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2"/>
        <w:ind w:left="2839" w:right="117" w:firstLine="748"/>
        <w:jc w:val="right"/>
        <w:rPr>
          <w:sz w:val="28"/>
        </w:rPr>
      </w:pPr>
      <w:r>
        <w:rPr>
          <w:color w:val="231F20"/>
          <w:sz w:val="28"/>
        </w:rPr>
        <w:t>ESTADOS UNIDOS</w:t>
      </w:r>
      <w:r>
        <w:rPr>
          <w:color w:val="231F20"/>
          <w:w w:val="105"/>
          <w:sz w:val="28"/>
        </w:rPr>
        <w:t> </w:t>
      </w:r>
      <w:r>
        <w:rPr>
          <w:color w:val="231F20"/>
          <w:sz w:val="28"/>
        </w:rPr>
        <w:t>MÁS ALLÁ DE LA CRISIS</w:t>
      </w:r>
    </w:p>
    <w:p>
      <w:pPr>
        <w:spacing w:line="220" w:lineRule="exact" w:before="203"/>
        <w:ind w:left="3560" w:right="117" w:firstLine="1482"/>
        <w:jc w:val="both"/>
        <w:rPr>
          <w:sz w:val="20"/>
        </w:rPr>
      </w:pPr>
      <w:r>
        <w:rPr>
          <w:i/>
          <w:color w:val="231F20"/>
          <w:w w:val="90"/>
          <w:sz w:val="20"/>
        </w:rPr>
        <w:t>coordinadores </w:t>
      </w:r>
      <w:r>
        <w:rPr>
          <w:color w:val="231F20"/>
          <w:w w:val="120"/>
          <w:sz w:val="20"/>
        </w:rPr>
        <w:t>dídimo castillo fernández marco a. gandásegui, hijo</w:t>
      </w:r>
    </w:p>
    <w:p>
      <w:pPr>
        <w:pStyle w:val="BodyText"/>
        <w:spacing w:before="2"/>
        <w:rPr>
          <w:sz w:val="18"/>
        </w:rPr>
      </w:pPr>
    </w:p>
    <w:p>
      <w:pPr>
        <w:spacing w:line="225" w:lineRule="exact" w:before="0"/>
        <w:ind w:left="73" w:right="119" w:firstLine="0"/>
        <w:jc w:val="right"/>
        <w:rPr>
          <w:i/>
          <w:sz w:val="20"/>
        </w:rPr>
      </w:pPr>
      <w:r>
        <w:rPr>
          <w:i/>
          <w:color w:val="231F20"/>
          <w:w w:val="90"/>
          <w:sz w:val="20"/>
        </w:rPr>
        <w:t>presentación</w:t>
      </w:r>
    </w:p>
    <w:p>
      <w:pPr>
        <w:pStyle w:val="BodyText"/>
        <w:spacing w:line="225" w:lineRule="exact"/>
        <w:ind w:left="73" w:right="119"/>
        <w:jc w:val="right"/>
      </w:pPr>
      <w:r>
        <w:rPr>
          <w:color w:val="231F20"/>
          <w:w w:val="130"/>
        </w:rPr>
        <w:t>theotonio dos santos</w:t>
      </w:r>
    </w:p>
    <w:p>
      <w:pPr>
        <w:pStyle w:val="BodyText"/>
        <w:spacing w:before="3"/>
        <w:rPr>
          <w:sz w:val="18"/>
        </w:rPr>
      </w:pPr>
    </w:p>
    <w:p>
      <w:pPr>
        <w:spacing w:line="225" w:lineRule="exact" w:before="0"/>
        <w:ind w:left="73" w:right="119" w:firstLine="0"/>
        <w:jc w:val="right"/>
        <w:rPr>
          <w:i/>
          <w:sz w:val="20"/>
        </w:rPr>
      </w:pPr>
      <w:r>
        <w:rPr>
          <w:i/>
          <w:color w:val="231F20"/>
          <w:w w:val="90"/>
          <w:sz w:val="20"/>
        </w:rPr>
        <w:t>presentación</w:t>
      </w:r>
    </w:p>
    <w:p>
      <w:pPr>
        <w:pStyle w:val="BodyText"/>
        <w:spacing w:line="225" w:lineRule="exact"/>
        <w:ind w:left="73" w:right="117"/>
        <w:jc w:val="right"/>
      </w:pPr>
      <w:r>
        <w:rPr>
          <w:color w:val="231F20"/>
          <w:w w:val="120"/>
        </w:rPr>
        <w:t>john saxe-fernández</w:t>
      </w:r>
    </w:p>
    <w:p>
      <w:pPr>
        <w:pStyle w:val="BodyText"/>
        <w:spacing w:before="10"/>
      </w:pPr>
    </w:p>
    <w:p>
      <w:pPr>
        <w:spacing w:before="0"/>
        <w:ind w:left="73" w:right="119" w:firstLine="0"/>
        <w:jc w:val="right"/>
        <w:rPr>
          <w:i/>
          <w:sz w:val="20"/>
        </w:rPr>
      </w:pPr>
      <w:r>
        <w:rPr>
          <w:i/>
          <w:color w:val="231F20"/>
          <w:w w:val="85"/>
          <w:sz w:val="20"/>
        </w:rPr>
        <w:t>por</w:t>
      </w:r>
    </w:p>
    <w:p>
      <w:pPr>
        <w:pStyle w:val="BodyText"/>
        <w:spacing w:before="20"/>
        <w:ind w:left="73" w:right="117"/>
        <w:jc w:val="right"/>
      </w:pPr>
      <w:r>
        <w:rPr>
          <w:color w:val="231F20"/>
          <w:w w:val="125"/>
        </w:rPr>
        <w:t>theotonio dos santos </w:t>
      </w:r>
      <w:r>
        <w:rPr>
          <w:rFonts w:ascii="Wingdings" w:hAnsi="Wingdings"/>
          <w:color w:val="231F20"/>
          <w:w w:val="125"/>
          <w:position w:val="-1"/>
        </w:rPr>
        <w:t></w:t>
      </w:r>
      <w:r>
        <w:rPr>
          <w:color w:val="231F20"/>
          <w:w w:val="125"/>
          <w:position w:val="-1"/>
        </w:rPr>
        <w:t> </w:t>
      </w:r>
      <w:r>
        <w:rPr>
          <w:color w:val="231F20"/>
          <w:w w:val="125"/>
        </w:rPr>
        <w:t>carlos eduardo  martins</w:t>
      </w:r>
    </w:p>
    <w:p>
      <w:pPr>
        <w:pStyle w:val="ListParagraph"/>
        <w:numPr>
          <w:ilvl w:val="0"/>
          <w:numId w:val="1"/>
        </w:numPr>
        <w:tabs>
          <w:tab w:pos="1605" w:val="left" w:leader="none"/>
        </w:tabs>
        <w:spacing w:line="240" w:lineRule="auto" w:before="1" w:after="0"/>
        <w:ind w:left="1604" w:right="117" w:hanging="156"/>
        <w:jc w:val="right"/>
        <w:rPr>
          <w:sz w:val="20"/>
        </w:rPr>
      </w:pPr>
      <w:r>
        <w:rPr>
          <w:color w:val="231F20"/>
          <w:w w:val="120"/>
          <w:sz w:val="20"/>
        </w:rPr>
        <w:t>orlando caputo leiva </w:t>
      </w:r>
      <w:r>
        <w:rPr>
          <w:rFonts w:ascii="Wingdings" w:hAnsi="Wingdings"/>
          <w:color w:val="231F20"/>
          <w:w w:val="120"/>
          <w:position w:val="-1"/>
          <w:sz w:val="20"/>
        </w:rPr>
        <w:t></w:t>
      </w:r>
      <w:r>
        <w:rPr>
          <w:color w:val="231F20"/>
          <w:w w:val="120"/>
          <w:position w:val="-1"/>
          <w:sz w:val="20"/>
        </w:rPr>
        <w:t> </w:t>
      </w:r>
      <w:r>
        <w:rPr>
          <w:color w:val="231F20"/>
          <w:w w:val="120"/>
          <w:sz w:val="20"/>
        </w:rPr>
        <w:t>jaime ornelas   </w:t>
      </w:r>
      <w:r>
        <w:rPr>
          <w:color w:val="231F20"/>
          <w:spacing w:val="17"/>
          <w:w w:val="120"/>
          <w:sz w:val="20"/>
        </w:rPr>
        <w:t> </w:t>
      </w:r>
      <w:r>
        <w:rPr>
          <w:color w:val="231F20"/>
          <w:w w:val="120"/>
          <w:sz w:val="20"/>
        </w:rPr>
        <w:t>delgado</w:t>
      </w:r>
    </w:p>
    <w:p>
      <w:pPr>
        <w:pStyle w:val="ListParagraph"/>
        <w:numPr>
          <w:ilvl w:val="1"/>
          <w:numId w:val="1"/>
        </w:numPr>
        <w:tabs>
          <w:tab w:pos="2038" w:val="left" w:leader="none"/>
        </w:tabs>
        <w:spacing w:line="240" w:lineRule="auto" w:before="1" w:after="0"/>
        <w:ind w:left="1194" w:right="119" w:firstLine="687"/>
        <w:jc w:val="right"/>
        <w:rPr>
          <w:sz w:val="20"/>
        </w:rPr>
      </w:pPr>
      <w:r>
        <w:rPr>
          <w:color w:val="231F20"/>
          <w:w w:val="130"/>
          <w:sz w:val="20"/>
        </w:rPr>
        <w:t>marco</w:t>
      </w:r>
      <w:r>
        <w:rPr>
          <w:color w:val="231F20"/>
          <w:spacing w:val="-32"/>
          <w:w w:val="130"/>
          <w:sz w:val="20"/>
        </w:rPr>
        <w:t> </w:t>
      </w:r>
      <w:r>
        <w:rPr>
          <w:color w:val="231F20"/>
          <w:w w:val="130"/>
          <w:sz w:val="20"/>
        </w:rPr>
        <w:t>a.</w:t>
      </w:r>
      <w:r>
        <w:rPr>
          <w:color w:val="231F20"/>
          <w:spacing w:val="-32"/>
          <w:w w:val="130"/>
          <w:sz w:val="20"/>
        </w:rPr>
        <w:t> </w:t>
      </w:r>
      <w:r>
        <w:rPr>
          <w:color w:val="231F20"/>
          <w:w w:val="130"/>
          <w:sz w:val="20"/>
        </w:rPr>
        <w:t>gandásegui,</w:t>
      </w:r>
      <w:r>
        <w:rPr>
          <w:color w:val="231F20"/>
          <w:spacing w:val="-32"/>
          <w:w w:val="130"/>
          <w:sz w:val="20"/>
        </w:rPr>
        <w:t> </w:t>
      </w:r>
      <w:r>
        <w:rPr>
          <w:color w:val="231F20"/>
          <w:w w:val="130"/>
          <w:sz w:val="20"/>
        </w:rPr>
        <w:t>hijo</w:t>
      </w:r>
      <w:r>
        <w:rPr>
          <w:color w:val="231F20"/>
          <w:spacing w:val="-32"/>
          <w:w w:val="130"/>
          <w:sz w:val="20"/>
        </w:rPr>
        <w:t> </w:t>
      </w:r>
      <w:r>
        <w:rPr>
          <w:rFonts w:ascii="Wingdings" w:hAnsi="Wingdings"/>
          <w:color w:val="231F20"/>
          <w:w w:val="130"/>
          <w:position w:val="-1"/>
          <w:sz w:val="20"/>
        </w:rPr>
        <w:t></w:t>
      </w:r>
      <w:r>
        <w:rPr>
          <w:color w:val="231F20"/>
          <w:spacing w:val="-32"/>
          <w:w w:val="130"/>
          <w:position w:val="-1"/>
          <w:sz w:val="20"/>
        </w:rPr>
        <w:t> </w:t>
      </w:r>
      <w:r>
        <w:rPr>
          <w:color w:val="231F20"/>
          <w:w w:val="130"/>
          <w:sz w:val="20"/>
        </w:rPr>
        <w:t>adrián</w:t>
      </w:r>
      <w:r>
        <w:rPr>
          <w:color w:val="231F20"/>
          <w:spacing w:val="-32"/>
          <w:w w:val="130"/>
          <w:sz w:val="20"/>
        </w:rPr>
        <w:t> </w:t>
      </w:r>
      <w:r>
        <w:rPr>
          <w:color w:val="231F20"/>
          <w:w w:val="130"/>
          <w:sz w:val="20"/>
        </w:rPr>
        <w:t>sotelo</w:t>
      </w:r>
      <w:r>
        <w:rPr>
          <w:color w:val="231F20"/>
          <w:w w:val="134"/>
          <w:sz w:val="20"/>
        </w:rPr>
        <w:t> </w:t>
      </w:r>
      <w:r>
        <w:rPr>
          <w:color w:val="231F20"/>
          <w:w w:val="130"/>
          <w:sz w:val="20"/>
        </w:rPr>
        <w:t>valencia</w:t>
      </w:r>
      <w:r>
        <w:rPr>
          <w:color w:val="231F20"/>
          <w:spacing w:val="-34"/>
          <w:w w:val="130"/>
          <w:sz w:val="20"/>
        </w:rPr>
        <w:t> </w:t>
      </w:r>
      <w:r>
        <w:rPr>
          <w:rFonts w:ascii="Wingdings" w:hAnsi="Wingdings"/>
          <w:color w:val="231F20"/>
          <w:w w:val="130"/>
          <w:position w:val="-1"/>
          <w:sz w:val="20"/>
        </w:rPr>
        <w:t></w:t>
      </w:r>
      <w:r>
        <w:rPr>
          <w:color w:val="231F20"/>
          <w:spacing w:val="-34"/>
          <w:w w:val="130"/>
          <w:position w:val="-1"/>
          <w:sz w:val="20"/>
        </w:rPr>
        <w:t> </w:t>
      </w:r>
      <w:r>
        <w:rPr>
          <w:color w:val="231F20"/>
          <w:w w:val="130"/>
          <w:sz w:val="20"/>
        </w:rPr>
        <w:t>katia</w:t>
      </w:r>
      <w:r>
        <w:rPr>
          <w:color w:val="231F20"/>
          <w:spacing w:val="-34"/>
          <w:w w:val="130"/>
          <w:sz w:val="20"/>
        </w:rPr>
        <w:t> </w:t>
      </w:r>
      <w:r>
        <w:rPr>
          <w:color w:val="231F20"/>
          <w:w w:val="130"/>
          <w:sz w:val="20"/>
        </w:rPr>
        <w:t>cobarrubias</w:t>
      </w:r>
      <w:r>
        <w:rPr>
          <w:color w:val="231F20"/>
          <w:spacing w:val="-34"/>
          <w:w w:val="130"/>
          <w:sz w:val="20"/>
        </w:rPr>
        <w:t> </w:t>
      </w:r>
      <w:r>
        <w:rPr>
          <w:color w:val="231F20"/>
          <w:w w:val="130"/>
          <w:sz w:val="20"/>
        </w:rPr>
        <w:t>hernández</w:t>
      </w:r>
      <w:r>
        <w:rPr>
          <w:color w:val="231F20"/>
          <w:spacing w:val="-34"/>
          <w:w w:val="130"/>
          <w:sz w:val="20"/>
        </w:rPr>
        <w:t> </w:t>
      </w:r>
      <w:r>
        <w:rPr>
          <w:rFonts w:ascii="Wingdings" w:hAnsi="Wingdings"/>
          <w:color w:val="231F20"/>
          <w:w w:val="130"/>
          <w:position w:val="-1"/>
          <w:sz w:val="20"/>
        </w:rPr>
        <w:t></w:t>
      </w:r>
      <w:r>
        <w:rPr>
          <w:color w:val="231F20"/>
          <w:spacing w:val="-34"/>
          <w:w w:val="130"/>
          <w:position w:val="-1"/>
          <w:sz w:val="20"/>
        </w:rPr>
        <w:t> </w:t>
      </w:r>
      <w:r>
        <w:rPr>
          <w:color w:val="231F20"/>
          <w:w w:val="130"/>
          <w:sz w:val="20"/>
        </w:rPr>
        <w:t>daniel</w:t>
      </w:r>
      <w:r>
        <w:rPr>
          <w:color w:val="231F20"/>
          <w:w w:val="128"/>
          <w:sz w:val="20"/>
        </w:rPr>
        <w:t> </w:t>
      </w:r>
      <w:r>
        <w:rPr>
          <w:color w:val="231F20"/>
          <w:w w:val="125"/>
          <w:sz w:val="20"/>
        </w:rPr>
        <w:t>munevar</w:t>
      </w:r>
      <w:r>
        <w:rPr>
          <w:color w:val="231F20"/>
          <w:spacing w:val="-23"/>
          <w:w w:val="125"/>
          <w:sz w:val="20"/>
        </w:rPr>
        <w:t> </w:t>
      </w:r>
      <w:r>
        <w:rPr>
          <w:rFonts w:ascii="Wingdings" w:hAnsi="Wingdings"/>
          <w:color w:val="231F20"/>
          <w:w w:val="125"/>
          <w:position w:val="-1"/>
          <w:sz w:val="20"/>
        </w:rPr>
        <w:t></w:t>
      </w:r>
      <w:r>
        <w:rPr>
          <w:color w:val="231F20"/>
          <w:spacing w:val="-23"/>
          <w:w w:val="125"/>
          <w:position w:val="-1"/>
          <w:sz w:val="20"/>
        </w:rPr>
        <w:t> </w:t>
      </w:r>
      <w:r>
        <w:rPr>
          <w:color w:val="231F20"/>
          <w:w w:val="125"/>
          <w:sz w:val="20"/>
        </w:rPr>
        <w:t>fabio</w:t>
      </w:r>
      <w:r>
        <w:rPr>
          <w:color w:val="231F20"/>
          <w:spacing w:val="-23"/>
          <w:w w:val="125"/>
          <w:sz w:val="20"/>
        </w:rPr>
        <w:t> </w:t>
      </w:r>
      <w:r>
        <w:rPr>
          <w:color w:val="231F20"/>
          <w:w w:val="125"/>
          <w:sz w:val="20"/>
        </w:rPr>
        <w:t>grobart</w:t>
      </w:r>
      <w:r>
        <w:rPr>
          <w:color w:val="231F20"/>
          <w:spacing w:val="-23"/>
          <w:w w:val="125"/>
          <w:sz w:val="20"/>
        </w:rPr>
        <w:t> </w:t>
      </w:r>
      <w:r>
        <w:rPr>
          <w:color w:val="231F20"/>
          <w:w w:val="125"/>
          <w:sz w:val="20"/>
        </w:rPr>
        <w:t>sunshine</w:t>
      </w:r>
      <w:r>
        <w:rPr>
          <w:color w:val="231F20"/>
          <w:spacing w:val="-23"/>
          <w:w w:val="125"/>
          <w:sz w:val="20"/>
        </w:rPr>
        <w:t> </w:t>
      </w:r>
      <w:r>
        <w:rPr>
          <w:rFonts w:ascii="Wingdings" w:hAnsi="Wingdings"/>
          <w:color w:val="231F20"/>
          <w:w w:val="125"/>
          <w:position w:val="-1"/>
          <w:sz w:val="20"/>
        </w:rPr>
        <w:t></w:t>
      </w:r>
      <w:r>
        <w:rPr>
          <w:color w:val="231F20"/>
          <w:spacing w:val="-23"/>
          <w:w w:val="125"/>
          <w:position w:val="-1"/>
          <w:sz w:val="20"/>
        </w:rPr>
        <w:t> </w:t>
      </w:r>
      <w:r>
        <w:rPr>
          <w:color w:val="231F20"/>
          <w:w w:val="125"/>
          <w:sz w:val="20"/>
        </w:rPr>
        <w:t>dídimo</w:t>
      </w:r>
      <w:r>
        <w:rPr>
          <w:color w:val="231F20"/>
          <w:w w:val="113"/>
          <w:sz w:val="20"/>
        </w:rPr>
        <w:t> </w:t>
      </w:r>
      <w:r>
        <w:rPr>
          <w:color w:val="231F20"/>
          <w:w w:val="130"/>
          <w:sz w:val="20"/>
        </w:rPr>
        <w:t>castillo</w:t>
      </w:r>
      <w:r>
        <w:rPr>
          <w:color w:val="231F20"/>
          <w:spacing w:val="-26"/>
          <w:w w:val="130"/>
          <w:sz w:val="20"/>
        </w:rPr>
        <w:t> </w:t>
      </w:r>
      <w:r>
        <w:rPr>
          <w:color w:val="231F20"/>
          <w:w w:val="130"/>
          <w:sz w:val="20"/>
        </w:rPr>
        <w:t>fernández</w:t>
      </w:r>
      <w:r>
        <w:rPr>
          <w:color w:val="231F20"/>
          <w:spacing w:val="-26"/>
          <w:w w:val="130"/>
          <w:sz w:val="20"/>
        </w:rPr>
        <w:t> </w:t>
      </w:r>
      <w:r>
        <w:rPr>
          <w:rFonts w:ascii="Wingdings" w:hAnsi="Wingdings"/>
          <w:color w:val="231F20"/>
          <w:w w:val="130"/>
          <w:position w:val="-1"/>
          <w:sz w:val="20"/>
        </w:rPr>
        <w:t></w:t>
      </w:r>
      <w:r>
        <w:rPr>
          <w:color w:val="231F20"/>
          <w:spacing w:val="-26"/>
          <w:w w:val="130"/>
          <w:position w:val="-1"/>
          <w:sz w:val="20"/>
        </w:rPr>
        <w:t> </w:t>
      </w:r>
      <w:r>
        <w:rPr>
          <w:color w:val="231F20"/>
          <w:w w:val="130"/>
          <w:sz w:val="20"/>
        </w:rPr>
        <w:t>alejandro</w:t>
      </w:r>
      <w:r>
        <w:rPr>
          <w:color w:val="231F20"/>
          <w:spacing w:val="-26"/>
          <w:w w:val="130"/>
          <w:sz w:val="20"/>
        </w:rPr>
        <w:t> </w:t>
      </w:r>
      <w:r>
        <w:rPr>
          <w:color w:val="231F20"/>
          <w:w w:val="130"/>
          <w:sz w:val="20"/>
        </w:rPr>
        <w:t>i.</w:t>
      </w:r>
      <w:r>
        <w:rPr>
          <w:color w:val="231F20"/>
          <w:spacing w:val="-26"/>
          <w:w w:val="130"/>
          <w:sz w:val="20"/>
        </w:rPr>
        <w:t> </w:t>
      </w:r>
      <w:r>
        <w:rPr>
          <w:color w:val="231F20"/>
          <w:w w:val="130"/>
          <w:sz w:val="20"/>
        </w:rPr>
        <w:t>canales</w:t>
      </w:r>
      <w:r>
        <w:rPr>
          <w:color w:val="231F20"/>
          <w:spacing w:val="-26"/>
          <w:w w:val="130"/>
          <w:sz w:val="20"/>
        </w:rPr>
        <w:t> </w:t>
      </w:r>
      <w:r>
        <w:rPr>
          <w:rFonts w:ascii="Wingdings" w:hAnsi="Wingdings"/>
          <w:color w:val="231F20"/>
          <w:w w:val="130"/>
          <w:position w:val="-1"/>
          <w:sz w:val="20"/>
        </w:rPr>
        <w:t></w:t>
      </w:r>
      <w:r>
        <w:rPr>
          <w:color w:val="231F20"/>
          <w:spacing w:val="-26"/>
          <w:w w:val="130"/>
          <w:position w:val="-1"/>
          <w:sz w:val="20"/>
        </w:rPr>
        <w:t> </w:t>
      </w:r>
      <w:r>
        <w:rPr>
          <w:color w:val="231F20"/>
          <w:w w:val="130"/>
          <w:sz w:val="20"/>
        </w:rPr>
        <w:t>james</w:t>
      </w:r>
      <w:r>
        <w:rPr>
          <w:color w:val="231F20"/>
          <w:w w:val="109"/>
          <w:sz w:val="20"/>
        </w:rPr>
        <w:t> </w:t>
      </w:r>
      <w:r>
        <w:rPr>
          <w:color w:val="231F20"/>
          <w:w w:val="130"/>
          <w:sz w:val="20"/>
        </w:rPr>
        <w:t>martin</w:t>
      </w:r>
      <w:r>
        <w:rPr>
          <w:color w:val="231F20"/>
          <w:spacing w:val="-32"/>
          <w:w w:val="130"/>
          <w:sz w:val="20"/>
        </w:rPr>
        <w:t> </w:t>
      </w:r>
      <w:r>
        <w:rPr>
          <w:color w:val="231F20"/>
          <w:w w:val="130"/>
          <w:sz w:val="20"/>
        </w:rPr>
        <w:t>cypher</w:t>
      </w:r>
      <w:r>
        <w:rPr>
          <w:color w:val="231F20"/>
          <w:spacing w:val="-32"/>
          <w:w w:val="130"/>
          <w:sz w:val="20"/>
        </w:rPr>
        <w:t> </w:t>
      </w:r>
      <w:r>
        <w:rPr>
          <w:rFonts w:ascii="Wingdings" w:hAnsi="Wingdings"/>
          <w:color w:val="231F20"/>
          <w:w w:val="130"/>
          <w:position w:val="-1"/>
          <w:sz w:val="20"/>
        </w:rPr>
        <w:t></w:t>
      </w:r>
      <w:r>
        <w:rPr>
          <w:color w:val="231F20"/>
          <w:spacing w:val="-33"/>
          <w:w w:val="130"/>
          <w:position w:val="-1"/>
          <w:sz w:val="20"/>
        </w:rPr>
        <w:t> </w:t>
      </w:r>
      <w:r>
        <w:rPr>
          <w:color w:val="231F20"/>
          <w:w w:val="130"/>
          <w:sz w:val="20"/>
        </w:rPr>
        <w:t>jorge</w:t>
      </w:r>
      <w:r>
        <w:rPr>
          <w:color w:val="231F20"/>
          <w:spacing w:val="-32"/>
          <w:w w:val="130"/>
          <w:sz w:val="20"/>
        </w:rPr>
        <w:t> </w:t>
      </w:r>
      <w:r>
        <w:rPr>
          <w:color w:val="231F20"/>
          <w:w w:val="130"/>
          <w:sz w:val="20"/>
        </w:rPr>
        <w:t>hernández</w:t>
      </w:r>
      <w:r>
        <w:rPr>
          <w:color w:val="231F20"/>
          <w:spacing w:val="-32"/>
          <w:w w:val="130"/>
          <w:sz w:val="20"/>
        </w:rPr>
        <w:t> </w:t>
      </w:r>
      <w:r>
        <w:rPr>
          <w:color w:val="231F20"/>
          <w:w w:val="130"/>
          <w:sz w:val="20"/>
        </w:rPr>
        <w:t>martínez</w:t>
      </w:r>
      <w:r>
        <w:rPr>
          <w:color w:val="231F20"/>
          <w:spacing w:val="-32"/>
          <w:w w:val="130"/>
          <w:sz w:val="20"/>
        </w:rPr>
        <w:t> </w:t>
      </w:r>
      <w:r>
        <w:rPr>
          <w:rFonts w:ascii="Wingdings" w:hAnsi="Wingdings"/>
          <w:color w:val="231F20"/>
          <w:w w:val="130"/>
          <w:position w:val="-1"/>
          <w:sz w:val="20"/>
        </w:rPr>
        <w:t></w:t>
      </w:r>
      <w:r>
        <w:rPr>
          <w:color w:val="231F20"/>
          <w:spacing w:val="-33"/>
          <w:w w:val="130"/>
          <w:position w:val="-1"/>
          <w:sz w:val="20"/>
        </w:rPr>
        <w:t> </w:t>
      </w:r>
      <w:r>
        <w:rPr>
          <w:color w:val="231F20"/>
          <w:w w:val="130"/>
          <w:sz w:val="20"/>
        </w:rPr>
        <w:t>darío</w:t>
      </w:r>
      <w:r>
        <w:rPr>
          <w:color w:val="231F20"/>
          <w:w w:val="132"/>
          <w:sz w:val="20"/>
        </w:rPr>
        <w:t> </w:t>
      </w:r>
      <w:r>
        <w:rPr>
          <w:color w:val="231F20"/>
          <w:w w:val="130"/>
          <w:sz w:val="20"/>
        </w:rPr>
        <w:t>salinas</w:t>
      </w:r>
      <w:r>
        <w:rPr>
          <w:color w:val="231F20"/>
          <w:spacing w:val="-24"/>
          <w:w w:val="130"/>
          <w:sz w:val="20"/>
        </w:rPr>
        <w:t> </w:t>
      </w:r>
      <w:r>
        <w:rPr>
          <w:color w:val="231F20"/>
          <w:w w:val="130"/>
          <w:sz w:val="20"/>
        </w:rPr>
        <w:t>figueredo</w:t>
      </w:r>
      <w:r>
        <w:rPr>
          <w:color w:val="231F20"/>
          <w:spacing w:val="-25"/>
          <w:w w:val="130"/>
          <w:sz w:val="20"/>
        </w:rPr>
        <w:t> </w:t>
      </w:r>
      <w:r>
        <w:rPr>
          <w:rFonts w:ascii="Wingdings" w:hAnsi="Wingdings"/>
          <w:color w:val="231F20"/>
          <w:w w:val="130"/>
          <w:position w:val="-1"/>
          <w:sz w:val="20"/>
        </w:rPr>
        <w:t></w:t>
      </w:r>
      <w:r>
        <w:rPr>
          <w:color w:val="231F20"/>
          <w:spacing w:val="-25"/>
          <w:w w:val="130"/>
          <w:position w:val="-1"/>
          <w:sz w:val="20"/>
        </w:rPr>
        <w:t> </w:t>
      </w:r>
      <w:r>
        <w:rPr>
          <w:color w:val="231F20"/>
          <w:w w:val="130"/>
          <w:sz w:val="20"/>
        </w:rPr>
        <w:t>luis</w:t>
      </w:r>
      <w:r>
        <w:rPr>
          <w:color w:val="231F20"/>
          <w:spacing w:val="-24"/>
          <w:w w:val="130"/>
          <w:sz w:val="20"/>
        </w:rPr>
        <w:t> </w:t>
      </w:r>
      <w:r>
        <w:rPr>
          <w:color w:val="231F20"/>
          <w:w w:val="130"/>
          <w:sz w:val="20"/>
        </w:rPr>
        <w:t>suárez</w:t>
      </w:r>
      <w:r>
        <w:rPr>
          <w:color w:val="231F20"/>
          <w:spacing w:val="-24"/>
          <w:w w:val="130"/>
          <w:sz w:val="20"/>
        </w:rPr>
        <w:t> </w:t>
      </w:r>
      <w:r>
        <w:rPr>
          <w:color w:val="231F20"/>
          <w:w w:val="130"/>
          <w:sz w:val="20"/>
        </w:rPr>
        <w:t>salazar</w:t>
      </w:r>
      <w:r>
        <w:rPr>
          <w:color w:val="231F20"/>
          <w:spacing w:val="-24"/>
          <w:w w:val="130"/>
          <w:sz w:val="20"/>
        </w:rPr>
        <w:t> </w:t>
      </w:r>
      <w:r>
        <w:rPr>
          <w:rFonts w:ascii="Wingdings" w:hAnsi="Wingdings"/>
          <w:color w:val="231F20"/>
          <w:w w:val="130"/>
          <w:position w:val="-1"/>
          <w:sz w:val="20"/>
        </w:rPr>
        <w:t></w:t>
      </w:r>
      <w:r>
        <w:rPr>
          <w:color w:val="231F20"/>
          <w:spacing w:val="-25"/>
          <w:w w:val="130"/>
          <w:position w:val="-1"/>
          <w:sz w:val="20"/>
        </w:rPr>
        <w:t> </w:t>
      </w:r>
      <w:r>
        <w:rPr>
          <w:color w:val="231F20"/>
          <w:w w:val="130"/>
          <w:sz w:val="20"/>
        </w:rPr>
        <w:t>silvina</w:t>
      </w:r>
      <w:r>
        <w:rPr>
          <w:color w:val="231F20"/>
          <w:w w:val="119"/>
          <w:sz w:val="20"/>
        </w:rPr>
        <w:t> </w:t>
      </w:r>
      <w:r>
        <w:rPr>
          <w:color w:val="231F20"/>
          <w:w w:val="125"/>
          <w:sz w:val="20"/>
        </w:rPr>
        <w:t>maría</w:t>
      </w:r>
      <w:r>
        <w:rPr>
          <w:color w:val="231F20"/>
          <w:spacing w:val="-22"/>
          <w:w w:val="125"/>
          <w:sz w:val="20"/>
        </w:rPr>
        <w:t> </w:t>
      </w:r>
      <w:r>
        <w:rPr>
          <w:color w:val="231F20"/>
          <w:w w:val="125"/>
          <w:sz w:val="20"/>
        </w:rPr>
        <w:t>romano</w:t>
      </w:r>
      <w:r>
        <w:rPr>
          <w:color w:val="231F20"/>
          <w:spacing w:val="-22"/>
          <w:w w:val="125"/>
          <w:sz w:val="20"/>
        </w:rPr>
        <w:t> </w:t>
      </w:r>
      <w:r>
        <w:rPr>
          <w:rFonts w:ascii="Wingdings" w:hAnsi="Wingdings"/>
          <w:color w:val="231F20"/>
          <w:w w:val="125"/>
          <w:position w:val="-1"/>
          <w:sz w:val="20"/>
        </w:rPr>
        <w:t></w:t>
      </w:r>
      <w:r>
        <w:rPr>
          <w:color w:val="231F20"/>
          <w:spacing w:val="-23"/>
          <w:w w:val="125"/>
          <w:position w:val="-1"/>
          <w:sz w:val="20"/>
        </w:rPr>
        <w:t> </w:t>
      </w:r>
      <w:r>
        <w:rPr>
          <w:color w:val="231F20"/>
          <w:w w:val="125"/>
          <w:sz w:val="20"/>
        </w:rPr>
        <w:t>jaime</w:t>
      </w:r>
      <w:r>
        <w:rPr>
          <w:color w:val="231F20"/>
          <w:spacing w:val="-22"/>
          <w:w w:val="125"/>
          <w:sz w:val="20"/>
        </w:rPr>
        <w:t> </w:t>
      </w:r>
      <w:r>
        <w:rPr>
          <w:color w:val="231F20"/>
          <w:w w:val="125"/>
          <w:sz w:val="20"/>
        </w:rPr>
        <w:t>zuluaga</w:t>
      </w:r>
      <w:r>
        <w:rPr>
          <w:color w:val="231F20"/>
          <w:spacing w:val="-22"/>
          <w:w w:val="125"/>
          <w:sz w:val="20"/>
        </w:rPr>
        <w:t> </w:t>
      </w:r>
      <w:r>
        <w:rPr>
          <w:color w:val="231F20"/>
          <w:w w:val="125"/>
          <w:sz w:val="20"/>
        </w:rPr>
        <w:t>nieto</w:t>
      </w:r>
      <w:r>
        <w:rPr>
          <w:color w:val="231F20"/>
          <w:spacing w:val="-22"/>
          <w:w w:val="125"/>
          <w:sz w:val="20"/>
        </w:rPr>
        <w:t> </w:t>
      </w:r>
      <w:r>
        <w:rPr>
          <w:rFonts w:ascii="Wingdings" w:hAnsi="Wingdings"/>
          <w:color w:val="231F20"/>
          <w:w w:val="125"/>
          <w:position w:val="-1"/>
          <w:sz w:val="20"/>
        </w:rPr>
        <w:t></w:t>
      </w:r>
      <w:r>
        <w:rPr>
          <w:color w:val="231F20"/>
          <w:spacing w:val="-23"/>
          <w:w w:val="125"/>
          <w:position w:val="-1"/>
          <w:sz w:val="20"/>
        </w:rPr>
        <w:t> </w:t>
      </w:r>
      <w:r>
        <w:rPr>
          <w:color w:val="231F20"/>
          <w:w w:val="125"/>
          <w:sz w:val="20"/>
        </w:rPr>
        <w:t>maría</w:t>
      </w:r>
      <w:r>
        <w:rPr>
          <w:color w:val="231F20"/>
          <w:spacing w:val="-22"/>
          <w:w w:val="125"/>
          <w:sz w:val="20"/>
        </w:rPr>
        <w:t> </w:t>
      </w:r>
      <w:r>
        <w:rPr>
          <w:color w:val="231F20"/>
          <w:w w:val="125"/>
          <w:sz w:val="20"/>
        </w:rPr>
        <w:t>josé</w:t>
      </w:r>
      <w:r>
        <w:rPr>
          <w:color w:val="231F20"/>
          <w:w w:val="117"/>
          <w:sz w:val="20"/>
        </w:rPr>
        <w:t> </w:t>
      </w:r>
      <w:r>
        <w:rPr>
          <w:color w:val="231F20"/>
          <w:w w:val="130"/>
          <w:sz w:val="20"/>
        </w:rPr>
        <w:t>rodríguez</w:t>
      </w:r>
      <w:r>
        <w:rPr>
          <w:color w:val="231F20"/>
          <w:spacing w:val="-14"/>
          <w:w w:val="130"/>
          <w:sz w:val="20"/>
        </w:rPr>
        <w:t> </w:t>
      </w:r>
      <w:r>
        <w:rPr>
          <w:color w:val="231F20"/>
          <w:w w:val="130"/>
          <w:sz w:val="20"/>
        </w:rPr>
        <w:t>rejas</w:t>
      </w:r>
      <w:r>
        <w:rPr>
          <w:color w:val="231F20"/>
          <w:spacing w:val="-15"/>
          <w:w w:val="130"/>
          <w:sz w:val="20"/>
        </w:rPr>
        <w:t> </w:t>
      </w:r>
      <w:r>
        <w:rPr>
          <w:rFonts w:ascii="Wingdings" w:hAnsi="Wingdings"/>
          <w:color w:val="231F20"/>
          <w:w w:val="130"/>
          <w:position w:val="-1"/>
          <w:sz w:val="20"/>
        </w:rPr>
        <w:t></w:t>
      </w:r>
      <w:r>
        <w:rPr>
          <w:color w:val="231F20"/>
          <w:spacing w:val="-15"/>
          <w:w w:val="130"/>
          <w:position w:val="-1"/>
          <w:sz w:val="20"/>
        </w:rPr>
        <w:t> </w:t>
      </w:r>
      <w:r>
        <w:rPr>
          <w:color w:val="231F20"/>
          <w:w w:val="130"/>
          <w:sz w:val="20"/>
        </w:rPr>
        <w:t>catalina</w:t>
      </w:r>
      <w:r>
        <w:rPr>
          <w:color w:val="231F20"/>
          <w:spacing w:val="-14"/>
          <w:w w:val="130"/>
          <w:sz w:val="20"/>
        </w:rPr>
        <w:t> </w:t>
      </w:r>
      <w:r>
        <w:rPr>
          <w:color w:val="231F20"/>
          <w:w w:val="130"/>
          <w:sz w:val="20"/>
        </w:rPr>
        <w:t>toro</w:t>
      </w:r>
      <w:r>
        <w:rPr>
          <w:color w:val="231F20"/>
          <w:spacing w:val="-14"/>
          <w:w w:val="130"/>
          <w:sz w:val="20"/>
        </w:rPr>
        <w:t> </w:t>
      </w:r>
      <w:r>
        <w:rPr>
          <w:color w:val="231F20"/>
          <w:w w:val="130"/>
          <w:sz w:val="20"/>
        </w:rPr>
        <w:t>pérez</w:t>
      </w:r>
      <w:r>
        <w:rPr>
          <w:color w:val="231F20"/>
          <w:spacing w:val="-14"/>
          <w:w w:val="130"/>
          <w:sz w:val="20"/>
        </w:rPr>
        <w:t> </w:t>
      </w:r>
      <w:r>
        <w:rPr>
          <w:rFonts w:ascii="Wingdings" w:hAnsi="Wingdings"/>
          <w:color w:val="231F20"/>
          <w:w w:val="130"/>
          <w:position w:val="-1"/>
          <w:sz w:val="20"/>
        </w:rPr>
        <w:t></w:t>
      </w:r>
      <w:r>
        <w:rPr>
          <w:color w:val="231F20"/>
          <w:spacing w:val="-15"/>
          <w:w w:val="130"/>
          <w:position w:val="-1"/>
          <w:sz w:val="20"/>
        </w:rPr>
        <w:t> </w:t>
      </w:r>
      <w:r>
        <w:rPr>
          <w:color w:val="231F20"/>
          <w:w w:val="130"/>
          <w:sz w:val="20"/>
        </w:rPr>
        <w:t>gian</w:t>
      </w:r>
    </w:p>
    <w:p>
      <w:pPr>
        <w:pStyle w:val="BodyText"/>
        <w:spacing w:before="1"/>
        <w:ind w:left="73" w:right="117"/>
        <w:jc w:val="right"/>
      </w:pPr>
      <w:r>
        <w:rPr>
          <w:color w:val="231F20"/>
          <w:w w:val="130"/>
        </w:rPr>
        <w:t>carlo delgado ramos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r>
        <w:rPr/>
        <w:drawing>
          <wp:anchor distT="0" distB="0" distL="0" distR="0" allowOverlap="1" layoutInCell="1" locked="0" behindDoc="0" simplePos="0" relativeHeight="0">
            <wp:simplePos x="0" y="0"/>
            <wp:positionH relativeFrom="page">
              <wp:posOffset>482600</wp:posOffset>
            </wp:positionH>
            <wp:positionV relativeFrom="paragraph">
              <wp:posOffset>291372</wp:posOffset>
            </wp:positionV>
            <wp:extent cx="595947" cy="521208"/>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95947" cy="52120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1157973</wp:posOffset>
            </wp:positionH>
            <wp:positionV relativeFrom="paragraph">
              <wp:posOffset>280932</wp:posOffset>
            </wp:positionV>
            <wp:extent cx="542544" cy="54254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42544" cy="542544"/>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1779809</wp:posOffset>
            </wp:positionH>
            <wp:positionV relativeFrom="paragraph">
              <wp:posOffset>330227</wp:posOffset>
            </wp:positionV>
            <wp:extent cx="1899678" cy="441959"/>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899678" cy="441959"/>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3758258</wp:posOffset>
            </wp:positionH>
            <wp:positionV relativeFrom="paragraph">
              <wp:posOffset>202981</wp:posOffset>
            </wp:positionV>
            <wp:extent cx="534063" cy="6953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534063" cy="695325"/>
                    </a:xfrm>
                    <a:prstGeom prst="rect">
                      <a:avLst/>
                    </a:prstGeom>
                  </pic:spPr>
                </pic:pic>
              </a:graphicData>
            </a:graphic>
          </wp:anchor>
        </w:drawing>
      </w:r>
    </w:p>
    <w:p>
      <w:pPr>
        <w:spacing w:after="0"/>
        <w:rPr>
          <w:sz w:val="24"/>
        </w:rPr>
        <w:sectPr>
          <w:type w:val="continuous"/>
          <w:pgSz w:w="7640" w:h="11900"/>
          <w:pgMar w:top="980" w:bottom="280" w:left="660" w:right="760"/>
        </w:sectPr>
      </w:pPr>
    </w:p>
    <w:p>
      <w:pPr>
        <w:pStyle w:val="BodyText"/>
        <w:ind w:left="100"/>
      </w:pPr>
      <w:r>
        <w:rPr/>
        <w:pict>
          <v:group style="width:288.5pt;height:49.05pt;mso-position-horizontal-relative:char;mso-position-vertical-relative:line" coordorigin="0,0" coordsize="5770,981">
            <v:shape style="position:absolute;left:0;top:9;width:651;height:373" coordorigin="0,9" coordsize="651,373" path="m385,314l305,314,372,382,452,382,385,314xm463,236l383,236,528,382,650,382,650,366,593,366,463,236xm80,9l0,9,187,196,3,381,82,381,227,237,382,237,383,236,463,236,461,234,305,234,267,196,305,158,462,158,463,157,227,157,80,9xm382,237l227,237,265,274,159,381,238,381,305,314,385,314,345,274,382,237xm650,65l594,65,593,366,650,366,650,65xm462,158l305,158,343,196,305,234,461,234,423,197,462,158xm236,9l156,9,266,119,227,157,383,157,345,119,385,79,305,79,236,9xm650,9l531,9,383,157,463,157,554,65,650,65,650,9xm454,9l374,9,305,79,385,79,454,9xe" filled="true" fillcolor="#231f20" stroked="false">
              <v:path arrowok="t"/>
              <v:fill type="solid"/>
            </v:shape>
            <v:shape style="position:absolute;left:706;top:40;width:448;height:140" type="#_x0000_t75" stroked="false">
              <v:imagedata r:id="rId9" o:title=""/>
            </v:shape>
            <v:shape style="position:absolute;left:1219;top:0;width:579;height:146" type="#_x0000_t75" stroked="false">
              <v:imagedata r:id="rId10" o:title=""/>
            </v:shape>
            <v:shape style="position:absolute;left:706;top:237;width:240;height:179" type="#_x0000_t75" stroked="false">
              <v:imagedata r:id="rId11" o:title=""/>
            </v:shape>
            <v:shape style="position:absolute;left:968;top:226;width:139;height:160" type="#_x0000_t75" stroked="false">
              <v:imagedata r:id="rId12" o:title=""/>
            </v:shape>
            <v:shape style="position:absolute;left:1169;top:237;width:789;height:142" type="#_x0000_t75" stroked="false">
              <v:imagedata r:id="rId13" o:title=""/>
            </v:shape>
            <v:shape style="position:absolute;left:11;top:498;width:228;height:165" type="#_x0000_t75" stroked="false">
              <v:imagedata r:id="rId14" o:title=""/>
            </v:shape>
            <v:shape style="position:absolute;left:260;top:488;width:132;height:149" type="#_x0000_t75" stroked="false">
              <v:imagedata r:id="rId15" o:title=""/>
            </v:shape>
            <v:shape style="position:absolute;left:449;top:498;width:224;height:129" type="#_x0000_t75" stroked="false">
              <v:imagedata r:id="rId16" o:title=""/>
            </v:shape>
            <v:shape style="position:absolute;left:742;top:498;width:705;height:157" type="#_x0000_t75" stroked="false">
              <v:imagedata r:id="rId17" o:title=""/>
            </v:shape>
            <v:shape style="position:absolute;left:9;top:723;width:63;height:74" coordorigin="9,723" coordsize="63,74" path="m67,723l42,723,28,726,18,734,11,746,9,760,11,774,18,786,28,794,42,797,53,794,55,793,42,793,30,790,21,783,15,773,13,760,15,747,21,737,30,730,42,727,67,727,67,723xm56,792l55,793,56,793,56,792xm71,768l67,768,66,781,56,792,62,788,68,779,71,768xm67,727l54,727,64,734,66,746,70,746,70,745,67,727xe" filled="true" fillcolor="#231f20" stroked="false">
              <v:path arrowok="t"/>
              <v:fill type="solid"/>
            </v:shape>
            <v:shape style="position:absolute;left:80;top:725;width:48;height:70" coordorigin="80,725" coordsize="48,70" path="m127,725l80,725,80,795,128,795,128,791,85,791,85,761,125,761,125,757,85,757,85,729,127,729,127,725xe" filled="true" fillcolor="#231f20" stroked="false">
              <v:path arrowok="t"/>
              <v:fill type="solid"/>
            </v:shape>
            <v:shape style="position:absolute;left:135;top:725;width:53;height:70" coordorigin="135,725" coordsize="53,70" path="m177,725l135,725,135,795,140,795,140,763,182,763,182,762,172,761,172,761,181,759,140,759,140,729,185,729,177,725xm182,763l177,763,180,769,181,775,182,782,180,790,183,795,188,795,185,791,186,783,185,769,182,763xm185,729l174,729,182,733,182,755,175,759,181,759,187,752,187,730,185,729xe" filled="true" fillcolor="#231f20" stroked="false">
              <v:path arrowok="t"/>
              <v:fill type="solid"/>
            </v:shape>
            <v:shape style="position:absolute;left:197;top:725;width:53;height:70" coordorigin="197,725" coordsize="53,70" path="m238,725l197,725,197,795,201,795,201,763,244,763,244,762,233,761,233,761,243,759,201,759,201,729,247,729,238,725xm244,763l238,763,242,769,243,775,243,782,242,790,244,795,249,795,246,791,248,783,246,769,244,763xm247,729l236,729,244,733,244,755,236,759,243,759,248,752,248,730,247,729xe" filled="true" fillcolor="#231f20" stroked="false">
              <v:path arrowok="t"/>
              <v:fill type="solid"/>
            </v:shape>
            <v:shape style="position:absolute;left:256;top:723;width:67;height:74" coordorigin="256,723" coordsize="67,74" path="m289,723l275,726,264,734,258,746,256,760,258,774,264,786,275,794,289,797,303,794,304,793,289,793,277,790,268,783,262,773,260,760,262,747,268,737,277,730,289,727,304,727,303,726,289,723xm304,727l289,727,301,730,310,737,316,747,318,760,316,773,310,783,301,790,289,793,304,793,313,786,320,774,322,760,320,746,313,734,304,727xe" filled="true" fillcolor="#231f20" stroked="false">
              <v:path arrowok="t"/>
              <v:fill type="solid"/>
            </v:shape>
            <v:shape style="position:absolute;left:370;top:725;width:56;height:70" coordorigin="370,725" coordsize="56,70" path="m393,725l370,725,370,795,393,795,408,792,409,791,375,791,375,729,410,729,409,728,393,725xm410,729l393,729,401,730,411,734,418,743,421,760,419,775,412,785,403,790,393,791,409,791,418,785,424,774,426,760,424,747,419,736,410,729xe" filled="true" fillcolor="#231f20" stroked="false">
              <v:path arrowok="t"/>
              <v:fill type="solid"/>
            </v:shape>
            <v:shape style="position:absolute;left:436;top:725;width:48;height:70" coordorigin="436,725" coordsize="48,70" path="m483,725l436,725,436,795,483,795,483,791,440,791,440,761,480,761,480,757,440,757,440,729,483,729,483,725xe" filled="true" fillcolor="#231f20" stroked="false">
              <v:path arrowok="t"/>
              <v:fill type="solid"/>
            </v:shape>
            <v:shape style="position:absolute;left:491;top:725;width:44;height:70" coordorigin="491,725" coordsize="44,70" path="m495,725l491,725,491,795,535,795,535,791,495,791,495,725xe" filled="true" fillcolor="#231f20" stroked="false">
              <v:path arrowok="t"/>
              <v:fill type="solid"/>
            </v:shape>
            <v:shape style="position:absolute;left:571;top:725;width:61;height:70" coordorigin="571,725" coordsize="61,70" path="m604,725l599,725,571,795,576,795,585,773,623,773,621,769,586,769,602,729,606,729,604,725xm623,773l618,773,627,795,631,795,623,773xm606,729l602,729,617,769,621,769,606,729xe" filled="true" fillcolor="#231f20" stroked="false">
              <v:path arrowok="t"/>
              <v:fill type="solid"/>
            </v:shape>
            <v:shape style="position:absolute;left:634;top:723;width:64;height:74" coordorigin="634,723" coordsize="64,74" path="m681,723l667,723,653,726,643,734,636,746,634,760,636,775,642,786,653,794,667,797,679,797,685,793,667,793,654,790,645,783,640,773,638,760,640,748,646,737,655,730,667,727,687,727,681,723xm697,761l668,761,668,764,694,764,694,782,694,782,694,795,697,795,697,761xm692,784l684,793,685,793,690,790,692,784xm694,780l693,780,692,784,694,782,694,780xm687,727l680,727,689,735,692,747,696,747,694,732,687,727xe" filled="true" fillcolor="#231f20" stroked="false">
              <v:path arrowok="t"/>
              <v:fill type="solid"/>
            </v:shape>
            <v:shape style="position:absolute;left:709;top:725;width:54;height:72" coordorigin="709,725" coordsize="54,72" path="m713,725l709,725,709,779,711,797,735,797,748,794,750,793,715,793,714,776,713,725xm754,790l750,793,753,793,754,790xm763,725l758,725,758,783,754,790,757,788,761,779,763,767,763,725xe" filled="true" fillcolor="#231f20" stroked="false">
              <v:path arrowok="t"/>
              <v:fill type="solid"/>
            </v:shape>
            <v:shape style="position:absolute;left:768;top:725;width:61;height:70" coordorigin="768,725" coordsize="61,70" path="m800,725l796,725,768,795,772,795,781,773,819,773,818,769,783,769,798,729,802,729,800,725xm819,773l815,773,823,795,828,795,819,773xm802,729l798,729,813,769,818,769,802,729xe" filled="true" fillcolor="#231f20" stroked="false">
              <v:path arrowok="t"/>
              <v:fill type="solid"/>
            </v:shape>
            <v:shape style="position:absolute;left:871;top:711;width:218;height:102" type="#_x0000_t75" stroked="false">
              <v:imagedata r:id="rId18" o:title=""/>
            </v:shape>
            <v:shape style="position:absolute;left:1150;top:723;width:1071;height:73" type="#_x0000_t75" stroked="false">
              <v:imagedata r:id="rId19" o:title=""/>
            </v:shape>
            <v:shape style="position:absolute;left:8;top:879;width:60;height:86" coordorigin="8,879" coordsize="60,86" path="m38,879l24,883,14,893,10,906,8,922,10,937,14,950,24,961,38,964,53,961,53,960,38,960,26,957,18,947,14,935,13,922,14,908,18,896,26,886,38,883,53,883,53,883,38,879xm53,883l38,883,51,886,59,896,63,908,64,922,63,935,59,947,51,957,38,960,53,960,62,950,67,937,68,922,67,906,62,893,53,883xe" filled="true" fillcolor="#231f20" stroked="false">
              <v:path arrowok="t"/>
              <v:fill type="solid"/>
            </v:shape>
            <v:shape style="position:absolute;left:75;top:880;width:59;height:83" coordorigin="75,880" coordsize="59,83" path="m120,942l116,942,116,963,120,963,120,942xm120,880l116,880,75,937,75,942,134,942,134,938,80,938,115,886,120,886,120,880xm120,886l116,886,116,938,120,938,120,886xe" filled="true" fillcolor="#231f20" stroked="false">
              <v:path arrowok="t"/>
              <v:fill type="solid"/>
            </v:shape>
            <v:shape style="position:absolute;left:143;top:879;width:57;height:86" coordorigin="143,879" coordsize="57,86" path="m147,936l143,936,144,948,150,957,159,963,171,964,187,964,193,960,156,960,147,951,147,936xm192,920l181,920,195,924,195,953,184,960,193,960,200,956,200,929,193,920,192,920xm167,917l167,921,181,920,192,920,182,919,182,919,189,918,180,918,167,917xm193,883l182,883,193,888,193,914,180,918,189,918,191,917,198,909,198,885,193,883xm185,879l155,879,145,890,145,906,149,906,150,893,157,883,193,883,185,879xe" filled="true" fillcolor="#231f20" stroked="false">
              <v:path arrowok="t"/>
              <v:fill type="solid"/>
            </v:shape>
            <v:shape style="position:absolute;left:218;top:880;width:27;height:83" coordorigin="218,880" coordsize="27,83" path="m245,889l240,889,240,963,245,963,245,889xm245,880l241,880,236,889,228,894,218,896,218,900,226,899,234,895,240,889,245,889,245,880xe" filled="true" fillcolor="#231f20" stroked="false">
              <v:path arrowok="t"/>
              <v:fill type="solid"/>
            </v:shape>
            <v:shape style="position:absolute;left:275;top:874;width:431;height:106" type="#_x0000_t75" stroked="false">
              <v:imagedata r:id="rId20" o:title=""/>
            </v:shape>
            <v:shape style="position:absolute;left:767;top:893;width:56;height:70" coordorigin="767,893" coordsize="56,70" path="m790,893l767,893,767,963,790,963,805,960,806,959,772,959,772,897,807,897,806,896,790,893xm807,897l790,897,799,898,808,902,815,911,818,928,816,943,809,953,800,958,791,959,806,959,815,953,821,942,823,928,821,915,816,904,807,897xe" filled="true" fillcolor="#231f20" stroked="false">
              <v:path arrowok="t"/>
              <v:fill type="solid"/>
            </v:shape>
            <v:shape style="position:absolute;left:833;top:893;width:44;height:70" coordorigin="833,893" coordsize="44,70" path="m877,893l833,893,833,963,837,963,837,928,873,928,873,925,837,925,837,897,877,897,877,893xe" filled="true" fillcolor="#231f20" stroked="false">
              <v:path arrowok="t"/>
              <v:fill type="solid"/>
            </v:shape>
            <v:shape style="position:absolute;left:1520;top:495;width:586;height:134" type="#_x0000_t75" stroked="false">
              <v:imagedata r:id="rId21" o:title=""/>
            </v:shape>
            <v:shape style="position:absolute;left:3471;top:498;width:228;height:165" type="#_x0000_t75" stroked="false">
              <v:imagedata r:id="rId22" o:title=""/>
            </v:shape>
            <v:shape style="position:absolute;left:3720;top:488;width:132;height:149" type="#_x0000_t75" stroked="false">
              <v:imagedata r:id="rId15" o:title=""/>
            </v:shape>
            <v:shape style="position:absolute;left:3909;top:498;width:224;height:129" type="#_x0000_t75" stroked="false">
              <v:imagedata r:id="rId23" o:title=""/>
            </v:shape>
            <v:shape style="position:absolute;left:4202;top:498;width:705;height:157" type="#_x0000_t75" stroked="false">
              <v:imagedata r:id="rId24" o:title=""/>
            </v:shape>
            <v:shape style="position:absolute;left:4975;top:498;width:773;height:165" type="#_x0000_t75" stroked="false">
              <v:imagedata r:id="rId25" o:title=""/>
            </v:shape>
            <v:shape style="position:absolute;left:3469;top:723;width:64;height:74" coordorigin="3469,723" coordsize="64,74" path="m3516,723l3502,723,3488,726,3477,734,3471,746,3469,760,3471,775,3477,786,3488,794,3502,797,3514,797,3520,793,3502,793,3489,790,3480,783,3475,773,3473,760,3475,748,3480,737,3489,730,3502,727,3521,727,3516,723xm3532,761l3503,761,3503,764,3528,764,3529,782,3528,782,3528,795,3532,795,3532,761xm3527,784l3519,793,3520,793,3525,790,3527,784xm3528,780l3528,780,3527,784,3528,782,3528,780xm3521,727l3515,727,3524,735,3527,747,3531,747,3528,732,3521,727xe" filled="true" fillcolor="#231f20" stroked="false">
              <v:path arrowok="t"/>
              <v:fill type="solid"/>
            </v:shape>
            <v:shape style="position:absolute;left:3544;top:725;width:54;height:72" coordorigin="3544,725" coordsize="54,72" path="m3548,725l3544,725,3544,779,3545,797,3570,797,3583,794,3585,793,3550,793,3548,776,3548,725xm3589,790l3585,793,3587,793,3589,790xm3597,725l3593,725,3593,783,3589,790,3592,788,3596,779,3597,767,3597,725xe" filled="true" fillcolor="#231f20" stroked="false">
              <v:path arrowok="t"/>
              <v:fill type="solid"/>
            </v:shape>
            <v:shape style="position:absolute;left:3603;top:725;width:61;height:70" coordorigin="3603,725" coordsize="61,70" path="m3635,725l3631,725,3603,795,3607,795,3616,773,3654,773,3653,769,3617,769,3633,729,3637,729,3635,725xm3654,773l3650,773,3658,795,3663,795,3654,773xm3637,729l3633,729,3648,769,3653,769,3637,729xe" filled="true" fillcolor="#231f20" stroked="false">
              <v:path arrowok="t"/>
              <v:fill type="solid"/>
            </v:shape>
            <v:shape style="position:absolute;left:3656;top:725;width:54;height:70" coordorigin="3656,725" coordsize="54,70" path="m3684,729l3680,729,3680,795,3684,795,3684,729xm3709,725l3656,725,3656,729,3709,729,3709,725xe" filled="true" fillcolor="#231f20" stroked="false">
              <v:path arrowok="t"/>
              <v:fill type="solid"/>
            </v:shape>
            <v:shape style="position:absolute;left:3714;top:725;width:48;height:70" coordorigin="3714,725" coordsize="48,70" path="m3761,725l3714,725,3714,795,3761,795,3761,791,3718,791,3718,761,3758,761,3758,757,3718,757,3718,729,3761,729,3761,725xe" filled="true" fillcolor="#231f20" stroked="false">
              <v:path arrowok="t"/>
              <v:fill type="solid"/>
            </v:shape>
            <v:shape style="position:absolute;left:3769;top:725;width:67;height:70" coordorigin="3769,725" coordsize="67,70" path="m3775,725l3769,725,3769,795,3773,795,3773,730,3777,730,3775,725xm3777,730l3773,730,3800,795,3805,795,3807,790,3802,790,3777,730xm3836,730l3831,730,3831,795,3836,795,3836,730xm3836,725l3830,725,3803,790,3807,790,3831,730,3836,730,3836,725xe" filled="true" fillcolor="#231f20" stroked="false">
              <v:path arrowok="t"/>
              <v:fill type="solid"/>
            </v:shape>
            <v:shape style="position:absolute;left:3841;top:725;width:61;height:70" coordorigin="3841,725" coordsize="61,70" path="m3874,725l3869,725,3841,795,3845,795,3854,773,3892,773,3891,769,3856,769,3871,729,3875,729,3874,725xm3892,773l3888,773,3897,795,3901,795,3892,773xm3875,729l3871,729,3886,769,3891,769,3875,729xe" filled="true" fillcolor="#231f20" stroked="false">
              <v:path arrowok="t"/>
              <v:fill type="solid"/>
            </v:shape>
            <v:shape style="position:absolute;left:3906;top:725;width:44;height:70" coordorigin="3906,725" coordsize="44,70" path="m3911,725l3906,725,3906,795,3950,795,3950,791,3911,791,3911,725xe" filled="true" fillcolor="#231f20" stroked="false">
              <v:path arrowok="t"/>
              <v:fill type="solid"/>
            </v:shape>
            <v:shape style="position:absolute;left:3948;top:725;width:61;height:70" coordorigin="3948,725" coordsize="61,70" path="m3981,725l3976,725,3948,795,3952,795,3961,773,3999,773,3998,769,3963,769,3978,729,3982,729,3981,725xm3999,773l3995,773,4004,795,4008,795,3999,773xm3982,729l3979,729,3994,769,3998,769,3982,729xe" filled="true" fillcolor="#231f20" stroked="false">
              <v:path arrowok="t"/>
              <v:fill type="solid"/>
            </v:shape>
            <v:shape style="position:absolute;left:4049;top:711;width:287;height:102" type="#_x0000_t75" stroked="false">
              <v:imagedata r:id="rId26" o:title=""/>
            </v:shape>
            <v:shape style="position:absolute;left:3471;top:711;width:1541;height:270" type="#_x0000_t75" stroked="false">
              <v:imagedata r:id="rId27" o:title=""/>
            </v:shape>
            <v:line style="position:absolute" from="5,437" to="5765,437" stroked="true" strokeweight=".5pt" strokecolor="#231f20"/>
          </v:group>
        </w:pict>
      </w:r>
      <w:r>
        <w:rPr/>
      </w:r>
    </w:p>
    <w:p>
      <w:pPr>
        <w:pStyle w:val="BodyText"/>
        <w:rPr>
          <w:sz w:val="7"/>
        </w:rPr>
      </w:pPr>
    </w:p>
    <w:p>
      <w:pPr>
        <w:pStyle w:val="BodyText"/>
        <w:tabs>
          <w:tab w:pos="2124" w:val="left" w:leader="none"/>
          <w:tab w:pos="4326" w:val="left" w:leader="none"/>
        </w:tabs>
        <w:ind w:left="104"/>
      </w:pPr>
      <w:r>
        <w:rPr>
          <w:position w:val="2"/>
        </w:rPr>
        <w:pict>
          <v:group style="width:63.4pt;height:24.65pt;mso-position-horizontal-relative:char;mso-position-vertical-relative:line" coordorigin="0,0" coordsize="1268,493">
            <v:shape style="position:absolute;left:7;top:0;width:389;height:149" type="#_x0000_t75" stroked="false">
              <v:imagedata r:id="rId28" o:title=""/>
            </v:shape>
            <v:shape style="position:absolute;left:458;top:10;width:197;height:131" type="#_x0000_t75" stroked="false">
              <v:imagedata r:id="rId29" o:title=""/>
            </v:shape>
            <v:shape style="position:absolute;left:721;top:7;width:547;height:169" type="#_x0000_t75" stroked="false">
              <v:imagedata r:id="rId30" o:title=""/>
            </v:shape>
            <v:shape style="position:absolute;left:0;top:223;width:1045;height:270" type="#_x0000_t75" stroked="false">
              <v:imagedata r:id="rId31" o:title=""/>
            </v:shape>
          </v:group>
        </w:pict>
      </w:r>
      <w:r>
        <w:rPr>
          <w:position w:val="2"/>
        </w:rPr>
      </w:r>
      <w:r>
        <w:rPr>
          <w:position w:val="2"/>
        </w:rPr>
        <w:tab/>
      </w:r>
      <w:r>
        <w:rPr>
          <w:position w:val="1"/>
        </w:rPr>
        <w:drawing>
          <wp:inline distT="0" distB="0" distL="0" distR="0">
            <wp:extent cx="872354" cy="320611"/>
            <wp:effectExtent l="0" t="0" r="0" b="0"/>
            <wp:docPr id="9" name="image28.png" descr=""/>
            <wp:cNvGraphicFramePr>
              <a:graphicFrameLocks noChangeAspect="1"/>
            </wp:cNvGraphicFramePr>
            <a:graphic>
              <a:graphicData uri="http://schemas.openxmlformats.org/drawingml/2006/picture">
                <pic:pic>
                  <pic:nvPicPr>
                    <pic:cNvPr id="10" name="image28.png"/>
                    <pic:cNvPicPr/>
                  </pic:nvPicPr>
                  <pic:blipFill>
                    <a:blip r:embed="rId32" cstate="print"/>
                    <a:stretch>
                      <a:fillRect/>
                    </a:stretch>
                  </pic:blipFill>
                  <pic:spPr>
                    <a:xfrm>
                      <a:off x="0" y="0"/>
                      <a:ext cx="872354" cy="320611"/>
                    </a:xfrm>
                    <a:prstGeom prst="rect">
                      <a:avLst/>
                    </a:prstGeom>
                  </pic:spPr>
                </pic:pic>
              </a:graphicData>
            </a:graphic>
          </wp:inline>
        </w:drawing>
      </w:r>
      <w:r>
        <w:rPr>
          <w:position w:val="1"/>
        </w:rPr>
      </w:r>
      <w:r>
        <w:rPr>
          <w:position w:val="1"/>
        </w:rPr>
        <w:tab/>
      </w:r>
      <w:r>
        <w:rPr/>
        <w:drawing>
          <wp:inline distT="0" distB="0" distL="0" distR="0">
            <wp:extent cx="838386" cy="314325"/>
            <wp:effectExtent l="0" t="0" r="0" b="0"/>
            <wp:docPr id="11" name="image29.png" descr=""/>
            <wp:cNvGraphicFramePr>
              <a:graphicFrameLocks noChangeAspect="1"/>
            </wp:cNvGraphicFramePr>
            <a:graphic>
              <a:graphicData uri="http://schemas.openxmlformats.org/drawingml/2006/picture">
                <pic:pic>
                  <pic:nvPicPr>
                    <pic:cNvPr id="12" name="image29.png"/>
                    <pic:cNvPicPr/>
                  </pic:nvPicPr>
                  <pic:blipFill>
                    <a:blip r:embed="rId33" cstate="print"/>
                    <a:stretch>
                      <a:fillRect/>
                    </a:stretch>
                  </pic:blipFill>
                  <pic:spPr>
                    <a:xfrm>
                      <a:off x="0" y="0"/>
                      <a:ext cx="838386" cy="314325"/>
                    </a:xfrm>
                    <a:prstGeom prst="rect">
                      <a:avLst/>
                    </a:prstGeom>
                  </pic:spPr>
                </pic:pic>
              </a:graphicData>
            </a:graphic>
          </wp:inline>
        </w:drawing>
      </w:r>
      <w:r>
        <w:rPr/>
      </w:r>
    </w:p>
    <w:p>
      <w:pPr>
        <w:pStyle w:val="BodyText"/>
        <w:spacing w:before="1"/>
        <w:rPr>
          <w:sz w:val="6"/>
        </w:rPr>
      </w:pPr>
    </w:p>
    <w:p>
      <w:pPr>
        <w:pStyle w:val="BodyText"/>
        <w:spacing w:line="20" w:lineRule="exact"/>
        <w:ind w:left="100"/>
        <w:rPr>
          <w:sz w:val="2"/>
        </w:rPr>
      </w:pPr>
      <w:r>
        <w:rPr>
          <w:sz w:val="2"/>
        </w:rPr>
        <w:pict>
          <v:group style="width:288.5pt;height:.5pt;mso-position-horizontal-relative:char;mso-position-vertical-relative:line" coordorigin="0,0" coordsize="5770,10">
            <v:line style="position:absolute" from="5,5" to="5764,5" stroked="true" strokeweight=".5pt" strokecolor="#231f20"/>
          </v:group>
        </w:pict>
      </w:r>
      <w:r>
        <w:rPr>
          <w:sz w:val="2"/>
        </w:rPr>
      </w:r>
    </w:p>
    <w:p>
      <w:pPr>
        <w:pStyle w:val="BodyText"/>
      </w:pPr>
    </w:p>
    <w:p>
      <w:pPr>
        <w:pStyle w:val="BodyText"/>
        <w:spacing w:before="9"/>
        <w:rPr>
          <w:sz w:val="13"/>
        </w:rPr>
      </w:pPr>
      <w:r>
        <w:rPr/>
        <w:pict>
          <v:shapetype id="_x0000_t202" o:spt="202" coordsize="21600,21600" path="m,l,21600r21600,l21600,xe">
            <v:stroke joinstyle="miter"/>
            <v:path gradientshapeok="t" o:connecttype="rect"/>
          </v:shapetype>
          <v:shape style="position:absolute;margin-left:44.25pt;margin-top:10.126612pt;width:287.75pt;height:161.1pt;mso-position-horizontal-relative:page;mso-position-vertical-relative:paragraph;z-index:1192;mso-wrap-distance-left:0;mso-wrap-distance-right:0" type="#_x0000_t202" filled="false" stroked="true" strokeweight=".5pt" strokecolor="#231f20">
            <v:textbox inset="0,0,0,0">
              <w:txbxContent>
                <w:p>
                  <w:pPr>
                    <w:spacing w:line="200" w:lineRule="exact" w:before="11"/>
                    <w:ind w:left="40" w:right="5148" w:firstLine="0"/>
                    <w:jc w:val="left"/>
                    <w:rPr>
                      <w:sz w:val="18"/>
                    </w:rPr>
                  </w:pPr>
                  <w:r>
                    <w:rPr>
                      <w:color w:val="231F20"/>
                      <w:w w:val="105"/>
                      <w:sz w:val="18"/>
                    </w:rPr>
                    <w:t>HC103 E77</w:t>
                  </w:r>
                </w:p>
                <w:p>
                  <w:pPr>
                    <w:tabs>
                      <w:tab w:pos="759" w:val="left" w:leader="none"/>
                    </w:tabs>
                    <w:spacing w:line="200" w:lineRule="exact" w:before="0"/>
                    <w:ind w:left="760" w:right="117" w:hanging="720"/>
                    <w:jc w:val="left"/>
                    <w:rPr>
                      <w:sz w:val="18"/>
                    </w:rPr>
                  </w:pPr>
                  <w:r>
                    <w:rPr>
                      <w:color w:val="231F20"/>
                      <w:w w:val="105"/>
                      <w:sz w:val="18"/>
                    </w:rPr>
                    <w:t>2012</w:t>
                    <w:tab/>
                  </w:r>
                  <w:r>
                    <w:rPr>
                      <w:i/>
                      <w:color w:val="231F20"/>
                      <w:w w:val="105"/>
                      <w:sz w:val="18"/>
                    </w:rPr>
                    <w:t>Estados</w:t>
                  </w:r>
                  <w:r>
                    <w:rPr>
                      <w:i/>
                      <w:color w:val="231F20"/>
                      <w:spacing w:val="-21"/>
                      <w:w w:val="105"/>
                      <w:sz w:val="18"/>
                    </w:rPr>
                    <w:t> </w:t>
                  </w:r>
                  <w:r>
                    <w:rPr>
                      <w:i/>
                      <w:color w:val="231F20"/>
                      <w:w w:val="105"/>
                      <w:sz w:val="18"/>
                    </w:rPr>
                    <w:t>Unidos:</w:t>
                  </w:r>
                  <w:r>
                    <w:rPr>
                      <w:i/>
                      <w:color w:val="231F20"/>
                      <w:spacing w:val="-21"/>
                      <w:w w:val="105"/>
                      <w:sz w:val="18"/>
                    </w:rPr>
                    <w:t> </w:t>
                  </w:r>
                  <w:r>
                    <w:rPr>
                      <w:i/>
                      <w:color w:val="231F20"/>
                      <w:w w:val="105"/>
                      <w:sz w:val="18"/>
                    </w:rPr>
                    <w:t>más</w:t>
                  </w:r>
                  <w:r>
                    <w:rPr>
                      <w:i/>
                      <w:color w:val="231F20"/>
                      <w:spacing w:val="-21"/>
                      <w:w w:val="105"/>
                      <w:sz w:val="18"/>
                    </w:rPr>
                    <w:t> </w:t>
                  </w:r>
                  <w:r>
                    <w:rPr>
                      <w:i/>
                      <w:color w:val="231F20"/>
                      <w:w w:val="105"/>
                      <w:sz w:val="18"/>
                    </w:rPr>
                    <w:t>allá</w:t>
                  </w:r>
                  <w:r>
                    <w:rPr>
                      <w:i/>
                      <w:color w:val="231F20"/>
                      <w:spacing w:val="-21"/>
                      <w:w w:val="105"/>
                      <w:sz w:val="18"/>
                    </w:rPr>
                    <w:t> </w:t>
                  </w:r>
                  <w:r>
                    <w:rPr>
                      <w:i/>
                      <w:color w:val="231F20"/>
                      <w:w w:val="105"/>
                      <w:sz w:val="18"/>
                    </w:rPr>
                    <w:t>de</w:t>
                  </w:r>
                  <w:r>
                    <w:rPr>
                      <w:i/>
                      <w:color w:val="231F20"/>
                      <w:spacing w:val="-21"/>
                      <w:w w:val="105"/>
                      <w:sz w:val="18"/>
                    </w:rPr>
                    <w:t> </w:t>
                  </w:r>
                  <w:r>
                    <w:rPr>
                      <w:i/>
                      <w:color w:val="231F20"/>
                      <w:w w:val="105"/>
                      <w:sz w:val="18"/>
                    </w:rPr>
                    <w:t>la</w:t>
                  </w:r>
                  <w:r>
                    <w:rPr>
                      <w:i/>
                      <w:color w:val="231F20"/>
                      <w:spacing w:val="-21"/>
                      <w:w w:val="105"/>
                      <w:sz w:val="18"/>
                    </w:rPr>
                    <w:t> </w:t>
                  </w:r>
                  <w:r>
                    <w:rPr>
                      <w:i/>
                      <w:color w:val="231F20"/>
                      <w:w w:val="105"/>
                      <w:sz w:val="18"/>
                    </w:rPr>
                    <w:t>crisis</w:t>
                  </w:r>
                  <w:r>
                    <w:rPr>
                      <w:i/>
                      <w:color w:val="231F20"/>
                      <w:spacing w:val="-21"/>
                      <w:w w:val="105"/>
                      <w:sz w:val="18"/>
                    </w:rPr>
                    <w:t> </w:t>
                  </w:r>
                  <w:r>
                    <w:rPr>
                      <w:color w:val="231F20"/>
                      <w:w w:val="180"/>
                      <w:sz w:val="18"/>
                    </w:rPr>
                    <w:t>/</w:t>
                  </w:r>
                  <w:r>
                    <w:rPr>
                      <w:color w:val="231F20"/>
                      <w:spacing w:val="-55"/>
                      <w:w w:val="180"/>
                      <w:sz w:val="18"/>
                    </w:rPr>
                    <w:t> </w:t>
                  </w:r>
                  <w:r>
                    <w:rPr>
                      <w:color w:val="231F20"/>
                      <w:w w:val="105"/>
                      <w:sz w:val="18"/>
                    </w:rPr>
                    <w:t>coordinación,</w:t>
                  </w:r>
                  <w:r>
                    <w:rPr>
                      <w:color w:val="231F20"/>
                      <w:spacing w:val="-21"/>
                      <w:w w:val="105"/>
                      <w:sz w:val="18"/>
                    </w:rPr>
                    <w:t> </w:t>
                  </w:r>
                  <w:r>
                    <w:rPr>
                      <w:color w:val="231F20"/>
                      <w:w w:val="105"/>
                      <w:sz w:val="18"/>
                    </w:rPr>
                    <w:t>Dídimo</w:t>
                  </w:r>
                  <w:r>
                    <w:rPr>
                      <w:color w:val="231F20"/>
                      <w:w w:val="108"/>
                      <w:sz w:val="18"/>
                    </w:rPr>
                    <w:t> </w:t>
                  </w:r>
                  <w:r>
                    <w:rPr>
                      <w:color w:val="231F20"/>
                      <w:w w:val="105"/>
                      <w:sz w:val="18"/>
                    </w:rPr>
                    <w:t>Castillo Fernández, Marco A. Gandásegui ; por Theotonio Dos Santos [y otros diecinueve]. — México : Siglo XXI Editores, Consejo Latinoamericano de Ciencias Sociales, Facultad de Ciencias Políticas y Sociales de la uaem,</w:t>
                  </w:r>
                  <w:r>
                    <w:rPr>
                      <w:color w:val="231F20"/>
                      <w:spacing w:val="-6"/>
                      <w:w w:val="105"/>
                      <w:sz w:val="18"/>
                    </w:rPr>
                    <w:t> </w:t>
                  </w:r>
                  <w:r>
                    <w:rPr>
                      <w:color w:val="231F20"/>
                      <w:w w:val="105"/>
                      <w:sz w:val="18"/>
                    </w:rPr>
                    <w:t>2012.</w:t>
                  </w:r>
                </w:p>
                <w:p>
                  <w:pPr>
                    <w:spacing w:line="199" w:lineRule="exact" w:before="0"/>
                    <w:ind w:left="1120" w:right="117" w:firstLine="0"/>
                    <w:jc w:val="left"/>
                    <w:rPr>
                      <w:sz w:val="18"/>
                    </w:rPr>
                  </w:pPr>
                  <w:r>
                    <w:rPr>
                      <w:color w:val="231F20"/>
                      <w:w w:val="105"/>
                      <w:sz w:val="18"/>
                    </w:rPr>
                    <w:t>537 p. — (Sociología y política)</w:t>
                  </w:r>
                </w:p>
                <w:p>
                  <w:pPr>
                    <w:pStyle w:val="BodyText"/>
                    <w:spacing w:before="9"/>
                    <w:rPr>
                      <w:sz w:val="16"/>
                    </w:rPr>
                  </w:pPr>
                </w:p>
                <w:p>
                  <w:pPr>
                    <w:spacing w:before="0"/>
                    <w:ind w:left="1120" w:right="117" w:firstLine="0"/>
                    <w:jc w:val="left"/>
                    <w:rPr>
                      <w:sz w:val="18"/>
                    </w:rPr>
                  </w:pPr>
                  <w:r>
                    <w:rPr>
                      <w:color w:val="231F20"/>
                      <w:sz w:val="18"/>
                    </w:rPr>
                    <w:t>isbn: 978-607-03-0437-8</w:t>
                  </w:r>
                </w:p>
                <w:p>
                  <w:pPr>
                    <w:pStyle w:val="BodyText"/>
                    <w:spacing w:before="5"/>
                    <w:rPr>
                      <w:sz w:val="17"/>
                    </w:rPr>
                  </w:pPr>
                </w:p>
                <w:p>
                  <w:pPr>
                    <w:spacing w:line="200" w:lineRule="exact" w:before="0"/>
                    <w:ind w:left="760" w:right="117" w:firstLine="360"/>
                    <w:jc w:val="left"/>
                    <w:rPr>
                      <w:sz w:val="20"/>
                    </w:rPr>
                  </w:pPr>
                  <w:r>
                    <w:rPr>
                      <w:color w:val="231F20"/>
                      <w:w w:val="105"/>
                      <w:sz w:val="18"/>
                    </w:rPr>
                    <w:t>Estados Unidos – Condiciones sociales. Estados Unidos – Condiciones económicas. Estados Unidos – Política y gobier- no. Castillo Fernández, Dídimo, editor. ii. Gandásegui, Marco A., editor.  </w:t>
                  </w:r>
                  <w:r>
                    <w:rPr>
                      <w:color w:val="231F20"/>
                      <w:w w:val="105"/>
                      <w:sz w:val="20"/>
                    </w:rPr>
                    <w:t>iii. Dos Santos, Theotonio, colaborador. iv.   t.</w:t>
                  </w:r>
                </w:p>
                <w:p>
                  <w:pPr>
                    <w:pStyle w:val="BodyText"/>
                    <w:spacing w:line="200" w:lineRule="exact"/>
                    <w:ind w:left="760" w:right="117"/>
                  </w:pPr>
                  <w:r>
                    <w:rPr>
                      <w:color w:val="231F20"/>
                      <w:w w:val="105"/>
                    </w:rPr>
                    <w:t>v. Ser.</w:t>
                  </w:r>
                </w:p>
              </w:txbxContent>
            </v:textbox>
            <w10:wrap type="topAndBottom"/>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spacing w:line="203" w:lineRule="exact" w:before="71"/>
        <w:ind w:left="105" w:right="0" w:firstLine="0"/>
        <w:jc w:val="left"/>
        <w:rPr>
          <w:sz w:val="18"/>
        </w:rPr>
      </w:pPr>
      <w:r>
        <w:rPr>
          <w:color w:val="231F20"/>
          <w:w w:val="110"/>
          <w:sz w:val="18"/>
        </w:rPr>
        <w:t>primera edición, 2012</w:t>
      </w:r>
    </w:p>
    <w:p>
      <w:pPr>
        <w:spacing w:line="200" w:lineRule="exact" w:before="0"/>
        <w:ind w:left="105" w:right="0" w:firstLine="0"/>
        <w:jc w:val="left"/>
        <w:rPr>
          <w:sz w:val="18"/>
        </w:rPr>
      </w:pPr>
      <w:r>
        <w:rPr>
          <w:color w:val="231F20"/>
          <w:w w:val="105"/>
          <w:sz w:val="18"/>
        </w:rPr>
        <w:t>© siglo xxi editores, s. a. de c. v.</w:t>
      </w:r>
    </w:p>
    <w:p>
      <w:pPr>
        <w:spacing w:line="200" w:lineRule="exact" w:before="0"/>
        <w:ind w:left="105" w:right="0" w:firstLine="0"/>
        <w:jc w:val="left"/>
        <w:rPr>
          <w:sz w:val="18"/>
        </w:rPr>
      </w:pPr>
      <w:r>
        <w:rPr>
          <w:color w:val="231F20"/>
          <w:w w:val="110"/>
          <w:sz w:val="18"/>
        </w:rPr>
        <w:t>© consejo latinoamericano de ciencias sociales</w:t>
      </w:r>
    </w:p>
    <w:p>
      <w:pPr>
        <w:spacing w:line="463" w:lineRule="auto" w:before="0"/>
        <w:ind w:left="105" w:right="1785" w:firstLine="0"/>
        <w:jc w:val="left"/>
        <w:rPr>
          <w:sz w:val="18"/>
        </w:rPr>
      </w:pPr>
      <w:r>
        <w:rPr>
          <w:color w:val="231F20"/>
          <w:w w:val="110"/>
          <w:sz w:val="18"/>
        </w:rPr>
        <w:t>©</w:t>
      </w:r>
      <w:r>
        <w:rPr>
          <w:color w:val="231F20"/>
          <w:spacing w:val="-16"/>
          <w:w w:val="110"/>
          <w:sz w:val="18"/>
        </w:rPr>
        <w:t> </w:t>
      </w:r>
      <w:r>
        <w:rPr>
          <w:color w:val="231F20"/>
          <w:w w:val="110"/>
          <w:sz w:val="18"/>
        </w:rPr>
        <w:t>facultad</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ciencias</w:t>
      </w:r>
      <w:r>
        <w:rPr>
          <w:color w:val="231F20"/>
          <w:spacing w:val="-16"/>
          <w:w w:val="110"/>
          <w:sz w:val="18"/>
        </w:rPr>
        <w:t> </w:t>
      </w:r>
      <w:r>
        <w:rPr>
          <w:color w:val="231F20"/>
          <w:w w:val="110"/>
          <w:sz w:val="18"/>
        </w:rPr>
        <w:t>políticas</w:t>
      </w:r>
      <w:r>
        <w:rPr>
          <w:color w:val="231F20"/>
          <w:spacing w:val="-16"/>
          <w:w w:val="110"/>
          <w:sz w:val="18"/>
        </w:rPr>
        <w:t> </w:t>
      </w:r>
      <w:r>
        <w:rPr>
          <w:color w:val="231F20"/>
          <w:w w:val="110"/>
          <w:sz w:val="18"/>
        </w:rPr>
        <w:t>y</w:t>
      </w:r>
      <w:r>
        <w:rPr>
          <w:color w:val="231F20"/>
          <w:spacing w:val="-16"/>
          <w:w w:val="110"/>
          <w:sz w:val="18"/>
        </w:rPr>
        <w:t> </w:t>
      </w:r>
      <w:r>
        <w:rPr>
          <w:color w:val="231F20"/>
          <w:w w:val="110"/>
          <w:sz w:val="18"/>
        </w:rPr>
        <w:t>sociales</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la</w:t>
      </w:r>
      <w:r>
        <w:rPr>
          <w:color w:val="231F20"/>
          <w:spacing w:val="-16"/>
          <w:w w:val="110"/>
          <w:sz w:val="18"/>
        </w:rPr>
        <w:t> </w:t>
      </w:r>
      <w:r>
        <w:rPr>
          <w:color w:val="231F20"/>
          <w:w w:val="110"/>
          <w:sz w:val="18"/>
        </w:rPr>
        <w:t>uaem isbn</w:t>
      </w:r>
      <w:r>
        <w:rPr>
          <w:color w:val="231F20"/>
          <w:spacing w:val="-20"/>
          <w:w w:val="110"/>
          <w:sz w:val="18"/>
        </w:rPr>
        <w:t> </w:t>
      </w:r>
      <w:r>
        <w:rPr>
          <w:color w:val="231F20"/>
          <w:w w:val="110"/>
          <w:sz w:val="18"/>
        </w:rPr>
        <w:t>978-607-03-0437-8</w:t>
      </w:r>
    </w:p>
    <w:p>
      <w:pPr>
        <w:spacing w:line="203" w:lineRule="exact" w:before="7"/>
        <w:ind w:left="105" w:right="0" w:firstLine="0"/>
        <w:jc w:val="left"/>
        <w:rPr>
          <w:sz w:val="18"/>
        </w:rPr>
      </w:pPr>
      <w:r>
        <w:rPr>
          <w:color w:val="231F20"/>
          <w:w w:val="110"/>
          <w:sz w:val="18"/>
        </w:rPr>
        <w:t>derechos reservados.</w:t>
      </w:r>
    </w:p>
    <w:p>
      <w:pPr>
        <w:spacing w:line="203" w:lineRule="exact" w:before="0"/>
        <w:ind w:left="105" w:right="0" w:firstLine="0"/>
        <w:jc w:val="left"/>
        <w:rPr>
          <w:sz w:val="18"/>
        </w:rPr>
      </w:pPr>
      <w:r>
        <w:rPr>
          <w:color w:val="231F20"/>
          <w:w w:val="110"/>
          <w:sz w:val="18"/>
        </w:rPr>
        <w:t>prohibida su reproducción total o parcial por cualquier medio.</w:t>
      </w:r>
    </w:p>
    <w:p>
      <w:pPr>
        <w:pStyle w:val="BodyText"/>
        <w:spacing w:before="9"/>
        <w:rPr>
          <w:sz w:val="16"/>
        </w:rPr>
      </w:pPr>
    </w:p>
    <w:p>
      <w:pPr>
        <w:spacing w:line="203" w:lineRule="exact" w:before="0"/>
        <w:ind w:left="105" w:right="0" w:firstLine="0"/>
        <w:jc w:val="left"/>
        <w:rPr>
          <w:sz w:val="18"/>
        </w:rPr>
      </w:pPr>
      <w:r>
        <w:rPr>
          <w:color w:val="231F20"/>
          <w:w w:val="105"/>
          <w:sz w:val="18"/>
        </w:rPr>
        <w:t>impreso en litográfica ingramex, s. a. de c.  v.</w:t>
      </w:r>
    </w:p>
    <w:p>
      <w:pPr>
        <w:spacing w:line="203" w:lineRule="exact" w:before="0"/>
        <w:ind w:left="105" w:right="0" w:firstLine="0"/>
        <w:jc w:val="left"/>
        <w:rPr>
          <w:sz w:val="18"/>
        </w:rPr>
      </w:pPr>
      <w:r>
        <w:rPr>
          <w:color w:val="231F20"/>
          <w:w w:val="110"/>
          <w:sz w:val="18"/>
        </w:rPr>
        <w:t>centeno 162-1, col. granjas esmeralda, 09810, iztapalapa, df, méxico.</w:t>
      </w:r>
    </w:p>
    <w:p>
      <w:pPr>
        <w:spacing w:after="0" w:line="203" w:lineRule="exact"/>
        <w:jc w:val="left"/>
        <w:rPr>
          <w:sz w:val="18"/>
        </w:rPr>
        <w:sectPr>
          <w:pgSz w:w="7640" w:h="11900"/>
          <w:pgMar w:top="1080" w:bottom="280" w:left="780" w:right="880"/>
        </w:sectPr>
      </w:pPr>
    </w:p>
    <w:p>
      <w:pPr>
        <w:pStyle w:val="BodyText"/>
        <w:spacing w:before="39"/>
        <w:ind w:left="100" w:right="25"/>
      </w:pPr>
      <w:r>
        <w:rPr>
          <w:color w:val="231F20"/>
          <w:w w:val="105"/>
        </w:rPr>
        <w:t>PRESENTACIÓN</w:t>
      </w:r>
    </w:p>
    <w:p>
      <w:pPr>
        <w:pStyle w:val="BodyText"/>
        <w:spacing w:before="7"/>
        <w:rPr>
          <w:sz w:val="17"/>
        </w:rPr>
      </w:pPr>
    </w:p>
    <w:p>
      <w:pPr>
        <w:pStyle w:val="BodyText"/>
        <w:spacing w:before="67"/>
        <w:ind w:left="100" w:right="25" w:firstLine="3885"/>
      </w:pPr>
      <w:r>
        <w:rPr>
          <w:color w:val="231F20"/>
          <w:w w:val="130"/>
        </w:rPr>
        <w:t>theotonio dos santos</w:t>
      </w:r>
    </w:p>
    <w:p>
      <w:pPr>
        <w:pStyle w:val="BodyText"/>
      </w:pPr>
    </w:p>
    <w:p>
      <w:pPr>
        <w:pStyle w:val="BodyText"/>
      </w:pPr>
    </w:p>
    <w:p>
      <w:pPr>
        <w:pStyle w:val="BodyText"/>
        <w:spacing w:before="1"/>
        <w:rPr>
          <w:sz w:val="26"/>
        </w:rPr>
      </w:pPr>
    </w:p>
    <w:p>
      <w:pPr>
        <w:pStyle w:val="BodyText"/>
        <w:spacing w:line="261" w:lineRule="auto"/>
        <w:ind w:left="100" w:right="117"/>
        <w:jc w:val="both"/>
      </w:pPr>
      <w:r>
        <w:rPr>
          <w:color w:val="231F20"/>
          <w:w w:val="110"/>
        </w:rPr>
        <w:t>Hasta</w:t>
      </w:r>
      <w:r>
        <w:rPr>
          <w:color w:val="231F20"/>
          <w:spacing w:val="-7"/>
          <w:w w:val="110"/>
        </w:rPr>
        <w:t> </w:t>
      </w:r>
      <w:r>
        <w:rPr>
          <w:color w:val="231F20"/>
          <w:w w:val="110"/>
        </w:rPr>
        <w:t>nuestros</w:t>
      </w:r>
      <w:r>
        <w:rPr>
          <w:color w:val="231F20"/>
          <w:spacing w:val="-7"/>
          <w:w w:val="110"/>
        </w:rPr>
        <w:t> </w:t>
      </w:r>
      <w:r>
        <w:rPr>
          <w:color w:val="231F20"/>
          <w:w w:val="110"/>
        </w:rPr>
        <w:t>amigos</w:t>
      </w:r>
      <w:r>
        <w:rPr>
          <w:color w:val="231F20"/>
          <w:spacing w:val="-7"/>
          <w:w w:val="110"/>
        </w:rPr>
        <w:t> </w:t>
      </w:r>
      <w:r>
        <w:rPr>
          <w:color w:val="231F20"/>
          <w:w w:val="110"/>
        </w:rPr>
        <w:t>más</w:t>
      </w:r>
      <w:r>
        <w:rPr>
          <w:color w:val="231F20"/>
          <w:spacing w:val="-7"/>
          <w:w w:val="110"/>
        </w:rPr>
        <w:t> </w:t>
      </w:r>
      <w:r>
        <w:rPr>
          <w:color w:val="231F20"/>
          <w:w w:val="110"/>
        </w:rPr>
        <w:t>solidarios</w:t>
      </w:r>
      <w:r>
        <w:rPr>
          <w:color w:val="231F20"/>
          <w:spacing w:val="-7"/>
          <w:w w:val="110"/>
        </w:rPr>
        <w:t> </w:t>
      </w:r>
      <w:r>
        <w:rPr>
          <w:color w:val="231F20"/>
          <w:w w:val="110"/>
        </w:rPr>
        <w:t>nos</w:t>
      </w:r>
      <w:r>
        <w:rPr>
          <w:color w:val="231F20"/>
          <w:spacing w:val="-7"/>
          <w:w w:val="110"/>
        </w:rPr>
        <w:t> </w:t>
      </w:r>
      <w:r>
        <w:rPr>
          <w:color w:val="231F20"/>
          <w:w w:val="110"/>
        </w:rPr>
        <w:t>preguntan:</w:t>
      </w:r>
      <w:r>
        <w:rPr>
          <w:color w:val="231F20"/>
          <w:spacing w:val="-7"/>
          <w:w w:val="110"/>
        </w:rPr>
        <w:t> </w:t>
      </w:r>
      <w:r>
        <w:rPr>
          <w:color w:val="231F20"/>
          <w:w w:val="110"/>
        </w:rPr>
        <w:t>¿por</w:t>
      </w:r>
      <w:r>
        <w:rPr>
          <w:color w:val="231F20"/>
          <w:spacing w:val="-7"/>
          <w:w w:val="110"/>
        </w:rPr>
        <w:t> </w:t>
      </w:r>
      <w:r>
        <w:rPr>
          <w:color w:val="231F20"/>
          <w:w w:val="110"/>
        </w:rPr>
        <w:t>qué</w:t>
      </w:r>
      <w:r>
        <w:rPr>
          <w:color w:val="231F20"/>
          <w:spacing w:val="-7"/>
          <w:w w:val="110"/>
        </w:rPr>
        <w:t> </w:t>
      </w:r>
      <w:r>
        <w:rPr>
          <w:color w:val="231F20"/>
          <w:w w:val="110"/>
        </w:rPr>
        <w:t>tantos libros sobre Estados Unidos? ¿Por qué no estudian América Latina? La respuesta está en parte en este libro: porque para comprender América</w:t>
      </w:r>
      <w:r>
        <w:rPr>
          <w:color w:val="231F20"/>
          <w:spacing w:val="-15"/>
          <w:w w:val="110"/>
        </w:rPr>
        <w:t> </w:t>
      </w:r>
      <w:r>
        <w:rPr>
          <w:color w:val="231F20"/>
          <w:w w:val="110"/>
        </w:rPr>
        <w:t>Latina</w:t>
      </w:r>
      <w:r>
        <w:rPr>
          <w:color w:val="231F20"/>
          <w:spacing w:val="-15"/>
          <w:w w:val="110"/>
        </w:rPr>
        <w:t> </w:t>
      </w:r>
      <w:r>
        <w:rPr>
          <w:color w:val="231F20"/>
          <w:w w:val="110"/>
        </w:rPr>
        <w:t>tenemos</w:t>
      </w:r>
      <w:r>
        <w:rPr>
          <w:color w:val="231F20"/>
          <w:spacing w:val="-15"/>
          <w:w w:val="110"/>
        </w:rPr>
        <w:t> </w:t>
      </w:r>
      <w:r>
        <w:rPr>
          <w:color w:val="231F20"/>
          <w:w w:val="110"/>
        </w:rPr>
        <w:t>que</w:t>
      </w:r>
      <w:r>
        <w:rPr>
          <w:color w:val="231F20"/>
          <w:spacing w:val="-15"/>
          <w:w w:val="110"/>
        </w:rPr>
        <w:t> </w:t>
      </w:r>
      <w:r>
        <w:rPr>
          <w:color w:val="231F20"/>
          <w:w w:val="110"/>
        </w:rPr>
        <w:t>estudiar</w:t>
      </w:r>
      <w:r>
        <w:rPr>
          <w:color w:val="231F20"/>
          <w:spacing w:val="-15"/>
          <w:w w:val="110"/>
        </w:rPr>
        <w:t> </w:t>
      </w:r>
      <w:r>
        <w:rPr>
          <w:color w:val="231F20"/>
          <w:w w:val="110"/>
        </w:rPr>
        <w:t>a</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desde</w:t>
      </w:r>
      <w:r>
        <w:rPr>
          <w:color w:val="231F20"/>
          <w:spacing w:val="-15"/>
          <w:w w:val="110"/>
        </w:rPr>
        <w:t> </w:t>
      </w:r>
      <w:r>
        <w:rPr>
          <w:color w:val="231F20"/>
          <w:w w:val="110"/>
        </w:rPr>
        <w:t>nuestro punto de</w:t>
      </w:r>
      <w:r>
        <w:rPr>
          <w:color w:val="231F20"/>
          <w:spacing w:val="8"/>
          <w:w w:val="110"/>
        </w:rPr>
        <w:t> </w:t>
      </w:r>
      <w:r>
        <w:rPr>
          <w:color w:val="231F20"/>
          <w:w w:val="110"/>
        </w:rPr>
        <w:t>vista.</w:t>
      </w:r>
    </w:p>
    <w:p>
      <w:pPr>
        <w:pStyle w:val="BodyText"/>
        <w:spacing w:line="261" w:lineRule="auto"/>
        <w:ind w:left="100" w:right="117" w:firstLine="240"/>
        <w:jc w:val="both"/>
      </w:pPr>
      <w:r>
        <w:rPr>
          <w:color w:val="231F20"/>
          <w:w w:val="110"/>
        </w:rPr>
        <w:t>Fue</w:t>
      </w:r>
      <w:r>
        <w:rPr>
          <w:color w:val="231F20"/>
          <w:spacing w:val="-8"/>
          <w:w w:val="110"/>
        </w:rPr>
        <w:t> </w:t>
      </w:r>
      <w:r>
        <w:rPr>
          <w:color w:val="231F20"/>
          <w:w w:val="110"/>
        </w:rPr>
        <w:t>difícil</w:t>
      </w:r>
      <w:r>
        <w:rPr>
          <w:color w:val="231F20"/>
          <w:spacing w:val="-8"/>
          <w:w w:val="110"/>
        </w:rPr>
        <w:t> </w:t>
      </w:r>
      <w:r>
        <w:rPr>
          <w:color w:val="231F20"/>
          <w:w w:val="110"/>
        </w:rPr>
        <w:t>establecer</w:t>
      </w:r>
      <w:r>
        <w:rPr>
          <w:color w:val="231F20"/>
          <w:spacing w:val="-8"/>
          <w:w w:val="110"/>
        </w:rPr>
        <w:t> </w:t>
      </w:r>
      <w:r>
        <w:rPr>
          <w:color w:val="231F20"/>
          <w:w w:val="110"/>
        </w:rPr>
        <w:t>una</w:t>
      </w:r>
      <w:r>
        <w:rPr>
          <w:color w:val="231F20"/>
          <w:spacing w:val="-8"/>
          <w:w w:val="110"/>
        </w:rPr>
        <w:t> </w:t>
      </w:r>
      <w:r>
        <w:rPr>
          <w:color w:val="231F20"/>
          <w:w w:val="110"/>
        </w:rPr>
        <w:t>tradición</w:t>
      </w:r>
      <w:r>
        <w:rPr>
          <w:color w:val="231F20"/>
          <w:spacing w:val="-8"/>
          <w:w w:val="110"/>
        </w:rPr>
        <w:t> </w:t>
      </w:r>
      <w:r>
        <w:rPr>
          <w:color w:val="231F20"/>
          <w:w w:val="110"/>
        </w:rPr>
        <w:t>de</w:t>
      </w:r>
      <w:r>
        <w:rPr>
          <w:color w:val="231F20"/>
          <w:spacing w:val="-8"/>
          <w:w w:val="110"/>
        </w:rPr>
        <w:t> </w:t>
      </w:r>
      <w:r>
        <w:rPr>
          <w:color w:val="231F20"/>
          <w:w w:val="110"/>
        </w:rPr>
        <w:t>investigación</w:t>
      </w:r>
      <w:r>
        <w:rPr>
          <w:color w:val="231F20"/>
          <w:spacing w:val="-8"/>
          <w:w w:val="110"/>
        </w:rPr>
        <w:t> </w:t>
      </w:r>
      <w:r>
        <w:rPr>
          <w:color w:val="231F20"/>
          <w:w w:val="110"/>
        </w:rPr>
        <w:t>sobre</w:t>
      </w:r>
      <w:r>
        <w:rPr>
          <w:color w:val="231F20"/>
          <w:spacing w:val="-8"/>
          <w:w w:val="110"/>
        </w:rPr>
        <w:t> </w:t>
      </w:r>
      <w:r>
        <w:rPr>
          <w:color w:val="231F20"/>
          <w:w w:val="110"/>
        </w:rPr>
        <w:t>Estados Unidos en la región. La idea es de que bastaban los estudios hechos en</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para</w:t>
      </w:r>
      <w:r>
        <w:rPr>
          <w:color w:val="231F20"/>
          <w:spacing w:val="-7"/>
          <w:w w:val="110"/>
        </w:rPr>
        <w:t> </w:t>
      </w:r>
      <w:r>
        <w:rPr>
          <w:color w:val="231F20"/>
          <w:w w:val="110"/>
        </w:rPr>
        <w:t>informarnos</w:t>
      </w:r>
      <w:r>
        <w:rPr>
          <w:color w:val="231F20"/>
          <w:spacing w:val="-7"/>
          <w:w w:val="110"/>
        </w:rPr>
        <w:t> </w:t>
      </w:r>
      <w:r>
        <w:rPr>
          <w:color w:val="231F20"/>
          <w:w w:val="110"/>
        </w:rPr>
        <w:t>sobre</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era</w:t>
      </w:r>
      <w:r>
        <w:rPr>
          <w:color w:val="231F20"/>
          <w:spacing w:val="-7"/>
          <w:w w:val="110"/>
        </w:rPr>
        <w:t> </w:t>
      </w:r>
      <w:r>
        <w:rPr>
          <w:color w:val="231F20"/>
          <w:w w:val="110"/>
        </w:rPr>
        <w:t>y</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pasaba en este país. Una anécdota: cuando Carter llegó a la presidencia de Estados Unidos sus asistentes buscaron entrar en contacto con los científicos</w:t>
      </w:r>
      <w:r>
        <w:rPr>
          <w:color w:val="231F20"/>
          <w:spacing w:val="-6"/>
          <w:w w:val="110"/>
        </w:rPr>
        <w:t> </w:t>
      </w:r>
      <w:r>
        <w:rPr>
          <w:color w:val="231F20"/>
          <w:w w:val="110"/>
        </w:rPr>
        <w:t>sociales</w:t>
      </w:r>
      <w:r>
        <w:rPr>
          <w:color w:val="231F20"/>
          <w:spacing w:val="-6"/>
          <w:w w:val="110"/>
        </w:rPr>
        <w:t> </w:t>
      </w:r>
      <w:r>
        <w:rPr>
          <w:color w:val="231F20"/>
          <w:w w:val="110"/>
        </w:rPr>
        <w:t>e</w:t>
      </w:r>
      <w:r>
        <w:rPr>
          <w:color w:val="231F20"/>
          <w:spacing w:val="-6"/>
          <w:w w:val="110"/>
        </w:rPr>
        <w:t> </w:t>
      </w:r>
      <w:r>
        <w:rPr>
          <w:color w:val="231F20"/>
          <w:w w:val="110"/>
        </w:rPr>
        <w:t>intelectuales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región</w:t>
      </w:r>
      <w:r>
        <w:rPr>
          <w:color w:val="231F20"/>
          <w:spacing w:val="-6"/>
          <w:w w:val="110"/>
        </w:rPr>
        <w:t> </w:t>
      </w:r>
      <w:r>
        <w:rPr>
          <w:color w:val="231F20"/>
          <w:w w:val="110"/>
        </w:rPr>
        <w:t>para</w:t>
      </w:r>
      <w:r>
        <w:rPr>
          <w:color w:val="231F20"/>
          <w:spacing w:val="-6"/>
          <w:w w:val="110"/>
        </w:rPr>
        <w:t> </w:t>
      </w:r>
      <w:r>
        <w:rPr>
          <w:color w:val="231F20"/>
          <w:w w:val="110"/>
        </w:rPr>
        <w:t>solicitarles</w:t>
      </w:r>
      <w:r>
        <w:rPr>
          <w:color w:val="231F20"/>
          <w:spacing w:val="-6"/>
          <w:w w:val="110"/>
        </w:rPr>
        <w:t> </w:t>
      </w:r>
      <w:r>
        <w:rPr>
          <w:color w:val="231F20"/>
          <w:w w:val="110"/>
        </w:rPr>
        <w:t>suge- rencias sobre su gobierno. Era algo absolutamente nuevo. Pero he- mos buscado colaborar sin ninguna preparación anterior. Podíamos sugerir</w:t>
      </w:r>
      <w:r>
        <w:rPr>
          <w:color w:val="231F20"/>
          <w:spacing w:val="-8"/>
          <w:w w:val="110"/>
        </w:rPr>
        <w:t> </w:t>
      </w:r>
      <w:r>
        <w:rPr>
          <w:color w:val="231F20"/>
          <w:w w:val="110"/>
        </w:rPr>
        <w:t>algunas</w:t>
      </w:r>
      <w:r>
        <w:rPr>
          <w:color w:val="231F20"/>
          <w:spacing w:val="-8"/>
          <w:w w:val="110"/>
        </w:rPr>
        <w:t> </w:t>
      </w:r>
      <w:r>
        <w:rPr>
          <w:color w:val="231F20"/>
          <w:w w:val="110"/>
        </w:rPr>
        <w:t>ideas</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solicitación</w:t>
      </w:r>
      <w:r>
        <w:rPr>
          <w:color w:val="231F20"/>
          <w:spacing w:val="-8"/>
          <w:w w:val="110"/>
        </w:rPr>
        <w:t> </w:t>
      </w:r>
      <w:r>
        <w:rPr>
          <w:color w:val="231F20"/>
          <w:w w:val="110"/>
        </w:rPr>
        <w:t>de</w:t>
      </w:r>
      <w:r>
        <w:rPr>
          <w:color w:val="231F20"/>
          <w:spacing w:val="-8"/>
          <w:w w:val="110"/>
        </w:rPr>
        <w:t> </w:t>
      </w:r>
      <w:r>
        <w:rPr>
          <w:color w:val="231F20"/>
          <w:w w:val="110"/>
        </w:rPr>
        <w:t>disculpa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Naciones Unidas, hecha por Brady Tisson, por el golpe de Estado en Chile, lo que causó su inmediata dimisión del cargo de embajador de Estados Unidos en las Naciones</w:t>
      </w:r>
      <w:r>
        <w:rPr>
          <w:color w:val="231F20"/>
          <w:spacing w:val="-1"/>
          <w:w w:val="110"/>
        </w:rPr>
        <w:t> </w:t>
      </w:r>
      <w:r>
        <w:rPr>
          <w:color w:val="231F20"/>
          <w:w w:val="110"/>
        </w:rPr>
        <w:t>Unidas.</w:t>
      </w:r>
    </w:p>
    <w:p>
      <w:pPr>
        <w:pStyle w:val="BodyText"/>
        <w:spacing w:line="261" w:lineRule="auto"/>
        <w:ind w:left="100" w:right="117" w:firstLine="240"/>
        <w:jc w:val="both"/>
      </w:pPr>
      <w:r>
        <w:rPr>
          <w:color w:val="231F20"/>
          <w:w w:val="110"/>
        </w:rPr>
        <w:t>Lo interesante pasó en el plano político: Carter consultó a Eduar- do </w:t>
      </w:r>
      <w:r>
        <w:rPr>
          <w:color w:val="231F20"/>
          <w:spacing w:val="-3"/>
          <w:w w:val="110"/>
        </w:rPr>
        <w:t>Frey, </w:t>
      </w:r>
      <w:r>
        <w:rPr>
          <w:color w:val="231F20"/>
          <w:w w:val="110"/>
        </w:rPr>
        <w:t>presidente de Chile con fuerte apoyo estadunidense, sobre quién debería nombrar como responsable del Departamento de Es- tado para América Latina. Frey se rehusó a apuntalar nombres pues, según su excusa, no quería intervenir en asuntos internos de</w:t>
      </w:r>
      <w:r>
        <w:rPr>
          <w:color w:val="231F20"/>
          <w:spacing w:val="-14"/>
          <w:w w:val="110"/>
        </w:rPr>
        <w:t> </w:t>
      </w:r>
      <w:r>
        <w:rPr>
          <w:color w:val="231F20"/>
          <w:w w:val="110"/>
        </w:rPr>
        <w:t>Estados Unidos. La verdad era otra, muy simple: no tenía ningún  </w:t>
      </w:r>
      <w:r>
        <w:rPr>
          <w:color w:val="231F20"/>
          <w:spacing w:val="6"/>
          <w:w w:val="110"/>
        </w:rPr>
        <w:t> </w:t>
      </w:r>
      <w:r>
        <w:rPr>
          <w:color w:val="231F20"/>
          <w:w w:val="110"/>
        </w:rPr>
        <w:t>nombre.</w:t>
      </w:r>
    </w:p>
    <w:p>
      <w:pPr>
        <w:pStyle w:val="BodyText"/>
        <w:spacing w:line="261" w:lineRule="auto"/>
        <w:ind w:left="100" w:right="117" w:firstLine="240"/>
        <w:jc w:val="both"/>
      </w:pPr>
      <w:r>
        <w:rPr>
          <w:color w:val="231F20"/>
          <w:w w:val="110"/>
        </w:rPr>
        <w:t>Otra anécdota: durante el gobierno de la Unidad </w:t>
      </w:r>
      <w:r>
        <w:rPr>
          <w:color w:val="231F20"/>
          <w:spacing w:val="-3"/>
          <w:w w:val="110"/>
        </w:rPr>
        <w:t>Popular, </w:t>
      </w:r>
      <w:r>
        <w:rPr>
          <w:color w:val="231F20"/>
          <w:w w:val="110"/>
        </w:rPr>
        <w:t>el Cen- tro de Estudios Socioeconómicos (ceso) de la Universidad de Chile, que yo dirigía, había creado un modesto centro de documentación sobre Estados Unidos en convenio con los compañeros de nacla, volcado sobre todo al estudio de las corporaciones multinacionales. Además ya había desarrollado gran parte de lo que sería posterior- mente</w:t>
      </w:r>
      <w:r>
        <w:rPr>
          <w:color w:val="231F20"/>
          <w:spacing w:val="-35"/>
          <w:w w:val="110"/>
        </w:rPr>
        <w:t> </w:t>
      </w:r>
      <w:r>
        <w:rPr>
          <w:color w:val="231F20"/>
          <w:w w:val="110"/>
        </w:rPr>
        <w:t>mi</w:t>
      </w:r>
      <w:r>
        <w:rPr>
          <w:color w:val="231F20"/>
          <w:spacing w:val="-35"/>
          <w:w w:val="110"/>
        </w:rPr>
        <w:t> </w:t>
      </w:r>
      <w:r>
        <w:rPr>
          <w:color w:val="231F20"/>
          <w:w w:val="110"/>
        </w:rPr>
        <w:t>libro</w:t>
      </w:r>
      <w:r>
        <w:rPr>
          <w:color w:val="231F20"/>
          <w:spacing w:val="-35"/>
          <w:w w:val="110"/>
        </w:rPr>
        <w:t> </w:t>
      </w:r>
      <w:r>
        <w:rPr>
          <w:color w:val="231F20"/>
          <w:w w:val="110"/>
        </w:rPr>
        <w:t>sobre</w:t>
      </w:r>
      <w:r>
        <w:rPr>
          <w:color w:val="231F20"/>
          <w:spacing w:val="-35"/>
          <w:w w:val="110"/>
        </w:rPr>
        <w:t> </w:t>
      </w:r>
      <w:r>
        <w:rPr>
          <w:i/>
          <w:color w:val="231F20"/>
          <w:w w:val="110"/>
        </w:rPr>
        <w:t>Imperialismo</w:t>
      </w:r>
      <w:r>
        <w:rPr>
          <w:i/>
          <w:color w:val="231F20"/>
          <w:spacing w:val="-35"/>
          <w:w w:val="110"/>
        </w:rPr>
        <w:t> </w:t>
      </w:r>
      <w:r>
        <w:rPr>
          <w:i/>
          <w:color w:val="231F20"/>
          <w:w w:val="110"/>
        </w:rPr>
        <w:t>y</w:t>
      </w:r>
      <w:r>
        <w:rPr>
          <w:i/>
          <w:color w:val="231F20"/>
          <w:spacing w:val="-35"/>
          <w:w w:val="110"/>
        </w:rPr>
        <w:t> </w:t>
      </w:r>
      <w:r>
        <w:rPr>
          <w:i/>
          <w:color w:val="231F20"/>
          <w:w w:val="110"/>
        </w:rPr>
        <w:t>dependencia</w:t>
      </w:r>
      <w:r>
        <w:rPr>
          <w:i/>
          <w:color w:val="231F20"/>
          <w:spacing w:val="-35"/>
          <w:w w:val="110"/>
        </w:rPr>
        <w:t> </w:t>
      </w:r>
      <w:r>
        <w:rPr>
          <w:color w:val="231F20"/>
          <w:w w:val="110"/>
        </w:rPr>
        <w:t>con</w:t>
      </w:r>
      <w:r>
        <w:rPr>
          <w:color w:val="231F20"/>
          <w:spacing w:val="-35"/>
          <w:w w:val="110"/>
        </w:rPr>
        <w:t> </w:t>
      </w:r>
      <w:r>
        <w:rPr>
          <w:color w:val="231F20"/>
          <w:w w:val="110"/>
        </w:rPr>
        <w:t>el</w:t>
      </w:r>
      <w:r>
        <w:rPr>
          <w:color w:val="231F20"/>
          <w:spacing w:val="-35"/>
          <w:w w:val="110"/>
        </w:rPr>
        <w:t> </w:t>
      </w:r>
      <w:r>
        <w:rPr>
          <w:color w:val="231F20"/>
          <w:w w:val="110"/>
        </w:rPr>
        <w:t>grupo</w:t>
      </w:r>
      <w:r>
        <w:rPr>
          <w:color w:val="231F20"/>
          <w:spacing w:val="-35"/>
          <w:w w:val="110"/>
        </w:rPr>
        <w:t> </w:t>
      </w:r>
      <w:r>
        <w:rPr>
          <w:color w:val="231F20"/>
          <w:w w:val="110"/>
        </w:rPr>
        <w:t>de</w:t>
      </w:r>
      <w:r>
        <w:rPr>
          <w:color w:val="231F20"/>
          <w:spacing w:val="-35"/>
          <w:w w:val="110"/>
        </w:rPr>
        <w:t> </w:t>
      </w:r>
      <w:r>
        <w:rPr>
          <w:color w:val="231F20"/>
          <w:w w:val="110"/>
        </w:rPr>
        <w:t>inves- tigación sobre dependencia, en el ceso. Con la victoria de la Unidad </w:t>
      </w:r>
      <w:r>
        <w:rPr>
          <w:color w:val="231F20"/>
          <w:spacing w:val="-3"/>
          <w:w w:val="110"/>
        </w:rPr>
        <w:t>Popular, </w:t>
      </w:r>
      <w:r>
        <w:rPr>
          <w:color w:val="231F20"/>
          <w:w w:val="110"/>
        </w:rPr>
        <w:t>buscamos establecer un pequeño grupo de estudio sobre el cobre en la economía mundial, con especial énfasis en la política</w:t>
      </w:r>
      <w:r>
        <w:rPr>
          <w:color w:val="231F20"/>
          <w:spacing w:val="34"/>
          <w:w w:val="110"/>
        </w:rPr>
        <w:t> </w:t>
      </w:r>
      <w:r>
        <w:rPr>
          <w:color w:val="231F20"/>
          <w:w w:val="110"/>
        </w:rPr>
        <w:t>de</w:t>
      </w:r>
    </w:p>
    <w:p>
      <w:pPr>
        <w:pStyle w:val="BodyText"/>
        <w:spacing w:before="10"/>
        <w:rPr>
          <w:sz w:val="15"/>
        </w:rPr>
      </w:pPr>
    </w:p>
    <w:p>
      <w:pPr>
        <w:pStyle w:val="BodyText"/>
        <w:spacing w:before="68"/>
        <w:ind w:left="113" w:right="132"/>
        <w:jc w:val="center"/>
      </w:pPr>
      <w:r>
        <w:rPr>
          <w:color w:val="231F20"/>
          <w:w w:val="125"/>
        </w:rPr>
        <w:t>[7]</w:t>
      </w:r>
    </w:p>
    <w:p>
      <w:pPr>
        <w:spacing w:after="0"/>
        <w:jc w:val="center"/>
        <w:sectPr>
          <w:pgSz w:w="7640" w:h="11900"/>
          <w:pgMar w:top="100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precios. Solicité una entrevista con el presidente del Banco Central para conseguir apoyo financiero. Me acuerdo que además del com- pañero del Partido Socialista presidente del banco, estaba presente en la reunión mi amigo Fernando Fanzylbert. La respuesta a nuestro proyecto fue simbólica como expresión de nuestra mentalidad en la época</w:t>
      </w:r>
      <w:r>
        <w:rPr>
          <w:color w:val="231F20"/>
          <w:spacing w:val="-24"/>
          <w:w w:val="110"/>
        </w:rPr>
        <w:t> </w:t>
      </w:r>
      <w:r>
        <w:rPr>
          <w:color w:val="231F20"/>
          <w:w w:val="110"/>
        </w:rPr>
        <w:t>y</w:t>
      </w:r>
      <w:r>
        <w:rPr>
          <w:color w:val="231F20"/>
          <w:spacing w:val="-24"/>
          <w:w w:val="110"/>
        </w:rPr>
        <w:t> </w:t>
      </w:r>
      <w:r>
        <w:rPr>
          <w:color w:val="231F20"/>
          <w:w w:val="110"/>
        </w:rPr>
        <w:t>quién</w:t>
      </w:r>
      <w:r>
        <w:rPr>
          <w:color w:val="231F20"/>
          <w:spacing w:val="-24"/>
          <w:w w:val="110"/>
        </w:rPr>
        <w:t> </w:t>
      </w:r>
      <w:r>
        <w:rPr>
          <w:color w:val="231F20"/>
          <w:w w:val="110"/>
        </w:rPr>
        <w:t>sabe</w:t>
      </w:r>
      <w:r>
        <w:rPr>
          <w:color w:val="231F20"/>
          <w:spacing w:val="-24"/>
          <w:w w:val="110"/>
        </w:rPr>
        <w:t> </w:t>
      </w:r>
      <w:r>
        <w:rPr>
          <w:color w:val="231F20"/>
          <w:w w:val="110"/>
        </w:rPr>
        <w:t>hasta</w:t>
      </w:r>
      <w:r>
        <w:rPr>
          <w:color w:val="231F20"/>
          <w:spacing w:val="-24"/>
          <w:w w:val="110"/>
        </w:rPr>
        <w:t> </w:t>
      </w:r>
      <w:r>
        <w:rPr>
          <w:color w:val="231F20"/>
          <w:w w:val="110"/>
        </w:rPr>
        <w:t>hoy:</w:t>
      </w:r>
      <w:r>
        <w:rPr>
          <w:color w:val="231F20"/>
          <w:spacing w:val="-24"/>
          <w:w w:val="110"/>
        </w:rPr>
        <w:t> </w:t>
      </w:r>
      <w:r>
        <w:rPr>
          <w:color w:val="231F20"/>
          <w:w w:val="110"/>
        </w:rPr>
        <w:t>“Pero</w:t>
      </w:r>
      <w:r>
        <w:rPr>
          <w:color w:val="231F20"/>
          <w:spacing w:val="-24"/>
          <w:w w:val="110"/>
        </w:rPr>
        <w:t> </w:t>
      </w:r>
      <w:r>
        <w:rPr>
          <w:color w:val="231F20"/>
          <w:w w:val="110"/>
        </w:rPr>
        <w:t>si</w:t>
      </w:r>
      <w:r>
        <w:rPr>
          <w:color w:val="231F20"/>
          <w:spacing w:val="-24"/>
          <w:w w:val="110"/>
        </w:rPr>
        <w:t> </w:t>
      </w:r>
      <w:r>
        <w:rPr>
          <w:color w:val="231F20"/>
          <w:w w:val="110"/>
        </w:rPr>
        <w:t>tenemos</w:t>
      </w:r>
      <w:r>
        <w:rPr>
          <w:color w:val="231F20"/>
          <w:spacing w:val="-24"/>
          <w:w w:val="110"/>
        </w:rPr>
        <w:t> </w:t>
      </w:r>
      <w:r>
        <w:rPr>
          <w:color w:val="231F20"/>
          <w:w w:val="110"/>
        </w:rPr>
        <w:t>acceso</w:t>
      </w:r>
      <w:r>
        <w:rPr>
          <w:color w:val="231F20"/>
          <w:spacing w:val="-24"/>
          <w:w w:val="110"/>
        </w:rPr>
        <w:t>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principales consultorías</w:t>
      </w:r>
      <w:r>
        <w:rPr>
          <w:color w:val="231F20"/>
          <w:spacing w:val="-6"/>
          <w:w w:val="110"/>
        </w:rPr>
        <w:t> </w:t>
      </w:r>
      <w:r>
        <w:rPr>
          <w:color w:val="231F20"/>
          <w:w w:val="110"/>
        </w:rPr>
        <w:t>del</w:t>
      </w:r>
      <w:r>
        <w:rPr>
          <w:color w:val="231F20"/>
          <w:spacing w:val="-6"/>
          <w:w w:val="110"/>
        </w:rPr>
        <w:t> </w:t>
      </w:r>
      <w:r>
        <w:rPr>
          <w:color w:val="231F20"/>
          <w:w w:val="110"/>
        </w:rPr>
        <w:t>mundo,</w:t>
      </w:r>
      <w:r>
        <w:rPr>
          <w:color w:val="231F20"/>
          <w:spacing w:val="-6"/>
          <w:w w:val="110"/>
        </w:rPr>
        <w:t> </w:t>
      </w:r>
      <w:r>
        <w:rPr>
          <w:color w:val="231F20"/>
          <w:w w:val="110"/>
        </w:rPr>
        <w:t>¿para</w:t>
      </w:r>
      <w:r>
        <w:rPr>
          <w:color w:val="231F20"/>
          <w:spacing w:val="-6"/>
          <w:w w:val="110"/>
        </w:rPr>
        <w:t> </w:t>
      </w:r>
      <w:r>
        <w:rPr>
          <w:color w:val="231F20"/>
          <w:w w:val="110"/>
        </w:rPr>
        <w:t>qué</w:t>
      </w:r>
      <w:r>
        <w:rPr>
          <w:color w:val="231F20"/>
          <w:spacing w:val="-6"/>
          <w:w w:val="110"/>
        </w:rPr>
        <w:t> </w:t>
      </w:r>
      <w:r>
        <w:rPr>
          <w:color w:val="231F20"/>
          <w:w w:val="110"/>
        </w:rPr>
        <w:t>necesitamos</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modesto</w:t>
      </w:r>
      <w:r>
        <w:rPr>
          <w:color w:val="231F20"/>
          <w:spacing w:val="-6"/>
          <w:w w:val="110"/>
        </w:rPr>
        <w:t> </w:t>
      </w:r>
      <w:r>
        <w:rPr>
          <w:color w:val="231F20"/>
          <w:w w:val="110"/>
        </w:rPr>
        <w:t>grupo de estudio en la Universidad de</w:t>
      </w:r>
      <w:r>
        <w:rPr>
          <w:color w:val="231F20"/>
          <w:spacing w:val="15"/>
          <w:w w:val="110"/>
        </w:rPr>
        <w:t> </w:t>
      </w:r>
      <w:r>
        <w:rPr>
          <w:color w:val="231F20"/>
          <w:w w:val="110"/>
        </w:rPr>
        <w:t>Chile?”</w:t>
      </w:r>
    </w:p>
    <w:p>
      <w:pPr>
        <w:pStyle w:val="BodyText"/>
        <w:spacing w:line="261" w:lineRule="auto"/>
        <w:ind w:left="100" w:right="117" w:firstLine="240"/>
        <w:jc w:val="both"/>
      </w:pPr>
      <w:r>
        <w:rPr>
          <w:color w:val="231F20"/>
          <w:w w:val="110"/>
        </w:rPr>
        <w:t>Años después, con el derrumbe de nuestro gobierno en Chile y varios equívocos sobre el precio del cobre, inducidos por estas fa- mosas consultorías, ya en el exilio en México, Fernando Fanzylbert y Luiz Maira me buscaron para que les pasara las informaciones</w:t>
      </w:r>
      <w:r>
        <w:rPr>
          <w:color w:val="231F20"/>
          <w:spacing w:val="-36"/>
          <w:w w:val="110"/>
        </w:rPr>
        <w:t> </w:t>
      </w:r>
      <w:r>
        <w:rPr>
          <w:color w:val="231F20"/>
          <w:w w:val="110"/>
        </w:rPr>
        <w:t>que acumulara sobre el estudio de Estados Unidos para que iniciaran en el Centro de Investigación y Docencia Económicos (cide), un </w:t>
      </w:r>
      <w:r>
        <w:rPr>
          <w:i/>
          <w:color w:val="231F20"/>
          <w:w w:val="110"/>
        </w:rPr>
        <w:t>think </w:t>
      </w:r>
      <w:r>
        <w:rPr>
          <w:i/>
          <w:color w:val="231F20"/>
          <w:w w:val="110"/>
        </w:rPr>
        <w:t>tank </w:t>
      </w:r>
      <w:r>
        <w:rPr>
          <w:color w:val="231F20"/>
          <w:w w:val="110"/>
        </w:rPr>
        <w:t>recién creado por el gobierno mexicano, un grupo permanente de</w:t>
      </w:r>
      <w:r>
        <w:rPr>
          <w:color w:val="231F20"/>
          <w:spacing w:val="-5"/>
          <w:w w:val="110"/>
        </w:rPr>
        <w:t> </w:t>
      </w:r>
      <w:r>
        <w:rPr>
          <w:color w:val="231F20"/>
          <w:w w:val="110"/>
        </w:rPr>
        <w:t>investigación</w:t>
      </w:r>
      <w:r>
        <w:rPr>
          <w:color w:val="231F20"/>
          <w:spacing w:val="-5"/>
          <w:w w:val="110"/>
        </w:rPr>
        <w:t> </w:t>
      </w:r>
      <w:r>
        <w:rPr>
          <w:color w:val="231F20"/>
          <w:w w:val="110"/>
        </w:rPr>
        <w:t>sobre</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En</w:t>
      </w:r>
      <w:r>
        <w:rPr>
          <w:color w:val="231F20"/>
          <w:spacing w:val="-5"/>
          <w:w w:val="110"/>
        </w:rPr>
        <w:t> </w:t>
      </w:r>
      <w:r>
        <w:rPr>
          <w:color w:val="231F20"/>
          <w:w w:val="110"/>
        </w:rPr>
        <w:t>realidad</w:t>
      </w:r>
      <w:r>
        <w:rPr>
          <w:color w:val="231F20"/>
          <w:spacing w:val="-5"/>
          <w:w w:val="110"/>
        </w:rPr>
        <w:t> </w:t>
      </w:r>
      <w:r>
        <w:rPr>
          <w:color w:val="231F20"/>
          <w:w w:val="110"/>
        </w:rPr>
        <w:t>México</w:t>
      </w:r>
      <w:r>
        <w:rPr>
          <w:color w:val="231F20"/>
          <w:spacing w:val="-5"/>
          <w:w w:val="110"/>
        </w:rPr>
        <w:t> </w:t>
      </w:r>
      <w:r>
        <w:rPr>
          <w:color w:val="231F20"/>
          <w:w w:val="110"/>
        </w:rPr>
        <w:t>se</w:t>
      </w:r>
      <w:r>
        <w:rPr>
          <w:color w:val="231F20"/>
          <w:spacing w:val="-5"/>
          <w:w w:val="110"/>
        </w:rPr>
        <w:t> </w:t>
      </w:r>
      <w:r>
        <w:rPr>
          <w:color w:val="231F20"/>
          <w:w w:val="110"/>
        </w:rPr>
        <w:t>trans- formó, desde los años setenta del siglo xx, en uno de lo principales centros de investigación sobre Estados Unidos y su</w:t>
      </w:r>
      <w:r>
        <w:rPr>
          <w:color w:val="231F20"/>
          <w:spacing w:val="-10"/>
          <w:w w:val="110"/>
        </w:rPr>
        <w:t> </w:t>
      </w:r>
      <w:r>
        <w:rPr>
          <w:color w:val="231F20"/>
          <w:w w:val="110"/>
        </w:rPr>
        <w:t>imperio.</w:t>
      </w:r>
    </w:p>
    <w:p>
      <w:pPr>
        <w:pStyle w:val="BodyText"/>
        <w:spacing w:line="261" w:lineRule="auto"/>
        <w:ind w:left="100" w:right="117" w:firstLine="240"/>
        <w:jc w:val="both"/>
      </w:pPr>
      <w:r>
        <w:rPr>
          <w:color w:val="231F20"/>
          <w:w w:val="110"/>
        </w:rPr>
        <w:t>Habría que </w:t>
      </w:r>
      <w:r>
        <w:rPr>
          <w:color w:val="231F20"/>
          <w:spacing w:val="-3"/>
          <w:w w:val="110"/>
        </w:rPr>
        <w:t>señalar, </w:t>
      </w:r>
      <w:r>
        <w:rPr>
          <w:color w:val="231F20"/>
          <w:w w:val="110"/>
        </w:rPr>
        <w:t>sin embargo, que en los inicios de los años sesenta, a pesar de todas sus dificultades o quizá por causa de ellas, el gobierno cubano creó el Departamento América que empezó a</w:t>
      </w:r>
      <w:r>
        <w:rPr>
          <w:color w:val="231F20"/>
          <w:spacing w:val="-29"/>
          <w:w w:val="110"/>
        </w:rPr>
        <w:t> </w:t>
      </w:r>
      <w:r>
        <w:rPr>
          <w:color w:val="231F20"/>
          <w:w w:val="110"/>
        </w:rPr>
        <w:t>es- tudiar</w:t>
      </w:r>
      <w:r>
        <w:rPr>
          <w:color w:val="231F20"/>
          <w:spacing w:val="-14"/>
          <w:w w:val="110"/>
        </w:rPr>
        <w:t> </w:t>
      </w:r>
      <w:r>
        <w:rPr>
          <w:color w:val="231F20"/>
          <w:w w:val="110"/>
        </w:rPr>
        <w:t>sistemáticamente</w:t>
      </w:r>
      <w:r>
        <w:rPr>
          <w:color w:val="231F20"/>
          <w:spacing w:val="-14"/>
          <w:w w:val="110"/>
        </w:rPr>
        <w:t> </w:t>
      </w:r>
      <w:r>
        <w:rPr>
          <w:color w:val="231F20"/>
          <w:w w:val="110"/>
        </w:rPr>
        <w:t>la</w:t>
      </w:r>
      <w:r>
        <w:rPr>
          <w:color w:val="231F20"/>
          <w:spacing w:val="-14"/>
          <w:w w:val="110"/>
        </w:rPr>
        <w:t> </w:t>
      </w:r>
      <w:r>
        <w:rPr>
          <w:color w:val="231F20"/>
          <w:w w:val="110"/>
        </w:rPr>
        <w:t>evolución</w:t>
      </w:r>
      <w:r>
        <w:rPr>
          <w:color w:val="231F20"/>
          <w:spacing w:val="-14"/>
          <w:w w:val="110"/>
        </w:rPr>
        <w:t> </w:t>
      </w:r>
      <w:r>
        <w:rPr>
          <w:color w:val="231F20"/>
          <w:w w:val="110"/>
        </w:rPr>
        <w:t>política</w:t>
      </w:r>
      <w:r>
        <w:rPr>
          <w:color w:val="231F20"/>
          <w:spacing w:val="-14"/>
          <w:w w:val="110"/>
        </w:rPr>
        <w:t> </w:t>
      </w:r>
      <w:r>
        <w:rPr>
          <w:color w:val="231F20"/>
          <w:w w:val="110"/>
        </w:rPr>
        <w:t>y</w:t>
      </w:r>
      <w:r>
        <w:rPr>
          <w:color w:val="231F20"/>
          <w:spacing w:val="-14"/>
          <w:w w:val="110"/>
        </w:rPr>
        <w:t> </w:t>
      </w:r>
      <w:r>
        <w:rPr>
          <w:color w:val="231F20"/>
          <w:w w:val="110"/>
        </w:rPr>
        <w:t>económica</w:t>
      </w:r>
      <w:r>
        <w:rPr>
          <w:color w:val="231F20"/>
          <w:spacing w:val="-14"/>
          <w:w w:val="110"/>
        </w:rPr>
        <w:t> </w:t>
      </w:r>
      <w:r>
        <w:rPr>
          <w:color w:val="231F20"/>
          <w:w w:val="110"/>
        </w:rPr>
        <w:t>de</w:t>
      </w:r>
      <w:r>
        <w:rPr>
          <w:color w:val="231F20"/>
          <w:spacing w:val="-14"/>
          <w:w w:val="110"/>
        </w:rPr>
        <w:t> </w:t>
      </w:r>
      <w:r>
        <w:rPr>
          <w:color w:val="231F20"/>
          <w:w w:val="110"/>
        </w:rPr>
        <w:t>Estados Unidos, al final del decenio estaba creado el Instituto de Investiga- ciones sobre la Economía Mundial ligado al gobierno y a un Centro de Estudios de Estados Unidos en la Universidad de la Habana. Que yo sepa, en este momento no teníamos ningún centro de estudios   de Estados Unidos, establecido sobre bases permanentes en toda la región, a pesar de la importancia de los acontecimientos en ese país para el destino</w:t>
      </w:r>
      <w:r>
        <w:rPr>
          <w:color w:val="231F20"/>
          <w:spacing w:val="41"/>
          <w:w w:val="110"/>
        </w:rPr>
        <w:t> </w:t>
      </w:r>
      <w:r>
        <w:rPr>
          <w:color w:val="231F20"/>
          <w:w w:val="110"/>
        </w:rPr>
        <w:t>regional.</w:t>
      </w:r>
    </w:p>
    <w:p>
      <w:pPr>
        <w:pStyle w:val="BodyText"/>
        <w:spacing w:line="261" w:lineRule="auto"/>
        <w:ind w:left="100" w:right="119" w:firstLine="240"/>
        <w:jc w:val="both"/>
      </w:pPr>
      <w:r>
        <w:rPr>
          <w:color w:val="231F20"/>
          <w:w w:val="110"/>
        </w:rPr>
        <w:t>Hay que añadir el pionerismo heroico de</w:t>
      </w:r>
      <w:r>
        <w:rPr>
          <w:color w:val="231F20"/>
          <w:spacing w:val="45"/>
          <w:w w:val="110"/>
        </w:rPr>
        <w:t> </w:t>
      </w:r>
      <w:r>
        <w:rPr>
          <w:color w:val="231F20"/>
          <w:w w:val="110"/>
        </w:rPr>
        <w:t>algunos</w:t>
      </w:r>
      <w:r>
        <w:rPr>
          <w:color w:val="231F20"/>
          <w:spacing w:val="14"/>
          <w:w w:val="110"/>
        </w:rPr>
        <w:t> </w:t>
      </w:r>
      <w:r>
        <w:rPr>
          <w:color w:val="231F20"/>
          <w:w w:val="110"/>
        </w:rPr>
        <w:t>investigadores</w:t>
      </w:r>
      <w:r>
        <w:rPr>
          <w:color w:val="231F20"/>
          <w:w w:val="106"/>
        </w:rPr>
        <w:t> </w:t>
      </w:r>
      <w:r>
        <w:rPr>
          <w:color w:val="231F20"/>
          <w:w w:val="110"/>
        </w:rPr>
        <w:t>que buscaban superar las limitaciones institucionales. Sin</w:t>
      </w:r>
      <w:r>
        <w:rPr>
          <w:color w:val="231F20"/>
          <w:spacing w:val="15"/>
          <w:w w:val="110"/>
        </w:rPr>
        <w:t> </w:t>
      </w:r>
      <w:r>
        <w:rPr>
          <w:color w:val="231F20"/>
          <w:w w:val="110"/>
        </w:rPr>
        <w:t>hablar</w:t>
      </w:r>
      <w:r>
        <w:rPr>
          <w:color w:val="231F20"/>
          <w:spacing w:val="10"/>
          <w:w w:val="110"/>
        </w:rPr>
        <w:t> </w:t>
      </w:r>
      <w:r>
        <w:rPr>
          <w:color w:val="231F20"/>
          <w:w w:val="110"/>
        </w:rPr>
        <w:t>de</w:t>
      </w:r>
      <w:r>
        <w:rPr>
          <w:color w:val="231F20"/>
          <w:w w:val="114"/>
        </w:rPr>
        <w:t> </w:t>
      </w:r>
      <w:r>
        <w:rPr>
          <w:color w:val="231F20"/>
          <w:w w:val="110"/>
        </w:rPr>
        <w:t>los</w:t>
      </w:r>
      <w:r>
        <w:rPr>
          <w:color w:val="231F20"/>
          <w:spacing w:val="-5"/>
          <w:w w:val="110"/>
        </w:rPr>
        <w:t> </w:t>
      </w:r>
      <w:r>
        <w:rPr>
          <w:color w:val="231F20"/>
          <w:w w:val="110"/>
        </w:rPr>
        <w:t>estudios</w:t>
      </w:r>
      <w:r>
        <w:rPr>
          <w:color w:val="231F20"/>
          <w:spacing w:val="-5"/>
          <w:w w:val="110"/>
        </w:rPr>
        <w:t> </w:t>
      </w:r>
      <w:r>
        <w:rPr>
          <w:color w:val="231F20"/>
          <w:w w:val="110"/>
        </w:rPr>
        <w:t>pioneros</w:t>
      </w:r>
      <w:r>
        <w:rPr>
          <w:color w:val="231F20"/>
          <w:spacing w:val="-5"/>
          <w:w w:val="110"/>
        </w:rPr>
        <w:t> </w:t>
      </w:r>
      <w:r>
        <w:rPr>
          <w:color w:val="231F20"/>
          <w:w w:val="110"/>
        </w:rPr>
        <w:t>de</w:t>
      </w:r>
      <w:r>
        <w:rPr>
          <w:color w:val="231F20"/>
          <w:spacing w:val="-5"/>
          <w:w w:val="110"/>
        </w:rPr>
        <w:t> </w:t>
      </w:r>
      <w:r>
        <w:rPr>
          <w:color w:val="231F20"/>
          <w:w w:val="110"/>
        </w:rPr>
        <w:t>Marti</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Hostos,</w:t>
      </w:r>
      <w:r>
        <w:rPr>
          <w:color w:val="231F20"/>
          <w:spacing w:val="-5"/>
          <w:w w:val="110"/>
        </w:rPr>
        <w:t> </w:t>
      </w:r>
      <w:r>
        <w:rPr>
          <w:color w:val="231F20"/>
          <w:w w:val="110"/>
        </w:rPr>
        <w:t>las</w:t>
      </w:r>
      <w:r>
        <w:rPr>
          <w:color w:val="231F20"/>
          <w:spacing w:val="-5"/>
          <w:w w:val="110"/>
        </w:rPr>
        <w:t> </w:t>
      </w:r>
      <w:r>
        <w:rPr>
          <w:color w:val="231F20"/>
          <w:w w:val="110"/>
        </w:rPr>
        <w:t>incursiones</w:t>
      </w:r>
      <w:r>
        <w:rPr>
          <w:color w:val="231F20"/>
          <w:spacing w:val="-5"/>
          <w:w w:val="110"/>
        </w:rPr>
        <w:t> </w:t>
      </w:r>
      <w:r>
        <w:rPr>
          <w:color w:val="231F20"/>
          <w:w w:val="110"/>
        </w:rPr>
        <w:t>analíticas</w:t>
      </w:r>
      <w:r>
        <w:rPr>
          <w:color w:val="231F20"/>
          <w:w w:val="106"/>
        </w:rPr>
        <w:t> </w:t>
      </w:r>
      <w:r>
        <w:rPr>
          <w:color w:val="231F20"/>
          <w:w w:val="110"/>
        </w:rPr>
        <w:t>de</w:t>
      </w:r>
      <w:r>
        <w:rPr>
          <w:color w:val="231F20"/>
          <w:spacing w:val="-16"/>
          <w:w w:val="110"/>
        </w:rPr>
        <w:t> </w:t>
      </w:r>
      <w:r>
        <w:rPr>
          <w:color w:val="231F20"/>
          <w:w w:val="110"/>
        </w:rPr>
        <w:t>Mariátegui</w:t>
      </w:r>
      <w:r>
        <w:rPr>
          <w:color w:val="231F20"/>
          <w:spacing w:val="-16"/>
          <w:w w:val="110"/>
        </w:rPr>
        <w:t> </w:t>
      </w:r>
      <w:r>
        <w:rPr>
          <w:color w:val="231F20"/>
          <w:w w:val="110"/>
        </w:rPr>
        <w:t>sobre</w:t>
      </w:r>
      <w:r>
        <w:rPr>
          <w:color w:val="231F20"/>
          <w:spacing w:val="-16"/>
          <w:w w:val="110"/>
        </w:rPr>
        <w:t> </w:t>
      </w:r>
      <w:r>
        <w:rPr>
          <w:color w:val="231F20"/>
          <w:w w:val="110"/>
        </w:rPr>
        <w:t>la</w:t>
      </w:r>
      <w:r>
        <w:rPr>
          <w:color w:val="231F20"/>
          <w:spacing w:val="-16"/>
          <w:w w:val="110"/>
        </w:rPr>
        <w:t> </w:t>
      </w:r>
      <w:r>
        <w:rPr>
          <w:color w:val="231F20"/>
          <w:w w:val="110"/>
        </w:rPr>
        <w:t>escena</w:t>
      </w:r>
      <w:r>
        <w:rPr>
          <w:color w:val="231F20"/>
          <w:spacing w:val="-16"/>
          <w:w w:val="110"/>
        </w:rPr>
        <w:t> </w:t>
      </w:r>
      <w:r>
        <w:rPr>
          <w:color w:val="231F20"/>
          <w:w w:val="110"/>
        </w:rPr>
        <w:t>internacional,</w:t>
      </w:r>
      <w:r>
        <w:rPr>
          <w:color w:val="231F20"/>
          <w:spacing w:val="-16"/>
          <w:w w:val="110"/>
        </w:rPr>
        <w:t> </w:t>
      </w:r>
      <w:r>
        <w:rPr>
          <w:color w:val="231F20"/>
          <w:w w:val="110"/>
        </w:rPr>
        <w:t>y</w:t>
      </w:r>
      <w:r>
        <w:rPr>
          <w:color w:val="231F20"/>
          <w:spacing w:val="-16"/>
          <w:w w:val="110"/>
        </w:rPr>
        <w:t> </w:t>
      </w:r>
      <w:r>
        <w:rPr>
          <w:color w:val="231F20"/>
          <w:w w:val="110"/>
        </w:rPr>
        <w:t>otros</w:t>
      </w:r>
      <w:r>
        <w:rPr>
          <w:color w:val="231F20"/>
          <w:spacing w:val="-16"/>
          <w:w w:val="110"/>
        </w:rPr>
        <w:t> </w:t>
      </w:r>
      <w:r>
        <w:rPr>
          <w:color w:val="231F20"/>
          <w:w w:val="110"/>
        </w:rPr>
        <w:t>más</w:t>
      </w:r>
      <w:r>
        <w:rPr>
          <w:color w:val="231F20"/>
          <w:spacing w:val="-16"/>
          <w:w w:val="110"/>
        </w:rPr>
        <w:t> </w:t>
      </w:r>
      <w:r>
        <w:rPr>
          <w:color w:val="231F20"/>
          <w:w w:val="110"/>
        </w:rPr>
        <w:t>que</w:t>
      </w:r>
      <w:r>
        <w:rPr>
          <w:color w:val="231F20"/>
          <w:spacing w:val="-16"/>
          <w:w w:val="110"/>
        </w:rPr>
        <w:t> </w:t>
      </w:r>
      <w:r>
        <w:rPr>
          <w:color w:val="231F20"/>
          <w:w w:val="110"/>
        </w:rPr>
        <w:t>incursio- naran</w:t>
      </w:r>
      <w:r>
        <w:rPr>
          <w:color w:val="231F20"/>
          <w:spacing w:val="-5"/>
          <w:w w:val="110"/>
        </w:rPr>
        <w:t> </w:t>
      </w:r>
      <w:r>
        <w:rPr>
          <w:color w:val="231F20"/>
          <w:w w:val="110"/>
        </w:rPr>
        <w:t>en</w:t>
      </w:r>
      <w:r>
        <w:rPr>
          <w:color w:val="231F20"/>
          <w:spacing w:val="-5"/>
          <w:w w:val="110"/>
        </w:rPr>
        <w:t> </w:t>
      </w:r>
      <w:r>
        <w:rPr>
          <w:color w:val="231F20"/>
          <w:w w:val="110"/>
        </w:rPr>
        <w:t>esos</w:t>
      </w:r>
      <w:r>
        <w:rPr>
          <w:color w:val="231F20"/>
          <w:spacing w:val="-5"/>
          <w:w w:val="110"/>
        </w:rPr>
        <w:t> </w:t>
      </w:r>
      <w:r>
        <w:rPr>
          <w:color w:val="231F20"/>
          <w:w w:val="110"/>
        </w:rPr>
        <w:t>estudios,</w:t>
      </w:r>
      <w:r>
        <w:rPr>
          <w:color w:val="231F20"/>
          <w:spacing w:val="-5"/>
          <w:w w:val="110"/>
        </w:rPr>
        <w:t> </w:t>
      </w:r>
      <w:r>
        <w:rPr>
          <w:color w:val="231F20"/>
          <w:w w:val="110"/>
        </w:rPr>
        <w:t>desde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cincuenta;</w:t>
      </w:r>
      <w:r>
        <w:rPr>
          <w:color w:val="231F20"/>
          <w:spacing w:val="-5"/>
          <w:w w:val="110"/>
        </w:rPr>
        <w:t> </w:t>
      </w:r>
      <w:r>
        <w:rPr>
          <w:color w:val="231F20"/>
          <w:w w:val="110"/>
        </w:rPr>
        <w:t>Silvio</w:t>
      </w:r>
      <w:r>
        <w:rPr>
          <w:color w:val="231F20"/>
          <w:spacing w:val="-5"/>
          <w:w w:val="110"/>
        </w:rPr>
        <w:t> </w:t>
      </w:r>
      <w:r>
        <w:rPr>
          <w:color w:val="231F20"/>
          <w:w w:val="110"/>
        </w:rPr>
        <w:t>Frondizi</w:t>
      </w:r>
      <w:r>
        <w:rPr>
          <w:color w:val="231F20"/>
          <w:spacing w:val="-5"/>
          <w:w w:val="110"/>
        </w:rPr>
        <w:t> </w:t>
      </w:r>
      <w:r>
        <w:rPr>
          <w:color w:val="231F20"/>
          <w:w w:val="110"/>
        </w:rPr>
        <w:t>nos presentaba un excelente panorama del capitalismo contemporáneo, apoyado en un riguroso estudio de la economía y la política estadu- nidense; Vivian </w:t>
      </w:r>
      <w:r>
        <w:rPr>
          <w:color w:val="231F20"/>
          <w:spacing w:val="-4"/>
          <w:w w:val="110"/>
        </w:rPr>
        <w:t>Trías </w:t>
      </w:r>
      <w:r>
        <w:rPr>
          <w:color w:val="231F20"/>
          <w:w w:val="110"/>
        </w:rPr>
        <w:t>se esforzaba por analizar sistemáticamente la geopolítica</w:t>
      </w:r>
      <w:r>
        <w:rPr>
          <w:color w:val="231F20"/>
          <w:spacing w:val="-14"/>
          <w:w w:val="110"/>
        </w:rPr>
        <w:t> </w:t>
      </w:r>
      <w:r>
        <w:rPr>
          <w:color w:val="231F20"/>
          <w:w w:val="110"/>
        </w:rPr>
        <w:t>estadunidense,</w:t>
      </w:r>
      <w:r>
        <w:rPr>
          <w:color w:val="231F20"/>
          <w:spacing w:val="-14"/>
          <w:w w:val="110"/>
        </w:rPr>
        <w:t> </w:t>
      </w:r>
      <w:r>
        <w:rPr>
          <w:color w:val="231F20"/>
          <w:w w:val="110"/>
        </w:rPr>
        <w:t>mientras</w:t>
      </w:r>
      <w:r>
        <w:rPr>
          <w:color w:val="231F20"/>
          <w:spacing w:val="-14"/>
          <w:w w:val="110"/>
        </w:rPr>
        <w:t> </w:t>
      </w:r>
      <w:r>
        <w:rPr>
          <w:color w:val="231F20"/>
          <w:w w:val="110"/>
        </w:rPr>
        <w:t>revistas</w:t>
      </w:r>
      <w:r>
        <w:rPr>
          <w:color w:val="231F20"/>
          <w:spacing w:val="-14"/>
          <w:w w:val="110"/>
        </w:rPr>
        <w:t> </w:t>
      </w:r>
      <w:r>
        <w:rPr>
          <w:color w:val="231F20"/>
          <w:w w:val="110"/>
        </w:rPr>
        <w:t>militantes</w:t>
      </w:r>
      <w:r>
        <w:rPr>
          <w:color w:val="231F20"/>
          <w:spacing w:val="-14"/>
          <w:w w:val="110"/>
        </w:rPr>
        <w:t> </w:t>
      </w:r>
      <w:r>
        <w:rPr>
          <w:color w:val="231F20"/>
          <w:w w:val="110"/>
        </w:rPr>
        <w:t>como</w:t>
      </w:r>
      <w:r>
        <w:rPr>
          <w:color w:val="231F20"/>
          <w:spacing w:val="-14"/>
          <w:w w:val="110"/>
        </w:rPr>
        <w:t> </w:t>
      </w:r>
      <w:r>
        <w:rPr>
          <w:i/>
          <w:color w:val="231F20"/>
          <w:w w:val="110"/>
        </w:rPr>
        <w:t>Marcha</w:t>
      </w:r>
      <w:r>
        <w:rPr>
          <w:i/>
          <w:color w:val="231F20"/>
          <w:w w:val="94"/>
        </w:rPr>
        <w:t> </w:t>
      </w:r>
      <w:r>
        <w:rPr>
          <w:color w:val="231F20"/>
          <w:w w:val="110"/>
        </w:rPr>
        <w:t>en</w:t>
      </w:r>
      <w:r>
        <w:rPr>
          <w:color w:val="231F20"/>
          <w:spacing w:val="29"/>
          <w:w w:val="110"/>
        </w:rPr>
        <w:t> </w:t>
      </w:r>
      <w:r>
        <w:rPr>
          <w:color w:val="231F20"/>
          <w:w w:val="110"/>
        </w:rPr>
        <w:t>Uruguay</w:t>
      </w:r>
      <w:r>
        <w:rPr>
          <w:color w:val="231F20"/>
          <w:spacing w:val="29"/>
          <w:w w:val="110"/>
        </w:rPr>
        <w:t> </w:t>
      </w:r>
      <w:r>
        <w:rPr>
          <w:color w:val="231F20"/>
          <w:w w:val="110"/>
        </w:rPr>
        <w:t>reflejaban</w:t>
      </w:r>
      <w:r>
        <w:rPr>
          <w:color w:val="231F20"/>
          <w:spacing w:val="29"/>
          <w:w w:val="110"/>
        </w:rPr>
        <w:t> </w:t>
      </w:r>
      <w:r>
        <w:rPr>
          <w:color w:val="231F20"/>
          <w:w w:val="110"/>
        </w:rPr>
        <w:t>este</w:t>
      </w:r>
      <w:r>
        <w:rPr>
          <w:color w:val="231F20"/>
          <w:spacing w:val="29"/>
          <w:w w:val="110"/>
        </w:rPr>
        <w:t> </w:t>
      </w:r>
      <w:r>
        <w:rPr>
          <w:color w:val="231F20"/>
          <w:w w:val="110"/>
        </w:rPr>
        <w:t>esfuerzo</w:t>
      </w:r>
      <w:r>
        <w:rPr>
          <w:color w:val="231F20"/>
          <w:spacing w:val="29"/>
          <w:w w:val="110"/>
        </w:rPr>
        <w:t> </w:t>
      </w:r>
      <w:r>
        <w:rPr>
          <w:color w:val="231F20"/>
          <w:w w:val="110"/>
        </w:rPr>
        <w:t>con</w:t>
      </w:r>
      <w:r>
        <w:rPr>
          <w:color w:val="231F20"/>
          <w:spacing w:val="29"/>
          <w:w w:val="110"/>
        </w:rPr>
        <w:t> </w:t>
      </w:r>
      <w:r>
        <w:rPr>
          <w:color w:val="231F20"/>
          <w:w w:val="110"/>
        </w:rPr>
        <w:t>gran</w:t>
      </w:r>
      <w:r>
        <w:rPr>
          <w:color w:val="231F20"/>
          <w:spacing w:val="29"/>
          <w:w w:val="110"/>
        </w:rPr>
        <w:t> </w:t>
      </w:r>
      <w:r>
        <w:rPr>
          <w:color w:val="231F20"/>
          <w:w w:val="110"/>
        </w:rPr>
        <w:t>competencia;</w:t>
      </w:r>
      <w:r>
        <w:rPr>
          <w:color w:val="231F20"/>
          <w:spacing w:val="29"/>
          <w:w w:val="110"/>
        </w:rPr>
        <w:t> </w:t>
      </w:r>
      <w:r>
        <w:rPr>
          <w:color w:val="231F20"/>
          <w:w w:val="110"/>
        </w:rPr>
        <w:t>Celso</w:t>
      </w:r>
    </w:p>
    <w:p>
      <w:pPr>
        <w:spacing w:after="0" w:line="261" w:lineRule="auto"/>
        <w:jc w:val="both"/>
        <w:sectPr>
          <w:headerReference w:type="even" r:id="rId34"/>
          <w:headerReference w:type="default" r:id="rId35"/>
          <w:pgSz w:w="7640" w:h="11900"/>
          <w:pgMar w:header="672" w:footer="0" w:top="860" w:bottom="280" w:left="780" w:right="640"/>
        </w:sectPr>
      </w:pPr>
    </w:p>
    <w:p>
      <w:pPr>
        <w:pStyle w:val="BodyText"/>
        <w:spacing w:before="8"/>
        <w:rPr>
          <w:sz w:val="8"/>
        </w:rPr>
      </w:pPr>
    </w:p>
    <w:p>
      <w:pPr>
        <w:pStyle w:val="BodyText"/>
        <w:spacing w:line="261" w:lineRule="auto" w:before="67"/>
        <w:ind w:left="100" w:right="114"/>
        <w:jc w:val="both"/>
      </w:pPr>
      <w:r>
        <w:rPr>
          <w:color w:val="231F20"/>
          <w:w w:val="110"/>
        </w:rPr>
        <w:t>Furtado, lanzado al exilio e invitado por universidades estaduniden- ses,</w:t>
      </w:r>
      <w:r>
        <w:rPr>
          <w:color w:val="231F20"/>
          <w:spacing w:val="-7"/>
          <w:w w:val="110"/>
        </w:rPr>
        <w:t> </w:t>
      </w:r>
      <w:r>
        <w:rPr>
          <w:color w:val="231F20"/>
          <w:w w:val="110"/>
        </w:rPr>
        <w:t>embarca,</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mitad</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años</w:t>
      </w:r>
      <w:r>
        <w:rPr>
          <w:color w:val="231F20"/>
          <w:spacing w:val="-7"/>
          <w:w w:val="110"/>
        </w:rPr>
        <w:t> </w:t>
      </w:r>
      <w:r>
        <w:rPr>
          <w:color w:val="231F20"/>
          <w:w w:val="110"/>
        </w:rPr>
        <w:t>sesenta,</w:t>
      </w:r>
      <w:r>
        <w:rPr>
          <w:color w:val="231F20"/>
          <w:spacing w:val="-7"/>
          <w:w w:val="110"/>
        </w:rPr>
        <w:t> </w:t>
      </w:r>
      <w:r>
        <w:rPr>
          <w:color w:val="231F20"/>
          <w:w w:val="110"/>
        </w:rPr>
        <w:t>en</w:t>
      </w:r>
      <w:r>
        <w:rPr>
          <w:color w:val="231F20"/>
          <w:spacing w:val="-7"/>
          <w:w w:val="110"/>
        </w:rPr>
        <w:t> </w:t>
      </w:r>
      <w:r>
        <w:rPr>
          <w:color w:val="231F20"/>
          <w:w w:val="110"/>
        </w:rPr>
        <w:t>una</w:t>
      </w:r>
      <w:r>
        <w:rPr>
          <w:color w:val="231F20"/>
          <w:spacing w:val="-7"/>
          <w:w w:val="110"/>
        </w:rPr>
        <w:t> </w:t>
      </w:r>
      <w:r>
        <w:rPr>
          <w:color w:val="231F20"/>
          <w:w w:val="110"/>
        </w:rPr>
        <w:t>reinterpretación histórica del desarrollo de Estados Unidos; Gregorio Selser hace un balance sistemático de las intervenciones militares de este país en América Latina; John Saxe Fernández abre un campo de análisis sistemático de la geopolítica del Pentágono, del Departamento de Estado y del parlamento. En la misma época, yo entrego una visión sistémica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estadunidense</w:t>
      </w:r>
      <w:r>
        <w:rPr>
          <w:color w:val="231F20"/>
          <w:spacing w:val="-10"/>
          <w:w w:val="110"/>
        </w:rPr>
        <w:t> </w:t>
      </w:r>
      <w:r>
        <w:rPr>
          <w:color w:val="231F20"/>
          <w:w w:val="110"/>
        </w:rPr>
        <w:t>que</w:t>
      </w:r>
      <w:r>
        <w:rPr>
          <w:color w:val="231F20"/>
          <w:spacing w:val="-10"/>
          <w:w w:val="110"/>
        </w:rPr>
        <w:t> </w:t>
      </w:r>
      <w:r>
        <w:rPr>
          <w:color w:val="231F20"/>
          <w:w w:val="110"/>
        </w:rPr>
        <w:t>continué</w:t>
      </w:r>
      <w:r>
        <w:rPr>
          <w:color w:val="231F20"/>
          <w:spacing w:val="-10"/>
          <w:w w:val="110"/>
        </w:rPr>
        <w:t> </w:t>
      </w:r>
      <w:r>
        <w:rPr>
          <w:color w:val="231F20"/>
          <w:w w:val="110"/>
        </w:rPr>
        <w:t>trabajando,</w:t>
      </w:r>
      <w:r>
        <w:rPr>
          <w:color w:val="231F20"/>
          <w:spacing w:val="-10"/>
          <w:w w:val="110"/>
        </w:rPr>
        <w:t> </w:t>
      </w:r>
      <w:r>
        <w:rPr>
          <w:color w:val="231F20"/>
          <w:w w:val="110"/>
        </w:rPr>
        <w:t>en</w:t>
      </w:r>
      <w:r>
        <w:rPr>
          <w:color w:val="231F20"/>
          <w:spacing w:val="-10"/>
          <w:w w:val="110"/>
        </w:rPr>
        <w:t> </w:t>
      </w:r>
      <w:r>
        <w:rPr>
          <w:color w:val="231F20"/>
          <w:w w:val="110"/>
        </w:rPr>
        <w:t>parte apoyado por el grupo de investigación del ceso. Creo que estos es- fuerzos aislados y relativamente heroicos sirvieron de sostén para el surgimiento de grupos de estudio más o menos permanentes sobre Estados Unidos en América</w:t>
      </w:r>
      <w:r>
        <w:rPr>
          <w:color w:val="231F20"/>
          <w:spacing w:val="-18"/>
          <w:w w:val="110"/>
        </w:rPr>
        <w:t> </w:t>
      </w:r>
      <w:r>
        <w:rPr>
          <w:color w:val="231F20"/>
          <w:w w:val="110"/>
        </w:rPr>
        <w:t>Latina.</w:t>
      </w:r>
    </w:p>
    <w:p>
      <w:pPr>
        <w:pStyle w:val="BodyText"/>
        <w:spacing w:line="261" w:lineRule="auto"/>
        <w:ind w:left="100" w:right="117" w:firstLine="240"/>
        <w:jc w:val="right"/>
      </w:pPr>
      <w:r>
        <w:rPr>
          <w:color w:val="231F20"/>
          <w:w w:val="110"/>
        </w:rPr>
        <w:t>Entre</w:t>
      </w:r>
      <w:r>
        <w:rPr>
          <w:color w:val="231F20"/>
          <w:spacing w:val="21"/>
          <w:w w:val="110"/>
        </w:rPr>
        <w:t> </w:t>
      </w:r>
      <w:r>
        <w:rPr>
          <w:color w:val="231F20"/>
          <w:w w:val="110"/>
        </w:rPr>
        <w:t>ellos</w:t>
      </w:r>
      <w:r>
        <w:rPr>
          <w:color w:val="231F20"/>
          <w:spacing w:val="21"/>
          <w:w w:val="110"/>
        </w:rPr>
        <w:t> </w:t>
      </w:r>
      <w:r>
        <w:rPr>
          <w:color w:val="231F20"/>
          <w:w w:val="110"/>
        </w:rPr>
        <w:t>hay</w:t>
      </w:r>
      <w:r>
        <w:rPr>
          <w:color w:val="231F20"/>
          <w:spacing w:val="21"/>
          <w:w w:val="110"/>
        </w:rPr>
        <w:t> </w:t>
      </w:r>
      <w:r>
        <w:rPr>
          <w:color w:val="231F20"/>
          <w:w w:val="110"/>
        </w:rPr>
        <w:t>que</w:t>
      </w:r>
      <w:r>
        <w:rPr>
          <w:color w:val="231F20"/>
          <w:spacing w:val="21"/>
          <w:w w:val="110"/>
        </w:rPr>
        <w:t> </w:t>
      </w:r>
      <w:r>
        <w:rPr>
          <w:color w:val="231F20"/>
          <w:w w:val="110"/>
        </w:rPr>
        <w:t>destacar</w:t>
      </w:r>
      <w:r>
        <w:rPr>
          <w:color w:val="231F20"/>
          <w:spacing w:val="21"/>
          <w:w w:val="110"/>
        </w:rPr>
        <w:t> </w:t>
      </w:r>
      <w:r>
        <w:rPr>
          <w:color w:val="231F20"/>
          <w:w w:val="110"/>
        </w:rPr>
        <w:t>el</w:t>
      </w:r>
      <w:r>
        <w:rPr>
          <w:color w:val="231F20"/>
          <w:spacing w:val="21"/>
          <w:w w:val="110"/>
        </w:rPr>
        <w:t> </w:t>
      </w:r>
      <w:r>
        <w:rPr>
          <w:color w:val="231F20"/>
          <w:w w:val="110"/>
        </w:rPr>
        <w:t>Grupo</w:t>
      </w:r>
      <w:r>
        <w:rPr>
          <w:color w:val="231F20"/>
          <w:spacing w:val="21"/>
          <w:w w:val="110"/>
        </w:rPr>
        <w:t> </w:t>
      </w:r>
      <w:r>
        <w:rPr>
          <w:color w:val="231F20"/>
          <w:w w:val="110"/>
        </w:rPr>
        <w:t>de</w:t>
      </w:r>
      <w:r>
        <w:rPr>
          <w:color w:val="231F20"/>
          <w:spacing w:val="21"/>
          <w:w w:val="110"/>
        </w:rPr>
        <w:t> </w:t>
      </w:r>
      <w:r>
        <w:rPr>
          <w:color w:val="231F20"/>
          <w:spacing w:val="-3"/>
          <w:w w:val="110"/>
        </w:rPr>
        <w:t>Trabajo</w:t>
      </w:r>
      <w:r>
        <w:rPr>
          <w:color w:val="231F20"/>
          <w:spacing w:val="21"/>
          <w:w w:val="110"/>
        </w:rPr>
        <w:t> </w:t>
      </w:r>
      <w:r>
        <w:rPr>
          <w:color w:val="231F20"/>
          <w:w w:val="110"/>
        </w:rPr>
        <w:t>de</w:t>
      </w:r>
      <w:r>
        <w:rPr>
          <w:color w:val="231F20"/>
          <w:spacing w:val="21"/>
          <w:w w:val="110"/>
        </w:rPr>
        <w:t> </w:t>
      </w:r>
      <w:r>
        <w:rPr>
          <w:color w:val="231F20"/>
          <w:w w:val="110"/>
        </w:rPr>
        <w:t>clacso</w:t>
      </w:r>
      <w:r>
        <w:rPr>
          <w:color w:val="231F20"/>
          <w:spacing w:val="21"/>
          <w:w w:val="110"/>
        </w:rPr>
        <w:t> </w:t>
      </w:r>
      <w:r>
        <w:rPr>
          <w:color w:val="231F20"/>
          <w:w w:val="110"/>
        </w:rPr>
        <w:t>que</w:t>
      </w:r>
      <w:r>
        <w:rPr>
          <w:color w:val="231F20"/>
          <w:w w:val="113"/>
        </w:rPr>
        <w:t> </w:t>
      </w:r>
      <w:r>
        <w:rPr>
          <w:color w:val="231F20"/>
          <w:w w:val="110"/>
        </w:rPr>
        <w:t>se formó hace 4 años, incluyendo investigadores de toda</w:t>
      </w:r>
      <w:r>
        <w:rPr>
          <w:color w:val="231F20"/>
          <w:spacing w:val="22"/>
          <w:w w:val="110"/>
        </w:rPr>
        <w:t> </w:t>
      </w:r>
      <w:r>
        <w:rPr>
          <w:color w:val="231F20"/>
          <w:w w:val="110"/>
        </w:rPr>
        <w:t>la</w:t>
      </w:r>
      <w:r>
        <w:rPr>
          <w:color w:val="231F20"/>
          <w:spacing w:val="14"/>
          <w:w w:val="110"/>
        </w:rPr>
        <w:t> </w:t>
      </w:r>
      <w:r>
        <w:rPr>
          <w:color w:val="231F20"/>
          <w:w w:val="110"/>
        </w:rPr>
        <w:t>región.</w:t>
      </w:r>
      <w:r>
        <w:rPr>
          <w:color w:val="231F20"/>
          <w:w w:val="111"/>
        </w:rPr>
        <w:t> </w:t>
      </w:r>
      <w:r>
        <w:rPr>
          <w:color w:val="231F20"/>
          <w:w w:val="110"/>
        </w:rPr>
        <w:t>Este</w:t>
      </w:r>
      <w:r>
        <w:rPr>
          <w:color w:val="231F20"/>
          <w:spacing w:val="-11"/>
          <w:w w:val="110"/>
        </w:rPr>
        <w:t> </w:t>
      </w:r>
      <w:r>
        <w:rPr>
          <w:color w:val="231F20"/>
          <w:w w:val="110"/>
        </w:rPr>
        <w:t>grupo</w:t>
      </w:r>
      <w:r>
        <w:rPr>
          <w:color w:val="231F20"/>
          <w:spacing w:val="-11"/>
          <w:w w:val="110"/>
        </w:rPr>
        <w:t> </w:t>
      </w:r>
      <w:r>
        <w:rPr>
          <w:color w:val="231F20"/>
          <w:w w:val="110"/>
        </w:rPr>
        <w:t>de</w:t>
      </w:r>
      <w:r>
        <w:rPr>
          <w:color w:val="231F20"/>
          <w:spacing w:val="-11"/>
          <w:w w:val="110"/>
        </w:rPr>
        <w:t> </w:t>
      </w:r>
      <w:r>
        <w:rPr>
          <w:color w:val="231F20"/>
          <w:w w:val="110"/>
        </w:rPr>
        <w:t>trabajo</w:t>
      </w:r>
      <w:r>
        <w:rPr>
          <w:color w:val="231F20"/>
          <w:spacing w:val="-11"/>
          <w:w w:val="110"/>
        </w:rPr>
        <w:t> </w:t>
      </w:r>
      <w:r>
        <w:rPr>
          <w:color w:val="231F20"/>
          <w:w w:val="110"/>
        </w:rPr>
        <w:t>logra</w:t>
      </w:r>
      <w:r>
        <w:rPr>
          <w:color w:val="231F20"/>
          <w:spacing w:val="-11"/>
          <w:w w:val="110"/>
        </w:rPr>
        <w:t> </w:t>
      </w:r>
      <w:r>
        <w:rPr>
          <w:color w:val="231F20"/>
          <w:w w:val="110"/>
        </w:rPr>
        <w:t>producir</w:t>
      </w:r>
      <w:r>
        <w:rPr>
          <w:color w:val="231F20"/>
          <w:spacing w:val="-11"/>
          <w:w w:val="110"/>
        </w:rPr>
        <w:t> </w:t>
      </w:r>
      <w:r>
        <w:rPr>
          <w:color w:val="231F20"/>
          <w:w w:val="110"/>
        </w:rPr>
        <w:t>en</w:t>
      </w:r>
      <w:r>
        <w:rPr>
          <w:color w:val="231F20"/>
          <w:spacing w:val="-11"/>
          <w:w w:val="110"/>
        </w:rPr>
        <w:t> </w:t>
      </w:r>
      <w:r>
        <w:rPr>
          <w:color w:val="231F20"/>
          <w:w w:val="110"/>
        </w:rPr>
        <w:t>estos</w:t>
      </w:r>
      <w:r>
        <w:rPr>
          <w:color w:val="231F20"/>
          <w:spacing w:val="-11"/>
          <w:w w:val="110"/>
        </w:rPr>
        <w:t> </w:t>
      </w:r>
      <w:r>
        <w:rPr>
          <w:color w:val="231F20"/>
          <w:w w:val="110"/>
        </w:rPr>
        <w:t>años,</w:t>
      </w:r>
      <w:r>
        <w:rPr>
          <w:color w:val="231F20"/>
          <w:spacing w:val="-11"/>
          <w:w w:val="110"/>
        </w:rPr>
        <w:t> </w:t>
      </w:r>
      <w:r>
        <w:rPr>
          <w:color w:val="231F20"/>
          <w:w w:val="110"/>
        </w:rPr>
        <w:t>tres</w:t>
      </w:r>
      <w:r>
        <w:rPr>
          <w:color w:val="231F20"/>
          <w:spacing w:val="-11"/>
          <w:w w:val="110"/>
        </w:rPr>
        <w:t> </w:t>
      </w:r>
      <w:r>
        <w:rPr>
          <w:color w:val="231F20"/>
          <w:w w:val="110"/>
        </w:rPr>
        <w:t>libros</w:t>
      </w:r>
      <w:r>
        <w:rPr>
          <w:color w:val="231F20"/>
          <w:spacing w:val="-11"/>
          <w:w w:val="110"/>
        </w:rPr>
        <w:t> </w:t>
      </w:r>
      <w:r>
        <w:rPr>
          <w:color w:val="231F20"/>
          <w:w w:val="110"/>
        </w:rPr>
        <w:t>sobre</w:t>
      </w:r>
      <w:r>
        <w:rPr>
          <w:color w:val="231F20"/>
          <w:spacing w:val="-11"/>
          <w:w w:val="110"/>
        </w:rPr>
        <w:t> </w:t>
      </w:r>
      <w:r>
        <w:rPr>
          <w:color w:val="231F20"/>
          <w:w w:val="110"/>
        </w:rPr>
        <w:t>la</w:t>
      </w:r>
      <w:r>
        <w:rPr>
          <w:color w:val="231F20"/>
          <w:w w:val="105"/>
        </w:rPr>
        <w:t> </w:t>
      </w:r>
      <w:r>
        <w:rPr>
          <w:color w:val="231F20"/>
          <w:w w:val="110"/>
        </w:rPr>
        <w:t>evolución reciente de Estados Unidos que quedarán como</w:t>
      </w:r>
      <w:r>
        <w:rPr>
          <w:color w:val="231F20"/>
          <w:spacing w:val="27"/>
          <w:w w:val="110"/>
        </w:rPr>
        <w:t> </w:t>
      </w:r>
      <w:r>
        <w:rPr>
          <w:color w:val="231F20"/>
          <w:w w:val="110"/>
        </w:rPr>
        <w:t>un</w:t>
      </w:r>
      <w:r>
        <w:rPr>
          <w:color w:val="231F20"/>
          <w:spacing w:val="3"/>
          <w:w w:val="110"/>
        </w:rPr>
        <w:t> </w:t>
      </w:r>
      <w:r>
        <w:rPr>
          <w:color w:val="231F20"/>
          <w:w w:val="110"/>
        </w:rPr>
        <w:t>marco</w:t>
      </w:r>
      <w:r>
        <w:rPr>
          <w:color w:val="231F20"/>
          <w:w w:val="110"/>
        </w:rPr>
        <w:t> </w:t>
      </w:r>
      <w:r>
        <w:rPr>
          <w:color w:val="231F20"/>
          <w:w w:val="110"/>
        </w:rPr>
        <w:t>de este campo de estudio, sea por su contribución</w:t>
      </w:r>
      <w:r>
        <w:rPr>
          <w:color w:val="231F20"/>
          <w:spacing w:val="50"/>
          <w:w w:val="110"/>
        </w:rPr>
        <w:t> </w:t>
      </w:r>
      <w:r>
        <w:rPr>
          <w:color w:val="231F20"/>
          <w:w w:val="110"/>
        </w:rPr>
        <w:t>metodológica</w:t>
      </w:r>
      <w:r>
        <w:rPr>
          <w:color w:val="231F20"/>
          <w:spacing w:val="5"/>
          <w:w w:val="110"/>
        </w:rPr>
        <w:t> </w:t>
      </w:r>
      <w:r>
        <w:rPr>
          <w:color w:val="231F20"/>
          <w:w w:val="110"/>
        </w:rPr>
        <w:t>sea</w:t>
      </w:r>
      <w:r>
        <w:rPr>
          <w:color w:val="231F20"/>
          <w:w w:val="104"/>
        </w:rPr>
        <w:t> </w:t>
      </w:r>
      <w:r>
        <w:rPr>
          <w:color w:val="231F20"/>
          <w:w w:val="110"/>
        </w:rPr>
        <w:t>por su capacidad de articular a estudiosos de toda</w:t>
      </w:r>
      <w:r>
        <w:rPr>
          <w:color w:val="231F20"/>
          <w:spacing w:val="32"/>
          <w:w w:val="110"/>
        </w:rPr>
        <w:t> </w:t>
      </w:r>
      <w:r>
        <w:rPr>
          <w:color w:val="231F20"/>
          <w:w w:val="110"/>
        </w:rPr>
        <w:t>América</w:t>
      </w:r>
      <w:r>
        <w:rPr>
          <w:color w:val="231F20"/>
          <w:spacing w:val="15"/>
          <w:w w:val="110"/>
        </w:rPr>
        <w:t> </w:t>
      </w:r>
      <w:r>
        <w:rPr>
          <w:color w:val="231F20"/>
          <w:w w:val="110"/>
        </w:rPr>
        <w:t>Latina.</w:t>
      </w:r>
      <w:r>
        <w:rPr>
          <w:color w:val="231F20"/>
          <w:w w:val="108"/>
        </w:rPr>
        <w:t> </w:t>
      </w:r>
      <w:r>
        <w:rPr>
          <w:color w:val="231F20"/>
          <w:w w:val="110"/>
        </w:rPr>
        <w:t>El</w:t>
      </w:r>
      <w:r>
        <w:rPr>
          <w:color w:val="231F20"/>
          <w:spacing w:val="24"/>
          <w:w w:val="110"/>
        </w:rPr>
        <w:t> </w:t>
      </w:r>
      <w:r>
        <w:rPr>
          <w:color w:val="231F20"/>
          <w:w w:val="110"/>
        </w:rPr>
        <w:t>presente</w:t>
      </w:r>
      <w:r>
        <w:rPr>
          <w:color w:val="231F20"/>
          <w:spacing w:val="24"/>
          <w:w w:val="110"/>
        </w:rPr>
        <w:t> </w:t>
      </w:r>
      <w:r>
        <w:rPr>
          <w:color w:val="231F20"/>
          <w:w w:val="110"/>
        </w:rPr>
        <w:t>libro</w:t>
      </w:r>
      <w:r>
        <w:rPr>
          <w:color w:val="231F20"/>
          <w:spacing w:val="24"/>
          <w:w w:val="110"/>
        </w:rPr>
        <w:t> </w:t>
      </w:r>
      <w:r>
        <w:rPr>
          <w:color w:val="231F20"/>
          <w:w w:val="110"/>
        </w:rPr>
        <w:t>es</w:t>
      </w:r>
      <w:r>
        <w:rPr>
          <w:color w:val="231F20"/>
          <w:spacing w:val="24"/>
          <w:w w:val="110"/>
        </w:rPr>
        <w:t> </w:t>
      </w:r>
      <w:r>
        <w:rPr>
          <w:color w:val="231F20"/>
          <w:w w:val="110"/>
        </w:rPr>
        <w:t>ya</w:t>
      </w:r>
      <w:r>
        <w:rPr>
          <w:color w:val="231F20"/>
          <w:spacing w:val="24"/>
          <w:w w:val="110"/>
        </w:rPr>
        <w:t> </w:t>
      </w:r>
      <w:r>
        <w:rPr>
          <w:color w:val="231F20"/>
          <w:w w:val="110"/>
        </w:rPr>
        <w:t>el</w:t>
      </w:r>
      <w:r>
        <w:rPr>
          <w:color w:val="231F20"/>
          <w:spacing w:val="24"/>
          <w:w w:val="110"/>
        </w:rPr>
        <w:t> </w:t>
      </w:r>
      <w:r>
        <w:rPr>
          <w:color w:val="231F20"/>
          <w:w w:val="110"/>
        </w:rPr>
        <w:t>tercero</w:t>
      </w:r>
      <w:r>
        <w:rPr>
          <w:color w:val="231F20"/>
          <w:spacing w:val="24"/>
          <w:w w:val="110"/>
        </w:rPr>
        <w:t> </w:t>
      </w:r>
      <w:r>
        <w:rPr>
          <w:color w:val="231F20"/>
          <w:w w:val="110"/>
        </w:rPr>
        <w:t>y</w:t>
      </w:r>
      <w:r>
        <w:rPr>
          <w:color w:val="231F20"/>
          <w:spacing w:val="24"/>
          <w:w w:val="110"/>
        </w:rPr>
        <w:t> </w:t>
      </w:r>
      <w:r>
        <w:rPr>
          <w:color w:val="231F20"/>
          <w:w w:val="110"/>
        </w:rPr>
        <w:t>da</w:t>
      </w:r>
      <w:r>
        <w:rPr>
          <w:color w:val="231F20"/>
          <w:spacing w:val="24"/>
          <w:w w:val="110"/>
        </w:rPr>
        <w:t> </w:t>
      </w:r>
      <w:r>
        <w:rPr>
          <w:color w:val="231F20"/>
          <w:w w:val="110"/>
        </w:rPr>
        <w:t>continuidad</w:t>
      </w:r>
      <w:r>
        <w:rPr>
          <w:color w:val="231F20"/>
          <w:spacing w:val="24"/>
          <w:w w:val="110"/>
        </w:rPr>
        <w:t> </w:t>
      </w:r>
      <w:r>
        <w:rPr>
          <w:color w:val="231F20"/>
          <w:w w:val="110"/>
        </w:rPr>
        <w:t>a</w:t>
      </w:r>
      <w:r>
        <w:rPr>
          <w:color w:val="231F20"/>
          <w:spacing w:val="24"/>
          <w:w w:val="110"/>
        </w:rPr>
        <w:t> </w:t>
      </w:r>
      <w:r>
        <w:rPr>
          <w:color w:val="231F20"/>
          <w:w w:val="110"/>
        </w:rPr>
        <w:t>este</w:t>
      </w:r>
      <w:r>
        <w:rPr>
          <w:color w:val="231F20"/>
          <w:spacing w:val="24"/>
          <w:w w:val="110"/>
        </w:rPr>
        <w:t> </w:t>
      </w:r>
      <w:r>
        <w:rPr>
          <w:color w:val="231F20"/>
          <w:w w:val="110"/>
        </w:rPr>
        <w:t>esfuerzo</w:t>
      </w:r>
      <w:r>
        <w:rPr>
          <w:color w:val="231F20"/>
          <w:w w:val="107"/>
        </w:rPr>
        <w:t> </w:t>
      </w:r>
      <w:r>
        <w:rPr>
          <w:color w:val="231F20"/>
          <w:w w:val="110"/>
        </w:rPr>
        <w:t>intelectual. Esperamos que ayude también a crear</w:t>
      </w:r>
      <w:r>
        <w:rPr>
          <w:color w:val="231F20"/>
          <w:spacing w:val="22"/>
          <w:w w:val="110"/>
        </w:rPr>
        <w:t> </w:t>
      </w:r>
      <w:r>
        <w:rPr>
          <w:color w:val="231F20"/>
          <w:w w:val="110"/>
        </w:rPr>
        <w:t>una</w:t>
      </w:r>
      <w:r>
        <w:rPr>
          <w:color w:val="231F20"/>
          <w:spacing w:val="34"/>
          <w:w w:val="110"/>
        </w:rPr>
        <w:t> </w:t>
      </w:r>
      <w:r>
        <w:rPr>
          <w:color w:val="231F20"/>
          <w:w w:val="110"/>
        </w:rPr>
        <w:t>conciencia</w:t>
      </w:r>
      <w:r>
        <w:rPr>
          <w:color w:val="231F20"/>
          <w:w w:val="109"/>
        </w:rPr>
        <w:t> </w:t>
      </w:r>
      <w:r>
        <w:rPr>
          <w:color w:val="231F20"/>
          <w:w w:val="110"/>
        </w:rPr>
        <w:t>plena</w:t>
      </w:r>
      <w:r>
        <w:rPr>
          <w:color w:val="231F20"/>
          <w:spacing w:val="41"/>
          <w:w w:val="110"/>
        </w:rPr>
        <w:t> </w:t>
      </w:r>
      <w:r>
        <w:rPr>
          <w:color w:val="231F20"/>
          <w:w w:val="110"/>
        </w:rPr>
        <w:t>en</w:t>
      </w:r>
      <w:r>
        <w:rPr>
          <w:color w:val="231F20"/>
          <w:spacing w:val="41"/>
          <w:w w:val="110"/>
        </w:rPr>
        <w:t> </w:t>
      </w:r>
      <w:r>
        <w:rPr>
          <w:color w:val="231F20"/>
          <w:w w:val="110"/>
        </w:rPr>
        <w:t>la</w:t>
      </w:r>
      <w:r>
        <w:rPr>
          <w:color w:val="231F20"/>
          <w:spacing w:val="41"/>
          <w:w w:val="110"/>
        </w:rPr>
        <w:t> </w:t>
      </w:r>
      <w:r>
        <w:rPr>
          <w:color w:val="231F20"/>
          <w:w w:val="110"/>
        </w:rPr>
        <w:t>región</w:t>
      </w:r>
      <w:r>
        <w:rPr>
          <w:color w:val="231F20"/>
          <w:spacing w:val="41"/>
          <w:w w:val="110"/>
        </w:rPr>
        <w:t> </w:t>
      </w:r>
      <w:r>
        <w:rPr>
          <w:color w:val="231F20"/>
          <w:w w:val="110"/>
        </w:rPr>
        <w:t>de</w:t>
      </w:r>
      <w:r>
        <w:rPr>
          <w:color w:val="231F20"/>
          <w:spacing w:val="41"/>
          <w:w w:val="110"/>
        </w:rPr>
        <w:t> </w:t>
      </w:r>
      <w:r>
        <w:rPr>
          <w:color w:val="231F20"/>
          <w:w w:val="110"/>
        </w:rPr>
        <w:t>que</w:t>
      </w:r>
      <w:r>
        <w:rPr>
          <w:color w:val="231F20"/>
          <w:spacing w:val="41"/>
          <w:w w:val="110"/>
        </w:rPr>
        <w:t> </w:t>
      </w:r>
      <w:r>
        <w:rPr>
          <w:color w:val="231F20"/>
          <w:w w:val="110"/>
        </w:rPr>
        <w:t>necesitamos</w:t>
      </w:r>
      <w:r>
        <w:rPr>
          <w:color w:val="231F20"/>
          <w:spacing w:val="41"/>
          <w:w w:val="110"/>
        </w:rPr>
        <w:t> </w:t>
      </w:r>
      <w:r>
        <w:rPr>
          <w:color w:val="231F20"/>
          <w:w w:val="110"/>
        </w:rPr>
        <w:t>instituciones</w:t>
      </w:r>
      <w:r>
        <w:rPr>
          <w:color w:val="231F20"/>
          <w:spacing w:val="41"/>
          <w:w w:val="110"/>
        </w:rPr>
        <w:t> </w:t>
      </w:r>
      <w:r>
        <w:rPr>
          <w:color w:val="231F20"/>
          <w:w w:val="110"/>
        </w:rPr>
        <w:t>permanentes</w:t>
      </w:r>
      <w:r>
        <w:rPr>
          <w:color w:val="231F20"/>
          <w:w w:val="112"/>
        </w:rPr>
        <w:t> </w:t>
      </w:r>
      <w:r>
        <w:rPr>
          <w:color w:val="231F20"/>
          <w:w w:val="110"/>
        </w:rPr>
        <w:t>dedicadas al estudio no sólo de Estados Unidos, que es aún</w:t>
      </w:r>
      <w:r>
        <w:rPr>
          <w:color w:val="231F20"/>
          <w:spacing w:val="-24"/>
          <w:w w:val="110"/>
        </w:rPr>
        <w:t> </w:t>
      </w:r>
      <w:r>
        <w:rPr>
          <w:color w:val="231F20"/>
          <w:w w:val="110"/>
        </w:rPr>
        <w:t>el</w:t>
      </w:r>
      <w:r>
        <w:rPr>
          <w:color w:val="231F20"/>
          <w:spacing w:val="-3"/>
          <w:w w:val="110"/>
        </w:rPr>
        <w:t> </w:t>
      </w:r>
      <w:r>
        <w:rPr>
          <w:color w:val="231F20"/>
          <w:w w:val="110"/>
        </w:rPr>
        <w:t>centro</w:t>
      </w:r>
      <w:r>
        <w:rPr>
          <w:color w:val="231F20"/>
          <w:w w:val="113"/>
        </w:rPr>
        <w:t> </w:t>
      </w:r>
      <w:r>
        <w:rPr>
          <w:color w:val="231F20"/>
          <w:w w:val="110"/>
        </w:rPr>
        <w:t>del sistema mundial, sino también de las otras regiones</w:t>
      </w:r>
      <w:r>
        <w:rPr>
          <w:color w:val="231F20"/>
          <w:spacing w:val="31"/>
          <w:w w:val="110"/>
        </w:rPr>
        <w:t> </w:t>
      </w:r>
      <w:r>
        <w:rPr>
          <w:color w:val="231F20"/>
          <w:w w:val="110"/>
        </w:rPr>
        <w:t>del</w:t>
      </w:r>
      <w:r>
        <w:rPr>
          <w:color w:val="231F20"/>
          <w:spacing w:val="9"/>
          <w:w w:val="110"/>
        </w:rPr>
        <w:t> </w:t>
      </w:r>
      <w:r>
        <w:rPr>
          <w:color w:val="231F20"/>
          <w:w w:val="110"/>
        </w:rPr>
        <w:t>mundo.</w:t>
      </w:r>
      <w:r>
        <w:rPr>
          <w:color w:val="231F20"/>
          <w:w w:val="113"/>
        </w:rPr>
        <w:t> </w:t>
      </w:r>
      <w:r>
        <w:rPr>
          <w:color w:val="231F20"/>
          <w:spacing w:val="-4"/>
          <w:w w:val="110"/>
        </w:rPr>
        <w:t>América Latina </w:t>
      </w:r>
      <w:r>
        <w:rPr>
          <w:color w:val="231F20"/>
          <w:w w:val="110"/>
        </w:rPr>
        <w:t>ha </w:t>
      </w:r>
      <w:r>
        <w:rPr>
          <w:color w:val="231F20"/>
          <w:spacing w:val="-4"/>
          <w:w w:val="110"/>
        </w:rPr>
        <w:t>ganado </w:t>
      </w:r>
      <w:r>
        <w:rPr>
          <w:color w:val="231F20"/>
          <w:w w:val="110"/>
        </w:rPr>
        <w:t>un </w:t>
      </w:r>
      <w:r>
        <w:rPr>
          <w:color w:val="231F20"/>
          <w:spacing w:val="-4"/>
          <w:w w:val="110"/>
        </w:rPr>
        <w:t>espacio </w:t>
      </w:r>
      <w:r>
        <w:rPr>
          <w:color w:val="231F20"/>
          <w:spacing w:val="-3"/>
          <w:w w:val="110"/>
        </w:rPr>
        <w:t>muy </w:t>
      </w:r>
      <w:r>
        <w:rPr>
          <w:color w:val="231F20"/>
          <w:spacing w:val="-4"/>
          <w:w w:val="110"/>
        </w:rPr>
        <w:t>importante </w:t>
      </w:r>
      <w:r>
        <w:rPr>
          <w:color w:val="231F20"/>
          <w:w w:val="110"/>
        </w:rPr>
        <w:t>en</w:t>
      </w:r>
      <w:r>
        <w:rPr>
          <w:color w:val="231F20"/>
          <w:spacing w:val="-28"/>
          <w:w w:val="110"/>
        </w:rPr>
        <w:t> </w:t>
      </w:r>
      <w:r>
        <w:rPr>
          <w:color w:val="231F20"/>
          <w:w w:val="110"/>
        </w:rPr>
        <w:t>la</w:t>
      </w:r>
      <w:r>
        <w:rPr>
          <w:color w:val="231F20"/>
          <w:spacing w:val="-6"/>
          <w:w w:val="110"/>
        </w:rPr>
        <w:t> </w:t>
      </w:r>
      <w:r>
        <w:rPr>
          <w:color w:val="231F20"/>
          <w:spacing w:val="-4"/>
          <w:w w:val="110"/>
        </w:rPr>
        <w:t>política</w:t>
      </w:r>
      <w:r>
        <w:rPr>
          <w:color w:val="231F20"/>
          <w:spacing w:val="-4"/>
          <w:w w:val="108"/>
        </w:rPr>
        <w:t> </w:t>
      </w:r>
      <w:r>
        <w:rPr>
          <w:color w:val="231F20"/>
          <w:spacing w:val="-4"/>
          <w:w w:val="110"/>
        </w:rPr>
        <w:t>internacional, sobre </w:t>
      </w:r>
      <w:r>
        <w:rPr>
          <w:color w:val="231F20"/>
          <w:spacing w:val="-3"/>
          <w:w w:val="110"/>
        </w:rPr>
        <w:t>todo </w:t>
      </w:r>
      <w:r>
        <w:rPr>
          <w:color w:val="231F20"/>
          <w:w w:val="110"/>
        </w:rPr>
        <w:t>en </w:t>
      </w:r>
      <w:r>
        <w:rPr>
          <w:color w:val="231F20"/>
          <w:spacing w:val="-3"/>
          <w:w w:val="110"/>
        </w:rPr>
        <w:t>los </w:t>
      </w:r>
      <w:r>
        <w:rPr>
          <w:color w:val="231F20"/>
          <w:spacing w:val="-4"/>
          <w:w w:val="110"/>
        </w:rPr>
        <w:t>últimos </w:t>
      </w:r>
      <w:r>
        <w:rPr>
          <w:color w:val="231F20"/>
          <w:w w:val="110"/>
        </w:rPr>
        <w:t>10 </w:t>
      </w:r>
      <w:r>
        <w:rPr>
          <w:color w:val="231F20"/>
          <w:spacing w:val="-4"/>
          <w:w w:val="110"/>
        </w:rPr>
        <w:t>años, cuando</w:t>
      </w:r>
      <w:r>
        <w:rPr>
          <w:color w:val="231F20"/>
          <w:spacing w:val="-3"/>
          <w:w w:val="110"/>
        </w:rPr>
        <w:t> fue</w:t>
      </w:r>
      <w:r>
        <w:rPr>
          <w:color w:val="231F20"/>
          <w:spacing w:val="14"/>
          <w:w w:val="110"/>
        </w:rPr>
        <w:t> </w:t>
      </w:r>
      <w:r>
        <w:rPr>
          <w:color w:val="231F20"/>
          <w:spacing w:val="-4"/>
          <w:w w:val="110"/>
        </w:rPr>
        <w:t>estable-</w:t>
      </w:r>
      <w:r>
        <w:rPr>
          <w:color w:val="231F20"/>
          <w:w w:val="72"/>
        </w:rPr>
        <w:t> </w:t>
      </w:r>
      <w:r>
        <w:rPr>
          <w:color w:val="231F20"/>
          <w:spacing w:val="-4"/>
          <w:w w:val="110"/>
        </w:rPr>
        <w:t>ciendo </w:t>
      </w:r>
      <w:r>
        <w:rPr>
          <w:color w:val="231F20"/>
          <w:spacing w:val="-3"/>
          <w:w w:val="110"/>
        </w:rPr>
        <w:t>cada vez con más firmeza </w:t>
      </w:r>
      <w:r>
        <w:rPr>
          <w:color w:val="231F20"/>
          <w:spacing w:val="-4"/>
          <w:w w:val="110"/>
        </w:rPr>
        <w:t>gobiernos </w:t>
      </w:r>
      <w:r>
        <w:rPr>
          <w:color w:val="231F20"/>
          <w:w w:val="110"/>
        </w:rPr>
        <w:t>de </w:t>
      </w:r>
      <w:r>
        <w:rPr>
          <w:color w:val="231F20"/>
          <w:spacing w:val="-4"/>
          <w:w w:val="110"/>
        </w:rPr>
        <w:t>izquierda </w:t>
      </w:r>
      <w:r>
        <w:rPr>
          <w:color w:val="231F20"/>
          <w:w w:val="110"/>
        </w:rPr>
        <w:t>y</w:t>
      </w:r>
      <w:r>
        <w:rPr>
          <w:color w:val="231F20"/>
          <w:spacing w:val="28"/>
          <w:w w:val="110"/>
        </w:rPr>
        <w:t> </w:t>
      </w:r>
      <w:r>
        <w:rPr>
          <w:color w:val="231F20"/>
          <w:spacing w:val="-4"/>
          <w:w w:val="110"/>
        </w:rPr>
        <w:t>centro</w:t>
      </w:r>
      <w:r>
        <w:rPr>
          <w:color w:val="231F20"/>
          <w:spacing w:val="11"/>
          <w:w w:val="110"/>
        </w:rPr>
        <w:t> </w:t>
      </w:r>
      <w:r>
        <w:rPr>
          <w:color w:val="231F20"/>
          <w:spacing w:val="-3"/>
          <w:w w:val="110"/>
        </w:rPr>
        <w:t>iz-</w:t>
      </w:r>
      <w:r>
        <w:rPr>
          <w:color w:val="231F20"/>
          <w:w w:val="72"/>
        </w:rPr>
        <w:t> </w:t>
      </w:r>
      <w:r>
        <w:rPr>
          <w:color w:val="231F20"/>
          <w:spacing w:val="-4"/>
          <w:w w:val="110"/>
        </w:rPr>
        <w:t>quierda </w:t>
      </w:r>
      <w:r>
        <w:rPr>
          <w:color w:val="231F20"/>
          <w:spacing w:val="-3"/>
          <w:w w:val="110"/>
        </w:rPr>
        <w:t>que </w:t>
      </w:r>
      <w:r>
        <w:rPr>
          <w:color w:val="231F20"/>
          <w:spacing w:val="-4"/>
          <w:w w:val="110"/>
        </w:rPr>
        <w:t>reforzaron </w:t>
      </w:r>
      <w:r>
        <w:rPr>
          <w:color w:val="231F20"/>
          <w:spacing w:val="-3"/>
          <w:w w:val="110"/>
        </w:rPr>
        <w:t>cada día </w:t>
      </w:r>
      <w:r>
        <w:rPr>
          <w:color w:val="231F20"/>
          <w:w w:val="110"/>
        </w:rPr>
        <w:t>la </w:t>
      </w:r>
      <w:r>
        <w:rPr>
          <w:color w:val="231F20"/>
          <w:spacing w:val="-4"/>
          <w:w w:val="110"/>
        </w:rPr>
        <w:t>integración regional</w:t>
      </w:r>
      <w:r>
        <w:rPr>
          <w:color w:val="231F20"/>
          <w:spacing w:val="16"/>
          <w:w w:val="110"/>
        </w:rPr>
        <w:t> </w:t>
      </w:r>
      <w:r>
        <w:rPr>
          <w:color w:val="231F20"/>
          <w:spacing w:val="-4"/>
          <w:w w:val="110"/>
        </w:rPr>
        <w:t>aspirada</w:t>
      </w:r>
      <w:r>
        <w:rPr>
          <w:color w:val="231F20"/>
          <w:spacing w:val="12"/>
          <w:w w:val="110"/>
        </w:rPr>
        <w:t> </w:t>
      </w:r>
      <w:r>
        <w:rPr>
          <w:color w:val="231F20"/>
          <w:spacing w:val="-4"/>
          <w:w w:val="110"/>
        </w:rPr>
        <w:t>hace</w:t>
      </w:r>
      <w:r>
        <w:rPr>
          <w:color w:val="231F20"/>
          <w:spacing w:val="-4"/>
          <w:w w:val="111"/>
        </w:rPr>
        <w:t> </w:t>
      </w:r>
      <w:r>
        <w:rPr>
          <w:color w:val="231F20"/>
          <w:spacing w:val="-4"/>
          <w:w w:val="110"/>
        </w:rPr>
        <w:t>tantos </w:t>
      </w:r>
      <w:r>
        <w:rPr>
          <w:color w:val="231F20"/>
          <w:spacing w:val="-3"/>
          <w:w w:val="110"/>
        </w:rPr>
        <w:t>años por </w:t>
      </w:r>
      <w:r>
        <w:rPr>
          <w:color w:val="231F20"/>
          <w:spacing w:val="-4"/>
          <w:w w:val="110"/>
        </w:rPr>
        <w:t>todos </w:t>
      </w:r>
      <w:r>
        <w:rPr>
          <w:color w:val="231F20"/>
          <w:spacing w:val="-3"/>
          <w:w w:val="110"/>
        </w:rPr>
        <w:t>sus </w:t>
      </w:r>
      <w:r>
        <w:rPr>
          <w:color w:val="231F20"/>
          <w:spacing w:val="-4"/>
          <w:w w:val="110"/>
        </w:rPr>
        <w:t>pueblos, contando </w:t>
      </w:r>
      <w:r>
        <w:rPr>
          <w:color w:val="231F20"/>
          <w:spacing w:val="-3"/>
          <w:w w:val="110"/>
        </w:rPr>
        <w:t>sin </w:t>
      </w:r>
      <w:r>
        <w:rPr>
          <w:color w:val="231F20"/>
          <w:spacing w:val="-4"/>
          <w:w w:val="110"/>
        </w:rPr>
        <w:t>embargo </w:t>
      </w:r>
      <w:r>
        <w:rPr>
          <w:color w:val="231F20"/>
          <w:spacing w:val="-3"/>
          <w:w w:val="110"/>
        </w:rPr>
        <w:t>con</w:t>
      </w:r>
      <w:r>
        <w:rPr>
          <w:color w:val="231F20"/>
          <w:spacing w:val="13"/>
          <w:w w:val="110"/>
        </w:rPr>
        <w:t> </w:t>
      </w:r>
      <w:r>
        <w:rPr>
          <w:color w:val="231F20"/>
          <w:w w:val="110"/>
        </w:rPr>
        <w:t>la</w:t>
      </w:r>
      <w:r>
        <w:rPr>
          <w:color w:val="231F20"/>
          <w:spacing w:val="-2"/>
          <w:w w:val="110"/>
        </w:rPr>
        <w:t> </w:t>
      </w:r>
      <w:r>
        <w:rPr>
          <w:color w:val="231F20"/>
          <w:spacing w:val="-4"/>
          <w:w w:val="110"/>
        </w:rPr>
        <w:t>oposi-</w:t>
      </w:r>
      <w:r>
        <w:rPr>
          <w:color w:val="231F20"/>
          <w:w w:val="72"/>
        </w:rPr>
        <w:t> </w:t>
      </w:r>
      <w:r>
        <w:rPr>
          <w:color w:val="231F20"/>
          <w:spacing w:val="-3"/>
          <w:w w:val="110"/>
        </w:rPr>
        <w:t>ción</w:t>
      </w:r>
      <w:r>
        <w:rPr>
          <w:color w:val="231F20"/>
          <w:spacing w:val="-23"/>
          <w:w w:val="110"/>
        </w:rPr>
        <w:t> </w:t>
      </w:r>
      <w:r>
        <w:rPr>
          <w:color w:val="231F20"/>
          <w:spacing w:val="-4"/>
          <w:w w:val="110"/>
        </w:rPr>
        <w:t>sistemática</w:t>
      </w:r>
      <w:r>
        <w:rPr>
          <w:color w:val="231F20"/>
          <w:spacing w:val="-23"/>
          <w:w w:val="110"/>
        </w:rPr>
        <w:t> </w:t>
      </w:r>
      <w:r>
        <w:rPr>
          <w:color w:val="231F20"/>
          <w:w w:val="110"/>
        </w:rPr>
        <w:t>y</w:t>
      </w:r>
      <w:r>
        <w:rPr>
          <w:color w:val="231F20"/>
          <w:spacing w:val="-23"/>
          <w:w w:val="110"/>
        </w:rPr>
        <w:t> </w:t>
      </w:r>
      <w:r>
        <w:rPr>
          <w:color w:val="231F20"/>
          <w:spacing w:val="-4"/>
          <w:w w:val="110"/>
        </w:rPr>
        <w:t>empecinada</w:t>
      </w:r>
      <w:r>
        <w:rPr>
          <w:color w:val="231F20"/>
          <w:spacing w:val="-23"/>
          <w:w w:val="110"/>
        </w:rPr>
        <w:t> </w:t>
      </w:r>
      <w:r>
        <w:rPr>
          <w:color w:val="231F20"/>
          <w:w w:val="110"/>
        </w:rPr>
        <w:t>de</w:t>
      </w:r>
      <w:r>
        <w:rPr>
          <w:color w:val="231F20"/>
          <w:spacing w:val="-23"/>
          <w:w w:val="110"/>
        </w:rPr>
        <w:t> </w:t>
      </w:r>
      <w:r>
        <w:rPr>
          <w:color w:val="231F20"/>
          <w:spacing w:val="-3"/>
          <w:w w:val="110"/>
        </w:rPr>
        <w:t>las</w:t>
      </w:r>
      <w:r>
        <w:rPr>
          <w:color w:val="231F20"/>
          <w:spacing w:val="-23"/>
          <w:w w:val="110"/>
        </w:rPr>
        <w:t> </w:t>
      </w:r>
      <w:r>
        <w:rPr>
          <w:color w:val="231F20"/>
          <w:spacing w:val="-4"/>
          <w:w w:val="110"/>
        </w:rPr>
        <w:t>oligarquías</w:t>
      </w:r>
      <w:r>
        <w:rPr>
          <w:color w:val="231F20"/>
          <w:spacing w:val="-23"/>
          <w:w w:val="110"/>
        </w:rPr>
        <w:t> </w:t>
      </w:r>
      <w:r>
        <w:rPr>
          <w:color w:val="231F20"/>
          <w:spacing w:val="-4"/>
          <w:w w:val="110"/>
        </w:rPr>
        <w:t>locales</w:t>
      </w:r>
      <w:r>
        <w:rPr>
          <w:color w:val="231F20"/>
          <w:spacing w:val="-23"/>
          <w:w w:val="110"/>
        </w:rPr>
        <w:t> </w:t>
      </w:r>
      <w:r>
        <w:rPr>
          <w:color w:val="231F20"/>
          <w:w w:val="110"/>
        </w:rPr>
        <w:t>y</w:t>
      </w:r>
      <w:r>
        <w:rPr>
          <w:color w:val="231F20"/>
          <w:spacing w:val="-23"/>
          <w:w w:val="110"/>
        </w:rPr>
        <w:t> </w:t>
      </w:r>
      <w:r>
        <w:rPr>
          <w:color w:val="231F20"/>
          <w:spacing w:val="-3"/>
          <w:w w:val="110"/>
        </w:rPr>
        <w:t>sus</w:t>
      </w:r>
      <w:r>
        <w:rPr>
          <w:color w:val="231F20"/>
          <w:spacing w:val="-23"/>
          <w:w w:val="110"/>
        </w:rPr>
        <w:t> </w:t>
      </w:r>
      <w:r>
        <w:rPr>
          <w:color w:val="231F20"/>
          <w:spacing w:val="-4"/>
          <w:w w:val="110"/>
        </w:rPr>
        <w:t>jefes</w:t>
      </w:r>
      <w:r>
        <w:rPr>
          <w:color w:val="231F20"/>
          <w:spacing w:val="-23"/>
          <w:w w:val="110"/>
        </w:rPr>
        <w:t> </w:t>
      </w:r>
      <w:r>
        <w:rPr>
          <w:color w:val="231F20"/>
          <w:spacing w:val="-5"/>
          <w:w w:val="110"/>
        </w:rPr>
        <w:t>inter-</w:t>
      </w:r>
      <w:r>
        <w:rPr>
          <w:color w:val="231F20"/>
          <w:w w:val="72"/>
        </w:rPr>
        <w:t> </w:t>
      </w:r>
      <w:r>
        <w:rPr>
          <w:color w:val="231F20"/>
          <w:spacing w:val="-4"/>
          <w:w w:val="110"/>
        </w:rPr>
        <w:t>nacionales. </w:t>
      </w:r>
      <w:r>
        <w:rPr>
          <w:color w:val="231F20"/>
          <w:spacing w:val="-3"/>
          <w:w w:val="110"/>
        </w:rPr>
        <w:t>Esta </w:t>
      </w:r>
      <w:r>
        <w:rPr>
          <w:color w:val="231F20"/>
          <w:spacing w:val="-4"/>
          <w:w w:val="110"/>
        </w:rPr>
        <w:t>oposición </w:t>
      </w:r>
      <w:r>
        <w:rPr>
          <w:color w:val="231F20"/>
          <w:w w:val="110"/>
        </w:rPr>
        <w:t>y la </w:t>
      </w:r>
      <w:r>
        <w:rPr>
          <w:color w:val="231F20"/>
          <w:spacing w:val="-4"/>
          <w:w w:val="110"/>
        </w:rPr>
        <w:t>mentalidad subordinada</w:t>
      </w:r>
      <w:r>
        <w:rPr>
          <w:color w:val="231F20"/>
          <w:spacing w:val="33"/>
          <w:w w:val="110"/>
        </w:rPr>
        <w:t> </w:t>
      </w:r>
      <w:r>
        <w:rPr>
          <w:color w:val="231F20"/>
          <w:w w:val="110"/>
        </w:rPr>
        <w:t>y</w:t>
      </w:r>
      <w:r>
        <w:rPr>
          <w:color w:val="231F20"/>
          <w:spacing w:val="2"/>
          <w:w w:val="110"/>
        </w:rPr>
        <w:t> </w:t>
      </w:r>
      <w:r>
        <w:rPr>
          <w:color w:val="231F20"/>
          <w:spacing w:val="-4"/>
          <w:w w:val="110"/>
        </w:rPr>
        <w:t>dependiente</w:t>
      </w:r>
      <w:r>
        <w:rPr>
          <w:color w:val="231F20"/>
          <w:spacing w:val="-4"/>
          <w:w w:val="114"/>
        </w:rPr>
        <w:t> </w:t>
      </w:r>
      <w:r>
        <w:rPr>
          <w:color w:val="231F20"/>
          <w:spacing w:val="-3"/>
          <w:w w:val="110"/>
        </w:rPr>
        <w:t>que ella </w:t>
      </w:r>
      <w:r>
        <w:rPr>
          <w:color w:val="231F20"/>
          <w:spacing w:val="-4"/>
          <w:w w:val="110"/>
        </w:rPr>
        <w:t>promueve, </w:t>
      </w:r>
      <w:r>
        <w:rPr>
          <w:color w:val="231F20"/>
          <w:w w:val="110"/>
        </w:rPr>
        <w:t>es la </w:t>
      </w:r>
      <w:r>
        <w:rPr>
          <w:color w:val="231F20"/>
          <w:spacing w:val="-4"/>
          <w:w w:val="110"/>
        </w:rPr>
        <w:t>principal responsable </w:t>
      </w:r>
      <w:r>
        <w:rPr>
          <w:color w:val="231F20"/>
          <w:spacing w:val="-3"/>
          <w:w w:val="110"/>
        </w:rPr>
        <w:t>del </w:t>
      </w:r>
      <w:r>
        <w:rPr>
          <w:color w:val="231F20"/>
          <w:spacing w:val="-4"/>
          <w:w w:val="110"/>
        </w:rPr>
        <w:t>retraso</w:t>
      </w:r>
      <w:r>
        <w:rPr>
          <w:color w:val="231F20"/>
          <w:spacing w:val="11"/>
          <w:w w:val="110"/>
        </w:rPr>
        <w:t> </w:t>
      </w:r>
      <w:r>
        <w:rPr>
          <w:color w:val="231F20"/>
          <w:w w:val="110"/>
        </w:rPr>
        <w:t>de</w:t>
      </w:r>
      <w:r>
        <w:rPr>
          <w:color w:val="231F20"/>
          <w:spacing w:val="16"/>
          <w:w w:val="110"/>
        </w:rPr>
        <w:t> </w:t>
      </w:r>
      <w:r>
        <w:rPr>
          <w:color w:val="231F20"/>
          <w:spacing w:val="-4"/>
          <w:w w:val="110"/>
        </w:rPr>
        <w:t>nuestra</w:t>
      </w:r>
      <w:r>
        <w:rPr>
          <w:color w:val="231F20"/>
          <w:spacing w:val="-4"/>
          <w:w w:val="112"/>
        </w:rPr>
        <w:t> </w:t>
      </w:r>
      <w:r>
        <w:rPr>
          <w:color w:val="231F20"/>
          <w:w w:val="110"/>
        </w:rPr>
        <w:t>academia</w:t>
      </w:r>
      <w:r>
        <w:rPr>
          <w:color w:val="231F20"/>
          <w:spacing w:val="27"/>
          <w:w w:val="110"/>
        </w:rPr>
        <w:t> </w:t>
      </w:r>
      <w:r>
        <w:rPr>
          <w:color w:val="231F20"/>
          <w:w w:val="110"/>
        </w:rPr>
        <w:t>en</w:t>
      </w:r>
      <w:r>
        <w:rPr>
          <w:color w:val="231F20"/>
          <w:spacing w:val="27"/>
          <w:w w:val="110"/>
        </w:rPr>
        <w:t> </w:t>
      </w:r>
      <w:r>
        <w:rPr>
          <w:color w:val="231F20"/>
          <w:w w:val="110"/>
        </w:rPr>
        <w:t>producir</w:t>
      </w:r>
      <w:r>
        <w:rPr>
          <w:color w:val="231F20"/>
          <w:spacing w:val="27"/>
          <w:w w:val="110"/>
        </w:rPr>
        <w:t> </w:t>
      </w:r>
      <w:r>
        <w:rPr>
          <w:color w:val="231F20"/>
          <w:w w:val="110"/>
        </w:rPr>
        <w:t>estudios</w:t>
      </w:r>
      <w:r>
        <w:rPr>
          <w:color w:val="231F20"/>
          <w:spacing w:val="27"/>
          <w:w w:val="110"/>
        </w:rPr>
        <w:t> </w:t>
      </w:r>
      <w:r>
        <w:rPr>
          <w:color w:val="231F20"/>
          <w:w w:val="110"/>
        </w:rPr>
        <w:t>como</w:t>
      </w:r>
      <w:r>
        <w:rPr>
          <w:color w:val="231F20"/>
          <w:spacing w:val="27"/>
          <w:w w:val="110"/>
        </w:rPr>
        <w:t> </w:t>
      </w:r>
      <w:r>
        <w:rPr>
          <w:color w:val="231F20"/>
          <w:w w:val="110"/>
        </w:rPr>
        <w:t>los</w:t>
      </w:r>
      <w:r>
        <w:rPr>
          <w:color w:val="231F20"/>
          <w:spacing w:val="27"/>
          <w:w w:val="110"/>
        </w:rPr>
        <w:t> </w:t>
      </w:r>
      <w:r>
        <w:rPr>
          <w:color w:val="231F20"/>
          <w:w w:val="110"/>
        </w:rPr>
        <w:t>que</w:t>
      </w:r>
      <w:r>
        <w:rPr>
          <w:color w:val="231F20"/>
          <w:spacing w:val="27"/>
          <w:w w:val="110"/>
        </w:rPr>
        <w:t> </w:t>
      </w:r>
      <w:r>
        <w:rPr>
          <w:color w:val="231F20"/>
          <w:w w:val="110"/>
        </w:rPr>
        <w:t>abriga</w:t>
      </w:r>
      <w:r>
        <w:rPr>
          <w:color w:val="231F20"/>
          <w:spacing w:val="27"/>
          <w:w w:val="110"/>
        </w:rPr>
        <w:t> </w:t>
      </w:r>
      <w:r>
        <w:rPr>
          <w:color w:val="231F20"/>
          <w:w w:val="110"/>
        </w:rPr>
        <w:t>este</w:t>
      </w:r>
      <w:r>
        <w:rPr>
          <w:color w:val="231F20"/>
          <w:spacing w:val="27"/>
          <w:w w:val="110"/>
        </w:rPr>
        <w:t> </w:t>
      </w:r>
      <w:r>
        <w:rPr>
          <w:color w:val="231F20"/>
          <w:w w:val="110"/>
        </w:rPr>
        <w:t>libro,</w:t>
      </w:r>
      <w:r>
        <w:rPr>
          <w:color w:val="231F20"/>
          <w:spacing w:val="27"/>
          <w:w w:val="110"/>
        </w:rPr>
        <w:t> </w:t>
      </w:r>
      <w:r>
        <w:rPr>
          <w:color w:val="231F20"/>
          <w:w w:val="110"/>
        </w:rPr>
        <w:t>así</w:t>
      </w:r>
      <w:r>
        <w:rPr>
          <w:color w:val="231F20"/>
          <w:spacing w:val="-1"/>
          <w:w w:val="102"/>
        </w:rPr>
        <w:t> </w:t>
      </w:r>
      <w:r>
        <w:rPr>
          <w:color w:val="231F20"/>
          <w:spacing w:val="-3"/>
          <w:w w:val="110"/>
        </w:rPr>
        <w:t>como</w:t>
      </w:r>
      <w:r>
        <w:rPr>
          <w:color w:val="231F20"/>
          <w:spacing w:val="-13"/>
          <w:w w:val="110"/>
        </w:rPr>
        <w:t> </w:t>
      </w:r>
      <w:r>
        <w:rPr>
          <w:color w:val="231F20"/>
          <w:w w:val="110"/>
        </w:rPr>
        <w:t>de</w:t>
      </w:r>
      <w:r>
        <w:rPr>
          <w:color w:val="231F20"/>
          <w:spacing w:val="-13"/>
          <w:w w:val="110"/>
        </w:rPr>
        <w:t> </w:t>
      </w:r>
      <w:r>
        <w:rPr>
          <w:color w:val="231F20"/>
          <w:spacing w:val="-4"/>
          <w:w w:val="110"/>
        </w:rPr>
        <w:t>institucionalizar</w:t>
      </w:r>
      <w:r>
        <w:rPr>
          <w:color w:val="231F20"/>
          <w:spacing w:val="-13"/>
          <w:w w:val="110"/>
        </w:rPr>
        <w:t> </w:t>
      </w:r>
      <w:r>
        <w:rPr>
          <w:color w:val="231F20"/>
          <w:w w:val="110"/>
        </w:rPr>
        <w:t>el</w:t>
      </w:r>
      <w:r>
        <w:rPr>
          <w:color w:val="231F20"/>
          <w:spacing w:val="-13"/>
          <w:w w:val="110"/>
        </w:rPr>
        <w:t> </w:t>
      </w:r>
      <w:r>
        <w:rPr>
          <w:color w:val="231F20"/>
          <w:spacing w:val="-4"/>
          <w:w w:val="110"/>
        </w:rPr>
        <w:t>estudio</w:t>
      </w:r>
      <w:r>
        <w:rPr>
          <w:color w:val="231F20"/>
          <w:spacing w:val="-13"/>
          <w:w w:val="110"/>
        </w:rPr>
        <w:t> </w:t>
      </w:r>
      <w:r>
        <w:rPr>
          <w:color w:val="231F20"/>
          <w:spacing w:val="-4"/>
          <w:w w:val="110"/>
        </w:rPr>
        <w:t>sistemático</w:t>
      </w:r>
      <w:r>
        <w:rPr>
          <w:color w:val="231F20"/>
          <w:spacing w:val="-13"/>
          <w:w w:val="110"/>
        </w:rPr>
        <w:t> </w:t>
      </w:r>
      <w:r>
        <w:rPr>
          <w:color w:val="231F20"/>
          <w:w w:val="110"/>
        </w:rPr>
        <w:t>de</w:t>
      </w:r>
      <w:r>
        <w:rPr>
          <w:color w:val="231F20"/>
          <w:spacing w:val="-13"/>
          <w:w w:val="110"/>
        </w:rPr>
        <w:t> </w:t>
      </w:r>
      <w:r>
        <w:rPr>
          <w:color w:val="231F20"/>
          <w:spacing w:val="-3"/>
          <w:w w:val="110"/>
        </w:rPr>
        <w:t>los</w:t>
      </w:r>
      <w:r>
        <w:rPr>
          <w:color w:val="231F20"/>
          <w:spacing w:val="-13"/>
          <w:w w:val="110"/>
        </w:rPr>
        <w:t> </w:t>
      </w:r>
      <w:r>
        <w:rPr>
          <w:color w:val="231F20"/>
          <w:spacing w:val="-4"/>
          <w:w w:val="110"/>
        </w:rPr>
        <w:t>intereses</w:t>
      </w:r>
      <w:r>
        <w:rPr>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spacing w:val="-4"/>
          <w:w w:val="110"/>
        </w:rPr>
        <w:t>las</w:t>
      </w:r>
      <w:r>
        <w:rPr>
          <w:color w:val="231F20"/>
          <w:spacing w:val="-4"/>
          <w:w w:val="100"/>
        </w:rPr>
        <w:t> </w:t>
      </w:r>
      <w:r>
        <w:rPr>
          <w:color w:val="231F20"/>
          <w:spacing w:val="-4"/>
          <w:w w:val="110"/>
        </w:rPr>
        <w:t>estrategias </w:t>
      </w:r>
      <w:r>
        <w:rPr>
          <w:color w:val="231F20"/>
          <w:w w:val="110"/>
        </w:rPr>
        <w:t>de </w:t>
      </w:r>
      <w:r>
        <w:rPr>
          <w:color w:val="231F20"/>
          <w:spacing w:val="-3"/>
          <w:w w:val="110"/>
        </w:rPr>
        <w:t>los </w:t>
      </w:r>
      <w:r>
        <w:rPr>
          <w:color w:val="231F20"/>
          <w:spacing w:val="-4"/>
          <w:w w:val="110"/>
        </w:rPr>
        <w:t>poderes </w:t>
      </w:r>
      <w:r>
        <w:rPr>
          <w:color w:val="231F20"/>
          <w:spacing w:val="-3"/>
          <w:w w:val="110"/>
        </w:rPr>
        <w:t>del </w:t>
      </w:r>
      <w:r>
        <w:rPr>
          <w:color w:val="231F20"/>
          <w:spacing w:val="-4"/>
          <w:w w:val="110"/>
        </w:rPr>
        <w:t>centro </w:t>
      </w:r>
      <w:r>
        <w:rPr>
          <w:color w:val="231F20"/>
          <w:spacing w:val="-3"/>
          <w:w w:val="110"/>
        </w:rPr>
        <w:t>del </w:t>
      </w:r>
      <w:r>
        <w:rPr>
          <w:color w:val="231F20"/>
          <w:spacing w:val="-4"/>
          <w:w w:val="110"/>
        </w:rPr>
        <w:t>sistema imperialista</w:t>
      </w:r>
      <w:r>
        <w:rPr>
          <w:color w:val="231F20"/>
          <w:spacing w:val="37"/>
          <w:w w:val="110"/>
        </w:rPr>
        <w:t> </w:t>
      </w:r>
      <w:r>
        <w:rPr>
          <w:color w:val="231F20"/>
          <w:spacing w:val="-4"/>
          <w:w w:val="110"/>
        </w:rPr>
        <w:t>mundial.</w:t>
      </w:r>
    </w:p>
    <w:p>
      <w:pPr>
        <w:pStyle w:val="BodyText"/>
        <w:spacing w:line="261" w:lineRule="auto"/>
        <w:ind w:left="100" w:right="119" w:firstLine="240"/>
        <w:jc w:val="both"/>
      </w:pPr>
      <w:r>
        <w:rPr>
          <w:color w:val="231F20"/>
          <w:w w:val="110"/>
        </w:rPr>
        <w:t>Los avances que están en curso implican sin embargo una</w:t>
      </w:r>
      <w:r>
        <w:rPr>
          <w:color w:val="231F20"/>
          <w:spacing w:val="-15"/>
          <w:w w:val="110"/>
        </w:rPr>
        <w:t> </w:t>
      </w:r>
      <w:r>
        <w:rPr>
          <w:color w:val="231F20"/>
          <w:w w:val="110"/>
        </w:rPr>
        <w:t>agenda de estudio que se refleja en los temas centrales del presente </w:t>
      </w:r>
      <w:r>
        <w:rPr>
          <w:color w:val="231F20"/>
          <w:spacing w:val="51"/>
          <w:w w:val="110"/>
        </w:rPr>
        <w:t> </w:t>
      </w:r>
      <w:r>
        <w:rPr>
          <w:color w:val="231F20"/>
          <w:w w:val="110"/>
        </w:rPr>
        <w:t>libro:</w:t>
      </w:r>
    </w:p>
    <w:p>
      <w:pPr>
        <w:pStyle w:val="BodyText"/>
        <w:spacing w:line="261" w:lineRule="auto"/>
        <w:ind w:left="100" w:right="117" w:firstLine="240"/>
        <w:jc w:val="both"/>
      </w:pPr>
      <w:r>
        <w:rPr>
          <w:color w:val="231F20"/>
          <w:w w:val="110"/>
        </w:rPr>
        <w:t>1]</w:t>
      </w:r>
      <w:r>
        <w:rPr>
          <w:color w:val="231F20"/>
          <w:spacing w:val="-12"/>
          <w:w w:val="110"/>
        </w:rPr>
        <w:t> </w:t>
      </w:r>
      <w:r>
        <w:rPr>
          <w:color w:val="231F20"/>
          <w:w w:val="110"/>
        </w:rPr>
        <w:t>La</w:t>
      </w:r>
      <w:r>
        <w:rPr>
          <w:color w:val="231F20"/>
          <w:spacing w:val="-12"/>
          <w:w w:val="110"/>
        </w:rPr>
        <w:t> </w:t>
      </w:r>
      <w:r>
        <w:rPr>
          <w:color w:val="231F20"/>
          <w:w w:val="110"/>
        </w:rPr>
        <w:t>posición</w:t>
      </w:r>
      <w:r>
        <w:rPr>
          <w:color w:val="231F20"/>
          <w:spacing w:val="-12"/>
          <w:w w:val="110"/>
        </w:rPr>
        <w:t> </w:t>
      </w:r>
      <w:r>
        <w:rPr>
          <w:color w:val="231F20"/>
          <w:w w:val="110"/>
        </w:rPr>
        <w:t>hegemónica</w:t>
      </w:r>
      <w:r>
        <w:rPr>
          <w:color w:val="231F20"/>
          <w:spacing w:val="-12"/>
          <w:w w:val="110"/>
        </w:rPr>
        <w:t> </w:t>
      </w:r>
      <w:r>
        <w:rPr>
          <w:color w:val="231F20"/>
          <w:w w:val="110"/>
        </w:rPr>
        <w:t>de</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Ésta</w:t>
      </w:r>
      <w:r>
        <w:rPr>
          <w:color w:val="231F20"/>
          <w:spacing w:val="-12"/>
          <w:w w:val="110"/>
        </w:rPr>
        <w:t> </w:t>
      </w:r>
      <w:r>
        <w:rPr>
          <w:color w:val="231F20"/>
          <w:w w:val="110"/>
        </w:rPr>
        <w:t>es</w:t>
      </w:r>
      <w:r>
        <w:rPr>
          <w:color w:val="231F20"/>
          <w:spacing w:val="-12"/>
          <w:w w:val="110"/>
        </w:rPr>
        <w:t> </w:t>
      </w:r>
      <w:r>
        <w:rPr>
          <w:color w:val="231F20"/>
          <w:w w:val="110"/>
        </w:rPr>
        <w:t>una</w:t>
      </w:r>
      <w:r>
        <w:rPr>
          <w:color w:val="231F20"/>
          <w:spacing w:val="-12"/>
          <w:w w:val="110"/>
        </w:rPr>
        <w:t> </w:t>
      </w:r>
      <w:r>
        <w:rPr>
          <w:color w:val="231F20"/>
          <w:w w:val="110"/>
        </w:rPr>
        <w:t>proble- mática que debe ser analizada no sólo como una tendencia a la</w:t>
      </w:r>
      <w:r>
        <w:rPr>
          <w:color w:val="231F20"/>
          <w:spacing w:val="-23"/>
          <w:w w:val="110"/>
        </w:rPr>
        <w:t> </w:t>
      </w:r>
      <w:r>
        <w:rPr>
          <w:color w:val="231F20"/>
          <w:w w:val="110"/>
        </w:rPr>
        <w:t>caída de</w:t>
      </w:r>
      <w:r>
        <w:rPr>
          <w:color w:val="231F20"/>
          <w:spacing w:val="33"/>
          <w:w w:val="110"/>
        </w:rPr>
        <w:t> </w:t>
      </w:r>
      <w:r>
        <w:rPr>
          <w:color w:val="231F20"/>
          <w:w w:val="110"/>
        </w:rPr>
        <w:t>la</w:t>
      </w:r>
      <w:r>
        <w:rPr>
          <w:color w:val="231F20"/>
          <w:spacing w:val="33"/>
          <w:w w:val="110"/>
        </w:rPr>
        <w:t> </w:t>
      </w:r>
      <w:r>
        <w:rPr>
          <w:color w:val="231F20"/>
          <w:w w:val="110"/>
        </w:rPr>
        <w:t>participación</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economía</w:t>
      </w:r>
      <w:r>
        <w:rPr>
          <w:color w:val="231F20"/>
          <w:spacing w:val="33"/>
          <w:w w:val="110"/>
        </w:rPr>
        <w:t> </w:t>
      </w:r>
      <w:r>
        <w:rPr>
          <w:color w:val="231F20"/>
          <w:w w:val="110"/>
        </w:rPr>
        <w:t>estadunidense</w:t>
      </w:r>
      <w:r>
        <w:rPr>
          <w:color w:val="231F20"/>
          <w:spacing w:val="33"/>
          <w:w w:val="110"/>
        </w:rPr>
        <w:t> </w:t>
      </w:r>
      <w:r>
        <w:rPr>
          <w:color w:val="231F20"/>
          <w:w w:val="110"/>
        </w:rPr>
        <w:t>en</w:t>
      </w:r>
      <w:r>
        <w:rPr>
          <w:color w:val="231F20"/>
          <w:spacing w:val="33"/>
          <w:w w:val="110"/>
        </w:rPr>
        <w:t> </w:t>
      </w:r>
      <w:r>
        <w:rPr>
          <w:color w:val="231F20"/>
          <w:w w:val="110"/>
        </w:rPr>
        <w:t>la</w:t>
      </w:r>
      <w:r>
        <w:rPr>
          <w:color w:val="231F20"/>
          <w:spacing w:val="33"/>
          <w:w w:val="110"/>
        </w:rPr>
        <w:t> </w:t>
      </w:r>
      <w:r>
        <w:rPr>
          <w:color w:val="231F20"/>
          <w:w w:val="110"/>
        </w:rPr>
        <w:t>economía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2"/>
        <w:jc w:val="both"/>
      </w:pPr>
      <w:r>
        <w:rPr>
          <w:color w:val="231F20"/>
          <w:w w:val="110"/>
        </w:rPr>
        <w:t>mundial e, incluso, en América Latina, en donde el casi monopo-  lio estadunidense es desplazado por el comercio interregional y el comercio con China. Asimismo, es necesario analizar los cambios internos de la economía estadunidense con el surgimiento del</w:t>
      </w:r>
      <w:r>
        <w:rPr>
          <w:color w:val="231F20"/>
          <w:spacing w:val="-22"/>
          <w:w w:val="110"/>
        </w:rPr>
        <w:t> </w:t>
      </w:r>
      <w:r>
        <w:rPr>
          <w:color w:val="231F20"/>
          <w:w w:val="110"/>
        </w:rPr>
        <w:t>déficit comercial</w:t>
      </w:r>
      <w:r>
        <w:rPr>
          <w:color w:val="231F20"/>
          <w:spacing w:val="-5"/>
          <w:w w:val="110"/>
        </w:rPr>
        <w:t> </w:t>
      </w:r>
      <w:r>
        <w:rPr>
          <w:color w:val="231F20"/>
          <w:w w:val="110"/>
        </w:rPr>
        <w:t>desde</w:t>
      </w:r>
      <w:r>
        <w:rPr>
          <w:color w:val="231F20"/>
          <w:spacing w:val="-5"/>
          <w:w w:val="110"/>
        </w:rPr>
        <w:t> </w:t>
      </w:r>
      <w:r>
        <w:rPr>
          <w:color w:val="231F20"/>
          <w:w w:val="110"/>
        </w:rPr>
        <w:t>1969</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déficit</w:t>
      </w:r>
      <w:r>
        <w:rPr>
          <w:color w:val="231F20"/>
          <w:spacing w:val="-5"/>
          <w:w w:val="110"/>
        </w:rPr>
        <w:t> </w:t>
      </w:r>
      <w:r>
        <w:rPr>
          <w:color w:val="231F20"/>
          <w:w w:val="110"/>
        </w:rPr>
        <w:t>fiscal</w:t>
      </w:r>
      <w:r>
        <w:rPr>
          <w:color w:val="231F20"/>
          <w:spacing w:val="-5"/>
          <w:w w:val="110"/>
        </w:rPr>
        <w:t> </w:t>
      </w:r>
      <w:r>
        <w:rPr>
          <w:color w:val="231F20"/>
          <w:w w:val="110"/>
        </w:rPr>
        <w:t>desde</w:t>
      </w:r>
      <w:r>
        <w:rPr>
          <w:color w:val="231F20"/>
          <w:spacing w:val="-5"/>
          <w:w w:val="110"/>
        </w:rPr>
        <w:t> </w:t>
      </w:r>
      <w:r>
        <w:rPr>
          <w:color w:val="231F20"/>
          <w:w w:val="110"/>
        </w:rPr>
        <w:t>1967,</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guerra</w:t>
      </w:r>
      <w:r>
        <w:rPr>
          <w:color w:val="231F20"/>
          <w:spacing w:val="-5"/>
          <w:w w:val="110"/>
        </w:rPr>
        <w:t> </w:t>
      </w:r>
      <w:r>
        <w:rPr>
          <w:color w:val="231F20"/>
          <w:w w:val="110"/>
        </w:rPr>
        <w:t>de Vietnam. Desde entonces, estos déficit hermanos sólo profundizan los límites impresionantes que se alcanzaron en la última crisis del sistema.</w:t>
      </w:r>
      <w:r>
        <w:rPr>
          <w:color w:val="231F20"/>
          <w:spacing w:val="-9"/>
          <w:w w:val="110"/>
        </w:rPr>
        <w:t> </w:t>
      </w:r>
      <w:r>
        <w:rPr>
          <w:color w:val="231F20"/>
          <w:w w:val="110"/>
        </w:rPr>
        <w:t>Queda</w:t>
      </w:r>
      <w:r>
        <w:rPr>
          <w:color w:val="231F20"/>
          <w:spacing w:val="-9"/>
          <w:w w:val="110"/>
        </w:rPr>
        <w:t> </w:t>
      </w:r>
      <w:r>
        <w:rPr>
          <w:color w:val="231F20"/>
          <w:w w:val="110"/>
        </w:rPr>
        <w:t>por</w:t>
      </w:r>
      <w:r>
        <w:rPr>
          <w:color w:val="231F20"/>
          <w:spacing w:val="-9"/>
          <w:w w:val="110"/>
        </w:rPr>
        <w:t> </w:t>
      </w:r>
      <w:r>
        <w:rPr>
          <w:color w:val="231F20"/>
          <w:w w:val="110"/>
        </w:rPr>
        <w:t>estudiar</w:t>
      </w:r>
      <w:r>
        <w:rPr>
          <w:color w:val="231F20"/>
          <w:spacing w:val="-9"/>
          <w:w w:val="110"/>
        </w:rPr>
        <w:t> </w:t>
      </w:r>
      <w:r>
        <w:rPr>
          <w:color w:val="231F20"/>
          <w:w w:val="110"/>
        </w:rPr>
        <w:t>la</w:t>
      </w:r>
      <w:r>
        <w:rPr>
          <w:color w:val="231F20"/>
          <w:spacing w:val="-9"/>
          <w:w w:val="110"/>
        </w:rPr>
        <w:t> </w:t>
      </w:r>
      <w:r>
        <w:rPr>
          <w:color w:val="231F20"/>
          <w:w w:val="110"/>
        </w:rPr>
        <w:t>importancia</w:t>
      </w:r>
      <w:r>
        <w:rPr>
          <w:color w:val="231F20"/>
          <w:spacing w:val="-9"/>
          <w:w w:val="110"/>
        </w:rPr>
        <w:t> </w:t>
      </w:r>
      <w:r>
        <w:rPr>
          <w:color w:val="231F20"/>
          <w:w w:val="110"/>
        </w:rPr>
        <w:t>del</w:t>
      </w:r>
      <w:r>
        <w:rPr>
          <w:color w:val="231F20"/>
          <w:spacing w:val="-9"/>
          <w:w w:val="110"/>
        </w:rPr>
        <w:t> </w:t>
      </w:r>
      <w:r>
        <w:rPr>
          <w:color w:val="231F20"/>
          <w:w w:val="110"/>
        </w:rPr>
        <w:t>crecimiento</w:t>
      </w:r>
      <w:r>
        <w:rPr>
          <w:color w:val="231F20"/>
          <w:spacing w:val="-9"/>
          <w:w w:val="110"/>
        </w:rPr>
        <w:t> </w:t>
      </w:r>
      <w:r>
        <w:rPr>
          <w:color w:val="231F20"/>
          <w:w w:val="110"/>
        </w:rPr>
        <w:t>brutal</w:t>
      </w:r>
      <w:r>
        <w:rPr>
          <w:color w:val="231F20"/>
          <w:spacing w:val="-9"/>
          <w:w w:val="110"/>
        </w:rPr>
        <w:t> </w:t>
      </w:r>
      <w:r>
        <w:rPr>
          <w:color w:val="231F20"/>
          <w:w w:val="110"/>
        </w:rPr>
        <w:t>del Estado</w:t>
      </w:r>
      <w:r>
        <w:rPr>
          <w:color w:val="231F20"/>
          <w:spacing w:val="-12"/>
          <w:w w:val="110"/>
        </w:rPr>
        <w:t> </w:t>
      </w:r>
      <w:r>
        <w:rPr>
          <w:color w:val="231F20"/>
          <w:w w:val="110"/>
        </w:rPr>
        <w:t>de</w:t>
      </w:r>
      <w:r>
        <w:rPr>
          <w:color w:val="231F20"/>
          <w:spacing w:val="-12"/>
          <w:w w:val="110"/>
        </w:rPr>
        <w:t> </w:t>
      </w:r>
      <w:r>
        <w:rPr>
          <w:color w:val="231F20"/>
          <w:w w:val="110"/>
        </w:rPr>
        <w:t>este</w:t>
      </w:r>
      <w:r>
        <w:rPr>
          <w:color w:val="231F20"/>
          <w:spacing w:val="-12"/>
          <w:w w:val="110"/>
        </w:rPr>
        <w:t> </w:t>
      </w:r>
      <w:r>
        <w:rPr>
          <w:color w:val="231F20"/>
          <w:w w:val="110"/>
        </w:rPr>
        <w:t>país,</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financiamiento</w:t>
      </w:r>
      <w:r>
        <w:rPr>
          <w:color w:val="231F20"/>
          <w:spacing w:val="-12"/>
          <w:w w:val="110"/>
        </w:rPr>
        <w:t> </w:t>
      </w:r>
      <w:r>
        <w:rPr>
          <w:color w:val="231F20"/>
          <w:w w:val="110"/>
        </w:rPr>
        <w:t>y</w:t>
      </w:r>
      <w:r>
        <w:rPr>
          <w:color w:val="231F20"/>
          <w:spacing w:val="-12"/>
          <w:w w:val="110"/>
        </w:rPr>
        <w:t> </w:t>
      </w:r>
      <w:r>
        <w:rPr>
          <w:color w:val="231F20"/>
          <w:w w:val="110"/>
        </w:rPr>
        <w:t>planeación</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activida- des militares, de inteligencia, las espaciales y otras más</w:t>
      </w:r>
      <w:r>
        <w:rPr>
          <w:color w:val="231F20"/>
          <w:spacing w:val="-17"/>
          <w:w w:val="110"/>
        </w:rPr>
        <w:t> </w:t>
      </w:r>
      <w:r>
        <w:rPr>
          <w:color w:val="231F20"/>
          <w:w w:val="110"/>
        </w:rPr>
        <w:t>comandadas en función de los intereses del llamado complejo</w:t>
      </w:r>
      <w:r>
        <w:rPr>
          <w:color w:val="231F20"/>
          <w:spacing w:val="27"/>
          <w:w w:val="110"/>
        </w:rPr>
        <w:t> </w:t>
      </w:r>
      <w:r>
        <w:rPr>
          <w:color w:val="231F20"/>
          <w:w w:val="110"/>
        </w:rPr>
        <w:t>industrial-militar.</w:t>
      </w:r>
    </w:p>
    <w:p>
      <w:pPr>
        <w:pStyle w:val="BodyText"/>
        <w:spacing w:line="261" w:lineRule="auto"/>
        <w:ind w:left="100" w:right="117" w:firstLine="240"/>
        <w:jc w:val="both"/>
      </w:pPr>
      <w:r>
        <w:rPr>
          <w:color w:val="231F20"/>
          <w:w w:val="110"/>
        </w:rPr>
        <w:t>De los años setenta para acá, incluida la hegemonía del llamado neoliberalismo de los años ochenta, se fortalece la articulación entre la deuda pública y el creciente sector financiero, creando una imbri- cación aparentemente virtuosa a corto plazo y extremamente grave  a mediano y largo plazos. Esta evolución estructural se hace más violenta</w:t>
      </w:r>
      <w:r>
        <w:rPr>
          <w:color w:val="231F20"/>
          <w:spacing w:val="-7"/>
          <w:w w:val="110"/>
        </w:rPr>
        <w:t> </w:t>
      </w:r>
      <w:r>
        <w:rPr>
          <w:color w:val="231F20"/>
          <w:w w:val="110"/>
        </w:rPr>
        <w:t>si</w:t>
      </w:r>
      <w:r>
        <w:rPr>
          <w:color w:val="231F20"/>
          <w:spacing w:val="-7"/>
          <w:w w:val="110"/>
        </w:rPr>
        <w:t> </w:t>
      </w:r>
      <w:r>
        <w:rPr>
          <w:color w:val="231F20"/>
          <w:w w:val="110"/>
        </w:rPr>
        <w:t>la</w:t>
      </w:r>
      <w:r>
        <w:rPr>
          <w:color w:val="231F20"/>
          <w:spacing w:val="-7"/>
          <w:w w:val="110"/>
        </w:rPr>
        <w:t> </w:t>
      </w:r>
      <w:r>
        <w:rPr>
          <w:color w:val="231F20"/>
          <w:w w:val="110"/>
        </w:rPr>
        <w:t>estudiamos</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perspectiva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revolución</w:t>
      </w:r>
      <w:r>
        <w:rPr>
          <w:color w:val="231F20"/>
          <w:spacing w:val="-7"/>
          <w:w w:val="110"/>
        </w:rPr>
        <w:t> </w:t>
      </w:r>
      <w:r>
        <w:rPr>
          <w:color w:val="231F20"/>
          <w:w w:val="110"/>
        </w:rPr>
        <w:t>científico técnica,</w:t>
      </w:r>
      <w:r>
        <w:rPr>
          <w:color w:val="231F20"/>
          <w:spacing w:val="-8"/>
          <w:w w:val="110"/>
        </w:rPr>
        <w:t> </w:t>
      </w:r>
      <w:r>
        <w:rPr>
          <w:color w:val="231F20"/>
          <w:w w:val="110"/>
        </w:rPr>
        <w:t>la</w:t>
      </w:r>
      <w:r>
        <w:rPr>
          <w:color w:val="231F20"/>
          <w:spacing w:val="-8"/>
          <w:w w:val="110"/>
        </w:rPr>
        <w:t> </w:t>
      </w:r>
      <w:r>
        <w:rPr>
          <w:color w:val="231F20"/>
          <w:w w:val="110"/>
        </w:rPr>
        <w:t>cual</w:t>
      </w:r>
      <w:r>
        <w:rPr>
          <w:color w:val="231F20"/>
          <w:spacing w:val="-8"/>
          <w:w w:val="110"/>
        </w:rPr>
        <w:t> </w:t>
      </w:r>
      <w:r>
        <w:rPr>
          <w:color w:val="231F20"/>
          <w:w w:val="110"/>
        </w:rPr>
        <w:t>vive</w:t>
      </w:r>
      <w:r>
        <w:rPr>
          <w:color w:val="231F20"/>
          <w:spacing w:val="-8"/>
          <w:w w:val="110"/>
        </w:rPr>
        <w:t> </w:t>
      </w:r>
      <w:r>
        <w:rPr>
          <w:color w:val="231F20"/>
          <w:w w:val="110"/>
        </w:rPr>
        <w:t>fases</w:t>
      </w:r>
      <w:r>
        <w:rPr>
          <w:color w:val="231F20"/>
          <w:spacing w:val="-8"/>
          <w:w w:val="110"/>
        </w:rPr>
        <w:t> </w:t>
      </w:r>
      <w:r>
        <w:rPr>
          <w:color w:val="231F20"/>
          <w:w w:val="110"/>
        </w:rPr>
        <w:t>nuevas</w:t>
      </w:r>
      <w:r>
        <w:rPr>
          <w:color w:val="231F20"/>
          <w:spacing w:val="-8"/>
          <w:w w:val="110"/>
        </w:rPr>
        <w:t> </w:t>
      </w:r>
      <w:r>
        <w:rPr>
          <w:color w:val="231F20"/>
          <w:w w:val="110"/>
        </w:rPr>
        <w:t>cada</w:t>
      </w:r>
      <w:r>
        <w:rPr>
          <w:color w:val="231F20"/>
          <w:spacing w:val="-8"/>
          <w:w w:val="110"/>
        </w:rPr>
        <w:t> </w:t>
      </w:r>
      <w:r>
        <w:rPr>
          <w:color w:val="231F20"/>
          <w:w w:val="110"/>
        </w:rPr>
        <w:t>vez</w:t>
      </w:r>
      <w:r>
        <w:rPr>
          <w:color w:val="231F20"/>
          <w:spacing w:val="-8"/>
          <w:w w:val="110"/>
        </w:rPr>
        <w:t> </w:t>
      </w:r>
      <w:r>
        <w:rPr>
          <w:color w:val="231F20"/>
          <w:w w:val="110"/>
        </w:rPr>
        <w:t>más</w:t>
      </w:r>
      <w:r>
        <w:rPr>
          <w:color w:val="231F20"/>
          <w:spacing w:val="-8"/>
          <w:w w:val="110"/>
        </w:rPr>
        <w:t> </w:t>
      </w:r>
      <w:r>
        <w:rPr>
          <w:color w:val="231F20"/>
          <w:w w:val="110"/>
        </w:rPr>
        <w:t>revolucionarias</w:t>
      </w:r>
      <w:r>
        <w:rPr>
          <w:color w:val="231F20"/>
          <w:spacing w:val="-8"/>
          <w:w w:val="110"/>
        </w:rPr>
        <w:t> </w:t>
      </w:r>
      <w:r>
        <w:rPr>
          <w:color w:val="231F20"/>
          <w:w w:val="110"/>
        </w:rPr>
        <w:t>y</w:t>
      </w:r>
      <w:r>
        <w:rPr>
          <w:color w:val="231F20"/>
          <w:spacing w:val="-8"/>
          <w:w w:val="110"/>
        </w:rPr>
        <w:t> </w:t>
      </w:r>
      <w:r>
        <w:rPr>
          <w:color w:val="231F20"/>
          <w:w w:val="110"/>
        </w:rPr>
        <w:t>que se manifiestan en la estructura misma del proceso de acumulación capitalista en su conjunto, y en una sucesión de crisis coyunturales, las cuales se articulan con una crisis de fondo que pone en cuestión la</w:t>
      </w:r>
      <w:r>
        <w:rPr>
          <w:color w:val="231F20"/>
          <w:spacing w:val="-6"/>
          <w:w w:val="110"/>
        </w:rPr>
        <w:t> </w:t>
      </w:r>
      <w:r>
        <w:rPr>
          <w:color w:val="231F20"/>
          <w:w w:val="110"/>
        </w:rPr>
        <w:t>sobrevivencia</w:t>
      </w:r>
      <w:r>
        <w:rPr>
          <w:color w:val="231F20"/>
          <w:spacing w:val="-6"/>
          <w:w w:val="110"/>
        </w:rPr>
        <w:t> </w:t>
      </w:r>
      <w:r>
        <w:rPr>
          <w:color w:val="231F20"/>
          <w:w w:val="110"/>
        </w:rPr>
        <w:t>misma</w:t>
      </w:r>
      <w:r>
        <w:rPr>
          <w:color w:val="231F20"/>
          <w:spacing w:val="-6"/>
          <w:w w:val="110"/>
        </w:rPr>
        <w:t> </w:t>
      </w:r>
      <w:r>
        <w:rPr>
          <w:color w:val="231F20"/>
          <w:w w:val="110"/>
        </w:rPr>
        <w:t>del</w:t>
      </w:r>
      <w:r>
        <w:rPr>
          <w:color w:val="231F20"/>
          <w:spacing w:val="-6"/>
          <w:w w:val="110"/>
        </w:rPr>
        <w:t> </w:t>
      </w:r>
      <w:r>
        <w:rPr>
          <w:color w:val="231F20"/>
          <w:w w:val="110"/>
        </w:rPr>
        <w:t>modo</w:t>
      </w:r>
      <w:r>
        <w:rPr>
          <w:color w:val="231F20"/>
          <w:spacing w:val="-6"/>
          <w:w w:val="110"/>
        </w:rPr>
        <w:t> </w:t>
      </w:r>
      <w:r>
        <w:rPr>
          <w:color w:val="231F20"/>
          <w:w w:val="110"/>
        </w:rPr>
        <w:t>de</w:t>
      </w:r>
      <w:r>
        <w:rPr>
          <w:color w:val="231F20"/>
          <w:spacing w:val="-6"/>
          <w:w w:val="110"/>
        </w:rPr>
        <w:t> </w:t>
      </w:r>
      <w:r>
        <w:rPr>
          <w:color w:val="231F20"/>
          <w:w w:val="110"/>
        </w:rPr>
        <w:t>producción</w:t>
      </w:r>
      <w:r>
        <w:rPr>
          <w:color w:val="231F20"/>
          <w:spacing w:val="-6"/>
          <w:w w:val="110"/>
        </w:rPr>
        <w:t> </w:t>
      </w:r>
      <w:r>
        <w:rPr>
          <w:color w:val="231F20"/>
          <w:w w:val="110"/>
        </w:rPr>
        <w:t>capitalista</w:t>
      </w:r>
      <w:r>
        <w:rPr>
          <w:color w:val="231F20"/>
          <w:spacing w:val="-6"/>
          <w:w w:val="110"/>
        </w:rPr>
        <w:t> </w:t>
      </w:r>
      <w:r>
        <w:rPr>
          <w:color w:val="231F20"/>
          <w:w w:val="110"/>
        </w:rPr>
        <w:t>mundial. </w:t>
      </w:r>
      <w:r>
        <w:rPr>
          <w:color w:val="231F20"/>
          <w:spacing w:val="-5"/>
          <w:w w:val="110"/>
        </w:rPr>
        <w:t>Tema</w:t>
      </w:r>
      <w:r>
        <w:rPr>
          <w:color w:val="231F20"/>
          <w:spacing w:val="-13"/>
          <w:w w:val="110"/>
        </w:rPr>
        <w:t> </w:t>
      </w:r>
      <w:r>
        <w:rPr>
          <w:color w:val="231F20"/>
          <w:w w:val="110"/>
        </w:rPr>
        <w:t>de</w:t>
      </w:r>
      <w:r>
        <w:rPr>
          <w:color w:val="231F20"/>
          <w:spacing w:val="-13"/>
          <w:w w:val="110"/>
        </w:rPr>
        <w:t> </w:t>
      </w:r>
      <w:r>
        <w:rPr>
          <w:color w:val="231F20"/>
          <w:w w:val="110"/>
        </w:rPr>
        <w:t>estudio</w:t>
      </w:r>
      <w:r>
        <w:rPr>
          <w:color w:val="231F20"/>
          <w:spacing w:val="-13"/>
          <w:w w:val="110"/>
        </w:rPr>
        <w:t> </w:t>
      </w:r>
      <w:r>
        <w:rPr>
          <w:color w:val="231F20"/>
          <w:w w:val="110"/>
        </w:rPr>
        <w:t>empírico</w:t>
      </w:r>
      <w:r>
        <w:rPr>
          <w:color w:val="231F20"/>
          <w:spacing w:val="-13"/>
          <w:w w:val="110"/>
        </w:rPr>
        <w:t> </w:t>
      </w:r>
      <w:r>
        <w:rPr>
          <w:color w:val="231F20"/>
          <w:w w:val="110"/>
        </w:rPr>
        <w:t>y</w:t>
      </w:r>
      <w:r>
        <w:rPr>
          <w:color w:val="231F20"/>
          <w:spacing w:val="-13"/>
          <w:w w:val="110"/>
        </w:rPr>
        <w:t> </w:t>
      </w:r>
      <w:r>
        <w:rPr>
          <w:color w:val="231F20"/>
          <w:w w:val="110"/>
        </w:rPr>
        <w:t>reflexión</w:t>
      </w:r>
      <w:r>
        <w:rPr>
          <w:color w:val="231F20"/>
          <w:spacing w:val="-13"/>
          <w:w w:val="110"/>
        </w:rPr>
        <w:t> </w:t>
      </w:r>
      <w:r>
        <w:rPr>
          <w:color w:val="231F20"/>
          <w:w w:val="110"/>
        </w:rPr>
        <w:t>crítica</w:t>
      </w:r>
      <w:r>
        <w:rPr>
          <w:color w:val="231F20"/>
          <w:spacing w:val="-13"/>
          <w:w w:val="110"/>
        </w:rPr>
        <w:t> </w:t>
      </w:r>
      <w:r>
        <w:rPr>
          <w:color w:val="231F20"/>
          <w:w w:val="110"/>
        </w:rPr>
        <w:t>absolutamente</w:t>
      </w:r>
      <w:r>
        <w:rPr>
          <w:color w:val="231F20"/>
          <w:spacing w:val="-13"/>
          <w:w w:val="110"/>
        </w:rPr>
        <w:t> </w:t>
      </w:r>
      <w:r>
        <w:rPr>
          <w:color w:val="231F20"/>
          <w:w w:val="110"/>
        </w:rPr>
        <w:t>necesario para establecer una prospectiva con un mínimo de  </w:t>
      </w:r>
      <w:r>
        <w:rPr>
          <w:color w:val="231F20"/>
          <w:spacing w:val="7"/>
          <w:w w:val="110"/>
        </w:rPr>
        <w:t> </w:t>
      </w:r>
      <w:r>
        <w:rPr>
          <w:color w:val="231F20"/>
          <w:w w:val="110"/>
        </w:rPr>
        <w:t>probabilidad.</w:t>
      </w:r>
    </w:p>
    <w:p>
      <w:pPr>
        <w:pStyle w:val="BodyText"/>
        <w:spacing w:line="261" w:lineRule="auto"/>
        <w:ind w:left="100" w:right="117" w:firstLine="240"/>
        <w:jc w:val="both"/>
      </w:pPr>
      <w:r>
        <w:rPr>
          <w:color w:val="231F20"/>
          <w:w w:val="110"/>
        </w:rPr>
        <w:t>2]</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del</w:t>
      </w:r>
      <w:r>
        <w:rPr>
          <w:color w:val="231F20"/>
          <w:spacing w:val="-14"/>
          <w:w w:val="110"/>
        </w:rPr>
        <w:t> </w:t>
      </w:r>
      <w:r>
        <w:rPr>
          <w:color w:val="231F20"/>
          <w:w w:val="110"/>
        </w:rPr>
        <w:t>sistema.</w:t>
      </w:r>
      <w:r>
        <w:rPr>
          <w:color w:val="231F20"/>
          <w:spacing w:val="-14"/>
          <w:w w:val="110"/>
        </w:rPr>
        <w:t> </w:t>
      </w:r>
      <w:r>
        <w:rPr>
          <w:color w:val="231F20"/>
          <w:w w:val="110"/>
        </w:rPr>
        <w:t>Además</w:t>
      </w:r>
      <w:r>
        <w:rPr>
          <w:color w:val="231F20"/>
          <w:spacing w:val="-14"/>
          <w:w w:val="110"/>
        </w:rPr>
        <w:t> </w:t>
      </w:r>
      <w:r>
        <w:rPr>
          <w:color w:val="231F20"/>
          <w:w w:val="110"/>
        </w:rPr>
        <w:t>de</w:t>
      </w:r>
      <w:r>
        <w:rPr>
          <w:color w:val="231F20"/>
          <w:spacing w:val="-14"/>
          <w:w w:val="110"/>
        </w:rPr>
        <w:t> </w:t>
      </w:r>
      <w:r>
        <w:rPr>
          <w:color w:val="231F20"/>
          <w:w w:val="110"/>
        </w:rPr>
        <w:t>su</w:t>
      </w:r>
      <w:r>
        <w:rPr>
          <w:color w:val="231F20"/>
          <w:spacing w:val="-14"/>
          <w:w w:val="110"/>
        </w:rPr>
        <w:t> </w:t>
      </w:r>
      <w:r>
        <w:rPr>
          <w:color w:val="231F20"/>
          <w:w w:val="110"/>
        </w:rPr>
        <w:t>dimensión</w:t>
      </w:r>
      <w:r>
        <w:rPr>
          <w:color w:val="231F20"/>
          <w:spacing w:val="-14"/>
          <w:w w:val="110"/>
        </w:rPr>
        <w:t> </w:t>
      </w:r>
      <w:r>
        <w:rPr>
          <w:color w:val="231F20"/>
          <w:w w:val="110"/>
        </w:rPr>
        <w:t>global,</w:t>
      </w:r>
      <w:r>
        <w:rPr>
          <w:color w:val="231F20"/>
          <w:spacing w:val="-14"/>
          <w:w w:val="110"/>
        </w:rPr>
        <w:t> </w:t>
      </w:r>
      <w:r>
        <w:rPr>
          <w:color w:val="231F20"/>
          <w:w w:val="110"/>
        </w:rPr>
        <w:t>estudiada en la primera parte, se hace necesario poner en cuestión la forma misma</w:t>
      </w:r>
      <w:r>
        <w:rPr>
          <w:color w:val="231F20"/>
          <w:spacing w:val="-6"/>
          <w:w w:val="110"/>
        </w:rPr>
        <w:t> </w:t>
      </w:r>
      <w:r>
        <w:rPr>
          <w:color w:val="231F20"/>
          <w:w w:val="110"/>
        </w:rPr>
        <w:t>como</w:t>
      </w:r>
      <w:r>
        <w:rPr>
          <w:color w:val="231F20"/>
          <w:spacing w:val="-6"/>
          <w:w w:val="110"/>
        </w:rPr>
        <w:t> </w:t>
      </w:r>
      <w:r>
        <w:rPr>
          <w:color w:val="231F20"/>
          <w:w w:val="110"/>
        </w:rPr>
        <w:t>funciona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plano</w:t>
      </w:r>
      <w:r>
        <w:rPr>
          <w:color w:val="231F20"/>
          <w:spacing w:val="-6"/>
          <w:w w:val="110"/>
        </w:rPr>
        <w:t> </w:t>
      </w:r>
      <w:r>
        <w:rPr>
          <w:color w:val="231F20"/>
          <w:w w:val="110"/>
        </w:rPr>
        <w:t>internacional,</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propio</w:t>
      </w:r>
      <w:r>
        <w:rPr>
          <w:color w:val="231F20"/>
          <w:spacing w:val="-6"/>
          <w:w w:val="110"/>
        </w:rPr>
        <w:t> </w:t>
      </w:r>
      <w:r>
        <w:rPr>
          <w:color w:val="231F20"/>
          <w:w w:val="110"/>
        </w:rPr>
        <w:t>sistema mundial, es </w:t>
      </w:r>
      <w:r>
        <w:rPr>
          <w:color w:val="231F20"/>
          <w:spacing w:val="-3"/>
          <w:w w:val="110"/>
        </w:rPr>
        <w:t>decir, </w:t>
      </w:r>
      <w:r>
        <w:rPr>
          <w:color w:val="231F20"/>
          <w:w w:val="110"/>
        </w:rPr>
        <w:t>cómo los cambios del centro hegemónico,</w:t>
      </w:r>
      <w:r>
        <w:rPr>
          <w:color w:val="231F20"/>
          <w:spacing w:val="-34"/>
          <w:w w:val="110"/>
        </w:rPr>
        <w:t> </w:t>
      </w:r>
      <w:r>
        <w:rPr>
          <w:color w:val="231F20"/>
          <w:w w:val="110"/>
        </w:rPr>
        <w:t>función que Estados Unidos ejerce desde la segunda guerra mundial, de manera incontestable, que se presentaron durante todo el desarro-  llo del moderno sistema mundial capitalista, y cuya crisis llevó a un cambio del propio sistema mundial. El estudio de la decadencia de esta posición hegemónica y sus efectos sobre el centro del sistema  se convierte así en un campo reflexivo y crítico de todo el sistema. En este punto, las contradicciones internas del sistema mundial, sea en el plano interno de la economía, de la sociedad o de la cultura  del centro, sea en sus relaciones con las potencias más próximas al centro (en este caso, la llamada tríada), sea en las articulaciones con el</w:t>
      </w:r>
      <w:r>
        <w:rPr>
          <w:color w:val="231F20"/>
          <w:spacing w:val="30"/>
          <w:w w:val="110"/>
        </w:rPr>
        <w:t> </w:t>
      </w:r>
      <w:r>
        <w:rPr>
          <w:color w:val="231F20"/>
          <w:w w:val="110"/>
        </w:rPr>
        <w:t>dinamismo</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nuevas</w:t>
      </w:r>
      <w:r>
        <w:rPr>
          <w:color w:val="231F20"/>
          <w:spacing w:val="30"/>
          <w:w w:val="110"/>
        </w:rPr>
        <w:t> </w:t>
      </w:r>
      <w:r>
        <w:rPr>
          <w:color w:val="231F20"/>
          <w:w w:val="110"/>
        </w:rPr>
        <w:t>economías</w:t>
      </w:r>
      <w:r>
        <w:rPr>
          <w:color w:val="231F20"/>
          <w:spacing w:val="30"/>
          <w:w w:val="110"/>
        </w:rPr>
        <w:t> </w:t>
      </w:r>
      <w:r>
        <w:rPr>
          <w:color w:val="231F20"/>
          <w:w w:val="110"/>
        </w:rPr>
        <w:t>llamadas</w:t>
      </w:r>
      <w:r>
        <w:rPr>
          <w:color w:val="231F20"/>
          <w:spacing w:val="30"/>
          <w:w w:val="110"/>
        </w:rPr>
        <w:t> </w:t>
      </w:r>
      <w:r>
        <w:rPr>
          <w:color w:val="231F20"/>
          <w:w w:val="110"/>
        </w:rPr>
        <w:t>emergentes</w:t>
      </w:r>
      <w:r>
        <w:rPr>
          <w:color w:val="231F20"/>
          <w:spacing w:val="30"/>
          <w:w w:val="110"/>
        </w:rPr>
        <w:t> </w:t>
      </w:r>
      <w:r>
        <w:rPr>
          <w:color w:val="231F20"/>
          <w:w w:val="110"/>
        </w:rPr>
        <w:t>(que</w:t>
      </w:r>
    </w:p>
    <w:p>
      <w:pPr>
        <w:spacing w:after="0" w:line="261" w:lineRule="auto"/>
        <w:jc w:val="both"/>
        <w:sectPr>
          <w:headerReference w:type="even" r:id="rId36"/>
          <w:headerReference w:type="default" r:id="rId37"/>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tienen su expresión en los llamados bric) sea en sus articulaciones con los centros exportadores que se convierten también en centros financieros colosales, sea en su relación con las enormes masas de excluidos de la dinámica central del sistema.</w:t>
      </w:r>
    </w:p>
    <w:p>
      <w:pPr>
        <w:pStyle w:val="BodyText"/>
        <w:spacing w:line="261" w:lineRule="auto"/>
        <w:ind w:left="100" w:right="117" w:firstLine="240"/>
        <w:jc w:val="both"/>
      </w:pPr>
      <w:r>
        <w:rPr>
          <w:color w:val="231F20"/>
          <w:w w:val="110"/>
        </w:rPr>
        <w:t>3]</w:t>
      </w:r>
      <w:r>
        <w:rPr>
          <w:color w:val="231F20"/>
          <w:spacing w:val="-14"/>
          <w:w w:val="110"/>
        </w:rPr>
        <w:t> </w:t>
      </w:r>
      <w:r>
        <w:rPr>
          <w:color w:val="231F20"/>
          <w:w w:val="110"/>
        </w:rPr>
        <w:t>Los</w:t>
      </w:r>
      <w:r>
        <w:rPr>
          <w:color w:val="231F20"/>
          <w:spacing w:val="-14"/>
          <w:w w:val="110"/>
        </w:rPr>
        <w:t> </w:t>
      </w:r>
      <w:r>
        <w:rPr>
          <w:color w:val="231F20"/>
          <w:w w:val="110"/>
        </w:rPr>
        <w:t>elementos</w:t>
      </w:r>
      <w:r>
        <w:rPr>
          <w:color w:val="231F20"/>
          <w:spacing w:val="-14"/>
          <w:w w:val="110"/>
        </w:rPr>
        <w:t> </w:t>
      </w:r>
      <w:r>
        <w:rPr>
          <w:color w:val="231F20"/>
          <w:w w:val="110"/>
        </w:rPr>
        <w:t>subjetivos</w:t>
      </w:r>
      <w:r>
        <w:rPr>
          <w:color w:val="231F20"/>
          <w:spacing w:val="-14"/>
          <w:w w:val="110"/>
        </w:rPr>
        <w:t> </w:t>
      </w:r>
      <w:r>
        <w:rPr>
          <w:color w:val="231F20"/>
          <w:w w:val="110"/>
        </w:rPr>
        <w:t>y</w:t>
      </w:r>
      <w:r>
        <w:rPr>
          <w:color w:val="231F20"/>
          <w:spacing w:val="-14"/>
          <w:w w:val="110"/>
        </w:rPr>
        <w:t> </w:t>
      </w:r>
      <w:r>
        <w:rPr>
          <w:color w:val="231F20"/>
          <w:w w:val="110"/>
        </w:rPr>
        <w:t>los</w:t>
      </w:r>
      <w:r>
        <w:rPr>
          <w:color w:val="231F20"/>
          <w:spacing w:val="-14"/>
          <w:w w:val="110"/>
        </w:rPr>
        <w:t> </w:t>
      </w:r>
      <w:r>
        <w:rPr>
          <w:color w:val="231F20"/>
          <w:w w:val="110"/>
        </w:rPr>
        <w:t>movimientos</w:t>
      </w:r>
      <w:r>
        <w:rPr>
          <w:color w:val="231F20"/>
          <w:spacing w:val="-14"/>
          <w:w w:val="110"/>
        </w:rPr>
        <w:t> </w:t>
      </w:r>
      <w:r>
        <w:rPr>
          <w:color w:val="231F20"/>
          <w:w w:val="110"/>
        </w:rPr>
        <w:t>sociales.</w:t>
      </w:r>
      <w:r>
        <w:rPr>
          <w:color w:val="231F20"/>
          <w:spacing w:val="-14"/>
          <w:w w:val="110"/>
        </w:rPr>
        <w:t> </w:t>
      </w:r>
      <w:r>
        <w:rPr>
          <w:color w:val="231F20"/>
          <w:w w:val="110"/>
        </w:rPr>
        <w:t>Dentro</w:t>
      </w:r>
      <w:r>
        <w:rPr>
          <w:color w:val="231F20"/>
          <w:spacing w:val="-14"/>
          <w:w w:val="110"/>
        </w:rPr>
        <w:t> </w:t>
      </w:r>
      <w:r>
        <w:rPr>
          <w:color w:val="231F20"/>
          <w:w w:val="110"/>
        </w:rPr>
        <w:t>de este cuadro, se destaca de inmediato la incorporación subjetiva y</w:t>
      </w:r>
      <w:r>
        <w:rPr>
          <w:color w:val="231F20"/>
          <w:spacing w:val="-22"/>
          <w:w w:val="110"/>
        </w:rPr>
        <w:t> </w:t>
      </w:r>
      <w:r>
        <w:rPr>
          <w:color w:val="231F20"/>
          <w:w w:val="110"/>
        </w:rPr>
        <w:t>ac- tiva de estos cambios en una nueva geopolítica que exige un estudio profundo para orientar las perspectivas de América Latina que, al adquirir</w:t>
      </w:r>
      <w:r>
        <w:rPr>
          <w:color w:val="231F20"/>
          <w:spacing w:val="-15"/>
          <w:w w:val="110"/>
        </w:rPr>
        <w:t> </w:t>
      </w:r>
      <w:r>
        <w:rPr>
          <w:color w:val="231F20"/>
          <w:w w:val="110"/>
        </w:rPr>
        <w:t>una</w:t>
      </w:r>
      <w:r>
        <w:rPr>
          <w:color w:val="231F20"/>
          <w:spacing w:val="-15"/>
          <w:w w:val="110"/>
        </w:rPr>
        <w:t> </w:t>
      </w:r>
      <w:r>
        <w:rPr>
          <w:color w:val="231F20"/>
          <w:w w:val="110"/>
        </w:rPr>
        <w:t>voluntad</w:t>
      </w:r>
      <w:r>
        <w:rPr>
          <w:color w:val="231F20"/>
          <w:spacing w:val="-15"/>
          <w:w w:val="110"/>
        </w:rPr>
        <w:t> </w:t>
      </w:r>
      <w:r>
        <w:rPr>
          <w:color w:val="231F20"/>
          <w:w w:val="110"/>
        </w:rPr>
        <w:t>regional</w:t>
      </w:r>
      <w:r>
        <w:rPr>
          <w:color w:val="231F20"/>
          <w:spacing w:val="-15"/>
          <w:w w:val="110"/>
        </w:rPr>
        <w:t> </w:t>
      </w:r>
      <w:r>
        <w:rPr>
          <w:color w:val="231F20"/>
          <w:w w:val="110"/>
        </w:rPr>
        <w:t>apoyada</w:t>
      </w:r>
      <w:r>
        <w:rPr>
          <w:color w:val="231F20"/>
          <w:spacing w:val="-15"/>
          <w:w w:val="110"/>
        </w:rPr>
        <w:t> </w:t>
      </w:r>
      <w:r>
        <w:rPr>
          <w:color w:val="231F20"/>
          <w:w w:val="110"/>
        </w:rPr>
        <w:t>en</w:t>
      </w:r>
      <w:r>
        <w:rPr>
          <w:color w:val="231F20"/>
          <w:spacing w:val="-15"/>
          <w:w w:val="110"/>
        </w:rPr>
        <w:t> </w:t>
      </w:r>
      <w:r>
        <w:rPr>
          <w:color w:val="231F20"/>
          <w:w w:val="110"/>
        </w:rPr>
        <w:t>fuertes</w:t>
      </w:r>
      <w:r>
        <w:rPr>
          <w:color w:val="231F20"/>
          <w:spacing w:val="-15"/>
          <w:w w:val="110"/>
        </w:rPr>
        <w:t> </w:t>
      </w:r>
      <w:r>
        <w:rPr>
          <w:color w:val="231F20"/>
          <w:w w:val="110"/>
        </w:rPr>
        <w:t>sentimientos</w:t>
      </w:r>
      <w:r>
        <w:rPr>
          <w:color w:val="231F20"/>
          <w:spacing w:val="-15"/>
          <w:w w:val="110"/>
        </w:rPr>
        <w:t> </w:t>
      </w:r>
      <w:r>
        <w:rPr>
          <w:color w:val="231F20"/>
          <w:w w:val="110"/>
        </w:rPr>
        <w:t>de</w:t>
      </w:r>
      <w:r>
        <w:rPr>
          <w:color w:val="231F20"/>
          <w:spacing w:val="-15"/>
          <w:w w:val="110"/>
        </w:rPr>
        <w:t> </w:t>
      </w:r>
      <w:r>
        <w:rPr>
          <w:color w:val="231F20"/>
          <w:w w:val="110"/>
        </w:rPr>
        <w:t>so- beranías nacionales rezagadas históricamente, se constituye</w:t>
      </w:r>
      <w:r>
        <w:rPr>
          <w:color w:val="231F20"/>
          <w:spacing w:val="-5"/>
          <w:w w:val="110"/>
        </w:rPr>
        <w:t> </w:t>
      </w:r>
      <w:r>
        <w:rPr>
          <w:color w:val="231F20"/>
          <w:w w:val="110"/>
        </w:rPr>
        <w:t>también en un centro de producción de estrategias de acción internacional. El centro del sistema tiene que lidiar ahora no solamente con las múltiples fuerzas sociales que se mueven en su interior sino</w:t>
      </w:r>
      <w:r>
        <w:rPr>
          <w:color w:val="231F20"/>
          <w:spacing w:val="-30"/>
          <w:w w:val="110"/>
        </w:rPr>
        <w:t> </w:t>
      </w:r>
      <w:r>
        <w:rPr>
          <w:color w:val="231F20"/>
          <w:w w:val="110"/>
        </w:rPr>
        <w:t>también con dinámicas mucho más complejas que se integran en un gran movimiento mundial desafiador de su poder y de su hegemonía. Es así que el estudio de los movimientos sociales en Estados Unidos se convierte en un campo de investigación impresionante que no podrá se captado solamente desde el punto de vista de sus agentes inter- nos. Son movimientos internacionales que se mostraron en todo su potencial durante las gigantescas manifestaciones de Seattle,</w:t>
      </w:r>
      <w:r>
        <w:rPr>
          <w:color w:val="231F20"/>
          <w:spacing w:val="-24"/>
          <w:w w:val="110"/>
        </w:rPr>
        <w:t> </w:t>
      </w:r>
      <w:r>
        <w:rPr>
          <w:color w:val="231F20"/>
          <w:w w:val="110"/>
        </w:rPr>
        <w:t>cuando el movimiento sindical de Estados Unidos, fuertemente penetrado por los emigrantes latinos, se unieron a los nuevos movimientos sociales de todo el mundo para colocar en la pared la creación de    la Organización Mundial del Comercio y las posiciones impositivas del gobierno de Estados Unidos. Se hace necesario acompañar esta dinámica interna en su articulación con la dinámica internacional para</w:t>
      </w:r>
      <w:r>
        <w:rPr>
          <w:color w:val="231F20"/>
          <w:spacing w:val="-7"/>
          <w:w w:val="110"/>
        </w:rPr>
        <w:t> </w:t>
      </w:r>
      <w:r>
        <w:rPr>
          <w:color w:val="231F20"/>
          <w:w w:val="110"/>
        </w:rPr>
        <w:t>comprender</w:t>
      </w:r>
      <w:r>
        <w:rPr>
          <w:color w:val="231F20"/>
          <w:spacing w:val="-7"/>
          <w:w w:val="110"/>
        </w:rPr>
        <w:t> </w:t>
      </w:r>
      <w:r>
        <w:rPr>
          <w:color w:val="231F20"/>
          <w:w w:val="110"/>
        </w:rPr>
        <w:t>el</w:t>
      </w:r>
      <w:r>
        <w:rPr>
          <w:color w:val="231F20"/>
          <w:spacing w:val="-7"/>
          <w:w w:val="110"/>
        </w:rPr>
        <w:t> </w:t>
      </w:r>
      <w:r>
        <w:rPr>
          <w:color w:val="231F20"/>
          <w:w w:val="110"/>
        </w:rPr>
        <w:t>papel</w:t>
      </w:r>
      <w:r>
        <w:rPr>
          <w:color w:val="231F20"/>
          <w:spacing w:val="-7"/>
          <w:w w:val="110"/>
        </w:rPr>
        <w:t> </w:t>
      </w:r>
      <w:r>
        <w:rPr>
          <w:color w:val="231F20"/>
          <w:w w:val="110"/>
        </w:rPr>
        <w:t>creciente</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nueva</w:t>
      </w:r>
      <w:r>
        <w:rPr>
          <w:color w:val="231F20"/>
          <w:spacing w:val="-7"/>
          <w:w w:val="110"/>
        </w:rPr>
        <w:t> </w:t>
      </w:r>
      <w:r>
        <w:rPr>
          <w:color w:val="231F20"/>
          <w:w w:val="110"/>
        </w:rPr>
        <w:t>subjetividad</w:t>
      </w:r>
      <w:r>
        <w:rPr>
          <w:color w:val="231F20"/>
          <w:spacing w:val="-7"/>
          <w:w w:val="110"/>
        </w:rPr>
        <w:t> </w:t>
      </w:r>
      <w:r>
        <w:rPr>
          <w:color w:val="231F20"/>
          <w:w w:val="110"/>
        </w:rPr>
        <w:t>que</w:t>
      </w:r>
      <w:r>
        <w:rPr>
          <w:color w:val="231F20"/>
          <w:spacing w:val="-7"/>
          <w:w w:val="110"/>
        </w:rPr>
        <w:t> </w:t>
      </w:r>
      <w:r>
        <w:rPr>
          <w:color w:val="231F20"/>
          <w:w w:val="110"/>
        </w:rPr>
        <w:t>se hace</w:t>
      </w:r>
      <w:r>
        <w:rPr>
          <w:color w:val="231F20"/>
          <w:spacing w:val="-4"/>
          <w:w w:val="110"/>
        </w:rPr>
        <w:t> </w:t>
      </w:r>
      <w:r>
        <w:rPr>
          <w:color w:val="231F20"/>
          <w:w w:val="110"/>
        </w:rPr>
        <w:t>crítica</w:t>
      </w:r>
      <w:r>
        <w:rPr>
          <w:color w:val="231F20"/>
          <w:spacing w:val="-4"/>
          <w:w w:val="110"/>
        </w:rPr>
        <w:t> </w:t>
      </w:r>
      <w:r>
        <w:rPr>
          <w:color w:val="231F20"/>
          <w:w w:val="110"/>
        </w:rPr>
        <w:t>y</w:t>
      </w:r>
      <w:r>
        <w:rPr>
          <w:color w:val="231F20"/>
          <w:spacing w:val="-4"/>
          <w:w w:val="110"/>
        </w:rPr>
        <w:t> </w:t>
      </w:r>
      <w:r>
        <w:rPr>
          <w:color w:val="231F20"/>
          <w:w w:val="110"/>
        </w:rPr>
        <w:t>se</w:t>
      </w:r>
      <w:r>
        <w:rPr>
          <w:color w:val="231F20"/>
          <w:spacing w:val="-4"/>
          <w:w w:val="110"/>
        </w:rPr>
        <w:t> </w:t>
      </w:r>
      <w:r>
        <w:rPr>
          <w:color w:val="231F20"/>
          <w:w w:val="110"/>
        </w:rPr>
        <w:t>convierte</w:t>
      </w:r>
      <w:r>
        <w:rPr>
          <w:color w:val="231F20"/>
          <w:spacing w:val="-4"/>
          <w:w w:val="110"/>
        </w:rPr>
        <w:t> </w:t>
      </w:r>
      <w:r>
        <w:rPr>
          <w:color w:val="231F20"/>
          <w:w w:val="110"/>
        </w:rPr>
        <w:t>en</w:t>
      </w:r>
      <w:r>
        <w:rPr>
          <w:color w:val="231F20"/>
          <w:spacing w:val="-4"/>
          <w:w w:val="110"/>
        </w:rPr>
        <w:t> </w:t>
      </w:r>
      <w:r>
        <w:rPr>
          <w:color w:val="231F20"/>
          <w:w w:val="110"/>
        </w:rPr>
        <w:t>una</w:t>
      </w:r>
      <w:r>
        <w:rPr>
          <w:color w:val="231F20"/>
          <w:spacing w:val="-4"/>
          <w:w w:val="110"/>
        </w:rPr>
        <w:t> </w:t>
      </w:r>
      <w:r>
        <w:rPr>
          <w:color w:val="231F20"/>
          <w:w w:val="110"/>
        </w:rPr>
        <w:t>conciencia</w:t>
      </w:r>
      <w:r>
        <w:rPr>
          <w:color w:val="231F20"/>
          <w:spacing w:val="-4"/>
          <w:w w:val="110"/>
        </w:rPr>
        <w:t> </w:t>
      </w:r>
      <w:r>
        <w:rPr>
          <w:color w:val="231F20"/>
          <w:w w:val="110"/>
        </w:rPr>
        <w:t>“para</w:t>
      </w:r>
      <w:r>
        <w:rPr>
          <w:color w:val="231F20"/>
          <w:spacing w:val="-4"/>
          <w:w w:val="110"/>
        </w:rPr>
        <w:t> </w:t>
      </w:r>
      <w:r>
        <w:rPr>
          <w:color w:val="231F20"/>
          <w:w w:val="110"/>
        </w:rPr>
        <w:t>sí”,</w:t>
      </w:r>
      <w:r>
        <w:rPr>
          <w:color w:val="231F20"/>
          <w:spacing w:val="-4"/>
          <w:w w:val="110"/>
        </w:rPr>
        <w:t> </w:t>
      </w:r>
      <w:r>
        <w:rPr>
          <w:color w:val="231F20"/>
          <w:w w:val="110"/>
        </w:rPr>
        <w:t>que</w:t>
      </w:r>
      <w:r>
        <w:rPr>
          <w:color w:val="231F20"/>
          <w:spacing w:val="-4"/>
          <w:w w:val="110"/>
        </w:rPr>
        <w:t> </w:t>
      </w:r>
      <w:r>
        <w:rPr>
          <w:color w:val="231F20"/>
          <w:w w:val="110"/>
        </w:rPr>
        <w:t>subvierte el concepto liberal de democracia y lo restituye poco a poco a su sentido original de soberanía </w:t>
      </w:r>
      <w:r>
        <w:rPr>
          <w:color w:val="231F20"/>
          <w:spacing w:val="22"/>
          <w:w w:val="110"/>
        </w:rPr>
        <w:t> </w:t>
      </w:r>
      <w:r>
        <w:rPr>
          <w:color w:val="231F20"/>
          <w:spacing w:val="-3"/>
          <w:w w:val="110"/>
        </w:rPr>
        <w:t>popular.</w:t>
      </w:r>
    </w:p>
    <w:p>
      <w:pPr>
        <w:pStyle w:val="BodyText"/>
        <w:spacing w:line="261" w:lineRule="auto"/>
        <w:ind w:left="100" w:right="119" w:firstLine="240"/>
        <w:jc w:val="both"/>
      </w:pPr>
      <w:r>
        <w:rPr>
          <w:color w:val="231F20"/>
          <w:w w:val="110"/>
        </w:rPr>
        <w:t>En</w:t>
      </w:r>
      <w:r>
        <w:rPr>
          <w:color w:val="231F20"/>
          <w:spacing w:val="-15"/>
          <w:w w:val="110"/>
        </w:rPr>
        <w:t> </w:t>
      </w:r>
      <w:r>
        <w:rPr>
          <w:color w:val="231F20"/>
          <w:w w:val="110"/>
        </w:rPr>
        <w:t>otros</w:t>
      </w:r>
      <w:r>
        <w:rPr>
          <w:color w:val="231F20"/>
          <w:spacing w:val="-15"/>
          <w:w w:val="110"/>
        </w:rPr>
        <w:t> </w:t>
      </w:r>
      <w:r>
        <w:rPr>
          <w:color w:val="231F20"/>
          <w:w w:val="110"/>
        </w:rPr>
        <w:t>libros</w:t>
      </w:r>
      <w:r>
        <w:rPr>
          <w:color w:val="231F20"/>
          <w:spacing w:val="-15"/>
          <w:w w:val="110"/>
        </w:rPr>
        <w:t> </w:t>
      </w:r>
      <w:r>
        <w:rPr>
          <w:color w:val="231F20"/>
          <w:w w:val="110"/>
        </w:rPr>
        <w:t>publicados</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grupo</w:t>
      </w:r>
      <w:r>
        <w:rPr>
          <w:color w:val="231F20"/>
          <w:spacing w:val="-15"/>
          <w:w w:val="110"/>
        </w:rPr>
        <w:t> </w:t>
      </w:r>
      <w:r>
        <w:rPr>
          <w:color w:val="231F20"/>
          <w:w w:val="110"/>
        </w:rPr>
        <w:t>de</w:t>
      </w:r>
      <w:r>
        <w:rPr>
          <w:color w:val="231F20"/>
          <w:spacing w:val="-15"/>
          <w:w w:val="110"/>
        </w:rPr>
        <w:t> </w:t>
      </w:r>
      <w:r>
        <w:rPr>
          <w:color w:val="231F20"/>
          <w:w w:val="110"/>
        </w:rPr>
        <w:t>trabajo</w:t>
      </w:r>
      <w:r>
        <w:rPr>
          <w:color w:val="231F20"/>
          <w:spacing w:val="-15"/>
          <w:w w:val="110"/>
        </w:rPr>
        <w:t> </w:t>
      </w:r>
      <w:r>
        <w:rPr>
          <w:color w:val="231F20"/>
          <w:w w:val="110"/>
        </w:rPr>
        <w:t>se</w:t>
      </w:r>
      <w:r>
        <w:rPr>
          <w:color w:val="231F20"/>
          <w:spacing w:val="-15"/>
          <w:w w:val="110"/>
        </w:rPr>
        <w:t> </w:t>
      </w:r>
      <w:r>
        <w:rPr>
          <w:color w:val="231F20"/>
          <w:w w:val="110"/>
        </w:rPr>
        <w:t>ha</w:t>
      </w:r>
      <w:r>
        <w:rPr>
          <w:color w:val="231F20"/>
          <w:spacing w:val="-15"/>
          <w:w w:val="110"/>
        </w:rPr>
        <w:t> </w:t>
      </w:r>
      <w:r>
        <w:rPr>
          <w:color w:val="231F20"/>
          <w:w w:val="110"/>
        </w:rPr>
        <w:t>insistido</w:t>
      </w:r>
      <w:r>
        <w:rPr>
          <w:color w:val="231F20"/>
          <w:spacing w:val="-15"/>
          <w:w w:val="110"/>
        </w:rPr>
        <w:t> </w:t>
      </w:r>
      <w:r>
        <w:rPr>
          <w:color w:val="231F20"/>
          <w:w w:val="110"/>
        </w:rPr>
        <w:t>en el</w:t>
      </w:r>
      <w:r>
        <w:rPr>
          <w:color w:val="231F20"/>
          <w:spacing w:val="-33"/>
          <w:w w:val="110"/>
        </w:rPr>
        <w:t> </w:t>
      </w:r>
      <w:r>
        <w:rPr>
          <w:color w:val="231F20"/>
          <w:w w:val="110"/>
        </w:rPr>
        <w:t>estudio</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nuevos</w:t>
      </w:r>
      <w:r>
        <w:rPr>
          <w:color w:val="231F20"/>
          <w:spacing w:val="-33"/>
          <w:w w:val="110"/>
        </w:rPr>
        <w:t> </w:t>
      </w:r>
      <w:r>
        <w:rPr>
          <w:color w:val="231F20"/>
          <w:w w:val="110"/>
        </w:rPr>
        <w:t>sujetos</w:t>
      </w:r>
      <w:r>
        <w:rPr>
          <w:color w:val="231F20"/>
          <w:spacing w:val="-33"/>
          <w:w w:val="110"/>
        </w:rPr>
        <w:t> </w:t>
      </w:r>
      <w:r>
        <w:rPr>
          <w:color w:val="231F20"/>
          <w:w w:val="110"/>
        </w:rPr>
        <w:t>históricos</w:t>
      </w:r>
      <w:r>
        <w:rPr>
          <w:color w:val="231F20"/>
          <w:spacing w:val="-33"/>
          <w:w w:val="110"/>
        </w:rPr>
        <w:t> </w:t>
      </w:r>
      <w:r>
        <w:rPr>
          <w:color w:val="231F20"/>
          <w:w w:val="110"/>
        </w:rPr>
        <w:t>de</w:t>
      </w:r>
      <w:r>
        <w:rPr>
          <w:color w:val="231F20"/>
          <w:spacing w:val="-33"/>
          <w:w w:val="110"/>
        </w:rPr>
        <w:t> </w:t>
      </w:r>
      <w:r>
        <w:rPr>
          <w:color w:val="231F20"/>
          <w:w w:val="110"/>
        </w:rPr>
        <w:t>este</w:t>
      </w:r>
      <w:r>
        <w:rPr>
          <w:color w:val="231F20"/>
          <w:spacing w:val="-33"/>
          <w:w w:val="110"/>
        </w:rPr>
        <w:t> </w:t>
      </w:r>
      <w:r>
        <w:rPr>
          <w:color w:val="231F20"/>
          <w:w w:val="110"/>
        </w:rPr>
        <w:t>proceso</w:t>
      </w:r>
      <w:r>
        <w:rPr>
          <w:color w:val="231F20"/>
          <w:spacing w:val="-33"/>
          <w:w w:val="110"/>
        </w:rPr>
        <w:t> </w:t>
      </w:r>
      <w:r>
        <w:rPr>
          <w:color w:val="231F20"/>
          <w:w w:val="110"/>
        </w:rPr>
        <w:t>de</w:t>
      </w:r>
      <w:r>
        <w:rPr>
          <w:color w:val="231F20"/>
          <w:spacing w:val="-33"/>
          <w:w w:val="110"/>
        </w:rPr>
        <w:t> </w:t>
      </w:r>
      <w:r>
        <w:rPr>
          <w:color w:val="231F20"/>
          <w:w w:val="110"/>
        </w:rPr>
        <w:t>afirmación regional.</w:t>
      </w:r>
      <w:r>
        <w:rPr>
          <w:color w:val="231F20"/>
          <w:spacing w:val="-14"/>
          <w:w w:val="110"/>
        </w:rPr>
        <w:t> </w:t>
      </w:r>
      <w:r>
        <w:rPr>
          <w:color w:val="231F20"/>
          <w:w w:val="110"/>
        </w:rPr>
        <w:t>Ahí</w:t>
      </w:r>
      <w:r>
        <w:rPr>
          <w:color w:val="231F20"/>
          <w:spacing w:val="-14"/>
          <w:w w:val="110"/>
        </w:rPr>
        <w:t> </w:t>
      </w:r>
      <w:r>
        <w:rPr>
          <w:color w:val="231F20"/>
          <w:w w:val="110"/>
        </w:rPr>
        <w:t>se</w:t>
      </w:r>
      <w:r>
        <w:rPr>
          <w:color w:val="231F20"/>
          <w:spacing w:val="-14"/>
          <w:w w:val="110"/>
        </w:rPr>
        <w:t> </w:t>
      </w:r>
      <w:r>
        <w:rPr>
          <w:color w:val="231F20"/>
          <w:w w:val="110"/>
        </w:rPr>
        <w:t>encuentran</w:t>
      </w:r>
      <w:r>
        <w:rPr>
          <w:color w:val="231F20"/>
          <w:spacing w:val="-14"/>
          <w:w w:val="110"/>
        </w:rPr>
        <w:t> </w:t>
      </w:r>
      <w:r>
        <w:rPr>
          <w:color w:val="231F20"/>
          <w:w w:val="110"/>
        </w:rPr>
        <w:t>no</w:t>
      </w:r>
      <w:r>
        <w:rPr>
          <w:color w:val="231F20"/>
          <w:spacing w:val="-14"/>
          <w:w w:val="110"/>
        </w:rPr>
        <w:t> </w:t>
      </w:r>
      <w:r>
        <w:rPr>
          <w:color w:val="231F20"/>
          <w:w w:val="110"/>
        </w:rPr>
        <w:t>solamente</w:t>
      </w:r>
      <w:r>
        <w:rPr>
          <w:color w:val="231F20"/>
          <w:spacing w:val="-14"/>
          <w:w w:val="110"/>
        </w:rPr>
        <w:t> </w:t>
      </w:r>
      <w:r>
        <w:rPr>
          <w:color w:val="231F20"/>
          <w:w w:val="110"/>
        </w:rPr>
        <w:t>las</w:t>
      </w:r>
      <w:r>
        <w:rPr>
          <w:color w:val="231F20"/>
          <w:spacing w:val="-14"/>
          <w:w w:val="110"/>
        </w:rPr>
        <w:t> </w:t>
      </w:r>
      <w:r>
        <w:rPr>
          <w:color w:val="231F20"/>
          <w:w w:val="110"/>
        </w:rPr>
        <w:t>fuerzas</w:t>
      </w:r>
      <w:r>
        <w:rPr>
          <w:color w:val="231F20"/>
          <w:spacing w:val="-14"/>
          <w:w w:val="110"/>
        </w:rPr>
        <w:t> </w:t>
      </w:r>
      <w:r>
        <w:rPr>
          <w:color w:val="231F20"/>
          <w:w w:val="110"/>
        </w:rPr>
        <w:t>propias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ex- pansión</w:t>
      </w:r>
      <w:r>
        <w:rPr>
          <w:color w:val="231F20"/>
          <w:spacing w:val="-40"/>
          <w:w w:val="110"/>
        </w:rPr>
        <w:t> </w:t>
      </w:r>
      <w:r>
        <w:rPr>
          <w:color w:val="231F20"/>
          <w:w w:val="110"/>
        </w:rPr>
        <w:t>capitalista,</w:t>
      </w:r>
      <w:r>
        <w:rPr>
          <w:color w:val="231F20"/>
          <w:spacing w:val="-40"/>
          <w:w w:val="110"/>
        </w:rPr>
        <w:t> </w:t>
      </w:r>
      <w:r>
        <w:rPr>
          <w:color w:val="231F20"/>
          <w:w w:val="110"/>
        </w:rPr>
        <w:t>como</w:t>
      </w:r>
      <w:r>
        <w:rPr>
          <w:color w:val="231F20"/>
          <w:spacing w:val="-40"/>
          <w:w w:val="110"/>
        </w:rPr>
        <w:t> </w:t>
      </w:r>
      <w:r>
        <w:rPr>
          <w:color w:val="231F20"/>
          <w:w w:val="110"/>
        </w:rPr>
        <w:t>las</w:t>
      </w:r>
      <w:r>
        <w:rPr>
          <w:color w:val="231F20"/>
          <w:spacing w:val="-40"/>
          <w:w w:val="110"/>
        </w:rPr>
        <w:t> </w:t>
      </w:r>
      <w:r>
        <w:rPr>
          <w:color w:val="231F20"/>
          <w:w w:val="110"/>
        </w:rPr>
        <w:t>clases</w:t>
      </w:r>
      <w:r>
        <w:rPr>
          <w:color w:val="231F20"/>
          <w:spacing w:val="-40"/>
          <w:w w:val="110"/>
        </w:rPr>
        <w:t> </w:t>
      </w:r>
      <w:r>
        <w:rPr>
          <w:color w:val="231F20"/>
          <w:w w:val="110"/>
        </w:rPr>
        <w:t>dominantes</w:t>
      </w:r>
      <w:r>
        <w:rPr>
          <w:color w:val="231F20"/>
          <w:spacing w:val="-40"/>
          <w:w w:val="110"/>
        </w:rPr>
        <w:t> </w:t>
      </w:r>
      <w:r>
        <w:rPr>
          <w:color w:val="231F20"/>
          <w:w w:val="110"/>
        </w:rPr>
        <w:t>con</w:t>
      </w:r>
      <w:r>
        <w:rPr>
          <w:color w:val="231F20"/>
          <w:spacing w:val="-40"/>
          <w:w w:val="110"/>
        </w:rPr>
        <w:t> </w:t>
      </w:r>
      <w:r>
        <w:rPr>
          <w:color w:val="231F20"/>
          <w:w w:val="110"/>
        </w:rPr>
        <w:t>sus</w:t>
      </w:r>
      <w:r>
        <w:rPr>
          <w:color w:val="231F20"/>
          <w:spacing w:val="-40"/>
          <w:w w:val="110"/>
        </w:rPr>
        <w:t> </w:t>
      </w:r>
      <w:r>
        <w:rPr>
          <w:color w:val="231F20"/>
          <w:w w:val="110"/>
        </w:rPr>
        <w:t>varias</w:t>
      </w:r>
      <w:r>
        <w:rPr>
          <w:color w:val="231F20"/>
          <w:spacing w:val="-40"/>
          <w:w w:val="110"/>
        </w:rPr>
        <w:t> </w:t>
      </w:r>
      <w:r>
        <w:rPr>
          <w:color w:val="231F20"/>
          <w:w w:val="110"/>
        </w:rPr>
        <w:t>facciones</w:t>
      </w:r>
      <w:r>
        <w:rPr>
          <w:color w:val="231F20"/>
          <w:spacing w:val="-2"/>
          <w:w w:val="106"/>
        </w:rPr>
        <w:t> </w:t>
      </w:r>
      <w:r>
        <w:rPr>
          <w:color w:val="231F20"/>
          <w:w w:val="110"/>
        </w:rPr>
        <w:t>y</w:t>
      </w:r>
      <w:r>
        <w:rPr>
          <w:color w:val="231F20"/>
          <w:spacing w:val="-27"/>
          <w:w w:val="110"/>
        </w:rPr>
        <w:t> </w:t>
      </w:r>
      <w:r>
        <w:rPr>
          <w:color w:val="231F20"/>
          <w:w w:val="110"/>
        </w:rPr>
        <w:t>sus</w:t>
      </w:r>
      <w:r>
        <w:rPr>
          <w:color w:val="231F20"/>
          <w:spacing w:val="-27"/>
          <w:w w:val="110"/>
        </w:rPr>
        <w:t> </w:t>
      </w:r>
      <w:r>
        <w:rPr>
          <w:color w:val="231F20"/>
          <w:w w:val="110"/>
        </w:rPr>
        <w:t>luchas</w:t>
      </w:r>
      <w:r>
        <w:rPr>
          <w:color w:val="231F20"/>
          <w:spacing w:val="-27"/>
          <w:w w:val="110"/>
        </w:rPr>
        <w:t> </w:t>
      </w:r>
      <w:r>
        <w:rPr>
          <w:color w:val="231F20"/>
          <w:w w:val="110"/>
        </w:rPr>
        <w:t>internas,</w:t>
      </w:r>
      <w:r>
        <w:rPr>
          <w:color w:val="231F20"/>
          <w:spacing w:val="-27"/>
          <w:w w:val="110"/>
        </w:rPr>
        <w:t> </w:t>
      </w:r>
      <w:r>
        <w:rPr>
          <w:color w:val="231F20"/>
          <w:w w:val="110"/>
        </w:rPr>
        <w:t>sino</w:t>
      </w:r>
      <w:r>
        <w:rPr>
          <w:color w:val="231F20"/>
          <w:spacing w:val="-27"/>
          <w:w w:val="110"/>
        </w:rPr>
        <w:t> </w:t>
      </w:r>
      <w:r>
        <w:rPr>
          <w:color w:val="231F20"/>
          <w:w w:val="110"/>
        </w:rPr>
        <w:t>también</w:t>
      </w:r>
      <w:r>
        <w:rPr>
          <w:color w:val="231F20"/>
          <w:spacing w:val="-27"/>
          <w:w w:val="110"/>
        </w:rPr>
        <w:t> </w:t>
      </w:r>
      <w:r>
        <w:rPr>
          <w:color w:val="231F20"/>
          <w:w w:val="110"/>
        </w:rPr>
        <w:t>la</w:t>
      </w:r>
      <w:r>
        <w:rPr>
          <w:color w:val="231F20"/>
          <w:spacing w:val="-27"/>
          <w:w w:val="110"/>
        </w:rPr>
        <w:t> </w:t>
      </w:r>
      <w:r>
        <w:rPr>
          <w:color w:val="231F20"/>
          <w:w w:val="110"/>
        </w:rPr>
        <w:t>masa</w:t>
      </w:r>
      <w:r>
        <w:rPr>
          <w:color w:val="231F20"/>
          <w:spacing w:val="-27"/>
          <w:w w:val="110"/>
        </w:rPr>
        <w:t> </w:t>
      </w:r>
      <w:r>
        <w:rPr>
          <w:color w:val="231F20"/>
          <w:w w:val="110"/>
        </w:rPr>
        <w:t>asalariada</w:t>
      </w:r>
      <w:r>
        <w:rPr>
          <w:color w:val="231F20"/>
          <w:spacing w:val="-27"/>
          <w:w w:val="110"/>
        </w:rPr>
        <w:t> </w:t>
      </w:r>
      <w:r>
        <w:rPr>
          <w:color w:val="231F20"/>
          <w:w w:val="110"/>
        </w:rPr>
        <w:t>que</w:t>
      </w:r>
      <w:r>
        <w:rPr>
          <w:color w:val="231F20"/>
          <w:spacing w:val="-27"/>
          <w:w w:val="110"/>
        </w:rPr>
        <w:t> </w:t>
      </w:r>
      <w:r>
        <w:rPr>
          <w:color w:val="231F20"/>
          <w:w w:val="110"/>
        </w:rPr>
        <w:t>viene</w:t>
      </w:r>
      <w:r>
        <w:rPr>
          <w:color w:val="231F20"/>
          <w:spacing w:val="-27"/>
          <w:w w:val="110"/>
        </w:rPr>
        <w:t> </w:t>
      </w:r>
      <w:r>
        <w:rPr>
          <w:color w:val="231F20"/>
          <w:w w:val="110"/>
        </w:rPr>
        <w:t>arman- do</w:t>
      </w:r>
      <w:r>
        <w:rPr>
          <w:color w:val="231F20"/>
          <w:spacing w:val="-26"/>
          <w:w w:val="110"/>
        </w:rPr>
        <w:t> </w:t>
      </w:r>
      <w:r>
        <w:rPr>
          <w:color w:val="231F20"/>
          <w:w w:val="110"/>
        </w:rPr>
        <w:t>formas</w:t>
      </w:r>
      <w:r>
        <w:rPr>
          <w:color w:val="231F20"/>
          <w:spacing w:val="-26"/>
          <w:w w:val="110"/>
        </w:rPr>
        <w:t> </w:t>
      </w:r>
      <w:r>
        <w:rPr>
          <w:color w:val="231F20"/>
          <w:w w:val="110"/>
        </w:rPr>
        <w:t>de</w:t>
      </w:r>
      <w:r>
        <w:rPr>
          <w:color w:val="231F20"/>
          <w:spacing w:val="-26"/>
          <w:w w:val="110"/>
        </w:rPr>
        <w:t> </w:t>
      </w:r>
      <w:r>
        <w:rPr>
          <w:color w:val="231F20"/>
          <w:w w:val="110"/>
        </w:rPr>
        <w:t>organización</w:t>
      </w:r>
      <w:r>
        <w:rPr>
          <w:color w:val="231F20"/>
          <w:spacing w:val="-26"/>
          <w:w w:val="110"/>
        </w:rPr>
        <w:t> </w:t>
      </w:r>
      <w:r>
        <w:rPr>
          <w:color w:val="231F20"/>
          <w:w w:val="110"/>
        </w:rPr>
        <w:t>y</w:t>
      </w:r>
      <w:r>
        <w:rPr>
          <w:color w:val="231F20"/>
          <w:spacing w:val="-26"/>
          <w:w w:val="110"/>
        </w:rPr>
        <w:t> </w:t>
      </w:r>
      <w:r>
        <w:rPr>
          <w:color w:val="231F20"/>
          <w:w w:val="110"/>
        </w:rPr>
        <w:t>acción</w:t>
      </w:r>
      <w:r>
        <w:rPr>
          <w:color w:val="231F20"/>
          <w:spacing w:val="-26"/>
          <w:w w:val="110"/>
        </w:rPr>
        <w:t> </w:t>
      </w:r>
      <w:r>
        <w:rPr>
          <w:color w:val="231F20"/>
          <w:w w:val="110"/>
        </w:rPr>
        <w:t>política</w:t>
      </w:r>
      <w:r>
        <w:rPr>
          <w:color w:val="231F20"/>
          <w:spacing w:val="-26"/>
          <w:w w:val="110"/>
        </w:rPr>
        <w:t> </w:t>
      </w:r>
      <w:r>
        <w:rPr>
          <w:color w:val="231F20"/>
          <w:w w:val="110"/>
        </w:rPr>
        <w:t>cada</w:t>
      </w:r>
      <w:r>
        <w:rPr>
          <w:color w:val="231F20"/>
          <w:spacing w:val="-26"/>
          <w:w w:val="110"/>
        </w:rPr>
        <w:t> </w:t>
      </w:r>
      <w:r>
        <w:rPr>
          <w:color w:val="231F20"/>
          <w:w w:val="110"/>
        </w:rPr>
        <w:t>vez</w:t>
      </w:r>
      <w:r>
        <w:rPr>
          <w:color w:val="231F20"/>
          <w:spacing w:val="-26"/>
          <w:w w:val="110"/>
        </w:rPr>
        <w:t> </w:t>
      </w:r>
      <w:r>
        <w:rPr>
          <w:color w:val="231F20"/>
          <w:w w:val="110"/>
        </w:rPr>
        <w:t>más</w:t>
      </w:r>
      <w:r>
        <w:rPr>
          <w:color w:val="231F20"/>
          <w:spacing w:val="-26"/>
          <w:w w:val="110"/>
        </w:rPr>
        <w:t> </w:t>
      </w:r>
      <w:r>
        <w:rPr>
          <w:color w:val="231F20"/>
          <w:w w:val="110"/>
        </w:rPr>
        <w:t>consistentes, pero</w:t>
      </w:r>
      <w:r>
        <w:rPr>
          <w:color w:val="231F20"/>
          <w:spacing w:val="-9"/>
          <w:w w:val="110"/>
        </w:rPr>
        <w:t> </w:t>
      </w:r>
      <w:r>
        <w:rPr>
          <w:color w:val="231F20"/>
          <w:w w:val="110"/>
        </w:rPr>
        <w:t>también</w:t>
      </w:r>
      <w:r>
        <w:rPr>
          <w:color w:val="231F20"/>
          <w:spacing w:val="-9"/>
          <w:w w:val="110"/>
        </w:rPr>
        <w:t> </w:t>
      </w:r>
      <w:r>
        <w:rPr>
          <w:color w:val="231F20"/>
          <w:w w:val="110"/>
        </w:rPr>
        <w:t>las</w:t>
      </w:r>
      <w:r>
        <w:rPr>
          <w:color w:val="231F20"/>
          <w:spacing w:val="-9"/>
          <w:w w:val="110"/>
        </w:rPr>
        <w:t> </w:t>
      </w:r>
      <w:r>
        <w:rPr>
          <w:color w:val="231F20"/>
          <w:w w:val="110"/>
        </w:rPr>
        <w:t>fuerzas</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desarrollan</w:t>
      </w:r>
      <w:r>
        <w:rPr>
          <w:color w:val="231F20"/>
          <w:spacing w:val="-9"/>
          <w:w w:val="110"/>
        </w:rPr>
        <w:t> </w:t>
      </w:r>
      <w:r>
        <w:rPr>
          <w:color w:val="231F20"/>
          <w:w w:val="110"/>
        </w:rPr>
        <w:t>junto</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conjunto</w:t>
      </w:r>
      <w:r>
        <w:rPr>
          <w:color w:val="231F20"/>
          <w:spacing w:val="-9"/>
          <w:w w:val="110"/>
        </w:rPr>
        <w:t> </w:t>
      </w:r>
      <w:r>
        <w:rPr>
          <w:color w:val="231F20"/>
          <w:w w:val="110"/>
        </w:rPr>
        <w:t>his- tórico</w:t>
      </w:r>
      <w:r>
        <w:rPr>
          <w:color w:val="231F20"/>
          <w:spacing w:val="-10"/>
          <w:w w:val="110"/>
        </w:rPr>
        <w:t> </w:t>
      </w:r>
      <w:r>
        <w:rPr>
          <w:color w:val="231F20"/>
          <w:w w:val="110"/>
        </w:rPr>
        <w:t>del</w:t>
      </w:r>
      <w:r>
        <w:rPr>
          <w:color w:val="231F20"/>
          <w:spacing w:val="-10"/>
          <w:w w:val="110"/>
        </w:rPr>
        <w:t> </w:t>
      </w:r>
      <w:r>
        <w:rPr>
          <w:color w:val="231F20"/>
          <w:w w:val="110"/>
        </w:rPr>
        <w:t>sistema,</w:t>
      </w:r>
      <w:r>
        <w:rPr>
          <w:color w:val="231F20"/>
          <w:spacing w:val="-10"/>
          <w:w w:val="110"/>
        </w:rPr>
        <w:t> </w:t>
      </w:r>
      <w:r>
        <w:rPr>
          <w:color w:val="231F20"/>
          <w:w w:val="110"/>
        </w:rPr>
        <w:t>sean</w:t>
      </w:r>
      <w:r>
        <w:rPr>
          <w:color w:val="231F20"/>
          <w:spacing w:val="-10"/>
          <w:w w:val="110"/>
        </w:rPr>
        <w:t> </w:t>
      </w:r>
      <w:r>
        <w:rPr>
          <w:color w:val="231F20"/>
          <w:w w:val="110"/>
        </w:rPr>
        <w:t>las</w:t>
      </w:r>
      <w:r>
        <w:rPr>
          <w:color w:val="231F20"/>
          <w:spacing w:val="-10"/>
          <w:w w:val="110"/>
        </w:rPr>
        <w:t> </w:t>
      </w:r>
      <w:r>
        <w:rPr>
          <w:color w:val="231F20"/>
          <w:w w:val="110"/>
        </w:rPr>
        <w:t>masas</w:t>
      </w:r>
      <w:r>
        <w:rPr>
          <w:color w:val="231F20"/>
          <w:spacing w:val="-10"/>
          <w:w w:val="110"/>
        </w:rPr>
        <w:t> </w:t>
      </w:r>
      <w:r>
        <w:rPr>
          <w:color w:val="231F20"/>
          <w:w w:val="110"/>
        </w:rPr>
        <w:t>marginadas</w:t>
      </w:r>
      <w:r>
        <w:rPr>
          <w:color w:val="231F20"/>
          <w:spacing w:val="-10"/>
          <w:w w:val="110"/>
        </w:rPr>
        <w:t> </w:t>
      </w:r>
      <w:r>
        <w:rPr>
          <w:color w:val="231F20"/>
          <w:w w:val="110"/>
        </w:rPr>
        <w:t>por</w:t>
      </w:r>
      <w:r>
        <w:rPr>
          <w:color w:val="231F20"/>
          <w:spacing w:val="-10"/>
          <w:w w:val="110"/>
        </w:rPr>
        <w:t> </w:t>
      </w:r>
      <w:r>
        <w:rPr>
          <w:color w:val="231F20"/>
          <w:w w:val="110"/>
        </w:rPr>
        <w:t>él</w:t>
      </w:r>
      <w:r>
        <w:rPr>
          <w:color w:val="231F20"/>
          <w:spacing w:val="-10"/>
          <w:w w:val="110"/>
        </w:rPr>
        <w:t> </w:t>
      </w:r>
      <w:r>
        <w:rPr>
          <w:color w:val="231F20"/>
          <w:w w:val="110"/>
        </w:rPr>
        <w:t>y</w:t>
      </w:r>
      <w:r>
        <w:rPr>
          <w:color w:val="231F20"/>
          <w:spacing w:val="-10"/>
          <w:w w:val="110"/>
        </w:rPr>
        <w:t> </w:t>
      </w:r>
      <w:r>
        <w:rPr>
          <w:color w:val="231F20"/>
          <w:w w:val="110"/>
        </w:rPr>
        <w:t>se</w:t>
      </w:r>
      <w:r>
        <w:rPr>
          <w:color w:val="231F20"/>
          <w:spacing w:val="-10"/>
          <w:w w:val="110"/>
        </w:rPr>
        <w:t> </w:t>
      </w:r>
      <w:r>
        <w:rPr>
          <w:color w:val="231F20"/>
          <w:w w:val="110"/>
        </w:rPr>
        <w:t>transforman en</w:t>
      </w:r>
      <w:r>
        <w:rPr>
          <w:color w:val="231F20"/>
          <w:spacing w:val="-24"/>
          <w:w w:val="110"/>
        </w:rPr>
        <w:t> </w:t>
      </w:r>
      <w:r>
        <w:rPr>
          <w:color w:val="231F20"/>
          <w:w w:val="110"/>
        </w:rPr>
        <w:t>un</w:t>
      </w:r>
      <w:r>
        <w:rPr>
          <w:color w:val="231F20"/>
          <w:spacing w:val="-24"/>
          <w:w w:val="110"/>
        </w:rPr>
        <w:t> </w:t>
      </w:r>
      <w:r>
        <w:rPr>
          <w:color w:val="231F20"/>
          <w:w w:val="110"/>
        </w:rPr>
        <w:t>inmenso</w:t>
      </w:r>
      <w:r>
        <w:rPr>
          <w:color w:val="231F20"/>
          <w:spacing w:val="-24"/>
          <w:w w:val="110"/>
        </w:rPr>
        <w:t> </w:t>
      </w:r>
      <w:r>
        <w:rPr>
          <w:color w:val="231F20"/>
          <w:w w:val="110"/>
        </w:rPr>
        <w:t>ejército</w:t>
      </w:r>
      <w:r>
        <w:rPr>
          <w:color w:val="231F20"/>
          <w:spacing w:val="-24"/>
          <w:w w:val="110"/>
        </w:rPr>
        <w:t> </w:t>
      </w:r>
      <w:r>
        <w:rPr>
          <w:color w:val="231F20"/>
          <w:w w:val="110"/>
        </w:rPr>
        <w:t>industrial</w:t>
      </w:r>
      <w:r>
        <w:rPr>
          <w:color w:val="231F20"/>
          <w:spacing w:val="-24"/>
          <w:w w:val="110"/>
        </w:rPr>
        <w:t> </w:t>
      </w:r>
      <w:r>
        <w:rPr>
          <w:color w:val="231F20"/>
          <w:w w:val="110"/>
        </w:rPr>
        <w:t>de</w:t>
      </w:r>
      <w:r>
        <w:rPr>
          <w:color w:val="231F20"/>
          <w:spacing w:val="-24"/>
          <w:w w:val="110"/>
        </w:rPr>
        <w:t> </w:t>
      </w:r>
      <w:r>
        <w:rPr>
          <w:color w:val="231F20"/>
          <w:w w:val="110"/>
        </w:rPr>
        <w:t>reserva</w:t>
      </w:r>
      <w:r>
        <w:rPr>
          <w:color w:val="231F20"/>
          <w:spacing w:val="-24"/>
          <w:w w:val="110"/>
        </w:rPr>
        <w:t> </w:t>
      </w:r>
      <w:r>
        <w:rPr>
          <w:color w:val="231F20"/>
          <w:w w:val="110"/>
        </w:rPr>
        <w:t>convertido</w:t>
      </w:r>
      <w:r>
        <w:rPr>
          <w:color w:val="231F20"/>
          <w:spacing w:val="-24"/>
          <w:w w:val="110"/>
        </w:rPr>
        <w:t> </w:t>
      </w:r>
      <w:r>
        <w:rPr>
          <w:color w:val="231F20"/>
          <w:w w:val="110"/>
        </w:rPr>
        <w:t>en</w:t>
      </w:r>
      <w:r>
        <w:rPr>
          <w:color w:val="231F20"/>
          <w:spacing w:val="-24"/>
          <w:w w:val="110"/>
        </w:rPr>
        <w:t> </w:t>
      </w:r>
      <w:r>
        <w:rPr>
          <w:color w:val="231F20"/>
          <w:w w:val="110"/>
        </w:rPr>
        <w:t>poblaciones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marginadas</w:t>
      </w:r>
      <w:r>
        <w:rPr>
          <w:color w:val="231F20"/>
          <w:spacing w:val="-30"/>
          <w:w w:val="110"/>
        </w:rPr>
        <w:t> </w:t>
      </w:r>
      <w:r>
        <w:rPr>
          <w:color w:val="231F20"/>
          <w:w w:val="110"/>
        </w:rPr>
        <w:t>y</w:t>
      </w:r>
      <w:r>
        <w:rPr>
          <w:color w:val="231F20"/>
          <w:spacing w:val="-30"/>
          <w:w w:val="110"/>
        </w:rPr>
        <w:t> </w:t>
      </w:r>
      <w:r>
        <w:rPr>
          <w:color w:val="231F20"/>
          <w:w w:val="110"/>
        </w:rPr>
        <w:t>excluidas</w:t>
      </w:r>
      <w:r>
        <w:rPr>
          <w:color w:val="231F20"/>
          <w:spacing w:val="-30"/>
          <w:w w:val="110"/>
        </w:rPr>
        <w:t> </w:t>
      </w:r>
      <w:r>
        <w:rPr>
          <w:color w:val="231F20"/>
          <w:w w:val="110"/>
        </w:rPr>
        <w:t>sistemáticamente,</w:t>
      </w:r>
      <w:r>
        <w:rPr>
          <w:color w:val="231F20"/>
          <w:spacing w:val="-30"/>
          <w:w w:val="110"/>
        </w:rPr>
        <w:t> </w:t>
      </w:r>
      <w:r>
        <w:rPr>
          <w:color w:val="231F20"/>
          <w:w w:val="110"/>
        </w:rPr>
        <w:t>en</w:t>
      </w:r>
      <w:r>
        <w:rPr>
          <w:color w:val="231F20"/>
          <w:spacing w:val="-30"/>
          <w:w w:val="110"/>
        </w:rPr>
        <w:t> </w:t>
      </w:r>
      <w:r>
        <w:rPr>
          <w:color w:val="231F20"/>
          <w:w w:val="110"/>
        </w:rPr>
        <w:t>movimientos</w:t>
      </w:r>
      <w:r>
        <w:rPr>
          <w:color w:val="231F20"/>
          <w:spacing w:val="-30"/>
          <w:w w:val="110"/>
        </w:rPr>
        <w:t> </w:t>
      </w:r>
      <w:r>
        <w:rPr>
          <w:color w:val="231F20"/>
          <w:w w:val="110"/>
        </w:rPr>
        <w:t>emigrantes</w:t>
      </w:r>
      <w:r>
        <w:rPr>
          <w:color w:val="231F20"/>
          <w:spacing w:val="-2"/>
          <w:w w:val="109"/>
        </w:rPr>
        <w:t> </w:t>
      </w:r>
      <w:r>
        <w:rPr>
          <w:color w:val="231F20"/>
          <w:w w:val="110"/>
        </w:rPr>
        <w:t>colosales,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profunda</w:t>
      </w:r>
      <w:r>
        <w:rPr>
          <w:color w:val="231F20"/>
          <w:spacing w:val="-26"/>
          <w:w w:val="110"/>
        </w:rPr>
        <w:t> </w:t>
      </w:r>
      <w:r>
        <w:rPr>
          <w:color w:val="231F20"/>
          <w:w w:val="110"/>
        </w:rPr>
        <w:t>afirmación</w:t>
      </w:r>
      <w:r>
        <w:rPr>
          <w:color w:val="231F20"/>
          <w:spacing w:val="-26"/>
          <w:w w:val="110"/>
        </w:rPr>
        <w:t> </w:t>
      </w:r>
      <w:r>
        <w:rPr>
          <w:color w:val="231F20"/>
          <w:w w:val="110"/>
        </w:rPr>
        <w:t>de</w:t>
      </w:r>
      <w:r>
        <w:rPr>
          <w:color w:val="231F20"/>
          <w:spacing w:val="-26"/>
          <w:w w:val="110"/>
        </w:rPr>
        <w:t> </w:t>
      </w:r>
      <w:r>
        <w:rPr>
          <w:color w:val="231F20"/>
          <w:w w:val="110"/>
        </w:rPr>
        <w:t>identidades</w:t>
      </w:r>
      <w:r>
        <w:rPr>
          <w:color w:val="231F20"/>
          <w:spacing w:val="-26"/>
          <w:w w:val="110"/>
        </w:rPr>
        <w:t> </w:t>
      </w:r>
      <w:r>
        <w:rPr>
          <w:color w:val="231F20"/>
          <w:w w:val="110"/>
        </w:rPr>
        <w:t>étnicas,</w:t>
      </w:r>
      <w:r>
        <w:rPr>
          <w:color w:val="231F20"/>
          <w:spacing w:val="-26"/>
          <w:w w:val="110"/>
        </w:rPr>
        <w:t> </w:t>
      </w:r>
      <w:r>
        <w:rPr>
          <w:color w:val="231F20"/>
          <w:w w:val="110"/>
        </w:rPr>
        <w:t>culturales, de</w:t>
      </w:r>
      <w:r>
        <w:rPr>
          <w:color w:val="231F20"/>
          <w:spacing w:val="-6"/>
          <w:w w:val="110"/>
        </w:rPr>
        <w:t> </w:t>
      </w:r>
      <w:r>
        <w:rPr>
          <w:color w:val="231F20"/>
          <w:w w:val="110"/>
        </w:rPr>
        <w:t>género</w:t>
      </w:r>
      <w:r>
        <w:rPr>
          <w:color w:val="231F20"/>
          <w:spacing w:val="-6"/>
          <w:w w:val="110"/>
        </w:rPr>
        <w:t> </w:t>
      </w:r>
      <w:r>
        <w:rPr>
          <w:color w:val="231F20"/>
          <w:w w:val="110"/>
        </w:rPr>
        <w:t>y</w:t>
      </w:r>
      <w:r>
        <w:rPr>
          <w:color w:val="231F20"/>
          <w:spacing w:val="-6"/>
          <w:w w:val="110"/>
        </w:rPr>
        <w:t> </w:t>
      </w:r>
      <w:r>
        <w:rPr>
          <w:color w:val="231F20"/>
          <w:w w:val="110"/>
        </w:rPr>
        <w:t>otras</w:t>
      </w:r>
      <w:r>
        <w:rPr>
          <w:color w:val="231F20"/>
          <w:spacing w:val="-6"/>
          <w:w w:val="110"/>
        </w:rPr>
        <w:t> </w:t>
      </w:r>
      <w:r>
        <w:rPr>
          <w:color w:val="231F20"/>
          <w:w w:val="110"/>
        </w:rPr>
        <w:t>posibles</w:t>
      </w:r>
      <w:r>
        <w:rPr>
          <w:color w:val="231F20"/>
          <w:spacing w:val="-6"/>
          <w:w w:val="110"/>
        </w:rPr>
        <w:t> </w:t>
      </w:r>
      <w:r>
        <w:rPr>
          <w:color w:val="231F20"/>
          <w:w w:val="110"/>
        </w:rPr>
        <w:t>vertientes</w:t>
      </w:r>
      <w:r>
        <w:rPr>
          <w:color w:val="231F20"/>
          <w:spacing w:val="-6"/>
          <w:w w:val="110"/>
        </w:rPr>
        <w:t> </w:t>
      </w:r>
      <w:r>
        <w:rPr>
          <w:color w:val="231F20"/>
          <w:w w:val="110"/>
        </w:rPr>
        <w:t>de</w:t>
      </w:r>
      <w:r>
        <w:rPr>
          <w:color w:val="231F20"/>
          <w:spacing w:val="-6"/>
          <w:w w:val="110"/>
        </w:rPr>
        <w:t> </w:t>
      </w:r>
      <w:r>
        <w:rPr>
          <w:color w:val="231F20"/>
          <w:spacing w:val="-2"/>
          <w:w w:val="110"/>
        </w:rPr>
        <w:t>identidades.</w:t>
      </w:r>
    </w:p>
    <w:p>
      <w:pPr>
        <w:pStyle w:val="BodyText"/>
        <w:spacing w:line="261" w:lineRule="auto"/>
        <w:ind w:left="100" w:right="117" w:firstLine="240"/>
        <w:jc w:val="both"/>
      </w:pPr>
      <w:r>
        <w:rPr>
          <w:color w:val="231F20"/>
          <w:w w:val="110"/>
        </w:rPr>
        <w:t>El</w:t>
      </w:r>
      <w:r>
        <w:rPr>
          <w:color w:val="231F20"/>
          <w:spacing w:val="-8"/>
          <w:w w:val="110"/>
        </w:rPr>
        <w:t> </w:t>
      </w:r>
      <w:r>
        <w:rPr>
          <w:color w:val="231F20"/>
          <w:w w:val="110"/>
        </w:rPr>
        <w:t>propio</w:t>
      </w:r>
      <w:r>
        <w:rPr>
          <w:color w:val="231F20"/>
          <w:spacing w:val="-8"/>
          <w:w w:val="110"/>
        </w:rPr>
        <w:t> </w:t>
      </w:r>
      <w:r>
        <w:rPr>
          <w:color w:val="231F20"/>
          <w:w w:val="110"/>
        </w:rPr>
        <w:t>capitalismo</w:t>
      </w:r>
      <w:r>
        <w:rPr>
          <w:color w:val="231F20"/>
          <w:spacing w:val="-8"/>
          <w:w w:val="110"/>
        </w:rPr>
        <w:t> </w:t>
      </w:r>
      <w:r>
        <w:rPr>
          <w:color w:val="231F20"/>
          <w:w w:val="110"/>
        </w:rPr>
        <w:t>destruye</w:t>
      </w:r>
      <w:r>
        <w:rPr>
          <w:color w:val="231F20"/>
          <w:spacing w:val="-8"/>
          <w:w w:val="110"/>
        </w:rPr>
        <w:t> </w:t>
      </w:r>
      <w:r>
        <w:rPr>
          <w:color w:val="231F20"/>
          <w:w w:val="110"/>
        </w:rPr>
        <w:t>las</w:t>
      </w:r>
      <w:r>
        <w:rPr>
          <w:color w:val="231F20"/>
          <w:spacing w:val="-8"/>
          <w:w w:val="110"/>
        </w:rPr>
        <w:t> </w:t>
      </w:r>
      <w:r>
        <w:rPr>
          <w:color w:val="231F20"/>
          <w:w w:val="110"/>
        </w:rPr>
        <w:t>bases</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patriarcal</w:t>
      </w:r>
      <w:r>
        <w:rPr>
          <w:color w:val="231F20"/>
          <w:spacing w:val="-8"/>
          <w:w w:val="110"/>
        </w:rPr>
        <w:t> </w:t>
      </w:r>
      <w:r>
        <w:rPr>
          <w:color w:val="231F20"/>
          <w:w w:val="110"/>
        </w:rPr>
        <w:t>que él mismo promovió como el sexismo, el racismo, la destrucción de civilizaciones enteras sometidas a la subestimación histórica y a un proceso de destrucción brutal. Los movimientos femenino, homo- sexual, étnicos, cada vez más conscientes, de poblaciones</w:t>
      </w:r>
      <w:r>
        <w:rPr>
          <w:color w:val="231F20"/>
          <w:spacing w:val="-32"/>
          <w:w w:val="110"/>
        </w:rPr>
        <w:t> </w:t>
      </w:r>
      <w:r>
        <w:rPr>
          <w:color w:val="231F20"/>
          <w:w w:val="110"/>
        </w:rPr>
        <w:t>unificadas por</w:t>
      </w:r>
      <w:r>
        <w:rPr>
          <w:color w:val="231F20"/>
          <w:spacing w:val="-7"/>
          <w:w w:val="110"/>
        </w:rPr>
        <w:t> </w:t>
      </w:r>
      <w:r>
        <w:rPr>
          <w:color w:val="231F20"/>
          <w:w w:val="110"/>
        </w:rPr>
        <w:t>fuerzas</w:t>
      </w:r>
      <w:r>
        <w:rPr>
          <w:color w:val="231F20"/>
          <w:spacing w:val="-7"/>
          <w:w w:val="110"/>
        </w:rPr>
        <w:t> </w:t>
      </w:r>
      <w:r>
        <w:rPr>
          <w:color w:val="231F20"/>
          <w:w w:val="110"/>
        </w:rPr>
        <w:t>civilizatorias</w:t>
      </w:r>
      <w:r>
        <w:rPr>
          <w:color w:val="231F20"/>
          <w:spacing w:val="-7"/>
          <w:w w:val="110"/>
        </w:rPr>
        <w:t> </w:t>
      </w:r>
      <w:r>
        <w:rPr>
          <w:color w:val="231F20"/>
          <w:w w:val="110"/>
        </w:rPr>
        <w:t>colosales,</w:t>
      </w:r>
      <w:r>
        <w:rPr>
          <w:color w:val="231F20"/>
          <w:spacing w:val="-7"/>
          <w:w w:val="110"/>
        </w:rPr>
        <w:t> </w:t>
      </w:r>
      <w:r>
        <w:rPr>
          <w:color w:val="231F20"/>
          <w:w w:val="110"/>
        </w:rPr>
        <w:t>como</w:t>
      </w:r>
      <w:r>
        <w:rPr>
          <w:color w:val="231F20"/>
          <w:spacing w:val="-7"/>
          <w:w w:val="110"/>
        </w:rPr>
        <w:t> </w:t>
      </w:r>
      <w:r>
        <w:rPr>
          <w:color w:val="231F20"/>
          <w:w w:val="110"/>
        </w:rPr>
        <w:t>las</w:t>
      </w:r>
      <w:r>
        <w:rPr>
          <w:color w:val="231F20"/>
          <w:spacing w:val="-7"/>
          <w:w w:val="110"/>
        </w:rPr>
        <w:t> </w:t>
      </w:r>
      <w:r>
        <w:rPr>
          <w:color w:val="231F20"/>
          <w:w w:val="110"/>
        </w:rPr>
        <w:t>religiones</w:t>
      </w:r>
      <w:r>
        <w:rPr>
          <w:color w:val="231F20"/>
          <w:spacing w:val="-7"/>
          <w:w w:val="110"/>
        </w:rPr>
        <w:t> </w:t>
      </w:r>
      <w:r>
        <w:rPr>
          <w:color w:val="231F20"/>
          <w:w w:val="110"/>
        </w:rPr>
        <w:t>articuladoras de vastas mayorías sociales, van presionando la estructura de poder existente</w:t>
      </w:r>
      <w:r>
        <w:rPr>
          <w:color w:val="231F20"/>
          <w:spacing w:val="-12"/>
          <w:w w:val="110"/>
        </w:rPr>
        <w:t> </w:t>
      </w:r>
      <w:r>
        <w:rPr>
          <w:color w:val="231F20"/>
          <w:w w:val="110"/>
        </w:rPr>
        <w:t>y</w:t>
      </w:r>
      <w:r>
        <w:rPr>
          <w:color w:val="231F20"/>
          <w:spacing w:val="-12"/>
          <w:w w:val="110"/>
        </w:rPr>
        <w:t> </w:t>
      </w:r>
      <w:r>
        <w:rPr>
          <w:color w:val="231F20"/>
          <w:w w:val="110"/>
        </w:rPr>
        <w:t>abren</w:t>
      </w:r>
      <w:r>
        <w:rPr>
          <w:color w:val="231F20"/>
          <w:spacing w:val="-12"/>
          <w:w w:val="110"/>
        </w:rPr>
        <w:t> </w:t>
      </w:r>
      <w:r>
        <w:rPr>
          <w:color w:val="231F20"/>
          <w:w w:val="110"/>
        </w:rPr>
        <w:t>una</w:t>
      </w:r>
      <w:r>
        <w:rPr>
          <w:color w:val="231F20"/>
          <w:spacing w:val="-12"/>
          <w:w w:val="110"/>
        </w:rPr>
        <w:t> </w:t>
      </w:r>
      <w:r>
        <w:rPr>
          <w:color w:val="231F20"/>
          <w:w w:val="110"/>
        </w:rPr>
        <w:t>nueva</w:t>
      </w:r>
      <w:r>
        <w:rPr>
          <w:color w:val="231F20"/>
          <w:spacing w:val="-12"/>
          <w:w w:val="110"/>
        </w:rPr>
        <w:t> </w:t>
      </w:r>
      <w:r>
        <w:rPr>
          <w:color w:val="231F20"/>
          <w:w w:val="110"/>
        </w:rPr>
        <w:t>fase</w:t>
      </w:r>
      <w:r>
        <w:rPr>
          <w:color w:val="231F20"/>
          <w:spacing w:val="-12"/>
          <w:w w:val="110"/>
        </w:rPr>
        <w:t> </w:t>
      </w:r>
      <w:r>
        <w:rPr>
          <w:color w:val="231F20"/>
          <w:w w:val="110"/>
        </w:rPr>
        <w:t>histórica</w:t>
      </w:r>
      <w:r>
        <w:rPr>
          <w:color w:val="231F20"/>
          <w:spacing w:val="-12"/>
          <w:w w:val="110"/>
        </w:rPr>
        <w:t> </w:t>
      </w:r>
      <w:r>
        <w:rPr>
          <w:color w:val="231F20"/>
          <w:w w:val="110"/>
        </w:rPr>
        <w:t>de</w:t>
      </w:r>
      <w:r>
        <w:rPr>
          <w:color w:val="231F20"/>
          <w:spacing w:val="-12"/>
          <w:w w:val="110"/>
        </w:rPr>
        <w:t> </w:t>
      </w:r>
      <w:r>
        <w:rPr>
          <w:color w:val="231F20"/>
          <w:w w:val="110"/>
        </w:rPr>
        <w:t>reestructuración</w:t>
      </w:r>
      <w:r>
        <w:rPr>
          <w:color w:val="231F20"/>
          <w:spacing w:val="-12"/>
          <w:w w:val="110"/>
        </w:rPr>
        <w:t> </w:t>
      </w:r>
      <w:r>
        <w:rPr>
          <w:color w:val="231F20"/>
          <w:w w:val="110"/>
        </w:rPr>
        <w:t>de</w:t>
      </w:r>
      <w:r>
        <w:rPr>
          <w:color w:val="231F20"/>
          <w:spacing w:val="-12"/>
          <w:w w:val="110"/>
        </w:rPr>
        <w:t> </w:t>
      </w:r>
      <w:r>
        <w:rPr>
          <w:color w:val="231F20"/>
          <w:w w:val="110"/>
        </w:rPr>
        <w:t>todo el sistema mundial</w:t>
      </w:r>
      <w:r>
        <w:rPr>
          <w:color w:val="231F20"/>
          <w:spacing w:val="47"/>
          <w:w w:val="110"/>
        </w:rPr>
        <w:t> </w:t>
      </w:r>
      <w:r>
        <w:rPr>
          <w:color w:val="231F20"/>
          <w:w w:val="110"/>
        </w:rPr>
        <w:t>contemporáneo.</w:t>
      </w:r>
    </w:p>
    <w:p>
      <w:pPr>
        <w:pStyle w:val="BodyText"/>
        <w:spacing w:line="261" w:lineRule="auto"/>
        <w:ind w:left="100" w:right="117" w:firstLine="240"/>
        <w:jc w:val="both"/>
      </w:pPr>
      <w:r>
        <w:rPr>
          <w:color w:val="231F20"/>
          <w:w w:val="110"/>
        </w:rPr>
        <w:t>4] Hacia una nueva civilización planetaria. Se plantean desafíos globales como la creación de un orden mundial capaz de asegurar  la paz mundial, un intercambio relativamente justo entre los pro- ductores nacionales, un espacio de respeto entre las diversidades étnicas, regionales, culturales. Se necesita, por lo tanto, una nueva etapa del proceso civilizatorio del conjunto de la humanidad, que produzca una verdadera civilización planetaria, plural, democrática e igualitaria. Se consolida así la postura crítica del eurocentrismo, de las estructuras de la colonialidad aún hegemónica en el pensa- miento contemporáneo, y se abre un campo positivo de formación de</w:t>
      </w:r>
      <w:r>
        <w:rPr>
          <w:color w:val="231F20"/>
          <w:spacing w:val="-12"/>
          <w:w w:val="110"/>
        </w:rPr>
        <w:t> </w:t>
      </w:r>
      <w:r>
        <w:rPr>
          <w:color w:val="231F20"/>
          <w:w w:val="110"/>
        </w:rPr>
        <w:t>movimientos</w:t>
      </w:r>
      <w:r>
        <w:rPr>
          <w:color w:val="231F20"/>
          <w:spacing w:val="-12"/>
          <w:w w:val="110"/>
        </w:rPr>
        <w:t> </w:t>
      </w:r>
      <w:r>
        <w:rPr>
          <w:color w:val="231F20"/>
          <w:w w:val="110"/>
        </w:rPr>
        <w:t>innovadores,</w:t>
      </w:r>
      <w:r>
        <w:rPr>
          <w:color w:val="231F20"/>
          <w:spacing w:val="-12"/>
          <w:w w:val="110"/>
        </w:rPr>
        <w:t> </w:t>
      </w:r>
      <w:r>
        <w:rPr>
          <w:color w:val="231F20"/>
          <w:w w:val="110"/>
        </w:rPr>
        <w:t>de</w:t>
      </w:r>
      <w:r>
        <w:rPr>
          <w:color w:val="231F20"/>
          <w:spacing w:val="-12"/>
          <w:w w:val="110"/>
        </w:rPr>
        <w:t> </w:t>
      </w:r>
      <w:r>
        <w:rPr>
          <w:color w:val="231F20"/>
          <w:w w:val="110"/>
        </w:rPr>
        <w:t>gobiernos</w:t>
      </w:r>
      <w:r>
        <w:rPr>
          <w:color w:val="231F20"/>
          <w:spacing w:val="-12"/>
          <w:w w:val="110"/>
        </w:rPr>
        <w:t> </w:t>
      </w:r>
      <w:r>
        <w:rPr>
          <w:color w:val="231F20"/>
          <w:w w:val="110"/>
        </w:rPr>
        <w:t>más</w:t>
      </w:r>
      <w:r>
        <w:rPr>
          <w:color w:val="231F20"/>
          <w:spacing w:val="-12"/>
          <w:w w:val="110"/>
        </w:rPr>
        <w:t> </w:t>
      </w:r>
      <w:r>
        <w:rPr>
          <w:color w:val="231F20"/>
          <w:w w:val="110"/>
        </w:rPr>
        <w:t>o</w:t>
      </w:r>
      <w:r>
        <w:rPr>
          <w:color w:val="231F20"/>
          <w:spacing w:val="-12"/>
          <w:w w:val="110"/>
        </w:rPr>
        <w:t> </w:t>
      </w:r>
      <w:r>
        <w:rPr>
          <w:color w:val="231F20"/>
          <w:w w:val="110"/>
        </w:rPr>
        <w:t>menos</w:t>
      </w:r>
      <w:r>
        <w:rPr>
          <w:color w:val="231F20"/>
          <w:spacing w:val="-12"/>
          <w:w w:val="110"/>
        </w:rPr>
        <w:t> </w:t>
      </w:r>
      <w:r>
        <w:rPr>
          <w:color w:val="231F20"/>
          <w:w w:val="110"/>
        </w:rPr>
        <w:t>auténticos</w:t>
      </w:r>
      <w:r>
        <w:rPr>
          <w:color w:val="231F20"/>
          <w:spacing w:val="-12"/>
          <w:w w:val="110"/>
        </w:rPr>
        <w:t> </w:t>
      </w:r>
      <w:r>
        <w:rPr>
          <w:color w:val="231F20"/>
          <w:w w:val="110"/>
        </w:rPr>
        <w:t>y objetivos con fuerte apoyo </w:t>
      </w:r>
      <w:r>
        <w:rPr>
          <w:color w:val="231F20"/>
          <w:spacing w:val="-3"/>
          <w:w w:val="110"/>
        </w:rPr>
        <w:t>popular, </w:t>
      </w:r>
      <w:r>
        <w:rPr>
          <w:color w:val="231F20"/>
          <w:w w:val="110"/>
        </w:rPr>
        <w:t>de propuestas de nuevas institu- ciones internacionales, de agendas de estudio y de reflexión a partir de estas fuerzas</w:t>
      </w:r>
      <w:r>
        <w:rPr>
          <w:color w:val="231F20"/>
          <w:spacing w:val="-19"/>
          <w:w w:val="110"/>
        </w:rPr>
        <w:t> </w:t>
      </w:r>
      <w:r>
        <w:rPr>
          <w:color w:val="231F20"/>
          <w:w w:val="110"/>
        </w:rPr>
        <w:t>renovadoras.</w:t>
      </w:r>
    </w:p>
    <w:p>
      <w:pPr>
        <w:pStyle w:val="BodyText"/>
        <w:spacing w:line="261" w:lineRule="auto"/>
        <w:ind w:left="100" w:right="117" w:firstLine="240"/>
        <w:jc w:val="both"/>
      </w:pPr>
      <w:r>
        <w:rPr>
          <w:color w:val="231F20"/>
          <w:w w:val="110"/>
        </w:rPr>
        <w:t>La crítica del orden mundial actual y su transformación se con- vierten así en un campo de estudio directamente conectado con el surgimiento de esta compleja subjetividad nacida desde abajo hacia arriba en función de un gigantesco movimiento democrático que avanza en todo planeta.</w:t>
      </w:r>
    </w:p>
    <w:p>
      <w:pPr>
        <w:pStyle w:val="BodyText"/>
        <w:spacing w:line="261" w:lineRule="auto"/>
        <w:ind w:left="100" w:right="117" w:firstLine="240"/>
        <w:jc w:val="both"/>
      </w:pPr>
      <w:r>
        <w:rPr>
          <w:color w:val="231F20"/>
          <w:w w:val="110"/>
        </w:rPr>
        <w:t>No se trata de tareas simples pero sí de necesidades ineludibles. La humanidad sólo se plantea los problemas que puede resolver. Si sabemos plantear correctamente esta agenda de estudios estaremos dando</w:t>
      </w:r>
      <w:r>
        <w:rPr>
          <w:color w:val="231F20"/>
          <w:spacing w:val="-5"/>
          <w:w w:val="110"/>
        </w:rPr>
        <w:t> </w:t>
      </w:r>
      <w:r>
        <w:rPr>
          <w:color w:val="231F20"/>
          <w:w w:val="110"/>
        </w:rPr>
        <w:t>un</w:t>
      </w:r>
      <w:r>
        <w:rPr>
          <w:color w:val="231F20"/>
          <w:spacing w:val="-5"/>
          <w:w w:val="110"/>
        </w:rPr>
        <w:t> </w:t>
      </w:r>
      <w:r>
        <w:rPr>
          <w:color w:val="231F20"/>
          <w:w w:val="110"/>
        </w:rPr>
        <w:t>gran</w:t>
      </w:r>
      <w:r>
        <w:rPr>
          <w:color w:val="231F20"/>
          <w:spacing w:val="-5"/>
          <w:w w:val="110"/>
        </w:rPr>
        <w:t> </w:t>
      </w:r>
      <w:r>
        <w:rPr>
          <w:color w:val="231F20"/>
          <w:w w:val="110"/>
        </w:rPr>
        <w:t>paso</w:t>
      </w:r>
      <w:r>
        <w:rPr>
          <w:color w:val="231F20"/>
          <w:spacing w:val="-5"/>
          <w:w w:val="110"/>
        </w:rPr>
        <w:t> </w:t>
      </w:r>
      <w:r>
        <w:rPr>
          <w:color w:val="231F20"/>
          <w:w w:val="110"/>
        </w:rPr>
        <w:t>para</w:t>
      </w:r>
      <w:r>
        <w:rPr>
          <w:color w:val="231F20"/>
          <w:spacing w:val="-5"/>
          <w:w w:val="110"/>
        </w:rPr>
        <w:t> </w:t>
      </w:r>
      <w:r>
        <w:rPr>
          <w:color w:val="231F20"/>
          <w:w w:val="110"/>
        </w:rPr>
        <w:t>su</w:t>
      </w:r>
      <w:r>
        <w:rPr>
          <w:color w:val="231F20"/>
          <w:spacing w:val="-5"/>
          <w:w w:val="110"/>
        </w:rPr>
        <w:t> </w:t>
      </w:r>
      <w:r>
        <w:rPr>
          <w:color w:val="231F20"/>
          <w:w w:val="110"/>
        </w:rPr>
        <w:t>ejecución</w:t>
      </w:r>
      <w:r>
        <w:rPr>
          <w:color w:val="231F20"/>
          <w:spacing w:val="-5"/>
          <w:w w:val="110"/>
        </w:rPr>
        <w:t> </w:t>
      </w:r>
      <w:r>
        <w:rPr>
          <w:color w:val="231F20"/>
          <w:w w:val="110"/>
        </w:rPr>
        <w:t>y</w:t>
      </w:r>
      <w:r>
        <w:rPr>
          <w:color w:val="231F20"/>
          <w:spacing w:val="-5"/>
          <w:w w:val="110"/>
        </w:rPr>
        <w:t> </w:t>
      </w:r>
      <w:r>
        <w:rPr>
          <w:color w:val="231F20"/>
          <w:w w:val="110"/>
        </w:rPr>
        <w:t>contaremos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avance</w:t>
      </w:r>
      <w:r>
        <w:rPr>
          <w:color w:val="231F20"/>
          <w:spacing w:val="-5"/>
          <w:w w:val="110"/>
        </w:rPr>
        <w:t> </w:t>
      </w:r>
      <w:r>
        <w:rPr>
          <w:color w:val="231F20"/>
          <w:w w:val="110"/>
        </w:rPr>
        <w:t>de la conciencia colectiva de la región para transformarla en el</w:t>
      </w:r>
      <w:r>
        <w:rPr>
          <w:color w:val="231F20"/>
          <w:spacing w:val="-28"/>
          <w:w w:val="110"/>
        </w:rPr>
        <w:t> </w:t>
      </w:r>
      <w:r>
        <w:rPr>
          <w:color w:val="231F20"/>
          <w:w w:val="110"/>
        </w:rPr>
        <w:t>objetivo histórico</w:t>
      </w:r>
      <w:r>
        <w:rPr>
          <w:color w:val="231F20"/>
          <w:spacing w:val="-22"/>
          <w:w w:val="110"/>
        </w:rPr>
        <w:t> </w:t>
      </w:r>
      <w:r>
        <w:rPr>
          <w:color w:val="231F20"/>
          <w:w w:val="110"/>
        </w:rPr>
        <w:t>de</w:t>
      </w:r>
      <w:r>
        <w:rPr>
          <w:color w:val="231F20"/>
          <w:spacing w:val="-22"/>
          <w:w w:val="110"/>
        </w:rPr>
        <w:t> </w:t>
      </w:r>
      <w:r>
        <w:rPr>
          <w:color w:val="231F20"/>
          <w:w w:val="110"/>
        </w:rPr>
        <w:t>nuestros</w:t>
      </w:r>
      <w:r>
        <w:rPr>
          <w:color w:val="231F20"/>
          <w:spacing w:val="-22"/>
          <w:w w:val="110"/>
        </w:rPr>
        <w:t> </w:t>
      </w:r>
      <w:r>
        <w:rPr>
          <w:color w:val="231F20"/>
          <w:w w:val="110"/>
        </w:rPr>
        <w:t>pueblos.</w:t>
      </w:r>
      <w:r>
        <w:rPr>
          <w:color w:val="231F20"/>
          <w:spacing w:val="-22"/>
          <w:w w:val="110"/>
        </w:rPr>
        <w:t> </w:t>
      </w:r>
      <w:r>
        <w:rPr>
          <w:color w:val="231F20"/>
          <w:w w:val="110"/>
        </w:rPr>
        <w:t>Las</w:t>
      </w:r>
      <w:r>
        <w:rPr>
          <w:color w:val="231F20"/>
          <w:spacing w:val="-22"/>
          <w:w w:val="110"/>
        </w:rPr>
        <w:t> </w:t>
      </w:r>
      <w:r>
        <w:rPr>
          <w:color w:val="231F20"/>
          <w:w w:val="110"/>
        </w:rPr>
        <w:t>ciencias</w:t>
      </w:r>
      <w:r>
        <w:rPr>
          <w:color w:val="231F20"/>
          <w:spacing w:val="-22"/>
          <w:w w:val="110"/>
        </w:rPr>
        <w:t> </w:t>
      </w:r>
      <w:r>
        <w:rPr>
          <w:color w:val="231F20"/>
          <w:w w:val="110"/>
        </w:rPr>
        <w:t>sociales</w:t>
      </w:r>
      <w:r>
        <w:rPr>
          <w:color w:val="231F20"/>
          <w:spacing w:val="-22"/>
          <w:w w:val="110"/>
        </w:rPr>
        <w:t> </w:t>
      </w:r>
      <w:r>
        <w:rPr>
          <w:color w:val="231F20"/>
          <w:w w:val="110"/>
        </w:rPr>
        <w:t>de</w:t>
      </w:r>
      <w:r>
        <w:rPr>
          <w:color w:val="231F20"/>
          <w:spacing w:val="-22"/>
          <w:w w:val="110"/>
        </w:rPr>
        <w:t> </w:t>
      </w:r>
      <w:r>
        <w:rPr>
          <w:color w:val="231F20"/>
          <w:w w:val="110"/>
        </w:rPr>
        <w:t>América</w:t>
      </w:r>
      <w:r>
        <w:rPr>
          <w:color w:val="231F20"/>
          <w:spacing w:val="-22"/>
          <w:w w:val="110"/>
        </w:rPr>
        <w:t> </w:t>
      </w:r>
      <w:r>
        <w:rPr>
          <w:color w:val="231F20"/>
          <w:w w:val="110"/>
        </w:rPr>
        <w:t>Latina encontrarán</w:t>
      </w:r>
      <w:r>
        <w:rPr>
          <w:color w:val="231F20"/>
          <w:spacing w:val="-10"/>
          <w:w w:val="110"/>
        </w:rPr>
        <w:t> </w:t>
      </w:r>
      <w:r>
        <w:rPr>
          <w:color w:val="231F20"/>
          <w:w w:val="110"/>
        </w:rPr>
        <w:t>el</w:t>
      </w:r>
      <w:r>
        <w:rPr>
          <w:color w:val="231F20"/>
          <w:spacing w:val="-10"/>
          <w:w w:val="110"/>
        </w:rPr>
        <w:t> </w:t>
      </w:r>
      <w:r>
        <w:rPr>
          <w:color w:val="231F20"/>
          <w:w w:val="110"/>
        </w:rPr>
        <w:t>campo</w:t>
      </w:r>
      <w:r>
        <w:rPr>
          <w:color w:val="231F20"/>
          <w:spacing w:val="-10"/>
          <w:w w:val="110"/>
        </w:rPr>
        <w:t> </w:t>
      </w:r>
      <w:r>
        <w:rPr>
          <w:color w:val="231F20"/>
          <w:w w:val="110"/>
        </w:rPr>
        <w:t>teórico,</w:t>
      </w:r>
      <w:r>
        <w:rPr>
          <w:color w:val="231F20"/>
          <w:spacing w:val="-10"/>
          <w:w w:val="110"/>
        </w:rPr>
        <w:t> </w:t>
      </w:r>
      <w:r>
        <w:rPr>
          <w:color w:val="231F20"/>
          <w:w w:val="110"/>
        </w:rPr>
        <w:t>metodológico</w:t>
      </w:r>
      <w:r>
        <w:rPr>
          <w:color w:val="231F20"/>
          <w:spacing w:val="-10"/>
          <w:w w:val="110"/>
        </w:rPr>
        <w:t> </w:t>
      </w:r>
      <w:r>
        <w:rPr>
          <w:color w:val="231F20"/>
          <w:w w:val="110"/>
        </w:rPr>
        <w:t>y</w:t>
      </w:r>
      <w:r>
        <w:rPr>
          <w:color w:val="231F20"/>
          <w:spacing w:val="-10"/>
          <w:w w:val="110"/>
        </w:rPr>
        <w:t> </w:t>
      </w:r>
      <w:r>
        <w:rPr>
          <w:color w:val="231F20"/>
          <w:w w:val="110"/>
        </w:rPr>
        <w:t>práctico</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elevará a la más alta relevancia</w:t>
      </w:r>
      <w:r>
        <w:rPr>
          <w:color w:val="231F20"/>
          <w:spacing w:val="14"/>
          <w:w w:val="110"/>
        </w:rPr>
        <w:t> </w:t>
      </w:r>
      <w:r>
        <w:rPr>
          <w:color w:val="231F20"/>
          <w:w w:val="110"/>
        </w:rPr>
        <w:t>internacional.</w:t>
      </w:r>
    </w:p>
    <w:p>
      <w:pPr>
        <w:spacing w:after="0" w:line="261" w:lineRule="auto"/>
        <w:jc w:val="both"/>
        <w:sectPr>
          <w:headerReference w:type="even" r:id="rId38"/>
          <w:pgSz w:w="7640" w:h="11900"/>
          <w:pgMar w:header="672" w:footer="0" w:top="860" w:bottom="280" w:left="780" w:right="640"/>
        </w:sectPr>
      </w:pPr>
    </w:p>
    <w:p>
      <w:pPr>
        <w:pStyle w:val="BodyText"/>
        <w:spacing w:before="39"/>
        <w:ind w:left="100" w:right="25"/>
      </w:pPr>
      <w:r>
        <w:rPr>
          <w:color w:val="231F20"/>
          <w:w w:val="105"/>
        </w:rPr>
        <w:t>PRÓLOGO</w:t>
      </w:r>
    </w:p>
    <w:p>
      <w:pPr>
        <w:pStyle w:val="BodyText"/>
        <w:spacing w:before="7"/>
        <w:rPr>
          <w:sz w:val="17"/>
        </w:rPr>
      </w:pPr>
    </w:p>
    <w:p>
      <w:pPr>
        <w:pStyle w:val="BodyText"/>
        <w:spacing w:before="67"/>
        <w:ind w:left="100" w:right="25" w:firstLine="4024"/>
      </w:pPr>
      <w:r>
        <w:rPr>
          <w:color w:val="231F20"/>
          <w:w w:val="120"/>
        </w:rPr>
        <w:t>john saxe-fernández</w:t>
      </w:r>
    </w:p>
    <w:p>
      <w:pPr>
        <w:pStyle w:val="BodyText"/>
      </w:pPr>
    </w:p>
    <w:p>
      <w:pPr>
        <w:pStyle w:val="BodyText"/>
      </w:pPr>
    </w:p>
    <w:p>
      <w:pPr>
        <w:pStyle w:val="BodyText"/>
        <w:spacing w:before="1"/>
        <w:rPr>
          <w:sz w:val="26"/>
        </w:rPr>
      </w:pPr>
    </w:p>
    <w:p>
      <w:pPr>
        <w:pStyle w:val="BodyText"/>
        <w:spacing w:line="261" w:lineRule="auto"/>
        <w:ind w:left="100" w:right="115"/>
        <w:jc w:val="both"/>
      </w:pPr>
      <w:r>
        <w:rPr>
          <w:color w:val="231F20"/>
          <w:w w:val="110"/>
        </w:rPr>
        <w:t>Si la relación de América Latina</w:t>
      </w:r>
      <w:r>
        <w:rPr>
          <w:color w:val="231F20"/>
          <w:w w:val="110"/>
          <w:position w:val="6"/>
          <w:sz w:val="13"/>
        </w:rPr>
        <w:t>1 </w:t>
      </w:r>
      <w:r>
        <w:rPr>
          <w:color w:val="231F20"/>
          <w:w w:val="110"/>
        </w:rPr>
        <w:t>con Estados Unidos de América a lo largo de los siglos xviii, xix y xx ha sido compleja y muchas ve- ces “difícil”, abróchense el cinturón y prepárense: hemos ingresado en este segundo decenio del siglo xxi, a un área de mayor turbu- lencia e incertidumbre, caos y crisis. Así lo puede apreciar quien    se asome, y no se deje abrumar, por el colosal listado y puntuales comentarios sobre las agresiones, manipulaciones, la </w:t>
      </w:r>
      <w:r>
        <w:rPr>
          <w:color w:val="231F20"/>
          <w:spacing w:val="2"/>
          <w:w w:val="110"/>
        </w:rPr>
        <w:t>implantación </w:t>
      </w:r>
      <w:r>
        <w:rPr>
          <w:color w:val="231F20"/>
          <w:w w:val="110"/>
        </w:rPr>
        <w:t>de brutales, sangrientos y criminales regímenes, explotaciones y abiertos rompimientos con las normas más elementales del Derecho Internacional y de los tratados y convenios solemnemente adopta- dos por Washington en los arreglos internacionales y regionales </w:t>
      </w:r>
      <w:r>
        <w:rPr>
          <w:color w:val="231F20"/>
          <w:spacing w:val="2"/>
          <w:w w:val="110"/>
        </w:rPr>
        <w:t>con </w:t>
      </w:r>
      <w:r>
        <w:rPr>
          <w:color w:val="231F20"/>
          <w:w w:val="110"/>
        </w:rPr>
        <w:t>América</w:t>
      </w:r>
      <w:r>
        <w:rPr>
          <w:color w:val="231F20"/>
          <w:spacing w:val="-5"/>
          <w:w w:val="110"/>
        </w:rPr>
        <w:t> </w:t>
      </w:r>
      <w:r>
        <w:rPr>
          <w:color w:val="231F20"/>
          <w:w w:val="110"/>
        </w:rPr>
        <w:t>Latina</w:t>
      </w:r>
      <w:r>
        <w:rPr>
          <w:color w:val="231F20"/>
          <w:spacing w:val="-5"/>
          <w:w w:val="110"/>
        </w:rPr>
        <w:t> </w:t>
      </w:r>
      <w:r>
        <w:rPr>
          <w:color w:val="231F20"/>
          <w:w w:val="110"/>
        </w:rPr>
        <w:t>(Carta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Naciones</w:t>
      </w:r>
      <w:r>
        <w:rPr>
          <w:color w:val="231F20"/>
          <w:spacing w:val="-5"/>
          <w:w w:val="110"/>
        </w:rPr>
        <w:t> </w:t>
      </w:r>
      <w:r>
        <w:rPr>
          <w:color w:val="231F20"/>
          <w:w w:val="110"/>
        </w:rPr>
        <w:t>Unidas,</w:t>
      </w:r>
      <w:r>
        <w:rPr>
          <w:color w:val="231F20"/>
          <w:spacing w:val="-5"/>
          <w:w w:val="110"/>
        </w:rPr>
        <w:t> </w:t>
      </w:r>
      <w:r>
        <w:rPr>
          <w:color w:val="231F20"/>
          <w:w w:val="110"/>
        </w:rPr>
        <w:t>oea,</w:t>
      </w:r>
      <w:r>
        <w:rPr>
          <w:color w:val="231F20"/>
          <w:spacing w:val="-5"/>
          <w:w w:val="110"/>
        </w:rPr>
        <w:t> </w:t>
      </w:r>
      <w:r>
        <w:rPr>
          <w:color w:val="231F20"/>
          <w:w w:val="110"/>
        </w:rPr>
        <w:t>etc.),</w:t>
      </w:r>
      <w:r>
        <w:rPr>
          <w:color w:val="231F20"/>
          <w:spacing w:val="-5"/>
          <w:w w:val="110"/>
        </w:rPr>
        <w:t> </w:t>
      </w: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le ofrecen al gran público y a la academia por igual, en los magníficos </w:t>
      </w:r>
      <w:r>
        <w:rPr>
          <w:color w:val="231F20"/>
          <w:w w:val="105"/>
        </w:rPr>
        <w:t>y</w:t>
      </w:r>
      <w:r>
        <w:rPr>
          <w:color w:val="231F20"/>
          <w:spacing w:val="-32"/>
          <w:w w:val="105"/>
        </w:rPr>
        <w:t> </w:t>
      </w:r>
      <w:r>
        <w:rPr>
          <w:color w:val="231F20"/>
          <w:w w:val="105"/>
        </w:rPr>
        <w:t>rigurosos</w:t>
      </w:r>
      <w:r>
        <w:rPr>
          <w:color w:val="231F20"/>
          <w:spacing w:val="-32"/>
          <w:w w:val="105"/>
        </w:rPr>
        <w:t> </w:t>
      </w:r>
      <w:r>
        <w:rPr>
          <w:color w:val="231F20"/>
          <w:w w:val="105"/>
        </w:rPr>
        <w:t>volúmenes</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i/>
          <w:color w:val="231F20"/>
          <w:w w:val="105"/>
        </w:rPr>
        <w:t>Cronología</w:t>
      </w:r>
      <w:r>
        <w:rPr>
          <w:i/>
          <w:color w:val="231F20"/>
          <w:spacing w:val="-32"/>
          <w:w w:val="105"/>
        </w:rPr>
        <w:t> </w:t>
      </w:r>
      <w:r>
        <w:rPr>
          <w:i/>
          <w:color w:val="231F20"/>
          <w:w w:val="105"/>
        </w:rPr>
        <w:t>de</w:t>
      </w:r>
      <w:r>
        <w:rPr>
          <w:i/>
          <w:color w:val="231F20"/>
          <w:spacing w:val="-32"/>
          <w:w w:val="105"/>
        </w:rPr>
        <w:t> </w:t>
      </w:r>
      <w:r>
        <w:rPr>
          <w:i/>
          <w:color w:val="231F20"/>
          <w:w w:val="105"/>
        </w:rPr>
        <w:t>las</w:t>
      </w:r>
      <w:r>
        <w:rPr>
          <w:i/>
          <w:color w:val="231F20"/>
          <w:spacing w:val="-32"/>
          <w:w w:val="105"/>
        </w:rPr>
        <w:t> </w:t>
      </w:r>
      <w:r>
        <w:rPr>
          <w:i/>
          <w:color w:val="231F20"/>
          <w:spacing w:val="2"/>
          <w:w w:val="105"/>
        </w:rPr>
        <w:t>Intervenciones</w:t>
      </w:r>
      <w:r>
        <w:rPr>
          <w:i/>
          <w:color w:val="231F20"/>
          <w:spacing w:val="-32"/>
          <w:w w:val="105"/>
        </w:rPr>
        <w:t> </w:t>
      </w:r>
      <w:r>
        <w:rPr>
          <w:i/>
          <w:color w:val="231F20"/>
          <w:w w:val="105"/>
        </w:rPr>
        <w:t>Extranjeras </w:t>
      </w:r>
      <w:r>
        <w:rPr>
          <w:i/>
          <w:color w:val="231F20"/>
          <w:w w:val="110"/>
        </w:rPr>
        <w:t>en</w:t>
      </w:r>
      <w:r>
        <w:rPr>
          <w:i/>
          <w:color w:val="231F20"/>
          <w:spacing w:val="-6"/>
          <w:w w:val="110"/>
        </w:rPr>
        <w:t> </w:t>
      </w:r>
      <w:r>
        <w:rPr>
          <w:i/>
          <w:color w:val="231F20"/>
          <w:w w:val="110"/>
        </w:rPr>
        <w:t>América</w:t>
      </w:r>
      <w:r>
        <w:rPr>
          <w:i/>
          <w:color w:val="231F20"/>
          <w:spacing w:val="-6"/>
          <w:w w:val="110"/>
        </w:rPr>
        <w:t> </w:t>
      </w:r>
      <w:r>
        <w:rPr>
          <w:i/>
          <w:color w:val="231F20"/>
          <w:w w:val="110"/>
        </w:rPr>
        <w:t>Latina</w:t>
      </w:r>
      <w:r>
        <w:rPr>
          <w:i/>
          <w:color w:val="231F20"/>
          <w:spacing w:val="-6"/>
          <w:w w:val="110"/>
        </w:rPr>
        <w:t> </w:t>
      </w:r>
      <w:r>
        <w:rPr>
          <w:color w:val="231F20"/>
          <w:w w:val="110"/>
        </w:rPr>
        <w:t>de</w:t>
      </w:r>
      <w:r>
        <w:rPr>
          <w:color w:val="231F20"/>
          <w:spacing w:val="-6"/>
          <w:w w:val="110"/>
        </w:rPr>
        <w:t> </w:t>
      </w:r>
      <w:r>
        <w:rPr>
          <w:color w:val="231F20"/>
          <w:w w:val="110"/>
        </w:rPr>
        <w:t>Gregorio</w:t>
      </w:r>
      <w:r>
        <w:rPr>
          <w:color w:val="231F20"/>
          <w:spacing w:val="-6"/>
          <w:w w:val="110"/>
        </w:rPr>
        <w:t> </w:t>
      </w:r>
      <w:r>
        <w:rPr>
          <w:color w:val="231F20"/>
          <w:w w:val="110"/>
        </w:rPr>
        <w:t>Selser</w:t>
      </w:r>
      <w:r>
        <w:rPr>
          <w:color w:val="231F20"/>
          <w:spacing w:val="-6"/>
          <w:w w:val="110"/>
        </w:rPr>
        <w:t> </w:t>
      </w:r>
      <w:r>
        <w:rPr>
          <w:color w:val="231F20"/>
          <w:w w:val="110"/>
        </w:rPr>
        <w:t>(1995,</w:t>
      </w:r>
      <w:r>
        <w:rPr>
          <w:color w:val="231F20"/>
          <w:spacing w:val="-6"/>
          <w:w w:val="110"/>
        </w:rPr>
        <w:t> </w:t>
      </w:r>
      <w:r>
        <w:rPr>
          <w:color w:val="231F20"/>
          <w:w w:val="110"/>
        </w:rPr>
        <w:t>1997</w:t>
      </w:r>
      <w:r>
        <w:rPr>
          <w:color w:val="231F20"/>
          <w:spacing w:val="-6"/>
          <w:w w:val="110"/>
        </w:rPr>
        <w:t> </w:t>
      </w:r>
      <w:r>
        <w:rPr>
          <w:color w:val="231F20"/>
          <w:w w:val="110"/>
        </w:rPr>
        <w:t>y</w:t>
      </w:r>
      <w:r>
        <w:rPr>
          <w:color w:val="231F20"/>
          <w:spacing w:val="-6"/>
          <w:w w:val="110"/>
        </w:rPr>
        <w:t> </w:t>
      </w:r>
      <w:r>
        <w:rPr>
          <w:color w:val="231F20"/>
          <w:w w:val="110"/>
        </w:rPr>
        <w:t>2001).</w:t>
      </w:r>
      <w:r>
        <w:rPr>
          <w:color w:val="231F20"/>
          <w:spacing w:val="-6"/>
          <w:w w:val="110"/>
        </w:rPr>
        <w:t> </w:t>
      </w:r>
      <w:r>
        <w:rPr>
          <w:color w:val="231F20"/>
          <w:w w:val="110"/>
        </w:rPr>
        <w:t>Estamos ante lo que es un desplome sistémico y un colapso ecológico de potencial irreversibilidad. Lo que ha venido ocurriendo en la diná- mica económica y más que ello, en la experiencia de civilización,   es un síntoma inequívoco de que la crisis capitalista, y con ella, la de la </w:t>
      </w:r>
      <w:r>
        <w:rPr>
          <w:i/>
          <w:color w:val="231F20"/>
          <w:w w:val="110"/>
        </w:rPr>
        <w:t>pax americana</w:t>
      </w:r>
      <w:r>
        <w:rPr>
          <w:color w:val="231F20"/>
          <w:w w:val="110"/>
        </w:rPr>
        <w:t>, ingresó a un estadio cualitativamente nuevo y que de todo esto sólo puede anticiparse un largo periodo de conti- nuos conflictos, convulsiones y traumas militares, de consecuencias devastadoras, en el centro y en la  </w:t>
      </w:r>
      <w:r>
        <w:rPr>
          <w:color w:val="231F20"/>
          <w:spacing w:val="21"/>
          <w:w w:val="110"/>
        </w:rPr>
        <w:t> </w:t>
      </w:r>
      <w:r>
        <w:rPr>
          <w:color w:val="231F20"/>
          <w:w w:val="110"/>
        </w:rPr>
        <w:t>periferia.</w:t>
      </w:r>
    </w:p>
    <w:p>
      <w:pPr>
        <w:pStyle w:val="BodyText"/>
        <w:spacing w:line="261" w:lineRule="auto"/>
        <w:ind w:left="100" w:right="117" w:firstLine="240"/>
        <w:jc w:val="both"/>
      </w:pPr>
      <w:r>
        <w:rPr>
          <w:color w:val="231F20"/>
          <w:w w:val="110"/>
        </w:rPr>
        <w:t>Durante los últimos cincuenta años las relaciones entre Estados Unidos</w:t>
      </w:r>
      <w:r>
        <w:rPr>
          <w:color w:val="231F20"/>
          <w:spacing w:val="-8"/>
          <w:w w:val="110"/>
        </w:rPr>
        <w:t> </w:t>
      </w:r>
      <w:r>
        <w:rPr>
          <w:color w:val="231F20"/>
          <w:w w:val="110"/>
        </w:rPr>
        <w:t>y</w:t>
      </w:r>
      <w:r>
        <w:rPr>
          <w:color w:val="231F20"/>
          <w:spacing w:val="-8"/>
          <w:w w:val="110"/>
        </w:rPr>
        <w:t> </w:t>
      </w:r>
      <w:r>
        <w:rPr>
          <w:color w:val="231F20"/>
          <w:w w:val="110"/>
        </w:rPr>
        <w:t>América</w:t>
      </w:r>
      <w:r>
        <w:rPr>
          <w:color w:val="231F20"/>
          <w:spacing w:val="-8"/>
          <w:w w:val="110"/>
        </w:rPr>
        <w:t> </w:t>
      </w:r>
      <w:r>
        <w:rPr>
          <w:color w:val="231F20"/>
          <w:w w:val="110"/>
        </w:rPr>
        <w:t>Latina</w:t>
      </w:r>
      <w:r>
        <w:rPr>
          <w:color w:val="231F20"/>
          <w:spacing w:val="-8"/>
          <w:w w:val="110"/>
        </w:rPr>
        <w:t> </w:t>
      </w:r>
      <w:r>
        <w:rPr>
          <w:color w:val="231F20"/>
          <w:w w:val="110"/>
        </w:rPr>
        <w:t>han</w:t>
      </w:r>
      <w:r>
        <w:rPr>
          <w:color w:val="231F20"/>
          <w:spacing w:val="-8"/>
          <w:w w:val="110"/>
        </w:rPr>
        <w:t> </w:t>
      </w:r>
      <w:r>
        <w:rPr>
          <w:color w:val="231F20"/>
          <w:w w:val="110"/>
        </w:rPr>
        <w:t>ocurrido</w:t>
      </w:r>
      <w:r>
        <w:rPr>
          <w:color w:val="231F20"/>
          <w:spacing w:val="-8"/>
          <w:w w:val="110"/>
        </w:rPr>
        <w:t> </w:t>
      </w:r>
      <w:r>
        <w:rPr>
          <w:color w:val="231F20"/>
          <w:w w:val="110"/>
        </w:rPr>
        <w:t>y</w:t>
      </w:r>
      <w:r>
        <w:rPr>
          <w:color w:val="231F20"/>
          <w:spacing w:val="-8"/>
          <w:w w:val="110"/>
        </w:rPr>
        <w:t> </w:t>
      </w:r>
      <w:r>
        <w:rPr>
          <w:color w:val="231F20"/>
          <w:w w:val="110"/>
        </w:rPr>
        <w:t>han</w:t>
      </w:r>
      <w:r>
        <w:rPr>
          <w:color w:val="231F20"/>
          <w:spacing w:val="-8"/>
          <w:w w:val="110"/>
        </w:rPr>
        <w:t> </w:t>
      </w:r>
      <w:r>
        <w:rPr>
          <w:color w:val="231F20"/>
          <w:w w:val="110"/>
        </w:rPr>
        <w:t>sido</w:t>
      </w:r>
      <w:r>
        <w:rPr>
          <w:color w:val="231F20"/>
          <w:spacing w:val="-8"/>
          <w:w w:val="110"/>
        </w:rPr>
        <w:t> </w:t>
      </w:r>
      <w:r>
        <w:rPr>
          <w:color w:val="231F20"/>
          <w:w w:val="110"/>
        </w:rPr>
        <w:t>afectadas</w:t>
      </w:r>
      <w:r>
        <w:rPr>
          <w:color w:val="231F20"/>
          <w:spacing w:val="-8"/>
          <w:w w:val="110"/>
        </w:rPr>
        <w:t> </w:t>
      </w:r>
      <w:r>
        <w:rPr>
          <w:color w:val="231F20"/>
          <w:w w:val="110"/>
        </w:rPr>
        <w:t>por</w:t>
      </w:r>
      <w:r>
        <w:rPr>
          <w:color w:val="231F20"/>
          <w:spacing w:val="-8"/>
          <w:w w:val="110"/>
        </w:rPr>
        <w:t> </w:t>
      </w:r>
      <w:r>
        <w:rPr>
          <w:color w:val="231F20"/>
          <w:w w:val="110"/>
        </w:rPr>
        <w:t>drás- ticos cambios en la ecuación mundial de </w:t>
      </w:r>
      <w:r>
        <w:rPr>
          <w:color w:val="231F20"/>
          <w:spacing w:val="-3"/>
          <w:w w:val="110"/>
        </w:rPr>
        <w:t>poder, </w:t>
      </w:r>
      <w:r>
        <w:rPr>
          <w:color w:val="231F20"/>
          <w:w w:val="110"/>
        </w:rPr>
        <w:t>en medio de</w:t>
      </w:r>
      <w:r>
        <w:rPr>
          <w:color w:val="231F20"/>
          <w:spacing w:val="-5"/>
          <w:w w:val="110"/>
        </w:rPr>
        <w:t> </w:t>
      </w:r>
      <w:r>
        <w:rPr>
          <w:color w:val="231F20"/>
          <w:w w:val="110"/>
        </w:rPr>
        <w:t>amagos de interrupciones en el proceso de producción y en el proceso de acumulación, en quiebras y pánicos financieros semanales, en el au- mento desmesurado del desempleo y subempleo, en la </w:t>
      </w:r>
      <w:r>
        <w:rPr>
          <w:color w:val="231F20"/>
          <w:spacing w:val="21"/>
          <w:w w:val="110"/>
        </w:rPr>
        <w:t> </w:t>
      </w:r>
      <w:r>
        <w:rPr>
          <w:color w:val="231F20"/>
          <w:w w:val="110"/>
        </w:rPr>
        <w:t>polarización</w:t>
      </w:r>
    </w:p>
    <w:p>
      <w:pPr>
        <w:pStyle w:val="BodyText"/>
      </w:pPr>
    </w:p>
    <w:p>
      <w:pPr>
        <w:pStyle w:val="BodyText"/>
      </w:pPr>
    </w:p>
    <w:p>
      <w:pPr>
        <w:spacing w:line="261" w:lineRule="auto" w:before="132"/>
        <w:ind w:left="100" w:right="118" w:firstLine="240"/>
        <w:jc w:val="both"/>
        <w:rPr>
          <w:sz w:val="16"/>
        </w:rPr>
      </w:pPr>
      <w:r>
        <w:rPr>
          <w:color w:val="231F20"/>
          <w:w w:val="105"/>
          <w:position w:val="5"/>
          <w:sz w:val="10"/>
        </w:rPr>
        <w:t>1    </w:t>
      </w:r>
      <w:r>
        <w:rPr>
          <w:color w:val="231F20"/>
          <w:w w:val="105"/>
          <w:sz w:val="16"/>
        </w:rPr>
        <w:t>Me refiero, desde luego, al Caribe y al área comprendida entre el río Bravo y       </w:t>
      </w:r>
      <w:r>
        <w:rPr>
          <w:color w:val="231F20"/>
          <w:spacing w:val="42"/>
          <w:w w:val="105"/>
          <w:sz w:val="16"/>
        </w:rPr>
        <w:t> </w:t>
      </w:r>
      <w:r>
        <w:rPr>
          <w:color w:val="231F20"/>
          <w:w w:val="105"/>
          <w:sz w:val="16"/>
        </w:rPr>
        <w:t>la</w:t>
      </w:r>
      <w:r>
        <w:rPr>
          <w:color w:val="231F20"/>
          <w:spacing w:val="35"/>
          <w:w w:val="105"/>
          <w:sz w:val="16"/>
        </w:rPr>
        <w:t> </w:t>
      </w:r>
      <w:r>
        <w:rPr>
          <w:color w:val="231F20"/>
          <w:w w:val="105"/>
          <w:sz w:val="16"/>
        </w:rPr>
        <w:t>Patagonia.</w:t>
      </w:r>
    </w:p>
    <w:p>
      <w:pPr>
        <w:pStyle w:val="BodyText"/>
        <w:spacing w:before="7"/>
        <w:rPr>
          <w:sz w:val="16"/>
        </w:rPr>
      </w:pPr>
    </w:p>
    <w:p>
      <w:pPr>
        <w:pStyle w:val="BodyText"/>
        <w:spacing w:before="67"/>
        <w:ind w:left="113" w:right="132"/>
        <w:jc w:val="center"/>
      </w:pPr>
      <w:r>
        <w:rPr>
          <w:color w:val="231F20"/>
          <w:w w:val="120"/>
        </w:rPr>
        <w:t>[13]</w:t>
      </w:r>
    </w:p>
    <w:p>
      <w:pPr>
        <w:spacing w:after="0"/>
        <w:jc w:val="center"/>
        <w:sectPr>
          <w:headerReference w:type="default" r:id="rId39"/>
          <w:pgSz w:w="7640" w:h="11900"/>
          <w:pgMar w:header="0" w:footer="0" w:top="1000" w:bottom="280" w:left="660" w:right="760"/>
        </w:sectPr>
      </w:pPr>
    </w:p>
    <w:p>
      <w:pPr>
        <w:pStyle w:val="BodyText"/>
        <w:spacing w:before="8"/>
        <w:rPr>
          <w:sz w:val="8"/>
        </w:rPr>
      </w:pPr>
    </w:p>
    <w:p>
      <w:pPr>
        <w:pStyle w:val="BodyText"/>
        <w:spacing w:line="261" w:lineRule="auto" w:before="67"/>
        <w:ind w:left="100" w:right="117"/>
        <w:jc w:val="both"/>
        <w:rPr>
          <w:sz w:val="13"/>
        </w:rPr>
      </w:pPr>
      <w:r>
        <w:rPr>
          <w:color w:val="231F20"/>
          <w:w w:val="110"/>
        </w:rPr>
        <w:t>del</w:t>
      </w:r>
      <w:r>
        <w:rPr>
          <w:color w:val="231F20"/>
          <w:spacing w:val="-16"/>
          <w:w w:val="110"/>
        </w:rPr>
        <w:t> </w:t>
      </w:r>
      <w:r>
        <w:rPr>
          <w:color w:val="231F20"/>
          <w:w w:val="110"/>
        </w:rPr>
        <w:t>ingreso</w:t>
      </w:r>
      <w:r>
        <w:rPr>
          <w:color w:val="231F20"/>
          <w:spacing w:val="-16"/>
          <w:w w:val="110"/>
        </w:rPr>
        <w:t> </w:t>
      </w:r>
      <w:r>
        <w:rPr>
          <w:color w:val="231F20"/>
          <w:spacing w:val="-8"/>
          <w:w w:val="110"/>
        </w:rPr>
        <w:t>y,</w:t>
      </w:r>
      <w:r>
        <w:rPr>
          <w:color w:val="231F20"/>
          <w:spacing w:val="-16"/>
          <w:w w:val="110"/>
        </w:rPr>
        <w:t> </w:t>
      </w:r>
      <w:r>
        <w:rPr>
          <w:color w:val="231F20"/>
          <w:w w:val="110"/>
        </w:rPr>
        <w:t>en</w:t>
      </w:r>
      <w:r>
        <w:rPr>
          <w:color w:val="231F20"/>
          <w:spacing w:val="-16"/>
          <w:w w:val="110"/>
        </w:rPr>
        <w:t> </w:t>
      </w:r>
      <w:r>
        <w:rPr>
          <w:color w:val="231F20"/>
          <w:w w:val="110"/>
        </w:rPr>
        <w:t>especial</w:t>
      </w:r>
      <w:r>
        <w:rPr>
          <w:color w:val="231F20"/>
          <w:spacing w:val="-16"/>
          <w:w w:val="110"/>
        </w:rPr>
        <w:t> </w:t>
      </w:r>
      <w:r>
        <w:rPr>
          <w:color w:val="231F20"/>
          <w:w w:val="110"/>
        </w:rPr>
        <w:t>desde</w:t>
      </w:r>
      <w:r>
        <w:rPr>
          <w:color w:val="231F20"/>
          <w:spacing w:val="-16"/>
          <w:w w:val="110"/>
        </w:rPr>
        <w:t> </w:t>
      </w:r>
      <w:r>
        <w:rPr>
          <w:color w:val="231F20"/>
          <w:w w:val="110"/>
        </w:rPr>
        <w:t>Reagan-Thatcher,</w:t>
      </w:r>
      <w:r>
        <w:rPr>
          <w:color w:val="231F20"/>
          <w:spacing w:val="-16"/>
          <w:w w:val="110"/>
        </w:rPr>
        <w:t> </w:t>
      </w:r>
      <w:r>
        <w:rPr>
          <w:color w:val="231F20"/>
          <w:w w:val="110"/>
        </w:rPr>
        <w:t>en</w:t>
      </w:r>
      <w:r>
        <w:rPr>
          <w:color w:val="231F20"/>
          <w:spacing w:val="-16"/>
          <w:w w:val="110"/>
        </w:rPr>
        <w:t> </w:t>
      </w:r>
      <w:r>
        <w:rPr>
          <w:color w:val="231F20"/>
          <w:w w:val="110"/>
        </w:rPr>
        <w:t>una</w:t>
      </w:r>
      <w:r>
        <w:rPr>
          <w:color w:val="231F20"/>
          <w:spacing w:val="-16"/>
          <w:w w:val="110"/>
        </w:rPr>
        <w:t> </w:t>
      </w:r>
      <w:r>
        <w:rPr>
          <w:color w:val="231F20"/>
          <w:w w:val="110"/>
        </w:rPr>
        <w:t>agudización de la agresión de clase desde las altas esferas del poder hacia obre- ros, campesinos y sectores medios. Hemos unido nuestra vos a la de quienes han advertido que no eran simples expresiones de algún ciclo de intercambio, sino de una crisis estructural del sistema. En 1968,</w:t>
      </w:r>
      <w:r>
        <w:rPr>
          <w:color w:val="231F20"/>
          <w:spacing w:val="-13"/>
          <w:w w:val="110"/>
        </w:rPr>
        <w:t> </w:t>
      </w:r>
      <w:r>
        <w:rPr>
          <w:color w:val="231F20"/>
          <w:w w:val="110"/>
        </w:rPr>
        <w:t>cuando</w:t>
      </w:r>
      <w:r>
        <w:rPr>
          <w:color w:val="231F20"/>
          <w:spacing w:val="-13"/>
          <w:w w:val="110"/>
        </w:rPr>
        <w:t> </w:t>
      </w:r>
      <w:r>
        <w:rPr>
          <w:color w:val="231F20"/>
          <w:w w:val="110"/>
        </w:rPr>
        <w:t>la</w:t>
      </w:r>
      <w:r>
        <w:rPr>
          <w:color w:val="231F20"/>
          <w:spacing w:val="-13"/>
          <w:w w:val="110"/>
        </w:rPr>
        <w:t> </w:t>
      </w:r>
      <w:r>
        <w:rPr>
          <w:color w:val="231F20"/>
          <w:w w:val="110"/>
        </w:rPr>
        <w:t>rebelión</w:t>
      </w:r>
      <w:r>
        <w:rPr>
          <w:color w:val="231F20"/>
          <w:spacing w:val="-13"/>
          <w:w w:val="110"/>
        </w:rPr>
        <w:t> </w:t>
      </w:r>
      <w:r>
        <w:rPr>
          <w:color w:val="231F20"/>
          <w:w w:val="110"/>
        </w:rPr>
        <w:t>estudiantil</w:t>
      </w:r>
      <w:r>
        <w:rPr>
          <w:color w:val="231F20"/>
          <w:spacing w:val="-13"/>
          <w:w w:val="110"/>
        </w:rPr>
        <w:t> </w:t>
      </w:r>
      <w:r>
        <w:rPr>
          <w:color w:val="231F20"/>
          <w:w w:val="110"/>
        </w:rPr>
        <w:t>tomó</w:t>
      </w:r>
      <w:r>
        <w:rPr>
          <w:color w:val="231F20"/>
          <w:spacing w:val="-13"/>
          <w:w w:val="110"/>
        </w:rPr>
        <w:t> </w:t>
      </w:r>
      <w:r>
        <w:rPr>
          <w:color w:val="231F20"/>
          <w:w w:val="110"/>
        </w:rPr>
        <w:t>los</w:t>
      </w:r>
      <w:r>
        <w:rPr>
          <w:color w:val="231F20"/>
          <w:spacing w:val="-13"/>
          <w:w w:val="110"/>
        </w:rPr>
        <w:t> </w:t>
      </w:r>
      <w:r>
        <w:rPr>
          <w:color w:val="231F20"/>
          <w:w w:val="110"/>
        </w:rPr>
        <w:t>campos</w:t>
      </w:r>
      <w:r>
        <w:rPr>
          <w:color w:val="231F20"/>
          <w:spacing w:val="-13"/>
          <w:w w:val="110"/>
        </w:rPr>
        <w:t> </w:t>
      </w:r>
      <w:r>
        <w:rPr>
          <w:color w:val="231F20"/>
          <w:w w:val="110"/>
        </w:rPr>
        <w:t>universitarios</w:t>
      </w:r>
      <w:r>
        <w:rPr>
          <w:color w:val="231F20"/>
          <w:spacing w:val="-13"/>
          <w:w w:val="110"/>
        </w:rPr>
        <w:t> </w:t>
      </w:r>
      <w:r>
        <w:rPr>
          <w:color w:val="231F20"/>
          <w:w w:val="110"/>
        </w:rPr>
        <w:t>y las</w:t>
      </w:r>
      <w:r>
        <w:rPr>
          <w:color w:val="231F20"/>
          <w:spacing w:val="-14"/>
          <w:w w:val="110"/>
        </w:rPr>
        <w:t> </w:t>
      </w:r>
      <w:r>
        <w:rPr>
          <w:color w:val="231F20"/>
          <w:w w:val="110"/>
        </w:rPr>
        <w:t>calles</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grandes</w:t>
      </w:r>
      <w:r>
        <w:rPr>
          <w:color w:val="231F20"/>
          <w:spacing w:val="-14"/>
          <w:w w:val="110"/>
        </w:rPr>
        <w:t> </w:t>
      </w:r>
      <w:r>
        <w:rPr>
          <w:color w:val="231F20"/>
          <w:w w:val="110"/>
        </w:rPr>
        <w:t>urbes,</w:t>
      </w:r>
      <w:r>
        <w:rPr>
          <w:color w:val="231F20"/>
          <w:spacing w:val="-14"/>
          <w:w w:val="110"/>
        </w:rPr>
        <w:t> </w:t>
      </w:r>
      <w:r>
        <w:rPr>
          <w:color w:val="231F20"/>
          <w:w w:val="110"/>
        </w:rPr>
        <w:t>de</w:t>
      </w:r>
      <w:r>
        <w:rPr>
          <w:color w:val="231F20"/>
          <w:spacing w:val="-14"/>
          <w:w w:val="110"/>
        </w:rPr>
        <w:t> </w:t>
      </w:r>
      <w:r>
        <w:rPr>
          <w:color w:val="231F20"/>
          <w:w w:val="110"/>
        </w:rPr>
        <w:t>California,</w:t>
      </w:r>
      <w:r>
        <w:rPr>
          <w:color w:val="231F20"/>
          <w:spacing w:val="-14"/>
          <w:w w:val="110"/>
        </w:rPr>
        <w:t> </w:t>
      </w:r>
      <w:r>
        <w:rPr>
          <w:color w:val="231F20"/>
          <w:w w:val="110"/>
        </w:rPr>
        <w:t>México</w:t>
      </w:r>
      <w:r>
        <w:rPr>
          <w:color w:val="231F20"/>
          <w:spacing w:val="-14"/>
          <w:w w:val="110"/>
        </w:rPr>
        <w:t> </w:t>
      </w:r>
      <w:r>
        <w:rPr>
          <w:color w:val="231F20"/>
          <w:w w:val="110"/>
        </w:rPr>
        <w:t>y</w:t>
      </w:r>
      <w:r>
        <w:rPr>
          <w:color w:val="231F20"/>
          <w:spacing w:val="-14"/>
          <w:w w:val="110"/>
        </w:rPr>
        <w:t> </w:t>
      </w:r>
      <w:r>
        <w:rPr>
          <w:color w:val="231F20"/>
          <w:w w:val="110"/>
        </w:rPr>
        <w:t>Buenos</w:t>
      </w:r>
      <w:r>
        <w:rPr>
          <w:color w:val="231F20"/>
          <w:spacing w:val="-14"/>
          <w:w w:val="110"/>
        </w:rPr>
        <w:t> </w:t>
      </w:r>
      <w:r>
        <w:rPr>
          <w:color w:val="231F20"/>
          <w:w w:val="110"/>
        </w:rPr>
        <w:t>Aires, a París y Londres, Istvan Mészáros logró calibrar la dimensión de lo que entonces eran síntomas de que “algo” de orden mayor estaba ocurriendo al sistema capitalista como un todo: “la actual crisis —le dijo a su amigo e interlocutor, Lucien Goldman— “hará lucir a la gran depresión como una tarde de té en la vicaría”. </w:t>
      </w:r>
      <w:r>
        <w:rPr>
          <w:color w:val="231F20"/>
          <w:spacing w:val="-3"/>
          <w:w w:val="110"/>
        </w:rPr>
        <w:t>Ya  </w:t>
      </w:r>
      <w:r>
        <w:rPr>
          <w:color w:val="231F20"/>
          <w:w w:val="110"/>
        </w:rPr>
        <w:t>para 1973   la inestabilidad del medio ambiente estratégico y social inducía un círculo complejo y vicioso de fenómenos y causaciones que no sólo afectaban al alto capital, sino que colocaba en serio predicamento todo el “orden” de posguerra, incluyendo la relación de la primera potencia con América</w:t>
      </w:r>
      <w:r>
        <w:rPr>
          <w:color w:val="231F20"/>
          <w:spacing w:val="4"/>
          <w:w w:val="110"/>
        </w:rPr>
        <w:t> </w:t>
      </w:r>
      <w:r>
        <w:rPr>
          <w:color w:val="231F20"/>
          <w:w w:val="110"/>
        </w:rPr>
        <w:t>Latina.</w:t>
      </w:r>
      <w:r>
        <w:rPr>
          <w:color w:val="231F20"/>
          <w:w w:val="110"/>
          <w:position w:val="6"/>
          <w:sz w:val="13"/>
        </w:rPr>
        <w:t>2</w:t>
      </w:r>
    </w:p>
    <w:p>
      <w:pPr>
        <w:pStyle w:val="BodyText"/>
        <w:spacing w:line="261" w:lineRule="auto"/>
        <w:ind w:left="100" w:right="117" w:firstLine="240"/>
        <w:jc w:val="both"/>
      </w:pPr>
      <w:r>
        <w:rPr>
          <w:color w:val="231F20"/>
          <w:w w:val="105"/>
        </w:rPr>
        <w:t>Esta situación de proporciones planetarias, que incorpora impac-   tos sobre la atmósfera y la biosfera además del agotamiento de los estratos “convencionales” (es </w:t>
      </w:r>
      <w:r>
        <w:rPr>
          <w:color w:val="231F20"/>
          <w:spacing w:val="-3"/>
          <w:w w:val="105"/>
        </w:rPr>
        <w:t>decir, </w:t>
      </w:r>
      <w:r>
        <w:rPr>
          <w:color w:val="231F20"/>
          <w:w w:val="105"/>
        </w:rPr>
        <w:t>de fácil acceso, alta calidad y bara- tos) de los combustibles fósiles, en particular el petróleo y minerales, incide en la etiología de la crisis estructural y nos remonta al inicio mismo del capitalismo, con la secuela de recesiones, depresiones, mutaciones y disturbios desatados por el capitalismo victoriano des-   de los años setenta del siglo xix, que finalmente desembocó en la primera guerra mundial, y  prosiguió,  luego  del  trauma  económico de los años treinta, con la segunda gran conflagración. El largo pe- riodo de expansión económica y del empleo que siguió a la segunda guerra mundial, se agotaba, y el régimen multilateral de regulación comercial y monetaria bajo la batuta de un hegemón derrotado en Vietnam, que a principios de los años setenta sufrió además un golpe estratégico por el embargo petrolero de la opep y que, en simultáneo, había</w:t>
      </w:r>
      <w:r>
        <w:rPr>
          <w:color w:val="231F20"/>
          <w:spacing w:val="19"/>
          <w:w w:val="105"/>
        </w:rPr>
        <w:t> </w:t>
      </w:r>
      <w:r>
        <w:rPr>
          <w:color w:val="231F20"/>
          <w:w w:val="105"/>
        </w:rPr>
        <w:t>impulsado</w:t>
      </w:r>
      <w:r>
        <w:rPr>
          <w:color w:val="231F20"/>
          <w:spacing w:val="19"/>
          <w:w w:val="105"/>
        </w:rPr>
        <w:t> </w:t>
      </w:r>
      <w:r>
        <w:rPr>
          <w:color w:val="231F20"/>
          <w:w w:val="105"/>
        </w:rPr>
        <w:t>en</w:t>
      </w:r>
      <w:r>
        <w:rPr>
          <w:color w:val="231F20"/>
          <w:spacing w:val="19"/>
          <w:w w:val="105"/>
        </w:rPr>
        <w:t> </w:t>
      </w:r>
      <w:r>
        <w:rPr>
          <w:color w:val="231F20"/>
          <w:w w:val="105"/>
        </w:rPr>
        <w:t>países</w:t>
      </w:r>
      <w:r>
        <w:rPr>
          <w:color w:val="231F20"/>
          <w:spacing w:val="19"/>
          <w:w w:val="105"/>
        </w:rPr>
        <w:t> </w:t>
      </w:r>
      <w:r>
        <w:rPr>
          <w:color w:val="231F20"/>
          <w:w w:val="105"/>
        </w:rPr>
        <w:t>como</w:t>
      </w:r>
      <w:r>
        <w:rPr>
          <w:color w:val="231F20"/>
          <w:spacing w:val="19"/>
          <w:w w:val="105"/>
        </w:rPr>
        <w:t> </w:t>
      </w:r>
      <w:r>
        <w:rPr>
          <w:color w:val="231F20"/>
          <w:w w:val="105"/>
        </w:rPr>
        <w:t>Chile,</w:t>
      </w:r>
      <w:r>
        <w:rPr>
          <w:color w:val="231F20"/>
          <w:spacing w:val="19"/>
          <w:w w:val="105"/>
        </w:rPr>
        <w:t> </w:t>
      </w:r>
      <w:r>
        <w:rPr>
          <w:color w:val="231F20"/>
          <w:w w:val="105"/>
        </w:rPr>
        <w:t>Argentina</w:t>
      </w:r>
      <w:r>
        <w:rPr>
          <w:color w:val="231F20"/>
          <w:spacing w:val="19"/>
          <w:w w:val="105"/>
        </w:rPr>
        <w:t> </w:t>
      </w:r>
      <w:r>
        <w:rPr>
          <w:color w:val="231F20"/>
          <w:w w:val="105"/>
        </w:rPr>
        <w:t>y</w:t>
      </w:r>
      <w:r>
        <w:rPr>
          <w:color w:val="231F20"/>
          <w:spacing w:val="19"/>
          <w:w w:val="105"/>
        </w:rPr>
        <w:t> </w:t>
      </w:r>
      <w:r>
        <w:rPr>
          <w:color w:val="231F20"/>
          <w:w w:val="105"/>
        </w:rPr>
        <w:t>Uruguay,</w:t>
      </w:r>
      <w:r>
        <w:rPr>
          <w:color w:val="231F20"/>
          <w:spacing w:val="19"/>
          <w:w w:val="105"/>
        </w:rPr>
        <w:t> </w:t>
      </w:r>
      <w:r>
        <w:rPr>
          <w:color w:val="231F20"/>
          <w:w w:val="105"/>
        </w:rPr>
        <w:t>un</w:t>
      </w:r>
      <w:r>
        <w:rPr>
          <w:color w:val="231F20"/>
          <w:spacing w:val="19"/>
          <w:w w:val="105"/>
        </w:rPr>
        <w:t> </w:t>
      </w:r>
      <w:r>
        <w:rPr>
          <w:color w:val="231F20"/>
          <w:w w:val="105"/>
        </w:rPr>
        <w:t>tipo</w:t>
      </w:r>
    </w:p>
    <w:p>
      <w:pPr>
        <w:pStyle w:val="BodyText"/>
      </w:pPr>
    </w:p>
    <w:p>
      <w:pPr>
        <w:pStyle w:val="BodyText"/>
        <w:spacing w:before="10"/>
        <w:rPr>
          <w:sz w:val="21"/>
        </w:rPr>
      </w:pPr>
    </w:p>
    <w:p>
      <w:pPr>
        <w:spacing w:line="261" w:lineRule="auto" w:before="0"/>
        <w:ind w:left="100" w:right="117" w:firstLine="240"/>
        <w:jc w:val="both"/>
        <w:rPr>
          <w:sz w:val="16"/>
        </w:rPr>
      </w:pPr>
      <w:r>
        <w:rPr>
          <w:color w:val="231F20"/>
          <w:w w:val="110"/>
          <w:position w:val="5"/>
          <w:sz w:val="10"/>
        </w:rPr>
        <w:t>2 </w:t>
      </w:r>
      <w:r>
        <w:rPr>
          <w:color w:val="231F20"/>
          <w:w w:val="110"/>
          <w:sz w:val="16"/>
        </w:rPr>
        <w:t>Utilizo el término “primera potencia” y no el de “monopolaridad”, porque este último quizá permitiría describir la constelación de poder prevaleciente pocos años después de Hiroshima y Nagasaki. Ya en 1949 terminó el monopolio atómico de Es- tados Unidos, estalló la Revolución china y poco después la guerra en Corea mostró los límites del poderío estadunidense (Vid y Kolko, 1972).</w:t>
      </w:r>
    </w:p>
    <w:p>
      <w:pPr>
        <w:spacing w:after="0" w:line="261" w:lineRule="auto"/>
        <w:jc w:val="both"/>
        <w:rPr>
          <w:sz w:val="16"/>
        </w:rPr>
        <w:sectPr>
          <w:headerReference w:type="even" r:id="rId40"/>
          <w:headerReference w:type="default" r:id="rId41"/>
          <w:pgSz w:w="7640" w:h="11900"/>
          <w:pgMar w:header="672" w:footer="0" w:top="860" w:bottom="280" w:left="780" w:right="640"/>
          <w:pgNumType w:start="14"/>
        </w:sectPr>
      </w:pPr>
    </w:p>
    <w:p>
      <w:pPr>
        <w:pStyle w:val="BodyText"/>
        <w:spacing w:before="8"/>
        <w:rPr>
          <w:sz w:val="8"/>
        </w:rPr>
      </w:pPr>
    </w:p>
    <w:p>
      <w:pPr>
        <w:pStyle w:val="BodyText"/>
        <w:spacing w:line="261" w:lineRule="auto" w:before="67"/>
        <w:ind w:left="100" w:right="117"/>
        <w:jc w:val="both"/>
      </w:pPr>
      <w:r>
        <w:rPr>
          <w:color w:val="231F20"/>
          <w:w w:val="110"/>
        </w:rPr>
        <w:t>de</w:t>
      </w:r>
      <w:r>
        <w:rPr>
          <w:color w:val="231F20"/>
          <w:spacing w:val="-5"/>
          <w:w w:val="110"/>
        </w:rPr>
        <w:t> </w:t>
      </w:r>
      <w:r>
        <w:rPr>
          <w:color w:val="231F20"/>
          <w:w w:val="110"/>
        </w:rPr>
        <w:t>“gobernabilidad”</w:t>
      </w:r>
      <w:r>
        <w:rPr>
          <w:color w:val="231F20"/>
          <w:spacing w:val="-5"/>
          <w:w w:val="110"/>
        </w:rPr>
        <w:t> </w:t>
      </w:r>
      <w:r>
        <w:rPr>
          <w:color w:val="231F20"/>
          <w:w w:val="110"/>
        </w:rPr>
        <w:t>de</w:t>
      </w:r>
      <w:r>
        <w:rPr>
          <w:color w:val="231F20"/>
          <w:spacing w:val="-5"/>
          <w:w w:val="110"/>
        </w:rPr>
        <w:t> </w:t>
      </w:r>
      <w:r>
        <w:rPr>
          <w:color w:val="231F20"/>
          <w:w w:val="110"/>
        </w:rPr>
        <w:t>corte</w:t>
      </w:r>
      <w:r>
        <w:rPr>
          <w:color w:val="231F20"/>
          <w:spacing w:val="-5"/>
          <w:w w:val="110"/>
        </w:rPr>
        <w:t> </w:t>
      </w:r>
      <w:r>
        <w:rPr>
          <w:color w:val="231F20"/>
          <w:w w:val="110"/>
        </w:rPr>
        <w:t>hitleriano,</w:t>
      </w:r>
      <w:r>
        <w:rPr>
          <w:color w:val="231F20"/>
          <w:spacing w:val="-5"/>
          <w:w w:val="110"/>
        </w:rPr>
        <w:t> </w:t>
      </w:r>
      <w:r>
        <w:rPr>
          <w:color w:val="231F20"/>
          <w:w w:val="110"/>
        </w:rPr>
        <w:t>había</w:t>
      </w:r>
      <w:r>
        <w:rPr>
          <w:color w:val="231F20"/>
          <w:spacing w:val="-5"/>
          <w:w w:val="110"/>
        </w:rPr>
        <w:t> </w:t>
      </w:r>
      <w:r>
        <w:rPr>
          <w:color w:val="231F20"/>
          <w:w w:val="110"/>
        </w:rPr>
        <w:t>ingresado</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zona de turbulencias y de volatilidad que se extendió —y profundizó— a lo largo de los años ochenta y noventa. Desde entonces la relación entre la potencia norteña y nuestra región se dio, como bien captó  el predicamento de Pablo González Casanova, “en medio de una concentración de contradicciones nacionales y de clase, políticas y económicas,</w:t>
      </w:r>
      <w:r>
        <w:rPr>
          <w:color w:val="231F20"/>
          <w:spacing w:val="-25"/>
          <w:w w:val="110"/>
        </w:rPr>
        <w:t> </w:t>
      </w:r>
      <w:r>
        <w:rPr>
          <w:color w:val="231F20"/>
          <w:w w:val="110"/>
        </w:rPr>
        <w:t>ideológicas</w:t>
      </w:r>
      <w:r>
        <w:rPr>
          <w:color w:val="231F20"/>
          <w:spacing w:val="-25"/>
          <w:w w:val="110"/>
        </w:rPr>
        <w:t> </w:t>
      </w:r>
      <w:r>
        <w:rPr>
          <w:color w:val="231F20"/>
          <w:w w:val="110"/>
        </w:rPr>
        <w:t>y</w:t>
      </w:r>
      <w:r>
        <w:rPr>
          <w:color w:val="231F20"/>
          <w:spacing w:val="-25"/>
          <w:w w:val="110"/>
        </w:rPr>
        <w:t> </w:t>
      </w:r>
      <w:r>
        <w:rPr>
          <w:color w:val="231F20"/>
          <w:w w:val="110"/>
        </w:rPr>
        <w:t>represivas”</w:t>
      </w:r>
      <w:r>
        <w:rPr>
          <w:color w:val="231F20"/>
          <w:spacing w:val="-25"/>
          <w:w w:val="110"/>
        </w:rPr>
        <w:t> </w:t>
      </w:r>
      <w:r>
        <w:rPr>
          <w:color w:val="231F20"/>
          <w:w w:val="110"/>
        </w:rPr>
        <w:t>(1979:</w:t>
      </w:r>
      <w:r>
        <w:rPr>
          <w:color w:val="231F20"/>
          <w:spacing w:val="-25"/>
          <w:w w:val="110"/>
        </w:rPr>
        <w:t> </w:t>
      </w:r>
      <w:r>
        <w:rPr>
          <w:color w:val="231F20"/>
          <w:w w:val="110"/>
        </w:rPr>
        <w:t>2-4).</w:t>
      </w:r>
    </w:p>
    <w:p>
      <w:pPr>
        <w:pStyle w:val="BodyText"/>
        <w:spacing w:line="261" w:lineRule="auto"/>
        <w:ind w:left="100" w:right="112" w:firstLine="240"/>
        <w:jc w:val="both"/>
      </w:pPr>
      <w:r>
        <w:rPr>
          <w:color w:val="231F20"/>
          <w:w w:val="110"/>
        </w:rPr>
        <w:t>En ese </w:t>
      </w:r>
      <w:r>
        <w:rPr>
          <w:color w:val="231F20"/>
          <w:spacing w:val="2"/>
          <w:w w:val="110"/>
        </w:rPr>
        <w:t>momento, 1979, estallaba </w:t>
      </w:r>
      <w:r>
        <w:rPr>
          <w:color w:val="231F20"/>
          <w:w w:val="110"/>
        </w:rPr>
        <w:t>el </w:t>
      </w:r>
      <w:r>
        <w:rPr>
          <w:color w:val="231F20"/>
          <w:spacing w:val="2"/>
          <w:w w:val="110"/>
        </w:rPr>
        <w:t>segundo shock </w:t>
      </w:r>
      <w:r>
        <w:rPr>
          <w:color w:val="231F20"/>
          <w:spacing w:val="3"/>
          <w:w w:val="110"/>
        </w:rPr>
        <w:t>petrolero </w:t>
      </w:r>
      <w:r>
        <w:rPr>
          <w:color w:val="231F20"/>
          <w:w w:val="110"/>
        </w:rPr>
        <w:t>acompañado de un aumento de 60% en los precios del crudo, y con esto la “atención” no menos que “intención” del aparato</w:t>
      </w:r>
      <w:r>
        <w:rPr>
          <w:color w:val="231F20"/>
          <w:spacing w:val="-19"/>
          <w:w w:val="110"/>
        </w:rPr>
        <w:t> </w:t>
      </w:r>
      <w:r>
        <w:rPr>
          <w:color w:val="231F20"/>
          <w:w w:val="110"/>
        </w:rPr>
        <w:t>empresarial y de seguridad de Estados Unidos, se centró en asegurar, garantizar y ampliar el acceso, control y explotación, de los recursos naturales estratégicos</w:t>
      </w:r>
      <w:r>
        <w:rPr>
          <w:color w:val="231F20"/>
          <w:spacing w:val="-14"/>
          <w:w w:val="110"/>
        </w:rPr>
        <w:t> </w:t>
      </w:r>
      <w:r>
        <w:rPr>
          <w:color w:val="231F20"/>
          <w:w w:val="110"/>
        </w:rPr>
        <w:t>de</w:t>
      </w:r>
      <w:r>
        <w:rPr>
          <w:color w:val="231F20"/>
          <w:spacing w:val="-14"/>
          <w:w w:val="110"/>
        </w:rPr>
        <w:t> </w:t>
      </w:r>
      <w:r>
        <w:rPr>
          <w:color w:val="231F20"/>
          <w:w w:val="110"/>
        </w:rPr>
        <w:t>América</w:t>
      </w:r>
      <w:r>
        <w:rPr>
          <w:color w:val="231F20"/>
          <w:spacing w:val="-14"/>
          <w:w w:val="110"/>
        </w:rPr>
        <w:t> </w:t>
      </w:r>
      <w:r>
        <w:rPr>
          <w:color w:val="231F20"/>
          <w:w w:val="110"/>
        </w:rPr>
        <w:t>Latina</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Caribe,</w:t>
      </w:r>
      <w:r>
        <w:rPr>
          <w:color w:val="231F20"/>
          <w:spacing w:val="-14"/>
          <w:w w:val="110"/>
        </w:rPr>
        <w:t> </w:t>
      </w:r>
      <w:r>
        <w:rPr>
          <w:color w:val="231F20"/>
          <w:w w:val="110"/>
        </w:rPr>
        <w:t>incluyendo</w:t>
      </w:r>
      <w:r>
        <w:rPr>
          <w:color w:val="231F20"/>
          <w:spacing w:val="-14"/>
          <w:w w:val="110"/>
        </w:rPr>
        <w:t> </w:t>
      </w:r>
      <w:r>
        <w:rPr>
          <w:color w:val="231F20"/>
          <w:w w:val="110"/>
        </w:rPr>
        <w:t>además</w:t>
      </w:r>
      <w:r>
        <w:rPr>
          <w:color w:val="231F20"/>
          <w:spacing w:val="-14"/>
          <w:w w:val="110"/>
        </w:rPr>
        <w:t> </w:t>
      </w:r>
      <w:r>
        <w:rPr>
          <w:color w:val="231F20"/>
          <w:w w:val="110"/>
        </w:rPr>
        <w:t>de</w:t>
      </w:r>
      <w:r>
        <w:rPr>
          <w:color w:val="231F20"/>
          <w:spacing w:val="-14"/>
          <w:w w:val="110"/>
        </w:rPr>
        <w:t> </w:t>
      </w:r>
      <w:r>
        <w:rPr>
          <w:color w:val="231F20"/>
          <w:w w:val="110"/>
        </w:rPr>
        <w:t>los combustibles</w:t>
      </w:r>
      <w:r>
        <w:rPr>
          <w:color w:val="231F20"/>
          <w:spacing w:val="-17"/>
          <w:w w:val="110"/>
        </w:rPr>
        <w:t> </w:t>
      </w:r>
      <w:r>
        <w:rPr>
          <w:color w:val="231F20"/>
          <w:w w:val="110"/>
        </w:rPr>
        <w:t>fósiles,</w:t>
      </w:r>
      <w:r>
        <w:rPr>
          <w:color w:val="231F20"/>
          <w:spacing w:val="-17"/>
          <w:w w:val="110"/>
        </w:rPr>
        <w:t> </w:t>
      </w:r>
      <w:r>
        <w:rPr>
          <w:color w:val="231F20"/>
          <w:w w:val="110"/>
        </w:rPr>
        <w:t>los</w:t>
      </w:r>
      <w:r>
        <w:rPr>
          <w:color w:val="231F20"/>
          <w:spacing w:val="-17"/>
          <w:w w:val="110"/>
        </w:rPr>
        <w:t> </w:t>
      </w:r>
      <w:r>
        <w:rPr>
          <w:color w:val="231F20"/>
          <w:w w:val="110"/>
        </w:rPr>
        <w:t>minerales,</w:t>
      </w:r>
      <w:r>
        <w:rPr>
          <w:color w:val="231F20"/>
          <w:spacing w:val="-17"/>
          <w:w w:val="110"/>
        </w:rPr>
        <w:t> </w:t>
      </w:r>
      <w:r>
        <w:rPr>
          <w:color w:val="231F20"/>
          <w:w w:val="110"/>
        </w:rPr>
        <w:t>metales,</w:t>
      </w:r>
      <w:r>
        <w:rPr>
          <w:color w:val="231F20"/>
          <w:spacing w:val="-17"/>
          <w:w w:val="110"/>
        </w:rPr>
        <w:t> </w:t>
      </w:r>
      <w:r>
        <w:rPr>
          <w:color w:val="231F20"/>
          <w:w w:val="110"/>
        </w:rPr>
        <w:t>recursos</w:t>
      </w:r>
      <w:r>
        <w:rPr>
          <w:color w:val="231F20"/>
          <w:spacing w:val="-17"/>
          <w:w w:val="110"/>
        </w:rPr>
        <w:t> </w:t>
      </w:r>
      <w:r>
        <w:rPr>
          <w:color w:val="231F20"/>
          <w:w w:val="110"/>
        </w:rPr>
        <w:t>forestales,</w:t>
      </w:r>
      <w:r>
        <w:rPr>
          <w:color w:val="231F20"/>
          <w:spacing w:val="-17"/>
          <w:w w:val="110"/>
        </w:rPr>
        <w:t> </w:t>
      </w:r>
      <w:r>
        <w:rPr>
          <w:color w:val="231F20"/>
          <w:w w:val="110"/>
        </w:rPr>
        <w:t>agua etc., por la vía de consolidar al sector primario exportador, frenar  las manifestaciones de “nacionalismo económico”, revertir procesos de industrialización —México, Brasil, Argentina— y propiciar, con la participación y beneplácito de las oligarquías latinoamericanas, el </w:t>
      </w:r>
      <w:r>
        <w:rPr>
          <w:color w:val="231F20"/>
          <w:w w:val="105"/>
        </w:rPr>
        <w:t>“orden”</w:t>
      </w:r>
      <w:r>
        <w:rPr>
          <w:color w:val="231F20"/>
          <w:spacing w:val="-24"/>
          <w:w w:val="105"/>
        </w:rPr>
        <w:t> </w:t>
      </w:r>
      <w:r>
        <w:rPr>
          <w:color w:val="231F20"/>
          <w:w w:val="105"/>
        </w:rPr>
        <w:t>imperial</w:t>
      </w:r>
      <w:r>
        <w:rPr>
          <w:color w:val="231F20"/>
          <w:spacing w:val="-24"/>
          <w:w w:val="105"/>
        </w:rPr>
        <w:t> </w:t>
      </w:r>
      <w:r>
        <w:rPr>
          <w:color w:val="231F20"/>
          <w:w w:val="105"/>
        </w:rPr>
        <w:t>(</w:t>
      </w:r>
      <w:r>
        <w:rPr>
          <w:i/>
          <w:color w:val="231F20"/>
          <w:w w:val="105"/>
        </w:rPr>
        <w:t>Agenda</w:t>
      </w:r>
      <w:r>
        <w:rPr>
          <w:i/>
          <w:color w:val="231F20"/>
          <w:spacing w:val="-24"/>
          <w:w w:val="105"/>
        </w:rPr>
        <w:t> </w:t>
      </w:r>
      <w:r>
        <w:rPr>
          <w:i/>
          <w:color w:val="231F20"/>
          <w:w w:val="105"/>
        </w:rPr>
        <w:t>estratégica</w:t>
      </w:r>
      <w:r>
        <w:rPr>
          <w:i/>
          <w:color w:val="231F20"/>
          <w:spacing w:val="-24"/>
          <w:w w:val="105"/>
        </w:rPr>
        <w:t> </w:t>
      </w:r>
      <w:r>
        <w:rPr>
          <w:i/>
          <w:color w:val="231F20"/>
          <w:w w:val="105"/>
        </w:rPr>
        <w:t>y</w:t>
      </w:r>
      <w:r>
        <w:rPr>
          <w:i/>
          <w:color w:val="231F20"/>
          <w:spacing w:val="-24"/>
          <w:w w:val="105"/>
        </w:rPr>
        <w:t> </w:t>
      </w:r>
      <w:r>
        <w:rPr>
          <w:i/>
          <w:color w:val="231F20"/>
          <w:w w:val="105"/>
        </w:rPr>
        <w:t>recursos</w:t>
      </w:r>
      <w:r>
        <w:rPr>
          <w:i/>
          <w:color w:val="231F20"/>
          <w:spacing w:val="-24"/>
          <w:w w:val="105"/>
        </w:rPr>
        <w:t> </w:t>
      </w:r>
      <w:r>
        <w:rPr>
          <w:i/>
          <w:color w:val="231F20"/>
          <w:w w:val="105"/>
        </w:rPr>
        <w:t>naturales</w:t>
      </w:r>
      <w:r>
        <w:rPr>
          <w:color w:val="231F20"/>
          <w:w w:val="105"/>
        </w:rPr>
        <w:t>,</w:t>
      </w:r>
      <w:r>
        <w:rPr>
          <w:color w:val="231F20"/>
          <w:spacing w:val="-24"/>
          <w:w w:val="105"/>
        </w:rPr>
        <w:t> </w:t>
      </w:r>
      <w:r>
        <w:rPr>
          <w:color w:val="231F20"/>
          <w:w w:val="105"/>
        </w:rPr>
        <w:t>Saxe-Fernán- </w:t>
      </w:r>
      <w:r>
        <w:rPr>
          <w:color w:val="231F20"/>
          <w:w w:val="110"/>
        </w:rPr>
        <w:t>dez,</w:t>
      </w:r>
      <w:r>
        <w:rPr>
          <w:color w:val="231F20"/>
          <w:spacing w:val="-9"/>
          <w:w w:val="110"/>
        </w:rPr>
        <w:t> </w:t>
      </w:r>
      <w:r>
        <w:rPr>
          <w:color w:val="231F20"/>
          <w:w w:val="110"/>
        </w:rPr>
        <w:t>1984,</w:t>
      </w:r>
      <w:r>
        <w:rPr>
          <w:color w:val="231F20"/>
          <w:spacing w:val="-9"/>
          <w:w w:val="110"/>
        </w:rPr>
        <w:t> </w:t>
      </w:r>
      <w:r>
        <w:rPr>
          <w:color w:val="231F20"/>
          <w:w w:val="110"/>
        </w:rPr>
        <w:t>2006</w:t>
      </w:r>
      <w:r>
        <w:rPr>
          <w:color w:val="231F20"/>
          <w:spacing w:val="-9"/>
          <w:w w:val="110"/>
        </w:rPr>
        <w:t> </w:t>
      </w:r>
      <w:r>
        <w:rPr>
          <w:color w:val="231F20"/>
          <w:w w:val="110"/>
        </w:rPr>
        <w:t>y</w:t>
      </w:r>
      <w:r>
        <w:rPr>
          <w:color w:val="231F20"/>
          <w:spacing w:val="-9"/>
          <w:w w:val="110"/>
        </w:rPr>
        <w:t> </w:t>
      </w:r>
      <w:r>
        <w:rPr>
          <w:color w:val="231F20"/>
          <w:w w:val="110"/>
        </w:rPr>
        <w:t>2008)</w:t>
      </w:r>
      <w:r>
        <w:rPr>
          <w:color w:val="231F20"/>
          <w:spacing w:val="-9"/>
          <w:w w:val="110"/>
        </w:rPr>
        <w:t> </w:t>
      </w:r>
      <w:r>
        <w:rPr>
          <w:color w:val="231F20"/>
          <w:w w:val="110"/>
        </w:rPr>
        <w:t>centrado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extracción</w:t>
      </w:r>
      <w:r>
        <w:rPr>
          <w:color w:val="231F20"/>
          <w:spacing w:val="-9"/>
          <w:w w:val="110"/>
        </w:rPr>
        <w:t> </w:t>
      </w:r>
      <w:r>
        <w:rPr>
          <w:color w:val="231F20"/>
          <w:w w:val="110"/>
        </w:rPr>
        <w:t>de</w:t>
      </w:r>
      <w:r>
        <w:rPr>
          <w:color w:val="231F20"/>
          <w:spacing w:val="-9"/>
          <w:w w:val="110"/>
        </w:rPr>
        <w:t> </w:t>
      </w:r>
      <w:r>
        <w:rPr>
          <w:i/>
          <w:color w:val="231F20"/>
          <w:w w:val="110"/>
        </w:rPr>
        <w:t>commodities</w:t>
      </w:r>
      <w:r>
        <w:rPr>
          <w:color w:val="231F20"/>
          <w:w w:val="110"/>
        </w:rPr>
        <w:t>,</w:t>
      </w:r>
      <w:r>
        <w:rPr>
          <w:color w:val="231F20"/>
          <w:spacing w:val="-9"/>
          <w:w w:val="110"/>
        </w:rPr>
        <w:t> </w:t>
      </w:r>
      <w:r>
        <w:rPr>
          <w:color w:val="231F20"/>
          <w:w w:val="110"/>
        </w:rPr>
        <w:t>el desempleo, explotación y expulsión de mano de obra barata y alta represión.</w:t>
      </w:r>
    </w:p>
    <w:p>
      <w:pPr>
        <w:pStyle w:val="BodyText"/>
        <w:spacing w:line="261" w:lineRule="auto"/>
        <w:ind w:left="100" w:right="117" w:firstLine="240"/>
        <w:jc w:val="both"/>
      </w:pPr>
      <w:r>
        <w:rPr>
          <w:color w:val="231F20"/>
          <w:w w:val="110"/>
        </w:rPr>
        <w:t>Una leve caída del empleo en Estados Unidos y el </w:t>
      </w:r>
      <w:r>
        <w:rPr>
          <w:i/>
          <w:color w:val="231F20"/>
          <w:w w:val="110"/>
        </w:rPr>
        <w:t>timing </w:t>
      </w:r>
      <w:r>
        <w:rPr>
          <w:color w:val="231F20"/>
          <w:w w:val="110"/>
        </w:rPr>
        <w:t>de la crisis de los rehenes en Irán, que hizo renunciar a Cyrus Vance, el secretario</w:t>
      </w:r>
      <w:r>
        <w:rPr>
          <w:color w:val="231F20"/>
          <w:spacing w:val="-11"/>
          <w:w w:val="110"/>
        </w:rPr>
        <w:t> </w:t>
      </w:r>
      <w:r>
        <w:rPr>
          <w:color w:val="231F20"/>
          <w:w w:val="110"/>
        </w:rPr>
        <w:t>de</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Jimmy</w:t>
      </w:r>
      <w:r>
        <w:rPr>
          <w:color w:val="231F20"/>
          <w:spacing w:val="-11"/>
          <w:w w:val="110"/>
        </w:rPr>
        <w:t> </w:t>
      </w:r>
      <w:r>
        <w:rPr>
          <w:color w:val="231F20"/>
          <w:spacing w:val="-3"/>
          <w:w w:val="110"/>
        </w:rPr>
        <w:t>Carter,</w:t>
      </w:r>
      <w:r>
        <w:rPr>
          <w:color w:val="231F20"/>
          <w:spacing w:val="-11"/>
          <w:w w:val="110"/>
        </w:rPr>
        <w:t> </w:t>
      </w:r>
      <w:r>
        <w:rPr>
          <w:color w:val="231F20"/>
          <w:w w:val="110"/>
        </w:rPr>
        <w:t>la</w:t>
      </w:r>
      <w:r>
        <w:rPr>
          <w:color w:val="231F20"/>
          <w:spacing w:val="-11"/>
          <w:w w:val="110"/>
        </w:rPr>
        <w:t> </w:t>
      </w:r>
      <w:r>
        <w:rPr>
          <w:color w:val="231F20"/>
          <w:w w:val="110"/>
        </w:rPr>
        <w:t>primera</w:t>
      </w:r>
      <w:r>
        <w:rPr>
          <w:color w:val="231F20"/>
          <w:spacing w:val="-11"/>
          <w:w w:val="110"/>
        </w:rPr>
        <w:t> </w:t>
      </w:r>
      <w:r>
        <w:rPr>
          <w:color w:val="231F20"/>
          <w:w w:val="110"/>
        </w:rPr>
        <w:t>ocurrida</w:t>
      </w:r>
      <w:r>
        <w:rPr>
          <w:color w:val="231F20"/>
          <w:spacing w:val="-11"/>
          <w:w w:val="110"/>
        </w:rPr>
        <w:t> </w:t>
      </w:r>
      <w:r>
        <w:rPr>
          <w:color w:val="231F20"/>
          <w:w w:val="110"/>
        </w:rPr>
        <w:t>en</w:t>
      </w:r>
      <w:r>
        <w:rPr>
          <w:color w:val="231F20"/>
          <w:spacing w:val="-11"/>
          <w:w w:val="110"/>
        </w:rPr>
        <w:t> </w:t>
      </w:r>
      <w:r>
        <w:rPr>
          <w:color w:val="231F20"/>
          <w:w w:val="110"/>
        </w:rPr>
        <w:t>65</w:t>
      </w:r>
      <w:r>
        <w:rPr>
          <w:color w:val="231F20"/>
          <w:spacing w:val="-11"/>
          <w:w w:val="110"/>
        </w:rPr>
        <w:t> </w:t>
      </w:r>
      <w:r>
        <w:rPr>
          <w:color w:val="231F20"/>
          <w:w w:val="110"/>
        </w:rPr>
        <w:t>años, llevaron a Ronald Reagan a la Casa Blanca en 1981. Los cabildos e intereses detrás de Reagan y sus sucesores lograron la</w:t>
      </w:r>
      <w:r>
        <w:rPr>
          <w:color w:val="231F20"/>
          <w:spacing w:val="-20"/>
          <w:w w:val="110"/>
        </w:rPr>
        <w:t> </w:t>
      </w:r>
      <w:r>
        <w:rPr>
          <w:color w:val="231F20"/>
          <w:w w:val="110"/>
        </w:rPr>
        <w:t>desregulación financiera,</w:t>
      </w:r>
      <w:r>
        <w:rPr>
          <w:color w:val="231F20"/>
          <w:spacing w:val="-12"/>
          <w:w w:val="110"/>
        </w:rPr>
        <w:t> </w:t>
      </w:r>
      <w:r>
        <w:rPr>
          <w:color w:val="231F20"/>
          <w:w w:val="110"/>
        </w:rPr>
        <w:t>reducir</w:t>
      </w:r>
      <w:r>
        <w:rPr>
          <w:color w:val="231F20"/>
          <w:spacing w:val="-12"/>
          <w:w w:val="110"/>
        </w:rPr>
        <w:t> </w:t>
      </w:r>
      <w:r>
        <w:rPr>
          <w:color w:val="231F20"/>
          <w:w w:val="110"/>
        </w:rPr>
        <w:t>impuestos</w:t>
      </w:r>
      <w:r>
        <w:rPr>
          <w:color w:val="231F20"/>
          <w:spacing w:val="-12"/>
          <w:w w:val="110"/>
        </w:rPr>
        <w:t> </w:t>
      </w:r>
      <w:r>
        <w:rPr>
          <w:color w:val="231F20"/>
          <w:w w:val="110"/>
        </w:rPr>
        <w:t>a</w:t>
      </w:r>
      <w:r>
        <w:rPr>
          <w:color w:val="231F20"/>
          <w:spacing w:val="-12"/>
          <w:w w:val="110"/>
        </w:rPr>
        <w:t> </w:t>
      </w:r>
      <w:r>
        <w:rPr>
          <w:color w:val="231F20"/>
          <w:w w:val="110"/>
        </w:rPr>
        <w:t>ricos</w:t>
      </w:r>
      <w:r>
        <w:rPr>
          <w:color w:val="231F20"/>
          <w:spacing w:val="-12"/>
          <w:w w:val="110"/>
        </w:rPr>
        <w:t> </w:t>
      </w:r>
      <w:r>
        <w:rPr>
          <w:color w:val="231F20"/>
          <w:w w:val="110"/>
        </w:rPr>
        <w:t>y</w:t>
      </w:r>
      <w:r>
        <w:rPr>
          <w:color w:val="231F20"/>
          <w:spacing w:val="-12"/>
          <w:w w:val="110"/>
        </w:rPr>
        <w:t> </w:t>
      </w:r>
      <w:r>
        <w:rPr>
          <w:color w:val="231F20"/>
          <w:w w:val="110"/>
        </w:rPr>
        <w:t>a</w:t>
      </w:r>
      <w:r>
        <w:rPr>
          <w:color w:val="231F20"/>
          <w:spacing w:val="-12"/>
          <w:w w:val="110"/>
        </w:rPr>
        <w:t> </w:t>
      </w:r>
      <w:r>
        <w:rPr>
          <w:color w:val="231F20"/>
          <w:w w:val="110"/>
        </w:rPr>
        <w:t>empresas,</w:t>
      </w:r>
      <w:r>
        <w:rPr>
          <w:color w:val="231F20"/>
          <w:spacing w:val="-12"/>
          <w:w w:val="110"/>
        </w:rPr>
        <w:t> </w:t>
      </w:r>
      <w:r>
        <w:rPr>
          <w:color w:val="231F20"/>
          <w:w w:val="110"/>
        </w:rPr>
        <w:t>elevando</w:t>
      </w:r>
      <w:r>
        <w:rPr>
          <w:color w:val="231F20"/>
          <w:spacing w:val="-12"/>
          <w:w w:val="110"/>
        </w:rPr>
        <w:t> </w:t>
      </w:r>
      <w:r>
        <w:rPr>
          <w:color w:val="231F20"/>
          <w:w w:val="110"/>
        </w:rPr>
        <w:t>la</w:t>
      </w:r>
      <w:r>
        <w:rPr>
          <w:color w:val="231F20"/>
          <w:spacing w:val="-12"/>
          <w:w w:val="110"/>
        </w:rPr>
        <w:t> </w:t>
      </w:r>
      <w:r>
        <w:rPr>
          <w:color w:val="231F20"/>
          <w:w w:val="110"/>
        </w:rPr>
        <w:t>retóri- ca</w:t>
      </w:r>
      <w:r>
        <w:rPr>
          <w:color w:val="231F20"/>
          <w:spacing w:val="-13"/>
          <w:w w:val="110"/>
        </w:rPr>
        <w:t> </w:t>
      </w:r>
      <w:r>
        <w:rPr>
          <w:color w:val="231F20"/>
          <w:w w:val="110"/>
        </w:rPr>
        <w:t>librecambista</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praxis</w:t>
      </w:r>
      <w:r>
        <w:rPr>
          <w:color w:val="231F20"/>
          <w:spacing w:val="-13"/>
          <w:w w:val="110"/>
        </w:rPr>
        <w:t> </w:t>
      </w:r>
      <w:r>
        <w:rPr>
          <w:color w:val="231F20"/>
          <w:w w:val="110"/>
        </w:rPr>
        <w:t>privatizadora</w:t>
      </w:r>
      <w:r>
        <w:rPr>
          <w:color w:val="231F20"/>
          <w:spacing w:val="-13"/>
          <w:w w:val="110"/>
        </w:rPr>
        <w:t> </w:t>
      </w:r>
      <w:r>
        <w:rPr>
          <w:color w:val="231F20"/>
          <w:w w:val="110"/>
        </w:rPr>
        <w:t>a</w:t>
      </w:r>
      <w:r>
        <w:rPr>
          <w:color w:val="231F20"/>
          <w:spacing w:val="-13"/>
          <w:w w:val="110"/>
        </w:rPr>
        <w:t> </w:t>
      </w:r>
      <w:r>
        <w:rPr>
          <w:color w:val="231F20"/>
          <w:w w:val="110"/>
        </w:rPr>
        <w:t>dogmas</w:t>
      </w:r>
      <w:r>
        <w:rPr>
          <w:color w:val="231F20"/>
          <w:spacing w:val="-13"/>
          <w:w w:val="110"/>
        </w:rPr>
        <w:t> </w:t>
      </w:r>
      <w:r>
        <w:rPr>
          <w:color w:val="231F20"/>
          <w:w w:val="110"/>
        </w:rPr>
        <w:t>sagrados,</w:t>
      </w:r>
      <w:r>
        <w:rPr>
          <w:color w:val="231F20"/>
          <w:spacing w:val="-13"/>
          <w:w w:val="110"/>
        </w:rPr>
        <w:t> </w:t>
      </w:r>
      <w:r>
        <w:rPr>
          <w:color w:val="231F20"/>
          <w:w w:val="110"/>
        </w:rPr>
        <w:t>junto</w:t>
      </w:r>
      <w:r>
        <w:rPr>
          <w:color w:val="231F20"/>
          <w:spacing w:val="-13"/>
          <w:w w:val="110"/>
        </w:rPr>
        <w:t> </w:t>
      </w:r>
      <w:r>
        <w:rPr>
          <w:color w:val="231F20"/>
          <w:w w:val="110"/>
        </w:rPr>
        <w:t>al “estado</w:t>
      </w:r>
      <w:r>
        <w:rPr>
          <w:color w:val="231F20"/>
          <w:spacing w:val="-10"/>
          <w:w w:val="110"/>
        </w:rPr>
        <w:t> </w:t>
      </w:r>
      <w:r>
        <w:rPr>
          <w:color w:val="231F20"/>
          <w:w w:val="110"/>
        </w:rPr>
        <w:t>de</w:t>
      </w:r>
      <w:r>
        <w:rPr>
          <w:color w:val="231F20"/>
          <w:spacing w:val="-10"/>
          <w:w w:val="110"/>
        </w:rPr>
        <w:t> </w:t>
      </w:r>
      <w:r>
        <w:rPr>
          <w:color w:val="231F20"/>
          <w:w w:val="110"/>
        </w:rPr>
        <w:t>guerra”,</w:t>
      </w:r>
      <w:r>
        <w:rPr>
          <w:color w:val="231F20"/>
          <w:spacing w:val="-10"/>
          <w:w w:val="110"/>
        </w:rPr>
        <w:t> </w:t>
      </w:r>
      <w:r>
        <w:rPr>
          <w:color w:val="231F20"/>
          <w:w w:val="110"/>
        </w:rPr>
        <w:t>con</w:t>
      </w:r>
      <w:r>
        <w:rPr>
          <w:color w:val="231F20"/>
          <w:spacing w:val="-10"/>
          <w:w w:val="110"/>
        </w:rPr>
        <w:t> </w:t>
      </w:r>
      <w:r>
        <w:rPr>
          <w:color w:val="231F20"/>
          <w:w w:val="110"/>
        </w:rPr>
        <w:t>recortes</w:t>
      </w:r>
      <w:r>
        <w:rPr>
          <w:color w:val="231F20"/>
          <w:spacing w:val="-10"/>
          <w:w w:val="110"/>
        </w:rPr>
        <w:t> </w:t>
      </w:r>
      <w:r>
        <w:rPr>
          <w:color w:val="231F20"/>
          <w:w w:val="110"/>
        </w:rPr>
        <w:t>al</w:t>
      </w:r>
      <w:r>
        <w:rPr>
          <w:color w:val="231F20"/>
          <w:spacing w:val="-10"/>
          <w:w w:val="110"/>
        </w:rPr>
        <w:t> </w:t>
      </w:r>
      <w:r>
        <w:rPr>
          <w:color w:val="231F20"/>
          <w:w w:val="110"/>
        </w:rPr>
        <w:t>gasto</w:t>
      </w:r>
      <w:r>
        <w:rPr>
          <w:color w:val="231F20"/>
          <w:spacing w:val="-10"/>
          <w:w w:val="110"/>
        </w:rPr>
        <w:t> </w:t>
      </w:r>
      <w:r>
        <w:rPr>
          <w:color w:val="231F20"/>
          <w:w w:val="110"/>
        </w:rPr>
        <w:t>social</w:t>
      </w:r>
      <w:r>
        <w:rPr>
          <w:color w:val="231F20"/>
          <w:spacing w:val="-10"/>
          <w:w w:val="110"/>
        </w:rPr>
        <w:t> </w:t>
      </w:r>
      <w:r>
        <w:rPr>
          <w:color w:val="231F20"/>
          <w:w w:val="110"/>
        </w:rPr>
        <w:t>y</w:t>
      </w:r>
      <w:r>
        <w:rPr>
          <w:color w:val="231F20"/>
          <w:spacing w:val="-10"/>
          <w:w w:val="110"/>
        </w:rPr>
        <w:t> </w:t>
      </w:r>
      <w:r>
        <w:rPr>
          <w:color w:val="231F20"/>
          <w:w w:val="110"/>
        </w:rPr>
        <w:t>medioambiental.</w:t>
      </w:r>
      <w:r>
        <w:rPr>
          <w:color w:val="231F20"/>
          <w:spacing w:val="-10"/>
          <w:w w:val="110"/>
        </w:rPr>
        <w:t> </w:t>
      </w:r>
      <w:r>
        <w:rPr>
          <w:color w:val="231F20"/>
          <w:w w:val="110"/>
        </w:rPr>
        <w:t>La mezcla</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narrativa</w:t>
      </w:r>
      <w:r>
        <w:rPr>
          <w:color w:val="231F20"/>
          <w:spacing w:val="-25"/>
          <w:w w:val="110"/>
        </w:rPr>
        <w:t> </w:t>
      </w:r>
      <w:r>
        <w:rPr>
          <w:color w:val="231F20"/>
          <w:w w:val="110"/>
        </w:rPr>
        <w:t>del</w:t>
      </w:r>
      <w:r>
        <w:rPr>
          <w:color w:val="231F20"/>
          <w:spacing w:val="-25"/>
          <w:w w:val="110"/>
        </w:rPr>
        <w:t> </w:t>
      </w:r>
      <w:r>
        <w:rPr>
          <w:i/>
          <w:color w:val="231F20"/>
          <w:w w:val="110"/>
        </w:rPr>
        <w:t>free</w:t>
      </w:r>
      <w:r>
        <w:rPr>
          <w:i/>
          <w:color w:val="231F20"/>
          <w:spacing w:val="-25"/>
          <w:w w:val="110"/>
        </w:rPr>
        <w:t> </w:t>
      </w:r>
      <w:r>
        <w:rPr>
          <w:i/>
          <w:color w:val="231F20"/>
          <w:w w:val="110"/>
        </w:rPr>
        <w:t>market</w:t>
      </w:r>
      <w:r>
        <w:rPr>
          <w:i/>
          <w:color w:val="231F20"/>
          <w:spacing w:val="-25"/>
          <w:w w:val="110"/>
        </w:rPr>
        <w:t> </w:t>
      </w:r>
      <w:r>
        <w:rPr>
          <w:color w:val="231F20"/>
          <w:w w:val="110"/>
        </w:rPr>
        <w:t>con</w:t>
      </w:r>
      <w:r>
        <w:rPr>
          <w:color w:val="231F20"/>
          <w:spacing w:val="-25"/>
          <w:w w:val="110"/>
        </w:rPr>
        <w:t> </w:t>
      </w:r>
      <w:r>
        <w:rPr>
          <w:color w:val="231F20"/>
          <w:w w:val="110"/>
        </w:rPr>
        <w:t>una</w:t>
      </w:r>
      <w:r>
        <w:rPr>
          <w:color w:val="231F20"/>
          <w:spacing w:val="-25"/>
          <w:w w:val="110"/>
        </w:rPr>
        <w:t> </w:t>
      </w:r>
      <w:r>
        <w:rPr>
          <w:color w:val="231F20"/>
          <w:w w:val="110"/>
        </w:rPr>
        <w:t>suerte</w:t>
      </w:r>
      <w:r>
        <w:rPr>
          <w:color w:val="231F20"/>
          <w:spacing w:val="-25"/>
          <w:w w:val="110"/>
        </w:rPr>
        <w:t> </w:t>
      </w:r>
      <w:r>
        <w:rPr>
          <w:color w:val="231F20"/>
          <w:w w:val="110"/>
        </w:rPr>
        <w:t>de</w:t>
      </w:r>
      <w:r>
        <w:rPr>
          <w:color w:val="231F20"/>
          <w:spacing w:val="-25"/>
          <w:w w:val="110"/>
        </w:rPr>
        <w:t> </w:t>
      </w:r>
      <w:r>
        <w:rPr>
          <w:color w:val="231F20"/>
          <w:w w:val="110"/>
        </w:rPr>
        <w:t>keynesianismo militar se sustentó en un enorme paquete de billonarios (millones  de millones) contratos plagados de sobrecostos y corrupción. Eran rescates disfrazados y subsidios a las grandes firmas, resentidos por sus</w:t>
      </w:r>
      <w:r>
        <w:rPr>
          <w:color w:val="231F20"/>
          <w:spacing w:val="-11"/>
          <w:w w:val="110"/>
        </w:rPr>
        <w:t> </w:t>
      </w:r>
      <w:r>
        <w:rPr>
          <w:color w:val="231F20"/>
          <w:w w:val="110"/>
        </w:rPr>
        <w:t>pares</w:t>
      </w:r>
      <w:r>
        <w:rPr>
          <w:color w:val="231F20"/>
          <w:spacing w:val="-11"/>
          <w:w w:val="110"/>
        </w:rPr>
        <w:t> </w:t>
      </w:r>
      <w:r>
        <w:rPr>
          <w:color w:val="231F20"/>
          <w:w w:val="110"/>
        </w:rPr>
        <w:t>en</w:t>
      </w:r>
      <w:r>
        <w:rPr>
          <w:color w:val="231F20"/>
          <w:spacing w:val="-11"/>
          <w:w w:val="110"/>
        </w:rPr>
        <w:t> </w:t>
      </w:r>
      <w:r>
        <w:rPr>
          <w:color w:val="231F20"/>
          <w:w w:val="110"/>
        </w:rPr>
        <w:t>Europa</w:t>
      </w:r>
      <w:r>
        <w:rPr>
          <w:color w:val="231F20"/>
          <w:spacing w:val="-11"/>
          <w:w w:val="110"/>
        </w:rPr>
        <w:t> </w:t>
      </w:r>
      <w:r>
        <w:rPr>
          <w:color w:val="231F20"/>
          <w:w w:val="110"/>
        </w:rPr>
        <w:t>y</w:t>
      </w:r>
      <w:r>
        <w:rPr>
          <w:color w:val="231F20"/>
          <w:spacing w:val="-11"/>
          <w:w w:val="110"/>
        </w:rPr>
        <w:t> </w:t>
      </w:r>
      <w:r>
        <w:rPr>
          <w:color w:val="231F20"/>
          <w:w w:val="110"/>
        </w:rPr>
        <w:t>Asia.</w:t>
      </w:r>
      <w:r>
        <w:rPr>
          <w:color w:val="231F20"/>
          <w:spacing w:val="-11"/>
          <w:w w:val="110"/>
        </w:rPr>
        <w:t> </w:t>
      </w:r>
      <w:r>
        <w:rPr>
          <w:color w:val="231F20"/>
          <w:w w:val="110"/>
        </w:rPr>
        <w:t>Reagan</w:t>
      </w:r>
      <w:r>
        <w:rPr>
          <w:color w:val="231F20"/>
          <w:spacing w:val="-11"/>
          <w:w w:val="110"/>
        </w:rPr>
        <w:t> </w:t>
      </w:r>
      <w:r>
        <w:rPr>
          <w:color w:val="231F20"/>
          <w:w w:val="110"/>
        </w:rPr>
        <w:t>superó</w:t>
      </w:r>
      <w:r>
        <w:rPr>
          <w:color w:val="231F20"/>
          <w:spacing w:val="-11"/>
          <w:w w:val="110"/>
        </w:rPr>
        <w:t> </w:t>
      </w:r>
      <w:r>
        <w:rPr>
          <w:color w:val="231F20"/>
          <w:w w:val="110"/>
        </w:rPr>
        <w:t>a</w:t>
      </w:r>
      <w:r>
        <w:rPr>
          <w:color w:val="231F20"/>
          <w:spacing w:val="-11"/>
          <w:w w:val="110"/>
        </w:rPr>
        <w:t> </w:t>
      </w:r>
      <w:r>
        <w:rPr>
          <w:color w:val="231F20"/>
          <w:w w:val="110"/>
        </w:rPr>
        <w:t>Carter</w:t>
      </w:r>
      <w:r>
        <w:rPr>
          <w:color w:val="231F20"/>
          <w:spacing w:val="-11"/>
          <w:w w:val="110"/>
        </w:rPr>
        <w:t> </w:t>
      </w:r>
      <w:r>
        <w:rPr>
          <w:color w:val="231F20"/>
          <w:w w:val="110"/>
        </w:rPr>
        <w:t>elevando</w:t>
      </w:r>
      <w:r>
        <w:rPr>
          <w:color w:val="231F20"/>
          <w:spacing w:val="-11"/>
          <w:w w:val="110"/>
        </w:rPr>
        <w:t> </w:t>
      </w:r>
      <w:r>
        <w:rPr>
          <w:color w:val="231F20"/>
          <w:w w:val="110"/>
        </w:rPr>
        <w:t>el</w:t>
      </w:r>
      <w:r>
        <w:rPr>
          <w:color w:val="231F20"/>
          <w:spacing w:val="-11"/>
          <w:w w:val="110"/>
        </w:rPr>
        <w:t> </w:t>
      </w:r>
      <w:r>
        <w:rPr>
          <w:color w:val="231F20"/>
          <w:w w:val="110"/>
        </w:rPr>
        <w:t>gasto militar a montos descomunales y desatando una carnicería en Cen- troamérica. Al recurrir al mercado de capitales y al déficit, provocó fuertes aumentos en las tasas de interés, con devastadores efectos</w:t>
      </w:r>
      <w:r>
        <w:rPr>
          <w:color w:val="231F20"/>
          <w:spacing w:val="-7"/>
          <w:w w:val="110"/>
        </w:rPr>
        <w:t> </w:t>
      </w:r>
      <w:r>
        <w:rPr>
          <w:color w:val="231F20"/>
          <w:w w:val="110"/>
        </w:rPr>
        <w:t>en América Latina: la debacle deudora de 1982 y el sometimiento a </w:t>
      </w:r>
      <w:r>
        <w:rPr>
          <w:color w:val="231F20"/>
          <w:spacing w:val="47"/>
          <w:w w:val="110"/>
        </w:rPr>
        <w:t> </w:t>
      </w:r>
      <w:r>
        <w:rPr>
          <w:color w:val="231F20"/>
          <w:w w:val="110"/>
        </w:rPr>
        <w:t>la</w:t>
      </w:r>
    </w:p>
    <w:p>
      <w:pPr>
        <w:spacing w:after="0" w:line="261" w:lineRule="auto"/>
        <w:jc w:val="both"/>
        <w:sectPr>
          <w:pgSz w:w="7640" w:h="11900"/>
          <w:pgMar w:header="672" w:footer="0" w:top="860" w:bottom="280" w:left="660" w:right="760"/>
        </w:sectPr>
      </w:pPr>
    </w:p>
    <w:p>
      <w:pPr>
        <w:pStyle w:val="BodyText"/>
        <w:spacing w:line="261" w:lineRule="auto" w:before="167"/>
        <w:ind w:left="100" w:right="103"/>
      </w:pPr>
      <w:r>
        <w:rPr>
          <w:color w:val="231F20"/>
          <w:w w:val="110"/>
        </w:rPr>
        <w:t>condicionalidad cruzada fmi-Banco Mundial,</w:t>
      </w:r>
      <w:r>
        <w:rPr>
          <w:color w:val="231F20"/>
          <w:w w:val="110"/>
          <w:position w:val="6"/>
          <w:sz w:val="13"/>
        </w:rPr>
        <w:t>3 </w:t>
      </w:r>
      <w:r>
        <w:rPr>
          <w:color w:val="231F20"/>
          <w:w w:val="110"/>
        </w:rPr>
        <w:t>instauran el “neolibe- ralismo”.</w:t>
      </w:r>
    </w:p>
    <w:p>
      <w:pPr>
        <w:pStyle w:val="BodyText"/>
        <w:spacing w:line="261" w:lineRule="auto"/>
        <w:ind w:left="100" w:right="117" w:firstLine="240"/>
        <w:jc w:val="both"/>
      </w:pPr>
      <w:r>
        <w:rPr>
          <w:color w:val="231F20"/>
          <w:w w:val="105"/>
        </w:rPr>
        <w:t>Ésas fueron las bases para el armagedón económico-militar-ener- gético en curso desde el 11 de septiembre de 2001: la de 1982 fue        la primera de las crisis que desde entonces abaten al régimen de acumulación de la valorización financiera (Paulani, </w:t>
      </w:r>
      <w:hyperlink r:id="rId42">
        <w:r>
          <w:rPr>
            <w:color w:val="231F20"/>
            <w:w w:val="105"/>
          </w:rPr>
          <w:t>http://rrpe.sa-</w:t>
        </w:r>
      </w:hyperlink>
      <w:r>
        <w:rPr>
          <w:color w:val="231F20"/>
          <w:w w:val="105"/>
        </w:rPr>
        <w:t> gepub.com) manifestándose en estallidos  de  burbujas  especulativas de creciente intensidad y extensión, habiendo llegado a representar poco más de 10 veces el producto mundial bruto en 2008, mantenién- dose bajo ese nivel desde entonces, como constata Jorge Beinstein y arribando a “una suerte de punto máximo de difícil superación dada    la actual configuración de la economía mundial. Incluso en términos nominales esa masa no superó hasta hoy la cima de 2008: 683 billones (millones de millones) de dólares” (Beinstein, 2011: 3). Aunque no    es descartable un escenario en que algún brote inflacionario junto a grandes rachas especulativas pudieran superar ese “techo financiero”, lo cierto es que a nadie escapa que ello coincide con el antes men- cionado “agotamiento” de los estratos “convencionales” de recursos naturales vitales. Así se fragilizan también los fundamentos materiales de la producción y de la civilización: “la crisis de sobrecapacidad pro- ductiva... se va convirtiendo en su contrario (depredación ambiental mediante) es </w:t>
      </w:r>
      <w:r>
        <w:rPr>
          <w:color w:val="231F20"/>
          <w:spacing w:val="-3"/>
          <w:w w:val="105"/>
        </w:rPr>
        <w:t>decir, </w:t>
      </w:r>
      <w:r>
        <w:rPr>
          <w:color w:val="231F20"/>
          <w:w w:val="105"/>
        </w:rPr>
        <w:t>en una crisis prolongada de subproducción, de capacidad productiva insuficiente, de carencia de recursos naturales proveedores de las materias primas necesarias para el funcionamien-   to de la economía” (</w:t>
      </w:r>
      <w:r>
        <w:rPr>
          <w:i/>
          <w:color w:val="231F20"/>
          <w:w w:val="105"/>
        </w:rPr>
        <w:t>ibid</w:t>
      </w:r>
      <w:r>
        <w:rPr>
          <w:color w:val="231F20"/>
          <w:w w:val="105"/>
        </w:rPr>
        <w:t>:  </w:t>
      </w:r>
      <w:r>
        <w:rPr>
          <w:color w:val="231F20"/>
          <w:spacing w:val="19"/>
          <w:w w:val="105"/>
        </w:rPr>
        <w:t> </w:t>
      </w:r>
      <w:r>
        <w:rPr>
          <w:color w:val="231F20"/>
          <w:w w:val="105"/>
        </w:rPr>
        <w:t>6).</w:t>
      </w:r>
    </w:p>
    <w:p>
      <w:pPr>
        <w:pStyle w:val="BodyText"/>
        <w:spacing w:line="261" w:lineRule="auto"/>
        <w:ind w:left="100" w:right="115" w:firstLine="240"/>
        <w:jc w:val="both"/>
      </w:pPr>
      <w:r>
        <w:rPr>
          <w:color w:val="231F20"/>
          <w:w w:val="105"/>
        </w:rPr>
        <w:t>Este escenario ocurre en medio de una</w:t>
      </w:r>
      <w:r>
        <w:rPr>
          <w:color w:val="231F20"/>
          <w:spacing w:val="30"/>
          <w:w w:val="105"/>
        </w:rPr>
        <w:t> </w:t>
      </w:r>
      <w:r>
        <w:rPr>
          <w:color w:val="231F20"/>
          <w:w w:val="105"/>
        </w:rPr>
        <w:t>aguda</w:t>
      </w:r>
      <w:r>
        <w:rPr>
          <w:color w:val="231F20"/>
          <w:spacing w:val="19"/>
          <w:w w:val="105"/>
        </w:rPr>
        <w:t> </w:t>
      </w:r>
      <w:r>
        <w:rPr>
          <w:color w:val="231F20"/>
          <w:w w:val="105"/>
        </w:rPr>
        <w:t>“militarización”</w:t>
      </w:r>
      <w:r>
        <w:rPr>
          <w:color w:val="231F20"/>
          <w:spacing w:val="1"/>
          <w:w w:val="105"/>
        </w:rPr>
        <w:t> </w:t>
      </w:r>
      <w:r>
        <w:rPr>
          <w:color w:val="231F20"/>
          <w:w w:val="105"/>
        </w:rPr>
        <w:t>doméstica y de la política exterior de Estados Unidos hacia el mundo   y América Latina. La “geopolitización” de las relaciones económicas internacionales, debe recordarse, en pos del control de los principa-   les abastecimientos de los combustibles fósiles y los minerales, jugó  un</w:t>
      </w:r>
      <w:r>
        <w:rPr>
          <w:color w:val="231F20"/>
          <w:spacing w:val="32"/>
          <w:w w:val="105"/>
        </w:rPr>
        <w:t> </w:t>
      </w:r>
      <w:r>
        <w:rPr>
          <w:color w:val="231F20"/>
          <w:w w:val="105"/>
        </w:rPr>
        <w:t>papel</w:t>
      </w:r>
      <w:r>
        <w:rPr>
          <w:color w:val="231F20"/>
          <w:spacing w:val="32"/>
          <w:w w:val="105"/>
        </w:rPr>
        <w:t> </w:t>
      </w:r>
      <w:r>
        <w:rPr>
          <w:color w:val="231F20"/>
          <w:w w:val="105"/>
        </w:rPr>
        <w:t>de</w:t>
      </w:r>
      <w:r>
        <w:rPr>
          <w:color w:val="231F20"/>
          <w:spacing w:val="32"/>
          <w:w w:val="105"/>
        </w:rPr>
        <w:t> </w:t>
      </w:r>
      <w:r>
        <w:rPr>
          <w:color w:val="231F20"/>
          <w:w w:val="105"/>
        </w:rPr>
        <w:t>importancia</w:t>
      </w:r>
      <w:r>
        <w:rPr>
          <w:color w:val="231F20"/>
          <w:spacing w:val="32"/>
          <w:w w:val="105"/>
        </w:rPr>
        <w:t> </w:t>
      </w:r>
      <w:r>
        <w:rPr>
          <w:color w:val="231F20"/>
          <w:w w:val="105"/>
        </w:rPr>
        <w:t>mayor</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etiología</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segunda</w:t>
      </w:r>
      <w:r>
        <w:rPr>
          <w:color w:val="231F20"/>
          <w:spacing w:val="32"/>
          <w:w w:val="105"/>
        </w:rPr>
        <w:t> </w:t>
      </w:r>
      <w:r>
        <w:rPr>
          <w:color w:val="231F20"/>
          <w:w w:val="105"/>
        </w:rPr>
        <w:t>guerra</w:t>
      </w:r>
    </w:p>
    <w:p>
      <w:pPr>
        <w:pStyle w:val="BodyText"/>
      </w:pPr>
    </w:p>
    <w:p>
      <w:pPr>
        <w:spacing w:line="261" w:lineRule="auto" w:before="151"/>
        <w:ind w:left="100" w:right="117" w:firstLine="240"/>
        <w:jc w:val="both"/>
        <w:rPr>
          <w:sz w:val="16"/>
        </w:rPr>
      </w:pPr>
      <w:r>
        <w:rPr>
          <w:color w:val="231F20"/>
          <w:w w:val="110"/>
          <w:position w:val="5"/>
          <w:sz w:val="10"/>
        </w:rPr>
        <w:t>3 </w:t>
      </w:r>
      <w:r>
        <w:rPr>
          <w:color w:val="231F20"/>
          <w:w w:val="110"/>
          <w:sz w:val="16"/>
        </w:rPr>
        <w:t>Ambos entes subrogados al Departamento del </w:t>
      </w:r>
      <w:r>
        <w:rPr>
          <w:color w:val="231F20"/>
          <w:spacing w:val="-3"/>
          <w:w w:val="110"/>
          <w:sz w:val="16"/>
        </w:rPr>
        <w:t>Tesoro </w:t>
      </w:r>
      <w:r>
        <w:rPr>
          <w:color w:val="231F20"/>
          <w:w w:val="110"/>
          <w:sz w:val="16"/>
        </w:rPr>
        <w:t>de Estados Unidos. Dado su sistema de votación, muy lejos de ser reales “instituciones multilaterales” como   se comprueba al revisar su actuación en momentos cruciales, invariablemente en el contexto de la diplomacia de fuerza desplegada por la Casa Blanca. Por ejemplo, aplicaron</w:t>
      </w:r>
      <w:r>
        <w:rPr>
          <w:color w:val="231F20"/>
          <w:spacing w:val="-4"/>
          <w:w w:val="110"/>
          <w:sz w:val="16"/>
        </w:rPr>
        <w:t> </w:t>
      </w:r>
      <w:r>
        <w:rPr>
          <w:color w:val="231F20"/>
          <w:w w:val="110"/>
          <w:sz w:val="16"/>
        </w:rPr>
        <w:t>la</w:t>
      </w:r>
      <w:r>
        <w:rPr>
          <w:color w:val="231F20"/>
          <w:spacing w:val="-4"/>
          <w:w w:val="110"/>
          <w:sz w:val="16"/>
        </w:rPr>
        <w:t> </w:t>
      </w:r>
      <w:r>
        <w:rPr>
          <w:color w:val="231F20"/>
          <w:w w:val="110"/>
          <w:sz w:val="16"/>
        </w:rPr>
        <w:t>veda</w:t>
      </w:r>
      <w:r>
        <w:rPr>
          <w:color w:val="231F20"/>
          <w:spacing w:val="-4"/>
          <w:w w:val="110"/>
          <w:sz w:val="16"/>
        </w:rPr>
        <w:t> </w:t>
      </w:r>
      <w:r>
        <w:rPr>
          <w:color w:val="231F20"/>
          <w:w w:val="110"/>
          <w:sz w:val="16"/>
        </w:rPr>
        <w:t>de</w:t>
      </w:r>
      <w:r>
        <w:rPr>
          <w:color w:val="231F20"/>
          <w:spacing w:val="-4"/>
          <w:w w:val="110"/>
          <w:sz w:val="16"/>
        </w:rPr>
        <w:t> </w:t>
      </w:r>
      <w:r>
        <w:rPr>
          <w:color w:val="231F20"/>
          <w:w w:val="110"/>
          <w:sz w:val="16"/>
        </w:rPr>
        <w:t>créditos</w:t>
      </w:r>
      <w:r>
        <w:rPr>
          <w:color w:val="231F20"/>
          <w:spacing w:val="-4"/>
          <w:w w:val="110"/>
          <w:sz w:val="16"/>
        </w:rPr>
        <w:t> </w:t>
      </w:r>
      <w:r>
        <w:rPr>
          <w:color w:val="231F20"/>
          <w:w w:val="110"/>
          <w:sz w:val="16"/>
        </w:rPr>
        <w:t>al</w:t>
      </w:r>
      <w:r>
        <w:rPr>
          <w:color w:val="231F20"/>
          <w:spacing w:val="-4"/>
          <w:w w:val="110"/>
          <w:sz w:val="16"/>
        </w:rPr>
        <w:t> </w:t>
      </w:r>
      <w:r>
        <w:rPr>
          <w:color w:val="231F20"/>
          <w:w w:val="110"/>
          <w:sz w:val="16"/>
        </w:rPr>
        <w:t>gobierno</w:t>
      </w:r>
      <w:r>
        <w:rPr>
          <w:color w:val="231F20"/>
          <w:spacing w:val="-4"/>
          <w:w w:val="110"/>
          <w:sz w:val="16"/>
        </w:rPr>
        <w:t> </w:t>
      </w:r>
      <w:r>
        <w:rPr>
          <w:color w:val="231F20"/>
          <w:w w:val="110"/>
          <w:sz w:val="16"/>
        </w:rPr>
        <w:t>de</w:t>
      </w:r>
      <w:r>
        <w:rPr>
          <w:color w:val="231F20"/>
          <w:spacing w:val="-4"/>
          <w:w w:val="110"/>
          <w:sz w:val="16"/>
        </w:rPr>
        <w:t> </w:t>
      </w:r>
      <w:r>
        <w:rPr>
          <w:color w:val="231F20"/>
          <w:w w:val="110"/>
          <w:sz w:val="16"/>
        </w:rPr>
        <w:t>Salvador</w:t>
      </w:r>
      <w:r>
        <w:rPr>
          <w:color w:val="231F20"/>
          <w:spacing w:val="-4"/>
          <w:w w:val="110"/>
          <w:sz w:val="16"/>
        </w:rPr>
        <w:t> </w:t>
      </w:r>
      <w:r>
        <w:rPr>
          <w:color w:val="231F20"/>
          <w:w w:val="110"/>
          <w:sz w:val="16"/>
        </w:rPr>
        <w:t>Allende,</w:t>
      </w:r>
      <w:r>
        <w:rPr>
          <w:color w:val="231F20"/>
          <w:spacing w:val="-4"/>
          <w:w w:val="110"/>
          <w:sz w:val="16"/>
        </w:rPr>
        <w:t> </w:t>
      </w:r>
      <w:r>
        <w:rPr>
          <w:color w:val="231F20"/>
          <w:w w:val="110"/>
          <w:sz w:val="16"/>
        </w:rPr>
        <w:t>cuando</w:t>
      </w:r>
      <w:r>
        <w:rPr>
          <w:color w:val="231F20"/>
          <w:spacing w:val="-4"/>
          <w:w w:val="110"/>
          <w:sz w:val="16"/>
        </w:rPr>
        <w:t> </w:t>
      </w:r>
      <w:r>
        <w:rPr>
          <w:color w:val="231F20"/>
          <w:w w:val="110"/>
          <w:sz w:val="16"/>
        </w:rPr>
        <w:t>Nixon</w:t>
      </w:r>
      <w:r>
        <w:rPr>
          <w:color w:val="231F20"/>
          <w:spacing w:val="-4"/>
          <w:w w:val="110"/>
          <w:sz w:val="16"/>
        </w:rPr>
        <w:t> </w:t>
      </w:r>
      <w:r>
        <w:rPr>
          <w:color w:val="231F20"/>
          <w:w w:val="110"/>
          <w:sz w:val="16"/>
        </w:rPr>
        <w:t>instruyó al aparato de seguridad “hacer chillar la economía chilena”. Era parte y parcela del proceso golpista, o bien, en medio del golpe de Estado contra el presidente Hugo Chávez (véase más</w:t>
      </w:r>
      <w:r>
        <w:rPr>
          <w:color w:val="231F20"/>
          <w:spacing w:val="-16"/>
          <w:w w:val="110"/>
          <w:sz w:val="16"/>
        </w:rPr>
        <w:t> </w:t>
      </w:r>
      <w:r>
        <w:rPr>
          <w:color w:val="231F20"/>
          <w:w w:val="110"/>
          <w:sz w:val="16"/>
        </w:rPr>
        <w:t>adelante).</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mundial. Con la guerra en Irak se hizo obvio que junto a pregonar       la “mano invisible” del mercado, el alto capital de Estados Unidos prefiere la “mano visible” de sus oligopolios y el “puño” del Pentágo- no. Por eso enfatizo que la relación de Estados Unidos con América Latina ocurre en el contexto de un “armagedón económico-militar”    en</w:t>
      </w:r>
      <w:r>
        <w:rPr>
          <w:color w:val="231F20"/>
          <w:spacing w:val="50"/>
          <w:w w:val="105"/>
        </w:rPr>
        <w:t> </w:t>
      </w:r>
      <w:r>
        <w:rPr>
          <w:color w:val="231F20"/>
          <w:w w:val="105"/>
        </w:rPr>
        <w:t>curso.</w:t>
      </w:r>
    </w:p>
    <w:p>
      <w:pPr>
        <w:pStyle w:val="BodyText"/>
        <w:spacing w:line="261" w:lineRule="auto"/>
        <w:ind w:left="100" w:right="117" w:firstLine="240"/>
        <w:jc w:val="both"/>
        <w:rPr>
          <w:i/>
        </w:rPr>
      </w:pPr>
      <w:r>
        <w:rPr>
          <w:color w:val="231F20"/>
          <w:w w:val="110"/>
        </w:rPr>
        <w:t>En criterio del conservadurismo, civil y militar de Estados Uni- dos, —que persiste con Obama—, el dominio militar sobre Oriente Medio,</w:t>
      </w:r>
      <w:r>
        <w:rPr>
          <w:color w:val="231F20"/>
          <w:spacing w:val="-8"/>
          <w:w w:val="110"/>
        </w:rPr>
        <w:t> </w:t>
      </w:r>
      <w:r>
        <w:rPr>
          <w:color w:val="231F20"/>
          <w:w w:val="110"/>
        </w:rPr>
        <w:t>sede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principal</w:t>
      </w:r>
      <w:r>
        <w:rPr>
          <w:color w:val="231F20"/>
          <w:spacing w:val="-8"/>
          <w:w w:val="110"/>
        </w:rPr>
        <w:t> </w:t>
      </w:r>
      <w:r>
        <w:rPr>
          <w:color w:val="231F20"/>
          <w:w w:val="110"/>
        </w:rPr>
        <w:t>reserva</w:t>
      </w:r>
      <w:r>
        <w:rPr>
          <w:color w:val="231F20"/>
          <w:spacing w:val="-8"/>
          <w:w w:val="110"/>
        </w:rPr>
        <w:t> </w:t>
      </w:r>
      <w:r>
        <w:rPr>
          <w:color w:val="231F20"/>
          <w:w w:val="110"/>
        </w:rPr>
        <w:t>de</w:t>
      </w:r>
      <w:r>
        <w:rPr>
          <w:color w:val="231F20"/>
          <w:spacing w:val="-8"/>
          <w:w w:val="110"/>
        </w:rPr>
        <w:t> </w:t>
      </w:r>
      <w:r>
        <w:rPr>
          <w:color w:val="231F20"/>
          <w:w w:val="110"/>
        </w:rPr>
        <w:t>petróleo</w:t>
      </w:r>
      <w:r>
        <w:rPr>
          <w:color w:val="231F20"/>
          <w:spacing w:val="-8"/>
          <w:w w:val="110"/>
        </w:rPr>
        <w:t> </w:t>
      </w:r>
      <w:r>
        <w:rPr>
          <w:color w:val="231F20"/>
          <w:w w:val="110"/>
        </w:rPr>
        <w:t>convencional</w:t>
      </w:r>
      <w:r>
        <w:rPr>
          <w:color w:val="231F20"/>
          <w:spacing w:val="-8"/>
          <w:w w:val="110"/>
        </w:rPr>
        <w:t> </w:t>
      </w:r>
      <w:r>
        <w:rPr>
          <w:color w:val="231F20"/>
          <w:w w:val="110"/>
        </w:rPr>
        <w:t>del</w:t>
      </w:r>
      <w:r>
        <w:rPr>
          <w:color w:val="231F20"/>
          <w:spacing w:val="-8"/>
          <w:w w:val="110"/>
        </w:rPr>
        <w:t> </w:t>
      </w:r>
      <w:r>
        <w:rPr>
          <w:color w:val="231F20"/>
          <w:w w:val="110"/>
        </w:rPr>
        <w:t>pla- neta,</w:t>
      </w:r>
      <w:r>
        <w:rPr>
          <w:color w:val="231F20"/>
          <w:spacing w:val="-6"/>
          <w:w w:val="110"/>
        </w:rPr>
        <w:t> </w:t>
      </w:r>
      <w:r>
        <w:rPr>
          <w:color w:val="231F20"/>
          <w:w w:val="110"/>
        </w:rPr>
        <w:t>en</w:t>
      </w:r>
      <w:r>
        <w:rPr>
          <w:color w:val="231F20"/>
          <w:spacing w:val="-6"/>
          <w:w w:val="110"/>
        </w:rPr>
        <w:t> </w:t>
      </w:r>
      <w:r>
        <w:rPr>
          <w:color w:val="231F20"/>
          <w:w w:val="110"/>
        </w:rPr>
        <w:t>especial</w:t>
      </w:r>
      <w:r>
        <w:rPr>
          <w:color w:val="231F20"/>
          <w:spacing w:val="-6"/>
          <w:w w:val="110"/>
        </w:rPr>
        <w:t> </w:t>
      </w:r>
      <w:r>
        <w:rPr>
          <w:color w:val="231F20"/>
          <w:w w:val="110"/>
        </w:rPr>
        <w:t>de</w:t>
      </w:r>
      <w:r>
        <w:rPr>
          <w:color w:val="231F20"/>
          <w:spacing w:val="-6"/>
          <w:w w:val="110"/>
        </w:rPr>
        <w:t> </w:t>
      </w:r>
      <w:r>
        <w:rPr>
          <w:color w:val="231F20"/>
          <w:w w:val="110"/>
        </w:rPr>
        <w:t>Arabia</w:t>
      </w:r>
      <w:r>
        <w:rPr>
          <w:color w:val="231F20"/>
          <w:spacing w:val="-6"/>
          <w:w w:val="110"/>
        </w:rPr>
        <w:t> </w:t>
      </w:r>
      <w:r>
        <w:rPr>
          <w:color w:val="231F20"/>
          <w:w w:val="110"/>
        </w:rPr>
        <w:t>Saudita,</w:t>
      </w:r>
      <w:r>
        <w:rPr>
          <w:color w:val="231F20"/>
          <w:spacing w:val="-6"/>
          <w:w w:val="110"/>
        </w:rPr>
        <w:t> </w:t>
      </w:r>
      <w:r>
        <w:rPr>
          <w:color w:val="231F20"/>
          <w:w w:val="110"/>
        </w:rPr>
        <w:t>Irak</w:t>
      </w:r>
      <w:r>
        <w:rPr>
          <w:color w:val="231F20"/>
          <w:spacing w:val="-6"/>
          <w:w w:val="110"/>
        </w:rPr>
        <w:t> </w:t>
      </w:r>
      <w:r>
        <w:rPr>
          <w:color w:val="231F20"/>
          <w:w w:val="110"/>
        </w:rPr>
        <w:t>e</w:t>
      </w:r>
      <w:r>
        <w:rPr>
          <w:color w:val="231F20"/>
          <w:spacing w:val="-6"/>
          <w:w w:val="110"/>
        </w:rPr>
        <w:t> </w:t>
      </w:r>
      <w:r>
        <w:rPr>
          <w:color w:val="231F20"/>
          <w:w w:val="110"/>
        </w:rPr>
        <w:t>Irán,</w:t>
      </w:r>
      <w:r>
        <w:rPr>
          <w:color w:val="231F20"/>
          <w:spacing w:val="-6"/>
          <w:w w:val="110"/>
        </w:rPr>
        <w:t> </w:t>
      </w:r>
      <w:r>
        <w:rPr>
          <w:color w:val="231F20"/>
          <w:w w:val="110"/>
        </w:rPr>
        <w:t>es</w:t>
      </w:r>
      <w:r>
        <w:rPr>
          <w:color w:val="231F20"/>
          <w:spacing w:val="-6"/>
          <w:w w:val="110"/>
        </w:rPr>
        <w:t> </w:t>
      </w:r>
      <w:r>
        <w:rPr>
          <w:color w:val="231F20"/>
          <w:w w:val="110"/>
        </w:rPr>
        <w:t>crucial</w:t>
      </w:r>
      <w:r>
        <w:rPr>
          <w:color w:val="231F20"/>
          <w:spacing w:val="-6"/>
          <w:w w:val="110"/>
        </w:rPr>
        <w:t> </w:t>
      </w:r>
      <w:r>
        <w:rPr>
          <w:color w:val="231F20"/>
          <w:w w:val="110"/>
        </w:rPr>
        <w:t>al</w:t>
      </w:r>
      <w:r>
        <w:rPr>
          <w:color w:val="231F20"/>
          <w:spacing w:val="-6"/>
          <w:w w:val="110"/>
        </w:rPr>
        <w:t> </w:t>
      </w:r>
      <w:r>
        <w:rPr>
          <w:color w:val="231F20"/>
          <w:w w:val="110"/>
        </w:rPr>
        <w:t>esfuerzo de Estados Unidos para desactivar el control de la opep sobre los precios</w:t>
      </w:r>
      <w:r>
        <w:rPr>
          <w:color w:val="231F20"/>
          <w:spacing w:val="-21"/>
          <w:w w:val="110"/>
        </w:rPr>
        <w:t> </w:t>
      </w:r>
      <w:r>
        <w:rPr>
          <w:color w:val="231F20"/>
          <w:w w:val="110"/>
        </w:rPr>
        <w:t>del</w:t>
      </w:r>
      <w:r>
        <w:rPr>
          <w:color w:val="231F20"/>
          <w:spacing w:val="-21"/>
          <w:w w:val="110"/>
        </w:rPr>
        <w:t> </w:t>
      </w:r>
      <w:r>
        <w:rPr>
          <w:color w:val="231F20"/>
          <w:w w:val="110"/>
        </w:rPr>
        <w:t>crudo.</w:t>
      </w:r>
      <w:r>
        <w:rPr>
          <w:color w:val="231F20"/>
          <w:spacing w:val="-21"/>
          <w:w w:val="110"/>
        </w:rPr>
        <w:t> </w:t>
      </w:r>
      <w:r>
        <w:rPr>
          <w:color w:val="231F20"/>
          <w:w w:val="110"/>
        </w:rPr>
        <w:t>Desde</w:t>
      </w:r>
      <w:r>
        <w:rPr>
          <w:color w:val="231F20"/>
          <w:spacing w:val="-21"/>
          <w:w w:val="110"/>
        </w:rPr>
        <w:t> </w:t>
      </w:r>
      <w:r>
        <w:rPr>
          <w:color w:val="231F20"/>
          <w:w w:val="110"/>
        </w:rPr>
        <w:t>enero</w:t>
      </w:r>
      <w:r>
        <w:rPr>
          <w:color w:val="231F20"/>
          <w:spacing w:val="-21"/>
          <w:w w:val="110"/>
        </w:rPr>
        <w:t> </w:t>
      </w:r>
      <w:r>
        <w:rPr>
          <w:color w:val="231F20"/>
          <w:w w:val="110"/>
        </w:rPr>
        <w:t>de</w:t>
      </w:r>
      <w:r>
        <w:rPr>
          <w:color w:val="231F20"/>
          <w:spacing w:val="-21"/>
          <w:w w:val="110"/>
        </w:rPr>
        <w:t> </w:t>
      </w:r>
      <w:r>
        <w:rPr>
          <w:color w:val="231F20"/>
          <w:w w:val="110"/>
        </w:rPr>
        <w:t>1998,</w:t>
      </w:r>
      <w:r>
        <w:rPr>
          <w:color w:val="231F20"/>
          <w:spacing w:val="-21"/>
          <w:w w:val="110"/>
        </w:rPr>
        <w:t> </w:t>
      </w:r>
      <w:r>
        <w:rPr>
          <w:color w:val="231F20"/>
          <w:w w:val="110"/>
        </w:rPr>
        <w:t>D.</w:t>
      </w:r>
      <w:r>
        <w:rPr>
          <w:color w:val="231F20"/>
          <w:spacing w:val="-21"/>
          <w:w w:val="110"/>
        </w:rPr>
        <w:t> </w:t>
      </w:r>
      <w:r>
        <w:rPr>
          <w:color w:val="231F20"/>
          <w:w w:val="110"/>
        </w:rPr>
        <w:t>Rumsfeld,</w:t>
      </w:r>
      <w:r>
        <w:rPr>
          <w:color w:val="231F20"/>
          <w:spacing w:val="-21"/>
          <w:w w:val="110"/>
        </w:rPr>
        <w:t> </w:t>
      </w:r>
      <w:r>
        <w:rPr>
          <w:color w:val="231F20"/>
          <w:w w:val="110"/>
        </w:rPr>
        <w:t>Paul</w:t>
      </w:r>
      <w:r>
        <w:rPr>
          <w:color w:val="231F20"/>
          <w:spacing w:val="-21"/>
          <w:w w:val="110"/>
        </w:rPr>
        <w:t> </w:t>
      </w:r>
      <w:r>
        <w:rPr>
          <w:color w:val="231F20"/>
          <w:w w:val="110"/>
        </w:rPr>
        <w:t>Wolfowitz y otros integrantes del Proyecto para un Nuevo Siglo</w:t>
      </w:r>
      <w:r>
        <w:rPr>
          <w:color w:val="231F20"/>
          <w:spacing w:val="-38"/>
          <w:w w:val="110"/>
        </w:rPr>
        <w:t> </w:t>
      </w:r>
      <w:r>
        <w:rPr>
          <w:color w:val="231F20"/>
          <w:w w:val="110"/>
        </w:rPr>
        <w:t>Estadunidense, en</w:t>
      </w:r>
      <w:r>
        <w:rPr>
          <w:color w:val="231F20"/>
          <w:spacing w:val="-18"/>
          <w:w w:val="110"/>
        </w:rPr>
        <w:t> </w:t>
      </w:r>
      <w:r>
        <w:rPr>
          <w:color w:val="231F20"/>
          <w:w w:val="110"/>
        </w:rPr>
        <w:t>carta</w:t>
      </w:r>
      <w:r>
        <w:rPr>
          <w:color w:val="231F20"/>
          <w:spacing w:val="-18"/>
          <w:w w:val="110"/>
        </w:rPr>
        <w:t> </w:t>
      </w:r>
      <w:r>
        <w:rPr>
          <w:color w:val="231F20"/>
          <w:w w:val="110"/>
        </w:rPr>
        <w:t>dirigida</w:t>
      </w:r>
      <w:r>
        <w:rPr>
          <w:color w:val="231F20"/>
          <w:spacing w:val="-18"/>
          <w:w w:val="110"/>
        </w:rPr>
        <w:t> </w:t>
      </w:r>
      <w:r>
        <w:rPr>
          <w:color w:val="231F20"/>
          <w:w w:val="110"/>
        </w:rPr>
        <w:t>al</w:t>
      </w:r>
      <w:r>
        <w:rPr>
          <w:color w:val="231F20"/>
          <w:spacing w:val="-18"/>
          <w:w w:val="110"/>
        </w:rPr>
        <w:t> </w:t>
      </w:r>
      <w:r>
        <w:rPr>
          <w:color w:val="231F20"/>
          <w:w w:val="110"/>
        </w:rPr>
        <w:t>presidente</w:t>
      </w:r>
      <w:r>
        <w:rPr>
          <w:color w:val="231F20"/>
          <w:spacing w:val="-18"/>
          <w:w w:val="110"/>
        </w:rPr>
        <w:t> </w:t>
      </w:r>
      <w:r>
        <w:rPr>
          <w:color w:val="231F20"/>
          <w:w w:val="110"/>
        </w:rPr>
        <w:t>William</w:t>
      </w:r>
      <w:r>
        <w:rPr>
          <w:color w:val="231F20"/>
          <w:spacing w:val="-18"/>
          <w:w w:val="110"/>
        </w:rPr>
        <w:t> </w:t>
      </w:r>
      <w:r>
        <w:rPr>
          <w:color w:val="231F20"/>
          <w:w w:val="110"/>
        </w:rPr>
        <w:t>Clinton,</w:t>
      </w:r>
      <w:r>
        <w:rPr>
          <w:color w:val="231F20"/>
          <w:spacing w:val="-18"/>
          <w:w w:val="110"/>
        </w:rPr>
        <w:t> </w:t>
      </w:r>
      <w:r>
        <w:rPr>
          <w:color w:val="231F20"/>
          <w:w w:val="110"/>
        </w:rPr>
        <w:t>le</w:t>
      </w:r>
      <w:r>
        <w:rPr>
          <w:color w:val="231F20"/>
          <w:spacing w:val="-18"/>
          <w:w w:val="110"/>
        </w:rPr>
        <w:t> </w:t>
      </w:r>
      <w:r>
        <w:rPr>
          <w:color w:val="231F20"/>
          <w:w w:val="110"/>
        </w:rPr>
        <w:t>advertían:</w:t>
      </w:r>
      <w:r>
        <w:rPr>
          <w:color w:val="231F20"/>
          <w:spacing w:val="-18"/>
          <w:w w:val="110"/>
        </w:rPr>
        <w:t> </w:t>
      </w:r>
      <w:r>
        <w:rPr>
          <w:color w:val="231F20"/>
          <w:w w:val="110"/>
        </w:rPr>
        <w:t>“Es</w:t>
      </w:r>
      <w:r>
        <w:rPr>
          <w:color w:val="231F20"/>
          <w:spacing w:val="-18"/>
          <w:w w:val="110"/>
        </w:rPr>
        <w:t> </w:t>
      </w:r>
      <w:r>
        <w:rPr>
          <w:color w:val="231F20"/>
          <w:w w:val="110"/>
        </w:rPr>
        <w:t>inne- cesario</w:t>
      </w:r>
      <w:r>
        <w:rPr>
          <w:color w:val="231F20"/>
          <w:spacing w:val="-8"/>
          <w:w w:val="110"/>
        </w:rPr>
        <w:t> </w:t>
      </w:r>
      <w:r>
        <w:rPr>
          <w:color w:val="231F20"/>
          <w:w w:val="110"/>
        </w:rPr>
        <w:t>agregar</w:t>
      </w:r>
      <w:r>
        <w:rPr>
          <w:color w:val="231F20"/>
          <w:spacing w:val="-8"/>
          <w:w w:val="110"/>
        </w:rPr>
        <w:t> </w:t>
      </w:r>
      <w:r>
        <w:rPr>
          <w:color w:val="231F20"/>
          <w:w w:val="110"/>
        </w:rPr>
        <w:t>que</w:t>
      </w:r>
      <w:r>
        <w:rPr>
          <w:color w:val="231F20"/>
          <w:spacing w:val="-8"/>
          <w:w w:val="110"/>
        </w:rPr>
        <w:t> </w:t>
      </w:r>
      <w:r>
        <w:rPr>
          <w:color w:val="231F20"/>
          <w:w w:val="110"/>
        </w:rPr>
        <w:t>si</w:t>
      </w:r>
      <w:r>
        <w:rPr>
          <w:color w:val="231F20"/>
          <w:spacing w:val="-8"/>
          <w:w w:val="110"/>
        </w:rPr>
        <w:t> </w:t>
      </w:r>
      <w:r>
        <w:rPr>
          <w:color w:val="231F20"/>
          <w:w w:val="110"/>
        </w:rPr>
        <w:t>Saddam</w:t>
      </w:r>
      <w:r>
        <w:rPr>
          <w:color w:val="231F20"/>
          <w:spacing w:val="-8"/>
          <w:w w:val="110"/>
        </w:rPr>
        <w:t> </w:t>
      </w:r>
      <w:r>
        <w:rPr>
          <w:color w:val="231F20"/>
          <w:w w:val="110"/>
        </w:rPr>
        <w:t>adquiere</w:t>
      </w:r>
      <w:r>
        <w:rPr>
          <w:color w:val="231F20"/>
          <w:spacing w:val="-8"/>
          <w:w w:val="110"/>
        </w:rPr>
        <w:t> </w:t>
      </w:r>
      <w:r>
        <w:rPr>
          <w:color w:val="231F20"/>
          <w:w w:val="110"/>
        </w:rPr>
        <w:t>la</w:t>
      </w:r>
      <w:r>
        <w:rPr>
          <w:color w:val="231F20"/>
          <w:spacing w:val="-8"/>
          <w:w w:val="110"/>
        </w:rPr>
        <w:t> </w:t>
      </w:r>
      <w:r>
        <w:rPr>
          <w:color w:val="231F20"/>
          <w:w w:val="110"/>
        </w:rPr>
        <w:t>capacidad</w:t>
      </w:r>
      <w:r>
        <w:rPr>
          <w:color w:val="231F20"/>
          <w:spacing w:val="-8"/>
          <w:w w:val="110"/>
        </w:rPr>
        <w:t> </w:t>
      </w:r>
      <w:r>
        <w:rPr>
          <w:color w:val="231F20"/>
          <w:w w:val="110"/>
        </w:rPr>
        <w:t>de</w:t>
      </w:r>
      <w:r>
        <w:rPr>
          <w:color w:val="231F20"/>
          <w:spacing w:val="-8"/>
          <w:w w:val="110"/>
        </w:rPr>
        <w:t> </w:t>
      </w:r>
      <w:r>
        <w:rPr>
          <w:color w:val="231F20"/>
          <w:w w:val="110"/>
        </w:rPr>
        <w:t>lanzar</w:t>
      </w:r>
      <w:r>
        <w:rPr>
          <w:color w:val="231F20"/>
          <w:spacing w:val="-8"/>
          <w:w w:val="110"/>
        </w:rPr>
        <w:t> </w:t>
      </w:r>
      <w:r>
        <w:rPr>
          <w:color w:val="231F20"/>
          <w:w w:val="110"/>
        </w:rPr>
        <w:t>armas de destruccion masiva […] una porción importante del suministro petrolero del mundo estaría en riesgo […] la única estrategia acep- table es […] tomar acción militar ya que la diplomacia claramente está fallando. A largo plazo, esto significa sacar del poder a</w:t>
      </w:r>
      <w:r>
        <w:rPr>
          <w:color w:val="231F20"/>
          <w:spacing w:val="-12"/>
          <w:w w:val="110"/>
        </w:rPr>
        <w:t> </w:t>
      </w:r>
      <w:r>
        <w:rPr>
          <w:color w:val="231F20"/>
          <w:w w:val="110"/>
        </w:rPr>
        <w:t>Saddam Hussein y su régimen. Este debe ser el objetivo de la política exte- rior de Estados Unidos”.</w:t>
      </w:r>
      <w:r>
        <w:rPr>
          <w:color w:val="231F20"/>
          <w:w w:val="110"/>
          <w:position w:val="6"/>
          <w:sz w:val="13"/>
        </w:rPr>
        <w:t>4 </w:t>
      </w:r>
      <w:r>
        <w:rPr>
          <w:color w:val="231F20"/>
          <w:w w:val="110"/>
        </w:rPr>
        <w:t>A la brutal secuencia de “eventos”, como la toma del poder de Bush, hijo, por un fraude electoral en Florida   y un voto de la corte en contra de Albert Gore —quien había gana- do el voto popular—; los brutales ataques de septiembre de 2001;   la agresión a Afganistán; la guerra “preventiva” a Irak en marzo de 2003 y el derrocamiento de Saddam Husseim, se agrega el intento de golpe de Estado contra Hugo Chávez en marzo-abril de 2002. Al respecto cabe ilustrar la dimensión económica y político-militar de la diplomacia de fuerza desplegada en Caracas. Pocas horas</w:t>
      </w:r>
      <w:r>
        <w:rPr>
          <w:color w:val="231F20"/>
          <w:spacing w:val="-14"/>
          <w:w w:val="110"/>
        </w:rPr>
        <w:t> </w:t>
      </w:r>
      <w:r>
        <w:rPr>
          <w:color w:val="231F20"/>
          <w:w w:val="110"/>
        </w:rPr>
        <w:t>después del</w:t>
      </w:r>
      <w:r>
        <w:rPr>
          <w:color w:val="231F20"/>
          <w:spacing w:val="-13"/>
          <w:w w:val="110"/>
        </w:rPr>
        <w:t> </w:t>
      </w:r>
      <w:r>
        <w:rPr>
          <w:color w:val="231F20"/>
          <w:w w:val="110"/>
        </w:rPr>
        <w:t>golpe,</w:t>
      </w:r>
      <w:r>
        <w:rPr>
          <w:color w:val="231F20"/>
          <w:spacing w:val="-13"/>
          <w:w w:val="110"/>
        </w:rPr>
        <w:t> </w:t>
      </w:r>
      <w:r>
        <w:rPr>
          <w:color w:val="231F20"/>
          <w:w w:val="110"/>
        </w:rPr>
        <w:t>cuando</w:t>
      </w:r>
      <w:r>
        <w:rPr>
          <w:color w:val="231F20"/>
          <w:spacing w:val="-13"/>
          <w:w w:val="110"/>
        </w:rPr>
        <w:t> </w:t>
      </w:r>
      <w:r>
        <w:rPr>
          <w:color w:val="231F20"/>
          <w:w w:val="110"/>
        </w:rPr>
        <w:t>se</w:t>
      </w:r>
      <w:r>
        <w:rPr>
          <w:color w:val="231F20"/>
          <w:spacing w:val="-13"/>
          <w:w w:val="110"/>
        </w:rPr>
        <w:t> </w:t>
      </w:r>
      <w:r>
        <w:rPr>
          <w:color w:val="231F20"/>
          <w:w w:val="110"/>
        </w:rPr>
        <w:t>creía</w:t>
      </w:r>
      <w:r>
        <w:rPr>
          <w:color w:val="231F20"/>
          <w:spacing w:val="-13"/>
          <w:w w:val="110"/>
        </w:rPr>
        <w:t> </w:t>
      </w:r>
      <w:r>
        <w:rPr>
          <w:color w:val="231F20"/>
          <w:w w:val="110"/>
        </w:rPr>
        <w:t>que</w:t>
      </w:r>
      <w:r>
        <w:rPr>
          <w:color w:val="231F20"/>
          <w:spacing w:val="-13"/>
          <w:w w:val="110"/>
        </w:rPr>
        <w:t> </w:t>
      </w:r>
      <w:r>
        <w:rPr>
          <w:color w:val="231F20"/>
          <w:w w:val="110"/>
        </w:rPr>
        <w:t>había</w:t>
      </w:r>
      <w:r>
        <w:rPr>
          <w:color w:val="231F20"/>
          <w:spacing w:val="-13"/>
          <w:w w:val="110"/>
        </w:rPr>
        <w:t> </w:t>
      </w:r>
      <w:r>
        <w:rPr>
          <w:color w:val="231F20"/>
          <w:w w:val="110"/>
        </w:rPr>
        <w:t>sido</w:t>
      </w:r>
      <w:r>
        <w:rPr>
          <w:color w:val="231F20"/>
          <w:spacing w:val="-13"/>
          <w:w w:val="110"/>
        </w:rPr>
        <w:t> </w:t>
      </w:r>
      <w:r>
        <w:rPr>
          <w:color w:val="231F20"/>
          <w:w w:val="110"/>
        </w:rPr>
        <w:t>exitoso,</w:t>
      </w:r>
      <w:r>
        <w:rPr>
          <w:color w:val="231F20"/>
          <w:spacing w:val="-13"/>
          <w:w w:val="110"/>
        </w:rPr>
        <w:t> </w:t>
      </w:r>
      <w:r>
        <w:rPr>
          <w:color w:val="231F20"/>
          <w:w w:val="110"/>
        </w:rPr>
        <w:t>el</w:t>
      </w:r>
      <w:r>
        <w:rPr>
          <w:color w:val="231F20"/>
          <w:spacing w:val="-13"/>
          <w:w w:val="110"/>
        </w:rPr>
        <w:t> </w:t>
      </w:r>
      <w:r>
        <w:rPr>
          <w:color w:val="231F20"/>
          <w:w w:val="110"/>
        </w:rPr>
        <w:t>Banco</w:t>
      </w:r>
      <w:r>
        <w:rPr>
          <w:color w:val="231F20"/>
          <w:spacing w:val="-13"/>
          <w:w w:val="110"/>
        </w:rPr>
        <w:t> </w:t>
      </w:r>
      <w:r>
        <w:rPr>
          <w:color w:val="231F20"/>
          <w:w w:val="110"/>
        </w:rPr>
        <w:t>Mundial</w:t>
      </w:r>
      <w:r>
        <w:rPr>
          <w:color w:val="231F20"/>
          <w:spacing w:val="-13"/>
          <w:w w:val="110"/>
        </w:rPr>
        <w:t> </w:t>
      </w:r>
      <w:r>
        <w:rPr>
          <w:color w:val="231F20"/>
          <w:w w:val="110"/>
        </w:rPr>
        <w:t>y el fmi,</w:t>
      </w:r>
      <w:r>
        <w:rPr>
          <w:color w:val="231F20"/>
          <w:w w:val="110"/>
          <w:position w:val="6"/>
          <w:sz w:val="13"/>
        </w:rPr>
        <w:t>5 </w:t>
      </w:r>
      <w:r>
        <w:rPr>
          <w:color w:val="231F20"/>
          <w:w w:val="110"/>
        </w:rPr>
        <w:t>siguiendo línea de “arriba”, ofrecieron préstamos y todo</w:t>
      </w:r>
      <w:r>
        <w:rPr>
          <w:color w:val="231F20"/>
          <w:spacing w:val="-21"/>
          <w:w w:val="110"/>
        </w:rPr>
        <w:t> </w:t>
      </w:r>
      <w:r>
        <w:rPr>
          <w:color w:val="231F20"/>
          <w:w w:val="110"/>
        </w:rPr>
        <w:t>tipo de</w:t>
      </w:r>
      <w:r>
        <w:rPr>
          <w:color w:val="231F20"/>
          <w:spacing w:val="-13"/>
          <w:w w:val="110"/>
        </w:rPr>
        <w:t> </w:t>
      </w:r>
      <w:r>
        <w:rPr>
          <w:color w:val="231F20"/>
          <w:w w:val="110"/>
        </w:rPr>
        <w:t>apoyo</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“junta”.</w:t>
      </w:r>
      <w:r>
        <w:rPr>
          <w:color w:val="231F20"/>
          <w:spacing w:val="-13"/>
          <w:w w:val="110"/>
        </w:rPr>
        <w:t> </w:t>
      </w:r>
      <w:r>
        <w:rPr>
          <w:color w:val="231F20"/>
          <w:w w:val="110"/>
        </w:rPr>
        <w:t>Pero</w:t>
      </w:r>
      <w:r>
        <w:rPr>
          <w:color w:val="231F20"/>
          <w:spacing w:val="-13"/>
          <w:w w:val="110"/>
        </w:rPr>
        <w:t> </w:t>
      </w:r>
      <w:r>
        <w:rPr>
          <w:color w:val="231F20"/>
          <w:w w:val="110"/>
        </w:rPr>
        <w:t>la</w:t>
      </w:r>
      <w:r>
        <w:rPr>
          <w:color w:val="231F20"/>
          <w:spacing w:val="-13"/>
          <w:w w:val="110"/>
        </w:rPr>
        <w:t> </w:t>
      </w:r>
      <w:r>
        <w:rPr>
          <w:color w:val="231F20"/>
          <w:w w:val="110"/>
        </w:rPr>
        <w:t>motivación</w:t>
      </w:r>
      <w:r>
        <w:rPr>
          <w:color w:val="231F20"/>
          <w:spacing w:val="-13"/>
          <w:w w:val="110"/>
        </w:rPr>
        <w:t> </w:t>
      </w:r>
      <w:r>
        <w:rPr>
          <w:color w:val="231F20"/>
          <w:w w:val="110"/>
        </w:rPr>
        <w:t>de</w:t>
      </w:r>
      <w:r>
        <w:rPr>
          <w:color w:val="231F20"/>
          <w:spacing w:val="-13"/>
          <w:w w:val="110"/>
        </w:rPr>
        <w:t> </w:t>
      </w:r>
      <w:r>
        <w:rPr>
          <w:color w:val="231F20"/>
          <w:w w:val="110"/>
        </w:rPr>
        <w:t>fondo</w:t>
      </w:r>
      <w:r>
        <w:rPr>
          <w:color w:val="231F20"/>
          <w:spacing w:val="-13"/>
          <w:w w:val="110"/>
        </w:rPr>
        <w:t> </w:t>
      </w:r>
      <w:r>
        <w:rPr>
          <w:color w:val="231F20"/>
          <w:w w:val="110"/>
        </w:rPr>
        <w:t>del</w:t>
      </w:r>
      <w:r>
        <w:rPr>
          <w:color w:val="231F20"/>
          <w:spacing w:val="-12"/>
          <w:w w:val="110"/>
        </w:rPr>
        <w:t> </w:t>
      </w:r>
      <w:r>
        <w:rPr>
          <w:i/>
          <w:color w:val="231F20"/>
          <w:w w:val="110"/>
        </w:rPr>
        <w:t>regime</w:t>
      </w:r>
      <w:r>
        <w:rPr>
          <w:i/>
          <w:color w:val="231F20"/>
          <w:spacing w:val="-13"/>
          <w:w w:val="110"/>
        </w:rPr>
        <w:t> </w:t>
      </w:r>
      <w:r>
        <w:rPr>
          <w:i/>
          <w:color w:val="231F20"/>
          <w:w w:val="110"/>
        </w:rPr>
        <w:t>change</w:t>
      </w:r>
    </w:p>
    <w:p>
      <w:pPr>
        <w:pStyle w:val="BodyText"/>
        <w:rPr>
          <w:i/>
        </w:rPr>
      </w:pPr>
    </w:p>
    <w:p>
      <w:pPr>
        <w:pStyle w:val="BodyText"/>
        <w:spacing w:before="2"/>
        <w:rPr>
          <w:i/>
          <w:sz w:val="26"/>
        </w:rPr>
      </w:pPr>
    </w:p>
    <w:p>
      <w:pPr>
        <w:spacing w:before="1"/>
        <w:ind w:left="340" w:right="25" w:firstLine="0"/>
        <w:jc w:val="left"/>
        <w:rPr>
          <w:sz w:val="16"/>
        </w:rPr>
      </w:pPr>
      <w:r>
        <w:rPr>
          <w:color w:val="231F20"/>
          <w:w w:val="105"/>
          <w:position w:val="5"/>
          <w:sz w:val="10"/>
        </w:rPr>
        <w:t>4       </w:t>
      </w:r>
      <w:hyperlink r:id="rId43">
        <w:r>
          <w:rPr>
            <w:color w:val="231F20"/>
            <w:w w:val="105"/>
            <w:sz w:val="16"/>
          </w:rPr>
          <w:t>&lt;www.newamericancentur</w:t>
        </w:r>
      </w:hyperlink>
      <w:r>
        <w:rPr>
          <w:color w:val="231F20"/>
          <w:w w:val="105"/>
          <w:sz w:val="16"/>
        </w:rPr>
        <w:t>y</w:t>
      </w:r>
      <w:hyperlink r:id="rId43">
        <w:r>
          <w:rPr>
            <w:color w:val="231F20"/>
            <w:w w:val="105"/>
            <w:sz w:val="16"/>
          </w:rPr>
          <w:t>.org/iraqclintonletter.htm&gt;</w:t>
        </w:r>
      </w:hyperlink>
    </w:p>
    <w:p>
      <w:pPr>
        <w:spacing w:line="261" w:lineRule="auto" w:before="16"/>
        <w:ind w:left="100" w:right="119" w:firstLine="240"/>
        <w:jc w:val="both"/>
        <w:rPr>
          <w:sz w:val="16"/>
        </w:rPr>
      </w:pPr>
      <w:r>
        <w:rPr>
          <w:color w:val="231F20"/>
          <w:w w:val="105"/>
          <w:position w:val="5"/>
          <w:sz w:val="10"/>
        </w:rPr>
        <w:t>5 </w:t>
      </w:r>
      <w:r>
        <w:rPr>
          <w:color w:val="231F20"/>
          <w:w w:val="105"/>
          <w:sz w:val="16"/>
        </w:rPr>
        <w:t>fmi, Banco Mundial y bid, lejos de ser “multilaterales”, operan como entes subro- gados del Departamento del </w:t>
      </w:r>
      <w:r>
        <w:rPr>
          <w:color w:val="231F20"/>
          <w:spacing w:val="-4"/>
          <w:w w:val="105"/>
          <w:sz w:val="16"/>
        </w:rPr>
        <w:t>Tesoro. </w:t>
      </w:r>
      <w:r>
        <w:rPr>
          <w:color w:val="231F20"/>
          <w:w w:val="105"/>
          <w:sz w:val="16"/>
        </w:rPr>
        <w:t>Basta revisar su sistemática de concordancia con </w:t>
      </w:r>
      <w:r>
        <w:rPr>
          <w:color w:val="231F20"/>
          <w:spacing w:val="-2"/>
          <w:w w:val="105"/>
          <w:sz w:val="16"/>
        </w:rPr>
        <w:t>las </w:t>
      </w:r>
      <w:r>
        <w:rPr>
          <w:color w:val="231F20"/>
          <w:w w:val="105"/>
          <w:sz w:val="16"/>
        </w:rPr>
        <w:t>operaciones de “seguridad” de Estados Unidos, como en el caso de la veda de créditos   al gobierno de Allende, parte del proceso golpista y múltiples otros casos analizados    por Eric </w:t>
      </w:r>
      <w:r>
        <w:rPr>
          <w:color w:val="231F20"/>
          <w:spacing w:val="-4"/>
          <w:w w:val="105"/>
          <w:sz w:val="16"/>
        </w:rPr>
        <w:t>Toussaint </w:t>
      </w:r>
      <w:r>
        <w:rPr>
          <w:i/>
          <w:color w:val="231F20"/>
          <w:w w:val="105"/>
          <w:sz w:val="16"/>
        </w:rPr>
        <w:t>et</w:t>
      </w:r>
      <w:r>
        <w:rPr>
          <w:i/>
          <w:color w:val="231F20"/>
          <w:spacing w:val="29"/>
          <w:w w:val="105"/>
          <w:sz w:val="16"/>
        </w:rPr>
        <w:t> </w:t>
      </w:r>
      <w:r>
        <w:rPr>
          <w:i/>
          <w:color w:val="231F20"/>
          <w:w w:val="105"/>
          <w:sz w:val="16"/>
        </w:rPr>
        <w:t>al</w:t>
      </w:r>
      <w:r>
        <w:rPr>
          <w:color w:val="231F20"/>
          <w:w w:val="105"/>
          <w:sz w:val="16"/>
        </w:rPr>
        <w:t>.</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jc w:val="both"/>
      </w:pPr>
      <w:r>
        <w:rPr>
          <w:color w:val="231F20"/>
          <w:w w:val="110"/>
        </w:rPr>
        <w:t>contra Chávez, lo aclara Ali Bin-Ibrahim al Naimi, ministro saudita de petróleo, en comunicación personal con Paul Roberts (2004: 91- 115): mientras Chávez era prisionero en una base </w:t>
      </w:r>
      <w:r>
        <w:rPr>
          <w:color w:val="231F20"/>
          <w:spacing w:val="-3"/>
          <w:w w:val="110"/>
        </w:rPr>
        <w:t>militar, </w:t>
      </w:r>
      <w:r>
        <w:rPr>
          <w:color w:val="231F20"/>
          <w:w w:val="110"/>
        </w:rPr>
        <w:t>se desató una ola de rumores en los mercados en el sentido de que la nueva junta sacaría a Venezuela de la opep” y de que “el nuevo régimen, por pedido de Washington, aumentaría el bombeo de miles de ba- rriles de petróleo diarios, lanzando los precios a la baja más rápido de lo que la opep podría hacer para mantenerlos. Confiados de que el cártel finalmente había sido vencido, muchos especuladores de </w:t>
      </w:r>
      <w:r>
        <w:rPr>
          <w:i/>
          <w:color w:val="231F20"/>
          <w:w w:val="110"/>
        </w:rPr>
        <w:t>commodities </w:t>
      </w:r>
      <w:r>
        <w:rPr>
          <w:color w:val="231F20"/>
          <w:w w:val="110"/>
        </w:rPr>
        <w:t>empezaron a especular con futuros, en la creencia de que, con la “junta”, el precio del crudo colapsaría. A decir de Al- Naimi, “apostar contra la opep”, “ése fue el criterio que cundió en  el mercado y los precios empezaron a caer”. Pero poco después de que</w:t>
      </w:r>
      <w:r>
        <w:rPr>
          <w:color w:val="231F20"/>
          <w:spacing w:val="-18"/>
          <w:w w:val="110"/>
        </w:rPr>
        <w:t> </w:t>
      </w:r>
      <w:r>
        <w:rPr>
          <w:color w:val="231F20"/>
          <w:w w:val="110"/>
        </w:rPr>
        <w:t>los</w:t>
      </w:r>
      <w:r>
        <w:rPr>
          <w:color w:val="231F20"/>
          <w:spacing w:val="-18"/>
          <w:w w:val="110"/>
        </w:rPr>
        <w:t> </w:t>
      </w:r>
      <w:r>
        <w:rPr>
          <w:color w:val="231F20"/>
          <w:w w:val="110"/>
        </w:rPr>
        <w:t>caraqueños,</w:t>
      </w:r>
      <w:r>
        <w:rPr>
          <w:color w:val="231F20"/>
          <w:spacing w:val="-18"/>
          <w:w w:val="110"/>
        </w:rPr>
        <w:t> </w:t>
      </w:r>
      <w:r>
        <w:rPr>
          <w:color w:val="231F20"/>
          <w:w w:val="110"/>
        </w:rPr>
        <w:t>con</w:t>
      </w:r>
      <w:r>
        <w:rPr>
          <w:color w:val="231F20"/>
          <w:spacing w:val="-18"/>
          <w:w w:val="110"/>
        </w:rPr>
        <w:t> </w:t>
      </w:r>
      <w:r>
        <w:rPr>
          <w:color w:val="231F20"/>
          <w:w w:val="110"/>
        </w:rPr>
        <w:t>apoyo</w:t>
      </w:r>
      <w:r>
        <w:rPr>
          <w:color w:val="231F20"/>
          <w:spacing w:val="-18"/>
          <w:w w:val="110"/>
        </w:rPr>
        <w:t> </w:t>
      </w:r>
      <w:r>
        <w:rPr>
          <w:color w:val="231F20"/>
          <w:spacing w:val="-3"/>
          <w:w w:val="110"/>
        </w:rPr>
        <w:t>militar,</w:t>
      </w:r>
      <w:r>
        <w:rPr>
          <w:color w:val="231F20"/>
          <w:spacing w:val="-18"/>
          <w:w w:val="110"/>
        </w:rPr>
        <w:t> </w:t>
      </w:r>
      <w:r>
        <w:rPr>
          <w:color w:val="231F20"/>
          <w:w w:val="110"/>
        </w:rPr>
        <w:t>revirtieron</w:t>
      </w:r>
      <w:r>
        <w:rPr>
          <w:color w:val="231F20"/>
          <w:spacing w:val="-18"/>
          <w:w w:val="110"/>
        </w:rPr>
        <w:t> </w:t>
      </w:r>
      <w:r>
        <w:rPr>
          <w:color w:val="231F20"/>
          <w:w w:val="110"/>
        </w:rPr>
        <w:t>el</w:t>
      </w:r>
      <w:r>
        <w:rPr>
          <w:color w:val="231F20"/>
          <w:spacing w:val="-18"/>
          <w:w w:val="110"/>
        </w:rPr>
        <w:t> </w:t>
      </w:r>
      <w:r>
        <w:rPr>
          <w:color w:val="231F20"/>
          <w:w w:val="110"/>
        </w:rPr>
        <w:t>golpe,</w:t>
      </w:r>
      <w:r>
        <w:rPr>
          <w:color w:val="231F20"/>
          <w:spacing w:val="-18"/>
          <w:w w:val="110"/>
        </w:rPr>
        <w:t> </w:t>
      </w:r>
      <w:r>
        <w:rPr>
          <w:color w:val="231F20"/>
          <w:w w:val="110"/>
        </w:rPr>
        <w:t>los</w:t>
      </w:r>
      <w:r>
        <w:rPr>
          <w:color w:val="231F20"/>
          <w:spacing w:val="-18"/>
          <w:w w:val="110"/>
        </w:rPr>
        <w:t> </w:t>
      </w:r>
      <w:r>
        <w:rPr>
          <w:color w:val="231F20"/>
          <w:w w:val="110"/>
        </w:rPr>
        <w:t>precios volvieron</w:t>
      </w:r>
      <w:r>
        <w:rPr>
          <w:color w:val="231F20"/>
          <w:spacing w:val="-19"/>
          <w:w w:val="110"/>
        </w:rPr>
        <w:t> </w:t>
      </w:r>
      <w:r>
        <w:rPr>
          <w:color w:val="231F20"/>
          <w:w w:val="110"/>
        </w:rPr>
        <w:t>a</w:t>
      </w:r>
      <w:r>
        <w:rPr>
          <w:color w:val="231F20"/>
          <w:spacing w:val="-19"/>
          <w:w w:val="110"/>
        </w:rPr>
        <w:t> </w:t>
      </w:r>
      <w:r>
        <w:rPr>
          <w:color w:val="231F20"/>
          <w:spacing w:val="-3"/>
          <w:w w:val="110"/>
        </w:rPr>
        <w:t>subir.</w:t>
      </w:r>
      <w:r>
        <w:rPr>
          <w:color w:val="231F20"/>
          <w:spacing w:val="-19"/>
          <w:w w:val="110"/>
        </w:rPr>
        <w:t> </w:t>
      </w:r>
      <w:r>
        <w:rPr>
          <w:color w:val="231F20"/>
          <w:w w:val="110"/>
        </w:rPr>
        <w:t>Con</w:t>
      </w:r>
      <w:r>
        <w:rPr>
          <w:color w:val="231F20"/>
          <w:spacing w:val="-19"/>
          <w:w w:val="110"/>
        </w:rPr>
        <w:t> </w:t>
      </w:r>
      <w:r>
        <w:rPr>
          <w:color w:val="231F20"/>
          <w:w w:val="110"/>
        </w:rPr>
        <w:t>una</w:t>
      </w:r>
      <w:r>
        <w:rPr>
          <w:color w:val="231F20"/>
          <w:spacing w:val="-19"/>
          <w:w w:val="110"/>
        </w:rPr>
        <w:t> </w:t>
      </w:r>
      <w:r>
        <w:rPr>
          <w:color w:val="231F20"/>
          <w:w w:val="110"/>
        </w:rPr>
        <w:t>sonrisa,</w:t>
      </w:r>
      <w:r>
        <w:rPr>
          <w:color w:val="231F20"/>
          <w:spacing w:val="-19"/>
          <w:w w:val="110"/>
        </w:rPr>
        <w:t> </w:t>
      </w:r>
      <w:r>
        <w:rPr>
          <w:color w:val="231F20"/>
          <w:w w:val="110"/>
        </w:rPr>
        <w:t>Al-Naimi</w:t>
      </w:r>
      <w:r>
        <w:rPr>
          <w:color w:val="231F20"/>
          <w:spacing w:val="-19"/>
          <w:w w:val="110"/>
        </w:rPr>
        <w:t> </w:t>
      </w:r>
      <w:r>
        <w:rPr>
          <w:color w:val="231F20"/>
          <w:w w:val="110"/>
        </w:rPr>
        <w:t>dijo</w:t>
      </w:r>
      <w:r>
        <w:rPr>
          <w:color w:val="231F20"/>
          <w:spacing w:val="-19"/>
          <w:w w:val="110"/>
        </w:rPr>
        <w:t> </w:t>
      </w:r>
      <w:r>
        <w:rPr>
          <w:color w:val="231F20"/>
          <w:w w:val="110"/>
        </w:rPr>
        <w:t>a</w:t>
      </w:r>
      <w:r>
        <w:rPr>
          <w:color w:val="231F20"/>
          <w:spacing w:val="-19"/>
          <w:w w:val="110"/>
        </w:rPr>
        <w:t> </w:t>
      </w:r>
      <w:r>
        <w:rPr>
          <w:color w:val="231F20"/>
          <w:w w:val="110"/>
        </w:rPr>
        <w:t>Roberts:</w:t>
      </w:r>
      <w:r>
        <w:rPr>
          <w:color w:val="231F20"/>
          <w:spacing w:val="-19"/>
          <w:w w:val="110"/>
        </w:rPr>
        <w:t> </w:t>
      </w:r>
      <w:r>
        <w:rPr>
          <w:color w:val="231F20"/>
          <w:w w:val="110"/>
        </w:rPr>
        <w:t>entonces, los especuladores “perdieron hasta la camisa” (Roberts, 2004: 114- 115)</w:t>
      </w:r>
      <w:r>
        <w:rPr>
          <w:color w:val="231F20"/>
          <w:w w:val="110"/>
          <w:sz w:val="18"/>
        </w:rPr>
        <w:t>. </w:t>
      </w:r>
      <w:r>
        <w:rPr>
          <w:color w:val="231F20"/>
          <w:w w:val="110"/>
        </w:rPr>
        <w:t>No es un incidente más. Es asunto esencial que caracteriza a  la “diplomacia de fuerza” de Estados Unidos, en especial hacia</w:t>
      </w:r>
      <w:r>
        <w:rPr>
          <w:color w:val="231F20"/>
          <w:spacing w:val="-34"/>
          <w:w w:val="110"/>
        </w:rPr>
        <w:t> </w:t>
      </w:r>
      <w:r>
        <w:rPr>
          <w:color w:val="231F20"/>
          <w:w w:val="110"/>
        </w:rPr>
        <w:t>otras naciones</w:t>
      </w:r>
      <w:r>
        <w:rPr>
          <w:color w:val="231F20"/>
          <w:spacing w:val="-6"/>
          <w:w w:val="110"/>
        </w:rPr>
        <w:t> </w:t>
      </w:r>
      <w:r>
        <w:rPr>
          <w:color w:val="231F20"/>
          <w:w w:val="110"/>
        </w:rPr>
        <w:t>como</w:t>
      </w:r>
      <w:r>
        <w:rPr>
          <w:color w:val="231F20"/>
          <w:spacing w:val="-6"/>
          <w:w w:val="110"/>
        </w:rPr>
        <w:t> </w:t>
      </w:r>
      <w:r>
        <w:rPr>
          <w:color w:val="231F20"/>
          <w:w w:val="110"/>
        </w:rPr>
        <w:t>Ecuador</w:t>
      </w:r>
      <w:r>
        <w:rPr>
          <w:color w:val="231F20"/>
          <w:spacing w:val="-6"/>
          <w:w w:val="110"/>
        </w:rPr>
        <w:t> </w:t>
      </w:r>
      <w:r>
        <w:rPr>
          <w:color w:val="231F20"/>
          <w:w w:val="110"/>
        </w:rPr>
        <w:t>y</w:t>
      </w:r>
      <w:r>
        <w:rPr>
          <w:color w:val="231F20"/>
          <w:spacing w:val="-6"/>
          <w:w w:val="110"/>
        </w:rPr>
        <w:t> </w:t>
      </w:r>
      <w:r>
        <w:rPr>
          <w:color w:val="231F20"/>
          <w:w w:val="110"/>
        </w:rPr>
        <w:t>Bolivia,</w:t>
      </w:r>
      <w:r>
        <w:rPr>
          <w:color w:val="231F20"/>
          <w:spacing w:val="-6"/>
          <w:w w:val="110"/>
        </w:rPr>
        <w:t> </w:t>
      </w:r>
      <w:r>
        <w:rPr>
          <w:color w:val="231F20"/>
          <w:w w:val="110"/>
        </w:rPr>
        <w:t>las</w:t>
      </w:r>
      <w:r>
        <w:rPr>
          <w:color w:val="231F20"/>
          <w:spacing w:val="-6"/>
          <w:w w:val="110"/>
        </w:rPr>
        <w:t> </w:t>
      </w:r>
      <w:r>
        <w:rPr>
          <w:color w:val="231F20"/>
          <w:w w:val="110"/>
        </w:rPr>
        <w:t>que</w:t>
      </w:r>
      <w:r>
        <w:rPr>
          <w:color w:val="231F20"/>
          <w:spacing w:val="-6"/>
          <w:w w:val="110"/>
        </w:rPr>
        <w:t> </w:t>
      </w:r>
      <w:r>
        <w:rPr>
          <w:color w:val="231F20"/>
          <w:w w:val="110"/>
        </w:rPr>
        <w:t>integran</w:t>
      </w:r>
      <w:r>
        <w:rPr>
          <w:color w:val="231F20"/>
          <w:spacing w:val="-6"/>
          <w:w w:val="110"/>
        </w:rPr>
        <w:t> </w:t>
      </w:r>
      <w:r>
        <w:rPr>
          <w:color w:val="231F20"/>
          <w:w w:val="110"/>
        </w:rPr>
        <w:t>la</w:t>
      </w:r>
      <w:r>
        <w:rPr>
          <w:color w:val="231F20"/>
          <w:spacing w:val="-6"/>
          <w:w w:val="110"/>
        </w:rPr>
        <w:t> </w:t>
      </w:r>
      <w:r>
        <w:rPr>
          <w:color w:val="231F20"/>
          <w:w w:val="110"/>
        </w:rPr>
        <w:t>Alba</w:t>
      </w:r>
      <w:r>
        <w:rPr>
          <w:color w:val="231F20"/>
          <w:spacing w:val="-6"/>
          <w:w w:val="110"/>
        </w:rPr>
        <w:t> </w:t>
      </w:r>
      <w:r>
        <w:rPr>
          <w:color w:val="231F20"/>
          <w:w w:val="110"/>
        </w:rPr>
        <w:t>o</w:t>
      </w:r>
      <w:r>
        <w:rPr>
          <w:color w:val="231F20"/>
          <w:spacing w:val="-6"/>
          <w:w w:val="110"/>
        </w:rPr>
        <w:t> </w:t>
      </w:r>
      <w:r>
        <w:rPr>
          <w:color w:val="231F20"/>
          <w:spacing w:val="-3"/>
          <w:w w:val="110"/>
        </w:rPr>
        <w:t>Unasur, </w:t>
      </w:r>
      <w:r>
        <w:rPr>
          <w:color w:val="231F20"/>
          <w:w w:val="110"/>
        </w:rPr>
        <w:t>entre cuyos objetivos está precisamente la defensa de la soberanía sobre los recursos</w:t>
      </w:r>
      <w:r>
        <w:rPr>
          <w:color w:val="231F20"/>
          <w:spacing w:val="6"/>
          <w:w w:val="110"/>
        </w:rPr>
        <w:t> </w:t>
      </w:r>
      <w:r>
        <w:rPr>
          <w:color w:val="231F20"/>
          <w:w w:val="110"/>
        </w:rPr>
        <w:t>naturales.</w:t>
      </w:r>
    </w:p>
    <w:p>
      <w:pPr>
        <w:pStyle w:val="BodyText"/>
        <w:spacing w:line="261" w:lineRule="auto"/>
        <w:ind w:left="100" w:right="117" w:firstLine="240"/>
        <w:jc w:val="both"/>
      </w:pPr>
      <w:r>
        <w:rPr>
          <w:color w:val="231F20"/>
          <w:w w:val="110"/>
        </w:rPr>
        <w:t>La</w:t>
      </w:r>
      <w:r>
        <w:rPr>
          <w:color w:val="231F20"/>
          <w:spacing w:val="-11"/>
          <w:w w:val="110"/>
        </w:rPr>
        <w:t> </w:t>
      </w:r>
      <w:r>
        <w:rPr>
          <w:color w:val="231F20"/>
          <w:w w:val="110"/>
        </w:rPr>
        <w:t>disputa</w:t>
      </w:r>
      <w:r>
        <w:rPr>
          <w:color w:val="231F20"/>
          <w:spacing w:val="-11"/>
          <w:w w:val="110"/>
        </w:rPr>
        <w:t> </w:t>
      </w:r>
      <w:r>
        <w:rPr>
          <w:color w:val="231F20"/>
          <w:w w:val="110"/>
        </w:rPr>
        <w:t>por</w:t>
      </w:r>
      <w:r>
        <w:rPr>
          <w:color w:val="231F20"/>
          <w:spacing w:val="-11"/>
          <w:w w:val="110"/>
        </w:rPr>
        <w:t> </w:t>
      </w:r>
      <w:r>
        <w:rPr>
          <w:color w:val="231F20"/>
          <w:w w:val="110"/>
        </w:rPr>
        <w:t>esos</w:t>
      </w:r>
      <w:r>
        <w:rPr>
          <w:color w:val="231F20"/>
          <w:spacing w:val="-11"/>
          <w:w w:val="110"/>
        </w:rPr>
        <w:t> </w:t>
      </w:r>
      <w:r>
        <w:rPr>
          <w:color w:val="231F20"/>
          <w:w w:val="110"/>
        </w:rPr>
        <w:t>recursos</w:t>
      </w:r>
      <w:r>
        <w:rPr>
          <w:color w:val="231F20"/>
          <w:spacing w:val="-11"/>
          <w:w w:val="110"/>
        </w:rPr>
        <w:t> </w:t>
      </w:r>
      <w:r>
        <w:rPr>
          <w:color w:val="231F20"/>
          <w:w w:val="110"/>
        </w:rPr>
        <w:t>agudiza</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con</w:t>
      </w:r>
      <w:r>
        <w:rPr>
          <w:color w:val="231F20"/>
          <w:spacing w:val="-11"/>
          <w:w w:val="110"/>
        </w:rPr>
        <w:t> </w:t>
      </w:r>
      <w:r>
        <w:rPr>
          <w:color w:val="231F20"/>
          <w:w w:val="110"/>
        </w:rPr>
        <w:t>efectos</w:t>
      </w:r>
      <w:r>
        <w:rPr>
          <w:color w:val="231F20"/>
          <w:spacing w:val="-11"/>
          <w:w w:val="110"/>
        </w:rPr>
        <w:t> </w:t>
      </w:r>
      <w:r>
        <w:rPr>
          <w:color w:val="231F20"/>
          <w:w w:val="110"/>
        </w:rPr>
        <w:t>“sistémi- cos”, </w:t>
      </w:r>
      <w:r>
        <w:rPr>
          <w:color w:val="231F20"/>
          <w:spacing w:val="-8"/>
          <w:w w:val="110"/>
        </w:rPr>
        <w:t>y, </w:t>
      </w:r>
      <w:r>
        <w:rPr>
          <w:color w:val="231F20"/>
          <w:w w:val="110"/>
        </w:rPr>
        <w:t>como puede apreciarse, tiene fuerte impacto en la dirección y naturaleza de la política de seguridad de Estados Unidos hacia América</w:t>
      </w:r>
      <w:r>
        <w:rPr>
          <w:color w:val="231F20"/>
          <w:spacing w:val="-11"/>
          <w:w w:val="110"/>
        </w:rPr>
        <w:t> </w:t>
      </w:r>
      <w:r>
        <w:rPr>
          <w:color w:val="231F20"/>
          <w:w w:val="110"/>
        </w:rPr>
        <w:t>Latina.</w:t>
      </w:r>
      <w:r>
        <w:rPr>
          <w:color w:val="231F20"/>
          <w:spacing w:val="-11"/>
          <w:w w:val="110"/>
        </w:rPr>
        <w:t> </w:t>
      </w:r>
      <w:r>
        <w:rPr>
          <w:color w:val="231F20"/>
          <w:w w:val="110"/>
        </w:rPr>
        <w:t>El</w:t>
      </w:r>
      <w:r>
        <w:rPr>
          <w:color w:val="231F20"/>
          <w:spacing w:val="-11"/>
          <w:w w:val="110"/>
        </w:rPr>
        <w:t> </w:t>
      </w:r>
      <w:r>
        <w:rPr>
          <w:color w:val="231F20"/>
          <w:w w:val="110"/>
        </w:rPr>
        <w:t>Alba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creación</w:t>
      </w:r>
      <w:r>
        <w:rPr>
          <w:color w:val="231F20"/>
          <w:spacing w:val="-11"/>
          <w:w w:val="110"/>
        </w:rPr>
        <w:t> </w:t>
      </w:r>
      <w:r>
        <w:rPr>
          <w:color w:val="231F20"/>
          <w:w w:val="110"/>
        </w:rPr>
        <w:t>de</w:t>
      </w:r>
      <w:r>
        <w:rPr>
          <w:color w:val="231F20"/>
          <w:spacing w:val="-11"/>
          <w:w w:val="110"/>
        </w:rPr>
        <w:t> </w:t>
      </w:r>
      <w:r>
        <w:rPr>
          <w:color w:val="231F20"/>
          <w:w w:val="110"/>
        </w:rPr>
        <w:t>Unasur</w:t>
      </w:r>
      <w:r>
        <w:rPr>
          <w:color w:val="231F20"/>
          <w:spacing w:val="-11"/>
          <w:w w:val="110"/>
        </w:rPr>
        <w:t> </w:t>
      </w:r>
      <w:r>
        <w:rPr>
          <w:color w:val="231F20"/>
          <w:w w:val="110"/>
        </w:rPr>
        <w:t>indican</w:t>
      </w:r>
      <w:r>
        <w:rPr>
          <w:color w:val="231F20"/>
          <w:spacing w:val="-11"/>
          <w:w w:val="110"/>
        </w:rPr>
        <w:t> </w:t>
      </w:r>
      <w:r>
        <w:rPr>
          <w:color w:val="231F20"/>
          <w:w w:val="110"/>
        </w:rPr>
        <w:t>consenso</w:t>
      </w:r>
      <w:r>
        <w:rPr>
          <w:color w:val="231F20"/>
          <w:spacing w:val="-11"/>
          <w:w w:val="110"/>
        </w:rPr>
        <w:t> </w:t>
      </w:r>
      <w:r>
        <w:rPr>
          <w:color w:val="231F20"/>
          <w:w w:val="110"/>
        </w:rPr>
        <w:t>en América</w:t>
      </w:r>
      <w:r>
        <w:rPr>
          <w:color w:val="231F20"/>
          <w:spacing w:val="-15"/>
          <w:w w:val="110"/>
        </w:rPr>
        <w:t> </w:t>
      </w:r>
      <w:r>
        <w:rPr>
          <w:color w:val="231F20"/>
          <w:w w:val="110"/>
        </w:rPr>
        <w:t>del</w:t>
      </w:r>
      <w:r>
        <w:rPr>
          <w:color w:val="231F20"/>
          <w:spacing w:val="-15"/>
          <w:w w:val="110"/>
        </w:rPr>
        <w:t> </w:t>
      </w:r>
      <w:r>
        <w:rPr>
          <w:color w:val="231F20"/>
          <w:w w:val="110"/>
        </w:rPr>
        <w:t>Sur</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el</w:t>
      </w:r>
      <w:r>
        <w:rPr>
          <w:color w:val="231F20"/>
          <w:spacing w:val="-15"/>
          <w:w w:val="110"/>
        </w:rPr>
        <w:t> </w:t>
      </w:r>
      <w:r>
        <w:rPr>
          <w:color w:val="231F20"/>
          <w:w w:val="110"/>
        </w:rPr>
        <w:t>manejo</w:t>
      </w:r>
      <w:r>
        <w:rPr>
          <w:color w:val="231F20"/>
          <w:spacing w:val="-15"/>
          <w:w w:val="110"/>
        </w:rPr>
        <w:t> </w:t>
      </w:r>
      <w:r>
        <w:rPr>
          <w:color w:val="231F20"/>
          <w:w w:val="110"/>
        </w:rPr>
        <w:t>clasista</w:t>
      </w:r>
      <w:r>
        <w:rPr>
          <w:color w:val="231F20"/>
          <w:spacing w:val="-15"/>
          <w:w w:val="110"/>
        </w:rPr>
        <w:t> </w:t>
      </w:r>
      <w:r>
        <w:rPr>
          <w:color w:val="231F20"/>
          <w:w w:val="110"/>
        </w:rPr>
        <w:t>y</w:t>
      </w:r>
      <w:r>
        <w:rPr>
          <w:color w:val="231F20"/>
          <w:spacing w:val="-15"/>
          <w:w w:val="110"/>
        </w:rPr>
        <w:t> </w:t>
      </w:r>
      <w:r>
        <w:rPr>
          <w:color w:val="231F20"/>
          <w:w w:val="110"/>
        </w:rPr>
        <w:t>altamente</w:t>
      </w:r>
      <w:r>
        <w:rPr>
          <w:color w:val="231F20"/>
          <w:spacing w:val="-15"/>
          <w:w w:val="110"/>
        </w:rPr>
        <w:t> </w:t>
      </w:r>
      <w:r>
        <w:rPr>
          <w:color w:val="231F20"/>
          <w:w w:val="110"/>
        </w:rPr>
        <w:t>militarizado</w:t>
      </w:r>
      <w:r>
        <w:rPr>
          <w:color w:val="231F20"/>
          <w:spacing w:val="-15"/>
          <w:w w:val="110"/>
        </w:rPr>
        <w:t> </w:t>
      </w:r>
      <w:r>
        <w:rPr>
          <w:color w:val="231F20"/>
          <w:w w:val="110"/>
        </w:rPr>
        <w:t>de esa</w:t>
      </w:r>
      <w:r>
        <w:rPr>
          <w:color w:val="231F20"/>
          <w:spacing w:val="-7"/>
          <w:w w:val="110"/>
        </w:rPr>
        <w:t> </w:t>
      </w:r>
      <w:r>
        <w:rPr>
          <w:color w:val="231F20"/>
          <w:w w:val="110"/>
        </w:rPr>
        <w:t>“diplomacia”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mundo</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región</w:t>
      </w:r>
      <w:r>
        <w:rPr>
          <w:color w:val="231F20"/>
          <w:spacing w:val="-7"/>
          <w:w w:val="110"/>
        </w:rPr>
        <w:t> </w:t>
      </w:r>
      <w:r>
        <w:rPr>
          <w:color w:val="231F20"/>
          <w:w w:val="110"/>
        </w:rPr>
        <w:t>latinoamericana,</w:t>
      </w:r>
      <w:r>
        <w:rPr>
          <w:color w:val="231F20"/>
          <w:spacing w:val="-7"/>
          <w:w w:val="110"/>
        </w:rPr>
        <w:t> </w:t>
      </w:r>
      <w:r>
        <w:rPr>
          <w:color w:val="231F20"/>
          <w:w w:val="110"/>
        </w:rPr>
        <w:t>genera serios</w:t>
      </w:r>
      <w:r>
        <w:rPr>
          <w:color w:val="231F20"/>
          <w:spacing w:val="-6"/>
          <w:w w:val="110"/>
        </w:rPr>
        <w:t> </w:t>
      </w:r>
      <w:r>
        <w:rPr>
          <w:color w:val="231F20"/>
          <w:w w:val="110"/>
        </w:rPr>
        <w:t>riesgos</w:t>
      </w:r>
      <w:r>
        <w:rPr>
          <w:color w:val="231F20"/>
          <w:spacing w:val="-6"/>
          <w:w w:val="110"/>
        </w:rPr>
        <w:t> </w:t>
      </w:r>
      <w:r>
        <w:rPr>
          <w:color w:val="231F20"/>
          <w:w w:val="110"/>
        </w:rPr>
        <w:t>políticos,</w:t>
      </w:r>
      <w:r>
        <w:rPr>
          <w:color w:val="231F20"/>
          <w:spacing w:val="-6"/>
          <w:w w:val="110"/>
        </w:rPr>
        <w:t> </w:t>
      </w:r>
      <w:r>
        <w:rPr>
          <w:color w:val="231F20"/>
          <w:w w:val="110"/>
        </w:rPr>
        <w:t>económicos,</w:t>
      </w:r>
      <w:r>
        <w:rPr>
          <w:color w:val="231F20"/>
          <w:spacing w:val="-6"/>
          <w:w w:val="110"/>
        </w:rPr>
        <w:t> </w:t>
      </w:r>
      <w:r>
        <w:rPr>
          <w:color w:val="231F20"/>
          <w:w w:val="110"/>
        </w:rPr>
        <w:t>ambientales</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seguridad.</w:t>
      </w:r>
    </w:p>
    <w:p>
      <w:pPr>
        <w:pStyle w:val="BodyText"/>
        <w:spacing w:line="261" w:lineRule="auto"/>
        <w:ind w:left="100" w:right="117" w:firstLine="240"/>
        <w:jc w:val="both"/>
      </w:pPr>
      <w:r>
        <w:rPr>
          <w:color w:val="231F20"/>
          <w:w w:val="110"/>
        </w:rPr>
        <w:t>Ante el orden de magnitud de los retos que enfrentan las</w:t>
      </w:r>
      <w:r>
        <w:rPr>
          <w:color w:val="231F20"/>
          <w:spacing w:val="-30"/>
          <w:w w:val="110"/>
        </w:rPr>
        <w:t> </w:t>
      </w:r>
      <w:r>
        <w:rPr>
          <w:color w:val="231F20"/>
          <w:w w:val="110"/>
        </w:rPr>
        <w:t>naciones latinoamericanas,</w:t>
      </w:r>
      <w:r>
        <w:rPr>
          <w:color w:val="231F20"/>
          <w:spacing w:val="-10"/>
          <w:w w:val="110"/>
        </w:rPr>
        <w:t> </w:t>
      </w:r>
      <w:r>
        <w:rPr>
          <w:color w:val="231F20"/>
          <w:w w:val="110"/>
        </w:rPr>
        <w:t>y</w:t>
      </w:r>
      <w:r>
        <w:rPr>
          <w:color w:val="231F20"/>
          <w:spacing w:val="-10"/>
          <w:w w:val="110"/>
        </w:rPr>
        <w:t> </w:t>
      </w:r>
      <w:r>
        <w:rPr>
          <w:color w:val="231F20"/>
          <w:w w:val="110"/>
        </w:rPr>
        <w:t>un</w:t>
      </w:r>
      <w:r>
        <w:rPr>
          <w:color w:val="231F20"/>
          <w:spacing w:val="-10"/>
          <w:w w:val="110"/>
        </w:rPr>
        <w:t> </w:t>
      </w:r>
      <w:r>
        <w:rPr>
          <w:color w:val="231F20"/>
          <w:w w:val="110"/>
        </w:rPr>
        <w:t>panorama</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hace</w:t>
      </w:r>
      <w:r>
        <w:rPr>
          <w:color w:val="231F20"/>
          <w:spacing w:val="-10"/>
          <w:w w:val="110"/>
        </w:rPr>
        <w:t> </w:t>
      </w:r>
      <w:r>
        <w:rPr>
          <w:color w:val="231F20"/>
          <w:w w:val="110"/>
        </w:rPr>
        <w:t>más</w:t>
      </w:r>
      <w:r>
        <w:rPr>
          <w:color w:val="231F20"/>
          <w:spacing w:val="-10"/>
          <w:w w:val="110"/>
        </w:rPr>
        <w:t> </w:t>
      </w:r>
      <w:r>
        <w:rPr>
          <w:color w:val="231F20"/>
          <w:w w:val="110"/>
        </w:rPr>
        <w:t>complejo</w:t>
      </w:r>
      <w:r>
        <w:rPr>
          <w:color w:val="231F20"/>
          <w:spacing w:val="-10"/>
          <w:w w:val="110"/>
        </w:rPr>
        <w:t> </w:t>
      </w:r>
      <w:r>
        <w:rPr>
          <w:color w:val="231F20"/>
          <w:w w:val="110"/>
        </w:rPr>
        <w:t>y</w:t>
      </w:r>
      <w:r>
        <w:rPr>
          <w:color w:val="231F20"/>
          <w:spacing w:val="-10"/>
          <w:w w:val="110"/>
        </w:rPr>
        <w:t> </w:t>
      </w:r>
      <w:r>
        <w:rPr>
          <w:color w:val="231F20"/>
          <w:w w:val="110"/>
        </w:rPr>
        <w:t>riesgo- so por haber ingresado la ecuación energética mundial al “techo del petróleo”</w:t>
      </w:r>
      <w:r>
        <w:rPr>
          <w:color w:val="231F20"/>
          <w:spacing w:val="-5"/>
          <w:w w:val="110"/>
        </w:rPr>
        <w:t> </w:t>
      </w:r>
      <w:r>
        <w:rPr>
          <w:color w:val="231F20"/>
          <w:w w:val="110"/>
        </w:rPr>
        <w:t>(</w:t>
      </w:r>
      <w:r>
        <w:rPr>
          <w:i/>
          <w:color w:val="231F20"/>
          <w:w w:val="110"/>
        </w:rPr>
        <w:t>peak-oil</w:t>
      </w:r>
      <w:r>
        <w:rPr>
          <w:color w:val="231F20"/>
          <w:w w:val="110"/>
        </w:rPr>
        <w:t>),</w:t>
      </w:r>
      <w:r>
        <w:rPr>
          <w:color w:val="231F20"/>
          <w:spacing w:val="-5"/>
          <w:w w:val="110"/>
        </w:rPr>
        <w:t> </w:t>
      </w:r>
      <w:r>
        <w:rPr>
          <w:color w:val="231F20"/>
          <w:w w:val="110"/>
        </w:rPr>
        <w:t>la</w:t>
      </w:r>
      <w:r>
        <w:rPr>
          <w:color w:val="231F20"/>
          <w:spacing w:val="-5"/>
          <w:w w:val="110"/>
        </w:rPr>
        <w:t> </w:t>
      </w:r>
      <w:r>
        <w:rPr>
          <w:color w:val="231F20"/>
          <w:w w:val="110"/>
        </w:rPr>
        <w:t>mira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grandes</w:t>
      </w:r>
      <w:r>
        <w:rPr>
          <w:color w:val="231F20"/>
          <w:spacing w:val="-5"/>
          <w:w w:val="110"/>
        </w:rPr>
        <w:t> </w:t>
      </w:r>
      <w:r>
        <w:rPr>
          <w:color w:val="231F20"/>
          <w:w w:val="110"/>
        </w:rPr>
        <w:t>petroleras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política de seguridad de Washington se centra ahora en todos los recursos energéticos existentes en “las Américas”, es </w:t>
      </w:r>
      <w:r>
        <w:rPr>
          <w:color w:val="231F20"/>
          <w:spacing w:val="-3"/>
          <w:w w:val="110"/>
        </w:rPr>
        <w:t>decir, </w:t>
      </w:r>
      <w:r>
        <w:rPr>
          <w:color w:val="231F20"/>
          <w:w w:val="110"/>
        </w:rPr>
        <w:t>de polo a polo. En documentos del Pentágono se plantea el fin de la “capacidad ociosa” mundial en 2012 y un déficit en la producción mundial de crudo de 10 millones de barriles diarios en 2015, con una mezcla energética en 2030 dominada por los combustibles fósiles. Además, generales y almirantes advierten de la “necesidad militar” de  contar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73" w:right="117"/>
        <w:jc w:val="right"/>
      </w:pPr>
      <w:r>
        <w:rPr>
          <w:color w:val="231F20"/>
          <w:w w:val="110"/>
        </w:rPr>
        <w:t>con</w:t>
      </w:r>
      <w:r>
        <w:rPr>
          <w:color w:val="231F20"/>
          <w:spacing w:val="-22"/>
          <w:w w:val="110"/>
        </w:rPr>
        <w:t> </w:t>
      </w:r>
      <w:r>
        <w:rPr>
          <w:color w:val="231F20"/>
          <w:w w:val="110"/>
        </w:rPr>
        <w:t>los</w:t>
      </w:r>
      <w:r>
        <w:rPr>
          <w:color w:val="231F20"/>
          <w:spacing w:val="-22"/>
          <w:w w:val="110"/>
        </w:rPr>
        <w:t> </w:t>
      </w:r>
      <w:r>
        <w:rPr>
          <w:color w:val="231F20"/>
          <w:w w:val="110"/>
        </w:rPr>
        <w:t>abastecimientos</w:t>
      </w:r>
      <w:r>
        <w:rPr>
          <w:color w:val="231F20"/>
          <w:spacing w:val="-22"/>
          <w:w w:val="110"/>
        </w:rPr>
        <w:t> </w:t>
      </w:r>
      <w:r>
        <w:rPr>
          <w:color w:val="231F20"/>
          <w:w w:val="110"/>
        </w:rPr>
        <w:t>“seguros”</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“Américas”.</w:t>
      </w:r>
      <w:r>
        <w:rPr>
          <w:color w:val="231F20"/>
          <w:spacing w:val="-22"/>
          <w:w w:val="110"/>
        </w:rPr>
        <w:t> </w:t>
      </w:r>
      <w:r>
        <w:rPr>
          <w:color w:val="231F20"/>
          <w:spacing w:val="-3"/>
          <w:w w:val="110"/>
        </w:rPr>
        <w:t>Ya</w:t>
      </w:r>
      <w:r>
        <w:rPr>
          <w:color w:val="231F20"/>
          <w:spacing w:val="-22"/>
          <w:w w:val="110"/>
        </w:rPr>
        <w:t> </w:t>
      </w:r>
      <w:r>
        <w:rPr>
          <w:color w:val="231F20"/>
          <w:w w:val="110"/>
        </w:rPr>
        <w:t>el</w:t>
      </w:r>
      <w:r>
        <w:rPr>
          <w:color w:val="231F20"/>
          <w:spacing w:val="-22"/>
          <w:w w:val="110"/>
        </w:rPr>
        <w:t> </w:t>
      </w:r>
      <w:r>
        <w:rPr>
          <w:color w:val="231F20"/>
          <w:w w:val="110"/>
        </w:rPr>
        <w:t>New</w:t>
      </w:r>
      <w:r>
        <w:rPr>
          <w:color w:val="231F20"/>
          <w:spacing w:val="-22"/>
          <w:w w:val="110"/>
        </w:rPr>
        <w:t> </w:t>
      </w:r>
      <w:r>
        <w:rPr>
          <w:color w:val="231F20"/>
          <w:spacing w:val="-3"/>
          <w:w w:val="110"/>
        </w:rPr>
        <w:t>York</w:t>
      </w:r>
      <w:r>
        <w:rPr>
          <w:color w:val="231F20"/>
          <w:w w:val="111"/>
        </w:rPr>
        <w:t> </w:t>
      </w:r>
      <w:r>
        <w:rPr>
          <w:color w:val="231F20"/>
          <w:w w:val="110"/>
        </w:rPr>
        <w:t>Times</w:t>
      </w:r>
      <w:r>
        <w:rPr>
          <w:color w:val="231F20"/>
          <w:spacing w:val="21"/>
          <w:w w:val="110"/>
        </w:rPr>
        <w:t> </w:t>
      </w:r>
      <w:r>
        <w:rPr>
          <w:color w:val="231F20"/>
          <w:w w:val="110"/>
        </w:rPr>
        <w:t>anunció</w:t>
      </w:r>
      <w:r>
        <w:rPr>
          <w:color w:val="231F20"/>
          <w:spacing w:val="21"/>
          <w:w w:val="110"/>
        </w:rPr>
        <w:t> </w:t>
      </w:r>
      <w:r>
        <w:rPr>
          <w:color w:val="231F20"/>
          <w:w w:val="110"/>
        </w:rPr>
        <w:t>el</w:t>
      </w:r>
      <w:r>
        <w:rPr>
          <w:color w:val="231F20"/>
          <w:spacing w:val="21"/>
          <w:w w:val="110"/>
        </w:rPr>
        <w:t> </w:t>
      </w:r>
      <w:r>
        <w:rPr>
          <w:color w:val="231F20"/>
          <w:w w:val="110"/>
        </w:rPr>
        <w:t>ingreso</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Américas”</w:t>
      </w:r>
      <w:r>
        <w:rPr>
          <w:color w:val="231F20"/>
          <w:spacing w:val="21"/>
          <w:w w:val="110"/>
        </w:rPr>
        <w:t> </w:t>
      </w:r>
      <w:r>
        <w:rPr>
          <w:color w:val="231F20"/>
          <w:w w:val="110"/>
        </w:rPr>
        <w:t>a</w:t>
      </w:r>
      <w:r>
        <w:rPr>
          <w:color w:val="231F20"/>
          <w:spacing w:val="21"/>
          <w:w w:val="110"/>
        </w:rPr>
        <w:t> </w:t>
      </w:r>
      <w:r>
        <w:rPr>
          <w:color w:val="231F20"/>
          <w:w w:val="110"/>
        </w:rPr>
        <w:t>una</w:t>
      </w:r>
      <w:r>
        <w:rPr>
          <w:color w:val="231F20"/>
          <w:spacing w:val="21"/>
          <w:w w:val="110"/>
        </w:rPr>
        <w:t> </w:t>
      </w:r>
      <w:r>
        <w:rPr>
          <w:color w:val="231F20"/>
          <w:w w:val="110"/>
        </w:rPr>
        <w:t>nueva</w:t>
      </w:r>
      <w:r>
        <w:rPr>
          <w:color w:val="231F20"/>
          <w:spacing w:val="21"/>
          <w:w w:val="110"/>
        </w:rPr>
        <w:t> </w:t>
      </w:r>
      <w:r>
        <w:rPr>
          <w:color w:val="231F20"/>
          <w:w w:val="110"/>
        </w:rPr>
        <w:t>etapa</w:t>
      </w:r>
      <w:r>
        <w:rPr>
          <w:color w:val="231F20"/>
          <w:spacing w:val="21"/>
          <w:w w:val="110"/>
        </w:rPr>
        <w:t> </w:t>
      </w:r>
      <w:r>
        <w:rPr>
          <w:color w:val="231F20"/>
          <w:w w:val="110"/>
        </w:rPr>
        <w:t>en</w:t>
      </w:r>
      <w:r>
        <w:rPr>
          <w:color w:val="231F20"/>
          <w:w w:val="116"/>
        </w:rPr>
        <w:t> </w:t>
      </w:r>
      <w:r>
        <w:rPr>
          <w:color w:val="231F20"/>
          <w:w w:val="110"/>
        </w:rPr>
        <w:t>pos de los combustibles fósiles que quedan bajo la corteza,</w:t>
      </w:r>
      <w:r>
        <w:rPr>
          <w:color w:val="231F20"/>
          <w:spacing w:val="38"/>
          <w:w w:val="110"/>
        </w:rPr>
        <w:t> </w:t>
      </w:r>
      <w:r>
        <w:rPr>
          <w:color w:val="231F20"/>
          <w:w w:val="110"/>
        </w:rPr>
        <w:t>es</w:t>
      </w:r>
      <w:r>
        <w:rPr>
          <w:color w:val="231F20"/>
          <w:spacing w:val="3"/>
          <w:w w:val="110"/>
        </w:rPr>
        <w:t> </w:t>
      </w:r>
      <w:r>
        <w:rPr>
          <w:color w:val="231F20"/>
          <w:spacing w:val="-3"/>
          <w:w w:val="110"/>
        </w:rPr>
        <w:t>decir,</w:t>
      </w:r>
      <w:r>
        <w:rPr>
          <w:color w:val="231F20"/>
          <w:w w:val="104"/>
        </w:rPr>
        <w:t> </w:t>
      </w:r>
      <w:r>
        <w:rPr>
          <w:color w:val="231F20"/>
          <w:w w:val="110"/>
        </w:rPr>
        <w:t>el petróleo no convencional, el crudo pesado y superpesado,</w:t>
      </w:r>
      <w:r>
        <w:rPr>
          <w:color w:val="231F20"/>
          <w:spacing w:val="6"/>
          <w:w w:val="110"/>
        </w:rPr>
        <w:t> </w:t>
      </w:r>
      <w:r>
        <w:rPr>
          <w:color w:val="231F20"/>
          <w:w w:val="110"/>
        </w:rPr>
        <w:t>las are-</w:t>
      </w:r>
      <w:r>
        <w:rPr>
          <w:color w:val="231F20"/>
          <w:w w:val="72"/>
        </w:rPr>
        <w:t> </w:t>
      </w:r>
      <w:r>
        <w:rPr>
          <w:color w:val="231F20"/>
          <w:w w:val="110"/>
        </w:rPr>
        <w:t>nas</w:t>
      </w:r>
      <w:r>
        <w:rPr>
          <w:color w:val="231F20"/>
          <w:spacing w:val="-5"/>
          <w:w w:val="110"/>
        </w:rPr>
        <w:t> </w:t>
      </w:r>
      <w:r>
        <w:rPr>
          <w:color w:val="231F20"/>
          <w:w w:val="110"/>
        </w:rPr>
        <w:t>bituminosas,</w:t>
      </w:r>
      <w:r>
        <w:rPr>
          <w:color w:val="231F20"/>
          <w:spacing w:val="-5"/>
          <w:w w:val="110"/>
        </w:rPr>
        <w:t> </w:t>
      </w:r>
      <w:r>
        <w:rPr>
          <w:color w:val="231F20"/>
          <w:w w:val="110"/>
        </w:rPr>
        <w:t>los</w:t>
      </w:r>
      <w:r>
        <w:rPr>
          <w:color w:val="231F20"/>
          <w:spacing w:val="-5"/>
          <w:w w:val="110"/>
        </w:rPr>
        <w:t> </w:t>
      </w:r>
      <w:r>
        <w:rPr>
          <w:color w:val="231F20"/>
          <w:w w:val="110"/>
        </w:rPr>
        <w:t>estratos</w:t>
      </w:r>
      <w:r>
        <w:rPr>
          <w:color w:val="231F20"/>
          <w:spacing w:val="-5"/>
          <w:w w:val="110"/>
        </w:rPr>
        <w:t> </w:t>
      </w:r>
      <w:r>
        <w:rPr>
          <w:color w:val="231F20"/>
          <w:w w:val="110"/>
        </w:rPr>
        <w:t>de</w:t>
      </w:r>
      <w:r>
        <w:rPr>
          <w:color w:val="231F20"/>
          <w:spacing w:val="-5"/>
          <w:w w:val="110"/>
        </w:rPr>
        <w:t> </w:t>
      </w:r>
      <w:r>
        <w:rPr>
          <w:color w:val="231F20"/>
          <w:w w:val="110"/>
        </w:rPr>
        <w:t>menor</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difícil</w:t>
      </w:r>
      <w:r>
        <w:rPr>
          <w:color w:val="231F20"/>
          <w:spacing w:val="-5"/>
          <w:w w:val="110"/>
        </w:rPr>
        <w:t> </w:t>
      </w:r>
      <w:r>
        <w:rPr>
          <w:color w:val="231F20"/>
          <w:w w:val="110"/>
        </w:rPr>
        <w:t>acceso,</w:t>
      </w:r>
      <w:r>
        <w:rPr>
          <w:color w:val="231F20"/>
          <w:spacing w:val="-5"/>
          <w:w w:val="110"/>
        </w:rPr>
        <w:t> </w:t>
      </w:r>
      <w:r>
        <w:rPr>
          <w:color w:val="231F20"/>
          <w:w w:val="110"/>
        </w:rPr>
        <w:t>con</w:t>
      </w:r>
      <w:r>
        <w:rPr>
          <w:color w:val="231F20"/>
          <w:w w:val="112"/>
        </w:rPr>
        <w:t> </w:t>
      </w:r>
      <w:r>
        <w:rPr>
          <w:color w:val="231F20"/>
          <w:w w:val="110"/>
        </w:rPr>
        <w:t>alto</w:t>
      </w:r>
      <w:r>
        <w:rPr>
          <w:color w:val="231F20"/>
          <w:spacing w:val="-5"/>
          <w:w w:val="110"/>
        </w:rPr>
        <w:t> </w:t>
      </w:r>
      <w:r>
        <w:rPr>
          <w:color w:val="231F20"/>
          <w:w w:val="110"/>
        </w:rPr>
        <w:t>costo</w:t>
      </w:r>
      <w:r>
        <w:rPr>
          <w:color w:val="231F20"/>
          <w:spacing w:val="-5"/>
          <w:w w:val="110"/>
        </w:rPr>
        <w:t> </w:t>
      </w:r>
      <w:r>
        <w:rPr>
          <w:color w:val="231F20"/>
          <w:w w:val="110"/>
        </w:rPr>
        <w:t>y</w:t>
      </w:r>
      <w:r>
        <w:rPr>
          <w:color w:val="231F20"/>
          <w:spacing w:val="-5"/>
          <w:w w:val="110"/>
        </w:rPr>
        <w:t> </w:t>
      </w:r>
      <w:r>
        <w:rPr>
          <w:color w:val="231F20"/>
          <w:w w:val="110"/>
        </w:rPr>
        <w:t>enormemente</w:t>
      </w:r>
      <w:r>
        <w:rPr>
          <w:color w:val="231F20"/>
          <w:spacing w:val="-5"/>
          <w:w w:val="110"/>
        </w:rPr>
        <w:t> </w:t>
      </w:r>
      <w:r>
        <w:rPr>
          <w:color w:val="231F20"/>
          <w:w w:val="110"/>
        </w:rPr>
        <w:t>más</w:t>
      </w:r>
      <w:r>
        <w:rPr>
          <w:color w:val="231F20"/>
          <w:spacing w:val="-5"/>
          <w:w w:val="110"/>
        </w:rPr>
        <w:t> </w:t>
      </w:r>
      <w:r>
        <w:rPr>
          <w:color w:val="231F20"/>
          <w:w w:val="110"/>
        </w:rPr>
        <w:t>contaminantes</w:t>
      </w:r>
      <w:r>
        <w:rPr>
          <w:color w:val="231F20"/>
          <w:spacing w:val="-5"/>
          <w:w w:val="110"/>
        </w:rPr>
        <w:t> </w:t>
      </w:r>
      <w:r>
        <w:rPr>
          <w:color w:val="231F20"/>
          <w:w w:val="110"/>
        </w:rPr>
        <w:t>que</w:t>
      </w:r>
      <w:r>
        <w:rPr>
          <w:color w:val="231F20"/>
          <w:spacing w:val="-5"/>
          <w:w w:val="110"/>
        </w:rPr>
        <w:t> </w:t>
      </w:r>
      <w:r>
        <w:rPr>
          <w:color w:val="231F20"/>
          <w:w w:val="110"/>
        </w:rPr>
        <w:t>los</w:t>
      </w:r>
      <w:r>
        <w:rPr>
          <w:color w:val="231F20"/>
          <w:spacing w:val="-5"/>
          <w:w w:val="110"/>
        </w:rPr>
        <w:t> </w:t>
      </w:r>
      <w:r>
        <w:rPr>
          <w:color w:val="231F20"/>
          <w:w w:val="110"/>
        </w:rPr>
        <w:t>crudos</w:t>
      </w:r>
      <w:r>
        <w:rPr>
          <w:color w:val="231F20"/>
          <w:spacing w:val="-5"/>
          <w:w w:val="110"/>
        </w:rPr>
        <w:t> </w:t>
      </w:r>
      <w:r>
        <w:rPr>
          <w:color w:val="231F20"/>
          <w:w w:val="110"/>
        </w:rPr>
        <w:t>ligeros,</w:t>
      </w:r>
      <w:r>
        <w:rPr>
          <w:color w:val="231F20"/>
          <w:w w:val="106"/>
        </w:rPr>
        <w:t> </w:t>
      </w:r>
      <w:r>
        <w:rPr>
          <w:color w:val="231F20"/>
          <w:w w:val="110"/>
        </w:rPr>
        <w:t>superligeros y dulces como los de Libia. </w:t>
      </w:r>
      <w:r>
        <w:rPr>
          <w:color w:val="231F20"/>
          <w:spacing w:val="-3"/>
          <w:w w:val="110"/>
        </w:rPr>
        <w:t>Ya </w:t>
      </w:r>
      <w:r>
        <w:rPr>
          <w:color w:val="231F20"/>
          <w:w w:val="110"/>
        </w:rPr>
        <w:t>la ofensiva</w:t>
      </w:r>
      <w:r>
        <w:rPr>
          <w:color w:val="231F20"/>
          <w:spacing w:val="1"/>
          <w:w w:val="110"/>
        </w:rPr>
        <w:t> </w:t>
      </w:r>
      <w:r>
        <w:rPr>
          <w:color w:val="231F20"/>
          <w:w w:val="110"/>
        </w:rPr>
        <w:t>se</w:t>
      </w:r>
      <w:r>
        <w:rPr>
          <w:color w:val="231F20"/>
          <w:spacing w:val="-1"/>
          <w:w w:val="110"/>
        </w:rPr>
        <w:t> </w:t>
      </w:r>
      <w:r>
        <w:rPr>
          <w:color w:val="231F20"/>
          <w:w w:val="110"/>
        </w:rPr>
        <w:t>despliega</w:t>
      </w:r>
      <w:r>
        <w:rPr>
          <w:color w:val="231F20"/>
          <w:w w:val="108"/>
        </w:rPr>
        <w:t> </w:t>
      </w:r>
      <w:r>
        <w:rPr>
          <w:color w:val="231F20"/>
          <w:w w:val="110"/>
        </w:rPr>
        <w:t>con intensidad desde la explotación de aguas profundas del</w:t>
      </w:r>
      <w:r>
        <w:rPr>
          <w:color w:val="231F20"/>
          <w:spacing w:val="4"/>
          <w:w w:val="110"/>
        </w:rPr>
        <w:t> </w:t>
      </w:r>
      <w:r>
        <w:rPr>
          <w:color w:val="231F20"/>
          <w:w w:val="110"/>
        </w:rPr>
        <w:t>mar</w:t>
      </w:r>
      <w:r>
        <w:rPr>
          <w:color w:val="231F20"/>
          <w:spacing w:val="12"/>
          <w:w w:val="110"/>
        </w:rPr>
        <w:t> </w:t>
      </w:r>
      <w:r>
        <w:rPr>
          <w:color w:val="231F20"/>
          <w:w w:val="110"/>
        </w:rPr>
        <w:t>de</w:t>
      </w:r>
      <w:r>
        <w:rPr>
          <w:color w:val="231F20"/>
          <w:w w:val="114"/>
        </w:rPr>
        <w:t> </w:t>
      </w:r>
      <w:r>
        <w:rPr>
          <w:color w:val="231F20"/>
          <w:w w:val="110"/>
        </w:rPr>
        <w:t>Alaska</w:t>
      </w:r>
      <w:r>
        <w:rPr>
          <w:color w:val="231F20"/>
          <w:spacing w:val="-15"/>
          <w:w w:val="110"/>
        </w:rPr>
        <w:t> </w:t>
      </w:r>
      <w:r>
        <w:rPr>
          <w:color w:val="231F20"/>
          <w:w w:val="110"/>
        </w:rPr>
        <w:t>y</w:t>
      </w:r>
      <w:r>
        <w:rPr>
          <w:color w:val="231F20"/>
          <w:spacing w:val="-15"/>
          <w:w w:val="110"/>
        </w:rPr>
        <w:t> </w:t>
      </w:r>
      <w:r>
        <w:rPr>
          <w:color w:val="231F20"/>
          <w:w w:val="110"/>
        </w:rPr>
        <w:t>de</w:t>
      </w:r>
      <w:r>
        <w:rPr>
          <w:color w:val="231F20"/>
          <w:spacing w:val="-15"/>
          <w:w w:val="110"/>
        </w:rPr>
        <w:t> </w:t>
      </w:r>
      <w:r>
        <w:rPr>
          <w:color w:val="231F20"/>
          <w:w w:val="110"/>
        </w:rPr>
        <w:t>Río</w:t>
      </w:r>
      <w:r>
        <w:rPr>
          <w:color w:val="231F20"/>
          <w:spacing w:val="-15"/>
          <w:w w:val="110"/>
        </w:rPr>
        <w:t> </w:t>
      </w:r>
      <w:r>
        <w:rPr>
          <w:color w:val="231F20"/>
          <w:w w:val="110"/>
        </w:rPr>
        <w:t>de</w:t>
      </w:r>
      <w:r>
        <w:rPr>
          <w:color w:val="231F20"/>
          <w:spacing w:val="-15"/>
          <w:w w:val="110"/>
        </w:rPr>
        <w:t> </w:t>
      </w:r>
      <w:r>
        <w:rPr>
          <w:color w:val="231F20"/>
          <w:w w:val="110"/>
        </w:rPr>
        <w:t>Janeiro,</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arenas</w:t>
      </w:r>
      <w:r>
        <w:rPr>
          <w:color w:val="231F20"/>
          <w:spacing w:val="-15"/>
          <w:w w:val="110"/>
        </w:rPr>
        <w:t> </w:t>
      </w:r>
      <w:r>
        <w:rPr>
          <w:color w:val="231F20"/>
          <w:w w:val="110"/>
        </w:rPr>
        <w:t>bituminosas</w:t>
      </w:r>
      <w:r>
        <w:rPr>
          <w:color w:val="231F20"/>
          <w:spacing w:val="-15"/>
          <w:w w:val="110"/>
        </w:rPr>
        <w:t> </w:t>
      </w:r>
      <w:r>
        <w:rPr>
          <w:color w:val="231F20"/>
          <w:w w:val="110"/>
        </w:rPr>
        <w:t>y</w:t>
      </w:r>
      <w:r>
        <w:rPr>
          <w:color w:val="231F20"/>
          <w:spacing w:val="-15"/>
          <w:w w:val="110"/>
        </w:rPr>
        <w:t> </w:t>
      </w:r>
      <w:r>
        <w:rPr>
          <w:color w:val="231F20"/>
          <w:w w:val="110"/>
        </w:rPr>
        <w:t>crudos</w:t>
      </w:r>
      <w:r>
        <w:rPr>
          <w:color w:val="231F20"/>
          <w:spacing w:val="-15"/>
          <w:w w:val="110"/>
        </w:rPr>
        <w:t> </w:t>
      </w:r>
      <w:r>
        <w:rPr>
          <w:color w:val="231F20"/>
          <w:w w:val="110"/>
        </w:rPr>
        <w:t>pesados</w:t>
      </w:r>
      <w:r>
        <w:rPr>
          <w:color w:val="231F20"/>
          <w:w w:val="108"/>
        </w:rPr>
        <w:t> </w:t>
      </w:r>
      <w:r>
        <w:rPr>
          <w:color w:val="231F20"/>
          <w:w w:val="110"/>
        </w:rPr>
        <w:t>o superpesados de Alberta, Canadá (Vid, 2008), del Este</w:t>
      </w:r>
      <w:r>
        <w:rPr>
          <w:color w:val="231F20"/>
          <w:spacing w:val="-9"/>
          <w:w w:val="110"/>
        </w:rPr>
        <w:t> </w:t>
      </w:r>
      <w:r>
        <w:rPr>
          <w:color w:val="231F20"/>
          <w:w w:val="110"/>
        </w:rPr>
        <w:t>de</w:t>
      </w:r>
      <w:r>
        <w:rPr>
          <w:color w:val="231F20"/>
          <w:spacing w:val="-1"/>
          <w:w w:val="110"/>
        </w:rPr>
        <w:t> </w:t>
      </w:r>
      <w:r>
        <w:rPr>
          <w:color w:val="231F20"/>
          <w:w w:val="110"/>
        </w:rPr>
        <w:t>Chicon-</w:t>
      </w:r>
      <w:r>
        <w:rPr>
          <w:color w:val="231F20"/>
          <w:w w:val="72"/>
        </w:rPr>
        <w:t> </w:t>
      </w:r>
      <w:r>
        <w:rPr>
          <w:color w:val="231F20"/>
          <w:w w:val="110"/>
        </w:rPr>
        <w:t>tepec,</w:t>
      </w:r>
      <w:r>
        <w:rPr>
          <w:color w:val="231F20"/>
          <w:spacing w:val="-5"/>
          <w:w w:val="110"/>
        </w:rPr>
        <w:t> </w:t>
      </w:r>
      <w:r>
        <w:rPr>
          <w:color w:val="231F20"/>
          <w:w w:val="110"/>
        </w:rPr>
        <w:t>en</w:t>
      </w:r>
      <w:r>
        <w:rPr>
          <w:color w:val="231F20"/>
          <w:spacing w:val="-5"/>
          <w:w w:val="110"/>
        </w:rPr>
        <w:t> </w:t>
      </w:r>
      <w:r>
        <w:rPr>
          <w:color w:val="231F20"/>
          <w:w w:val="110"/>
        </w:rPr>
        <w:t>México,</w:t>
      </w:r>
      <w:r>
        <w:rPr>
          <w:color w:val="231F20"/>
          <w:spacing w:val="-5"/>
          <w:w w:val="110"/>
        </w:rPr>
        <w:t> </w:t>
      </w:r>
      <w:r>
        <w:rPr>
          <w:color w:val="231F20"/>
          <w:w w:val="110"/>
        </w:rPr>
        <w:t>la</w:t>
      </w:r>
      <w:r>
        <w:rPr>
          <w:color w:val="231F20"/>
          <w:spacing w:val="-5"/>
          <w:w w:val="110"/>
        </w:rPr>
        <w:t> </w:t>
      </w:r>
      <w:r>
        <w:rPr>
          <w:color w:val="231F20"/>
          <w:w w:val="110"/>
        </w:rPr>
        <w:t>cuenca</w:t>
      </w:r>
      <w:r>
        <w:rPr>
          <w:color w:val="231F20"/>
          <w:spacing w:val="-5"/>
          <w:w w:val="110"/>
        </w:rPr>
        <w:t> </w:t>
      </w:r>
      <w:r>
        <w:rPr>
          <w:color w:val="231F20"/>
          <w:w w:val="110"/>
        </w:rPr>
        <w:t>del</w:t>
      </w:r>
      <w:r>
        <w:rPr>
          <w:color w:val="231F20"/>
          <w:spacing w:val="-5"/>
          <w:w w:val="110"/>
        </w:rPr>
        <w:t> </w:t>
      </w:r>
      <w:r>
        <w:rPr>
          <w:color w:val="231F20"/>
          <w:w w:val="110"/>
        </w:rPr>
        <w:t>Orinoco,</w:t>
      </w:r>
      <w:r>
        <w:rPr>
          <w:color w:val="231F20"/>
          <w:spacing w:val="-5"/>
          <w:w w:val="110"/>
        </w:rPr>
        <w:t> </w:t>
      </w:r>
      <w:r>
        <w:rPr>
          <w:color w:val="231F20"/>
          <w:w w:val="110"/>
        </w:rPr>
        <w:t>Venezuela,</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Colombia,</w:t>
      </w:r>
      <w:r>
        <w:rPr>
          <w:color w:val="231F20"/>
          <w:w w:val="107"/>
        </w:rPr>
        <w:t> </w:t>
      </w:r>
      <w:r>
        <w:rPr>
          <w:color w:val="231F20"/>
          <w:w w:val="110"/>
        </w:rPr>
        <w:t>hasta</w:t>
      </w:r>
      <w:r>
        <w:rPr>
          <w:color w:val="231F20"/>
          <w:spacing w:val="-33"/>
          <w:w w:val="110"/>
        </w:rPr>
        <w:t> </w:t>
      </w:r>
      <w:r>
        <w:rPr>
          <w:color w:val="231F20"/>
          <w:w w:val="110"/>
        </w:rPr>
        <w:t>Argentina,</w:t>
      </w:r>
      <w:r>
        <w:rPr>
          <w:color w:val="231F20"/>
          <w:spacing w:val="-33"/>
          <w:w w:val="110"/>
        </w:rPr>
        <w:t> </w:t>
      </w:r>
      <w:r>
        <w:rPr>
          <w:color w:val="231F20"/>
          <w:w w:val="110"/>
        </w:rPr>
        <w:t>donde</w:t>
      </w:r>
      <w:r>
        <w:rPr>
          <w:color w:val="231F20"/>
          <w:spacing w:val="-33"/>
          <w:w w:val="110"/>
        </w:rPr>
        <w:t> </w:t>
      </w:r>
      <w:r>
        <w:rPr>
          <w:color w:val="231F20"/>
          <w:w w:val="110"/>
        </w:rPr>
        <w:t>ya</w:t>
      </w:r>
      <w:r>
        <w:rPr>
          <w:color w:val="231F20"/>
          <w:spacing w:val="-33"/>
          <w:w w:val="110"/>
        </w:rPr>
        <w:t> </w:t>
      </w:r>
      <w:r>
        <w:rPr>
          <w:color w:val="231F20"/>
          <w:w w:val="110"/>
        </w:rPr>
        <w:t>Chevron,</w:t>
      </w:r>
      <w:r>
        <w:rPr>
          <w:color w:val="231F20"/>
          <w:spacing w:val="-33"/>
          <w:w w:val="110"/>
        </w:rPr>
        <w:t> </w:t>
      </w:r>
      <w:r>
        <w:rPr>
          <w:color w:val="231F20"/>
          <w:w w:val="110"/>
        </w:rPr>
        <w:t>Exxon-Mobil</w:t>
      </w:r>
      <w:r>
        <w:rPr>
          <w:color w:val="231F20"/>
          <w:spacing w:val="-33"/>
          <w:w w:val="110"/>
        </w:rPr>
        <w:t> </w:t>
      </w:r>
      <w:r>
        <w:rPr>
          <w:color w:val="231F20"/>
          <w:w w:val="110"/>
        </w:rPr>
        <w:t>y</w:t>
      </w:r>
      <w:r>
        <w:rPr>
          <w:color w:val="231F20"/>
          <w:spacing w:val="-33"/>
          <w:w w:val="110"/>
        </w:rPr>
        <w:t> </w:t>
      </w:r>
      <w:r>
        <w:rPr>
          <w:color w:val="231F20"/>
          <w:w w:val="110"/>
        </w:rPr>
        <w:t>Repsol</w:t>
      </w:r>
      <w:r>
        <w:rPr>
          <w:color w:val="231F20"/>
          <w:spacing w:val="-33"/>
          <w:w w:val="110"/>
        </w:rPr>
        <w:t> </w:t>
      </w:r>
      <w:r>
        <w:rPr>
          <w:color w:val="231F20"/>
          <w:w w:val="110"/>
        </w:rPr>
        <w:t>“avanzan”.</w:t>
      </w:r>
      <w:r>
        <w:rPr>
          <w:color w:val="231F20"/>
          <w:w w:val="102"/>
        </w:rPr>
        <w:t> </w:t>
      </w:r>
      <w:r>
        <w:rPr>
          <w:color w:val="231F20"/>
          <w:w w:val="110"/>
        </w:rPr>
        <w:t>“Por vez primera en decenios”; dice el New </w:t>
      </w:r>
      <w:r>
        <w:rPr>
          <w:color w:val="231F20"/>
          <w:spacing w:val="-3"/>
          <w:w w:val="110"/>
        </w:rPr>
        <w:t>York </w:t>
      </w:r>
      <w:r>
        <w:rPr>
          <w:color w:val="231F20"/>
          <w:w w:val="110"/>
        </w:rPr>
        <w:t>Times,</w:t>
      </w:r>
      <w:r>
        <w:rPr>
          <w:color w:val="231F20"/>
          <w:spacing w:val="39"/>
          <w:w w:val="110"/>
        </w:rPr>
        <w:t> </w:t>
      </w:r>
      <w:r>
        <w:rPr>
          <w:color w:val="231F20"/>
          <w:w w:val="110"/>
        </w:rPr>
        <w:t>“el</w:t>
      </w:r>
      <w:r>
        <w:rPr>
          <w:color w:val="231F20"/>
          <w:spacing w:val="9"/>
          <w:w w:val="110"/>
        </w:rPr>
        <w:t> </w:t>
      </w:r>
      <w:r>
        <w:rPr>
          <w:color w:val="231F20"/>
          <w:w w:val="110"/>
        </w:rPr>
        <w:t>botín</w:t>
      </w:r>
      <w:r>
        <w:rPr>
          <w:color w:val="231F20"/>
          <w:w w:val="110"/>
          <w:position w:val="6"/>
          <w:sz w:val="13"/>
        </w:rPr>
        <w:t>6</w:t>
      </w:r>
      <w:r>
        <w:rPr>
          <w:color w:val="231F20"/>
          <w:w w:val="104"/>
          <w:position w:val="6"/>
          <w:sz w:val="13"/>
        </w:rPr>
        <w:t> </w:t>
      </w:r>
      <w:r>
        <w:rPr>
          <w:color w:val="231F20"/>
          <w:w w:val="110"/>
        </w:rPr>
        <w:t>de la energía global puede estar localizado en las</w:t>
      </w:r>
      <w:r>
        <w:rPr>
          <w:color w:val="231F20"/>
          <w:spacing w:val="28"/>
          <w:w w:val="110"/>
        </w:rPr>
        <w:t> </w:t>
      </w:r>
      <w:r>
        <w:rPr>
          <w:color w:val="231F20"/>
          <w:w w:val="110"/>
        </w:rPr>
        <w:t>Américas,</w:t>
      </w:r>
      <w:r>
        <w:rPr>
          <w:color w:val="231F20"/>
          <w:spacing w:val="15"/>
          <w:w w:val="110"/>
        </w:rPr>
        <w:t> </w:t>
      </w:r>
      <w:r>
        <w:rPr>
          <w:color w:val="231F20"/>
          <w:w w:val="110"/>
        </w:rPr>
        <w:t>donde</w:t>
      </w:r>
      <w:r>
        <w:rPr>
          <w:color w:val="231F20"/>
          <w:w w:val="115"/>
        </w:rPr>
        <w:t> </w:t>
      </w:r>
      <w:r>
        <w:rPr>
          <w:color w:val="231F20"/>
          <w:w w:val="110"/>
        </w:rPr>
        <w:t>las compañías occidentales redirigen su mirada en una</w:t>
      </w:r>
      <w:r>
        <w:rPr>
          <w:color w:val="231F20"/>
          <w:spacing w:val="42"/>
          <w:w w:val="110"/>
        </w:rPr>
        <w:t> </w:t>
      </w:r>
      <w:r>
        <w:rPr>
          <w:color w:val="231F20"/>
          <w:w w:val="110"/>
        </w:rPr>
        <w:t>carrera</w:t>
      </w:r>
      <w:r>
        <w:rPr>
          <w:color w:val="231F20"/>
          <w:spacing w:val="12"/>
          <w:w w:val="110"/>
        </w:rPr>
        <w:t> </w:t>
      </w:r>
      <w:r>
        <w:rPr>
          <w:color w:val="231F20"/>
          <w:w w:val="110"/>
        </w:rPr>
        <w:t>para</w:t>
      </w:r>
      <w:r>
        <w:rPr>
          <w:color w:val="231F20"/>
          <w:w w:val="112"/>
        </w:rPr>
        <w:t> </w:t>
      </w:r>
      <w:r>
        <w:rPr>
          <w:color w:val="231F20"/>
          <w:w w:val="110"/>
        </w:rPr>
        <w:t>explorar</w:t>
      </w:r>
      <w:r>
        <w:rPr>
          <w:color w:val="231F20"/>
          <w:spacing w:val="-16"/>
          <w:w w:val="110"/>
        </w:rPr>
        <w:t> </w:t>
      </w:r>
      <w:r>
        <w:rPr>
          <w:color w:val="231F20"/>
          <w:w w:val="110"/>
        </w:rPr>
        <w:t>las</w:t>
      </w:r>
      <w:r>
        <w:rPr>
          <w:color w:val="231F20"/>
          <w:spacing w:val="-16"/>
          <w:w w:val="110"/>
        </w:rPr>
        <w:t> </w:t>
      </w:r>
      <w:r>
        <w:rPr>
          <w:color w:val="231F20"/>
          <w:w w:val="110"/>
        </w:rPr>
        <w:t>pistas</w:t>
      </w:r>
      <w:r>
        <w:rPr>
          <w:color w:val="231F20"/>
          <w:spacing w:val="-16"/>
          <w:w w:val="110"/>
        </w:rPr>
        <w:t> </w:t>
      </w:r>
      <w:r>
        <w:rPr>
          <w:color w:val="231F20"/>
          <w:w w:val="110"/>
        </w:rPr>
        <w:t>de</w:t>
      </w:r>
      <w:r>
        <w:rPr>
          <w:color w:val="231F20"/>
          <w:spacing w:val="-16"/>
          <w:w w:val="110"/>
        </w:rPr>
        <w:t> </w:t>
      </w:r>
      <w:r>
        <w:rPr>
          <w:color w:val="231F20"/>
          <w:w w:val="110"/>
        </w:rPr>
        <w:t>codiciados</w:t>
      </w:r>
      <w:r>
        <w:rPr>
          <w:color w:val="231F20"/>
          <w:spacing w:val="-16"/>
          <w:w w:val="110"/>
        </w:rPr>
        <w:t> </w:t>
      </w:r>
      <w:r>
        <w:rPr>
          <w:color w:val="231F20"/>
          <w:w w:val="110"/>
        </w:rPr>
        <w:t>campos</w:t>
      </w:r>
      <w:r>
        <w:rPr>
          <w:color w:val="231F20"/>
          <w:spacing w:val="-16"/>
          <w:w w:val="110"/>
        </w:rPr>
        <w:t> </w:t>
      </w:r>
      <w:r>
        <w:rPr>
          <w:color w:val="231F20"/>
          <w:w w:val="110"/>
        </w:rPr>
        <w:t>petroleros”</w:t>
      </w:r>
      <w:r>
        <w:rPr>
          <w:color w:val="231F20"/>
          <w:spacing w:val="-20"/>
          <w:w w:val="110"/>
        </w:rPr>
        <w:t> </w:t>
      </w:r>
      <w:r>
        <w:rPr>
          <w:color w:val="231F20"/>
          <w:w w:val="110"/>
        </w:rPr>
        <w:t>(Romero,</w:t>
      </w:r>
      <w:r>
        <w:rPr>
          <w:color w:val="231F20"/>
          <w:spacing w:val="-16"/>
          <w:w w:val="110"/>
        </w:rPr>
        <w:t> </w:t>
      </w:r>
      <w:r>
        <w:rPr>
          <w:color w:val="231F20"/>
          <w:w w:val="110"/>
        </w:rPr>
        <w:t>2011).</w:t>
      </w:r>
      <w:r>
        <w:rPr>
          <w:color w:val="231F20"/>
          <w:w w:val="107"/>
        </w:rPr>
        <w:t> </w:t>
      </w:r>
      <w:r>
        <w:rPr>
          <w:color w:val="231F20"/>
          <w:w w:val="110"/>
        </w:rPr>
        <w:t>Como</w:t>
      </w:r>
      <w:r>
        <w:rPr>
          <w:color w:val="231F20"/>
          <w:spacing w:val="22"/>
          <w:w w:val="110"/>
        </w:rPr>
        <w:t> </w:t>
      </w:r>
      <w:r>
        <w:rPr>
          <w:color w:val="231F20"/>
          <w:w w:val="110"/>
        </w:rPr>
        <w:t>el</w:t>
      </w:r>
      <w:r>
        <w:rPr>
          <w:color w:val="231F20"/>
          <w:spacing w:val="22"/>
          <w:w w:val="110"/>
        </w:rPr>
        <w:t> </w:t>
      </w:r>
      <w:r>
        <w:rPr>
          <w:color w:val="231F20"/>
          <w:w w:val="110"/>
        </w:rPr>
        <w:t>Pentágono,</w:t>
      </w:r>
      <w:r>
        <w:rPr>
          <w:color w:val="231F20"/>
          <w:spacing w:val="22"/>
          <w:w w:val="110"/>
        </w:rPr>
        <w:t> </w:t>
      </w:r>
      <w:r>
        <w:rPr>
          <w:color w:val="231F20"/>
          <w:w w:val="110"/>
        </w:rPr>
        <w:t>la</w:t>
      </w:r>
      <w:r>
        <w:rPr>
          <w:color w:val="231F20"/>
          <w:spacing w:val="22"/>
          <w:w w:val="110"/>
        </w:rPr>
        <w:t> </w:t>
      </w:r>
      <w:r>
        <w:rPr>
          <w:color w:val="231F20"/>
          <w:w w:val="110"/>
        </w:rPr>
        <w:t>cia</w:t>
      </w:r>
      <w:r>
        <w:rPr>
          <w:color w:val="231F20"/>
          <w:spacing w:val="22"/>
          <w:w w:val="110"/>
        </w:rPr>
        <w:t> </w:t>
      </w:r>
      <w:r>
        <w:rPr>
          <w:color w:val="231F20"/>
          <w:w w:val="110"/>
        </w:rPr>
        <w:t>y</w:t>
      </w:r>
      <w:r>
        <w:rPr>
          <w:color w:val="231F20"/>
          <w:spacing w:val="22"/>
          <w:w w:val="110"/>
        </w:rPr>
        <w:t> </w:t>
      </w:r>
      <w:r>
        <w:rPr>
          <w:color w:val="231F20"/>
          <w:w w:val="110"/>
        </w:rPr>
        <w:t>las</w:t>
      </w:r>
      <w:r>
        <w:rPr>
          <w:color w:val="231F20"/>
          <w:spacing w:val="22"/>
          <w:w w:val="110"/>
        </w:rPr>
        <w:t> </w:t>
      </w:r>
      <w:r>
        <w:rPr>
          <w:color w:val="231F20"/>
          <w:w w:val="110"/>
        </w:rPr>
        <w:t>firmas</w:t>
      </w:r>
      <w:r>
        <w:rPr>
          <w:color w:val="231F20"/>
          <w:spacing w:val="22"/>
          <w:w w:val="110"/>
        </w:rPr>
        <w:t> </w:t>
      </w:r>
      <w:r>
        <w:rPr>
          <w:color w:val="231F20"/>
          <w:w w:val="110"/>
        </w:rPr>
        <w:t>petroleras</w:t>
      </w:r>
      <w:r>
        <w:rPr>
          <w:color w:val="231F20"/>
          <w:spacing w:val="22"/>
          <w:w w:val="110"/>
        </w:rPr>
        <w:t> </w:t>
      </w:r>
      <w:r>
        <w:rPr>
          <w:color w:val="231F20"/>
          <w:w w:val="110"/>
        </w:rPr>
        <w:t>operan</w:t>
      </w:r>
      <w:r>
        <w:rPr>
          <w:color w:val="231F20"/>
          <w:spacing w:val="22"/>
          <w:w w:val="110"/>
        </w:rPr>
        <w:t> </w:t>
      </w:r>
      <w:r>
        <w:rPr>
          <w:color w:val="231F20"/>
          <w:w w:val="110"/>
        </w:rPr>
        <w:t>desde</w:t>
      </w:r>
      <w:r>
        <w:rPr>
          <w:color w:val="231F20"/>
          <w:w w:val="110"/>
        </w:rPr>
        <w:t> </w:t>
      </w:r>
      <w:r>
        <w:rPr>
          <w:color w:val="231F20"/>
          <w:w w:val="110"/>
        </w:rPr>
        <w:t>una</w:t>
      </w:r>
      <w:r>
        <w:rPr>
          <w:color w:val="231F20"/>
          <w:spacing w:val="-26"/>
          <w:w w:val="110"/>
        </w:rPr>
        <w:t> </w:t>
      </w:r>
      <w:r>
        <w:rPr>
          <w:color w:val="231F20"/>
          <w:w w:val="110"/>
        </w:rPr>
        <w:t>acentuada</w:t>
      </w:r>
      <w:r>
        <w:rPr>
          <w:color w:val="231F20"/>
          <w:spacing w:val="-26"/>
          <w:w w:val="110"/>
        </w:rPr>
        <w:t> </w:t>
      </w:r>
      <w:r>
        <w:rPr>
          <w:color w:val="231F20"/>
          <w:w w:val="110"/>
        </w:rPr>
        <w:t>“simbiosis”,</w:t>
      </w:r>
      <w:r>
        <w:rPr>
          <w:color w:val="231F20"/>
          <w:spacing w:val="-26"/>
          <w:w w:val="110"/>
        </w:rPr>
        <w:t> </w:t>
      </w:r>
      <w:r>
        <w:rPr>
          <w:color w:val="231F20"/>
          <w:w w:val="110"/>
        </w:rPr>
        <w:t>son</w:t>
      </w:r>
      <w:r>
        <w:rPr>
          <w:color w:val="231F20"/>
          <w:spacing w:val="-26"/>
          <w:w w:val="110"/>
        </w:rPr>
        <w:t> </w:t>
      </w:r>
      <w:r>
        <w:rPr>
          <w:color w:val="231F20"/>
          <w:w w:val="110"/>
        </w:rPr>
        <w:t>muy</w:t>
      </w:r>
      <w:r>
        <w:rPr>
          <w:color w:val="231F20"/>
          <w:spacing w:val="-26"/>
          <w:w w:val="110"/>
        </w:rPr>
        <w:t> </w:t>
      </w:r>
      <w:r>
        <w:rPr>
          <w:color w:val="231F20"/>
          <w:w w:val="110"/>
        </w:rPr>
        <w:t>graves</w:t>
      </w:r>
      <w:r>
        <w:rPr>
          <w:color w:val="231F20"/>
          <w:spacing w:val="-26"/>
          <w:w w:val="110"/>
        </w:rPr>
        <w:t> </w:t>
      </w:r>
      <w:r>
        <w:rPr>
          <w:color w:val="231F20"/>
          <w:w w:val="110"/>
        </w:rPr>
        <w:t>las</w:t>
      </w:r>
      <w:r>
        <w:rPr>
          <w:color w:val="231F20"/>
          <w:spacing w:val="-26"/>
          <w:w w:val="110"/>
        </w:rPr>
        <w:t> </w:t>
      </w:r>
      <w:r>
        <w:rPr>
          <w:color w:val="231F20"/>
          <w:w w:val="110"/>
        </w:rPr>
        <w:t>consecuencias</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ge-</w:t>
      </w:r>
      <w:r>
        <w:rPr>
          <w:color w:val="231F20"/>
          <w:w w:val="72"/>
        </w:rPr>
        <w:t> </w:t>
      </w:r>
      <w:r>
        <w:rPr>
          <w:color w:val="231F20"/>
          <w:w w:val="110"/>
        </w:rPr>
        <w:t>neralización</w:t>
      </w:r>
      <w:r>
        <w:rPr>
          <w:color w:val="231F20"/>
          <w:spacing w:val="-18"/>
          <w:w w:val="110"/>
        </w:rPr>
        <w:t> </w:t>
      </w:r>
      <w:r>
        <w:rPr>
          <w:color w:val="231F20"/>
          <w:w w:val="110"/>
        </w:rPr>
        <w:t>hacia</w:t>
      </w:r>
      <w:r>
        <w:rPr>
          <w:color w:val="231F20"/>
          <w:spacing w:val="-18"/>
          <w:w w:val="110"/>
        </w:rPr>
        <w:t> </w:t>
      </w:r>
      <w:r>
        <w:rPr>
          <w:color w:val="231F20"/>
          <w:w w:val="110"/>
        </w:rPr>
        <w:t>“las</w:t>
      </w:r>
      <w:r>
        <w:rPr>
          <w:color w:val="231F20"/>
          <w:spacing w:val="-18"/>
          <w:w w:val="110"/>
        </w:rPr>
        <w:t> </w:t>
      </w:r>
      <w:r>
        <w:rPr>
          <w:color w:val="231F20"/>
          <w:w w:val="110"/>
        </w:rPr>
        <w:t>Américas”</w:t>
      </w:r>
      <w:r>
        <w:rPr>
          <w:color w:val="231F20"/>
          <w:spacing w:val="-18"/>
          <w:w w:val="110"/>
        </w:rPr>
        <w:t> </w:t>
      </w:r>
      <w:r>
        <w:rPr>
          <w:color w:val="231F20"/>
          <w:w w:val="110"/>
        </w:rPr>
        <w:t>de</w:t>
      </w:r>
      <w:r>
        <w:rPr>
          <w:color w:val="231F20"/>
          <w:spacing w:val="-18"/>
          <w:w w:val="110"/>
        </w:rPr>
        <w:t> </w:t>
      </w:r>
      <w:r>
        <w:rPr>
          <w:color w:val="231F20"/>
          <w:w w:val="110"/>
        </w:rPr>
        <w:t>estos</w:t>
      </w:r>
      <w:r>
        <w:rPr>
          <w:color w:val="231F20"/>
          <w:spacing w:val="-18"/>
          <w:w w:val="110"/>
        </w:rPr>
        <w:t> </w:t>
      </w:r>
      <w:r>
        <w:rPr>
          <w:color w:val="231F20"/>
          <w:w w:val="110"/>
        </w:rPr>
        <w:t>y</w:t>
      </w:r>
      <w:r>
        <w:rPr>
          <w:color w:val="231F20"/>
          <w:spacing w:val="-18"/>
          <w:w w:val="110"/>
        </w:rPr>
        <w:t> </w:t>
      </w:r>
      <w:r>
        <w:rPr>
          <w:color w:val="231F20"/>
          <w:w w:val="110"/>
        </w:rPr>
        <w:t>muchos</w:t>
      </w:r>
      <w:r>
        <w:rPr>
          <w:color w:val="231F20"/>
          <w:spacing w:val="-18"/>
          <w:w w:val="110"/>
        </w:rPr>
        <w:t> </w:t>
      </w:r>
      <w:r>
        <w:rPr>
          <w:color w:val="231F20"/>
          <w:w w:val="110"/>
        </w:rPr>
        <w:t>otros</w:t>
      </w:r>
      <w:r>
        <w:rPr>
          <w:color w:val="231F20"/>
          <w:spacing w:val="-18"/>
          <w:w w:val="110"/>
        </w:rPr>
        <w:t> </w:t>
      </w:r>
      <w:r>
        <w:rPr>
          <w:color w:val="231F20"/>
          <w:w w:val="110"/>
        </w:rPr>
        <w:t>“premios”,</w:t>
      </w:r>
      <w:r>
        <w:rPr>
          <w:color w:val="231F20"/>
          <w:w w:val="105"/>
        </w:rPr>
        <w:t> </w:t>
      </w:r>
      <w:r>
        <w:rPr>
          <w:color w:val="231F20"/>
          <w:w w:val="110"/>
        </w:rPr>
        <w:t>“negocios”, “presas” o “botines” que, además de petróleo</w:t>
      </w:r>
      <w:r>
        <w:rPr>
          <w:color w:val="231F20"/>
          <w:spacing w:val="22"/>
          <w:w w:val="110"/>
        </w:rPr>
        <w:t> </w:t>
      </w:r>
      <w:r>
        <w:rPr>
          <w:color w:val="231F20"/>
          <w:w w:val="110"/>
        </w:rPr>
        <w:t>y</w:t>
      </w:r>
      <w:r>
        <w:rPr>
          <w:color w:val="231F20"/>
          <w:spacing w:val="2"/>
          <w:w w:val="110"/>
        </w:rPr>
        <w:t> </w:t>
      </w:r>
      <w:r>
        <w:rPr>
          <w:color w:val="231F20"/>
          <w:w w:val="110"/>
        </w:rPr>
        <w:t>minera-</w:t>
      </w:r>
      <w:r>
        <w:rPr>
          <w:color w:val="231F20"/>
          <w:w w:val="72"/>
        </w:rPr>
        <w:t> </w:t>
      </w:r>
      <w:r>
        <w:rPr>
          <w:color w:val="231F20"/>
          <w:w w:val="110"/>
        </w:rPr>
        <w:t>les, incluyen biodiversidad, agua, mercados, mano de</w:t>
      </w:r>
      <w:r>
        <w:rPr>
          <w:color w:val="231F20"/>
          <w:spacing w:val="8"/>
          <w:w w:val="110"/>
        </w:rPr>
        <w:t> </w:t>
      </w:r>
      <w:r>
        <w:rPr>
          <w:color w:val="231F20"/>
          <w:w w:val="110"/>
        </w:rPr>
        <w:t>obra</w:t>
      </w:r>
      <w:r>
        <w:rPr>
          <w:color w:val="231F20"/>
          <w:spacing w:val="24"/>
          <w:w w:val="110"/>
        </w:rPr>
        <w:t> </w:t>
      </w:r>
      <w:r>
        <w:rPr>
          <w:color w:val="231F20"/>
          <w:w w:val="110"/>
        </w:rPr>
        <w:t>barata,</w:t>
      </w:r>
      <w:r>
        <w:rPr>
          <w:color w:val="231F20"/>
          <w:w w:val="110"/>
        </w:rPr>
        <w:t> </w:t>
      </w:r>
      <w:r>
        <w:rPr>
          <w:color w:val="231F20"/>
          <w:w w:val="110"/>
        </w:rPr>
        <w:t>utilización de los espacios para basura tóxica, etc.</w:t>
      </w:r>
      <w:r>
        <w:rPr>
          <w:color w:val="231F20"/>
          <w:spacing w:val="42"/>
          <w:w w:val="110"/>
        </w:rPr>
        <w:t> </w:t>
      </w:r>
      <w:r>
        <w:rPr>
          <w:color w:val="231F20"/>
          <w:w w:val="110"/>
        </w:rPr>
        <w:t>Esas</w:t>
      </w:r>
      <w:r>
        <w:rPr>
          <w:color w:val="231F20"/>
          <w:spacing w:val="5"/>
          <w:w w:val="110"/>
        </w:rPr>
        <w:t> </w:t>
      </w:r>
      <w:r>
        <w:rPr>
          <w:color w:val="231F20"/>
          <w:w w:val="110"/>
        </w:rPr>
        <w:t>operaciones</w:t>
      </w:r>
      <w:r>
        <w:rPr>
          <w:color w:val="231F20"/>
          <w:w w:val="110"/>
        </w:rPr>
        <w:t> </w:t>
      </w:r>
      <w:r>
        <w:rPr>
          <w:color w:val="231F20"/>
          <w:w w:val="110"/>
        </w:rPr>
        <w:t>traen</w:t>
      </w:r>
      <w:r>
        <w:rPr>
          <w:color w:val="231F20"/>
          <w:spacing w:val="34"/>
          <w:w w:val="110"/>
        </w:rPr>
        <w:t> </w:t>
      </w:r>
      <w:r>
        <w:rPr>
          <w:color w:val="231F20"/>
          <w:w w:val="110"/>
        </w:rPr>
        <w:t>consigo,</w:t>
      </w:r>
      <w:r>
        <w:rPr>
          <w:color w:val="231F20"/>
          <w:spacing w:val="34"/>
          <w:w w:val="110"/>
        </w:rPr>
        <w:t> </w:t>
      </w:r>
      <w:r>
        <w:rPr>
          <w:color w:val="231F20"/>
          <w:w w:val="110"/>
        </w:rPr>
        <w:t>entre</w:t>
      </w:r>
      <w:r>
        <w:rPr>
          <w:color w:val="231F20"/>
          <w:spacing w:val="34"/>
          <w:w w:val="110"/>
        </w:rPr>
        <w:t> </w:t>
      </w:r>
      <w:r>
        <w:rPr>
          <w:color w:val="231F20"/>
          <w:w w:val="110"/>
        </w:rPr>
        <w:t>otros</w:t>
      </w:r>
      <w:r>
        <w:rPr>
          <w:color w:val="231F20"/>
          <w:spacing w:val="34"/>
          <w:w w:val="110"/>
        </w:rPr>
        <w:t> </w:t>
      </w:r>
      <w:r>
        <w:rPr>
          <w:color w:val="231F20"/>
          <w:w w:val="110"/>
        </w:rPr>
        <w:t>elementos</w:t>
      </w:r>
      <w:r>
        <w:rPr>
          <w:color w:val="231F20"/>
          <w:spacing w:val="34"/>
          <w:w w:val="110"/>
        </w:rPr>
        <w:t> </w:t>
      </w:r>
      <w:r>
        <w:rPr>
          <w:color w:val="231F20"/>
          <w:w w:val="110"/>
        </w:rPr>
        <w:t>a</w:t>
      </w:r>
      <w:r>
        <w:rPr>
          <w:color w:val="231F20"/>
          <w:spacing w:val="34"/>
          <w:w w:val="110"/>
        </w:rPr>
        <w:t> </w:t>
      </w:r>
      <w:r>
        <w:rPr>
          <w:color w:val="231F20"/>
          <w:w w:val="110"/>
        </w:rPr>
        <w:t>considerar</w:t>
      </w:r>
      <w:r>
        <w:rPr>
          <w:color w:val="231F20"/>
          <w:spacing w:val="34"/>
          <w:w w:val="110"/>
        </w:rPr>
        <w:t> </w:t>
      </w:r>
      <w:r>
        <w:rPr>
          <w:color w:val="231F20"/>
          <w:w w:val="110"/>
        </w:rPr>
        <w:t>con</w:t>
      </w:r>
      <w:r>
        <w:rPr>
          <w:color w:val="231F20"/>
          <w:spacing w:val="34"/>
          <w:w w:val="110"/>
        </w:rPr>
        <w:t> </w:t>
      </w:r>
      <w:r>
        <w:rPr>
          <w:color w:val="231F20"/>
          <w:w w:val="110"/>
        </w:rPr>
        <w:t>atención,</w:t>
      </w:r>
      <w:r>
        <w:rPr>
          <w:color w:val="231F20"/>
          <w:spacing w:val="34"/>
          <w:w w:val="110"/>
        </w:rPr>
        <w:t> </w:t>
      </w:r>
      <w:r>
        <w:rPr>
          <w:color w:val="231F20"/>
          <w:w w:val="110"/>
        </w:rPr>
        <w:t>y</w:t>
      </w:r>
      <w:r>
        <w:rPr>
          <w:color w:val="231F20"/>
          <w:w w:val="84"/>
        </w:rPr>
        <w:t> </w:t>
      </w:r>
      <w:r>
        <w:rPr>
          <w:color w:val="231F20"/>
          <w:w w:val="110"/>
        </w:rPr>
        <w:t>al realizar la lectura de este volumen, una “sombrilla</w:t>
      </w:r>
      <w:r>
        <w:rPr>
          <w:color w:val="231F20"/>
          <w:spacing w:val="25"/>
          <w:w w:val="110"/>
        </w:rPr>
        <w:t> </w:t>
      </w:r>
      <w:r>
        <w:rPr>
          <w:color w:val="231F20"/>
          <w:w w:val="110"/>
        </w:rPr>
        <w:t>de</w:t>
      </w:r>
      <w:r>
        <w:rPr>
          <w:color w:val="231F20"/>
          <w:spacing w:val="8"/>
          <w:w w:val="110"/>
        </w:rPr>
        <w:t> </w:t>
      </w:r>
      <w:r>
        <w:rPr>
          <w:color w:val="231F20"/>
          <w:w w:val="110"/>
        </w:rPr>
        <w:t>seguridad”</w:t>
      </w:r>
      <w:r>
        <w:rPr>
          <w:color w:val="231F20"/>
          <w:w w:val="108"/>
        </w:rPr>
        <w:t> </w:t>
      </w:r>
      <w:r>
        <w:rPr>
          <w:color w:val="231F20"/>
          <w:w w:val="110"/>
        </w:rPr>
        <w:t>que opera bajo diseños de intervención —en el proceso de</w:t>
      </w:r>
      <w:r>
        <w:rPr>
          <w:color w:val="231F20"/>
          <w:spacing w:val="45"/>
          <w:w w:val="110"/>
        </w:rPr>
        <w:t> </w:t>
      </w:r>
      <w:r>
        <w:rPr>
          <w:color w:val="231F20"/>
          <w:w w:val="110"/>
        </w:rPr>
        <w:t>toma</w:t>
      </w:r>
      <w:r>
        <w:rPr>
          <w:color w:val="231F20"/>
          <w:spacing w:val="10"/>
          <w:w w:val="110"/>
        </w:rPr>
        <w:t> </w:t>
      </w:r>
      <w:r>
        <w:rPr>
          <w:color w:val="231F20"/>
          <w:w w:val="110"/>
        </w:rPr>
        <w:t>de</w:t>
      </w:r>
      <w:r>
        <w:rPr>
          <w:color w:val="231F20"/>
          <w:w w:val="114"/>
        </w:rPr>
        <w:t> </w:t>
      </w:r>
      <w:r>
        <w:rPr>
          <w:color w:val="231F20"/>
          <w:w w:val="110"/>
        </w:rPr>
        <w:t>decisiones en materia de seguridad— y de ocupación. Es</w:t>
      </w:r>
      <w:r>
        <w:rPr>
          <w:color w:val="231F20"/>
          <w:spacing w:val="-23"/>
          <w:w w:val="110"/>
        </w:rPr>
        <w:t> </w:t>
      </w:r>
      <w:r>
        <w:rPr>
          <w:color w:val="231F20"/>
          <w:w w:val="110"/>
        </w:rPr>
        <w:t>un</w:t>
      </w:r>
      <w:r>
        <w:rPr>
          <w:color w:val="231F20"/>
          <w:spacing w:val="-3"/>
          <w:w w:val="110"/>
        </w:rPr>
        <w:t> </w:t>
      </w:r>
      <w:r>
        <w:rPr>
          <w:color w:val="231F20"/>
          <w:w w:val="110"/>
        </w:rPr>
        <w:t>proceso</w:t>
      </w:r>
      <w:r>
        <w:rPr>
          <w:color w:val="231F20"/>
          <w:w w:val="109"/>
        </w:rPr>
        <w:t> </w:t>
      </w:r>
      <w:r>
        <w:rPr>
          <w:color w:val="231F20"/>
          <w:w w:val="110"/>
        </w:rPr>
        <w:t>en curso, como lo puede observar quien revise los trabajos</w:t>
      </w:r>
      <w:r>
        <w:rPr>
          <w:color w:val="231F20"/>
          <w:spacing w:val="4"/>
          <w:w w:val="110"/>
        </w:rPr>
        <w:t> </w:t>
      </w:r>
      <w:r>
        <w:rPr>
          <w:color w:val="231F20"/>
          <w:w w:val="110"/>
        </w:rPr>
        <w:t>y</w:t>
      </w:r>
      <w:r>
        <w:rPr>
          <w:color w:val="231F20"/>
          <w:spacing w:val="6"/>
          <w:w w:val="110"/>
        </w:rPr>
        <w:t> </w:t>
      </w:r>
      <w:r>
        <w:rPr>
          <w:color w:val="231F20"/>
          <w:w w:val="110"/>
        </w:rPr>
        <w:t>mapas</w:t>
      </w:r>
      <w:r>
        <w:rPr>
          <w:color w:val="231F20"/>
          <w:w w:val="108"/>
        </w:rPr>
        <w:t> </w:t>
      </w:r>
      <w:r>
        <w:rPr>
          <w:color w:val="231F20"/>
          <w:w w:val="110"/>
        </w:rPr>
        <w:t>elaborados por Ana Esther Ceceña y Gian Carlo Delgado,</w:t>
      </w:r>
      <w:r>
        <w:rPr>
          <w:color w:val="231F20"/>
          <w:spacing w:val="2"/>
          <w:w w:val="110"/>
        </w:rPr>
        <w:t> </w:t>
      </w:r>
      <w:r>
        <w:rPr>
          <w:color w:val="231F20"/>
          <w:w w:val="110"/>
        </w:rPr>
        <w:t>sobre</w:t>
      </w:r>
      <w:r>
        <w:rPr>
          <w:color w:val="231F20"/>
          <w:spacing w:val="6"/>
          <w:w w:val="110"/>
        </w:rPr>
        <w:t> </w:t>
      </w:r>
      <w:r>
        <w:rPr>
          <w:color w:val="231F20"/>
          <w:w w:val="110"/>
        </w:rPr>
        <w:t>los</w:t>
      </w:r>
      <w:r>
        <w:rPr>
          <w:color w:val="231F20"/>
          <w:w w:val="102"/>
        </w:rPr>
        <w:t> </w:t>
      </w:r>
      <w:r>
        <w:rPr>
          <w:color w:val="231F20"/>
          <w:w w:val="110"/>
        </w:rPr>
        <w:t>recursos</w:t>
      </w:r>
      <w:r>
        <w:rPr>
          <w:color w:val="231F20"/>
          <w:spacing w:val="-7"/>
          <w:w w:val="110"/>
        </w:rPr>
        <w:t> </w:t>
      </w:r>
      <w:r>
        <w:rPr>
          <w:color w:val="231F20"/>
          <w:w w:val="110"/>
        </w:rPr>
        <w:t>naturales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crecientes</w:t>
      </w:r>
      <w:r>
        <w:rPr>
          <w:color w:val="231F20"/>
          <w:spacing w:val="-7"/>
          <w:w w:val="110"/>
        </w:rPr>
        <w:t> </w:t>
      </w:r>
      <w:r>
        <w:rPr>
          <w:color w:val="231F20"/>
          <w:w w:val="110"/>
        </w:rPr>
        <w:t>despliegues</w:t>
      </w:r>
      <w:r>
        <w:rPr>
          <w:color w:val="231F20"/>
          <w:spacing w:val="-7"/>
          <w:w w:val="110"/>
        </w:rPr>
        <w:t> </w:t>
      </w:r>
      <w:r>
        <w:rPr>
          <w:color w:val="231F20"/>
          <w:w w:val="110"/>
        </w:rPr>
        <w:t>militares</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región,</w:t>
      </w:r>
      <w:r>
        <w:rPr>
          <w:color w:val="231F20"/>
          <w:w w:val="111"/>
        </w:rPr>
        <w:t> </w:t>
      </w:r>
      <w:r>
        <w:rPr>
          <w:color w:val="231F20"/>
          <w:w w:val="110"/>
        </w:rPr>
        <w:t>pues</w:t>
      </w:r>
      <w:r>
        <w:rPr>
          <w:color w:val="231F20"/>
          <w:spacing w:val="-11"/>
          <w:w w:val="110"/>
        </w:rPr>
        <w:t> </w:t>
      </w:r>
      <w:r>
        <w:rPr>
          <w:color w:val="231F20"/>
          <w:w w:val="110"/>
        </w:rPr>
        <w:t>además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“Cuarta</w:t>
      </w:r>
      <w:r>
        <w:rPr>
          <w:color w:val="231F20"/>
          <w:spacing w:val="-11"/>
          <w:w w:val="110"/>
        </w:rPr>
        <w:t> </w:t>
      </w:r>
      <w:r>
        <w:rPr>
          <w:color w:val="231F20"/>
          <w:w w:val="110"/>
        </w:rPr>
        <w:t>Flota”,</w:t>
      </w:r>
      <w:r>
        <w:rPr>
          <w:color w:val="231F20"/>
          <w:spacing w:val="-11"/>
          <w:w w:val="110"/>
        </w:rPr>
        <w:t> </w:t>
      </w:r>
      <w:r>
        <w:rPr>
          <w:color w:val="231F20"/>
          <w:w w:val="110"/>
        </w:rPr>
        <w:t>se</w:t>
      </w:r>
      <w:r>
        <w:rPr>
          <w:color w:val="231F20"/>
          <w:spacing w:val="-11"/>
          <w:w w:val="110"/>
        </w:rPr>
        <w:t> </w:t>
      </w:r>
      <w:r>
        <w:rPr>
          <w:color w:val="231F20"/>
          <w:w w:val="110"/>
        </w:rPr>
        <w:t>incluyen</w:t>
      </w:r>
      <w:r>
        <w:rPr>
          <w:color w:val="231F20"/>
          <w:spacing w:val="-11"/>
          <w:w w:val="110"/>
        </w:rPr>
        <w:t> </w:t>
      </w:r>
      <w:r>
        <w:rPr>
          <w:color w:val="231F20"/>
          <w:w w:val="110"/>
        </w:rPr>
        <w:t>bases</w:t>
      </w:r>
      <w:r>
        <w:rPr>
          <w:color w:val="231F20"/>
          <w:spacing w:val="-11"/>
          <w:w w:val="110"/>
        </w:rPr>
        <w:t> </w:t>
      </w:r>
      <w:r>
        <w:rPr>
          <w:color w:val="231F20"/>
          <w:w w:val="110"/>
        </w:rPr>
        <w:t>militares,</w:t>
      </w:r>
      <w:r>
        <w:rPr>
          <w:color w:val="231F20"/>
          <w:spacing w:val="-11"/>
          <w:w w:val="110"/>
        </w:rPr>
        <w:t> </w:t>
      </w:r>
      <w:r>
        <w:rPr>
          <w:color w:val="231F20"/>
          <w:w w:val="110"/>
        </w:rPr>
        <w:t>tropas,</w:t>
      </w:r>
      <w:r>
        <w:rPr>
          <w:color w:val="231F20"/>
          <w:w w:val="109"/>
        </w:rPr>
        <w:t> </w:t>
      </w:r>
      <w:r>
        <w:rPr>
          <w:color w:val="231F20"/>
          <w:w w:val="110"/>
        </w:rPr>
        <w:t>así como la incorporación de cuerpos de seguridad —civiles</w:t>
      </w:r>
      <w:r>
        <w:rPr>
          <w:color w:val="231F20"/>
          <w:spacing w:val="39"/>
          <w:w w:val="110"/>
        </w:rPr>
        <w:t> </w:t>
      </w:r>
      <w:r>
        <w:rPr>
          <w:color w:val="231F20"/>
          <w:w w:val="110"/>
        </w:rPr>
        <w:t>o</w:t>
      </w:r>
      <w:r>
        <w:rPr>
          <w:color w:val="231F20"/>
          <w:spacing w:val="4"/>
          <w:w w:val="110"/>
        </w:rPr>
        <w:t> </w:t>
      </w:r>
      <w:r>
        <w:rPr>
          <w:color w:val="231F20"/>
          <w:w w:val="110"/>
        </w:rPr>
        <w:t>mili-</w:t>
      </w:r>
      <w:r>
        <w:rPr>
          <w:color w:val="231F20"/>
          <w:w w:val="72"/>
        </w:rPr>
        <w:t> </w:t>
      </w:r>
      <w:r>
        <w:rPr>
          <w:color w:val="231F20"/>
          <w:w w:val="110"/>
        </w:rPr>
        <w:t>tares— de la región directamente en las partidas</w:t>
      </w:r>
      <w:r>
        <w:rPr>
          <w:color w:val="231F20"/>
          <w:spacing w:val="33"/>
          <w:w w:val="110"/>
        </w:rPr>
        <w:t> </w:t>
      </w:r>
      <w:r>
        <w:rPr>
          <w:color w:val="231F20"/>
          <w:w w:val="110"/>
        </w:rPr>
        <w:t>presupuestales</w:t>
      </w:r>
      <w:r>
        <w:rPr>
          <w:color w:val="231F20"/>
          <w:spacing w:val="11"/>
          <w:w w:val="110"/>
        </w:rPr>
        <w:t> </w:t>
      </w:r>
      <w:r>
        <w:rPr>
          <w:color w:val="231F20"/>
          <w:w w:val="110"/>
        </w:rPr>
        <w:t>del</w:t>
      </w:r>
      <w:r>
        <w:rPr>
          <w:color w:val="231F20"/>
          <w:w w:val="111"/>
        </w:rPr>
        <w:t> </w:t>
      </w:r>
      <w:r>
        <w:rPr>
          <w:color w:val="231F20"/>
          <w:w w:val="110"/>
        </w:rPr>
        <w:t>Departamento</w:t>
      </w:r>
      <w:r>
        <w:rPr>
          <w:color w:val="231F20"/>
          <w:spacing w:val="22"/>
          <w:w w:val="110"/>
        </w:rPr>
        <w:t> </w:t>
      </w:r>
      <w:r>
        <w:rPr>
          <w:color w:val="231F20"/>
          <w:w w:val="110"/>
        </w:rPr>
        <w:t>de</w:t>
      </w:r>
      <w:r>
        <w:rPr>
          <w:color w:val="231F20"/>
          <w:spacing w:val="22"/>
          <w:w w:val="110"/>
        </w:rPr>
        <w:t> </w:t>
      </w:r>
      <w:r>
        <w:rPr>
          <w:color w:val="231F20"/>
          <w:w w:val="110"/>
        </w:rPr>
        <w:t>Defensa.</w:t>
      </w:r>
      <w:r>
        <w:rPr>
          <w:color w:val="231F20"/>
          <w:spacing w:val="22"/>
          <w:w w:val="110"/>
        </w:rPr>
        <w:t> </w:t>
      </w:r>
      <w:r>
        <w:rPr>
          <w:color w:val="231F20"/>
          <w:w w:val="110"/>
        </w:rPr>
        <w:t>Muy</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usanza</w:t>
      </w:r>
      <w:r>
        <w:rPr>
          <w:color w:val="231F20"/>
          <w:spacing w:val="22"/>
          <w:w w:val="110"/>
        </w:rPr>
        <w:t> </w:t>
      </w:r>
      <w:r>
        <w:rPr>
          <w:color w:val="231F20"/>
          <w:w w:val="110"/>
        </w:rPr>
        <w:t>colonial</w:t>
      </w:r>
      <w:r>
        <w:rPr>
          <w:color w:val="231F20"/>
          <w:spacing w:val="22"/>
          <w:w w:val="110"/>
        </w:rPr>
        <w:t> </w:t>
      </w:r>
      <w:r>
        <w:rPr>
          <w:color w:val="231F20"/>
          <w:w w:val="110"/>
        </w:rPr>
        <w:t>británica</w:t>
      </w:r>
      <w:r>
        <w:rPr>
          <w:color w:val="231F20"/>
          <w:spacing w:val="22"/>
          <w:w w:val="110"/>
        </w:rPr>
        <w:t> </w:t>
      </w:r>
      <w:r>
        <w:rPr>
          <w:color w:val="231F20"/>
          <w:w w:val="110"/>
        </w:rPr>
        <w:t>con</w:t>
      </w:r>
    </w:p>
    <w:p>
      <w:pPr>
        <w:pStyle w:val="BodyText"/>
        <w:ind w:left="100" w:right="25"/>
      </w:pPr>
      <w:r>
        <w:rPr>
          <w:color w:val="231F20"/>
          <w:w w:val="105"/>
        </w:rPr>
        <w:t>los cipayos de la  India.</w:t>
      </w:r>
    </w:p>
    <w:p>
      <w:pPr>
        <w:pStyle w:val="BodyText"/>
      </w:pPr>
    </w:p>
    <w:p>
      <w:pPr>
        <w:pStyle w:val="BodyText"/>
      </w:pPr>
    </w:p>
    <w:p>
      <w:pPr>
        <w:pStyle w:val="BodyText"/>
        <w:spacing w:before="7"/>
        <w:rPr>
          <w:sz w:val="16"/>
        </w:rPr>
      </w:pPr>
    </w:p>
    <w:p>
      <w:pPr>
        <w:spacing w:line="261" w:lineRule="auto" w:before="1"/>
        <w:ind w:left="100" w:right="117" w:firstLine="240"/>
        <w:jc w:val="both"/>
        <w:rPr>
          <w:sz w:val="16"/>
        </w:rPr>
      </w:pPr>
      <w:r>
        <w:rPr>
          <w:color w:val="231F20"/>
          <w:w w:val="105"/>
          <w:position w:val="5"/>
          <w:sz w:val="10"/>
        </w:rPr>
        <w:t>6    </w:t>
      </w:r>
      <w:r>
        <w:rPr>
          <w:color w:val="231F20"/>
          <w:w w:val="105"/>
          <w:sz w:val="16"/>
        </w:rPr>
        <w:t>En el texto del </w:t>
      </w:r>
      <w:r>
        <w:rPr>
          <w:color w:val="231F20"/>
          <w:w w:val="110"/>
          <w:sz w:val="16"/>
        </w:rPr>
        <w:t>nyt </w:t>
      </w:r>
      <w:r>
        <w:rPr>
          <w:color w:val="231F20"/>
          <w:w w:val="105"/>
          <w:sz w:val="16"/>
        </w:rPr>
        <w:t>se dice. “The Prize” (en referencia a un libro de Yergin,      </w:t>
      </w:r>
      <w:r>
        <w:rPr>
          <w:color w:val="231F20"/>
          <w:spacing w:val="42"/>
          <w:w w:val="105"/>
          <w:sz w:val="16"/>
        </w:rPr>
        <w:t> </w:t>
      </w:r>
      <w:r>
        <w:rPr>
          <w:color w:val="231F20"/>
          <w:w w:val="105"/>
          <w:sz w:val="16"/>
        </w:rPr>
        <w:t>bajo ese título y cuya traducción formal es “premio, presa, botín”, </w:t>
      </w:r>
      <w:r>
        <w:rPr>
          <w:i/>
          <w:color w:val="231F20"/>
          <w:w w:val="105"/>
          <w:sz w:val="16"/>
        </w:rPr>
        <w:t>Spanish &amp; English </w:t>
      </w:r>
      <w:r>
        <w:rPr>
          <w:i/>
          <w:color w:val="231F20"/>
          <w:w w:val="105"/>
          <w:sz w:val="16"/>
        </w:rPr>
        <w:t>Dictionary</w:t>
      </w:r>
      <w:r>
        <w:rPr>
          <w:color w:val="231F20"/>
          <w:w w:val="105"/>
          <w:sz w:val="16"/>
        </w:rPr>
        <w:t>, Londres, Nueva York, Williams &amp; Holt, pp.</w:t>
      </w:r>
      <w:r>
        <w:rPr>
          <w:color w:val="231F20"/>
          <w:spacing w:val="2"/>
          <w:w w:val="105"/>
          <w:sz w:val="16"/>
        </w:rPr>
        <w:t> </w:t>
      </w:r>
      <w:r>
        <w:rPr>
          <w:color w:val="231F20"/>
          <w:w w:val="105"/>
          <w:sz w:val="16"/>
        </w:rPr>
        <w:t>422.</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Como</w:t>
      </w:r>
      <w:r>
        <w:rPr>
          <w:color w:val="231F20"/>
          <w:spacing w:val="-8"/>
          <w:w w:val="110"/>
        </w:rPr>
        <w:t> </w:t>
      </w:r>
      <w:r>
        <w:rPr>
          <w:color w:val="231F20"/>
          <w:w w:val="110"/>
        </w:rPr>
        <w:t>se</w:t>
      </w:r>
      <w:r>
        <w:rPr>
          <w:color w:val="231F20"/>
          <w:spacing w:val="-8"/>
          <w:w w:val="110"/>
        </w:rPr>
        <w:t> </w:t>
      </w:r>
      <w:r>
        <w:rPr>
          <w:color w:val="231F20"/>
          <w:w w:val="110"/>
        </w:rPr>
        <w:t>muestra</w:t>
      </w:r>
      <w:r>
        <w:rPr>
          <w:color w:val="231F20"/>
          <w:spacing w:val="-8"/>
          <w:w w:val="110"/>
        </w:rPr>
        <w:t> </w:t>
      </w:r>
      <w:r>
        <w:rPr>
          <w:i/>
          <w:color w:val="231F20"/>
          <w:w w:val="110"/>
        </w:rPr>
        <w:t>ad</w:t>
      </w:r>
      <w:r>
        <w:rPr>
          <w:i/>
          <w:color w:val="231F20"/>
          <w:spacing w:val="-8"/>
          <w:w w:val="110"/>
        </w:rPr>
        <w:t> </w:t>
      </w:r>
      <w:r>
        <w:rPr>
          <w:i/>
          <w:color w:val="231F20"/>
          <w:w w:val="110"/>
        </w:rPr>
        <w:t>nauseam</w:t>
      </w:r>
      <w:r>
        <w:rPr>
          <w:i/>
          <w:color w:val="231F20"/>
          <w:spacing w:val="-8"/>
          <w:w w:val="110"/>
        </w:rPr>
        <w:t> </w:t>
      </w:r>
      <w:r>
        <w:rPr>
          <w:color w:val="231F20"/>
          <w:w w:val="110"/>
        </w:rPr>
        <w:t>en</w:t>
      </w:r>
      <w:r>
        <w:rPr>
          <w:color w:val="231F20"/>
          <w:spacing w:val="-8"/>
          <w:w w:val="110"/>
        </w:rPr>
        <w:t> </w:t>
      </w:r>
      <w:r>
        <w:rPr>
          <w:color w:val="231F20"/>
          <w:w w:val="110"/>
        </w:rPr>
        <w:t>México,</w:t>
      </w:r>
      <w:r>
        <w:rPr>
          <w:color w:val="231F20"/>
          <w:spacing w:val="-8"/>
          <w:w w:val="110"/>
        </w:rPr>
        <w:t> </w:t>
      </w:r>
      <w:r>
        <w:rPr>
          <w:color w:val="231F20"/>
          <w:w w:val="110"/>
        </w:rPr>
        <w:t>de</w:t>
      </w:r>
      <w:r>
        <w:rPr>
          <w:color w:val="231F20"/>
          <w:spacing w:val="-8"/>
          <w:w w:val="110"/>
        </w:rPr>
        <w:t> </w:t>
      </w:r>
      <w:r>
        <w:rPr>
          <w:color w:val="231F20"/>
          <w:w w:val="110"/>
        </w:rPr>
        <w:t>extenderse</w:t>
      </w:r>
      <w:r>
        <w:rPr>
          <w:color w:val="231F20"/>
          <w:spacing w:val="-8"/>
          <w:w w:val="110"/>
        </w:rPr>
        <w:t> </w:t>
      </w:r>
      <w:r>
        <w:rPr>
          <w:color w:val="231F20"/>
          <w:w w:val="110"/>
        </w:rPr>
        <w:t>algo</w:t>
      </w:r>
      <w:r>
        <w:rPr>
          <w:color w:val="231F20"/>
          <w:spacing w:val="-8"/>
          <w:w w:val="110"/>
        </w:rPr>
        <w:t> </w:t>
      </w:r>
      <w:r>
        <w:rPr>
          <w:color w:val="231F20"/>
          <w:w w:val="110"/>
        </w:rPr>
        <w:t>lige- ramente aproximado, en Brasil o Argentina, a la “guerra irregular” auspiciada por Washington, como eje de su diseño diplo-militar en América Latina (me refiero a un esquema de intervención y ocupa- ción</w:t>
      </w:r>
      <w:r>
        <w:rPr>
          <w:color w:val="231F20"/>
          <w:spacing w:val="-9"/>
          <w:w w:val="110"/>
        </w:rPr>
        <w:t> </w:t>
      </w:r>
      <w:r>
        <w:rPr>
          <w:color w:val="231F20"/>
          <w:w w:val="110"/>
        </w:rPr>
        <w:t>que</w:t>
      </w:r>
      <w:r>
        <w:rPr>
          <w:color w:val="231F20"/>
          <w:spacing w:val="-9"/>
          <w:w w:val="110"/>
        </w:rPr>
        <w:t> </w:t>
      </w:r>
      <w:r>
        <w:rPr>
          <w:color w:val="231F20"/>
          <w:w w:val="110"/>
        </w:rPr>
        <w:t>opera</w:t>
      </w:r>
      <w:r>
        <w:rPr>
          <w:color w:val="231F20"/>
          <w:spacing w:val="-9"/>
          <w:w w:val="110"/>
        </w:rPr>
        <w:t> </w:t>
      </w:r>
      <w:r>
        <w:rPr>
          <w:color w:val="231F20"/>
          <w:w w:val="110"/>
        </w:rPr>
        <w:t>bajo</w:t>
      </w:r>
      <w:r>
        <w:rPr>
          <w:color w:val="231F20"/>
          <w:spacing w:val="-9"/>
          <w:w w:val="110"/>
        </w:rPr>
        <w:t> </w:t>
      </w:r>
      <w:r>
        <w:rPr>
          <w:color w:val="231F20"/>
          <w:w w:val="110"/>
        </w:rPr>
        <w:t>las</w:t>
      </w:r>
      <w:r>
        <w:rPr>
          <w:color w:val="231F20"/>
          <w:spacing w:val="-9"/>
          <w:w w:val="110"/>
        </w:rPr>
        <w:t> </w:t>
      </w:r>
      <w:r>
        <w:rPr>
          <w:color w:val="231F20"/>
          <w:w w:val="110"/>
        </w:rPr>
        <w:t>historias</w:t>
      </w:r>
      <w:r>
        <w:rPr>
          <w:color w:val="231F20"/>
          <w:spacing w:val="-9"/>
          <w:w w:val="110"/>
        </w:rPr>
        <w:t> </w:t>
      </w:r>
      <w:r>
        <w:rPr>
          <w:color w:val="231F20"/>
          <w:w w:val="110"/>
        </w:rPr>
        <w:t>de</w:t>
      </w:r>
      <w:r>
        <w:rPr>
          <w:color w:val="231F20"/>
          <w:spacing w:val="-9"/>
          <w:w w:val="110"/>
        </w:rPr>
        <w:t> </w:t>
      </w:r>
      <w:r>
        <w:rPr>
          <w:color w:val="231F20"/>
          <w:w w:val="110"/>
        </w:rPr>
        <w:t>coberturas</w:t>
      </w:r>
      <w:r>
        <w:rPr>
          <w:color w:val="231F20"/>
          <w:spacing w:val="-9"/>
          <w:w w:val="110"/>
        </w:rPr>
        <w:t> </w:t>
      </w:r>
      <w:r>
        <w:rPr>
          <w:color w:val="231F20"/>
          <w:w w:val="110"/>
        </w:rPr>
        <w:t>varias:</w:t>
      </w:r>
      <w:r>
        <w:rPr>
          <w:color w:val="231F20"/>
          <w:spacing w:val="-9"/>
          <w:w w:val="110"/>
        </w:rPr>
        <w:t> </w:t>
      </w:r>
      <w:r>
        <w:rPr>
          <w:color w:val="231F20"/>
          <w:w w:val="110"/>
        </w:rPr>
        <w:t>la</w:t>
      </w:r>
      <w:r>
        <w:rPr>
          <w:color w:val="231F20"/>
          <w:spacing w:val="-9"/>
          <w:w w:val="110"/>
        </w:rPr>
        <w:t> </w:t>
      </w:r>
      <w:r>
        <w:rPr>
          <w:color w:val="231F20"/>
          <w:w w:val="110"/>
        </w:rPr>
        <w:t>“guerra</w:t>
      </w:r>
      <w:r>
        <w:rPr>
          <w:color w:val="231F20"/>
          <w:spacing w:val="-9"/>
          <w:w w:val="110"/>
        </w:rPr>
        <w:t> </w:t>
      </w:r>
      <w:r>
        <w:rPr>
          <w:color w:val="231F20"/>
          <w:w w:val="110"/>
        </w:rPr>
        <w:t>anti- narcóticos” o “al crimen organizado”) del tipo protagonizado desde el</w:t>
      </w:r>
      <w:r>
        <w:rPr>
          <w:color w:val="231F20"/>
          <w:spacing w:val="-18"/>
          <w:w w:val="110"/>
        </w:rPr>
        <w:t> </w:t>
      </w:r>
      <w:r>
        <w:rPr>
          <w:color w:val="231F20"/>
          <w:w w:val="110"/>
        </w:rPr>
        <w:t>Comando</w:t>
      </w:r>
      <w:r>
        <w:rPr>
          <w:color w:val="231F20"/>
          <w:spacing w:val="-18"/>
          <w:w w:val="110"/>
        </w:rPr>
        <w:t> </w:t>
      </w:r>
      <w:r>
        <w:rPr>
          <w:color w:val="231F20"/>
          <w:w w:val="110"/>
        </w:rPr>
        <w:t>Sur</w:t>
      </w:r>
      <w:r>
        <w:rPr>
          <w:color w:val="231F20"/>
          <w:spacing w:val="-18"/>
          <w:w w:val="110"/>
        </w:rPr>
        <w:t> </w:t>
      </w:r>
      <w:r>
        <w:rPr>
          <w:color w:val="231F20"/>
          <w:w w:val="110"/>
        </w:rPr>
        <w:t>(“Plan</w:t>
      </w:r>
      <w:r>
        <w:rPr>
          <w:color w:val="231F20"/>
          <w:spacing w:val="-18"/>
          <w:w w:val="110"/>
        </w:rPr>
        <w:t> </w:t>
      </w:r>
      <w:r>
        <w:rPr>
          <w:color w:val="231F20"/>
          <w:w w:val="110"/>
        </w:rPr>
        <w:t>Colombia”)</w:t>
      </w:r>
      <w:r>
        <w:rPr>
          <w:color w:val="231F20"/>
          <w:spacing w:val="-18"/>
          <w:w w:val="110"/>
        </w:rPr>
        <w:t> </w:t>
      </w:r>
      <w:r>
        <w:rPr>
          <w:color w:val="231F20"/>
          <w:w w:val="110"/>
        </w:rPr>
        <w:t>y</w:t>
      </w:r>
      <w:r>
        <w:rPr>
          <w:color w:val="231F20"/>
          <w:spacing w:val="-18"/>
          <w:w w:val="110"/>
        </w:rPr>
        <w:t> </w:t>
      </w:r>
      <w:r>
        <w:rPr>
          <w:color w:val="231F20"/>
          <w:w w:val="110"/>
        </w:rPr>
        <w:t>del</w:t>
      </w:r>
      <w:r>
        <w:rPr>
          <w:color w:val="231F20"/>
          <w:spacing w:val="-18"/>
          <w:w w:val="110"/>
        </w:rPr>
        <w:t> </w:t>
      </w:r>
      <w:r>
        <w:rPr>
          <w:color w:val="231F20"/>
          <w:w w:val="110"/>
        </w:rPr>
        <w:t>Comando</w:t>
      </w:r>
      <w:r>
        <w:rPr>
          <w:color w:val="231F20"/>
          <w:spacing w:val="-18"/>
          <w:w w:val="110"/>
        </w:rPr>
        <w:t> </w:t>
      </w:r>
      <w:r>
        <w:rPr>
          <w:color w:val="231F20"/>
          <w:w w:val="110"/>
        </w:rPr>
        <w:t>Norte</w:t>
      </w:r>
      <w:r>
        <w:rPr>
          <w:color w:val="231F20"/>
          <w:spacing w:val="-18"/>
          <w:w w:val="110"/>
        </w:rPr>
        <w:t> </w:t>
      </w:r>
      <w:r>
        <w:rPr>
          <w:color w:val="231F20"/>
          <w:w w:val="110"/>
        </w:rPr>
        <w:t>(“Iniciativa Mérida”), las consecuencias serían devastadoras a cualquier</w:t>
      </w:r>
      <w:r>
        <w:rPr>
          <w:color w:val="231F20"/>
          <w:spacing w:val="-11"/>
          <w:w w:val="110"/>
        </w:rPr>
        <w:t> </w:t>
      </w:r>
      <w:r>
        <w:rPr>
          <w:color w:val="231F20"/>
          <w:w w:val="110"/>
        </w:rPr>
        <w:t>proceso encaminado a afianzar las soberanías nacionales y los instrumentos regionales de</w:t>
      </w:r>
      <w:r>
        <w:rPr>
          <w:color w:val="231F20"/>
          <w:spacing w:val="18"/>
          <w:w w:val="110"/>
        </w:rPr>
        <w:t> </w:t>
      </w:r>
      <w:r>
        <w:rPr>
          <w:color w:val="231F20"/>
          <w:w w:val="110"/>
        </w:rPr>
        <w:t>seguridad.</w:t>
      </w:r>
    </w:p>
    <w:p>
      <w:pPr>
        <w:pStyle w:val="BodyText"/>
        <w:spacing w:line="261" w:lineRule="auto"/>
        <w:ind w:left="100" w:right="112" w:firstLine="240"/>
        <w:jc w:val="both"/>
      </w:pPr>
      <w:r>
        <w:rPr>
          <w:color w:val="231F20"/>
          <w:w w:val="110"/>
        </w:rPr>
        <w:t>Debe quedar claro, como se deja de manifiesto en los planes de defensa nacional de varios países de la región, que, ante fuerzas militares tecnológicamente superiores, no existe más defensa y ca- pacidad de resistencia (por ejemplo en toda la cuenca Amazónica) que aquella que opera desde y con los fundamentos logísticos que  se sustentan en una población movilizada y en una construcción regional, del Bravo a la Patagonia. América Latina no acaba en el norte de Colombia. Asumir que Centroamérica, México y el Caribe son</w:t>
      </w:r>
      <w:r>
        <w:rPr>
          <w:color w:val="231F20"/>
          <w:spacing w:val="-11"/>
          <w:w w:val="110"/>
        </w:rPr>
        <w:t> </w:t>
      </w:r>
      <w:r>
        <w:rPr>
          <w:color w:val="231F20"/>
          <w:w w:val="110"/>
        </w:rPr>
        <w:t>“Norteamérica”,</w:t>
      </w:r>
      <w:r>
        <w:rPr>
          <w:color w:val="231F20"/>
          <w:spacing w:val="-11"/>
          <w:w w:val="110"/>
        </w:rPr>
        <w:t> </w:t>
      </w:r>
      <w:r>
        <w:rPr>
          <w:color w:val="231F20"/>
          <w:w w:val="110"/>
        </w:rPr>
        <w:t>deslindada</w:t>
      </w:r>
      <w:r>
        <w:rPr>
          <w:color w:val="231F20"/>
          <w:spacing w:val="-11"/>
          <w:w w:val="110"/>
        </w:rPr>
        <w:t> </w:t>
      </w:r>
      <w:r>
        <w:rPr>
          <w:color w:val="231F20"/>
          <w:w w:val="110"/>
        </w:rPr>
        <w:t>de</w:t>
      </w:r>
      <w:r>
        <w:rPr>
          <w:color w:val="231F20"/>
          <w:spacing w:val="-11"/>
          <w:w w:val="110"/>
        </w:rPr>
        <w:t> </w:t>
      </w:r>
      <w:r>
        <w:rPr>
          <w:color w:val="231F20"/>
          <w:w w:val="110"/>
        </w:rPr>
        <w:t>América</w:t>
      </w:r>
      <w:r>
        <w:rPr>
          <w:color w:val="231F20"/>
          <w:spacing w:val="-11"/>
          <w:w w:val="110"/>
        </w:rPr>
        <w:t> </w:t>
      </w:r>
      <w:r>
        <w:rPr>
          <w:color w:val="231F20"/>
          <w:w w:val="110"/>
        </w:rPr>
        <w:t>Latina,</w:t>
      </w:r>
      <w:r>
        <w:rPr>
          <w:color w:val="231F20"/>
          <w:spacing w:val="-11"/>
          <w:w w:val="110"/>
        </w:rPr>
        <w:t> </w:t>
      </w:r>
      <w:r>
        <w:rPr>
          <w:color w:val="231F20"/>
          <w:w w:val="110"/>
        </w:rPr>
        <w:t>es</w:t>
      </w:r>
      <w:r>
        <w:rPr>
          <w:color w:val="231F20"/>
          <w:spacing w:val="-11"/>
          <w:w w:val="110"/>
        </w:rPr>
        <w:t> </w:t>
      </w:r>
      <w:r>
        <w:rPr>
          <w:color w:val="231F20"/>
          <w:w w:val="110"/>
        </w:rPr>
        <w:t>un</w:t>
      </w:r>
      <w:r>
        <w:rPr>
          <w:color w:val="231F20"/>
          <w:spacing w:val="-11"/>
          <w:w w:val="110"/>
        </w:rPr>
        <w:t> </w:t>
      </w:r>
      <w:r>
        <w:rPr>
          <w:color w:val="231F20"/>
          <w:w w:val="110"/>
        </w:rPr>
        <w:t>grave</w:t>
      </w:r>
      <w:r>
        <w:rPr>
          <w:color w:val="231F20"/>
          <w:spacing w:val="-11"/>
          <w:w w:val="110"/>
        </w:rPr>
        <w:t> </w:t>
      </w:r>
      <w:r>
        <w:rPr>
          <w:color w:val="231F20"/>
          <w:w w:val="110"/>
        </w:rPr>
        <w:t>error histórico</w:t>
      </w:r>
      <w:r>
        <w:rPr>
          <w:color w:val="231F20"/>
          <w:spacing w:val="-25"/>
          <w:w w:val="110"/>
        </w:rPr>
        <w:t> </w:t>
      </w:r>
      <w:r>
        <w:rPr>
          <w:color w:val="231F20"/>
          <w:w w:val="110"/>
        </w:rPr>
        <w:t>y</w:t>
      </w:r>
      <w:r>
        <w:rPr>
          <w:color w:val="231F20"/>
          <w:spacing w:val="-25"/>
          <w:w w:val="110"/>
        </w:rPr>
        <w:t> </w:t>
      </w:r>
      <w:r>
        <w:rPr>
          <w:color w:val="231F20"/>
          <w:w w:val="110"/>
        </w:rPr>
        <w:t>estratégico.</w:t>
      </w:r>
      <w:r>
        <w:rPr>
          <w:color w:val="231F20"/>
          <w:spacing w:val="-25"/>
          <w:w w:val="110"/>
        </w:rPr>
        <w:t> </w:t>
      </w:r>
      <w:r>
        <w:rPr>
          <w:color w:val="231F20"/>
          <w:w w:val="110"/>
        </w:rPr>
        <w:t>Los</w:t>
      </w:r>
      <w:r>
        <w:rPr>
          <w:color w:val="231F20"/>
          <w:spacing w:val="-25"/>
          <w:w w:val="110"/>
        </w:rPr>
        <w:t> </w:t>
      </w:r>
      <w:r>
        <w:rPr>
          <w:color w:val="231F20"/>
          <w:w w:val="110"/>
        </w:rPr>
        <w:t>acontecimientos</w:t>
      </w:r>
      <w:r>
        <w:rPr>
          <w:color w:val="231F20"/>
          <w:spacing w:val="-25"/>
          <w:w w:val="110"/>
        </w:rPr>
        <w:t> </w:t>
      </w:r>
      <w:r>
        <w:rPr>
          <w:color w:val="231F20"/>
          <w:w w:val="110"/>
        </w:rPr>
        <w:t>y</w:t>
      </w:r>
      <w:r>
        <w:rPr>
          <w:color w:val="231F20"/>
          <w:spacing w:val="-25"/>
          <w:w w:val="110"/>
        </w:rPr>
        <w:t> </w:t>
      </w:r>
      <w:r>
        <w:rPr>
          <w:color w:val="231F20"/>
          <w:w w:val="110"/>
        </w:rPr>
        <w:t>despliegues</w:t>
      </w:r>
      <w:r>
        <w:rPr>
          <w:color w:val="231F20"/>
          <w:spacing w:val="-25"/>
          <w:w w:val="110"/>
        </w:rPr>
        <w:t> </w:t>
      </w:r>
      <w:r>
        <w:rPr>
          <w:color w:val="231F20"/>
          <w:w w:val="110"/>
        </w:rPr>
        <w:t>militares</w:t>
      </w:r>
      <w:r>
        <w:rPr>
          <w:color w:val="231F20"/>
          <w:spacing w:val="-25"/>
          <w:w w:val="110"/>
        </w:rPr>
        <w:t> </w:t>
      </w:r>
      <w:r>
        <w:rPr>
          <w:color w:val="231F20"/>
          <w:w w:val="110"/>
        </w:rPr>
        <w:t>de Estados</w:t>
      </w:r>
      <w:r>
        <w:rPr>
          <w:color w:val="231F20"/>
          <w:spacing w:val="-21"/>
          <w:w w:val="110"/>
        </w:rPr>
        <w:t> </w:t>
      </w:r>
      <w:r>
        <w:rPr>
          <w:color w:val="231F20"/>
          <w:w w:val="110"/>
        </w:rPr>
        <w:t>Unidos</w:t>
      </w:r>
      <w:r>
        <w:rPr>
          <w:color w:val="231F20"/>
          <w:spacing w:val="-21"/>
          <w:w w:val="110"/>
        </w:rPr>
        <w:t> </w:t>
      </w:r>
      <w:r>
        <w:rPr>
          <w:color w:val="231F20"/>
          <w:w w:val="110"/>
        </w:rPr>
        <w:t>muestran</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intención</w:t>
      </w:r>
      <w:r>
        <w:rPr>
          <w:color w:val="231F20"/>
          <w:spacing w:val="-21"/>
          <w:w w:val="110"/>
        </w:rPr>
        <w:t> </w:t>
      </w:r>
      <w:r>
        <w:rPr>
          <w:color w:val="231F20"/>
          <w:w w:val="110"/>
        </w:rPr>
        <w:t>de</w:t>
      </w:r>
      <w:r>
        <w:rPr>
          <w:color w:val="231F20"/>
          <w:spacing w:val="-21"/>
          <w:w w:val="110"/>
        </w:rPr>
        <w:t> </w:t>
      </w:r>
      <w:r>
        <w:rPr>
          <w:color w:val="231F20"/>
          <w:w w:val="110"/>
        </w:rPr>
        <w:t>fondo</w:t>
      </w:r>
      <w:r>
        <w:rPr>
          <w:color w:val="231F20"/>
          <w:spacing w:val="-21"/>
          <w:w w:val="110"/>
        </w:rPr>
        <w:t> </w:t>
      </w:r>
      <w:r>
        <w:rPr>
          <w:color w:val="231F20"/>
          <w:w w:val="110"/>
        </w:rPr>
        <w:t>de</w:t>
      </w:r>
      <w:r>
        <w:rPr>
          <w:color w:val="231F20"/>
          <w:spacing w:val="-21"/>
          <w:w w:val="110"/>
        </w:rPr>
        <w:t> </w:t>
      </w:r>
      <w:r>
        <w:rPr>
          <w:color w:val="231F20"/>
          <w:w w:val="110"/>
        </w:rPr>
        <w:t>Washington,</w:t>
      </w:r>
      <w:r>
        <w:rPr>
          <w:color w:val="231F20"/>
          <w:spacing w:val="-21"/>
          <w:w w:val="110"/>
        </w:rPr>
        <w:t> </w:t>
      </w:r>
      <w:r>
        <w:rPr>
          <w:color w:val="231F20"/>
          <w:w w:val="110"/>
        </w:rPr>
        <w:t>es mover la frontera estadunidense, del río Bravo al Amazonas y de</w:t>
      </w:r>
      <w:r>
        <w:rPr>
          <w:color w:val="231F20"/>
          <w:spacing w:val="-36"/>
          <w:w w:val="110"/>
        </w:rPr>
        <w:t> </w:t>
      </w:r>
      <w:r>
        <w:rPr>
          <w:color w:val="231F20"/>
          <w:w w:val="110"/>
        </w:rPr>
        <w:t>ahí al Cabo de Hornos. Para Washington la meta sigue siendo el control del</w:t>
      </w:r>
      <w:r>
        <w:rPr>
          <w:color w:val="231F20"/>
          <w:spacing w:val="-5"/>
          <w:w w:val="110"/>
        </w:rPr>
        <w:t> </w:t>
      </w:r>
      <w:r>
        <w:rPr>
          <w:color w:val="231F20"/>
          <w:w w:val="110"/>
        </w:rPr>
        <w:t>“hemisferio”,</w:t>
      </w:r>
      <w:r>
        <w:rPr>
          <w:color w:val="231F20"/>
          <w:spacing w:val="-5"/>
          <w:w w:val="110"/>
        </w:rPr>
        <w:t> </w:t>
      </w:r>
      <w:r>
        <w:rPr>
          <w:color w:val="231F20"/>
          <w:w w:val="110"/>
        </w:rPr>
        <w:t>de</w:t>
      </w:r>
      <w:r>
        <w:rPr>
          <w:color w:val="231F20"/>
          <w:spacing w:val="-5"/>
          <w:w w:val="110"/>
        </w:rPr>
        <w:t> </w:t>
      </w:r>
      <w:r>
        <w:rPr>
          <w:color w:val="231F20"/>
          <w:w w:val="110"/>
        </w:rPr>
        <w:t>polo</w:t>
      </w:r>
      <w:r>
        <w:rPr>
          <w:color w:val="231F20"/>
          <w:spacing w:val="-5"/>
          <w:w w:val="110"/>
        </w:rPr>
        <w:t> </w:t>
      </w:r>
      <w:r>
        <w:rPr>
          <w:color w:val="231F20"/>
          <w:w w:val="110"/>
        </w:rPr>
        <w:t>a</w:t>
      </w:r>
      <w:r>
        <w:rPr>
          <w:color w:val="231F20"/>
          <w:spacing w:val="-5"/>
          <w:w w:val="110"/>
        </w:rPr>
        <w:t> </w:t>
      </w:r>
      <w:r>
        <w:rPr>
          <w:color w:val="231F20"/>
          <w:w w:val="110"/>
        </w:rPr>
        <w:t>polo,</w:t>
      </w:r>
      <w:r>
        <w:rPr>
          <w:color w:val="231F20"/>
          <w:spacing w:val="-5"/>
          <w:w w:val="110"/>
        </w:rPr>
        <w:t> </w:t>
      </w:r>
      <w:r>
        <w:rPr>
          <w:color w:val="231F20"/>
          <w:w w:val="110"/>
        </w:rPr>
        <w:t>como</w:t>
      </w:r>
      <w:r>
        <w:rPr>
          <w:color w:val="231F20"/>
          <w:spacing w:val="-5"/>
          <w:w w:val="110"/>
        </w:rPr>
        <w:t> </w:t>
      </w:r>
      <w:r>
        <w:rPr>
          <w:color w:val="231F20"/>
          <w:w w:val="110"/>
        </w:rPr>
        <w:t>lo</w:t>
      </w:r>
      <w:r>
        <w:rPr>
          <w:color w:val="231F20"/>
          <w:spacing w:val="-5"/>
          <w:w w:val="110"/>
        </w:rPr>
        <w:t> </w:t>
      </w:r>
      <w:r>
        <w:rPr>
          <w:color w:val="231F20"/>
          <w:w w:val="110"/>
        </w:rPr>
        <w:t>reitera</w:t>
      </w:r>
      <w:r>
        <w:rPr>
          <w:color w:val="231F20"/>
          <w:spacing w:val="-5"/>
          <w:w w:val="110"/>
        </w:rPr>
        <w:t> </w:t>
      </w:r>
      <w:r>
        <w:rPr>
          <w:color w:val="231F20"/>
          <w:w w:val="110"/>
        </w:rPr>
        <w:t>ahora</w:t>
      </w:r>
      <w:r>
        <w:rPr>
          <w:color w:val="231F20"/>
          <w:spacing w:val="-5"/>
          <w:w w:val="110"/>
        </w:rPr>
        <w:t> </w:t>
      </w:r>
      <w:r>
        <w:rPr>
          <w:color w:val="231F20"/>
          <w:w w:val="110"/>
        </w:rPr>
        <w:t>el</w:t>
      </w:r>
      <w:r>
        <w:rPr>
          <w:color w:val="231F20"/>
          <w:spacing w:val="-5"/>
          <w:w w:val="110"/>
        </w:rPr>
        <w:t> </w:t>
      </w:r>
      <w:r>
        <w:rPr>
          <w:color w:val="231F20"/>
          <w:w w:val="110"/>
        </w:rPr>
        <w:t>alto</w:t>
      </w:r>
      <w:r>
        <w:rPr>
          <w:color w:val="231F20"/>
          <w:spacing w:val="-5"/>
          <w:w w:val="110"/>
        </w:rPr>
        <w:t> </w:t>
      </w:r>
      <w:r>
        <w:rPr>
          <w:color w:val="231F20"/>
          <w:w w:val="110"/>
        </w:rPr>
        <w:t>capital desde el nyt. Ante el orden de magnitud de las fuerzas que desata el agotamiento</w:t>
      </w:r>
      <w:r>
        <w:rPr>
          <w:color w:val="231F20"/>
          <w:spacing w:val="-8"/>
          <w:w w:val="110"/>
        </w:rPr>
        <w:t> </w:t>
      </w:r>
      <w:r>
        <w:rPr>
          <w:color w:val="231F20"/>
          <w:w w:val="110"/>
        </w:rPr>
        <w:t>de</w:t>
      </w:r>
      <w:r>
        <w:rPr>
          <w:color w:val="231F20"/>
          <w:spacing w:val="-8"/>
          <w:w w:val="110"/>
        </w:rPr>
        <w:t> </w:t>
      </w:r>
      <w:r>
        <w:rPr>
          <w:color w:val="231F20"/>
          <w:w w:val="110"/>
        </w:rPr>
        <w:t>recursos</w:t>
      </w:r>
      <w:r>
        <w:rPr>
          <w:color w:val="231F20"/>
          <w:spacing w:val="-8"/>
          <w:w w:val="110"/>
        </w:rPr>
        <w:t> </w:t>
      </w:r>
      <w:r>
        <w:rPr>
          <w:color w:val="231F20"/>
          <w:w w:val="110"/>
        </w:rPr>
        <w:t>naturales</w:t>
      </w:r>
      <w:r>
        <w:rPr>
          <w:color w:val="231F20"/>
          <w:spacing w:val="-8"/>
          <w:w w:val="110"/>
        </w:rPr>
        <w:t> </w:t>
      </w:r>
      <w:r>
        <w:rPr>
          <w:color w:val="231F20"/>
          <w:w w:val="110"/>
        </w:rPr>
        <w:t>esenciales</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w w:val="110"/>
        </w:rPr>
        <w:t>renovables,</w:t>
      </w:r>
      <w:r>
        <w:rPr>
          <w:color w:val="231F20"/>
          <w:spacing w:val="-8"/>
          <w:w w:val="110"/>
        </w:rPr>
        <w:t> </w:t>
      </w:r>
      <w:r>
        <w:rPr>
          <w:color w:val="231F20"/>
          <w:w w:val="110"/>
        </w:rPr>
        <w:t>y</w:t>
      </w:r>
      <w:r>
        <w:rPr>
          <w:color w:val="231F20"/>
          <w:spacing w:val="-8"/>
          <w:w w:val="110"/>
        </w:rPr>
        <w:t> </w:t>
      </w:r>
      <w:r>
        <w:rPr>
          <w:color w:val="231F20"/>
          <w:w w:val="110"/>
        </w:rPr>
        <w:t>dada la enorme disponibilidad de ellos en nuestra región, no hay posibili- dad</w:t>
      </w:r>
      <w:r>
        <w:rPr>
          <w:color w:val="231F20"/>
          <w:spacing w:val="-8"/>
          <w:w w:val="110"/>
        </w:rPr>
        <w:t> </w:t>
      </w:r>
      <w:r>
        <w:rPr>
          <w:color w:val="231F20"/>
          <w:w w:val="110"/>
        </w:rPr>
        <w:t>de</w:t>
      </w:r>
      <w:r>
        <w:rPr>
          <w:color w:val="231F20"/>
          <w:spacing w:val="-8"/>
          <w:w w:val="110"/>
        </w:rPr>
        <w:t> </w:t>
      </w:r>
      <w:r>
        <w:rPr>
          <w:color w:val="231F20"/>
          <w:w w:val="110"/>
        </w:rPr>
        <w:t>defensa,</w:t>
      </w:r>
      <w:r>
        <w:rPr>
          <w:color w:val="231F20"/>
          <w:spacing w:val="-8"/>
          <w:w w:val="110"/>
        </w:rPr>
        <w:t> </w:t>
      </w:r>
      <w:r>
        <w:rPr>
          <w:color w:val="231F20"/>
          <w:w w:val="110"/>
        </w:rPr>
        <w:t>ni</w:t>
      </w:r>
      <w:r>
        <w:rPr>
          <w:color w:val="231F20"/>
          <w:spacing w:val="-8"/>
          <w:w w:val="110"/>
        </w:rPr>
        <w:t> </w:t>
      </w:r>
      <w:r>
        <w:rPr>
          <w:color w:val="231F20"/>
          <w:w w:val="110"/>
        </w:rPr>
        <w:t>de</w:t>
      </w:r>
      <w:r>
        <w:rPr>
          <w:color w:val="231F20"/>
          <w:spacing w:val="-8"/>
          <w:w w:val="110"/>
        </w:rPr>
        <w:t> </w:t>
      </w:r>
      <w:r>
        <w:rPr>
          <w:color w:val="231F20"/>
          <w:w w:val="110"/>
        </w:rPr>
        <w:t>soberanía,</w:t>
      </w:r>
      <w:r>
        <w:rPr>
          <w:color w:val="231F20"/>
          <w:spacing w:val="-8"/>
          <w:w w:val="110"/>
        </w:rPr>
        <w:t> </w:t>
      </w:r>
      <w:r>
        <w:rPr>
          <w:color w:val="231F20"/>
          <w:w w:val="110"/>
        </w:rPr>
        <w:t>ni</w:t>
      </w:r>
      <w:r>
        <w:rPr>
          <w:color w:val="231F20"/>
          <w:spacing w:val="-8"/>
          <w:w w:val="110"/>
        </w:rPr>
        <w:t> </w:t>
      </w:r>
      <w:r>
        <w:rPr>
          <w:color w:val="231F20"/>
          <w:w w:val="110"/>
        </w:rPr>
        <w:t>de</w:t>
      </w:r>
      <w:r>
        <w:rPr>
          <w:color w:val="231F20"/>
          <w:spacing w:val="-8"/>
          <w:w w:val="110"/>
        </w:rPr>
        <w:t> </w:t>
      </w:r>
      <w:r>
        <w:rPr>
          <w:color w:val="231F20"/>
          <w:w w:val="110"/>
        </w:rPr>
        <w:t>disfrute</w:t>
      </w:r>
      <w:r>
        <w:rPr>
          <w:color w:val="231F20"/>
          <w:spacing w:val="-8"/>
          <w:w w:val="110"/>
        </w:rPr>
        <w:t> </w:t>
      </w:r>
      <w:r>
        <w:rPr>
          <w:color w:val="231F20"/>
          <w:w w:val="110"/>
        </w:rPr>
        <w:t>racional</w:t>
      </w:r>
      <w:r>
        <w:rPr>
          <w:color w:val="231F20"/>
          <w:spacing w:val="-8"/>
          <w:w w:val="110"/>
        </w:rPr>
        <w:t> </w:t>
      </w:r>
      <w:r>
        <w:rPr>
          <w:color w:val="231F20"/>
          <w:w w:val="110"/>
        </w:rPr>
        <w:t>de</w:t>
      </w:r>
      <w:r>
        <w:rPr>
          <w:color w:val="231F20"/>
          <w:spacing w:val="-8"/>
          <w:w w:val="110"/>
        </w:rPr>
        <w:t> </w:t>
      </w:r>
      <w:r>
        <w:rPr>
          <w:color w:val="231F20"/>
          <w:w w:val="110"/>
        </w:rPr>
        <w:t>esos</w:t>
      </w:r>
      <w:r>
        <w:rPr>
          <w:color w:val="231F20"/>
          <w:spacing w:val="-8"/>
          <w:w w:val="110"/>
        </w:rPr>
        <w:t> </w:t>
      </w:r>
      <w:r>
        <w:rPr>
          <w:color w:val="231F20"/>
          <w:w w:val="110"/>
        </w:rPr>
        <w:t>vastos recursos latinoamericanos, ni de un medio ambiente sano para criar las</w:t>
      </w:r>
      <w:r>
        <w:rPr>
          <w:color w:val="231F20"/>
          <w:spacing w:val="-11"/>
          <w:w w:val="110"/>
        </w:rPr>
        <w:t> </w:t>
      </w:r>
      <w:r>
        <w:rPr>
          <w:color w:val="231F20"/>
          <w:w w:val="110"/>
        </w:rPr>
        <w:t>nuevas</w:t>
      </w:r>
      <w:r>
        <w:rPr>
          <w:color w:val="231F20"/>
          <w:spacing w:val="-11"/>
          <w:w w:val="110"/>
        </w:rPr>
        <w:t> </w:t>
      </w:r>
      <w:r>
        <w:rPr>
          <w:color w:val="231F20"/>
          <w:w w:val="110"/>
        </w:rPr>
        <w:t>generaciones,</w:t>
      </w:r>
      <w:r>
        <w:rPr>
          <w:color w:val="231F20"/>
          <w:spacing w:val="-11"/>
          <w:w w:val="110"/>
        </w:rPr>
        <w:t> </w:t>
      </w:r>
      <w:r>
        <w:rPr>
          <w:color w:val="231F20"/>
          <w:w w:val="110"/>
        </w:rPr>
        <w:t>sin</w:t>
      </w:r>
      <w:r>
        <w:rPr>
          <w:color w:val="231F20"/>
          <w:spacing w:val="-11"/>
          <w:w w:val="110"/>
        </w:rPr>
        <w:t> </w:t>
      </w:r>
      <w:r>
        <w:rPr>
          <w:color w:val="231F20"/>
          <w:w w:val="110"/>
        </w:rPr>
        <w:t>gobiernos</w:t>
      </w:r>
      <w:r>
        <w:rPr>
          <w:color w:val="231F20"/>
          <w:spacing w:val="-11"/>
          <w:w w:val="110"/>
        </w:rPr>
        <w:t> </w:t>
      </w:r>
      <w:r>
        <w:rPr>
          <w:color w:val="231F20"/>
          <w:w w:val="110"/>
        </w:rPr>
        <w:t>que</w:t>
      </w:r>
      <w:r>
        <w:rPr>
          <w:color w:val="231F20"/>
          <w:spacing w:val="-11"/>
          <w:w w:val="110"/>
        </w:rPr>
        <w:t> </w:t>
      </w:r>
      <w:r>
        <w:rPr>
          <w:color w:val="231F20"/>
          <w:w w:val="110"/>
        </w:rPr>
        <w:t>emanen</w:t>
      </w:r>
      <w:r>
        <w:rPr>
          <w:color w:val="231F20"/>
          <w:spacing w:val="-11"/>
          <w:w w:val="110"/>
        </w:rPr>
        <w:t> </w:t>
      </w:r>
      <w:r>
        <w:rPr>
          <w:color w:val="231F20"/>
          <w:w w:val="110"/>
        </w:rPr>
        <w:t>de</w:t>
      </w:r>
      <w:r>
        <w:rPr>
          <w:color w:val="231F20"/>
          <w:spacing w:val="-11"/>
          <w:w w:val="110"/>
        </w:rPr>
        <w:t> </w:t>
      </w:r>
      <w:r>
        <w:rPr>
          <w:color w:val="231F20"/>
          <w:w w:val="110"/>
        </w:rPr>
        <w:t>y</w:t>
      </w:r>
      <w:r>
        <w:rPr>
          <w:color w:val="231F20"/>
          <w:spacing w:val="-11"/>
          <w:w w:val="110"/>
        </w:rPr>
        <w:t> </w:t>
      </w:r>
      <w:r>
        <w:rPr>
          <w:color w:val="231F20"/>
          <w:w w:val="110"/>
        </w:rPr>
        <w:t>cuenten</w:t>
      </w:r>
      <w:r>
        <w:rPr>
          <w:color w:val="231F20"/>
          <w:spacing w:val="-11"/>
          <w:w w:val="110"/>
        </w:rPr>
        <w:t> </w:t>
      </w:r>
      <w:r>
        <w:rPr>
          <w:color w:val="231F20"/>
          <w:w w:val="110"/>
        </w:rPr>
        <w:t>con, el</w:t>
      </w:r>
      <w:r>
        <w:rPr>
          <w:color w:val="231F20"/>
          <w:spacing w:val="-14"/>
          <w:w w:val="110"/>
        </w:rPr>
        <w:t> </w:t>
      </w:r>
      <w:r>
        <w:rPr>
          <w:color w:val="231F20"/>
          <w:w w:val="110"/>
        </w:rPr>
        <w:t>respaldo</w:t>
      </w:r>
      <w:r>
        <w:rPr>
          <w:color w:val="231F20"/>
          <w:spacing w:val="-14"/>
          <w:w w:val="110"/>
        </w:rPr>
        <w:t> </w:t>
      </w:r>
      <w:r>
        <w:rPr>
          <w:color w:val="231F20"/>
          <w:w w:val="110"/>
        </w:rPr>
        <w:t>continuo</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movimientos</w:t>
      </w:r>
      <w:r>
        <w:rPr>
          <w:color w:val="231F20"/>
          <w:spacing w:val="-14"/>
          <w:w w:val="110"/>
        </w:rPr>
        <w:t> </w:t>
      </w:r>
      <w:r>
        <w:rPr>
          <w:color w:val="231F20"/>
          <w:w w:val="110"/>
        </w:rPr>
        <w:t>populares.</w:t>
      </w:r>
      <w:r>
        <w:rPr>
          <w:color w:val="231F20"/>
          <w:spacing w:val="-14"/>
          <w:w w:val="110"/>
        </w:rPr>
        <w:t> </w:t>
      </w:r>
      <w:r>
        <w:rPr>
          <w:color w:val="231F20"/>
          <w:w w:val="110"/>
        </w:rPr>
        <w:t>Ellos</w:t>
      </w:r>
      <w:r>
        <w:rPr>
          <w:color w:val="231F20"/>
          <w:spacing w:val="-14"/>
          <w:w w:val="110"/>
        </w:rPr>
        <w:t> </w:t>
      </w:r>
      <w:r>
        <w:rPr>
          <w:color w:val="231F20"/>
          <w:w w:val="110"/>
        </w:rPr>
        <w:t>son</w:t>
      </w:r>
      <w:r>
        <w:rPr>
          <w:color w:val="231F20"/>
          <w:spacing w:val="-14"/>
          <w:w w:val="110"/>
        </w:rPr>
        <w:t> </w:t>
      </w:r>
      <w:r>
        <w:rPr>
          <w:color w:val="231F20"/>
          <w:w w:val="110"/>
        </w:rPr>
        <w:t>los</w:t>
      </w:r>
      <w:r>
        <w:rPr>
          <w:color w:val="231F20"/>
          <w:spacing w:val="-14"/>
          <w:w w:val="110"/>
        </w:rPr>
        <w:t> </w:t>
      </w:r>
      <w:r>
        <w:rPr>
          <w:color w:val="231F20"/>
          <w:w w:val="110"/>
        </w:rPr>
        <w:t>fun- damentos logísticos de la soberanía nacional y</w:t>
      </w:r>
      <w:r>
        <w:rPr>
          <w:color w:val="231F20"/>
          <w:spacing w:val="-37"/>
          <w:w w:val="110"/>
        </w:rPr>
        <w:t> </w:t>
      </w:r>
      <w:r>
        <w:rPr>
          <w:color w:val="231F20"/>
          <w:w w:val="110"/>
        </w:rPr>
        <w:t>regional.</w:t>
      </w:r>
    </w:p>
    <w:p>
      <w:pPr>
        <w:pStyle w:val="BodyText"/>
        <w:spacing w:line="261" w:lineRule="auto"/>
        <w:ind w:left="100" w:right="117" w:firstLine="240"/>
        <w:jc w:val="both"/>
      </w:pPr>
      <w:r>
        <w:rPr>
          <w:color w:val="231F20"/>
          <w:w w:val="110"/>
        </w:rPr>
        <w:t>Existen riesgos y también condiciones mundiales, regionales y locales para el fortalecimiento o la recuperación de la soberanía y el impulso</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intereses</w:t>
      </w:r>
      <w:r>
        <w:rPr>
          <w:color w:val="231F20"/>
          <w:spacing w:val="-8"/>
          <w:w w:val="110"/>
        </w:rPr>
        <w:t> </w:t>
      </w:r>
      <w:r>
        <w:rPr>
          <w:color w:val="231F20"/>
          <w:w w:val="110"/>
        </w:rPr>
        <w:t>públicos</w:t>
      </w:r>
      <w:r>
        <w:rPr>
          <w:color w:val="231F20"/>
          <w:spacing w:val="-8"/>
          <w:w w:val="110"/>
        </w:rPr>
        <w:t> </w:t>
      </w:r>
      <w:r>
        <w:rPr>
          <w:color w:val="231F20"/>
          <w:w w:val="110"/>
        </w:rPr>
        <w:t>nacionales</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construcción</w:t>
      </w:r>
      <w:r>
        <w:rPr>
          <w:color w:val="231F20"/>
          <w:spacing w:val="-8"/>
          <w:w w:val="110"/>
        </w:rPr>
        <w:t> </w:t>
      </w:r>
      <w:r>
        <w:rPr>
          <w:color w:val="231F20"/>
          <w:w w:val="110"/>
        </w:rPr>
        <w:t>de</w:t>
      </w:r>
      <w:r>
        <w:rPr>
          <w:color w:val="231F20"/>
          <w:spacing w:val="-8"/>
          <w:w w:val="110"/>
        </w:rPr>
        <w:t> </w:t>
      </w:r>
      <w:r>
        <w:rPr>
          <w:color w:val="231F20"/>
          <w:w w:val="110"/>
        </w:rPr>
        <w:t>una arquitectura orientada a preservar la presencia humana, bajo nuevas formas de construcción social alternativa, en todas las dimensiones incluyendo además la diplomática, económico-financiera,</w:t>
      </w:r>
      <w:r>
        <w:rPr>
          <w:color w:val="231F20"/>
          <w:spacing w:val="-18"/>
          <w:w w:val="110"/>
        </w:rPr>
        <w:t> </w:t>
      </w:r>
      <w:r>
        <w:rPr>
          <w:color w:val="231F20"/>
          <w:w w:val="110"/>
        </w:rPr>
        <w:t>monetaria y de seguridad.</w:t>
      </w:r>
    </w:p>
    <w:p>
      <w:pPr>
        <w:spacing w:after="0" w:line="261" w:lineRule="auto"/>
        <w:jc w:val="both"/>
        <w:sectPr>
          <w:headerReference w:type="even" r:id="rId44"/>
          <w:headerReference w:type="default" r:id="rId45"/>
          <w:pgSz w:w="7640" w:h="11900"/>
          <w:pgMar w:header="672" w:footer="0" w:top="860" w:bottom="280" w:left="780" w:right="640"/>
        </w:sectPr>
      </w:pPr>
    </w:p>
    <w:p>
      <w:pPr>
        <w:pStyle w:val="BodyText"/>
        <w:spacing w:before="8"/>
        <w:rPr>
          <w:sz w:val="8"/>
        </w:rPr>
      </w:pPr>
    </w:p>
    <w:p>
      <w:pPr>
        <w:pStyle w:val="BodyText"/>
        <w:spacing w:line="261" w:lineRule="auto" w:before="67"/>
        <w:ind w:left="100" w:right="116" w:firstLine="240"/>
        <w:jc w:val="both"/>
      </w:pPr>
      <w:r>
        <w:rPr>
          <w:color w:val="231F20"/>
          <w:w w:val="105"/>
        </w:rPr>
        <w:t>Es la hora latinoamericana. </w:t>
      </w:r>
      <w:r>
        <w:rPr>
          <w:color w:val="231F20"/>
          <w:spacing w:val="-3"/>
          <w:w w:val="105"/>
        </w:rPr>
        <w:t>Bolívar, </w:t>
      </w:r>
      <w:r>
        <w:rPr>
          <w:color w:val="231F20"/>
          <w:w w:val="105"/>
        </w:rPr>
        <w:t>Martí, Juárez, en vez de Jeffer- son y Monroe. Su mensaje: poner fin al uso de los latinoamericanos para derrotar a los latinoamericanos. </w:t>
      </w:r>
      <w:r>
        <w:rPr>
          <w:color w:val="231F20"/>
          <w:spacing w:val="-6"/>
          <w:w w:val="105"/>
        </w:rPr>
        <w:t>Tal </w:t>
      </w:r>
      <w:r>
        <w:rPr>
          <w:color w:val="231F20"/>
          <w:w w:val="105"/>
        </w:rPr>
        <w:t>ha sido el fundamento </w:t>
      </w:r>
      <w:r>
        <w:rPr>
          <w:color w:val="231F20"/>
          <w:spacing w:val="2"/>
          <w:w w:val="105"/>
        </w:rPr>
        <w:t>monroista </w:t>
      </w:r>
      <w:r>
        <w:rPr>
          <w:color w:val="231F20"/>
          <w:w w:val="105"/>
        </w:rPr>
        <w:t>de </w:t>
      </w:r>
      <w:r>
        <w:rPr>
          <w:color w:val="231F20"/>
          <w:spacing w:val="2"/>
          <w:w w:val="105"/>
        </w:rPr>
        <w:t>dominación </w:t>
      </w:r>
      <w:r>
        <w:rPr>
          <w:color w:val="231F20"/>
          <w:w w:val="105"/>
        </w:rPr>
        <w:t>en la </w:t>
      </w:r>
      <w:r>
        <w:rPr>
          <w:color w:val="231F20"/>
          <w:spacing w:val="2"/>
          <w:w w:val="105"/>
        </w:rPr>
        <w:t>región durante  </w:t>
      </w:r>
      <w:r>
        <w:rPr>
          <w:color w:val="231F20"/>
          <w:w w:val="105"/>
        </w:rPr>
        <w:t>los  </w:t>
      </w:r>
      <w:r>
        <w:rPr>
          <w:color w:val="231F20"/>
          <w:spacing w:val="2"/>
          <w:w w:val="105"/>
        </w:rPr>
        <w:t>últimos  </w:t>
      </w:r>
      <w:r>
        <w:rPr>
          <w:color w:val="231F20"/>
          <w:spacing w:val="3"/>
          <w:w w:val="105"/>
        </w:rPr>
        <w:t>dos</w:t>
      </w:r>
      <w:r>
        <w:rPr>
          <w:color w:val="231F20"/>
          <w:spacing w:val="58"/>
          <w:w w:val="105"/>
        </w:rPr>
        <w:t> </w:t>
      </w:r>
      <w:r>
        <w:rPr>
          <w:color w:val="231F20"/>
          <w:w w:val="105"/>
        </w:rPr>
        <w:t>siglos. La amalgama de intereses entre las clases dominantes de la metrópoli y la periferia es el  meollo  socio-económico  que  facilita este señorío. Los lazos oligárquico-imperiales de sujeción económica, empresarial y policial </w:t>
      </w:r>
      <w:r>
        <w:rPr>
          <w:color w:val="231F20"/>
          <w:spacing w:val="-3"/>
          <w:w w:val="105"/>
        </w:rPr>
        <w:t>militar,  </w:t>
      </w:r>
      <w:r>
        <w:rPr>
          <w:color w:val="231F20"/>
          <w:w w:val="105"/>
        </w:rPr>
        <w:t>se basan en la propensión histórica de  las oligarquías criollas a estar satisfechas y hasta propiciar arreglos de coparticipación en la apropiación del excedente y en el manejo fiscal, presupuestal y de seguridad de las naciones que depredan: ya hay condiciones y contradicciones para superar esa trabazón de   </w:t>
      </w:r>
      <w:r>
        <w:rPr>
          <w:color w:val="231F20"/>
          <w:spacing w:val="41"/>
          <w:w w:val="105"/>
        </w:rPr>
        <w:t> </w:t>
      </w:r>
      <w:r>
        <w:rPr>
          <w:color w:val="231F20"/>
          <w:w w:val="105"/>
        </w:rPr>
        <w:t>intereses.</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9" w:hanging="240"/>
        <w:jc w:val="both"/>
        <w:rPr>
          <w:sz w:val="18"/>
        </w:rPr>
      </w:pPr>
      <w:r>
        <w:rPr>
          <w:color w:val="231F20"/>
          <w:w w:val="105"/>
          <w:sz w:val="18"/>
        </w:rPr>
        <w:t>Agenda Estratégica y Recursos Naturales, 1984, México, cide, 17-21 de sep- tiembre.</w:t>
      </w:r>
    </w:p>
    <w:p>
      <w:pPr>
        <w:spacing w:line="254" w:lineRule="auto" w:before="1"/>
        <w:ind w:left="340" w:right="119" w:hanging="240"/>
        <w:jc w:val="both"/>
        <w:rPr>
          <w:sz w:val="18"/>
        </w:rPr>
      </w:pPr>
      <w:r>
        <w:rPr>
          <w:color w:val="231F20"/>
          <w:w w:val="105"/>
          <w:sz w:val="18"/>
        </w:rPr>
        <w:t>Beinstein, Jorge, 2011, “El comienzo del invierno global”, revista </w:t>
      </w:r>
      <w:r>
        <w:rPr>
          <w:i/>
          <w:color w:val="231F20"/>
          <w:w w:val="105"/>
          <w:sz w:val="18"/>
        </w:rPr>
        <w:t>Mercado</w:t>
      </w:r>
      <w:r>
        <w:rPr>
          <w:color w:val="231F20"/>
          <w:w w:val="105"/>
          <w:sz w:val="18"/>
        </w:rPr>
        <w:t>, Buenos  Aires, septiembre.</w:t>
      </w:r>
    </w:p>
    <w:p>
      <w:pPr>
        <w:spacing w:line="254" w:lineRule="auto" w:before="1"/>
        <w:ind w:left="340" w:right="119" w:hanging="240"/>
        <w:jc w:val="both"/>
        <w:rPr>
          <w:sz w:val="18"/>
        </w:rPr>
      </w:pPr>
      <w:r>
        <w:rPr>
          <w:color w:val="231F20"/>
          <w:w w:val="105"/>
          <w:sz w:val="18"/>
        </w:rPr>
        <w:t>González Casanova, Pablo, 1979, “La democracia en América Latina”, “Sába- do”, suplemento de </w:t>
      </w:r>
      <w:r>
        <w:rPr>
          <w:i/>
          <w:color w:val="231F20"/>
          <w:w w:val="105"/>
          <w:sz w:val="18"/>
        </w:rPr>
        <w:t>Unomásuno</w:t>
      </w:r>
      <w:r>
        <w:rPr>
          <w:color w:val="231F20"/>
          <w:w w:val="105"/>
          <w:sz w:val="18"/>
        </w:rPr>
        <w:t>, 8 de   diciembre.</w:t>
      </w:r>
    </w:p>
    <w:p>
      <w:pPr>
        <w:spacing w:before="1"/>
        <w:ind w:left="100" w:right="25" w:firstLine="0"/>
        <w:jc w:val="left"/>
        <w:rPr>
          <w:sz w:val="18"/>
        </w:rPr>
      </w:pPr>
      <w:r>
        <w:rPr>
          <w:color w:val="231F20"/>
          <w:w w:val="110"/>
          <w:sz w:val="18"/>
        </w:rPr>
        <w:t>Paulani, Leda M.  </w:t>
      </w:r>
      <w:hyperlink r:id="rId46">
        <w:r>
          <w:rPr>
            <w:color w:val="231F20"/>
            <w:w w:val="110"/>
            <w:sz w:val="18"/>
          </w:rPr>
          <w:t>&lt;http://rrpe.sagepub.com&gt;.</w:t>
        </w:r>
      </w:hyperlink>
    </w:p>
    <w:p>
      <w:pPr>
        <w:spacing w:line="254" w:lineRule="auto" w:before="13"/>
        <w:ind w:left="100" w:right="119" w:firstLine="0"/>
        <w:jc w:val="left"/>
        <w:rPr>
          <w:sz w:val="18"/>
        </w:rPr>
      </w:pPr>
      <w:r>
        <w:rPr>
          <w:color w:val="231F20"/>
          <w:w w:val="105"/>
          <w:sz w:val="18"/>
        </w:rPr>
        <w:t>Roberts, Paul, 2004, </w:t>
      </w:r>
      <w:r>
        <w:rPr>
          <w:i/>
          <w:color w:val="231F20"/>
          <w:w w:val="105"/>
          <w:sz w:val="18"/>
        </w:rPr>
        <w:t>The End of Oil</w:t>
      </w:r>
      <w:r>
        <w:rPr>
          <w:color w:val="231F20"/>
          <w:w w:val="105"/>
          <w:sz w:val="18"/>
        </w:rPr>
        <w:t>, Nueva York, Houghton Miffling. Romero, Simón, 2011, “New Fields May Propel Americas to </w:t>
      </w:r>
      <w:r>
        <w:rPr>
          <w:color w:val="231F20"/>
          <w:spacing w:val="-6"/>
          <w:w w:val="105"/>
          <w:sz w:val="18"/>
        </w:rPr>
        <w:t>Top </w:t>
      </w:r>
      <w:r>
        <w:rPr>
          <w:color w:val="231F20"/>
          <w:w w:val="105"/>
          <w:sz w:val="18"/>
        </w:rPr>
        <w:t>of Oil </w:t>
      </w:r>
      <w:r>
        <w:rPr>
          <w:color w:val="231F20"/>
          <w:spacing w:val="37"/>
          <w:w w:val="105"/>
          <w:sz w:val="18"/>
        </w:rPr>
        <w:t> </w:t>
      </w:r>
      <w:r>
        <w:rPr>
          <w:color w:val="231F20"/>
          <w:w w:val="105"/>
          <w:sz w:val="18"/>
        </w:rPr>
        <w:t>Com-</w:t>
      </w:r>
    </w:p>
    <w:p>
      <w:pPr>
        <w:spacing w:line="254" w:lineRule="auto" w:before="1"/>
        <w:ind w:left="340" w:right="25" w:firstLine="0"/>
        <w:jc w:val="left"/>
        <w:rPr>
          <w:sz w:val="18"/>
        </w:rPr>
      </w:pPr>
      <w:r>
        <w:rPr>
          <w:color w:val="231F20"/>
          <w:w w:val="105"/>
          <w:sz w:val="18"/>
        </w:rPr>
        <w:t>panies´ Lists”, </w:t>
      </w:r>
      <w:r>
        <w:rPr>
          <w:i/>
          <w:color w:val="231F20"/>
          <w:w w:val="105"/>
          <w:sz w:val="18"/>
        </w:rPr>
        <w:t>New York Times</w:t>
      </w:r>
      <w:r>
        <w:rPr>
          <w:color w:val="231F20"/>
          <w:w w:val="105"/>
          <w:sz w:val="18"/>
        </w:rPr>
        <w:t>, 19 de septiembre (disponible en &lt;</w:t>
      </w:r>
      <w:hyperlink r:id="rId47">
        <w:r>
          <w:rPr>
            <w:color w:val="231F20"/>
            <w:w w:val="105"/>
            <w:sz w:val="18"/>
          </w:rPr>
          <w:t>www.</w:t>
        </w:r>
      </w:hyperlink>
      <w:r>
        <w:rPr>
          <w:color w:val="231F20"/>
          <w:w w:val="105"/>
          <w:sz w:val="18"/>
        </w:rPr>
        <w:t> nytimes.com&gt;).</w:t>
      </w:r>
    </w:p>
    <w:p>
      <w:pPr>
        <w:spacing w:line="254" w:lineRule="auto" w:before="1"/>
        <w:ind w:left="340" w:right="118" w:hanging="240"/>
        <w:jc w:val="both"/>
        <w:rPr>
          <w:sz w:val="18"/>
        </w:rPr>
      </w:pPr>
      <w:r>
        <w:rPr>
          <w:color w:val="231F20"/>
          <w:w w:val="110"/>
          <w:sz w:val="18"/>
        </w:rPr>
        <w:t>Saxe-Fernández,</w:t>
      </w:r>
      <w:r>
        <w:rPr>
          <w:color w:val="231F20"/>
          <w:spacing w:val="-33"/>
          <w:w w:val="110"/>
          <w:sz w:val="18"/>
        </w:rPr>
        <w:t> </w:t>
      </w:r>
      <w:r>
        <w:rPr>
          <w:color w:val="231F20"/>
          <w:w w:val="110"/>
          <w:sz w:val="18"/>
        </w:rPr>
        <w:t>John,</w:t>
      </w:r>
      <w:r>
        <w:rPr>
          <w:color w:val="231F20"/>
          <w:spacing w:val="-33"/>
          <w:w w:val="110"/>
          <w:sz w:val="18"/>
        </w:rPr>
        <w:t> </w:t>
      </w:r>
      <w:r>
        <w:rPr>
          <w:color w:val="231F20"/>
          <w:w w:val="110"/>
          <w:sz w:val="18"/>
        </w:rPr>
        <w:t>1984,</w:t>
      </w:r>
      <w:r>
        <w:rPr>
          <w:color w:val="231F20"/>
          <w:spacing w:val="-33"/>
          <w:w w:val="110"/>
          <w:sz w:val="18"/>
        </w:rPr>
        <w:t> </w:t>
      </w:r>
      <w:r>
        <w:rPr>
          <w:color w:val="231F20"/>
          <w:w w:val="110"/>
          <w:sz w:val="18"/>
        </w:rPr>
        <w:t>“Estados</w:t>
      </w:r>
      <w:r>
        <w:rPr>
          <w:color w:val="231F20"/>
          <w:spacing w:val="-33"/>
          <w:w w:val="110"/>
          <w:sz w:val="18"/>
        </w:rPr>
        <w:t> </w:t>
      </w:r>
      <w:r>
        <w:rPr>
          <w:color w:val="231F20"/>
          <w:w w:val="110"/>
          <w:sz w:val="18"/>
        </w:rPr>
        <w:t>Unidos,</w:t>
      </w:r>
      <w:r>
        <w:rPr>
          <w:color w:val="231F20"/>
          <w:spacing w:val="-33"/>
          <w:w w:val="110"/>
          <w:sz w:val="18"/>
        </w:rPr>
        <w:t> </w:t>
      </w:r>
      <w:r>
        <w:rPr>
          <w:color w:val="231F20"/>
          <w:w w:val="110"/>
          <w:sz w:val="18"/>
        </w:rPr>
        <w:t>Perspectiva</w:t>
      </w:r>
      <w:r>
        <w:rPr>
          <w:color w:val="231F20"/>
          <w:spacing w:val="-33"/>
          <w:w w:val="110"/>
          <w:sz w:val="18"/>
        </w:rPr>
        <w:t> </w:t>
      </w:r>
      <w:r>
        <w:rPr>
          <w:color w:val="231F20"/>
          <w:w w:val="110"/>
          <w:sz w:val="18"/>
        </w:rPr>
        <w:t>Latinoamericana”, en</w:t>
      </w:r>
      <w:r>
        <w:rPr>
          <w:color w:val="231F20"/>
          <w:spacing w:val="-25"/>
          <w:w w:val="110"/>
          <w:sz w:val="18"/>
        </w:rPr>
        <w:t> </w:t>
      </w:r>
      <w:r>
        <w:rPr>
          <w:i/>
          <w:color w:val="231F20"/>
          <w:w w:val="110"/>
          <w:sz w:val="18"/>
        </w:rPr>
        <w:t>Cuadernos</w:t>
      </w:r>
      <w:r>
        <w:rPr>
          <w:i/>
          <w:color w:val="231F20"/>
          <w:spacing w:val="-25"/>
          <w:w w:val="110"/>
          <w:sz w:val="18"/>
        </w:rPr>
        <w:t> </w:t>
      </w:r>
      <w:r>
        <w:rPr>
          <w:i/>
          <w:color w:val="231F20"/>
          <w:w w:val="110"/>
          <w:sz w:val="18"/>
        </w:rPr>
        <w:t>Semestral</w:t>
      </w:r>
      <w:r>
        <w:rPr>
          <w:color w:val="231F20"/>
          <w:w w:val="110"/>
          <w:sz w:val="18"/>
        </w:rPr>
        <w:t>es,</w:t>
      </w:r>
      <w:r>
        <w:rPr>
          <w:color w:val="231F20"/>
          <w:spacing w:val="-25"/>
          <w:w w:val="110"/>
          <w:sz w:val="18"/>
        </w:rPr>
        <w:t> </w:t>
      </w:r>
      <w:r>
        <w:rPr>
          <w:color w:val="231F20"/>
          <w:w w:val="110"/>
          <w:sz w:val="18"/>
        </w:rPr>
        <w:t>México,</w:t>
      </w:r>
      <w:r>
        <w:rPr>
          <w:color w:val="231F20"/>
          <w:spacing w:val="-25"/>
          <w:w w:val="110"/>
          <w:sz w:val="18"/>
        </w:rPr>
        <w:t> </w:t>
      </w:r>
      <w:r>
        <w:rPr>
          <w:color w:val="231F20"/>
          <w:w w:val="110"/>
          <w:sz w:val="18"/>
        </w:rPr>
        <w:t>núm.</w:t>
      </w:r>
      <w:r>
        <w:rPr>
          <w:color w:val="231F20"/>
          <w:spacing w:val="-25"/>
          <w:w w:val="110"/>
          <w:sz w:val="18"/>
        </w:rPr>
        <w:t> </w:t>
      </w:r>
      <w:r>
        <w:rPr>
          <w:color w:val="231F20"/>
          <w:w w:val="110"/>
          <w:sz w:val="18"/>
        </w:rPr>
        <w:t>15,</w:t>
      </w:r>
      <w:r>
        <w:rPr>
          <w:color w:val="231F20"/>
          <w:spacing w:val="-25"/>
          <w:w w:val="110"/>
          <w:sz w:val="18"/>
        </w:rPr>
        <w:t> </w:t>
      </w:r>
      <w:r>
        <w:rPr>
          <w:color w:val="231F20"/>
          <w:w w:val="110"/>
          <w:sz w:val="18"/>
        </w:rPr>
        <w:t>enero-junio</w:t>
      </w:r>
      <w:r>
        <w:rPr>
          <w:color w:val="231F20"/>
          <w:spacing w:val="-25"/>
          <w:w w:val="110"/>
          <w:sz w:val="18"/>
        </w:rPr>
        <w:t> </w:t>
      </w:r>
      <w:r>
        <w:rPr>
          <w:color w:val="231F20"/>
          <w:w w:val="110"/>
          <w:sz w:val="18"/>
        </w:rPr>
        <w:t>de</w:t>
      </w:r>
      <w:r>
        <w:rPr>
          <w:color w:val="231F20"/>
          <w:spacing w:val="-25"/>
          <w:w w:val="110"/>
          <w:sz w:val="18"/>
        </w:rPr>
        <w:t> </w:t>
      </w:r>
      <w:r>
        <w:rPr>
          <w:color w:val="231F20"/>
          <w:w w:val="110"/>
          <w:sz w:val="18"/>
        </w:rPr>
        <w:t>1984,</w:t>
      </w:r>
      <w:r>
        <w:rPr>
          <w:color w:val="231F20"/>
          <w:spacing w:val="-25"/>
          <w:w w:val="110"/>
          <w:sz w:val="18"/>
        </w:rPr>
        <w:t> </w:t>
      </w:r>
      <w:r>
        <w:rPr>
          <w:color w:val="231F20"/>
          <w:w w:val="110"/>
          <w:sz w:val="18"/>
        </w:rPr>
        <w:t>pp.</w:t>
      </w:r>
      <w:r>
        <w:rPr>
          <w:color w:val="231F20"/>
          <w:spacing w:val="-25"/>
          <w:w w:val="110"/>
          <w:sz w:val="18"/>
        </w:rPr>
        <w:t> </w:t>
      </w:r>
      <w:r>
        <w:rPr>
          <w:color w:val="231F20"/>
          <w:w w:val="110"/>
          <w:sz w:val="18"/>
        </w:rPr>
        <w:t>129- 146.</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2006, “Recursos Naturales e Imperio”, </w:t>
      </w:r>
      <w:r>
        <w:rPr>
          <w:i/>
          <w:color w:val="231F20"/>
          <w:w w:val="105"/>
          <w:sz w:val="18"/>
        </w:rPr>
        <w:t>Nueva Sociedad</w:t>
      </w:r>
      <w:r>
        <w:rPr>
          <w:color w:val="231F20"/>
          <w:w w:val="105"/>
          <w:sz w:val="18"/>
        </w:rPr>
        <w:t>, núm. 199, septiembre.</w:t>
      </w:r>
    </w:p>
    <w:p>
      <w:pPr>
        <w:tabs>
          <w:tab w:pos="54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2008, “¿Reserva de EU?”, </w:t>
      </w:r>
      <w:r>
        <w:rPr>
          <w:i/>
          <w:color w:val="231F20"/>
          <w:w w:val="105"/>
          <w:sz w:val="18"/>
        </w:rPr>
        <w:t>La Jornada</w:t>
      </w:r>
      <w:r>
        <w:rPr>
          <w:color w:val="231F20"/>
          <w:w w:val="105"/>
          <w:sz w:val="18"/>
        </w:rPr>
        <w:t>, 9 de</w:t>
      </w:r>
      <w:r>
        <w:rPr>
          <w:color w:val="231F20"/>
          <w:spacing w:val="40"/>
          <w:w w:val="105"/>
          <w:sz w:val="18"/>
        </w:rPr>
        <w:t> </w:t>
      </w:r>
      <w:r>
        <w:rPr>
          <w:color w:val="231F20"/>
          <w:w w:val="105"/>
          <w:sz w:val="18"/>
        </w:rPr>
        <w:t>octubre.</w:t>
      </w:r>
    </w:p>
    <w:p>
      <w:pPr>
        <w:spacing w:line="220" w:lineRule="exact" w:before="5"/>
        <w:ind w:left="340" w:right="117" w:hanging="240"/>
        <w:jc w:val="both"/>
        <w:rPr>
          <w:sz w:val="18"/>
        </w:rPr>
      </w:pPr>
      <w:r>
        <w:rPr>
          <w:color w:val="231F20"/>
          <w:spacing w:val="-3"/>
          <w:w w:val="105"/>
          <w:sz w:val="18"/>
        </w:rPr>
        <w:t>Selser,</w:t>
      </w:r>
      <w:r>
        <w:rPr>
          <w:color w:val="231F20"/>
          <w:spacing w:val="-25"/>
          <w:w w:val="105"/>
          <w:sz w:val="18"/>
        </w:rPr>
        <w:t> </w:t>
      </w:r>
      <w:r>
        <w:rPr>
          <w:color w:val="231F20"/>
          <w:w w:val="105"/>
          <w:sz w:val="18"/>
        </w:rPr>
        <w:t>Gregorio,</w:t>
      </w:r>
      <w:r>
        <w:rPr>
          <w:color w:val="231F20"/>
          <w:spacing w:val="-25"/>
          <w:w w:val="105"/>
          <w:sz w:val="18"/>
        </w:rPr>
        <w:t> </w:t>
      </w:r>
      <w:r>
        <w:rPr>
          <w:color w:val="231F20"/>
          <w:w w:val="105"/>
          <w:sz w:val="18"/>
        </w:rPr>
        <w:t>1995,</w:t>
      </w:r>
      <w:r>
        <w:rPr>
          <w:color w:val="231F20"/>
          <w:spacing w:val="-25"/>
          <w:w w:val="105"/>
          <w:sz w:val="18"/>
        </w:rPr>
        <w:t> </w:t>
      </w:r>
      <w:r>
        <w:rPr>
          <w:color w:val="231F20"/>
          <w:w w:val="105"/>
          <w:sz w:val="18"/>
        </w:rPr>
        <w:t>1997</w:t>
      </w:r>
      <w:r>
        <w:rPr>
          <w:color w:val="231F20"/>
          <w:spacing w:val="-25"/>
          <w:w w:val="105"/>
          <w:sz w:val="18"/>
        </w:rPr>
        <w:t> </w:t>
      </w:r>
      <w:r>
        <w:rPr>
          <w:color w:val="231F20"/>
          <w:w w:val="105"/>
          <w:sz w:val="18"/>
        </w:rPr>
        <w:t>y</w:t>
      </w:r>
      <w:r>
        <w:rPr>
          <w:color w:val="231F20"/>
          <w:spacing w:val="-25"/>
          <w:w w:val="105"/>
          <w:sz w:val="18"/>
        </w:rPr>
        <w:t> </w:t>
      </w:r>
      <w:r>
        <w:rPr>
          <w:color w:val="231F20"/>
          <w:w w:val="105"/>
          <w:sz w:val="18"/>
        </w:rPr>
        <w:t>2001,</w:t>
      </w:r>
      <w:r>
        <w:rPr>
          <w:color w:val="231F20"/>
          <w:spacing w:val="-25"/>
          <w:w w:val="105"/>
          <w:sz w:val="18"/>
        </w:rPr>
        <w:t> </w:t>
      </w:r>
      <w:r>
        <w:rPr>
          <w:i/>
          <w:color w:val="231F20"/>
          <w:w w:val="105"/>
          <w:sz w:val="18"/>
        </w:rPr>
        <w:t>Cronología</w:t>
      </w:r>
      <w:r>
        <w:rPr>
          <w:i/>
          <w:color w:val="231F20"/>
          <w:spacing w:val="-25"/>
          <w:w w:val="105"/>
          <w:sz w:val="18"/>
        </w:rPr>
        <w:t> </w:t>
      </w:r>
      <w:r>
        <w:rPr>
          <w:i/>
          <w:color w:val="231F20"/>
          <w:w w:val="105"/>
          <w:sz w:val="18"/>
        </w:rPr>
        <w:t>de</w:t>
      </w:r>
      <w:r>
        <w:rPr>
          <w:i/>
          <w:color w:val="231F20"/>
          <w:spacing w:val="-25"/>
          <w:w w:val="105"/>
          <w:sz w:val="18"/>
        </w:rPr>
        <w:t> </w:t>
      </w:r>
      <w:r>
        <w:rPr>
          <w:i/>
          <w:color w:val="231F20"/>
          <w:w w:val="105"/>
          <w:sz w:val="18"/>
        </w:rPr>
        <w:t>las</w:t>
      </w:r>
      <w:r>
        <w:rPr>
          <w:i/>
          <w:color w:val="231F20"/>
          <w:spacing w:val="-25"/>
          <w:w w:val="105"/>
          <w:sz w:val="18"/>
        </w:rPr>
        <w:t> </w:t>
      </w:r>
      <w:r>
        <w:rPr>
          <w:i/>
          <w:color w:val="231F20"/>
          <w:w w:val="105"/>
          <w:sz w:val="18"/>
        </w:rPr>
        <w:t>intervenciones</w:t>
      </w:r>
      <w:r>
        <w:rPr>
          <w:i/>
          <w:color w:val="231F20"/>
          <w:spacing w:val="-25"/>
          <w:w w:val="105"/>
          <w:sz w:val="18"/>
        </w:rPr>
        <w:t> </w:t>
      </w:r>
      <w:r>
        <w:rPr>
          <w:i/>
          <w:color w:val="231F20"/>
          <w:w w:val="105"/>
          <w:sz w:val="18"/>
        </w:rPr>
        <w:t>extranjeras </w:t>
      </w:r>
      <w:r>
        <w:rPr>
          <w:i/>
          <w:color w:val="231F20"/>
          <w:w w:val="105"/>
          <w:sz w:val="18"/>
        </w:rPr>
        <w:t>en América Latina</w:t>
      </w:r>
      <w:r>
        <w:rPr>
          <w:rFonts w:ascii="Sitka Heading" w:hAnsi="Sitka Heading"/>
          <w:b/>
          <w:color w:val="231F20"/>
          <w:w w:val="105"/>
          <w:sz w:val="18"/>
        </w:rPr>
        <w:t>, </w:t>
      </w:r>
      <w:r>
        <w:rPr>
          <w:color w:val="231F20"/>
          <w:w w:val="105"/>
          <w:sz w:val="18"/>
        </w:rPr>
        <w:t>México, Centro de Investigaciones Interdisciplinarias</w:t>
      </w:r>
      <w:r>
        <w:rPr>
          <w:color w:val="231F20"/>
          <w:spacing w:val="47"/>
          <w:w w:val="105"/>
          <w:sz w:val="18"/>
        </w:rPr>
        <w:t> </w:t>
      </w:r>
      <w:r>
        <w:rPr>
          <w:color w:val="231F20"/>
          <w:w w:val="105"/>
          <w:sz w:val="18"/>
        </w:rPr>
        <w:t>en Ciencias y Humanidades/ UNAM/ Universidad Obrera/ Universidad Autónoma de México, </w:t>
      </w:r>
      <w:r>
        <w:rPr>
          <w:color w:val="231F20"/>
          <w:spacing w:val="-5"/>
          <w:w w:val="105"/>
          <w:sz w:val="18"/>
        </w:rPr>
        <w:t>Tomo </w:t>
      </w:r>
      <w:r>
        <w:rPr>
          <w:color w:val="231F20"/>
          <w:w w:val="105"/>
          <w:sz w:val="18"/>
        </w:rPr>
        <w:t>I (1776-1848); </w:t>
      </w:r>
      <w:r>
        <w:rPr>
          <w:color w:val="231F20"/>
          <w:spacing w:val="-5"/>
          <w:w w:val="105"/>
          <w:sz w:val="18"/>
        </w:rPr>
        <w:t>Tomo  </w:t>
      </w:r>
      <w:r>
        <w:rPr>
          <w:color w:val="231F20"/>
          <w:w w:val="105"/>
          <w:sz w:val="18"/>
        </w:rPr>
        <w:t>II (1849-1898); </w:t>
      </w:r>
      <w:r>
        <w:rPr>
          <w:color w:val="231F20"/>
          <w:spacing w:val="-5"/>
          <w:w w:val="105"/>
          <w:sz w:val="18"/>
        </w:rPr>
        <w:t>Tomo</w:t>
      </w:r>
      <w:r>
        <w:rPr>
          <w:color w:val="231F20"/>
          <w:spacing w:val="37"/>
          <w:w w:val="105"/>
          <w:sz w:val="18"/>
        </w:rPr>
        <w:t> </w:t>
      </w:r>
      <w:r>
        <w:rPr>
          <w:color w:val="231F20"/>
          <w:w w:val="105"/>
          <w:sz w:val="18"/>
        </w:rPr>
        <w:t>III (1899-1945),</w:t>
      </w:r>
      <w:r>
        <w:rPr>
          <w:color w:val="231F20"/>
          <w:spacing w:val="30"/>
          <w:w w:val="105"/>
          <w:sz w:val="18"/>
        </w:rPr>
        <w:t> </w:t>
      </w:r>
      <w:r>
        <w:rPr>
          <w:color w:val="231F20"/>
          <w:w w:val="105"/>
          <w:sz w:val="18"/>
        </w:rPr>
        <w:t>México.</w:t>
      </w:r>
    </w:p>
    <w:p>
      <w:pPr>
        <w:spacing w:line="254" w:lineRule="auto" w:before="8"/>
        <w:ind w:left="340" w:right="118" w:hanging="240"/>
        <w:jc w:val="both"/>
        <w:rPr>
          <w:sz w:val="18"/>
        </w:rPr>
      </w:pPr>
      <w:r>
        <w:rPr>
          <w:color w:val="231F20"/>
          <w:sz w:val="18"/>
        </w:rPr>
        <w:t>Vid, Gabriel y Joyce Kolko, 1972. </w:t>
      </w:r>
      <w:r>
        <w:rPr>
          <w:i/>
          <w:color w:val="231F20"/>
          <w:sz w:val="18"/>
        </w:rPr>
        <w:t>The Limits of Power</w:t>
      </w:r>
      <w:r>
        <w:rPr>
          <w:color w:val="231F20"/>
          <w:sz w:val="18"/>
        </w:rPr>
        <w:t>, Nueva York, Harper &amp; Row.</w:t>
      </w:r>
    </w:p>
    <w:p>
      <w:pPr>
        <w:spacing w:before="1"/>
        <w:ind w:left="100" w:right="25" w:firstLine="0"/>
        <w:jc w:val="left"/>
        <w:rPr>
          <w:sz w:val="18"/>
        </w:rPr>
      </w:pPr>
      <w:r>
        <w:rPr>
          <w:color w:val="231F20"/>
          <w:w w:val="105"/>
          <w:sz w:val="18"/>
        </w:rPr>
        <w:t>Vid, Tony Clarke, 2008, </w:t>
      </w:r>
      <w:r>
        <w:rPr>
          <w:i/>
          <w:color w:val="231F20"/>
          <w:w w:val="105"/>
          <w:sz w:val="18"/>
        </w:rPr>
        <w:t>Tar Sands Showdown</w:t>
      </w:r>
      <w:r>
        <w:rPr>
          <w:color w:val="231F20"/>
          <w:w w:val="105"/>
          <w:sz w:val="18"/>
        </w:rPr>
        <w:t>, Toronto, Jame  Lorimer.</w:t>
      </w:r>
    </w:p>
    <w:p>
      <w:pPr>
        <w:spacing w:after="0"/>
        <w:jc w:val="left"/>
        <w:rPr>
          <w:sz w:val="18"/>
        </w:rPr>
        <w:sectPr>
          <w:pgSz w:w="7640" w:h="11900"/>
          <w:pgMar w:header="672" w:footer="0" w:top="860" w:bottom="280" w:left="660" w:right="760"/>
        </w:sectPr>
      </w:pPr>
    </w:p>
    <w:p>
      <w:pPr>
        <w:pStyle w:val="BodyText"/>
        <w:spacing w:before="4"/>
        <w:rPr>
          <w:sz w:val="17"/>
        </w:rPr>
      </w:pPr>
    </w:p>
    <w:p>
      <w:pPr>
        <w:spacing w:after="0"/>
        <w:rPr>
          <w:sz w:val="17"/>
        </w:rPr>
        <w:sectPr>
          <w:headerReference w:type="even" r:id="rId48"/>
          <w:pgSz w:w="7640" w:h="11900"/>
          <w:pgMar w:header="0" w:footer="0" w:top="1100" w:bottom="280" w:left="1040" w:right="1040"/>
        </w:sectPr>
      </w:pPr>
    </w:p>
    <w:p>
      <w:pPr>
        <w:pStyle w:val="BodyText"/>
        <w:spacing w:before="39"/>
        <w:ind w:left="100"/>
        <w:jc w:val="both"/>
      </w:pPr>
      <w:r>
        <w:rPr>
          <w:color w:val="231F20"/>
          <w:w w:val="105"/>
        </w:rPr>
        <w:t>INTRODUCCIÓN.</w:t>
      </w:r>
    </w:p>
    <w:p>
      <w:pPr>
        <w:pStyle w:val="BodyText"/>
        <w:spacing w:before="20"/>
        <w:ind w:left="100"/>
        <w:jc w:val="both"/>
      </w:pPr>
      <w:r>
        <w:rPr>
          <w:color w:val="231F20"/>
        </w:rPr>
        <w:t>ESTADOS UNIDOS EN LA ENCRUCIJADA   GLOBAL</w:t>
      </w:r>
    </w:p>
    <w:p>
      <w:pPr>
        <w:pStyle w:val="BodyText"/>
        <w:spacing w:before="5"/>
        <w:rPr>
          <w:sz w:val="23"/>
        </w:rPr>
      </w:pPr>
    </w:p>
    <w:p>
      <w:pPr>
        <w:pStyle w:val="BodyText"/>
        <w:spacing w:line="261" w:lineRule="auto"/>
        <w:ind w:left="3613" w:right="25" w:hanging="79"/>
      </w:pPr>
      <w:r>
        <w:rPr>
          <w:color w:val="231F20"/>
          <w:w w:val="125"/>
        </w:rPr>
        <w:t>dídimo castillo fernández marco a. gandásegui, hijo</w:t>
      </w:r>
    </w:p>
    <w:p>
      <w:pPr>
        <w:pStyle w:val="BodyText"/>
      </w:pPr>
    </w:p>
    <w:p>
      <w:pPr>
        <w:pStyle w:val="BodyText"/>
      </w:pPr>
    </w:p>
    <w:p>
      <w:pPr>
        <w:pStyle w:val="BodyText"/>
        <w:spacing w:before="4"/>
        <w:rPr>
          <w:sz w:val="24"/>
        </w:rPr>
      </w:pPr>
    </w:p>
    <w:p>
      <w:pPr>
        <w:pStyle w:val="BodyText"/>
        <w:spacing w:line="261" w:lineRule="auto"/>
        <w:ind w:left="100" w:right="117"/>
        <w:jc w:val="both"/>
      </w:pPr>
      <w:r>
        <w:rPr>
          <w:color w:val="231F20"/>
          <w:w w:val="105"/>
        </w:rPr>
        <w:t>El</w:t>
      </w:r>
      <w:r>
        <w:rPr>
          <w:color w:val="231F20"/>
          <w:spacing w:val="-17"/>
          <w:w w:val="105"/>
        </w:rPr>
        <w:t> </w:t>
      </w:r>
      <w:r>
        <w:rPr>
          <w:color w:val="231F20"/>
          <w:w w:val="105"/>
        </w:rPr>
        <w:t>presente</w:t>
      </w:r>
      <w:r>
        <w:rPr>
          <w:color w:val="231F20"/>
          <w:spacing w:val="-17"/>
          <w:w w:val="105"/>
        </w:rPr>
        <w:t> </w:t>
      </w:r>
      <w:r>
        <w:rPr>
          <w:color w:val="231F20"/>
          <w:w w:val="105"/>
        </w:rPr>
        <w:t>libro</w:t>
      </w:r>
      <w:r>
        <w:rPr>
          <w:color w:val="231F20"/>
          <w:spacing w:val="-17"/>
          <w:w w:val="105"/>
        </w:rPr>
        <w:t> </w:t>
      </w:r>
      <w:r>
        <w:rPr>
          <w:i/>
          <w:color w:val="231F20"/>
          <w:w w:val="105"/>
        </w:rPr>
        <w:t>Estados</w:t>
      </w:r>
      <w:r>
        <w:rPr>
          <w:i/>
          <w:color w:val="231F20"/>
          <w:spacing w:val="-17"/>
          <w:w w:val="105"/>
        </w:rPr>
        <w:t> </w:t>
      </w:r>
      <w:r>
        <w:rPr>
          <w:i/>
          <w:color w:val="231F20"/>
          <w:w w:val="105"/>
        </w:rPr>
        <w:t>Unidos.</w:t>
      </w:r>
      <w:r>
        <w:rPr>
          <w:i/>
          <w:color w:val="231F20"/>
          <w:spacing w:val="-17"/>
          <w:w w:val="105"/>
        </w:rPr>
        <w:t> </w:t>
      </w:r>
      <w:r>
        <w:rPr>
          <w:i/>
          <w:color w:val="231F20"/>
          <w:w w:val="105"/>
        </w:rPr>
        <w:t>Mas</w:t>
      </w:r>
      <w:r>
        <w:rPr>
          <w:i/>
          <w:color w:val="231F20"/>
          <w:spacing w:val="-17"/>
          <w:w w:val="105"/>
        </w:rPr>
        <w:t> </w:t>
      </w:r>
      <w:r>
        <w:rPr>
          <w:i/>
          <w:color w:val="231F20"/>
          <w:w w:val="105"/>
        </w:rPr>
        <w:t>allá</w:t>
      </w:r>
      <w:r>
        <w:rPr>
          <w:i/>
          <w:color w:val="231F20"/>
          <w:spacing w:val="-17"/>
          <w:w w:val="105"/>
        </w:rPr>
        <w:t> </w:t>
      </w:r>
      <w:r>
        <w:rPr>
          <w:i/>
          <w:color w:val="231F20"/>
          <w:w w:val="105"/>
        </w:rPr>
        <w:t>de</w:t>
      </w:r>
      <w:r>
        <w:rPr>
          <w:i/>
          <w:color w:val="231F20"/>
          <w:spacing w:val="-17"/>
          <w:w w:val="105"/>
        </w:rPr>
        <w:t> </w:t>
      </w:r>
      <w:r>
        <w:rPr>
          <w:i/>
          <w:color w:val="231F20"/>
          <w:w w:val="105"/>
        </w:rPr>
        <w:t>la</w:t>
      </w:r>
      <w:r>
        <w:rPr>
          <w:i/>
          <w:color w:val="231F20"/>
          <w:spacing w:val="-17"/>
          <w:w w:val="105"/>
        </w:rPr>
        <w:t> </w:t>
      </w:r>
      <w:r>
        <w:rPr>
          <w:i/>
          <w:color w:val="231F20"/>
          <w:w w:val="105"/>
        </w:rPr>
        <w:t>crisis</w:t>
      </w:r>
      <w:r>
        <w:rPr>
          <w:color w:val="231F20"/>
          <w:w w:val="105"/>
        </w:rPr>
        <w:t>,</w:t>
      </w:r>
      <w:r>
        <w:rPr>
          <w:color w:val="231F20"/>
          <w:spacing w:val="-17"/>
          <w:w w:val="105"/>
        </w:rPr>
        <w:t> </w:t>
      </w:r>
      <w:r>
        <w:rPr>
          <w:color w:val="231F20"/>
          <w:w w:val="105"/>
        </w:rPr>
        <w:t>está</w:t>
      </w:r>
      <w:r>
        <w:rPr>
          <w:color w:val="231F20"/>
          <w:spacing w:val="-17"/>
          <w:w w:val="105"/>
        </w:rPr>
        <w:t> </w:t>
      </w:r>
      <w:r>
        <w:rPr>
          <w:color w:val="231F20"/>
          <w:w w:val="105"/>
        </w:rPr>
        <w:t>integrado</w:t>
      </w:r>
      <w:r>
        <w:rPr>
          <w:color w:val="231F20"/>
          <w:spacing w:val="-17"/>
          <w:w w:val="105"/>
        </w:rPr>
        <w:t> </w:t>
      </w:r>
      <w:r>
        <w:rPr>
          <w:color w:val="231F20"/>
          <w:w w:val="105"/>
        </w:rPr>
        <w:t>por </w:t>
      </w:r>
      <w:r>
        <w:rPr>
          <w:color w:val="231F20"/>
          <w:w w:val="110"/>
        </w:rPr>
        <w:t>20 capítulos, resultados de la investigación realizada por el grupo</w:t>
      </w:r>
      <w:r>
        <w:rPr>
          <w:color w:val="231F20"/>
          <w:spacing w:val="-21"/>
          <w:w w:val="110"/>
        </w:rPr>
        <w:t> </w:t>
      </w:r>
      <w:r>
        <w:rPr>
          <w:color w:val="231F20"/>
          <w:w w:val="110"/>
        </w:rPr>
        <w:t>de trabajo del Consejo Latinoamericano de Ciencias Sociales (clacso): Estudios</w:t>
      </w:r>
      <w:r>
        <w:rPr>
          <w:color w:val="231F20"/>
          <w:spacing w:val="-22"/>
          <w:w w:val="110"/>
        </w:rPr>
        <w:t> </w:t>
      </w:r>
      <w:r>
        <w:rPr>
          <w:color w:val="231F20"/>
          <w:w w:val="110"/>
        </w:rPr>
        <w:t>sobre</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enfocado</w:t>
      </w:r>
      <w:r>
        <w:rPr>
          <w:color w:val="231F20"/>
          <w:spacing w:val="-22"/>
          <w:w w:val="110"/>
        </w:rPr>
        <w:t> </w:t>
      </w:r>
      <w:r>
        <w:rPr>
          <w:color w:val="231F20"/>
          <w:w w:val="110"/>
        </w:rPr>
        <w:t>al</w:t>
      </w:r>
      <w:r>
        <w:rPr>
          <w:color w:val="231F20"/>
          <w:spacing w:val="-22"/>
          <w:w w:val="110"/>
        </w:rPr>
        <w:t> </w:t>
      </w:r>
      <w:r>
        <w:rPr>
          <w:color w:val="231F20"/>
          <w:w w:val="110"/>
        </w:rPr>
        <w:t>análisis</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crisis</w:t>
      </w:r>
      <w:r>
        <w:rPr>
          <w:color w:val="231F20"/>
          <w:spacing w:val="-22"/>
          <w:w w:val="110"/>
        </w:rPr>
        <w:t> </w:t>
      </w:r>
      <w:r>
        <w:rPr>
          <w:color w:val="231F20"/>
          <w:w w:val="110"/>
        </w:rPr>
        <w:t>capita- lista actual, a su carácter y efectos en Estados Unidos y a su</w:t>
      </w:r>
      <w:r>
        <w:rPr>
          <w:color w:val="231F20"/>
          <w:spacing w:val="-31"/>
          <w:w w:val="110"/>
        </w:rPr>
        <w:t> </w:t>
      </w:r>
      <w:r>
        <w:rPr>
          <w:color w:val="231F20"/>
          <w:w w:val="110"/>
        </w:rPr>
        <w:t>impacto en las condiciones sociopolíticas de dicho país, así como al nuevo escenario abierto de sus relaciones con América Latina y el resto</w:t>
      </w:r>
      <w:r>
        <w:rPr>
          <w:color w:val="231F20"/>
          <w:spacing w:val="-35"/>
          <w:w w:val="110"/>
        </w:rPr>
        <w:t> </w:t>
      </w:r>
      <w:r>
        <w:rPr>
          <w:color w:val="231F20"/>
          <w:w w:val="110"/>
        </w:rPr>
        <w:t>del mundo. Esta obra fue desarrollada en la última etapa de vigencia de dicho grupo, el cual desde su fundación conjugó los esfuerzos de un nutrido equipo de intelectuales latinoamericanos en torno a la tesis central de crisis de hegemonía de Estados Unidos, enriquecidos con los</w:t>
      </w:r>
      <w:r>
        <w:rPr>
          <w:color w:val="231F20"/>
          <w:spacing w:val="-32"/>
          <w:w w:val="110"/>
        </w:rPr>
        <w:t> </w:t>
      </w:r>
      <w:r>
        <w:rPr>
          <w:color w:val="231F20"/>
          <w:w w:val="110"/>
        </w:rPr>
        <w:t>intercambios</w:t>
      </w:r>
      <w:r>
        <w:rPr>
          <w:color w:val="231F20"/>
          <w:spacing w:val="-32"/>
          <w:w w:val="110"/>
        </w:rPr>
        <w:t> </w:t>
      </w:r>
      <w:r>
        <w:rPr>
          <w:color w:val="231F20"/>
          <w:w w:val="110"/>
        </w:rPr>
        <w:t>y</w:t>
      </w:r>
      <w:r>
        <w:rPr>
          <w:color w:val="231F20"/>
          <w:spacing w:val="-32"/>
          <w:w w:val="110"/>
        </w:rPr>
        <w:t> </w:t>
      </w:r>
      <w:r>
        <w:rPr>
          <w:color w:val="231F20"/>
          <w:w w:val="110"/>
        </w:rPr>
        <w:t>discusiones</w:t>
      </w:r>
      <w:r>
        <w:rPr>
          <w:color w:val="231F20"/>
          <w:spacing w:val="-32"/>
          <w:w w:val="110"/>
        </w:rPr>
        <w:t> </w:t>
      </w:r>
      <w:r>
        <w:rPr>
          <w:color w:val="231F20"/>
          <w:w w:val="110"/>
        </w:rPr>
        <w:t>realizadas</w:t>
      </w:r>
      <w:r>
        <w:rPr>
          <w:color w:val="231F20"/>
          <w:spacing w:val="-32"/>
          <w:w w:val="110"/>
        </w:rPr>
        <w:t> </w:t>
      </w:r>
      <w:r>
        <w:rPr>
          <w:color w:val="231F20"/>
          <w:w w:val="110"/>
        </w:rPr>
        <w:t>en</w:t>
      </w:r>
      <w:r>
        <w:rPr>
          <w:color w:val="231F20"/>
          <w:spacing w:val="-32"/>
          <w:w w:val="110"/>
        </w:rPr>
        <w:t> </w:t>
      </w:r>
      <w:r>
        <w:rPr>
          <w:color w:val="231F20"/>
          <w:w w:val="110"/>
        </w:rPr>
        <w:t>diversos</w:t>
      </w:r>
      <w:r>
        <w:rPr>
          <w:color w:val="231F20"/>
          <w:spacing w:val="-32"/>
          <w:w w:val="110"/>
        </w:rPr>
        <w:t> </w:t>
      </w:r>
      <w:r>
        <w:rPr>
          <w:color w:val="231F20"/>
          <w:w w:val="110"/>
        </w:rPr>
        <w:t>foros</w:t>
      </w:r>
      <w:r>
        <w:rPr>
          <w:color w:val="231F20"/>
          <w:spacing w:val="-32"/>
          <w:w w:val="110"/>
        </w:rPr>
        <w:t> </w:t>
      </w:r>
      <w:r>
        <w:rPr>
          <w:color w:val="231F20"/>
          <w:w w:val="110"/>
        </w:rPr>
        <w:t>académicos</w:t>
      </w:r>
      <w:r>
        <w:rPr>
          <w:color w:val="231F20"/>
          <w:w w:val="107"/>
        </w:rPr>
        <w:t> </w:t>
      </w:r>
      <w:r>
        <w:rPr>
          <w:color w:val="231F20"/>
          <w:w w:val="110"/>
        </w:rPr>
        <w:t>de América Latina y Estados</w:t>
      </w:r>
      <w:r>
        <w:rPr>
          <w:color w:val="231F20"/>
          <w:spacing w:val="-38"/>
          <w:w w:val="110"/>
        </w:rPr>
        <w:t> </w:t>
      </w:r>
      <w:r>
        <w:rPr>
          <w:color w:val="231F20"/>
          <w:w w:val="110"/>
        </w:rPr>
        <w:t>Unidos.</w:t>
      </w:r>
    </w:p>
    <w:p>
      <w:pPr>
        <w:pStyle w:val="BodyText"/>
        <w:spacing w:line="261" w:lineRule="auto"/>
        <w:ind w:left="100" w:right="115" w:firstLine="240"/>
        <w:jc w:val="both"/>
      </w:pPr>
      <w:r>
        <w:rPr>
          <w:color w:val="231F20"/>
          <w:w w:val="110"/>
        </w:rPr>
        <w:t>La crisis económica de 2008, que afectó sobre todo a Estados Unidos, tuvo dos interpretaciones en el mundo político financiero    y académico. Para los financistas y sus ideólogos, que llevaron a </w:t>
      </w:r>
      <w:r>
        <w:rPr>
          <w:color w:val="231F20"/>
          <w:spacing w:val="2"/>
          <w:w w:val="110"/>
        </w:rPr>
        <w:t>las </w:t>
      </w:r>
      <w:r>
        <w:rPr>
          <w:color w:val="231F20"/>
          <w:w w:val="110"/>
        </w:rPr>
        <w:t>economías maduras del capitalismo a la debacle de 2008, la </w:t>
      </w:r>
      <w:r>
        <w:rPr>
          <w:color w:val="231F20"/>
          <w:spacing w:val="2"/>
          <w:w w:val="110"/>
        </w:rPr>
        <w:t>crisis </w:t>
      </w:r>
      <w:r>
        <w:rPr>
          <w:color w:val="231F20"/>
          <w:spacing w:val="3"/>
          <w:w w:val="110"/>
        </w:rPr>
        <w:t>significó </w:t>
      </w:r>
      <w:r>
        <w:rPr>
          <w:color w:val="231F20"/>
          <w:spacing w:val="2"/>
          <w:w w:val="110"/>
        </w:rPr>
        <w:t>una </w:t>
      </w:r>
      <w:r>
        <w:rPr>
          <w:color w:val="231F20"/>
          <w:spacing w:val="3"/>
          <w:w w:val="110"/>
        </w:rPr>
        <w:t>reducción significativa </w:t>
      </w:r>
      <w:r>
        <w:rPr>
          <w:color w:val="231F20"/>
          <w:w w:val="110"/>
        </w:rPr>
        <w:t>en la </w:t>
      </w:r>
      <w:r>
        <w:rPr>
          <w:color w:val="231F20"/>
          <w:spacing w:val="3"/>
          <w:w w:val="110"/>
        </w:rPr>
        <w:t>acumulación descon- </w:t>
      </w:r>
      <w:r>
        <w:rPr>
          <w:color w:val="231F20"/>
          <w:w w:val="110"/>
        </w:rPr>
        <w:t>trolada de riquezas. En su ceguera aún están convencidos de </w:t>
      </w:r>
      <w:r>
        <w:rPr>
          <w:color w:val="231F20"/>
          <w:spacing w:val="2"/>
          <w:w w:val="110"/>
        </w:rPr>
        <w:t>que </w:t>
      </w:r>
      <w:r>
        <w:rPr>
          <w:color w:val="231F20"/>
          <w:w w:val="110"/>
        </w:rPr>
        <w:t>pueden reconstruir el camino si se aplican las políticas adecuadas. Las medidas siguen siendo, básicamente, inyectar a las institucio- nes financieras flujos suficientes para permitirles ser nuevamente competitivas. Estados Unidos y la mayoría de los países europeos tomaron ese camino. La realidad les ha enseñado que la estrategia no funcionó, aunque todavía tienen propagandistas sueltos promo- viendo esa</w:t>
      </w:r>
      <w:r>
        <w:rPr>
          <w:color w:val="231F20"/>
          <w:spacing w:val="23"/>
          <w:w w:val="110"/>
        </w:rPr>
        <w:t> </w:t>
      </w:r>
      <w:r>
        <w:rPr>
          <w:color w:val="231F20"/>
          <w:w w:val="110"/>
        </w:rPr>
        <w:t>solución.</w:t>
      </w:r>
    </w:p>
    <w:p>
      <w:pPr>
        <w:pStyle w:val="BodyText"/>
        <w:spacing w:line="261" w:lineRule="auto"/>
        <w:ind w:left="100" w:right="117" w:firstLine="240"/>
        <w:jc w:val="both"/>
      </w:pPr>
      <w:r>
        <w:rPr>
          <w:color w:val="231F20"/>
          <w:w w:val="110"/>
        </w:rPr>
        <w:t>La segunda interpretación de la crisis tuvo como eje lo que los analistas consideran el colapso de la “economía real” que ha</w:t>
      </w:r>
      <w:r>
        <w:rPr>
          <w:color w:val="231F20"/>
          <w:spacing w:val="-25"/>
          <w:w w:val="110"/>
        </w:rPr>
        <w:t> </w:t>
      </w:r>
      <w:r>
        <w:rPr>
          <w:color w:val="231F20"/>
          <w:w w:val="110"/>
        </w:rPr>
        <w:t>cerrado centros</w:t>
      </w:r>
      <w:r>
        <w:rPr>
          <w:color w:val="231F20"/>
          <w:spacing w:val="-8"/>
          <w:w w:val="110"/>
        </w:rPr>
        <w:t> </w:t>
      </w:r>
      <w:r>
        <w:rPr>
          <w:color w:val="231F20"/>
          <w:w w:val="110"/>
        </w:rPr>
        <w:t>de</w:t>
      </w:r>
      <w:r>
        <w:rPr>
          <w:color w:val="231F20"/>
          <w:spacing w:val="-8"/>
          <w:w w:val="110"/>
        </w:rPr>
        <w:t> </w:t>
      </w:r>
      <w:r>
        <w:rPr>
          <w:color w:val="231F20"/>
          <w:w w:val="110"/>
        </w:rPr>
        <w:t>producción</w:t>
      </w:r>
      <w:r>
        <w:rPr>
          <w:color w:val="231F20"/>
          <w:spacing w:val="-8"/>
          <w:w w:val="110"/>
        </w:rPr>
        <w:t> </w:t>
      </w:r>
      <w:r>
        <w:rPr>
          <w:color w:val="231F20"/>
          <w:w w:val="110"/>
        </w:rPr>
        <w:t>y</w:t>
      </w:r>
      <w:r>
        <w:rPr>
          <w:color w:val="231F20"/>
          <w:spacing w:val="-8"/>
          <w:w w:val="110"/>
        </w:rPr>
        <w:t> </w:t>
      </w:r>
      <w:r>
        <w:rPr>
          <w:color w:val="231F20"/>
          <w:w w:val="110"/>
        </w:rPr>
        <w:t>ha</w:t>
      </w:r>
      <w:r>
        <w:rPr>
          <w:color w:val="231F20"/>
          <w:spacing w:val="-8"/>
          <w:w w:val="110"/>
        </w:rPr>
        <w:t> </w:t>
      </w:r>
      <w:r>
        <w:rPr>
          <w:color w:val="231F20"/>
          <w:w w:val="110"/>
        </w:rPr>
        <w:t>lanzado</w:t>
      </w:r>
      <w:r>
        <w:rPr>
          <w:color w:val="231F20"/>
          <w:spacing w:val="-8"/>
          <w:w w:val="110"/>
        </w:rPr>
        <w:t> </w:t>
      </w:r>
      <w:r>
        <w:rPr>
          <w:color w:val="231F20"/>
          <w:w w:val="110"/>
        </w:rPr>
        <w:t>al</w:t>
      </w:r>
      <w:r>
        <w:rPr>
          <w:color w:val="231F20"/>
          <w:spacing w:val="-8"/>
          <w:w w:val="110"/>
        </w:rPr>
        <w:t> </w:t>
      </w:r>
      <w:r>
        <w:rPr>
          <w:color w:val="231F20"/>
          <w:w w:val="110"/>
        </w:rPr>
        <w:t>desempleo</w:t>
      </w:r>
      <w:r>
        <w:rPr>
          <w:color w:val="231F20"/>
          <w:spacing w:val="-8"/>
          <w:w w:val="110"/>
        </w:rPr>
        <w:t> </w:t>
      </w:r>
      <w:r>
        <w:rPr>
          <w:color w:val="231F20"/>
          <w:w w:val="110"/>
        </w:rPr>
        <w:t>a</w:t>
      </w:r>
      <w:r>
        <w:rPr>
          <w:color w:val="231F20"/>
          <w:spacing w:val="-8"/>
          <w:w w:val="110"/>
        </w:rPr>
        <w:t> </w:t>
      </w:r>
      <w:r>
        <w:rPr>
          <w:color w:val="231F20"/>
          <w:w w:val="110"/>
        </w:rPr>
        <w:t>decenas</w:t>
      </w:r>
      <w:r>
        <w:rPr>
          <w:color w:val="231F20"/>
          <w:spacing w:val="-8"/>
          <w:w w:val="110"/>
        </w:rPr>
        <w:t> </w:t>
      </w:r>
      <w:r>
        <w:rPr>
          <w:color w:val="231F20"/>
          <w:w w:val="110"/>
        </w:rPr>
        <w:t>de</w:t>
      </w:r>
      <w:r>
        <w:rPr>
          <w:color w:val="231F20"/>
          <w:spacing w:val="-8"/>
          <w:w w:val="110"/>
        </w:rPr>
        <w:t> </w:t>
      </w:r>
      <w:r>
        <w:rPr>
          <w:color w:val="231F20"/>
          <w:w w:val="110"/>
        </w:rPr>
        <w:t>millo- nes de trabajadores. El problema no es una cuestión de recuperar</w:t>
      </w:r>
      <w:r>
        <w:rPr>
          <w:color w:val="231F20"/>
          <w:spacing w:val="-18"/>
          <w:w w:val="110"/>
        </w:rPr>
        <w:t> </w:t>
      </w:r>
      <w:r>
        <w:rPr>
          <w:color w:val="231F20"/>
          <w:w w:val="110"/>
        </w:rPr>
        <w:t>los flujos</w:t>
      </w:r>
      <w:r>
        <w:rPr>
          <w:color w:val="231F20"/>
          <w:spacing w:val="-9"/>
          <w:w w:val="110"/>
        </w:rPr>
        <w:t> </w:t>
      </w:r>
      <w:r>
        <w:rPr>
          <w:color w:val="231F20"/>
          <w:w w:val="110"/>
        </w:rPr>
        <w:t>financieros</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consumo,</w:t>
      </w:r>
      <w:r>
        <w:rPr>
          <w:color w:val="231F20"/>
          <w:spacing w:val="-9"/>
          <w:w w:val="110"/>
        </w:rPr>
        <w:t> </w:t>
      </w:r>
      <w:r>
        <w:rPr>
          <w:color w:val="231F20"/>
          <w:w w:val="110"/>
        </w:rPr>
        <w:t>sino</w:t>
      </w:r>
      <w:r>
        <w:rPr>
          <w:color w:val="231F20"/>
          <w:spacing w:val="-9"/>
          <w:w w:val="110"/>
        </w:rPr>
        <w:t> </w:t>
      </w:r>
      <w:r>
        <w:rPr>
          <w:color w:val="231F20"/>
          <w:w w:val="110"/>
        </w:rPr>
        <w:t>establecer</w:t>
      </w:r>
      <w:r>
        <w:rPr>
          <w:color w:val="231F20"/>
          <w:spacing w:val="-9"/>
          <w:w w:val="110"/>
        </w:rPr>
        <w:t> </w:t>
      </w:r>
      <w:r>
        <w:rPr>
          <w:color w:val="231F20"/>
          <w:w w:val="110"/>
        </w:rPr>
        <w:t>patrones</w:t>
      </w:r>
      <w:r>
        <w:rPr>
          <w:color w:val="231F20"/>
          <w:spacing w:val="-9"/>
          <w:w w:val="110"/>
        </w:rPr>
        <w:t> </w:t>
      </w:r>
      <w:r>
        <w:rPr>
          <w:color w:val="231F20"/>
          <w:w w:val="110"/>
        </w:rPr>
        <w:t>productivos</w:t>
      </w:r>
    </w:p>
    <w:p>
      <w:pPr>
        <w:pStyle w:val="BodyText"/>
        <w:spacing w:before="10"/>
        <w:rPr>
          <w:sz w:val="15"/>
        </w:rPr>
      </w:pPr>
    </w:p>
    <w:p>
      <w:pPr>
        <w:pStyle w:val="BodyText"/>
        <w:spacing w:before="68"/>
        <w:ind w:left="113" w:right="132"/>
        <w:jc w:val="center"/>
      </w:pPr>
      <w:r>
        <w:rPr>
          <w:color w:val="231F20"/>
          <w:w w:val="120"/>
        </w:rPr>
        <w:t>[23]</w:t>
      </w:r>
    </w:p>
    <w:p>
      <w:pPr>
        <w:spacing w:after="0"/>
        <w:jc w:val="center"/>
        <w:sectPr>
          <w:headerReference w:type="default" r:id="rId49"/>
          <w:pgSz w:w="7640" w:h="11900"/>
          <w:pgMar w:header="0" w:footer="0" w:top="1000" w:bottom="280" w:left="660" w:right="760"/>
        </w:sectPr>
      </w:pPr>
    </w:p>
    <w:p>
      <w:pPr>
        <w:pStyle w:val="BodyText"/>
        <w:spacing w:before="8"/>
        <w:rPr>
          <w:sz w:val="8"/>
        </w:rPr>
      </w:pPr>
    </w:p>
    <w:p>
      <w:pPr>
        <w:pStyle w:val="BodyText"/>
        <w:spacing w:line="261" w:lineRule="auto" w:before="67"/>
        <w:ind w:left="100" w:right="25"/>
      </w:pPr>
      <w:r>
        <w:rPr>
          <w:color w:val="231F20"/>
          <w:w w:val="110"/>
        </w:rPr>
        <w:t>que pudieran generar una nueva dinámica capaz de incrementar el empleo </w:t>
      </w:r>
      <w:r>
        <w:rPr>
          <w:color w:val="231F20"/>
          <w:spacing w:val="-8"/>
          <w:w w:val="110"/>
        </w:rPr>
        <w:t>y, </w:t>
      </w:r>
      <w:r>
        <w:rPr>
          <w:color w:val="231F20"/>
          <w:w w:val="110"/>
        </w:rPr>
        <w:t>sobre todo, la tasa de</w:t>
      </w:r>
      <w:r>
        <w:rPr>
          <w:color w:val="231F20"/>
          <w:spacing w:val="50"/>
          <w:w w:val="110"/>
        </w:rPr>
        <w:t> </w:t>
      </w:r>
      <w:r>
        <w:rPr>
          <w:color w:val="231F20"/>
          <w:w w:val="110"/>
        </w:rPr>
        <w:t>ganancia.</w:t>
      </w:r>
    </w:p>
    <w:p>
      <w:pPr>
        <w:pStyle w:val="BodyText"/>
        <w:spacing w:line="261" w:lineRule="auto"/>
        <w:ind w:left="100" w:right="119" w:firstLine="240"/>
        <w:jc w:val="both"/>
      </w:pPr>
      <w:r>
        <w:rPr>
          <w:color w:val="231F20"/>
          <w:w w:val="110"/>
        </w:rPr>
        <w:t>Alemania y Francia, en menor medida, apostaron a esta</w:t>
      </w:r>
      <w:r>
        <w:rPr>
          <w:color w:val="231F20"/>
          <w:spacing w:val="-29"/>
          <w:w w:val="110"/>
        </w:rPr>
        <w:t> </w:t>
      </w:r>
      <w:r>
        <w:rPr>
          <w:color w:val="231F20"/>
          <w:w w:val="110"/>
        </w:rPr>
        <w:t>estrategia resultado de poseer una infraestructura productiva más</w:t>
      </w:r>
      <w:r>
        <w:rPr>
          <w:color w:val="231F20"/>
          <w:spacing w:val="-37"/>
          <w:w w:val="110"/>
        </w:rPr>
        <w:t> </w:t>
      </w:r>
      <w:r>
        <w:rPr>
          <w:color w:val="231F20"/>
          <w:w w:val="110"/>
        </w:rPr>
        <w:t>sólida.</w:t>
      </w:r>
      <w:r>
        <w:rPr>
          <w:color w:val="231F20"/>
          <w:spacing w:val="-6"/>
          <w:w w:val="110"/>
        </w:rPr>
        <w:t> </w:t>
      </w:r>
      <w:r>
        <w:rPr>
          <w:color w:val="231F20"/>
          <w:w w:val="110"/>
        </w:rPr>
        <w:t>Como</w:t>
      </w:r>
      <w:r>
        <w:rPr>
          <w:color w:val="231F20"/>
          <w:w w:val="108"/>
        </w:rPr>
        <w:t> </w:t>
      </w:r>
      <w:r>
        <w:rPr>
          <w:color w:val="231F20"/>
          <w:w w:val="110"/>
        </w:rPr>
        <w:t>consecuencia, sus economías reaccionaron mejor que las</w:t>
      </w:r>
      <w:r>
        <w:rPr>
          <w:color w:val="231F20"/>
          <w:spacing w:val="28"/>
          <w:w w:val="110"/>
        </w:rPr>
        <w:t> </w:t>
      </w:r>
      <w:r>
        <w:rPr>
          <w:color w:val="231F20"/>
          <w:w w:val="110"/>
        </w:rPr>
        <w:t>otras.</w:t>
      </w:r>
      <w:r>
        <w:rPr>
          <w:color w:val="231F20"/>
          <w:spacing w:val="27"/>
          <w:w w:val="110"/>
        </w:rPr>
        <w:t> </w:t>
      </w:r>
      <w:r>
        <w:rPr>
          <w:color w:val="231F20"/>
          <w:w w:val="110"/>
        </w:rPr>
        <w:t>El</w:t>
      </w:r>
      <w:r>
        <w:rPr>
          <w:color w:val="231F20"/>
          <w:w w:val="101"/>
        </w:rPr>
        <w:t> </w:t>
      </w:r>
      <w:r>
        <w:rPr>
          <w:color w:val="231F20"/>
          <w:w w:val="110"/>
        </w:rPr>
        <w:t>caso de China es emblemático, ya que fue capaz de recuperarse rá- pidamente del primer golpe. El crecimiento de su economía logró incluso mantener a flote las economías de América del Sur que se convirtieron en proveedores de materias primas para el salto indus- trial que experimenta el gigante</w:t>
      </w:r>
      <w:r>
        <w:rPr>
          <w:color w:val="231F20"/>
          <w:spacing w:val="41"/>
          <w:w w:val="110"/>
        </w:rPr>
        <w:t> </w:t>
      </w:r>
      <w:r>
        <w:rPr>
          <w:color w:val="231F20"/>
          <w:w w:val="110"/>
        </w:rPr>
        <w:t>asiático.</w:t>
      </w:r>
    </w:p>
    <w:p>
      <w:pPr>
        <w:pStyle w:val="BodyText"/>
        <w:spacing w:line="261" w:lineRule="auto"/>
        <w:ind w:left="100" w:right="117" w:firstLine="240"/>
        <w:jc w:val="both"/>
      </w:pPr>
      <w:r>
        <w:rPr>
          <w:color w:val="231F20"/>
          <w:w w:val="110"/>
        </w:rPr>
        <w:t>La</w:t>
      </w:r>
      <w:r>
        <w:rPr>
          <w:color w:val="231F20"/>
          <w:spacing w:val="-8"/>
          <w:w w:val="110"/>
        </w:rPr>
        <w:t> </w:t>
      </w:r>
      <w:r>
        <w:rPr>
          <w:color w:val="231F20"/>
          <w:w w:val="110"/>
        </w:rPr>
        <w:t>pérdida</w:t>
      </w:r>
      <w:r>
        <w:rPr>
          <w:color w:val="231F20"/>
          <w:spacing w:val="-8"/>
          <w:w w:val="110"/>
        </w:rPr>
        <w:t> </w:t>
      </w:r>
      <w:r>
        <w:rPr>
          <w:color w:val="231F20"/>
          <w:w w:val="110"/>
        </w:rPr>
        <w:t>de</w:t>
      </w:r>
      <w:r>
        <w:rPr>
          <w:color w:val="231F20"/>
          <w:spacing w:val="-8"/>
          <w:w w:val="110"/>
        </w:rPr>
        <w:t> </w:t>
      </w:r>
      <w:r>
        <w:rPr>
          <w:color w:val="231F20"/>
          <w:w w:val="110"/>
        </w:rPr>
        <w:t>hegemonía</w:t>
      </w:r>
      <w:r>
        <w:rPr>
          <w:color w:val="231F20"/>
          <w:spacing w:val="-8"/>
          <w:w w:val="110"/>
        </w:rPr>
        <w:t> </w:t>
      </w:r>
      <w:r>
        <w:rPr>
          <w:color w:val="231F20"/>
          <w:w w:val="110"/>
        </w:rPr>
        <w:t>de</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se</w:t>
      </w:r>
      <w:r>
        <w:rPr>
          <w:color w:val="231F20"/>
          <w:spacing w:val="-8"/>
          <w:w w:val="110"/>
        </w:rPr>
        <w:t> </w:t>
      </w:r>
      <w:r>
        <w:rPr>
          <w:color w:val="231F20"/>
          <w:w w:val="110"/>
        </w:rPr>
        <w:t>ha</w:t>
      </w:r>
      <w:r>
        <w:rPr>
          <w:color w:val="231F20"/>
          <w:spacing w:val="-8"/>
          <w:w w:val="110"/>
        </w:rPr>
        <w:t> </w:t>
      </w:r>
      <w:r>
        <w:rPr>
          <w:color w:val="231F20"/>
          <w:w w:val="110"/>
        </w:rPr>
        <w:t>agudizado</w:t>
      </w:r>
      <w:r>
        <w:rPr>
          <w:color w:val="231F20"/>
          <w:spacing w:val="-8"/>
          <w:w w:val="110"/>
        </w:rPr>
        <w:t> </w:t>
      </w:r>
      <w:r>
        <w:rPr>
          <w:color w:val="231F20"/>
          <w:w w:val="110"/>
        </w:rPr>
        <w:t>den- tro de sus propias fronteras. Los estados federales experimentan un giro político hacia la extrema derecha creando una nueva</w:t>
      </w:r>
      <w:r>
        <w:rPr>
          <w:color w:val="231F20"/>
          <w:spacing w:val="-34"/>
          <w:w w:val="110"/>
        </w:rPr>
        <w:t> </w:t>
      </w:r>
      <w:r>
        <w:rPr>
          <w:color w:val="231F20"/>
          <w:w w:val="110"/>
        </w:rPr>
        <w:t>legislación orientada a expropiar a los trabajadores de sus derechos y</w:t>
      </w:r>
      <w:r>
        <w:rPr>
          <w:color w:val="231F20"/>
          <w:spacing w:val="-29"/>
          <w:w w:val="110"/>
        </w:rPr>
        <w:t> </w:t>
      </w:r>
      <w:r>
        <w:rPr>
          <w:color w:val="231F20"/>
          <w:w w:val="110"/>
        </w:rPr>
        <w:t>beneficios sociales.</w:t>
      </w:r>
      <w:r>
        <w:rPr>
          <w:color w:val="231F20"/>
          <w:spacing w:val="-8"/>
          <w:w w:val="110"/>
        </w:rPr>
        <w:t> </w:t>
      </w:r>
      <w:r>
        <w:rPr>
          <w:color w:val="231F20"/>
          <w:w w:val="110"/>
        </w:rPr>
        <w:t>La</w:t>
      </w:r>
      <w:r>
        <w:rPr>
          <w:color w:val="231F20"/>
          <w:spacing w:val="-8"/>
          <w:w w:val="110"/>
        </w:rPr>
        <w:t> </w:t>
      </w:r>
      <w:r>
        <w:rPr>
          <w:color w:val="231F20"/>
          <w:w w:val="110"/>
        </w:rPr>
        <w:t>excusa</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ha</w:t>
      </w:r>
      <w:r>
        <w:rPr>
          <w:color w:val="231F20"/>
          <w:spacing w:val="-8"/>
          <w:w w:val="110"/>
        </w:rPr>
        <w:t> </w:t>
      </w:r>
      <w:r>
        <w:rPr>
          <w:color w:val="231F20"/>
          <w:w w:val="110"/>
        </w:rPr>
        <w:t>utilizado</w:t>
      </w:r>
      <w:r>
        <w:rPr>
          <w:color w:val="231F20"/>
          <w:spacing w:val="-8"/>
          <w:w w:val="110"/>
        </w:rPr>
        <w:t> </w:t>
      </w:r>
      <w:r>
        <w:rPr>
          <w:color w:val="231F20"/>
          <w:w w:val="110"/>
        </w:rPr>
        <w:t>en</w:t>
      </w:r>
      <w:r>
        <w:rPr>
          <w:color w:val="231F20"/>
          <w:spacing w:val="-8"/>
          <w:w w:val="110"/>
        </w:rPr>
        <w:t> </w:t>
      </w:r>
      <w:r>
        <w:rPr>
          <w:color w:val="231F20"/>
          <w:w w:val="110"/>
        </w:rPr>
        <w:t>estos</w:t>
      </w:r>
      <w:r>
        <w:rPr>
          <w:color w:val="231F20"/>
          <w:spacing w:val="-8"/>
          <w:w w:val="110"/>
        </w:rPr>
        <w:t> </w:t>
      </w:r>
      <w:r>
        <w:rPr>
          <w:color w:val="231F20"/>
          <w:w w:val="110"/>
        </w:rPr>
        <w:t>casos</w:t>
      </w:r>
      <w:r>
        <w:rPr>
          <w:color w:val="231F20"/>
          <w:spacing w:val="-8"/>
          <w:w w:val="110"/>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w w:val="110"/>
        </w:rPr>
        <w:t>arcas estatales se están vaciando y habrá que eliminar de los presupuestos las conquistas laborables que se remontaban a más de medio</w:t>
      </w:r>
      <w:r>
        <w:rPr>
          <w:color w:val="231F20"/>
          <w:spacing w:val="50"/>
          <w:w w:val="110"/>
        </w:rPr>
        <w:t> </w:t>
      </w:r>
      <w:r>
        <w:rPr>
          <w:color w:val="231F20"/>
          <w:w w:val="110"/>
        </w:rPr>
        <w:t>siglo.</w:t>
      </w:r>
    </w:p>
    <w:p>
      <w:pPr>
        <w:pStyle w:val="BodyText"/>
        <w:spacing w:line="261" w:lineRule="auto"/>
        <w:ind w:left="100" w:right="117" w:firstLine="240"/>
        <w:jc w:val="both"/>
      </w:pPr>
      <w:r>
        <w:rPr>
          <w:color w:val="231F20"/>
          <w:w w:val="105"/>
        </w:rPr>
        <w:t>Mientras que el segmento más rico de Estados Unidos tiende a au- mentar sus ingresos, producto de las leyes que lo benefician, las capas medias y los trabajadores pierden sus empleos, sus beneficios sociales  y jubilaciones, así como sus viviendas. En los estados del sur de ese país, donde no existe una historia de conquistas sociales, la política    de “desposesión” de la extrema derecha se dirige a los trabajadores inmigrantes que ocupan los empleos menos remunerados, pero que reciben beneficios sociales. La táctica es continuar explotando a los trabajadores  extranjeros,  pero  eliminando  esos </w:t>
      </w:r>
      <w:r>
        <w:rPr>
          <w:color w:val="231F20"/>
          <w:spacing w:val="5"/>
          <w:w w:val="105"/>
        </w:rPr>
        <w:t> </w:t>
      </w:r>
      <w:r>
        <w:rPr>
          <w:color w:val="231F20"/>
          <w:w w:val="105"/>
        </w:rPr>
        <w:t>beneficios.</w:t>
      </w:r>
    </w:p>
    <w:p>
      <w:pPr>
        <w:pStyle w:val="BodyText"/>
        <w:spacing w:line="261" w:lineRule="auto"/>
        <w:ind w:left="100" w:right="113" w:firstLine="240"/>
        <w:jc w:val="both"/>
      </w:pPr>
      <w:r>
        <w:rPr>
          <w:color w:val="231F20"/>
          <w:w w:val="110"/>
        </w:rPr>
        <w:t>La estructura social estadunidense, heredada del siglo xx, pare- ciera estar asumiendo una nueva fisonomía con motivo de la crisis de hegemonía. La tradicional estratificación social —con una clase media muy fuerte— atravesada por un elemento de desequilibrio étnico y una creciente presencia laboral de la mujer, está cambiando aceleradamente. El debilitamiento e inestabilidad de la clase traba- jadora está dando lugar a un creciente estrato de trabajadores infor- males o precarios. Los de “cuello blanco” se están empobreciendo y convirtiéndose también en informales. Hay una tendencia de nivelar a todos los trabajadores a la categoría de “indocumentados”.</w:t>
      </w:r>
    </w:p>
    <w:p>
      <w:pPr>
        <w:pStyle w:val="BodyText"/>
        <w:spacing w:line="261" w:lineRule="auto"/>
        <w:ind w:left="100" w:right="117" w:firstLine="240"/>
        <w:jc w:val="both"/>
      </w:pPr>
      <w:r>
        <w:rPr>
          <w:color w:val="231F20"/>
          <w:w w:val="110"/>
        </w:rPr>
        <w:t>La nueva pirámide social que emerge de la crisis de hegemonía no se parece a la estructura social prevaleciente en Estados Unidos durante</w:t>
      </w:r>
      <w:r>
        <w:rPr>
          <w:color w:val="231F20"/>
          <w:spacing w:val="-9"/>
          <w:w w:val="110"/>
        </w:rPr>
        <w:t> </w:t>
      </w:r>
      <w:r>
        <w:rPr>
          <w:color w:val="231F20"/>
          <w:w w:val="110"/>
        </w:rPr>
        <w:t>la</w:t>
      </w:r>
      <w:r>
        <w:rPr>
          <w:color w:val="231F20"/>
          <w:spacing w:val="-9"/>
          <w:w w:val="110"/>
        </w:rPr>
        <w:t> </w:t>
      </w:r>
      <w:r>
        <w:rPr>
          <w:color w:val="231F20"/>
          <w:w w:val="110"/>
        </w:rPr>
        <w:t>segunda</w:t>
      </w:r>
      <w:r>
        <w:rPr>
          <w:color w:val="231F20"/>
          <w:spacing w:val="-9"/>
          <w:w w:val="110"/>
        </w:rPr>
        <w:t> </w:t>
      </w:r>
      <w:r>
        <w:rPr>
          <w:color w:val="231F20"/>
          <w:w w:val="110"/>
        </w:rPr>
        <w:t>mitad</w:t>
      </w:r>
      <w:r>
        <w:rPr>
          <w:color w:val="231F20"/>
          <w:spacing w:val="-9"/>
          <w:w w:val="110"/>
        </w:rPr>
        <w:t> </w:t>
      </w:r>
      <w:r>
        <w:rPr>
          <w:color w:val="231F20"/>
          <w:w w:val="110"/>
        </w:rPr>
        <w:t>del</w:t>
      </w:r>
      <w:r>
        <w:rPr>
          <w:color w:val="231F20"/>
          <w:spacing w:val="-9"/>
          <w:w w:val="110"/>
        </w:rPr>
        <w:t> </w:t>
      </w:r>
      <w:r>
        <w:rPr>
          <w:color w:val="231F20"/>
          <w:w w:val="110"/>
        </w:rPr>
        <w:t>siglo</w:t>
      </w:r>
      <w:r>
        <w:rPr>
          <w:color w:val="231F20"/>
          <w:spacing w:val="-10"/>
          <w:w w:val="110"/>
        </w:rPr>
        <w:t> </w:t>
      </w:r>
      <w:r>
        <w:rPr>
          <w:color w:val="231F20"/>
          <w:w w:val="110"/>
        </w:rPr>
        <w:t>xx.</w:t>
      </w:r>
      <w:r>
        <w:rPr>
          <w:color w:val="231F20"/>
          <w:spacing w:val="-9"/>
          <w:w w:val="110"/>
        </w:rPr>
        <w:t> </w:t>
      </w:r>
      <w:r>
        <w:rPr>
          <w:color w:val="231F20"/>
          <w:w w:val="110"/>
        </w:rPr>
        <w:t>Dicha</w:t>
      </w:r>
      <w:r>
        <w:rPr>
          <w:color w:val="231F20"/>
          <w:spacing w:val="-9"/>
          <w:w w:val="110"/>
        </w:rPr>
        <w:t> </w:t>
      </w:r>
      <w:r>
        <w:rPr>
          <w:color w:val="231F20"/>
          <w:w w:val="110"/>
        </w:rPr>
        <w:t>crisis</w:t>
      </w:r>
      <w:r>
        <w:rPr>
          <w:color w:val="231F20"/>
          <w:spacing w:val="-9"/>
          <w:w w:val="110"/>
        </w:rPr>
        <w:t> </w:t>
      </w:r>
      <w:r>
        <w:rPr>
          <w:color w:val="231F20"/>
          <w:w w:val="110"/>
        </w:rPr>
        <w:t>no</w:t>
      </w:r>
      <w:r>
        <w:rPr>
          <w:color w:val="231F20"/>
          <w:spacing w:val="-9"/>
          <w:w w:val="110"/>
        </w:rPr>
        <w:t> </w:t>
      </w:r>
      <w:r>
        <w:rPr>
          <w:color w:val="231F20"/>
          <w:w w:val="110"/>
        </w:rPr>
        <w:t>sólo</w:t>
      </w:r>
      <w:r>
        <w:rPr>
          <w:color w:val="231F20"/>
          <w:spacing w:val="-9"/>
          <w:w w:val="110"/>
        </w:rPr>
        <w:t> </w:t>
      </w:r>
      <w:r>
        <w:rPr>
          <w:color w:val="231F20"/>
          <w:w w:val="110"/>
        </w:rPr>
        <w:t>representa</w:t>
      </w:r>
    </w:p>
    <w:p>
      <w:pPr>
        <w:spacing w:after="0" w:line="261" w:lineRule="auto"/>
        <w:jc w:val="both"/>
        <w:sectPr>
          <w:headerReference w:type="even" r:id="rId50"/>
          <w:headerReference w:type="default" r:id="rId51"/>
          <w:pgSz w:w="7640" w:h="11900"/>
          <w:pgMar w:header="672" w:footer="0" w:top="860" w:bottom="280" w:left="780" w:right="640"/>
          <w:pgNumType w:start="24"/>
        </w:sectPr>
      </w:pPr>
    </w:p>
    <w:p>
      <w:pPr>
        <w:pStyle w:val="BodyText"/>
        <w:spacing w:before="8"/>
        <w:rPr>
          <w:sz w:val="8"/>
        </w:rPr>
      </w:pPr>
    </w:p>
    <w:p>
      <w:pPr>
        <w:pStyle w:val="BodyText"/>
        <w:spacing w:line="261" w:lineRule="auto" w:before="67"/>
        <w:ind w:left="100" w:right="117"/>
        <w:jc w:val="both"/>
      </w:pPr>
      <w:r>
        <w:rPr>
          <w:color w:val="231F20"/>
          <w:w w:val="110"/>
        </w:rPr>
        <w:t>un reto para la clase social tradicionalmente dominante, también es un desafío para una clase obrera que ha sido arrinconada. La clase capitalista quiere regresar a las tasas de ganancia del siglo pasado.  A su vez, los trabajadores añoran la estabilidad de sus empleos. Los capitalistas buscarán en cualquier parte del mundo las condiciones para generar ganancias. El capital puede moverse con rapidez y re- construirse políticamente, con relativa facilidad, en cualquier lugar del planeta. China y la mayoría de los países con economías emer- gentes cuentan con reservas importantes de fuerza de trabajo. Los flujos financieros dirigidos a esos países se convierten rápidamente en capitales y</w:t>
      </w:r>
      <w:r>
        <w:rPr>
          <w:color w:val="231F20"/>
          <w:spacing w:val="-24"/>
          <w:w w:val="110"/>
        </w:rPr>
        <w:t> </w:t>
      </w:r>
      <w:r>
        <w:rPr>
          <w:color w:val="231F20"/>
          <w:w w:val="110"/>
        </w:rPr>
        <w:t>ganancias.</w:t>
      </w:r>
    </w:p>
    <w:p>
      <w:pPr>
        <w:pStyle w:val="BodyText"/>
        <w:spacing w:line="261" w:lineRule="auto"/>
        <w:ind w:left="100" w:right="117" w:firstLine="240"/>
        <w:jc w:val="both"/>
      </w:pPr>
      <w:r>
        <w:rPr>
          <w:color w:val="231F20"/>
          <w:w w:val="105"/>
        </w:rPr>
        <w:t>El problema no es buscar nuevas etiquetas a las clases sociales.</w:t>
      </w:r>
      <w:r>
        <w:rPr>
          <w:color w:val="231F20"/>
          <w:spacing w:val="-28"/>
          <w:w w:val="105"/>
        </w:rPr>
        <w:t> </w:t>
      </w:r>
      <w:r>
        <w:rPr>
          <w:color w:val="231F20"/>
          <w:w w:val="105"/>
        </w:rPr>
        <w:t>¿Son capitalistas los financistas? ¿Son obreros los trabajadores precarios o las llamadas “multitudes”? Más bien, la cuestión es determinar si en Estados Unidos los trabajadores que aún conservan sus empleos y los trabajadores “precarios”  comprenden  que  tienen  intereses  comunes y comiencen a organizar instancias capaces de romper la hegemonía   de la clase dominante e iniciar un proceso que les permita construir  una sociedad con nuevos  </w:t>
      </w:r>
      <w:r>
        <w:rPr>
          <w:color w:val="231F20"/>
          <w:spacing w:val="22"/>
          <w:w w:val="105"/>
        </w:rPr>
        <w:t> </w:t>
      </w:r>
      <w:r>
        <w:rPr>
          <w:color w:val="231F20"/>
          <w:w w:val="105"/>
        </w:rPr>
        <w:t>valores.</w:t>
      </w:r>
    </w:p>
    <w:p>
      <w:pPr>
        <w:pStyle w:val="BodyText"/>
        <w:spacing w:line="261" w:lineRule="auto"/>
        <w:ind w:left="100" w:right="117" w:firstLine="240"/>
        <w:jc w:val="both"/>
      </w:pPr>
      <w:r>
        <w:rPr>
          <w:color w:val="231F20"/>
          <w:w w:val="110"/>
        </w:rPr>
        <w:t>El</w:t>
      </w:r>
      <w:r>
        <w:rPr>
          <w:color w:val="231F20"/>
          <w:spacing w:val="-15"/>
          <w:w w:val="110"/>
        </w:rPr>
        <w:t> </w:t>
      </w:r>
      <w:r>
        <w:rPr>
          <w:color w:val="231F20"/>
          <w:w w:val="110"/>
        </w:rPr>
        <w:t>grupo</w:t>
      </w:r>
      <w:r>
        <w:rPr>
          <w:color w:val="231F20"/>
          <w:spacing w:val="-15"/>
          <w:w w:val="110"/>
        </w:rPr>
        <w:t> </w:t>
      </w:r>
      <w:r>
        <w:rPr>
          <w:color w:val="231F20"/>
          <w:w w:val="110"/>
        </w:rPr>
        <w:t>de</w:t>
      </w:r>
      <w:r>
        <w:rPr>
          <w:color w:val="231F20"/>
          <w:spacing w:val="-15"/>
          <w:w w:val="110"/>
        </w:rPr>
        <w:t> </w:t>
      </w:r>
      <w:r>
        <w:rPr>
          <w:color w:val="231F20"/>
          <w:w w:val="110"/>
        </w:rPr>
        <w:t>trabajo,</w:t>
      </w:r>
      <w:r>
        <w:rPr>
          <w:color w:val="231F20"/>
          <w:spacing w:val="-15"/>
          <w:w w:val="110"/>
        </w:rPr>
        <w:t> </w:t>
      </w:r>
      <w:r>
        <w:rPr>
          <w:color w:val="231F20"/>
          <w:w w:val="110"/>
        </w:rPr>
        <w:t>estuvo</w:t>
      </w:r>
      <w:r>
        <w:rPr>
          <w:color w:val="231F20"/>
          <w:spacing w:val="-15"/>
          <w:w w:val="110"/>
        </w:rPr>
        <w:t> </w:t>
      </w:r>
      <w:r>
        <w:rPr>
          <w:color w:val="231F20"/>
          <w:w w:val="110"/>
        </w:rPr>
        <w:t>integrado</w:t>
      </w:r>
      <w:r>
        <w:rPr>
          <w:color w:val="231F20"/>
          <w:spacing w:val="-15"/>
          <w:w w:val="110"/>
        </w:rPr>
        <w:t> </w:t>
      </w:r>
      <w:r>
        <w:rPr>
          <w:color w:val="231F20"/>
          <w:w w:val="110"/>
        </w:rPr>
        <w:t>por</w:t>
      </w:r>
      <w:r>
        <w:rPr>
          <w:color w:val="231F20"/>
          <w:spacing w:val="-15"/>
          <w:w w:val="110"/>
        </w:rPr>
        <w:t> </w:t>
      </w:r>
      <w:r>
        <w:rPr>
          <w:color w:val="231F20"/>
          <w:w w:val="110"/>
        </w:rPr>
        <w:t>20</w:t>
      </w:r>
      <w:r>
        <w:rPr>
          <w:color w:val="231F20"/>
          <w:spacing w:val="-15"/>
          <w:w w:val="110"/>
        </w:rPr>
        <w:t> </w:t>
      </w:r>
      <w:r>
        <w:rPr>
          <w:color w:val="231F20"/>
          <w:w w:val="110"/>
        </w:rPr>
        <w:t>investigadores</w:t>
      </w:r>
      <w:r>
        <w:rPr>
          <w:color w:val="231F20"/>
          <w:spacing w:val="-15"/>
          <w:w w:val="110"/>
        </w:rPr>
        <w:t> </w:t>
      </w:r>
      <w:r>
        <w:rPr>
          <w:color w:val="231F20"/>
          <w:w w:val="110"/>
        </w:rPr>
        <w:t>activos pertenecientes a centros miembros de clacso de diversos países de América Latina (Argentina, Brasil, Colombia, Chile, Cuba, México, Panamá, Puerto Rico) y Estados Unidos. A lo largo de los seis años de actividad continua, realizó 12 reuniones y actividades especiales en</w:t>
      </w:r>
      <w:r>
        <w:rPr>
          <w:color w:val="231F20"/>
          <w:spacing w:val="-10"/>
          <w:w w:val="110"/>
        </w:rPr>
        <w:t> </w:t>
      </w:r>
      <w:r>
        <w:rPr>
          <w:color w:val="231F20"/>
          <w:w w:val="110"/>
        </w:rPr>
        <w:t>diversos</w:t>
      </w:r>
      <w:r>
        <w:rPr>
          <w:color w:val="231F20"/>
          <w:spacing w:val="-10"/>
          <w:w w:val="110"/>
        </w:rPr>
        <w:t> </w:t>
      </w:r>
      <w:r>
        <w:rPr>
          <w:color w:val="231F20"/>
          <w:w w:val="110"/>
        </w:rPr>
        <w:t>países:</w:t>
      </w:r>
      <w:r>
        <w:rPr>
          <w:color w:val="231F20"/>
          <w:spacing w:val="-10"/>
          <w:w w:val="110"/>
        </w:rPr>
        <w:t> </w:t>
      </w:r>
      <w:r>
        <w:rPr>
          <w:color w:val="231F20"/>
          <w:w w:val="110"/>
        </w:rPr>
        <w:t>Panamá</w:t>
      </w:r>
      <w:r>
        <w:rPr>
          <w:color w:val="231F20"/>
          <w:spacing w:val="-10"/>
          <w:w w:val="110"/>
        </w:rPr>
        <w:t> </w:t>
      </w:r>
      <w:r>
        <w:rPr>
          <w:color w:val="231F20"/>
          <w:w w:val="110"/>
        </w:rPr>
        <w:t>(3),</w:t>
      </w:r>
      <w:r>
        <w:rPr>
          <w:color w:val="231F20"/>
          <w:spacing w:val="-10"/>
          <w:w w:val="110"/>
        </w:rPr>
        <w:t> </w:t>
      </w:r>
      <w:r>
        <w:rPr>
          <w:color w:val="231F20"/>
          <w:w w:val="110"/>
        </w:rPr>
        <w:t>Quito</w:t>
      </w:r>
      <w:r>
        <w:rPr>
          <w:color w:val="231F20"/>
          <w:spacing w:val="-10"/>
          <w:w w:val="110"/>
        </w:rPr>
        <w:t> </w:t>
      </w:r>
      <w:r>
        <w:rPr>
          <w:color w:val="231F20"/>
          <w:w w:val="110"/>
        </w:rPr>
        <w:t>(2),</w:t>
      </w:r>
      <w:r>
        <w:rPr>
          <w:color w:val="231F20"/>
          <w:spacing w:val="-10"/>
          <w:w w:val="110"/>
        </w:rPr>
        <w:t> </w:t>
      </w:r>
      <w:r>
        <w:rPr>
          <w:color w:val="231F20"/>
          <w:w w:val="110"/>
        </w:rPr>
        <w:t>México</w:t>
      </w:r>
      <w:r>
        <w:rPr>
          <w:color w:val="231F20"/>
          <w:spacing w:val="-10"/>
          <w:w w:val="110"/>
        </w:rPr>
        <w:t> </w:t>
      </w:r>
      <w:r>
        <w:rPr>
          <w:color w:val="231F20"/>
          <w:w w:val="110"/>
        </w:rPr>
        <w:t>(1),</w:t>
      </w:r>
      <w:r>
        <w:rPr>
          <w:color w:val="231F20"/>
          <w:spacing w:val="-10"/>
          <w:w w:val="110"/>
        </w:rPr>
        <w:t> </w:t>
      </w:r>
      <w:r>
        <w:rPr>
          <w:color w:val="231F20"/>
          <w:w w:val="110"/>
        </w:rPr>
        <w:t>Río</w:t>
      </w:r>
      <w:r>
        <w:rPr>
          <w:color w:val="231F20"/>
          <w:spacing w:val="-10"/>
          <w:w w:val="110"/>
        </w:rPr>
        <w:t> </w:t>
      </w:r>
      <w:r>
        <w:rPr>
          <w:color w:val="231F20"/>
          <w:w w:val="110"/>
        </w:rPr>
        <w:t>de</w:t>
      </w:r>
      <w:r>
        <w:rPr>
          <w:color w:val="231F20"/>
          <w:spacing w:val="-10"/>
          <w:w w:val="110"/>
        </w:rPr>
        <w:t> </w:t>
      </w:r>
      <w:r>
        <w:rPr>
          <w:color w:val="231F20"/>
          <w:w w:val="110"/>
        </w:rPr>
        <w:t>Janeiro (2), Buenos Aires (1), Boston (1), La Habana (1) y </w:t>
      </w:r>
      <w:r>
        <w:rPr>
          <w:color w:val="231F20"/>
          <w:spacing w:val="-3"/>
          <w:w w:val="110"/>
        </w:rPr>
        <w:t>Toronto </w:t>
      </w:r>
      <w:r>
        <w:rPr>
          <w:color w:val="231F20"/>
          <w:w w:val="110"/>
        </w:rPr>
        <w:t>(1), la mayoría de ellas, en el marco de otros eventos nacionales e inter- nacionales de trascendencia académica (Congreso de la Asociación Latinoamericana de Sociología, alas, Guadalajara y Buenos Aires; Congreso de la Latin American Studies Association, lasa, Río de Janeiro y </w:t>
      </w:r>
      <w:r>
        <w:rPr>
          <w:color w:val="231F20"/>
          <w:spacing w:val="-3"/>
          <w:w w:val="110"/>
        </w:rPr>
        <w:t>Toronto; </w:t>
      </w:r>
      <w:r>
        <w:rPr>
          <w:color w:val="231F20"/>
          <w:w w:val="110"/>
        </w:rPr>
        <w:t>Conferencia Internacional del Centro de Estudios sobre América, cea, La Habana; Conferencia de Critical Sociology, Boston; Congreso Nacional de Sociología de Panamá, entre</w:t>
      </w:r>
      <w:r>
        <w:rPr>
          <w:color w:val="231F20"/>
          <w:spacing w:val="42"/>
          <w:w w:val="110"/>
        </w:rPr>
        <w:t> </w:t>
      </w:r>
      <w:r>
        <w:rPr>
          <w:color w:val="231F20"/>
          <w:w w:val="110"/>
        </w:rPr>
        <w:t>otras).</w:t>
      </w:r>
    </w:p>
    <w:p>
      <w:pPr>
        <w:pStyle w:val="BodyText"/>
        <w:spacing w:line="261" w:lineRule="auto"/>
        <w:ind w:left="100" w:right="119" w:firstLine="240"/>
        <w:jc w:val="both"/>
      </w:pPr>
      <w:r>
        <w:rPr>
          <w:color w:val="231F20"/>
          <w:w w:val="110"/>
        </w:rPr>
        <w:t>El presente libro es el resultado de esfuerzos convergentes y con- tinuados, enfocados a la crisis global capitalista y su epicentro en Estados</w:t>
      </w:r>
      <w:r>
        <w:rPr>
          <w:color w:val="231F20"/>
          <w:spacing w:val="-14"/>
          <w:w w:val="110"/>
        </w:rPr>
        <w:t> </w:t>
      </w:r>
      <w:r>
        <w:rPr>
          <w:color w:val="231F20"/>
          <w:w w:val="110"/>
        </w:rPr>
        <w:t>Unidos,</w:t>
      </w:r>
      <w:r>
        <w:rPr>
          <w:color w:val="231F20"/>
          <w:spacing w:val="-14"/>
          <w:w w:val="110"/>
        </w:rPr>
        <w:t> </w:t>
      </w:r>
      <w:r>
        <w:rPr>
          <w:color w:val="231F20"/>
          <w:w w:val="110"/>
        </w:rPr>
        <w:t>a</w:t>
      </w:r>
      <w:r>
        <w:rPr>
          <w:color w:val="231F20"/>
          <w:spacing w:val="-14"/>
          <w:w w:val="110"/>
        </w:rPr>
        <w:t> </w:t>
      </w:r>
      <w:r>
        <w:rPr>
          <w:color w:val="231F20"/>
          <w:w w:val="110"/>
        </w:rPr>
        <w:t>finales</w:t>
      </w:r>
      <w:r>
        <w:rPr>
          <w:color w:val="231F20"/>
          <w:spacing w:val="-14"/>
          <w:w w:val="110"/>
        </w:rPr>
        <w:t> </w:t>
      </w:r>
      <w:r>
        <w:rPr>
          <w:color w:val="231F20"/>
          <w:w w:val="110"/>
        </w:rPr>
        <w:t>de</w:t>
      </w:r>
      <w:r>
        <w:rPr>
          <w:color w:val="231F20"/>
          <w:spacing w:val="-14"/>
          <w:w w:val="110"/>
        </w:rPr>
        <w:t> </w:t>
      </w:r>
      <w:r>
        <w:rPr>
          <w:color w:val="231F20"/>
          <w:w w:val="110"/>
        </w:rPr>
        <w:t>2008,</w:t>
      </w:r>
      <w:r>
        <w:rPr>
          <w:color w:val="231F20"/>
          <w:spacing w:val="-14"/>
          <w:w w:val="110"/>
        </w:rPr>
        <w:t> </w:t>
      </w:r>
      <w:r>
        <w:rPr>
          <w:color w:val="231F20"/>
          <w:w w:val="110"/>
        </w:rPr>
        <w:t>sus</w:t>
      </w:r>
      <w:r>
        <w:rPr>
          <w:color w:val="231F20"/>
          <w:spacing w:val="-14"/>
          <w:w w:val="110"/>
        </w:rPr>
        <w:t> </w:t>
      </w:r>
      <w:r>
        <w:rPr>
          <w:color w:val="231F20"/>
          <w:w w:val="110"/>
        </w:rPr>
        <w:t>consecuencias</w:t>
      </w:r>
      <w:r>
        <w:rPr>
          <w:color w:val="231F20"/>
          <w:spacing w:val="-14"/>
          <w:w w:val="110"/>
        </w:rPr>
        <w:t> </w:t>
      </w:r>
      <w:r>
        <w:rPr>
          <w:color w:val="231F20"/>
          <w:w w:val="110"/>
        </w:rPr>
        <w:t>sobre</w:t>
      </w:r>
      <w:r>
        <w:rPr>
          <w:color w:val="231F20"/>
          <w:spacing w:val="-14"/>
          <w:w w:val="110"/>
        </w:rPr>
        <w:t> </w:t>
      </w:r>
      <w:r>
        <w:rPr>
          <w:color w:val="231F20"/>
          <w:w w:val="110"/>
        </w:rPr>
        <w:t>las</w:t>
      </w:r>
      <w:r>
        <w:rPr>
          <w:color w:val="231F20"/>
          <w:spacing w:val="-14"/>
          <w:w w:val="110"/>
        </w:rPr>
        <w:t> </w:t>
      </w:r>
      <w:r>
        <w:rPr>
          <w:color w:val="231F20"/>
          <w:w w:val="110"/>
        </w:rPr>
        <w:t>condi- ciones</w:t>
      </w:r>
      <w:r>
        <w:rPr>
          <w:color w:val="231F20"/>
          <w:spacing w:val="-5"/>
          <w:w w:val="110"/>
        </w:rPr>
        <w:t> </w:t>
      </w:r>
      <w:r>
        <w:rPr>
          <w:color w:val="231F20"/>
          <w:w w:val="110"/>
        </w:rPr>
        <w:t>internas</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posible</w:t>
      </w:r>
      <w:r>
        <w:rPr>
          <w:color w:val="231F20"/>
          <w:spacing w:val="-5"/>
          <w:w w:val="110"/>
        </w:rPr>
        <w:t> </w:t>
      </w:r>
      <w:r>
        <w:rPr>
          <w:color w:val="231F20"/>
          <w:w w:val="110"/>
        </w:rPr>
        <w:t>impacto</w:t>
      </w:r>
      <w:r>
        <w:rPr>
          <w:color w:val="231F20"/>
          <w:spacing w:val="-5"/>
          <w:w w:val="110"/>
        </w:rPr>
        <w:t> </w:t>
      </w:r>
      <w:r>
        <w:rPr>
          <w:color w:val="231F20"/>
          <w:w w:val="110"/>
        </w:rPr>
        <w:t>en</w:t>
      </w:r>
      <w:r>
        <w:rPr>
          <w:color w:val="231F20"/>
          <w:spacing w:val="-5"/>
          <w:w w:val="110"/>
        </w:rPr>
        <w:t> </w:t>
      </w:r>
      <w:r>
        <w:rPr>
          <w:color w:val="231F20"/>
          <w:w w:val="110"/>
        </w:rPr>
        <w:t>América</w:t>
      </w:r>
      <w:r>
        <w:rPr>
          <w:color w:val="231F20"/>
          <w:spacing w:val="-5"/>
          <w:w w:val="110"/>
        </w:rPr>
        <w:t> </w:t>
      </w:r>
      <w:r>
        <w:rPr>
          <w:color w:val="231F20"/>
          <w:w w:val="110"/>
        </w:rPr>
        <w:t>Latina.</w:t>
      </w:r>
      <w:r>
        <w:rPr>
          <w:color w:val="231F20"/>
          <w:spacing w:val="-5"/>
          <w:w w:val="110"/>
        </w:rPr>
        <w:t> </w:t>
      </w:r>
      <w:r>
        <w:rPr>
          <w:color w:val="231F20"/>
          <w:w w:val="110"/>
        </w:rPr>
        <w:t>La</w:t>
      </w:r>
      <w:r>
        <w:rPr>
          <w:color w:val="231F20"/>
          <w:spacing w:val="-5"/>
          <w:w w:val="110"/>
        </w:rPr>
        <w:t> </w:t>
      </w:r>
      <w:r>
        <w:rPr>
          <w:color w:val="231F20"/>
          <w:w w:val="110"/>
        </w:rPr>
        <w:t>presenta- ción del libro es de Theotonio Dos Santos, profesor investigador de la Universidad Fluminense de Río de Janeiro, destacado</w:t>
      </w:r>
      <w:r>
        <w:rPr>
          <w:color w:val="231F20"/>
          <w:spacing w:val="6"/>
          <w:w w:val="110"/>
        </w:rPr>
        <w:t> </w:t>
      </w:r>
      <w:r>
        <w:rPr>
          <w:color w:val="231F20"/>
          <w:w w:val="110"/>
        </w:rPr>
        <w:t>economista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latinoamericano,   ampliamente   reconocido   por   sus   contribuciones a los estudios del  desarrollo  y  la  dependencia  de  América  Latina. El prólogo es de John Saxe-Fernández, docente de la Facultad de Ciencias Políticas y Sociales, y coordinador del Programa “El Mundo en el siglo xxi” de la Universidad Nacional Autónoma de México, estudioso de los procesos de globalización y la dinámica de la econo- mía mundial. En la introducción: “Estados Unidos en la encrucijada global”, de Dídimo Castillo Fernández y Marco A. Gandásegui, hijo, ex coordinadores del grupo de trabajo, se plantean los antecedentes,    la problemática de estudio y se sintetizan los planteamientos centrales de  las  contribuciones  de  los  autores</w:t>
      </w:r>
      <w:r>
        <w:rPr>
          <w:color w:val="231F20"/>
          <w:spacing w:val="-11"/>
          <w:w w:val="105"/>
        </w:rPr>
        <w:t> </w:t>
      </w:r>
      <w:r>
        <w:rPr>
          <w:color w:val="231F20"/>
          <w:w w:val="105"/>
        </w:rPr>
        <w:t>participantes.</w:t>
      </w:r>
    </w:p>
    <w:p>
      <w:pPr>
        <w:pStyle w:val="BodyText"/>
        <w:spacing w:line="261" w:lineRule="auto"/>
        <w:ind w:left="100" w:right="117" w:firstLine="240"/>
        <w:jc w:val="both"/>
      </w:pPr>
      <w:r>
        <w:rPr>
          <w:color w:val="231F20"/>
          <w:w w:val="110"/>
        </w:rPr>
        <w:t>El libro se estructura en tres secciones temáticas: la primera</w:t>
      </w:r>
      <w:r>
        <w:rPr>
          <w:color w:val="231F20"/>
          <w:spacing w:val="-12"/>
          <w:w w:val="110"/>
        </w:rPr>
        <w:t> </w:t>
      </w:r>
      <w:r>
        <w:rPr>
          <w:color w:val="231F20"/>
          <w:w w:val="110"/>
        </w:rPr>
        <w:t>enfa- tiza</w:t>
      </w:r>
      <w:r>
        <w:rPr>
          <w:color w:val="231F20"/>
          <w:spacing w:val="-9"/>
          <w:w w:val="110"/>
        </w:rPr>
        <w:t> </w:t>
      </w:r>
      <w:r>
        <w:rPr>
          <w:color w:val="231F20"/>
          <w:w w:val="110"/>
        </w:rPr>
        <w:t>sobre</w:t>
      </w:r>
      <w:r>
        <w:rPr>
          <w:color w:val="231F20"/>
          <w:spacing w:val="-9"/>
          <w:w w:val="110"/>
        </w:rPr>
        <w:t> </w:t>
      </w:r>
      <w:r>
        <w:rPr>
          <w:color w:val="231F20"/>
          <w:w w:val="110"/>
        </w:rPr>
        <w:t>el</w:t>
      </w:r>
      <w:r>
        <w:rPr>
          <w:color w:val="231F20"/>
          <w:spacing w:val="-9"/>
          <w:w w:val="110"/>
        </w:rPr>
        <w:t> </w:t>
      </w:r>
      <w:r>
        <w:rPr>
          <w:color w:val="231F20"/>
          <w:w w:val="110"/>
        </w:rPr>
        <w:t>significado</w:t>
      </w:r>
      <w:r>
        <w:rPr>
          <w:color w:val="231F20"/>
          <w:spacing w:val="-9"/>
          <w:w w:val="110"/>
        </w:rPr>
        <w:t> </w:t>
      </w:r>
      <w:r>
        <w:rPr>
          <w:color w:val="231F20"/>
          <w:w w:val="110"/>
        </w:rPr>
        <w:t>y</w:t>
      </w:r>
      <w:r>
        <w:rPr>
          <w:color w:val="231F20"/>
          <w:spacing w:val="-9"/>
          <w:w w:val="110"/>
        </w:rPr>
        <w:t> </w:t>
      </w:r>
      <w:r>
        <w:rPr>
          <w:color w:val="231F20"/>
          <w:w w:val="110"/>
        </w:rPr>
        <w:t>carácter</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económica</w:t>
      </w:r>
      <w:r>
        <w:rPr>
          <w:color w:val="231F20"/>
          <w:spacing w:val="-9"/>
          <w:w w:val="110"/>
        </w:rPr>
        <w:t> </w:t>
      </w:r>
      <w:r>
        <w:rPr>
          <w:color w:val="231F20"/>
          <w:w w:val="110"/>
        </w:rPr>
        <w:t>actual</w:t>
      </w:r>
      <w:r>
        <w:rPr>
          <w:color w:val="231F20"/>
          <w:spacing w:val="-9"/>
          <w:w w:val="110"/>
        </w:rPr>
        <w:t> </w:t>
      </w:r>
      <w:r>
        <w:rPr>
          <w:color w:val="231F20"/>
          <w:w w:val="110"/>
        </w:rPr>
        <w:t>y</w:t>
      </w:r>
      <w:r>
        <w:rPr>
          <w:color w:val="231F20"/>
          <w:spacing w:val="-9"/>
          <w:w w:val="110"/>
        </w:rPr>
        <w:t> </w:t>
      </w:r>
      <w:r>
        <w:rPr>
          <w:color w:val="231F20"/>
          <w:w w:val="110"/>
        </w:rPr>
        <w:t>sus consecuencias para Estados Unidos y el resto del mundo en el me- diano y largo plazo; la segunda recoge un conjunto de trabajos</w:t>
      </w:r>
      <w:r>
        <w:rPr>
          <w:color w:val="231F20"/>
          <w:spacing w:val="-22"/>
          <w:w w:val="110"/>
        </w:rPr>
        <w:t> </w:t>
      </w:r>
      <w:r>
        <w:rPr>
          <w:color w:val="231F20"/>
          <w:w w:val="110"/>
        </w:rPr>
        <w:t>enfo- cados a mostrar la pérdida de hegemonía de Estado Unidos respecto a la correlación de fuerzas internacionales, los cambios</w:t>
      </w:r>
      <w:r>
        <w:rPr>
          <w:color w:val="231F20"/>
          <w:spacing w:val="-20"/>
          <w:w w:val="110"/>
        </w:rPr>
        <w:t> </w:t>
      </w:r>
      <w:r>
        <w:rPr>
          <w:color w:val="231F20"/>
          <w:w w:val="110"/>
        </w:rPr>
        <w:t>tecnológicos y el entorno de deterioro de las condiciones sociales —acentuadas con</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su</w:t>
      </w:r>
      <w:r>
        <w:rPr>
          <w:color w:val="231F20"/>
          <w:spacing w:val="-10"/>
          <w:w w:val="110"/>
        </w:rPr>
        <w:t> </w:t>
      </w:r>
      <w:r>
        <w:rPr>
          <w:color w:val="231F20"/>
          <w:w w:val="110"/>
        </w:rPr>
        <w:t>impacto</w:t>
      </w:r>
      <w:r>
        <w:rPr>
          <w:color w:val="231F20"/>
          <w:spacing w:val="-10"/>
          <w:w w:val="110"/>
        </w:rPr>
        <w:t> </w:t>
      </w:r>
      <w:r>
        <w:rPr>
          <w:color w:val="231F20"/>
          <w:w w:val="110"/>
        </w:rPr>
        <w:t>sobre</w:t>
      </w:r>
      <w:r>
        <w:rPr>
          <w:color w:val="231F20"/>
          <w:spacing w:val="-10"/>
          <w:w w:val="110"/>
        </w:rPr>
        <w:t> </w:t>
      </w:r>
      <w:r>
        <w:rPr>
          <w:color w:val="231F20"/>
          <w:w w:val="110"/>
        </w:rPr>
        <w:t>el</w:t>
      </w:r>
      <w:r>
        <w:rPr>
          <w:color w:val="231F20"/>
          <w:spacing w:val="-10"/>
          <w:w w:val="110"/>
        </w:rPr>
        <w:t> </w:t>
      </w:r>
      <w:r>
        <w:rPr>
          <w:color w:val="231F20"/>
          <w:w w:val="110"/>
        </w:rPr>
        <w:t>empleo</w:t>
      </w:r>
      <w:r>
        <w:rPr>
          <w:color w:val="231F20"/>
          <w:spacing w:val="-10"/>
          <w:w w:val="110"/>
        </w:rPr>
        <w:t> </w:t>
      </w:r>
      <w:r>
        <w:rPr>
          <w:color w:val="231F20"/>
          <w:w w:val="110"/>
        </w:rPr>
        <w:t>y</w:t>
      </w:r>
      <w:r>
        <w:rPr>
          <w:color w:val="231F20"/>
          <w:spacing w:val="-10"/>
          <w:w w:val="110"/>
        </w:rPr>
        <w:t> </w:t>
      </w:r>
      <w:r>
        <w:rPr>
          <w:color w:val="231F20"/>
          <w:w w:val="110"/>
        </w:rPr>
        <w:t>las</w:t>
      </w:r>
      <w:r>
        <w:rPr>
          <w:color w:val="231F20"/>
          <w:spacing w:val="-10"/>
          <w:w w:val="110"/>
        </w:rPr>
        <w:t> </w:t>
      </w:r>
      <w:r>
        <w:rPr>
          <w:color w:val="231F20"/>
          <w:w w:val="110"/>
        </w:rPr>
        <w:t>condiciones</w:t>
      </w:r>
      <w:r>
        <w:rPr>
          <w:color w:val="231F20"/>
          <w:spacing w:val="-10"/>
          <w:w w:val="110"/>
        </w:rPr>
        <w:t> </w:t>
      </w:r>
      <w:r>
        <w:rPr>
          <w:color w:val="231F20"/>
          <w:w w:val="110"/>
        </w:rPr>
        <w:t>de</w:t>
      </w:r>
      <w:r>
        <w:rPr>
          <w:color w:val="231F20"/>
          <w:spacing w:val="-10"/>
          <w:w w:val="110"/>
        </w:rPr>
        <w:t> </w:t>
      </w:r>
      <w:r>
        <w:rPr>
          <w:color w:val="231F20"/>
          <w:w w:val="110"/>
        </w:rPr>
        <w:t>vida, así como sobre el sistema de creencias y valores que dieron sentido político y coherencia simbólica al llamado “sueño americano”; la tercera sección es sobre la nueva geopolítica de Estados Unidos, la política exterior de la administración del presidente Barack Obama hacia América Latina y los escenarios posibles para esta</w:t>
      </w:r>
      <w:r>
        <w:rPr>
          <w:color w:val="231F20"/>
          <w:spacing w:val="-27"/>
          <w:w w:val="110"/>
        </w:rPr>
        <w:t> </w:t>
      </w:r>
      <w:r>
        <w:rPr>
          <w:color w:val="231F20"/>
          <w:w w:val="110"/>
        </w:rPr>
        <w:t>región.</w:t>
      </w:r>
    </w:p>
    <w:p>
      <w:pPr>
        <w:pStyle w:val="BodyText"/>
      </w:pPr>
    </w:p>
    <w:p>
      <w:pPr>
        <w:pStyle w:val="BodyText"/>
      </w:pPr>
    </w:p>
    <w:p>
      <w:pPr>
        <w:pStyle w:val="BodyText"/>
        <w:spacing w:before="2"/>
        <w:rPr>
          <w:sz w:val="25"/>
        </w:rPr>
      </w:pPr>
    </w:p>
    <w:p>
      <w:pPr>
        <w:pStyle w:val="BodyText"/>
        <w:ind w:left="100"/>
        <w:jc w:val="both"/>
      </w:pPr>
      <w:r>
        <w:rPr>
          <w:color w:val="231F20"/>
          <w:w w:val="125"/>
        </w:rPr>
        <w:t>crisis mundial o crisis del capitalismo</w:t>
      </w:r>
    </w:p>
    <w:p>
      <w:pPr>
        <w:pStyle w:val="BodyText"/>
        <w:spacing w:before="5"/>
        <w:rPr>
          <w:sz w:val="23"/>
        </w:rPr>
      </w:pPr>
    </w:p>
    <w:p>
      <w:pPr>
        <w:pStyle w:val="BodyText"/>
        <w:spacing w:line="261" w:lineRule="auto"/>
        <w:ind w:left="100" w:right="117"/>
        <w:jc w:val="both"/>
      </w:pPr>
      <w:r>
        <w:rPr>
          <w:color w:val="231F20"/>
          <w:w w:val="110"/>
        </w:rPr>
        <w:t>En el primer capítulo, de Theotonio Dos Santos, profesor de la Uni- versidad</w:t>
      </w:r>
      <w:r>
        <w:rPr>
          <w:color w:val="231F20"/>
          <w:spacing w:val="-8"/>
          <w:w w:val="110"/>
        </w:rPr>
        <w:t> </w:t>
      </w:r>
      <w:r>
        <w:rPr>
          <w:color w:val="231F20"/>
          <w:w w:val="110"/>
        </w:rPr>
        <w:t>Fluminense</w:t>
      </w:r>
      <w:r>
        <w:rPr>
          <w:color w:val="231F20"/>
          <w:spacing w:val="-8"/>
          <w:w w:val="110"/>
        </w:rPr>
        <w:t> </w:t>
      </w:r>
      <w:r>
        <w:rPr>
          <w:color w:val="231F20"/>
          <w:w w:val="110"/>
        </w:rPr>
        <w:t>de</w:t>
      </w:r>
      <w:r>
        <w:rPr>
          <w:color w:val="231F20"/>
          <w:spacing w:val="-8"/>
          <w:w w:val="110"/>
        </w:rPr>
        <w:t> </w:t>
      </w:r>
      <w:r>
        <w:rPr>
          <w:color w:val="231F20"/>
          <w:w w:val="110"/>
        </w:rPr>
        <w:t>Río</w:t>
      </w:r>
      <w:r>
        <w:rPr>
          <w:color w:val="231F20"/>
          <w:spacing w:val="-8"/>
          <w:w w:val="110"/>
        </w:rPr>
        <w:t> </w:t>
      </w:r>
      <w:r>
        <w:rPr>
          <w:color w:val="231F20"/>
          <w:w w:val="110"/>
        </w:rPr>
        <w:t>de</w:t>
      </w:r>
      <w:r>
        <w:rPr>
          <w:color w:val="231F20"/>
          <w:spacing w:val="-8"/>
          <w:w w:val="110"/>
        </w:rPr>
        <w:t> </w:t>
      </w:r>
      <w:r>
        <w:rPr>
          <w:color w:val="231F20"/>
          <w:w w:val="110"/>
        </w:rPr>
        <w:t>Janeiro,</w:t>
      </w:r>
      <w:r>
        <w:rPr>
          <w:color w:val="231F20"/>
          <w:spacing w:val="-8"/>
          <w:w w:val="110"/>
        </w:rPr>
        <w:t> </w:t>
      </w:r>
      <w:r>
        <w:rPr>
          <w:color w:val="231F20"/>
          <w:w w:val="110"/>
        </w:rPr>
        <w:t>“Crisis</w:t>
      </w:r>
      <w:r>
        <w:rPr>
          <w:color w:val="231F20"/>
          <w:spacing w:val="-8"/>
          <w:w w:val="110"/>
        </w:rPr>
        <w:t> </w:t>
      </w:r>
      <w:r>
        <w:rPr>
          <w:color w:val="231F20"/>
          <w:w w:val="110"/>
        </w:rPr>
        <w:t>estructural</w:t>
      </w:r>
      <w:r>
        <w:rPr>
          <w:color w:val="231F20"/>
          <w:spacing w:val="-8"/>
          <w:w w:val="110"/>
        </w:rPr>
        <w:t> </w:t>
      </w:r>
      <w:r>
        <w:rPr>
          <w:color w:val="231F20"/>
          <w:w w:val="110"/>
        </w:rPr>
        <w:t>y</w:t>
      </w:r>
      <w:r>
        <w:rPr>
          <w:color w:val="231F20"/>
          <w:spacing w:val="-8"/>
          <w:w w:val="110"/>
        </w:rPr>
        <w:t> </w:t>
      </w:r>
      <w:r>
        <w:rPr>
          <w:color w:val="231F20"/>
          <w:w w:val="110"/>
        </w:rPr>
        <w:t>crisis</w:t>
      </w:r>
      <w:r>
        <w:rPr>
          <w:color w:val="231F20"/>
          <w:spacing w:val="-8"/>
          <w:w w:val="110"/>
        </w:rPr>
        <w:t> </w:t>
      </w:r>
      <w:r>
        <w:rPr>
          <w:color w:val="231F20"/>
          <w:w w:val="110"/>
        </w:rPr>
        <w:t>de coyuntura en el capitalismo contemporáneo” se analiza uno de los conceptos más importantes de la teoría económica de Karl Marx: la crisis</w:t>
      </w:r>
      <w:r>
        <w:rPr>
          <w:color w:val="231F20"/>
          <w:spacing w:val="-7"/>
          <w:w w:val="110"/>
        </w:rPr>
        <w:t> </w:t>
      </w:r>
      <w:r>
        <w:rPr>
          <w:color w:val="231F20"/>
          <w:w w:val="110"/>
        </w:rPr>
        <w:t>estructural</w:t>
      </w:r>
      <w:r>
        <w:rPr>
          <w:color w:val="231F20"/>
          <w:spacing w:val="-7"/>
          <w:w w:val="110"/>
        </w:rPr>
        <w:t> </w:t>
      </w:r>
      <w:r>
        <w:rPr>
          <w:color w:val="231F20"/>
          <w:w w:val="110"/>
        </w:rPr>
        <w:t>del</w:t>
      </w:r>
      <w:r>
        <w:rPr>
          <w:color w:val="231F20"/>
          <w:spacing w:val="-7"/>
          <w:w w:val="110"/>
        </w:rPr>
        <w:t> </w:t>
      </w:r>
      <w:r>
        <w:rPr>
          <w:color w:val="231F20"/>
          <w:w w:val="110"/>
        </w:rPr>
        <w:t>modo</w:t>
      </w:r>
      <w:r>
        <w:rPr>
          <w:color w:val="231F20"/>
          <w:spacing w:val="-7"/>
          <w:w w:val="110"/>
        </w:rPr>
        <w:t> </w:t>
      </w:r>
      <w:r>
        <w:rPr>
          <w:color w:val="231F20"/>
          <w:w w:val="110"/>
        </w:rPr>
        <w:t>de</w:t>
      </w:r>
      <w:r>
        <w:rPr>
          <w:color w:val="231F20"/>
          <w:spacing w:val="-7"/>
          <w:w w:val="110"/>
        </w:rPr>
        <w:t> </w:t>
      </w:r>
      <w:r>
        <w:rPr>
          <w:color w:val="231F20"/>
          <w:w w:val="110"/>
        </w:rPr>
        <w:t>producción</w:t>
      </w:r>
      <w:r>
        <w:rPr>
          <w:color w:val="231F20"/>
          <w:spacing w:val="-7"/>
          <w:w w:val="110"/>
        </w:rPr>
        <w:t> </w:t>
      </w:r>
      <w:r>
        <w:rPr>
          <w:color w:val="231F20"/>
          <w:w w:val="110"/>
        </w:rPr>
        <w:t>capitalista.</w:t>
      </w:r>
      <w:r>
        <w:rPr>
          <w:color w:val="231F20"/>
          <w:spacing w:val="-7"/>
          <w:w w:val="110"/>
        </w:rPr>
        <w:t> </w:t>
      </w:r>
      <w:r>
        <w:rPr>
          <w:color w:val="231F20"/>
          <w:w w:val="110"/>
        </w:rPr>
        <w:t>El</w:t>
      </w:r>
      <w:r>
        <w:rPr>
          <w:color w:val="231F20"/>
          <w:spacing w:val="-7"/>
          <w:w w:val="110"/>
        </w:rPr>
        <w:t> </w:t>
      </w:r>
      <w:r>
        <w:rPr>
          <w:color w:val="231F20"/>
          <w:w w:val="110"/>
        </w:rPr>
        <w:t>autor</w:t>
      </w:r>
      <w:r>
        <w:rPr>
          <w:color w:val="231F20"/>
          <w:spacing w:val="-7"/>
          <w:w w:val="110"/>
        </w:rPr>
        <w:t> </w:t>
      </w:r>
      <w:r>
        <w:rPr>
          <w:color w:val="231F20"/>
          <w:w w:val="110"/>
        </w:rPr>
        <w:t>aborda el</w:t>
      </w:r>
      <w:r>
        <w:rPr>
          <w:color w:val="231F20"/>
          <w:spacing w:val="-9"/>
          <w:w w:val="110"/>
        </w:rPr>
        <w:t> </w:t>
      </w:r>
      <w:r>
        <w:rPr>
          <w:color w:val="231F20"/>
          <w:w w:val="110"/>
        </w:rPr>
        <w:t>tema</w:t>
      </w:r>
      <w:r>
        <w:rPr>
          <w:color w:val="231F20"/>
          <w:spacing w:val="-9"/>
          <w:w w:val="110"/>
        </w:rPr>
        <w:t> </w:t>
      </w:r>
      <w:r>
        <w:rPr>
          <w:color w:val="231F20"/>
          <w:w w:val="110"/>
        </w:rPr>
        <w:t>desde</w:t>
      </w:r>
      <w:r>
        <w:rPr>
          <w:color w:val="231F20"/>
          <w:spacing w:val="-9"/>
          <w:w w:val="110"/>
        </w:rPr>
        <w:t> </w:t>
      </w:r>
      <w:r>
        <w:rPr>
          <w:color w:val="231F20"/>
          <w:w w:val="110"/>
        </w:rPr>
        <w:t>las</w:t>
      </w:r>
      <w:r>
        <w:rPr>
          <w:color w:val="231F20"/>
          <w:spacing w:val="-9"/>
          <w:w w:val="110"/>
        </w:rPr>
        <w:t> </w:t>
      </w:r>
      <w:r>
        <w:rPr>
          <w:color w:val="231F20"/>
          <w:w w:val="110"/>
        </w:rPr>
        <w:t>discusiones</w:t>
      </w:r>
      <w:r>
        <w:rPr>
          <w:color w:val="231F20"/>
          <w:spacing w:val="-9"/>
          <w:w w:val="110"/>
        </w:rPr>
        <w:t> </w:t>
      </w:r>
      <w:r>
        <w:rPr>
          <w:color w:val="231F20"/>
          <w:w w:val="110"/>
        </w:rPr>
        <w:t>surgidas</w:t>
      </w:r>
      <w:r>
        <w:rPr>
          <w:color w:val="231F20"/>
          <w:spacing w:val="-9"/>
          <w:w w:val="110"/>
        </w:rPr>
        <w:t> </w:t>
      </w:r>
      <w:r>
        <w:rPr>
          <w:color w:val="231F20"/>
          <w:w w:val="110"/>
        </w:rPr>
        <w:t>a</w:t>
      </w:r>
      <w:r>
        <w:rPr>
          <w:color w:val="231F20"/>
          <w:spacing w:val="-9"/>
          <w:w w:val="110"/>
        </w:rPr>
        <w:t> </w:t>
      </w:r>
      <w:r>
        <w:rPr>
          <w:color w:val="231F20"/>
          <w:w w:val="110"/>
        </w:rPr>
        <w:t>finales</w:t>
      </w:r>
      <w:r>
        <w:rPr>
          <w:color w:val="231F20"/>
          <w:spacing w:val="-9"/>
          <w:w w:val="110"/>
        </w:rPr>
        <w:t> </w:t>
      </w:r>
      <w:r>
        <w:rPr>
          <w:color w:val="231F20"/>
          <w:w w:val="110"/>
        </w:rPr>
        <w:t>del</w:t>
      </w:r>
      <w:r>
        <w:rPr>
          <w:color w:val="231F20"/>
          <w:spacing w:val="-9"/>
          <w:w w:val="110"/>
        </w:rPr>
        <w:t> </w:t>
      </w:r>
      <w:r>
        <w:rPr>
          <w:color w:val="231F20"/>
          <w:w w:val="110"/>
        </w:rPr>
        <w:t>siglo</w:t>
      </w:r>
      <w:r>
        <w:rPr>
          <w:color w:val="231F20"/>
          <w:spacing w:val="-9"/>
          <w:w w:val="110"/>
        </w:rPr>
        <w:t> </w:t>
      </w:r>
      <w:r>
        <w:rPr>
          <w:color w:val="231F20"/>
          <w:w w:val="110"/>
        </w:rPr>
        <w:t>xix</w:t>
      </w:r>
      <w:r>
        <w:rPr>
          <w:color w:val="231F20"/>
          <w:spacing w:val="-9"/>
          <w:w w:val="110"/>
        </w:rPr>
        <w:t> </w:t>
      </w:r>
      <w:r>
        <w:rPr>
          <w:color w:val="231F20"/>
          <w:w w:val="110"/>
        </w:rPr>
        <w:t>y</w:t>
      </w:r>
      <w:r>
        <w:rPr>
          <w:color w:val="231F20"/>
          <w:spacing w:val="-9"/>
          <w:w w:val="110"/>
        </w:rPr>
        <w:t> </w:t>
      </w:r>
      <w:r>
        <w:rPr>
          <w:color w:val="231F20"/>
          <w:w w:val="110"/>
        </w:rPr>
        <w:t>princi- pios del xx. La problemática se centra en el proceso de separación histórica</w:t>
      </w:r>
      <w:r>
        <w:rPr>
          <w:color w:val="231F20"/>
          <w:spacing w:val="-7"/>
          <w:w w:val="110"/>
        </w:rPr>
        <w:t> </w:t>
      </w:r>
      <w:r>
        <w:rPr>
          <w:color w:val="231F20"/>
          <w:w w:val="110"/>
        </w:rPr>
        <w:t>entre</w:t>
      </w:r>
      <w:r>
        <w:rPr>
          <w:color w:val="231F20"/>
          <w:spacing w:val="-7"/>
          <w:w w:val="110"/>
        </w:rPr>
        <w:t> </w:t>
      </w:r>
      <w:r>
        <w:rPr>
          <w:color w:val="231F20"/>
          <w:w w:val="110"/>
        </w:rPr>
        <w:t>el</w:t>
      </w:r>
      <w:r>
        <w:rPr>
          <w:color w:val="231F20"/>
          <w:spacing w:val="-7"/>
          <w:w w:val="110"/>
        </w:rPr>
        <w:t> </w:t>
      </w:r>
      <w:r>
        <w:rPr>
          <w:color w:val="231F20"/>
          <w:w w:val="110"/>
        </w:rPr>
        <w:t>modo</w:t>
      </w:r>
      <w:r>
        <w:rPr>
          <w:color w:val="231F20"/>
          <w:spacing w:val="-7"/>
          <w:w w:val="110"/>
        </w:rPr>
        <w:t> </w:t>
      </w:r>
      <w:r>
        <w:rPr>
          <w:color w:val="231F20"/>
          <w:w w:val="110"/>
        </w:rPr>
        <w:t>de</w:t>
      </w:r>
      <w:r>
        <w:rPr>
          <w:color w:val="231F20"/>
          <w:spacing w:val="-7"/>
          <w:w w:val="110"/>
        </w:rPr>
        <w:t> </w:t>
      </w:r>
      <w:r>
        <w:rPr>
          <w:color w:val="231F20"/>
          <w:w w:val="110"/>
        </w:rPr>
        <w:t>producción</w:t>
      </w:r>
      <w:r>
        <w:rPr>
          <w:color w:val="231F20"/>
          <w:spacing w:val="-7"/>
          <w:w w:val="110"/>
        </w:rPr>
        <w:t> </w:t>
      </w:r>
      <w:r>
        <w:rPr>
          <w:color w:val="231F20"/>
          <w:w w:val="110"/>
        </w:rPr>
        <w:t>capitalista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nuevo</w:t>
      </w:r>
      <w:r>
        <w:rPr>
          <w:color w:val="231F20"/>
          <w:spacing w:val="-7"/>
          <w:w w:val="110"/>
        </w:rPr>
        <w:t> </w:t>
      </w:r>
      <w:r>
        <w:rPr>
          <w:color w:val="231F20"/>
          <w:w w:val="110"/>
        </w:rPr>
        <w:t>modo</w:t>
      </w:r>
      <w:r>
        <w:rPr>
          <w:color w:val="231F20"/>
          <w:spacing w:val="-7"/>
          <w:w w:val="110"/>
        </w:rPr>
        <w:t> </w:t>
      </w:r>
      <w:r>
        <w:rPr>
          <w:color w:val="231F20"/>
          <w:w w:val="110"/>
        </w:rPr>
        <w:t>de producción del socialismo. El primero, caracterizado por una</w:t>
      </w:r>
      <w:r>
        <w:rPr>
          <w:color w:val="231F20"/>
          <w:spacing w:val="-27"/>
          <w:w w:val="110"/>
        </w:rPr>
        <w:t> </w:t>
      </w:r>
      <w:r>
        <w:rPr>
          <w:color w:val="231F20"/>
          <w:w w:val="110"/>
        </w:rPr>
        <w:t>estruc- tura</w:t>
      </w:r>
      <w:r>
        <w:rPr>
          <w:color w:val="231F20"/>
          <w:spacing w:val="-12"/>
          <w:w w:val="110"/>
        </w:rPr>
        <w:t> </w:t>
      </w:r>
      <w:r>
        <w:rPr>
          <w:color w:val="231F20"/>
          <w:w w:val="110"/>
        </w:rPr>
        <w:t>determinada</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división</w:t>
      </w:r>
      <w:r>
        <w:rPr>
          <w:color w:val="231F20"/>
          <w:spacing w:val="-12"/>
          <w:w w:val="110"/>
        </w:rPr>
        <w:t> </w:t>
      </w:r>
      <w:r>
        <w:rPr>
          <w:color w:val="231F20"/>
          <w:w w:val="110"/>
        </w:rPr>
        <w:t>de</w:t>
      </w:r>
      <w:r>
        <w:rPr>
          <w:color w:val="231F20"/>
          <w:spacing w:val="-12"/>
          <w:w w:val="110"/>
        </w:rPr>
        <w:t> </w:t>
      </w:r>
      <w:r>
        <w:rPr>
          <w:color w:val="231F20"/>
          <w:w w:val="110"/>
        </w:rPr>
        <w:t>clases,</w:t>
      </w:r>
      <w:r>
        <w:rPr>
          <w:color w:val="231F20"/>
          <w:spacing w:val="-12"/>
          <w:w w:val="110"/>
        </w:rPr>
        <w:t> </w:t>
      </w:r>
      <w:r>
        <w:rPr>
          <w:color w:val="231F20"/>
          <w:w w:val="110"/>
        </w:rPr>
        <w:t>el</w:t>
      </w:r>
      <w:r>
        <w:rPr>
          <w:color w:val="231F20"/>
          <w:spacing w:val="-12"/>
          <w:w w:val="110"/>
        </w:rPr>
        <w:t> </w:t>
      </w:r>
      <w:r>
        <w:rPr>
          <w:color w:val="231F20"/>
          <w:w w:val="110"/>
        </w:rPr>
        <w:t>segundo,</w:t>
      </w:r>
      <w:r>
        <w:rPr>
          <w:color w:val="231F20"/>
          <w:spacing w:val="-12"/>
          <w:w w:val="110"/>
        </w:rPr>
        <w:t> </w:t>
      </w:r>
      <w:r>
        <w:rPr>
          <w:color w:val="231F20"/>
          <w:w w:val="110"/>
        </w:rPr>
        <w:t>más</w:t>
      </w:r>
      <w:r>
        <w:rPr>
          <w:color w:val="231F20"/>
          <w:spacing w:val="-12"/>
          <w:w w:val="110"/>
        </w:rPr>
        <w:t> </w:t>
      </w:r>
      <w:r>
        <w:rPr>
          <w:color w:val="231F20"/>
          <w:w w:val="110"/>
        </w:rPr>
        <w:t>equitativo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05"/>
        </w:rPr>
        <w:t>basado en la propiedad colectiva de los medios de producción. El  autor expone los mecanismos de adaptación del capitalismo propues- tos por Marx, que sin embargo no se han cumplido. La experiencia histórica refleja la capacidad  del  modo  de  producción  capitalista  que se ha afianzado a partir de las crisis económicas y los cambios históricos de los últimos años. Analiza las causas y consecuencias de  la crisis estructural del sistema, es </w:t>
      </w:r>
      <w:r>
        <w:rPr>
          <w:color w:val="231F20"/>
          <w:spacing w:val="-3"/>
          <w:w w:val="105"/>
        </w:rPr>
        <w:t>decir, </w:t>
      </w:r>
      <w:r>
        <w:rPr>
          <w:color w:val="231F20"/>
          <w:w w:val="105"/>
        </w:rPr>
        <w:t>del rompimiento del modelo capitalista-socialista, y hace una reflexión sugerente sobre la necesi- dad de un cambio de paradigma de las Ciencias Sociales que permita aplicar los problemas estructurales a una perspectiva más regional sin perder  la  objetividad  y</w:t>
      </w:r>
      <w:r>
        <w:rPr>
          <w:color w:val="231F20"/>
          <w:spacing w:val="5"/>
          <w:w w:val="105"/>
        </w:rPr>
        <w:t> </w:t>
      </w:r>
      <w:r>
        <w:rPr>
          <w:color w:val="231F20"/>
          <w:w w:val="105"/>
        </w:rPr>
        <w:t>coherencia.</w:t>
      </w:r>
    </w:p>
    <w:p>
      <w:pPr>
        <w:pStyle w:val="BodyText"/>
        <w:spacing w:line="261" w:lineRule="auto"/>
        <w:ind w:left="100" w:right="113" w:firstLine="240"/>
        <w:jc w:val="both"/>
      </w:pPr>
      <w:r>
        <w:rPr>
          <w:color w:val="231F20"/>
          <w:w w:val="105"/>
        </w:rPr>
        <w:t>Carlos Eduardo Martins, profesor adjunto del Departamento de Ciencia Política de la  Universidad  Federal  de  Río  de  Janeiro,  en  su capítulo, “La teoría de la coyuntura y la crisis contemporánea”, analiza comparativamente las crisis económicas de 1929 y la crisis mundial actual. Plantea algunas de las dificultades teóricas que las ciencias sociales han tratado de resolver: ¿qué tan válida y pertinente  es esta comparación?, ¿cómo interpretar la naturaleza y carácter de dichas recesiones? y ¿cuáles son los alcances y limitaciones teóricas? Para ello el autor recurre a las corrientes del pensamiento marxista       y braudeliana, tratando de articular un modelo explicativo de las ex- presiones del desarrollo capitalista en la llamada “teoría del sistema mundial”; considera en dicha  propuesta  académica  a  los  estudios  de Immanuel Wallerstein y Giovanni Arrighi, y algunos de los plan- teamientos elaborados principalmente por Theotonio Dos Santos  y Ruy Mauro Marini. La tesis principal se apoya en la construcción de una teoría del sistema mundial y plantea que la situación actual se caracteriza por una combinación simultánea de tres fenómenos  de larga duración: la  globalización  de  la  revolución  científico-técnica, la crisis de la hegemonía de Estados Unidos —procesos que tienen lugar desde principios de 1970— y un ciclo expansivo Kondratiev a partir  de</w:t>
      </w:r>
      <w:r>
        <w:rPr>
          <w:color w:val="231F20"/>
          <w:spacing w:val="23"/>
          <w:w w:val="105"/>
        </w:rPr>
        <w:t> </w:t>
      </w:r>
      <w:r>
        <w:rPr>
          <w:color w:val="231F20"/>
          <w:w w:val="105"/>
        </w:rPr>
        <w:t>1994.</w:t>
      </w:r>
    </w:p>
    <w:p>
      <w:pPr>
        <w:pStyle w:val="BodyText"/>
        <w:spacing w:line="261" w:lineRule="auto"/>
        <w:ind w:left="100" w:right="117" w:firstLine="240"/>
        <w:jc w:val="both"/>
      </w:pPr>
      <w:r>
        <w:rPr>
          <w:color w:val="231F20"/>
          <w:w w:val="110"/>
        </w:rPr>
        <w:t>Orlando Caputo Leiva, investigador del Centro de Estudios sobre Transnacionalización, Economía y Sociedad, en su capítulo “Crítica a la interpretación financiera de la crisis”, plantea la interrogante sobre el carácter de la crisis actual. Intenta resolver la pregunta de  si se trata de una crisis financiera o de una crisis de la globalización actual de la economía mundial. En su interpretación teórica e histó- rica de la actual crisis de la economía mundial —diferente y</w:t>
      </w:r>
      <w:r>
        <w:rPr>
          <w:color w:val="231F20"/>
          <w:spacing w:val="-27"/>
          <w:w w:val="110"/>
        </w:rPr>
        <w:t> </w:t>
      </w:r>
      <w:r>
        <w:rPr>
          <w:color w:val="231F20"/>
          <w:w w:val="110"/>
        </w:rPr>
        <w:t>opuesta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a la caracterización como crisis financiera—, parte de constatar que las</w:t>
      </w:r>
      <w:r>
        <w:rPr>
          <w:color w:val="231F20"/>
          <w:spacing w:val="-15"/>
          <w:w w:val="110"/>
        </w:rPr>
        <w:t> </w:t>
      </w:r>
      <w:r>
        <w:rPr>
          <w:color w:val="231F20"/>
          <w:w w:val="110"/>
        </w:rPr>
        <w:t>ganancias</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grandes</w:t>
      </w:r>
      <w:r>
        <w:rPr>
          <w:color w:val="231F20"/>
          <w:spacing w:val="-15"/>
          <w:w w:val="110"/>
        </w:rPr>
        <w:t> </w:t>
      </w:r>
      <w:r>
        <w:rPr>
          <w:color w:val="231F20"/>
          <w:w w:val="110"/>
        </w:rPr>
        <w:t>empresas</w:t>
      </w:r>
      <w:r>
        <w:rPr>
          <w:color w:val="231F20"/>
          <w:spacing w:val="-15"/>
          <w:w w:val="110"/>
        </w:rPr>
        <w:t> </w:t>
      </w:r>
      <w:r>
        <w:rPr>
          <w:color w:val="231F20"/>
          <w:w w:val="110"/>
        </w:rPr>
        <w:t>transnacionales</w:t>
      </w:r>
      <w:r>
        <w:rPr>
          <w:color w:val="231F20"/>
          <w:spacing w:val="-15"/>
          <w:w w:val="110"/>
        </w:rPr>
        <w:t> </w:t>
      </w:r>
      <w:r>
        <w:rPr>
          <w:color w:val="231F20"/>
          <w:w w:val="110"/>
        </w:rPr>
        <w:t>productoras</w:t>
      </w:r>
      <w:r>
        <w:rPr>
          <w:color w:val="231F20"/>
          <w:spacing w:val="-15"/>
          <w:w w:val="110"/>
        </w:rPr>
        <w:t> </w:t>
      </w:r>
      <w:r>
        <w:rPr>
          <w:color w:val="231F20"/>
          <w:w w:val="110"/>
        </w:rPr>
        <w:t>de bienes y servicios, se han incrementado a partir de mediados de los años</w:t>
      </w:r>
      <w:r>
        <w:rPr>
          <w:color w:val="231F20"/>
          <w:spacing w:val="-13"/>
          <w:w w:val="110"/>
        </w:rPr>
        <w:t> </w:t>
      </w:r>
      <w:r>
        <w:rPr>
          <w:color w:val="231F20"/>
          <w:w w:val="110"/>
        </w:rPr>
        <w:t>ochenta</w:t>
      </w:r>
      <w:r>
        <w:rPr>
          <w:color w:val="231F20"/>
          <w:spacing w:val="-13"/>
          <w:w w:val="110"/>
        </w:rPr>
        <w:t> </w:t>
      </w:r>
      <w:r>
        <w:rPr>
          <w:color w:val="231F20"/>
          <w:w w:val="110"/>
        </w:rPr>
        <w:t>y</w:t>
      </w:r>
      <w:r>
        <w:rPr>
          <w:color w:val="231F20"/>
          <w:spacing w:val="-13"/>
          <w:w w:val="110"/>
        </w:rPr>
        <w:t> </w:t>
      </w:r>
      <w:r>
        <w:rPr>
          <w:color w:val="231F20"/>
          <w:w w:val="110"/>
        </w:rPr>
        <w:t>se</w:t>
      </w:r>
      <w:r>
        <w:rPr>
          <w:color w:val="231F20"/>
          <w:spacing w:val="-13"/>
          <w:w w:val="110"/>
        </w:rPr>
        <w:t> </w:t>
      </w:r>
      <w:r>
        <w:rPr>
          <w:color w:val="231F20"/>
          <w:w w:val="110"/>
        </w:rPr>
        <w:t>han</w:t>
      </w:r>
      <w:r>
        <w:rPr>
          <w:color w:val="231F20"/>
          <w:spacing w:val="-13"/>
          <w:w w:val="110"/>
        </w:rPr>
        <w:t> </w:t>
      </w:r>
      <w:r>
        <w:rPr>
          <w:color w:val="231F20"/>
          <w:w w:val="110"/>
        </w:rPr>
        <w:t>mantenido</w:t>
      </w:r>
      <w:r>
        <w:rPr>
          <w:color w:val="231F20"/>
          <w:spacing w:val="-13"/>
          <w:w w:val="110"/>
        </w:rPr>
        <w:t> </w:t>
      </w:r>
      <w:r>
        <w:rPr>
          <w:color w:val="231F20"/>
          <w:w w:val="110"/>
        </w:rPr>
        <w:t>elevadas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últimos</w:t>
      </w:r>
      <w:r>
        <w:rPr>
          <w:color w:val="231F20"/>
          <w:spacing w:val="-13"/>
          <w:w w:val="110"/>
        </w:rPr>
        <w:t> </w:t>
      </w:r>
      <w:r>
        <w:rPr>
          <w:color w:val="231F20"/>
          <w:w w:val="110"/>
        </w:rPr>
        <w:t>años,</w:t>
      </w:r>
      <w:r>
        <w:rPr>
          <w:color w:val="231F20"/>
          <w:spacing w:val="-13"/>
          <w:w w:val="110"/>
        </w:rPr>
        <w:t> </w:t>
      </w:r>
      <w:r>
        <w:rPr>
          <w:color w:val="231F20"/>
          <w:w w:val="110"/>
        </w:rPr>
        <w:t>previo al inicio de la actual crisis económica mundial. El autor traslada el énfasis</w:t>
      </w:r>
      <w:r>
        <w:rPr>
          <w:color w:val="231F20"/>
          <w:spacing w:val="-12"/>
          <w:w w:val="110"/>
        </w:rPr>
        <w:t> </w:t>
      </w:r>
      <w:r>
        <w:rPr>
          <w:color w:val="231F20"/>
          <w:w w:val="110"/>
        </w:rPr>
        <w:t>explicativo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relación</w:t>
      </w:r>
      <w:r>
        <w:rPr>
          <w:color w:val="231F20"/>
          <w:spacing w:val="-12"/>
          <w:w w:val="110"/>
        </w:rPr>
        <w:t> </w:t>
      </w:r>
      <w:r>
        <w:rPr>
          <w:color w:val="231F20"/>
          <w:w w:val="110"/>
        </w:rPr>
        <w:t>del</w:t>
      </w:r>
      <w:r>
        <w:rPr>
          <w:color w:val="231F20"/>
          <w:spacing w:val="-12"/>
          <w:w w:val="110"/>
        </w:rPr>
        <w:t> </w:t>
      </w:r>
      <w:r>
        <w:rPr>
          <w:color w:val="231F20"/>
          <w:w w:val="110"/>
        </w:rPr>
        <w:t>capital</w:t>
      </w:r>
      <w:r>
        <w:rPr>
          <w:color w:val="231F20"/>
          <w:spacing w:val="-12"/>
          <w:w w:val="110"/>
        </w:rPr>
        <w:t> </w:t>
      </w:r>
      <w:r>
        <w:rPr>
          <w:color w:val="231F20"/>
          <w:w w:val="110"/>
        </w:rPr>
        <w:t>con</w:t>
      </w:r>
      <w:r>
        <w:rPr>
          <w:color w:val="231F20"/>
          <w:spacing w:val="-12"/>
          <w:w w:val="110"/>
        </w:rPr>
        <w:t> </w:t>
      </w:r>
      <w:r>
        <w:rPr>
          <w:color w:val="231F20"/>
          <w:w w:val="110"/>
        </w:rPr>
        <w:t>el</w:t>
      </w:r>
      <w:r>
        <w:rPr>
          <w:color w:val="231F20"/>
          <w:spacing w:val="-12"/>
          <w:w w:val="110"/>
        </w:rPr>
        <w:t> </w:t>
      </w:r>
      <w:r>
        <w:rPr>
          <w:color w:val="231F20"/>
          <w:w w:val="110"/>
        </w:rPr>
        <w:t>trabajo</w:t>
      </w:r>
      <w:r>
        <w:rPr>
          <w:color w:val="231F20"/>
          <w:spacing w:val="-12"/>
          <w:w w:val="110"/>
        </w:rPr>
        <w:t> </w:t>
      </w:r>
      <w:r>
        <w:rPr>
          <w:color w:val="231F20"/>
          <w:w w:val="110"/>
        </w:rPr>
        <w:t>y</w:t>
      </w:r>
      <w:r>
        <w:rPr>
          <w:color w:val="231F20"/>
          <w:spacing w:val="-12"/>
          <w:w w:val="110"/>
        </w:rPr>
        <w:t> </w:t>
      </w:r>
      <w:r>
        <w:rPr>
          <w:color w:val="231F20"/>
          <w:w w:val="110"/>
        </w:rPr>
        <w:t>con</w:t>
      </w:r>
      <w:r>
        <w:rPr>
          <w:color w:val="231F20"/>
          <w:spacing w:val="-12"/>
          <w:w w:val="110"/>
        </w:rPr>
        <w:t> </w:t>
      </w:r>
      <w:r>
        <w:rPr>
          <w:color w:val="231F20"/>
          <w:w w:val="110"/>
        </w:rPr>
        <w:t>los</w:t>
      </w:r>
      <w:r>
        <w:rPr>
          <w:color w:val="231F20"/>
          <w:spacing w:val="-12"/>
          <w:w w:val="110"/>
        </w:rPr>
        <w:t> </w:t>
      </w:r>
      <w:r>
        <w:rPr>
          <w:color w:val="231F20"/>
          <w:w w:val="110"/>
        </w:rPr>
        <w:t>re- cursos naturales mundiales. Según él, en la interpretación financiera de la crisis esto es ocultado. Uno de los aspectos más significativos que muestra es que junto con el incremento de las ganancias por disminución de los salarios y de la renta, se agrega la apropiación</w:t>
      </w:r>
      <w:r>
        <w:rPr>
          <w:color w:val="231F20"/>
          <w:spacing w:val="-37"/>
          <w:w w:val="110"/>
        </w:rPr>
        <w:t> </w:t>
      </w:r>
      <w:r>
        <w:rPr>
          <w:color w:val="231F20"/>
          <w:w w:val="110"/>
        </w:rPr>
        <w:t>de parte significativa de los ahorros de las</w:t>
      </w:r>
      <w:r>
        <w:rPr>
          <w:color w:val="231F20"/>
          <w:spacing w:val="1"/>
          <w:w w:val="110"/>
        </w:rPr>
        <w:t> </w:t>
      </w:r>
      <w:r>
        <w:rPr>
          <w:color w:val="231F20"/>
          <w:w w:val="110"/>
        </w:rPr>
        <w:t>personas.</w:t>
      </w:r>
    </w:p>
    <w:p>
      <w:pPr>
        <w:pStyle w:val="BodyText"/>
        <w:spacing w:line="261" w:lineRule="auto"/>
        <w:ind w:left="100" w:right="116" w:firstLine="240"/>
        <w:jc w:val="both"/>
      </w:pPr>
      <w:r>
        <w:rPr>
          <w:color w:val="231F20"/>
          <w:w w:val="105"/>
        </w:rPr>
        <w:t>El capítulo “Crisis general capitalista y ¿el fin del neoliberalismo?”, de Jaime Ornelas Delgado, profesor investigador de la Benemérita Universidad Autónoma de Puebla, parte de una interrogante funda- mental sobre el carácter de la crisis y las contradicciones del modelo económico neoliberal. Afirma que el mundo está en presencia de la primera crisis global del capitalismo del siglo xxi, y que la trascenden- cia y profundidad de esta crisis, además de haber puesto en duda los fundamentos neoliberales, ha mostrado la insuficiencia del mercado autorregulado como sustento del proceso de acumulación de capital    en esta etapa. La magnitud y profundidad de la crisis están determina- das por la coincidencia de una crisis cíclica estructural en un entorno globalizado; esta coincidencia trajo consigo nuevos problemas, en  tanto la superación de la fase crítica del ciclo ha de hacerse con base  en una nueva modalidad de acumulación, sustentada en una nueva relación entre Estado y mercado, para superar la crisis estructural y reiniciar  el  crecimiento  de  la  economía</w:t>
      </w:r>
      <w:r>
        <w:rPr>
          <w:color w:val="231F20"/>
          <w:spacing w:val="-11"/>
          <w:w w:val="105"/>
        </w:rPr>
        <w:t> </w:t>
      </w:r>
      <w:r>
        <w:rPr>
          <w:color w:val="231F20"/>
          <w:w w:val="105"/>
        </w:rPr>
        <w:t>real.</w:t>
      </w:r>
    </w:p>
    <w:p>
      <w:pPr>
        <w:pStyle w:val="BodyText"/>
        <w:spacing w:line="261" w:lineRule="auto"/>
        <w:ind w:left="100" w:right="112" w:firstLine="240"/>
        <w:jc w:val="both"/>
      </w:pPr>
      <w:r>
        <w:rPr>
          <w:color w:val="231F20"/>
          <w:w w:val="110"/>
        </w:rPr>
        <w:t>Marco</w:t>
      </w:r>
      <w:r>
        <w:rPr>
          <w:color w:val="231F20"/>
          <w:spacing w:val="-11"/>
          <w:w w:val="110"/>
        </w:rPr>
        <w:t> </w:t>
      </w:r>
      <w:r>
        <w:rPr>
          <w:color w:val="231F20"/>
          <w:w w:val="110"/>
        </w:rPr>
        <w:t>A.</w:t>
      </w:r>
      <w:r>
        <w:rPr>
          <w:color w:val="231F20"/>
          <w:spacing w:val="-11"/>
          <w:w w:val="110"/>
        </w:rPr>
        <w:t> </w:t>
      </w:r>
      <w:r>
        <w:rPr>
          <w:color w:val="231F20"/>
          <w:w w:val="110"/>
        </w:rPr>
        <w:t>Gandásegui,</w:t>
      </w:r>
      <w:r>
        <w:rPr>
          <w:color w:val="231F20"/>
          <w:spacing w:val="-11"/>
          <w:w w:val="110"/>
        </w:rPr>
        <w:t> </w:t>
      </w:r>
      <w:r>
        <w:rPr>
          <w:color w:val="231F20"/>
          <w:w w:val="110"/>
        </w:rPr>
        <w:t>hijo,</w:t>
      </w:r>
      <w:r>
        <w:rPr>
          <w:color w:val="231F20"/>
          <w:spacing w:val="-11"/>
          <w:w w:val="110"/>
        </w:rPr>
        <w:t> </w:t>
      </w:r>
      <w:r>
        <w:rPr>
          <w:color w:val="231F20"/>
          <w:w w:val="110"/>
        </w:rPr>
        <w:t>profesor</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Universidad</w:t>
      </w:r>
      <w:r>
        <w:rPr>
          <w:color w:val="231F20"/>
          <w:spacing w:val="-11"/>
          <w:w w:val="110"/>
        </w:rPr>
        <w:t> </w:t>
      </w:r>
      <w:r>
        <w:rPr>
          <w:color w:val="231F20"/>
          <w:w w:val="110"/>
        </w:rPr>
        <w:t>de</w:t>
      </w:r>
      <w:r>
        <w:rPr>
          <w:color w:val="231F20"/>
          <w:spacing w:val="-11"/>
          <w:w w:val="110"/>
        </w:rPr>
        <w:t> </w:t>
      </w:r>
      <w:r>
        <w:rPr>
          <w:color w:val="231F20"/>
          <w:w w:val="110"/>
        </w:rPr>
        <w:t>Panamá e investigador asociado del Centro de Estudios Latinoamericanos (cela), “Justo Arosemena”, en su capítulo titulado “Sistema mundo, crisis económica y América Latina” destaca la discusión planteada en los últimos dos años sobre la crisis económica en el contexto    de la crisis de hegemonía del sistema mundo, entendiéndola como un cambio de época en el desarrollo capitalista. Según él, muchos de los problemas teóricos que son objeto de debate en los círculos marxistas se han convertido en temas de discusión cotidiana. Por   un lado, la crisis económica de Estados Unidos, clasificada como recesión a fines de 2008, ha disminuido las inversiones, el empleo   y</w:t>
      </w:r>
      <w:r>
        <w:rPr>
          <w:color w:val="231F20"/>
          <w:spacing w:val="25"/>
          <w:w w:val="110"/>
        </w:rPr>
        <w:t> </w:t>
      </w:r>
      <w:r>
        <w:rPr>
          <w:color w:val="231F20"/>
          <w:w w:val="110"/>
        </w:rPr>
        <w:t>el</w:t>
      </w:r>
      <w:r>
        <w:rPr>
          <w:color w:val="231F20"/>
          <w:spacing w:val="25"/>
          <w:w w:val="110"/>
        </w:rPr>
        <w:t> </w:t>
      </w:r>
      <w:r>
        <w:rPr>
          <w:color w:val="231F20"/>
          <w:w w:val="110"/>
        </w:rPr>
        <w:t>consumo</w:t>
      </w:r>
      <w:r>
        <w:rPr>
          <w:color w:val="231F20"/>
          <w:spacing w:val="25"/>
          <w:w w:val="110"/>
        </w:rPr>
        <w:t> </w:t>
      </w:r>
      <w:r>
        <w:rPr>
          <w:color w:val="231F20"/>
          <w:w w:val="110"/>
        </w:rPr>
        <w:t>mundiales,</w:t>
      </w:r>
      <w:r>
        <w:rPr>
          <w:color w:val="231F20"/>
          <w:spacing w:val="25"/>
          <w:w w:val="110"/>
        </w:rPr>
        <w:t> </w:t>
      </w:r>
      <w:r>
        <w:rPr>
          <w:color w:val="231F20"/>
          <w:w w:val="110"/>
        </w:rPr>
        <w:t>además</w:t>
      </w:r>
      <w:r>
        <w:rPr>
          <w:color w:val="231F20"/>
          <w:spacing w:val="25"/>
          <w:w w:val="110"/>
        </w:rPr>
        <w:t> </w:t>
      </w:r>
      <w:r>
        <w:rPr>
          <w:color w:val="231F20"/>
          <w:w w:val="110"/>
        </w:rPr>
        <w:t>de</w:t>
      </w:r>
      <w:r>
        <w:rPr>
          <w:color w:val="231F20"/>
          <w:spacing w:val="25"/>
          <w:w w:val="110"/>
        </w:rPr>
        <w:t> </w:t>
      </w:r>
      <w:r>
        <w:rPr>
          <w:color w:val="231F20"/>
          <w:w w:val="110"/>
        </w:rPr>
        <w:t>generar</w:t>
      </w:r>
      <w:r>
        <w:rPr>
          <w:color w:val="231F20"/>
          <w:spacing w:val="25"/>
          <w:w w:val="110"/>
        </w:rPr>
        <w:t> </w:t>
      </w:r>
      <w:r>
        <w:rPr>
          <w:color w:val="231F20"/>
          <w:w w:val="110"/>
        </w:rPr>
        <w:t>inseguridad</w:t>
      </w:r>
      <w:r>
        <w:rPr>
          <w:color w:val="231F20"/>
          <w:spacing w:val="25"/>
          <w:w w:val="110"/>
        </w:rPr>
        <w:t> </w:t>
      </w:r>
      <w:r>
        <w:rPr>
          <w:color w:val="231F20"/>
          <w:w w:val="110"/>
        </w:rPr>
        <w:t>entre</w:t>
      </w:r>
      <w:r>
        <w:rPr>
          <w:color w:val="231F20"/>
          <w:spacing w:val="25"/>
          <w:w w:val="110"/>
        </w:rPr>
        <w:t> </w:t>
      </w:r>
      <w:r>
        <w:rPr>
          <w:color w:val="231F20"/>
          <w:w w:val="110"/>
        </w:rPr>
        <w:t>los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8"/>
        <w:jc w:val="both"/>
      </w:pPr>
      <w:r>
        <w:rPr>
          <w:color w:val="231F20"/>
          <w:w w:val="110"/>
        </w:rPr>
        <w:t>actores sociales y turbulencia en los mercados internacionales. Por el otro, la elección de Barack Obama a la presidencia de ese</w:t>
      </w:r>
      <w:r>
        <w:rPr>
          <w:color w:val="231F20"/>
          <w:spacing w:val="47"/>
          <w:w w:val="110"/>
        </w:rPr>
        <w:t> </w:t>
      </w:r>
      <w:r>
        <w:rPr>
          <w:color w:val="231F20"/>
          <w:w w:val="110"/>
        </w:rPr>
        <w:t>país</w:t>
      </w:r>
      <w:r>
        <w:rPr>
          <w:color w:val="231F20"/>
          <w:spacing w:val="3"/>
          <w:w w:val="110"/>
        </w:rPr>
        <w:t> </w:t>
      </w:r>
      <w:r>
        <w:rPr>
          <w:color w:val="231F20"/>
          <w:w w:val="110"/>
        </w:rPr>
        <w:t>ha</w:t>
      </w:r>
      <w:r>
        <w:rPr>
          <w:color w:val="231F20"/>
          <w:w w:val="114"/>
        </w:rPr>
        <w:t> </w:t>
      </w:r>
      <w:r>
        <w:rPr>
          <w:color w:val="231F20"/>
          <w:w w:val="110"/>
        </w:rPr>
        <w:t>generado</w:t>
      </w:r>
      <w:r>
        <w:rPr>
          <w:color w:val="231F20"/>
          <w:spacing w:val="-6"/>
          <w:w w:val="110"/>
        </w:rPr>
        <w:t> </w:t>
      </w:r>
      <w:r>
        <w:rPr>
          <w:color w:val="231F20"/>
          <w:w w:val="110"/>
        </w:rPr>
        <w:t>expectativas</w:t>
      </w:r>
      <w:r>
        <w:rPr>
          <w:color w:val="231F20"/>
          <w:spacing w:val="-6"/>
          <w:w w:val="110"/>
        </w:rPr>
        <w:t> </w:t>
      </w:r>
      <w:r>
        <w:rPr>
          <w:color w:val="231F20"/>
          <w:w w:val="110"/>
        </w:rPr>
        <w:t>políticas.</w:t>
      </w:r>
      <w:r>
        <w:rPr>
          <w:color w:val="231F20"/>
          <w:spacing w:val="-6"/>
          <w:w w:val="110"/>
        </w:rPr>
        <w:t> </w:t>
      </w:r>
      <w:r>
        <w:rPr>
          <w:color w:val="231F20"/>
          <w:w w:val="110"/>
        </w:rPr>
        <w:t>Ambos</w:t>
      </w:r>
      <w:r>
        <w:rPr>
          <w:color w:val="231F20"/>
          <w:spacing w:val="-6"/>
          <w:w w:val="110"/>
        </w:rPr>
        <w:t> </w:t>
      </w:r>
      <w:r>
        <w:rPr>
          <w:color w:val="231F20"/>
          <w:w w:val="110"/>
        </w:rPr>
        <w:t>hechos</w:t>
      </w:r>
      <w:r>
        <w:rPr>
          <w:color w:val="231F20"/>
          <w:spacing w:val="-6"/>
          <w:w w:val="110"/>
        </w:rPr>
        <w:t> </w:t>
      </w:r>
      <w:r>
        <w:rPr>
          <w:color w:val="231F20"/>
          <w:w w:val="110"/>
        </w:rPr>
        <w:t>producidos</w:t>
      </w:r>
      <w:r>
        <w:rPr>
          <w:color w:val="231F20"/>
          <w:spacing w:val="-6"/>
          <w:w w:val="110"/>
        </w:rPr>
        <w:t> </w:t>
      </w:r>
      <w:r>
        <w:rPr>
          <w:color w:val="231F20"/>
          <w:w w:val="110"/>
        </w:rPr>
        <w:t>en</w:t>
      </w:r>
      <w:r>
        <w:rPr>
          <w:color w:val="231F20"/>
          <w:spacing w:val="-6"/>
          <w:w w:val="110"/>
        </w:rPr>
        <w:t> </w:t>
      </w:r>
      <w:r>
        <w:rPr>
          <w:color w:val="231F20"/>
          <w:w w:val="110"/>
        </w:rPr>
        <w:t>forma casi simultánea en los últimos meses de 2008 son importantes. La combinación</w:t>
      </w:r>
      <w:r>
        <w:rPr>
          <w:color w:val="231F20"/>
          <w:spacing w:val="-7"/>
          <w:w w:val="110"/>
        </w:rPr>
        <w:t> </w:t>
      </w:r>
      <w:r>
        <w:rPr>
          <w:color w:val="231F20"/>
          <w:w w:val="110"/>
        </w:rPr>
        <w:t>de</w:t>
      </w:r>
      <w:r>
        <w:rPr>
          <w:color w:val="231F20"/>
          <w:spacing w:val="-7"/>
          <w:w w:val="110"/>
        </w:rPr>
        <w:t> </w:t>
      </w:r>
      <w:r>
        <w:rPr>
          <w:color w:val="231F20"/>
          <w:w w:val="110"/>
        </w:rPr>
        <w:t>lo</w:t>
      </w:r>
      <w:r>
        <w:rPr>
          <w:color w:val="231F20"/>
          <w:spacing w:val="-7"/>
          <w:w w:val="110"/>
        </w:rPr>
        <w:t> </w:t>
      </w:r>
      <w:r>
        <w:rPr>
          <w:color w:val="231F20"/>
          <w:w w:val="110"/>
        </w:rPr>
        <w:t>político</w:t>
      </w:r>
      <w:r>
        <w:rPr>
          <w:color w:val="231F20"/>
          <w:spacing w:val="-7"/>
          <w:w w:val="110"/>
        </w:rPr>
        <w:t> </w:t>
      </w:r>
      <w:r>
        <w:rPr>
          <w:color w:val="231F20"/>
          <w:w w:val="110"/>
        </w:rPr>
        <w:t>y</w:t>
      </w:r>
      <w:r>
        <w:rPr>
          <w:color w:val="231F20"/>
          <w:spacing w:val="-7"/>
          <w:w w:val="110"/>
        </w:rPr>
        <w:t> </w:t>
      </w:r>
      <w:r>
        <w:rPr>
          <w:color w:val="231F20"/>
          <w:w w:val="110"/>
        </w:rPr>
        <w:t>lo</w:t>
      </w:r>
      <w:r>
        <w:rPr>
          <w:color w:val="231F20"/>
          <w:spacing w:val="-7"/>
          <w:w w:val="110"/>
        </w:rPr>
        <w:t> </w:t>
      </w:r>
      <w:r>
        <w:rPr>
          <w:color w:val="231F20"/>
          <w:w w:val="110"/>
        </w:rPr>
        <w:t>económico</w:t>
      </w:r>
      <w:r>
        <w:rPr>
          <w:color w:val="231F20"/>
          <w:spacing w:val="-7"/>
          <w:w w:val="110"/>
        </w:rPr>
        <w:t> </w:t>
      </w:r>
      <w:r>
        <w:rPr>
          <w:color w:val="231F20"/>
          <w:w w:val="110"/>
        </w:rPr>
        <w:t>es</w:t>
      </w:r>
      <w:r>
        <w:rPr>
          <w:color w:val="231F20"/>
          <w:spacing w:val="-7"/>
          <w:w w:val="110"/>
        </w:rPr>
        <w:t> </w:t>
      </w:r>
      <w:r>
        <w:rPr>
          <w:color w:val="231F20"/>
          <w:w w:val="110"/>
        </w:rPr>
        <w:t>también</w:t>
      </w:r>
      <w:r>
        <w:rPr>
          <w:color w:val="231F20"/>
          <w:spacing w:val="-7"/>
          <w:w w:val="110"/>
        </w:rPr>
        <w:t> </w:t>
      </w:r>
      <w:r>
        <w:rPr>
          <w:color w:val="231F20"/>
          <w:w w:val="110"/>
        </w:rPr>
        <w:t>objeto</w:t>
      </w:r>
      <w:r>
        <w:rPr>
          <w:color w:val="231F20"/>
          <w:spacing w:val="-7"/>
          <w:w w:val="110"/>
        </w:rPr>
        <w:t> </w:t>
      </w:r>
      <w:r>
        <w:rPr>
          <w:color w:val="231F20"/>
          <w:w w:val="110"/>
        </w:rPr>
        <w:t>de</w:t>
      </w:r>
      <w:r>
        <w:rPr>
          <w:color w:val="231F20"/>
          <w:spacing w:val="-7"/>
          <w:w w:val="110"/>
        </w:rPr>
        <w:t> </w:t>
      </w:r>
      <w:r>
        <w:rPr>
          <w:color w:val="231F20"/>
          <w:w w:val="110"/>
        </w:rPr>
        <w:t>aná- lisis,</w:t>
      </w:r>
      <w:r>
        <w:rPr>
          <w:color w:val="231F20"/>
          <w:spacing w:val="-11"/>
          <w:w w:val="110"/>
        </w:rPr>
        <w:t> </w:t>
      </w:r>
      <w:r>
        <w:rPr>
          <w:color w:val="231F20"/>
          <w:w w:val="110"/>
        </w:rPr>
        <w:t>especialmente</w:t>
      </w:r>
      <w:r>
        <w:rPr>
          <w:color w:val="231F20"/>
          <w:spacing w:val="-11"/>
          <w:w w:val="110"/>
        </w:rPr>
        <w:t> </w:t>
      </w:r>
      <w:r>
        <w:rPr>
          <w:color w:val="231F20"/>
          <w:w w:val="110"/>
        </w:rPr>
        <w:t>cuando</w:t>
      </w:r>
      <w:r>
        <w:rPr>
          <w:color w:val="231F20"/>
          <w:spacing w:val="-11"/>
          <w:w w:val="110"/>
        </w:rPr>
        <w:t> </w:t>
      </w:r>
      <w:r>
        <w:rPr>
          <w:color w:val="231F20"/>
          <w:w w:val="110"/>
        </w:rPr>
        <w:t>se</w:t>
      </w:r>
      <w:r>
        <w:rPr>
          <w:color w:val="231F20"/>
          <w:spacing w:val="-11"/>
          <w:w w:val="110"/>
        </w:rPr>
        <w:t> </w:t>
      </w:r>
      <w:r>
        <w:rPr>
          <w:color w:val="231F20"/>
          <w:w w:val="110"/>
        </w:rPr>
        <w:t>trata</w:t>
      </w:r>
      <w:r>
        <w:rPr>
          <w:color w:val="231F20"/>
          <w:spacing w:val="-11"/>
          <w:w w:val="110"/>
        </w:rPr>
        <w:t> </w:t>
      </w:r>
      <w:r>
        <w:rPr>
          <w:color w:val="231F20"/>
          <w:w w:val="110"/>
        </w:rPr>
        <w:t>de</w:t>
      </w:r>
      <w:r>
        <w:rPr>
          <w:color w:val="231F20"/>
          <w:spacing w:val="-11"/>
          <w:w w:val="110"/>
        </w:rPr>
        <w:t> </w:t>
      </w:r>
      <w:r>
        <w:rPr>
          <w:color w:val="231F20"/>
          <w:w w:val="110"/>
        </w:rPr>
        <w:t>explicar</w:t>
      </w:r>
      <w:r>
        <w:rPr>
          <w:color w:val="231F20"/>
          <w:spacing w:val="-11"/>
          <w:w w:val="110"/>
        </w:rPr>
        <w:t> </w:t>
      </w:r>
      <w:r>
        <w:rPr>
          <w:color w:val="231F20"/>
          <w:w w:val="110"/>
        </w:rPr>
        <w:t>el</w:t>
      </w:r>
      <w:r>
        <w:rPr>
          <w:color w:val="231F20"/>
          <w:spacing w:val="-11"/>
          <w:w w:val="110"/>
        </w:rPr>
        <w:t> </w:t>
      </w:r>
      <w:r>
        <w:rPr>
          <w:color w:val="231F20"/>
          <w:w w:val="110"/>
        </w:rPr>
        <w:t>comportamiento</w:t>
      </w:r>
      <w:r>
        <w:rPr>
          <w:color w:val="231F20"/>
          <w:spacing w:val="-11"/>
          <w:w w:val="110"/>
        </w:rPr>
        <w:t> </w:t>
      </w:r>
      <w:r>
        <w:rPr>
          <w:color w:val="231F20"/>
          <w:w w:val="110"/>
        </w:rPr>
        <w:t>de uno a partir del otro. Según el </w:t>
      </w:r>
      <w:r>
        <w:rPr>
          <w:color w:val="231F20"/>
          <w:spacing w:val="-3"/>
          <w:w w:val="110"/>
        </w:rPr>
        <w:t>autor, </w:t>
      </w:r>
      <w:r>
        <w:rPr>
          <w:color w:val="231F20"/>
          <w:w w:val="110"/>
        </w:rPr>
        <w:t>muchos estudiosos relacionan la crisis económica con el abuso y la mala administración de los re- cursos mundiales (neoliberalismo), pero en realidad estas supuestas causas</w:t>
      </w:r>
      <w:r>
        <w:rPr>
          <w:color w:val="231F20"/>
          <w:spacing w:val="-4"/>
          <w:w w:val="110"/>
        </w:rPr>
        <w:t> </w:t>
      </w:r>
      <w:r>
        <w:rPr>
          <w:color w:val="231F20"/>
          <w:w w:val="110"/>
        </w:rPr>
        <w:t>son</w:t>
      </w:r>
      <w:r>
        <w:rPr>
          <w:color w:val="231F20"/>
          <w:spacing w:val="-4"/>
          <w:w w:val="110"/>
        </w:rPr>
        <w:t> </w:t>
      </w:r>
      <w:r>
        <w:rPr>
          <w:color w:val="231F20"/>
          <w:w w:val="110"/>
        </w:rPr>
        <w:t>también</w:t>
      </w:r>
      <w:r>
        <w:rPr>
          <w:color w:val="231F20"/>
          <w:spacing w:val="-4"/>
          <w:w w:val="110"/>
        </w:rPr>
        <w:t> </w:t>
      </w:r>
      <w:r>
        <w:rPr>
          <w:color w:val="231F20"/>
          <w:w w:val="110"/>
        </w:rPr>
        <w:t>consecuencia</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crisis</w:t>
      </w:r>
      <w:r>
        <w:rPr>
          <w:color w:val="231F20"/>
          <w:spacing w:val="-4"/>
          <w:w w:val="110"/>
        </w:rPr>
        <w:t> </w:t>
      </w:r>
      <w:r>
        <w:rPr>
          <w:color w:val="231F20"/>
          <w:w w:val="110"/>
        </w:rPr>
        <w:t>aún</w:t>
      </w:r>
      <w:r>
        <w:rPr>
          <w:color w:val="231F20"/>
          <w:spacing w:val="-4"/>
          <w:w w:val="110"/>
        </w:rPr>
        <w:t> </w:t>
      </w:r>
      <w:r>
        <w:rPr>
          <w:color w:val="231F20"/>
          <w:w w:val="110"/>
        </w:rPr>
        <w:t>más</w:t>
      </w:r>
      <w:r>
        <w:rPr>
          <w:color w:val="231F20"/>
          <w:spacing w:val="-4"/>
          <w:w w:val="110"/>
        </w:rPr>
        <w:t> </w:t>
      </w:r>
      <w:r>
        <w:rPr>
          <w:color w:val="231F20"/>
          <w:w w:val="110"/>
        </w:rPr>
        <w:t>profunda</w:t>
      </w:r>
      <w:r>
        <w:rPr>
          <w:color w:val="231F20"/>
          <w:spacing w:val="-4"/>
          <w:w w:val="110"/>
        </w:rPr>
        <w:t> </w:t>
      </w:r>
      <w:r>
        <w:rPr>
          <w:color w:val="231F20"/>
          <w:w w:val="110"/>
        </w:rPr>
        <w:t>del </w:t>
      </w:r>
      <w:r>
        <w:rPr>
          <w:color w:val="231F20"/>
          <w:w w:val="105"/>
        </w:rPr>
        <w:t>sistema</w:t>
      </w:r>
      <w:r>
        <w:rPr>
          <w:color w:val="231F20"/>
          <w:spacing w:val="26"/>
          <w:w w:val="105"/>
        </w:rPr>
        <w:t> </w:t>
      </w:r>
      <w:r>
        <w:rPr>
          <w:color w:val="231F20"/>
          <w:w w:val="105"/>
        </w:rPr>
        <w:t>capitalista.</w:t>
      </w:r>
    </w:p>
    <w:p>
      <w:pPr>
        <w:pStyle w:val="BodyText"/>
      </w:pPr>
    </w:p>
    <w:p>
      <w:pPr>
        <w:pStyle w:val="BodyText"/>
      </w:pPr>
    </w:p>
    <w:p>
      <w:pPr>
        <w:pStyle w:val="BodyText"/>
        <w:spacing w:before="2"/>
        <w:rPr>
          <w:sz w:val="25"/>
        </w:rPr>
      </w:pPr>
    </w:p>
    <w:p>
      <w:pPr>
        <w:pStyle w:val="BodyText"/>
        <w:ind w:left="100"/>
        <w:jc w:val="both"/>
      </w:pPr>
      <w:r>
        <w:rPr>
          <w:color w:val="231F20"/>
          <w:w w:val="125"/>
        </w:rPr>
        <w:t>crisis de hegemonía y decadencia interna en estados unidos</w:t>
      </w:r>
    </w:p>
    <w:p>
      <w:pPr>
        <w:pStyle w:val="BodyText"/>
        <w:spacing w:before="5"/>
        <w:rPr>
          <w:sz w:val="23"/>
        </w:rPr>
      </w:pPr>
    </w:p>
    <w:p>
      <w:pPr>
        <w:pStyle w:val="BodyText"/>
        <w:spacing w:line="261" w:lineRule="auto"/>
        <w:ind w:left="100" w:right="115"/>
        <w:jc w:val="both"/>
      </w:pPr>
      <w:r>
        <w:rPr>
          <w:color w:val="231F20"/>
          <w:w w:val="105"/>
        </w:rPr>
        <w:t>El primer capítulo de esta sección “Estados Unidos en la encrucijada  de la crisis capitalista”, de Adrián Sotelo Valencia, investigador del Centro de Estudios Latinoamericanos de la Universidad Nacional Autónoma de México, presenta un análisis general del curso de desarrollo del capitalismo contemporáneo y de la crisis económica actual, a partir de la hipótesis central de que las dificultades, tanto en  el centro del sistema como en su periferia (subdesarrollada y depen- diente), derivan de una crisis de producción de valor y de plusvalía,      y que por más que las salidas asuman las “políticas correctivas” que   se elaboran desde los centros de decisión del </w:t>
      </w:r>
      <w:r>
        <w:rPr>
          <w:color w:val="231F20"/>
          <w:spacing w:val="-3"/>
          <w:w w:val="105"/>
        </w:rPr>
        <w:t>poder, </w:t>
      </w:r>
      <w:r>
        <w:rPr>
          <w:color w:val="231F20"/>
          <w:w w:val="105"/>
        </w:rPr>
        <w:t>predominan- temente monetarias y financieras, resultan insuficientes para lograr contrarrestarla, sin  que  broten  nuevas  dificultades,  contradicciones  y otros problemas que se van haciendo irresolubles. Por lo tanto, de ninguna manera se trata de una “crisis inmobiliaria” o simplemente “financiera”, como se vino propagando desde los círculos oficiales del poder político-ideológico de Estados Unidos y de la Unión Europea, y en los medios de comunicación privados y oficiales. Con ello intenta destacar</w:t>
      </w:r>
      <w:r>
        <w:rPr>
          <w:color w:val="231F20"/>
          <w:spacing w:val="27"/>
          <w:w w:val="105"/>
        </w:rPr>
        <w:t> </w:t>
      </w:r>
      <w:r>
        <w:rPr>
          <w:color w:val="231F20"/>
          <w:w w:val="105"/>
        </w:rPr>
        <w:t>el</w:t>
      </w:r>
      <w:r>
        <w:rPr>
          <w:color w:val="231F20"/>
          <w:spacing w:val="27"/>
          <w:w w:val="105"/>
        </w:rPr>
        <w:t> </w:t>
      </w:r>
      <w:r>
        <w:rPr>
          <w:color w:val="231F20"/>
          <w:w w:val="105"/>
        </w:rPr>
        <w:t>carácter</w:t>
      </w:r>
      <w:r>
        <w:rPr>
          <w:color w:val="231F20"/>
          <w:spacing w:val="27"/>
          <w:w w:val="105"/>
        </w:rPr>
        <w:t> </w:t>
      </w:r>
      <w:r>
        <w:rPr>
          <w:color w:val="231F20"/>
          <w:w w:val="105"/>
        </w:rPr>
        <w:t>estructural,</w:t>
      </w:r>
      <w:r>
        <w:rPr>
          <w:color w:val="231F20"/>
          <w:spacing w:val="27"/>
          <w:w w:val="105"/>
        </w:rPr>
        <w:t> </w:t>
      </w:r>
      <w:r>
        <w:rPr>
          <w:color w:val="231F20"/>
          <w:w w:val="105"/>
        </w:rPr>
        <w:t>global</w:t>
      </w:r>
      <w:r>
        <w:rPr>
          <w:color w:val="231F20"/>
          <w:spacing w:val="27"/>
          <w:w w:val="105"/>
        </w:rPr>
        <w:t> </w:t>
      </w:r>
      <w:r>
        <w:rPr>
          <w:color w:val="231F20"/>
          <w:w w:val="105"/>
        </w:rPr>
        <w:t>e</w:t>
      </w:r>
      <w:r>
        <w:rPr>
          <w:color w:val="231F20"/>
          <w:spacing w:val="27"/>
          <w:w w:val="105"/>
        </w:rPr>
        <w:t> </w:t>
      </w:r>
      <w:r>
        <w:rPr>
          <w:color w:val="231F20"/>
          <w:w w:val="105"/>
        </w:rPr>
        <w:t>“irreversible”</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crisis.</w:t>
      </w:r>
    </w:p>
    <w:p>
      <w:pPr>
        <w:pStyle w:val="BodyText"/>
        <w:spacing w:line="261" w:lineRule="auto"/>
        <w:ind w:left="100" w:right="119" w:firstLine="240"/>
        <w:jc w:val="both"/>
      </w:pPr>
      <w:r>
        <w:rPr>
          <w:color w:val="231F20"/>
          <w:w w:val="110"/>
        </w:rPr>
        <w:t>Katia Cobarrubias Hernández, investigadora del Centro de Estu- dios Hemisféricos y sobre Estados Unidos de la Universidad de</w:t>
      </w:r>
      <w:r>
        <w:rPr>
          <w:color w:val="231F20"/>
          <w:spacing w:val="12"/>
          <w:w w:val="110"/>
        </w:rPr>
        <w:t> </w:t>
      </w:r>
      <w:r>
        <w:rPr>
          <w:color w:val="231F20"/>
          <w:w w:val="110"/>
        </w:rPr>
        <w:t>La</w:t>
      </w:r>
      <w:r>
        <w:rPr>
          <w:color w:val="231F20"/>
          <w:w w:val="104"/>
        </w:rPr>
        <w:t> </w:t>
      </w:r>
      <w:r>
        <w:rPr>
          <w:color w:val="231F20"/>
          <w:w w:val="110"/>
        </w:rPr>
        <w:t>Habana, es autora del capítulo “La posición de Estados Unidos en  el orden monetario y financiero internacional”, en el que señala que el área de las relaciones monetarias y financieras internacionales </w:t>
      </w:r>
      <w:r>
        <w:rPr>
          <w:color w:val="231F20"/>
          <w:spacing w:val="24"/>
          <w:w w:val="110"/>
        </w:rPr>
        <w:t> </w:t>
      </w:r>
      <w:r>
        <w:rPr>
          <w:color w:val="231F20"/>
          <w:w w:val="110"/>
        </w:rPr>
        <w:t>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una de las que centra la discusión acerca de la posición hegemónica de Estados Unidos en la economía mundial, ya que según ella, fue precisamente la crisis financiera la que desencadenó la actual crisis del</w:t>
      </w:r>
      <w:r>
        <w:rPr>
          <w:color w:val="231F20"/>
          <w:spacing w:val="-11"/>
          <w:w w:val="110"/>
        </w:rPr>
        <w:t> </w:t>
      </w:r>
      <w:r>
        <w:rPr>
          <w:color w:val="231F20"/>
          <w:w w:val="110"/>
        </w:rPr>
        <w:t>sistema</w:t>
      </w:r>
      <w:r>
        <w:rPr>
          <w:color w:val="231F20"/>
          <w:spacing w:val="-11"/>
          <w:w w:val="110"/>
        </w:rPr>
        <w:t> </w:t>
      </w:r>
      <w:r>
        <w:rPr>
          <w:color w:val="231F20"/>
          <w:w w:val="110"/>
        </w:rPr>
        <w:t>capitalista.</w:t>
      </w:r>
      <w:r>
        <w:rPr>
          <w:color w:val="231F20"/>
          <w:spacing w:val="-11"/>
          <w:w w:val="110"/>
        </w:rPr>
        <w:t> </w:t>
      </w:r>
      <w:r>
        <w:rPr>
          <w:color w:val="231F20"/>
          <w:w w:val="110"/>
        </w:rPr>
        <w:t>La</w:t>
      </w:r>
      <w:r>
        <w:rPr>
          <w:color w:val="231F20"/>
          <w:spacing w:val="-11"/>
          <w:w w:val="110"/>
        </w:rPr>
        <w:t> </w:t>
      </w:r>
      <w:r>
        <w:rPr>
          <w:color w:val="231F20"/>
          <w:w w:val="110"/>
        </w:rPr>
        <w:t>autora</w:t>
      </w:r>
      <w:r>
        <w:rPr>
          <w:color w:val="231F20"/>
          <w:spacing w:val="-11"/>
          <w:w w:val="110"/>
        </w:rPr>
        <w:t> </w:t>
      </w:r>
      <w:r>
        <w:rPr>
          <w:color w:val="231F20"/>
          <w:w w:val="110"/>
        </w:rPr>
        <w:t>argumenta</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hegemonía</w:t>
      </w:r>
      <w:r>
        <w:rPr>
          <w:color w:val="231F20"/>
          <w:spacing w:val="-11"/>
          <w:w w:val="110"/>
        </w:rPr>
        <w:t> </w:t>
      </w:r>
      <w:r>
        <w:rPr>
          <w:color w:val="231F20"/>
          <w:w w:val="110"/>
        </w:rPr>
        <w:t>de</w:t>
      </w:r>
      <w:r>
        <w:rPr>
          <w:color w:val="231F20"/>
          <w:spacing w:val="-11"/>
          <w:w w:val="110"/>
        </w:rPr>
        <w:t> </w:t>
      </w:r>
      <w:r>
        <w:rPr>
          <w:color w:val="231F20"/>
          <w:w w:val="110"/>
        </w:rPr>
        <w:t>que gozó</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en</w:t>
      </w:r>
      <w:r>
        <w:rPr>
          <w:color w:val="231F20"/>
          <w:spacing w:val="-12"/>
          <w:w w:val="110"/>
        </w:rPr>
        <w:t> </w:t>
      </w:r>
      <w:r>
        <w:rPr>
          <w:color w:val="231F20"/>
          <w:w w:val="110"/>
        </w:rPr>
        <w:t>las</w:t>
      </w:r>
      <w:r>
        <w:rPr>
          <w:color w:val="231F20"/>
          <w:spacing w:val="-12"/>
          <w:w w:val="110"/>
        </w:rPr>
        <w:t> </w:t>
      </w:r>
      <w:r>
        <w:rPr>
          <w:color w:val="231F20"/>
          <w:w w:val="110"/>
        </w:rPr>
        <w:t>relaciones</w:t>
      </w:r>
      <w:r>
        <w:rPr>
          <w:color w:val="231F20"/>
          <w:spacing w:val="-12"/>
          <w:w w:val="110"/>
        </w:rPr>
        <w:t> </w:t>
      </w:r>
      <w:r>
        <w:rPr>
          <w:color w:val="231F20"/>
          <w:w w:val="110"/>
        </w:rPr>
        <w:t>monetarias</w:t>
      </w:r>
      <w:r>
        <w:rPr>
          <w:color w:val="231F20"/>
          <w:spacing w:val="-12"/>
          <w:w w:val="110"/>
        </w:rPr>
        <w:t> </w:t>
      </w:r>
      <w:r>
        <w:rPr>
          <w:color w:val="231F20"/>
          <w:w w:val="110"/>
        </w:rPr>
        <w:t>y</w:t>
      </w:r>
      <w:r>
        <w:rPr>
          <w:color w:val="231F20"/>
          <w:spacing w:val="-12"/>
          <w:w w:val="110"/>
        </w:rPr>
        <w:t> </w:t>
      </w:r>
      <w:r>
        <w:rPr>
          <w:color w:val="231F20"/>
          <w:w w:val="110"/>
        </w:rPr>
        <w:t>financieras</w:t>
      </w:r>
      <w:r>
        <w:rPr>
          <w:color w:val="231F20"/>
          <w:spacing w:val="-12"/>
          <w:w w:val="110"/>
        </w:rPr>
        <w:t> </w:t>
      </w:r>
      <w:r>
        <w:rPr>
          <w:color w:val="231F20"/>
          <w:w w:val="110"/>
        </w:rPr>
        <w:t>inter- nacionales, principalmente después del establecimiento de un puro patrón dólar en 1971, favoreció la configuración de un orden mo- netario y financiero internacional caracterizado por el desequilibrio, pero funcional a los intereses expansivos de la economía</w:t>
      </w:r>
      <w:r>
        <w:rPr>
          <w:color w:val="231F20"/>
          <w:spacing w:val="-26"/>
          <w:w w:val="110"/>
        </w:rPr>
        <w:t> </w:t>
      </w:r>
      <w:r>
        <w:rPr>
          <w:color w:val="231F20"/>
          <w:w w:val="110"/>
        </w:rPr>
        <w:t>dominante. Sin embargo, tales desequilibrios han implicado necesariamente el debilitamiento a largo plazo del dominio económico estadunidense, describiendo</w:t>
      </w:r>
      <w:r>
        <w:rPr>
          <w:color w:val="231F20"/>
          <w:spacing w:val="-18"/>
          <w:w w:val="110"/>
        </w:rPr>
        <w:t> </w:t>
      </w:r>
      <w:r>
        <w:rPr>
          <w:color w:val="231F20"/>
          <w:w w:val="110"/>
        </w:rPr>
        <w:t>lo</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considera</w:t>
      </w:r>
      <w:r>
        <w:rPr>
          <w:color w:val="231F20"/>
          <w:spacing w:val="-18"/>
          <w:w w:val="110"/>
        </w:rPr>
        <w:t> </w:t>
      </w:r>
      <w:r>
        <w:rPr>
          <w:color w:val="231F20"/>
          <w:w w:val="110"/>
        </w:rPr>
        <w:t>un</w:t>
      </w:r>
      <w:r>
        <w:rPr>
          <w:color w:val="231F20"/>
          <w:spacing w:val="-18"/>
          <w:w w:val="110"/>
        </w:rPr>
        <w:t> </w:t>
      </w:r>
      <w:r>
        <w:rPr>
          <w:i/>
          <w:color w:val="231F20"/>
          <w:w w:val="110"/>
        </w:rPr>
        <w:t>efecto</w:t>
      </w:r>
      <w:r>
        <w:rPr>
          <w:i/>
          <w:color w:val="231F20"/>
          <w:spacing w:val="-18"/>
          <w:w w:val="110"/>
        </w:rPr>
        <w:t> </w:t>
      </w:r>
      <w:r>
        <w:rPr>
          <w:i/>
          <w:color w:val="231F20"/>
          <w:w w:val="110"/>
        </w:rPr>
        <w:t>búmeran</w:t>
      </w:r>
      <w:r>
        <w:rPr>
          <w:color w:val="231F20"/>
          <w:w w:val="110"/>
        </w:rPr>
        <w:t>.</w:t>
      </w:r>
      <w:r>
        <w:rPr>
          <w:color w:val="231F20"/>
          <w:spacing w:val="-18"/>
          <w:w w:val="110"/>
        </w:rPr>
        <w:t> </w:t>
      </w:r>
      <w:r>
        <w:rPr>
          <w:color w:val="231F20"/>
          <w:w w:val="110"/>
        </w:rPr>
        <w:t>La</w:t>
      </w:r>
      <w:r>
        <w:rPr>
          <w:color w:val="231F20"/>
          <w:spacing w:val="-18"/>
          <w:w w:val="110"/>
        </w:rPr>
        <w:t> </w:t>
      </w:r>
      <w:r>
        <w:rPr>
          <w:color w:val="231F20"/>
          <w:w w:val="110"/>
        </w:rPr>
        <w:t>autora</w:t>
      </w:r>
      <w:r>
        <w:rPr>
          <w:color w:val="231F20"/>
          <w:spacing w:val="-18"/>
          <w:w w:val="110"/>
        </w:rPr>
        <w:t> </w:t>
      </w:r>
      <w:r>
        <w:rPr>
          <w:color w:val="231F20"/>
          <w:w w:val="110"/>
        </w:rPr>
        <w:t>analiza la</w:t>
      </w:r>
      <w:r>
        <w:rPr>
          <w:color w:val="231F20"/>
          <w:spacing w:val="-5"/>
          <w:w w:val="110"/>
        </w:rPr>
        <w:t> </w:t>
      </w:r>
      <w:r>
        <w:rPr>
          <w:color w:val="231F20"/>
          <w:w w:val="110"/>
        </w:rPr>
        <w:t>relación</w:t>
      </w:r>
      <w:r>
        <w:rPr>
          <w:color w:val="231F20"/>
          <w:spacing w:val="-5"/>
          <w:w w:val="110"/>
        </w:rPr>
        <w:t> </w:t>
      </w:r>
      <w:r>
        <w:rPr>
          <w:color w:val="231F20"/>
          <w:w w:val="110"/>
        </w:rPr>
        <w:t>entre</w:t>
      </w:r>
      <w:r>
        <w:rPr>
          <w:color w:val="231F20"/>
          <w:spacing w:val="-5"/>
          <w:w w:val="110"/>
        </w:rPr>
        <w:t> </w:t>
      </w:r>
      <w:r>
        <w:rPr>
          <w:color w:val="231F20"/>
          <w:w w:val="110"/>
        </w:rPr>
        <w:t>dichos</w:t>
      </w:r>
      <w:r>
        <w:rPr>
          <w:color w:val="231F20"/>
          <w:spacing w:val="-5"/>
          <w:w w:val="110"/>
        </w:rPr>
        <w:t> </w:t>
      </w:r>
      <w:r>
        <w:rPr>
          <w:color w:val="231F20"/>
          <w:w w:val="110"/>
        </w:rPr>
        <w:t>desequilibrios</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sistémica</w:t>
      </w:r>
      <w:r>
        <w:rPr>
          <w:color w:val="231F20"/>
          <w:spacing w:val="-5"/>
          <w:w w:val="110"/>
        </w:rPr>
        <w:t> </w:t>
      </w:r>
      <w:r>
        <w:rPr>
          <w:color w:val="231F20"/>
          <w:w w:val="110"/>
        </w:rPr>
        <w:t>actual,</w:t>
      </w:r>
      <w:r>
        <w:rPr>
          <w:color w:val="231F20"/>
          <w:spacing w:val="-5"/>
          <w:w w:val="110"/>
        </w:rPr>
        <w:t> </w:t>
      </w:r>
      <w:r>
        <w:rPr>
          <w:color w:val="231F20"/>
          <w:w w:val="110"/>
        </w:rPr>
        <w:t>ar- gumenta que ésta refuerza las debilidades y las tensiones de Estados Unidos como potencia hegemónica del sistema financiero</w:t>
      </w:r>
      <w:r>
        <w:rPr>
          <w:color w:val="231F20"/>
          <w:spacing w:val="48"/>
          <w:w w:val="110"/>
        </w:rPr>
        <w:t> </w:t>
      </w:r>
      <w:r>
        <w:rPr>
          <w:color w:val="231F20"/>
          <w:w w:val="110"/>
        </w:rPr>
        <w:t>global.</w:t>
      </w:r>
    </w:p>
    <w:p>
      <w:pPr>
        <w:pStyle w:val="BodyText"/>
        <w:spacing w:line="261" w:lineRule="auto"/>
        <w:ind w:left="100" w:right="117" w:firstLine="240"/>
        <w:jc w:val="both"/>
      </w:pPr>
      <w:r>
        <w:rPr>
          <w:color w:val="231F20"/>
          <w:w w:val="110"/>
        </w:rPr>
        <w:t>En el capítulo “El déficit fiscal de Estados Unidos y el futuro del dólar”, de Daniel </w:t>
      </w:r>
      <w:r>
        <w:rPr>
          <w:color w:val="231F20"/>
          <w:spacing w:val="-3"/>
          <w:w w:val="110"/>
        </w:rPr>
        <w:t>Munevar, </w:t>
      </w:r>
      <w:r>
        <w:rPr>
          <w:color w:val="231F20"/>
          <w:w w:val="110"/>
        </w:rPr>
        <w:t>asistente de investigación de la Univer- sidad de </w:t>
      </w:r>
      <w:r>
        <w:rPr>
          <w:color w:val="231F20"/>
          <w:spacing w:val="-4"/>
          <w:w w:val="110"/>
        </w:rPr>
        <w:t>Texas </w:t>
      </w:r>
      <w:r>
        <w:rPr>
          <w:color w:val="231F20"/>
          <w:w w:val="110"/>
        </w:rPr>
        <w:t>en Austin, el autor sostiene que las preocupaciones sobre</w:t>
      </w:r>
      <w:r>
        <w:rPr>
          <w:color w:val="231F20"/>
          <w:spacing w:val="-8"/>
          <w:w w:val="110"/>
        </w:rPr>
        <w:t> </w:t>
      </w:r>
      <w:r>
        <w:rPr>
          <w:color w:val="231F20"/>
          <w:w w:val="110"/>
        </w:rPr>
        <w:t>una</w:t>
      </w:r>
      <w:r>
        <w:rPr>
          <w:color w:val="231F20"/>
          <w:spacing w:val="-8"/>
          <w:w w:val="110"/>
        </w:rPr>
        <w:t> </w:t>
      </w:r>
      <w:r>
        <w:rPr>
          <w:color w:val="231F20"/>
          <w:w w:val="110"/>
        </w:rPr>
        <w:t>crisis</w:t>
      </w:r>
      <w:r>
        <w:rPr>
          <w:color w:val="231F20"/>
          <w:spacing w:val="-8"/>
          <w:w w:val="110"/>
        </w:rPr>
        <w:t> </w:t>
      </w:r>
      <w:r>
        <w:rPr>
          <w:color w:val="231F20"/>
          <w:w w:val="110"/>
        </w:rPr>
        <w:t>fiscal</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mediano</w:t>
      </w:r>
      <w:r>
        <w:rPr>
          <w:color w:val="231F20"/>
          <w:spacing w:val="-8"/>
          <w:w w:val="110"/>
        </w:rPr>
        <w:t> </w:t>
      </w:r>
      <w:r>
        <w:rPr>
          <w:color w:val="231F20"/>
          <w:w w:val="110"/>
        </w:rPr>
        <w:t>y</w:t>
      </w:r>
      <w:r>
        <w:rPr>
          <w:color w:val="231F20"/>
          <w:spacing w:val="-8"/>
          <w:w w:val="110"/>
        </w:rPr>
        <w:t> </w:t>
      </w:r>
      <w:r>
        <w:rPr>
          <w:color w:val="231F20"/>
          <w:w w:val="110"/>
        </w:rPr>
        <w:t>largo</w:t>
      </w:r>
      <w:r>
        <w:rPr>
          <w:color w:val="231F20"/>
          <w:spacing w:val="-8"/>
          <w:w w:val="110"/>
        </w:rPr>
        <w:t> </w:t>
      </w:r>
      <w:r>
        <w:rPr>
          <w:color w:val="231F20"/>
          <w:w w:val="110"/>
        </w:rPr>
        <w:t>plazo carecen en gran medida de fundamento. Aunque el aumento masivo en el déficit fiscal llevará a la deuda pública de ese país a niveles   no vistos desde la segunda guerra mundial, esto ocurre en un con- texto especial que se caracteriza por una disminución general del consumo privado y la inversión. Según el </w:t>
      </w:r>
      <w:r>
        <w:rPr>
          <w:color w:val="231F20"/>
          <w:spacing w:val="-3"/>
          <w:w w:val="110"/>
        </w:rPr>
        <w:t>autor, </w:t>
      </w:r>
      <w:r>
        <w:rPr>
          <w:color w:val="231F20"/>
          <w:w w:val="110"/>
        </w:rPr>
        <w:t>como lo demuestra la experiencia japonesa en los últimos dos decenios, un aumento significativo de la deuda pública en este tipo de contexto no se tra- duce necesariamente en un incremento en las tasas de interés o la inflación. Ello en la medida en que el gasto deficitario impide que  la recesión económica se convierta en una depresión. En concreto, argumenta, el gasto deficitario permite la acumulación de exceden- tes en el sector privado que se requieren para restaurar las hojas de balances de los hogares con el fin de proporcionar una base sólida para una trayectoria más equilibrada de </w:t>
      </w:r>
      <w:r>
        <w:rPr>
          <w:color w:val="231F20"/>
          <w:spacing w:val="15"/>
          <w:w w:val="110"/>
        </w:rPr>
        <w:t> </w:t>
      </w:r>
      <w:r>
        <w:rPr>
          <w:color w:val="231F20"/>
          <w:w w:val="110"/>
        </w:rPr>
        <w:t>crecimiento.</w:t>
      </w:r>
    </w:p>
    <w:p>
      <w:pPr>
        <w:pStyle w:val="BodyText"/>
        <w:spacing w:line="261" w:lineRule="auto"/>
        <w:ind w:left="100" w:right="113" w:firstLine="240"/>
        <w:jc w:val="both"/>
      </w:pPr>
      <w:r>
        <w:rPr>
          <w:color w:val="231F20"/>
          <w:w w:val="110"/>
        </w:rPr>
        <w:t>Fabio Grobart Sunshine, profesor investigador del Centro de Investigaciones de Economía Internacional de la Universidad de La Habana, en su capítulo “La crisis sistémica estructural de Estados Unidos: la agenda sobre ciencia y tecnología”, analiza el relativo agotamiento, la reconfiguración y la pérdida de liderazgo de Esta- dos Unidos en lo que corresponde a ciencia, tecnología y   servicios</w:t>
      </w:r>
    </w:p>
    <w:p>
      <w:pPr>
        <w:spacing w:after="0" w:line="261" w:lineRule="auto"/>
        <w:jc w:val="both"/>
        <w:sectPr>
          <w:headerReference w:type="even" r:id="rId52"/>
          <w:headerReference w:type="default" r:id="rId53"/>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conexos de alta tecnología, componentes esenciales del </w:t>
      </w:r>
      <w:r>
        <w:rPr>
          <w:color w:val="231F20"/>
          <w:spacing w:val="2"/>
          <w:w w:val="105"/>
        </w:rPr>
        <w:t>modelo </w:t>
      </w:r>
      <w:r>
        <w:rPr>
          <w:color w:val="231F20"/>
          <w:w w:val="105"/>
        </w:rPr>
        <w:t>reproductivo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llamada</w:t>
      </w:r>
      <w:r>
        <w:rPr>
          <w:color w:val="231F20"/>
          <w:spacing w:val="-27"/>
          <w:w w:val="105"/>
        </w:rPr>
        <w:t> </w:t>
      </w:r>
      <w:r>
        <w:rPr>
          <w:i/>
          <w:color w:val="231F20"/>
          <w:w w:val="105"/>
        </w:rPr>
        <w:t>sociedad</w:t>
      </w:r>
      <w:r>
        <w:rPr>
          <w:i/>
          <w:color w:val="231F20"/>
          <w:spacing w:val="-27"/>
          <w:w w:val="105"/>
        </w:rPr>
        <w:t> </w:t>
      </w:r>
      <w:r>
        <w:rPr>
          <w:i/>
          <w:color w:val="231F20"/>
          <w:w w:val="105"/>
        </w:rPr>
        <w:t>basada</w:t>
      </w:r>
      <w:r>
        <w:rPr>
          <w:i/>
          <w:color w:val="231F20"/>
          <w:spacing w:val="-27"/>
          <w:w w:val="105"/>
        </w:rPr>
        <w:t> </w:t>
      </w:r>
      <w:r>
        <w:rPr>
          <w:i/>
          <w:color w:val="231F20"/>
          <w:w w:val="105"/>
        </w:rPr>
        <w:t>en</w:t>
      </w:r>
      <w:r>
        <w:rPr>
          <w:i/>
          <w:color w:val="231F20"/>
          <w:spacing w:val="-27"/>
          <w:w w:val="105"/>
        </w:rPr>
        <w:t> </w:t>
      </w:r>
      <w:r>
        <w:rPr>
          <w:i/>
          <w:color w:val="231F20"/>
          <w:w w:val="105"/>
        </w:rPr>
        <w:t>el</w:t>
      </w:r>
      <w:r>
        <w:rPr>
          <w:i/>
          <w:color w:val="231F20"/>
          <w:spacing w:val="-27"/>
          <w:w w:val="105"/>
        </w:rPr>
        <w:t> </w:t>
      </w:r>
      <w:r>
        <w:rPr>
          <w:i/>
          <w:color w:val="231F20"/>
          <w:w w:val="105"/>
        </w:rPr>
        <w:t>conocimiento</w:t>
      </w:r>
      <w:r>
        <w:rPr>
          <w:color w:val="231F20"/>
          <w:w w:val="105"/>
        </w:rPr>
        <w:t>.</w:t>
      </w:r>
      <w:r>
        <w:rPr>
          <w:color w:val="231F20"/>
          <w:spacing w:val="-27"/>
          <w:w w:val="105"/>
        </w:rPr>
        <w:t> </w:t>
      </w:r>
      <w:r>
        <w:rPr>
          <w:color w:val="231F20"/>
          <w:w w:val="105"/>
        </w:rPr>
        <w:t>El</w:t>
      </w:r>
      <w:r>
        <w:rPr>
          <w:color w:val="231F20"/>
          <w:spacing w:val="-27"/>
          <w:w w:val="105"/>
        </w:rPr>
        <w:t> </w:t>
      </w:r>
      <w:r>
        <w:rPr>
          <w:color w:val="231F20"/>
          <w:w w:val="105"/>
        </w:rPr>
        <w:t>trabajo aborda aspectos poco estudiados: el creciente cuestionamiento de las ventajas comparativas dinámicas y sistémicas, como pilares estratégi- cos del capitalismo monopolista transnacionalizado en su política de dominio planetario y la interrelación biunívoca de hegemonía, com- petitividad y ciclo reproductivo, todos con creciente tendencia a la   baja apuntando hacia una prolongada crisis sistémico-estructural en   los cimientos de las fuerzas productivas metropolitanas. En relación con la agenda del presidente Barack Obama en esta esfera, constata     la inconsistencia entre su discurso electoral de cambios y la continui- dad,</w:t>
      </w:r>
      <w:r>
        <w:rPr>
          <w:color w:val="231F20"/>
          <w:spacing w:val="34"/>
          <w:w w:val="105"/>
        </w:rPr>
        <w:t> </w:t>
      </w:r>
      <w:r>
        <w:rPr>
          <w:color w:val="231F20"/>
          <w:w w:val="105"/>
        </w:rPr>
        <w:t>en</w:t>
      </w:r>
      <w:r>
        <w:rPr>
          <w:color w:val="231F20"/>
          <w:spacing w:val="34"/>
          <w:w w:val="105"/>
        </w:rPr>
        <w:t> </w:t>
      </w:r>
      <w:r>
        <w:rPr>
          <w:color w:val="231F20"/>
          <w:w w:val="105"/>
        </w:rPr>
        <w:t>los</w:t>
      </w:r>
      <w:r>
        <w:rPr>
          <w:color w:val="231F20"/>
          <w:spacing w:val="34"/>
          <w:w w:val="105"/>
        </w:rPr>
        <w:t> </w:t>
      </w:r>
      <w:r>
        <w:rPr>
          <w:color w:val="231F20"/>
          <w:w w:val="105"/>
        </w:rPr>
        <w:t>hechos,</w:t>
      </w:r>
      <w:r>
        <w:rPr>
          <w:color w:val="231F20"/>
          <w:spacing w:val="34"/>
          <w:w w:val="105"/>
        </w:rPr>
        <w:t> </w:t>
      </w:r>
      <w:r>
        <w:rPr>
          <w:color w:val="231F20"/>
          <w:w w:val="105"/>
        </w:rPr>
        <w:t>del</w:t>
      </w:r>
      <w:r>
        <w:rPr>
          <w:color w:val="231F20"/>
          <w:spacing w:val="34"/>
          <w:w w:val="105"/>
        </w:rPr>
        <w:t> </w:t>
      </w:r>
      <w:r>
        <w:rPr>
          <w:color w:val="231F20"/>
          <w:w w:val="105"/>
        </w:rPr>
        <w:t>agravamiento</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tendencias</w:t>
      </w:r>
      <w:r>
        <w:rPr>
          <w:color w:val="231F20"/>
          <w:spacing w:val="34"/>
          <w:w w:val="105"/>
        </w:rPr>
        <w:t> </w:t>
      </w:r>
      <w:r>
        <w:rPr>
          <w:color w:val="231F20"/>
          <w:w w:val="105"/>
        </w:rPr>
        <w:t>observadas.</w:t>
      </w:r>
    </w:p>
    <w:p>
      <w:pPr>
        <w:pStyle w:val="BodyText"/>
        <w:spacing w:line="261" w:lineRule="auto"/>
        <w:ind w:left="100" w:right="117" w:firstLine="240"/>
        <w:jc w:val="both"/>
      </w:pPr>
      <w:r>
        <w:rPr>
          <w:color w:val="231F20"/>
          <w:w w:val="110"/>
        </w:rPr>
        <w:t>El siguiente capítulo, “Estados Unidos: crisis económica,</w:t>
      </w:r>
      <w:r>
        <w:rPr>
          <w:color w:val="231F20"/>
          <w:spacing w:val="-6"/>
          <w:w w:val="110"/>
        </w:rPr>
        <w:t> </w:t>
      </w:r>
      <w:r>
        <w:rPr>
          <w:color w:val="231F20"/>
          <w:w w:val="110"/>
        </w:rPr>
        <w:t>reestru- turación</w:t>
      </w:r>
      <w:r>
        <w:rPr>
          <w:color w:val="231F20"/>
          <w:spacing w:val="-12"/>
          <w:w w:val="110"/>
        </w:rPr>
        <w:t> </w:t>
      </w:r>
      <w:r>
        <w:rPr>
          <w:color w:val="231F20"/>
          <w:w w:val="110"/>
        </w:rPr>
        <w:t>productiva</w:t>
      </w:r>
      <w:r>
        <w:rPr>
          <w:color w:val="231F20"/>
          <w:spacing w:val="-12"/>
          <w:w w:val="110"/>
        </w:rPr>
        <w:t> </w:t>
      </w:r>
      <w:r>
        <w:rPr>
          <w:color w:val="231F20"/>
          <w:w w:val="110"/>
        </w:rPr>
        <w:t>y</w:t>
      </w:r>
      <w:r>
        <w:rPr>
          <w:color w:val="231F20"/>
          <w:spacing w:val="-12"/>
          <w:w w:val="110"/>
        </w:rPr>
        <w:t> </w:t>
      </w:r>
      <w:r>
        <w:rPr>
          <w:color w:val="231F20"/>
          <w:w w:val="110"/>
        </w:rPr>
        <w:t>nueva</w:t>
      </w:r>
      <w:r>
        <w:rPr>
          <w:color w:val="231F20"/>
          <w:spacing w:val="-12"/>
          <w:w w:val="110"/>
        </w:rPr>
        <w:t> </w:t>
      </w:r>
      <w:r>
        <w:rPr>
          <w:color w:val="231F20"/>
          <w:w w:val="110"/>
        </w:rPr>
        <w:t>precariedad</w:t>
      </w:r>
      <w:r>
        <w:rPr>
          <w:color w:val="231F20"/>
          <w:spacing w:val="-12"/>
          <w:w w:val="110"/>
        </w:rPr>
        <w:t> </w:t>
      </w:r>
      <w:r>
        <w:rPr>
          <w:color w:val="231F20"/>
          <w:w w:val="110"/>
        </w:rPr>
        <w:t>laboral”,</w:t>
      </w:r>
      <w:r>
        <w:rPr>
          <w:color w:val="231F20"/>
          <w:spacing w:val="-12"/>
          <w:w w:val="110"/>
        </w:rPr>
        <w:t> </w:t>
      </w:r>
      <w:r>
        <w:rPr>
          <w:color w:val="231F20"/>
          <w:w w:val="110"/>
        </w:rPr>
        <w:t>de</w:t>
      </w:r>
      <w:r>
        <w:rPr>
          <w:color w:val="231F20"/>
          <w:spacing w:val="-12"/>
          <w:w w:val="110"/>
        </w:rPr>
        <w:t> </w:t>
      </w:r>
      <w:r>
        <w:rPr>
          <w:color w:val="231F20"/>
          <w:w w:val="110"/>
        </w:rPr>
        <w:t>Dídimo</w:t>
      </w:r>
      <w:r>
        <w:rPr>
          <w:color w:val="231F20"/>
          <w:spacing w:val="-12"/>
          <w:w w:val="110"/>
        </w:rPr>
        <w:t> </w:t>
      </w:r>
      <w:r>
        <w:rPr>
          <w:color w:val="231F20"/>
          <w:w w:val="110"/>
        </w:rPr>
        <w:t>Castillo Fernández,</w:t>
      </w:r>
      <w:r>
        <w:rPr>
          <w:color w:val="231F20"/>
          <w:spacing w:val="-10"/>
          <w:w w:val="110"/>
        </w:rPr>
        <w:t> </w:t>
      </w:r>
      <w:r>
        <w:rPr>
          <w:color w:val="231F20"/>
          <w:w w:val="110"/>
        </w:rPr>
        <w:t>profesor</w:t>
      </w:r>
      <w:r>
        <w:rPr>
          <w:color w:val="231F20"/>
          <w:spacing w:val="-10"/>
          <w:w w:val="110"/>
        </w:rPr>
        <w:t> </w:t>
      </w:r>
      <w:r>
        <w:rPr>
          <w:color w:val="231F20"/>
          <w:w w:val="110"/>
        </w:rPr>
        <w:t>investigador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Facultad</w:t>
      </w:r>
      <w:r>
        <w:rPr>
          <w:color w:val="231F20"/>
          <w:spacing w:val="-10"/>
          <w:w w:val="110"/>
        </w:rPr>
        <w:t> </w:t>
      </w:r>
      <w:r>
        <w:rPr>
          <w:color w:val="231F20"/>
          <w:w w:val="110"/>
        </w:rPr>
        <w:t>de</w:t>
      </w:r>
      <w:r>
        <w:rPr>
          <w:color w:val="231F20"/>
          <w:spacing w:val="-10"/>
          <w:w w:val="110"/>
        </w:rPr>
        <w:t> </w:t>
      </w:r>
      <w:r>
        <w:rPr>
          <w:color w:val="231F20"/>
          <w:w w:val="110"/>
        </w:rPr>
        <w:t>Ciencias</w:t>
      </w:r>
      <w:r>
        <w:rPr>
          <w:color w:val="231F20"/>
          <w:spacing w:val="-10"/>
          <w:w w:val="110"/>
        </w:rPr>
        <w:t> </w:t>
      </w:r>
      <w:r>
        <w:rPr>
          <w:color w:val="231F20"/>
          <w:w w:val="110"/>
        </w:rPr>
        <w:t>Políticas y</w:t>
      </w:r>
      <w:r>
        <w:rPr>
          <w:color w:val="231F20"/>
          <w:spacing w:val="-20"/>
          <w:w w:val="110"/>
        </w:rPr>
        <w:t> </w:t>
      </w:r>
      <w:r>
        <w:rPr>
          <w:color w:val="231F20"/>
          <w:w w:val="110"/>
        </w:rPr>
        <w:t>Sociales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Universidad</w:t>
      </w:r>
      <w:r>
        <w:rPr>
          <w:color w:val="231F20"/>
          <w:spacing w:val="-20"/>
          <w:w w:val="110"/>
        </w:rPr>
        <w:t> </w:t>
      </w:r>
      <w:r>
        <w:rPr>
          <w:color w:val="231F20"/>
          <w:w w:val="110"/>
        </w:rPr>
        <w:t>Autónoma</w:t>
      </w:r>
      <w:r>
        <w:rPr>
          <w:color w:val="231F20"/>
          <w:spacing w:val="-20"/>
          <w:w w:val="110"/>
        </w:rPr>
        <w:t> </w:t>
      </w:r>
      <w:r>
        <w:rPr>
          <w:color w:val="231F20"/>
          <w:w w:val="110"/>
        </w:rPr>
        <w:t>del</w:t>
      </w:r>
      <w:r>
        <w:rPr>
          <w:color w:val="231F20"/>
          <w:spacing w:val="-20"/>
          <w:w w:val="110"/>
        </w:rPr>
        <w:t> </w:t>
      </w:r>
      <w:r>
        <w:rPr>
          <w:color w:val="231F20"/>
          <w:w w:val="110"/>
        </w:rPr>
        <w:t>Estado</w:t>
      </w:r>
      <w:r>
        <w:rPr>
          <w:color w:val="231F20"/>
          <w:spacing w:val="-20"/>
          <w:w w:val="110"/>
        </w:rPr>
        <w:t> </w:t>
      </w:r>
      <w:r>
        <w:rPr>
          <w:color w:val="231F20"/>
          <w:w w:val="110"/>
        </w:rPr>
        <w:t>de</w:t>
      </w:r>
      <w:r>
        <w:rPr>
          <w:color w:val="231F20"/>
          <w:spacing w:val="-20"/>
          <w:w w:val="110"/>
        </w:rPr>
        <w:t> </w:t>
      </w:r>
      <w:r>
        <w:rPr>
          <w:color w:val="231F20"/>
          <w:w w:val="110"/>
        </w:rPr>
        <w:t>México,</w:t>
      </w:r>
      <w:r>
        <w:rPr>
          <w:color w:val="231F20"/>
          <w:spacing w:val="-20"/>
          <w:w w:val="110"/>
        </w:rPr>
        <w:t> </w:t>
      </w:r>
      <w:r>
        <w:rPr>
          <w:color w:val="231F20"/>
          <w:w w:val="110"/>
        </w:rPr>
        <w:t>analiza el proceso de acumulación capitalista desde inicios de aplicación</w:t>
      </w:r>
      <w:r>
        <w:rPr>
          <w:color w:val="231F20"/>
          <w:spacing w:val="-33"/>
          <w:w w:val="110"/>
        </w:rPr>
        <w:t> </w:t>
      </w:r>
      <w:r>
        <w:rPr>
          <w:color w:val="231F20"/>
          <w:w w:val="110"/>
        </w:rPr>
        <w:t>del modelo neoliberal y durante la crisis actual, contempla el proceso</w:t>
      </w:r>
      <w:r>
        <w:rPr>
          <w:color w:val="231F20"/>
          <w:spacing w:val="-32"/>
          <w:w w:val="110"/>
        </w:rPr>
        <w:t> </w:t>
      </w:r>
      <w:r>
        <w:rPr>
          <w:color w:val="231F20"/>
          <w:w w:val="110"/>
        </w:rPr>
        <w:t>de reestructuración económica —particularmente, la desindustrializa- ción y deslocalización del trabajo— así como su impacto en el mer- cado de trabajo y en la calidad de las ocupaciones (el desempleo, el trabajo</w:t>
      </w:r>
      <w:r>
        <w:rPr>
          <w:color w:val="231F20"/>
          <w:spacing w:val="-8"/>
          <w:w w:val="110"/>
        </w:rPr>
        <w:t> </w:t>
      </w:r>
      <w:r>
        <w:rPr>
          <w:color w:val="231F20"/>
          <w:w w:val="110"/>
        </w:rPr>
        <w:t>informal</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precarización</w:t>
      </w:r>
      <w:r>
        <w:rPr>
          <w:color w:val="231F20"/>
          <w:spacing w:val="-8"/>
          <w:w w:val="110"/>
        </w:rPr>
        <w:t> </w:t>
      </w:r>
      <w:r>
        <w:rPr>
          <w:color w:val="231F20"/>
          <w:w w:val="110"/>
        </w:rPr>
        <w:t>laboral)</w:t>
      </w:r>
      <w:r>
        <w:rPr>
          <w:color w:val="231F20"/>
          <w:spacing w:val="-8"/>
          <w:w w:val="110"/>
        </w:rPr>
        <w:t> </w:t>
      </w:r>
      <w:r>
        <w:rPr>
          <w:color w:val="231F20"/>
          <w:w w:val="110"/>
        </w:rPr>
        <w:t>y</w:t>
      </w:r>
      <w:r>
        <w:rPr>
          <w:color w:val="231F20"/>
          <w:spacing w:val="-8"/>
          <w:w w:val="110"/>
        </w:rPr>
        <w:t> </w:t>
      </w:r>
      <w:r>
        <w:rPr>
          <w:color w:val="231F20"/>
          <w:w w:val="110"/>
        </w:rPr>
        <w:t>sus</w:t>
      </w:r>
      <w:r>
        <w:rPr>
          <w:color w:val="231F20"/>
          <w:spacing w:val="-8"/>
          <w:w w:val="110"/>
        </w:rPr>
        <w:t> </w:t>
      </w:r>
      <w:r>
        <w:rPr>
          <w:color w:val="231F20"/>
          <w:w w:val="110"/>
        </w:rPr>
        <w:t>tendencias.</w:t>
      </w:r>
      <w:r>
        <w:rPr>
          <w:color w:val="231F20"/>
          <w:spacing w:val="-8"/>
          <w:w w:val="110"/>
        </w:rPr>
        <w:t> </w:t>
      </w:r>
      <w:r>
        <w:rPr>
          <w:color w:val="231F20"/>
          <w:w w:val="110"/>
        </w:rPr>
        <w:t>El</w:t>
      </w:r>
      <w:r>
        <w:rPr>
          <w:color w:val="231F20"/>
          <w:spacing w:val="-8"/>
          <w:w w:val="110"/>
        </w:rPr>
        <w:t> </w:t>
      </w:r>
      <w:r>
        <w:rPr>
          <w:color w:val="231F20"/>
          <w:w w:val="110"/>
        </w:rPr>
        <w:t>autor enfatiza en los cambios estructurales y en la crisis económica</w:t>
      </w:r>
      <w:r>
        <w:rPr>
          <w:color w:val="231F20"/>
          <w:spacing w:val="-31"/>
          <w:w w:val="110"/>
        </w:rPr>
        <w:t> </w:t>
      </w:r>
      <w:r>
        <w:rPr>
          <w:color w:val="231F20"/>
          <w:w w:val="110"/>
        </w:rPr>
        <w:t>actual, así como en las nuevas pautas adoptadas de explotación de trabajo  y la consiguiente “nueva” precarización laboral. Muestra cómo la creciente flexibilización laboral ha modificado las formas típicas de empleo</w:t>
      </w:r>
      <w:r>
        <w:rPr>
          <w:color w:val="231F20"/>
          <w:spacing w:val="-6"/>
          <w:w w:val="110"/>
        </w:rPr>
        <w:t> </w:t>
      </w:r>
      <w:r>
        <w:rPr>
          <w:color w:val="231F20"/>
          <w:w w:val="110"/>
        </w:rPr>
        <w:t>asalariado,</w:t>
      </w:r>
      <w:r>
        <w:rPr>
          <w:color w:val="231F20"/>
          <w:spacing w:val="-6"/>
          <w:w w:val="110"/>
        </w:rPr>
        <w:t> </w:t>
      </w:r>
      <w:r>
        <w:rPr>
          <w:color w:val="231F20"/>
          <w:w w:val="110"/>
        </w:rPr>
        <w:t>al</w:t>
      </w:r>
      <w:r>
        <w:rPr>
          <w:color w:val="231F20"/>
          <w:spacing w:val="-6"/>
          <w:w w:val="110"/>
        </w:rPr>
        <w:t> </w:t>
      </w:r>
      <w:r>
        <w:rPr>
          <w:color w:val="231F20"/>
          <w:w w:val="110"/>
        </w:rPr>
        <w:t>sustituir</w:t>
      </w:r>
      <w:r>
        <w:rPr>
          <w:color w:val="231F20"/>
          <w:spacing w:val="-6"/>
          <w:w w:val="110"/>
        </w:rPr>
        <w:t> </w:t>
      </w:r>
      <w:r>
        <w:rPr>
          <w:color w:val="231F20"/>
          <w:w w:val="110"/>
        </w:rPr>
        <w:t>la</w:t>
      </w:r>
      <w:r>
        <w:rPr>
          <w:color w:val="231F20"/>
          <w:spacing w:val="-6"/>
          <w:w w:val="110"/>
        </w:rPr>
        <w:t> </w:t>
      </w:r>
      <w:r>
        <w:rPr>
          <w:color w:val="231F20"/>
          <w:w w:val="110"/>
        </w:rPr>
        <w:t>contratación</w:t>
      </w:r>
      <w:r>
        <w:rPr>
          <w:color w:val="231F20"/>
          <w:spacing w:val="-6"/>
          <w:w w:val="110"/>
        </w:rPr>
        <w:t> </w:t>
      </w:r>
      <w:r>
        <w:rPr>
          <w:color w:val="231F20"/>
          <w:w w:val="110"/>
        </w:rPr>
        <w:t>estable</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temporal y a tiempo parcial, generalmente con bajos salarios y desprovista de seguridad social y prestaciones laborales. El planteamiento central del trabajo intenta sostener que bajo las condiciones estructurales actuales</w:t>
      </w:r>
      <w:r>
        <w:rPr>
          <w:color w:val="231F20"/>
          <w:spacing w:val="-16"/>
          <w:w w:val="110"/>
        </w:rPr>
        <w:t> </w:t>
      </w:r>
      <w:r>
        <w:rPr>
          <w:color w:val="231F20"/>
          <w:w w:val="110"/>
        </w:rPr>
        <w:t>generadas</w:t>
      </w:r>
      <w:r>
        <w:rPr>
          <w:color w:val="231F20"/>
          <w:spacing w:val="-16"/>
          <w:w w:val="110"/>
        </w:rPr>
        <w:t> </w:t>
      </w:r>
      <w:r>
        <w:rPr>
          <w:color w:val="231F20"/>
          <w:w w:val="110"/>
        </w:rPr>
        <w:t>por</w:t>
      </w:r>
      <w:r>
        <w:rPr>
          <w:color w:val="231F20"/>
          <w:spacing w:val="-16"/>
          <w:w w:val="110"/>
        </w:rPr>
        <w:t> </w:t>
      </w:r>
      <w:r>
        <w:rPr>
          <w:color w:val="231F20"/>
          <w:w w:val="110"/>
        </w:rPr>
        <w:t>el</w:t>
      </w:r>
      <w:r>
        <w:rPr>
          <w:color w:val="231F20"/>
          <w:spacing w:val="-16"/>
          <w:w w:val="110"/>
        </w:rPr>
        <w:t> </w:t>
      </w:r>
      <w:r>
        <w:rPr>
          <w:color w:val="231F20"/>
          <w:w w:val="110"/>
        </w:rPr>
        <w:t>neoliberalismo</w:t>
      </w:r>
      <w:r>
        <w:rPr>
          <w:color w:val="231F20"/>
          <w:spacing w:val="-16"/>
          <w:w w:val="110"/>
        </w:rPr>
        <w:t> </w:t>
      </w:r>
      <w:r>
        <w:rPr>
          <w:color w:val="231F20"/>
          <w:w w:val="110"/>
        </w:rPr>
        <w:t>y</w:t>
      </w:r>
      <w:r>
        <w:rPr>
          <w:color w:val="231F20"/>
          <w:spacing w:val="-16"/>
          <w:w w:val="110"/>
        </w:rPr>
        <w:t> </w:t>
      </w:r>
      <w:r>
        <w:rPr>
          <w:color w:val="231F20"/>
          <w:w w:val="110"/>
        </w:rPr>
        <w:t>sus</w:t>
      </w:r>
      <w:r>
        <w:rPr>
          <w:color w:val="231F20"/>
          <w:spacing w:val="-16"/>
          <w:w w:val="110"/>
        </w:rPr>
        <w:t> </w:t>
      </w:r>
      <w:r>
        <w:rPr>
          <w:color w:val="231F20"/>
          <w:w w:val="110"/>
        </w:rPr>
        <w:t>tendencias,</w:t>
      </w:r>
      <w:r>
        <w:rPr>
          <w:color w:val="231F20"/>
          <w:spacing w:val="-16"/>
          <w:w w:val="110"/>
        </w:rPr>
        <w:t> </w:t>
      </w:r>
      <w:r>
        <w:rPr>
          <w:color w:val="231F20"/>
          <w:w w:val="110"/>
        </w:rPr>
        <w:t>acentuadas con la crisis económica, se incrementó sustancialmente la tasa de ganancia capitalista y con ella, la sobreexplotación del trabajo, con los consecuentes efectos sobre el desempleo, la informalidad, la</w:t>
      </w:r>
      <w:r>
        <w:rPr>
          <w:color w:val="231F20"/>
          <w:spacing w:val="-35"/>
          <w:w w:val="110"/>
        </w:rPr>
        <w:t> </w:t>
      </w:r>
      <w:r>
        <w:rPr>
          <w:color w:val="231F20"/>
          <w:w w:val="110"/>
        </w:rPr>
        <w:t>pre- cariedad</w:t>
      </w:r>
      <w:r>
        <w:rPr>
          <w:color w:val="231F20"/>
          <w:spacing w:val="-17"/>
          <w:w w:val="110"/>
        </w:rPr>
        <w:t> </w:t>
      </w:r>
      <w:r>
        <w:rPr>
          <w:color w:val="231F20"/>
          <w:w w:val="110"/>
        </w:rPr>
        <w:t>laboral</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desigual</w:t>
      </w:r>
      <w:r>
        <w:rPr>
          <w:color w:val="231F20"/>
          <w:spacing w:val="-17"/>
          <w:w w:val="110"/>
        </w:rPr>
        <w:t> </w:t>
      </w:r>
      <w:r>
        <w:rPr>
          <w:color w:val="231F20"/>
          <w:w w:val="110"/>
        </w:rPr>
        <w:t>distribución</w:t>
      </w:r>
      <w:r>
        <w:rPr>
          <w:color w:val="231F20"/>
          <w:spacing w:val="-17"/>
          <w:w w:val="110"/>
        </w:rPr>
        <w:t> </w:t>
      </w:r>
      <w:r>
        <w:rPr>
          <w:color w:val="231F20"/>
          <w:w w:val="110"/>
        </w:rPr>
        <w:t>salarial,</w:t>
      </w:r>
      <w:r>
        <w:rPr>
          <w:color w:val="231F20"/>
          <w:spacing w:val="-17"/>
          <w:w w:val="110"/>
        </w:rPr>
        <w:t> </w:t>
      </w:r>
      <w:r>
        <w:rPr>
          <w:color w:val="231F20"/>
          <w:w w:val="110"/>
        </w:rPr>
        <w:t>en</w:t>
      </w:r>
      <w:r>
        <w:rPr>
          <w:color w:val="231F20"/>
          <w:spacing w:val="-17"/>
          <w:w w:val="110"/>
        </w:rPr>
        <w:t> </w:t>
      </w:r>
      <w:r>
        <w:rPr>
          <w:color w:val="231F20"/>
          <w:w w:val="110"/>
        </w:rPr>
        <w:t>particular</w:t>
      </w:r>
      <w:r>
        <w:rPr>
          <w:color w:val="231F20"/>
          <w:spacing w:val="-17"/>
          <w:w w:val="110"/>
        </w:rPr>
        <w:t> </w:t>
      </w:r>
      <w:r>
        <w:rPr>
          <w:color w:val="231F20"/>
          <w:w w:val="110"/>
        </w:rPr>
        <w:t>en</w:t>
      </w:r>
      <w:r>
        <w:rPr>
          <w:color w:val="231F20"/>
          <w:spacing w:val="-17"/>
          <w:w w:val="110"/>
        </w:rPr>
        <w:t> </w:t>
      </w:r>
      <w:r>
        <w:rPr>
          <w:color w:val="231F20"/>
          <w:w w:val="110"/>
        </w:rPr>
        <w:t>los nuevos</w:t>
      </w:r>
      <w:r>
        <w:rPr>
          <w:color w:val="231F20"/>
          <w:spacing w:val="-6"/>
          <w:w w:val="110"/>
        </w:rPr>
        <w:t> </w:t>
      </w:r>
      <w:r>
        <w:rPr>
          <w:color w:val="231F20"/>
          <w:w w:val="110"/>
        </w:rPr>
        <w:t>puestos</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y</w:t>
      </w:r>
      <w:r>
        <w:rPr>
          <w:color w:val="231F20"/>
          <w:spacing w:val="-6"/>
          <w:w w:val="110"/>
        </w:rPr>
        <w:t> </w:t>
      </w:r>
      <w:r>
        <w:rPr>
          <w:color w:val="231F20"/>
          <w:w w:val="110"/>
        </w:rPr>
        <w:t>sus</w:t>
      </w:r>
      <w:r>
        <w:rPr>
          <w:color w:val="231F20"/>
          <w:spacing w:val="-6"/>
          <w:w w:val="110"/>
        </w:rPr>
        <w:t> </w:t>
      </w:r>
      <w:r>
        <w:rPr>
          <w:color w:val="231F20"/>
          <w:w w:val="110"/>
        </w:rPr>
        <w:t>consecuencias</w:t>
      </w:r>
      <w:r>
        <w:rPr>
          <w:color w:val="231F20"/>
          <w:spacing w:val="-6"/>
          <w:w w:val="110"/>
        </w:rPr>
        <w:t> </w:t>
      </w:r>
      <w:r>
        <w:rPr>
          <w:color w:val="231F20"/>
          <w:w w:val="110"/>
        </w:rPr>
        <w:t>sobre</w:t>
      </w:r>
      <w:r>
        <w:rPr>
          <w:color w:val="231F20"/>
          <w:spacing w:val="-6"/>
          <w:w w:val="110"/>
        </w:rPr>
        <w:t> </w:t>
      </w:r>
      <w:r>
        <w:rPr>
          <w:color w:val="231F20"/>
          <w:w w:val="110"/>
        </w:rPr>
        <w:t>los</w:t>
      </w:r>
      <w:r>
        <w:rPr>
          <w:color w:val="231F20"/>
          <w:spacing w:val="-6"/>
          <w:w w:val="110"/>
        </w:rPr>
        <w:t> </w:t>
      </w:r>
      <w:r>
        <w:rPr>
          <w:color w:val="231F20"/>
          <w:w w:val="110"/>
        </w:rPr>
        <w:t>trabajadores de</w:t>
      </w:r>
      <w:r>
        <w:rPr>
          <w:color w:val="231F20"/>
          <w:spacing w:val="-7"/>
          <w:w w:val="110"/>
        </w:rPr>
        <w:t> </w:t>
      </w:r>
      <w:r>
        <w:rPr>
          <w:color w:val="231F20"/>
          <w:w w:val="110"/>
        </w:rPr>
        <w:t>ambos</w:t>
      </w:r>
      <w:r>
        <w:rPr>
          <w:color w:val="231F20"/>
          <w:spacing w:val="-7"/>
          <w:w w:val="110"/>
        </w:rPr>
        <w:t> </w:t>
      </w:r>
      <w:r>
        <w:rPr>
          <w:color w:val="231F20"/>
          <w:w w:val="110"/>
        </w:rPr>
        <w:t>sexos,</w:t>
      </w:r>
      <w:r>
        <w:rPr>
          <w:color w:val="231F20"/>
          <w:spacing w:val="-7"/>
          <w:w w:val="110"/>
        </w:rPr>
        <w:t> </w:t>
      </w:r>
      <w:r>
        <w:rPr>
          <w:color w:val="231F20"/>
          <w:w w:val="110"/>
        </w:rPr>
        <w:t>jóvenes,</w:t>
      </w:r>
      <w:r>
        <w:rPr>
          <w:color w:val="231F20"/>
          <w:spacing w:val="-7"/>
          <w:w w:val="110"/>
        </w:rPr>
        <w:t> </w:t>
      </w:r>
      <w:r>
        <w:rPr>
          <w:color w:val="231F20"/>
          <w:w w:val="110"/>
        </w:rPr>
        <w:t>nativos</w:t>
      </w:r>
      <w:r>
        <w:rPr>
          <w:color w:val="231F20"/>
          <w:spacing w:val="-7"/>
          <w:w w:val="110"/>
        </w:rPr>
        <w:t> </w:t>
      </w:r>
      <w:r>
        <w:rPr>
          <w:color w:val="231F20"/>
          <w:w w:val="110"/>
        </w:rPr>
        <w:t>e</w:t>
      </w:r>
      <w:r>
        <w:rPr>
          <w:color w:val="231F20"/>
          <w:spacing w:val="-7"/>
          <w:w w:val="110"/>
        </w:rPr>
        <w:t> </w:t>
      </w:r>
      <w:r>
        <w:rPr>
          <w:color w:val="231F20"/>
          <w:w w:val="110"/>
        </w:rPr>
        <w:t>inmigrantes.</w:t>
      </w:r>
    </w:p>
    <w:p>
      <w:pPr>
        <w:pStyle w:val="BodyText"/>
        <w:spacing w:line="261" w:lineRule="auto"/>
        <w:ind w:left="100" w:right="113" w:firstLine="240"/>
        <w:jc w:val="both"/>
      </w:pPr>
      <w:r>
        <w:rPr>
          <w:color w:val="231F20"/>
          <w:w w:val="110"/>
        </w:rPr>
        <w:t>Alejandro I. Canales, profesor investigador del </w:t>
      </w:r>
      <w:r>
        <w:rPr>
          <w:color w:val="231F20"/>
          <w:spacing w:val="2"/>
          <w:w w:val="110"/>
        </w:rPr>
        <w:t>Departamento   </w:t>
      </w:r>
      <w:r>
        <w:rPr>
          <w:color w:val="231F20"/>
          <w:w w:val="110"/>
        </w:rPr>
        <w:t>de Estudios Regionales, </w:t>
      </w:r>
      <w:r>
        <w:rPr>
          <w:color w:val="231F20"/>
          <w:spacing w:val="-3"/>
          <w:w w:val="110"/>
        </w:rPr>
        <w:t>Ineser,  </w:t>
      </w:r>
      <w:r>
        <w:rPr>
          <w:color w:val="231F20"/>
          <w:w w:val="110"/>
        </w:rPr>
        <w:t>de la Universidad de    Guadalajara,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05"/>
        </w:rPr>
        <w:t>en su capítulo “La inmigración latinoamericana frente a la crisis económica en Estados Unidos. Precarización sin retorno”, parte del contexto analítico que considera los efectos de la crisis económica mundial en la dinámica migratoria latinoamericana, particularmente    la dirigida hacia Estados Unidos, teniendo en cuenta la orientación y magnitud de los flujos, el envío de remesas monetarias y el impacto sobre el empleo, precariedad laboral y salarios, entre otros aspectos.  No obstante, como señala, el objetivo del capítulo es no tanto re- producir información y datos al respecto, sino más bien ofrecer un marco que permita entender qué está pasando con la migración en       la crisis económica actual. Para ello, aborda y articula dos problemá- ticas diferentes. Por un lado, analiza el carácter y profundidad de la actual crisis de la economía global. </w:t>
      </w:r>
      <w:r>
        <w:rPr>
          <w:color w:val="231F20"/>
        </w:rPr>
        <w:t>Y </w:t>
      </w:r>
      <w:r>
        <w:rPr>
          <w:color w:val="231F20"/>
          <w:w w:val="105"/>
        </w:rPr>
        <w:t>por otro, intenta comprender  cuál es el papel de la inmigración en la economía y demografía de     los países receptores. La tesis que trata de sostener es que en el ac-   tual entorno de globalización, la migración internacional debe ser entendida como un proceso social que contribuye a la estructuración  de las sociedades contemporáneas como sociedades globales, y que    en ese sentido, la  migración  no  sólo  involucra  un  desplazamiento  de personas, sino como proceso social, contribuye a articular las condiciones y dinámicas de la reproducción social de los países de origen con las condiciones y dinámicas de la reproducción social de  los  países  de</w:t>
      </w:r>
      <w:r>
        <w:rPr>
          <w:color w:val="231F20"/>
          <w:spacing w:val="-20"/>
          <w:w w:val="105"/>
        </w:rPr>
        <w:t> </w:t>
      </w:r>
      <w:r>
        <w:rPr>
          <w:color w:val="231F20"/>
          <w:w w:val="105"/>
        </w:rPr>
        <w:t>destino.</w:t>
      </w:r>
    </w:p>
    <w:p>
      <w:pPr>
        <w:pStyle w:val="BodyText"/>
        <w:spacing w:line="261" w:lineRule="auto"/>
        <w:ind w:left="100" w:right="117" w:firstLine="240"/>
        <w:jc w:val="both"/>
      </w:pPr>
      <w:r>
        <w:rPr>
          <w:color w:val="231F20"/>
          <w:w w:val="110"/>
        </w:rPr>
        <w:t>El capítulo “Las burbujas del siglo xxi: ¿el fin del sueño</w:t>
      </w:r>
      <w:r>
        <w:rPr>
          <w:color w:val="231F20"/>
          <w:spacing w:val="-18"/>
          <w:w w:val="110"/>
        </w:rPr>
        <w:t> </w:t>
      </w:r>
      <w:r>
        <w:rPr>
          <w:color w:val="231F20"/>
          <w:w w:val="110"/>
        </w:rPr>
        <w:t>america- no?”, de James Martín </w:t>
      </w:r>
      <w:r>
        <w:rPr>
          <w:color w:val="231F20"/>
          <w:spacing w:val="-3"/>
          <w:w w:val="110"/>
        </w:rPr>
        <w:t>Cypher, </w:t>
      </w:r>
      <w:r>
        <w:rPr>
          <w:color w:val="231F20"/>
          <w:w w:val="110"/>
        </w:rPr>
        <w:t>profesor investigador de la</w:t>
      </w:r>
      <w:r>
        <w:rPr>
          <w:color w:val="231F20"/>
          <w:spacing w:val="-12"/>
          <w:w w:val="110"/>
        </w:rPr>
        <w:t> </w:t>
      </w:r>
      <w:r>
        <w:rPr>
          <w:color w:val="231F20"/>
          <w:w w:val="110"/>
        </w:rPr>
        <w:t>Universi- dad Autónoma de Zacatecas, aborda el tema de las condiciones ac- tuales de la clase trabajadora y la clase media después de un</w:t>
      </w:r>
      <w:r>
        <w:rPr>
          <w:color w:val="231F20"/>
          <w:spacing w:val="-31"/>
          <w:w w:val="110"/>
        </w:rPr>
        <w:t> </w:t>
      </w:r>
      <w:r>
        <w:rPr>
          <w:color w:val="231F20"/>
          <w:w w:val="110"/>
        </w:rPr>
        <w:t>decenio marcado con dos rupturas financieras que han impactado a Estados Unidos como nunca antes desde la “gran depresión”. Según el</w:t>
      </w:r>
      <w:r>
        <w:rPr>
          <w:color w:val="231F20"/>
          <w:spacing w:val="-7"/>
          <w:w w:val="110"/>
        </w:rPr>
        <w:t> </w:t>
      </w:r>
      <w:r>
        <w:rPr>
          <w:color w:val="231F20"/>
          <w:spacing w:val="-3"/>
          <w:w w:val="110"/>
        </w:rPr>
        <w:t>autor, </w:t>
      </w:r>
      <w:r>
        <w:rPr>
          <w:color w:val="231F20"/>
          <w:w w:val="110"/>
        </w:rPr>
        <w:t>el efecto de estos eventos es fundamental desde distintas perspecti- vas. La clases media y trabajadora han caído en la penuria, por lo que como nunca antes necesitan de los programas masivos sociales. Actualmente, la coyuntura es poco favorable para la continuación del programa de “proyectar el poder” militar estadunidense. Sería difícil imaginar una colisión explosiva, sin tener en cuenta esos dos elementos culturales clave —el militarismo y el sueño</w:t>
      </w:r>
      <w:r>
        <w:rPr>
          <w:color w:val="231F20"/>
          <w:spacing w:val="-17"/>
          <w:w w:val="110"/>
        </w:rPr>
        <w:t> </w:t>
      </w:r>
      <w:r>
        <w:rPr>
          <w:color w:val="231F20"/>
          <w:w w:val="110"/>
        </w:rPr>
        <w:t>americano—, en un entorno en donde la realización de uno sería al costo del   otro. No obstante, la resolución pudiera ser la cristalización de las fuerzas políticas ultraderechistas, apoyando la militarización de </w:t>
      </w:r>
      <w:r>
        <w:rPr>
          <w:color w:val="231F20"/>
          <w:spacing w:val="52"/>
          <w:w w:val="110"/>
        </w:rPr>
        <w:t> </w:t>
      </w:r>
      <w:r>
        <w:rPr>
          <w:color w:val="231F20"/>
          <w:w w:val="110"/>
        </w:rPr>
        <w:t>las</w:t>
      </w:r>
    </w:p>
    <w:p>
      <w:pPr>
        <w:spacing w:after="0" w:line="261" w:lineRule="auto"/>
        <w:jc w:val="both"/>
        <w:sectPr>
          <w:headerReference w:type="even" r:id="rId54"/>
          <w:headerReference w:type="default" r:id="rId55"/>
          <w:pgSz w:w="7640" w:h="11900"/>
          <w:pgMar w:header="672" w:footer="0" w:top="860" w:bottom="280" w:left="780" w:right="640"/>
          <w:pgNumType w:start="32"/>
        </w:sectPr>
      </w:pPr>
    </w:p>
    <w:p>
      <w:pPr>
        <w:pStyle w:val="BodyText"/>
        <w:spacing w:before="8"/>
        <w:rPr>
          <w:sz w:val="8"/>
        </w:rPr>
      </w:pPr>
    </w:p>
    <w:p>
      <w:pPr>
        <w:pStyle w:val="BodyText"/>
        <w:spacing w:line="261" w:lineRule="auto" w:before="67"/>
        <w:ind w:left="100" w:right="117"/>
        <w:jc w:val="both"/>
      </w:pPr>
      <w:r>
        <w:rPr>
          <w:color w:val="231F20"/>
          <w:w w:val="110"/>
        </w:rPr>
        <w:t>relaciones exteriores como contrapeso de su declinación</w:t>
      </w:r>
      <w:r>
        <w:rPr>
          <w:color w:val="231F20"/>
          <w:spacing w:val="-12"/>
          <w:w w:val="110"/>
        </w:rPr>
        <w:t> </w:t>
      </w:r>
      <w:r>
        <w:rPr>
          <w:color w:val="231F20"/>
          <w:w w:val="110"/>
        </w:rPr>
        <w:t>económica. La glorificación del militarismo pudiera ser la medida tomada como una “salida” del dilema socioeconómico estadunidense actual, dado los efectos demoledores implementados por el gran capital en</w:t>
      </w:r>
      <w:r>
        <w:rPr>
          <w:color w:val="231F20"/>
          <w:spacing w:val="-33"/>
          <w:w w:val="110"/>
        </w:rPr>
        <w:t> </w:t>
      </w:r>
      <w:r>
        <w:rPr>
          <w:color w:val="231F20"/>
          <w:w w:val="110"/>
        </w:rPr>
        <w:t>contra de las instituciones progresistas construidas para incluir a las clases media y</w:t>
      </w:r>
      <w:r>
        <w:rPr>
          <w:color w:val="231F20"/>
          <w:spacing w:val="4"/>
          <w:w w:val="110"/>
        </w:rPr>
        <w:t> </w:t>
      </w:r>
      <w:r>
        <w:rPr>
          <w:color w:val="231F20"/>
          <w:w w:val="110"/>
        </w:rPr>
        <w:t>trabajadora.</w:t>
      </w:r>
    </w:p>
    <w:p>
      <w:pPr>
        <w:pStyle w:val="BodyText"/>
        <w:spacing w:line="261" w:lineRule="auto"/>
        <w:ind w:left="100" w:right="117" w:firstLine="240"/>
        <w:jc w:val="both"/>
      </w:pPr>
      <w:r>
        <w:rPr>
          <w:color w:val="231F20"/>
          <w:w w:val="110"/>
        </w:rPr>
        <w:t>Jorge Hernández Martínez, profesor investigador del Centro de Estudios Hemisféricos y sobre Estados Unidos de la Universidad de La Habana, es autor del capítulo “Estados Unidos: redefiniciones ideológicas y geopolítica mundial bajo la administración </w:t>
      </w:r>
      <w:r>
        <w:rPr>
          <w:color w:val="231F20"/>
          <w:spacing w:val="2"/>
          <w:w w:val="110"/>
        </w:rPr>
        <w:t>Barack </w:t>
      </w:r>
      <w:r>
        <w:rPr>
          <w:color w:val="231F20"/>
          <w:w w:val="110"/>
        </w:rPr>
        <w:t>Obama”, en el que examina los procesos ideológicos que tienen lugar en la sociedad estadunidense durante los últimos años desde una perspectiva global, destacando sus implicaciones para el enfo- que de política exterior y de seguridad nacional de Estados Unidos, ante la nueva geopolítica mundial, situando el foco analítico en los primeros 18 meses desde la toma de posesión de Obama. Este pe- riodo lo asume como marco de referencia inmediato, al considerar que los fenómenos actuales responden en el fondo a tendencias y transiciones en curso durante la etapa iniciada hace casi 10 años, en 2001, con el doble mandato del Partido Republicano, encabezado por George </w:t>
      </w:r>
      <w:r>
        <w:rPr>
          <w:color w:val="231F20"/>
          <w:spacing w:val="-6"/>
          <w:w w:val="110"/>
        </w:rPr>
        <w:t>W. </w:t>
      </w:r>
      <w:r>
        <w:rPr>
          <w:color w:val="231F20"/>
          <w:w w:val="110"/>
        </w:rPr>
        <w:t>Bush, signado por el acentuado enfoque conservador y bajo los efectos del 9/11, conducente a la coyuntura simbolizada por los cambios que contextualizaron el proceso electoral de 2008 y a la victoria del Partido Demócrata.</w:t>
      </w:r>
    </w:p>
    <w:p>
      <w:pPr>
        <w:pStyle w:val="BodyText"/>
      </w:pPr>
    </w:p>
    <w:p>
      <w:pPr>
        <w:pStyle w:val="BodyText"/>
      </w:pPr>
    </w:p>
    <w:p>
      <w:pPr>
        <w:pStyle w:val="BodyText"/>
        <w:spacing w:before="2"/>
        <w:rPr>
          <w:sz w:val="25"/>
        </w:rPr>
      </w:pPr>
    </w:p>
    <w:p>
      <w:pPr>
        <w:pStyle w:val="BodyText"/>
        <w:spacing w:line="261" w:lineRule="auto"/>
        <w:ind w:left="100" w:right="2441"/>
      </w:pPr>
      <w:r>
        <w:rPr>
          <w:color w:val="231F20"/>
          <w:w w:val="125"/>
        </w:rPr>
        <w:t>nueva geopolítica de estados unidos. escenarios para américa latina</w:t>
      </w:r>
    </w:p>
    <w:p>
      <w:pPr>
        <w:pStyle w:val="BodyText"/>
        <w:spacing w:before="8"/>
        <w:rPr>
          <w:sz w:val="21"/>
        </w:rPr>
      </w:pPr>
    </w:p>
    <w:p>
      <w:pPr>
        <w:pStyle w:val="BodyText"/>
        <w:spacing w:line="261" w:lineRule="auto"/>
        <w:ind w:left="100" w:right="115"/>
        <w:jc w:val="both"/>
      </w:pPr>
      <w:r>
        <w:rPr>
          <w:color w:val="231F20"/>
          <w:w w:val="110"/>
        </w:rPr>
        <w:t>Esta sección la encabeza el capítulo “Estados Unidos: seguridad y defensa en las nuevas relaciones hemisféricas”, de Darío Salinas Figueredo, profesor investigador de la Universidad Iberoamericana, plantea</w:t>
      </w:r>
      <w:r>
        <w:rPr>
          <w:color w:val="231F20"/>
          <w:spacing w:val="-5"/>
          <w:w w:val="110"/>
        </w:rPr>
        <w:t> </w:t>
      </w:r>
      <w:r>
        <w:rPr>
          <w:color w:val="231F20"/>
          <w:w w:val="110"/>
        </w:rPr>
        <w:t>un</w:t>
      </w:r>
      <w:r>
        <w:rPr>
          <w:color w:val="231F20"/>
          <w:spacing w:val="-5"/>
          <w:w w:val="110"/>
        </w:rPr>
        <w:t> </w:t>
      </w:r>
      <w:r>
        <w:rPr>
          <w:color w:val="231F20"/>
          <w:w w:val="110"/>
        </w:rPr>
        <w:t>objetivo</w:t>
      </w:r>
      <w:r>
        <w:rPr>
          <w:color w:val="231F20"/>
          <w:spacing w:val="-5"/>
          <w:w w:val="110"/>
        </w:rPr>
        <w:t> </w:t>
      </w:r>
      <w:r>
        <w:rPr>
          <w:color w:val="231F20"/>
          <w:w w:val="110"/>
        </w:rPr>
        <w:t>triple.</w:t>
      </w:r>
      <w:r>
        <w:rPr>
          <w:color w:val="231F20"/>
          <w:spacing w:val="-5"/>
          <w:w w:val="110"/>
        </w:rPr>
        <w:t> </w:t>
      </w:r>
      <w:r>
        <w:rPr>
          <w:color w:val="231F20"/>
          <w:w w:val="110"/>
        </w:rPr>
        <w:t>Por</w:t>
      </w:r>
      <w:r>
        <w:rPr>
          <w:color w:val="231F20"/>
          <w:spacing w:val="-5"/>
          <w:w w:val="110"/>
        </w:rPr>
        <w:t> </w:t>
      </w:r>
      <w:r>
        <w:rPr>
          <w:color w:val="231F20"/>
          <w:w w:val="110"/>
        </w:rPr>
        <w:t>un</w:t>
      </w:r>
      <w:r>
        <w:rPr>
          <w:color w:val="231F20"/>
          <w:spacing w:val="-5"/>
          <w:w w:val="110"/>
        </w:rPr>
        <w:t> </w:t>
      </w:r>
      <w:r>
        <w:rPr>
          <w:color w:val="231F20"/>
          <w:w w:val="110"/>
        </w:rPr>
        <w:t>lado,</w:t>
      </w:r>
      <w:r>
        <w:rPr>
          <w:color w:val="231F20"/>
          <w:spacing w:val="-5"/>
          <w:w w:val="110"/>
        </w:rPr>
        <w:t> </w:t>
      </w:r>
      <w:r>
        <w:rPr>
          <w:color w:val="231F20"/>
          <w:w w:val="110"/>
        </w:rPr>
        <w:t>explorar</w:t>
      </w:r>
      <w:r>
        <w:rPr>
          <w:color w:val="231F20"/>
          <w:spacing w:val="-5"/>
          <w:w w:val="110"/>
        </w:rPr>
        <w:t> </w:t>
      </w:r>
      <w:r>
        <w:rPr>
          <w:color w:val="231F20"/>
          <w:w w:val="110"/>
        </w:rPr>
        <w:t>los</w:t>
      </w:r>
      <w:r>
        <w:rPr>
          <w:color w:val="231F20"/>
          <w:spacing w:val="-5"/>
          <w:w w:val="110"/>
        </w:rPr>
        <w:t> </w:t>
      </w:r>
      <w:r>
        <w:rPr>
          <w:color w:val="231F20"/>
          <w:w w:val="110"/>
        </w:rPr>
        <w:t>fundamentos</w:t>
      </w:r>
      <w:r>
        <w:rPr>
          <w:color w:val="231F20"/>
          <w:spacing w:val="-5"/>
          <w:w w:val="110"/>
        </w:rPr>
        <w:t> </w:t>
      </w:r>
      <w:r>
        <w:rPr>
          <w:color w:val="231F20"/>
          <w:w w:val="110"/>
        </w:rPr>
        <w:t>que formalizan la racionalidad de las amenazas en la conceptualización actual de la seguridad estadunidense. En segundo </w:t>
      </w:r>
      <w:r>
        <w:rPr>
          <w:color w:val="231F20"/>
          <w:spacing w:val="-3"/>
          <w:w w:val="110"/>
        </w:rPr>
        <w:t>lugar, </w:t>
      </w:r>
      <w:r>
        <w:rPr>
          <w:color w:val="231F20"/>
          <w:w w:val="110"/>
        </w:rPr>
        <w:t>ensayar al- gunas consideraciones analíticas sobre los soportes en que se apoya la noción de América Latina y el Caribe en la agenda de Estados Unidos.</w:t>
      </w:r>
      <w:r>
        <w:rPr>
          <w:color w:val="231F20"/>
          <w:spacing w:val="34"/>
          <w:w w:val="110"/>
        </w:rPr>
        <w:t> </w:t>
      </w:r>
      <w:r>
        <w:rPr>
          <w:color w:val="231F20"/>
          <w:w w:val="110"/>
        </w:rPr>
        <w:t>Por</w:t>
      </w:r>
      <w:r>
        <w:rPr>
          <w:color w:val="231F20"/>
          <w:spacing w:val="34"/>
          <w:w w:val="110"/>
        </w:rPr>
        <w:t> </w:t>
      </w:r>
      <w:r>
        <w:rPr>
          <w:color w:val="231F20"/>
          <w:w w:val="110"/>
        </w:rPr>
        <w:t>último,</w:t>
      </w:r>
      <w:r>
        <w:rPr>
          <w:color w:val="231F20"/>
          <w:spacing w:val="34"/>
          <w:w w:val="110"/>
        </w:rPr>
        <w:t> </w:t>
      </w:r>
      <w:r>
        <w:rPr>
          <w:color w:val="231F20"/>
          <w:w w:val="110"/>
        </w:rPr>
        <w:t>a</w:t>
      </w:r>
      <w:r>
        <w:rPr>
          <w:color w:val="231F20"/>
          <w:spacing w:val="34"/>
          <w:w w:val="110"/>
        </w:rPr>
        <w:t> </w:t>
      </w:r>
      <w:r>
        <w:rPr>
          <w:color w:val="231F20"/>
          <w:w w:val="110"/>
        </w:rPr>
        <w:t>partir</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identificación</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política</w:t>
      </w:r>
      <w:r>
        <w:rPr>
          <w:color w:val="231F20"/>
          <w:spacing w:val="34"/>
          <w:w w:val="110"/>
        </w:rPr>
        <w:t> </w:t>
      </w:r>
      <w:r>
        <w:rPr>
          <w:color w:val="231F20"/>
          <w:w w:val="110"/>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cooperación</w:t>
      </w:r>
      <w:r>
        <w:rPr>
          <w:color w:val="231F20"/>
          <w:spacing w:val="-11"/>
          <w:w w:val="110"/>
        </w:rPr>
        <w:t> </w:t>
      </w:r>
      <w:r>
        <w:rPr>
          <w:color w:val="231F20"/>
          <w:w w:val="110"/>
        </w:rPr>
        <w:t>hemisférica,</w:t>
      </w:r>
      <w:r>
        <w:rPr>
          <w:color w:val="231F20"/>
          <w:spacing w:val="-11"/>
          <w:w w:val="110"/>
        </w:rPr>
        <w:t> </w:t>
      </w:r>
      <w:r>
        <w:rPr>
          <w:color w:val="231F20"/>
          <w:w w:val="110"/>
        </w:rPr>
        <w:t>ensayar</w:t>
      </w:r>
      <w:r>
        <w:rPr>
          <w:color w:val="231F20"/>
          <w:spacing w:val="-11"/>
          <w:w w:val="110"/>
        </w:rPr>
        <w:t> </w:t>
      </w:r>
      <w:r>
        <w:rPr>
          <w:color w:val="231F20"/>
          <w:w w:val="110"/>
        </w:rPr>
        <w:t>un</w:t>
      </w:r>
      <w:r>
        <w:rPr>
          <w:color w:val="231F20"/>
          <w:spacing w:val="-11"/>
          <w:w w:val="110"/>
        </w:rPr>
        <w:t> </w:t>
      </w:r>
      <w:r>
        <w:rPr>
          <w:color w:val="231F20"/>
          <w:w w:val="110"/>
        </w:rPr>
        <w:t>esquema</w:t>
      </w:r>
      <w:r>
        <w:rPr>
          <w:color w:val="231F20"/>
          <w:spacing w:val="-11"/>
          <w:w w:val="110"/>
        </w:rPr>
        <w:t> </w:t>
      </w:r>
      <w:r>
        <w:rPr>
          <w:color w:val="231F20"/>
          <w:w w:val="110"/>
        </w:rPr>
        <w:t>que</w:t>
      </w:r>
      <w:r>
        <w:rPr>
          <w:color w:val="231F20"/>
          <w:spacing w:val="-11"/>
          <w:w w:val="110"/>
        </w:rPr>
        <w:t> </w:t>
      </w:r>
      <w:r>
        <w:rPr>
          <w:color w:val="231F20"/>
          <w:w w:val="110"/>
        </w:rPr>
        <w:t>muestra</w:t>
      </w:r>
      <w:r>
        <w:rPr>
          <w:color w:val="231F20"/>
          <w:spacing w:val="-11"/>
          <w:w w:val="110"/>
        </w:rPr>
        <w:t> </w:t>
      </w:r>
      <w:r>
        <w:rPr>
          <w:color w:val="231F20"/>
          <w:w w:val="110"/>
        </w:rPr>
        <w:t>las</w:t>
      </w:r>
      <w:r>
        <w:rPr>
          <w:color w:val="231F20"/>
          <w:spacing w:val="-11"/>
          <w:w w:val="110"/>
        </w:rPr>
        <w:t> </w:t>
      </w:r>
      <w:r>
        <w:rPr>
          <w:color w:val="231F20"/>
          <w:w w:val="110"/>
        </w:rPr>
        <w:t>poten- cialidades y vulnerabilidades de las propuestas latinoamericanas. La preocupación central intenta mostrar las inflexiones o cambios en la trayectoria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política</w:t>
      </w:r>
      <w:r>
        <w:rPr>
          <w:color w:val="231F20"/>
          <w:spacing w:val="-5"/>
          <w:w w:val="110"/>
        </w:rPr>
        <w:t> </w:t>
      </w:r>
      <w:r>
        <w:rPr>
          <w:color w:val="231F20"/>
          <w:w w:val="110"/>
        </w:rPr>
        <w:t>estadunidense</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periodo</w:t>
      </w:r>
      <w:r>
        <w:rPr>
          <w:color w:val="231F20"/>
          <w:spacing w:val="-5"/>
          <w:w w:val="110"/>
        </w:rPr>
        <w:t> </w:t>
      </w:r>
      <w:r>
        <w:rPr>
          <w:color w:val="231F20"/>
          <w:w w:val="110"/>
        </w:rPr>
        <w:t>que</w:t>
      </w:r>
      <w:r>
        <w:rPr>
          <w:color w:val="231F20"/>
          <w:spacing w:val="-5"/>
          <w:w w:val="110"/>
        </w:rPr>
        <w:t> </w:t>
      </w:r>
      <w:r>
        <w:rPr>
          <w:color w:val="231F20"/>
          <w:w w:val="110"/>
        </w:rPr>
        <w:t>comprende la</w:t>
      </w:r>
      <w:r>
        <w:rPr>
          <w:color w:val="231F20"/>
          <w:spacing w:val="-9"/>
          <w:w w:val="110"/>
        </w:rPr>
        <w:t> </w:t>
      </w:r>
      <w:r>
        <w:rPr>
          <w:color w:val="231F20"/>
          <w:w w:val="110"/>
        </w:rPr>
        <w:t>“posguerra</w:t>
      </w:r>
      <w:r>
        <w:rPr>
          <w:color w:val="231F20"/>
          <w:spacing w:val="-9"/>
          <w:w w:val="110"/>
        </w:rPr>
        <w:t> </w:t>
      </w:r>
      <w:r>
        <w:rPr>
          <w:color w:val="231F20"/>
          <w:w w:val="110"/>
        </w:rPr>
        <w:t>fría”,</w:t>
      </w:r>
      <w:r>
        <w:rPr>
          <w:color w:val="231F20"/>
          <w:spacing w:val="-9"/>
          <w:w w:val="110"/>
        </w:rPr>
        <w:t> </w:t>
      </w:r>
      <w:r>
        <w:rPr>
          <w:color w:val="231F20"/>
          <w:w w:val="110"/>
        </w:rPr>
        <w:t>las</w:t>
      </w:r>
      <w:r>
        <w:rPr>
          <w:color w:val="231F20"/>
          <w:spacing w:val="-9"/>
          <w:w w:val="110"/>
        </w:rPr>
        <w:t> </w:t>
      </w:r>
      <w:r>
        <w:rPr>
          <w:color w:val="231F20"/>
          <w:w w:val="110"/>
        </w:rPr>
        <w:t>respuestas</w:t>
      </w:r>
      <w:r>
        <w:rPr>
          <w:color w:val="231F20"/>
          <w:spacing w:val="-9"/>
          <w:w w:val="110"/>
        </w:rPr>
        <w:t> </w:t>
      </w:r>
      <w:r>
        <w:rPr>
          <w:color w:val="231F20"/>
          <w:w w:val="110"/>
        </w:rPr>
        <w:t>regionales</w:t>
      </w:r>
      <w:r>
        <w:rPr>
          <w:color w:val="231F20"/>
          <w:spacing w:val="-9"/>
          <w:w w:val="110"/>
        </w:rPr>
        <w:t> </w:t>
      </w:r>
      <w:r>
        <w:rPr>
          <w:color w:val="231F20"/>
          <w:w w:val="110"/>
        </w:rPr>
        <w:t>en</w:t>
      </w:r>
      <w:r>
        <w:rPr>
          <w:color w:val="231F20"/>
          <w:spacing w:val="-9"/>
          <w:w w:val="110"/>
        </w:rPr>
        <w:t> </w:t>
      </w:r>
      <w:r>
        <w:rPr>
          <w:color w:val="231F20"/>
          <w:w w:val="110"/>
        </w:rPr>
        <w:t>curso</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límites</w:t>
      </w:r>
      <w:r>
        <w:rPr>
          <w:color w:val="231F20"/>
          <w:spacing w:val="-9"/>
          <w:w w:val="110"/>
        </w:rPr>
        <w:t> </w:t>
      </w:r>
      <w:r>
        <w:rPr>
          <w:color w:val="231F20"/>
          <w:w w:val="110"/>
        </w:rPr>
        <w:t>de la visión centrada en la hipótesis acerca de la presencia de “actores” (internos o externos) que ponen en tela de juicio la hegemonía he- misférica de Estados</w:t>
      </w:r>
      <w:r>
        <w:rPr>
          <w:color w:val="231F20"/>
          <w:spacing w:val="-28"/>
          <w:w w:val="110"/>
        </w:rPr>
        <w:t> </w:t>
      </w:r>
      <w:r>
        <w:rPr>
          <w:color w:val="231F20"/>
          <w:w w:val="110"/>
        </w:rPr>
        <w:t>Unidos.</w:t>
      </w:r>
    </w:p>
    <w:p>
      <w:pPr>
        <w:pStyle w:val="BodyText"/>
        <w:spacing w:line="261" w:lineRule="auto"/>
        <w:ind w:left="100" w:right="115" w:firstLine="300"/>
        <w:jc w:val="both"/>
      </w:pPr>
      <w:r>
        <w:rPr>
          <w:color w:val="231F20"/>
          <w:w w:val="110"/>
        </w:rPr>
        <w:t>El</w:t>
      </w:r>
      <w:r>
        <w:rPr>
          <w:color w:val="231F20"/>
          <w:spacing w:val="-8"/>
          <w:w w:val="110"/>
        </w:rPr>
        <w:t> </w:t>
      </w:r>
      <w:r>
        <w:rPr>
          <w:color w:val="231F20"/>
          <w:w w:val="110"/>
        </w:rPr>
        <w:t>capítulo</w:t>
      </w:r>
      <w:r>
        <w:rPr>
          <w:color w:val="231F20"/>
          <w:spacing w:val="-8"/>
          <w:w w:val="110"/>
        </w:rPr>
        <w:t> </w:t>
      </w:r>
      <w:r>
        <w:rPr>
          <w:color w:val="231F20"/>
          <w:w w:val="110"/>
        </w:rPr>
        <w:t>“Obama</w:t>
      </w:r>
      <w:r>
        <w:rPr>
          <w:color w:val="231F20"/>
          <w:spacing w:val="-8"/>
          <w:w w:val="110"/>
        </w:rPr>
        <w:t> </w:t>
      </w:r>
      <w:r>
        <w:rPr>
          <w:color w:val="231F20"/>
          <w:w w:val="110"/>
        </w:rPr>
        <w:t>contra</w:t>
      </w:r>
      <w:r>
        <w:rPr>
          <w:color w:val="231F20"/>
          <w:spacing w:val="-8"/>
          <w:w w:val="110"/>
        </w:rPr>
        <w:t> </w:t>
      </w:r>
      <w:r>
        <w:rPr>
          <w:color w:val="231F20"/>
          <w:w w:val="110"/>
        </w:rPr>
        <w:t>nuestra</w:t>
      </w:r>
      <w:r>
        <w:rPr>
          <w:color w:val="231F20"/>
          <w:spacing w:val="-8"/>
          <w:w w:val="110"/>
        </w:rPr>
        <w:t> </w:t>
      </w:r>
      <w:r>
        <w:rPr>
          <w:color w:val="231F20"/>
          <w:w w:val="110"/>
        </w:rPr>
        <w:t>América:</w:t>
      </w:r>
      <w:r>
        <w:rPr>
          <w:color w:val="231F20"/>
          <w:spacing w:val="-8"/>
          <w:w w:val="110"/>
        </w:rPr>
        <w:t> </w:t>
      </w:r>
      <w:r>
        <w:rPr>
          <w:color w:val="231F20"/>
          <w:w w:val="110"/>
        </w:rPr>
        <w:t>lo</w:t>
      </w:r>
      <w:r>
        <w:rPr>
          <w:color w:val="231F20"/>
          <w:spacing w:val="-8"/>
          <w:w w:val="110"/>
        </w:rPr>
        <w:t> </w:t>
      </w:r>
      <w:r>
        <w:rPr>
          <w:color w:val="231F20"/>
          <w:w w:val="110"/>
        </w:rPr>
        <w:t>nuevo</w:t>
      </w:r>
      <w:r>
        <w:rPr>
          <w:color w:val="231F20"/>
          <w:spacing w:val="-8"/>
          <w:w w:val="110"/>
        </w:rPr>
        <w:t> </w:t>
      </w:r>
      <w:r>
        <w:rPr>
          <w:color w:val="231F20"/>
          <w:w w:val="110"/>
        </w:rPr>
        <w:t>y</w:t>
      </w:r>
      <w:r>
        <w:rPr>
          <w:color w:val="231F20"/>
          <w:spacing w:val="-8"/>
          <w:w w:val="110"/>
        </w:rPr>
        <w:t> </w:t>
      </w:r>
      <w:r>
        <w:rPr>
          <w:color w:val="231F20"/>
          <w:w w:val="110"/>
        </w:rPr>
        <w:t>lo</w:t>
      </w:r>
      <w:r>
        <w:rPr>
          <w:color w:val="231F20"/>
          <w:spacing w:val="-8"/>
          <w:w w:val="110"/>
        </w:rPr>
        <w:t> </w:t>
      </w:r>
      <w:r>
        <w:rPr>
          <w:color w:val="231F20"/>
          <w:w w:val="110"/>
        </w:rPr>
        <w:t>viejo”, de Luis Suárez </w:t>
      </w:r>
      <w:r>
        <w:rPr>
          <w:color w:val="231F20"/>
          <w:spacing w:val="-3"/>
          <w:w w:val="110"/>
        </w:rPr>
        <w:t>Salazar, </w:t>
      </w:r>
      <w:r>
        <w:rPr>
          <w:color w:val="231F20"/>
          <w:w w:val="110"/>
        </w:rPr>
        <w:t>profesor investigador de la Universidad de La Habana, quien realiza una valoración crítica de las estrategias hacia el hemisferio occidental </w:t>
      </w:r>
      <w:r>
        <w:rPr>
          <w:color w:val="231F20"/>
          <w:spacing w:val="-8"/>
          <w:w w:val="110"/>
        </w:rPr>
        <w:t>y, </w:t>
      </w:r>
      <w:r>
        <w:rPr>
          <w:color w:val="231F20"/>
          <w:w w:val="110"/>
        </w:rPr>
        <w:t>en particular, contra los pueblos y naciones de nuestra América, propugnadas desde la campaña</w:t>
      </w:r>
      <w:r>
        <w:rPr>
          <w:color w:val="231F20"/>
          <w:spacing w:val="-34"/>
          <w:w w:val="110"/>
        </w:rPr>
        <w:t> </w:t>
      </w:r>
      <w:r>
        <w:rPr>
          <w:color w:val="231F20"/>
          <w:w w:val="110"/>
        </w:rPr>
        <w:t>electo- ral, particularmente emprendidas durante los dos primeros años de gobierno del demócrata Barack Obama. Según el </w:t>
      </w:r>
      <w:r>
        <w:rPr>
          <w:color w:val="231F20"/>
          <w:spacing w:val="-3"/>
          <w:w w:val="110"/>
        </w:rPr>
        <w:t>autor, </w:t>
      </w:r>
      <w:r>
        <w:rPr>
          <w:color w:val="231F20"/>
          <w:w w:val="110"/>
        </w:rPr>
        <w:t>en razón del relativamente inmutable carácter socio-clasista y de la manera “uni- partidista”</w:t>
      </w:r>
      <w:r>
        <w:rPr>
          <w:color w:val="231F20"/>
          <w:spacing w:val="-6"/>
          <w:w w:val="110"/>
        </w:rPr>
        <w:t> </w:t>
      </w:r>
      <w:r>
        <w:rPr>
          <w:color w:val="231F20"/>
          <w:w w:val="110"/>
        </w:rPr>
        <w:t>como</w:t>
      </w:r>
      <w:r>
        <w:rPr>
          <w:color w:val="231F20"/>
          <w:spacing w:val="-6"/>
          <w:w w:val="110"/>
        </w:rPr>
        <w:t> </w:t>
      </w:r>
      <w:r>
        <w:rPr>
          <w:color w:val="231F20"/>
          <w:w w:val="110"/>
        </w:rPr>
        <w:t>por</w:t>
      </w:r>
      <w:r>
        <w:rPr>
          <w:color w:val="231F20"/>
          <w:spacing w:val="-6"/>
          <w:w w:val="110"/>
        </w:rPr>
        <w:t> </w:t>
      </w:r>
      <w:r>
        <w:rPr>
          <w:color w:val="231F20"/>
          <w:w w:val="110"/>
        </w:rPr>
        <w:t>lo</w:t>
      </w:r>
      <w:r>
        <w:rPr>
          <w:color w:val="231F20"/>
          <w:spacing w:val="-6"/>
          <w:w w:val="110"/>
        </w:rPr>
        <w:t> </w:t>
      </w:r>
      <w:r>
        <w:rPr>
          <w:color w:val="231F20"/>
          <w:w w:val="110"/>
        </w:rPr>
        <w:t>general</w:t>
      </w:r>
      <w:r>
        <w:rPr>
          <w:color w:val="231F20"/>
          <w:spacing w:val="-6"/>
          <w:w w:val="110"/>
        </w:rPr>
        <w:t> </w:t>
      </w:r>
      <w:r>
        <w:rPr>
          <w:color w:val="231F20"/>
          <w:w w:val="110"/>
        </w:rPr>
        <w:t>elaboran</w:t>
      </w:r>
      <w:r>
        <w:rPr>
          <w:color w:val="231F20"/>
          <w:spacing w:val="-6"/>
          <w:w w:val="110"/>
        </w:rPr>
        <w:t> </w:t>
      </w:r>
      <w:r>
        <w:rPr>
          <w:color w:val="231F20"/>
          <w:w w:val="110"/>
        </w:rPr>
        <w:t>su</w:t>
      </w:r>
      <w:r>
        <w:rPr>
          <w:color w:val="231F20"/>
          <w:spacing w:val="-6"/>
          <w:w w:val="110"/>
        </w:rPr>
        <w:t> </w:t>
      </w:r>
      <w:r>
        <w:rPr>
          <w:color w:val="231F20"/>
          <w:w w:val="110"/>
        </w:rPr>
        <w:t>política</w:t>
      </w:r>
      <w:r>
        <w:rPr>
          <w:color w:val="231F20"/>
          <w:spacing w:val="-6"/>
          <w:w w:val="110"/>
        </w:rPr>
        <w:t> </w:t>
      </w:r>
      <w:r>
        <w:rPr>
          <w:color w:val="231F20"/>
          <w:w w:val="110"/>
        </w:rPr>
        <w:t>interna</w:t>
      </w:r>
      <w:r>
        <w:rPr>
          <w:color w:val="231F20"/>
          <w:spacing w:val="-6"/>
          <w:w w:val="110"/>
        </w:rPr>
        <w:t> </w:t>
      </w:r>
      <w:r>
        <w:rPr>
          <w:color w:val="231F20"/>
          <w:w w:val="110"/>
        </w:rPr>
        <w:t>y</w:t>
      </w:r>
      <w:r>
        <w:rPr>
          <w:color w:val="231F20"/>
          <w:spacing w:val="-6"/>
          <w:w w:val="110"/>
        </w:rPr>
        <w:t> </w:t>
      </w:r>
      <w:r>
        <w:rPr>
          <w:color w:val="231F20"/>
          <w:w w:val="110"/>
        </w:rPr>
        <w:t>externa el</w:t>
      </w:r>
      <w:r>
        <w:rPr>
          <w:color w:val="231F20"/>
          <w:spacing w:val="-13"/>
          <w:w w:val="110"/>
        </w:rPr>
        <w:t> </w:t>
      </w:r>
      <w:r>
        <w:rPr>
          <w:color w:val="231F20"/>
          <w:w w:val="110"/>
        </w:rPr>
        <w:t>“gobierno</w:t>
      </w:r>
      <w:r>
        <w:rPr>
          <w:color w:val="231F20"/>
          <w:spacing w:val="-13"/>
          <w:w w:val="110"/>
        </w:rPr>
        <w:t> </w:t>
      </w:r>
      <w:r>
        <w:rPr>
          <w:color w:val="231F20"/>
          <w:w w:val="110"/>
        </w:rPr>
        <w:t>permanente”</w:t>
      </w:r>
      <w:r>
        <w:rPr>
          <w:color w:val="231F20"/>
          <w:spacing w:val="-13"/>
          <w:w w:val="110"/>
        </w:rPr>
        <w:t> </w:t>
      </w:r>
      <w:r>
        <w:rPr>
          <w:color w:val="231F20"/>
          <w:w w:val="110"/>
        </w:rPr>
        <w:t>de</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el</w:t>
      </w:r>
      <w:r>
        <w:rPr>
          <w:color w:val="231F20"/>
          <w:spacing w:val="-13"/>
          <w:w w:val="110"/>
        </w:rPr>
        <w:t> </w:t>
      </w:r>
      <w:r>
        <w:rPr>
          <w:color w:val="231F20"/>
          <w:w w:val="110"/>
        </w:rPr>
        <w:t>análisis</w:t>
      </w:r>
      <w:r>
        <w:rPr>
          <w:color w:val="231F20"/>
          <w:spacing w:val="-13"/>
          <w:w w:val="110"/>
        </w:rPr>
        <w:t> </w:t>
      </w:r>
      <w:r>
        <w:rPr>
          <w:color w:val="231F20"/>
          <w:w w:val="110"/>
        </w:rPr>
        <w:t>del</w:t>
      </w:r>
      <w:r>
        <w:rPr>
          <w:color w:val="231F20"/>
          <w:spacing w:val="-13"/>
          <w:w w:val="110"/>
        </w:rPr>
        <w:t> </w:t>
      </w:r>
      <w:r>
        <w:rPr>
          <w:color w:val="231F20"/>
          <w:w w:val="110"/>
        </w:rPr>
        <w:t>gobierno actual acentúa las continuidades —“lo viejo”— y los cambios —“lo nuevo”— de las estrategias impulsadas por las administraciones de George</w:t>
      </w:r>
      <w:r>
        <w:rPr>
          <w:color w:val="231F20"/>
          <w:spacing w:val="-36"/>
          <w:w w:val="110"/>
        </w:rPr>
        <w:t> </w:t>
      </w:r>
      <w:r>
        <w:rPr>
          <w:color w:val="231F20"/>
          <w:w w:val="110"/>
        </w:rPr>
        <w:t>H.</w:t>
      </w:r>
      <w:r>
        <w:rPr>
          <w:color w:val="231F20"/>
          <w:spacing w:val="-36"/>
          <w:w w:val="110"/>
        </w:rPr>
        <w:t> </w:t>
      </w:r>
      <w:r>
        <w:rPr>
          <w:color w:val="231F20"/>
          <w:spacing w:val="-6"/>
          <w:w w:val="110"/>
        </w:rPr>
        <w:t>W.</w:t>
      </w:r>
      <w:r>
        <w:rPr>
          <w:color w:val="231F20"/>
          <w:spacing w:val="-36"/>
          <w:w w:val="110"/>
        </w:rPr>
        <w:t> </w:t>
      </w:r>
      <w:r>
        <w:rPr>
          <w:color w:val="231F20"/>
          <w:w w:val="110"/>
        </w:rPr>
        <w:t>Bush</w:t>
      </w:r>
      <w:r>
        <w:rPr>
          <w:color w:val="231F20"/>
          <w:spacing w:val="-36"/>
          <w:w w:val="110"/>
        </w:rPr>
        <w:t> </w:t>
      </w:r>
      <w:r>
        <w:rPr>
          <w:color w:val="231F20"/>
          <w:w w:val="110"/>
        </w:rPr>
        <w:t>(1989-1993),</w:t>
      </w:r>
      <w:r>
        <w:rPr>
          <w:color w:val="231F20"/>
          <w:spacing w:val="-36"/>
          <w:w w:val="110"/>
        </w:rPr>
        <w:t> </w:t>
      </w:r>
      <w:r>
        <w:rPr>
          <w:color w:val="231F20"/>
          <w:w w:val="110"/>
        </w:rPr>
        <w:t>William</w:t>
      </w:r>
      <w:r>
        <w:rPr>
          <w:color w:val="231F20"/>
          <w:spacing w:val="-36"/>
          <w:w w:val="110"/>
        </w:rPr>
        <w:t> </w:t>
      </w:r>
      <w:r>
        <w:rPr>
          <w:color w:val="231F20"/>
          <w:w w:val="110"/>
        </w:rPr>
        <w:t>Clinton</w:t>
      </w:r>
      <w:r>
        <w:rPr>
          <w:color w:val="231F20"/>
          <w:spacing w:val="-36"/>
          <w:w w:val="110"/>
        </w:rPr>
        <w:t> </w:t>
      </w:r>
      <w:r>
        <w:rPr>
          <w:color w:val="231F20"/>
          <w:w w:val="110"/>
        </w:rPr>
        <w:t>(1993-2001)</w:t>
      </w:r>
      <w:r>
        <w:rPr>
          <w:color w:val="231F20"/>
          <w:spacing w:val="-36"/>
          <w:w w:val="110"/>
        </w:rPr>
        <w:t> </w:t>
      </w:r>
      <w:r>
        <w:rPr>
          <w:color w:val="231F20"/>
          <w:w w:val="110"/>
        </w:rPr>
        <w:t>y</w:t>
      </w:r>
      <w:r>
        <w:rPr>
          <w:color w:val="231F20"/>
          <w:spacing w:val="-36"/>
          <w:w w:val="110"/>
        </w:rPr>
        <w:t> </w:t>
      </w:r>
      <w:r>
        <w:rPr>
          <w:color w:val="231F20"/>
          <w:w w:val="110"/>
        </w:rPr>
        <w:t>Geor- ge</w:t>
      </w:r>
      <w:r>
        <w:rPr>
          <w:color w:val="231F20"/>
          <w:spacing w:val="-23"/>
          <w:w w:val="110"/>
        </w:rPr>
        <w:t> </w:t>
      </w:r>
      <w:r>
        <w:rPr>
          <w:color w:val="231F20"/>
          <w:spacing w:val="-6"/>
          <w:w w:val="110"/>
        </w:rPr>
        <w:t>W.</w:t>
      </w:r>
      <w:r>
        <w:rPr>
          <w:color w:val="231F20"/>
          <w:spacing w:val="-23"/>
          <w:w w:val="110"/>
        </w:rPr>
        <w:t> </w:t>
      </w:r>
      <w:r>
        <w:rPr>
          <w:color w:val="231F20"/>
          <w:w w:val="110"/>
        </w:rPr>
        <w:t>Bush</w:t>
      </w:r>
      <w:r>
        <w:rPr>
          <w:color w:val="231F20"/>
          <w:spacing w:val="-23"/>
          <w:w w:val="110"/>
        </w:rPr>
        <w:t> </w:t>
      </w:r>
      <w:r>
        <w:rPr>
          <w:color w:val="231F20"/>
          <w:w w:val="110"/>
        </w:rPr>
        <w:t>(2001-2009).</w:t>
      </w:r>
    </w:p>
    <w:p>
      <w:pPr>
        <w:pStyle w:val="BodyText"/>
        <w:spacing w:line="261" w:lineRule="auto"/>
        <w:ind w:left="100" w:right="110" w:firstLine="240"/>
        <w:jc w:val="both"/>
      </w:pPr>
      <w:r>
        <w:rPr>
          <w:color w:val="231F20"/>
          <w:w w:val="110"/>
        </w:rPr>
        <w:t>El </w:t>
      </w:r>
      <w:r>
        <w:rPr>
          <w:color w:val="231F20"/>
          <w:spacing w:val="2"/>
          <w:w w:val="110"/>
        </w:rPr>
        <w:t>siguiente capítulo, “Democracia, seguridad </w:t>
      </w:r>
      <w:r>
        <w:rPr>
          <w:color w:val="231F20"/>
          <w:w w:val="110"/>
        </w:rPr>
        <w:t>y </w:t>
      </w:r>
      <w:r>
        <w:rPr>
          <w:color w:val="231F20"/>
          <w:spacing w:val="2"/>
          <w:w w:val="110"/>
        </w:rPr>
        <w:t>desarrollo: </w:t>
      </w:r>
      <w:r>
        <w:rPr>
          <w:color w:val="231F20"/>
          <w:spacing w:val="3"/>
          <w:w w:val="110"/>
        </w:rPr>
        <w:t>la </w:t>
      </w:r>
      <w:r>
        <w:rPr>
          <w:color w:val="231F20"/>
          <w:w w:val="110"/>
        </w:rPr>
        <w:t>política</w:t>
      </w:r>
      <w:r>
        <w:rPr>
          <w:color w:val="231F20"/>
          <w:spacing w:val="-5"/>
          <w:w w:val="110"/>
        </w:rPr>
        <w:t> </w:t>
      </w:r>
      <w:r>
        <w:rPr>
          <w:color w:val="231F20"/>
          <w:w w:val="110"/>
        </w:rPr>
        <w:t>de</w:t>
      </w:r>
      <w:r>
        <w:rPr>
          <w:color w:val="231F20"/>
          <w:spacing w:val="-5"/>
          <w:w w:val="110"/>
        </w:rPr>
        <w:t> </w:t>
      </w:r>
      <w:r>
        <w:rPr>
          <w:color w:val="231F20"/>
          <w:w w:val="110"/>
        </w:rPr>
        <w:t>‘asistencia’</w:t>
      </w:r>
      <w:r>
        <w:rPr>
          <w:color w:val="231F20"/>
          <w:spacing w:val="-5"/>
          <w:w w:val="110"/>
        </w:rPr>
        <w:t> </w:t>
      </w:r>
      <w:r>
        <w:rPr>
          <w:color w:val="231F20"/>
          <w:w w:val="110"/>
        </w:rPr>
        <w:t>de</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hacia</w:t>
      </w:r>
      <w:r>
        <w:rPr>
          <w:color w:val="231F20"/>
          <w:spacing w:val="-5"/>
          <w:w w:val="110"/>
        </w:rPr>
        <w:t> </w:t>
      </w:r>
      <w:r>
        <w:rPr>
          <w:color w:val="231F20"/>
          <w:w w:val="110"/>
        </w:rPr>
        <w:t>América</w:t>
      </w:r>
      <w:r>
        <w:rPr>
          <w:color w:val="231F20"/>
          <w:spacing w:val="-5"/>
          <w:w w:val="110"/>
        </w:rPr>
        <w:t> </w:t>
      </w:r>
      <w:r>
        <w:rPr>
          <w:color w:val="231F20"/>
          <w:w w:val="110"/>
        </w:rPr>
        <w:t>Latina”,</w:t>
      </w:r>
      <w:r>
        <w:rPr>
          <w:color w:val="231F20"/>
          <w:spacing w:val="-5"/>
          <w:w w:val="110"/>
        </w:rPr>
        <w:t> </w:t>
      </w:r>
      <w:r>
        <w:rPr>
          <w:color w:val="231F20"/>
          <w:w w:val="110"/>
        </w:rPr>
        <w:t>de Silvina M. Romano, profesora investigadora del Centro de Estudios Avanzados de la Universidad Nacional de Córdoba, se propone</w:t>
      </w:r>
      <w:r>
        <w:rPr>
          <w:color w:val="231F20"/>
          <w:spacing w:val="-15"/>
          <w:w w:val="110"/>
        </w:rPr>
        <w:t> </w:t>
      </w:r>
      <w:r>
        <w:rPr>
          <w:color w:val="231F20"/>
          <w:w w:val="110"/>
        </w:rPr>
        <w:t>ana- lizar desde una perspectiva crítica la vinculación entre democracia y desarrollo teniendo en cuenta el modo en que son entendidos estos conceptos por el gobierno y por los organismos privados estaduni- denses influyentes en la definición de políticas, a fin de conocer por qué</w:t>
      </w:r>
      <w:r>
        <w:rPr>
          <w:color w:val="231F20"/>
          <w:spacing w:val="-14"/>
          <w:w w:val="110"/>
        </w:rPr>
        <w:t> </w:t>
      </w:r>
      <w:r>
        <w:rPr>
          <w:color w:val="231F20"/>
          <w:w w:val="110"/>
        </w:rPr>
        <w:t>ambos</w:t>
      </w:r>
      <w:r>
        <w:rPr>
          <w:color w:val="231F20"/>
          <w:spacing w:val="-14"/>
          <w:w w:val="110"/>
        </w:rPr>
        <w:t> </w:t>
      </w:r>
      <w:r>
        <w:rPr>
          <w:color w:val="231F20"/>
          <w:w w:val="110"/>
        </w:rPr>
        <w:t>términos</w:t>
      </w:r>
      <w:r>
        <w:rPr>
          <w:color w:val="231F20"/>
          <w:spacing w:val="-14"/>
          <w:w w:val="110"/>
        </w:rPr>
        <w:t> </w:t>
      </w:r>
      <w:r>
        <w:rPr>
          <w:color w:val="231F20"/>
          <w:w w:val="110"/>
        </w:rPr>
        <w:t>son</w:t>
      </w:r>
      <w:r>
        <w:rPr>
          <w:color w:val="231F20"/>
          <w:spacing w:val="-14"/>
          <w:w w:val="110"/>
        </w:rPr>
        <w:t> </w:t>
      </w:r>
      <w:r>
        <w:rPr>
          <w:color w:val="231F20"/>
          <w:w w:val="110"/>
        </w:rPr>
        <w:t>articulados</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seguridad.</w:t>
      </w:r>
      <w:r>
        <w:rPr>
          <w:color w:val="231F20"/>
          <w:spacing w:val="-14"/>
          <w:w w:val="110"/>
        </w:rPr>
        <w:t> </w:t>
      </w:r>
      <w:r>
        <w:rPr>
          <w:color w:val="231F20"/>
          <w:w w:val="110"/>
        </w:rPr>
        <w:t>Esto</w:t>
      </w:r>
      <w:r>
        <w:rPr>
          <w:color w:val="231F20"/>
          <w:spacing w:val="-14"/>
          <w:w w:val="110"/>
        </w:rPr>
        <w:t> </w:t>
      </w:r>
      <w:r>
        <w:rPr>
          <w:color w:val="231F20"/>
          <w:w w:val="110"/>
        </w:rPr>
        <w:t>nos</w:t>
      </w:r>
      <w:r>
        <w:rPr>
          <w:color w:val="231F20"/>
          <w:spacing w:val="-14"/>
          <w:w w:val="110"/>
        </w:rPr>
        <w:t> </w:t>
      </w:r>
      <w:r>
        <w:rPr>
          <w:color w:val="231F20"/>
          <w:w w:val="110"/>
        </w:rPr>
        <w:t>lleva</w:t>
      </w:r>
      <w:r>
        <w:rPr>
          <w:color w:val="231F20"/>
          <w:spacing w:val="-14"/>
          <w:w w:val="110"/>
        </w:rPr>
        <w:t> </w:t>
      </w:r>
      <w:r>
        <w:rPr>
          <w:color w:val="231F20"/>
          <w:w w:val="110"/>
        </w:rPr>
        <w:t>a indagar</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papel</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asistencia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marco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política</w:t>
      </w:r>
      <w:r>
        <w:rPr>
          <w:color w:val="231F20"/>
          <w:spacing w:val="-5"/>
          <w:w w:val="110"/>
        </w:rPr>
        <w:t> </w:t>
      </w:r>
      <w:r>
        <w:rPr>
          <w:color w:val="231F20"/>
          <w:w w:val="110"/>
        </w:rPr>
        <w:t>exterior del gobierno estadunidense hacia América Latina y a intentar hacer visible</w:t>
      </w:r>
      <w:r>
        <w:rPr>
          <w:color w:val="231F20"/>
          <w:spacing w:val="-10"/>
          <w:w w:val="110"/>
        </w:rPr>
        <w:t> </w:t>
      </w:r>
      <w:r>
        <w:rPr>
          <w:color w:val="231F20"/>
          <w:w w:val="110"/>
        </w:rPr>
        <w:t>la</w:t>
      </w:r>
      <w:r>
        <w:rPr>
          <w:color w:val="231F20"/>
          <w:spacing w:val="-10"/>
          <w:w w:val="110"/>
        </w:rPr>
        <w:t> </w:t>
      </w:r>
      <w:r>
        <w:rPr>
          <w:color w:val="231F20"/>
          <w:w w:val="110"/>
        </w:rPr>
        <w:t>red</w:t>
      </w:r>
      <w:r>
        <w:rPr>
          <w:color w:val="231F20"/>
          <w:spacing w:val="-10"/>
          <w:w w:val="110"/>
        </w:rPr>
        <w:t> </w:t>
      </w:r>
      <w:r>
        <w:rPr>
          <w:color w:val="231F20"/>
          <w:w w:val="110"/>
        </w:rPr>
        <w:t>de</w:t>
      </w:r>
      <w:r>
        <w:rPr>
          <w:color w:val="231F20"/>
          <w:spacing w:val="-10"/>
          <w:w w:val="110"/>
        </w:rPr>
        <w:t> </w:t>
      </w:r>
      <w:r>
        <w:rPr>
          <w:color w:val="231F20"/>
          <w:w w:val="110"/>
        </w:rPr>
        <w:t>intereses</w:t>
      </w:r>
      <w:r>
        <w:rPr>
          <w:color w:val="231F20"/>
          <w:spacing w:val="-10"/>
          <w:w w:val="110"/>
        </w:rPr>
        <w:t> </w:t>
      </w:r>
      <w:r>
        <w:rPr>
          <w:color w:val="231F20"/>
          <w:w w:val="110"/>
        </w:rPr>
        <w:t>públicos</w:t>
      </w:r>
      <w:r>
        <w:rPr>
          <w:color w:val="231F20"/>
          <w:spacing w:val="-10"/>
          <w:w w:val="110"/>
        </w:rPr>
        <w:t> </w:t>
      </w:r>
      <w:r>
        <w:rPr>
          <w:color w:val="231F20"/>
          <w:w w:val="110"/>
        </w:rPr>
        <w:t>y</w:t>
      </w:r>
      <w:r>
        <w:rPr>
          <w:color w:val="231F20"/>
          <w:spacing w:val="-10"/>
          <w:w w:val="110"/>
        </w:rPr>
        <w:t> </w:t>
      </w:r>
      <w:r>
        <w:rPr>
          <w:color w:val="231F20"/>
          <w:w w:val="110"/>
        </w:rPr>
        <w:t>privados</w:t>
      </w:r>
      <w:r>
        <w:rPr>
          <w:color w:val="231F20"/>
          <w:spacing w:val="-10"/>
          <w:w w:val="110"/>
        </w:rPr>
        <w:t> </w:t>
      </w:r>
      <w:r>
        <w:rPr>
          <w:color w:val="231F20"/>
          <w:w w:val="110"/>
        </w:rPr>
        <w:t>que</w:t>
      </w:r>
      <w:r>
        <w:rPr>
          <w:color w:val="231F20"/>
          <w:spacing w:val="-10"/>
          <w:w w:val="110"/>
        </w:rPr>
        <w:t> </w:t>
      </w:r>
      <w:r>
        <w:rPr>
          <w:color w:val="231F20"/>
          <w:w w:val="110"/>
        </w:rPr>
        <w:t>participa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“ne- gocio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asistencia”.</w:t>
      </w:r>
      <w:r>
        <w:rPr>
          <w:color w:val="231F20"/>
          <w:spacing w:val="-22"/>
          <w:w w:val="110"/>
        </w:rPr>
        <w:t> </w:t>
      </w:r>
      <w:r>
        <w:rPr>
          <w:color w:val="231F20"/>
          <w:w w:val="110"/>
        </w:rPr>
        <w:t>Para</w:t>
      </w:r>
      <w:r>
        <w:rPr>
          <w:color w:val="231F20"/>
          <w:spacing w:val="-22"/>
          <w:w w:val="110"/>
        </w:rPr>
        <w:t> </w:t>
      </w:r>
      <w:r>
        <w:rPr>
          <w:color w:val="231F20"/>
          <w:w w:val="110"/>
        </w:rPr>
        <w:t>ello</w:t>
      </w:r>
      <w:r>
        <w:rPr>
          <w:color w:val="231F20"/>
          <w:spacing w:val="-22"/>
          <w:w w:val="110"/>
        </w:rPr>
        <w:t> </w:t>
      </w:r>
      <w:r>
        <w:rPr>
          <w:color w:val="231F20"/>
          <w:w w:val="110"/>
        </w:rPr>
        <w:t>considera</w:t>
      </w:r>
      <w:r>
        <w:rPr>
          <w:color w:val="231F20"/>
          <w:spacing w:val="-22"/>
          <w:w w:val="110"/>
        </w:rPr>
        <w:t> </w:t>
      </w:r>
      <w:r>
        <w:rPr>
          <w:color w:val="231F20"/>
          <w:w w:val="110"/>
        </w:rPr>
        <w:t>la</w:t>
      </w:r>
      <w:r>
        <w:rPr>
          <w:color w:val="231F20"/>
          <w:spacing w:val="-22"/>
          <w:w w:val="110"/>
        </w:rPr>
        <w:t> </w:t>
      </w:r>
      <w:r>
        <w:rPr>
          <w:color w:val="231F20"/>
          <w:w w:val="110"/>
        </w:rPr>
        <w:t>vinculación</w:t>
      </w:r>
      <w:r>
        <w:rPr>
          <w:color w:val="231F20"/>
          <w:spacing w:val="-22"/>
          <w:w w:val="110"/>
        </w:rPr>
        <w:t> </w:t>
      </w:r>
      <w:r>
        <w:rPr>
          <w:color w:val="231F20"/>
          <w:w w:val="110"/>
        </w:rPr>
        <w:t>conceptual</w:t>
      </w:r>
      <w:r>
        <w:rPr>
          <w:color w:val="231F20"/>
          <w:spacing w:val="-22"/>
          <w:w w:val="110"/>
        </w:rPr>
        <w:t> </w:t>
      </w:r>
      <w:r>
        <w:rPr>
          <w:color w:val="231F20"/>
          <w:w w:val="110"/>
        </w:rPr>
        <w:t>e histórica</w:t>
      </w:r>
      <w:r>
        <w:rPr>
          <w:color w:val="231F20"/>
          <w:spacing w:val="-9"/>
          <w:w w:val="110"/>
        </w:rPr>
        <w:t> </w:t>
      </w:r>
      <w:r>
        <w:rPr>
          <w:color w:val="231F20"/>
          <w:w w:val="110"/>
        </w:rPr>
        <w:t>entre</w:t>
      </w:r>
      <w:r>
        <w:rPr>
          <w:color w:val="231F20"/>
          <w:spacing w:val="-9"/>
          <w:w w:val="110"/>
        </w:rPr>
        <w:t> </w:t>
      </w:r>
      <w:r>
        <w:rPr>
          <w:color w:val="231F20"/>
          <w:w w:val="110"/>
        </w:rPr>
        <w:t>democracia</w:t>
      </w:r>
      <w:r>
        <w:rPr>
          <w:color w:val="231F20"/>
          <w:spacing w:val="-9"/>
          <w:w w:val="110"/>
        </w:rPr>
        <w:t> </w:t>
      </w:r>
      <w:r>
        <w:rPr>
          <w:color w:val="231F20"/>
          <w:w w:val="110"/>
        </w:rPr>
        <w:t>y</w:t>
      </w:r>
      <w:r>
        <w:rPr>
          <w:color w:val="231F20"/>
          <w:spacing w:val="-9"/>
          <w:w w:val="110"/>
        </w:rPr>
        <w:t> </w:t>
      </w:r>
      <w:r>
        <w:rPr>
          <w:color w:val="231F20"/>
          <w:w w:val="110"/>
        </w:rPr>
        <w:t>seguridad</w:t>
      </w:r>
      <w:r>
        <w:rPr>
          <w:color w:val="231F20"/>
          <w:spacing w:val="-9"/>
          <w:w w:val="110"/>
        </w:rPr>
        <w:t> </w:t>
      </w:r>
      <w:r>
        <w:rPr>
          <w:color w:val="231F20"/>
          <w:w w:val="110"/>
        </w:rPr>
        <w:t>a</w:t>
      </w:r>
      <w:r>
        <w:rPr>
          <w:color w:val="231F20"/>
          <w:spacing w:val="-9"/>
          <w:w w:val="110"/>
        </w:rPr>
        <w:t> </w:t>
      </w:r>
      <w:r>
        <w:rPr>
          <w:color w:val="231F20"/>
          <w:w w:val="110"/>
        </w:rPr>
        <w:t>partir</w:t>
      </w:r>
      <w:r>
        <w:rPr>
          <w:color w:val="231F20"/>
          <w:spacing w:val="-9"/>
          <w:w w:val="110"/>
        </w:rPr>
        <w:t> </w:t>
      </w:r>
      <w:r>
        <w:rPr>
          <w:color w:val="231F20"/>
          <w:w w:val="110"/>
        </w:rPr>
        <w:t>del</w:t>
      </w:r>
      <w:r>
        <w:rPr>
          <w:color w:val="231F20"/>
          <w:spacing w:val="-9"/>
          <w:w w:val="110"/>
        </w:rPr>
        <w:t> </w:t>
      </w:r>
      <w:r>
        <w:rPr>
          <w:color w:val="231F20"/>
          <w:w w:val="110"/>
        </w:rPr>
        <w:t>capitalismo</w:t>
      </w:r>
      <w:r>
        <w:rPr>
          <w:color w:val="231F20"/>
          <w:spacing w:val="-9"/>
          <w:w w:val="110"/>
        </w:rPr>
        <w:t> </w:t>
      </w:r>
      <w:r>
        <w:rPr>
          <w:color w:val="231F20"/>
          <w:w w:val="110"/>
        </w:rPr>
        <w:t>poste- rior a la segunda guerra mundial, contexto en el cual se</w:t>
      </w:r>
      <w:r>
        <w:rPr>
          <w:color w:val="231F20"/>
          <w:spacing w:val="-18"/>
          <w:w w:val="110"/>
        </w:rPr>
        <w:t> </w:t>
      </w:r>
      <w:r>
        <w:rPr>
          <w:color w:val="231F20"/>
          <w:w w:val="110"/>
        </w:rPr>
        <w:t>relacionaron de modo legal con la noción de desarrollo sostenida por el gobierno estadunidense, cristalizada en los programas de asistencia</w:t>
      </w:r>
      <w:r>
        <w:rPr>
          <w:color w:val="231F20"/>
          <w:spacing w:val="-36"/>
          <w:w w:val="110"/>
        </w:rPr>
        <w:t> </w:t>
      </w:r>
      <w:r>
        <w:rPr>
          <w:color w:val="231F20"/>
          <w:w w:val="110"/>
        </w:rPr>
        <w:t>bilaterales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10"/>
        </w:rPr>
        <w:t>y multilaterales inaugurados por la Ley para la Asistencia Extranjera (1961) durante la administración de</w:t>
      </w:r>
      <w:r>
        <w:rPr>
          <w:color w:val="231F20"/>
          <w:spacing w:val="50"/>
          <w:w w:val="110"/>
        </w:rPr>
        <w:t> </w:t>
      </w:r>
      <w:r>
        <w:rPr>
          <w:color w:val="231F20"/>
          <w:w w:val="110"/>
        </w:rPr>
        <w:t>Kennedy.</w:t>
      </w:r>
    </w:p>
    <w:p>
      <w:pPr>
        <w:pStyle w:val="BodyText"/>
        <w:spacing w:line="261" w:lineRule="auto"/>
        <w:ind w:left="100" w:right="109" w:firstLine="240"/>
        <w:jc w:val="both"/>
      </w:pPr>
      <w:r>
        <w:rPr>
          <w:color w:val="231F20"/>
          <w:spacing w:val="2"/>
          <w:w w:val="110"/>
        </w:rPr>
        <w:t>Jaime Zuluaga Nieto, profesor investigador </w:t>
      </w:r>
      <w:r>
        <w:rPr>
          <w:color w:val="231F20"/>
          <w:w w:val="110"/>
        </w:rPr>
        <w:t>de la </w:t>
      </w:r>
      <w:r>
        <w:rPr>
          <w:color w:val="231F20"/>
          <w:spacing w:val="3"/>
          <w:w w:val="110"/>
        </w:rPr>
        <w:t>Universidad </w:t>
      </w:r>
      <w:r>
        <w:rPr>
          <w:color w:val="231F20"/>
          <w:w w:val="110"/>
        </w:rPr>
        <w:t>Nacional de Colombia, en su capítulo “Cambios en la política de seguridad de Estados Unidos y su incidencia en América Latina”, plantea</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estrategia</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adoptada</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administración Bush en 2002 ha orientado la política de Estados Unidos durante el primer decenio de este siglo. En ella se definió el terrorismo como la principal amenaza a la seguridad nacional, se adoptó el principio de la guerra preventiva y se justificó la posibilidad de intervención </w:t>
      </w:r>
      <w:r>
        <w:rPr>
          <w:color w:val="231F20"/>
          <w:spacing w:val="3"/>
          <w:w w:val="110"/>
        </w:rPr>
        <w:t>unilateral </w:t>
      </w:r>
      <w:r>
        <w:rPr>
          <w:color w:val="231F20"/>
          <w:w w:val="110"/>
        </w:rPr>
        <w:t>en </w:t>
      </w:r>
      <w:r>
        <w:rPr>
          <w:color w:val="231F20"/>
          <w:spacing w:val="3"/>
          <w:w w:val="110"/>
        </w:rPr>
        <w:t>cualquier parte </w:t>
      </w:r>
      <w:r>
        <w:rPr>
          <w:color w:val="231F20"/>
          <w:spacing w:val="2"/>
          <w:w w:val="110"/>
        </w:rPr>
        <w:t>del </w:t>
      </w:r>
      <w:r>
        <w:rPr>
          <w:color w:val="231F20"/>
          <w:spacing w:val="3"/>
          <w:w w:val="110"/>
        </w:rPr>
        <w:t>mundo. </w:t>
      </w:r>
      <w:r>
        <w:rPr>
          <w:color w:val="231F20"/>
          <w:w w:val="110"/>
        </w:rPr>
        <w:t>El </w:t>
      </w:r>
      <w:r>
        <w:rPr>
          <w:color w:val="231F20"/>
          <w:spacing w:val="3"/>
          <w:w w:val="110"/>
        </w:rPr>
        <w:t>presidente </w:t>
      </w:r>
      <w:r>
        <w:rPr>
          <w:color w:val="231F20"/>
          <w:spacing w:val="4"/>
          <w:w w:val="110"/>
        </w:rPr>
        <w:t>Barack </w:t>
      </w:r>
      <w:r>
        <w:rPr>
          <w:color w:val="231F20"/>
          <w:w w:val="110"/>
        </w:rPr>
        <w:t>Obama ofreció cambios en esta estrategia: invocó los principios fundacionales de su nación para precisar que no habría conflicto entre la seguridad y los ideales de respeto a la </w:t>
      </w:r>
      <w:r>
        <w:rPr>
          <w:color w:val="231F20"/>
          <w:spacing w:val="-4"/>
          <w:w w:val="110"/>
        </w:rPr>
        <w:t>ley, </w:t>
      </w:r>
      <w:r>
        <w:rPr>
          <w:color w:val="231F20"/>
          <w:w w:val="110"/>
        </w:rPr>
        <w:t>la libertad y los derechos humanos, se comprometió a recurrir al multilateralismo y a replantear las relaciones con las otras naciones, en particular con las de América Latina. Llegó a presentar ante el congreso una</w:t>
      </w:r>
      <w:r>
        <w:rPr>
          <w:color w:val="231F20"/>
          <w:spacing w:val="-12"/>
          <w:w w:val="110"/>
        </w:rPr>
        <w:t> </w:t>
      </w:r>
      <w:r>
        <w:rPr>
          <w:color w:val="231F20"/>
          <w:w w:val="110"/>
        </w:rPr>
        <w:t>nueva estrategia</w:t>
      </w:r>
      <w:r>
        <w:rPr>
          <w:color w:val="231F20"/>
          <w:spacing w:val="-9"/>
          <w:w w:val="110"/>
        </w:rPr>
        <w:t> </w:t>
      </w:r>
      <w:r>
        <w:rPr>
          <w:color w:val="231F20"/>
          <w:w w:val="110"/>
        </w:rPr>
        <w:t>de</w:t>
      </w:r>
      <w:r>
        <w:rPr>
          <w:color w:val="231F20"/>
          <w:spacing w:val="-9"/>
          <w:w w:val="110"/>
        </w:rPr>
        <w:t> </w:t>
      </w:r>
      <w:r>
        <w:rPr>
          <w:color w:val="231F20"/>
          <w:w w:val="110"/>
        </w:rPr>
        <w:t>seguridad</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que</w:t>
      </w:r>
      <w:r>
        <w:rPr>
          <w:color w:val="231F20"/>
          <w:spacing w:val="-9"/>
          <w:w w:val="110"/>
        </w:rPr>
        <w:t> </w:t>
      </w:r>
      <w:r>
        <w:rPr>
          <w:color w:val="231F20"/>
          <w:w w:val="110"/>
        </w:rPr>
        <w:t>no</w:t>
      </w:r>
      <w:r>
        <w:rPr>
          <w:color w:val="231F20"/>
          <w:spacing w:val="-9"/>
          <w:w w:val="110"/>
        </w:rPr>
        <w:t> </w:t>
      </w:r>
      <w:r>
        <w:rPr>
          <w:color w:val="231F20"/>
          <w:w w:val="110"/>
        </w:rPr>
        <w:t>menciona</w:t>
      </w:r>
      <w:r>
        <w:rPr>
          <w:color w:val="231F20"/>
          <w:spacing w:val="-9"/>
          <w:w w:val="110"/>
        </w:rPr>
        <w:t> </w:t>
      </w:r>
      <w:r>
        <w:rPr>
          <w:color w:val="231F20"/>
          <w:w w:val="110"/>
        </w:rPr>
        <w:t>la</w:t>
      </w:r>
      <w:r>
        <w:rPr>
          <w:color w:val="231F20"/>
          <w:spacing w:val="-9"/>
          <w:w w:val="110"/>
        </w:rPr>
        <w:t> </w:t>
      </w:r>
      <w:r>
        <w:rPr>
          <w:color w:val="231F20"/>
          <w:w w:val="110"/>
        </w:rPr>
        <w:t>guerra</w:t>
      </w:r>
      <w:r>
        <w:rPr>
          <w:color w:val="231F20"/>
          <w:spacing w:val="-9"/>
          <w:w w:val="110"/>
        </w:rPr>
        <w:t> </w:t>
      </w:r>
      <w:r>
        <w:rPr>
          <w:color w:val="231F20"/>
          <w:w w:val="110"/>
        </w:rPr>
        <w:t>global</w:t>
      </w:r>
      <w:r>
        <w:rPr>
          <w:color w:val="231F20"/>
          <w:spacing w:val="-9"/>
          <w:w w:val="110"/>
        </w:rPr>
        <w:t> </w:t>
      </w:r>
      <w:r>
        <w:rPr>
          <w:color w:val="231F20"/>
          <w:w w:val="110"/>
        </w:rPr>
        <w:t>contra el terrorismo y renuncia a la guerra preventiva; no obstante, según  el </w:t>
      </w:r>
      <w:r>
        <w:rPr>
          <w:color w:val="231F20"/>
          <w:spacing w:val="-3"/>
          <w:w w:val="110"/>
        </w:rPr>
        <w:t>autor, </w:t>
      </w:r>
      <w:r>
        <w:rPr>
          <w:color w:val="231F20"/>
          <w:w w:val="110"/>
        </w:rPr>
        <w:t>en lo posterior el cambio de gobierno no mostró transfor- maciones sustanciales en la</w:t>
      </w:r>
      <w:r>
        <w:rPr>
          <w:color w:val="231F20"/>
          <w:spacing w:val="-13"/>
          <w:w w:val="110"/>
        </w:rPr>
        <w:t> </w:t>
      </w:r>
      <w:r>
        <w:rPr>
          <w:color w:val="231F20"/>
          <w:w w:val="110"/>
        </w:rPr>
        <w:t>temática.</w:t>
      </w:r>
    </w:p>
    <w:p>
      <w:pPr>
        <w:pStyle w:val="BodyText"/>
        <w:spacing w:line="261" w:lineRule="auto"/>
        <w:ind w:left="100" w:right="117" w:firstLine="240"/>
        <w:jc w:val="both"/>
      </w:pPr>
      <w:r>
        <w:rPr>
          <w:color w:val="231F20"/>
          <w:w w:val="110"/>
        </w:rPr>
        <w:t>El capítulo de María José Rodríguez Rejas, profesora investiga- dora de la Academia de Ciencias Sociales (Antropología Social y Sociología)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Universidad</w:t>
      </w:r>
      <w:r>
        <w:rPr>
          <w:color w:val="231F20"/>
          <w:spacing w:val="-6"/>
          <w:w w:val="110"/>
        </w:rPr>
        <w:t> </w:t>
      </w:r>
      <w:r>
        <w:rPr>
          <w:color w:val="231F20"/>
          <w:w w:val="110"/>
        </w:rPr>
        <w:t>Autónoma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Ciudad</w:t>
      </w:r>
      <w:r>
        <w:rPr>
          <w:color w:val="231F20"/>
          <w:spacing w:val="-6"/>
          <w:w w:val="110"/>
        </w:rPr>
        <w:t> </w:t>
      </w:r>
      <w:r>
        <w:rPr>
          <w:color w:val="231F20"/>
          <w:w w:val="110"/>
        </w:rPr>
        <w:t>de</w:t>
      </w:r>
      <w:r>
        <w:rPr>
          <w:color w:val="231F20"/>
          <w:spacing w:val="-6"/>
          <w:w w:val="110"/>
        </w:rPr>
        <w:t> </w:t>
      </w:r>
      <w:r>
        <w:rPr>
          <w:color w:val="231F20"/>
          <w:w w:val="110"/>
        </w:rPr>
        <w:t>México,</w:t>
      </w:r>
      <w:r>
        <w:rPr>
          <w:color w:val="231F20"/>
          <w:spacing w:val="-6"/>
          <w:w w:val="110"/>
        </w:rPr>
        <w:t> </w:t>
      </w:r>
      <w:r>
        <w:rPr>
          <w:color w:val="231F20"/>
          <w:w w:val="110"/>
        </w:rPr>
        <w:t>se centra</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implicaciones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política</w:t>
      </w:r>
      <w:r>
        <w:rPr>
          <w:color w:val="231F20"/>
          <w:spacing w:val="-9"/>
          <w:w w:val="110"/>
        </w:rPr>
        <w:t> </w:t>
      </w:r>
      <w:r>
        <w:rPr>
          <w:color w:val="231F20"/>
          <w:w w:val="110"/>
        </w:rPr>
        <w:t>de</w:t>
      </w:r>
      <w:r>
        <w:rPr>
          <w:color w:val="231F20"/>
          <w:spacing w:val="-9"/>
          <w:w w:val="110"/>
        </w:rPr>
        <w:t> </w:t>
      </w:r>
      <w:r>
        <w:rPr>
          <w:color w:val="231F20"/>
          <w:w w:val="110"/>
        </w:rPr>
        <w:t>seguridad</w:t>
      </w:r>
      <w:r>
        <w:rPr>
          <w:color w:val="231F20"/>
          <w:spacing w:val="-9"/>
          <w:w w:val="110"/>
        </w:rPr>
        <w:t> </w:t>
      </w:r>
      <w:r>
        <w:rPr>
          <w:color w:val="231F20"/>
          <w:w w:val="110"/>
        </w:rPr>
        <w:t>hemisférica</w:t>
      </w:r>
      <w:r>
        <w:rPr>
          <w:color w:val="231F20"/>
          <w:spacing w:val="-9"/>
          <w:w w:val="110"/>
        </w:rPr>
        <w:t> </w:t>
      </w:r>
      <w:r>
        <w:rPr>
          <w:color w:val="231F20"/>
          <w:w w:val="110"/>
        </w:rPr>
        <w:t>de Estados Unidos en el proceso de militarización de América Latina, trazando el contexto en el que opera esta propuesta continental y</w:t>
      </w:r>
      <w:r>
        <w:rPr>
          <w:color w:val="231F20"/>
          <w:spacing w:val="-20"/>
          <w:w w:val="110"/>
        </w:rPr>
        <w:t> </w:t>
      </w:r>
      <w:r>
        <w:rPr>
          <w:color w:val="231F20"/>
          <w:w w:val="110"/>
        </w:rPr>
        <w:t>sus expresiones (Plan México y Plan Colombia). Analiza la centralidad de América Latina en la estrategia de seguridad hemisférica, como un factor distintivo en relación con la segunda posguerra. Según la autora, las especificidades de la competencia intercapitalista del</w:t>
      </w:r>
      <w:r>
        <w:rPr>
          <w:color w:val="231F20"/>
          <w:spacing w:val="-33"/>
          <w:w w:val="110"/>
        </w:rPr>
        <w:t> </w:t>
      </w:r>
      <w:r>
        <w:rPr>
          <w:color w:val="231F20"/>
          <w:w w:val="110"/>
        </w:rPr>
        <w:t>pre- sente hacen de esta región el área vital en torno a la cual el país del norte puede mantenerse en la competencia frente a otros bloques. Para dar cuenta de ello analiza: </w:t>
      </w:r>
      <w:r>
        <w:rPr>
          <w:i/>
          <w:color w:val="231F20"/>
          <w:w w:val="110"/>
        </w:rPr>
        <w:t>a</w:t>
      </w:r>
      <w:r>
        <w:rPr>
          <w:color w:val="231F20"/>
          <w:w w:val="110"/>
        </w:rPr>
        <w:t>] las condiciones particulares de la geopolítica</w:t>
      </w:r>
      <w:r>
        <w:rPr>
          <w:color w:val="231F20"/>
          <w:spacing w:val="-5"/>
          <w:w w:val="110"/>
        </w:rPr>
        <w:t> </w:t>
      </w:r>
      <w:r>
        <w:rPr>
          <w:color w:val="231F20"/>
          <w:w w:val="110"/>
        </w:rPr>
        <w:t>de</w:t>
      </w:r>
      <w:r>
        <w:rPr>
          <w:color w:val="231F20"/>
          <w:spacing w:val="-5"/>
          <w:w w:val="110"/>
        </w:rPr>
        <w:t> </w:t>
      </w:r>
      <w:r>
        <w:rPr>
          <w:color w:val="231F20"/>
          <w:w w:val="110"/>
        </w:rPr>
        <w:t>bloques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marco</w:t>
      </w:r>
      <w:r>
        <w:rPr>
          <w:color w:val="231F20"/>
          <w:spacing w:val="-5"/>
          <w:w w:val="110"/>
        </w:rPr>
        <w:t> </w:t>
      </w:r>
      <w:r>
        <w:rPr>
          <w:color w:val="231F20"/>
          <w:w w:val="110"/>
        </w:rPr>
        <w:t>de</w:t>
      </w:r>
      <w:r>
        <w:rPr>
          <w:color w:val="231F20"/>
          <w:spacing w:val="-5"/>
          <w:w w:val="110"/>
        </w:rPr>
        <w:t> </w:t>
      </w:r>
      <w:r>
        <w:rPr>
          <w:color w:val="231F20"/>
          <w:w w:val="110"/>
        </w:rPr>
        <w:t>un</w:t>
      </w:r>
      <w:r>
        <w:rPr>
          <w:color w:val="231F20"/>
          <w:spacing w:val="-5"/>
          <w:w w:val="110"/>
        </w:rPr>
        <w:t> </w:t>
      </w:r>
      <w:r>
        <w:rPr>
          <w:color w:val="231F20"/>
          <w:w w:val="110"/>
        </w:rPr>
        <w:t>capitalismo</w:t>
      </w:r>
      <w:r>
        <w:rPr>
          <w:color w:val="231F20"/>
          <w:spacing w:val="-5"/>
          <w:w w:val="110"/>
        </w:rPr>
        <w:t> </w:t>
      </w:r>
      <w:r>
        <w:rPr>
          <w:color w:val="231F20"/>
          <w:w w:val="110"/>
        </w:rPr>
        <w:t>que</w:t>
      </w:r>
      <w:r>
        <w:rPr>
          <w:color w:val="231F20"/>
          <w:spacing w:val="-5"/>
          <w:w w:val="110"/>
        </w:rPr>
        <w:t> </w:t>
      </w:r>
      <w:r>
        <w:rPr>
          <w:color w:val="231F20"/>
          <w:w w:val="110"/>
        </w:rPr>
        <w:t>tiene</w:t>
      </w:r>
      <w:r>
        <w:rPr>
          <w:color w:val="231F20"/>
          <w:spacing w:val="-5"/>
          <w:w w:val="110"/>
        </w:rPr>
        <w:t> </w:t>
      </w:r>
      <w:r>
        <w:rPr>
          <w:color w:val="231F20"/>
          <w:w w:val="110"/>
        </w:rPr>
        <w:t>nece- sidades crecientes y críticas de recursos y territorios; </w:t>
      </w:r>
      <w:r>
        <w:rPr>
          <w:i/>
          <w:color w:val="231F20"/>
          <w:w w:val="110"/>
        </w:rPr>
        <w:t>b</w:t>
      </w:r>
      <w:r>
        <w:rPr>
          <w:color w:val="231F20"/>
          <w:w w:val="110"/>
        </w:rPr>
        <w:t>] caracteriza</w:t>
      </w:r>
      <w:r>
        <w:rPr>
          <w:color w:val="231F20"/>
          <w:spacing w:val="-38"/>
          <w:w w:val="110"/>
        </w:rPr>
        <w:t> </w:t>
      </w:r>
      <w:r>
        <w:rPr>
          <w:color w:val="231F20"/>
          <w:w w:val="110"/>
        </w:rPr>
        <w:t>a América</w:t>
      </w:r>
      <w:r>
        <w:rPr>
          <w:color w:val="231F20"/>
          <w:spacing w:val="-5"/>
          <w:w w:val="110"/>
        </w:rPr>
        <w:t> </w:t>
      </w:r>
      <w:r>
        <w:rPr>
          <w:color w:val="231F20"/>
          <w:w w:val="110"/>
        </w:rPr>
        <w:t>Latina</w:t>
      </w:r>
      <w:r>
        <w:rPr>
          <w:color w:val="231F20"/>
          <w:spacing w:val="-5"/>
          <w:w w:val="110"/>
        </w:rPr>
        <w:t> </w:t>
      </w:r>
      <w:r>
        <w:rPr>
          <w:color w:val="231F20"/>
          <w:w w:val="110"/>
        </w:rPr>
        <w:t>como</w:t>
      </w:r>
      <w:r>
        <w:rPr>
          <w:color w:val="231F20"/>
          <w:spacing w:val="-5"/>
          <w:w w:val="110"/>
        </w:rPr>
        <w:t> </w:t>
      </w:r>
      <w:r>
        <w:rPr>
          <w:color w:val="231F20"/>
          <w:w w:val="110"/>
        </w:rPr>
        <w:t>una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áreas</w:t>
      </w:r>
      <w:r>
        <w:rPr>
          <w:color w:val="231F20"/>
          <w:spacing w:val="-5"/>
          <w:w w:val="110"/>
        </w:rPr>
        <w:t> </w:t>
      </w:r>
      <w:r>
        <w:rPr>
          <w:color w:val="231F20"/>
          <w:w w:val="110"/>
        </w:rPr>
        <w:t>del</w:t>
      </w:r>
      <w:r>
        <w:rPr>
          <w:color w:val="231F20"/>
          <w:spacing w:val="-5"/>
          <w:w w:val="110"/>
        </w:rPr>
        <w:t> </w:t>
      </w:r>
      <w:r>
        <w:rPr>
          <w:color w:val="231F20"/>
          <w:w w:val="110"/>
        </w:rPr>
        <w:t>mundo</w:t>
      </w:r>
      <w:r>
        <w:rPr>
          <w:color w:val="231F20"/>
          <w:spacing w:val="-5"/>
          <w:w w:val="110"/>
        </w:rPr>
        <w:t> </w:t>
      </w:r>
      <w:r>
        <w:rPr>
          <w:color w:val="231F20"/>
          <w:w w:val="110"/>
        </w:rPr>
        <w:t>con</w:t>
      </w:r>
      <w:r>
        <w:rPr>
          <w:color w:val="231F20"/>
          <w:spacing w:val="-5"/>
          <w:w w:val="110"/>
        </w:rPr>
        <w:t> </w:t>
      </w:r>
      <w:r>
        <w:rPr>
          <w:color w:val="231F20"/>
          <w:w w:val="110"/>
        </w:rPr>
        <w:t>mayor</w:t>
      </w:r>
      <w:r>
        <w:rPr>
          <w:color w:val="231F20"/>
          <w:spacing w:val="-5"/>
          <w:w w:val="110"/>
        </w:rPr>
        <w:t> </w:t>
      </w:r>
      <w:r>
        <w:rPr>
          <w:color w:val="231F20"/>
          <w:w w:val="110"/>
        </w:rPr>
        <w:t>riqueza en recursos estratégicos (petróleo, gas, biodiversidad, agua, minera- les, etc.); </w:t>
      </w:r>
      <w:r>
        <w:rPr>
          <w:i/>
          <w:color w:val="231F20"/>
          <w:w w:val="110"/>
        </w:rPr>
        <w:t>c</w:t>
      </w:r>
      <w:r>
        <w:rPr>
          <w:color w:val="231F20"/>
          <w:w w:val="110"/>
        </w:rPr>
        <w:t>] presenta el proyecto geopolítico de Estados Unidos</w:t>
      </w:r>
      <w:r>
        <w:rPr>
          <w:color w:val="231F20"/>
          <w:spacing w:val="-26"/>
          <w:w w:val="110"/>
        </w:rPr>
        <w:t> </w:t>
      </w:r>
      <w:r>
        <w:rPr>
          <w:color w:val="231F20"/>
          <w:w w:val="110"/>
        </w:rPr>
        <w:t>para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el siglo xxi en relación con Latinoamérica, diseñado desde fines de los</w:t>
      </w:r>
      <w:r>
        <w:rPr>
          <w:color w:val="231F20"/>
          <w:spacing w:val="-5"/>
          <w:w w:val="110"/>
        </w:rPr>
        <w:t> </w:t>
      </w:r>
      <w:r>
        <w:rPr>
          <w:color w:val="231F20"/>
          <w:w w:val="110"/>
        </w:rPr>
        <w:t>años</w:t>
      </w:r>
      <w:r>
        <w:rPr>
          <w:color w:val="231F20"/>
          <w:spacing w:val="-5"/>
          <w:w w:val="110"/>
        </w:rPr>
        <w:t> </w:t>
      </w:r>
      <w:r>
        <w:rPr>
          <w:color w:val="231F20"/>
          <w:w w:val="110"/>
        </w:rPr>
        <w:t>setenta</w:t>
      </w:r>
      <w:r>
        <w:rPr>
          <w:color w:val="231F20"/>
          <w:spacing w:val="-5"/>
          <w:w w:val="110"/>
        </w:rPr>
        <w:t> </w:t>
      </w:r>
      <w:r>
        <w:rPr>
          <w:color w:val="231F20"/>
          <w:w w:val="110"/>
        </w:rPr>
        <w:t>del</w:t>
      </w:r>
      <w:r>
        <w:rPr>
          <w:color w:val="231F20"/>
          <w:spacing w:val="-5"/>
          <w:w w:val="110"/>
        </w:rPr>
        <w:t> </w:t>
      </w:r>
      <w:r>
        <w:rPr>
          <w:color w:val="231F20"/>
          <w:w w:val="110"/>
        </w:rPr>
        <w:t>siglo</w:t>
      </w:r>
      <w:r>
        <w:rPr>
          <w:color w:val="231F20"/>
          <w:spacing w:val="-5"/>
          <w:w w:val="110"/>
        </w:rPr>
        <w:t> </w:t>
      </w:r>
      <w:r>
        <w:rPr>
          <w:color w:val="231F20"/>
          <w:w w:val="110"/>
        </w:rPr>
        <w:t>xx</w:t>
      </w:r>
      <w:r>
        <w:rPr>
          <w:color w:val="231F20"/>
          <w:spacing w:val="-5"/>
          <w:w w:val="110"/>
        </w:rPr>
        <w:t> </w:t>
      </w:r>
      <w:r>
        <w:rPr>
          <w:color w:val="231F20"/>
          <w:w w:val="110"/>
        </w:rPr>
        <w:t>para</w:t>
      </w:r>
      <w:r>
        <w:rPr>
          <w:color w:val="231F20"/>
          <w:spacing w:val="-5"/>
          <w:w w:val="110"/>
        </w:rPr>
        <w:t> </w:t>
      </w:r>
      <w:r>
        <w:rPr>
          <w:color w:val="231F20"/>
          <w:w w:val="110"/>
        </w:rPr>
        <w:t>“remontar”</w:t>
      </w:r>
      <w:r>
        <w:rPr>
          <w:color w:val="231F20"/>
          <w:spacing w:val="-5"/>
          <w:w w:val="110"/>
        </w:rPr>
        <w:t> </w:t>
      </w:r>
      <w:r>
        <w:rPr>
          <w:color w:val="231F20"/>
          <w:w w:val="110"/>
        </w:rPr>
        <w:t>su</w:t>
      </w:r>
      <w:r>
        <w:rPr>
          <w:color w:val="231F20"/>
          <w:spacing w:val="-5"/>
          <w:w w:val="110"/>
        </w:rPr>
        <w:t> </w:t>
      </w:r>
      <w:r>
        <w:rPr>
          <w:color w:val="231F20"/>
          <w:w w:val="110"/>
        </w:rPr>
        <w:t>crisis</w:t>
      </w:r>
      <w:r>
        <w:rPr>
          <w:color w:val="231F20"/>
          <w:spacing w:val="-5"/>
          <w:w w:val="110"/>
        </w:rPr>
        <w:t> </w:t>
      </w:r>
      <w:r>
        <w:rPr>
          <w:color w:val="231F20"/>
          <w:w w:val="110"/>
        </w:rPr>
        <w:t>de</w:t>
      </w:r>
      <w:r>
        <w:rPr>
          <w:color w:val="231F20"/>
          <w:spacing w:val="-5"/>
          <w:w w:val="110"/>
        </w:rPr>
        <w:t> </w:t>
      </w:r>
      <w:r>
        <w:rPr>
          <w:color w:val="231F20"/>
          <w:w w:val="110"/>
        </w:rPr>
        <w:t>hegemonía. Considera, además, cómo dicho proyecto hemisférico articuló</w:t>
      </w:r>
      <w:r>
        <w:rPr>
          <w:color w:val="231F20"/>
          <w:spacing w:val="-11"/>
          <w:w w:val="110"/>
        </w:rPr>
        <w:t> </w:t>
      </w:r>
      <w:r>
        <w:rPr>
          <w:color w:val="231F20"/>
          <w:w w:val="110"/>
        </w:rPr>
        <w:t>desde un inicio los acuerdos comerciales y económicos con los de seguri- dad, precisamente por tratarse de un proyecto   geopolítico.</w:t>
      </w:r>
    </w:p>
    <w:p>
      <w:pPr>
        <w:pStyle w:val="BodyText"/>
        <w:spacing w:line="261" w:lineRule="auto"/>
        <w:ind w:left="100" w:right="117" w:firstLine="240"/>
        <w:jc w:val="both"/>
      </w:pPr>
      <w:r>
        <w:rPr>
          <w:color w:val="231F20"/>
          <w:w w:val="110"/>
        </w:rPr>
        <w:t>Catalina </w:t>
      </w:r>
      <w:r>
        <w:rPr>
          <w:color w:val="231F20"/>
          <w:spacing w:val="-3"/>
          <w:w w:val="110"/>
        </w:rPr>
        <w:t>Toro </w:t>
      </w:r>
      <w:r>
        <w:rPr>
          <w:color w:val="231F20"/>
          <w:w w:val="110"/>
        </w:rPr>
        <w:t>Pérez, profesora asistente del Departamento de Ciencia Política de la Universidad Nacional de Colombia, en su ca- pítulo “La política exterior norteamericana para la América Andina en la transición republicano-demócrata. Continuidades y disconti- nuidades”, se plantea la interrogante sobre las posibilidades de una agenda</w:t>
      </w:r>
      <w:r>
        <w:rPr>
          <w:color w:val="231F20"/>
          <w:spacing w:val="-19"/>
          <w:w w:val="110"/>
        </w:rPr>
        <w:t> </w:t>
      </w:r>
      <w:r>
        <w:rPr>
          <w:color w:val="231F20"/>
          <w:w w:val="110"/>
        </w:rPr>
        <w:t>estadunidense</w:t>
      </w:r>
      <w:r>
        <w:rPr>
          <w:color w:val="231F20"/>
          <w:spacing w:val="-19"/>
          <w:w w:val="110"/>
        </w:rPr>
        <w:t> </w:t>
      </w:r>
      <w:r>
        <w:rPr>
          <w:color w:val="231F20"/>
          <w:w w:val="110"/>
        </w:rPr>
        <w:t>alternativa</w:t>
      </w:r>
      <w:r>
        <w:rPr>
          <w:color w:val="231F20"/>
          <w:spacing w:val="-19"/>
          <w:w w:val="110"/>
        </w:rPr>
        <w:t> </w:t>
      </w:r>
      <w:r>
        <w:rPr>
          <w:color w:val="231F20"/>
          <w:w w:val="110"/>
        </w:rPr>
        <w:t>hacia</w:t>
      </w:r>
      <w:r>
        <w:rPr>
          <w:color w:val="231F20"/>
          <w:spacing w:val="-19"/>
          <w:w w:val="110"/>
        </w:rPr>
        <w:t> </w:t>
      </w:r>
      <w:r>
        <w:rPr>
          <w:color w:val="231F20"/>
          <w:w w:val="110"/>
        </w:rPr>
        <w:t>la</w:t>
      </w:r>
      <w:r>
        <w:rPr>
          <w:color w:val="231F20"/>
          <w:spacing w:val="-19"/>
          <w:w w:val="110"/>
        </w:rPr>
        <w:t> </w:t>
      </w:r>
      <w:r>
        <w:rPr>
          <w:color w:val="231F20"/>
          <w:w w:val="110"/>
        </w:rPr>
        <w:t>América</w:t>
      </w:r>
      <w:r>
        <w:rPr>
          <w:color w:val="231F20"/>
          <w:spacing w:val="-19"/>
          <w:w w:val="110"/>
        </w:rPr>
        <w:t> </w:t>
      </w:r>
      <w:r>
        <w:rPr>
          <w:color w:val="231F20"/>
          <w:w w:val="110"/>
        </w:rPr>
        <w:t>Andina</w:t>
      </w:r>
      <w:r>
        <w:rPr>
          <w:color w:val="231F20"/>
          <w:spacing w:val="-19"/>
          <w:w w:val="110"/>
        </w:rPr>
        <w:t> </w:t>
      </w:r>
      <w:r>
        <w:rPr>
          <w:color w:val="231F20"/>
          <w:w w:val="110"/>
        </w:rPr>
        <w:t>y</w:t>
      </w:r>
      <w:r>
        <w:rPr>
          <w:color w:val="231F20"/>
          <w:spacing w:val="-19"/>
          <w:w w:val="110"/>
        </w:rPr>
        <w:t> </w:t>
      </w:r>
      <w:r>
        <w:rPr>
          <w:color w:val="231F20"/>
          <w:w w:val="110"/>
        </w:rPr>
        <w:t>el</w:t>
      </w:r>
      <w:r>
        <w:rPr>
          <w:color w:val="231F20"/>
          <w:spacing w:val="-19"/>
          <w:w w:val="110"/>
        </w:rPr>
        <w:t> </w:t>
      </w:r>
      <w:r>
        <w:rPr>
          <w:color w:val="231F20"/>
          <w:w w:val="110"/>
        </w:rPr>
        <w:t>Caribe en el ámbito de la transición del gobierno republicano-demócrata en Estados Unidos. Parte de considerar que el proyecto de hegemonía </w:t>
      </w:r>
      <w:r>
        <w:rPr>
          <w:color w:val="231F20"/>
          <w:spacing w:val="-3"/>
          <w:w w:val="110"/>
        </w:rPr>
        <w:t>militar, </w:t>
      </w:r>
      <w:r>
        <w:rPr>
          <w:color w:val="231F20"/>
          <w:w w:val="110"/>
        </w:rPr>
        <w:t>económica y comercial estadunidense en América Latina no está siendo cuestionado. Si bien existen nuevas e importantes trans- formaciones en las agendas domésticas internas que se expresan en los reclamos de los sectores sociales en Estados Unidos por el desa- rrollo</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nueva</w:t>
      </w:r>
      <w:r>
        <w:rPr>
          <w:color w:val="231F20"/>
          <w:spacing w:val="-5"/>
          <w:w w:val="110"/>
        </w:rPr>
        <w:t> </w:t>
      </w:r>
      <w:r>
        <w:rPr>
          <w:color w:val="231F20"/>
          <w:w w:val="110"/>
        </w:rPr>
        <w:t>agenda</w:t>
      </w:r>
      <w:r>
        <w:rPr>
          <w:color w:val="231F20"/>
          <w:spacing w:val="-5"/>
          <w:w w:val="110"/>
        </w:rPr>
        <w:t> </w:t>
      </w:r>
      <w:r>
        <w:rPr>
          <w:color w:val="231F20"/>
          <w:w w:val="110"/>
        </w:rPr>
        <w:t>económica</w:t>
      </w:r>
      <w:r>
        <w:rPr>
          <w:color w:val="231F20"/>
          <w:spacing w:val="-5"/>
          <w:w w:val="110"/>
        </w:rPr>
        <w:t> </w:t>
      </w:r>
      <w:r>
        <w:rPr>
          <w:color w:val="231F20"/>
          <w:w w:val="110"/>
        </w:rPr>
        <w:t>y</w:t>
      </w:r>
      <w:r>
        <w:rPr>
          <w:color w:val="231F20"/>
          <w:spacing w:val="-5"/>
          <w:w w:val="110"/>
        </w:rPr>
        <w:t> </w:t>
      </w:r>
      <w:r>
        <w:rPr>
          <w:color w:val="231F20"/>
          <w:w w:val="110"/>
        </w:rPr>
        <w:t>social</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necesidad</w:t>
      </w:r>
      <w:r>
        <w:rPr>
          <w:color w:val="231F20"/>
          <w:spacing w:val="-5"/>
          <w:w w:val="110"/>
        </w:rPr>
        <w:t> </w:t>
      </w:r>
      <w:r>
        <w:rPr>
          <w:color w:val="231F20"/>
          <w:w w:val="110"/>
        </w:rPr>
        <w:t>de</w:t>
      </w:r>
      <w:r>
        <w:rPr>
          <w:color w:val="231F20"/>
          <w:spacing w:val="-5"/>
          <w:w w:val="110"/>
        </w:rPr>
        <w:t> </w:t>
      </w:r>
      <w:r>
        <w:rPr>
          <w:color w:val="231F20"/>
          <w:w w:val="110"/>
        </w:rPr>
        <w:t>una transformación</w:t>
      </w:r>
      <w:r>
        <w:rPr>
          <w:color w:val="231F20"/>
          <w:spacing w:val="-10"/>
          <w:w w:val="110"/>
        </w:rPr>
        <w:t> </w:t>
      </w:r>
      <w:r>
        <w:rPr>
          <w:color w:val="231F20"/>
          <w:w w:val="110"/>
        </w:rPr>
        <w:t>profunda</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relaciones</w:t>
      </w:r>
      <w:r>
        <w:rPr>
          <w:color w:val="231F20"/>
          <w:spacing w:val="-10"/>
          <w:w w:val="110"/>
        </w:rPr>
        <w:t> </w:t>
      </w:r>
      <w:r>
        <w:rPr>
          <w:color w:val="231F20"/>
          <w:w w:val="110"/>
        </w:rPr>
        <w:t>internacionales,</w:t>
      </w:r>
      <w:r>
        <w:rPr>
          <w:color w:val="231F20"/>
          <w:spacing w:val="-10"/>
          <w:w w:val="110"/>
        </w:rPr>
        <w:t> </w:t>
      </w:r>
      <w:r>
        <w:rPr>
          <w:color w:val="231F20"/>
          <w:w w:val="110"/>
        </w:rPr>
        <w:t>la</w:t>
      </w:r>
      <w:r>
        <w:rPr>
          <w:color w:val="231F20"/>
          <w:spacing w:val="-10"/>
          <w:w w:val="110"/>
        </w:rPr>
        <w:t> </w:t>
      </w:r>
      <w:r>
        <w:rPr>
          <w:color w:val="231F20"/>
          <w:w w:val="110"/>
        </w:rPr>
        <w:t>política exterior hacia Latinoamérica continúa orientándose a partir de las agendas</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hemisférica</w:t>
      </w:r>
      <w:r>
        <w:rPr>
          <w:color w:val="231F20"/>
          <w:spacing w:val="-8"/>
          <w:w w:val="110"/>
        </w:rPr>
        <w:t> </w:t>
      </w:r>
      <w:r>
        <w:rPr>
          <w:color w:val="231F20"/>
          <w:w w:val="110"/>
        </w:rPr>
        <w:t>y</w:t>
      </w:r>
      <w:r>
        <w:rPr>
          <w:color w:val="231F20"/>
          <w:spacing w:val="-8"/>
          <w:w w:val="110"/>
        </w:rPr>
        <w:t> </w:t>
      </w:r>
      <w:r>
        <w:rPr>
          <w:color w:val="231F20"/>
          <w:w w:val="110"/>
        </w:rPr>
        <w:t>libre</w:t>
      </w:r>
      <w:r>
        <w:rPr>
          <w:color w:val="231F20"/>
          <w:spacing w:val="-8"/>
          <w:w w:val="110"/>
        </w:rPr>
        <w:t> </w:t>
      </w:r>
      <w:r>
        <w:rPr>
          <w:color w:val="231F20"/>
          <w:w w:val="110"/>
        </w:rPr>
        <w:t>comercio.</w:t>
      </w:r>
      <w:r>
        <w:rPr>
          <w:color w:val="231F20"/>
          <w:spacing w:val="-8"/>
          <w:w w:val="110"/>
        </w:rPr>
        <w:t> </w:t>
      </w:r>
      <w:r>
        <w:rPr>
          <w:color w:val="231F20"/>
          <w:w w:val="110"/>
        </w:rPr>
        <w:t>La</w:t>
      </w:r>
      <w:r>
        <w:rPr>
          <w:color w:val="231F20"/>
          <w:spacing w:val="-8"/>
          <w:w w:val="110"/>
        </w:rPr>
        <w:t> </w:t>
      </w:r>
      <w:r>
        <w:rPr>
          <w:color w:val="231F20"/>
          <w:w w:val="110"/>
        </w:rPr>
        <w:t>autora</w:t>
      </w:r>
      <w:r>
        <w:rPr>
          <w:color w:val="231F20"/>
          <w:spacing w:val="-8"/>
          <w:w w:val="110"/>
        </w:rPr>
        <w:t> </w:t>
      </w:r>
      <w:r>
        <w:rPr>
          <w:color w:val="231F20"/>
          <w:w w:val="110"/>
        </w:rPr>
        <w:t>intenta mostrar cómo estos dos grandes componentes de la política exterior se conjugan a lo largo de los gobiernos republicanos y demócratas desde los años cincuenta. Argumenta que las principales fuerzas po- líticas en el contexto de la confrontación electoral por la presidencia de Estados Unidos (2008) contribuyeron a legitimar estas agendas para asegurar la propiedad y el control de los recursos estratégicos en</w:t>
      </w:r>
      <w:r>
        <w:rPr>
          <w:color w:val="231F20"/>
          <w:spacing w:val="-10"/>
          <w:w w:val="110"/>
        </w:rPr>
        <w:t> </w:t>
      </w:r>
      <w:r>
        <w:rPr>
          <w:color w:val="231F20"/>
          <w:w w:val="110"/>
        </w:rPr>
        <w:t>la</w:t>
      </w:r>
      <w:r>
        <w:rPr>
          <w:color w:val="231F20"/>
          <w:spacing w:val="-10"/>
          <w:w w:val="110"/>
        </w:rPr>
        <w:t> </w:t>
      </w:r>
      <w:r>
        <w:rPr>
          <w:color w:val="231F20"/>
          <w:w w:val="110"/>
        </w:rPr>
        <w:t>América</w:t>
      </w:r>
      <w:r>
        <w:rPr>
          <w:color w:val="231F20"/>
          <w:spacing w:val="-10"/>
          <w:w w:val="110"/>
        </w:rPr>
        <w:t> </w:t>
      </w:r>
      <w:r>
        <w:rPr>
          <w:color w:val="231F20"/>
          <w:w w:val="110"/>
        </w:rPr>
        <w:t>Andina</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Caribe,</w:t>
      </w:r>
      <w:r>
        <w:rPr>
          <w:color w:val="231F20"/>
          <w:spacing w:val="-10"/>
          <w:w w:val="110"/>
        </w:rPr>
        <w:t> </w:t>
      </w:r>
      <w:r>
        <w:rPr>
          <w:color w:val="231F20"/>
          <w:w w:val="110"/>
        </w:rPr>
        <w:t>claves</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estructura</w:t>
      </w:r>
      <w:r>
        <w:rPr>
          <w:color w:val="231F20"/>
          <w:spacing w:val="-10"/>
          <w:w w:val="110"/>
        </w:rPr>
        <w:t> </w:t>
      </w:r>
      <w:r>
        <w:rPr>
          <w:color w:val="231F20"/>
          <w:w w:val="110"/>
        </w:rPr>
        <w:t>imperialista mundial, fortaleciendo sus vínculos con Colombia, principalmente como estrategia de contención de la avanzada de los denominados “gobiernos progresistas” de la</w:t>
      </w:r>
      <w:r>
        <w:rPr>
          <w:color w:val="231F20"/>
          <w:spacing w:val="-14"/>
          <w:w w:val="110"/>
        </w:rPr>
        <w:t> </w:t>
      </w:r>
      <w:r>
        <w:rPr>
          <w:color w:val="231F20"/>
          <w:w w:val="110"/>
        </w:rPr>
        <w:t>región.</w:t>
      </w:r>
    </w:p>
    <w:p>
      <w:pPr>
        <w:pStyle w:val="BodyText"/>
        <w:spacing w:line="261" w:lineRule="auto"/>
        <w:ind w:left="100" w:right="117" w:firstLine="240"/>
        <w:jc w:val="both"/>
      </w:pPr>
      <w:r>
        <w:rPr>
          <w:color w:val="231F20"/>
          <w:w w:val="110"/>
        </w:rPr>
        <w:t>Finalmente,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capítulo</w:t>
      </w:r>
      <w:r>
        <w:rPr>
          <w:color w:val="231F20"/>
          <w:spacing w:val="-9"/>
          <w:w w:val="110"/>
        </w:rPr>
        <w:t> </w:t>
      </w:r>
      <w:r>
        <w:rPr>
          <w:color w:val="231F20"/>
          <w:w w:val="110"/>
        </w:rPr>
        <w:t>“Seguridad</w:t>
      </w:r>
      <w:r>
        <w:rPr>
          <w:color w:val="231F20"/>
          <w:spacing w:val="-9"/>
          <w:w w:val="110"/>
        </w:rPr>
        <w:t> </w:t>
      </w:r>
      <w:r>
        <w:rPr>
          <w:color w:val="231F20"/>
          <w:w w:val="110"/>
        </w:rPr>
        <w:t>nacional,</w:t>
      </w:r>
      <w:r>
        <w:rPr>
          <w:color w:val="231F20"/>
          <w:spacing w:val="-9"/>
          <w:w w:val="110"/>
        </w:rPr>
        <w:t> </w:t>
      </w:r>
      <w:r>
        <w:rPr>
          <w:color w:val="231F20"/>
          <w:w w:val="110"/>
        </w:rPr>
        <w:t>recursos</w:t>
      </w:r>
      <w:r>
        <w:rPr>
          <w:color w:val="231F20"/>
          <w:spacing w:val="-9"/>
          <w:w w:val="110"/>
        </w:rPr>
        <w:t> </w:t>
      </w:r>
      <w:r>
        <w:rPr>
          <w:color w:val="231F20"/>
          <w:w w:val="110"/>
        </w:rPr>
        <w:t>naturales y dependencia estadunidense. Minerales estratégicos en la agenda Estados</w:t>
      </w:r>
      <w:r>
        <w:rPr>
          <w:color w:val="231F20"/>
          <w:spacing w:val="-17"/>
          <w:w w:val="110"/>
        </w:rPr>
        <w:t> </w:t>
      </w:r>
      <w:r>
        <w:rPr>
          <w:color w:val="231F20"/>
          <w:w w:val="110"/>
        </w:rPr>
        <w:t>Unidos-América</w:t>
      </w:r>
      <w:r>
        <w:rPr>
          <w:color w:val="231F20"/>
          <w:spacing w:val="-17"/>
          <w:w w:val="110"/>
        </w:rPr>
        <w:t> </w:t>
      </w:r>
      <w:r>
        <w:rPr>
          <w:color w:val="231F20"/>
          <w:w w:val="110"/>
        </w:rPr>
        <w:t>Latina”,</w:t>
      </w:r>
      <w:r>
        <w:rPr>
          <w:color w:val="231F20"/>
          <w:spacing w:val="-17"/>
          <w:w w:val="110"/>
        </w:rPr>
        <w:t> </w:t>
      </w:r>
      <w:r>
        <w:rPr>
          <w:color w:val="231F20"/>
          <w:w w:val="110"/>
        </w:rPr>
        <w:t>Gian</w:t>
      </w:r>
      <w:r>
        <w:rPr>
          <w:color w:val="231F20"/>
          <w:spacing w:val="-17"/>
          <w:w w:val="110"/>
        </w:rPr>
        <w:t> </w:t>
      </w:r>
      <w:r>
        <w:rPr>
          <w:color w:val="231F20"/>
          <w:w w:val="110"/>
        </w:rPr>
        <w:t>Carlo</w:t>
      </w:r>
      <w:r>
        <w:rPr>
          <w:color w:val="231F20"/>
          <w:spacing w:val="-17"/>
          <w:w w:val="110"/>
        </w:rPr>
        <w:t> </w:t>
      </w:r>
      <w:r>
        <w:rPr>
          <w:color w:val="231F20"/>
          <w:w w:val="110"/>
        </w:rPr>
        <w:t>Delgado</w:t>
      </w:r>
      <w:r>
        <w:rPr>
          <w:color w:val="231F20"/>
          <w:spacing w:val="-17"/>
          <w:w w:val="110"/>
        </w:rPr>
        <w:t> </w:t>
      </w:r>
      <w:r>
        <w:rPr>
          <w:color w:val="231F20"/>
          <w:w w:val="110"/>
        </w:rPr>
        <w:t>Ramos,</w:t>
      </w:r>
      <w:r>
        <w:rPr>
          <w:color w:val="231F20"/>
          <w:spacing w:val="-17"/>
          <w:w w:val="110"/>
        </w:rPr>
        <w:t> </w:t>
      </w:r>
      <w:r>
        <w:rPr>
          <w:color w:val="231F20"/>
          <w:w w:val="110"/>
        </w:rPr>
        <w:t>profe- sor investigador del Centro de Investigaciones Interdisciplinarias en Ciencias y Humanidades de la Universidad Nacional Autónoma de México, sostiene que la creciente dificultad para acceder a recursos naturales,</w:t>
      </w:r>
      <w:r>
        <w:rPr>
          <w:color w:val="231F20"/>
          <w:spacing w:val="-15"/>
          <w:w w:val="110"/>
        </w:rPr>
        <w:t> </w:t>
      </w:r>
      <w:r>
        <w:rPr>
          <w:color w:val="231F20"/>
          <w:w w:val="110"/>
        </w:rPr>
        <w:t>debida</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erosión</w:t>
      </w:r>
      <w:r>
        <w:rPr>
          <w:color w:val="231F20"/>
          <w:spacing w:val="-15"/>
          <w:w w:val="110"/>
        </w:rPr>
        <w:t> </w:t>
      </w:r>
      <w:r>
        <w:rPr>
          <w:color w:val="231F20"/>
          <w:w w:val="110"/>
        </w:rPr>
        <w:t>cada</w:t>
      </w:r>
      <w:r>
        <w:rPr>
          <w:color w:val="231F20"/>
          <w:spacing w:val="-15"/>
          <w:w w:val="110"/>
        </w:rPr>
        <w:t> </w:t>
      </w:r>
      <w:r>
        <w:rPr>
          <w:color w:val="231F20"/>
          <w:w w:val="110"/>
        </w:rPr>
        <w:t>vez</w:t>
      </w:r>
      <w:r>
        <w:rPr>
          <w:color w:val="231F20"/>
          <w:spacing w:val="-15"/>
          <w:w w:val="110"/>
        </w:rPr>
        <w:t> </w:t>
      </w:r>
      <w:r>
        <w:rPr>
          <w:color w:val="231F20"/>
          <w:w w:val="110"/>
        </w:rPr>
        <w:t>más</w:t>
      </w:r>
      <w:r>
        <w:rPr>
          <w:color w:val="231F20"/>
          <w:spacing w:val="-15"/>
          <w:w w:val="110"/>
        </w:rPr>
        <w:t> </w:t>
      </w:r>
      <w:r>
        <w:rPr>
          <w:color w:val="231F20"/>
          <w:w w:val="110"/>
        </w:rPr>
        <w:t>aguda</w:t>
      </w:r>
      <w:r>
        <w:rPr>
          <w:color w:val="231F20"/>
          <w:spacing w:val="-15"/>
          <w:w w:val="110"/>
        </w:rPr>
        <w:t> </w:t>
      </w:r>
      <w:r>
        <w:rPr>
          <w:color w:val="231F20"/>
          <w:w w:val="110"/>
        </w:rPr>
        <w:t>del</w:t>
      </w:r>
      <w:r>
        <w:rPr>
          <w:color w:val="231F20"/>
          <w:spacing w:val="-15"/>
          <w:w w:val="110"/>
        </w:rPr>
        <w:t> </w:t>
      </w:r>
      <w:r>
        <w:rPr>
          <w:color w:val="231F20"/>
          <w:w w:val="110"/>
        </w:rPr>
        <w:t>medio</w:t>
      </w:r>
      <w:r>
        <w:rPr>
          <w:color w:val="231F20"/>
          <w:spacing w:val="-15"/>
          <w:w w:val="110"/>
        </w:rPr>
        <w:t> </w:t>
      </w:r>
      <w:r>
        <w:rPr>
          <w:color w:val="231F20"/>
          <w:w w:val="110"/>
        </w:rPr>
        <w:t>ambiente y</w:t>
      </w:r>
      <w:r>
        <w:rPr>
          <w:color w:val="231F20"/>
          <w:spacing w:val="-9"/>
          <w:w w:val="110"/>
        </w:rPr>
        <w:t> </w:t>
      </w:r>
      <w:r>
        <w:rPr>
          <w:color w:val="231F20"/>
          <w:w w:val="110"/>
        </w:rPr>
        <w:t>a</w:t>
      </w:r>
      <w:r>
        <w:rPr>
          <w:color w:val="231F20"/>
          <w:spacing w:val="-9"/>
          <w:w w:val="110"/>
        </w:rPr>
        <w:t> </w:t>
      </w:r>
      <w:r>
        <w:rPr>
          <w:color w:val="231F20"/>
          <w:w w:val="110"/>
        </w:rPr>
        <w:t>su</w:t>
      </w:r>
      <w:r>
        <w:rPr>
          <w:color w:val="231F20"/>
          <w:spacing w:val="-9"/>
          <w:w w:val="110"/>
        </w:rPr>
        <w:t> </w:t>
      </w:r>
      <w:r>
        <w:rPr>
          <w:color w:val="231F20"/>
          <w:w w:val="110"/>
        </w:rPr>
        <w:t>sinergia</w:t>
      </w:r>
      <w:r>
        <w:rPr>
          <w:color w:val="231F20"/>
          <w:spacing w:val="-9"/>
          <w:w w:val="110"/>
        </w:rPr>
        <w:t> </w:t>
      </w:r>
      <w:r>
        <w:rPr>
          <w:color w:val="231F20"/>
          <w:w w:val="110"/>
        </w:rPr>
        <w:t>con</w:t>
      </w:r>
      <w:r>
        <w:rPr>
          <w:color w:val="231F20"/>
          <w:spacing w:val="-9"/>
          <w:w w:val="110"/>
        </w:rPr>
        <w:t> </w:t>
      </w:r>
      <w:r>
        <w:rPr>
          <w:color w:val="231F20"/>
          <w:w w:val="110"/>
        </w:rPr>
        <w:t>fenómenos</w:t>
      </w:r>
      <w:r>
        <w:rPr>
          <w:color w:val="231F20"/>
          <w:spacing w:val="-9"/>
          <w:w w:val="110"/>
        </w:rPr>
        <w:t> </w:t>
      </w:r>
      <w:r>
        <w:rPr>
          <w:color w:val="231F20"/>
          <w:w w:val="110"/>
        </w:rPr>
        <w:t>como</w:t>
      </w:r>
      <w:r>
        <w:rPr>
          <w:color w:val="231F20"/>
          <w:spacing w:val="-9"/>
          <w:w w:val="110"/>
        </w:rPr>
        <w:t> </w:t>
      </w:r>
      <w:r>
        <w:rPr>
          <w:color w:val="231F20"/>
          <w:w w:val="110"/>
        </w:rPr>
        <w:t>el</w:t>
      </w:r>
      <w:r>
        <w:rPr>
          <w:color w:val="231F20"/>
          <w:spacing w:val="-9"/>
          <w:w w:val="110"/>
        </w:rPr>
        <w:t> </w:t>
      </w:r>
      <w:r>
        <w:rPr>
          <w:color w:val="231F20"/>
          <w:w w:val="110"/>
        </w:rPr>
        <w:t>cambio</w:t>
      </w:r>
      <w:r>
        <w:rPr>
          <w:color w:val="231F20"/>
          <w:spacing w:val="-9"/>
          <w:w w:val="110"/>
        </w:rPr>
        <w:t> </w:t>
      </w:r>
      <w:r>
        <w:rPr>
          <w:color w:val="231F20"/>
          <w:w w:val="110"/>
        </w:rPr>
        <w:t>climático,</w:t>
      </w:r>
      <w:r>
        <w:rPr>
          <w:color w:val="231F20"/>
          <w:spacing w:val="-9"/>
          <w:w w:val="110"/>
        </w:rPr>
        <w:t> </w:t>
      </w:r>
      <w:r>
        <w:rPr>
          <w:color w:val="231F20"/>
          <w:w w:val="110"/>
        </w:rPr>
        <w:t>entre</w:t>
      </w:r>
      <w:r>
        <w:rPr>
          <w:color w:val="231F20"/>
          <w:spacing w:val="-9"/>
          <w:w w:val="110"/>
        </w:rPr>
        <w:t> </w:t>
      </w:r>
      <w:r>
        <w:rPr>
          <w:color w:val="231F20"/>
          <w:w w:val="110"/>
        </w:rPr>
        <w:t>otros,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pero</w:t>
      </w:r>
      <w:r>
        <w:rPr>
          <w:color w:val="231F20"/>
          <w:spacing w:val="-12"/>
          <w:w w:val="110"/>
        </w:rPr>
        <w:t> </w:t>
      </w:r>
      <w:r>
        <w:rPr>
          <w:color w:val="231F20"/>
          <w:w w:val="110"/>
        </w:rPr>
        <w:t>sobre</w:t>
      </w:r>
      <w:r>
        <w:rPr>
          <w:color w:val="231F20"/>
          <w:spacing w:val="-12"/>
          <w:w w:val="110"/>
        </w:rPr>
        <w:t> </w:t>
      </w:r>
      <w:r>
        <w:rPr>
          <w:color w:val="231F20"/>
          <w:w w:val="110"/>
        </w:rPr>
        <w:t>todo</w:t>
      </w:r>
      <w:r>
        <w:rPr>
          <w:color w:val="231F20"/>
          <w:spacing w:val="-12"/>
          <w:w w:val="110"/>
        </w:rPr>
        <w:t> </w:t>
      </w:r>
      <w:r>
        <w:rPr>
          <w:color w:val="231F20"/>
          <w:w w:val="110"/>
        </w:rPr>
        <w:t>como</w:t>
      </w:r>
      <w:r>
        <w:rPr>
          <w:color w:val="231F20"/>
          <w:spacing w:val="-12"/>
          <w:w w:val="110"/>
        </w:rPr>
        <w:t> </w:t>
      </w:r>
      <w:r>
        <w:rPr>
          <w:color w:val="231F20"/>
          <w:w w:val="110"/>
        </w:rPr>
        <w:t>consecuencia</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actuales</w:t>
      </w:r>
      <w:r>
        <w:rPr>
          <w:color w:val="231F20"/>
          <w:spacing w:val="-12"/>
          <w:w w:val="110"/>
        </w:rPr>
        <w:t> </w:t>
      </w:r>
      <w:r>
        <w:rPr>
          <w:color w:val="231F20"/>
          <w:w w:val="110"/>
        </w:rPr>
        <w:t>patrones</w:t>
      </w:r>
      <w:r>
        <w:rPr>
          <w:color w:val="231F20"/>
          <w:spacing w:val="-12"/>
          <w:w w:val="110"/>
        </w:rPr>
        <w:t> </w:t>
      </w:r>
      <w:r>
        <w:rPr>
          <w:color w:val="231F20"/>
          <w:w w:val="110"/>
        </w:rPr>
        <w:t>despilfa- rradores</w:t>
      </w:r>
      <w:r>
        <w:rPr>
          <w:color w:val="231F20"/>
          <w:spacing w:val="-9"/>
          <w:w w:val="110"/>
        </w:rPr>
        <w:t> </w:t>
      </w:r>
      <w:r>
        <w:rPr>
          <w:color w:val="231F20"/>
          <w:w w:val="110"/>
        </w:rPr>
        <w:t>de</w:t>
      </w:r>
      <w:r>
        <w:rPr>
          <w:color w:val="231F20"/>
          <w:spacing w:val="-9"/>
          <w:w w:val="110"/>
        </w:rPr>
        <w:t> </w:t>
      </w:r>
      <w:r>
        <w:rPr>
          <w:color w:val="231F20"/>
          <w:w w:val="110"/>
        </w:rPr>
        <w:t>consumo</w:t>
      </w:r>
      <w:r>
        <w:rPr>
          <w:color w:val="231F20"/>
          <w:spacing w:val="-9"/>
          <w:w w:val="110"/>
        </w:rPr>
        <w:t> </w:t>
      </w:r>
      <w:r>
        <w:rPr>
          <w:color w:val="231F20"/>
          <w:w w:val="110"/>
        </w:rPr>
        <w:t>por</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principales</w:t>
      </w:r>
      <w:r>
        <w:rPr>
          <w:color w:val="231F20"/>
          <w:spacing w:val="-9"/>
          <w:w w:val="110"/>
        </w:rPr>
        <w:t> </w:t>
      </w:r>
      <w:r>
        <w:rPr>
          <w:color w:val="231F20"/>
          <w:w w:val="110"/>
        </w:rPr>
        <w:t>economías</w:t>
      </w:r>
      <w:r>
        <w:rPr>
          <w:color w:val="231F20"/>
          <w:spacing w:val="-9"/>
          <w:w w:val="110"/>
        </w:rPr>
        <w:t> </w:t>
      </w:r>
      <w:r>
        <w:rPr>
          <w:color w:val="231F20"/>
          <w:w w:val="110"/>
        </w:rPr>
        <w:t>del</w:t>
      </w:r>
      <w:r>
        <w:rPr>
          <w:color w:val="231F20"/>
          <w:spacing w:val="-9"/>
          <w:w w:val="110"/>
        </w:rPr>
        <w:t> </w:t>
      </w:r>
      <w:r>
        <w:rPr>
          <w:color w:val="231F20"/>
          <w:w w:val="110"/>
        </w:rPr>
        <w:t>orbe, ha</w:t>
      </w:r>
      <w:r>
        <w:rPr>
          <w:color w:val="231F20"/>
          <w:spacing w:val="-8"/>
          <w:w w:val="110"/>
        </w:rPr>
        <w:t> </w:t>
      </w:r>
      <w:r>
        <w:rPr>
          <w:color w:val="231F20"/>
          <w:w w:val="110"/>
        </w:rPr>
        <w:t>puesto</w:t>
      </w:r>
      <w:r>
        <w:rPr>
          <w:color w:val="231F20"/>
          <w:spacing w:val="-8"/>
          <w:w w:val="110"/>
        </w:rPr>
        <w:t> </w:t>
      </w:r>
      <w:r>
        <w:rPr>
          <w:color w:val="231F20"/>
          <w:w w:val="110"/>
        </w:rPr>
        <w:t>sobre</w:t>
      </w:r>
      <w:r>
        <w:rPr>
          <w:color w:val="231F20"/>
          <w:spacing w:val="-8"/>
          <w:w w:val="110"/>
        </w:rPr>
        <w:t> </w:t>
      </w:r>
      <w:r>
        <w:rPr>
          <w:color w:val="231F20"/>
          <w:w w:val="110"/>
        </w:rPr>
        <w:t>la</w:t>
      </w:r>
      <w:r>
        <w:rPr>
          <w:color w:val="231F20"/>
          <w:spacing w:val="-8"/>
          <w:w w:val="110"/>
        </w:rPr>
        <w:t> </w:t>
      </w:r>
      <w:r>
        <w:rPr>
          <w:color w:val="231F20"/>
          <w:w w:val="110"/>
        </w:rPr>
        <w:t>mesa</w:t>
      </w:r>
      <w:r>
        <w:rPr>
          <w:color w:val="231F20"/>
          <w:spacing w:val="-8"/>
          <w:w w:val="110"/>
        </w:rPr>
        <w:t> </w:t>
      </w:r>
      <w:r>
        <w:rPr>
          <w:color w:val="231F20"/>
          <w:w w:val="110"/>
        </w:rPr>
        <w:t>de</w:t>
      </w:r>
      <w:r>
        <w:rPr>
          <w:color w:val="231F20"/>
          <w:spacing w:val="-8"/>
          <w:w w:val="110"/>
        </w:rPr>
        <w:t> </w:t>
      </w:r>
      <w:r>
        <w:rPr>
          <w:color w:val="231F20"/>
          <w:w w:val="110"/>
        </w:rPr>
        <w:t>discusión</w:t>
      </w:r>
      <w:r>
        <w:rPr>
          <w:color w:val="231F20"/>
          <w:spacing w:val="-8"/>
          <w:w w:val="110"/>
        </w:rPr>
        <w:t> </w:t>
      </w:r>
      <w:r>
        <w:rPr>
          <w:color w:val="231F20"/>
          <w:w w:val="110"/>
        </w:rPr>
        <w:t>la</w:t>
      </w:r>
      <w:r>
        <w:rPr>
          <w:color w:val="231F20"/>
          <w:spacing w:val="-8"/>
          <w:w w:val="110"/>
        </w:rPr>
        <w:t> </w:t>
      </w:r>
      <w:r>
        <w:rPr>
          <w:color w:val="231F20"/>
          <w:w w:val="110"/>
        </w:rPr>
        <w:t>vinculación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seguridad</w:t>
      </w:r>
      <w:r>
        <w:rPr>
          <w:color w:val="231F20"/>
          <w:spacing w:val="-8"/>
          <w:w w:val="110"/>
        </w:rPr>
        <w:t> </w:t>
      </w:r>
      <w:r>
        <w:rPr>
          <w:color w:val="231F20"/>
          <w:w w:val="110"/>
        </w:rPr>
        <w:t>y el acceso, uso y usufructo de los recursos naturales. Las nociones</w:t>
      </w:r>
      <w:r>
        <w:rPr>
          <w:color w:val="231F20"/>
          <w:spacing w:val="-11"/>
          <w:w w:val="110"/>
        </w:rPr>
        <w:t> </w:t>
      </w:r>
      <w:r>
        <w:rPr>
          <w:color w:val="231F20"/>
          <w:w w:val="110"/>
        </w:rPr>
        <w:t>de seguridad en general y las asociadas al asunto medioambiental son diversas y responden fundamentalmente a la posición sociopolítica de la que parten, sea ésa la de mantener y prolongar la estructura de poder</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enriquecimiento</w:t>
      </w:r>
      <w:r>
        <w:rPr>
          <w:color w:val="231F20"/>
          <w:spacing w:val="-7"/>
          <w:w w:val="110"/>
        </w:rPr>
        <w:t> </w:t>
      </w:r>
      <w:r>
        <w:rPr>
          <w:color w:val="231F20"/>
          <w:w w:val="110"/>
        </w:rPr>
        <w:t>existente</w:t>
      </w:r>
      <w:r>
        <w:rPr>
          <w:color w:val="231F20"/>
          <w:spacing w:val="-7"/>
          <w:w w:val="110"/>
        </w:rPr>
        <w:t> </w:t>
      </w:r>
      <w:r>
        <w:rPr>
          <w:color w:val="231F20"/>
          <w:w w:val="110"/>
        </w:rPr>
        <w:t>o</w:t>
      </w:r>
      <w:r>
        <w:rPr>
          <w:color w:val="231F20"/>
          <w:spacing w:val="-7"/>
          <w:w w:val="110"/>
        </w:rPr>
        <w:t> </w:t>
      </w:r>
      <w:r>
        <w:rPr>
          <w:color w:val="231F20"/>
          <w:w w:val="110"/>
        </w:rPr>
        <w:t>la</w:t>
      </w:r>
      <w:r>
        <w:rPr>
          <w:color w:val="231F20"/>
          <w:spacing w:val="-7"/>
          <w:w w:val="110"/>
        </w:rPr>
        <w:t> </w:t>
      </w:r>
      <w:r>
        <w:rPr>
          <w:color w:val="231F20"/>
          <w:w w:val="110"/>
        </w:rPr>
        <w:t>de</w:t>
      </w:r>
      <w:r>
        <w:rPr>
          <w:color w:val="231F20"/>
          <w:spacing w:val="-7"/>
          <w:w w:val="110"/>
        </w:rPr>
        <w:t> </w:t>
      </w:r>
      <w:r>
        <w:rPr>
          <w:color w:val="231F20"/>
          <w:w w:val="110"/>
        </w:rPr>
        <w:t>cuestionar</w:t>
      </w:r>
      <w:r>
        <w:rPr>
          <w:color w:val="231F20"/>
          <w:spacing w:val="-7"/>
          <w:w w:val="110"/>
        </w:rPr>
        <w:t> </w:t>
      </w:r>
      <w:r>
        <w:rPr>
          <w:color w:val="231F20"/>
          <w:w w:val="110"/>
        </w:rPr>
        <w:t>los</w:t>
      </w:r>
      <w:r>
        <w:rPr>
          <w:color w:val="231F20"/>
          <w:spacing w:val="-7"/>
          <w:w w:val="110"/>
        </w:rPr>
        <w:t> </w:t>
      </w:r>
      <w:r>
        <w:rPr>
          <w:color w:val="231F20"/>
          <w:w w:val="110"/>
        </w:rPr>
        <w:t>contextos actuales y defender los recursos naturales y el medio ambiente ante procesos</w:t>
      </w:r>
      <w:r>
        <w:rPr>
          <w:color w:val="231F20"/>
          <w:spacing w:val="-19"/>
          <w:w w:val="110"/>
        </w:rPr>
        <w:t> </w:t>
      </w:r>
      <w:r>
        <w:rPr>
          <w:color w:val="231F20"/>
          <w:w w:val="110"/>
        </w:rPr>
        <w:t>de</w:t>
      </w:r>
      <w:r>
        <w:rPr>
          <w:color w:val="231F20"/>
          <w:spacing w:val="-19"/>
          <w:w w:val="110"/>
        </w:rPr>
        <w:t> </w:t>
      </w:r>
      <w:r>
        <w:rPr>
          <w:color w:val="231F20"/>
          <w:w w:val="110"/>
        </w:rPr>
        <w:t>despojo</w:t>
      </w:r>
      <w:r>
        <w:rPr>
          <w:color w:val="231F20"/>
          <w:spacing w:val="-19"/>
          <w:w w:val="110"/>
        </w:rPr>
        <w:t> </w:t>
      </w:r>
      <w:r>
        <w:rPr>
          <w:color w:val="231F20"/>
          <w:w w:val="110"/>
        </w:rPr>
        <w:t>y</w:t>
      </w:r>
      <w:r>
        <w:rPr>
          <w:color w:val="231F20"/>
          <w:spacing w:val="-19"/>
          <w:w w:val="110"/>
        </w:rPr>
        <w:t> </w:t>
      </w:r>
      <w:r>
        <w:rPr>
          <w:color w:val="231F20"/>
          <w:w w:val="110"/>
        </w:rPr>
        <w:t>devastación.</w:t>
      </w:r>
      <w:r>
        <w:rPr>
          <w:color w:val="231F20"/>
          <w:spacing w:val="-19"/>
          <w:w w:val="110"/>
        </w:rPr>
        <w:t> </w:t>
      </w:r>
      <w:r>
        <w:rPr>
          <w:color w:val="231F20"/>
          <w:w w:val="110"/>
        </w:rPr>
        <w:t>El</w:t>
      </w:r>
      <w:r>
        <w:rPr>
          <w:color w:val="231F20"/>
          <w:spacing w:val="-19"/>
          <w:w w:val="110"/>
        </w:rPr>
        <w:t> </w:t>
      </w:r>
      <w:r>
        <w:rPr>
          <w:color w:val="231F20"/>
          <w:w w:val="110"/>
        </w:rPr>
        <w:t>autor</w:t>
      </w:r>
      <w:r>
        <w:rPr>
          <w:color w:val="231F20"/>
          <w:spacing w:val="-19"/>
          <w:w w:val="110"/>
        </w:rPr>
        <w:t> </w:t>
      </w:r>
      <w:r>
        <w:rPr>
          <w:color w:val="231F20"/>
          <w:w w:val="110"/>
        </w:rPr>
        <w:t>discute</w:t>
      </w:r>
      <w:r>
        <w:rPr>
          <w:color w:val="231F20"/>
          <w:spacing w:val="-19"/>
          <w:w w:val="110"/>
        </w:rPr>
        <w:t> </w:t>
      </w:r>
      <w:r>
        <w:rPr>
          <w:color w:val="231F20"/>
          <w:w w:val="110"/>
        </w:rPr>
        <w:t>críticamente</w:t>
      </w:r>
      <w:r>
        <w:rPr>
          <w:color w:val="231F20"/>
          <w:spacing w:val="-19"/>
          <w:w w:val="110"/>
        </w:rPr>
        <w:t> </w:t>
      </w:r>
      <w:r>
        <w:rPr>
          <w:color w:val="231F20"/>
          <w:w w:val="110"/>
        </w:rPr>
        <w:t>algu- nas nociones de seguridad. Revisa cómo ésta se ha asumido desde</w:t>
      </w:r>
      <w:r>
        <w:rPr>
          <w:color w:val="231F20"/>
          <w:spacing w:val="-24"/>
          <w:w w:val="110"/>
        </w:rPr>
        <w:t> </w:t>
      </w:r>
      <w:r>
        <w:rPr>
          <w:color w:val="231F20"/>
          <w:w w:val="110"/>
        </w:rPr>
        <w:t>la perspectiva</w:t>
      </w:r>
      <w:r>
        <w:rPr>
          <w:color w:val="231F20"/>
          <w:spacing w:val="-12"/>
          <w:w w:val="110"/>
        </w:rPr>
        <w:t> </w:t>
      </w:r>
      <w:r>
        <w:rPr>
          <w:color w:val="231F20"/>
          <w:w w:val="110"/>
        </w:rPr>
        <w:t>estadunidense</w:t>
      </w:r>
      <w:r>
        <w:rPr>
          <w:color w:val="231F20"/>
          <w:spacing w:val="-12"/>
          <w:w w:val="110"/>
        </w:rPr>
        <w:t> </w:t>
      </w:r>
      <w:r>
        <w:rPr>
          <w:color w:val="231F20"/>
          <w:w w:val="110"/>
        </w:rPr>
        <w:t>a</w:t>
      </w:r>
      <w:r>
        <w:rPr>
          <w:color w:val="231F20"/>
          <w:spacing w:val="-12"/>
          <w:w w:val="110"/>
        </w:rPr>
        <w:t> </w:t>
      </w:r>
      <w:r>
        <w:rPr>
          <w:color w:val="231F20"/>
          <w:w w:val="110"/>
        </w:rPr>
        <w:t>partir</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lectura</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implicaciones para América Latina como reserva estratégica. Presenta también, en contracorriente a la noción de seguridad hegemónica, el concepto</w:t>
      </w:r>
      <w:r>
        <w:rPr>
          <w:color w:val="231F20"/>
          <w:spacing w:val="-24"/>
          <w:w w:val="110"/>
        </w:rPr>
        <w:t> </w:t>
      </w:r>
      <w:r>
        <w:rPr>
          <w:color w:val="231F20"/>
          <w:w w:val="110"/>
        </w:rPr>
        <w:t>de “seguridad ecológica”, entendida como aquella que busca asegurar la vida, no sólo la humana, en el largo</w:t>
      </w:r>
      <w:r>
        <w:rPr>
          <w:color w:val="231F20"/>
          <w:spacing w:val="54"/>
          <w:w w:val="110"/>
        </w:rPr>
        <w:t> </w:t>
      </w:r>
      <w:r>
        <w:rPr>
          <w:color w:val="231F20"/>
          <w:w w:val="110"/>
        </w:rPr>
        <w:t>plazo.</w:t>
      </w:r>
    </w:p>
    <w:p>
      <w:pPr>
        <w:pStyle w:val="BodyText"/>
        <w:spacing w:line="261" w:lineRule="auto"/>
        <w:ind w:left="100" w:right="117" w:firstLine="240"/>
        <w:jc w:val="both"/>
      </w:pPr>
      <w:r>
        <w:rPr>
          <w:color w:val="231F20"/>
          <w:w w:val="105"/>
        </w:rPr>
        <w:t>El presente libro es una contribución del grupo de trabajo Estudios sobre Estados Unidos, que se suma a otras publicaciones realizadas durante los seis años de labor continua. El grupo publicó otros dos libros</w:t>
      </w:r>
      <w:r>
        <w:rPr>
          <w:color w:val="231F20"/>
          <w:spacing w:val="-16"/>
          <w:w w:val="105"/>
        </w:rPr>
        <w:t> </w:t>
      </w:r>
      <w:r>
        <w:rPr>
          <w:color w:val="231F20"/>
          <w:w w:val="105"/>
        </w:rPr>
        <w:t>sobre</w:t>
      </w:r>
      <w:r>
        <w:rPr>
          <w:color w:val="231F20"/>
          <w:spacing w:val="-16"/>
          <w:w w:val="105"/>
        </w:rPr>
        <w:t> </w:t>
      </w:r>
      <w:r>
        <w:rPr>
          <w:color w:val="231F20"/>
          <w:w w:val="105"/>
        </w:rPr>
        <w:t>la</w:t>
      </w:r>
      <w:r>
        <w:rPr>
          <w:color w:val="231F20"/>
          <w:spacing w:val="-16"/>
          <w:w w:val="105"/>
        </w:rPr>
        <w:t> </w:t>
      </w:r>
      <w:r>
        <w:rPr>
          <w:color w:val="231F20"/>
          <w:w w:val="105"/>
        </w:rPr>
        <w:t>temática,</w:t>
      </w:r>
      <w:r>
        <w:rPr>
          <w:color w:val="231F20"/>
          <w:spacing w:val="-16"/>
          <w:w w:val="105"/>
        </w:rPr>
        <w:t> </w:t>
      </w:r>
      <w:r>
        <w:rPr>
          <w:color w:val="231F20"/>
          <w:w w:val="105"/>
        </w:rPr>
        <w:t>el</w:t>
      </w:r>
      <w:r>
        <w:rPr>
          <w:color w:val="231F20"/>
          <w:spacing w:val="-16"/>
          <w:w w:val="105"/>
        </w:rPr>
        <w:t> </w:t>
      </w:r>
      <w:r>
        <w:rPr>
          <w:color w:val="231F20"/>
          <w:w w:val="105"/>
        </w:rPr>
        <w:t>primero:</w:t>
      </w:r>
      <w:r>
        <w:rPr>
          <w:color w:val="231F20"/>
          <w:spacing w:val="-16"/>
          <w:w w:val="105"/>
        </w:rPr>
        <w:t> </w:t>
      </w:r>
      <w:r>
        <w:rPr>
          <w:i/>
          <w:color w:val="231F20"/>
          <w:w w:val="105"/>
        </w:rPr>
        <w:t>Crisis</w:t>
      </w:r>
      <w:r>
        <w:rPr>
          <w:i/>
          <w:color w:val="231F20"/>
          <w:spacing w:val="-16"/>
          <w:w w:val="105"/>
        </w:rPr>
        <w:t> </w:t>
      </w:r>
      <w:r>
        <w:rPr>
          <w:i/>
          <w:color w:val="231F20"/>
          <w:w w:val="105"/>
        </w:rPr>
        <w:t>de</w:t>
      </w:r>
      <w:r>
        <w:rPr>
          <w:i/>
          <w:color w:val="231F20"/>
          <w:spacing w:val="-16"/>
          <w:w w:val="105"/>
        </w:rPr>
        <w:t> </w:t>
      </w:r>
      <w:r>
        <w:rPr>
          <w:i/>
          <w:color w:val="231F20"/>
          <w:w w:val="105"/>
        </w:rPr>
        <w:t>hegemonía</w:t>
      </w:r>
      <w:r>
        <w:rPr>
          <w:i/>
          <w:color w:val="231F20"/>
          <w:spacing w:val="-16"/>
          <w:w w:val="105"/>
        </w:rPr>
        <w:t> </w:t>
      </w:r>
      <w:r>
        <w:rPr>
          <w:i/>
          <w:color w:val="231F20"/>
          <w:w w:val="105"/>
        </w:rPr>
        <w:t>de</w:t>
      </w:r>
      <w:r>
        <w:rPr>
          <w:i/>
          <w:color w:val="231F20"/>
          <w:spacing w:val="-16"/>
          <w:w w:val="105"/>
        </w:rPr>
        <w:t> </w:t>
      </w:r>
      <w:r>
        <w:rPr>
          <w:i/>
          <w:color w:val="231F20"/>
          <w:w w:val="105"/>
        </w:rPr>
        <w:t>Estados</w:t>
      </w:r>
      <w:r>
        <w:rPr>
          <w:i/>
          <w:color w:val="231F20"/>
          <w:spacing w:val="-16"/>
          <w:w w:val="105"/>
        </w:rPr>
        <w:t> </w:t>
      </w:r>
      <w:r>
        <w:rPr>
          <w:i/>
          <w:color w:val="231F20"/>
          <w:w w:val="105"/>
        </w:rPr>
        <w:t>Uni- </w:t>
      </w:r>
      <w:r>
        <w:rPr>
          <w:i/>
          <w:color w:val="231F20"/>
          <w:w w:val="105"/>
        </w:rPr>
        <w:t>dos </w:t>
      </w:r>
      <w:r>
        <w:rPr>
          <w:color w:val="231F20"/>
          <w:w w:val="105"/>
        </w:rPr>
        <w:t>(coordinado por Marco A. Gandásegui, hijo), el segundo, </w:t>
      </w:r>
      <w:r>
        <w:rPr>
          <w:i/>
          <w:color w:val="231F20"/>
          <w:w w:val="105"/>
        </w:rPr>
        <w:t>Estados </w:t>
      </w:r>
      <w:r>
        <w:rPr>
          <w:i/>
          <w:color w:val="231F20"/>
        </w:rPr>
        <w:t>Unidos:</w:t>
      </w:r>
      <w:r>
        <w:rPr>
          <w:i/>
          <w:color w:val="231F20"/>
          <w:spacing w:val="-15"/>
        </w:rPr>
        <w:t> </w:t>
      </w:r>
      <w:r>
        <w:rPr>
          <w:i/>
          <w:color w:val="231F20"/>
        </w:rPr>
        <w:t>la</w:t>
      </w:r>
      <w:r>
        <w:rPr>
          <w:i/>
          <w:color w:val="231F20"/>
          <w:spacing w:val="-15"/>
        </w:rPr>
        <w:t> </w:t>
      </w:r>
      <w:r>
        <w:rPr>
          <w:i/>
          <w:color w:val="231F20"/>
        </w:rPr>
        <w:t>crisis</w:t>
      </w:r>
      <w:r>
        <w:rPr>
          <w:i/>
          <w:color w:val="231F20"/>
          <w:spacing w:val="-15"/>
        </w:rPr>
        <w:t> </w:t>
      </w:r>
      <w:r>
        <w:rPr>
          <w:i/>
          <w:color w:val="231F20"/>
        </w:rPr>
        <w:t>sistémica</w:t>
      </w:r>
      <w:r>
        <w:rPr>
          <w:i/>
          <w:color w:val="231F20"/>
          <w:spacing w:val="-15"/>
        </w:rPr>
        <w:t> </w:t>
      </w:r>
      <w:r>
        <w:rPr>
          <w:i/>
          <w:color w:val="231F20"/>
        </w:rPr>
        <w:t>y</w:t>
      </w:r>
      <w:r>
        <w:rPr>
          <w:i/>
          <w:color w:val="231F20"/>
          <w:spacing w:val="-15"/>
        </w:rPr>
        <w:t> </w:t>
      </w:r>
      <w:r>
        <w:rPr>
          <w:i/>
          <w:color w:val="231F20"/>
        </w:rPr>
        <w:t>las</w:t>
      </w:r>
      <w:r>
        <w:rPr>
          <w:i/>
          <w:color w:val="231F20"/>
          <w:spacing w:val="-15"/>
        </w:rPr>
        <w:t> </w:t>
      </w:r>
      <w:r>
        <w:rPr>
          <w:i/>
          <w:color w:val="231F20"/>
        </w:rPr>
        <w:t>nuevas</w:t>
      </w:r>
      <w:r>
        <w:rPr>
          <w:i/>
          <w:color w:val="231F20"/>
          <w:spacing w:val="-15"/>
        </w:rPr>
        <w:t> </w:t>
      </w:r>
      <w:r>
        <w:rPr>
          <w:i/>
          <w:color w:val="231F20"/>
        </w:rPr>
        <w:t>condiciones</w:t>
      </w:r>
      <w:r>
        <w:rPr>
          <w:i/>
          <w:color w:val="231F20"/>
          <w:spacing w:val="-15"/>
        </w:rPr>
        <w:t> </w:t>
      </w:r>
      <w:r>
        <w:rPr>
          <w:i/>
          <w:color w:val="231F20"/>
        </w:rPr>
        <w:t>de</w:t>
      </w:r>
      <w:r>
        <w:rPr>
          <w:i/>
          <w:color w:val="231F20"/>
          <w:spacing w:val="-15"/>
        </w:rPr>
        <w:t> </w:t>
      </w:r>
      <w:r>
        <w:rPr>
          <w:i/>
          <w:color w:val="231F20"/>
        </w:rPr>
        <w:t>legitimación</w:t>
      </w:r>
      <w:r>
        <w:rPr>
          <w:i/>
          <w:color w:val="231F20"/>
          <w:spacing w:val="-15"/>
        </w:rPr>
        <w:t> </w:t>
      </w:r>
      <w:r>
        <w:rPr>
          <w:color w:val="231F20"/>
        </w:rPr>
        <w:t>(coordi- </w:t>
      </w:r>
      <w:r>
        <w:rPr>
          <w:color w:val="231F20"/>
          <w:w w:val="105"/>
        </w:rPr>
        <w:t>nado por Marco A. Gandásegui, hijo, y Dídimo Castillo Fernández, coordinador de la segunda etapa de existencia del grupo), ambas coeditadas por </w:t>
      </w:r>
      <w:r>
        <w:rPr>
          <w:color w:val="231F20"/>
          <w:w w:val="110"/>
        </w:rPr>
        <w:t>clacso </w:t>
      </w:r>
      <w:r>
        <w:rPr>
          <w:color w:val="231F20"/>
          <w:w w:val="105"/>
        </w:rPr>
        <w:t>y Siglo XXI Editores, México. Asimismo, editó un</w:t>
      </w:r>
      <w:r>
        <w:rPr>
          <w:color w:val="231F20"/>
          <w:spacing w:val="-14"/>
          <w:w w:val="105"/>
        </w:rPr>
        <w:t> </w:t>
      </w:r>
      <w:r>
        <w:rPr>
          <w:color w:val="231F20"/>
          <w:w w:val="105"/>
        </w:rPr>
        <w:t>número</w:t>
      </w:r>
      <w:r>
        <w:rPr>
          <w:color w:val="231F20"/>
          <w:spacing w:val="-14"/>
          <w:w w:val="105"/>
        </w:rPr>
        <w:t> </w:t>
      </w:r>
      <w:r>
        <w:rPr>
          <w:color w:val="231F20"/>
          <w:w w:val="105"/>
        </w:rPr>
        <w:t>especial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revista</w:t>
      </w:r>
      <w:r>
        <w:rPr>
          <w:color w:val="231F20"/>
          <w:spacing w:val="-14"/>
          <w:w w:val="105"/>
        </w:rPr>
        <w:t> </w:t>
      </w:r>
      <w:r>
        <w:rPr>
          <w:i/>
          <w:color w:val="231F20"/>
          <w:w w:val="105"/>
        </w:rPr>
        <w:t>Latin</w:t>
      </w:r>
      <w:r>
        <w:rPr>
          <w:i/>
          <w:color w:val="231F20"/>
          <w:spacing w:val="-14"/>
          <w:w w:val="105"/>
        </w:rPr>
        <w:t> </w:t>
      </w:r>
      <w:r>
        <w:rPr>
          <w:i/>
          <w:color w:val="231F20"/>
          <w:w w:val="105"/>
        </w:rPr>
        <w:t>American</w:t>
      </w:r>
      <w:r>
        <w:rPr>
          <w:i/>
          <w:color w:val="231F20"/>
          <w:spacing w:val="-14"/>
          <w:w w:val="105"/>
        </w:rPr>
        <w:t> </w:t>
      </w:r>
      <w:r>
        <w:rPr>
          <w:i/>
          <w:color w:val="231F20"/>
          <w:w w:val="105"/>
        </w:rPr>
        <w:t>Perspectives</w:t>
      </w:r>
      <w:r>
        <w:rPr>
          <w:i/>
          <w:color w:val="231F20"/>
          <w:spacing w:val="-14"/>
          <w:w w:val="105"/>
        </w:rPr>
        <w:t> </w:t>
      </w:r>
      <w:r>
        <w:rPr>
          <w:color w:val="231F20"/>
          <w:w w:val="105"/>
        </w:rPr>
        <w:t>(con</w:t>
      </w:r>
      <w:r>
        <w:rPr>
          <w:color w:val="231F20"/>
          <w:spacing w:val="-14"/>
          <w:w w:val="105"/>
        </w:rPr>
        <w:t> </w:t>
      </w:r>
      <w:r>
        <w:rPr>
          <w:color w:val="231F20"/>
          <w:w w:val="105"/>
        </w:rPr>
        <w:t>mate- rial del primer libro); algunos de sus integrantes publicaron diversos artículos</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revistas</w:t>
      </w:r>
      <w:r>
        <w:rPr>
          <w:color w:val="231F20"/>
          <w:spacing w:val="-26"/>
          <w:w w:val="105"/>
        </w:rPr>
        <w:t> </w:t>
      </w:r>
      <w:r>
        <w:rPr>
          <w:i/>
          <w:color w:val="231F20"/>
          <w:w w:val="105"/>
        </w:rPr>
        <w:t>Critical</w:t>
      </w:r>
      <w:r>
        <w:rPr>
          <w:i/>
          <w:color w:val="231F20"/>
          <w:spacing w:val="-26"/>
          <w:w w:val="105"/>
        </w:rPr>
        <w:t> </w:t>
      </w:r>
      <w:r>
        <w:rPr>
          <w:i/>
          <w:color w:val="231F20"/>
          <w:w w:val="105"/>
        </w:rPr>
        <w:t>Sociology</w:t>
      </w:r>
      <w:r>
        <w:rPr>
          <w:i/>
          <w:color w:val="231F20"/>
          <w:spacing w:val="-26"/>
          <w:w w:val="105"/>
        </w:rPr>
        <w:t> </w:t>
      </w:r>
      <w:r>
        <w:rPr>
          <w:color w:val="231F20"/>
          <w:w w:val="105"/>
        </w:rPr>
        <w:t>y</w:t>
      </w:r>
      <w:r>
        <w:rPr>
          <w:color w:val="231F20"/>
          <w:spacing w:val="-26"/>
          <w:w w:val="105"/>
        </w:rPr>
        <w:t> </w:t>
      </w:r>
      <w:r>
        <w:rPr>
          <w:i/>
          <w:color w:val="231F20"/>
          <w:w w:val="105"/>
        </w:rPr>
        <w:t>Latin</w:t>
      </w:r>
      <w:r>
        <w:rPr>
          <w:i/>
          <w:color w:val="231F20"/>
          <w:spacing w:val="-26"/>
          <w:w w:val="105"/>
        </w:rPr>
        <w:t> </w:t>
      </w:r>
      <w:r>
        <w:rPr>
          <w:i/>
          <w:color w:val="231F20"/>
          <w:w w:val="105"/>
        </w:rPr>
        <w:t>American</w:t>
      </w:r>
      <w:r>
        <w:rPr>
          <w:i/>
          <w:color w:val="231F20"/>
          <w:spacing w:val="-26"/>
          <w:w w:val="105"/>
        </w:rPr>
        <w:t> </w:t>
      </w:r>
      <w:r>
        <w:rPr>
          <w:i/>
          <w:color w:val="231F20"/>
          <w:w w:val="105"/>
        </w:rPr>
        <w:t>Perspectives</w:t>
      </w:r>
      <w:r>
        <w:rPr>
          <w:color w:val="231F20"/>
          <w:w w:val="105"/>
        </w:rPr>
        <w:t>;</w:t>
      </w:r>
      <w:r>
        <w:rPr>
          <w:color w:val="231F20"/>
          <w:w w:val="93"/>
        </w:rPr>
        <w:t> </w:t>
      </w:r>
      <w:r>
        <w:rPr>
          <w:color w:val="231F20"/>
          <w:w w:val="105"/>
        </w:rPr>
        <w:t>otros trabajos formarán parte de un número especial de esta última revista con temas sobre la gestión del presidente Barack Obama y la agenda  para  América</w:t>
      </w:r>
      <w:r>
        <w:rPr>
          <w:color w:val="231F20"/>
          <w:spacing w:val="20"/>
          <w:w w:val="105"/>
        </w:rPr>
        <w:t> </w:t>
      </w:r>
      <w:r>
        <w:rPr>
          <w:color w:val="231F20"/>
          <w:w w:val="105"/>
        </w:rPr>
        <w:t>Latina.</w:t>
      </w:r>
    </w:p>
    <w:p>
      <w:pPr>
        <w:spacing w:after="0" w:line="261" w:lineRule="auto"/>
        <w:jc w:val="both"/>
        <w:sectPr>
          <w:pgSz w:w="7640" w:h="11900"/>
          <w:pgMar w:header="672" w:footer="0" w:top="860" w:bottom="280" w:left="660" w:right="760"/>
        </w:sectPr>
      </w:pPr>
    </w:p>
    <w:p>
      <w:pPr>
        <w:pStyle w:val="BodyText"/>
        <w:spacing w:before="4"/>
        <w:rPr>
          <w:sz w:val="17"/>
        </w:rPr>
      </w:pPr>
    </w:p>
    <w:p>
      <w:pPr>
        <w:spacing w:after="0"/>
        <w:rPr>
          <w:sz w:val="17"/>
        </w:rPr>
        <w:sectPr>
          <w:headerReference w:type="even" r:id="rId56"/>
          <w:pgSz w:w="7640" w:h="11900"/>
          <w:pgMar w:header="0" w:footer="0" w:top="1100" w:bottom="280" w:left="1040" w:right="1040"/>
        </w:sectPr>
      </w:pPr>
    </w:p>
    <w:p>
      <w:pPr>
        <w:pStyle w:val="BodyText"/>
        <w:spacing w:before="39"/>
        <w:ind w:left="100" w:right="921"/>
      </w:pPr>
      <w:r>
        <w:rPr>
          <w:color w:val="231F20"/>
        </w:rPr>
        <w:t>CRISIS MUNDIAL O CRISIS DEL   CAPITALISMO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2"/>
        </w:rPr>
      </w:pPr>
    </w:p>
    <w:p>
      <w:pPr>
        <w:pStyle w:val="BodyText"/>
        <w:spacing w:before="68"/>
        <w:ind w:left="2820" w:right="2560"/>
        <w:jc w:val="center"/>
      </w:pPr>
      <w:r>
        <w:rPr>
          <w:color w:val="231F20"/>
          <w:w w:val="120"/>
        </w:rPr>
        <w:t>[39]</w:t>
      </w:r>
    </w:p>
    <w:p>
      <w:pPr>
        <w:spacing w:after="0"/>
        <w:jc w:val="center"/>
        <w:sectPr>
          <w:headerReference w:type="default" r:id="rId57"/>
          <w:pgSz w:w="7640" w:h="11900"/>
          <w:pgMar w:header="0" w:footer="0" w:top="1000" w:bottom="280" w:left="660" w:right="1040"/>
        </w:sectPr>
      </w:pPr>
    </w:p>
    <w:p>
      <w:pPr>
        <w:pStyle w:val="BodyText"/>
        <w:spacing w:before="4"/>
        <w:rPr>
          <w:sz w:val="17"/>
        </w:rPr>
      </w:pPr>
    </w:p>
    <w:p>
      <w:pPr>
        <w:spacing w:after="0"/>
        <w:rPr>
          <w:sz w:val="17"/>
        </w:rPr>
        <w:sectPr>
          <w:headerReference w:type="even" r:id="rId58"/>
          <w:pgSz w:w="7640" w:h="11900"/>
          <w:pgMar w:header="0" w:footer="0" w:top="1100" w:bottom="280" w:left="1040" w:right="1040"/>
        </w:sectPr>
      </w:pPr>
    </w:p>
    <w:p>
      <w:pPr>
        <w:pStyle w:val="BodyText"/>
        <w:spacing w:line="261" w:lineRule="auto" w:before="39"/>
        <w:ind w:left="100" w:right="1339"/>
      </w:pPr>
      <w:r>
        <w:rPr>
          <w:color w:val="231F20"/>
        </w:rPr>
        <w:t>CRISIS ESTRUCTURAL Y CRISIS DE COYUNTURA</w:t>
      </w:r>
      <w:r>
        <w:rPr>
          <w:color w:val="231F20"/>
          <w:w w:val="100"/>
        </w:rPr>
        <w:t> </w:t>
      </w:r>
      <w:r>
        <w:rPr>
          <w:color w:val="231F20"/>
        </w:rPr>
        <w:t>EN  EL  CAPITALISMO CONTEMPORÁNEO</w:t>
      </w:r>
    </w:p>
    <w:p>
      <w:pPr>
        <w:pStyle w:val="BodyText"/>
        <w:spacing w:before="8"/>
        <w:rPr>
          <w:sz w:val="21"/>
        </w:rPr>
      </w:pPr>
    </w:p>
    <w:p>
      <w:pPr>
        <w:pStyle w:val="BodyText"/>
        <w:ind w:left="3985" w:right="25"/>
      </w:pPr>
      <w:r>
        <w:rPr>
          <w:color w:val="231F20"/>
          <w:w w:val="130"/>
        </w:rPr>
        <w:t>theotonio dos santos</w:t>
      </w:r>
    </w:p>
    <w:p>
      <w:pPr>
        <w:pStyle w:val="BodyText"/>
      </w:pPr>
    </w:p>
    <w:p>
      <w:pPr>
        <w:pStyle w:val="BodyText"/>
      </w:pPr>
    </w:p>
    <w:p>
      <w:pPr>
        <w:pStyle w:val="BodyText"/>
        <w:spacing w:before="11"/>
        <w:rPr>
          <w:sz w:val="26"/>
        </w:rPr>
      </w:pPr>
    </w:p>
    <w:p>
      <w:pPr>
        <w:pStyle w:val="BodyText"/>
        <w:ind w:left="100"/>
        <w:jc w:val="both"/>
      </w:pPr>
      <w:r>
        <w:rPr>
          <w:color w:val="231F20"/>
          <w:w w:val="130"/>
        </w:rPr>
        <w:t>crisis estructural y de larga</w:t>
      </w:r>
      <w:r>
        <w:rPr>
          <w:color w:val="231F20"/>
          <w:spacing w:val="57"/>
          <w:w w:val="130"/>
        </w:rPr>
        <w:t> </w:t>
      </w:r>
      <w:r>
        <w:rPr>
          <w:color w:val="231F20"/>
          <w:w w:val="130"/>
        </w:rPr>
        <w:t>duración</w:t>
      </w:r>
    </w:p>
    <w:p>
      <w:pPr>
        <w:pStyle w:val="BodyText"/>
        <w:spacing w:before="5"/>
        <w:rPr>
          <w:sz w:val="23"/>
        </w:rPr>
      </w:pPr>
    </w:p>
    <w:p>
      <w:pPr>
        <w:pStyle w:val="BodyText"/>
        <w:spacing w:line="261" w:lineRule="auto"/>
        <w:ind w:left="100" w:right="117"/>
        <w:jc w:val="both"/>
      </w:pPr>
      <w:r>
        <w:rPr>
          <w:color w:val="231F20"/>
          <w:w w:val="105"/>
        </w:rPr>
        <w:t>La idea de una  crisis  estructural  de  un  modo  de  producción  tiene su</w:t>
      </w:r>
      <w:r>
        <w:rPr>
          <w:color w:val="231F20"/>
          <w:spacing w:val="-6"/>
          <w:w w:val="105"/>
        </w:rPr>
        <w:t> </w:t>
      </w:r>
      <w:r>
        <w:rPr>
          <w:color w:val="231F20"/>
          <w:w w:val="105"/>
        </w:rPr>
        <w:t>origen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prólogo</w:t>
      </w:r>
      <w:r>
        <w:rPr>
          <w:color w:val="231F20"/>
          <w:spacing w:val="-6"/>
          <w:w w:val="105"/>
        </w:rPr>
        <w:t> </w:t>
      </w:r>
      <w:r>
        <w:rPr>
          <w:color w:val="231F20"/>
          <w:w w:val="105"/>
        </w:rPr>
        <w:t>de</w:t>
      </w:r>
      <w:r>
        <w:rPr>
          <w:color w:val="231F20"/>
          <w:spacing w:val="-6"/>
          <w:w w:val="105"/>
        </w:rPr>
        <w:t> </w:t>
      </w:r>
      <w:r>
        <w:rPr>
          <w:color w:val="231F20"/>
          <w:w w:val="105"/>
        </w:rPr>
        <w:t>Marx</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i/>
          <w:color w:val="231F20"/>
          <w:w w:val="105"/>
        </w:rPr>
        <w:t>Contribución</w:t>
      </w:r>
      <w:r>
        <w:rPr>
          <w:i/>
          <w:color w:val="231F20"/>
          <w:spacing w:val="-6"/>
          <w:w w:val="105"/>
        </w:rPr>
        <w:t> </w:t>
      </w:r>
      <w:r>
        <w:rPr>
          <w:i/>
          <w:color w:val="231F20"/>
          <w:w w:val="105"/>
        </w:rPr>
        <w:t>a</w:t>
      </w:r>
      <w:r>
        <w:rPr>
          <w:i/>
          <w:color w:val="231F20"/>
          <w:spacing w:val="-6"/>
          <w:w w:val="105"/>
        </w:rPr>
        <w:t> </w:t>
      </w:r>
      <w:r>
        <w:rPr>
          <w:i/>
          <w:color w:val="231F20"/>
          <w:w w:val="105"/>
        </w:rPr>
        <w:t>la</w:t>
      </w:r>
      <w:r>
        <w:rPr>
          <w:i/>
          <w:color w:val="231F20"/>
          <w:spacing w:val="-6"/>
          <w:w w:val="105"/>
        </w:rPr>
        <w:t> </w:t>
      </w:r>
      <w:r>
        <w:rPr>
          <w:i/>
          <w:color w:val="231F20"/>
          <w:w w:val="105"/>
        </w:rPr>
        <w:t>crítica</w:t>
      </w:r>
      <w:r>
        <w:rPr>
          <w:i/>
          <w:color w:val="231F20"/>
          <w:spacing w:val="-6"/>
          <w:w w:val="105"/>
        </w:rPr>
        <w:t> </w:t>
      </w:r>
      <w:r>
        <w:rPr>
          <w:i/>
          <w:color w:val="231F20"/>
          <w:w w:val="105"/>
        </w:rPr>
        <w:t>de</w:t>
      </w:r>
      <w:r>
        <w:rPr>
          <w:i/>
          <w:color w:val="231F20"/>
          <w:spacing w:val="-6"/>
          <w:w w:val="105"/>
        </w:rPr>
        <w:t> </w:t>
      </w:r>
      <w:r>
        <w:rPr>
          <w:i/>
          <w:color w:val="231F20"/>
          <w:w w:val="105"/>
        </w:rPr>
        <w:t>la</w:t>
      </w:r>
      <w:r>
        <w:rPr>
          <w:i/>
          <w:color w:val="231F20"/>
          <w:spacing w:val="-6"/>
          <w:w w:val="105"/>
        </w:rPr>
        <w:t> </w:t>
      </w:r>
      <w:r>
        <w:rPr>
          <w:i/>
          <w:color w:val="231F20"/>
          <w:w w:val="105"/>
        </w:rPr>
        <w:t>eco- </w:t>
      </w:r>
      <w:r>
        <w:rPr>
          <w:i/>
          <w:color w:val="231F20"/>
          <w:w w:val="105"/>
        </w:rPr>
        <w:t>nomía política</w:t>
      </w:r>
      <w:r>
        <w:rPr>
          <w:color w:val="231F20"/>
          <w:w w:val="105"/>
        </w:rPr>
        <w:t>. Después de exponer sus descubrimientos teóricos más importantes, Marx se refiere a una situación histórica que él califica como una era de revolución social, es </w:t>
      </w:r>
      <w:r>
        <w:rPr>
          <w:color w:val="231F20"/>
          <w:spacing w:val="-3"/>
          <w:w w:val="105"/>
        </w:rPr>
        <w:t>decir, </w:t>
      </w:r>
      <w:r>
        <w:rPr>
          <w:color w:val="231F20"/>
          <w:w w:val="105"/>
        </w:rPr>
        <w:t>una “crisis” de largo plazo que se puede definir como estructural. En las palabras de Marx, en   este  documento  tan</w:t>
      </w:r>
      <w:r>
        <w:rPr>
          <w:color w:val="231F20"/>
          <w:spacing w:val="18"/>
          <w:w w:val="105"/>
        </w:rPr>
        <w:t> </w:t>
      </w:r>
      <w:r>
        <w:rPr>
          <w:color w:val="231F20"/>
          <w:w w:val="105"/>
        </w:rPr>
        <w:t>decisivo:</w:t>
      </w:r>
    </w:p>
    <w:p>
      <w:pPr>
        <w:pStyle w:val="BodyText"/>
        <w:spacing w:before="4"/>
        <w:rPr>
          <w:sz w:val="23"/>
        </w:rPr>
      </w:pPr>
    </w:p>
    <w:p>
      <w:pPr>
        <w:spacing w:line="290" w:lineRule="auto" w:before="0"/>
        <w:ind w:left="100" w:right="114" w:firstLine="0"/>
        <w:jc w:val="both"/>
        <w:rPr>
          <w:sz w:val="18"/>
        </w:rPr>
      </w:pPr>
      <w:r>
        <w:rPr>
          <w:color w:val="231F20"/>
          <w:w w:val="110"/>
          <w:sz w:val="18"/>
        </w:rPr>
        <w:t>Durante el curso de su desarrollo, las fuerzas productoras de la sociedad entran en contradicción con las relaciones de producción existentes, o, lo cual no es más que su expresión jurídica, con las relaciones de propiedad  en cuyo interior se habían movido hasta entonces. De formas evolutivas de las fuerzas productoras que eran, estas relaciones se convierten en </w:t>
      </w:r>
      <w:r>
        <w:rPr>
          <w:color w:val="231F20"/>
          <w:spacing w:val="2"/>
          <w:w w:val="110"/>
          <w:sz w:val="18"/>
        </w:rPr>
        <w:t>trabas  </w:t>
      </w:r>
      <w:r>
        <w:rPr>
          <w:color w:val="231F20"/>
          <w:w w:val="110"/>
          <w:sz w:val="18"/>
        </w:rPr>
        <w:t>de estas fuerzas. El cambio que se ha producido en la base económica trastorna más lenta o rápidamente toda la colosal superestructura </w:t>
      </w:r>
      <w:r>
        <w:rPr>
          <w:color w:val="231F20"/>
          <w:spacing w:val="2"/>
          <w:w w:val="110"/>
          <w:sz w:val="18"/>
        </w:rPr>
        <w:t>(Marx, </w:t>
      </w:r>
      <w:r>
        <w:rPr>
          <w:color w:val="231F20"/>
          <w:w w:val="110"/>
          <w:sz w:val="18"/>
        </w:rPr>
        <w:t>1073:</w:t>
      </w:r>
      <w:r>
        <w:rPr>
          <w:color w:val="231F20"/>
          <w:spacing w:val="-4"/>
          <w:w w:val="110"/>
          <w:sz w:val="18"/>
        </w:rPr>
        <w:t> </w:t>
      </w:r>
      <w:r>
        <w:rPr>
          <w:color w:val="231F20"/>
          <w:spacing w:val="2"/>
          <w:w w:val="110"/>
          <w:sz w:val="18"/>
        </w:rPr>
        <w:t>7).</w:t>
      </w:r>
    </w:p>
    <w:p>
      <w:pPr>
        <w:pStyle w:val="BodyText"/>
        <w:spacing w:before="2"/>
      </w:pPr>
    </w:p>
    <w:p>
      <w:pPr>
        <w:pStyle w:val="BodyText"/>
        <w:spacing w:line="261" w:lineRule="auto"/>
        <w:ind w:left="100" w:right="119" w:firstLine="240"/>
        <w:jc w:val="both"/>
      </w:pPr>
      <w:r>
        <w:rPr>
          <w:color w:val="231F20"/>
          <w:w w:val="110"/>
        </w:rPr>
        <w:t>Se puede ver en este (y varios otros) textos que Marx no se ima-</w:t>
      </w:r>
      <w:r>
        <w:rPr>
          <w:color w:val="231F20"/>
          <w:w w:val="72"/>
        </w:rPr>
        <w:t> </w:t>
      </w:r>
      <w:r>
        <w:rPr>
          <w:color w:val="231F20"/>
          <w:w w:val="110"/>
        </w:rPr>
        <w:t>ginaba un cambio de modo de producción inmediato sino en un proceso histórico secular. Esto se ve aún más claro cuando dice más adelante:</w:t>
      </w:r>
    </w:p>
    <w:p>
      <w:pPr>
        <w:pStyle w:val="BodyText"/>
        <w:spacing w:before="4"/>
        <w:rPr>
          <w:sz w:val="23"/>
        </w:rPr>
      </w:pPr>
    </w:p>
    <w:p>
      <w:pPr>
        <w:spacing w:line="290" w:lineRule="auto" w:before="0"/>
        <w:ind w:left="100" w:right="117" w:firstLine="0"/>
        <w:jc w:val="both"/>
        <w:rPr>
          <w:sz w:val="18"/>
        </w:rPr>
      </w:pPr>
      <w:r>
        <w:rPr>
          <w:color w:val="231F20"/>
          <w:w w:val="110"/>
          <w:sz w:val="18"/>
        </w:rPr>
        <w:t>Una sociedad no desaparece nunca antes de que sean desarrolladas todas  las fuerzas productoras que pueda contener, y las relaciones de producción nuevas</w:t>
      </w:r>
      <w:r>
        <w:rPr>
          <w:color w:val="231F20"/>
          <w:spacing w:val="-5"/>
          <w:w w:val="110"/>
          <w:sz w:val="18"/>
        </w:rPr>
        <w:t> </w:t>
      </w:r>
      <w:r>
        <w:rPr>
          <w:color w:val="231F20"/>
          <w:w w:val="110"/>
          <w:sz w:val="18"/>
        </w:rPr>
        <w:t>y</w:t>
      </w:r>
      <w:r>
        <w:rPr>
          <w:color w:val="231F20"/>
          <w:spacing w:val="-5"/>
          <w:w w:val="110"/>
          <w:sz w:val="18"/>
        </w:rPr>
        <w:t> </w:t>
      </w:r>
      <w:r>
        <w:rPr>
          <w:color w:val="231F20"/>
          <w:w w:val="110"/>
          <w:sz w:val="18"/>
        </w:rPr>
        <w:t>superiores</w:t>
      </w:r>
      <w:r>
        <w:rPr>
          <w:color w:val="231F20"/>
          <w:spacing w:val="-5"/>
          <w:w w:val="110"/>
          <w:sz w:val="18"/>
        </w:rPr>
        <w:t> </w:t>
      </w:r>
      <w:r>
        <w:rPr>
          <w:color w:val="231F20"/>
          <w:w w:val="110"/>
          <w:sz w:val="18"/>
        </w:rPr>
        <w:t>no</w:t>
      </w:r>
      <w:r>
        <w:rPr>
          <w:color w:val="231F20"/>
          <w:spacing w:val="-5"/>
          <w:w w:val="110"/>
          <w:sz w:val="18"/>
        </w:rPr>
        <w:t> </w:t>
      </w:r>
      <w:r>
        <w:rPr>
          <w:color w:val="231F20"/>
          <w:w w:val="110"/>
          <w:sz w:val="18"/>
        </w:rPr>
        <w:t>se</w:t>
      </w:r>
      <w:r>
        <w:rPr>
          <w:color w:val="231F20"/>
          <w:spacing w:val="-5"/>
          <w:w w:val="110"/>
          <w:sz w:val="18"/>
        </w:rPr>
        <w:t> </w:t>
      </w:r>
      <w:r>
        <w:rPr>
          <w:color w:val="231F20"/>
          <w:w w:val="110"/>
          <w:sz w:val="18"/>
        </w:rPr>
        <w:t>sustituyen</w:t>
      </w:r>
      <w:r>
        <w:rPr>
          <w:color w:val="231F20"/>
          <w:spacing w:val="-5"/>
          <w:w w:val="110"/>
          <w:sz w:val="18"/>
        </w:rPr>
        <w:t> </w:t>
      </w:r>
      <w:r>
        <w:rPr>
          <w:color w:val="231F20"/>
          <w:w w:val="110"/>
          <w:sz w:val="18"/>
        </w:rPr>
        <w:t>jamás</w:t>
      </w:r>
      <w:r>
        <w:rPr>
          <w:color w:val="231F20"/>
          <w:spacing w:val="-5"/>
          <w:w w:val="110"/>
          <w:sz w:val="18"/>
        </w:rPr>
        <w:t> </w:t>
      </w:r>
      <w:r>
        <w:rPr>
          <w:color w:val="231F20"/>
          <w:w w:val="110"/>
          <w:sz w:val="18"/>
        </w:rPr>
        <w:t>en</w:t>
      </w:r>
      <w:r>
        <w:rPr>
          <w:color w:val="231F20"/>
          <w:spacing w:val="-5"/>
          <w:w w:val="110"/>
          <w:sz w:val="18"/>
        </w:rPr>
        <w:t> </w:t>
      </w:r>
      <w:r>
        <w:rPr>
          <w:color w:val="231F20"/>
          <w:w w:val="110"/>
          <w:sz w:val="18"/>
        </w:rPr>
        <w:t>ella</w:t>
      </w:r>
      <w:r>
        <w:rPr>
          <w:color w:val="231F20"/>
          <w:spacing w:val="-5"/>
          <w:w w:val="110"/>
          <w:sz w:val="18"/>
        </w:rPr>
        <w:t> </w:t>
      </w:r>
      <w:r>
        <w:rPr>
          <w:color w:val="231F20"/>
          <w:w w:val="110"/>
          <w:sz w:val="18"/>
        </w:rPr>
        <w:t>antes</w:t>
      </w:r>
      <w:r>
        <w:rPr>
          <w:color w:val="231F20"/>
          <w:spacing w:val="-5"/>
          <w:w w:val="110"/>
          <w:sz w:val="18"/>
        </w:rPr>
        <w:t> </w:t>
      </w:r>
      <w:r>
        <w:rPr>
          <w:color w:val="231F20"/>
          <w:w w:val="110"/>
          <w:sz w:val="18"/>
        </w:rPr>
        <w:t>de</w:t>
      </w:r>
      <w:r>
        <w:rPr>
          <w:color w:val="231F20"/>
          <w:spacing w:val="-5"/>
          <w:w w:val="110"/>
          <w:sz w:val="18"/>
        </w:rPr>
        <w:t> </w:t>
      </w:r>
      <w:r>
        <w:rPr>
          <w:color w:val="231F20"/>
          <w:w w:val="110"/>
          <w:sz w:val="18"/>
        </w:rPr>
        <w:t>que</w:t>
      </w:r>
      <w:r>
        <w:rPr>
          <w:color w:val="231F20"/>
          <w:spacing w:val="-5"/>
          <w:w w:val="110"/>
          <w:sz w:val="18"/>
        </w:rPr>
        <w:t> </w:t>
      </w:r>
      <w:r>
        <w:rPr>
          <w:color w:val="231F20"/>
          <w:w w:val="110"/>
          <w:sz w:val="18"/>
        </w:rPr>
        <w:t>las</w:t>
      </w:r>
      <w:r>
        <w:rPr>
          <w:color w:val="231F20"/>
          <w:spacing w:val="-5"/>
          <w:w w:val="110"/>
          <w:sz w:val="18"/>
        </w:rPr>
        <w:t> </w:t>
      </w:r>
      <w:r>
        <w:rPr>
          <w:color w:val="231F20"/>
          <w:w w:val="110"/>
          <w:sz w:val="18"/>
        </w:rPr>
        <w:t>condicio- nes materiales de existencia de esas relaciones hayan sido incubadas en el seno</w:t>
      </w:r>
      <w:r>
        <w:rPr>
          <w:color w:val="231F20"/>
          <w:spacing w:val="-10"/>
          <w:w w:val="110"/>
          <w:sz w:val="18"/>
        </w:rPr>
        <w:t> </w:t>
      </w:r>
      <w:r>
        <w:rPr>
          <w:color w:val="231F20"/>
          <w:w w:val="110"/>
          <w:sz w:val="18"/>
        </w:rPr>
        <w:t>mismo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vieja</w:t>
      </w:r>
      <w:r>
        <w:rPr>
          <w:color w:val="231F20"/>
          <w:spacing w:val="-10"/>
          <w:w w:val="110"/>
          <w:sz w:val="18"/>
        </w:rPr>
        <w:t> </w:t>
      </w:r>
      <w:r>
        <w:rPr>
          <w:color w:val="231F20"/>
          <w:w w:val="110"/>
          <w:sz w:val="18"/>
        </w:rPr>
        <w:t>sociedad</w:t>
      </w:r>
      <w:r>
        <w:rPr>
          <w:color w:val="231F20"/>
          <w:spacing w:val="-10"/>
          <w:w w:val="110"/>
          <w:sz w:val="18"/>
        </w:rPr>
        <w:t> </w:t>
      </w:r>
      <w:r>
        <w:rPr>
          <w:color w:val="231F20"/>
          <w:w w:val="110"/>
          <w:sz w:val="18"/>
        </w:rPr>
        <w:t>(</w:t>
      </w:r>
      <w:r>
        <w:rPr>
          <w:i/>
          <w:color w:val="231F20"/>
          <w:w w:val="110"/>
          <w:sz w:val="18"/>
        </w:rPr>
        <w:t>ibídem</w:t>
      </w:r>
      <w:r>
        <w:rPr>
          <w:color w:val="231F20"/>
          <w:w w:val="110"/>
          <w:sz w:val="18"/>
        </w:rPr>
        <w:t>:</w:t>
      </w:r>
      <w:r>
        <w:rPr>
          <w:color w:val="231F20"/>
          <w:spacing w:val="-10"/>
          <w:w w:val="110"/>
          <w:sz w:val="18"/>
        </w:rPr>
        <w:t> </w:t>
      </w:r>
      <w:r>
        <w:rPr>
          <w:color w:val="231F20"/>
          <w:w w:val="110"/>
          <w:sz w:val="18"/>
        </w:rPr>
        <w:t>8).</w:t>
      </w:r>
    </w:p>
    <w:p>
      <w:pPr>
        <w:pStyle w:val="BodyText"/>
        <w:spacing w:before="2"/>
      </w:pPr>
    </w:p>
    <w:p>
      <w:pPr>
        <w:pStyle w:val="BodyText"/>
        <w:spacing w:line="261" w:lineRule="auto"/>
        <w:ind w:left="100" w:right="119" w:firstLine="240"/>
        <w:jc w:val="both"/>
      </w:pPr>
      <w:r>
        <w:rPr>
          <w:color w:val="231F20"/>
          <w:w w:val="110"/>
        </w:rPr>
        <w:t>Está claro en este texto tan sintético y tan cuidadosamente elabo- rado que Marx no podría aceptar la idea de un “derrumbe final”  del</w:t>
      </w:r>
    </w:p>
    <w:p>
      <w:pPr>
        <w:pStyle w:val="BodyText"/>
        <w:rPr>
          <w:sz w:val="15"/>
        </w:rPr>
      </w:pPr>
    </w:p>
    <w:p>
      <w:pPr>
        <w:pStyle w:val="BodyText"/>
        <w:spacing w:before="67"/>
        <w:ind w:left="113" w:right="132"/>
        <w:jc w:val="center"/>
      </w:pPr>
      <w:r>
        <w:rPr>
          <w:color w:val="231F20"/>
          <w:w w:val="120"/>
        </w:rPr>
        <w:t>[41]</w:t>
      </w:r>
    </w:p>
    <w:p>
      <w:pPr>
        <w:spacing w:after="0"/>
        <w:jc w:val="center"/>
        <w:sectPr>
          <w:headerReference w:type="default" r:id="rId59"/>
          <w:pgSz w:w="7640" w:h="11900"/>
          <w:pgMar w:header="0" w:footer="0" w:top="100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capitalismo tal como se empezó a discutir en el final del siglo xix y comienzos del xx en la Internacional Socialista (II Internacional).</w:t>
      </w:r>
      <w:r>
        <w:rPr>
          <w:color w:val="231F20"/>
          <w:spacing w:val="-12"/>
          <w:w w:val="110"/>
        </w:rPr>
        <w:t> </w:t>
      </w:r>
      <w:r>
        <w:rPr>
          <w:color w:val="231F20"/>
          <w:w w:val="110"/>
        </w:rPr>
        <w:t>El proceso de superación histórica del modo de producción capitalista por un nuevo modo de producción basado en la propiedad colectiva de</w:t>
      </w:r>
      <w:r>
        <w:rPr>
          <w:color w:val="231F20"/>
          <w:spacing w:val="-5"/>
          <w:w w:val="110"/>
        </w:rPr>
        <w:t> </w:t>
      </w:r>
      <w:r>
        <w:rPr>
          <w:color w:val="231F20"/>
          <w:w w:val="110"/>
        </w:rPr>
        <w:t>los</w:t>
      </w:r>
      <w:r>
        <w:rPr>
          <w:color w:val="231F20"/>
          <w:spacing w:val="-5"/>
          <w:w w:val="110"/>
        </w:rPr>
        <w:t> </w:t>
      </w:r>
      <w:r>
        <w:rPr>
          <w:color w:val="231F20"/>
          <w:w w:val="110"/>
        </w:rPr>
        <w:t>medios</w:t>
      </w:r>
      <w:r>
        <w:rPr>
          <w:color w:val="231F20"/>
          <w:spacing w:val="-5"/>
          <w:w w:val="110"/>
        </w:rPr>
        <w:t> </w:t>
      </w:r>
      <w:r>
        <w:rPr>
          <w:color w:val="231F20"/>
          <w:w w:val="110"/>
        </w:rPr>
        <w:t>de</w:t>
      </w:r>
      <w:r>
        <w:rPr>
          <w:color w:val="231F20"/>
          <w:spacing w:val="-5"/>
          <w:w w:val="110"/>
        </w:rPr>
        <w:t> </w:t>
      </w:r>
      <w:r>
        <w:rPr>
          <w:color w:val="231F20"/>
          <w:w w:val="110"/>
        </w:rPr>
        <w:t>producción,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superación</w:t>
      </w:r>
      <w:r>
        <w:rPr>
          <w:color w:val="231F20"/>
          <w:spacing w:val="-5"/>
          <w:w w:val="110"/>
        </w:rPr>
        <w:t> </w:t>
      </w:r>
      <w:r>
        <w:rPr>
          <w:color w:val="231F20"/>
          <w:w w:val="110"/>
        </w:rPr>
        <w:t>del</w:t>
      </w:r>
      <w:r>
        <w:rPr>
          <w:color w:val="231F20"/>
          <w:spacing w:val="-5"/>
          <w:w w:val="110"/>
        </w:rPr>
        <w:t> </w:t>
      </w:r>
      <w:r>
        <w:rPr>
          <w:color w:val="231F20"/>
          <w:w w:val="110"/>
        </w:rPr>
        <w:t>trabajo</w:t>
      </w:r>
      <w:r>
        <w:rPr>
          <w:color w:val="231F20"/>
          <w:spacing w:val="-5"/>
          <w:w w:val="110"/>
        </w:rPr>
        <w:t> </w:t>
      </w:r>
      <w:r>
        <w:rPr>
          <w:color w:val="231F20"/>
          <w:w w:val="110"/>
        </w:rPr>
        <w:t>asalariado, en la superación de la división entre el trabajo intelectual y el ma- nual, en la superación del Estado y de la política, en la extinción de las</w:t>
      </w:r>
      <w:r>
        <w:rPr>
          <w:color w:val="231F20"/>
          <w:spacing w:val="-9"/>
          <w:w w:val="110"/>
        </w:rPr>
        <w:t> </w:t>
      </w:r>
      <w:r>
        <w:rPr>
          <w:color w:val="231F20"/>
          <w:w w:val="110"/>
        </w:rPr>
        <w:t>clases</w:t>
      </w:r>
      <w:r>
        <w:rPr>
          <w:color w:val="231F20"/>
          <w:spacing w:val="-9"/>
          <w:w w:val="110"/>
        </w:rPr>
        <w:t> </w:t>
      </w:r>
      <w:r>
        <w:rPr>
          <w:color w:val="231F20"/>
          <w:w w:val="110"/>
        </w:rPr>
        <w:t>sociales,</w:t>
      </w:r>
      <w:r>
        <w:rPr>
          <w:color w:val="231F20"/>
          <w:spacing w:val="-9"/>
          <w:w w:val="110"/>
        </w:rPr>
        <w:t> </w:t>
      </w:r>
      <w:r>
        <w:rPr>
          <w:color w:val="231F20"/>
          <w:w w:val="110"/>
        </w:rPr>
        <w:t>sería</w:t>
      </w:r>
      <w:r>
        <w:rPr>
          <w:color w:val="231F20"/>
          <w:spacing w:val="-9"/>
          <w:w w:val="110"/>
        </w:rPr>
        <w:t> </w:t>
      </w:r>
      <w:r>
        <w:rPr>
          <w:color w:val="231F20"/>
          <w:w w:val="110"/>
        </w:rPr>
        <w:t>precedido</w:t>
      </w:r>
      <w:r>
        <w:rPr>
          <w:color w:val="231F20"/>
          <w:spacing w:val="-9"/>
          <w:w w:val="110"/>
        </w:rPr>
        <w:t> </w:t>
      </w:r>
      <w:r>
        <w:rPr>
          <w:color w:val="231F20"/>
          <w:w w:val="110"/>
        </w:rPr>
        <w:t>por</w:t>
      </w:r>
      <w:r>
        <w:rPr>
          <w:color w:val="231F20"/>
          <w:spacing w:val="-9"/>
          <w:w w:val="110"/>
        </w:rPr>
        <w:t> </w:t>
      </w:r>
      <w:r>
        <w:rPr>
          <w:color w:val="231F20"/>
          <w:w w:val="110"/>
        </w:rPr>
        <w:t>una</w:t>
      </w:r>
      <w:r>
        <w:rPr>
          <w:color w:val="231F20"/>
          <w:spacing w:val="-9"/>
          <w:w w:val="110"/>
        </w:rPr>
        <w:t> </w:t>
      </w:r>
      <w:r>
        <w:rPr>
          <w:color w:val="231F20"/>
          <w:w w:val="110"/>
        </w:rPr>
        <w:t>formación</w:t>
      </w:r>
      <w:r>
        <w:rPr>
          <w:color w:val="231F20"/>
          <w:spacing w:val="-9"/>
          <w:w w:val="110"/>
        </w:rPr>
        <w:t> </w:t>
      </w:r>
      <w:r>
        <w:rPr>
          <w:color w:val="231F20"/>
          <w:w w:val="110"/>
        </w:rPr>
        <w:t>social</w:t>
      </w:r>
      <w:r>
        <w:rPr>
          <w:color w:val="231F20"/>
          <w:spacing w:val="-9"/>
          <w:w w:val="110"/>
        </w:rPr>
        <w:t> </w:t>
      </w:r>
      <w:r>
        <w:rPr>
          <w:color w:val="231F20"/>
          <w:w w:val="110"/>
        </w:rPr>
        <w:t>interme- dia, que se pasó a llamar el</w:t>
      </w:r>
      <w:r>
        <w:rPr>
          <w:color w:val="231F20"/>
          <w:spacing w:val="-1"/>
          <w:w w:val="110"/>
        </w:rPr>
        <w:t> </w:t>
      </w:r>
      <w:r>
        <w:rPr>
          <w:color w:val="231F20"/>
          <w:w w:val="110"/>
        </w:rPr>
        <w:t>socialismo.</w:t>
      </w:r>
    </w:p>
    <w:p>
      <w:pPr>
        <w:pStyle w:val="BodyText"/>
        <w:spacing w:line="261" w:lineRule="auto"/>
        <w:ind w:left="100" w:right="112" w:firstLine="240"/>
        <w:jc w:val="both"/>
      </w:pPr>
      <w:r>
        <w:rPr>
          <w:color w:val="231F20"/>
          <w:w w:val="110"/>
        </w:rPr>
        <w:t>En</w:t>
      </w:r>
      <w:r>
        <w:rPr>
          <w:color w:val="231F20"/>
          <w:spacing w:val="-20"/>
          <w:w w:val="110"/>
        </w:rPr>
        <w:t> </w:t>
      </w:r>
      <w:r>
        <w:rPr>
          <w:color w:val="231F20"/>
          <w:w w:val="110"/>
        </w:rPr>
        <w:t>esta</w:t>
      </w:r>
      <w:r>
        <w:rPr>
          <w:color w:val="231F20"/>
          <w:spacing w:val="-20"/>
          <w:w w:val="110"/>
        </w:rPr>
        <w:t> </w:t>
      </w:r>
      <w:r>
        <w:rPr>
          <w:color w:val="231F20"/>
          <w:w w:val="110"/>
        </w:rPr>
        <w:t>formación</w:t>
      </w:r>
      <w:r>
        <w:rPr>
          <w:color w:val="231F20"/>
          <w:spacing w:val="-20"/>
          <w:w w:val="110"/>
        </w:rPr>
        <w:t> </w:t>
      </w:r>
      <w:r>
        <w:rPr>
          <w:color w:val="231F20"/>
          <w:w w:val="110"/>
        </w:rPr>
        <w:t>social</w:t>
      </w:r>
      <w:r>
        <w:rPr>
          <w:color w:val="231F20"/>
          <w:spacing w:val="-20"/>
          <w:w w:val="110"/>
        </w:rPr>
        <w:t> </w:t>
      </w:r>
      <w:r>
        <w:rPr>
          <w:color w:val="231F20"/>
          <w:w w:val="110"/>
        </w:rPr>
        <w:t>intermedia</w:t>
      </w:r>
      <w:r>
        <w:rPr>
          <w:color w:val="231F20"/>
          <w:spacing w:val="-20"/>
          <w:w w:val="110"/>
        </w:rPr>
        <w:t> </w:t>
      </w:r>
      <w:r>
        <w:rPr>
          <w:color w:val="231F20"/>
          <w:w w:val="110"/>
        </w:rPr>
        <w:t>todavía</w:t>
      </w:r>
      <w:r>
        <w:rPr>
          <w:color w:val="231F20"/>
          <w:spacing w:val="-20"/>
          <w:w w:val="110"/>
        </w:rPr>
        <w:t> </w:t>
      </w:r>
      <w:r>
        <w:rPr>
          <w:color w:val="231F20"/>
          <w:w w:val="110"/>
        </w:rPr>
        <w:t>existiría</w:t>
      </w:r>
      <w:r>
        <w:rPr>
          <w:color w:val="231F20"/>
          <w:spacing w:val="-20"/>
          <w:w w:val="110"/>
        </w:rPr>
        <w:t> </w:t>
      </w:r>
      <w:r>
        <w:rPr>
          <w:color w:val="231F20"/>
          <w:w w:val="110"/>
        </w:rPr>
        <w:t>el</w:t>
      </w:r>
      <w:r>
        <w:rPr>
          <w:color w:val="231F20"/>
          <w:spacing w:val="-20"/>
          <w:w w:val="110"/>
        </w:rPr>
        <w:t> </w:t>
      </w:r>
      <w:r>
        <w:rPr>
          <w:color w:val="231F20"/>
          <w:w w:val="110"/>
        </w:rPr>
        <w:t>Estado</w:t>
      </w:r>
      <w:r>
        <w:rPr>
          <w:color w:val="231F20"/>
          <w:spacing w:val="-20"/>
          <w:w w:val="110"/>
        </w:rPr>
        <w:t> </w:t>
      </w:r>
      <w:r>
        <w:rPr>
          <w:color w:val="231F20"/>
          <w:w w:val="110"/>
        </w:rPr>
        <w:t>para obligar</w:t>
      </w:r>
      <w:r>
        <w:rPr>
          <w:color w:val="231F20"/>
          <w:spacing w:val="-17"/>
          <w:w w:val="110"/>
        </w:rPr>
        <w:t> </w:t>
      </w:r>
      <w:r>
        <w:rPr>
          <w:color w:val="231F20"/>
          <w:w w:val="110"/>
        </w:rPr>
        <w:t>por</w:t>
      </w:r>
      <w:r>
        <w:rPr>
          <w:color w:val="231F20"/>
          <w:spacing w:val="-17"/>
          <w:w w:val="110"/>
        </w:rPr>
        <w:t> </w:t>
      </w:r>
      <w:r>
        <w:rPr>
          <w:color w:val="231F20"/>
          <w:w w:val="110"/>
        </w:rPr>
        <w:t>la</w:t>
      </w:r>
      <w:r>
        <w:rPr>
          <w:color w:val="231F20"/>
          <w:spacing w:val="-17"/>
          <w:w w:val="110"/>
        </w:rPr>
        <w:t> </w:t>
      </w:r>
      <w:r>
        <w:rPr>
          <w:color w:val="231F20"/>
          <w:w w:val="110"/>
        </w:rPr>
        <w:t>coerción</w:t>
      </w:r>
      <w:r>
        <w:rPr>
          <w:color w:val="231F20"/>
          <w:spacing w:val="-17"/>
          <w:w w:val="110"/>
        </w:rPr>
        <w:t> </w:t>
      </w:r>
      <w:r>
        <w:rPr>
          <w:color w:val="231F20"/>
          <w:w w:val="110"/>
        </w:rPr>
        <w:t>(para</w:t>
      </w:r>
      <w:r>
        <w:rPr>
          <w:color w:val="231F20"/>
          <w:spacing w:val="-17"/>
          <w:w w:val="110"/>
        </w:rPr>
        <w:t> </w:t>
      </w:r>
      <w:r>
        <w:rPr>
          <w:color w:val="231F20"/>
          <w:w w:val="110"/>
        </w:rPr>
        <w:t>los</w:t>
      </w:r>
      <w:r>
        <w:rPr>
          <w:color w:val="231F20"/>
          <w:spacing w:val="-17"/>
          <w:w w:val="110"/>
        </w:rPr>
        <w:t> </w:t>
      </w:r>
      <w:r>
        <w:rPr>
          <w:color w:val="231F20"/>
          <w:w w:val="110"/>
        </w:rPr>
        <w:t>comunistas</w:t>
      </w:r>
      <w:r>
        <w:rPr>
          <w:color w:val="231F20"/>
          <w:spacing w:val="-17"/>
          <w:w w:val="110"/>
        </w:rPr>
        <w:t> </w:t>
      </w:r>
      <w:r>
        <w:rPr>
          <w:color w:val="231F20"/>
          <w:w w:val="110"/>
        </w:rPr>
        <w:t>y</w:t>
      </w:r>
      <w:r>
        <w:rPr>
          <w:color w:val="231F20"/>
          <w:spacing w:val="-17"/>
          <w:w w:val="110"/>
        </w:rPr>
        <w:t> </w:t>
      </w:r>
      <w:r>
        <w:rPr>
          <w:color w:val="231F20"/>
          <w:w w:val="110"/>
        </w:rPr>
        <w:t>anarquistas</w:t>
      </w:r>
      <w:r>
        <w:rPr>
          <w:color w:val="231F20"/>
          <w:spacing w:val="-17"/>
          <w:w w:val="110"/>
        </w:rPr>
        <w:t> </w:t>
      </w:r>
      <w:r>
        <w:rPr>
          <w:color w:val="231F20"/>
          <w:w w:val="110"/>
        </w:rPr>
        <w:t>todo</w:t>
      </w:r>
      <w:r>
        <w:rPr>
          <w:color w:val="231F20"/>
          <w:spacing w:val="-17"/>
          <w:w w:val="110"/>
        </w:rPr>
        <w:t> </w:t>
      </w:r>
      <w:r>
        <w:rPr>
          <w:color w:val="231F20"/>
          <w:w w:val="110"/>
        </w:rPr>
        <w:t>Estado es una dictadura, para Marx una dictadura de clases) la transforma- ción</w:t>
      </w:r>
      <w:r>
        <w:rPr>
          <w:color w:val="231F20"/>
          <w:spacing w:val="-18"/>
          <w:w w:val="110"/>
        </w:rPr>
        <w:t> </w:t>
      </w:r>
      <w:r>
        <w:rPr>
          <w:color w:val="231F20"/>
          <w:w w:val="110"/>
        </w:rPr>
        <w:t>de</w:t>
      </w:r>
      <w:r>
        <w:rPr>
          <w:color w:val="231F20"/>
          <w:spacing w:val="-18"/>
          <w:w w:val="110"/>
        </w:rPr>
        <w:t> </w:t>
      </w:r>
      <w:r>
        <w:rPr>
          <w:color w:val="231F20"/>
          <w:w w:val="110"/>
        </w:rPr>
        <w:t>todo</w:t>
      </w:r>
      <w:r>
        <w:rPr>
          <w:color w:val="231F20"/>
          <w:spacing w:val="-18"/>
          <w:w w:val="110"/>
        </w:rPr>
        <w:t> </w:t>
      </w:r>
      <w:r>
        <w:rPr>
          <w:color w:val="231F20"/>
          <w:w w:val="110"/>
        </w:rPr>
        <w:t>el</w:t>
      </w:r>
      <w:r>
        <w:rPr>
          <w:color w:val="231F20"/>
          <w:spacing w:val="-18"/>
          <w:w w:val="110"/>
        </w:rPr>
        <w:t> </w:t>
      </w:r>
      <w:r>
        <w:rPr>
          <w:color w:val="231F20"/>
          <w:w w:val="110"/>
        </w:rPr>
        <w:t>sistema</w:t>
      </w:r>
      <w:r>
        <w:rPr>
          <w:color w:val="231F20"/>
          <w:spacing w:val="-18"/>
          <w:w w:val="110"/>
        </w:rPr>
        <w:t> </w:t>
      </w:r>
      <w:r>
        <w:rPr>
          <w:color w:val="231F20"/>
          <w:w w:val="110"/>
        </w:rPr>
        <w:t>jurídico,</w:t>
      </w:r>
      <w:r>
        <w:rPr>
          <w:color w:val="231F20"/>
          <w:spacing w:val="-18"/>
          <w:w w:val="110"/>
        </w:rPr>
        <w:t> </w:t>
      </w:r>
      <w:r>
        <w:rPr>
          <w:color w:val="231F20"/>
          <w:w w:val="110"/>
        </w:rPr>
        <w:t>de</w:t>
      </w:r>
      <w:r>
        <w:rPr>
          <w:color w:val="231F20"/>
          <w:spacing w:val="-18"/>
          <w:w w:val="110"/>
        </w:rPr>
        <w:t> </w:t>
      </w:r>
      <w:r>
        <w:rPr>
          <w:color w:val="231F20"/>
          <w:w w:val="110"/>
        </w:rPr>
        <w:t>todas</w:t>
      </w:r>
      <w:r>
        <w:rPr>
          <w:color w:val="231F20"/>
          <w:spacing w:val="-18"/>
          <w:w w:val="110"/>
        </w:rPr>
        <w:t> </w:t>
      </w:r>
      <w:r>
        <w:rPr>
          <w:color w:val="231F20"/>
          <w:w w:val="110"/>
        </w:rPr>
        <w:t>las</w:t>
      </w:r>
      <w:r>
        <w:rPr>
          <w:color w:val="231F20"/>
          <w:spacing w:val="-18"/>
          <w:w w:val="110"/>
        </w:rPr>
        <w:t> </w:t>
      </w:r>
      <w:r>
        <w:rPr>
          <w:color w:val="231F20"/>
          <w:w w:val="110"/>
        </w:rPr>
        <w:t>instituciones</w:t>
      </w:r>
      <w:r>
        <w:rPr>
          <w:color w:val="231F20"/>
          <w:spacing w:val="-18"/>
          <w:w w:val="110"/>
        </w:rPr>
        <w:t> </w:t>
      </w:r>
      <w:r>
        <w:rPr>
          <w:color w:val="231F20"/>
          <w:w w:val="110"/>
        </w:rPr>
        <w:t>ideológicas, del sistema educacional, de las relaciones de producción capitalistas y para alcanzar el más alto estado de desarrollo de las fuerzas pro- ductivas a manera de permitir una economía de la abundancia que sustituiría las formas socioeconómicas conocidas, fundadas en la escasez. En al entendimiento de Marx, la superación del capitalismo será la superación de la prehistoria humana y el inicio de la historia de la</w:t>
      </w:r>
      <w:r>
        <w:rPr>
          <w:color w:val="231F20"/>
          <w:spacing w:val="49"/>
          <w:w w:val="110"/>
        </w:rPr>
        <w:t> </w:t>
      </w:r>
      <w:r>
        <w:rPr>
          <w:color w:val="231F20"/>
          <w:w w:val="110"/>
        </w:rPr>
        <w:t>humanidad.</w:t>
      </w:r>
    </w:p>
    <w:p>
      <w:pPr>
        <w:pStyle w:val="BodyText"/>
        <w:spacing w:line="261" w:lineRule="auto"/>
        <w:ind w:left="100" w:right="115" w:firstLine="240"/>
        <w:jc w:val="both"/>
      </w:pPr>
      <w:r>
        <w:rPr>
          <w:color w:val="231F20"/>
          <w:w w:val="110"/>
        </w:rPr>
        <w:t>Es evidente que una trasformación tan radical de la sociedad en escala mundial no podría realizarse de una manera inmediata y tam- poco las formaciones sociales que articularían esta trasformación   no podrían ser un modelo único sino que serían el resultado de distintas tradiciones culturales y civilizatorias, distintas correlacio- nes de fuerza y distintas formas de organización política. Tampoco podemos retirar de este plan histórico la idea de un solo y con- comitante proceso de transformación. Es evidente que se </w:t>
      </w:r>
      <w:r>
        <w:rPr>
          <w:color w:val="231F20"/>
          <w:spacing w:val="2"/>
          <w:w w:val="110"/>
        </w:rPr>
        <w:t>supone </w:t>
      </w:r>
      <w:r>
        <w:rPr>
          <w:color w:val="231F20"/>
          <w:w w:val="110"/>
        </w:rPr>
        <w:t>incluso avances y retrocesos de una lucha de clase que se desarrolla en interacción con los más distintos sistemas sociales locales,</w:t>
      </w:r>
      <w:r>
        <w:rPr>
          <w:color w:val="231F20"/>
          <w:spacing w:val="-16"/>
          <w:w w:val="110"/>
        </w:rPr>
        <w:t> </w:t>
      </w:r>
      <w:r>
        <w:rPr>
          <w:color w:val="231F20"/>
          <w:w w:val="110"/>
        </w:rPr>
        <w:t>nacio- nales o</w:t>
      </w:r>
      <w:r>
        <w:rPr>
          <w:color w:val="231F20"/>
          <w:spacing w:val="40"/>
          <w:w w:val="110"/>
        </w:rPr>
        <w:t> </w:t>
      </w:r>
      <w:r>
        <w:rPr>
          <w:color w:val="231F20"/>
          <w:w w:val="110"/>
        </w:rPr>
        <w:t>regionales.</w:t>
      </w:r>
    </w:p>
    <w:p>
      <w:pPr>
        <w:pStyle w:val="BodyText"/>
        <w:spacing w:line="261" w:lineRule="auto"/>
        <w:ind w:left="100" w:right="113" w:firstLine="240"/>
        <w:jc w:val="both"/>
      </w:pPr>
      <w:r>
        <w:rPr>
          <w:color w:val="231F20"/>
          <w:w w:val="110"/>
        </w:rPr>
        <w:t>Debemos suponer por lo tanto que el sistema social </w:t>
      </w:r>
      <w:r>
        <w:rPr>
          <w:color w:val="231F20"/>
          <w:spacing w:val="2"/>
          <w:w w:val="110"/>
        </w:rPr>
        <w:t>capitalis-   </w:t>
      </w:r>
      <w:r>
        <w:rPr>
          <w:color w:val="231F20"/>
          <w:spacing w:val="59"/>
          <w:w w:val="110"/>
        </w:rPr>
        <w:t> </w:t>
      </w:r>
      <w:r>
        <w:rPr>
          <w:color w:val="231F20"/>
          <w:w w:val="110"/>
        </w:rPr>
        <w:t>ta y las formas precapitalistas que con él conviven deben </w:t>
      </w:r>
      <w:r>
        <w:rPr>
          <w:color w:val="231F20"/>
          <w:spacing w:val="2"/>
          <w:w w:val="110"/>
        </w:rPr>
        <w:t>buscar</w:t>
      </w:r>
      <w:r>
        <w:rPr>
          <w:color w:val="231F20"/>
          <w:spacing w:val="59"/>
          <w:w w:val="110"/>
        </w:rPr>
        <w:t> </w:t>
      </w:r>
      <w:r>
        <w:rPr>
          <w:color w:val="231F20"/>
          <w:spacing w:val="3"/>
          <w:w w:val="110"/>
        </w:rPr>
        <w:t>adaptarse </w:t>
      </w:r>
      <w:r>
        <w:rPr>
          <w:color w:val="231F20"/>
          <w:w w:val="110"/>
        </w:rPr>
        <w:t>al </w:t>
      </w:r>
      <w:r>
        <w:rPr>
          <w:color w:val="231F20"/>
          <w:spacing w:val="3"/>
          <w:w w:val="110"/>
        </w:rPr>
        <w:t>avance </w:t>
      </w:r>
      <w:r>
        <w:rPr>
          <w:color w:val="231F20"/>
          <w:w w:val="110"/>
        </w:rPr>
        <w:t>de </w:t>
      </w:r>
      <w:r>
        <w:rPr>
          <w:color w:val="231F20"/>
          <w:spacing w:val="2"/>
          <w:w w:val="110"/>
        </w:rPr>
        <w:t>las </w:t>
      </w:r>
      <w:r>
        <w:rPr>
          <w:color w:val="231F20"/>
          <w:spacing w:val="3"/>
          <w:w w:val="110"/>
        </w:rPr>
        <w:t>fuerzas sociales revolucionarias para </w:t>
      </w:r>
      <w:r>
        <w:rPr>
          <w:color w:val="231F20"/>
          <w:w w:val="110"/>
        </w:rPr>
        <w:t>que pueda extender en el tiempo su sobrevivencia. Marx y </w:t>
      </w:r>
      <w:r>
        <w:rPr>
          <w:color w:val="231F20"/>
          <w:spacing w:val="2"/>
          <w:w w:val="110"/>
        </w:rPr>
        <w:t>Engels </w:t>
      </w:r>
      <w:r>
        <w:rPr>
          <w:color w:val="231F20"/>
          <w:w w:val="110"/>
        </w:rPr>
        <w:t>llegaron a prever en </w:t>
      </w:r>
      <w:r>
        <w:rPr>
          <w:i/>
          <w:color w:val="231F20"/>
          <w:w w:val="110"/>
        </w:rPr>
        <w:t>El capital</w:t>
      </w:r>
      <w:r>
        <w:rPr>
          <w:color w:val="231F20"/>
          <w:w w:val="110"/>
        </w:rPr>
        <w:t>, en los </w:t>
      </w:r>
      <w:r>
        <w:rPr>
          <w:i/>
          <w:color w:val="231F20"/>
          <w:spacing w:val="2"/>
          <w:w w:val="110"/>
        </w:rPr>
        <w:t>Grundrisse </w:t>
      </w:r>
      <w:r>
        <w:rPr>
          <w:color w:val="231F20"/>
          <w:w w:val="110"/>
        </w:rPr>
        <w:t>y en varios </w:t>
      </w:r>
      <w:r>
        <w:rPr>
          <w:color w:val="231F20"/>
          <w:spacing w:val="2"/>
          <w:w w:val="110"/>
        </w:rPr>
        <w:t>textos </w:t>
      </w:r>
      <w:r>
        <w:rPr>
          <w:color w:val="231F20"/>
          <w:w w:val="110"/>
        </w:rPr>
        <w:t>programáticos, algunas de las posibles formas que adoptaría esta creciente adaptación del  capitalismo  a  la  socialización  creciente de las fuerzas productivas a la cual era arrastrado   </w:t>
      </w:r>
      <w:r>
        <w:rPr>
          <w:color w:val="231F20"/>
          <w:spacing w:val="16"/>
          <w:w w:val="110"/>
        </w:rPr>
        <w:t> </w:t>
      </w:r>
      <w:r>
        <w:rPr>
          <w:color w:val="231F20"/>
          <w:w w:val="110"/>
        </w:rPr>
        <w:t>sistemáticamen-</w:t>
      </w:r>
    </w:p>
    <w:p>
      <w:pPr>
        <w:spacing w:after="0" w:line="261" w:lineRule="auto"/>
        <w:jc w:val="both"/>
        <w:sectPr>
          <w:headerReference w:type="even" r:id="rId60"/>
          <w:headerReference w:type="default" r:id="rId61"/>
          <w:pgSz w:w="7640" w:h="11900"/>
          <w:pgMar w:header="672" w:footer="0" w:top="860" w:bottom="280" w:left="780" w:right="640"/>
          <w:pgNumType w:start="42"/>
        </w:sectPr>
      </w:pPr>
    </w:p>
    <w:p>
      <w:pPr>
        <w:pStyle w:val="BodyText"/>
        <w:spacing w:before="8"/>
        <w:rPr>
          <w:sz w:val="8"/>
        </w:rPr>
      </w:pPr>
    </w:p>
    <w:p>
      <w:pPr>
        <w:pStyle w:val="BodyText"/>
        <w:spacing w:line="261" w:lineRule="auto" w:before="67"/>
        <w:ind w:left="100" w:right="117"/>
        <w:jc w:val="both"/>
        <w:rPr>
          <w:sz w:val="13"/>
        </w:rPr>
      </w:pPr>
      <w:r>
        <w:rPr>
          <w:color w:val="231F20"/>
          <w:w w:val="110"/>
        </w:rPr>
        <w:t>te como consecuencia del funcionamiento histórico del modo de</w:t>
      </w:r>
      <w:r>
        <w:rPr>
          <w:color w:val="231F20"/>
          <w:w w:val="114"/>
        </w:rPr>
        <w:t> </w:t>
      </w:r>
      <w:r>
        <w:rPr>
          <w:color w:val="231F20"/>
          <w:w w:val="110"/>
        </w:rPr>
        <w:t>producción capitalista.</w:t>
      </w:r>
      <w:r>
        <w:rPr>
          <w:color w:val="231F20"/>
          <w:w w:val="110"/>
          <w:position w:val="6"/>
          <w:sz w:val="13"/>
        </w:rPr>
        <w:t>1</w:t>
      </w:r>
    </w:p>
    <w:p>
      <w:pPr>
        <w:pStyle w:val="BodyText"/>
      </w:pPr>
    </w:p>
    <w:p>
      <w:pPr>
        <w:pStyle w:val="BodyText"/>
      </w:pPr>
    </w:p>
    <w:p>
      <w:pPr>
        <w:pStyle w:val="BodyText"/>
        <w:spacing w:before="2"/>
        <w:rPr>
          <w:sz w:val="25"/>
        </w:rPr>
      </w:pPr>
    </w:p>
    <w:p>
      <w:pPr>
        <w:pStyle w:val="BodyText"/>
        <w:spacing w:line="261" w:lineRule="auto"/>
        <w:ind w:left="100" w:right="117"/>
        <w:jc w:val="both"/>
      </w:pPr>
      <w:r>
        <w:rPr>
          <w:color w:val="231F20"/>
          <w:w w:val="125"/>
        </w:rPr>
        <w:t>los mecanismos de adaptación generados por las contradicciones internas del sistema son siempre precarios</w:t>
      </w:r>
    </w:p>
    <w:p>
      <w:pPr>
        <w:pStyle w:val="BodyText"/>
        <w:spacing w:before="8"/>
        <w:rPr>
          <w:sz w:val="21"/>
        </w:rPr>
      </w:pPr>
    </w:p>
    <w:p>
      <w:pPr>
        <w:pStyle w:val="BodyText"/>
        <w:spacing w:line="261" w:lineRule="auto"/>
        <w:ind w:left="100" w:right="117"/>
        <w:jc w:val="both"/>
      </w:pPr>
      <w:r>
        <w:rPr>
          <w:color w:val="231F20"/>
          <w:spacing w:val="-5"/>
          <w:w w:val="110"/>
        </w:rPr>
        <w:t>Tres </w:t>
      </w:r>
      <w:r>
        <w:rPr>
          <w:color w:val="231F20"/>
          <w:w w:val="110"/>
        </w:rPr>
        <w:t>eran los mecanismos centrales identificados por Marx para que el modo de producción capitalista pueda sobrevivir oponiéndose (siempre de manera precaria) a la tendencia a la caída de la tasa de ganancia a la cual era inevitablemente arrastrado por la competición capitalista</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desarrollo</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fuerzas</w:t>
      </w:r>
      <w:r>
        <w:rPr>
          <w:color w:val="231F20"/>
          <w:spacing w:val="-11"/>
          <w:w w:val="110"/>
        </w:rPr>
        <w:t> </w:t>
      </w:r>
      <w:r>
        <w:rPr>
          <w:color w:val="231F20"/>
          <w:w w:val="110"/>
        </w:rPr>
        <w:t>productivas</w:t>
      </w:r>
      <w:r>
        <w:rPr>
          <w:color w:val="231F20"/>
          <w:spacing w:val="-11"/>
          <w:w w:val="110"/>
        </w:rPr>
        <w:t> </w:t>
      </w:r>
      <w:r>
        <w:rPr>
          <w:color w:val="231F20"/>
          <w:w w:val="110"/>
        </w:rPr>
        <w:t>impelidas</w:t>
      </w:r>
      <w:r>
        <w:rPr>
          <w:color w:val="231F20"/>
          <w:spacing w:val="-11"/>
          <w:w w:val="110"/>
        </w:rPr>
        <w:t> </w:t>
      </w:r>
      <w:r>
        <w:rPr>
          <w:color w:val="231F20"/>
          <w:w w:val="110"/>
        </w:rPr>
        <w:t>por</w:t>
      </w:r>
      <w:r>
        <w:rPr>
          <w:color w:val="231F20"/>
          <w:spacing w:val="-11"/>
          <w:w w:val="110"/>
        </w:rPr>
        <w:t> </w:t>
      </w:r>
      <w:r>
        <w:rPr>
          <w:color w:val="231F20"/>
          <w:w w:val="110"/>
        </w:rPr>
        <w:t>las necesidades de la acumulación del</w:t>
      </w:r>
      <w:r>
        <w:rPr>
          <w:color w:val="231F20"/>
          <w:spacing w:val="30"/>
          <w:w w:val="110"/>
        </w:rPr>
        <w:t> </w:t>
      </w:r>
      <w:r>
        <w:rPr>
          <w:color w:val="231F20"/>
          <w:w w:val="110"/>
        </w:rPr>
        <w:t>capital.</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primer</w:t>
      </w:r>
      <w:r>
        <w:rPr>
          <w:color w:val="231F20"/>
          <w:spacing w:val="-6"/>
          <w:w w:val="110"/>
        </w:rPr>
        <w:t> </w:t>
      </w:r>
      <w:r>
        <w:rPr>
          <w:color w:val="231F20"/>
          <w:w w:val="110"/>
        </w:rPr>
        <w:t>lugar</w:t>
      </w:r>
      <w:r>
        <w:rPr>
          <w:color w:val="231F20"/>
          <w:spacing w:val="-6"/>
          <w:w w:val="110"/>
        </w:rPr>
        <w:t> </w:t>
      </w:r>
      <w:r>
        <w:rPr>
          <w:color w:val="231F20"/>
          <w:w w:val="110"/>
        </w:rPr>
        <w:t>ambos</w:t>
      </w:r>
      <w:r>
        <w:rPr>
          <w:color w:val="231F20"/>
          <w:spacing w:val="-6"/>
          <w:w w:val="110"/>
        </w:rPr>
        <w:t> </w:t>
      </w:r>
      <w:r>
        <w:rPr>
          <w:color w:val="231F20"/>
          <w:w w:val="110"/>
        </w:rPr>
        <w:t>localizaron</w:t>
      </w:r>
      <w:r>
        <w:rPr>
          <w:color w:val="231F20"/>
          <w:spacing w:val="-6"/>
          <w:w w:val="110"/>
        </w:rPr>
        <w:t> </w:t>
      </w:r>
      <w:r>
        <w:rPr>
          <w:color w:val="231F20"/>
          <w:w w:val="110"/>
        </w:rPr>
        <w:t>la</w:t>
      </w:r>
      <w:r>
        <w:rPr>
          <w:color w:val="231F20"/>
          <w:spacing w:val="-6"/>
          <w:w w:val="110"/>
        </w:rPr>
        <w:t> </w:t>
      </w:r>
      <w:r>
        <w:rPr>
          <w:color w:val="231F20"/>
          <w:w w:val="110"/>
        </w:rPr>
        <w:t>necesidad</w:t>
      </w:r>
      <w:r>
        <w:rPr>
          <w:color w:val="231F20"/>
          <w:spacing w:val="-6"/>
          <w:w w:val="110"/>
        </w:rPr>
        <w:t> </w:t>
      </w:r>
      <w:r>
        <w:rPr>
          <w:color w:val="231F20"/>
          <w:w w:val="110"/>
        </w:rPr>
        <w:t>intrínseca</w:t>
      </w:r>
      <w:r>
        <w:rPr>
          <w:color w:val="231F20"/>
          <w:spacing w:val="-6"/>
          <w:w w:val="110"/>
        </w:rPr>
        <w:t> </w:t>
      </w:r>
      <w:r>
        <w:rPr>
          <w:color w:val="231F20"/>
          <w:w w:val="110"/>
        </w:rPr>
        <w:t>al</w:t>
      </w:r>
      <w:r>
        <w:rPr>
          <w:color w:val="231F20"/>
          <w:spacing w:val="-6"/>
          <w:w w:val="110"/>
        </w:rPr>
        <w:t> </w:t>
      </w:r>
      <w:r>
        <w:rPr>
          <w:color w:val="231F20"/>
          <w:w w:val="110"/>
        </w:rPr>
        <w:t>capi- talismo de imponer el dominio monopólico de los mercados como principal mecanismo para contrarrestar la tendencia a la caída de la tasa</w:t>
      </w:r>
      <w:r>
        <w:rPr>
          <w:color w:val="231F20"/>
          <w:spacing w:val="-15"/>
          <w:w w:val="110"/>
        </w:rPr>
        <w:t> </w:t>
      </w:r>
      <w:r>
        <w:rPr>
          <w:color w:val="231F20"/>
          <w:w w:val="110"/>
        </w:rPr>
        <w:t>de</w:t>
      </w:r>
      <w:r>
        <w:rPr>
          <w:color w:val="231F20"/>
          <w:spacing w:val="-15"/>
          <w:w w:val="110"/>
        </w:rPr>
        <w:t> </w:t>
      </w:r>
      <w:r>
        <w:rPr>
          <w:color w:val="231F20"/>
          <w:w w:val="110"/>
        </w:rPr>
        <w:t>ganancia.</w:t>
      </w:r>
      <w:r>
        <w:rPr>
          <w:color w:val="231F20"/>
          <w:spacing w:val="-15"/>
          <w:w w:val="110"/>
        </w:rPr>
        <w:t> </w:t>
      </w:r>
      <w:r>
        <w:rPr>
          <w:color w:val="231F20"/>
          <w:w w:val="110"/>
        </w:rPr>
        <w:t>Sólo</w:t>
      </w:r>
      <w:r>
        <w:rPr>
          <w:color w:val="231F20"/>
          <w:spacing w:val="-15"/>
          <w:w w:val="110"/>
        </w:rPr>
        <w:t> </w:t>
      </w:r>
      <w:r>
        <w:rPr>
          <w:color w:val="231F20"/>
          <w:w w:val="110"/>
        </w:rPr>
        <w:t>a</w:t>
      </w:r>
      <w:r>
        <w:rPr>
          <w:color w:val="231F20"/>
          <w:spacing w:val="-15"/>
          <w:w w:val="110"/>
        </w:rPr>
        <w:t> </w:t>
      </w:r>
      <w:r>
        <w:rPr>
          <w:color w:val="231F20"/>
          <w:w w:val="110"/>
        </w:rPr>
        <w:t>través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monopolización</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producción y</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realización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mercancías</w:t>
      </w:r>
      <w:r>
        <w:rPr>
          <w:color w:val="231F20"/>
          <w:spacing w:val="-10"/>
          <w:w w:val="110"/>
        </w:rPr>
        <w:t> </w:t>
      </w:r>
      <w:r>
        <w:rPr>
          <w:color w:val="231F20"/>
          <w:w w:val="110"/>
        </w:rPr>
        <w:t>el</w:t>
      </w:r>
      <w:r>
        <w:rPr>
          <w:color w:val="231F20"/>
          <w:spacing w:val="-10"/>
          <w:w w:val="110"/>
        </w:rPr>
        <w:t> </w:t>
      </w:r>
      <w:r>
        <w:rPr>
          <w:color w:val="231F20"/>
          <w:w w:val="110"/>
        </w:rPr>
        <w:t>capital</w:t>
      </w:r>
      <w:r>
        <w:rPr>
          <w:color w:val="231F20"/>
          <w:spacing w:val="-10"/>
          <w:w w:val="110"/>
        </w:rPr>
        <w:t> </w:t>
      </w:r>
      <w:r>
        <w:rPr>
          <w:color w:val="231F20"/>
          <w:w w:val="110"/>
        </w:rPr>
        <w:t>puede</w:t>
      </w:r>
      <w:r>
        <w:rPr>
          <w:color w:val="231F20"/>
          <w:spacing w:val="-10"/>
          <w:w w:val="110"/>
        </w:rPr>
        <w:t> </w:t>
      </w:r>
      <w:r>
        <w:rPr>
          <w:color w:val="231F20"/>
          <w:w w:val="110"/>
        </w:rPr>
        <w:t>generar</w:t>
      </w:r>
      <w:r>
        <w:rPr>
          <w:color w:val="231F20"/>
          <w:spacing w:val="-10"/>
          <w:w w:val="110"/>
        </w:rPr>
        <w:t> </w:t>
      </w:r>
      <w:r>
        <w:rPr>
          <w:color w:val="231F20"/>
          <w:w w:val="110"/>
        </w:rPr>
        <w:t>tasas</w:t>
      </w:r>
      <w:r>
        <w:rPr>
          <w:color w:val="231F20"/>
          <w:spacing w:val="-10"/>
          <w:w w:val="110"/>
        </w:rPr>
        <w:t> </w:t>
      </w:r>
      <w:r>
        <w:rPr>
          <w:color w:val="231F20"/>
          <w:w w:val="110"/>
        </w:rPr>
        <w:t>de ganancia elevadas, que se concentran en las empresas monopólicas. Ello genera históricamente un tipo nuevo de empresa en la cual el capital delega cada vez más la gestión empresarial a profesionales cuya ubicación socioeconómica contradictoria provoca crecientes contradicciones dentro de las propias unidades de producción entre la valorización del capital y la apropiación de la</w:t>
      </w:r>
      <w:r>
        <w:rPr>
          <w:color w:val="231F20"/>
          <w:spacing w:val="10"/>
          <w:w w:val="110"/>
        </w:rPr>
        <w:t> </w:t>
      </w:r>
      <w:r>
        <w:rPr>
          <w:color w:val="231F20"/>
          <w:w w:val="110"/>
        </w:rPr>
        <w:t>ganancia.</w:t>
      </w:r>
    </w:p>
    <w:p>
      <w:pPr>
        <w:pStyle w:val="BodyText"/>
        <w:spacing w:line="261" w:lineRule="auto"/>
        <w:ind w:left="100" w:right="119" w:firstLine="240"/>
        <w:jc w:val="both"/>
      </w:pPr>
      <w:r>
        <w:rPr>
          <w:color w:val="231F20"/>
          <w:w w:val="105"/>
        </w:rPr>
        <w:t>La implantación de un mercado monopólico y oligopólico ya se presentaba en </w:t>
      </w:r>
      <w:r>
        <w:rPr>
          <w:i/>
          <w:color w:val="231F20"/>
          <w:w w:val="105"/>
        </w:rPr>
        <w:t>El capital </w:t>
      </w:r>
      <w:r>
        <w:rPr>
          <w:color w:val="231F20"/>
          <w:w w:val="105"/>
        </w:rPr>
        <w:t>como la tendencia inexorable de la evolución del capitalismo histórico. En segundo </w:t>
      </w:r>
      <w:r>
        <w:rPr>
          <w:color w:val="231F20"/>
          <w:spacing w:val="-5"/>
          <w:w w:val="105"/>
        </w:rPr>
        <w:t>lugar, </w:t>
      </w:r>
      <w:r>
        <w:rPr>
          <w:color w:val="231F20"/>
          <w:w w:val="105"/>
        </w:rPr>
        <w:t>para mantener una tasa de ganancia elevada en condiciones monopólicas es necesario apoyarse en fuerzas productivas cada vez más socializadas, que</w:t>
      </w:r>
      <w:r>
        <w:rPr>
          <w:color w:val="231F20"/>
          <w:spacing w:val="29"/>
          <w:w w:val="105"/>
        </w:rPr>
        <w:t> </w:t>
      </w:r>
      <w:r>
        <w:rPr>
          <w:color w:val="231F20"/>
          <w:w w:val="105"/>
        </w:rPr>
        <w:t>disminuyen</w:t>
      </w:r>
      <w:r>
        <w:rPr>
          <w:color w:val="231F20"/>
          <w:spacing w:val="11"/>
          <w:w w:val="105"/>
        </w:rPr>
        <w:t> </w:t>
      </w:r>
      <w:r>
        <w:rPr>
          <w:color w:val="231F20"/>
          <w:w w:val="105"/>
        </w:rPr>
        <w:t>drásti-</w:t>
      </w:r>
      <w:r>
        <w:rPr>
          <w:color w:val="231F20"/>
          <w:w w:val="72"/>
        </w:rPr>
        <w:t> </w:t>
      </w:r>
      <w:r>
        <w:rPr>
          <w:color w:val="231F20"/>
          <w:w w:val="105"/>
        </w:rPr>
        <w:t>camente la cantidad de trabajo socialmente necesario vivo en relación al trabajo muerto, incorporado en las instalaciones, las </w:t>
      </w:r>
      <w:r>
        <w:rPr>
          <w:color w:val="231F20"/>
          <w:spacing w:val="-2"/>
          <w:w w:val="105"/>
        </w:rPr>
        <w:t>maquinarias,   </w:t>
      </w:r>
      <w:r>
        <w:rPr>
          <w:color w:val="231F20"/>
          <w:w w:val="105"/>
        </w:rPr>
        <w:t>las</w:t>
      </w:r>
      <w:r>
        <w:rPr>
          <w:color w:val="231F20"/>
          <w:spacing w:val="22"/>
          <w:w w:val="105"/>
        </w:rPr>
        <w:t> </w:t>
      </w:r>
      <w:r>
        <w:rPr>
          <w:color w:val="231F20"/>
          <w:w w:val="105"/>
        </w:rPr>
        <w:t>materias</w:t>
      </w:r>
      <w:r>
        <w:rPr>
          <w:color w:val="231F20"/>
          <w:spacing w:val="22"/>
          <w:w w:val="105"/>
        </w:rPr>
        <w:t> </w:t>
      </w:r>
      <w:r>
        <w:rPr>
          <w:color w:val="231F20"/>
          <w:w w:val="105"/>
        </w:rPr>
        <w:t>primas</w:t>
      </w:r>
      <w:r>
        <w:rPr>
          <w:color w:val="231F20"/>
          <w:spacing w:val="22"/>
          <w:w w:val="105"/>
        </w:rPr>
        <w:t> </w:t>
      </w:r>
      <w:r>
        <w:rPr>
          <w:color w:val="231F20"/>
          <w:w w:val="105"/>
        </w:rPr>
        <w:t>gigantescas</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trabajador</w:t>
      </w:r>
      <w:r>
        <w:rPr>
          <w:color w:val="231F20"/>
          <w:spacing w:val="22"/>
          <w:w w:val="105"/>
        </w:rPr>
        <w:t> </w:t>
      </w:r>
      <w:r>
        <w:rPr>
          <w:color w:val="231F20"/>
          <w:w w:val="105"/>
        </w:rPr>
        <w:t>pasa</w:t>
      </w:r>
      <w:r>
        <w:rPr>
          <w:color w:val="231F20"/>
          <w:spacing w:val="22"/>
          <w:w w:val="105"/>
        </w:rPr>
        <w:t> </w:t>
      </w:r>
      <w:r>
        <w:rPr>
          <w:color w:val="231F20"/>
          <w:w w:val="105"/>
        </w:rPr>
        <w:t>a</w:t>
      </w:r>
      <w:r>
        <w:rPr>
          <w:color w:val="231F20"/>
          <w:spacing w:val="22"/>
          <w:w w:val="105"/>
        </w:rPr>
        <w:t> </w:t>
      </w:r>
      <w:r>
        <w:rPr>
          <w:color w:val="231F20"/>
          <w:spacing w:val="-4"/>
          <w:w w:val="105"/>
        </w:rPr>
        <w:t>transformar.</w:t>
      </w:r>
    </w:p>
    <w:p>
      <w:pPr>
        <w:pStyle w:val="BodyText"/>
      </w:pPr>
    </w:p>
    <w:p>
      <w:pPr>
        <w:pStyle w:val="BodyText"/>
        <w:spacing w:before="10"/>
        <w:rPr>
          <w:sz w:val="21"/>
        </w:rPr>
      </w:pPr>
    </w:p>
    <w:p>
      <w:pPr>
        <w:spacing w:line="261" w:lineRule="auto" w:before="0"/>
        <w:ind w:left="100" w:right="117" w:firstLine="240"/>
        <w:jc w:val="both"/>
        <w:rPr>
          <w:sz w:val="16"/>
        </w:rPr>
      </w:pPr>
      <w:r>
        <w:rPr>
          <w:color w:val="231F20"/>
          <w:w w:val="105"/>
          <w:position w:val="5"/>
          <w:sz w:val="10"/>
        </w:rPr>
        <w:t>1 </w:t>
      </w:r>
      <w:r>
        <w:rPr>
          <w:color w:val="231F20"/>
          <w:w w:val="105"/>
          <w:sz w:val="16"/>
        </w:rPr>
        <w:t>La sistematización de la concepción marxista de la transición socialista ha sido objeto de una amplia polémica histórica que se ve obligada a redefinirse permanen- temente en consecuencia de la diversidad de formas históricas y de mecanismos por     las cuales la humanidad en general y las varias experiencias nacionales y locales hace cambiar  su  propio</w:t>
      </w:r>
      <w:r>
        <w:rPr>
          <w:color w:val="231F20"/>
          <w:spacing w:val="30"/>
          <w:w w:val="105"/>
          <w:sz w:val="16"/>
        </w:rPr>
        <w:t> </w:t>
      </w:r>
      <w:r>
        <w:rPr>
          <w:color w:val="231F20"/>
          <w:w w:val="105"/>
          <w:sz w:val="16"/>
        </w:rPr>
        <w:t>destino.</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spacing w:val="-5"/>
          <w:w w:val="110"/>
        </w:rPr>
        <w:t>Todo </w:t>
      </w:r>
      <w:r>
        <w:rPr>
          <w:color w:val="231F20"/>
          <w:w w:val="110"/>
        </w:rPr>
        <w:t>esto conduce a la necesidad de aumentar cada vez más la innovación tecnológica y a buscar apropiarse de los conocimientos técnicos</w:t>
      </w:r>
      <w:r>
        <w:rPr>
          <w:color w:val="231F20"/>
          <w:spacing w:val="-10"/>
          <w:w w:val="110"/>
        </w:rPr>
        <w:t> </w:t>
      </w:r>
      <w:r>
        <w:rPr>
          <w:color w:val="231F20"/>
          <w:w w:val="110"/>
        </w:rPr>
        <w:t>y</w:t>
      </w:r>
      <w:r>
        <w:rPr>
          <w:color w:val="231F20"/>
          <w:spacing w:val="-10"/>
          <w:w w:val="110"/>
        </w:rPr>
        <w:t> </w:t>
      </w:r>
      <w:r>
        <w:rPr>
          <w:color w:val="231F20"/>
          <w:w w:val="110"/>
        </w:rPr>
        <w:t>científicos</w:t>
      </w:r>
      <w:r>
        <w:rPr>
          <w:color w:val="231F20"/>
          <w:spacing w:val="-10"/>
          <w:w w:val="110"/>
        </w:rPr>
        <w:t> </w:t>
      </w:r>
      <w:r>
        <w:rPr>
          <w:color w:val="231F20"/>
          <w:w w:val="110"/>
        </w:rPr>
        <w:t>para</w:t>
      </w:r>
      <w:r>
        <w:rPr>
          <w:color w:val="231F20"/>
          <w:spacing w:val="-10"/>
          <w:w w:val="110"/>
        </w:rPr>
        <w:t> </w:t>
      </w:r>
      <w:r>
        <w:rPr>
          <w:color w:val="231F20"/>
          <w:w w:val="110"/>
        </w:rPr>
        <w:t>colocarlos</w:t>
      </w:r>
      <w:r>
        <w:rPr>
          <w:color w:val="231F20"/>
          <w:spacing w:val="-10"/>
          <w:w w:val="110"/>
        </w:rPr>
        <w:t> </w:t>
      </w:r>
      <w:r>
        <w:rPr>
          <w:color w:val="231F20"/>
          <w:w w:val="110"/>
        </w:rPr>
        <w:t>bajo</w:t>
      </w:r>
      <w:r>
        <w:rPr>
          <w:color w:val="231F20"/>
          <w:spacing w:val="-10"/>
          <w:w w:val="110"/>
        </w:rPr>
        <w:t> </w:t>
      </w:r>
      <w:r>
        <w:rPr>
          <w:color w:val="231F20"/>
          <w:w w:val="110"/>
        </w:rPr>
        <w:t>el</w:t>
      </w:r>
      <w:r>
        <w:rPr>
          <w:color w:val="231F20"/>
          <w:spacing w:val="-10"/>
          <w:w w:val="110"/>
        </w:rPr>
        <w:t> </w:t>
      </w:r>
      <w:r>
        <w:rPr>
          <w:color w:val="231F20"/>
          <w:w w:val="110"/>
        </w:rPr>
        <w:t>dominio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propiedad privada,</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cual</w:t>
      </w:r>
      <w:r>
        <w:rPr>
          <w:color w:val="231F20"/>
          <w:spacing w:val="-4"/>
          <w:w w:val="110"/>
        </w:rPr>
        <w:t> </w:t>
      </w:r>
      <w:r>
        <w:rPr>
          <w:color w:val="231F20"/>
          <w:w w:val="110"/>
        </w:rPr>
        <w:t>se</w:t>
      </w:r>
      <w:r>
        <w:rPr>
          <w:color w:val="231F20"/>
          <w:spacing w:val="-4"/>
          <w:w w:val="110"/>
        </w:rPr>
        <w:t> </w:t>
      </w:r>
      <w:r>
        <w:rPr>
          <w:color w:val="231F20"/>
          <w:w w:val="110"/>
        </w:rPr>
        <w:t>funda</w:t>
      </w:r>
      <w:r>
        <w:rPr>
          <w:color w:val="231F20"/>
          <w:spacing w:val="-4"/>
          <w:w w:val="110"/>
        </w:rPr>
        <w:t> </w:t>
      </w:r>
      <w:r>
        <w:rPr>
          <w:color w:val="231F20"/>
          <w:w w:val="110"/>
        </w:rPr>
        <w:t>el</w:t>
      </w:r>
      <w:r>
        <w:rPr>
          <w:color w:val="231F20"/>
          <w:spacing w:val="-4"/>
          <w:w w:val="110"/>
        </w:rPr>
        <w:t> </w:t>
      </w:r>
      <w:r>
        <w:rPr>
          <w:color w:val="231F20"/>
          <w:w w:val="110"/>
        </w:rPr>
        <w:t>capital.</w:t>
      </w:r>
      <w:r>
        <w:rPr>
          <w:color w:val="231F20"/>
          <w:spacing w:val="-4"/>
          <w:w w:val="110"/>
        </w:rPr>
        <w:t> </w:t>
      </w:r>
      <w:r>
        <w:rPr>
          <w:color w:val="231F20"/>
          <w:w w:val="110"/>
        </w:rPr>
        <w:t>Marx</w:t>
      </w:r>
      <w:r>
        <w:rPr>
          <w:color w:val="231F20"/>
          <w:spacing w:val="-4"/>
          <w:w w:val="110"/>
        </w:rPr>
        <w:t> </w:t>
      </w:r>
      <w:r>
        <w:rPr>
          <w:color w:val="231F20"/>
          <w:w w:val="110"/>
        </w:rPr>
        <w:t>y</w:t>
      </w:r>
      <w:r>
        <w:rPr>
          <w:color w:val="231F20"/>
          <w:spacing w:val="-4"/>
          <w:w w:val="110"/>
        </w:rPr>
        <w:t> </w:t>
      </w:r>
      <w:r>
        <w:rPr>
          <w:color w:val="231F20"/>
          <w:w w:val="110"/>
        </w:rPr>
        <w:t>posteriormente</w:t>
      </w:r>
      <w:r>
        <w:rPr>
          <w:color w:val="231F20"/>
          <w:spacing w:val="-4"/>
          <w:w w:val="110"/>
        </w:rPr>
        <w:t> </w:t>
      </w:r>
      <w:r>
        <w:rPr>
          <w:color w:val="231F20"/>
          <w:w w:val="110"/>
        </w:rPr>
        <w:t>Engels llamaban</w:t>
      </w:r>
      <w:r>
        <w:rPr>
          <w:color w:val="231F20"/>
          <w:spacing w:val="-14"/>
          <w:w w:val="110"/>
        </w:rPr>
        <w:t> </w:t>
      </w:r>
      <w:r>
        <w:rPr>
          <w:color w:val="231F20"/>
          <w:w w:val="110"/>
        </w:rPr>
        <w:t>la</w:t>
      </w:r>
      <w:r>
        <w:rPr>
          <w:color w:val="231F20"/>
          <w:spacing w:val="-14"/>
          <w:w w:val="110"/>
        </w:rPr>
        <w:t> </w:t>
      </w:r>
      <w:r>
        <w:rPr>
          <w:color w:val="231F20"/>
          <w:w w:val="110"/>
        </w:rPr>
        <w:t>atención</w:t>
      </w:r>
      <w:r>
        <w:rPr>
          <w:color w:val="231F20"/>
          <w:spacing w:val="-14"/>
          <w:w w:val="110"/>
        </w:rPr>
        <w:t> </w:t>
      </w:r>
      <w:r>
        <w:rPr>
          <w:color w:val="231F20"/>
          <w:w w:val="110"/>
        </w:rPr>
        <w:t>no</w:t>
      </w:r>
      <w:r>
        <w:rPr>
          <w:color w:val="231F20"/>
          <w:spacing w:val="-14"/>
          <w:w w:val="110"/>
        </w:rPr>
        <w:t> </w:t>
      </w:r>
      <w:r>
        <w:rPr>
          <w:color w:val="231F20"/>
          <w:w w:val="110"/>
        </w:rPr>
        <w:t>sólo</w:t>
      </w:r>
      <w:r>
        <w:rPr>
          <w:color w:val="231F20"/>
          <w:spacing w:val="-14"/>
          <w:w w:val="110"/>
        </w:rPr>
        <w:t> </w:t>
      </w:r>
      <w:r>
        <w:rPr>
          <w:color w:val="231F20"/>
          <w:w w:val="110"/>
        </w:rPr>
        <w:t>para</w:t>
      </w:r>
      <w:r>
        <w:rPr>
          <w:color w:val="231F20"/>
          <w:spacing w:val="-14"/>
          <w:w w:val="110"/>
        </w:rPr>
        <w:t> </w:t>
      </w:r>
      <w:r>
        <w:rPr>
          <w:color w:val="231F20"/>
          <w:w w:val="110"/>
        </w:rPr>
        <w:t>la</w:t>
      </w:r>
      <w:r>
        <w:rPr>
          <w:color w:val="231F20"/>
          <w:spacing w:val="-14"/>
          <w:w w:val="110"/>
        </w:rPr>
        <w:t> </w:t>
      </w:r>
      <w:r>
        <w:rPr>
          <w:color w:val="231F20"/>
          <w:w w:val="110"/>
        </w:rPr>
        <w:t>necesidad</w:t>
      </w:r>
      <w:r>
        <w:rPr>
          <w:color w:val="231F20"/>
          <w:spacing w:val="-14"/>
          <w:w w:val="110"/>
        </w:rPr>
        <w:t> </w:t>
      </w:r>
      <w:r>
        <w:rPr>
          <w:color w:val="231F20"/>
          <w:w w:val="110"/>
        </w:rPr>
        <w:t>de</w:t>
      </w:r>
      <w:r>
        <w:rPr>
          <w:color w:val="231F20"/>
          <w:spacing w:val="-14"/>
          <w:w w:val="110"/>
        </w:rPr>
        <w:t> </w:t>
      </w:r>
      <w:r>
        <w:rPr>
          <w:color w:val="231F20"/>
          <w:w w:val="110"/>
        </w:rPr>
        <w:t>socializar</w:t>
      </w:r>
      <w:r>
        <w:rPr>
          <w:color w:val="231F20"/>
          <w:spacing w:val="-14"/>
          <w:w w:val="110"/>
        </w:rPr>
        <w:t> </w:t>
      </w:r>
      <w:r>
        <w:rPr>
          <w:color w:val="231F20"/>
          <w:w w:val="110"/>
        </w:rPr>
        <w:t>la</w:t>
      </w:r>
      <w:r>
        <w:rPr>
          <w:color w:val="231F20"/>
          <w:spacing w:val="-14"/>
          <w:w w:val="110"/>
        </w:rPr>
        <w:t> </w:t>
      </w:r>
      <w:r>
        <w:rPr>
          <w:color w:val="231F20"/>
          <w:w w:val="110"/>
        </w:rPr>
        <w:t>propie- dad privada de los medios de producción, a través de las sociedades anónimas que recién empezaban en su época, así como preveían la extensión del monopolio capitalista a todo el sistema económico, como de hecho </w:t>
      </w:r>
      <w:r>
        <w:rPr>
          <w:color w:val="231F20"/>
          <w:spacing w:val="11"/>
          <w:w w:val="110"/>
        </w:rPr>
        <w:t> </w:t>
      </w:r>
      <w:r>
        <w:rPr>
          <w:color w:val="231F20"/>
          <w:w w:val="110"/>
        </w:rPr>
        <w:t>ocurrió.</w:t>
      </w:r>
    </w:p>
    <w:p>
      <w:pPr>
        <w:pStyle w:val="BodyText"/>
        <w:spacing w:line="261" w:lineRule="auto"/>
        <w:ind w:left="100" w:right="117" w:firstLine="240"/>
        <w:jc w:val="both"/>
      </w:pPr>
      <w:r>
        <w:rPr>
          <w:color w:val="231F20"/>
          <w:w w:val="110"/>
        </w:rPr>
        <w:t>Quedó claro aun que los sectores de pequeños propietarios que sobreviven y se recrean en el capitalismo están bajo el control del capital monopólico. Sea porque controlan las materias primas, sea porque controlan la demanda de los productos, sea porque dominan la tecnología utilizada, sea porque dominan los mercados por la vía de la publicidad, es el capital monopólico y el Estado que le sirven</w:t>
      </w:r>
      <w:r>
        <w:rPr>
          <w:color w:val="231F20"/>
          <w:spacing w:val="-32"/>
          <w:w w:val="110"/>
        </w:rPr>
        <w:t> </w:t>
      </w:r>
      <w:r>
        <w:rPr>
          <w:color w:val="231F20"/>
          <w:w w:val="110"/>
        </w:rPr>
        <w:t>a quienes definen las condiciones del trabajo de las pequeñas empre- sas.</w:t>
      </w:r>
      <w:r>
        <w:rPr>
          <w:color w:val="231F20"/>
          <w:spacing w:val="-8"/>
          <w:w w:val="110"/>
        </w:rPr>
        <w:t> </w:t>
      </w:r>
      <w:r>
        <w:rPr>
          <w:color w:val="231F20"/>
          <w:w w:val="110"/>
        </w:rPr>
        <w:t>Se</w:t>
      </w:r>
      <w:r>
        <w:rPr>
          <w:color w:val="231F20"/>
          <w:spacing w:val="-8"/>
          <w:w w:val="110"/>
        </w:rPr>
        <w:t> </w:t>
      </w:r>
      <w:r>
        <w:rPr>
          <w:color w:val="231F20"/>
          <w:w w:val="110"/>
        </w:rPr>
        <w:t>diseñan</w:t>
      </w:r>
      <w:r>
        <w:rPr>
          <w:color w:val="231F20"/>
          <w:spacing w:val="-8"/>
          <w:w w:val="110"/>
        </w:rPr>
        <w:t> </w:t>
      </w:r>
      <w:r>
        <w:rPr>
          <w:color w:val="231F20"/>
          <w:w w:val="110"/>
        </w:rPr>
        <w:t>así</w:t>
      </w:r>
      <w:r>
        <w:rPr>
          <w:color w:val="231F20"/>
          <w:spacing w:val="-8"/>
          <w:w w:val="110"/>
        </w:rPr>
        <w:t> </w:t>
      </w:r>
      <w:r>
        <w:rPr>
          <w:color w:val="231F20"/>
          <w:w w:val="110"/>
        </w:rPr>
        <w:t>los</w:t>
      </w:r>
      <w:r>
        <w:rPr>
          <w:color w:val="231F20"/>
          <w:spacing w:val="-8"/>
          <w:w w:val="110"/>
        </w:rPr>
        <w:t> </w:t>
      </w:r>
      <w:r>
        <w:rPr>
          <w:color w:val="231F20"/>
          <w:w w:val="110"/>
        </w:rPr>
        <w:t>fenómenos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concentración</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centraliza- ción</w:t>
      </w:r>
      <w:r>
        <w:rPr>
          <w:color w:val="231F20"/>
          <w:spacing w:val="-6"/>
          <w:w w:val="110"/>
        </w:rPr>
        <w:t> </w:t>
      </w:r>
      <w:r>
        <w:rPr>
          <w:color w:val="231F20"/>
          <w:w w:val="110"/>
        </w:rPr>
        <w:t>del</w:t>
      </w:r>
      <w:r>
        <w:rPr>
          <w:color w:val="231F20"/>
          <w:spacing w:val="-6"/>
          <w:w w:val="110"/>
        </w:rPr>
        <w:t> </w:t>
      </w:r>
      <w:r>
        <w:rPr>
          <w:color w:val="231F20"/>
          <w:w w:val="110"/>
        </w:rPr>
        <w:t>capital</w:t>
      </w:r>
      <w:r>
        <w:rPr>
          <w:color w:val="231F20"/>
          <w:spacing w:val="-6"/>
          <w:w w:val="110"/>
        </w:rPr>
        <w:t> </w:t>
      </w:r>
      <w:r>
        <w:rPr>
          <w:color w:val="231F20"/>
          <w:w w:val="110"/>
        </w:rPr>
        <w:t>como</w:t>
      </w:r>
      <w:r>
        <w:rPr>
          <w:color w:val="231F20"/>
          <w:spacing w:val="-6"/>
          <w:w w:val="110"/>
        </w:rPr>
        <w:t> </w:t>
      </w:r>
      <w:r>
        <w:rPr>
          <w:color w:val="231F20"/>
          <w:w w:val="110"/>
        </w:rPr>
        <w:t>necesidad</w:t>
      </w:r>
      <w:r>
        <w:rPr>
          <w:color w:val="231F20"/>
          <w:spacing w:val="-6"/>
          <w:w w:val="110"/>
        </w:rPr>
        <w:t> </w:t>
      </w:r>
      <w:r>
        <w:rPr>
          <w:color w:val="231F20"/>
          <w:w w:val="110"/>
        </w:rPr>
        <w:t>fundamental</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funcionamiento del modo de producción capitalista expuesto permanentemente a las condiciones de un creciente desarrollo de las fuerzas productivas. Pero</w:t>
      </w:r>
      <w:r>
        <w:rPr>
          <w:color w:val="231F20"/>
          <w:spacing w:val="-14"/>
          <w:w w:val="110"/>
        </w:rPr>
        <w:t> </w:t>
      </w:r>
      <w:r>
        <w:rPr>
          <w:color w:val="231F20"/>
          <w:w w:val="110"/>
        </w:rPr>
        <w:t>este</w:t>
      </w:r>
      <w:r>
        <w:rPr>
          <w:color w:val="231F20"/>
          <w:spacing w:val="-14"/>
          <w:w w:val="110"/>
        </w:rPr>
        <w:t> </w:t>
      </w:r>
      <w:r>
        <w:rPr>
          <w:color w:val="231F20"/>
          <w:w w:val="110"/>
        </w:rPr>
        <w:t>desarrollo</w:t>
      </w:r>
      <w:r>
        <w:rPr>
          <w:color w:val="231F20"/>
          <w:spacing w:val="-14"/>
          <w:w w:val="110"/>
        </w:rPr>
        <w:t> </w:t>
      </w:r>
      <w:r>
        <w:rPr>
          <w:color w:val="231F20"/>
          <w:w w:val="110"/>
        </w:rPr>
        <w:t>está</w:t>
      </w:r>
      <w:r>
        <w:rPr>
          <w:color w:val="231F20"/>
          <w:spacing w:val="-14"/>
          <w:w w:val="110"/>
        </w:rPr>
        <w:t> </w:t>
      </w:r>
      <w:r>
        <w:rPr>
          <w:color w:val="231F20"/>
          <w:w w:val="110"/>
        </w:rPr>
        <w:t>volcado</w:t>
      </w:r>
      <w:r>
        <w:rPr>
          <w:color w:val="231F20"/>
          <w:spacing w:val="-14"/>
          <w:w w:val="110"/>
        </w:rPr>
        <w:t> </w:t>
      </w:r>
      <w:r>
        <w:rPr>
          <w:color w:val="231F20"/>
          <w:w w:val="110"/>
        </w:rPr>
        <w:t>hacia</w:t>
      </w:r>
      <w:r>
        <w:rPr>
          <w:color w:val="231F20"/>
          <w:spacing w:val="-14"/>
          <w:w w:val="110"/>
        </w:rPr>
        <w:t> </w:t>
      </w:r>
      <w:r>
        <w:rPr>
          <w:color w:val="231F20"/>
          <w:w w:val="110"/>
        </w:rPr>
        <w:t>el</w:t>
      </w:r>
      <w:r>
        <w:rPr>
          <w:color w:val="231F20"/>
          <w:spacing w:val="-14"/>
          <w:w w:val="110"/>
        </w:rPr>
        <w:t> </w:t>
      </w:r>
      <w:r>
        <w:rPr>
          <w:color w:val="231F20"/>
          <w:w w:val="110"/>
        </w:rPr>
        <w:t>aumento</w:t>
      </w:r>
      <w:r>
        <w:rPr>
          <w:color w:val="231F20"/>
          <w:spacing w:val="-14"/>
          <w:w w:val="110"/>
        </w:rPr>
        <w:t> </w:t>
      </w:r>
      <w:r>
        <w:rPr>
          <w:color w:val="231F20"/>
          <w:w w:val="110"/>
        </w:rPr>
        <w:t>de</w:t>
      </w:r>
      <w:r>
        <w:rPr>
          <w:color w:val="231F20"/>
          <w:spacing w:val="-14"/>
          <w:w w:val="110"/>
        </w:rPr>
        <w:t> </w:t>
      </w:r>
      <w:r>
        <w:rPr>
          <w:color w:val="231F20"/>
          <w:w w:val="110"/>
        </w:rPr>
        <w:t>productividad</w:t>
      </w:r>
      <w:r>
        <w:rPr>
          <w:color w:val="231F20"/>
          <w:spacing w:val="-14"/>
          <w:w w:val="110"/>
        </w:rPr>
        <w:t> </w:t>
      </w:r>
      <w:r>
        <w:rPr>
          <w:color w:val="231F20"/>
          <w:w w:val="110"/>
        </w:rPr>
        <w:t>y del</w:t>
      </w:r>
      <w:r>
        <w:rPr>
          <w:color w:val="231F20"/>
          <w:spacing w:val="-6"/>
          <w:w w:val="110"/>
        </w:rPr>
        <w:t> </w:t>
      </w:r>
      <w:r>
        <w:rPr>
          <w:color w:val="231F20"/>
          <w:w w:val="110"/>
        </w:rPr>
        <w:t>margen</w:t>
      </w:r>
      <w:r>
        <w:rPr>
          <w:color w:val="231F20"/>
          <w:spacing w:val="-6"/>
          <w:w w:val="110"/>
        </w:rPr>
        <w:t> </w:t>
      </w:r>
      <w:r>
        <w:rPr>
          <w:color w:val="231F20"/>
          <w:w w:val="110"/>
        </w:rPr>
        <w:t>de</w:t>
      </w:r>
      <w:r>
        <w:rPr>
          <w:color w:val="231F20"/>
          <w:spacing w:val="-6"/>
          <w:w w:val="110"/>
        </w:rPr>
        <w:t> </w:t>
      </w:r>
      <w:r>
        <w:rPr>
          <w:color w:val="231F20"/>
          <w:w w:val="110"/>
        </w:rPr>
        <w:t>ganancia,</w:t>
      </w:r>
      <w:r>
        <w:rPr>
          <w:color w:val="231F20"/>
          <w:spacing w:val="-6"/>
          <w:w w:val="110"/>
        </w:rPr>
        <w:t> </w:t>
      </w:r>
      <w:r>
        <w:rPr>
          <w:color w:val="231F20"/>
          <w:w w:val="110"/>
        </w:rPr>
        <w:t>lo</w:t>
      </w:r>
      <w:r>
        <w:rPr>
          <w:color w:val="231F20"/>
          <w:spacing w:val="-6"/>
          <w:w w:val="110"/>
        </w:rPr>
        <w:t> </w:t>
      </w:r>
      <w:r>
        <w:rPr>
          <w:color w:val="231F20"/>
          <w:w w:val="110"/>
        </w:rPr>
        <w:t>cual</w:t>
      </w:r>
      <w:r>
        <w:rPr>
          <w:color w:val="231F20"/>
          <w:spacing w:val="-6"/>
          <w:w w:val="110"/>
        </w:rPr>
        <w:t> </w:t>
      </w:r>
      <w:r>
        <w:rPr>
          <w:color w:val="231F20"/>
          <w:w w:val="110"/>
        </w:rPr>
        <w:t>disminuye</w:t>
      </w:r>
      <w:r>
        <w:rPr>
          <w:color w:val="231F20"/>
          <w:spacing w:val="-6"/>
          <w:w w:val="110"/>
        </w:rPr>
        <w:t> </w:t>
      </w:r>
      <w:r>
        <w:rPr>
          <w:color w:val="231F20"/>
          <w:w w:val="110"/>
        </w:rPr>
        <w:t>drásticamente</w:t>
      </w:r>
      <w:r>
        <w:rPr>
          <w:color w:val="231F20"/>
          <w:spacing w:val="-6"/>
          <w:w w:val="110"/>
        </w:rPr>
        <w:t> </w:t>
      </w:r>
      <w:r>
        <w:rPr>
          <w:color w:val="231F20"/>
          <w:w w:val="110"/>
        </w:rPr>
        <w:t>la</w:t>
      </w:r>
      <w:r>
        <w:rPr>
          <w:color w:val="231F20"/>
          <w:spacing w:val="-6"/>
          <w:w w:val="110"/>
        </w:rPr>
        <w:t> </w:t>
      </w:r>
      <w:r>
        <w:rPr>
          <w:color w:val="231F20"/>
          <w:w w:val="110"/>
        </w:rPr>
        <w:t>cantidad de</w:t>
      </w:r>
      <w:r>
        <w:rPr>
          <w:color w:val="231F20"/>
          <w:spacing w:val="-13"/>
          <w:w w:val="110"/>
        </w:rPr>
        <w:t> </w:t>
      </w:r>
      <w:r>
        <w:rPr>
          <w:color w:val="231F20"/>
          <w:w w:val="110"/>
        </w:rPr>
        <w:t>valor</w:t>
      </w:r>
      <w:r>
        <w:rPr>
          <w:color w:val="231F20"/>
          <w:spacing w:val="-13"/>
          <w:w w:val="110"/>
        </w:rPr>
        <w:t> </w:t>
      </w:r>
      <w:r>
        <w:rPr>
          <w:color w:val="231F20"/>
          <w:w w:val="110"/>
        </w:rPr>
        <w:t>incorporada</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mercancías</w:t>
      </w:r>
      <w:r>
        <w:rPr>
          <w:color w:val="231F20"/>
          <w:spacing w:val="-13"/>
          <w:w w:val="110"/>
        </w:rPr>
        <w:t> </w:t>
      </w:r>
      <w:r>
        <w:rPr>
          <w:color w:val="231F20"/>
          <w:w w:val="110"/>
        </w:rPr>
        <w:t>y</w:t>
      </w:r>
      <w:r>
        <w:rPr>
          <w:color w:val="231F20"/>
          <w:spacing w:val="-13"/>
          <w:w w:val="110"/>
        </w:rPr>
        <w:t> </w:t>
      </w:r>
      <w:r>
        <w:rPr>
          <w:color w:val="231F20"/>
          <w:w w:val="110"/>
        </w:rPr>
        <w:t>aumenta</w:t>
      </w:r>
      <w:r>
        <w:rPr>
          <w:color w:val="231F20"/>
          <w:spacing w:val="-13"/>
          <w:w w:val="110"/>
        </w:rPr>
        <w:t> </w:t>
      </w:r>
      <w:r>
        <w:rPr>
          <w:color w:val="231F20"/>
          <w:w w:val="110"/>
        </w:rPr>
        <w:t>la</w:t>
      </w:r>
      <w:r>
        <w:rPr>
          <w:color w:val="231F20"/>
          <w:spacing w:val="-13"/>
          <w:w w:val="110"/>
        </w:rPr>
        <w:t> </w:t>
      </w:r>
      <w:r>
        <w:rPr>
          <w:color w:val="231F20"/>
          <w:w w:val="110"/>
        </w:rPr>
        <w:t>presión</w:t>
      </w:r>
      <w:r>
        <w:rPr>
          <w:color w:val="231F20"/>
          <w:spacing w:val="-13"/>
          <w:w w:val="110"/>
        </w:rPr>
        <w:t> </w:t>
      </w:r>
      <w:r>
        <w:rPr>
          <w:color w:val="231F20"/>
          <w:w w:val="110"/>
        </w:rPr>
        <w:t>histórica en dirección a una caída creciente de la tasa de ganancia, al mismo tiempo en que aumentan drásticamente los enormes excedentes de producción en relación con el valor de la fuerza de  </w:t>
      </w:r>
      <w:r>
        <w:rPr>
          <w:color w:val="231F20"/>
          <w:spacing w:val="6"/>
          <w:w w:val="110"/>
        </w:rPr>
        <w:t> </w:t>
      </w:r>
      <w:r>
        <w:rPr>
          <w:color w:val="231F20"/>
          <w:w w:val="110"/>
        </w:rPr>
        <w:t>trabajo.</w:t>
      </w:r>
    </w:p>
    <w:p>
      <w:pPr>
        <w:pStyle w:val="BodyText"/>
        <w:spacing w:line="261" w:lineRule="auto"/>
        <w:ind w:left="100" w:right="117" w:firstLine="240"/>
        <w:jc w:val="both"/>
      </w:pPr>
      <w:r>
        <w:rPr>
          <w:color w:val="231F20"/>
          <w:w w:val="110"/>
        </w:rPr>
        <w:t>Crecimiento del excedente económico en función del aumento  de productividad, rebaja del valor de los productos, precios</w:t>
      </w:r>
      <w:r>
        <w:rPr>
          <w:color w:val="231F20"/>
          <w:spacing w:val="-32"/>
          <w:w w:val="110"/>
        </w:rPr>
        <w:t> </w:t>
      </w:r>
      <w:r>
        <w:rPr>
          <w:color w:val="231F20"/>
          <w:w w:val="110"/>
        </w:rPr>
        <w:t>adminis- trados, intento sistemático de negación de la ley del </w:t>
      </w:r>
      <w:r>
        <w:rPr>
          <w:color w:val="231F20"/>
          <w:spacing w:val="-3"/>
          <w:w w:val="110"/>
        </w:rPr>
        <w:t>valor, </w:t>
      </w:r>
      <w:r>
        <w:rPr>
          <w:color w:val="231F20"/>
          <w:w w:val="110"/>
        </w:rPr>
        <w:t>estímulo a la innovación, mercados monopólicos, lucha por el control de los avances del conocimiento, monopolio tecnológico. En esta dinámi- ca dialéctica se anuncia la autodestrucción de la propiedad privada como resultado de la ley de acumulación del capital. El crecimiento de los asalariados y su organización es la contraparte necesaria de esta</w:t>
      </w:r>
      <w:r>
        <w:rPr>
          <w:color w:val="231F20"/>
          <w:spacing w:val="-25"/>
          <w:w w:val="110"/>
        </w:rPr>
        <w:t> </w:t>
      </w:r>
      <w:r>
        <w:rPr>
          <w:color w:val="231F20"/>
          <w:w w:val="110"/>
        </w:rPr>
        <w:t>lógica.</w:t>
      </w:r>
    </w:p>
    <w:p>
      <w:pPr>
        <w:pStyle w:val="BodyText"/>
        <w:spacing w:line="261" w:lineRule="auto"/>
        <w:ind w:left="100" w:right="117" w:firstLine="240"/>
        <w:jc w:val="both"/>
      </w:pPr>
      <w:r>
        <w:rPr>
          <w:color w:val="231F20"/>
          <w:w w:val="110"/>
        </w:rPr>
        <w:t>No hay duda de que uno de los hallazgos teórico-practicos más impresionantes de Marx y Engels ha sido la creación de la Primera  y Segunda Internacionales que terminaron por enraizar poderosos partidos</w:t>
      </w:r>
      <w:r>
        <w:rPr>
          <w:color w:val="231F20"/>
          <w:spacing w:val="-15"/>
          <w:w w:val="110"/>
        </w:rPr>
        <w:t> </w:t>
      </w:r>
      <w:r>
        <w:rPr>
          <w:color w:val="231F20"/>
          <w:w w:val="110"/>
        </w:rPr>
        <w:t>obreros</w:t>
      </w:r>
      <w:r>
        <w:rPr>
          <w:color w:val="231F20"/>
          <w:spacing w:val="-15"/>
          <w:w w:val="110"/>
        </w:rPr>
        <w:t> </w:t>
      </w:r>
      <w:r>
        <w:rPr>
          <w:color w:val="231F20"/>
          <w:w w:val="110"/>
        </w:rPr>
        <w:t>socialistas</w:t>
      </w:r>
      <w:r>
        <w:rPr>
          <w:color w:val="231F20"/>
          <w:spacing w:val="-15"/>
          <w:w w:val="110"/>
        </w:rPr>
        <w:t> </w:t>
      </w:r>
      <w:r>
        <w:rPr>
          <w:color w:val="231F20"/>
          <w:w w:val="110"/>
        </w:rPr>
        <w:t>que</w:t>
      </w:r>
      <w:r>
        <w:rPr>
          <w:color w:val="231F20"/>
          <w:spacing w:val="-15"/>
          <w:w w:val="110"/>
        </w:rPr>
        <w:t> </w:t>
      </w:r>
      <w:r>
        <w:rPr>
          <w:color w:val="231F20"/>
          <w:w w:val="110"/>
        </w:rPr>
        <w:t>se</w:t>
      </w:r>
      <w:r>
        <w:rPr>
          <w:color w:val="231F20"/>
          <w:spacing w:val="-15"/>
          <w:w w:val="110"/>
        </w:rPr>
        <w:t> </w:t>
      </w:r>
      <w:r>
        <w:rPr>
          <w:color w:val="231F20"/>
          <w:w w:val="110"/>
        </w:rPr>
        <w:t>implantaron</w:t>
      </w:r>
      <w:r>
        <w:rPr>
          <w:color w:val="231F20"/>
          <w:spacing w:val="-15"/>
          <w:w w:val="110"/>
        </w:rPr>
        <w:t> </w:t>
      </w:r>
      <w:r>
        <w:rPr>
          <w:color w:val="231F20"/>
          <w:w w:val="110"/>
        </w:rPr>
        <w:t>en</w:t>
      </w:r>
      <w:r>
        <w:rPr>
          <w:color w:val="231F20"/>
          <w:spacing w:val="-15"/>
          <w:w w:val="110"/>
        </w:rPr>
        <w:t> </w:t>
      </w:r>
      <w:r>
        <w:rPr>
          <w:color w:val="231F20"/>
          <w:w w:val="110"/>
        </w:rPr>
        <w:t>todos</w:t>
      </w:r>
      <w:r>
        <w:rPr>
          <w:color w:val="231F20"/>
          <w:spacing w:val="-15"/>
          <w:w w:val="110"/>
        </w:rPr>
        <w:t> </w:t>
      </w:r>
      <w:r>
        <w:rPr>
          <w:color w:val="231F20"/>
          <w:w w:val="110"/>
        </w:rPr>
        <w:t>los</w:t>
      </w:r>
      <w:r>
        <w:rPr>
          <w:color w:val="231F20"/>
          <w:spacing w:val="-15"/>
          <w:w w:val="110"/>
        </w:rPr>
        <w:t> </w:t>
      </w:r>
      <w:r>
        <w:rPr>
          <w:color w:val="231F20"/>
          <w:w w:val="110"/>
        </w:rPr>
        <w:t>países</w:t>
      </w:r>
      <w:r>
        <w:rPr>
          <w:color w:val="231F20"/>
          <w:spacing w:val="-15"/>
          <w:w w:val="110"/>
        </w:rPr>
        <w:t> </w:t>
      </w:r>
      <w:r>
        <w:rPr>
          <w:color w:val="231F20"/>
          <w:w w:val="110"/>
        </w:rPr>
        <w:t>de-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sarrollados,</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excepción</w:t>
      </w:r>
      <w:r>
        <w:rPr>
          <w:color w:val="231F20"/>
          <w:spacing w:val="-6"/>
          <w:w w:val="110"/>
        </w:rPr>
        <w:t> </w:t>
      </w:r>
      <w:r>
        <w:rPr>
          <w:color w:val="231F20"/>
          <w:w w:val="110"/>
        </w:rPr>
        <w:t>de</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donde</w:t>
      </w:r>
      <w:r>
        <w:rPr>
          <w:color w:val="231F20"/>
          <w:spacing w:val="-6"/>
          <w:w w:val="110"/>
        </w:rPr>
        <w:t> </w:t>
      </w:r>
      <w:r>
        <w:rPr>
          <w:color w:val="231F20"/>
          <w:w w:val="110"/>
        </w:rPr>
        <w:t>el</w:t>
      </w:r>
      <w:r>
        <w:rPr>
          <w:color w:val="231F20"/>
          <w:spacing w:val="-6"/>
          <w:w w:val="110"/>
        </w:rPr>
        <w:t> </w:t>
      </w:r>
      <w:r>
        <w:rPr>
          <w:color w:val="231F20"/>
          <w:w w:val="110"/>
        </w:rPr>
        <w:t>partido socialista</w:t>
      </w:r>
      <w:r>
        <w:rPr>
          <w:color w:val="231F20"/>
          <w:spacing w:val="-7"/>
          <w:w w:val="110"/>
        </w:rPr>
        <w:t> </w:t>
      </w:r>
      <w:r>
        <w:rPr>
          <w:color w:val="231F20"/>
          <w:w w:val="110"/>
        </w:rPr>
        <w:t>no</w:t>
      </w:r>
      <w:r>
        <w:rPr>
          <w:color w:val="231F20"/>
          <w:spacing w:val="-7"/>
          <w:w w:val="110"/>
        </w:rPr>
        <w:t> </w:t>
      </w:r>
      <w:r>
        <w:rPr>
          <w:color w:val="231F20"/>
          <w:w w:val="110"/>
        </w:rPr>
        <w:t>consiguió</w:t>
      </w:r>
      <w:r>
        <w:rPr>
          <w:color w:val="231F20"/>
          <w:spacing w:val="-7"/>
          <w:w w:val="110"/>
        </w:rPr>
        <w:t> </w:t>
      </w:r>
      <w:r>
        <w:rPr>
          <w:color w:val="231F20"/>
          <w:w w:val="110"/>
        </w:rPr>
        <w:t>estabilizarse</w:t>
      </w:r>
      <w:r>
        <w:rPr>
          <w:color w:val="231F20"/>
          <w:spacing w:val="-7"/>
          <w:w w:val="110"/>
        </w:rPr>
        <w:t> </w:t>
      </w:r>
      <w:r>
        <w:rPr>
          <w:color w:val="231F20"/>
          <w:w w:val="110"/>
        </w:rPr>
        <w:t>como</w:t>
      </w:r>
      <w:r>
        <w:rPr>
          <w:color w:val="231F20"/>
          <w:spacing w:val="-7"/>
          <w:w w:val="110"/>
        </w:rPr>
        <w:t> </w:t>
      </w:r>
      <w:r>
        <w:rPr>
          <w:color w:val="231F20"/>
          <w:w w:val="110"/>
        </w:rPr>
        <w:t>el</w:t>
      </w:r>
      <w:r>
        <w:rPr>
          <w:color w:val="231F20"/>
          <w:spacing w:val="-7"/>
          <w:w w:val="110"/>
        </w:rPr>
        <w:t> </w:t>
      </w:r>
      <w:r>
        <w:rPr>
          <w:color w:val="231F20"/>
          <w:w w:val="110"/>
        </w:rPr>
        <w:t>tercer</w:t>
      </w:r>
      <w:r>
        <w:rPr>
          <w:color w:val="231F20"/>
          <w:spacing w:val="-7"/>
          <w:w w:val="110"/>
        </w:rPr>
        <w:t> </w:t>
      </w:r>
      <w:r>
        <w:rPr>
          <w:color w:val="231F20"/>
          <w:w w:val="110"/>
        </w:rPr>
        <w:t>partido.</w:t>
      </w:r>
      <w:r>
        <w:rPr>
          <w:color w:val="231F20"/>
          <w:w w:val="110"/>
          <w:position w:val="6"/>
          <w:sz w:val="13"/>
        </w:rPr>
        <w:t>2</w:t>
      </w:r>
      <w:r>
        <w:rPr>
          <w:color w:val="231F20"/>
          <w:spacing w:val="12"/>
          <w:w w:val="110"/>
          <w:position w:val="6"/>
          <w:sz w:val="13"/>
        </w:rPr>
        <w:t> </w:t>
      </w:r>
      <w:r>
        <w:rPr>
          <w:color w:val="231F20"/>
          <w:w w:val="110"/>
        </w:rPr>
        <w:t>Los</w:t>
      </w:r>
      <w:r>
        <w:rPr>
          <w:color w:val="231F20"/>
          <w:spacing w:val="-7"/>
          <w:w w:val="110"/>
        </w:rPr>
        <w:t> </w:t>
      </w:r>
      <w:r>
        <w:rPr>
          <w:color w:val="231F20"/>
          <w:w w:val="110"/>
        </w:rPr>
        <w:t>par- tidos obreros (objeto de fuerte represión en sus inicios) cambiaron drásticamente</w:t>
      </w:r>
      <w:r>
        <w:rPr>
          <w:color w:val="231F20"/>
          <w:spacing w:val="-11"/>
          <w:w w:val="110"/>
        </w:rPr>
        <w:t> </w:t>
      </w:r>
      <w:r>
        <w:rPr>
          <w:color w:val="231F20"/>
          <w:w w:val="110"/>
        </w:rPr>
        <w:t>la</w:t>
      </w:r>
      <w:r>
        <w:rPr>
          <w:color w:val="231F20"/>
          <w:spacing w:val="-11"/>
          <w:w w:val="110"/>
        </w:rPr>
        <w:t> </w:t>
      </w:r>
      <w:r>
        <w:rPr>
          <w:color w:val="231F20"/>
          <w:w w:val="110"/>
        </w:rPr>
        <w:t>vida</w:t>
      </w:r>
      <w:r>
        <w:rPr>
          <w:color w:val="231F20"/>
          <w:spacing w:val="-11"/>
          <w:w w:val="110"/>
        </w:rPr>
        <w:t> </w:t>
      </w:r>
      <w:r>
        <w:rPr>
          <w:color w:val="231F20"/>
          <w:w w:val="110"/>
        </w:rPr>
        <w:t>política</w:t>
      </w:r>
      <w:r>
        <w:rPr>
          <w:color w:val="231F20"/>
          <w:spacing w:val="-11"/>
          <w:w w:val="110"/>
        </w:rPr>
        <w:t> </w:t>
      </w:r>
      <w:r>
        <w:rPr>
          <w:color w:val="231F20"/>
          <w:w w:val="110"/>
        </w:rPr>
        <w:t>moderna,</w:t>
      </w:r>
      <w:r>
        <w:rPr>
          <w:color w:val="231F20"/>
          <w:spacing w:val="-11"/>
          <w:w w:val="110"/>
        </w:rPr>
        <w:t> </w:t>
      </w:r>
      <w:r>
        <w:rPr>
          <w:color w:val="231F20"/>
          <w:w w:val="110"/>
        </w:rPr>
        <w:t>primero</w:t>
      </w:r>
      <w:r>
        <w:rPr>
          <w:color w:val="231F20"/>
          <w:spacing w:val="-11"/>
          <w:w w:val="110"/>
        </w:rPr>
        <w:t> </w:t>
      </w:r>
      <w:r>
        <w:rPr>
          <w:color w:val="231F20"/>
          <w:w w:val="110"/>
        </w:rPr>
        <w:t>en</w:t>
      </w:r>
      <w:r>
        <w:rPr>
          <w:color w:val="231F20"/>
          <w:spacing w:val="-11"/>
          <w:w w:val="110"/>
        </w:rPr>
        <w:t> </w:t>
      </w:r>
      <w:r>
        <w:rPr>
          <w:color w:val="231F20"/>
          <w:w w:val="110"/>
        </w:rPr>
        <w:t>Europa</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Esta- dos Unidos, después en todo el mundo, y se convirtieron en uno de los pilares de los regímenes políticos modernos. Las teorías</w:t>
      </w:r>
      <w:r>
        <w:rPr>
          <w:color w:val="231F20"/>
          <w:spacing w:val="-36"/>
          <w:w w:val="110"/>
        </w:rPr>
        <w:t> </w:t>
      </w:r>
      <w:r>
        <w:rPr>
          <w:color w:val="231F20"/>
          <w:w w:val="110"/>
        </w:rPr>
        <w:t>liberales terminaron por incorporar a su concepción acerca de los regímenes políticos modernos no sólo la noción de los partidos políticos, que  el liberalismo negara o desconociera en sus orígenes, sino también, incluso,</w:t>
      </w:r>
      <w:r>
        <w:rPr>
          <w:color w:val="231F20"/>
          <w:spacing w:val="-5"/>
          <w:w w:val="110"/>
        </w:rPr>
        <w:t> </w:t>
      </w:r>
      <w:r>
        <w:rPr>
          <w:color w:val="231F20"/>
          <w:w w:val="110"/>
        </w:rPr>
        <w:t>las</w:t>
      </w:r>
      <w:r>
        <w:rPr>
          <w:color w:val="231F20"/>
          <w:spacing w:val="-5"/>
          <w:w w:val="110"/>
        </w:rPr>
        <w:t> </w:t>
      </w:r>
      <w:r>
        <w:rPr>
          <w:color w:val="231F20"/>
          <w:w w:val="110"/>
        </w:rPr>
        <w:t>nociones</w:t>
      </w:r>
      <w:r>
        <w:rPr>
          <w:color w:val="231F20"/>
          <w:spacing w:val="-5"/>
          <w:w w:val="110"/>
        </w:rPr>
        <w:t> </w:t>
      </w:r>
      <w:r>
        <w:rPr>
          <w:color w:val="231F20"/>
          <w:w w:val="110"/>
        </w:rPr>
        <w:t>de</w:t>
      </w:r>
      <w:r>
        <w:rPr>
          <w:color w:val="231F20"/>
          <w:spacing w:val="-5"/>
          <w:w w:val="110"/>
        </w:rPr>
        <w:t> </w:t>
      </w:r>
      <w:r>
        <w:rPr>
          <w:color w:val="231F20"/>
          <w:w w:val="110"/>
        </w:rPr>
        <w:t>pluripartidismo</w:t>
      </w:r>
      <w:r>
        <w:rPr>
          <w:color w:val="231F20"/>
          <w:spacing w:val="-5"/>
          <w:w w:val="110"/>
        </w:rPr>
        <w:t> </w:t>
      </w:r>
      <w:r>
        <w:rPr>
          <w:color w:val="231F20"/>
          <w:w w:val="110"/>
        </w:rPr>
        <w:t>y</w:t>
      </w:r>
      <w:r>
        <w:rPr>
          <w:color w:val="231F20"/>
          <w:spacing w:val="-5"/>
          <w:w w:val="110"/>
        </w:rPr>
        <w:t> </w:t>
      </w:r>
      <w:r>
        <w:rPr>
          <w:color w:val="231F20"/>
          <w:w w:val="110"/>
        </w:rPr>
        <w:t>sucesión</w:t>
      </w:r>
      <w:r>
        <w:rPr>
          <w:color w:val="231F20"/>
          <w:spacing w:val="-5"/>
          <w:w w:val="110"/>
        </w:rPr>
        <w:t> </w:t>
      </w:r>
      <w:r>
        <w:rPr>
          <w:color w:val="231F20"/>
          <w:w w:val="110"/>
        </w:rPr>
        <w:t>de</w:t>
      </w:r>
      <w:r>
        <w:rPr>
          <w:color w:val="231F20"/>
          <w:spacing w:val="-5"/>
          <w:w w:val="110"/>
        </w:rPr>
        <w:t> </w:t>
      </w:r>
      <w:r>
        <w:rPr>
          <w:color w:val="231F20"/>
          <w:w w:val="110"/>
        </w:rPr>
        <w:t>gobiernos</w:t>
      </w:r>
      <w:r>
        <w:rPr>
          <w:color w:val="231F20"/>
          <w:spacing w:val="-5"/>
          <w:w w:val="110"/>
        </w:rPr>
        <w:t> </w:t>
      </w:r>
      <w:r>
        <w:rPr>
          <w:color w:val="231F20"/>
          <w:w w:val="110"/>
        </w:rPr>
        <w:t>que advenían de la creación de los partidos obreros</w:t>
      </w:r>
      <w:r>
        <w:rPr>
          <w:color w:val="231F20"/>
          <w:spacing w:val="22"/>
          <w:w w:val="110"/>
        </w:rPr>
        <w:t> </w:t>
      </w:r>
      <w:r>
        <w:rPr>
          <w:color w:val="231F20"/>
          <w:w w:val="110"/>
        </w:rPr>
        <w:t>socialistas.</w:t>
      </w:r>
    </w:p>
    <w:p>
      <w:pPr>
        <w:pStyle w:val="BodyText"/>
        <w:spacing w:line="261" w:lineRule="auto"/>
        <w:ind w:left="100" w:right="112" w:firstLine="240"/>
        <w:jc w:val="both"/>
      </w:pPr>
      <w:r>
        <w:rPr>
          <w:color w:val="231F20"/>
          <w:w w:val="110"/>
        </w:rPr>
        <w:t>Ya estaba claro también para Marx y Engels que solamente el Estado podría sostener estas tendencias del desarrollo capitalista a negar su propia superestructura social e ideológica. Engels llamó al Estado</w:t>
      </w:r>
      <w:r>
        <w:rPr>
          <w:color w:val="231F20"/>
          <w:spacing w:val="-9"/>
          <w:w w:val="110"/>
        </w:rPr>
        <w:t> </w:t>
      </w:r>
      <w:r>
        <w:rPr>
          <w:color w:val="231F20"/>
          <w:w w:val="110"/>
        </w:rPr>
        <w:t>de</w:t>
      </w:r>
      <w:r>
        <w:rPr>
          <w:color w:val="231F20"/>
          <w:spacing w:val="-9"/>
          <w:w w:val="110"/>
        </w:rPr>
        <w:t> </w:t>
      </w:r>
      <w:r>
        <w:rPr>
          <w:color w:val="231F20"/>
          <w:w w:val="110"/>
        </w:rPr>
        <w:t>“capitalista</w:t>
      </w:r>
      <w:r>
        <w:rPr>
          <w:color w:val="231F20"/>
          <w:spacing w:val="-9"/>
          <w:w w:val="110"/>
        </w:rPr>
        <w:t> </w:t>
      </w:r>
      <w:r>
        <w:rPr>
          <w:color w:val="231F20"/>
          <w:w w:val="110"/>
        </w:rPr>
        <w:t>colectivo”.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final</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vidas,</w:t>
      </w:r>
      <w:r>
        <w:rPr>
          <w:color w:val="231F20"/>
          <w:spacing w:val="-9"/>
          <w:w w:val="110"/>
        </w:rPr>
        <w:t> </w:t>
      </w:r>
      <w:r>
        <w:rPr>
          <w:color w:val="231F20"/>
          <w:w w:val="110"/>
        </w:rPr>
        <w:t>tanto</w:t>
      </w:r>
      <w:r>
        <w:rPr>
          <w:color w:val="231F20"/>
          <w:spacing w:val="-9"/>
          <w:w w:val="110"/>
        </w:rPr>
        <w:t> </w:t>
      </w:r>
      <w:r>
        <w:rPr>
          <w:color w:val="231F20"/>
          <w:w w:val="110"/>
        </w:rPr>
        <w:t>Marx como Engels, ya habían superado aquella imagen de un Estado en- cargado</w:t>
      </w:r>
      <w:r>
        <w:rPr>
          <w:color w:val="231F20"/>
          <w:spacing w:val="-8"/>
          <w:w w:val="110"/>
        </w:rPr>
        <w:t> </w:t>
      </w:r>
      <w:r>
        <w:rPr>
          <w:color w:val="231F20"/>
          <w:w w:val="110"/>
        </w:rPr>
        <w:t>solamente</w:t>
      </w:r>
      <w:r>
        <w:rPr>
          <w:color w:val="231F20"/>
          <w:spacing w:val="-8"/>
          <w:w w:val="110"/>
        </w:rPr>
        <w:t> </w:t>
      </w:r>
      <w:r>
        <w:rPr>
          <w:color w:val="231F20"/>
          <w:w w:val="110"/>
        </w:rPr>
        <w:t>de</w:t>
      </w:r>
      <w:r>
        <w:rPr>
          <w:color w:val="231F20"/>
          <w:spacing w:val="-8"/>
          <w:w w:val="110"/>
        </w:rPr>
        <w:t> </w:t>
      </w:r>
      <w:r>
        <w:rPr>
          <w:color w:val="231F20"/>
          <w:w w:val="110"/>
        </w:rPr>
        <w:t>preservar</w:t>
      </w:r>
      <w:r>
        <w:rPr>
          <w:color w:val="231F20"/>
          <w:spacing w:val="-8"/>
          <w:w w:val="110"/>
        </w:rPr>
        <w:t> </w:t>
      </w:r>
      <w:r>
        <w:rPr>
          <w:color w:val="231F20"/>
          <w:w w:val="110"/>
        </w:rPr>
        <w:t>la</w:t>
      </w:r>
      <w:r>
        <w:rPr>
          <w:color w:val="231F20"/>
          <w:spacing w:val="-8"/>
          <w:w w:val="110"/>
        </w:rPr>
        <w:t> </w:t>
      </w:r>
      <w:r>
        <w:rPr>
          <w:color w:val="231F20"/>
          <w:w w:val="110"/>
        </w:rPr>
        <w:t>superestructura</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social. Los</w:t>
      </w:r>
      <w:r>
        <w:rPr>
          <w:color w:val="231F20"/>
          <w:spacing w:val="-11"/>
          <w:w w:val="110"/>
        </w:rPr>
        <w:t> </w:t>
      </w:r>
      <w:r>
        <w:rPr>
          <w:color w:val="231F20"/>
          <w:w w:val="110"/>
        </w:rPr>
        <w:t>cambios</w:t>
      </w:r>
      <w:r>
        <w:rPr>
          <w:color w:val="231F20"/>
          <w:spacing w:val="-11"/>
          <w:w w:val="110"/>
        </w:rPr>
        <w:t> </w:t>
      </w:r>
      <w:r>
        <w:rPr>
          <w:color w:val="231F20"/>
          <w:w w:val="110"/>
        </w:rPr>
        <w:t>en</w:t>
      </w:r>
      <w:r>
        <w:rPr>
          <w:color w:val="231F20"/>
          <w:spacing w:val="-11"/>
          <w:w w:val="110"/>
        </w:rPr>
        <w:t> </w:t>
      </w:r>
      <w:r>
        <w:rPr>
          <w:color w:val="231F20"/>
          <w:w w:val="110"/>
        </w:rPr>
        <w:t>curso</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leyes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acumulación</w:t>
      </w:r>
      <w:r>
        <w:rPr>
          <w:color w:val="231F20"/>
          <w:spacing w:val="-11"/>
          <w:w w:val="110"/>
        </w:rPr>
        <w:t> </w:t>
      </w:r>
      <w:r>
        <w:rPr>
          <w:color w:val="231F20"/>
          <w:w w:val="110"/>
        </w:rPr>
        <w:t>capitalista</w:t>
      </w:r>
      <w:r>
        <w:rPr>
          <w:color w:val="231F20"/>
          <w:spacing w:val="-11"/>
          <w:w w:val="110"/>
        </w:rPr>
        <w:t> </w:t>
      </w:r>
      <w:r>
        <w:rPr>
          <w:color w:val="231F20"/>
          <w:w w:val="110"/>
        </w:rPr>
        <w:t>que descubrieron teóricamente indicaban con claridad que el Estado</w:t>
      </w:r>
      <w:r>
        <w:rPr>
          <w:color w:val="231F20"/>
          <w:spacing w:val="-24"/>
          <w:w w:val="110"/>
        </w:rPr>
        <w:t> </w:t>
      </w:r>
      <w:r>
        <w:rPr>
          <w:color w:val="231F20"/>
          <w:w w:val="110"/>
        </w:rPr>
        <w:t>mo- derno se convertía en un agente directo del proceso de producción capitalista.</w:t>
      </w:r>
    </w:p>
    <w:p>
      <w:pPr>
        <w:pStyle w:val="BodyText"/>
        <w:spacing w:line="261" w:lineRule="auto"/>
        <w:ind w:left="100" w:right="116" w:firstLine="240"/>
        <w:jc w:val="both"/>
        <w:rPr>
          <w:sz w:val="13"/>
        </w:rPr>
      </w:pPr>
      <w:r>
        <w:rPr>
          <w:color w:val="231F20"/>
          <w:w w:val="110"/>
        </w:rPr>
        <w:t>En </w:t>
      </w:r>
      <w:r>
        <w:rPr>
          <w:i/>
          <w:color w:val="231F20"/>
          <w:w w:val="110"/>
        </w:rPr>
        <w:t>El capital </w:t>
      </w:r>
      <w:r>
        <w:rPr>
          <w:color w:val="231F20"/>
          <w:w w:val="110"/>
        </w:rPr>
        <w:t>y en varios otros textos, Marx entendió también la función del comercio exterior y del sistema colonial como factores que contrarrestan la tendencia a la caída de la tasa de ganancia.  Pero ni él ni Engels llegaron a sistematizar el aparecimiento del im- perialismo como etapa superior del capitalismo. Fueron los trabajos excelentes del institucionalista Hobson de un lado y del marxista Hilferding del otro, que abrieron camino a la sistematización de</w:t>
      </w:r>
      <w:r>
        <w:rPr>
          <w:color w:val="231F20"/>
          <w:spacing w:val="-7"/>
          <w:w w:val="110"/>
        </w:rPr>
        <w:t> </w:t>
      </w:r>
      <w:r>
        <w:rPr>
          <w:color w:val="231F20"/>
          <w:w w:val="110"/>
        </w:rPr>
        <w:t>esta nueva realidad, trabajos que influenciaron definitivamente los libros clásicos de Lenin y Bujarin sobre el</w:t>
      </w:r>
      <w:r>
        <w:rPr>
          <w:color w:val="231F20"/>
          <w:spacing w:val="-30"/>
          <w:w w:val="110"/>
        </w:rPr>
        <w:t> </w:t>
      </w:r>
      <w:r>
        <w:rPr>
          <w:color w:val="231F20"/>
          <w:w w:val="110"/>
        </w:rPr>
        <w:t>imperialismo.</w:t>
      </w:r>
      <w:r>
        <w:rPr>
          <w:color w:val="231F20"/>
          <w:w w:val="110"/>
          <w:position w:val="6"/>
          <w:sz w:val="13"/>
        </w:rPr>
        <w:t>3</w:t>
      </w:r>
    </w:p>
    <w:p>
      <w:pPr>
        <w:pStyle w:val="BodyText"/>
      </w:pPr>
    </w:p>
    <w:p>
      <w:pPr>
        <w:pStyle w:val="BodyText"/>
        <w:spacing w:before="6"/>
        <w:rPr>
          <w:sz w:val="17"/>
        </w:rPr>
      </w:pPr>
    </w:p>
    <w:p>
      <w:pPr>
        <w:spacing w:line="261" w:lineRule="auto" w:before="0"/>
        <w:ind w:left="100" w:right="113" w:firstLine="240"/>
        <w:jc w:val="both"/>
        <w:rPr>
          <w:sz w:val="16"/>
        </w:rPr>
      </w:pPr>
      <w:r>
        <w:rPr>
          <w:color w:val="231F20"/>
          <w:w w:val="110"/>
          <w:position w:val="5"/>
          <w:sz w:val="10"/>
        </w:rPr>
        <w:t>2 </w:t>
      </w:r>
      <w:r>
        <w:rPr>
          <w:color w:val="231F20"/>
          <w:w w:val="110"/>
          <w:sz w:val="16"/>
        </w:rPr>
        <w:t>Las formas que adopta esta participación creciente de los trabajadores en la creación de los regímenes de un modo de producción superior es un proceso ex- tremamente diversificado y cabe al pensamiento crítico revolucionario estudiarlas   no sólo desde un perspectiva lógica y axiomática (doctrinaria) sino sobre todo en su </w:t>
      </w:r>
      <w:r>
        <w:rPr>
          <w:color w:val="231F20"/>
          <w:w w:val="105"/>
          <w:sz w:val="16"/>
        </w:rPr>
        <w:t>evolución </w:t>
      </w:r>
      <w:r>
        <w:rPr>
          <w:color w:val="231F20"/>
          <w:spacing w:val="11"/>
          <w:w w:val="105"/>
          <w:sz w:val="16"/>
        </w:rPr>
        <w:t> </w:t>
      </w:r>
      <w:r>
        <w:rPr>
          <w:color w:val="231F20"/>
          <w:w w:val="105"/>
          <w:sz w:val="16"/>
        </w:rPr>
        <w:t>práctico-histórica.</w:t>
      </w:r>
    </w:p>
    <w:p>
      <w:pPr>
        <w:spacing w:line="261" w:lineRule="auto" w:before="0"/>
        <w:ind w:left="100" w:right="117" w:firstLine="240"/>
        <w:jc w:val="both"/>
        <w:rPr>
          <w:sz w:val="16"/>
        </w:rPr>
      </w:pPr>
      <w:r>
        <w:rPr>
          <w:color w:val="231F20"/>
          <w:w w:val="105"/>
          <w:position w:val="5"/>
          <w:sz w:val="10"/>
        </w:rPr>
        <w:t>3 </w:t>
      </w:r>
      <w:r>
        <w:rPr>
          <w:color w:val="231F20"/>
          <w:spacing w:val="-3"/>
          <w:w w:val="105"/>
          <w:sz w:val="16"/>
        </w:rPr>
        <w:t>También </w:t>
      </w:r>
      <w:r>
        <w:rPr>
          <w:color w:val="231F20"/>
          <w:w w:val="105"/>
          <w:sz w:val="16"/>
        </w:rPr>
        <w:t>Rosa Luxemburgo sistematizó la importancia del Estado y del comercio exterior para la realización y la reproducción capitalista. Ella no partió sin embargo    </w:t>
      </w:r>
      <w:r>
        <w:rPr>
          <w:color w:val="231F20"/>
          <w:spacing w:val="42"/>
          <w:w w:val="105"/>
          <w:sz w:val="16"/>
        </w:rPr>
        <w:t> </w:t>
      </w:r>
      <w:r>
        <w:rPr>
          <w:color w:val="231F20"/>
          <w:w w:val="105"/>
          <w:sz w:val="16"/>
        </w:rPr>
        <w:t>del fenómeno monopólico y sus impactos sobre el funcionamiento de la economía capitalista  moderna  y </w:t>
      </w:r>
      <w:r>
        <w:rPr>
          <w:color w:val="231F20"/>
          <w:spacing w:val="23"/>
          <w:w w:val="105"/>
          <w:sz w:val="16"/>
        </w:rPr>
        <w:t> </w:t>
      </w:r>
      <w:r>
        <w:rPr>
          <w:color w:val="231F20"/>
          <w:w w:val="105"/>
          <w:sz w:val="16"/>
        </w:rPr>
        <w:t>contemporánea.</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El</w:t>
      </w:r>
      <w:r>
        <w:rPr>
          <w:color w:val="231F20"/>
          <w:spacing w:val="-21"/>
          <w:w w:val="110"/>
        </w:rPr>
        <w:t> </w:t>
      </w:r>
      <w:r>
        <w:rPr>
          <w:color w:val="231F20"/>
          <w:w w:val="110"/>
        </w:rPr>
        <w:t>entonces</w:t>
      </w:r>
      <w:r>
        <w:rPr>
          <w:color w:val="231F20"/>
          <w:spacing w:val="-21"/>
          <w:w w:val="110"/>
        </w:rPr>
        <w:t> </w:t>
      </w:r>
      <w:r>
        <w:rPr>
          <w:color w:val="231F20"/>
          <w:w w:val="110"/>
        </w:rPr>
        <w:t>joven</w:t>
      </w:r>
      <w:r>
        <w:rPr>
          <w:color w:val="231F20"/>
          <w:spacing w:val="-21"/>
          <w:w w:val="110"/>
        </w:rPr>
        <w:t> </w:t>
      </w:r>
      <w:r>
        <w:rPr>
          <w:color w:val="231F20"/>
          <w:w w:val="110"/>
        </w:rPr>
        <w:t>bolchevique</w:t>
      </w:r>
      <w:r>
        <w:rPr>
          <w:color w:val="231F20"/>
          <w:spacing w:val="-21"/>
          <w:w w:val="110"/>
        </w:rPr>
        <w:t> </w:t>
      </w:r>
      <w:r>
        <w:rPr>
          <w:color w:val="231F20"/>
          <w:w w:val="110"/>
        </w:rPr>
        <w:t>Bujarin</w:t>
      </w:r>
      <w:r>
        <w:rPr>
          <w:color w:val="231F20"/>
          <w:spacing w:val="-21"/>
          <w:w w:val="110"/>
        </w:rPr>
        <w:t> </w:t>
      </w:r>
      <w:r>
        <w:rPr>
          <w:color w:val="231F20"/>
          <w:w w:val="110"/>
        </w:rPr>
        <w:t>y</w:t>
      </w:r>
      <w:r>
        <w:rPr>
          <w:color w:val="231F20"/>
          <w:spacing w:val="-21"/>
          <w:w w:val="110"/>
        </w:rPr>
        <w:t> </w:t>
      </w:r>
      <w:r>
        <w:rPr>
          <w:color w:val="231F20"/>
          <w:w w:val="110"/>
        </w:rPr>
        <w:t>posteriormente</w:t>
      </w:r>
      <w:r>
        <w:rPr>
          <w:color w:val="231F20"/>
          <w:spacing w:val="-21"/>
          <w:w w:val="110"/>
        </w:rPr>
        <w:t> </w:t>
      </w:r>
      <w:r>
        <w:rPr>
          <w:color w:val="231F20"/>
          <w:w w:val="110"/>
        </w:rPr>
        <w:t>Lenin</w:t>
      </w:r>
      <w:r>
        <w:rPr>
          <w:color w:val="231F20"/>
          <w:spacing w:val="-21"/>
          <w:w w:val="110"/>
        </w:rPr>
        <w:t> </w:t>
      </w:r>
      <w:r>
        <w:rPr>
          <w:color w:val="231F20"/>
          <w:w w:val="110"/>
        </w:rPr>
        <w:t>fue- ron</w:t>
      </w:r>
      <w:r>
        <w:rPr>
          <w:color w:val="231F20"/>
          <w:spacing w:val="-17"/>
          <w:w w:val="110"/>
        </w:rPr>
        <w:t> </w:t>
      </w:r>
      <w:r>
        <w:rPr>
          <w:color w:val="231F20"/>
          <w:w w:val="110"/>
        </w:rPr>
        <w:t>capaces</w:t>
      </w:r>
      <w:r>
        <w:rPr>
          <w:color w:val="231F20"/>
          <w:spacing w:val="-17"/>
          <w:w w:val="110"/>
        </w:rPr>
        <w:t> </w:t>
      </w:r>
      <w:r>
        <w:rPr>
          <w:color w:val="231F20"/>
          <w:w w:val="110"/>
        </w:rPr>
        <w:t>de</w:t>
      </w:r>
      <w:r>
        <w:rPr>
          <w:color w:val="231F20"/>
          <w:spacing w:val="-17"/>
          <w:w w:val="110"/>
        </w:rPr>
        <w:t> </w:t>
      </w:r>
      <w:r>
        <w:rPr>
          <w:color w:val="231F20"/>
          <w:w w:val="110"/>
        </w:rPr>
        <w:t>percibir</w:t>
      </w:r>
      <w:r>
        <w:rPr>
          <w:color w:val="231F20"/>
          <w:spacing w:val="-17"/>
          <w:w w:val="110"/>
        </w:rPr>
        <w:t> </w:t>
      </w:r>
      <w:r>
        <w:rPr>
          <w:color w:val="231F20"/>
          <w:w w:val="110"/>
        </w:rPr>
        <w:t>cómo</w:t>
      </w:r>
      <w:r>
        <w:rPr>
          <w:color w:val="231F20"/>
          <w:spacing w:val="-17"/>
          <w:w w:val="110"/>
        </w:rPr>
        <w:t> </w:t>
      </w:r>
      <w:r>
        <w:rPr>
          <w:color w:val="231F20"/>
          <w:w w:val="110"/>
        </w:rPr>
        <w:t>el</w:t>
      </w:r>
      <w:r>
        <w:rPr>
          <w:color w:val="231F20"/>
          <w:spacing w:val="-17"/>
          <w:w w:val="110"/>
        </w:rPr>
        <w:t> </w:t>
      </w:r>
      <w:r>
        <w:rPr>
          <w:color w:val="231F20"/>
          <w:w w:val="110"/>
        </w:rPr>
        <w:t>capitalismo</w:t>
      </w:r>
      <w:r>
        <w:rPr>
          <w:color w:val="231F20"/>
          <w:spacing w:val="-17"/>
          <w:w w:val="110"/>
        </w:rPr>
        <w:t> </w:t>
      </w:r>
      <w:r>
        <w:rPr>
          <w:color w:val="231F20"/>
          <w:w w:val="110"/>
        </w:rPr>
        <w:t>monopolista</w:t>
      </w:r>
      <w:r>
        <w:rPr>
          <w:color w:val="231F20"/>
          <w:spacing w:val="-17"/>
          <w:w w:val="110"/>
        </w:rPr>
        <w:t> </w:t>
      </w:r>
      <w:r>
        <w:rPr>
          <w:color w:val="231F20"/>
          <w:w w:val="110"/>
        </w:rPr>
        <w:t>de</w:t>
      </w:r>
      <w:r>
        <w:rPr>
          <w:color w:val="231F20"/>
          <w:spacing w:val="-17"/>
          <w:w w:val="110"/>
        </w:rPr>
        <w:t> </w:t>
      </w:r>
      <w:r>
        <w:rPr>
          <w:color w:val="231F20"/>
          <w:w w:val="110"/>
        </w:rPr>
        <w:t>Estado</w:t>
      </w:r>
      <w:r>
        <w:rPr>
          <w:color w:val="231F20"/>
          <w:spacing w:val="-17"/>
          <w:w w:val="110"/>
        </w:rPr>
        <w:t> </w:t>
      </w:r>
      <w:r>
        <w:rPr>
          <w:color w:val="231F20"/>
          <w:w w:val="110"/>
        </w:rPr>
        <w:t>se convertía</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fuerza</w:t>
      </w:r>
      <w:r>
        <w:rPr>
          <w:color w:val="231F20"/>
          <w:spacing w:val="-12"/>
          <w:w w:val="110"/>
        </w:rPr>
        <w:t> </w:t>
      </w:r>
      <w:r>
        <w:rPr>
          <w:color w:val="231F20"/>
          <w:w w:val="110"/>
        </w:rPr>
        <w:t>fundamental</w:t>
      </w:r>
      <w:r>
        <w:rPr>
          <w:color w:val="231F20"/>
          <w:spacing w:val="-12"/>
          <w:w w:val="110"/>
        </w:rPr>
        <w:t> </w:t>
      </w:r>
      <w:r>
        <w:rPr>
          <w:color w:val="231F20"/>
          <w:w w:val="110"/>
        </w:rPr>
        <w:t>que</w:t>
      </w:r>
      <w:r>
        <w:rPr>
          <w:color w:val="231F20"/>
          <w:spacing w:val="-12"/>
          <w:w w:val="110"/>
        </w:rPr>
        <w:t> </w:t>
      </w:r>
      <w:r>
        <w:rPr>
          <w:color w:val="231F20"/>
          <w:w w:val="110"/>
        </w:rPr>
        <w:t>permitía</w:t>
      </w:r>
      <w:r>
        <w:rPr>
          <w:color w:val="231F20"/>
          <w:spacing w:val="-12"/>
          <w:w w:val="110"/>
        </w:rPr>
        <w:t> </w:t>
      </w:r>
      <w:r>
        <w:rPr>
          <w:color w:val="231F20"/>
          <w:w w:val="110"/>
        </w:rPr>
        <w:t>al</w:t>
      </w:r>
      <w:r>
        <w:rPr>
          <w:color w:val="231F20"/>
          <w:spacing w:val="-12"/>
          <w:w w:val="110"/>
        </w:rPr>
        <w:t> </w:t>
      </w:r>
      <w:r>
        <w:rPr>
          <w:color w:val="231F20"/>
          <w:w w:val="110"/>
        </w:rPr>
        <w:t>capitalismo</w:t>
      </w:r>
      <w:r>
        <w:rPr>
          <w:color w:val="231F20"/>
          <w:spacing w:val="-12"/>
          <w:w w:val="110"/>
        </w:rPr>
        <w:t> </w:t>
      </w:r>
      <w:r>
        <w:rPr>
          <w:color w:val="231F20"/>
          <w:w w:val="110"/>
        </w:rPr>
        <w:t>sobre- vivir</w:t>
      </w:r>
      <w:r>
        <w:rPr>
          <w:color w:val="231F20"/>
          <w:spacing w:val="-8"/>
          <w:w w:val="110"/>
        </w:rPr>
        <w:t> </w:t>
      </w:r>
      <w:r>
        <w:rPr>
          <w:color w:val="231F20"/>
          <w:w w:val="110"/>
        </w:rPr>
        <w:t>en</w:t>
      </w:r>
      <w:r>
        <w:rPr>
          <w:color w:val="231F20"/>
          <w:spacing w:val="-8"/>
          <w:w w:val="110"/>
        </w:rPr>
        <w:t> </w:t>
      </w:r>
      <w:r>
        <w:rPr>
          <w:color w:val="231F20"/>
          <w:w w:val="110"/>
        </w:rPr>
        <w:t>una</w:t>
      </w:r>
      <w:r>
        <w:rPr>
          <w:color w:val="231F20"/>
          <w:spacing w:val="-8"/>
          <w:w w:val="110"/>
        </w:rPr>
        <w:t> </w:t>
      </w:r>
      <w:r>
        <w:rPr>
          <w:color w:val="231F20"/>
          <w:w w:val="110"/>
        </w:rPr>
        <w:t>etapa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cual</w:t>
      </w:r>
      <w:r>
        <w:rPr>
          <w:color w:val="231F20"/>
          <w:spacing w:val="-8"/>
          <w:w w:val="110"/>
        </w:rPr>
        <w:t> </w:t>
      </w:r>
      <w:r>
        <w:rPr>
          <w:color w:val="231F20"/>
          <w:w w:val="110"/>
        </w:rPr>
        <w:t>la</w:t>
      </w:r>
      <w:r>
        <w:rPr>
          <w:color w:val="231F20"/>
          <w:spacing w:val="-8"/>
          <w:w w:val="110"/>
        </w:rPr>
        <w:t> </w:t>
      </w:r>
      <w:r>
        <w:rPr>
          <w:color w:val="231F20"/>
          <w:w w:val="110"/>
        </w:rPr>
        <w:t>destrucción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fuerzas</w:t>
      </w:r>
      <w:r>
        <w:rPr>
          <w:color w:val="231F20"/>
          <w:spacing w:val="-8"/>
          <w:w w:val="110"/>
        </w:rPr>
        <w:t> </w:t>
      </w:r>
      <w:r>
        <w:rPr>
          <w:color w:val="231F20"/>
          <w:w w:val="110"/>
        </w:rPr>
        <w:t>productivas asumía</w:t>
      </w:r>
      <w:r>
        <w:rPr>
          <w:color w:val="231F20"/>
          <w:spacing w:val="-11"/>
          <w:w w:val="110"/>
        </w:rPr>
        <w:t> </w:t>
      </w:r>
      <w:r>
        <w:rPr>
          <w:color w:val="231F20"/>
          <w:w w:val="110"/>
        </w:rPr>
        <w:t>la</w:t>
      </w:r>
      <w:r>
        <w:rPr>
          <w:color w:val="231F20"/>
          <w:spacing w:val="-11"/>
          <w:w w:val="110"/>
        </w:rPr>
        <w:t> </w:t>
      </w:r>
      <w:r>
        <w:rPr>
          <w:color w:val="231F20"/>
          <w:w w:val="110"/>
        </w:rPr>
        <w:t>forma</w:t>
      </w:r>
      <w:r>
        <w:rPr>
          <w:color w:val="231F20"/>
          <w:spacing w:val="-11"/>
          <w:w w:val="110"/>
        </w:rPr>
        <w:t> </w:t>
      </w:r>
      <w:r>
        <w:rPr>
          <w:color w:val="231F20"/>
          <w:w w:val="110"/>
        </w:rPr>
        <w:t>dramática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guerras</w:t>
      </w:r>
      <w:r>
        <w:rPr>
          <w:color w:val="231F20"/>
          <w:spacing w:val="-11"/>
          <w:w w:val="110"/>
        </w:rPr>
        <w:t> </w:t>
      </w:r>
      <w:r>
        <w:rPr>
          <w:color w:val="231F20"/>
          <w:w w:val="110"/>
        </w:rPr>
        <w:t>mundiales.</w:t>
      </w:r>
      <w:r>
        <w:rPr>
          <w:color w:val="231F20"/>
          <w:spacing w:val="-11"/>
          <w:w w:val="110"/>
        </w:rPr>
        <w:t> </w:t>
      </w:r>
      <w:r>
        <w:rPr>
          <w:color w:val="231F20"/>
          <w:w w:val="110"/>
        </w:rPr>
        <w:t>Es</w:t>
      </w:r>
      <w:r>
        <w:rPr>
          <w:color w:val="231F20"/>
          <w:spacing w:val="-11"/>
          <w:w w:val="110"/>
        </w:rPr>
        <w:t> </w:t>
      </w:r>
      <w:r>
        <w:rPr>
          <w:color w:val="231F20"/>
          <w:spacing w:val="-3"/>
          <w:w w:val="110"/>
        </w:rPr>
        <w:t>decir,</w:t>
      </w:r>
      <w:r>
        <w:rPr>
          <w:color w:val="231F20"/>
          <w:spacing w:val="-11"/>
          <w:w w:val="110"/>
        </w:rPr>
        <w:t> </w:t>
      </w:r>
      <w:r>
        <w:rPr>
          <w:color w:val="231F20"/>
          <w:w w:val="110"/>
        </w:rPr>
        <w:t>asumía la forma de la destrucción física de las instalaciones y de los medios de producción y sobre todo de la principal fuerza productiva con la cual cuenta la humanidad que es el propio ser  </w:t>
      </w:r>
      <w:r>
        <w:rPr>
          <w:color w:val="231F20"/>
          <w:spacing w:val="44"/>
          <w:w w:val="110"/>
        </w:rPr>
        <w:t> </w:t>
      </w:r>
      <w:r>
        <w:rPr>
          <w:color w:val="231F20"/>
          <w:w w:val="110"/>
        </w:rPr>
        <w:t>humano.</w:t>
      </w:r>
    </w:p>
    <w:p>
      <w:pPr>
        <w:pStyle w:val="BodyText"/>
        <w:spacing w:line="261" w:lineRule="auto"/>
        <w:ind w:left="100" w:right="117" w:firstLine="240"/>
        <w:jc w:val="both"/>
        <w:rPr>
          <w:sz w:val="13"/>
        </w:rPr>
      </w:pPr>
      <w:r>
        <w:rPr>
          <w:color w:val="231F20"/>
          <w:w w:val="110"/>
        </w:rPr>
        <w:t>La experiencia histórica de la crisis de largo plazo, iniciada en 1914-1918 y extendida por los años veinte y treinta, llegando inclu- sive a la mitad de los cuarenta (periodo histórico marcado por dos posguerras mundiales, varias revoluciones a partir de la mexicana y la rusa, una crisis de largo plazo que incluyó el devastador periodo de</w:t>
      </w:r>
      <w:r>
        <w:rPr>
          <w:color w:val="231F20"/>
          <w:spacing w:val="-8"/>
          <w:w w:val="110"/>
        </w:rPr>
        <w:t> </w:t>
      </w:r>
      <w:r>
        <w:rPr>
          <w:color w:val="231F20"/>
          <w:w w:val="110"/>
        </w:rPr>
        <w:t>1929</w:t>
      </w:r>
      <w:r>
        <w:rPr>
          <w:color w:val="231F20"/>
          <w:spacing w:val="-8"/>
          <w:w w:val="110"/>
        </w:rPr>
        <w:t> </w:t>
      </w:r>
      <w:r>
        <w:rPr>
          <w:color w:val="231F20"/>
          <w:w w:val="110"/>
        </w:rPr>
        <w:t>a</w:t>
      </w:r>
      <w:r>
        <w:rPr>
          <w:color w:val="231F20"/>
          <w:spacing w:val="-8"/>
          <w:w w:val="110"/>
        </w:rPr>
        <w:t> </w:t>
      </w:r>
      <w:r>
        <w:rPr>
          <w:color w:val="231F20"/>
          <w:w w:val="110"/>
        </w:rPr>
        <w:t>1945)</w:t>
      </w:r>
      <w:r>
        <w:rPr>
          <w:color w:val="231F20"/>
          <w:spacing w:val="-8"/>
          <w:w w:val="110"/>
        </w:rPr>
        <w:t> </w:t>
      </w:r>
      <w:r>
        <w:rPr>
          <w:color w:val="231F20"/>
          <w:w w:val="110"/>
        </w:rPr>
        <w:t>da</w:t>
      </w:r>
      <w:r>
        <w:rPr>
          <w:color w:val="231F20"/>
          <w:spacing w:val="-8"/>
          <w:w w:val="110"/>
        </w:rPr>
        <w:t> </w:t>
      </w:r>
      <w:r>
        <w:rPr>
          <w:color w:val="231F20"/>
          <w:w w:val="110"/>
        </w:rPr>
        <w:t>inicio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fase</w:t>
      </w:r>
      <w:r>
        <w:rPr>
          <w:color w:val="231F20"/>
          <w:spacing w:val="-8"/>
          <w:w w:val="110"/>
        </w:rPr>
        <w:t> </w:t>
      </w:r>
      <w:r>
        <w:rPr>
          <w:color w:val="231F20"/>
          <w:w w:val="110"/>
        </w:rPr>
        <w:t>defensiva</w:t>
      </w:r>
      <w:r>
        <w:rPr>
          <w:color w:val="231F20"/>
          <w:spacing w:val="-8"/>
          <w:w w:val="110"/>
        </w:rPr>
        <w:t> </w:t>
      </w:r>
      <w:r>
        <w:rPr>
          <w:color w:val="231F20"/>
          <w:w w:val="110"/>
        </w:rPr>
        <w:t>del</w:t>
      </w:r>
      <w:r>
        <w:rPr>
          <w:color w:val="231F20"/>
          <w:spacing w:val="-8"/>
          <w:w w:val="110"/>
        </w:rPr>
        <w:t> </w:t>
      </w:r>
      <w:r>
        <w:rPr>
          <w:color w:val="231F20"/>
          <w:w w:val="110"/>
        </w:rPr>
        <w:t>modo</w:t>
      </w:r>
      <w:r>
        <w:rPr>
          <w:color w:val="231F20"/>
          <w:spacing w:val="-8"/>
          <w:w w:val="110"/>
        </w:rPr>
        <w:t> </w:t>
      </w:r>
      <w:r>
        <w:rPr>
          <w:color w:val="231F20"/>
          <w:w w:val="110"/>
        </w:rPr>
        <w:t>de</w:t>
      </w:r>
      <w:r>
        <w:rPr>
          <w:color w:val="231F20"/>
          <w:spacing w:val="-8"/>
          <w:w w:val="110"/>
        </w:rPr>
        <w:t> </w:t>
      </w:r>
      <w:r>
        <w:rPr>
          <w:color w:val="231F20"/>
          <w:w w:val="110"/>
        </w:rPr>
        <w:t>producción capitalista.</w:t>
      </w:r>
      <w:r>
        <w:rPr>
          <w:color w:val="231F20"/>
          <w:spacing w:val="-27"/>
          <w:w w:val="110"/>
        </w:rPr>
        <w:t> </w:t>
      </w:r>
      <w:r>
        <w:rPr>
          <w:color w:val="231F20"/>
          <w:w w:val="110"/>
        </w:rPr>
        <w:t>Éste</w:t>
      </w:r>
      <w:r>
        <w:rPr>
          <w:color w:val="231F20"/>
          <w:spacing w:val="-27"/>
          <w:w w:val="110"/>
        </w:rPr>
        <w:t> </w:t>
      </w:r>
      <w:r>
        <w:rPr>
          <w:color w:val="231F20"/>
          <w:w w:val="110"/>
        </w:rPr>
        <w:t>sólo</w:t>
      </w:r>
      <w:r>
        <w:rPr>
          <w:color w:val="231F20"/>
          <w:spacing w:val="-27"/>
          <w:w w:val="110"/>
        </w:rPr>
        <w:t> </w:t>
      </w:r>
      <w:r>
        <w:rPr>
          <w:color w:val="231F20"/>
          <w:w w:val="110"/>
        </w:rPr>
        <w:t>pudo</w:t>
      </w:r>
      <w:r>
        <w:rPr>
          <w:color w:val="231F20"/>
          <w:spacing w:val="-27"/>
          <w:w w:val="110"/>
        </w:rPr>
        <w:t> </w:t>
      </w:r>
      <w:r>
        <w:rPr>
          <w:color w:val="231F20"/>
          <w:w w:val="110"/>
        </w:rPr>
        <w:t>sobrevivir</w:t>
      </w:r>
      <w:r>
        <w:rPr>
          <w:color w:val="231F20"/>
          <w:spacing w:val="-27"/>
          <w:w w:val="110"/>
        </w:rPr>
        <w:t> </w:t>
      </w:r>
      <w:r>
        <w:rPr>
          <w:color w:val="231F20"/>
          <w:w w:val="110"/>
        </w:rPr>
        <w:t>elevando</w:t>
      </w:r>
      <w:r>
        <w:rPr>
          <w:color w:val="231F20"/>
          <w:spacing w:val="-27"/>
          <w:w w:val="110"/>
        </w:rPr>
        <w:t> </w:t>
      </w:r>
      <w:r>
        <w:rPr>
          <w:color w:val="231F20"/>
          <w:w w:val="110"/>
        </w:rPr>
        <w:t>a</w:t>
      </w:r>
      <w:r>
        <w:rPr>
          <w:color w:val="231F20"/>
          <w:spacing w:val="-27"/>
          <w:w w:val="110"/>
        </w:rPr>
        <w:t> </w:t>
      </w:r>
      <w:r>
        <w:rPr>
          <w:color w:val="231F20"/>
          <w:w w:val="110"/>
        </w:rPr>
        <w:t>niveles</w:t>
      </w:r>
      <w:r>
        <w:rPr>
          <w:color w:val="231F20"/>
          <w:spacing w:val="-27"/>
          <w:w w:val="110"/>
        </w:rPr>
        <w:t> </w:t>
      </w:r>
      <w:r>
        <w:rPr>
          <w:color w:val="231F20"/>
          <w:w w:val="110"/>
        </w:rPr>
        <w:t>inimaginables</w:t>
      </w:r>
      <w:r>
        <w:rPr>
          <w:color w:val="231F20"/>
          <w:w w:val="108"/>
        </w:rPr>
        <w:t> </w:t>
      </w:r>
      <w:r>
        <w:rPr>
          <w:color w:val="231F20"/>
          <w:w w:val="110"/>
        </w:rPr>
        <w:t>el fenómeno del capitalismo de</w:t>
      </w:r>
      <w:r>
        <w:rPr>
          <w:color w:val="231F20"/>
          <w:spacing w:val="30"/>
          <w:w w:val="110"/>
        </w:rPr>
        <w:t> </w:t>
      </w:r>
      <w:r>
        <w:rPr>
          <w:color w:val="231F20"/>
          <w:w w:val="110"/>
        </w:rPr>
        <w:t>Estado.</w:t>
      </w:r>
      <w:r>
        <w:rPr>
          <w:color w:val="231F20"/>
          <w:w w:val="110"/>
          <w:position w:val="6"/>
          <w:sz w:val="13"/>
        </w:rPr>
        <w:t>4</w:t>
      </w:r>
    </w:p>
    <w:p>
      <w:pPr>
        <w:pStyle w:val="BodyText"/>
        <w:spacing w:line="261" w:lineRule="auto"/>
        <w:ind w:left="100" w:right="117" w:firstLine="240"/>
        <w:jc w:val="both"/>
      </w:pPr>
      <w:r>
        <w:rPr>
          <w:color w:val="231F20"/>
          <w:w w:val="110"/>
        </w:rPr>
        <w:t>Tres modalidades de capitalismo de Estado se desarrollaron fuer- temente a partir de los años treinta, sobre todo como respuesta a la crisis de 1929:</w:t>
      </w:r>
    </w:p>
    <w:p>
      <w:pPr>
        <w:pStyle w:val="BodyText"/>
        <w:spacing w:before="8"/>
        <w:rPr>
          <w:sz w:val="21"/>
        </w:rPr>
      </w:pPr>
    </w:p>
    <w:p>
      <w:pPr>
        <w:pStyle w:val="BodyText"/>
        <w:spacing w:line="261" w:lineRule="auto"/>
        <w:ind w:left="500" w:right="117" w:hanging="400"/>
        <w:jc w:val="both"/>
      </w:pPr>
      <w:r>
        <w:rPr>
          <w:i/>
          <w:color w:val="231F20"/>
          <w:w w:val="110"/>
        </w:rPr>
        <w:t>a</w:t>
      </w:r>
      <w:r>
        <w:rPr>
          <w:color w:val="231F20"/>
          <w:w w:val="110"/>
        </w:rPr>
        <w:t>]  La modalidad del llamado “Estado de bienestar”, a partir del  </w:t>
      </w:r>
      <w:r>
        <w:rPr>
          <w:i/>
          <w:color w:val="231F20"/>
          <w:w w:val="110"/>
        </w:rPr>
        <w:t>New</w:t>
      </w:r>
      <w:r>
        <w:rPr>
          <w:i/>
          <w:color w:val="231F20"/>
          <w:spacing w:val="-17"/>
          <w:w w:val="110"/>
        </w:rPr>
        <w:t> </w:t>
      </w:r>
      <w:r>
        <w:rPr>
          <w:i/>
          <w:color w:val="231F20"/>
          <w:w w:val="110"/>
        </w:rPr>
        <w:t>Deal</w:t>
      </w:r>
      <w:r>
        <w:rPr>
          <w:i/>
          <w:color w:val="231F20"/>
          <w:spacing w:val="-17"/>
          <w:w w:val="110"/>
        </w:rPr>
        <w:t> </w:t>
      </w:r>
      <w:r>
        <w:rPr>
          <w:color w:val="231F20"/>
          <w:w w:val="110"/>
        </w:rPr>
        <w:t>de</w:t>
      </w:r>
      <w:r>
        <w:rPr>
          <w:color w:val="231F20"/>
          <w:spacing w:val="-17"/>
          <w:w w:val="110"/>
        </w:rPr>
        <w:t> </w:t>
      </w:r>
      <w:r>
        <w:rPr>
          <w:color w:val="231F20"/>
          <w:w w:val="110"/>
        </w:rPr>
        <w:t>Roosevelt,</w:t>
      </w:r>
      <w:r>
        <w:rPr>
          <w:color w:val="231F20"/>
          <w:spacing w:val="-17"/>
          <w:w w:val="110"/>
        </w:rPr>
        <w:t> </w:t>
      </w:r>
      <w:r>
        <w:rPr>
          <w:color w:val="231F20"/>
          <w:w w:val="110"/>
        </w:rPr>
        <w:t>en</w:t>
      </w:r>
      <w:r>
        <w:rPr>
          <w:color w:val="231F20"/>
          <w:spacing w:val="-17"/>
          <w:w w:val="110"/>
        </w:rPr>
        <w:t> </w:t>
      </w:r>
      <w:r>
        <w:rPr>
          <w:color w:val="231F20"/>
          <w:w w:val="110"/>
        </w:rPr>
        <w:t>Estados</w:t>
      </w:r>
      <w:r>
        <w:rPr>
          <w:color w:val="231F20"/>
          <w:spacing w:val="-17"/>
          <w:w w:val="110"/>
        </w:rPr>
        <w:t> </w:t>
      </w:r>
      <w:r>
        <w:rPr>
          <w:color w:val="231F20"/>
          <w:w w:val="110"/>
        </w:rPr>
        <w:t>Unidos</w:t>
      </w:r>
      <w:r>
        <w:rPr>
          <w:color w:val="231F20"/>
          <w:spacing w:val="-17"/>
          <w:w w:val="110"/>
        </w:rPr>
        <w:t> </w:t>
      </w:r>
      <w:r>
        <w:rPr>
          <w:color w:val="231F20"/>
          <w:spacing w:val="-8"/>
          <w:w w:val="110"/>
        </w:rPr>
        <w:t>y,</w:t>
      </w:r>
      <w:r>
        <w:rPr>
          <w:color w:val="231F20"/>
          <w:spacing w:val="-17"/>
          <w:w w:val="110"/>
        </w:rPr>
        <w:t> </w:t>
      </w:r>
      <w:r>
        <w:rPr>
          <w:color w:val="231F20"/>
          <w:w w:val="110"/>
        </w:rPr>
        <w:t>posteriormente</w:t>
      </w:r>
      <w:r>
        <w:rPr>
          <w:color w:val="231F20"/>
          <w:spacing w:val="-17"/>
          <w:w w:val="110"/>
        </w:rPr>
        <w:t> </w:t>
      </w:r>
      <w:r>
        <w:rPr>
          <w:color w:val="231F20"/>
          <w:w w:val="110"/>
        </w:rPr>
        <w:t>a</w:t>
      </w:r>
      <w:r>
        <w:rPr>
          <w:color w:val="231F20"/>
          <w:spacing w:val="-17"/>
          <w:w w:val="110"/>
        </w:rPr>
        <w:t> </w:t>
      </w:r>
      <w:r>
        <w:rPr>
          <w:color w:val="231F20"/>
          <w:w w:val="110"/>
        </w:rPr>
        <w:t>la derrota nazi, en Europa (en los países nórdicos, particularmente en Suecia), esta modalidad de prolongación del capitalismo</w:t>
      </w:r>
      <w:r>
        <w:rPr>
          <w:color w:val="231F20"/>
          <w:spacing w:val="-3"/>
          <w:w w:val="110"/>
        </w:rPr>
        <w:t> </w:t>
      </w:r>
      <w:r>
        <w:rPr>
          <w:color w:val="231F20"/>
          <w:w w:val="110"/>
        </w:rPr>
        <w:t>con concesiones a la socialización tuvo un gran desarrollo desde</w:t>
      </w:r>
      <w:r>
        <w:rPr>
          <w:color w:val="231F20"/>
          <w:spacing w:val="-3"/>
          <w:w w:val="110"/>
        </w:rPr>
        <w:t> </w:t>
      </w:r>
      <w:r>
        <w:rPr>
          <w:color w:val="231F20"/>
          <w:w w:val="110"/>
        </w:rPr>
        <w:t>los años treinta con extrema continuidad histórica, a pesar de los retrocesos ocurridos en el reciente periodo de hegemonía del neoliberalismo.</w:t>
      </w:r>
    </w:p>
    <w:p>
      <w:pPr>
        <w:pStyle w:val="BodyText"/>
        <w:spacing w:line="261" w:lineRule="auto"/>
        <w:ind w:left="500" w:right="117" w:hanging="400"/>
        <w:jc w:val="both"/>
      </w:pPr>
      <w:r>
        <w:rPr>
          <w:i/>
          <w:color w:val="231F20"/>
          <w:w w:val="105"/>
        </w:rPr>
        <w:t>b</w:t>
      </w:r>
      <w:r>
        <w:rPr>
          <w:color w:val="231F20"/>
          <w:w w:val="105"/>
        </w:rPr>
        <w:t>]  El Estado nazi, apoyado en el terror de Estado y en el capitalismo de guerra, así como en la creación de relaciones de producción insostenibles a largo plazo, como la enorme expansión del es- clavismo</w:t>
      </w:r>
      <w:r>
        <w:rPr>
          <w:color w:val="231F20"/>
          <w:spacing w:val="41"/>
          <w:w w:val="105"/>
        </w:rPr>
        <w:t> </w:t>
      </w:r>
      <w:r>
        <w:rPr>
          <w:color w:val="231F20"/>
          <w:w w:val="105"/>
        </w:rPr>
        <w:t>“autodestructivo”</w:t>
      </w:r>
      <w:r>
        <w:rPr>
          <w:color w:val="231F20"/>
          <w:spacing w:val="41"/>
          <w:w w:val="105"/>
        </w:rPr>
        <w:t> </w:t>
      </w:r>
      <w:r>
        <w:rPr>
          <w:color w:val="231F20"/>
          <w:w w:val="105"/>
        </w:rPr>
        <w:t>en</w:t>
      </w:r>
      <w:r>
        <w:rPr>
          <w:color w:val="231F20"/>
          <w:spacing w:val="41"/>
          <w:w w:val="105"/>
        </w:rPr>
        <w:t> </w:t>
      </w:r>
      <w:r>
        <w:rPr>
          <w:color w:val="231F20"/>
          <w:w w:val="105"/>
        </w:rPr>
        <w:t>Alemania,</w:t>
      </w:r>
      <w:r>
        <w:rPr>
          <w:color w:val="231F20"/>
          <w:spacing w:val="41"/>
          <w:w w:val="105"/>
        </w:rPr>
        <w:t> </w:t>
      </w:r>
      <w:r>
        <w:rPr>
          <w:color w:val="231F20"/>
          <w:w w:val="105"/>
        </w:rPr>
        <w:t>en</w:t>
      </w:r>
      <w:r>
        <w:rPr>
          <w:color w:val="231F20"/>
          <w:spacing w:val="41"/>
          <w:w w:val="105"/>
        </w:rPr>
        <w:t> </w:t>
      </w:r>
      <w:r>
        <w:rPr>
          <w:color w:val="231F20"/>
          <w:w w:val="105"/>
        </w:rPr>
        <w:t>los</w:t>
      </w:r>
      <w:r>
        <w:rPr>
          <w:color w:val="231F20"/>
          <w:spacing w:val="41"/>
          <w:w w:val="105"/>
        </w:rPr>
        <w:t> </w:t>
      </w:r>
      <w:r>
        <w:rPr>
          <w:color w:val="231F20"/>
          <w:w w:val="105"/>
        </w:rPr>
        <w:t>países</w:t>
      </w:r>
      <w:r>
        <w:rPr>
          <w:color w:val="231F20"/>
          <w:spacing w:val="41"/>
          <w:w w:val="105"/>
        </w:rPr>
        <w:t> </w:t>
      </w:r>
      <w:r>
        <w:rPr>
          <w:color w:val="231F20"/>
          <w:w w:val="105"/>
        </w:rPr>
        <w:t>por</w:t>
      </w:r>
      <w:r>
        <w:rPr>
          <w:color w:val="231F20"/>
          <w:spacing w:val="41"/>
          <w:w w:val="105"/>
        </w:rPr>
        <w:t> </w:t>
      </w:r>
      <w:r>
        <w:rPr>
          <w:color w:val="231F20"/>
          <w:w w:val="105"/>
        </w:rPr>
        <w:t>ella</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05"/>
          <w:position w:val="5"/>
          <w:sz w:val="10"/>
        </w:rPr>
        <w:t>4 </w:t>
      </w:r>
      <w:r>
        <w:rPr>
          <w:color w:val="231F20"/>
          <w:w w:val="105"/>
          <w:sz w:val="16"/>
        </w:rPr>
        <w:t>El concepto de “capitalismo monopolista de Estado” ya surge en el libro de Bu- jarin sobre la economía mundial. En los años veinte Lenin reconoce la posición de Bujarín y se inaugura una tradición leninista de estudio del capitalismo monopolista      de Estado que llegó a su auge entre los decenios 1970 y 1980. La hegemonía del pen- samiento único neoliberal ejerció un terror intelectual sobre estos debates haciéndolos retroceder al final de los años    </w:t>
      </w:r>
      <w:r>
        <w:rPr>
          <w:color w:val="231F20"/>
          <w:spacing w:val="19"/>
          <w:w w:val="105"/>
          <w:sz w:val="16"/>
        </w:rPr>
        <w:t> </w:t>
      </w:r>
      <w:r>
        <w:rPr>
          <w:color w:val="231F20"/>
          <w:w w:val="105"/>
          <w:sz w:val="16"/>
        </w:rPr>
        <w:t>ochenta.</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500" w:right="119"/>
        <w:jc w:val="both"/>
      </w:pPr>
      <w:r>
        <w:rPr>
          <w:color w:val="231F20"/>
          <w:w w:val="110"/>
        </w:rPr>
        <w:t>conquistados. Se trataba de una relación de producción que no incluía la reproducción de la mano de obra (con la eliminación de los esclavos insuficientemente alimentados y destinados</w:t>
      </w:r>
      <w:r>
        <w:rPr>
          <w:color w:val="231F20"/>
          <w:spacing w:val="-8"/>
          <w:w w:val="110"/>
        </w:rPr>
        <w:t> </w:t>
      </w:r>
      <w:r>
        <w:rPr>
          <w:color w:val="231F20"/>
          <w:w w:val="110"/>
        </w:rPr>
        <w:t>a</w:t>
      </w:r>
      <w:r>
        <w:rPr>
          <w:color w:val="231F20"/>
          <w:spacing w:val="-2"/>
          <w:w w:val="110"/>
        </w:rPr>
        <w:t> </w:t>
      </w:r>
      <w:r>
        <w:rPr>
          <w:color w:val="231F20"/>
          <w:w w:val="110"/>
        </w:rPr>
        <w:t>su</w:t>
      </w:r>
      <w:r>
        <w:rPr>
          <w:color w:val="231F20"/>
          <w:w w:val="105"/>
        </w:rPr>
        <w:t> </w:t>
      </w:r>
      <w:r>
        <w:rPr>
          <w:color w:val="231F20"/>
          <w:w w:val="110"/>
        </w:rPr>
        <w:t>liquidación masiva en los campos de concentración a través de las camaras de gases para convertirlos en materia prima para la confección de productos de uso </w:t>
      </w:r>
      <w:r>
        <w:rPr>
          <w:color w:val="231F20"/>
          <w:spacing w:val="47"/>
          <w:w w:val="110"/>
        </w:rPr>
        <w:t> </w:t>
      </w:r>
      <w:r>
        <w:rPr>
          <w:color w:val="231F20"/>
          <w:w w:val="110"/>
        </w:rPr>
        <w:t>corriente).</w:t>
      </w:r>
    </w:p>
    <w:p>
      <w:pPr>
        <w:pStyle w:val="BodyText"/>
        <w:spacing w:line="261" w:lineRule="auto"/>
        <w:ind w:left="460" w:right="113" w:firstLine="203"/>
        <w:jc w:val="both"/>
        <w:rPr>
          <w:sz w:val="13"/>
        </w:rPr>
      </w:pPr>
      <w:r>
        <w:rPr>
          <w:color w:val="231F20"/>
          <w:w w:val="110"/>
        </w:rPr>
        <w:t>El </w:t>
      </w:r>
      <w:r>
        <w:rPr>
          <w:color w:val="231F20"/>
          <w:spacing w:val="2"/>
          <w:w w:val="110"/>
        </w:rPr>
        <w:t>nazismo alcanzó </w:t>
      </w:r>
      <w:r>
        <w:rPr>
          <w:color w:val="231F20"/>
          <w:w w:val="110"/>
        </w:rPr>
        <w:t>una </w:t>
      </w:r>
      <w:r>
        <w:rPr>
          <w:color w:val="231F20"/>
          <w:spacing w:val="2"/>
          <w:w w:val="110"/>
        </w:rPr>
        <w:t>expansión capitalista </w:t>
      </w:r>
      <w:r>
        <w:rPr>
          <w:color w:val="231F20"/>
          <w:w w:val="110"/>
        </w:rPr>
        <w:t>en los </w:t>
      </w:r>
      <w:r>
        <w:rPr>
          <w:color w:val="231F20"/>
          <w:spacing w:val="3"/>
          <w:w w:val="110"/>
        </w:rPr>
        <w:t>años </w:t>
      </w:r>
      <w:r>
        <w:rPr>
          <w:color w:val="231F20"/>
          <w:w w:val="110"/>
        </w:rPr>
        <w:t>treinta y comienzos de los cuarenta, pero fue derrotado </w:t>
      </w:r>
      <w:r>
        <w:rPr>
          <w:color w:val="231F20"/>
          <w:spacing w:val="-3"/>
          <w:w w:val="110"/>
        </w:rPr>
        <w:t>militar, </w:t>
      </w:r>
      <w:r>
        <w:rPr>
          <w:color w:val="231F20"/>
          <w:w w:val="110"/>
        </w:rPr>
        <w:t>política e ideológicamente. Sin embargo, sus principales repre- sentantes en la filosofía (Heidegger), en la poesía (Erza Pound), en las artes (Futurismo), en la economía (liberalismo</w:t>
      </w:r>
      <w:r>
        <w:rPr>
          <w:color w:val="231F20"/>
          <w:spacing w:val="-24"/>
          <w:w w:val="110"/>
        </w:rPr>
        <w:t> </w:t>
      </w:r>
      <w:r>
        <w:rPr>
          <w:color w:val="231F20"/>
          <w:w w:val="110"/>
        </w:rPr>
        <w:t>económico contra el político) continúan su influencia profundaen el pensa- miento contemporáneo. Además, ha resurgido agresivamente en el tercer mundo como formas de gobierno autoritarias y hasta totalitarias</w:t>
      </w:r>
      <w:r>
        <w:rPr>
          <w:color w:val="231F20"/>
          <w:spacing w:val="-12"/>
          <w:w w:val="110"/>
        </w:rPr>
        <w:t> </w:t>
      </w:r>
      <w:r>
        <w:rPr>
          <w:color w:val="231F20"/>
          <w:w w:val="110"/>
        </w:rPr>
        <w:t>como</w:t>
      </w:r>
      <w:r>
        <w:rPr>
          <w:color w:val="231F20"/>
          <w:spacing w:val="-12"/>
          <w:w w:val="110"/>
        </w:rPr>
        <w:t> </w:t>
      </w:r>
      <w:r>
        <w:rPr>
          <w:color w:val="231F20"/>
          <w:w w:val="110"/>
        </w:rPr>
        <w:t>lo</w:t>
      </w:r>
      <w:r>
        <w:rPr>
          <w:color w:val="231F20"/>
          <w:spacing w:val="-12"/>
          <w:w w:val="110"/>
        </w:rPr>
        <w:t> </w:t>
      </w:r>
      <w:r>
        <w:rPr>
          <w:color w:val="231F20"/>
          <w:w w:val="110"/>
        </w:rPr>
        <w:t>fueron</w:t>
      </w:r>
      <w:r>
        <w:rPr>
          <w:color w:val="231F20"/>
          <w:spacing w:val="-12"/>
          <w:w w:val="110"/>
        </w:rPr>
        <w:t> </w:t>
      </w:r>
      <w:r>
        <w:rPr>
          <w:color w:val="231F20"/>
          <w:w w:val="110"/>
        </w:rPr>
        <w:t>los</w:t>
      </w:r>
      <w:r>
        <w:rPr>
          <w:color w:val="231F20"/>
          <w:spacing w:val="-12"/>
          <w:w w:val="110"/>
        </w:rPr>
        <w:t> </w:t>
      </w:r>
      <w:r>
        <w:rPr>
          <w:color w:val="231F20"/>
          <w:w w:val="110"/>
        </w:rPr>
        <w:t>regímenes</w:t>
      </w:r>
      <w:r>
        <w:rPr>
          <w:color w:val="231F20"/>
          <w:spacing w:val="-12"/>
          <w:w w:val="110"/>
        </w:rPr>
        <w:t> </w:t>
      </w:r>
      <w:r>
        <w:rPr>
          <w:color w:val="231F20"/>
          <w:w w:val="110"/>
        </w:rPr>
        <w:t>militares</w:t>
      </w:r>
      <w:r>
        <w:rPr>
          <w:color w:val="231F20"/>
          <w:spacing w:val="-12"/>
          <w:w w:val="110"/>
        </w:rPr>
        <w:t> </w:t>
      </w:r>
      <w:r>
        <w:rPr>
          <w:color w:val="231F20"/>
          <w:w w:val="110"/>
        </w:rPr>
        <w:t>con</w:t>
      </w:r>
      <w:r>
        <w:rPr>
          <w:color w:val="231F20"/>
          <w:spacing w:val="-12"/>
          <w:w w:val="110"/>
        </w:rPr>
        <w:t> </w:t>
      </w:r>
      <w:r>
        <w:rPr>
          <w:color w:val="231F20"/>
          <w:w w:val="110"/>
        </w:rPr>
        <w:t>pretensio- nes modernizadoras que se implantaron a partir da ideología de la</w:t>
      </w:r>
      <w:r>
        <w:rPr>
          <w:color w:val="231F20"/>
          <w:spacing w:val="-17"/>
          <w:w w:val="110"/>
        </w:rPr>
        <w:t> </w:t>
      </w:r>
      <w:r>
        <w:rPr>
          <w:color w:val="231F20"/>
          <w:w w:val="110"/>
        </w:rPr>
        <w:t>seguridad</w:t>
      </w:r>
      <w:r>
        <w:rPr>
          <w:color w:val="231F20"/>
          <w:spacing w:val="-17"/>
          <w:w w:val="110"/>
        </w:rPr>
        <w:t> </w:t>
      </w:r>
      <w:r>
        <w:rPr>
          <w:color w:val="231F20"/>
          <w:w w:val="110"/>
        </w:rPr>
        <w:t>nacional</w:t>
      </w:r>
      <w:r>
        <w:rPr>
          <w:color w:val="231F20"/>
          <w:spacing w:val="-17"/>
          <w:w w:val="110"/>
        </w:rPr>
        <w:t> </w:t>
      </w:r>
      <w:r>
        <w:rPr>
          <w:color w:val="231F20"/>
          <w:w w:val="110"/>
        </w:rPr>
        <w:t>entre</w:t>
      </w:r>
      <w:r>
        <w:rPr>
          <w:color w:val="231F20"/>
          <w:spacing w:val="-17"/>
          <w:w w:val="110"/>
        </w:rPr>
        <w:t> </w:t>
      </w:r>
      <w:r>
        <w:rPr>
          <w:color w:val="231F20"/>
          <w:w w:val="110"/>
        </w:rPr>
        <w:t>los</w:t>
      </w:r>
      <w:r>
        <w:rPr>
          <w:color w:val="231F20"/>
          <w:spacing w:val="-17"/>
          <w:w w:val="110"/>
        </w:rPr>
        <w:t> </w:t>
      </w:r>
      <w:r>
        <w:rPr>
          <w:color w:val="231F20"/>
          <w:w w:val="110"/>
        </w:rPr>
        <w:t>años</w:t>
      </w:r>
      <w:r>
        <w:rPr>
          <w:color w:val="231F20"/>
          <w:spacing w:val="-17"/>
          <w:w w:val="110"/>
        </w:rPr>
        <w:t> </w:t>
      </w:r>
      <w:r>
        <w:rPr>
          <w:color w:val="231F20"/>
          <w:w w:val="110"/>
        </w:rPr>
        <w:t>sesenta</w:t>
      </w:r>
      <w:r>
        <w:rPr>
          <w:color w:val="231F20"/>
          <w:spacing w:val="-17"/>
          <w:w w:val="110"/>
        </w:rPr>
        <w:t> </w:t>
      </w:r>
      <w:r>
        <w:rPr>
          <w:color w:val="231F20"/>
          <w:w w:val="110"/>
        </w:rPr>
        <w:t>y</w:t>
      </w:r>
      <w:r>
        <w:rPr>
          <w:color w:val="231F20"/>
          <w:spacing w:val="-17"/>
          <w:w w:val="110"/>
        </w:rPr>
        <w:t> </w:t>
      </w:r>
      <w:r>
        <w:rPr>
          <w:color w:val="231F20"/>
          <w:w w:val="110"/>
        </w:rPr>
        <w:t>ochenta</w:t>
      </w:r>
      <w:r>
        <w:rPr>
          <w:color w:val="231F20"/>
          <w:spacing w:val="-17"/>
          <w:w w:val="110"/>
        </w:rPr>
        <w:t> </w:t>
      </w:r>
      <w:r>
        <w:rPr>
          <w:color w:val="231F20"/>
          <w:w w:val="110"/>
        </w:rPr>
        <w:t>en</w:t>
      </w:r>
      <w:r>
        <w:rPr>
          <w:color w:val="231F20"/>
          <w:spacing w:val="-17"/>
          <w:w w:val="110"/>
        </w:rPr>
        <w:t> </w:t>
      </w:r>
      <w:r>
        <w:rPr>
          <w:color w:val="231F20"/>
          <w:w w:val="110"/>
        </w:rPr>
        <w:t>América Latina</w:t>
      </w:r>
      <w:r>
        <w:rPr>
          <w:color w:val="231F20"/>
          <w:spacing w:val="-9"/>
          <w:w w:val="110"/>
        </w:rPr>
        <w:t> </w:t>
      </w:r>
      <w:r>
        <w:rPr>
          <w:color w:val="231F20"/>
          <w:w w:val="110"/>
        </w:rPr>
        <w:t>y</w:t>
      </w:r>
      <w:r>
        <w:rPr>
          <w:color w:val="231F20"/>
          <w:spacing w:val="-9"/>
          <w:w w:val="110"/>
        </w:rPr>
        <w:t> </w:t>
      </w:r>
      <w:r>
        <w:rPr>
          <w:color w:val="231F20"/>
          <w:w w:val="110"/>
        </w:rPr>
        <w:t>en</w:t>
      </w:r>
      <w:r>
        <w:rPr>
          <w:color w:val="231F20"/>
          <w:spacing w:val="-9"/>
          <w:w w:val="110"/>
        </w:rPr>
        <w:t> </w:t>
      </w:r>
      <w:r>
        <w:rPr>
          <w:color w:val="231F20"/>
          <w:w w:val="110"/>
        </w:rPr>
        <w:t>Asia</w:t>
      </w:r>
      <w:r>
        <w:rPr>
          <w:color w:val="231F20"/>
          <w:spacing w:val="-9"/>
          <w:w w:val="110"/>
        </w:rPr>
        <w:t> </w:t>
      </w:r>
      <w:r>
        <w:rPr>
          <w:color w:val="231F20"/>
          <w:w w:val="110"/>
        </w:rPr>
        <w:t>(Dos</w:t>
      </w:r>
      <w:r>
        <w:rPr>
          <w:color w:val="231F20"/>
          <w:spacing w:val="-9"/>
          <w:w w:val="110"/>
        </w:rPr>
        <w:t> </w:t>
      </w:r>
      <w:r>
        <w:rPr>
          <w:color w:val="231F20"/>
          <w:w w:val="110"/>
        </w:rPr>
        <w:t>Santos,</w:t>
      </w:r>
      <w:r>
        <w:rPr>
          <w:color w:val="231F20"/>
          <w:spacing w:val="-9"/>
          <w:w w:val="110"/>
        </w:rPr>
        <w:t> </w:t>
      </w:r>
      <w:r>
        <w:rPr>
          <w:color w:val="231F20"/>
          <w:w w:val="110"/>
        </w:rPr>
        <w:t>1975).</w:t>
      </w:r>
      <w:r>
        <w:rPr>
          <w:color w:val="231F20"/>
          <w:w w:val="110"/>
          <w:position w:val="6"/>
          <w:sz w:val="13"/>
        </w:rPr>
        <w:t>5</w:t>
      </w:r>
    </w:p>
    <w:p>
      <w:pPr>
        <w:pStyle w:val="BodyText"/>
        <w:tabs>
          <w:tab w:pos="499" w:val="left" w:leader="none"/>
        </w:tabs>
        <w:spacing w:line="261" w:lineRule="auto"/>
        <w:ind w:left="340" w:right="114" w:hanging="240"/>
        <w:jc w:val="right"/>
      </w:pPr>
      <w:r>
        <w:rPr>
          <w:i/>
          <w:color w:val="231F20"/>
          <w:w w:val="110"/>
        </w:rPr>
        <w:t>c</w:t>
      </w:r>
      <w:r>
        <w:rPr>
          <w:color w:val="231F20"/>
          <w:w w:val="110"/>
        </w:rPr>
        <w:t>]</w:t>
        <w:tab/>
        <w:tab/>
        <w:t>La</w:t>
      </w:r>
      <w:r>
        <w:rPr>
          <w:color w:val="231F20"/>
          <w:spacing w:val="40"/>
          <w:w w:val="110"/>
        </w:rPr>
        <w:t> </w:t>
      </w:r>
      <w:r>
        <w:rPr>
          <w:color w:val="231F20"/>
          <w:w w:val="110"/>
        </w:rPr>
        <w:t>modalidad</w:t>
      </w:r>
      <w:r>
        <w:rPr>
          <w:color w:val="231F20"/>
          <w:spacing w:val="40"/>
          <w:w w:val="110"/>
        </w:rPr>
        <w:t> </w:t>
      </w:r>
      <w:r>
        <w:rPr>
          <w:color w:val="231F20"/>
          <w:w w:val="110"/>
        </w:rPr>
        <w:t>del</w:t>
      </w:r>
      <w:r>
        <w:rPr>
          <w:color w:val="231F20"/>
          <w:spacing w:val="40"/>
          <w:w w:val="110"/>
        </w:rPr>
        <w:t> </w:t>
      </w:r>
      <w:r>
        <w:rPr>
          <w:color w:val="231F20"/>
          <w:w w:val="110"/>
        </w:rPr>
        <w:t>plan</w:t>
      </w:r>
      <w:r>
        <w:rPr>
          <w:color w:val="231F20"/>
          <w:spacing w:val="40"/>
          <w:w w:val="110"/>
        </w:rPr>
        <w:t> </w:t>
      </w:r>
      <w:r>
        <w:rPr>
          <w:color w:val="231F20"/>
          <w:w w:val="110"/>
        </w:rPr>
        <w:t>socialista</w:t>
      </w:r>
      <w:r>
        <w:rPr>
          <w:color w:val="231F20"/>
          <w:spacing w:val="40"/>
          <w:w w:val="110"/>
        </w:rPr>
        <w:t> </w:t>
      </w:r>
      <w:r>
        <w:rPr>
          <w:color w:val="231F20"/>
          <w:w w:val="110"/>
        </w:rPr>
        <w:t>nacional</w:t>
      </w:r>
      <w:r>
        <w:rPr>
          <w:color w:val="231F20"/>
          <w:spacing w:val="40"/>
          <w:w w:val="110"/>
        </w:rPr>
        <w:t> </w:t>
      </w:r>
      <w:r>
        <w:rPr>
          <w:color w:val="231F20"/>
          <w:w w:val="110"/>
        </w:rPr>
        <w:t>en</w:t>
      </w:r>
      <w:r>
        <w:rPr>
          <w:color w:val="231F20"/>
          <w:spacing w:val="40"/>
          <w:w w:val="110"/>
        </w:rPr>
        <w:t> </w:t>
      </w:r>
      <w:r>
        <w:rPr>
          <w:color w:val="231F20"/>
          <w:w w:val="110"/>
        </w:rPr>
        <w:t>la</w:t>
      </w:r>
      <w:r>
        <w:rPr>
          <w:color w:val="231F20"/>
          <w:spacing w:val="40"/>
          <w:w w:val="110"/>
        </w:rPr>
        <w:t> </w:t>
      </w:r>
      <w:r>
        <w:rPr>
          <w:color w:val="231F20"/>
          <w:w w:val="110"/>
        </w:rPr>
        <w:t>URSS,</w:t>
      </w:r>
      <w:r>
        <w:rPr>
          <w:color w:val="231F20"/>
          <w:spacing w:val="40"/>
          <w:w w:val="110"/>
        </w:rPr>
        <w:t> </w:t>
      </w:r>
      <w:r>
        <w:rPr>
          <w:color w:val="231F20"/>
          <w:w w:val="110"/>
        </w:rPr>
        <w:t>para</w:t>
      </w:r>
      <w:r>
        <w:rPr>
          <w:color w:val="231F20"/>
          <w:spacing w:val="2"/>
          <w:w w:val="112"/>
        </w:rPr>
        <w:t> </w:t>
      </w:r>
      <w:r>
        <w:rPr>
          <w:color w:val="231F20"/>
          <w:w w:val="110"/>
        </w:rPr>
        <w:t>realizar la acumulación primitiva socialista en una</w:t>
      </w:r>
      <w:r>
        <w:rPr>
          <w:color w:val="231F20"/>
          <w:spacing w:val="2"/>
          <w:w w:val="110"/>
        </w:rPr>
        <w:t> </w:t>
      </w:r>
      <w:r>
        <w:rPr>
          <w:color w:val="231F20"/>
          <w:w w:val="110"/>
        </w:rPr>
        <w:t>zona</w:t>
      </w:r>
      <w:r>
        <w:rPr>
          <w:color w:val="231F20"/>
          <w:spacing w:val="8"/>
          <w:w w:val="110"/>
        </w:rPr>
        <w:t> </w:t>
      </w:r>
      <w:r>
        <w:rPr>
          <w:color w:val="231F20"/>
          <w:w w:val="110"/>
        </w:rPr>
        <w:t>atrasa-</w:t>
      </w:r>
      <w:r>
        <w:rPr>
          <w:color w:val="231F20"/>
          <w:w w:val="72"/>
        </w:rPr>
        <w:t> </w:t>
      </w:r>
      <w:r>
        <w:rPr>
          <w:color w:val="231F20"/>
          <w:w w:val="110"/>
        </w:rPr>
        <w:t>da en el desarrollo de las fuerzas productivas. Los</w:t>
      </w:r>
      <w:r>
        <w:rPr>
          <w:color w:val="231F20"/>
          <w:spacing w:val="18"/>
          <w:w w:val="110"/>
        </w:rPr>
        <w:t> </w:t>
      </w:r>
      <w:r>
        <w:rPr>
          <w:color w:val="231F20"/>
          <w:w w:val="110"/>
        </w:rPr>
        <w:t>métodos</w:t>
      </w:r>
      <w:r>
        <w:rPr>
          <w:color w:val="231F20"/>
          <w:spacing w:val="14"/>
          <w:w w:val="110"/>
        </w:rPr>
        <w:t> </w:t>
      </w:r>
      <w:r>
        <w:rPr>
          <w:color w:val="231F20"/>
          <w:w w:val="110"/>
        </w:rPr>
        <w:t>de</w:t>
      </w:r>
      <w:r>
        <w:rPr>
          <w:color w:val="231F20"/>
          <w:w w:val="114"/>
        </w:rPr>
        <w:t> </w:t>
      </w:r>
      <w:r>
        <w:rPr>
          <w:color w:val="231F20"/>
          <w:w w:val="110"/>
        </w:rPr>
        <w:t>planificación</w:t>
      </w:r>
      <w:r>
        <w:rPr>
          <w:color w:val="231F20"/>
          <w:spacing w:val="-11"/>
          <w:w w:val="110"/>
        </w:rPr>
        <w:t> </w:t>
      </w:r>
      <w:r>
        <w:rPr>
          <w:color w:val="231F20"/>
          <w:w w:val="110"/>
        </w:rPr>
        <w:t>alcanzaron</w:t>
      </w:r>
      <w:r>
        <w:rPr>
          <w:color w:val="231F20"/>
          <w:spacing w:val="-11"/>
          <w:w w:val="110"/>
        </w:rPr>
        <w:t> </w:t>
      </w:r>
      <w:r>
        <w:rPr>
          <w:color w:val="231F20"/>
          <w:w w:val="110"/>
        </w:rPr>
        <w:t>resultados</w:t>
      </w:r>
      <w:r>
        <w:rPr>
          <w:color w:val="231F20"/>
          <w:spacing w:val="-11"/>
          <w:w w:val="110"/>
        </w:rPr>
        <w:t> </w:t>
      </w:r>
      <w:r>
        <w:rPr>
          <w:color w:val="231F20"/>
          <w:w w:val="110"/>
        </w:rPr>
        <w:t>inesperados,</w:t>
      </w:r>
      <w:r>
        <w:rPr>
          <w:color w:val="231F20"/>
          <w:spacing w:val="-11"/>
          <w:w w:val="110"/>
        </w:rPr>
        <w:t> </w:t>
      </w:r>
      <w:r>
        <w:rPr>
          <w:color w:val="231F20"/>
          <w:w w:val="110"/>
        </w:rPr>
        <w:t>sobre</w:t>
      </w:r>
      <w:r>
        <w:rPr>
          <w:color w:val="231F20"/>
          <w:spacing w:val="-11"/>
          <w:w w:val="110"/>
        </w:rPr>
        <w:t> </w:t>
      </w:r>
      <w:r>
        <w:rPr>
          <w:color w:val="231F20"/>
          <w:w w:val="110"/>
        </w:rPr>
        <w:t>todo</w:t>
      </w:r>
      <w:r>
        <w:rPr>
          <w:color w:val="231F20"/>
          <w:spacing w:val="-11"/>
          <w:w w:val="110"/>
        </w:rPr>
        <w:t> </w:t>
      </w:r>
      <w:r>
        <w:rPr>
          <w:color w:val="231F20"/>
          <w:w w:val="110"/>
        </w:rPr>
        <w:t>para</w:t>
      </w:r>
      <w:r>
        <w:rPr>
          <w:color w:val="231F20"/>
          <w:w w:val="112"/>
        </w:rPr>
        <w:t> </w:t>
      </w:r>
      <w:r>
        <w:rPr>
          <w:color w:val="231F20"/>
          <w:w w:val="110"/>
        </w:rPr>
        <w:t>la</w:t>
      </w:r>
      <w:r>
        <w:rPr>
          <w:color w:val="231F20"/>
          <w:spacing w:val="-7"/>
          <w:w w:val="110"/>
        </w:rPr>
        <w:t> </w:t>
      </w:r>
      <w:r>
        <w:rPr>
          <w:color w:val="231F20"/>
          <w:w w:val="110"/>
        </w:rPr>
        <w:t>“ciencia”</w:t>
      </w:r>
      <w:r>
        <w:rPr>
          <w:color w:val="231F20"/>
          <w:spacing w:val="-7"/>
          <w:w w:val="110"/>
        </w:rPr>
        <w:t> </w:t>
      </w:r>
      <w:r>
        <w:rPr>
          <w:color w:val="231F20"/>
          <w:w w:val="110"/>
        </w:rPr>
        <w:t>económica</w:t>
      </w:r>
      <w:r>
        <w:rPr>
          <w:color w:val="231F20"/>
          <w:spacing w:val="-7"/>
          <w:w w:val="110"/>
        </w:rPr>
        <w:t> </w:t>
      </w:r>
      <w:r>
        <w:rPr>
          <w:color w:val="231F20"/>
          <w:w w:val="110"/>
        </w:rPr>
        <w:t>dominante.</w:t>
      </w:r>
      <w:r>
        <w:rPr>
          <w:color w:val="231F20"/>
          <w:spacing w:val="-7"/>
          <w:w w:val="110"/>
        </w:rPr>
        <w:t> </w:t>
      </w:r>
      <w:r>
        <w:rPr>
          <w:color w:val="231F20"/>
          <w:w w:val="110"/>
        </w:rPr>
        <w:t>El</w:t>
      </w:r>
      <w:r>
        <w:rPr>
          <w:color w:val="231F20"/>
          <w:spacing w:val="-7"/>
          <w:w w:val="110"/>
        </w:rPr>
        <w:t> </w:t>
      </w:r>
      <w:r>
        <w:rPr>
          <w:color w:val="231F20"/>
          <w:w w:val="110"/>
        </w:rPr>
        <w:t>éxito</w:t>
      </w:r>
      <w:r>
        <w:rPr>
          <w:color w:val="231F20"/>
          <w:spacing w:val="-7"/>
          <w:w w:val="110"/>
        </w:rPr>
        <w:t> </w:t>
      </w:r>
      <w:r>
        <w:rPr>
          <w:color w:val="231F20"/>
          <w:w w:val="110"/>
        </w:rPr>
        <w:t>económico</w:t>
      </w:r>
      <w:r>
        <w:rPr>
          <w:color w:val="231F20"/>
          <w:spacing w:val="-7"/>
          <w:w w:val="110"/>
        </w:rPr>
        <w:t> </w:t>
      </w:r>
      <w:r>
        <w:rPr>
          <w:color w:val="231F20"/>
          <w:w w:val="110"/>
        </w:rPr>
        <w:t>y</w:t>
      </w:r>
      <w:r>
        <w:rPr>
          <w:color w:val="231F20"/>
          <w:spacing w:val="-7"/>
          <w:w w:val="110"/>
        </w:rPr>
        <w:t> </w:t>
      </w:r>
      <w:r>
        <w:rPr>
          <w:color w:val="231F20"/>
          <w:w w:val="110"/>
        </w:rPr>
        <w:t>militar</w:t>
      </w:r>
      <w:r>
        <w:rPr>
          <w:color w:val="231F20"/>
          <w:w w:val="108"/>
        </w:rPr>
        <w:t> </w:t>
      </w:r>
      <w:r>
        <w:rPr>
          <w:color w:val="231F20"/>
          <w:w w:val="110"/>
        </w:rPr>
        <w:t>de la Unión Soviética ilustró dramáticamente la capacidad</w:t>
      </w:r>
      <w:r>
        <w:rPr>
          <w:color w:val="231F20"/>
          <w:spacing w:val="-7"/>
          <w:w w:val="110"/>
        </w:rPr>
        <w:t> </w:t>
      </w:r>
      <w:r>
        <w:rPr>
          <w:color w:val="231F20"/>
          <w:w w:val="110"/>
        </w:rPr>
        <w:t>de</w:t>
      </w:r>
      <w:r>
        <w:rPr>
          <w:color w:val="231F20"/>
          <w:spacing w:val="-1"/>
          <w:w w:val="110"/>
        </w:rPr>
        <w:t> </w:t>
      </w:r>
      <w:r>
        <w:rPr>
          <w:color w:val="231F20"/>
          <w:w w:val="110"/>
        </w:rPr>
        <w:t>la</w:t>
      </w:r>
      <w:r>
        <w:rPr>
          <w:color w:val="231F20"/>
          <w:w w:val="105"/>
        </w:rPr>
        <w:t> </w:t>
      </w:r>
      <w:r>
        <w:rPr>
          <w:color w:val="231F20"/>
          <w:w w:val="110"/>
        </w:rPr>
        <w:t>propiedad colectiva para crear nuevas fuerzas</w:t>
      </w:r>
      <w:r>
        <w:rPr>
          <w:color w:val="231F20"/>
          <w:spacing w:val="9"/>
          <w:w w:val="110"/>
        </w:rPr>
        <w:t> </w:t>
      </w:r>
      <w:r>
        <w:rPr>
          <w:color w:val="231F20"/>
          <w:w w:val="110"/>
        </w:rPr>
        <w:t>productivas.</w:t>
      </w:r>
      <w:r>
        <w:rPr>
          <w:color w:val="231F20"/>
          <w:spacing w:val="10"/>
          <w:w w:val="110"/>
        </w:rPr>
        <w:t> </w:t>
      </w:r>
      <w:r>
        <w:rPr>
          <w:color w:val="231F20"/>
          <w:w w:val="110"/>
        </w:rPr>
        <w:t>Las</w:t>
      </w:r>
      <w:r>
        <w:rPr>
          <w:color w:val="231F20"/>
          <w:w w:val="101"/>
        </w:rPr>
        <w:t> </w:t>
      </w:r>
      <w:r>
        <w:rPr>
          <w:color w:val="231F20"/>
          <w:w w:val="110"/>
        </w:rPr>
        <w:t>dificultades de implantar un “socialismo desarrollado”</w:t>
      </w:r>
      <w:r>
        <w:rPr>
          <w:color w:val="231F20"/>
          <w:spacing w:val="1"/>
          <w:w w:val="110"/>
        </w:rPr>
        <w:t> </w:t>
      </w:r>
      <w:r>
        <w:rPr>
          <w:color w:val="231F20"/>
          <w:w w:val="110"/>
        </w:rPr>
        <w:t>en</w:t>
      </w:r>
      <w:r>
        <w:rPr>
          <w:color w:val="231F20"/>
          <w:spacing w:val="27"/>
          <w:w w:val="110"/>
        </w:rPr>
        <w:t> </w:t>
      </w:r>
      <w:r>
        <w:rPr>
          <w:color w:val="231F20"/>
          <w:w w:val="110"/>
        </w:rPr>
        <w:t>los</w:t>
      </w:r>
      <w:r>
        <w:rPr>
          <w:color w:val="231F20"/>
          <w:w w:val="102"/>
        </w:rPr>
        <w:t> </w:t>
      </w:r>
      <w:r>
        <w:rPr>
          <w:color w:val="231F20"/>
          <w:w w:val="110"/>
        </w:rPr>
        <w:t>años setenta y ochenta llevaron a un fuerte cambio</w:t>
      </w:r>
      <w:r>
        <w:rPr>
          <w:color w:val="231F20"/>
          <w:spacing w:val="22"/>
          <w:w w:val="110"/>
        </w:rPr>
        <w:t> </w:t>
      </w:r>
      <w:r>
        <w:rPr>
          <w:color w:val="231F20"/>
          <w:w w:val="110"/>
        </w:rPr>
        <w:t>de</w:t>
      </w:r>
      <w:r>
        <w:rPr>
          <w:color w:val="231F20"/>
          <w:spacing w:val="14"/>
          <w:w w:val="110"/>
        </w:rPr>
        <w:t> </w:t>
      </w:r>
      <w:r>
        <w:rPr>
          <w:color w:val="231F20"/>
          <w:w w:val="110"/>
        </w:rPr>
        <w:t>orienta-</w:t>
      </w:r>
      <w:r>
        <w:rPr>
          <w:color w:val="231F20"/>
          <w:w w:val="72"/>
        </w:rPr>
        <w:t> </w:t>
      </w:r>
      <w:r>
        <w:rPr>
          <w:color w:val="231F20"/>
          <w:w w:val="110"/>
        </w:rPr>
        <w:t>ción económica y geopolítica en los años</w:t>
      </w:r>
      <w:r>
        <w:rPr>
          <w:color w:val="231F20"/>
          <w:spacing w:val="4"/>
          <w:w w:val="110"/>
        </w:rPr>
        <w:t> </w:t>
      </w:r>
      <w:r>
        <w:rPr>
          <w:color w:val="231F20"/>
          <w:w w:val="110"/>
        </w:rPr>
        <w:t>ochenta,</w:t>
      </w:r>
      <w:r>
        <w:rPr>
          <w:color w:val="231F20"/>
          <w:spacing w:val="24"/>
          <w:w w:val="110"/>
        </w:rPr>
        <w:t> </w:t>
      </w:r>
      <w:r>
        <w:rPr>
          <w:color w:val="231F20"/>
          <w:w w:val="110"/>
        </w:rPr>
        <w:t>presentada</w:t>
      </w:r>
      <w:r>
        <w:rPr>
          <w:color w:val="231F20"/>
          <w:w w:val="112"/>
        </w:rPr>
        <w:t> </w:t>
      </w:r>
      <w:r>
        <w:rPr>
          <w:color w:val="231F20"/>
          <w:w w:val="110"/>
        </w:rPr>
        <w:t>ideológicamente como una victoria del capitalismo en</w:t>
      </w:r>
      <w:r>
        <w:rPr>
          <w:color w:val="231F20"/>
          <w:spacing w:val="2"/>
          <w:w w:val="110"/>
        </w:rPr>
        <w:t> </w:t>
      </w:r>
      <w:r>
        <w:rPr>
          <w:color w:val="231F20"/>
          <w:w w:val="110"/>
        </w:rPr>
        <w:t>una</w:t>
      </w:r>
      <w:r>
        <w:rPr>
          <w:color w:val="231F20"/>
          <w:spacing w:val="8"/>
          <w:w w:val="110"/>
        </w:rPr>
        <w:t> </w:t>
      </w:r>
      <w:r>
        <w:rPr>
          <w:color w:val="231F20"/>
          <w:w w:val="110"/>
        </w:rPr>
        <w:t>pre-</w:t>
      </w:r>
      <w:r>
        <w:rPr>
          <w:color w:val="231F20"/>
          <w:w w:val="72"/>
        </w:rPr>
        <w:t> </w:t>
      </w:r>
      <w:r>
        <w:rPr>
          <w:color w:val="231F20"/>
          <w:w w:val="110"/>
        </w:rPr>
        <w:t>tendida “guerra fría” entre las “mayores potencias” del</w:t>
      </w:r>
      <w:r>
        <w:rPr>
          <w:color w:val="231F20"/>
          <w:spacing w:val="35"/>
          <w:w w:val="110"/>
        </w:rPr>
        <w:t> </w:t>
      </w:r>
      <w:r>
        <w:rPr>
          <w:color w:val="231F20"/>
          <w:w w:val="110"/>
        </w:rPr>
        <w:t>mundo.</w:t>
      </w:r>
    </w:p>
    <w:p>
      <w:pPr>
        <w:pStyle w:val="BodyText"/>
        <w:spacing w:before="8"/>
        <w:rPr>
          <w:sz w:val="21"/>
        </w:rPr>
      </w:pPr>
    </w:p>
    <w:p>
      <w:pPr>
        <w:pStyle w:val="BodyText"/>
        <w:spacing w:line="261" w:lineRule="auto"/>
        <w:ind w:left="100" w:right="119" w:firstLine="240"/>
        <w:jc w:val="both"/>
      </w:pPr>
      <w:r>
        <w:rPr>
          <w:color w:val="231F20"/>
          <w:w w:val="105"/>
        </w:rPr>
        <w:t>Las formas que adoptó la sobrevivencia del </w:t>
      </w:r>
      <w:r>
        <w:rPr>
          <w:color w:val="231F20"/>
          <w:spacing w:val="34"/>
          <w:w w:val="105"/>
        </w:rPr>
        <w:t> </w:t>
      </w:r>
      <w:r>
        <w:rPr>
          <w:color w:val="231F20"/>
          <w:w w:val="105"/>
        </w:rPr>
        <w:t>capitalismo</w:t>
      </w:r>
      <w:r>
        <w:rPr>
          <w:color w:val="231F20"/>
          <w:spacing w:val="27"/>
          <w:w w:val="105"/>
        </w:rPr>
        <w:t> </w:t>
      </w:r>
      <w:r>
        <w:rPr>
          <w:color w:val="231F20"/>
          <w:w w:val="105"/>
        </w:rPr>
        <w:t>indicaban</w:t>
      </w:r>
      <w:r>
        <w:rPr>
          <w:color w:val="231F20"/>
          <w:w w:val="111"/>
        </w:rPr>
        <w:t> </w:t>
      </w:r>
      <w:r>
        <w:rPr>
          <w:color w:val="231F20"/>
          <w:w w:val="105"/>
        </w:rPr>
        <w:t>la existencia de una “crisis estructural del sistema”. Puesto que existe un límite físico para el fenómeno del capitalismo de Estado dentro     del capitalismo, se plantea la posibilidad de crear una</w:t>
      </w:r>
      <w:r>
        <w:rPr>
          <w:color w:val="231F20"/>
          <w:spacing w:val="51"/>
          <w:w w:val="105"/>
        </w:rPr>
        <w:t> </w:t>
      </w:r>
      <w:r>
        <w:rPr>
          <w:color w:val="231F20"/>
          <w:w w:val="105"/>
        </w:rPr>
        <w:t>nueva</w:t>
      </w:r>
      <w:r>
        <w:rPr>
          <w:color w:val="231F20"/>
          <w:spacing w:val="17"/>
          <w:w w:val="105"/>
        </w:rPr>
        <w:t> </w:t>
      </w:r>
      <w:r>
        <w:rPr>
          <w:color w:val="231F20"/>
          <w:w w:val="105"/>
        </w:rPr>
        <w:t>sociedad</w:t>
      </w:r>
      <w:r>
        <w:rPr>
          <w:color w:val="231F20"/>
          <w:w w:val="108"/>
        </w:rPr>
        <w:t> </w:t>
      </w:r>
      <w:r>
        <w:rPr>
          <w:color w:val="231F20"/>
          <w:w w:val="105"/>
        </w:rPr>
        <w:t>“poscapitalista”.</w:t>
      </w:r>
      <w:r>
        <w:rPr>
          <w:color w:val="231F20"/>
          <w:spacing w:val="38"/>
          <w:w w:val="105"/>
        </w:rPr>
        <w:t> </w:t>
      </w:r>
      <w:r>
        <w:rPr>
          <w:color w:val="231F20"/>
          <w:w w:val="105"/>
        </w:rPr>
        <w:t>Kautski</w:t>
      </w:r>
      <w:r>
        <w:rPr>
          <w:color w:val="231F20"/>
          <w:spacing w:val="38"/>
          <w:w w:val="105"/>
        </w:rPr>
        <w:t> </w:t>
      </w:r>
      <w:r>
        <w:rPr>
          <w:color w:val="231F20"/>
          <w:w w:val="105"/>
        </w:rPr>
        <w:t>inició</w:t>
      </w:r>
      <w:r>
        <w:rPr>
          <w:color w:val="231F20"/>
          <w:spacing w:val="38"/>
          <w:w w:val="105"/>
        </w:rPr>
        <w:t> </w:t>
      </w:r>
      <w:r>
        <w:rPr>
          <w:color w:val="231F20"/>
          <w:w w:val="105"/>
        </w:rPr>
        <w:t>una</w:t>
      </w:r>
      <w:r>
        <w:rPr>
          <w:color w:val="231F20"/>
          <w:spacing w:val="38"/>
          <w:w w:val="105"/>
        </w:rPr>
        <w:t> </w:t>
      </w:r>
      <w:r>
        <w:rPr>
          <w:color w:val="231F20"/>
          <w:w w:val="105"/>
        </w:rPr>
        <w:t>polémica</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w w:val="105"/>
        </w:rPr>
        <w:t>campo</w:t>
      </w:r>
      <w:r>
        <w:rPr>
          <w:color w:val="231F20"/>
          <w:spacing w:val="38"/>
          <w:w w:val="105"/>
        </w:rPr>
        <w:t> </w:t>
      </w:r>
      <w:r>
        <w:rPr>
          <w:color w:val="231F20"/>
          <w:w w:val="105"/>
        </w:rPr>
        <w:t>marxista,</w:t>
      </w:r>
    </w:p>
    <w:p>
      <w:pPr>
        <w:pStyle w:val="BodyText"/>
      </w:pPr>
    </w:p>
    <w:p>
      <w:pPr>
        <w:pStyle w:val="BodyText"/>
        <w:spacing w:before="2"/>
        <w:rPr>
          <w:sz w:val="26"/>
        </w:rPr>
      </w:pPr>
    </w:p>
    <w:p>
      <w:pPr>
        <w:spacing w:before="1"/>
        <w:ind w:left="340" w:right="25" w:firstLine="0"/>
        <w:jc w:val="left"/>
        <w:rPr>
          <w:sz w:val="16"/>
        </w:rPr>
      </w:pPr>
      <w:r>
        <w:rPr>
          <w:color w:val="231F20"/>
          <w:w w:val="110"/>
          <w:position w:val="5"/>
          <w:sz w:val="10"/>
        </w:rPr>
        <w:t>5   </w:t>
      </w:r>
      <w:r>
        <w:rPr>
          <w:color w:val="231F20"/>
          <w:w w:val="110"/>
          <w:sz w:val="16"/>
        </w:rPr>
        <w:t>Véanse nuevos debates sobre el tema en Dos Santos (1989).</w:t>
      </w:r>
    </w:p>
    <w:p>
      <w:pPr>
        <w:spacing w:after="0"/>
        <w:jc w:val="left"/>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en el primer decenio del siglo pasado, al plantear la tendencia del capitalismo de convertirse en un superimperialismo, Hilferding en su fase final conceptualiza la idea de un “capitalismo organizado”.</w:t>
      </w:r>
    </w:p>
    <w:p>
      <w:pPr>
        <w:pStyle w:val="BodyText"/>
        <w:spacing w:line="261" w:lineRule="auto"/>
        <w:ind w:left="100" w:right="114" w:firstLine="240"/>
        <w:jc w:val="both"/>
      </w:pPr>
      <w:r>
        <w:rPr>
          <w:color w:val="231F20"/>
          <w:w w:val="110"/>
        </w:rPr>
        <w:t>Pero Lenin caracterizaría estas propuestas como </w:t>
      </w:r>
      <w:r>
        <w:rPr>
          <w:color w:val="231F20"/>
          <w:spacing w:val="2"/>
          <w:w w:val="110"/>
        </w:rPr>
        <w:t>proyecciones </w:t>
      </w:r>
      <w:r>
        <w:rPr>
          <w:color w:val="231F20"/>
          <w:w w:val="110"/>
        </w:rPr>
        <w:t>puramente</w:t>
      </w:r>
      <w:r>
        <w:rPr>
          <w:color w:val="231F20"/>
          <w:spacing w:val="-7"/>
          <w:w w:val="110"/>
        </w:rPr>
        <w:t> </w:t>
      </w:r>
      <w:r>
        <w:rPr>
          <w:color w:val="231F20"/>
          <w:w w:val="110"/>
        </w:rPr>
        <w:t>lógicas</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tendencias</w:t>
      </w:r>
      <w:r>
        <w:rPr>
          <w:color w:val="231F20"/>
          <w:spacing w:val="-7"/>
          <w:w w:val="110"/>
        </w:rPr>
        <w:t> </w:t>
      </w:r>
      <w:r>
        <w:rPr>
          <w:color w:val="231F20"/>
          <w:w w:val="110"/>
        </w:rPr>
        <w:t>existentes,</w:t>
      </w:r>
      <w:r>
        <w:rPr>
          <w:color w:val="231F20"/>
          <w:spacing w:val="-7"/>
          <w:w w:val="110"/>
        </w:rPr>
        <w:t> </w:t>
      </w:r>
      <w:r>
        <w:rPr>
          <w:color w:val="231F20"/>
          <w:w w:val="110"/>
        </w:rPr>
        <w:t>sin</w:t>
      </w:r>
      <w:r>
        <w:rPr>
          <w:color w:val="231F20"/>
          <w:spacing w:val="-7"/>
          <w:w w:val="110"/>
        </w:rPr>
        <w:t> </w:t>
      </w:r>
      <w:r>
        <w:rPr>
          <w:color w:val="231F20"/>
          <w:w w:val="110"/>
        </w:rPr>
        <w:t>aplicar</w:t>
      </w:r>
      <w:r>
        <w:rPr>
          <w:color w:val="231F20"/>
          <w:spacing w:val="-7"/>
          <w:w w:val="110"/>
        </w:rPr>
        <w:t> </w:t>
      </w:r>
      <w:r>
        <w:rPr>
          <w:color w:val="231F20"/>
          <w:w w:val="110"/>
        </w:rPr>
        <w:t>una</w:t>
      </w:r>
      <w:r>
        <w:rPr>
          <w:color w:val="231F20"/>
          <w:spacing w:val="-7"/>
          <w:w w:val="110"/>
        </w:rPr>
        <w:t> </w:t>
      </w:r>
      <w:r>
        <w:rPr>
          <w:color w:val="231F20"/>
          <w:w w:val="110"/>
        </w:rPr>
        <w:t>visión dialéctica que analizara las contradicciones que encerraban estas “soluciones” parciales y comprometidas del desarrollo capitalista. En su propuesta de la </w:t>
      </w:r>
      <w:r>
        <w:rPr>
          <w:i/>
          <w:color w:val="231F20"/>
          <w:w w:val="110"/>
        </w:rPr>
        <w:t>Nueva Política Económica</w:t>
      </w:r>
      <w:r>
        <w:rPr>
          <w:color w:val="231F20"/>
          <w:w w:val="110"/>
        </w:rPr>
        <w:t>, en 1922, Lenin ya destacaba la situación contradictoria de que un Estado socialista se veía obligado a apoyarse en relaciones de producción capitalistas y particularmente en el capitalismo de Estado para permitir la sobre- vivencia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revolución.</w:t>
      </w:r>
    </w:p>
    <w:p>
      <w:pPr>
        <w:pStyle w:val="BodyText"/>
        <w:spacing w:line="261" w:lineRule="auto"/>
        <w:ind w:left="100" w:right="113" w:firstLine="240"/>
        <w:jc w:val="both"/>
      </w:pPr>
      <w:r>
        <w:rPr>
          <w:color w:val="231F20"/>
          <w:w w:val="110"/>
        </w:rPr>
        <w:t>La propuesta de la “acumulación primitiva socialista” de Preo- </w:t>
      </w:r>
      <w:r>
        <w:rPr>
          <w:color w:val="231F20"/>
          <w:spacing w:val="2"/>
          <w:w w:val="110"/>
        </w:rPr>
        <w:t>brajenski </w:t>
      </w:r>
      <w:r>
        <w:rPr>
          <w:color w:val="231F20"/>
          <w:w w:val="110"/>
        </w:rPr>
        <w:t>(en </w:t>
      </w:r>
      <w:r>
        <w:rPr>
          <w:color w:val="231F20"/>
          <w:spacing w:val="2"/>
          <w:w w:val="110"/>
        </w:rPr>
        <w:t>1926) asumía totalmente estas</w:t>
      </w:r>
      <w:r>
        <w:rPr>
          <w:color w:val="231F20"/>
          <w:spacing w:val="22"/>
          <w:w w:val="110"/>
        </w:rPr>
        <w:t> </w:t>
      </w:r>
      <w:r>
        <w:rPr>
          <w:color w:val="231F20"/>
          <w:spacing w:val="2"/>
          <w:w w:val="110"/>
        </w:rPr>
        <w:t>contradicciones.</w:t>
      </w:r>
      <w:r>
        <w:rPr>
          <w:color w:val="231F20"/>
          <w:spacing w:val="43"/>
          <w:w w:val="110"/>
        </w:rPr>
        <w:t> </w:t>
      </w:r>
      <w:r>
        <w:rPr>
          <w:color w:val="231F20"/>
          <w:spacing w:val="3"/>
          <w:w w:val="110"/>
        </w:rPr>
        <w:t>Él</w:t>
      </w:r>
      <w:r>
        <w:rPr>
          <w:color w:val="231F20"/>
          <w:spacing w:val="3"/>
          <w:w w:val="101"/>
        </w:rPr>
        <w:t> </w:t>
      </w:r>
      <w:r>
        <w:rPr>
          <w:color w:val="231F20"/>
          <w:w w:val="110"/>
        </w:rPr>
        <w:t>mostraba las ventajas de que el Estado asumiera el planeamiento de la construcción de la economía socialista, aunque enfrentara la opo- sición</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socialización</w:t>
      </w:r>
      <w:r>
        <w:rPr>
          <w:color w:val="231F20"/>
          <w:spacing w:val="-10"/>
          <w:w w:val="110"/>
        </w:rPr>
        <w:t> </w:t>
      </w:r>
      <w:r>
        <w:rPr>
          <w:color w:val="231F20"/>
          <w:w w:val="110"/>
        </w:rPr>
        <w:t>forzada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campo</w:t>
      </w:r>
      <w:r>
        <w:rPr>
          <w:color w:val="231F20"/>
          <w:spacing w:val="-10"/>
          <w:w w:val="110"/>
        </w:rPr>
        <w:t> </w:t>
      </w:r>
      <w:r>
        <w:rPr>
          <w:color w:val="231F20"/>
          <w:w w:val="110"/>
        </w:rPr>
        <w:t>y</w:t>
      </w:r>
      <w:r>
        <w:rPr>
          <w:color w:val="231F20"/>
          <w:spacing w:val="-10"/>
          <w:w w:val="110"/>
        </w:rPr>
        <w:t> </w:t>
      </w:r>
      <w:r>
        <w:rPr>
          <w:color w:val="231F20"/>
          <w:w w:val="110"/>
        </w:rPr>
        <w:t>al</w:t>
      </w:r>
      <w:r>
        <w:rPr>
          <w:color w:val="231F20"/>
          <w:spacing w:val="-10"/>
          <w:w w:val="110"/>
        </w:rPr>
        <w:t> </w:t>
      </w:r>
      <w:r>
        <w:rPr>
          <w:color w:val="231F20"/>
          <w:w w:val="110"/>
        </w:rPr>
        <w:t>planeamiento</w:t>
      </w:r>
      <w:r>
        <w:rPr>
          <w:color w:val="231F20"/>
          <w:spacing w:val="-10"/>
          <w:w w:val="110"/>
        </w:rPr>
        <w:t> </w:t>
      </w:r>
      <w:r>
        <w:rPr>
          <w:color w:val="231F20"/>
          <w:w w:val="110"/>
        </w:rPr>
        <w:t>desde arriba para imponer la industrialización. Él proponía algo muy duro y radical: la transferencia por la fuerza de los excedentes generados por</w:t>
      </w:r>
      <w:r>
        <w:rPr>
          <w:color w:val="231F20"/>
          <w:spacing w:val="-16"/>
          <w:w w:val="110"/>
        </w:rPr>
        <w:t> </w:t>
      </w:r>
      <w:r>
        <w:rPr>
          <w:color w:val="231F20"/>
          <w:w w:val="110"/>
        </w:rPr>
        <w:t>los</w:t>
      </w:r>
      <w:r>
        <w:rPr>
          <w:color w:val="231F20"/>
          <w:spacing w:val="-16"/>
          <w:w w:val="110"/>
        </w:rPr>
        <w:t> </w:t>
      </w:r>
      <w:r>
        <w:rPr>
          <w:color w:val="231F20"/>
          <w:w w:val="110"/>
        </w:rPr>
        <w:t>campesinos</w:t>
      </w:r>
      <w:r>
        <w:rPr>
          <w:color w:val="231F20"/>
          <w:spacing w:val="-16"/>
          <w:w w:val="110"/>
        </w:rPr>
        <w:t> </w:t>
      </w:r>
      <w:r>
        <w:rPr>
          <w:color w:val="231F20"/>
          <w:w w:val="110"/>
        </w:rPr>
        <w:t>hacia</w:t>
      </w:r>
      <w:r>
        <w:rPr>
          <w:color w:val="231F20"/>
          <w:spacing w:val="-16"/>
          <w:w w:val="110"/>
        </w:rPr>
        <w:t> </w:t>
      </w:r>
      <w:r>
        <w:rPr>
          <w:color w:val="231F20"/>
          <w:w w:val="110"/>
        </w:rPr>
        <w:t>la</w:t>
      </w:r>
      <w:r>
        <w:rPr>
          <w:color w:val="231F20"/>
          <w:spacing w:val="-16"/>
          <w:w w:val="110"/>
        </w:rPr>
        <w:t> </w:t>
      </w:r>
      <w:r>
        <w:rPr>
          <w:color w:val="231F20"/>
          <w:w w:val="110"/>
        </w:rPr>
        <w:t>ciudad.</w:t>
      </w:r>
      <w:r>
        <w:rPr>
          <w:color w:val="231F20"/>
          <w:spacing w:val="-16"/>
          <w:w w:val="110"/>
        </w:rPr>
        <w:t> </w:t>
      </w:r>
      <w:r>
        <w:rPr>
          <w:color w:val="231F20"/>
          <w:w w:val="110"/>
        </w:rPr>
        <w:t>Estos</w:t>
      </w:r>
      <w:r>
        <w:rPr>
          <w:color w:val="231F20"/>
          <w:spacing w:val="-16"/>
          <w:w w:val="110"/>
        </w:rPr>
        <w:t> </w:t>
      </w:r>
      <w:r>
        <w:rPr>
          <w:color w:val="231F20"/>
          <w:w w:val="110"/>
        </w:rPr>
        <w:t>excedentes</w:t>
      </w:r>
      <w:r>
        <w:rPr>
          <w:color w:val="231F20"/>
          <w:spacing w:val="-16"/>
          <w:w w:val="110"/>
        </w:rPr>
        <w:t> </w:t>
      </w:r>
      <w:r>
        <w:rPr>
          <w:color w:val="231F20"/>
          <w:w w:val="110"/>
        </w:rPr>
        <w:t>serían</w:t>
      </w:r>
      <w:r>
        <w:rPr>
          <w:color w:val="231F20"/>
          <w:spacing w:val="-16"/>
          <w:w w:val="110"/>
        </w:rPr>
        <w:t> </w:t>
      </w:r>
      <w:r>
        <w:rPr>
          <w:color w:val="231F20"/>
          <w:w w:val="110"/>
        </w:rPr>
        <w:t>la</w:t>
      </w:r>
      <w:r>
        <w:rPr>
          <w:color w:val="231F20"/>
          <w:spacing w:val="-16"/>
          <w:w w:val="110"/>
        </w:rPr>
        <w:t> </w:t>
      </w:r>
      <w:r>
        <w:rPr>
          <w:color w:val="231F20"/>
          <w:w w:val="110"/>
        </w:rPr>
        <w:t>base</w:t>
      </w:r>
      <w:r>
        <w:rPr>
          <w:color w:val="231F20"/>
          <w:spacing w:val="-16"/>
          <w:w w:val="110"/>
        </w:rPr>
        <w:t> </w:t>
      </w:r>
      <w:r>
        <w:rPr>
          <w:color w:val="231F20"/>
          <w:w w:val="110"/>
        </w:rPr>
        <w:t>de la</w:t>
      </w:r>
      <w:r>
        <w:rPr>
          <w:color w:val="231F20"/>
          <w:spacing w:val="-15"/>
          <w:w w:val="110"/>
        </w:rPr>
        <w:t> </w:t>
      </w:r>
      <w:r>
        <w:rPr>
          <w:color w:val="231F20"/>
          <w:w w:val="110"/>
        </w:rPr>
        <w:t>acumulación</w:t>
      </w:r>
      <w:r>
        <w:rPr>
          <w:color w:val="231F20"/>
          <w:spacing w:val="-15"/>
          <w:w w:val="110"/>
        </w:rPr>
        <w:t> </w:t>
      </w:r>
      <w:r>
        <w:rPr>
          <w:color w:val="231F20"/>
          <w:w w:val="110"/>
        </w:rPr>
        <w:t>socialista</w:t>
      </w:r>
      <w:r>
        <w:rPr>
          <w:color w:val="231F20"/>
          <w:spacing w:val="-15"/>
          <w:w w:val="110"/>
        </w:rPr>
        <w:t> </w:t>
      </w:r>
      <w:r>
        <w:rPr>
          <w:color w:val="231F20"/>
          <w:w w:val="110"/>
        </w:rPr>
        <w:t>a</w:t>
      </w:r>
      <w:r>
        <w:rPr>
          <w:color w:val="231F20"/>
          <w:spacing w:val="-15"/>
          <w:w w:val="110"/>
        </w:rPr>
        <w:t> </w:t>
      </w:r>
      <w:r>
        <w:rPr>
          <w:color w:val="231F20"/>
          <w:w w:val="110"/>
        </w:rPr>
        <w:t>través</w:t>
      </w:r>
      <w:r>
        <w:rPr>
          <w:color w:val="231F20"/>
          <w:spacing w:val="-15"/>
          <w:w w:val="110"/>
        </w:rPr>
        <w:t> </w:t>
      </w:r>
      <w:r>
        <w:rPr>
          <w:color w:val="231F20"/>
          <w:w w:val="110"/>
        </w:rPr>
        <w:t>de</w:t>
      </w:r>
      <w:r>
        <w:rPr>
          <w:color w:val="231F20"/>
          <w:spacing w:val="-15"/>
          <w:w w:val="110"/>
        </w:rPr>
        <w:t> </w:t>
      </w:r>
      <w:r>
        <w:rPr>
          <w:color w:val="231F20"/>
          <w:w w:val="110"/>
        </w:rPr>
        <w:t>su</w:t>
      </w:r>
      <w:r>
        <w:rPr>
          <w:color w:val="231F20"/>
          <w:spacing w:val="-15"/>
          <w:w w:val="110"/>
        </w:rPr>
        <w:t> </w:t>
      </w:r>
      <w:r>
        <w:rPr>
          <w:color w:val="231F20"/>
          <w:w w:val="110"/>
        </w:rPr>
        <w:t>utilización</w:t>
      </w:r>
      <w:r>
        <w:rPr>
          <w:color w:val="231F20"/>
          <w:spacing w:val="-15"/>
          <w:w w:val="110"/>
        </w:rPr>
        <w:t> </w:t>
      </w:r>
      <w:r>
        <w:rPr>
          <w:color w:val="231F20"/>
          <w:w w:val="110"/>
        </w:rPr>
        <w:t>como</w:t>
      </w:r>
      <w:r>
        <w:rPr>
          <w:color w:val="231F20"/>
          <w:spacing w:val="-15"/>
          <w:w w:val="110"/>
        </w:rPr>
        <w:t> </w:t>
      </w:r>
      <w:r>
        <w:rPr>
          <w:color w:val="231F20"/>
          <w:w w:val="110"/>
        </w:rPr>
        <w:t>fuente</w:t>
      </w:r>
      <w:r>
        <w:rPr>
          <w:color w:val="231F20"/>
          <w:spacing w:val="-15"/>
          <w:w w:val="110"/>
        </w:rPr>
        <w:t> </w:t>
      </w:r>
      <w:r>
        <w:rPr>
          <w:color w:val="231F20"/>
          <w:w w:val="110"/>
        </w:rPr>
        <w:t>de</w:t>
      </w:r>
      <w:r>
        <w:rPr>
          <w:color w:val="231F20"/>
          <w:spacing w:val="-15"/>
          <w:w w:val="110"/>
        </w:rPr>
        <w:t> </w:t>
      </w:r>
      <w:r>
        <w:rPr>
          <w:color w:val="231F20"/>
          <w:w w:val="110"/>
        </w:rPr>
        <w:t>las inversiones necesarias para la acumulación primitiva socialista.</w:t>
      </w:r>
      <w:r>
        <w:rPr>
          <w:color w:val="231F20"/>
          <w:spacing w:val="-11"/>
          <w:w w:val="110"/>
        </w:rPr>
        <w:t> </w:t>
      </w:r>
      <w:r>
        <w:rPr>
          <w:color w:val="231F20"/>
          <w:w w:val="110"/>
        </w:rPr>
        <w:t>Esta visión</w:t>
      </w:r>
      <w:r>
        <w:rPr>
          <w:color w:val="231F20"/>
          <w:spacing w:val="-8"/>
          <w:w w:val="110"/>
        </w:rPr>
        <w:t> </w:t>
      </w:r>
      <w:r>
        <w:rPr>
          <w:color w:val="231F20"/>
          <w:w w:val="110"/>
        </w:rPr>
        <w:t>contemplaba</w:t>
      </w:r>
      <w:r>
        <w:rPr>
          <w:color w:val="231F20"/>
          <w:spacing w:val="-8"/>
          <w:w w:val="110"/>
        </w:rPr>
        <w:t> </w:t>
      </w:r>
      <w:r>
        <w:rPr>
          <w:color w:val="231F20"/>
          <w:w w:val="110"/>
        </w:rPr>
        <w:t>la</w:t>
      </w:r>
      <w:r>
        <w:rPr>
          <w:color w:val="231F20"/>
          <w:spacing w:val="-8"/>
          <w:w w:val="110"/>
        </w:rPr>
        <w:t> </w:t>
      </w:r>
      <w:r>
        <w:rPr>
          <w:color w:val="231F20"/>
          <w:w w:val="110"/>
        </w:rPr>
        <w:t>creación</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industria</w:t>
      </w:r>
      <w:r>
        <w:rPr>
          <w:color w:val="231F20"/>
          <w:spacing w:val="-8"/>
          <w:w w:val="110"/>
        </w:rPr>
        <w:t> </w:t>
      </w:r>
      <w:r>
        <w:rPr>
          <w:color w:val="231F20"/>
          <w:w w:val="110"/>
        </w:rPr>
        <w:t>de</w:t>
      </w:r>
      <w:r>
        <w:rPr>
          <w:color w:val="231F20"/>
          <w:spacing w:val="-8"/>
          <w:w w:val="110"/>
        </w:rPr>
        <w:t> </w:t>
      </w:r>
      <w:r>
        <w:rPr>
          <w:color w:val="231F20"/>
          <w:w w:val="110"/>
        </w:rPr>
        <w:t>base</w:t>
      </w:r>
      <w:r>
        <w:rPr>
          <w:color w:val="231F20"/>
          <w:spacing w:val="-8"/>
          <w:w w:val="110"/>
        </w:rPr>
        <w:t> </w:t>
      </w:r>
      <w:r>
        <w:rPr>
          <w:color w:val="231F20"/>
          <w:w w:val="110"/>
        </w:rPr>
        <w:t>al</w:t>
      </w:r>
      <w:r>
        <w:rPr>
          <w:color w:val="231F20"/>
          <w:spacing w:val="-8"/>
          <w:w w:val="110"/>
        </w:rPr>
        <w:t> </w:t>
      </w:r>
      <w:r>
        <w:rPr>
          <w:color w:val="231F20"/>
          <w:w w:val="110"/>
        </w:rPr>
        <w:t>interior</w:t>
      </w:r>
      <w:r>
        <w:rPr>
          <w:color w:val="231F20"/>
          <w:spacing w:val="-8"/>
          <w:w w:val="110"/>
        </w:rPr>
        <w:t> </w:t>
      </w:r>
      <w:r>
        <w:rPr>
          <w:color w:val="231F20"/>
          <w:w w:val="110"/>
        </w:rPr>
        <w:t>de la</w:t>
      </w:r>
      <w:r>
        <w:rPr>
          <w:color w:val="231F20"/>
          <w:spacing w:val="-19"/>
          <w:w w:val="110"/>
        </w:rPr>
        <w:t> </w:t>
      </w:r>
      <w:r>
        <w:rPr>
          <w:color w:val="231F20"/>
          <w:w w:val="110"/>
        </w:rPr>
        <w:t>URSS</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medida</w:t>
      </w:r>
      <w:r>
        <w:rPr>
          <w:color w:val="231F20"/>
          <w:spacing w:val="-19"/>
          <w:w w:val="110"/>
        </w:rPr>
        <w:t> </w:t>
      </w:r>
      <w:r>
        <w:rPr>
          <w:color w:val="231F20"/>
          <w:w w:val="110"/>
        </w:rPr>
        <w:t>en</w:t>
      </w:r>
      <w:r>
        <w:rPr>
          <w:color w:val="231F20"/>
          <w:spacing w:val="-19"/>
          <w:w w:val="110"/>
        </w:rPr>
        <w:t> </w:t>
      </w:r>
      <w:r>
        <w:rPr>
          <w:color w:val="231F20"/>
          <w:w w:val="110"/>
        </w:rPr>
        <w:t>que</w:t>
      </w:r>
      <w:r>
        <w:rPr>
          <w:color w:val="231F20"/>
          <w:spacing w:val="-19"/>
          <w:w w:val="110"/>
        </w:rPr>
        <w:t> </w:t>
      </w:r>
      <w:r>
        <w:rPr>
          <w:color w:val="231F20"/>
          <w:w w:val="110"/>
        </w:rPr>
        <w:t>las</w:t>
      </w:r>
      <w:r>
        <w:rPr>
          <w:color w:val="231F20"/>
          <w:spacing w:val="-19"/>
          <w:w w:val="110"/>
        </w:rPr>
        <w:t> </w:t>
      </w:r>
      <w:r>
        <w:rPr>
          <w:color w:val="231F20"/>
          <w:w w:val="110"/>
        </w:rPr>
        <w:t>revoluciones</w:t>
      </w:r>
      <w:r>
        <w:rPr>
          <w:color w:val="231F20"/>
          <w:spacing w:val="-19"/>
          <w:w w:val="110"/>
        </w:rPr>
        <w:t> </w:t>
      </w:r>
      <w:r>
        <w:rPr>
          <w:color w:val="231F20"/>
          <w:w w:val="110"/>
        </w:rPr>
        <w:t>sociales</w:t>
      </w:r>
      <w:r>
        <w:rPr>
          <w:color w:val="231F20"/>
          <w:spacing w:val="-19"/>
          <w:w w:val="110"/>
        </w:rPr>
        <w:t> </w:t>
      </w:r>
      <w:r>
        <w:rPr>
          <w:color w:val="231F20"/>
          <w:w w:val="110"/>
        </w:rPr>
        <w:t>habían</w:t>
      </w:r>
      <w:r>
        <w:rPr>
          <w:color w:val="231F20"/>
          <w:spacing w:val="-19"/>
          <w:w w:val="110"/>
        </w:rPr>
        <w:t> </w:t>
      </w:r>
      <w:r>
        <w:rPr>
          <w:color w:val="231F20"/>
          <w:w w:val="110"/>
        </w:rPr>
        <w:t>fracasa- do en Europa y las revoluciones nacional democráticas encontraban dificultades en China y en otras partes del mundo </w:t>
      </w:r>
      <w:r>
        <w:rPr>
          <w:color w:val="231F20"/>
          <w:spacing w:val="29"/>
          <w:w w:val="110"/>
        </w:rPr>
        <w:t> </w:t>
      </w:r>
      <w:r>
        <w:rPr>
          <w:color w:val="231F20"/>
          <w:w w:val="110"/>
        </w:rPr>
        <w:t>colonial.</w:t>
      </w:r>
    </w:p>
    <w:p>
      <w:pPr>
        <w:pStyle w:val="BodyText"/>
        <w:spacing w:line="261" w:lineRule="auto"/>
        <w:ind w:left="100" w:right="117" w:firstLine="240"/>
        <w:jc w:val="both"/>
      </w:pPr>
      <w:r>
        <w:rPr>
          <w:color w:val="231F20"/>
          <w:w w:val="110"/>
        </w:rPr>
        <w:t>Con todas las confrontaciones que generó y la exacerbación de   la lucha entre estas fuerzas dentro del Estado, esta dura </w:t>
      </w:r>
      <w:r>
        <w:rPr>
          <w:color w:val="231F20"/>
          <w:spacing w:val="2"/>
          <w:w w:val="110"/>
        </w:rPr>
        <w:t>opción </w:t>
      </w:r>
      <w:r>
        <w:rPr>
          <w:color w:val="231F20"/>
          <w:w w:val="110"/>
        </w:rPr>
        <w:t>histórica permitió a la Unión Soviética derrotar el militarismo nazi en la segunda guerra mundial. Era pues inexorable que la fantástica victoria</w:t>
      </w:r>
      <w:r>
        <w:rPr>
          <w:color w:val="231F20"/>
          <w:spacing w:val="-7"/>
          <w:w w:val="110"/>
        </w:rPr>
        <w:t> </w:t>
      </w:r>
      <w:r>
        <w:rPr>
          <w:color w:val="231F20"/>
          <w:w w:val="110"/>
        </w:rPr>
        <w:t>soviética</w:t>
      </w:r>
      <w:r>
        <w:rPr>
          <w:color w:val="231F20"/>
          <w:spacing w:val="-7"/>
          <w:w w:val="110"/>
        </w:rPr>
        <w:t> </w:t>
      </w:r>
      <w:r>
        <w:rPr>
          <w:color w:val="231F20"/>
          <w:w w:val="110"/>
        </w:rPr>
        <w:t>sobre</w:t>
      </w:r>
      <w:r>
        <w:rPr>
          <w:color w:val="231F20"/>
          <w:spacing w:val="-7"/>
          <w:w w:val="110"/>
        </w:rPr>
        <w:t> </w:t>
      </w:r>
      <w:r>
        <w:rPr>
          <w:color w:val="231F20"/>
          <w:w w:val="110"/>
        </w:rPr>
        <w:t>los</w:t>
      </w:r>
      <w:r>
        <w:rPr>
          <w:color w:val="231F20"/>
          <w:spacing w:val="-7"/>
          <w:w w:val="110"/>
        </w:rPr>
        <w:t> </w:t>
      </w:r>
      <w:r>
        <w:rPr>
          <w:color w:val="231F20"/>
          <w:w w:val="110"/>
        </w:rPr>
        <w:t>nazis,</w:t>
      </w:r>
      <w:r>
        <w:rPr>
          <w:color w:val="231F20"/>
          <w:spacing w:val="-7"/>
          <w:w w:val="110"/>
        </w:rPr>
        <w:t> </w:t>
      </w:r>
      <w:r>
        <w:rPr>
          <w:color w:val="231F20"/>
          <w:w w:val="110"/>
        </w:rPr>
        <w:t>fuese</w:t>
      </w:r>
      <w:r>
        <w:rPr>
          <w:color w:val="231F20"/>
          <w:spacing w:val="-7"/>
          <w:w w:val="110"/>
        </w:rPr>
        <w:t> </w:t>
      </w:r>
      <w:r>
        <w:rPr>
          <w:color w:val="231F20"/>
          <w:w w:val="110"/>
        </w:rPr>
        <w:t>inmediatamente</w:t>
      </w:r>
      <w:r>
        <w:rPr>
          <w:color w:val="231F20"/>
          <w:spacing w:val="-7"/>
          <w:w w:val="110"/>
        </w:rPr>
        <w:t> </w:t>
      </w:r>
      <w:r>
        <w:rPr>
          <w:color w:val="231F20"/>
          <w:w w:val="110"/>
        </w:rPr>
        <w:t>acompañada por la ofensiva de Patton sobre Berlín para paralizar el ejército rojo. Asimismo,</w:t>
      </w:r>
      <w:r>
        <w:rPr>
          <w:color w:val="231F20"/>
          <w:spacing w:val="-8"/>
          <w:w w:val="110"/>
        </w:rPr>
        <w:t> </w:t>
      </w:r>
      <w:r>
        <w:rPr>
          <w:color w:val="231F20"/>
          <w:w w:val="110"/>
        </w:rPr>
        <w:t>el</w:t>
      </w:r>
      <w:r>
        <w:rPr>
          <w:color w:val="231F20"/>
          <w:spacing w:val="-8"/>
          <w:w w:val="110"/>
        </w:rPr>
        <w:t> </w:t>
      </w:r>
      <w:r>
        <w:rPr>
          <w:color w:val="231F20"/>
          <w:w w:val="110"/>
        </w:rPr>
        <w:t>criminal</w:t>
      </w:r>
      <w:r>
        <w:rPr>
          <w:color w:val="231F20"/>
          <w:spacing w:val="-8"/>
          <w:w w:val="110"/>
        </w:rPr>
        <w:t> </w:t>
      </w:r>
      <w:r>
        <w:rPr>
          <w:color w:val="231F20"/>
          <w:w w:val="110"/>
        </w:rPr>
        <w:t>bombardeo</w:t>
      </w:r>
      <w:r>
        <w:rPr>
          <w:color w:val="231F20"/>
          <w:spacing w:val="-8"/>
          <w:w w:val="110"/>
        </w:rPr>
        <w:t> </w:t>
      </w:r>
      <w:r>
        <w:rPr>
          <w:color w:val="231F20"/>
          <w:w w:val="110"/>
        </w:rPr>
        <w:t>atómico</w:t>
      </w:r>
      <w:r>
        <w:rPr>
          <w:color w:val="231F20"/>
          <w:spacing w:val="-8"/>
          <w:w w:val="110"/>
        </w:rPr>
        <w:t> </w:t>
      </w:r>
      <w:r>
        <w:rPr>
          <w:color w:val="231F20"/>
          <w:w w:val="110"/>
        </w:rPr>
        <w:t>de</w:t>
      </w:r>
      <w:r>
        <w:rPr>
          <w:color w:val="231F20"/>
          <w:spacing w:val="-8"/>
          <w:w w:val="110"/>
        </w:rPr>
        <w:t> </w:t>
      </w:r>
      <w:r>
        <w:rPr>
          <w:color w:val="231F20"/>
          <w:w w:val="110"/>
        </w:rPr>
        <w:t>Hiroshima</w:t>
      </w:r>
      <w:r>
        <w:rPr>
          <w:color w:val="231F20"/>
          <w:spacing w:val="-8"/>
          <w:w w:val="110"/>
        </w:rPr>
        <w:t> </w:t>
      </w:r>
      <w:r>
        <w:rPr>
          <w:color w:val="231F20"/>
          <w:w w:val="110"/>
        </w:rPr>
        <w:t>y</w:t>
      </w:r>
      <w:r>
        <w:rPr>
          <w:color w:val="231F20"/>
          <w:spacing w:val="-8"/>
          <w:w w:val="110"/>
        </w:rPr>
        <w:t> </w:t>
      </w:r>
      <w:r>
        <w:rPr>
          <w:color w:val="231F20"/>
          <w:w w:val="110"/>
        </w:rPr>
        <w:t>Nagasaki buscaba detener el avance soviético en Asia. Al mismo tiempo se planteaba la amenaza de un nuevo padrón de desarrollo que hasta   el mundo desarrollado tuvo que incorporar a través del Estado de bienestar y que particularmente el mundo dependiente y</w:t>
      </w:r>
      <w:r>
        <w:rPr>
          <w:color w:val="231F20"/>
          <w:spacing w:val="-12"/>
          <w:w w:val="110"/>
        </w:rPr>
        <w:t> </w:t>
      </w:r>
      <w:r>
        <w:rPr>
          <w:color w:val="231F20"/>
          <w:w w:val="110"/>
        </w:rPr>
        <w:t>subdesarro- llado</w:t>
      </w:r>
      <w:r>
        <w:rPr>
          <w:color w:val="231F20"/>
          <w:spacing w:val="-10"/>
          <w:w w:val="110"/>
        </w:rPr>
        <w:t> </w:t>
      </w:r>
      <w:r>
        <w:rPr>
          <w:color w:val="231F20"/>
          <w:w w:val="110"/>
        </w:rPr>
        <w:t>en</w:t>
      </w:r>
      <w:r>
        <w:rPr>
          <w:color w:val="231F20"/>
          <w:spacing w:val="-10"/>
          <w:w w:val="110"/>
        </w:rPr>
        <w:t> </w:t>
      </w:r>
      <w:r>
        <w:rPr>
          <w:color w:val="231F20"/>
          <w:w w:val="110"/>
        </w:rPr>
        <w:t>general</w:t>
      </w:r>
      <w:r>
        <w:rPr>
          <w:color w:val="231F20"/>
          <w:spacing w:val="-10"/>
          <w:w w:val="110"/>
        </w:rPr>
        <w:t> </w:t>
      </w:r>
      <w:r>
        <w:rPr>
          <w:color w:val="231F20"/>
          <w:w w:val="110"/>
        </w:rPr>
        <w:t>buscó</w:t>
      </w:r>
      <w:r>
        <w:rPr>
          <w:color w:val="231F20"/>
          <w:spacing w:val="-10"/>
          <w:w w:val="110"/>
        </w:rPr>
        <w:t> </w:t>
      </w:r>
      <w:r>
        <w:rPr>
          <w:color w:val="231F20"/>
          <w:w w:val="110"/>
        </w:rPr>
        <w:t>imitar</w:t>
      </w:r>
      <w:r>
        <w:rPr>
          <w:color w:val="231F20"/>
          <w:spacing w:val="-10"/>
          <w:w w:val="110"/>
        </w:rPr>
        <w:t> </w:t>
      </w:r>
      <w:r>
        <w:rPr>
          <w:color w:val="231F20"/>
          <w:w w:val="110"/>
        </w:rPr>
        <w:t>con</w:t>
      </w:r>
      <w:r>
        <w:rPr>
          <w:color w:val="231F20"/>
          <w:spacing w:val="-10"/>
          <w:w w:val="110"/>
        </w:rPr>
        <w:t> </w:t>
      </w:r>
      <w:r>
        <w:rPr>
          <w:color w:val="231F20"/>
          <w:w w:val="110"/>
        </w:rPr>
        <w:t>sus</w:t>
      </w:r>
      <w:r>
        <w:rPr>
          <w:color w:val="231F20"/>
          <w:spacing w:val="-10"/>
          <w:w w:val="110"/>
        </w:rPr>
        <w:t> </w:t>
      </w:r>
      <w:r>
        <w:rPr>
          <w:color w:val="231F20"/>
          <w:w w:val="110"/>
        </w:rPr>
        <w:t>Estados</w:t>
      </w:r>
      <w:r>
        <w:rPr>
          <w:color w:val="231F20"/>
          <w:spacing w:val="-10"/>
          <w:w w:val="110"/>
        </w:rPr>
        <w:t> </w:t>
      </w:r>
      <w:r>
        <w:rPr>
          <w:color w:val="231F20"/>
          <w:w w:val="110"/>
        </w:rPr>
        <w:t>nacional</w:t>
      </w:r>
      <w:r>
        <w:rPr>
          <w:color w:val="231F20"/>
          <w:spacing w:val="-10"/>
          <w:w w:val="110"/>
        </w:rPr>
        <w:t> </w:t>
      </w:r>
      <w:r>
        <w:rPr>
          <w:color w:val="231F20"/>
          <w:w w:val="110"/>
        </w:rPr>
        <w:t>democráticos. Los planos quinquenales se incorporaron a la gestión económica </w:t>
      </w:r>
      <w:r>
        <w:rPr>
          <w:color w:val="231F20"/>
          <w:spacing w:val="9"/>
          <w:w w:val="110"/>
        </w:rPr>
        <w:t> </w:t>
      </w:r>
      <w:r>
        <w:rPr>
          <w:color w:val="231F20"/>
          <w:w w:val="110"/>
        </w:rPr>
        <w:t>de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03"/>
        <w:rPr>
          <w:sz w:val="13"/>
        </w:rPr>
      </w:pPr>
      <w:r>
        <w:rPr>
          <w:color w:val="231F20"/>
          <w:w w:val="110"/>
        </w:rPr>
        <w:t>países como México e India, aun cuando rechazaban políticamente el modelo del socialismo soviético.</w:t>
      </w:r>
      <w:r>
        <w:rPr>
          <w:color w:val="231F20"/>
          <w:w w:val="110"/>
          <w:position w:val="6"/>
          <w:sz w:val="13"/>
        </w:rPr>
        <w:t>6</w:t>
      </w:r>
    </w:p>
    <w:p>
      <w:pPr>
        <w:pStyle w:val="BodyText"/>
        <w:spacing w:line="261" w:lineRule="auto"/>
        <w:ind w:left="100" w:right="117" w:firstLine="240"/>
        <w:jc w:val="both"/>
      </w:pPr>
      <w:r>
        <w:rPr>
          <w:color w:val="231F20"/>
          <w:w w:val="110"/>
        </w:rPr>
        <w:t>El</w:t>
      </w:r>
      <w:r>
        <w:rPr>
          <w:color w:val="231F20"/>
          <w:spacing w:val="-13"/>
          <w:w w:val="110"/>
        </w:rPr>
        <w:t> </w:t>
      </w:r>
      <w:r>
        <w:rPr>
          <w:color w:val="231F20"/>
          <w:w w:val="110"/>
        </w:rPr>
        <w:t>mundo</w:t>
      </w:r>
      <w:r>
        <w:rPr>
          <w:color w:val="231F20"/>
          <w:spacing w:val="-13"/>
          <w:w w:val="110"/>
        </w:rPr>
        <w:t> </w:t>
      </w:r>
      <w:r>
        <w:rPr>
          <w:color w:val="231F20"/>
          <w:w w:val="110"/>
        </w:rPr>
        <w:t>colonial</w:t>
      </w:r>
      <w:r>
        <w:rPr>
          <w:color w:val="231F20"/>
          <w:spacing w:val="-14"/>
          <w:w w:val="110"/>
        </w:rPr>
        <w:t> </w:t>
      </w:r>
      <w:r>
        <w:rPr>
          <w:color w:val="231F20"/>
          <w:w w:val="110"/>
        </w:rPr>
        <w:t>se</w:t>
      </w:r>
      <w:r>
        <w:rPr>
          <w:color w:val="231F20"/>
          <w:spacing w:val="-13"/>
          <w:w w:val="110"/>
        </w:rPr>
        <w:t> </w:t>
      </w:r>
      <w:r>
        <w:rPr>
          <w:color w:val="231F20"/>
          <w:w w:val="110"/>
        </w:rPr>
        <w:t>levantaba</w:t>
      </w:r>
      <w:r>
        <w:rPr>
          <w:color w:val="231F20"/>
          <w:spacing w:val="-14"/>
          <w:w w:val="110"/>
        </w:rPr>
        <w:t> </w:t>
      </w:r>
      <w:r>
        <w:rPr>
          <w:color w:val="231F20"/>
          <w:w w:val="110"/>
        </w:rPr>
        <w:t>e</w:t>
      </w:r>
      <w:r>
        <w:rPr>
          <w:color w:val="231F20"/>
          <w:spacing w:val="-13"/>
          <w:w w:val="110"/>
        </w:rPr>
        <w:t> </w:t>
      </w:r>
      <w:r>
        <w:rPr>
          <w:color w:val="231F20"/>
          <w:w w:val="110"/>
        </w:rPr>
        <w:t>iniciaba</w:t>
      </w:r>
      <w:r>
        <w:rPr>
          <w:color w:val="231F20"/>
          <w:spacing w:val="-14"/>
          <w:w w:val="110"/>
        </w:rPr>
        <w:t> </w:t>
      </w:r>
      <w:r>
        <w:rPr>
          <w:color w:val="231F20"/>
          <w:w w:val="110"/>
        </w:rPr>
        <w:t>un</w:t>
      </w:r>
      <w:r>
        <w:rPr>
          <w:color w:val="231F20"/>
          <w:spacing w:val="-13"/>
          <w:w w:val="110"/>
        </w:rPr>
        <w:t> </w:t>
      </w:r>
      <w:r>
        <w:rPr>
          <w:color w:val="231F20"/>
          <w:w w:val="110"/>
        </w:rPr>
        <w:t>nuevo</w:t>
      </w:r>
      <w:r>
        <w:rPr>
          <w:color w:val="231F20"/>
          <w:spacing w:val="-14"/>
          <w:w w:val="110"/>
        </w:rPr>
        <w:t> </w:t>
      </w:r>
      <w:r>
        <w:rPr>
          <w:color w:val="231F20"/>
          <w:w w:val="110"/>
        </w:rPr>
        <w:t>frente</w:t>
      </w:r>
      <w:r>
        <w:rPr>
          <w:color w:val="231F20"/>
          <w:spacing w:val="-13"/>
          <w:w w:val="110"/>
        </w:rPr>
        <w:t> </w:t>
      </w:r>
      <w:r>
        <w:rPr>
          <w:color w:val="231F20"/>
          <w:w w:val="110"/>
        </w:rPr>
        <w:t>de</w:t>
      </w:r>
      <w:r>
        <w:rPr>
          <w:color w:val="231F20"/>
          <w:spacing w:val="-13"/>
          <w:w w:val="110"/>
        </w:rPr>
        <w:t> </w:t>
      </w:r>
      <w:r>
        <w:rPr>
          <w:color w:val="231F20"/>
          <w:w w:val="110"/>
        </w:rPr>
        <w:t>lucha mundial:</w:t>
      </w:r>
      <w:r>
        <w:rPr>
          <w:color w:val="231F20"/>
          <w:spacing w:val="-10"/>
          <w:w w:val="110"/>
        </w:rPr>
        <w:t> </w:t>
      </w:r>
      <w:r>
        <w:rPr>
          <w:color w:val="231F20"/>
          <w:w w:val="110"/>
        </w:rPr>
        <w:t>las</w:t>
      </w:r>
      <w:r>
        <w:rPr>
          <w:color w:val="231F20"/>
          <w:spacing w:val="-10"/>
          <w:w w:val="110"/>
        </w:rPr>
        <w:t> </w:t>
      </w:r>
      <w:r>
        <w:rPr>
          <w:color w:val="231F20"/>
          <w:w w:val="110"/>
        </w:rPr>
        <w:t>luchas</w:t>
      </w:r>
      <w:r>
        <w:rPr>
          <w:color w:val="231F20"/>
          <w:spacing w:val="-10"/>
          <w:w w:val="110"/>
        </w:rPr>
        <w:t> </w:t>
      </w:r>
      <w:r>
        <w:rPr>
          <w:color w:val="231F20"/>
          <w:w w:val="110"/>
        </w:rPr>
        <w:t>de</w:t>
      </w:r>
      <w:r>
        <w:rPr>
          <w:color w:val="231F20"/>
          <w:spacing w:val="-10"/>
          <w:w w:val="110"/>
        </w:rPr>
        <w:t> </w:t>
      </w:r>
      <w:r>
        <w:rPr>
          <w:color w:val="231F20"/>
          <w:w w:val="110"/>
        </w:rPr>
        <w:t>liberación</w:t>
      </w:r>
      <w:r>
        <w:rPr>
          <w:color w:val="231F20"/>
          <w:spacing w:val="-10"/>
          <w:w w:val="110"/>
        </w:rPr>
        <w:t> </w:t>
      </w:r>
      <w:r>
        <w:rPr>
          <w:color w:val="231F20"/>
          <w:w w:val="110"/>
        </w:rPr>
        <w:t>nacional</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instalación</w:t>
      </w:r>
      <w:r>
        <w:rPr>
          <w:color w:val="231F20"/>
          <w:spacing w:val="-10"/>
          <w:w w:val="110"/>
        </w:rPr>
        <w:t> </w:t>
      </w:r>
      <w:r>
        <w:rPr>
          <w:color w:val="231F20"/>
          <w:w w:val="110"/>
        </w:rPr>
        <w:t>de</w:t>
      </w:r>
      <w:r>
        <w:rPr>
          <w:color w:val="231F20"/>
          <w:spacing w:val="-10"/>
          <w:w w:val="110"/>
        </w:rPr>
        <w:t> </w:t>
      </w:r>
      <w:r>
        <w:rPr>
          <w:color w:val="231F20"/>
          <w:w w:val="110"/>
        </w:rPr>
        <w:t>Estados nacional democráticos en el mundo hasta entonces completamente subyugado</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potencias</w:t>
      </w:r>
      <w:r>
        <w:rPr>
          <w:color w:val="231F20"/>
          <w:spacing w:val="-6"/>
          <w:w w:val="110"/>
        </w:rPr>
        <w:t> </w:t>
      </w:r>
      <w:r>
        <w:rPr>
          <w:color w:val="231F20"/>
          <w:w w:val="110"/>
        </w:rPr>
        <w:t>imperialistas.</w:t>
      </w:r>
      <w:r>
        <w:rPr>
          <w:color w:val="231F20"/>
          <w:spacing w:val="-6"/>
          <w:w w:val="110"/>
        </w:rPr>
        <w:t> </w:t>
      </w:r>
      <w:r>
        <w:rPr>
          <w:color w:val="231F20"/>
          <w:w w:val="110"/>
        </w:rPr>
        <w:t>Este</w:t>
      </w:r>
      <w:r>
        <w:rPr>
          <w:color w:val="231F20"/>
          <w:spacing w:val="-6"/>
          <w:w w:val="110"/>
        </w:rPr>
        <w:t> </w:t>
      </w:r>
      <w:r>
        <w:rPr>
          <w:color w:val="231F20"/>
          <w:w w:val="110"/>
        </w:rPr>
        <w:t>nuevo</w:t>
      </w:r>
      <w:r>
        <w:rPr>
          <w:color w:val="231F20"/>
          <w:spacing w:val="-6"/>
          <w:w w:val="110"/>
        </w:rPr>
        <w:t> </w:t>
      </w:r>
      <w:r>
        <w:rPr>
          <w:color w:val="231F20"/>
          <w:w w:val="110"/>
        </w:rPr>
        <w:t>frente</w:t>
      </w:r>
      <w:r>
        <w:rPr>
          <w:color w:val="231F20"/>
          <w:spacing w:val="-6"/>
          <w:w w:val="110"/>
        </w:rPr>
        <w:t> </w:t>
      </w:r>
      <w:r>
        <w:rPr>
          <w:color w:val="231F20"/>
          <w:w w:val="110"/>
        </w:rPr>
        <w:t>partía</w:t>
      </w:r>
      <w:r>
        <w:rPr>
          <w:color w:val="231F20"/>
          <w:spacing w:val="-6"/>
          <w:w w:val="110"/>
        </w:rPr>
        <w:t> </w:t>
      </w:r>
      <w:r>
        <w:rPr>
          <w:color w:val="231F20"/>
          <w:w w:val="110"/>
        </w:rPr>
        <w:t>con más claridad acerca de una valorización del capitalismo de Estado que se reveló extremamente eficaz en las políticas de acumulación primitiva en la Unión Soviética, además de demostrar una eficacia militar</w:t>
      </w:r>
      <w:r>
        <w:rPr>
          <w:color w:val="231F20"/>
          <w:spacing w:val="18"/>
          <w:w w:val="110"/>
        </w:rPr>
        <w:t> </w:t>
      </w:r>
      <w:r>
        <w:rPr>
          <w:color w:val="231F20"/>
          <w:w w:val="110"/>
        </w:rPr>
        <w:t>impresionante.</w:t>
      </w:r>
    </w:p>
    <w:p>
      <w:pPr>
        <w:pStyle w:val="BodyText"/>
        <w:spacing w:line="261" w:lineRule="auto"/>
        <w:ind w:left="100" w:right="117" w:firstLine="240"/>
        <w:jc w:val="right"/>
      </w:pPr>
      <w:r>
        <w:rPr>
          <w:color w:val="231F20"/>
          <w:w w:val="110"/>
        </w:rPr>
        <w:t>El periodo posterior a la segunda guerra mundial</w:t>
      </w:r>
      <w:r>
        <w:rPr>
          <w:color w:val="231F20"/>
          <w:spacing w:val="37"/>
          <w:w w:val="110"/>
        </w:rPr>
        <w:t> </w:t>
      </w:r>
      <w:r>
        <w:rPr>
          <w:color w:val="231F20"/>
          <w:w w:val="110"/>
        </w:rPr>
        <w:t>profundizó</w:t>
      </w:r>
      <w:r>
        <w:rPr>
          <w:color w:val="231F20"/>
          <w:spacing w:val="25"/>
          <w:w w:val="110"/>
        </w:rPr>
        <w:t> </w:t>
      </w:r>
      <w:r>
        <w:rPr>
          <w:color w:val="231F20"/>
          <w:w w:val="110"/>
        </w:rPr>
        <w:t>la</w:t>
      </w:r>
      <w:r>
        <w:rPr>
          <w:color w:val="231F20"/>
          <w:w w:val="105"/>
        </w:rPr>
        <w:t> </w:t>
      </w:r>
      <w:r>
        <w:rPr>
          <w:color w:val="231F20"/>
          <w:w w:val="110"/>
        </w:rPr>
        <w:t>crisis estructural del modo de producción capitalista de</w:t>
      </w:r>
      <w:r>
        <w:rPr>
          <w:color w:val="231F20"/>
          <w:spacing w:val="9"/>
          <w:w w:val="110"/>
        </w:rPr>
        <w:t> </w:t>
      </w:r>
      <w:r>
        <w:rPr>
          <w:color w:val="231F20"/>
          <w:w w:val="110"/>
        </w:rPr>
        <w:t>una</w:t>
      </w:r>
      <w:r>
        <w:rPr>
          <w:color w:val="231F20"/>
          <w:spacing w:val="8"/>
          <w:w w:val="110"/>
        </w:rPr>
        <w:t> </w:t>
      </w:r>
      <w:r>
        <w:rPr>
          <w:color w:val="231F20"/>
          <w:w w:val="110"/>
        </w:rPr>
        <w:t>manera</w:t>
      </w:r>
      <w:r>
        <w:rPr>
          <w:color w:val="231F20"/>
          <w:w w:val="112"/>
        </w:rPr>
        <w:t> </w:t>
      </w:r>
      <w:r>
        <w:rPr>
          <w:color w:val="231F20"/>
          <w:w w:val="110"/>
        </w:rPr>
        <w:t>avasalladora.</w:t>
      </w:r>
      <w:r>
        <w:rPr>
          <w:color w:val="231F20"/>
          <w:spacing w:val="-20"/>
          <w:w w:val="110"/>
        </w:rPr>
        <w:t> </w:t>
      </w:r>
      <w:r>
        <w:rPr>
          <w:color w:val="231F20"/>
          <w:w w:val="110"/>
        </w:rPr>
        <w:t>La</w:t>
      </w:r>
      <w:r>
        <w:rPr>
          <w:color w:val="231F20"/>
          <w:spacing w:val="-20"/>
          <w:w w:val="110"/>
        </w:rPr>
        <w:t> </w:t>
      </w:r>
      <w:r>
        <w:rPr>
          <w:color w:val="231F20"/>
          <w:w w:val="110"/>
        </w:rPr>
        <w:t>victoria</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Revolución</w:t>
      </w:r>
      <w:r>
        <w:rPr>
          <w:color w:val="231F20"/>
          <w:spacing w:val="-20"/>
          <w:w w:val="110"/>
        </w:rPr>
        <w:t> </w:t>
      </w:r>
      <w:r>
        <w:rPr>
          <w:color w:val="231F20"/>
          <w:w w:val="110"/>
        </w:rPr>
        <w:t>china,</w:t>
      </w:r>
      <w:r>
        <w:rPr>
          <w:color w:val="231F20"/>
          <w:spacing w:val="-20"/>
          <w:w w:val="110"/>
        </w:rPr>
        <w:t> </w:t>
      </w:r>
      <w:r>
        <w:rPr>
          <w:color w:val="231F20"/>
          <w:w w:val="110"/>
        </w:rPr>
        <w:t>la</w:t>
      </w:r>
      <w:r>
        <w:rPr>
          <w:color w:val="231F20"/>
          <w:spacing w:val="-20"/>
          <w:w w:val="110"/>
        </w:rPr>
        <w:t> </w:t>
      </w:r>
      <w:r>
        <w:rPr>
          <w:color w:val="231F20"/>
          <w:w w:val="110"/>
        </w:rPr>
        <w:t>coreana,</w:t>
      </w:r>
      <w:r>
        <w:rPr>
          <w:color w:val="231F20"/>
          <w:spacing w:val="-20"/>
          <w:w w:val="110"/>
        </w:rPr>
        <w:t> </w:t>
      </w:r>
      <w:r>
        <w:rPr>
          <w:color w:val="231F20"/>
          <w:w w:val="110"/>
        </w:rPr>
        <w:t>la</w:t>
      </w:r>
      <w:r>
        <w:rPr>
          <w:color w:val="231F20"/>
          <w:spacing w:val="-20"/>
          <w:w w:val="110"/>
        </w:rPr>
        <w:t> </w:t>
      </w:r>
      <w:r>
        <w:rPr>
          <w:color w:val="231F20"/>
          <w:w w:val="110"/>
        </w:rPr>
        <w:t>vietna-</w:t>
      </w:r>
      <w:r>
        <w:rPr>
          <w:color w:val="231F20"/>
          <w:w w:val="72"/>
        </w:rPr>
        <w:t> </w:t>
      </w:r>
      <w:r>
        <w:rPr>
          <w:color w:val="231F20"/>
          <w:w w:val="110"/>
        </w:rPr>
        <w:t>mita, la expansión de la revolución social en América</w:t>
      </w:r>
      <w:r>
        <w:rPr>
          <w:color w:val="231F20"/>
          <w:spacing w:val="35"/>
          <w:w w:val="110"/>
        </w:rPr>
        <w:t> </w:t>
      </w:r>
      <w:r>
        <w:rPr>
          <w:color w:val="231F20"/>
          <w:w w:val="110"/>
        </w:rPr>
        <w:t>Latina</w:t>
      </w:r>
      <w:r>
        <w:rPr>
          <w:color w:val="231F20"/>
          <w:spacing w:val="10"/>
          <w:w w:val="110"/>
        </w:rPr>
        <w:t> </w:t>
      </w:r>
      <w:r>
        <w:rPr>
          <w:color w:val="231F20"/>
          <w:w w:val="110"/>
        </w:rPr>
        <w:t>desde</w:t>
      </w:r>
      <w:r>
        <w:rPr>
          <w:color w:val="231F20"/>
          <w:w w:val="110"/>
        </w:rPr>
        <w:t> </w:t>
      </w:r>
      <w:r>
        <w:rPr>
          <w:color w:val="231F20"/>
          <w:w w:val="110"/>
        </w:rPr>
        <w:t>Bolivia (1952), Guatemala (1954), Cuba (1958)</w:t>
      </w:r>
      <w:r>
        <w:rPr>
          <w:color w:val="231F20"/>
          <w:spacing w:val="2"/>
          <w:w w:val="110"/>
        </w:rPr>
        <w:t> </w:t>
      </w:r>
      <w:r>
        <w:rPr>
          <w:color w:val="231F20"/>
          <w:w w:val="110"/>
        </w:rPr>
        <w:t>estimulaban nuevas</w:t>
      </w:r>
      <w:r>
        <w:rPr>
          <w:color w:val="231F20"/>
          <w:w w:val="105"/>
        </w:rPr>
        <w:t> </w:t>
      </w:r>
      <w:r>
        <w:rPr>
          <w:color w:val="231F20"/>
          <w:w w:val="110"/>
        </w:rPr>
        <w:t>victorias de la versión socialista de la lucha anticolonial. La</w:t>
      </w:r>
      <w:r>
        <w:rPr>
          <w:color w:val="231F20"/>
          <w:spacing w:val="-26"/>
          <w:w w:val="110"/>
        </w:rPr>
        <w:t> </w:t>
      </w:r>
      <w:r>
        <w:rPr>
          <w:color w:val="231F20"/>
          <w:w w:val="110"/>
        </w:rPr>
        <w:t>India</w:t>
      </w:r>
      <w:r>
        <w:rPr>
          <w:color w:val="231F20"/>
          <w:spacing w:val="-3"/>
          <w:w w:val="110"/>
        </w:rPr>
        <w:t> </w:t>
      </w:r>
      <w:r>
        <w:rPr>
          <w:color w:val="231F20"/>
          <w:w w:val="110"/>
        </w:rPr>
        <w:t>de</w:t>
      </w:r>
      <w:r>
        <w:rPr>
          <w:color w:val="231F20"/>
          <w:w w:val="114"/>
        </w:rPr>
        <w:t> </w:t>
      </w:r>
      <w:r>
        <w:rPr>
          <w:color w:val="231F20"/>
          <w:w w:val="110"/>
        </w:rPr>
        <w:t>Gandhi a través de su continuador Javarhal Nehru, la</w:t>
      </w:r>
      <w:r>
        <w:rPr>
          <w:color w:val="231F20"/>
          <w:spacing w:val="37"/>
          <w:w w:val="110"/>
        </w:rPr>
        <w:t> </w:t>
      </w:r>
      <w:r>
        <w:rPr>
          <w:color w:val="231F20"/>
          <w:w w:val="110"/>
        </w:rPr>
        <w:t>Indonesia</w:t>
      </w:r>
      <w:r>
        <w:rPr>
          <w:color w:val="231F20"/>
          <w:spacing w:val="16"/>
          <w:w w:val="110"/>
        </w:rPr>
        <w:t> </w:t>
      </w:r>
      <w:r>
        <w:rPr>
          <w:color w:val="231F20"/>
          <w:w w:val="110"/>
        </w:rPr>
        <w:t>de</w:t>
      </w:r>
      <w:r>
        <w:rPr>
          <w:color w:val="231F20"/>
          <w:w w:val="114"/>
        </w:rPr>
        <w:t> </w:t>
      </w:r>
      <w:r>
        <w:rPr>
          <w:color w:val="231F20"/>
          <w:w w:val="110"/>
        </w:rPr>
        <w:t>Sukarno,</w:t>
      </w:r>
      <w:r>
        <w:rPr>
          <w:color w:val="231F20"/>
          <w:spacing w:val="-16"/>
          <w:w w:val="110"/>
        </w:rPr>
        <w:t> </w:t>
      </w:r>
      <w:r>
        <w:rPr>
          <w:color w:val="231F20"/>
          <w:w w:val="110"/>
        </w:rPr>
        <w:t>el</w:t>
      </w:r>
      <w:r>
        <w:rPr>
          <w:color w:val="231F20"/>
          <w:spacing w:val="-16"/>
          <w:w w:val="110"/>
        </w:rPr>
        <w:t> </w:t>
      </w:r>
      <w:r>
        <w:rPr>
          <w:color w:val="231F20"/>
          <w:w w:val="110"/>
        </w:rPr>
        <w:t>Egipto</w:t>
      </w:r>
      <w:r>
        <w:rPr>
          <w:color w:val="231F20"/>
          <w:spacing w:val="-16"/>
          <w:w w:val="110"/>
        </w:rPr>
        <w:t> </w:t>
      </w:r>
      <w:r>
        <w:rPr>
          <w:color w:val="231F20"/>
          <w:w w:val="110"/>
        </w:rPr>
        <w:t>de</w:t>
      </w:r>
      <w:r>
        <w:rPr>
          <w:color w:val="231F20"/>
          <w:spacing w:val="-16"/>
          <w:w w:val="110"/>
        </w:rPr>
        <w:t> </w:t>
      </w:r>
      <w:r>
        <w:rPr>
          <w:color w:val="231F20"/>
          <w:spacing w:val="-3"/>
          <w:w w:val="110"/>
        </w:rPr>
        <w:t>Nasser,</w:t>
      </w:r>
      <w:r>
        <w:rPr>
          <w:color w:val="231F20"/>
          <w:spacing w:val="-16"/>
          <w:w w:val="110"/>
        </w:rPr>
        <w:t> </w:t>
      </w:r>
      <w:r>
        <w:rPr>
          <w:color w:val="231F20"/>
          <w:w w:val="110"/>
        </w:rPr>
        <w:t>la</w:t>
      </w:r>
      <w:r>
        <w:rPr>
          <w:color w:val="231F20"/>
          <w:spacing w:val="-16"/>
          <w:w w:val="110"/>
        </w:rPr>
        <w:t> </w:t>
      </w:r>
      <w:r>
        <w:rPr>
          <w:color w:val="231F20"/>
          <w:w w:val="110"/>
        </w:rPr>
        <w:t>Yugoslavia</w:t>
      </w:r>
      <w:r>
        <w:rPr>
          <w:color w:val="231F20"/>
          <w:spacing w:val="-16"/>
          <w:w w:val="110"/>
        </w:rPr>
        <w:t> </w:t>
      </w:r>
      <w:r>
        <w:rPr>
          <w:color w:val="231F20"/>
          <w:w w:val="110"/>
        </w:rPr>
        <w:t>de</w:t>
      </w:r>
      <w:r>
        <w:rPr>
          <w:color w:val="231F20"/>
          <w:spacing w:val="-16"/>
          <w:w w:val="110"/>
        </w:rPr>
        <w:t> </w:t>
      </w:r>
      <w:r>
        <w:rPr>
          <w:color w:val="231F20"/>
          <w:w w:val="110"/>
        </w:rPr>
        <w:t>Tito</w:t>
      </w:r>
      <w:r>
        <w:rPr>
          <w:color w:val="231F20"/>
          <w:spacing w:val="-16"/>
          <w:w w:val="110"/>
        </w:rPr>
        <w:t> </w:t>
      </w:r>
      <w:r>
        <w:rPr>
          <w:color w:val="231F20"/>
          <w:w w:val="110"/>
        </w:rPr>
        <w:t>anunciaban,</w:t>
      </w:r>
      <w:r>
        <w:rPr>
          <w:color w:val="231F20"/>
          <w:spacing w:val="-16"/>
          <w:w w:val="110"/>
        </w:rPr>
        <w:t> </w:t>
      </w:r>
      <w:r>
        <w:rPr>
          <w:color w:val="231F20"/>
          <w:w w:val="110"/>
        </w:rPr>
        <w:t>entre</w:t>
      </w:r>
      <w:r>
        <w:rPr>
          <w:color w:val="231F20"/>
          <w:w w:val="116"/>
        </w:rPr>
        <w:t> </w:t>
      </w:r>
      <w:r>
        <w:rPr>
          <w:color w:val="231F20"/>
          <w:w w:val="110"/>
        </w:rPr>
        <w:t>otros, el surgimiento de un nuevo sujeto histórico que</w:t>
      </w:r>
      <w:r>
        <w:rPr>
          <w:color w:val="231F20"/>
          <w:spacing w:val="47"/>
          <w:w w:val="110"/>
        </w:rPr>
        <w:t> </w:t>
      </w:r>
      <w:r>
        <w:rPr>
          <w:color w:val="231F20"/>
          <w:w w:val="110"/>
        </w:rPr>
        <w:t>se</w:t>
      </w:r>
      <w:r>
        <w:rPr>
          <w:color w:val="231F20"/>
          <w:spacing w:val="17"/>
          <w:w w:val="110"/>
        </w:rPr>
        <w:t> </w:t>
      </w:r>
      <w:r>
        <w:rPr>
          <w:color w:val="231F20"/>
          <w:w w:val="110"/>
        </w:rPr>
        <w:t>inspiraba</w:t>
      </w:r>
      <w:r>
        <w:rPr>
          <w:color w:val="231F20"/>
          <w:w w:val="109"/>
        </w:rPr>
        <w:t> </w:t>
      </w:r>
      <w:r>
        <w:rPr>
          <w:color w:val="231F20"/>
          <w:w w:val="110"/>
        </w:rPr>
        <w:t>en el México revolucionario, en los “nuevos turcos” y en</w:t>
      </w:r>
      <w:r>
        <w:rPr>
          <w:color w:val="231F20"/>
          <w:spacing w:val="-33"/>
          <w:w w:val="110"/>
        </w:rPr>
        <w:t> </w:t>
      </w:r>
      <w:r>
        <w:rPr>
          <w:color w:val="231F20"/>
          <w:w w:val="110"/>
        </w:rPr>
        <w:t>otras</w:t>
      </w:r>
      <w:r>
        <w:rPr>
          <w:color w:val="231F20"/>
          <w:spacing w:val="-4"/>
          <w:w w:val="110"/>
        </w:rPr>
        <w:t> </w:t>
      </w:r>
      <w:r>
        <w:rPr>
          <w:color w:val="231F20"/>
          <w:w w:val="110"/>
        </w:rPr>
        <w:t>expe-</w:t>
      </w:r>
      <w:r>
        <w:rPr>
          <w:color w:val="231F20"/>
          <w:w w:val="72"/>
        </w:rPr>
        <w:t> </w:t>
      </w:r>
      <w:r>
        <w:rPr>
          <w:color w:val="231F20"/>
          <w:w w:val="110"/>
        </w:rPr>
        <w:t>riencias que apuntaban hacia el ejemplo de un Estado</w:t>
      </w:r>
      <w:r>
        <w:rPr>
          <w:color w:val="231F20"/>
          <w:spacing w:val="-5"/>
          <w:w w:val="110"/>
        </w:rPr>
        <w:t> </w:t>
      </w:r>
      <w:r>
        <w:rPr>
          <w:color w:val="231F20"/>
          <w:w w:val="110"/>
        </w:rPr>
        <w:t>poderoso</w:t>
      </w:r>
      <w:r>
        <w:rPr>
          <w:color w:val="231F20"/>
          <w:spacing w:val="-1"/>
          <w:w w:val="110"/>
        </w:rPr>
        <w:t> </w:t>
      </w:r>
      <w:r>
        <w:rPr>
          <w:color w:val="231F20"/>
          <w:w w:val="110"/>
        </w:rPr>
        <w:t>para</w:t>
      </w:r>
      <w:r>
        <w:rPr>
          <w:color w:val="231F20"/>
          <w:w w:val="112"/>
        </w:rPr>
        <w:t> </w:t>
      </w:r>
      <w:r>
        <w:rPr>
          <w:color w:val="231F20"/>
          <w:w w:val="110"/>
        </w:rPr>
        <w:t>conducir la acumulación primitiva, fuera ella capitalista</w:t>
      </w:r>
      <w:r>
        <w:rPr>
          <w:color w:val="231F20"/>
          <w:spacing w:val="-20"/>
          <w:w w:val="110"/>
        </w:rPr>
        <w:t> </w:t>
      </w:r>
      <w:r>
        <w:rPr>
          <w:color w:val="231F20"/>
          <w:w w:val="110"/>
        </w:rPr>
        <w:t>o</w:t>
      </w:r>
      <w:r>
        <w:rPr>
          <w:color w:val="231F20"/>
          <w:spacing w:val="-3"/>
          <w:w w:val="110"/>
        </w:rPr>
        <w:t> </w:t>
      </w:r>
      <w:r>
        <w:rPr>
          <w:color w:val="231F20"/>
          <w:w w:val="110"/>
        </w:rPr>
        <w:t>socialista.</w:t>
      </w:r>
      <w:r>
        <w:rPr>
          <w:color w:val="231F20"/>
          <w:w w:val="103"/>
        </w:rPr>
        <w:t> </w:t>
      </w:r>
      <w:r>
        <w:rPr>
          <w:color w:val="231F20"/>
          <w:w w:val="110"/>
        </w:rPr>
        <w:t>Después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histórica</w:t>
      </w:r>
      <w:r>
        <w:rPr>
          <w:color w:val="231F20"/>
          <w:spacing w:val="-17"/>
          <w:w w:val="110"/>
        </w:rPr>
        <w:t> </w:t>
      </w:r>
      <w:r>
        <w:rPr>
          <w:color w:val="231F20"/>
          <w:w w:val="110"/>
        </w:rPr>
        <w:t>reunión</w:t>
      </w:r>
      <w:r>
        <w:rPr>
          <w:color w:val="231F20"/>
          <w:spacing w:val="-17"/>
          <w:w w:val="110"/>
        </w:rPr>
        <w:t> </w:t>
      </w:r>
      <w:r>
        <w:rPr>
          <w:color w:val="231F20"/>
          <w:w w:val="110"/>
        </w:rPr>
        <w:t>de</w:t>
      </w:r>
      <w:r>
        <w:rPr>
          <w:color w:val="231F20"/>
          <w:spacing w:val="-17"/>
          <w:w w:val="110"/>
        </w:rPr>
        <w:t> </w:t>
      </w:r>
      <w:r>
        <w:rPr>
          <w:color w:val="231F20"/>
          <w:w w:val="110"/>
        </w:rPr>
        <w:t>Bandumg</w:t>
      </w:r>
      <w:r>
        <w:rPr>
          <w:color w:val="231F20"/>
          <w:spacing w:val="-17"/>
          <w:w w:val="110"/>
        </w:rPr>
        <w:t> </w:t>
      </w:r>
      <w:r>
        <w:rPr>
          <w:color w:val="231F20"/>
          <w:w w:val="110"/>
        </w:rPr>
        <w:t>en</w:t>
      </w:r>
      <w:r>
        <w:rPr>
          <w:color w:val="231F20"/>
          <w:spacing w:val="-17"/>
          <w:w w:val="110"/>
        </w:rPr>
        <w:t> </w:t>
      </w:r>
      <w:r>
        <w:rPr>
          <w:color w:val="231F20"/>
          <w:w w:val="110"/>
        </w:rPr>
        <w:t>1955,</w:t>
      </w:r>
      <w:r>
        <w:rPr>
          <w:color w:val="231F20"/>
          <w:spacing w:val="-17"/>
          <w:w w:val="110"/>
        </w:rPr>
        <w:t> </w:t>
      </w:r>
      <w:r>
        <w:rPr>
          <w:color w:val="231F20"/>
          <w:w w:val="110"/>
        </w:rPr>
        <w:t>estos</w:t>
      </w:r>
      <w:r>
        <w:rPr>
          <w:color w:val="231F20"/>
          <w:spacing w:val="-17"/>
          <w:w w:val="110"/>
        </w:rPr>
        <w:t> </w:t>
      </w:r>
      <w:r>
        <w:rPr>
          <w:color w:val="231F20"/>
          <w:w w:val="110"/>
        </w:rPr>
        <w:t>nuevos</w:t>
      </w:r>
      <w:r>
        <w:rPr>
          <w:color w:val="231F20"/>
          <w:w w:val="106"/>
        </w:rPr>
        <w:t> </w:t>
      </w:r>
      <w:r>
        <w:rPr>
          <w:color w:val="231F20"/>
          <w:w w:val="110"/>
        </w:rPr>
        <w:t>sujetos</w:t>
      </w:r>
      <w:r>
        <w:rPr>
          <w:color w:val="231F20"/>
          <w:spacing w:val="-15"/>
          <w:w w:val="110"/>
        </w:rPr>
        <w:t> </w:t>
      </w:r>
      <w:r>
        <w:rPr>
          <w:color w:val="231F20"/>
          <w:w w:val="110"/>
        </w:rPr>
        <w:t>sociales</w:t>
      </w:r>
      <w:r>
        <w:rPr>
          <w:color w:val="231F20"/>
          <w:spacing w:val="-15"/>
          <w:w w:val="110"/>
        </w:rPr>
        <w:t> </w:t>
      </w:r>
      <w:r>
        <w:rPr>
          <w:color w:val="231F20"/>
          <w:w w:val="110"/>
        </w:rPr>
        <w:t>adquirieron</w:t>
      </w:r>
      <w:r>
        <w:rPr>
          <w:color w:val="231F20"/>
          <w:spacing w:val="-15"/>
          <w:w w:val="110"/>
        </w:rPr>
        <w:t> </w:t>
      </w:r>
      <w:r>
        <w:rPr>
          <w:color w:val="231F20"/>
          <w:w w:val="110"/>
        </w:rPr>
        <w:t>cara</w:t>
      </w:r>
      <w:r>
        <w:rPr>
          <w:color w:val="231F20"/>
          <w:spacing w:val="-15"/>
          <w:w w:val="110"/>
        </w:rPr>
        <w:t> </w:t>
      </w:r>
      <w:r>
        <w:rPr>
          <w:color w:val="231F20"/>
          <w:w w:val="110"/>
        </w:rPr>
        <w:t>y</w:t>
      </w:r>
      <w:r>
        <w:rPr>
          <w:color w:val="231F20"/>
          <w:spacing w:val="-15"/>
          <w:w w:val="110"/>
        </w:rPr>
        <w:t> </w:t>
      </w:r>
      <w:r>
        <w:rPr>
          <w:color w:val="231F20"/>
          <w:w w:val="110"/>
        </w:rPr>
        <w:t>programa</w:t>
      </w:r>
      <w:r>
        <w:rPr>
          <w:color w:val="231F20"/>
          <w:spacing w:val="-15"/>
          <w:w w:val="110"/>
        </w:rPr>
        <w:t> </w:t>
      </w:r>
      <w:r>
        <w:rPr>
          <w:color w:val="231F20"/>
          <w:w w:val="110"/>
        </w:rPr>
        <w:t>que</w:t>
      </w:r>
      <w:r>
        <w:rPr>
          <w:color w:val="231F20"/>
          <w:spacing w:val="-15"/>
          <w:w w:val="110"/>
        </w:rPr>
        <w:t> </w:t>
      </w:r>
      <w:r>
        <w:rPr>
          <w:color w:val="231F20"/>
          <w:w w:val="110"/>
        </w:rPr>
        <w:t>dio</w:t>
      </w:r>
      <w:r>
        <w:rPr>
          <w:color w:val="231F20"/>
          <w:spacing w:val="-15"/>
          <w:w w:val="110"/>
        </w:rPr>
        <w:t> </w:t>
      </w:r>
      <w:r>
        <w:rPr>
          <w:color w:val="231F20"/>
          <w:w w:val="110"/>
        </w:rPr>
        <w:t>origen</w:t>
      </w:r>
      <w:r>
        <w:rPr>
          <w:color w:val="231F20"/>
          <w:spacing w:val="-15"/>
          <w:w w:val="110"/>
        </w:rPr>
        <w:t> </w:t>
      </w:r>
      <w:r>
        <w:rPr>
          <w:color w:val="231F20"/>
          <w:w w:val="110"/>
        </w:rPr>
        <w:t>al</w:t>
      </w:r>
      <w:r>
        <w:rPr>
          <w:color w:val="231F20"/>
          <w:spacing w:val="-15"/>
          <w:w w:val="110"/>
        </w:rPr>
        <w:t> </w:t>
      </w:r>
      <w:r>
        <w:rPr>
          <w:color w:val="231F20"/>
          <w:w w:val="110"/>
        </w:rPr>
        <w:t>exitoso</w:t>
      </w:r>
      <w:r>
        <w:rPr>
          <w:color w:val="231F20"/>
          <w:w w:val="107"/>
        </w:rPr>
        <w:t> </w:t>
      </w:r>
      <w:r>
        <w:rPr>
          <w:color w:val="231F20"/>
          <w:w w:val="110"/>
        </w:rPr>
        <w:t>Movimiento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No</w:t>
      </w:r>
      <w:r>
        <w:rPr>
          <w:color w:val="231F20"/>
          <w:spacing w:val="-21"/>
          <w:w w:val="110"/>
        </w:rPr>
        <w:t> </w:t>
      </w:r>
      <w:r>
        <w:rPr>
          <w:color w:val="231F20"/>
          <w:w w:val="110"/>
        </w:rPr>
        <w:t>Alineados,</w:t>
      </w:r>
      <w:r>
        <w:rPr>
          <w:color w:val="231F20"/>
          <w:spacing w:val="-21"/>
          <w:w w:val="110"/>
        </w:rPr>
        <w:t> </w:t>
      </w:r>
      <w:r>
        <w:rPr>
          <w:color w:val="231F20"/>
          <w:w w:val="110"/>
        </w:rPr>
        <w:t>cuyo</w:t>
      </w:r>
      <w:r>
        <w:rPr>
          <w:color w:val="231F20"/>
          <w:spacing w:val="-21"/>
          <w:w w:val="110"/>
        </w:rPr>
        <w:t> </w:t>
      </w:r>
      <w:r>
        <w:rPr>
          <w:color w:val="231F20"/>
          <w:w w:val="110"/>
        </w:rPr>
        <w:t>programa</w:t>
      </w:r>
      <w:r>
        <w:rPr>
          <w:color w:val="231F20"/>
          <w:spacing w:val="-21"/>
          <w:w w:val="110"/>
        </w:rPr>
        <w:t> </w:t>
      </w:r>
      <w:r>
        <w:rPr>
          <w:color w:val="231F20"/>
          <w:w w:val="110"/>
        </w:rPr>
        <w:t>contrario</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guerra</w:t>
      </w:r>
      <w:r>
        <w:rPr>
          <w:color w:val="231F20"/>
          <w:w w:val="112"/>
        </w:rPr>
        <w:t> </w:t>
      </w:r>
      <w:r>
        <w:rPr>
          <w:color w:val="231F20"/>
          <w:w w:val="110"/>
        </w:rPr>
        <w:t>fría que Estados Unidos e Inglaterra forjaron para detener</w:t>
      </w:r>
      <w:r>
        <w:rPr>
          <w:color w:val="231F20"/>
          <w:spacing w:val="17"/>
          <w:w w:val="110"/>
        </w:rPr>
        <w:t> </w:t>
      </w:r>
      <w:r>
        <w:rPr>
          <w:color w:val="231F20"/>
          <w:w w:val="110"/>
        </w:rPr>
        <w:t>una</w:t>
      </w:r>
      <w:r>
        <w:rPr>
          <w:color w:val="231F20"/>
          <w:spacing w:val="8"/>
          <w:w w:val="110"/>
        </w:rPr>
        <w:t> </w:t>
      </w:r>
      <w:r>
        <w:rPr>
          <w:color w:val="231F20"/>
          <w:w w:val="110"/>
        </w:rPr>
        <w:t>falsa</w:t>
      </w:r>
      <w:r>
        <w:rPr>
          <w:color w:val="231F20"/>
          <w:w w:val="101"/>
        </w:rPr>
        <w:t> </w:t>
      </w:r>
      <w:r>
        <w:rPr>
          <w:color w:val="231F20"/>
          <w:w w:val="110"/>
        </w:rPr>
        <w:t>amenaza soviética, terminó por imponerse en los años</w:t>
      </w:r>
      <w:r>
        <w:rPr>
          <w:color w:val="231F20"/>
          <w:spacing w:val="52"/>
          <w:w w:val="110"/>
        </w:rPr>
        <w:t> </w:t>
      </w:r>
      <w:r>
        <w:rPr>
          <w:color w:val="231F20"/>
          <w:w w:val="110"/>
        </w:rPr>
        <w:t>noventa</w:t>
      </w:r>
      <w:r>
        <w:rPr>
          <w:color w:val="231F20"/>
          <w:spacing w:val="13"/>
          <w:w w:val="110"/>
        </w:rPr>
        <w:t> </w:t>
      </w:r>
      <w:r>
        <w:rPr>
          <w:color w:val="231F20"/>
          <w:w w:val="110"/>
        </w:rPr>
        <w:t>con</w:t>
      </w:r>
      <w:r>
        <w:rPr>
          <w:color w:val="231F20"/>
          <w:w w:val="112"/>
        </w:rPr>
        <w:t> </w:t>
      </w:r>
      <w:r>
        <w:rPr>
          <w:color w:val="231F20"/>
          <w:w w:val="110"/>
        </w:rPr>
        <w:t>el</w:t>
      </w:r>
      <w:r>
        <w:rPr>
          <w:color w:val="231F20"/>
          <w:spacing w:val="23"/>
          <w:w w:val="110"/>
        </w:rPr>
        <w:t> </w:t>
      </w:r>
      <w:r>
        <w:rPr>
          <w:color w:val="231F20"/>
          <w:w w:val="110"/>
        </w:rPr>
        <w:t>fin</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guerra</w:t>
      </w:r>
      <w:r>
        <w:rPr>
          <w:color w:val="231F20"/>
          <w:spacing w:val="23"/>
          <w:w w:val="110"/>
        </w:rPr>
        <w:t> </w:t>
      </w:r>
      <w:r>
        <w:rPr>
          <w:color w:val="231F20"/>
          <w:w w:val="110"/>
        </w:rPr>
        <w:t>fría.</w:t>
      </w:r>
      <w:r>
        <w:rPr>
          <w:color w:val="231F20"/>
          <w:spacing w:val="23"/>
          <w:w w:val="110"/>
        </w:rPr>
        <w:t> </w:t>
      </w:r>
      <w:r>
        <w:rPr>
          <w:color w:val="231F20"/>
          <w:w w:val="110"/>
        </w:rPr>
        <w:t>Esta</w:t>
      </w:r>
      <w:r>
        <w:rPr>
          <w:color w:val="231F20"/>
          <w:spacing w:val="23"/>
          <w:w w:val="110"/>
        </w:rPr>
        <w:t> </w:t>
      </w:r>
      <w:r>
        <w:rPr>
          <w:color w:val="231F20"/>
          <w:w w:val="110"/>
        </w:rPr>
        <w:t>estrategia</w:t>
      </w:r>
      <w:r>
        <w:rPr>
          <w:color w:val="231F20"/>
          <w:spacing w:val="23"/>
          <w:w w:val="110"/>
        </w:rPr>
        <w:t> </w:t>
      </w:r>
      <w:r>
        <w:rPr>
          <w:color w:val="231F20"/>
          <w:w w:val="110"/>
        </w:rPr>
        <w:t>de</w:t>
      </w:r>
      <w:r>
        <w:rPr>
          <w:color w:val="231F20"/>
          <w:spacing w:val="23"/>
          <w:w w:val="110"/>
        </w:rPr>
        <w:t> </w:t>
      </w:r>
      <w:r>
        <w:rPr>
          <w:color w:val="231F20"/>
          <w:w w:val="110"/>
        </w:rPr>
        <w:t>paz</w:t>
      </w:r>
      <w:r>
        <w:rPr>
          <w:color w:val="231F20"/>
          <w:spacing w:val="23"/>
          <w:w w:val="110"/>
        </w:rPr>
        <w:t> </w:t>
      </w:r>
      <w:r>
        <w:rPr>
          <w:color w:val="231F20"/>
          <w:w w:val="110"/>
        </w:rPr>
        <w:t>fue</w:t>
      </w:r>
      <w:r>
        <w:rPr>
          <w:color w:val="231F20"/>
          <w:spacing w:val="23"/>
          <w:w w:val="110"/>
        </w:rPr>
        <w:t> </w:t>
      </w:r>
      <w:r>
        <w:rPr>
          <w:color w:val="231F20"/>
          <w:w w:val="110"/>
        </w:rPr>
        <w:t>conducida</w:t>
      </w:r>
      <w:r>
        <w:rPr>
          <w:color w:val="231F20"/>
          <w:spacing w:val="23"/>
          <w:w w:val="110"/>
        </w:rPr>
        <w:t> </w:t>
      </w:r>
      <w:r>
        <w:rPr>
          <w:color w:val="231F20"/>
          <w:w w:val="110"/>
        </w:rPr>
        <w:t>en</w:t>
      </w:r>
      <w:r>
        <w:rPr>
          <w:color w:val="231F20"/>
          <w:spacing w:val="23"/>
          <w:w w:val="110"/>
        </w:rPr>
        <w:t> </w:t>
      </w:r>
      <w:r>
        <w:rPr>
          <w:color w:val="231F20"/>
          <w:w w:val="110"/>
        </w:rPr>
        <w:t>la</w:t>
      </w:r>
      <w:r>
        <w:rPr>
          <w:color w:val="231F20"/>
          <w:w w:val="105"/>
        </w:rPr>
        <w:t> </w:t>
      </w:r>
      <w:r>
        <w:rPr>
          <w:color w:val="231F20"/>
          <w:w w:val="110"/>
        </w:rPr>
        <w:t>URSS por una elite privatizadora sumisa al proyecto</w:t>
      </w:r>
      <w:r>
        <w:rPr>
          <w:color w:val="231F20"/>
          <w:spacing w:val="1"/>
          <w:w w:val="110"/>
        </w:rPr>
        <w:t> </w:t>
      </w:r>
      <w:r>
        <w:rPr>
          <w:color w:val="231F20"/>
          <w:w w:val="110"/>
        </w:rPr>
        <w:t>reaccionario</w:t>
      </w:r>
      <w:r>
        <w:rPr>
          <w:color w:val="231F20"/>
          <w:spacing w:val="7"/>
          <w:w w:val="110"/>
        </w:rPr>
        <w:t> </w:t>
      </w:r>
      <w:r>
        <w:rPr>
          <w:color w:val="231F20"/>
          <w:w w:val="110"/>
        </w:rPr>
        <w:t>y</w:t>
      </w:r>
      <w:r>
        <w:rPr>
          <w:color w:val="231F20"/>
          <w:w w:val="84"/>
        </w:rPr>
        <w:t> </w:t>
      </w:r>
      <w:r>
        <w:rPr>
          <w:color w:val="231F20"/>
          <w:w w:val="110"/>
        </w:rPr>
        <w:t>delirante del pensamiento único neoliberal. La ofensiva de</w:t>
      </w:r>
      <w:r>
        <w:rPr>
          <w:color w:val="231F20"/>
          <w:spacing w:val="20"/>
          <w:w w:val="110"/>
        </w:rPr>
        <w:t> </w:t>
      </w:r>
      <w:r>
        <w:rPr>
          <w:color w:val="231F20"/>
          <w:w w:val="110"/>
        </w:rPr>
        <w:t>los</w:t>
      </w:r>
      <w:r>
        <w:rPr>
          <w:color w:val="231F20"/>
          <w:spacing w:val="9"/>
          <w:w w:val="110"/>
        </w:rPr>
        <w:t> </w:t>
      </w:r>
      <w:r>
        <w:rPr>
          <w:color w:val="231F20"/>
          <w:w w:val="110"/>
        </w:rPr>
        <w:t>años</w:t>
      </w:r>
      <w:r>
        <w:rPr>
          <w:color w:val="231F20"/>
          <w:w w:val="109"/>
        </w:rPr>
        <w:t> </w:t>
      </w:r>
      <w:r>
        <w:rPr>
          <w:color w:val="231F20"/>
          <w:w w:val="110"/>
        </w:rPr>
        <w:t>ochenta</w:t>
      </w:r>
      <w:r>
        <w:rPr>
          <w:color w:val="231F20"/>
          <w:spacing w:val="19"/>
          <w:w w:val="110"/>
        </w:rPr>
        <w:t> </w:t>
      </w:r>
      <w:r>
        <w:rPr>
          <w:color w:val="231F20"/>
          <w:w w:val="110"/>
        </w:rPr>
        <w:t>y</w:t>
      </w:r>
      <w:r>
        <w:rPr>
          <w:color w:val="231F20"/>
          <w:spacing w:val="19"/>
          <w:w w:val="110"/>
        </w:rPr>
        <w:t> </w:t>
      </w:r>
      <w:r>
        <w:rPr>
          <w:color w:val="231F20"/>
          <w:w w:val="110"/>
        </w:rPr>
        <w:t>noventa</w:t>
      </w:r>
      <w:r>
        <w:rPr>
          <w:color w:val="231F20"/>
          <w:spacing w:val="19"/>
          <w:w w:val="110"/>
        </w:rPr>
        <w:t> </w:t>
      </w:r>
      <w:r>
        <w:rPr>
          <w:color w:val="231F20"/>
          <w:w w:val="110"/>
        </w:rPr>
        <w:t>del</w:t>
      </w:r>
      <w:r>
        <w:rPr>
          <w:color w:val="231F20"/>
          <w:spacing w:val="19"/>
          <w:w w:val="110"/>
        </w:rPr>
        <w:t> </w:t>
      </w:r>
      <w:r>
        <w:rPr>
          <w:color w:val="231F20"/>
          <w:w w:val="110"/>
        </w:rPr>
        <w:t>gran</w:t>
      </w:r>
      <w:r>
        <w:rPr>
          <w:color w:val="231F20"/>
          <w:spacing w:val="19"/>
          <w:w w:val="110"/>
        </w:rPr>
        <w:t> </w:t>
      </w:r>
      <w:r>
        <w:rPr>
          <w:color w:val="231F20"/>
          <w:w w:val="110"/>
        </w:rPr>
        <w:t>capital</w:t>
      </w:r>
      <w:r>
        <w:rPr>
          <w:color w:val="231F20"/>
          <w:spacing w:val="19"/>
          <w:w w:val="110"/>
        </w:rPr>
        <w:t> </w:t>
      </w:r>
      <w:r>
        <w:rPr>
          <w:color w:val="231F20"/>
          <w:w w:val="110"/>
        </w:rPr>
        <w:t>dio</w:t>
      </w:r>
      <w:r>
        <w:rPr>
          <w:color w:val="231F20"/>
          <w:spacing w:val="19"/>
          <w:w w:val="110"/>
        </w:rPr>
        <w:t> </w:t>
      </w:r>
      <w:r>
        <w:rPr>
          <w:color w:val="231F20"/>
          <w:w w:val="110"/>
        </w:rPr>
        <w:t>origen</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idea</w:t>
      </w:r>
      <w:r>
        <w:rPr>
          <w:color w:val="231F20"/>
          <w:spacing w:val="19"/>
          <w:w w:val="110"/>
        </w:rPr>
        <w:t> </w:t>
      </w:r>
      <w:r>
        <w:rPr>
          <w:color w:val="231F20"/>
          <w:w w:val="110"/>
        </w:rPr>
        <w:t>del</w:t>
      </w:r>
      <w:r>
        <w:rPr>
          <w:color w:val="231F20"/>
          <w:spacing w:val="19"/>
          <w:w w:val="110"/>
        </w:rPr>
        <w:t> </w:t>
      </w:r>
      <w:r>
        <w:rPr>
          <w:color w:val="231F20"/>
          <w:w w:val="110"/>
        </w:rPr>
        <w:t>fracaso</w:t>
      </w:r>
      <w:r>
        <w:rPr>
          <w:color w:val="231F20"/>
          <w:w w:val="106"/>
        </w:rPr>
        <w:t> </w:t>
      </w:r>
      <w:r>
        <w:rPr>
          <w:color w:val="231F20"/>
          <w:w w:val="110"/>
        </w:rPr>
        <w:t>del socialismo y de la victoria total del capitalismo,</w:t>
      </w:r>
      <w:r>
        <w:rPr>
          <w:color w:val="231F20"/>
          <w:spacing w:val="43"/>
          <w:w w:val="110"/>
        </w:rPr>
        <w:t> </w:t>
      </w:r>
      <w:r>
        <w:rPr>
          <w:color w:val="231F20"/>
          <w:w w:val="110"/>
        </w:rPr>
        <w:t>pero</w:t>
      </w:r>
      <w:r>
        <w:rPr>
          <w:color w:val="231F20"/>
          <w:spacing w:val="4"/>
          <w:w w:val="110"/>
        </w:rPr>
        <w:t> </w:t>
      </w:r>
      <w:r>
        <w:rPr>
          <w:color w:val="231F20"/>
          <w:w w:val="110"/>
        </w:rPr>
        <w:t>cualquiera</w:t>
      </w:r>
      <w:r>
        <w:rPr>
          <w:color w:val="231F20"/>
          <w:w w:val="110"/>
        </w:rPr>
        <w:t> </w:t>
      </w:r>
      <w:r>
        <w:rPr>
          <w:color w:val="231F20"/>
          <w:w w:val="110"/>
        </w:rPr>
        <w:t>que examinara con cuidado los fundamentos teóricos y prácticos</w:t>
      </w:r>
      <w:r>
        <w:rPr>
          <w:color w:val="231F20"/>
          <w:spacing w:val="49"/>
          <w:w w:val="110"/>
        </w:rPr>
        <w:t> </w:t>
      </w:r>
      <w:r>
        <w:rPr>
          <w:color w:val="231F20"/>
          <w:w w:val="110"/>
        </w:rPr>
        <w:t>de</w:t>
      </w:r>
    </w:p>
    <w:p>
      <w:pPr>
        <w:pStyle w:val="BodyText"/>
      </w:pPr>
    </w:p>
    <w:p>
      <w:pPr>
        <w:pStyle w:val="BodyText"/>
      </w:pPr>
    </w:p>
    <w:p>
      <w:pPr>
        <w:pStyle w:val="BodyText"/>
      </w:pPr>
    </w:p>
    <w:p>
      <w:pPr>
        <w:pStyle w:val="BodyText"/>
        <w:spacing w:before="7"/>
        <w:rPr>
          <w:sz w:val="16"/>
        </w:rPr>
      </w:pPr>
    </w:p>
    <w:p>
      <w:pPr>
        <w:spacing w:line="261" w:lineRule="auto" w:before="1"/>
        <w:ind w:left="100" w:right="119" w:firstLine="240"/>
        <w:jc w:val="both"/>
        <w:rPr>
          <w:sz w:val="16"/>
        </w:rPr>
      </w:pPr>
      <w:r>
        <w:rPr>
          <w:color w:val="231F20"/>
          <w:w w:val="110"/>
          <w:position w:val="5"/>
          <w:sz w:val="10"/>
        </w:rPr>
        <w:t>6 </w:t>
      </w:r>
      <w:r>
        <w:rPr>
          <w:color w:val="231F20"/>
          <w:w w:val="110"/>
          <w:sz w:val="16"/>
        </w:rPr>
        <w:t>La influencia de la experiencia socialista soviética sobre las políticas públicas occidentales</w:t>
      </w:r>
      <w:r>
        <w:rPr>
          <w:color w:val="231F20"/>
          <w:spacing w:val="-4"/>
          <w:w w:val="110"/>
          <w:sz w:val="16"/>
        </w:rPr>
        <w:t> </w:t>
      </w:r>
      <w:r>
        <w:rPr>
          <w:color w:val="231F20"/>
          <w:w w:val="110"/>
          <w:sz w:val="16"/>
        </w:rPr>
        <w:t>empezó</w:t>
      </w:r>
      <w:r>
        <w:rPr>
          <w:color w:val="231F20"/>
          <w:spacing w:val="-4"/>
          <w:w w:val="110"/>
          <w:sz w:val="16"/>
        </w:rPr>
        <w:t> </w:t>
      </w:r>
      <w:r>
        <w:rPr>
          <w:color w:val="231F20"/>
          <w:w w:val="110"/>
          <w:sz w:val="16"/>
        </w:rPr>
        <w:t>en</w:t>
      </w:r>
      <w:r>
        <w:rPr>
          <w:color w:val="231F20"/>
          <w:spacing w:val="-4"/>
          <w:w w:val="110"/>
          <w:sz w:val="16"/>
        </w:rPr>
        <w:t> </w:t>
      </w:r>
      <w:r>
        <w:rPr>
          <w:color w:val="231F20"/>
          <w:w w:val="110"/>
          <w:sz w:val="16"/>
        </w:rPr>
        <w:t>los</w:t>
      </w:r>
      <w:r>
        <w:rPr>
          <w:color w:val="231F20"/>
          <w:spacing w:val="-4"/>
          <w:w w:val="110"/>
          <w:sz w:val="16"/>
        </w:rPr>
        <w:t> </w:t>
      </w:r>
      <w:r>
        <w:rPr>
          <w:color w:val="231F20"/>
          <w:w w:val="110"/>
          <w:sz w:val="16"/>
        </w:rPr>
        <w:t>años</w:t>
      </w:r>
      <w:r>
        <w:rPr>
          <w:color w:val="231F20"/>
          <w:spacing w:val="-4"/>
          <w:w w:val="110"/>
          <w:sz w:val="16"/>
        </w:rPr>
        <w:t> </w:t>
      </w:r>
      <w:r>
        <w:rPr>
          <w:color w:val="231F20"/>
          <w:w w:val="110"/>
          <w:sz w:val="16"/>
        </w:rPr>
        <w:t>treinta</w:t>
      </w:r>
      <w:r>
        <w:rPr>
          <w:color w:val="231F20"/>
          <w:spacing w:val="-4"/>
          <w:w w:val="110"/>
          <w:sz w:val="16"/>
        </w:rPr>
        <w:t> </w:t>
      </w:r>
      <w:r>
        <w:rPr>
          <w:color w:val="231F20"/>
          <w:w w:val="110"/>
          <w:sz w:val="16"/>
        </w:rPr>
        <w:t>cuando</w:t>
      </w:r>
      <w:r>
        <w:rPr>
          <w:color w:val="231F20"/>
          <w:spacing w:val="-4"/>
          <w:w w:val="110"/>
          <w:sz w:val="16"/>
        </w:rPr>
        <w:t> </w:t>
      </w:r>
      <w:r>
        <w:rPr>
          <w:color w:val="231F20"/>
          <w:w w:val="110"/>
          <w:sz w:val="16"/>
        </w:rPr>
        <w:t>la</w:t>
      </w:r>
      <w:r>
        <w:rPr>
          <w:color w:val="231F20"/>
          <w:spacing w:val="-4"/>
          <w:w w:val="110"/>
          <w:sz w:val="16"/>
        </w:rPr>
        <w:t> </w:t>
      </w:r>
      <w:r>
        <w:rPr>
          <w:color w:val="231F20"/>
          <w:w w:val="110"/>
          <w:sz w:val="16"/>
        </w:rPr>
        <w:t>URSS</w:t>
      </w:r>
      <w:r>
        <w:rPr>
          <w:color w:val="231F20"/>
          <w:spacing w:val="-4"/>
          <w:w w:val="110"/>
          <w:sz w:val="16"/>
        </w:rPr>
        <w:t> </w:t>
      </w:r>
      <w:r>
        <w:rPr>
          <w:color w:val="231F20"/>
          <w:w w:val="110"/>
          <w:sz w:val="16"/>
        </w:rPr>
        <w:t>creció</w:t>
      </w:r>
      <w:r>
        <w:rPr>
          <w:color w:val="231F20"/>
          <w:spacing w:val="-4"/>
          <w:w w:val="110"/>
          <w:sz w:val="16"/>
        </w:rPr>
        <w:t> </w:t>
      </w:r>
      <w:r>
        <w:rPr>
          <w:color w:val="231F20"/>
          <w:w w:val="110"/>
          <w:sz w:val="16"/>
        </w:rPr>
        <w:t>en</w:t>
      </w:r>
      <w:r>
        <w:rPr>
          <w:color w:val="231F20"/>
          <w:spacing w:val="-4"/>
          <w:w w:val="110"/>
          <w:sz w:val="16"/>
        </w:rPr>
        <w:t> </w:t>
      </w:r>
      <w:r>
        <w:rPr>
          <w:color w:val="231F20"/>
          <w:w w:val="110"/>
          <w:sz w:val="16"/>
        </w:rPr>
        <w:t>altos</w:t>
      </w:r>
      <w:r>
        <w:rPr>
          <w:color w:val="231F20"/>
          <w:spacing w:val="-4"/>
          <w:w w:val="110"/>
          <w:sz w:val="16"/>
        </w:rPr>
        <w:t> </w:t>
      </w:r>
      <w:r>
        <w:rPr>
          <w:color w:val="231F20"/>
          <w:w w:val="110"/>
          <w:sz w:val="16"/>
        </w:rPr>
        <w:t>índices</w:t>
      </w:r>
      <w:r>
        <w:rPr>
          <w:color w:val="231F20"/>
          <w:spacing w:val="-4"/>
          <w:w w:val="110"/>
          <w:sz w:val="16"/>
        </w:rPr>
        <w:t> </w:t>
      </w:r>
      <w:r>
        <w:rPr>
          <w:color w:val="231F20"/>
          <w:w w:val="110"/>
          <w:sz w:val="16"/>
        </w:rPr>
        <w:t>mien- tras el mundo capitalista estaba sumergido en la recesión generalizada y </w:t>
      </w:r>
      <w:r>
        <w:rPr>
          <w:color w:val="231F20"/>
          <w:spacing w:val="21"/>
          <w:w w:val="110"/>
          <w:sz w:val="16"/>
        </w:rPr>
        <w:t> </w:t>
      </w:r>
      <w:r>
        <w:rPr>
          <w:color w:val="231F20"/>
          <w:w w:val="110"/>
          <w:sz w:val="16"/>
        </w:rPr>
        <w:t>profunda.</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202"/>
        <w:rPr>
          <w:sz w:val="13"/>
        </w:rPr>
      </w:pPr>
      <w:r>
        <w:rPr>
          <w:color w:val="231F20"/>
          <w:w w:val="105"/>
        </w:rPr>
        <w:t>este programa podría demostrar su inevitable fracaso  como  yo  lo  hice tantas</w:t>
      </w:r>
      <w:r>
        <w:rPr>
          <w:color w:val="231F20"/>
          <w:spacing w:val="44"/>
          <w:w w:val="105"/>
        </w:rPr>
        <w:t> </w:t>
      </w:r>
      <w:r>
        <w:rPr>
          <w:color w:val="231F20"/>
          <w:w w:val="105"/>
        </w:rPr>
        <w:t>veces.</w:t>
      </w:r>
      <w:r>
        <w:rPr>
          <w:color w:val="231F20"/>
          <w:w w:val="105"/>
          <w:position w:val="6"/>
          <w:sz w:val="13"/>
        </w:rPr>
        <w:t>7</w:t>
      </w:r>
    </w:p>
    <w:p>
      <w:pPr>
        <w:pStyle w:val="BodyText"/>
        <w:spacing w:line="261" w:lineRule="auto"/>
        <w:ind w:left="100" w:right="117" w:firstLine="240"/>
        <w:jc w:val="both"/>
      </w:pPr>
      <w:r>
        <w:rPr>
          <w:color w:val="231F20"/>
          <w:w w:val="110"/>
        </w:rPr>
        <w:t>Era también evidente que el proceso de transición a una sociedad superior socialista tenía que abandonar la fórmula estalinista que lo presentaba, no como una modalidad de transición llena de</w:t>
      </w:r>
      <w:r>
        <w:rPr>
          <w:color w:val="231F20"/>
          <w:spacing w:val="-12"/>
          <w:w w:val="110"/>
        </w:rPr>
        <w:t> </w:t>
      </w:r>
      <w:r>
        <w:rPr>
          <w:color w:val="231F20"/>
          <w:w w:val="110"/>
        </w:rPr>
        <w:t>limitacio- nes,</w:t>
      </w:r>
      <w:r>
        <w:rPr>
          <w:color w:val="231F20"/>
          <w:spacing w:val="-5"/>
          <w:w w:val="110"/>
        </w:rPr>
        <w:t> </w:t>
      </w:r>
      <w:r>
        <w:rPr>
          <w:color w:val="231F20"/>
          <w:w w:val="110"/>
        </w:rPr>
        <w:t>sino</w:t>
      </w:r>
      <w:r>
        <w:rPr>
          <w:color w:val="231F20"/>
          <w:spacing w:val="-5"/>
          <w:w w:val="110"/>
        </w:rPr>
        <w:t> </w:t>
      </w:r>
      <w:r>
        <w:rPr>
          <w:color w:val="231F20"/>
          <w:w w:val="110"/>
        </w:rPr>
        <w:t>como</w:t>
      </w:r>
      <w:r>
        <w:rPr>
          <w:color w:val="231F20"/>
          <w:spacing w:val="-5"/>
          <w:w w:val="110"/>
        </w:rPr>
        <w:t> </w:t>
      </w:r>
      <w:r>
        <w:rPr>
          <w:color w:val="231F20"/>
          <w:w w:val="110"/>
        </w:rPr>
        <w:t>un</w:t>
      </w:r>
      <w:r>
        <w:rPr>
          <w:color w:val="231F20"/>
          <w:spacing w:val="-5"/>
          <w:w w:val="110"/>
        </w:rPr>
        <w:t> </w:t>
      </w:r>
      <w:r>
        <w:rPr>
          <w:color w:val="231F20"/>
          <w:w w:val="110"/>
        </w:rPr>
        <w:t>modelo</w:t>
      </w:r>
      <w:r>
        <w:rPr>
          <w:color w:val="231F20"/>
          <w:spacing w:val="-5"/>
          <w:w w:val="110"/>
        </w:rPr>
        <w:t> </w:t>
      </w:r>
      <w:r>
        <w:rPr>
          <w:color w:val="231F20"/>
          <w:w w:val="110"/>
        </w:rPr>
        <w:t>a</w:t>
      </w:r>
      <w:r>
        <w:rPr>
          <w:color w:val="231F20"/>
          <w:spacing w:val="-5"/>
          <w:w w:val="110"/>
        </w:rPr>
        <w:t> </w:t>
      </w:r>
      <w:r>
        <w:rPr>
          <w:color w:val="231F20"/>
          <w:w w:val="110"/>
        </w:rPr>
        <w:t>seguir</w:t>
      </w:r>
      <w:r>
        <w:rPr>
          <w:color w:val="231F20"/>
          <w:spacing w:val="-5"/>
          <w:w w:val="110"/>
        </w:rPr>
        <w:t> </w:t>
      </w:r>
      <w:r>
        <w:rPr>
          <w:color w:val="231F20"/>
          <w:w w:val="110"/>
        </w:rPr>
        <w:t>por</w:t>
      </w:r>
      <w:r>
        <w:rPr>
          <w:color w:val="231F20"/>
          <w:spacing w:val="-5"/>
          <w:w w:val="110"/>
        </w:rPr>
        <w:t> </w:t>
      </w:r>
      <w:r>
        <w:rPr>
          <w:color w:val="231F20"/>
          <w:w w:val="110"/>
        </w:rPr>
        <w:t>toda</w:t>
      </w:r>
      <w:r>
        <w:rPr>
          <w:color w:val="231F20"/>
          <w:spacing w:val="-5"/>
          <w:w w:val="110"/>
        </w:rPr>
        <w:t> </w:t>
      </w:r>
      <w:r>
        <w:rPr>
          <w:color w:val="231F20"/>
          <w:w w:val="110"/>
        </w:rPr>
        <w:t>la</w:t>
      </w:r>
      <w:r>
        <w:rPr>
          <w:color w:val="231F20"/>
          <w:spacing w:val="-5"/>
          <w:w w:val="110"/>
        </w:rPr>
        <w:t> </w:t>
      </w:r>
      <w:r>
        <w:rPr>
          <w:color w:val="231F20"/>
          <w:w w:val="110"/>
        </w:rPr>
        <w:t>humanidad.</w:t>
      </w:r>
      <w:r>
        <w:rPr>
          <w:color w:val="231F20"/>
          <w:spacing w:val="-5"/>
          <w:w w:val="110"/>
        </w:rPr>
        <w:t> </w:t>
      </w:r>
      <w:r>
        <w:rPr>
          <w:color w:val="231F20"/>
          <w:w w:val="110"/>
        </w:rPr>
        <w:t>El</w:t>
      </w:r>
      <w:r>
        <w:rPr>
          <w:color w:val="231F20"/>
          <w:spacing w:val="-5"/>
          <w:w w:val="110"/>
        </w:rPr>
        <w:t> </w:t>
      </w:r>
      <w:r>
        <w:rPr>
          <w:color w:val="231F20"/>
          <w:w w:val="110"/>
        </w:rPr>
        <w:t>intento de preservar las estructuras de estratificación social creadas en el periodo de acumulación primitiva y reforzadas por las dificultades de las dos guerras mundiales y por la guerra civil en defensa de la revolución, y aún más deformado por las exigencias y los costos ab- surdos de la segunda guerra mundial y de la guerra fría, tendría que abrir</w:t>
      </w:r>
      <w:r>
        <w:rPr>
          <w:color w:val="231F20"/>
          <w:spacing w:val="-13"/>
          <w:w w:val="110"/>
        </w:rPr>
        <w:t> </w:t>
      </w:r>
      <w:r>
        <w:rPr>
          <w:color w:val="231F20"/>
          <w:w w:val="110"/>
        </w:rPr>
        <w:t>camino</w:t>
      </w:r>
      <w:r>
        <w:rPr>
          <w:color w:val="231F20"/>
          <w:spacing w:val="-13"/>
          <w:w w:val="110"/>
        </w:rPr>
        <w:t> </w:t>
      </w:r>
      <w:r>
        <w:rPr>
          <w:color w:val="231F20"/>
          <w:w w:val="110"/>
        </w:rPr>
        <w:t>a</w:t>
      </w:r>
      <w:r>
        <w:rPr>
          <w:color w:val="231F20"/>
          <w:spacing w:val="-13"/>
          <w:w w:val="110"/>
        </w:rPr>
        <w:t> </w:t>
      </w:r>
      <w:r>
        <w:rPr>
          <w:color w:val="231F20"/>
          <w:w w:val="110"/>
        </w:rPr>
        <w:t>una</w:t>
      </w:r>
      <w:r>
        <w:rPr>
          <w:color w:val="231F20"/>
          <w:spacing w:val="-13"/>
          <w:w w:val="110"/>
        </w:rPr>
        <w:t> </w:t>
      </w:r>
      <w:r>
        <w:rPr>
          <w:color w:val="231F20"/>
          <w:w w:val="110"/>
        </w:rPr>
        <w:t>nueva</w:t>
      </w:r>
      <w:r>
        <w:rPr>
          <w:color w:val="231F20"/>
          <w:spacing w:val="-13"/>
          <w:w w:val="110"/>
        </w:rPr>
        <w:t> </w:t>
      </w:r>
      <w:r>
        <w:rPr>
          <w:color w:val="231F20"/>
          <w:w w:val="110"/>
        </w:rPr>
        <w:t>modalidad</w:t>
      </w:r>
      <w:r>
        <w:rPr>
          <w:color w:val="231F20"/>
          <w:spacing w:val="-13"/>
          <w:w w:val="110"/>
        </w:rPr>
        <w:t> </w:t>
      </w:r>
      <w:r>
        <w:rPr>
          <w:color w:val="231F20"/>
          <w:w w:val="110"/>
        </w:rPr>
        <w:t>de</w:t>
      </w:r>
      <w:r>
        <w:rPr>
          <w:color w:val="231F20"/>
          <w:spacing w:val="-13"/>
          <w:w w:val="110"/>
        </w:rPr>
        <w:t> </w:t>
      </w:r>
      <w:r>
        <w:rPr>
          <w:color w:val="231F20"/>
          <w:w w:val="110"/>
        </w:rPr>
        <w:t>transición</w:t>
      </w:r>
      <w:r>
        <w:rPr>
          <w:color w:val="231F20"/>
          <w:spacing w:val="-13"/>
          <w:w w:val="110"/>
        </w:rPr>
        <w:t> </w:t>
      </w:r>
      <w:r>
        <w:rPr>
          <w:color w:val="231F20"/>
          <w:w w:val="110"/>
        </w:rPr>
        <w:t>hacia</w:t>
      </w:r>
      <w:r>
        <w:rPr>
          <w:color w:val="231F20"/>
          <w:spacing w:val="-13"/>
          <w:w w:val="110"/>
        </w:rPr>
        <w:t> </w:t>
      </w:r>
      <w:r>
        <w:rPr>
          <w:color w:val="231F20"/>
          <w:w w:val="110"/>
        </w:rPr>
        <w:t>el</w:t>
      </w:r>
      <w:r>
        <w:rPr>
          <w:color w:val="231F20"/>
          <w:spacing w:val="-13"/>
          <w:w w:val="110"/>
        </w:rPr>
        <w:t> </w:t>
      </w:r>
      <w:r>
        <w:rPr>
          <w:color w:val="231F20"/>
          <w:w w:val="110"/>
        </w:rPr>
        <w:t>socialismo que quedó profundamente sacrificada por las aventuras económicas impuestas por los neoliberales en estos</w:t>
      </w:r>
      <w:r>
        <w:rPr>
          <w:color w:val="231F20"/>
          <w:spacing w:val="6"/>
          <w:w w:val="110"/>
        </w:rPr>
        <w:t> </w:t>
      </w:r>
      <w:r>
        <w:rPr>
          <w:color w:val="231F20"/>
          <w:w w:val="110"/>
        </w:rPr>
        <w:t>países.</w:t>
      </w:r>
    </w:p>
    <w:p>
      <w:pPr>
        <w:pStyle w:val="BodyText"/>
        <w:spacing w:line="261" w:lineRule="auto"/>
        <w:ind w:left="100" w:right="117" w:firstLine="240"/>
        <w:jc w:val="both"/>
      </w:pPr>
      <w:r>
        <w:rPr>
          <w:color w:val="231F20"/>
          <w:w w:val="105"/>
        </w:rPr>
        <w:t>La extensión en el tiempo, de una etapa de hegemonía ideológica   de un sistema económico, social y político en crisis, elevó a un gra-    do extremamente agudo su inseguridad. Si a través de dos guerras mundiales y de la experiencia totalitaria del nazismo el capitalismo había destruido brutalmente gran parte de la población del planeta,   con el avance revolucionario de las fuerzas productivas a través de      la revolución científico-tecnológica iniciada en el decenio de los cuarenta, esta amenaza gana dimensiones colosales. La amenaza del holocausto </w:t>
      </w:r>
      <w:r>
        <w:rPr>
          <w:color w:val="231F20"/>
          <w:spacing w:val="-3"/>
          <w:w w:val="105"/>
        </w:rPr>
        <w:t>nuclear,  </w:t>
      </w:r>
      <w:r>
        <w:rPr>
          <w:color w:val="231F20"/>
          <w:w w:val="105"/>
        </w:rPr>
        <w:t>controlado precariamente a través de la creación  de un grupo de potencias nucleares,  se  expande  al  mismo  tiempo que la capacidad destructiva del medio ambiente asume el carácter     de una amenaza de autodestrucción  del  planeta  Tierra.  El  mundo  del mercado y de la propiedad privada se convierte en una amenaza      a la sobrevivencia de la  </w:t>
      </w:r>
      <w:r>
        <w:rPr>
          <w:color w:val="231F20"/>
          <w:spacing w:val="51"/>
          <w:w w:val="105"/>
        </w:rPr>
        <w:t> </w:t>
      </w:r>
      <w:r>
        <w:rPr>
          <w:color w:val="231F20"/>
          <w:w w:val="105"/>
        </w:rPr>
        <w:t>humanidad.</w:t>
      </w:r>
    </w:p>
    <w:p>
      <w:pPr>
        <w:pStyle w:val="BodyText"/>
        <w:spacing w:line="261" w:lineRule="auto"/>
        <w:ind w:left="100" w:right="117" w:firstLine="240"/>
        <w:jc w:val="both"/>
      </w:pPr>
      <w:r>
        <w:rPr>
          <w:color w:val="231F20"/>
          <w:w w:val="110"/>
        </w:rPr>
        <w:t>A pesar de las victorias parciales que lograron impedir una nueva guerra mundial, este cuadro reaccionario logró impedir la percep- 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extensión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crisis</w:t>
      </w:r>
      <w:r>
        <w:rPr>
          <w:color w:val="231F20"/>
          <w:spacing w:val="-8"/>
          <w:w w:val="110"/>
        </w:rPr>
        <w:t> </w:t>
      </w:r>
      <w:r>
        <w:rPr>
          <w:color w:val="231F20"/>
          <w:w w:val="110"/>
        </w:rPr>
        <w:t>estructural</w:t>
      </w:r>
      <w:r>
        <w:rPr>
          <w:color w:val="231F20"/>
          <w:spacing w:val="-8"/>
          <w:w w:val="110"/>
        </w:rPr>
        <w:t> </w:t>
      </w:r>
      <w:r>
        <w:rPr>
          <w:color w:val="231F20"/>
          <w:w w:val="110"/>
        </w:rPr>
        <w:t>del</w:t>
      </w:r>
      <w:r>
        <w:rPr>
          <w:color w:val="231F20"/>
          <w:spacing w:val="-8"/>
          <w:w w:val="110"/>
        </w:rPr>
        <w:t> </w:t>
      </w:r>
      <w:r>
        <w:rPr>
          <w:color w:val="231F20"/>
          <w:w w:val="110"/>
        </w:rPr>
        <w:t>capitalismo</w:t>
      </w:r>
      <w:r>
        <w:rPr>
          <w:color w:val="231F20"/>
          <w:spacing w:val="-8"/>
          <w:w w:val="110"/>
        </w:rPr>
        <w:t> </w:t>
      </w:r>
      <w:r>
        <w:rPr>
          <w:color w:val="231F20"/>
          <w:w w:val="110"/>
        </w:rPr>
        <w:t>a</w:t>
      </w:r>
      <w:r>
        <w:rPr>
          <w:color w:val="231F20"/>
          <w:spacing w:val="-8"/>
          <w:w w:val="110"/>
        </w:rPr>
        <w:t> </w:t>
      </w:r>
      <w:r>
        <w:rPr>
          <w:color w:val="231F20"/>
          <w:w w:val="110"/>
        </w:rPr>
        <w:t>muchos, desgraciadamente la mayoría, de los científicos sociales. Aquí debo hacer una reivindicación personal. Siguiendo una línea de pensa- miento</w:t>
      </w:r>
      <w:r>
        <w:rPr>
          <w:color w:val="231F20"/>
          <w:spacing w:val="-5"/>
          <w:w w:val="110"/>
        </w:rPr>
        <w:t> </w:t>
      </w:r>
      <w:r>
        <w:rPr>
          <w:color w:val="231F20"/>
          <w:w w:val="110"/>
        </w:rPr>
        <w:t>y</w:t>
      </w:r>
      <w:r>
        <w:rPr>
          <w:color w:val="231F20"/>
          <w:spacing w:val="-5"/>
          <w:w w:val="110"/>
        </w:rPr>
        <w:t> </w:t>
      </w:r>
      <w:r>
        <w:rPr>
          <w:color w:val="231F20"/>
          <w:w w:val="110"/>
        </w:rPr>
        <w:t>apoyada</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relectura</w:t>
      </w:r>
      <w:r>
        <w:rPr>
          <w:color w:val="231F20"/>
          <w:spacing w:val="-5"/>
          <w:w w:val="110"/>
        </w:rPr>
        <w:t> </w:t>
      </w:r>
      <w:r>
        <w:rPr>
          <w:color w:val="231F20"/>
          <w:w w:val="110"/>
        </w:rPr>
        <w:t>sistemática</w:t>
      </w:r>
      <w:r>
        <w:rPr>
          <w:color w:val="231F20"/>
          <w:spacing w:val="-5"/>
          <w:w w:val="110"/>
        </w:rPr>
        <w:t> </w:t>
      </w:r>
      <w:r>
        <w:rPr>
          <w:color w:val="231F20"/>
          <w:w w:val="110"/>
        </w:rPr>
        <w:t>y</w:t>
      </w:r>
      <w:r>
        <w:rPr>
          <w:color w:val="231F20"/>
          <w:spacing w:val="-5"/>
          <w:w w:val="110"/>
        </w:rPr>
        <w:t> </w:t>
      </w:r>
      <w:r>
        <w:rPr>
          <w:color w:val="231F20"/>
          <w:w w:val="110"/>
        </w:rPr>
        <w:t>crítica</w:t>
      </w:r>
      <w:r>
        <w:rPr>
          <w:color w:val="231F20"/>
          <w:spacing w:val="-5"/>
          <w:w w:val="110"/>
        </w:rPr>
        <w:t> </w:t>
      </w:r>
      <w:r>
        <w:rPr>
          <w:color w:val="231F20"/>
          <w:w w:val="110"/>
        </w:rPr>
        <w:t>de</w:t>
      </w:r>
      <w:r>
        <w:rPr>
          <w:color w:val="231F20"/>
          <w:spacing w:val="-5"/>
          <w:w w:val="110"/>
        </w:rPr>
        <w:t> </w:t>
      </w:r>
      <w:r>
        <w:rPr>
          <w:color w:val="231F20"/>
          <w:w w:val="110"/>
        </w:rPr>
        <w:t>Marx</w:t>
      </w:r>
      <w:r>
        <w:rPr>
          <w:color w:val="231F20"/>
          <w:spacing w:val="-5"/>
          <w:w w:val="110"/>
        </w:rPr>
        <w:t> </w:t>
      </w:r>
      <w:r>
        <w:rPr>
          <w:color w:val="231F20"/>
          <w:w w:val="110"/>
        </w:rPr>
        <w:t>y</w:t>
      </w:r>
      <w:r>
        <w:rPr>
          <w:color w:val="231F20"/>
          <w:spacing w:val="-5"/>
          <w:w w:val="110"/>
        </w:rPr>
        <w:t> </w:t>
      </w:r>
      <w:r>
        <w:rPr>
          <w:color w:val="231F20"/>
          <w:w w:val="110"/>
        </w:rPr>
        <w:t>de</w:t>
      </w:r>
    </w:p>
    <w:p>
      <w:pPr>
        <w:pStyle w:val="BodyText"/>
      </w:pPr>
    </w:p>
    <w:p>
      <w:pPr>
        <w:pStyle w:val="BodyText"/>
        <w:spacing w:before="6"/>
        <w:rPr>
          <w:sz w:val="17"/>
        </w:rPr>
      </w:pPr>
    </w:p>
    <w:p>
      <w:pPr>
        <w:spacing w:line="261" w:lineRule="auto" w:before="0"/>
        <w:ind w:left="100" w:right="117" w:firstLine="240"/>
        <w:jc w:val="both"/>
        <w:rPr>
          <w:sz w:val="16"/>
        </w:rPr>
      </w:pPr>
      <w:r>
        <w:rPr>
          <w:color w:val="231F20"/>
          <w:w w:val="105"/>
          <w:position w:val="5"/>
          <w:sz w:val="10"/>
        </w:rPr>
        <w:t>7 </w:t>
      </w:r>
      <w:r>
        <w:rPr>
          <w:color w:val="231F20"/>
          <w:w w:val="105"/>
          <w:sz w:val="16"/>
        </w:rPr>
        <w:t>Véanse los varios artículos que he escrito sobre las falacias del neoliberalismo y la síntesis</w:t>
      </w:r>
      <w:r>
        <w:rPr>
          <w:color w:val="231F20"/>
          <w:spacing w:val="-12"/>
          <w:w w:val="105"/>
          <w:sz w:val="16"/>
        </w:rPr>
        <w:t> </w:t>
      </w:r>
      <w:r>
        <w:rPr>
          <w:color w:val="231F20"/>
          <w:w w:val="105"/>
          <w:sz w:val="16"/>
        </w:rPr>
        <w:t>final</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se</w:t>
      </w:r>
      <w:r>
        <w:rPr>
          <w:color w:val="231F20"/>
          <w:spacing w:val="-12"/>
          <w:w w:val="105"/>
          <w:sz w:val="16"/>
        </w:rPr>
        <w:t> </w:t>
      </w:r>
      <w:r>
        <w:rPr>
          <w:color w:val="231F20"/>
          <w:w w:val="105"/>
          <w:sz w:val="16"/>
        </w:rPr>
        <w:t>encuentra</w:t>
      </w:r>
      <w:r>
        <w:rPr>
          <w:color w:val="231F20"/>
          <w:spacing w:val="-12"/>
          <w:w w:val="105"/>
          <w:sz w:val="16"/>
        </w:rPr>
        <w:t> </w:t>
      </w:r>
      <w:r>
        <w:rPr>
          <w:color w:val="231F20"/>
          <w:w w:val="105"/>
          <w:sz w:val="16"/>
        </w:rPr>
        <w:t>en</w:t>
      </w:r>
      <w:r>
        <w:rPr>
          <w:color w:val="231F20"/>
          <w:spacing w:val="-12"/>
          <w:w w:val="105"/>
          <w:sz w:val="16"/>
        </w:rPr>
        <w:t> </w:t>
      </w:r>
      <w:r>
        <w:rPr>
          <w:color w:val="231F20"/>
          <w:w w:val="105"/>
          <w:sz w:val="16"/>
        </w:rPr>
        <w:t>mi</w:t>
      </w:r>
      <w:r>
        <w:rPr>
          <w:color w:val="231F20"/>
          <w:spacing w:val="-12"/>
          <w:w w:val="105"/>
          <w:sz w:val="16"/>
        </w:rPr>
        <w:t> </w:t>
      </w:r>
      <w:r>
        <w:rPr>
          <w:color w:val="231F20"/>
          <w:w w:val="105"/>
          <w:sz w:val="16"/>
        </w:rPr>
        <w:t>libro:</w:t>
      </w:r>
      <w:r>
        <w:rPr>
          <w:color w:val="231F20"/>
          <w:spacing w:val="-12"/>
          <w:w w:val="105"/>
          <w:sz w:val="16"/>
        </w:rPr>
        <w:t> </w:t>
      </w:r>
      <w:r>
        <w:rPr>
          <w:i/>
          <w:color w:val="231F20"/>
          <w:w w:val="105"/>
          <w:sz w:val="16"/>
        </w:rPr>
        <w:t>Del</w:t>
      </w:r>
      <w:r>
        <w:rPr>
          <w:i/>
          <w:color w:val="231F20"/>
          <w:spacing w:val="-12"/>
          <w:w w:val="105"/>
          <w:sz w:val="16"/>
        </w:rPr>
        <w:t> </w:t>
      </w:r>
      <w:r>
        <w:rPr>
          <w:i/>
          <w:color w:val="231F20"/>
          <w:w w:val="105"/>
          <w:sz w:val="16"/>
        </w:rPr>
        <w:t>terror</w:t>
      </w:r>
      <w:r>
        <w:rPr>
          <w:i/>
          <w:color w:val="231F20"/>
          <w:spacing w:val="-12"/>
          <w:w w:val="105"/>
          <w:sz w:val="16"/>
        </w:rPr>
        <w:t> </w:t>
      </w:r>
      <w:r>
        <w:rPr>
          <w:i/>
          <w:color w:val="231F20"/>
          <w:w w:val="105"/>
          <w:sz w:val="16"/>
        </w:rPr>
        <w:t>a</w:t>
      </w:r>
      <w:r>
        <w:rPr>
          <w:i/>
          <w:color w:val="231F20"/>
          <w:spacing w:val="-12"/>
          <w:w w:val="105"/>
          <w:sz w:val="16"/>
        </w:rPr>
        <w:t> </w:t>
      </w:r>
      <w:r>
        <w:rPr>
          <w:i/>
          <w:color w:val="231F20"/>
          <w:w w:val="105"/>
          <w:sz w:val="16"/>
        </w:rPr>
        <w:t>la</w:t>
      </w:r>
      <w:r>
        <w:rPr>
          <w:i/>
          <w:color w:val="231F20"/>
          <w:spacing w:val="-12"/>
          <w:w w:val="105"/>
          <w:sz w:val="16"/>
        </w:rPr>
        <w:t> </w:t>
      </w:r>
      <w:r>
        <w:rPr>
          <w:i/>
          <w:color w:val="231F20"/>
          <w:w w:val="105"/>
          <w:sz w:val="16"/>
        </w:rPr>
        <w:t>esperanza.</w:t>
      </w:r>
      <w:r>
        <w:rPr>
          <w:i/>
          <w:color w:val="231F20"/>
          <w:spacing w:val="-12"/>
          <w:w w:val="105"/>
          <w:sz w:val="16"/>
        </w:rPr>
        <w:t> </w:t>
      </w:r>
      <w:r>
        <w:rPr>
          <w:i/>
          <w:color w:val="231F20"/>
          <w:w w:val="105"/>
          <w:sz w:val="16"/>
        </w:rPr>
        <w:t>Auge</w:t>
      </w:r>
      <w:r>
        <w:rPr>
          <w:i/>
          <w:color w:val="231F20"/>
          <w:spacing w:val="-12"/>
          <w:w w:val="105"/>
          <w:sz w:val="16"/>
        </w:rPr>
        <w:t> </w:t>
      </w:r>
      <w:r>
        <w:rPr>
          <w:i/>
          <w:color w:val="231F20"/>
          <w:w w:val="105"/>
          <w:sz w:val="16"/>
        </w:rPr>
        <w:t>y</w:t>
      </w:r>
      <w:r>
        <w:rPr>
          <w:i/>
          <w:color w:val="231F20"/>
          <w:spacing w:val="-12"/>
          <w:w w:val="105"/>
          <w:sz w:val="16"/>
        </w:rPr>
        <w:t> </w:t>
      </w:r>
      <w:r>
        <w:rPr>
          <w:i/>
          <w:color w:val="231F20"/>
          <w:w w:val="105"/>
          <w:sz w:val="16"/>
        </w:rPr>
        <w:t>decadencia</w:t>
      </w:r>
      <w:r>
        <w:rPr>
          <w:i/>
          <w:color w:val="231F20"/>
          <w:spacing w:val="-12"/>
          <w:w w:val="105"/>
          <w:sz w:val="16"/>
        </w:rPr>
        <w:t> </w:t>
      </w:r>
      <w:r>
        <w:rPr>
          <w:i/>
          <w:color w:val="231F20"/>
          <w:w w:val="105"/>
          <w:sz w:val="16"/>
        </w:rPr>
        <w:t>del </w:t>
      </w:r>
      <w:r>
        <w:rPr>
          <w:i/>
          <w:color w:val="231F20"/>
          <w:w w:val="105"/>
          <w:sz w:val="16"/>
        </w:rPr>
        <w:t>neoliberalismo</w:t>
      </w:r>
      <w:r>
        <w:rPr>
          <w:color w:val="231F20"/>
          <w:w w:val="105"/>
          <w:sz w:val="16"/>
        </w:rPr>
        <w:t>, Monte Ávila, Caracas, 2007. La edición original en portugués se publicó en 2004 por Idéias &amp; Letras,  </w:t>
      </w:r>
      <w:r>
        <w:rPr>
          <w:color w:val="231F20"/>
          <w:spacing w:val="34"/>
          <w:w w:val="105"/>
          <w:sz w:val="16"/>
        </w:rPr>
        <w:t> </w:t>
      </w:r>
      <w:r>
        <w:rPr>
          <w:color w:val="231F20"/>
          <w:w w:val="105"/>
          <w:sz w:val="16"/>
        </w:rPr>
        <w:t>Aparecida.</w:t>
      </w:r>
    </w:p>
    <w:p>
      <w:pPr>
        <w:spacing w:after="0" w:line="261" w:lineRule="auto"/>
        <w:jc w:val="both"/>
        <w:rPr>
          <w:sz w:val="16"/>
        </w:rPr>
        <w:sectPr>
          <w:headerReference w:type="even" r:id="rId62"/>
          <w:headerReference w:type="default" r:id="rId63"/>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la tradición de pensamiento marxista, sin ignorar la contribución de economistas no marxistas como Kondratiev, Keynes, Schumpeter y tantos otros, particularmente la contribución de la teoría crítica del desarrollo de la cepal y de los autores llamados tercermundistas, sin dejar de afirmar y dar continuidad a nuestras conquistas teóricas de la teoría de la dependencia, sobre todo en su versión marxista, y sin dejar de rescatar el pensamiento nacional democrático de los líderes de la revolución democrática latinoamericana, pudimos mantener una elaboración teórica y analítica que resistió a la ofensiva</w:t>
      </w:r>
      <w:r>
        <w:rPr>
          <w:color w:val="231F20"/>
          <w:spacing w:val="-23"/>
          <w:w w:val="110"/>
        </w:rPr>
        <w:t> </w:t>
      </w:r>
      <w:r>
        <w:rPr>
          <w:color w:val="231F20"/>
          <w:w w:val="110"/>
        </w:rPr>
        <w:t>neolibe- ral y que se ligó a la línea de pensamiento iniciada por Immanuel Wallerstein en torno de un campo de análisis apoyado en el poder heurístico del concepto de sistema mundial. Debemos resaltar tam- bién una pléyade de autores marxistas y no marxistas que han de- mostrado el vínculo profundo de la crisis del capital con la amenaza de sobrevivencia de la humanidad y del planeta  Tierra.</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30"/>
        </w:rPr>
        <w:t>la</w:t>
      </w:r>
      <w:r>
        <w:rPr>
          <w:color w:val="231F20"/>
          <w:spacing w:val="-24"/>
          <w:w w:val="130"/>
        </w:rPr>
        <w:t> </w:t>
      </w:r>
      <w:r>
        <w:rPr>
          <w:color w:val="231F20"/>
          <w:w w:val="130"/>
        </w:rPr>
        <w:t>trilogía</w:t>
      </w:r>
      <w:r>
        <w:rPr>
          <w:color w:val="231F20"/>
          <w:spacing w:val="-24"/>
          <w:w w:val="130"/>
        </w:rPr>
        <w:t> </w:t>
      </w:r>
      <w:r>
        <w:rPr>
          <w:color w:val="231F20"/>
          <w:w w:val="130"/>
        </w:rPr>
        <w:t>sobre</w:t>
      </w:r>
      <w:r>
        <w:rPr>
          <w:color w:val="231F20"/>
          <w:spacing w:val="-24"/>
          <w:w w:val="130"/>
        </w:rPr>
        <w:t> </w:t>
      </w:r>
      <w:r>
        <w:rPr>
          <w:color w:val="231F20"/>
          <w:w w:val="130"/>
        </w:rPr>
        <w:t>el</w:t>
      </w:r>
      <w:r>
        <w:rPr>
          <w:color w:val="231F20"/>
          <w:spacing w:val="-24"/>
          <w:w w:val="130"/>
        </w:rPr>
        <w:t> </w:t>
      </w:r>
      <w:r>
        <w:rPr>
          <w:color w:val="231F20"/>
          <w:w w:val="130"/>
        </w:rPr>
        <w:t>capitalismo</w:t>
      </w:r>
      <w:r>
        <w:rPr>
          <w:color w:val="231F20"/>
          <w:spacing w:val="-24"/>
          <w:w w:val="130"/>
        </w:rPr>
        <w:t> </w:t>
      </w:r>
      <w:r>
        <w:rPr>
          <w:color w:val="231F20"/>
          <w:w w:val="130"/>
        </w:rPr>
        <w:t>contemporaneo, </w:t>
      </w:r>
      <w:r>
        <w:rPr>
          <w:color w:val="231F20"/>
          <w:w w:val="135"/>
        </w:rPr>
        <w:t>la</w:t>
      </w:r>
      <w:r>
        <w:rPr>
          <w:color w:val="231F20"/>
          <w:spacing w:val="-13"/>
          <w:w w:val="135"/>
        </w:rPr>
        <w:t> </w:t>
      </w:r>
      <w:r>
        <w:rPr>
          <w:color w:val="231F20"/>
          <w:w w:val="135"/>
        </w:rPr>
        <w:t>crisis</w:t>
      </w:r>
      <w:r>
        <w:rPr>
          <w:color w:val="231F20"/>
          <w:spacing w:val="-13"/>
          <w:w w:val="135"/>
        </w:rPr>
        <w:t> </w:t>
      </w:r>
      <w:r>
        <w:rPr>
          <w:color w:val="231F20"/>
          <w:w w:val="135"/>
        </w:rPr>
        <w:t>y</w:t>
      </w:r>
      <w:r>
        <w:rPr>
          <w:color w:val="231F20"/>
          <w:spacing w:val="-13"/>
          <w:w w:val="135"/>
        </w:rPr>
        <w:t> </w:t>
      </w:r>
      <w:r>
        <w:rPr>
          <w:color w:val="231F20"/>
          <w:w w:val="135"/>
        </w:rPr>
        <w:t>la</w:t>
      </w:r>
      <w:r>
        <w:rPr>
          <w:color w:val="231F20"/>
          <w:spacing w:val="-13"/>
          <w:w w:val="135"/>
        </w:rPr>
        <w:t> </w:t>
      </w:r>
      <w:r>
        <w:rPr>
          <w:color w:val="231F20"/>
          <w:w w:val="135"/>
        </w:rPr>
        <w:t>teoría</w:t>
      </w:r>
      <w:r>
        <w:rPr>
          <w:color w:val="231F20"/>
          <w:spacing w:val="-13"/>
          <w:w w:val="135"/>
        </w:rPr>
        <w:t> </w:t>
      </w:r>
      <w:r>
        <w:rPr>
          <w:color w:val="231F20"/>
          <w:w w:val="135"/>
        </w:rPr>
        <w:t>social</w:t>
      </w:r>
    </w:p>
    <w:p>
      <w:pPr>
        <w:pStyle w:val="BodyText"/>
        <w:spacing w:before="8"/>
        <w:rPr>
          <w:sz w:val="21"/>
        </w:rPr>
      </w:pPr>
    </w:p>
    <w:p>
      <w:pPr>
        <w:pStyle w:val="BodyText"/>
        <w:spacing w:line="261" w:lineRule="auto"/>
        <w:ind w:left="100" w:right="117"/>
        <w:jc w:val="both"/>
      </w:pPr>
      <w:r>
        <w:rPr>
          <w:color w:val="231F20"/>
          <w:w w:val="105"/>
        </w:rPr>
        <w:t>En los últimos 10 años me he dedicado a sistematizar los conocimien- tos que el pensamiento crítico pudo organizar sobre esta problemá-  tica, trabajo que se expresó en la trilogía que publiqué sobre las ciencias sociales y el mundo contemporáneo. En primer </w:t>
      </w:r>
      <w:r>
        <w:rPr>
          <w:color w:val="231F20"/>
          <w:spacing w:val="-3"/>
          <w:w w:val="105"/>
        </w:rPr>
        <w:t>lugar, </w:t>
      </w:r>
      <w:r>
        <w:rPr>
          <w:color w:val="231F20"/>
          <w:w w:val="105"/>
        </w:rPr>
        <w:t>publi- qué</w:t>
      </w:r>
      <w:r>
        <w:rPr>
          <w:color w:val="231F20"/>
          <w:spacing w:val="-22"/>
          <w:w w:val="105"/>
        </w:rPr>
        <w:t> </w:t>
      </w:r>
      <w:r>
        <w:rPr>
          <w:color w:val="231F20"/>
          <w:w w:val="105"/>
        </w:rPr>
        <w:t>el</w:t>
      </w:r>
      <w:r>
        <w:rPr>
          <w:color w:val="231F20"/>
          <w:spacing w:val="-22"/>
          <w:w w:val="105"/>
        </w:rPr>
        <w:t> </w:t>
      </w:r>
      <w:r>
        <w:rPr>
          <w:color w:val="231F20"/>
          <w:w w:val="105"/>
        </w:rPr>
        <w:t>libro</w:t>
      </w:r>
      <w:r>
        <w:rPr>
          <w:color w:val="231F20"/>
          <w:spacing w:val="-22"/>
          <w:w w:val="105"/>
        </w:rPr>
        <w:t> </w:t>
      </w:r>
      <w:r>
        <w:rPr>
          <w:color w:val="231F20"/>
          <w:w w:val="105"/>
        </w:rPr>
        <w:t>sobre</w:t>
      </w:r>
      <w:r>
        <w:rPr>
          <w:color w:val="231F20"/>
          <w:spacing w:val="-22"/>
          <w:w w:val="105"/>
        </w:rPr>
        <w:t> </w:t>
      </w:r>
      <w:r>
        <w:rPr>
          <w:i/>
          <w:color w:val="231F20"/>
          <w:w w:val="105"/>
        </w:rPr>
        <w:t>La</w:t>
      </w:r>
      <w:r>
        <w:rPr>
          <w:i/>
          <w:color w:val="231F20"/>
          <w:spacing w:val="-22"/>
          <w:w w:val="105"/>
        </w:rPr>
        <w:t> </w:t>
      </w:r>
      <w:r>
        <w:rPr>
          <w:i/>
          <w:color w:val="231F20"/>
          <w:w w:val="105"/>
        </w:rPr>
        <w:t>teoría</w:t>
      </w:r>
      <w:r>
        <w:rPr>
          <w:i/>
          <w:color w:val="231F20"/>
          <w:spacing w:val="-22"/>
          <w:w w:val="105"/>
        </w:rPr>
        <w:t> </w:t>
      </w:r>
      <w:r>
        <w:rPr>
          <w:i/>
          <w:color w:val="231F20"/>
          <w:w w:val="105"/>
        </w:rPr>
        <w:t>de</w:t>
      </w:r>
      <w:r>
        <w:rPr>
          <w:i/>
          <w:color w:val="231F20"/>
          <w:spacing w:val="-22"/>
          <w:w w:val="105"/>
        </w:rPr>
        <w:t> </w:t>
      </w:r>
      <w:r>
        <w:rPr>
          <w:i/>
          <w:color w:val="231F20"/>
          <w:w w:val="105"/>
        </w:rPr>
        <w:t>la</w:t>
      </w:r>
      <w:r>
        <w:rPr>
          <w:i/>
          <w:color w:val="231F20"/>
          <w:spacing w:val="-22"/>
          <w:w w:val="105"/>
        </w:rPr>
        <w:t> </w:t>
      </w:r>
      <w:r>
        <w:rPr>
          <w:i/>
          <w:color w:val="231F20"/>
          <w:w w:val="105"/>
        </w:rPr>
        <w:t>dependencia:</w:t>
      </w:r>
      <w:r>
        <w:rPr>
          <w:i/>
          <w:color w:val="231F20"/>
          <w:spacing w:val="-22"/>
          <w:w w:val="105"/>
        </w:rPr>
        <w:t> </w:t>
      </w:r>
      <w:r>
        <w:rPr>
          <w:i/>
          <w:color w:val="231F20"/>
          <w:w w:val="105"/>
        </w:rPr>
        <w:t>Balance</w:t>
      </w:r>
      <w:r>
        <w:rPr>
          <w:i/>
          <w:color w:val="231F20"/>
          <w:spacing w:val="-22"/>
          <w:w w:val="105"/>
        </w:rPr>
        <w:t> </w:t>
      </w:r>
      <w:r>
        <w:rPr>
          <w:i/>
          <w:color w:val="231F20"/>
          <w:w w:val="105"/>
        </w:rPr>
        <w:t>y</w:t>
      </w:r>
      <w:r>
        <w:rPr>
          <w:i/>
          <w:color w:val="231F20"/>
          <w:spacing w:val="-22"/>
          <w:w w:val="105"/>
        </w:rPr>
        <w:t> </w:t>
      </w:r>
      <w:r>
        <w:rPr>
          <w:i/>
          <w:color w:val="231F20"/>
          <w:w w:val="105"/>
        </w:rPr>
        <w:t>perspectivas</w:t>
      </w:r>
      <w:r>
        <w:rPr>
          <w:color w:val="231F20"/>
          <w:w w:val="105"/>
        </w:rPr>
        <w:t>.</w:t>
      </w:r>
      <w:r>
        <w:rPr>
          <w:color w:val="231F20"/>
          <w:spacing w:val="-22"/>
          <w:w w:val="105"/>
        </w:rPr>
        <w:t> </w:t>
      </w:r>
      <w:r>
        <w:rPr>
          <w:color w:val="231F20"/>
          <w:w w:val="105"/>
        </w:rPr>
        <w:t>La edición original brasileña se publicó en 2000. En este libro reivindi-   co el esfuerzo del pensamiento latinoamericano que logró retirar del estrecho campo de las historias locales y nacionales los problemas del subdesarrollo y del desarrollo para situarlos en el plano de la historia universal. Después de nuestras investigaciones, el subdesarrollo no podría más ser tratado como una herencia de economías precapita- listas comunitarias o feudales sino como un resultado de la acumu- lación primitiva de capitales que dio origen a la moderna economía      y sociedad capitalista. La trata de esclavos, la explotación de los metales preciosos, de las especiarías de los trópicos, la explotación     de los pueblos originarios y el gigantesco movimiento comercial con las colonias, fueron elementos fundamentales en la acumulación de riquezas  que  permitió  a  Europa  no  sólo  subyugar  gran  parte  de</w:t>
      </w:r>
      <w:r>
        <w:rPr>
          <w:color w:val="231F20"/>
          <w:spacing w:val="8"/>
          <w:w w:val="105"/>
        </w:rPr>
        <w:t> </w:t>
      </w:r>
      <w:r>
        <w:rPr>
          <w:color w:val="231F20"/>
          <w:w w:val="105"/>
        </w:rPr>
        <w:t>la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humanidad sino también realizar los cambios que dieron origen a la Revolución Industrial que permitió convertir el capitalismo en un nuevo modo de producción, fundado en la explotación absoluta y relativa del trabajo “libre” o asalariado a través de la plusvalía.</w:t>
      </w:r>
    </w:p>
    <w:p>
      <w:pPr>
        <w:pStyle w:val="BodyText"/>
        <w:spacing w:line="261" w:lineRule="auto"/>
        <w:ind w:left="100" w:right="117" w:firstLine="240"/>
        <w:jc w:val="both"/>
      </w:pPr>
      <w:r>
        <w:rPr>
          <w:color w:val="231F20"/>
          <w:w w:val="110"/>
        </w:rPr>
        <w:t>Es profundamente perverso que las llamadas ciencias sociales se hayan dedicado a explicar a los pueblos colonizados, sometidos a estas</w:t>
      </w:r>
      <w:r>
        <w:rPr>
          <w:color w:val="231F20"/>
          <w:spacing w:val="-12"/>
          <w:w w:val="110"/>
        </w:rPr>
        <w:t> </w:t>
      </w:r>
      <w:r>
        <w:rPr>
          <w:color w:val="231F20"/>
          <w:w w:val="110"/>
        </w:rPr>
        <w:t>condiciones</w:t>
      </w:r>
      <w:r>
        <w:rPr>
          <w:color w:val="231F20"/>
          <w:spacing w:val="-12"/>
          <w:w w:val="110"/>
        </w:rPr>
        <w:t> </w:t>
      </w:r>
      <w:r>
        <w:rPr>
          <w:color w:val="231F20"/>
          <w:w w:val="110"/>
        </w:rPr>
        <w:t>deplorables,</w:t>
      </w:r>
      <w:r>
        <w:rPr>
          <w:color w:val="231F20"/>
          <w:spacing w:val="-12"/>
          <w:w w:val="110"/>
        </w:rPr>
        <w:t> </w:t>
      </w:r>
      <w:r>
        <w:rPr>
          <w:color w:val="231F20"/>
          <w:w w:val="110"/>
        </w:rPr>
        <w:t>cómo</w:t>
      </w:r>
      <w:r>
        <w:rPr>
          <w:color w:val="231F20"/>
          <w:spacing w:val="-12"/>
          <w:w w:val="110"/>
        </w:rPr>
        <w:t> </w:t>
      </w:r>
      <w:r>
        <w:rPr>
          <w:color w:val="231F20"/>
          <w:w w:val="110"/>
        </w:rPr>
        <w:t>alcanzar</w:t>
      </w:r>
      <w:r>
        <w:rPr>
          <w:color w:val="231F20"/>
          <w:spacing w:val="-12"/>
          <w:w w:val="110"/>
        </w:rPr>
        <w:t> </w:t>
      </w:r>
      <w:r>
        <w:rPr>
          <w:color w:val="231F20"/>
          <w:w w:val="110"/>
        </w:rPr>
        <w:t>las</w:t>
      </w:r>
      <w:r>
        <w:rPr>
          <w:color w:val="231F20"/>
          <w:spacing w:val="-12"/>
          <w:w w:val="110"/>
        </w:rPr>
        <w:t> </w:t>
      </w:r>
      <w:r>
        <w:rPr>
          <w:color w:val="231F20"/>
          <w:w w:val="110"/>
        </w:rPr>
        <w:t>condiciones</w:t>
      </w:r>
      <w:r>
        <w:rPr>
          <w:color w:val="231F20"/>
          <w:spacing w:val="-12"/>
          <w:w w:val="110"/>
        </w:rPr>
        <w:t> </w:t>
      </w:r>
      <w:r>
        <w:rPr>
          <w:color w:val="231F20"/>
          <w:w w:val="110"/>
        </w:rPr>
        <w:t>de</w:t>
      </w:r>
      <w:r>
        <w:rPr>
          <w:color w:val="231F20"/>
          <w:spacing w:val="-12"/>
          <w:w w:val="110"/>
        </w:rPr>
        <w:t> </w:t>
      </w:r>
      <w:r>
        <w:rPr>
          <w:color w:val="231F20"/>
          <w:w w:val="110"/>
        </w:rPr>
        <w:t>vida obtenidas por los pueblos colonizadores sin las ventajas obtenidas por su pasado colonizador y su presente neocolonial e imperialista. Hemos desenmascarado este truco intelectual maldoso al ligar el fe- nómeno del subdesarrollo a la dependencia estructural de nuestras economía, sociedad y cultura a la economía mundial</w:t>
      </w:r>
      <w:r>
        <w:rPr>
          <w:color w:val="231F20"/>
          <w:spacing w:val="39"/>
          <w:w w:val="110"/>
        </w:rPr>
        <w:t> </w:t>
      </w:r>
      <w:r>
        <w:rPr>
          <w:color w:val="231F20"/>
          <w:w w:val="110"/>
        </w:rPr>
        <w:t>capitalista.</w:t>
      </w:r>
    </w:p>
    <w:p>
      <w:pPr>
        <w:pStyle w:val="BodyText"/>
        <w:spacing w:line="261" w:lineRule="auto"/>
        <w:ind w:left="100" w:right="117" w:firstLine="240"/>
        <w:jc w:val="both"/>
      </w:pPr>
      <w:r>
        <w:rPr>
          <w:color w:val="231F20"/>
          <w:w w:val="110"/>
        </w:rPr>
        <w:t>Al demostrar las consecuencias negativas de nuestra sumisión a una división internacional del trabajo que entregaba las actividades económicas</w:t>
      </w:r>
      <w:r>
        <w:rPr>
          <w:color w:val="231F20"/>
          <w:spacing w:val="-5"/>
          <w:w w:val="110"/>
        </w:rPr>
        <w:t> </w:t>
      </w:r>
      <w:r>
        <w:rPr>
          <w:color w:val="231F20"/>
          <w:w w:val="110"/>
        </w:rPr>
        <w:t>más</w:t>
      </w:r>
      <w:r>
        <w:rPr>
          <w:color w:val="231F20"/>
          <w:spacing w:val="-5"/>
          <w:w w:val="110"/>
        </w:rPr>
        <w:t> </w:t>
      </w:r>
      <w:r>
        <w:rPr>
          <w:color w:val="231F20"/>
          <w:w w:val="110"/>
        </w:rPr>
        <w:t>lucrativas</w:t>
      </w:r>
      <w:r>
        <w:rPr>
          <w:color w:val="231F20"/>
          <w:spacing w:val="-5"/>
          <w:w w:val="110"/>
        </w:rPr>
        <w:t> </w:t>
      </w:r>
      <w:r>
        <w:rPr>
          <w:color w:val="231F20"/>
          <w:w w:val="110"/>
        </w:rPr>
        <w:t>y</w:t>
      </w:r>
      <w:r>
        <w:rPr>
          <w:color w:val="231F20"/>
          <w:spacing w:val="-5"/>
          <w:w w:val="110"/>
        </w:rPr>
        <w:t> </w:t>
      </w:r>
      <w:r>
        <w:rPr>
          <w:color w:val="231F20"/>
          <w:w w:val="110"/>
        </w:rPr>
        <w:t>más</w:t>
      </w:r>
      <w:r>
        <w:rPr>
          <w:color w:val="231F20"/>
          <w:spacing w:val="-5"/>
          <w:w w:val="110"/>
        </w:rPr>
        <w:t> </w:t>
      </w:r>
      <w:r>
        <w:rPr>
          <w:color w:val="231F20"/>
          <w:w w:val="110"/>
        </w:rPr>
        <w:t>estratégicas</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centros</w:t>
      </w:r>
      <w:r>
        <w:rPr>
          <w:color w:val="231F20"/>
          <w:spacing w:val="-5"/>
          <w:w w:val="110"/>
        </w:rPr>
        <w:t> </w:t>
      </w:r>
      <w:r>
        <w:rPr>
          <w:color w:val="231F20"/>
          <w:w w:val="110"/>
        </w:rPr>
        <w:t>del</w:t>
      </w:r>
      <w:r>
        <w:rPr>
          <w:color w:val="231F20"/>
          <w:spacing w:val="-5"/>
          <w:w w:val="110"/>
        </w:rPr>
        <w:t> </w:t>
      </w:r>
      <w:r>
        <w:rPr>
          <w:color w:val="231F20"/>
          <w:w w:val="110"/>
        </w:rPr>
        <w:t>poder mundial, apuntamos el compromiso del capitalismo  dependiente con los mecanismos de superexplotación, concentración del ingreso y exclusión socioeconómica, y definimos así el camino de nuestra liberación y emancipación. Este camino pasa inexorablemente por  la supresión de estos mecanismos. En el libro señalado mostramos también la repercusión internacional de este esfuerzo teórico latino- americano</w:t>
      </w:r>
      <w:r>
        <w:rPr>
          <w:color w:val="231F20"/>
          <w:spacing w:val="-6"/>
          <w:w w:val="110"/>
        </w:rPr>
        <w:t> </w:t>
      </w:r>
      <w:r>
        <w:rPr>
          <w:color w:val="231F20"/>
          <w:w w:val="110"/>
        </w:rPr>
        <w:t>en</w:t>
      </w:r>
      <w:r>
        <w:rPr>
          <w:color w:val="231F20"/>
          <w:spacing w:val="-6"/>
          <w:w w:val="110"/>
        </w:rPr>
        <w:t> </w:t>
      </w:r>
      <w:r>
        <w:rPr>
          <w:color w:val="231F20"/>
          <w:w w:val="110"/>
        </w:rPr>
        <w:t>todos</w:t>
      </w:r>
      <w:r>
        <w:rPr>
          <w:color w:val="231F20"/>
          <w:spacing w:val="-6"/>
          <w:w w:val="110"/>
        </w:rPr>
        <w:t> </w:t>
      </w:r>
      <w:r>
        <w:rPr>
          <w:color w:val="231F20"/>
          <w:w w:val="110"/>
        </w:rPr>
        <w:t>los</w:t>
      </w:r>
      <w:r>
        <w:rPr>
          <w:color w:val="231F20"/>
          <w:spacing w:val="-6"/>
          <w:w w:val="110"/>
        </w:rPr>
        <w:t> </w:t>
      </w:r>
      <w:r>
        <w:rPr>
          <w:color w:val="231F20"/>
          <w:w w:val="110"/>
        </w:rPr>
        <w:t>continentes,</w:t>
      </w:r>
      <w:r>
        <w:rPr>
          <w:color w:val="231F20"/>
          <w:spacing w:val="-6"/>
          <w:w w:val="110"/>
        </w:rPr>
        <w:t> </w:t>
      </w:r>
      <w:r>
        <w:rPr>
          <w:color w:val="231F20"/>
          <w:w w:val="110"/>
        </w:rPr>
        <w:t>inclusive</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países</w:t>
      </w:r>
      <w:r>
        <w:rPr>
          <w:color w:val="231F20"/>
          <w:spacing w:val="-6"/>
          <w:w w:val="110"/>
        </w:rPr>
        <w:t> </w:t>
      </w:r>
      <w:r>
        <w:rPr>
          <w:color w:val="231F20"/>
          <w:w w:val="110"/>
        </w:rPr>
        <w:t>centrales, que</w:t>
      </w:r>
      <w:r>
        <w:rPr>
          <w:color w:val="231F20"/>
          <w:spacing w:val="-5"/>
          <w:w w:val="110"/>
        </w:rPr>
        <w:t> </w:t>
      </w:r>
      <w:r>
        <w:rPr>
          <w:color w:val="231F20"/>
          <w:w w:val="110"/>
        </w:rPr>
        <w:t>llevó</w:t>
      </w:r>
      <w:r>
        <w:rPr>
          <w:color w:val="231F20"/>
          <w:spacing w:val="-6"/>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reformulación</w:t>
      </w:r>
      <w:r>
        <w:rPr>
          <w:color w:val="231F20"/>
          <w:spacing w:val="-6"/>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principios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5"/>
          <w:w w:val="110"/>
        </w:rPr>
        <w:t> </w:t>
      </w:r>
      <w:r>
        <w:rPr>
          <w:color w:val="231F20"/>
          <w:w w:val="110"/>
        </w:rPr>
        <w:t>ciencias</w:t>
      </w:r>
      <w:r>
        <w:rPr>
          <w:color w:val="231F20"/>
          <w:spacing w:val="-5"/>
          <w:w w:val="110"/>
        </w:rPr>
        <w:t> </w:t>
      </w:r>
      <w:r>
        <w:rPr>
          <w:color w:val="231F20"/>
          <w:w w:val="110"/>
        </w:rPr>
        <w:t>socia- les con la crítica sistémica al eurocentrismo y la elaboración de una nueva teoría sobre el surgimiento y desarrollo del capitalismo como sistema económico social a partir del concepto de sistema mundial. Este cambio de los paradigmas analíticos abrió camino a un nuevo enfoque de los fenómenos sociales y a un movimiento profundo de reforma de las ciencias</w:t>
      </w:r>
      <w:r>
        <w:rPr>
          <w:color w:val="231F20"/>
          <w:spacing w:val="-33"/>
          <w:w w:val="110"/>
        </w:rPr>
        <w:t> </w:t>
      </w:r>
      <w:r>
        <w:rPr>
          <w:color w:val="231F20"/>
          <w:w w:val="110"/>
        </w:rPr>
        <w:t>sociales.</w:t>
      </w:r>
    </w:p>
    <w:p>
      <w:pPr>
        <w:pStyle w:val="BodyText"/>
        <w:spacing w:line="261" w:lineRule="auto"/>
        <w:ind w:left="100" w:right="117" w:firstLine="240"/>
        <w:jc w:val="both"/>
      </w:pPr>
      <w:r>
        <w:rPr>
          <w:color w:val="231F20"/>
          <w:w w:val="110"/>
        </w:rPr>
        <w:t>Estos cambios se sintetizaron en el Informe de la Comisión Gul- </w:t>
      </w:r>
      <w:r>
        <w:rPr>
          <w:color w:val="231F20"/>
          <w:w w:val="105"/>
        </w:rPr>
        <w:t>benkian</w:t>
      </w:r>
      <w:r>
        <w:rPr>
          <w:color w:val="231F20"/>
          <w:spacing w:val="-17"/>
          <w:w w:val="105"/>
        </w:rPr>
        <w:t> </w:t>
      </w:r>
      <w:r>
        <w:rPr>
          <w:color w:val="231F20"/>
          <w:w w:val="105"/>
        </w:rPr>
        <w:t>sobre</w:t>
      </w:r>
      <w:r>
        <w:rPr>
          <w:color w:val="231F20"/>
          <w:spacing w:val="-17"/>
          <w:w w:val="105"/>
        </w:rPr>
        <w:t> </w:t>
      </w:r>
      <w:r>
        <w:rPr>
          <w:i/>
          <w:color w:val="231F20"/>
          <w:w w:val="105"/>
        </w:rPr>
        <w:t>Abriendo</w:t>
      </w:r>
      <w:r>
        <w:rPr>
          <w:i/>
          <w:color w:val="231F20"/>
          <w:spacing w:val="-17"/>
          <w:w w:val="105"/>
        </w:rPr>
        <w:t> </w:t>
      </w:r>
      <w:r>
        <w:rPr>
          <w:i/>
          <w:color w:val="231F20"/>
          <w:w w:val="105"/>
        </w:rPr>
        <w:t>las</w:t>
      </w:r>
      <w:r>
        <w:rPr>
          <w:i/>
          <w:color w:val="231F20"/>
          <w:spacing w:val="-17"/>
          <w:w w:val="105"/>
        </w:rPr>
        <w:t> </w:t>
      </w:r>
      <w:r>
        <w:rPr>
          <w:i/>
          <w:color w:val="231F20"/>
          <w:w w:val="105"/>
        </w:rPr>
        <w:t>Ciencias</w:t>
      </w:r>
      <w:r>
        <w:rPr>
          <w:i/>
          <w:color w:val="231F20"/>
          <w:spacing w:val="-17"/>
          <w:w w:val="105"/>
        </w:rPr>
        <w:t> </w:t>
      </w:r>
      <w:r>
        <w:rPr>
          <w:i/>
          <w:color w:val="231F20"/>
          <w:w w:val="105"/>
        </w:rPr>
        <w:t>Sociales</w:t>
      </w:r>
      <w:r>
        <w:rPr>
          <w:color w:val="231F20"/>
          <w:w w:val="105"/>
        </w:rPr>
        <w:t>,</w:t>
      </w:r>
      <w:r>
        <w:rPr>
          <w:color w:val="231F20"/>
          <w:spacing w:val="-17"/>
          <w:w w:val="105"/>
        </w:rPr>
        <w:t> </w:t>
      </w:r>
      <w:r>
        <w:rPr>
          <w:color w:val="231F20"/>
          <w:w w:val="105"/>
        </w:rPr>
        <w:t>coordinado</w:t>
      </w:r>
      <w:r>
        <w:rPr>
          <w:color w:val="231F20"/>
          <w:spacing w:val="-17"/>
          <w:w w:val="105"/>
        </w:rPr>
        <w:t> </w:t>
      </w:r>
      <w:r>
        <w:rPr>
          <w:color w:val="231F20"/>
          <w:w w:val="105"/>
        </w:rPr>
        <w:t>por</w:t>
      </w:r>
      <w:r>
        <w:rPr>
          <w:color w:val="231F20"/>
          <w:spacing w:val="-17"/>
          <w:w w:val="105"/>
        </w:rPr>
        <w:t> </w:t>
      </w:r>
      <w:r>
        <w:rPr>
          <w:color w:val="231F20"/>
          <w:w w:val="105"/>
        </w:rPr>
        <w:t>Immanuel </w:t>
      </w:r>
      <w:r>
        <w:rPr>
          <w:color w:val="231F20"/>
          <w:w w:val="110"/>
        </w:rPr>
        <w:t>Wallerstein,</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entonces</w:t>
      </w:r>
      <w:r>
        <w:rPr>
          <w:color w:val="231F20"/>
          <w:spacing w:val="-7"/>
          <w:w w:val="110"/>
        </w:rPr>
        <w:t> </w:t>
      </w:r>
      <w:r>
        <w:rPr>
          <w:color w:val="231F20"/>
          <w:w w:val="110"/>
        </w:rPr>
        <w:t>presidente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Asociación</w:t>
      </w:r>
      <w:r>
        <w:rPr>
          <w:color w:val="231F20"/>
          <w:spacing w:val="-7"/>
          <w:w w:val="110"/>
        </w:rPr>
        <w:t> </w:t>
      </w:r>
      <w:r>
        <w:rPr>
          <w:color w:val="231F20"/>
          <w:w w:val="110"/>
        </w:rPr>
        <w:t>Internacio- nal</w:t>
      </w:r>
      <w:r>
        <w:rPr>
          <w:color w:val="231F20"/>
          <w:spacing w:val="-11"/>
          <w:w w:val="110"/>
        </w:rPr>
        <w:t> </w:t>
      </w:r>
      <w:r>
        <w:rPr>
          <w:color w:val="231F20"/>
          <w:w w:val="110"/>
        </w:rPr>
        <w:t>de</w:t>
      </w:r>
      <w:r>
        <w:rPr>
          <w:color w:val="231F20"/>
          <w:spacing w:val="-11"/>
          <w:w w:val="110"/>
        </w:rPr>
        <w:t> </w:t>
      </w:r>
      <w:r>
        <w:rPr>
          <w:color w:val="231F20"/>
          <w:w w:val="110"/>
        </w:rPr>
        <w:t>Sociología.</w:t>
      </w:r>
      <w:r>
        <w:rPr>
          <w:color w:val="231F20"/>
          <w:spacing w:val="-11"/>
          <w:w w:val="110"/>
        </w:rPr>
        <w:t> </w:t>
      </w:r>
      <w:r>
        <w:rPr>
          <w:color w:val="231F20"/>
          <w:w w:val="110"/>
        </w:rPr>
        <w:t>Asimismo,</w:t>
      </w:r>
      <w:r>
        <w:rPr>
          <w:color w:val="231F20"/>
          <w:spacing w:val="-11"/>
          <w:w w:val="110"/>
        </w:rPr>
        <w:t> </w:t>
      </w:r>
      <w:r>
        <w:rPr>
          <w:color w:val="231F20"/>
          <w:w w:val="110"/>
        </w:rPr>
        <w:t>hemos</w:t>
      </w:r>
      <w:r>
        <w:rPr>
          <w:color w:val="231F20"/>
          <w:spacing w:val="-11"/>
          <w:w w:val="110"/>
        </w:rPr>
        <w:t> </w:t>
      </w:r>
      <w:r>
        <w:rPr>
          <w:color w:val="231F20"/>
          <w:w w:val="110"/>
        </w:rPr>
        <w:t>buscado</w:t>
      </w:r>
      <w:r>
        <w:rPr>
          <w:color w:val="231F20"/>
          <w:spacing w:val="-11"/>
          <w:w w:val="110"/>
        </w:rPr>
        <w:t> </w:t>
      </w:r>
      <w:r>
        <w:rPr>
          <w:color w:val="231F20"/>
          <w:w w:val="110"/>
        </w:rPr>
        <w:t>demostrar</w:t>
      </w:r>
      <w:r>
        <w:rPr>
          <w:color w:val="231F20"/>
          <w:spacing w:val="-11"/>
          <w:w w:val="110"/>
        </w:rPr>
        <w:t> </w:t>
      </w:r>
      <w:r>
        <w:rPr>
          <w:color w:val="231F20"/>
          <w:w w:val="110"/>
        </w:rPr>
        <w:t>cómo</w:t>
      </w:r>
      <w:r>
        <w:rPr>
          <w:color w:val="231F20"/>
          <w:spacing w:val="-11"/>
          <w:w w:val="110"/>
        </w:rPr>
        <w:t> </w:t>
      </w:r>
      <w:r>
        <w:rPr>
          <w:color w:val="231F20"/>
          <w:w w:val="110"/>
        </w:rPr>
        <w:t>surgió en nuestra región una modalidad de sumisión a la condición de dependencia a través de la reinserción de nuestro pensamiento en   el cuadro de la modernización capitalista propuesta por el neolibe- ralismo. Este enfoque sirvió de base ideológica para la adhesión de amplios</w:t>
      </w:r>
      <w:r>
        <w:rPr>
          <w:color w:val="231F20"/>
          <w:spacing w:val="-9"/>
          <w:w w:val="110"/>
        </w:rPr>
        <w:t> </w:t>
      </w:r>
      <w:r>
        <w:rPr>
          <w:color w:val="231F20"/>
          <w:w w:val="110"/>
        </w:rPr>
        <w:t>sectores</w:t>
      </w:r>
      <w:r>
        <w:rPr>
          <w:color w:val="231F20"/>
          <w:spacing w:val="-9"/>
          <w:w w:val="110"/>
        </w:rPr>
        <w:t> </w:t>
      </w:r>
      <w:r>
        <w:rPr>
          <w:color w:val="231F20"/>
          <w:w w:val="110"/>
        </w:rPr>
        <w:t>de</w:t>
      </w:r>
      <w:r>
        <w:rPr>
          <w:color w:val="231F20"/>
          <w:spacing w:val="-9"/>
          <w:w w:val="110"/>
        </w:rPr>
        <w:t> </w:t>
      </w:r>
      <w:r>
        <w:rPr>
          <w:color w:val="231F20"/>
          <w:w w:val="110"/>
        </w:rPr>
        <w:t>nuestra</w:t>
      </w:r>
      <w:r>
        <w:rPr>
          <w:color w:val="231F20"/>
          <w:spacing w:val="-9"/>
          <w:w w:val="110"/>
        </w:rPr>
        <w:t> </w:t>
      </w:r>
      <w:r>
        <w:rPr>
          <w:color w:val="231F20"/>
          <w:w w:val="110"/>
        </w:rPr>
        <w:t>izquierda</w:t>
      </w:r>
      <w:r>
        <w:rPr>
          <w:color w:val="231F20"/>
          <w:spacing w:val="-9"/>
          <w:w w:val="110"/>
        </w:rPr>
        <w:t> </w:t>
      </w:r>
      <w:r>
        <w:rPr>
          <w:color w:val="231F20"/>
          <w:w w:val="110"/>
        </w:rPr>
        <w:t>al</w:t>
      </w:r>
      <w:r>
        <w:rPr>
          <w:color w:val="231F20"/>
          <w:spacing w:val="-9"/>
          <w:w w:val="110"/>
        </w:rPr>
        <w:t> </w:t>
      </w:r>
      <w:r>
        <w:rPr>
          <w:color w:val="231F20"/>
          <w:w w:val="110"/>
        </w:rPr>
        <w:t>proyecto</w:t>
      </w:r>
      <w:r>
        <w:rPr>
          <w:color w:val="231F20"/>
          <w:spacing w:val="-9"/>
          <w:w w:val="110"/>
        </w:rPr>
        <w:t> </w:t>
      </w:r>
      <w:r>
        <w:rPr>
          <w:color w:val="231F20"/>
          <w:w w:val="110"/>
        </w:rPr>
        <w:t>neoliberal</w:t>
      </w:r>
      <w:r>
        <w:rPr>
          <w:color w:val="231F20"/>
          <w:spacing w:val="-9"/>
          <w:w w:val="110"/>
        </w:rPr>
        <w:t> </w:t>
      </w:r>
      <w:r>
        <w:rPr>
          <w:color w:val="231F20"/>
          <w:w w:val="110"/>
        </w:rPr>
        <w:t>que</w:t>
      </w:r>
      <w:r>
        <w:rPr>
          <w:color w:val="231F20"/>
          <w:spacing w:val="-9"/>
          <w:w w:val="110"/>
        </w:rPr>
        <w:t> </w:t>
      </w:r>
      <w:r>
        <w:rPr>
          <w:color w:val="231F20"/>
          <w:w w:val="110"/>
        </w:rPr>
        <w:t>tuvo su expresión más sofisticada en el gobierno de Fernando  </w:t>
      </w:r>
      <w:r>
        <w:rPr>
          <w:color w:val="231F20"/>
          <w:spacing w:val="36"/>
          <w:w w:val="110"/>
        </w:rPr>
        <w:t> </w:t>
      </w:r>
      <w:r>
        <w:rPr>
          <w:color w:val="231F20"/>
          <w:w w:val="110"/>
        </w:rPr>
        <w:t>Henrique</w:t>
      </w:r>
    </w:p>
    <w:p>
      <w:pPr>
        <w:spacing w:after="0" w:line="261" w:lineRule="auto"/>
        <w:jc w:val="both"/>
        <w:sectPr>
          <w:headerReference w:type="even" r:id="rId64"/>
          <w:headerReference w:type="default" r:id="rId65"/>
          <w:pgSz w:w="7640" w:h="11900"/>
          <w:pgMar w:header="672" w:footer="0" w:top="860" w:bottom="280" w:left="780" w:right="640"/>
          <w:pgNumType w:start="52"/>
        </w:sectPr>
      </w:pPr>
    </w:p>
    <w:p>
      <w:pPr>
        <w:pStyle w:val="BodyText"/>
        <w:spacing w:before="8"/>
        <w:rPr>
          <w:sz w:val="8"/>
        </w:rPr>
      </w:pPr>
    </w:p>
    <w:p>
      <w:pPr>
        <w:pStyle w:val="BodyText"/>
        <w:spacing w:line="261" w:lineRule="auto" w:before="67"/>
        <w:ind w:left="100" w:right="25"/>
      </w:pPr>
      <w:r>
        <w:rPr>
          <w:color w:val="231F20"/>
          <w:w w:val="110"/>
        </w:rPr>
        <w:t>Cardoso en Brasil cuyo cuadro ideológico continúa prevaleciendo hasta nuestros días, a pesar de su fracaso histórico.</w:t>
      </w:r>
    </w:p>
    <w:p>
      <w:pPr>
        <w:pStyle w:val="BodyText"/>
        <w:spacing w:line="261" w:lineRule="auto"/>
        <w:ind w:left="100" w:right="117" w:firstLine="240"/>
        <w:jc w:val="both"/>
      </w:pPr>
      <w:r>
        <w:rPr>
          <w:color w:val="231F20"/>
          <w:w w:val="105"/>
        </w:rPr>
        <w:t>En seguida me he dedicado a estudiar más detalladamente esta economía mundial que nació con el capitalismo y que pasó por cambios fundamentales en nuestros días. En el segundo libro de mi </w:t>
      </w:r>
      <w:r>
        <w:rPr>
          <w:color w:val="231F20"/>
        </w:rPr>
        <w:t>trilogía</w:t>
      </w:r>
      <w:r>
        <w:rPr>
          <w:color w:val="231F20"/>
          <w:spacing w:val="-12"/>
        </w:rPr>
        <w:t> </w:t>
      </w:r>
      <w:r>
        <w:rPr>
          <w:color w:val="231F20"/>
        </w:rPr>
        <w:t>(</w:t>
      </w:r>
      <w:r>
        <w:rPr>
          <w:i/>
          <w:color w:val="231F20"/>
        </w:rPr>
        <w:t>Economía</w:t>
      </w:r>
      <w:r>
        <w:rPr>
          <w:i/>
          <w:color w:val="231F20"/>
          <w:spacing w:val="-12"/>
        </w:rPr>
        <w:t> </w:t>
      </w:r>
      <w:r>
        <w:rPr>
          <w:i/>
          <w:color w:val="231F20"/>
        </w:rPr>
        <w:t>mundial</w:t>
      </w:r>
      <w:r>
        <w:rPr>
          <w:i/>
          <w:color w:val="231F20"/>
          <w:spacing w:val="-12"/>
        </w:rPr>
        <w:t> </w:t>
      </w:r>
      <w:r>
        <w:rPr>
          <w:i/>
          <w:color w:val="231F20"/>
        </w:rPr>
        <w:t>e</w:t>
      </w:r>
      <w:r>
        <w:rPr>
          <w:i/>
          <w:color w:val="231F20"/>
          <w:spacing w:val="-12"/>
        </w:rPr>
        <w:t> </w:t>
      </w:r>
      <w:r>
        <w:rPr>
          <w:i/>
          <w:color w:val="231F20"/>
        </w:rPr>
        <w:t>Integración</w:t>
      </w:r>
      <w:r>
        <w:rPr>
          <w:i/>
          <w:color w:val="231F20"/>
          <w:spacing w:val="-12"/>
        </w:rPr>
        <w:t> </w:t>
      </w:r>
      <w:r>
        <w:rPr>
          <w:i/>
          <w:color w:val="231F20"/>
        </w:rPr>
        <w:t>regional</w:t>
      </w:r>
      <w:r>
        <w:rPr>
          <w:i/>
          <w:color w:val="231F20"/>
          <w:spacing w:val="-12"/>
        </w:rPr>
        <w:t> </w:t>
      </w:r>
      <w:r>
        <w:rPr>
          <w:i/>
          <w:color w:val="231F20"/>
        </w:rPr>
        <w:t>Latinoamericana</w:t>
      </w:r>
      <w:r>
        <w:rPr>
          <w:color w:val="231F20"/>
        </w:rPr>
        <w:t>),</w:t>
      </w:r>
      <w:r>
        <w:rPr>
          <w:color w:val="231F20"/>
          <w:spacing w:val="-12"/>
        </w:rPr>
        <w:t> </w:t>
      </w:r>
      <w:r>
        <w:rPr>
          <w:color w:val="231F20"/>
        </w:rPr>
        <w:t>y</w:t>
      </w:r>
      <w:r>
        <w:rPr>
          <w:color w:val="231F20"/>
          <w:spacing w:val="-12"/>
        </w:rPr>
        <w:t> </w:t>
      </w:r>
      <w:r>
        <w:rPr>
          <w:color w:val="231F20"/>
        </w:rPr>
        <w:t>que </w:t>
      </w:r>
      <w:r>
        <w:rPr>
          <w:color w:val="231F20"/>
          <w:w w:val="105"/>
        </w:rPr>
        <w:t>sirvió de base a nuevas ediciones del mismo libro, hago un balance de los cambios operados en la estructura económica y en el movimiento cíclico del capital en la fase    </w:t>
      </w:r>
      <w:r>
        <w:rPr>
          <w:color w:val="231F20"/>
          <w:spacing w:val="10"/>
          <w:w w:val="105"/>
        </w:rPr>
        <w:t> </w:t>
      </w:r>
      <w:r>
        <w:rPr>
          <w:color w:val="231F20"/>
          <w:w w:val="105"/>
        </w:rPr>
        <w:t>contemporánea.</w:t>
      </w:r>
    </w:p>
    <w:p>
      <w:pPr>
        <w:pStyle w:val="BodyText"/>
        <w:spacing w:line="261" w:lineRule="auto"/>
        <w:ind w:left="100" w:right="117" w:firstLine="240"/>
        <w:jc w:val="both"/>
        <w:rPr>
          <w:sz w:val="13"/>
        </w:rPr>
      </w:pPr>
      <w:r>
        <w:rPr>
          <w:color w:val="231F20"/>
          <w:w w:val="110"/>
        </w:rPr>
        <w:t>Pude demostrar además en varios estudios sobre el tema, cómo  se abría una oportunidad para la integración latinoamericana, en la medida</w:t>
      </w:r>
      <w:r>
        <w:rPr>
          <w:color w:val="231F20"/>
          <w:spacing w:val="-8"/>
          <w:w w:val="110"/>
        </w:rPr>
        <w:t> </w:t>
      </w:r>
      <w:r>
        <w:rPr>
          <w:color w:val="231F20"/>
          <w:w w:val="110"/>
        </w:rPr>
        <w:t>en</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proceso</w:t>
      </w:r>
      <w:r>
        <w:rPr>
          <w:color w:val="231F20"/>
          <w:spacing w:val="-8"/>
          <w:w w:val="110"/>
        </w:rPr>
        <w:t> </w:t>
      </w:r>
      <w:r>
        <w:rPr>
          <w:color w:val="231F20"/>
          <w:w w:val="110"/>
        </w:rPr>
        <w:t>de</w:t>
      </w:r>
      <w:r>
        <w:rPr>
          <w:color w:val="231F20"/>
          <w:spacing w:val="-8"/>
          <w:w w:val="110"/>
        </w:rPr>
        <w:t> </w:t>
      </w:r>
      <w:r>
        <w:rPr>
          <w:color w:val="231F20"/>
          <w:w w:val="110"/>
        </w:rPr>
        <w:t>regionalización</w:t>
      </w:r>
      <w:r>
        <w:rPr>
          <w:color w:val="231F20"/>
          <w:spacing w:val="-8"/>
          <w:w w:val="110"/>
        </w:rPr>
        <w:t> </w:t>
      </w:r>
      <w:r>
        <w:rPr>
          <w:color w:val="231F20"/>
          <w:w w:val="110"/>
        </w:rPr>
        <w:t>era</w:t>
      </w:r>
      <w:r>
        <w:rPr>
          <w:color w:val="231F20"/>
          <w:spacing w:val="-8"/>
          <w:w w:val="110"/>
        </w:rPr>
        <w:t> </w:t>
      </w:r>
      <w:r>
        <w:rPr>
          <w:color w:val="231F20"/>
          <w:w w:val="110"/>
        </w:rPr>
        <w:t>el</w:t>
      </w:r>
      <w:r>
        <w:rPr>
          <w:color w:val="231F20"/>
          <w:spacing w:val="-8"/>
          <w:w w:val="110"/>
        </w:rPr>
        <w:t> </w:t>
      </w:r>
      <w:r>
        <w:rPr>
          <w:color w:val="231F20"/>
          <w:w w:val="110"/>
        </w:rPr>
        <w:t>camino</w:t>
      </w:r>
      <w:r>
        <w:rPr>
          <w:color w:val="231F20"/>
          <w:spacing w:val="-8"/>
          <w:w w:val="110"/>
        </w:rPr>
        <w:t> </w:t>
      </w:r>
      <w:r>
        <w:rPr>
          <w:color w:val="231F20"/>
          <w:w w:val="110"/>
        </w:rPr>
        <w:t>inevitable de la globalización capitalista y obligaba las regiones culturalmente articuladas</w:t>
      </w:r>
      <w:r>
        <w:rPr>
          <w:color w:val="231F20"/>
          <w:spacing w:val="-11"/>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América</w:t>
      </w:r>
      <w:r>
        <w:rPr>
          <w:color w:val="231F20"/>
          <w:spacing w:val="-11"/>
          <w:w w:val="110"/>
        </w:rPr>
        <w:t> </w:t>
      </w:r>
      <w:r>
        <w:rPr>
          <w:color w:val="231F20"/>
          <w:w w:val="110"/>
        </w:rPr>
        <w:t>Latina</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Caribe—</w:t>
      </w:r>
      <w:r>
        <w:rPr>
          <w:color w:val="231F20"/>
          <w:spacing w:val="-11"/>
          <w:w w:val="110"/>
        </w:rPr>
        <w:t> </w:t>
      </w:r>
      <w:r>
        <w:rPr>
          <w:color w:val="231F20"/>
          <w:w w:val="110"/>
        </w:rPr>
        <w:t>a</w:t>
      </w:r>
      <w:r>
        <w:rPr>
          <w:color w:val="231F20"/>
          <w:spacing w:val="-11"/>
          <w:w w:val="110"/>
        </w:rPr>
        <w:t> </w:t>
      </w:r>
      <w:r>
        <w:rPr>
          <w:color w:val="231F20"/>
          <w:w w:val="110"/>
        </w:rPr>
        <w:t>integrarse</w:t>
      </w:r>
      <w:r>
        <w:rPr>
          <w:color w:val="231F20"/>
          <w:spacing w:val="-11"/>
          <w:w w:val="110"/>
        </w:rPr>
        <w:t> </w:t>
      </w:r>
      <w:r>
        <w:rPr>
          <w:color w:val="231F20"/>
          <w:w w:val="110"/>
        </w:rPr>
        <w:t>para defenderse de la</w:t>
      </w:r>
      <w:r>
        <w:rPr>
          <w:color w:val="231F20"/>
          <w:spacing w:val="5"/>
          <w:w w:val="110"/>
        </w:rPr>
        <w:t> </w:t>
      </w:r>
      <w:r>
        <w:rPr>
          <w:color w:val="231F20"/>
          <w:w w:val="110"/>
        </w:rPr>
        <w:t>globalización.</w:t>
      </w:r>
      <w:r>
        <w:rPr>
          <w:color w:val="231F20"/>
          <w:w w:val="110"/>
          <w:position w:val="6"/>
          <w:sz w:val="13"/>
        </w:rPr>
        <w:t>8</w:t>
      </w:r>
    </w:p>
    <w:p>
      <w:pPr>
        <w:spacing w:line="261" w:lineRule="auto" w:before="0"/>
        <w:ind w:left="100" w:right="117" w:firstLine="240"/>
        <w:jc w:val="both"/>
        <w:rPr>
          <w:sz w:val="20"/>
        </w:rPr>
      </w:pPr>
      <w:r>
        <w:rPr>
          <w:color w:val="231F20"/>
          <w:w w:val="105"/>
          <w:sz w:val="20"/>
        </w:rPr>
        <w:t>Llegamos</w:t>
      </w:r>
      <w:r>
        <w:rPr>
          <w:color w:val="231F20"/>
          <w:spacing w:val="-15"/>
          <w:w w:val="105"/>
          <w:sz w:val="20"/>
        </w:rPr>
        <w:t> </w:t>
      </w:r>
      <w:r>
        <w:rPr>
          <w:color w:val="231F20"/>
          <w:w w:val="105"/>
          <w:sz w:val="20"/>
        </w:rPr>
        <w:t>al</w:t>
      </w:r>
      <w:r>
        <w:rPr>
          <w:color w:val="231F20"/>
          <w:spacing w:val="-15"/>
          <w:w w:val="105"/>
          <w:sz w:val="20"/>
        </w:rPr>
        <w:t> </w:t>
      </w:r>
      <w:r>
        <w:rPr>
          <w:color w:val="231F20"/>
          <w:w w:val="105"/>
          <w:sz w:val="20"/>
        </w:rPr>
        <w:t>libro</w:t>
      </w:r>
      <w:r>
        <w:rPr>
          <w:color w:val="231F20"/>
          <w:spacing w:val="-15"/>
          <w:w w:val="105"/>
          <w:sz w:val="20"/>
        </w:rPr>
        <w:t> </w:t>
      </w:r>
      <w:r>
        <w:rPr>
          <w:color w:val="231F20"/>
          <w:w w:val="105"/>
          <w:sz w:val="20"/>
        </w:rPr>
        <w:t>con</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título</w:t>
      </w:r>
      <w:r>
        <w:rPr>
          <w:color w:val="231F20"/>
          <w:spacing w:val="-15"/>
          <w:w w:val="105"/>
          <w:sz w:val="20"/>
        </w:rPr>
        <w:t> </w:t>
      </w:r>
      <w:r>
        <w:rPr>
          <w:i/>
          <w:color w:val="231F20"/>
          <w:w w:val="105"/>
          <w:sz w:val="20"/>
        </w:rPr>
        <w:t>Del</w:t>
      </w:r>
      <w:r>
        <w:rPr>
          <w:i/>
          <w:color w:val="231F20"/>
          <w:spacing w:val="-15"/>
          <w:w w:val="105"/>
          <w:sz w:val="20"/>
        </w:rPr>
        <w:t> </w:t>
      </w:r>
      <w:r>
        <w:rPr>
          <w:i/>
          <w:color w:val="231F20"/>
          <w:w w:val="105"/>
          <w:sz w:val="20"/>
        </w:rPr>
        <w:t>terror</w:t>
      </w:r>
      <w:r>
        <w:rPr>
          <w:i/>
          <w:color w:val="231F20"/>
          <w:spacing w:val="-15"/>
          <w:w w:val="105"/>
          <w:sz w:val="20"/>
        </w:rPr>
        <w:t> </w:t>
      </w:r>
      <w:r>
        <w:rPr>
          <w:i/>
          <w:color w:val="231F20"/>
          <w:w w:val="105"/>
          <w:sz w:val="20"/>
        </w:rPr>
        <w:t>a</w:t>
      </w:r>
      <w:r>
        <w:rPr>
          <w:i/>
          <w:color w:val="231F20"/>
          <w:spacing w:val="-15"/>
          <w:w w:val="105"/>
          <w:sz w:val="20"/>
        </w:rPr>
        <w:t> </w:t>
      </w:r>
      <w:r>
        <w:rPr>
          <w:i/>
          <w:color w:val="231F20"/>
          <w:w w:val="105"/>
          <w:sz w:val="20"/>
        </w:rPr>
        <w:t>la</w:t>
      </w:r>
      <w:r>
        <w:rPr>
          <w:i/>
          <w:color w:val="231F20"/>
          <w:spacing w:val="-15"/>
          <w:w w:val="105"/>
          <w:sz w:val="20"/>
        </w:rPr>
        <w:t> </w:t>
      </w:r>
      <w:r>
        <w:rPr>
          <w:i/>
          <w:color w:val="231F20"/>
          <w:w w:val="105"/>
          <w:sz w:val="20"/>
        </w:rPr>
        <w:t>esperanza:</w:t>
      </w:r>
      <w:r>
        <w:rPr>
          <w:i/>
          <w:color w:val="231F20"/>
          <w:spacing w:val="-15"/>
          <w:w w:val="105"/>
          <w:sz w:val="20"/>
        </w:rPr>
        <w:t> </w:t>
      </w:r>
      <w:r>
        <w:rPr>
          <w:i/>
          <w:color w:val="231F20"/>
          <w:w w:val="105"/>
          <w:sz w:val="20"/>
        </w:rPr>
        <w:t>Auge</w:t>
      </w:r>
      <w:r>
        <w:rPr>
          <w:i/>
          <w:color w:val="231F20"/>
          <w:spacing w:val="-15"/>
          <w:w w:val="105"/>
          <w:sz w:val="20"/>
        </w:rPr>
        <w:t> </w:t>
      </w:r>
      <w:r>
        <w:rPr>
          <w:i/>
          <w:color w:val="231F20"/>
          <w:w w:val="105"/>
          <w:sz w:val="20"/>
        </w:rPr>
        <w:t>y</w:t>
      </w:r>
      <w:r>
        <w:rPr>
          <w:i/>
          <w:color w:val="231F20"/>
          <w:spacing w:val="-15"/>
          <w:w w:val="105"/>
          <w:sz w:val="20"/>
        </w:rPr>
        <w:t> </w:t>
      </w:r>
      <w:r>
        <w:rPr>
          <w:i/>
          <w:color w:val="231F20"/>
          <w:w w:val="105"/>
          <w:sz w:val="20"/>
        </w:rPr>
        <w:t>deca- </w:t>
      </w:r>
      <w:r>
        <w:rPr>
          <w:i/>
          <w:color w:val="231F20"/>
          <w:w w:val="105"/>
          <w:sz w:val="20"/>
        </w:rPr>
        <w:t>dencia</w:t>
      </w:r>
      <w:r>
        <w:rPr>
          <w:i/>
          <w:color w:val="231F20"/>
          <w:spacing w:val="-17"/>
          <w:w w:val="105"/>
          <w:sz w:val="20"/>
        </w:rPr>
        <w:t> </w:t>
      </w:r>
      <w:r>
        <w:rPr>
          <w:i/>
          <w:color w:val="231F20"/>
          <w:w w:val="105"/>
          <w:sz w:val="20"/>
        </w:rPr>
        <w:t>del</w:t>
      </w:r>
      <w:r>
        <w:rPr>
          <w:i/>
          <w:color w:val="231F20"/>
          <w:spacing w:val="-17"/>
          <w:w w:val="105"/>
          <w:sz w:val="20"/>
        </w:rPr>
        <w:t> </w:t>
      </w:r>
      <w:r>
        <w:rPr>
          <w:i/>
          <w:color w:val="231F20"/>
          <w:w w:val="105"/>
          <w:sz w:val="20"/>
        </w:rPr>
        <w:t>neoliberalismo</w:t>
      </w:r>
      <w:r>
        <w:rPr>
          <w:color w:val="231F20"/>
          <w:w w:val="105"/>
          <w:sz w:val="20"/>
        </w:rPr>
        <w:t>.</w:t>
      </w:r>
      <w:r>
        <w:rPr>
          <w:color w:val="231F20"/>
          <w:spacing w:val="-17"/>
          <w:w w:val="105"/>
          <w:sz w:val="20"/>
        </w:rPr>
        <w:t> </w:t>
      </w:r>
      <w:r>
        <w:rPr>
          <w:color w:val="231F20"/>
          <w:w w:val="105"/>
          <w:sz w:val="20"/>
        </w:rPr>
        <w:t>Él</w:t>
      </w:r>
      <w:r>
        <w:rPr>
          <w:color w:val="231F20"/>
          <w:spacing w:val="-17"/>
          <w:w w:val="105"/>
          <w:sz w:val="20"/>
        </w:rPr>
        <w:t> </w:t>
      </w:r>
      <w:r>
        <w:rPr>
          <w:color w:val="231F20"/>
          <w:w w:val="105"/>
          <w:sz w:val="20"/>
        </w:rPr>
        <w:t>plantea</w:t>
      </w:r>
      <w:r>
        <w:rPr>
          <w:color w:val="231F20"/>
          <w:spacing w:val="-17"/>
          <w:w w:val="105"/>
          <w:sz w:val="20"/>
        </w:rPr>
        <w:t> </w:t>
      </w:r>
      <w:r>
        <w:rPr>
          <w:color w:val="231F20"/>
          <w:w w:val="105"/>
          <w:sz w:val="20"/>
        </w:rPr>
        <w:t>dos</w:t>
      </w:r>
      <w:r>
        <w:rPr>
          <w:color w:val="231F20"/>
          <w:spacing w:val="-17"/>
          <w:w w:val="105"/>
          <w:sz w:val="20"/>
        </w:rPr>
        <w:t> </w:t>
      </w:r>
      <w:r>
        <w:rPr>
          <w:color w:val="231F20"/>
          <w:w w:val="105"/>
          <w:sz w:val="20"/>
        </w:rPr>
        <w:t>tesis</w:t>
      </w:r>
      <w:r>
        <w:rPr>
          <w:color w:val="231F20"/>
          <w:spacing w:val="-17"/>
          <w:w w:val="105"/>
          <w:sz w:val="20"/>
        </w:rPr>
        <w:t> </w:t>
      </w:r>
      <w:r>
        <w:rPr>
          <w:color w:val="231F20"/>
          <w:w w:val="105"/>
          <w:sz w:val="20"/>
        </w:rPr>
        <w:t>centrales</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creo</w:t>
      </w:r>
      <w:r>
        <w:rPr>
          <w:color w:val="231F20"/>
          <w:spacing w:val="-17"/>
          <w:w w:val="105"/>
          <w:sz w:val="20"/>
        </w:rPr>
        <w:t> </w:t>
      </w:r>
      <w:r>
        <w:rPr>
          <w:color w:val="231F20"/>
          <w:w w:val="105"/>
          <w:sz w:val="20"/>
        </w:rPr>
        <w:t>son</w:t>
      </w:r>
      <w:r>
        <w:rPr>
          <w:color w:val="231F20"/>
          <w:spacing w:val="-17"/>
          <w:w w:val="105"/>
          <w:sz w:val="20"/>
        </w:rPr>
        <w:t> </w:t>
      </w:r>
      <w:r>
        <w:rPr>
          <w:color w:val="231F20"/>
          <w:w w:val="105"/>
          <w:sz w:val="20"/>
        </w:rPr>
        <w:t>una contribución importante al estudio de la etapa actual del capitalismo como sistema económico y como   </w:t>
      </w:r>
      <w:r>
        <w:rPr>
          <w:color w:val="231F20"/>
          <w:spacing w:val="5"/>
          <w:w w:val="105"/>
          <w:sz w:val="20"/>
        </w:rPr>
        <w:t> </w:t>
      </w:r>
      <w:r>
        <w:rPr>
          <w:color w:val="231F20"/>
          <w:w w:val="105"/>
          <w:sz w:val="20"/>
        </w:rPr>
        <w:t>ideología.</w:t>
      </w:r>
    </w:p>
    <w:p>
      <w:pPr>
        <w:pStyle w:val="BodyText"/>
        <w:spacing w:line="261" w:lineRule="auto"/>
        <w:ind w:left="100" w:right="117" w:firstLine="240"/>
        <w:jc w:val="both"/>
      </w:pPr>
      <w:r>
        <w:rPr>
          <w:color w:val="231F20"/>
          <w:w w:val="110"/>
        </w:rPr>
        <w:t>La primera es la afirmación sobre el principio del pensamiento teórico neoliberal. Éste pretende volver a las primicias básicas del liberalismo, establecidas en el siglo xviii. Pretende demostrar que el “libre” mercado es un producto de la naturaleza humana, fundada</w:t>
      </w:r>
      <w:r>
        <w:rPr>
          <w:color w:val="231F20"/>
          <w:spacing w:val="-30"/>
          <w:w w:val="110"/>
        </w:rPr>
        <w:t> </w:t>
      </w:r>
      <w:r>
        <w:rPr>
          <w:color w:val="231F20"/>
          <w:w w:val="110"/>
        </w:rPr>
        <w:t>en la</w:t>
      </w:r>
      <w:r>
        <w:rPr>
          <w:color w:val="231F20"/>
          <w:spacing w:val="-5"/>
          <w:w w:val="110"/>
        </w:rPr>
        <w:t> </w:t>
      </w:r>
      <w:r>
        <w:rPr>
          <w:color w:val="231F20"/>
          <w:w w:val="110"/>
        </w:rPr>
        <w:t>idea</w:t>
      </w:r>
      <w:r>
        <w:rPr>
          <w:color w:val="231F20"/>
          <w:spacing w:val="-5"/>
          <w:w w:val="110"/>
        </w:rPr>
        <w:t> </w:t>
      </w:r>
      <w:r>
        <w:rPr>
          <w:color w:val="231F20"/>
          <w:w w:val="110"/>
        </w:rPr>
        <w:t>del</w:t>
      </w:r>
      <w:r>
        <w:rPr>
          <w:color w:val="231F20"/>
          <w:spacing w:val="-5"/>
          <w:w w:val="110"/>
        </w:rPr>
        <w:t> </w:t>
      </w:r>
      <w:r>
        <w:rPr>
          <w:color w:val="231F20"/>
          <w:w w:val="110"/>
        </w:rPr>
        <w:t>individuo</w:t>
      </w:r>
      <w:r>
        <w:rPr>
          <w:color w:val="231F20"/>
          <w:spacing w:val="-5"/>
          <w:w w:val="110"/>
        </w:rPr>
        <w:t> </w:t>
      </w:r>
      <w:r>
        <w:rPr>
          <w:color w:val="231F20"/>
          <w:w w:val="110"/>
        </w:rPr>
        <w:t>posesivo</w:t>
      </w:r>
      <w:r>
        <w:rPr>
          <w:color w:val="231F20"/>
          <w:spacing w:val="-5"/>
          <w:w w:val="110"/>
        </w:rPr>
        <w:t> </w:t>
      </w:r>
      <w:r>
        <w:rPr>
          <w:color w:val="231F20"/>
          <w:w w:val="110"/>
        </w:rPr>
        <w:t>como</w:t>
      </w:r>
      <w:r>
        <w:rPr>
          <w:color w:val="231F20"/>
          <w:spacing w:val="-5"/>
          <w:w w:val="110"/>
        </w:rPr>
        <w:t> </w:t>
      </w:r>
      <w:r>
        <w:rPr>
          <w:color w:val="231F20"/>
          <w:w w:val="110"/>
        </w:rPr>
        <w:t>plena</w:t>
      </w:r>
      <w:r>
        <w:rPr>
          <w:color w:val="231F20"/>
          <w:spacing w:val="-5"/>
          <w:w w:val="110"/>
        </w:rPr>
        <w:t> </w:t>
      </w:r>
      <w:r>
        <w:rPr>
          <w:color w:val="231F20"/>
          <w:w w:val="110"/>
        </w:rPr>
        <w:t>expresión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naturaleza humana.</w:t>
      </w:r>
      <w:r>
        <w:rPr>
          <w:color w:val="231F20"/>
          <w:spacing w:val="-12"/>
          <w:w w:val="110"/>
        </w:rPr>
        <w:t> </w:t>
      </w:r>
      <w:r>
        <w:rPr>
          <w:color w:val="231F20"/>
          <w:w w:val="110"/>
        </w:rPr>
        <w:t>Además</w:t>
      </w:r>
      <w:r>
        <w:rPr>
          <w:color w:val="231F20"/>
          <w:spacing w:val="-12"/>
          <w:w w:val="110"/>
        </w:rPr>
        <w:t> </w:t>
      </w:r>
      <w:r>
        <w:rPr>
          <w:color w:val="231F20"/>
          <w:w w:val="110"/>
        </w:rPr>
        <w:t>del</w:t>
      </w:r>
      <w:r>
        <w:rPr>
          <w:color w:val="231F20"/>
          <w:spacing w:val="-12"/>
          <w:w w:val="110"/>
        </w:rPr>
        <w:t> </w:t>
      </w:r>
      <w:r>
        <w:rPr>
          <w:color w:val="231F20"/>
          <w:w w:val="110"/>
        </w:rPr>
        <w:t>contenido</w:t>
      </w:r>
      <w:r>
        <w:rPr>
          <w:color w:val="231F20"/>
          <w:spacing w:val="-12"/>
          <w:w w:val="110"/>
        </w:rPr>
        <w:t> </w:t>
      </w:r>
      <w:r>
        <w:rPr>
          <w:color w:val="231F20"/>
          <w:w w:val="110"/>
        </w:rPr>
        <w:t>ideológico</w:t>
      </w:r>
      <w:r>
        <w:rPr>
          <w:color w:val="231F20"/>
          <w:spacing w:val="-12"/>
          <w:w w:val="110"/>
        </w:rPr>
        <w:t> </w:t>
      </w:r>
      <w:r>
        <w:rPr>
          <w:color w:val="231F20"/>
          <w:w w:val="110"/>
        </w:rPr>
        <w:t>evidente</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construc- ción teórica, ya demostrado por varios autores, ella entra en choque con el carácter monopolista y la profundización del capitalismo de Estado que caracterizan el capitalismo</w:t>
      </w:r>
      <w:r>
        <w:rPr>
          <w:color w:val="231F20"/>
          <w:spacing w:val="47"/>
          <w:w w:val="110"/>
        </w:rPr>
        <w:t> </w:t>
      </w:r>
      <w:r>
        <w:rPr>
          <w:color w:val="231F20"/>
          <w:w w:val="110"/>
        </w:rPr>
        <w:t>contemporáneo.</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8</w:t>
      </w:r>
      <w:r>
        <w:rPr>
          <w:color w:val="231F20"/>
          <w:spacing w:val="17"/>
          <w:w w:val="110"/>
          <w:position w:val="5"/>
          <w:sz w:val="10"/>
        </w:rPr>
        <w:t> </w:t>
      </w:r>
      <w:r>
        <w:rPr>
          <w:color w:val="231F20"/>
          <w:w w:val="110"/>
          <w:sz w:val="16"/>
        </w:rPr>
        <w:t>Podría</w:t>
      </w:r>
      <w:r>
        <w:rPr>
          <w:color w:val="231F20"/>
          <w:spacing w:val="-9"/>
          <w:w w:val="110"/>
          <w:sz w:val="16"/>
        </w:rPr>
        <w:t> </w:t>
      </w:r>
      <w:r>
        <w:rPr>
          <w:color w:val="231F20"/>
          <w:w w:val="110"/>
          <w:sz w:val="16"/>
        </w:rPr>
        <w:t>citar</w:t>
      </w:r>
      <w:r>
        <w:rPr>
          <w:color w:val="231F20"/>
          <w:spacing w:val="-9"/>
          <w:w w:val="110"/>
          <w:sz w:val="16"/>
        </w:rPr>
        <w:t> </w:t>
      </w:r>
      <w:r>
        <w:rPr>
          <w:color w:val="231F20"/>
          <w:w w:val="110"/>
          <w:sz w:val="16"/>
        </w:rPr>
        <w:t>algunos</w:t>
      </w:r>
      <w:r>
        <w:rPr>
          <w:color w:val="231F20"/>
          <w:spacing w:val="-9"/>
          <w:w w:val="110"/>
          <w:sz w:val="16"/>
        </w:rPr>
        <w:t> </w:t>
      </w:r>
      <w:r>
        <w:rPr>
          <w:color w:val="231F20"/>
          <w:w w:val="110"/>
          <w:sz w:val="16"/>
        </w:rPr>
        <w:t>artículos</w:t>
      </w:r>
      <w:r>
        <w:rPr>
          <w:color w:val="231F20"/>
          <w:spacing w:val="-9"/>
          <w:w w:val="110"/>
          <w:sz w:val="16"/>
        </w:rPr>
        <w:t> </w:t>
      </w:r>
      <w:r>
        <w:rPr>
          <w:color w:val="231F20"/>
          <w:w w:val="110"/>
          <w:sz w:val="16"/>
        </w:rPr>
        <w:t>en</w:t>
      </w:r>
      <w:r>
        <w:rPr>
          <w:color w:val="231F20"/>
          <w:spacing w:val="-9"/>
          <w:w w:val="110"/>
          <w:sz w:val="16"/>
        </w:rPr>
        <w:t> </w:t>
      </w:r>
      <w:r>
        <w:rPr>
          <w:color w:val="231F20"/>
          <w:w w:val="110"/>
          <w:sz w:val="16"/>
        </w:rPr>
        <w:t>los</w:t>
      </w:r>
      <w:r>
        <w:rPr>
          <w:color w:val="231F20"/>
          <w:spacing w:val="-9"/>
          <w:w w:val="110"/>
          <w:sz w:val="16"/>
        </w:rPr>
        <w:t> </w:t>
      </w:r>
      <w:r>
        <w:rPr>
          <w:color w:val="231F20"/>
          <w:w w:val="110"/>
          <w:sz w:val="16"/>
        </w:rPr>
        <w:t>cuales</w:t>
      </w:r>
      <w:r>
        <w:rPr>
          <w:color w:val="231F20"/>
          <w:spacing w:val="-9"/>
          <w:w w:val="110"/>
          <w:sz w:val="16"/>
        </w:rPr>
        <w:t> </w:t>
      </w:r>
      <w:r>
        <w:rPr>
          <w:color w:val="231F20"/>
          <w:w w:val="110"/>
          <w:sz w:val="16"/>
        </w:rPr>
        <w:t>demostrábamos</w:t>
      </w:r>
      <w:r>
        <w:rPr>
          <w:color w:val="231F20"/>
          <w:spacing w:val="-9"/>
          <w:w w:val="110"/>
          <w:sz w:val="16"/>
        </w:rPr>
        <w:t> </w:t>
      </w:r>
      <w:r>
        <w:rPr>
          <w:color w:val="231F20"/>
          <w:w w:val="110"/>
          <w:sz w:val="16"/>
        </w:rPr>
        <w:t>el</w:t>
      </w:r>
      <w:r>
        <w:rPr>
          <w:color w:val="231F20"/>
          <w:spacing w:val="-9"/>
          <w:w w:val="110"/>
          <w:sz w:val="16"/>
        </w:rPr>
        <w:t> </w:t>
      </w:r>
      <w:r>
        <w:rPr>
          <w:color w:val="231F20"/>
          <w:w w:val="110"/>
          <w:sz w:val="16"/>
        </w:rPr>
        <w:t>nuevo</w:t>
      </w:r>
      <w:r>
        <w:rPr>
          <w:color w:val="231F20"/>
          <w:spacing w:val="-9"/>
          <w:w w:val="110"/>
          <w:sz w:val="16"/>
        </w:rPr>
        <w:t> </w:t>
      </w:r>
      <w:r>
        <w:rPr>
          <w:color w:val="231F20"/>
          <w:w w:val="110"/>
          <w:sz w:val="16"/>
        </w:rPr>
        <w:t>curso</w:t>
      </w:r>
      <w:r>
        <w:rPr>
          <w:color w:val="231F20"/>
          <w:spacing w:val="-9"/>
          <w:w w:val="110"/>
          <w:sz w:val="16"/>
        </w:rPr>
        <w:t> </w:t>
      </w:r>
      <w:r>
        <w:rPr>
          <w:color w:val="231F20"/>
          <w:w w:val="110"/>
          <w:sz w:val="16"/>
        </w:rPr>
        <w:t>en</w:t>
      </w:r>
      <w:r>
        <w:rPr>
          <w:color w:val="231F20"/>
          <w:spacing w:val="-9"/>
          <w:w w:val="110"/>
          <w:sz w:val="16"/>
        </w:rPr>
        <w:t> </w:t>
      </w:r>
      <w:r>
        <w:rPr>
          <w:color w:val="231F20"/>
          <w:w w:val="110"/>
          <w:sz w:val="16"/>
        </w:rPr>
        <w:t>que tendíamos</w:t>
      </w:r>
      <w:r>
        <w:rPr>
          <w:color w:val="231F20"/>
          <w:spacing w:val="-14"/>
          <w:w w:val="110"/>
          <w:sz w:val="16"/>
        </w:rPr>
        <w:t> </w:t>
      </w:r>
      <w:r>
        <w:rPr>
          <w:color w:val="231F20"/>
          <w:w w:val="110"/>
          <w:sz w:val="16"/>
        </w:rPr>
        <w:t>a</w:t>
      </w:r>
      <w:r>
        <w:rPr>
          <w:color w:val="231F20"/>
          <w:spacing w:val="-14"/>
          <w:w w:val="110"/>
          <w:sz w:val="16"/>
        </w:rPr>
        <w:t> </w:t>
      </w:r>
      <w:r>
        <w:rPr>
          <w:color w:val="231F20"/>
          <w:w w:val="110"/>
          <w:sz w:val="16"/>
        </w:rPr>
        <w:t>ingresar</w:t>
      </w:r>
      <w:r>
        <w:rPr>
          <w:color w:val="231F20"/>
          <w:spacing w:val="-14"/>
          <w:w w:val="110"/>
          <w:sz w:val="16"/>
        </w:rPr>
        <w:t> </w:t>
      </w:r>
      <w:r>
        <w:rPr>
          <w:color w:val="231F20"/>
          <w:w w:val="110"/>
          <w:sz w:val="16"/>
        </w:rPr>
        <w:t>como</w:t>
      </w:r>
      <w:r>
        <w:rPr>
          <w:color w:val="231F20"/>
          <w:spacing w:val="-14"/>
          <w:w w:val="110"/>
          <w:sz w:val="16"/>
        </w:rPr>
        <w:t> </w:t>
      </w:r>
      <w:r>
        <w:rPr>
          <w:color w:val="231F20"/>
          <w:w w:val="110"/>
          <w:sz w:val="16"/>
        </w:rPr>
        <w:t>producto</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evolución</w:t>
      </w:r>
      <w:r>
        <w:rPr>
          <w:color w:val="231F20"/>
          <w:spacing w:val="-14"/>
          <w:w w:val="110"/>
          <w:sz w:val="16"/>
        </w:rPr>
        <w:t> </w:t>
      </w:r>
      <w:r>
        <w:rPr>
          <w:color w:val="231F20"/>
          <w:w w:val="110"/>
          <w:sz w:val="16"/>
        </w:rPr>
        <w:t>del</w:t>
      </w:r>
      <w:r>
        <w:rPr>
          <w:color w:val="231F20"/>
          <w:spacing w:val="-14"/>
          <w:w w:val="110"/>
          <w:sz w:val="16"/>
        </w:rPr>
        <w:t> </w:t>
      </w:r>
      <w:r>
        <w:rPr>
          <w:color w:val="231F20"/>
          <w:w w:val="110"/>
          <w:sz w:val="16"/>
        </w:rPr>
        <w:t>sistema</w:t>
      </w:r>
      <w:r>
        <w:rPr>
          <w:color w:val="231F20"/>
          <w:spacing w:val="-14"/>
          <w:w w:val="110"/>
          <w:sz w:val="16"/>
        </w:rPr>
        <w:t> </w:t>
      </w:r>
      <w:r>
        <w:rPr>
          <w:color w:val="231F20"/>
          <w:w w:val="110"/>
          <w:sz w:val="16"/>
        </w:rPr>
        <w:t>mundial</w:t>
      </w:r>
      <w:r>
        <w:rPr>
          <w:color w:val="231F20"/>
          <w:spacing w:val="-14"/>
          <w:w w:val="110"/>
          <w:sz w:val="16"/>
        </w:rPr>
        <w:t> </w:t>
      </w:r>
      <w:r>
        <w:rPr>
          <w:color w:val="231F20"/>
          <w:w w:val="110"/>
          <w:sz w:val="16"/>
        </w:rPr>
        <w:t>capitalista.</w:t>
      </w:r>
      <w:r>
        <w:rPr>
          <w:color w:val="231F20"/>
          <w:spacing w:val="-14"/>
          <w:w w:val="110"/>
          <w:sz w:val="16"/>
        </w:rPr>
        <w:t> </w:t>
      </w:r>
      <w:r>
        <w:rPr>
          <w:color w:val="231F20"/>
          <w:w w:val="110"/>
          <w:sz w:val="16"/>
        </w:rPr>
        <w:t>La tesis central que hemos sostenido en estos estudios podría resumirse en la afirmación de nuestro artículo (Dos Santos, 1989: 84-85): “A questão da integração regional se converte</w:t>
      </w:r>
      <w:r>
        <w:rPr>
          <w:color w:val="231F20"/>
          <w:spacing w:val="-7"/>
          <w:w w:val="110"/>
          <w:sz w:val="16"/>
        </w:rPr>
        <w:t> </w:t>
      </w:r>
      <w:r>
        <w:rPr>
          <w:color w:val="231F20"/>
          <w:w w:val="110"/>
          <w:sz w:val="16"/>
        </w:rPr>
        <w:t>pois</w:t>
      </w:r>
      <w:r>
        <w:rPr>
          <w:color w:val="231F20"/>
          <w:spacing w:val="-7"/>
          <w:w w:val="110"/>
          <w:sz w:val="16"/>
        </w:rPr>
        <w:t> </w:t>
      </w:r>
      <w:r>
        <w:rPr>
          <w:color w:val="231F20"/>
          <w:w w:val="110"/>
          <w:sz w:val="16"/>
        </w:rPr>
        <w:t>em</w:t>
      </w:r>
      <w:r>
        <w:rPr>
          <w:color w:val="231F20"/>
          <w:spacing w:val="-7"/>
          <w:w w:val="110"/>
          <w:sz w:val="16"/>
        </w:rPr>
        <w:t> </w:t>
      </w:r>
      <w:r>
        <w:rPr>
          <w:color w:val="231F20"/>
          <w:w w:val="110"/>
          <w:sz w:val="16"/>
        </w:rPr>
        <w:t>uma</w:t>
      </w:r>
      <w:r>
        <w:rPr>
          <w:color w:val="231F20"/>
          <w:spacing w:val="-7"/>
          <w:w w:val="110"/>
          <w:sz w:val="16"/>
        </w:rPr>
        <w:t> </w:t>
      </w:r>
      <w:r>
        <w:rPr>
          <w:color w:val="231F20"/>
          <w:w w:val="110"/>
          <w:sz w:val="16"/>
        </w:rPr>
        <w:t>necessidade</w:t>
      </w:r>
      <w:r>
        <w:rPr>
          <w:color w:val="231F20"/>
          <w:spacing w:val="-7"/>
          <w:w w:val="110"/>
          <w:sz w:val="16"/>
        </w:rPr>
        <w:t> </w:t>
      </w:r>
      <w:r>
        <w:rPr>
          <w:color w:val="231F20"/>
          <w:w w:val="110"/>
          <w:sz w:val="16"/>
        </w:rPr>
        <w:t>crescente</w:t>
      </w:r>
      <w:r>
        <w:rPr>
          <w:color w:val="231F20"/>
          <w:spacing w:val="-7"/>
          <w:w w:val="110"/>
          <w:sz w:val="16"/>
        </w:rPr>
        <w:t> </w:t>
      </w:r>
      <w:r>
        <w:rPr>
          <w:color w:val="231F20"/>
          <w:w w:val="110"/>
          <w:sz w:val="16"/>
        </w:rPr>
        <w:t>e</w:t>
      </w:r>
      <w:r>
        <w:rPr>
          <w:color w:val="231F20"/>
          <w:spacing w:val="-7"/>
          <w:w w:val="110"/>
          <w:sz w:val="16"/>
        </w:rPr>
        <w:t> </w:t>
      </w:r>
      <w:r>
        <w:rPr>
          <w:color w:val="231F20"/>
          <w:w w:val="110"/>
          <w:sz w:val="16"/>
        </w:rPr>
        <w:t>é</w:t>
      </w:r>
      <w:r>
        <w:rPr>
          <w:color w:val="231F20"/>
          <w:spacing w:val="-7"/>
          <w:w w:val="110"/>
          <w:sz w:val="16"/>
        </w:rPr>
        <w:t> </w:t>
      </w:r>
      <w:r>
        <w:rPr>
          <w:color w:val="231F20"/>
          <w:w w:val="110"/>
          <w:sz w:val="16"/>
        </w:rPr>
        <w:t>evidente</w:t>
      </w:r>
      <w:r>
        <w:rPr>
          <w:color w:val="231F20"/>
          <w:spacing w:val="-7"/>
          <w:w w:val="110"/>
          <w:sz w:val="16"/>
        </w:rPr>
        <w:t> </w:t>
      </w:r>
      <w:r>
        <w:rPr>
          <w:color w:val="231F20"/>
          <w:w w:val="110"/>
          <w:sz w:val="16"/>
        </w:rPr>
        <w:t>que</w:t>
      </w:r>
      <w:r>
        <w:rPr>
          <w:color w:val="231F20"/>
          <w:spacing w:val="-7"/>
          <w:w w:val="110"/>
          <w:sz w:val="16"/>
        </w:rPr>
        <w:t> </w:t>
      </w:r>
      <w:r>
        <w:rPr>
          <w:color w:val="231F20"/>
          <w:w w:val="110"/>
          <w:sz w:val="16"/>
        </w:rPr>
        <w:t>o</w:t>
      </w:r>
      <w:r>
        <w:rPr>
          <w:color w:val="231F20"/>
          <w:spacing w:val="-7"/>
          <w:w w:val="110"/>
          <w:sz w:val="16"/>
        </w:rPr>
        <w:t> </w:t>
      </w:r>
      <w:r>
        <w:rPr>
          <w:color w:val="231F20"/>
          <w:w w:val="110"/>
          <w:sz w:val="16"/>
        </w:rPr>
        <w:t>Brasil</w:t>
      </w:r>
      <w:r>
        <w:rPr>
          <w:color w:val="231F20"/>
          <w:spacing w:val="-7"/>
          <w:w w:val="110"/>
          <w:sz w:val="16"/>
        </w:rPr>
        <w:t> </w:t>
      </w:r>
      <w:r>
        <w:rPr>
          <w:color w:val="231F20"/>
          <w:w w:val="110"/>
          <w:sz w:val="16"/>
        </w:rPr>
        <w:t>deve</w:t>
      </w:r>
      <w:r>
        <w:rPr>
          <w:color w:val="231F20"/>
          <w:spacing w:val="-7"/>
          <w:w w:val="110"/>
          <w:sz w:val="16"/>
        </w:rPr>
        <w:t> </w:t>
      </w:r>
      <w:r>
        <w:rPr>
          <w:color w:val="231F20"/>
          <w:w w:val="110"/>
          <w:sz w:val="16"/>
        </w:rPr>
        <w:t>ocupar</w:t>
      </w:r>
      <w:r>
        <w:rPr>
          <w:color w:val="231F20"/>
          <w:spacing w:val="-7"/>
          <w:w w:val="110"/>
          <w:sz w:val="16"/>
        </w:rPr>
        <w:t> </w:t>
      </w:r>
      <w:r>
        <w:rPr>
          <w:color w:val="231F20"/>
          <w:w w:val="110"/>
          <w:sz w:val="16"/>
        </w:rPr>
        <w:t>um papel protagônico nesse processo. Queira ou não, ele está envolvido na presidência da oea, no Grupo de Contadora e na América Central, na formação de um Pacto Amazônico indispensável e cada vez mais urgente, na integração do Cone Sul e em todas as iniciativas regionais como a aladi, o sela e tantas outras. Esta é a hora para uma grande iniciativa diplomática que deve sair do plano burocrático governamental para envolver todo o povo</w:t>
      </w:r>
      <w:r>
        <w:rPr>
          <w:color w:val="231F20"/>
          <w:spacing w:val="-6"/>
          <w:w w:val="110"/>
          <w:sz w:val="16"/>
        </w:rPr>
        <w:t> </w:t>
      </w:r>
      <w:r>
        <w:rPr>
          <w:color w:val="231F20"/>
          <w:w w:val="110"/>
          <w:sz w:val="16"/>
        </w:rPr>
        <w:t>brasileiro”.</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8" w:firstLine="240"/>
        <w:jc w:val="both"/>
      </w:pPr>
      <w:r>
        <w:rPr>
          <w:color w:val="231F20"/>
          <w:w w:val="110"/>
        </w:rPr>
        <w:t>Si la hipótesis del libre mercado podría tener algún sentido prác- tico en el siglo xix para imponer el dominio del capital sobre la economía mundial, en el siglo xx y más aún en el siglo xxi es una aberración inútil y equivocada que entra en choque con los hechos de cada día. De ahí el fracaso del neoliberalismo y del pensamiento único para inspirar políticas económicas coherentes. En mi estudio sobre la práctica del neoliberalismo demuestro cómo las políticas económicas</w:t>
      </w:r>
      <w:r>
        <w:rPr>
          <w:color w:val="231F20"/>
          <w:spacing w:val="-10"/>
          <w:w w:val="110"/>
        </w:rPr>
        <w:t> </w:t>
      </w:r>
      <w:r>
        <w:rPr>
          <w:color w:val="231F20"/>
          <w:w w:val="110"/>
        </w:rPr>
        <w:t>de</w:t>
      </w:r>
      <w:r>
        <w:rPr>
          <w:color w:val="231F20"/>
          <w:spacing w:val="-10"/>
          <w:w w:val="110"/>
        </w:rPr>
        <w:t> </w:t>
      </w:r>
      <w:r>
        <w:rPr>
          <w:color w:val="231F20"/>
          <w:w w:val="110"/>
        </w:rPr>
        <w:t>inspiración</w:t>
      </w:r>
      <w:r>
        <w:rPr>
          <w:color w:val="231F20"/>
          <w:spacing w:val="-10"/>
          <w:w w:val="110"/>
        </w:rPr>
        <w:t> </w:t>
      </w:r>
      <w:r>
        <w:rPr>
          <w:color w:val="231F20"/>
          <w:w w:val="110"/>
        </w:rPr>
        <w:t>neoliberal</w:t>
      </w:r>
      <w:r>
        <w:rPr>
          <w:color w:val="231F20"/>
          <w:spacing w:val="-10"/>
          <w:w w:val="110"/>
        </w:rPr>
        <w:t> </w:t>
      </w:r>
      <w:r>
        <w:rPr>
          <w:color w:val="231F20"/>
          <w:w w:val="110"/>
        </w:rPr>
        <w:t>aumentaron</w:t>
      </w:r>
      <w:r>
        <w:rPr>
          <w:color w:val="231F20"/>
          <w:spacing w:val="-10"/>
          <w:w w:val="110"/>
        </w:rPr>
        <w:t> </w:t>
      </w:r>
      <w:r>
        <w:rPr>
          <w:color w:val="231F20"/>
          <w:w w:val="110"/>
        </w:rPr>
        <w:t>el</w:t>
      </w:r>
      <w:r>
        <w:rPr>
          <w:color w:val="231F20"/>
          <w:spacing w:val="-10"/>
          <w:w w:val="110"/>
        </w:rPr>
        <w:t> </w:t>
      </w:r>
      <w:r>
        <w:rPr>
          <w:color w:val="231F20"/>
          <w:w w:val="110"/>
        </w:rPr>
        <w:t>déficit</w:t>
      </w:r>
      <w:r>
        <w:rPr>
          <w:color w:val="231F20"/>
          <w:spacing w:val="-10"/>
          <w:w w:val="110"/>
        </w:rPr>
        <w:t> </w:t>
      </w:r>
      <w:r>
        <w:rPr>
          <w:color w:val="231F20"/>
          <w:w w:val="110"/>
        </w:rPr>
        <w:t>público</w:t>
      </w:r>
      <w:r>
        <w:rPr>
          <w:color w:val="231F20"/>
          <w:spacing w:val="-10"/>
          <w:w w:val="110"/>
        </w:rPr>
        <w:t> </w:t>
      </w:r>
      <w:r>
        <w:rPr>
          <w:color w:val="231F20"/>
          <w:w w:val="110"/>
        </w:rPr>
        <w:t>y por lo tanto la intervención del Estado en la economía (disminuyen- do el gasto social pero aumentando de manera explosiva los gastos financieros y</w:t>
      </w:r>
      <w:r>
        <w:rPr>
          <w:color w:val="231F20"/>
          <w:spacing w:val="-22"/>
          <w:w w:val="110"/>
        </w:rPr>
        <w:t> </w:t>
      </w:r>
      <w:r>
        <w:rPr>
          <w:color w:val="231F20"/>
          <w:w w:val="110"/>
        </w:rPr>
        <w:t>militares).</w:t>
      </w:r>
    </w:p>
    <w:p>
      <w:pPr>
        <w:pStyle w:val="BodyText"/>
        <w:spacing w:line="261" w:lineRule="auto"/>
        <w:ind w:left="100" w:right="113" w:firstLine="240"/>
        <w:jc w:val="both"/>
      </w:pPr>
      <w:r>
        <w:rPr>
          <w:color w:val="231F20"/>
          <w:w w:val="110"/>
        </w:rPr>
        <w:t>Al mismo tiempo, los gobiernos neoliberales crearon déficit co- merciales, de un lado, y superávit, del otro, que introdujeron un desequilibrio fantástico en la economía mundial. Es evidente que estos desequilibrios fiscales y comerciales condujeron también a un desequilibrio</w:t>
      </w:r>
      <w:r>
        <w:rPr>
          <w:color w:val="231F20"/>
          <w:spacing w:val="-20"/>
          <w:w w:val="110"/>
        </w:rPr>
        <w:t> </w:t>
      </w:r>
      <w:r>
        <w:rPr>
          <w:color w:val="231F20"/>
          <w:w w:val="110"/>
        </w:rPr>
        <w:t>monetario</w:t>
      </w:r>
      <w:r>
        <w:rPr>
          <w:color w:val="231F20"/>
          <w:spacing w:val="-20"/>
          <w:w w:val="110"/>
        </w:rPr>
        <w:t> </w:t>
      </w:r>
      <w:r>
        <w:rPr>
          <w:color w:val="231F20"/>
          <w:w w:val="110"/>
        </w:rPr>
        <w:t>y</w:t>
      </w:r>
      <w:r>
        <w:rPr>
          <w:color w:val="231F20"/>
          <w:spacing w:val="-20"/>
          <w:w w:val="110"/>
        </w:rPr>
        <w:t> </w:t>
      </w:r>
      <w:r>
        <w:rPr>
          <w:color w:val="231F20"/>
          <w:w w:val="110"/>
        </w:rPr>
        <w:t>a</w:t>
      </w:r>
      <w:r>
        <w:rPr>
          <w:color w:val="231F20"/>
          <w:spacing w:val="-20"/>
          <w:w w:val="110"/>
        </w:rPr>
        <w:t> </w:t>
      </w:r>
      <w:r>
        <w:rPr>
          <w:color w:val="231F20"/>
          <w:w w:val="110"/>
        </w:rPr>
        <w:t>una</w:t>
      </w:r>
      <w:r>
        <w:rPr>
          <w:color w:val="231F20"/>
          <w:spacing w:val="-20"/>
          <w:w w:val="110"/>
        </w:rPr>
        <w:t> </w:t>
      </w:r>
      <w:r>
        <w:rPr>
          <w:color w:val="231F20"/>
          <w:w w:val="110"/>
        </w:rPr>
        <w:t>oscilación</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divisas</w:t>
      </w:r>
      <w:r>
        <w:rPr>
          <w:color w:val="231F20"/>
          <w:spacing w:val="-20"/>
          <w:w w:val="110"/>
        </w:rPr>
        <w:t> </w:t>
      </w:r>
      <w:r>
        <w:rPr>
          <w:color w:val="231F20"/>
          <w:w w:val="110"/>
        </w:rPr>
        <w:t>internaciona- les completamente dependientes de las intervenciones estatales y de los juegos monopolistas y especulativos que ningún mercado</w:t>
      </w:r>
      <w:r>
        <w:rPr>
          <w:color w:val="231F20"/>
          <w:spacing w:val="-23"/>
          <w:w w:val="110"/>
        </w:rPr>
        <w:t> </w:t>
      </w:r>
      <w:r>
        <w:rPr>
          <w:color w:val="231F20"/>
          <w:w w:val="110"/>
        </w:rPr>
        <w:t>“libre” puede, ni de lejos, </w:t>
      </w:r>
      <w:r>
        <w:rPr>
          <w:color w:val="231F20"/>
          <w:spacing w:val="4"/>
          <w:w w:val="110"/>
        </w:rPr>
        <w:t> </w:t>
      </w:r>
      <w:r>
        <w:rPr>
          <w:color w:val="231F20"/>
          <w:spacing w:val="-3"/>
          <w:w w:val="110"/>
        </w:rPr>
        <w:t>regular.</w:t>
      </w:r>
    </w:p>
    <w:p>
      <w:pPr>
        <w:pStyle w:val="BodyText"/>
        <w:spacing w:line="261" w:lineRule="auto"/>
        <w:ind w:left="100" w:right="119" w:firstLine="240"/>
        <w:jc w:val="both"/>
      </w:pPr>
      <w:r>
        <w:rPr>
          <w:color w:val="231F20"/>
          <w:w w:val="110"/>
        </w:rPr>
        <w:t>La segunda tesis que presentamos en este libro se refiere a la re- lación entre los regímenes de fuerza, fascistas y parafascistas, con</w:t>
      </w:r>
      <w:r>
        <w:rPr>
          <w:color w:val="231F20"/>
          <w:spacing w:val="-16"/>
          <w:w w:val="110"/>
        </w:rPr>
        <w:t> </w:t>
      </w:r>
      <w:r>
        <w:rPr>
          <w:color w:val="231F20"/>
          <w:w w:val="110"/>
        </w:rPr>
        <w:t>el dominio</w:t>
      </w:r>
      <w:r>
        <w:rPr>
          <w:color w:val="231F20"/>
          <w:spacing w:val="-7"/>
          <w:w w:val="110"/>
        </w:rPr>
        <w:t> </w:t>
      </w:r>
      <w:r>
        <w:rPr>
          <w:color w:val="231F20"/>
          <w:w w:val="110"/>
        </w:rPr>
        <w:t>ideológico</w:t>
      </w:r>
      <w:r>
        <w:rPr>
          <w:color w:val="231F20"/>
          <w:spacing w:val="-7"/>
          <w:w w:val="110"/>
        </w:rPr>
        <w:t> </w:t>
      </w:r>
      <w:r>
        <w:rPr>
          <w:color w:val="231F20"/>
          <w:w w:val="110"/>
        </w:rPr>
        <w:t>y</w:t>
      </w:r>
      <w:r>
        <w:rPr>
          <w:color w:val="231F20"/>
          <w:spacing w:val="-7"/>
          <w:w w:val="110"/>
        </w:rPr>
        <w:t> </w:t>
      </w:r>
      <w:r>
        <w:rPr>
          <w:color w:val="231F20"/>
          <w:w w:val="110"/>
        </w:rPr>
        <w:t>político</w:t>
      </w:r>
      <w:r>
        <w:rPr>
          <w:color w:val="231F20"/>
          <w:spacing w:val="-7"/>
          <w:w w:val="110"/>
        </w:rPr>
        <w:t> </w:t>
      </w:r>
      <w:r>
        <w:rPr>
          <w:color w:val="231F20"/>
          <w:w w:val="110"/>
        </w:rPr>
        <w:t>del</w:t>
      </w:r>
      <w:r>
        <w:rPr>
          <w:color w:val="231F20"/>
          <w:spacing w:val="-7"/>
          <w:w w:val="110"/>
        </w:rPr>
        <w:t> </w:t>
      </w:r>
      <w:r>
        <w:rPr>
          <w:color w:val="231F20"/>
          <w:w w:val="110"/>
        </w:rPr>
        <w:t>neoliberalismo.</w:t>
      </w:r>
      <w:r>
        <w:rPr>
          <w:color w:val="231F20"/>
          <w:spacing w:val="-7"/>
          <w:w w:val="110"/>
        </w:rPr>
        <w:t> </w:t>
      </w:r>
      <w:r>
        <w:rPr>
          <w:color w:val="231F20"/>
          <w:w w:val="110"/>
        </w:rPr>
        <w:t>No</w:t>
      </w:r>
      <w:r>
        <w:rPr>
          <w:color w:val="231F20"/>
          <w:spacing w:val="-7"/>
          <w:w w:val="110"/>
        </w:rPr>
        <w:t> </w:t>
      </w:r>
      <w:r>
        <w:rPr>
          <w:color w:val="231F20"/>
          <w:w w:val="110"/>
        </w:rPr>
        <w:t>fue</w:t>
      </w:r>
      <w:r>
        <w:rPr>
          <w:color w:val="231F20"/>
          <w:spacing w:val="-7"/>
          <w:w w:val="110"/>
        </w:rPr>
        <w:t> </w:t>
      </w:r>
      <w:r>
        <w:rPr>
          <w:color w:val="231F20"/>
          <w:w w:val="110"/>
        </w:rPr>
        <w:t>una</w:t>
      </w:r>
      <w:r>
        <w:rPr>
          <w:color w:val="231F20"/>
          <w:spacing w:val="-7"/>
          <w:w w:val="110"/>
        </w:rPr>
        <w:t> </w:t>
      </w:r>
      <w:r>
        <w:rPr>
          <w:color w:val="231F20"/>
          <w:w w:val="110"/>
        </w:rPr>
        <w:t>coinci- dencia</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desmoralizado</w:t>
      </w:r>
      <w:r>
        <w:rPr>
          <w:color w:val="231F20"/>
          <w:spacing w:val="-6"/>
          <w:w w:val="110"/>
        </w:rPr>
        <w:t> </w:t>
      </w:r>
      <w:r>
        <w:rPr>
          <w:color w:val="231F20"/>
          <w:w w:val="110"/>
        </w:rPr>
        <w:t>grupo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Universidad</w:t>
      </w:r>
      <w:r>
        <w:rPr>
          <w:color w:val="231F20"/>
          <w:spacing w:val="-6"/>
          <w:w w:val="110"/>
        </w:rPr>
        <w:t> </w:t>
      </w:r>
      <w:r>
        <w:rPr>
          <w:color w:val="231F20"/>
          <w:w w:val="110"/>
        </w:rPr>
        <w:t>de</w:t>
      </w:r>
      <w:r>
        <w:rPr>
          <w:color w:val="231F20"/>
          <w:spacing w:val="-6"/>
          <w:w w:val="110"/>
        </w:rPr>
        <w:t> </w:t>
      </w:r>
      <w:r>
        <w:rPr>
          <w:color w:val="231F20"/>
          <w:w w:val="110"/>
        </w:rPr>
        <w:t>Chicago</w:t>
      </w:r>
      <w:r>
        <w:rPr>
          <w:color w:val="231F20"/>
          <w:spacing w:val="-6"/>
          <w:w w:val="110"/>
        </w:rPr>
        <w:t> </w:t>
      </w:r>
      <w:r>
        <w:rPr>
          <w:color w:val="231F20"/>
          <w:w w:val="110"/>
        </w:rPr>
        <w:t>en-</w:t>
      </w:r>
      <w:r>
        <w:rPr>
          <w:color w:val="231F20"/>
          <w:w w:val="72"/>
        </w:rPr>
        <w:t> </w:t>
      </w:r>
      <w:r>
        <w:rPr>
          <w:color w:val="231F20"/>
          <w:w w:val="110"/>
        </w:rPr>
        <w:t>contrase el primer gobierno que los insertó en el mundo económico real</w:t>
      </w:r>
      <w:r>
        <w:rPr>
          <w:color w:val="231F20"/>
          <w:spacing w:val="-16"/>
          <w:w w:val="110"/>
        </w:rPr>
        <w:t> </w:t>
      </w:r>
      <w:r>
        <w:rPr>
          <w:color w:val="231F20"/>
          <w:w w:val="110"/>
        </w:rPr>
        <w:t>a</w:t>
      </w:r>
      <w:r>
        <w:rPr>
          <w:color w:val="231F20"/>
          <w:spacing w:val="-16"/>
          <w:w w:val="110"/>
        </w:rPr>
        <w:t> </w:t>
      </w:r>
      <w:r>
        <w:rPr>
          <w:color w:val="231F20"/>
          <w:w w:val="110"/>
        </w:rPr>
        <w:t>través</w:t>
      </w:r>
      <w:r>
        <w:rPr>
          <w:color w:val="231F20"/>
          <w:spacing w:val="-16"/>
          <w:w w:val="110"/>
        </w:rPr>
        <w:t> </w:t>
      </w:r>
      <w:r>
        <w:rPr>
          <w:color w:val="231F20"/>
          <w:w w:val="110"/>
        </w:rPr>
        <w:t>del</w:t>
      </w:r>
      <w:r>
        <w:rPr>
          <w:color w:val="231F20"/>
          <w:spacing w:val="-16"/>
          <w:w w:val="110"/>
        </w:rPr>
        <w:t> </w:t>
      </w:r>
      <w:r>
        <w:rPr>
          <w:color w:val="231F20"/>
          <w:w w:val="110"/>
        </w:rPr>
        <w:t>régimen</w:t>
      </w:r>
      <w:r>
        <w:rPr>
          <w:color w:val="231F20"/>
          <w:spacing w:val="-16"/>
          <w:w w:val="110"/>
        </w:rPr>
        <w:t> </w:t>
      </w:r>
      <w:r>
        <w:rPr>
          <w:color w:val="231F20"/>
          <w:w w:val="110"/>
        </w:rPr>
        <w:t>fascista</w:t>
      </w:r>
      <w:r>
        <w:rPr>
          <w:color w:val="231F20"/>
          <w:spacing w:val="-16"/>
          <w:w w:val="110"/>
        </w:rPr>
        <w:t> </w:t>
      </w:r>
      <w:r>
        <w:rPr>
          <w:color w:val="231F20"/>
          <w:w w:val="110"/>
        </w:rPr>
        <w:t>de</w:t>
      </w:r>
      <w:r>
        <w:rPr>
          <w:color w:val="231F20"/>
          <w:spacing w:val="-16"/>
          <w:w w:val="110"/>
        </w:rPr>
        <w:t> </w:t>
      </w:r>
      <w:r>
        <w:rPr>
          <w:color w:val="231F20"/>
          <w:w w:val="110"/>
        </w:rPr>
        <w:t>Augusto</w:t>
      </w:r>
      <w:r>
        <w:rPr>
          <w:color w:val="231F20"/>
          <w:spacing w:val="-16"/>
          <w:w w:val="110"/>
        </w:rPr>
        <w:t> </w:t>
      </w:r>
      <w:r>
        <w:rPr>
          <w:color w:val="231F20"/>
          <w:w w:val="110"/>
        </w:rPr>
        <w:t>Pinochett</w:t>
      </w:r>
      <w:r>
        <w:rPr>
          <w:color w:val="231F20"/>
          <w:spacing w:val="-16"/>
          <w:w w:val="110"/>
        </w:rPr>
        <w:t> </w:t>
      </w:r>
      <w:r>
        <w:rPr>
          <w:color w:val="231F20"/>
          <w:w w:val="110"/>
        </w:rPr>
        <w:t>en</w:t>
      </w:r>
      <w:r>
        <w:rPr>
          <w:color w:val="231F20"/>
          <w:spacing w:val="-16"/>
          <w:w w:val="110"/>
        </w:rPr>
        <w:t> </w:t>
      </w:r>
      <w:r>
        <w:rPr>
          <w:color w:val="231F20"/>
          <w:w w:val="110"/>
        </w:rPr>
        <w:t>Chile.</w:t>
      </w:r>
      <w:r>
        <w:rPr>
          <w:color w:val="231F20"/>
          <w:spacing w:val="-16"/>
          <w:w w:val="110"/>
        </w:rPr>
        <w:t> </w:t>
      </w:r>
      <w:r>
        <w:rPr>
          <w:color w:val="231F20"/>
          <w:w w:val="110"/>
        </w:rPr>
        <w:t>Ni</w:t>
      </w:r>
      <w:r>
        <w:rPr>
          <w:color w:val="231F20"/>
          <w:spacing w:val="-16"/>
          <w:w w:val="110"/>
        </w:rPr>
        <w:t> </w:t>
      </w:r>
      <w:r>
        <w:rPr>
          <w:color w:val="231F20"/>
          <w:w w:val="110"/>
        </w:rPr>
        <w:t>es</w:t>
      </w:r>
      <w:r>
        <w:rPr>
          <w:color w:val="231F20"/>
          <w:w w:val="103"/>
        </w:rPr>
        <w:t> </w:t>
      </w:r>
      <w:r>
        <w:rPr>
          <w:color w:val="231F20"/>
          <w:w w:val="110"/>
        </w:rPr>
        <w:t>menos verdad que los gobiernos de Thatcher y Reagan que los pro- pagaron en todo el mundo se fundaron en violentas confrontaciones con el movimiento sindical de sus países en un intento desesperado de destruir el “Estado de bienestar” y los regímenes</w:t>
      </w:r>
      <w:r>
        <w:rPr>
          <w:color w:val="231F20"/>
          <w:spacing w:val="-31"/>
          <w:w w:val="110"/>
        </w:rPr>
        <w:t> </w:t>
      </w:r>
      <w:r>
        <w:rPr>
          <w:color w:val="231F20"/>
          <w:w w:val="110"/>
        </w:rPr>
        <w:t>socialistas.</w:t>
      </w:r>
    </w:p>
    <w:p>
      <w:pPr>
        <w:pStyle w:val="BodyText"/>
        <w:spacing w:line="261" w:lineRule="auto"/>
        <w:ind w:left="100" w:right="117" w:firstLine="240"/>
        <w:jc w:val="both"/>
      </w:pPr>
      <w:r>
        <w:rPr>
          <w:color w:val="231F20"/>
          <w:w w:val="110"/>
        </w:rPr>
        <w:t>Establecimos así, en un cuidadoso análisis, la correlación directa entre el terror de Estado y las políticas neoliberales que retiraron   de los trabajadores derechos históricamente conquistados rebajando drásticamente sus sueldos al combinar represión estatal con repre- sión económica a través de las recesiones, con su séquito de desem- </w:t>
      </w:r>
      <w:r>
        <w:rPr>
          <w:color w:val="231F20"/>
          <w:w w:val="105"/>
        </w:rPr>
        <w:t>pleo</w:t>
      </w:r>
      <w:r>
        <w:rPr>
          <w:color w:val="231F20"/>
          <w:spacing w:val="-32"/>
          <w:w w:val="105"/>
        </w:rPr>
        <w:t> </w:t>
      </w:r>
      <w:r>
        <w:rPr>
          <w:color w:val="231F20"/>
          <w:w w:val="105"/>
        </w:rPr>
        <w:t>y</w:t>
      </w:r>
      <w:r>
        <w:rPr>
          <w:color w:val="231F20"/>
          <w:spacing w:val="-32"/>
          <w:w w:val="105"/>
        </w:rPr>
        <w:t> </w:t>
      </w:r>
      <w:r>
        <w:rPr>
          <w:color w:val="231F20"/>
          <w:w w:val="105"/>
        </w:rPr>
        <w:t>desesperanza.</w:t>
      </w:r>
      <w:r>
        <w:rPr>
          <w:color w:val="231F20"/>
          <w:spacing w:val="-32"/>
          <w:w w:val="105"/>
        </w:rPr>
        <w:t> </w:t>
      </w:r>
      <w:r>
        <w:rPr>
          <w:color w:val="231F20"/>
          <w:w w:val="105"/>
        </w:rPr>
        <w:t>Mi</w:t>
      </w:r>
      <w:r>
        <w:rPr>
          <w:color w:val="231F20"/>
          <w:spacing w:val="-32"/>
          <w:w w:val="105"/>
        </w:rPr>
        <w:t> </w:t>
      </w:r>
      <w:r>
        <w:rPr>
          <w:color w:val="231F20"/>
          <w:w w:val="105"/>
        </w:rPr>
        <w:t>libro</w:t>
      </w:r>
      <w:r>
        <w:rPr>
          <w:color w:val="231F20"/>
          <w:spacing w:val="-32"/>
          <w:w w:val="105"/>
        </w:rPr>
        <w:t> </w:t>
      </w:r>
      <w:r>
        <w:rPr>
          <w:i/>
          <w:color w:val="231F20"/>
          <w:w w:val="105"/>
        </w:rPr>
        <w:t>Del</w:t>
      </w:r>
      <w:r>
        <w:rPr>
          <w:i/>
          <w:color w:val="231F20"/>
          <w:spacing w:val="-32"/>
          <w:w w:val="105"/>
        </w:rPr>
        <w:t> </w:t>
      </w:r>
      <w:r>
        <w:rPr>
          <w:i/>
          <w:color w:val="231F20"/>
          <w:w w:val="105"/>
        </w:rPr>
        <w:t>terror</w:t>
      </w:r>
      <w:r>
        <w:rPr>
          <w:i/>
          <w:color w:val="231F20"/>
          <w:spacing w:val="-32"/>
          <w:w w:val="105"/>
        </w:rPr>
        <w:t> </w:t>
      </w:r>
      <w:r>
        <w:rPr>
          <w:i/>
          <w:color w:val="231F20"/>
          <w:w w:val="105"/>
        </w:rPr>
        <w:t>a</w:t>
      </w:r>
      <w:r>
        <w:rPr>
          <w:i/>
          <w:color w:val="231F20"/>
          <w:spacing w:val="-32"/>
          <w:w w:val="105"/>
        </w:rPr>
        <w:t> </w:t>
      </w:r>
      <w:r>
        <w:rPr>
          <w:i/>
          <w:color w:val="231F20"/>
          <w:w w:val="105"/>
        </w:rPr>
        <w:t>la</w:t>
      </w:r>
      <w:r>
        <w:rPr>
          <w:i/>
          <w:color w:val="231F20"/>
          <w:spacing w:val="-32"/>
          <w:w w:val="105"/>
        </w:rPr>
        <w:t> </w:t>
      </w:r>
      <w:r>
        <w:rPr>
          <w:i/>
          <w:color w:val="231F20"/>
          <w:w w:val="105"/>
        </w:rPr>
        <w:t>esperanza:</w:t>
      </w:r>
      <w:r>
        <w:rPr>
          <w:i/>
          <w:color w:val="231F20"/>
          <w:spacing w:val="-32"/>
          <w:w w:val="105"/>
        </w:rPr>
        <w:t> </w:t>
      </w:r>
      <w:r>
        <w:rPr>
          <w:i/>
          <w:color w:val="231F20"/>
          <w:w w:val="105"/>
        </w:rPr>
        <w:t>Auge</w:t>
      </w:r>
      <w:r>
        <w:rPr>
          <w:i/>
          <w:color w:val="231F20"/>
          <w:spacing w:val="-32"/>
          <w:w w:val="105"/>
        </w:rPr>
        <w:t> </w:t>
      </w:r>
      <w:r>
        <w:rPr>
          <w:i/>
          <w:color w:val="231F20"/>
          <w:w w:val="105"/>
        </w:rPr>
        <w:t>y</w:t>
      </w:r>
      <w:r>
        <w:rPr>
          <w:i/>
          <w:color w:val="231F20"/>
          <w:spacing w:val="-32"/>
          <w:w w:val="105"/>
        </w:rPr>
        <w:t> </w:t>
      </w:r>
      <w:r>
        <w:rPr>
          <w:i/>
          <w:color w:val="231F20"/>
          <w:w w:val="105"/>
        </w:rPr>
        <w:t>decadencia </w:t>
      </w:r>
      <w:r>
        <w:rPr>
          <w:i/>
          <w:color w:val="231F20"/>
          <w:w w:val="110"/>
        </w:rPr>
        <w:t>del</w:t>
      </w:r>
      <w:r>
        <w:rPr>
          <w:i/>
          <w:color w:val="231F20"/>
          <w:spacing w:val="-16"/>
          <w:w w:val="110"/>
        </w:rPr>
        <w:t> </w:t>
      </w:r>
      <w:r>
        <w:rPr>
          <w:i/>
          <w:color w:val="231F20"/>
          <w:w w:val="110"/>
        </w:rPr>
        <w:t>neoliberalismo</w:t>
      </w:r>
      <w:r>
        <w:rPr>
          <w:i/>
          <w:color w:val="231F20"/>
          <w:spacing w:val="-16"/>
          <w:w w:val="110"/>
        </w:rPr>
        <w:t> </w:t>
      </w:r>
      <w:r>
        <w:rPr>
          <w:color w:val="231F20"/>
          <w:w w:val="110"/>
        </w:rPr>
        <w:t>contribuye</w:t>
      </w:r>
      <w:r>
        <w:rPr>
          <w:color w:val="231F20"/>
          <w:spacing w:val="-16"/>
          <w:w w:val="110"/>
        </w:rPr>
        <w:t> </w:t>
      </w:r>
      <w:r>
        <w:rPr>
          <w:color w:val="231F20"/>
          <w:w w:val="110"/>
        </w:rPr>
        <w:t>así</w:t>
      </w:r>
      <w:r>
        <w:rPr>
          <w:color w:val="231F20"/>
          <w:spacing w:val="-16"/>
          <w:w w:val="110"/>
        </w:rPr>
        <w:t> </w:t>
      </w:r>
      <w:r>
        <w:rPr>
          <w:color w:val="231F20"/>
          <w:w w:val="110"/>
        </w:rPr>
        <w:t>a</w:t>
      </w:r>
      <w:r>
        <w:rPr>
          <w:color w:val="231F20"/>
          <w:spacing w:val="-16"/>
          <w:w w:val="110"/>
        </w:rPr>
        <w:t> </w:t>
      </w:r>
      <w:r>
        <w:rPr>
          <w:color w:val="231F20"/>
          <w:w w:val="110"/>
        </w:rPr>
        <w:t>una</w:t>
      </w:r>
      <w:r>
        <w:rPr>
          <w:color w:val="231F20"/>
          <w:spacing w:val="-16"/>
          <w:w w:val="110"/>
        </w:rPr>
        <w:t> </w:t>
      </w:r>
      <w:r>
        <w:rPr>
          <w:color w:val="231F20"/>
          <w:w w:val="110"/>
        </w:rPr>
        <w:t>comprensión</w:t>
      </w:r>
      <w:r>
        <w:rPr>
          <w:color w:val="231F20"/>
          <w:spacing w:val="-16"/>
          <w:w w:val="110"/>
        </w:rPr>
        <w:t> </w:t>
      </w:r>
      <w:r>
        <w:rPr>
          <w:color w:val="231F20"/>
          <w:w w:val="110"/>
        </w:rPr>
        <w:t>significativa</w:t>
      </w:r>
      <w:r>
        <w:rPr>
          <w:color w:val="231F20"/>
          <w:spacing w:val="-16"/>
          <w:w w:val="110"/>
        </w:rPr>
        <w:t> </w:t>
      </w:r>
      <w:r>
        <w:rPr>
          <w:color w:val="231F20"/>
          <w:w w:val="110"/>
        </w:rPr>
        <w:t>del periodo recesivo de la economía mundial entre 1967 y 1994, tema que analizamos en el cuadro de las ondas largas de Kondratiev,</w:t>
      </w:r>
      <w:r>
        <w:rPr>
          <w:color w:val="231F20"/>
          <w:spacing w:val="-20"/>
          <w:w w:val="110"/>
        </w:rPr>
        <w:t> </w:t>
      </w:r>
      <w:r>
        <w:rPr>
          <w:color w:val="231F20"/>
          <w:w w:val="110"/>
        </w:rPr>
        <w:t>con- tribución teórica y econométrica del economista ruso cuya </w:t>
      </w:r>
      <w:r>
        <w:rPr>
          <w:color w:val="231F20"/>
          <w:spacing w:val="7"/>
          <w:w w:val="110"/>
        </w:rPr>
        <w:t> </w:t>
      </w:r>
      <w:r>
        <w:rPr>
          <w:color w:val="231F20"/>
          <w:w w:val="110"/>
        </w:rPr>
        <w:t>vigencia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10"/>
        </w:rPr>
        <w:t>hemos restablecido en los años setenta junto con Ernest Mandel, André Gunder Frank, Christopher Freeman y tantos  otros.</w:t>
      </w:r>
    </w:p>
    <w:p>
      <w:pPr>
        <w:pStyle w:val="BodyText"/>
        <w:spacing w:line="261" w:lineRule="auto"/>
        <w:ind w:left="100" w:right="113" w:firstLine="240"/>
        <w:jc w:val="both"/>
      </w:pPr>
      <w:r>
        <w:rPr>
          <w:color w:val="231F20"/>
          <w:spacing w:val="3"/>
          <w:w w:val="110"/>
        </w:rPr>
        <w:t>Desde</w:t>
      </w:r>
      <w:r>
        <w:rPr>
          <w:color w:val="231F20"/>
          <w:spacing w:val="-4"/>
          <w:w w:val="110"/>
        </w:rPr>
        <w:t> </w:t>
      </w:r>
      <w:r>
        <w:rPr>
          <w:color w:val="231F20"/>
          <w:spacing w:val="3"/>
          <w:w w:val="110"/>
        </w:rPr>
        <w:t>1994,</w:t>
      </w:r>
      <w:r>
        <w:rPr>
          <w:color w:val="231F20"/>
          <w:spacing w:val="-4"/>
          <w:w w:val="110"/>
        </w:rPr>
        <w:t> </w:t>
      </w:r>
      <w:r>
        <w:rPr>
          <w:color w:val="231F20"/>
          <w:spacing w:val="2"/>
          <w:w w:val="110"/>
        </w:rPr>
        <w:t>las</w:t>
      </w:r>
      <w:r>
        <w:rPr>
          <w:color w:val="231F20"/>
          <w:spacing w:val="-4"/>
          <w:w w:val="110"/>
        </w:rPr>
        <w:t> </w:t>
      </w:r>
      <w:r>
        <w:rPr>
          <w:color w:val="231F20"/>
          <w:spacing w:val="3"/>
          <w:w w:val="110"/>
        </w:rPr>
        <w:t>dificultades</w:t>
      </w:r>
      <w:r>
        <w:rPr>
          <w:color w:val="231F20"/>
          <w:spacing w:val="-4"/>
          <w:w w:val="110"/>
        </w:rPr>
        <w:t> </w:t>
      </w:r>
      <w:r>
        <w:rPr>
          <w:color w:val="231F20"/>
          <w:w w:val="110"/>
        </w:rPr>
        <w:t>de</w:t>
      </w:r>
      <w:r>
        <w:rPr>
          <w:color w:val="231F20"/>
          <w:spacing w:val="-4"/>
          <w:w w:val="110"/>
        </w:rPr>
        <w:t> </w:t>
      </w:r>
      <w:r>
        <w:rPr>
          <w:color w:val="231F20"/>
          <w:spacing w:val="2"/>
          <w:w w:val="110"/>
        </w:rPr>
        <w:t>las</w:t>
      </w:r>
      <w:r>
        <w:rPr>
          <w:color w:val="231F20"/>
          <w:spacing w:val="-4"/>
          <w:w w:val="110"/>
        </w:rPr>
        <w:t> </w:t>
      </w:r>
      <w:r>
        <w:rPr>
          <w:color w:val="231F20"/>
          <w:spacing w:val="3"/>
          <w:w w:val="110"/>
        </w:rPr>
        <w:t>políticas</w:t>
      </w:r>
      <w:r>
        <w:rPr>
          <w:color w:val="231F20"/>
          <w:spacing w:val="-4"/>
          <w:w w:val="110"/>
        </w:rPr>
        <w:t> </w:t>
      </w:r>
      <w:r>
        <w:rPr>
          <w:color w:val="231F20"/>
          <w:spacing w:val="3"/>
          <w:w w:val="110"/>
        </w:rPr>
        <w:t>neoliberales</w:t>
      </w:r>
      <w:r>
        <w:rPr>
          <w:color w:val="231F20"/>
          <w:spacing w:val="-4"/>
          <w:w w:val="110"/>
        </w:rPr>
        <w:t> </w:t>
      </w:r>
      <w:r>
        <w:rPr>
          <w:color w:val="231F20"/>
          <w:spacing w:val="3"/>
          <w:w w:val="110"/>
        </w:rPr>
        <w:t>empie- </w:t>
      </w:r>
      <w:r>
        <w:rPr>
          <w:color w:val="231F20"/>
          <w:spacing w:val="2"/>
          <w:w w:val="110"/>
        </w:rPr>
        <w:t>zan </w:t>
      </w:r>
      <w:r>
        <w:rPr>
          <w:color w:val="231F20"/>
          <w:w w:val="110"/>
        </w:rPr>
        <w:t>a </w:t>
      </w:r>
      <w:r>
        <w:rPr>
          <w:color w:val="231F20"/>
          <w:spacing w:val="3"/>
          <w:w w:val="110"/>
        </w:rPr>
        <w:t>generar intentos </w:t>
      </w:r>
      <w:r>
        <w:rPr>
          <w:color w:val="231F20"/>
          <w:w w:val="110"/>
        </w:rPr>
        <w:t>de </w:t>
      </w:r>
      <w:r>
        <w:rPr>
          <w:color w:val="231F20"/>
          <w:spacing w:val="3"/>
          <w:w w:val="110"/>
        </w:rPr>
        <w:t>políticas alternativas </w:t>
      </w:r>
      <w:r>
        <w:rPr>
          <w:color w:val="231F20"/>
          <w:w w:val="110"/>
        </w:rPr>
        <w:t>en el </w:t>
      </w:r>
      <w:r>
        <w:rPr>
          <w:color w:val="231F20"/>
          <w:spacing w:val="3"/>
          <w:w w:val="110"/>
        </w:rPr>
        <w:t>centro </w:t>
      </w:r>
      <w:r>
        <w:rPr>
          <w:color w:val="231F20"/>
          <w:spacing w:val="4"/>
          <w:w w:val="110"/>
        </w:rPr>
        <w:t>del </w:t>
      </w:r>
      <w:r>
        <w:rPr>
          <w:color w:val="231F20"/>
          <w:spacing w:val="3"/>
          <w:w w:val="110"/>
        </w:rPr>
        <w:t>sistema </w:t>
      </w:r>
      <w:r>
        <w:rPr>
          <w:color w:val="231F20"/>
          <w:spacing w:val="2"/>
          <w:w w:val="110"/>
        </w:rPr>
        <w:t>que </w:t>
      </w:r>
      <w:r>
        <w:rPr>
          <w:color w:val="231F20"/>
          <w:spacing w:val="3"/>
          <w:w w:val="110"/>
        </w:rPr>
        <w:t>repercuten fuertemente </w:t>
      </w:r>
      <w:r>
        <w:rPr>
          <w:color w:val="231F20"/>
          <w:w w:val="110"/>
        </w:rPr>
        <w:t>en </w:t>
      </w:r>
      <w:r>
        <w:rPr>
          <w:color w:val="231F20"/>
          <w:spacing w:val="2"/>
          <w:w w:val="110"/>
        </w:rPr>
        <w:t>las </w:t>
      </w:r>
      <w:r>
        <w:rPr>
          <w:color w:val="231F20"/>
          <w:spacing w:val="3"/>
          <w:w w:val="110"/>
        </w:rPr>
        <w:t>zonas periféricas </w:t>
      </w:r>
      <w:r>
        <w:rPr>
          <w:color w:val="231F20"/>
          <w:w w:val="110"/>
        </w:rPr>
        <w:t>y </w:t>
      </w:r>
      <w:r>
        <w:rPr>
          <w:color w:val="231F20"/>
          <w:spacing w:val="2"/>
          <w:w w:val="110"/>
        </w:rPr>
        <w:t>se- </w:t>
      </w:r>
      <w:r>
        <w:rPr>
          <w:color w:val="231F20"/>
          <w:spacing w:val="3"/>
          <w:w w:val="110"/>
        </w:rPr>
        <w:t>miperiféricas. </w:t>
      </w:r>
      <w:r>
        <w:rPr>
          <w:color w:val="231F20"/>
          <w:w w:val="110"/>
        </w:rPr>
        <w:t>En el </w:t>
      </w:r>
      <w:r>
        <w:rPr>
          <w:color w:val="231F20"/>
          <w:spacing w:val="3"/>
          <w:w w:val="110"/>
        </w:rPr>
        <w:t>centro </w:t>
      </w:r>
      <w:r>
        <w:rPr>
          <w:color w:val="231F20"/>
          <w:spacing w:val="2"/>
          <w:w w:val="110"/>
        </w:rPr>
        <w:t>del </w:t>
      </w:r>
      <w:r>
        <w:rPr>
          <w:color w:val="231F20"/>
          <w:spacing w:val="3"/>
          <w:w w:val="110"/>
        </w:rPr>
        <w:t>sistema </w:t>
      </w:r>
      <w:r>
        <w:rPr>
          <w:color w:val="231F20"/>
          <w:spacing w:val="2"/>
          <w:w w:val="110"/>
        </w:rPr>
        <w:t>hay </w:t>
      </w:r>
      <w:r>
        <w:rPr>
          <w:color w:val="231F20"/>
          <w:w w:val="110"/>
        </w:rPr>
        <w:t>un </w:t>
      </w:r>
      <w:r>
        <w:rPr>
          <w:color w:val="231F20"/>
          <w:spacing w:val="3"/>
          <w:w w:val="110"/>
        </w:rPr>
        <w:t>intento </w:t>
      </w:r>
      <w:r>
        <w:rPr>
          <w:color w:val="231F20"/>
          <w:spacing w:val="4"/>
          <w:w w:val="110"/>
        </w:rPr>
        <w:t>desesperado </w:t>
      </w:r>
      <w:r>
        <w:rPr>
          <w:color w:val="231F20"/>
          <w:w w:val="110"/>
        </w:rPr>
        <w:t>de </w:t>
      </w:r>
      <w:r>
        <w:rPr>
          <w:color w:val="231F20"/>
          <w:spacing w:val="3"/>
          <w:w w:val="110"/>
        </w:rPr>
        <w:t>frenar </w:t>
      </w:r>
      <w:r>
        <w:rPr>
          <w:color w:val="231F20"/>
          <w:w w:val="110"/>
        </w:rPr>
        <w:t>la </w:t>
      </w:r>
      <w:r>
        <w:rPr>
          <w:color w:val="231F20"/>
          <w:spacing w:val="3"/>
          <w:w w:val="110"/>
        </w:rPr>
        <w:t>expansión </w:t>
      </w:r>
      <w:r>
        <w:rPr>
          <w:color w:val="231F20"/>
          <w:spacing w:val="2"/>
          <w:w w:val="110"/>
        </w:rPr>
        <w:t>del </w:t>
      </w:r>
      <w:r>
        <w:rPr>
          <w:color w:val="231F20"/>
          <w:spacing w:val="3"/>
          <w:w w:val="110"/>
        </w:rPr>
        <w:t>sector financiero </w:t>
      </w:r>
      <w:r>
        <w:rPr>
          <w:color w:val="231F20"/>
          <w:spacing w:val="2"/>
          <w:w w:val="110"/>
        </w:rPr>
        <w:t>que </w:t>
      </w:r>
      <w:r>
        <w:rPr>
          <w:color w:val="231F20"/>
          <w:spacing w:val="3"/>
          <w:w w:val="110"/>
        </w:rPr>
        <w:t>condujera </w:t>
      </w:r>
      <w:r>
        <w:rPr>
          <w:color w:val="231F20"/>
          <w:w w:val="110"/>
        </w:rPr>
        <w:t>a </w:t>
      </w:r>
      <w:r>
        <w:rPr>
          <w:color w:val="231F20"/>
          <w:spacing w:val="4"/>
          <w:w w:val="110"/>
        </w:rPr>
        <w:t>la </w:t>
      </w:r>
      <w:r>
        <w:rPr>
          <w:color w:val="231F20"/>
          <w:spacing w:val="3"/>
          <w:w w:val="110"/>
        </w:rPr>
        <w:t>crisis </w:t>
      </w:r>
      <w:r>
        <w:rPr>
          <w:color w:val="231F20"/>
          <w:w w:val="110"/>
        </w:rPr>
        <w:t>de </w:t>
      </w:r>
      <w:r>
        <w:rPr>
          <w:color w:val="231F20"/>
          <w:spacing w:val="3"/>
          <w:w w:val="110"/>
        </w:rPr>
        <w:t>1987, </w:t>
      </w:r>
      <w:r>
        <w:rPr>
          <w:color w:val="231F20"/>
          <w:w w:val="110"/>
        </w:rPr>
        <w:t>en la </w:t>
      </w:r>
      <w:r>
        <w:rPr>
          <w:color w:val="231F20"/>
          <w:spacing w:val="3"/>
          <w:w w:val="110"/>
        </w:rPr>
        <w:t>cual </w:t>
      </w:r>
      <w:r>
        <w:rPr>
          <w:color w:val="231F20"/>
          <w:w w:val="110"/>
        </w:rPr>
        <w:t>la </w:t>
      </w:r>
      <w:r>
        <w:rPr>
          <w:color w:val="231F20"/>
          <w:spacing w:val="3"/>
          <w:w w:val="110"/>
        </w:rPr>
        <w:t>devaluación </w:t>
      </w:r>
      <w:r>
        <w:rPr>
          <w:color w:val="231F20"/>
          <w:w w:val="110"/>
        </w:rPr>
        <w:t>de </w:t>
      </w:r>
      <w:r>
        <w:rPr>
          <w:color w:val="231F20"/>
          <w:spacing w:val="3"/>
          <w:w w:val="110"/>
        </w:rPr>
        <w:t>cerca </w:t>
      </w:r>
      <w:r>
        <w:rPr>
          <w:color w:val="231F20"/>
          <w:w w:val="110"/>
        </w:rPr>
        <w:t>de </w:t>
      </w:r>
      <w:r>
        <w:rPr>
          <w:color w:val="231F20"/>
          <w:spacing w:val="2"/>
          <w:w w:val="110"/>
        </w:rPr>
        <w:t>40% del </w:t>
      </w:r>
      <w:r>
        <w:rPr>
          <w:color w:val="231F20"/>
          <w:spacing w:val="4"/>
          <w:w w:val="110"/>
        </w:rPr>
        <w:t>dólar </w:t>
      </w:r>
      <w:r>
        <w:rPr>
          <w:color w:val="231F20"/>
          <w:spacing w:val="2"/>
          <w:w w:val="110"/>
        </w:rPr>
        <w:t>fue </w:t>
      </w:r>
      <w:r>
        <w:rPr>
          <w:color w:val="231F20"/>
          <w:spacing w:val="3"/>
          <w:w w:val="110"/>
        </w:rPr>
        <w:t>contrarrestada </w:t>
      </w:r>
      <w:r>
        <w:rPr>
          <w:color w:val="231F20"/>
          <w:spacing w:val="2"/>
          <w:w w:val="110"/>
        </w:rPr>
        <w:t>por una </w:t>
      </w:r>
      <w:r>
        <w:rPr>
          <w:color w:val="231F20"/>
          <w:spacing w:val="3"/>
          <w:w w:val="110"/>
        </w:rPr>
        <w:t>política suicida </w:t>
      </w:r>
      <w:r>
        <w:rPr>
          <w:color w:val="231F20"/>
          <w:w w:val="110"/>
        </w:rPr>
        <w:t>de </w:t>
      </w:r>
      <w:r>
        <w:rPr>
          <w:color w:val="231F20"/>
          <w:spacing w:val="3"/>
          <w:w w:val="110"/>
        </w:rPr>
        <w:t>Alemania </w:t>
      </w:r>
      <w:r>
        <w:rPr>
          <w:color w:val="231F20"/>
          <w:w w:val="110"/>
        </w:rPr>
        <w:t>y </w:t>
      </w:r>
      <w:r>
        <w:rPr>
          <w:color w:val="231F20"/>
          <w:spacing w:val="4"/>
          <w:w w:val="110"/>
        </w:rPr>
        <w:t>Japón </w:t>
      </w:r>
      <w:r>
        <w:rPr>
          <w:color w:val="231F20"/>
          <w:spacing w:val="2"/>
          <w:w w:val="110"/>
        </w:rPr>
        <w:t>que </w:t>
      </w:r>
      <w:r>
        <w:rPr>
          <w:color w:val="231F20"/>
          <w:spacing w:val="3"/>
          <w:w w:val="110"/>
        </w:rPr>
        <w:t>pasaron </w:t>
      </w:r>
      <w:r>
        <w:rPr>
          <w:color w:val="231F20"/>
          <w:w w:val="110"/>
        </w:rPr>
        <w:t>a </w:t>
      </w:r>
      <w:r>
        <w:rPr>
          <w:color w:val="231F20"/>
          <w:spacing w:val="3"/>
          <w:w w:val="110"/>
        </w:rPr>
        <w:t>comprar dólares </w:t>
      </w:r>
      <w:r>
        <w:rPr>
          <w:color w:val="231F20"/>
          <w:w w:val="110"/>
        </w:rPr>
        <w:t>en el </w:t>
      </w:r>
      <w:r>
        <w:rPr>
          <w:color w:val="231F20"/>
          <w:spacing w:val="3"/>
          <w:w w:val="110"/>
        </w:rPr>
        <w:t>mercado mundial </w:t>
      </w:r>
      <w:r>
        <w:rPr>
          <w:color w:val="231F20"/>
          <w:spacing w:val="4"/>
          <w:w w:val="110"/>
        </w:rPr>
        <w:t>elevando  </w:t>
      </w:r>
      <w:r>
        <w:rPr>
          <w:color w:val="231F20"/>
          <w:w w:val="110"/>
        </w:rPr>
        <w:t>su </w:t>
      </w:r>
      <w:r>
        <w:rPr>
          <w:color w:val="231F20"/>
          <w:spacing w:val="3"/>
          <w:w w:val="110"/>
        </w:rPr>
        <w:t>valor </w:t>
      </w:r>
      <w:r>
        <w:rPr>
          <w:color w:val="231F20"/>
          <w:w w:val="110"/>
        </w:rPr>
        <w:t>y </w:t>
      </w:r>
      <w:r>
        <w:rPr>
          <w:color w:val="231F20"/>
          <w:spacing w:val="3"/>
          <w:w w:val="110"/>
        </w:rPr>
        <w:t>disminuyendo </w:t>
      </w:r>
      <w:r>
        <w:rPr>
          <w:color w:val="231F20"/>
          <w:w w:val="110"/>
        </w:rPr>
        <w:t>su </w:t>
      </w:r>
      <w:r>
        <w:rPr>
          <w:color w:val="231F20"/>
          <w:spacing w:val="3"/>
          <w:w w:val="110"/>
        </w:rPr>
        <w:t>debacle para dejarlo cerca </w:t>
      </w:r>
      <w:r>
        <w:rPr>
          <w:color w:val="231F20"/>
          <w:spacing w:val="2"/>
          <w:w w:val="110"/>
        </w:rPr>
        <w:t>del </w:t>
      </w:r>
      <w:r>
        <w:rPr>
          <w:color w:val="231F20"/>
          <w:spacing w:val="4"/>
          <w:w w:val="110"/>
        </w:rPr>
        <w:t>13%. </w:t>
      </w:r>
      <w:r>
        <w:rPr>
          <w:color w:val="231F20"/>
          <w:w w:val="110"/>
        </w:rPr>
        <w:t>En </w:t>
      </w:r>
      <w:r>
        <w:rPr>
          <w:color w:val="231F20"/>
          <w:spacing w:val="3"/>
          <w:w w:val="110"/>
        </w:rPr>
        <w:t>compensación, estos </w:t>
      </w:r>
      <w:r>
        <w:rPr>
          <w:color w:val="231F20"/>
          <w:spacing w:val="2"/>
          <w:w w:val="110"/>
        </w:rPr>
        <w:t>dos </w:t>
      </w:r>
      <w:r>
        <w:rPr>
          <w:color w:val="231F20"/>
          <w:spacing w:val="3"/>
          <w:w w:val="110"/>
        </w:rPr>
        <w:t>países </w:t>
      </w:r>
      <w:r>
        <w:rPr>
          <w:color w:val="231F20"/>
          <w:w w:val="110"/>
        </w:rPr>
        <w:t>se </w:t>
      </w:r>
      <w:r>
        <w:rPr>
          <w:color w:val="231F20"/>
          <w:spacing w:val="3"/>
          <w:w w:val="110"/>
        </w:rPr>
        <w:t>vieron </w:t>
      </w:r>
      <w:r>
        <w:rPr>
          <w:color w:val="231F20"/>
          <w:spacing w:val="2"/>
          <w:w w:val="110"/>
        </w:rPr>
        <w:t>con </w:t>
      </w:r>
      <w:r>
        <w:rPr>
          <w:color w:val="231F20"/>
          <w:spacing w:val="3"/>
          <w:w w:val="110"/>
        </w:rPr>
        <w:t>monedas ultra- valorizadas </w:t>
      </w:r>
      <w:r>
        <w:rPr>
          <w:color w:val="231F20"/>
          <w:spacing w:val="2"/>
          <w:w w:val="110"/>
        </w:rPr>
        <w:t>que </w:t>
      </w:r>
      <w:r>
        <w:rPr>
          <w:color w:val="231F20"/>
          <w:spacing w:val="3"/>
          <w:w w:val="110"/>
        </w:rPr>
        <w:t>restringieron </w:t>
      </w:r>
      <w:r>
        <w:rPr>
          <w:color w:val="231F20"/>
          <w:w w:val="110"/>
        </w:rPr>
        <w:t>su </w:t>
      </w:r>
      <w:r>
        <w:rPr>
          <w:color w:val="231F20"/>
          <w:spacing w:val="3"/>
          <w:w w:val="110"/>
        </w:rPr>
        <w:t>capacidad </w:t>
      </w:r>
      <w:r>
        <w:rPr>
          <w:color w:val="231F20"/>
          <w:w w:val="110"/>
        </w:rPr>
        <w:t>de </w:t>
      </w:r>
      <w:r>
        <w:rPr>
          <w:color w:val="231F20"/>
          <w:spacing w:val="3"/>
          <w:w w:val="110"/>
        </w:rPr>
        <w:t>exportación </w:t>
      </w:r>
      <w:r>
        <w:rPr>
          <w:color w:val="231F20"/>
          <w:spacing w:val="4"/>
          <w:w w:val="110"/>
        </w:rPr>
        <w:t>para </w:t>
      </w:r>
      <w:r>
        <w:rPr>
          <w:color w:val="231F20"/>
          <w:spacing w:val="3"/>
          <w:w w:val="110"/>
        </w:rPr>
        <w:t>Estados Unidos </w:t>
      </w:r>
      <w:r>
        <w:rPr>
          <w:color w:val="231F20"/>
          <w:w w:val="110"/>
        </w:rPr>
        <w:t>y al </w:t>
      </w:r>
      <w:r>
        <w:rPr>
          <w:color w:val="231F20"/>
          <w:spacing w:val="3"/>
          <w:w w:val="110"/>
        </w:rPr>
        <w:t>mismo tiempo aumentaron </w:t>
      </w:r>
      <w:r>
        <w:rPr>
          <w:color w:val="231F20"/>
          <w:spacing w:val="4"/>
          <w:w w:val="110"/>
        </w:rPr>
        <w:t>dramáticamente  </w:t>
      </w:r>
      <w:r>
        <w:rPr>
          <w:color w:val="231F20"/>
          <w:w w:val="110"/>
        </w:rPr>
        <w:t>el </w:t>
      </w:r>
      <w:r>
        <w:rPr>
          <w:color w:val="231F20"/>
          <w:spacing w:val="3"/>
          <w:w w:val="110"/>
        </w:rPr>
        <w:t>valor </w:t>
      </w:r>
      <w:r>
        <w:rPr>
          <w:color w:val="231F20"/>
          <w:w w:val="110"/>
        </w:rPr>
        <w:t>de </w:t>
      </w:r>
      <w:r>
        <w:rPr>
          <w:color w:val="231F20"/>
          <w:spacing w:val="2"/>
          <w:w w:val="110"/>
        </w:rPr>
        <w:t>sus </w:t>
      </w:r>
      <w:r>
        <w:rPr>
          <w:color w:val="231F20"/>
          <w:spacing w:val="3"/>
          <w:w w:val="110"/>
        </w:rPr>
        <w:t>monedas</w:t>
      </w:r>
      <w:r>
        <w:rPr>
          <w:color w:val="231F20"/>
          <w:spacing w:val="53"/>
          <w:w w:val="110"/>
        </w:rPr>
        <w:t> </w:t>
      </w:r>
      <w:r>
        <w:rPr>
          <w:color w:val="231F20"/>
          <w:spacing w:val="4"/>
          <w:w w:val="110"/>
        </w:rPr>
        <w:t>nacionales.</w:t>
      </w:r>
    </w:p>
    <w:p>
      <w:pPr>
        <w:pStyle w:val="BodyText"/>
        <w:spacing w:line="261" w:lineRule="auto"/>
        <w:ind w:left="100" w:right="117" w:firstLine="240"/>
        <w:jc w:val="both"/>
      </w:pPr>
      <w:r>
        <w:rPr>
          <w:color w:val="231F20"/>
          <w:w w:val="110"/>
        </w:rPr>
        <w:t>De un lado, Alemania convirtió su marco en el fundamento de una moneda regional con el surgimiento y consolidación del euro. Europa</w:t>
      </w:r>
      <w:r>
        <w:rPr>
          <w:color w:val="231F20"/>
          <w:spacing w:val="-5"/>
          <w:w w:val="110"/>
        </w:rPr>
        <w:t> </w:t>
      </w:r>
      <w:r>
        <w:rPr>
          <w:color w:val="231F20"/>
          <w:w w:val="110"/>
        </w:rPr>
        <w:t>elevó</w:t>
      </w:r>
      <w:r>
        <w:rPr>
          <w:color w:val="231F20"/>
          <w:spacing w:val="-5"/>
          <w:w w:val="110"/>
        </w:rPr>
        <w:t> </w:t>
      </w:r>
      <w:r>
        <w:rPr>
          <w:color w:val="231F20"/>
          <w:w w:val="110"/>
        </w:rPr>
        <w:t>su</w:t>
      </w:r>
      <w:r>
        <w:rPr>
          <w:color w:val="231F20"/>
          <w:spacing w:val="-5"/>
          <w:w w:val="110"/>
        </w:rPr>
        <w:t> </w:t>
      </w:r>
      <w:r>
        <w:rPr>
          <w:color w:val="231F20"/>
          <w:w w:val="110"/>
        </w:rPr>
        <w:t>tasa</w:t>
      </w:r>
      <w:r>
        <w:rPr>
          <w:color w:val="231F20"/>
          <w:spacing w:val="-5"/>
          <w:w w:val="110"/>
        </w:rPr>
        <w:t> </w:t>
      </w:r>
      <w:r>
        <w:rPr>
          <w:color w:val="231F20"/>
          <w:w w:val="110"/>
        </w:rPr>
        <w:t>de</w:t>
      </w:r>
      <w:r>
        <w:rPr>
          <w:color w:val="231F20"/>
          <w:spacing w:val="-5"/>
          <w:w w:val="110"/>
        </w:rPr>
        <w:t> </w:t>
      </w:r>
      <w:r>
        <w:rPr>
          <w:color w:val="231F20"/>
          <w:w w:val="110"/>
        </w:rPr>
        <w:t>interés</w:t>
      </w:r>
      <w:r>
        <w:rPr>
          <w:color w:val="231F20"/>
          <w:spacing w:val="-5"/>
          <w:w w:val="110"/>
        </w:rPr>
        <w:t> </w:t>
      </w:r>
      <w:r>
        <w:rPr>
          <w:color w:val="231F20"/>
          <w:w w:val="110"/>
        </w:rPr>
        <w:t>para</w:t>
      </w:r>
      <w:r>
        <w:rPr>
          <w:color w:val="231F20"/>
          <w:spacing w:val="-5"/>
          <w:w w:val="110"/>
        </w:rPr>
        <w:t> </w:t>
      </w:r>
      <w:r>
        <w:rPr>
          <w:color w:val="231F20"/>
          <w:w w:val="110"/>
        </w:rPr>
        <w:t>reforzar</w:t>
      </w:r>
      <w:r>
        <w:rPr>
          <w:color w:val="231F20"/>
          <w:spacing w:val="-5"/>
          <w:w w:val="110"/>
        </w:rPr>
        <w:t> </w:t>
      </w:r>
      <w:r>
        <w:rPr>
          <w:color w:val="231F20"/>
          <w:w w:val="110"/>
        </w:rPr>
        <w:t>esta</w:t>
      </w:r>
      <w:r>
        <w:rPr>
          <w:color w:val="231F20"/>
          <w:spacing w:val="-5"/>
          <w:w w:val="110"/>
        </w:rPr>
        <w:t> </w:t>
      </w:r>
      <w:r>
        <w:rPr>
          <w:color w:val="231F20"/>
          <w:w w:val="110"/>
        </w:rPr>
        <w:t>operación</w:t>
      </w:r>
      <w:r>
        <w:rPr>
          <w:color w:val="231F20"/>
          <w:spacing w:val="-5"/>
          <w:w w:val="110"/>
        </w:rPr>
        <w:t> </w:t>
      </w:r>
      <w:r>
        <w:rPr>
          <w:color w:val="231F20"/>
          <w:w w:val="110"/>
        </w:rPr>
        <w:t>de</w:t>
      </w:r>
      <w:r>
        <w:rPr>
          <w:color w:val="231F20"/>
          <w:spacing w:val="-5"/>
          <w:w w:val="110"/>
        </w:rPr>
        <w:t> </w:t>
      </w:r>
      <w:r>
        <w:rPr>
          <w:color w:val="231F20"/>
          <w:w w:val="110"/>
        </w:rPr>
        <w:t>fuerte financiarización de sus economías. Estados Unidos, al contrario,</w:t>
      </w:r>
      <w:r>
        <w:rPr>
          <w:color w:val="231F20"/>
          <w:spacing w:val="-9"/>
          <w:w w:val="110"/>
        </w:rPr>
        <w:t> </w:t>
      </w:r>
      <w:r>
        <w:rPr>
          <w:color w:val="231F20"/>
          <w:w w:val="110"/>
        </w:rPr>
        <w:t>en- saya una política de fortificar la desvalorización del </w:t>
      </w:r>
      <w:r>
        <w:rPr>
          <w:color w:val="231F20"/>
          <w:spacing w:val="-3"/>
          <w:w w:val="110"/>
        </w:rPr>
        <w:t>dólar, </w:t>
      </w:r>
      <w:r>
        <w:rPr>
          <w:color w:val="231F20"/>
          <w:w w:val="110"/>
        </w:rPr>
        <w:t>aumentar las</w:t>
      </w:r>
      <w:r>
        <w:rPr>
          <w:color w:val="231F20"/>
          <w:spacing w:val="-17"/>
          <w:w w:val="110"/>
        </w:rPr>
        <w:t> </w:t>
      </w:r>
      <w:r>
        <w:rPr>
          <w:color w:val="231F20"/>
          <w:w w:val="110"/>
        </w:rPr>
        <w:t>exportaciones</w:t>
      </w:r>
      <w:r>
        <w:rPr>
          <w:color w:val="231F20"/>
          <w:spacing w:val="-17"/>
          <w:w w:val="110"/>
        </w:rPr>
        <w:t> </w:t>
      </w:r>
      <w:r>
        <w:rPr>
          <w:color w:val="231F20"/>
          <w:w w:val="110"/>
        </w:rPr>
        <w:t>y</w:t>
      </w:r>
      <w:r>
        <w:rPr>
          <w:color w:val="231F20"/>
          <w:spacing w:val="-17"/>
          <w:w w:val="110"/>
        </w:rPr>
        <w:t> </w:t>
      </w:r>
      <w:r>
        <w:rPr>
          <w:color w:val="231F20"/>
          <w:w w:val="110"/>
        </w:rPr>
        <w:t>disminuir</w:t>
      </w:r>
      <w:r>
        <w:rPr>
          <w:color w:val="231F20"/>
          <w:spacing w:val="-17"/>
          <w:w w:val="110"/>
        </w:rPr>
        <w:t> </w:t>
      </w:r>
      <w:r>
        <w:rPr>
          <w:color w:val="231F20"/>
          <w:w w:val="110"/>
        </w:rPr>
        <w:t>las</w:t>
      </w:r>
      <w:r>
        <w:rPr>
          <w:color w:val="231F20"/>
          <w:spacing w:val="-17"/>
          <w:w w:val="110"/>
        </w:rPr>
        <w:t> </w:t>
      </w:r>
      <w:r>
        <w:rPr>
          <w:color w:val="231F20"/>
          <w:w w:val="110"/>
        </w:rPr>
        <w:t>importaciones.</w:t>
      </w:r>
      <w:r>
        <w:rPr>
          <w:color w:val="231F20"/>
          <w:spacing w:val="-17"/>
          <w:w w:val="110"/>
        </w:rPr>
        <w:t> </w:t>
      </w:r>
      <w:r>
        <w:rPr>
          <w:color w:val="231F20"/>
          <w:w w:val="110"/>
        </w:rPr>
        <w:t>Japón</w:t>
      </w:r>
      <w:r>
        <w:rPr>
          <w:color w:val="231F20"/>
          <w:spacing w:val="-17"/>
          <w:w w:val="110"/>
        </w:rPr>
        <w:t> </w:t>
      </w:r>
      <w:r>
        <w:rPr>
          <w:color w:val="231F20"/>
          <w:w w:val="110"/>
        </w:rPr>
        <w:t>es</w:t>
      </w:r>
      <w:r>
        <w:rPr>
          <w:color w:val="231F20"/>
          <w:spacing w:val="-17"/>
          <w:w w:val="110"/>
        </w:rPr>
        <w:t> </w:t>
      </w:r>
      <w:r>
        <w:rPr>
          <w:color w:val="231F20"/>
          <w:w w:val="110"/>
        </w:rPr>
        <w:t>el</w:t>
      </w:r>
      <w:r>
        <w:rPr>
          <w:color w:val="231F20"/>
          <w:spacing w:val="-17"/>
          <w:w w:val="110"/>
        </w:rPr>
        <w:t> </w:t>
      </w:r>
      <w:r>
        <w:rPr>
          <w:color w:val="231F20"/>
          <w:w w:val="110"/>
        </w:rPr>
        <w:t>más</w:t>
      </w:r>
      <w:r>
        <w:rPr>
          <w:color w:val="231F20"/>
          <w:spacing w:val="-17"/>
          <w:w w:val="110"/>
        </w:rPr>
        <w:t> </w:t>
      </w:r>
      <w:r>
        <w:rPr>
          <w:color w:val="231F20"/>
          <w:w w:val="110"/>
        </w:rPr>
        <w:t>afec- tado en la medida en que el yen entra en un proceso de valorización exagerado que lo llevaría a buscar espacios de inversión en Estados Unidos, con mucha oposición nacionalista. Era interesante asistir el cambio “teórico” de los economistas del centro buscando imponer restricciones</w:t>
      </w:r>
      <w:r>
        <w:rPr>
          <w:color w:val="231F20"/>
          <w:spacing w:val="-23"/>
          <w:w w:val="110"/>
        </w:rPr>
        <w:t> </w:t>
      </w:r>
      <w:r>
        <w:rPr>
          <w:color w:val="231F20"/>
          <w:w w:val="110"/>
        </w:rPr>
        <w:t>al</w:t>
      </w:r>
      <w:r>
        <w:rPr>
          <w:color w:val="231F20"/>
          <w:spacing w:val="-23"/>
          <w:w w:val="110"/>
        </w:rPr>
        <w:t> </w:t>
      </w:r>
      <w:r>
        <w:rPr>
          <w:color w:val="231F20"/>
          <w:w w:val="110"/>
        </w:rPr>
        <w:t>movimiento</w:t>
      </w:r>
      <w:r>
        <w:rPr>
          <w:color w:val="231F20"/>
          <w:spacing w:val="-23"/>
          <w:w w:val="110"/>
        </w:rPr>
        <w:t> </w:t>
      </w:r>
      <w:r>
        <w:rPr>
          <w:color w:val="231F20"/>
          <w:w w:val="110"/>
        </w:rPr>
        <w:t>de</w:t>
      </w:r>
      <w:r>
        <w:rPr>
          <w:color w:val="231F20"/>
          <w:spacing w:val="-23"/>
          <w:w w:val="110"/>
        </w:rPr>
        <w:t> </w:t>
      </w:r>
      <w:r>
        <w:rPr>
          <w:color w:val="231F20"/>
          <w:w w:val="110"/>
        </w:rPr>
        <w:t>capital</w:t>
      </w:r>
      <w:r>
        <w:rPr>
          <w:color w:val="231F20"/>
          <w:spacing w:val="-23"/>
          <w:w w:val="110"/>
        </w:rPr>
        <w:t> </w:t>
      </w:r>
      <w:r>
        <w:rPr>
          <w:color w:val="231F20"/>
          <w:w w:val="110"/>
        </w:rPr>
        <w:t>hacia</w:t>
      </w:r>
      <w:r>
        <w:rPr>
          <w:color w:val="231F20"/>
          <w:spacing w:val="-23"/>
          <w:w w:val="110"/>
        </w:rPr>
        <w:t> </w:t>
      </w:r>
      <w:r>
        <w:rPr>
          <w:color w:val="231F20"/>
          <w:w w:val="110"/>
        </w:rPr>
        <w:t>sus</w:t>
      </w:r>
      <w:r>
        <w:rPr>
          <w:color w:val="231F20"/>
          <w:spacing w:val="-23"/>
          <w:w w:val="110"/>
        </w:rPr>
        <w:t> </w:t>
      </w:r>
      <w:r>
        <w:rPr>
          <w:color w:val="231F20"/>
          <w:w w:val="110"/>
        </w:rPr>
        <w:t>países.</w:t>
      </w:r>
      <w:r>
        <w:rPr>
          <w:color w:val="231F20"/>
          <w:spacing w:val="-23"/>
          <w:w w:val="110"/>
        </w:rPr>
        <w:t> </w:t>
      </w:r>
      <w:r>
        <w:rPr>
          <w:color w:val="231F20"/>
          <w:w w:val="110"/>
        </w:rPr>
        <w:t>Ellos</w:t>
      </w:r>
      <w:r>
        <w:rPr>
          <w:color w:val="231F20"/>
          <w:spacing w:val="-23"/>
          <w:w w:val="110"/>
        </w:rPr>
        <w:t> </w:t>
      </w:r>
      <w:r>
        <w:rPr>
          <w:color w:val="231F20"/>
          <w:w w:val="110"/>
        </w:rPr>
        <w:t>que</w:t>
      </w:r>
      <w:r>
        <w:rPr>
          <w:color w:val="231F20"/>
          <w:spacing w:val="-23"/>
          <w:w w:val="110"/>
        </w:rPr>
        <w:t> </w:t>
      </w:r>
      <w:r>
        <w:rPr>
          <w:color w:val="231F20"/>
          <w:w w:val="110"/>
        </w:rPr>
        <w:t>tanto condenaron como mala “ciencia” económica nuestros estudios</w:t>
      </w:r>
      <w:r>
        <w:rPr>
          <w:color w:val="231F20"/>
          <w:spacing w:val="-32"/>
          <w:w w:val="110"/>
        </w:rPr>
        <w:t> </w:t>
      </w:r>
      <w:r>
        <w:rPr>
          <w:color w:val="231F20"/>
          <w:w w:val="110"/>
        </w:rPr>
        <w:t>sobre la inversión imperialista en nuestros países. La economía japonesa tuvo que reorientarse para el mundo asiático, al convertirse en el mercado</w:t>
      </w:r>
      <w:r>
        <w:rPr>
          <w:color w:val="231F20"/>
          <w:spacing w:val="-8"/>
          <w:w w:val="110"/>
        </w:rPr>
        <w:t> </w:t>
      </w:r>
      <w:r>
        <w:rPr>
          <w:color w:val="231F20"/>
          <w:w w:val="110"/>
        </w:rPr>
        <w:t>principal</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llamados</w:t>
      </w:r>
      <w:r>
        <w:rPr>
          <w:color w:val="231F20"/>
          <w:spacing w:val="-8"/>
          <w:w w:val="110"/>
        </w:rPr>
        <w:t> </w:t>
      </w:r>
      <w:r>
        <w:rPr>
          <w:color w:val="231F20"/>
          <w:w w:val="110"/>
        </w:rPr>
        <w:t>“tigres</w:t>
      </w:r>
      <w:r>
        <w:rPr>
          <w:color w:val="231F20"/>
          <w:spacing w:val="-8"/>
          <w:w w:val="110"/>
        </w:rPr>
        <w:t> </w:t>
      </w:r>
      <w:r>
        <w:rPr>
          <w:color w:val="231F20"/>
          <w:w w:val="110"/>
        </w:rPr>
        <w:t>asiáticos”.</w:t>
      </w:r>
    </w:p>
    <w:p>
      <w:pPr>
        <w:pStyle w:val="BodyText"/>
        <w:spacing w:line="261" w:lineRule="auto"/>
        <w:ind w:left="100" w:right="117" w:firstLine="240"/>
        <w:jc w:val="both"/>
      </w:pPr>
      <w:r>
        <w:rPr>
          <w:color w:val="231F20"/>
          <w:w w:val="110"/>
        </w:rPr>
        <w:t>La nueva división internacional del trabajo que ya habíamos constatado al final de los años sesenta, se convertía en realidad en los años ochenta.</w:t>
      </w:r>
    </w:p>
    <w:p>
      <w:pPr>
        <w:pStyle w:val="BodyText"/>
        <w:spacing w:line="261" w:lineRule="auto"/>
        <w:ind w:left="100" w:right="109" w:firstLine="240"/>
        <w:jc w:val="both"/>
      </w:pPr>
      <w:r>
        <w:rPr>
          <w:color w:val="231F20"/>
          <w:w w:val="110"/>
        </w:rPr>
        <w:t>Pero ahora ella producía aquel fenómeno nuevo que habíamos previsto solamente. Empieza a surgir una poderosa integración asiática que va a aumentar su influencia en la medida en que China entra en el ahora despreciado mercado estadunidense, con un yuan devaluado, tomando drásticamente los mercados abandonados por los tigres asiáticos y por los japoneses.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2" w:firstLine="240"/>
        <w:jc w:val="both"/>
      </w:pPr>
      <w:r>
        <w:rPr>
          <w:color w:val="231F20"/>
          <w:w w:val="110"/>
        </w:rPr>
        <w:t>Estaba anunciada la nueva fase de la economía mundial en la  cual la economía china iba a ganar una dimensión espectacular. Su inmenso mercado interno, su conducción política a largo plazo, la osadía</w:t>
      </w:r>
      <w:r>
        <w:rPr>
          <w:color w:val="231F20"/>
          <w:spacing w:val="-9"/>
          <w:w w:val="110"/>
        </w:rPr>
        <w:t> </w:t>
      </w:r>
      <w:r>
        <w:rPr>
          <w:color w:val="231F20"/>
          <w:w w:val="110"/>
        </w:rPr>
        <w:t>de</w:t>
      </w:r>
      <w:r>
        <w:rPr>
          <w:color w:val="231F20"/>
          <w:spacing w:val="-9"/>
          <w:w w:val="110"/>
        </w:rPr>
        <w:t> </w:t>
      </w:r>
      <w:r>
        <w:rPr>
          <w:color w:val="231F20"/>
          <w:w w:val="110"/>
        </w:rPr>
        <w:t>su</w:t>
      </w:r>
      <w:r>
        <w:rPr>
          <w:color w:val="231F20"/>
          <w:spacing w:val="-9"/>
          <w:w w:val="110"/>
        </w:rPr>
        <w:t> </w:t>
      </w:r>
      <w:r>
        <w:rPr>
          <w:color w:val="231F20"/>
          <w:w w:val="110"/>
        </w:rPr>
        <w:t>liderazgo</w:t>
      </w:r>
      <w:r>
        <w:rPr>
          <w:color w:val="231F20"/>
          <w:spacing w:val="-9"/>
          <w:w w:val="110"/>
        </w:rPr>
        <w:t> </w:t>
      </w:r>
      <w:r>
        <w:rPr>
          <w:color w:val="231F20"/>
          <w:w w:val="110"/>
        </w:rPr>
        <w:t>para</w:t>
      </w:r>
      <w:r>
        <w:rPr>
          <w:color w:val="231F20"/>
          <w:spacing w:val="-9"/>
          <w:w w:val="110"/>
        </w:rPr>
        <w:t> </w:t>
      </w:r>
      <w:r>
        <w:rPr>
          <w:color w:val="231F20"/>
          <w:w w:val="110"/>
        </w:rPr>
        <w:t>aprovecharse</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gigantescos</w:t>
      </w:r>
      <w:r>
        <w:rPr>
          <w:color w:val="231F20"/>
          <w:spacing w:val="-9"/>
          <w:w w:val="110"/>
        </w:rPr>
        <w:t> </w:t>
      </w:r>
      <w:r>
        <w:rPr>
          <w:color w:val="231F20"/>
          <w:w w:val="110"/>
        </w:rPr>
        <w:t>“nichos” de mercado dejados abiertos, el poder de sus empresas, educadas en una</w:t>
      </w:r>
      <w:r>
        <w:rPr>
          <w:color w:val="231F20"/>
          <w:spacing w:val="-13"/>
          <w:w w:val="110"/>
        </w:rPr>
        <w:t> </w:t>
      </w:r>
      <w:r>
        <w:rPr>
          <w:color w:val="231F20"/>
          <w:w w:val="110"/>
        </w:rPr>
        <w:t>política</w:t>
      </w:r>
      <w:r>
        <w:rPr>
          <w:color w:val="231F20"/>
          <w:spacing w:val="-13"/>
          <w:w w:val="110"/>
        </w:rPr>
        <w:t> </w:t>
      </w:r>
      <w:r>
        <w:rPr>
          <w:color w:val="231F20"/>
          <w:w w:val="110"/>
        </w:rPr>
        <w:t>microeconómica</w:t>
      </w:r>
      <w:r>
        <w:rPr>
          <w:color w:val="231F20"/>
          <w:spacing w:val="-13"/>
          <w:w w:val="110"/>
        </w:rPr>
        <w:t> </w:t>
      </w:r>
      <w:r>
        <w:rPr>
          <w:color w:val="231F20"/>
          <w:w w:val="110"/>
        </w:rPr>
        <w:t>fundada</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planeamiento</w:t>
      </w:r>
      <w:r>
        <w:rPr>
          <w:color w:val="231F20"/>
          <w:spacing w:val="-13"/>
          <w:w w:val="110"/>
        </w:rPr>
        <w:t> </w:t>
      </w:r>
      <w:r>
        <w:rPr>
          <w:color w:val="231F20"/>
          <w:w w:val="110"/>
        </w:rPr>
        <w:t>estatal</w:t>
      </w:r>
      <w:r>
        <w:rPr>
          <w:color w:val="231F20"/>
          <w:spacing w:val="-13"/>
          <w:w w:val="110"/>
        </w:rPr>
        <w:t> </w:t>
      </w:r>
      <w:r>
        <w:rPr>
          <w:color w:val="231F20"/>
          <w:w w:val="110"/>
        </w:rPr>
        <w:t>y</w:t>
      </w:r>
      <w:r>
        <w:rPr>
          <w:color w:val="231F20"/>
          <w:spacing w:val="-13"/>
          <w:w w:val="110"/>
        </w:rPr>
        <w:t> </w:t>
      </w:r>
      <w:r>
        <w:rPr>
          <w:color w:val="231F20"/>
          <w:w w:val="110"/>
        </w:rPr>
        <w:t>las políticas industriales, anunciaban una nueva potencia mundial con gran empuje. La crisis financiera en Asia en 1997 ha sido una opor- tunidad</w:t>
      </w:r>
      <w:r>
        <w:rPr>
          <w:color w:val="231F20"/>
          <w:spacing w:val="-5"/>
          <w:w w:val="110"/>
        </w:rPr>
        <w:t> </w:t>
      </w:r>
      <w:r>
        <w:rPr>
          <w:color w:val="231F20"/>
          <w:w w:val="110"/>
        </w:rPr>
        <w:t>para</w:t>
      </w:r>
      <w:r>
        <w:rPr>
          <w:color w:val="231F20"/>
          <w:spacing w:val="-5"/>
          <w:w w:val="110"/>
        </w:rPr>
        <w:t> </w:t>
      </w:r>
      <w:r>
        <w:rPr>
          <w:color w:val="231F20"/>
          <w:w w:val="110"/>
        </w:rPr>
        <w:t>realizar</w:t>
      </w:r>
      <w:r>
        <w:rPr>
          <w:color w:val="231F20"/>
          <w:spacing w:val="-5"/>
          <w:w w:val="110"/>
        </w:rPr>
        <w:t> </w:t>
      </w:r>
      <w:r>
        <w:rPr>
          <w:color w:val="231F20"/>
          <w:w w:val="110"/>
        </w:rPr>
        <w:t>los</w:t>
      </w:r>
      <w:r>
        <w:rPr>
          <w:color w:val="231F20"/>
          <w:spacing w:val="-5"/>
          <w:w w:val="110"/>
        </w:rPr>
        <w:t> </w:t>
      </w:r>
      <w:r>
        <w:rPr>
          <w:color w:val="231F20"/>
          <w:w w:val="110"/>
        </w:rPr>
        <w:t>ajustes</w:t>
      </w:r>
      <w:r>
        <w:rPr>
          <w:color w:val="231F20"/>
          <w:spacing w:val="-5"/>
          <w:w w:val="110"/>
        </w:rPr>
        <w:t> </w:t>
      </w:r>
      <w:r>
        <w:rPr>
          <w:color w:val="231F20"/>
          <w:w w:val="110"/>
        </w:rPr>
        <w:t>necesarios</w:t>
      </w:r>
      <w:r>
        <w:rPr>
          <w:color w:val="231F20"/>
          <w:spacing w:val="-5"/>
          <w:w w:val="110"/>
        </w:rPr>
        <w:t> </w:t>
      </w:r>
      <w:r>
        <w:rPr>
          <w:color w:val="231F20"/>
          <w:w w:val="110"/>
        </w:rPr>
        <w:t>para</w:t>
      </w:r>
      <w:r>
        <w:rPr>
          <w:color w:val="231F20"/>
          <w:spacing w:val="-5"/>
          <w:w w:val="110"/>
        </w:rPr>
        <w:t> </w:t>
      </w:r>
      <w:r>
        <w:rPr>
          <w:color w:val="231F20"/>
          <w:w w:val="110"/>
        </w:rPr>
        <w:t>esta</w:t>
      </w:r>
      <w:r>
        <w:rPr>
          <w:color w:val="231F20"/>
          <w:spacing w:val="-5"/>
          <w:w w:val="110"/>
        </w:rPr>
        <w:t> </w:t>
      </w:r>
      <w:r>
        <w:rPr>
          <w:color w:val="231F20"/>
          <w:w w:val="110"/>
        </w:rPr>
        <w:t>nueva</w:t>
      </w:r>
      <w:r>
        <w:rPr>
          <w:color w:val="231F20"/>
          <w:spacing w:val="-5"/>
          <w:w w:val="110"/>
        </w:rPr>
        <w:t> </w:t>
      </w:r>
      <w:r>
        <w:rPr>
          <w:color w:val="231F20"/>
          <w:w w:val="110"/>
        </w:rPr>
        <w:t>fase</w:t>
      </w:r>
      <w:r>
        <w:rPr>
          <w:color w:val="231F20"/>
          <w:spacing w:val="-5"/>
          <w:w w:val="110"/>
        </w:rPr>
        <w:t> </w:t>
      </w:r>
      <w:r>
        <w:rPr>
          <w:color w:val="231F20"/>
          <w:w w:val="110"/>
        </w:rPr>
        <w:t>de</w:t>
      </w:r>
      <w:r>
        <w:rPr>
          <w:color w:val="231F20"/>
          <w:spacing w:val="-5"/>
          <w:w w:val="110"/>
        </w:rPr>
        <w:t> </w:t>
      </w:r>
      <w:r>
        <w:rPr>
          <w:color w:val="231F20"/>
          <w:w w:val="110"/>
        </w:rPr>
        <w:t>la economía mundial, apoyada en la generalizaçión de la robotización, iniciada en Japón en los años ochenta. China va a transformarse en el</w:t>
      </w:r>
      <w:r>
        <w:rPr>
          <w:color w:val="231F20"/>
          <w:spacing w:val="-10"/>
          <w:w w:val="110"/>
        </w:rPr>
        <w:t> </w:t>
      </w:r>
      <w:r>
        <w:rPr>
          <w:color w:val="231F20"/>
          <w:w w:val="110"/>
        </w:rPr>
        <w:t>polo</w:t>
      </w:r>
      <w:r>
        <w:rPr>
          <w:color w:val="231F20"/>
          <w:spacing w:val="-10"/>
          <w:w w:val="110"/>
        </w:rPr>
        <w:t> </w:t>
      </w:r>
      <w:r>
        <w:rPr>
          <w:color w:val="231F20"/>
          <w:w w:val="110"/>
        </w:rPr>
        <w:t>de</w:t>
      </w:r>
      <w:r>
        <w:rPr>
          <w:color w:val="231F20"/>
          <w:spacing w:val="-10"/>
          <w:w w:val="110"/>
        </w:rPr>
        <w:t> </w:t>
      </w:r>
      <w:r>
        <w:rPr>
          <w:color w:val="231F20"/>
          <w:w w:val="110"/>
        </w:rPr>
        <w:t>esta</w:t>
      </w:r>
      <w:r>
        <w:rPr>
          <w:color w:val="231F20"/>
          <w:spacing w:val="-10"/>
          <w:w w:val="110"/>
        </w:rPr>
        <w:t> </w:t>
      </w:r>
      <w:r>
        <w:rPr>
          <w:color w:val="231F20"/>
          <w:w w:val="110"/>
        </w:rPr>
        <w:t>nueva</w:t>
      </w:r>
      <w:r>
        <w:rPr>
          <w:color w:val="231F20"/>
          <w:spacing w:val="-10"/>
          <w:w w:val="110"/>
        </w:rPr>
        <w:t> </w:t>
      </w:r>
      <w:r>
        <w:rPr>
          <w:color w:val="231F20"/>
          <w:w w:val="110"/>
        </w:rPr>
        <w:t>fase</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industria</w:t>
      </w:r>
      <w:r>
        <w:rPr>
          <w:color w:val="231F20"/>
          <w:spacing w:val="-10"/>
          <w:w w:val="110"/>
        </w:rPr>
        <w:t> </w:t>
      </w:r>
      <w:r>
        <w:rPr>
          <w:color w:val="231F20"/>
          <w:w w:val="110"/>
        </w:rPr>
        <w:t>que</w:t>
      </w:r>
      <w:r>
        <w:rPr>
          <w:color w:val="231F20"/>
          <w:spacing w:val="-10"/>
          <w:w w:val="110"/>
        </w:rPr>
        <w:t> </w:t>
      </w:r>
      <w:r>
        <w:rPr>
          <w:color w:val="231F20"/>
          <w:w w:val="110"/>
        </w:rPr>
        <w:t>rebaja</w:t>
      </w:r>
      <w:r>
        <w:rPr>
          <w:color w:val="231F20"/>
          <w:spacing w:val="-10"/>
          <w:w w:val="110"/>
        </w:rPr>
        <w:t> </w:t>
      </w:r>
      <w:r>
        <w:rPr>
          <w:color w:val="231F20"/>
          <w:w w:val="110"/>
        </w:rPr>
        <w:t>los</w:t>
      </w:r>
      <w:r>
        <w:rPr>
          <w:color w:val="231F20"/>
          <w:spacing w:val="-10"/>
          <w:w w:val="110"/>
        </w:rPr>
        <w:t> </w:t>
      </w:r>
      <w:r>
        <w:rPr>
          <w:color w:val="231F20"/>
          <w:w w:val="110"/>
        </w:rPr>
        <w:t>costos</w:t>
      </w:r>
      <w:r>
        <w:rPr>
          <w:color w:val="231F20"/>
          <w:spacing w:val="-10"/>
          <w:w w:val="110"/>
        </w:rPr>
        <w:t> </w:t>
      </w:r>
      <w:r>
        <w:rPr>
          <w:color w:val="231F20"/>
          <w:w w:val="110"/>
        </w:rPr>
        <w:t>de</w:t>
      </w:r>
      <w:r>
        <w:rPr>
          <w:color w:val="231F20"/>
          <w:spacing w:val="-10"/>
          <w:w w:val="110"/>
        </w:rPr>
        <w:t> </w:t>
      </w:r>
      <w:r>
        <w:rPr>
          <w:color w:val="231F20"/>
          <w:w w:val="110"/>
        </w:rPr>
        <w:t>pro- ducción de tal forma que los antiguos centros industriales no</w:t>
      </w:r>
      <w:r>
        <w:rPr>
          <w:color w:val="231F20"/>
          <w:spacing w:val="-34"/>
          <w:w w:val="110"/>
        </w:rPr>
        <w:t> </w:t>
      </w:r>
      <w:r>
        <w:rPr>
          <w:color w:val="231F20"/>
          <w:w w:val="110"/>
        </w:rPr>
        <w:t>pueden acompañar. China se convierte así no sólo en un importante líder exportador industrial sino también en el mayor productor industrial del mundo. El crecimiento de su producto es inferior a la renta de   la población que se convierte rápidamente en el mayor mercado interno del mundo y en el mayor importador. Con una moneda que sólo puede valorizarse, debido a su bajo nivel cambiario, China se convierte así en el destino de la exportación mundial,</w:t>
      </w:r>
      <w:r>
        <w:rPr>
          <w:color w:val="231F20"/>
          <w:spacing w:val="-38"/>
          <w:w w:val="110"/>
        </w:rPr>
        <w:t> </w:t>
      </w:r>
      <w:r>
        <w:rPr>
          <w:color w:val="231F20"/>
          <w:w w:val="110"/>
        </w:rPr>
        <w:t>particularmen- te de los países exportadores de materias primas y productos prima- rios. Sus espectaculares bases económicas, demográficas,</w:t>
      </w:r>
      <w:r>
        <w:rPr>
          <w:color w:val="231F20"/>
          <w:spacing w:val="-12"/>
          <w:w w:val="110"/>
        </w:rPr>
        <w:t> </w:t>
      </w:r>
      <w:r>
        <w:rPr>
          <w:color w:val="231F20"/>
          <w:w w:val="110"/>
        </w:rPr>
        <w:t>históricas, culturales, científicas, la profundidad de su reforma agraria y de la expropiación de los monopolios privados hechos por la revolución nacional</w:t>
      </w:r>
      <w:r>
        <w:rPr>
          <w:color w:val="231F20"/>
          <w:spacing w:val="-12"/>
          <w:w w:val="110"/>
        </w:rPr>
        <w:t> </w:t>
      </w:r>
      <w:r>
        <w:rPr>
          <w:color w:val="231F20"/>
          <w:w w:val="110"/>
        </w:rPr>
        <w:t>democrática,</w:t>
      </w:r>
      <w:r>
        <w:rPr>
          <w:color w:val="231F20"/>
          <w:spacing w:val="-12"/>
          <w:w w:val="110"/>
        </w:rPr>
        <w:t> </w:t>
      </w:r>
      <w:r>
        <w:rPr>
          <w:color w:val="231F20"/>
          <w:w w:val="110"/>
        </w:rPr>
        <w:t>sobre</w:t>
      </w:r>
      <w:r>
        <w:rPr>
          <w:color w:val="231F20"/>
          <w:spacing w:val="-12"/>
          <w:w w:val="110"/>
        </w:rPr>
        <w:t> </w:t>
      </w:r>
      <w:r>
        <w:rPr>
          <w:color w:val="231F20"/>
          <w:w w:val="110"/>
        </w:rPr>
        <w:t>todo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fase</w:t>
      </w:r>
      <w:r>
        <w:rPr>
          <w:color w:val="231F20"/>
          <w:spacing w:val="-12"/>
          <w:w w:val="110"/>
        </w:rPr>
        <w:t> </w:t>
      </w:r>
      <w:r>
        <w:rPr>
          <w:color w:val="231F20"/>
          <w:w w:val="110"/>
        </w:rPr>
        <w:t>de</w:t>
      </w:r>
      <w:r>
        <w:rPr>
          <w:color w:val="231F20"/>
          <w:spacing w:val="-12"/>
          <w:w w:val="110"/>
        </w:rPr>
        <w:t> </w:t>
      </w:r>
      <w:r>
        <w:rPr>
          <w:color w:val="231F20"/>
          <w:w w:val="110"/>
        </w:rPr>
        <w:t>instalación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China </w:t>
      </w:r>
      <w:r>
        <w:rPr>
          <w:color w:val="231F20"/>
          <w:spacing w:val="-3"/>
          <w:w w:val="110"/>
        </w:rPr>
        <w:t>Popular, </w:t>
      </w:r>
      <w:r>
        <w:rPr>
          <w:color w:val="231F20"/>
          <w:w w:val="110"/>
        </w:rPr>
        <w:t>permiten a la República China recuperar su papel histórico de primera potencia mundial, papel hegemónico ocupado por ella durante más de un milenio. Éste es pues el nuevo entorno mundial que avanza inexorablemente hacia una redefinición, en</w:t>
      </w:r>
      <w:r>
        <w:rPr>
          <w:color w:val="231F20"/>
          <w:spacing w:val="-19"/>
          <w:w w:val="110"/>
        </w:rPr>
        <w:t> </w:t>
      </w:r>
      <w:r>
        <w:rPr>
          <w:color w:val="231F20"/>
          <w:w w:val="110"/>
        </w:rPr>
        <w:t>profundidad, de</w:t>
      </w:r>
      <w:r>
        <w:rPr>
          <w:color w:val="231F20"/>
          <w:spacing w:val="-16"/>
          <w:w w:val="110"/>
        </w:rPr>
        <w:t> </w:t>
      </w:r>
      <w:r>
        <w:rPr>
          <w:color w:val="231F20"/>
          <w:w w:val="110"/>
        </w:rPr>
        <w:t>estrategias</w:t>
      </w:r>
      <w:r>
        <w:rPr>
          <w:color w:val="231F20"/>
          <w:spacing w:val="-16"/>
          <w:w w:val="110"/>
        </w:rPr>
        <w:t> </w:t>
      </w:r>
      <w:r>
        <w:rPr>
          <w:color w:val="231F20"/>
          <w:w w:val="110"/>
        </w:rPr>
        <w:t>y</w:t>
      </w:r>
      <w:r>
        <w:rPr>
          <w:color w:val="231F20"/>
          <w:spacing w:val="-16"/>
          <w:w w:val="110"/>
        </w:rPr>
        <w:t> </w:t>
      </w:r>
      <w:r>
        <w:rPr>
          <w:color w:val="231F20"/>
          <w:w w:val="110"/>
        </w:rPr>
        <w:t>políticas</w:t>
      </w:r>
      <w:r>
        <w:rPr>
          <w:color w:val="231F20"/>
          <w:spacing w:val="-16"/>
          <w:w w:val="110"/>
        </w:rPr>
        <w:t> </w:t>
      </w:r>
      <w:r>
        <w:rPr>
          <w:color w:val="231F20"/>
          <w:w w:val="110"/>
        </w:rPr>
        <w:t>socioeconómicas.</w:t>
      </w:r>
    </w:p>
    <w:p>
      <w:pPr>
        <w:pStyle w:val="BodyText"/>
      </w:pPr>
    </w:p>
    <w:p>
      <w:pPr>
        <w:pStyle w:val="BodyText"/>
      </w:pPr>
    </w:p>
    <w:p>
      <w:pPr>
        <w:pStyle w:val="BodyText"/>
        <w:spacing w:before="2"/>
        <w:rPr>
          <w:sz w:val="25"/>
        </w:rPr>
      </w:pPr>
    </w:p>
    <w:p>
      <w:pPr>
        <w:pStyle w:val="BodyText"/>
        <w:ind w:left="100"/>
        <w:jc w:val="both"/>
      </w:pPr>
      <w:r>
        <w:rPr>
          <w:color w:val="231F20"/>
          <w:w w:val="130"/>
        </w:rPr>
        <w:t>la crisis </w:t>
      </w:r>
      <w:r>
        <w:rPr>
          <w:color w:val="231F20"/>
          <w:w w:val="125"/>
        </w:rPr>
        <w:t>de 2008-2010: </w:t>
      </w:r>
      <w:r>
        <w:rPr>
          <w:color w:val="231F20"/>
          <w:w w:val="130"/>
        </w:rPr>
        <w:t>coyuntura y estructura</w:t>
      </w:r>
    </w:p>
    <w:p>
      <w:pPr>
        <w:pStyle w:val="BodyText"/>
        <w:spacing w:before="5"/>
        <w:rPr>
          <w:sz w:val="23"/>
        </w:rPr>
      </w:pPr>
    </w:p>
    <w:p>
      <w:pPr>
        <w:pStyle w:val="BodyText"/>
        <w:spacing w:line="261" w:lineRule="auto"/>
        <w:ind w:left="100" w:right="119"/>
        <w:jc w:val="both"/>
      </w:pPr>
      <w:r>
        <w:rPr>
          <w:color w:val="231F20"/>
          <w:w w:val="110"/>
        </w:rPr>
        <w:t>Cabe</w:t>
      </w:r>
      <w:r>
        <w:rPr>
          <w:color w:val="231F20"/>
          <w:spacing w:val="18"/>
          <w:w w:val="110"/>
        </w:rPr>
        <w:t> </w:t>
      </w:r>
      <w:r>
        <w:rPr>
          <w:color w:val="231F20"/>
          <w:w w:val="110"/>
        </w:rPr>
        <w:t>ahora</w:t>
      </w:r>
      <w:r>
        <w:rPr>
          <w:color w:val="231F20"/>
          <w:spacing w:val="18"/>
          <w:w w:val="110"/>
        </w:rPr>
        <w:t> </w:t>
      </w:r>
      <w:r>
        <w:rPr>
          <w:color w:val="231F20"/>
          <w:w w:val="110"/>
        </w:rPr>
        <w:t>avanzar</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análisis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nueva</w:t>
      </w:r>
      <w:r>
        <w:rPr>
          <w:color w:val="231F20"/>
          <w:spacing w:val="18"/>
          <w:w w:val="110"/>
        </w:rPr>
        <w:t> </w:t>
      </w:r>
      <w:r>
        <w:rPr>
          <w:color w:val="231F20"/>
          <w:w w:val="110"/>
        </w:rPr>
        <w:t>fase</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economía</w:t>
      </w:r>
      <w:r>
        <w:rPr>
          <w:color w:val="231F20"/>
          <w:w w:val="111"/>
        </w:rPr>
        <w:t> </w:t>
      </w:r>
      <w:r>
        <w:rPr>
          <w:color w:val="231F20"/>
          <w:w w:val="110"/>
        </w:rPr>
        <w:t>capitalista mundial iniciada con la recesión de 2008-2009, en la</w:t>
      </w:r>
      <w:r>
        <w:rPr>
          <w:color w:val="231F20"/>
          <w:spacing w:val="-24"/>
          <w:w w:val="110"/>
        </w:rPr>
        <w:t> </w:t>
      </w:r>
      <w:r>
        <w:rPr>
          <w:color w:val="231F20"/>
          <w:w w:val="110"/>
        </w:rPr>
        <w:t>cual entran en crisis definitiva las soluciones provisorias impuestas en el periodo</w:t>
      </w:r>
      <w:r>
        <w:rPr>
          <w:color w:val="231F20"/>
          <w:spacing w:val="32"/>
          <w:w w:val="110"/>
        </w:rPr>
        <w:t> </w:t>
      </w:r>
      <w:r>
        <w:rPr>
          <w:color w:val="231F20"/>
          <w:w w:val="110"/>
        </w:rPr>
        <w:t>del</w:t>
      </w:r>
      <w:r>
        <w:rPr>
          <w:color w:val="231F20"/>
          <w:spacing w:val="32"/>
          <w:w w:val="110"/>
        </w:rPr>
        <w:t> </w:t>
      </w:r>
      <w:r>
        <w:rPr>
          <w:color w:val="231F20"/>
          <w:w w:val="110"/>
        </w:rPr>
        <w:t>auge</w:t>
      </w:r>
      <w:r>
        <w:rPr>
          <w:color w:val="231F20"/>
          <w:spacing w:val="32"/>
          <w:w w:val="110"/>
        </w:rPr>
        <w:t> </w:t>
      </w:r>
      <w:r>
        <w:rPr>
          <w:color w:val="231F20"/>
          <w:w w:val="110"/>
        </w:rPr>
        <w:t>neoliberal.</w:t>
      </w:r>
      <w:r>
        <w:rPr>
          <w:color w:val="231F20"/>
          <w:spacing w:val="32"/>
          <w:w w:val="110"/>
        </w:rPr>
        <w:t> </w:t>
      </w:r>
      <w:r>
        <w:rPr>
          <w:color w:val="231F20"/>
          <w:w w:val="110"/>
        </w:rPr>
        <w:t>Estos</w:t>
      </w:r>
      <w:r>
        <w:rPr>
          <w:color w:val="231F20"/>
          <w:spacing w:val="32"/>
          <w:w w:val="110"/>
        </w:rPr>
        <w:t> </w:t>
      </w:r>
      <w:r>
        <w:rPr>
          <w:color w:val="231F20"/>
          <w:w w:val="110"/>
        </w:rPr>
        <w:t>análisis</w:t>
      </w:r>
      <w:r>
        <w:rPr>
          <w:color w:val="231F20"/>
          <w:spacing w:val="32"/>
          <w:w w:val="110"/>
        </w:rPr>
        <w:t> </w:t>
      </w:r>
      <w:r>
        <w:rPr>
          <w:color w:val="231F20"/>
          <w:w w:val="110"/>
        </w:rPr>
        <w:t>ganaron</w:t>
      </w:r>
      <w:r>
        <w:rPr>
          <w:color w:val="231F20"/>
          <w:spacing w:val="32"/>
          <w:w w:val="110"/>
        </w:rPr>
        <w:t> </w:t>
      </w:r>
      <w:r>
        <w:rPr>
          <w:color w:val="231F20"/>
          <w:w w:val="110"/>
        </w:rPr>
        <w:t>una</w:t>
      </w:r>
      <w:r>
        <w:rPr>
          <w:color w:val="231F20"/>
          <w:spacing w:val="32"/>
          <w:w w:val="110"/>
        </w:rPr>
        <w:t> </w:t>
      </w:r>
      <w:r>
        <w:rPr>
          <w:color w:val="231F20"/>
          <w:w w:val="110"/>
        </w:rPr>
        <w:t>evidencia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colosal con la crisis desatada en el segundo semestre de 2008. Ella demostró con enorme violencia algunas de las tesis de los libros ci- tados en el subtítulo  anterior:</w:t>
      </w:r>
    </w:p>
    <w:p>
      <w:pPr>
        <w:pStyle w:val="BodyText"/>
        <w:spacing w:line="261" w:lineRule="auto"/>
        <w:ind w:left="100" w:right="112" w:firstLine="240"/>
        <w:jc w:val="both"/>
      </w:pPr>
      <w:r>
        <w:rPr>
          <w:color w:val="231F20"/>
          <w:w w:val="110"/>
        </w:rPr>
        <w:t>Los desequilibrios generados por las políticas neoliberales antes citados</w:t>
      </w:r>
      <w:r>
        <w:rPr>
          <w:color w:val="231F20"/>
          <w:spacing w:val="-6"/>
          <w:w w:val="110"/>
        </w:rPr>
        <w:t> </w:t>
      </w:r>
      <w:r>
        <w:rPr>
          <w:color w:val="231F20"/>
          <w:w w:val="110"/>
        </w:rPr>
        <w:t>abrieron</w:t>
      </w:r>
      <w:r>
        <w:rPr>
          <w:color w:val="231F20"/>
          <w:spacing w:val="-6"/>
          <w:w w:val="110"/>
        </w:rPr>
        <w:t> </w:t>
      </w:r>
      <w:r>
        <w:rPr>
          <w:color w:val="231F20"/>
          <w:w w:val="110"/>
        </w:rPr>
        <w:t>camino</w:t>
      </w:r>
      <w:r>
        <w:rPr>
          <w:color w:val="231F20"/>
          <w:spacing w:val="-6"/>
          <w:w w:val="110"/>
        </w:rPr>
        <w:t> </w:t>
      </w:r>
      <w:r>
        <w:rPr>
          <w:color w:val="231F20"/>
          <w:w w:val="110"/>
        </w:rPr>
        <w:t>para</w:t>
      </w:r>
      <w:r>
        <w:rPr>
          <w:color w:val="231F20"/>
          <w:spacing w:val="-6"/>
          <w:w w:val="110"/>
        </w:rPr>
        <w:t> </w:t>
      </w:r>
      <w:r>
        <w:rPr>
          <w:color w:val="231F20"/>
          <w:w w:val="110"/>
        </w:rPr>
        <w:t>un</w:t>
      </w:r>
      <w:r>
        <w:rPr>
          <w:color w:val="231F20"/>
          <w:spacing w:val="-6"/>
          <w:w w:val="110"/>
        </w:rPr>
        <w:t> </w:t>
      </w:r>
      <w:r>
        <w:rPr>
          <w:color w:val="231F20"/>
          <w:w w:val="110"/>
        </w:rPr>
        <w:t>gigantesco</w:t>
      </w:r>
      <w:r>
        <w:rPr>
          <w:color w:val="231F20"/>
          <w:spacing w:val="-6"/>
          <w:w w:val="110"/>
        </w:rPr>
        <w:t> </w:t>
      </w:r>
      <w:r>
        <w:rPr>
          <w:color w:val="231F20"/>
          <w:w w:val="110"/>
        </w:rPr>
        <w:t>sistema</w:t>
      </w:r>
      <w:r>
        <w:rPr>
          <w:color w:val="231F20"/>
          <w:spacing w:val="-6"/>
          <w:w w:val="110"/>
        </w:rPr>
        <w:t> </w:t>
      </w:r>
      <w:r>
        <w:rPr>
          <w:color w:val="231F20"/>
          <w:w w:val="110"/>
        </w:rPr>
        <w:t>financiero</w:t>
      </w:r>
      <w:r>
        <w:rPr>
          <w:color w:val="231F20"/>
          <w:spacing w:val="-6"/>
          <w:w w:val="110"/>
        </w:rPr>
        <w:t> </w:t>
      </w:r>
      <w:r>
        <w:rPr>
          <w:color w:val="231F20"/>
          <w:w w:val="110"/>
        </w:rPr>
        <w:t>soste- nido por la deuda pública, generada por el déficit fiscal permanente. Este sistema no puede mantenerse sin la transferencia colosal de recursos del sector productivo a un mundo económico financiero artificial</w:t>
      </w:r>
      <w:r>
        <w:rPr>
          <w:color w:val="231F20"/>
          <w:spacing w:val="-5"/>
          <w:w w:val="110"/>
        </w:rPr>
        <w:t> </w:t>
      </w:r>
      <w:r>
        <w:rPr>
          <w:color w:val="231F20"/>
          <w:w w:val="110"/>
        </w:rPr>
        <w:t>sostenido</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Estado.</w:t>
      </w:r>
      <w:r>
        <w:rPr>
          <w:color w:val="231F20"/>
          <w:spacing w:val="-5"/>
          <w:w w:val="110"/>
        </w:rPr>
        <w:t> </w:t>
      </w:r>
      <w:r>
        <w:rPr>
          <w:color w:val="231F20"/>
          <w:w w:val="110"/>
        </w:rPr>
        <w:t>El</w:t>
      </w:r>
      <w:r>
        <w:rPr>
          <w:color w:val="231F20"/>
          <w:spacing w:val="-5"/>
          <w:w w:val="110"/>
        </w:rPr>
        <w:t> </w:t>
      </w:r>
      <w:r>
        <w:rPr>
          <w:color w:val="231F20"/>
          <w:w w:val="110"/>
        </w:rPr>
        <w:t>capitalismo</w:t>
      </w:r>
      <w:r>
        <w:rPr>
          <w:color w:val="231F20"/>
          <w:spacing w:val="-5"/>
          <w:w w:val="110"/>
        </w:rPr>
        <w:t> </w:t>
      </w:r>
      <w:r>
        <w:rPr>
          <w:color w:val="231F20"/>
          <w:w w:val="110"/>
        </w:rPr>
        <w:t>de</w:t>
      </w:r>
      <w:r>
        <w:rPr>
          <w:color w:val="231F20"/>
          <w:spacing w:val="-5"/>
          <w:w w:val="110"/>
        </w:rPr>
        <w:t> </w:t>
      </w:r>
      <w:r>
        <w:rPr>
          <w:color w:val="231F20"/>
          <w:w w:val="110"/>
        </w:rPr>
        <w:t>Estado</w:t>
      </w:r>
      <w:r>
        <w:rPr>
          <w:color w:val="231F20"/>
          <w:spacing w:val="-5"/>
          <w:w w:val="110"/>
        </w:rPr>
        <w:t> </w:t>
      </w:r>
      <w:r>
        <w:rPr>
          <w:color w:val="231F20"/>
          <w:w w:val="110"/>
        </w:rPr>
        <w:t>pasa</w:t>
      </w:r>
      <w:r>
        <w:rPr>
          <w:color w:val="231F20"/>
          <w:spacing w:val="-5"/>
          <w:w w:val="110"/>
        </w:rPr>
        <w:t> </w:t>
      </w:r>
      <w:r>
        <w:rPr>
          <w:color w:val="231F20"/>
          <w:w w:val="110"/>
        </w:rPr>
        <w:t>a</w:t>
      </w:r>
      <w:r>
        <w:rPr>
          <w:color w:val="231F20"/>
          <w:spacing w:val="-5"/>
          <w:w w:val="110"/>
        </w:rPr>
        <w:t> </w:t>
      </w:r>
      <w:r>
        <w:rPr>
          <w:color w:val="231F20"/>
          <w:w w:val="110"/>
        </w:rPr>
        <w:t>ser el sostén fundamental de este nuevo orden capitalista, en su exacer- bada dimensión financiera. La llamada “economía casino” tiene sus raíces en el capitalismo de</w:t>
      </w:r>
      <w:r>
        <w:rPr>
          <w:color w:val="231F20"/>
          <w:spacing w:val="11"/>
          <w:w w:val="110"/>
        </w:rPr>
        <w:t> </w:t>
      </w:r>
      <w:r>
        <w:rPr>
          <w:color w:val="231F20"/>
          <w:w w:val="110"/>
        </w:rPr>
        <w:t>Estado.</w:t>
      </w:r>
    </w:p>
    <w:p>
      <w:pPr>
        <w:pStyle w:val="BodyText"/>
        <w:spacing w:line="261" w:lineRule="auto"/>
        <w:ind w:left="100" w:right="117" w:firstLine="240"/>
        <w:jc w:val="both"/>
      </w:pPr>
      <w:r>
        <w:rPr>
          <w:color w:val="231F20"/>
          <w:w w:val="110"/>
        </w:rPr>
        <w:t>La crisis actual pone de manifiesto la necesidad del capitalismo contemporáneo de garantizar con billones</w:t>
      </w:r>
      <w:r>
        <w:rPr>
          <w:color w:val="231F20"/>
          <w:w w:val="110"/>
          <w:position w:val="6"/>
          <w:sz w:val="13"/>
        </w:rPr>
        <w:t>9 </w:t>
      </w:r>
      <w:r>
        <w:rPr>
          <w:color w:val="231F20"/>
          <w:w w:val="110"/>
        </w:rPr>
        <w:t>de dólares estatales su funcionamiento. Aún no está claro por cuánto tiempo la sociedad estaba dispuesta a sostener esta política estatal, ocultada por el neo- liberalismo hasta que tuvieron que explicitarla claramente cuando esos desequilibrios alcanzaron niveles intolerables para el modelo institucional existente.</w:t>
      </w:r>
    </w:p>
    <w:p>
      <w:pPr>
        <w:pStyle w:val="BodyText"/>
        <w:spacing w:line="261" w:lineRule="auto"/>
        <w:ind w:left="100" w:right="117" w:firstLine="302"/>
        <w:jc w:val="both"/>
      </w:pPr>
      <w:r>
        <w:rPr>
          <w:color w:val="231F20"/>
          <w:w w:val="110"/>
        </w:rPr>
        <w:t>La crisis actual tiene dos lados: el primero pone de manifiesto el fracaso de la famosa capacidad de equilibrio que se podría alcanzar por un “libre mercado” que no existe y que jamás podría regular procesos</w:t>
      </w:r>
      <w:r>
        <w:rPr>
          <w:color w:val="231F20"/>
          <w:spacing w:val="-9"/>
          <w:w w:val="110"/>
        </w:rPr>
        <w:t> </w:t>
      </w:r>
      <w:r>
        <w:rPr>
          <w:color w:val="231F20"/>
          <w:w w:val="110"/>
        </w:rPr>
        <w:t>tan</w:t>
      </w:r>
      <w:r>
        <w:rPr>
          <w:color w:val="231F20"/>
          <w:spacing w:val="-9"/>
          <w:w w:val="110"/>
        </w:rPr>
        <w:t> </w:t>
      </w:r>
      <w:r>
        <w:rPr>
          <w:color w:val="231F20"/>
          <w:w w:val="110"/>
        </w:rPr>
        <w:t>fundamentales;</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otro</w:t>
      </w:r>
      <w:r>
        <w:rPr>
          <w:color w:val="231F20"/>
          <w:spacing w:val="-9"/>
          <w:w w:val="110"/>
        </w:rPr>
        <w:t> </w:t>
      </w:r>
      <w:r>
        <w:rPr>
          <w:color w:val="231F20"/>
          <w:w w:val="110"/>
        </w:rPr>
        <w:t>lado</w:t>
      </w:r>
      <w:r>
        <w:rPr>
          <w:color w:val="231F20"/>
          <w:spacing w:val="-9"/>
          <w:w w:val="110"/>
        </w:rPr>
        <w:t> </w:t>
      </w:r>
      <w:r>
        <w:rPr>
          <w:color w:val="231F20"/>
          <w:w w:val="110"/>
        </w:rPr>
        <w:t>hay</w:t>
      </w:r>
      <w:r>
        <w:rPr>
          <w:color w:val="231F20"/>
          <w:spacing w:val="-9"/>
          <w:w w:val="110"/>
        </w:rPr>
        <w:t> </w:t>
      </w:r>
      <w:r>
        <w:rPr>
          <w:color w:val="231F20"/>
          <w:w w:val="110"/>
        </w:rPr>
        <w:t>un</w:t>
      </w:r>
      <w:r>
        <w:rPr>
          <w:color w:val="231F20"/>
          <w:spacing w:val="-9"/>
          <w:w w:val="110"/>
        </w:rPr>
        <w:t> </w:t>
      </w:r>
      <w:r>
        <w:rPr>
          <w:color w:val="231F20"/>
          <w:w w:val="110"/>
        </w:rPr>
        <w:t>manejo</w:t>
      </w:r>
      <w:r>
        <w:rPr>
          <w:color w:val="231F20"/>
          <w:spacing w:val="-9"/>
          <w:w w:val="110"/>
        </w:rPr>
        <w:t> </w:t>
      </w:r>
      <w:r>
        <w:rPr>
          <w:color w:val="231F20"/>
          <w:w w:val="110"/>
        </w:rPr>
        <w:t>mediático impresionante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“crisis”,</w:t>
      </w:r>
      <w:r>
        <w:rPr>
          <w:color w:val="231F20"/>
          <w:spacing w:val="-8"/>
          <w:w w:val="110"/>
        </w:rPr>
        <w:t> </w:t>
      </w:r>
      <w:r>
        <w:rPr>
          <w:color w:val="231F20"/>
          <w:w w:val="110"/>
        </w:rPr>
        <w:t>que</w:t>
      </w:r>
      <w:r>
        <w:rPr>
          <w:color w:val="231F20"/>
          <w:spacing w:val="-8"/>
          <w:w w:val="110"/>
        </w:rPr>
        <w:t> </w:t>
      </w:r>
      <w:r>
        <w:rPr>
          <w:color w:val="231F20"/>
          <w:w w:val="110"/>
        </w:rPr>
        <w:t>permite</w:t>
      </w:r>
      <w:r>
        <w:rPr>
          <w:color w:val="231F20"/>
          <w:spacing w:val="-8"/>
          <w:w w:val="110"/>
        </w:rPr>
        <w:t> </w:t>
      </w:r>
      <w:r>
        <w:rPr>
          <w:color w:val="231F20"/>
          <w:w w:val="110"/>
        </w:rPr>
        <w:t>confundir</w:t>
      </w:r>
      <w:r>
        <w:rPr>
          <w:color w:val="231F20"/>
          <w:spacing w:val="-8"/>
          <w:w w:val="110"/>
        </w:rPr>
        <w:t> </w:t>
      </w:r>
      <w:r>
        <w:rPr>
          <w:color w:val="231F20"/>
          <w:w w:val="110"/>
        </w:rPr>
        <w:t>las</w:t>
      </w:r>
      <w:r>
        <w:rPr>
          <w:color w:val="231F20"/>
          <w:spacing w:val="-8"/>
          <w:w w:val="110"/>
        </w:rPr>
        <w:t> </w:t>
      </w:r>
      <w:r>
        <w:rPr>
          <w:color w:val="231F20"/>
          <w:w w:val="110"/>
        </w:rPr>
        <w:t>personas</w:t>
      </w:r>
      <w:r>
        <w:rPr>
          <w:color w:val="231F20"/>
          <w:spacing w:val="-8"/>
          <w:w w:val="110"/>
        </w:rPr>
        <w:t> </w:t>
      </w:r>
      <w:r>
        <w:rPr>
          <w:color w:val="231F20"/>
          <w:w w:val="110"/>
        </w:rPr>
        <w:t>para justificar la violenta y deficitaria intervención estatal a favor de la sobrevivencia</w:t>
      </w:r>
      <w:r>
        <w:rPr>
          <w:color w:val="231F20"/>
          <w:spacing w:val="-14"/>
          <w:w w:val="110"/>
        </w:rPr>
        <w:t> </w:t>
      </w:r>
      <w:r>
        <w:rPr>
          <w:color w:val="231F20"/>
          <w:w w:val="110"/>
        </w:rPr>
        <w:t>del</w:t>
      </w:r>
      <w:r>
        <w:rPr>
          <w:color w:val="231F20"/>
          <w:spacing w:val="-14"/>
          <w:w w:val="110"/>
        </w:rPr>
        <w:t> </w:t>
      </w:r>
      <w:r>
        <w:rPr>
          <w:color w:val="231F20"/>
          <w:w w:val="110"/>
        </w:rPr>
        <w:t>capital</w:t>
      </w:r>
      <w:r>
        <w:rPr>
          <w:color w:val="231F20"/>
          <w:spacing w:val="-14"/>
          <w:w w:val="110"/>
        </w:rPr>
        <w:t> </w:t>
      </w:r>
      <w:r>
        <w:rPr>
          <w:color w:val="231F20"/>
          <w:w w:val="110"/>
        </w:rPr>
        <w:t>financiero</w:t>
      </w:r>
      <w:r>
        <w:rPr>
          <w:color w:val="231F20"/>
          <w:spacing w:val="-14"/>
          <w:w w:val="110"/>
        </w:rPr>
        <w:t> </w:t>
      </w:r>
      <w:r>
        <w:rPr>
          <w:color w:val="231F20"/>
          <w:w w:val="110"/>
        </w:rPr>
        <w:t>para</w:t>
      </w:r>
      <w:r>
        <w:rPr>
          <w:color w:val="231F20"/>
          <w:spacing w:val="-14"/>
          <w:w w:val="110"/>
        </w:rPr>
        <w:t> </w:t>
      </w:r>
      <w:r>
        <w:rPr>
          <w:color w:val="231F20"/>
          <w:w w:val="110"/>
        </w:rPr>
        <w:t>impedir</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sistémica” que, según ellos, nos destruiría a</w:t>
      </w:r>
      <w:r>
        <w:rPr>
          <w:color w:val="231F20"/>
          <w:spacing w:val="45"/>
          <w:w w:val="110"/>
        </w:rPr>
        <w:t> </w:t>
      </w:r>
      <w:r>
        <w:rPr>
          <w:color w:val="231F20"/>
          <w:w w:val="110"/>
        </w:rPr>
        <w:t>todos.</w:t>
      </w:r>
    </w:p>
    <w:p>
      <w:pPr>
        <w:pStyle w:val="BodyText"/>
        <w:spacing w:line="261" w:lineRule="auto"/>
        <w:ind w:left="100" w:right="117" w:firstLine="240"/>
        <w:jc w:val="right"/>
      </w:pPr>
      <w:r>
        <w:rPr>
          <w:color w:val="231F20"/>
          <w:w w:val="110"/>
        </w:rPr>
        <w:t>En</w:t>
      </w:r>
      <w:r>
        <w:rPr>
          <w:color w:val="231F20"/>
          <w:spacing w:val="-13"/>
          <w:w w:val="110"/>
        </w:rPr>
        <w:t> </w:t>
      </w:r>
      <w:r>
        <w:rPr>
          <w:color w:val="231F20"/>
          <w:w w:val="110"/>
        </w:rPr>
        <w:t>consecuencia,</w:t>
      </w:r>
      <w:r>
        <w:rPr>
          <w:color w:val="231F20"/>
          <w:spacing w:val="-13"/>
          <w:w w:val="110"/>
        </w:rPr>
        <w:t> </w:t>
      </w:r>
      <w:r>
        <w:rPr>
          <w:color w:val="231F20"/>
          <w:w w:val="110"/>
        </w:rPr>
        <w:t>se</w:t>
      </w:r>
      <w:r>
        <w:rPr>
          <w:color w:val="231F20"/>
          <w:spacing w:val="-13"/>
          <w:w w:val="110"/>
        </w:rPr>
        <w:t> </w:t>
      </w:r>
      <w:r>
        <w:rPr>
          <w:color w:val="231F20"/>
          <w:w w:val="110"/>
        </w:rPr>
        <w:t>combate</w:t>
      </w:r>
      <w:r>
        <w:rPr>
          <w:color w:val="231F20"/>
          <w:spacing w:val="-13"/>
          <w:w w:val="110"/>
        </w:rPr>
        <w:t> </w:t>
      </w:r>
      <w:r>
        <w:rPr>
          <w:color w:val="231F20"/>
          <w:w w:val="110"/>
        </w:rPr>
        <w:t>la</w:t>
      </w:r>
      <w:r>
        <w:rPr>
          <w:color w:val="231F20"/>
          <w:spacing w:val="-13"/>
          <w:w w:val="110"/>
        </w:rPr>
        <w:t> </w:t>
      </w:r>
      <w:r>
        <w:rPr>
          <w:color w:val="231F20"/>
          <w:w w:val="110"/>
        </w:rPr>
        <w:t>crisis</w:t>
      </w:r>
      <w:r>
        <w:rPr>
          <w:color w:val="231F20"/>
          <w:spacing w:val="-13"/>
          <w:w w:val="110"/>
        </w:rPr>
        <w:t> </w:t>
      </w:r>
      <w:r>
        <w:rPr>
          <w:color w:val="231F20"/>
          <w:w w:val="110"/>
        </w:rPr>
        <w:t>con</w:t>
      </w:r>
      <w:r>
        <w:rPr>
          <w:color w:val="231F20"/>
          <w:spacing w:val="-13"/>
          <w:w w:val="110"/>
        </w:rPr>
        <w:t> </w:t>
      </w:r>
      <w:r>
        <w:rPr>
          <w:color w:val="231F20"/>
          <w:w w:val="110"/>
        </w:rPr>
        <w:t>los</w:t>
      </w:r>
      <w:r>
        <w:rPr>
          <w:color w:val="231F20"/>
          <w:spacing w:val="-13"/>
          <w:w w:val="110"/>
        </w:rPr>
        <w:t> </w:t>
      </w:r>
      <w:r>
        <w:rPr>
          <w:color w:val="231F20"/>
          <w:w w:val="110"/>
        </w:rPr>
        <w:t>mismos</w:t>
      </w:r>
      <w:r>
        <w:rPr>
          <w:color w:val="231F20"/>
          <w:spacing w:val="-13"/>
          <w:w w:val="110"/>
        </w:rPr>
        <w:t> </w:t>
      </w:r>
      <w:r>
        <w:rPr>
          <w:color w:val="231F20"/>
          <w:w w:val="110"/>
        </w:rPr>
        <w:t>mecanismos</w:t>
      </w:r>
      <w:r>
        <w:rPr>
          <w:color w:val="231F20"/>
          <w:w w:val="107"/>
        </w:rPr>
        <w:t> </w:t>
      </w:r>
      <w:r>
        <w:rPr>
          <w:color w:val="231F20"/>
          <w:w w:val="110"/>
        </w:rPr>
        <w:t>que la generaron. Se pretende que la intervención estatal y</w:t>
      </w:r>
      <w:r>
        <w:rPr>
          <w:color w:val="231F20"/>
          <w:spacing w:val="-22"/>
          <w:w w:val="110"/>
        </w:rPr>
        <w:t> </w:t>
      </w:r>
      <w:r>
        <w:rPr>
          <w:color w:val="231F20"/>
          <w:w w:val="110"/>
        </w:rPr>
        <w:t>la</w:t>
      </w:r>
      <w:r>
        <w:rPr>
          <w:color w:val="231F20"/>
          <w:spacing w:val="-3"/>
          <w:w w:val="110"/>
        </w:rPr>
        <w:t> </w:t>
      </w:r>
      <w:r>
        <w:rPr>
          <w:color w:val="231F20"/>
          <w:w w:val="110"/>
        </w:rPr>
        <w:t>regula-</w:t>
      </w:r>
      <w:r>
        <w:rPr>
          <w:color w:val="231F20"/>
          <w:w w:val="72"/>
        </w:rPr>
        <w:t> </w:t>
      </w:r>
      <w:r>
        <w:rPr>
          <w:color w:val="231F20"/>
          <w:w w:val="110"/>
        </w:rPr>
        <w:t>ción que faltaron en el reino neoliberal será sustituida por</w:t>
      </w:r>
      <w:r>
        <w:rPr>
          <w:color w:val="231F20"/>
          <w:spacing w:val="22"/>
          <w:w w:val="110"/>
        </w:rPr>
        <w:t> </w:t>
      </w:r>
      <w:r>
        <w:rPr>
          <w:color w:val="231F20"/>
          <w:w w:val="110"/>
        </w:rPr>
        <w:t>unas</w:t>
      </w:r>
      <w:r>
        <w:rPr>
          <w:color w:val="231F20"/>
          <w:spacing w:val="2"/>
          <w:w w:val="110"/>
        </w:rPr>
        <w:t> </w:t>
      </w:r>
      <w:r>
        <w:rPr>
          <w:color w:val="231F20"/>
          <w:w w:val="110"/>
        </w:rPr>
        <w:t>nue-</w:t>
      </w:r>
      <w:r>
        <w:rPr>
          <w:color w:val="231F20"/>
          <w:w w:val="72"/>
        </w:rPr>
        <w:t> </w:t>
      </w:r>
      <w:r>
        <w:rPr>
          <w:color w:val="231F20"/>
          <w:w w:val="110"/>
        </w:rPr>
        <w:t>vas</w:t>
      </w:r>
      <w:r>
        <w:rPr>
          <w:color w:val="231F20"/>
          <w:spacing w:val="-25"/>
          <w:w w:val="110"/>
        </w:rPr>
        <w:t> </w:t>
      </w:r>
      <w:r>
        <w:rPr>
          <w:color w:val="231F20"/>
          <w:w w:val="110"/>
        </w:rPr>
        <w:t>intervenciones</w:t>
      </w:r>
      <w:r>
        <w:rPr>
          <w:color w:val="231F20"/>
          <w:spacing w:val="-25"/>
          <w:w w:val="110"/>
        </w:rPr>
        <w:t> </w:t>
      </w:r>
      <w:r>
        <w:rPr>
          <w:color w:val="231F20"/>
          <w:w w:val="110"/>
        </w:rPr>
        <w:t>y</w:t>
      </w:r>
      <w:r>
        <w:rPr>
          <w:color w:val="231F20"/>
          <w:spacing w:val="-25"/>
          <w:w w:val="110"/>
        </w:rPr>
        <w:t> </w:t>
      </w:r>
      <w:r>
        <w:rPr>
          <w:color w:val="231F20"/>
          <w:w w:val="110"/>
        </w:rPr>
        <w:t>regulaciones</w:t>
      </w:r>
      <w:r>
        <w:rPr>
          <w:color w:val="231F20"/>
          <w:spacing w:val="-25"/>
          <w:w w:val="110"/>
        </w:rPr>
        <w:t> </w:t>
      </w:r>
      <w:r>
        <w:rPr>
          <w:color w:val="231F20"/>
          <w:w w:val="110"/>
        </w:rPr>
        <w:t>al</w:t>
      </w:r>
      <w:r>
        <w:rPr>
          <w:color w:val="231F20"/>
          <w:spacing w:val="-25"/>
          <w:w w:val="110"/>
        </w:rPr>
        <w:t> </w:t>
      </w:r>
      <w:r>
        <w:rPr>
          <w:color w:val="231F20"/>
          <w:w w:val="110"/>
        </w:rPr>
        <w:t>servicio</w:t>
      </w:r>
      <w:r>
        <w:rPr>
          <w:color w:val="231F20"/>
          <w:spacing w:val="-25"/>
          <w:w w:val="110"/>
        </w:rPr>
        <w:t> </w:t>
      </w:r>
      <w:r>
        <w:rPr>
          <w:color w:val="231F20"/>
          <w:w w:val="110"/>
        </w:rPr>
        <w:t>del</w:t>
      </w:r>
      <w:r>
        <w:rPr>
          <w:color w:val="231F20"/>
          <w:spacing w:val="-25"/>
          <w:w w:val="110"/>
        </w:rPr>
        <w:t> </w:t>
      </w:r>
      <w:r>
        <w:rPr>
          <w:color w:val="231F20"/>
          <w:w w:val="110"/>
        </w:rPr>
        <w:t>equilibrio</w:t>
      </w:r>
      <w:r>
        <w:rPr>
          <w:color w:val="231F20"/>
          <w:spacing w:val="-25"/>
          <w:w w:val="110"/>
        </w:rPr>
        <w:t> </w:t>
      </w:r>
      <w:r>
        <w:rPr>
          <w:color w:val="231F20"/>
          <w:w w:val="110"/>
        </w:rPr>
        <w:t>anticíclico.</w:t>
      </w:r>
      <w:r>
        <w:rPr>
          <w:color w:val="231F20"/>
          <w:w w:val="107"/>
        </w:rPr>
        <w:t> </w:t>
      </w:r>
      <w:r>
        <w:rPr>
          <w:color w:val="231F20"/>
          <w:w w:val="110"/>
        </w:rPr>
        <w:t>El</w:t>
      </w:r>
      <w:r>
        <w:rPr>
          <w:color w:val="231F20"/>
          <w:spacing w:val="25"/>
          <w:w w:val="110"/>
        </w:rPr>
        <w:t> </w:t>
      </w:r>
      <w:r>
        <w:rPr>
          <w:color w:val="231F20"/>
          <w:w w:val="110"/>
        </w:rPr>
        <w:t>anuncio</w:t>
      </w:r>
      <w:r>
        <w:rPr>
          <w:color w:val="231F20"/>
          <w:spacing w:val="25"/>
          <w:w w:val="110"/>
        </w:rPr>
        <w:t> </w:t>
      </w:r>
      <w:r>
        <w:rPr>
          <w:color w:val="231F20"/>
          <w:w w:val="110"/>
        </w:rPr>
        <w:t>de</w:t>
      </w:r>
      <w:r>
        <w:rPr>
          <w:color w:val="231F20"/>
          <w:spacing w:val="25"/>
          <w:w w:val="110"/>
        </w:rPr>
        <w:t> </w:t>
      </w:r>
      <w:r>
        <w:rPr>
          <w:color w:val="231F20"/>
          <w:w w:val="110"/>
        </w:rPr>
        <w:t>un</w:t>
      </w:r>
      <w:r>
        <w:rPr>
          <w:color w:val="231F20"/>
          <w:spacing w:val="25"/>
          <w:w w:val="110"/>
        </w:rPr>
        <w:t> </w:t>
      </w:r>
      <w:r>
        <w:rPr>
          <w:color w:val="231F20"/>
          <w:w w:val="110"/>
        </w:rPr>
        <w:t>déficit</w:t>
      </w:r>
      <w:r>
        <w:rPr>
          <w:color w:val="231F20"/>
          <w:spacing w:val="25"/>
          <w:w w:val="110"/>
        </w:rPr>
        <w:t> </w:t>
      </w:r>
      <w:r>
        <w:rPr>
          <w:color w:val="231F20"/>
          <w:w w:val="110"/>
        </w:rPr>
        <w:t>fiscal</w:t>
      </w:r>
      <w:r>
        <w:rPr>
          <w:color w:val="231F20"/>
          <w:spacing w:val="25"/>
          <w:w w:val="110"/>
        </w:rPr>
        <w:t> </w:t>
      </w:r>
      <w:r>
        <w:rPr>
          <w:color w:val="231F20"/>
          <w:w w:val="110"/>
        </w:rPr>
        <w:t>de</w:t>
      </w:r>
      <w:r>
        <w:rPr>
          <w:color w:val="231F20"/>
          <w:spacing w:val="25"/>
          <w:w w:val="110"/>
        </w:rPr>
        <w:t> </w:t>
      </w:r>
      <w:r>
        <w:rPr>
          <w:color w:val="231F20"/>
          <w:w w:val="110"/>
        </w:rPr>
        <w:t>un</w:t>
      </w:r>
      <w:r>
        <w:rPr>
          <w:color w:val="231F20"/>
          <w:spacing w:val="25"/>
          <w:w w:val="110"/>
        </w:rPr>
        <w:t> </w:t>
      </w:r>
      <w:r>
        <w:rPr>
          <w:color w:val="231F20"/>
          <w:w w:val="110"/>
        </w:rPr>
        <w:t>billón</w:t>
      </w:r>
      <w:r>
        <w:rPr>
          <w:color w:val="231F20"/>
          <w:spacing w:val="25"/>
          <w:w w:val="110"/>
        </w:rPr>
        <w:t> </w:t>
      </w:r>
      <w:r>
        <w:rPr>
          <w:color w:val="231F20"/>
          <w:w w:val="110"/>
        </w:rPr>
        <w:t>y</w:t>
      </w:r>
      <w:r>
        <w:rPr>
          <w:color w:val="231F20"/>
          <w:spacing w:val="25"/>
          <w:w w:val="110"/>
        </w:rPr>
        <w:t> </w:t>
      </w:r>
      <w:r>
        <w:rPr>
          <w:color w:val="231F20"/>
          <w:w w:val="110"/>
        </w:rPr>
        <w:t>700</w:t>
      </w:r>
      <w:r>
        <w:rPr>
          <w:color w:val="231F20"/>
          <w:spacing w:val="25"/>
          <w:w w:val="110"/>
        </w:rPr>
        <w:t> </w:t>
      </w:r>
      <w:r>
        <w:rPr>
          <w:color w:val="231F20"/>
          <w:w w:val="110"/>
        </w:rPr>
        <w:t>mil</w:t>
      </w:r>
      <w:r>
        <w:rPr>
          <w:color w:val="231F20"/>
          <w:spacing w:val="25"/>
          <w:w w:val="110"/>
        </w:rPr>
        <w:t> </w:t>
      </w:r>
      <w:r>
        <w:rPr>
          <w:color w:val="231F20"/>
          <w:w w:val="110"/>
        </w:rPr>
        <w:t>millones</w:t>
      </w:r>
      <w:r>
        <w:rPr>
          <w:color w:val="231F20"/>
          <w:w w:val="108"/>
        </w:rPr>
        <w:t> </w:t>
      </w:r>
      <w:r>
        <w:rPr>
          <w:color w:val="231F20"/>
          <w:w w:val="110"/>
        </w:rPr>
        <w:t>de dólares que previó el presidente Obama para 2009 y</w:t>
      </w:r>
      <w:r>
        <w:rPr>
          <w:color w:val="231F20"/>
          <w:spacing w:val="39"/>
          <w:w w:val="110"/>
        </w:rPr>
        <w:t> </w:t>
      </w:r>
      <w:r>
        <w:rPr>
          <w:color w:val="231F20"/>
          <w:w w:val="110"/>
        </w:rPr>
        <w:t>la</w:t>
      </w:r>
      <w:r>
        <w:rPr>
          <w:color w:val="231F20"/>
          <w:spacing w:val="9"/>
          <w:w w:val="110"/>
        </w:rPr>
        <w:t> </w:t>
      </w:r>
      <w:r>
        <w:rPr>
          <w:color w:val="231F20"/>
          <w:w w:val="110"/>
        </w:rPr>
        <w:t>disminu-</w:t>
      </w:r>
      <w:r>
        <w:rPr>
          <w:color w:val="231F20"/>
          <w:w w:val="72"/>
        </w:rPr>
        <w:t> </w:t>
      </w:r>
      <w:r>
        <w:rPr>
          <w:color w:val="231F20"/>
          <w:w w:val="110"/>
        </w:rPr>
        <w:t>ción</w:t>
      </w:r>
      <w:r>
        <w:rPr>
          <w:color w:val="231F20"/>
          <w:spacing w:val="17"/>
          <w:w w:val="110"/>
        </w:rPr>
        <w:t> </w:t>
      </w:r>
      <w:r>
        <w:rPr>
          <w:color w:val="231F20"/>
          <w:w w:val="110"/>
        </w:rPr>
        <w:t>de</w:t>
      </w:r>
      <w:r>
        <w:rPr>
          <w:color w:val="231F20"/>
          <w:spacing w:val="17"/>
          <w:w w:val="110"/>
        </w:rPr>
        <w:t> </w:t>
      </w:r>
      <w:r>
        <w:rPr>
          <w:color w:val="231F20"/>
          <w:w w:val="110"/>
        </w:rPr>
        <w:t>este</w:t>
      </w:r>
      <w:r>
        <w:rPr>
          <w:color w:val="231F20"/>
          <w:spacing w:val="17"/>
          <w:w w:val="110"/>
        </w:rPr>
        <w:t> </w:t>
      </w:r>
      <w:r>
        <w:rPr>
          <w:color w:val="231F20"/>
          <w:w w:val="110"/>
        </w:rPr>
        <w:t>déficit</w:t>
      </w:r>
      <w:r>
        <w:rPr>
          <w:color w:val="231F20"/>
          <w:spacing w:val="17"/>
          <w:w w:val="110"/>
        </w:rPr>
        <w:t> </w:t>
      </w:r>
      <w:r>
        <w:rPr>
          <w:color w:val="231F20"/>
          <w:w w:val="110"/>
        </w:rPr>
        <w:t>para</w:t>
      </w:r>
      <w:r>
        <w:rPr>
          <w:color w:val="231F20"/>
          <w:spacing w:val="17"/>
          <w:w w:val="110"/>
        </w:rPr>
        <w:t> </w:t>
      </w:r>
      <w:r>
        <w:rPr>
          <w:color w:val="231F20"/>
          <w:w w:val="110"/>
        </w:rPr>
        <w:t>cerca</w:t>
      </w:r>
      <w:r>
        <w:rPr>
          <w:color w:val="231F20"/>
          <w:spacing w:val="17"/>
          <w:w w:val="110"/>
        </w:rPr>
        <w:t> </w:t>
      </w:r>
      <w:r>
        <w:rPr>
          <w:color w:val="231F20"/>
          <w:w w:val="110"/>
        </w:rPr>
        <w:t>de</w:t>
      </w:r>
      <w:r>
        <w:rPr>
          <w:color w:val="231F20"/>
          <w:spacing w:val="17"/>
          <w:w w:val="110"/>
        </w:rPr>
        <w:t> </w:t>
      </w:r>
      <w:r>
        <w:rPr>
          <w:color w:val="231F20"/>
          <w:w w:val="110"/>
        </w:rPr>
        <w:t>700</w:t>
      </w:r>
      <w:r>
        <w:rPr>
          <w:color w:val="231F20"/>
          <w:spacing w:val="17"/>
          <w:w w:val="110"/>
        </w:rPr>
        <w:t> </w:t>
      </w:r>
      <w:r>
        <w:rPr>
          <w:color w:val="231F20"/>
          <w:w w:val="110"/>
        </w:rPr>
        <w:t>mil</w:t>
      </w:r>
      <w:r>
        <w:rPr>
          <w:color w:val="231F20"/>
          <w:spacing w:val="17"/>
          <w:w w:val="110"/>
        </w:rPr>
        <w:t> </w:t>
      </w:r>
      <w:r>
        <w:rPr>
          <w:color w:val="231F20"/>
          <w:w w:val="110"/>
        </w:rPr>
        <w:t>millones</w:t>
      </w:r>
      <w:r>
        <w:rPr>
          <w:color w:val="231F20"/>
          <w:spacing w:val="17"/>
          <w:w w:val="110"/>
        </w:rPr>
        <w:t> </w:t>
      </w:r>
      <w:r>
        <w:rPr>
          <w:color w:val="231F20"/>
          <w:w w:val="110"/>
        </w:rPr>
        <w:t>en</w:t>
      </w:r>
      <w:r>
        <w:rPr>
          <w:color w:val="231F20"/>
          <w:spacing w:val="17"/>
          <w:w w:val="110"/>
        </w:rPr>
        <w:t> </w:t>
      </w:r>
      <w:r>
        <w:rPr>
          <w:color w:val="231F20"/>
          <w:w w:val="110"/>
        </w:rPr>
        <w:t>2013,</w:t>
      </w:r>
      <w:r>
        <w:rPr>
          <w:color w:val="231F20"/>
          <w:spacing w:val="17"/>
          <w:w w:val="110"/>
        </w:rPr>
        <w:t> </w:t>
      </w:r>
      <w:r>
        <w:rPr>
          <w:color w:val="231F20"/>
          <w:w w:val="110"/>
        </w:rPr>
        <w:t>podrá</w:t>
      </w:r>
      <w:r>
        <w:rPr>
          <w:color w:val="231F20"/>
          <w:w w:val="114"/>
        </w:rPr>
        <w:t> </w:t>
      </w:r>
      <w:r>
        <w:rPr>
          <w:color w:val="231F20"/>
          <w:w w:val="110"/>
        </w:rPr>
        <w:t>combinarse</w:t>
      </w:r>
      <w:r>
        <w:rPr>
          <w:color w:val="231F20"/>
          <w:spacing w:val="43"/>
          <w:w w:val="110"/>
        </w:rPr>
        <w:t> </w:t>
      </w:r>
      <w:r>
        <w:rPr>
          <w:color w:val="231F20"/>
          <w:w w:val="110"/>
        </w:rPr>
        <w:t>con</w:t>
      </w:r>
      <w:r>
        <w:rPr>
          <w:color w:val="231F20"/>
          <w:spacing w:val="43"/>
          <w:w w:val="110"/>
        </w:rPr>
        <w:t> </w:t>
      </w:r>
      <w:r>
        <w:rPr>
          <w:color w:val="231F20"/>
          <w:w w:val="110"/>
        </w:rPr>
        <w:t>una</w:t>
      </w:r>
      <w:r>
        <w:rPr>
          <w:color w:val="231F20"/>
          <w:spacing w:val="43"/>
          <w:w w:val="110"/>
        </w:rPr>
        <w:t> </w:t>
      </w:r>
      <w:r>
        <w:rPr>
          <w:color w:val="231F20"/>
          <w:w w:val="110"/>
        </w:rPr>
        <w:t>recuperación</w:t>
      </w:r>
      <w:r>
        <w:rPr>
          <w:color w:val="231F20"/>
          <w:spacing w:val="43"/>
          <w:w w:val="110"/>
        </w:rPr>
        <w:t> </w:t>
      </w:r>
      <w:r>
        <w:rPr>
          <w:color w:val="231F20"/>
          <w:w w:val="110"/>
        </w:rPr>
        <w:t>relativamente</w:t>
      </w:r>
      <w:r>
        <w:rPr>
          <w:color w:val="231F20"/>
          <w:spacing w:val="43"/>
          <w:w w:val="110"/>
        </w:rPr>
        <w:t> </w:t>
      </w:r>
      <w:r>
        <w:rPr>
          <w:color w:val="231F20"/>
          <w:w w:val="110"/>
        </w:rPr>
        <w:t>importante</w:t>
      </w:r>
      <w:r>
        <w:rPr>
          <w:color w:val="231F20"/>
          <w:spacing w:val="43"/>
          <w:w w:val="110"/>
        </w:rPr>
        <w:t> </w:t>
      </w:r>
      <w:r>
        <w:rPr>
          <w:color w:val="231F20"/>
          <w:w w:val="110"/>
        </w:rPr>
        <w:t>de</w:t>
      </w:r>
      <w:r>
        <w:rPr>
          <w:color w:val="231F20"/>
          <w:spacing w:val="43"/>
          <w:w w:val="110"/>
        </w:rPr>
        <w:t> </w:t>
      </w:r>
      <w:r>
        <w:rPr>
          <w:color w:val="231F20"/>
          <w:w w:val="110"/>
        </w:rPr>
        <w:t>la</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9 </w:t>
      </w:r>
      <w:r>
        <w:rPr>
          <w:color w:val="231F20"/>
          <w:w w:val="110"/>
          <w:sz w:val="16"/>
        </w:rPr>
        <w:t>Billones en español equivalen a millones de millones, cifras que se nombran en inglés con la palabra “trillons” o en portugués trilhões.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jc w:val="both"/>
      </w:pPr>
      <w:r>
        <w:rPr>
          <w:color w:val="231F20"/>
          <w:w w:val="105"/>
        </w:rPr>
        <w:t>economía estadunidense. Es evidente, sin embargo, que una recu- peración fundada en estos mecanismos será restricta y vacilante, profundizando a mediano plazo la crisis de Estados Unidos y de su moneda. El caso japonés en los años noventa queda como referen-     cia fundamental para Estados Unidos en los próximos siete a nueve años. </w:t>
      </w:r>
      <w:r>
        <w:rPr>
          <w:color w:val="231F20"/>
        </w:rPr>
        <w:t>Y </w:t>
      </w:r>
      <w:r>
        <w:rPr>
          <w:color w:val="231F20"/>
          <w:w w:val="105"/>
        </w:rPr>
        <w:t>es bueno recordar que Japón consiguió bajar su moneda drásticamente desde 1996 y  mantuvo  una  tasa  de  interés  negativa en este periodo. Sin embargo no logró recuperar un crecimiento económico </w:t>
      </w:r>
      <w:r>
        <w:rPr>
          <w:color w:val="231F20"/>
          <w:spacing w:val="36"/>
          <w:w w:val="105"/>
        </w:rPr>
        <w:t> </w:t>
      </w:r>
      <w:r>
        <w:rPr>
          <w:color w:val="231F20"/>
          <w:w w:val="105"/>
        </w:rPr>
        <w:t>sostenido.</w:t>
      </w:r>
    </w:p>
    <w:p>
      <w:pPr>
        <w:pStyle w:val="BodyText"/>
        <w:spacing w:line="261" w:lineRule="auto"/>
        <w:ind w:left="100" w:right="116" w:firstLine="240"/>
        <w:jc w:val="both"/>
      </w:pPr>
      <w:r>
        <w:rPr>
          <w:color w:val="231F20"/>
          <w:w w:val="110"/>
        </w:rPr>
        <w:t>Es claro también que, mientras se mantiene este cuadro de “recu- peración rasante” a alto costo en la tríada (Estados Unidos, Europa  y Japón), las economías emergentes estarán en ascenso, apoyadas</w:t>
      </w:r>
      <w:r>
        <w:rPr>
          <w:color w:val="231F20"/>
          <w:spacing w:val="-36"/>
          <w:w w:val="110"/>
        </w:rPr>
        <w:t> </w:t>
      </w:r>
      <w:r>
        <w:rPr>
          <w:color w:val="231F20"/>
          <w:w w:val="110"/>
        </w:rPr>
        <w:t>en la expansión de sus mercados internos a través de distribuciones del ingreso más o menos profundas como resultado de una ascensión creciente de los movimientos sociales y sus éxitos políticos más o menos importantes. En esta fase de transición se abrirán las puertas para</w:t>
      </w:r>
      <w:r>
        <w:rPr>
          <w:color w:val="231F20"/>
          <w:spacing w:val="-23"/>
          <w:w w:val="110"/>
        </w:rPr>
        <w:t> </w:t>
      </w:r>
      <w:r>
        <w:rPr>
          <w:color w:val="231F20"/>
          <w:w w:val="110"/>
        </w:rPr>
        <w:t>experimentos</w:t>
      </w:r>
      <w:r>
        <w:rPr>
          <w:color w:val="231F20"/>
          <w:spacing w:val="-23"/>
          <w:w w:val="110"/>
        </w:rPr>
        <w:t> </w:t>
      </w:r>
      <w:r>
        <w:rPr>
          <w:color w:val="231F20"/>
          <w:w w:val="110"/>
        </w:rPr>
        <w:t>políticos</w:t>
      </w:r>
      <w:r>
        <w:rPr>
          <w:color w:val="231F20"/>
          <w:spacing w:val="-23"/>
          <w:w w:val="110"/>
        </w:rPr>
        <w:t> </w:t>
      </w:r>
      <w:r>
        <w:rPr>
          <w:color w:val="231F20"/>
          <w:w w:val="110"/>
        </w:rPr>
        <w:t>cada</w:t>
      </w:r>
      <w:r>
        <w:rPr>
          <w:color w:val="231F20"/>
          <w:spacing w:val="-23"/>
          <w:w w:val="110"/>
        </w:rPr>
        <w:t> </w:t>
      </w:r>
      <w:r>
        <w:rPr>
          <w:color w:val="231F20"/>
          <w:w w:val="110"/>
        </w:rPr>
        <w:t>vez</w:t>
      </w:r>
      <w:r>
        <w:rPr>
          <w:color w:val="231F20"/>
          <w:spacing w:val="-23"/>
          <w:w w:val="110"/>
        </w:rPr>
        <w:t> </w:t>
      </w:r>
      <w:r>
        <w:rPr>
          <w:color w:val="231F20"/>
          <w:w w:val="110"/>
        </w:rPr>
        <w:t>más</w:t>
      </w:r>
      <w:r>
        <w:rPr>
          <w:color w:val="231F20"/>
          <w:spacing w:val="-23"/>
          <w:w w:val="110"/>
        </w:rPr>
        <w:t> </w:t>
      </w:r>
      <w:r>
        <w:rPr>
          <w:color w:val="231F20"/>
          <w:w w:val="110"/>
        </w:rPr>
        <w:t>creativos,</w:t>
      </w:r>
      <w:r>
        <w:rPr>
          <w:color w:val="231F20"/>
          <w:spacing w:val="-23"/>
          <w:w w:val="110"/>
        </w:rPr>
        <w:t> </w:t>
      </w:r>
      <w:r>
        <w:rPr>
          <w:color w:val="231F20"/>
          <w:w w:val="110"/>
        </w:rPr>
        <w:t>hasta</w:t>
      </w:r>
      <w:r>
        <w:rPr>
          <w:color w:val="231F20"/>
          <w:spacing w:val="-23"/>
          <w:w w:val="110"/>
        </w:rPr>
        <w:t> </w:t>
      </w:r>
      <w:r>
        <w:rPr>
          <w:color w:val="231F20"/>
          <w:w w:val="110"/>
        </w:rPr>
        <w:t>que</w:t>
      </w:r>
      <w:r>
        <w:rPr>
          <w:color w:val="231F20"/>
          <w:spacing w:val="-23"/>
          <w:w w:val="110"/>
        </w:rPr>
        <w:t> </w:t>
      </w:r>
      <w:r>
        <w:rPr>
          <w:color w:val="231F20"/>
          <w:w w:val="110"/>
        </w:rPr>
        <w:t>se</w:t>
      </w:r>
      <w:r>
        <w:rPr>
          <w:color w:val="231F20"/>
          <w:spacing w:val="-23"/>
          <w:w w:val="110"/>
        </w:rPr>
        <w:t> </w:t>
      </w:r>
      <w:r>
        <w:rPr>
          <w:color w:val="231F20"/>
          <w:w w:val="110"/>
        </w:rPr>
        <w:t>inicie una</w:t>
      </w:r>
      <w:r>
        <w:rPr>
          <w:color w:val="231F20"/>
          <w:spacing w:val="-20"/>
          <w:w w:val="110"/>
        </w:rPr>
        <w:t> </w:t>
      </w:r>
      <w:r>
        <w:rPr>
          <w:color w:val="231F20"/>
          <w:w w:val="110"/>
        </w:rPr>
        <w:t>nueva</w:t>
      </w:r>
      <w:r>
        <w:rPr>
          <w:color w:val="231F20"/>
          <w:spacing w:val="-20"/>
          <w:w w:val="110"/>
        </w:rPr>
        <w:t> </w:t>
      </w:r>
      <w:r>
        <w:rPr>
          <w:color w:val="231F20"/>
          <w:w w:val="110"/>
        </w:rPr>
        <w:t>fase</w:t>
      </w:r>
      <w:r>
        <w:rPr>
          <w:color w:val="231F20"/>
          <w:spacing w:val="-20"/>
          <w:w w:val="110"/>
        </w:rPr>
        <w:t> </w:t>
      </w:r>
      <w:r>
        <w:rPr>
          <w:color w:val="231F20"/>
          <w:w w:val="110"/>
        </w:rPr>
        <w:t>negativa</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ciclos</w:t>
      </w:r>
      <w:r>
        <w:rPr>
          <w:color w:val="231F20"/>
          <w:spacing w:val="-20"/>
          <w:w w:val="110"/>
        </w:rPr>
        <w:t> </w:t>
      </w:r>
      <w:r>
        <w:rPr>
          <w:color w:val="231F20"/>
          <w:w w:val="110"/>
        </w:rPr>
        <w:t>largos,</w:t>
      </w:r>
      <w:r>
        <w:rPr>
          <w:color w:val="231F20"/>
          <w:spacing w:val="-20"/>
          <w:w w:val="110"/>
        </w:rPr>
        <w:t> </w:t>
      </w:r>
      <w:r>
        <w:rPr>
          <w:color w:val="231F20"/>
          <w:w w:val="110"/>
        </w:rPr>
        <w:t>que</w:t>
      </w:r>
      <w:r>
        <w:rPr>
          <w:color w:val="231F20"/>
          <w:spacing w:val="-20"/>
          <w:w w:val="110"/>
        </w:rPr>
        <w:t> </w:t>
      </w:r>
      <w:r>
        <w:rPr>
          <w:color w:val="231F20"/>
          <w:w w:val="110"/>
        </w:rPr>
        <w:t>llevará</w:t>
      </w:r>
      <w:r>
        <w:rPr>
          <w:color w:val="231F20"/>
          <w:spacing w:val="-20"/>
          <w:w w:val="110"/>
        </w:rPr>
        <w:t> </w:t>
      </w:r>
      <w:r>
        <w:rPr>
          <w:color w:val="231F20"/>
          <w:w w:val="110"/>
        </w:rPr>
        <w:t>al</w:t>
      </w:r>
      <w:r>
        <w:rPr>
          <w:color w:val="231F20"/>
          <w:spacing w:val="-20"/>
          <w:w w:val="110"/>
        </w:rPr>
        <w:t> </w:t>
      </w:r>
      <w:r>
        <w:rPr>
          <w:color w:val="231F20"/>
          <w:w w:val="110"/>
        </w:rPr>
        <w:t>capitalismo mundial y su dominio imperialista a una crisis de larga duración de </w:t>
      </w:r>
      <w:r>
        <w:rPr>
          <w:color w:val="231F20"/>
          <w:w w:val="105"/>
        </w:rPr>
        <w:t>gravedad</w:t>
      </w:r>
      <w:r>
        <w:rPr>
          <w:color w:val="231F20"/>
          <w:spacing w:val="35"/>
          <w:w w:val="105"/>
        </w:rPr>
        <w:t> </w:t>
      </w:r>
      <w:r>
        <w:rPr>
          <w:color w:val="231F20"/>
          <w:w w:val="105"/>
        </w:rPr>
        <w:t>colosal.</w:t>
      </w:r>
    </w:p>
    <w:p>
      <w:pPr>
        <w:pStyle w:val="BodyText"/>
        <w:spacing w:line="261" w:lineRule="auto"/>
        <w:ind w:left="100" w:right="113" w:firstLine="240"/>
        <w:jc w:val="both"/>
      </w:pPr>
      <w:r>
        <w:rPr>
          <w:color w:val="231F20"/>
          <w:w w:val="110"/>
        </w:rPr>
        <w:t>Esperemos que, esta vez, los saltos por soluciones económicas y sociales superiores, poscapitalistas o abiertamente socialistas, sean suficientemente fuertes para inaugurar un nuevo sistema mundial, asentado</w:t>
      </w:r>
      <w:r>
        <w:rPr>
          <w:color w:val="231F20"/>
          <w:spacing w:val="-11"/>
          <w:w w:val="110"/>
        </w:rPr>
        <w:t> </w:t>
      </w:r>
      <w:r>
        <w:rPr>
          <w:color w:val="231F20"/>
          <w:w w:val="110"/>
        </w:rPr>
        <w:t>en</w:t>
      </w:r>
      <w:r>
        <w:rPr>
          <w:color w:val="231F20"/>
          <w:spacing w:val="-11"/>
          <w:w w:val="110"/>
        </w:rPr>
        <w:t> </w:t>
      </w:r>
      <w:r>
        <w:rPr>
          <w:color w:val="231F20"/>
          <w:w w:val="110"/>
        </w:rPr>
        <w:t>una</w:t>
      </w:r>
      <w:r>
        <w:rPr>
          <w:color w:val="231F20"/>
          <w:spacing w:val="-11"/>
          <w:w w:val="110"/>
        </w:rPr>
        <w:t> </w:t>
      </w:r>
      <w:r>
        <w:rPr>
          <w:color w:val="231F20"/>
          <w:w w:val="110"/>
        </w:rPr>
        <w:t>civilización</w:t>
      </w:r>
      <w:r>
        <w:rPr>
          <w:color w:val="231F20"/>
          <w:spacing w:val="-11"/>
          <w:w w:val="110"/>
        </w:rPr>
        <w:t> </w:t>
      </w:r>
      <w:r>
        <w:rPr>
          <w:color w:val="231F20"/>
          <w:w w:val="110"/>
        </w:rPr>
        <w:t>planetaria,</w:t>
      </w:r>
      <w:r>
        <w:rPr>
          <w:color w:val="231F20"/>
          <w:spacing w:val="-11"/>
          <w:w w:val="110"/>
        </w:rPr>
        <w:t> </w:t>
      </w:r>
      <w:r>
        <w:rPr>
          <w:color w:val="231F20"/>
          <w:w w:val="110"/>
        </w:rPr>
        <w:t>plural,</w:t>
      </w:r>
      <w:r>
        <w:rPr>
          <w:color w:val="231F20"/>
          <w:spacing w:val="-11"/>
          <w:w w:val="110"/>
        </w:rPr>
        <w:t> </w:t>
      </w:r>
      <w:r>
        <w:rPr>
          <w:color w:val="231F20"/>
          <w:w w:val="110"/>
        </w:rPr>
        <w:t>igualitaria</w:t>
      </w:r>
      <w:r>
        <w:rPr>
          <w:color w:val="231F20"/>
          <w:spacing w:val="-11"/>
          <w:w w:val="110"/>
        </w:rPr>
        <w:t> </w:t>
      </w:r>
      <w:r>
        <w:rPr>
          <w:color w:val="231F20"/>
          <w:w w:val="110"/>
        </w:rPr>
        <w:t>y</w:t>
      </w:r>
      <w:r>
        <w:rPr>
          <w:color w:val="231F20"/>
          <w:spacing w:val="-11"/>
          <w:w w:val="110"/>
        </w:rPr>
        <w:t> </w:t>
      </w:r>
      <w:r>
        <w:rPr>
          <w:color w:val="231F20"/>
          <w:w w:val="110"/>
        </w:rPr>
        <w:t>democrá- tica, que detenga los efectos brutales de largo plazo que unificará la crisis estructural del capitalismo en una nueva coyuntura depresiva (ésta sí de largo plazo al combinarse con una fase B del ciclo de Kondratiev caracterizada por una depresión de largo</w:t>
      </w:r>
      <w:r>
        <w:rPr>
          <w:color w:val="231F20"/>
          <w:spacing w:val="-9"/>
          <w:w w:val="110"/>
        </w:rPr>
        <w:t> </w:t>
      </w:r>
      <w:r>
        <w:rPr>
          <w:color w:val="231F20"/>
          <w:w w:val="110"/>
        </w:rPr>
        <w:t>plazo</w:t>
      </w:r>
      <w:r>
        <w:rPr>
          <w:color w:val="231F20"/>
          <w:spacing w:val="45"/>
          <w:w w:val="110"/>
        </w:rPr>
        <w:t> </w:t>
      </w:r>
      <w:r>
        <w:rPr>
          <w:color w:val="231F20"/>
          <w:spacing w:val="2"/>
          <w:w w:val="110"/>
        </w:rPr>
        <w:t>—25</w:t>
      </w:r>
      <w:r>
        <w:rPr>
          <w:color w:val="231F20"/>
          <w:spacing w:val="2"/>
          <w:w w:val="102"/>
        </w:rPr>
        <w:t> </w:t>
      </w:r>
      <w:r>
        <w:rPr>
          <w:color w:val="231F20"/>
          <w:w w:val="110"/>
        </w:rPr>
        <w:t>años— como vimos entre 1967 y 1994, que se puede estudiar en mi citado</w:t>
      </w:r>
      <w:r>
        <w:rPr>
          <w:color w:val="231F20"/>
          <w:spacing w:val="-22"/>
          <w:w w:val="110"/>
        </w:rPr>
        <w:t> </w:t>
      </w:r>
      <w:r>
        <w:rPr>
          <w:color w:val="231F20"/>
          <w:w w:val="110"/>
        </w:rPr>
        <w:t>libro</w:t>
      </w:r>
      <w:r>
        <w:rPr>
          <w:color w:val="231F20"/>
          <w:spacing w:val="-22"/>
          <w:w w:val="110"/>
        </w:rPr>
        <w:t> </w:t>
      </w:r>
      <w:r>
        <w:rPr>
          <w:color w:val="231F20"/>
          <w:w w:val="110"/>
        </w:rPr>
        <w:t>sobre</w:t>
      </w:r>
      <w:r>
        <w:rPr>
          <w:color w:val="231F20"/>
          <w:spacing w:val="-22"/>
          <w:w w:val="110"/>
        </w:rPr>
        <w:t> </w:t>
      </w:r>
      <w:r>
        <w:rPr>
          <w:i/>
          <w:color w:val="231F20"/>
          <w:w w:val="110"/>
        </w:rPr>
        <w:t>Economía</w:t>
      </w:r>
      <w:r>
        <w:rPr>
          <w:i/>
          <w:color w:val="231F20"/>
          <w:spacing w:val="-22"/>
          <w:w w:val="110"/>
        </w:rPr>
        <w:t> </w:t>
      </w:r>
      <w:r>
        <w:rPr>
          <w:i/>
          <w:color w:val="231F20"/>
          <w:w w:val="110"/>
        </w:rPr>
        <w:t>mundial</w:t>
      </w:r>
      <w:r>
        <w:rPr>
          <w:color w:val="231F20"/>
          <w:w w:val="110"/>
        </w:rPr>
        <w:t>).</w:t>
      </w:r>
      <w:r>
        <w:rPr>
          <w:color w:val="231F20"/>
          <w:spacing w:val="-22"/>
          <w:w w:val="110"/>
        </w:rPr>
        <w:t> </w:t>
      </w:r>
      <w:r>
        <w:rPr>
          <w:color w:val="231F20"/>
          <w:w w:val="110"/>
        </w:rPr>
        <w:t>Esta</w:t>
      </w:r>
      <w:r>
        <w:rPr>
          <w:color w:val="231F20"/>
          <w:spacing w:val="-22"/>
          <w:w w:val="110"/>
        </w:rPr>
        <w:t> </w:t>
      </w:r>
      <w:r>
        <w:rPr>
          <w:color w:val="231F20"/>
          <w:w w:val="110"/>
        </w:rPr>
        <w:t>crisis</w:t>
      </w:r>
      <w:r>
        <w:rPr>
          <w:color w:val="231F20"/>
          <w:spacing w:val="-22"/>
          <w:w w:val="110"/>
        </w:rPr>
        <w:t> </w:t>
      </w:r>
      <w:r>
        <w:rPr>
          <w:color w:val="231F20"/>
          <w:w w:val="110"/>
        </w:rPr>
        <w:t>revelará</w:t>
      </w:r>
      <w:r>
        <w:rPr>
          <w:color w:val="231F20"/>
          <w:spacing w:val="-22"/>
          <w:w w:val="110"/>
        </w:rPr>
        <w:t> </w:t>
      </w:r>
      <w:r>
        <w:rPr>
          <w:color w:val="231F20"/>
          <w:w w:val="110"/>
        </w:rPr>
        <w:t>la</w:t>
      </w:r>
      <w:r>
        <w:rPr>
          <w:color w:val="231F20"/>
          <w:spacing w:val="-22"/>
          <w:w w:val="110"/>
        </w:rPr>
        <w:t> </w:t>
      </w:r>
      <w:r>
        <w:rPr>
          <w:color w:val="231F20"/>
          <w:w w:val="110"/>
        </w:rPr>
        <w:t>debilidad del modo de producción capitalista para regir la humanidad. La conciencia</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fracaso</w:t>
      </w:r>
      <w:r>
        <w:rPr>
          <w:color w:val="231F20"/>
          <w:spacing w:val="-8"/>
          <w:w w:val="110"/>
        </w:rPr>
        <w:t> </w:t>
      </w:r>
      <w:r>
        <w:rPr>
          <w:color w:val="231F20"/>
          <w:w w:val="110"/>
        </w:rPr>
        <w:t>no</w:t>
      </w:r>
      <w:r>
        <w:rPr>
          <w:color w:val="231F20"/>
          <w:spacing w:val="-8"/>
          <w:w w:val="110"/>
        </w:rPr>
        <w:t> </w:t>
      </w:r>
      <w:r>
        <w:rPr>
          <w:color w:val="231F20"/>
          <w:w w:val="110"/>
        </w:rPr>
        <w:t>garantiza</w:t>
      </w:r>
      <w:r>
        <w:rPr>
          <w:color w:val="231F20"/>
          <w:spacing w:val="-8"/>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la</w:t>
      </w:r>
      <w:r>
        <w:rPr>
          <w:color w:val="231F20"/>
          <w:spacing w:val="-8"/>
          <w:w w:val="110"/>
        </w:rPr>
        <w:t> </w:t>
      </w:r>
      <w:r>
        <w:rPr>
          <w:color w:val="231F20"/>
          <w:w w:val="110"/>
        </w:rPr>
        <w:t>imposición</w:t>
      </w:r>
      <w:r>
        <w:rPr>
          <w:color w:val="231F20"/>
          <w:spacing w:val="-8"/>
          <w:w w:val="110"/>
        </w:rPr>
        <w:t> </w:t>
      </w:r>
      <w:r>
        <w:rPr>
          <w:color w:val="231F20"/>
          <w:w w:val="110"/>
        </w:rPr>
        <w:t>de un modo de producción superior, ni la implantación de formaciones sociales</w:t>
      </w:r>
      <w:r>
        <w:rPr>
          <w:color w:val="231F20"/>
          <w:spacing w:val="-10"/>
          <w:w w:val="110"/>
        </w:rPr>
        <w:t> </w:t>
      </w:r>
      <w:r>
        <w:rPr>
          <w:color w:val="231F20"/>
          <w:w w:val="110"/>
        </w:rPr>
        <w:t>progresistas</w:t>
      </w:r>
      <w:r>
        <w:rPr>
          <w:color w:val="231F20"/>
          <w:spacing w:val="-10"/>
          <w:w w:val="110"/>
        </w:rPr>
        <w:t> </w:t>
      </w:r>
      <w:r>
        <w:rPr>
          <w:color w:val="231F20"/>
          <w:w w:val="110"/>
        </w:rPr>
        <w:t>capaces</w:t>
      </w:r>
      <w:r>
        <w:rPr>
          <w:color w:val="231F20"/>
          <w:spacing w:val="-10"/>
          <w:w w:val="110"/>
        </w:rPr>
        <w:t> </w:t>
      </w:r>
      <w:r>
        <w:rPr>
          <w:color w:val="231F20"/>
          <w:w w:val="110"/>
        </w:rPr>
        <w:t>de</w:t>
      </w:r>
      <w:r>
        <w:rPr>
          <w:color w:val="231F20"/>
          <w:spacing w:val="-10"/>
          <w:w w:val="110"/>
        </w:rPr>
        <w:t> </w:t>
      </w:r>
      <w:r>
        <w:rPr>
          <w:color w:val="231F20"/>
          <w:w w:val="110"/>
        </w:rPr>
        <w:t>preparar</w:t>
      </w:r>
      <w:r>
        <w:rPr>
          <w:color w:val="231F20"/>
          <w:spacing w:val="-10"/>
          <w:w w:val="110"/>
        </w:rPr>
        <w:t> </w:t>
      </w:r>
      <w:r>
        <w:rPr>
          <w:color w:val="231F20"/>
          <w:w w:val="110"/>
        </w:rPr>
        <w:t>la</w:t>
      </w:r>
      <w:r>
        <w:rPr>
          <w:color w:val="231F20"/>
          <w:spacing w:val="-10"/>
          <w:w w:val="110"/>
        </w:rPr>
        <w:t> </w:t>
      </w:r>
      <w:r>
        <w:rPr>
          <w:color w:val="231F20"/>
          <w:w w:val="110"/>
        </w:rPr>
        <w:t>transición</w:t>
      </w:r>
      <w:r>
        <w:rPr>
          <w:color w:val="231F20"/>
          <w:spacing w:val="-10"/>
          <w:w w:val="110"/>
        </w:rPr>
        <w:t> </w:t>
      </w:r>
      <w:r>
        <w:rPr>
          <w:color w:val="231F20"/>
          <w:w w:val="110"/>
        </w:rPr>
        <w:t>hacia</w:t>
      </w:r>
      <w:r>
        <w:rPr>
          <w:color w:val="231F20"/>
          <w:spacing w:val="-10"/>
          <w:w w:val="110"/>
        </w:rPr>
        <w:t> </w:t>
      </w:r>
      <w:r>
        <w:rPr>
          <w:color w:val="231F20"/>
          <w:w w:val="110"/>
        </w:rPr>
        <w:t>un</w:t>
      </w:r>
      <w:r>
        <w:rPr>
          <w:color w:val="231F20"/>
          <w:spacing w:val="-10"/>
          <w:w w:val="110"/>
        </w:rPr>
        <w:t> </w:t>
      </w:r>
      <w:r>
        <w:rPr>
          <w:color w:val="231F20"/>
          <w:w w:val="110"/>
        </w:rPr>
        <w:t>modo de producción</w:t>
      </w:r>
      <w:r>
        <w:rPr>
          <w:color w:val="231F20"/>
          <w:spacing w:val="41"/>
          <w:w w:val="110"/>
        </w:rPr>
        <w:t> </w:t>
      </w:r>
      <w:r>
        <w:rPr>
          <w:color w:val="231F20"/>
          <w:w w:val="110"/>
        </w:rPr>
        <w:t>superior.</w:t>
      </w:r>
    </w:p>
    <w:p>
      <w:pPr>
        <w:pStyle w:val="BodyText"/>
        <w:spacing w:line="261" w:lineRule="auto"/>
        <w:ind w:left="100" w:right="117" w:firstLine="240"/>
        <w:jc w:val="both"/>
      </w:pPr>
      <w:r>
        <w:rPr>
          <w:color w:val="231F20"/>
          <w:w w:val="110"/>
        </w:rPr>
        <w:t>Podemos</w:t>
      </w:r>
      <w:r>
        <w:rPr>
          <w:color w:val="231F20"/>
          <w:spacing w:val="-6"/>
          <w:w w:val="110"/>
        </w:rPr>
        <w:t> </w:t>
      </w:r>
      <w:r>
        <w:rPr>
          <w:color w:val="231F20"/>
          <w:w w:val="110"/>
        </w:rPr>
        <w:t>esperar</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próximos</w:t>
      </w:r>
      <w:r>
        <w:rPr>
          <w:color w:val="231F20"/>
          <w:spacing w:val="-6"/>
          <w:w w:val="110"/>
        </w:rPr>
        <w:t> </w:t>
      </w:r>
      <w:r>
        <w:rPr>
          <w:color w:val="231F20"/>
          <w:w w:val="110"/>
        </w:rPr>
        <w:t>10</w:t>
      </w:r>
      <w:r>
        <w:rPr>
          <w:color w:val="231F20"/>
          <w:spacing w:val="-6"/>
          <w:w w:val="110"/>
        </w:rPr>
        <w:t> </w:t>
      </w:r>
      <w:r>
        <w:rPr>
          <w:color w:val="231F20"/>
          <w:w w:val="110"/>
        </w:rPr>
        <w:t>años</w:t>
      </w:r>
      <w:r>
        <w:rPr>
          <w:color w:val="231F20"/>
          <w:spacing w:val="-6"/>
          <w:w w:val="110"/>
        </w:rPr>
        <w:t> </w:t>
      </w:r>
      <w:r>
        <w:rPr>
          <w:color w:val="231F20"/>
          <w:w w:val="110"/>
        </w:rPr>
        <w:t>serán</w:t>
      </w:r>
      <w:r>
        <w:rPr>
          <w:color w:val="231F20"/>
          <w:spacing w:val="-6"/>
          <w:w w:val="110"/>
        </w:rPr>
        <w:t> </w:t>
      </w:r>
      <w:r>
        <w:rPr>
          <w:color w:val="231F20"/>
          <w:w w:val="110"/>
        </w:rPr>
        <w:t>de</w:t>
      </w:r>
      <w:r>
        <w:rPr>
          <w:color w:val="231F20"/>
          <w:spacing w:val="-6"/>
          <w:w w:val="110"/>
        </w:rPr>
        <w:t> </w:t>
      </w:r>
      <w:r>
        <w:rPr>
          <w:color w:val="231F20"/>
          <w:w w:val="110"/>
        </w:rPr>
        <w:t>avance</w:t>
      </w:r>
      <w:r>
        <w:rPr>
          <w:color w:val="231F20"/>
          <w:spacing w:val="-6"/>
          <w:w w:val="110"/>
        </w:rPr>
        <w:t> </w:t>
      </w:r>
      <w:r>
        <w:rPr>
          <w:color w:val="231F20"/>
          <w:w w:val="110"/>
        </w:rPr>
        <w:t>social y económico con mayor o menor avance político, dependiendo de</w:t>
      </w:r>
      <w:r>
        <w:rPr>
          <w:color w:val="231F20"/>
          <w:spacing w:val="-12"/>
          <w:w w:val="110"/>
        </w:rPr>
        <w:t> </w:t>
      </w:r>
      <w:r>
        <w:rPr>
          <w:color w:val="231F20"/>
          <w:w w:val="110"/>
        </w:rPr>
        <w:t>la conciencia</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fuerzas</w:t>
      </w:r>
      <w:r>
        <w:rPr>
          <w:color w:val="231F20"/>
          <w:spacing w:val="-16"/>
          <w:w w:val="110"/>
        </w:rPr>
        <w:t> </w:t>
      </w:r>
      <w:r>
        <w:rPr>
          <w:color w:val="231F20"/>
          <w:w w:val="110"/>
        </w:rPr>
        <w:t>sociales</w:t>
      </w:r>
      <w:r>
        <w:rPr>
          <w:color w:val="231F20"/>
          <w:spacing w:val="-16"/>
          <w:w w:val="110"/>
        </w:rPr>
        <w:t> </w:t>
      </w:r>
      <w:r>
        <w:rPr>
          <w:color w:val="231F20"/>
          <w:w w:val="110"/>
        </w:rPr>
        <w:t>emergentes</w:t>
      </w:r>
      <w:r>
        <w:rPr>
          <w:color w:val="231F20"/>
          <w:spacing w:val="-16"/>
          <w:w w:val="110"/>
        </w:rPr>
        <w:t> </w:t>
      </w:r>
      <w:r>
        <w:rPr>
          <w:color w:val="231F20"/>
          <w:w w:val="110"/>
        </w:rPr>
        <w:t>y</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capacidad</w:t>
      </w:r>
      <w:r>
        <w:rPr>
          <w:color w:val="231F20"/>
          <w:spacing w:val="-16"/>
          <w:w w:val="110"/>
        </w:rPr>
        <w:t> </w:t>
      </w:r>
      <w:r>
        <w:rPr>
          <w:color w:val="231F20"/>
          <w:w w:val="110"/>
        </w:rPr>
        <w:t>de</w:t>
      </w:r>
      <w:r>
        <w:rPr>
          <w:color w:val="231F20"/>
          <w:spacing w:val="-16"/>
          <w:w w:val="110"/>
        </w:rPr>
        <w:t> </w:t>
      </w:r>
      <w:r>
        <w:rPr>
          <w:color w:val="231F20"/>
          <w:w w:val="110"/>
        </w:rPr>
        <w:t>sus liderazgos</w:t>
      </w:r>
      <w:r>
        <w:rPr>
          <w:color w:val="231F20"/>
          <w:spacing w:val="-27"/>
          <w:w w:val="110"/>
        </w:rPr>
        <w:t> </w:t>
      </w:r>
      <w:r>
        <w:rPr>
          <w:color w:val="231F20"/>
          <w:w w:val="110"/>
        </w:rPr>
        <w:t>políticos</w:t>
      </w:r>
      <w:r>
        <w:rPr>
          <w:color w:val="231F20"/>
          <w:spacing w:val="-27"/>
          <w:w w:val="110"/>
        </w:rPr>
        <w:t> </w:t>
      </w:r>
      <w:r>
        <w:rPr>
          <w:color w:val="231F20"/>
          <w:w w:val="110"/>
        </w:rPr>
        <w:t>para</w:t>
      </w:r>
      <w:r>
        <w:rPr>
          <w:color w:val="231F20"/>
          <w:spacing w:val="-27"/>
          <w:w w:val="110"/>
        </w:rPr>
        <w:t> </w:t>
      </w:r>
      <w:r>
        <w:rPr>
          <w:color w:val="231F20"/>
          <w:w w:val="110"/>
        </w:rPr>
        <w:t>expresar</w:t>
      </w:r>
      <w:r>
        <w:rPr>
          <w:color w:val="231F20"/>
          <w:spacing w:val="-27"/>
          <w:w w:val="110"/>
        </w:rPr>
        <w:t> </w:t>
      </w:r>
      <w:r>
        <w:rPr>
          <w:color w:val="231F20"/>
          <w:w w:val="110"/>
        </w:rPr>
        <w:t>y</w:t>
      </w:r>
      <w:r>
        <w:rPr>
          <w:color w:val="231F20"/>
          <w:spacing w:val="-27"/>
          <w:w w:val="110"/>
        </w:rPr>
        <w:t> </w:t>
      </w:r>
      <w:r>
        <w:rPr>
          <w:color w:val="231F20"/>
          <w:w w:val="110"/>
        </w:rPr>
        <w:t>sintetizar</w:t>
      </w:r>
      <w:r>
        <w:rPr>
          <w:color w:val="231F20"/>
          <w:spacing w:val="-27"/>
          <w:w w:val="110"/>
        </w:rPr>
        <w:t> </w:t>
      </w:r>
      <w:r>
        <w:rPr>
          <w:color w:val="231F20"/>
          <w:w w:val="110"/>
        </w:rPr>
        <w:t>sus</w:t>
      </w:r>
      <w:r>
        <w:rPr>
          <w:color w:val="231F20"/>
          <w:spacing w:val="-27"/>
          <w:w w:val="110"/>
        </w:rPr>
        <w:t> </w:t>
      </w:r>
      <w:r>
        <w:rPr>
          <w:color w:val="231F20"/>
          <w:w w:val="110"/>
        </w:rPr>
        <w:t>necesidades</w:t>
      </w:r>
      <w:r>
        <w:rPr>
          <w:color w:val="231F20"/>
          <w:spacing w:val="-27"/>
          <w:w w:val="110"/>
        </w:rPr>
        <w:t> </w:t>
      </w:r>
      <w:r>
        <w:rPr>
          <w:color w:val="231F20"/>
          <w:w w:val="110"/>
        </w:rPr>
        <w:t>y</w:t>
      </w:r>
      <w:r>
        <w:rPr>
          <w:color w:val="231F20"/>
          <w:spacing w:val="-27"/>
          <w:w w:val="110"/>
        </w:rPr>
        <w:t> </w:t>
      </w:r>
      <w:r>
        <w:rPr>
          <w:color w:val="231F20"/>
          <w:w w:val="110"/>
        </w:rPr>
        <w:t>aspira-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05"/>
        </w:rPr>
        <w:t>ciones. Creo que los libros que componen la trilogía que abordamos   en el apartado anterior, podrán ayudar en esta tarea. Me gusta pensar que la vanguardia política de China pueda dialogar con mi esfuerzo teórico, como lo  viene  haciendo  desde  la  traducción  al  mandarín  de mi </w:t>
      </w:r>
      <w:r>
        <w:rPr>
          <w:i/>
          <w:color w:val="231F20"/>
          <w:w w:val="105"/>
        </w:rPr>
        <w:t>Imperialismo y dependencia, </w:t>
      </w:r>
      <w:r>
        <w:rPr>
          <w:color w:val="231F20"/>
          <w:w w:val="105"/>
        </w:rPr>
        <w:t>en 1992, seguida de 5 libros</w:t>
      </w:r>
      <w:r>
        <w:rPr>
          <w:color w:val="231F20"/>
          <w:spacing w:val="-18"/>
          <w:w w:val="105"/>
        </w:rPr>
        <w:t> </w:t>
      </w:r>
      <w:r>
        <w:rPr>
          <w:color w:val="231F20"/>
          <w:w w:val="105"/>
        </w:rPr>
        <w:t>más.</w:t>
      </w:r>
      <w:r>
        <w:rPr>
          <w:color w:val="231F20"/>
          <w:w w:val="105"/>
          <w:position w:val="6"/>
          <w:sz w:val="13"/>
        </w:rPr>
        <w:t>10</w:t>
      </w:r>
    </w:p>
    <w:p>
      <w:pPr>
        <w:pStyle w:val="BodyText"/>
        <w:spacing w:line="261" w:lineRule="auto"/>
        <w:ind w:left="100" w:right="117" w:firstLine="240"/>
        <w:jc w:val="both"/>
      </w:pPr>
      <w:r>
        <w:rPr>
          <w:color w:val="231F20"/>
          <w:w w:val="110"/>
        </w:rPr>
        <w:t>Me propongo dedicarme ahora, con varios compañeros, a formu- lar las alternativas que se dibujan a partir de los avances producidos por la toma de conciencia radical de los movimientos sociales, que se expresan a través de la creación de gobiernos progresistas —que se formaron a partir de la decadencia del neoliberalismo—.</w:t>
      </w:r>
      <w:r>
        <w:rPr>
          <w:color w:val="231F20"/>
          <w:w w:val="110"/>
          <w:position w:val="6"/>
          <w:sz w:val="13"/>
        </w:rPr>
        <w:t>11 </w:t>
      </w:r>
      <w:r>
        <w:rPr>
          <w:color w:val="231F20"/>
          <w:w w:val="110"/>
        </w:rPr>
        <w:t>Al mismo tiempo, me estoy dedicando a elaborar una nueva crítica de la economía política del mundo contemporáneo, trabajo teórico más abstracto pero muy necesario, que espero ofrecer al público lector muy pronto, con el objetivo de entregar a los agentes de una nueva era de transformación revolucionaria planetaria, los instrumentos necesarios para su éxito práctico.</w:t>
      </w:r>
    </w:p>
    <w:p>
      <w:pPr>
        <w:pStyle w:val="BodyText"/>
      </w:pPr>
    </w:p>
    <w:p>
      <w:pPr>
        <w:pStyle w:val="BodyText"/>
      </w:pPr>
    </w:p>
    <w:p>
      <w:pPr>
        <w:pStyle w:val="BodyText"/>
        <w:spacing w:before="2"/>
        <w:rPr>
          <w:sz w:val="25"/>
        </w:rPr>
      </w:pPr>
    </w:p>
    <w:p>
      <w:pPr>
        <w:pStyle w:val="BodyText"/>
        <w:ind w:left="100"/>
        <w:jc w:val="both"/>
      </w:pPr>
      <w:r>
        <w:rPr>
          <w:color w:val="231F20"/>
          <w:w w:val="125"/>
        </w:rPr>
        <w:t>bibliografía</w:t>
      </w:r>
    </w:p>
    <w:p>
      <w:pPr>
        <w:pStyle w:val="BodyText"/>
        <w:spacing w:before="5"/>
        <w:rPr>
          <w:sz w:val="22"/>
        </w:rPr>
      </w:pPr>
    </w:p>
    <w:p>
      <w:pPr>
        <w:spacing w:line="254" w:lineRule="auto" w:before="0"/>
        <w:ind w:left="340" w:right="202" w:hanging="240"/>
        <w:jc w:val="left"/>
        <w:rPr>
          <w:sz w:val="18"/>
        </w:rPr>
      </w:pPr>
      <w:r>
        <w:rPr>
          <w:color w:val="231F20"/>
          <w:sz w:val="18"/>
        </w:rPr>
        <w:t>Dos Santos, Theotonio, 1975, </w:t>
      </w:r>
      <w:r>
        <w:rPr>
          <w:i/>
          <w:color w:val="231F20"/>
          <w:sz w:val="18"/>
        </w:rPr>
        <w:t>Socialismo o Fascismo: el dilema latinoamericano   </w:t>
      </w:r>
      <w:r>
        <w:rPr>
          <w:i/>
          <w:color w:val="231F20"/>
          <w:sz w:val="18"/>
        </w:rPr>
        <w:t>y el nuevo carácter de la dependencia</w:t>
      </w:r>
      <w:r>
        <w:rPr>
          <w:color w:val="231F20"/>
          <w:sz w:val="18"/>
        </w:rPr>
        <w:t>, edición actualizada, México,  </w:t>
      </w:r>
      <w:r>
        <w:rPr>
          <w:color w:val="231F20"/>
          <w:spacing w:val="42"/>
          <w:sz w:val="18"/>
        </w:rPr>
        <w:t> </w:t>
      </w:r>
      <w:r>
        <w:rPr>
          <w:color w:val="231F20"/>
          <w:sz w:val="18"/>
        </w:rPr>
        <w:t>Edicol.</w:t>
      </w:r>
    </w:p>
    <w:p>
      <w:pPr>
        <w:pStyle w:val="BodyText"/>
      </w:pPr>
    </w:p>
    <w:p>
      <w:pPr>
        <w:pStyle w:val="BodyText"/>
      </w:pPr>
    </w:p>
    <w:p>
      <w:pPr>
        <w:pStyle w:val="BodyText"/>
        <w:spacing w:before="10"/>
        <w:rPr>
          <w:sz w:val="16"/>
        </w:rPr>
      </w:pPr>
    </w:p>
    <w:p>
      <w:pPr>
        <w:spacing w:line="261" w:lineRule="auto" w:before="0"/>
        <w:ind w:left="100" w:right="117" w:firstLine="240"/>
        <w:jc w:val="both"/>
        <w:rPr>
          <w:sz w:val="16"/>
        </w:rPr>
      </w:pPr>
      <w:r>
        <w:rPr/>
        <w:pict>
          <v:line style="position:absolute;mso-position-horizontal-relative:page;mso-position-vertical-relative:paragraph;z-index:-356128" from="189.006104pt,78.268646pt" to="191.086104pt,78.268646pt" stroked="true" strokeweight=".4pt" strokecolor="#231f20">
            <w10:wrap type="none"/>
          </v:line>
        </w:pict>
      </w:r>
      <w:r>
        <w:rPr>
          <w:color w:val="231F20"/>
          <w:w w:val="105"/>
          <w:position w:val="5"/>
          <w:sz w:val="10"/>
        </w:rPr>
        <w:t>10 </w:t>
      </w:r>
      <w:r>
        <w:rPr>
          <w:color w:val="231F20"/>
          <w:w w:val="105"/>
          <w:sz w:val="16"/>
        </w:rPr>
        <w:t>He tenido gran entusiasmo con la edición en mandarín de mis trabajos: </w:t>
      </w:r>
      <w:r>
        <w:rPr>
          <w:i/>
          <w:color w:val="231F20"/>
          <w:w w:val="105"/>
          <w:sz w:val="16"/>
        </w:rPr>
        <w:t>Im- </w:t>
      </w:r>
      <w:r>
        <w:rPr>
          <w:i/>
          <w:color w:val="231F20"/>
          <w:sz w:val="16"/>
        </w:rPr>
        <w:t>perialismo y dependencia </w:t>
      </w:r>
      <w:r>
        <w:rPr>
          <w:color w:val="231F20"/>
          <w:sz w:val="16"/>
        </w:rPr>
        <w:t>(1992 y 2004); </w:t>
      </w:r>
      <w:r>
        <w:rPr>
          <w:i/>
          <w:color w:val="231F20"/>
          <w:sz w:val="16"/>
        </w:rPr>
        <w:t>La teoría de la dependencia: balance y perspectiva</w:t>
      </w:r>
      <w:r>
        <w:rPr>
          <w:color w:val="231F20"/>
          <w:sz w:val="16"/>
        </w:rPr>
        <w:t>, </w:t>
      </w:r>
      <w:r>
        <w:rPr>
          <w:i/>
          <w:color w:val="231F20"/>
          <w:w w:val="105"/>
          <w:sz w:val="16"/>
        </w:rPr>
        <w:t>Economía</w:t>
      </w:r>
      <w:r>
        <w:rPr>
          <w:i/>
          <w:color w:val="231F20"/>
          <w:spacing w:val="-18"/>
          <w:w w:val="105"/>
          <w:sz w:val="16"/>
        </w:rPr>
        <w:t> </w:t>
      </w:r>
      <w:r>
        <w:rPr>
          <w:i/>
          <w:color w:val="231F20"/>
          <w:w w:val="105"/>
          <w:sz w:val="16"/>
        </w:rPr>
        <w:t>mundial,</w:t>
      </w:r>
      <w:r>
        <w:rPr>
          <w:i/>
          <w:color w:val="231F20"/>
          <w:spacing w:val="-18"/>
          <w:w w:val="105"/>
          <w:sz w:val="16"/>
        </w:rPr>
        <w:t> </w:t>
      </w:r>
      <w:r>
        <w:rPr>
          <w:i/>
          <w:color w:val="231F20"/>
          <w:w w:val="105"/>
          <w:sz w:val="16"/>
        </w:rPr>
        <w:t>integración</w:t>
      </w:r>
      <w:r>
        <w:rPr>
          <w:i/>
          <w:color w:val="231F20"/>
          <w:spacing w:val="-18"/>
          <w:w w:val="105"/>
          <w:sz w:val="16"/>
        </w:rPr>
        <w:t> </w:t>
      </w:r>
      <w:r>
        <w:rPr>
          <w:i/>
          <w:color w:val="231F20"/>
          <w:w w:val="105"/>
          <w:sz w:val="16"/>
        </w:rPr>
        <w:t>regional</w:t>
      </w:r>
      <w:r>
        <w:rPr>
          <w:i/>
          <w:color w:val="231F20"/>
          <w:spacing w:val="-18"/>
          <w:w w:val="105"/>
          <w:sz w:val="16"/>
        </w:rPr>
        <w:t> </w:t>
      </w:r>
      <w:r>
        <w:rPr>
          <w:i/>
          <w:color w:val="231F20"/>
          <w:w w:val="105"/>
          <w:sz w:val="16"/>
        </w:rPr>
        <w:t>y</w:t>
      </w:r>
      <w:r>
        <w:rPr>
          <w:i/>
          <w:color w:val="231F20"/>
          <w:spacing w:val="-18"/>
          <w:w w:val="105"/>
          <w:sz w:val="16"/>
        </w:rPr>
        <w:t> </w:t>
      </w:r>
      <w:r>
        <w:rPr>
          <w:i/>
          <w:color w:val="231F20"/>
          <w:w w:val="105"/>
          <w:sz w:val="16"/>
        </w:rPr>
        <w:t>desarrollo</w:t>
      </w:r>
      <w:r>
        <w:rPr>
          <w:i/>
          <w:color w:val="231F20"/>
          <w:spacing w:val="-18"/>
          <w:w w:val="105"/>
          <w:sz w:val="16"/>
        </w:rPr>
        <w:t> </w:t>
      </w:r>
      <w:r>
        <w:rPr>
          <w:i/>
          <w:color w:val="231F20"/>
          <w:w w:val="105"/>
          <w:sz w:val="16"/>
        </w:rPr>
        <w:t>sostenible</w:t>
      </w:r>
      <w:r>
        <w:rPr>
          <w:color w:val="231F20"/>
          <w:w w:val="105"/>
          <w:sz w:val="16"/>
        </w:rPr>
        <w:t>,</w:t>
      </w:r>
      <w:r>
        <w:rPr>
          <w:color w:val="231F20"/>
          <w:spacing w:val="-18"/>
          <w:w w:val="105"/>
          <w:sz w:val="16"/>
        </w:rPr>
        <w:t> </w:t>
      </w:r>
      <w:r>
        <w:rPr>
          <w:color w:val="231F20"/>
          <w:w w:val="105"/>
          <w:sz w:val="16"/>
        </w:rPr>
        <w:t>reunidos</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libro</w:t>
      </w:r>
      <w:r>
        <w:rPr>
          <w:color w:val="231F20"/>
          <w:spacing w:val="-18"/>
          <w:w w:val="105"/>
          <w:sz w:val="16"/>
        </w:rPr>
        <w:t> </w:t>
      </w:r>
      <w:r>
        <w:rPr>
          <w:i/>
          <w:color w:val="231F20"/>
          <w:w w:val="105"/>
          <w:sz w:val="16"/>
        </w:rPr>
        <w:t>El</w:t>
      </w:r>
      <w:r>
        <w:rPr>
          <w:i/>
          <w:color w:val="231F20"/>
          <w:spacing w:val="-18"/>
          <w:w w:val="105"/>
          <w:sz w:val="16"/>
        </w:rPr>
        <w:t> </w:t>
      </w:r>
      <w:r>
        <w:rPr>
          <w:i/>
          <w:color w:val="231F20"/>
          <w:w w:val="105"/>
          <w:sz w:val="16"/>
        </w:rPr>
        <w:t>reto </w:t>
      </w:r>
      <w:r>
        <w:rPr>
          <w:i/>
          <w:color w:val="231F20"/>
          <w:w w:val="105"/>
          <w:sz w:val="16"/>
        </w:rPr>
        <w:t>de</w:t>
      </w:r>
      <w:r>
        <w:rPr>
          <w:i/>
          <w:color w:val="231F20"/>
          <w:spacing w:val="-8"/>
          <w:w w:val="105"/>
          <w:sz w:val="16"/>
        </w:rPr>
        <w:t> </w:t>
      </w:r>
      <w:r>
        <w:rPr>
          <w:i/>
          <w:color w:val="231F20"/>
          <w:w w:val="105"/>
          <w:sz w:val="16"/>
        </w:rPr>
        <w:t>la</w:t>
      </w:r>
      <w:r>
        <w:rPr>
          <w:i/>
          <w:color w:val="231F20"/>
          <w:spacing w:val="-8"/>
          <w:w w:val="105"/>
          <w:sz w:val="16"/>
        </w:rPr>
        <w:t> </w:t>
      </w:r>
      <w:r>
        <w:rPr>
          <w:i/>
          <w:color w:val="231F20"/>
          <w:w w:val="105"/>
          <w:sz w:val="16"/>
        </w:rPr>
        <w:t>globalización.</w:t>
      </w:r>
      <w:r>
        <w:rPr>
          <w:i/>
          <w:color w:val="231F20"/>
          <w:spacing w:val="-8"/>
          <w:w w:val="105"/>
          <w:sz w:val="16"/>
        </w:rPr>
        <w:t> </w:t>
      </w:r>
      <w:r>
        <w:rPr>
          <w:i/>
          <w:color w:val="231F20"/>
          <w:w w:val="105"/>
          <w:sz w:val="16"/>
        </w:rPr>
        <w:t>Ensayos</w:t>
      </w:r>
      <w:r>
        <w:rPr>
          <w:i/>
          <w:color w:val="231F20"/>
          <w:spacing w:val="-8"/>
          <w:w w:val="105"/>
          <w:sz w:val="16"/>
        </w:rPr>
        <w:t> </w:t>
      </w:r>
      <w:r>
        <w:rPr>
          <w:i/>
          <w:color w:val="231F20"/>
          <w:w w:val="105"/>
          <w:sz w:val="16"/>
        </w:rPr>
        <w:t>en</w:t>
      </w:r>
      <w:r>
        <w:rPr>
          <w:i/>
          <w:color w:val="231F20"/>
          <w:spacing w:val="-8"/>
          <w:w w:val="105"/>
          <w:sz w:val="16"/>
        </w:rPr>
        <w:t> </w:t>
      </w:r>
      <w:r>
        <w:rPr>
          <w:i/>
          <w:color w:val="231F20"/>
          <w:w w:val="105"/>
          <w:sz w:val="16"/>
        </w:rPr>
        <w:t>homenaje</w:t>
      </w:r>
      <w:r>
        <w:rPr>
          <w:i/>
          <w:color w:val="231F20"/>
          <w:spacing w:val="-8"/>
          <w:w w:val="105"/>
          <w:sz w:val="16"/>
        </w:rPr>
        <w:t> </w:t>
      </w:r>
      <w:r>
        <w:rPr>
          <w:i/>
          <w:color w:val="231F20"/>
          <w:w w:val="105"/>
          <w:sz w:val="16"/>
        </w:rPr>
        <w:t>a</w:t>
      </w:r>
      <w:r>
        <w:rPr>
          <w:i/>
          <w:color w:val="231F20"/>
          <w:spacing w:val="-8"/>
          <w:w w:val="105"/>
          <w:sz w:val="16"/>
        </w:rPr>
        <w:t> </w:t>
      </w:r>
      <w:r>
        <w:rPr>
          <w:i/>
          <w:color w:val="231F20"/>
          <w:w w:val="105"/>
          <w:sz w:val="16"/>
        </w:rPr>
        <w:t>Theotonio</w:t>
      </w:r>
      <w:r>
        <w:rPr>
          <w:i/>
          <w:color w:val="231F20"/>
          <w:spacing w:val="-8"/>
          <w:w w:val="105"/>
          <w:sz w:val="16"/>
        </w:rPr>
        <w:t> </w:t>
      </w:r>
      <w:r>
        <w:rPr>
          <w:i/>
          <w:color w:val="231F20"/>
          <w:w w:val="105"/>
          <w:sz w:val="16"/>
        </w:rPr>
        <w:t>Dos</w:t>
      </w:r>
      <w:r>
        <w:rPr>
          <w:i/>
          <w:color w:val="231F20"/>
          <w:spacing w:val="-8"/>
          <w:w w:val="105"/>
          <w:sz w:val="16"/>
        </w:rPr>
        <w:t> </w:t>
      </w:r>
      <w:r>
        <w:rPr>
          <w:i/>
          <w:color w:val="231F20"/>
          <w:w w:val="105"/>
          <w:sz w:val="16"/>
        </w:rPr>
        <w:t>Santos</w:t>
      </w:r>
      <w:r>
        <w:rPr>
          <w:i/>
          <w:color w:val="231F20"/>
          <w:spacing w:val="-7"/>
          <w:w w:val="105"/>
          <w:sz w:val="16"/>
        </w:rPr>
        <w:t> </w:t>
      </w:r>
      <w:r>
        <w:rPr>
          <w:color w:val="231F20"/>
          <w:w w:val="105"/>
          <w:sz w:val="16"/>
        </w:rPr>
        <w:t>(2004);</w:t>
      </w:r>
      <w:r>
        <w:rPr>
          <w:color w:val="231F20"/>
          <w:spacing w:val="-8"/>
          <w:w w:val="105"/>
          <w:sz w:val="16"/>
        </w:rPr>
        <w:t> </w:t>
      </w:r>
      <w:r>
        <w:rPr>
          <w:i/>
          <w:color w:val="231F20"/>
          <w:w w:val="105"/>
          <w:sz w:val="16"/>
        </w:rPr>
        <w:t>Hegemony</w:t>
      </w:r>
      <w:r>
        <w:rPr>
          <w:i/>
          <w:color w:val="231F20"/>
          <w:spacing w:val="-8"/>
          <w:w w:val="105"/>
          <w:sz w:val="16"/>
        </w:rPr>
        <w:t> </w:t>
      </w:r>
      <w:r>
        <w:rPr>
          <w:i/>
          <w:color w:val="231F20"/>
          <w:w w:val="105"/>
          <w:sz w:val="16"/>
        </w:rPr>
        <w:t>and </w:t>
      </w:r>
      <w:r>
        <w:rPr>
          <w:i/>
          <w:color w:val="231F20"/>
          <w:sz w:val="16"/>
        </w:rPr>
        <w:t>Counter</w:t>
      </w:r>
      <w:r>
        <w:rPr>
          <w:i/>
          <w:color w:val="231F20"/>
          <w:spacing w:val="-12"/>
          <w:sz w:val="16"/>
        </w:rPr>
        <w:t> </w:t>
      </w:r>
      <w:r>
        <w:rPr>
          <w:i/>
          <w:color w:val="231F20"/>
          <w:sz w:val="16"/>
        </w:rPr>
        <w:t>Hegemony</w:t>
      </w:r>
      <w:r>
        <w:rPr>
          <w:color w:val="231F20"/>
          <w:sz w:val="16"/>
        </w:rPr>
        <w:t>,</w:t>
      </w:r>
      <w:r>
        <w:rPr>
          <w:color w:val="231F20"/>
          <w:spacing w:val="-12"/>
          <w:sz w:val="16"/>
        </w:rPr>
        <w:t> </w:t>
      </w:r>
      <w:r>
        <w:rPr>
          <w:i/>
          <w:color w:val="231F20"/>
          <w:sz w:val="16"/>
        </w:rPr>
        <w:t>The</w:t>
      </w:r>
      <w:r>
        <w:rPr>
          <w:i/>
          <w:color w:val="231F20"/>
          <w:spacing w:val="-12"/>
          <w:sz w:val="16"/>
        </w:rPr>
        <w:t> </w:t>
      </w:r>
      <w:r>
        <w:rPr>
          <w:i/>
          <w:color w:val="231F20"/>
          <w:sz w:val="16"/>
        </w:rPr>
        <w:t>Globalization</w:t>
      </w:r>
      <w:r>
        <w:rPr>
          <w:i/>
          <w:color w:val="231F20"/>
          <w:spacing w:val="-12"/>
          <w:sz w:val="16"/>
        </w:rPr>
        <w:t> </w:t>
      </w:r>
      <w:r>
        <w:rPr>
          <w:i/>
          <w:color w:val="231F20"/>
          <w:sz w:val="16"/>
        </w:rPr>
        <w:t>Constrains</w:t>
      </w:r>
      <w:r>
        <w:rPr>
          <w:i/>
          <w:color w:val="231F20"/>
          <w:spacing w:val="-12"/>
          <w:sz w:val="16"/>
        </w:rPr>
        <w:t> </w:t>
      </w:r>
      <w:r>
        <w:rPr>
          <w:i/>
          <w:color w:val="231F20"/>
          <w:sz w:val="16"/>
        </w:rPr>
        <w:t>and</w:t>
      </w:r>
      <w:r>
        <w:rPr>
          <w:i/>
          <w:color w:val="231F20"/>
          <w:spacing w:val="-12"/>
          <w:sz w:val="16"/>
        </w:rPr>
        <w:t> </w:t>
      </w:r>
      <w:r>
        <w:rPr>
          <w:i/>
          <w:color w:val="231F20"/>
          <w:sz w:val="16"/>
        </w:rPr>
        <w:t>Processes</w:t>
      </w:r>
      <w:r>
        <w:rPr>
          <w:i/>
          <w:color w:val="231F20"/>
          <w:spacing w:val="-12"/>
          <w:sz w:val="16"/>
        </w:rPr>
        <w:t> </w:t>
      </w:r>
      <w:r>
        <w:rPr>
          <w:i/>
          <w:color w:val="231F20"/>
          <w:sz w:val="16"/>
        </w:rPr>
        <w:t>of</w:t>
      </w:r>
      <w:r>
        <w:rPr>
          <w:i/>
          <w:color w:val="231F20"/>
          <w:spacing w:val="-12"/>
          <w:sz w:val="16"/>
        </w:rPr>
        <w:t> </w:t>
      </w:r>
      <w:r>
        <w:rPr>
          <w:i/>
          <w:color w:val="231F20"/>
          <w:sz w:val="16"/>
        </w:rPr>
        <w:t>Regionalization</w:t>
      </w:r>
      <w:r>
        <w:rPr>
          <w:color w:val="231F20"/>
          <w:sz w:val="16"/>
        </w:rPr>
        <w:t>,</w:t>
      </w:r>
      <w:r>
        <w:rPr>
          <w:color w:val="231F20"/>
          <w:spacing w:val="-12"/>
          <w:sz w:val="16"/>
        </w:rPr>
        <w:t> </w:t>
      </w:r>
      <w:r>
        <w:rPr>
          <w:color w:val="231F20"/>
          <w:sz w:val="16"/>
        </w:rPr>
        <w:t>colección </w:t>
      </w:r>
      <w:r>
        <w:rPr>
          <w:color w:val="231F20"/>
          <w:w w:val="105"/>
          <w:sz w:val="16"/>
        </w:rPr>
        <w:t>de artículos del seminario de la reggen de 2003, organizado con Xie Shogning y Gao Xian (2005). En el momento actual se encuentra en traducción el libro </w:t>
      </w:r>
      <w:r>
        <w:rPr>
          <w:i/>
          <w:color w:val="231F20"/>
          <w:w w:val="105"/>
          <w:sz w:val="16"/>
        </w:rPr>
        <w:t>Del terror a la </w:t>
      </w:r>
      <w:r>
        <w:rPr>
          <w:i/>
          <w:color w:val="231F20"/>
          <w:w w:val="105"/>
          <w:sz w:val="16"/>
        </w:rPr>
        <w:t>esperanza,</w:t>
      </w:r>
      <w:r>
        <w:rPr>
          <w:i/>
          <w:color w:val="231F20"/>
          <w:spacing w:val="-9"/>
          <w:w w:val="105"/>
          <w:sz w:val="16"/>
        </w:rPr>
        <w:t> </w:t>
      </w:r>
      <w:r>
        <w:rPr>
          <w:i/>
          <w:color w:val="231F20"/>
          <w:w w:val="105"/>
          <w:sz w:val="16"/>
        </w:rPr>
        <w:t>auge</w:t>
      </w:r>
      <w:r>
        <w:rPr>
          <w:i/>
          <w:color w:val="231F20"/>
          <w:spacing w:val="-9"/>
          <w:w w:val="105"/>
          <w:sz w:val="16"/>
        </w:rPr>
        <w:t> </w:t>
      </w:r>
      <w:r>
        <w:rPr>
          <w:i/>
          <w:color w:val="231F20"/>
          <w:w w:val="105"/>
          <w:sz w:val="16"/>
        </w:rPr>
        <w:t>y</w:t>
      </w:r>
      <w:r>
        <w:rPr>
          <w:i/>
          <w:color w:val="231F20"/>
          <w:spacing w:val="-9"/>
          <w:w w:val="105"/>
          <w:sz w:val="16"/>
        </w:rPr>
        <w:t> </w:t>
      </w:r>
      <w:r>
        <w:rPr>
          <w:i/>
          <w:color w:val="231F20"/>
          <w:w w:val="105"/>
          <w:sz w:val="16"/>
        </w:rPr>
        <w:t>decadencia</w:t>
      </w:r>
      <w:r>
        <w:rPr>
          <w:i/>
          <w:color w:val="231F20"/>
          <w:spacing w:val="-9"/>
          <w:w w:val="105"/>
          <w:sz w:val="16"/>
        </w:rPr>
        <w:t> </w:t>
      </w:r>
      <w:r>
        <w:rPr>
          <w:i/>
          <w:color w:val="231F20"/>
          <w:w w:val="105"/>
          <w:sz w:val="16"/>
        </w:rPr>
        <w:t>del</w:t>
      </w:r>
      <w:r>
        <w:rPr>
          <w:i/>
          <w:color w:val="231F20"/>
          <w:spacing w:val="-9"/>
          <w:w w:val="105"/>
          <w:sz w:val="16"/>
        </w:rPr>
        <w:t> </w:t>
      </w:r>
      <w:r>
        <w:rPr>
          <w:i/>
          <w:color w:val="231F20"/>
          <w:w w:val="105"/>
          <w:sz w:val="16"/>
        </w:rPr>
        <w:t>neoliberalismo</w:t>
      </w:r>
      <w:r>
        <w:rPr>
          <w:color w:val="231F20"/>
          <w:w w:val="105"/>
          <w:sz w:val="16"/>
        </w:rPr>
        <w:t>.</w:t>
      </w:r>
      <w:r>
        <w:rPr>
          <w:color w:val="231F20"/>
          <w:spacing w:val="-9"/>
          <w:w w:val="105"/>
          <w:sz w:val="16"/>
        </w:rPr>
        <w:t> </w:t>
      </w:r>
      <w:r>
        <w:rPr>
          <w:color w:val="231F20"/>
          <w:spacing w:val="-3"/>
          <w:w w:val="105"/>
          <w:sz w:val="16"/>
        </w:rPr>
        <w:t>Todos</w:t>
      </w:r>
      <w:r>
        <w:rPr>
          <w:color w:val="231F20"/>
          <w:spacing w:val="-9"/>
          <w:w w:val="105"/>
          <w:sz w:val="16"/>
        </w:rPr>
        <w:t> </w:t>
      </w:r>
      <w:r>
        <w:rPr>
          <w:color w:val="231F20"/>
          <w:w w:val="105"/>
          <w:sz w:val="16"/>
        </w:rPr>
        <w:t>ellos</w:t>
      </w:r>
      <w:r>
        <w:rPr>
          <w:color w:val="231F20"/>
          <w:spacing w:val="-9"/>
          <w:w w:val="105"/>
          <w:sz w:val="16"/>
        </w:rPr>
        <w:t> </w:t>
      </w:r>
      <w:r>
        <w:rPr>
          <w:color w:val="231F20"/>
          <w:w w:val="105"/>
          <w:sz w:val="16"/>
        </w:rPr>
        <w:t>han</w:t>
      </w:r>
      <w:r>
        <w:rPr>
          <w:color w:val="231F20"/>
          <w:spacing w:val="-9"/>
          <w:w w:val="105"/>
          <w:sz w:val="16"/>
        </w:rPr>
        <w:t> </w:t>
      </w:r>
      <w:r>
        <w:rPr>
          <w:color w:val="231F20"/>
          <w:w w:val="105"/>
          <w:sz w:val="16"/>
        </w:rPr>
        <w:t>sido</w:t>
      </w:r>
      <w:r>
        <w:rPr>
          <w:color w:val="231F20"/>
          <w:spacing w:val="-9"/>
          <w:w w:val="105"/>
          <w:sz w:val="16"/>
        </w:rPr>
        <w:t> </w:t>
      </w:r>
      <w:r>
        <w:rPr>
          <w:color w:val="231F20"/>
          <w:w w:val="105"/>
          <w:sz w:val="16"/>
        </w:rPr>
        <w:t>editados</w:t>
      </w:r>
      <w:r>
        <w:rPr>
          <w:color w:val="231F20"/>
          <w:spacing w:val="-9"/>
          <w:w w:val="105"/>
          <w:sz w:val="16"/>
        </w:rPr>
        <w:t> </w:t>
      </w:r>
      <w:r>
        <w:rPr>
          <w:color w:val="231F20"/>
          <w:w w:val="105"/>
          <w:sz w:val="16"/>
        </w:rPr>
        <w:t>por</w:t>
      </w:r>
      <w:r>
        <w:rPr>
          <w:color w:val="231F20"/>
          <w:spacing w:val="-9"/>
          <w:w w:val="105"/>
          <w:sz w:val="16"/>
        </w:rPr>
        <w:t> </w:t>
      </w:r>
      <w:r>
        <w:rPr>
          <w:color w:val="231F20"/>
          <w:w w:val="105"/>
          <w:sz w:val="16"/>
        </w:rPr>
        <w:t>Social Sciences</w:t>
      </w:r>
      <w:r>
        <w:rPr>
          <w:color w:val="231F20"/>
          <w:spacing w:val="16"/>
          <w:w w:val="105"/>
          <w:sz w:val="16"/>
        </w:rPr>
        <w:t> </w:t>
      </w:r>
      <w:r>
        <w:rPr>
          <w:color w:val="231F20"/>
          <w:w w:val="105"/>
          <w:sz w:val="16"/>
        </w:rPr>
        <w:t>Academic</w:t>
      </w:r>
      <w:r>
        <w:rPr>
          <w:color w:val="231F20"/>
          <w:spacing w:val="16"/>
          <w:w w:val="105"/>
          <w:sz w:val="16"/>
        </w:rPr>
        <w:t> </w:t>
      </w:r>
      <w:r>
        <w:rPr>
          <w:color w:val="231F20"/>
          <w:w w:val="105"/>
          <w:sz w:val="16"/>
        </w:rPr>
        <w:t>Press,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Academia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Ciencias</w:t>
      </w:r>
      <w:r>
        <w:rPr>
          <w:color w:val="231F20"/>
          <w:spacing w:val="16"/>
          <w:w w:val="105"/>
          <w:sz w:val="16"/>
        </w:rPr>
        <w:t> </w:t>
      </w:r>
      <w:r>
        <w:rPr>
          <w:color w:val="231F20"/>
          <w:w w:val="105"/>
          <w:sz w:val="16"/>
        </w:rPr>
        <w:t>Sociales</w:t>
      </w:r>
      <w:r>
        <w:rPr>
          <w:color w:val="231F20"/>
          <w:spacing w:val="16"/>
          <w:w w:val="105"/>
          <w:sz w:val="16"/>
        </w:rPr>
        <w:t> </w:t>
      </w:r>
      <w:r>
        <w:rPr>
          <w:color w:val="231F20"/>
          <w:w w:val="105"/>
          <w:sz w:val="16"/>
        </w:rPr>
        <w:t>da</w:t>
      </w:r>
      <w:r>
        <w:rPr>
          <w:color w:val="231F20"/>
          <w:spacing w:val="16"/>
          <w:w w:val="105"/>
          <w:sz w:val="16"/>
        </w:rPr>
        <w:t> </w:t>
      </w:r>
      <w:r>
        <w:rPr>
          <w:color w:val="231F20"/>
          <w:w w:val="105"/>
          <w:sz w:val="16"/>
        </w:rPr>
        <w:t>China.</w:t>
      </w:r>
    </w:p>
    <w:p>
      <w:pPr>
        <w:spacing w:line="261" w:lineRule="auto" w:before="0"/>
        <w:ind w:left="100" w:right="117" w:firstLine="240"/>
        <w:jc w:val="both"/>
        <w:rPr>
          <w:sz w:val="16"/>
        </w:rPr>
      </w:pPr>
      <w:r>
        <w:rPr>
          <w:color w:val="231F20"/>
          <w:w w:val="105"/>
          <w:position w:val="5"/>
          <w:sz w:val="10"/>
        </w:rPr>
        <w:t>11 </w:t>
      </w:r>
      <w:r>
        <w:rPr>
          <w:color w:val="231F20"/>
          <w:w w:val="105"/>
          <w:sz w:val="16"/>
        </w:rPr>
        <w:t>En este momento, el grupo director  de  la  reggen  entrega  para  edición  tres  libros que reflejan este balance teórico y analítico: Carlos Eduardo Martins, </w:t>
      </w:r>
      <w:r>
        <w:rPr>
          <w:i/>
          <w:color w:val="231F20"/>
          <w:w w:val="105"/>
          <w:sz w:val="16"/>
        </w:rPr>
        <w:t>Globali- </w:t>
      </w:r>
      <w:r>
        <w:rPr>
          <w:i/>
          <w:color w:val="231F20"/>
          <w:sz w:val="16"/>
        </w:rPr>
        <w:t>zação, Dependencia e Neoliberalismo na América Latina</w:t>
      </w:r>
      <w:r>
        <w:rPr>
          <w:color w:val="231F20"/>
          <w:sz w:val="16"/>
        </w:rPr>
        <w:t>; Monica Bruckmann, </w:t>
      </w:r>
      <w:r>
        <w:rPr>
          <w:i/>
          <w:color w:val="231F20"/>
          <w:sz w:val="16"/>
        </w:rPr>
        <w:t>O inventamos </w:t>
      </w:r>
      <w:r>
        <w:rPr>
          <w:i/>
          <w:color w:val="231F20"/>
          <w:w w:val="105"/>
          <w:sz w:val="16"/>
        </w:rPr>
        <w:t>o</w:t>
      </w:r>
      <w:r>
        <w:rPr>
          <w:i/>
          <w:color w:val="231F20"/>
          <w:spacing w:val="-21"/>
          <w:w w:val="105"/>
          <w:sz w:val="16"/>
        </w:rPr>
        <w:t> </w:t>
      </w:r>
      <w:r>
        <w:rPr>
          <w:i/>
          <w:color w:val="231F20"/>
          <w:w w:val="105"/>
          <w:sz w:val="16"/>
        </w:rPr>
        <w:t>Erramos:</w:t>
      </w:r>
      <w:r>
        <w:rPr>
          <w:i/>
          <w:color w:val="231F20"/>
          <w:spacing w:val="-21"/>
          <w:w w:val="105"/>
          <w:sz w:val="16"/>
        </w:rPr>
        <w:t> </w:t>
      </w:r>
      <w:r>
        <w:rPr>
          <w:i/>
          <w:color w:val="231F20"/>
          <w:w w:val="105"/>
          <w:sz w:val="16"/>
        </w:rPr>
        <w:t>La</w:t>
      </w:r>
      <w:r>
        <w:rPr>
          <w:i/>
          <w:color w:val="231F20"/>
          <w:spacing w:val="-21"/>
          <w:w w:val="105"/>
          <w:sz w:val="16"/>
        </w:rPr>
        <w:t> </w:t>
      </w:r>
      <w:r>
        <w:rPr>
          <w:i/>
          <w:color w:val="231F20"/>
          <w:w w:val="105"/>
          <w:sz w:val="16"/>
        </w:rPr>
        <w:t>Nueva</w:t>
      </w:r>
      <w:r>
        <w:rPr>
          <w:i/>
          <w:color w:val="231F20"/>
          <w:spacing w:val="-21"/>
          <w:w w:val="105"/>
          <w:sz w:val="16"/>
        </w:rPr>
        <w:t> </w:t>
      </w:r>
      <w:r>
        <w:rPr>
          <w:i/>
          <w:color w:val="231F20"/>
          <w:w w:val="105"/>
          <w:sz w:val="16"/>
        </w:rPr>
        <w:t>Coyuntura</w:t>
      </w:r>
      <w:r>
        <w:rPr>
          <w:i/>
          <w:color w:val="231F20"/>
          <w:spacing w:val="-21"/>
          <w:w w:val="105"/>
          <w:sz w:val="16"/>
        </w:rPr>
        <w:t> </w:t>
      </w:r>
      <w:r>
        <w:rPr>
          <w:i/>
          <w:color w:val="231F20"/>
          <w:w w:val="105"/>
          <w:sz w:val="16"/>
        </w:rPr>
        <w:t>Latinoamericana</w:t>
      </w:r>
      <w:r>
        <w:rPr>
          <w:i/>
          <w:color w:val="231F20"/>
          <w:spacing w:val="-21"/>
          <w:w w:val="105"/>
          <w:sz w:val="16"/>
        </w:rPr>
        <w:t> </w:t>
      </w:r>
      <w:r>
        <w:rPr>
          <w:i/>
          <w:color w:val="231F20"/>
          <w:w w:val="105"/>
          <w:sz w:val="16"/>
        </w:rPr>
        <w:t>y</w:t>
      </w:r>
      <w:r>
        <w:rPr>
          <w:i/>
          <w:color w:val="231F20"/>
          <w:spacing w:val="-21"/>
          <w:w w:val="105"/>
          <w:sz w:val="16"/>
        </w:rPr>
        <w:t> </w:t>
      </w:r>
      <w:r>
        <w:rPr>
          <w:i/>
          <w:color w:val="231F20"/>
          <w:w w:val="105"/>
          <w:sz w:val="16"/>
        </w:rPr>
        <w:t>el</w:t>
      </w:r>
      <w:r>
        <w:rPr>
          <w:i/>
          <w:color w:val="231F20"/>
          <w:spacing w:val="-21"/>
          <w:w w:val="105"/>
          <w:sz w:val="16"/>
        </w:rPr>
        <w:t> </w:t>
      </w:r>
      <w:r>
        <w:rPr>
          <w:i/>
          <w:color w:val="231F20"/>
          <w:w w:val="105"/>
          <w:sz w:val="16"/>
        </w:rPr>
        <w:t>Pensamiento</w:t>
      </w:r>
      <w:r>
        <w:rPr>
          <w:i/>
          <w:color w:val="231F20"/>
          <w:spacing w:val="-21"/>
          <w:w w:val="105"/>
          <w:sz w:val="16"/>
        </w:rPr>
        <w:t> </w:t>
      </w:r>
      <w:r>
        <w:rPr>
          <w:i/>
          <w:color w:val="231F20"/>
          <w:w w:val="105"/>
          <w:sz w:val="16"/>
        </w:rPr>
        <w:t>Crítico</w:t>
      </w:r>
      <w:r>
        <w:rPr>
          <w:color w:val="231F20"/>
          <w:w w:val="105"/>
          <w:sz w:val="16"/>
        </w:rPr>
        <w:t>;</w:t>
      </w:r>
      <w:r>
        <w:rPr>
          <w:color w:val="231F20"/>
          <w:spacing w:val="-21"/>
          <w:w w:val="105"/>
          <w:sz w:val="16"/>
        </w:rPr>
        <w:t> </w:t>
      </w:r>
      <w:r>
        <w:rPr>
          <w:color w:val="231F20"/>
          <w:w w:val="105"/>
          <w:sz w:val="16"/>
        </w:rPr>
        <w:t>Theotonio</w:t>
      </w:r>
      <w:r>
        <w:rPr>
          <w:color w:val="231F20"/>
          <w:spacing w:val="-21"/>
          <w:w w:val="105"/>
          <w:sz w:val="16"/>
        </w:rPr>
        <w:t> </w:t>
      </w:r>
      <w:r>
        <w:rPr>
          <w:color w:val="231F20"/>
          <w:w w:val="105"/>
          <w:sz w:val="16"/>
        </w:rPr>
        <w:t>Dos Santos, </w:t>
      </w:r>
      <w:r>
        <w:rPr>
          <w:i/>
          <w:color w:val="231F20"/>
          <w:w w:val="105"/>
          <w:sz w:val="16"/>
        </w:rPr>
        <w:t>Desenvolvimento e Civilização</w:t>
      </w:r>
      <w:r>
        <w:rPr>
          <w:color w:val="231F20"/>
          <w:w w:val="105"/>
          <w:sz w:val="16"/>
        </w:rPr>
        <w:t>. Además de esto se han publicado varios libros individuales o colectivos de una gran cantidad de disertaciones de maestría y tesis doctorales sobre esta temática preanunciando una retoma de la teoría del desarrollo,      de la dependencia y del sistema    </w:t>
      </w:r>
      <w:r>
        <w:rPr>
          <w:color w:val="231F20"/>
          <w:spacing w:val="4"/>
          <w:w w:val="105"/>
          <w:sz w:val="16"/>
        </w:rPr>
        <w:t> </w:t>
      </w:r>
      <w:r>
        <w:rPr>
          <w:color w:val="231F20"/>
          <w:w w:val="105"/>
          <w:sz w:val="16"/>
        </w:rPr>
        <w:t>mundial.</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spacing w:line="254" w:lineRule="auto" w:before="7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w:t>
      </w:r>
      <w:r>
        <w:rPr>
          <w:color w:val="231F20"/>
          <w:spacing w:val="-9"/>
          <w:sz w:val="18"/>
        </w:rPr>
        <w:t> </w:t>
      </w:r>
      <w:r>
        <w:rPr>
          <w:color w:val="231F20"/>
          <w:sz w:val="18"/>
        </w:rPr>
        <w:t>1989,</w:t>
      </w:r>
      <w:r>
        <w:rPr>
          <w:color w:val="231F20"/>
          <w:spacing w:val="-9"/>
          <w:sz w:val="18"/>
        </w:rPr>
        <w:t> </w:t>
      </w:r>
      <w:r>
        <w:rPr>
          <w:i/>
          <w:color w:val="231F20"/>
          <w:sz w:val="18"/>
        </w:rPr>
        <w:t>Democracia</w:t>
      </w:r>
      <w:r>
        <w:rPr>
          <w:i/>
          <w:color w:val="231F20"/>
          <w:spacing w:val="-9"/>
          <w:sz w:val="18"/>
        </w:rPr>
        <w:t> </w:t>
      </w:r>
      <w:r>
        <w:rPr>
          <w:i/>
          <w:color w:val="231F20"/>
          <w:sz w:val="18"/>
        </w:rPr>
        <w:t>e</w:t>
      </w:r>
      <w:r>
        <w:rPr>
          <w:i/>
          <w:color w:val="231F20"/>
          <w:spacing w:val="-9"/>
          <w:sz w:val="18"/>
        </w:rPr>
        <w:t> </w:t>
      </w:r>
      <w:r>
        <w:rPr>
          <w:i/>
          <w:color w:val="231F20"/>
          <w:sz w:val="18"/>
        </w:rPr>
        <w:t>Socialismo</w:t>
      </w:r>
      <w:r>
        <w:rPr>
          <w:i/>
          <w:color w:val="231F20"/>
          <w:spacing w:val="-9"/>
          <w:sz w:val="18"/>
        </w:rPr>
        <w:t> </w:t>
      </w:r>
      <w:r>
        <w:rPr>
          <w:i/>
          <w:color w:val="231F20"/>
          <w:sz w:val="18"/>
        </w:rPr>
        <w:t>no</w:t>
      </w:r>
      <w:r>
        <w:rPr>
          <w:i/>
          <w:color w:val="231F20"/>
          <w:spacing w:val="-9"/>
          <w:sz w:val="18"/>
        </w:rPr>
        <w:t> </w:t>
      </w:r>
      <w:r>
        <w:rPr>
          <w:i/>
          <w:color w:val="231F20"/>
          <w:sz w:val="18"/>
        </w:rPr>
        <w:t>Capitalismo</w:t>
      </w:r>
      <w:r>
        <w:rPr>
          <w:i/>
          <w:color w:val="231F20"/>
          <w:spacing w:val="-9"/>
          <w:sz w:val="18"/>
        </w:rPr>
        <w:t> </w:t>
      </w:r>
      <w:r>
        <w:rPr>
          <w:i/>
          <w:color w:val="231F20"/>
          <w:sz w:val="18"/>
        </w:rPr>
        <w:t>Dependente</w:t>
      </w:r>
      <w:r>
        <w:rPr>
          <w:i/>
          <w:color w:val="231F20"/>
          <w:spacing w:val="-9"/>
          <w:sz w:val="18"/>
        </w:rPr>
        <w:t> </w:t>
      </w:r>
      <w:r>
        <w:rPr>
          <w:color w:val="231F20"/>
          <w:sz w:val="18"/>
        </w:rPr>
        <w:t>,</w:t>
      </w:r>
      <w:r>
        <w:rPr>
          <w:color w:val="231F20"/>
          <w:spacing w:val="-9"/>
          <w:sz w:val="18"/>
        </w:rPr>
        <w:t> </w:t>
      </w:r>
      <w:r>
        <w:rPr>
          <w:color w:val="231F20"/>
          <w:sz w:val="18"/>
        </w:rPr>
        <w:t>Brasil,</w:t>
      </w:r>
      <w:r>
        <w:rPr>
          <w:color w:val="231F20"/>
          <w:spacing w:val="-9"/>
          <w:sz w:val="18"/>
        </w:rPr>
        <w:t> </w:t>
      </w:r>
      <w:r>
        <w:rPr>
          <w:color w:val="231F20"/>
          <w:sz w:val="18"/>
        </w:rPr>
        <w:t>Editora Vozes.</w:t>
      </w:r>
    </w:p>
    <w:p>
      <w:pPr>
        <w:spacing w:line="217" w:lineRule="exact" w:before="0"/>
        <w:ind w:left="100" w:right="25" w:firstLine="0"/>
        <w:jc w:val="left"/>
        <w:rPr>
          <w:sz w:val="18"/>
        </w:rPr>
      </w:pPr>
      <w:r>
        <w:rPr>
          <w:color w:val="231F20"/>
          <w:sz w:val="22"/>
        </w:rPr>
        <w:t>_____, 2004, </w:t>
      </w:r>
      <w:r>
        <w:rPr>
          <w:i/>
          <w:color w:val="231F20"/>
          <w:sz w:val="18"/>
        </w:rPr>
        <w:t>Economía mundial e  integración regional    latinoamericana</w:t>
      </w:r>
      <w:r>
        <w:rPr>
          <w:color w:val="231F20"/>
          <w:sz w:val="18"/>
        </w:rPr>
        <w:t>),</w:t>
      </w:r>
    </w:p>
    <w:p>
      <w:pPr>
        <w:spacing w:line="195" w:lineRule="exact" w:before="4"/>
        <w:ind w:left="340" w:right="25" w:firstLine="0"/>
        <w:jc w:val="left"/>
        <w:rPr>
          <w:sz w:val="18"/>
        </w:rPr>
      </w:pPr>
      <w:r>
        <w:rPr>
          <w:color w:val="231F20"/>
          <w:w w:val="105"/>
          <w:sz w:val="18"/>
        </w:rPr>
        <w:t>México, Plaza y Janés.</w:t>
      </w:r>
    </w:p>
    <w:p>
      <w:pPr>
        <w:spacing w:line="244" w:lineRule="auto" w:before="0"/>
        <w:ind w:left="340" w:right="119" w:hanging="240"/>
        <w:jc w:val="both"/>
        <w:rPr>
          <w:sz w:val="18"/>
        </w:rPr>
      </w:pPr>
      <w:r>
        <w:rPr>
          <w:color w:val="231F20"/>
          <w:w w:val="104"/>
          <w:sz w:val="22"/>
          <w:u w:val="single" w:color="221E1F"/>
        </w:rPr>
        <w:t> </w:t>
      </w:r>
      <w:r>
        <w:rPr>
          <w:color w:val="231F20"/>
          <w:sz w:val="22"/>
          <w:u w:val="single" w:color="221E1F"/>
        </w:rPr>
        <w:t>         </w:t>
      </w:r>
      <w:r>
        <w:rPr>
          <w:color w:val="231F20"/>
          <w:sz w:val="22"/>
        </w:rPr>
        <w:t>, 2008, </w:t>
      </w:r>
      <w:r>
        <w:rPr>
          <w:i/>
          <w:color w:val="231F20"/>
          <w:sz w:val="18"/>
        </w:rPr>
        <w:t>Del terror a la esperanza: Auge y decadencia del neoliberalismo</w:t>
      </w:r>
      <w:r>
        <w:rPr>
          <w:color w:val="231F20"/>
          <w:sz w:val="18"/>
        </w:rPr>
        <w:t>, Caracas</w:t>
      </w:r>
      <w:r>
        <w:rPr>
          <w:i/>
          <w:color w:val="231F20"/>
          <w:sz w:val="18"/>
        </w:rPr>
        <w:t>,  </w:t>
      </w:r>
      <w:r>
        <w:rPr>
          <w:color w:val="231F20"/>
          <w:sz w:val="18"/>
        </w:rPr>
        <w:t>Monte  Ávila.</w:t>
      </w:r>
    </w:p>
    <w:p>
      <w:pPr>
        <w:spacing w:line="254" w:lineRule="auto" w:before="9"/>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1989, “Integração Latino-Americana: Forças Políticas em Choque, Experiências e Perspectivas”, </w:t>
      </w:r>
      <w:r>
        <w:rPr>
          <w:i/>
          <w:color w:val="231F20"/>
          <w:w w:val="105"/>
          <w:sz w:val="18"/>
        </w:rPr>
        <w:t>Revista Brasileira de Ciência Política</w:t>
      </w:r>
      <w:r>
        <w:rPr>
          <w:color w:val="231F20"/>
          <w:w w:val="105"/>
          <w:sz w:val="18"/>
        </w:rPr>
        <w:t>, vol. 1, no. 1, Brasilia,  marzo.</w:t>
      </w:r>
    </w:p>
    <w:p>
      <w:pPr>
        <w:spacing w:line="254" w:lineRule="auto" w:before="1"/>
        <w:ind w:left="340" w:right="118" w:hanging="240"/>
        <w:jc w:val="both"/>
        <w:rPr>
          <w:sz w:val="18"/>
        </w:rPr>
      </w:pPr>
      <w:r>
        <w:rPr>
          <w:color w:val="231F20"/>
          <w:sz w:val="18"/>
        </w:rPr>
        <w:t>Marx, Carlos, 1973, </w:t>
      </w:r>
      <w:r>
        <w:rPr>
          <w:i/>
          <w:color w:val="231F20"/>
          <w:sz w:val="18"/>
        </w:rPr>
        <w:t>Crítica de la economía política, seguido de la Miseria de la </w:t>
      </w:r>
      <w:r>
        <w:rPr>
          <w:i/>
          <w:color w:val="231F20"/>
          <w:sz w:val="18"/>
        </w:rPr>
        <w:t>filosofía</w:t>
      </w:r>
      <w:r>
        <w:rPr>
          <w:color w:val="231F20"/>
          <w:sz w:val="18"/>
        </w:rPr>
        <w:t>,  México,  Editora  Nacional,  reimpresión.   Prólogo.</w:t>
      </w:r>
    </w:p>
    <w:p>
      <w:pPr>
        <w:spacing w:after="0" w:line="254" w:lineRule="auto"/>
        <w:jc w:val="both"/>
        <w:rPr>
          <w:sz w:val="18"/>
        </w:rPr>
        <w:sectPr>
          <w:headerReference w:type="even" r:id="rId66"/>
          <w:pgSz w:w="7640" w:h="11900"/>
          <w:pgMar w:header="672" w:footer="0" w:top="860" w:bottom="280" w:left="780" w:right="640"/>
        </w:sectPr>
      </w:pPr>
    </w:p>
    <w:p>
      <w:pPr>
        <w:pStyle w:val="BodyText"/>
        <w:spacing w:line="261" w:lineRule="auto" w:before="39"/>
        <w:ind w:left="100" w:right="103"/>
      </w:pPr>
      <w:r>
        <w:rPr>
          <w:color w:val="231F20"/>
        </w:rPr>
        <w:t>LA TEORÍA DE LA CONYUNTURA Y LA CRISIS</w:t>
      </w:r>
      <w:r>
        <w:rPr>
          <w:color w:val="231F20"/>
          <w:w w:val="99"/>
        </w:rPr>
        <w:t> </w:t>
      </w:r>
      <w:r>
        <w:rPr>
          <w:color w:val="231F20"/>
        </w:rPr>
        <w:t>CONTEMPORÁNEA</w:t>
      </w:r>
    </w:p>
    <w:p>
      <w:pPr>
        <w:pStyle w:val="BodyText"/>
        <w:spacing w:before="8"/>
        <w:rPr>
          <w:sz w:val="21"/>
        </w:rPr>
      </w:pPr>
    </w:p>
    <w:p>
      <w:pPr>
        <w:pStyle w:val="BodyText"/>
        <w:ind w:left="3763" w:right="25"/>
      </w:pPr>
      <w:r>
        <w:rPr>
          <w:color w:val="231F20"/>
          <w:w w:val="130"/>
        </w:rPr>
        <w:t>carlos eduardo martins</w:t>
      </w:r>
    </w:p>
    <w:p>
      <w:pPr>
        <w:spacing w:before="20"/>
        <w:ind w:left="4027" w:right="25" w:firstLine="0"/>
        <w:jc w:val="left"/>
        <w:rPr>
          <w:sz w:val="20"/>
        </w:rPr>
      </w:pPr>
      <w:r>
        <w:rPr>
          <w:i/>
          <w:color w:val="231F20"/>
          <w:w w:val="110"/>
          <w:sz w:val="20"/>
        </w:rPr>
        <w:t>trad. de </w:t>
      </w:r>
      <w:r>
        <w:rPr>
          <w:color w:val="231F20"/>
          <w:w w:val="120"/>
          <w:sz w:val="20"/>
        </w:rPr>
        <w:t>sonia radaelli</w:t>
      </w:r>
    </w:p>
    <w:p>
      <w:pPr>
        <w:pStyle w:val="BodyText"/>
      </w:pPr>
    </w:p>
    <w:p>
      <w:pPr>
        <w:pStyle w:val="BodyText"/>
      </w:pPr>
    </w:p>
    <w:p>
      <w:pPr>
        <w:pStyle w:val="BodyText"/>
        <w:spacing w:before="7"/>
        <w:rPr>
          <w:sz w:val="26"/>
        </w:rPr>
      </w:pPr>
    </w:p>
    <w:p>
      <w:pPr>
        <w:pStyle w:val="BodyText"/>
        <w:spacing w:line="244" w:lineRule="auto"/>
        <w:ind w:left="100" w:right="1056"/>
        <w:rPr>
          <w:rFonts w:ascii="Calibri" w:hAnsi="Calibri"/>
        </w:rPr>
      </w:pPr>
      <w:r>
        <w:rPr>
          <w:rFonts w:ascii="Calibri" w:hAnsi="Calibri"/>
          <w:color w:val="231F20"/>
          <w:w w:val="125"/>
        </w:rPr>
        <w:t>premisas teóricas y metodológicas para el análisis de las coyunturas</w:t>
      </w:r>
    </w:p>
    <w:p>
      <w:pPr>
        <w:pStyle w:val="BodyText"/>
        <w:spacing w:before="10"/>
        <w:rPr>
          <w:rFonts w:ascii="Calibri"/>
        </w:rPr>
      </w:pPr>
    </w:p>
    <w:p>
      <w:pPr>
        <w:pStyle w:val="BodyText"/>
        <w:spacing w:line="261" w:lineRule="auto"/>
        <w:ind w:left="100" w:right="117"/>
        <w:jc w:val="both"/>
      </w:pP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economía</w:t>
      </w:r>
      <w:r>
        <w:rPr>
          <w:color w:val="231F20"/>
          <w:spacing w:val="-11"/>
          <w:w w:val="110"/>
        </w:rPr>
        <w:t> </w:t>
      </w:r>
      <w:r>
        <w:rPr>
          <w:color w:val="231F20"/>
          <w:w w:val="110"/>
        </w:rPr>
        <w:t>mundial</w:t>
      </w:r>
      <w:r>
        <w:rPr>
          <w:color w:val="231F20"/>
          <w:spacing w:val="-11"/>
          <w:w w:val="110"/>
        </w:rPr>
        <w:t> </w:t>
      </w:r>
      <w:r>
        <w:rPr>
          <w:color w:val="231F20"/>
          <w:w w:val="110"/>
        </w:rPr>
        <w:t>que</w:t>
      </w:r>
      <w:r>
        <w:rPr>
          <w:color w:val="231F20"/>
          <w:spacing w:val="-11"/>
          <w:w w:val="110"/>
        </w:rPr>
        <w:t> </w:t>
      </w:r>
      <w:r>
        <w:rPr>
          <w:color w:val="231F20"/>
          <w:w w:val="110"/>
        </w:rPr>
        <w:t>inició</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2008</w:t>
      </w:r>
      <w:r>
        <w:rPr>
          <w:color w:val="231F20"/>
          <w:spacing w:val="-11"/>
          <w:w w:val="110"/>
        </w:rPr>
        <w:t> </w:t>
      </w:r>
      <w:r>
        <w:rPr>
          <w:color w:val="231F20"/>
          <w:w w:val="110"/>
        </w:rPr>
        <w:t>ha</w:t>
      </w:r>
      <w:r>
        <w:rPr>
          <w:color w:val="231F20"/>
          <w:spacing w:val="-11"/>
          <w:w w:val="110"/>
        </w:rPr>
        <w:t> </w:t>
      </w:r>
      <w:r>
        <w:rPr>
          <w:color w:val="231F20"/>
          <w:w w:val="110"/>
        </w:rPr>
        <w:t>ocasionado un</w:t>
      </w:r>
      <w:r>
        <w:rPr>
          <w:color w:val="231F20"/>
          <w:spacing w:val="-7"/>
          <w:w w:val="110"/>
        </w:rPr>
        <w:t> </w:t>
      </w:r>
      <w:r>
        <w:rPr>
          <w:color w:val="231F20"/>
          <w:w w:val="110"/>
        </w:rPr>
        <w:t>gran</w:t>
      </w:r>
      <w:r>
        <w:rPr>
          <w:color w:val="231F20"/>
          <w:spacing w:val="-7"/>
          <w:w w:val="110"/>
        </w:rPr>
        <w:t> </w:t>
      </w:r>
      <w:r>
        <w:rPr>
          <w:color w:val="231F20"/>
          <w:w w:val="110"/>
        </w:rPr>
        <w:t>impacto</w:t>
      </w:r>
      <w:r>
        <w:rPr>
          <w:color w:val="231F20"/>
          <w:spacing w:val="-7"/>
          <w:w w:val="110"/>
        </w:rPr>
        <w:t> </w:t>
      </w:r>
      <w:r>
        <w:rPr>
          <w:color w:val="231F20"/>
          <w:w w:val="110"/>
        </w:rPr>
        <w:t>sobre</w:t>
      </w:r>
      <w:r>
        <w:rPr>
          <w:color w:val="231F20"/>
          <w:spacing w:val="-7"/>
          <w:w w:val="110"/>
        </w:rPr>
        <w:t> </w:t>
      </w:r>
      <w:r>
        <w:rPr>
          <w:color w:val="231F20"/>
          <w:w w:val="110"/>
        </w:rPr>
        <w:t>los</w:t>
      </w:r>
      <w:r>
        <w:rPr>
          <w:color w:val="231F20"/>
          <w:spacing w:val="-7"/>
          <w:w w:val="110"/>
        </w:rPr>
        <w:t> </w:t>
      </w:r>
      <w:r>
        <w:rPr>
          <w:color w:val="231F20"/>
          <w:w w:val="110"/>
        </w:rPr>
        <w:t>medios</w:t>
      </w:r>
      <w:r>
        <w:rPr>
          <w:color w:val="231F20"/>
          <w:spacing w:val="-7"/>
          <w:w w:val="110"/>
        </w:rPr>
        <w:t> </w:t>
      </w:r>
      <w:r>
        <w:rPr>
          <w:color w:val="231F20"/>
          <w:w w:val="110"/>
        </w:rPr>
        <w:t>de</w:t>
      </w:r>
      <w:r>
        <w:rPr>
          <w:color w:val="231F20"/>
          <w:spacing w:val="-7"/>
          <w:w w:val="110"/>
        </w:rPr>
        <w:t> </w:t>
      </w:r>
      <w:r>
        <w:rPr>
          <w:color w:val="231F20"/>
          <w:w w:val="110"/>
        </w:rPr>
        <w:t>comunicación</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pensamiento social.</w:t>
      </w:r>
      <w:r>
        <w:rPr>
          <w:color w:val="231F20"/>
          <w:spacing w:val="-13"/>
          <w:w w:val="110"/>
        </w:rPr>
        <w:t> </w:t>
      </w:r>
      <w:r>
        <w:rPr>
          <w:color w:val="231F20"/>
          <w:w w:val="110"/>
        </w:rPr>
        <w:t>Más</w:t>
      </w:r>
      <w:r>
        <w:rPr>
          <w:color w:val="231F20"/>
          <w:spacing w:val="-13"/>
          <w:w w:val="110"/>
        </w:rPr>
        <w:t> </w:t>
      </w:r>
      <w:r>
        <w:rPr>
          <w:color w:val="231F20"/>
          <w:w w:val="110"/>
        </w:rPr>
        <w:t>que</w:t>
      </w:r>
      <w:r>
        <w:rPr>
          <w:color w:val="231F20"/>
          <w:spacing w:val="-13"/>
          <w:w w:val="110"/>
        </w:rPr>
        <w:t> </w:t>
      </w:r>
      <w:r>
        <w:rPr>
          <w:color w:val="231F20"/>
          <w:w w:val="110"/>
        </w:rPr>
        <w:t>una</w:t>
      </w:r>
      <w:r>
        <w:rPr>
          <w:color w:val="231F20"/>
          <w:spacing w:val="-13"/>
          <w:w w:val="110"/>
        </w:rPr>
        <w:t> </w:t>
      </w:r>
      <w:r>
        <w:rPr>
          <w:color w:val="231F20"/>
          <w:w w:val="110"/>
        </w:rPr>
        <w:t>simple</w:t>
      </w:r>
      <w:r>
        <w:rPr>
          <w:color w:val="231F20"/>
          <w:spacing w:val="-13"/>
          <w:w w:val="110"/>
        </w:rPr>
        <w:t> </w:t>
      </w:r>
      <w:r>
        <w:rPr>
          <w:color w:val="231F20"/>
          <w:w w:val="110"/>
        </w:rPr>
        <w:t>recesión,</w:t>
      </w:r>
      <w:r>
        <w:rPr>
          <w:color w:val="231F20"/>
          <w:spacing w:val="-13"/>
          <w:w w:val="110"/>
        </w:rPr>
        <w:t> </w:t>
      </w:r>
      <w:r>
        <w:rPr>
          <w:color w:val="231F20"/>
          <w:w w:val="110"/>
        </w:rPr>
        <w:t>de</w:t>
      </w:r>
      <w:r>
        <w:rPr>
          <w:color w:val="231F20"/>
          <w:spacing w:val="-13"/>
          <w:w w:val="110"/>
        </w:rPr>
        <w:t> </w:t>
      </w:r>
      <w:r>
        <w:rPr>
          <w:color w:val="231F20"/>
          <w:w w:val="110"/>
        </w:rPr>
        <w:t>hecho,</w:t>
      </w:r>
      <w:r>
        <w:rPr>
          <w:color w:val="231F20"/>
          <w:spacing w:val="-13"/>
          <w:w w:val="110"/>
        </w:rPr>
        <w:t> </w:t>
      </w:r>
      <w:r>
        <w:rPr>
          <w:color w:val="231F20"/>
          <w:w w:val="110"/>
        </w:rPr>
        <w:t>presenta</w:t>
      </w:r>
      <w:r>
        <w:rPr>
          <w:color w:val="231F20"/>
          <w:spacing w:val="-13"/>
          <w:w w:val="110"/>
        </w:rPr>
        <w:t> </w:t>
      </w:r>
      <w:r>
        <w:rPr>
          <w:color w:val="231F20"/>
          <w:w w:val="110"/>
        </w:rPr>
        <w:t>elementos</w:t>
      </w:r>
      <w:r>
        <w:rPr>
          <w:color w:val="231F20"/>
          <w:spacing w:val="-13"/>
          <w:w w:val="110"/>
        </w:rPr>
        <w:t> </w:t>
      </w:r>
      <w:r>
        <w:rPr>
          <w:color w:val="231F20"/>
          <w:w w:val="110"/>
        </w:rPr>
        <w:t>de depresión al producir un intervalo de crecimiento negativo, lo que lleva</w:t>
      </w:r>
      <w:r>
        <w:rPr>
          <w:color w:val="231F20"/>
          <w:spacing w:val="-18"/>
          <w:w w:val="110"/>
        </w:rPr>
        <w:t> </w:t>
      </w:r>
      <w:r>
        <w:rPr>
          <w:color w:val="231F20"/>
          <w:w w:val="110"/>
        </w:rPr>
        <w:t>a</w:t>
      </w:r>
      <w:r>
        <w:rPr>
          <w:color w:val="231F20"/>
          <w:spacing w:val="-18"/>
          <w:w w:val="110"/>
        </w:rPr>
        <w:t> </w:t>
      </w:r>
      <w:r>
        <w:rPr>
          <w:color w:val="231F20"/>
          <w:w w:val="110"/>
        </w:rPr>
        <w:t>muchos</w:t>
      </w:r>
      <w:r>
        <w:rPr>
          <w:color w:val="231F20"/>
          <w:spacing w:val="-18"/>
          <w:w w:val="110"/>
        </w:rPr>
        <w:t> </w:t>
      </w:r>
      <w:r>
        <w:rPr>
          <w:color w:val="231F20"/>
          <w:w w:val="110"/>
        </w:rPr>
        <w:t>a</w:t>
      </w:r>
      <w:r>
        <w:rPr>
          <w:color w:val="231F20"/>
          <w:spacing w:val="-18"/>
          <w:w w:val="110"/>
        </w:rPr>
        <w:t> </w:t>
      </w:r>
      <w:r>
        <w:rPr>
          <w:color w:val="231F20"/>
          <w:w w:val="110"/>
        </w:rPr>
        <w:t>caracterizarla</w:t>
      </w:r>
      <w:r>
        <w:rPr>
          <w:color w:val="231F20"/>
          <w:spacing w:val="-18"/>
          <w:w w:val="110"/>
        </w:rPr>
        <w:t> </w:t>
      </w:r>
      <w:r>
        <w:rPr>
          <w:color w:val="231F20"/>
          <w:w w:val="110"/>
        </w:rPr>
        <w:t>como</w:t>
      </w:r>
      <w:r>
        <w:rPr>
          <w:color w:val="231F20"/>
          <w:spacing w:val="-18"/>
          <w:w w:val="110"/>
        </w:rPr>
        <w:t> </w:t>
      </w:r>
      <w:r>
        <w:rPr>
          <w:color w:val="231F20"/>
          <w:w w:val="110"/>
        </w:rPr>
        <w:t>una</w:t>
      </w:r>
      <w:r>
        <w:rPr>
          <w:color w:val="231F20"/>
          <w:spacing w:val="-18"/>
          <w:w w:val="110"/>
        </w:rPr>
        <w:t> </w:t>
      </w:r>
      <w:r>
        <w:rPr>
          <w:color w:val="231F20"/>
          <w:w w:val="110"/>
        </w:rPr>
        <w:t>reedición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gran</w:t>
      </w:r>
      <w:r>
        <w:rPr>
          <w:color w:val="231F20"/>
          <w:spacing w:val="-18"/>
          <w:w w:val="110"/>
        </w:rPr>
        <w:t> </w:t>
      </w:r>
      <w:r>
        <w:rPr>
          <w:color w:val="231F20"/>
          <w:w w:val="110"/>
        </w:rPr>
        <w:t>crisis</w:t>
      </w:r>
      <w:r>
        <w:rPr>
          <w:color w:val="231F20"/>
          <w:spacing w:val="-18"/>
          <w:w w:val="110"/>
        </w:rPr>
        <w:t> </w:t>
      </w:r>
      <w:r>
        <w:rPr>
          <w:color w:val="231F20"/>
          <w:w w:val="110"/>
        </w:rPr>
        <w:t>de 1929. </w:t>
      </w:r>
      <w:r>
        <w:rPr>
          <w:color w:val="231F20"/>
          <w:spacing w:val="-3"/>
          <w:w w:val="110"/>
        </w:rPr>
        <w:t>¿Tendrá </w:t>
      </w:r>
      <w:r>
        <w:rPr>
          <w:color w:val="231F20"/>
          <w:w w:val="110"/>
        </w:rPr>
        <w:t>procedencia esta comparación? ¿Cómo</w:t>
      </w:r>
      <w:r>
        <w:rPr>
          <w:color w:val="231F20"/>
          <w:spacing w:val="30"/>
          <w:w w:val="110"/>
        </w:rPr>
        <w:t> </w:t>
      </w:r>
      <w:r>
        <w:rPr>
          <w:color w:val="231F20"/>
          <w:w w:val="110"/>
        </w:rPr>
        <w:t>interpretarla?</w:t>
      </w:r>
    </w:p>
    <w:p>
      <w:pPr>
        <w:pStyle w:val="BodyText"/>
        <w:spacing w:line="261" w:lineRule="auto"/>
        <w:ind w:left="100" w:right="119"/>
        <w:jc w:val="both"/>
      </w:pPr>
      <w:r>
        <w:rPr>
          <w:color w:val="231F20"/>
          <w:w w:val="110"/>
        </w:rPr>
        <w:t>¿Cuáles son sus determinantes y su alcance? ¿Qué cambios</w:t>
      </w:r>
      <w:r>
        <w:rPr>
          <w:color w:val="231F20"/>
          <w:spacing w:val="-19"/>
          <w:w w:val="110"/>
        </w:rPr>
        <w:t> </w:t>
      </w:r>
      <w:r>
        <w:rPr>
          <w:color w:val="231F20"/>
          <w:w w:val="110"/>
        </w:rPr>
        <w:t>político- ideológicos y coyunturales puede suscitar? Son éstas cuestiones de enorme pertinencia no sólo para las ciencias sociales,</w:t>
      </w:r>
      <w:r>
        <w:rPr>
          <w:color w:val="231F20"/>
          <w:spacing w:val="54"/>
          <w:w w:val="110"/>
        </w:rPr>
        <w:t> </w:t>
      </w:r>
      <w:r>
        <w:rPr>
          <w:color w:val="231F20"/>
          <w:w w:val="110"/>
        </w:rPr>
        <w:t>sino</w:t>
      </w:r>
      <w:r>
        <w:rPr>
          <w:color w:val="231F20"/>
          <w:spacing w:val="13"/>
          <w:w w:val="110"/>
        </w:rPr>
        <w:t> </w:t>
      </w:r>
      <w:r>
        <w:rPr>
          <w:color w:val="231F20"/>
          <w:w w:val="110"/>
        </w:rPr>
        <w:t>también</w:t>
      </w:r>
      <w:r>
        <w:rPr>
          <w:color w:val="231F20"/>
          <w:w w:val="111"/>
        </w:rPr>
        <w:t> </w:t>
      </w:r>
      <w:r>
        <w:rPr>
          <w:color w:val="231F20"/>
          <w:w w:val="110"/>
        </w:rPr>
        <w:t>para la acción</w:t>
      </w:r>
      <w:r>
        <w:rPr>
          <w:color w:val="231F20"/>
          <w:spacing w:val="15"/>
          <w:w w:val="110"/>
        </w:rPr>
        <w:t> </w:t>
      </w:r>
      <w:r>
        <w:rPr>
          <w:color w:val="231F20"/>
          <w:w w:val="110"/>
        </w:rPr>
        <w:t>política.</w:t>
      </w:r>
    </w:p>
    <w:p>
      <w:pPr>
        <w:pStyle w:val="BodyText"/>
        <w:spacing w:line="261" w:lineRule="auto"/>
        <w:ind w:left="100" w:right="119" w:firstLine="240"/>
        <w:jc w:val="both"/>
      </w:pPr>
      <w:r>
        <w:rPr>
          <w:color w:val="231F20"/>
          <w:w w:val="110"/>
        </w:rPr>
        <w:t>Vivimos en un periodo de gran aceleración del tiempo histórico provocado</w:t>
      </w:r>
      <w:r>
        <w:rPr>
          <w:color w:val="231F20"/>
          <w:spacing w:val="-37"/>
          <w:w w:val="110"/>
        </w:rPr>
        <w:t> </w:t>
      </w:r>
      <w:r>
        <w:rPr>
          <w:color w:val="231F20"/>
          <w:w w:val="110"/>
        </w:rPr>
        <w:t>por</w:t>
      </w:r>
      <w:r>
        <w:rPr>
          <w:color w:val="231F20"/>
          <w:spacing w:val="-37"/>
          <w:w w:val="110"/>
        </w:rPr>
        <w:t> </w:t>
      </w:r>
      <w:r>
        <w:rPr>
          <w:color w:val="231F20"/>
          <w:w w:val="110"/>
        </w:rPr>
        <w:t>amplias</w:t>
      </w:r>
      <w:r>
        <w:rPr>
          <w:color w:val="231F20"/>
          <w:spacing w:val="-37"/>
          <w:w w:val="110"/>
        </w:rPr>
        <w:t> </w:t>
      </w:r>
      <w:r>
        <w:rPr>
          <w:color w:val="231F20"/>
          <w:w w:val="110"/>
        </w:rPr>
        <w:t>transformaciones</w:t>
      </w:r>
      <w:r>
        <w:rPr>
          <w:color w:val="231F20"/>
          <w:spacing w:val="-37"/>
          <w:w w:val="110"/>
        </w:rPr>
        <w:t> </w:t>
      </w:r>
      <w:r>
        <w:rPr>
          <w:color w:val="231F20"/>
          <w:w w:val="110"/>
        </w:rPr>
        <w:t>materiales</w:t>
      </w:r>
      <w:r>
        <w:rPr>
          <w:color w:val="231F20"/>
          <w:spacing w:val="-37"/>
          <w:w w:val="110"/>
        </w:rPr>
        <w:t> </w:t>
      </w:r>
      <w:r>
        <w:rPr>
          <w:color w:val="231F20"/>
          <w:w w:val="110"/>
        </w:rPr>
        <w:t>y</w:t>
      </w:r>
      <w:r>
        <w:rPr>
          <w:color w:val="231F20"/>
          <w:spacing w:val="-37"/>
          <w:w w:val="110"/>
        </w:rPr>
        <w:t> </w:t>
      </w:r>
      <w:r>
        <w:rPr>
          <w:color w:val="231F20"/>
          <w:w w:val="110"/>
        </w:rPr>
        <w:t>sociales</w:t>
      </w:r>
      <w:r>
        <w:rPr>
          <w:color w:val="231F20"/>
          <w:spacing w:val="-37"/>
          <w:w w:val="110"/>
        </w:rPr>
        <w:t> </w:t>
      </w:r>
      <w:r>
        <w:rPr>
          <w:color w:val="231F20"/>
          <w:w w:val="110"/>
        </w:rPr>
        <w:t>que</w:t>
      </w:r>
      <w:r>
        <w:rPr>
          <w:color w:val="231F20"/>
          <w:spacing w:val="-37"/>
          <w:w w:val="110"/>
        </w:rPr>
        <w:t> </w:t>
      </w:r>
      <w:r>
        <w:rPr>
          <w:color w:val="231F20"/>
          <w:w w:val="110"/>
        </w:rPr>
        <w:t>trajo la globalización. Esta aceleración produce choques, contradicciones y entrelazamientos de tendencias y contratendencias. Diferenciar la articulación</w:t>
      </w:r>
      <w:r>
        <w:rPr>
          <w:color w:val="231F20"/>
          <w:spacing w:val="-13"/>
          <w:w w:val="110"/>
        </w:rPr>
        <w:t> </w:t>
      </w:r>
      <w:r>
        <w:rPr>
          <w:color w:val="231F20"/>
          <w:w w:val="110"/>
        </w:rPr>
        <w:t>específica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fuerzas</w:t>
      </w:r>
      <w:r>
        <w:rPr>
          <w:color w:val="231F20"/>
          <w:spacing w:val="-13"/>
          <w:w w:val="110"/>
        </w:rPr>
        <w:t> </w:t>
      </w:r>
      <w:r>
        <w:rPr>
          <w:color w:val="231F20"/>
          <w:w w:val="110"/>
        </w:rPr>
        <w:t>sociales</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combinan</w:t>
      </w:r>
      <w:r>
        <w:rPr>
          <w:color w:val="231F20"/>
          <w:spacing w:val="-13"/>
          <w:w w:val="110"/>
        </w:rPr>
        <w:t> </w:t>
      </w:r>
      <w:r>
        <w:rPr>
          <w:color w:val="231F20"/>
          <w:w w:val="110"/>
        </w:rPr>
        <w:t>y</w:t>
      </w:r>
      <w:r>
        <w:rPr>
          <w:color w:val="231F20"/>
          <w:spacing w:val="-13"/>
          <w:w w:val="110"/>
        </w:rPr>
        <w:t> </w:t>
      </w:r>
      <w:r>
        <w:rPr>
          <w:color w:val="231F20"/>
          <w:w w:val="110"/>
        </w:rPr>
        <w:t>con- frontan</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realidades</w:t>
      </w:r>
      <w:r>
        <w:rPr>
          <w:color w:val="231F20"/>
          <w:spacing w:val="-16"/>
          <w:w w:val="110"/>
        </w:rPr>
        <w:t> </w:t>
      </w:r>
      <w:r>
        <w:rPr>
          <w:color w:val="231F20"/>
          <w:w w:val="110"/>
        </w:rPr>
        <w:t>en</w:t>
      </w:r>
      <w:r>
        <w:rPr>
          <w:color w:val="231F20"/>
          <w:spacing w:val="-16"/>
          <w:w w:val="110"/>
        </w:rPr>
        <w:t> </w:t>
      </w:r>
      <w:r>
        <w:rPr>
          <w:color w:val="231F20"/>
          <w:w w:val="110"/>
        </w:rPr>
        <w:t>donde</w:t>
      </w:r>
      <w:r>
        <w:rPr>
          <w:color w:val="231F20"/>
          <w:spacing w:val="-16"/>
          <w:w w:val="110"/>
        </w:rPr>
        <w:t> </w:t>
      </w:r>
      <w:r>
        <w:rPr>
          <w:color w:val="231F20"/>
          <w:w w:val="110"/>
        </w:rPr>
        <w:t>se</w:t>
      </w:r>
      <w:r>
        <w:rPr>
          <w:color w:val="231F20"/>
          <w:spacing w:val="-16"/>
          <w:w w:val="110"/>
        </w:rPr>
        <w:t> </w:t>
      </w:r>
      <w:r>
        <w:rPr>
          <w:color w:val="231F20"/>
          <w:w w:val="110"/>
        </w:rPr>
        <w:t>presentan,</w:t>
      </w:r>
      <w:r>
        <w:rPr>
          <w:color w:val="231F20"/>
          <w:spacing w:val="-16"/>
          <w:w w:val="110"/>
        </w:rPr>
        <w:t> </w:t>
      </w:r>
      <w:r>
        <w:rPr>
          <w:color w:val="231F20"/>
          <w:w w:val="110"/>
        </w:rPr>
        <w:t>tiene</w:t>
      </w:r>
      <w:r>
        <w:rPr>
          <w:color w:val="231F20"/>
          <w:spacing w:val="-16"/>
          <w:w w:val="110"/>
        </w:rPr>
        <w:t> </w:t>
      </w:r>
      <w:r>
        <w:rPr>
          <w:color w:val="231F20"/>
          <w:w w:val="110"/>
        </w:rPr>
        <w:t>una</w:t>
      </w:r>
      <w:r>
        <w:rPr>
          <w:color w:val="231F20"/>
          <w:spacing w:val="-16"/>
          <w:w w:val="110"/>
        </w:rPr>
        <w:t> </w:t>
      </w:r>
      <w:r>
        <w:rPr>
          <w:color w:val="231F20"/>
          <w:w w:val="110"/>
        </w:rPr>
        <w:t>importancia central</w:t>
      </w:r>
      <w:r>
        <w:rPr>
          <w:color w:val="231F20"/>
          <w:spacing w:val="-26"/>
          <w:w w:val="110"/>
        </w:rPr>
        <w:t> </w:t>
      </w:r>
      <w:r>
        <w:rPr>
          <w:color w:val="231F20"/>
          <w:w w:val="110"/>
        </w:rPr>
        <w:t>para</w:t>
      </w:r>
      <w:r>
        <w:rPr>
          <w:color w:val="231F20"/>
          <w:spacing w:val="-26"/>
          <w:w w:val="110"/>
        </w:rPr>
        <w:t> </w:t>
      </w:r>
      <w:r>
        <w:rPr>
          <w:color w:val="231F20"/>
          <w:w w:val="110"/>
        </w:rPr>
        <w:t>que</w:t>
      </w:r>
      <w:r>
        <w:rPr>
          <w:color w:val="231F20"/>
          <w:spacing w:val="-26"/>
          <w:w w:val="110"/>
        </w:rPr>
        <w:t> </w:t>
      </w:r>
      <w:r>
        <w:rPr>
          <w:color w:val="231F20"/>
          <w:w w:val="110"/>
        </w:rPr>
        <w:t>identifiquemos</w:t>
      </w:r>
      <w:r>
        <w:rPr>
          <w:color w:val="231F20"/>
          <w:spacing w:val="-26"/>
          <w:w w:val="110"/>
        </w:rPr>
        <w:t> </w:t>
      </w:r>
      <w:r>
        <w:rPr>
          <w:color w:val="231F20"/>
          <w:w w:val="110"/>
        </w:rPr>
        <w:t>su</w:t>
      </w:r>
      <w:r>
        <w:rPr>
          <w:color w:val="231F20"/>
          <w:spacing w:val="-26"/>
          <w:w w:val="110"/>
        </w:rPr>
        <w:t> </w:t>
      </w:r>
      <w:r>
        <w:rPr>
          <w:color w:val="231F20"/>
          <w:w w:val="110"/>
        </w:rPr>
        <w:t>perennidad</w:t>
      </w:r>
      <w:r>
        <w:rPr>
          <w:color w:val="231F20"/>
          <w:spacing w:val="-26"/>
          <w:w w:val="110"/>
        </w:rPr>
        <w:t> </w:t>
      </w:r>
      <w:r>
        <w:rPr>
          <w:color w:val="231F20"/>
          <w:w w:val="110"/>
        </w:rPr>
        <w:t>y</w:t>
      </w:r>
      <w:r>
        <w:rPr>
          <w:color w:val="231F20"/>
          <w:spacing w:val="-26"/>
          <w:w w:val="110"/>
        </w:rPr>
        <w:t> </w:t>
      </w:r>
      <w:r>
        <w:rPr>
          <w:color w:val="231F20"/>
          <w:w w:val="110"/>
        </w:rPr>
        <w:t>nexo</w:t>
      </w:r>
      <w:r>
        <w:rPr>
          <w:color w:val="231F20"/>
          <w:spacing w:val="-26"/>
          <w:w w:val="110"/>
        </w:rPr>
        <w:t> </w:t>
      </w:r>
      <w:r>
        <w:rPr>
          <w:color w:val="231F20"/>
          <w:w w:val="110"/>
        </w:rPr>
        <w:t>histórico.</w:t>
      </w:r>
      <w:r>
        <w:rPr>
          <w:color w:val="231F20"/>
          <w:spacing w:val="-26"/>
          <w:w w:val="110"/>
        </w:rPr>
        <w:t> </w:t>
      </w:r>
      <w:r>
        <w:rPr>
          <w:color w:val="231F20"/>
          <w:w w:val="110"/>
        </w:rPr>
        <w:t>Es</w:t>
      </w:r>
      <w:r>
        <w:rPr>
          <w:color w:val="231F20"/>
          <w:spacing w:val="-26"/>
          <w:w w:val="110"/>
        </w:rPr>
        <w:t> </w:t>
      </w:r>
      <w:r>
        <w:rPr>
          <w:color w:val="231F20"/>
          <w:w w:val="110"/>
        </w:rPr>
        <w:t>alto</w:t>
      </w:r>
      <w:r>
        <w:rPr>
          <w:color w:val="231F20"/>
          <w:spacing w:val="-2"/>
          <w:w w:val="109"/>
        </w:rPr>
        <w:t> </w:t>
      </w:r>
      <w:r>
        <w:rPr>
          <w:color w:val="231F20"/>
          <w:w w:val="110"/>
        </w:rPr>
        <w:t>el riesgo de tomar fenómenos transitorios y aparentes por profundos y</w:t>
      </w:r>
      <w:r>
        <w:rPr>
          <w:color w:val="231F20"/>
          <w:spacing w:val="-10"/>
          <w:w w:val="110"/>
        </w:rPr>
        <w:t> </w:t>
      </w:r>
      <w:r>
        <w:rPr>
          <w:color w:val="231F20"/>
          <w:w w:val="110"/>
        </w:rPr>
        <w:t>estructurales,</w:t>
      </w:r>
      <w:r>
        <w:rPr>
          <w:color w:val="231F20"/>
          <w:spacing w:val="-10"/>
          <w:w w:val="110"/>
        </w:rPr>
        <w:t> </w:t>
      </w:r>
      <w:r>
        <w:rPr>
          <w:color w:val="231F20"/>
          <w:w w:val="110"/>
        </w:rPr>
        <w:t>debido</w:t>
      </w:r>
      <w:r>
        <w:rPr>
          <w:color w:val="231F20"/>
          <w:spacing w:val="-10"/>
          <w:w w:val="110"/>
        </w:rPr>
        <w:t> </w:t>
      </w:r>
      <w:r>
        <w:rPr>
          <w:color w:val="231F20"/>
          <w:w w:val="110"/>
        </w:rPr>
        <w:t>al</w:t>
      </w:r>
      <w:r>
        <w:rPr>
          <w:color w:val="231F20"/>
          <w:spacing w:val="-10"/>
          <w:w w:val="110"/>
        </w:rPr>
        <w:t> </w:t>
      </w:r>
      <w:r>
        <w:rPr>
          <w:color w:val="231F20"/>
          <w:w w:val="110"/>
        </w:rPr>
        <w:t>dinamismo</w:t>
      </w:r>
      <w:r>
        <w:rPr>
          <w:color w:val="231F20"/>
          <w:spacing w:val="-10"/>
          <w:w w:val="110"/>
        </w:rPr>
        <w:t> </w:t>
      </w:r>
      <w:r>
        <w:rPr>
          <w:color w:val="231F20"/>
          <w:w w:val="110"/>
        </w:rPr>
        <w:t>de</w:t>
      </w:r>
      <w:r>
        <w:rPr>
          <w:color w:val="231F20"/>
          <w:spacing w:val="-10"/>
          <w:w w:val="110"/>
        </w:rPr>
        <w:t> </w:t>
      </w:r>
      <w:r>
        <w:rPr>
          <w:color w:val="231F20"/>
          <w:w w:val="110"/>
        </w:rPr>
        <w:t>nuestro</w:t>
      </w:r>
      <w:r>
        <w:rPr>
          <w:color w:val="231F20"/>
          <w:spacing w:val="-10"/>
          <w:w w:val="110"/>
        </w:rPr>
        <w:t> </w:t>
      </w:r>
      <w:r>
        <w:rPr>
          <w:color w:val="231F20"/>
          <w:w w:val="110"/>
        </w:rPr>
        <w:t>tiempo,</w:t>
      </w:r>
      <w:r>
        <w:rPr>
          <w:color w:val="231F20"/>
          <w:spacing w:val="-10"/>
          <w:w w:val="110"/>
        </w:rPr>
        <w:t> </w:t>
      </w:r>
      <w:r>
        <w:rPr>
          <w:color w:val="231F20"/>
          <w:w w:val="110"/>
        </w:rPr>
        <w:t>lo</w:t>
      </w:r>
      <w:r>
        <w:rPr>
          <w:color w:val="231F20"/>
          <w:spacing w:val="-10"/>
          <w:w w:val="110"/>
        </w:rPr>
        <w:t> </w:t>
      </w:r>
      <w:r>
        <w:rPr>
          <w:color w:val="231F20"/>
          <w:w w:val="110"/>
        </w:rPr>
        <w:t>cual</w:t>
      </w:r>
      <w:r>
        <w:rPr>
          <w:color w:val="231F20"/>
          <w:spacing w:val="-10"/>
          <w:w w:val="110"/>
        </w:rPr>
        <w:t> </w:t>
      </w:r>
      <w:r>
        <w:rPr>
          <w:color w:val="231F20"/>
          <w:w w:val="110"/>
        </w:rPr>
        <w:t>exige del</w:t>
      </w:r>
      <w:r>
        <w:rPr>
          <w:color w:val="231F20"/>
          <w:spacing w:val="-21"/>
          <w:w w:val="110"/>
        </w:rPr>
        <w:t> </w:t>
      </w:r>
      <w:r>
        <w:rPr>
          <w:color w:val="231F20"/>
          <w:w w:val="110"/>
        </w:rPr>
        <w:t>investigador</w:t>
      </w:r>
      <w:r>
        <w:rPr>
          <w:color w:val="231F20"/>
          <w:spacing w:val="-21"/>
          <w:w w:val="110"/>
        </w:rPr>
        <w:t> </w:t>
      </w:r>
      <w:r>
        <w:rPr>
          <w:color w:val="231F20"/>
          <w:w w:val="110"/>
        </w:rPr>
        <w:t>extrema</w:t>
      </w:r>
      <w:r>
        <w:rPr>
          <w:color w:val="231F20"/>
          <w:spacing w:val="-21"/>
          <w:w w:val="110"/>
        </w:rPr>
        <w:t> </w:t>
      </w:r>
      <w:r>
        <w:rPr>
          <w:color w:val="231F20"/>
          <w:w w:val="110"/>
        </w:rPr>
        <w:t>cautela.</w:t>
      </w:r>
      <w:r>
        <w:rPr>
          <w:color w:val="231F20"/>
          <w:spacing w:val="-21"/>
          <w:w w:val="110"/>
        </w:rPr>
        <w:t> </w:t>
      </w:r>
      <w:r>
        <w:rPr>
          <w:color w:val="231F20"/>
          <w:w w:val="110"/>
        </w:rPr>
        <w:t>Para</w:t>
      </w:r>
      <w:r>
        <w:rPr>
          <w:color w:val="231F20"/>
          <w:spacing w:val="-21"/>
          <w:w w:val="110"/>
        </w:rPr>
        <w:t> </w:t>
      </w:r>
      <w:r>
        <w:rPr>
          <w:color w:val="231F20"/>
          <w:w w:val="110"/>
        </w:rPr>
        <w:t>lidiar</w:t>
      </w:r>
      <w:r>
        <w:rPr>
          <w:color w:val="231F20"/>
          <w:spacing w:val="-21"/>
          <w:w w:val="110"/>
        </w:rPr>
        <w:t> </w:t>
      </w:r>
      <w:r>
        <w:rPr>
          <w:color w:val="231F20"/>
          <w:w w:val="110"/>
        </w:rPr>
        <w:t>con</w:t>
      </w:r>
      <w:r>
        <w:rPr>
          <w:color w:val="231F20"/>
          <w:spacing w:val="-21"/>
          <w:w w:val="110"/>
        </w:rPr>
        <w:t> </w:t>
      </w:r>
      <w:r>
        <w:rPr>
          <w:color w:val="231F20"/>
          <w:w w:val="110"/>
        </w:rPr>
        <w:t>esta</w:t>
      </w:r>
      <w:r>
        <w:rPr>
          <w:color w:val="231F20"/>
          <w:spacing w:val="-21"/>
          <w:w w:val="110"/>
        </w:rPr>
        <w:t> </w:t>
      </w:r>
      <w:r>
        <w:rPr>
          <w:color w:val="231F20"/>
          <w:w w:val="110"/>
        </w:rPr>
        <w:t>temporalidad,</w:t>
      </w:r>
      <w:r>
        <w:rPr>
          <w:color w:val="231F20"/>
          <w:spacing w:val="-21"/>
          <w:w w:val="110"/>
        </w:rPr>
        <w:t> </w:t>
      </w:r>
      <w:r>
        <w:rPr>
          <w:color w:val="231F20"/>
          <w:w w:val="110"/>
        </w:rPr>
        <w:t>en donde</w:t>
      </w:r>
      <w:r>
        <w:rPr>
          <w:color w:val="231F20"/>
          <w:spacing w:val="-17"/>
          <w:w w:val="110"/>
        </w:rPr>
        <w:t> </w:t>
      </w:r>
      <w:r>
        <w:rPr>
          <w:color w:val="231F20"/>
          <w:w w:val="110"/>
        </w:rPr>
        <w:t>el</w:t>
      </w:r>
      <w:r>
        <w:rPr>
          <w:color w:val="231F20"/>
          <w:spacing w:val="-17"/>
          <w:w w:val="110"/>
        </w:rPr>
        <w:t> </w:t>
      </w:r>
      <w:r>
        <w:rPr>
          <w:color w:val="231F20"/>
          <w:w w:val="110"/>
        </w:rPr>
        <w:t>flujo</w:t>
      </w:r>
      <w:r>
        <w:rPr>
          <w:color w:val="231F20"/>
          <w:spacing w:val="-17"/>
          <w:w w:val="110"/>
        </w:rPr>
        <w:t> </w:t>
      </w:r>
      <w:r>
        <w:rPr>
          <w:color w:val="231F20"/>
          <w:w w:val="110"/>
        </w:rPr>
        <w:t>histórico</w:t>
      </w:r>
      <w:r>
        <w:rPr>
          <w:color w:val="231F20"/>
          <w:spacing w:val="-17"/>
          <w:w w:val="110"/>
        </w:rPr>
        <w:t> </w:t>
      </w:r>
      <w:r>
        <w:rPr>
          <w:color w:val="231F20"/>
          <w:w w:val="110"/>
        </w:rPr>
        <w:t>se</w:t>
      </w:r>
      <w:r>
        <w:rPr>
          <w:color w:val="231F20"/>
          <w:spacing w:val="-17"/>
          <w:w w:val="110"/>
        </w:rPr>
        <w:t> </w:t>
      </w:r>
      <w:r>
        <w:rPr>
          <w:color w:val="231F20"/>
          <w:w w:val="110"/>
        </w:rPr>
        <w:t>intensifica,</w:t>
      </w:r>
      <w:r>
        <w:rPr>
          <w:color w:val="231F20"/>
          <w:spacing w:val="-17"/>
          <w:w w:val="110"/>
        </w:rPr>
        <w:t> </w:t>
      </w:r>
      <w:r>
        <w:rPr>
          <w:color w:val="231F20"/>
          <w:w w:val="110"/>
        </w:rPr>
        <w:t>estableciendo</w:t>
      </w:r>
      <w:r>
        <w:rPr>
          <w:color w:val="231F20"/>
          <w:spacing w:val="-17"/>
          <w:w w:val="110"/>
        </w:rPr>
        <w:t> </w:t>
      </w:r>
      <w:r>
        <w:rPr>
          <w:color w:val="231F20"/>
          <w:w w:val="110"/>
        </w:rPr>
        <w:t>simultáneamente vínculos</w:t>
      </w:r>
      <w:r>
        <w:rPr>
          <w:color w:val="231F20"/>
          <w:spacing w:val="-9"/>
          <w:w w:val="110"/>
        </w:rPr>
        <w:t> </w:t>
      </w:r>
      <w:r>
        <w:rPr>
          <w:color w:val="231F20"/>
          <w:w w:val="110"/>
        </w:rPr>
        <w:t>crecientes</w:t>
      </w:r>
      <w:r>
        <w:rPr>
          <w:color w:val="231F20"/>
          <w:spacing w:val="-9"/>
          <w:w w:val="110"/>
        </w:rPr>
        <w:t> </w:t>
      </w:r>
      <w:r>
        <w:rPr>
          <w:color w:val="231F20"/>
          <w:w w:val="110"/>
        </w:rPr>
        <w:t>entre</w:t>
      </w:r>
      <w:r>
        <w:rPr>
          <w:color w:val="231F20"/>
          <w:spacing w:val="-9"/>
          <w:w w:val="110"/>
        </w:rPr>
        <w:t> </w:t>
      </w:r>
      <w:r>
        <w:rPr>
          <w:color w:val="231F20"/>
          <w:w w:val="110"/>
        </w:rPr>
        <w:t>el</w:t>
      </w:r>
      <w:r>
        <w:rPr>
          <w:color w:val="231F20"/>
          <w:spacing w:val="-9"/>
          <w:w w:val="110"/>
        </w:rPr>
        <w:t> </w:t>
      </w:r>
      <w:r>
        <w:rPr>
          <w:color w:val="231F20"/>
          <w:w w:val="110"/>
        </w:rPr>
        <w:t>futuro</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pasado,</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spacing w:val="-2"/>
          <w:w w:val="110"/>
        </w:rPr>
        <w:t>social </w:t>
      </w:r>
      <w:r>
        <w:rPr>
          <w:color w:val="231F20"/>
          <w:w w:val="110"/>
        </w:rPr>
        <w:t>debe buscar instrumentos conceptuales de larga</w:t>
      </w:r>
      <w:r>
        <w:rPr>
          <w:color w:val="231F20"/>
          <w:spacing w:val="11"/>
          <w:w w:val="110"/>
        </w:rPr>
        <w:t> </w:t>
      </w:r>
      <w:r>
        <w:rPr>
          <w:color w:val="231F20"/>
          <w:w w:val="110"/>
        </w:rPr>
        <w:t>duración,</w:t>
      </w:r>
      <w:r>
        <w:rPr>
          <w:color w:val="231F20"/>
          <w:spacing w:val="1"/>
          <w:w w:val="110"/>
        </w:rPr>
        <w:t> </w:t>
      </w:r>
      <w:r>
        <w:rPr>
          <w:color w:val="231F20"/>
          <w:w w:val="110"/>
        </w:rPr>
        <w:t>sometién-</w:t>
      </w:r>
      <w:r>
        <w:rPr>
          <w:color w:val="231F20"/>
          <w:w w:val="72"/>
        </w:rPr>
        <w:t> </w:t>
      </w:r>
      <w:r>
        <w:rPr>
          <w:color w:val="231F20"/>
          <w:w w:val="110"/>
        </w:rPr>
        <w:t>dolos permanentemente a la evaluación minuciosa de los procesos empíricos.</w:t>
      </w:r>
      <w:r>
        <w:rPr>
          <w:color w:val="231F20"/>
          <w:spacing w:val="-27"/>
          <w:w w:val="110"/>
        </w:rPr>
        <w:t> </w:t>
      </w:r>
      <w:r>
        <w:rPr>
          <w:color w:val="231F20"/>
          <w:w w:val="110"/>
        </w:rPr>
        <w:t>La</w:t>
      </w:r>
      <w:r>
        <w:rPr>
          <w:color w:val="231F20"/>
          <w:spacing w:val="-27"/>
          <w:w w:val="110"/>
        </w:rPr>
        <w:t> </w:t>
      </w:r>
      <w:r>
        <w:rPr>
          <w:color w:val="231F20"/>
          <w:w w:val="110"/>
        </w:rPr>
        <w:t>construcción</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ciencia</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contemporaneidad</w:t>
      </w:r>
      <w:r>
        <w:rPr>
          <w:color w:val="231F20"/>
          <w:spacing w:val="-27"/>
          <w:w w:val="110"/>
        </w:rPr>
        <w:t> </w:t>
      </w:r>
      <w:r>
        <w:rPr>
          <w:color w:val="231F20"/>
          <w:w w:val="110"/>
        </w:rPr>
        <w:t>exige cada</w:t>
      </w:r>
      <w:r>
        <w:rPr>
          <w:color w:val="231F20"/>
          <w:spacing w:val="-15"/>
          <w:w w:val="110"/>
        </w:rPr>
        <w:t> </w:t>
      </w:r>
      <w:r>
        <w:rPr>
          <w:color w:val="231F20"/>
          <w:w w:val="110"/>
        </w:rPr>
        <w:t>vez</w:t>
      </w:r>
      <w:r>
        <w:rPr>
          <w:color w:val="231F20"/>
          <w:spacing w:val="-15"/>
          <w:w w:val="110"/>
        </w:rPr>
        <w:t> </w:t>
      </w:r>
      <w:r>
        <w:rPr>
          <w:color w:val="231F20"/>
          <w:w w:val="110"/>
        </w:rPr>
        <w:t>más</w:t>
      </w:r>
      <w:r>
        <w:rPr>
          <w:color w:val="231F20"/>
          <w:spacing w:val="-15"/>
          <w:w w:val="110"/>
        </w:rPr>
        <w:t> </w:t>
      </w:r>
      <w:r>
        <w:rPr>
          <w:color w:val="231F20"/>
          <w:w w:val="110"/>
        </w:rPr>
        <w:t>la</w:t>
      </w:r>
      <w:r>
        <w:rPr>
          <w:color w:val="231F20"/>
          <w:spacing w:val="-15"/>
          <w:w w:val="110"/>
        </w:rPr>
        <w:t> </w:t>
      </w:r>
      <w:r>
        <w:rPr>
          <w:color w:val="231F20"/>
          <w:w w:val="110"/>
        </w:rPr>
        <w:t>articulación</w:t>
      </w:r>
      <w:r>
        <w:rPr>
          <w:color w:val="231F20"/>
          <w:spacing w:val="-15"/>
          <w:w w:val="110"/>
        </w:rPr>
        <w:t> </w:t>
      </w:r>
      <w:r>
        <w:rPr>
          <w:color w:val="231F20"/>
          <w:w w:val="110"/>
        </w:rPr>
        <w:t>creciente</w:t>
      </w:r>
      <w:r>
        <w:rPr>
          <w:color w:val="231F20"/>
          <w:spacing w:val="-15"/>
          <w:w w:val="110"/>
        </w:rPr>
        <w:t> </w:t>
      </w:r>
      <w:r>
        <w:rPr>
          <w:color w:val="231F20"/>
          <w:w w:val="110"/>
        </w:rPr>
        <w:t>entre</w:t>
      </w:r>
      <w:r>
        <w:rPr>
          <w:color w:val="231F20"/>
          <w:spacing w:val="-15"/>
          <w:w w:val="110"/>
        </w:rPr>
        <w:t> </w:t>
      </w:r>
      <w:r>
        <w:rPr>
          <w:color w:val="231F20"/>
          <w:w w:val="110"/>
        </w:rPr>
        <w:t>lo</w:t>
      </w:r>
      <w:r>
        <w:rPr>
          <w:color w:val="231F20"/>
          <w:spacing w:val="-15"/>
          <w:w w:val="110"/>
        </w:rPr>
        <w:t> </w:t>
      </w:r>
      <w:r>
        <w:rPr>
          <w:color w:val="231F20"/>
          <w:w w:val="110"/>
        </w:rPr>
        <w:t>abstracto</w:t>
      </w:r>
      <w:r>
        <w:rPr>
          <w:color w:val="231F20"/>
          <w:spacing w:val="-15"/>
          <w:w w:val="110"/>
        </w:rPr>
        <w:t> </w:t>
      </w:r>
      <w:r>
        <w:rPr>
          <w:color w:val="231F20"/>
          <w:w w:val="110"/>
        </w:rPr>
        <w:t>y</w:t>
      </w:r>
      <w:r>
        <w:rPr>
          <w:color w:val="231F20"/>
          <w:spacing w:val="-15"/>
          <w:w w:val="110"/>
        </w:rPr>
        <w:t> </w:t>
      </w:r>
      <w:r>
        <w:rPr>
          <w:color w:val="231F20"/>
          <w:w w:val="110"/>
        </w:rPr>
        <w:t>lo</w:t>
      </w:r>
      <w:r>
        <w:rPr>
          <w:color w:val="231F20"/>
          <w:spacing w:val="-15"/>
          <w:w w:val="110"/>
        </w:rPr>
        <w:t> </w:t>
      </w:r>
      <w:r>
        <w:rPr>
          <w:color w:val="231F20"/>
          <w:w w:val="110"/>
        </w:rPr>
        <w:t>concreto, entre</w:t>
      </w:r>
      <w:r>
        <w:rPr>
          <w:color w:val="231F20"/>
          <w:spacing w:val="-19"/>
          <w:w w:val="110"/>
        </w:rPr>
        <w:t> </w:t>
      </w:r>
      <w:r>
        <w:rPr>
          <w:color w:val="231F20"/>
          <w:w w:val="110"/>
        </w:rPr>
        <w:t>retrospectiva</w:t>
      </w:r>
      <w:r>
        <w:rPr>
          <w:color w:val="231F20"/>
          <w:spacing w:val="-19"/>
          <w:w w:val="110"/>
        </w:rPr>
        <w:t> </w:t>
      </w:r>
      <w:r>
        <w:rPr>
          <w:color w:val="231F20"/>
          <w:w w:val="110"/>
        </w:rPr>
        <w:t>y</w:t>
      </w:r>
      <w:r>
        <w:rPr>
          <w:color w:val="231F20"/>
          <w:spacing w:val="-19"/>
          <w:w w:val="110"/>
        </w:rPr>
        <w:t> </w:t>
      </w:r>
      <w:r>
        <w:rPr>
          <w:color w:val="231F20"/>
          <w:w w:val="110"/>
        </w:rPr>
        <w:t>prospectiva,</w:t>
      </w:r>
      <w:r>
        <w:rPr>
          <w:color w:val="231F20"/>
          <w:spacing w:val="-19"/>
          <w:w w:val="110"/>
        </w:rPr>
        <w:t> </w:t>
      </w:r>
      <w:r>
        <w:rPr>
          <w:color w:val="231F20"/>
          <w:w w:val="110"/>
        </w:rPr>
        <w:t>para</w:t>
      </w:r>
      <w:r>
        <w:rPr>
          <w:color w:val="231F20"/>
          <w:spacing w:val="-19"/>
          <w:w w:val="110"/>
        </w:rPr>
        <w:t> </w:t>
      </w:r>
      <w:r>
        <w:rPr>
          <w:color w:val="231F20"/>
          <w:w w:val="110"/>
        </w:rPr>
        <w:t>teorizar</w:t>
      </w:r>
      <w:r>
        <w:rPr>
          <w:color w:val="231F20"/>
          <w:spacing w:val="-19"/>
          <w:w w:val="110"/>
        </w:rPr>
        <w:t> </w:t>
      </w:r>
      <w:r>
        <w:rPr>
          <w:color w:val="231F20"/>
          <w:w w:val="110"/>
        </w:rPr>
        <w:t>la</w:t>
      </w:r>
      <w:r>
        <w:rPr>
          <w:color w:val="231F20"/>
          <w:spacing w:val="-19"/>
          <w:w w:val="110"/>
        </w:rPr>
        <w:t> </w:t>
      </w:r>
      <w:r>
        <w:rPr>
          <w:color w:val="231F20"/>
          <w:w w:val="110"/>
        </w:rPr>
        <w:t>historia</w:t>
      </w:r>
      <w:r>
        <w:rPr>
          <w:color w:val="231F20"/>
          <w:spacing w:val="-19"/>
          <w:w w:val="110"/>
        </w:rPr>
        <w:t> </w:t>
      </w:r>
      <w:r>
        <w:rPr>
          <w:color w:val="231F20"/>
          <w:w w:val="110"/>
        </w:rPr>
        <w:t>como</w:t>
      </w:r>
      <w:r>
        <w:rPr>
          <w:color w:val="231F20"/>
          <w:spacing w:val="-19"/>
          <w:w w:val="110"/>
        </w:rPr>
        <w:t> </w:t>
      </w:r>
      <w:r>
        <w:rPr>
          <w:color w:val="231F20"/>
          <w:w w:val="110"/>
        </w:rPr>
        <w:t>flujo</w:t>
      </w:r>
      <w:r>
        <w:rPr>
          <w:color w:val="231F20"/>
          <w:spacing w:val="-19"/>
          <w:w w:val="110"/>
        </w:rPr>
        <w:t> </w:t>
      </w:r>
      <w:r>
        <w:rPr>
          <w:color w:val="231F20"/>
          <w:w w:val="110"/>
        </w:rPr>
        <w:t>y como estructura,</w:t>
      </w:r>
      <w:r>
        <w:rPr>
          <w:color w:val="231F20"/>
          <w:spacing w:val="-27"/>
          <w:w w:val="110"/>
        </w:rPr>
        <w:t> </w:t>
      </w:r>
      <w:r>
        <w:rPr>
          <w:color w:val="231F20"/>
          <w:w w:val="110"/>
        </w:rPr>
        <w:t>simultáneamente.</w:t>
      </w:r>
    </w:p>
    <w:p>
      <w:pPr>
        <w:pStyle w:val="BodyText"/>
        <w:rPr>
          <w:sz w:val="15"/>
        </w:rPr>
      </w:pPr>
    </w:p>
    <w:p>
      <w:pPr>
        <w:pStyle w:val="BodyText"/>
        <w:spacing w:before="67"/>
        <w:ind w:left="113" w:right="132"/>
        <w:jc w:val="center"/>
      </w:pPr>
      <w:r>
        <w:rPr>
          <w:color w:val="231F20"/>
          <w:w w:val="120"/>
        </w:rPr>
        <w:t>[61]</w:t>
      </w:r>
    </w:p>
    <w:p>
      <w:pPr>
        <w:spacing w:after="0"/>
        <w:jc w:val="center"/>
        <w:sectPr>
          <w:headerReference w:type="default" r:id="rId67"/>
          <w:pgSz w:w="7640" w:h="11900"/>
          <w:pgMar w:header="0" w:footer="0" w:top="1000" w:bottom="280" w:left="660" w:right="760"/>
        </w:sectPr>
      </w:pPr>
    </w:p>
    <w:p>
      <w:pPr>
        <w:pStyle w:val="BodyText"/>
        <w:spacing w:before="8"/>
        <w:rPr>
          <w:sz w:val="8"/>
        </w:rPr>
      </w:pPr>
    </w:p>
    <w:p>
      <w:pPr>
        <w:pStyle w:val="BodyText"/>
        <w:spacing w:line="261" w:lineRule="auto" w:before="67"/>
        <w:ind w:left="100" w:right="119" w:firstLine="240"/>
        <w:jc w:val="both"/>
      </w:pPr>
      <w:r>
        <w:rPr>
          <w:color w:val="231F20"/>
          <w:w w:val="105"/>
        </w:rPr>
        <w:t>Esta perspectiva ha sido particularmente desarrollada en las cien- cias sociales por el amplio movimiento que busca aproximar </w:t>
      </w:r>
      <w:r>
        <w:rPr>
          <w:color w:val="231F20"/>
          <w:spacing w:val="2"/>
          <w:w w:val="105"/>
        </w:rPr>
        <w:t>las </w:t>
      </w:r>
      <w:r>
        <w:rPr>
          <w:color w:val="231F20"/>
          <w:w w:val="105"/>
        </w:rPr>
        <w:t>corrientes del pensamiento braudeliano y marxista y encuentra su expresión más avanzada en el desarrollo de una teoría del sistema mundial. Para ello, concurren los análisis del sistema mundo, desa- rrollados en especial por Immanuel Wallerstein y Giovanni Arrighi;  las contribuciones de la teoría marxista de la dependencia, elabora-  das principalmente por Theotonio dos Santos y Ruy Mauro Marini, pensadas por los autores como la etapa inicial de la construcción de  una teoría del sistema mundial; las teorías de la revolución científico- técnica, inspiradas fuertemente en los </w:t>
      </w:r>
      <w:r>
        <w:rPr>
          <w:i/>
          <w:color w:val="231F20"/>
          <w:w w:val="105"/>
        </w:rPr>
        <w:t>Grundrisse </w:t>
      </w:r>
      <w:r>
        <w:rPr>
          <w:color w:val="231F20"/>
          <w:w w:val="105"/>
        </w:rPr>
        <w:t>o en </w:t>
      </w:r>
      <w:r>
        <w:rPr>
          <w:i/>
          <w:color w:val="231F20"/>
          <w:w w:val="105"/>
        </w:rPr>
        <w:t>El capital</w:t>
      </w:r>
      <w:r>
        <w:rPr>
          <w:color w:val="231F20"/>
          <w:w w:val="105"/>
        </w:rPr>
        <w:t>; y las teorías de los ciclos </w:t>
      </w:r>
      <w:r>
        <w:rPr>
          <w:color w:val="231F20"/>
          <w:spacing w:val="1"/>
          <w:w w:val="105"/>
        </w:rPr>
        <w:t> </w:t>
      </w:r>
      <w:r>
        <w:rPr>
          <w:color w:val="231F20"/>
          <w:w w:val="105"/>
        </w:rPr>
        <w:t>largos.</w:t>
      </w:r>
    </w:p>
    <w:p>
      <w:pPr>
        <w:pStyle w:val="BodyText"/>
        <w:spacing w:line="261" w:lineRule="auto"/>
        <w:ind w:left="100" w:right="114" w:firstLine="240"/>
        <w:jc w:val="right"/>
      </w:pPr>
      <w:r>
        <w:rPr>
          <w:color w:val="231F20"/>
          <w:w w:val="105"/>
        </w:rPr>
        <w:t>La obra de Fernand Braudel constituye una</w:t>
      </w:r>
      <w:r>
        <w:rPr>
          <w:color w:val="231F20"/>
          <w:spacing w:val="36"/>
          <w:w w:val="105"/>
        </w:rPr>
        <w:t> </w:t>
      </w:r>
      <w:r>
        <w:rPr>
          <w:color w:val="231F20"/>
          <w:w w:val="105"/>
        </w:rPr>
        <w:t>referencia</w:t>
      </w:r>
      <w:r>
        <w:rPr>
          <w:color w:val="231F20"/>
          <w:spacing w:val="50"/>
          <w:w w:val="105"/>
        </w:rPr>
        <w:t> </w:t>
      </w:r>
      <w:r>
        <w:rPr>
          <w:color w:val="231F20"/>
          <w:w w:val="105"/>
        </w:rPr>
        <w:t>indispen-</w:t>
      </w:r>
      <w:r>
        <w:rPr>
          <w:color w:val="231F20"/>
          <w:w w:val="72"/>
        </w:rPr>
        <w:t> </w:t>
      </w:r>
      <w:r>
        <w:rPr>
          <w:color w:val="231F20"/>
          <w:w w:val="105"/>
        </w:rPr>
        <w:t>sable para  la  construcción  de  conceptos  de  larga</w:t>
      </w:r>
      <w:r>
        <w:rPr>
          <w:color w:val="231F20"/>
          <w:spacing w:val="29"/>
          <w:w w:val="105"/>
        </w:rPr>
        <w:t> </w:t>
      </w:r>
      <w:r>
        <w:rPr>
          <w:color w:val="231F20"/>
          <w:w w:val="105"/>
        </w:rPr>
        <w:t>duración.</w:t>
      </w:r>
      <w:r>
        <w:rPr>
          <w:color w:val="231F20"/>
          <w:spacing w:val="49"/>
          <w:w w:val="105"/>
        </w:rPr>
        <w:t> </w:t>
      </w:r>
      <w:r>
        <w:rPr>
          <w:color w:val="231F20"/>
          <w:w w:val="105"/>
        </w:rPr>
        <w:t>Apunta</w:t>
      </w:r>
      <w:r>
        <w:rPr>
          <w:color w:val="231F20"/>
          <w:w w:val="109"/>
        </w:rPr>
        <w:t> </w:t>
      </w:r>
      <w:r>
        <w:rPr>
          <w:color w:val="231F20"/>
          <w:w w:val="105"/>
        </w:rPr>
        <w:t>a la existencia de múltiples dimensiones del</w:t>
      </w:r>
      <w:r>
        <w:rPr>
          <w:color w:val="231F20"/>
          <w:spacing w:val="33"/>
          <w:w w:val="105"/>
        </w:rPr>
        <w:t> </w:t>
      </w:r>
      <w:r>
        <w:rPr>
          <w:color w:val="231F20"/>
          <w:w w:val="105"/>
        </w:rPr>
        <w:t>tiempo,</w:t>
      </w:r>
      <w:r>
        <w:rPr>
          <w:color w:val="231F20"/>
          <w:spacing w:val="49"/>
          <w:w w:val="105"/>
        </w:rPr>
        <w:t> </w:t>
      </w:r>
      <w:r>
        <w:rPr>
          <w:color w:val="231F20"/>
          <w:w w:val="105"/>
        </w:rPr>
        <w:t>diferenciadas,</w:t>
      </w:r>
      <w:r>
        <w:rPr>
          <w:color w:val="231F20"/>
          <w:w w:val="108"/>
        </w:rPr>
        <w:t> </w:t>
      </w:r>
      <w:r>
        <w:rPr>
          <w:color w:val="231F20"/>
          <w:spacing w:val="2"/>
          <w:w w:val="105"/>
        </w:rPr>
        <w:t>simultáneas </w:t>
      </w:r>
      <w:r>
        <w:rPr>
          <w:color w:val="231F20"/>
          <w:w w:val="105"/>
        </w:rPr>
        <w:t>y </w:t>
      </w:r>
      <w:r>
        <w:rPr>
          <w:color w:val="231F20"/>
          <w:spacing w:val="2"/>
          <w:w w:val="105"/>
        </w:rPr>
        <w:t>articuladas, </w:t>
      </w:r>
      <w:r>
        <w:rPr>
          <w:color w:val="231F20"/>
          <w:w w:val="105"/>
        </w:rPr>
        <w:t>que se </w:t>
      </w:r>
      <w:r>
        <w:rPr>
          <w:color w:val="231F20"/>
          <w:spacing w:val="2"/>
          <w:w w:val="105"/>
        </w:rPr>
        <w:t>condicionan</w:t>
      </w:r>
      <w:r>
        <w:rPr>
          <w:color w:val="231F20"/>
          <w:spacing w:val="37"/>
          <w:w w:val="105"/>
        </w:rPr>
        <w:t> </w:t>
      </w:r>
      <w:r>
        <w:rPr>
          <w:color w:val="231F20"/>
          <w:spacing w:val="2"/>
          <w:w w:val="105"/>
        </w:rPr>
        <w:t>recíprocamente</w:t>
      </w:r>
      <w:r>
        <w:rPr>
          <w:color w:val="231F20"/>
          <w:spacing w:val="24"/>
          <w:w w:val="105"/>
        </w:rPr>
        <w:t> </w:t>
      </w:r>
      <w:r>
        <w:rPr>
          <w:color w:val="231F20"/>
          <w:w w:val="105"/>
        </w:rPr>
        <w:t>y</w:t>
      </w:r>
      <w:r>
        <w:rPr>
          <w:color w:val="231F20"/>
          <w:w w:val="84"/>
        </w:rPr>
        <w:t> </w:t>
      </w:r>
      <w:r>
        <w:rPr>
          <w:color w:val="231F20"/>
          <w:w w:val="105"/>
        </w:rPr>
        <w:t>configuran un movimiento dialéctico de  desplazamiento:  son </w:t>
      </w:r>
      <w:r>
        <w:rPr>
          <w:color w:val="231F20"/>
          <w:spacing w:val="4"/>
          <w:w w:val="105"/>
        </w:rPr>
        <w:t> </w:t>
      </w:r>
      <w:r>
        <w:rPr>
          <w:color w:val="231F20"/>
          <w:w w:val="105"/>
        </w:rPr>
        <w:t>la  de</w:t>
      </w:r>
      <w:r>
        <w:rPr>
          <w:color w:val="231F20"/>
          <w:w w:val="114"/>
        </w:rPr>
        <w:t> </w:t>
      </w:r>
      <w:r>
        <w:rPr>
          <w:color w:val="231F20"/>
          <w:w w:val="105"/>
        </w:rPr>
        <w:t>las</w:t>
      </w:r>
      <w:r>
        <w:rPr>
          <w:color w:val="231F20"/>
          <w:spacing w:val="35"/>
          <w:w w:val="105"/>
        </w:rPr>
        <w:t> </w:t>
      </w:r>
      <w:r>
        <w:rPr>
          <w:color w:val="231F20"/>
          <w:w w:val="105"/>
        </w:rPr>
        <w:t>estructuras,</w:t>
      </w:r>
      <w:r>
        <w:rPr>
          <w:color w:val="231F20"/>
          <w:spacing w:val="35"/>
          <w:w w:val="105"/>
        </w:rPr>
        <w:t> </w:t>
      </w:r>
      <w:r>
        <w:rPr>
          <w:color w:val="231F20"/>
          <w:w w:val="105"/>
        </w:rPr>
        <w:t>coyunturas</w:t>
      </w:r>
      <w:r>
        <w:rPr>
          <w:color w:val="231F20"/>
          <w:spacing w:val="35"/>
          <w:w w:val="105"/>
        </w:rPr>
        <w:t> </w:t>
      </w:r>
      <w:r>
        <w:rPr>
          <w:color w:val="231F20"/>
          <w:w w:val="105"/>
        </w:rPr>
        <w:t>y</w:t>
      </w:r>
      <w:r>
        <w:rPr>
          <w:color w:val="231F20"/>
          <w:spacing w:val="35"/>
          <w:w w:val="105"/>
        </w:rPr>
        <w:t> </w:t>
      </w:r>
      <w:r>
        <w:rPr>
          <w:color w:val="231F20"/>
          <w:w w:val="105"/>
        </w:rPr>
        <w:t>de</w:t>
      </w:r>
      <w:r>
        <w:rPr>
          <w:color w:val="231F20"/>
          <w:spacing w:val="35"/>
          <w:w w:val="105"/>
        </w:rPr>
        <w:t> </w:t>
      </w:r>
      <w:r>
        <w:rPr>
          <w:color w:val="231F20"/>
          <w:w w:val="105"/>
        </w:rPr>
        <w:t>lo</w:t>
      </w:r>
      <w:r>
        <w:rPr>
          <w:color w:val="231F20"/>
          <w:spacing w:val="35"/>
          <w:w w:val="105"/>
        </w:rPr>
        <w:t> </w:t>
      </w:r>
      <w:r>
        <w:rPr>
          <w:color w:val="231F20"/>
          <w:w w:val="105"/>
        </w:rPr>
        <w:t>cotidiano.</w:t>
      </w:r>
      <w:r>
        <w:rPr>
          <w:color w:val="231F20"/>
          <w:spacing w:val="35"/>
          <w:w w:val="105"/>
        </w:rPr>
        <w:t> </w:t>
      </w:r>
      <w:r>
        <w:rPr>
          <w:color w:val="231F20"/>
          <w:w w:val="105"/>
        </w:rPr>
        <w:t>Las</w:t>
      </w:r>
      <w:r>
        <w:rPr>
          <w:color w:val="231F20"/>
          <w:spacing w:val="35"/>
          <w:w w:val="105"/>
        </w:rPr>
        <w:t> </w:t>
      </w:r>
      <w:r>
        <w:rPr>
          <w:color w:val="231F20"/>
          <w:w w:val="105"/>
        </w:rPr>
        <w:t>estructuras</w:t>
      </w:r>
      <w:r>
        <w:rPr>
          <w:color w:val="231F20"/>
          <w:spacing w:val="35"/>
          <w:w w:val="105"/>
        </w:rPr>
        <w:t> </w:t>
      </w:r>
      <w:r>
        <w:rPr>
          <w:color w:val="231F20"/>
          <w:w w:val="105"/>
        </w:rPr>
        <w:t>consti-</w:t>
      </w:r>
      <w:r>
        <w:rPr>
          <w:color w:val="231F20"/>
          <w:w w:val="72"/>
        </w:rPr>
        <w:t> </w:t>
      </w:r>
      <w:r>
        <w:rPr>
          <w:color w:val="231F20"/>
          <w:w w:val="105"/>
        </w:rPr>
        <w:t>tuyeron</w:t>
      </w:r>
      <w:r>
        <w:rPr>
          <w:color w:val="231F20"/>
          <w:spacing w:val="30"/>
          <w:w w:val="105"/>
        </w:rPr>
        <w:t> </w:t>
      </w:r>
      <w:r>
        <w:rPr>
          <w:color w:val="231F20"/>
          <w:w w:val="105"/>
        </w:rPr>
        <w:t>las</w:t>
      </w:r>
      <w:r>
        <w:rPr>
          <w:color w:val="231F20"/>
          <w:spacing w:val="30"/>
          <w:w w:val="105"/>
        </w:rPr>
        <w:t> </w:t>
      </w:r>
      <w:r>
        <w:rPr>
          <w:color w:val="231F20"/>
          <w:w w:val="105"/>
        </w:rPr>
        <w:t>cárceles</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larga</w:t>
      </w:r>
      <w:r>
        <w:rPr>
          <w:color w:val="231F20"/>
          <w:spacing w:val="30"/>
          <w:w w:val="105"/>
        </w:rPr>
        <w:t> </w:t>
      </w:r>
      <w:r>
        <w:rPr>
          <w:color w:val="231F20"/>
          <w:w w:val="105"/>
        </w:rPr>
        <w:t>duración</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moverían</w:t>
      </w:r>
      <w:r>
        <w:rPr>
          <w:color w:val="231F20"/>
          <w:spacing w:val="30"/>
          <w:w w:val="105"/>
        </w:rPr>
        <w:t> </w:t>
      </w:r>
      <w:r>
        <w:rPr>
          <w:color w:val="231F20"/>
          <w:w w:val="105"/>
        </w:rPr>
        <w:t>lentamen-</w:t>
      </w:r>
      <w:r>
        <w:rPr>
          <w:color w:val="231F20"/>
          <w:w w:val="72"/>
        </w:rPr>
        <w:t> </w:t>
      </w:r>
      <w:r>
        <w:rPr>
          <w:color w:val="231F20"/>
          <w:w w:val="105"/>
        </w:rPr>
        <w:t>te, desgastándose y condicionando las posibilidades del</w:t>
      </w:r>
      <w:r>
        <w:rPr>
          <w:color w:val="231F20"/>
          <w:spacing w:val="15"/>
          <w:w w:val="105"/>
        </w:rPr>
        <w:t> </w:t>
      </w:r>
      <w:r>
        <w:rPr>
          <w:color w:val="231F20"/>
          <w:spacing w:val="-3"/>
          <w:w w:val="105"/>
        </w:rPr>
        <w:t>existir. </w:t>
      </w:r>
      <w:r>
        <w:rPr>
          <w:color w:val="231F20"/>
          <w:w w:val="105"/>
        </w:rPr>
        <w:t>Las</w:t>
      </w:r>
      <w:r>
        <w:rPr>
          <w:color w:val="231F20"/>
          <w:w w:val="101"/>
        </w:rPr>
        <w:t> </w:t>
      </w:r>
      <w:r>
        <w:rPr>
          <w:color w:val="231F20"/>
          <w:w w:val="105"/>
        </w:rPr>
        <w:t>coyunturas serían inflexiones cíclicas que afectarían a</w:t>
      </w:r>
      <w:r>
        <w:rPr>
          <w:color w:val="231F20"/>
          <w:spacing w:val="-9"/>
          <w:w w:val="105"/>
        </w:rPr>
        <w:t> </w:t>
      </w:r>
      <w:r>
        <w:rPr>
          <w:color w:val="231F20"/>
          <w:w w:val="105"/>
        </w:rPr>
        <w:t>las</w:t>
      </w:r>
      <w:r>
        <w:rPr>
          <w:color w:val="231F20"/>
          <w:spacing w:val="43"/>
          <w:w w:val="105"/>
        </w:rPr>
        <w:t> </w:t>
      </w:r>
      <w:r>
        <w:rPr>
          <w:color w:val="231F20"/>
          <w:w w:val="105"/>
        </w:rPr>
        <w:t>primeras,</w:t>
      </w:r>
      <w:r>
        <w:rPr>
          <w:color w:val="231F20"/>
          <w:w w:val="109"/>
        </w:rPr>
        <w:t> </w:t>
      </w:r>
      <w:r>
        <w:rPr>
          <w:color w:val="231F20"/>
          <w:w w:val="105"/>
        </w:rPr>
        <w:t>incorporándose a su movimiento de desarrollo y desgaste.</w:t>
      </w:r>
      <w:r>
        <w:rPr>
          <w:color w:val="231F20"/>
          <w:spacing w:val="48"/>
          <w:w w:val="105"/>
        </w:rPr>
        <w:t> </w:t>
      </w:r>
      <w:r>
        <w:rPr>
          <w:color w:val="231F20"/>
        </w:rPr>
        <w:t>Y </w:t>
      </w:r>
      <w:r>
        <w:rPr>
          <w:color w:val="231F20"/>
          <w:w w:val="105"/>
        </w:rPr>
        <w:t>lo</w:t>
      </w:r>
      <w:r>
        <w:rPr>
          <w:color w:val="231F20"/>
          <w:spacing w:val="28"/>
          <w:w w:val="105"/>
        </w:rPr>
        <w:t> </w:t>
      </w:r>
      <w:r>
        <w:rPr>
          <w:color w:val="231F20"/>
          <w:w w:val="105"/>
        </w:rPr>
        <w:t>coti-</w:t>
      </w:r>
      <w:r>
        <w:rPr>
          <w:color w:val="231F20"/>
          <w:w w:val="72"/>
        </w:rPr>
        <w:t> </w:t>
      </w:r>
      <w:r>
        <w:rPr>
          <w:color w:val="231F20"/>
          <w:w w:val="105"/>
        </w:rPr>
        <w:t>diano,</w:t>
      </w:r>
      <w:r>
        <w:rPr>
          <w:color w:val="231F20"/>
          <w:spacing w:val="32"/>
          <w:w w:val="105"/>
        </w:rPr>
        <w:t> </w:t>
      </w:r>
      <w:r>
        <w:rPr>
          <w:color w:val="231F20"/>
          <w:w w:val="105"/>
        </w:rPr>
        <w:t>inscrito</w:t>
      </w:r>
      <w:r>
        <w:rPr>
          <w:color w:val="231F20"/>
          <w:spacing w:val="32"/>
          <w:w w:val="105"/>
        </w:rPr>
        <w:t> </w:t>
      </w:r>
      <w:r>
        <w:rPr>
          <w:color w:val="231F20"/>
          <w:w w:val="105"/>
        </w:rPr>
        <w:t>en</w:t>
      </w:r>
      <w:r>
        <w:rPr>
          <w:color w:val="231F20"/>
          <w:spacing w:val="32"/>
          <w:w w:val="105"/>
        </w:rPr>
        <w:t> </w:t>
      </w:r>
      <w:r>
        <w:rPr>
          <w:color w:val="231F20"/>
          <w:w w:val="105"/>
        </w:rPr>
        <w:t>los</w:t>
      </w:r>
      <w:r>
        <w:rPr>
          <w:color w:val="231F20"/>
          <w:spacing w:val="32"/>
          <w:w w:val="105"/>
        </w:rPr>
        <w:t> </w:t>
      </w:r>
      <w:r>
        <w:rPr>
          <w:color w:val="231F20"/>
          <w:w w:val="105"/>
        </w:rPr>
        <w:t>marcos</w:t>
      </w:r>
      <w:r>
        <w:rPr>
          <w:color w:val="231F20"/>
          <w:spacing w:val="32"/>
          <w:w w:val="105"/>
        </w:rPr>
        <w:t> </w:t>
      </w:r>
      <w:r>
        <w:rPr>
          <w:color w:val="231F20"/>
          <w:w w:val="105"/>
        </w:rPr>
        <w:t>generales</w:t>
      </w:r>
      <w:r>
        <w:rPr>
          <w:color w:val="231F20"/>
          <w:spacing w:val="32"/>
          <w:w w:val="105"/>
        </w:rPr>
        <w:t> </w:t>
      </w:r>
      <w:r>
        <w:rPr>
          <w:color w:val="231F20"/>
          <w:w w:val="105"/>
        </w:rPr>
        <w:t>establecido</w:t>
      </w:r>
      <w:r>
        <w:rPr>
          <w:color w:val="231F20"/>
          <w:spacing w:val="32"/>
          <w:w w:val="105"/>
        </w:rPr>
        <w:t> </w:t>
      </w:r>
      <w:r>
        <w:rPr>
          <w:color w:val="231F20"/>
          <w:w w:val="105"/>
        </w:rPr>
        <w:t>por</w:t>
      </w:r>
      <w:r>
        <w:rPr>
          <w:color w:val="231F20"/>
          <w:spacing w:val="32"/>
          <w:w w:val="105"/>
        </w:rPr>
        <w:t> </w:t>
      </w:r>
      <w:r>
        <w:rPr>
          <w:color w:val="231F20"/>
          <w:w w:val="105"/>
        </w:rPr>
        <w:t>estructuras</w:t>
      </w:r>
      <w:r>
        <w:rPr>
          <w:color w:val="231F20"/>
          <w:spacing w:val="32"/>
          <w:w w:val="105"/>
        </w:rPr>
        <w:t> </w:t>
      </w:r>
      <w:r>
        <w:rPr>
          <w:color w:val="231F20"/>
          <w:w w:val="105"/>
        </w:rPr>
        <w:t>y</w:t>
      </w:r>
      <w:r>
        <w:rPr>
          <w:color w:val="231F20"/>
          <w:w w:val="84"/>
        </w:rPr>
        <w:t> </w:t>
      </w:r>
      <w:r>
        <w:rPr>
          <w:color w:val="231F20"/>
          <w:w w:val="105"/>
        </w:rPr>
        <w:t>coyunturas, representaría la composición anárquica y</w:t>
      </w:r>
      <w:r>
        <w:rPr>
          <w:color w:val="231F20"/>
          <w:spacing w:val="12"/>
          <w:w w:val="105"/>
        </w:rPr>
        <w:t> </w:t>
      </w:r>
      <w:r>
        <w:rPr>
          <w:color w:val="231F20"/>
          <w:w w:val="105"/>
        </w:rPr>
        <w:t>altamente</w:t>
      </w:r>
      <w:r>
        <w:rPr>
          <w:color w:val="231F20"/>
          <w:spacing w:val="45"/>
          <w:w w:val="105"/>
        </w:rPr>
        <w:t> </w:t>
      </w:r>
      <w:r>
        <w:rPr>
          <w:color w:val="231F20"/>
          <w:w w:val="105"/>
        </w:rPr>
        <w:t>im-</w:t>
      </w:r>
      <w:r>
        <w:rPr>
          <w:color w:val="231F20"/>
          <w:w w:val="72"/>
        </w:rPr>
        <w:t> </w:t>
      </w:r>
      <w:r>
        <w:rPr>
          <w:color w:val="231F20"/>
          <w:w w:val="105"/>
        </w:rPr>
        <w:t>previsible del día a día que interactúa con las</w:t>
      </w:r>
      <w:r>
        <w:rPr>
          <w:color w:val="231F20"/>
          <w:spacing w:val="3"/>
          <w:w w:val="105"/>
        </w:rPr>
        <w:t> </w:t>
      </w:r>
      <w:r>
        <w:rPr>
          <w:color w:val="231F20"/>
          <w:w w:val="105"/>
        </w:rPr>
        <w:t>dimensiones</w:t>
      </w:r>
      <w:r>
        <w:rPr>
          <w:color w:val="231F20"/>
          <w:spacing w:val="17"/>
          <w:w w:val="105"/>
        </w:rPr>
        <w:t> </w:t>
      </w:r>
      <w:r>
        <w:rPr>
          <w:color w:val="231F20"/>
          <w:w w:val="105"/>
        </w:rPr>
        <w:t>anteriores.</w:t>
      </w:r>
      <w:r>
        <w:rPr>
          <w:color w:val="231F20"/>
          <w:w w:val="111"/>
        </w:rPr>
        <w:t> </w:t>
      </w:r>
      <w:r>
        <w:rPr>
          <w:color w:val="231F20"/>
          <w:w w:val="105"/>
        </w:rPr>
        <w:t>Este enfoque fue ampliamente desarrollado por</w:t>
      </w:r>
      <w:r>
        <w:rPr>
          <w:color w:val="231F20"/>
          <w:spacing w:val="39"/>
          <w:w w:val="105"/>
        </w:rPr>
        <w:t> </w:t>
      </w:r>
      <w:r>
        <w:rPr>
          <w:color w:val="231F20"/>
          <w:w w:val="105"/>
        </w:rPr>
        <w:t>Immanuel</w:t>
      </w:r>
      <w:r>
        <w:rPr>
          <w:color w:val="231F20"/>
          <w:spacing w:val="15"/>
          <w:w w:val="105"/>
        </w:rPr>
        <w:t> </w:t>
      </w:r>
      <w:r>
        <w:rPr>
          <w:color w:val="231F20"/>
          <w:spacing w:val="-3"/>
          <w:w w:val="105"/>
        </w:rPr>
        <w:t>Wa-</w:t>
      </w:r>
      <w:r>
        <w:rPr>
          <w:color w:val="231F20"/>
          <w:w w:val="72"/>
        </w:rPr>
        <w:t> </w:t>
      </w:r>
      <w:r>
        <w:rPr>
          <w:color w:val="231F20"/>
          <w:w w:val="105"/>
        </w:rPr>
        <w:t>llerstein y Giovanni Arrighi, en el Fernand Braudel</w:t>
      </w:r>
      <w:r>
        <w:rPr>
          <w:color w:val="231F20"/>
          <w:spacing w:val="21"/>
          <w:w w:val="105"/>
        </w:rPr>
        <w:t> </w:t>
      </w:r>
      <w:r>
        <w:rPr>
          <w:color w:val="231F20"/>
          <w:spacing w:val="-3"/>
          <w:w w:val="105"/>
        </w:rPr>
        <w:t>Center.</w:t>
      </w:r>
      <w:r>
        <w:rPr>
          <w:color w:val="231F20"/>
          <w:spacing w:val="15"/>
          <w:w w:val="105"/>
        </w:rPr>
        <w:t> </w:t>
      </w:r>
      <w:r>
        <w:rPr>
          <w:color w:val="231F20"/>
          <w:w w:val="105"/>
        </w:rPr>
        <w:t>Immanuel</w:t>
      </w:r>
      <w:r>
        <w:rPr>
          <w:color w:val="231F20"/>
          <w:w w:val="111"/>
        </w:rPr>
        <w:t> </w:t>
      </w:r>
      <w:r>
        <w:rPr>
          <w:color w:val="231F20"/>
          <w:w w:val="105"/>
        </w:rPr>
        <w:t>Wallerstein</w:t>
      </w:r>
      <w:r>
        <w:rPr>
          <w:color w:val="231F20"/>
          <w:spacing w:val="42"/>
          <w:w w:val="105"/>
        </w:rPr>
        <w:t> </w:t>
      </w:r>
      <w:r>
        <w:rPr>
          <w:color w:val="231F20"/>
          <w:w w:val="105"/>
        </w:rPr>
        <w:t>(1979,</w:t>
      </w:r>
      <w:r>
        <w:rPr>
          <w:color w:val="231F20"/>
          <w:spacing w:val="42"/>
          <w:w w:val="105"/>
        </w:rPr>
        <w:t> </w:t>
      </w:r>
      <w:r>
        <w:rPr>
          <w:color w:val="231F20"/>
          <w:w w:val="105"/>
        </w:rPr>
        <w:t>1984</w:t>
      </w:r>
      <w:r>
        <w:rPr>
          <w:color w:val="231F20"/>
          <w:spacing w:val="42"/>
          <w:w w:val="105"/>
        </w:rPr>
        <w:t> </w:t>
      </w:r>
      <w:r>
        <w:rPr>
          <w:color w:val="231F20"/>
          <w:w w:val="105"/>
        </w:rPr>
        <w:t>y</w:t>
      </w:r>
      <w:r>
        <w:rPr>
          <w:color w:val="231F20"/>
          <w:spacing w:val="42"/>
          <w:w w:val="105"/>
        </w:rPr>
        <w:t> </w:t>
      </w:r>
      <w:r>
        <w:rPr>
          <w:color w:val="231F20"/>
          <w:w w:val="105"/>
        </w:rPr>
        <w:t>1998)</w:t>
      </w:r>
      <w:r>
        <w:rPr>
          <w:color w:val="231F20"/>
          <w:spacing w:val="42"/>
          <w:w w:val="105"/>
        </w:rPr>
        <w:t> </w:t>
      </w:r>
      <w:r>
        <w:rPr>
          <w:color w:val="231F20"/>
          <w:w w:val="105"/>
        </w:rPr>
        <w:t>designó,</w:t>
      </w:r>
      <w:r>
        <w:rPr>
          <w:color w:val="231F20"/>
          <w:spacing w:val="42"/>
          <w:w w:val="105"/>
        </w:rPr>
        <w:t> </w:t>
      </w:r>
      <w:r>
        <w:rPr>
          <w:color w:val="231F20"/>
          <w:w w:val="105"/>
        </w:rPr>
        <w:t>a</w:t>
      </w:r>
      <w:r>
        <w:rPr>
          <w:color w:val="231F20"/>
          <w:spacing w:val="42"/>
          <w:w w:val="105"/>
        </w:rPr>
        <w:t> </w:t>
      </w:r>
      <w:r>
        <w:rPr>
          <w:color w:val="231F20"/>
          <w:w w:val="105"/>
        </w:rPr>
        <w:t>través</w:t>
      </w:r>
      <w:r>
        <w:rPr>
          <w:color w:val="231F20"/>
          <w:spacing w:val="42"/>
          <w:w w:val="105"/>
        </w:rPr>
        <w:t> </w:t>
      </w:r>
      <w:r>
        <w:rPr>
          <w:color w:val="231F20"/>
          <w:w w:val="105"/>
        </w:rPr>
        <w:t>del</w:t>
      </w:r>
      <w:r>
        <w:rPr>
          <w:color w:val="231F20"/>
          <w:spacing w:val="42"/>
          <w:w w:val="105"/>
        </w:rPr>
        <w:t> </w:t>
      </w:r>
      <w:r>
        <w:rPr>
          <w:color w:val="231F20"/>
          <w:w w:val="105"/>
        </w:rPr>
        <w:t>concepto</w:t>
      </w:r>
      <w:r>
        <w:rPr>
          <w:color w:val="231F20"/>
          <w:spacing w:val="42"/>
          <w:w w:val="105"/>
        </w:rPr>
        <w:t> </w:t>
      </w:r>
      <w:r>
        <w:rPr>
          <w:color w:val="231F20"/>
          <w:w w:val="105"/>
        </w:rPr>
        <w:t>de</w:t>
      </w:r>
      <w:r>
        <w:rPr>
          <w:color w:val="231F20"/>
          <w:w w:val="114"/>
        </w:rPr>
        <w:t> </w:t>
      </w:r>
      <w:r>
        <w:rPr>
          <w:color w:val="231F20"/>
          <w:w w:val="105"/>
        </w:rPr>
        <w:t>moderno</w:t>
      </w:r>
      <w:r>
        <w:rPr>
          <w:color w:val="231F20"/>
          <w:spacing w:val="36"/>
          <w:w w:val="105"/>
        </w:rPr>
        <w:t> </w:t>
      </w:r>
      <w:r>
        <w:rPr>
          <w:color w:val="231F20"/>
          <w:w w:val="105"/>
        </w:rPr>
        <w:t>sistema</w:t>
      </w:r>
      <w:r>
        <w:rPr>
          <w:color w:val="231F20"/>
          <w:spacing w:val="36"/>
          <w:w w:val="105"/>
        </w:rPr>
        <w:t> </w:t>
      </w:r>
      <w:r>
        <w:rPr>
          <w:color w:val="231F20"/>
          <w:w w:val="105"/>
        </w:rPr>
        <w:t>mundial,</w:t>
      </w:r>
      <w:r>
        <w:rPr>
          <w:color w:val="231F20"/>
          <w:spacing w:val="36"/>
          <w:w w:val="105"/>
        </w:rPr>
        <w:t> </w:t>
      </w:r>
      <w:r>
        <w:rPr>
          <w:color w:val="231F20"/>
          <w:w w:val="105"/>
        </w:rPr>
        <w:t>la</w:t>
      </w:r>
      <w:r>
        <w:rPr>
          <w:color w:val="231F20"/>
          <w:spacing w:val="36"/>
          <w:w w:val="105"/>
        </w:rPr>
        <w:t> </w:t>
      </w:r>
      <w:r>
        <w:rPr>
          <w:color w:val="231F20"/>
          <w:w w:val="105"/>
        </w:rPr>
        <w:t>estructura</w:t>
      </w:r>
      <w:r>
        <w:rPr>
          <w:color w:val="231F20"/>
          <w:spacing w:val="36"/>
          <w:w w:val="105"/>
        </w:rPr>
        <w:t> </w:t>
      </w:r>
      <w:r>
        <w:rPr>
          <w:color w:val="231F20"/>
          <w:w w:val="105"/>
        </w:rPr>
        <w:t>de</w:t>
      </w:r>
      <w:r>
        <w:rPr>
          <w:color w:val="231F20"/>
          <w:spacing w:val="36"/>
          <w:w w:val="105"/>
        </w:rPr>
        <w:t> </w:t>
      </w:r>
      <w:r>
        <w:rPr>
          <w:color w:val="231F20"/>
          <w:w w:val="105"/>
        </w:rPr>
        <w:t>lo</w:t>
      </w:r>
      <w:r>
        <w:rPr>
          <w:color w:val="231F20"/>
          <w:spacing w:val="36"/>
          <w:w w:val="105"/>
        </w:rPr>
        <w:t> </w:t>
      </w:r>
      <w:r>
        <w:rPr>
          <w:color w:val="231F20"/>
          <w:w w:val="105"/>
        </w:rPr>
        <w:t>que</w:t>
      </w:r>
      <w:r>
        <w:rPr>
          <w:color w:val="231F20"/>
          <w:spacing w:val="36"/>
          <w:w w:val="105"/>
        </w:rPr>
        <w:t> </w:t>
      </w:r>
      <w:r>
        <w:rPr>
          <w:color w:val="231F20"/>
          <w:w w:val="105"/>
        </w:rPr>
        <w:t>llama</w:t>
      </w:r>
      <w:r>
        <w:rPr>
          <w:color w:val="231F20"/>
          <w:spacing w:val="36"/>
          <w:w w:val="105"/>
        </w:rPr>
        <w:t> </w:t>
      </w:r>
      <w:r>
        <w:rPr>
          <w:color w:val="231F20"/>
          <w:w w:val="105"/>
        </w:rPr>
        <w:t>capitalismo</w:t>
      </w:r>
      <w:r>
        <w:rPr>
          <w:color w:val="231F20"/>
          <w:w w:val="107"/>
        </w:rPr>
        <w:t> </w:t>
      </w:r>
      <w:r>
        <w:rPr>
          <w:color w:val="231F20"/>
          <w:w w:val="105"/>
        </w:rPr>
        <w:t>histórico. El moderno sistema mundial representa</w:t>
      </w:r>
      <w:r>
        <w:rPr>
          <w:color w:val="231F20"/>
          <w:spacing w:val="51"/>
          <w:w w:val="105"/>
        </w:rPr>
        <w:t> </w:t>
      </w:r>
      <w:r>
        <w:rPr>
          <w:color w:val="231F20"/>
          <w:w w:val="105"/>
        </w:rPr>
        <w:t>la </w:t>
      </w:r>
      <w:r>
        <w:rPr>
          <w:color w:val="231F20"/>
          <w:spacing w:val="17"/>
          <w:w w:val="105"/>
        </w:rPr>
        <w:t> </w:t>
      </w:r>
      <w:r>
        <w:rPr>
          <w:color w:val="231F20"/>
          <w:w w:val="105"/>
        </w:rPr>
        <w:t>combinación</w:t>
      </w:r>
      <w:r>
        <w:rPr>
          <w:color w:val="231F20"/>
          <w:w w:val="110"/>
        </w:rPr>
        <w:t> </w:t>
      </w:r>
      <w:r>
        <w:rPr>
          <w:color w:val="231F20"/>
          <w:w w:val="105"/>
        </w:rPr>
        <w:t>entre la economía-mundo capitalista, sus flujos de capitales</w:t>
      </w:r>
      <w:r>
        <w:rPr>
          <w:color w:val="231F20"/>
          <w:spacing w:val="40"/>
          <w:w w:val="105"/>
        </w:rPr>
        <w:t> </w:t>
      </w:r>
      <w:r>
        <w:rPr>
          <w:color w:val="231F20"/>
          <w:w w:val="105"/>
        </w:rPr>
        <w:t>y</w:t>
      </w:r>
      <w:r>
        <w:rPr>
          <w:color w:val="231F20"/>
          <w:spacing w:val="11"/>
          <w:w w:val="105"/>
        </w:rPr>
        <w:t> </w:t>
      </w:r>
      <w:r>
        <w:rPr>
          <w:color w:val="231F20"/>
          <w:w w:val="105"/>
        </w:rPr>
        <w:t>mercan-</w:t>
      </w:r>
      <w:r>
        <w:rPr>
          <w:color w:val="231F20"/>
          <w:w w:val="72"/>
        </w:rPr>
        <w:t> </w:t>
      </w:r>
      <w:r>
        <w:rPr>
          <w:color w:val="231F20"/>
          <w:w w:val="105"/>
        </w:rPr>
        <w:t>cías,</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superestructura</w:t>
      </w:r>
      <w:r>
        <w:rPr>
          <w:color w:val="231F20"/>
          <w:spacing w:val="19"/>
          <w:w w:val="105"/>
        </w:rPr>
        <w:t> </w:t>
      </w:r>
      <w:r>
        <w:rPr>
          <w:color w:val="231F20"/>
          <w:w w:val="105"/>
        </w:rPr>
        <w:t>que</w:t>
      </w:r>
      <w:r>
        <w:rPr>
          <w:color w:val="231F20"/>
          <w:spacing w:val="19"/>
          <w:w w:val="105"/>
        </w:rPr>
        <w:t> </w:t>
      </w:r>
      <w:r>
        <w:rPr>
          <w:color w:val="231F20"/>
          <w:w w:val="105"/>
        </w:rPr>
        <w:t>le</w:t>
      </w:r>
      <w:r>
        <w:rPr>
          <w:color w:val="231F20"/>
          <w:spacing w:val="19"/>
          <w:w w:val="105"/>
        </w:rPr>
        <w:t> </w:t>
      </w:r>
      <w:r>
        <w:rPr>
          <w:color w:val="231F20"/>
          <w:w w:val="105"/>
        </w:rPr>
        <w:t>permite</w:t>
      </w:r>
      <w:r>
        <w:rPr>
          <w:color w:val="231F20"/>
          <w:spacing w:val="19"/>
          <w:w w:val="105"/>
        </w:rPr>
        <w:t> </w:t>
      </w:r>
      <w:r>
        <w:rPr>
          <w:color w:val="231F20"/>
          <w:w w:val="105"/>
        </w:rPr>
        <w:t>el</w:t>
      </w:r>
      <w:r>
        <w:rPr>
          <w:color w:val="231F20"/>
          <w:spacing w:val="19"/>
          <w:w w:val="105"/>
        </w:rPr>
        <w:t> </w:t>
      </w:r>
      <w:r>
        <w:rPr>
          <w:color w:val="231F20"/>
          <w:w w:val="105"/>
        </w:rPr>
        <w:t>control</w:t>
      </w:r>
      <w:r>
        <w:rPr>
          <w:color w:val="231F20"/>
          <w:spacing w:val="19"/>
          <w:w w:val="105"/>
        </w:rPr>
        <w:t> </w:t>
      </w:r>
      <w:r>
        <w:rPr>
          <w:color w:val="231F20"/>
          <w:w w:val="105"/>
        </w:rPr>
        <w:t>del</w:t>
      </w:r>
      <w:r>
        <w:rPr>
          <w:color w:val="231F20"/>
          <w:spacing w:val="19"/>
          <w:w w:val="105"/>
        </w:rPr>
        <w:t> </w:t>
      </w:r>
      <w:r>
        <w:rPr>
          <w:color w:val="231F20"/>
          <w:w w:val="105"/>
        </w:rPr>
        <w:t>poder</w:t>
      </w:r>
      <w:r>
        <w:rPr>
          <w:color w:val="231F20"/>
          <w:spacing w:val="19"/>
          <w:w w:val="105"/>
        </w:rPr>
        <w:t> </w:t>
      </w:r>
      <w:r>
        <w:rPr>
          <w:color w:val="231F20"/>
          <w:w w:val="105"/>
        </w:rPr>
        <w:t>político:</w:t>
      </w:r>
      <w:r>
        <w:rPr>
          <w:color w:val="231F20"/>
          <w:w w:val="108"/>
        </w:rPr>
        <w:t> </w:t>
      </w:r>
      <w:r>
        <w:rPr>
          <w:color w:val="231F20"/>
          <w:w w:val="105"/>
        </w:rPr>
        <w:t>el</w:t>
      </w:r>
      <w:r>
        <w:rPr>
          <w:color w:val="231F20"/>
          <w:spacing w:val="36"/>
          <w:w w:val="105"/>
        </w:rPr>
        <w:t> </w:t>
      </w:r>
      <w:r>
        <w:rPr>
          <w:color w:val="231F20"/>
          <w:w w:val="105"/>
        </w:rPr>
        <w:t>sistema</w:t>
      </w:r>
      <w:r>
        <w:rPr>
          <w:color w:val="231F20"/>
          <w:spacing w:val="36"/>
          <w:w w:val="105"/>
        </w:rPr>
        <w:t> </w:t>
      </w:r>
      <w:r>
        <w:rPr>
          <w:color w:val="231F20"/>
          <w:w w:val="105"/>
        </w:rPr>
        <w:t>interestatal.</w:t>
      </w:r>
      <w:r>
        <w:rPr>
          <w:color w:val="231F20"/>
          <w:spacing w:val="36"/>
          <w:w w:val="105"/>
        </w:rPr>
        <w:t> </w:t>
      </w:r>
      <w:r>
        <w:rPr>
          <w:color w:val="231F20"/>
          <w:w w:val="105"/>
        </w:rPr>
        <w:t>Para</w:t>
      </w:r>
      <w:r>
        <w:rPr>
          <w:color w:val="231F20"/>
          <w:spacing w:val="36"/>
          <w:w w:val="105"/>
        </w:rPr>
        <w:t> </w:t>
      </w:r>
      <w:r>
        <w:rPr>
          <w:color w:val="231F20"/>
          <w:w w:val="105"/>
        </w:rPr>
        <w:t>Wallerstein,</w:t>
      </w:r>
      <w:r>
        <w:rPr>
          <w:color w:val="231F20"/>
          <w:spacing w:val="36"/>
          <w:w w:val="105"/>
        </w:rPr>
        <w:t> </w:t>
      </w:r>
      <w:r>
        <w:rPr>
          <w:color w:val="231F20"/>
          <w:w w:val="105"/>
        </w:rPr>
        <w:t>el</w:t>
      </w:r>
      <w:r>
        <w:rPr>
          <w:color w:val="231F20"/>
          <w:spacing w:val="36"/>
          <w:w w:val="105"/>
        </w:rPr>
        <w:t> </w:t>
      </w:r>
      <w:r>
        <w:rPr>
          <w:color w:val="231F20"/>
          <w:w w:val="105"/>
        </w:rPr>
        <w:t>capitalismo</w:t>
      </w:r>
      <w:r>
        <w:rPr>
          <w:color w:val="231F20"/>
          <w:spacing w:val="36"/>
          <w:w w:val="105"/>
        </w:rPr>
        <w:t> </w:t>
      </w:r>
      <w:r>
        <w:rPr>
          <w:color w:val="231F20"/>
          <w:w w:val="105"/>
        </w:rPr>
        <w:t>constituye</w:t>
      </w:r>
      <w:r>
        <w:rPr>
          <w:color w:val="231F20"/>
          <w:spacing w:val="36"/>
          <w:w w:val="105"/>
        </w:rPr>
        <w:t> </w:t>
      </w:r>
      <w:r>
        <w:rPr>
          <w:color w:val="231F20"/>
          <w:w w:val="105"/>
        </w:rPr>
        <w:t>la</w:t>
      </w:r>
      <w:r>
        <w:rPr>
          <w:color w:val="231F20"/>
          <w:w w:val="105"/>
        </w:rPr>
        <w:t> </w:t>
      </w:r>
      <w:r>
        <w:rPr>
          <w:color w:val="231F20"/>
          <w:w w:val="105"/>
        </w:rPr>
        <w:t>génesis</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estructura</w:t>
      </w:r>
      <w:r>
        <w:rPr>
          <w:color w:val="231F20"/>
          <w:spacing w:val="26"/>
          <w:w w:val="105"/>
        </w:rPr>
        <w:t> </w:t>
      </w:r>
      <w:r>
        <w:rPr>
          <w:color w:val="231F20"/>
          <w:w w:val="105"/>
        </w:rPr>
        <w:t>de</w:t>
      </w:r>
      <w:r>
        <w:rPr>
          <w:color w:val="231F20"/>
          <w:spacing w:val="26"/>
          <w:w w:val="105"/>
        </w:rPr>
        <w:t> </w:t>
      </w:r>
      <w:r>
        <w:rPr>
          <w:color w:val="231F20"/>
          <w:w w:val="105"/>
        </w:rPr>
        <w:t>poder</w:t>
      </w:r>
      <w:r>
        <w:rPr>
          <w:color w:val="231F20"/>
          <w:spacing w:val="26"/>
          <w:w w:val="105"/>
        </w:rPr>
        <w:t> </w:t>
      </w:r>
      <w:r>
        <w:rPr>
          <w:color w:val="231F20"/>
          <w:w w:val="105"/>
        </w:rPr>
        <w:t>desde</w:t>
      </w:r>
      <w:r>
        <w:rPr>
          <w:color w:val="231F20"/>
          <w:spacing w:val="26"/>
          <w:w w:val="105"/>
        </w:rPr>
        <w:t> </w:t>
      </w:r>
      <w:r>
        <w:rPr>
          <w:color w:val="231F20"/>
          <w:w w:val="105"/>
        </w:rPr>
        <w:t>el</w:t>
      </w:r>
      <w:r>
        <w:rPr>
          <w:color w:val="231F20"/>
          <w:spacing w:val="26"/>
          <w:w w:val="105"/>
        </w:rPr>
        <w:t> </w:t>
      </w:r>
      <w:r>
        <w:rPr>
          <w:color w:val="231F20"/>
          <w:w w:val="105"/>
        </w:rPr>
        <w:t>siglo</w:t>
      </w:r>
      <w:r>
        <w:rPr>
          <w:color w:val="231F20"/>
          <w:spacing w:val="26"/>
          <w:w w:val="105"/>
        </w:rPr>
        <w:t> </w:t>
      </w:r>
      <w:r>
        <w:rPr>
          <w:color w:val="231F20"/>
          <w:w w:val="105"/>
        </w:rPr>
        <w:t>xvi</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construc-</w:t>
      </w:r>
      <w:r>
        <w:rPr>
          <w:color w:val="231F20"/>
          <w:w w:val="72"/>
        </w:rPr>
        <w:t> </w:t>
      </w:r>
      <w:r>
        <w:rPr>
          <w:color w:val="231F20"/>
          <w:w w:val="105"/>
        </w:rPr>
        <w:t>ción de una economía euroamericana. A través de ella</w:t>
      </w:r>
      <w:r>
        <w:rPr>
          <w:color w:val="231F20"/>
          <w:spacing w:val="11"/>
          <w:w w:val="105"/>
        </w:rPr>
        <w:t> </w:t>
      </w:r>
      <w:r>
        <w:rPr>
          <w:color w:val="231F20"/>
          <w:w w:val="105"/>
        </w:rPr>
        <w:t>liberó</w:t>
      </w:r>
      <w:r>
        <w:rPr>
          <w:color w:val="231F20"/>
          <w:spacing w:val="7"/>
          <w:w w:val="105"/>
        </w:rPr>
        <w:t> </w:t>
      </w:r>
      <w:r>
        <w:rPr>
          <w:color w:val="231F20"/>
          <w:w w:val="105"/>
        </w:rPr>
        <w:t>los</w:t>
      </w:r>
      <w:r>
        <w:rPr>
          <w:color w:val="231F20"/>
          <w:w w:val="102"/>
        </w:rPr>
        <w:t> </w:t>
      </w:r>
      <w:r>
        <w:rPr>
          <w:color w:val="231F20"/>
          <w:w w:val="105"/>
        </w:rPr>
        <w:t>intercambios de larga distancia de  los  costos  políticos</w:t>
      </w:r>
      <w:r>
        <w:rPr>
          <w:color w:val="231F20"/>
          <w:spacing w:val="-18"/>
          <w:w w:val="105"/>
        </w:rPr>
        <w:t> </w:t>
      </w:r>
      <w:r>
        <w:rPr>
          <w:color w:val="231F20"/>
          <w:w w:val="105"/>
        </w:rPr>
        <w:t>exigidos</w:t>
      </w:r>
      <w:r>
        <w:rPr>
          <w:color w:val="231F20"/>
          <w:spacing w:val="43"/>
          <w:w w:val="105"/>
        </w:rPr>
        <w:t> </w:t>
      </w:r>
      <w:r>
        <w:rPr>
          <w:color w:val="231F20"/>
          <w:w w:val="105"/>
        </w:rPr>
        <w:t>por</w:t>
      </w:r>
      <w:r>
        <w:rPr>
          <w:color w:val="231F20"/>
          <w:w w:val="115"/>
        </w:rPr>
        <w:t> </w:t>
      </w:r>
      <w:r>
        <w:rPr>
          <w:color w:val="231F20"/>
          <w:w w:val="105"/>
        </w:rPr>
        <w:t>los imperios, amplió el mercado mundial para incluir la</w:t>
      </w:r>
      <w:r>
        <w:rPr>
          <w:color w:val="231F20"/>
          <w:spacing w:val="18"/>
          <w:w w:val="105"/>
        </w:rPr>
        <w:t> </w:t>
      </w:r>
      <w:r>
        <w:rPr>
          <w:color w:val="231F20"/>
          <w:w w:val="105"/>
        </w:rPr>
        <w:t>oferta</w:t>
      </w:r>
      <w:r>
        <w:rPr>
          <w:color w:val="231F20"/>
          <w:spacing w:val="2"/>
          <w:w w:val="105"/>
        </w:rPr>
        <w:t> </w:t>
      </w:r>
      <w:r>
        <w:rPr>
          <w:color w:val="231F20"/>
          <w:w w:val="105"/>
        </w:rPr>
        <w:t>de</w:t>
      </w:r>
      <w:r>
        <w:rPr>
          <w:color w:val="231F20"/>
          <w:w w:val="114"/>
        </w:rPr>
        <w:t> </w:t>
      </w:r>
      <w:r>
        <w:rPr>
          <w:color w:val="231F20"/>
          <w:w w:val="105"/>
        </w:rPr>
        <w:t>suministros</w:t>
      </w:r>
      <w:r>
        <w:rPr>
          <w:color w:val="231F20"/>
          <w:spacing w:val="41"/>
          <w:w w:val="105"/>
        </w:rPr>
        <w:t> </w:t>
      </w:r>
      <w:r>
        <w:rPr>
          <w:color w:val="231F20"/>
          <w:w w:val="105"/>
        </w:rPr>
        <w:t>básicos</w:t>
      </w:r>
      <w:r>
        <w:rPr>
          <w:color w:val="231F20"/>
          <w:spacing w:val="41"/>
          <w:w w:val="105"/>
        </w:rPr>
        <w:t> </w:t>
      </w:r>
      <w:r>
        <w:rPr>
          <w:color w:val="231F20"/>
          <w:w w:val="105"/>
        </w:rPr>
        <w:t>a</w:t>
      </w:r>
      <w:r>
        <w:rPr>
          <w:color w:val="231F20"/>
          <w:spacing w:val="41"/>
          <w:w w:val="105"/>
        </w:rPr>
        <w:t> </w:t>
      </w:r>
      <w:r>
        <w:rPr>
          <w:color w:val="231F20"/>
          <w:w w:val="105"/>
        </w:rPr>
        <w:t>Europa</w:t>
      </w:r>
      <w:r>
        <w:rPr>
          <w:color w:val="231F20"/>
          <w:spacing w:val="41"/>
          <w:w w:val="105"/>
        </w:rPr>
        <w:t> </w:t>
      </w:r>
      <w:r>
        <w:rPr>
          <w:color w:val="231F20"/>
          <w:w w:val="105"/>
        </w:rPr>
        <w:t>Occidental</w:t>
      </w:r>
      <w:r>
        <w:rPr>
          <w:color w:val="231F20"/>
          <w:spacing w:val="41"/>
          <w:w w:val="105"/>
        </w:rPr>
        <w:t> </w:t>
      </w:r>
      <w:r>
        <w:rPr>
          <w:color w:val="231F20"/>
          <w:w w:val="105"/>
        </w:rPr>
        <w:t>y</w:t>
      </w:r>
      <w:r>
        <w:rPr>
          <w:color w:val="231F20"/>
          <w:spacing w:val="41"/>
          <w:w w:val="105"/>
        </w:rPr>
        <w:t> </w:t>
      </w:r>
      <w:r>
        <w:rPr>
          <w:color w:val="231F20"/>
          <w:w w:val="105"/>
        </w:rPr>
        <w:t>creó</w:t>
      </w:r>
      <w:r>
        <w:rPr>
          <w:color w:val="231F20"/>
          <w:spacing w:val="41"/>
          <w:w w:val="105"/>
        </w:rPr>
        <w:t> </w:t>
      </w:r>
      <w:r>
        <w:rPr>
          <w:color w:val="231F20"/>
          <w:w w:val="105"/>
        </w:rPr>
        <w:t>una</w:t>
      </w:r>
      <w:r>
        <w:rPr>
          <w:color w:val="231F20"/>
          <w:spacing w:val="41"/>
          <w:w w:val="105"/>
        </w:rPr>
        <w:t> </w:t>
      </w:r>
      <w:r>
        <w:rPr>
          <w:color w:val="231F20"/>
          <w:w w:val="105"/>
        </w:rPr>
        <w:t>estructura</w:t>
      </w:r>
      <w:r>
        <w:rPr>
          <w:color w:val="231F20"/>
          <w:spacing w:val="41"/>
          <w:w w:val="105"/>
        </w:rPr>
        <w:t> </w:t>
      </w:r>
      <w:r>
        <w:rPr>
          <w:color w:val="231F20"/>
          <w:w w:val="105"/>
        </w:rPr>
        <w:t>eco-</w:t>
      </w:r>
      <w:r>
        <w:rPr>
          <w:color w:val="231F20"/>
          <w:w w:val="72"/>
        </w:rPr>
        <w:t> </w:t>
      </w:r>
      <w:r>
        <w:rPr>
          <w:color w:val="231F20"/>
          <w:w w:val="105"/>
        </w:rPr>
        <w:t>nómica  monopólica,  orientada  a  la  obtención  de  la  súper</w:t>
      </w:r>
      <w:r>
        <w:rPr>
          <w:color w:val="231F20"/>
          <w:spacing w:val="-15"/>
          <w:w w:val="105"/>
        </w:rPr>
        <w:t> </w:t>
      </w:r>
      <w:r>
        <w:rPr>
          <w:color w:val="231F20"/>
          <w:w w:val="105"/>
        </w:rPr>
        <w:t>ganancia.</w:t>
      </w:r>
    </w:p>
    <w:p>
      <w:pPr>
        <w:spacing w:after="0" w:line="261" w:lineRule="auto"/>
        <w:jc w:val="right"/>
        <w:sectPr>
          <w:headerReference w:type="even" r:id="rId68"/>
          <w:headerReference w:type="default" r:id="rId69"/>
          <w:pgSz w:w="7640" w:h="11900"/>
          <w:pgMar w:header="672" w:footer="0" w:top="860" w:bottom="280" w:left="780" w:right="640"/>
          <w:pgNumType w:start="62"/>
        </w:sectPr>
      </w:pPr>
    </w:p>
    <w:p>
      <w:pPr>
        <w:pStyle w:val="BodyText"/>
        <w:spacing w:before="8"/>
        <w:rPr>
          <w:sz w:val="8"/>
        </w:rPr>
      </w:pPr>
    </w:p>
    <w:p>
      <w:pPr>
        <w:pStyle w:val="BodyText"/>
        <w:spacing w:line="261" w:lineRule="auto" w:before="67"/>
        <w:ind w:left="100" w:right="117"/>
        <w:jc w:val="both"/>
      </w:pPr>
      <w:r>
        <w:rPr>
          <w:color w:val="231F20"/>
          <w:w w:val="110"/>
        </w:rPr>
        <w:t>Esa</w:t>
      </w:r>
      <w:r>
        <w:rPr>
          <w:color w:val="231F20"/>
          <w:spacing w:val="-13"/>
          <w:w w:val="110"/>
        </w:rPr>
        <w:t> </w:t>
      </w:r>
      <w:r>
        <w:rPr>
          <w:color w:val="231F20"/>
          <w:w w:val="110"/>
        </w:rPr>
        <w:t>estructura</w:t>
      </w:r>
      <w:r>
        <w:rPr>
          <w:color w:val="231F20"/>
          <w:spacing w:val="-13"/>
          <w:w w:val="110"/>
        </w:rPr>
        <w:t> </w:t>
      </w:r>
      <w:r>
        <w:rPr>
          <w:color w:val="231F20"/>
          <w:w w:val="110"/>
        </w:rPr>
        <w:t>desarrolló</w:t>
      </w:r>
      <w:r>
        <w:rPr>
          <w:color w:val="231F20"/>
          <w:spacing w:val="-13"/>
          <w:w w:val="110"/>
        </w:rPr>
        <w:t> </w:t>
      </w:r>
      <w:r>
        <w:rPr>
          <w:color w:val="231F20"/>
          <w:w w:val="110"/>
        </w:rPr>
        <w:t>el</w:t>
      </w:r>
      <w:r>
        <w:rPr>
          <w:color w:val="231F20"/>
          <w:spacing w:val="-13"/>
          <w:w w:val="110"/>
        </w:rPr>
        <w:t> </w:t>
      </w:r>
      <w:r>
        <w:rPr>
          <w:color w:val="231F20"/>
          <w:w w:val="110"/>
        </w:rPr>
        <w:t>sistema</w:t>
      </w:r>
      <w:r>
        <w:rPr>
          <w:color w:val="231F20"/>
          <w:spacing w:val="-13"/>
          <w:w w:val="110"/>
        </w:rPr>
        <w:t> </w:t>
      </w:r>
      <w:r>
        <w:rPr>
          <w:color w:val="231F20"/>
          <w:w w:val="110"/>
        </w:rPr>
        <w:t>interestatal,</w:t>
      </w:r>
      <w:r>
        <w:rPr>
          <w:color w:val="231F20"/>
          <w:spacing w:val="-13"/>
          <w:w w:val="110"/>
        </w:rPr>
        <w:t> </w:t>
      </w:r>
      <w:r>
        <w:rPr>
          <w:color w:val="231F20"/>
          <w:w w:val="110"/>
        </w:rPr>
        <w:t>a</w:t>
      </w:r>
      <w:r>
        <w:rPr>
          <w:color w:val="231F20"/>
          <w:spacing w:val="-13"/>
          <w:w w:val="110"/>
        </w:rPr>
        <w:t> </w:t>
      </w:r>
      <w:r>
        <w:rPr>
          <w:color w:val="231F20"/>
          <w:w w:val="110"/>
        </w:rPr>
        <w:t>partir</w:t>
      </w:r>
      <w:r>
        <w:rPr>
          <w:color w:val="231F20"/>
          <w:spacing w:val="-13"/>
          <w:w w:val="110"/>
        </w:rPr>
        <w:t> </w:t>
      </w:r>
      <w:r>
        <w:rPr>
          <w:color w:val="231F20"/>
          <w:w w:val="110"/>
        </w:rPr>
        <w:t>del</w:t>
      </w:r>
      <w:r>
        <w:rPr>
          <w:color w:val="231F20"/>
          <w:spacing w:val="-13"/>
          <w:w w:val="110"/>
        </w:rPr>
        <w:t> </w:t>
      </w:r>
      <w:r>
        <w:rPr>
          <w:color w:val="231F20"/>
          <w:w w:val="110"/>
        </w:rPr>
        <w:t>siglo</w:t>
      </w:r>
      <w:r>
        <w:rPr>
          <w:color w:val="231F20"/>
          <w:spacing w:val="-14"/>
          <w:w w:val="110"/>
        </w:rPr>
        <w:t> </w:t>
      </w:r>
      <w:r>
        <w:rPr>
          <w:color w:val="231F20"/>
          <w:w w:val="110"/>
        </w:rPr>
        <w:t>xvii, como el eje de una superestructura jurídico-política para el prota- gonismo del capital y su mundialización. Al limitar la territorialidad del poder coercitivo, el sistema interestatal estableció una asimetría espacial entre el capital y los Estados, a favor del primero. Éste saca provecho de la competencia estatal por el capital circulante para imponer sus intereses, invirtiendo la relación entre los poderes eco- nómicos</w:t>
      </w:r>
      <w:r>
        <w:rPr>
          <w:color w:val="231F20"/>
          <w:spacing w:val="-9"/>
          <w:w w:val="110"/>
        </w:rPr>
        <w:t> </w:t>
      </w:r>
      <w:r>
        <w:rPr>
          <w:color w:val="231F20"/>
          <w:w w:val="110"/>
        </w:rPr>
        <w:t>y</w:t>
      </w:r>
      <w:r>
        <w:rPr>
          <w:color w:val="231F20"/>
          <w:spacing w:val="-9"/>
          <w:w w:val="110"/>
        </w:rPr>
        <w:t> </w:t>
      </w:r>
      <w:r>
        <w:rPr>
          <w:color w:val="231F20"/>
          <w:w w:val="110"/>
        </w:rPr>
        <w:t>políticos,</w:t>
      </w:r>
      <w:r>
        <w:rPr>
          <w:color w:val="231F20"/>
          <w:spacing w:val="-9"/>
          <w:w w:val="110"/>
        </w:rPr>
        <w:t> </w:t>
      </w:r>
      <w:r>
        <w:rPr>
          <w:color w:val="231F20"/>
          <w:w w:val="110"/>
        </w:rPr>
        <w:t>tal</w:t>
      </w:r>
      <w:r>
        <w:rPr>
          <w:color w:val="231F20"/>
          <w:spacing w:val="-9"/>
          <w:w w:val="110"/>
        </w:rPr>
        <w:t> </w:t>
      </w:r>
      <w:r>
        <w:rPr>
          <w:color w:val="231F20"/>
          <w:w w:val="110"/>
        </w:rPr>
        <w:t>como</w:t>
      </w:r>
      <w:r>
        <w:rPr>
          <w:color w:val="231F20"/>
          <w:spacing w:val="-9"/>
          <w:w w:val="110"/>
        </w:rPr>
        <w:t> </w:t>
      </w:r>
      <w:r>
        <w:rPr>
          <w:color w:val="231F20"/>
          <w:w w:val="110"/>
        </w:rPr>
        <w:t>se</w:t>
      </w:r>
      <w:r>
        <w:rPr>
          <w:color w:val="231F20"/>
          <w:spacing w:val="-9"/>
          <w:w w:val="110"/>
        </w:rPr>
        <w:t> </w:t>
      </w:r>
      <w:r>
        <w:rPr>
          <w:color w:val="231F20"/>
          <w:w w:val="110"/>
        </w:rPr>
        <w:t>configuraba</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grandes</w:t>
      </w:r>
      <w:r>
        <w:rPr>
          <w:color w:val="231F20"/>
          <w:spacing w:val="-9"/>
          <w:w w:val="110"/>
        </w:rPr>
        <w:t> </w:t>
      </w:r>
      <w:r>
        <w:rPr>
          <w:color w:val="231F20"/>
          <w:w w:val="110"/>
        </w:rPr>
        <w:t>imperios de la antigüedad </w:t>
      </w:r>
      <w:r>
        <w:rPr>
          <w:color w:val="231F20"/>
          <w:spacing w:val="-8"/>
          <w:w w:val="110"/>
        </w:rPr>
        <w:t>y, </w:t>
      </w:r>
      <w:r>
        <w:rPr>
          <w:color w:val="231F20"/>
          <w:w w:val="110"/>
        </w:rPr>
        <w:t>en menor medida, en la Edad  </w:t>
      </w:r>
      <w:r>
        <w:rPr>
          <w:color w:val="231F20"/>
          <w:spacing w:val="14"/>
          <w:w w:val="110"/>
        </w:rPr>
        <w:t> </w:t>
      </w:r>
      <w:r>
        <w:rPr>
          <w:color w:val="231F20"/>
          <w:w w:val="110"/>
        </w:rPr>
        <w:t>Media.</w:t>
      </w:r>
    </w:p>
    <w:p>
      <w:pPr>
        <w:pStyle w:val="BodyText"/>
        <w:spacing w:line="261" w:lineRule="auto"/>
        <w:ind w:left="100" w:right="114" w:firstLine="240"/>
        <w:jc w:val="both"/>
      </w:pPr>
      <w:r>
        <w:rPr>
          <w:color w:val="231F20"/>
          <w:w w:val="110"/>
        </w:rPr>
        <w:t>Giovanni Arrighi (1996, 1999 y 2008) analizó con precisión la forma de coordinación del moderno sistema mundial. Señala que ésta se realiza por hegemonías que limitan la anarquía y establecen patrones monetarios, jurídicos e ideológicos, organizadores del sis- tema interestatal. Las hegemonías combinan consenso y coerción, utilizando la fuerza como un recurso en última instancia. Se trata   de un patrón que se desarrolla no sólo en el plano interestatal,     sino también en el intraestatal, una vez que la reivindicación de      la legitimidad en el plano internacional por un Estado se vincula  con la capacidad de garantizarla internamente. Para que un Estado reivindique con éxito la hegemonía debe poseer un grado bastante asimétrico de poder económico (productivo, comercial y financiero) sobre</w:t>
      </w:r>
      <w:r>
        <w:rPr>
          <w:color w:val="231F20"/>
          <w:spacing w:val="-11"/>
          <w:w w:val="110"/>
        </w:rPr>
        <w:t> </w:t>
      </w:r>
      <w:r>
        <w:rPr>
          <w:color w:val="231F20"/>
          <w:w w:val="110"/>
        </w:rPr>
        <w:t>los</w:t>
      </w:r>
      <w:r>
        <w:rPr>
          <w:color w:val="231F20"/>
          <w:spacing w:val="-11"/>
          <w:w w:val="110"/>
        </w:rPr>
        <w:t> </w:t>
      </w:r>
      <w:r>
        <w:rPr>
          <w:color w:val="231F20"/>
          <w:w w:val="110"/>
        </w:rPr>
        <w:t>demás.</w:t>
      </w:r>
      <w:r>
        <w:rPr>
          <w:color w:val="231F20"/>
          <w:spacing w:val="-11"/>
          <w:w w:val="110"/>
        </w:rPr>
        <w:t> </w:t>
      </w:r>
      <w:r>
        <w:rPr>
          <w:color w:val="231F20"/>
          <w:w w:val="110"/>
        </w:rPr>
        <w:t>Asimetría,</w:t>
      </w:r>
      <w:r>
        <w:rPr>
          <w:color w:val="231F20"/>
          <w:spacing w:val="-11"/>
          <w:w w:val="110"/>
        </w:rPr>
        <w:t> </w:t>
      </w:r>
      <w:r>
        <w:rPr>
          <w:color w:val="231F20"/>
          <w:w w:val="110"/>
        </w:rPr>
        <w:t>según</w:t>
      </w:r>
      <w:r>
        <w:rPr>
          <w:color w:val="231F20"/>
          <w:spacing w:val="-11"/>
          <w:w w:val="110"/>
        </w:rPr>
        <w:t> </w:t>
      </w:r>
      <w:r>
        <w:rPr>
          <w:color w:val="231F20"/>
          <w:w w:val="110"/>
        </w:rPr>
        <w:t>Wallerstein,</w:t>
      </w:r>
      <w:r>
        <w:rPr>
          <w:color w:val="231F20"/>
          <w:spacing w:val="-11"/>
          <w:w w:val="110"/>
        </w:rPr>
        <w:t> </w:t>
      </w:r>
      <w:r>
        <w:rPr>
          <w:color w:val="231F20"/>
          <w:w w:val="110"/>
        </w:rPr>
        <w:t>que</w:t>
      </w:r>
      <w:r>
        <w:rPr>
          <w:color w:val="231F20"/>
          <w:spacing w:val="-11"/>
          <w:w w:val="110"/>
        </w:rPr>
        <w:t> </w:t>
      </w:r>
      <w:r>
        <w:rPr>
          <w:color w:val="231F20"/>
          <w:w w:val="110"/>
        </w:rPr>
        <w:t>le</w:t>
      </w:r>
      <w:r>
        <w:rPr>
          <w:color w:val="231F20"/>
          <w:spacing w:val="-11"/>
          <w:w w:val="110"/>
        </w:rPr>
        <w:t> </w:t>
      </w:r>
      <w:r>
        <w:rPr>
          <w:color w:val="231F20"/>
          <w:w w:val="110"/>
        </w:rPr>
        <w:t>permita</w:t>
      </w:r>
      <w:r>
        <w:rPr>
          <w:color w:val="231F20"/>
          <w:spacing w:val="-11"/>
          <w:w w:val="110"/>
        </w:rPr>
        <w:t> </w:t>
      </w:r>
      <w:r>
        <w:rPr>
          <w:color w:val="231F20"/>
          <w:w w:val="110"/>
        </w:rPr>
        <w:t>vender sus productos en el mercado competitivo a un precio más bajo que los productores locales. No siempre es necesario el liderazgo</w:t>
      </w:r>
      <w:r>
        <w:rPr>
          <w:color w:val="231F20"/>
          <w:spacing w:val="-36"/>
          <w:w w:val="110"/>
        </w:rPr>
        <w:t> </w:t>
      </w:r>
      <w:r>
        <w:rPr>
          <w:color w:val="231F20"/>
          <w:spacing w:val="-3"/>
          <w:w w:val="110"/>
        </w:rPr>
        <w:t>militar, </w:t>
      </w:r>
      <w:r>
        <w:rPr>
          <w:color w:val="231F20"/>
          <w:w w:val="110"/>
        </w:rPr>
        <w:t>aunque éste sea frecuente, pero por lo menos un equilibrio geopo- lítico de fuerzas que impida al Estado más poderoso de ejercerla en contra del liderazgo económico, es el caso de las Provincias Unidas, derrotada militarmente por Gran Bretaña durante su hegemonía,      y de la ciudad de Génova, protegida por España. Cada hegemonía amplía el liberalismo global, es </w:t>
      </w:r>
      <w:r>
        <w:rPr>
          <w:color w:val="231F20"/>
          <w:spacing w:val="-2"/>
          <w:w w:val="110"/>
        </w:rPr>
        <w:t>decir, </w:t>
      </w:r>
      <w:r>
        <w:rPr>
          <w:color w:val="231F20"/>
          <w:w w:val="110"/>
        </w:rPr>
        <w:t>el grado de circulación de capitales y mercancías en la economía-mundo, el espacio territorial de la misma, y los mecanismos de consentimiento en los que se</w:t>
      </w:r>
      <w:r>
        <w:rPr>
          <w:color w:val="231F20"/>
          <w:spacing w:val="-35"/>
          <w:w w:val="110"/>
        </w:rPr>
        <w:t> </w:t>
      </w:r>
      <w:r>
        <w:rPr>
          <w:color w:val="231F20"/>
          <w:w w:val="110"/>
        </w:rPr>
        <w:t>basa</w:t>
      </w:r>
    </w:p>
    <w:p>
      <w:pPr>
        <w:pStyle w:val="BodyText"/>
        <w:spacing w:line="261" w:lineRule="auto"/>
        <w:ind w:left="100" w:right="119"/>
        <w:jc w:val="both"/>
      </w:pPr>
      <w:r>
        <w:rPr>
          <w:color w:val="231F20"/>
          <w:w w:val="110"/>
        </w:rPr>
        <w:t>—representación política y su amplitud social—. Sin embargo, las formas ideológicas que se utilizan para ello son complejas y</w:t>
      </w:r>
      <w:r>
        <w:rPr>
          <w:color w:val="231F20"/>
          <w:spacing w:val="-27"/>
          <w:w w:val="110"/>
        </w:rPr>
        <w:t> </w:t>
      </w:r>
      <w:r>
        <w:rPr>
          <w:color w:val="231F20"/>
          <w:w w:val="110"/>
        </w:rPr>
        <w:t>difieren bastante entre</w:t>
      </w:r>
      <w:r>
        <w:rPr>
          <w:color w:val="231F20"/>
          <w:spacing w:val="29"/>
          <w:w w:val="110"/>
        </w:rPr>
        <w:t> </w:t>
      </w:r>
      <w:r>
        <w:rPr>
          <w:color w:val="231F20"/>
          <w:w w:val="110"/>
        </w:rPr>
        <w:t>sí.</w:t>
      </w:r>
    </w:p>
    <w:p>
      <w:pPr>
        <w:pStyle w:val="BodyText"/>
        <w:spacing w:line="261" w:lineRule="auto"/>
        <w:ind w:left="100" w:right="119" w:firstLine="240"/>
        <w:jc w:val="both"/>
      </w:pPr>
      <w:r>
        <w:rPr>
          <w:color w:val="231F20"/>
          <w:w w:val="105"/>
        </w:rPr>
        <w:t>Las hegemonías configuran los ciclos</w:t>
      </w:r>
      <w:r>
        <w:rPr>
          <w:color w:val="231F20"/>
          <w:spacing w:val="50"/>
          <w:w w:val="105"/>
        </w:rPr>
        <w:t> </w:t>
      </w:r>
      <w:r>
        <w:rPr>
          <w:color w:val="231F20"/>
          <w:w w:val="105"/>
        </w:rPr>
        <w:t>político-institucionales</w:t>
      </w:r>
      <w:r>
        <w:rPr>
          <w:color w:val="231F20"/>
          <w:spacing w:val="52"/>
          <w:w w:val="105"/>
        </w:rPr>
        <w:t> </w:t>
      </w:r>
      <w:r>
        <w:rPr>
          <w:color w:val="231F20"/>
          <w:w w:val="105"/>
        </w:rPr>
        <w:t>del</w:t>
      </w:r>
      <w:r>
        <w:rPr>
          <w:color w:val="231F20"/>
          <w:w w:val="111"/>
        </w:rPr>
        <w:t> </w:t>
      </w:r>
      <w:r>
        <w:rPr>
          <w:color w:val="231F20"/>
          <w:w w:val="105"/>
        </w:rPr>
        <w:t>capitalismo histórico. Oscilan pendularmente entre las formas cosmo- politas-imperialistas y las corporativas-nacionalistas. Ambas aumentan la  densidad  del  moderno  sistema  mundial,  es  </w:t>
      </w:r>
      <w:r>
        <w:rPr>
          <w:color w:val="231F20"/>
          <w:spacing w:val="-3"/>
          <w:w w:val="105"/>
        </w:rPr>
        <w:t>decir,  </w:t>
      </w:r>
      <w:r>
        <w:rPr>
          <w:color w:val="231F20"/>
          <w:w w:val="105"/>
        </w:rPr>
        <w:t>los  volúmenes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absoluto y relativo de intercambios e inversiones internacionales, desarrollando las tendencias seculares del capitalismo histórico. Las hegemonías cosmopolitas-imperialistas introducen innovaciones po- lítico-institucionales que amplían radicalmente los límites espaciales  de la economía-mundo, y las corporativas-nacionalistas implementan profundas modificaciones organizacionales, pero conservan en gran parte los límites espaciales anteriores. Los ciclos se dividen en fases   de expansión material y financiera. Son intermediados por periodos    de caos sistémico que corresponden a guerras mundiales de aproxi- madamente 30 años,  proporcionales  en  extensión  a  la  dimensión  de la economía-mundo. Las guerras destruyen anárquicamente los excesos de competencia y capacidad internacionales </w:t>
      </w:r>
      <w:r>
        <w:rPr>
          <w:color w:val="231F20"/>
          <w:spacing w:val="-7"/>
          <w:w w:val="105"/>
        </w:rPr>
        <w:t>y,</w:t>
      </w:r>
      <w:r>
        <w:rPr>
          <w:color w:val="231F20"/>
          <w:spacing w:val="38"/>
          <w:w w:val="105"/>
        </w:rPr>
        <w:t> </w:t>
      </w:r>
      <w:r>
        <w:rPr>
          <w:color w:val="231F20"/>
          <w:w w:val="105"/>
        </w:rPr>
        <w:t>con  ellos,  parte de la densidad del sistema mundial, para relanzarlo  en  otra  etapa  del </w:t>
      </w:r>
      <w:r>
        <w:rPr>
          <w:color w:val="231F20"/>
          <w:spacing w:val="4"/>
          <w:w w:val="105"/>
        </w:rPr>
        <w:t> </w:t>
      </w:r>
      <w:r>
        <w:rPr>
          <w:color w:val="231F20"/>
          <w:w w:val="105"/>
        </w:rPr>
        <w:t>desarrollo.</w:t>
      </w:r>
    </w:p>
    <w:p>
      <w:pPr>
        <w:pStyle w:val="BodyText"/>
        <w:spacing w:line="261" w:lineRule="auto"/>
        <w:ind w:left="100" w:right="114" w:firstLine="240"/>
        <w:jc w:val="both"/>
      </w:pPr>
      <w:r>
        <w:rPr>
          <w:color w:val="231F20"/>
          <w:w w:val="110"/>
        </w:rPr>
        <w:t>Cada oscilación del péndulo corresponde a la combinación entre dos</w:t>
      </w:r>
      <w:r>
        <w:rPr>
          <w:color w:val="231F20"/>
          <w:spacing w:val="-14"/>
          <w:w w:val="110"/>
        </w:rPr>
        <w:t> </w:t>
      </w:r>
      <w:r>
        <w:rPr>
          <w:color w:val="231F20"/>
          <w:w w:val="110"/>
        </w:rPr>
        <w:t>perspectivas</w:t>
      </w:r>
      <w:r>
        <w:rPr>
          <w:color w:val="231F20"/>
          <w:spacing w:val="-14"/>
          <w:w w:val="110"/>
        </w:rPr>
        <w:t> </w:t>
      </w:r>
      <w:r>
        <w:rPr>
          <w:color w:val="231F20"/>
          <w:w w:val="110"/>
        </w:rPr>
        <w:t>temporales</w:t>
      </w:r>
      <w:r>
        <w:rPr>
          <w:color w:val="231F20"/>
          <w:spacing w:val="-14"/>
          <w:w w:val="110"/>
        </w:rPr>
        <w:t> </w:t>
      </w:r>
      <w:r>
        <w:rPr>
          <w:color w:val="231F20"/>
          <w:w w:val="110"/>
        </w:rPr>
        <w:t>simultáneas:</w:t>
      </w:r>
      <w:r>
        <w:rPr>
          <w:color w:val="231F20"/>
          <w:spacing w:val="-14"/>
          <w:w w:val="110"/>
        </w:rPr>
        <w:t> </w:t>
      </w:r>
      <w:r>
        <w:rPr>
          <w:color w:val="231F20"/>
          <w:w w:val="110"/>
        </w:rPr>
        <w:t>la</w:t>
      </w:r>
      <w:r>
        <w:rPr>
          <w:color w:val="231F20"/>
          <w:spacing w:val="-14"/>
          <w:w w:val="110"/>
        </w:rPr>
        <w:t> </w:t>
      </w:r>
      <w:r>
        <w:rPr>
          <w:color w:val="231F20"/>
          <w:w w:val="110"/>
        </w:rPr>
        <w:t>del</w:t>
      </w:r>
      <w:r>
        <w:rPr>
          <w:color w:val="231F20"/>
          <w:spacing w:val="-14"/>
          <w:w w:val="110"/>
        </w:rPr>
        <w:t> </w:t>
      </w:r>
      <w:r>
        <w:rPr>
          <w:color w:val="231F20"/>
          <w:w w:val="110"/>
        </w:rPr>
        <w:t>retorno</w:t>
      </w:r>
      <w:r>
        <w:rPr>
          <w:color w:val="231F20"/>
          <w:spacing w:val="-14"/>
          <w:w w:val="110"/>
        </w:rPr>
        <w:t> </w:t>
      </w:r>
      <w:r>
        <w:rPr>
          <w:color w:val="231F20"/>
          <w:w w:val="110"/>
        </w:rPr>
        <w:t>cíclico</w:t>
      </w:r>
      <w:r>
        <w:rPr>
          <w:color w:val="231F20"/>
          <w:spacing w:val="-14"/>
          <w:w w:val="110"/>
        </w:rPr>
        <w:t> </w:t>
      </w:r>
      <w:r>
        <w:rPr>
          <w:color w:val="231F20"/>
          <w:w w:val="110"/>
        </w:rPr>
        <w:t>y</w:t>
      </w:r>
      <w:r>
        <w:rPr>
          <w:color w:val="231F20"/>
          <w:spacing w:val="-14"/>
          <w:w w:val="110"/>
        </w:rPr>
        <w:t> </w:t>
      </w:r>
      <w:r>
        <w:rPr>
          <w:color w:val="231F20"/>
          <w:w w:val="110"/>
        </w:rPr>
        <w:t>de</w:t>
      </w:r>
      <w:r>
        <w:rPr>
          <w:color w:val="231F20"/>
          <w:spacing w:val="-14"/>
          <w:w w:val="110"/>
        </w:rPr>
        <w:t> </w:t>
      </w:r>
      <w:r>
        <w:rPr>
          <w:color w:val="231F20"/>
          <w:w w:val="110"/>
        </w:rPr>
        <w:t>la irreversibilidad del tiempo, abriendo una perspectiva de interpreta- ción de la realidad de extraordinaria fecundidad. A la hegemonía de España-Génova,</w:t>
      </w:r>
      <w:r>
        <w:rPr>
          <w:color w:val="231F20"/>
          <w:spacing w:val="-27"/>
          <w:w w:val="110"/>
        </w:rPr>
        <w:t> </w:t>
      </w:r>
      <w:r>
        <w:rPr>
          <w:color w:val="231F20"/>
          <w:w w:val="110"/>
        </w:rPr>
        <w:t>siguieron</w:t>
      </w:r>
      <w:r>
        <w:rPr>
          <w:color w:val="231F20"/>
          <w:spacing w:val="-27"/>
          <w:w w:val="110"/>
        </w:rPr>
        <w:t> </w:t>
      </w:r>
      <w:r>
        <w:rPr>
          <w:color w:val="231F20"/>
          <w:w w:val="110"/>
        </w:rPr>
        <w:t>la</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w w:val="110"/>
        </w:rPr>
        <w:t>Provincias</w:t>
      </w:r>
      <w:r>
        <w:rPr>
          <w:color w:val="231F20"/>
          <w:spacing w:val="-27"/>
          <w:w w:val="110"/>
        </w:rPr>
        <w:t> </w:t>
      </w:r>
      <w:r>
        <w:rPr>
          <w:color w:val="231F20"/>
          <w:w w:val="110"/>
        </w:rPr>
        <w:t>Unidas,</w:t>
      </w:r>
      <w:r>
        <w:rPr>
          <w:color w:val="231F20"/>
          <w:spacing w:val="-27"/>
          <w:w w:val="110"/>
        </w:rPr>
        <w:t> </w:t>
      </w:r>
      <w:r>
        <w:rPr>
          <w:color w:val="231F20"/>
          <w:w w:val="110"/>
        </w:rPr>
        <w:t>posteriormente la británica </w:t>
      </w:r>
      <w:r>
        <w:rPr>
          <w:color w:val="231F20"/>
          <w:spacing w:val="-7"/>
          <w:w w:val="110"/>
        </w:rPr>
        <w:t>y, </w:t>
      </w:r>
      <w:r>
        <w:rPr>
          <w:color w:val="231F20"/>
          <w:w w:val="110"/>
        </w:rPr>
        <w:t>finalmente, la estadunidense. La hegemonía como sistema de poder no excluye el imperialismo, pero se articula a él, subordinándolo a su</w:t>
      </w:r>
      <w:r>
        <w:rPr>
          <w:color w:val="231F20"/>
          <w:spacing w:val="50"/>
          <w:w w:val="110"/>
        </w:rPr>
        <w:t> </w:t>
      </w:r>
      <w:r>
        <w:rPr>
          <w:color w:val="231F20"/>
          <w:w w:val="110"/>
        </w:rPr>
        <w:t>dirección.</w:t>
      </w:r>
    </w:p>
    <w:p>
      <w:pPr>
        <w:pStyle w:val="BodyText"/>
        <w:spacing w:line="261" w:lineRule="auto"/>
        <w:ind w:left="100" w:right="114" w:firstLine="240"/>
        <w:jc w:val="both"/>
      </w:pPr>
      <w:r>
        <w:rPr>
          <w:color w:val="231F20"/>
          <w:w w:val="110"/>
        </w:rPr>
        <w:t>El imperialismo es un sistema de poder que exige el control político y territorial de un Estado o formación social por otro. Es extremadamente útil para la expansión de los límites territoriales de la economía-mundo y la anexión de las regiones externas a ella. La vinculación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lógica</w:t>
      </w:r>
      <w:r>
        <w:rPr>
          <w:color w:val="231F20"/>
          <w:spacing w:val="-6"/>
          <w:w w:val="110"/>
        </w:rPr>
        <w:t> </w:t>
      </w:r>
      <w:r>
        <w:rPr>
          <w:color w:val="231F20"/>
          <w:w w:val="110"/>
        </w:rPr>
        <w:t>capitalista</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políticas</w:t>
      </w:r>
      <w:r>
        <w:rPr>
          <w:color w:val="231F20"/>
          <w:spacing w:val="-6"/>
          <w:w w:val="110"/>
        </w:rPr>
        <w:t> </w:t>
      </w:r>
      <w:r>
        <w:rPr>
          <w:color w:val="231F20"/>
          <w:w w:val="110"/>
        </w:rPr>
        <w:t>territorialistas</w:t>
      </w:r>
      <w:r>
        <w:rPr>
          <w:color w:val="231F20"/>
          <w:spacing w:val="-6"/>
          <w:w w:val="110"/>
        </w:rPr>
        <w:t> </w:t>
      </w:r>
      <w:r>
        <w:rPr>
          <w:color w:val="231F20"/>
          <w:w w:val="110"/>
        </w:rPr>
        <w:t>de</w:t>
      </w:r>
      <w:r>
        <w:rPr>
          <w:color w:val="231F20"/>
          <w:spacing w:val="-6"/>
          <w:w w:val="110"/>
        </w:rPr>
        <w:t> </w:t>
      </w:r>
      <w:r>
        <w:rPr>
          <w:color w:val="231F20"/>
          <w:w w:val="110"/>
        </w:rPr>
        <w:t>la nobleza de origen medieval fue decisiva para la conquista colonial de las Américas, cuyo costo no podría ser calculado en términos estrictamente capitalistas. La anexión de Asia y África por Europa Occidental pudo haberse basado mucho más en el cálculo que la conquista</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Américas</w:t>
      </w:r>
      <w:r>
        <w:rPr>
          <w:color w:val="231F20"/>
          <w:spacing w:val="-10"/>
          <w:w w:val="110"/>
        </w:rPr>
        <w:t> </w:t>
      </w:r>
      <w:r>
        <w:rPr>
          <w:color w:val="231F20"/>
          <w:spacing w:val="-8"/>
          <w:w w:val="110"/>
        </w:rPr>
        <w:t>y,</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tanto,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protagonismo</w:t>
      </w:r>
      <w:r>
        <w:rPr>
          <w:color w:val="231F20"/>
          <w:spacing w:val="-10"/>
          <w:w w:val="110"/>
        </w:rPr>
        <w:t> </w:t>
      </w:r>
      <w:r>
        <w:rPr>
          <w:color w:val="231F20"/>
          <w:w w:val="110"/>
        </w:rPr>
        <w:t>político de las fuerzas capitalistas y liberales, en función de las disparidades militares impulsadas por la revolución industrial europea, aunque este elemento por sí solo sea insuficiente para explicarla.</w:t>
      </w:r>
      <w:r>
        <w:rPr>
          <w:color w:val="231F20"/>
          <w:w w:val="110"/>
          <w:position w:val="6"/>
          <w:sz w:val="13"/>
        </w:rPr>
        <w:t>1 </w:t>
      </w:r>
      <w:r>
        <w:rPr>
          <w:color w:val="231F20"/>
          <w:w w:val="110"/>
        </w:rPr>
        <w:t>Una vez establecida la integración económica a una nueva división  </w:t>
      </w:r>
      <w:r>
        <w:rPr>
          <w:color w:val="231F20"/>
          <w:spacing w:val="34"/>
          <w:w w:val="110"/>
        </w:rPr>
        <w:t> </w:t>
      </w:r>
      <w:r>
        <w:rPr>
          <w:color w:val="231F20"/>
          <w:w w:val="110"/>
        </w:rPr>
        <w:t>interna-</w:t>
      </w:r>
    </w:p>
    <w:p>
      <w:pPr>
        <w:pStyle w:val="BodyText"/>
      </w:pPr>
    </w:p>
    <w:p>
      <w:pPr>
        <w:pStyle w:val="BodyText"/>
        <w:spacing w:before="2"/>
        <w:rPr>
          <w:sz w:val="26"/>
        </w:rPr>
      </w:pPr>
    </w:p>
    <w:p>
      <w:pPr>
        <w:spacing w:before="1"/>
        <w:ind w:left="340" w:right="25" w:firstLine="0"/>
        <w:jc w:val="left"/>
        <w:rPr>
          <w:sz w:val="16"/>
        </w:rPr>
      </w:pPr>
      <w:r>
        <w:rPr>
          <w:color w:val="231F20"/>
          <w:w w:val="110"/>
          <w:position w:val="5"/>
          <w:sz w:val="10"/>
        </w:rPr>
        <w:t>1   </w:t>
      </w:r>
      <w:r>
        <w:rPr>
          <w:color w:val="231F20"/>
          <w:w w:val="110"/>
          <w:sz w:val="16"/>
        </w:rPr>
        <w:t>Hay que añadir la decadencia del Imperio Moghol (Arrighi,  1996).</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4"/>
        <w:jc w:val="both"/>
      </w:pPr>
      <w:r>
        <w:rPr>
          <w:color w:val="231F20"/>
          <w:w w:val="110"/>
        </w:rPr>
        <w:t>cional del trabajo, el imperialismo se vuelve innecesario desde el punto de vista de la lógica global del sistema, ya que la dominación pasa a reposar en las clases dominantes nativas, integradas al prota- gonismo del capital internacional, como señalaron las teorías de la dependencia. Sin embargo, este ajuste no se realiza con facilidad,</w:t>
      </w:r>
      <w:r>
        <w:rPr>
          <w:color w:val="231F20"/>
          <w:spacing w:val="-23"/>
          <w:w w:val="110"/>
        </w:rPr>
        <w:t> </w:t>
      </w:r>
      <w:r>
        <w:rPr>
          <w:color w:val="231F20"/>
          <w:w w:val="110"/>
        </w:rPr>
        <w:t>en función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propia</w:t>
      </w:r>
      <w:r>
        <w:rPr>
          <w:color w:val="231F20"/>
          <w:spacing w:val="-10"/>
          <w:w w:val="110"/>
        </w:rPr>
        <w:t> </w:t>
      </w:r>
      <w:r>
        <w:rPr>
          <w:color w:val="231F20"/>
          <w:w w:val="110"/>
        </w:rPr>
        <w:t>dimensión</w:t>
      </w:r>
      <w:r>
        <w:rPr>
          <w:color w:val="231F20"/>
          <w:spacing w:val="-10"/>
          <w:w w:val="110"/>
        </w:rPr>
        <w:t> </w:t>
      </w:r>
      <w:r>
        <w:rPr>
          <w:color w:val="231F20"/>
          <w:w w:val="110"/>
        </w:rPr>
        <w:t>anárquica</w:t>
      </w:r>
      <w:r>
        <w:rPr>
          <w:color w:val="231F20"/>
          <w:spacing w:val="-10"/>
          <w:w w:val="110"/>
        </w:rPr>
        <w:t> </w:t>
      </w:r>
      <w:r>
        <w:rPr>
          <w:color w:val="231F20"/>
          <w:w w:val="110"/>
        </w:rPr>
        <w:t>y</w:t>
      </w:r>
      <w:r>
        <w:rPr>
          <w:color w:val="231F20"/>
          <w:spacing w:val="-10"/>
          <w:w w:val="110"/>
        </w:rPr>
        <w:t> </w:t>
      </w:r>
      <w:r>
        <w:rPr>
          <w:color w:val="231F20"/>
          <w:w w:val="110"/>
        </w:rPr>
        <w:t>competitiva</w:t>
      </w:r>
      <w:r>
        <w:rPr>
          <w:color w:val="231F20"/>
          <w:spacing w:val="-10"/>
          <w:w w:val="110"/>
        </w:rPr>
        <w:t> </w:t>
      </w:r>
      <w:r>
        <w:rPr>
          <w:color w:val="231F20"/>
          <w:w w:val="110"/>
        </w:rPr>
        <w:t>del</w:t>
      </w:r>
      <w:r>
        <w:rPr>
          <w:color w:val="231F20"/>
          <w:spacing w:val="-10"/>
          <w:w w:val="110"/>
        </w:rPr>
        <w:t> </w:t>
      </w:r>
      <w:r>
        <w:rPr>
          <w:color w:val="231F20"/>
          <w:w w:val="110"/>
        </w:rPr>
        <w:t>capitalis- mo histórico. Proyectos imperialistas dirigidos al centro del sistema amenazando el sistema interestatal fueron elaborados durante las bifurcaciones de </w:t>
      </w:r>
      <w:r>
        <w:rPr>
          <w:color w:val="231F20"/>
          <w:spacing w:val="-3"/>
          <w:w w:val="110"/>
        </w:rPr>
        <w:t>poder, </w:t>
      </w:r>
      <w:r>
        <w:rPr>
          <w:color w:val="231F20"/>
          <w:w w:val="110"/>
        </w:rPr>
        <w:t>inherentes a los periodos de caos sistémico, siendo</w:t>
      </w:r>
      <w:r>
        <w:rPr>
          <w:color w:val="231F20"/>
          <w:spacing w:val="-6"/>
          <w:w w:val="110"/>
        </w:rPr>
        <w:t> </w:t>
      </w:r>
      <w:r>
        <w:rPr>
          <w:color w:val="231F20"/>
          <w:w w:val="110"/>
        </w:rPr>
        <w:t>ampliamente</w:t>
      </w:r>
      <w:r>
        <w:rPr>
          <w:color w:val="231F20"/>
          <w:spacing w:val="-6"/>
          <w:w w:val="110"/>
        </w:rPr>
        <w:t> </w:t>
      </w:r>
      <w:r>
        <w:rPr>
          <w:color w:val="231F20"/>
          <w:w w:val="110"/>
        </w:rPr>
        <w:t>derrotados:</w:t>
      </w:r>
      <w:r>
        <w:rPr>
          <w:color w:val="231F20"/>
          <w:spacing w:val="-6"/>
          <w:w w:val="110"/>
        </w:rPr>
        <w:t> </w:t>
      </w:r>
      <w:r>
        <w:rPr>
          <w:color w:val="231F20"/>
          <w:w w:val="110"/>
        </w:rPr>
        <w:t>la</w:t>
      </w:r>
      <w:r>
        <w:rPr>
          <w:color w:val="231F20"/>
          <w:spacing w:val="-6"/>
          <w:w w:val="110"/>
        </w:rPr>
        <w:t> </w:t>
      </w:r>
      <w:r>
        <w:rPr>
          <w:color w:val="231F20"/>
          <w:w w:val="110"/>
        </w:rPr>
        <w:t>España</w:t>
      </w:r>
      <w:r>
        <w:rPr>
          <w:color w:val="231F20"/>
          <w:spacing w:val="-6"/>
          <w:w w:val="110"/>
        </w:rPr>
        <w:t> </w:t>
      </w:r>
      <w:r>
        <w:rPr>
          <w:color w:val="231F20"/>
          <w:w w:val="110"/>
        </w:rPr>
        <w:t>imperial,</w:t>
      </w:r>
      <w:r>
        <w:rPr>
          <w:color w:val="231F20"/>
          <w:spacing w:val="-6"/>
          <w:w w:val="110"/>
        </w:rPr>
        <w:t> </w:t>
      </w:r>
      <w:r>
        <w:rPr>
          <w:color w:val="231F20"/>
          <w:w w:val="110"/>
        </w:rPr>
        <w:t>la</w:t>
      </w:r>
      <w:r>
        <w:rPr>
          <w:color w:val="231F20"/>
          <w:spacing w:val="-6"/>
          <w:w w:val="110"/>
        </w:rPr>
        <w:t> </w:t>
      </w:r>
      <w:r>
        <w:rPr>
          <w:color w:val="231F20"/>
          <w:w w:val="110"/>
        </w:rPr>
        <w:t>Francia</w:t>
      </w:r>
      <w:r>
        <w:rPr>
          <w:color w:val="231F20"/>
          <w:spacing w:val="-6"/>
          <w:w w:val="110"/>
        </w:rPr>
        <w:t> </w:t>
      </w:r>
      <w:r>
        <w:rPr>
          <w:color w:val="231F20"/>
          <w:w w:val="110"/>
        </w:rPr>
        <w:t>napo- leónica</w:t>
      </w:r>
      <w:r>
        <w:rPr>
          <w:color w:val="231F20"/>
          <w:spacing w:val="-23"/>
          <w:w w:val="110"/>
        </w:rPr>
        <w:t> </w:t>
      </w:r>
      <w:r>
        <w:rPr>
          <w:color w:val="231F20"/>
          <w:w w:val="110"/>
        </w:rPr>
        <w:t>y</w:t>
      </w:r>
      <w:r>
        <w:rPr>
          <w:color w:val="231F20"/>
          <w:spacing w:val="-23"/>
          <w:w w:val="110"/>
        </w:rPr>
        <w:t> </w:t>
      </w:r>
      <w:r>
        <w:rPr>
          <w:color w:val="231F20"/>
          <w:w w:val="110"/>
        </w:rPr>
        <w:t>la</w:t>
      </w:r>
      <w:r>
        <w:rPr>
          <w:color w:val="231F20"/>
          <w:spacing w:val="-23"/>
          <w:w w:val="110"/>
        </w:rPr>
        <w:t> </w:t>
      </w:r>
      <w:r>
        <w:rPr>
          <w:color w:val="231F20"/>
          <w:w w:val="110"/>
        </w:rPr>
        <w:t>Alemania</w:t>
      </w:r>
      <w:r>
        <w:rPr>
          <w:color w:val="231F20"/>
          <w:spacing w:val="-23"/>
          <w:w w:val="110"/>
        </w:rPr>
        <w:t> </w:t>
      </w:r>
      <w:r>
        <w:rPr>
          <w:color w:val="231F20"/>
          <w:w w:val="110"/>
        </w:rPr>
        <w:t>nazi</w:t>
      </w:r>
      <w:r>
        <w:rPr>
          <w:color w:val="231F20"/>
          <w:spacing w:val="-23"/>
          <w:w w:val="110"/>
        </w:rPr>
        <w:t> </w:t>
      </w:r>
      <w:r>
        <w:rPr>
          <w:color w:val="231F20"/>
          <w:w w:val="110"/>
        </w:rPr>
        <w:t>buscaban,</w:t>
      </w:r>
      <w:r>
        <w:rPr>
          <w:color w:val="231F20"/>
          <w:spacing w:val="-23"/>
          <w:w w:val="110"/>
        </w:rPr>
        <w:t> </w:t>
      </w:r>
      <w:r>
        <w:rPr>
          <w:color w:val="231F20"/>
          <w:w w:val="110"/>
        </w:rPr>
        <w:t>a</w:t>
      </w:r>
      <w:r>
        <w:rPr>
          <w:color w:val="231F20"/>
          <w:spacing w:val="-23"/>
          <w:w w:val="110"/>
        </w:rPr>
        <w:t> </w:t>
      </w:r>
      <w:r>
        <w:rPr>
          <w:color w:val="231F20"/>
          <w:w w:val="110"/>
        </w:rPr>
        <w:t>través</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política-monopolio de la violencia subordinar la economía y prorrogar o establecer su dominación sobre el moderno sistema </w:t>
      </w:r>
      <w:r>
        <w:rPr>
          <w:color w:val="231F20"/>
          <w:spacing w:val="15"/>
          <w:w w:val="110"/>
        </w:rPr>
        <w:t> </w:t>
      </w:r>
      <w:r>
        <w:rPr>
          <w:color w:val="231F20"/>
          <w:w w:val="110"/>
        </w:rPr>
        <w:t>mundial.</w:t>
      </w:r>
    </w:p>
    <w:p>
      <w:pPr>
        <w:pStyle w:val="BodyText"/>
        <w:spacing w:line="261" w:lineRule="auto"/>
        <w:ind w:left="100" w:right="115" w:firstLine="240"/>
        <w:jc w:val="both"/>
      </w:pPr>
      <w:r>
        <w:rPr>
          <w:color w:val="231F20"/>
          <w:w w:val="110"/>
        </w:rPr>
        <w:t>El</w:t>
      </w:r>
      <w:r>
        <w:rPr>
          <w:color w:val="231F20"/>
          <w:spacing w:val="-12"/>
          <w:w w:val="110"/>
        </w:rPr>
        <w:t> </w:t>
      </w:r>
      <w:r>
        <w:rPr>
          <w:color w:val="231F20"/>
          <w:w w:val="110"/>
        </w:rPr>
        <w:t>concepto</w:t>
      </w:r>
      <w:r>
        <w:rPr>
          <w:color w:val="231F20"/>
          <w:spacing w:val="-12"/>
          <w:w w:val="110"/>
        </w:rPr>
        <w:t> </w:t>
      </w:r>
      <w:r>
        <w:rPr>
          <w:color w:val="231F20"/>
          <w:w w:val="110"/>
        </w:rPr>
        <w:t>de</w:t>
      </w:r>
      <w:r>
        <w:rPr>
          <w:color w:val="231F20"/>
          <w:spacing w:val="-12"/>
          <w:w w:val="110"/>
        </w:rPr>
        <w:t> </w:t>
      </w:r>
      <w:r>
        <w:rPr>
          <w:color w:val="231F20"/>
          <w:w w:val="110"/>
        </w:rPr>
        <w:t>capitalismo</w:t>
      </w:r>
      <w:r>
        <w:rPr>
          <w:color w:val="231F20"/>
          <w:spacing w:val="-12"/>
          <w:w w:val="110"/>
        </w:rPr>
        <w:t> </w:t>
      </w:r>
      <w:r>
        <w:rPr>
          <w:color w:val="231F20"/>
          <w:w w:val="110"/>
        </w:rPr>
        <w:t>histórico</w:t>
      </w:r>
      <w:r>
        <w:rPr>
          <w:color w:val="231F20"/>
          <w:spacing w:val="-12"/>
          <w:w w:val="110"/>
        </w:rPr>
        <w:t> </w:t>
      </w:r>
      <w:r>
        <w:rPr>
          <w:color w:val="231F20"/>
          <w:w w:val="110"/>
        </w:rPr>
        <w:t>utilizado</w:t>
      </w:r>
      <w:r>
        <w:rPr>
          <w:color w:val="231F20"/>
          <w:spacing w:val="-12"/>
          <w:w w:val="110"/>
        </w:rPr>
        <w:t> </w:t>
      </w:r>
      <w:r>
        <w:rPr>
          <w:color w:val="231F20"/>
          <w:w w:val="110"/>
        </w:rPr>
        <w:t>por</w:t>
      </w:r>
      <w:r>
        <w:rPr>
          <w:color w:val="231F20"/>
          <w:spacing w:val="-12"/>
          <w:w w:val="110"/>
        </w:rPr>
        <w:t> </w:t>
      </w:r>
      <w:r>
        <w:rPr>
          <w:color w:val="231F20"/>
          <w:w w:val="110"/>
        </w:rPr>
        <w:t>los</w:t>
      </w:r>
      <w:r>
        <w:rPr>
          <w:color w:val="231F20"/>
          <w:spacing w:val="-12"/>
          <w:w w:val="110"/>
        </w:rPr>
        <w:t> </w:t>
      </w:r>
      <w:r>
        <w:rPr>
          <w:color w:val="231F20"/>
          <w:w w:val="110"/>
        </w:rPr>
        <w:t>autores</w:t>
      </w:r>
      <w:r>
        <w:rPr>
          <w:color w:val="231F20"/>
          <w:spacing w:val="-12"/>
          <w:w w:val="110"/>
        </w:rPr>
        <w:t> </w:t>
      </w:r>
      <w:r>
        <w:rPr>
          <w:color w:val="231F20"/>
          <w:w w:val="110"/>
        </w:rPr>
        <w:t>es</w:t>
      </w:r>
      <w:r>
        <w:rPr>
          <w:color w:val="231F20"/>
          <w:spacing w:val="-12"/>
          <w:w w:val="110"/>
        </w:rPr>
        <w:t> </w:t>
      </w:r>
      <w:r>
        <w:rPr>
          <w:color w:val="231F20"/>
          <w:w w:val="110"/>
        </w:rPr>
        <w:t>de gran</w:t>
      </w:r>
      <w:r>
        <w:rPr>
          <w:color w:val="231F20"/>
          <w:spacing w:val="-20"/>
          <w:w w:val="110"/>
        </w:rPr>
        <w:t> </w:t>
      </w:r>
      <w:r>
        <w:rPr>
          <w:color w:val="231F20"/>
          <w:w w:val="110"/>
        </w:rPr>
        <w:t>importancia.</w:t>
      </w:r>
      <w:r>
        <w:rPr>
          <w:color w:val="231F20"/>
          <w:spacing w:val="-20"/>
          <w:w w:val="110"/>
        </w:rPr>
        <w:t> </w:t>
      </w:r>
      <w:r>
        <w:rPr>
          <w:color w:val="231F20"/>
          <w:w w:val="110"/>
        </w:rPr>
        <w:t>A</w:t>
      </w:r>
      <w:r>
        <w:rPr>
          <w:color w:val="231F20"/>
          <w:spacing w:val="-20"/>
          <w:w w:val="110"/>
        </w:rPr>
        <w:t> </w:t>
      </w:r>
      <w:r>
        <w:rPr>
          <w:color w:val="231F20"/>
          <w:w w:val="110"/>
        </w:rPr>
        <w:t>través</w:t>
      </w:r>
      <w:r>
        <w:rPr>
          <w:color w:val="231F20"/>
          <w:spacing w:val="-20"/>
          <w:w w:val="110"/>
        </w:rPr>
        <w:t> </w:t>
      </w:r>
      <w:r>
        <w:rPr>
          <w:color w:val="231F20"/>
          <w:w w:val="110"/>
        </w:rPr>
        <w:t>de</w:t>
      </w:r>
      <w:r>
        <w:rPr>
          <w:color w:val="231F20"/>
          <w:spacing w:val="-20"/>
          <w:w w:val="110"/>
        </w:rPr>
        <w:t> </w:t>
      </w:r>
      <w:r>
        <w:rPr>
          <w:color w:val="231F20"/>
          <w:w w:val="110"/>
        </w:rPr>
        <w:t>él</w:t>
      </w:r>
      <w:r>
        <w:rPr>
          <w:color w:val="231F20"/>
          <w:spacing w:val="-20"/>
          <w:w w:val="110"/>
        </w:rPr>
        <w:t> </w:t>
      </w:r>
      <w:r>
        <w:rPr>
          <w:color w:val="231F20"/>
          <w:w w:val="110"/>
        </w:rPr>
        <w:t>analizan</w:t>
      </w:r>
      <w:r>
        <w:rPr>
          <w:color w:val="231F20"/>
          <w:spacing w:val="-20"/>
          <w:w w:val="110"/>
        </w:rPr>
        <w:t> </w:t>
      </w:r>
      <w:r>
        <w:rPr>
          <w:color w:val="231F20"/>
          <w:w w:val="110"/>
        </w:rPr>
        <w:t>los</w:t>
      </w:r>
      <w:r>
        <w:rPr>
          <w:color w:val="231F20"/>
          <w:spacing w:val="-20"/>
          <w:w w:val="110"/>
        </w:rPr>
        <w:t> </w:t>
      </w:r>
      <w:r>
        <w:rPr>
          <w:color w:val="231F20"/>
          <w:w w:val="110"/>
        </w:rPr>
        <w:t>procesos</w:t>
      </w:r>
      <w:r>
        <w:rPr>
          <w:color w:val="231F20"/>
          <w:spacing w:val="-20"/>
          <w:w w:val="110"/>
        </w:rPr>
        <w:t> </w:t>
      </w:r>
      <w:r>
        <w:rPr>
          <w:color w:val="231F20"/>
          <w:w w:val="110"/>
        </w:rPr>
        <w:t>de</w:t>
      </w:r>
      <w:r>
        <w:rPr>
          <w:color w:val="231F20"/>
          <w:spacing w:val="-20"/>
          <w:w w:val="110"/>
        </w:rPr>
        <w:t> </w:t>
      </w:r>
      <w:r>
        <w:rPr>
          <w:color w:val="231F20"/>
          <w:w w:val="110"/>
        </w:rPr>
        <w:t>acumulación de capital tal como se desarrollaron históricamente, posibilitando visualizar los primordios del sistema de dominación capitalista y</w:t>
      </w:r>
      <w:r>
        <w:rPr>
          <w:color w:val="231F20"/>
          <w:spacing w:val="-30"/>
          <w:w w:val="110"/>
        </w:rPr>
        <w:t> </w:t>
      </w:r>
      <w:r>
        <w:rPr>
          <w:color w:val="231F20"/>
          <w:w w:val="110"/>
        </w:rPr>
        <w:t>sus tendencias de larga duración. Identifican las tendencias seculares de esa estructura: la acumulación ilimitada y la tendencia decreciente de la tasa de lucro, como polaridades antagónicas, indisolubles y fundamentos</w:t>
      </w:r>
      <w:r>
        <w:rPr>
          <w:color w:val="231F20"/>
          <w:spacing w:val="-11"/>
          <w:w w:val="110"/>
        </w:rPr>
        <w:t> </w:t>
      </w:r>
      <w:r>
        <w:rPr>
          <w:color w:val="231F20"/>
          <w:w w:val="110"/>
        </w:rPr>
        <w:t>de</w:t>
      </w:r>
      <w:r>
        <w:rPr>
          <w:color w:val="231F20"/>
          <w:spacing w:val="-11"/>
          <w:w w:val="110"/>
        </w:rPr>
        <w:t> </w:t>
      </w:r>
      <w:r>
        <w:rPr>
          <w:color w:val="231F20"/>
          <w:w w:val="110"/>
        </w:rPr>
        <w:t>sus</w:t>
      </w:r>
      <w:r>
        <w:rPr>
          <w:color w:val="231F20"/>
          <w:spacing w:val="-11"/>
          <w:w w:val="110"/>
        </w:rPr>
        <w:t> </w:t>
      </w:r>
      <w:r>
        <w:rPr>
          <w:color w:val="231F20"/>
          <w:w w:val="110"/>
        </w:rPr>
        <w:t>ciclos.</w:t>
      </w:r>
      <w:r>
        <w:rPr>
          <w:color w:val="231F20"/>
          <w:spacing w:val="-11"/>
          <w:w w:val="110"/>
        </w:rPr>
        <w:t> </w:t>
      </w:r>
      <w:r>
        <w:rPr>
          <w:color w:val="231F20"/>
          <w:w w:val="110"/>
        </w:rPr>
        <w:t>Arreglos</w:t>
      </w:r>
      <w:r>
        <w:rPr>
          <w:color w:val="231F20"/>
          <w:spacing w:val="-11"/>
          <w:w w:val="110"/>
        </w:rPr>
        <w:t> </w:t>
      </w:r>
      <w:r>
        <w:rPr>
          <w:color w:val="231F20"/>
          <w:w w:val="110"/>
        </w:rPr>
        <w:t>organizacionales</w:t>
      </w:r>
      <w:r>
        <w:rPr>
          <w:color w:val="231F20"/>
          <w:spacing w:val="-11"/>
          <w:w w:val="110"/>
        </w:rPr>
        <w:t> </w:t>
      </w:r>
      <w:r>
        <w:rPr>
          <w:color w:val="231F20"/>
          <w:w w:val="110"/>
        </w:rPr>
        <w:t>históricamente provisionales garantizan el predominio de la primera, pero, al ago- tarse, dan lugar a la primacía de la segunda. Nuevos patrones de organización</w:t>
      </w:r>
      <w:r>
        <w:rPr>
          <w:color w:val="231F20"/>
          <w:spacing w:val="-18"/>
          <w:w w:val="110"/>
        </w:rPr>
        <w:t> </w:t>
      </w:r>
      <w:r>
        <w:rPr>
          <w:color w:val="231F20"/>
          <w:w w:val="110"/>
        </w:rPr>
        <w:t>son</w:t>
      </w:r>
      <w:r>
        <w:rPr>
          <w:color w:val="231F20"/>
          <w:spacing w:val="-18"/>
          <w:w w:val="110"/>
        </w:rPr>
        <w:t> </w:t>
      </w:r>
      <w:r>
        <w:rPr>
          <w:color w:val="231F20"/>
          <w:w w:val="110"/>
        </w:rPr>
        <w:t>establecidos,</w:t>
      </w:r>
      <w:r>
        <w:rPr>
          <w:color w:val="231F20"/>
          <w:spacing w:val="-18"/>
          <w:w w:val="110"/>
        </w:rPr>
        <w:t> </w:t>
      </w:r>
      <w:r>
        <w:rPr>
          <w:color w:val="231F20"/>
          <w:w w:val="110"/>
        </w:rPr>
        <w:t>fundándose,</w:t>
      </w:r>
      <w:r>
        <w:rPr>
          <w:color w:val="231F20"/>
          <w:spacing w:val="-18"/>
          <w:w w:val="110"/>
        </w:rPr>
        <w:t> </w:t>
      </w:r>
      <w:r>
        <w:rPr>
          <w:color w:val="231F20"/>
          <w:w w:val="110"/>
        </w:rPr>
        <w:t>en</w:t>
      </w:r>
      <w:r>
        <w:rPr>
          <w:color w:val="231F20"/>
          <w:spacing w:val="-18"/>
          <w:w w:val="110"/>
        </w:rPr>
        <w:t> </w:t>
      </w:r>
      <w:r>
        <w:rPr>
          <w:color w:val="231F20"/>
          <w:w w:val="110"/>
        </w:rPr>
        <w:t>última</w:t>
      </w:r>
      <w:r>
        <w:rPr>
          <w:color w:val="231F20"/>
          <w:spacing w:val="-18"/>
          <w:w w:val="110"/>
        </w:rPr>
        <w:t> </w:t>
      </w:r>
      <w:r>
        <w:rPr>
          <w:color w:val="231F20"/>
          <w:w w:val="110"/>
        </w:rPr>
        <w:t>instancia,</w:t>
      </w:r>
      <w:r>
        <w:rPr>
          <w:color w:val="231F20"/>
          <w:spacing w:val="-18"/>
          <w:w w:val="110"/>
        </w:rPr>
        <w:t> </w:t>
      </w:r>
      <w:r>
        <w:rPr>
          <w:color w:val="231F20"/>
          <w:w w:val="110"/>
        </w:rPr>
        <w:t>en</w:t>
      </w:r>
      <w:r>
        <w:rPr>
          <w:color w:val="231F20"/>
          <w:spacing w:val="-18"/>
          <w:w w:val="110"/>
        </w:rPr>
        <w:t> </w:t>
      </w:r>
      <w:r>
        <w:rPr>
          <w:color w:val="231F20"/>
          <w:w w:val="110"/>
        </w:rPr>
        <w:t>las posibilidades</w:t>
      </w:r>
      <w:r>
        <w:rPr>
          <w:color w:val="231F20"/>
          <w:spacing w:val="-11"/>
          <w:w w:val="110"/>
        </w:rPr>
        <w:t> </w:t>
      </w:r>
      <w:r>
        <w:rPr>
          <w:color w:val="231F20"/>
          <w:w w:val="110"/>
        </w:rPr>
        <w:t>estructurales</w:t>
      </w:r>
      <w:r>
        <w:rPr>
          <w:color w:val="231F20"/>
          <w:spacing w:val="-11"/>
          <w:w w:val="110"/>
        </w:rPr>
        <w:t> </w:t>
      </w:r>
      <w:r>
        <w:rPr>
          <w:color w:val="231F20"/>
          <w:w w:val="110"/>
        </w:rPr>
        <w:t>de</w:t>
      </w:r>
      <w:r>
        <w:rPr>
          <w:color w:val="231F20"/>
          <w:spacing w:val="-11"/>
          <w:w w:val="110"/>
        </w:rPr>
        <w:t> </w:t>
      </w:r>
      <w:r>
        <w:rPr>
          <w:color w:val="231F20"/>
          <w:w w:val="110"/>
        </w:rPr>
        <w:t>desarrollo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acumulación</w:t>
      </w:r>
      <w:r>
        <w:rPr>
          <w:color w:val="231F20"/>
          <w:spacing w:val="-11"/>
          <w:w w:val="110"/>
        </w:rPr>
        <w:t> </w:t>
      </w:r>
      <w:r>
        <w:rPr>
          <w:color w:val="231F20"/>
          <w:w w:val="110"/>
        </w:rPr>
        <w:t>ilimitada, pero</w:t>
      </w:r>
      <w:r>
        <w:rPr>
          <w:color w:val="231F20"/>
          <w:spacing w:val="-13"/>
          <w:w w:val="110"/>
        </w:rPr>
        <w:t> </w:t>
      </w:r>
      <w:r>
        <w:rPr>
          <w:color w:val="231F20"/>
          <w:w w:val="110"/>
        </w:rPr>
        <w:t>si</w:t>
      </w:r>
      <w:r>
        <w:rPr>
          <w:color w:val="231F20"/>
          <w:spacing w:val="-13"/>
          <w:w w:val="110"/>
        </w:rPr>
        <w:t> </w:t>
      </w:r>
      <w:r>
        <w:rPr>
          <w:color w:val="231F20"/>
          <w:w w:val="110"/>
        </w:rPr>
        <w:t>las</w:t>
      </w:r>
      <w:r>
        <w:rPr>
          <w:color w:val="231F20"/>
          <w:spacing w:val="-13"/>
          <w:w w:val="110"/>
        </w:rPr>
        <w:t> </w:t>
      </w:r>
      <w:r>
        <w:rPr>
          <w:color w:val="231F20"/>
          <w:w w:val="110"/>
        </w:rPr>
        <w:t>impulsan,</w:t>
      </w:r>
      <w:r>
        <w:rPr>
          <w:color w:val="231F20"/>
          <w:spacing w:val="-13"/>
          <w:w w:val="110"/>
        </w:rPr>
        <w:t> </w:t>
      </w:r>
      <w:r>
        <w:rPr>
          <w:color w:val="231F20"/>
          <w:w w:val="110"/>
        </w:rPr>
        <w:t>las</w:t>
      </w:r>
      <w:r>
        <w:rPr>
          <w:color w:val="231F20"/>
          <w:spacing w:val="-13"/>
          <w:w w:val="110"/>
        </w:rPr>
        <w:t> </w:t>
      </w:r>
      <w:r>
        <w:rPr>
          <w:color w:val="231F20"/>
          <w:w w:val="110"/>
        </w:rPr>
        <w:t>desgastan.</w:t>
      </w:r>
      <w:r>
        <w:rPr>
          <w:color w:val="231F20"/>
          <w:spacing w:val="-13"/>
          <w:w w:val="110"/>
        </w:rPr>
        <w:t> </w:t>
      </w:r>
      <w:r>
        <w:rPr>
          <w:color w:val="231F20"/>
          <w:w w:val="110"/>
        </w:rPr>
        <w:t>Wallerstein</w:t>
      </w:r>
      <w:r>
        <w:rPr>
          <w:color w:val="231F20"/>
          <w:spacing w:val="-13"/>
          <w:w w:val="110"/>
        </w:rPr>
        <w:t> </w:t>
      </w:r>
      <w:r>
        <w:rPr>
          <w:color w:val="231F20"/>
          <w:w w:val="110"/>
        </w:rPr>
        <w:t>y</w:t>
      </w:r>
      <w:r>
        <w:rPr>
          <w:color w:val="231F20"/>
          <w:spacing w:val="-13"/>
          <w:w w:val="110"/>
        </w:rPr>
        <w:t> </w:t>
      </w:r>
      <w:r>
        <w:rPr>
          <w:color w:val="231F20"/>
          <w:w w:val="110"/>
        </w:rPr>
        <w:t>Arrighi</w:t>
      </w:r>
      <w:r>
        <w:rPr>
          <w:color w:val="231F20"/>
          <w:spacing w:val="-13"/>
          <w:w w:val="110"/>
        </w:rPr>
        <w:t> </w:t>
      </w:r>
      <w:r>
        <w:rPr>
          <w:color w:val="231F20"/>
          <w:w w:val="110"/>
        </w:rPr>
        <w:t>parten</w:t>
      </w:r>
      <w:r>
        <w:rPr>
          <w:color w:val="231F20"/>
          <w:spacing w:val="-13"/>
          <w:w w:val="110"/>
        </w:rPr>
        <w:t> </w:t>
      </w:r>
      <w:r>
        <w:rPr>
          <w:color w:val="231F20"/>
          <w:w w:val="110"/>
        </w:rPr>
        <w:t>toda- vía del concepto de capitalismo histórico para señalar que la</w:t>
      </w:r>
      <w:r>
        <w:rPr>
          <w:color w:val="231F20"/>
          <w:spacing w:val="-15"/>
          <w:w w:val="110"/>
        </w:rPr>
        <w:t> </w:t>
      </w:r>
      <w:r>
        <w:rPr>
          <w:color w:val="231F20"/>
          <w:w w:val="110"/>
        </w:rPr>
        <w:t>acumu- lación de capital se vincula al monopolio, siendo éste producido por la restricción de la competencia mediante la articulación de actores privados al Estado. Apuntan todavía que la creación de un sistema- mundo capitalista precedió al desarrollo de la llamada revolución industrial, iniciándose con el control económico y presupuestario de los Estados europeos por los capitales comercial y</w:t>
      </w:r>
      <w:r>
        <w:rPr>
          <w:color w:val="231F20"/>
          <w:spacing w:val="-8"/>
          <w:w w:val="110"/>
        </w:rPr>
        <w:t> </w:t>
      </w:r>
      <w:r>
        <w:rPr>
          <w:color w:val="231F20"/>
          <w:w w:val="110"/>
        </w:rPr>
        <w:t>usurario.</w:t>
      </w:r>
    </w:p>
    <w:p>
      <w:pPr>
        <w:pStyle w:val="BodyText"/>
        <w:spacing w:line="261" w:lineRule="auto"/>
        <w:ind w:left="100" w:right="114" w:firstLine="240"/>
        <w:jc w:val="both"/>
      </w:pPr>
      <w:r>
        <w:rPr>
          <w:color w:val="231F20"/>
          <w:w w:val="110"/>
        </w:rPr>
        <w:t>La </w:t>
      </w:r>
      <w:r>
        <w:rPr>
          <w:color w:val="231F20"/>
          <w:spacing w:val="2"/>
          <w:w w:val="110"/>
        </w:rPr>
        <w:t>perspectiva neobraudeliana desarrollada </w:t>
      </w:r>
      <w:r>
        <w:rPr>
          <w:color w:val="231F20"/>
          <w:w w:val="110"/>
        </w:rPr>
        <w:t>por Wallerstein e Giovanni Arrighi representa un aporte extremadamente importante para la renovación del pensamiento marxista. Sin embargo, presenta también</w:t>
      </w:r>
      <w:r>
        <w:rPr>
          <w:color w:val="231F20"/>
          <w:spacing w:val="-6"/>
          <w:w w:val="110"/>
        </w:rPr>
        <w:t> </w:t>
      </w:r>
      <w:r>
        <w:rPr>
          <w:color w:val="231F20"/>
          <w:w w:val="110"/>
        </w:rPr>
        <w:t>algunas</w:t>
      </w:r>
      <w:r>
        <w:rPr>
          <w:color w:val="231F20"/>
          <w:spacing w:val="-6"/>
          <w:w w:val="110"/>
        </w:rPr>
        <w:t> </w:t>
      </w:r>
      <w:r>
        <w:rPr>
          <w:color w:val="231F20"/>
          <w:w w:val="110"/>
        </w:rPr>
        <w:t>limitaciones,</w:t>
      </w:r>
      <w:r>
        <w:rPr>
          <w:color w:val="231F20"/>
          <w:spacing w:val="-6"/>
          <w:w w:val="110"/>
        </w:rPr>
        <w:t> </w:t>
      </w:r>
      <w:r>
        <w:rPr>
          <w:color w:val="231F20"/>
          <w:w w:val="110"/>
        </w:rPr>
        <w:t>la</w:t>
      </w:r>
      <w:r>
        <w:rPr>
          <w:color w:val="231F20"/>
          <w:spacing w:val="-6"/>
          <w:w w:val="110"/>
        </w:rPr>
        <w:t> </w:t>
      </w:r>
      <w:r>
        <w:rPr>
          <w:color w:val="231F20"/>
          <w:w w:val="110"/>
        </w:rPr>
        <w:t>principal:</w:t>
      </w:r>
      <w:r>
        <w:rPr>
          <w:color w:val="231F20"/>
          <w:spacing w:val="-6"/>
          <w:w w:val="110"/>
        </w:rPr>
        <w:t> </w:t>
      </w:r>
      <w:r>
        <w:rPr>
          <w:color w:val="231F20"/>
          <w:w w:val="110"/>
        </w:rPr>
        <w:t>el</w:t>
      </w:r>
      <w:r>
        <w:rPr>
          <w:color w:val="231F20"/>
          <w:spacing w:val="-6"/>
          <w:w w:val="110"/>
        </w:rPr>
        <w:t> </w:t>
      </w:r>
      <w:r>
        <w:rPr>
          <w:color w:val="231F20"/>
          <w:w w:val="110"/>
        </w:rPr>
        <w:t>abandono</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teoría de la plusvalía y del concepto de modo de producción. Pero, esos límites</w:t>
      </w:r>
      <w:r>
        <w:rPr>
          <w:color w:val="231F20"/>
          <w:spacing w:val="-14"/>
          <w:w w:val="110"/>
        </w:rPr>
        <w:t> </w:t>
      </w:r>
      <w:r>
        <w:rPr>
          <w:color w:val="231F20"/>
          <w:w w:val="110"/>
        </w:rPr>
        <w:t>pueden</w:t>
      </w:r>
      <w:r>
        <w:rPr>
          <w:color w:val="231F20"/>
          <w:spacing w:val="-14"/>
          <w:w w:val="110"/>
        </w:rPr>
        <w:t> </w:t>
      </w:r>
      <w:r>
        <w:rPr>
          <w:color w:val="231F20"/>
          <w:w w:val="110"/>
        </w:rPr>
        <w:t>ser</w:t>
      </w:r>
      <w:r>
        <w:rPr>
          <w:color w:val="231F20"/>
          <w:spacing w:val="-14"/>
          <w:w w:val="110"/>
        </w:rPr>
        <w:t> </w:t>
      </w:r>
      <w:r>
        <w:rPr>
          <w:color w:val="231F20"/>
          <w:w w:val="110"/>
        </w:rPr>
        <w:t>rebasados,</w:t>
      </w:r>
      <w:r>
        <w:rPr>
          <w:color w:val="231F20"/>
          <w:spacing w:val="-14"/>
          <w:w w:val="110"/>
        </w:rPr>
        <w:t> </w:t>
      </w:r>
      <w:r>
        <w:rPr>
          <w:color w:val="231F20"/>
          <w:w w:val="110"/>
        </w:rPr>
        <w:t>una</w:t>
      </w:r>
      <w:r>
        <w:rPr>
          <w:color w:val="231F20"/>
          <w:spacing w:val="-14"/>
          <w:w w:val="110"/>
        </w:rPr>
        <w:t> </w:t>
      </w:r>
      <w:r>
        <w:rPr>
          <w:color w:val="231F20"/>
          <w:w w:val="110"/>
        </w:rPr>
        <w:t>vez</w:t>
      </w:r>
      <w:r>
        <w:rPr>
          <w:color w:val="231F20"/>
          <w:spacing w:val="-14"/>
          <w:w w:val="110"/>
        </w:rPr>
        <w:t> </w:t>
      </w:r>
      <w:r>
        <w:rPr>
          <w:color w:val="231F20"/>
          <w:w w:val="110"/>
        </w:rPr>
        <w:t>que</w:t>
      </w:r>
      <w:r>
        <w:rPr>
          <w:color w:val="231F20"/>
          <w:spacing w:val="-14"/>
          <w:w w:val="110"/>
        </w:rPr>
        <w:t> </w:t>
      </w:r>
      <w:r>
        <w:rPr>
          <w:color w:val="231F20"/>
          <w:w w:val="110"/>
        </w:rPr>
        <w:t>no</w:t>
      </w:r>
      <w:r>
        <w:rPr>
          <w:color w:val="231F20"/>
          <w:spacing w:val="-14"/>
          <w:w w:val="110"/>
        </w:rPr>
        <w:t> </w:t>
      </w:r>
      <w:r>
        <w:rPr>
          <w:color w:val="231F20"/>
          <w:w w:val="110"/>
        </w:rPr>
        <w:t>son</w:t>
      </w:r>
      <w:r>
        <w:rPr>
          <w:color w:val="231F20"/>
          <w:spacing w:val="-14"/>
          <w:w w:val="110"/>
        </w:rPr>
        <w:t> </w:t>
      </w:r>
      <w:r>
        <w:rPr>
          <w:color w:val="231F20"/>
          <w:w w:val="110"/>
        </w:rPr>
        <w:t>necesarios</w:t>
      </w:r>
      <w:r>
        <w:rPr>
          <w:color w:val="231F20"/>
          <w:spacing w:val="-14"/>
          <w:w w:val="110"/>
        </w:rPr>
        <w:t> </w:t>
      </w:r>
      <w:r>
        <w:rPr>
          <w:color w:val="231F20"/>
          <w:w w:val="110"/>
        </w:rPr>
        <w:t>y</w:t>
      </w:r>
      <w:r>
        <w:rPr>
          <w:color w:val="231F20"/>
          <w:spacing w:val="-14"/>
          <w:w w:val="110"/>
        </w:rPr>
        <w:t> </w:t>
      </w:r>
      <w:r>
        <w:rPr>
          <w:color w:val="231F20"/>
          <w:w w:val="110"/>
        </w:rPr>
        <w:t>pueden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ser resignificados. El concepto de capitalismo histórico se articula bastante bien a la concepción de Marx de que en la transición entre modos de producción, la política juega un papel decisivo. El modo de producción capitalista empezó por el control político de la super- estructura, de la misma manera que la dictadura del proletariado es el</w:t>
      </w:r>
      <w:r>
        <w:rPr>
          <w:color w:val="231F20"/>
          <w:spacing w:val="-11"/>
          <w:w w:val="110"/>
        </w:rPr>
        <w:t> </w:t>
      </w:r>
      <w:r>
        <w:rPr>
          <w:color w:val="231F20"/>
          <w:w w:val="110"/>
        </w:rPr>
        <w:t>elemento</w:t>
      </w:r>
      <w:r>
        <w:rPr>
          <w:color w:val="231F20"/>
          <w:spacing w:val="-11"/>
          <w:w w:val="110"/>
        </w:rPr>
        <w:t> </w:t>
      </w:r>
      <w:r>
        <w:rPr>
          <w:color w:val="231F20"/>
          <w:w w:val="110"/>
        </w:rPr>
        <w:t>clave</w:t>
      </w:r>
      <w:r>
        <w:rPr>
          <w:color w:val="231F20"/>
          <w:spacing w:val="-11"/>
          <w:w w:val="110"/>
        </w:rPr>
        <w:t> </w:t>
      </w:r>
      <w:r>
        <w:rPr>
          <w:color w:val="231F20"/>
          <w:w w:val="110"/>
        </w:rPr>
        <w:t>de</w:t>
      </w:r>
      <w:r>
        <w:rPr>
          <w:color w:val="231F20"/>
          <w:spacing w:val="-11"/>
          <w:w w:val="110"/>
        </w:rPr>
        <w:t> </w:t>
      </w:r>
      <w:r>
        <w:rPr>
          <w:color w:val="231F20"/>
          <w:w w:val="110"/>
        </w:rPr>
        <w:t>organización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transición</w:t>
      </w:r>
      <w:r>
        <w:rPr>
          <w:color w:val="231F20"/>
          <w:spacing w:val="-11"/>
          <w:w w:val="110"/>
        </w:rPr>
        <w:t> </w:t>
      </w:r>
      <w:r>
        <w:rPr>
          <w:color w:val="231F20"/>
          <w:w w:val="110"/>
        </w:rPr>
        <w:t>al</w:t>
      </w:r>
      <w:r>
        <w:rPr>
          <w:color w:val="231F20"/>
          <w:spacing w:val="-11"/>
          <w:w w:val="110"/>
        </w:rPr>
        <w:t> </w:t>
      </w:r>
      <w:r>
        <w:rPr>
          <w:color w:val="231F20"/>
          <w:w w:val="110"/>
        </w:rPr>
        <w:t>socialismo.</w:t>
      </w:r>
      <w:r>
        <w:rPr>
          <w:color w:val="231F20"/>
          <w:spacing w:val="-11"/>
          <w:w w:val="110"/>
        </w:rPr>
        <w:t> </w:t>
      </w:r>
      <w:r>
        <w:rPr>
          <w:color w:val="231F20"/>
          <w:w w:val="110"/>
        </w:rPr>
        <w:t>Esto fue lo que permitió, en el capitalismo, el posterior desarrollo de la base económica del modo de producción, sus fuerzas productivas y relaciones de producción, </w:t>
      </w:r>
      <w:r>
        <w:rPr>
          <w:color w:val="231F20"/>
          <w:spacing w:val="-8"/>
          <w:w w:val="110"/>
        </w:rPr>
        <w:t>y, </w:t>
      </w:r>
      <w:r>
        <w:rPr>
          <w:color w:val="231F20"/>
          <w:w w:val="110"/>
        </w:rPr>
        <w:t>podrá hacerlo, según Marx, en un hi- potético y futuro modo de producción comunista, siempre y cuando el proletariado logre imponer su hegemonía política para afirmar la transición</w:t>
      </w:r>
      <w:r>
        <w:rPr>
          <w:color w:val="231F20"/>
          <w:spacing w:val="-6"/>
          <w:w w:val="110"/>
        </w:rPr>
        <w:t> </w:t>
      </w:r>
      <w:r>
        <w:rPr>
          <w:color w:val="231F20"/>
          <w:w w:val="110"/>
        </w:rPr>
        <w:t>socialista.</w:t>
      </w:r>
      <w:r>
        <w:rPr>
          <w:color w:val="231F20"/>
          <w:spacing w:val="-6"/>
          <w:w w:val="110"/>
        </w:rPr>
        <w:t> </w:t>
      </w:r>
      <w:r>
        <w:rPr>
          <w:color w:val="231F20"/>
          <w:w w:val="110"/>
        </w:rPr>
        <w:t>El</w:t>
      </w:r>
      <w:r>
        <w:rPr>
          <w:color w:val="231F20"/>
          <w:spacing w:val="-6"/>
          <w:w w:val="110"/>
        </w:rPr>
        <w:t> </w:t>
      </w:r>
      <w:r>
        <w:rPr>
          <w:color w:val="231F20"/>
          <w:w w:val="110"/>
        </w:rPr>
        <w:t>capitalismo</w:t>
      </w:r>
      <w:r>
        <w:rPr>
          <w:color w:val="231F20"/>
          <w:spacing w:val="-6"/>
          <w:w w:val="110"/>
        </w:rPr>
        <w:t> </w:t>
      </w:r>
      <w:r>
        <w:rPr>
          <w:color w:val="231F20"/>
          <w:w w:val="110"/>
        </w:rPr>
        <w:t>creó</w:t>
      </w:r>
      <w:r>
        <w:rPr>
          <w:color w:val="231F20"/>
          <w:spacing w:val="-6"/>
          <w:w w:val="110"/>
        </w:rPr>
        <w:t> </w:t>
      </w:r>
      <w:r>
        <w:rPr>
          <w:color w:val="231F20"/>
          <w:w w:val="110"/>
        </w:rPr>
        <w:t>un</w:t>
      </w:r>
      <w:r>
        <w:rPr>
          <w:color w:val="231F20"/>
          <w:spacing w:val="-6"/>
          <w:w w:val="110"/>
        </w:rPr>
        <w:t> </w:t>
      </w:r>
      <w:r>
        <w:rPr>
          <w:color w:val="231F20"/>
          <w:w w:val="110"/>
        </w:rPr>
        <w:t>sistema-mundo</w:t>
      </w:r>
      <w:r>
        <w:rPr>
          <w:color w:val="231F20"/>
          <w:spacing w:val="-6"/>
          <w:w w:val="110"/>
        </w:rPr>
        <w:t> </w:t>
      </w:r>
      <w:r>
        <w:rPr>
          <w:color w:val="231F20"/>
          <w:w w:val="110"/>
        </w:rPr>
        <w:t>de</w:t>
      </w:r>
      <w:r>
        <w:rPr>
          <w:color w:val="231F20"/>
          <w:spacing w:val="-6"/>
          <w:w w:val="110"/>
        </w:rPr>
        <w:t> </w:t>
      </w:r>
      <w:r>
        <w:rPr>
          <w:color w:val="231F20"/>
          <w:w w:val="110"/>
        </w:rPr>
        <w:t>poder en donde se articuló durante 300 años al liderazgo político de la no- bleza, controlando las políticas de Estado para impulsar la búsqueda de la súper ganancia, a través del pillaje, colonización y tráfico de esclavos como sus principales fuentes de acumulación ilimitada.</w:t>
      </w:r>
      <w:r>
        <w:rPr>
          <w:color w:val="231F20"/>
          <w:spacing w:val="-21"/>
          <w:w w:val="110"/>
        </w:rPr>
        <w:t> </w:t>
      </w:r>
      <w:r>
        <w:rPr>
          <w:color w:val="231F20"/>
          <w:w w:val="110"/>
        </w:rPr>
        <w:t>Sin embargo, apenas pudo transformarse de sistema-mundo en sistema mundial,</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pleno</w:t>
      </w:r>
      <w:r>
        <w:rPr>
          <w:color w:val="231F20"/>
          <w:spacing w:val="-8"/>
          <w:w w:val="110"/>
        </w:rPr>
        <w:t> </w:t>
      </w:r>
      <w:r>
        <w:rPr>
          <w:color w:val="231F20"/>
          <w:w w:val="110"/>
        </w:rPr>
        <w:t>desarrollo</w:t>
      </w:r>
      <w:r>
        <w:rPr>
          <w:color w:val="231F20"/>
          <w:spacing w:val="-8"/>
          <w:w w:val="110"/>
        </w:rPr>
        <w:t> </w:t>
      </w:r>
      <w:r>
        <w:rPr>
          <w:color w:val="231F20"/>
          <w:w w:val="110"/>
        </w:rPr>
        <w:t>de</w:t>
      </w:r>
      <w:r>
        <w:rPr>
          <w:color w:val="231F20"/>
          <w:spacing w:val="-8"/>
          <w:w w:val="110"/>
        </w:rPr>
        <w:t> </w:t>
      </w:r>
      <w:r>
        <w:rPr>
          <w:color w:val="231F20"/>
          <w:w w:val="110"/>
        </w:rPr>
        <w:t>sus</w:t>
      </w:r>
      <w:r>
        <w:rPr>
          <w:color w:val="231F20"/>
          <w:spacing w:val="-8"/>
          <w:w w:val="110"/>
        </w:rPr>
        <w:t> </w:t>
      </w:r>
      <w:r>
        <w:rPr>
          <w:color w:val="231F20"/>
          <w:w w:val="110"/>
        </w:rPr>
        <w:t>tendencias</w:t>
      </w:r>
      <w:r>
        <w:rPr>
          <w:color w:val="231F20"/>
          <w:spacing w:val="-8"/>
          <w:w w:val="110"/>
        </w:rPr>
        <w:t> </w:t>
      </w:r>
      <w:r>
        <w:rPr>
          <w:color w:val="231F20"/>
          <w:w w:val="110"/>
        </w:rPr>
        <w:t>seculares</w:t>
      </w:r>
      <w:r>
        <w:rPr>
          <w:color w:val="231F20"/>
          <w:spacing w:val="-8"/>
          <w:w w:val="110"/>
        </w:rPr>
        <w:t> </w:t>
      </w:r>
      <w:r>
        <w:rPr>
          <w:color w:val="231F20"/>
          <w:w w:val="110"/>
        </w:rPr>
        <w:t>median- te el establecimiento de su base especifica de fuerzas productivas y relaciones de trabajo: la revolución industrial y el asalariamiento, que impulsaron el capital productivo como eje de articulación de  los</w:t>
      </w:r>
      <w:r>
        <w:rPr>
          <w:color w:val="231F20"/>
          <w:spacing w:val="-10"/>
          <w:w w:val="110"/>
        </w:rPr>
        <w:t> </w:t>
      </w:r>
      <w:r>
        <w:rPr>
          <w:color w:val="231F20"/>
          <w:w w:val="110"/>
        </w:rPr>
        <w:t>capitales</w:t>
      </w:r>
      <w:r>
        <w:rPr>
          <w:color w:val="231F20"/>
          <w:spacing w:val="-10"/>
          <w:w w:val="110"/>
        </w:rPr>
        <w:t> </w:t>
      </w:r>
      <w:r>
        <w:rPr>
          <w:color w:val="231F20"/>
          <w:w w:val="110"/>
        </w:rPr>
        <w:t>comercial</w:t>
      </w:r>
      <w:r>
        <w:rPr>
          <w:color w:val="231F20"/>
          <w:spacing w:val="-10"/>
          <w:w w:val="110"/>
        </w:rPr>
        <w:t> </w:t>
      </w:r>
      <w:r>
        <w:rPr>
          <w:color w:val="231F20"/>
          <w:w w:val="110"/>
        </w:rPr>
        <w:t>y</w:t>
      </w:r>
      <w:r>
        <w:rPr>
          <w:color w:val="231F20"/>
          <w:spacing w:val="-10"/>
          <w:w w:val="110"/>
        </w:rPr>
        <w:t> </w:t>
      </w:r>
      <w:r>
        <w:rPr>
          <w:color w:val="231F20"/>
          <w:w w:val="110"/>
        </w:rPr>
        <w:t>usurario</w:t>
      </w:r>
      <w:r>
        <w:rPr>
          <w:color w:val="231F20"/>
          <w:spacing w:val="-10"/>
          <w:w w:val="110"/>
        </w:rPr>
        <w:t> </w:t>
      </w:r>
      <w:r>
        <w:rPr>
          <w:color w:val="231F20"/>
          <w:spacing w:val="-8"/>
          <w:w w:val="110"/>
        </w:rPr>
        <w:t>y,</w:t>
      </w:r>
      <w:r>
        <w:rPr>
          <w:color w:val="231F20"/>
          <w:spacing w:val="-10"/>
          <w:w w:val="110"/>
        </w:rPr>
        <w:t> </w:t>
      </w:r>
      <w:r>
        <w:rPr>
          <w:color w:val="231F20"/>
          <w:w w:val="110"/>
        </w:rPr>
        <w:t>con</w:t>
      </w:r>
      <w:r>
        <w:rPr>
          <w:color w:val="231F20"/>
          <w:spacing w:val="-10"/>
          <w:w w:val="110"/>
        </w:rPr>
        <w:t> </w:t>
      </w:r>
      <w:r>
        <w:rPr>
          <w:color w:val="231F20"/>
          <w:w w:val="110"/>
        </w:rPr>
        <w:t>él,</w:t>
      </w:r>
      <w:r>
        <w:rPr>
          <w:color w:val="231F20"/>
          <w:spacing w:val="-10"/>
          <w:w w:val="110"/>
        </w:rPr>
        <w:t> </w:t>
      </w:r>
      <w:r>
        <w:rPr>
          <w:color w:val="231F20"/>
          <w:w w:val="110"/>
        </w:rPr>
        <w:t>la</w:t>
      </w:r>
      <w:r>
        <w:rPr>
          <w:color w:val="231F20"/>
          <w:spacing w:val="-10"/>
          <w:w w:val="110"/>
        </w:rPr>
        <w:t> </w:t>
      </w:r>
      <w:r>
        <w:rPr>
          <w:color w:val="231F20"/>
          <w:w w:val="110"/>
        </w:rPr>
        <w:t>institución</w:t>
      </w:r>
      <w:r>
        <w:rPr>
          <w:color w:val="231F20"/>
          <w:spacing w:val="-10"/>
          <w:w w:val="110"/>
        </w:rPr>
        <w:t> </w:t>
      </w:r>
      <w:r>
        <w:rPr>
          <w:color w:val="231F20"/>
          <w:w w:val="110"/>
        </w:rPr>
        <w:t>y</w:t>
      </w:r>
      <w:r>
        <w:rPr>
          <w:color w:val="231F20"/>
          <w:spacing w:val="-10"/>
          <w:w w:val="110"/>
        </w:rPr>
        <w:t> </w:t>
      </w:r>
      <w:r>
        <w:rPr>
          <w:color w:val="231F20"/>
          <w:w w:val="110"/>
        </w:rPr>
        <w:t>expansión de la tasa de</w:t>
      </w:r>
      <w:r>
        <w:rPr>
          <w:color w:val="231F20"/>
          <w:spacing w:val="-10"/>
          <w:w w:val="110"/>
        </w:rPr>
        <w:t> </w:t>
      </w:r>
      <w:r>
        <w:rPr>
          <w:color w:val="231F20"/>
          <w:w w:val="110"/>
        </w:rPr>
        <w:t>plusvalía.</w:t>
      </w:r>
    </w:p>
    <w:p>
      <w:pPr>
        <w:pStyle w:val="BodyText"/>
        <w:spacing w:line="261" w:lineRule="auto"/>
        <w:ind w:left="100" w:right="115" w:firstLine="240"/>
        <w:jc w:val="both"/>
      </w:pPr>
      <w:r>
        <w:rPr>
          <w:color w:val="231F20"/>
          <w:w w:val="110"/>
        </w:rPr>
        <w:t>Si las </w:t>
      </w:r>
      <w:r>
        <w:rPr>
          <w:color w:val="231F20"/>
          <w:spacing w:val="2"/>
          <w:w w:val="110"/>
        </w:rPr>
        <w:t>versiones braudeliana </w:t>
      </w:r>
      <w:r>
        <w:rPr>
          <w:color w:val="231F20"/>
          <w:w w:val="110"/>
        </w:rPr>
        <w:t>y </w:t>
      </w:r>
      <w:r>
        <w:rPr>
          <w:color w:val="231F20"/>
          <w:spacing w:val="2"/>
          <w:w w:val="110"/>
        </w:rPr>
        <w:t>neobraudeliana</w:t>
      </w:r>
      <w:r>
        <w:rPr>
          <w:color w:val="231F20"/>
          <w:spacing w:val="44"/>
          <w:w w:val="110"/>
        </w:rPr>
        <w:t> </w:t>
      </w:r>
      <w:r>
        <w:rPr>
          <w:color w:val="231F20"/>
          <w:w w:val="110"/>
        </w:rPr>
        <w:t>del</w:t>
      </w:r>
      <w:r>
        <w:rPr>
          <w:color w:val="231F20"/>
          <w:spacing w:val="36"/>
          <w:w w:val="110"/>
        </w:rPr>
        <w:t> </w:t>
      </w:r>
      <w:r>
        <w:rPr>
          <w:color w:val="231F20"/>
          <w:spacing w:val="3"/>
          <w:w w:val="110"/>
        </w:rPr>
        <w:t>capitalismo</w:t>
      </w:r>
      <w:r>
        <w:rPr>
          <w:color w:val="231F20"/>
          <w:spacing w:val="3"/>
          <w:w w:val="107"/>
        </w:rPr>
        <w:t> </w:t>
      </w:r>
      <w:r>
        <w:rPr>
          <w:color w:val="231F20"/>
          <w:w w:val="110"/>
        </w:rPr>
        <w:t>histórico apuntan correctamente las identidades entre los diferentes procesos históricos de acumulación capitalista para definir, en la acumulación ilimitada, el significado general del concepto de capi- talismo, fallan, a su vez, en el análisis de las condiciones materiales que</w:t>
      </w:r>
      <w:r>
        <w:rPr>
          <w:color w:val="231F20"/>
          <w:spacing w:val="-25"/>
          <w:w w:val="110"/>
        </w:rPr>
        <w:t> </w:t>
      </w:r>
      <w:r>
        <w:rPr>
          <w:color w:val="231F20"/>
          <w:w w:val="110"/>
        </w:rPr>
        <w:t>la</w:t>
      </w:r>
      <w:r>
        <w:rPr>
          <w:color w:val="231F20"/>
          <w:spacing w:val="-25"/>
          <w:w w:val="110"/>
        </w:rPr>
        <w:t> </w:t>
      </w:r>
      <w:r>
        <w:rPr>
          <w:color w:val="231F20"/>
          <w:w w:val="110"/>
        </w:rPr>
        <w:t>impulsan</w:t>
      </w:r>
      <w:r>
        <w:rPr>
          <w:color w:val="231F20"/>
          <w:spacing w:val="-25"/>
          <w:w w:val="110"/>
        </w:rPr>
        <w:t> </w:t>
      </w:r>
      <w:r>
        <w:rPr>
          <w:color w:val="231F20"/>
          <w:w w:val="110"/>
        </w:rPr>
        <w:t>y</w:t>
      </w:r>
      <w:r>
        <w:rPr>
          <w:color w:val="231F20"/>
          <w:spacing w:val="-25"/>
          <w:w w:val="110"/>
        </w:rPr>
        <w:t> </w:t>
      </w:r>
      <w:r>
        <w:rPr>
          <w:color w:val="231F20"/>
          <w:w w:val="110"/>
        </w:rPr>
        <w:t>la</w:t>
      </w:r>
      <w:r>
        <w:rPr>
          <w:color w:val="231F20"/>
          <w:spacing w:val="-25"/>
          <w:w w:val="110"/>
        </w:rPr>
        <w:t> </w:t>
      </w:r>
      <w:r>
        <w:rPr>
          <w:color w:val="231F20"/>
          <w:w w:val="110"/>
        </w:rPr>
        <w:t>sustentan</w:t>
      </w:r>
      <w:r>
        <w:rPr>
          <w:color w:val="231F20"/>
          <w:spacing w:val="-25"/>
          <w:w w:val="110"/>
        </w:rPr>
        <w:t> </w:t>
      </w:r>
      <w:r>
        <w:rPr>
          <w:color w:val="231F20"/>
          <w:w w:val="110"/>
        </w:rPr>
        <w:t>secularmente,</w:t>
      </w:r>
      <w:r>
        <w:rPr>
          <w:color w:val="231F20"/>
          <w:spacing w:val="-25"/>
          <w:w w:val="110"/>
        </w:rPr>
        <w:t> </w:t>
      </w:r>
      <w:r>
        <w:rPr>
          <w:color w:val="231F20"/>
          <w:w w:val="110"/>
        </w:rPr>
        <w:t>volviéndose</w:t>
      </w:r>
      <w:r>
        <w:rPr>
          <w:color w:val="231F20"/>
          <w:spacing w:val="-25"/>
          <w:w w:val="110"/>
        </w:rPr>
        <w:t> </w:t>
      </w:r>
      <w:r>
        <w:rPr>
          <w:color w:val="231F20"/>
          <w:w w:val="110"/>
        </w:rPr>
        <w:t>insuficientes para abordar el proceso histórico de construcción, desarrollo, des- gaste y obsolescencia de esa estructura. Para ello deberían incluir   el concepto de modo de producción capitalista, cuyo eje central de fuerzas productivas es, según Marx, la gran</w:t>
      </w:r>
      <w:r>
        <w:rPr>
          <w:color w:val="231F20"/>
          <w:spacing w:val="-9"/>
          <w:w w:val="110"/>
        </w:rPr>
        <w:t> </w:t>
      </w:r>
      <w:r>
        <w:rPr>
          <w:color w:val="231F20"/>
          <w:w w:val="110"/>
        </w:rPr>
        <w:t>industria.</w:t>
      </w:r>
    </w:p>
    <w:p>
      <w:pPr>
        <w:pStyle w:val="BodyText"/>
        <w:spacing w:line="261" w:lineRule="auto"/>
        <w:ind w:left="100" w:right="117" w:firstLine="240"/>
        <w:jc w:val="both"/>
      </w:pPr>
      <w:r>
        <w:rPr>
          <w:color w:val="231F20"/>
          <w:w w:val="110"/>
        </w:rPr>
        <w:t>La revolución industrial se afirmó como el paradigma de</w:t>
      </w:r>
      <w:r>
        <w:rPr>
          <w:color w:val="231F20"/>
          <w:spacing w:val="-15"/>
          <w:w w:val="110"/>
        </w:rPr>
        <w:t> </w:t>
      </w:r>
      <w:r>
        <w:rPr>
          <w:color w:val="231F20"/>
          <w:w w:val="110"/>
        </w:rPr>
        <w:t>desarro- llo de la economía mundial entre 1780-1970. Estableció el principio mecánico, desvalorizó la fuerza de trabajo, incrementó la tasa de plusvalía</w:t>
      </w:r>
      <w:r>
        <w:rPr>
          <w:color w:val="231F20"/>
          <w:spacing w:val="-7"/>
          <w:w w:val="110"/>
        </w:rPr>
        <w:t> </w:t>
      </w:r>
      <w:r>
        <w:rPr>
          <w:color w:val="231F20"/>
          <w:w w:val="110"/>
        </w:rPr>
        <w:t>y</w:t>
      </w:r>
      <w:r>
        <w:rPr>
          <w:color w:val="231F20"/>
          <w:spacing w:val="-7"/>
          <w:w w:val="110"/>
        </w:rPr>
        <w:t> </w:t>
      </w:r>
      <w:r>
        <w:rPr>
          <w:color w:val="231F20"/>
          <w:w w:val="110"/>
        </w:rPr>
        <w:t>redujo</w:t>
      </w:r>
      <w:r>
        <w:rPr>
          <w:color w:val="231F20"/>
          <w:spacing w:val="-7"/>
          <w:w w:val="110"/>
        </w:rPr>
        <w:t> </w:t>
      </w:r>
      <w:r>
        <w:rPr>
          <w:color w:val="231F20"/>
          <w:w w:val="110"/>
        </w:rPr>
        <w:t>drásticamente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empleada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campo. Durante este periodo, las contradicciones, para la tasa de ganancia, entre</w:t>
      </w:r>
      <w:r>
        <w:rPr>
          <w:color w:val="231F20"/>
          <w:spacing w:val="-9"/>
          <w:w w:val="110"/>
        </w:rPr>
        <w:t> </w:t>
      </w:r>
      <w:r>
        <w:rPr>
          <w:color w:val="231F20"/>
          <w:w w:val="110"/>
        </w:rPr>
        <w:t>el</w:t>
      </w:r>
      <w:r>
        <w:rPr>
          <w:color w:val="231F20"/>
          <w:spacing w:val="-9"/>
          <w:w w:val="110"/>
        </w:rPr>
        <w:t> </w:t>
      </w:r>
      <w:r>
        <w:rPr>
          <w:color w:val="231F20"/>
          <w:w w:val="110"/>
        </w:rPr>
        <w:t>aumento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tasa</w:t>
      </w:r>
      <w:r>
        <w:rPr>
          <w:color w:val="231F20"/>
          <w:spacing w:val="-9"/>
          <w:w w:val="110"/>
        </w:rPr>
        <w:t> </w:t>
      </w:r>
      <w:r>
        <w:rPr>
          <w:color w:val="231F20"/>
          <w:w w:val="110"/>
        </w:rPr>
        <w:t>de</w:t>
      </w:r>
      <w:r>
        <w:rPr>
          <w:color w:val="231F20"/>
          <w:spacing w:val="-9"/>
          <w:w w:val="110"/>
        </w:rPr>
        <w:t> </w:t>
      </w:r>
      <w:r>
        <w:rPr>
          <w:color w:val="231F20"/>
          <w:w w:val="110"/>
        </w:rPr>
        <w:t>plusvalía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decremento</w:t>
      </w:r>
      <w:r>
        <w:rPr>
          <w:color w:val="231F20"/>
          <w:spacing w:val="-9"/>
          <w:w w:val="110"/>
        </w:rPr>
        <w:t> </w:t>
      </w:r>
      <w:r>
        <w:rPr>
          <w:color w:val="231F20"/>
          <w:w w:val="110"/>
        </w:rPr>
        <w:t>relativo</w:t>
      </w:r>
      <w:r>
        <w:rPr>
          <w:color w:val="231F20"/>
          <w:spacing w:val="-9"/>
          <w:w w:val="110"/>
        </w:rPr>
        <w:t> </w:t>
      </w:r>
      <w:r>
        <w:rPr>
          <w:color w:val="231F20"/>
          <w:w w:val="110"/>
        </w:rPr>
        <w:t>de</w:t>
      </w:r>
      <w:r>
        <w:rPr>
          <w:color w:val="231F20"/>
          <w:spacing w:val="-9"/>
          <w:w w:val="110"/>
        </w:rPr>
        <w:t> </w:t>
      </w:r>
      <w:r>
        <w:rPr>
          <w:color w:val="231F20"/>
          <w:w w:val="110"/>
        </w:rPr>
        <w:t>la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masa de valor representada por la fuerza de trabajo, principalmente en</w:t>
      </w:r>
      <w:r>
        <w:rPr>
          <w:color w:val="231F20"/>
          <w:spacing w:val="-9"/>
          <w:w w:val="110"/>
        </w:rPr>
        <w:t> </w:t>
      </w:r>
      <w:r>
        <w:rPr>
          <w:color w:val="231F20"/>
          <w:w w:val="110"/>
        </w:rPr>
        <w:t>función</w:t>
      </w:r>
      <w:r>
        <w:rPr>
          <w:color w:val="231F20"/>
          <w:spacing w:val="-9"/>
          <w:w w:val="110"/>
        </w:rPr>
        <w:t> </w:t>
      </w:r>
      <w:r>
        <w:rPr>
          <w:color w:val="231F20"/>
          <w:w w:val="110"/>
        </w:rPr>
        <w:t>del</w:t>
      </w:r>
      <w:r>
        <w:rPr>
          <w:color w:val="231F20"/>
          <w:spacing w:val="-9"/>
          <w:w w:val="110"/>
        </w:rPr>
        <w:t> </w:t>
      </w:r>
      <w:r>
        <w:rPr>
          <w:color w:val="231F20"/>
          <w:w w:val="110"/>
        </w:rPr>
        <w:t>aumento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tasa</w:t>
      </w:r>
      <w:r>
        <w:rPr>
          <w:color w:val="231F20"/>
          <w:spacing w:val="-9"/>
          <w:w w:val="110"/>
        </w:rPr>
        <w:t> </w:t>
      </w:r>
      <w:r>
        <w:rPr>
          <w:color w:val="231F20"/>
          <w:w w:val="110"/>
        </w:rPr>
        <w:t>de</w:t>
      </w:r>
      <w:r>
        <w:rPr>
          <w:color w:val="231F20"/>
          <w:spacing w:val="-9"/>
          <w:w w:val="110"/>
        </w:rPr>
        <w:t> </w:t>
      </w:r>
      <w:r>
        <w:rPr>
          <w:color w:val="231F20"/>
          <w:w w:val="110"/>
        </w:rPr>
        <w:t>desempleo,</w:t>
      </w:r>
      <w:r>
        <w:rPr>
          <w:color w:val="231F20"/>
          <w:spacing w:val="-9"/>
          <w:w w:val="110"/>
        </w:rPr>
        <w:t> </w:t>
      </w:r>
      <w:r>
        <w:rPr>
          <w:color w:val="231F20"/>
          <w:w w:val="110"/>
        </w:rPr>
        <w:t>fueron</w:t>
      </w:r>
      <w:r>
        <w:rPr>
          <w:color w:val="231F20"/>
          <w:spacing w:val="-9"/>
          <w:w w:val="110"/>
        </w:rPr>
        <w:t> </w:t>
      </w:r>
      <w:r>
        <w:rPr>
          <w:color w:val="231F20"/>
          <w:w w:val="110"/>
        </w:rPr>
        <w:t>solucionadas favorablemente por las largas olas de incremento de la productivi- dad, la apropiación de los excedentes generados en las periferias y la</w:t>
      </w:r>
      <w:r>
        <w:rPr>
          <w:color w:val="231F20"/>
          <w:spacing w:val="-12"/>
          <w:w w:val="110"/>
        </w:rPr>
        <w:t> </w:t>
      </w:r>
      <w:r>
        <w:rPr>
          <w:color w:val="231F20"/>
          <w:w w:val="110"/>
        </w:rPr>
        <w:t>estabilidad</w:t>
      </w:r>
      <w:r>
        <w:rPr>
          <w:color w:val="231F20"/>
          <w:spacing w:val="-12"/>
          <w:w w:val="110"/>
        </w:rPr>
        <w:t> </w:t>
      </w:r>
      <w:r>
        <w:rPr>
          <w:color w:val="231F20"/>
          <w:w w:val="110"/>
        </w:rPr>
        <w:t>político-institucional</w:t>
      </w:r>
      <w:r>
        <w:rPr>
          <w:color w:val="231F20"/>
          <w:spacing w:val="-12"/>
          <w:w w:val="110"/>
        </w:rPr>
        <w:t> </w:t>
      </w:r>
      <w:r>
        <w:rPr>
          <w:color w:val="231F20"/>
          <w:w w:val="110"/>
        </w:rPr>
        <w:t>del</w:t>
      </w:r>
      <w:r>
        <w:rPr>
          <w:color w:val="231F20"/>
          <w:spacing w:val="-12"/>
          <w:w w:val="110"/>
        </w:rPr>
        <w:t> </w:t>
      </w:r>
      <w:r>
        <w:rPr>
          <w:color w:val="231F20"/>
          <w:w w:val="110"/>
        </w:rPr>
        <w:t>sistema.</w:t>
      </w:r>
    </w:p>
    <w:p>
      <w:pPr>
        <w:pStyle w:val="BodyText"/>
        <w:spacing w:line="261" w:lineRule="auto"/>
        <w:ind w:left="100" w:right="114" w:firstLine="240"/>
        <w:jc w:val="both"/>
      </w:pPr>
      <w:r>
        <w:rPr>
          <w:color w:val="231F20"/>
          <w:w w:val="105"/>
        </w:rPr>
        <w:t>A partir de 1970, con la convergencia tecnológica microelectró- nica, dio inicio la mundialización de la revolución científico-técnica, misma que establece el principio automático a cambio del mecánico, sustituyendo progresivamente el trabajo manual por el intelectual. Si   la revolución industrial redujo drásticamente la proporción del traba-   jo agrícola, concentrándolo en el sector secundario y de servicios, la revolución científico-técnica tiende a hacer lo mismo con el trabajo manual, restringiéndolo a una proporción residual. Marx analizó este proceso desde el punto de vista lógico-histórico en </w:t>
      </w:r>
      <w:r>
        <w:rPr>
          <w:i/>
          <w:color w:val="231F20"/>
          <w:w w:val="105"/>
        </w:rPr>
        <w:t>El capital </w:t>
      </w:r>
      <w:r>
        <w:rPr>
          <w:color w:val="231F20"/>
          <w:w w:val="105"/>
        </w:rPr>
        <w:t>y más profundamente en los </w:t>
      </w:r>
      <w:r>
        <w:rPr>
          <w:i/>
          <w:color w:val="231F20"/>
          <w:w w:val="105"/>
        </w:rPr>
        <w:t>Grundrisse</w:t>
      </w:r>
      <w:r>
        <w:rPr>
          <w:color w:val="231F20"/>
          <w:w w:val="105"/>
        </w:rPr>
        <w:t>. Para el </w:t>
      </w:r>
      <w:r>
        <w:rPr>
          <w:color w:val="231F20"/>
          <w:spacing w:val="-3"/>
          <w:w w:val="105"/>
        </w:rPr>
        <w:t>autor, </w:t>
      </w:r>
      <w:r>
        <w:rPr>
          <w:color w:val="231F20"/>
          <w:w w:val="105"/>
        </w:rPr>
        <w:t>la ciencia sería una fuerza productiva revolucionaria, de naturaleza poscapitalista, que puede apenas parcialmente ser sometida al capital. Señala que el desarrollo de la ciencia tiende a reducir a cero el </w:t>
      </w:r>
      <w:r>
        <w:rPr>
          <w:color w:val="231F20"/>
          <w:spacing w:val="-3"/>
          <w:w w:val="105"/>
        </w:rPr>
        <w:t>valor,  </w:t>
      </w:r>
      <w:r>
        <w:rPr>
          <w:color w:val="231F20"/>
          <w:w w:val="105"/>
        </w:rPr>
        <w:t>puesto que  éste depende no del trabajo que se incorpora a la producción, y sí       de aquél que pasa por el proceso de producción. La ciencia ultrapasa   el trabajo colectivo y establece el trabajo universal que se acumula infinitamente a través de las   generaciones, configurando un bagaje   de conocimiento gratuito que interviene crecientemente en la pro- ducción, garantizando las necesidades básicas de la humanidad. El automatismo tiende a eliminar el trabajo de la producción directa y reestructura las calificaciones de la fuerza de trabajo, amenazando el principio de plusvalía relativa. En ésta, la productividad se vinculaba   a la desvalorización de la fuerza de trabajo, sustituyendo el  saber obrero por la máquina, ampliando la tasa de plusvalía. Al suprimir largamente el trabajo manual, el automatismo redefine las demandas sociales de  trabajo  en  dirección  al  trabajo  intelectual,  vinculando  la productividad al aumento del valor de la fuerza de trabajo, una      vez que pasa a depender del aumento del tiempo de formación del trabajador. Esta contradicción es resuelta por el capital a través de la superexplotación del trabajo: es </w:t>
      </w:r>
      <w:r>
        <w:rPr>
          <w:color w:val="231F20"/>
          <w:spacing w:val="-3"/>
          <w:w w:val="105"/>
        </w:rPr>
        <w:t>decir, </w:t>
      </w:r>
      <w:r>
        <w:rPr>
          <w:color w:val="231F20"/>
          <w:w w:val="105"/>
        </w:rPr>
        <w:t>con el aumento del desempleo estructural, se reducen los precios de la fuerza de trabajo por debajo   de su </w:t>
      </w:r>
      <w:r>
        <w:rPr>
          <w:color w:val="231F20"/>
          <w:spacing w:val="-3"/>
          <w:w w:val="105"/>
        </w:rPr>
        <w:t>valor,  </w:t>
      </w:r>
      <w:r>
        <w:rPr>
          <w:color w:val="231F20"/>
          <w:w w:val="105"/>
        </w:rPr>
        <w:t>sosteniendo la tasa de  </w:t>
      </w:r>
      <w:r>
        <w:rPr>
          <w:color w:val="231F20"/>
          <w:spacing w:val="17"/>
          <w:w w:val="105"/>
        </w:rPr>
        <w:t> </w:t>
      </w:r>
      <w:r>
        <w:rPr>
          <w:color w:val="231F20"/>
          <w:w w:val="105"/>
        </w:rPr>
        <w:t>plusvalía.</w:t>
      </w:r>
    </w:p>
    <w:p>
      <w:pPr>
        <w:pStyle w:val="BodyText"/>
        <w:spacing w:line="261" w:lineRule="auto"/>
        <w:ind w:left="100" w:right="116" w:firstLine="240"/>
        <w:jc w:val="both"/>
      </w:pPr>
      <w:r>
        <w:rPr>
          <w:color w:val="231F20"/>
          <w:w w:val="110"/>
        </w:rPr>
        <w:t>El automatismo presenta todavía otra importante contradicción para</w:t>
      </w:r>
      <w:r>
        <w:rPr>
          <w:color w:val="231F20"/>
          <w:spacing w:val="-10"/>
          <w:w w:val="110"/>
        </w:rPr>
        <w:t> </w:t>
      </w:r>
      <w:r>
        <w:rPr>
          <w:color w:val="231F20"/>
          <w:w w:val="110"/>
        </w:rPr>
        <w:t>la</w:t>
      </w:r>
      <w:r>
        <w:rPr>
          <w:color w:val="231F20"/>
          <w:spacing w:val="-10"/>
          <w:w w:val="110"/>
        </w:rPr>
        <w:t> </w:t>
      </w:r>
      <w:r>
        <w:rPr>
          <w:color w:val="231F20"/>
          <w:w w:val="110"/>
        </w:rPr>
        <w:t>tasa</w:t>
      </w:r>
      <w:r>
        <w:rPr>
          <w:color w:val="231F20"/>
          <w:spacing w:val="-10"/>
          <w:w w:val="110"/>
        </w:rPr>
        <w:t> </w:t>
      </w:r>
      <w:r>
        <w:rPr>
          <w:color w:val="231F20"/>
          <w:w w:val="110"/>
        </w:rPr>
        <w:t>de</w:t>
      </w:r>
      <w:r>
        <w:rPr>
          <w:color w:val="231F20"/>
          <w:spacing w:val="-10"/>
          <w:w w:val="110"/>
        </w:rPr>
        <w:t> </w:t>
      </w:r>
      <w:r>
        <w:rPr>
          <w:color w:val="231F20"/>
          <w:w w:val="110"/>
        </w:rPr>
        <w:t>plusvalía.</w:t>
      </w:r>
      <w:r>
        <w:rPr>
          <w:color w:val="231F20"/>
          <w:spacing w:val="-10"/>
          <w:w w:val="110"/>
        </w:rPr>
        <w:t> </w:t>
      </w:r>
      <w:r>
        <w:rPr>
          <w:color w:val="231F20"/>
          <w:w w:val="110"/>
        </w:rPr>
        <w:t>Al</w:t>
      </w:r>
      <w:r>
        <w:rPr>
          <w:color w:val="231F20"/>
          <w:spacing w:val="-10"/>
          <w:w w:val="110"/>
        </w:rPr>
        <w:t> </w:t>
      </w:r>
      <w:r>
        <w:rPr>
          <w:color w:val="231F20"/>
          <w:w w:val="110"/>
        </w:rPr>
        <w:t>reducir</w:t>
      </w:r>
      <w:r>
        <w:rPr>
          <w:color w:val="231F20"/>
          <w:spacing w:val="-10"/>
          <w:w w:val="110"/>
        </w:rPr>
        <w:t> </w:t>
      </w:r>
      <w:r>
        <w:rPr>
          <w:color w:val="231F20"/>
          <w:w w:val="110"/>
        </w:rPr>
        <w:t>la</w:t>
      </w:r>
      <w:r>
        <w:rPr>
          <w:color w:val="231F20"/>
          <w:spacing w:val="-10"/>
          <w:w w:val="110"/>
        </w:rPr>
        <w:t> </w:t>
      </w:r>
      <w:r>
        <w:rPr>
          <w:color w:val="231F20"/>
          <w:w w:val="110"/>
        </w:rPr>
        <w:t>masa</w:t>
      </w:r>
      <w:r>
        <w:rPr>
          <w:color w:val="231F20"/>
          <w:spacing w:val="-10"/>
          <w:w w:val="110"/>
        </w:rPr>
        <w:t> </w:t>
      </w:r>
      <w:r>
        <w:rPr>
          <w:color w:val="231F20"/>
          <w:w w:val="110"/>
        </w:rPr>
        <w:t>de</w:t>
      </w:r>
      <w:r>
        <w:rPr>
          <w:color w:val="231F20"/>
          <w:spacing w:val="-10"/>
          <w:w w:val="110"/>
        </w:rPr>
        <w:t> </w:t>
      </w:r>
      <w:r>
        <w:rPr>
          <w:color w:val="231F20"/>
          <w:w w:val="110"/>
        </w:rPr>
        <w:t>valor</w:t>
      </w:r>
      <w:r>
        <w:rPr>
          <w:color w:val="231F20"/>
          <w:spacing w:val="-10"/>
          <w:w w:val="110"/>
        </w:rPr>
        <w:t> </w:t>
      </w:r>
      <w:r>
        <w:rPr>
          <w:color w:val="231F20"/>
          <w:w w:val="110"/>
        </w:rPr>
        <w:t>representada</w:t>
      </w:r>
      <w:r>
        <w:rPr>
          <w:color w:val="231F20"/>
          <w:spacing w:val="-10"/>
          <w:w w:val="110"/>
        </w:rPr>
        <w:t> </w:t>
      </w:r>
      <w:r>
        <w:rPr>
          <w:color w:val="231F20"/>
          <w:w w:val="110"/>
        </w:rPr>
        <w:t>por</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05"/>
        </w:rPr>
        <w:t>la  fuerza de trabajo a una diminuta parcela de la jornada de trabajo,   se restringen cada vez más los impactos de los aumentos de la produc- tividad sobre la elevación de la tasa de plusvalía. Se limita también la conversión de la plusvalía extraordinaria en ganancia extraordinaria, objetivo principal de la innovación, según Marx. La plusvalía extraor- dinaria amplía la masa de mercancías sin reducir el valor social de  cada unidad, por ello, como menciona Ruy Mauro Marini, se dirige principalmente al consumo suntuario y genera su demanda a partir     de la economía relativa de gastos con la fuerza de trabajo.</w:t>
      </w:r>
      <w:r>
        <w:rPr>
          <w:color w:val="231F20"/>
          <w:spacing w:val="1"/>
          <w:w w:val="105"/>
        </w:rPr>
        <w:t> </w:t>
      </w:r>
      <w:r>
        <w:rPr>
          <w:color w:val="231F20"/>
          <w:w w:val="105"/>
        </w:rPr>
        <w:t>Al</w:t>
      </w:r>
      <w:r>
        <w:rPr>
          <w:color w:val="231F20"/>
          <w:spacing w:val="4"/>
          <w:w w:val="105"/>
        </w:rPr>
        <w:t> </w:t>
      </w:r>
      <w:r>
        <w:rPr>
          <w:color w:val="231F20"/>
          <w:w w:val="105"/>
        </w:rPr>
        <w:t>reducirse</w:t>
      </w:r>
      <w:r>
        <w:rPr>
          <w:color w:val="231F20"/>
          <w:spacing w:val="-1"/>
          <w:w w:val="110"/>
        </w:rPr>
        <w:t> </w:t>
      </w:r>
      <w:r>
        <w:rPr>
          <w:color w:val="231F20"/>
          <w:w w:val="105"/>
        </w:rPr>
        <w:t>significativamente la economía de valor con la fuerza de trabajo que  se obtiene de la innovación tecnológica, la plusvalía extraordinaria encuentra dificultades para su realización, pues la masa de mercancías incrementada por el desarrollo de la productividad, no encuentra de- manda equivalente en la transferencia del valor del trabajo al capital por</w:t>
      </w:r>
      <w:r>
        <w:rPr>
          <w:color w:val="231F20"/>
          <w:spacing w:val="37"/>
          <w:w w:val="105"/>
        </w:rPr>
        <w:t> </w:t>
      </w:r>
      <w:r>
        <w:rPr>
          <w:color w:val="231F20"/>
          <w:w w:val="105"/>
        </w:rPr>
        <w:t>efecto</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introducción</w:t>
      </w:r>
      <w:r>
        <w:rPr>
          <w:color w:val="231F20"/>
          <w:spacing w:val="37"/>
          <w:w w:val="105"/>
        </w:rPr>
        <w:t> </w:t>
      </w:r>
      <w:r>
        <w:rPr>
          <w:color w:val="231F20"/>
          <w:w w:val="105"/>
        </w:rPr>
        <w:t>del</w:t>
      </w:r>
      <w:r>
        <w:rPr>
          <w:color w:val="231F20"/>
          <w:spacing w:val="37"/>
          <w:w w:val="105"/>
        </w:rPr>
        <w:t> </w:t>
      </w:r>
      <w:r>
        <w:rPr>
          <w:color w:val="231F20"/>
          <w:w w:val="105"/>
        </w:rPr>
        <w:t>progreso</w:t>
      </w:r>
      <w:r>
        <w:rPr>
          <w:color w:val="231F20"/>
          <w:spacing w:val="37"/>
          <w:w w:val="105"/>
        </w:rPr>
        <w:t> </w:t>
      </w:r>
      <w:r>
        <w:rPr>
          <w:color w:val="231F20"/>
          <w:w w:val="105"/>
        </w:rPr>
        <w:t>técnico.</w:t>
      </w:r>
    </w:p>
    <w:p>
      <w:pPr>
        <w:pStyle w:val="BodyText"/>
        <w:spacing w:line="261" w:lineRule="auto"/>
        <w:ind w:left="100" w:right="117" w:firstLine="240"/>
        <w:jc w:val="both"/>
      </w:pPr>
      <w:r>
        <w:rPr>
          <w:color w:val="231F20"/>
          <w:w w:val="110"/>
        </w:rPr>
        <w:t>La revolución científico-técnica recibió amplio tratamiento teóri- co-metodológico en la obra de Radovan Richta, difundiéndose en el pensamiento marxista, para encontrar en Theotonio dos Santos su principal intérprete. El desarrollo de la revolución científico-técnica debilita estructuralmente el capitalismo histórico y hace mover el péndulo de las tendencias seculares del moderno sistema mundial  en favor de la caída de la tasa de ganancia. Sin embargo, este mo- vimiento es de larga duración, y se articula con otros que pueden limitarlo parcialmente y contener provisionalmente sus dimensiones disruptivas. Estos movimientos son los ciclos. Además de los ciclos sistémicos, de dimensión político-institucional, los ciclos</w:t>
      </w:r>
      <w:r>
        <w:rPr>
          <w:color w:val="231F20"/>
          <w:spacing w:val="-26"/>
          <w:w w:val="110"/>
        </w:rPr>
        <w:t> </w:t>
      </w:r>
      <w:r>
        <w:rPr>
          <w:color w:val="231F20"/>
          <w:w w:val="110"/>
        </w:rPr>
        <w:t>kondratiev poseen gran relevancia para el análisis de la</w:t>
      </w:r>
      <w:r>
        <w:rPr>
          <w:color w:val="231F20"/>
          <w:spacing w:val="44"/>
          <w:w w:val="110"/>
        </w:rPr>
        <w:t> </w:t>
      </w:r>
      <w:r>
        <w:rPr>
          <w:color w:val="231F20"/>
          <w:w w:val="110"/>
        </w:rPr>
        <w:t>coyuntura.</w:t>
      </w:r>
    </w:p>
    <w:p>
      <w:pPr>
        <w:pStyle w:val="BodyText"/>
        <w:spacing w:line="261" w:lineRule="auto"/>
        <w:ind w:left="100" w:right="118" w:firstLine="240"/>
        <w:jc w:val="both"/>
      </w:pPr>
      <w:r>
        <w:rPr>
          <w:color w:val="231F20"/>
          <w:w w:val="105"/>
        </w:rPr>
        <w:t>Los ciclos kondratiev son olas de 50 a 60 años de duración, dividi- das en fases A, de expansión, y B, de financiarización. Surgen a partir de la revolución industrial y expresan la combinación entre nuevos paradigmas tecnológicos y organizacionales y sus efectos </w:t>
      </w:r>
      <w:r>
        <w:rPr>
          <w:color w:val="231F20"/>
          <w:spacing w:val="35"/>
          <w:w w:val="105"/>
        </w:rPr>
        <w:t> </w:t>
      </w:r>
      <w:r>
        <w:rPr>
          <w:color w:val="231F20"/>
          <w:w w:val="105"/>
        </w:rPr>
        <w:t>sobre </w:t>
      </w:r>
      <w:r>
        <w:rPr>
          <w:color w:val="231F20"/>
          <w:spacing w:val="5"/>
          <w:w w:val="105"/>
        </w:rPr>
        <w:t> </w:t>
      </w:r>
      <w:r>
        <w:rPr>
          <w:color w:val="231F20"/>
          <w:w w:val="105"/>
        </w:rPr>
        <w:t>la</w:t>
      </w:r>
      <w:r>
        <w:rPr>
          <w:color w:val="231F20"/>
          <w:spacing w:val="1"/>
          <w:w w:val="105"/>
        </w:rPr>
        <w:t> </w:t>
      </w:r>
      <w:r>
        <w:rPr>
          <w:color w:val="231F20"/>
          <w:w w:val="105"/>
        </w:rPr>
        <w:t>tasa de ganancia. El surgimiento de nuevos paradigmas tecnológicos exige nuevas formas de organización del trabajo, de las empresas, del Estado y nuevos contenidos de políticas públicas. Sin embargo, este   es un proceso lento. Durante el desajuste entre las dimensiones físi-   cas y organizacionales de las nuevas tecnologías, la tasa de ganancia cae significativamente y la acumulación tiende a desplazarse hacia el sector financiero, apoyándose en los intereses y en la generación del capital</w:t>
      </w:r>
      <w:r>
        <w:rPr>
          <w:color w:val="231F20"/>
          <w:spacing w:val="26"/>
          <w:w w:val="105"/>
        </w:rPr>
        <w:t> </w:t>
      </w:r>
      <w:r>
        <w:rPr>
          <w:color w:val="231F20"/>
          <w:w w:val="105"/>
        </w:rPr>
        <w:t>ficticio,</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provoca</w:t>
      </w:r>
      <w:r>
        <w:rPr>
          <w:color w:val="231F20"/>
          <w:spacing w:val="26"/>
          <w:w w:val="105"/>
        </w:rPr>
        <w:t> </w:t>
      </w:r>
      <w:r>
        <w:rPr>
          <w:color w:val="231F20"/>
          <w:w w:val="105"/>
        </w:rPr>
        <w:t>reducción</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tasas</w:t>
      </w:r>
      <w:r>
        <w:rPr>
          <w:color w:val="231F20"/>
          <w:spacing w:val="26"/>
          <w:w w:val="105"/>
        </w:rPr>
        <w:t> </w:t>
      </w:r>
      <w:r>
        <w:rPr>
          <w:color w:val="231F20"/>
          <w:w w:val="105"/>
        </w:rPr>
        <w:t>de</w:t>
      </w:r>
      <w:r>
        <w:rPr>
          <w:color w:val="231F20"/>
          <w:spacing w:val="26"/>
          <w:w w:val="105"/>
        </w:rPr>
        <w:t> </w:t>
      </w:r>
      <w:r>
        <w:rPr>
          <w:color w:val="231F20"/>
          <w:w w:val="105"/>
        </w:rPr>
        <w:t>crecimiento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económico per cápita. Durante las fases en que esas dimensiones se ajustan, la tasa de ganancia sufre un fuerte ascenso y la acumulación  se reorienta hacia el sector productivo, elevando significativamente   las tasas de crecimiento per cápita. El ajuste es inestable y se desarrolla en una trayectoria puntuada por  innovaciones  primarias,  secunda-  rias y terciarias. En su conjunto, los kondratievs describen fases A, divididas en retomada, prosperidad y madurez, y fases B, en crisis, depresión y recuperación. Cada una de estas subfases conforman pe- riodos decenales y dan lugar a los llamados kitchins, ciclos estudiados por Marx, ligados a la sustitución de los medios de producción. Los Kitchins absorben la tendencia predominante de los kondratiev, es </w:t>
      </w:r>
      <w:r>
        <w:rPr>
          <w:color w:val="231F20"/>
          <w:spacing w:val="-3"/>
          <w:w w:val="105"/>
        </w:rPr>
        <w:t>decir, </w:t>
      </w:r>
      <w:r>
        <w:rPr>
          <w:color w:val="231F20"/>
          <w:w w:val="105"/>
        </w:rPr>
        <w:t>las fases A del mismo, prolongan e intensifican su desarrollo, ocurriendo  lo  inverso  durante  la</w:t>
      </w:r>
      <w:r>
        <w:rPr>
          <w:color w:val="231F20"/>
          <w:spacing w:val="43"/>
          <w:w w:val="105"/>
        </w:rPr>
        <w:t> </w:t>
      </w:r>
      <w:r>
        <w:rPr>
          <w:color w:val="231F20"/>
          <w:w w:val="105"/>
        </w:rPr>
        <w:t>financiarización.</w:t>
      </w:r>
    </w:p>
    <w:p>
      <w:pPr>
        <w:pStyle w:val="BodyText"/>
        <w:spacing w:line="261" w:lineRule="auto"/>
        <w:ind w:left="100" w:right="112" w:firstLine="240"/>
        <w:jc w:val="both"/>
      </w:pPr>
      <w:r>
        <w:rPr>
          <w:color w:val="231F20"/>
          <w:w w:val="110"/>
        </w:rPr>
        <w:t>Los ciclos kondratiev fueron teorizados inicialmente por Nicolai Kondratiev</w:t>
      </w:r>
      <w:r>
        <w:rPr>
          <w:color w:val="231F20"/>
          <w:spacing w:val="-11"/>
          <w:w w:val="110"/>
        </w:rPr>
        <w:t> </w:t>
      </w:r>
      <w:r>
        <w:rPr>
          <w:color w:val="231F20"/>
          <w:w w:val="110"/>
        </w:rPr>
        <w:t>entre</w:t>
      </w:r>
      <w:r>
        <w:rPr>
          <w:color w:val="231F20"/>
          <w:spacing w:val="-11"/>
          <w:w w:val="110"/>
        </w:rPr>
        <w:t> </w:t>
      </w:r>
      <w:r>
        <w:rPr>
          <w:color w:val="231F20"/>
          <w:w w:val="110"/>
        </w:rPr>
        <w:t>los</w:t>
      </w:r>
      <w:r>
        <w:rPr>
          <w:color w:val="231F20"/>
          <w:spacing w:val="-11"/>
          <w:w w:val="110"/>
        </w:rPr>
        <w:t> </w:t>
      </w:r>
      <w:r>
        <w:rPr>
          <w:color w:val="231F20"/>
          <w:w w:val="110"/>
        </w:rPr>
        <w:t>decenios</w:t>
      </w:r>
      <w:r>
        <w:rPr>
          <w:color w:val="231F20"/>
          <w:spacing w:val="-11"/>
          <w:w w:val="110"/>
        </w:rPr>
        <w:t> </w:t>
      </w:r>
      <w:r>
        <w:rPr>
          <w:color w:val="231F20"/>
          <w:w w:val="110"/>
        </w:rPr>
        <w:t>de</w:t>
      </w:r>
      <w:r>
        <w:rPr>
          <w:color w:val="231F20"/>
          <w:spacing w:val="-11"/>
          <w:w w:val="110"/>
        </w:rPr>
        <w:t> </w:t>
      </w:r>
      <w:r>
        <w:rPr>
          <w:color w:val="231F20"/>
          <w:w w:val="110"/>
        </w:rPr>
        <w:t>1920</w:t>
      </w:r>
      <w:r>
        <w:rPr>
          <w:color w:val="231F20"/>
          <w:spacing w:val="-11"/>
          <w:w w:val="110"/>
        </w:rPr>
        <w:t> </w:t>
      </w:r>
      <w:r>
        <w:rPr>
          <w:color w:val="231F20"/>
          <w:w w:val="110"/>
        </w:rPr>
        <w:t>y</w:t>
      </w:r>
      <w:r>
        <w:rPr>
          <w:color w:val="231F20"/>
          <w:spacing w:val="-11"/>
          <w:w w:val="110"/>
        </w:rPr>
        <w:t> </w:t>
      </w:r>
      <w:r>
        <w:rPr>
          <w:color w:val="231F20"/>
          <w:w w:val="110"/>
        </w:rPr>
        <w:t>1930,</w:t>
      </w:r>
      <w:r>
        <w:rPr>
          <w:color w:val="231F20"/>
          <w:spacing w:val="-11"/>
          <w:w w:val="110"/>
        </w:rPr>
        <w:t> </w:t>
      </w:r>
      <w:r>
        <w:rPr>
          <w:color w:val="231F20"/>
          <w:w w:val="110"/>
        </w:rPr>
        <w:t>influenciaron</w:t>
      </w:r>
      <w:r>
        <w:rPr>
          <w:color w:val="231F20"/>
          <w:spacing w:val="-11"/>
          <w:w w:val="110"/>
        </w:rPr>
        <w:t> </w:t>
      </w:r>
      <w:r>
        <w:rPr>
          <w:color w:val="231F20"/>
          <w:w w:val="110"/>
        </w:rPr>
        <w:t>diversas corrientes</w:t>
      </w:r>
      <w:r>
        <w:rPr>
          <w:color w:val="231F20"/>
          <w:spacing w:val="-10"/>
          <w:w w:val="110"/>
        </w:rPr>
        <w:t> </w:t>
      </w:r>
      <w:r>
        <w:rPr>
          <w:color w:val="231F20"/>
          <w:w w:val="110"/>
        </w:rPr>
        <w:t>marxistas,</w:t>
      </w:r>
      <w:r>
        <w:rPr>
          <w:color w:val="231F20"/>
          <w:spacing w:val="-10"/>
          <w:w w:val="110"/>
        </w:rPr>
        <w:t> </w:t>
      </w:r>
      <w:r>
        <w:rPr>
          <w:color w:val="231F20"/>
          <w:w w:val="110"/>
        </w:rPr>
        <w:t>entre</w:t>
      </w:r>
      <w:r>
        <w:rPr>
          <w:color w:val="231F20"/>
          <w:spacing w:val="-10"/>
          <w:w w:val="110"/>
        </w:rPr>
        <w:t> </w:t>
      </w:r>
      <w:r>
        <w:rPr>
          <w:color w:val="231F20"/>
          <w:w w:val="110"/>
        </w:rPr>
        <w:t>ellas</w:t>
      </w:r>
      <w:r>
        <w:rPr>
          <w:color w:val="231F20"/>
          <w:spacing w:val="-10"/>
          <w:w w:val="110"/>
        </w:rPr>
        <w:t> </w:t>
      </w:r>
      <w:r>
        <w:rPr>
          <w:color w:val="231F20"/>
          <w:w w:val="110"/>
        </w:rPr>
        <w:t>el</w:t>
      </w:r>
      <w:r>
        <w:rPr>
          <w:color w:val="231F20"/>
          <w:spacing w:val="-10"/>
          <w:w w:val="110"/>
        </w:rPr>
        <w:t> </w:t>
      </w:r>
      <w:r>
        <w:rPr>
          <w:color w:val="231F20"/>
          <w:w w:val="110"/>
        </w:rPr>
        <w:t>trotskismo.</w:t>
      </w:r>
      <w:r>
        <w:rPr>
          <w:color w:val="231F20"/>
          <w:spacing w:val="-10"/>
          <w:w w:val="110"/>
        </w:rPr>
        <w:t> </w:t>
      </w:r>
      <w:r>
        <w:rPr>
          <w:color w:val="231F20"/>
          <w:w w:val="110"/>
        </w:rPr>
        <w:t>Esas</w:t>
      </w:r>
      <w:r>
        <w:rPr>
          <w:color w:val="231F20"/>
          <w:spacing w:val="-10"/>
          <w:w w:val="110"/>
        </w:rPr>
        <w:t> </w:t>
      </w:r>
      <w:r>
        <w:rPr>
          <w:color w:val="231F20"/>
          <w:w w:val="110"/>
        </w:rPr>
        <w:t>oscilaciones</w:t>
      </w:r>
      <w:r>
        <w:rPr>
          <w:color w:val="231F20"/>
          <w:spacing w:val="-10"/>
          <w:w w:val="110"/>
        </w:rPr>
        <w:t> </w:t>
      </w:r>
      <w:r>
        <w:rPr>
          <w:color w:val="231F20"/>
          <w:w w:val="110"/>
        </w:rPr>
        <w:t>tam- bién</w:t>
      </w:r>
      <w:r>
        <w:rPr>
          <w:color w:val="231F20"/>
          <w:spacing w:val="-10"/>
          <w:w w:val="110"/>
        </w:rPr>
        <w:t> </w:t>
      </w:r>
      <w:r>
        <w:rPr>
          <w:color w:val="231F20"/>
          <w:w w:val="110"/>
        </w:rPr>
        <w:t>fueron</w:t>
      </w:r>
      <w:r>
        <w:rPr>
          <w:color w:val="231F20"/>
          <w:spacing w:val="-10"/>
          <w:w w:val="110"/>
        </w:rPr>
        <w:t> </w:t>
      </w:r>
      <w:r>
        <w:rPr>
          <w:color w:val="231F20"/>
          <w:w w:val="110"/>
        </w:rPr>
        <w:t>observadas</w:t>
      </w:r>
      <w:r>
        <w:rPr>
          <w:color w:val="231F20"/>
          <w:spacing w:val="-10"/>
          <w:w w:val="110"/>
        </w:rPr>
        <w:t> </w:t>
      </w:r>
      <w:r>
        <w:rPr>
          <w:color w:val="231F20"/>
          <w:w w:val="110"/>
        </w:rPr>
        <w:t>por</w:t>
      </w:r>
      <w:r>
        <w:rPr>
          <w:color w:val="231F20"/>
          <w:spacing w:val="-10"/>
          <w:w w:val="110"/>
        </w:rPr>
        <w:t> </w:t>
      </w:r>
      <w:r>
        <w:rPr>
          <w:color w:val="231F20"/>
          <w:w w:val="110"/>
        </w:rPr>
        <w:t>Joseph</w:t>
      </w:r>
      <w:r>
        <w:rPr>
          <w:color w:val="231F20"/>
          <w:spacing w:val="-10"/>
          <w:w w:val="110"/>
        </w:rPr>
        <w:t> </w:t>
      </w:r>
      <w:r>
        <w:rPr>
          <w:color w:val="231F20"/>
          <w:w w:val="110"/>
        </w:rPr>
        <w:t>Schumpeter</w:t>
      </w:r>
      <w:r>
        <w:rPr>
          <w:color w:val="231F20"/>
          <w:spacing w:val="-10"/>
          <w:w w:val="110"/>
        </w:rPr>
        <w:t> </w:t>
      </w:r>
      <w:r>
        <w:rPr>
          <w:color w:val="231F20"/>
          <w:w w:val="110"/>
        </w:rPr>
        <w:t>y</w:t>
      </w:r>
      <w:r>
        <w:rPr>
          <w:color w:val="231F20"/>
          <w:spacing w:val="-10"/>
          <w:w w:val="110"/>
        </w:rPr>
        <w:t> </w:t>
      </w:r>
      <w:r>
        <w:rPr>
          <w:color w:val="231F20"/>
          <w:w w:val="110"/>
        </w:rPr>
        <w:t>repercutieron</w:t>
      </w:r>
      <w:r>
        <w:rPr>
          <w:color w:val="231F20"/>
          <w:spacing w:val="-10"/>
          <w:w w:val="110"/>
        </w:rPr>
        <w:t> </w:t>
      </w:r>
      <w:r>
        <w:rPr>
          <w:color w:val="231F20"/>
          <w:w w:val="110"/>
        </w:rPr>
        <w:t>sobre la corriente neoshumpeteriana. Ahora bien, tanto Shumpeter como </w:t>
      </w:r>
      <w:r>
        <w:rPr>
          <w:color w:val="231F20"/>
          <w:spacing w:val="-3"/>
          <w:w w:val="110"/>
        </w:rPr>
        <w:t>Trotsky </w:t>
      </w:r>
      <w:r>
        <w:rPr>
          <w:color w:val="231F20"/>
          <w:w w:val="110"/>
        </w:rPr>
        <w:t>trataron de negarle el carácter sistemático, atribuyéndole la condición de ola en lugar de ciclo, por razones apenas parcialmente distintas. </w:t>
      </w:r>
      <w:r>
        <w:rPr>
          <w:color w:val="231F20"/>
          <w:spacing w:val="-3"/>
          <w:w w:val="110"/>
        </w:rPr>
        <w:t>Trotsky </w:t>
      </w:r>
      <w:r>
        <w:rPr>
          <w:color w:val="231F20"/>
          <w:w w:val="110"/>
        </w:rPr>
        <w:t>admitía solamente los ciclos decenales observados por</w:t>
      </w:r>
      <w:r>
        <w:rPr>
          <w:color w:val="231F20"/>
          <w:spacing w:val="-4"/>
          <w:w w:val="110"/>
        </w:rPr>
        <w:t> </w:t>
      </w:r>
      <w:r>
        <w:rPr>
          <w:color w:val="231F20"/>
          <w:w w:val="110"/>
        </w:rPr>
        <w:t>Marx.</w:t>
      </w:r>
      <w:r>
        <w:rPr>
          <w:color w:val="231F20"/>
          <w:spacing w:val="-4"/>
          <w:w w:val="110"/>
        </w:rPr>
        <w:t> </w:t>
      </w:r>
      <w:r>
        <w:rPr>
          <w:color w:val="231F20"/>
          <w:w w:val="110"/>
        </w:rPr>
        <w:t>Los</w:t>
      </w:r>
      <w:r>
        <w:rPr>
          <w:color w:val="231F20"/>
          <w:spacing w:val="-4"/>
          <w:w w:val="110"/>
        </w:rPr>
        <w:t> </w:t>
      </w:r>
      <w:r>
        <w:rPr>
          <w:color w:val="231F20"/>
          <w:w w:val="110"/>
        </w:rPr>
        <w:t>calificaba</w:t>
      </w:r>
      <w:r>
        <w:rPr>
          <w:color w:val="231F20"/>
          <w:spacing w:val="-4"/>
          <w:w w:val="110"/>
        </w:rPr>
        <w:t> </w:t>
      </w:r>
      <w:r>
        <w:rPr>
          <w:color w:val="231F20"/>
          <w:w w:val="110"/>
        </w:rPr>
        <w:t>como</w:t>
      </w:r>
      <w:r>
        <w:rPr>
          <w:color w:val="231F20"/>
          <w:spacing w:val="-4"/>
          <w:w w:val="110"/>
        </w:rPr>
        <w:t> </w:t>
      </w:r>
      <w:r>
        <w:rPr>
          <w:color w:val="231F20"/>
          <w:w w:val="110"/>
        </w:rPr>
        <w:t>endógenos</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olas</w:t>
      </w:r>
      <w:r>
        <w:rPr>
          <w:color w:val="231F20"/>
          <w:spacing w:val="-4"/>
          <w:w w:val="110"/>
        </w:rPr>
        <w:t> </w:t>
      </w:r>
      <w:r>
        <w:rPr>
          <w:color w:val="231F20"/>
          <w:w w:val="110"/>
        </w:rPr>
        <w:t>largas</w:t>
      </w:r>
      <w:r>
        <w:rPr>
          <w:color w:val="231F20"/>
          <w:spacing w:val="-4"/>
          <w:w w:val="110"/>
        </w:rPr>
        <w:t> </w:t>
      </w:r>
      <w:r>
        <w:rPr>
          <w:color w:val="231F20"/>
          <w:w w:val="110"/>
        </w:rPr>
        <w:t>les</w:t>
      </w:r>
      <w:r>
        <w:rPr>
          <w:color w:val="231F20"/>
          <w:spacing w:val="-4"/>
          <w:w w:val="110"/>
        </w:rPr>
        <w:t> </w:t>
      </w:r>
      <w:r>
        <w:rPr>
          <w:color w:val="231F20"/>
          <w:w w:val="110"/>
        </w:rPr>
        <w:t>atri- buía un carácter excepcional, en la medida en que, para el proceso de acumulación, dependerían supuestamente de factores externos como las luchas de clases, las guerras, los descubrimientos tecnoló- gicos</w:t>
      </w:r>
      <w:r>
        <w:rPr>
          <w:color w:val="231F20"/>
          <w:spacing w:val="-22"/>
          <w:w w:val="110"/>
        </w:rPr>
        <w:t> </w:t>
      </w:r>
      <w:r>
        <w:rPr>
          <w:color w:val="231F20"/>
          <w:w w:val="110"/>
        </w:rPr>
        <w:t>o</w:t>
      </w:r>
      <w:r>
        <w:rPr>
          <w:color w:val="231F20"/>
          <w:spacing w:val="-22"/>
          <w:w w:val="110"/>
        </w:rPr>
        <w:t> </w:t>
      </w:r>
      <w:r>
        <w:rPr>
          <w:color w:val="231F20"/>
          <w:w w:val="110"/>
        </w:rPr>
        <w:t>geográficos.</w:t>
      </w:r>
      <w:r>
        <w:rPr>
          <w:color w:val="231F20"/>
          <w:spacing w:val="-22"/>
          <w:w w:val="110"/>
        </w:rPr>
        <w:t> </w:t>
      </w:r>
      <w:r>
        <w:rPr>
          <w:color w:val="231F20"/>
          <w:w w:val="110"/>
        </w:rPr>
        <w:t>A</w:t>
      </w:r>
      <w:r>
        <w:rPr>
          <w:color w:val="231F20"/>
          <w:spacing w:val="-22"/>
          <w:w w:val="110"/>
        </w:rPr>
        <w:t> </w:t>
      </w:r>
      <w:r>
        <w:rPr>
          <w:color w:val="231F20"/>
          <w:w w:val="110"/>
        </w:rPr>
        <w:t>su</w:t>
      </w:r>
      <w:r>
        <w:rPr>
          <w:color w:val="231F20"/>
          <w:spacing w:val="-22"/>
          <w:w w:val="110"/>
        </w:rPr>
        <w:t> </w:t>
      </w:r>
      <w:r>
        <w:rPr>
          <w:color w:val="231F20"/>
          <w:w w:val="110"/>
        </w:rPr>
        <w:t>vez,</w:t>
      </w:r>
      <w:r>
        <w:rPr>
          <w:color w:val="231F20"/>
          <w:spacing w:val="-22"/>
          <w:w w:val="110"/>
        </w:rPr>
        <w:t> </w:t>
      </w:r>
      <w:r>
        <w:rPr>
          <w:color w:val="231F20"/>
          <w:w w:val="110"/>
        </w:rPr>
        <w:t>Schumpeter,</w:t>
      </w:r>
      <w:r>
        <w:rPr>
          <w:color w:val="231F20"/>
          <w:spacing w:val="-22"/>
          <w:w w:val="110"/>
        </w:rPr>
        <w:t> </w:t>
      </w:r>
      <w:r>
        <w:rPr>
          <w:color w:val="231F20"/>
          <w:w w:val="110"/>
        </w:rPr>
        <w:t>consideraba</w:t>
      </w:r>
      <w:r>
        <w:rPr>
          <w:color w:val="231F20"/>
          <w:spacing w:val="-22"/>
          <w:w w:val="110"/>
        </w:rPr>
        <w:t> </w:t>
      </w:r>
      <w:r>
        <w:rPr>
          <w:color w:val="231F20"/>
          <w:w w:val="110"/>
        </w:rPr>
        <w:t>el</w:t>
      </w:r>
      <w:r>
        <w:rPr>
          <w:color w:val="231F20"/>
          <w:spacing w:val="-22"/>
          <w:w w:val="110"/>
        </w:rPr>
        <w:t> </w:t>
      </w:r>
      <w:r>
        <w:rPr>
          <w:color w:val="231F20"/>
          <w:w w:val="110"/>
        </w:rPr>
        <w:t>capitalismo como un sistema en equilibrio; a los factores externos, como los empresarios</w:t>
      </w:r>
      <w:r>
        <w:rPr>
          <w:color w:val="231F20"/>
          <w:spacing w:val="-7"/>
          <w:w w:val="110"/>
        </w:rPr>
        <w:t> </w:t>
      </w:r>
      <w:r>
        <w:rPr>
          <w:color w:val="231F20"/>
          <w:w w:val="110"/>
        </w:rPr>
        <w:t>innovadores,</w:t>
      </w:r>
      <w:r>
        <w:rPr>
          <w:color w:val="231F20"/>
          <w:spacing w:val="-7"/>
          <w:w w:val="110"/>
        </w:rPr>
        <w:t> </w:t>
      </w:r>
      <w:r>
        <w:rPr>
          <w:color w:val="231F20"/>
          <w:w w:val="110"/>
        </w:rPr>
        <w:t>les</w:t>
      </w:r>
      <w:r>
        <w:rPr>
          <w:color w:val="231F20"/>
          <w:spacing w:val="-7"/>
          <w:w w:val="110"/>
        </w:rPr>
        <w:t> </w:t>
      </w:r>
      <w:r>
        <w:rPr>
          <w:color w:val="231F20"/>
          <w:w w:val="110"/>
        </w:rPr>
        <w:t>correspondía</w:t>
      </w:r>
      <w:r>
        <w:rPr>
          <w:color w:val="231F20"/>
          <w:spacing w:val="-7"/>
          <w:w w:val="110"/>
        </w:rPr>
        <w:t> </w:t>
      </w:r>
      <w:r>
        <w:rPr>
          <w:color w:val="231F20"/>
          <w:w w:val="110"/>
        </w:rPr>
        <w:t>introducir</w:t>
      </w:r>
      <w:r>
        <w:rPr>
          <w:color w:val="231F20"/>
          <w:spacing w:val="-7"/>
          <w:w w:val="110"/>
        </w:rPr>
        <w:t> </w:t>
      </w:r>
      <w:r>
        <w:rPr>
          <w:color w:val="231F20"/>
          <w:w w:val="110"/>
        </w:rPr>
        <w:t>dinamismo.</w:t>
      </w:r>
      <w:r>
        <w:rPr>
          <w:color w:val="231F20"/>
          <w:spacing w:val="-7"/>
          <w:w w:val="110"/>
        </w:rPr>
        <w:t> </w:t>
      </w:r>
      <w:r>
        <w:rPr>
          <w:color w:val="231F20"/>
          <w:w w:val="110"/>
        </w:rPr>
        <w:t>La búsqueda de la ganancia, tenida como renta diferencial, por medio de innovaciones tecnológicas, colocaría el sistema en desequilibrio. Las innovaciones se desarrollarían por partes: innovaciones prima- rias, secundarias y terciarias se sucederían, llevando el sistema a un nuevo punto de equilibrio, diferente del  </w:t>
      </w:r>
      <w:r>
        <w:rPr>
          <w:color w:val="231F20"/>
          <w:spacing w:val="2"/>
          <w:w w:val="110"/>
        </w:rPr>
        <w:t> </w:t>
      </w:r>
      <w:r>
        <w:rPr>
          <w:color w:val="231F20"/>
          <w:w w:val="110"/>
        </w:rPr>
        <w:t>anterior.</w:t>
      </w:r>
    </w:p>
    <w:p>
      <w:pPr>
        <w:pStyle w:val="BodyText"/>
        <w:spacing w:line="261" w:lineRule="auto"/>
        <w:ind w:left="100" w:right="117" w:firstLine="240"/>
        <w:jc w:val="both"/>
      </w:pPr>
      <w:r>
        <w:rPr>
          <w:color w:val="231F20"/>
          <w:w w:val="110"/>
        </w:rPr>
        <w:t>El pensamiento neoshumpeteriano avanzó bastante en el análisis de</w:t>
      </w:r>
      <w:r>
        <w:rPr>
          <w:color w:val="231F20"/>
          <w:spacing w:val="-11"/>
          <w:w w:val="110"/>
        </w:rPr>
        <w:t> </w:t>
      </w:r>
      <w:r>
        <w:rPr>
          <w:color w:val="231F20"/>
          <w:w w:val="110"/>
        </w:rPr>
        <w:t>las</w:t>
      </w:r>
      <w:r>
        <w:rPr>
          <w:color w:val="231F20"/>
          <w:spacing w:val="-11"/>
          <w:w w:val="110"/>
        </w:rPr>
        <w:t> </w:t>
      </w:r>
      <w:r>
        <w:rPr>
          <w:color w:val="231F20"/>
          <w:w w:val="110"/>
        </w:rPr>
        <w:t>olas</w:t>
      </w:r>
      <w:r>
        <w:rPr>
          <w:color w:val="231F20"/>
          <w:spacing w:val="-11"/>
          <w:w w:val="110"/>
        </w:rPr>
        <w:t> </w:t>
      </w:r>
      <w:r>
        <w:rPr>
          <w:color w:val="231F20"/>
          <w:w w:val="110"/>
        </w:rPr>
        <w:t>largas,</w:t>
      </w:r>
      <w:r>
        <w:rPr>
          <w:color w:val="231F20"/>
          <w:spacing w:val="-11"/>
          <w:w w:val="110"/>
        </w:rPr>
        <w:t> </w:t>
      </w:r>
      <w:r>
        <w:rPr>
          <w:color w:val="231F20"/>
          <w:w w:val="110"/>
        </w:rPr>
        <w:t>principalmente</w:t>
      </w:r>
      <w:r>
        <w:rPr>
          <w:color w:val="231F20"/>
          <w:spacing w:val="-11"/>
          <w:w w:val="110"/>
        </w:rPr>
        <w:t> </w:t>
      </w:r>
      <w:r>
        <w:rPr>
          <w:color w:val="231F20"/>
          <w:w w:val="110"/>
        </w:rPr>
        <w:t>a</w:t>
      </w:r>
      <w:r>
        <w:rPr>
          <w:color w:val="231F20"/>
          <w:spacing w:val="-11"/>
          <w:w w:val="110"/>
        </w:rPr>
        <w:t> </w:t>
      </w:r>
      <w:r>
        <w:rPr>
          <w:color w:val="231F20"/>
          <w:w w:val="110"/>
        </w:rPr>
        <w:t>través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obras</w:t>
      </w:r>
      <w:r>
        <w:rPr>
          <w:color w:val="231F20"/>
          <w:spacing w:val="-11"/>
          <w:w w:val="110"/>
        </w:rPr>
        <w:t> </w:t>
      </w:r>
      <w:r>
        <w:rPr>
          <w:color w:val="231F20"/>
          <w:w w:val="110"/>
        </w:rPr>
        <w:t>de</w:t>
      </w:r>
      <w:r>
        <w:rPr>
          <w:color w:val="231F20"/>
          <w:spacing w:val="-11"/>
          <w:w w:val="110"/>
        </w:rPr>
        <w:t> </w:t>
      </w:r>
      <w:r>
        <w:rPr>
          <w:color w:val="231F20"/>
          <w:w w:val="110"/>
        </w:rPr>
        <w:t>Christopher Freeman</w:t>
      </w:r>
      <w:r>
        <w:rPr>
          <w:color w:val="231F20"/>
          <w:spacing w:val="-20"/>
          <w:w w:val="110"/>
        </w:rPr>
        <w:t> </w:t>
      </w:r>
      <w:r>
        <w:rPr>
          <w:color w:val="231F20"/>
          <w:w w:val="110"/>
        </w:rPr>
        <w:t>y</w:t>
      </w:r>
      <w:r>
        <w:rPr>
          <w:color w:val="231F20"/>
          <w:spacing w:val="-20"/>
          <w:w w:val="110"/>
        </w:rPr>
        <w:t> </w:t>
      </w:r>
      <w:r>
        <w:rPr>
          <w:color w:val="231F20"/>
          <w:w w:val="110"/>
        </w:rPr>
        <w:t>Carlota</w:t>
      </w:r>
      <w:r>
        <w:rPr>
          <w:color w:val="231F20"/>
          <w:spacing w:val="-20"/>
          <w:w w:val="110"/>
        </w:rPr>
        <w:t> </w:t>
      </w:r>
      <w:r>
        <w:rPr>
          <w:color w:val="231F20"/>
          <w:w w:val="110"/>
        </w:rPr>
        <w:t>Perez.</w:t>
      </w:r>
      <w:r>
        <w:rPr>
          <w:color w:val="231F20"/>
          <w:spacing w:val="-20"/>
          <w:w w:val="110"/>
        </w:rPr>
        <w:t> </w:t>
      </w:r>
      <w:r>
        <w:rPr>
          <w:color w:val="231F20"/>
          <w:w w:val="110"/>
        </w:rPr>
        <w:t>Elaboró</w:t>
      </w:r>
      <w:r>
        <w:rPr>
          <w:color w:val="231F20"/>
          <w:spacing w:val="-20"/>
          <w:w w:val="110"/>
        </w:rPr>
        <w:t> </w:t>
      </w:r>
      <w:r>
        <w:rPr>
          <w:color w:val="231F20"/>
          <w:w w:val="110"/>
        </w:rPr>
        <w:t>los</w:t>
      </w:r>
      <w:r>
        <w:rPr>
          <w:color w:val="231F20"/>
          <w:spacing w:val="-20"/>
          <w:w w:val="110"/>
        </w:rPr>
        <w:t> </w:t>
      </w:r>
      <w:r>
        <w:rPr>
          <w:color w:val="231F20"/>
          <w:w w:val="110"/>
        </w:rPr>
        <w:t>conceptos</w:t>
      </w:r>
      <w:r>
        <w:rPr>
          <w:color w:val="231F20"/>
          <w:spacing w:val="-20"/>
          <w:w w:val="110"/>
        </w:rPr>
        <w:t> </w:t>
      </w:r>
      <w:r>
        <w:rPr>
          <w:color w:val="231F20"/>
          <w:w w:val="110"/>
        </w:rPr>
        <w:t>de</w:t>
      </w:r>
      <w:r>
        <w:rPr>
          <w:color w:val="231F20"/>
          <w:spacing w:val="-20"/>
          <w:w w:val="110"/>
        </w:rPr>
        <w:t> </w:t>
      </w:r>
      <w:r>
        <w:rPr>
          <w:color w:val="231F20"/>
          <w:w w:val="110"/>
        </w:rPr>
        <w:t>paradigmas</w:t>
      </w:r>
      <w:r>
        <w:rPr>
          <w:color w:val="231F20"/>
          <w:spacing w:val="-20"/>
          <w:w w:val="110"/>
        </w:rPr>
        <w:t> </w:t>
      </w:r>
      <w:r>
        <w:rPr>
          <w:color w:val="231F20"/>
          <w:w w:val="110"/>
        </w:rPr>
        <w:t>tecno- económicos y trayectorias tecnológicas, identificó históricamente la existencia de cinco grandes olas, pero mantuvo el compromiso con la noción de equilibrio shumpeteriana, que impidió la </w:t>
      </w:r>
      <w:r>
        <w:rPr>
          <w:color w:val="231F20"/>
          <w:spacing w:val="49"/>
          <w:w w:val="110"/>
        </w:rPr>
        <w:t> </w:t>
      </w:r>
      <w:r>
        <w:rPr>
          <w:color w:val="231F20"/>
          <w:w w:val="110"/>
        </w:rPr>
        <w:t>comprensión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 la acumulación ilimitada como parte de la estructura capitalista y de los ciclos como una de las formas de expresión de su desarrollo. El pensamiento trostskista alcanzó un alto nivel de sofisticación con la</w:t>
      </w:r>
      <w:r>
        <w:rPr>
          <w:color w:val="231F20"/>
          <w:spacing w:val="-20"/>
          <w:w w:val="110"/>
        </w:rPr>
        <w:t> </w:t>
      </w:r>
      <w:r>
        <w:rPr>
          <w:color w:val="231F20"/>
          <w:w w:val="110"/>
        </w:rPr>
        <w:t>obra</w:t>
      </w:r>
      <w:r>
        <w:rPr>
          <w:color w:val="231F20"/>
          <w:spacing w:val="-20"/>
          <w:w w:val="110"/>
        </w:rPr>
        <w:t> </w:t>
      </w:r>
      <w:r>
        <w:rPr>
          <w:color w:val="231F20"/>
          <w:w w:val="110"/>
        </w:rPr>
        <w:t>de</w:t>
      </w:r>
      <w:r>
        <w:rPr>
          <w:color w:val="231F20"/>
          <w:spacing w:val="-20"/>
          <w:w w:val="110"/>
        </w:rPr>
        <w:t> </w:t>
      </w:r>
      <w:r>
        <w:rPr>
          <w:color w:val="231F20"/>
          <w:w w:val="110"/>
        </w:rPr>
        <w:t>Ernst</w:t>
      </w:r>
      <w:r>
        <w:rPr>
          <w:color w:val="231F20"/>
          <w:spacing w:val="-20"/>
          <w:w w:val="110"/>
        </w:rPr>
        <w:t> </w:t>
      </w:r>
      <w:r>
        <w:rPr>
          <w:color w:val="231F20"/>
          <w:w w:val="110"/>
        </w:rPr>
        <w:t>Mandel.</w:t>
      </w:r>
      <w:r>
        <w:rPr>
          <w:color w:val="231F20"/>
          <w:spacing w:val="-20"/>
          <w:w w:val="110"/>
        </w:rPr>
        <w:t> </w:t>
      </w:r>
      <w:r>
        <w:rPr>
          <w:color w:val="231F20"/>
          <w:w w:val="110"/>
        </w:rPr>
        <w:t>Éste</w:t>
      </w:r>
      <w:r>
        <w:rPr>
          <w:color w:val="231F20"/>
          <w:spacing w:val="-20"/>
          <w:w w:val="110"/>
        </w:rPr>
        <w:t> </w:t>
      </w:r>
      <w:r>
        <w:rPr>
          <w:color w:val="231F20"/>
          <w:w w:val="110"/>
        </w:rPr>
        <w:t>revisó</w:t>
      </w:r>
      <w:r>
        <w:rPr>
          <w:color w:val="231F20"/>
          <w:spacing w:val="-20"/>
          <w:w w:val="110"/>
        </w:rPr>
        <w:t> </w:t>
      </w:r>
      <w:r>
        <w:rPr>
          <w:color w:val="231F20"/>
          <w:w w:val="110"/>
        </w:rPr>
        <w:t>las</w:t>
      </w:r>
      <w:r>
        <w:rPr>
          <w:color w:val="231F20"/>
          <w:spacing w:val="-20"/>
          <w:w w:val="110"/>
        </w:rPr>
        <w:t> </w:t>
      </w:r>
      <w:r>
        <w:rPr>
          <w:color w:val="231F20"/>
          <w:w w:val="110"/>
        </w:rPr>
        <w:t>críticas</w:t>
      </w:r>
      <w:r>
        <w:rPr>
          <w:color w:val="231F20"/>
          <w:spacing w:val="-20"/>
          <w:w w:val="110"/>
        </w:rPr>
        <w:t> </w:t>
      </w:r>
      <w:r>
        <w:rPr>
          <w:color w:val="231F20"/>
          <w:w w:val="110"/>
        </w:rPr>
        <w:t>de</w:t>
      </w:r>
      <w:r>
        <w:rPr>
          <w:color w:val="231F20"/>
          <w:spacing w:val="-20"/>
          <w:w w:val="110"/>
        </w:rPr>
        <w:t> </w:t>
      </w:r>
      <w:r>
        <w:rPr>
          <w:color w:val="231F20"/>
          <w:spacing w:val="-3"/>
          <w:w w:val="110"/>
        </w:rPr>
        <w:t>Trotsky</w:t>
      </w:r>
      <w:r>
        <w:rPr>
          <w:color w:val="231F20"/>
          <w:spacing w:val="-20"/>
          <w:w w:val="110"/>
        </w:rPr>
        <w:t> </w:t>
      </w:r>
      <w:r>
        <w:rPr>
          <w:color w:val="231F20"/>
          <w:w w:val="110"/>
        </w:rPr>
        <w:t>a</w:t>
      </w:r>
      <w:r>
        <w:rPr>
          <w:color w:val="231F20"/>
          <w:spacing w:val="-20"/>
          <w:w w:val="110"/>
        </w:rPr>
        <w:t> </w:t>
      </w:r>
      <w:r>
        <w:rPr>
          <w:color w:val="231F20"/>
          <w:w w:val="110"/>
        </w:rPr>
        <w:t>los</w:t>
      </w:r>
      <w:r>
        <w:rPr>
          <w:color w:val="231F20"/>
          <w:spacing w:val="-20"/>
          <w:w w:val="110"/>
        </w:rPr>
        <w:t> </w:t>
      </w:r>
      <w:r>
        <w:rPr>
          <w:color w:val="231F20"/>
          <w:w w:val="110"/>
        </w:rPr>
        <w:t>ciclos, suavizándolas,</w:t>
      </w:r>
      <w:r>
        <w:rPr>
          <w:color w:val="231F20"/>
          <w:spacing w:val="-9"/>
          <w:w w:val="110"/>
        </w:rPr>
        <w:t> </w:t>
      </w:r>
      <w:r>
        <w:rPr>
          <w:color w:val="231F20"/>
          <w:w w:val="110"/>
        </w:rPr>
        <w:t>pero</w:t>
      </w:r>
      <w:r>
        <w:rPr>
          <w:color w:val="231F20"/>
          <w:spacing w:val="-9"/>
          <w:w w:val="110"/>
        </w:rPr>
        <w:t> </w:t>
      </w:r>
      <w:r>
        <w:rPr>
          <w:color w:val="231F20"/>
          <w:w w:val="110"/>
        </w:rPr>
        <w:t>mantuvo</w:t>
      </w:r>
      <w:r>
        <w:rPr>
          <w:color w:val="231F20"/>
          <w:spacing w:val="-9"/>
          <w:w w:val="110"/>
        </w:rPr>
        <w:t> </w:t>
      </w:r>
      <w:r>
        <w:rPr>
          <w:color w:val="231F20"/>
          <w:w w:val="110"/>
        </w:rPr>
        <w:t>la</w:t>
      </w:r>
      <w:r>
        <w:rPr>
          <w:color w:val="231F20"/>
          <w:spacing w:val="-9"/>
          <w:w w:val="110"/>
        </w:rPr>
        <w:t> </w:t>
      </w:r>
      <w:r>
        <w:rPr>
          <w:color w:val="231F20"/>
          <w:w w:val="110"/>
        </w:rPr>
        <w:t>dualidad</w:t>
      </w:r>
      <w:r>
        <w:rPr>
          <w:color w:val="231F20"/>
          <w:spacing w:val="-9"/>
          <w:w w:val="110"/>
        </w:rPr>
        <w:t> </w:t>
      </w:r>
      <w:r>
        <w:rPr>
          <w:color w:val="231F20"/>
          <w:w w:val="110"/>
        </w:rPr>
        <w:t>endógeno/exógeno</w:t>
      </w:r>
      <w:r>
        <w:rPr>
          <w:color w:val="231F20"/>
          <w:spacing w:val="-9"/>
          <w:w w:val="110"/>
        </w:rPr>
        <w:t> </w:t>
      </w:r>
      <w:r>
        <w:rPr>
          <w:color w:val="231F20"/>
          <w:w w:val="110"/>
        </w:rPr>
        <w:t>que</w:t>
      </w:r>
      <w:r>
        <w:rPr>
          <w:color w:val="231F20"/>
          <w:spacing w:val="-9"/>
          <w:w w:val="110"/>
        </w:rPr>
        <w:t> </w:t>
      </w:r>
      <w:r>
        <w:rPr>
          <w:color w:val="231F20"/>
          <w:w w:val="110"/>
        </w:rPr>
        <w:t>for- maba</w:t>
      </w:r>
      <w:r>
        <w:rPr>
          <w:color w:val="231F20"/>
          <w:spacing w:val="-10"/>
          <w:w w:val="110"/>
        </w:rPr>
        <w:t> </w:t>
      </w:r>
      <w:r>
        <w:rPr>
          <w:color w:val="231F20"/>
          <w:w w:val="110"/>
        </w:rPr>
        <w:t>parte</w:t>
      </w:r>
      <w:r>
        <w:rPr>
          <w:color w:val="231F20"/>
          <w:spacing w:val="-10"/>
          <w:w w:val="110"/>
        </w:rPr>
        <w:t> </w:t>
      </w:r>
      <w:r>
        <w:rPr>
          <w:color w:val="231F20"/>
          <w:w w:val="110"/>
        </w:rPr>
        <w:t>del</w:t>
      </w:r>
      <w:r>
        <w:rPr>
          <w:color w:val="231F20"/>
          <w:spacing w:val="-10"/>
          <w:w w:val="110"/>
        </w:rPr>
        <w:t> </w:t>
      </w:r>
      <w:r>
        <w:rPr>
          <w:color w:val="231F20"/>
          <w:w w:val="110"/>
        </w:rPr>
        <w:t>esquema</w:t>
      </w:r>
      <w:r>
        <w:rPr>
          <w:color w:val="231F20"/>
          <w:spacing w:val="-10"/>
          <w:w w:val="110"/>
        </w:rPr>
        <w:t> </w:t>
      </w:r>
      <w:r>
        <w:rPr>
          <w:color w:val="231F20"/>
          <w:w w:val="110"/>
        </w:rPr>
        <w:t>de</w:t>
      </w:r>
      <w:r>
        <w:rPr>
          <w:color w:val="231F20"/>
          <w:spacing w:val="-10"/>
          <w:w w:val="110"/>
        </w:rPr>
        <w:t> </w:t>
      </w:r>
      <w:r>
        <w:rPr>
          <w:color w:val="231F20"/>
          <w:w w:val="110"/>
        </w:rPr>
        <w:t>análisis</w:t>
      </w:r>
      <w:r>
        <w:rPr>
          <w:color w:val="231F20"/>
          <w:spacing w:val="-10"/>
          <w:w w:val="110"/>
        </w:rPr>
        <w:t> </w:t>
      </w:r>
      <w:r>
        <w:rPr>
          <w:color w:val="231F20"/>
          <w:w w:val="110"/>
        </w:rPr>
        <w:t>del</w:t>
      </w:r>
      <w:r>
        <w:rPr>
          <w:color w:val="231F20"/>
          <w:spacing w:val="-10"/>
          <w:w w:val="110"/>
        </w:rPr>
        <w:t> </w:t>
      </w:r>
      <w:r>
        <w:rPr>
          <w:color w:val="231F20"/>
          <w:w w:val="110"/>
        </w:rPr>
        <w:t>autor</w:t>
      </w:r>
      <w:r>
        <w:rPr>
          <w:color w:val="231F20"/>
          <w:spacing w:val="-10"/>
          <w:w w:val="110"/>
        </w:rPr>
        <w:t> </w:t>
      </w:r>
      <w:r>
        <w:rPr>
          <w:color w:val="231F20"/>
          <w:w w:val="110"/>
        </w:rPr>
        <w:t>ruso-ucraniano.</w:t>
      </w:r>
      <w:r>
        <w:rPr>
          <w:color w:val="231F20"/>
          <w:spacing w:val="-10"/>
          <w:w w:val="110"/>
        </w:rPr>
        <w:t> </w:t>
      </w:r>
      <w:r>
        <w:rPr>
          <w:color w:val="231F20"/>
          <w:w w:val="110"/>
        </w:rPr>
        <w:t>Mandel señaló que el desarrollo del capitalismo en un sistema</w:t>
      </w:r>
      <w:r>
        <w:rPr>
          <w:color w:val="231F20"/>
          <w:spacing w:val="-24"/>
          <w:w w:val="110"/>
        </w:rPr>
        <w:t> </w:t>
      </w:r>
      <w:r>
        <w:rPr>
          <w:color w:val="231F20"/>
          <w:w w:val="110"/>
        </w:rPr>
        <w:t>efectivamente mundial y el creciente control que proporciona sobre la naturaleza   a través del progreso técnico, disminuían la autonomía relativa de factores</w:t>
      </w:r>
      <w:r>
        <w:rPr>
          <w:color w:val="231F20"/>
          <w:spacing w:val="-21"/>
          <w:w w:val="110"/>
        </w:rPr>
        <w:t> </w:t>
      </w:r>
      <w:r>
        <w:rPr>
          <w:color w:val="231F20"/>
          <w:w w:val="110"/>
        </w:rPr>
        <w:t>como</w:t>
      </w:r>
      <w:r>
        <w:rPr>
          <w:color w:val="231F20"/>
          <w:spacing w:val="-21"/>
          <w:w w:val="110"/>
        </w:rPr>
        <w:t> </w:t>
      </w:r>
      <w:r>
        <w:rPr>
          <w:color w:val="231F20"/>
          <w:w w:val="110"/>
        </w:rPr>
        <w:t>la</w:t>
      </w:r>
      <w:r>
        <w:rPr>
          <w:color w:val="231F20"/>
          <w:spacing w:val="-21"/>
          <w:w w:val="110"/>
        </w:rPr>
        <w:t> </w:t>
      </w:r>
      <w:r>
        <w:rPr>
          <w:color w:val="231F20"/>
          <w:w w:val="110"/>
        </w:rPr>
        <w:t>naturaleza</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innovación</w:t>
      </w:r>
      <w:r>
        <w:rPr>
          <w:color w:val="231F20"/>
          <w:spacing w:val="-21"/>
          <w:w w:val="110"/>
        </w:rPr>
        <w:t> </w:t>
      </w:r>
      <w:r>
        <w:rPr>
          <w:color w:val="231F20"/>
          <w:w w:val="110"/>
        </w:rPr>
        <w:t>tecnológica.</w:t>
      </w:r>
      <w:r>
        <w:rPr>
          <w:color w:val="231F20"/>
          <w:spacing w:val="-21"/>
          <w:w w:val="110"/>
        </w:rPr>
        <w:t> </w:t>
      </w:r>
      <w:r>
        <w:rPr>
          <w:color w:val="231F20"/>
          <w:w w:val="110"/>
        </w:rPr>
        <w:t>Sin</w:t>
      </w:r>
      <w:r>
        <w:rPr>
          <w:color w:val="231F20"/>
          <w:spacing w:val="-21"/>
          <w:w w:val="110"/>
        </w:rPr>
        <w:t> </w:t>
      </w:r>
      <w:r>
        <w:rPr>
          <w:color w:val="231F20"/>
          <w:w w:val="110"/>
        </w:rPr>
        <w:t>embargo, apuntó que la lucha de clases permanecía como variable exógena al poder capitalista, aunque restringiese su potencialidad liberadora al periodo especifico de la primera quincena que se sigue al estallido de la crisis que inicia la fase B del</w:t>
      </w:r>
      <w:r>
        <w:rPr>
          <w:color w:val="231F20"/>
          <w:spacing w:val="-19"/>
          <w:w w:val="110"/>
        </w:rPr>
        <w:t> </w:t>
      </w:r>
      <w:r>
        <w:rPr>
          <w:color w:val="231F20"/>
          <w:w w:val="110"/>
        </w:rPr>
        <w:t>kondratiev.</w:t>
      </w:r>
    </w:p>
    <w:p>
      <w:pPr>
        <w:pStyle w:val="BodyText"/>
        <w:spacing w:line="261" w:lineRule="auto"/>
        <w:ind w:left="100" w:right="119" w:firstLine="240"/>
        <w:jc w:val="both"/>
      </w:pPr>
      <w:r>
        <w:rPr>
          <w:color w:val="231F20"/>
          <w:w w:val="110"/>
        </w:rPr>
        <w:t>En</w:t>
      </w:r>
      <w:r>
        <w:rPr>
          <w:color w:val="231F20"/>
          <w:spacing w:val="-17"/>
          <w:w w:val="110"/>
        </w:rPr>
        <w:t> </w:t>
      </w:r>
      <w:r>
        <w:rPr>
          <w:color w:val="231F20"/>
          <w:w w:val="110"/>
        </w:rPr>
        <w:t>verdad,</w:t>
      </w:r>
      <w:r>
        <w:rPr>
          <w:color w:val="231F20"/>
          <w:spacing w:val="-17"/>
          <w:w w:val="110"/>
        </w:rPr>
        <w:t> </w:t>
      </w:r>
      <w:r>
        <w:rPr>
          <w:color w:val="231F20"/>
          <w:w w:val="110"/>
        </w:rPr>
        <w:t>la</w:t>
      </w:r>
      <w:r>
        <w:rPr>
          <w:color w:val="231F20"/>
          <w:spacing w:val="-17"/>
          <w:w w:val="110"/>
        </w:rPr>
        <w:t> </w:t>
      </w:r>
      <w:r>
        <w:rPr>
          <w:color w:val="231F20"/>
          <w:w w:val="110"/>
        </w:rPr>
        <w:t>polarización</w:t>
      </w:r>
      <w:r>
        <w:rPr>
          <w:color w:val="231F20"/>
          <w:spacing w:val="-17"/>
          <w:w w:val="110"/>
        </w:rPr>
        <w:t> </w:t>
      </w:r>
      <w:r>
        <w:rPr>
          <w:color w:val="231F20"/>
          <w:w w:val="110"/>
        </w:rPr>
        <w:t>endógeno/exógeno</w:t>
      </w:r>
      <w:r>
        <w:rPr>
          <w:color w:val="231F20"/>
          <w:spacing w:val="-17"/>
          <w:w w:val="110"/>
        </w:rPr>
        <w:t> </w:t>
      </w:r>
      <w:r>
        <w:rPr>
          <w:color w:val="231F20"/>
          <w:w w:val="110"/>
        </w:rPr>
        <w:t>es</w:t>
      </w:r>
      <w:r>
        <w:rPr>
          <w:color w:val="231F20"/>
          <w:spacing w:val="-17"/>
          <w:w w:val="110"/>
        </w:rPr>
        <w:t> </w:t>
      </w:r>
      <w:r>
        <w:rPr>
          <w:color w:val="231F20"/>
          <w:w w:val="110"/>
        </w:rPr>
        <w:t>una</w:t>
      </w:r>
      <w:r>
        <w:rPr>
          <w:color w:val="231F20"/>
          <w:spacing w:val="-17"/>
          <w:w w:val="110"/>
        </w:rPr>
        <w:t> </w:t>
      </w:r>
      <w:r>
        <w:rPr>
          <w:color w:val="231F20"/>
          <w:w w:val="110"/>
        </w:rPr>
        <w:t>falsa</w:t>
      </w:r>
      <w:r>
        <w:rPr>
          <w:color w:val="231F20"/>
          <w:spacing w:val="-17"/>
          <w:w w:val="110"/>
        </w:rPr>
        <w:t> </w:t>
      </w:r>
      <w:r>
        <w:rPr>
          <w:color w:val="231F20"/>
          <w:w w:val="110"/>
        </w:rPr>
        <w:t>cuestión</w:t>
      </w:r>
      <w:r>
        <w:rPr>
          <w:color w:val="231F20"/>
          <w:spacing w:val="-1"/>
          <w:w w:val="109"/>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comprensión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problemática</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ciclos.</w:t>
      </w:r>
      <w:r>
        <w:rPr>
          <w:color w:val="231F20"/>
          <w:spacing w:val="-4"/>
          <w:w w:val="110"/>
        </w:rPr>
        <w:t> </w:t>
      </w:r>
      <w:r>
        <w:rPr>
          <w:color w:val="231F20"/>
          <w:w w:val="110"/>
        </w:rPr>
        <w:t>Ella</w:t>
      </w:r>
      <w:r>
        <w:rPr>
          <w:color w:val="231F20"/>
          <w:spacing w:val="-4"/>
          <w:w w:val="110"/>
        </w:rPr>
        <w:t> </w:t>
      </w:r>
      <w:r>
        <w:rPr>
          <w:color w:val="231F20"/>
          <w:w w:val="110"/>
        </w:rPr>
        <w:t>es</w:t>
      </w:r>
      <w:r>
        <w:rPr>
          <w:color w:val="231F20"/>
          <w:spacing w:val="-4"/>
          <w:w w:val="110"/>
        </w:rPr>
        <w:t> </w:t>
      </w:r>
      <w:r>
        <w:rPr>
          <w:color w:val="231F20"/>
          <w:w w:val="110"/>
        </w:rPr>
        <w:t>oriunda del liberalismo </w:t>
      </w:r>
      <w:r>
        <w:rPr>
          <w:color w:val="231F20"/>
        </w:rPr>
        <w:t>y </w:t>
      </w:r>
      <w:r>
        <w:rPr>
          <w:color w:val="231F20"/>
          <w:w w:val="110"/>
        </w:rPr>
        <w:t>de la fragmentación que éste provoca en</w:t>
      </w:r>
      <w:r>
        <w:rPr>
          <w:color w:val="231F20"/>
          <w:spacing w:val="32"/>
          <w:w w:val="110"/>
        </w:rPr>
        <w:t> </w:t>
      </w:r>
      <w:r>
        <w:rPr>
          <w:color w:val="231F20"/>
          <w:w w:val="110"/>
        </w:rPr>
        <w:t>el</w:t>
      </w:r>
      <w:r>
        <w:rPr>
          <w:color w:val="231F20"/>
          <w:spacing w:val="8"/>
          <w:w w:val="110"/>
        </w:rPr>
        <w:t> </w:t>
      </w:r>
      <w:r>
        <w:rPr>
          <w:color w:val="231F20"/>
          <w:w w:val="110"/>
        </w:rPr>
        <w:t>pensa-</w:t>
      </w:r>
      <w:r>
        <w:rPr>
          <w:color w:val="231F20"/>
          <w:w w:val="72"/>
        </w:rPr>
        <w:t> </w:t>
      </w:r>
      <w:r>
        <w:rPr>
          <w:color w:val="231F20"/>
          <w:w w:val="110"/>
        </w:rPr>
        <w:t>miento social. </w:t>
      </w:r>
      <w:r>
        <w:rPr>
          <w:color w:val="231F20"/>
          <w:spacing w:val="-6"/>
          <w:w w:val="110"/>
        </w:rPr>
        <w:t>Todo </w:t>
      </w:r>
      <w:r>
        <w:rPr>
          <w:color w:val="231F20"/>
          <w:w w:val="110"/>
        </w:rPr>
        <w:t>proceso social se constituye por</w:t>
      </w:r>
      <w:r>
        <w:rPr>
          <w:color w:val="231F20"/>
          <w:spacing w:val="-38"/>
          <w:w w:val="110"/>
        </w:rPr>
        <w:t> </w:t>
      </w:r>
      <w:r>
        <w:rPr>
          <w:color w:val="231F20"/>
          <w:w w:val="110"/>
        </w:rPr>
        <w:t>una</w:t>
      </w:r>
      <w:r>
        <w:rPr>
          <w:color w:val="231F20"/>
          <w:spacing w:val="-6"/>
          <w:w w:val="110"/>
        </w:rPr>
        <w:t> </w:t>
      </w:r>
      <w:r>
        <w:rPr>
          <w:color w:val="231F20"/>
          <w:w w:val="110"/>
        </w:rPr>
        <w:t>articulación</w:t>
      </w:r>
      <w:r>
        <w:rPr>
          <w:color w:val="231F20"/>
          <w:spacing w:val="-1"/>
          <w:w w:val="109"/>
        </w:rPr>
        <w:t> </w:t>
      </w:r>
      <w:r>
        <w:rPr>
          <w:color w:val="231F20"/>
          <w:w w:val="110"/>
        </w:rPr>
        <w:t>específica que se desarrolla sobre los elementos geográficos,</w:t>
      </w:r>
      <w:r>
        <w:rPr>
          <w:color w:val="231F20"/>
          <w:spacing w:val="-9"/>
          <w:w w:val="110"/>
        </w:rPr>
        <w:t> </w:t>
      </w:r>
      <w:r>
        <w:rPr>
          <w:color w:val="231F20"/>
          <w:w w:val="110"/>
        </w:rPr>
        <w:t>territo- riales,</w:t>
      </w:r>
      <w:r>
        <w:rPr>
          <w:color w:val="231F20"/>
          <w:spacing w:val="-5"/>
          <w:w w:val="110"/>
        </w:rPr>
        <w:t> </w:t>
      </w:r>
      <w:r>
        <w:rPr>
          <w:color w:val="231F20"/>
          <w:w w:val="110"/>
        </w:rPr>
        <w:t>tecnológicos</w:t>
      </w:r>
      <w:r>
        <w:rPr>
          <w:color w:val="231F20"/>
          <w:spacing w:val="-5"/>
          <w:w w:val="110"/>
        </w:rPr>
        <w:t> </w:t>
      </w:r>
      <w:r>
        <w:rPr>
          <w:color w:val="231F20"/>
        </w:rPr>
        <w:t>y </w:t>
      </w:r>
      <w:r>
        <w:rPr>
          <w:color w:val="231F20"/>
          <w:w w:val="110"/>
        </w:rPr>
        <w:t>culturales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humana</w:t>
      </w:r>
      <w:r>
        <w:rPr>
          <w:color w:val="231F20"/>
          <w:spacing w:val="-5"/>
          <w:w w:val="110"/>
        </w:rPr>
        <w:t> </w:t>
      </w:r>
      <w:r>
        <w:rPr>
          <w:color w:val="231F20"/>
          <w:w w:val="110"/>
        </w:rPr>
        <w:t>que</w:t>
      </w:r>
      <w:r>
        <w:rPr>
          <w:color w:val="231F20"/>
          <w:spacing w:val="-5"/>
          <w:w w:val="110"/>
        </w:rPr>
        <w:t> </w:t>
      </w:r>
      <w:r>
        <w:rPr>
          <w:color w:val="231F20"/>
          <w:w w:val="110"/>
        </w:rPr>
        <w:t>les</w:t>
      </w:r>
      <w:r>
        <w:rPr>
          <w:color w:val="231F20"/>
          <w:spacing w:val="-5"/>
          <w:w w:val="110"/>
        </w:rPr>
        <w:t> </w:t>
      </w:r>
      <w:r>
        <w:rPr>
          <w:color w:val="231F20"/>
          <w:w w:val="110"/>
        </w:rPr>
        <w:t>son</w:t>
      </w:r>
      <w:r>
        <w:rPr>
          <w:color w:val="231F20"/>
          <w:spacing w:val="-5"/>
          <w:w w:val="110"/>
        </w:rPr>
        <w:t> </w:t>
      </w:r>
      <w:r>
        <w:rPr>
          <w:color w:val="231F20"/>
          <w:w w:val="110"/>
        </w:rPr>
        <w:t>relati- vamente autónomos. El capitalismo creó una poderosísima</w:t>
      </w:r>
      <w:r>
        <w:rPr>
          <w:color w:val="231F20"/>
          <w:spacing w:val="-38"/>
          <w:w w:val="110"/>
        </w:rPr>
        <w:t> </w:t>
      </w:r>
      <w:r>
        <w:rPr>
          <w:color w:val="231F20"/>
          <w:w w:val="110"/>
        </w:rPr>
        <w:t>fuerza</w:t>
      </w:r>
      <w:r>
        <w:rPr>
          <w:color w:val="231F20"/>
          <w:spacing w:val="-6"/>
          <w:w w:val="110"/>
        </w:rPr>
        <w:t> </w:t>
      </w:r>
      <w:r>
        <w:rPr>
          <w:color w:val="231F20"/>
          <w:w w:val="110"/>
        </w:rPr>
        <w:t>de</w:t>
      </w:r>
      <w:r>
        <w:rPr>
          <w:color w:val="231F20"/>
          <w:spacing w:val="-1"/>
          <w:w w:val="114"/>
        </w:rPr>
        <w:t> </w:t>
      </w:r>
      <w:r>
        <w:rPr>
          <w:color w:val="231F20"/>
          <w:w w:val="110"/>
        </w:rPr>
        <w:t>articulación</w:t>
      </w:r>
      <w:r>
        <w:rPr>
          <w:color w:val="231F20"/>
          <w:spacing w:val="-8"/>
          <w:w w:val="110"/>
        </w:rPr>
        <w:t> </w:t>
      </w:r>
      <w:r>
        <w:rPr>
          <w:color w:val="231F20"/>
          <w:w w:val="110"/>
        </w:rPr>
        <w:t>oriunda</w:t>
      </w:r>
      <w:r>
        <w:rPr>
          <w:color w:val="231F20"/>
          <w:spacing w:val="-8"/>
          <w:w w:val="110"/>
        </w:rPr>
        <w:t> </w:t>
      </w:r>
      <w:r>
        <w:rPr>
          <w:color w:val="231F20"/>
          <w:w w:val="110"/>
        </w:rPr>
        <w:t>de</w:t>
      </w:r>
      <w:r>
        <w:rPr>
          <w:color w:val="231F20"/>
          <w:spacing w:val="-8"/>
          <w:w w:val="110"/>
        </w:rPr>
        <w:t> </w:t>
      </w:r>
      <w:r>
        <w:rPr>
          <w:color w:val="231F20"/>
          <w:w w:val="110"/>
        </w:rPr>
        <w:t>sus</w:t>
      </w:r>
      <w:r>
        <w:rPr>
          <w:color w:val="231F20"/>
          <w:spacing w:val="-8"/>
          <w:w w:val="110"/>
        </w:rPr>
        <w:t> </w:t>
      </w:r>
      <w:r>
        <w:rPr>
          <w:color w:val="231F20"/>
          <w:w w:val="110"/>
        </w:rPr>
        <w:t>tendencias</w:t>
      </w:r>
      <w:r>
        <w:rPr>
          <w:color w:val="231F20"/>
          <w:spacing w:val="-8"/>
          <w:w w:val="110"/>
        </w:rPr>
        <w:t> </w:t>
      </w:r>
      <w:r>
        <w:rPr>
          <w:color w:val="231F20"/>
          <w:w w:val="110"/>
        </w:rPr>
        <w:t>seculares,</w:t>
      </w:r>
      <w:r>
        <w:rPr>
          <w:color w:val="231F20"/>
          <w:spacing w:val="-8"/>
          <w:w w:val="110"/>
        </w:rPr>
        <w:t> </w:t>
      </w:r>
      <w:r>
        <w:rPr>
          <w:color w:val="231F20"/>
          <w:w w:val="110"/>
        </w:rPr>
        <w:t>capaz</w:t>
      </w:r>
      <w:r>
        <w:rPr>
          <w:color w:val="231F20"/>
          <w:spacing w:val="-8"/>
          <w:w w:val="110"/>
        </w:rPr>
        <w:t> </w:t>
      </w:r>
      <w:r>
        <w:rPr>
          <w:color w:val="231F20"/>
          <w:w w:val="110"/>
        </w:rPr>
        <w:t>de</w:t>
      </w:r>
      <w:r>
        <w:rPr>
          <w:color w:val="231F20"/>
          <w:spacing w:val="-8"/>
          <w:w w:val="110"/>
        </w:rPr>
        <w:t> </w:t>
      </w:r>
      <w:r>
        <w:rPr>
          <w:color w:val="231F20"/>
          <w:w w:val="110"/>
        </w:rPr>
        <w:t>incorporar en</w:t>
      </w:r>
      <w:r>
        <w:rPr>
          <w:color w:val="231F20"/>
          <w:spacing w:val="-23"/>
          <w:w w:val="110"/>
        </w:rPr>
        <w:t> </w:t>
      </w:r>
      <w:r>
        <w:rPr>
          <w:color w:val="231F20"/>
          <w:w w:val="110"/>
        </w:rPr>
        <w:t>gran</w:t>
      </w:r>
      <w:r>
        <w:rPr>
          <w:color w:val="231F20"/>
          <w:spacing w:val="-23"/>
          <w:w w:val="110"/>
        </w:rPr>
        <w:t> </w:t>
      </w:r>
      <w:r>
        <w:rPr>
          <w:color w:val="231F20"/>
          <w:w w:val="110"/>
        </w:rPr>
        <w:t>parte</w:t>
      </w:r>
      <w:r>
        <w:rPr>
          <w:color w:val="231F20"/>
          <w:spacing w:val="-23"/>
          <w:w w:val="110"/>
        </w:rPr>
        <w:t> </w:t>
      </w:r>
      <w:r>
        <w:rPr>
          <w:color w:val="231F20"/>
          <w:w w:val="110"/>
        </w:rPr>
        <w:t>la</w:t>
      </w:r>
      <w:r>
        <w:rPr>
          <w:color w:val="231F20"/>
          <w:spacing w:val="-23"/>
          <w:w w:val="110"/>
        </w:rPr>
        <w:t> </w:t>
      </w:r>
      <w:r>
        <w:rPr>
          <w:color w:val="231F20"/>
          <w:w w:val="110"/>
        </w:rPr>
        <w:t>naturaleza</w:t>
      </w:r>
      <w:r>
        <w:rPr>
          <w:color w:val="231F20"/>
          <w:spacing w:val="-23"/>
          <w:w w:val="110"/>
        </w:rPr>
        <w:t> </w:t>
      </w:r>
      <w:r>
        <w:rPr>
          <w:color w:val="231F20"/>
        </w:rPr>
        <w:t>y</w:t>
      </w:r>
      <w:r>
        <w:rPr>
          <w:color w:val="231F20"/>
          <w:spacing w:val="-18"/>
        </w:rPr>
        <w:t> </w:t>
      </w:r>
      <w:r>
        <w:rPr>
          <w:color w:val="231F20"/>
          <w:w w:val="110"/>
        </w:rPr>
        <w:t>los</w:t>
      </w:r>
      <w:r>
        <w:rPr>
          <w:color w:val="231F20"/>
          <w:spacing w:val="-23"/>
          <w:w w:val="110"/>
        </w:rPr>
        <w:t> </w:t>
      </w:r>
      <w:r>
        <w:rPr>
          <w:color w:val="231F20"/>
          <w:w w:val="110"/>
        </w:rPr>
        <w:t>procesos</w:t>
      </w:r>
      <w:r>
        <w:rPr>
          <w:color w:val="231F20"/>
          <w:spacing w:val="-23"/>
          <w:w w:val="110"/>
        </w:rPr>
        <w:t> </w:t>
      </w:r>
      <w:r>
        <w:rPr>
          <w:color w:val="231F20"/>
          <w:w w:val="110"/>
        </w:rPr>
        <w:t>sociales.</w:t>
      </w:r>
      <w:r>
        <w:rPr>
          <w:color w:val="231F20"/>
          <w:spacing w:val="-23"/>
          <w:w w:val="110"/>
        </w:rPr>
        <w:t> </w:t>
      </w:r>
      <w:r>
        <w:rPr>
          <w:color w:val="231F20"/>
          <w:w w:val="110"/>
        </w:rPr>
        <w:t>Los</w:t>
      </w:r>
      <w:r>
        <w:rPr>
          <w:color w:val="231F20"/>
          <w:spacing w:val="-23"/>
          <w:w w:val="110"/>
        </w:rPr>
        <w:t> </w:t>
      </w:r>
      <w:r>
        <w:rPr>
          <w:color w:val="231F20"/>
          <w:w w:val="110"/>
        </w:rPr>
        <w:t>kondratievs</w:t>
      </w:r>
      <w:r>
        <w:rPr>
          <w:color w:val="231F20"/>
          <w:spacing w:val="-23"/>
          <w:w w:val="110"/>
        </w:rPr>
        <w:t> </w:t>
      </w:r>
      <w:r>
        <w:rPr>
          <w:color w:val="231F20"/>
          <w:w w:val="110"/>
        </w:rPr>
        <w:t>son oscilaciones que corresponden al desarrollo estructural del modo de producción</w:t>
      </w:r>
      <w:r>
        <w:rPr>
          <w:color w:val="231F20"/>
          <w:spacing w:val="-17"/>
          <w:w w:val="110"/>
        </w:rPr>
        <w:t> </w:t>
      </w:r>
      <w:r>
        <w:rPr>
          <w:color w:val="231F20"/>
          <w:w w:val="110"/>
        </w:rPr>
        <w:t>capitalista,</w:t>
      </w:r>
      <w:r>
        <w:rPr>
          <w:color w:val="231F20"/>
          <w:spacing w:val="-17"/>
          <w:w w:val="110"/>
        </w:rPr>
        <w:t> </w:t>
      </w:r>
      <w:r>
        <w:rPr>
          <w:color w:val="231F20"/>
          <w:w w:val="110"/>
        </w:rPr>
        <w:t>de</w:t>
      </w:r>
      <w:r>
        <w:rPr>
          <w:color w:val="231F20"/>
          <w:spacing w:val="-17"/>
          <w:w w:val="110"/>
        </w:rPr>
        <w:t> </w:t>
      </w:r>
      <w:r>
        <w:rPr>
          <w:color w:val="231F20"/>
          <w:w w:val="110"/>
        </w:rPr>
        <w:t>sus</w:t>
      </w:r>
      <w:r>
        <w:rPr>
          <w:color w:val="231F20"/>
          <w:spacing w:val="-17"/>
          <w:w w:val="110"/>
        </w:rPr>
        <w:t> </w:t>
      </w:r>
      <w:r>
        <w:rPr>
          <w:color w:val="231F20"/>
          <w:w w:val="110"/>
        </w:rPr>
        <w:t>fuerzas</w:t>
      </w:r>
      <w:r>
        <w:rPr>
          <w:color w:val="231F20"/>
          <w:spacing w:val="-17"/>
          <w:w w:val="110"/>
        </w:rPr>
        <w:t> </w:t>
      </w:r>
      <w:r>
        <w:rPr>
          <w:color w:val="231F20"/>
          <w:w w:val="110"/>
        </w:rPr>
        <w:t>productivas</w:t>
      </w:r>
      <w:r>
        <w:rPr>
          <w:color w:val="231F20"/>
          <w:spacing w:val="-17"/>
          <w:w w:val="110"/>
        </w:rPr>
        <w:t> </w:t>
      </w:r>
      <w:r>
        <w:rPr>
          <w:color w:val="231F20"/>
        </w:rPr>
        <w:t>y</w:t>
      </w:r>
      <w:r>
        <w:rPr>
          <w:color w:val="231F20"/>
          <w:spacing w:val="-12"/>
        </w:rPr>
        <w:t> </w:t>
      </w:r>
      <w:r>
        <w:rPr>
          <w:color w:val="231F20"/>
          <w:w w:val="110"/>
        </w:rPr>
        <w:t>relaciones</w:t>
      </w:r>
      <w:r>
        <w:rPr>
          <w:color w:val="231F20"/>
          <w:spacing w:val="-17"/>
          <w:w w:val="110"/>
        </w:rPr>
        <w:t> </w:t>
      </w:r>
      <w:r>
        <w:rPr>
          <w:color w:val="231F20"/>
          <w:w w:val="110"/>
        </w:rPr>
        <w:t>de</w:t>
      </w:r>
      <w:r>
        <w:rPr>
          <w:color w:val="231F20"/>
          <w:spacing w:val="-17"/>
          <w:w w:val="110"/>
        </w:rPr>
        <w:t> </w:t>
      </w:r>
      <w:r>
        <w:rPr>
          <w:color w:val="231F20"/>
          <w:w w:val="110"/>
        </w:rPr>
        <w:t>pro- ducción. El largo movimiento pendular de ajustes </w:t>
      </w:r>
      <w:r>
        <w:rPr>
          <w:color w:val="231F20"/>
        </w:rPr>
        <w:t>y </w:t>
      </w:r>
      <w:r>
        <w:rPr>
          <w:color w:val="231F20"/>
          <w:w w:val="110"/>
        </w:rPr>
        <w:t>desajustes entre las</w:t>
      </w:r>
      <w:r>
        <w:rPr>
          <w:color w:val="231F20"/>
          <w:spacing w:val="-29"/>
          <w:w w:val="110"/>
        </w:rPr>
        <w:t> </w:t>
      </w:r>
      <w:r>
        <w:rPr>
          <w:color w:val="231F20"/>
          <w:w w:val="110"/>
        </w:rPr>
        <w:t>dimensiones</w:t>
      </w:r>
      <w:r>
        <w:rPr>
          <w:color w:val="231F20"/>
          <w:spacing w:val="-29"/>
          <w:w w:val="110"/>
        </w:rPr>
        <w:t> </w:t>
      </w:r>
      <w:r>
        <w:rPr>
          <w:color w:val="231F20"/>
          <w:w w:val="110"/>
        </w:rPr>
        <w:t>materiales</w:t>
      </w:r>
      <w:r>
        <w:rPr>
          <w:color w:val="231F20"/>
          <w:spacing w:val="-29"/>
          <w:w w:val="110"/>
        </w:rPr>
        <w:t> </w:t>
      </w:r>
      <w:r>
        <w:rPr>
          <w:color w:val="231F20"/>
        </w:rPr>
        <w:t>y</w:t>
      </w:r>
      <w:r>
        <w:rPr>
          <w:color w:val="231F20"/>
          <w:spacing w:val="-24"/>
        </w:rPr>
        <w:t> </w:t>
      </w:r>
      <w:r>
        <w:rPr>
          <w:color w:val="231F20"/>
          <w:w w:val="110"/>
        </w:rPr>
        <w:t>subjetivas</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tecnologías,</w:t>
      </w:r>
      <w:r>
        <w:rPr>
          <w:color w:val="231F20"/>
          <w:spacing w:val="-29"/>
          <w:w w:val="110"/>
        </w:rPr>
        <w:t> </w:t>
      </w:r>
      <w:r>
        <w:rPr>
          <w:color w:val="231F20"/>
          <w:w w:val="110"/>
        </w:rPr>
        <w:t>se</w:t>
      </w:r>
      <w:r>
        <w:rPr>
          <w:color w:val="231F20"/>
          <w:spacing w:val="-29"/>
          <w:w w:val="110"/>
        </w:rPr>
        <w:t> </w:t>
      </w:r>
      <w:r>
        <w:rPr>
          <w:color w:val="231F20"/>
          <w:w w:val="110"/>
        </w:rPr>
        <w:t>vincula</w:t>
      </w:r>
      <w:r>
        <w:rPr>
          <w:color w:val="231F20"/>
          <w:spacing w:val="-29"/>
          <w:w w:val="110"/>
        </w:rPr>
        <w:t> </w:t>
      </w:r>
      <w:r>
        <w:rPr>
          <w:color w:val="231F20"/>
          <w:w w:val="110"/>
        </w:rPr>
        <w:t>al predominio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maquinaria</w:t>
      </w:r>
      <w:r>
        <w:rPr>
          <w:color w:val="231F20"/>
          <w:spacing w:val="-5"/>
          <w:w w:val="110"/>
        </w:rPr>
        <w:t> </w:t>
      </w:r>
      <w:r>
        <w:rPr>
          <w:color w:val="231F20"/>
          <w:w w:val="110"/>
        </w:rPr>
        <w:t>como</w:t>
      </w:r>
      <w:r>
        <w:rPr>
          <w:color w:val="231F20"/>
          <w:spacing w:val="-5"/>
          <w:w w:val="110"/>
        </w:rPr>
        <w:t> </w:t>
      </w:r>
      <w:r>
        <w:rPr>
          <w:color w:val="231F20"/>
          <w:w w:val="110"/>
        </w:rPr>
        <w:t>fuerza</w:t>
      </w:r>
      <w:r>
        <w:rPr>
          <w:color w:val="231F20"/>
          <w:spacing w:val="-5"/>
          <w:w w:val="110"/>
        </w:rPr>
        <w:t> </w:t>
      </w:r>
      <w:r>
        <w:rPr>
          <w:color w:val="231F20"/>
          <w:w w:val="110"/>
        </w:rPr>
        <w:t>productiva,</w:t>
      </w:r>
      <w:r>
        <w:rPr>
          <w:color w:val="231F20"/>
          <w:spacing w:val="-5"/>
          <w:w w:val="110"/>
        </w:rPr>
        <w:t> </w:t>
      </w:r>
      <w:r>
        <w:rPr>
          <w:color w:val="231F20"/>
          <w:w w:val="110"/>
        </w:rPr>
        <w:t>por</w:t>
      </w:r>
      <w:r>
        <w:rPr>
          <w:color w:val="231F20"/>
          <w:spacing w:val="-5"/>
          <w:w w:val="110"/>
        </w:rPr>
        <w:t> </w:t>
      </w:r>
      <w:r>
        <w:rPr>
          <w:color w:val="231F20"/>
          <w:w w:val="110"/>
        </w:rPr>
        <w:t>encima</w:t>
      </w:r>
      <w:r>
        <w:rPr>
          <w:color w:val="231F20"/>
          <w:spacing w:val="-5"/>
          <w:w w:val="110"/>
        </w:rPr>
        <w:t> </w:t>
      </w:r>
      <w:r>
        <w:rPr>
          <w:color w:val="231F20"/>
          <w:w w:val="110"/>
        </w:rPr>
        <w:t>de la</w:t>
      </w:r>
      <w:r>
        <w:rPr>
          <w:color w:val="231F20"/>
          <w:spacing w:val="-16"/>
          <w:w w:val="110"/>
        </w:rPr>
        <w:t> </w:t>
      </w:r>
      <w:r>
        <w:rPr>
          <w:color w:val="231F20"/>
          <w:w w:val="110"/>
        </w:rPr>
        <w:t>condición</w:t>
      </w:r>
      <w:r>
        <w:rPr>
          <w:color w:val="231F20"/>
          <w:spacing w:val="-16"/>
          <w:w w:val="110"/>
        </w:rPr>
        <w:t> </w:t>
      </w:r>
      <w:r>
        <w:rPr>
          <w:color w:val="231F20"/>
          <w:w w:val="110"/>
        </w:rPr>
        <w:t>humana</w:t>
      </w:r>
      <w:r>
        <w:rPr>
          <w:color w:val="231F20"/>
          <w:spacing w:val="-16"/>
          <w:w w:val="110"/>
        </w:rPr>
        <w:t> </w:t>
      </w:r>
      <w:r>
        <w:rPr>
          <w:color w:val="231F20"/>
          <w:w w:val="110"/>
        </w:rPr>
        <w:t>e</w:t>
      </w:r>
      <w:r>
        <w:rPr>
          <w:color w:val="231F20"/>
          <w:spacing w:val="-16"/>
          <w:w w:val="110"/>
        </w:rPr>
        <w:t> </w:t>
      </w:r>
      <w:r>
        <w:rPr>
          <w:color w:val="231F20"/>
          <w:w w:val="110"/>
        </w:rPr>
        <w:t>intelectual</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trabajadores.</w:t>
      </w:r>
      <w:r>
        <w:rPr>
          <w:color w:val="231F20"/>
          <w:spacing w:val="-16"/>
          <w:w w:val="110"/>
        </w:rPr>
        <w:t> </w:t>
      </w:r>
      <w:r>
        <w:rPr>
          <w:color w:val="231F20"/>
        </w:rPr>
        <w:t>Y</w:t>
      </w:r>
      <w:r>
        <w:rPr>
          <w:color w:val="231F20"/>
          <w:spacing w:val="-11"/>
        </w:rPr>
        <w:t> </w:t>
      </w:r>
      <w:r>
        <w:rPr>
          <w:color w:val="231F20"/>
          <w:w w:val="110"/>
        </w:rPr>
        <w:t>la</w:t>
      </w:r>
      <w:r>
        <w:rPr>
          <w:color w:val="231F20"/>
          <w:spacing w:val="-16"/>
          <w:w w:val="110"/>
        </w:rPr>
        <w:t> </w:t>
      </w:r>
      <w:r>
        <w:rPr>
          <w:color w:val="231F20"/>
          <w:w w:val="110"/>
        </w:rPr>
        <w:t>alternancia entre el desarrollo productivo </w:t>
      </w:r>
      <w:r>
        <w:rPr>
          <w:color w:val="231F20"/>
        </w:rPr>
        <w:t>y </w:t>
      </w:r>
      <w:r>
        <w:rPr>
          <w:color w:val="231F20"/>
          <w:w w:val="110"/>
        </w:rPr>
        <w:t>la financiarización, al protagonismo de la acumulación ilimitada. La lucha de clases tiene su autonomía relativa, pero no es un componente exógeno de las estructuras capi- talistas </w:t>
      </w:r>
      <w:r>
        <w:rPr>
          <w:color w:val="231F20"/>
        </w:rPr>
        <w:t>y </w:t>
      </w:r>
      <w:r>
        <w:rPr>
          <w:color w:val="231F20"/>
          <w:w w:val="110"/>
        </w:rPr>
        <w:t>de su expresión cíclica: es inherente al movimiento de</w:t>
      </w:r>
      <w:r>
        <w:rPr>
          <w:color w:val="231F20"/>
          <w:spacing w:val="-5"/>
          <w:w w:val="110"/>
        </w:rPr>
        <w:t> </w:t>
      </w:r>
      <w:r>
        <w:rPr>
          <w:color w:val="231F20"/>
          <w:w w:val="110"/>
        </w:rPr>
        <w:t>esas estructuras, se desarrolla con su expansión </w:t>
      </w:r>
      <w:r>
        <w:rPr>
          <w:color w:val="231F20"/>
        </w:rPr>
        <w:t>y </w:t>
      </w:r>
      <w:r>
        <w:rPr>
          <w:color w:val="231F20"/>
          <w:w w:val="110"/>
        </w:rPr>
        <w:t>afecta su curso,</w:t>
      </w:r>
      <w:r>
        <w:rPr>
          <w:color w:val="231F20"/>
          <w:spacing w:val="-35"/>
          <w:w w:val="110"/>
        </w:rPr>
        <w:t> </w:t>
      </w:r>
      <w:r>
        <w:rPr>
          <w:color w:val="231F20"/>
          <w:w w:val="110"/>
        </w:rPr>
        <w:t>pudien- do, en el límite, interrumpirlo. Sin embargo, esta posibilidad no es independiente</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condiciones</w:t>
      </w:r>
      <w:r>
        <w:rPr>
          <w:color w:val="231F20"/>
          <w:spacing w:val="-25"/>
          <w:w w:val="110"/>
        </w:rPr>
        <w:t> </w:t>
      </w:r>
      <w:r>
        <w:rPr>
          <w:color w:val="231F20"/>
          <w:w w:val="110"/>
        </w:rPr>
        <w:t>materiales</w:t>
      </w:r>
      <w:r>
        <w:rPr>
          <w:color w:val="231F20"/>
          <w:spacing w:val="-25"/>
          <w:w w:val="110"/>
        </w:rPr>
        <w:t> </w:t>
      </w:r>
      <w:r>
        <w:rPr>
          <w:color w:val="231F20"/>
          <w:w w:val="110"/>
        </w:rPr>
        <w:t>de</w:t>
      </w:r>
      <w:r>
        <w:rPr>
          <w:color w:val="231F20"/>
          <w:spacing w:val="-25"/>
          <w:w w:val="110"/>
        </w:rPr>
        <w:t> </w:t>
      </w:r>
      <w:r>
        <w:rPr>
          <w:color w:val="231F20"/>
          <w:w w:val="110"/>
        </w:rPr>
        <w:t>existencia,</w:t>
      </w:r>
      <w:r>
        <w:rPr>
          <w:color w:val="231F20"/>
          <w:spacing w:val="-25"/>
          <w:w w:val="110"/>
        </w:rPr>
        <w:t> </w:t>
      </w:r>
      <w:r>
        <w:rPr>
          <w:color w:val="231F20"/>
          <w:w w:val="110"/>
        </w:rPr>
        <w:t>vinculadas, en</w:t>
      </w:r>
      <w:r>
        <w:rPr>
          <w:color w:val="231F20"/>
          <w:spacing w:val="-16"/>
          <w:w w:val="110"/>
        </w:rPr>
        <w:t> </w:t>
      </w:r>
      <w:r>
        <w:rPr>
          <w:color w:val="231F20"/>
          <w:w w:val="110"/>
        </w:rPr>
        <w:t>última</w:t>
      </w:r>
      <w:r>
        <w:rPr>
          <w:color w:val="231F20"/>
          <w:spacing w:val="-16"/>
          <w:w w:val="110"/>
        </w:rPr>
        <w:t> </w:t>
      </w:r>
      <w:r>
        <w:rPr>
          <w:color w:val="231F20"/>
          <w:w w:val="110"/>
        </w:rPr>
        <w:t>instancia,</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expansión</w:t>
      </w:r>
      <w:r>
        <w:rPr>
          <w:color w:val="231F20"/>
          <w:spacing w:val="-16"/>
          <w:w w:val="110"/>
        </w:rPr>
        <w:t> </w:t>
      </w:r>
      <w:r>
        <w:rPr>
          <w:color w:val="231F20"/>
          <w:w w:val="110"/>
        </w:rPr>
        <w:t>del</w:t>
      </w:r>
      <w:r>
        <w:rPr>
          <w:color w:val="231F20"/>
          <w:spacing w:val="-16"/>
          <w:w w:val="110"/>
        </w:rPr>
        <w:t> </w:t>
      </w:r>
      <w:r>
        <w:rPr>
          <w:color w:val="231F20"/>
          <w:w w:val="110"/>
        </w:rPr>
        <w:t>tiempo</w:t>
      </w:r>
      <w:r>
        <w:rPr>
          <w:color w:val="231F20"/>
          <w:spacing w:val="-16"/>
          <w:w w:val="110"/>
        </w:rPr>
        <w:t> </w:t>
      </w:r>
      <w:r>
        <w:rPr>
          <w:color w:val="231F20"/>
          <w:w w:val="110"/>
        </w:rPr>
        <w:t>secular</w:t>
      </w:r>
      <w:r>
        <w:rPr>
          <w:color w:val="231F20"/>
          <w:spacing w:val="-16"/>
          <w:w w:val="110"/>
        </w:rPr>
        <w:t> </w:t>
      </w:r>
      <w:r>
        <w:rPr>
          <w:color w:val="231F20"/>
          <w:w w:val="110"/>
        </w:rPr>
        <w:t>del</w:t>
      </w:r>
      <w:r>
        <w:rPr>
          <w:color w:val="231F20"/>
          <w:spacing w:val="-16"/>
          <w:w w:val="110"/>
        </w:rPr>
        <w:t> </w:t>
      </w:r>
      <w:r>
        <w:rPr>
          <w:color w:val="231F20"/>
          <w:w w:val="110"/>
        </w:rPr>
        <w:t>capitalismo. La reproducción de los kondratievs, de los ciclos sistémicos o de</w:t>
      </w:r>
      <w:r>
        <w:rPr>
          <w:color w:val="231F20"/>
          <w:spacing w:val="-15"/>
          <w:w w:val="110"/>
        </w:rPr>
        <w:t> </w:t>
      </w:r>
      <w:r>
        <w:rPr>
          <w:color w:val="231F20"/>
          <w:w w:val="110"/>
        </w:rPr>
        <w:t>los kitchins señala el protagonismo del capital en la lucha de clases </w:t>
      </w:r>
      <w:r>
        <w:rPr>
          <w:color w:val="231F20"/>
        </w:rPr>
        <w:t>y</w:t>
      </w:r>
      <w:r>
        <w:rPr>
          <w:color w:val="231F20"/>
          <w:spacing w:val="38"/>
        </w:rPr>
        <w:t> </w:t>
      </w:r>
      <w:r>
        <w:rPr>
          <w:color w:val="231F20"/>
          <w:w w:val="110"/>
        </w:rPr>
        <w:t>el</w:t>
      </w:r>
    </w:p>
    <w:p>
      <w:pPr>
        <w:spacing w:after="0" w:line="261" w:lineRule="auto"/>
        <w:jc w:val="both"/>
        <w:sectPr>
          <w:headerReference w:type="even" r:id="rId70"/>
          <w:headerReference w:type="default" r:id="rId71"/>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05"/>
        </w:rPr>
        <w:t>desarrollo de las estructuras capitalistas de las que son parte. Los kon- dratievs se han manifestado con razonable regularidad en la historia  del capitalismo y han sido extensamente observados en los periodos   de</w:t>
      </w:r>
      <w:r>
        <w:rPr>
          <w:color w:val="231F20"/>
          <w:spacing w:val="-18"/>
          <w:w w:val="105"/>
        </w:rPr>
        <w:t> </w:t>
      </w:r>
      <w:r>
        <w:rPr>
          <w:color w:val="231F20"/>
          <w:w w:val="105"/>
        </w:rPr>
        <w:t>1790/1810-1817</w:t>
      </w:r>
      <w:r>
        <w:rPr>
          <w:color w:val="231F20"/>
          <w:spacing w:val="-18"/>
          <w:w w:val="105"/>
        </w:rPr>
        <w:t> </w:t>
      </w:r>
      <w:r>
        <w:rPr>
          <w:color w:val="231F20"/>
          <w:w w:val="105"/>
        </w:rPr>
        <w:t>hasta</w:t>
      </w:r>
      <w:r>
        <w:rPr>
          <w:color w:val="231F20"/>
          <w:spacing w:val="-18"/>
          <w:w w:val="105"/>
        </w:rPr>
        <w:t> </w:t>
      </w:r>
      <w:r>
        <w:rPr>
          <w:color w:val="231F20"/>
          <w:w w:val="105"/>
        </w:rPr>
        <w:t>1844-1851;</w:t>
      </w:r>
      <w:r>
        <w:rPr>
          <w:color w:val="231F20"/>
          <w:spacing w:val="-18"/>
          <w:w w:val="105"/>
        </w:rPr>
        <w:t> </w:t>
      </w:r>
      <w:r>
        <w:rPr>
          <w:color w:val="231F20"/>
          <w:w w:val="105"/>
        </w:rPr>
        <w:t>1844-1851/1870-1875</w:t>
      </w:r>
      <w:r>
        <w:rPr>
          <w:color w:val="231F20"/>
          <w:spacing w:val="-18"/>
          <w:w w:val="105"/>
        </w:rPr>
        <w:t> </w:t>
      </w:r>
      <w:r>
        <w:rPr>
          <w:color w:val="231F20"/>
          <w:w w:val="105"/>
        </w:rPr>
        <w:t>hasta</w:t>
      </w:r>
      <w:r>
        <w:rPr>
          <w:color w:val="231F20"/>
          <w:spacing w:val="-18"/>
          <w:w w:val="105"/>
        </w:rPr>
        <w:t> </w:t>
      </w:r>
      <w:r>
        <w:rPr>
          <w:color w:val="231F20"/>
          <w:w w:val="105"/>
        </w:rPr>
        <w:t>1890- 1896;  1891-1896/1914-1920  hasta  1939/1945;</w:t>
      </w:r>
      <w:r>
        <w:rPr>
          <w:color w:val="231F20"/>
          <w:spacing w:val="-21"/>
          <w:w w:val="105"/>
        </w:rPr>
        <w:t> </w:t>
      </w:r>
      <w:r>
        <w:rPr>
          <w:color w:val="231F20"/>
          <w:w w:val="105"/>
        </w:rPr>
        <w:t>1939-1945/1967-1973</w:t>
      </w:r>
    </w:p>
    <w:p>
      <w:pPr>
        <w:pStyle w:val="BodyText"/>
        <w:ind w:left="100"/>
        <w:jc w:val="both"/>
      </w:pPr>
      <w:r>
        <w:rPr>
          <w:color w:val="231F20"/>
          <w:w w:val="110"/>
        </w:rPr>
        <w:t>hasta 1991/1994; y 1991/1994 hasta 2015/2020-(?).</w:t>
      </w:r>
    </w:p>
    <w:p>
      <w:pPr>
        <w:pStyle w:val="BodyText"/>
        <w:spacing w:line="261" w:lineRule="auto" w:before="20"/>
        <w:ind w:left="100" w:right="117" w:firstLine="240"/>
        <w:jc w:val="both"/>
      </w:pPr>
      <w:r>
        <w:rPr>
          <w:color w:val="231F20"/>
          <w:w w:val="110"/>
        </w:rPr>
        <w:t>La articulación entre las tendencias seculares y la perspectiva cí- clica permite situar la historia como una fuerza viva, constituyendo un instrumento teórico-metodológico de gran importancia para el análisis de las coyunturas. El tiempo asume múltiples dimensiones apareciendo simultáneamente como flujo y estructura, prospectiva   y retrospectiva. La repetición cíclica, al incidir sobre otro punto de desarrollo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estructura</w:t>
      </w:r>
      <w:r>
        <w:rPr>
          <w:color w:val="231F20"/>
          <w:spacing w:val="-5"/>
          <w:w w:val="110"/>
        </w:rPr>
        <w:t> </w:t>
      </w:r>
      <w:r>
        <w:rPr>
          <w:color w:val="231F20"/>
          <w:w w:val="110"/>
        </w:rPr>
        <w:t>capitalista,</w:t>
      </w:r>
      <w:r>
        <w:rPr>
          <w:color w:val="231F20"/>
          <w:spacing w:val="-5"/>
          <w:w w:val="110"/>
        </w:rPr>
        <w:t> </w:t>
      </w:r>
      <w:r>
        <w:rPr>
          <w:color w:val="231F20"/>
          <w:w w:val="110"/>
        </w:rPr>
        <w:t>crea</w:t>
      </w:r>
      <w:r>
        <w:rPr>
          <w:color w:val="231F20"/>
          <w:spacing w:val="-5"/>
          <w:w w:val="110"/>
        </w:rPr>
        <w:t> </w:t>
      </w:r>
      <w:r>
        <w:rPr>
          <w:color w:val="231F20"/>
          <w:w w:val="110"/>
        </w:rPr>
        <w:t>una</w:t>
      </w:r>
      <w:r>
        <w:rPr>
          <w:color w:val="231F20"/>
          <w:spacing w:val="-5"/>
          <w:w w:val="110"/>
        </w:rPr>
        <w:t> </w:t>
      </w:r>
      <w:r>
        <w:rPr>
          <w:color w:val="231F20"/>
          <w:w w:val="110"/>
        </w:rPr>
        <w:t>temporalidad</w:t>
      </w:r>
      <w:r>
        <w:rPr>
          <w:color w:val="231F20"/>
          <w:spacing w:val="-5"/>
          <w:w w:val="110"/>
        </w:rPr>
        <w:t> </w:t>
      </w:r>
      <w:r>
        <w:rPr>
          <w:color w:val="231F20"/>
          <w:w w:val="110"/>
        </w:rPr>
        <w:t>nueva</w:t>
      </w:r>
      <w:r>
        <w:rPr>
          <w:color w:val="231F20"/>
          <w:spacing w:val="-5"/>
          <w:w w:val="110"/>
        </w:rPr>
        <w:t> </w:t>
      </w:r>
      <w:r>
        <w:rPr>
          <w:color w:val="231F20"/>
          <w:w w:val="110"/>
        </w:rPr>
        <w:t>y original,</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vez</w:t>
      </w:r>
      <w:r>
        <w:rPr>
          <w:color w:val="231F20"/>
          <w:spacing w:val="-18"/>
          <w:w w:val="110"/>
        </w:rPr>
        <w:t> </w:t>
      </w:r>
      <w:r>
        <w:rPr>
          <w:color w:val="231F20"/>
          <w:w w:val="110"/>
        </w:rPr>
        <w:t>que</w:t>
      </w:r>
      <w:r>
        <w:rPr>
          <w:color w:val="231F20"/>
          <w:spacing w:val="-18"/>
          <w:w w:val="110"/>
        </w:rPr>
        <w:t> </w:t>
      </w:r>
      <w:r>
        <w:rPr>
          <w:color w:val="231F20"/>
          <w:w w:val="110"/>
        </w:rPr>
        <w:t>relanza</w:t>
      </w:r>
      <w:r>
        <w:rPr>
          <w:color w:val="231F20"/>
          <w:spacing w:val="-18"/>
          <w:w w:val="110"/>
        </w:rPr>
        <w:t> </w:t>
      </w:r>
      <w:r>
        <w:rPr>
          <w:color w:val="231F20"/>
          <w:w w:val="110"/>
        </w:rPr>
        <w:t>viejos</w:t>
      </w:r>
      <w:r>
        <w:rPr>
          <w:color w:val="231F20"/>
          <w:spacing w:val="-18"/>
          <w:w w:val="110"/>
        </w:rPr>
        <w:t> </w:t>
      </w:r>
      <w:r>
        <w:rPr>
          <w:color w:val="231F20"/>
          <w:w w:val="110"/>
        </w:rPr>
        <w:t>temas</w:t>
      </w:r>
      <w:r>
        <w:rPr>
          <w:color w:val="231F20"/>
          <w:spacing w:val="-18"/>
          <w:w w:val="110"/>
        </w:rPr>
        <w:t> </w:t>
      </w:r>
      <w:r>
        <w:rPr>
          <w:color w:val="231F20"/>
          <w:w w:val="110"/>
        </w:rPr>
        <w:t>y</w:t>
      </w:r>
      <w:r>
        <w:rPr>
          <w:color w:val="231F20"/>
          <w:spacing w:val="-18"/>
          <w:w w:val="110"/>
        </w:rPr>
        <w:t> </w:t>
      </w:r>
      <w:r>
        <w:rPr>
          <w:color w:val="231F20"/>
          <w:w w:val="110"/>
        </w:rPr>
        <w:t>cuestiones,</w:t>
      </w:r>
      <w:r>
        <w:rPr>
          <w:color w:val="231F20"/>
          <w:spacing w:val="-18"/>
          <w:w w:val="110"/>
        </w:rPr>
        <w:t> </w:t>
      </w:r>
      <w:r>
        <w:rPr>
          <w:color w:val="231F20"/>
          <w:w w:val="110"/>
        </w:rPr>
        <w:t>articulándolos en otro contexto para suscitar nuevas</w:t>
      </w:r>
      <w:r>
        <w:rPr>
          <w:color w:val="231F20"/>
          <w:spacing w:val="39"/>
          <w:w w:val="110"/>
        </w:rPr>
        <w:t> </w:t>
      </w:r>
      <w:r>
        <w:rPr>
          <w:color w:val="231F20"/>
          <w:w w:val="110"/>
        </w:rPr>
        <w:t>respuestas.</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30"/>
        </w:rPr>
        <w:t>la coyuntura actual y los desafíos del siglo xxi</w:t>
      </w:r>
    </w:p>
    <w:p>
      <w:pPr>
        <w:pStyle w:val="BodyText"/>
        <w:spacing w:before="3"/>
        <w:rPr>
          <w:rFonts w:ascii="Calibri"/>
          <w:sz w:val="21"/>
        </w:rPr>
      </w:pPr>
    </w:p>
    <w:p>
      <w:pPr>
        <w:pStyle w:val="BodyText"/>
        <w:spacing w:line="261" w:lineRule="auto"/>
        <w:ind w:left="100" w:right="117"/>
        <w:jc w:val="both"/>
      </w:pPr>
      <w:r>
        <w:rPr>
          <w:color w:val="231F20"/>
          <w:w w:val="105"/>
        </w:rPr>
        <w:t>Nuestra tesis es que la coyuntura contemporánea se caracteriza por      la combinación de tres movimientos simultáneos y de larga duración:  la mundialización de la revolución científico-técnica, la crisis de he- gemonía de Estados Unidos —procesos que se establecen desde el inicio de los años setenta— y un ciclo expansivo de kondratiev, que    se inicia a partir de 1994. </w:t>
      </w:r>
      <w:r>
        <w:rPr>
          <w:color w:val="231F20"/>
          <w:spacing w:val="-4"/>
          <w:w w:val="105"/>
        </w:rPr>
        <w:t>Tanto </w:t>
      </w:r>
      <w:r>
        <w:rPr>
          <w:color w:val="231F20"/>
          <w:w w:val="105"/>
        </w:rPr>
        <w:t>la mundialización de la revolución científico-técnica como la crisis de hegemonía de Estados Unidos actúan en el sentido de deprimir la tasa de ganancia, pero este pro-  ceso es detenido por el ciclo expansivo de kondratiev que se inicia     en 1994. Este ciclo de expansión restablece los altos niveles de la tasa de ganancia y de la tasa de crecimiento per cápita en la economía mundial, pero sufre los efectos de esos procesos más largos: la tasa    de crecimiento per cápita queda por debajo del periodo de los años dorados, entre 1950-1973 y de la potencialidad tecnológica actual; el eje geopolítico del crecimiento de la economía mundial se desplaza hacia el Este asiático, y la tasa de ganancia se recupera con dificultad, en función de la difusión de la sobreexplotación del trabajo de la periferia hacia los centros decadentes, en donde se sitúa por debajo    de los niveles de la  </w:t>
      </w:r>
      <w:r>
        <w:rPr>
          <w:color w:val="231F20"/>
          <w:spacing w:val="29"/>
          <w:w w:val="105"/>
        </w:rPr>
        <w:t> </w:t>
      </w:r>
      <w:r>
        <w:rPr>
          <w:color w:val="231F20"/>
          <w:w w:val="105"/>
        </w:rPr>
        <w:t>posguerra.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firstLine="240"/>
        <w:jc w:val="both"/>
      </w:pPr>
      <w:r>
        <w:rPr>
          <w:color w:val="231F20"/>
          <w:w w:val="110"/>
        </w:rPr>
        <w:t>La fase A de ese Kondratiev se divide en retomada, que se insti- tuye entre 1994-2000; en prosperidad, que se establece entre 2002- 2008; pudiéndose proyectar la madurez posiblemente entre 2010- 2015/2020. El fin del ciclo largo expansivo haría converger los tres grandes movimientos de caída de la tasa de ganancia, volviéndose altamente probable que lance la economía en una larga depresión    y abra un periodo de crisis general del sistema capitalista, de caos sistémico,</w:t>
      </w:r>
      <w:r>
        <w:rPr>
          <w:color w:val="231F20"/>
          <w:spacing w:val="-10"/>
          <w:w w:val="110"/>
        </w:rPr>
        <w:t> </w:t>
      </w:r>
      <w:r>
        <w:rPr>
          <w:color w:val="231F20"/>
          <w:w w:val="110"/>
        </w:rPr>
        <w:t>similar</w:t>
      </w:r>
      <w:r>
        <w:rPr>
          <w:color w:val="231F20"/>
          <w:spacing w:val="-10"/>
          <w:w w:val="110"/>
        </w:rPr>
        <w:t> </w:t>
      </w:r>
      <w:r>
        <w:rPr>
          <w:color w:val="231F20"/>
          <w:w w:val="110"/>
        </w:rPr>
        <w:t>al</w:t>
      </w:r>
      <w:r>
        <w:rPr>
          <w:color w:val="231F20"/>
          <w:spacing w:val="-10"/>
          <w:w w:val="110"/>
        </w:rPr>
        <w:t> </w:t>
      </w:r>
      <w:r>
        <w:rPr>
          <w:color w:val="231F20"/>
          <w:w w:val="110"/>
        </w:rPr>
        <w:t>de</w:t>
      </w:r>
      <w:r>
        <w:rPr>
          <w:color w:val="231F20"/>
          <w:spacing w:val="-10"/>
          <w:w w:val="110"/>
        </w:rPr>
        <w:t> </w:t>
      </w:r>
      <w:r>
        <w:rPr>
          <w:color w:val="231F20"/>
          <w:w w:val="110"/>
        </w:rPr>
        <w:t>1914-1945.</w:t>
      </w:r>
      <w:r>
        <w:rPr>
          <w:color w:val="231F20"/>
          <w:spacing w:val="-10"/>
          <w:w w:val="110"/>
        </w:rPr>
        <w:t> </w:t>
      </w:r>
      <w:r>
        <w:rPr>
          <w:color w:val="231F20"/>
          <w:w w:val="110"/>
        </w:rPr>
        <w:t>Los</w:t>
      </w:r>
      <w:r>
        <w:rPr>
          <w:color w:val="231F20"/>
          <w:spacing w:val="-10"/>
          <w:w w:val="110"/>
        </w:rPr>
        <w:t> </w:t>
      </w:r>
      <w:r>
        <w:rPr>
          <w:color w:val="231F20"/>
          <w:w w:val="110"/>
        </w:rPr>
        <w:t>periodos</w:t>
      </w:r>
      <w:r>
        <w:rPr>
          <w:color w:val="231F20"/>
          <w:spacing w:val="-10"/>
          <w:w w:val="110"/>
        </w:rPr>
        <w:t> </w:t>
      </w:r>
      <w:r>
        <w:rPr>
          <w:color w:val="231F20"/>
          <w:w w:val="110"/>
        </w:rPr>
        <w:t>de</w:t>
      </w:r>
      <w:r>
        <w:rPr>
          <w:color w:val="231F20"/>
          <w:spacing w:val="-10"/>
          <w:w w:val="110"/>
        </w:rPr>
        <w:t> </w:t>
      </w:r>
      <w:r>
        <w:rPr>
          <w:color w:val="231F20"/>
          <w:w w:val="110"/>
        </w:rPr>
        <w:t>crisis</w:t>
      </w:r>
      <w:r>
        <w:rPr>
          <w:color w:val="231F20"/>
          <w:spacing w:val="-10"/>
          <w:w w:val="110"/>
        </w:rPr>
        <w:t> </w:t>
      </w:r>
      <w:r>
        <w:rPr>
          <w:color w:val="231F20"/>
          <w:w w:val="110"/>
        </w:rPr>
        <w:t>general</w:t>
      </w:r>
      <w:r>
        <w:rPr>
          <w:color w:val="231F20"/>
          <w:spacing w:val="-10"/>
          <w:w w:val="110"/>
        </w:rPr>
        <w:t> </w:t>
      </w:r>
      <w:r>
        <w:rPr>
          <w:color w:val="231F20"/>
          <w:w w:val="110"/>
        </w:rPr>
        <w:t>del sistema combinan el agotamiento de la trayectoria de los patrones organizacionales económicos y políticos vigentes. En ese sentido, la crisis de 2008-2010, a pesar de traer elementos de depresión, sería apenas un corto periodo de transición hacia una nueva expansión   de aproximadamente 5-10 años. Ella se diferencia ampliamente de la crisis de 1929: su epicentro es un centro decadente y no el centro dinámico de la economía mundial; tampoco puede ser caracterizada como</w:t>
      </w:r>
      <w:r>
        <w:rPr>
          <w:color w:val="231F20"/>
          <w:spacing w:val="-7"/>
          <w:w w:val="110"/>
        </w:rPr>
        <w:t> </w:t>
      </w:r>
      <w:r>
        <w:rPr>
          <w:color w:val="231F20"/>
          <w:w w:val="110"/>
        </w:rPr>
        <w:t>una</w:t>
      </w:r>
      <w:r>
        <w:rPr>
          <w:color w:val="231F20"/>
          <w:spacing w:val="-7"/>
          <w:w w:val="110"/>
        </w:rPr>
        <w:t> </w:t>
      </w:r>
      <w:r>
        <w:rPr>
          <w:color w:val="231F20"/>
          <w:w w:val="110"/>
        </w:rPr>
        <w:t>crisis</w:t>
      </w:r>
      <w:r>
        <w:rPr>
          <w:color w:val="231F20"/>
          <w:spacing w:val="-7"/>
          <w:w w:val="110"/>
        </w:rPr>
        <w:t> </w:t>
      </w:r>
      <w:r>
        <w:rPr>
          <w:color w:val="231F20"/>
          <w:w w:val="110"/>
        </w:rPr>
        <w:t>general</w:t>
      </w:r>
      <w:r>
        <w:rPr>
          <w:color w:val="231F20"/>
          <w:spacing w:val="-7"/>
          <w:w w:val="110"/>
        </w:rPr>
        <w:t> </w:t>
      </w:r>
      <w:r>
        <w:rPr>
          <w:color w:val="231F20"/>
          <w:w w:val="110"/>
        </w:rPr>
        <w:t>del</w:t>
      </w:r>
      <w:r>
        <w:rPr>
          <w:color w:val="231F20"/>
          <w:spacing w:val="-7"/>
          <w:w w:val="110"/>
        </w:rPr>
        <w:t> </w:t>
      </w:r>
      <w:r>
        <w:rPr>
          <w:color w:val="231F20"/>
          <w:w w:val="110"/>
        </w:rPr>
        <w:t>capitalismo</w:t>
      </w:r>
      <w:r>
        <w:rPr>
          <w:color w:val="231F20"/>
          <w:spacing w:val="-7"/>
          <w:w w:val="110"/>
        </w:rPr>
        <w:t> </w:t>
      </w:r>
      <w:r>
        <w:rPr>
          <w:color w:val="231F20"/>
          <w:w w:val="110"/>
        </w:rPr>
        <w:t>que</w:t>
      </w:r>
      <w:r>
        <w:rPr>
          <w:color w:val="231F20"/>
          <w:spacing w:val="-7"/>
          <w:w w:val="110"/>
        </w:rPr>
        <w:t> </w:t>
      </w:r>
      <w:r>
        <w:rPr>
          <w:color w:val="231F20"/>
          <w:w w:val="110"/>
        </w:rPr>
        <w:t>involucre</w:t>
      </w:r>
      <w:r>
        <w:rPr>
          <w:color w:val="231F20"/>
          <w:spacing w:val="-7"/>
          <w:w w:val="110"/>
        </w:rPr>
        <w:t> </w:t>
      </w:r>
      <w:r>
        <w:rPr>
          <w:color w:val="231F20"/>
          <w:w w:val="110"/>
        </w:rPr>
        <w:t>una</w:t>
      </w:r>
      <w:r>
        <w:rPr>
          <w:color w:val="231F20"/>
          <w:spacing w:val="-7"/>
          <w:w w:val="110"/>
        </w:rPr>
        <w:t> </w:t>
      </w:r>
      <w:r>
        <w:rPr>
          <w:color w:val="231F20"/>
          <w:w w:val="110"/>
        </w:rPr>
        <w:t>ruptura</w:t>
      </w:r>
      <w:r>
        <w:rPr>
          <w:color w:val="231F20"/>
          <w:spacing w:val="-7"/>
          <w:w w:val="110"/>
        </w:rPr>
        <w:t> </w:t>
      </w:r>
      <w:r>
        <w:rPr>
          <w:color w:val="231F20"/>
          <w:w w:val="110"/>
        </w:rPr>
        <w:t>de sus</w:t>
      </w:r>
      <w:r>
        <w:rPr>
          <w:color w:val="231F20"/>
          <w:spacing w:val="-11"/>
          <w:w w:val="110"/>
        </w:rPr>
        <w:t> </w:t>
      </w:r>
      <w:r>
        <w:rPr>
          <w:color w:val="231F20"/>
          <w:w w:val="110"/>
        </w:rPr>
        <w:t>patrones</w:t>
      </w:r>
      <w:r>
        <w:rPr>
          <w:color w:val="231F20"/>
          <w:spacing w:val="-11"/>
          <w:w w:val="110"/>
        </w:rPr>
        <w:t> </w:t>
      </w:r>
      <w:r>
        <w:rPr>
          <w:color w:val="231F20"/>
          <w:w w:val="110"/>
        </w:rPr>
        <w:t>políticos</w:t>
      </w:r>
      <w:r>
        <w:rPr>
          <w:color w:val="231F20"/>
          <w:spacing w:val="-11"/>
          <w:w w:val="110"/>
        </w:rPr>
        <w:t> </w:t>
      </w:r>
      <w:r>
        <w:rPr>
          <w:color w:val="231F20"/>
          <w:w w:val="110"/>
        </w:rPr>
        <w:t>de</w:t>
      </w:r>
      <w:r>
        <w:rPr>
          <w:color w:val="231F20"/>
          <w:spacing w:val="-11"/>
          <w:w w:val="110"/>
        </w:rPr>
        <w:t> </w:t>
      </w:r>
      <w:r>
        <w:rPr>
          <w:color w:val="231F20"/>
          <w:w w:val="110"/>
        </w:rPr>
        <w:t>organización.</w:t>
      </w:r>
      <w:r>
        <w:rPr>
          <w:color w:val="231F20"/>
          <w:spacing w:val="-11"/>
          <w:w w:val="110"/>
        </w:rPr>
        <w:t> </w:t>
      </w:r>
      <w:r>
        <w:rPr>
          <w:color w:val="231F20"/>
          <w:w w:val="110"/>
        </w:rPr>
        <w:t>El</w:t>
      </w:r>
      <w:r>
        <w:rPr>
          <w:color w:val="231F20"/>
          <w:spacing w:val="-11"/>
          <w:w w:val="110"/>
        </w:rPr>
        <w:t> </w:t>
      </w:r>
      <w:r>
        <w:rPr>
          <w:color w:val="231F20"/>
          <w:w w:val="110"/>
        </w:rPr>
        <w:t>aumento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intervención estatal y el desarrollo del capitalismo de Estado que la crisis viene provocando, no es una ruptura con los patrones neoliberales que organizan la economía mundial desde los años ochenta. El aumento de la intervención estatal y su vinculación al sector financiero han sido ampliamente practicados por el neoliberalismo </w:t>
      </w:r>
      <w:r>
        <w:rPr>
          <w:color w:val="231F20"/>
          <w:spacing w:val="-8"/>
          <w:w w:val="110"/>
        </w:rPr>
        <w:t>y, </w:t>
      </w:r>
      <w:r>
        <w:rPr>
          <w:color w:val="231F20"/>
          <w:w w:val="110"/>
        </w:rPr>
        <w:t>aunque haya cierto</w:t>
      </w:r>
      <w:r>
        <w:rPr>
          <w:color w:val="231F20"/>
          <w:spacing w:val="-9"/>
          <w:w w:val="110"/>
        </w:rPr>
        <w:t> </w:t>
      </w:r>
      <w:r>
        <w:rPr>
          <w:color w:val="231F20"/>
          <w:w w:val="110"/>
        </w:rPr>
        <w:t>recrudecimiento</w:t>
      </w:r>
      <w:r>
        <w:rPr>
          <w:color w:val="231F20"/>
          <w:spacing w:val="-9"/>
          <w:w w:val="110"/>
        </w:rPr>
        <w:t> </w:t>
      </w:r>
      <w:r>
        <w:rPr>
          <w:color w:val="231F20"/>
          <w:w w:val="110"/>
        </w:rPr>
        <w:t>de</w:t>
      </w:r>
      <w:r>
        <w:rPr>
          <w:color w:val="231F20"/>
          <w:spacing w:val="-9"/>
          <w:w w:val="110"/>
        </w:rPr>
        <w:t> </w:t>
      </w:r>
      <w:r>
        <w:rPr>
          <w:color w:val="231F20"/>
          <w:w w:val="110"/>
        </w:rPr>
        <w:t>medidas</w:t>
      </w:r>
      <w:r>
        <w:rPr>
          <w:color w:val="231F20"/>
          <w:spacing w:val="-9"/>
          <w:w w:val="110"/>
        </w:rPr>
        <w:t> </w:t>
      </w:r>
      <w:r>
        <w:rPr>
          <w:color w:val="231F20"/>
          <w:w w:val="110"/>
        </w:rPr>
        <w:t>proteccionistas,</w:t>
      </w:r>
      <w:r>
        <w:rPr>
          <w:color w:val="231F20"/>
          <w:spacing w:val="-9"/>
          <w:w w:val="110"/>
        </w:rPr>
        <w:t> </w:t>
      </w:r>
      <w:r>
        <w:rPr>
          <w:color w:val="231F20"/>
          <w:w w:val="110"/>
        </w:rPr>
        <w:t>no</w:t>
      </w:r>
      <w:r>
        <w:rPr>
          <w:color w:val="231F20"/>
          <w:spacing w:val="-9"/>
          <w:w w:val="110"/>
        </w:rPr>
        <w:t> </w:t>
      </w:r>
      <w:r>
        <w:rPr>
          <w:color w:val="231F20"/>
          <w:w w:val="110"/>
        </w:rPr>
        <w:t>hay</w:t>
      </w:r>
      <w:r>
        <w:rPr>
          <w:color w:val="231F20"/>
          <w:spacing w:val="-9"/>
          <w:w w:val="110"/>
        </w:rPr>
        <w:t> </w:t>
      </w:r>
      <w:r>
        <w:rPr>
          <w:color w:val="231F20"/>
          <w:w w:val="110"/>
        </w:rPr>
        <w:t>señales</w:t>
      </w:r>
      <w:r>
        <w:rPr>
          <w:color w:val="231F20"/>
          <w:spacing w:val="-9"/>
          <w:w w:val="110"/>
        </w:rPr>
        <w:t> </w:t>
      </w:r>
      <w:r>
        <w:rPr>
          <w:color w:val="231F20"/>
          <w:w w:val="110"/>
        </w:rPr>
        <w:t>de que éstas puedan limitar una nueva expansión del comercio</w:t>
      </w:r>
      <w:r>
        <w:rPr>
          <w:color w:val="231F20"/>
          <w:spacing w:val="-7"/>
          <w:w w:val="110"/>
        </w:rPr>
        <w:t> </w:t>
      </w:r>
      <w:r>
        <w:rPr>
          <w:color w:val="231F20"/>
          <w:w w:val="110"/>
        </w:rPr>
        <w:t>mundial en</w:t>
      </w:r>
      <w:r>
        <w:rPr>
          <w:color w:val="231F20"/>
          <w:spacing w:val="-6"/>
          <w:w w:val="110"/>
        </w:rPr>
        <w:t> </w:t>
      </w:r>
      <w:r>
        <w:rPr>
          <w:color w:val="231F20"/>
          <w:w w:val="110"/>
        </w:rPr>
        <w:t>los</w:t>
      </w:r>
      <w:r>
        <w:rPr>
          <w:color w:val="231F20"/>
          <w:spacing w:val="-6"/>
          <w:w w:val="110"/>
        </w:rPr>
        <w:t> </w:t>
      </w:r>
      <w:r>
        <w:rPr>
          <w:color w:val="231F20"/>
          <w:w w:val="110"/>
        </w:rPr>
        <w:t>siguientes</w:t>
      </w:r>
      <w:r>
        <w:rPr>
          <w:color w:val="231F20"/>
          <w:spacing w:val="-6"/>
          <w:w w:val="110"/>
        </w:rPr>
        <w:t> </w:t>
      </w:r>
      <w:r>
        <w:rPr>
          <w:color w:val="231F20"/>
          <w:w w:val="110"/>
        </w:rPr>
        <w:t>10</w:t>
      </w:r>
      <w:r>
        <w:rPr>
          <w:color w:val="231F20"/>
          <w:spacing w:val="-6"/>
          <w:w w:val="110"/>
        </w:rPr>
        <w:t> </w:t>
      </w:r>
      <w:r>
        <w:rPr>
          <w:color w:val="231F20"/>
          <w:w w:val="110"/>
        </w:rPr>
        <w:t>años.</w:t>
      </w:r>
      <w:r>
        <w:rPr>
          <w:color w:val="231F20"/>
          <w:spacing w:val="-6"/>
          <w:w w:val="110"/>
        </w:rPr>
        <w:t> </w:t>
      </w:r>
      <w:r>
        <w:rPr>
          <w:color w:val="231F20"/>
          <w:w w:val="110"/>
        </w:rPr>
        <w:t>La</w:t>
      </w:r>
      <w:r>
        <w:rPr>
          <w:color w:val="231F20"/>
          <w:spacing w:val="-6"/>
          <w:w w:val="110"/>
        </w:rPr>
        <w:t> </w:t>
      </w:r>
      <w:r>
        <w:rPr>
          <w:color w:val="231F20"/>
          <w:w w:val="110"/>
        </w:rPr>
        <w:t>profundidad</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de</w:t>
      </w:r>
      <w:r>
        <w:rPr>
          <w:color w:val="231F20"/>
          <w:spacing w:val="-6"/>
          <w:w w:val="110"/>
        </w:rPr>
        <w:t> </w:t>
      </w:r>
      <w:r>
        <w:rPr>
          <w:color w:val="231F20"/>
          <w:w w:val="110"/>
        </w:rPr>
        <w:t>2008</w:t>
      </w:r>
      <w:r>
        <w:rPr>
          <w:color w:val="231F20"/>
          <w:spacing w:val="-6"/>
          <w:w w:val="110"/>
        </w:rPr>
        <w:t> </w:t>
      </w:r>
      <w:r>
        <w:rPr>
          <w:color w:val="231F20"/>
          <w:w w:val="110"/>
        </w:rPr>
        <w:t>indica, todavía, la existencia de una crisis estructural en</w:t>
      </w:r>
      <w:r>
        <w:rPr>
          <w:color w:val="231F20"/>
          <w:spacing w:val="43"/>
          <w:w w:val="110"/>
        </w:rPr>
        <w:t> </w:t>
      </w:r>
      <w:r>
        <w:rPr>
          <w:color w:val="231F20"/>
          <w:w w:val="110"/>
        </w:rPr>
        <w:t>marcha.</w:t>
      </w:r>
    </w:p>
    <w:p>
      <w:pPr>
        <w:pStyle w:val="BodyText"/>
        <w:spacing w:line="261" w:lineRule="auto"/>
        <w:ind w:left="100" w:right="117" w:firstLine="240"/>
        <w:jc w:val="both"/>
        <w:rPr>
          <w:sz w:val="13"/>
        </w:rPr>
      </w:pPr>
      <w:r>
        <w:rPr>
          <w:color w:val="231F20"/>
          <w:w w:val="110"/>
        </w:rPr>
        <w:t>Durante los años noventa, aún bajo la influencia de la crisis mun- dial del decenio anterior, se manejó la idea de que viviríamos una larga depresión. Iniciada en los años setenta, ésta se prolongaría por el hecho de que el capitalismo encontraría su etapa superior en un régimen de acumulación ideal, financiarizado, pautado en una mo- neda flexible y en las armas. La recuperación del crecimiento entre 2002-2007 colocó en segundo plano este enfoque, pero algunas in- terpretaciones</w:t>
      </w:r>
      <w:r>
        <w:rPr>
          <w:color w:val="231F20"/>
          <w:spacing w:val="-10"/>
          <w:w w:val="110"/>
        </w:rPr>
        <w:t> </w:t>
      </w:r>
      <w:r>
        <w:rPr>
          <w:color w:val="231F20"/>
          <w:w w:val="110"/>
        </w:rPr>
        <w:t>apresuradas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de</w:t>
      </w:r>
      <w:r>
        <w:rPr>
          <w:color w:val="231F20"/>
          <w:spacing w:val="-10"/>
          <w:w w:val="110"/>
        </w:rPr>
        <w:t> </w:t>
      </w:r>
      <w:r>
        <w:rPr>
          <w:color w:val="231F20"/>
          <w:w w:val="110"/>
        </w:rPr>
        <w:t>2008</w:t>
      </w:r>
      <w:r>
        <w:rPr>
          <w:color w:val="231F20"/>
          <w:spacing w:val="-10"/>
          <w:w w:val="110"/>
        </w:rPr>
        <w:t> </w:t>
      </w:r>
      <w:r>
        <w:rPr>
          <w:color w:val="231F20"/>
          <w:w w:val="110"/>
        </w:rPr>
        <w:t>intentan</w:t>
      </w:r>
      <w:r>
        <w:rPr>
          <w:color w:val="231F20"/>
          <w:spacing w:val="-10"/>
          <w:w w:val="110"/>
        </w:rPr>
        <w:t> </w:t>
      </w:r>
      <w:r>
        <w:rPr>
          <w:color w:val="231F20"/>
          <w:w w:val="110"/>
        </w:rPr>
        <w:t>restablecerlo. Sin embargo, estas afirmaciones no encuentran sustento </w:t>
      </w:r>
      <w:r>
        <w:rPr>
          <w:color w:val="231F20"/>
          <w:spacing w:val="13"/>
          <w:w w:val="110"/>
        </w:rPr>
        <w:t> </w:t>
      </w:r>
      <w:r>
        <w:rPr>
          <w:color w:val="231F20"/>
          <w:w w:val="110"/>
        </w:rPr>
        <w:t>empírico.</w:t>
      </w:r>
      <w:r>
        <w:rPr>
          <w:color w:val="231F20"/>
          <w:w w:val="110"/>
          <w:position w:val="6"/>
          <w:sz w:val="13"/>
        </w:rPr>
        <w:t>2</w:t>
      </w:r>
    </w:p>
    <w:p>
      <w:pPr>
        <w:pStyle w:val="BodyText"/>
      </w:pPr>
    </w:p>
    <w:p>
      <w:pPr>
        <w:spacing w:line="261" w:lineRule="auto" w:before="152"/>
        <w:ind w:left="100" w:right="117" w:firstLine="240"/>
        <w:jc w:val="both"/>
        <w:rPr>
          <w:sz w:val="16"/>
        </w:rPr>
      </w:pPr>
      <w:r>
        <w:rPr>
          <w:color w:val="231F20"/>
          <w:w w:val="110"/>
          <w:position w:val="5"/>
          <w:sz w:val="10"/>
        </w:rPr>
        <w:t>2</w:t>
      </w:r>
      <w:r>
        <w:rPr>
          <w:color w:val="231F20"/>
          <w:spacing w:val="16"/>
          <w:w w:val="110"/>
          <w:position w:val="5"/>
          <w:sz w:val="10"/>
        </w:rPr>
        <w:t> </w:t>
      </w:r>
      <w:r>
        <w:rPr>
          <w:color w:val="231F20"/>
          <w:w w:val="110"/>
          <w:sz w:val="16"/>
        </w:rPr>
        <w:t>La</w:t>
      </w:r>
      <w:r>
        <w:rPr>
          <w:color w:val="231F20"/>
          <w:spacing w:val="-10"/>
          <w:w w:val="110"/>
          <w:sz w:val="16"/>
        </w:rPr>
        <w:t> </w:t>
      </w:r>
      <w:r>
        <w:rPr>
          <w:color w:val="231F20"/>
          <w:w w:val="110"/>
          <w:sz w:val="16"/>
        </w:rPr>
        <w:t>idea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un</w:t>
      </w:r>
      <w:r>
        <w:rPr>
          <w:color w:val="231F20"/>
          <w:spacing w:val="-10"/>
          <w:w w:val="110"/>
          <w:sz w:val="16"/>
        </w:rPr>
        <w:t> </w:t>
      </w:r>
      <w:r>
        <w:rPr>
          <w:color w:val="231F20"/>
          <w:w w:val="110"/>
          <w:sz w:val="16"/>
        </w:rPr>
        <w:t>imperio</w:t>
      </w:r>
      <w:r>
        <w:rPr>
          <w:color w:val="231F20"/>
          <w:spacing w:val="-10"/>
          <w:w w:val="110"/>
          <w:sz w:val="16"/>
        </w:rPr>
        <w:t> </w:t>
      </w:r>
      <w:r>
        <w:rPr>
          <w:color w:val="231F20"/>
          <w:w w:val="110"/>
          <w:sz w:val="16"/>
        </w:rPr>
        <w:t>global</w:t>
      </w:r>
      <w:r>
        <w:rPr>
          <w:color w:val="231F20"/>
          <w:spacing w:val="-10"/>
          <w:w w:val="110"/>
          <w:sz w:val="16"/>
        </w:rPr>
        <w:t> </w:t>
      </w:r>
      <w:r>
        <w:rPr>
          <w:color w:val="231F20"/>
          <w:w w:val="110"/>
          <w:sz w:val="16"/>
        </w:rPr>
        <w:t>capaz</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sobreponerse</w:t>
      </w:r>
      <w:r>
        <w:rPr>
          <w:color w:val="231F20"/>
          <w:spacing w:val="-10"/>
          <w:w w:val="110"/>
          <w:sz w:val="16"/>
        </w:rPr>
        <w:t> </w:t>
      </w:r>
      <w:r>
        <w:rPr>
          <w:color w:val="231F20"/>
          <w:w w:val="110"/>
          <w:sz w:val="16"/>
        </w:rPr>
        <w:t>a</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competencia</w:t>
      </w:r>
      <w:r>
        <w:rPr>
          <w:color w:val="231F20"/>
          <w:spacing w:val="-10"/>
          <w:w w:val="110"/>
          <w:sz w:val="16"/>
        </w:rPr>
        <w:t> </w:t>
      </w:r>
      <w:r>
        <w:rPr>
          <w:color w:val="231F20"/>
          <w:w w:val="110"/>
          <w:sz w:val="16"/>
        </w:rPr>
        <w:t>y</w:t>
      </w:r>
      <w:r>
        <w:rPr>
          <w:color w:val="231F20"/>
          <w:spacing w:val="-10"/>
          <w:w w:val="110"/>
          <w:sz w:val="16"/>
        </w:rPr>
        <w:t> </w:t>
      </w:r>
      <w:r>
        <w:rPr>
          <w:color w:val="231F20"/>
          <w:w w:val="110"/>
          <w:sz w:val="16"/>
        </w:rPr>
        <w:t>al</w:t>
      </w:r>
      <w:r>
        <w:rPr>
          <w:color w:val="231F20"/>
          <w:spacing w:val="-10"/>
          <w:w w:val="110"/>
          <w:sz w:val="16"/>
        </w:rPr>
        <w:t> </w:t>
      </w:r>
      <w:r>
        <w:rPr>
          <w:color w:val="231F20"/>
          <w:w w:val="110"/>
          <w:sz w:val="16"/>
        </w:rPr>
        <w:t>sistema interestatal de manera sustentable al </w:t>
      </w:r>
      <w:r>
        <w:rPr>
          <w:color w:val="231F20"/>
          <w:spacing w:val="-3"/>
          <w:w w:val="110"/>
          <w:sz w:val="16"/>
        </w:rPr>
        <w:t>valor, </w:t>
      </w:r>
      <w:r>
        <w:rPr>
          <w:color w:val="231F20"/>
          <w:w w:val="110"/>
          <w:sz w:val="16"/>
        </w:rPr>
        <w:t>independientemente de las condiciones reales</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producción,</w:t>
      </w:r>
      <w:r>
        <w:rPr>
          <w:color w:val="231F20"/>
          <w:spacing w:val="22"/>
          <w:w w:val="110"/>
          <w:sz w:val="16"/>
        </w:rPr>
        <w:t> </w:t>
      </w:r>
      <w:r>
        <w:rPr>
          <w:color w:val="231F20"/>
          <w:w w:val="110"/>
          <w:sz w:val="16"/>
        </w:rPr>
        <w:t>no</w:t>
      </w:r>
      <w:r>
        <w:rPr>
          <w:color w:val="231F20"/>
          <w:spacing w:val="22"/>
          <w:w w:val="110"/>
          <w:sz w:val="16"/>
        </w:rPr>
        <w:t> </w:t>
      </w:r>
      <w:r>
        <w:rPr>
          <w:color w:val="231F20"/>
          <w:w w:val="110"/>
          <w:sz w:val="16"/>
        </w:rPr>
        <w:t>encuentra</w:t>
      </w:r>
      <w:r>
        <w:rPr>
          <w:color w:val="231F20"/>
          <w:spacing w:val="22"/>
          <w:w w:val="110"/>
          <w:sz w:val="16"/>
        </w:rPr>
        <w:t> </w:t>
      </w:r>
      <w:r>
        <w:rPr>
          <w:color w:val="231F20"/>
          <w:w w:val="110"/>
          <w:sz w:val="16"/>
        </w:rPr>
        <w:t>precedentes</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el</w:t>
      </w:r>
      <w:r>
        <w:rPr>
          <w:color w:val="231F20"/>
          <w:spacing w:val="22"/>
          <w:w w:val="110"/>
          <w:sz w:val="16"/>
        </w:rPr>
        <w:t> </w:t>
      </w:r>
      <w:r>
        <w:rPr>
          <w:color w:val="231F20"/>
          <w:w w:val="110"/>
          <w:sz w:val="16"/>
        </w:rPr>
        <w:t>capitalismo</w:t>
      </w:r>
      <w:r>
        <w:rPr>
          <w:color w:val="231F20"/>
          <w:spacing w:val="22"/>
          <w:w w:val="110"/>
          <w:sz w:val="16"/>
        </w:rPr>
        <w:t> </w:t>
      </w:r>
      <w:r>
        <w:rPr>
          <w:color w:val="231F20"/>
          <w:w w:val="110"/>
          <w:sz w:val="16"/>
        </w:rPr>
        <w:t>histórico</w:t>
      </w:r>
      <w:r>
        <w:rPr>
          <w:color w:val="231F20"/>
          <w:spacing w:val="22"/>
          <w:w w:val="110"/>
          <w:sz w:val="16"/>
        </w:rPr>
        <w:t> </w:t>
      </w:r>
      <w:r>
        <w:rPr>
          <w:color w:val="231F20"/>
          <w:w w:val="110"/>
          <w:sz w:val="16"/>
        </w:rPr>
        <w:t>y</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el</w:t>
      </w:r>
    </w:p>
    <w:p>
      <w:pPr>
        <w:spacing w:after="0" w:line="261" w:lineRule="auto"/>
        <w:jc w:val="both"/>
        <w:rPr>
          <w:sz w:val="16"/>
        </w:rPr>
        <w:sectPr>
          <w:headerReference w:type="even" r:id="rId72"/>
          <w:headerReference w:type="default" r:id="rId73"/>
          <w:pgSz w:w="7640" w:h="11900"/>
          <w:pgMar w:header="672" w:footer="0" w:top="860" w:bottom="280" w:left="780" w:right="640"/>
          <w:pgNumType w:start="72"/>
        </w:sectPr>
      </w:pPr>
    </w:p>
    <w:p>
      <w:pPr>
        <w:pStyle w:val="BodyText"/>
        <w:spacing w:before="8"/>
        <w:rPr>
          <w:sz w:val="8"/>
        </w:rPr>
      </w:pPr>
    </w:p>
    <w:p>
      <w:pPr>
        <w:pStyle w:val="BodyText"/>
        <w:spacing w:line="261" w:lineRule="auto" w:before="67"/>
        <w:ind w:left="120" w:right="117" w:firstLine="240"/>
        <w:jc w:val="both"/>
      </w:pPr>
      <w:r>
        <w:rPr>
          <w:color w:val="231F20"/>
          <w:w w:val="105"/>
        </w:rPr>
        <w:t>Entre 1994-2006, la tasa de crecimiento del pib per cápita de 2.6%, fue más del doble de la del periodo de 1974-1993, conforme los indi- cadores de la ocde, tabulados por Angus Maddison. La crisis debería reducirla —para el largo intervalo iniciado en 1994—, alejándola de los 2.9% a.a de 1950-1973 y acercándola de los 2.3% a.a de 1939- 1973, cuando se incluye el caos sistémico de los años cuarenta. Sin embargo, se mantiene muy por arriba del 1.2% a.a de la fase B del kondratiev de 1974-1993. La tasa de ganancia en Estados Unidos, país que ofrece  condiciones  estadísticas  para  calcularla,  cayó  de  10.3% a 6.5% en los intervalos 1959-1967 y 1968-1992. Subió a 8.2% en el intervalo entre 1994-2007, sin recuperar el nivel de los años sesenta, pero, en ese mismo periodo, se elevó significativamente la masa de ganancias generada por las corporaciones estadunidenses fuera de Estados Unidos, lo que indica niveles superiores de la tasa de ganan- cia en otras regiones de la economía mundial, como China y el Este Asiático. En 1967, la parcela de ganancias en el exterior, generada    por las corporaciones no financieras estadunidenses, equivalía a 5%  del total alcanzado. Entre 1994-2007, esta parcela se elevó a 17%, llegando a 23% en las crisis de 2001 y 2008 (Council of Economic Advisers,</w:t>
      </w:r>
      <w:r>
        <w:rPr>
          <w:color w:val="231F20"/>
          <w:spacing w:val="-10"/>
          <w:w w:val="105"/>
        </w:rPr>
        <w:t> </w:t>
      </w:r>
      <w:r>
        <w:rPr>
          <w:color w:val="231F20"/>
          <w:w w:val="105"/>
        </w:rPr>
        <w:t>2009).</w:t>
      </w:r>
    </w:p>
    <w:p>
      <w:pPr>
        <w:pStyle w:val="BodyText"/>
        <w:spacing w:line="261" w:lineRule="auto"/>
        <w:ind w:left="120" w:right="119" w:firstLine="240"/>
        <w:jc w:val="both"/>
      </w:pPr>
      <w:r>
        <w:rPr>
          <w:color w:val="231F20"/>
          <w:w w:val="110"/>
        </w:rPr>
        <w:t>La </w:t>
      </w:r>
      <w:r>
        <w:rPr>
          <w:color w:val="231F20"/>
          <w:spacing w:val="-3"/>
          <w:w w:val="110"/>
        </w:rPr>
        <w:t>fase </w:t>
      </w:r>
      <w:r>
        <w:rPr>
          <w:color w:val="231F20"/>
          <w:w w:val="110"/>
        </w:rPr>
        <w:t>A del </w:t>
      </w:r>
      <w:r>
        <w:rPr>
          <w:color w:val="231F20"/>
          <w:spacing w:val="-3"/>
          <w:w w:val="110"/>
        </w:rPr>
        <w:t>nuevo kondratiev presenta características </w:t>
      </w:r>
      <w:r>
        <w:rPr>
          <w:color w:val="231F20"/>
          <w:w w:val="110"/>
        </w:rPr>
        <w:t>muy </w:t>
      </w:r>
      <w:r>
        <w:rPr>
          <w:color w:val="231F20"/>
          <w:spacing w:val="-3"/>
          <w:w w:val="110"/>
        </w:rPr>
        <w:t>espe- ciales.</w:t>
      </w:r>
      <w:r>
        <w:rPr>
          <w:color w:val="231F20"/>
          <w:spacing w:val="-7"/>
          <w:w w:val="110"/>
        </w:rPr>
        <w:t> </w:t>
      </w:r>
      <w:r>
        <w:rPr>
          <w:color w:val="231F20"/>
          <w:w w:val="110"/>
        </w:rPr>
        <w:t>Si,</w:t>
      </w:r>
      <w:r>
        <w:rPr>
          <w:color w:val="231F20"/>
          <w:spacing w:val="-7"/>
          <w:w w:val="110"/>
        </w:rPr>
        <w:t> </w:t>
      </w:r>
      <w:r>
        <w:rPr>
          <w:color w:val="231F20"/>
          <w:w w:val="110"/>
        </w:rPr>
        <w:t>por</w:t>
      </w:r>
      <w:r>
        <w:rPr>
          <w:color w:val="231F20"/>
          <w:spacing w:val="-7"/>
          <w:w w:val="110"/>
        </w:rPr>
        <w:t> </w:t>
      </w:r>
      <w:r>
        <w:rPr>
          <w:color w:val="231F20"/>
          <w:w w:val="110"/>
        </w:rPr>
        <w:t>un</w:t>
      </w:r>
      <w:r>
        <w:rPr>
          <w:color w:val="231F20"/>
          <w:spacing w:val="-7"/>
          <w:w w:val="110"/>
        </w:rPr>
        <w:t> </w:t>
      </w:r>
      <w:r>
        <w:rPr>
          <w:color w:val="231F20"/>
          <w:spacing w:val="-3"/>
          <w:w w:val="110"/>
        </w:rPr>
        <w:t>lado,</w:t>
      </w:r>
      <w:r>
        <w:rPr>
          <w:color w:val="231F20"/>
          <w:spacing w:val="-7"/>
          <w:w w:val="110"/>
        </w:rPr>
        <w:t> </w:t>
      </w:r>
      <w:r>
        <w:rPr>
          <w:color w:val="231F20"/>
          <w:spacing w:val="-3"/>
          <w:w w:val="110"/>
        </w:rPr>
        <w:t>desplaza</w:t>
      </w:r>
      <w:r>
        <w:rPr>
          <w:color w:val="231F20"/>
          <w:spacing w:val="-7"/>
          <w:w w:val="110"/>
        </w:rPr>
        <w:t> </w:t>
      </w:r>
      <w:r>
        <w:rPr>
          <w:color w:val="231F20"/>
          <w:w w:val="110"/>
        </w:rPr>
        <w:t>la</w:t>
      </w:r>
      <w:r>
        <w:rPr>
          <w:color w:val="231F20"/>
          <w:spacing w:val="-7"/>
          <w:w w:val="110"/>
        </w:rPr>
        <w:t> </w:t>
      </w:r>
      <w:r>
        <w:rPr>
          <w:color w:val="231F20"/>
          <w:spacing w:val="-3"/>
          <w:w w:val="110"/>
        </w:rPr>
        <w:t>acumulación</w:t>
      </w:r>
      <w:r>
        <w:rPr>
          <w:color w:val="231F20"/>
          <w:spacing w:val="-7"/>
          <w:w w:val="110"/>
        </w:rPr>
        <w:t> </w:t>
      </w:r>
      <w:r>
        <w:rPr>
          <w:color w:val="231F20"/>
          <w:spacing w:val="-3"/>
          <w:w w:val="110"/>
        </w:rPr>
        <w:t>hacia</w:t>
      </w:r>
      <w:r>
        <w:rPr>
          <w:color w:val="231F20"/>
          <w:spacing w:val="-7"/>
          <w:w w:val="110"/>
        </w:rPr>
        <w:t> </w:t>
      </w:r>
      <w:r>
        <w:rPr>
          <w:color w:val="231F20"/>
          <w:w w:val="110"/>
        </w:rPr>
        <w:t>la</w:t>
      </w:r>
      <w:r>
        <w:rPr>
          <w:color w:val="231F20"/>
          <w:spacing w:val="-7"/>
          <w:w w:val="110"/>
        </w:rPr>
        <w:t> </w:t>
      </w:r>
      <w:r>
        <w:rPr>
          <w:color w:val="231F20"/>
          <w:spacing w:val="-3"/>
          <w:w w:val="110"/>
        </w:rPr>
        <w:t>tasa</w:t>
      </w:r>
      <w:r>
        <w:rPr>
          <w:color w:val="231F20"/>
          <w:spacing w:val="-7"/>
          <w:w w:val="110"/>
        </w:rPr>
        <w:t> </w:t>
      </w:r>
      <w:r>
        <w:rPr>
          <w:color w:val="231F20"/>
          <w:w w:val="110"/>
        </w:rPr>
        <w:t>de</w:t>
      </w:r>
      <w:r>
        <w:rPr>
          <w:color w:val="231F20"/>
          <w:spacing w:val="-7"/>
          <w:w w:val="110"/>
        </w:rPr>
        <w:t> </w:t>
      </w:r>
      <w:r>
        <w:rPr>
          <w:color w:val="231F20"/>
          <w:spacing w:val="-3"/>
          <w:w w:val="110"/>
        </w:rPr>
        <w:t>ganan- cia, </w:t>
      </w:r>
      <w:r>
        <w:rPr>
          <w:color w:val="231F20"/>
          <w:w w:val="110"/>
        </w:rPr>
        <w:t>las </w:t>
      </w:r>
      <w:r>
        <w:rPr>
          <w:color w:val="231F20"/>
          <w:spacing w:val="-3"/>
          <w:w w:val="110"/>
        </w:rPr>
        <w:t>crisis </w:t>
      </w:r>
      <w:r>
        <w:rPr>
          <w:color w:val="231F20"/>
          <w:w w:val="110"/>
        </w:rPr>
        <w:t>del </w:t>
      </w:r>
      <w:r>
        <w:rPr>
          <w:color w:val="231F20"/>
          <w:spacing w:val="-3"/>
          <w:w w:val="110"/>
        </w:rPr>
        <w:t>modo </w:t>
      </w:r>
      <w:r>
        <w:rPr>
          <w:color w:val="231F20"/>
          <w:w w:val="110"/>
        </w:rPr>
        <w:t>de </w:t>
      </w:r>
      <w:r>
        <w:rPr>
          <w:color w:val="231F20"/>
          <w:spacing w:val="-3"/>
          <w:w w:val="110"/>
        </w:rPr>
        <w:t>producción capitalista </w:t>
      </w:r>
      <w:r>
        <w:rPr>
          <w:color w:val="231F20"/>
          <w:w w:val="110"/>
        </w:rPr>
        <w:t>y de la </w:t>
      </w:r>
      <w:r>
        <w:rPr>
          <w:color w:val="231F20"/>
          <w:spacing w:val="-3"/>
          <w:w w:val="110"/>
        </w:rPr>
        <w:t>hegemonía estadunidense actúan sobre </w:t>
      </w:r>
      <w:r>
        <w:rPr>
          <w:color w:val="231F20"/>
          <w:w w:val="110"/>
        </w:rPr>
        <w:t>la </w:t>
      </w:r>
      <w:r>
        <w:rPr>
          <w:color w:val="231F20"/>
          <w:spacing w:val="-3"/>
          <w:w w:val="110"/>
        </w:rPr>
        <w:t>recuperación </w:t>
      </w:r>
      <w:r>
        <w:rPr>
          <w:color w:val="231F20"/>
          <w:w w:val="110"/>
        </w:rPr>
        <w:t>de la </w:t>
      </w:r>
      <w:r>
        <w:rPr>
          <w:color w:val="231F20"/>
          <w:spacing w:val="-3"/>
          <w:w w:val="110"/>
        </w:rPr>
        <w:t>tasa </w:t>
      </w:r>
      <w:r>
        <w:rPr>
          <w:color w:val="231F20"/>
          <w:w w:val="110"/>
        </w:rPr>
        <w:t>de </w:t>
      </w:r>
      <w:r>
        <w:rPr>
          <w:color w:val="231F20"/>
          <w:spacing w:val="-3"/>
          <w:w w:val="110"/>
        </w:rPr>
        <w:t>ganancia, limitándola. </w:t>
      </w:r>
      <w:r>
        <w:rPr>
          <w:color w:val="231F20"/>
          <w:w w:val="110"/>
        </w:rPr>
        <w:t>La </w:t>
      </w:r>
      <w:r>
        <w:rPr>
          <w:color w:val="231F20"/>
          <w:spacing w:val="-3"/>
          <w:w w:val="110"/>
        </w:rPr>
        <w:t>automatización reduce </w:t>
      </w:r>
      <w:r>
        <w:rPr>
          <w:color w:val="231F20"/>
          <w:w w:val="110"/>
        </w:rPr>
        <w:t>la </w:t>
      </w:r>
      <w:r>
        <w:rPr>
          <w:color w:val="231F20"/>
          <w:spacing w:val="-3"/>
          <w:w w:val="110"/>
        </w:rPr>
        <w:t>masa </w:t>
      </w:r>
      <w:r>
        <w:rPr>
          <w:color w:val="231F20"/>
          <w:w w:val="110"/>
        </w:rPr>
        <w:t>de </w:t>
      </w:r>
      <w:r>
        <w:rPr>
          <w:color w:val="231F20"/>
          <w:spacing w:val="-3"/>
          <w:w w:val="110"/>
        </w:rPr>
        <w:t>valor representada </w:t>
      </w:r>
      <w:r>
        <w:rPr>
          <w:color w:val="231F20"/>
          <w:w w:val="110"/>
        </w:rPr>
        <w:t>por</w:t>
      </w:r>
      <w:r>
        <w:rPr>
          <w:color w:val="231F20"/>
          <w:spacing w:val="-12"/>
          <w:w w:val="110"/>
        </w:rPr>
        <w:t> </w:t>
      </w:r>
      <w:r>
        <w:rPr>
          <w:color w:val="231F20"/>
          <w:w w:val="110"/>
        </w:rPr>
        <w:t>la</w:t>
      </w:r>
      <w:r>
        <w:rPr>
          <w:color w:val="231F20"/>
          <w:spacing w:val="-12"/>
          <w:w w:val="110"/>
        </w:rPr>
        <w:t> </w:t>
      </w:r>
      <w:r>
        <w:rPr>
          <w:color w:val="231F20"/>
          <w:spacing w:val="-3"/>
          <w:w w:val="110"/>
        </w:rPr>
        <w:t>fuerza</w:t>
      </w:r>
      <w:r>
        <w:rPr>
          <w:color w:val="231F20"/>
          <w:spacing w:val="-12"/>
          <w:w w:val="110"/>
        </w:rPr>
        <w:t> </w:t>
      </w:r>
      <w:r>
        <w:rPr>
          <w:color w:val="231F20"/>
          <w:w w:val="110"/>
        </w:rPr>
        <w:t>de</w:t>
      </w:r>
      <w:r>
        <w:rPr>
          <w:color w:val="231F20"/>
          <w:spacing w:val="-12"/>
          <w:w w:val="110"/>
        </w:rPr>
        <w:t> </w:t>
      </w:r>
      <w:r>
        <w:rPr>
          <w:color w:val="231F20"/>
          <w:spacing w:val="-3"/>
          <w:w w:val="110"/>
        </w:rPr>
        <w:t>trabajo</w:t>
      </w:r>
      <w:r>
        <w:rPr>
          <w:color w:val="231F20"/>
          <w:spacing w:val="-12"/>
          <w:w w:val="110"/>
        </w:rPr>
        <w:t> </w:t>
      </w:r>
      <w:r>
        <w:rPr>
          <w:color w:val="231F20"/>
          <w:w w:val="110"/>
        </w:rPr>
        <w:t>y</w:t>
      </w:r>
      <w:r>
        <w:rPr>
          <w:color w:val="231F20"/>
          <w:spacing w:val="-12"/>
          <w:w w:val="110"/>
        </w:rPr>
        <w:t> </w:t>
      </w:r>
      <w:r>
        <w:rPr>
          <w:color w:val="231F20"/>
          <w:spacing w:val="-3"/>
          <w:w w:val="110"/>
        </w:rPr>
        <w:t>establece</w:t>
      </w:r>
      <w:r>
        <w:rPr>
          <w:color w:val="231F20"/>
          <w:spacing w:val="-12"/>
          <w:w w:val="110"/>
        </w:rPr>
        <w:t> </w:t>
      </w:r>
      <w:r>
        <w:rPr>
          <w:color w:val="231F20"/>
          <w:w w:val="110"/>
        </w:rPr>
        <w:t>la</w:t>
      </w:r>
      <w:r>
        <w:rPr>
          <w:color w:val="231F20"/>
          <w:spacing w:val="-12"/>
          <w:w w:val="110"/>
        </w:rPr>
        <w:t> </w:t>
      </w:r>
      <w:r>
        <w:rPr>
          <w:color w:val="231F20"/>
          <w:spacing w:val="-3"/>
          <w:w w:val="110"/>
        </w:rPr>
        <w:t>contradicción</w:t>
      </w:r>
      <w:r>
        <w:rPr>
          <w:color w:val="231F20"/>
          <w:spacing w:val="-12"/>
          <w:w w:val="110"/>
        </w:rPr>
        <w:t> </w:t>
      </w:r>
      <w:r>
        <w:rPr>
          <w:color w:val="231F20"/>
          <w:spacing w:val="-3"/>
          <w:w w:val="110"/>
        </w:rPr>
        <w:t>entre</w:t>
      </w:r>
      <w:r>
        <w:rPr>
          <w:color w:val="231F20"/>
          <w:spacing w:val="-12"/>
          <w:w w:val="110"/>
        </w:rPr>
        <w:t> </w:t>
      </w:r>
      <w:r>
        <w:rPr>
          <w:color w:val="231F20"/>
          <w:w w:val="110"/>
        </w:rPr>
        <w:t>la</w:t>
      </w:r>
      <w:r>
        <w:rPr>
          <w:color w:val="231F20"/>
          <w:spacing w:val="-12"/>
          <w:w w:val="110"/>
        </w:rPr>
        <w:t> </w:t>
      </w:r>
      <w:r>
        <w:rPr>
          <w:color w:val="231F20"/>
          <w:spacing w:val="-3"/>
          <w:w w:val="110"/>
        </w:rPr>
        <w:t>innovación tecnológica </w:t>
      </w:r>
      <w:r>
        <w:rPr>
          <w:color w:val="231F20"/>
          <w:w w:val="110"/>
        </w:rPr>
        <w:t>y la </w:t>
      </w:r>
      <w:r>
        <w:rPr>
          <w:color w:val="231F20"/>
          <w:spacing w:val="-3"/>
          <w:w w:val="110"/>
        </w:rPr>
        <w:t>valorización </w:t>
      </w:r>
      <w:r>
        <w:rPr>
          <w:color w:val="231F20"/>
          <w:w w:val="110"/>
        </w:rPr>
        <w:t>del </w:t>
      </w:r>
      <w:r>
        <w:rPr>
          <w:color w:val="231F20"/>
          <w:spacing w:val="-3"/>
          <w:w w:val="110"/>
        </w:rPr>
        <w:t>capital. </w:t>
      </w:r>
      <w:r>
        <w:rPr>
          <w:color w:val="231F20"/>
          <w:w w:val="110"/>
        </w:rPr>
        <w:t>La </w:t>
      </w:r>
      <w:r>
        <w:rPr>
          <w:color w:val="231F20"/>
          <w:spacing w:val="-3"/>
          <w:w w:val="110"/>
        </w:rPr>
        <w:t>tasa </w:t>
      </w:r>
      <w:r>
        <w:rPr>
          <w:color w:val="231F20"/>
          <w:w w:val="110"/>
        </w:rPr>
        <w:t>de </w:t>
      </w:r>
      <w:r>
        <w:rPr>
          <w:color w:val="231F20"/>
          <w:spacing w:val="-3"/>
          <w:w w:val="110"/>
        </w:rPr>
        <w:t>plusvalía presenta incrementos</w:t>
      </w:r>
      <w:r>
        <w:rPr>
          <w:color w:val="231F20"/>
          <w:spacing w:val="-7"/>
          <w:w w:val="110"/>
        </w:rPr>
        <w:t> </w:t>
      </w:r>
      <w:r>
        <w:rPr>
          <w:color w:val="231F20"/>
          <w:spacing w:val="-3"/>
          <w:w w:val="110"/>
        </w:rPr>
        <w:t>cada</w:t>
      </w:r>
      <w:r>
        <w:rPr>
          <w:color w:val="231F20"/>
          <w:spacing w:val="-7"/>
          <w:w w:val="110"/>
        </w:rPr>
        <w:t> </w:t>
      </w:r>
      <w:r>
        <w:rPr>
          <w:color w:val="231F20"/>
          <w:w w:val="110"/>
        </w:rPr>
        <w:t>vez</w:t>
      </w:r>
      <w:r>
        <w:rPr>
          <w:color w:val="231F20"/>
          <w:spacing w:val="-7"/>
          <w:w w:val="110"/>
        </w:rPr>
        <w:t> </w:t>
      </w:r>
      <w:r>
        <w:rPr>
          <w:color w:val="231F20"/>
          <w:w w:val="110"/>
        </w:rPr>
        <w:t>más</w:t>
      </w:r>
      <w:r>
        <w:rPr>
          <w:color w:val="231F20"/>
          <w:spacing w:val="-7"/>
          <w:w w:val="110"/>
        </w:rPr>
        <w:t> </w:t>
      </w:r>
      <w:r>
        <w:rPr>
          <w:color w:val="231F20"/>
          <w:spacing w:val="-3"/>
          <w:w w:val="110"/>
        </w:rPr>
        <w:t>mediocres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spacing w:val="-3"/>
          <w:w w:val="110"/>
        </w:rPr>
        <w:t>segmento</w:t>
      </w:r>
      <w:r>
        <w:rPr>
          <w:color w:val="231F20"/>
          <w:spacing w:val="-7"/>
          <w:w w:val="110"/>
        </w:rPr>
        <w:t> </w:t>
      </w:r>
      <w:r>
        <w:rPr>
          <w:color w:val="231F20"/>
          <w:w w:val="110"/>
        </w:rPr>
        <w:t>de</w:t>
      </w:r>
      <w:r>
        <w:rPr>
          <w:color w:val="231F20"/>
          <w:spacing w:val="-7"/>
          <w:w w:val="110"/>
        </w:rPr>
        <w:t> </w:t>
      </w:r>
      <w:r>
        <w:rPr>
          <w:color w:val="231F20"/>
          <w:spacing w:val="-3"/>
          <w:w w:val="110"/>
        </w:rPr>
        <w:t>alta</w:t>
      </w:r>
      <w:r>
        <w:rPr>
          <w:color w:val="231F20"/>
          <w:spacing w:val="-7"/>
          <w:w w:val="110"/>
        </w:rPr>
        <w:t> </w:t>
      </w:r>
      <w:r>
        <w:rPr>
          <w:color w:val="231F20"/>
          <w:spacing w:val="-3"/>
          <w:w w:val="110"/>
        </w:rPr>
        <w:t>productivi- </w:t>
      </w:r>
      <w:r>
        <w:rPr>
          <w:color w:val="231F20"/>
          <w:w w:val="110"/>
        </w:rPr>
        <w:t>dad </w:t>
      </w:r>
      <w:r>
        <w:rPr>
          <w:color w:val="231F20"/>
          <w:spacing w:val="-3"/>
          <w:w w:val="110"/>
        </w:rPr>
        <w:t>incorpora </w:t>
      </w:r>
      <w:r>
        <w:rPr>
          <w:color w:val="231F20"/>
          <w:w w:val="110"/>
        </w:rPr>
        <w:t>una </w:t>
      </w:r>
      <w:r>
        <w:rPr>
          <w:color w:val="231F20"/>
          <w:spacing w:val="-3"/>
          <w:w w:val="110"/>
        </w:rPr>
        <w:t>parcela restringida </w:t>
      </w:r>
      <w:r>
        <w:rPr>
          <w:color w:val="231F20"/>
          <w:w w:val="110"/>
        </w:rPr>
        <w:t>del </w:t>
      </w:r>
      <w:r>
        <w:rPr>
          <w:color w:val="231F20"/>
          <w:spacing w:val="-3"/>
          <w:w w:val="110"/>
        </w:rPr>
        <w:t>conjunto </w:t>
      </w:r>
      <w:r>
        <w:rPr>
          <w:color w:val="231F20"/>
          <w:w w:val="110"/>
        </w:rPr>
        <w:t>de los</w:t>
      </w:r>
      <w:r>
        <w:rPr>
          <w:color w:val="231F20"/>
          <w:spacing w:val="-33"/>
          <w:w w:val="110"/>
        </w:rPr>
        <w:t> </w:t>
      </w:r>
      <w:r>
        <w:rPr>
          <w:color w:val="231F20"/>
          <w:spacing w:val="-3"/>
          <w:w w:val="110"/>
        </w:rPr>
        <w:t>trabajadores. </w:t>
      </w:r>
      <w:r>
        <w:rPr>
          <w:color w:val="231F20"/>
          <w:w w:val="110"/>
        </w:rPr>
        <w:t>La </w:t>
      </w:r>
      <w:r>
        <w:rPr>
          <w:color w:val="231F20"/>
          <w:spacing w:val="-3"/>
          <w:w w:val="110"/>
        </w:rPr>
        <w:t>conversión </w:t>
      </w:r>
      <w:r>
        <w:rPr>
          <w:color w:val="231F20"/>
          <w:w w:val="110"/>
        </w:rPr>
        <w:t>de </w:t>
      </w:r>
      <w:r>
        <w:rPr>
          <w:color w:val="231F20"/>
          <w:spacing w:val="-3"/>
          <w:w w:val="110"/>
        </w:rPr>
        <w:t>plusvalía extraordinaria </w:t>
      </w:r>
      <w:r>
        <w:rPr>
          <w:color w:val="231F20"/>
          <w:w w:val="110"/>
        </w:rPr>
        <w:t>en </w:t>
      </w:r>
      <w:r>
        <w:rPr>
          <w:color w:val="231F20"/>
          <w:spacing w:val="-3"/>
          <w:w w:val="110"/>
        </w:rPr>
        <w:t>ganancia extraordinaria presenta</w:t>
      </w:r>
      <w:r>
        <w:rPr>
          <w:color w:val="231F20"/>
          <w:spacing w:val="-14"/>
          <w:w w:val="110"/>
        </w:rPr>
        <w:t> </w:t>
      </w:r>
      <w:r>
        <w:rPr>
          <w:color w:val="231F20"/>
          <w:spacing w:val="-3"/>
          <w:w w:val="110"/>
        </w:rPr>
        <w:t>dificultades:</w:t>
      </w:r>
      <w:r>
        <w:rPr>
          <w:color w:val="231F20"/>
          <w:spacing w:val="-14"/>
          <w:w w:val="110"/>
        </w:rPr>
        <w:t> </w:t>
      </w:r>
      <w:r>
        <w:rPr>
          <w:color w:val="231F20"/>
          <w:w w:val="110"/>
        </w:rPr>
        <w:t>la</w:t>
      </w:r>
      <w:r>
        <w:rPr>
          <w:color w:val="231F20"/>
          <w:spacing w:val="-14"/>
          <w:w w:val="110"/>
        </w:rPr>
        <w:t> </w:t>
      </w:r>
      <w:r>
        <w:rPr>
          <w:color w:val="231F20"/>
          <w:spacing w:val="-3"/>
          <w:w w:val="110"/>
        </w:rPr>
        <w:t>economía</w:t>
      </w:r>
      <w:r>
        <w:rPr>
          <w:color w:val="231F20"/>
          <w:spacing w:val="-14"/>
          <w:w w:val="110"/>
        </w:rPr>
        <w:t> </w:t>
      </w:r>
      <w:r>
        <w:rPr>
          <w:color w:val="231F20"/>
          <w:w w:val="110"/>
        </w:rPr>
        <w:t>de</w:t>
      </w:r>
      <w:r>
        <w:rPr>
          <w:color w:val="231F20"/>
          <w:spacing w:val="-14"/>
          <w:w w:val="110"/>
        </w:rPr>
        <w:t> </w:t>
      </w:r>
      <w:r>
        <w:rPr>
          <w:color w:val="231F20"/>
          <w:spacing w:val="-3"/>
          <w:w w:val="110"/>
        </w:rPr>
        <w:t>valor</w:t>
      </w:r>
      <w:r>
        <w:rPr>
          <w:color w:val="231F20"/>
          <w:spacing w:val="-14"/>
          <w:w w:val="110"/>
        </w:rPr>
        <w:t> </w:t>
      </w:r>
      <w:r>
        <w:rPr>
          <w:color w:val="231F20"/>
          <w:spacing w:val="-3"/>
          <w:w w:val="110"/>
        </w:rPr>
        <w:t>producida</w:t>
      </w:r>
      <w:r>
        <w:rPr>
          <w:color w:val="231F20"/>
          <w:spacing w:val="-14"/>
          <w:w w:val="110"/>
        </w:rPr>
        <w:t> </w:t>
      </w:r>
      <w:r>
        <w:rPr>
          <w:color w:val="231F20"/>
          <w:w w:val="110"/>
        </w:rPr>
        <w:t>por</w:t>
      </w:r>
      <w:r>
        <w:rPr>
          <w:color w:val="231F20"/>
          <w:spacing w:val="-14"/>
          <w:w w:val="110"/>
        </w:rPr>
        <w:t> </w:t>
      </w:r>
      <w:r>
        <w:rPr>
          <w:color w:val="231F20"/>
          <w:w w:val="110"/>
        </w:rPr>
        <w:t>la</w:t>
      </w:r>
      <w:r>
        <w:rPr>
          <w:color w:val="231F20"/>
          <w:spacing w:val="-14"/>
          <w:w w:val="110"/>
        </w:rPr>
        <w:t> </w:t>
      </w:r>
      <w:r>
        <w:rPr>
          <w:color w:val="231F20"/>
          <w:spacing w:val="-3"/>
          <w:w w:val="110"/>
        </w:rPr>
        <w:t>sustitución </w:t>
      </w:r>
      <w:r>
        <w:rPr>
          <w:color w:val="231F20"/>
          <w:w w:val="110"/>
        </w:rPr>
        <w:t>de la </w:t>
      </w:r>
      <w:r>
        <w:rPr>
          <w:color w:val="231F20"/>
          <w:spacing w:val="-3"/>
          <w:w w:val="110"/>
        </w:rPr>
        <w:t>fuerza </w:t>
      </w:r>
      <w:r>
        <w:rPr>
          <w:color w:val="231F20"/>
          <w:w w:val="110"/>
        </w:rPr>
        <w:t>de </w:t>
      </w:r>
      <w:r>
        <w:rPr>
          <w:color w:val="231F20"/>
          <w:spacing w:val="-3"/>
          <w:w w:val="110"/>
        </w:rPr>
        <w:t>trabajo </w:t>
      </w:r>
      <w:r>
        <w:rPr>
          <w:color w:val="231F20"/>
          <w:w w:val="110"/>
        </w:rPr>
        <w:t>por </w:t>
      </w:r>
      <w:r>
        <w:rPr>
          <w:color w:val="231F20"/>
          <w:spacing w:val="-3"/>
          <w:w w:val="110"/>
        </w:rPr>
        <w:t>maquinaria, </w:t>
      </w:r>
      <w:r>
        <w:rPr>
          <w:color w:val="231F20"/>
          <w:w w:val="110"/>
        </w:rPr>
        <w:t>que </w:t>
      </w:r>
      <w:r>
        <w:rPr>
          <w:color w:val="231F20"/>
          <w:spacing w:val="-3"/>
          <w:w w:val="110"/>
        </w:rPr>
        <w:t>transfiere parte </w:t>
      </w:r>
      <w:r>
        <w:rPr>
          <w:color w:val="231F20"/>
          <w:w w:val="110"/>
        </w:rPr>
        <w:t>del </w:t>
      </w:r>
      <w:r>
        <w:rPr>
          <w:color w:val="231F20"/>
          <w:spacing w:val="-3"/>
          <w:w w:val="110"/>
        </w:rPr>
        <w:t>fondo </w:t>
      </w:r>
      <w:r>
        <w:rPr>
          <w:color w:val="231F20"/>
          <w:w w:val="110"/>
        </w:rPr>
        <w:t>de </w:t>
      </w:r>
      <w:r>
        <w:rPr>
          <w:color w:val="231F20"/>
          <w:spacing w:val="-3"/>
          <w:w w:val="110"/>
        </w:rPr>
        <w:t>consumo </w:t>
      </w:r>
      <w:r>
        <w:rPr>
          <w:color w:val="231F20"/>
          <w:w w:val="110"/>
        </w:rPr>
        <w:t>de los </w:t>
      </w:r>
      <w:r>
        <w:rPr>
          <w:color w:val="231F20"/>
          <w:spacing w:val="-3"/>
          <w:w w:val="110"/>
        </w:rPr>
        <w:t>trabajadores </w:t>
      </w:r>
      <w:r>
        <w:rPr>
          <w:color w:val="231F20"/>
          <w:w w:val="110"/>
        </w:rPr>
        <w:t>al </w:t>
      </w:r>
      <w:r>
        <w:rPr>
          <w:color w:val="231F20"/>
          <w:spacing w:val="-3"/>
          <w:w w:val="110"/>
        </w:rPr>
        <w:t>capital </w:t>
      </w:r>
      <w:r>
        <w:rPr>
          <w:color w:val="231F20"/>
          <w:w w:val="110"/>
        </w:rPr>
        <w:t>y se </w:t>
      </w:r>
      <w:r>
        <w:rPr>
          <w:color w:val="231F20"/>
          <w:spacing w:val="-3"/>
          <w:w w:val="110"/>
        </w:rPr>
        <w:t>incorpora parcialmente </w:t>
      </w:r>
      <w:r>
        <w:rPr>
          <w:color w:val="231F20"/>
          <w:w w:val="110"/>
        </w:rPr>
        <w:t>al</w:t>
      </w:r>
      <w:r>
        <w:rPr>
          <w:color w:val="231F20"/>
          <w:spacing w:val="-6"/>
          <w:w w:val="110"/>
        </w:rPr>
        <w:t> </w:t>
      </w:r>
      <w:r>
        <w:rPr>
          <w:color w:val="231F20"/>
          <w:spacing w:val="-3"/>
          <w:w w:val="110"/>
        </w:rPr>
        <w:t>consumo</w:t>
      </w:r>
      <w:r>
        <w:rPr>
          <w:color w:val="231F20"/>
          <w:spacing w:val="-6"/>
          <w:w w:val="110"/>
        </w:rPr>
        <w:t> </w:t>
      </w:r>
      <w:r>
        <w:rPr>
          <w:color w:val="231F20"/>
          <w:w w:val="110"/>
        </w:rPr>
        <w:t>de</w:t>
      </w:r>
      <w:r>
        <w:rPr>
          <w:color w:val="231F20"/>
          <w:spacing w:val="-6"/>
          <w:w w:val="110"/>
        </w:rPr>
        <w:t> </w:t>
      </w:r>
      <w:r>
        <w:rPr>
          <w:color w:val="231F20"/>
          <w:spacing w:val="-3"/>
          <w:w w:val="110"/>
        </w:rPr>
        <w:t>lujo,</w:t>
      </w:r>
      <w:r>
        <w:rPr>
          <w:color w:val="231F20"/>
          <w:spacing w:val="-6"/>
          <w:w w:val="110"/>
        </w:rPr>
        <w:t> </w:t>
      </w:r>
      <w:r>
        <w:rPr>
          <w:color w:val="231F20"/>
          <w:w w:val="110"/>
        </w:rPr>
        <w:t>se</w:t>
      </w:r>
      <w:r>
        <w:rPr>
          <w:color w:val="231F20"/>
          <w:spacing w:val="-6"/>
          <w:w w:val="110"/>
        </w:rPr>
        <w:t> </w:t>
      </w:r>
      <w:r>
        <w:rPr>
          <w:color w:val="231F20"/>
          <w:spacing w:val="-3"/>
          <w:w w:val="110"/>
        </w:rPr>
        <w:t>vuelve</w:t>
      </w:r>
      <w:r>
        <w:rPr>
          <w:color w:val="231F20"/>
          <w:spacing w:val="-6"/>
          <w:w w:val="110"/>
        </w:rPr>
        <w:t> </w:t>
      </w:r>
      <w:r>
        <w:rPr>
          <w:color w:val="231F20"/>
          <w:spacing w:val="-3"/>
          <w:w w:val="110"/>
        </w:rPr>
        <w:t>cada</w:t>
      </w:r>
      <w:r>
        <w:rPr>
          <w:color w:val="231F20"/>
          <w:spacing w:val="-6"/>
          <w:w w:val="110"/>
        </w:rPr>
        <w:t> </w:t>
      </w:r>
      <w:r>
        <w:rPr>
          <w:color w:val="231F20"/>
          <w:w w:val="110"/>
        </w:rPr>
        <w:t>vez</w:t>
      </w:r>
      <w:r>
        <w:rPr>
          <w:color w:val="231F20"/>
          <w:spacing w:val="-6"/>
          <w:w w:val="110"/>
        </w:rPr>
        <w:t> </w:t>
      </w:r>
      <w:r>
        <w:rPr>
          <w:color w:val="231F20"/>
          <w:w w:val="110"/>
        </w:rPr>
        <w:t>más</w:t>
      </w:r>
      <w:r>
        <w:rPr>
          <w:color w:val="231F20"/>
          <w:spacing w:val="-6"/>
          <w:w w:val="110"/>
        </w:rPr>
        <w:t> </w:t>
      </w:r>
      <w:r>
        <w:rPr>
          <w:color w:val="231F20"/>
          <w:spacing w:val="-3"/>
          <w:w w:val="110"/>
        </w:rPr>
        <w:t>insuficiente</w:t>
      </w:r>
      <w:r>
        <w:rPr>
          <w:color w:val="231F20"/>
          <w:spacing w:val="-6"/>
          <w:w w:val="110"/>
        </w:rPr>
        <w:t> </w:t>
      </w:r>
      <w:r>
        <w:rPr>
          <w:color w:val="231F20"/>
          <w:spacing w:val="-3"/>
          <w:w w:val="110"/>
        </w:rPr>
        <w:t>para</w:t>
      </w:r>
      <w:r>
        <w:rPr>
          <w:color w:val="231F20"/>
          <w:spacing w:val="-6"/>
          <w:w w:val="110"/>
        </w:rPr>
        <w:t> </w:t>
      </w:r>
      <w:r>
        <w:rPr>
          <w:color w:val="231F20"/>
          <w:spacing w:val="-3"/>
          <w:w w:val="110"/>
        </w:rPr>
        <w:t>atender</w:t>
      </w:r>
      <w:r>
        <w:rPr>
          <w:color w:val="231F20"/>
          <w:spacing w:val="-6"/>
          <w:w w:val="110"/>
        </w:rPr>
        <w:t> </w:t>
      </w:r>
      <w:r>
        <w:rPr>
          <w:color w:val="231F20"/>
          <w:w w:val="110"/>
        </w:rPr>
        <w:t>a</w:t>
      </w:r>
    </w:p>
    <w:p>
      <w:pPr>
        <w:pStyle w:val="BodyText"/>
        <w:spacing w:before="3"/>
        <w:rPr>
          <w:sz w:val="29"/>
        </w:rPr>
      </w:pPr>
      <w:r>
        <w:rPr/>
        <w:pict>
          <v:line style="position:absolute;mso-position-horizontal-relative:page;mso-position-vertical-relative:paragraph;z-index:1240;mso-wrap-distance-left:0;mso-wrap-distance-right:0" from="38pt,19.050234pt" to="98pt,19.050234pt" stroked="true" strokeweight=".5pt" strokecolor="#231f20">
            <w10:wrap type="topAndBottom"/>
          </v:line>
        </w:pict>
      </w:r>
    </w:p>
    <w:p>
      <w:pPr>
        <w:spacing w:line="261" w:lineRule="auto" w:before="16"/>
        <w:ind w:left="120" w:right="117" w:firstLine="0"/>
        <w:jc w:val="both"/>
        <w:rPr>
          <w:sz w:val="16"/>
        </w:rPr>
      </w:pPr>
      <w:r>
        <w:rPr>
          <w:color w:val="231F20"/>
          <w:w w:val="110"/>
          <w:sz w:val="16"/>
        </w:rPr>
        <w:t>moderno sistema mundial. Esos proyectos se originaron en los periodos de caos sis- témico y buscaron someter el sistema interestatal a fuerzas precapitalistas, frente a la incapacidad</w:t>
      </w:r>
      <w:r>
        <w:rPr>
          <w:color w:val="231F20"/>
          <w:spacing w:val="-6"/>
          <w:w w:val="110"/>
          <w:sz w:val="16"/>
        </w:rPr>
        <w:t> </w:t>
      </w:r>
      <w:r>
        <w:rPr>
          <w:color w:val="231F20"/>
          <w:w w:val="110"/>
          <w:sz w:val="16"/>
        </w:rPr>
        <w:t>de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bloques</w:t>
      </w:r>
      <w:r>
        <w:rPr>
          <w:color w:val="231F20"/>
          <w:spacing w:val="-6"/>
          <w:w w:val="110"/>
          <w:sz w:val="16"/>
        </w:rPr>
        <w:t> </w:t>
      </w:r>
      <w:r>
        <w:rPr>
          <w:color w:val="231F20"/>
          <w:w w:val="110"/>
          <w:sz w:val="16"/>
        </w:rPr>
        <w:t>históricos</w:t>
      </w:r>
      <w:r>
        <w:rPr>
          <w:color w:val="231F20"/>
          <w:spacing w:val="-6"/>
          <w:w w:val="110"/>
          <w:sz w:val="16"/>
        </w:rPr>
        <w:t> </w:t>
      </w:r>
      <w:r>
        <w:rPr>
          <w:color w:val="231F20"/>
          <w:w w:val="110"/>
          <w:sz w:val="16"/>
        </w:rPr>
        <w:t>que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sostenían</w:t>
      </w:r>
      <w:r>
        <w:rPr>
          <w:color w:val="231F20"/>
          <w:spacing w:val="-6"/>
          <w:w w:val="110"/>
          <w:sz w:val="16"/>
        </w:rPr>
        <w:t> </w:t>
      </w:r>
      <w:r>
        <w:rPr>
          <w:color w:val="231F20"/>
          <w:w w:val="110"/>
          <w:sz w:val="16"/>
        </w:rPr>
        <w:t>para</w:t>
      </w:r>
      <w:r>
        <w:rPr>
          <w:color w:val="231F20"/>
          <w:spacing w:val="-6"/>
          <w:w w:val="110"/>
          <w:sz w:val="16"/>
        </w:rPr>
        <w:t> </w:t>
      </w:r>
      <w:r>
        <w:rPr>
          <w:color w:val="231F20"/>
          <w:w w:val="110"/>
          <w:sz w:val="16"/>
        </w:rPr>
        <w:t>imponer</w:t>
      </w:r>
      <w:r>
        <w:rPr>
          <w:color w:val="231F20"/>
          <w:spacing w:val="-6"/>
          <w:w w:val="110"/>
          <w:sz w:val="16"/>
        </w:rPr>
        <w:t> </w:t>
      </w:r>
      <w:r>
        <w:rPr>
          <w:color w:val="231F20"/>
          <w:w w:val="110"/>
          <w:sz w:val="16"/>
        </w:rPr>
        <w:t>su</w:t>
      </w:r>
      <w:r>
        <w:rPr>
          <w:color w:val="231F20"/>
          <w:spacing w:val="-6"/>
          <w:w w:val="110"/>
          <w:sz w:val="16"/>
        </w:rPr>
        <w:t> </w:t>
      </w:r>
      <w:r>
        <w:rPr>
          <w:color w:val="231F20"/>
          <w:w w:val="110"/>
          <w:sz w:val="16"/>
        </w:rPr>
        <w:t>protagonismo por el poder </w:t>
      </w:r>
      <w:r>
        <w:rPr>
          <w:color w:val="231F20"/>
          <w:spacing w:val="7"/>
          <w:w w:val="110"/>
          <w:sz w:val="16"/>
        </w:rPr>
        <w:t> </w:t>
      </w:r>
      <w:r>
        <w:rPr>
          <w:color w:val="231F20"/>
          <w:w w:val="110"/>
          <w:sz w:val="16"/>
        </w:rPr>
        <w:t>económico.</w:t>
      </w:r>
    </w:p>
    <w:p>
      <w:pPr>
        <w:spacing w:after="0" w:line="261" w:lineRule="auto"/>
        <w:jc w:val="both"/>
        <w:rPr>
          <w:sz w:val="16"/>
        </w:rPr>
        <w:sectPr>
          <w:pgSz w:w="7640" w:h="11900"/>
          <w:pgMar w:header="672" w:footer="0" w:top="860" w:bottom="280" w:left="640" w:right="760"/>
        </w:sectPr>
      </w:pPr>
    </w:p>
    <w:p>
      <w:pPr>
        <w:pStyle w:val="BodyText"/>
        <w:spacing w:before="8"/>
        <w:rPr>
          <w:sz w:val="8"/>
        </w:rPr>
      </w:pPr>
    </w:p>
    <w:p>
      <w:pPr>
        <w:pStyle w:val="BodyText"/>
        <w:spacing w:line="261" w:lineRule="auto" w:before="67"/>
        <w:ind w:left="100" w:right="110"/>
      </w:pPr>
      <w:r>
        <w:rPr>
          <w:color w:val="231F20"/>
          <w:w w:val="110"/>
        </w:rPr>
        <w:t>las</w:t>
      </w:r>
      <w:r>
        <w:rPr>
          <w:color w:val="231F20"/>
          <w:spacing w:val="-18"/>
          <w:w w:val="110"/>
        </w:rPr>
        <w:t> </w:t>
      </w:r>
      <w:r>
        <w:rPr>
          <w:color w:val="231F20"/>
          <w:spacing w:val="-3"/>
          <w:w w:val="110"/>
        </w:rPr>
        <w:t>expectativas</w:t>
      </w:r>
      <w:r>
        <w:rPr>
          <w:color w:val="231F20"/>
          <w:spacing w:val="-18"/>
          <w:w w:val="110"/>
        </w:rPr>
        <w:t> </w:t>
      </w:r>
      <w:r>
        <w:rPr>
          <w:color w:val="231F20"/>
          <w:w w:val="110"/>
        </w:rPr>
        <w:t>de</w:t>
      </w:r>
      <w:r>
        <w:rPr>
          <w:color w:val="231F20"/>
          <w:spacing w:val="-18"/>
          <w:w w:val="110"/>
        </w:rPr>
        <w:t> </w:t>
      </w:r>
      <w:r>
        <w:rPr>
          <w:color w:val="231F20"/>
          <w:spacing w:val="-3"/>
          <w:w w:val="110"/>
        </w:rPr>
        <w:t>valorización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spacing w:val="-3"/>
          <w:w w:val="110"/>
        </w:rPr>
        <w:t>masa</w:t>
      </w:r>
      <w:r>
        <w:rPr>
          <w:color w:val="231F20"/>
          <w:spacing w:val="-18"/>
          <w:w w:val="110"/>
        </w:rPr>
        <w:t> </w:t>
      </w:r>
      <w:r>
        <w:rPr>
          <w:color w:val="231F20"/>
          <w:spacing w:val="-3"/>
          <w:w w:val="110"/>
        </w:rPr>
        <w:t>ampliada</w:t>
      </w:r>
      <w:r>
        <w:rPr>
          <w:color w:val="231F20"/>
          <w:spacing w:val="-18"/>
          <w:w w:val="110"/>
        </w:rPr>
        <w:t> </w:t>
      </w:r>
      <w:r>
        <w:rPr>
          <w:color w:val="231F20"/>
          <w:w w:val="110"/>
        </w:rPr>
        <w:t>de</w:t>
      </w:r>
      <w:r>
        <w:rPr>
          <w:color w:val="231F20"/>
          <w:spacing w:val="-18"/>
          <w:w w:val="110"/>
        </w:rPr>
        <w:t> </w:t>
      </w:r>
      <w:r>
        <w:rPr>
          <w:color w:val="231F20"/>
          <w:spacing w:val="-3"/>
          <w:w w:val="110"/>
        </w:rPr>
        <w:t>mercancías</w:t>
      </w:r>
      <w:r>
        <w:rPr>
          <w:color w:val="231F20"/>
          <w:spacing w:val="-18"/>
          <w:w w:val="110"/>
        </w:rPr>
        <w:t> </w:t>
      </w:r>
      <w:r>
        <w:rPr>
          <w:color w:val="231F20"/>
          <w:spacing w:val="-3"/>
          <w:w w:val="110"/>
        </w:rPr>
        <w:t>que circula </w:t>
      </w:r>
      <w:r>
        <w:rPr>
          <w:color w:val="231F20"/>
          <w:w w:val="110"/>
        </w:rPr>
        <w:t>a </w:t>
      </w:r>
      <w:r>
        <w:rPr>
          <w:color w:val="231F20"/>
          <w:spacing w:val="-3"/>
          <w:w w:val="110"/>
        </w:rPr>
        <w:t>procura </w:t>
      </w:r>
      <w:r>
        <w:rPr>
          <w:color w:val="231F20"/>
          <w:w w:val="110"/>
        </w:rPr>
        <w:t>del </w:t>
      </w:r>
      <w:r>
        <w:rPr>
          <w:color w:val="231F20"/>
          <w:spacing w:val="-3"/>
          <w:w w:val="110"/>
        </w:rPr>
        <w:t>lucro </w:t>
      </w:r>
      <w:r>
        <w:rPr>
          <w:color w:val="231F20"/>
          <w:spacing w:val="15"/>
          <w:w w:val="110"/>
        </w:rPr>
        <w:t> </w:t>
      </w:r>
      <w:r>
        <w:rPr>
          <w:color w:val="231F20"/>
          <w:spacing w:val="-3"/>
          <w:w w:val="110"/>
        </w:rPr>
        <w:t>extraordinario.</w:t>
      </w:r>
    </w:p>
    <w:p>
      <w:pPr>
        <w:pStyle w:val="BodyText"/>
        <w:spacing w:line="261" w:lineRule="auto"/>
        <w:ind w:left="100" w:right="117" w:firstLine="240"/>
        <w:jc w:val="right"/>
      </w:pPr>
      <w:r>
        <w:rPr>
          <w:color w:val="231F20"/>
          <w:spacing w:val="-6"/>
          <w:w w:val="105"/>
        </w:rPr>
        <w:t>Tales </w:t>
      </w:r>
      <w:r>
        <w:rPr>
          <w:color w:val="231F20"/>
          <w:w w:val="105"/>
        </w:rPr>
        <w:t>procesos llevan a la búsqueda de formas complementarias al</w:t>
      </w:r>
      <w:r>
        <w:rPr>
          <w:color w:val="231F20"/>
          <w:spacing w:val="-2"/>
          <w:w w:val="105"/>
        </w:rPr>
        <w:t> </w:t>
      </w:r>
      <w:r>
        <w:rPr>
          <w:color w:val="231F20"/>
          <w:w w:val="105"/>
        </w:rPr>
        <w:t>proceso productivo de valorización del capital, sin eliminar su centrali-</w:t>
      </w:r>
      <w:r>
        <w:rPr>
          <w:color w:val="231F20"/>
          <w:w w:val="72"/>
        </w:rPr>
        <w:t> </w:t>
      </w:r>
      <w:r>
        <w:rPr>
          <w:color w:val="231F20"/>
          <w:w w:val="105"/>
        </w:rPr>
        <w:t>dad, y a la difusión de la sobrexplotación del trabajo como instrumento</w:t>
      </w:r>
      <w:r>
        <w:rPr>
          <w:color w:val="231F20"/>
          <w:spacing w:val="-2"/>
          <w:w w:val="112"/>
        </w:rPr>
        <w:t> </w:t>
      </w:r>
      <w:r>
        <w:rPr>
          <w:color w:val="231F20"/>
          <w:w w:val="105"/>
        </w:rPr>
        <w:t>para el incremento de la tasa de plusvalía. La sobreexplotación esta-</w:t>
      </w:r>
      <w:r>
        <w:rPr>
          <w:color w:val="231F20"/>
          <w:w w:val="72"/>
        </w:rPr>
        <w:t> </w:t>
      </w:r>
      <w:r>
        <w:rPr>
          <w:color w:val="231F20"/>
          <w:w w:val="105"/>
        </w:rPr>
        <w:t>blece altos niveles de desempleo en los países centrales para que </w:t>
      </w:r>
      <w:r>
        <w:rPr>
          <w:color w:val="231F20"/>
          <w:spacing w:val="-2"/>
          <w:w w:val="105"/>
        </w:rPr>
        <w:t>los</w:t>
      </w:r>
      <w:r>
        <w:rPr>
          <w:color w:val="231F20"/>
          <w:spacing w:val="-2"/>
          <w:w w:val="102"/>
        </w:rPr>
        <w:t> </w:t>
      </w:r>
      <w:r>
        <w:rPr>
          <w:color w:val="231F20"/>
          <w:w w:val="105"/>
        </w:rPr>
        <w:t>precios de la fuerza de trabajo caigan por debajo de su valor y </w:t>
      </w:r>
      <w:r>
        <w:rPr>
          <w:color w:val="231F20"/>
          <w:spacing w:val="-2"/>
          <w:w w:val="105"/>
        </w:rPr>
        <w:t>genere</w:t>
      </w:r>
      <w:r>
        <w:rPr>
          <w:color w:val="231F20"/>
          <w:spacing w:val="-2"/>
          <w:w w:val="113"/>
        </w:rPr>
        <w:t> </w:t>
      </w:r>
      <w:r>
        <w:rPr>
          <w:color w:val="231F20"/>
          <w:w w:val="105"/>
        </w:rPr>
        <w:t>un excedente de capital que no se reinvierte en el sector productivo.</w:t>
      </w:r>
      <w:r>
        <w:rPr>
          <w:color w:val="231F20"/>
          <w:spacing w:val="-2"/>
          <w:w w:val="109"/>
        </w:rPr>
        <w:t> </w:t>
      </w:r>
      <w:r>
        <w:rPr>
          <w:color w:val="231F20"/>
          <w:w w:val="105"/>
        </w:rPr>
        <w:t>Ese excedente de capital busca la valorización en el sector financiero o</w:t>
      </w:r>
      <w:r>
        <w:rPr>
          <w:color w:val="231F20"/>
          <w:w w:val="112"/>
        </w:rPr>
        <w:t> </w:t>
      </w:r>
      <w:r>
        <w:rPr>
          <w:color w:val="231F20"/>
          <w:w w:val="105"/>
        </w:rPr>
        <w:t>en el </w:t>
      </w:r>
      <w:r>
        <w:rPr>
          <w:color w:val="231F20"/>
          <w:spacing w:val="-4"/>
          <w:w w:val="105"/>
        </w:rPr>
        <w:t>exterior, </w:t>
      </w:r>
      <w:r>
        <w:rPr>
          <w:color w:val="231F20"/>
          <w:w w:val="105"/>
        </w:rPr>
        <w:t>colocando en crisis la división internacional del trabajo</w:t>
      </w:r>
      <w:r>
        <w:rPr>
          <w:color w:val="231F20"/>
          <w:spacing w:val="-2"/>
          <w:w w:val="110"/>
        </w:rPr>
        <w:t> </w:t>
      </w:r>
      <w:r>
        <w:rPr>
          <w:color w:val="231F20"/>
          <w:w w:val="105"/>
        </w:rPr>
        <w:t>en centros, semiperiferias y periferia, y proporcionando  una ventana</w:t>
      </w:r>
      <w:r>
        <w:rPr>
          <w:color w:val="231F20"/>
          <w:spacing w:val="-2"/>
          <w:w w:val="109"/>
        </w:rPr>
        <w:t> </w:t>
      </w:r>
      <w:r>
        <w:rPr>
          <w:color w:val="231F20"/>
          <w:w w:val="105"/>
        </w:rPr>
        <w:t>de oportunidad a los países periféricos que abastezcan de una fuerza de</w:t>
      </w:r>
      <w:r>
        <w:rPr>
          <w:color w:val="231F20"/>
          <w:spacing w:val="-2"/>
          <w:w w:val="114"/>
        </w:rPr>
        <w:t> </w:t>
      </w:r>
      <w:r>
        <w:rPr>
          <w:color w:val="231F20"/>
          <w:w w:val="105"/>
        </w:rPr>
        <w:t>trabajo con calidad similar y más barata que la de los países centrales.</w:t>
      </w:r>
      <w:r>
        <w:rPr>
          <w:color w:val="231F20"/>
          <w:spacing w:val="-2"/>
          <w:w w:val="109"/>
        </w:rPr>
        <w:t> </w:t>
      </w:r>
      <w:r>
        <w:rPr>
          <w:color w:val="231F20"/>
          <w:w w:val="105"/>
        </w:rPr>
        <w:t>La crisis de hegemonía de los Estados Unidos se combina con esas</w:t>
      </w:r>
      <w:r>
        <w:rPr>
          <w:color w:val="231F20"/>
          <w:w w:val="102"/>
        </w:rPr>
        <w:t> </w:t>
      </w:r>
      <w:r>
        <w:rPr>
          <w:color w:val="231F20"/>
          <w:w w:val="105"/>
        </w:rPr>
        <w:t>necesidades de la fase ascensional de este kondratiev, ofreciéndoles</w:t>
      </w:r>
      <w:r>
        <w:rPr>
          <w:color w:val="231F20"/>
          <w:w w:val="109"/>
        </w:rPr>
        <w:t> </w:t>
      </w:r>
      <w:r>
        <w:rPr>
          <w:color w:val="231F20"/>
          <w:w w:val="105"/>
        </w:rPr>
        <w:t>procesos de valorización auxiliares. La sobrevalorización del</w:t>
      </w:r>
      <w:r>
        <w:rPr>
          <w:color w:val="231F20"/>
          <w:spacing w:val="50"/>
          <w:w w:val="105"/>
        </w:rPr>
        <w:t> </w:t>
      </w:r>
      <w:r>
        <w:rPr>
          <w:color w:val="231F20"/>
          <w:spacing w:val="-3"/>
          <w:w w:val="105"/>
        </w:rPr>
        <w:t>dólar,</w:t>
      </w:r>
      <w:r>
        <w:rPr>
          <w:color w:val="231F20"/>
          <w:w w:val="104"/>
        </w:rPr>
        <w:t> </w:t>
      </w:r>
      <w:r>
        <w:rPr>
          <w:color w:val="231F20"/>
          <w:w w:val="105"/>
        </w:rPr>
        <w:t>que impulsa los déficits comerciales y la deuda pública estaduni-</w:t>
      </w:r>
      <w:r>
        <w:rPr>
          <w:color w:val="231F20"/>
          <w:w w:val="72"/>
        </w:rPr>
        <w:t> </w:t>
      </w:r>
      <w:r>
        <w:rPr>
          <w:color w:val="231F20"/>
          <w:w w:val="105"/>
        </w:rPr>
        <w:t>denses son sus principales instrumentos. El dólar sobrevalorado y la</w:t>
      </w:r>
      <w:r>
        <w:rPr>
          <w:color w:val="231F20"/>
          <w:w w:val="105"/>
        </w:rPr>
        <w:t> </w:t>
      </w:r>
      <w:r>
        <w:rPr>
          <w:color w:val="231F20"/>
          <w:w w:val="105"/>
        </w:rPr>
        <w:t>deuda pública han sido utilizados, desde los años ochenta, en mayor</w:t>
      </w:r>
      <w:r>
        <w:rPr>
          <w:color w:val="231F20"/>
          <w:w w:val="106"/>
        </w:rPr>
        <w:t> </w:t>
      </w:r>
      <w:r>
        <w:rPr>
          <w:color w:val="231F20"/>
          <w:w w:val="105"/>
        </w:rPr>
        <w:t>o menor grado, por los gobiernos estadunidenses como recursos de</w:t>
      </w:r>
      <w:r>
        <w:rPr>
          <w:color w:val="231F20"/>
          <w:w w:val="114"/>
        </w:rPr>
        <w:t> </w:t>
      </w:r>
      <w:r>
        <w:rPr>
          <w:color w:val="231F20"/>
          <w:w w:val="105"/>
        </w:rPr>
        <w:t>empoderamiento económico de su burguesía y de atracción de capi-</w:t>
      </w:r>
      <w:r>
        <w:rPr>
          <w:color w:val="231F20"/>
          <w:w w:val="72"/>
        </w:rPr>
        <w:t> </w:t>
      </w:r>
      <w:r>
        <w:rPr>
          <w:color w:val="231F20"/>
          <w:w w:val="105"/>
        </w:rPr>
        <w:t>tales, ante la pérdida de competitividad de Estados Unidos frente a</w:t>
      </w:r>
      <w:r>
        <w:rPr>
          <w:color w:val="231F20"/>
          <w:w w:val="108"/>
        </w:rPr>
        <w:t> </w:t>
      </w:r>
      <w:r>
        <w:rPr>
          <w:color w:val="231F20"/>
          <w:w w:val="105"/>
        </w:rPr>
        <w:t>la economía mundial, en particular para el Este Asiático. Sin embar-</w:t>
      </w:r>
      <w:r>
        <w:rPr>
          <w:color w:val="231F20"/>
          <w:w w:val="72"/>
        </w:rPr>
        <w:t> </w:t>
      </w:r>
      <w:r>
        <w:rPr>
          <w:color w:val="231F20"/>
          <w:w w:val="105"/>
        </w:rPr>
        <w:t>go, estos instrumentos son limitados: fortalecen provisionalmente al</w:t>
      </w:r>
      <w:r>
        <w:rPr>
          <w:color w:val="231F20"/>
          <w:w w:val="105"/>
        </w:rPr>
        <w:t> </w:t>
      </w:r>
      <w:r>
        <w:rPr>
          <w:color w:val="231F20"/>
          <w:w w:val="105"/>
        </w:rPr>
        <w:t>poder financiero  estadunidense,  pero  impulsan  deudas  y  debilitan</w:t>
      </w:r>
      <w:r>
        <w:rPr>
          <w:color w:val="231F20"/>
          <w:w w:val="110"/>
        </w:rPr>
        <w:t> </w:t>
      </w:r>
      <w:r>
        <w:rPr>
          <w:color w:val="231F20"/>
          <w:w w:val="105"/>
        </w:rPr>
        <w:t>su sector productivo. La sobrevaloración del dólar eleva los precios</w:t>
      </w:r>
      <w:r>
        <w:rPr>
          <w:color w:val="231F20"/>
          <w:w w:val="108"/>
        </w:rPr>
        <w:t> </w:t>
      </w:r>
      <w:r>
        <w:rPr>
          <w:color w:val="231F20"/>
          <w:w w:val="105"/>
        </w:rPr>
        <w:t>de exportación en moneda extranjera para las diferentes economías</w:t>
      </w:r>
      <w:r>
        <w:rPr>
          <w:color w:val="231F20"/>
          <w:w w:val="109"/>
        </w:rPr>
        <w:t> </w:t>
      </w:r>
      <w:r>
        <w:rPr>
          <w:color w:val="231F20"/>
          <w:w w:val="105"/>
        </w:rPr>
        <w:t>nacionales y favorece la sustentación mundial de la plusvalía extraor-</w:t>
      </w:r>
      <w:r>
        <w:rPr>
          <w:color w:val="231F20"/>
          <w:w w:val="72"/>
        </w:rPr>
        <w:t> </w:t>
      </w:r>
      <w:r>
        <w:rPr>
          <w:color w:val="231F20"/>
          <w:w w:val="105"/>
        </w:rPr>
        <w:t>dinaria, impulsando la migración de las inversiones de las empresas</w:t>
      </w:r>
      <w:r>
        <w:rPr>
          <w:color w:val="231F20"/>
          <w:w w:val="108"/>
        </w:rPr>
        <w:t> </w:t>
      </w:r>
      <w:r>
        <w:rPr>
          <w:color w:val="231F20"/>
          <w:w w:val="105"/>
        </w:rPr>
        <w:t>estadunidenses hacia otras regiones, que pueden pagar la fuerza de</w:t>
      </w:r>
      <w:r>
        <w:rPr>
          <w:color w:val="231F20"/>
          <w:w w:val="114"/>
        </w:rPr>
        <w:t> </w:t>
      </w:r>
      <w:r>
        <w:rPr>
          <w:color w:val="231F20"/>
          <w:w w:val="105"/>
        </w:rPr>
        <w:t>trabajo en moneda local y realizar el valor de la producción en </w:t>
      </w:r>
      <w:r>
        <w:rPr>
          <w:color w:val="231F20"/>
          <w:spacing w:val="-3"/>
          <w:w w:val="105"/>
        </w:rPr>
        <w:t>dólar.</w:t>
      </w:r>
      <w:r>
        <w:rPr>
          <w:color w:val="231F20"/>
          <w:w w:val="104"/>
        </w:rPr>
        <w:t> </w:t>
      </w:r>
      <w:r>
        <w:rPr>
          <w:color w:val="231F20"/>
          <w:w w:val="105"/>
        </w:rPr>
        <w:t>A su vez, la deuda pública funciona como un instrumento de creación</w:t>
      </w:r>
      <w:r>
        <w:rPr>
          <w:color w:val="231F20"/>
          <w:w w:val="110"/>
        </w:rPr>
        <w:t> </w:t>
      </w:r>
      <w:r>
        <w:rPr>
          <w:color w:val="231F20"/>
          <w:w w:val="105"/>
        </w:rPr>
        <w:t>de capital ficticio al absorber y valorizar el capital global excedente</w:t>
      </w:r>
      <w:r>
        <w:rPr>
          <w:color w:val="231F20"/>
          <w:w w:val="112"/>
        </w:rPr>
        <w:t> </w:t>
      </w:r>
      <w:r>
        <w:rPr>
          <w:color w:val="231F20"/>
          <w:w w:val="105"/>
        </w:rPr>
        <w:t>que  no  encuentra  los  medios  suficientes  para  hacerlo  en  el  sector</w:t>
      </w:r>
    </w:p>
    <w:p>
      <w:pPr>
        <w:pStyle w:val="BodyText"/>
        <w:ind w:left="100" w:right="25"/>
      </w:pPr>
      <w:r>
        <w:rPr>
          <w:color w:val="231F20"/>
          <w:w w:val="110"/>
        </w:rPr>
        <w:t>real de la economía.</w:t>
      </w:r>
    </w:p>
    <w:p>
      <w:pPr>
        <w:pStyle w:val="BodyText"/>
        <w:spacing w:line="261" w:lineRule="auto" w:before="20"/>
        <w:ind w:left="100" w:right="119" w:firstLine="240"/>
        <w:jc w:val="both"/>
      </w:pPr>
      <w:r>
        <w:rPr>
          <w:color w:val="231F20"/>
          <w:w w:val="110"/>
        </w:rPr>
        <w:t>Entre tanto, las tasas de intereses, durante la fase expansiva del kondratiev, tienden a nivelarse por debajo del crecimiento de la</w:t>
      </w:r>
      <w:r>
        <w:rPr>
          <w:color w:val="231F20"/>
          <w:spacing w:val="-22"/>
          <w:w w:val="110"/>
        </w:rPr>
        <w:t> </w:t>
      </w:r>
      <w:r>
        <w:rPr>
          <w:color w:val="231F20"/>
          <w:w w:val="110"/>
        </w:rPr>
        <w:t>eco- nomía. La deuda pública, tras el pico de 1979-1994, cuando  </w:t>
      </w:r>
      <w:r>
        <w:rPr>
          <w:color w:val="231F20"/>
          <w:spacing w:val="4"/>
          <w:w w:val="110"/>
        </w:rPr>
        <w:t> </w:t>
      </w:r>
      <w:r>
        <w:rPr>
          <w:color w:val="231F20"/>
          <w:w w:val="110"/>
        </w:rPr>
        <w:t>brincó</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de 33% para 66.7% del pib, se estabilizó y bajó suavemente para 58% durante el gobierno demócrata de Bill Clinton, en 2000. En el gobierno de Bush, la deuda pública recuperó los niveles de media- dos de los años noventa, alcanzando 65.5% del pib, impulsada por el aumento de los gastos militares. Sin embargo, esta elevación fue insuficiente para atender a la demanda por</w:t>
      </w:r>
      <w:r>
        <w:rPr>
          <w:color w:val="231F20"/>
          <w:spacing w:val="19"/>
          <w:w w:val="110"/>
        </w:rPr>
        <w:t> </w:t>
      </w:r>
      <w:r>
        <w:rPr>
          <w:color w:val="231F20"/>
          <w:w w:val="110"/>
        </w:rPr>
        <w:t>ganancia</w:t>
      </w:r>
      <w:r>
        <w:rPr>
          <w:color w:val="231F20"/>
          <w:spacing w:val="18"/>
          <w:w w:val="110"/>
        </w:rPr>
        <w:t> </w:t>
      </w:r>
      <w:r>
        <w:rPr>
          <w:color w:val="231F20"/>
          <w:w w:val="110"/>
        </w:rPr>
        <w:t>extraordinaria</w:t>
      </w:r>
      <w:r>
        <w:rPr>
          <w:color w:val="231F20"/>
          <w:w w:val="111"/>
        </w:rPr>
        <w:t> </w:t>
      </w:r>
      <w:r>
        <w:rPr>
          <w:color w:val="231F20"/>
          <w:w w:val="110"/>
        </w:rPr>
        <w:t>generada por el dinamismo de la </w:t>
      </w:r>
      <w:r>
        <w:rPr>
          <w:color w:val="231F20"/>
          <w:spacing w:val="36"/>
          <w:w w:val="110"/>
        </w:rPr>
        <w:t> </w:t>
      </w:r>
      <w:r>
        <w:rPr>
          <w:color w:val="231F20"/>
          <w:w w:val="110"/>
        </w:rPr>
        <w:t>economía.</w:t>
      </w:r>
    </w:p>
    <w:p>
      <w:pPr>
        <w:pStyle w:val="BodyText"/>
        <w:spacing w:line="261" w:lineRule="auto"/>
        <w:ind w:left="100" w:right="117" w:firstLine="240"/>
        <w:jc w:val="both"/>
      </w:pPr>
      <w:r>
        <w:rPr>
          <w:color w:val="231F20"/>
          <w:w w:val="110"/>
        </w:rPr>
        <w:t>Durante</w:t>
      </w:r>
      <w:r>
        <w:rPr>
          <w:color w:val="231F20"/>
          <w:spacing w:val="-11"/>
          <w:w w:val="110"/>
        </w:rPr>
        <w:t> </w:t>
      </w:r>
      <w:r>
        <w:rPr>
          <w:color w:val="231F20"/>
          <w:w w:val="110"/>
        </w:rPr>
        <w:t>la</w:t>
      </w:r>
      <w:r>
        <w:rPr>
          <w:color w:val="231F20"/>
          <w:spacing w:val="-11"/>
          <w:w w:val="110"/>
        </w:rPr>
        <w:t> </w:t>
      </w:r>
      <w:r>
        <w:rPr>
          <w:color w:val="231F20"/>
          <w:w w:val="110"/>
        </w:rPr>
        <w:t>fase</w:t>
      </w:r>
      <w:r>
        <w:rPr>
          <w:color w:val="231F20"/>
          <w:spacing w:val="-11"/>
          <w:w w:val="110"/>
        </w:rPr>
        <w:t> </w:t>
      </w:r>
      <w:r>
        <w:rPr>
          <w:color w:val="231F20"/>
          <w:w w:val="110"/>
        </w:rPr>
        <w:t>B</w:t>
      </w:r>
      <w:r>
        <w:rPr>
          <w:color w:val="231F20"/>
          <w:spacing w:val="-11"/>
          <w:w w:val="110"/>
        </w:rPr>
        <w:t> </w:t>
      </w:r>
      <w:r>
        <w:rPr>
          <w:color w:val="231F20"/>
          <w:w w:val="110"/>
        </w:rPr>
        <w:t>del</w:t>
      </w:r>
      <w:r>
        <w:rPr>
          <w:color w:val="231F20"/>
          <w:spacing w:val="-11"/>
          <w:w w:val="110"/>
        </w:rPr>
        <w:t> </w:t>
      </w:r>
      <w:r>
        <w:rPr>
          <w:color w:val="231F20"/>
          <w:w w:val="110"/>
        </w:rPr>
        <w:t>kondratiev</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posguerra,</w:t>
      </w:r>
      <w:r>
        <w:rPr>
          <w:color w:val="231F20"/>
          <w:spacing w:val="-11"/>
          <w:w w:val="110"/>
        </w:rPr>
        <w:t> </w:t>
      </w:r>
      <w:r>
        <w:rPr>
          <w:color w:val="231F20"/>
          <w:w w:val="110"/>
        </w:rPr>
        <w:t>el</w:t>
      </w:r>
      <w:r>
        <w:rPr>
          <w:color w:val="231F20"/>
          <w:spacing w:val="-11"/>
          <w:w w:val="110"/>
        </w:rPr>
        <w:t> </w:t>
      </w:r>
      <w:r>
        <w:rPr>
          <w:color w:val="231F20"/>
          <w:w w:val="110"/>
        </w:rPr>
        <w:t>Estado</w:t>
      </w:r>
      <w:r>
        <w:rPr>
          <w:color w:val="231F20"/>
          <w:spacing w:val="-11"/>
          <w:w w:val="110"/>
        </w:rPr>
        <w:t> </w:t>
      </w:r>
      <w:r>
        <w:rPr>
          <w:color w:val="231F20"/>
          <w:w w:val="110"/>
        </w:rPr>
        <w:t>organi- zó,</w:t>
      </w:r>
      <w:r>
        <w:rPr>
          <w:color w:val="231F20"/>
          <w:spacing w:val="-18"/>
          <w:w w:val="110"/>
        </w:rPr>
        <w:t> </w:t>
      </w:r>
      <w:r>
        <w:rPr>
          <w:color w:val="231F20"/>
          <w:w w:val="110"/>
        </w:rPr>
        <w:t>a</w:t>
      </w:r>
      <w:r>
        <w:rPr>
          <w:color w:val="231F20"/>
          <w:spacing w:val="-18"/>
          <w:w w:val="110"/>
        </w:rPr>
        <w:t> </w:t>
      </w:r>
      <w:r>
        <w:rPr>
          <w:color w:val="231F20"/>
          <w:w w:val="110"/>
        </w:rPr>
        <w:t>través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deuda</w:t>
      </w:r>
      <w:r>
        <w:rPr>
          <w:color w:val="231F20"/>
          <w:spacing w:val="-18"/>
          <w:w w:val="110"/>
        </w:rPr>
        <w:t> </w:t>
      </w:r>
      <w:r>
        <w:rPr>
          <w:color w:val="231F20"/>
          <w:w w:val="110"/>
        </w:rPr>
        <w:t>pública,</w:t>
      </w:r>
      <w:r>
        <w:rPr>
          <w:color w:val="231F20"/>
          <w:spacing w:val="-18"/>
          <w:w w:val="110"/>
        </w:rPr>
        <w:t> </w:t>
      </w:r>
      <w:r>
        <w:rPr>
          <w:color w:val="231F20"/>
          <w:w w:val="110"/>
        </w:rPr>
        <w:t>el</w:t>
      </w:r>
      <w:r>
        <w:rPr>
          <w:color w:val="231F20"/>
          <w:spacing w:val="-18"/>
          <w:w w:val="110"/>
        </w:rPr>
        <w:t> </w:t>
      </w:r>
      <w:r>
        <w:rPr>
          <w:color w:val="231F20"/>
          <w:w w:val="110"/>
        </w:rPr>
        <w:t>mercado</w:t>
      </w:r>
      <w:r>
        <w:rPr>
          <w:color w:val="231F20"/>
          <w:spacing w:val="-18"/>
          <w:w w:val="110"/>
        </w:rPr>
        <w:t> </w:t>
      </w:r>
      <w:r>
        <w:rPr>
          <w:color w:val="231F20"/>
          <w:w w:val="110"/>
        </w:rPr>
        <w:t>de</w:t>
      </w:r>
      <w:r>
        <w:rPr>
          <w:color w:val="231F20"/>
          <w:spacing w:val="-18"/>
          <w:w w:val="110"/>
        </w:rPr>
        <w:t> </w:t>
      </w:r>
      <w:r>
        <w:rPr>
          <w:color w:val="231F20"/>
          <w:w w:val="110"/>
        </w:rPr>
        <w:t>valorización</w:t>
      </w:r>
      <w:r>
        <w:rPr>
          <w:color w:val="231F20"/>
          <w:spacing w:val="-18"/>
          <w:w w:val="110"/>
        </w:rPr>
        <w:t> </w:t>
      </w:r>
      <w:r>
        <w:rPr>
          <w:color w:val="231F20"/>
          <w:w w:val="110"/>
        </w:rPr>
        <w:t>del</w:t>
      </w:r>
      <w:r>
        <w:rPr>
          <w:color w:val="231F20"/>
          <w:spacing w:val="-18"/>
          <w:w w:val="110"/>
        </w:rPr>
        <w:t> </w:t>
      </w:r>
      <w:r>
        <w:rPr>
          <w:color w:val="231F20"/>
          <w:w w:val="110"/>
        </w:rPr>
        <w:t>capital ficticio. Sin embargo, en el período que se abrió a partir de 1994, no lo pudo hacer de la misma forma. Le correspondió al sector privado organizar esta tarea a través de la valorización de activos</w:t>
      </w:r>
      <w:r>
        <w:rPr>
          <w:color w:val="231F20"/>
          <w:spacing w:val="-35"/>
          <w:w w:val="110"/>
        </w:rPr>
        <w:t> </w:t>
      </w:r>
      <w:r>
        <w:rPr>
          <w:color w:val="231F20"/>
          <w:w w:val="110"/>
        </w:rPr>
        <w:t>financieros vinculados</w:t>
      </w:r>
      <w:r>
        <w:rPr>
          <w:color w:val="231F20"/>
          <w:spacing w:val="-21"/>
          <w:w w:val="110"/>
        </w:rPr>
        <w:t> </w:t>
      </w:r>
      <w:r>
        <w:rPr>
          <w:color w:val="231F20"/>
          <w:w w:val="110"/>
        </w:rPr>
        <w:t>al</w:t>
      </w:r>
      <w:r>
        <w:rPr>
          <w:color w:val="231F20"/>
          <w:spacing w:val="-21"/>
          <w:w w:val="110"/>
        </w:rPr>
        <w:t> </w:t>
      </w:r>
      <w:r>
        <w:rPr>
          <w:color w:val="231F20"/>
          <w:w w:val="110"/>
        </w:rPr>
        <w:t>sector</w:t>
      </w:r>
      <w:r>
        <w:rPr>
          <w:color w:val="231F20"/>
          <w:spacing w:val="-21"/>
          <w:w w:val="110"/>
        </w:rPr>
        <w:t> </w:t>
      </w:r>
      <w:r>
        <w:rPr>
          <w:color w:val="231F20"/>
          <w:w w:val="110"/>
        </w:rPr>
        <w:t>real</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economía:</w:t>
      </w:r>
      <w:r>
        <w:rPr>
          <w:color w:val="231F20"/>
          <w:spacing w:val="-21"/>
          <w:w w:val="110"/>
        </w:rPr>
        <w:t> </w:t>
      </w:r>
      <w:r>
        <w:rPr>
          <w:color w:val="231F20"/>
          <w:w w:val="110"/>
        </w:rPr>
        <w:t>entre</w:t>
      </w:r>
      <w:r>
        <w:rPr>
          <w:color w:val="231F20"/>
          <w:spacing w:val="-21"/>
          <w:w w:val="110"/>
        </w:rPr>
        <w:t> </w:t>
      </w:r>
      <w:r>
        <w:rPr>
          <w:color w:val="231F20"/>
          <w:w w:val="110"/>
        </w:rPr>
        <w:t>1994-2000,</w:t>
      </w:r>
      <w:r>
        <w:rPr>
          <w:color w:val="231F20"/>
          <w:spacing w:val="-21"/>
          <w:w w:val="110"/>
        </w:rPr>
        <w:t> </w:t>
      </w:r>
      <w:r>
        <w:rPr>
          <w:color w:val="231F20"/>
          <w:w w:val="110"/>
        </w:rPr>
        <w:t>este</w:t>
      </w:r>
      <w:r>
        <w:rPr>
          <w:color w:val="231F20"/>
          <w:spacing w:val="-21"/>
          <w:w w:val="110"/>
        </w:rPr>
        <w:t> </w:t>
      </w:r>
      <w:r>
        <w:rPr>
          <w:color w:val="231F20"/>
          <w:w w:val="110"/>
        </w:rPr>
        <w:t>merca- do se concentró en las acciones de la bolsa de valores estadunidense del segmento de alta tecnología, y entre 2005-2007, en los títulos vinculados</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hipotecas</w:t>
      </w:r>
      <w:r>
        <w:rPr>
          <w:color w:val="231F20"/>
          <w:spacing w:val="-15"/>
          <w:w w:val="110"/>
        </w:rPr>
        <w:t> </w:t>
      </w:r>
      <w:r>
        <w:rPr>
          <w:color w:val="231F20"/>
          <w:w w:val="110"/>
        </w:rPr>
        <w:t>inmobiliarias.</w:t>
      </w:r>
      <w:r>
        <w:rPr>
          <w:color w:val="231F20"/>
          <w:spacing w:val="-15"/>
          <w:w w:val="110"/>
        </w:rPr>
        <w:t> </w:t>
      </w:r>
      <w:r>
        <w:rPr>
          <w:color w:val="231F20"/>
          <w:w w:val="110"/>
        </w:rPr>
        <w:t>Pero,</w:t>
      </w:r>
      <w:r>
        <w:rPr>
          <w:color w:val="231F20"/>
          <w:spacing w:val="-15"/>
          <w:w w:val="110"/>
        </w:rPr>
        <w:t> </w:t>
      </w:r>
      <w:r>
        <w:rPr>
          <w:color w:val="231F20"/>
          <w:w w:val="110"/>
        </w:rPr>
        <w:t>la</w:t>
      </w:r>
      <w:r>
        <w:rPr>
          <w:color w:val="231F20"/>
          <w:spacing w:val="-15"/>
          <w:w w:val="110"/>
        </w:rPr>
        <w:t> </w:t>
      </w:r>
      <w:r>
        <w:rPr>
          <w:color w:val="231F20"/>
          <w:w w:val="110"/>
        </w:rPr>
        <w:t>valorización</w:t>
      </w:r>
      <w:r>
        <w:rPr>
          <w:color w:val="231F20"/>
          <w:spacing w:val="-15"/>
          <w:w w:val="110"/>
        </w:rPr>
        <w:t> </w:t>
      </w:r>
      <w:r>
        <w:rPr>
          <w:color w:val="231F20"/>
          <w:w w:val="110"/>
        </w:rPr>
        <w:t>de</w:t>
      </w:r>
      <w:r>
        <w:rPr>
          <w:color w:val="231F20"/>
          <w:spacing w:val="-15"/>
          <w:w w:val="110"/>
        </w:rPr>
        <w:t> </w:t>
      </w:r>
      <w:r>
        <w:rPr>
          <w:color w:val="231F20"/>
          <w:w w:val="110"/>
        </w:rPr>
        <w:t>esos activos chocó con los límites de la demanda de la economía una vez que se articulaba, en última instancia, al sector real de la economía. Ésta</w:t>
      </w:r>
      <w:r>
        <w:rPr>
          <w:color w:val="231F20"/>
          <w:spacing w:val="-8"/>
          <w:w w:val="110"/>
        </w:rPr>
        <w:t> </w:t>
      </w:r>
      <w:r>
        <w:rPr>
          <w:color w:val="231F20"/>
          <w:w w:val="110"/>
        </w:rPr>
        <w:t>no</w:t>
      </w:r>
      <w:r>
        <w:rPr>
          <w:color w:val="231F20"/>
          <w:spacing w:val="-8"/>
          <w:w w:val="110"/>
        </w:rPr>
        <w:t> </w:t>
      </w:r>
      <w:r>
        <w:rPr>
          <w:color w:val="231F20"/>
          <w:w w:val="110"/>
        </w:rPr>
        <w:t>sustentó</w:t>
      </w:r>
      <w:r>
        <w:rPr>
          <w:color w:val="231F20"/>
          <w:spacing w:val="-8"/>
          <w:w w:val="110"/>
        </w:rPr>
        <w:t> </w:t>
      </w:r>
      <w:r>
        <w:rPr>
          <w:color w:val="231F20"/>
          <w:w w:val="110"/>
        </w:rPr>
        <w:t>la</w:t>
      </w:r>
      <w:r>
        <w:rPr>
          <w:color w:val="231F20"/>
          <w:spacing w:val="-8"/>
          <w:w w:val="110"/>
        </w:rPr>
        <w:t> </w:t>
      </w:r>
      <w:r>
        <w:rPr>
          <w:color w:val="231F20"/>
          <w:w w:val="110"/>
        </w:rPr>
        <w:t>expansión</w:t>
      </w:r>
      <w:r>
        <w:rPr>
          <w:color w:val="231F20"/>
          <w:spacing w:val="-8"/>
          <w:w w:val="110"/>
        </w:rPr>
        <w:t> </w:t>
      </w:r>
      <w:r>
        <w:rPr>
          <w:color w:val="231F20"/>
          <w:w w:val="110"/>
        </w:rPr>
        <w:t>y</w:t>
      </w:r>
      <w:r>
        <w:rPr>
          <w:color w:val="231F20"/>
          <w:spacing w:val="-8"/>
          <w:w w:val="110"/>
        </w:rPr>
        <w:t> </w:t>
      </w:r>
      <w:r>
        <w:rPr>
          <w:color w:val="231F20"/>
          <w:w w:val="110"/>
        </w:rPr>
        <w:t>los</w:t>
      </w:r>
      <w:r>
        <w:rPr>
          <w:color w:val="231F20"/>
          <w:spacing w:val="-8"/>
          <w:w w:val="110"/>
        </w:rPr>
        <w:t> </w:t>
      </w:r>
      <w:r>
        <w:rPr>
          <w:color w:val="231F20"/>
          <w:w w:val="110"/>
        </w:rPr>
        <w:t>precios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mercancías</w:t>
      </w:r>
      <w:r>
        <w:rPr>
          <w:color w:val="231F20"/>
          <w:spacing w:val="-8"/>
          <w:w w:val="110"/>
        </w:rPr>
        <w:t> </w:t>
      </w:r>
      <w:r>
        <w:rPr>
          <w:color w:val="231F20"/>
          <w:w w:val="110"/>
        </w:rPr>
        <w:t>necesa- rios</w:t>
      </w:r>
      <w:r>
        <w:rPr>
          <w:color w:val="231F20"/>
          <w:spacing w:val="-18"/>
          <w:w w:val="110"/>
        </w:rPr>
        <w:t> </w:t>
      </w:r>
      <w:r>
        <w:rPr>
          <w:color w:val="231F20"/>
          <w:w w:val="110"/>
        </w:rPr>
        <w:t>a</w:t>
      </w:r>
      <w:r>
        <w:rPr>
          <w:color w:val="231F20"/>
          <w:spacing w:val="-18"/>
          <w:w w:val="110"/>
        </w:rPr>
        <w:t> </w:t>
      </w:r>
      <w:r>
        <w:rPr>
          <w:color w:val="231F20"/>
          <w:w w:val="110"/>
        </w:rPr>
        <w:t>las</w:t>
      </w:r>
      <w:r>
        <w:rPr>
          <w:color w:val="231F20"/>
          <w:spacing w:val="-18"/>
          <w:w w:val="110"/>
        </w:rPr>
        <w:t> </w:t>
      </w:r>
      <w:r>
        <w:rPr>
          <w:color w:val="231F20"/>
          <w:w w:val="110"/>
        </w:rPr>
        <w:t>expectativas</w:t>
      </w:r>
      <w:r>
        <w:rPr>
          <w:color w:val="231F20"/>
          <w:spacing w:val="-18"/>
          <w:w w:val="110"/>
        </w:rPr>
        <w:t> </w:t>
      </w:r>
      <w:r>
        <w:rPr>
          <w:color w:val="231F20"/>
          <w:w w:val="110"/>
        </w:rPr>
        <w:t>de</w:t>
      </w:r>
      <w:r>
        <w:rPr>
          <w:color w:val="231F20"/>
          <w:spacing w:val="-18"/>
          <w:w w:val="110"/>
        </w:rPr>
        <w:t> </w:t>
      </w:r>
      <w:r>
        <w:rPr>
          <w:color w:val="231F20"/>
          <w:w w:val="110"/>
        </w:rPr>
        <w:t>ganancias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inversiones</w:t>
      </w:r>
      <w:r>
        <w:rPr>
          <w:color w:val="231F20"/>
          <w:spacing w:val="-18"/>
          <w:w w:val="110"/>
        </w:rPr>
        <w:t> </w:t>
      </w:r>
      <w:r>
        <w:rPr>
          <w:color w:val="231F20"/>
          <w:w w:val="110"/>
        </w:rPr>
        <w:t>financieras.</w:t>
      </w:r>
      <w:r>
        <w:rPr>
          <w:color w:val="231F20"/>
          <w:w w:val="110"/>
          <w:position w:val="6"/>
          <w:sz w:val="13"/>
        </w:rPr>
        <w:t>3</w:t>
      </w:r>
      <w:r>
        <w:rPr>
          <w:color w:val="231F20"/>
          <w:spacing w:val="1"/>
          <w:w w:val="110"/>
          <w:position w:val="6"/>
          <w:sz w:val="13"/>
        </w:rPr>
        <w:t> </w:t>
      </w:r>
      <w:r>
        <w:rPr>
          <w:color w:val="231F20"/>
          <w:w w:val="110"/>
        </w:rPr>
        <w:t>En 2001-2002, el gobierno estadunidense bajó los intereses y redujo</w:t>
      </w:r>
      <w:r>
        <w:rPr>
          <w:color w:val="231F20"/>
          <w:spacing w:val="-18"/>
          <w:w w:val="110"/>
        </w:rPr>
        <w:t> </w:t>
      </w:r>
      <w:r>
        <w:rPr>
          <w:color w:val="231F20"/>
          <w:w w:val="110"/>
        </w:rPr>
        <w:t>los impuestos sobre las corporaciones como una manera de estimular la recuperación económica. Esas medidas calentaron la economía pero crearon la trampa de una enorme sobreacumulación de capital que resultó en la crisis iniciada a mediados de 2007 y llevó a la drástica intervención del Estado para sustentar, en gran parte, los valores de los activos</w:t>
      </w:r>
      <w:r>
        <w:rPr>
          <w:color w:val="231F20"/>
          <w:spacing w:val="-42"/>
          <w:w w:val="110"/>
        </w:rPr>
        <w:t> </w:t>
      </w:r>
      <w:r>
        <w:rPr>
          <w:color w:val="231F20"/>
          <w:w w:val="110"/>
        </w:rPr>
        <w:t>pobres.</w:t>
      </w:r>
    </w:p>
    <w:p>
      <w:pPr>
        <w:pStyle w:val="BodyText"/>
        <w:spacing w:line="261" w:lineRule="auto"/>
        <w:ind w:left="100" w:right="119" w:firstLine="240"/>
        <w:jc w:val="both"/>
      </w:pPr>
      <w:r>
        <w:rPr>
          <w:color w:val="231F20"/>
          <w:w w:val="110"/>
        </w:rPr>
        <w:t>En este nuevo periodo de largo crecimiento, el Estado</w:t>
      </w:r>
      <w:r>
        <w:rPr>
          <w:color w:val="231F20"/>
          <w:spacing w:val="32"/>
          <w:w w:val="110"/>
        </w:rPr>
        <w:t> </w:t>
      </w:r>
      <w:r>
        <w:rPr>
          <w:color w:val="231F20"/>
          <w:w w:val="110"/>
        </w:rPr>
        <w:t>eleva</w:t>
      </w:r>
      <w:r>
        <w:rPr>
          <w:color w:val="231F20"/>
          <w:spacing w:val="15"/>
          <w:w w:val="110"/>
        </w:rPr>
        <w:t> </w:t>
      </w:r>
      <w:r>
        <w:rPr>
          <w:color w:val="231F20"/>
          <w:w w:val="110"/>
        </w:rPr>
        <w:t>sus</w:t>
      </w:r>
      <w:r>
        <w:rPr>
          <w:color w:val="231F20"/>
          <w:w w:val="101"/>
        </w:rPr>
        <w:t> </w:t>
      </w:r>
      <w:r>
        <w:rPr>
          <w:color w:val="231F20"/>
          <w:w w:val="110"/>
        </w:rPr>
        <w:t>niveles de intervención para, a través del ejercicio del monopolio  de la violencia, transferir recursos del conjunto de la sociedad a    los monopolios, sustentando las expectativas de apropiación</w:t>
      </w:r>
      <w:r>
        <w:rPr>
          <w:color w:val="231F20"/>
          <w:spacing w:val="36"/>
          <w:w w:val="110"/>
        </w:rPr>
        <w:t> </w:t>
      </w:r>
      <w:r>
        <w:rPr>
          <w:color w:val="231F20"/>
          <w:w w:val="110"/>
        </w:rPr>
        <w:t>de</w:t>
      </w:r>
      <w:r>
        <w:rPr>
          <w:color w:val="231F20"/>
          <w:spacing w:val="13"/>
          <w:w w:val="110"/>
        </w:rPr>
        <w:t> </w:t>
      </w:r>
      <w:r>
        <w:rPr>
          <w:color w:val="231F20"/>
          <w:w w:val="110"/>
        </w:rPr>
        <w:t>ga-</w:t>
      </w:r>
      <w:r>
        <w:rPr>
          <w:color w:val="231F20"/>
          <w:w w:val="72"/>
        </w:rPr>
        <w:t> </w:t>
      </w:r>
      <w:r>
        <w:rPr>
          <w:color w:val="231F20"/>
          <w:w w:val="110"/>
        </w:rPr>
        <w:t>nancias extraordinarias por el gran capital, debido a que una parte significativa de éstos ya no puede ser generada por el movimiento específico del capital productivo. Sin embargo, como las   </w:t>
      </w:r>
      <w:r>
        <w:rPr>
          <w:color w:val="231F20"/>
          <w:spacing w:val="27"/>
          <w:w w:val="110"/>
        </w:rPr>
        <w:t> </w:t>
      </w:r>
      <w:r>
        <w:rPr>
          <w:color w:val="231F20"/>
          <w:w w:val="110"/>
        </w:rPr>
        <w:t>políticas</w:t>
      </w:r>
    </w:p>
    <w:p>
      <w:pPr>
        <w:pStyle w:val="BodyText"/>
      </w:pPr>
    </w:p>
    <w:p>
      <w:pPr>
        <w:pStyle w:val="BodyText"/>
        <w:spacing w:before="6"/>
        <w:rPr>
          <w:sz w:val="17"/>
        </w:rPr>
      </w:pPr>
    </w:p>
    <w:p>
      <w:pPr>
        <w:spacing w:line="261" w:lineRule="auto" w:before="0"/>
        <w:ind w:left="100" w:right="119" w:firstLine="240"/>
        <w:jc w:val="both"/>
        <w:rPr>
          <w:sz w:val="16"/>
        </w:rPr>
      </w:pPr>
      <w:r>
        <w:rPr>
          <w:color w:val="231F20"/>
          <w:w w:val="110"/>
          <w:position w:val="5"/>
          <w:sz w:val="10"/>
        </w:rPr>
        <w:t>3 </w:t>
      </w:r>
      <w:r>
        <w:rPr>
          <w:color w:val="231F20"/>
          <w:w w:val="110"/>
          <w:sz w:val="16"/>
        </w:rPr>
        <w:t>La difusión de la sobreexplotación del trabajo a Estados Unidos, elevo drástica- mente el coeficiente de Gini que ascendió de 0.403 para 0.47 entre 1980-2007, man- teniendo los salarios reales en niveles inferiores a los de finales de los años sesenta (Economic Report of The President, 2008).</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públicas se organizan para la sustentación de la tasa de ganancia el proceso se da de forma distinta: las tasas de intereses dejan de ser   el instrumento clave de la deuda pública que se realiza a través de enormes transferencias de los recursos públicos. Éstas buscan, por un lado, amortiguar las contradicciones entre el capital productivo y las</w:t>
      </w:r>
      <w:r>
        <w:rPr>
          <w:color w:val="231F20"/>
          <w:spacing w:val="-11"/>
          <w:w w:val="110"/>
        </w:rPr>
        <w:t> </w:t>
      </w:r>
      <w:r>
        <w:rPr>
          <w:color w:val="231F20"/>
          <w:w w:val="110"/>
        </w:rPr>
        <w:t>inversiones</w:t>
      </w:r>
      <w:r>
        <w:rPr>
          <w:color w:val="231F20"/>
          <w:spacing w:val="-11"/>
          <w:w w:val="110"/>
        </w:rPr>
        <w:t> </w:t>
      </w:r>
      <w:r>
        <w:rPr>
          <w:color w:val="231F20"/>
          <w:w w:val="110"/>
        </w:rPr>
        <w:t>financieras</w:t>
      </w:r>
      <w:r>
        <w:rPr>
          <w:color w:val="231F20"/>
          <w:spacing w:val="-11"/>
          <w:w w:val="110"/>
        </w:rPr>
        <w:t> </w:t>
      </w:r>
      <w:r>
        <w:rPr>
          <w:color w:val="231F20"/>
          <w:w w:val="110"/>
        </w:rPr>
        <w:t>articuladas</w:t>
      </w:r>
      <w:r>
        <w:rPr>
          <w:color w:val="231F20"/>
          <w:spacing w:val="-11"/>
          <w:w w:val="110"/>
        </w:rPr>
        <w:t> </w:t>
      </w:r>
      <w:r>
        <w:rPr>
          <w:color w:val="231F20"/>
          <w:w w:val="110"/>
        </w:rPr>
        <w:t>al</w:t>
      </w:r>
      <w:r>
        <w:rPr>
          <w:color w:val="231F20"/>
          <w:spacing w:val="-11"/>
          <w:w w:val="110"/>
        </w:rPr>
        <w:t> </w:t>
      </w:r>
      <w:r>
        <w:rPr>
          <w:color w:val="231F20"/>
          <w:w w:val="110"/>
        </w:rPr>
        <w:t>mismo,</w:t>
      </w:r>
      <w:r>
        <w:rPr>
          <w:color w:val="231F20"/>
          <w:spacing w:val="-11"/>
          <w:w w:val="110"/>
        </w:rPr>
        <w:t> </w:t>
      </w:r>
      <w:r>
        <w:rPr>
          <w:color w:val="231F20"/>
          <w:spacing w:val="-8"/>
          <w:w w:val="110"/>
        </w:rPr>
        <w:t>y,</w:t>
      </w:r>
      <w:r>
        <w:rPr>
          <w:color w:val="231F20"/>
          <w:spacing w:val="-11"/>
          <w:w w:val="110"/>
        </w:rPr>
        <w:t> </w:t>
      </w:r>
      <w:r>
        <w:rPr>
          <w:color w:val="231F20"/>
          <w:w w:val="110"/>
        </w:rPr>
        <w:t>por</w:t>
      </w:r>
      <w:r>
        <w:rPr>
          <w:color w:val="231F20"/>
          <w:spacing w:val="-11"/>
          <w:w w:val="110"/>
        </w:rPr>
        <w:t> </w:t>
      </w:r>
      <w:r>
        <w:rPr>
          <w:color w:val="231F20"/>
          <w:w w:val="110"/>
        </w:rPr>
        <w:t>el</w:t>
      </w:r>
      <w:r>
        <w:rPr>
          <w:color w:val="231F20"/>
          <w:spacing w:val="-11"/>
          <w:w w:val="110"/>
        </w:rPr>
        <w:t> </w:t>
      </w:r>
      <w:r>
        <w:rPr>
          <w:color w:val="231F20"/>
          <w:w w:val="110"/>
        </w:rPr>
        <w:t>otro,</w:t>
      </w:r>
      <w:r>
        <w:rPr>
          <w:color w:val="231F20"/>
          <w:spacing w:val="-11"/>
          <w:w w:val="110"/>
        </w:rPr>
        <w:t> </w:t>
      </w:r>
      <w:r>
        <w:rPr>
          <w:color w:val="231F20"/>
          <w:w w:val="110"/>
        </w:rPr>
        <w:t>la</w:t>
      </w:r>
      <w:r>
        <w:rPr>
          <w:color w:val="231F20"/>
          <w:spacing w:val="-11"/>
          <w:w w:val="110"/>
        </w:rPr>
        <w:t> </w:t>
      </w:r>
      <w:r>
        <w:rPr>
          <w:color w:val="231F20"/>
          <w:w w:val="110"/>
        </w:rPr>
        <w:t>sus- tentación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ganancia</w:t>
      </w:r>
      <w:r>
        <w:rPr>
          <w:color w:val="231F20"/>
          <w:spacing w:val="-5"/>
          <w:w w:val="110"/>
        </w:rPr>
        <w:t> </w:t>
      </w:r>
      <w:r>
        <w:rPr>
          <w:color w:val="231F20"/>
          <w:w w:val="110"/>
        </w:rPr>
        <w:t>extraordinaria.</w:t>
      </w:r>
      <w:r>
        <w:rPr>
          <w:color w:val="231F20"/>
          <w:spacing w:val="-5"/>
          <w:w w:val="110"/>
        </w:rPr>
        <w:t> </w:t>
      </w:r>
      <w:r>
        <w:rPr>
          <w:color w:val="231F20"/>
          <w:w w:val="110"/>
        </w:rPr>
        <w:t>Ésta</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5"/>
          <w:w w:val="110"/>
        </w:rPr>
        <w:t> </w:t>
      </w:r>
      <w:r>
        <w:rPr>
          <w:color w:val="231F20"/>
          <w:w w:val="110"/>
        </w:rPr>
        <w:t>especificidad</w:t>
      </w:r>
      <w:r>
        <w:rPr>
          <w:color w:val="231F20"/>
          <w:spacing w:val="-5"/>
          <w:w w:val="110"/>
        </w:rPr>
        <w:t> </w:t>
      </w:r>
      <w:r>
        <w:rPr>
          <w:color w:val="231F20"/>
          <w:w w:val="110"/>
        </w:rPr>
        <w:t>de</w:t>
      </w:r>
      <w:r>
        <w:rPr>
          <w:color w:val="231F20"/>
          <w:spacing w:val="-5"/>
          <w:w w:val="110"/>
        </w:rPr>
        <w:t> </w:t>
      </w:r>
      <w:r>
        <w:rPr>
          <w:color w:val="231F20"/>
          <w:w w:val="110"/>
        </w:rPr>
        <w:t>la intervención</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nuevo</w:t>
      </w:r>
      <w:r>
        <w:rPr>
          <w:color w:val="231F20"/>
          <w:spacing w:val="-10"/>
          <w:w w:val="110"/>
        </w:rPr>
        <w:t> </w:t>
      </w:r>
      <w:r>
        <w:rPr>
          <w:color w:val="231F20"/>
          <w:w w:val="110"/>
        </w:rPr>
        <w:t>kondratiev,</w:t>
      </w:r>
      <w:r>
        <w:rPr>
          <w:color w:val="231F20"/>
          <w:spacing w:val="-10"/>
          <w:w w:val="110"/>
        </w:rPr>
        <w:t> </w:t>
      </w:r>
      <w:r>
        <w:rPr>
          <w:color w:val="231F20"/>
          <w:w w:val="110"/>
        </w:rPr>
        <w:t>que</w:t>
      </w:r>
      <w:r>
        <w:rPr>
          <w:color w:val="231F20"/>
          <w:spacing w:val="-10"/>
          <w:w w:val="110"/>
        </w:rPr>
        <w:t> </w:t>
      </w:r>
      <w:r>
        <w:rPr>
          <w:color w:val="231F20"/>
          <w:w w:val="110"/>
        </w:rPr>
        <w:t>vuelve</w:t>
      </w:r>
      <w:r>
        <w:rPr>
          <w:color w:val="231F20"/>
          <w:spacing w:val="-10"/>
          <w:w w:val="110"/>
        </w:rPr>
        <w:t> </w:t>
      </w:r>
      <w:r>
        <w:rPr>
          <w:color w:val="231F20"/>
          <w:w w:val="110"/>
        </w:rPr>
        <w:t>obsoletas las pretensiones del retorno al viejo keynesianismo de pleno empleo en los marcos del capitalismo</w:t>
      </w:r>
      <w:r>
        <w:rPr>
          <w:color w:val="231F20"/>
          <w:spacing w:val="48"/>
          <w:w w:val="110"/>
        </w:rPr>
        <w:t> </w:t>
      </w:r>
      <w:r>
        <w:rPr>
          <w:color w:val="231F20"/>
          <w:w w:val="110"/>
        </w:rPr>
        <w:t>contemporáneo.</w:t>
      </w:r>
    </w:p>
    <w:p>
      <w:pPr>
        <w:pStyle w:val="BodyText"/>
        <w:spacing w:line="261" w:lineRule="auto"/>
        <w:ind w:left="69" w:right="117" w:firstLine="240"/>
        <w:jc w:val="right"/>
        <w:rPr>
          <w:sz w:val="13"/>
        </w:rPr>
      </w:pPr>
      <w:r>
        <w:rPr>
          <w:color w:val="231F20"/>
          <w:w w:val="105"/>
        </w:rPr>
        <w:t>La crisis y las medidas anticíclicas iniciadas al final del gobierno de</w:t>
      </w:r>
      <w:r>
        <w:rPr>
          <w:color w:val="231F20"/>
          <w:w w:val="114"/>
        </w:rPr>
        <w:t> </w:t>
      </w:r>
      <w:r>
        <w:rPr>
          <w:color w:val="231F20"/>
          <w:w w:val="105"/>
        </w:rPr>
        <w:t>Bush hijo implicaron el fuerte desgaste del liderazgo político del neo-</w:t>
      </w:r>
      <w:r>
        <w:rPr>
          <w:color w:val="231F20"/>
          <w:w w:val="72"/>
        </w:rPr>
        <w:t> </w:t>
      </w:r>
      <w:r>
        <w:rPr>
          <w:color w:val="231F20"/>
          <w:w w:val="105"/>
        </w:rPr>
        <w:t>liberalismo, versión contemporánea del péndulo cosmopolita-imperia-</w:t>
      </w:r>
      <w:r>
        <w:rPr>
          <w:color w:val="231F20"/>
          <w:w w:val="72"/>
        </w:rPr>
        <w:t> </w:t>
      </w:r>
      <w:r>
        <w:rPr>
          <w:color w:val="231F20"/>
          <w:w w:val="105"/>
        </w:rPr>
        <w:t>lista en la economía mundial. Al ser realizada de forma concentrada,</w:t>
      </w:r>
      <w:r>
        <w:rPr>
          <w:color w:val="231F20"/>
          <w:w w:val="112"/>
        </w:rPr>
        <w:t> </w:t>
      </w:r>
      <w:r>
        <w:rPr>
          <w:color w:val="231F20"/>
          <w:w w:val="105"/>
        </w:rPr>
        <w:t>a diferencia del periodo Reagan-Bush padre cuando se distribuyó por</w:t>
      </w:r>
      <w:r>
        <w:rPr>
          <w:color w:val="231F20"/>
          <w:w w:val="115"/>
        </w:rPr>
        <w:t> </w:t>
      </w:r>
      <w:r>
        <w:rPr>
          <w:color w:val="231F20"/>
          <w:w w:val="105"/>
        </w:rPr>
        <w:t>más de un decenio, la intervención desnudó los profundos vínculos</w:t>
      </w:r>
      <w:r>
        <w:rPr>
          <w:color w:val="231F20"/>
          <w:w w:val="105"/>
        </w:rPr>
        <w:t> </w:t>
      </w:r>
      <w:r>
        <w:rPr>
          <w:color w:val="231F20"/>
          <w:w w:val="105"/>
        </w:rPr>
        <w:t>de clase del Estado con el gran capital en los centros de la economía</w:t>
      </w:r>
      <w:r>
        <w:rPr>
          <w:color w:val="231F20"/>
          <w:w w:val="111"/>
        </w:rPr>
        <w:t> </w:t>
      </w:r>
      <w:r>
        <w:rPr>
          <w:color w:val="231F20"/>
          <w:w w:val="105"/>
        </w:rPr>
        <w:t>mundial. El resultado fue el impulso estructural al desarrollo de los mo-</w:t>
      </w:r>
      <w:r>
        <w:rPr>
          <w:color w:val="231F20"/>
          <w:w w:val="72"/>
        </w:rPr>
        <w:t> </w:t>
      </w:r>
      <w:r>
        <w:rPr>
          <w:color w:val="231F20"/>
          <w:w w:val="105"/>
        </w:rPr>
        <w:t>vimientos antisistémicos que debería marcar el próximo decenio. La</w:t>
      </w:r>
      <w:r>
        <w:rPr>
          <w:color w:val="231F20"/>
          <w:w w:val="104"/>
        </w:rPr>
        <w:t> </w:t>
      </w:r>
      <w:r>
        <w:rPr>
          <w:color w:val="231F20"/>
          <w:w w:val="105"/>
        </w:rPr>
        <w:t>elección de Barack Obama debe ser vista como parte de ese entorno.</w:t>
      </w:r>
      <w:r>
        <w:rPr>
          <w:color w:val="231F20"/>
          <w:w w:val="114"/>
        </w:rPr>
        <w:t> </w:t>
      </w:r>
      <w:r>
        <w:rPr>
          <w:color w:val="231F20"/>
          <w:w w:val="105"/>
        </w:rPr>
        <w:t>El gobierno de Obama enfrenta una agenda interna y externa de</w:t>
      </w:r>
      <w:r>
        <w:rPr>
          <w:color w:val="231F20"/>
          <w:w w:val="114"/>
        </w:rPr>
        <w:t> </w:t>
      </w:r>
      <w:r>
        <w:rPr>
          <w:color w:val="231F20"/>
          <w:w w:val="105"/>
        </w:rPr>
        <w:t>presiones crecientes para cambios sociales, políticos y económicos,</w:t>
      </w:r>
      <w:r>
        <w:rPr>
          <w:color w:val="231F20"/>
          <w:w w:val="108"/>
        </w:rPr>
        <w:t> </w:t>
      </w:r>
      <w:r>
        <w:rPr>
          <w:color w:val="231F20"/>
          <w:w w:val="105"/>
        </w:rPr>
        <w:t>pero su capacidad para atenderlos es muy limitada. Las perspectivas</w:t>
      </w:r>
      <w:r>
        <w:rPr>
          <w:color w:val="231F20"/>
          <w:w w:val="106"/>
        </w:rPr>
        <w:t> </w:t>
      </w:r>
      <w:r>
        <w:rPr>
          <w:color w:val="231F20"/>
          <w:w w:val="105"/>
        </w:rPr>
        <w:t>de retorno al viejo ideal socialdemócrata son muy improbables.</w:t>
      </w:r>
      <w:r>
        <w:rPr>
          <w:color w:val="231F20"/>
          <w:w w:val="109"/>
        </w:rPr>
        <w:t> </w:t>
      </w:r>
      <w:r>
        <w:rPr>
          <w:color w:val="231F20"/>
          <w:w w:val="105"/>
        </w:rPr>
        <w:t>Hereda una brutal crisis de la economía y da seguimiento al fuerte</w:t>
      </w:r>
      <w:r>
        <w:rPr>
          <w:color w:val="231F20"/>
          <w:w w:val="112"/>
        </w:rPr>
        <w:t> </w:t>
      </w:r>
      <w:r>
        <w:rPr>
          <w:color w:val="231F20"/>
          <w:w w:val="105"/>
        </w:rPr>
        <w:t>aumento de la deuda pública para  sustentar  ganancias  extraordina-</w:t>
      </w:r>
      <w:r>
        <w:rPr>
          <w:color w:val="231F20"/>
          <w:w w:val="72"/>
        </w:rPr>
        <w:t> </w:t>
      </w:r>
      <w:r>
        <w:rPr>
          <w:color w:val="231F20"/>
          <w:w w:val="105"/>
        </w:rPr>
        <w:t>rias y al capital ficticio. Compromete gran parte de su capacidad de</w:t>
      </w:r>
      <w:r>
        <w:rPr>
          <w:color w:val="231F20"/>
          <w:w w:val="114"/>
        </w:rPr>
        <w:t> </w:t>
      </w:r>
      <w:r>
        <w:rPr>
          <w:color w:val="231F20"/>
          <w:w w:val="105"/>
        </w:rPr>
        <w:t>acción con los sectores monopólicos y no logra atender las demandas</w:t>
      </w:r>
      <w:r>
        <w:rPr>
          <w:color w:val="231F20"/>
          <w:w w:val="111"/>
        </w:rPr>
        <w:t> </w:t>
      </w:r>
      <w:r>
        <w:rPr>
          <w:color w:val="231F20"/>
          <w:w w:val="105"/>
        </w:rPr>
        <w:t>de los movimientos sociales y liderazgos nacionalistas que se afirman</w:t>
      </w:r>
      <w:r>
        <w:rPr>
          <w:color w:val="231F20"/>
          <w:w w:val="109"/>
        </w:rPr>
        <w:t> </w:t>
      </w:r>
      <w:r>
        <w:rPr>
          <w:color w:val="231F20"/>
          <w:w w:val="105"/>
        </w:rPr>
        <w:t>en el mundo contemporáneo. Selecciona la atención a las presiones</w:t>
      </w:r>
      <w:r>
        <w:rPr>
          <w:color w:val="231F20"/>
          <w:w w:val="109"/>
        </w:rPr>
        <w:t> </w:t>
      </w:r>
      <w:r>
        <w:rPr>
          <w:color w:val="231F20"/>
          <w:w w:val="105"/>
        </w:rPr>
        <w:t>sociales internas, una vez que su especificidad se encuentra en el</w:t>
      </w:r>
      <w:r>
        <w:rPr>
          <w:color w:val="231F20"/>
          <w:w w:val="108"/>
        </w:rPr>
        <w:t> </w:t>
      </w:r>
      <w:r>
        <w:rPr>
          <w:color w:val="231F20"/>
          <w:w w:val="105"/>
        </w:rPr>
        <w:t>intento de acomodar choques entre movimientos sociales y capital</w:t>
      </w:r>
      <w:r>
        <w:rPr>
          <w:color w:val="231F20"/>
          <w:w w:val="108"/>
        </w:rPr>
        <w:t> </w:t>
      </w:r>
      <w:r>
        <w:rPr>
          <w:color w:val="231F20"/>
          <w:w w:val="105"/>
        </w:rPr>
        <w:t>financiero  para  buscar  rescatar  inicialmente  la  legitimidad  interna</w:t>
      </w:r>
      <w:r>
        <w:rPr>
          <w:color w:val="231F20"/>
          <w:w w:val="114"/>
        </w:rPr>
        <w:t> </w:t>
      </w:r>
      <w:r>
        <w:rPr>
          <w:color w:val="231F20"/>
          <w:w w:val="105"/>
        </w:rPr>
        <w:t>y posteriormente externa del  Estado  estadunidense.  Sin  embargo,</w:t>
      </w:r>
      <w:r>
        <w:rPr>
          <w:color w:val="231F20"/>
          <w:w w:val="110"/>
        </w:rPr>
        <w:t> </w:t>
      </w:r>
      <w:r>
        <w:rPr>
          <w:color w:val="231F20"/>
          <w:w w:val="105"/>
        </w:rPr>
        <w:t>aun internamente, sus propuestas sociales son de alcance reducido.</w:t>
      </w:r>
      <w:r>
        <w:rPr>
          <w:color w:val="231F20"/>
          <w:w w:val="105"/>
          <w:position w:val="6"/>
          <w:sz w:val="13"/>
        </w:rPr>
        <w:t>4</w:t>
      </w:r>
    </w:p>
    <w:p>
      <w:pPr>
        <w:pStyle w:val="BodyText"/>
      </w:pPr>
    </w:p>
    <w:p>
      <w:pPr>
        <w:spacing w:line="261" w:lineRule="auto" w:before="152"/>
        <w:ind w:left="100" w:right="117" w:firstLine="240"/>
        <w:jc w:val="both"/>
        <w:rPr>
          <w:sz w:val="16"/>
        </w:rPr>
      </w:pPr>
      <w:r>
        <w:rPr>
          <w:color w:val="231F20"/>
          <w:w w:val="105"/>
          <w:position w:val="5"/>
          <w:sz w:val="10"/>
        </w:rPr>
        <w:t>4 </w:t>
      </w:r>
      <w:r>
        <w:rPr>
          <w:color w:val="231F20"/>
          <w:w w:val="105"/>
          <w:sz w:val="16"/>
        </w:rPr>
        <w:t>En el informe </w:t>
      </w:r>
      <w:r>
        <w:rPr>
          <w:i/>
          <w:color w:val="231F20"/>
          <w:w w:val="105"/>
          <w:sz w:val="16"/>
        </w:rPr>
        <w:t>A new era of responsibility: renewing American´s promisse </w:t>
      </w:r>
      <w:r>
        <w:rPr>
          <w:color w:val="231F20"/>
          <w:w w:val="105"/>
          <w:sz w:val="16"/>
        </w:rPr>
        <w:t>(2009), el gobierno de Obama estima la elevación de la  deuda  pública  y  del  déficit  público, entre 2008 y 2009, de 70.2% a 90.4%, y de 3.2% a 12.3%, respectivamente. Las pre-</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El</w:t>
      </w:r>
      <w:r>
        <w:rPr>
          <w:color w:val="231F20"/>
          <w:spacing w:val="39"/>
          <w:w w:val="110"/>
        </w:rPr>
        <w:t> </w:t>
      </w:r>
      <w:r>
        <w:rPr>
          <w:color w:val="231F20"/>
          <w:w w:val="110"/>
        </w:rPr>
        <w:t>elevadísimo</w:t>
      </w:r>
      <w:r>
        <w:rPr>
          <w:color w:val="231F20"/>
          <w:spacing w:val="39"/>
          <w:w w:val="110"/>
        </w:rPr>
        <w:t> </w:t>
      </w:r>
      <w:r>
        <w:rPr>
          <w:color w:val="231F20"/>
          <w:w w:val="110"/>
        </w:rPr>
        <w:t>índice</w:t>
      </w:r>
      <w:r>
        <w:rPr>
          <w:color w:val="231F20"/>
          <w:spacing w:val="39"/>
          <w:w w:val="110"/>
        </w:rPr>
        <w:t> </w:t>
      </w:r>
      <w:r>
        <w:rPr>
          <w:color w:val="231F20"/>
          <w:w w:val="110"/>
        </w:rPr>
        <w:t>de</w:t>
      </w:r>
      <w:r>
        <w:rPr>
          <w:color w:val="231F20"/>
          <w:spacing w:val="39"/>
          <w:w w:val="110"/>
        </w:rPr>
        <w:t> </w:t>
      </w:r>
      <w:r>
        <w:rPr>
          <w:color w:val="231F20"/>
          <w:w w:val="110"/>
        </w:rPr>
        <w:t>endeudamiento</w:t>
      </w:r>
      <w:r>
        <w:rPr>
          <w:color w:val="231F20"/>
          <w:spacing w:val="39"/>
          <w:w w:val="110"/>
        </w:rPr>
        <w:t> </w:t>
      </w:r>
      <w:r>
        <w:rPr>
          <w:color w:val="231F20"/>
          <w:w w:val="110"/>
        </w:rPr>
        <w:t>reducirá</w:t>
      </w:r>
      <w:r>
        <w:rPr>
          <w:color w:val="231F20"/>
          <w:spacing w:val="39"/>
          <w:w w:val="110"/>
        </w:rPr>
        <w:t> </w:t>
      </w:r>
      <w:r>
        <w:rPr>
          <w:color w:val="231F20"/>
          <w:w w:val="110"/>
        </w:rPr>
        <w:t>el</w:t>
      </w:r>
      <w:r>
        <w:rPr>
          <w:color w:val="231F20"/>
          <w:spacing w:val="39"/>
          <w:w w:val="110"/>
        </w:rPr>
        <w:t> </w:t>
      </w:r>
      <w:r>
        <w:rPr>
          <w:color w:val="231F20"/>
          <w:w w:val="110"/>
        </w:rPr>
        <w:t>potencial</w:t>
      </w:r>
      <w:r>
        <w:rPr>
          <w:color w:val="231F20"/>
          <w:spacing w:val="39"/>
          <w:w w:val="110"/>
        </w:rPr>
        <w:t> </w:t>
      </w:r>
      <w:r>
        <w:rPr>
          <w:color w:val="231F20"/>
          <w:w w:val="110"/>
        </w:rPr>
        <w:t>de</w:t>
      </w:r>
      <w:r>
        <w:rPr>
          <w:color w:val="231F20"/>
          <w:w w:val="114"/>
        </w:rPr>
        <w:t> </w:t>
      </w:r>
      <w:r>
        <w:rPr>
          <w:color w:val="231F20"/>
          <w:w w:val="110"/>
        </w:rPr>
        <w:t>crecimiento estadunidense, lo cual limitará la posterior</w:t>
      </w:r>
      <w:r>
        <w:rPr>
          <w:color w:val="231F20"/>
          <w:spacing w:val="-5"/>
          <w:w w:val="110"/>
        </w:rPr>
        <w:t> </w:t>
      </w:r>
      <w:r>
        <w:rPr>
          <w:color w:val="231F20"/>
          <w:w w:val="110"/>
        </w:rPr>
        <w:t>reducción</w:t>
      </w:r>
      <w:r>
        <w:rPr>
          <w:color w:val="231F20"/>
          <w:spacing w:val="-1"/>
          <w:w w:val="110"/>
        </w:rPr>
        <w:t> </w:t>
      </w:r>
      <w:r>
        <w:rPr>
          <w:color w:val="231F20"/>
          <w:w w:val="110"/>
        </w:rPr>
        <w:t>de</w:t>
      </w:r>
      <w:r>
        <w:rPr>
          <w:color w:val="231F20"/>
          <w:w w:val="114"/>
        </w:rPr>
        <w:t> </w:t>
      </w:r>
      <w:r>
        <w:rPr>
          <w:color w:val="231F20"/>
          <w:w w:val="110"/>
        </w:rPr>
        <w:t>los altos niveles de desempleo alcanzados durante la crisis: 9.5% en junio de 2009, estimándose en más de 10% en</w:t>
      </w:r>
      <w:r>
        <w:rPr>
          <w:color w:val="231F20"/>
          <w:spacing w:val="43"/>
          <w:w w:val="110"/>
        </w:rPr>
        <w:t> </w:t>
      </w:r>
      <w:r>
        <w:rPr>
          <w:color w:val="231F20"/>
          <w:w w:val="110"/>
        </w:rPr>
        <w:t>2010.</w:t>
      </w:r>
    </w:p>
    <w:p>
      <w:pPr>
        <w:pStyle w:val="BodyText"/>
        <w:spacing w:line="261" w:lineRule="auto"/>
        <w:ind w:left="100" w:right="117" w:firstLine="240"/>
        <w:jc w:val="both"/>
      </w:pPr>
      <w:r>
        <w:rPr>
          <w:color w:val="231F20"/>
          <w:w w:val="110"/>
        </w:rPr>
        <w:t>El compromiso financiero de Estados Unidos reducirá su capaci- dad de liderazgo al impulsar los procesos de transformación de la economía mundial en el sentido de la sustentabilidad, la inclusión y la paz.</w:t>
      </w:r>
      <w:r>
        <w:rPr>
          <w:color w:val="231F20"/>
          <w:w w:val="110"/>
          <w:position w:val="6"/>
          <w:sz w:val="13"/>
        </w:rPr>
        <w:t>5 </w:t>
      </w:r>
      <w:r>
        <w:rPr>
          <w:color w:val="231F20"/>
          <w:w w:val="110"/>
        </w:rPr>
        <w:t>Se profundizará el desplazamiento del dinamismo del creci- miento económico hacia el Este Asiático. A pesar de la elección de Obama, Estados Unidos deberán continuar perdiendo el liderazgo político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decenio</w:t>
      </w:r>
      <w:r>
        <w:rPr>
          <w:color w:val="231F20"/>
          <w:spacing w:val="-7"/>
          <w:w w:val="110"/>
        </w:rPr>
        <w:t> </w:t>
      </w:r>
      <w:r>
        <w:rPr>
          <w:color w:val="231F20"/>
          <w:w w:val="110"/>
        </w:rPr>
        <w:t>siguiente.</w:t>
      </w:r>
      <w:r>
        <w:rPr>
          <w:color w:val="231F20"/>
          <w:spacing w:val="-7"/>
          <w:w w:val="110"/>
        </w:rPr>
        <w:t> </w:t>
      </w:r>
      <w:r>
        <w:rPr>
          <w:color w:val="231F20"/>
          <w:w w:val="110"/>
        </w:rPr>
        <w:t>La</w:t>
      </w:r>
      <w:r>
        <w:rPr>
          <w:color w:val="231F20"/>
          <w:spacing w:val="-7"/>
          <w:w w:val="110"/>
        </w:rPr>
        <w:t> </w:t>
      </w:r>
      <w:r>
        <w:rPr>
          <w:color w:val="231F20"/>
          <w:w w:val="110"/>
        </w:rPr>
        <w:t>agenda</w:t>
      </w:r>
      <w:r>
        <w:rPr>
          <w:color w:val="231F20"/>
          <w:spacing w:val="-7"/>
          <w:w w:val="110"/>
        </w:rPr>
        <w:t> </w:t>
      </w:r>
      <w:r>
        <w:rPr>
          <w:color w:val="231F20"/>
          <w:w w:val="110"/>
        </w:rPr>
        <w:t>mundial</w:t>
      </w:r>
      <w:r>
        <w:rPr>
          <w:color w:val="231F20"/>
          <w:spacing w:val="-7"/>
          <w:w w:val="110"/>
        </w:rPr>
        <w:t> </w:t>
      </w:r>
      <w:r>
        <w:rPr>
          <w:color w:val="231F20"/>
          <w:w w:val="110"/>
        </w:rPr>
        <w:t>difícilmente</w:t>
      </w:r>
      <w:r>
        <w:rPr>
          <w:color w:val="231F20"/>
          <w:spacing w:val="-7"/>
          <w:w w:val="110"/>
        </w:rPr>
        <w:t> </w:t>
      </w:r>
      <w:r>
        <w:rPr>
          <w:color w:val="231F20"/>
          <w:w w:val="110"/>
        </w:rPr>
        <w:t>será establecida por su decadente hegemonía. Los gobiernos latinoame- ricanos toman la iniciativa al establecer los temas de la agenda en la relación</w:t>
      </w:r>
      <w:r>
        <w:rPr>
          <w:color w:val="231F20"/>
          <w:spacing w:val="-18"/>
          <w:w w:val="110"/>
        </w:rPr>
        <w:t> </w:t>
      </w:r>
      <w:r>
        <w:rPr>
          <w:color w:val="231F20"/>
          <w:w w:val="110"/>
        </w:rPr>
        <w:t>con</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—caso</w:t>
      </w:r>
      <w:r>
        <w:rPr>
          <w:color w:val="231F20"/>
          <w:spacing w:val="-18"/>
          <w:w w:val="110"/>
        </w:rPr>
        <w:t> </w:t>
      </w:r>
      <w:r>
        <w:rPr>
          <w:color w:val="231F20"/>
          <w:w w:val="110"/>
        </w:rPr>
        <w:t>de</w:t>
      </w:r>
      <w:r>
        <w:rPr>
          <w:color w:val="231F20"/>
          <w:spacing w:val="-18"/>
          <w:w w:val="110"/>
        </w:rPr>
        <w:t> </w:t>
      </w:r>
      <w:r>
        <w:rPr>
          <w:color w:val="231F20"/>
          <w:w w:val="110"/>
        </w:rPr>
        <w:t>Cuba</w:t>
      </w:r>
      <w:r>
        <w:rPr>
          <w:color w:val="231F20"/>
          <w:spacing w:val="-18"/>
          <w:w w:val="110"/>
        </w:rPr>
        <w:t> </w:t>
      </w:r>
      <w:r>
        <w:rPr>
          <w:color w:val="231F20"/>
          <w:w w:val="110"/>
        </w:rPr>
        <w:t>y</w:t>
      </w:r>
      <w:r>
        <w:rPr>
          <w:color w:val="231F20"/>
          <w:spacing w:val="-18"/>
          <w:w w:val="110"/>
        </w:rPr>
        <w:t> </w:t>
      </w:r>
      <w:r>
        <w:rPr>
          <w:color w:val="231F20"/>
          <w:w w:val="110"/>
        </w:rPr>
        <w:t>su</w:t>
      </w:r>
      <w:r>
        <w:rPr>
          <w:color w:val="231F20"/>
          <w:spacing w:val="-18"/>
          <w:w w:val="110"/>
        </w:rPr>
        <w:t> </w:t>
      </w:r>
      <w:r>
        <w:rPr>
          <w:color w:val="231F20"/>
          <w:w w:val="110"/>
        </w:rPr>
        <w:t>reincorporación</w:t>
      </w:r>
      <w:r>
        <w:rPr>
          <w:color w:val="231F20"/>
          <w:spacing w:val="-18"/>
          <w:w w:val="110"/>
        </w:rPr>
        <w:t> </w:t>
      </w:r>
      <w:r>
        <w:rPr>
          <w:color w:val="231F20"/>
          <w:w w:val="110"/>
        </w:rPr>
        <w:t>a</w:t>
      </w:r>
      <w:r>
        <w:rPr>
          <w:color w:val="231F20"/>
          <w:spacing w:val="-18"/>
          <w:w w:val="110"/>
        </w:rPr>
        <w:t> </w:t>
      </w:r>
      <w:r>
        <w:rPr>
          <w:color w:val="231F20"/>
          <w:w w:val="110"/>
        </w:rPr>
        <w:t>la oea, fin del bloqueo, restablecimiento democrático en Honduras—</w:t>
      </w:r>
      <w:r>
        <w:rPr>
          <w:color w:val="231F20"/>
          <w:spacing w:val="-19"/>
          <w:w w:val="110"/>
        </w:rPr>
        <w:t> </w:t>
      </w:r>
      <w:r>
        <w:rPr>
          <w:color w:val="231F20"/>
          <w:w w:val="110"/>
        </w:rPr>
        <w:t>y al desarrollar temas propios independientemente de la participación estadunidense: nuevos rumbos para la integración regional que con- templen la cooperación financiera, tecnológica, científica, cultural y no</w:t>
      </w:r>
      <w:r>
        <w:rPr>
          <w:color w:val="231F20"/>
          <w:spacing w:val="-6"/>
          <w:w w:val="110"/>
        </w:rPr>
        <w:t> </w:t>
      </w:r>
      <w:r>
        <w:rPr>
          <w:color w:val="231F20"/>
          <w:w w:val="110"/>
        </w:rPr>
        <w:t>prioricen</w:t>
      </w:r>
      <w:r>
        <w:rPr>
          <w:color w:val="231F20"/>
          <w:spacing w:val="-6"/>
          <w:w w:val="110"/>
        </w:rPr>
        <w:t> </w:t>
      </w:r>
      <w:r>
        <w:rPr>
          <w:color w:val="231F20"/>
          <w:w w:val="110"/>
        </w:rPr>
        <w:t>la</w:t>
      </w:r>
      <w:r>
        <w:rPr>
          <w:color w:val="231F20"/>
          <w:spacing w:val="-6"/>
          <w:w w:val="110"/>
        </w:rPr>
        <w:t> </w:t>
      </w:r>
      <w:r>
        <w:rPr>
          <w:color w:val="231F20"/>
          <w:w w:val="110"/>
        </w:rPr>
        <w:t>competencia</w:t>
      </w:r>
      <w:r>
        <w:rPr>
          <w:color w:val="231F20"/>
          <w:spacing w:val="-6"/>
          <w:w w:val="110"/>
        </w:rPr>
        <w:t> </w:t>
      </w:r>
      <w:r>
        <w:rPr>
          <w:color w:val="231F20"/>
          <w:w w:val="110"/>
        </w:rPr>
        <w:t>y</w:t>
      </w:r>
      <w:r>
        <w:rPr>
          <w:color w:val="231F20"/>
          <w:spacing w:val="-6"/>
          <w:w w:val="110"/>
        </w:rPr>
        <w:t> </w:t>
      </w:r>
      <w:r>
        <w:rPr>
          <w:color w:val="231F20"/>
          <w:w w:val="110"/>
        </w:rPr>
        <w:t>concurrencia</w:t>
      </w:r>
      <w:r>
        <w:rPr>
          <w:color w:val="231F20"/>
          <w:spacing w:val="-6"/>
          <w:w w:val="110"/>
        </w:rPr>
        <w:t> </w:t>
      </w:r>
      <w:r>
        <w:rPr>
          <w:color w:val="231F20"/>
          <w:w w:val="110"/>
        </w:rPr>
        <w:t>económica;</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articula- ción</w:t>
      </w:r>
      <w:r>
        <w:rPr>
          <w:color w:val="231F20"/>
          <w:spacing w:val="-7"/>
          <w:w w:val="110"/>
        </w:rPr>
        <w:t> </w:t>
      </w:r>
      <w:r>
        <w:rPr>
          <w:color w:val="231F20"/>
          <w:w w:val="110"/>
        </w:rPr>
        <w:t>política</w:t>
      </w:r>
      <w:r>
        <w:rPr>
          <w:color w:val="231F20"/>
          <w:spacing w:val="-7"/>
          <w:w w:val="110"/>
        </w:rPr>
        <w:t> </w:t>
      </w:r>
      <w:r>
        <w:rPr>
          <w:color w:val="231F20"/>
          <w:w w:val="110"/>
        </w:rPr>
        <w:t>entre</w:t>
      </w:r>
      <w:r>
        <w:rPr>
          <w:color w:val="231F20"/>
          <w:spacing w:val="-7"/>
          <w:w w:val="11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Asia</w:t>
      </w:r>
      <w:r>
        <w:rPr>
          <w:color w:val="231F20"/>
          <w:spacing w:val="-7"/>
          <w:w w:val="110"/>
        </w:rPr>
        <w:t> </w:t>
      </w:r>
      <w:r>
        <w:rPr>
          <w:color w:val="231F20"/>
          <w:w w:val="110"/>
        </w:rPr>
        <w:t>y</w:t>
      </w:r>
      <w:r>
        <w:rPr>
          <w:color w:val="231F20"/>
          <w:spacing w:val="-7"/>
          <w:w w:val="110"/>
        </w:rPr>
        <w:t> </w:t>
      </w:r>
      <w:r>
        <w:rPr>
          <w:color w:val="231F20"/>
          <w:w w:val="110"/>
        </w:rPr>
        <w:t>África.</w:t>
      </w:r>
      <w:r>
        <w:rPr>
          <w:color w:val="231F20"/>
          <w:spacing w:val="-7"/>
          <w:w w:val="110"/>
        </w:rPr>
        <w:t> </w:t>
      </w:r>
      <w:r>
        <w:rPr>
          <w:color w:val="231F20"/>
          <w:w w:val="110"/>
        </w:rPr>
        <w:t>Se</w:t>
      </w:r>
      <w:r>
        <w:rPr>
          <w:color w:val="231F20"/>
          <w:spacing w:val="-7"/>
          <w:w w:val="110"/>
        </w:rPr>
        <w:t> </w:t>
      </w:r>
      <w:r>
        <w:rPr>
          <w:color w:val="231F20"/>
          <w:w w:val="110"/>
        </w:rPr>
        <w:t>abre</w:t>
      </w:r>
      <w:r>
        <w:rPr>
          <w:color w:val="231F20"/>
          <w:spacing w:val="-7"/>
          <w:w w:val="110"/>
        </w:rPr>
        <w:t> </w:t>
      </w:r>
      <w:r>
        <w:rPr>
          <w:color w:val="231F20"/>
          <w:w w:val="110"/>
        </w:rPr>
        <w:t>un</w:t>
      </w:r>
      <w:r>
        <w:rPr>
          <w:color w:val="231F20"/>
          <w:spacing w:val="-7"/>
          <w:w w:val="110"/>
        </w:rPr>
        <w:t> </w:t>
      </w:r>
      <w:r>
        <w:rPr>
          <w:color w:val="231F20"/>
          <w:w w:val="110"/>
        </w:rPr>
        <w:t>enorme espacio para la reorganización geopolítica de la economía mundial. En este proceso los bricas —en caso de que se incluya a África del Sur— podrán jugar un papel</w:t>
      </w:r>
      <w:r>
        <w:rPr>
          <w:color w:val="231F20"/>
          <w:spacing w:val="33"/>
          <w:w w:val="110"/>
        </w:rPr>
        <w:t> </w:t>
      </w:r>
      <w:r>
        <w:rPr>
          <w:color w:val="231F20"/>
          <w:w w:val="110"/>
        </w:rPr>
        <w:t>clave.</w:t>
      </w:r>
    </w:p>
    <w:p>
      <w:pPr>
        <w:pStyle w:val="BodyText"/>
        <w:spacing w:line="261" w:lineRule="auto"/>
        <w:ind w:left="100" w:right="115" w:firstLine="240"/>
        <w:jc w:val="both"/>
      </w:pPr>
      <w:r>
        <w:rPr>
          <w:color w:val="231F20"/>
          <w:w w:val="110"/>
        </w:rPr>
        <w:t>América</w:t>
      </w:r>
      <w:r>
        <w:rPr>
          <w:color w:val="231F20"/>
          <w:spacing w:val="-5"/>
          <w:w w:val="110"/>
        </w:rPr>
        <w:t> </w:t>
      </w:r>
      <w:r>
        <w:rPr>
          <w:color w:val="231F20"/>
          <w:w w:val="110"/>
        </w:rPr>
        <w:t>Latina</w:t>
      </w:r>
      <w:r>
        <w:rPr>
          <w:color w:val="231F20"/>
          <w:spacing w:val="-5"/>
          <w:w w:val="110"/>
        </w:rPr>
        <w:t> </w:t>
      </w:r>
      <w:r>
        <w:rPr>
          <w:color w:val="231F20"/>
          <w:w w:val="110"/>
        </w:rPr>
        <w:t>ingresa</w:t>
      </w:r>
      <w:r>
        <w:rPr>
          <w:color w:val="231F20"/>
          <w:spacing w:val="-5"/>
          <w:w w:val="110"/>
        </w:rPr>
        <w:t> </w:t>
      </w:r>
      <w:r>
        <w:rPr>
          <w:color w:val="231F20"/>
          <w:w w:val="110"/>
        </w:rPr>
        <w:t>al</w:t>
      </w:r>
      <w:r>
        <w:rPr>
          <w:color w:val="231F20"/>
          <w:spacing w:val="-5"/>
          <w:w w:val="110"/>
        </w:rPr>
        <w:t> </w:t>
      </w:r>
      <w:r>
        <w:rPr>
          <w:color w:val="231F20"/>
          <w:w w:val="110"/>
        </w:rPr>
        <w:t>siguiente</w:t>
      </w:r>
      <w:r>
        <w:rPr>
          <w:color w:val="231F20"/>
          <w:spacing w:val="-5"/>
          <w:w w:val="110"/>
        </w:rPr>
        <w:t> </w:t>
      </w:r>
      <w:r>
        <w:rPr>
          <w:color w:val="231F20"/>
          <w:w w:val="110"/>
        </w:rPr>
        <w:t>decenio</w:t>
      </w:r>
      <w:r>
        <w:rPr>
          <w:color w:val="231F20"/>
          <w:spacing w:val="-5"/>
          <w:w w:val="110"/>
        </w:rPr>
        <w:t> </w:t>
      </w:r>
      <w:r>
        <w:rPr>
          <w:color w:val="231F20"/>
          <w:w w:val="110"/>
        </w:rPr>
        <w:t>dividida</w:t>
      </w:r>
      <w:r>
        <w:rPr>
          <w:color w:val="231F20"/>
          <w:spacing w:val="-5"/>
          <w:w w:val="110"/>
        </w:rPr>
        <w:t> </w:t>
      </w:r>
      <w:r>
        <w:rPr>
          <w:color w:val="231F20"/>
          <w:w w:val="110"/>
        </w:rPr>
        <w:t>en</w:t>
      </w:r>
      <w:r>
        <w:rPr>
          <w:color w:val="231F20"/>
          <w:spacing w:val="-5"/>
          <w:w w:val="110"/>
        </w:rPr>
        <w:t> </w:t>
      </w:r>
      <w:r>
        <w:rPr>
          <w:color w:val="231F20"/>
          <w:w w:val="110"/>
        </w:rPr>
        <w:t>tres</w:t>
      </w:r>
      <w:r>
        <w:rPr>
          <w:color w:val="231F20"/>
          <w:spacing w:val="-5"/>
          <w:w w:val="110"/>
        </w:rPr>
        <w:t> </w:t>
      </w:r>
      <w:r>
        <w:rPr>
          <w:color w:val="231F20"/>
          <w:w w:val="110"/>
        </w:rPr>
        <w:t>gran- des fuerzas políticas y sociales: las neoliberales, la tercera vía y las neonacionalistas.</w:t>
      </w:r>
      <w:r>
        <w:rPr>
          <w:color w:val="231F20"/>
          <w:spacing w:val="-12"/>
          <w:w w:val="110"/>
        </w:rPr>
        <w:t> </w:t>
      </w:r>
      <w:r>
        <w:rPr>
          <w:color w:val="231F20"/>
          <w:w w:val="110"/>
        </w:rPr>
        <w:t>Los</w:t>
      </w:r>
      <w:r>
        <w:rPr>
          <w:color w:val="231F20"/>
          <w:spacing w:val="-12"/>
          <w:w w:val="110"/>
        </w:rPr>
        <w:t> </w:t>
      </w:r>
      <w:r>
        <w:rPr>
          <w:color w:val="231F20"/>
          <w:w w:val="110"/>
        </w:rPr>
        <w:t>neoliberales</w:t>
      </w:r>
      <w:r>
        <w:rPr>
          <w:color w:val="231F20"/>
          <w:spacing w:val="-12"/>
          <w:w w:val="110"/>
        </w:rPr>
        <w:t> </w:t>
      </w:r>
      <w:r>
        <w:rPr>
          <w:color w:val="231F20"/>
          <w:w w:val="110"/>
        </w:rPr>
        <w:t>mantienen</w:t>
      </w:r>
      <w:r>
        <w:rPr>
          <w:color w:val="231F20"/>
          <w:spacing w:val="-12"/>
          <w:w w:val="110"/>
        </w:rPr>
        <w:t> </w:t>
      </w:r>
      <w:r>
        <w:rPr>
          <w:color w:val="231F20"/>
          <w:w w:val="110"/>
        </w:rPr>
        <w:t>las</w:t>
      </w:r>
      <w:r>
        <w:rPr>
          <w:color w:val="231F20"/>
          <w:spacing w:val="-12"/>
          <w:w w:val="110"/>
        </w:rPr>
        <w:t> </w:t>
      </w:r>
      <w:r>
        <w:rPr>
          <w:color w:val="231F20"/>
          <w:w w:val="110"/>
        </w:rPr>
        <w:t>políticas</w:t>
      </w:r>
      <w:r>
        <w:rPr>
          <w:color w:val="231F20"/>
          <w:spacing w:val="-12"/>
          <w:w w:val="110"/>
        </w:rPr>
        <w:t> </w:t>
      </w:r>
      <w:r>
        <w:rPr>
          <w:color w:val="231F20"/>
          <w:w w:val="110"/>
        </w:rPr>
        <w:t>de</w:t>
      </w:r>
      <w:r>
        <w:rPr>
          <w:color w:val="231F20"/>
          <w:spacing w:val="-12"/>
          <w:w w:val="110"/>
        </w:rPr>
        <w:t> </w:t>
      </w:r>
      <w:r>
        <w:rPr>
          <w:color w:val="231F20"/>
          <w:w w:val="110"/>
        </w:rPr>
        <w:t>consen- so de Washington, el alineamiento a Estados Unidos y se ubican a</w:t>
      </w:r>
      <w:r>
        <w:rPr>
          <w:color w:val="231F20"/>
          <w:spacing w:val="-37"/>
          <w:w w:val="110"/>
        </w:rPr>
        <w:t> </w:t>
      </w:r>
      <w:r>
        <w:rPr>
          <w:color w:val="231F20"/>
          <w:w w:val="110"/>
        </w:rPr>
        <w:t>la derecha del espectro político, teniendo su eje en la región, en Co- lombia y en México; la tercera vía, basada principalmente en Brasil, Uruguay y Chile, busca combinar políticas sociales, mayor</w:t>
      </w:r>
      <w:r>
        <w:rPr>
          <w:color w:val="231F20"/>
          <w:spacing w:val="-14"/>
          <w:w w:val="110"/>
        </w:rPr>
        <w:t> </w:t>
      </w:r>
      <w:r>
        <w:rPr>
          <w:color w:val="231F20"/>
          <w:w w:val="110"/>
        </w:rPr>
        <w:t>indepen-</w:t>
      </w:r>
    </w:p>
    <w:p>
      <w:pPr>
        <w:pStyle w:val="BodyText"/>
      </w:pPr>
    </w:p>
    <w:p>
      <w:pPr>
        <w:pStyle w:val="BodyText"/>
        <w:spacing w:before="6"/>
        <w:rPr>
          <w:sz w:val="17"/>
        </w:rPr>
      </w:pPr>
    </w:p>
    <w:p>
      <w:pPr>
        <w:spacing w:line="261" w:lineRule="auto" w:before="0"/>
        <w:ind w:left="100" w:right="117" w:firstLine="0"/>
        <w:jc w:val="both"/>
        <w:rPr>
          <w:sz w:val="16"/>
        </w:rPr>
      </w:pPr>
      <w:r>
        <w:rPr>
          <w:color w:val="231F20"/>
          <w:w w:val="110"/>
          <w:sz w:val="16"/>
        </w:rPr>
        <w:t>visiones son todavía de que la deuda pública alcance aproximadamente el 100% del pib en 2011, manteniéndose en este nivel durante el decenio en la medida en que      el déficit público presente tasas similares al crecimiento de la economía a partir de 2012,</w:t>
      </w:r>
      <w:r>
        <w:rPr>
          <w:color w:val="231F20"/>
          <w:spacing w:val="-5"/>
          <w:w w:val="110"/>
          <w:sz w:val="16"/>
        </w:rPr>
        <w:t> </w:t>
      </w:r>
      <w:r>
        <w:rPr>
          <w:color w:val="231F20"/>
          <w:w w:val="110"/>
          <w:sz w:val="16"/>
        </w:rPr>
        <w:t>aproximadamente</w:t>
      </w:r>
      <w:r>
        <w:rPr>
          <w:color w:val="231F20"/>
          <w:spacing w:val="-5"/>
          <w:w w:val="110"/>
          <w:sz w:val="16"/>
        </w:rPr>
        <w:t> </w:t>
      </w:r>
      <w:r>
        <w:rPr>
          <w:color w:val="231F20"/>
          <w:w w:val="110"/>
          <w:sz w:val="16"/>
        </w:rPr>
        <w:t>3.0%.</w:t>
      </w:r>
      <w:r>
        <w:rPr>
          <w:color w:val="231F20"/>
          <w:spacing w:val="-5"/>
          <w:w w:val="110"/>
          <w:sz w:val="16"/>
        </w:rPr>
        <w:t> </w:t>
      </w:r>
      <w:r>
        <w:rPr>
          <w:color w:val="231F20"/>
          <w:w w:val="110"/>
          <w:sz w:val="16"/>
        </w:rPr>
        <w:t>La</w:t>
      </w:r>
      <w:r>
        <w:rPr>
          <w:color w:val="231F20"/>
          <w:spacing w:val="-5"/>
          <w:w w:val="110"/>
          <w:sz w:val="16"/>
        </w:rPr>
        <w:t> </w:t>
      </w:r>
      <w:r>
        <w:rPr>
          <w:color w:val="231F20"/>
          <w:w w:val="110"/>
          <w:sz w:val="16"/>
        </w:rPr>
        <w:t>previsión</w:t>
      </w:r>
      <w:r>
        <w:rPr>
          <w:color w:val="231F20"/>
          <w:spacing w:val="-5"/>
          <w:w w:val="110"/>
          <w:sz w:val="16"/>
        </w:rPr>
        <w:t> </w:t>
      </w:r>
      <w:r>
        <w:rPr>
          <w:color w:val="231F20"/>
          <w:w w:val="110"/>
          <w:sz w:val="16"/>
        </w:rPr>
        <w:t>del</w:t>
      </w:r>
      <w:r>
        <w:rPr>
          <w:color w:val="231F20"/>
          <w:spacing w:val="-5"/>
          <w:w w:val="110"/>
          <w:sz w:val="16"/>
        </w:rPr>
        <w:t> </w:t>
      </w:r>
      <w:r>
        <w:rPr>
          <w:color w:val="231F20"/>
          <w:w w:val="110"/>
          <w:sz w:val="16"/>
        </w:rPr>
        <w:t>informe</w:t>
      </w:r>
      <w:r>
        <w:rPr>
          <w:color w:val="231F20"/>
          <w:spacing w:val="-5"/>
          <w:w w:val="110"/>
          <w:sz w:val="16"/>
        </w:rPr>
        <w:t> </w:t>
      </w:r>
      <w:r>
        <w:rPr>
          <w:color w:val="231F20"/>
          <w:w w:val="110"/>
          <w:sz w:val="16"/>
        </w:rPr>
        <w:t>es</w:t>
      </w:r>
      <w:r>
        <w:rPr>
          <w:color w:val="231F20"/>
          <w:spacing w:val="-5"/>
          <w:w w:val="110"/>
          <w:sz w:val="16"/>
        </w:rPr>
        <w:t> </w:t>
      </w:r>
      <w:r>
        <w:rPr>
          <w:color w:val="231F20"/>
          <w:w w:val="110"/>
          <w:sz w:val="16"/>
        </w:rPr>
        <w:t>que</w:t>
      </w:r>
      <w:r>
        <w:rPr>
          <w:color w:val="231F20"/>
          <w:spacing w:val="-5"/>
          <w:w w:val="110"/>
          <w:sz w:val="16"/>
        </w:rPr>
        <w:t> </w:t>
      </w:r>
      <w:r>
        <w:rPr>
          <w:color w:val="231F20"/>
          <w:w w:val="110"/>
          <w:sz w:val="16"/>
        </w:rPr>
        <w:t>de</w:t>
      </w:r>
      <w:r>
        <w:rPr>
          <w:color w:val="231F20"/>
          <w:spacing w:val="-5"/>
          <w:w w:val="110"/>
          <w:sz w:val="16"/>
        </w:rPr>
        <w:t> </w:t>
      </w:r>
      <w:r>
        <w:rPr>
          <w:color w:val="231F20"/>
          <w:w w:val="110"/>
          <w:sz w:val="16"/>
        </w:rPr>
        <w:t>2008-2019,</w:t>
      </w:r>
      <w:r>
        <w:rPr>
          <w:color w:val="231F20"/>
          <w:spacing w:val="-5"/>
          <w:w w:val="110"/>
          <w:sz w:val="16"/>
        </w:rPr>
        <w:t> </w:t>
      </w:r>
      <w:r>
        <w:rPr>
          <w:color w:val="231F20"/>
          <w:w w:val="110"/>
          <w:sz w:val="16"/>
        </w:rPr>
        <w:t>el</w:t>
      </w:r>
      <w:r>
        <w:rPr>
          <w:color w:val="231F20"/>
          <w:spacing w:val="-5"/>
          <w:w w:val="110"/>
          <w:sz w:val="16"/>
        </w:rPr>
        <w:t> </w:t>
      </w:r>
      <w:r>
        <w:rPr>
          <w:color w:val="231F20"/>
          <w:w w:val="110"/>
          <w:sz w:val="16"/>
        </w:rPr>
        <w:t>pago del gobierno federal con intereses aumente 178%; por programas de salud 128%; por seguridad social 86% y por defensa</w:t>
      </w:r>
      <w:r>
        <w:rPr>
          <w:color w:val="231F20"/>
          <w:spacing w:val="-14"/>
          <w:w w:val="110"/>
          <w:sz w:val="16"/>
        </w:rPr>
        <w:t> </w:t>
      </w:r>
      <w:r>
        <w:rPr>
          <w:color w:val="231F20"/>
          <w:w w:val="110"/>
          <w:sz w:val="16"/>
        </w:rPr>
        <w:t>46%.</w:t>
      </w:r>
    </w:p>
    <w:p>
      <w:pPr>
        <w:spacing w:line="261" w:lineRule="auto" w:before="0"/>
        <w:ind w:left="100" w:right="117" w:firstLine="240"/>
        <w:jc w:val="both"/>
        <w:rPr>
          <w:sz w:val="16"/>
        </w:rPr>
      </w:pPr>
      <w:r>
        <w:rPr>
          <w:color w:val="231F20"/>
          <w:w w:val="110"/>
          <w:position w:val="5"/>
          <w:sz w:val="10"/>
        </w:rPr>
        <w:t>5 </w:t>
      </w:r>
      <w:r>
        <w:rPr>
          <w:color w:val="231F20"/>
          <w:w w:val="110"/>
          <w:sz w:val="16"/>
        </w:rPr>
        <w:t>La posibilidad de una nueva crisis decenal en la segunda mitad del decenio siguiente, podrá agotar lo que queda de la hegemonía estadunidense y acelerar la transición hacia un nuevo estándar monetario  mundial.</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dencia en la política externa </w:t>
      </w:r>
      <w:r>
        <w:rPr>
          <w:color w:val="231F20"/>
          <w:spacing w:val="-8"/>
          <w:w w:val="110"/>
        </w:rPr>
        <w:t>y, </w:t>
      </w:r>
      <w:r>
        <w:rPr>
          <w:color w:val="231F20"/>
          <w:w w:val="110"/>
        </w:rPr>
        <w:t>en el caso de Brasil, cierta recupera- ción de la industria nacional con las políticas económicas neolibera- les; y los neonacionalistas, desarrollan el capitalismo de</w:t>
      </w:r>
      <w:r>
        <w:rPr>
          <w:color w:val="231F20"/>
          <w:spacing w:val="31"/>
          <w:w w:val="110"/>
        </w:rPr>
        <w:t> </w:t>
      </w:r>
      <w:r>
        <w:rPr>
          <w:color w:val="231F20"/>
          <w:w w:val="110"/>
        </w:rPr>
        <w:t>Estado</w:t>
      </w:r>
      <w:r>
        <w:rPr>
          <w:color w:val="231F20"/>
          <w:spacing w:val="17"/>
          <w:w w:val="110"/>
        </w:rPr>
        <w:t> </w:t>
      </w:r>
      <w:r>
        <w:rPr>
          <w:color w:val="231F20"/>
          <w:w w:val="110"/>
        </w:rPr>
        <w:t>en</w:t>
      </w:r>
      <w:r>
        <w:rPr>
          <w:color w:val="231F20"/>
          <w:w w:val="116"/>
        </w:rPr>
        <w:t> </w:t>
      </w:r>
      <w:r>
        <w:rPr>
          <w:color w:val="231F20"/>
          <w:w w:val="110"/>
        </w:rPr>
        <w:t>dirección a formas participativas </w:t>
      </w:r>
      <w:r>
        <w:rPr>
          <w:color w:val="231F20"/>
          <w:spacing w:val="-8"/>
          <w:w w:val="110"/>
        </w:rPr>
        <w:t>y, </w:t>
      </w:r>
      <w:r>
        <w:rPr>
          <w:color w:val="231F20"/>
          <w:w w:val="110"/>
        </w:rPr>
        <w:t>en los casos más radicales, de transición al socialismo. En general, el neonacionalismo</w:t>
      </w:r>
      <w:r>
        <w:rPr>
          <w:color w:val="231F20"/>
          <w:spacing w:val="54"/>
          <w:w w:val="110"/>
        </w:rPr>
        <w:t> </w:t>
      </w:r>
      <w:r>
        <w:rPr>
          <w:color w:val="231F20"/>
          <w:w w:val="110"/>
        </w:rPr>
        <w:t>asume</w:t>
      </w:r>
      <w:r>
        <w:rPr>
          <w:color w:val="231F20"/>
          <w:spacing w:val="7"/>
          <w:w w:val="110"/>
        </w:rPr>
        <w:t> </w:t>
      </w:r>
      <w:r>
        <w:rPr>
          <w:color w:val="231F20"/>
          <w:w w:val="110"/>
        </w:rPr>
        <w:t>una</w:t>
      </w:r>
      <w:r>
        <w:rPr>
          <w:color w:val="231F20"/>
          <w:w w:val="114"/>
        </w:rPr>
        <w:t> </w:t>
      </w:r>
      <w:r>
        <w:rPr>
          <w:color w:val="231F20"/>
          <w:w w:val="110"/>
        </w:rPr>
        <w:t>perspectiva latinoamericanista y sus mayores expresiones son</w:t>
      </w:r>
      <w:r>
        <w:rPr>
          <w:color w:val="231F20"/>
          <w:spacing w:val="-4"/>
          <w:w w:val="110"/>
        </w:rPr>
        <w:t> </w:t>
      </w:r>
      <w:r>
        <w:rPr>
          <w:color w:val="231F20"/>
          <w:spacing w:val="-3"/>
          <w:w w:val="110"/>
        </w:rPr>
        <w:t>Vene- </w:t>
      </w:r>
      <w:r>
        <w:rPr>
          <w:color w:val="231F20"/>
          <w:w w:val="110"/>
        </w:rPr>
        <w:t>zuela,</w:t>
      </w:r>
      <w:r>
        <w:rPr>
          <w:color w:val="231F20"/>
          <w:spacing w:val="-15"/>
          <w:w w:val="110"/>
        </w:rPr>
        <w:t> </w:t>
      </w:r>
      <w:r>
        <w:rPr>
          <w:color w:val="231F20"/>
          <w:w w:val="110"/>
        </w:rPr>
        <w:t>Bolivia,</w:t>
      </w:r>
      <w:r>
        <w:rPr>
          <w:color w:val="231F20"/>
          <w:spacing w:val="-15"/>
          <w:w w:val="110"/>
        </w:rPr>
        <w:t> </w:t>
      </w:r>
      <w:r>
        <w:rPr>
          <w:color w:val="231F20"/>
          <w:spacing w:val="-3"/>
          <w:w w:val="110"/>
        </w:rPr>
        <w:t>Ecuador,</w:t>
      </w:r>
      <w:r>
        <w:rPr>
          <w:color w:val="231F20"/>
          <w:spacing w:val="-15"/>
          <w:w w:val="110"/>
        </w:rPr>
        <w:t> </w:t>
      </w:r>
      <w:r>
        <w:rPr>
          <w:color w:val="231F20"/>
          <w:w w:val="110"/>
        </w:rPr>
        <w:t>Paraguay,</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cuales</w:t>
      </w:r>
      <w:r>
        <w:rPr>
          <w:color w:val="231F20"/>
          <w:spacing w:val="-15"/>
          <w:w w:val="110"/>
        </w:rPr>
        <w:t> </w:t>
      </w:r>
      <w:r>
        <w:rPr>
          <w:color w:val="231F20"/>
          <w:w w:val="110"/>
        </w:rPr>
        <w:t>se</w:t>
      </w:r>
      <w:r>
        <w:rPr>
          <w:color w:val="231F20"/>
          <w:spacing w:val="-15"/>
          <w:w w:val="110"/>
        </w:rPr>
        <w:t> </w:t>
      </w:r>
      <w:r>
        <w:rPr>
          <w:color w:val="231F20"/>
          <w:w w:val="110"/>
        </w:rPr>
        <w:t>articulan</w:t>
      </w:r>
      <w:r>
        <w:rPr>
          <w:color w:val="231F20"/>
          <w:spacing w:val="-15"/>
          <w:w w:val="110"/>
        </w:rPr>
        <w:t> </w:t>
      </w:r>
      <w:r>
        <w:rPr>
          <w:color w:val="231F20"/>
          <w:w w:val="110"/>
        </w:rPr>
        <w:t>el</w:t>
      </w:r>
      <w:r>
        <w:rPr>
          <w:color w:val="231F20"/>
          <w:spacing w:val="-15"/>
          <w:w w:val="110"/>
        </w:rPr>
        <w:t> </w:t>
      </w:r>
      <w:r>
        <w:rPr>
          <w:color w:val="231F20"/>
          <w:w w:val="110"/>
        </w:rPr>
        <w:t>socialis- mo cubano y el sandinismo en Nicaragua. Argentina se articula con moderación y limitaciones a este</w:t>
      </w:r>
      <w:r>
        <w:rPr>
          <w:color w:val="231F20"/>
          <w:spacing w:val="7"/>
          <w:w w:val="110"/>
        </w:rPr>
        <w:t> </w:t>
      </w:r>
      <w:r>
        <w:rPr>
          <w:color w:val="231F20"/>
          <w:w w:val="110"/>
        </w:rPr>
        <w:t>proceso.</w:t>
      </w:r>
    </w:p>
    <w:p>
      <w:pPr>
        <w:pStyle w:val="BodyText"/>
        <w:spacing w:line="261" w:lineRule="auto"/>
        <w:ind w:left="100" w:right="117" w:firstLine="240"/>
        <w:jc w:val="both"/>
      </w:pPr>
      <w:r>
        <w:rPr>
          <w:color w:val="231F20"/>
          <w:w w:val="110"/>
        </w:rPr>
        <w:t>Brasil juega un papel central para el mantenimiento de la hege- monía de Estados Unidos en la región. Un nuevo patrón de desarro- llo para la región podrá desarrollarse con su aproximación al neona- cionalismo, articulando el continente en la formación de un nuevo bloque geopolítico con Asia y África. De mantenerse las tendencias actuales,</w:t>
      </w:r>
      <w:r>
        <w:rPr>
          <w:color w:val="231F20"/>
          <w:spacing w:val="-15"/>
          <w:w w:val="110"/>
        </w:rPr>
        <w:t> </w:t>
      </w:r>
      <w:r>
        <w:rPr>
          <w:color w:val="231F20"/>
          <w:w w:val="110"/>
        </w:rPr>
        <w:t>China</w:t>
      </w:r>
      <w:r>
        <w:rPr>
          <w:color w:val="231F20"/>
          <w:spacing w:val="-15"/>
          <w:w w:val="110"/>
        </w:rPr>
        <w:t> </w:t>
      </w:r>
      <w:r>
        <w:rPr>
          <w:color w:val="231F20"/>
          <w:w w:val="110"/>
        </w:rPr>
        <w:t>deberá</w:t>
      </w:r>
      <w:r>
        <w:rPr>
          <w:color w:val="231F20"/>
          <w:spacing w:val="-15"/>
          <w:w w:val="110"/>
        </w:rPr>
        <w:t> </w:t>
      </w:r>
      <w:r>
        <w:rPr>
          <w:color w:val="231F20"/>
          <w:spacing w:val="-5"/>
          <w:w w:val="110"/>
        </w:rPr>
        <w:t>ser,</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próximos</w:t>
      </w:r>
      <w:r>
        <w:rPr>
          <w:color w:val="231F20"/>
          <w:spacing w:val="-15"/>
          <w:w w:val="110"/>
        </w:rPr>
        <w:t> </w:t>
      </w:r>
      <w:r>
        <w:rPr>
          <w:color w:val="231F20"/>
          <w:w w:val="110"/>
        </w:rPr>
        <w:t>20</w:t>
      </w:r>
      <w:r>
        <w:rPr>
          <w:color w:val="231F20"/>
          <w:spacing w:val="-15"/>
          <w:w w:val="110"/>
        </w:rPr>
        <w:t> </w:t>
      </w:r>
      <w:r>
        <w:rPr>
          <w:color w:val="231F20"/>
          <w:w w:val="110"/>
        </w:rPr>
        <w:t>años,</w:t>
      </w:r>
      <w:r>
        <w:rPr>
          <w:color w:val="231F20"/>
          <w:spacing w:val="-15"/>
          <w:w w:val="110"/>
        </w:rPr>
        <w:t> </w:t>
      </w:r>
      <w:r>
        <w:rPr>
          <w:color w:val="231F20"/>
          <w:w w:val="110"/>
        </w:rPr>
        <w:t>el</w:t>
      </w:r>
      <w:r>
        <w:rPr>
          <w:color w:val="231F20"/>
          <w:spacing w:val="-15"/>
          <w:w w:val="110"/>
        </w:rPr>
        <w:t> </w:t>
      </w:r>
      <w:r>
        <w:rPr>
          <w:color w:val="231F20"/>
          <w:w w:val="110"/>
        </w:rPr>
        <w:t>principal</w:t>
      </w:r>
      <w:r>
        <w:rPr>
          <w:color w:val="231F20"/>
          <w:spacing w:val="-15"/>
          <w:w w:val="110"/>
        </w:rPr>
        <w:t> </w:t>
      </w:r>
      <w:r>
        <w:rPr>
          <w:color w:val="231F20"/>
          <w:w w:val="110"/>
        </w:rPr>
        <w:t>socio comercial de América Latina. La cuestión que se plantea es qué sig- nificará la aproximación con China: ¿la reprimarización de nuestras economías en el marco de una coyuntura de elevación de precios de los productos primarios, que deberá permanecer en el próximo de- cenio, provocada por la expansión de la demanda china; o la utiliza- ción de este momento favorable para invertir en excedentes comer- ciales</w:t>
      </w:r>
      <w:r>
        <w:rPr>
          <w:color w:val="231F20"/>
          <w:spacing w:val="-16"/>
          <w:w w:val="110"/>
        </w:rPr>
        <w:t> </w:t>
      </w:r>
      <w:r>
        <w:rPr>
          <w:color w:val="231F20"/>
          <w:w w:val="110"/>
        </w:rPr>
        <w:t>alcanzados</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elevación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cualificación,</w:t>
      </w:r>
      <w:r>
        <w:rPr>
          <w:color w:val="231F20"/>
          <w:spacing w:val="-16"/>
          <w:w w:val="110"/>
        </w:rPr>
        <w:t> </w:t>
      </w:r>
      <w:r>
        <w:rPr>
          <w:color w:val="231F20"/>
          <w:w w:val="110"/>
        </w:rPr>
        <w:t>salud</w:t>
      </w:r>
      <w:r>
        <w:rPr>
          <w:color w:val="231F20"/>
          <w:spacing w:val="-16"/>
          <w:w w:val="110"/>
        </w:rPr>
        <w:t> </w:t>
      </w:r>
      <w:r>
        <w:rPr>
          <w:color w:val="231F20"/>
          <w:w w:val="110"/>
        </w:rPr>
        <w:t>y</w:t>
      </w:r>
      <w:r>
        <w:rPr>
          <w:color w:val="231F20"/>
          <w:spacing w:val="-16"/>
          <w:w w:val="110"/>
        </w:rPr>
        <w:t> </w:t>
      </w:r>
      <w:r>
        <w:rPr>
          <w:color w:val="231F20"/>
          <w:w w:val="110"/>
        </w:rPr>
        <w:t>bienestar de nuestros pueblos y en el aumento de nuestra capacidad para ge- nerar valor</w:t>
      </w:r>
      <w:r>
        <w:rPr>
          <w:color w:val="231F20"/>
          <w:spacing w:val="4"/>
          <w:w w:val="110"/>
        </w:rPr>
        <w:t> </w:t>
      </w:r>
      <w:r>
        <w:rPr>
          <w:color w:val="231F20"/>
          <w:w w:val="110"/>
        </w:rPr>
        <w:t>agregado?</w:t>
      </w:r>
    </w:p>
    <w:p>
      <w:pPr>
        <w:pStyle w:val="BodyText"/>
        <w:spacing w:line="261" w:lineRule="auto"/>
        <w:ind w:left="100" w:right="117" w:firstLine="240"/>
        <w:jc w:val="both"/>
      </w:pPr>
      <w:r>
        <w:rPr>
          <w:color w:val="231F20"/>
          <w:w w:val="110"/>
        </w:rPr>
        <w:t>La respuesta a esta pregunta dependerá de las luchas políticas y sociales en la región. En el caso de que predomine la articulación entre neoliberales y tercera vía, la reprimarización de nuestra</w:t>
      </w:r>
      <w:r>
        <w:rPr>
          <w:color w:val="231F20"/>
          <w:spacing w:val="-29"/>
          <w:w w:val="110"/>
        </w:rPr>
        <w:t> </w:t>
      </w:r>
      <w:r>
        <w:rPr>
          <w:color w:val="231F20"/>
          <w:w w:val="110"/>
        </w:rPr>
        <w:t>econo- mía profundizará las desigualdades internas, la sobreexplotación del trabajo, provocará el fortalecimiento de la fracción agroexportadora en las burguesías locales, produciendo un periodo de crecimiento económico ecológicamente predatorio y de baja sustentabilidad. En caso de que el neonacionalismo consiga atraer hacia sí el centro político de la región, se podrá abrir el espacio para un nuevo diseño de políticas públicas con impactos no sólo regionales, sino globales rumbo a la transición a un mundo </w:t>
      </w:r>
      <w:r>
        <w:rPr>
          <w:color w:val="231F20"/>
          <w:spacing w:val="51"/>
          <w:w w:val="110"/>
        </w:rPr>
        <w:t> </w:t>
      </w:r>
      <w:r>
        <w:rPr>
          <w:color w:val="231F20"/>
          <w:w w:val="110"/>
        </w:rPr>
        <w:t>multipolar.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before="63"/>
        <w:ind w:left="100" w:right="25"/>
        <w:rPr>
          <w:rFonts w:ascii="Calibri" w:hAnsi="Calibri"/>
        </w:rPr>
      </w:pPr>
      <w:r>
        <w:rPr>
          <w:rFonts w:ascii="Calibri" w:hAnsi="Calibri"/>
          <w:color w:val="231F20"/>
          <w:w w:val="130"/>
        </w:rPr>
        <w:t>bibliografía</w:t>
      </w:r>
    </w:p>
    <w:p>
      <w:pPr>
        <w:pStyle w:val="BodyText"/>
        <w:spacing w:before="4"/>
        <w:rPr>
          <w:rFonts w:ascii="Calibri"/>
        </w:rPr>
      </w:pPr>
    </w:p>
    <w:p>
      <w:pPr>
        <w:spacing w:before="0"/>
        <w:ind w:left="100" w:right="25" w:firstLine="0"/>
        <w:jc w:val="left"/>
        <w:rPr>
          <w:sz w:val="18"/>
        </w:rPr>
      </w:pPr>
      <w:r>
        <w:rPr>
          <w:color w:val="231F20"/>
          <w:w w:val="105"/>
          <w:sz w:val="18"/>
        </w:rPr>
        <w:t>Arrighi, Giovanni, 1996, </w:t>
      </w:r>
      <w:r>
        <w:rPr>
          <w:i/>
          <w:color w:val="231F20"/>
          <w:w w:val="105"/>
          <w:sz w:val="18"/>
        </w:rPr>
        <w:t>O longo século </w:t>
      </w:r>
      <w:r>
        <w:rPr>
          <w:i/>
          <w:color w:val="231F20"/>
          <w:w w:val="105"/>
          <w:sz w:val="13"/>
        </w:rPr>
        <w:t>xx</w:t>
      </w:r>
      <w:r>
        <w:rPr>
          <w:color w:val="231F20"/>
          <w:w w:val="105"/>
          <w:sz w:val="18"/>
        </w:rPr>
        <w:t>, Río de Janeiro,    Contraponto.</w:t>
      </w:r>
    </w:p>
    <w:p>
      <w:pPr>
        <w:tabs>
          <w:tab w:pos="54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 1997, </w:t>
      </w:r>
      <w:r>
        <w:rPr>
          <w:i/>
          <w:color w:val="231F20"/>
          <w:sz w:val="18"/>
        </w:rPr>
        <w:t>A ilusão do desenvolvimento</w:t>
      </w:r>
      <w:r>
        <w:rPr>
          <w:color w:val="231F20"/>
          <w:sz w:val="18"/>
        </w:rPr>
        <w:t>, Petrópolis, Vozes,  </w:t>
      </w:r>
      <w:r>
        <w:rPr>
          <w:color w:val="231F20"/>
          <w:spacing w:val="18"/>
          <w:sz w:val="18"/>
        </w:rPr>
        <w:t> </w:t>
      </w:r>
      <w:r>
        <w:rPr>
          <w:color w:val="231F20"/>
          <w:sz w:val="18"/>
        </w:rPr>
        <w:t>1997.</w:t>
      </w:r>
    </w:p>
    <w:p>
      <w:pPr>
        <w:spacing w:line="254" w:lineRule="auto" w:before="13"/>
        <w:ind w:left="340" w:right="117" w:hanging="240"/>
        <w:jc w:val="both"/>
        <w:rPr>
          <w:sz w:val="18"/>
        </w:rPr>
      </w:pPr>
      <w:r>
        <w:rPr>
          <w:color w:val="231F20"/>
          <w:w w:val="104"/>
          <w:sz w:val="18"/>
          <w:u w:val="single" w:color="221E1F"/>
        </w:rPr>
        <w:t> </w:t>
      </w:r>
      <w:r>
        <w:rPr>
          <w:color w:val="231F20"/>
          <w:sz w:val="18"/>
          <w:u w:val="single" w:color="221E1F"/>
        </w:rPr>
        <w:t>         </w:t>
      </w:r>
      <w:r>
        <w:rPr>
          <w:color w:val="231F20"/>
          <w:sz w:val="18"/>
        </w:rPr>
        <w:t> y B. Silver, 1999, </w:t>
      </w:r>
      <w:r>
        <w:rPr>
          <w:i/>
          <w:color w:val="231F20"/>
          <w:sz w:val="18"/>
        </w:rPr>
        <w:t>Chaos, governance and modern world system</w:t>
      </w:r>
      <w:r>
        <w:rPr>
          <w:color w:val="231F20"/>
          <w:sz w:val="18"/>
        </w:rPr>
        <w:t>, Minnesotta Press.</w:t>
      </w:r>
    </w:p>
    <w:p>
      <w:pPr>
        <w:spacing w:before="1"/>
        <w:ind w:left="100" w:right="25" w:firstLine="0"/>
        <w:jc w:val="left"/>
        <w:rPr>
          <w:sz w:val="18"/>
        </w:rPr>
      </w:pPr>
      <w:r>
        <w:rPr>
          <w:color w:val="231F20"/>
          <w:w w:val="110"/>
          <w:sz w:val="18"/>
        </w:rPr>
        <w:t>Council of Economi Adviser, 2008, Economic Report of The President.</w:t>
      </w:r>
    </w:p>
    <w:p>
      <w:pPr>
        <w:spacing w:line="254" w:lineRule="auto" w:before="13"/>
        <w:ind w:left="340" w:right="117" w:hanging="240"/>
        <w:jc w:val="both"/>
        <w:rPr>
          <w:sz w:val="18"/>
        </w:rPr>
      </w:pPr>
      <w:r>
        <w:rPr>
          <w:color w:val="231F20"/>
          <w:sz w:val="18"/>
        </w:rPr>
        <w:t>Dos Santos, Thetonio, 2000, </w:t>
      </w:r>
      <w:r>
        <w:rPr>
          <w:i/>
          <w:color w:val="231F20"/>
          <w:sz w:val="18"/>
        </w:rPr>
        <w:t>A teoria da dependência: balanço e perspectivas</w:t>
      </w:r>
      <w:r>
        <w:rPr>
          <w:color w:val="231F20"/>
          <w:sz w:val="18"/>
        </w:rPr>
        <w:t>, Río de  Janeiro,  Civilização  Brasileira.</w:t>
      </w:r>
    </w:p>
    <w:p>
      <w:pPr>
        <w:spacing w:line="254" w:lineRule="auto" w:before="1"/>
        <w:ind w:left="340" w:right="115" w:hanging="240"/>
        <w:jc w:val="both"/>
        <w:rPr>
          <w:sz w:val="18"/>
        </w:rPr>
      </w:pPr>
      <w:r>
        <w:rPr>
          <w:color w:val="231F20"/>
          <w:sz w:val="18"/>
        </w:rPr>
        <w:t>Freeman, C., J. Clark, L. Soete, 1982, </w:t>
      </w:r>
      <w:r>
        <w:rPr>
          <w:i/>
          <w:color w:val="231F20"/>
          <w:sz w:val="18"/>
        </w:rPr>
        <w:t>Unemployment and technical innovation:     </w:t>
      </w:r>
      <w:r>
        <w:rPr>
          <w:i/>
          <w:color w:val="231F20"/>
          <w:sz w:val="18"/>
        </w:rPr>
        <w:t>a study of long waves and economic development</w:t>
      </w:r>
      <w:r>
        <w:rPr>
          <w:color w:val="231F20"/>
          <w:sz w:val="18"/>
        </w:rPr>
        <w:t>, Londres, Francis Pinter Publishers.</w:t>
      </w:r>
    </w:p>
    <w:p>
      <w:pPr>
        <w:spacing w:before="1"/>
        <w:ind w:left="100" w:right="25" w:firstLine="0"/>
        <w:jc w:val="left"/>
        <w:rPr>
          <w:sz w:val="18"/>
        </w:rPr>
      </w:pPr>
      <w:r>
        <w:rPr>
          <w:color w:val="231F20"/>
          <w:sz w:val="18"/>
        </w:rPr>
        <w:t>Kondratiev, Nicolai, 1992, </w:t>
      </w:r>
      <w:r>
        <w:rPr>
          <w:i/>
          <w:color w:val="231F20"/>
          <w:sz w:val="18"/>
        </w:rPr>
        <w:t>Los ciclos largos de la coyuntura economica</w:t>
      </w:r>
      <w:r>
        <w:rPr>
          <w:color w:val="231F20"/>
          <w:sz w:val="18"/>
        </w:rPr>
        <w:t>,   México,</w:t>
      </w:r>
    </w:p>
    <w:p>
      <w:pPr>
        <w:spacing w:before="13"/>
        <w:ind w:left="340" w:right="25" w:firstLine="0"/>
        <w:jc w:val="left"/>
        <w:rPr>
          <w:sz w:val="18"/>
        </w:rPr>
      </w:pPr>
      <w:r>
        <w:rPr>
          <w:color w:val="231F20"/>
          <w:w w:val="110"/>
          <w:sz w:val="18"/>
        </w:rPr>
        <w:t>unam.</w:t>
      </w:r>
    </w:p>
    <w:p>
      <w:pPr>
        <w:spacing w:line="254" w:lineRule="auto" w:before="13"/>
        <w:ind w:left="340" w:right="119" w:hanging="240"/>
        <w:jc w:val="both"/>
        <w:rPr>
          <w:sz w:val="18"/>
        </w:rPr>
      </w:pPr>
      <w:r>
        <w:rPr>
          <w:color w:val="231F20"/>
          <w:sz w:val="18"/>
        </w:rPr>
        <w:t>Maddison, Angus, 1997, </w:t>
      </w:r>
      <w:r>
        <w:rPr>
          <w:i/>
          <w:color w:val="231F20"/>
          <w:sz w:val="18"/>
        </w:rPr>
        <w:t>La economía mundial 1820-1992: análisis y estadísticas</w:t>
      </w:r>
      <w:r>
        <w:rPr>
          <w:color w:val="231F20"/>
          <w:sz w:val="18"/>
        </w:rPr>
        <w:t>, París,   ocde.</w:t>
      </w:r>
    </w:p>
    <w:p>
      <w:pPr>
        <w:tabs>
          <w:tab w:pos="54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 1998, </w:t>
      </w:r>
      <w:r>
        <w:rPr>
          <w:i/>
          <w:color w:val="231F20"/>
          <w:sz w:val="18"/>
        </w:rPr>
        <w:t>Chinese economic performance in the long run</w:t>
      </w:r>
      <w:r>
        <w:rPr>
          <w:color w:val="231F20"/>
          <w:sz w:val="18"/>
        </w:rPr>
        <w:t>, París, ocde, </w:t>
      </w:r>
      <w:r>
        <w:rPr>
          <w:color w:val="231F20"/>
          <w:spacing w:val="36"/>
          <w:sz w:val="18"/>
        </w:rPr>
        <w:t> </w:t>
      </w:r>
      <w:r>
        <w:rPr>
          <w:color w:val="231F20"/>
          <w:sz w:val="18"/>
        </w:rPr>
        <w:t>1998.</w:t>
      </w:r>
    </w:p>
    <w:p>
      <w:pPr>
        <w:tabs>
          <w:tab w:pos="54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 2001, </w:t>
      </w:r>
      <w:r>
        <w:rPr>
          <w:i/>
          <w:color w:val="231F20"/>
          <w:sz w:val="18"/>
        </w:rPr>
        <w:t>The world economy: a millennial perspective</w:t>
      </w:r>
      <w:r>
        <w:rPr>
          <w:color w:val="231F20"/>
          <w:sz w:val="18"/>
        </w:rPr>
        <w:t>, París,</w:t>
      </w:r>
      <w:r>
        <w:rPr>
          <w:color w:val="231F20"/>
          <w:spacing w:val="27"/>
          <w:sz w:val="18"/>
        </w:rPr>
        <w:t> </w:t>
      </w:r>
      <w:r>
        <w:rPr>
          <w:color w:val="231F20"/>
          <w:sz w:val="18"/>
        </w:rPr>
        <w:t>ocde.</w:t>
      </w:r>
    </w:p>
    <w:p>
      <w:pPr>
        <w:spacing w:line="254" w:lineRule="auto" w:before="13"/>
        <w:ind w:left="340" w:right="119" w:hanging="240"/>
        <w:jc w:val="both"/>
        <w:rPr>
          <w:sz w:val="18"/>
        </w:rPr>
      </w:pPr>
      <w:r>
        <w:rPr>
          <w:color w:val="231F20"/>
          <w:sz w:val="18"/>
        </w:rPr>
        <w:t>Mandel, Ernst, 1980, </w:t>
      </w:r>
      <w:r>
        <w:rPr>
          <w:i/>
          <w:color w:val="231F20"/>
          <w:sz w:val="18"/>
        </w:rPr>
        <w:t>Long waves of capitalism development: the marxist interpre- </w:t>
      </w:r>
      <w:r>
        <w:rPr>
          <w:i/>
          <w:color w:val="231F20"/>
          <w:sz w:val="18"/>
        </w:rPr>
        <w:t>tation</w:t>
      </w:r>
      <w:r>
        <w:rPr>
          <w:color w:val="231F20"/>
          <w:sz w:val="18"/>
        </w:rPr>
        <w:t>,  Cambridge,  Cambridge  University   Press.</w:t>
      </w:r>
    </w:p>
    <w:p>
      <w:pPr>
        <w:tabs>
          <w:tab w:pos="54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1985, </w:t>
      </w:r>
      <w:r>
        <w:rPr>
          <w:i/>
          <w:color w:val="231F20"/>
          <w:w w:val="105"/>
          <w:sz w:val="18"/>
        </w:rPr>
        <w:t>O capitalismo tardio</w:t>
      </w:r>
      <w:r>
        <w:rPr>
          <w:color w:val="231F20"/>
          <w:w w:val="105"/>
          <w:sz w:val="18"/>
        </w:rPr>
        <w:t>, São Paulo, Abril</w:t>
      </w:r>
      <w:r>
        <w:rPr>
          <w:color w:val="231F20"/>
          <w:spacing w:val="-31"/>
          <w:w w:val="105"/>
          <w:sz w:val="18"/>
        </w:rPr>
        <w:t> </w:t>
      </w:r>
      <w:r>
        <w:rPr>
          <w:color w:val="231F20"/>
          <w:w w:val="105"/>
          <w:sz w:val="18"/>
        </w:rPr>
        <w:t>Cultural.</w:t>
      </w:r>
    </w:p>
    <w:p>
      <w:pPr>
        <w:spacing w:line="254" w:lineRule="auto" w:before="13"/>
        <w:ind w:left="73" w:right="118" w:firstLine="0"/>
        <w:jc w:val="right"/>
        <w:rPr>
          <w:i/>
          <w:sz w:val="18"/>
        </w:rPr>
      </w:pPr>
      <w:r>
        <w:rPr>
          <w:color w:val="231F20"/>
          <w:w w:val="105"/>
          <w:sz w:val="18"/>
        </w:rPr>
        <w:t>Marini,</w:t>
      </w:r>
      <w:r>
        <w:rPr>
          <w:color w:val="231F20"/>
          <w:spacing w:val="-13"/>
          <w:w w:val="105"/>
          <w:sz w:val="18"/>
        </w:rPr>
        <w:t> </w:t>
      </w:r>
      <w:r>
        <w:rPr>
          <w:color w:val="231F20"/>
          <w:w w:val="105"/>
          <w:sz w:val="18"/>
        </w:rPr>
        <w:t>Ruy</w:t>
      </w:r>
      <w:r>
        <w:rPr>
          <w:color w:val="231F20"/>
          <w:spacing w:val="-13"/>
          <w:w w:val="105"/>
          <w:sz w:val="18"/>
        </w:rPr>
        <w:t> </w:t>
      </w:r>
      <w:r>
        <w:rPr>
          <w:color w:val="231F20"/>
          <w:w w:val="105"/>
          <w:sz w:val="18"/>
        </w:rPr>
        <w:t>Mauro,</w:t>
      </w:r>
      <w:r>
        <w:rPr>
          <w:color w:val="231F20"/>
          <w:spacing w:val="-13"/>
          <w:w w:val="105"/>
          <w:sz w:val="18"/>
        </w:rPr>
        <w:t> </w:t>
      </w:r>
      <w:r>
        <w:rPr>
          <w:color w:val="231F20"/>
          <w:w w:val="105"/>
          <w:sz w:val="18"/>
        </w:rPr>
        <w:t>1973,</w:t>
      </w:r>
      <w:r>
        <w:rPr>
          <w:color w:val="231F20"/>
          <w:spacing w:val="-13"/>
          <w:w w:val="105"/>
          <w:sz w:val="18"/>
        </w:rPr>
        <w:t> </w:t>
      </w:r>
      <w:r>
        <w:rPr>
          <w:i/>
          <w:color w:val="231F20"/>
          <w:w w:val="105"/>
          <w:sz w:val="18"/>
        </w:rPr>
        <w:t>Dialéctica</w:t>
      </w:r>
      <w:r>
        <w:rPr>
          <w:i/>
          <w:color w:val="231F20"/>
          <w:spacing w:val="-13"/>
          <w:w w:val="105"/>
          <w:sz w:val="18"/>
        </w:rPr>
        <w:t> </w:t>
      </w:r>
      <w:r>
        <w:rPr>
          <w:i/>
          <w:color w:val="231F20"/>
          <w:w w:val="105"/>
          <w:sz w:val="18"/>
        </w:rPr>
        <w:t>de</w:t>
      </w:r>
      <w:r>
        <w:rPr>
          <w:i/>
          <w:color w:val="231F20"/>
          <w:spacing w:val="-13"/>
          <w:w w:val="105"/>
          <w:sz w:val="18"/>
        </w:rPr>
        <w:t> </w:t>
      </w:r>
      <w:r>
        <w:rPr>
          <w:i/>
          <w:color w:val="231F20"/>
          <w:w w:val="105"/>
          <w:sz w:val="18"/>
        </w:rPr>
        <w:t>la</w:t>
      </w:r>
      <w:r>
        <w:rPr>
          <w:i/>
          <w:color w:val="231F20"/>
          <w:spacing w:val="-13"/>
          <w:w w:val="105"/>
          <w:sz w:val="18"/>
        </w:rPr>
        <w:t> </w:t>
      </w:r>
      <w:r>
        <w:rPr>
          <w:i/>
          <w:color w:val="231F20"/>
          <w:w w:val="105"/>
          <w:sz w:val="18"/>
        </w:rPr>
        <w:t>dependencia</w:t>
      </w:r>
      <w:r>
        <w:rPr>
          <w:color w:val="231F20"/>
          <w:w w:val="105"/>
          <w:sz w:val="18"/>
        </w:rPr>
        <w:t>,</w:t>
      </w:r>
      <w:r>
        <w:rPr>
          <w:color w:val="231F20"/>
          <w:spacing w:val="-13"/>
          <w:w w:val="105"/>
          <w:sz w:val="18"/>
        </w:rPr>
        <w:t> </w:t>
      </w:r>
      <w:r>
        <w:rPr>
          <w:color w:val="231F20"/>
          <w:w w:val="105"/>
          <w:sz w:val="18"/>
        </w:rPr>
        <w:t>México,</w:t>
      </w:r>
      <w:r>
        <w:rPr>
          <w:color w:val="231F20"/>
          <w:spacing w:val="-13"/>
          <w:w w:val="105"/>
          <w:sz w:val="18"/>
        </w:rPr>
        <w:t> </w:t>
      </w:r>
      <w:r>
        <w:rPr>
          <w:color w:val="231F20"/>
          <w:w w:val="105"/>
          <w:sz w:val="18"/>
        </w:rPr>
        <w:t>Ediciones</w:t>
      </w:r>
      <w:r>
        <w:rPr>
          <w:color w:val="231F20"/>
          <w:spacing w:val="-13"/>
          <w:w w:val="105"/>
          <w:sz w:val="18"/>
        </w:rPr>
        <w:t> </w:t>
      </w:r>
      <w:r>
        <w:rPr>
          <w:color w:val="231F20"/>
          <w:w w:val="105"/>
          <w:sz w:val="18"/>
        </w:rPr>
        <w:t>Era.</w:t>
      </w:r>
      <w:r>
        <w:rPr>
          <w:color w:val="231F20"/>
          <w:w w:val="107"/>
          <w:sz w:val="18"/>
        </w:rPr>
        <w:t> </w:t>
      </w:r>
      <w:r>
        <w:rPr>
          <w:color w:val="231F20"/>
          <w:w w:val="105"/>
          <w:sz w:val="18"/>
        </w:rPr>
        <w:t>Martins, Carlos Eduardo, 2008, “A conjuntura contemporânea e</w:t>
      </w:r>
      <w:r>
        <w:rPr>
          <w:color w:val="231F20"/>
          <w:spacing w:val="25"/>
          <w:w w:val="105"/>
          <w:sz w:val="18"/>
        </w:rPr>
        <w:t> </w:t>
      </w:r>
      <w:r>
        <w:rPr>
          <w:color w:val="231F20"/>
          <w:w w:val="105"/>
          <w:sz w:val="18"/>
        </w:rPr>
        <w:t>o</w:t>
      </w:r>
      <w:r>
        <w:rPr>
          <w:color w:val="231F20"/>
          <w:spacing w:val="44"/>
          <w:w w:val="105"/>
          <w:sz w:val="18"/>
        </w:rPr>
        <w:t> </w:t>
      </w:r>
      <w:r>
        <w:rPr>
          <w:color w:val="231F20"/>
          <w:w w:val="105"/>
          <w:sz w:val="18"/>
        </w:rPr>
        <w:t>sistema</w:t>
      </w:r>
      <w:r>
        <w:rPr>
          <w:color w:val="231F20"/>
          <w:w w:val="105"/>
          <w:sz w:val="18"/>
        </w:rPr>
        <w:t> </w:t>
      </w:r>
      <w:r>
        <w:rPr>
          <w:color w:val="231F20"/>
          <w:w w:val="105"/>
          <w:sz w:val="18"/>
        </w:rPr>
        <w:t>mundial:</w:t>
      </w:r>
      <w:r>
        <w:rPr>
          <w:color w:val="231F20"/>
          <w:spacing w:val="-6"/>
          <w:w w:val="105"/>
          <w:sz w:val="18"/>
        </w:rPr>
        <w:t> </w:t>
      </w:r>
      <w:r>
        <w:rPr>
          <w:color w:val="231F20"/>
          <w:w w:val="105"/>
          <w:sz w:val="18"/>
        </w:rPr>
        <w:t>os</w:t>
      </w:r>
      <w:r>
        <w:rPr>
          <w:color w:val="231F20"/>
          <w:spacing w:val="-6"/>
          <w:w w:val="105"/>
          <w:sz w:val="18"/>
        </w:rPr>
        <w:t> </w:t>
      </w:r>
      <w:r>
        <w:rPr>
          <w:color w:val="231F20"/>
          <w:w w:val="105"/>
          <w:sz w:val="18"/>
        </w:rPr>
        <w:t>desafios</w:t>
      </w:r>
      <w:r>
        <w:rPr>
          <w:color w:val="231F20"/>
          <w:spacing w:val="-6"/>
          <w:w w:val="105"/>
          <w:sz w:val="18"/>
        </w:rPr>
        <w:t> </w:t>
      </w:r>
      <w:r>
        <w:rPr>
          <w:color w:val="231F20"/>
          <w:w w:val="105"/>
          <w:sz w:val="18"/>
        </w:rPr>
        <w:t>da</w:t>
      </w:r>
      <w:r>
        <w:rPr>
          <w:color w:val="231F20"/>
          <w:spacing w:val="-6"/>
          <w:w w:val="105"/>
          <w:sz w:val="18"/>
        </w:rPr>
        <w:t> </w:t>
      </w:r>
      <w:r>
        <w:rPr>
          <w:color w:val="231F20"/>
          <w:w w:val="105"/>
          <w:sz w:val="18"/>
        </w:rPr>
        <w:t>América</w:t>
      </w:r>
      <w:r>
        <w:rPr>
          <w:color w:val="231F20"/>
          <w:spacing w:val="-6"/>
          <w:w w:val="105"/>
          <w:sz w:val="18"/>
        </w:rPr>
        <w:t> </w:t>
      </w:r>
      <w:r>
        <w:rPr>
          <w:color w:val="231F20"/>
          <w:w w:val="105"/>
          <w:sz w:val="18"/>
        </w:rPr>
        <w:t>Latina</w:t>
      </w:r>
      <w:r>
        <w:rPr>
          <w:color w:val="231F20"/>
          <w:spacing w:val="-6"/>
          <w:w w:val="105"/>
          <w:sz w:val="18"/>
        </w:rPr>
        <w:t> </w:t>
      </w:r>
      <w:r>
        <w:rPr>
          <w:color w:val="231F20"/>
          <w:w w:val="105"/>
          <w:sz w:val="18"/>
        </w:rPr>
        <w:t>no</w:t>
      </w:r>
      <w:r>
        <w:rPr>
          <w:color w:val="231F20"/>
          <w:spacing w:val="-6"/>
          <w:w w:val="105"/>
          <w:sz w:val="18"/>
        </w:rPr>
        <w:t> </w:t>
      </w:r>
      <w:r>
        <w:rPr>
          <w:color w:val="231F20"/>
          <w:w w:val="105"/>
          <w:sz w:val="18"/>
        </w:rPr>
        <w:t>século</w:t>
      </w:r>
      <w:r>
        <w:rPr>
          <w:color w:val="231F20"/>
          <w:spacing w:val="-6"/>
          <w:w w:val="105"/>
          <w:sz w:val="18"/>
        </w:rPr>
        <w:t> </w:t>
      </w:r>
      <w:r>
        <w:rPr>
          <w:color w:val="231F20"/>
          <w:w w:val="105"/>
          <w:sz w:val="18"/>
        </w:rPr>
        <w:t>xxi”</w:t>
      </w:r>
      <w:r>
        <w:rPr>
          <w:color w:val="231F20"/>
          <w:spacing w:val="-6"/>
          <w:w w:val="105"/>
          <w:sz w:val="18"/>
        </w:rPr>
        <w:t> </w:t>
      </w:r>
      <w:r>
        <w:rPr>
          <w:color w:val="231F20"/>
          <w:w w:val="105"/>
          <w:sz w:val="18"/>
        </w:rPr>
        <w:t>en</w:t>
      </w:r>
      <w:r>
        <w:rPr>
          <w:color w:val="231F20"/>
          <w:spacing w:val="-6"/>
          <w:w w:val="105"/>
          <w:sz w:val="18"/>
        </w:rPr>
        <w:t> </w:t>
      </w:r>
      <w:r>
        <w:rPr>
          <w:i/>
          <w:color w:val="231F20"/>
          <w:w w:val="105"/>
          <w:sz w:val="18"/>
        </w:rPr>
        <w:t>Paises</w:t>
      </w:r>
      <w:r>
        <w:rPr>
          <w:i/>
          <w:color w:val="231F20"/>
          <w:spacing w:val="-6"/>
          <w:w w:val="105"/>
          <w:sz w:val="18"/>
        </w:rPr>
        <w:t> </w:t>
      </w:r>
      <w:r>
        <w:rPr>
          <w:i/>
          <w:color w:val="231F20"/>
          <w:w w:val="105"/>
          <w:sz w:val="18"/>
        </w:rPr>
        <w:t>emergentes</w:t>
      </w:r>
    </w:p>
    <w:p>
      <w:pPr>
        <w:spacing w:before="1"/>
        <w:ind w:left="340" w:right="25" w:firstLine="0"/>
        <w:jc w:val="left"/>
        <w:rPr>
          <w:sz w:val="18"/>
        </w:rPr>
      </w:pPr>
      <w:r>
        <w:rPr>
          <w:i/>
          <w:color w:val="231F20"/>
          <w:sz w:val="18"/>
        </w:rPr>
        <w:t>e os novos caminhos da modernidade</w:t>
      </w:r>
      <w:r>
        <w:rPr>
          <w:color w:val="231F20"/>
          <w:sz w:val="18"/>
        </w:rPr>
        <w:t>, 1 ed. Brasilia, unesco, v. 1, p. 31-51.</w:t>
      </w:r>
    </w:p>
    <w:p>
      <w:pPr>
        <w:spacing w:line="254" w:lineRule="auto" w:before="13"/>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w:t>
      </w:r>
      <w:r>
        <w:rPr>
          <w:color w:val="231F20"/>
          <w:spacing w:val="-15"/>
          <w:sz w:val="18"/>
        </w:rPr>
        <w:t> </w:t>
      </w:r>
      <w:r>
        <w:rPr>
          <w:color w:val="231F20"/>
          <w:sz w:val="18"/>
        </w:rPr>
        <w:t>2003,</w:t>
      </w:r>
      <w:r>
        <w:rPr>
          <w:color w:val="231F20"/>
          <w:spacing w:val="-15"/>
          <w:sz w:val="18"/>
        </w:rPr>
        <w:t> </w:t>
      </w:r>
      <w:r>
        <w:rPr>
          <w:i/>
          <w:color w:val="231F20"/>
          <w:sz w:val="18"/>
        </w:rPr>
        <w:t>Globalização</w:t>
      </w:r>
      <w:r>
        <w:rPr>
          <w:i/>
          <w:color w:val="231F20"/>
          <w:spacing w:val="-15"/>
          <w:sz w:val="18"/>
        </w:rPr>
        <w:t> </w:t>
      </w:r>
      <w:r>
        <w:rPr>
          <w:i/>
          <w:color w:val="231F20"/>
          <w:sz w:val="18"/>
        </w:rPr>
        <w:t>dependencia</w:t>
      </w:r>
      <w:r>
        <w:rPr>
          <w:i/>
          <w:color w:val="231F20"/>
          <w:spacing w:val="-15"/>
          <w:sz w:val="18"/>
        </w:rPr>
        <w:t> </w:t>
      </w:r>
      <w:r>
        <w:rPr>
          <w:i/>
          <w:color w:val="231F20"/>
          <w:sz w:val="18"/>
        </w:rPr>
        <w:t>e</w:t>
      </w:r>
      <w:r>
        <w:rPr>
          <w:i/>
          <w:color w:val="231F20"/>
          <w:spacing w:val="-15"/>
          <w:sz w:val="18"/>
        </w:rPr>
        <w:t> </w:t>
      </w:r>
      <w:r>
        <w:rPr>
          <w:i/>
          <w:color w:val="231F20"/>
          <w:sz w:val="18"/>
        </w:rPr>
        <w:t>neoliberalismo</w:t>
      </w:r>
      <w:r>
        <w:rPr>
          <w:i/>
          <w:color w:val="231F20"/>
          <w:spacing w:val="-15"/>
          <w:sz w:val="18"/>
        </w:rPr>
        <w:t> </w:t>
      </w:r>
      <w:r>
        <w:rPr>
          <w:i/>
          <w:color w:val="231F20"/>
          <w:sz w:val="18"/>
        </w:rPr>
        <w:t>na</w:t>
      </w:r>
      <w:r>
        <w:rPr>
          <w:i/>
          <w:color w:val="231F20"/>
          <w:spacing w:val="-15"/>
          <w:sz w:val="18"/>
        </w:rPr>
        <w:t> </w:t>
      </w:r>
      <w:r>
        <w:rPr>
          <w:i/>
          <w:color w:val="231F20"/>
          <w:sz w:val="18"/>
        </w:rPr>
        <w:t>América</w:t>
      </w:r>
      <w:r>
        <w:rPr>
          <w:i/>
          <w:color w:val="231F20"/>
          <w:spacing w:val="-15"/>
          <w:sz w:val="18"/>
        </w:rPr>
        <w:t> </w:t>
      </w:r>
      <w:r>
        <w:rPr>
          <w:i/>
          <w:color w:val="231F20"/>
          <w:sz w:val="18"/>
        </w:rPr>
        <w:t>Latina</w:t>
      </w:r>
      <w:r>
        <w:rPr>
          <w:color w:val="231F20"/>
          <w:sz w:val="18"/>
        </w:rPr>
        <w:t>,</w:t>
      </w:r>
      <w:r>
        <w:rPr>
          <w:color w:val="231F20"/>
          <w:spacing w:val="-15"/>
          <w:sz w:val="18"/>
        </w:rPr>
        <w:t> </w:t>
      </w:r>
      <w:r>
        <w:rPr>
          <w:color w:val="231F20"/>
          <w:sz w:val="18"/>
        </w:rPr>
        <w:t>tese</w:t>
      </w:r>
      <w:r>
        <w:rPr>
          <w:color w:val="231F20"/>
          <w:spacing w:val="-15"/>
          <w:sz w:val="18"/>
        </w:rPr>
        <w:t> </w:t>
      </w:r>
      <w:r>
        <w:rPr>
          <w:color w:val="231F20"/>
          <w:sz w:val="18"/>
        </w:rPr>
        <w:t>de </w:t>
      </w:r>
      <w:r>
        <w:rPr>
          <w:color w:val="231F20"/>
          <w:w w:val="105"/>
          <w:sz w:val="18"/>
        </w:rPr>
        <w:t>doutorado  apresentada  ao  departamento  de  Sociologia  da </w:t>
      </w:r>
      <w:r>
        <w:rPr>
          <w:color w:val="231F20"/>
          <w:spacing w:val="7"/>
          <w:w w:val="105"/>
          <w:sz w:val="18"/>
        </w:rPr>
        <w:t> </w:t>
      </w:r>
      <w:r>
        <w:rPr>
          <w:color w:val="231F20"/>
          <w:w w:val="105"/>
          <w:sz w:val="18"/>
        </w:rPr>
        <w:t>usp.</w:t>
      </w:r>
    </w:p>
    <w:p>
      <w:pPr>
        <w:spacing w:line="254" w:lineRule="auto" w:before="1"/>
        <w:ind w:left="340" w:right="118" w:hanging="240"/>
        <w:jc w:val="both"/>
        <w:rPr>
          <w:sz w:val="18"/>
        </w:rPr>
      </w:pPr>
      <w:r>
        <w:rPr>
          <w:color w:val="231F20"/>
          <w:w w:val="105"/>
          <w:sz w:val="18"/>
        </w:rPr>
        <w:t>Marx, Karl, 1985, </w:t>
      </w:r>
      <w:r>
        <w:rPr>
          <w:i/>
          <w:color w:val="231F20"/>
          <w:w w:val="105"/>
          <w:sz w:val="18"/>
        </w:rPr>
        <w:t>O capital, livro 1, </w:t>
      </w:r>
      <w:r>
        <w:rPr>
          <w:color w:val="231F20"/>
          <w:w w:val="105"/>
          <w:sz w:val="18"/>
        </w:rPr>
        <w:t>“O processo de produção do capital”, 10. ed., São Paulo, Difel. 2  v.</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1983-a, </w:t>
      </w:r>
      <w:r>
        <w:rPr>
          <w:i/>
          <w:color w:val="231F20"/>
          <w:w w:val="105"/>
          <w:sz w:val="18"/>
        </w:rPr>
        <w:t>O capital</w:t>
      </w:r>
      <w:r>
        <w:rPr>
          <w:color w:val="231F20"/>
          <w:w w:val="105"/>
          <w:sz w:val="18"/>
        </w:rPr>
        <w:t>, livro 2, “O processo de circulação do capital”, 4. ed., São Paulo, Difel, 3 v.</w:t>
      </w:r>
    </w:p>
    <w:p>
      <w:pPr>
        <w:tabs>
          <w:tab w:pos="54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1983-b, </w:t>
      </w:r>
      <w:r>
        <w:rPr>
          <w:i/>
          <w:color w:val="231F20"/>
          <w:w w:val="105"/>
          <w:sz w:val="18"/>
        </w:rPr>
        <w:t>O capital</w:t>
      </w:r>
      <w:r>
        <w:rPr>
          <w:color w:val="231F20"/>
          <w:w w:val="105"/>
          <w:sz w:val="18"/>
        </w:rPr>
        <w:t>, livro 3, “O processo global de produção </w:t>
      </w:r>
      <w:r>
        <w:rPr>
          <w:color w:val="231F20"/>
          <w:spacing w:val="5"/>
          <w:w w:val="105"/>
          <w:sz w:val="18"/>
        </w:rPr>
        <w:t> </w:t>
      </w:r>
      <w:r>
        <w:rPr>
          <w:color w:val="231F20"/>
          <w:w w:val="105"/>
          <w:sz w:val="18"/>
        </w:rPr>
        <w:t>capitalista”,</w:t>
      </w:r>
    </w:p>
    <w:p>
      <w:pPr>
        <w:spacing w:before="13"/>
        <w:ind w:left="340" w:right="25" w:firstLine="0"/>
        <w:jc w:val="left"/>
        <w:rPr>
          <w:sz w:val="18"/>
        </w:rPr>
      </w:pPr>
      <w:r>
        <w:rPr>
          <w:color w:val="231F20"/>
          <w:w w:val="105"/>
          <w:sz w:val="18"/>
        </w:rPr>
        <w:t>4. ed., São Paulo, Difel, 6  v.</w:t>
      </w:r>
    </w:p>
    <w:p>
      <w:pPr>
        <w:spacing w:line="254" w:lineRule="auto" w:before="13"/>
        <w:ind w:left="340" w:right="113" w:hanging="240"/>
        <w:jc w:val="both"/>
        <w:rPr>
          <w:sz w:val="18"/>
        </w:rPr>
      </w:pPr>
      <w:r>
        <w:rPr>
          <w:color w:val="231F20"/>
          <w:w w:val="104"/>
          <w:sz w:val="18"/>
          <w:u w:val="single" w:color="221E1F"/>
        </w:rPr>
        <w:t> </w:t>
      </w:r>
      <w:r>
        <w:rPr>
          <w:color w:val="231F20"/>
          <w:sz w:val="18"/>
          <w:u w:val="single" w:color="221E1F"/>
        </w:rPr>
        <w:t>         </w:t>
      </w:r>
      <w:r>
        <w:rPr>
          <w:color w:val="231F20"/>
          <w:sz w:val="18"/>
        </w:rPr>
        <w:t>, 1987-a, </w:t>
      </w:r>
      <w:r>
        <w:rPr>
          <w:i/>
          <w:color w:val="231F20"/>
          <w:sz w:val="18"/>
        </w:rPr>
        <w:t>Elementos fundamentales para la crítica de la economía política </w:t>
      </w:r>
      <w:r>
        <w:rPr>
          <w:i/>
          <w:color w:val="231F20"/>
          <w:sz w:val="18"/>
        </w:rPr>
        <w:t>(Grundrisse): borrador 1857-1858</w:t>
      </w:r>
      <w:r>
        <w:rPr>
          <w:color w:val="231F20"/>
          <w:sz w:val="18"/>
        </w:rPr>
        <w:t>, vol. 1, 15a. ed., México, Siglo XXI Edi- tores.</w:t>
      </w:r>
    </w:p>
    <w:p>
      <w:pPr>
        <w:spacing w:line="254" w:lineRule="auto" w:before="1"/>
        <w:ind w:left="340" w:right="113" w:hanging="240"/>
        <w:jc w:val="both"/>
        <w:rPr>
          <w:sz w:val="18"/>
        </w:rPr>
      </w:pPr>
      <w:r>
        <w:rPr>
          <w:color w:val="231F20"/>
          <w:w w:val="104"/>
          <w:sz w:val="18"/>
          <w:u w:val="single" w:color="221E1F"/>
        </w:rPr>
        <w:t> </w:t>
      </w:r>
      <w:r>
        <w:rPr>
          <w:color w:val="231F20"/>
          <w:sz w:val="18"/>
          <w:u w:val="single" w:color="221E1F"/>
        </w:rPr>
        <w:t>         </w:t>
      </w:r>
      <w:r>
        <w:rPr>
          <w:color w:val="231F20"/>
          <w:sz w:val="18"/>
        </w:rPr>
        <w:t>, 1987-b, </w:t>
      </w:r>
      <w:r>
        <w:rPr>
          <w:i/>
          <w:color w:val="231F20"/>
          <w:sz w:val="18"/>
        </w:rPr>
        <w:t>Elementos fundamentales para la crítica de la economía política </w:t>
      </w:r>
      <w:r>
        <w:rPr>
          <w:i/>
          <w:color w:val="231F20"/>
          <w:sz w:val="18"/>
        </w:rPr>
        <w:t>(Grundrisse): borrador 1857-1858</w:t>
      </w:r>
      <w:r>
        <w:rPr>
          <w:color w:val="231F20"/>
          <w:sz w:val="18"/>
        </w:rPr>
        <w:t>, vol. 2, 15a. ed., México, Siglo XXI Edi- tores.</w:t>
      </w:r>
    </w:p>
    <w:p>
      <w:pPr>
        <w:spacing w:line="254" w:lineRule="auto" w:before="1"/>
        <w:ind w:left="340" w:right="116" w:hanging="240"/>
        <w:jc w:val="both"/>
        <w:rPr>
          <w:sz w:val="18"/>
        </w:rPr>
      </w:pPr>
      <w:r>
        <w:rPr>
          <w:color w:val="231F20"/>
          <w:w w:val="104"/>
          <w:sz w:val="18"/>
          <w:u w:val="single" w:color="221E1F"/>
        </w:rPr>
        <w:t> </w:t>
      </w:r>
      <w:r>
        <w:rPr>
          <w:color w:val="231F20"/>
          <w:sz w:val="18"/>
          <w:u w:val="single" w:color="221E1F"/>
        </w:rPr>
        <w:t>         </w:t>
      </w:r>
      <w:r>
        <w:rPr>
          <w:color w:val="231F20"/>
          <w:sz w:val="18"/>
        </w:rPr>
        <w:t>, 1987-c, </w:t>
      </w:r>
      <w:r>
        <w:rPr>
          <w:i/>
          <w:color w:val="231F20"/>
          <w:sz w:val="18"/>
        </w:rPr>
        <w:t>Elementos fundamentales para la crítica de la economía política </w:t>
      </w:r>
      <w:r>
        <w:rPr>
          <w:i/>
          <w:color w:val="231F20"/>
          <w:sz w:val="18"/>
        </w:rPr>
        <w:t>(Grundrisse): borrador 1857-1858</w:t>
      </w:r>
      <w:r>
        <w:rPr>
          <w:color w:val="231F20"/>
          <w:sz w:val="18"/>
        </w:rPr>
        <w:t>, vol. 3, 15a. ed., México, Siglo XXI Edi- tores.</w:t>
      </w:r>
    </w:p>
    <w:p>
      <w:pPr>
        <w:spacing w:line="254" w:lineRule="auto" w:before="1"/>
        <w:ind w:left="340" w:right="117" w:hanging="240"/>
        <w:jc w:val="both"/>
        <w:rPr>
          <w:sz w:val="18"/>
        </w:rPr>
      </w:pPr>
      <w:r>
        <w:rPr>
          <w:color w:val="231F20"/>
          <w:w w:val="105"/>
          <w:sz w:val="18"/>
        </w:rPr>
        <w:t>Office</w:t>
      </w:r>
      <w:r>
        <w:rPr>
          <w:color w:val="231F20"/>
          <w:spacing w:val="-24"/>
          <w:w w:val="105"/>
          <w:sz w:val="18"/>
        </w:rPr>
        <w:t> </w:t>
      </w:r>
      <w:r>
        <w:rPr>
          <w:color w:val="231F20"/>
          <w:w w:val="105"/>
          <w:sz w:val="18"/>
        </w:rPr>
        <w:t>of</w:t>
      </w:r>
      <w:r>
        <w:rPr>
          <w:color w:val="231F20"/>
          <w:spacing w:val="-24"/>
          <w:w w:val="105"/>
          <w:sz w:val="18"/>
        </w:rPr>
        <w:t> </w:t>
      </w:r>
      <w:r>
        <w:rPr>
          <w:color w:val="231F20"/>
          <w:w w:val="105"/>
          <w:sz w:val="18"/>
        </w:rPr>
        <w:t>Manangement</w:t>
      </w:r>
      <w:r>
        <w:rPr>
          <w:color w:val="231F20"/>
          <w:spacing w:val="-24"/>
          <w:w w:val="105"/>
          <w:sz w:val="18"/>
        </w:rPr>
        <w:t> </w:t>
      </w:r>
      <w:r>
        <w:rPr>
          <w:color w:val="231F20"/>
          <w:w w:val="105"/>
          <w:sz w:val="18"/>
        </w:rPr>
        <w:t>and</w:t>
      </w:r>
      <w:r>
        <w:rPr>
          <w:color w:val="231F20"/>
          <w:spacing w:val="-24"/>
          <w:w w:val="105"/>
          <w:sz w:val="18"/>
        </w:rPr>
        <w:t> </w:t>
      </w:r>
      <w:r>
        <w:rPr>
          <w:color w:val="231F20"/>
          <w:w w:val="105"/>
          <w:sz w:val="18"/>
        </w:rPr>
        <w:t>Budget,</w:t>
      </w:r>
      <w:r>
        <w:rPr>
          <w:color w:val="231F20"/>
          <w:spacing w:val="-24"/>
          <w:w w:val="105"/>
          <w:sz w:val="18"/>
        </w:rPr>
        <w:t> </w:t>
      </w:r>
      <w:r>
        <w:rPr>
          <w:color w:val="231F20"/>
          <w:w w:val="105"/>
          <w:sz w:val="18"/>
        </w:rPr>
        <w:t>2009,</w:t>
      </w:r>
      <w:r>
        <w:rPr>
          <w:color w:val="231F20"/>
          <w:spacing w:val="-24"/>
          <w:w w:val="105"/>
          <w:sz w:val="18"/>
        </w:rPr>
        <w:t> </w:t>
      </w:r>
      <w:r>
        <w:rPr>
          <w:i/>
          <w:color w:val="231F20"/>
          <w:w w:val="105"/>
          <w:sz w:val="18"/>
        </w:rPr>
        <w:t>A</w:t>
      </w:r>
      <w:r>
        <w:rPr>
          <w:i/>
          <w:color w:val="231F20"/>
          <w:spacing w:val="-24"/>
          <w:w w:val="105"/>
          <w:sz w:val="18"/>
        </w:rPr>
        <w:t> </w:t>
      </w:r>
      <w:r>
        <w:rPr>
          <w:i/>
          <w:color w:val="231F20"/>
          <w:w w:val="105"/>
          <w:sz w:val="18"/>
        </w:rPr>
        <w:t>new</w:t>
      </w:r>
      <w:r>
        <w:rPr>
          <w:i/>
          <w:color w:val="231F20"/>
          <w:spacing w:val="-24"/>
          <w:w w:val="105"/>
          <w:sz w:val="18"/>
        </w:rPr>
        <w:t> </w:t>
      </w:r>
      <w:r>
        <w:rPr>
          <w:i/>
          <w:color w:val="231F20"/>
          <w:w w:val="105"/>
          <w:sz w:val="18"/>
        </w:rPr>
        <w:t>Era</w:t>
      </w:r>
      <w:r>
        <w:rPr>
          <w:i/>
          <w:color w:val="231F20"/>
          <w:spacing w:val="-24"/>
          <w:w w:val="105"/>
          <w:sz w:val="18"/>
        </w:rPr>
        <w:t> </w:t>
      </w:r>
      <w:r>
        <w:rPr>
          <w:i/>
          <w:color w:val="231F20"/>
          <w:w w:val="105"/>
          <w:sz w:val="18"/>
        </w:rPr>
        <w:t>of</w:t>
      </w:r>
      <w:r>
        <w:rPr>
          <w:i/>
          <w:color w:val="231F20"/>
          <w:spacing w:val="-24"/>
          <w:w w:val="105"/>
          <w:sz w:val="18"/>
        </w:rPr>
        <w:t> </w:t>
      </w:r>
      <w:r>
        <w:rPr>
          <w:i/>
          <w:color w:val="231F20"/>
          <w:w w:val="105"/>
          <w:sz w:val="18"/>
        </w:rPr>
        <w:t>Responsibility:</w:t>
      </w:r>
      <w:r>
        <w:rPr>
          <w:i/>
          <w:color w:val="231F20"/>
          <w:spacing w:val="-24"/>
          <w:w w:val="105"/>
          <w:sz w:val="18"/>
        </w:rPr>
        <w:t> </w:t>
      </w:r>
      <w:r>
        <w:rPr>
          <w:i/>
          <w:color w:val="231F20"/>
          <w:w w:val="105"/>
          <w:sz w:val="18"/>
        </w:rPr>
        <w:t>Renewing </w:t>
      </w:r>
      <w:r>
        <w:rPr>
          <w:i/>
          <w:color w:val="231F20"/>
          <w:w w:val="90"/>
          <w:sz w:val="18"/>
        </w:rPr>
        <w:t>America </w:t>
      </w:r>
      <w:r>
        <w:rPr>
          <w:i/>
          <w:color w:val="231F20"/>
          <w:spacing w:val="1"/>
          <w:w w:val="90"/>
          <w:sz w:val="18"/>
        </w:rPr>
        <w:t> </w:t>
      </w:r>
      <w:r>
        <w:rPr>
          <w:i/>
          <w:color w:val="231F20"/>
          <w:w w:val="90"/>
          <w:sz w:val="18"/>
        </w:rPr>
        <w:t>Promise´s</w:t>
      </w:r>
      <w:r>
        <w:rPr>
          <w:color w:val="231F20"/>
          <w:w w:val="90"/>
          <w:sz w:val="18"/>
        </w:rPr>
        <w:t>.</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7" w:hanging="240"/>
        <w:jc w:val="both"/>
        <w:rPr>
          <w:sz w:val="18"/>
        </w:rPr>
      </w:pPr>
      <w:r>
        <w:rPr>
          <w:color w:val="231F20"/>
          <w:sz w:val="18"/>
        </w:rPr>
        <w:t>Perez,</w:t>
      </w:r>
      <w:r>
        <w:rPr>
          <w:color w:val="231F20"/>
          <w:spacing w:val="-19"/>
          <w:sz w:val="18"/>
        </w:rPr>
        <w:t> </w:t>
      </w:r>
      <w:r>
        <w:rPr>
          <w:color w:val="231F20"/>
          <w:sz w:val="18"/>
        </w:rPr>
        <w:t>Carlota,</w:t>
      </w:r>
      <w:r>
        <w:rPr>
          <w:color w:val="231F20"/>
          <w:spacing w:val="-19"/>
          <w:sz w:val="18"/>
        </w:rPr>
        <w:t> </w:t>
      </w:r>
      <w:r>
        <w:rPr>
          <w:color w:val="231F20"/>
          <w:sz w:val="18"/>
        </w:rPr>
        <w:t>1989,</w:t>
      </w:r>
      <w:r>
        <w:rPr>
          <w:color w:val="231F20"/>
          <w:spacing w:val="-19"/>
          <w:sz w:val="18"/>
        </w:rPr>
        <w:t> </w:t>
      </w:r>
      <w:r>
        <w:rPr>
          <w:i/>
          <w:color w:val="231F20"/>
          <w:sz w:val="18"/>
        </w:rPr>
        <w:t>The</w:t>
      </w:r>
      <w:r>
        <w:rPr>
          <w:i/>
          <w:color w:val="231F20"/>
          <w:spacing w:val="-19"/>
          <w:sz w:val="18"/>
        </w:rPr>
        <w:t> </w:t>
      </w:r>
      <w:r>
        <w:rPr>
          <w:i/>
          <w:color w:val="231F20"/>
          <w:sz w:val="18"/>
        </w:rPr>
        <w:t>present</w:t>
      </w:r>
      <w:r>
        <w:rPr>
          <w:i/>
          <w:color w:val="231F20"/>
          <w:spacing w:val="-19"/>
          <w:sz w:val="18"/>
        </w:rPr>
        <w:t> </w:t>
      </w:r>
      <w:r>
        <w:rPr>
          <w:i/>
          <w:color w:val="231F20"/>
          <w:sz w:val="18"/>
        </w:rPr>
        <w:t>wave</w:t>
      </w:r>
      <w:r>
        <w:rPr>
          <w:i/>
          <w:color w:val="231F20"/>
          <w:spacing w:val="-19"/>
          <w:sz w:val="18"/>
        </w:rPr>
        <w:t> </w:t>
      </w:r>
      <w:r>
        <w:rPr>
          <w:i/>
          <w:color w:val="231F20"/>
          <w:sz w:val="18"/>
        </w:rPr>
        <w:t>of</w:t>
      </w:r>
      <w:r>
        <w:rPr>
          <w:i/>
          <w:color w:val="231F20"/>
          <w:spacing w:val="-19"/>
          <w:sz w:val="18"/>
        </w:rPr>
        <w:t> </w:t>
      </w:r>
      <w:r>
        <w:rPr>
          <w:i/>
          <w:color w:val="231F20"/>
          <w:sz w:val="18"/>
        </w:rPr>
        <w:t>technical</w:t>
      </w:r>
      <w:r>
        <w:rPr>
          <w:i/>
          <w:color w:val="231F20"/>
          <w:spacing w:val="-19"/>
          <w:sz w:val="18"/>
        </w:rPr>
        <w:t> </w:t>
      </w:r>
      <w:r>
        <w:rPr>
          <w:i/>
          <w:color w:val="231F20"/>
          <w:sz w:val="18"/>
        </w:rPr>
        <w:t>change:</w:t>
      </w:r>
      <w:r>
        <w:rPr>
          <w:i/>
          <w:color w:val="231F20"/>
          <w:spacing w:val="-19"/>
          <w:sz w:val="18"/>
        </w:rPr>
        <w:t> </w:t>
      </w:r>
      <w:r>
        <w:rPr>
          <w:i/>
          <w:color w:val="231F20"/>
          <w:sz w:val="18"/>
        </w:rPr>
        <w:t>implications</w:t>
      </w:r>
      <w:r>
        <w:rPr>
          <w:i/>
          <w:color w:val="231F20"/>
          <w:spacing w:val="-19"/>
          <w:sz w:val="18"/>
        </w:rPr>
        <w:t> </w:t>
      </w:r>
      <w:r>
        <w:rPr>
          <w:i/>
          <w:color w:val="231F20"/>
          <w:sz w:val="18"/>
        </w:rPr>
        <w:t>for</w:t>
      </w:r>
      <w:r>
        <w:rPr>
          <w:i/>
          <w:color w:val="231F20"/>
          <w:spacing w:val="-19"/>
          <w:sz w:val="18"/>
        </w:rPr>
        <w:t> </w:t>
      </w:r>
      <w:r>
        <w:rPr>
          <w:i/>
          <w:color w:val="231F20"/>
          <w:sz w:val="18"/>
        </w:rPr>
        <w:t>competi- </w:t>
      </w:r>
      <w:r>
        <w:rPr>
          <w:i/>
          <w:color w:val="231F20"/>
          <w:sz w:val="18"/>
        </w:rPr>
        <w:t>tive</w:t>
      </w:r>
      <w:r>
        <w:rPr>
          <w:i/>
          <w:color w:val="231F20"/>
          <w:spacing w:val="-20"/>
          <w:sz w:val="18"/>
        </w:rPr>
        <w:t> </w:t>
      </w:r>
      <w:r>
        <w:rPr>
          <w:i/>
          <w:color w:val="231F20"/>
          <w:sz w:val="18"/>
        </w:rPr>
        <w:t>restructuring</w:t>
      </w:r>
      <w:r>
        <w:rPr>
          <w:i/>
          <w:color w:val="231F20"/>
          <w:spacing w:val="-20"/>
          <w:sz w:val="18"/>
        </w:rPr>
        <w:t> </w:t>
      </w:r>
      <w:r>
        <w:rPr>
          <w:i/>
          <w:color w:val="231F20"/>
          <w:sz w:val="18"/>
        </w:rPr>
        <w:t>for</w:t>
      </w:r>
      <w:r>
        <w:rPr>
          <w:i/>
          <w:color w:val="231F20"/>
          <w:spacing w:val="-20"/>
          <w:sz w:val="18"/>
        </w:rPr>
        <w:t> </w:t>
      </w:r>
      <w:r>
        <w:rPr>
          <w:i/>
          <w:color w:val="231F20"/>
          <w:sz w:val="18"/>
        </w:rPr>
        <w:t>institucional</w:t>
      </w:r>
      <w:r>
        <w:rPr>
          <w:i/>
          <w:color w:val="231F20"/>
          <w:spacing w:val="-20"/>
          <w:sz w:val="18"/>
        </w:rPr>
        <w:t> </w:t>
      </w:r>
      <w:r>
        <w:rPr>
          <w:i/>
          <w:color w:val="231F20"/>
          <w:sz w:val="18"/>
        </w:rPr>
        <w:t>reform</w:t>
      </w:r>
      <w:r>
        <w:rPr>
          <w:i/>
          <w:color w:val="231F20"/>
          <w:spacing w:val="-20"/>
          <w:sz w:val="18"/>
        </w:rPr>
        <w:t> </w:t>
      </w:r>
      <w:r>
        <w:rPr>
          <w:i/>
          <w:color w:val="231F20"/>
          <w:sz w:val="18"/>
        </w:rPr>
        <w:t>in</w:t>
      </w:r>
      <w:r>
        <w:rPr>
          <w:i/>
          <w:color w:val="231F20"/>
          <w:spacing w:val="-20"/>
          <w:sz w:val="18"/>
        </w:rPr>
        <w:t> </w:t>
      </w:r>
      <w:r>
        <w:rPr>
          <w:i/>
          <w:color w:val="231F20"/>
          <w:sz w:val="18"/>
        </w:rPr>
        <w:t>developing</w:t>
      </w:r>
      <w:r>
        <w:rPr>
          <w:i/>
          <w:color w:val="231F20"/>
          <w:spacing w:val="-20"/>
          <w:sz w:val="18"/>
        </w:rPr>
        <w:t> </w:t>
      </w:r>
      <w:r>
        <w:rPr>
          <w:i/>
          <w:color w:val="231F20"/>
          <w:sz w:val="18"/>
        </w:rPr>
        <w:t>countries</w:t>
      </w:r>
      <w:r>
        <w:rPr>
          <w:color w:val="231F20"/>
          <w:sz w:val="18"/>
        </w:rPr>
        <w:t>,</w:t>
      </w:r>
      <w:r>
        <w:rPr>
          <w:color w:val="231F20"/>
          <w:spacing w:val="-20"/>
          <w:sz w:val="18"/>
        </w:rPr>
        <w:t> </w:t>
      </w:r>
      <w:r>
        <w:rPr>
          <w:color w:val="231F20"/>
          <w:sz w:val="18"/>
        </w:rPr>
        <w:t>mimeografado.</w:t>
      </w:r>
    </w:p>
    <w:p>
      <w:pPr>
        <w:tabs>
          <w:tab w:pos="549" w:val="left" w:leader="none"/>
        </w:tabs>
        <w:spacing w:line="254" w:lineRule="auto" w:before="1"/>
        <w:ind w:left="100" w:right="117" w:firstLine="0"/>
        <w:jc w:val="left"/>
        <w:rPr>
          <w:sz w:val="18"/>
        </w:rPr>
      </w:pPr>
      <w:r>
        <w:rPr>
          <w:color w:val="231F20"/>
          <w:w w:val="104"/>
          <w:sz w:val="18"/>
          <w:u w:val="single" w:color="221E1F"/>
        </w:rPr>
        <w:t> </w:t>
      </w:r>
      <w:r>
        <w:rPr>
          <w:color w:val="231F20"/>
          <w:sz w:val="18"/>
          <w:u w:val="single" w:color="221E1F"/>
        </w:rPr>
        <w:tab/>
      </w:r>
      <w:r>
        <w:rPr>
          <w:color w:val="231F20"/>
          <w:sz w:val="18"/>
        </w:rPr>
        <w:t>, 1986, </w:t>
      </w:r>
      <w:r>
        <w:rPr>
          <w:i/>
          <w:color w:val="231F20"/>
          <w:sz w:val="18"/>
        </w:rPr>
        <w:t>Las nuevas tecnologías: una visión de  </w:t>
      </w:r>
      <w:r>
        <w:rPr>
          <w:i/>
          <w:color w:val="231F20"/>
          <w:spacing w:val="34"/>
          <w:sz w:val="18"/>
        </w:rPr>
        <w:t> </w:t>
      </w:r>
      <w:r>
        <w:rPr>
          <w:i/>
          <w:color w:val="231F20"/>
          <w:sz w:val="18"/>
        </w:rPr>
        <w:t>conjunto</w:t>
      </w:r>
      <w:r>
        <w:rPr>
          <w:color w:val="231F20"/>
          <w:sz w:val="18"/>
        </w:rPr>
        <w:t>,</w:t>
      </w:r>
      <w:r>
        <w:rPr>
          <w:color w:val="231F20"/>
          <w:spacing w:val="15"/>
          <w:sz w:val="18"/>
        </w:rPr>
        <w:t> </w:t>
      </w:r>
      <w:r>
        <w:rPr>
          <w:color w:val="231F20"/>
          <w:sz w:val="18"/>
        </w:rPr>
        <w:t>mimeografado.</w:t>
      </w:r>
      <w:r>
        <w:rPr>
          <w:color w:val="231F20"/>
          <w:w w:val="109"/>
          <w:sz w:val="18"/>
        </w:rPr>
        <w:t> </w:t>
      </w:r>
      <w:r>
        <w:rPr>
          <w:color w:val="231F20"/>
          <w:sz w:val="18"/>
        </w:rPr>
        <w:t>Richta,  Radovan,  1971,  </w:t>
      </w:r>
      <w:r>
        <w:rPr>
          <w:i/>
          <w:color w:val="231F20"/>
          <w:sz w:val="18"/>
        </w:rPr>
        <w:t>La  civilización  en  la  encrucijada</w:t>
      </w:r>
      <w:r>
        <w:rPr>
          <w:color w:val="231F20"/>
          <w:sz w:val="18"/>
        </w:rPr>
        <w:t>,  México,  Siglo</w:t>
      </w:r>
      <w:r>
        <w:rPr>
          <w:color w:val="231F20"/>
          <w:spacing w:val="3"/>
          <w:sz w:val="18"/>
        </w:rPr>
        <w:t> </w:t>
      </w:r>
      <w:r>
        <w:rPr>
          <w:color w:val="231F20"/>
          <w:sz w:val="18"/>
        </w:rPr>
        <w:t>XXI</w:t>
      </w:r>
    </w:p>
    <w:p>
      <w:pPr>
        <w:spacing w:before="1"/>
        <w:ind w:left="340" w:right="25" w:firstLine="0"/>
        <w:jc w:val="left"/>
        <w:rPr>
          <w:sz w:val="18"/>
        </w:rPr>
      </w:pPr>
      <w:r>
        <w:rPr>
          <w:color w:val="231F20"/>
          <w:w w:val="110"/>
          <w:sz w:val="18"/>
        </w:rPr>
        <w:t>Editores.</w:t>
      </w:r>
    </w:p>
    <w:p>
      <w:pPr>
        <w:spacing w:line="254" w:lineRule="auto" w:before="13"/>
        <w:ind w:left="340" w:right="119" w:hanging="240"/>
        <w:jc w:val="both"/>
        <w:rPr>
          <w:sz w:val="18"/>
        </w:rPr>
      </w:pPr>
      <w:r>
        <w:rPr>
          <w:color w:val="231F20"/>
          <w:sz w:val="18"/>
        </w:rPr>
        <w:t>Schumpeter,</w:t>
      </w:r>
      <w:r>
        <w:rPr>
          <w:color w:val="231F20"/>
          <w:spacing w:val="-14"/>
          <w:sz w:val="18"/>
        </w:rPr>
        <w:t> </w:t>
      </w:r>
      <w:r>
        <w:rPr>
          <w:color w:val="231F20"/>
          <w:sz w:val="18"/>
        </w:rPr>
        <w:t>J.,</w:t>
      </w:r>
      <w:r>
        <w:rPr>
          <w:color w:val="231F20"/>
          <w:spacing w:val="-14"/>
          <w:sz w:val="18"/>
        </w:rPr>
        <w:t> </w:t>
      </w:r>
      <w:r>
        <w:rPr>
          <w:color w:val="231F20"/>
          <w:sz w:val="18"/>
        </w:rPr>
        <w:t>1989,</w:t>
      </w:r>
      <w:r>
        <w:rPr>
          <w:color w:val="231F20"/>
          <w:spacing w:val="-14"/>
          <w:sz w:val="18"/>
        </w:rPr>
        <w:t> </w:t>
      </w:r>
      <w:r>
        <w:rPr>
          <w:i/>
          <w:color w:val="231F20"/>
          <w:sz w:val="18"/>
        </w:rPr>
        <w:t>Business</w:t>
      </w:r>
      <w:r>
        <w:rPr>
          <w:i/>
          <w:color w:val="231F20"/>
          <w:spacing w:val="-14"/>
          <w:sz w:val="18"/>
        </w:rPr>
        <w:t> </w:t>
      </w:r>
      <w:r>
        <w:rPr>
          <w:i/>
          <w:color w:val="231F20"/>
          <w:sz w:val="18"/>
        </w:rPr>
        <w:t>cycles:</w:t>
      </w:r>
      <w:r>
        <w:rPr>
          <w:i/>
          <w:color w:val="231F20"/>
          <w:spacing w:val="-14"/>
          <w:sz w:val="18"/>
        </w:rPr>
        <w:t> </w:t>
      </w:r>
      <w:r>
        <w:rPr>
          <w:i/>
          <w:color w:val="231F20"/>
          <w:sz w:val="18"/>
        </w:rPr>
        <w:t>a</w:t>
      </w:r>
      <w:r>
        <w:rPr>
          <w:i/>
          <w:color w:val="231F20"/>
          <w:spacing w:val="-14"/>
          <w:sz w:val="18"/>
        </w:rPr>
        <w:t> </w:t>
      </w:r>
      <w:r>
        <w:rPr>
          <w:i/>
          <w:color w:val="231F20"/>
          <w:sz w:val="18"/>
        </w:rPr>
        <w:t>theoretical,</w:t>
      </w:r>
      <w:r>
        <w:rPr>
          <w:i/>
          <w:color w:val="231F20"/>
          <w:spacing w:val="-14"/>
          <w:sz w:val="18"/>
        </w:rPr>
        <w:t> </w:t>
      </w:r>
      <w:r>
        <w:rPr>
          <w:i/>
          <w:color w:val="231F20"/>
          <w:sz w:val="18"/>
        </w:rPr>
        <w:t>historical,</w:t>
      </w:r>
      <w:r>
        <w:rPr>
          <w:i/>
          <w:color w:val="231F20"/>
          <w:spacing w:val="-14"/>
          <w:sz w:val="18"/>
        </w:rPr>
        <w:t> </w:t>
      </w:r>
      <w:r>
        <w:rPr>
          <w:i/>
          <w:color w:val="231F20"/>
          <w:sz w:val="18"/>
        </w:rPr>
        <w:t>and</w:t>
      </w:r>
      <w:r>
        <w:rPr>
          <w:i/>
          <w:color w:val="231F20"/>
          <w:spacing w:val="-14"/>
          <w:sz w:val="18"/>
        </w:rPr>
        <w:t> </w:t>
      </w:r>
      <w:r>
        <w:rPr>
          <w:i/>
          <w:color w:val="231F20"/>
          <w:sz w:val="18"/>
        </w:rPr>
        <w:t>statistical</w:t>
      </w:r>
      <w:r>
        <w:rPr>
          <w:i/>
          <w:color w:val="231F20"/>
          <w:spacing w:val="-14"/>
          <w:sz w:val="18"/>
        </w:rPr>
        <w:t> </w:t>
      </w:r>
      <w:r>
        <w:rPr>
          <w:i/>
          <w:color w:val="231F20"/>
          <w:sz w:val="18"/>
        </w:rPr>
        <w:t>analy- </w:t>
      </w:r>
      <w:r>
        <w:rPr>
          <w:i/>
          <w:color w:val="231F20"/>
          <w:sz w:val="18"/>
        </w:rPr>
        <w:t>sis of the capitalist process</w:t>
      </w:r>
      <w:r>
        <w:rPr>
          <w:color w:val="231F20"/>
          <w:sz w:val="18"/>
        </w:rPr>
        <w:t>, Philadelphia, Porcupine  </w:t>
      </w:r>
      <w:r>
        <w:rPr>
          <w:color w:val="231F20"/>
          <w:spacing w:val="41"/>
          <w:sz w:val="18"/>
        </w:rPr>
        <w:t> </w:t>
      </w:r>
      <w:r>
        <w:rPr>
          <w:color w:val="231F20"/>
          <w:sz w:val="18"/>
        </w:rPr>
        <w:t>Press.</w:t>
      </w:r>
    </w:p>
    <w:p>
      <w:pPr>
        <w:spacing w:line="254" w:lineRule="auto" w:before="1"/>
        <w:ind w:left="340" w:right="117" w:hanging="240"/>
        <w:jc w:val="both"/>
        <w:rPr>
          <w:sz w:val="18"/>
        </w:rPr>
      </w:pPr>
      <w:r>
        <w:rPr>
          <w:color w:val="231F20"/>
          <w:sz w:val="18"/>
        </w:rPr>
        <w:t>Wallerstein, Immanuel, 1979, </w:t>
      </w:r>
      <w:r>
        <w:rPr>
          <w:i/>
          <w:color w:val="231F20"/>
          <w:sz w:val="18"/>
        </w:rPr>
        <w:t>El moderno sistema mundial I: la agricultura capi- </w:t>
      </w:r>
      <w:r>
        <w:rPr>
          <w:i/>
          <w:color w:val="231F20"/>
          <w:sz w:val="18"/>
        </w:rPr>
        <w:t>talista</w:t>
      </w:r>
      <w:r>
        <w:rPr>
          <w:i/>
          <w:color w:val="231F20"/>
          <w:spacing w:val="-11"/>
          <w:sz w:val="18"/>
        </w:rPr>
        <w:t> </w:t>
      </w:r>
      <w:r>
        <w:rPr>
          <w:i/>
          <w:color w:val="231F20"/>
          <w:sz w:val="18"/>
        </w:rPr>
        <w:t>y</w:t>
      </w:r>
      <w:r>
        <w:rPr>
          <w:i/>
          <w:color w:val="231F20"/>
          <w:spacing w:val="-11"/>
          <w:sz w:val="18"/>
        </w:rPr>
        <w:t> </w:t>
      </w:r>
      <w:r>
        <w:rPr>
          <w:i/>
          <w:color w:val="231F20"/>
          <w:sz w:val="18"/>
        </w:rPr>
        <w:t>los</w:t>
      </w:r>
      <w:r>
        <w:rPr>
          <w:i/>
          <w:color w:val="231F20"/>
          <w:spacing w:val="-11"/>
          <w:sz w:val="18"/>
        </w:rPr>
        <w:t> </w:t>
      </w:r>
      <w:r>
        <w:rPr>
          <w:i/>
          <w:color w:val="231F20"/>
          <w:sz w:val="18"/>
        </w:rPr>
        <w:t>orígenes</w:t>
      </w:r>
      <w:r>
        <w:rPr>
          <w:i/>
          <w:color w:val="231F20"/>
          <w:spacing w:val="-11"/>
          <w:sz w:val="18"/>
        </w:rPr>
        <w:t> </w:t>
      </w:r>
      <w:r>
        <w:rPr>
          <w:i/>
          <w:color w:val="231F20"/>
          <w:sz w:val="18"/>
        </w:rPr>
        <w:t>de</w:t>
      </w:r>
      <w:r>
        <w:rPr>
          <w:i/>
          <w:color w:val="231F20"/>
          <w:spacing w:val="-11"/>
          <w:sz w:val="18"/>
        </w:rPr>
        <w:t> </w:t>
      </w:r>
      <w:r>
        <w:rPr>
          <w:i/>
          <w:color w:val="231F20"/>
          <w:sz w:val="18"/>
        </w:rPr>
        <w:t>la</w:t>
      </w:r>
      <w:r>
        <w:rPr>
          <w:i/>
          <w:color w:val="231F20"/>
          <w:spacing w:val="-11"/>
          <w:sz w:val="18"/>
        </w:rPr>
        <w:t> </w:t>
      </w:r>
      <w:r>
        <w:rPr>
          <w:i/>
          <w:color w:val="231F20"/>
          <w:sz w:val="18"/>
        </w:rPr>
        <w:t>economía-mundo</w:t>
      </w:r>
      <w:r>
        <w:rPr>
          <w:i/>
          <w:color w:val="231F20"/>
          <w:spacing w:val="-11"/>
          <w:sz w:val="18"/>
        </w:rPr>
        <w:t> </w:t>
      </w:r>
      <w:r>
        <w:rPr>
          <w:i/>
          <w:color w:val="231F20"/>
          <w:sz w:val="18"/>
        </w:rPr>
        <w:t>europea</w:t>
      </w:r>
      <w:r>
        <w:rPr>
          <w:i/>
          <w:color w:val="231F20"/>
          <w:spacing w:val="-11"/>
          <w:sz w:val="18"/>
        </w:rPr>
        <w:t> </w:t>
      </w:r>
      <w:r>
        <w:rPr>
          <w:i/>
          <w:color w:val="231F20"/>
          <w:sz w:val="18"/>
        </w:rPr>
        <w:t>en</w:t>
      </w:r>
      <w:r>
        <w:rPr>
          <w:i/>
          <w:color w:val="231F20"/>
          <w:spacing w:val="-11"/>
          <w:sz w:val="18"/>
        </w:rPr>
        <w:t> </w:t>
      </w:r>
      <w:r>
        <w:rPr>
          <w:i/>
          <w:color w:val="231F20"/>
          <w:sz w:val="18"/>
        </w:rPr>
        <w:t>el</w:t>
      </w:r>
      <w:r>
        <w:rPr>
          <w:i/>
          <w:color w:val="231F20"/>
          <w:spacing w:val="-11"/>
          <w:sz w:val="18"/>
        </w:rPr>
        <w:t> </w:t>
      </w:r>
      <w:r>
        <w:rPr>
          <w:i/>
          <w:color w:val="231F20"/>
          <w:sz w:val="18"/>
        </w:rPr>
        <w:t>siglo</w:t>
      </w:r>
      <w:r>
        <w:rPr>
          <w:i/>
          <w:color w:val="231F20"/>
          <w:spacing w:val="-12"/>
          <w:sz w:val="18"/>
        </w:rPr>
        <w:t> </w:t>
      </w:r>
      <w:r>
        <w:rPr>
          <w:i/>
          <w:color w:val="231F20"/>
          <w:sz w:val="13"/>
        </w:rPr>
        <w:t>xvi</w:t>
      </w:r>
      <w:r>
        <w:rPr>
          <w:color w:val="231F20"/>
          <w:sz w:val="18"/>
        </w:rPr>
        <w:t>,</w:t>
      </w:r>
      <w:r>
        <w:rPr>
          <w:color w:val="231F20"/>
          <w:spacing w:val="-11"/>
          <w:sz w:val="18"/>
        </w:rPr>
        <w:t> </w:t>
      </w:r>
      <w:r>
        <w:rPr>
          <w:color w:val="231F20"/>
          <w:sz w:val="18"/>
        </w:rPr>
        <w:t>Madrid,</w:t>
      </w:r>
      <w:r>
        <w:rPr>
          <w:color w:val="231F20"/>
          <w:spacing w:val="-11"/>
          <w:sz w:val="18"/>
        </w:rPr>
        <w:t> </w:t>
      </w:r>
      <w:r>
        <w:rPr>
          <w:color w:val="231F20"/>
          <w:sz w:val="18"/>
        </w:rPr>
        <w:t>Siglo XXI  de  España </w:t>
      </w:r>
      <w:r>
        <w:rPr>
          <w:color w:val="231F20"/>
          <w:spacing w:val="35"/>
          <w:sz w:val="18"/>
        </w:rPr>
        <w:t> </w:t>
      </w:r>
      <w:r>
        <w:rPr>
          <w:color w:val="231F20"/>
          <w:sz w:val="18"/>
        </w:rPr>
        <w:t>Editores.</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w:t>
      </w:r>
      <w:r>
        <w:rPr>
          <w:color w:val="231F20"/>
          <w:spacing w:val="-23"/>
          <w:sz w:val="18"/>
        </w:rPr>
        <w:t> </w:t>
      </w:r>
      <w:r>
        <w:rPr>
          <w:color w:val="231F20"/>
          <w:sz w:val="18"/>
        </w:rPr>
        <w:t>1984,</w:t>
      </w:r>
      <w:r>
        <w:rPr>
          <w:color w:val="231F20"/>
          <w:spacing w:val="-23"/>
          <w:sz w:val="18"/>
        </w:rPr>
        <w:t> </w:t>
      </w:r>
      <w:r>
        <w:rPr>
          <w:i/>
          <w:color w:val="231F20"/>
          <w:sz w:val="18"/>
        </w:rPr>
        <w:t>El</w:t>
      </w:r>
      <w:r>
        <w:rPr>
          <w:i/>
          <w:color w:val="231F20"/>
          <w:spacing w:val="-23"/>
          <w:sz w:val="18"/>
        </w:rPr>
        <w:t> </w:t>
      </w:r>
      <w:r>
        <w:rPr>
          <w:i/>
          <w:color w:val="231F20"/>
          <w:sz w:val="18"/>
        </w:rPr>
        <w:t>moderno</w:t>
      </w:r>
      <w:r>
        <w:rPr>
          <w:i/>
          <w:color w:val="231F20"/>
          <w:spacing w:val="-23"/>
          <w:sz w:val="18"/>
        </w:rPr>
        <w:t> </w:t>
      </w:r>
      <w:r>
        <w:rPr>
          <w:i/>
          <w:color w:val="231F20"/>
          <w:sz w:val="18"/>
        </w:rPr>
        <w:t>sistema</w:t>
      </w:r>
      <w:r>
        <w:rPr>
          <w:i/>
          <w:color w:val="231F20"/>
          <w:spacing w:val="-23"/>
          <w:sz w:val="18"/>
        </w:rPr>
        <w:t> </w:t>
      </w:r>
      <w:r>
        <w:rPr>
          <w:i/>
          <w:color w:val="231F20"/>
          <w:sz w:val="18"/>
        </w:rPr>
        <w:t>mundial</w:t>
      </w:r>
      <w:r>
        <w:rPr>
          <w:i/>
          <w:color w:val="231F20"/>
          <w:spacing w:val="-23"/>
          <w:sz w:val="18"/>
        </w:rPr>
        <w:t> </w:t>
      </w:r>
      <w:r>
        <w:rPr>
          <w:i/>
          <w:color w:val="231F20"/>
          <w:sz w:val="18"/>
        </w:rPr>
        <w:t>II:</w:t>
      </w:r>
      <w:r>
        <w:rPr>
          <w:i/>
          <w:color w:val="231F20"/>
          <w:spacing w:val="-23"/>
          <w:sz w:val="18"/>
        </w:rPr>
        <w:t> </w:t>
      </w:r>
      <w:r>
        <w:rPr>
          <w:i/>
          <w:color w:val="231F20"/>
          <w:sz w:val="18"/>
        </w:rPr>
        <w:t>el</w:t>
      </w:r>
      <w:r>
        <w:rPr>
          <w:i/>
          <w:color w:val="231F20"/>
          <w:spacing w:val="-23"/>
          <w:sz w:val="18"/>
        </w:rPr>
        <w:t> </w:t>
      </w:r>
      <w:r>
        <w:rPr>
          <w:i/>
          <w:color w:val="231F20"/>
          <w:sz w:val="18"/>
        </w:rPr>
        <w:t>mercantilismo</w:t>
      </w:r>
      <w:r>
        <w:rPr>
          <w:i/>
          <w:color w:val="231F20"/>
          <w:spacing w:val="-23"/>
          <w:sz w:val="18"/>
        </w:rPr>
        <w:t> </w:t>
      </w:r>
      <w:r>
        <w:rPr>
          <w:i/>
          <w:color w:val="231F20"/>
          <w:sz w:val="18"/>
        </w:rPr>
        <w:t>y</w:t>
      </w:r>
      <w:r>
        <w:rPr>
          <w:i/>
          <w:color w:val="231F20"/>
          <w:spacing w:val="-23"/>
          <w:sz w:val="18"/>
        </w:rPr>
        <w:t> </w:t>
      </w:r>
      <w:r>
        <w:rPr>
          <w:i/>
          <w:color w:val="231F20"/>
          <w:sz w:val="18"/>
        </w:rPr>
        <w:t>la</w:t>
      </w:r>
      <w:r>
        <w:rPr>
          <w:i/>
          <w:color w:val="231F20"/>
          <w:spacing w:val="-23"/>
          <w:sz w:val="18"/>
        </w:rPr>
        <w:t> </w:t>
      </w:r>
      <w:r>
        <w:rPr>
          <w:i/>
          <w:color w:val="231F20"/>
          <w:sz w:val="18"/>
        </w:rPr>
        <w:t>consolidación</w:t>
      </w:r>
      <w:r>
        <w:rPr>
          <w:i/>
          <w:color w:val="231F20"/>
          <w:spacing w:val="-23"/>
          <w:sz w:val="18"/>
        </w:rPr>
        <w:t> </w:t>
      </w:r>
      <w:r>
        <w:rPr>
          <w:i/>
          <w:color w:val="231F20"/>
          <w:sz w:val="18"/>
        </w:rPr>
        <w:t>de</w:t>
      </w:r>
      <w:r>
        <w:rPr>
          <w:i/>
          <w:color w:val="231F20"/>
          <w:spacing w:val="-23"/>
          <w:sz w:val="18"/>
        </w:rPr>
        <w:t> </w:t>
      </w:r>
      <w:r>
        <w:rPr>
          <w:i/>
          <w:color w:val="231F20"/>
          <w:sz w:val="18"/>
        </w:rPr>
        <w:t>la </w:t>
      </w:r>
      <w:r>
        <w:rPr>
          <w:i/>
          <w:color w:val="231F20"/>
          <w:sz w:val="18"/>
        </w:rPr>
        <w:t>economía-mundo europea 1600-1750</w:t>
      </w:r>
      <w:r>
        <w:rPr>
          <w:color w:val="231F20"/>
          <w:sz w:val="18"/>
        </w:rPr>
        <w:t>, Madrid, Siglo XXI de España  </w:t>
      </w:r>
      <w:r>
        <w:rPr>
          <w:color w:val="231F20"/>
          <w:spacing w:val="31"/>
          <w:sz w:val="18"/>
        </w:rPr>
        <w:t> </w:t>
      </w:r>
      <w:r>
        <w:rPr>
          <w:color w:val="231F20"/>
          <w:sz w:val="18"/>
        </w:rPr>
        <w:t>Editores.</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 1998, </w:t>
      </w:r>
      <w:r>
        <w:rPr>
          <w:i/>
          <w:color w:val="231F20"/>
          <w:sz w:val="18"/>
        </w:rPr>
        <w:t>El moderno sistema mundial III: la segunda era de gran expansión </w:t>
      </w:r>
      <w:r>
        <w:rPr>
          <w:i/>
          <w:color w:val="231F20"/>
          <w:sz w:val="18"/>
        </w:rPr>
        <w:t>de la economía-mundo capitalista, 1730-1850</w:t>
      </w:r>
      <w:r>
        <w:rPr>
          <w:color w:val="231F20"/>
          <w:sz w:val="18"/>
        </w:rPr>
        <w:t>, Madrid, Siglo XXI de España Editores.</w:t>
      </w:r>
    </w:p>
    <w:p>
      <w:pPr>
        <w:spacing w:after="0" w:line="254" w:lineRule="auto"/>
        <w:jc w:val="both"/>
        <w:rPr>
          <w:sz w:val="18"/>
        </w:rPr>
        <w:sectPr>
          <w:headerReference w:type="even" r:id="rId74"/>
          <w:pgSz w:w="7640" w:h="11900"/>
          <w:pgMar w:header="672" w:footer="0" w:top="860" w:bottom="280" w:left="780" w:right="640"/>
        </w:sectPr>
      </w:pPr>
    </w:p>
    <w:p>
      <w:pPr>
        <w:pStyle w:val="BodyText"/>
        <w:spacing w:before="59"/>
        <w:ind w:left="100" w:right="25"/>
        <w:rPr>
          <w:sz w:val="13"/>
        </w:rPr>
      </w:pPr>
      <w:r>
        <w:rPr>
          <w:color w:val="231F20"/>
        </w:rPr>
        <w:t>CRÍTICA A LA INTERPRETACIÓN FINANCIERA DE LA   CRISIS</w:t>
      </w:r>
      <w:r>
        <w:rPr>
          <w:color w:val="231F20"/>
          <w:position w:val="6"/>
          <w:sz w:val="13"/>
        </w:rPr>
        <w:t>1</w:t>
      </w:r>
    </w:p>
    <w:p>
      <w:pPr>
        <w:pStyle w:val="BodyText"/>
        <w:spacing w:before="5"/>
        <w:rPr>
          <w:sz w:val="23"/>
        </w:rPr>
      </w:pPr>
    </w:p>
    <w:p>
      <w:pPr>
        <w:pStyle w:val="BodyText"/>
        <w:ind w:left="4000" w:right="25"/>
      </w:pPr>
      <w:r>
        <w:rPr>
          <w:color w:val="231F20"/>
          <w:w w:val="130"/>
        </w:rPr>
        <w:t>orlando caputo leiva</w:t>
      </w:r>
    </w:p>
    <w:p>
      <w:pPr>
        <w:pStyle w:val="BodyText"/>
      </w:pPr>
    </w:p>
    <w:p>
      <w:pPr>
        <w:pStyle w:val="BodyText"/>
      </w:pPr>
    </w:p>
    <w:p>
      <w:pPr>
        <w:pStyle w:val="BodyText"/>
        <w:spacing w:before="11"/>
        <w:rPr>
          <w:sz w:val="26"/>
        </w:rPr>
      </w:pPr>
    </w:p>
    <w:p>
      <w:pPr>
        <w:pStyle w:val="BodyText"/>
        <w:ind w:left="100" w:right="25"/>
      </w:pPr>
      <w:r>
        <w:rPr>
          <w:color w:val="231F20"/>
          <w:w w:val="130"/>
        </w:rPr>
        <w:t>introducción</w:t>
      </w:r>
    </w:p>
    <w:p>
      <w:pPr>
        <w:pStyle w:val="BodyText"/>
        <w:spacing w:before="5"/>
        <w:rPr>
          <w:sz w:val="23"/>
        </w:rPr>
      </w:pPr>
    </w:p>
    <w:p>
      <w:pPr>
        <w:pStyle w:val="BodyText"/>
        <w:spacing w:line="261" w:lineRule="auto"/>
        <w:ind w:left="73" w:right="117"/>
        <w:jc w:val="right"/>
      </w:pPr>
      <w:r>
        <w:rPr>
          <w:color w:val="231F20"/>
          <w:w w:val="110"/>
        </w:rPr>
        <w:t>En la actualidad existe un amplio reconocimiento de que en</w:t>
      </w:r>
      <w:r>
        <w:rPr>
          <w:color w:val="231F20"/>
          <w:spacing w:val="32"/>
          <w:w w:val="110"/>
        </w:rPr>
        <w:t> </w:t>
      </w:r>
      <w:r>
        <w:rPr>
          <w:color w:val="231F20"/>
          <w:w w:val="110"/>
        </w:rPr>
        <w:t>la</w:t>
      </w:r>
      <w:r>
        <w:rPr>
          <w:color w:val="231F20"/>
          <w:spacing w:val="8"/>
          <w:w w:val="110"/>
        </w:rPr>
        <w:t> </w:t>
      </w:r>
      <w:r>
        <w:rPr>
          <w:color w:val="231F20"/>
          <w:w w:val="110"/>
        </w:rPr>
        <w:t>eco-</w:t>
      </w:r>
      <w:r>
        <w:rPr>
          <w:color w:val="231F20"/>
          <w:w w:val="72"/>
        </w:rPr>
        <w:t> </w:t>
      </w:r>
      <w:r>
        <w:rPr>
          <w:color w:val="231F20"/>
          <w:w w:val="110"/>
        </w:rPr>
        <w:t>nomía mundial hay varias crisis simultáneas:</w:t>
      </w:r>
      <w:r>
        <w:rPr>
          <w:color w:val="231F20"/>
          <w:spacing w:val="-27"/>
          <w:w w:val="110"/>
        </w:rPr>
        <w:t> </w:t>
      </w:r>
      <w:r>
        <w:rPr>
          <w:color w:val="231F20"/>
          <w:w w:val="110"/>
        </w:rPr>
        <w:t>económica,</w:t>
      </w:r>
      <w:r>
        <w:rPr>
          <w:color w:val="231F20"/>
          <w:spacing w:val="-5"/>
          <w:w w:val="110"/>
        </w:rPr>
        <w:t> </w:t>
      </w:r>
      <w:r>
        <w:rPr>
          <w:color w:val="231F20"/>
          <w:w w:val="110"/>
        </w:rPr>
        <w:t>energética,</w:t>
      </w:r>
      <w:r>
        <w:rPr>
          <w:color w:val="231F20"/>
          <w:spacing w:val="-2"/>
          <w:w w:val="110"/>
        </w:rPr>
        <w:t> </w:t>
      </w:r>
      <w:r>
        <w:rPr>
          <w:color w:val="231F20"/>
          <w:w w:val="110"/>
        </w:rPr>
        <w:t>alimentaria, del medio ambiente, e incluso, en una</w:t>
      </w:r>
      <w:r>
        <w:rPr>
          <w:color w:val="231F20"/>
          <w:spacing w:val="44"/>
          <w:w w:val="110"/>
        </w:rPr>
        <w:t> </w:t>
      </w:r>
      <w:r>
        <w:rPr>
          <w:color w:val="231F20"/>
          <w:w w:val="110"/>
        </w:rPr>
        <w:t>perspectiva</w:t>
      </w:r>
      <w:r>
        <w:rPr>
          <w:color w:val="231F20"/>
          <w:spacing w:val="12"/>
          <w:w w:val="110"/>
        </w:rPr>
        <w:t> </w:t>
      </w:r>
      <w:r>
        <w:rPr>
          <w:color w:val="231F20"/>
          <w:spacing w:val="-2"/>
          <w:w w:val="110"/>
        </w:rPr>
        <w:t>más</w:t>
      </w:r>
      <w:r>
        <w:rPr>
          <w:color w:val="231F20"/>
          <w:spacing w:val="-2"/>
          <w:w w:val="105"/>
        </w:rPr>
        <w:t> </w:t>
      </w:r>
      <w:r>
        <w:rPr>
          <w:color w:val="231F20"/>
          <w:w w:val="110"/>
        </w:rPr>
        <w:t>general,</w:t>
      </w:r>
      <w:r>
        <w:rPr>
          <w:color w:val="231F20"/>
          <w:spacing w:val="-27"/>
          <w:w w:val="110"/>
        </w:rPr>
        <w:t> </w:t>
      </w:r>
      <w:r>
        <w:rPr>
          <w:color w:val="231F20"/>
          <w:w w:val="110"/>
        </w:rPr>
        <w:t>se</w:t>
      </w:r>
      <w:r>
        <w:rPr>
          <w:color w:val="231F20"/>
          <w:spacing w:val="-27"/>
          <w:w w:val="110"/>
        </w:rPr>
        <w:t> </w:t>
      </w:r>
      <w:r>
        <w:rPr>
          <w:color w:val="231F20"/>
          <w:w w:val="110"/>
        </w:rPr>
        <w:t>habla</w:t>
      </w:r>
      <w:r>
        <w:rPr>
          <w:color w:val="231F20"/>
          <w:spacing w:val="-27"/>
          <w:w w:val="110"/>
        </w:rPr>
        <w:t> </w:t>
      </w:r>
      <w:r>
        <w:rPr>
          <w:color w:val="231F20"/>
          <w:w w:val="110"/>
        </w:rPr>
        <w:t>de</w:t>
      </w:r>
      <w:r>
        <w:rPr>
          <w:color w:val="231F20"/>
          <w:spacing w:val="-27"/>
          <w:w w:val="110"/>
        </w:rPr>
        <w:t> </w:t>
      </w:r>
      <w:r>
        <w:rPr>
          <w:color w:val="231F20"/>
          <w:w w:val="110"/>
        </w:rPr>
        <w:t>crisis</w:t>
      </w:r>
      <w:r>
        <w:rPr>
          <w:color w:val="231F20"/>
          <w:spacing w:val="-27"/>
          <w:w w:val="110"/>
        </w:rPr>
        <w:t> </w:t>
      </w:r>
      <w:r>
        <w:rPr>
          <w:color w:val="231F20"/>
          <w:w w:val="110"/>
        </w:rPr>
        <w:t>sistémica.</w:t>
      </w:r>
      <w:r>
        <w:rPr>
          <w:color w:val="231F20"/>
          <w:spacing w:val="-27"/>
          <w:w w:val="110"/>
        </w:rPr>
        <w:t> </w:t>
      </w:r>
      <w:r>
        <w:rPr>
          <w:color w:val="231F20"/>
          <w:w w:val="110"/>
        </w:rPr>
        <w:t>Sin</w:t>
      </w:r>
      <w:r>
        <w:rPr>
          <w:color w:val="231F20"/>
          <w:spacing w:val="-27"/>
          <w:w w:val="110"/>
        </w:rPr>
        <w:t> </w:t>
      </w:r>
      <w:r>
        <w:rPr>
          <w:color w:val="231F20"/>
          <w:w w:val="110"/>
        </w:rPr>
        <w:t>embargo,</w:t>
      </w:r>
      <w:r>
        <w:rPr>
          <w:color w:val="231F20"/>
          <w:spacing w:val="-27"/>
          <w:w w:val="110"/>
        </w:rPr>
        <w:t> </w:t>
      </w:r>
      <w:r>
        <w:rPr>
          <w:color w:val="231F20"/>
          <w:w w:val="110"/>
        </w:rPr>
        <w:t>cada</w:t>
      </w:r>
      <w:r>
        <w:rPr>
          <w:color w:val="231F20"/>
          <w:spacing w:val="-27"/>
          <w:w w:val="110"/>
        </w:rPr>
        <w:t> </w:t>
      </w:r>
      <w:r>
        <w:rPr>
          <w:color w:val="231F20"/>
          <w:w w:val="110"/>
        </w:rPr>
        <w:t>una</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spacing w:val="-2"/>
          <w:w w:val="110"/>
        </w:rPr>
        <w:t>crisis</w:t>
      </w:r>
      <w:r>
        <w:rPr>
          <w:color w:val="231F20"/>
          <w:spacing w:val="-2"/>
          <w:w w:val="101"/>
        </w:rPr>
        <w:t> </w:t>
      </w:r>
      <w:r>
        <w:rPr>
          <w:color w:val="231F20"/>
          <w:w w:val="110"/>
        </w:rPr>
        <w:t>tiene su especificidad. La crisis económica actual debe ser</w:t>
      </w:r>
      <w:r>
        <w:rPr>
          <w:color w:val="231F20"/>
          <w:spacing w:val="1"/>
          <w:w w:val="110"/>
        </w:rPr>
        <w:t> </w:t>
      </w:r>
      <w:r>
        <w:rPr>
          <w:color w:val="231F20"/>
          <w:w w:val="110"/>
        </w:rPr>
        <w:t>un </w:t>
      </w:r>
      <w:r>
        <w:rPr>
          <w:color w:val="231F20"/>
          <w:spacing w:val="-2"/>
          <w:w w:val="110"/>
        </w:rPr>
        <w:t>objeto</w:t>
      </w:r>
      <w:r>
        <w:rPr>
          <w:color w:val="231F20"/>
          <w:spacing w:val="-2"/>
          <w:w w:val="110"/>
        </w:rPr>
        <w:t> </w:t>
      </w:r>
      <w:r>
        <w:rPr>
          <w:color w:val="231F20"/>
          <w:w w:val="110"/>
        </w:rPr>
        <w:t>de estudio en sí misma. Un análisis concreto de la</w:t>
      </w:r>
      <w:r>
        <w:rPr>
          <w:color w:val="231F20"/>
          <w:spacing w:val="-37"/>
          <w:w w:val="110"/>
        </w:rPr>
        <w:t> </w:t>
      </w:r>
      <w:r>
        <w:rPr>
          <w:color w:val="231F20"/>
          <w:w w:val="110"/>
        </w:rPr>
        <w:t>realidad</w:t>
      </w:r>
      <w:r>
        <w:rPr>
          <w:color w:val="231F20"/>
          <w:spacing w:val="-4"/>
          <w:w w:val="110"/>
        </w:rPr>
        <w:t> </w:t>
      </w:r>
      <w:r>
        <w:rPr>
          <w:color w:val="231F20"/>
          <w:w w:val="110"/>
        </w:rPr>
        <w:t>concreta.</w:t>
      </w:r>
      <w:r>
        <w:rPr>
          <w:color w:val="231F20"/>
          <w:spacing w:val="-2"/>
          <w:w w:val="111"/>
        </w:rPr>
        <w:t> </w:t>
      </w:r>
      <w:r>
        <w:rPr>
          <w:color w:val="231F20"/>
          <w:w w:val="110"/>
        </w:rPr>
        <w:t>La interpretación económica más difundida, </w:t>
      </w:r>
      <w:r>
        <w:rPr>
          <w:color w:val="231F20"/>
          <w:spacing w:val="-8"/>
          <w:w w:val="110"/>
        </w:rPr>
        <w:t>y, </w:t>
      </w:r>
      <w:r>
        <w:rPr>
          <w:color w:val="231F20"/>
          <w:w w:val="110"/>
        </w:rPr>
        <w:t>en realidad,</w:t>
      </w:r>
      <w:r>
        <w:rPr>
          <w:color w:val="231F20"/>
          <w:spacing w:val="-8"/>
          <w:w w:val="110"/>
        </w:rPr>
        <w:t> </w:t>
      </w:r>
      <w:r>
        <w:rPr>
          <w:color w:val="231F20"/>
          <w:w w:val="110"/>
        </w:rPr>
        <w:t>casi</w:t>
      </w:r>
      <w:r>
        <w:rPr>
          <w:color w:val="231F20"/>
          <w:spacing w:val="-2"/>
          <w:w w:val="110"/>
        </w:rPr>
        <w:t> </w:t>
      </w:r>
      <w:r>
        <w:rPr>
          <w:color w:val="231F20"/>
          <w:w w:val="110"/>
        </w:rPr>
        <w:t>la</w:t>
      </w:r>
      <w:r>
        <w:rPr>
          <w:color w:val="231F20"/>
          <w:w w:val="105"/>
        </w:rPr>
        <w:t> </w:t>
      </w:r>
      <w:r>
        <w:rPr>
          <w:color w:val="231F20"/>
          <w:w w:val="110"/>
        </w:rPr>
        <w:t>única interpretación, es que la actual crisis de la</w:t>
      </w:r>
      <w:r>
        <w:rPr>
          <w:color w:val="231F20"/>
          <w:spacing w:val="32"/>
          <w:w w:val="110"/>
        </w:rPr>
        <w:t> </w:t>
      </w:r>
      <w:r>
        <w:rPr>
          <w:color w:val="231F20"/>
          <w:w w:val="110"/>
        </w:rPr>
        <w:t>economía</w:t>
      </w:r>
      <w:r>
        <w:rPr>
          <w:color w:val="231F20"/>
          <w:spacing w:val="9"/>
          <w:w w:val="110"/>
        </w:rPr>
        <w:t> </w:t>
      </w:r>
      <w:r>
        <w:rPr>
          <w:color w:val="231F20"/>
          <w:w w:val="110"/>
        </w:rPr>
        <w:t>mundial</w:t>
      </w:r>
      <w:r>
        <w:rPr>
          <w:color w:val="231F20"/>
          <w:w w:val="111"/>
        </w:rPr>
        <w:t> </w:t>
      </w:r>
      <w:r>
        <w:rPr>
          <w:color w:val="231F20"/>
          <w:w w:val="110"/>
        </w:rPr>
        <w:t>es una crisis financiera. El Fondo Monetario Internacional,</w:t>
      </w:r>
      <w:r>
        <w:rPr>
          <w:color w:val="231F20"/>
          <w:spacing w:val="41"/>
          <w:w w:val="110"/>
        </w:rPr>
        <w:t> </w:t>
      </w:r>
      <w:r>
        <w:rPr>
          <w:color w:val="231F20"/>
          <w:w w:val="110"/>
        </w:rPr>
        <w:t>y</w:t>
      </w:r>
      <w:r>
        <w:rPr>
          <w:color w:val="231F20"/>
          <w:spacing w:val="18"/>
          <w:w w:val="110"/>
        </w:rPr>
        <w:t> </w:t>
      </w:r>
      <w:r>
        <w:rPr>
          <w:color w:val="231F20"/>
          <w:w w:val="110"/>
        </w:rPr>
        <w:t>otras</w:t>
      </w:r>
      <w:r>
        <w:rPr>
          <w:color w:val="231F20"/>
          <w:w w:val="109"/>
        </w:rPr>
        <w:t> </w:t>
      </w:r>
      <w:r>
        <w:rPr>
          <w:color w:val="231F20"/>
          <w:w w:val="110"/>
        </w:rPr>
        <w:t>instituciones internacionales han caracterizado así las</w:t>
      </w:r>
      <w:r>
        <w:rPr>
          <w:color w:val="231F20"/>
          <w:spacing w:val="16"/>
          <w:w w:val="110"/>
        </w:rPr>
        <w:t> </w:t>
      </w:r>
      <w:r>
        <w:rPr>
          <w:color w:val="231F20"/>
          <w:w w:val="110"/>
        </w:rPr>
        <w:t>últimas</w:t>
      </w:r>
      <w:r>
        <w:rPr>
          <w:color w:val="231F20"/>
          <w:spacing w:val="2"/>
          <w:w w:val="110"/>
        </w:rPr>
        <w:t> </w:t>
      </w:r>
      <w:r>
        <w:rPr>
          <w:color w:val="231F20"/>
          <w:w w:val="110"/>
        </w:rPr>
        <w:t>crisis.</w:t>
      </w:r>
      <w:r>
        <w:rPr>
          <w:color w:val="231F20"/>
          <w:w w:val="101"/>
        </w:rPr>
        <w:t> </w:t>
      </w:r>
      <w:r>
        <w:rPr>
          <w:color w:val="231F20"/>
          <w:w w:val="110"/>
        </w:rPr>
        <w:t>La mayoría de los análisis críticos de carácter académico y en</w:t>
      </w:r>
      <w:r>
        <w:rPr>
          <w:color w:val="231F20"/>
          <w:spacing w:val="27"/>
          <w:w w:val="110"/>
        </w:rPr>
        <w:t> </w:t>
      </w:r>
      <w:r>
        <w:rPr>
          <w:color w:val="231F20"/>
          <w:w w:val="110"/>
        </w:rPr>
        <w:t>la</w:t>
      </w:r>
      <w:r>
        <w:rPr>
          <w:color w:val="231F20"/>
          <w:spacing w:val="2"/>
          <w:w w:val="110"/>
        </w:rPr>
        <w:t> </w:t>
      </w:r>
      <w:r>
        <w:rPr>
          <w:color w:val="231F20"/>
          <w:w w:val="110"/>
        </w:rPr>
        <w:t>es-</w:t>
      </w:r>
      <w:r>
        <w:rPr>
          <w:color w:val="231F20"/>
          <w:w w:val="72"/>
        </w:rPr>
        <w:t> </w:t>
      </w:r>
      <w:r>
        <w:rPr>
          <w:color w:val="231F20"/>
          <w:w w:val="110"/>
        </w:rPr>
        <w:t>fera política recogen también esta caracterización de la</w:t>
      </w:r>
      <w:r>
        <w:rPr>
          <w:color w:val="231F20"/>
          <w:spacing w:val="3"/>
          <w:w w:val="110"/>
        </w:rPr>
        <w:t> </w:t>
      </w:r>
      <w:r>
        <w:rPr>
          <w:color w:val="231F20"/>
          <w:w w:val="110"/>
        </w:rPr>
        <w:t>crisis</w:t>
      </w:r>
      <w:r>
        <w:rPr>
          <w:color w:val="231F20"/>
          <w:spacing w:val="7"/>
          <w:w w:val="110"/>
        </w:rPr>
        <w:t> </w:t>
      </w:r>
      <w:r>
        <w:rPr>
          <w:color w:val="231F20"/>
          <w:w w:val="110"/>
        </w:rPr>
        <w:t>actual</w:t>
      </w:r>
      <w:r>
        <w:rPr>
          <w:color w:val="231F20"/>
          <w:w w:val="108"/>
        </w:rPr>
        <w:t> </w:t>
      </w:r>
      <w:r>
        <w:rPr>
          <w:color w:val="231F20"/>
          <w:w w:val="110"/>
        </w:rPr>
        <w:t>como crisis financiera. Los análisis críticos se apoyan</w:t>
      </w:r>
      <w:r>
        <w:rPr>
          <w:color w:val="231F20"/>
          <w:spacing w:val="9"/>
          <w:w w:val="110"/>
        </w:rPr>
        <w:t> </w:t>
      </w:r>
      <w:r>
        <w:rPr>
          <w:color w:val="231F20"/>
          <w:w w:val="110"/>
        </w:rPr>
        <w:t>en</w:t>
      </w:r>
      <w:r>
        <w:rPr>
          <w:color w:val="231F20"/>
          <w:spacing w:val="1"/>
          <w:w w:val="110"/>
        </w:rPr>
        <w:t> </w:t>
      </w:r>
      <w:r>
        <w:rPr>
          <w:color w:val="231F20"/>
          <w:w w:val="110"/>
        </w:rPr>
        <w:t>difundidos</w:t>
      </w:r>
      <w:r>
        <w:rPr>
          <w:color w:val="231F20"/>
          <w:w w:val="110"/>
        </w:rPr>
        <w:t> </w:t>
      </w:r>
      <w:r>
        <w:rPr>
          <w:color w:val="231F20"/>
          <w:w w:val="110"/>
        </w:rPr>
        <w:t>trabajos</w:t>
      </w:r>
      <w:r>
        <w:rPr>
          <w:color w:val="231F20"/>
          <w:spacing w:val="33"/>
          <w:w w:val="110"/>
        </w:rPr>
        <w:t> </w:t>
      </w:r>
      <w:r>
        <w:rPr>
          <w:color w:val="231F20"/>
          <w:w w:val="110"/>
        </w:rPr>
        <w:t>teóricos</w:t>
      </w:r>
      <w:r>
        <w:rPr>
          <w:color w:val="231F20"/>
          <w:spacing w:val="33"/>
          <w:w w:val="110"/>
        </w:rPr>
        <w:t> </w:t>
      </w:r>
      <w:r>
        <w:rPr>
          <w:color w:val="231F20"/>
          <w:w w:val="110"/>
        </w:rPr>
        <w:t>que</w:t>
      </w:r>
      <w:r>
        <w:rPr>
          <w:color w:val="231F20"/>
          <w:spacing w:val="33"/>
          <w:w w:val="110"/>
        </w:rPr>
        <w:t> </w:t>
      </w:r>
      <w:r>
        <w:rPr>
          <w:color w:val="231F20"/>
          <w:w w:val="110"/>
        </w:rPr>
        <w:t>señalan</w:t>
      </w:r>
      <w:r>
        <w:rPr>
          <w:color w:val="231F20"/>
          <w:spacing w:val="33"/>
          <w:w w:val="110"/>
        </w:rPr>
        <w:t> </w:t>
      </w:r>
      <w:r>
        <w:rPr>
          <w:color w:val="231F20"/>
          <w:w w:val="110"/>
        </w:rPr>
        <w:t>el</w:t>
      </w:r>
      <w:r>
        <w:rPr>
          <w:color w:val="231F20"/>
          <w:spacing w:val="33"/>
          <w:w w:val="110"/>
        </w:rPr>
        <w:t> </w:t>
      </w:r>
      <w:r>
        <w:rPr>
          <w:color w:val="231F20"/>
          <w:w w:val="110"/>
        </w:rPr>
        <w:t>predominio</w:t>
      </w:r>
      <w:r>
        <w:rPr>
          <w:color w:val="231F20"/>
          <w:spacing w:val="33"/>
          <w:w w:val="110"/>
        </w:rPr>
        <w:t> </w:t>
      </w:r>
      <w:r>
        <w:rPr>
          <w:color w:val="231F20"/>
          <w:w w:val="110"/>
        </w:rPr>
        <w:t>del</w:t>
      </w:r>
      <w:r>
        <w:rPr>
          <w:color w:val="231F20"/>
          <w:spacing w:val="33"/>
          <w:w w:val="110"/>
        </w:rPr>
        <w:t> </w:t>
      </w:r>
      <w:r>
        <w:rPr>
          <w:color w:val="231F20"/>
          <w:w w:val="110"/>
        </w:rPr>
        <w:t>capital</w:t>
      </w:r>
      <w:r>
        <w:rPr>
          <w:color w:val="231F20"/>
          <w:spacing w:val="33"/>
          <w:w w:val="110"/>
        </w:rPr>
        <w:t> </w:t>
      </w:r>
      <w:r>
        <w:rPr>
          <w:color w:val="231F20"/>
          <w:w w:val="110"/>
        </w:rPr>
        <w:t>financiero</w:t>
      </w:r>
    </w:p>
    <w:p>
      <w:pPr>
        <w:pStyle w:val="BodyText"/>
        <w:ind w:left="100" w:right="25"/>
      </w:pPr>
      <w:r>
        <w:rPr>
          <w:color w:val="231F20"/>
          <w:w w:val="110"/>
        </w:rPr>
        <w:t>sobre el capital productivo.</w:t>
      </w:r>
    </w:p>
    <w:p>
      <w:pPr>
        <w:pStyle w:val="BodyText"/>
        <w:spacing w:line="261" w:lineRule="auto" w:before="20"/>
        <w:ind w:left="100" w:right="117" w:firstLine="288"/>
        <w:jc w:val="both"/>
      </w:pPr>
      <w:r>
        <w:rPr>
          <w:color w:val="231F20"/>
          <w:w w:val="110"/>
        </w:rPr>
        <w:t>Desde</w:t>
      </w:r>
      <w:r>
        <w:rPr>
          <w:color w:val="231F20"/>
          <w:spacing w:val="-13"/>
          <w:w w:val="110"/>
        </w:rPr>
        <w:t> </w:t>
      </w:r>
      <w:r>
        <w:rPr>
          <w:color w:val="231F20"/>
          <w:w w:val="110"/>
        </w:rPr>
        <w:t>inicios</w:t>
      </w:r>
      <w:r>
        <w:rPr>
          <w:color w:val="231F20"/>
          <w:spacing w:val="-13"/>
          <w:w w:val="110"/>
        </w:rPr>
        <w:t> </w:t>
      </w:r>
      <w:r>
        <w:rPr>
          <w:color w:val="231F20"/>
          <w:w w:val="110"/>
        </w:rPr>
        <w:t>de</w:t>
      </w:r>
      <w:r>
        <w:rPr>
          <w:color w:val="231F20"/>
          <w:spacing w:val="-13"/>
          <w:w w:val="110"/>
        </w:rPr>
        <w:t> </w:t>
      </w:r>
      <w:r>
        <w:rPr>
          <w:color w:val="231F20"/>
          <w:w w:val="110"/>
        </w:rPr>
        <w:t>este</w:t>
      </w:r>
      <w:r>
        <w:rPr>
          <w:color w:val="231F20"/>
          <w:spacing w:val="-13"/>
          <w:w w:val="110"/>
        </w:rPr>
        <w:t> </w:t>
      </w:r>
      <w:r>
        <w:rPr>
          <w:color w:val="231F20"/>
          <w:w w:val="110"/>
        </w:rPr>
        <w:t>decenio,</w:t>
      </w:r>
      <w:r>
        <w:rPr>
          <w:color w:val="231F20"/>
          <w:spacing w:val="-13"/>
          <w:w w:val="110"/>
        </w:rPr>
        <w:t> </w:t>
      </w:r>
      <w:r>
        <w:rPr>
          <w:color w:val="231F20"/>
          <w:w w:val="110"/>
        </w:rPr>
        <w:t>planteamos</w:t>
      </w:r>
      <w:r>
        <w:rPr>
          <w:color w:val="231F20"/>
          <w:spacing w:val="-13"/>
          <w:w w:val="110"/>
        </w:rPr>
        <w:t> </w:t>
      </w:r>
      <w:r>
        <w:rPr>
          <w:color w:val="231F20"/>
          <w:w w:val="110"/>
        </w:rPr>
        <w:t>una</w:t>
      </w:r>
      <w:r>
        <w:rPr>
          <w:color w:val="231F20"/>
          <w:spacing w:val="-13"/>
          <w:w w:val="110"/>
        </w:rPr>
        <w:t> </w:t>
      </w:r>
      <w:r>
        <w:rPr>
          <w:color w:val="231F20"/>
          <w:w w:val="110"/>
        </w:rPr>
        <w:t>posición</w:t>
      </w:r>
      <w:r>
        <w:rPr>
          <w:color w:val="231F20"/>
          <w:spacing w:val="-13"/>
          <w:w w:val="110"/>
        </w:rPr>
        <w:t> </w:t>
      </w:r>
      <w:r>
        <w:rPr>
          <w:color w:val="231F20"/>
          <w:w w:val="110"/>
        </w:rPr>
        <w:t>completa- mente opuesta, pero que ha tenido poca resonancia. En el capitalis- mo es muy importante el desarrollo del crédito y de las</w:t>
      </w:r>
      <w:r>
        <w:rPr>
          <w:color w:val="231F20"/>
          <w:spacing w:val="-8"/>
          <w:w w:val="110"/>
        </w:rPr>
        <w:t> </w:t>
      </w:r>
      <w:r>
        <w:rPr>
          <w:color w:val="231F20"/>
          <w:w w:val="110"/>
        </w:rPr>
        <w:t>instituciones financieras.</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actual</w:t>
      </w:r>
      <w:r>
        <w:rPr>
          <w:color w:val="231F20"/>
          <w:spacing w:val="-14"/>
          <w:w w:val="110"/>
        </w:rPr>
        <w:t> </w:t>
      </w:r>
      <w:r>
        <w:rPr>
          <w:color w:val="231F20"/>
          <w:w w:val="110"/>
        </w:rPr>
        <w:t>se</w:t>
      </w:r>
      <w:r>
        <w:rPr>
          <w:color w:val="231F20"/>
          <w:spacing w:val="-14"/>
          <w:w w:val="110"/>
        </w:rPr>
        <w:t> </w:t>
      </w:r>
      <w:r>
        <w:rPr>
          <w:color w:val="231F20"/>
          <w:w w:val="110"/>
        </w:rPr>
        <w:t>manifiesta</w:t>
      </w:r>
      <w:r>
        <w:rPr>
          <w:color w:val="231F20"/>
          <w:spacing w:val="-14"/>
          <w:w w:val="110"/>
        </w:rPr>
        <w:t> </w:t>
      </w:r>
      <w:r>
        <w:rPr>
          <w:color w:val="231F20"/>
          <w:w w:val="110"/>
        </w:rPr>
        <w:t>como</w:t>
      </w:r>
      <w:r>
        <w:rPr>
          <w:color w:val="231F20"/>
          <w:spacing w:val="-14"/>
          <w:w w:val="110"/>
        </w:rPr>
        <w:t> </w:t>
      </w:r>
      <w:r>
        <w:rPr>
          <w:color w:val="231F20"/>
          <w:w w:val="110"/>
        </w:rPr>
        <w:t>crisis</w:t>
      </w:r>
      <w:r>
        <w:rPr>
          <w:color w:val="231F20"/>
          <w:spacing w:val="-14"/>
          <w:w w:val="110"/>
        </w:rPr>
        <w:t> </w:t>
      </w:r>
      <w:r>
        <w:rPr>
          <w:color w:val="231F20"/>
          <w:w w:val="110"/>
        </w:rPr>
        <w:t>financiera.</w:t>
      </w:r>
      <w:r>
        <w:rPr>
          <w:color w:val="231F20"/>
          <w:spacing w:val="-14"/>
          <w:w w:val="110"/>
        </w:rPr>
        <w:t> </w:t>
      </w:r>
      <w:r>
        <w:rPr>
          <w:color w:val="231F20"/>
          <w:w w:val="110"/>
        </w:rPr>
        <w:t>Pero nada se puede explicar por la manifestación del fenómeno. Es nece- sario estudiar las causas que lo</w:t>
      </w:r>
      <w:r>
        <w:rPr>
          <w:color w:val="231F20"/>
          <w:spacing w:val="-1"/>
          <w:w w:val="110"/>
        </w:rPr>
        <w:t> </w:t>
      </w:r>
      <w:r>
        <w:rPr>
          <w:color w:val="231F20"/>
          <w:w w:val="110"/>
        </w:rPr>
        <w:t>provocan.</w:t>
      </w:r>
    </w:p>
    <w:p>
      <w:pPr>
        <w:pStyle w:val="BodyText"/>
        <w:spacing w:line="261" w:lineRule="auto"/>
        <w:ind w:left="100" w:right="119" w:firstLine="240"/>
        <w:jc w:val="both"/>
      </w:pPr>
      <w:r>
        <w:rPr>
          <w:color w:val="231F20"/>
          <w:spacing w:val="-3"/>
          <w:w w:val="110"/>
        </w:rPr>
        <w:t>Con</w:t>
      </w:r>
      <w:r>
        <w:rPr>
          <w:color w:val="231F20"/>
          <w:spacing w:val="-19"/>
          <w:w w:val="110"/>
        </w:rPr>
        <w:t> </w:t>
      </w:r>
      <w:r>
        <w:rPr>
          <w:color w:val="231F20"/>
          <w:w w:val="110"/>
        </w:rPr>
        <w:t>la</w:t>
      </w:r>
      <w:r>
        <w:rPr>
          <w:color w:val="231F20"/>
          <w:spacing w:val="-19"/>
          <w:w w:val="110"/>
        </w:rPr>
        <w:t> </w:t>
      </w:r>
      <w:r>
        <w:rPr>
          <w:color w:val="231F20"/>
          <w:spacing w:val="-4"/>
          <w:w w:val="110"/>
        </w:rPr>
        <w:t>globalización</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spacing w:val="-4"/>
          <w:w w:val="110"/>
        </w:rPr>
        <w:t>economía</w:t>
      </w:r>
      <w:r>
        <w:rPr>
          <w:color w:val="231F20"/>
          <w:spacing w:val="-19"/>
          <w:w w:val="110"/>
        </w:rPr>
        <w:t> </w:t>
      </w:r>
      <w:r>
        <w:rPr>
          <w:color w:val="231F20"/>
          <w:spacing w:val="-4"/>
          <w:w w:val="110"/>
        </w:rPr>
        <w:t>mundial,</w:t>
      </w:r>
      <w:r>
        <w:rPr>
          <w:color w:val="231F20"/>
          <w:spacing w:val="-19"/>
          <w:w w:val="110"/>
        </w:rPr>
        <w:t> </w:t>
      </w:r>
      <w:r>
        <w:rPr>
          <w:color w:val="231F20"/>
          <w:w w:val="110"/>
        </w:rPr>
        <w:t>y</w:t>
      </w:r>
      <w:r>
        <w:rPr>
          <w:color w:val="231F20"/>
          <w:spacing w:val="-19"/>
          <w:w w:val="110"/>
        </w:rPr>
        <w:t> </w:t>
      </w:r>
      <w:r>
        <w:rPr>
          <w:color w:val="231F20"/>
          <w:spacing w:val="-4"/>
          <w:w w:val="110"/>
        </w:rPr>
        <w:t>apoyado</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spacing w:val="-4"/>
          <w:w w:val="110"/>
        </w:rPr>
        <w:t>amplia libertad</w:t>
      </w:r>
      <w:r>
        <w:rPr>
          <w:color w:val="231F20"/>
          <w:spacing w:val="-12"/>
          <w:w w:val="110"/>
        </w:rPr>
        <w:t> </w:t>
      </w:r>
      <w:r>
        <w:rPr>
          <w:color w:val="231F20"/>
          <w:w w:val="110"/>
        </w:rPr>
        <w:t>de</w:t>
      </w:r>
      <w:r>
        <w:rPr>
          <w:color w:val="231F20"/>
          <w:spacing w:val="-12"/>
          <w:w w:val="110"/>
        </w:rPr>
        <w:t> </w:t>
      </w:r>
      <w:r>
        <w:rPr>
          <w:color w:val="231F20"/>
          <w:spacing w:val="-4"/>
          <w:w w:val="110"/>
        </w:rPr>
        <w:t>circulación</w:t>
      </w:r>
      <w:r>
        <w:rPr>
          <w:color w:val="231F20"/>
          <w:spacing w:val="-12"/>
          <w:w w:val="110"/>
        </w:rPr>
        <w:t> </w:t>
      </w:r>
      <w:r>
        <w:rPr>
          <w:color w:val="231F20"/>
          <w:w w:val="110"/>
        </w:rPr>
        <w:t>de</w:t>
      </w:r>
      <w:r>
        <w:rPr>
          <w:color w:val="231F20"/>
          <w:spacing w:val="-12"/>
          <w:w w:val="110"/>
        </w:rPr>
        <w:t> </w:t>
      </w:r>
      <w:r>
        <w:rPr>
          <w:color w:val="231F20"/>
          <w:spacing w:val="-4"/>
          <w:w w:val="110"/>
        </w:rPr>
        <w:t>mercancías</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spacing w:val="-4"/>
          <w:w w:val="110"/>
        </w:rPr>
        <w:t>capitales,</w:t>
      </w:r>
      <w:r>
        <w:rPr>
          <w:color w:val="231F20"/>
          <w:spacing w:val="-12"/>
          <w:w w:val="110"/>
        </w:rPr>
        <w:t> </w:t>
      </w:r>
      <w:r>
        <w:rPr>
          <w:color w:val="231F20"/>
          <w:w w:val="110"/>
        </w:rPr>
        <w:t>se</w:t>
      </w:r>
      <w:r>
        <w:rPr>
          <w:color w:val="231F20"/>
          <w:spacing w:val="-12"/>
          <w:w w:val="110"/>
        </w:rPr>
        <w:t> </w:t>
      </w:r>
      <w:r>
        <w:rPr>
          <w:color w:val="231F20"/>
          <w:w w:val="110"/>
        </w:rPr>
        <w:t>ha</w:t>
      </w:r>
      <w:r>
        <w:rPr>
          <w:color w:val="231F20"/>
          <w:spacing w:val="-12"/>
          <w:w w:val="110"/>
        </w:rPr>
        <w:t> </w:t>
      </w:r>
      <w:r>
        <w:rPr>
          <w:color w:val="231F20"/>
          <w:spacing w:val="-4"/>
          <w:w w:val="110"/>
        </w:rPr>
        <w:t>profundizado </w:t>
      </w:r>
      <w:r>
        <w:rPr>
          <w:color w:val="231F20"/>
          <w:spacing w:val="-3"/>
          <w:w w:val="110"/>
        </w:rPr>
        <w:t>una</w:t>
      </w:r>
      <w:r>
        <w:rPr>
          <w:color w:val="231F20"/>
          <w:spacing w:val="20"/>
          <w:w w:val="110"/>
        </w:rPr>
        <w:t> </w:t>
      </w:r>
      <w:r>
        <w:rPr>
          <w:color w:val="231F20"/>
          <w:spacing w:val="-4"/>
          <w:w w:val="110"/>
        </w:rPr>
        <w:t>estructura</w:t>
      </w:r>
      <w:r>
        <w:rPr>
          <w:color w:val="231F20"/>
          <w:spacing w:val="20"/>
          <w:w w:val="110"/>
        </w:rPr>
        <w:t> </w:t>
      </w:r>
      <w:r>
        <w:rPr>
          <w:color w:val="231F20"/>
          <w:w w:val="110"/>
        </w:rPr>
        <w:t>de</w:t>
      </w:r>
      <w:r>
        <w:rPr>
          <w:color w:val="231F20"/>
          <w:spacing w:val="20"/>
          <w:w w:val="110"/>
        </w:rPr>
        <w:t> </w:t>
      </w:r>
      <w:r>
        <w:rPr>
          <w:color w:val="231F20"/>
          <w:spacing w:val="-4"/>
          <w:w w:val="110"/>
        </w:rPr>
        <w:t>producción</w:t>
      </w:r>
      <w:r>
        <w:rPr>
          <w:color w:val="231F20"/>
          <w:spacing w:val="20"/>
          <w:w w:val="110"/>
        </w:rPr>
        <w:t> </w:t>
      </w:r>
      <w:r>
        <w:rPr>
          <w:color w:val="231F20"/>
          <w:w w:val="110"/>
        </w:rPr>
        <w:t>y</w:t>
      </w:r>
      <w:r>
        <w:rPr>
          <w:color w:val="231F20"/>
          <w:spacing w:val="20"/>
          <w:w w:val="110"/>
        </w:rPr>
        <w:t> </w:t>
      </w:r>
      <w:r>
        <w:rPr>
          <w:color w:val="231F20"/>
          <w:w w:val="110"/>
        </w:rPr>
        <w:t>de</w:t>
      </w:r>
      <w:r>
        <w:rPr>
          <w:color w:val="231F20"/>
          <w:spacing w:val="20"/>
          <w:w w:val="110"/>
        </w:rPr>
        <w:t> </w:t>
      </w:r>
      <w:r>
        <w:rPr>
          <w:color w:val="231F20"/>
          <w:spacing w:val="-4"/>
          <w:w w:val="110"/>
        </w:rPr>
        <w:t>circulación</w:t>
      </w:r>
      <w:r>
        <w:rPr>
          <w:color w:val="231F20"/>
          <w:spacing w:val="20"/>
          <w:w w:val="110"/>
        </w:rPr>
        <w:t> </w:t>
      </w:r>
      <w:r>
        <w:rPr>
          <w:color w:val="231F20"/>
          <w:w w:val="110"/>
        </w:rPr>
        <w:t>de</w:t>
      </w:r>
      <w:r>
        <w:rPr>
          <w:color w:val="231F20"/>
          <w:spacing w:val="20"/>
          <w:w w:val="110"/>
        </w:rPr>
        <w:t> </w:t>
      </w:r>
      <w:r>
        <w:rPr>
          <w:color w:val="231F20"/>
          <w:spacing w:val="-4"/>
          <w:w w:val="110"/>
        </w:rPr>
        <w:t>mercancías</w:t>
      </w:r>
      <w:r>
        <w:rPr>
          <w:color w:val="231F20"/>
          <w:spacing w:val="20"/>
          <w:w w:val="110"/>
        </w:rPr>
        <w:t> </w:t>
      </w:r>
      <w:r>
        <w:rPr>
          <w:color w:val="231F20"/>
          <w:spacing w:val="-3"/>
          <w:w w:val="110"/>
        </w:rPr>
        <w:t>por</w:t>
      </w:r>
      <w:r>
        <w:rPr>
          <w:color w:val="231F20"/>
          <w:spacing w:val="20"/>
          <w:w w:val="110"/>
        </w:rPr>
        <w:t> </w:t>
      </w:r>
      <w:r>
        <w:rPr>
          <w:color w:val="231F20"/>
          <w:spacing w:val="-3"/>
          <w:w w:val="110"/>
        </w:rPr>
        <w:t>so-</w:t>
      </w:r>
      <w:r>
        <w:rPr>
          <w:color w:val="231F20"/>
          <w:w w:val="72"/>
        </w:rPr>
        <w:t> </w:t>
      </w:r>
      <w:r>
        <w:rPr>
          <w:color w:val="231F20"/>
          <w:spacing w:val="-3"/>
          <w:w w:val="110"/>
        </w:rPr>
        <w:t>bre las </w:t>
      </w:r>
      <w:r>
        <w:rPr>
          <w:color w:val="231F20"/>
          <w:spacing w:val="-4"/>
          <w:w w:val="110"/>
        </w:rPr>
        <w:t>economías nacionales, </w:t>
      </w:r>
      <w:r>
        <w:rPr>
          <w:color w:val="231F20"/>
          <w:w w:val="110"/>
        </w:rPr>
        <w:t>y </w:t>
      </w:r>
      <w:r>
        <w:rPr>
          <w:color w:val="231F20"/>
          <w:spacing w:val="-4"/>
          <w:w w:val="110"/>
        </w:rPr>
        <w:t>comandadas </w:t>
      </w:r>
      <w:r>
        <w:rPr>
          <w:color w:val="231F20"/>
          <w:spacing w:val="-3"/>
          <w:w w:val="110"/>
        </w:rPr>
        <w:t>por las </w:t>
      </w:r>
      <w:r>
        <w:rPr>
          <w:color w:val="231F20"/>
          <w:spacing w:val="-4"/>
          <w:w w:val="110"/>
        </w:rPr>
        <w:t>grandes empresas transnacionales productoras </w:t>
      </w:r>
      <w:r>
        <w:rPr>
          <w:color w:val="231F20"/>
          <w:w w:val="110"/>
        </w:rPr>
        <w:t>de </w:t>
      </w:r>
      <w:r>
        <w:rPr>
          <w:color w:val="231F20"/>
          <w:spacing w:val="-4"/>
          <w:w w:val="110"/>
        </w:rPr>
        <w:t>bienes </w:t>
      </w:r>
      <w:r>
        <w:rPr>
          <w:color w:val="231F20"/>
          <w:w w:val="110"/>
        </w:rPr>
        <w:t>y </w:t>
      </w:r>
      <w:r>
        <w:rPr>
          <w:color w:val="231F20"/>
          <w:spacing w:val="-4"/>
          <w:w w:val="110"/>
        </w:rPr>
        <w:t>servicios. </w:t>
      </w:r>
      <w:r>
        <w:rPr>
          <w:color w:val="231F20"/>
          <w:spacing w:val="-3"/>
          <w:w w:val="110"/>
        </w:rPr>
        <w:t>Como </w:t>
      </w:r>
      <w:r>
        <w:rPr>
          <w:color w:val="231F20"/>
          <w:spacing w:val="-4"/>
          <w:w w:val="110"/>
        </w:rPr>
        <w:t>parte </w:t>
      </w:r>
      <w:r>
        <w:rPr>
          <w:color w:val="231F20"/>
          <w:w w:val="110"/>
        </w:rPr>
        <w:t>de </w:t>
      </w:r>
      <w:r>
        <w:rPr>
          <w:color w:val="231F20"/>
          <w:spacing w:val="-4"/>
          <w:w w:val="110"/>
        </w:rPr>
        <w:t>este proceso, </w:t>
      </w:r>
      <w:r>
        <w:rPr>
          <w:color w:val="231F20"/>
          <w:w w:val="110"/>
        </w:rPr>
        <w:t>se </w:t>
      </w:r>
      <w:r>
        <w:rPr>
          <w:color w:val="231F20"/>
          <w:spacing w:val="-3"/>
          <w:w w:val="110"/>
        </w:rPr>
        <w:t>han </w:t>
      </w:r>
      <w:r>
        <w:rPr>
          <w:color w:val="231F20"/>
          <w:spacing w:val="-4"/>
          <w:w w:val="110"/>
        </w:rPr>
        <w:t>producido muchas </w:t>
      </w:r>
      <w:r>
        <w:rPr>
          <w:color w:val="231F20"/>
          <w:w w:val="110"/>
        </w:rPr>
        <w:t>y </w:t>
      </w:r>
      <w:r>
        <w:rPr>
          <w:color w:val="231F20"/>
          <w:spacing w:val="-4"/>
          <w:w w:val="110"/>
        </w:rPr>
        <w:t>profundas transformaciones </w:t>
      </w:r>
      <w:r>
        <w:rPr>
          <w:color w:val="231F20"/>
          <w:w w:val="110"/>
        </w:rPr>
        <w:t>de </w:t>
      </w:r>
      <w:r>
        <w:rPr>
          <w:color w:val="231F20"/>
          <w:spacing w:val="-4"/>
          <w:w w:val="110"/>
        </w:rPr>
        <w:t>la economía mundial </w:t>
      </w:r>
      <w:r>
        <w:rPr>
          <w:color w:val="231F20"/>
          <w:w w:val="110"/>
        </w:rPr>
        <w:t>a </w:t>
      </w:r>
      <w:r>
        <w:rPr>
          <w:color w:val="231F20"/>
          <w:spacing w:val="-4"/>
          <w:w w:val="110"/>
        </w:rPr>
        <w:t>principios </w:t>
      </w:r>
      <w:r>
        <w:rPr>
          <w:color w:val="231F20"/>
          <w:w w:val="110"/>
        </w:rPr>
        <w:t>de </w:t>
      </w:r>
      <w:r>
        <w:rPr>
          <w:color w:val="231F20"/>
          <w:spacing w:val="-3"/>
          <w:w w:val="110"/>
        </w:rPr>
        <w:t>este </w:t>
      </w:r>
      <w:r>
        <w:rPr>
          <w:color w:val="231F20"/>
          <w:spacing w:val="-4"/>
          <w:w w:val="110"/>
        </w:rPr>
        <w:t>siglo (Caputo,</w:t>
      </w:r>
      <w:r>
        <w:rPr>
          <w:color w:val="231F20"/>
          <w:spacing w:val="44"/>
          <w:w w:val="110"/>
        </w:rPr>
        <w:t> </w:t>
      </w:r>
      <w:r>
        <w:rPr>
          <w:color w:val="231F20"/>
          <w:spacing w:val="-4"/>
          <w:w w:val="110"/>
        </w:rPr>
        <w:t>2007).</w:t>
      </w:r>
    </w:p>
    <w:p>
      <w:pPr>
        <w:pStyle w:val="BodyText"/>
      </w:pPr>
    </w:p>
    <w:p>
      <w:pPr>
        <w:pStyle w:val="BodyText"/>
        <w:spacing w:before="2"/>
        <w:rPr>
          <w:sz w:val="26"/>
        </w:rPr>
      </w:pPr>
    </w:p>
    <w:p>
      <w:pPr>
        <w:spacing w:before="1"/>
        <w:ind w:left="73" w:right="117" w:firstLine="0"/>
        <w:jc w:val="right"/>
        <w:rPr>
          <w:sz w:val="16"/>
        </w:rPr>
      </w:pPr>
      <w:r>
        <w:rPr>
          <w:color w:val="231F20"/>
          <w:w w:val="110"/>
          <w:position w:val="5"/>
          <w:sz w:val="10"/>
        </w:rPr>
        <w:t>1  </w:t>
      </w:r>
      <w:r>
        <w:rPr>
          <w:color w:val="231F20"/>
          <w:w w:val="110"/>
          <w:sz w:val="16"/>
        </w:rPr>
        <w:t>Agradezco a Graciela Galarce su gran ayuda en la elaboración de este documento.</w:t>
      </w:r>
    </w:p>
    <w:p>
      <w:pPr>
        <w:pStyle w:val="BodyText"/>
        <w:rPr>
          <w:sz w:val="18"/>
        </w:rPr>
      </w:pPr>
    </w:p>
    <w:p>
      <w:pPr>
        <w:pStyle w:val="BodyText"/>
        <w:spacing w:before="67"/>
        <w:ind w:left="113" w:right="132"/>
        <w:jc w:val="center"/>
      </w:pPr>
      <w:r>
        <w:rPr>
          <w:color w:val="231F20"/>
          <w:w w:val="120"/>
        </w:rPr>
        <w:t>[81]</w:t>
      </w:r>
    </w:p>
    <w:p>
      <w:pPr>
        <w:spacing w:after="0"/>
        <w:jc w:val="center"/>
        <w:sectPr>
          <w:headerReference w:type="default" r:id="rId75"/>
          <w:pgSz w:w="7640" w:h="11900"/>
          <w:pgMar w:header="0" w:footer="0" w:top="98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Una de las transformaciones más significativas ha sido el cambio de la preeminencia del capital financiero en los años ochenta a la preeminencia del capital productivo en la economía mundial a</w:t>
      </w:r>
      <w:r>
        <w:rPr>
          <w:color w:val="231F20"/>
          <w:spacing w:val="-14"/>
          <w:w w:val="110"/>
        </w:rPr>
        <w:t> </w:t>
      </w:r>
      <w:r>
        <w:rPr>
          <w:color w:val="231F20"/>
          <w:w w:val="110"/>
        </w:rPr>
        <w:t>partir de</w:t>
      </w:r>
      <w:r>
        <w:rPr>
          <w:color w:val="231F20"/>
          <w:spacing w:val="-5"/>
          <w:w w:val="110"/>
        </w:rPr>
        <w:t> </w:t>
      </w:r>
      <w:r>
        <w:rPr>
          <w:color w:val="231F20"/>
          <w:w w:val="110"/>
        </w:rPr>
        <w:t>los</w:t>
      </w:r>
      <w:r>
        <w:rPr>
          <w:color w:val="231F20"/>
          <w:spacing w:val="-5"/>
          <w:w w:val="110"/>
        </w:rPr>
        <w:t> </w:t>
      </w:r>
      <w:r>
        <w:rPr>
          <w:color w:val="231F20"/>
          <w:w w:val="110"/>
        </w:rPr>
        <w:t>noventa.</w:t>
      </w:r>
      <w:r>
        <w:rPr>
          <w:color w:val="231F20"/>
          <w:spacing w:val="-5"/>
          <w:w w:val="110"/>
        </w:rPr>
        <w:t> </w:t>
      </w:r>
      <w:r>
        <w:rPr>
          <w:color w:val="231F20"/>
          <w:w w:val="110"/>
        </w:rPr>
        <w:t>El</w:t>
      </w:r>
      <w:r>
        <w:rPr>
          <w:color w:val="231F20"/>
          <w:spacing w:val="-5"/>
          <w:w w:val="110"/>
        </w:rPr>
        <w:t> </w:t>
      </w:r>
      <w:r>
        <w:rPr>
          <w:color w:val="231F20"/>
          <w:w w:val="110"/>
        </w:rPr>
        <w:t>incremento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ganancias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tasa</w:t>
      </w:r>
      <w:r>
        <w:rPr>
          <w:color w:val="231F20"/>
          <w:spacing w:val="-5"/>
          <w:w w:val="110"/>
        </w:rPr>
        <w:t> </w:t>
      </w:r>
      <w:r>
        <w:rPr>
          <w:color w:val="231F20"/>
          <w:w w:val="110"/>
        </w:rPr>
        <w:t>de</w:t>
      </w:r>
      <w:r>
        <w:rPr>
          <w:color w:val="231F20"/>
          <w:spacing w:val="-5"/>
          <w:w w:val="110"/>
        </w:rPr>
        <w:t> </w:t>
      </w:r>
      <w:r>
        <w:rPr>
          <w:color w:val="231F20"/>
          <w:w w:val="110"/>
        </w:rPr>
        <w:t>ganan- cia</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empresas</w:t>
      </w:r>
      <w:r>
        <w:rPr>
          <w:color w:val="231F20"/>
          <w:spacing w:val="-20"/>
          <w:w w:val="110"/>
        </w:rPr>
        <w:t> </w:t>
      </w:r>
      <w:r>
        <w:rPr>
          <w:color w:val="231F20"/>
          <w:w w:val="110"/>
        </w:rPr>
        <w:t>productoras</w:t>
      </w:r>
      <w:r>
        <w:rPr>
          <w:color w:val="231F20"/>
          <w:spacing w:val="-20"/>
          <w:w w:val="110"/>
        </w:rPr>
        <w:t> </w:t>
      </w:r>
      <w:r>
        <w:rPr>
          <w:color w:val="231F20"/>
          <w:w w:val="110"/>
        </w:rPr>
        <w:t>de</w:t>
      </w:r>
      <w:r>
        <w:rPr>
          <w:color w:val="231F20"/>
          <w:spacing w:val="-20"/>
          <w:w w:val="110"/>
        </w:rPr>
        <w:t> </w:t>
      </w:r>
      <w:r>
        <w:rPr>
          <w:color w:val="231F20"/>
          <w:w w:val="110"/>
        </w:rPr>
        <w:t>bienes</w:t>
      </w:r>
      <w:r>
        <w:rPr>
          <w:color w:val="231F20"/>
          <w:spacing w:val="-20"/>
          <w:w w:val="110"/>
        </w:rPr>
        <w:t> </w:t>
      </w:r>
      <w:r>
        <w:rPr>
          <w:color w:val="231F20"/>
          <w:w w:val="110"/>
        </w:rPr>
        <w:t>y</w:t>
      </w:r>
      <w:r>
        <w:rPr>
          <w:color w:val="231F20"/>
          <w:spacing w:val="-20"/>
          <w:w w:val="110"/>
        </w:rPr>
        <w:t> </w:t>
      </w:r>
      <w:r>
        <w:rPr>
          <w:color w:val="231F20"/>
          <w:w w:val="110"/>
        </w:rPr>
        <w:t>servicios</w:t>
      </w:r>
      <w:r>
        <w:rPr>
          <w:color w:val="231F20"/>
          <w:spacing w:val="-20"/>
          <w:w w:val="110"/>
        </w:rPr>
        <w:t> </w:t>
      </w:r>
      <w:r>
        <w:rPr>
          <w:color w:val="231F20"/>
          <w:w w:val="110"/>
        </w:rPr>
        <w:t>son</w:t>
      </w:r>
      <w:r>
        <w:rPr>
          <w:color w:val="231F20"/>
          <w:spacing w:val="-20"/>
          <w:w w:val="110"/>
        </w:rPr>
        <w:t> </w:t>
      </w:r>
      <w:r>
        <w:rPr>
          <w:color w:val="231F20"/>
          <w:w w:val="110"/>
        </w:rPr>
        <w:t>tan</w:t>
      </w:r>
      <w:r>
        <w:rPr>
          <w:color w:val="231F20"/>
          <w:spacing w:val="-20"/>
          <w:w w:val="110"/>
        </w:rPr>
        <w:t> </w:t>
      </w:r>
      <w:r>
        <w:rPr>
          <w:color w:val="231F20"/>
          <w:w w:val="110"/>
        </w:rPr>
        <w:t>elevadas, que se han transformado en prestatarias netas del sistema financiero y</w:t>
      </w:r>
      <w:r>
        <w:rPr>
          <w:color w:val="231F20"/>
          <w:spacing w:val="-11"/>
          <w:w w:val="110"/>
        </w:rPr>
        <w:t> </w:t>
      </w:r>
      <w:r>
        <w:rPr>
          <w:color w:val="231F20"/>
          <w:w w:val="110"/>
        </w:rPr>
        <w:t>han</w:t>
      </w:r>
      <w:r>
        <w:rPr>
          <w:color w:val="231F20"/>
          <w:spacing w:val="-11"/>
          <w:w w:val="110"/>
        </w:rPr>
        <w:t> </w:t>
      </w:r>
      <w:r>
        <w:rPr>
          <w:color w:val="231F20"/>
          <w:w w:val="110"/>
        </w:rPr>
        <w:t>dejado</w:t>
      </w:r>
      <w:r>
        <w:rPr>
          <w:color w:val="231F20"/>
          <w:spacing w:val="-11"/>
          <w:w w:val="110"/>
        </w:rPr>
        <w:t> </w:t>
      </w:r>
      <w:r>
        <w:rPr>
          <w:color w:val="231F20"/>
          <w:w w:val="110"/>
        </w:rPr>
        <w:t>de</w:t>
      </w:r>
      <w:r>
        <w:rPr>
          <w:color w:val="231F20"/>
          <w:spacing w:val="-11"/>
          <w:w w:val="110"/>
        </w:rPr>
        <w:t> </w:t>
      </w:r>
      <w:r>
        <w:rPr>
          <w:color w:val="231F20"/>
          <w:w w:val="110"/>
        </w:rPr>
        <w:t>ser</w:t>
      </w:r>
      <w:r>
        <w:rPr>
          <w:color w:val="231F20"/>
          <w:spacing w:val="-11"/>
          <w:w w:val="110"/>
        </w:rPr>
        <w:t> </w:t>
      </w:r>
      <w:r>
        <w:rPr>
          <w:color w:val="231F20"/>
          <w:w w:val="110"/>
        </w:rPr>
        <w:t>clientes</w:t>
      </w:r>
      <w:r>
        <w:rPr>
          <w:color w:val="231F20"/>
          <w:spacing w:val="-11"/>
          <w:w w:val="110"/>
        </w:rPr>
        <w:t> </w:t>
      </w:r>
      <w:r>
        <w:rPr>
          <w:color w:val="231F20"/>
          <w:w w:val="110"/>
        </w:rPr>
        <w:t>significativos</w:t>
      </w:r>
      <w:r>
        <w:rPr>
          <w:color w:val="231F20"/>
          <w:spacing w:val="-11"/>
          <w:w w:val="110"/>
        </w:rPr>
        <w:t> </w:t>
      </w:r>
      <w:r>
        <w:rPr>
          <w:color w:val="231F20"/>
          <w:w w:val="110"/>
        </w:rPr>
        <w:t>del</w:t>
      </w:r>
      <w:r>
        <w:rPr>
          <w:color w:val="231F20"/>
          <w:spacing w:val="-11"/>
          <w:w w:val="110"/>
        </w:rPr>
        <w:t> </w:t>
      </w:r>
      <w:r>
        <w:rPr>
          <w:color w:val="231F20"/>
          <w:w w:val="110"/>
        </w:rPr>
        <w:t>sistema</w:t>
      </w:r>
      <w:r>
        <w:rPr>
          <w:color w:val="231F20"/>
          <w:spacing w:val="-11"/>
          <w:w w:val="110"/>
        </w:rPr>
        <w:t> </w:t>
      </w:r>
      <w:r>
        <w:rPr>
          <w:color w:val="231F20"/>
          <w:w w:val="110"/>
        </w:rPr>
        <w:t>financiero</w:t>
      </w:r>
      <w:r>
        <w:rPr>
          <w:color w:val="231F20"/>
          <w:spacing w:val="-11"/>
          <w:w w:val="110"/>
        </w:rPr>
        <w:t> </w:t>
      </w:r>
      <w:r>
        <w:rPr>
          <w:color w:val="231F20"/>
          <w:w w:val="110"/>
        </w:rPr>
        <w:t>(Ca- puto, 2010). Ambos enfoques interpretativos y su confrontación constituyen el objeto central de este </w:t>
      </w:r>
      <w:r>
        <w:rPr>
          <w:color w:val="231F20"/>
          <w:spacing w:val="25"/>
          <w:w w:val="110"/>
        </w:rPr>
        <w:t> </w:t>
      </w:r>
      <w:r>
        <w:rPr>
          <w:color w:val="231F20"/>
          <w:w w:val="110"/>
        </w:rPr>
        <w:t>documento.</w:t>
      </w:r>
    </w:p>
    <w:p>
      <w:pPr>
        <w:pStyle w:val="BodyText"/>
      </w:pPr>
    </w:p>
    <w:p>
      <w:pPr>
        <w:pStyle w:val="BodyText"/>
      </w:pPr>
    </w:p>
    <w:p>
      <w:pPr>
        <w:pStyle w:val="BodyText"/>
        <w:spacing w:before="2"/>
        <w:rPr>
          <w:sz w:val="25"/>
        </w:rPr>
      </w:pPr>
    </w:p>
    <w:p>
      <w:pPr>
        <w:pStyle w:val="BodyText"/>
        <w:spacing w:line="261" w:lineRule="auto"/>
        <w:ind w:left="100" w:right="1073"/>
      </w:pPr>
      <w:r>
        <w:rPr>
          <w:color w:val="231F20"/>
          <w:w w:val="125"/>
        </w:rPr>
        <w:t>síntesis de los planteamientos sobre el predominio del  capital financiero</w:t>
      </w:r>
    </w:p>
    <w:p>
      <w:pPr>
        <w:pStyle w:val="BodyText"/>
        <w:spacing w:before="8"/>
        <w:rPr>
          <w:sz w:val="21"/>
        </w:rPr>
      </w:pPr>
    </w:p>
    <w:p>
      <w:pPr>
        <w:spacing w:line="261" w:lineRule="auto" w:before="0"/>
        <w:ind w:left="100" w:right="115" w:firstLine="0"/>
        <w:jc w:val="both"/>
        <w:rPr>
          <w:sz w:val="20"/>
        </w:rPr>
      </w:pPr>
      <w:r>
        <w:rPr>
          <w:color w:val="231F20"/>
          <w:w w:val="105"/>
          <w:sz w:val="20"/>
        </w:rPr>
        <w:t>Francois</w:t>
      </w:r>
      <w:r>
        <w:rPr>
          <w:color w:val="231F20"/>
          <w:spacing w:val="-13"/>
          <w:w w:val="105"/>
          <w:sz w:val="20"/>
        </w:rPr>
        <w:t> </w:t>
      </w:r>
      <w:r>
        <w:rPr>
          <w:color w:val="231F20"/>
          <w:w w:val="105"/>
          <w:sz w:val="20"/>
        </w:rPr>
        <w:t>Chesnais</w:t>
      </w:r>
      <w:r>
        <w:rPr>
          <w:color w:val="231F20"/>
          <w:spacing w:val="-13"/>
          <w:w w:val="105"/>
          <w:sz w:val="20"/>
        </w:rPr>
        <w:t> </w:t>
      </w:r>
      <w:r>
        <w:rPr>
          <w:color w:val="231F20"/>
          <w:w w:val="105"/>
          <w:sz w:val="20"/>
        </w:rPr>
        <w:t>(2003),</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su</w:t>
      </w:r>
      <w:r>
        <w:rPr>
          <w:color w:val="231F20"/>
          <w:spacing w:val="-13"/>
          <w:w w:val="105"/>
          <w:sz w:val="20"/>
        </w:rPr>
        <w:t> </w:t>
      </w:r>
      <w:r>
        <w:rPr>
          <w:color w:val="231F20"/>
          <w:w w:val="105"/>
          <w:sz w:val="20"/>
        </w:rPr>
        <w:t>trabajo</w:t>
      </w:r>
      <w:r>
        <w:rPr>
          <w:color w:val="231F20"/>
          <w:spacing w:val="-13"/>
          <w:w w:val="105"/>
          <w:sz w:val="20"/>
        </w:rPr>
        <w:t> </w:t>
      </w:r>
      <w:r>
        <w:rPr>
          <w:i/>
          <w:color w:val="231F20"/>
          <w:w w:val="105"/>
          <w:sz w:val="20"/>
        </w:rPr>
        <w:t>La</w:t>
      </w:r>
      <w:r>
        <w:rPr>
          <w:i/>
          <w:color w:val="231F20"/>
          <w:spacing w:val="-13"/>
          <w:w w:val="105"/>
          <w:sz w:val="20"/>
        </w:rPr>
        <w:t> </w:t>
      </w:r>
      <w:r>
        <w:rPr>
          <w:i/>
          <w:color w:val="231F20"/>
          <w:w w:val="105"/>
          <w:sz w:val="20"/>
        </w:rPr>
        <w:t>teoría</w:t>
      </w:r>
      <w:r>
        <w:rPr>
          <w:i/>
          <w:color w:val="231F20"/>
          <w:spacing w:val="-13"/>
          <w:w w:val="105"/>
          <w:sz w:val="20"/>
        </w:rPr>
        <w:t> </w:t>
      </w:r>
      <w:r>
        <w:rPr>
          <w:i/>
          <w:color w:val="231F20"/>
          <w:w w:val="105"/>
          <w:sz w:val="20"/>
        </w:rPr>
        <w:t>del</w:t>
      </w:r>
      <w:r>
        <w:rPr>
          <w:i/>
          <w:color w:val="231F20"/>
          <w:spacing w:val="-13"/>
          <w:w w:val="105"/>
          <w:sz w:val="20"/>
        </w:rPr>
        <w:t> </w:t>
      </w:r>
      <w:r>
        <w:rPr>
          <w:i/>
          <w:color w:val="231F20"/>
          <w:w w:val="105"/>
          <w:sz w:val="20"/>
        </w:rPr>
        <w:t>régimen</w:t>
      </w:r>
      <w:r>
        <w:rPr>
          <w:i/>
          <w:color w:val="231F20"/>
          <w:spacing w:val="-13"/>
          <w:w w:val="105"/>
          <w:sz w:val="20"/>
        </w:rPr>
        <w:t> </w:t>
      </w:r>
      <w:r>
        <w:rPr>
          <w:i/>
          <w:color w:val="231F20"/>
          <w:w w:val="105"/>
          <w:sz w:val="20"/>
        </w:rPr>
        <w:t>de</w:t>
      </w:r>
      <w:r>
        <w:rPr>
          <w:i/>
          <w:color w:val="231F20"/>
          <w:spacing w:val="-13"/>
          <w:w w:val="105"/>
          <w:sz w:val="20"/>
        </w:rPr>
        <w:t> </w:t>
      </w:r>
      <w:r>
        <w:rPr>
          <w:i/>
          <w:color w:val="231F20"/>
          <w:w w:val="105"/>
          <w:sz w:val="20"/>
        </w:rPr>
        <w:t>acumu- </w:t>
      </w:r>
      <w:r>
        <w:rPr>
          <w:i/>
          <w:color w:val="231F20"/>
          <w:sz w:val="20"/>
        </w:rPr>
        <w:t>lación</w:t>
      </w:r>
      <w:r>
        <w:rPr>
          <w:i/>
          <w:color w:val="231F20"/>
          <w:spacing w:val="-14"/>
          <w:sz w:val="20"/>
        </w:rPr>
        <w:t> </w:t>
      </w:r>
      <w:r>
        <w:rPr>
          <w:i/>
          <w:color w:val="231F20"/>
          <w:sz w:val="20"/>
        </w:rPr>
        <w:t>financiarizado:</w:t>
      </w:r>
      <w:r>
        <w:rPr>
          <w:i/>
          <w:color w:val="231F20"/>
          <w:spacing w:val="-14"/>
          <w:sz w:val="20"/>
        </w:rPr>
        <w:t> </w:t>
      </w:r>
      <w:r>
        <w:rPr>
          <w:i/>
          <w:color w:val="231F20"/>
          <w:sz w:val="20"/>
        </w:rPr>
        <w:t>contenidos,</w:t>
      </w:r>
      <w:r>
        <w:rPr>
          <w:i/>
          <w:color w:val="231F20"/>
          <w:spacing w:val="-14"/>
          <w:sz w:val="20"/>
        </w:rPr>
        <w:t> </w:t>
      </w:r>
      <w:r>
        <w:rPr>
          <w:i/>
          <w:color w:val="231F20"/>
          <w:sz w:val="20"/>
        </w:rPr>
        <w:t>alcances</w:t>
      </w:r>
      <w:r>
        <w:rPr>
          <w:i/>
          <w:color w:val="231F20"/>
          <w:spacing w:val="-14"/>
          <w:sz w:val="20"/>
        </w:rPr>
        <w:t> </w:t>
      </w:r>
      <w:r>
        <w:rPr>
          <w:i/>
          <w:color w:val="231F20"/>
          <w:sz w:val="20"/>
        </w:rPr>
        <w:t>e</w:t>
      </w:r>
      <w:r>
        <w:rPr>
          <w:i/>
          <w:color w:val="231F20"/>
          <w:spacing w:val="-14"/>
          <w:sz w:val="20"/>
        </w:rPr>
        <w:t> </w:t>
      </w:r>
      <w:r>
        <w:rPr>
          <w:i/>
          <w:color w:val="231F20"/>
          <w:sz w:val="20"/>
        </w:rPr>
        <w:t>interrogantes</w:t>
      </w:r>
      <w:r>
        <w:rPr>
          <w:color w:val="231F20"/>
          <w:sz w:val="20"/>
        </w:rPr>
        <w:t>,</w:t>
      </w:r>
      <w:r>
        <w:rPr>
          <w:color w:val="231F20"/>
          <w:spacing w:val="-14"/>
          <w:sz w:val="20"/>
        </w:rPr>
        <w:t> </w:t>
      </w:r>
      <w:r>
        <w:rPr>
          <w:color w:val="231F20"/>
          <w:sz w:val="20"/>
        </w:rPr>
        <w:t>del</w:t>
      </w:r>
      <w:r>
        <w:rPr>
          <w:color w:val="231F20"/>
          <w:spacing w:val="-14"/>
          <w:sz w:val="20"/>
        </w:rPr>
        <w:t> </w:t>
      </w:r>
      <w:r>
        <w:rPr>
          <w:color w:val="231F20"/>
          <w:sz w:val="20"/>
        </w:rPr>
        <w:t>encabezado </w:t>
      </w:r>
      <w:r>
        <w:rPr>
          <w:color w:val="231F20"/>
          <w:w w:val="105"/>
          <w:sz w:val="20"/>
        </w:rPr>
        <w:t>denominado “En este texto se defienden las siguientes posturas” seleccionamos  los  extractos  a</w:t>
      </w:r>
      <w:r>
        <w:rPr>
          <w:color w:val="231F20"/>
          <w:spacing w:val="8"/>
          <w:w w:val="105"/>
          <w:sz w:val="20"/>
        </w:rPr>
        <w:t> </w:t>
      </w:r>
      <w:r>
        <w:rPr>
          <w:color w:val="231F20"/>
          <w:w w:val="105"/>
          <w:sz w:val="20"/>
        </w:rPr>
        <w:t>continuación:</w:t>
      </w:r>
    </w:p>
    <w:p>
      <w:pPr>
        <w:pStyle w:val="BodyText"/>
        <w:spacing w:before="4"/>
        <w:rPr>
          <w:sz w:val="23"/>
        </w:rPr>
      </w:pPr>
    </w:p>
    <w:p>
      <w:pPr>
        <w:spacing w:line="290" w:lineRule="auto" w:before="0"/>
        <w:ind w:left="100" w:right="117" w:firstLine="0"/>
        <w:jc w:val="both"/>
        <w:rPr>
          <w:sz w:val="18"/>
        </w:rPr>
      </w:pPr>
      <w:r>
        <w:rPr>
          <w:color w:val="231F20"/>
          <w:w w:val="110"/>
          <w:sz w:val="18"/>
        </w:rPr>
        <w:t>Desde</w:t>
      </w:r>
      <w:r>
        <w:rPr>
          <w:color w:val="231F20"/>
          <w:spacing w:val="-15"/>
          <w:w w:val="110"/>
          <w:sz w:val="18"/>
        </w:rPr>
        <w:t> </w:t>
      </w:r>
      <w:r>
        <w:rPr>
          <w:color w:val="231F20"/>
          <w:w w:val="110"/>
          <w:sz w:val="18"/>
        </w:rPr>
        <w:t>el</w:t>
      </w:r>
      <w:r>
        <w:rPr>
          <w:color w:val="231F20"/>
          <w:spacing w:val="-15"/>
          <w:w w:val="110"/>
          <w:sz w:val="18"/>
        </w:rPr>
        <w:t> </w:t>
      </w:r>
      <w:r>
        <w:rPr>
          <w:color w:val="231F20"/>
          <w:w w:val="110"/>
          <w:sz w:val="18"/>
        </w:rPr>
        <w:t>periodo</w:t>
      </w:r>
      <w:r>
        <w:rPr>
          <w:color w:val="231F20"/>
          <w:spacing w:val="-15"/>
          <w:w w:val="110"/>
          <w:sz w:val="18"/>
        </w:rPr>
        <w:t> </w:t>
      </w:r>
      <w:r>
        <w:rPr>
          <w:color w:val="231F20"/>
          <w:w w:val="110"/>
          <w:sz w:val="18"/>
        </w:rPr>
        <w:t>1979-1980,</w:t>
      </w:r>
      <w:r>
        <w:rPr>
          <w:color w:val="231F20"/>
          <w:spacing w:val="-15"/>
          <w:w w:val="110"/>
          <w:sz w:val="18"/>
        </w:rPr>
        <w:t> </w:t>
      </w:r>
      <w:r>
        <w:rPr>
          <w:color w:val="231F20"/>
          <w:w w:val="110"/>
          <w:sz w:val="18"/>
        </w:rPr>
        <w:t>se</w:t>
      </w:r>
      <w:r>
        <w:rPr>
          <w:color w:val="231F20"/>
          <w:spacing w:val="-15"/>
          <w:w w:val="110"/>
          <w:sz w:val="18"/>
        </w:rPr>
        <w:t> </w:t>
      </w:r>
      <w:r>
        <w:rPr>
          <w:color w:val="231F20"/>
          <w:w w:val="110"/>
          <w:sz w:val="18"/>
        </w:rPr>
        <w:t>asiste</w:t>
      </w:r>
      <w:r>
        <w:rPr>
          <w:color w:val="231F20"/>
          <w:spacing w:val="-15"/>
          <w:w w:val="110"/>
          <w:sz w:val="18"/>
        </w:rPr>
        <w:t> </w:t>
      </w:r>
      <w:r>
        <w:rPr>
          <w:color w:val="231F20"/>
          <w:w w:val="110"/>
          <w:sz w:val="18"/>
        </w:rPr>
        <w:t>a</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reaparición,</w:t>
      </w:r>
      <w:r>
        <w:rPr>
          <w:color w:val="231F20"/>
          <w:spacing w:val="-15"/>
          <w:w w:val="110"/>
          <w:sz w:val="18"/>
        </w:rPr>
        <w:t> </w:t>
      </w:r>
      <w:r>
        <w:rPr>
          <w:color w:val="231F20"/>
          <w:w w:val="110"/>
          <w:sz w:val="18"/>
        </w:rPr>
        <w:t>después</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un</w:t>
      </w:r>
      <w:r>
        <w:rPr>
          <w:color w:val="231F20"/>
          <w:spacing w:val="-15"/>
          <w:w w:val="110"/>
          <w:sz w:val="18"/>
        </w:rPr>
        <w:t> </w:t>
      </w:r>
      <w:r>
        <w:rPr>
          <w:color w:val="231F20"/>
          <w:w w:val="110"/>
          <w:sz w:val="18"/>
        </w:rPr>
        <w:t>lapso</w:t>
      </w:r>
      <w:r>
        <w:rPr>
          <w:color w:val="231F20"/>
          <w:spacing w:val="-15"/>
          <w:w w:val="110"/>
          <w:sz w:val="18"/>
        </w:rPr>
        <w:t> </w:t>
      </w:r>
      <w:r>
        <w:rPr>
          <w:color w:val="231F20"/>
          <w:w w:val="110"/>
          <w:sz w:val="18"/>
        </w:rPr>
        <w:t>de sesenta</w:t>
      </w:r>
      <w:r>
        <w:rPr>
          <w:color w:val="231F20"/>
          <w:spacing w:val="-15"/>
          <w:w w:val="110"/>
          <w:sz w:val="18"/>
        </w:rPr>
        <w:t> </w:t>
      </w:r>
      <w:r>
        <w:rPr>
          <w:color w:val="231F20"/>
          <w:w w:val="110"/>
          <w:sz w:val="18"/>
        </w:rPr>
        <w:t>años,</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capital</w:t>
      </w:r>
      <w:r>
        <w:rPr>
          <w:color w:val="231F20"/>
          <w:spacing w:val="-15"/>
          <w:w w:val="110"/>
          <w:sz w:val="18"/>
        </w:rPr>
        <w:t> </w:t>
      </w:r>
      <w:r>
        <w:rPr>
          <w:color w:val="231F20"/>
          <w:w w:val="110"/>
          <w:sz w:val="18"/>
        </w:rPr>
        <w:t>financiero</w:t>
      </w:r>
      <w:r>
        <w:rPr>
          <w:color w:val="231F20"/>
          <w:spacing w:val="-15"/>
          <w:w w:val="110"/>
          <w:sz w:val="18"/>
        </w:rPr>
        <w:t> </w:t>
      </w:r>
      <w:r>
        <w:rPr>
          <w:color w:val="231F20"/>
          <w:w w:val="110"/>
          <w:sz w:val="18"/>
        </w:rPr>
        <w:t>muy</w:t>
      </w:r>
      <w:r>
        <w:rPr>
          <w:color w:val="231F20"/>
          <w:spacing w:val="-15"/>
          <w:w w:val="110"/>
          <w:sz w:val="18"/>
        </w:rPr>
        <w:t> </w:t>
      </w:r>
      <w:r>
        <w:rPr>
          <w:color w:val="231F20"/>
          <w:w w:val="110"/>
          <w:sz w:val="18"/>
        </w:rPr>
        <w:t>concentrado.</w:t>
      </w:r>
      <w:r>
        <w:rPr>
          <w:color w:val="231F20"/>
          <w:spacing w:val="-15"/>
          <w:w w:val="110"/>
          <w:sz w:val="18"/>
        </w:rPr>
        <w:t> </w:t>
      </w:r>
      <w:r>
        <w:rPr>
          <w:color w:val="231F20"/>
          <w:w w:val="110"/>
          <w:sz w:val="18"/>
        </w:rPr>
        <w:t>Las</w:t>
      </w:r>
      <w:r>
        <w:rPr>
          <w:color w:val="231F20"/>
          <w:spacing w:val="-15"/>
          <w:w w:val="110"/>
          <w:sz w:val="18"/>
        </w:rPr>
        <w:t> </w:t>
      </w:r>
      <w:r>
        <w:rPr>
          <w:color w:val="231F20"/>
          <w:w w:val="110"/>
          <w:sz w:val="18"/>
        </w:rPr>
        <w:t>dos</w:t>
      </w:r>
      <w:r>
        <w:rPr>
          <w:color w:val="231F20"/>
          <w:spacing w:val="-15"/>
          <w:w w:val="110"/>
          <w:sz w:val="18"/>
        </w:rPr>
        <w:t> </w:t>
      </w:r>
      <w:r>
        <w:rPr>
          <w:color w:val="231F20"/>
          <w:w w:val="110"/>
          <w:sz w:val="18"/>
        </w:rPr>
        <w:t>ultimas</w:t>
      </w:r>
      <w:r>
        <w:rPr>
          <w:color w:val="231F20"/>
          <w:spacing w:val="-15"/>
          <w:w w:val="110"/>
          <w:sz w:val="18"/>
        </w:rPr>
        <w:t> </w:t>
      </w:r>
      <w:r>
        <w:rPr>
          <w:color w:val="231F20"/>
          <w:w w:val="110"/>
          <w:sz w:val="18"/>
        </w:rPr>
        <w:t>décadas han supuesto, además, el surgimiento </w:t>
      </w:r>
      <w:r>
        <w:rPr>
          <w:color w:val="231F20"/>
          <w:spacing w:val="-7"/>
          <w:w w:val="110"/>
          <w:sz w:val="18"/>
        </w:rPr>
        <w:t>y, </w:t>
      </w:r>
      <w:r>
        <w:rPr>
          <w:color w:val="231F20"/>
          <w:w w:val="110"/>
          <w:sz w:val="18"/>
        </w:rPr>
        <w:t>seguidamente, el pleno desarrollo de mercados financieros que han garantizado a ese capital los privilegios específicos</w:t>
      </w:r>
      <w:r>
        <w:rPr>
          <w:color w:val="231F20"/>
          <w:spacing w:val="-4"/>
          <w:w w:val="110"/>
          <w:sz w:val="18"/>
        </w:rPr>
        <w:t> </w:t>
      </w:r>
      <w:r>
        <w:rPr>
          <w:color w:val="231F20"/>
          <w:w w:val="110"/>
          <w:sz w:val="18"/>
        </w:rPr>
        <w:t>y</w:t>
      </w:r>
      <w:r>
        <w:rPr>
          <w:color w:val="231F20"/>
          <w:spacing w:val="-4"/>
          <w:w w:val="110"/>
          <w:sz w:val="18"/>
        </w:rPr>
        <w:t> </w:t>
      </w:r>
      <w:r>
        <w:rPr>
          <w:color w:val="231F20"/>
          <w:w w:val="110"/>
          <w:sz w:val="18"/>
        </w:rPr>
        <w:t>el</w:t>
      </w:r>
      <w:r>
        <w:rPr>
          <w:color w:val="231F20"/>
          <w:spacing w:val="-4"/>
          <w:w w:val="110"/>
          <w:sz w:val="18"/>
        </w:rPr>
        <w:t> </w:t>
      </w:r>
      <w:r>
        <w:rPr>
          <w:color w:val="231F20"/>
          <w:w w:val="110"/>
          <w:sz w:val="18"/>
        </w:rPr>
        <w:t>gran</w:t>
      </w:r>
      <w:r>
        <w:rPr>
          <w:color w:val="231F20"/>
          <w:spacing w:val="-4"/>
          <w:w w:val="110"/>
          <w:sz w:val="18"/>
        </w:rPr>
        <w:t> </w:t>
      </w:r>
      <w:r>
        <w:rPr>
          <w:color w:val="231F20"/>
          <w:w w:val="110"/>
          <w:sz w:val="18"/>
        </w:rPr>
        <w:t>poder</w:t>
      </w:r>
      <w:r>
        <w:rPr>
          <w:color w:val="231F20"/>
          <w:spacing w:val="-4"/>
          <w:w w:val="110"/>
          <w:sz w:val="18"/>
        </w:rPr>
        <w:t> </w:t>
      </w:r>
      <w:r>
        <w:rPr>
          <w:color w:val="231F20"/>
          <w:w w:val="110"/>
          <w:sz w:val="18"/>
        </w:rPr>
        <w:t>económico</w:t>
      </w:r>
      <w:r>
        <w:rPr>
          <w:color w:val="231F20"/>
          <w:spacing w:val="-4"/>
          <w:w w:val="110"/>
          <w:sz w:val="18"/>
        </w:rPr>
        <w:t> </w:t>
      </w:r>
      <w:r>
        <w:rPr>
          <w:color w:val="231F20"/>
          <w:w w:val="110"/>
          <w:sz w:val="18"/>
        </w:rPr>
        <w:t>y</w:t>
      </w:r>
      <w:r>
        <w:rPr>
          <w:color w:val="231F20"/>
          <w:spacing w:val="-4"/>
          <w:w w:val="110"/>
          <w:sz w:val="18"/>
        </w:rPr>
        <w:t> </w:t>
      </w:r>
      <w:r>
        <w:rPr>
          <w:color w:val="231F20"/>
          <w:w w:val="110"/>
          <w:sz w:val="18"/>
        </w:rPr>
        <w:t>social</w:t>
      </w:r>
      <w:r>
        <w:rPr>
          <w:color w:val="231F20"/>
          <w:spacing w:val="-4"/>
          <w:w w:val="110"/>
          <w:sz w:val="18"/>
        </w:rPr>
        <w:t> </w:t>
      </w:r>
      <w:r>
        <w:rPr>
          <w:color w:val="231F20"/>
          <w:w w:val="110"/>
          <w:sz w:val="18"/>
        </w:rPr>
        <w:t>que</w:t>
      </w:r>
      <w:r>
        <w:rPr>
          <w:color w:val="231F20"/>
          <w:spacing w:val="-4"/>
          <w:w w:val="110"/>
          <w:sz w:val="18"/>
        </w:rPr>
        <w:t> </w:t>
      </w:r>
      <w:r>
        <w:rPr>
          <w:color w:val="231F20"/>
          <w:w w:val="110"/>
          <w:sz w:val="18"/>
        </w:rPr>
        <w:t>se</w:t>
      </w:r>
      <w:r>
        <w:rPr>
          <w:color w:val="231F20"/>
          <w:spacing w:val="-4"/>
          <w:w w:val="110"/>
          <w:sz w:val="18"/>
        </w:rPr>
        <w:t> </w:t>
      </w:r>
      <w:r>
        <w:rPr>
          <w:color w:val="231F20"/>
          <w:w w:val="110"/>
          <w:sz w:val="18"/>
        </w:rPr>
        <w:t>asocia</w:t>
      </w:r>
      <w:r>
        <w:rPr>
          <w:color w:val="231F20"/>
          <w:spacing w:val="-4"/>
          <w:w w:val="110"/>
          <w:sz w:val="18"/>
        </w:rPr>
        <w:t> </w:t>
      </w:r>
      <w:r>
        <w:rPr>
          <w:color w:val="231F20"/>
          <w:w w:val="110"/>
          <w:sz w:val="18"/>
        </w:rPr>
        <w:t>a</w:t>
      </w:r>
      <w:r>
        <w:rPr>
          <w:color w:val="231F20"/>
          <w:spacing w:val="-4"/>
          <w:w w:val="110"/>
          <w:sz w:val="18"/>
        </w:rPr>
        <w:t> </w:t>
      </w:r>
      <w:r>
        <w:rPr>
          <w:color w:val="231F20"/>
          <w:w w:val="110"/>
          <w:sz w:val="18"/>
        </w:rPr>
        <w:t>la</w:t>
      </w:r>
      <w:r>
        <w:rPr>
          <w:color w:val="231F20"/>
          <w:spacing w:val="-4"/>
          <w:w w:val="110"/>
          <w:sz w:val="18"/>
        </w:rPr>
        <w:t> </w:t>
      </w:r>
      <w:r>
        <w:rPr>
          <w:color w:val="231F20"/>
          <w:w w:val="110"/>
          <w:sz w:val="18"/>
        </w:rPr>
        <w:t>“liquidez”.</w:t>
      </w:r>
    </w:p>
    <w:p>
      <w:pPr>
        <w:pStyle w:val="BodyText"/>
        <w:spacing w:before="2"/>
      </w:pPr>
    </w:p>
    <w:p>
      <w:pPr>
        <w:pStyle w:val="BodyText"/>
        <w:ind w:left="340" w:right="25"/>
      </w:pPr>
      <w:r>
        <w:rPr>
          <w:color w:val="231F20"/>
          <w:w w:val="105"/>
        </w:rPr>
        <w:t>Más  adelante señala:</w:t>
      </w:r>
    </w:p>
    <w:p>
      <w:pPr>
        <w:pStyle w:val="BodyText"/>
        <w:spacing w:before="1"/>
        <w:rPr>
          <w:sz w:val="25"/>
        </w:rPr>
      </w:pPr>
    </w:p>
    <w:p>
      <w:pPr>
        <w:spacing w:line="290" w:lineRule="auto" w:before="0"/>
        <w:ind w:left="100" w:right="117" w:firstLine="0"/>
        <w:jc w:val="both"/>
        <w:rPr>
          <w:sz w:val="18"/>
        </w:rPr>
      </w:pPr>
      <w:r>
        <w:rPr>
          <w:color w:val="231F20"/>
          <w:w w:val="105"/>
          <w:sz w:val="18"/>
        </w:rPr>
        <w:t>A partir de mediados de los años ochenta el capital financiero ha adquirido </w:t>
      </w:r>
      <w:r>
        <w:rPr>
          <w:color w:val="231F20"/>
          <w:spacing w:val="47"/>
          <w:w w:val="105"/>
          <w:sz w:val="18"/>
        </w:rPr>
        <w:t> </w:t>
      </w:r>
      <w:r>
        <w:rPr>
          <w:color w:val="231F20"/>
          <w:w w:val="105"/>
          <w:sz w:val="18"/>
        </w:rPr>
        <w:t>una trascendencia que le permite influir significativamente en el nivel y la orientación de las inversiones, así como en la estructura y la distribución de  </w:t>
      </w:r>
      <w:r>
        <w:rPr>
          <w:color w:val="231F20"/>
          <w:spacing w:val="47"/>
          <w:w w:val="105"/>
          <w:sz w:val="18"/>
        </w:rPr>
        <w:t> </w:t>
      </w:r>
      <w:r>
        <w:rPr>
          <w:color w:val="231F20"/>
          <w:w w:val="105"/>
          <w:sz w:val="18"/>
        </w:rPr>
        <w:t>la renta. Esto ha conducido a algunos observadores —poco numerosos, por   </w:t>
      </w:r>
      <w:r>
        <w:rPr>
          <w:color w:val="231F20"/>
          <w:spacing w:val="47"/>
          <w:w w:val="105"/>
          <w:sz w:val="18"/>
        </w:rPr>
        <w:t> </w:t>
      </w:r>
      <w:r>
        <w:rPr>
          <w:color w:val="231F20"/>
          <w:w w:val="105"/>
          <w:sz w:val="18"/>
        </w:rPr>
        <w:t>el momento— a plantear la hipótesis  de  que  el  régimen  de  acumulación  que podría erigirse en  “sucesor”  del  régimen  “fordista”  sería  un  régimen  en torno a unas relaciones, cuyo origen estaría más lejos del contexto de        </w:t>
      </w:r>
      <w:r>
        <w:rPr>
          <w:color w:val="231F20"/>
          <w:spacing w:val="47"/>
          <w:w w:val="105"/>
          <w:sz w:val="18"/>
        </w:rPr>
        <w:t> </w:t>
      </w:r>
      <w:r>
        <w:rPr>
          <w:color w:val="231F20"/>
          <w:w w:val="105"/>
          <w:sz w:val="18"/>
        </w:rPr>
        <w:t>la producción y más  cerca  del  ámbito  financiero.  Éste  sería  un  “régimen de acumulación dominado por lo financiero”, o un incluso un régimen de acumulación   financiarizado.</w:t>
      </w:r>
    </w:p>
    <w:p>
      <w:pPr>
        <w:spacing w:after="0" w:line="290" w:lineRule="auto"/>
        <w:jc w:val="both"/>
        <w:rPr>
          <w:sz w:val="18"/>
        </w:rPr>
        <w:sectPr>
          <w:headerReference w:type="even" r:id="rId76"/>
          <w:headerReference w:type="default" r:id="rId77"/>
          <w:pgSz w:w="7640" w:h="11900"/>
          <w:pgMar w:header="672" w:footer="0" w:top="860" w:bottom="280" w:left="780" w:right="640"/>
          <w:pgNumType w:start="82"/>
        </w:sectPr>
      </w:pPr>
    </w:p>
    <w:p>
      <w:pPr>
        <w:pStyle w:val="BodyText"/>
        <w:spacing w:before="8"/>
        <w:rPr>
          <w:sz w:val="8"/>
        </w:rPr>
      </w:pPr>
    </w:p>
    <w:p>
      <w:pPr>
        <w:pStyle w:val="BodyText"/>
        <w:spacing w:before="67"/>
        <w:ind w:left="340" w:right="25"/>
      </w:pPr>
      <w:r>
        <w:rPr>
          <w:color w:val="231F20"/>
        </w:rPr>
        <w:t>Y  más  adelante  continúa:</w:t>
      </w:r>
    </w:p>
    <w:p>
      <w:pPr>
        <w:pStyle w:val="BodyText"/>
        <w:spacing w:before="1"/>
        <w:rPr>
          <w:sz w:val="25"/>
        </w:rPr>
      </w:pPr>
    </w:p>
    <w:p>
      <w:pPr>
        <w:spacing w:line="290" w:lineRule="auto" w:before="0"/>
        <w:ind w:left="100" w:right="117" w:firstLine="0"/>
        <w:jc w:val="both"/>
        <w:rPr>
          <w:sz w:val="18"/>
        </w:rPr>
      </w:pPr>
      <w:r>
        <w:rPr>
          <w:color w:val="231F20"/>
          <w:w w:val="110"/>
          <w:sz w:val="18"/>
        </w:rPr>
        <w:t>A la vista de las propuestas teóricas de estos autores y de las tendencias</w:t>
      </w:r>
      <w:r>
        <w:rPr>
          <w:color w:val="231F20"/>
          <w:spacing w:val="-7"/>
          <w:w w:val="110"/>
          <w:sz w:val="18"/>
        </w:rPr>
        <w:t> </w:t>
      </w:r>
      <w:r>
        <w:rPr>
          <w:color w:val="231F20"/>
          <w:w w:val="110"/>
          <w:sz w:val="18"/>
        </w:rPr>
        <w:t>que se observan en la historia económica y social de la ultima década, se</w:t>
      </w:r>
      <w:r>
        <w:rPr>
          <w:color w:val="231F20"/>
          <w:spacing w:val="-11"/>
          <w:w w:val="110"/>
          <w:sz w:val="18"/>
        </w:rPr>
        <w:t> </w:t>
      </w:r>
      <w:r>
        <w:rPr>
          <w:color w:val="231F20"/>
          <w:w w:val="110"/>
          <w:sz w:val="18"/>
        </w:rPr>
        <w:t>confir- ma</w:t>
      </w:r>
      <w:r>
        <w:rPr>
          <w:color w:val="231F20"/>
          <w:spacing w:val="-4"/>
          <w:w w:val="110"/>
          <w:sz w:val="18"/>
        </w:rPr>
        <w:t> </w:t>
      </w:r>
      <w:r>
        <w:rPr>
          <w:color w:val="231F20"/>
          <w:w w:val="110"/>
          <w:sz w:val="18"/>
        </w:rPr>
        <w:t>que</w:t>
      </w:r>
      <w:r>
        <w:rPr>
          <w:color w:val="231F20"/>
          <w:spacing w:val="-4"/>
          <w:w w:val="110"/>
          <w:sz w:val="18"/>
        </w:rPr>
        <w:t> </w:t>
      </w:r>
      <w:r>
        <w:rPr>
          <w:color w:val="231F20"/>
          <w:w w:val="110"/>
          <w:sz w:val="18"/>
        </w:rPr>
        <w:t>el</w:t>
      </w:r>
      <w:r>
        <w:rPr>
          <w:color w:val="231F20"/>
          <w:spacing w:val="-4"/>
          <w:w w:val="110"/>
          <w:sz w:val="18"/>
        </w:rPr>
        <w:t> </w:t>
      </w:r>
      <w:r>
        <w:rPr>
          <w:color w:val="231F20"/>
          <w:w w:val="110"/>
          <w:sz w:val="18"/>
        </w:rPr>
        <w:t>capital</w:t>
      </w:r>
      <w:r>
        <w:rPr>
          <w:color w:val="231F20"/>
          <w:spacing w:val="-4"/>
          <w:w w:val="110"/>
          <w:sz w:val="18"/>
        </w:rPr>
        <w:t> </w:t>
      </w:r>
      <w:r>
        <w:rPr>
          <w:color w:val="231F20"/>
          <w:w w:val="110"/>
          <w:sz w:val="18"/>
        </w:rPr>
        <w:t>que</w:t>
      </w:r>
      <w:r>
        <w:rPr>
          <w:color w:val="231F20"/>
          <w:spacing w:val="-4"/>
          <w:w w:val="110"/>
          <w:sz w:val="18"/>
        </w:rPr>
        <w:t> </w:t>
      </w:r>
      <w:r>
        <w:rPr>
          <w:color w:val="231F20"/>
          <w:w w:val="110"/>
          <w:sz w:val="18"/>
        </w:rPr>
        <w:t>se</w:t>
      </w:r>
      <w:r>
        <w:rPr>
          <w:color w:val="231F20"/>
          <w:spacing w:val="-4"/>
          <w:w w:val="110"/>
          <w:sz w:val="18"/>
        </w:rPr>
        <w:t> </w:t>
      </w:r>
      <w:r>
        <w:rPr>
          <w:color w:val="231F20"/>
          <w:w w:val="110"/>
          <w:sz w:val="18"/>
        </w:rPr>
        <w:t>valoriza</w:t>
      </w:r>
      <w:r>
        <w:rPr>
          <w:color w:val="231F20"/>
          <w:spacing w:val="-4"/>
          <w:w w:val="110"/>
          <w:sz w:val="18"/>
        </w:rPr>
        <w:t> </w:t>
      </w:r>
      <w:r>
        <w:rPr>
          <w:color w:val="231F20"/>
          <w:w w:val="110"/>
          <w:sz w:val="18"/>
        </w:rPr>
        <w:t>bajo</w:t>
      </w:r>
      <w:r>
        <w:rPr>
          <w:color w:val="231F20"/>
          <w:spacing w:val="-4"/>
          <w:w w:val="110"/>
          <w:sz w:val="18"/>
        </w:rPr>
        <w:t> </w:t>
      </w:r>
      <w:r>
        <w:rPr>
          <w:color w:val="231F20"/>
          <w:w w:val="110"/>
          <w:sz w:val="18"/>
        </w:rPr>
        <w:t>la</w:t>
      </w:r>
      <w:r>
        <w:rPr>
          <w:color w:val="231F20"/>
          <w:spacing w:val="-4"/>
          <w:w w:val="110"/>
          <w:sz w:val="18"/>
        </w:rPr>
        <w:t> </w:t>
      </w:r>
      <w:r>
        <w:rPr>
          <w:color w:val="231F20"/>
          <w:w w:val="110"/>
          <w:sz w:val="18"/>
        </w:rPr>
        <w:t>forma</w:t>
      </w:r>
      <w:r>
        <w:rPr>
          <w:color w:val="231F20"/>
          <w:spacing w:val="-4"/>
          <w:w w:val="110"/>
          <w:sz w:val="18"/>
        </w:rPr>
        <w:t> </w:t>
      </w:r>
      <w:r>
        <w:rPr>
          <w:color w:val="231F20"/>
          <w:w w:val="110"/>
          <w:sz w:val="18"/>
        </w:rPr>
        <w:t>de</w:t>
      </w:r>
      <w:r>
        <w:rPr>
          <w:color w:val="231F20"/>
          <w:spacing w:val="-4"/>
          <w:w w:val="110"/>
          <w:sz w:val="18"/>
        </w:rPr>
        <w:t> </w:t>
      </w:r>
      <w:r>
        <w:rPr>
          <w:color w:val="231F20"/>
          <w:w w:val="110"/>
          <w:sz w:val="18"/>
        </w:rPr>
        <w:t>inversión</w:t>
      </w:r>
      <w:r>
        <w:rPr>
          <w:color w:val="231F20"/>
          <w:spacing w:val="-4"/>
          <w:w w:val="110"/>
          <w:sz w:val="18"/>
        </w:rPr>
        <w:t> </w:t>
      </w:r>
      <w:r>
        <w:rPr>
          <w:color w:val="231F20"/>
          <w:w w:val="110"/>
          <w:sz w:val="18"/>
        </w:rPr>
        <w:t>financiera</w:t>
      </w:r>
      <w:r>
        <w:rPr>
          <w:color w:val="231F20"/>
          <w:spacing w:val="-4"/>
          <w:w w:val="110"/>
          <w:sz w:val="18"/>
        </w:rPr>
        <w:t> </w:t>
      </w:r>
      <w:r>
        <w:rPr>
          <w:color w:val="231F20"/>
          <w:w w:val="110"/>
          <w:sz w:val="18"/>
        </w:rPr>
        <w:t>y</w:t>
      </w:r>
      <w:r>
        <w:rPr>
          <w:color w:val="231F20"/>
          <w:spacing w:val="-4"/>
          <w:w w:val="110"/>
          <w:sz w:val="18"/>
        </w:rPr>
        <w:t> </w:t>
      </w:r>
      <w:r>
        <w:rPr>
          <w:color w:val="231F20"/>
          <w:w w:val="110"/>
          <w:sz w:val="18"/>
        </w:rPr>
        <w:t>que comparte intereses con el beneficio empresarial aparece como la fracción dominante del capital, la que se muestra capaz de marcar la pauta de las  formas y el ritmo de</w:t>
      </w:r>
      <w:r>
        <w:rPr>
          <w:color w:val="231F20"/>
          <w:spacing w:val="14"/>
          <w:w w:val="110"/>
          <w:sz w:val="18"/>
        </w:rPr>
        <w:t> </w:t>
      </w:r>
      <w:r>
        <w:rPr>
          <w:color w:val="231F20"/>
          <w:w w:val="110"/>
          <w:sz w:val="18"/>
        </w:rPr>
        <w:t>acumulación.</w:t>
      </w:r>
    </w:p>
    <w:p>
      <w:pPr>
        <w:pStyle w:val="BodyText"/>
        <w:spacing w:before="2"/>
      </w:pPr>
    </w:p>
    <w:p>
      <w:pPr>
        <w:pStyle w:val="BodyText"/>
        <w:spacing w:line="261" w:lineRule="auto"/>
        <w:ind w:left="100" w:right="112" w:firstLine="240"/>
        <w:jc w:val="both"/>
      </w:pPr>
      <w:r>
        <w:rPr>
          <w:color w:val="231F20"/>
          <w:w w:val="110"/>
        </w:rPr>
        <w:t>Más adelante, en el punto 1 de la introducción, denominada,  “Las</w:t>
      </w:r>
      <w:r>
        <w:rPr>
          <w:color w:val="231F20"/>
          <w:spacing w:val="-11"/>
          <w:w w:val="110"/>
        </w:rPr>
        <w:t> </w:t>
      </w:r>
      <w:r>
        <w:rPr>
          <w:color w:val="231F20"/>
          <w:w w:val="110"/>
        </w:rPr>
        <w:t>diferentes</w:t>
      </w:r>
      <w:r>
        <w:rPr>
          <w:color w:val="231F20"/>
          <w:spacing w:val="-11"/>
          <w:w w:val="110"/>
        </w:rPr>
        <w:t> </w:t>
      </w:r>
      <w:r>
        <w:rPr>
          <w:color w:val="231F20"/>
          <w:w w:val="110"/>
        </w:rPr>
        <w:t>fases</w:t>
      </w:r>
      <w:r>
        <w:rPr>
          <w:color w:val="231F20"/>
          <w:spacing w:val="-11"/>
          <w:w w:val="110"/>
        </w:rPr>
        <w:t> </w:t>
      </w:r>
      <w:r>
        <w:rPr>
          <w:color w:val="231F20"/>
          <w:w w:val="110"/>
        </w:rPr>
        <w:t>en</w:t>
      </w:r>
      <w:r>
        <w:rPr>
          <w:color w:val="231F20"/>
          <w:spacing w:val="-11"/>
          <w:w w:val="110"/>
        </w:rPr>
        <w:t> </w:t>
      </w:r>
      <w:r>
        <w:rPr>
          <w:color w:val="231F20"/>
          <w:w w:val="110"/>
        </w:rPr>
        <w:t>torno</w:t>
      </w:r>
      <w:r>
        <w:rPr>
          <w:color w:val="231F20"/>
          <w:spacing w:val="-11"/>
          <w:w w:val="110"/>
        </w:rPr>
        <w:t> </w:t>
      </w:r>
      <w:r>
        <w:rPr>
          <w:color w:val="231F20"/>
          <w:w w:val="110"/>
        </w:rPr>
        <w:t>a</w:t>
      </w:r>
      <w:r>
        <w:rPr>
          <w:color w:val="231F20"/>
          <w:spacing w:val="-11"/>
          <w:w w:val="110"/>
        </w:rPr>
        <w:t> </w:t>
      </w:r>
      <w:r>
        <w:rPr>
          <w:color w:val="231F20"/>
          <w:w w:val="110"/>
        </w:rPr>
        <w:t>un</w:t>
      </w:r>
      <w:r>
        <w:rPr>
          <w:color w:val="231F20"/>
          <w:spacing w:val="-11"/>
          <w:w w:val="110"/>
        </w:rPr>
        <w:t> </w:t>
      </w:r>
      <w:r>
        <w:rPr>
          <w:color w:val="231F20"/>
          <w:w w:val="110"/>
        </w:rPr>
        <w:t>régimen</w:t>
      </w:r>
      <w:r>
        <w:rPr>
          <w:color w:val="231F20"/>
          <w:spacing w:val="-11"/>
          <w:w w:val="110"/>
        </w:rPr>
        <w:t> </w:t>
      </w:r>
      <w:r>
        <w:rPr>
          <w:color w:val="231F20"/>
          <w:w w:val="110"/>
        </w:rPr>
        <w:t>financiarizado”,</w:t>
      </w:r>
      <w:r>
        <w:rPr>
          <w:color w:val="231F20"/>
          <w:spacing w:val="-11"/>
          <w:w w:val="110"/>
        </w:rPr>
        <w:t> </w:t>
      </w:r>
      <w:r>
        <w:rPr>
          <w:color w:val="231F20"/>
          <w:w w:val="110"/>
        </w:rPr>
        <w:t>Francois Chesnais plantea lo</w:t>
      </w:r>
      <w:r>
        <w:rPr>
          <w:color w:val="231F20"/>
          <w:spacing w:val="1"/>
          <w:w w:val="110"/>
        </w:rPr>
        <w:t> </w:t>
      </w:r>
      <w:r>
        <w:rPr>
          <w:color w:val="231F20"/>
          <w:w w:val="110"/>
        </w:rPr>
        <w:t>siguiente:</w:t>
      </w:r>
    </w:p>
    <w:p>
      <w:pPr>
        <w:pStyle w:val="BodyText"/>
        <w:spacing w:before="4"/>
        <w:rPr>
          <w:sz w:val="23"/>
        </w:rPr>
      </w:pPr>
    </w:p>
    <w:p>
      <w:pPr>
        <w:spacing w:line="290" w:lineRule="auto" w:before="0"/>
        <w:ind w:left="100" w:right="119" w:firstLine="0"/>
        <w:jc w:val="both"/>
        <w:rPr>
          <w:sz w:val="18"/>
        </w:rPr>
      </w:pPr>
      <w:r>
        <w:rPr>
          <w:color w:val="231F20"/>
          <w:w w:val="110"/>
          <w:sz w:val="18"/>
        </w:rPr>
        <w:t>Probablemente he sido uno de los primeros, sino el primero, en emplear     la expresión “régimen de acumulación dominado por lo financiero”. Este concepto me ha servido para designar lo que me pareció una nueva con- figuración del capitalismo, cuyo contenido económico y social concreto respondería a la influencia, tanto en el orden económico como en</w:t>
      </w:r>
      <w:r>
        <w:rPr>
          <w:color w:val="231F20"/>
          <w:spacing w:val="27"/>
          <w:w w:val="110"/>
          <w:sz w:val="18"/>
        </w:rPr>
        <w:t> </w:t>
      </w:r>
      <w:r>
        <w:rPr>
          <w:color w:val="231F20"/>
          <w:w w:val="110"/>
          <w:sz w:val="18"/>
        </w:rPr>
        <w:t>el</w:t>
      </w:r>
      <w:r>
        <w:rPr>
          <w:color w:val="231F20"/>
          <w:spacing w:val="7"/>
          <w:w w:val="110"/>
          <w:sz w:val="18"/>
        </w:rPr>
        <w:t> </w:t>
      </w:r>
      <w:r>
        <w:rPr>
          <w:color w:val="231F20"/>
          <w:w w:val="110"/>
          <w:sz w:val="18"/>
        </w:rPr>
        <w:t>social,</w:t>
      </w:r>
      <w:r>
        <w:rPr>
          <w:color w:val="231F20"/>
          <w:w w:val="103"/>
          <w:sz w:val="18"/>
        </w:rPr>
        <w:t> </w:t>
      </w:r>
      <w:r>
        <w:rPr>
          <w:color w:val="231F20"/>
          <w:w w:val="110"/>
          <w:sz w:val="18"/>
        </w:rPr>
        <w:t>de una forma especifica del capital, a la que Marx se refería como “capital que reporta interés” o como “forma moderna de capital  </w:t>
      </w:r>
      <w:r>
        <w:rPr>
          <w:color w:val="231F20"/>
          <w:spacing w:val="5"/>
          <w:w w:val="110"/>
          <w:sz w:val="18"/>
        </w:rPr>
        <w:t> </w:t>
      </w:r>
      <w:r>
        <w:rPr>
          <w:color w:val="231F20"/>
          <w:w w:val="110"/>
          <w:sz w:val="18"/>
        </w:rPr>
        <w:t>dinero”.</w:t>
      </w:r>
    </w:p>
    <w:p>
      <w:pPr>
        <w:pStyle w:val="BodyText"/>
        <w:spacing w:before="2"/>
      </w:pPr>
    </w:p>
    <w:p>
      <w:pPr>
        <w:pStyle w:val="BodyText"/>
        <w:ind w:left="340" w:right="25"/>
      </w:pPr>
      <w:r>
        <w:rPr>
          <w:color w:val="231F20"/>
          <w:w w:val="105"/>
        </w:rPr>
        <w:t>A  continuación agrega:</w:t>
      </w:r>
    </w:p>
    <w:p>
      <w:pPr>
        <w:pStyle w:val="BodyText"/>
        <w:spacing w:before="1"/>
        <w:rPr>
          <w:sz w:val="25"/>
        </w:rPr>
      </w:pPr>
    </w:p>
    <w:p>
      <w:pPr>
        <w:spacing w:line="290" w:lineRule="auto" w:before="0"/>
        <w:ind w:left="100" w:right="117" w:firstLine="0"/>
        <w:jc w:val="both"/>
        <w:rPr>
          <w:sz w:val="18"/>
        </w:rPr>
      </w:pPr>
      <w:r>
        <w:rPr>
          <w:color w:val="231F20"/>
          <w:w w:val="110"/>
          <w:sz w:val="18"/>
        </w:rPr>
        <w:t>Como antecedente de esta caracterización, en la primera edición de </w:t>
      </w:r>
      <w:r>
        <w:rPr>
          <w:i/>
          <w:color w:val="231F20"/>
          <w:w w:val="110"/>
          <w:sz w:val="18"/>
        </w:rPr>
        <w:t>La </w:t>
      </w:r>
      <w:r>
        <w:rPr>
          <w:i/>
          <w:color w:val="231F20"/>
          <w:w w:val="110"/>
          <w:sz w:val="18"/>
        </w:rPr>
        <w:t>mondialisation du capital</w:t>
      </w:r>
      <w:r>
        <w:rPr>
          <w:color w:val="231F20"/>
          <w:w w:val="110"/>
          <w:sz w:val="18"/>
        </w:rPr>
        <w:t>, se realizaban una serie de observaciones sobre la posición de dominio y el grado de autonomía que parecía haber adquirido este capital. Desde mi punto de vista, el incremento de la importancia de todo lo que se denomina, de forma abreviada, financiero ha estado (y está) unido en forma indisociable a lo que ha constituido el punto de partida      de mis análisis, es </w:t>
      </w:r>
      <w:r>
        <w:rPr>
          <w:color w:val="231F20"/>
          <w:spacing w:val="-3"/>
          <w:w w:val="110"/>
          <w:sz w:val="18"/>
        </w:rPr>
        <w:t>decir, </w:t>
      </w:r>
      <w:r>
        <w:rPr>
          <w:color w:val="231F20"/>
          <w:w w:val="110"/>
          <w:sz w:val="18"/>
        </w:rPr>
        <w:t>a la nueva fase de la internacionalización (la de la mundialización del</w:t>
      </w:r>
      <w:r>
        <w:rPr>
          <w:color w:val="231F20"/>
          <w:spacing w:val="13"/>
          <w:w w:val="110"/>
          <w:sz w:val="18"/>
        </w:rPr>
        <w:t> </w:t>
      </w:r>
      <w:r>
        <w:rPr>
          <w:color w:val="231F20"/>
          <w:w w:val="110"/>
          <w:sz w:val="18"/>
        </w:rPr>
        <w:t>capital).</w:t>
      </w:r>
    </w:p>
    <w:p>
      <w:pPr>
        <w:spacing w:line="290" w:lineRule="auto" w:before="1"/>
        <w:ind w:left="100" w:right="117" w:firstLine="250"/>
        <w:jc w:val="both"/>
        <w:rPr>
          <w:sz w:val="18"/>
        </w:rPr>
      </w:pPr>
      <w:r>
        <w:rPr>
          <w:color w:val="231F20"/>
          <w:w w:val="110"/>
          <w:sz w:val="18"/>
        </w:rPr>
        <w:t>El “golpe de Estado” que ha permitido el avance de la dictadura de los prestamistas, en el sentido amplio en el que la concibe André Orlean no  hubiese</w:t>
      </w:r>
      <w:r>
        <w:rPr>
          <w:color w:val="231F20"/>
          <w:spacing w:val="-11"/>
          <w:w w:val="110"/>
          <w:sz w:val="18"/>
        </w:rPr>
        <w:t> </w:t>
      </w:r>
      <w:r>
        <w:rPr>
          <w:color w:val="231F20"/>
          <w:w w:val="110"/>
          <w:sz w:val="18"/>
        </w:rPr>
        <w:t>sido</w:t>
      </w:r>
      <w:r>
        <w:rPr>
          <w:color w:val="231F20"/>
          <w:spacing w:val="-11"/>
          <w:w w:val="110"/>
          <w:sz w:val="18"/>
        </w:rPr>
        <w:t> </w:t>
      </w:r>
      <w:r>
        <w:rPr>
          <w:color w:val="231F20"/>
          <w:w w:val="110"/>
          <w:sz w:val="18"/>
        </w:rPr>
        <w:t>posible</w:t>
      </w:r>
      <w:r>
        <w:rPr>
          <w:color w:val="231F20"/>
          <w:spacing w:val="-11"/>
          <w:w w:val="110"/>
          <w:sz w:val="18"/>
        </w:rPr>
        <w:t> </w:t>
      </w:r>
      <w:r>
        <w:rPr>
          <w:color w:val="231F20"/>
          <w:w w:val="110"/>
          <w:sz w:val="18"/>
        </w:rPr>
        <w:t>sin</w:t>
      </w:r>
      <w:r>
        <w:rPr>
          <w:color w:val="231F20"/>
          <w:spacing w:val="-11"/>
          <w:w w:val="110"/>
          <w:sz w:val="18"/>
        </w:rPr>
        <w:t> </w:t>
      </w:r>
      <w:r>
        <w:rPr>
          <w:color w:val="231F20"/>
          <w:w w:val="110"/>
          <w:sz w:val="18"/>
        </w:rPr>
        <w:t>las</w:t>
      </w:r>
      <w:r>
        <w:rPr>
          <w:color w:val="231F20"/>
          <w:spacing w:val="-11"/>
          <w:w w:val="110"/>
          <w:sz w:val="18"/>
        </w:rPr>
        <w:t> </w:t>
      </w:r>
      <w:r>
        <w:rPr>
          <w:color w:val="231F20"/>
          <w:w w:val="110"/>
          <w:sz w:val="18"/>
        </w:rPr>
        <w:t>políticas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liberalización,</w:t>
      </w:r>
      <w:r>
        <w:rPr>
          <w:color w:val="231F20"/>
          <w:spacing w:val="-11"/>
          <w:w w:val="110"/>
          <w:sz w:val="18"/>
        </w:rPr>
        <w:t> </w:t>
      </w:r>
      <w:r>
        <w:rPr>
          <w:color w:val="231F20"/>
          <w:w w:val="110"/>
          <w:sz w:val="18"/>
        </w:rPr>
        <w:t>desregulación</w:t>
      </w:r>
      <w:r>
        <w:rPr>
          <w:color w:val="231F20"/>
          <w:spacing w:val="-11"/>
          <w:w w:val="110"/>
          <w:sz w:val="18"/>
        </w:rPr>
        <w:t> </w:t>
      </w:r>
      <w:r>
        <w:rPr>
          <w:color w:val="231F20"/>
          <w:w w:val="110"/>
          <w:sz w:val="18"/>
        </w:rPr>
        <w:t>y</w:t>
      </w:r>
      <w:r>
        <w:rPr>
          <w:color w:val="231F20"/>
          <w:spacing w:val="-11"/>
          <w:w w:val="110"/>
          <w:sz w:val="18"/>
        </w:rPr>
        <w:t> </w:t>
      </w:r>
      <w:r>
        <w:rPr>
          <w:color w:val="231F20"/>
          <w:w w:val="110"/>
          <w:sz w:val="18"/>
        </w:rPr>
        <w:t>priva- tización, que no sólo han afectado al plano financiero, sino que han reper- cutido también sobre las inversiones directas en el exterior los intercambios de mercancías y de</w:t>
      </w:r>
      <w:r>
        <w:rPr>
          <w:color w:val="231F20"/>
          <w:spacing w:val="-34"/>
          <w:w w:val="110"/>
          <w:sz w:val="18"/>
        </w:rPr>
        <w:t> </w:t>
      </w:r>
      <w:r>
        <w:rPr>
          <w:color w:val="231F20"/>
          <w:w w:val="110"/>
          <w:sz w:val="18"/>
        </w:rPr>
        <w:t>servicios.</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Por su parte, Duménil y Lévy (2005), señalan: “En el capitalismo moderno, las clases de los grandes propietarios de capital está</w:t>
      </w:r>
      <w:r>
        <w:rPr>
          <w:color w:val="231F20"/>
          <w:spacing w:val="-23"/>
          <w:w w:val="110"/>
        </w:rPr>
        <w:t> </w:t>
      </w:r>
      <w:r>
        <w:rPr>
          <w:color w:val="231F20"/>
          <w:w w:val="110"/>
        </w:rPr>
        <w:t>relati- vamente</w:t>
      </w:r>
      <w:r>
        <w:rPr>
          <w:color w:val="231F20"/>
          <w:spacing w:val="-9"/>
          <w:w w:val="110"/>
        </w:rPr>
        <w:t> </w:t>
      </w:r>
      <w:r>
        <w:rPr>
          <w:color w:val="231F20"/>
          <w:w w:val="110"/>
        </w:rPr>
        <w:t>unificada</w:t>
      </w:r>
      <w:r>
        <w:rPr>
          <w:color w:val="231F20"/>
          <w:spacing w:val="-9"/>
          <w:w w:val="110"/>
        </w:rPr>
        <w:t> </w:t>
      </w:r>
      <w:r>
        <w:rPr>
          <w:color w:val="231F20"/>
          <w:w w:val="110"/>
        </w:rPr>
        <w:t>y</w:t>
      </w:r>
      <w:r>
        <w:rPr>
          <w:color w:val="231F20"/>
          <w:spacing w:val="-9"/>
          <w:w w:val="110"/>
        </w:rPr>
        <w:t> </w:t>
      </w:r>
      <w:r>
        <w:rPr>
          <w:color w:val="231F20"/>
          <w:w w:val="110"/>
        </w:rPr>
        <w:t>posee</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todos</w:t>
      </w:r>
      <w:r>
        <w:rPr>
          <w:color w:val="231F20"/>
          <w:spacing w:val="-9"/>
          <w:w w:val="110"/>
        </w:rPr>
        <w:t> </w:t>
      </w:r>
      <w:r>
        <w:rPr>
          <w:color w:val="231F20"/>
          <w:w w:val="110"/>
        </w:rPr>
        <w:t>los</w:t>
      </w:r>
      <w:r>
        <w:rPr>
          <w:color w:val="231F20"/>
          <w:spacing w:val="-9"/>
          <w:w w:val="110"/>
        </w:rPr>
        <w:t> </w:t>
      </w:r>
      <w:r>
        <w:rPr>
          <w:color w:val="231F20"/>
          <w:w w:val="110"/>
        </w:rPr>
        <w:t>sectores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economía (por sus títulos) y los controla (mediante sus instituciones financie- ras). Eso no impide que las actividades financieras y el sector finan- ciero hayan adquirido, en el neoliberalismo, una mayor</w:t>
      </w:r>
      <w:r>
        <w:rPr>
          <w:color w:val="231F20"/>
          <w:spacing w:val="-18"/>
          <w:w w:val="110"/>
        </w:rPr>
        <w:t> </w:t>
      </w:r>
      <w:r>
        <w:rPr>
          <w:color w:val="231F20"/>
          <w:w w:val="110"/>
        </w:rPr>
        <w:t>importancia. Por una parte, esas actividades se han hecho mucho más rentables</w:t>
      </w:r>
      <w:r>
        <w:rPr>
          <w:color w:val="231F20"/>
          <w:spacing w:val="-3"/>
          <w:w w:val="110"/>
        </w:rPr>
        <w:t> </w:t>
      </w:r>
      <w:r>
        <w:rPr>
          <w:color w:val="231F20"/>
          <w:spacing w:val="-8"/>
          <w:w w:val="110"/>
        </w:rPr>
        <w:t>y, </w:t>
      </w:r>
      <w:r>
        <w:rPr>
          <w:color w:val="231F20"/>
          <w:w w:val="110"/>
        </w:rPr>
        <w:t>por otra parte, el control de la economía nacional y mundial por las instituciones financieras es crucial para mantener y perpetuar el </w:t>
      </w:r>
      <w:r>
        <w:rPr>
          <w:color w:val="231F20"/>
          <w:spacing w:val="-3"/>
          <w:w w:val="110"/>
        </w:rPr>
        <w:t>or- </w:t>
      </w:r>
      <w:r>
        <w:rPr>
          <w:color w:val="231F20"/>
          <w:w w:val="110"/>
        </w:rPr>
        <w:t>den neoliberal. Por esas razones, se habla a menudo de financiariza- ción y de mundialización</w:t>
      </w:r>
      <w:r>
        <w:rPr>
          <w:color w:val="231F20"/>
          <w:spacing w:val="13"/>
          <w:w w:val="110"/>
        </w:rPr>
        <w:t> </w:t>
      </w:r>
      <w:r>
        <w:rPr>
          <w:color w:val="231F20"/>
          <w:w w:val="110"/>
        </w:rPr>
        <w:t>financiera.</w:t>
      </w:r>
    </w:p>
    <w:p>
      <w:pPr>
        <w:pStyle w:val="BodyText"/>
        <w:spacing w:line="261" w:lineRule="auto"/>
        <w:ind w:left="100" w:right="118" w:firstLine="240"/>
        <w:jc w:val="both"/>
      </w:pPr>
      <w:r>
        <w:rPr>
          <w:color w:val="231F20"/>
          <w:w w:val="110"/>
        </w:rPr>
        <w:t>Las tesis de la financiarización y la crisis actual son analizadas</w:t>
      </w:r>
      <w:r>
        <w:rPr>
          <w:color w:val="231F20"/>
          <w:spacing w:val="-30"/>
          <w:w w:val="110"/>
        </w:rPr>
        <w:t> </w:t>
      </w:r>
      <w:r>
        <w:rPr>
          <w:color w:val="231F20"/>
          <w:w w:val="110"/>
        </w:rPr>
        <w:t>en un</w:t>
      </w:r>
      <w:r>
        <w:rPr>
          <w:color w:val="231F20"/>
          <w:spacing w:val="-5"/>
          <w:w w:val="110"/>
        </w:rPr>
        <w:t> </w:t>
      </w:r>
      <w:r>
        <w:rPr>
          <w:color w:val="231F20"/>
          <w:w w:val="110"/>
        </w:rPr>
        <w:t>libro</w:t>
      </w:r>
      <w:r>
        <w:rPr>
          <w:color w:val="231F20"/>
          <w:spacing w:val="-5"/>
          <w:w w:val="110"/>
        </w:rPr>
        <w:t> </w:t>
      </w:r>
      <w:r>
        <w:rPr>
          <w:color w:val="231F20"/>
          <w:w w:val="110"/>
        </w:rPr>
        <w:t>colectivo</w:t>
      </w:r>
      <w:r>
        <w:rPr>
          <w:color w:val="231F20"/>
          <w:spacing w:val="-5"/>
          <w:w w:val="110"/>
        </w:rPr>
        <w:t> </w:t>
      </w:r>
      <w:r>
        <w:rPr>
          <w:color w:val="231F20"/>
          <w:w w:val="110"/>
        </w:rPr>
        <w:t>de</w:t>
      </w:r>
      <w:r>
        <w:rPr>
          <w:color w:val="231F20"/>
          <w:spacing w:val="-5"/>
          <w:w w:val="110"/>
        </w:rPr>
        <w:t> </w:t>
      </w:r>
      <w:r>
        <w:rPr>
          <w:color w:val="231F20"/>
          <w:w w:val="110"/>
        </w:rPr>
        <w:t>2009</w:t>
      </w:r>
      <w:r>
        <w:rPr>
          <w:color w:val="231F20"/>
          <w:spacing w:val="-5"/>
          <w:w w:val="110"/>
        </w:rPr>
        <w:t> </w:t>
      </w:r>
      <w:r>
        <w:rPr>
          <w:color w:val="231F20"/>
          <w:w w:val="110"/>
        </w:rPr>
        <w:t>(Chesnais,</w:t>
      </w:r>
      <w:r>
        <w:rPr>
          <w:color w:val="231F20"/>
          <w:spacing w:val="-5"/>
          <w:w w:val="110"/>
        </w:rPr>
        <w:t> </w:t>
      </w:r>
      <w:r>
        <w:rPr>
          <w:color w:val="231F20"/>
          <w:w w:val="110"/>
        </w:rPr>
        <w:t>De</w:t>
      </w:r>
      <w:r>
        <w:rPr>
          <w:color w:val="231F20"/>
          <w:spacing w:val="-5"/>
          <w:w w:val="110"/>
        </w:rPr>
        <w:t> </w:t>
      </w:r>
      <w:r>
        <w:rPr>
          <w:color w:val="231F20"/>
          <w:w w:val="110"/>
        </w:rPr>
        <w:t>Brunoff</w:t>
      </w:r>
      <w:r>
        <w:rPr>
          <w:color w:val="231F20"/>
          <w:spacing w:val="-5"/>
          <w:w w:val="110"/>
        </w:rPr>
        <w:t> </w:t>
      </w:r>
      <w:r>
        <w:rPr>
          <w:i/>
          <w:color w:val="231F20"/>
          <w:w w:val="110"/>
        </w:rPr>
        <w:t>et</w:t>
      </w:r>
      <w:r>
        <w:rPr>
          <w:i/>
          <w:color w:val="231F20"/>
          <w:spacing w:val="-5"/>
          <w:w w:val="110"/>
        </w:rPr>
        <w:t> </w:t>
      </w:r>
      <w:r>
        <w:rPr>
          <w:i/>
          <w:color w:val="231F20"/>
          <w:w w:val="110"/>
        </w:rPr>
        <w:t>al</w:t>
      </w:r>
      <w:r>
        <w:rPr>
          <w:color w:val="231F20"/>
          <w:w w:val="110"/>
        </w:rPr>
        <w:t>.,</w:t>
      </w:r>
      <w:r>
        <w:rPr>
          <w:color w:val="231F20"/>
          <w:spacing w:val="-5"/>
          <w:w w:val="110"/>
        </w:rPr>
        <w:t> </w:t>
      </w:r>
      <w:r>
        <w:rPr>
          <w:color w:val="231F20"/>
          <w:w w:val="110"/>
        </w:rPr>
        <w:t>2009).</w:t>
      </w:r>
    </w:p>
    <w:p>
      <w:pPr>
        <w:pStyle w:val="BodyText"/>
      </w:pPr>
    </w:p>
    <w:p>
      <w:pPr>
        <w:pStyle w:val="BodyText"/>
      </w:pPr>
    </w:p>
    <w:p>
      <w:pPr>
        <w:pStyle w:val="BodyText"/>
        <w:spacing w:before="2"/>
        <w:rPr>
          <w:sz w:val="25"/>
        </w:rPr>
      </w:pPr>
    </w:p>
    <w:p>
      <w:pPr>
        <w:pStyle w:val="BodyText"/>
        <w:spacing w:line="261" w:lineRule="auto"/>
        <w:ind w:left="100" w:right="713"/>
      </w:pPr>
      <w:r>
        <w:rPr>
          <w:color w:val="231F20"/>
          <w:w w:val="130"/>
        </w:rPr>
        <w:t>nuestra</w:t>
      </w:r>
      <w:r>
        <w:rPr>
          <w:color w:val="231F20"/>
          <w:spacing w:val="-19"/>
          <w:w w:val="130"/>
        </w:rPr>
        <w:t> </w:t>
      </w:r>
      <w:r>
        <w:rPr>
          <w:color w:val="231F20"/>
          <w:w w:val="130"/>
        </w:rPr>
        <w:t>interpretación:</w:t>
      </w:r>
      <w:r>
        <w:rPr>
          <w:color w:val="231F20"/>
          <w:spacing w:val="-19"/>
          <w:w w:val="130"/>
        </w:rPr>
        <w:t> </w:t>
      </w:r>
      <w:r>
        <w:rPr>
          <w:color w:val="231F20"/>
          <w:w w:val="130"/>
        </w:rPr>
        <w:t>de</w:t>
      </w:r>
      <w:r>
        <w:rPr>
          <w:color w:val="231F20"/>
          <w:spacing w:val="-19"/>
          <w:w w:val="130"/>
        </w:rPr>
        <w:t> </w:t>
      </w:r>
      <w:r>
        <w:rPr>
          <w:color w:val="231F20"/>
          <w:w w:val="130"/>
        </w:rPr>
        <w:t>la</w:t>
      </w:r>
      <w:r>
        <w:rPr>
          <w:color w:val="231F20"/>
          <w:spacing w:val="-19"/>
          <w:w w:val="130"/>
        </w:rPr>
        <w:t> </w:t>
      </w:r>
      <w:r>
        <w:rPr>
          <w:color w:val="231F20"/>
          <w:w w:val="130"/>
        </w:rPr>
        <w:t>preeminencia</w:t>
      </w:r>
      <w:r>
        <w:rPr>
          <w:color w:val="231F20"/>
          <w:spacing w:val="-19"/>
          <w:w w:val="130"/>
        </w:rPr>
        <w:t> </w:t>
      </w:r>
      <w:r>
        <w:rPr>
          <w:color w:val="231F20"/>
          <w:w w:val="130"/>
        </w:rPr>
        <w:t>del</w:t>
      </w:r>
      <w:r>
        <w:rPr>
          <w:color w:val="231F20"/>
          <w:spacing w:val="-19"/>
          <w:w w:val="130"/>
        </w:rPr>
        <w:t> </w:t>
      </w:r>
      <w:r>
        <w:rPr>
          <w:color w:val="231F20"/>
          <w:w w:val="130"/>
        </w:rPr>
        <w:t>capital financiero</w:t>
      </w:r>
      <w:r>
        <w:rPr>
          <w:color w:val="231F20"/>
          <w:spacing w:val="-29"/>
          <w:w w:val="130"/>
        </w:rPr>
        <w:t> </w:t>
      </w:r>
      <w:r>
        <w:rPr>
          <w:color w:val="231F20"/>
          <w:w w:val="130"/>
        </w:rPr>
        <w:t>a</w:t>
      </w:r>
      <w:r>
        <w:rPr>
          <w:color w:val="231F20"/>
          <w:spacing w:val="-29"/>
          <w:w w:val="130"/>
        </w:rPr>
        <w:t> </w:t>
      </w:r>
      <w:r>
        <w:rPr>
          <w:color w:val="231F20"/>
          <w:w w:val="130"/>
        </w:rPr>
        <w:t>la</w:t>
      </w:r>
      <w:r>
        <w:rPr>
          <w:color w:val="231F20"/>
          <w:spacing w:val="-29"/>
          <w:w w:val="130"/>
        </w:rPr>
        <w:t> </w:t>
      </w:r>
      <w:r>
        <w:rPr>
          <w:color w:val="231F20"/>
          <w:w w:val="130"/>
        </w:rPr>
        <w:t>preeminencia</w:t>
      </w:r>
      <w:r>
        <w:rPr>
          <w:color w:val="231F20"/>
          <w:spacing w:val="-29"/>
          <w:w w:val="130"/>
        </w:rPr>
        <w:t> </w:t>
      </w:r>
      <w:r>
        <w:rPr>
          <w:color w:val="231F20"/>
          <w:w w:val="130"/>
        </w:rPr>
        <w:t>del</w:t>
      </w:r>
      <w:r>
        <w:rPr>
          <w:color w:val="231F20"/>
          <w:spacing w:val="-29"/>
          <w:w w:val="130"/>
        </w:rPr>
        <w:t> </w:t>
      </w:r>
      <w:r>
        <w:rPr>
          <w:color w:val="231F20"/>
          <w:w w:val="130"/>
        </w:rPr>
        <w:t>capital</w:t>
      </w:r>
      <w:r>
        <w:rPr>
          <w:color w:val="231F20"/>
          <w:spacing w:val="-29"/>
          <w:w w:val="130"/>
        </w:rPr>
        <w:t> </w:t>
      </w:r>
      <w:r>
        <w:rPr>
          <w:color w:val="231F20"/>
          <w:w w:val="130"/>
        </w:rPr>
        <w:t>productivo</w:t>
      </w:r>
    </w:p>
    <w:p>
      <w:pPr>
        <w:pStyle w:val="BodyText"/>
        <w:spacing w:before="8"/>
        <w:rPr>
          <w:sz w:val="21"/>
        </w:rPr>
      </w:pPr>
    </w:p>
    <w:p>
      <w:pPr>
        <w:pStyle w:val="BodyText"/>
        <w:spacing w:line="261" w:lineRule="auto"/>
        <w:ind w:left="100" w:right="113"/>
        <w:jc w:val="both"/>
      </w:pPr>
      <w:r>
        <w:rPr>
          <w:color w:val="231F20"/>
          <w:w w:val="110"/>
        </w:rPr>
        <w:t>“De la preeminencia del capital financiero a la preeminencia del capital productivo”, es el título de un apartado de nuestro texto “Es- tados</w:t>
      </w:r>
      <w:r>
        <w:rPr>
          <w:color w:val="231F20"/>
          <w:spacing w:val="-11"/>
          <w:w w:val="110"/>
        </w:rPr>
        <w:t> </w:t>
      </w:r>
      <w:r>
        <w:rPr>
          <w:color w:val="231F20"/>
          <w:w w:val="110"/>
        </w:rPr>
        <w:t>Unidos</w:t>
      </w:r>
      <w:r>
        <w:rPr>
          <w:color w:val="231F20"/>
          <w:spacing w:val="-11"/>
          <w:w w:val="110"/>
        </w:rPr>
        <w:t> </w:t>
      </w:r>
      <w:r>
        <w:rPr>
          <w:color w:val="231F20"/>
          <w:w w:val="110"/>
        </w:rPr>
        <w:t>y</w:t>
      </w:r>
      <w:r>
        <w:rPr>
          <w:color w:val="231F20"/>
          <w:spacing w:val="-11"/>
          <w:w w:val="110"/>
        </w:rPr>
        <w:t> </w:t>
      </w:r>
      <w:r>
        <w:rPr>
          <w:color w:val="231F20"/>
          <w:w w:val="110"/>
        </w:rPr>
        <w:t>China:</w:t>
      </w:r>
      <w:r>
        <w:rPr>
          <w:color w:val="231F20"/>
          <w:spacing w:val="-11"/>
          <w:w w:val="110"/>
        </w:rPr>
        <w:t> </w:t>
      </w:r>
      <w:r>
        <w:rPr>
          <w:color w:val="231F20"/>
          <w:w w:val="110"/>
        </w:rPr>
        <w:t>¿locomotoras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recuperación</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crisis cíclicas de la economía mundial? (Caputo,</w:t>
      </w:r>
      <w:r>
        <w:rPr>
          <w:color w:val="231F20"/>
          <w:spacing w:val="24"/>
          <w:w w:val="110"/>
        </w:rPr>
        <w:t> </w:t>
      </w:r>
      <w:r>
        <w:rPr>
          <w:color w:val="231F20"/>
          <w:w w:val="110"/>
        </w:rPr>
        <w:t>2005).</w:t>
      </w:r>
    </w:p>
    <w:p>
      <w:pPr>
        <w:pStyle w:val="BodyText"/>
        <w:spacing w:line="261" w:lineRule="auto"/>
        <w:ind w:left="100" w:right="119" w:firstLine="240"/>
        <w:jc w:val="both"/>
      </w:pPr>
      <w:r>
        <w:rPr>
          <w:color w:val="231F20"/>
          <w:w w:val="110"/>
        </w:rPr>
        <w:t>A continuación reproducimos el texto del documento mencio- nado:</w:t>
      </w:r>
    </w:p>
    <w:p>
      <w:pPr>
        <w:pStyle w:val="BodyText"/>
        <w:spacing w:before="4"/>
        <w:rPr>
          <w:sz w:val="23"/>
        </w:rPr>
      </w:pPr>
    </w:p>
    <w:p>
      <w:pPr>
        <w:spacing w:line="290" w:lineRule="auto" w:before="0"/>
        <w:ind w:left="100" w:right="117" w:firstLine="0"/>
        <w:jc w:val="both"/>
        <w:rPr>
          <w:sz w:val="18"/>
        </w:rPr>
      </w:pPr>
      <w:r>
        <w:rPr>
          <w:color w:val="231F20"/>
          <w:w w:val="110"/>
          <w:sz w:val="18"/>
        </w:rPr>
        <w:t>Una de las transformaciones más importantes es el profundo cambio que se ha procesado entre las diferentes formas del capital en los países</w:t>
      </w:r>
      <w:r>
        <w:rPr>
          <w:color w:val="231F20"/>
          <w:spacing w:val="-34"/>
          <w:w w:val="110"/>
          <w:sz w:val="18"/>
        </w:rPr>
        <w:t> </w:t>
      </w:r>
      <w:r>
        <w:rPr>
          <w:color w:val="231F20"/>
          <w:w w:val="110"/>
          <w:sz w:val="18"/>
        </w:rPr>
        <w:t>capitalistas desarrollados y particularmente en Estados Unidos. Las empresas produc- toras de bienes y servicios se han liberado del dominio que en decenios anteriores ejerció sobre ellas el capital</w:t>
      </w:r>
      <w:r>
        <w:rPr>
          <w:color w:val="231F20"/>
          <w:spacing w:val="24"/>
          <w:w w:val="110"/>
          <w:sz w:val="18"/>
        </w:rPr>
        <w:t> </w:t>
      </w:r>
      <w:r>
        <w:rPr>
          <w:color w:val="231F20"/>
          <w:w w:val="110"/>
          <w:sz w:val="18"/>
        </w:rPr>
        <w:t>financiero.</w:t>
      </w:r>
    </w:p>
    <w:p>
      <w:pPr>
        <w:pStyle w:val="BodyText"/>
        <w:spacing w:before="2"/>
      </w:pPr>
    </w:p>
    <w:p>
      <w:pPr>
        <w:pStyle w:val="BodyText"/>
        <w:spacing w:line="261" w:lineRule="auto"/>
        <w:ind w:left="100" w:right="117" w:firstLine="240"/>
        <w:jc w:val="both"/>
      </w:pPr>
      <w:r>
        <w:rPr>
          <w:color w:val="231F20"/>
          <w:w w:val="110"/>
        </w:rPr>
        <w:t>En los años ochenta y a inicios de los noventa, el capital</w:t>
      </w:r>
      <w:r>
        <w:rPr>
          <w:color w:val="231F20"/>
          <w:spacing w:val="-32"/>
          <w:w w:val="110"/>
        </w:rPr>
        <w:t> </w:t>
      </w:r>
      <w:r>
        <w:rPr>
          <w:color w:val="231F20"/>
          <w:w w:val="110"/>
        </w:rPr>
        <w:t>financie- ro captaba alrededor del 35% de las ganancias de las empresas no financieras. Posteriormente, los intereses netos pagados disminuye- ron a menos de 20% de las ganancias. En los periodos de auge, se aproximan a 10 por  ciento.</w:t>
      </w:r>
    </w:p>
    <w:p>
      <w:pPr>
        <w:pStyle w:val="BodyText"/>
        <w:spacing w:line="261" w:lineRule="auto"/>
        <w:ind w:left="100" w:right="119" w:firstLine="240"/>
        <w:jc w:val="both"/>
      </w:pPr>
      <w:r>
        <w:rPr>
          <w:color w:val="231F20"/>
          <w:w w:val="110"/>
        </w:rPr>
        <w:t>La disminución generalizada de la tasa de interés en los países desarrollados</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últimos</w:t>
      </w:r>
      <w:r>
        <w:rPr>
          <w:color w:val="231F20"/>
          <w:spacing w:val="-7"/>
          <w:w w:val="110"/>
        </w:rPr>
        <w:t> </w:t>
      </w:r>
      <w:r>
        <w:rPr>
          <w:color w:val="231F20"/>
          <w:w w:val="110"/>
        </w:rPr>
        <w:t>años</w:t>
      </w:r>
      <w:r>
        <w:rPr>
          <w:color w:val="231F20"/>
          <w:spacing w:val="-7"/>
          <w:w w:val="110"/>
        </w:rPr>
        <w:t> </w:t>
      </w:r>
      <w:r>
        <w:rPr>
          <w:color w:val="231F20"/>
          <w:w w:val="110"/>
        </w:rPr>
        <w:t>es</w:t>
      </w:r>
      <w:r>
        <w:rPr>
          <w:color w:val="231F20"/>
          <w:spacing w:val="-7"/>
          <w:w w:val="110"/>
        </w:rPr>
        <w:t> </w:t>
      </w:r>
      <w:r>
        <w:rPr>
          <w:color w:val="231F20"/>
          <w:w w:val="110"/>
        </w:rPr>
        <w:t>un</w:t>
      </w:r>
      <w:r>
        <w:rPr>
          <w:color w:val="231F20"/>
          <w:spacing w:val="-7"/>
          <w:w w:val="110"/>
        </w:rPr>
        <w:t> </w:t>
      </w:r>
      <w:r>
        <w:rPr>
          <w:color w:val="231F20"/>
          <w:w w:val="110"/>
        </w:rPr>
        <w:t>antecedente</w:t>
      </w:r>
      <w:r>
        <w:rPr>
          <w:color w:val="231F20"/>
          <w:spacing w:val="-7"/>
          <w:w w:val="110"/>
        </w:rPr>
        <w:t> </w:t>
      </w:r>
      <w:r>
        <w:rPr>
          <w:color w:val="231F20"/>
          <w:w w:val="110"/>
        </w:rPr>
        <w:t>significativo</w:t>
      </w:r>
      <w:r>
        <w:rPr>
          <w:color w:val="231F20"/>
          <w:spacing w:val="-7"/>
          <w:w w:val="110"/>
        </w:rPr>
        <w:t> </w:t>
      </w:r>
      <w:r>
        <w:rPr>
          <w:color w:val="231F20"/>
          <w:w w:val="110"/>
        </w:rPr>
        <w:t>que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2"/>
        <w:jc w:val="both"/>
      </w:pPr>
      <w:r>
        <w:rPr>
          <w:color w:val="231F20"/>
          <w:w w:val="110"/>
        </w:rPr>
        <w:t>apoya el proceso de liberalización del capital productivo respecto del capital financiero. Las tasas de interés en Estados Unidos son   las más bajas en los últimos cuatro decenios y por varios meses fue fijada en 1%. En Japón, la tasa de interés real ha sido negativa por un  periodo</w:t>
      </w:r>
      <w:r>
        <w:rPr>
          <w:color w:val="231F20"/>
          <w:spacing w:val="19"/>
          <w:w w:val="110"/>
        </w:rPr>
        <w:t> </w:t>
      </w:r>
      <w:r>
        <w:rPr>
          <w:color w:val="231F20"/>
          <w:w w:val="110"/>
        </w:rPr>
        <w:t>prolongado.</w:t>
      </w:r>
    </w:p>
    <w:p>
      <w:pPr>
        <w:pStyle w:val="BodyText"/>
        <w:spacing w:line="261" w:lineRule="auto"/>
        <w:ind w:left="25" w:right="117" w:firstLine="240"/>
        <w:jc w:val="right"/>
      </w:pPr>
      <w:r>
        <w:rPr>
          <w:color w:val="231F20"/>
          <w:w w:val="110"/>
        </w:rPr>
        <w:t>Las grandes inversiones que se han realizado, se han financiado</w:t>
      </w:r>
      <w:r>
        <w:rPr>
          <w:color w:val="231F20"/>
          <w:w w:val="109"/>
        </w:rPr>
        <w:t> </w:t>
      </w:r>
      <w:r>
        <w:rPr>
          <w:color w:val="231F20"/>
          <w:w w:val="110"/>
        </w:rPr>
        <w:t>con el gran crecimiento de las ganancias a través de las ganancias re-</w:t>
      </w:r>
      <w:r>
        <w:rPr>
          <w:color w:val="231F20"/>
          <w:w w:val="72"/>
        </w:rPr>
        <w:t> </w:t>
      </w:r>
      <w:r>
        <w:rPr>
          <w:color w:val="231F20"/>
          <w:w w:val="110"/>
        </w:rPr>
        <w:t>tenidas. También, las inversiones se han financiado con recursos que</w:t>
      </w:r>
      <w:r>
        <w:rPr>
          <w:color w:val="231F20"/>
          <w:w w:val="113"/>
        </w:rPr>
        <w:t> </w:t>
      </w:r>
      <w:r>
        <w:rPr>
          <w:color w:val="231F20"/>
          <w:w w:val="110"/>
        </w:rPr>
        <w:t>las empresas han captado directamente colocando acciones y bonos.</w:t>
      </w:r>
      <w:r>
        <w:rPr>
          <w:color w:val="231F20"/>
          <w:w w:val="109"/>
        </w:rPr>
        <w:t> </w:t>
      </w:r>
      <w:r>
        <w:rPr>
          <w:color w:val="231F20"/>
          <w:w w:val="110"/>
        </w:rPr>
        <w:t>Con el aumento de las ganancias y con la disminución de los</w:t>
      </w:r>
      <w:r>
        <w:rPr>
          <w:color w:val="231F20"/>
          <w:w w:val="102"/>
        </w:rPr>
        <w:t> </w:t>
      </w:r>
      <w:r>
        <w:rPr>
          <w:color w:val="231F20"/>
          <w:w w:val="110"/>
        </w:rPr>
        <w:t>intereses y más allá de la escasez mayor o menor de capital, parece</w:t>
      </w:r>
      <w:r>
        <w:rPr>
          <w:color w:val="231F20"/>
          <w:w w:val="111"/>
        </w:rPr>
        <w:t> </w:t>
      </w:r>
      <w:r>
        <w:rPr>
          <w:color w:val="231F20"/>
          <w:w w:val="110"/>
        </w:rPr>
        <w:t>suficientemente claro que el capital productor de bienes y servicios</w:t>
      </w:r>
      <w:r>
        <w:rPr>
          <w:color w:val="231F20"/>
          <w:w w:val="98"/>
        </w:rPr>
        <w:t> </w:t>
      </w:r>
      <w:r>
        <w:rPr>
          <w:color w:val="231F20"/>
          <w:w w:val="110"/>
        </w:rPr>
        <w:t>no financieros en los países desarrollados se ha liberado bastante</w:t>
      </w:r>
      <w:r>
        <w:rPr>
          <w:color w:val="231F20"/>
          <w:w w:val="110"/>
        </w:rPr>
        <w:t> </w:t>
      </w:r>
      <w:r>
        <w:rPr>
          <w:color w:val="231F20"/>
          <w:w w:val="110"/>
        </w:rPr>
        <w:t>de la dependencia del capital financiero. Esa dependencia llevó a</w:t>
      </w:r>
      <w:r>
        <w:rPr>
          <w:color w:val="231F20"/>
          <w:w w:val="108"/>
        </w:rPr>
        <w:t> </w:t>
      </w:r>
      <w:r>
        <w:rPr>
          <w:color w:val="231F20"/>
          <w:w w:val="110"/>
        </w:rPr>
        <w:t>caracterizar al capitalismo de los últimos decenios como dominado</w:t>
      </w:r>
      <w:r>
        <w:rPr>
          <w:color w:val="231F20"/>
          <w:w w:val="112"/>
        </w:rPr>
        <w:t> </w:t>
      </w:r>
      <w:r>
        <w:rPr>
          <w:color w:val="231F20"/>
          <w:w w:val="110"/>
        </w:rPr>
        <w:t>por el capital financiero. Se sigue caracterizándolo de esta forma,</w:t>
      </w:r>
      <w:r>
        <w:rPr>
          <w:color w:val="231F20"/>
          <w:w w:val="109"/>
        </w:rPr>
        <w:t> </w:t>
      </w:r>
      <w:r>
        <w:rPr>
          <w:color w:val="231F20"/>
          <w:w w:val="110"/>
        </w:rPr>
        <w:t>lo que nos parece que es un grave error muy difundido y que está</w:t>
      </w:r>
      <w:r>
        <w:rPr>
          <w:color w:val="231F20"/>
          <w:w w:val="106"/>
        </w:rPr>
        <w:t> </w:t>
      </w:r>
      <w:r>
        <w:rPr>
          <w:color w:val="231F20"/>
          <w:w w:val="110"/>
        </w:rPr>
        <w:t>presente en la mayoría de los análisis que se ubican al interior de  la</w:t>
      </w:r>
    </w:p>
    <w:p>
      <w:pPr>
        <w:pStyle w:val="BodyText"/>
        <w:ind w:left="100"/>
        <w:jc w:val="both"/>
      </w:pPr>
      <w:r>
        <w:rPr>
          <w:color w:val="231F20"/>
          <w:w w:val="110"/>
        </w:rPr>
        <w:t>economía crítica.</w:t>
      </w:r>
    </w:p>
    <w:p>
      <w:pPr>
        <w:pStyle w:val="BodyText"/>
        <w:spacing w:line="261" w:lineRule="auto" w:before="20"/>
        <w:ind w:left="100" w:right="117" w:firstLine="240"/>
        <w:jc w:val="both"/>
      </w:pPr>
      <w:r>
        <w:rPr>
          <w:color w:val="231F20"/>
          <w:w w:val="105"/>
        </w:rPr>
        <w:t>El predominio del capital productivo por sobre las otras formas de capital permite asignarle, como es en la realidad, mayor significado a  la relación de dominación del capital sobre el trabajo y la sociedad.   En el periodo en que el capital productivo dependía en forma ex-   trema del capital financiero, la relación fundamental aparece entre capitales. La relación capital-trabajo se ubicaba en un nivel bastante inferior. La fuerza con que se plantea en la actualidad la flexibilidad laboral y las formas prácticas que asume, ilustran con claridad que  para el sistema en su conjunto, la relación de las empresas con los trabajadores  es </w:t>
      </w:r>
      <w:r>
        <w:rPr>
          <w:color w:val="231F20"/>
          <w:spacing w:val="36"/>
          <w:w w:val="105"/>
        </w:rPr>
        <w:t> </w:t>
      </w:r>
      <w:r>
        <w:rPr>
          <w:color w:val="231F20"/>
          <w:w w:val="105"/>
        </w:rPr>
        <w:t>fundamental.</w:t>
      </w:r>
    </w:p>
    <w:p>
      <w:pPr>
        <w:pStyle w:val="BodyText"/>
        <w:spacing w:line="261" w:lineRule="auto"/>
        <w:ind w:left="100" w:right="117" w:firstLine="240"/>
        <w:jc w:val="both"/>
      </w:pPr>
      <w:r>
        <w:rPr>
          <w:color w:val="231F20"/>
          <w:w w:val="110"/>
        </w:rPr>
        <w:t>A</w:t>
      </w:r>
      <w:r>
        <w:rPr>
          <w:color w:val="231F20"/>
          <w:spacing w:val="-15"/>
          <w:w w:val="110"/>
        </w:rPr>
        <w:t> </w:t>
      </w:r>
      <w:r>
        <w:rPr>
          <w:color w:val="231F20"/>
          <w:w w:val="110"/>
        </w:rPr>
        <w:t>diferencia</w:t>
      </w:r>
      <w:r>
        <w:rPr>
          <w:color w:val="231F20"/>
          <w:spacing w:val="-16"/>
          <w:w w:val="110"/>
        </w:rPr>
        <w:t> </w:t>
      </w:r>
      <w:r>
        <w:rPr>
          <w:color w:val="231F20"/>
          <w:w w:val="110"/>
        </w:rPr>
        <w:t>de</w:t>
      </w:r>
      <w:r>
        <w:rPr>
          <w:color w:val="231F20"/>
          <w:spacing w:val="-16"/>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pasa</w:t>
      </w:r>
      <w:r>
        <w:rPr>
          <w:color w:val="231F20"/>
          <w:spacing w:val="-16"/>
          <w:w w:val="110"/>
        </w:rPr>
        <w:t> </w:t>
      </w:r>
      <w:r>
        <w:rPr>
          <w:color w:val="231F20"/>
          <w:w w:val="110"/>
        </w:rPr>
        <w:t>en</w:t>
      </w:r>
      <w:r>
        <w:rPr>
          <w:color w:val="231F20"/>
          <w:spacing w:val="-15"/>
          <w:w w:val="110"/>
        </w:rPr>
        <w:t> </w:t>
      </w:r>
      <w:r>
        <w:rPr>
          <w:color w:val="231F20"/>
          <w:w w:val="110"/>
        </w:rPr>
        <w:t>los</w:t>
      </w:r>
      <w:r>
        <w:rPr>
          <w:color w:val="231F20"/>
          <w:spacing w:val="-16"/>
          <w:w w:val="110"/>
        </w:rPr>
        <w:t> </w:t>
      </w:r>
      <w:r>
        <w:rPr>
          <w:color w:val="231F20"/>
          <w:w w:val="110"/>
        </w:rPr>
        <w:t>países</w:t>
      </w:r>
      <w:r>
        <w:rPr>
          <w:color w:val="231F20"/>
          <w:spacing w:val="-16"/>
          <w:w w:val="110"/>
        </w:rPr>
        <w:t> </w:t>
      </w:r>
      <w:r>
        <w:rPr>
          <w:color w:val="231F20"/>
          <w:w w:val="110"/>
        </w:rPr>
        <w:t>desarrollados,</w:t>
      </w:r>
      <w:r>
        <w:rPr>
          <w:color w:val="231F20"/>
          <w:spacing w:val="-16"/>
          <w:w w:val="110"/>
        </w:rPr>
        <w:t> </w:t>
      </w:r>
      <w:r>
        <w:rPr>
          <w:color w:val="231F20"/>
          <w:w w:val="110"/>
        </w:rPr>
        <w:t>en</w:t>
      </w:r>
      <w:r>
        <w:rPr>
          <w:color w:val="231F20"/>
          <w:spacing w:val="-15"/>
          <w:w w:val="110"/>
        </w:rPr>
        <w:t> </w:t>
      </w:r>
      <w:r>
        <w:rPr>
          <w:color w:val="231F20"/>
          <w:w w:val="110"/>
        </w:rPr>
        <w:t>América Latina, el capital productivo y el capital financiero actúan conjunta- mente,</w:t>
      </w:r>
      <w:r>
        <w:rPr>
          <w:color w:val="231F20"/>
          <w:spacing w:val="-14"/>
          <w:w w:val="110"/>
        </w:rPr>
        <w:t> </w:t>
      </w:r>
      <w:r>
        <w:rPr>
          <w:color w:val="231F20"/>
          <w:w w:val="110"/>
        </w:rPr>
        <w:t>potenciándose.</w:t>
      </w:r>
      <w:r>
        <w:rPr>
          <w:color w:val="231F20"/>
          <w:spacing w:val="-14"/>
          <w:w w:val="110"/>
        </w:rPr>
        <w:t> </w:t>
      </w:r>
      <w:r>
        <w:rPr>
          <w:color w:val="231F20"/>
          <w:w w:val="110"/>
        </w:rPr>
        <w:t>Así</w:t>
      </w:r>
      <w:r>
        <w:rPr>
          <w:color w:val="231F20"/>
          <w:spacing w:val="-14"/>
          <w:w w:val="110"/>
        </w:rPr>
        <w:t> </w:t>
      </w:r>
      <w:r>
        <w:rPr>
          <w:color w:val="231F20"/>
          <w:w w:val="110"/>
        </w:rPr>
        <w:t>sucede</w:t>
      </w:r>
      <w:r>
        <w:rPr>
          <w:color w:val="231F20"/>
          <w:spacing w:val="-14"/>
          <w:w w:val="110"/>
        </w:rPr>
        <w:t> </w:t>
      </w:r>
      <w:r>
        <w:rPr>
          <w:color w:val="231F20"/>
          <w:w w:val="110"/>
        </w:rPr>
        <w:t>al</w:t>
      </w:r>
      <w:r>
        <w:rPr>
          <w:color w:val="231F20"/>
          <w:spacing w:val="-14"/>
          <w:w w:val="110"/>
        </w:rPr>
        <w:t> </w:t>
      </w:r>
      <w:r>
        <w:rPr>
          <w:color w:val="231F20"/>
          <w:w w:val="110"/>
        </w:rPr>
        <w:t>interior</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países</w:t>
      </w:r>
      <w:r>
        <w:rPr>
          <w:color w:val="231F20"/>
          <w:spacing w:val="-14"/>
          <w:w w:val="110"/>
        </w:rPr>
        <w:t> </w:t>
      </w:r>
      <w:r>
        <w:rPr>
          <w:color w:val="231F20"/>
          <w:w w:val="110"/>
        </w:rPr>
        <w:t>de</w:t>
      </w:r>
      <w:r>
        <w:rPr>
          <w:color w:val="231F20"/>
          <w:spacing w:val="-14"/>
          <w:w w:val="110"/>
        </w:rPr>
        <w:t> </w:t>
      </w:r>
      <w:r>
        <w:rPr>
          <w:color w:val="231F20"/>
          <w:w w:val="110"/>
        </w:rPr>
        <w:t>América Latina en los que se produce una relación muy estrecha entre el sistema productivo y</w:t>
      </w:r>
      <w:r>
        <w:rPr>
          <w:color w:val="231F20"/>
          <w:spacing w:val="-28"/>
          <w:w w:val="110"/>
        </w:rPr>
        <w:t> </w:t>
      </w:r>
      <w:r>
        <w:rPr>
          <w:color w:val="231F20"/>
          <w:w w:val="110"/>
        </w:rPr>
        <w:t>financiero.</w:t>
      </w:r>
    </w:p>
    <w:p>
      <w:pPr>
        <w:pStyle w:val="BodyText"/>
        <w:spacing w:line="261" w:lineRule="auto"/>
        <w:ind w:left="100" w:right="117" w:firstLine="240"/>
        <w:jc w:val="both"/>
      </w:pPr>
      <w:r>
        <w:rPr>
          <w:color w:val="231F20"/>
          <w:w w:val="110"/>
        </w:rPr>
        <w:t>Esta situación se presenta también y con mayor claridad en las inversiones extranjeras que ingresan a la región. La inversión ex- tranjera directa contempla una proporción significativa de créditos internacionales asociados. Se puede decir que en América Latina el capital productivo y el capital financiero actúan en forma redoblada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tras la persecución de utilidades e intereses elevados. Éste es un ele- mento fundamental que explica el desarrollo desigual entre Estados Unidos y América Latina y también las dificultades de</w:t>
      </w:r>
      <w:r>
        <w:rPr>
          <w:color w:val="231F20"/>
          <w:spacing w:val="-20"/>
          <w:w w:val="110"/>
        </w:rPr>
        <w:t> </w:t>
      </w:r>
      <w:r>
        <w:rPr>
          <w:color w:val="231F20"/>
          <w:w w:val="110"/>
        </w:rPr>
        <w:t>reproducción económica y social en la</w:t>
      </w:r>
      <w:r>
        <w:rPr>
          <w:color w:val="231F20"/>
          <w:spacing w:val="6"/>
          <w:w w:val="110"/>
        </w:rPr>
        <w:t> </w:t>
      </w:r>
      <w:r>
        <w:rPr>
          <w:color w:val="231F20"/>
          <w:w w:val="110"/>
        </w:rPr>
        <w:t>región.</w:t>
      </w:r>
    </w:p>
    <w:p>
      <w:pPr>
        <w:pStyle w:val="BodyText"/>
        <w:spacing w:line="261" w:lineRule="auto"/>
        <w:ind w:left="100" w:right="117" w:firstLine="240"/>
        <w:jc w:val="both"/>
      </w:pPr>
      <w:r>
        <w:rPr>
          <w:color w:val="231F20"/>
          <w:w w:val="110"/>
        </w:rPr>
        <w:t>En el documento citado y en otros (Caputo, 2007), hemos anali- zado las principales transformaciones de la economía mundial a ini- cios del siglo xxi. Basada en dichos estudios, nuestra interpretación teórica e histórica es diferente y opuesta a la caracterización simple como crisis financiera. Constatamos que la economía mundial, las ganancias y la tasa de ganancia de las grandes empresas transnacio- nales productoras de bienes y servicios, se han incrementado a</w:t>
      </w:r>
      <w:r>
        <w:rPr>
          <w:color w:val="231F20"/>
          <w:spacing w:val="-36"/>
          <w:w w:val="110"/>
        </w:rPr>
        <w:t> </w:t>
      </w:r>
      <w:r>
        <w:rPr>
          <w:color w:val="231F20"/>
          <w:w w:val="110"/>
        </w:rPr>
        <w:t>partir de mediados de los años ochenta y se han mantenido elevadas en</w:t>
      </w:r>
      <w:r>
        <w:rPr>
          <w:color w:val="231F20"/>
          <w:spacing w:val="-32"/>
          <w:w w:val="110"/>
        </w:rPr>
        <w:t> </w:t>
      </w:r>
      <w:r>
        <w:rPr>
          <w:color w:val="231F20"/>
          <w:w w:val="110"/>
        </w:rPr>
        <w:t>los últimos</w:t>
      </w:r>
      <w:r>
        <w:rPr>
          <w:color w:val="231F20"/>
          <w:spacing w:val="-22"/>
          <w:w w:val="110"/>
        </w:rPr>
        <w:t> </w:t>
      </w:r>
      <w:r>
        <w:rPr>
          <w:color w:val="231F20"/>
          <w:w w:val="110"/>
        </w:rPr>
        <w:t>años,</w:t>
      </w:r>
      <w:r>
        <w:rPr>
          <w:color w:val="231F20"/>
          <w:spacing w:val="-22"/>
          <w:w w:val="110"/>
        </w:rPr>
        <w:t> </w:t>
      </w:r>
      <w:r>
        <w:rPr>
          <w:color w:val="231F20"/>
          <w:w w:val="110"/>
        </w:rPr>
        <w:t>previos</w:t>
      </w:r>
      <w:r>
        <w:rPr>
          <w:color w:val="231F20"/>
          <w:spacing w:val="-22"/>
          <w:w w:val="110"/>
        </w:rPr>
        <w:t> </w:t>
      </w:r>
      <w:r>
        <w:rPr>
          <w:color w:val="231F20"/>
          <w:w w:val="110"/>
        </w:rPr>
        <w:t>al</w:t>
      </w:r>
      <w:r>
        <w:rPr>
          <w:color w:val="231F20"/>
          <w:spacing w:val="-22"/>
          <w:w w:val="110"/>
        </w:rPr>
        <w:t> </w:t>
      </w:r>
      <w:r>
        <w:rPr>
          <w:color w:val="231F20"/>
          <w:w w:val="110"/>
        </w:rPr>
        <w:t>inicio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actual</w:t>
      </w:r>
      <w:r>
        <w:rPr>
          <w:color w:val="231F20"/>
          <w:spacing w:val="-22"/>
          <w:w w:val="110"/>
        </w:rPr>
        <w:t> </w:t>
      </w:r>
      <w:r>
        <w:rPr>
          <w:color w:val="231F20"/>
          <w:w w:val="110"/>
        </w:rPr>
        <w:t>crisis</w:t>
      </w:r>
      <w:r>
        <w:rPr>
          <w:color w:val="231F20"/>
          <w:spacing w:val="-22"/>
          <w:w w:val="110"/>
        </w:rPr>
        <w:t> </w:t>
      </w:r>
      <w:r>
        <w:rPr>
          <w:color w:val="231F20"/>
          <w:w w:val="110"/>
        </w:rPr>
        <w:t>mundial.</w:t>
      </w:r>
      <w:r>
        <w:rPr>
          <w:color w:val="231F20"/>
          <w:spacing w:val="-22"/>
          <w:w w:val="110"/>
        </w:rPr>
        <w:t> </w:t>
      </w:r>
      <w:r>
        <w:rPr>
          <w:color w:val="231F20"/>
          <w:w w:val="110"/>
        </w:rPr>
        <w:t>Las</w:t>
      </w:r>
      <w:r>
        <w:rPr>
          <w:color w:val="231F20"/>
          <w:spacing w:val="-22"/>
          <w:w w:val="110"/>
        </w:rPr>
        <w:t> </w:t>
      </w:r>
      <w:r>
        <w:rPr>
          <w:color w:val="231F20"/>
          <w:w w:val="110"/>
        </w:rPr>
        <w:t>elevadas ganancias transformaron a estas empresas en prestamistas netas del sistema financiero. Sus inversiones, compra de empresas y fusiones han</w:t>
      </w:r>
      <w:r>
        <w:rPr>
          <w:color w:val="231F20"/>
          <w:spacing w:val="-7"/>
          <w:w w:val="110"/>
        </w:rPr>
        <w:t> </w:t>
      </w:r>
      <w:r>
        <w:rPr>
          <w:color w:val="231F20"/>
          <w:w w:val="110"/>
        </w:rPr>
        <w:t>sido</w:t>
      </w:r>
      <w:r>
        <w:rPr>
          <w:color w:val="231F20"/>
          <w:spacing w:val="-7"/>
          <w:w w:val="110"/>
        </w:rPr>
        <w:t> </w:t>
      </w:r>
      <w:r>
        <w:rPr>
          <w:color w:val="231F20"/>
          <w:w w:val="110"/>
        </w:rPr>
        <w:t>financiadas</w:t>
      </w:r>
      <w:r>
        <w:rPr>
          <w:color w:val="231F20"/>
          <w:spacing w:val="-7"/>
          <w:w w:val="110"/>
        </w:rPr>
        <w:t> </w:t>
      </w:r>
      <w:r>
        <w:rPr>
          <w:color w:val="231F20"/>
          <w:w w:val="110"/>
        </w:rPr>
        <w:t>en</w:t>
      </w:r>
      <w:r>
        <w:rPr>
          <w:color w:val="231F20"/>
          <w:spacing w:val="-7"/>
          <w:w w:val="110"/>
        </w:rPr>
        <w:t> </w:t>
      </w:r>
      <w:r>
        <w:rPr>
          <w:color w:val="231F20"/>
          <w:w w:val="110"/>
        </w:rPr>
        <w:t>gran</w:t>
      </w:r>
      <w:r>
        <w:rPr>
          <w:color w:val="231F20"/>
          <w:spacing w:val="-7"/>
          <w:w w:val="110"/>
        </w:rPr>
        <w:t> </w:t>
      </w:r>
      <w:r>
        <w:rPr>
          <w:color w:val="231F20"/>
          <w:w w:val="110"/>
        </w:rPr>
        <w:t>parte</w:t>
      </w:r>
      <w:r>
        <w:rPr>
          <w:color w:val="231F20"/>
          <w:spacing w:val="-7"/>
          <w:w w:val="110"/>
        </w:rPr>
        <w:t> </w:t>
      </w:r>
      <w:r>
        <w:rPr>
          <w:color w:val="231F20"/>
          <w:w w:val="110"/>
        </w:rPr>
        <w:t>con</w:t>
      </w:r>
      <w:r>
        <w:rPr>
          <w:color w:val="231F20"/>
          <w:spacing w:val="-7"/>
          <w:w w:val="110"/>
        </w:rPr>
        <w:t> </w:t>
      </w:r>
      <w:r>
        <w:rPr>
          <w:color w:val="231F20"/>
          <w:w w:val="110"/>
        </w:rPr>
        <w:t>recursos</w:t>
      </w:r>
      <w:r>
        <w:rPr>
          <w:color w:val="231F20"/>
          <w:spacing w:val="-7"/>
          <w:w w:val="110"/>
        </w:rPr>
        <w:t> </w:t>
      </w:r>
      <w:r>
        <w:rPr>
          <w:color w:val="231F20"/>
          <w:w w:val="110"/>
        </w:rPr>
        <w:t>propios</w:t>
      </w:r>
      <w:r>
        <w:rPr>
          <w:color w:val="231F20"/>
          <w:spacing w:val="-7"/>
          <w:w w:val="110"/>
        </w:rPr>
        <w:t> </w:t>
      </w:r>
      <w:r>
        <w:rPr>
          <w:color w:val="231F20"/>
          <w:w w:val="110"/>
        </w:rPr>
        <w:t>provenientes de sus grandes</w:t>
      </w:r>
      <w:r>
        <w:rPr>
          <w:color w:val="231F20"/>
          <w:spacing w:val="2"/>
          <w:w w:val="110"/>
        </w:rPr>
        <w:t> </w:t>
      </w:r>
      <w:r>
        <w:rPr>
          <w:color w:val="231F20"/>
          <w:w w:val="110"/>
        </w:rPr>
        <w:t>ganancias.</w:t>
      </w:r>
    </w:p>
    <w:p>
      <w:pPr>
        <w:pStyle w:val="BodyText"/>
        <w:spacing w:line="261" w:lineRule="auto"/>
        <w:ind w:left="100" w:right="117" w:firstLine="240"/>
        <w:jc w:val="both"/>
      </w:pPr>
      <w:r>
        <w:rPr>
          <w:color w:val="231F20"/>
          <w:w w:val="110"/>
        </w:rPr>
        <w:t>Las</w:t>
      </w:r>
      <w:r>
        <w:rPr>
          <w:color w:val="231F20"/>
          <w:spacing w:val="-14"/>
          <w:w w:val="110"/>
        </w:rPr>
        <w:t> </w:t>
      </w:r>
      <w:r>
        <w:rPr>
          <w:color w:val="231F20"/>
          <w:w w:val="110"/>
        </w:rPr>
        <w:t>grandes</w:t>
      </w:r>
      <w:r>
        <w:rPr>
          <w:color w:val="231F20"/>
          <w:spacing w:val="-14"/>
          <w:w w:val="110"/>
        </w:rPr>
        <w:t> </w:t>
      </w:r>
      <w:r>
        <w:rPr>
          <w:color w:val="231F20"/>
          <w:w w:val="110"/>
        </w:rPr>
        <w:t>empresas</w:t>
      </w:r>
      <w:r>
        <w:rPr>
          <w:color w:val="231F20"/>
          <w:spacing w:val="-14"/>
          <w:w w:val="110"/>
        </w:rPr>
        <w:t> </w:t>
      </w:r>
      <w:r>
        <w:rPr>
          <w:color w:val="231F20"/>
          <w:w w:val="110"/>
        </w:rPr>
        <w:t>productoras</w:t>
      </w:r>
      <w:r>
        <w:rPr>
          <w:color w:val="231F20"/>
          <w:spacing w:val="-14"/>
          <w:w w:val="110"/>
        </w:rPr>
        <w:t> </w:t>
      </w:r>
      <w:r>
        <w:rPr>
          <w:color w:val="231F20"/>
          <w:w w:val="110"/>
        </w:rPr>
        <w:t>de</w:t>
      </w:r>
      <w:r>
        <w:rPr>
          <w:color w:val="231F20"/>
          <w:spacing w:val="-14"/>
          <w:w w:val="110"/>
        </w:rPr>
        <w:t> </w:t>
      </w:r>
      <w:r>
        <w:rPr>
          <w:color w:val="231F20"/>
          <w:w w:val="110"/>
        </w:rPr>
        <w:t>bienes</w:t>
      </w:r>
      <w:r>
        <w:rPr>
          <w:color w:val="231F20"/>
          <w:spacing w:val="-14"/>
          <w:w w:val="110"/>
        </w:rPr>
        <w:t> </w:t>
      </w:r>
      <w:r>
        <w:rPr>
          <w:color w:val="231F20"/>
          <w:w w:val="110"/>
        </w:rPr>
        <w:t>y</w:t>
      </w:r>
      <w:r>
        <w:rPr>
          <w:color w:val="231F20"/>
          <w:spacing w:val="-14"/>
          <w:w w:val="110"/>
        </w:rPr>
        <w:t> </w:t>
      </w:r>
      <w:r>
        <w:rPr>
          <w:color w:val="231F20"/>
          <w:w w:val="110"/>
        </w:rPr>
        <w:t>servicios</w:t>
      </w:r>
      <w:r>
        <w:rPr>
          <w:color w:val="231F20"/>
          <w:spacing w:val="-14"/>
          <w:w w:val="110"/>
        </w:rPr>
        <w:t> </w:t>
      </w:r>
      <w:r>
        <w:rPr>
          <w:color w:val="231F20"/>
          <w:w w:val="110"/>
        </w:rPr>
        <w:t>dejaron</w:t>
      </w:r>
      <w:r>
        <w:rPr>
          <w:color w:val="231F20"/>
          <w:spacing w:val="-14"/>
          <w:w w:val="110"/>
        </w:rPr>
        <w:t> </w:t>
      </w:r>
      <w:r>
        <w:rPr>
          <w:color w:val="231F20"/>
          <w:w w:val="110"/>
        </w:rPr>
        <w:t>de ser</w:t>
      </w:r>
      <w:r>
        <w:rPr>
          <w:color w:val="231F20"/>
          <w:spacing w:val="-6"/>
          <w:w w:val="110"/>
        </w:rPr>
        <w:t> </w:t>
      </w:r>
      <w:r>
        <w:rPr>
          <w:color w:val="231F20"/>
          <w:w w:val="110"/>
        </w:rPr>
        <w:t>clientes</w:t>
      </w:r>
      <w:r>
        <w:rPr>
          <w:color w:val="231F20"/>
          <w:spacing w:val="-6"/>
          <w:w w:val="110"/>
        </w:rPr>
        <w:t> </w:t>
      </w:r>
      <w:r>
        <w:rPr>
          <w:color w:val="231F20"/>
          <w:w w:val="110"/>
        </w:rPr>
        <w:t>significativos</w:t>
      </w:r>
      <w:r>
        <w:rPr>
          <w:color w:val="231F20"/>
          <w:spacing w:val="-6"/>
          <w:w w:val="110"/>
        </w:rPr>
        <w:t> </w:t>
      </w:r>
      <w:r>
        <w:rPr>
          <w:color w:val="231F20"/>
          <w:w w:val="110"/>
        </w:rPr>
        <w:t>del</w:t>
      </w:r>
      <w:r>
        <w:rPr>
          <w:color w:val="231F20"/>
          <w:spacing w:val="-6"/>
          <w:w w:val="110"/>
        </w:rPr>
        <w:t> </w:t>
      </w:r>
      <w:r>
        <w:rPr>
          <w:color w:val="231F20"/>
          <w:w w:val="110"/>
        </w:rPr>
        <w:t>sistema</w:t>
      </w:r>
      <w:r>
        <w:rPr>
          <w:color w:val="231F20"/>
          <w:spacing w:val="-6"/>
          <w:w w:val="110"/>
        </w:rPr>
        <w:t> </w:t>
      </w:r>
      <w:r>
        <w:rPr>
          <w:color w:val="231F20"/>
          <w:w w:val="110"/>
        </w:rPr>
        <w:t>financiero.</w:t>
      </w:r>
      <w:r>
        <w:rPr>
          <w:color w:val="231F20"/>
          <w:spacing w:val="-6"/>
          <w:w w:val="110"/>
        </w:rPr>
        <w:t> </w:t>
      </w:r>
      <w:r>
        <w:rPr>
          <w:color w:val="231F20"/>
          <w:w w:val="110"/>
        </w:rPr>
        <w:t>Los</w:t>
      </w:r>
      <w:r>
        <w:rPr>
          <w:color w:val="231F20"/>
          <w:spacing w:val="-6"/>
          <w:w w:val="110"/>
        </w:rPr>
        <w:t> </w:t>
      </w:r>
      <w:r>
        <w:rPr>
          <w:color w:val="231F20"/>
          <w:w w:val="110"/>
        </w:rPr>
        <w:t>grandes</w:t>
      </w:r>
      <w:r>
        <w:rPr>
          <w:color w:val="231F20"/>
          <w:spacing w:val="-6"/>
          <w:w w:val="110"/>
        </w:rPr>
        <w:t> </w:t>
      </w:r>
      <w:r>
        <w:rPr>
          <w:color w:val="231F20"/>
          <w:w w:val="110"/>
        </w:rPr>
        <w:t>fondos acumulados por el sector financiero, que incluyen las inversiones financieras de una parte de las ganancias de las empresas, sumados a</w:t>
      </w:r>
      <w:r>
        <w:rPr>
          <w:color w:val="231F20"/>
          <w:spacing w:val="-12"/>
          <w:w w:val="110"/>
        </w:rPr>
        <w:t> </w:t>
      </w:r>
      <w:r>
        <w:rPr>
          <w:color w:val="231F20"/>
          <w:w w:val="110"/>
        </w:rPr>
        <w:t>otros</w:t>
      </w:r>
      <w:r>
        <w:rPr>
          <w:color w:val="231F20"/>
          <w:spacing w:val="-12"/>
          <w:w w:val="110"/>
        </w:rPr>
        <w:t> </w:t>
      </w:r>
      <w:r>
        <w:rPr>
          <w:color w:val="231F20"/>
          <w:w w:val="110"/>
        </w:rPr>
        <w:t>fondos,</w:t>
      </w:r>
      <w:r>
        <w:rPr>
          <w:color w:val="231F20"/>
          <w:spacing w:val="-12"/>
          <w:w w:val="110"/>
        </w:rPr>
        <w:t> </w:t>
      </w:r>
      <w:r>
        <w:rPr>
          <w:color w:val="231F20"/>
          <w:w w:val="110"/>
        </w:rPr>
        <w:t>fueron</w:t>
      </w:r>
      <w:r>
        <w:rPr>
          <w:color w:val="231F20"/>
          <w:spacing w:val="-12"/>
          <w:w w:val="110"/>
        </w:rPr>
        <w:t> </w:t>
      </w:r>
      <w:r>
        <w:rPr>
          <w:color w:val="231F20"/>
          <w:w w:val="110"/>
        </w:rPr>
        <w:t>orientados</w:t>
      </w:r>
      <w:r>
        <w:rPr>
          <w:color w:val="231F20"/>
          <w:spacing w:val="-12"/>
          <w:w w:val="110"/>
        </w:rPr>
        <w:t> </w:t>
      </w:r>
      <w:r>
        <w:rPr>
          <w:color w:val="231F20"/>
          <w:w w:val="110"/>
        </w:rPr>
        <w:t>hacia</w:t>
      </w:r>
      <w:r>
        <w:rPr>
          <w:color w:val="231F20"/>
          <w:spacing w:val="-12"/>
          <w:w w:val="110"/>
        </w:rPr>
        <w:t> </w:t>
      </w:r>
      <w:r>
        <w:rPr>
          <w:color w:val="231F20"/>
          <w:w w:val="110"/>
        </w:rPr>
        <w:t>empresas</w:t>
      </w:r>
      <w:r>
        <w:rPr>
          <w:color w:val="231F20"/>
          <w:spacing w:val="-12"/>
          <w:w w:val="110"/>
        </w:rPr>
        <w:t> </w:t>
      </w:r>
      <w:r>
        <w:rPr>
          <w:color w:val="231F20"/>
          <w:w w:val="110"/>
        </w:rPr>
        <w:t>tecnológicas</w:t>
      </w:r>
      <w:r>
        <w:rPr>
          <w:color w:val="231F20"/>
          <w:spacing w:val="-12"/>
          <w:w w:val="110"/>
        </w:rPr>
        <w:t> </w:t>
      </w:r>
      <w:r>
        <w:rPr>
          <w:color w:val="231F20"/>
          <w:w w:val="110"/>
        </w:rPr>
        <w:t>provo- cando posteriormente la crisis de las compañías puntocom y la</w:t>
      </w:r>
      <w:r>
        <w:rPr>
          <w:color w:val="231F20"/>
          <w:spacing w:val="-26"/>
          <w:w w:val="110"/>
        </w:rPr>
        <w:t> </w:t>
      </w:r>
      <w:r>
        <w:rPr>
          <w:color w:val="231F20"/>
          <w:w w:val="110"/>
        </w:rPr>
        <w:t>crisis económica mundial de 2001. En el decenio actual, se suman a las grandes</w:t>
      </w:r>
      <w:r>
        <w:rPr>
          <w:color w:val="231F20"/>
          <w:spacing w:val="-17"/>
          <w:w w:val="110"/>
        </w:rPr>
        <w:t> </w:t>
      </w:r>
      <w:r>
        <w:rPr>
          <w:color w:val="231F20"/>
          <w:w w:val="110"/>
        </w:rPr>
        <w:t>ganancias</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productoras</w:t>
      </w:r>
      <w:r>
        <w:rPr>
          <w:color w:val="231F20"/>
          <w:spacing w:val="-17"/>
          <w:w w:val="110"/>
        </w:rPr>
        <w:t> </w:t>
      </w:r>
      <w:r>
        <w:rPr>
          <w:color w:val="231F20"/>
          <w:w w:val="110"/>
        </w:rPr>
        <w:t>de</w:t>
      </w:r>
      <w:r>
        <w:rPr>
          <w:color w:val="231F20"/>
          <w:spacing w:val="-17"/>
          <w:w w:val="110"/>
        </w:rPr>
        <w:t> </w:t>
      </w:r>
      <w:r>
        <w:rPr>
          <w:color w:val="231F20"/>
          <w:w w:val="110"/>
        </w:rPr>
        <w:t>bienes</w:t>
      </w:r>
      <w:r>
        <w:rPr>
          <w:color w:val="231F20"/>
          <w:spacing w:val="-17"/>
          <w:w w:val="110"/>
        </w:rPr>
        <w:t> </w:t>
      </w:r>
      <w:r>
        <w:rPr>
          <w:color w:val="231F20"/>
          <w:w w:val="110"/>
        </w:rPr>
        <w:t>y</w:t>
      </w:r>
      <w:r>
        <w:rPr>
          <w:color w:val="231F20"/>
          <w:spacing w:val="-17"/>
          <w:w w:val="110"/>
        </w:rPr>
        <w:t> </w:t>
      </w:r>
      <w:r>
        <w:rPr>
          <w:color w:val="231F20"/>
          <w:w w:val="110"/>
        </w:rPr>
        <w:t>servicios,</w:t>
      </w:r>
      <w:r>
        <w:rPr>
          <w:color w:val="231F20"/>
          <w:spacing w:val="-17"/>
          <w:w w:val="110"/>
        </w:rPr>
        <w:t> </w:t>
      </w:r>
      <w:r>
        <w:rPr>
          <w:color w:val="231F20"/>
          <w:w w:val="110"/>
        </w:rPr>
        <w:t>los</w:t>
      </w:r>
      <w:r>
        <w:rPr>
          <w:color w:val="231F20"/>
          <w:spacing w:val="-17"/>
          <w:w w:val="110"/>
        </w:rPr>
        <w:t> </w:t>
      </w:r>
      <w:r>
        <w:rPr>
          <w:color w:val="231F20"/>
          <w:w w:val="110"/>
        </w:rPr>
        <w:t>fondos soberanos y las incrementadas reservas internacionales</w:t>
      </w:r>
      <w:r>
        <w:rPr>
          <w:color w:val="231F20"/>
          <w:spacing w:val="-13"/>
          <w:w w:val="110"/>
        </w:rPr>
        <w:t> </w:t>
      </w:r>
      <w:r>
        <w:rPr>
          <w:color w:val="231F20"/>
          <w:w w:val="110"/>
        </w:rPr>
        <w:t>provenientes también de la economía </w:t>
      </w:r>
      <w:r>
        <w:rPr>
          <w:color w:val="231F20"/>
          <w:spacing w:val="6"/>
          <w:w w:val="110"/>
        </w:rPr>
        <w:t> </w:t>
      </w:r>
      <w:r>
        <w:rPr>
          <w:color w:val="231F20"/>
          <w:w w:val="110"/>
        </w:rPr>
        <w:t>real.</w:t>
      </w:r>
    </w:p>
    <w:p>
      <w:pPr>
        <w:pStyle w:val="BodyText"/>
        <w:spacing w:line="261" w:lineRule="auto"/>
        <w:ind w:left="100" w:right="119" w:firstLine="240"/>
        <w:jc w:val="both"/>
      </w:pPr>
      <w:r>
        <w:rPr>
          <w:color w:val="231F20"/>
          <w:w w:val="110"/>
        </w:rPr>
        <w:t>Para superar la crisis del año 2001, estos grandes fondos finan- cieros generados en la economía real, fueron orientados hacia la construcción habitacional, acompañados de masivos créditos hipo- tecarios. La crisis no sólo se manifestó como crisis financiera, sino como crisis inmobiliaria, que incluyó al sector real y al financiero.</w:t>
      </w:r>
    </w:p>
    <w:p>
      <w:pPr>
        <w:pStyle w:val="BodyText"/>
        <w:spacing w:line="261" w:lineRule="auto"/>
        <w:ind w:left="100" w:right="116" w:firstLine="240"/>
        <w:jc w:val="both"/>
      </w:pPr>
      <w:r>
        <w:rPr>
          <w:color w:val="231F20"/>
          <w:w w:val="110"/>
        </w:rPr>
        <w:t>El fmi ha caracterizado las últimas crisis, como crisis financieras, desplazando la importancia de la producción y de la distribución mundial, entre ganancias, renta de los recursos naturales y remune- raciones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trabajadores.</w:t>
      </w:r>
      <w:r>
        <w:rPr>
          <w:color w:val="231F20"/>
          <w:spacing w:val="-21"/>
          <w:w w:val="110"/>
        </w:rPr>
        <w:t> </w:t>
      </w:r>
      <w:r>
        <w:rPr>
          <w:color w:val="231F20"/>
          <w:w w:val="110"/>
        </w:rPr>
        <w:t>La</w:t>
      </w:r>
      <w:r>
        <w:rPr>
          <w:color w:val="231F20"/>
          <w:spacing w:val="-21"/>
          <w:w w:val="110"/>
        </w:rPr>
        <w:t> </w:t>
      </w:r>
      <w:r>
        <w:rPr>
          <w:color w:val="231F20"/>
          <w:w w:val="110"/>
        </w:rPr>
        <w:t>caracterización</w:t>
      </w:r>
      <w:r>
        <w:rPr>
          <w:color w:val="231F20"/>
          <w:spacing w:val="-21"/>
          <w:w w:val="110"/>
        </w:rPr>
        <w:t> </w:t>
      </w:r>
      <w:r>
        <w:rPr>
          <w:color w:val="231F20"/>
          <w:w w:val="110"/>
        </w:rPr>
        <w:t>como</w:t>
      </w:r>
      <w:r>
        <w:rPr>
          <w:color w:val="231F20"/>
          <w:spacing w:val="-21"/>
          <w:w w:val="110"/>
        </w:rPr>
        <w:t> </w:t>
      </w:r>
      <w:r>
        <w:rPr>
          <w:color w:val="231F20"/>
          <w:w w:val="110"/>
        </w:rPr>
        <w:t>crisis</w:t>
      </w:r>
      <w:r>
        <w:rPr>
          <w:color w:val="231F20"/>
          <w:spacing w:val="-21"/>
          <w:w w:val="110"/>
        </w:rPr>
        <w:t> </w:t>
      </w:r>
      <w:r>
        <w:rPr>
          <w:color w:val="231F20"/>
          <w:w w:val="110"/>
        </w:rPr>
        <w:t>financiera es</w:t>
      </w:r>
      <w:r>
        <w:rPr>
          <w:color w:val="231F20"/>
          <w:spacing w:val="42"/>
          <w:w w:val="110"/>
        </w:rPr>
        <w:t> </w:t>
      </w:r>
      <w:r>
        <w:rPr>
          <w:color w:val="231F20"/>
          <w:w w:val="110"/>
        </w:rPr>
        <w:t>ampliamente</w:t>
      </w:r>
      <w:r>
        <w:rPr>
          <w:color w:val="231F20"/>
          <w:spacing w:val="42"/>
          <w:w w:val="110"/>
        </w:rPr>
        <w:t> </w:t>
      </w:r>
      <w:r>
        <w:rPr>
          <w:color w:val="231F20"/>
          <w:w w:val="110"/>
        </w:rPr>
        <w:t>asumida</w:t>
      </w:r>
      <w:r>
        <w:rPr>
          <w:color w:val="231F20"/>
          <w:spacing w:val="42"/>
          <w:w w:val="110"/>
        </w:rPr>
        <w:t> </w:t>
      </w:r>
      <w:r>
        <w:rPr>
          <w:color w:val="231F20"/>
          <w:w w:val="110"/>
        </w:rPr>
        <w:t>por</w:t>
      </w:r>
      <w:r>
        <w:rPr>
          <w:color w:val="231F20"/>
          <w:spacing w:val="42"/>
          <w:w w:val="110"/>
        </w:rPr>
        <w:t> </w:t>
      </w:r>
      <w:r>
        <w:rPr>
          <w:color w:val="231F20"/>
          <w:w w:val="110"/>
        </w:rPr>
        <w:t>la</w:t>
      </w:r>
      <w:r>
        <w:rPr>
          <w:color w:val="231F20"/>
          <w:spacing w:val="42"/>
          <w:w w:val="110"/>
        </w:rPr>
        <w:t> </w:t>
      </w:r>
      <w:r>
        <w:rPr>
          <w:color w:val="231F20"/>
          <w:w w:val="110"/>
        </w:rPr>
        <w:t>academia,</w:t>
      </w:r>
      <w:r>
        <w:rPr>
          <w:color w:val="231F20"/>
          <w:spacing w:val="42"/>
          <w:w w:val="110"/>
        </w:rPr>
        <w:t> </w:t>
      </w:r>
      <w:r>
        <w:rPr>
          <w:color w:val="231F20"/>
          <w:w w:val="110"/>
        </w:rPr>
        <w:t>por</w:t>
      </w:r>
      <w:r>
        <w:rPr>
          <w:color w:val="231F20"/>
          <w:spacing w:val="42"/>
          <w:w w:val="110"/>
        </w:rPr>
        <w:t> </w:t>
      </w:r>
      <w:r>
        <w:rPr>
          <w:color w:val="231F20"/>
          <w:w w:val="110"/>
        </w:rPr>
        <w:t>otras</w:t>
      </w:r>
      <w:r>
        <w:rPr>
          <w:color w:val="231F20"/>
          <w:spacing w:val="42"/>
          <w:w w:val="110"/>
        </w:rPr>
        <w:t> </w:t>
      </w:r>
      <w:r>
        <w:rPr>
          <w:color w:val="231F20"/>
          <w:w w:val="110"/>
        </w:rPr>
        <w:t>instituciones</w:t>
      </w:r>
      <w:r>
        <w:rPr>
          <w:color w:val="231F20"/>
          <w:spacing w:val="1"/>
          <w:w w:val="108"/>
        </w:rPr>
        <w:t> </w:t>
      </w:r>
      <w:r>
        <w:rPr>
          <w:color w:val="231F20"/>
          <w:w w:val="110"/>
        </w:rPr>
        <w:t>internacionales y por los medios de comunicación, incluyendo una parte significativa del pensamiento</w:t>
      </w:r>
      <w:r>
        <w:rPr>
          <w:color w:val="231F20"/>
          <w:spacing w:val="-5"/>
          <w:w w:val="110"/>
        </w:rPr>
        <w:t> </w:t>
      </w:r>
      <w:r>
        <w:rPr>
          <w:color w:val="231F20"/>
          <w:w w:val="110"/>
        </w:rPr>
        <w:t>crítico.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El gran aumento de las ganancias de las empresas transnaciona- les proviene de una disminución de los salarios y de la renta de los recursos naturales mundiales.</w:t>
      </w:r>
    </w:p>
    <w:p>
      <w:pPr>
        <w:pStyle w:val="BodyText"/>
        <w:spacing w:line="261" w:lineRule="auto"/>
        <w:ind w:left="100" w:right="117" w:firstLine="240"/>
        <w:jc w:val="both"/>
      </w:pPr>
      <w:r>
        <w:rPr>
          <w:color w:val="231F20"/>
          <w:w w:val="110"/>
        </w:rPr>
        <w:t>La globalización de la economía mundial fue una respuesta a los bajos niveles de la masa de ganancia y de la tasa de ganancia en los años setenta y hasta mediados de los ochenta. En los últimos dece- nios,</w:t>
      </w:r>
      <w:r>
        <w:rPr>
          <w:color w:val="231F20"/>
          <w:spacing w:val="-6"/>
          <w:w w:val="110"/>
        </w:rPr>
        <w:t> </w:t>
      </w:r>
      <w:r>
        <w:rPr>
          <w:color w:val="231F20"/>
          <w:w w:val="110"/>
        </w:rPr>
        <w:t>las</w:t>
      </w:r>
      <w:r>
        <w:rPr>
          <w:color w:val="231F20"/>
          <w:spacing w:val="-6"/>
          <w:w w:val="110"/>
        </w:rPr>
        <w:t> </w:t>
      </w:r>
      <w:r>
        <w:rPr>
          <w:color w:val="231F20"/>
          <w:w w:val="110"/>
        </w:rPr>
        <w:t>elevadas</w:t>
      </w:r>
      <w:r>
        <w:rPr>
          <w:color w:val="231F20"/>
          <w:spacing w:val="-6"/>
          <w:w w:val="110"/>
        </w:rPr>
        <w:t> </w:t>
      </w:r>
      <w:r>
        <w:rPr>
          <w:color w:val="231F20"/>
          <w:w w:val="110"/>
        </w:rPr>
        <w:t>ganancias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grandes</w:t>
      </w:r>
      <w:r>
        <w:rPr>
          <w:color w:val="231F20"/>
          <w:spacing w:val="-6"/>
          <w:w w:val="110"/>
        </w:rPr>
        <w:t> </w:t>
      </w:r>
      <w:r>
        <w:rPr>
          <w:color w:val="231F20"/>
          <w:w w:val="110"/>
        </w:rPr>
        <w:t>empresas</w:t>
      </w:r>
      <w:r>
        <w:rPr>
          <w:color w:val="231F20"/>
          <w:spacing w:val="-6"/>
          <w:w w:val="110"/>
        </w:rPr>
        <w:t> </w:t>
      </w:r>
      <w:r>
        <w:rPr>
          <w:color w:val="231F20"/>
          <w:w w:val="110"/>
        </w:rPr>
        <w:t>transnacionales productoras</w:t>
      </w:r>
      <w:r>
        <w:rPr>
          <w:color w:val="231F20"/>
          <w:spacing w:val="-13"/>
          <w:w w:val="110"/>
        </w:rPr>
        <w:t> </w:t>
      </w:r>
      <w:r>
        <w:rPr>
          <w:color w:val="231F20"/>
          <w:w w:val="110"/>
        </w:rPr>
        <w:t>de</w:t>
      </w:r>
      <w:r>
        <w:rPr>
          <w:color w:val="231F20"/>
          <w:spacing w:val="-13"/>
          <w:w w:val="110"/>
        </w:rPr>
        <w:t> </w:t>
      </w:r>
      <w:r>
        <w:rPr>
          <w:color w:val="231F20"/>
          <w:w w:val="110"/>
        </w:rPr>
        <w:t>bienes</w:t>
      </w:r>
      <w:r>
        <w:rPr>
          <w:color w:val="231F20"/>
          <w:spacing w:val="-13"/>
          <w:w w:val="110"/>
        </w:rPr>
        <w:t> </w:t>
      </w:r>
      <w:r>
        <w:rPr>
          <w:color w:val="231F20"/>
          <w:w w:val="110"/>
        </w:rPr>
        <w:t>y</w:t>
      </w:r>
      <w:r>
        <w:rPr>
          <w:color w:val="231F20"/>
          <w:spacing w:val="-13"/>
          <w:w w:val="110"/>
        </w:rPr>
        <w:t> </w:t>
      </w:r>
      <w:r>
        <w:rPr>
          <w:color w:val="231F20"/>
          <w:w w:val="110"/>
        </w:rPr>
        <w:t>servicios,</w:t>
      </w:r>
      <w:r>
        <w:rPr>
          <w:color w:val="231F20"/>
          <w:spacing w:val="-13"/>
          <w:w w:val="110"/>
        </w:rPr>
        <w:t> </w:t>
      </w:r>
      <w:r>
        <w:rPr>
          <w:color w:val="231F20"/>
          <w:w w:val="110"/>
        </w:rPr>
        <w:t>son</w:t>
      </w:r>
      <w:r>
        <w:rPr>
          <w:color w:val="231F20"/>
          <w:spacing w:val="-13"/>
          <w:w w:val="110"/>
        </w:rPr>
        <w:t> </w:t>
      </w:r>
      <w:r>
        <w:rPr>
          <w:color w:val="231F20"/>
          <w:w w:val="110"/>
        </w:rPr>
        <w:t>el</w:t>
      </w:r>
      <w:r>
        <w:rPr>
          <w:color w:val="231F20"/>
          <w:spacing w:val="-13"/>
          <w:w w:val="110"/>
        </w:rPr>
        <w:t> </w:t>
      </w:r>
      <w:r>
        <w:rPr>
          <w:color w:val="231F20"/>
          <w:w w:val="110"/>
        </w:rPr>
        <w:t>resultado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globalización actual y del neoliberalismo en la economía </w:t>
      </w:r>
      <w:r>
        <w:rPr>
          <w:color w:val="231F20"/>
          <w:spacing w:val="1"/>
          <w:w w:val="110"/>
        </w:rPr>
        <w:t> </w:t>
      </w:r>
      <w:r>
        <w:rPr>
          <w:color w:val="231F20"/>
          <w:w w:val="110"/>
        </w:rPr>
        <w:t>mundial.</w:t>
      </w:r>
    </w:p>
    <w:p>
      <w:pPr>
        <w:pStyle w:val="BodyText"/>
        <w:spacing w:line="261" w:lineRule="auto"/>
        <w:ind w:left="100" w:right="119" w:firstLine="240"/>
        <w:jc w:val="both"/>
      </w:pPr>
      <w:r>
        <w:rPr>
          <w:color w:val="231F20"/>
          <w:w w:val="110"/>
        </w:rPr>
        <w:t>La</w:t>
      </w:r>
      <w:r>
        <w:rPr>
          <w:color w:val="231F20"/>
          <w:spacing w:val="-21"/>
          <w:w w:val="110"/>
        </w:rPr>
        <w:t> </w:t>
      </w:r>
      <w:r>
        <w:rPr>
          <w:color w:val="231F20"/>
          <w:w w:val="110"/>
        </w:rPr>
        <w:t>globalización</w:t>
      </w:r>
      <w:r>
        <w:rPr>
          <w:color w:val="231F20"/>
          <w:spacing w:val="-21"/>
          <w:w w:val="110"/>
        </w:rPr>
        <w:t> </w:t>
      </w:r>
      <w:r>
        <w:rPr>
          <w:color w:val="231F20"/>
          <w:w w:val="110"/>
        </w:rPr>
        <w:t>ha</w:t>
      </w:r>
      <w:r>
        <w:rPr>
          <w:color w:val="231F20"/>
          <w:spacing w:val="-21"/>
          <w:w w:val="110"/>
        </w:rPr>
        <w:t> </w:t>
      </w:r>
      <w:r>
        <w:rPr>
          <w:color w:val="231F20"/>
          <w:w w:val="110"/>
        </w:rPr>
        <w:t>significado</w:t>
      </w:r>
      <w:r>
        <w:rPr>
          <w:color w:val="231F20"/>
          <w:spacing w:val="-21"/>
          <w:w w:val="110"/>
        </w:rPr>
        <w:t> </w:t>
      </w:r>
      <w:r>
        <w:rPr>
          <w:color w:val="231F20"/>
          <w:w w:val="110"/>
        </w:rPr>
        <w:t>un</w:t>
      </w:r>
      <w:r>
        <w:rPr>
          <w:color w:val="231F20"/>
          <w:spacing w:val="-21"/>
          <w:w w:val="110"/>
        </w:rPr>
        <w:t> </w:t>
      </w:r>
      <w:r>
        <w:rPr>
          <w:color w:val="231F20"/>
          <w:w w:val="110"/>
        </w:rPr>
        <w:t>fuerte</w:t>
      </w:r>
      <w:r>
        <w:rPr>
          <w:color w:val="231F20"/>
          <w:spacing w:val="-21"/>
          <w:w w:val="110"/>
        </w:rPr>
        <w:t> </w:t>
      </w:r>
      <w:r>
        <w:rPr>
          <w:color w:val="231F20"/>
          <w:w w:val="110"/>
        </w:rPr>
        <w:t>aumento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producción mundial</w:t>
      </w:r>
      <w:r>
        <w:rPr>
          <w:color w:val="231F20"/>
          <w:spacing w:val="-27"/>
          <w:w w:val="110"/>
        </w:rPr>
        <w:t> </w:t>
      </w:r>
      <w:r>
        <w:rPr>
          <w:color w:val="231F20"/>
          <w:w w:val="110"/>
        </w:rPr>
        <w:t>al</w:t>
      </w:r>
      <w:r>
        <w:rPr>
          <w:color w:val="231F20"/>
          <w:spacing w:val="-27"/>
          <w:w w:val="110"/>
        </w:rPr>
        <w:t> </w:t>
      </w:r>
      <w:r>
        <w:rPr>
          <w:color w:val="231F20"/>
          <w:w w:val="110"/>
        </w:rPr>
        <w:t>mismo</w:t>
      </w:r>
      <w:r>
        <w:rPr>
          <w:color w:val="231F20"/>
          <w:spacing w:val="-27"/>
          <w:w w:val="110"/>
        </w:rPr>
        <w:t> </w:t>
      </w:r>
      <w:r>
        <w:rPr>
          <w:color w:val="231F20"/>
          <w:w w:val="110"/>
        </w:rPr>
        <w:t>tiempo</w:t>
      </w:r>
      <w:r>
        <w:rPr>
          <w:color w:val="231F20"/>
          <w:spacing w:val="-27"/>
          <w:w w:val="110"/>
        </w:rPr>
        <w:t> </w:t>
      </w:r>
      <w:r>
        <w:rPr>
          <w:color w:val="231F20"/>
          <w:w w:val="110"/>
        </w:rPr>
        <w:t>que</w:t>
      </w:r>
      <w:r>
        <w:rPr>
          <w:color w:val="231F20"/>
          <w:spacing w:val="-27"/>
          <w:w w:val="110"/>
        </w:rPr>
        <w:t> </w:t>
      </w:r>
      <w:r>
        <w:rPr>
          <w:color w:val="231F20"/>
          <w:w w:val="110"/>
        </w:rPr>
        <w:t>ha</w:t>
      </w:r>
      <w:r>
        <w:rPr>
          <w:color w:val="231F20"/>
          <w:spacing w:val="-27"/>
          <w:w w:val="110"/>
        </w:rPr>
        <w:t> </w:t>
      </w:r>
      <w:r>
        <w:rPr>
          <w:color w:val="231F20"/>
          <w:w w:val="110"/>
        </w:rPr>
        <w:t>limitado</w:t>
      </w:r>
      <w:r>
        <w:rPr>
          <w:color w:val="231F20"/>
          <w:spacing w:val="-27"/>
          <w:w w:val="110"/>
        </w:rPr>
        <w:t> </w:t>
      </w:r>
      <w:r>
        <w:rPr>
          <w:color w:val="231F20"/>
          <w:w w:val="110"/>
        </w:rPr>
        <w:t>las</w:t>
      </w:r>
      <w:r>
        <w:rPr>
          <w:color w:val="231F20"/>
          <w:spacing w:val="-27"/>
          <w:w w:val="110"/>
        </w:rPr>
        <w:t> </w:t>
      </w:r>
      <w:r>
        <w:rPr>
          <w:color w:val="231F20"/>
          <w:w w:val="110"/>
        </w:rPr>
        <w:t>capacidades</w:t>
      </w:r>
      <w:r>
        <w:rPr>
          <w:color w:val="231F20"/>
          <w:spacing w:val="-27"/>
          <w:w w:val="110"/>
        </w:rPr>
        <w:t> </w:t>
      </w:r>
      <w:r>
        <w:rPr>
          <w:color w:val="231F20"/>
          <w:w w:val="110"/>
        </w:rPr>
        <w:t>de</w:t>
      </w:r>
      <w:r>
        <w:rPr>
          <w:color w:val="231F20"/>
          <w:spacing w:val="-27"/>
          <w:w w:val="110"/>
        </w:rPr>
        <w:t> </w:t>
      </w:r>
      <w:r>
        <w:rPr>
          <w:color w:val="231F20"/>
          <w:w w:val="110"/>
        </w:rPr>
        <w:t>consumo. El</w:t>
      </w:r>
      <w:r>
        <w:rPr>
          <w:color w:val="231F20"/>
          <w:spacing w:val="-7"/>
          <w:w w:val="110"/>
        </w:rPr>
        <w:t> </w:t>
      </w:r>
      <w:r>
        <w:rPr>
          <w:color w:val="231F20"/>
          <w:w w:val="110"/>
        </w:rPr>
        <w:t>gran</w:t>
      </w:r>
      <w:r>
        <w:rPr>
          <w:color w:val="231F20"/>
          <w:spacing w:val="-7"/>
          <w:w w:val="110"/>
        </w:rPr>
        <w:t> </w:t>
      </w:r>
      <w:r>
        <w:rPr>
          <w:color w:val="231F20"/>
          <w:w w:val="110"/>
        </w:rPr>
        <w:t>desarrollo</w:t>
      </w:r>
      <w:r>
        <w:rPr>
          <w:color w:val="231F20"/>
          <w:spacing w:val="-7"/>
          <w:w w:val="110"/>
        </w:rPr>
        <w:t> </w:t>
      </w:r>
      <w:r>
        <w:rPr>
          <w:color w:val="231F20"/>
          <w:w w:val="110"/>
        </w:rPr>
        <w:t>del</w:t>
      </w:r>
      <w:r>
        <w:rPr>
          <w:color w:val="231F20"/>
          <w:spacing w:val="-7"/>
          <w:w w:val="110"/>
        </w:rPr>
        <w:t> </w:t>
      </w:r>
      <w:r>
        <w:rPr>
          <w:color w:val="231F20"/>
          <w:w w:val="110"/>
        </w:rPr>
        <w:t>sistema</w:t>
      </w:r>
      <w:r>
        <w:rPr>
          <w:color w:val="231F20"/>
          <w:spacing w:val="-7"/>
          <w:w w:val="110"/>
        </w:rPr>
        <w:t> </w:t>
      </w:r>
      <w:r>
        <w:rPr>
          <w:color w:val="231F20"/>
          <w:w w:val="110"/>
        </w:rPr>
        <w:t>de</w:t>
      </w:r>
      <w:r>
        <w:rPr>
          <w:color w:val="231F20"/>
          <w:spacing w:val="-7"/>
          <w:w w:val="110"/>
        </w:rPr>
        <w:t> </w:t>
      </w:r>
      <w:r>
        <w:rPr>
          <w:color w:val="231F20"/>
          <w:w w:val="110"/>
        </w:rPr>
        <w:t>crédito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elevado</w:t>
      </w:r>
      <w:r>
        <w:rPr>
          <w:color w:val="231F20"/>
          <w:spacing w:val="-7"/>
          <w:w w:val="110"/>
        </w:rPr>
        <w:t> </w:t>
      </w:r>
      <w:r>
        <w:rPr>
          <w:color w:val="231F20"/>
          <w:w w:val="110"/>
        </w:rPr>
        <w:t>endeudamiento generalizado,</w:t>
      </w:r>
      <w:r>
        <w:rPr>
          <w:color w:val="231F20"/>
          <w:spacing w:val="-12"/>
          <w:w w:val="110"/>
        </w:rPr>
        <w:t> </w:t>
      </w:r>
      <w:r>
        <w:rPr>
          <w:color w:val="231F20"/>
          <w:w w:val="110"/>
        </w:rPr>
        <w:t>ha</w:t>
      </w:r>
      <w:r>
        <w:rPr>
          <w:color w:val="231F20"/>
          <w:spacing w:val="-12"/>
          <w:w w:val="110"/>
        </w:rPr>
        <w:t> </w:t>
      </w:r>
      <w:r>
        <w:rPr>
          <w:color w:val="231F20"/>
          <w:w w:val="110"/>
        </w:rPr>
        <w:t>posibilitado</w:t>
      </w:r>
      <w:r>
        <w:rPr>
          <w:color w:val="231F20"/>
          <w:spacing w:val="-12"/>
          <w:w w:val="110"/>
        </w:rPr>
        <w:t> </w:t>
      </w:r>
      <w:r>
        <w:rPr>
          <w:color w:val="231F20"/>
          <w:w w:val="110"/>
        </w:rPr>
        <w:t>el</w:t>
      </w:r>
      <w:r>
        <w:rPr>
          <w:color w:val="231F20"/>
          <w:spacing w:val="-12"/>
          <w:w w:val="110"/>
        </w:rPr>
        <w:t> </w:t>
      </w:r>
      <w:r>
        <w:rPr>
          <w:color w:val="231F20"/>
          <w:w w:val="110"/>
        </w:rPr>
        <w:t>funcionamiento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economía</w:t>
      </w:r>
      <w:r>
        <w:rPr>
          <w:color w:val="231F20"/>
          <w:spacing w:val="-12"/>
          <w:w w:val="110"/>
        </w:rPr>
        <w:t> </w:t>
      </w:r>
      <w:r>
        <w:rPr>
          <w:color w:val="231F20"/>
          <w:w w:val="110"/>
        </w:rPr>
        <w:t>mun- dial, ajustando la demanda a la oferta en los decenios previos a la crisis</w:t>
      </w:r>
      <w:r>
        <w:rPr>
          <w:color w:val="231F20"/>
          <w:spacing w:val="-11"/>
          <w:w w:val="110"/>
        </w:rPr>
        <w:t> </w:t>
      </w:r>
      <w:r>
        <w:rPr>
          <w:color w:val="231F20"/>
          <w:w w:val="110"/>
        </w:rPr>
        <w:t>actual.</w:t>
      </w:r>
      <w:r>
        <w:rPr>
          <w:color w:val="231F20"/>
          <w:spacing w:val="-11"/>
          <w:w w:val="110"/>
        </w:rPr>
        <w:t> </w:t>
      </w:r>
      <w:r>
        <w:rPr>
          <w:color w:val="231F20"/>
          <w:w w:val="110"/>
        </w:rPr>
        <w:t>El</w:t>
      </w:r>
      <w:r>
        <w:rPr>
          <w:color w:val="231F20"/>
          <w:spacing w:val="-11"/>
          <w:w w:val="110"/>
        </w:rPr>
        <w:t> </w:t>
      </w:r>
      <w:r>
        <w:rPr>
          <w:color w:val="231F20"/>
          <w:w w:val="110"/>
        </w:rPr>
        <w:t>gran</w:t>
      </w:r>
      <w:r>
        <w:rPr>
          <w:color w:val="231F20"/>
          <w:spacing w:val="-11"/>
          <w:w w:val="110"/>
        </w:rPr>
        <w:t> </w:t>
      </w:r>
      <w:r>
        <w:rPr>
          <w:color w:val="231F20"/>
          <w:w w:val="110"/>
        </w:rPr>
        <w:t>desarrollo</w:t>
      </w:r>
      <w:r>
        <w:rPr>
          <w:color w:val="231F20"/>
          <w:spacing w:val="-11"/>
          <w:w w:val="110"/>
        </w:rPr>
        <w:t> </w:t>
      </w:r>
      <w:r>
        <w:rPr>
          <w:color w:val="231F20"/>
          <w:w w:val="110"/>
        </w:rPr>
        <w:t>del</w:t>
      </w:r>
      <w:r>
        <w:rPr>
          <w:color w:val="231F20"/>
          <w:spacing w:val="-11"/>
          <w:w w:val="110"/>
        </w:rPr>
        <w:t> </w:t>
      </w:r>
      <w:r>
        <w:rPr>
          <w:color w:val="231F20"/>
          <w:w w:val="110"/>
        </w:rPr>
        <w:t>sector</w:t>
      </w:r>
      <w:r>
        <w:rPr>
          <w:color w:val="231F20"/>
          <w:spacing w:val="-11"/>
          <w:w w:val="110"/>
        </w:rPr>
        <w:t> </w:t>
      </w:r>
      <w:r>
        <w:rPr>
          <w:color w:val="231F20"/>
          <w:w w:val="110"/>
        </w:rPr>
        <w:t>inmobiliario,</w:t>
      </w:r>
      <w:r>
        <w:rPr>
          <w:color w:val="231F20"/>
          <w:spacing w:val="-11"/>
          <w:w w:val="110"/>
        </w:rPr>
        <w:t> </w:t>
      </w:r>
      <w:r>
        <w:rPr>
          <w:color w:val="231F20"/>
          <w:w w:val="110"/>
        </w:rPr>
        <w:t>el</w:t>
      </w:r>
      <w:r>
        <w:rPr>
          <w:color w:val="231F20"/>
          <w:spacing w:val="-11"/>
          <w:w w:val="110"/>
        </w:rPr>
        <w:t> </w:t>
      </w:r>
      <w:r>
        <w:rPr>
          <w:color w:val="231F20"/>
          <w:w w:val="110"/>
        </w:rPr>
        <w:t>incremento del gasto militar y el aumento del consumo con créditos, permitió la superación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crisis</w:t>
      </w:r>
      <w:r>
        <w:rPr>
          <w:color w:val="231F20"/>
          <w:spacing w:val="-8"/>
          <w:w w:val="110"/>
        </w:rPr>
        <w:t> </w:t>
      </w:r>
      <w:r>
        <w:rPr>
          <w:color w:val="231F20"/>
          <w:w w:val="110"/>
        </w:rPr>
        <w:t>de</w:t>
      </w:r>
      <w:r>
        <w:rPr>
          <w:color w:val="231F20"/>
          <w:spacing w:val="-8"/>
          <w:w w:val="110"/>
        </w:rPr>
        <w:t> </w:t>
      </w:r>
      <w:r>
        <w:rPr>
          <w:color w:val="231F20"/>
          <w:w w:val="110"/>
        </w:rPr>
        <w:t>inicios</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decenio.</w:t>
      </w:r>
      <w:r>
        <w:rPr>
          <w:color w:val="231F20"/>
          <w:spacing w:val="-8"/>
          <w:w w:val="110"/>
        </w:rPr>
        <w:t> </w:t>
      </w:r>
      <w:r>
        <w:rPr>
          <w:color w:val="231F20"/>
          <w:w w:val="110"/>
        </w:rPr>
        <w:t>La</w:t>
      </w:r>
      <w:r>
        <w:rPr>
          <w:color w:val="231F20"/>
          <w:spacing w:val="-8"/>
          <w:w w:val="110"/>
        </w:rPr>
        <w:t> </w:t>
      </w:r>
      <w:r>
        <w:rPr>
          <w:color w:val="231F20"/>
          <w:w w:val="110"/>
        </w:rPr>
        <w:t>burbuja</w:t>
      </w:r>
      <w:r>
        <w:rPr>
          <w:color w:val="231F20"/>
          <w:spacing w:val="-8"/>
          <w:w w:val="110"/>
        </w:rPr>
        <w:t> </w:t>
      </w:r>
      <w:r>
        <w:rPr>
          <w:color w:val="231F20"/>
          <w:w w:val="110"/>
        </w:rPr>
        <w:t>inmobi- liaria</w:t>
      </w:r>
      <w:r>
        <w:rPr>
          <w:color w:val="231F20"/>
          <w:spacing w:val="-10"/>
          <w:w w:val="110"/>
        </w:rPr>
        <w:t> </w:t>
      </w:r>
      <w:r>
        <w:rPr>
          <w:color w:val="231F20"/>
          <w:w w:val="110"/>
        </w:rPr>
        <w:t>incentivada</w:t>
      </w:r>
      <w:r>
        <w:rPr>
          <w:color w:val="231F20"/>
          <w:spacing w:val="-10"/>
          <w:w w:val="110"/>
        </w:rPr>
        <w:t> </w:t>
      </w:r>
      <w:r>
        <w:rPr>
          <w:color w:val="231F20"/>
          <w:w w:val="110"/>
        </w:rPr>
        <w:t>por</w:t>
      </w:r>
      <w:r>
        <w:rPr>
          <w:color w:val="231F20"/>
          <w:spacing w:val="-10"/>
          <w:w w:val="110"/>
        </w:rPr>
        <w:t> </w:t>
      </w:r>
      <w:r>
        <w:rPr>
          <w:color w:val="231F20"/>
          <w:w w:val="110"/>
        </w:rPr>
        <w:t>las</w:t>
      </w:r>
      <w:r>
        <w:rPr>
          <w:color w:val="231F20"/>
          <w:spacing w:val="-10"/>
          <w:w w:val="110"/>
        </w:rPr>
        <w:t> </w:t>
      </w:r>
      <w:r>
        <w:rPr>
          <w:color w:val="231F20"/>
          <w:w w:val="110"/>
        </w:rPr>
        <w:t>bajas</w:t>
      </w:r>
      <w:r>
        <w:rPr>
          <w:color w:val="231F20"/>
          <w:spacing w:val="-10"/>
          <w:w w:val="110"/>
        </w:rPr>
        <w:t> </w:t>
      </w:r>
      <w:r>
        <w:rPr>
          <w:color w:val="231F20"/>
          <w:w w:val="110"/>
        </w:rPr>
        <w:t>tasas</w:t>
      </w:r>
      <w:r>
        <w:rPr>
          <w:color w:val="231F20"/>
          <w:spacing w:val="-10"/>
          <w:w w:val="110"/>
        </w:rPr>
        <w:t> </w:t>
      </w:r>
      <w:r>
        <w:rPr>
          <w:color w:val="231F20"/>
          <w:w w:val="110"/>
        </w:rPr>
        <w:t>de</w:t>
      </w:r>
      <w:r>
        <w:rPr>
          <w:color w:val="231F20"/>
          <w:spacing w:val="-10"/>
          <w:w w:val="110"/>
        </w:rPr>
        <w:t> </w:t>
      </w:r>
      <w:r>
        <w:rPr>
          <w:color w:val="231F20"/>
          <w:w w:val="110"/>
        </w:rPr>
        <w:t>interés,</w:t>
      </w:r>
      <w:r>
        <w:rPr>
          <w:color w:val="231F20"/>
          <w:spacing w:val="-10"/>
          <w:w w:val="110"/>
        </w:rPr>
        <w:t> </w:t>
      </w:r>
      <w:r>
        <w:rPr>
          <w:color w:val="231F20"/>
          <w:w w:val="110"/>
        </w:rPr>
        <w:t>asociada</w:t>
      </w:r>
      <w:r>
        <w:rPr>
          <w:color w:val="231F20"/>
          <w:spacing w:val="-10"/>
          <w:w w:val="110"/>
        </w:rPr>
        <w:t> </w:t>
      </w:r>
      <w:r>
        <w:rPr>
          <w:color w:val="231F20"/>
          <w:w w:val="110"/>
        </w:rPr>
        <w:t>a</w:t>
      </w:r>
      <w:r>
        <w:rPr>
          <w:color w:val="231F20"/>
          <w:spacing w:val="-10"/>
          <w:w w:val="110"/>
        </w:rPr>
        <w:t> </w:t>
      </w:r>
      <w:r>
        <w:rPr>
          <w:color w:val="231F20"/>
          <w:w w:val="110"/>
        </w:rPr>
        <w:t>créditos</w:t>
      </w:r>
      <w:r>
        <w:rPr>
          <w:color w:val="231F20"/>
          <w:spacing w:val="-10"/>
          <w:w w:val="110"/>
        </w:rPr>
        <w:t> </w:t>
      </w:r>
      <w:r>
        <w:rPr>
          <w:color w:val="231F20"/>
          <w:w w:val="110"/>
        </w:rPr>
        <w:t>de alto riesgo, culminó con el rompimiento de la burbuja </w:t>
      </w:r>
      <w:r>
        <w:rPr>
          <w:color w:val="231F20"/>
          <w:spacing w:val="15"/>
          <w:w w:val="110"/>
        </w:rPr>
        <w:t> </w:t>
      </w:r>
      <w:r>
        <w:rPr>
          <w:color w:val="231F20"/>
          <w:w w:val="110"/>
        </w:rPr>
        <w:t>inmobiliaria,</w:t>
      </w:r>
    </w:p>
    <w:p>
      <w:pPr>
        <w:pStyle w:val="BodyText"/>
        <w:spacing w:line="261" w:lineRule="auto"/>
        <w:ind w:left="100" w:right="25"/>
      </w:pPr>
      <w:r>
        <w:rPr>
          <w:color w:val="231F20"/>
          <w:w w:val="105"/>
        </w:rPr>
        <w:t>—y no sólo financiera—, ya que la construcción residencial es uno de los sectores reales más importantes de la   economía.</w:t>
      </w:r>
    </w:p>
    <w:p>
      <w:pPr>
        <w:pStyle w:val="BodyText"/>
        <w:spacing w:line="261" w:lineRule="auto"/>
        <w:ind w:left="100" w:right="117" w:firstLine="240"/>
        <w:jc w:val="both"/>
      </w:pP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documento</w:t>
      </w:r>
      <w:r>
        <w:rPr>
          <w:color w:val="231F20"/>
          <w:spacing w:val="-17"/>
          <w:w w:val="110"/>
        </w:rPr>
        <w:t> </w:t>
      </w:r>
      <w:r>
        <w:rPr>
          <w:i/>
          <w:color w:val="231F20"/>
          <w:w w:val="110"/>
        </w:rPr>
        <w:t>Crisis</w:t>
      </w:r>
      <w:r>
        <w:rPr>
          <w:i/>
          <w:color w:val="231F20"/>
          <w:spacing w:val="-17"/>
          <w:w w:val="110"/>
        </w:rPr>
        <w:t> </w:t>
      </w:r>
      <w:r>
        <w:rPr>
          <w:i/>
          <w:color w:val="231F20"/>
          <w:w w:val="110"/>
        </w:rPr>
        <w:t>de</w:t>
      </w:r>
      <w:r>
        <w:rPr>
          <w:i/>
          <w:color w:val="231F20"/>
          <w:spacing w:val="-17"/>
          <w:w w:val="110"/>
        </w:rPr>
        <w:t> </w:t>
      </w:r>
      <w:r>
        <w:rPr>
          <w:i/>
          <w:color w:val="231F20"/>
          <w:w w:val="110"/>
        </w:rPr>
        <w:t>la</w:t>
      </w:r>
      <w:r>
        <w:rPr>
          <w:i/>
          <w:color w:val="231F20"/>
          <w:spacing w:val="-17"/>
          <w:w w:val="110"/>
        </w:rPr>
        <w:t> </w:t>
      </w:r>
      <w:r>
        <w:rPr>
          <w:i/>
          <w:color w:val="231F20"/>
          <w:w w:val="110"/>
        </w:rPr>
        <w:t>economía</w:t>
      </w:r>
      <w:r>
        <w:rPr>
          <w:i/>
          <w:color w:val="231F20"/>
          <w:spacing w:val="-17"/>
          <w:w w:val="110"/>
        </w:rPr>
        <w:t> </w:t>
      </w:r>
      <w:r>
        <w:rPr>
          <w:i/>
          <w:color w:val="231F20"/>
          <w:w w:val="110"/>
        </w:rPr>
        <w:t>mundial</w:t>
      </w:r>
      <w:r>
        <w:rPr>
          <w:color w:val="231F20"/>
          <w:w w:val="110"/>
        </w:rPr>
        <w:t>…</w:t>
      </w:r>
      <w:r>
        <w:rPr>
          <w:color w:val="231F20"/>
          <w:spacing w:val="-17"/>
          <w:w w:val="110"/>
        </w:rPr>
        <w:t> </w:t>
      </w:r>
      <w:r>
        <w:rPr>
          <w:color w:val="231F20"/>
          <w:w w:val="110"/>
        </w:rPr>
        <w:t>(Caputo,</w:t>
      </w:r>
      <w:r>
        <w:rPr>
          <w:color w:val="231F20"/>
          <w:spacing w:val="-17"/>
          <w:w w:val="110"/>
        </w:rPr>
        <w:t> </w:t>
      </w:r>
      <w:r>
        <w:rPr>
          <w:color w:val="231F20"/>
          <w:w w:val="110"/>
        </w:rPr>
        <w:t>2010), en</w:t>
      </w:r>
      <w:r>
        <w:rPr>
          <w:color w:val="231F20"/>
          <w:spacing w:val="-8"/>
          <w:w w:val="110"/>
        </w:rPr>
        <w:t> </w:t>
      </w:r>
      <w:r>
        <w:rPr>
          <w:color w:val="231F20"/>
          <w:w w:val="110"/>
        </w:rPr>
        <w:t>el</w:t>
      </w:r>
      <w:r>
        <w:rPr>
          <w:color w:val="231F20"/>
          <w:spacing w:val="-8"/>
          <w:w w:val="110"/>
        </w:rPr>
        <w:t> </w:t>
      </w:r>
      <w:r>
        <w:rPr>
          <w:color w:val="231F20"/>
          <w:w w:val="110"/>
        </w:rPr>
        <w:t>apartado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crisis</w:t>
      </w:r>
      <w:r>
        <w:rPr>
          <w:color w:val="231F20"/>
          <w:spacing w:val="-8"/>
          <w:w w:val="110"/>
        </w:rPr>
        <w:t> </w:t>
      </w:r>
      <w:r>
        <w:rPr>
          <w:color w:val="231F20"/>
          <w:w w:val="110"/>
        </w:rPr>
        <w:t>inmobiliaria</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crisis de la economía mundial”, señalamos cómo los elevados niveles de ganancia</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empresas</w:t>
      </w:r>
      <w:r>
        <w:rPr>
          <w:color w:val="231F20"/>
          <w:spacing w:val="-20"/>
          <w:w w:val="110"/>
        </w:rPr>
        <w:t> </w:t>
      </w:r>
      <w:r>
        <w:rPr>
          <w:color w:val="231F20"/>
          <w:w w:val="110"/>
        </w:rPr>
        <w:t>productoras</w:t>
      </w:r>
      <w:r>
        <w:rPr>
          <w:color w:val="231F20"/>
          <w:spacing w:val="-20"/>
          <w:w w:val="110"/>
        </w:rPr>
        <w:t> </w:t>
      </w:r>
      <w:r>
        <w:rPr>
          <w:color w:val="231F20"/>
          <w:w w:val="110"/>
        </w:rPr>
        <w:t>de</w:t>
      </w:r>
      <w:r>
        <w:rPr>
          <w:color w:val="231F20"/>
          <w:spacing w:val="-20"/>
          <w:w w:val="110"/>
        </w:rPr>
        <w:t> </w:t>
      </w:r>
      <w:r>
        <w:rPr>
          <w:color w:val="231F20"/>
          <w:w w:val="110"/>
        </w:rPr>
        <w:t>bienes</w:t>
      </w:r>
      <w:r>
        <w:rPr>
          <w:color w:val="231F20"/>
          <w:spacing w:val="-20"/>
          <w:w w:val="110"/>
        </w:rPr>
        <w:t> </w:t>
      </w:r>
      <w:r>
        <w:rPr>
          <w:color w:val="231F20"/>
          <w:w w:val="110"/>
        </w:rPr>
        <w:t>y</w:t>
      </w:r>
      <w:r>
        <w:rPr>
          <w:color w:val="231F20"/>
          <w:spacing w:val="-20"/>
          <w:w w:val="110"/>
        </w:rPr>
        <w:t> </w:t>
      </w:r>
      <w:r>
        <w:rPr>
          <w:color w:val="231F20"/>
          <w:w w:val="110"/>
        </w:rPr>
        <w:t>servicios</w:t>
      </w:r>
      <w:r>
        <w:rPr>
          <w:color w:val="231F20"/>
          <w:spacing w:val="-20"/>
          <w:w w:val="110"/>
        </w:rPr>
        <w:t> </w:t>
      </w:r>
      <w:r>
        <w:rPr>
          <w:color w:val="231F20"/>
          <w:w w:val="110"/>
        </w:rPr>
        <w:t>en</w:t>
      </w:r>
      <w:r>
        <w:rPr>
          <w:color w:val="231F20"/>
          <w:spacing w:val="-20"/>
          <w:w w:val="110"/>
        </w:rPr>
        <w:t> </w:t>
      </w:r>
      <w:r>
        <w:rPr>
          <w:color w:val="231F20"/>
          <w:w w:val="110"/>
        </w:rPr>
        <w:t>Estados Unidos,</w:t>
      </w:r>
      <w:r>
        <w:rPr>
          <w:color w:val="231F20"/>
          <w:spacing w:val="-17"/>
          <w:w w:val="110"/>
        </w:rPr>
        <w:t> </w:t>
      </w:r>
      <w:r>
        <w:rPr>
          <w:color w:val="231F20"/>
          <w:w w:val="110"/>
        </w:rPr>
        <w:t>inicialmente</w:t>
      </w:r>
      <w:r>
        <w:rPr>
          <w:color w:val="231F20"/>
          <w:spacing w:val="-17"/>
          <w:w w:val="110"/>
        </w:rPr>
        <w:t> </w:t>
      </w:r>
      <w:r>
        <w:rPr>
          <w:color w:val="231F20"/>
          <w:w w:val="110"/>
        </w:rPr>
        <w:t>resistieron</w:t>
      </w:r>
      <w:r>
        <w:rPr>
          <w:color w:val="231F20"/>
          <w:spacing w:val="-17"/>
          <w:w w:val="110"/>
        </w:rPr>
        <w:t> </w:t>
      </w:r>
      <w:r>
        <w:rPr>
          <w:color w:val="231F20"/>
          <w:w w:val="110"/>
        </w:rPr>
        <w:t>la</w:t>
      </w:r>
      <w:r>
        <w:rPr>
          <w:color w:val="231F20"/>
          <w:spacing w:val="-17"/>
          <w:w w:val="110"/>
        </w:rPr>
        <w:t> </w:t>
      </w:r>
      <w:r>
        <w:rPr>
          <w:color w:val="231F20"/>
          <w:w w:val="110"/>
        </w:rPr>
        <w:t>crisis</w:t>
      </w:r>
      <w:r>
        <w:rPr>
          <w:color w:val="231F20"/>
          <w:spacing w:val="-17"/>
          <w:w w:val="110"/>
        </w:rPr>
        <w:t> </w:t>
      </w:r>
      <w:r>
        <w:rPr>
          <w:color w:val="231F20"/>
          <w:w w:val="110"/>
        </w:rPr>
        <w:t>inmobiliaria</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prolongó por varios años, hasta que las ganancias fueron afectadas en forma significativa</w:t>
      </w:r>
      <w:r>
        <w:rPr>
          <w:color w:val="231F20"/>
          <w:spacing w:val="-13"/>
          <w:w w:val="110"/>
        </w:rPr>
        <w:t> </w:t>
      </w:r>
      <w:r>
        <w:rPr>
          <w:color w:val="231F20"/>
          <w:w w:val="110"/>
        </w:rPr>
        <w:t>a</w:t>
      </w:r>
      <w:r>
        <w:rPr>
          <w:color w:val="231F20"/>
          <w:spacing w:val="-13"/>
          <w:w w:val="110"/>
        </w:rPr>
        <w:t> </w:t>
      </w:r>
      <w:r>
        <w:rPr>
          <w:color w:val="231F20"/>
          <w:w w:val="110"/>
        </w:rPr>
        <w:t>mediados</w:t>
      </w:r>
      <w:r>
        <w:rPr>
          <w:color w:val="231F20"/>
          <w:spacing w:val="-13"/>
          <w:w w:val="110"/>
        </w:rPr>
        <w:t> </w:t>
      </w:r>
      <w:r>
        <w:rPr>
          <w:color w:val="231F20"/>
          <w:w w:val="110"/>
        </w:rPr>
        <w:t>de</w:t>
      </w:r>
      <w:r>
        <w:rPr>
          <w:color w:val="231F20"/>
          <w:spacing w:val="-13"/>
          <w:w w:val="110"/>
        </w:rPr>
        <w:t> </w:t>
      </w:r>
      <w:r>
        <w:rPr>
          <w:color w:val="231F20"/>
          <w:w w:val="110"/>
        </w:rPr>
        <w:t>2008,</w:t>
      </w:r>
      <w:r>
        <w:rPr>
          <w:color w:val="231F20"/>
          <w:spacing w:val="-13"/>
          <w:w w:val="110"/>
        </w:rPr>
        <w:t> </w:t>
      </w:r>
      <w:r>
        <w:rPr>
          <w:color w:val="231F20"/>
          <w:w w:val="110"/>
        </w:rPr>
        <w:t>y</w:t>
      </w:r>
      <w:r>
        <w:rPr>
          <w:color w:val="231F20"/>
          <w:spacing w:val="-13"/>
          <w:w w:val="110"/>
        </w:rPr>
        <w:t> </w:t>
      </w:r>
      <w:r>
        <w:rPr>
          <w:color w:val="231F20"/>
          <w:w w:val="110"/>
        </w:rPr>
        <w:t>con</w:t>
      </w:r>
      <w:r>
        <w:rPr>
          <w:color w:val="231F20"/>
          <w:spacing w:val="-13"/>
          <w:w w:val="110"/>
        </w:rPr>
        <w:t> </w:t>
      </w:r>
      <w:r>
        <w:rPr>
          <w:color w:val="231F20"/>
          <w:w w:val="110"/>
        </w:rPr>
        <w:t>pérdidas</w:t>
      </w:r>
      <w:r>
        <w:rPr>
          <w:color w:val="231F20"/>
          <w:spacing w:val="-13"/>
          <w:w w:val="110"/>
        </w:rPr>
        <w:t> </w:t>
      </w:r>
      <w:r>
        <w:rPr>
          <w:color w:val="231F20"/>
          <w:w w:val="110"/>
        </w:rPr>
        <w:t>muy</w:t>
      </w:r>
      <w:r>
        <w:rPr>
          <w:color w:val="231F20"/>
          <w:spacing w:val="-13"/>
          <w:w w:val="110"/>
        </w:rPr>
        <w:t> </w:t>
      </w:r>
      <w:r>
        <w:rPr>
          <w:color w:val="231F20"/>
          <w:w w:val="110"/>
        </w:rPr>
        <w:t>elevadas,</w:t>
      </w:r>
      <w:r>
        <w:rPr>
          <w:color w:val="231F20"/>
          <w:spacing w:val="-13"/>
          <w:w w:val="110"/>
        </w:rPr>
        <w:t> </w:t>
      </w:r>
      <w:r>
        <w:rPr>
          <w:color w:val="231F20"/>
          <w:w w:val="110"/>
        </w:rPr>
        <w:t>espe- cialmente</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sector</w:t>
      </w:r>
      <w:r>
        <w:rPr>
          <w:color w:val="231F20"/>
          <w:spacing w:val="-18"/>
          <w:w w:val="110"/>
        </w:rPr>
        <w:t> </w:t>
      </w:r>
      <w:r>
        <w:rPr>
          <w:color w:val="231F20"/>
          <w:w w:val="110"/>
        </w:rPr>
        <w:t>automotriz.</w:t>
      </w:r>
      <w:r>
        <w:rPr>
          <w:color w:val="231F20"/>
          <w:spacing w:val="-18"/>
          <w:w w:val="110"/>
        </w:rPr>
        <w:t> </w:t>
      </w:r>
      <w:r>
        <w:rPr>
          <w:color w:val="231F20"/>
          <w:w w:val="110"/>
        </w:rPr>
        <w:t>Las</w:t>
      </w:r>
      <w:r>
        <w:rPr>
          <w:color w:val="231F20"/>
          <w:spacing w:val="-18"/>
          <w:w w:val="110"/>
        </w:rPr>
        <w:t> </w:t>
      </w:r>
      <w:r>
        <w:rPr>
          <w:color w:val="231F20"/>
          <w:w w:val="110"/>
        </w:rPr>
        <w:t>disminuciones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ganancias transformaron la crisis inmobiliaria de Estados Unidos, en crisis de la economía</w:t>
      </w:r>
      <w:r>
        <w:rPr>
          <w:color w:val="231F20"/>
          <w:spacing w:val="30"/>
          <w:w w:val="110"/>
        </w:rPr>
        <w:t> </w:t>
      </w:r>
      <w:r>
        <w:rPr>
          <w:color w:val="231F20"/>
          <w:w w:val="110"/>
        </w:rPr>
        <w:t>mundial.</w:t>
      </w:r>
    </w:p>
    <w:p>
      <w:pPr>
        <w:pStyle w:val="BodyText"/>
        <w:spacing w:line="261" w:lineRule="auto"/>
        <w:ind w:left="100" w:right="110" w:firstLine="240"/>
        <w:jc w:val="both"/>
      </w:pPr>
      <w:r>
        <w:rPr>
          <w:color w:val="231F20"/>
          <w:w w:val="105"/>
        </w:rPr>
        <w:t>En los </w:t>
      </w:r>
      <w:r>
        <w:rPr>
          <w:color w:val="231F20"/>
          <w:spacing w:val="2"/>
          <w:w w:val="105"/>
        </w:rPr>
        <w:t>documentos citados, habíamos analizado </w:t>
      </w:r>
      <w:r>
        <w:rPr>
          <w:color w:val="231F20"/>
          <w:w w:val="105"/>
        </w:rPr>
        <w:t>las </w:t>
      </w:r>
      <w:r>
        <w:rPr>
          <w:color w:val="231F20"/>
          <w:spacing w:val="2"/>
          <w:w w:val="105"/>
        </w:rPr>
        <w:t>seis </w:t>
      </w:r>
      <w:r>
        <w:rPr>
          <w:color w:val="231F20"/>
          <w:spacing w:val="3"/>
          <w:w w:val="105"/>
        </w:rPr>
        <w:t>crisis </w:t>
      </w:r>
      <w:r>
        <w:rPr>
          <w:color w:val="231F20"/>
          <w:w w:val="105"/>
        </w:rPr>
        <w:t>cíclicas del capitalismo a partir de 1974, hasta la de inicios de este decenio. Estas seis crisis cíclicas se producen al interior del proceso   de globalización. La crisis mundial actual es mucho más profunda,     es una crisis de la globalización actual de la economía y del neoli- beralismo.</w:t>
      </w:r>
    </w:p>
    <w:p>
      <w:pPr>
        <w:pStyle w:val="BodyText"/>
        <w:spacing w:line="261" w:lineRule="auto"/>
        <w:ind w:left="100" w:right="119" w:firstLine="240"/>
        <w:jc w:val="both"/>
      </w:pPr>
      <w:r>
        <w:rPr>
          <w:color w:val="231F20"/>
          <w:w w:val="110"/>
        </w:rPr>
        <w:t>Las diferencias teóricas sobre el tipo de capital dominante en la economía mundial, dan cuenta de diferencias opuestas en    relación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con múltiples categorías económicas y comportamiento dinámico</w:t>
      </w:r>
      <w:r>
        <w:rPr>
          <w:color w:val="231F20"/>
          <w:spacing w:val="-32"/>
          <w:w w:val="110"/>
        </w:rPr>
        <w:t> </w:t>
      </w:r>
      <w:r>
        <w:rPr>
          <w:color w:val="231F20"/>
          <w:w w:val="110"/>
        </w:rPr>
        <w:t>de la</w:t>
      </w:r>
      <w:r>
        <w:rPr>
          <w:color w:val="231F20"/>
          <w:spacing w:val="-14"/>
          <w:w w:val="110"/>
        </w:rPr>
        <w:t> </w:t>
      </w:r>
      <w:r>
        <w:rPr>
          <w:color w:val="231F20"/>
          <w:w w:val="110"/>
        </w:rPr>
        <w:t>economía</w:t>
      </w:r>
      <w:r>
        <w:rPr>
          <w:color w:val="231F20"/>
          <w:spacing w:val="-14"/>
          <w:w w:val="110"/>
        </w:rPr>
        <w:t> </w:t>
      </w:r>
      <w:r>
        <w:rPr>
          <w:color w:val="231F20"/>
          <w:w w:val="110"/>
        </w:rPr>
        <w:t>mundial,</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cuales</w:t>
      </w:r>
      <w:r>
        <w:rPr>
          <w:color w:val="231F20"/>
          <w:spacing w:val="-14"/>
          <w:w w:val="110"/>
        </w:rPr>
        <w:t> </w:t>
      </w:r>
      <w:r>
        <w:rPr>
          <w:color w:val="231F20"/>
          <w:w w:val="110"/>
        </w:rPr>
        <w:t>desarrollaremos</w:t>
      </w:r>
      <w:r>
        <w:rPr>
          <w:color w:val="231F20"/>
          <w:spacing w:val="-14"/>
          <w:w w:val="110"/>
        </w:rPr>
        <w:t> </w:t>
      </w:r>
      <w:r>
        <w:rPr>
          <w:color w:val="231F20"/>
          <w:w w:val="110"/>
        </w:rPr>
        <w:t>en</w:t>
      </w:r>
      <w:r>
        <w:rPr>
          <w:color w:val="231F20"/>
          <w:spacing w:val="-14"/>
          <w:w w:val="110"/>
        </w:rPr>
        <w:t> </w:t>
      </w:r>
      <w:r>
        <w:rPr>
          <w:color w:val="231F20"/>
          <w:w w:val="110"/>
        </w:rPr>
        <w:t>este</w:t>
      </w:r>
      <w:r>
        <w:rPr>
          <w:color w:val="231F20"/>
          <w:spacing w:val="-14"/>
          <w:w w:val="110"/>
        </w:rPr>
        <w:t> </w:t>
      </w:r>
      <w:r>
        <w:rPr>
          <w:color w:val="231F20"/>
          <w:w w:val="110"/>
        </w:rPr>
        <w:t>documen- to, tres que nos parecen </w:t>
      </w:r>
      <w:r>
        <w:rPr>
          <w:color w:val="231F20"/>
          <w:spacing w:val="9"/>
          <w:w w:val="110"/>
        </w:rPr>
        <w:t> </w:t>
      </w:r>
      <w:r>
        <w:rPr>
          <w:color w:val="231F20"/>
          <w:w w:val="110"/>
        </w:rPr>
        <w:t>principales:</w:t>
      </w:r>
    </w:p>
    <w:p>
      <w:pPr>
        <w:pStyle w:val="BodyText"/>
        <w:spacing w:line="261" w:lineRule="auto"/>
        <w:ind w:left="100" w:right="118" w:firstLine="240"/>
        <w:jc w:val="both"/>
      </w:pPr>
      <w:r>
        <w:rPr>
          <w:color w:val="231F20"/>
          <w:w w:val="105"/>
        </w:rPr>
        <w:t>En la producción nacional y mundial, y en general, en la dinámica de  la  reproducción  del</w:t>
      </w:r>
      <w:r>
        <w:rPr>
          <w:color w:val="231F20"/>
          <w:spacing w:val="29"/>
          <w:w w:val="105"/>
        </w:rPr>
        <w:t> </w:t>
      </w:r>
      <w:r>
        <w:rPr>
          <w:color w:val="231F20"/>
          <w:w w:val="105"/>
        </w:rPr>
        <w:t>capitalismo.</w:t>
      </w:r>
    </w:p>
    <w:p>
      <w:pPr>
        <w:pStyle w:val="BodyText"/>
        <w:spacing w:line="261" w:lineRule="auto"/>
        <w:ind w:left="100" w:right="119" w:firstLine="240"/>
        <w:jc w:val="right"/>
      </w:pPr>
      <w:r>
        <w:rPr>
          <w:color w:val="231F20"/>
          <w:w w:val="110"/>
        </w:rPr>
        <w:t>El comportamiento de la masa y de la tasa de ganancia de</w:t>
      </w:r>
      <w:r>
        <w:rPr>
          <w:color w:val="231F20"/>
          <w:spacing w:val="-18"/>
          <w:w w:val="110"/>
        </w:rPr>
        <w:t> </w:t>
      </w:r>
      <w:r>
        <w:rPr>
          <w:color w:val="231F20"/>
          <w:w w:val="110"/>
        </w:rPr>
        <w:t>las</w:t>
      </w:r>
      <w:r>
        <w:rPr>
          <w:color w:val="231F20"/>
          <w:spacing w:val="-2"/>
          <w:w w:val="110"/>
        </w:rPr>
        <w:t> </w:t>
      </w:r>
      <w:r>
        <w:rPr>
          <w:color w:val="231F20"/>
          <w:w w:val="110"/>
        </w:rPr>
        <w:t>em-</w:t>
      </w:r>
      <w:r>
        <w:rPr>
          <w:color w:val="231F20"/>
          <w:w w:val="72"/>
        </w:rPr>
        <w:t> </w:t>
      </w:r>
      <w:r>
        <w:rPr>
          <w:color w:val="231F20"/>
          <w:w w:val="110"/>
        </w:rPr>
        <w:t>presas</w:t>
      </w:r>
      <w:r>
        <w:rPr>
          <w:color w:val="231F20"/>
          <w:spacing w:val="-23"/>
          <w:w w:val="110"/>
        </w:rPr>
        <w:t> </w:t>
      </w:r>
      <w:r>
        <w:rPr>
          <w:color w:val="231F20"/>
          <w:w w:val="110"/>
        </w:rPr>
        <w:t>productoras</w:t>
      </w:r>
      <w:r>
        <w:rPr>
          <w:color w:val="231F20"/>
          <w:spacing w:val="-23"/>
          <w:w w:val="110"/>
        </w:rPr>
        <w:t> </w:t>
      </w:r>
      <w:r>
        <w:rPr>
          <w:color w:val="231F20"/>
          <w:w w:val="110"/>
        </w:rPr>
        <w:t>de</w:t>
      </w:r>
      <w:r>
        <w:rPr>
          <w:color w:val="231F20"/>
          <w:spacing w:val="-23"/>
          <w:w w:val="110"/>
        </w:rPr>
        <w:t> </w:t>
      </w:r>
      <w:r>
        <w:rPr>
          <w:color w:val="231F20"/>
          <w:w w:val="110"/>
        </w:rPr>
        <w:t>bienes</w:t>
      </w:r>
      <w:r>
        <w:rPr>
          <w:color w:val="231F20"/>
          <w:spacing w:val="-23"/>
          <w:w w:val="110"/>
        </w:rPr>
        <w:t> </w:t>
      </w:r>
      <w:r>
        <w:rPr>
          <w:color w:val="231F20"/>
          <w:w w:val="110"/>
        </w:rPr>
        <w:t>y</w:t>
      </w:r>
      <w:r>
        <w:rPr>
          <w:color w:val="231F20"/>
          <w:spacing w:val="-23"/>
          <w:w w:val="110"/>
        </w:rPr>
        <w:t> </w:t>
      </w:r>
      <w:r>
        <w:rPr>
          <w:color w:val="231F20"/>
          <w:w w:val="110"/>
        </w:rPr>
        <w:t>servicios</w:t>
      </w:r>
      <w:r>
        <w:rPr>
          <w:color w:val="231F20"/>
          <w:spacing w:val="-23"/>
          <w:w w:val="110"/>
        </w:rPr>
        <w:t> </w:t>
      </w:r>
      <w:r>
        <w:rPr>
          <w:color w:val="231F20"/>
          <w:w w:val="110"/>
        </w:rPr>
        <w:t>(las</w:t>
      </w:r>
      <w:r>
        <w:rPr>
          <w:color w:val="231F20"/>
          <w:spacing w:val="-23"/>
          <w:w w:val="110"/>
        </w:rPr>
        <w:t> </w:t>
      </w:r>
      <w:r>
        <w:rPr>
          <w:color w:val="231F20"/>
          <w:w w:val="110"/>
        </w:rPr>
        <w:t>empresas</w:t>
      </w:r>
      <w:r>
        <w:rPr>
          <w:color w:val="231F20"/>
          <w:spacing w:val="-23"/>
          <w:w w:val="110"/>
        </w:rPr>
        <w:t> </w:t>
      </w:r>
      <w:r>
        <w:rPr>
          <w:color w:val="231F20"/>
          <w:w w:val="110"/>
        </w:rPr>
        <w:t>no</w:t>
      </w:r>
      <w:r>
        <w:rPr>
          <w:color w:val="231F20"/>
          <w:spacing w:val="-23"/>
          <w:w w:val="110"/>
        </w:rPr>
        <w:t> </w:t>
      </w:r>
      <w:r>
        <w:rPr>
          <w:color w:val="231F20"/>
          <w:w w:val="110"/>
        </w:rPr>
        <w:t>financieras).</w:t>
      </w:r>
    </w:p>
    <w:p>
      <w:pPr>
        <w:pStyle w:val="BodyText"/>
        <w:spacing w:line="261" w:lineRule="auto"/>
        <w:ind w:left="100" w:right="119" w:firstLine="240"/>
        <w:jc w:val="both"/>
      </w:pPr>
      <w:r>
        <w:rPr>
          <w:color w:val="231F20"/>
          <w:w w:val="105"/>
        </w:rPr>
        <w:t>La distribución de la producción en salarios, ganancias y renta de recursos naturales, en los países y a escala   </w:t>
      </w:r>
      <w:r>
        <w:rPr>
          <w:color w:val="231F20"/>
          <w:spacing w:val="51"/>
          <w:w w:val="105"/>
        </w:rPr>
        <w:t> </w:t>
      </w:r>
      <w:r>
        <w:rPr>
          <w:color w:val="231F20"/>
          <w:w w:val="105"/>
        </w:rPr>
        <w:t>mundial.</w:t>
      </w:r>
    </w:p>
    <w:p>
      <w:pPr>
        <w:pStyle w:val="BodyText"/>
      </w:pPr>
    </w:p>
    <w:p>
      <w:pPr>
        <w:pStyle w:val="BodyText"/>
      </w:pPr>
    </w:p>
    <w:p>
      <w:pPr>
        <w:pStyle w:val="BodyText"/>
        <w:spacing w:before="2"/>
        <w:rPr>
          <w:sz w:val="25"/>
        </w:rPr>
      </w:pPr>
    </w:p>
    <w:p>
      <w:pPr>
        <w:pStyle w:val="BodyText"/>
        <w:spacing w:line="261" w:lineRule="auto"/>
        <w:ind w:left="100" w:right="586"/>
      </w:pPr>
      <w:r>
        <w:rPr>
          <w:color w:val="231F20"/>
          <w:w w:val="130"/>
        </w:rPr>
        <w:t>diferentes interpretaciones sobre la crisis y los planteamientos</w:t>
      </w:r>
      <w:r>
        <w:rPr>
          <w:color w:val="231F20"/>
          <w:spacing w:val="-39"/>
          <w:w w:val="130"/>
        </w:rPr>
        <w:t> </w:t>
      </w:r>
      <w:r>
        <w:rPr>
          <w:color w:val="231F20"/>
          <w:w w:val="130"/>
        </w:rPr>
        <w:t>sobre</w:t>
      </w:r>
      <w:r>
        <w:rPr>
          <w:color w:val="231F20"/>
          <w:spacing w:val="-39"/>
          <w:w w:val="130"/>
        </w:rPr>
        <w:t> </w:t>
      </w:r>
      <w:r>
        <w:rPr>
          <w:color w:val="231F20"/>
          <w:w w:val="130"/>
        </w:rPr>
        <w:t>la</w:t>
      </w:r>
      <w:r>
        <w:rPr>
          <w:color w:val="231F20"/>
          <w:spacing w:val="-39"/>
          <w:w w:val="130"/>
        </w:rPr>
        <w:t> </w:t>
      </w:r>
      <w:r>
        <w:rPr>
          <w:color w:val="231F20"/>
          <w:w w:val="130"/>
        </w:rPr>
        <w:t>producción</w:t>
      </w:r>
      <w:r>
        <w:rPr>
          <w:color w:val="231F20"/>
          <w:spacing w:val="-39"/>
          <w:w w:val="130"/>
        </w:rPr>
        <w:t> </w:t>
      </w:r>
      <w:r>
        <w:rPr>
          <w:color w:val="231F20"/>
          <w:w w:val="130"/>
        </w:rPr>
        <w:t>nacional</w:t>
      </w:r>
      <w:r>
        <w:rPr>
          <w:color w:val="231F20"/>
          <w:spacing w:val="-39"/>
          <w:w w:val="130"/>
        </w:rPr>
        <w:t> </w:t>
      </w:r>
      <w:r>
        <w:rPr>
          <w:color w:val="231F20"/>
          <w:w w:val="130"/>
        </w:rPr>
        <w:t>y</w:t>
      </w:r>
      <w:r>
        <w:rPr>
          <w:color w:val="231F20"/>
          <w:spacing w:val="-39"/>
          <w:w w:val="130"/>
        </w:rPr>
        <w:t> </w:t>
      </w:r>
      <w:r>
        <w:rPr>
          <w:color w:val="231F20"/>
          <w:w w:val="130"/>
        </w:rPr>
        <w:t>mundial</w:t>
      </w:r>
    </w:p>
    <w:p>
      <w:pPr>
        <w:pStyle w:val="BodyText"/>
        <w:spacing w:before="8"/>
        <w:rPr>
          <w:sz w:val="21"/>
        </w:rPr>
      </w:pPr>
    </w:p>
    <w:p>
      <w:pPr>
        <w:pStyle w:val="BodyText"/>
        <w:spacing w:line="261" w:lineRule="auto"/>
        <w:ind w:left="100" w:right="117"/>
        <w:jc w:val="both"/>
      </w:pPr>
      <w:r>
        <w:rPr>
          <w:color w:val="231F20"/>
          <w:w w:val="110"/>
        </w:rPr>
        <w:t>En nuestros estudios, hemos concluido que Estados Unidos logró en los años noventa una profunda reestructuración económica que le permitió reconquistar la hegemonía que en el decenio anterior había compartido con Europa y Japón.</w:t>
      </w:r>
    </w:p>
    <w:p>
      <w:pPr>
        <w:pStyle w:val="BodyText"/>
        <w:spacing w:line="261" w:lineRule="auto"/>
        <w:ind w:left="100" w:right="117" w:firstLine="240"/>
        <w:jc w:val="both"/>
      </w:pPr>
      <w:r>
        <w:rPr>
          <w:color w:val="231F20"/>
          <w:w w:val="110"/>
        </w:rPr>
        <w:t>En esos años ochenta se afirmaba que la economía decadente de Estados</w:t>
      </w:r>
      <w:r>
        <w:rPr>
          <w:color w:val="231F20"/>
          <w:spacing w:val="-16"/>
          <w:w w:val="110"/>
        </w:rPr>
        <w:t> </w:t>
      </w:r>
      <w:r>
        <w:rPr>
          <w:color w:val="231F20"/>
          <w:w w:val="110"/>
        </w:rPr>
        <w:t>Unidos</w:t>
      </w:r>
      <w:r>
        <w:rPr>
          <w:color w:val="231F20"/>
          <w:spacing w:val="-16"/>
          <w:w w:val="110"/>
        </w:rPr>
        <w:t> </w:t>
      </w:r>
      <w:r>
        <w:rPr>
          <w:color w:val="231F20"/>
          <w:w w:val="110"/>
        </w:rPr>
        <w:t>sería</w:t>
      </w:r>
      <w:r>
        <w:rPr>
          <w:color w:val="231F20"/>
          <w:spacing w:val="-16"/>
          <w:w w:val="110"/>
        </w:rPr>
        <w:t> </w:t>
      </w:r>
      <w:r>
        <w:rPr>
          <w:color w:val="231F20"/>
          <w:w w:val="110"/>
        </w:rPr>
        <w:t>desplazada</w:t>
      </w:r>
      <w:r>
        <w:rPr>
          <w:color w:val="231F20"/>
          <w:spacing w:val="-16"/>
          <w:w w:val="110"/>
        </w:rPr>
        <w:t> </w:t>
      </w:r>
      <w:r>
        <w:rPr>
          <w:color w:val="231F20"/>
          <w:w w:val="110"/>
        </w:rPr>
        <w:t>por</w:t>
      </w:r>
      <w:r>
        <w:rPr>
          <w:color w:val="231F20"/>
          <w:spacing w:val="-16"/>
          <w:w w:val="110"/>
        </w:rPr>
        <w:t> </w:t>
      </w:r>
      <w:r>
        <w:rPr>
          <w:color w:val="231F20"/>
          <w:w w:val="110"/>
        </w:rPr>
        <w:t>Japón.</w:t>
      </w:r>
      <w:r>
        <w:rPr>
          <w:color w:val="231F20"/>
          <w:spacing w:val="-16"/>
          <w:w w:val="110"/>
        </w:rPr>
        <w:t> </w:t>
      </w:r>
      <w:r>
        <w:rPr>
          <w:color w:val="231F20"/>
          <w:w w:val="110"/>
        </w:rPr>
        <w:t>No</w:t>
      </w:r>
      <w:r>
        <w:rPr>
          <w:color w:val="231F20"/>
          <w:spacing w:val="-16"/>
          <w:w w:val="110"/>
        </w:rPr>
        <w:t> </w:t>
      </w:r>
      <w:r>
        <w:rPr>
          <w:color w:val="231F20"/>
          <w:w w:val="110"/>
        </w:rPr>
        <w:t>sucedió</w:t>
      </w:r>
      <w:r>
        <w:rPr>
          <w:color w:val="231F20"/>
          <w:spacing w:val="-16"/>
          <w:w w:val="110"/>
        </w:rPr>
        <w:t> </w:t>
      </w:r>
      <w:r>
        <w:rPr>
          <w:color w:val="231F20"/>
          <w:w w:val="110"/>
        </w:rPr>
        <w:t>ni</w:t>
      </w:r>
      <w:r>
        <w:rPr>
          <w:color w:val="231F20"/>
          <w:spacing w:val="-16"/>
          <w:w w:val="110"/>
        </w:rPr>
        <w:t> </w:t>
      </w:r>
      <w:r>
        <w:rPr>
          <w:color w:val="231F20"/>
          <w:w w:val="110"/>
        </w:rPr>
        <w:t>lo</w:t>
      </w:r>
      <w:r>
        <w:rPr>
          <w:color w:val="231F20"/>
          <w:spacing w:val="-16"/>
          <w:w w:val="110"/>
        </w:rPr>
        <w:t> </w:t>
      </w:r>
      <w:r>
        <w:rPr>
          <w:color w:val="231F20"/>
          <w:w w:val="110"/>
        </w:rPr>
        <w:t>uno</w:t>
      </w:r>
      <w:r>
        <w:rPr>
          <w:color w:val="231F20"/>
          <w:spacing w:val="-16"/>
          <w:w w:val="110"/>
        </w:rPr>
        <w:t> </w:t>
      </w:r>
      <w:r>
        <w:rPr>
          <w:color w:val="231F20"/>
          <w:w w:val="110"/>
        </w:rPr>
        <w:t>ni</w:t>
      </w:r>
      <w:r>
        <w:rPr>
          <w:color w:val="231F20"/>
          <w:spacing w:val="-16"/>
          <w:w w:val="110"/>
        </w:rPr>
        <w:t> </w:t>
      </w:r>
      <w:r>
        <w:rPr>
          <w:color w:val="231F20"/>
          <w:w w:val="110"/>
        </w:rPr>
        <w:t>lo otro. Japón entró en una profunda y prolongada crisis, en tanto que Estados</w:t>
      </w:r>
      <w:r>
        <w:rPr>
          <w:color w:val="231F20"/>
          <w:spacing w:val="-6"/>
          <w:w w:val="110"/>
        </w:rPr>
        <w:t> </w:t>
      </w:r>
      <w:r>
        <w:rPr>
          <w:color w:val="231F20"/>
          <w:w w:val="110"/>
        </w:rPr>
        <w:t>Unidos</w:t>
      </w:r>
      <w:r>
        <w:rPr>
          <w:color w:val="231F20"/>
          <w:spacing w:val="-6"/>
          <w:w w:val="110"/>
        </w:rPr>
        <w:t> </w:t>
      </w:r>
      <w:r>
        <w:rPr>
          <w:color w:val="231F20"/>
          <w:w w:val="110"/>
        </w:rPr>
        <w:t>reestructuró</w:t>
      </w:r>
      <w:r>
        <w:rPr>
          <w:color w:val="231F20"/>
          <w:spacing w:val="-6"/>
          <w:w w:val="110"/>
        </w:rPr>
        <w:t> </w:t>
      </w:r>
      <w:r>
        <w:rPr>
          <w:color w:val="231F20"/>
          <w:w w:val="110"/>
        </w:rPr>
        <w:t>su</w:t>
      </w:r>
      <w:r>
        <w:rPr>
          <w:color w:val="231F20"/>
          <w:spacing w:val="-6"/>
          <w:w w:val="110"/>
        </w:rPr>
        <w:t> </w:t>
      </w:r>
      <w:r>
        <w:rPr>
          <w:color w:val="231F20"/>
          <w:w w:val="110"/>
        </w:rPr>
        <w:t>economía,</w:t>
      </w:r>
      <w:r>
        <w:rPr>
          <w:color w:val="231F20"/>
          <w:spacing w:val="-6"/>
          <w:w w:val="110"/>
        </w:rPr>
        <w:t> </w:t>
      </w:r>
      <w:r>
        <w:rPr>
          <w:color w:val="231F20"/>
          <w:w w:val="110"/>
        </w:rPr>
        <w:t>logrando</w:t>
      </w:r>
      <w:r>
        <w:rPr>
          <w:color w:val="231F20"/>
          <w:spacing w:val="-6"/>
          <w:w w:val="110"/>
        </w:rPr>
        <w:t> </w:t>
      </w:r>
      <w:r>
        <w:rPr>
          <w:color w:val="231F20"/>
          <w:w w:val="110"/>
        </w:rPr>
        <w:t>niveles</w:t>
      </w:r>
      <w:r>
        <w:rPr>
          <w:color w:val="231F20"/>
          <w:spacing w:val="-6"/>
          <w:w w:val="110"/>
        </w:rPr>
        <w:t> </w:t>
      </w:r>
      <w:r>
        <w:rPr>
          <w:color w:val="231F20"/>
          <w:w w:val="110"/>
        </w:rPr>
        <w:t>elevados de</w:t>
      </w:r>
      <w:r>
        <w:rPr>
          <w:color w:val="231F20"/>
          <w:spacing w:val="-13"/>
          <w:w w:val="110"/>
        </w:rPr>
        <w:t> </w:t>
      </w:r>
      <w:r>
        <w:rPr>
          <w:color w:val="231F20"/>
          <w:w w:val="110"/>
        </w:rPr>
        <w:t>ganancia</w:t>
      </w:r>
      <w:r>
        <w:rPr>
          <w:color w:val="231F20"/>
          <w:spacing w:val="-13"/>
          <w:w w:val="110"/>
        </w:rPr>
        <w:t> </w:t>
      </w:r>
      <w:r>
        <w:rPr>
          <w:color w:val="231F20"/>
          <w:w w:val="110"/>
        </w:rPr>
        <w:t>y</w:t>
      </w:r>
      <w:r>
        <w:rPr>
          <w:color w:val="231F20"/>
          <w:spacing w:val="-13"/>
          <w:w w:val="110"/>
        </w:rPr>
        <w:t> </w:t>
      </w:r>
      <w:r>
        <w:rPr>
          <w:color w:val="231F20"/>
          <w:w w:val="110"/>
        </w:rPr>
        <w:t>recuperación</w:t>
      </w:r>
      <w:r>
        <w:rPr>
          <w:color w:val="231F20"/>
          <w:spacing w:val="-13"/>
          <w:w w:val="110"/>
        </w:rPr>
        <w:t> </w:t>
      </w:r>
      <w:r>
        <w:rPr>
          <w:color w:val="231F20"/>
          <w:w w:val="110"/>
        </w:rPr>
        <w:t>significativa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tasa</w:t>
      </w:r>
      <w:r>
        <w:rPr>
          <w:color w:val="231F20"/>
          <w:spacing w:val="-13"/>
          <w:w w:val="110"/>
        </w:rPr>
        <w:t> </w:t>
      </w:r>
      <w:r>
        <w:rPr>
          <w:color w:val="231F20"/>
          <w:w w:val="110"/>
        </w:rPr>
        <w:t>de</w:t>
      </w:r>
      <w:r>
        <w:rPr>
          <w:color w:val="231F20"/>
          <w:spacing w:val="-13"/>
          <w:w w:val="110"/>
        </w:rPr>
        <w:t> </w:t>
      </w:r>
      <w:r>
        <w:rPr>
          <w:color w:val="231F20"/>
          <w:w w:val="110"/>
        </w:rPr>
        <w:t>ganancia</w:t>
      </w:r>
      <w:r>
        <w:rPr>
          <w:color w:val="231F20"/>
          <w:spacing w:val="-13"/>
          <w:w w:val="110"/>
        </w:rPr>
        <w:t> </w:t>
      </w:r>
      <w:r>
        <w:rPr>
          <w:color w:val="231F20"/>
          <w:w w:val="110"/>
        </w:rPr>
        <w:t>acom- pañada de un gran crecimiento de las inversiones (Caputo, </w:t>
      </w:r>
      <w:r>
        <w:rPr>
          <w:color w:val="231F20"/>
          <w:spacing w:val="53"/>
          <w:w w:val="110"/>
        </w:rPr>
        <w:t> </w:t>
      </w:r>
      <w:r>
        <w:rPr>
          <w:color w:val="231F20"/>
          <w:w w:val="110"/>
        </w:rPr>
        <w:t>2003).</w:t>
      </w:r>
    </w:p>
    <w:p>
      <w:pPr>
        <w:pStyle w:val="BodyText"/>
        <w:spacing w:line="261" w:lineRule="auto"/>
        <w:ind w:left="100" w:right="117" w:firstLine="240"/>
        <w:jc w:val="both"/>
      </w:pPr>
      <w:r>
        <w:rPr>
          <w:color w:val="231F20"/>
          <w:w w:val="110"/>
        </w:rPr>
        <w:t>Conclusiones completamente opuestas a nuestros estudios son</w:t>
      </w:r>
      <w:r>
        <w:rPr>
          <w:color w:val="231F20"/>
          <w:spacing w:val="-28"/>
          <w:w w:val="110"/>
        </w:rPr>
        <w:t> </w:t>
      </w:r>
      <w:r>
        <w:rPr>
          <w:color w:val="231F20"/>
          <w:w w:val="110"/>
        </w:rPr>
        <w:t>los desarrollados</w:t>
      </w:r>
      <w:r>
        <w:rPr>
          <w:color w:val="231F20"/>
          <w:spacing w:val="-7"/>
          <w:w w:val="110"/>
        </w:rPr>
        <w:t> </w:t>
      </w:r>
      <w:r>
        <w:rPr>
          <w:color w:val="231F20"/>
          <w:w w:val="110"/>
        </w:rPr>
        <w:t>por</w:t>
      </w:r>
      <w:r>
        <w:rPr>
          <w:color w:val="231F20"/>
          <w:spacing w:val="-7"/>
          <w:w w:val="110"/>
        </w:rPr>
        <w:t> </w:t>
      </w:r>
      <w:r>
        <w:rPr>
          <w:color w:val="231F20"/>
          <w:w w:val="110"/>
        </w:rPr>
        <w:t>Jorge</w:t>
      </w:r>
      <w:r>
        <w:rPr>
          <w:color w:val="231F20"/>
          <w:spacing w:val="-7"/>
          <w:w w:val="110"/>
        </w:rPr>
        <w:t> </w:t>
      </w:r>
      <w:r>
        <w:rPr>
          <w:color w:val="231F20"/>
          <w:w w:val="110"/>
        </w:rPr>
        <w:t>Beinstein,</w:t>
      </w:r>
      <w:r>
        <w:rPr>
          <w:color w:val="231F20"/>
          <w:spacing w:val="-7"/>
          <w:w w:val="110"/>
        </w:rPr>
        <w:t> </w:t>
      </w:r>
      <w:r>
        <w:rPr>
          <w:color w:val="231F20"/>
          <w:w w:val="110"/>
        </w:rPr>
        <w:t>que</w:t>
      </w:r>
      <w:r>
        <w:rPr>
          <w:color w:val="231F20"/>
          <w:spacing w:val="-7"/>
          <w:w w:val="110"/>
        </w:rPr>
        <w:t> </w:t>
      </w:r>
      <w:r>
        <w:rPr>
          <w:color w:val="231F20"/>
          <w:w w:val="110"/>
        </w:rPr>
        <w:t>está</w:t>
      </w:r>
      <w:r>
        <w:rPr>
          <w:color w:val="231F20"/>
          <w:spacing w:val="-7"/>
          <w:w w:val="110"/>
        </w:rPr>
        <w:t> </w:t>
      </w:r>
      <w:r>
        <w:rPr>
          <w:color w:val="231F20"/>
          <w:w w:val="110"/>
        </w:rPr>
        <w:t>vinculado</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tesis</w:t>
      </w:r>
      <w:r>
        <w:rPr>
          <w:color w:val="231F20"/>
          <w:spacing w:val="-7"/>
          <w:w w:val="110"/>
        </w:rPr>
        <w:t> </w:t>
      </w:r>
      <w:r>
        <w:rPr>
          <w:color w:val="231F20"/>
          <w:w w:val="110"/>
        </w:rPr>
        <w:t>de</w:t>
      </w:r>
      <w:r>
        <w:rPr>
          <w:color w:val="231F20"/>
          <w:spacing w:val="-7"/>
          <w:w w:val="110"/>
        </w:rPr>
        <w:t> </w:t>
      </w:r>
      <w:r>
        <w:rPr>
          <w:color w:val="231F20"/>
          <w:w w:val="110"/>
        </w:rPr>
        <w:t>la financiarización. El título de su trabajo no ofrece dudas: “Las crisis en la era senil del capitalismo” (Beinstein, 2009). En este documen- to afirma: “El capitalismo mundial ingresó en la etapa senil en los años setenta cuando el parasitismo devino hegemónico a lo largo de dicha</w:t>
      </w:r>
      <w:r>
        <w:rPr>
          <w:color w:val="231F20"/>
          <w:spacing w:val="-2"/>
          <w:w w:val="110"/>
        </w:rPr>
        <w:t> </w:t>
      </w:r>
      <w:r>
        <w:rPr>
          <w:color w:val="231F20"/>
          <w:w w:val="110"/>
        </w:rPr>
        <w:t>década”.</w:t>
      </w:r>
    </w:p>
    <w:p>
      <w:pPr>
        <w:pStyle w:val="BodyText"/>
        <w:ind w:left="340" w:right="25"/>
      </w:pPr>
      <w:r>
        <w:rPr>
          <w:color w:val="231F20"/>
        </w:rPr>
        <w:t>Y  más  adelante  desarrolla  las  siguientes   afirmaciones:</w:t>
      </w:r>
    </w:p>
    <w:p>
      <w:pPr>
        <w:pStyle w:val="BodyText"/>
        <w:spacing w:before="1"/>
        <w:rPr>
          <w:sz w:val="25"/>
        </w:rPr>
      </w:pPr>
    </w:p>
    <w:p>
      <w:pPr>
        <w:spacing w:line="290" w:lineRule="auto" w:before="0"/>
        <w:ind w:left="100" w:right="118" w:firstLine="0"/>
        <w:jc w:val="both"/>
        <w:rPr>
          <w:sz w:val="18"/>
        </w:rPr>
      </w:pPr>
      <w:r>
        <w:rPr>
          <w:color w:val="231F20"/>
          <w:w w:val="110"/>
          <w:sz w:val="18"/>
        </w:rPr>
        <w:t>Un primer indicador de senilidad es la decadencia de los Estados Unidos, resultado de un largo proceso de  degradación.</w:t>
      </w:r>
    </w:p>
    <w:p>
      <w:pPr>
        <w:spacing w:line="290" w:lineRule="auto" w:before="1"/>
        <w:ind w:left="100" w:right="117" w:firstLine="250"/>
        <w:jc w:val="both"/>
        <w:rPr>
          <w:sz w:val="18"/>
        </w:rPr>
      </w:pPr>
      <w:r>
        <w:rPr>
          <w:color w:val="231F20"/>
          <w:w w:val="110"/>
          <w:sz w:val="18"/>
        </w:rPr>
        <w:t>Un</w:t>
      </w:r>
      <w:r>
        <w:rPr>
          <w:color w:val="231F20"/>
          <w:spacing w:val="-8"/>
          <w:w w:val="110"/>
          <w:sz w:val="18"/>
        </w:rPr>
        <w:t> </w:t>
      </w:r>
      <w:r>
        <w:rPr>
          <w:color w:val="231F20"/>
          <w:w w:val="110"/>
          <w:sz w:val="18"/>
        </w:rPr>
        <w:t>segundo</w:t>
      </w:r>
      <w:r>
        <w:rPr>
          <w:color w:val="231F20"/>
          <w:spacing w:val="-8"/>
          <w:w w:val="110"/>
          <w:sz w:val="18"/>
        </w:rPr>
        <w:t> </w:t>
      </w:r>
      <w:r>
        <w:rPr>
          <w:color w:val="231F20"/>
          <w:w w:val="110"/>
          <w:sz w:val="18"/>
        </w:rPr>
        <w:t>indicador</w:t>
      </w:r>
      <w:r>
        <w:rPr>
          <w:color w:val="231F20"/>
          <w:spacing w:val="-8"/>
          <w:w w:val="110"/>
          <w:sz w:val="18"/>
        </w:rPr>
        <w:t> </w:t>
      </w:r>
      <w:r>
        <w:rPr>
          <w:color w:val="231F20"/>
          <w:w w:val="110"/>
          <w:sz w:val="18"/>
        </w:rPr>
        <w:t>de</w:t>
      </w:r>
      <w:r>
        <w:rPr>
          <w:color w:val="231F20"/>
          <w:spacing w:val="-8"/>
          <w:w w:val="110"/>
          <w:sz w:val="18"/>
        </w:rPr>
        <w:t> </w:t>
      </w:r>
      <w:r>
        <w:rPr>
          <w:color w:val="231F20"/>
          <w:w w:val="110"/>
          <w:sz w:val="18"/>
        </w:rPr>
        <w:t>senilidad</w:t>
      </w:r>
      <w:r>
        <w:rPr>
          <w:color w:val="231F20"/>
          <w:spacing w:val="-8"/>
          <w:w w:val="110"/>
          <w:sz w:val="18"/>
        </w:rPr>
        <w:t> </w:t>
      </w:r>
      <w:r>
        <w:rPr>
          <w:color w:val="231F20"/>
          <w:w w:val="110"/>
          <w:sz w:val="18"/>
        </w:rPr>
        <w:t>es</w:t>
      </w:r>
      <w:r>
        <w:rPr>
          <w:color w:val="231F20"/>
          <w:spacing w:val="-8"/>
          <w:w w:val="110"/>
          <w:sz w:val="18"/>
        </w:rPr>
        <w:t> </w:t>
      </w:r>
      <w:r>
        <w:rPr>
          <w:color w:val="231F20"/>
          <w:w w:val="110"/>
          <w:sz w:val="18"/>
        </w:rPr>
        <w:t>la</w:t>
      </w:r>
      <w:r>
        <w:rPr>
          <w:color w:val="231F20"/>
          <w:spacing w:val="-8"/>
          <w:w w:val="110"/>
          <w:sz w:val="18"/>
        </w:rPr>
        <w:t> </w:t>
      </w:r>
      <w:r>
        <w:rPr>
          <w:color w:val="231F20"/>
          <w:w w:val="110"/>
          <w:sz w:val="18"/>
        </w:rPr>
        <w:t>interacción</w:t>
      </w:r>
      <w:r>
        <w:rPr>
          <w:color w:val="231F20"/>
          <w:spacing w:val="-8"/>
          <w:w w:val="110"/>
          <w:sz w:val="18"/>
        </w:rPr>
        <w:t> </w:t>
      </w:r>
      <w:r>
        <w:rPr>
          <w:color w:val="231F20"/>
          <w:w w:val="110"/>
          <w:sz w:val="18"/>
        </w:rPr>
        <w:t>entre</w:t>
      </w:r>
      <w:r>
        <w:rPr>
          <w:color w:val="231F20"/>
          <w:spacing w:val="-8"/>
          <w:w w:val="110"/>
          <w:sz w:val="18"/>
        </w:rPr>
        <w:t> </w:t>
      </w:r>
      <w:r>
        <w:rPr>
          <w:color w:val="231F20"/>
          <w:w w:val="110"/>
          <w:sz w:val="18"/>
        </w:rPr>
        <w:t>dos</w:t>
      </w:r>
      <w:r>
        <w:rPr>
          <w:color w:val="231F20"/>
          <w:spacing w:val="-8"/>
          <w:w w:val="110"/>
          <w:sz w:val="18"/>
        </w:rPr>
        <w:t> </w:t>
      </w:r>
      <w:r>
        <w:rPr>
          <w:color w:val="231F20"/>
          <w:w w:val="110"/>
          <w:sz w:val="18"/>
        </w:rPr>
        <w:t>fenómenos. La hipertrofia financiera global y la desaceleración en el largo plazo de la economía</w:t>
      </w:r>
      <w:r>
        <w:rPr>
          <w:color w:val="231F20"/>
          <w:spacing w:val="23"/>
          <w:w w:val="110"/>
          <w:sz w:val="18"/>
        </w:rPr>
        <w:t> </w:t>
      </w:r>
      <w:r>
        <w:rPr>
          <w:color w:val="231F20"/>
          <w:w w:val="110"/>
          <w:sz w:val="18"/>
        </w:rPr>
        <w:t>mundial.</w:t>
      </w:r>
    </w:p>
    <w:p>
      <w:pPr>
        <w:spacing w:after="0" w:line="290" w:lineRule="auto"/>
        <w:jc w:val="both"/>
        <w:rPr>
          <w:sz w:val="18"/>
        </w:rPr>
        <w:sectPr>
          <w:pgSz w:w="7640" w:h="11900"/>
          <w:pgMar w:header="672" w:footer="0" w:top="860" w:bottom="280" w:left="780" w:right="640"/>
        </w:sectPr>
      </w:pPr>
    </w:p>
    <w:p>
      <w:pPr>
        <w:pStyle w:val="BodyText"/>
        <w:spacing w:before="8"/>
        <w:rPr>
          <w:sz w:val="8"/>
        </w:rPr>
      </w:pPr>
    </w:p>
    <w:p>
      <w:pPr>
        <w:pStyle w:val="BodyText"/>
        <w:spacing w:before="67"/>
        <w:ind w:left="340" w:right="25"/>
      </w:pPr>
      <w:r>
        <w:rPr>
          <w:color w:val="231F20"/>
          <w:w w:val="110"/>
        </w:rPr>
        <w:t>Inmediatamente agrega:</w:t>
      </w:r>
    </w:p>
    <w:p>
      <w:pPr>
        <w:pStyle w:val="BodyText"/>
        <w:spacing w:before="1"/>
        <w:rPr>
          <w:sz w:val="25"/>
        </w:rPr>
      </w:pPr>
    </w:p>
    <w:p>
      <w:pPr>
        <w:spacing w:line="290" w:lineRule="auto" w:before="0"/>
        <w:ind w:left="100" w:right="117" w:firstLine="0"/>
        <w:jc w:val="both"/>
        <w:rPr>
          <w:sz w:val="18"/>
        </w:rPr>
      </w:pPr>
      <w:r>
        <w:rPr>
          <w:color w:val="231F20"/>
          <w:w w:val="110"/>
          <w:sz w:val="18"/>
        </w:rPr>
        <w:t>A comienzos del siglo xxi hemos llegado a la financiarización integral del capitalismo,</w:t>
      </w:r>
      <w:r>
        <w:rPr>
          <w:color w:val="231F20"/>
          <w:spacing w:val="-11"/>
          <w:w w:val="110"/>
          <w:sz w:val="18"/>
        </w:rPr>
        <w:t> </w:t>
      </w:r>
      <w:r>
        <w:rPr>
          <w:color w:val="231F20"/>
          <w:w w:val="110"/>
          <w:sz w:val="18"/>
        </w:rPr>
        <w:t>las</w:t>
      </w:r>
      <w:r>
        <w:rPr>
          <w:color w:val="231F20"/>
          <w:spacing w:val="-11"/>
          <w:w w:val="110"/>
          <w:sz w:val="18"/>
        </w:rPr>
        <w:t> </w:t>
      </w:r>
      <w:r>
        <w:rPr>
          <w:color w:val="231F20"/>
          <w:w w:val="110"/>
          <w:sz w:val="18"/>
        </w:rPr>
        <w:t>tramas</w:t>
      </w:r>
      <w:r>
        <w:rPr>
          <w:color w:val="231F20"/>
          <w:spacing w:val="-11"/>
          <w:w w:val="110"/>
          <w:sz w:val="18"/>
        </w:rPr>
        <w:t> </w:t>
      </w:r>
      <w:r>
        <w:rPr>
          <w:color w:val="231F20"/>
          <w:w w:val="110"/>
          <w:sz w:val="18"/>
        </w:rPr>
        <w:t>especulativas</w:t>
      </w:r>
      <w:r>
        <w:rPr>
          <w:color w:val="231F20"/>
          <w:spacing w:val="-11"/>
          <w:w w:val="110"/>
          <w:sz w:val="18"/>
        </w:rPr>
        <w:t> </w:t>
      </w:r>
      <w:r>
        <w:rPr>
          <w:color w:val="231F20"/>
          <w:w w:val="110"/>
          <w:sz w:val="18"/>
        </w:rPr>
        <w:t>han</w:t>
      </w:r>
      <w:r>
        <w:rPr>
          <w:color w:val="231F20"/>
          <w:spacing w:val="-11"/>
          <w:w w:val="110"/>
          <w:sz w:val="18"/>
        </w:rPr>
        <w:t> </w:t>
      </w:r>
      <w:r>
        <w:rPr>
          <w:color w:val="231F20"/>
          <w:w w:val="110"/>
          <w:sz w:val="18"/>
        </w:rPr>
        <w:t>impuesto</w:t>
      </w:r>
      <w:r>
        <w:rPr>
          <w:color w:val="231F20"/>
          <w:spacing w:val="-11"/>
          <w:w w:val="110"/>
          <w:sz w:val="18"/>
        </w:rPr>
        <w:t> </w:t>
      </w:r>
      <w:r>
        <w:rPr>
          <w:color w:val="231F20"/>
          <w:w w:val="110"/>
          <w:sz w:val="18"/>
        </w:rPr>
        <w:t>su</w:t>
      </w:r>
      <w:r>
        <w:rPr>
          <w:color w:val="231F20"/>
          <w:spacing w:val="-11"/>
          <w:w w:val="110"/>
          <w:sz w:val="18"/>
        </w:rPr>
        <w:t> </w:t>
      </w:r>
      <w:r>
        <w:rPr>
          <w:color w:val="231F20"/>
          <w:w w:val="110"/>
          <w:sz w:val="18"/>
        </w:rPr>
        <w:t>“cultura”</w:t>
      </w:r>
      <w:r>
        <w:rPr>
          <w:color w:val="231F20"/>
          <w:spacing w:val="-11"/>
          <w:w w:val="110"/>
          <w:sz w:val="18"/>
        </w:rPr>
        <w:t> </w:t>
      </w:r>
      <w:r>
        <w:rPr>
          <w:color w:val="231F20"/>
          <w:w w:val="110"/>
          <w:sz w:val="18"/>
        </w:rPr>
        <w:t>cortoplacista que ha pasado a ser el núcleo central de la modernidad. Presenciamos un circulo vicioso; la crisis crónica de sobreproducción iniciada hace cuatro décadas comprimió el crecimiento económico desviando excedentes finan- cieros</w:t>
      </w:r>
      <w:r>
        <w:rPr>
          <w:color w:val="231F20"/>
          <w:spacing w:val="-5"/>
          <w:w w:val="110"/>
          <w:sz w:val="18"/>
        </w:rPr>
        <w:t> </w:t>
      </w:r>
      <w:r>
        <w:rPr>
          <w:color w:val="231F20"/>
          <w:w w:val="110"/>
          <w:sz w:val="18"/>
        </w:rPr>
        <w:t>hacia</w:t>
      </w:r>
      <w:r>
        <w:rPr>
          <w:color w:val="231F20"/>
          <w:spacing w:val="-5"/>
          <w:w w:val="110"/>
          <w:sz w:val="18"/>
        </w:rPr>
        <w:t> </w:t>
      </w:r>
      <w:r>
        <w:rPr>
          <w:color w:val="231F20"/>
          <w:w w:val="110"/>
          <w:sz w:val="18"/>
        </w:rPr>
        <w:t>la</w:t>
      </w:r>
      <w:r>
        <w:rPr>
          <w:color w:val="231F20"/>
          <w:spacing w:val="-5"/>
          <w:w w:val="110"/>
          <w:sz w:val="18"/>
        </w:rPr>
        <w:t> </w:t>
      </w:r>
      <w:r>
        <w:rPr>
          <w:color w:val="231F20"/>
          <w:w w:val="110"/>
          <w:sz w:val="18"/>
        </w:rPr>
        <w:t>especulación</w:t>
      </w:r>
      <w:r>
        <w:rPr>
          <w:color w:val="231F20"/>
          <w:spacing w:val="-5"/>
          <w:w w:val="110"/>
          <w:sz w:val="18"/>
        </w:rPr>
        <w:t> </w:t>
      </w:r>
      <w:r>
        <w:rPr>
          <w:color w:val="231F20"/>
          <w:w w:val="110"/>
          <w:sz w:val="18"/>
        </w:rPr>
        <w:t>cuyo</w:t>
      </w:r>
      <w:r>
        <w:rPr>
          <w:color w:val="231F20"/>
          <w:spacing w:val="-5"/>
          <w:w w:val="110"/>
          <w:sz w:val="18"/>
        </w:rPr>
        <w:t> </w:t>
      </w:r>
      <w:r>
        <w:rPr>
          <w:color w:val="231F20"/>
          <w:w w:val="110"/>
          <w:sz w:val="18"/>
        </w:rPr>
        <w:t>ascenso</w:t>
      </w:r>
      <w:r>
        <w:rPr>
          <w:color w:val="231F20"/>
          <w:spacing w:val="-5"/>
          <w:w w:val="110"/>
          <w:sz w:val="18"/>
        </w:rPr>
        <w:t> </w:t>
      </w:r>
      <w:r>
        <w:rPr>
          <w:color w:val="231F20"/>
          <w:w w:val="110"/>
          <w:sz w:val="18"/>
        </w:rPr>
        <w:t>operó</w:t>
      </w:r>
      <w:r>
        <w:rPr>
          <w:color w:val="231F20"/>
          <w:spacing w:val="-5"/>
          <w:w w:val="110"/>
          <w:sz w:val="18"/>
        </w:rPr>
        <w:t> </w:t>
      </w:r>
      <w:r>
        <w:rPr>
          <w:color w:val="231F20"/>
          <w:w w:val="110"/>
          <w:sz w:val="18"/>
        </w:rPr>
        <w:t>como</w:t>
      </w:r>
      <w:r>
        <w:rPr>
          <w:color w:val="231F20"/>
          <w:spacing w:val="-5"/>
          <w:w w:val="110"/>
          <w:sz w:val="18"/>
        </w:rPr>
        <w:t> </w:t>
      </w:r>
      <w:r>
        <w:rPr>
          <w:color w:val="231F20"/>
          <w:w w:val="110"/>
          <w:sz w:val="18"/>
        </w:rPr>
        <w:t>un</w:t>
      </w:r>
      <w:r>
        <w:rPr>
          <w:color w:val="231F20"/>
          <w:spacing w:val="-5"/>
          <w:w w:val="110"/>
          <w:sz w:val="18"/>
        </w:rPr>
        <w:t> </w:t>
      </w:r>
      <w:r>
        <w:rPr>
          <w:color w:val="231F20"/>
          <w:w w:val="110"/>
          <w:sz w:val="18"/>
        </w:rPr>
        <w:t>mega</w:t>
      </w:r>
      <w:r>
        <w:rPr>
          <w:color w:val="231F20"/>
          <w:spacing w:val="-5"/>
          <w:w w:val="110"/>
          <w:sz w:val="18"/>
        </w:rPr>
        <w:t> </w:t>
      </w:r>
      <w:r>
        <w:rPr>
          <w:color w:val="231F20"/>
          <w:w w:val="110"/>
          <w:sz w:val="18"/>
        </w:rPr>
        <w:t>aspirador</w:t>
      </w:r>
      <w:r>
        <w:rPr>
          <w:color w:val="231F20"/>
          <w:spacing w:val="-5"/>
          <w:w w:val="110"/>
          <w:sz w:val="18"/>
        </w:rPr>
        <w:t> </w:t>
      </w:r>
      <w:r>
        <w:rPr>
          <w:color w:val="231F20"/>
          <w:w w:val="110"/>
          <w:sz w:val="18"/>
        </w:rPr>
        <w:t>de fondos restado a la inversión</w:t>
      </w:r>
      <w:r>
        <w:rPr>
          <w:color w:val="231F20"/>
          <w:spacing w:val="9"/>
          <w:w w:val="110"/>
          <w:sz w:val="18"/>
        </w:rPr>
        <w:t> </w:t>
      </w:r>
      <w:r>
        <w:rPr>
          <w:color w:val="231F20"/>
          <w:w w:val="110"/>
          <w:sz w:val="18"/>
        </w:rPr>
        <w:t>productiva.</w:t>
      </w:r>
    </w:p>
    <w:p>
      <w:pPr>
        <w:pStyle w:val="BodyText"/>
        <w:spacing w:before="2"/>
      </w:pPr>
    </w:p>
    <w:p>
      <w:pPr>
        <w:pStyle w:val="BodyText"/>
        <w:spacing w:line="261" w:lineRule="auto"/>
        <w:ind w:left="100" w:right="117" w:firstLine="240"/>
        <w:jc w:val="both"/>
      </w:pPr>
      <w:r>
        <w:rPr>
          <w:color w:val="231F20"/>
          <w:w w:val="110"/>
        </w:rPr>
        <w:t>En nuestro documento </w:t>
      </w:r>
      <w:r>
        <w:rPr>
          <w:i/>
          <w:color w:val="231F20"/>
          <w:w w:val="110"/>
        </w:rPr>
        <w:t>Estados Unidos y China…</w:t>
      </w:r>
      <w:r>
        <w:rPr>
          <w:color w:val="231F20"/>
          <w:w w:val="110"/>
        </w:rPr>
        <w:t>, en el capítulo “Las transformaciones de la economía de Estados Unidos”, basado en las estadísticas del Departamento de Comercio de dicho país, mostramos el gran crecimiento de las ganancias globales y de la</w:t>
      </w:r>
      <w:r>
        <w:rPr>
          <w:color w:val="231F20"/>
          <w:spacing w:val="-36"/>
          <w:w w:val="110"/>
        </w:rPr>
        <w:t> </w:t>
      </w:r>
      <w:r>
        <w:rPr>
          <w:color w:val="231F20"/>
          <w:w w:val="110"/>
        </w:rPr>
        <w:t>tasa de ganancias, la fuerte disminución de los intereses netos pagados por las empresas no financieras al sector financiero, la disminución de los impuestos a las ganancias. Mostramos también, en forma adi- cional,</w:t>
      </w:r>
      <w:r>
        <w:rPr>
          <w:color w:val="231F20"/>
          <w:spacing w:val="-9"/>
          <w:w w:val="110"/>
        </w:rPr>
        <w:t> </w:t>
      </w:r>
      <w:r>
        <w:rPr>
          <w:color w:val="231F20"/>
          <w:w w:val="110"/>
        </w:rPr>
        <w:t>y</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perspectiva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actuación</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empresas</w:t>
      </w:r>
      <w:r>
        <w:rPr>
          <w:color w:val="231F20"/>
          <w:spacing w:val="-9"/>
          <w:w w:val="110"/>
        </w:rPr>
        <w:t> </w:t>
      </w:r>
      <w:r>
        <w:rPr>
          <w:color w:val="231F20"/>
          <w:w w:val="110"/>
        </w:rPr>
        <w:t>de</w:t>
      </w:r>
      <w:r>
        <w:rPr>
          <w:color w:val="231F20"/>
          <w:spacing w:val="-9"/>
          <w:w w:val="110"/>
        </w:rPr>
        <w:t> </w:t>
      </w:r>
      <w:r>
        <w:rPr>
          <w:color w:val="231F20"/>
          <w:w w:val="110"/>
        </w:rPr>
        <w:t>Estados Unidos en la economía mundial, el papel creciente de las ganancias en el exterior de las empresas </w:t>
      </w:r>
      <w:r>
        <w:rPr>
          <w:color w:val="231F20"/>
          <w:spacing w:val="1"/>
          <w:w w:val="110"/>
        </w:rPr>
        <w:t> </w:t>
      </w:r>
      <w:r>
        <w:rPr>
          <w:color w:val="231F20"/>
          <w:w w:val="110"/>
        </w:rPr>
        <w:t>estadunidenses.</w:t>
      </w:r>
    </w:p>
    <w:p>
      <w:pPr>
        <w:pStyle w:val="BodyText"/>
        <w:spacing w:line="261" w:lineRule="auto"/>
        <w:ind w:left="100" w:right="119" w:firstLine="240"/>
        <w:jc w:val="both"/>
      </w:pPr>
      <w:r>
        <w:rPr>
          <w:color w:val="231F20"/>
          <w:w w:val="110"/>
        </w:rPr>
        <w:t>Para</w:t>
      </w:r>
      <w:r>
        <w:rPr>
          <w:color w:val="231F20"/>
          <w:spacing w:val="-21"/>
          <w:w w:val="110"/>
        </w:rPr>
        <w:t> </w:t>
      </w:r>
      <w:r>
        <w:rPr>
          <w:color w:val="231F20"/>
          <w:w w:val="110"/>
        </w:rPr>
        <w:t>señalar</w:t>
      </w:r>
      <w:r>
        <w:rPr>
          <w:color w:val="231F20"/>
          <w:spacing w:val="-21"/>
          <w:w w:val="110"/>
        </w:rPr>
        <w:t> </w:t>
      </w:r>
      <w:r>
        <w:rPr>
          <w:color w:val="231F20"/>
          <w:w w:val="110"/>
        </w:rPr>
        <w:t>la</w:t>
      </w:r>
      <w:r>
        <w:rPr>
          <w:color w:val="231F20"/>
          <w:spacing w:val="-21"/>
          <w:w w:val="110"/>
        </w:rPr>
        <w:t> </w:t>
      </w:r>
      <w:r>
        <w:rPr>
          <w:color w:val="231F20"/>
          <w:w w:val="110"/>
        </w:rPr>
        <w:t>dinámica</w:t>
      </w:r>
      <w:r>
        <w:rPr>
          <w:color w:val="231F20"/>
          <w:spacing w:val="-21"/>
          <w:w w:val="110"/>
        </w:rPr>
        <w:t> </w:t>
      </w:r>
      <w:r>
        <w:rPr>
          <w:color w:val="231F20"/>
          <w:w w:val="110"/>
        </w:rPr>
        <w:t>económica</w:t>
      </w:r>
      <w:r>
        <w:rPr>
          <w:color w:val="231F20"/>
          <w:spacing w:val="-21"/>
          <w:w w:val="110"/>
        </w:rPr>
        <w:t> </w:t>
      </w:r>
      <w:r>
        <w:rPr>
          <w:color w:val="231F20"/>
          <w:w w:val="110"/>
        </w:rPr>
        <w:t>mostramos</w:t>
      </w:r>
      <w:r>
        <w:rPr>
          <w:color w:val="231F20"/>
          <w:spacing w:val="-21"/>
          <w:w w:val="110"/>
        </w:rPr>
        <w:t> </w:t>
      </w:r>
      <w:r>
        <w:rPr>
          <w:color w:val="231F20"/>
          <w:w w:val="110"/>
        </w:rPr>
        <w:t>el</w:t>
      </w:r>
      <w:r>
        <w:rPr>
          <w:color w:val="231F20"/>
          <w:spacing w:val="-21"/>
          <w:w w:val="110"/>
        </w:rPr>
        <w:t> </w:t>
      </w:r>
      <w:r>
        <w:rPr>
          <w:color w:val="231F20"/>
          <w:w w:val="110"/>
        </w:rPr>
        <w:t>gran</w:t>
      </w:r>
      <w:r>
        <w:rPr>
          <w:color w:val="231F20"/>
          <w:spacing w:val="-21"/>
          <w:w w:val="110"/>
        </w:rPr>
        <w:t> </w:t>
      </w:r>
      <w:r>
        <w:rPr>
          <w:color w:val="231F20"/>
          <w:w w:val="110"/>
        </w:rPr>
        <w:t>crecimiento de</w:t>
      </w:r>
      <w:r>
        <w:rPr>
          <w:color w:val="231F20"/>
          <w:spacing w:val="-21"/>
          <w:w w:val="110"/>
        </w:rPr>
        <w:t> </w:t>
      </w:r>
      <w:r>
        <w:rPr>
          <w:color w:val="231F20"/>
          <w:w w:val="110"/>
        </w:rPr>
        <w:t>las</w:t>
      </w:r>
      <w:r>
        <w:rPr>
          <w:color w:val="231F20"/>
          <w:spacing w:val="-21"/>
          <w:w w:val="110"/>
        </w:rPr>
        <w:t> </w:t>
      </w:r>
      <w:r>
        <w:rPr>
          <w:color w:val="231F20"/>
          <w:w w:val="110"/>
        </w:rPr>
        <w:t>inversiones</w:t>
      </w:r>
      <w:r>
        <w:rPr>
          <w:color w:val="231F20"/>
          <w:spacing w:val="-21"/>
          <w:w w:val="110"/>
        </w:rPr>
        <w:t> </w:t>
      </w:r>
      <w:r>
        <w:rPr>
          <w:color w:val="231F20"/>
          <w:w w:val="110"/>
        </w:rPr>
        <w:t>en</w:t>
      </w:r>
      <w:r>
        <w:rPr>
          <w:color w:val="231F20"/>
          <w:spacing w:val="-21"/>
          <w:w w:val="110"/>
        </w:rPr>
        <w:t> </w:t>
      </w:r>
      <w:r>
        <w:rPr>
          <w:color w:val="231F20"/>
          <w:w w:val="110"/>
        </w:rPr>
        <w:t>Estados</w:t>
      </w:r>
      <w:r>
        <w:rPr>
          <w:color w:val="231F20"/>
          <w:spacing w:val="-21"/>
          <w:w w:val="110"/>
        </w:rPr>
        <w:t> </w:t>
      </w:r>
      <w:r>
        <w:rPr>
          <w:color w:val="231F20"/>
          <w:w w:val="110"/>
        </w:rPr>
        <w:t>Unidos</w:t>
      </w:r>
      <w:r>
        <w:rPr>
          <w:color w:val="231F20"/>
          <w:spacing w:val="-21"/>
          <w:w w:val="110"/>
        </w:rPr>
        <w:t> </w:t>
      </w:r>
      <w:r>
        <w:rPr>
          <w:color w:val="231F20"/>
          <w:w w:val="110"/>
        </w:rPr>
        <w:t>desde</w:t>
      </w:r>
      <w:r>
        <w:rPr>
          <w:color w:val="231F20"/>
          <w:spacing w:val="-21"/>
          <w:w w:val="110"/>
        </w:rPr>
        <w:t> </w:t>
      </w:r>
      <w:r>
        <w:rPr>
          <w:color w:val="231F20"/>
          <w:w w:val="110"/>
        </w:rPr>
        <w:t>fines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años</w:t>
      </w:r>
      <w:r>
        <w:rPr>
          <w:color w:val="231F20"/>
          <w:spacing w:val="-21"/>
          <w:w w:val="110"/>
        </w:rPr>
        <w:t> </w:t>
      </w:r>
      <w:r>
        <w:rPr>
          <w:color w:val="231F20"/>
          <w:w w:val="110"/>
        </w:rPr>
        <w:t>cincuenta hasta inicios de 2004, fecha en que elaboramos dicho documento. Destacamos el gran crecimiento de la inversión a partir</w:t>
      </w:r>
      <w:r>
        <w:rPr>
          <w:color w:val="231F20"/>
          <w:spacing w:val="-11"/>
          <w:w w:val="110"/>
        </w:rPr>
        <w:t> </w:t>
      </w:r>
      <w:r>
        <w:rPr>
          <w:color w:val="231F20"/>
          <w:w w:val="110"/>
        </w:rPr>
        <w:t>de</w:t>
      </w:r>
      <w:r>
        <w:rPr>
          <w:color w:val="231F20"/>
          <w:spacing w:val="-2"/>
          <w:w w:val="110"/>
        </w:rPr>
        <w:t> </w:t>
      </w:r>
      <w:r>
        <w:rPr>
          <w:color w:val="231F20"/>
          <w:w w:val="110"/>
        </w:rPr>
        <w:t>mediados</w:t>
      </w:r>
      <w:r>
        <w:rPr>
          <w:color w:val="231F20"/>
          <w:spacing w:val="-1"/>
          <w:w w:val="109"/>
        </w:rPr>
        <w:t> </w:t>
      </w:r>
      <w:r>
        <w:rPr>
          <w:color w:val="231F20"/>
          <w:w w:val="110"/>
        </w:rPr>
        <w:t>de los años ochenta. Mostrando adicionalmente, el</w:t>
      </w:r>
      <w:r>
        <w:rPr>
          <w:color w:val="231F20"/>
          <w:spacing w:val="42"/>
          <w:w w:val="110"/>
        </w:rPr>
        <w:t> </w:t>
      </w:r>
      <w:r>
        <w:rPr>
          <w:color w:val="231F20"/>
          <w:w w:val="110"/>
        </w:rPr>
        <w:t>gran</w:t>
      </w:r>
      <w:r>
        <w:rPr>
          <w:color w:val="231F20"/>
          <w:spacing w:val="13"/>
          <w:w w:val="110"/>
        </w:rPr>
        <w:t> </w:t>
      </w:r>
      <w:r>
        <w:rPr>
          <w:color w:val="231F20"/>
          <w:w w:val="110"/>
        </w:rPr>
        <w:t>crecimien-</w:t>
      </w:r>
      <w:r>
        <w:rPr>
          <w:color w:val="231F20"/>
          <w:w w:val="72"/>
        </w:rPr>
        <w:t> </w:t>
      </w:r>
      <w:r>
        <w:rPr>
          <w:color w:val="231F20"/>
          <w:w w:val="110"/>
        </w:rPr>
        <w:t>to de las inversiones en equipo y maquinaria de alta tecnología, frente a un bajísimo crecimiento de las inversiones en los edificios de las empresas: “En síntesis, las grandes inversiones en equipo de alta tecnología, en vez de ampliar la base tecnológica existente, han reemplazado a los equipos anteriores usando las mismas estructuras físicas de las empresas, constituyendo otra característica esencial de la reestructuración en la economía estadunidense” (Caputo,</w:t>
      </w:r>
      <w:r>
        <w:rPr>
          <w:color w:val="231F20"/>
          <w:spacing w:val="36"/>
          <w:w w:val="110"/>
        </w:rPr>
        <w:t> </w:t>
      </w:r>
      <w:r>
        <w:rPr>
          <w:color w:val="231F20"/>
          <w:w w:val="110"/>
        </w:rPr>
        <w:t>2005).</w:t>
      </w:r>
    </w:p>
    <w:p>
      <w:pPr>
        <w:pStyle w:val="BodyText"/>
        <w:spacing w:line="261" w:lineRule="auto"/>
        <w:ind w:left="100" w:right="118" w:firstLine="240"/>
        <w:jc w:val="both"/>
      </w:pPr>
      <w:r>
        <w:rPr>
          <w:color w:val="231F20"/>
          <w:w w:val="110"/>
        </w:rPr>
        <w:t>Señalábamos también, la fuerte disminución de los precios de las maquinarias y equipo de alta tecnología y agregábamos:</w:t>
      </w:r>
    </w:p>
    <w:p>
      <w:pPr>
        <w:pStyle w:val="BodyText"/>
        <w:spacing w:before="4"/>
        <w:rPr>
          <w:sz w:val="23"/>
        </w:rPr>
      </w:pPr>
    </w:p>
    <w:p>
      <w:pPr>
        <w:spacing w:line="290" w:lineRule="auto" w:before="0"/>
        <w:ind w:left="100" w:right="117" w:firstLine="0"/>
        <w:jc w:val="both"/>
        <w:rPr>
          <w:sz w:val="18"/>
        </w:rPr>
      </w:pPr>
      <w:r>
        <w:rPr>
          <w:color w:val="231F20"/>
          <w:w w:val="110"/>
          <w:sz w:val="18"/>
        </w:rPr>
        <w:t>Desde el punto de vista de la economía política, esto significa una disminu- ción de una de las principales partes del capital constante, que Marx había previsto</w:t>
      </w:r>
      <w:r>
        <w:rPr>
          <w:color w:val="231F20"/>
          <w:spacing w:val="-7"/>
          <w:w w:val="110"/>
          <w:sz w:val="18"/>
        </w:rPr>
        <w:t> </w:t>
      </w:r>
      <w:r>
        <w:rPr>
          <w:color w:val="231F20"/>
          <w:w w:val="110"/>
          <w:sz w:val="18"/>
        </w:rPr>
        <w:t>junto</w:t>
      </w:r>
      <w:r>
        <w:rPr>
          <w:color w:val="231F20"/>
          <w:spacing w:val="-7"/>
          <w:w w:val="110"/>
          <w:sz w:val="18"/>
        </w:rPr>
        <w:t> </w:t>
      </w:r>
      <w:r>
        <w:rPr>
          <w:color w:val="231F20"/>
          <w:w w:val="110"/>
          <w:sz w:val="18"/>
        </w:rPr>
        <w:t>a</w:t>
      </w:r>
      <w:r>
        <w:rPr>
          <w:color w:val="231F20"/>
          <w:spacing w:val="-7"/>
          <w:w w:val="110"/>
          <w:sz w:val="18"/>
        </w:rPr>
        <w:t> </w:t>
      </w:r>
      <w:r>
        <w:rPr>
          <w:color w:val="231F20"/>
          <w:w w:val="110"/>
          <w:sz w:val="18"/>
        </w:rPr>
        <w:t>otras</w:t>
      </w:r>
      <w:r>
        <w:rPr>
          <w:color w:val="231F20"/>
          <w:spacing w:val="-7"/>
          <w:w w:val="110"/>
          <w:sz w:val="18"/>
        </w:rPr>
        <w:t> </w:t>
      </w:r>
      <w:r>
        <w:rPr>
          <w:color w:val="231F20"/>
          <w:w w:val="110"/>
          <w:sz w:val="18"/>
        </w:rPr>
        <w:t>modificaciones</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periodos</w:t>
      </w:r>
      <w:r>
        <w:rPr>
          <w:color w:val="231F20"/>
          <w:spacing w:val="-7"/>
          <w:w w:val="110"/>
          <w:sz w:val="18"/>
        </w:rPr>
        <w:t> </w:t>
      </w:r>
      <w:r>
        <w:rPr>
          <w:color w:val="231F20"/>
          <w:w w:val="110"/>
          <w:sz w:val="18"/>
        </w:rPr>
        <w:t>que</w:t>
      </w:r>
      <w:r>
        <w:rPr>
          <w:color w:val="231F20"/>
          <w:spacing w:val="-7"/>
          <w:w w:val="110"/>
          <w:sz w:val="18"/>
        </w:rPr>
        <w:t> </w:t>
      </w:r>
      <w:r>
        <w:rPr>
          <w:color w:val="231F20"/>
          <w:w w:val="110"/>
          <w:sz w:val="18"/>
        </w:rPr>
        <w:t>en</w:t>
      </w:r>
      <w:r>
        <w:rPr>
          <w:color w:val="231F20"/>
          <w:spacing w:val="-7"/>
          <w:w w:val="110"/>
          <w:sz w:val="18"/>
        </w:rPr>
        <w:t> </w:t>
      </w:r>
      <w:r>
        <w:rPr>
          <w:color w:val="231F20"/>
          <w:w w:val="110"/>
          <w:sz w:val="18"/>
        </w:rPr>
        <w:t>vez</w:t>
      </w:r>
      <w:r>
        <w:rPr>
          <w:color w:val="231F20"/>
          <w:spacing w:val="-7"/>
          <w:w w:val="110"/>
          <w:sz w:val="18"/>
        </w:rPr>
        <w:t> </w:t>
      </w:r>
      <w:r>
        <w:rPr>
          <w:color w:val="231F20"/>
          <w:w w:val="110"/>
          <w:sz w:val="18"/>
        </w:rPr>
        <w:t>de</w:t>
      </w:r>
      <w:r>
        <w:rPr>
          <w:color w:val="231F20"/>
          <w:spacing w:val="-7"/>
          <w:w w:val="110"/>
          <w:sz w:val="18"/>
        </w:rPr>
        <w:t> </w:t>
      </w:r>
      <w:r>
        <w:rPr>
          <w:color w:val="231F20"/>
          <w:w w:val="110"/>
          <w:sz w:val="18"/>
        </w:rPr>
        <w:t>producirse la tendencia decreciente de la tasa de ganancia, ésta empieza a  </w:t>
      </w:r>
      <w:r>
        <w:rPr>
          <w:color w:val="231F20"/>
          <w:spacing w:val="6"/>
          <w:w w:val="110"/>
          <w:sz w:val="18"/>
        </w:rPr>
        <w:t> </w:t>
      </w:r>
      <w:r>
        <w:rPr>
          <w:color w:val="231F20"/>
          <w:spacing w:val="-3"/>
          <w:w w:val="110"/>
          <w:sz w:val="18"/>
        </w:rPr>
        <w:t>crecer.</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pStyle w:val="BodyText"/>
        <w:spacing w:before="67"/>
        <w:ind w:left="100"/>
        <w:jc w:val="both"/>
      </w:pPr>
      <w:r>
        <w:rPr>
          <w:color w:val="231F20"/>
          <w:w w:val="130"/>
        </w:rPr>
        <w:t>la producción y la inversión de estados unidos</w:t>
      </w:r>
    </w:p>
    <w:p>
      <w:pPr>
        <w:pStyle w:val="BodyText"/>
        <w:spacing w:before="5"/>
        <w:rPr>
          <w:sz w:val="23"/>
        </w:rPr>
      </w:pPr>
    </w:p>
    <w:p>
      <w:pPr>
        <w:pStyle w:val="BodyText"/>
        <w:spacing w:line="261" w:lineRule="auto"/>
        <w:ind w:left="100" w:right="117"/>
        <w:jc w:val="both"/>
      </w:pPr>
      <w:r>
        <w:rPr>
          <w:color w:val="231F20"/>
          <w:w w:val="105"/>
        </w:rPr>
        <w:t>A continuación mostramos el crecimiento de la producción al  in-  terior de Estados Unidos en el periodo 1952-2009. Como se puede observar en la gráfica 1, la producción al interior de Estados Unidos “en dólares constantes”, ha tenido un gran crecimiento especialmen-   te</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últimos</w:t>
      </w:r>
      <w:r>
        <w:rPr>
          <w:color w:val="231F20"/>
          <w:spacing w:val="20"/>
          <w:w w:val="105"/>
        </w:rPr>
        <w:t> </w:t>
      </w:r>
      <w:r>
        <w:rPr>
          <w:color w:val="231F20"/>
          <w:w w:val="105"/>
        </w:rPr>
        <w:t>decenios</w:t>
      </w:r>
      <w:r>
        <w:rPr>
          <w:color w:val="231F20"/>
          <w:spacing w:val="20"/>
          <w:w w:val="105"/>
        </w:rPr>
        <w:t> </w:t>
      </w:r>
      <w:r>
        <w:rPr>
          <w:color w:val="231F20"/>
          <w:w w:val="105"/>
        </w:rPr>
        <w:t>y</w:t>
      </w:r>
      <w:r>
        <w:rPr>
          <w:color w:val="231F20"/>
          <w:spacing w:val="20"/>
          <w:w w:val="105"/>
        </w:rPr>
        <w:t> </w:t>
      </w:r>
      <w:r>
        <w:rPr>
          <w:color w:val="231F20"/>
          <w:w w:val="105"/>
        </w:rPr>
        <w:t>previo</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crisis</w:t>
      </w:r>
      <w:r>
        <w:rPr>
          <w:color w:val="231F20"/>
          <w:spacing w:val="20"/>
          <w:w w:val="105"/>
        </w:rPr>
        <w:t> </w:t>
      </w:r>
      <w:r>
        <w:rPr>
          <w:color w:val="231F20"/>
          <w:w w:val="105"/>
        </w:rPr>
        <w:t>actual.</w:t>
      </w:r>
    </w:p>
    <w:p>
      <w:pPr>
        <w:pStyle w:val="BodyText"/>
        <w:spacing w:before="4"/>
        <w:rPr>
          <w:sz w:val="23"/>
        </w:rPr>
      </w:pPr>
    </w:p>
    <w:p>
      <w:pPr>
        <w:spacing w:line="290" w:lineRule="auto" w:before="0"/>
        <w:ind w:left="100" w:right="771" w:firstLine="0"/>
        <w:jc w:val="left"/>
        <w:rPr>
          <w:sz w:val="18"/>
        </w:rPr>
      </w:pPr>
      <w:r>
        <w:rPr>
          <w:color w:val="231F20"/>
          <w:w w:val="125"/>
          <w:sz w:val="18"/>
        </w:rPr>
        <w:t>gráfica</w:t>
      </w:r>
      <w:r>
        <w:rPr>
          <w:color w:val="231F20"/>
          <w:spacing w:val="-22"/>
          <w:w w:val="125"/>
          <w:sz w:val="18"/>
        </w:rPr>
        <w:t> </w:t>
      </w:r>
      <w:r>
        <w:rPr>
          <w:color w:val="231F20"/>
          <w:w w:val="125"/>
          <w:sz w:val="18"/>
        </w:rPr>
        <w:t>1.</w:t>
      </w:r>
      <w:r>
        <w:rPr>
          <w:color w:val="231F20"/>
          <w:spacing w:val="-22"/>
          <w:w w:val="125"/>
          <w:sz w:val="18"/>
        </w:rPr>
        <w:t> </w:t>
      </w:r>
      <w:r>
        <w:rPr>
          <w:color w:val="231F20"/>
          <w:w w:val="125"/>
          <w:sz w:val="18"/>
        </w:rPr>
        <w:t>crecimiento</w:t>
      </w:r>
      <w:r>
        <w:rPr>
          <w:color w:val="231F20"/>
          <w:spacing w:val="-22"/>
          <w:w w:val="125"/>
          <w:sz w:val="18"/>
        </w:rPr>
        <w:t> </w:t>
      </w:r>
      <w:r>
        <w:rPr>
          <w:color w:val="231F20"/>
          <w:w w:val="125"/>
          <w:sz w:val="18"/>
        </w:rPr>
        <w:t>del</w:t>
      </w:r>
      <w:r>
        <w:rPr>
          <w:color w:val="231F20"/>
          <w:spacing w:val="-22"/>
          <w:w w:val="125"/>
          <w:sz w:val="18"/>
        </w:rPr>
        <w:t> </w:t>
      </w:r>
      <w:r>
        <w:rPr>
          <w:color w:val="231F20"/>
          <w:w w:val="125"/>
          <w:sz w:val="18"/>
        </w:rPr>
        <w:t>pib,</w:t>
      </w:r>
      <w:r>
        <w:rPr>
          <w:color w:val="231F20"/>
          <w:spacing w:val="-22"/>
          <w:w w:val="125"/>
          <w:sz w:val="18"/>
        </w:rPr>
        <w:t> </w:t>
      </w:r>
      <w:r>
        <w:rPr>
          <w:color w:val="231F20"/>
          <w:w w:val="125"/>
          <w:sz w:val="18"/>
        </w:rPr>
        <w:t>estados</w:t>
      </w:r>
      <w:r>
        <w:rPr>
          <w:color w:val="231F20"/>
          <w:spacing w:val="-22"/>
          <w:w w:val="125"/>
          <w:sz w:val="18"/>
        </w:rPr>
        <w:t> </w:t>
      </w:r>
      <w:r>
        <w:rPr>
          <w:color w:val="231F20"/>
          <w:w w:val="125"/>
          <w:sz w:val="18"/>
        </w:rPr>
        <w:t>unidos,</w:t>
      </w:r>
      <w:r>
        <w:rPr>
          <w:color w:val="231F20"/>
          <w:spacing w:val="-22"/>
          <w:w w:val="125"/>
          <w:sz w:val="18"/>
        </w:rPr>
        <w:t> </w:t>
      </w:r>
      <w:r>
        <w:rPr>
          <w:color w:val="231F20"/>
          <w:w w:val="125"/>
          <w:sz w:val="18"/>
        </w:rPr>
        <w:t>1952-2009</w:t>
      </w:r>
      <w:r>
        <w:rPr>
          <w:color w:val="231F20"/>
          <w:spacing w:val="-22"/>
          <w:w w:val="125"/>
          <w:sz w:val="18"/>
        </w:rPr>
        <w:t> </w:t>
      </w:r>
      <w:r>
        <w:rPr>
          <w:color w:val="231F20"/>
          <w:w w:val="125"/>
          <w:sz w:val="18"/>
        </w:rPr>
        <w:t>(en dólares constantes de</w:t>
      </w:r>
      <w:r>
        <w:rPr>
          <w:color w:val="231F20"/>
          <w:spacing w:val="16"/>
          <w:w w:val="125"/>
          <w:sz w:val="18"/>
        </w:rPr>
        <w:t> </w:t>
      </w:r>
      <w:r>
        <w:rPr>
          <w:color w:val="231F20"/>
          <w:w w:val="125"/>
          <w:sz w:val="18"/>
        </w:rPr>
        <w:t>2005)</w:t>
      </w:r>
    </w:p>
    <w:p>
      <w:pPr>
        <w:spacing w:before="136"/>
        <w:ind w:left="226" w:right="25" w:firstLine="0"/>
        <w:jc w:val="left"/>
        <w:rPr>
          <w:rFonts w:ascii="Plantagenet Cherokee" w:hAnsi="Plantagenet Cherokee"/>
          <w:sz w:val="16"/>
        </w:rPr>
      </w:pPr>
      <w:r>
        <w:rPr/>
        <w:pict>
          <v:group style="position:absolute;margin-left:83.519798pt;margin-top:10.848843pt;width:253.15pt;height:98.5pt;mso-position-horizontal-relative:page;mso-position-vertical-relative:paragraph;z-index:1264" coordorigin="1670,217" coordsize="5063,1970">
            <v:shape style="position:absolute;left:1675;top:222;width:5053;height:1935" coordorigin="1675,222" coordsize="5053,1935" path="m1676,222l1675,2157,6728,2156e" filled="false" stroked="true" strokeweight=".5pt" strokecolor="#231f20">
              <v:path arrowok="t"/>
            </v:shape>
            <v:line style="position:absolute" from="1682,257" to="6708,257" stroked="true" strokeweight=".5pt" strokecolor="#a7a9ac"/>
            <v:line style="position:absolute" from="1682,575" to="6708,575" stroked="true" strokeweight=".5pt" strokecolor="#a7a9ac"/>
            <v:line style="position:absolute" from="1682,893" to="6708,893" stroked="true" strokeweight=".5pt" strokecolor="#a7a9ac"/>
            <v:line style="position:absolute" from="1682,1211" to="6708,1211" stroked="true" strokeweight=".5pt" strokecolor="#a7a9ac"/>
            <v:line style="position:absolute" from="1682,1517" to="6708,1517" stroked="true" strokeweight=".5pt" strokecolor="#a7a9ac"/>
            <v:line style="position:absolute" from="1682,1837" to="6708,1837" stroked="true" strokeweight=".5pt" strokecolor="#a7a9ac"/>
            <v:line style="position:absolute" from="1697,2134" to="1757,2134" stroked="true" strokeweight="2.25pt" strokecolor="#939598"/>
            <v:line style="position:absolute" from="1787,2128" to="1847,2128" stroked="true" strokeweight="2.852pt" strokecolor="#939598"/>
            <v:line style="position:absolute" from="1877,2126" to="1937,2126" stroked="true" strokeweight="3.141pt" strokecolor="#939598"/>
            <v:shape style="position:absolute;left:1996;top:372;width:4662;height:1785" coordorigin="1996,372" coordsize="4662,1785" path="m1996,2073l1996,2157m2086,2049l2086,2157m2176,2049l2176,2157m2265,2049l2265,2157m2355,2032l2355,2157m2444,2025l2444,2157m2534,1999l2534,2157m2624,1974l2624,2157m2713,1942l2713,2157m2803,1919l2803,2157m2893,1884l2893,2157m2982,1858l2982,2157m3072,1827l3072,2157m3162,1807l3162,2157m3251,1806l3251,2157m3341,1783l3341,2157m3430,1746l3430,2157m3520,1684l3520,2157m3610,1698l3610,2157m3699,1702l3699,2157m3789,1679l3789,2157m3879,1638l3879,2157m3968,1583l3968,2157m4058,1552l4058,2157m4148,1553l4148,2157m4237,1518l4237,2157m4327,1548l4327,2157m4416,1506l4416,2157m4506,1429l4506,2157m4596,1392l4596,2157m4685,1346l4685,2157m4775,1310l4775,2157m4865,1258l4865,2157m4954,1216l4954,2157m5044,1189l5044,2157m5134,1189l5134,2157m5223,1164l5223,2157m5313,1105l5313,2157m5402,1072l5402,2157m5492,1012l5492,2157m5582,948l5582,2157m5671,887l5671,2157m5761,814l5761,2157m5851,740l5851,2157m5940,685l5940,2157m6030,661l6030,2157m6120,629l6120,2157m6209,575l6209,2157m6299,502l6299,2157m6388,442l6388,2157m6478,384l6478,2157m6568,372l6568,2157m6657,422l6657,2157e" filled="false" stroked="true" strokeweight="3pt" strokecolor="#939598">
              <v:path arrowok="t"/>
            </v:shape>
            <w10:wrap type="none"/>
          </v:group>
        </w:pict>
      </w:r>
      <w:r>
        <w:rPr>
          <w:rFonts w:ascii="Plantagenet Cherokee" w:hAnsi="Plantagenet Cherokee"/>
          <w:color w:val="231F20"/>
          <w:sz w:val="16"/>
        </w:rPr>
        <w:t>14 000 —</w:t>
      </w:r>
    </w:p>
    <w:p>
      <w:pPr>
        <w:spacing w:before="102"/>
        <w:ind w:left="226" w:right="25" w:firstLine="0"/>
        <w:jc w:val="left"/>
        <w:rPr>
          <w:rFonts w:ascii="Plantagenet Cherokee" w:hAnsi="Plantagenet Cherokee"/>
          <w:sz w:val="16"/>
        </w:rPr>
      </w:pPr>
      <w:r>
        <w:rPr>
          <w:rFonts w:ascii="Plantagenet Cherokee" w:hAnsi="Plantagenet Cherokee"/>
          <w:color w:val="231F20"/>
          <w:sz w:val="16"/>
        </w:rPr>
        <w:t>12 000 —</w:t>
      </w:r>
    </w:p>
    <w:p>
      <w:pPr>
        <w:spacing w:before="102"/>
        <w:ind w:left="226" w:right="25" w:firstLine="0"/>
        <w:jc w:val="left"/>
        <w:rPr>
          <w:rFonts w:ascii="Plantagenet Cherokee" w:hAnsi="Plantagenet Cherokee"/>
          <w:sz w:val="16"/>
        </w:rPr>
      </w:pPr>
      <w:r>
        <w:rPr>
          <w:rFonts w:ascii="Plantagenet Cherokee" w:hAnsi="Plantagenet Cherokee"/>
          <w:color w:val="231F20"/>
          <w:sz w:val="16"/>
        </w:rPr>
        <w:t>10 000 —</w:t>
      </w:r>
    </w:p>
    <w:p>
      <w:pPr>
        <w:spacing w:before="102"/>
        <w:ind w:left="309" w:right="25" w:firstLine="0"/>
        <w:jc w:val="left"/>
        <w:rPr>
          <w:rFonts w:ascii="Plantagenet Cherokee" w:hAnsi="Plantagenet Cherokee"/>
          <w:sz w:val="16"/>
        </w:rPr>
      </w:pPr>
      <w:r>
        <w:rPr>
          <w:rFonts w:ascii="Plantagenet Cherokee" w:hAnsi="Plantagenet Cherokee"/>
          <w:color w:val="231F20"/>
          <w:sz w:val="16"/>
        </w:rPr>
        <w:t>8 000 —</w:t>
      </w:r>
    </w:p>
    <w:p>
      <w:pPr>
        <w:spacing w:before="102"/>
        <w:ind w:left="309" w:right="25" w:firstLine="0"/>
        <w:jc w:val="left"/>
        <w:rPr>
          <w:rFonts w:ascii="Plantagenet Cherokee" w:hAnsi="Plantagenet Cherokee"/>
          <w:sz w:val="16"/>
        </w:rPr>
      </w:pPr>
      <w:r>
        <w:rPr>
          <w:rFonts w:ascii="Plantagenet Cherokee" w:hAnsi="Plantagenet Cherokee"/>
          <w:color w:val="231F20"/>
          <w:sz w:val="16"/>
        </w:rPr>
        <w:t>6 000 —</w:t>
      </w:r>
    </w:p>
    <w:p>
      <w:pPr>
        <w:spacing w:before="102"/>
        <w:ind w:left="309" w:right="25" w:firstLine="0"/>
        <w:jc w:val="left"/>
        <w:rPr>
          <w:rFonts w:ascii="Plantagenet Cherokee" w:hAnsi="Plantagenet Cherokee"/>
          <w:sz w:val="16"/>
        </w:rPr>
      </w:pPr>
      <w:r>
        <w:rPr>
          <w:rFonts w:ascii="Plantagenet Cherokee" w:hAnsi="Plantagenet Cherokee"/>
          <w:color w:val="231F20"/>
          <w:sz w:val="16"/>
        </w:rPr>
        <w:t>4 000 —</w:t>
      </w:r>
    </w:p>
    <w:p>
      <w:pPr>
        <w:spacing w:before="102"/>
        <w:ind w:left="309" w:right="25" w:firstLine="0"/>
        <w:jc w:val="left"/>
        <w:rPr>
          <w:rFonts w:ascii="Plantagenet Cherokee" w:hAnsi="Plantagenet Cherokee"/>
          <w:sz w:val="16"/>
        </w:rPr>
      </w:pPr>
      <w:r>
        <w:rPr/>
        <w:pict>
          <v:shape style="position:absolute;margin-left:78.291595pt;margin-top:15.911442pt;width:10pt;height:28.75pt;mso-position-horizontal-relative:page;mso-position-vertical-relative:paragraph;z-index:128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1952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96.291595pt;margin-top:15.911442pt;width:10pt;height:28.75pt;mso-position-horizontal-relative:page;mso-position-vertical-relative:paragraph;z-index:131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1956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14.291595pt;margin-top:15.911442pt;width:10pt;height:28.75pt;mso-position-horizontal-relative:page;mso-position-vertical-relative:paragraph;z-index:133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32.291595pt;margin-top:15.911442pt;width:10pt;height:28.75pt;mso-position-horizontal-relative:page;mso-position-vertical-relative:paragraph;z-index:136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50.291595pt;margin-top:15.911442pt;width:10pt;height:28.75pt;mso-position-horizontal-relative:page;mso-position-vertical-relative:paragraph;z-index:138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68.291595pt;margin-top:16.903442pt;width:10pt;height:28.75pt;mso-position-horizontal-relative:page;mso-position-vertical-relative:paragraph;z-index:140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1972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86.291595pt;margin-top:15.911442pt;width:10pt;height:28.75pt;mso-position-horizontal-relative:page;mso-position-vertical-relative:paragraph;z-index:143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1976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04.291595pt;margin-top:15.911441pt;width:10pt;height:28.75pt;mso-position-horizontal-relative:page;mso-position-vertical-relative:paragraph;z-index:145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22.291595pt;margin-top:15.911441pt;width:10pt;height:28.75pt;mso-position-horizontal-relative:page;mso-position-vertical-relative:paragraph;z-index:148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40.291595pt;margin-top:15.911441pt;width:10pt;height:28.75pt;mso-position-horizontal-relative:page;mso-position-vertical-relative:paragraph;z-index:150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58.291595pt;margin-top:15.911441pt;width:10pt;height:28.75pt;mso-position-horizontal-relative:page;mso-position-vertical-relative:paragraph;z-index:152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1992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76.291595pt;margin-top:15.911441pt;width:10pt;height:28.75pt;mso-position-horizontal-relative:page;mso-position-vertical-relative:paragraph;z-index:155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1996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94.291595pt;margin-top:15.911441pt;width:10pt;height:28.75pt;mso-position-horizontal-relative:page;mso-position-vertical-relative:paragraph;z-index:157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312.291595pt;margin-top:15.911441pt;width:10pt;height:28.75pt;mso-position-horizontal-relative:page;mso-position-vertical-relative:paragraph;z-index:160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330.291595pt;margin-top:15.911441pt;width:10pt;height:28.75pt;mso-position-horizontal-relative:page;mso-position-vertical-relative:paragraph;z-index:162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rFonts w:ascii="Plantagenet Cherokee" w:hAnsi="Plantagenet Cherokee"/>
          <w:color w:val="231F20"/>
          <w:sz w:val="16"/>
        </w:rPr>
        <w:t>2 000 —</w:t>
      </w:r>
    </w:p>
    <w:p>
      <w:pPr>
        <w:pStyle w:val="BodyText"/>
        <w:rPr>
          <w:rFonts w:ascii="Plantagenet Cherokee"/>
        </w:rPr>
      </w:pPr>
    </w:p>
    <w:p>
      <w:pPr>
        <w:pStyle w:val="BodyText"/>
        <w:rPr>
          <w:rFonts w:ascii="Plantagenet Cherokee"/>
        </w:rPr>
      </w:pPr>
    </w:p>
    <w:p>
      <w:pPr>
        <w:pStyle w:val="BodyText"/>
        <w:spacing w:before="6"/>
        <w:rPr>
          <w:rFonts w:ascii="Plantagenet Cherokee"/>
          <w:sz w:val="18"/>
        </w:rPr>
      </w:pPr>
    </w:p>
    <w:p>
      <w:pPr>
        <w:spacing w:line="276" w:lineRule="auto" w:before="0"/>
        <w:ind w:left="100" w:right="103" w:firstLine="0"/>
        <w:jc w:val="left"/>
        <w:rPr>
          <w:sz w:val="18"/>
        </w:rPr>
      </w:pPr>
      <w:r>
        <w:rPr>
          <w:rFonts w:ascii="Calibri"/>
          <w:color w:val="231F20"/>
          <w:w w:val="110"/>
          <w:sz w:val="18"/>
        </w:rPr>
        <w:t>fuente: </w:t>
      </w:r>
      <w:r>
        <w:rPr>
          <w:color w:val="231F20"/>
          <w:w w:val="110"/>
          <w:sz w:val="18"/>
        </w:rPr>
        <w:t>Departamento de Comercio de Estados Unidos. Cifras revisadas al </w:t>
      </w:r>
      <w:r>
        <w:rPr>
          <w:color w:val="231F20"/>
          <w:w w:val="105"/>
          <w:sz w:val="18"/>
        </w:rPr>
        <w:t>27 de mayo de 2010, </w:t>
      </w:r>
      <w:hyperlink r:id="rId80">
        <w:r>
          <w:rPr>
            <w:color w:val="231F20"/>
            <w:w w:val="105"/>
            <w:sz w:val="18"/>
          </w:rPr>
          <w:t>&lt;www.bea.gov&gt;.</w:t>
        </w:r>
      </w:hyperlink>
    </w:p>
    <w:p>
      <w:pPr>
        <w:pStyle w:val="BodyText"/>
        <w:spacing w:before="2"/>
        <w:rPr>
          <w:sz w:val="21"/>
        </w:rPr>
      </w:pPr>
    </w:p>
    <w:p>
      <w:pPr>
        <w:pStyle w:val="BodyText"/>
        <w:spacing w:line="261" w:lineRule="auto" w:before="1"/>
        <w:ind w:left="100" w:right="117" w:firstLine="240"/>
        <w:jc w:val="both"/>
      </w:pPr>
      <w:r>
        <w:rPr>
          <w:color w:val="231F20"/>
          <w:w w:val="110"/>
        </w:rPr>
        <w:t>Otro tanto ha sucedido con la inversión privada en Estados Uni- dos. El crecimiento ha sido muy significativo, especialmente a</w:t>
      </w:r>
      <w:r>
        <w:rPr>
          <w:color w:val="231F20"/>
          <w:spacing w:val="-35"/>
          <w:w w:val="110"/>
        </w:rPr>
        <w:t> </w:t>
      </w:r>
      <w:r>
        <w:rPr>
          <w:color w:val="231F20"/>
          <w:w w:val="110"/>
        </w:rPr>
        <w:t>partir de la crisis de inicios de los años ochenta, como resultado de la globalización</w:t>
      </w:r>
      <w:r>
        <w:rPr>
          <w:color w:val="231F20"/>
          <w:spacing w:val="-23"/>
          <w:w w:val="110"/>
        </w:rPr>
        <w:t> </w:t>
      </w:r>
      <w:r>
        <w:rPr>
          <w:color w:val="231F20"/>
          <w:w w:val="110"/>
        </w:rPr>
        <w:t>y</w:t>
      </w:r>
      <w:r>
        <w:rPr>
          <w:color w:val="231F20"/>
          <w:spacing w:val="-23"/>
          <w:w w:val="110"/>
        </w:rPr>
        <w:t> </w:t>
      </w:r>
      <w:r>
        <w:rPr>
          <w:color w:val="231F20"/>
          <w:w w:val="110"/>
        </w:rPr>
        <w:t>del</w:t>
      </w:r>
      <w:r>
        <w:rPr>
          <w:color w:val="231F20"/>
          <w:spacing w:val="-23"/>
          <w:w w:val="110"/>
        </w:rPr>
        <w:t> </w:t>
      </w:r>
      <w:r>
        <w:rPr>
          <w:color w:val="231F20"/>
          <w:w w:val="110"/>
        </w:rPr>
        <w:t>neoliberalismo</w:t>
      </w:r>
      <w:r>
        <w:rPr>
          <w:color w:val="231F20"/>
          <w:spacing w:val="-23"/>
          <w:w w:val="110"/>
        </w:rPr>
        <w:t> </w:t>
      </w:r>
      <w:r>
        <w:rPr>
          <w:color w:val="231F20"/>
          <w:w w:val="110"/>
        </w:rPr>
        <w:t>que</w:t>
      </w:r>
      <w:r>
        <w:rPr>
          <w:color w:val="231F20"/>
          <w:spacing w:val="-23"/>
          <w:w w:val="110"/>
        </w:rPr>
        <w:t> </w:t>
      </w:r>
      <w:r>
        <w:rPr>
          <w:color w:val="231F20"/>
          <w:w w:val="110"/>
        </w:rPr>
        <w:t>favoreció</w:t>
      </w:r>
      <w:r>
        <w:rPr>
          <w:color w:val="231F20"/>
          <w:spacing w:val="-23"/>
          <w:w w:val="110"/>
        </w:rPr>
        <w:t> </w:t>
      </w:r>
      <w:r>
        <w:rPr>
          <w:color w:val="231F20"/>
          <w:w w:val="110"/>
        </w:rPr>
        <w:t>a</w:t>
      </w:r>
      <w:r>
        <w:rPr>
          <w:color w:val="231F20"/>
          <w:spacing w:val="-23"/>
          <w:w w:val="110"/>
        </w:rPr>
        <w:t> </w:t>
      </w:r>
      <w:r>
        <w:rPr>
          <w:color w:val="231F20"/>
          <w:w w:val="110"/>
        </w:rPr>
        <w:t>las</w:t>
      </w:r>
      <w:r>
        <w:rPr>
          <w:color w:val="231F20"/>
          <w:spacing w:val="-23"/>
          <w:w w:val="110"/>
        </w:rPr>
        <w:t> </w:t>
      </w:r>
      <w:r>
        <w:rPr>
          <w:color w:val="231F20"/>
          <w:w w:val="110"/>
        </w:rPr>
        <w:t>inversiones</w:t>
      </w:r>
      <w:r>
        <w:rPr>
          <w:color w:val="231F20"/>
          <w:spacing w:val="-23"/>
          <w:w w:val="110"/>
        </w:rPr>
        <w:t> </w:t>
      </w:r>
      <w:r>
        <w:rPr>
          <w:color w:val="231F20"/>
          <w:w w:val="110"/>
        </w:rPr>
        <w:t>em- presariales.</w:t>
      </w:r>
      <w:r>
        <w:rPr>
          <w:color w:val="231F20"/>
          <w:spacing w:val="-15"/>
          <w:w w:val="110"/>
        </w:rPr>
        <w:t> </w:t>
      </w:r>
      <w:r>
        <w:rPr>
          <w:color w:val="231F20"/>
          <w:w w:val="110"/>
        </w:rPr>
        <w:t>Este</w:t>
      </w:r>
      <w:r>
        <w:rPr>
          <w:color w:val="231F20"/>
          <w:spacing w:val="-15"/>
          <w:w w:val="110"/>
        </w:rPr>
        <w:t> </w:t>
      </w:r>
      <w:r>
        <w:rPr>
          <w:color w:val="231F20"/>
          <w:w w:val="110"/>
        </w:rPr>
        <w:t>gran</w:t>
      </w:r>
      <w:r>
        <w:rPr>
          <w:color w:val="231F20"/>
          <w:spacing w:val="-15"/>
          <w:w w:val="110"/>
        </w:rPr>
        <w:t> </w:t>
      </w:r>
      <w:r>
        <w:rPr>
          <w:color w:val="231F20"/>
          <w:w w:val="110"/>
        </w:rPr>
        <w:t>crecimiento</w:t>
      </w:r>
      <w:r>
        <w:rPr>
          <w:color w:val="231F20"/>
          <w:spacing w:val="-15"/>
          <w:w w:val="110"/>
        </w:rPr>
        <w:t> </w:t>
      </w:r>
      <w:r>
        <w:rPr>
          <w:color w:val="231F20"/>
          <w:w w:val="110"/>
        </w:rPr>
        <w:t>está</w:t>
      </w:r>
      <w:r>
        <w:rPr>
          <w:color w:val="231F20"/>
          <w:spacing w:val="-15"/>
          <w:w w:val="110"/>
        </w:rPr>
        <w:t> </w:t>
      </w:r>
      <w:r>
        <w:rPr>
          <w:color w:val="231F20"/>
          <w:w w:val="110"/>
        </w:rPr>
        <w:t>asociado</w:t>
      </w:r>
      <w:r>
        <w:rPr>
          <w:color w:val="231F20"/>
          <w:spacing w:val="-15"/>
          <w:w w:val="110"/>
        </w:rPr>
        <w:t> </w:t>
      </w:r>
      <w:r>
        <w:rPr>
          <w:color w:val="231F20"/>
          <w:w w:val="110"/>
        </w:rPr>
        <w:t>a</w:t>
      </w:r>
      <w:r>
        <w:rPr>
          <w:color w:val="231F20"/>
          <w:spacing w:val="-15"/>
          <w:w w:val="110"/>
        </w:rPr>
        <w:t> </w:t>
      </w:r>
      <w:r>
        <w:rPr>
          <w:color w:val="231F20"/>
          <w:w w:val="110"/>
        </w:rPr>
        <w:t>un</w:t>
      </w:r>
      <w:r>
        <w:rPr>
          <w:color w:val="231F20"/>
          <w:spacing w:val="-15"/>
          <w:w w:val="110"/>
        </w:rPr>
        <w:t> </w:t>
      </w:r>
      <w:r>
        <w:rPr>
          <w:color w:val="231F20"/>
          <w:w w:val="110"/>
        </w:rPr>
        <w:t>comportamiento cíclico muy acentuado. En el auge muestra un gran crecimiento y</w:t>
      </w:r>
      <w:r>
        <w:rPr>
          <w:color w:val="231F20"/>
          <w:spacing w:val="-16"/>
          <w:w w:val="110"/>
        </w:rPr>
        <w:t> </w:t>
      </w:r>
      <w:r>
        <w:rPr>
          <w:color w:val="231F20"/>
          <w:w w:val="110"/>
        </w:rPr>
        <w:t>en la</w:t>
      </w:r>
      <w:r>
        <w:rPr>
          <w:color w:val="231F20"/>
          <w:spacing w:val="-6"/>
          <w:w w:val="110"/>
        </w:rPr>
        <w:t> </w:t>
      </w:r>
      <w:r>
        <w:rPr>
          <w:color w:val="231F20"/>
          <w:w w:val="110"/>
        </w:rPr>
        <w:t>crisis</w:t>
      </w:r>
      <w:r>
        <w:rPr>
          <w:color w:val="231F20"/>
          <w:spacing w:val="-6"/>
          <w:w w:val="110"/>
        </w:rPr>
        <w:t> </w:t>
      </w:r>
      <w:r>
        <w:rPr>
          <w:color w:val="231F20"/>
          <w:w w:val="110"/>
        </w:rPr>
        <w:t>muestra</w:t>
      </w:r>
      <w:r>
        <w:rPr>
          <w:color w:val="231F20"/>
          <w:spacing w:val="-6"/>
          <w:w w:val="110"/>
        </w:rPr>
        <w:t> </w:t>
      </w:r>
      <w:r>
        <w:rPr>
          <w:color w:val="231F20"/>
          <w:w w:val="110"/>
        </w:rPr>
        <w:t>una</w:t>
      </w:r>
      <w:r>
        <w:rPr>
          <w:color w:val="231F20"/>
          <w:spacing w:val="-6"/>
          <w:w w:val="110"/>
        </w:rPr>
        <w:t> </w:t>
      </w:r>
      <w:r>
        <w:rPr>
          <w:color w:val="231F20"/>
          <w:w w:val="110"/>
        </w:rPr>
        <w:t>profunda</w:t>
      </w:r>
      <w:r>
        <w:rPr>
          <w:color w:val="231F20"/>
          <w:spacing w:val="-6"/>
          <w:w w:val="110"/>
        </w:rPr>
        <w:t> </w:t>
      </w:r>
      <w:r>
        <w:rPr>
          <w:color w:val="231F20"/>
          <w:w w:val="110"/>
        </w:rPr>
        <w:t>caída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inversión.</w:t>
      </w:r>
      <w:r>
        <w:rPr>
          <w:color w:val="231F20"/>
          <w:spacing w:val="-6"/>
          <w:w w:val="110"/>
        </w:rPr>
        <w:t> </w:t>
      </w:r>
      <w:r>
        <w:rPr>
          <w:color w:val="231F20"/>
          <w:w w:val="110"/>
        </w:rPr>
        <w:t>Si</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inversión privada</w:t>
      </w:r>
      <w:r>
        <w:rPr>
          <w:color w:val="231F20"/>
          <w:spacing w:val="-9"/>
          <w:w w:val="110"/>
        </w:rPr>
        <w:t> </w:t>
      </w:r>
      <w:r>
        <w:rPr>
          <w:color w:val="231F20"/>
          <w:w w:val="110"/>
        </w:rPr>
        <w:t>se</w:t>
      </w:r>
      <w:r>
        <w:rPr>
          <w:color w:val="231F20"/>
          <w:spacing w:val="-9"/>
          <w:w w:val="110"/>
        </w:rPr>
        <w:t> </w:t>
      </w:r>
      <w:r>
        <w:rPr>
          <w:color w:val="231F20"/>
          <w:w w:val="110"/>
        </w:rPr>
        <w:t>agrega</w:t>
      </w:r>
      <w:r>
        <w:rPr>
          <w:color w:val="231F20"/>
          <w:spacing w:val="-9"/>
          <w:w w:val="110"/>
        </w:rPr>
        <w:t> </w:t>
      </w:r>
      <w:r>
        <w:rPr>
          <w:color w:val="231F20"/>
          <w:w w:val="110"/>
        </w:rPr>
        <w:t>la</w:t>
      </w:r>
      <w:r>
        <w:rPr>
          <w:color w:val="231F20"/>
          <w:spacing w:val="-9"/>
          <w:w w:val="110"/>
        </w:rPr>
        <w:t> </w:t>
      </w:r>
      <w:r>
        <w:rPr>
          <w:color w:val="231F20"/>
          <w:w w:val="110"/>
        </w:rPr>
        <w:t>inversión</w:t>
      </w:r>
      <w:r>
        <w:rPr>
          <w:color w:val="231F20"/>
          <w:spacing w:val="-9"/>
          <w:w w:val="110"/>
        </w:rPr>
        <w:t> </w:t>
      </w:r>
      <w:r>
        <w:rPr>
          <w:color w:val="231F20"/>
          <w:w w:val="110"/>
        </w:rPr>
        <w:t>pública,</w:t>
      </w:r>
      <w:r>
        <w:rPr>
          <w:color w:val="231F20"/>
          <w:spacing w:val="-9"/>
          <w:w w:val="110"/>
        </w:rPr>
        <w:t> </w:t>
      </w:r>
      <w:r>
        <w:rPr>
          <w:color w:val="231F20"/>
          <w:w w:val="110"/>
        </w:rPr>
        <w:t>la</w:t>
      </w:r>
      <w:r>
        <w:rPr>
          <w:color w:val="231F20"/>
          <w:spacing w:val="-9"/>
          <w:w w:val="110"/>
        </w:rPr>
        <w:t> </w:t>
      </w:r>
      <w:r>
        <w:rPr>
          <w:color w:val="231F20"/>
          <w:w w:val="110"/>
        </w:rPr>
        <w:t>inversión</w:t>
      </w:r>
      <w:r>
        <w:rPr>
          <w:color w:val="231F20"/>
          <w:spacing w:val="-9"/>
          <w:w w:val="110"/>
        </w:rPr>
        <w:t> </w:t>
      </w:r>
      <w:r>
        <w:rPr>
          <w:color w:val="231F20"/>
          <w:w w:val="110"/>
        </w:rPr>
        <w:t>global</w:t>
      </w:r>
      <w:r>
        <w:rPr>
          <w:color w:val="231F20"/>
          <w:spacing w:val="-9"/>
          <w:w w:val="110"/>
        </w:rPr>
        <w:t> </w:t>
      </w:r>
      <w:r>
        <w:rPr>
          <w:color w:val="231F20"/>
          <w:w w:val="110"/>
        </w:rPr>
        <w:t>de</w:t>
      </w:r>
      <w:r>
        <w:rPr>
          <w:color w:val="231F20"/>
          <w:spacing w:val="-9"/>
          <w:w w:val="110"/>
        </w:rPr>
        <w:t> </w:t>
      </w:r>
      <w:r>
        <w:rPr>
          <w:color w:val="231F20"/>
          <w:w w:val="110"/>
        </w:rPr>
        <w:t>Estados Unidos</w:t>
      </w:r>
      <w:r>
        <w:rPr>
          <w:color w:val="231F20"/>
          <w:spacing w:val="-17"/>
          <w:w w:val="110"/>
        </w:rPr>
        <w:t> </w:t>
      </w:r>
      <w:r>
        <w:rPr>
          <w:color w:val="231F20"/>
          <w:w w:val="110"/>
        </w:rPr>
        <w:t>por</w:t>
      </w:r>
      <w:r>
        <w:rPr>
          <w:color w:val="231F20"/>
          <w:spacing w:val="-17"/>
          <w:w w:val="110"/>
        </w:rPr>
        <w:t> </w:t>
      </w:r>
      <w:r>
        <w:rPr>
          <w:color w:val="231F20"/>
          <w:w w:val="110"/>
        </w:rPr>
        <w:t>varios</w:t>
      </w:r>
      <w:r>
        <w:rPr>
          <w:color w:val="231F20"/>
          <w:spacing w:val="-17"/>
          <w:w w:val="110"/>
        </w:rPr>
        <w:t> </w:t>
      </w:r>
      <w:r>
        <w:rPr>
          <w:color w:val="231F20"/>
          <w:w w:val="110"/>
        </w:rPr>
        <w:t>años</w:t>
      </w:r>
      <w:r>
        <w:rPr>
          <w:color w:val="231F20"/>
          <w:spacing w:val="-17"/>
          <w:w w:val="110"/>
        </w:rPr>
        <w:t> </w:t>
      </w:r>
      <w:r>
        <w:rPr>
          <w:color w:val="231F20"/>
          <w:w w:val="110"/>
        </w:rPr>
        <w:t>ha</w:t>
      </w:r>
      <w:r>
        <w:rPr>
          <w:color w:val="231F20"/>
          <w:spacing w:val="-17"/>
          <w:w w:val="110"/>
        </w:rPr>
        <w:t> </w:t>
      </w:r>
      <w:r>
        <w:rPr>
          <w:color w:val="231F20"/>
          <w:w w:val="110"/>
        </w:rPr>
        <w:t>sido</w:t>
      </w:r>
      <w:r>
        <w:rPr>
          <w:color w:val="231F20"/>
          <w:spacing w:val="-17"/>
          <w:w w:val="110"/>
        </w:rPr>
        <w:t> </w:t>
      </w:r>
      <w:r>
        <w:rPr>
          <w:color w:val="231F20"/>
          <w:w w:val="110"/>
        </w:rPr>
        <w:t>superior</w:t>
      </w:r>
      <w:r>
        <w:rPr>
          <w:color w:val="231F20"/>
          <w:spacing w:val="-17"/>
          <w:w w:val="110"/>
        </w:rPr>
        <w:t> </w:t>
      </w:r>
      <w:r>
        <w:rPr>
          <w:color w:val="231F20"/>
          <w:w w:val="110"/>
        </w:rPr>
        <w:t>al</w:t>
      </w:r>
      <w:r>
        <w:rPr>
          <w:color w:val="231F20"/>
          <w:spacing w:val="-17"/>
          <w:w w:val="110"/>
        </w:rPr>
        <w:t> </w:t>
      </w:r>
      <w:r>
        <w:rPr>
          <w:color w:val="231F20"/>
          <w:w w:val="110"/>
        </w:rPr>
        <w:t>20%</w:t>
      </w:r>
      <w:r>
        <w:rPr>
          <w:color w:val="231F20"/>
          <w:spacing w:val="-17"/>
          <w:w w:val="110"/>
        </w:rPr>
        <w:t> </w:t>
      </w:r>
      <w:r>
        <w:rPr>
          <w:color w:val="231F20"/>
          <w:w w:val="110"/>
        </w:rPr>
        <w:t>del</w:t>
      </w:r>
      <w:r>
        <w:rPr>
          <w:color w:val="231F20"/>
          <w:spacing w:val="-18"/>
          <w:w w:val="110"/>
        </w:rPr>
        <w:t> </w:t>
      </w:r>
      <w:r>
        <w:rPr>
          <w:color w:val="231F20"/>
          <w:w w:val="110"/>
        </w:rPr>
        <w:t>pib.</w:t>
      </w:r>
      <w:r>
        <w:rPr>
          <w:color w:val="231F20"/>
          <w:spacing w:val="-17"/>
          <w:w w:val="110"/>
        </w:rPr>
        <w:t> </w:t>
      </w:r>
      <w:r>
        <w:rPr>
          <w:color w:val="231F20"/>
          <w:w w:val="110"/>
        </w:rPr>
        <w:t>Esta</w:t>
      </w:r>
      <w:r>
        <w:rPr>
          <w:color w:val="231F20"/>
          <w:spacing w:val="-17"/>
          <w:w w:val="110"/>
        </w:rPr>
        <w:t> </w:t>
      </w:r>
      <w:r>
        <w:rPr>
          <w:color w:val="231F20"/>
          <w:w w:val="110"/>
        </w:rPr>
        <w:t>inversión pública incrementa la inversión global al mismo tiempo que suaviza su caída en las crisis (gráfica</w:t>
      </w:r>
      <w:r>
        <w:rPr>
          <w:color w:val="231F20"/>
          <w:spacing w:val="1"/>
          <w:w w:val="110"/>
        </w:rPr>
        <w:t> </w:t>
      </w:r>
      <w:r>
        <w:rPr>
          <w:color w:val="231F20"/>
          <w:w w:val="110"/>
        </w:rPr>
        <w:t>2).</w:t>
      </w:r>
    </w:p>
    <w:p>
      <w:pPr>
        <w:spacing w:after="0" w:line="261" w:lineRule="auto"/>
        <w:jc w:val="both"/>
        <w:sectPr>
          <w:headerReference w:type="even" r:id="rId78"/>
          <w:headerReference w:type="default" r:id="rId79"/>
          <w:pgSz w:w="7640" w:h="11900"/>
          <w:pgMar w:header="672" w:footer="0" w:top="860" w:bottom="280" w:left="780" w:right="640"/>
        </w:sectPr>
      </w:pPr>
    </w:p>
    <w:p>
      <w:pPr>
        <w:pStyle w:val="BodyText"/>
        <w:spacing w:before="9"/>
        <w:rPr>
          <w:sz w:val="8"/>
        </w:rPr>
      </w:pPr>
    </w:p>
    <w:p>
      <w:pPr>
        <w:spacing w:line="290" w:lineRule="auto" w:before="70"/>
        <w:ind w:left="100" w:right="1138" w:firstLine="0"/>
        <w:jc w:val="left"/>
        <w:rPr>
          <w:sz w:val="18"/>
        </w:rPr>
      </w:pPr>
      <w:r>
        <w:rPr>
          <w:color w:val="231F20"/>
          <w:w w:val="125"/>
          <w:sz w:val="18"/>
        </w:rPr>
        <w:t>gráfica 2. inversión privada interna bruta, estados unidos (en dólares constantes de 2005)</w:t>
      </w:r>
    </w:p>
    <w:p>
      <w:pPr>
        <w:spacing w:before="136"/>
        <w:ind w:left="226" w:right="1138" w:firstLine="0"/>
        <w:jc w:val="left"/>
        <w:rPr>
          <w:rFonts w:ascii="Plantagenet Cherokee" w:hAnsi="Plantagenet Cherokee"/>
          <w:sz w:val="16"/>
        </w:rPr>
      </w:pPr>
      <w:r>
        <w:rPr/>
        <w:pict>
          <v:group style="position:absolute;margin-left:77.519798pt;margin-top:10.848847pt;width:253.15pt;height:98.5pt;mso-position-horizontal-relative:page;mso-position-vertical-relative:paragraph;z-index:1648" coordorigin="1550,217" coordsize="5063,1970">
            <v:shape style="position:absolute;left:1555;top:222;width:5053;height:1935" coordorigin="1555,222" coordsize="5053,1935" path="m1556,222l1555,2157,6608,2156e" filled="false" stroked="true" strokeweight=".5pt" strokecolor="#231f20">
              <v:path arrowok="t"/>
            </v:shape>
            <v:line style="position:absolute" from="1562,257" to="6588,257" stroked="true" strokeweight=".5pt" strokecolor="#a7a9ac"/>
            <v:line style="position:absolute" from="1562,575" to="6588,575" stroked="true" strokeweight=".5pt" strokecolor="#a7a9ac"/>
            <v:line style="position:absolute" from="1562,893" to="6588,893" stroked="true" strokeweight=".5pt" strokecolor="#a7a9ac"/>
            <v:line style="position:absolute" from="1562,1211" to="6588,1211" stroked="true" strokeweight=".5pt" strokecolor="#a7a9ac"/>
            <v:line style="position:absolute" from="1562,1517" to="6588,1517" stroked="true" strokeweight=".5pt" strokecolor="#a7a9ac"/>
            <v:line style="position:absolute" from="1562,1837" to="6588,1837" stroked="true" strokeweight=".5pt" strokecolor="#a7a9ac"/>
            <v:line style="position:absolute" from="1577,2134" to="1637,2134" stroked="true" strokeweight="2.25pt" strokecolor="#939598"/>
            <v:line style="position:absolute" from="1667,2128" to="1727,2128" stroked="true" strokeweight="2.852pt" strokecolor="#939598"/>
            <v:line style="position:absolute" from="1757,2126" to="1817,2126" stroked="true" strokeweight="3.141pt" strokecolor="#939598"/>
            <v:shape style="position:absolute;left:1876;top:372;width:4662;height:1785" coordorigin="1876,372" coordsize="4662,1785" path="m1876,2073l1876,2157m1966,2049l1966,2157m2056,2049l2056,2157m2145,2049l2145,2157m2235,2032l2235,2157m2324,2025l2324,2157m2414,1999l2414,2157m2504,1974l2504,2157m2593,1942l2593,2157m2683,1919l2683,2157m2773,1884l2773,2157m2862,1858l2862,2157m2952,1827l2952,2157m3042,1807l3042,2157m3131,1806l3131,2157m3221,1783l3221,2157m3310,1746l3310,2157m3400,1684l3400,2157m3490,1698l3490,2157m3579,1702l3579,2157m3669,1679l3669,2157m3759,1638l3759,2157m3848,1583l3848,2157m3938,1552l3938,2157m4028,1553l4028,2157m4117,1518l4117,2157m4207,1548l4207,2157m4296,1506l4296,2157m4386,1429l4386,2157m4476,1392l4476,2157m4565,1346l4565,2157m4655,1310l4655,2157m4745,1258l4745,2157m4834,1216l4834,2157m4924,1189l4924,2157m5014,1189l5014,2157m5103,1164l5103,2157m5193,1105l5193,2157m5282,1072l5282,2157m5372,1012l5372,2157m5462,948l5462,2157m5551,887l5551,2157m5641,814l5641,2157m5731,740l5731,2157m5820,685l5820,2157m5910,661l5910,2157m6000,629l6000,2157m6089,575l6089,2157m6179,502l6179,2157m6268,442l6268,2157m6358,384l6358,2157m6448,372l6448,2157m6537,422l6537,2157e" filled="false" stroked="true" strokeweight="3pt" strokecolor="#939598">
              <v:path arrowok="t"/>
            </v:shape>
            <w10:wrap type="none"/>
          </v:group>
        </w:pict>
      </w:r>
      <w:r>
        <w:rPr>
          <w:rFonts w:ascii="Plantagenet Cherokee" w:hAnsi="Plantagenet Cherokee"/>
          <w:color w:val="231F20"/>
          <w:sz w:val="16"/>
        </w:rPr>
        <w:t>14 000 —</w:t>
      </w:r>
    </w:p>
    <w:p>
      <w:pPr>
        <w:spacing w:before="102"/>
        <w:ind w:left="226" w:right="1138" w:firstLine="0"/>
        <w:jc w:val="left"/>
        <w:rPr>
          <w:rFonts w:ascii="Plantagenet Cherokee" w:hAnsi="Plantagenet Cherokee"/>
          <w:sz w:val="16"/>
        </w:rPr>
      </w:pPr>
      <w:r>
        <w:rPr>
          <w:rFonts w:ascii="Plantagenet Cherokee" w:hAnsi="Plantagenet Cherokee"/>
          <w:color w:val="231F20"/>
          <w:sz w:val="16"/>
        </w:rPr>
        <w:t>12 000 —</w:t>
      </w:r>
    </w:p>
    <w:p>
      <w:pPr>
        <w:spacing w:before="102"/>
        <w:ind w:left="226" w:right="1138" w:firstLine="0"/>
        <w:jc w:val="left"/>
        <w:rPr>
          <w:rFonts w:ascii="Plantagenet Cherokee" w:hAnsi="Plantagenet Cherokee"/>
          <w:sz w:val="16"/>
        </w:rPr>
      </w:pPr>
      <w:r>
        <w:rPr>
          <w:rFonts w:ascii="Plantagenet Cherokee" w:hAnsi="Plantagenet Cherokee"/>
          <w:color w:val="231F20"/>
          <w:sz w:val="16"/>
        </w:rPr>
        <w:t>10 000 —</w:t>
      </w:r>
    </w:p>
    <w:p>
      <w:pPr>
        <w:spacing w:before="102"/>
        <w:ind w:left="309" w:right="1138" w:firstLine="0"/>
        <w:jc w:val="left"/>
        <w:rPr>
          <w:rFonts w:ascii="Plantagenet Cherokee" w:hAnsi="Plantagenet Cherokee"/>
          <w:sz w:val="16"/>
        </w:rPr>
      </w:pPr>
      <w:r>
        <w:rPr>
          <w:rFonts w:ascii="Plantagenet Cherokee" w:hAnsi="Plantagenet Cherokee"/>
          <w:color w:val="231F20"/>
          <w:sz w:val="16"/>
        </w:rPr>
        <w:t>8 000 —</w:t>
      </w:r>
    </w:p>
    <w:p>
      <w:pPr>
        <w:spacing w:before="102"/>
        <w:ind w:left="309" w:right="1138" w:firstLine="0"/>
        <w:jc w:val="left"/>
        <w:rPr>
          <w:rFonts w:ascii="Plantagenet Cherokee" w:hAnsi="Plantagenet Cherokee"/>
          <w:sz w:val="16"/>
        </w:rPr>
      </w:pPr>
      <w:r>
        <w:rPr>
          <w:rFonts w:ascii="Plantagenet Cherokee" w:hAnsi="Plantagenet Cherokee"/>
          <w:color w:val="231F20"/>
          <w:sz w:val="16"/>
        </w:rPr>
        <w:t>6 000 —</w:t>
      </w:r>
    </w:p>
    <w:p>
      <w:pPr>
        <w:spacing w:before="102"/>
        <w:ind w:left="309" w:right="1138" w:firstLine="0"/>
        <w:jc w:val="left"/>
        <w:rPr>
          <w:rFonts w:ascii="Plantagenet Cherokee" w:hAnsi="Plantagenet Cherokee"/>
          <w:sz w:val="16"/>
        </w:rPr>
      </w:pPr>
      <w:r>
        <w:rPr>
          <w:rFonts w:ascii="Plantagenet Cherokee" w:hAnsi="Plantagenet Cherokee"/>
          <w:color w:val="231F20"/>
          <w:sz w:val="16"/>
        </w:rPr>
        <w:t>4 000 —</w:t>
      </w:r>
    </w:p>
    <w:p>
      <w:pPr>
        <w:spacing w:before="102"/>
        <w:ind w:left="309" w:right="1138" w:firstLine="0"/>
        <w:jc w:val="left"/>
        <w:rPr>
          <w:rFonts w:ascii="Plantagenet Cherokee" w:hAnsi="Plantagenet Cherokee"/>
          <w:sz w:val="16"/>
        </w:rPr>
      </w:pPr>
      <w:r>
        <w:rPr/>
        <w:pict>
          <v:shape style="position:absolute;margin-left:72.291595pt;margin-top:15.911447pt;width:10pt;height:28.75pt;mso-position-horizontal-relative:page;mso-position-vertical-relative:paragraph;z-index:167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1952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90.291595pt;margin-top:15.911447pt;width:10pt;height:28.75pt;mso-position-horizontal-relative:page;mso-position-vertical-relative:paragraph;z-index:169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1956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08.291595pt;margin-top:15.911447pt;width:10pt;height:28.75pt;mso-position-horizontal-relative:page;mso-position-vertical-relative:paragraph;z-index:172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26.291595pt;margin-top:15.911447pt;width:10pt;height:28.75pt;mso-position-horizontal-relative:page;mso-position-vertical-relative:paragraph;z-index:174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44.291595pt;margin-top:15.911447pt;width:10pt;height:28.75pt;mso-position-horizontal-relative:page;mso-position-vertical-relative:paragraph;z-index:176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1968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62.291595pt;margin-top:16.903446pt;width:10pt;height:28.75pt;mso-position-horizontal-relative:page;mso-position-vertical-relative:paragraph;z-index:179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1972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80.291595pt;margin-top:15.911447pt;width:10pt;height:28.75pt;mso-position-horizontal-relative:page;mso-position-vertical-relative:paragraph;z-index:181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1976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198.291595pt;margin-top:15.911446pt;width:10pt;height:28.75pt;mso-position-horizontal-relative:page;mso-position-vertical-relative:paragraph;z-index:184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16.291595pt;margin-top:15.911446pt;width:10pt;height:28.75pt;mso-position-horizontal-relative:page;mso-position-vertical-relative:paragraph;z-index:186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34.291595pt;margin-top:15.911446pt;width:10pt;height:28.75pt;mso-position-horizontal-relative:page;mso-position-vertical-relative:paragraph;z-index:188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1988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52.291595pt;margin-top:15.911446pt;width:10pt;height:28.75pt;mso-position-horizontal-relative:page;mso-position-vertical-relative:paragraph;z-index:1912"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1992</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70.291595pt;margin-top:15.911446pt;width:10pt;height:28.75pt;mso-position-horizontal-relative:page;mso-position-vertical-relative:paragraph;z-index:1936"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1996</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288.291595pt;margin-top:15.911446pt;width:10pt;height:28.75pt;mso-position-horizontal-relative:page;mso-position-vertical-relative:paragraph;z-index:1960"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2000</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306.291595pt;margin-top:15.911446pt;width:10pt;height:28.75pt;mso-position-horizontal-relative:page;mso-position-vertical-relative:paragraph;z-index:1984"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2004</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pict>
          <v:shape style="position:absolute;margin-left:324.291595pt;margin-top:15.911446pt;width:10pt;height:28.75pt;mso-position-horizontal-relative:page;mso-position-vertical-relative:paragraph;z-index:2008" type="#_x0000_t202" filled="false" stroked="false">
            <v:textbox inset="0,0,0,0" style="layout-flow:vertical;mso-layout-flow-alt:bottom-to-top">
              <w:txbxContent>
                <w:p>
                  <w:pPr>
                    <w:spacing w:line="193" w:lineRule="exact" w:before="0"/>
                    <w:ind w:left="20" w:right="-173" w:firstLine="0"/>
                    <w:jc w:val="left"/>
                    <w:rPr>
                      <w:rFonts w:ascii="Plantagenet Cherokee" w:hAnsi="Plantagenet Cherokee"/>
                      <w:sz w:val="16"/>
                    </w:rPr>
                  </w:pPr>
                  <w:r>
                    <w:rPr>
                      <w:rFonts w:ascii="Plantagenet Cherokee" w:hAnsi="Plantagenet Cherokee"/>
                      <w:color w:val="231F20"/>
                      <w:w w:val="99"/>
                      <w:sz w:val="16"/>
                    </w:rPr>
                    <w:t>2008</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rFonts w:ascii="Plantagenet Cherokee" w:hAnsi="Plantagenet Cherokee"/>
          <w:color w:val="231F20"/>
          <w:sz w:val="16"/>
        </w:rPr>
        <w:t>2 000 —</w:t>
      </w:r>
    </w:p>
    <w:p>
      <w:pPr>
        <w:pStyle w:val="BodyText"/>
        <w:rPr>
          <w:rFonts w:ascii="Plantagenet Cherokee"/>
        </w:rPr>
      </w:pPr>
    </w:p>
    <w:p>
      <w:pPr>
        <w:pStyle w:val="BodyText"/>
        <w:rPr>
          <w:rFonts w:ascii="Plantagenet Cherokee"/>
        </w:rPr>
      </w:pPr>
    </w:p>
    <w:p>
      <w:pPr>
        <w:pStyle w:val="BodyText"/>
        <w:spacing w:before="6"/>
        <w:rPr>
          <w:rFonts w:ascii="Plantagenet Cherokee"/>
          <w:sz w:val="18"/>
        </w:rPr>
      </w:pPr>
    </w:p>
    <w:p>
      <w:pPr>
        <w:spacing w:line="276" w:lineRule="auto" w:before="0"/>
        <w:ind w:left="100" w:right="877" w:firstLine="0"/>
        <w:jc w:val="both"/>
        <w:rPr>
          <w:sz w:val="18"/>
        </w:rPr>
      </w:pPr>
      <w:r>
        <w:rPr>
          <w:rFonts w:ascii="Calibri"/>
          <w:color w:val="231F20"/>
          <w:w w:val="105"/>
          <w:sz w:val="18"/>
        </w:rPr>
        <w:t>fuente:  </w:t>
      </w:r>
      <w:r>
        <w:rPr>
          <w:color w:val="231F20"/>
          <w:w w:val="105"/>
          <w:sz w:val="18"/>
        </w:rPr>
        <w:t>Departamento de Comercio de los Estados Unidos. Cifras revisadas   al 27 de mayo de 2010,</w:t>
      </w:r>
      <w:r>
        <w:rPr>
          <w:color w:val="231F20"/>
          <w:spacing w:val="-15"/>
          <w:w w:val="105"/>
          <w:sz w:val="18"/>
        </w:rPr>
        <w:t> </w:t>
      </w:r>
      <w:r>
        <w:rPr>
          <w:color w:val="231F20"/>
          <w:w w:val="105"/>
          <w:sz w:val="18"/>
        </w:rPr>
        <w:t>&lt;</w:t>
      </w:r>
      <w:hyperlink r:id="rId80">
        <w:r>
          <w:rPr>
            <w:color w:val="231F20"/>
            <w:w w:val="105"/>
            <w:sz w:val="18"/>
          </w:rPr>
          <w:t>www.bea.gov&gt;.</w:t>
        </w:r>
      </w:hyperlink>
    </w:p>
    <w:p>
      <w:pPr>
        <w:pStyle w:val="BodyText"/>
        <w:spacing w:before="2"/>
        <w:rPr>
          <w:sz w:val="21"/>
        </w:rPr>
      </w:pPr>
    </w:p>
    <w:p>
      <w:pPr>
        <w:pStyle w:val="BodyText"/>
        <w:spacing w:line="261" w:lineRule="auto" w:before="1"/>
        <w:ind w:left="100" w:right="877" w:firstLine="240"/>
        <w:jc w:val="both"/>
      </w:pPr>
      <w:r>
        <w:rPr>
          <w:color w:val="231F20"/>
          <w:w w:val="110"/>
        </w:rPr>
        <w:t>La realidad muestra que Estados Unidos ha tenido una dinámica significativa que se refleja en un gran crecimiento de la producción y de las inversiones al interior del país.</w:t>
      </w:r>
    </w:p>
    <w:p>
      <w:pPr>
        <w:pStyle w:val="BodyText"/>
        <w:spacing w:line="261" w:lineRule="auto"/>
        <w:ind w:left="100" w:right="877" w:firstLine="240"/>
        <w:jc w:val="both"/>
      </w:pPr>
      <w:r>
        <w:rPr>
          <w:color w:val="231F20"/>
          <w:w w:val="110"/>
        </w:rPr>
        <w:t>En un escenario de análisis que supere la visión de economía in- ternacional</w:t>
      </w:r>
      <w:r>
        <w:rPr>
          <w:color w:val="231F20"/>
          <w:spacing w:val="-4"/>
          <w:w w:val="110"/>
        </w:rPr>
        <w:t> </w:t>
      </w:r>
      <w:r>
        <w:rPr>
          <w:color w:val="231F20"/>
          <w:w w:val="110"/>
        </w:rPr>
        <w:t>que</w:t>
      </w:r>
      <w:r>
        <w:rPr>
          <w:color w:val="231F20"/>
          <w:spacing w:val="-4"/>
          <w:w w:val="110"/>
        </w:rPr>
        <w:t> </w:t>
      </w:r>
      <w:r>
        <w:rPr>
          <w:color w:val="231F20"/>
          <w:w w:val="110"/>
        </w:rPr>
        <w:t>remite</w:t>
      </w:r>
      <w:r>
        <w:rPr>
          <w:color w:val="231F20"/>
          <w:spacing w:val="-4"/>
          <w:w w:val="110"/>
        </w:rPr>
        <w:t> </w:t>
      </w:r>
      <w:r>
        <w:rPr>
          <w:color w:val="231F20"/>
          <w:w w:val="110"/>
        </w:rPr>
        <w:t>a</w:t>
      </w:r>
      <w:r>
        <w:rPr>
          <w:color w:val="231F20"/>
          <w:spacing w:val="-4"/>
          <w:w w:val="110"/>
        </w:rPr>
        <w:t> </w:t>
      </w:r>
      <w:r>
        <w:rPr>
          <w:color w:val="231F20"/>
          <w:w w:val="110"/>
        </w:rPr>
        <w:t>relaciones</w:t>
      </w:r>
      <w:r>
        <w:rPr>
          <w:color w:val="231F20"/>
          <w:spacing w:val="-4"/>
          <w:w w:val="110"/>
        </w:rPr>
        <w:t> </w:t>
      </w:r>
      <w:r>
        <w:rPr>
          <w:color w:val="231F20"/>
          <w:w w:val="110"/>
        </w:rPr>
        <w:t>entre</w:t>
      </w:r>
      <w:r>
        <w:rPr>
          <w:color w:val="231F20"/>
          <w:spacing w:val="-4"/>
          <w:w w:val="110"/>
        </w:rPr>
        <w:t> </w:t>
      </w:r>
      <w:r>
        <w:rPr>
          <w:color w:val="231F20"/>
          <w:w w:val="110"/>
        </w:rPr>
        <w:t>naciones</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considere</w:t>
      </w:r>
      <w:r>
        <w:rPr>
          <w:color w:val="231F20"/>
          <w:spacing w:val="-4"/>
          <w:w w:val="110"/>
        </w:rPr>
        <w:t> </w:t>
      </w:r>
      <w:r>
        <w:rPr>
          <w:color w:val="231F20"/>
          <w:w w:val="110"/>
        </w:rPr>
        <w:t>la economía mundial como una estructura productiva y de circulación de las mercancías por sobre las economías nacionales, la</w:t>
      </w:r>
      <w:r>
        <w:rPr>
          <w:color w:val="231F20"/>
          <w:spacing w:val="-28"/>
          <w:w w:val="110"/>
        </w:rPr>
        <w:t> </w:t>
      </w:r>
      <w:r>
        <w:rPr>
          <w:color w:val="231F20"/>
          <w:w w:val="110"/>
        </w:rPr>
        <w:t>producción y</w:t>
      </w:r>
      <w:r>
        <w:rPr>
          <w:color w:val="231F20"/>
          <w:spacing w:val="-5"/>
          <w:w w:val="110"/>
        </w:rPr>
        <w:t> </w:t>
      </w:r>
      <w:r>
        <w:rPr>
          <w:color w:val="231F20"/>
          <w:w w:val="110"/>
        </w:rPr>
        <w:t>las</w:t>
      </w:r>
      <w:r>
        <w:rPr>
          <w:color w:val="231F20"/>
          <w:spacing w:val="-5"/>
          <w:w w:val="110"/>
        </w:rPr>
        <w:t> </w:t>
      </w:r>
      <w:r>
        <w:rPr>
          <w:color w:val="231F20"/>
          <w:w w:val="110"/>
        </w:rPr>
        <w:t>inversiones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mundo,</w:t>
      </w:r>
      <w:r>
        <w:rPr>
          <w:color w:val="231F20"/>
          <w:spacing w:val="-5"/>
          <w:w w:val="110"/>
        </w:rPr>
        <w:t> </w:t>
      </w:r>
      <w:r>
        <w:rPr>
          <w:color w:val="231F20"/>
          <w:w w:val="110"/>
        </w:rPr>
        <w:t>por</w:t>
      </w:r>
      <w:r>
        <w:rPr>
          <w:color w:val="231F20"/>
          <w:spacing w:val="-5"/>
          <w:w w:val="110"/>
        </w:rPr>
        <w:t> </w:t>
      </w:r>
      <w:r>
        <w:rPr>
          <w:color w:val="231F20"/>
          <w:w w:val="110"/>
        </w:rPr>
        <w:t>parte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empresas</w:t>
      </w:r>
      <w:r>
        <w:rPr>
          <w:color w:val="231F20"/>
          <w:spacing w:val="-5"/>
          <w:w w:val="110"/>
        </w:rPr>
        <w:t> </w:t>
      </w:r>
      <w:r>
        <w:rPr>
          <w:color w:val="231F20"/>
          <w:w w:val="110"/>
        </w:rPr>
        <w:t>estaduniden- ses, incrementan cualitativamente el dinamismo de la economía de Estados</w:t>
      </w:r>
      <w:r>
        <w:rPr>
          <w:color w:val="231F20"/>
          <w:spacing w:val="-25"/>
          <w:w w:val="110"/>
        </w:rPr>
        <w:t> </w:t>
      </w:r>
      <w:r>
        <w:rPr>
          <w:color w:val="231F20"/>
          <w:w w:val="110"/>
        </w:rPr>
        <w:t>Unidos.</w:t>
      </w:r>
    </w:p>
    <w:p>
      <w:pPr>
        <w:pStyle w:val="BodyText"/>
      </w:pPr>
    </w:p>
    <w:p>
      <w:pPr>
        <w:pStyle w:val="BodyText"/>
      </w:pPr>
    </w:p>
    <w:p>
      <w:pPr>
        <w:pStyle w:val="BodyText"/>
        <w:spacing w:before="2"/>
        <w:rPr>
          <w:sz w:val="25"/>
        </w:rPr>
      </w:pPr>
    </w:p>
    <w:p>
      <w:pPr>
        <w:pStyle w:val="BodyText"/>
        <w:ind w:left="100"/>
        <w:jc w:val="both"/>
      </w:pPr>
      <w:r>
        <w:rPr>
          <w:color w:val="231F20"/>
          <w:w w:val="125"/>
        </w:rPr>
        <w:t>la producción mundial</w:t>
      </w:r>
    </w:p>
    <w:p>
      <w:pPr>
        <w:pStyle w:val="BodyText"/>
        <w:spacing w:before="5"/>
        <w:rPr>
          <w:sz w:val="23"/>
        </w:rPr>
      </w:pPr>
    </w:p>
    <w:p>
      <w:pPr>
        <w:pStyle w:val="BodyText"/>
        <w:spacing w:line="261" w:lineRule="auto"/>
        <w:ind w:left="100" w:right="873"/>
        <w:jc w:val="both"/>
      </w:pPr>
      <w:r>
        <w:rPr>
          <w:color w:val="231F20"/>
          <w:w w:val="110"/>
        </w:rPr>
        <w:t>En la vida cotidiana y en la conciencia social pensamos que está instalada fuertemente la idea de que internacionalmente  hay  un gran crecimiento de la producción y una amplia competencia que se observa a diario en las más variadas mercancías. La gráfica 3 mues- tra un gran crecimiento de la producción mundial. En el periodo 1982-1991, la producción promedio anual era un poco superior a   21 000 mil millones de dólares, medidos según la paridad de </w:t>
      </w:r>
      <w:r>
        <w:rPr>
          <w:color w:val="231F20"/>
          <w:spacing w:val="53"/>
          <w:w w:val="110"/>
        </w:rPr>
        <w:t> </w:t>
      </w:r>
      <w:r>
        <w:rPr>
          <w:color w:val="231F20"/>
          <w:w w:val="110"/>
        </w:rPr>
        <w:t>poder</w:t>
      </w:r>
    </w:p>
    <w:p>
      <w:pPr>
        <w:spacing w:after="0" w:line="261" w:lineRule="auto"/>
        <w:jc w:val="both"/>
        <w:sectPr>
          <w:pgSz w:w="7640" w:h="11900"/>
          <w:pgMar w:header="672" w:footer="0" w:top="860" w:bottom="280" w:left="660" w:right="0"/>
        </w:sectPr>
      </w:pPr>
    </w:p>
    <w:p>
      <w:pPr>
        <w:pStyle w:val="BodyText"/>
        <w:spacing w:before="8"/>
        <w:rPr>
          <w:sz w:val="8"/>
        </w:rPr>
      </w:pPr>
    </w:p>
    <w:p>
      <w:pPr>
        <w:pStyle w:val="BodyText"/>
        <w:spacing w:line="261" w:lineRule="auto" w:before="67"/>
        <w:ind w:left="100" w:right="117"/>
        <w:jc w:val="both"/>
      </w:pPr>
      <w:r>
        <w:rPr>
          <w:color w:val="231F20"/>
          <w:w w:val="110"/>
        </w:rPr>
        <w:t>de compra, y sube en 2008 a cerca de 70 000 mil millones de dóla- res. En ese periodo la producción en paridad de poder de compra   se incrementa en 225%, </w:t>
      </w:r>
      <w:r>
        <w:rPr>
          <w:color w:val="231F20"/>
          <w:spacing w:val="-8"/>
          <w:w w:val="110"/>
        </w:rPr>
        <w:t>y, </w:t>
      </w:r>
      <w:r>
        <w:rPr>
          <w:color w:val="231F20"/>
          <w:w w:val="110"/>
        </w:rPr>
        <w:t>medido en dólares al tipo de cambio de mercado se incrementa en 263 por </w:t>
      </w:r>
      <w:r>
        <w:rPr>
          <w:color w:val="231F20"/>
          <w:spacing w:val="39"/>
          <w:w w:val="110"/>
        </w:rPr>
        <w:t> </w:t>
      </w:r>
      <w:r>
        <w:rPr>
          <w:color w:val="231F20"/>
          <w:w w:val="110"/>
        </w:rPr>
        <w:t>ciento.</w:t>
      </w:r>
    </w:p>
    <w:p>
      <w:pPr>
        <w:pStyle w:val="BodyText"/>
        <w:spacing w:line="261" w:lineRule="auto"/>
        <w:ind w:left="100" w:right="117" w:firstLine="240"/>
        <w:jc w:val="both"/>
      </w:pPr>
      <w:r>
        <w:rPr>
          <w:color w:val="231F20"/>
          <w:w w:val="110"/>
        </w:rPr>
        <w:t>La</w:t>
      </w:r>
      <w:r>
        <w:rPr>
          <w:color w:val="231F20"/>
          <w:spacing w:val="-19"/>
          <w:w w:val="110"/>
        </w:rPr>
        <w:t> </w:t>
      </w:r>
      <w:r>
        <w:rPr>
          <w:color w:val="231F20"/>
          <w:w w:val="110"/>
        </w:rPr>
        <w:t>negación</w:t>
      </w:r>
      <w:r>
        <w:rPr>
          <w:color w:val="231F20"/>
          <w:spacing w:val="-19"/>
          <w:w w:val="110"/>
        </w:rPr>
        <w:t> </w:t>
      </w:r>
      <w:r>
        <w:rPr>
          <w:color w:val="231F20"/>
          <w:w w:val="110"/>
        </w:rPr>
        <w:t>del</w:t>
      </w:r>
      <w:r>
        <w:rPr>
          <w:color w:val="231F20"/>
          <w:spacing w:val="-19"/>
          <w:w w:val="110"/>
        </w:rPr>
        <w:t> </w:t>
      </w:r>
      <w:r>
        <w:rPr>
          <w:color w:val="231F20"/>
          <w:w w:val="110"/>
        </w:rPr>
        <w:t>estancamiento</w:t>
      </w:r>
      <w:r>
        <w:rPr>
          <w:color w:val="231F20"/>
          <w:spacing w:val="-19"/>
          <w:w w:val="110"/>
        </w:rPr>
        <w:t> </w:t>
      </w:r>
      <w:r>
        <w:rPr>
          <w:color w:val="231F20"/>
          <w:w w:val="110"/>
        </w:rPr>
        <w:t>es</w:t>
      </w:r>
      <w:r>
        <w:rPr>
          <w:color w:val="231F20"/>
          <w:spacing w:val="-19"/>
          <w:w w:val="110"/>
        </w:rPr>
        <w:t> </w:t>
      </w:r>
      <w:r>
        <w:rPr>
          <w:color w:val="231F20"/>
          <w:w w:val="110"/>
        </w:rPr>
        <w:t>evidente.</w:t>
      </w:r>
      <w:r>
        <w:rPr>
          <w:color w:val="231F20"/>
          <w:spacing w:val="-19"/>
          <w:w w:val="110"/>
        </w:rPr>
        <w:t> </w:t>
      </w:r>
      <w:r>
        <w:rPr>
          <w:color w:val="231F20"/>
          <w:w w:val="110"/>
        </w:rPr>
        <w:t>El</w:t>
      </w:r>
      <w:r>
        <w:rPr>
          <w:color w:val="231F20"/>
          <w:spacing w:val="-19"/>
          <w:w w:val="110"/>
        </w:rPr>
        <w:t> </w:t>
      </w:r>
      <w:r>
        <w:rPr>
          <w:color w:val="231F20"/>
          <w:w w:val="110"/>
        </w:rPr>
        <w:t>capitalismo</w:t>
      </w:r>
      <w:r>
        <w:rPr>
          <w:color w:val="231F20"/>
          <w:spacing w:val="-19"/>
          <w:w w:val="110"/>
        </w:rPr>
        <w:t> </w:t>
      </w:r>
      <w:r>
        <w:rPr>
          <w:color w:val="231F20"/>
          <w:w w:val="110"/>
        </w:rPr>
        <w:t>mundial tiene un gran crecimiento con un doble resultado. En primer </w:t>
      </w:r>
      <w:r>
        <w:rPr>
          <w:color w:val="231F20"/>
          <w:spacing w:val="-3"/>
          <w:w w:val="110"/>
        </w:rPr>
        <w:t>lugar, </w:t>
      </w:r>
      <w:r>
        <w:rPr>
          <w:color w:val="231F20"/>
          <w:w w:val="110"/>
        </w:rPr>
        <w:t>limita las capacidades de consumo y promueve el endeudamiento generalizado de las familias y de Estados. En segundo </w:t>
      </w:r>
      <w:r>
        <w:rPr>
          <w:color w:val="231F20"/>
          <w:spacing w:val="-3"/>
          <w:w w:val="110"/>
        </w:rPr>
        <w:t>lugar, </w:t>
      </w:r>
      <w:r>
        <w:rPr>
          <w:color w:val="231F20"/>
          <w:w w:val="110"/>
        </w:rPr>
        <w:t>y tan importante</w:t>
      </w:r>
      <w:r>
        <w:rPr>
          <w:color w:val="231F20"/>
          <w:spacing w:val="-9"/>
          <w:w w:val="110"/>
        </w:rPr>
        <w:t> </w:t>
      </w:r>
      <w:r>
        <w:rPr>
          <w:color w:val="231F20"/>
          <w:w w:val="110"/>
        </w:rPr>
        <w:t>como</w:t>
      </w:r>
      <w:r>
        <w:rPr>
          <w:color w:val="231F20"/>
          <w:spacing w:val="-9"/>
          <w:w w:val="110"/>
        </w:rPr>
        <w:t> </w:t>
      </w:r>
      <w:r>
        <w:rPr>
          <w:color w:val="231F20"/>
          <w:w w:val="110"/>
        </w:rPr>
        <w:t>lo</w:t>
      </w:r>
      <w:r>
        <w:rPr>
          <w:color w:val="231F20"/>
          <w:spacing w:val="-9"/>
          <w:w w:val="110"/>
        </w:rPr>
        <w:t> </w:t>
      </w:r>
      <w:r>
        <w:rPr>
          <w:color w:val="231F20"/>
          <w:w w:val="110"/>
        </w:rPr>
        <w:t>anterior,</w:t>
      </w:r>
      <w:r>
        <w:rPr>
          <w:color w:val="231F20"/>
          <w:spacing w:val="-9"/>
          <w:w w:val="110"/>
        </w:rPr>
        <w:t> </w:t>
      </w:r>
      <w:r>
        <w:rPr>
          <w:color w:val="231F20"/>
          <w:w w:val="110"/>
        </w:rPr>
        <w:t>es</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gran</w:t>
      </w:r>
      <w:r>
        <w:rPr>
          <w:color w:val="231F20"/>
          <w:spacing w:val="-9"/>
          <w:w w:val="110"/>
        </w:rPr>
        <w:t> </w:t>
      </w:r>
      <w:r>
        <w:rPr>
          <w:color w:val="231F20"/>
          <w:w w:val="110"/>
        </w:rPr>
        <w:t>crecimiento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produc- ción está destruyendo la naturaleza. Si China sigue reproduciendo los</w:t>
      </w:r>
      <w:r>
        <w:rPr>
          <w:color w:val="231F20"/>
          <w:spacing w:val="-8"/>
          <w:w w:val="110"/>
        </w:rPr>
        <w:t> </w:t>
      </w:r>
      <w:r>
        <w:rPr>
          <w:color w:val="231F20"/>
          <w:w w:val="110"/>
        </w:rPr>
        <w:t>niveles</w:t>
      </w:r>
      <w:r>
        <w:rPr>
          <w:color w:val="231F20"/>
          <w:spacing w:val="-8"/>
          <w:w w:val="110"/>
        </w:rPr>
        <w:t> </w:t>
      </w:r>
      <w:r>
        <w:rPr>
          <w:color w:val="231F20"/>
          <w:w w:val="110"/>
        </w:rPr>
        <w:t>de</w:t>
      </w:r>
      <w:r>
        <w:rPr>
          <w:color w:val="231F20"/>
          <w:spacing w:val="-8"/>
          <w:w w:val="110"/>
        </w:rPr>
        <w:t> </w:t>
      </w:r>
      <w:r>
        <w:rPr>
          <w:color w:val="231F20"/>
          <w:w w:val="110"/>
        </w:rPr>
        <w:t>consumo</w:t>
      </w:r>
      <w:r>
        <w:rPr>
          <w:color w:val="231F20"/>
          <w:spacing w:val="-8"/>
          <w:w w:val="110"/>
        </w:rPr>
        <w:t> </w:t>
      </w:r>
      <w:r>
        <w:rPr>
          <w:color w:val="231F20"/>
          <w:w w:val="110"/>
        </w:rPr>
        <w:t>de</w:t>
      </w:r>
      <w:r>
        <w:rPr>
          <w:color w:val="231F20"/>
          <w:spacing w:val="-8"/>
          <w:w w:val="110"/>
        </w:rPr>
        <w:t> </w:t>
      </w:r>
      <w:r>
        <w:rPr>
          <w:color w:val="231F20"/>
          <w:w w:val="110"/>
        </w:rPr>
        <w:t>Occidente,</w:t>
      </w:r>
      <w:r>
        <w:rPr>
          <w:color w:val="231F20"/>
          <w:spacing w:val="-8"/>
          <w:w w:val="110"/>
        </w:rPr>
        <w:t> </w:t>
      </w:r>
      <w:r>
        <w:rPr>
          <w:color w:val="231F20"/>
          <w:w w:val="110"/>
        </w:rPr>
        <w:t>no</w:t>
      </w:r>
      <w:r>
        <w:rPr>
          <w:color w:val="231F20"/>
          <w:spacing w:val="-8"/>
          <w:w w:val="110"/>
        </w:rPr>
        <w:t> </w:t>
      </w:r>
      <w:r>
        <w:rPr>
          <w:color w:val="231F20"/>
          <w:w w:val="110"/>
        </w:rPr>
        <w:t>hay</w:t>
      </w:r>
      <w:r>
        <w:rPr>
          <w:color w:val="231F20"/>
          <w:spacing w:val="-8"/>
          <w:w w:val="110"/>
        </w:rPr>
        <w:t> </w:t>
      </w:r>
      <w:r>
        <w:rPr>
          <w:color w:val="231F20"/>
          <w:w w:val="110"/>
        </w:rPr>
        <w:t>recursos</w:t>
      </w:r>
      <w:r>
        <w:rPr>
          <w:color w:val="231F20"/>
          <w:spacing w:val="-8"/>
          <w:w w:val="110"/>
        </w:rPr>
        <w:t> </w:t>
      </w:r>
      <w:r>
        <w:rPr>
          <w:color w:val="231F20"/>
          <w:w w:val="110"/>
        </w:rPr>
        <w:t>naturales</w:t>
      </w:r>
      <w:r>
        <w:rPr>
          <w:color w:val="231F20"/>
          <w:spacing w:val="-8"/>
          <w:w w:val="110"/>
        </w:rPr>
        <w:t> </w:t>
      </w:r>
      <w:r>
        <w:rPr>
          <w:color w:val="231F20"/>
          <w:w w:val="110"/>
        </w:rPr>
        <w:t>en</w:t>
      </w:r>
      <w:r>
        <w:rPr>
          <w:color w:val="231F20"/>
          <w:spacing w:val="-8"/>
          <w:w w:val="110"/>
        </w:rPr>
        <w:t> </w:t>
      </w:r>
      <w:r>
        <w:rPr>
          <w:color w:val="231F20"/>
          <w:w w:val="110"/>
        </w:rPr>
        <w:t>el mundo que puedan sostener dicho crecimiento. El capitalismo entra en crisis no porque produzca poco, sino, porque produce</w:t>
      </w:r>
      <w:r>
        <w:rPr>
          <w:color w:val="231F20"/>
          <w:spacing w:val="-30"/>
          <w:w w:val="110"/>
        </w:rPr>
        <w:t> </w:t>
      </w:r>
      <w:r>
        <w:rPr>
          <w:color w:val="231F20"/>
          <w:w w:val="110"/>
        </w:rPr>
        <w:t>demasiado.</w:t>
      </w:r>
    </w:p>
    <w:p>
      <w:pPr>
        <w:pStyle w:val="BodyText"/>
        <w:spacing w:before="2"/>
        <w:rPr>
          <w:sz w:val="24"/>
        </w:rPr>
      </w:pPr>
    </w:p>
    <w:p>
      <w:pPr>
        <w:spacing w:line="290" w:lineRule="auto" w:before="0"/>
        <w:ind w:left="100" w:right="25" w:firstLine="0"/>
        <w:jc w:val="left"/>
        <w:rPr>
          <w:sz w:val="18"/>
        </w:rPr>
      </w:pPr>
      <w:r>
        <w:rPr>
          <w:color w:val="231F20"/>
          <w:w w:val="125"/>
          <w:sz w:val="18"/>
        </w:rPr>
        <w:t>gráfica 3. valor del producto anual mundial en dólares según paridad de poder de compra (valor en mmdd)</w:t>
      </w:r>
    </w:p>
    <w:p>
      <w:pPr>
        <w:spacing w:before="87"/>
        <w:ind w:left="243" w:right="25" w:firstLine="0"/>
        <w:jc w:val="left"/>
        <w:rPr>
          <w:rFonts w:ascii="Cambria" w:hAnsi="Cambria"/>
          <w:sz w:val="16"/>
        </w:rPr>
      </w:pPr>
      <w:r>
        <w:rPr/>
        <w:pict>
          <v:line style="position:absolute;mso-position-horizontal-relative:page;mso-position-vertical-relative:paragraph;z-index:2032" from="89.368202pt,9.878368pt" to="328.611202pt,9.878368pt" stroked="true" strokeweight=".5pt" strokecolor="#a7a9ac">
            <w10:wrap type="none"/>
          </v:line>
        </w:pict>
      </w:r>
      <w:r>
        <w:rPr/>
        <w:pict>
          <v:line style="position:absolute;mso-position-horizontal-relative:page;mso-position-vertical-relative:paragraph;z-index:2320" from="84.400002pt,131.249269pt" to="84.400002pt,10.249269pt" stroked="true" strokeweight=".5pt" strokecolor="#231f20">
            <w10:wrap type="none"/>
          </v:line>
        </w:pict>
      </w:r>
      <w:r>
        <w:rPr>
          <w:rFonts w:ascii="Cambria" w:hAnsi="Cambria"/>
          <w:color w:val="231F20"/>
          <w:sz w:val="16"/>
        </w:rPr>
        <w:t>80 000 —</w:t>
      </w:r>
    </w:p>
    <w:p>
      <w:pPr>
        <w:pStyle w:val="BodyText"/>
        <w:spacing w:before="6"/>
        <w:rPr>
          <w:rFonts w:ascii="Cambria"/>
          <w:sz w:val="13"/>
        </w:rPr>
      </w:pPr>
    </w:p>
    <w:p>
      <w:pPr>
        <w:spacing w:before="0"/>
        <w:ind w:left="243" w:right="25" w:firstLine="0"/>
        <w:jc w:val="left"/>
        <w:rPr>
          <w:rFonts w:ascii="Cambria" w:hAnsi="Cambria"/>
          <w:sz w:val="16"/>
        </w:rPr>
      </w:pPr>
      <w:r>
        <w:rPr/>
        <w:pict>
          <v:group style="position:absolute;margin-left:89.118195pt;margin-top:.111463pt;width:239.75pt;height:109.8pt;mso-position-horizontal-relative:page;mso-position-vertical-relative:paragraph;z-index:2296" coordorigin="1782,2" coordsize="4795,2196">
            <v:line style="position:absolute" from="1787,112" to="6572,112" stroked="true" strokeweight=".5pt" strokecolor="#a7a9ac"/>
            <v:shape style="position:absolute;left:0;top:6400;width:4384;height:2" coordorigin="0,6400" coordsize="4384,0" path="m6057,459l6171,459m5571,459l5697,459m5091,459l5211,459m1787,459l4731,459e" filled="false" stroked="true" strokeweight=".5pt" strokecolor="#a7a9ac">
              <v:path arrowok="t"/>
            </v:shape>
            <v:shape style="position:absolute;left:0;top:6400;width:3424;height:2" coordorigin="0,6400" coordsize="3424,0" path="m5091,806l5211,806m4617,806l4731,806m4125,806l4257,806m1787,806l3765,806e" filled="false" stroked="true" strokeweight=".5pt" strokecolor="#a7a9ac">
              <v:path arrowok="t"/>
            </v:shape>
            <v:shape style="position:absolute;left:0;top:6400;width:1978;height:2" coordorigin="0,6400" coordsize="1978,0" path="m3645,1153l3765,1153m3159,1153l3285,1153m1787,1153l2799,1153e" filled="false" stroked="true" strokeweight=".5pt" strokecolor="#a7a9ac">
              <v:path arrowok="t"/>
            </v:shape>
            <v:shape style="position:absolute;left:0;top:6400;width:1498;height:2" coordorigin="0,6400" coordsize="1498,0" path="m3159,1500l3285,1500m2655,1500l2799,1500m1787,1500l2295,1500e" filled="false" stroked="true" strokeweight=".5pt" strokecolor="#a7a9ac">
              <v:path arrowok="t"/>
            </v:shape>
            <v:shape style="position:absolute;left:0;top:6400;width:1012;height:2" coordorigin="0,6400" coordsize="1012,0" path="m2655,1847l2799,1847m2199,1847l2295,1847m1787,1847l1839,1847e" filled="false" stroked="true" strokeweight=".5pt" strokecolor="#a7a9ac">
              <v:path arrowok="t"/>
            </v:shape>
            <v:line style="position:absolute" from="1787,2193" to="6572,2193" stroked="true" strokeweight=".5pt" strokecolor="#a7a9ac"/>
            <v:shape style="position:absolute;left:1839;top:1318;width:816;height:880" coordorigin="1839,1318" coordsize="816,880" path="m2199,1793l1839,1793,1839,2198,2199,2198,2199,1793m2655,1318l2295,1318,2295,2198,2655,2198,2655,1318e" filled="true" fillcolor="#b1b3b6" stroked="false">
              <v:path arrowok="t"/>
              <v:fill type="solid"/>
            </v:shape>
            <v:line style="position:absolute" from="3159,1847" to="3285,1847" stroked="true" strokeweight=".5pt" strokecolor="#a7a9ac"/>
            <v:rect style="position:absolute;left:2799;top:943;width:360;height:1255" filled="true" fillcolor="#b1b3b6" stroked="false">
              <v:fill type="solid"/>
            </v:rect>
            <v:line style="position:absolute" from="3645,1500" to="3765,1500" stroked="true" strokeweight=".5pt" strokecolor="#a7a9ac"/>
            <v:line style="position:absolute" from="3645,1847" to="3765,1847" stroked="true" strokeweight=".5pt" strokecolor="#a7a9ac"/>
            <v:rect style="position:absolute;left:3285;top:847;width:360;height:1351" filled="true" fillcolor="#b1b3b6" stroked="false">
              <v:fill type="solid"/>
            </v:rect>
            <v:line style="position:absolute" from="4125,1153" to="4257,1153" stroked="true" strokeweight=".5pt" strokecolor="#a7a9ac"/>
            <v:line style="position:absolute" from="4125,1500" to="4257,1500" stroked="true" strokeweight=".5pt" strokecolor="#a7a9ac"/>
            <v:line style="position:absolute" from="4125,1847" to="4257,1847" stroked="true" strokeweight=".5pt" strokecolor="#a7a9ac"/>
            <v:rect style="position:absolute;left:3765;top:729;width:360;height:1468" filled="true" fillcolor="#b1b3b6" stroked="false">
              <v:fill type="solid"/>
            </v:rect>
            <v:line style="position:absolute" from="4617,1153" to="4731,1153" stroked="true" strokeweight=".5pt" strokecolor="#a7a9ac"/>
            <v:line style="position:absolute" from="4617,1500" to="4731,1500" stroked="true" strokeweight=".5pt" strokecolor="#a7a9ac"/>
            <v:line style="position:absolute" from="4617,1847" to="4731,1847" stroked="true" strokeweight=".5pt" strokecolor="#a7a9ac"/>
            <v:rect style="position:absolute;left:4257;top:586;width:360;height:1612" filled="true" fillcolor="#b1b3b6" stroked="false">
              <v:fill type="solid"/>
            </v:rect>
            <v:line style="position:absolute" from="5091,1153" to="5211,1153" stroked="true" strokeweight=".5pt" strokecolor="#a7a9ac"/>
            <v:line style="position:absolute" from="5091,1500" to="5211,1500" stroked="true" strokeweight=".5pt" strokecolor="#a7a9ac"/>
            <v:line style="position:absolute" from="5091,1847" to="5211,1847" stroked="true" strokeweight=".5pt" strokecolor="#a7a9ac"/>
            <v:rect style="position:absolute;left:4731;top:424;width:360;height:1774" filled="true" fillcolor="#b1b3b6" stroked="false">
              <v:fill type="solid"/>
            </v:rect>
            <v:line style="position:absolute" from="5571,806" to="5697,806" stroked="true" strokeweight=".5pt" strokecolor="#a7a9ac"/>
            <v:line style="position:absolute" from="5571,1153" to="5697,1153" stroked="true" strokeweight=".5pt" strokecolor="#a7a9ac"/>
            <v:line style="position:absolute" from="5571,1500" to="5697,1500" stroked="true" strokeweight=".5pt" strokecolor="#a7a9ac"/>
            <v:line style="position:absolute" from="5571,1847" to="5697,1847" stroked="true" strokeweight=".5pt" strokecolor="#a7a9ac"/>
            <v:rect style="position:absolute;left:5211;top:251;width:360;height:1947" filled="true" fillcolor="#b1b3b6" stroked="false">
              <v:fill type="solid"/>
            </v:rect>
            <v:line style="position:absolute" from="6057,806" to="6171,806" stroked="true" strokeweight=".5pt" strokecolor="#a7a9ac"/>
            <v:line style="position:absolute" from="6057,1153" to="6171,1153" stroked="true" strokeweight=".5pt" strokecolor="#a7a9ac"/>
            <v:line style="position:absolute" from="6057,1500" to="6171,1500" stroked="true" strokeweight=".5pt" strokecolor="#a7a9ac"/>
            <v:line style="position:absolute" from="6057,1847" to="6171,1847" stroked="true" strokeweight=".5pt" strokecolor="#a7a9ac"/>
            <v:rect style="position:absolute;left:5697;top:150;width:360;height:2048" filled="true" fillcolor="#b1b3b6" stroked="false">
              <v:fill type="solid"/>
            </v:rect>
            <v:line style="position:absolute" from="6531,459" to="6572,459" stroked="true" strokeweight=".5pt" strokecolor="#a7a9ac"/>
            <v:line style="position:absolute" from="6531,806" to="6572,806" stroked="true" strokeweight=".5pt" strokecolor="#a7a9ac"/>
            <v:line style="position:absolute" from="6531,1153" to="6572,1153" stroked="true" strokeweight=".5pt" strokecolor="#a7a9ac"/>
            <v:line style="position:absolute" from="6531,1500" to="6572,1500" stroked="true" strokeweight=".5pt" strokecolor="#a7a9ac"/>
            <v:line style="position:absolute" from="6531,1847" to="6572,1847" stroked="true" strokeweight=".5pt" strokecolor="#a7a9ac"/>
            <v:rect style="position:absolute;left:6171;top:133;width:360;height:2065" filled="true" fillcolor="#b1b3b6" stroked="false">
              <v:fill type="solid"/>
            </v:rect>
            <v:shape style="position:absolute;left:5701;top:25;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69</w:t>
                    </w:r>
                    <w:r>
                      <w:rPr>
                        <w:rFonts w:ascii="Cambria"/>
                        <w:color w:val="231F20"/>
                        <w:spacing w:val="-17"/>
                        <w:sz w:val="12"/>
                      </w:rPr>
                      <w:t> </w:t>
                    </w:r>
                    <w:r>
                      <w:rPr>
                        <w:rFonts w:ascii="Cambria"/>
                        <w:color w:val="231F20"/>
                        <w:sz w:val="12"/>
                      </w:rPr>
                      <w:t>569</w:t>
                    </w:r>
                  </w:p>
                </w:txbxContent>
              </v:textbox>
              <w10:wrap type="none"/>
            </v:shape>
            <v:shape style="position:absolute;left:6171;top:2;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69</w:t>
                    </w:r>
                    <w:r>
                      <w:rPr>
                        <w:rFonts w:ascii="Cambria"/>
                        <w:color w:val="231F20"/>
                        <w:spacing w:val="-17"/>
                        <w:sz w:val="12"/>
                      </w:rPr>
                      <w:t> </w:t>
                    </w:r>
                    <w:r>
                      <w:rPr>
                        <w:rFonts w:ascii="Cambria"/>
                        <w:color w:val="231F20"/>
                        <w:sz w:val="12"/>
                      </w:rPr>
                      <w:t>809</w:t>
                    </w:r>
                  </w:p>
                </w:txbxContent>
              </v:textbox>
              <w10:wrap type="none"/>
            </v:shape>
            <v:shape style="position:absolute;left:5211;top:132;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66</w:t>
                    </w:r>
                    <w:r>
                      <w:rPr>
                        <w:rFonts w:ascii="Cambria"/>
                        <w:color w:val="231F20"/>
                        <w:spacing w:val="-17"/>
                        <w:sz w:val="12"/>
                      </w:rPr>
                      <w:t> </w:t>
                    </w:r>
                    <w:r>
                      <w:rPr>
                        <w:rFonts w:ascii="Cambria"/>
                        <w:color w:val="231F20"/>
                        <w:sz w:val="12"/>
                      </w:rPr>
                      <w:t>190</w:t>
                    </w:r>
                  </w:p>
                </w:txbxContent>
              </v:textbox>
              <w10:wrap type="none"/>
            </v:shape>
            <v:shape style="position:absolute;left:4731;top:300;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61</w:t>
                    </w:r>
                    <w:r>
                      <w:rPr>
                        <w:rFonts w:ascii="Cambria"/>
                        <w:color w:val="231F20"/>
                        <w:spacing w:val="-17"/>
                        <w:sz w:val="12"/>
                      </w:rPr>
                      <w:t> </w:t>
                    </w:r>
                    <w:r>
                      <w:rPr>
                        <w:rFonts w:ascii="Cambria"/>
                        <w:color w:val="231F20"/>
                        <w:sz w:val="12"/>
                      </w:rPr>
                      <w:t>251</w:t>
                    </w:r>
                  </w:p>
                </w:txbxContent>
              </v:textbox>
              <w10:wrap type="none"/>
            </v:shape>
            <v:shape style="position:absolute;left:4261;top:468;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56</w:t>
                    </w:r>
                    <w:r>
                      <w:rPr>
                        <w:rFonts w:ascii="Cambria"/>
                        <w:color w:val="231F20"/>
                        <w:spacing w:val="-17"/>
                        <w:sz w:val="12"/>
                      </w:rPr>
                      <w:t> </w:t>
                    </w:r>
                    <w:r>
                      <w:rPr>
                        <w:rFonts w:ascii="Cambria"/>
                        <w:color w:val="231F20"/>
                        <w:sz w:val="12"/>
                      </w:rPr>
                      <w:t>505</w:t>
                    </w:r>
                  </w:p>
                </w:txbxContent>
              </v:textbox>
              <w10:wrap type="none"/>
            </v:shape>
            <v:shape style="position:absolute;left:3767;top:602;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52</w:t>
                    </w:r>
                    <w:r>
                      <w:rPr>
                        <w:rFonts w:ascii="Cambria"/>
                        <w:color w:val="231F20"/>
                        <w:spacing w:val="-17"/>
                        <w:sz w:val="12"/>
                      </w:rPr>
                      <w:t> </w:t>
                    </w:r>
                    <w:r>
                      <w:rPr>
                        <w:rFonts w:ascii="Cambria"/>
                        <w:color w:val="231F20"/>
                        <w:sz w:val="12"/>
                      </w:rPr>
                      <w:t>495</w:t>
                    </w:r>
                  </w:p>
                </w:txbxContent>
              </v:textbox>
              <w10:wrap type="none"/>
            </v:shape>
            <v:shape style="position:absolute;left:3287;top:726;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48</w:t>
                    </w:r>
                    <w:r>
                      <w:rPr>
                        <w:rFonts w:ascii="Cambria"/>
                        <w:color w:val="231F20"/>
                        <w:spacing w:val="-17"/>
                        <w:sz w:val="12"/>
                      </w:rPr>
                      <w:t> </w:t>
                    </w:r>
                    <w:r>
                      <w:rPr>
                        <w:rFonts w:ascii="Cambria"/>
                        <w:color w:val="231F20"/>
                        <w:sz w:val="12"/>
                      </w:rPr>
                      <w:t>640</w:t>
                    </w:r>
                  </w:p>
                </w:txbxContent>
              </v:textbox>
              <w10:wrap type="none"/>
            </v:shape>
            <v:shape style="position:absolute;left:2802;top:828;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45</w:t>
                    </w:r>
                    <w:r>
                      <w:rPr>
                        <w:rFonts w:ascii="Cambria"/>
                        <w:color w:val="231F20"/>
                        <w:spacing w:val="-17"/>
                        <w:sz w:val="12"/>
                      </w:rPr>
                      <w:t> </w:t>
                    </w:r>
                    <w:r>
                      <w:rPr>
                        <w:rFonts w:ascii="Cambria"/>
                        <w:color w:val="231F20"/>
                        <w:sz w:val="12"/>
                      </w:rPr>
                      <w:t>993</w:t>
                    </w:r>
                  </w:p>
                </w:txbxContent>
              </v:textbox>
              <w10:wrap type="none"/>
            </v:shape>
            <v:shape style="position:absolute;left:2293;top:1199;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35</w:t>
                    </w:r>
                    <w:r>
                      <w:rPr>
                        <w:rFonts w:ascii="Cambria"/>
                        <w:color w:val="231F20"/>
                        <w:spacing w:val="-17"/>
                        <w:sz w:val="12"/>
                      </w:rPr>
                      <w:t> </w:t>
                    </w:r>
                    <w:r>
                      <w:rPr>
                        <w:rFonts w:ascii="Cambria"/>
                        <w:color w:val="231F20"/>
                        <w:sz w:val="12"/>
                      </w:rPr>
                      <w:t>317</w:t>
                    </w:r>
                  </w:p>
                </w:txbxContent>
              </v:textbox>
              <w10:wrap type="none"/>
            </v:shape>
            <v:shape style="position:absolute;left:1842;top:1673;width:344;height:120" type="#_x0000_t202" filled="false" stroked="false">
              <v:textbox inset="0,0,0,0">
                <w:txbxContent>
                  <w:p>
                    <w:pPr>
                      <w:spacing w:line="119" w:lineRule="exact" w:before="0"/>
                      <w:ind w:left="0" w:right="-18" w:firstLine="0"/>
                      <w:jc w:val="left"/>
                      <w:rPr>
                        <w:rFonts w:ascii="Cambria"/>
                        <w:sz w:val="12"/>
                      </w:rPr>
                    </w:pPr>
                    <w:r>
                      <w:rPr>
                        <w:rFonts w:ascii="Cambria"/>
                        <w:color w:val="231F20"/>
                        <w:sz w:val="12"/>
                      </w:rPr>
                      <w:t>21</w:t>
                    </w:r>
                    <w:r>
                      <w:rPr>
                        <w:rFonts w:ascii="Cambria"/>
                        <w:color w:val="231F20"/>
                        <w:spacing w:val="-17"/>
                        <w:sz w:val="12"/>
                      </w:rPr>
                      <w:t> </w:t>
                    </w:r>
                    <w:r>
                      <w:rPr>
                        <w:rFonts w:ascii="Cambria"/>
                        <w:color w:val="231F20"/>
                        <w:sz w:val="12"/>
                      </w:rPr>
                      <w:t>436</w:t>
                    </w:r>
                  </w:p>
                </w:txbxContent>
              </v:textbox>
              <w10:wrap type="none"/>
            </v:shape>
            <w10:wrap type="none"/>
          </v:group>
        </w:pict>
      </w:r>
      <w:r>
        <w:rPr>
          <w:rFonts w:ascii="Cambria" w:hAnsi="Cambria"/>
          <w:color w:val="231F20"/>
          <w:sz w:val="16"/>
        </w:rPr>
        <w:t>70 000 —</w:t>
      </w:r>
    </w:p>
    <w:p>
      <w:pPr>
        <w:pStyle w:val="BodyText"/>
        <w:spacing w:before="6"/>
        <w:rPr>
          <w:rFonts w:ascii="Cambria"/>
          <w:sz w:val="13"/>
        </w:rPr>
      </w:pPr>
    </w:p>
    <w:p>
      <w:pPr>
        <w:spacing w:before="0"/>
        <w:ind w:left="243" w:right="25" w:firstLine="0"/>
        <w:jc w:val="left"/>
        <w:rPr>
          <w:rFonts w:ascii="Cambria" w:hAnsi="Cambria"/>
          <w:sz w:val="16"/>
        </w:rPr>
      </w:pPr>
      <w:r>
        <w:rPr>
          <w:rFonts w:ascii="Cambria" w:hAnsi="Cambria"/>
          <w:color w:val="231F20"/>
          <w:sz w:val="16"/>
        </w:rPr>
        <w:t>60 000 —</w:t>
      </w:r>
    </w:p>
    <w:p>
      <w:pPr>
        <w:pStyle w:val="BodyText"/>
        <w:spacing w:before="6"/>
        <w:rPr>
          <w:rFonts w:ascii="Cambria"/>
          <w:sz w:val="13"/>
        </w:rPr>
      </w:pPr>
    </w:p>
    <w:p>
      <w:pPr>
        <w:spacing w:before="0"/>
        <w:ind w:left="243" w:right="25" w:firstLine="0"/>
        <w:jc w:val="left"/>
        <w:rPr>
          <w:rFonts w:ascii="Cambria" w:hAnsi="Cambria"/>
          <w:sz w:val="16"/>
        </w:rPr>
      </w:pPr>
      <w:r>
        <w:rPr>
          <w:rFonts w:ascii="Cambria" w:hAnsi="Cambria"/>
          <w:color w:val="231F20"/>
          <w:sz w:val="16"/>
        </w:rPr>
        <w:t>50 000 —</w:t>
      </w:r>
    </w:p>
    <w:p>
      <w:pPr>
        <w:pStyle w:val="BodyText"/>
        <w:spacing w:before="6"/>
        <w:rPr>
          <w:rFonts w:ascii="Cambria"/>
          <w:sz w:val="13"/>
        </w:rPr>
      </w:pPr>
    </w:p>
    <w:p>
      <w:pPr>
        <w:spacing w:before="0"/>
        <w:ind w:left="243" w:right="25" w:firstLine="0"/>
        <w:jc w:val="left"/>
        <w:rPr>
          <w:rFonts w:ascii="Cambria" w:hAnsi="Cambria"/>
          <w:sz w:val="16"/>
        </w:rPr>
      </w:pPr>
      <w:r>
        <w:rPr>
          <w:rFonts w:ascii="Cambria" w:hAnsi="Cambria"/>
          <w:color w:val="231F20"/>
          <w:sz w:val="16"/>
        </w:rPr>
        <w:t>40 000 —</w:t>
      </w:r>
    </w:p>
    <w:p>
      <w:pPr>
        <w:pStyle w:val="BodyText"/>
        <w:spacing w:before="6"/>
        <w:rPr>
          <w:rFonts w:ascii="Cambria"/>
          <w:sz w:val="13"/>
        </w:rPr>
      </w:pPr>
    </w:p>
    <w:p>
      <w:pPr>
        <w:spacing w:before="0"/>
        <w:ind w:left="243" w:right="25" w:firstLine="0"/>
        <w:jc w:val="left"/>
        <w:rPr>
          <w:rFonts w:ascii="Cambria" w:hAnsi="Cambria"/>
          <w:sz w:val="16"/>
        </w:rPr>
      </w:pPr>
      <w:r>
        <w:rPr>
          <w:rFonts w:ascii="Cambria" w:hAnsi="Cambria"/>
          <w:color w:val="231F20"/>
          <w:sz w:val="16"/>
        </w:rPr>
        <w:t>30 000 —</w:t>
      </w:r>
    </w:p>
    <w:p>
      <w:pPr>
        <w:pStyle w:val="BodyText"/>
        <w:spacing w:before="6"/>
        <w:rPr>
          <w:rFonts w:ascii="Cambria"/>
          <w:sz w:val="13"/>
        </w:rPr>
      </w:pPr>
    </w:p>
    <w:p>
      <w:pPr>
        <w:spacing w:before="0"/>
        <w:ind w:left="243" w:right="25" w:firstLine="0"/>
        <w:jc w:val="left"/>
        <w:rPr>
          <w:rFonts w:ascii="Cambria" w:hAnsi="Cambria"/>
          <w:sz w:val="16"/>
        </w:rPr>
      </w:pPr>
      <w:r>
        <w:rPr>
          <w:rFonts w:ascii="Cambria" w:hAnsi="Cambria"/>
          <w:color w:val="231F20"/>
          <w:sz w:val="16"/>
        </w:rPr>
        <w:t>20 000 —</w:t>
      </w:r>
    </w:p>
    <w:p>
      <w:pPr>
        <w:pStyle w:val="BodyText"/>
        <w:spacing w:before="6"/>
        <w:rPr>
          <w:rFonts w:ascii="Cambria"/>
          <w:sz w:val="13"/>
        </w:rPr>
      </w:pPr>
    </w:p>
    <w:p>
      <w:pPr>
        <w:spacing w:line="153" w:lineRule="exact" w:before="0"/>
        <w:ind w:left="243" w:right="25" w:firstLine="0"/>
        <w:jc w:val="left"/>
        <w:rPr>
          <w:rFonts w:ascii="Cambria" w:hAnsi="Cambria"/>
          <w:sz w:val="16"/>
        </w:rPr>
      </w:pPr>
      <w:r>
        <w:rPr>
          <w:rFonts w:ascii="Cambria" w:hAnsi="Cambria"/>
          <w:color w:val="231F20"/>
          <w:sz w:val="16"/>
        </w:rPr>
        <w:t>10 000 —</w:t>
      </w:r>
    </w:p>
    <w:p>
      <w:pPr>
        <w:spacing w:line="153" w:lineRule="exact" w:before="0"/>
        <w:ind w:left="967" w:right="25" w:firstLine="0"/>
        <w:jc w:val="left"/>
        <w:rPr>
          <w:rFonts w:ascii="Cambria"/>
          <w:sz w:val="16"/>
        </w:rPr>
      </w:pPr>
      <w:r>
        <w:rPr>
          <w:rFonts w:ascii="Cambria"/>
          <w:color w:val="231F20"/>
          <w:sz w:val="16"/>
        </w:rPr>
        <w:t>| 1982 | 1992 | 2002 | 2003 | 2004 | 2005 | 2006 | 2007 | 2008 | 2009  |</w:t>
      </w:r>
    </w:p>
    <w:p>
      <w:pPr>
        <w:spacing w:before="12"/>
        <w:ind w:left="1050" w:right="25" w:firstLine="0"/>
        <w:jc w:val="left"/>
        <w:rPr>
          <w:rFonts w:ascii="Cambria"/>
          <w:sz w:val="16"/>
        </w:rPr>
      </w:pPr>
      <w:r>
        <w:rPr>
          <w:rFonts w:ascii="Cambria"/>
          <w:color w:val="231F20"/>
          <w:sz w:val="16"/>
        </w:rPr>
        <w:t>1991 | 2001 |</w:t>
      </w:r>
    </w:p>
    <w:p>
      <w:pPr>
        <w:spacing w:line="276" w:lineRule="auto" w:before="161"/>
        <w:ind w:left="100" w:right="118" w:firstLine="0"/>
        <w:jc w:val="both"/>
        <w:rPr>
          <w:sz w:val="18"/>
        </w:rPr>
      </w:pPr>
      <w:r>
        <w:rPr>
          <w:rFonts w:ascii="Calibri"/>
          <w:color w:val="231F20"/>
          <w:w w:val="105"/>
          <w:sz w:val="18"/>
        </w:rPr>
        <w:t>fuente: </w:t>
      </w:r>
      <w:r>
        <w:rPr>
          <w:color w:val="231F20"/>
          <w:w w:val="105"/>
          <w:sz w:val="18"/>
        </w:rPr>
        <w:t>fmi, </w:t>
      </w:r>
      <w:r>
        <w:rPr>
          <w:i/>
          <w:color w:val="231F20"/>
          <w:w w:val="105"/>
          <w:sz w:val="18"/>
        </w:rPr>
        <w:t>World Economic Outlook</w:t>
      </w:r>
      <w:r>
        <w:rPr>
          <w:color w:val="231F20"/>
          <w:w w:val="105"/>
          <w:sz w:val="18"/>
        </w:rPr>
        <w:t>, de 1982 a 1991, Informe de octubre de 2000; de 1992 a 2009, Informe de abril de 2010.</w:t>
      </w:r>
    </w:p>
    <w:p>
      <w:pPr>
        <w:pStyle w:val="BodyText"/>
        <w:spacing w:before="6"/>
        <w:rPr>
          <w:sz w:val="25"/>
        </w:rPr>
      </w:pPr>
    </w:p>
    <w:p>
      <w:pPr>
        <w:pStyle w:val="BodyText"/>
        <w:spacing w:line="261" w:lineRule="auto" w:before="1"/>
        <w:ind w:left="100" w:right="900"/>
      </w:pPr>
      <w:r>
        <w:rPr>
          <w:color w:val="231F20"/>
          <w:w w:val="125"/>
        </w:rPr>
        <w:t>las ganancias de las empresas productoras de bienes y servicios en las diferentes</w:t>
      </w:r>
      <w:r>
        <w:rPr>
          <w:color w:val="231F20"/>
          <w:spacing w:val="58"/>
          <w:w w:val="125"/>
        </w:rPr>
        <w:t> </w:t>
      </w:r>
      <w:r>
        <w:rPr>
          <w:color w:val="231F20"/>
          <w:w w:val="125"/>
        </w:rPr>
        <w:t>interpretaciones</w:t>
      </w:r>
    </w:p>
    <w:p>
      <w:pPr>
        <w:pStyle w:val="BodyText"/>
        <w:spacing w:before="8"/>
        <w:rPr>
          <w:sz w:val="21"/>
        </w:rPr>
      </w:pPr>
    </w:p>
    <w:p>
      <w:pPr>
        <w:pStyle w:val="BodyText"/>
        <w:spacing w:line="261" w:lineRule="auto"/>
        <w:ind w:left="100" w:right="117"/>
        <w:jc w:val="both"/>
      </w:pPr>
      <w:r>
        <w:rPr>
          <w:color w:val="231F20"/>
          <w:w w:val="110"/>
        </w:rPr>
        <w:t>Como hemos señalado en nuestros estudios, se muestra que a es- cala mundial y en los países ha existido un gran crecimiento de     las ganancias y de la tasa de ganancia. Estas grandes ganancias del capital productivo, financian gran parte de las ampliaciones de   </w:t>
      </w:r>
      <w:r>
        <w:rPr>
          <w:color w:val="231F20"/>
          <w:spacing w:val="27"/>
          <w:w w:val="110"/>
        </w:rPr>
        <w:t> </w:t>
      </w:r>
      <w:r>
        <w:rPr>
          <w:color w:val="231F20"/>
          <w:w w:val="110"/>
        </w:rPr>
        <w:t>las</w:t>
      </w:r>
    </w:p>
    <w:p>
      <w:pPr>
        <w:spacing w:after="0" w:line="261" w:lineRule="auto"/>
        <w:jc w:val="both"/>
        <w:sectPr>
          <w:headerReference w:type="even" r:id="rId81"/>
          <w:headerReference w:type="default" r:id="rId82"/>
          <w:pgSz w:w="7640" w:h="11900"/>
          <w:pgMar w:header="672" w:footer="0" w:top="860" w:bottom="280" w:left="780" w:right="640"/>
          <w:pgNumType w:start="92"/>
        </w:sectPr>
      </w:pPr>
    </w:p>
    <w:p>
      <w:pPr>
        <w:pStyle w:val="BodyText"/>
        <w:spacing w:before="8"/>
        <w:rPr>
          <w:sz w:val="8"/>
        </w:rPr>
      </w:pPr>
    </w:p>
    <w:p>
      <w:pPr>
        <w:pStyle w:val="BodyText"/>
        <w:spacing w:line="261" w:lineRule="auto" w:before="67"/>
        <w:ind w:left="100" w:right="117"/>
        <w:jc w:val="both"/>
      </w:pPr>
      <w:r>
        <w:rPr>
          <w:color w:val="231F20"/>
          <w:w w:val="110"/>
        </w:rPr>
        <w:t>empresas</w:t>
      </w:r>
      <w:r>
        <w:rPr>
          <w:color w:val="231F20"/>
          <w:spacing w:val="-25"/>
          <w:w w:val="110"/>
        </w:rPr>
        <w:t> </w:t>
      </w:r>
      <w:r>
        <w:rPr>
          <w:color w:val="231F20"/>
          <w:w w:val="110"/>
        </w:rPr>
        <w:t>nacionales</w:t>
      </w:r>
      <w:r>
        <w:rPr>
          <w:color w:val="231F20"/>
          <w:spacing w:val="-25"/>
          <w:w w:val="110"/>
        </w:rPr>
        <w:t> </w:t>
      </w:r>
      <w:r>
        <w:rPr>
          <w:color w:val="231F20"/>
          <w:w w:val="110"/>
        </w:rPr>
        <w:t>y</w:t>
      </w:r>
      <w:r>
        <w:rPr>
          <w:color w:val="231F20"/>
          <w:spacing w:val="-25"/>
          <w:w w:val="110"/>
        </w:rPr>
        <w:t> </w:t>
      </w:r>
      <w:r>
        <w:rPr>
          <w:color w:val="231F20"/>
          <w:w w:val="110"/>
        </w:rPr>
        <w:t>mundiales,</w:t>
      </w:r>
      <w:r>
        <w:rPr>
          <w:color w:val="231F20"/>
          <w:spacing w:val="-25"/>
          <w:w w:val="110"/>
        </w:rPr>
        <w:t> </w:t>
      </w:r>
      <w:r>
        <w:rPr>
          <w:color w:val="231F20"/>
          <w:w w:val="110"/>
        </w:rPr>
        <w:t>las</w:t>
      </w:r>
      <w:r>
        <w:rPr>
          <w:color w:val="231F20"/>
          <w:spacing w:val="-25"/>
          <w:w w:val="110"/>
        </w:rPr>
        <w:t> </w:t>
      </w:r>
      <w:r>
        <w:rPr>
          <w:color w:val="231F20"/>
          <w:w w:val="110"/>
        </w:rPr>
        <w:t>fusiones</w:t>
      </w:r>
      <w:r>
        <w:rPr>
          <w:color w:val="231F20"/>
          <w:spacing w:val="-25"/>
          <w:w w:val="110"/>
        </w:rPr>
        <w:t> </w:t>
      </w:r>
      <w:r>
        <w:rPr>
          <w:color w:val="231F20"/>
          <w:w w:val="110"/>
        </w:rPr>
        <w:t>y</w:t>
      </w:r>
      <w:r>
        <w:rPr>
          <w:color w:val="231F20"/>
          <w:spacing w:val="-25"/>
          <w:w w:val="110"/>
        </w:rPr>
        <w:t> </w:t>
      </w:r>
      <w:r>
        <w:rPr>
          <w:color w:val="231F20"/>
          <w:w w:val="110"/>
        </w:rPr>
        <w:t>compras</w:t>
      </w:r>
      <w:r>
        <w:rPr>
          <w:color w:val="231F20"/>
          <w:spacing w:val="-25"/>
          <w:w w:val="110"/>
        </w:rPr>
        <w:t> </w:t>
      </w:r>
      <w:r>
        <w:rPr>
          <w:color w:val="231F20"/>
          <w:w w:val="110"/>
        </w:rPr>
        <w:t>de</w:t>
      </w:r>
      <w:r>
        <w:rPr>
          <w:color w:val="231F20"/>
          <w:spacing w:val="-25"/>
          <w:w w:val="110"/>
        </w:rPr>
        <w:t> </w:t>
      </w:r>
      <w:r>
        <w:rPr>
          <w:color w:val="231F20"/>
          <w:w w:val="110"/>
        </w:rPr>
        <w:t>empresas. Las ganancias son tan elevadas que una parte significativa de ellas es colocada en el sistema financiero. Las empresas productoras de bienes y servicios —el capital productivo—, se han transformado</w:t>
      </w:r>
      <w:r>
        <w:rPr>
          <w:color w:val="231F20"/>
          <w:spacing w:val="-30"/>
          <w:w w:val="110"/>
        </w:rPr>
        <w:t> </w:t>
      </w:r>
      <w:r>
        <w:rPr>
          <w:color w:val="231F20"/>
          <w:w w:val="110"/>
        </w:rPr>
        <w:t>en prestamistas netas del sistema financiero. Han dejado de ser clientes significativos</w:t>
      </w:r>
      <w:r>
        <w:rPr>
          <w:color w:val="231F20"/>
          <w:spacing w:val="-25"/>
          <w:w w:val="110"/>
        </w:rPr>
        <w:t> </w:t>
      </w:r>
      <w:r>
        <w:rPr>
          <w:color w:val="231F20"/>
          <w:w w:val="110"/>
        </w:rPr>
        <w:t>del</w:t>
      </w:r>
      <w:r>
        <w:rPr>
          <w:color w:val="231F20"/>
          <w:spacing w:val="-25"/>
          <w:w w:val="110"/>
        </w:rPr>
        <w:t> </w:t>
      </w:r>
      <w:r>
        <w:rPr>
          <w:color w:val="231F20"/>
          <w:w w:val="110"/>
        </w:rPr>
        <w:t>sistema</w:t>
      </w:r>
      <w:r>
        <w:rPr>
          <w:color w:val="231F20"/>
          <w:spacing w:val="-25"/>
          <w:w w:val="110"/>
        </w:rPr>
        <w:t> </w:t>
      </w:r>
      <w:r>
        <w:rPr>
          <w:color w:val="231F20"/>
          <w:w w:val="110"/>
        </w:rPr>
        <w:t>financiero.</w:t>
      </w:r>
    </w:p>
    <w:p>
      <w:pPr>
        <w:pStyle w:val="BodyText"/>
        <w:spacing w:line="261" w:lineRule="auto"/>
        <w:ind w:left="100" w:right="115" w:firstLine="240"/>
        <w:jc w:val="right"/>
      </w:pPr>
      <w:r>
        <w:rPr>
          <w:color w:val="231F20"/>
          <w:w w:val="110"/>
        </w:rPr>
        <w:t>Pero</w:t>
      </w:r>
      <w:r>
        <w:rPr>
          <w:color w:val="231F20"/>
          <w:spacing w:val="-31"/>
          <w:w w:val="110"/>
        </w:rPr>
        <w:t> </w:t>
      </w:r>
      <w:r>
        <w:rPr>
          <w:color w:val="231F20"/>
          <w:w w:val="110"/>
        </w:rPr>
        <w:t>previo</w:t>
      </w:r>
      <w:r>
        <w:rPr>
          <w:color w:val="231F20"/>
          <w:spacing w:val="-31"/>
          <w:w w:val="110"/>
        </w:rPr>
        <w:t> </w:t>
      </w:r>
      <w:r>
        <w:rPr>
          <w:color w:val="231F20"/>
          <w:w w:val="110"/>
        </w:rPr>
        <w:t>a</w:t>
      </w:r>
      <w:r>
        <w:rPr>
          <w:color w:val="231F20"/>
          <w:spacing w:val="-31"/>
          <w:w w:val="110"/>
        </w:rPr>
        <w:t> </w:t>
      </w:r>
      <w:r>
        <w:rPr>
          <w:color w:val="231F20"/>
          <w:w w:val="110"/>
        </w:rPr>
        <w:t>la</w:t>
      </w:r>
      <w:r>
        <w:rPr>
          <w:color w:val="231F20"/>
          <w:spacing w:val="-31"/>
          <w:w w:val="110"/>
        </w:rPr>
        <w:t> </w:t>
      </w:r>
      <w:r>
        <w:rPr>
          <w:color w:val="231F20"/>
          <w:w w:val="110"/>
        </w:rPr>
        <w:t>crisis,</w:t>
      </w:r>
      <w:r>
        <w:rPr>
          <w:color w:val="231F20"/>
          <w:spacing w:val="-31"/>
          <w:w w:val="110"/>
        </w:rPr>
        <w:t> </w:t>
      </w:r>
      <w:r>
        <w:rPr>
          <w:color w:val="231F20"/>
          <w:w w:val="110"/>
        </w:rPr>
        <w:t>las</w:t>
      </w:r>
      <w:r>
        <w:rPr>
          <w:color w:val="231F20"/>
          <w:spacing w:val="-31"/>
          <w:w w:val="110"/>
        </w:rPr>
        <w:t> </w:t>
      </w:r>
      <w:r>
        <w:rPr>
          <w:color w:val="231F20"/>
          <w:w w:val="110"/>
        </w:rPr>
        <w:t>ganancias</w:t>
      </w:r>
      <w:r>
        <w:rPr>
          <w:color w:val="231F20"/>
          <w:spacing w:val="-31"/>
          <w:w w:val="110"/>
        </w:rPr>
        <w:t> </w:t>
      </w:r>
      <w:r>
        <w:rPr>
          <w:color w:val="231F20"/>
          <w:w w:val="110"/>
        </w:rPr>
        <w:t>y</w:t>
      </w:r>
      <w:r>
        <w:rPr>
          <w:color w:val="231F20"/>
          <w:spacing w:val="-31"/>
          <w:w w:val="110"/>
        </w:rPr>
        <w:t> </w:t>
      </w:r>
      <w:r>
        <w:rPr>
          <w:color w:val="231F20"/>
          <w:w w:val="110"/>
        </w:rPr>
        <w:t>la</w:t>
      </w:r>
      <w:r>
        <w:rPr>
          <w:color w:val="231F20"/>
          <w:spacing w:val="-31"/>
          <w:w w:val="110"/>
        </w:rPr>
        <w:t> </w:t>
      </w:r>
      <w:r>
        <w:rPr>
          <w:color w:val="231F20"/>
          <w:w w:val="110"/>
        </w:rPr>
        <w:t>tasa</w:t>
      </w:r>
      <w:r>
        <w:rPr>
          <w:color w:val="231F20"/>
          <w:spacing w:val="-31"/>
          <w:w w:val="110"/>
        </w:rPr>
        <w:t> </w:t>
      </w:r>
      <w:r>
        <w:rPr>
          <w:color w:val="231F20"/>
          <w:w w:val="110"/>
        </w:rPr>
        <w:t>de</w:t>
      </w:r>
      <w:r>
        <w:rPr>
          <w:color w:val="231F20"/>
          <w:spacing w:val="-31"/>
          <w:w w:val="110"/>
        </w:rPr>
        <w:t> </w:t>
      </w:r>
      <w:r>
        <w:rPr>
          <w:color w:val="231F20"/>
          <w:w w:val="110"/>
        </w:rPr>
        <w:t>ganancias</w:t>
      </w:r>
      <w:r>
        <w:rPr>
          <w:color w:val="231F20"/>
          <w:spacing w:val="-31"/>
          <w:w w:val="110"/>
        </w:rPr>
        <w:t> </w:t>
      </w:r>
      <w:r>
        <w:rPr>
          <w:color w:val="231F20"/>
          <w:w w:val="110"/>
        </w:rPr>
        <w:t>que</w:t>
      </w:r>
      <w:r>
        <w:rPr>
          <w:color w:val="231F20"/>
          <w:spacing w:val="-31"/>
          <w:w w:val="110"/>
        </w:rPr>
        <w:t> </w:t>
      </w:r>
      <w:r>
        <w:rPr>
          <w:color w:val="231F20"/>
          <w:spacing w:val="-2"/>
          <w:w w:val="110"/>
        </w:rPr>
        <w:t>habían</w:t>
      </w:r>
      <w:r>
        <w:rPr>
          <w:color w:val="231F20"/>
          <w:spacing w:val="-2"/>
          <w:w w:val="113"/>
        </w:rPr>
        <w:t> </w:t>
      </w:r>
      <w:r>
        <w:rPr>
          <w:color w:val="231F20"/>
          <w:w w:val="110"/>
        </w:rPr>
        <w:t>crecido fuertemente en los últimos decenios empiezan</w:t>
      </w:r>
      <w:r>
        <w:rPr>
          <w:color w:val="231F20"/>
          <w:spacing w:val="37"/>
          <w:w w:val="110"/>
        </w:rPr>
        <w:t> </w:t>
      </w:r>
      <w:r>
        <w:rPr>
          <w:color w:val="231F20"/>
          <w:w w:val="110"/>
        </w:rPr>
        <w:t>a</w:t>
      </w:r>
      <w:r>
        <w:rPr>
          <w:color w:val="231F20"/>
          <w:spacing w:val="21"/>
          <w:w w:val="110"/>
        </w:rPr>
        <w:t> </w:t>
      </w:r>
      <w:r>
        <w:rPr>
          <w:color w:val="231F20"/>
          <w:spacing w:val="-4"/>
          <w:w w:val="110"/>
        </w:rPr>
        <w:t>disminuir.</w:t>
      </w:r>
      <w:r>
        <w:rPr>
          <w:color w:val="231F20"/>
          <w:w w:val="104"/>
        </w:rPr>
        <w:t> </w:t>
      </w:r>
      <w:r>
        <w:rPr>
          <w:color w:val="231F20"/>
          <w:w w:val="110"/>
        </w:rPr>
        <w:t>El comportamiento de las ganancias y de las tasas de ganancia,</w:t>
      </w:r>
      <w:r>
        <w:rPr>
          <w:color w:val="231F20"/>
          <w:spacing w:val="-27"/>
          <w:w w:val="110"/>
        </w:rPr>
        <w:t> </w:t>
      </w:r>
      <w:r>
        <w:rPr>
          <w:color w:val="231F20"/>
          <w:w w:val="110"/>
        </w:rPr>
        <w:t>en</w:t>
      </w:r>
      <w:r>
        <w:rPr>
          <w:color w:val="231F20"/>
          <w:spacing w:val="-3"/>
          <w:w w:val="110"/>
        </w:rPr>
        <w:t> </w:t>
      </w:r>
      <w:r>
        <w:rPr>
          <w:color w:val="231F20"/>
          <w:w w:val="110"/>
        </w:rPr>
        <w:t>la</w:t>
      </w:r>
      <w:r>
        <w:rPr>
          <w:color w:val="231F20"/>
          <w:spacing w:val="-2"/>
          <w:w w:val="105"/>
        </w:rPr>
        <w:t> </w:t>
      </w:r>
      <w:r>
        <w:rPr>
          <w:color w:val="231F20"/>
          <w:w w:val="110"/>
        </w:rPr>
        <w:t>explicación</w:t>
      </w:r>
      <w:r>
        <w:rPr>
          <w:color w:val="231F20"/>
          <w:spacing w:val="-12"/>
          <w:w w:val="110"/>
        </w:rPr>
        <w:t> </w:t>
      </w:r>
      <w:r>
        <w:rPr>
          <w:color w:val="231F20"/>
          <w:w w:val="110"/>
        </w:rPr>
        <w:t>del</w:t>
      </w:r>
      <w:r>
        <w:rPr>
          <w:color w:val="231F20"/>
          <w:spacing w:val="-12"/>
          <w:w w:val="110"/>
        </w:rPr>
        <w:t> </w:t>
      </w:r>
      <w:r>
        <w:rPr>
          <w:color w:val="231F20"/>
          <w:w w:val="110"/>
        </w:rPr>
        <w:t>origen</w:t>
      </w:r>
      <w:r>
        <w:rPr>
          <w:color w:val="231F20"/>
          <w:spacing w:val="-12"/>
          <w:w w:val="110"/>
        </w:rPr>
        <w:t> </w:t>
      </w:r>
      <w:r>
        <w:rPr>
          <w:color w:val="231F20"/>
          <w:w w:val="110"/>
        </w:rPr>
        <w:t>y</w:t>
      </w:r>
      <w:r>
        <w:rPr>
          <w:color w:val="231F20"/>
          <w:spacing w:val="-12"/>
          <w:w w:val="110"/>
        </w:rPr>
        <w:t> </w:t>
      </w:r>
      <w:r>
        <w:rPr>
          <w:color w:val="231F20"/>
          <w:w w:val="110"/>
        </w:rPr>
        <w:t>desarrollo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actual,</w:t>
      </w:r>
      <w:r>
        <w:rPr>
          <w:color w:val="231F20"/>
          <w:spacing w:val="-12"/>
          <w:w w:val="110"/>
        </w:rPr>
        <w:t> </w:t>
      </w:r>
      <w:r>
        <w:rPr>
          <w:color w:val="231F20"/>
          <w:w w:val="110"/>
        </w:rPr>
        <w:t>es</w:t>
      </w:r>
      <w:r>
        <w:rPr>
          <w:color w:val="231F20"/>
          <w:spacing w:val="-12"/>
          <w:w w:val="110"/>
        </w:rPr>
        <w:t> </w:t>
      </w:r>
      <w:r>
        <w:rPr>
          <w:color w:val="231F20"/>
          <w:spacing w:val="-2"/>
          <w:w w:val="110"/>
        </w:rPr>
        <w:t>fundamental.</w:t>
      </w:r>
      <w:r>
        <w:rPr>
          <w:color w:val="231F20"/>
          <w:spacing w:val="-2"/>
          <w:w w:val="111"/>
        </w:rPr>
        <w:t> </w:t>
      </w:r>
      <w:r>
        <w:rPr>
          <w:color w:val="231F20"/>
          <w:w w:val="110"/>
        </w:rPr>
        <w:t>Nuestro análisis es completamente opuesto al de</w:t>
      </w:r>
      <w:r>
        <w:rPr>
          <w:color w:val="231F20"/>
          <w:spacing w:val="29"/>
          <w:w w:val="110"/>
        </w:rPr>
        <w:t> </w:t>
      </w:r>
      <w:r>
        <w:rPr>
          <w:color w:val="231F20"/>
          <w:w w:val="110"/>
        </w:rPr>
        <w:t>Brenner</w:t>
      </w:r>
      <w:r>
        <w:rPr>
          <w:color w:val="231F20"/>
          <w:spacing w:val="4"/>
          <w:w w:val="110"/>
        </w:rPr>
        <w:t> </w:t>
      </w:r>
      <w:r>
        <w:rPr>
          <w:color w:val="231F20"/>
          <w:w w:val="110"/>
        </w:rPr>
        <w:t>(1999),</w:t>
      </w:r>
      <w:r>
        <w:rPr>
          <w:color w:val="231F20"/>
          <w:spacing w:val="2"/>
          <w:w w:val="110"/>
        </w:rPr>
        <w:t> </w:t>
      </w:r>
      <w:r>
        <w:rPr>
          <w:color w:val="231F20"/>
          <w:w w:val="110"/>
        </w:rPr>
        <w:t>quien afirma que en las economías</w:t>
      </w:r>
      <w:r>
        <w:rPr>
          <w:color w:val="231F20"/>
          <w:spacing w:val="45"/>
          <w:w w:val="110"/>
        </w:rPr>
        <w:t> </w:t>
      </w:r>
      <w:r>
        <w:rPr>
          <w:color w:val="231F20"/>
          <w:w w:val="110"/>
        </w:rPr>
        <w:t>desarrolladas,</w:t>
      </w:r>
      <w:r>
        <w:rPr>
          <w:color w:val="231F20"/>
          <w:spacing w:val="35"/>
          <w:w w:val="110"/>
        </w:rPr>
        <w:t> </w:t>
      </w:r>
      <w:r>
        <w:rPr>
          <w:color w:val="231F20"/>
          <w:w w:val="110"/>
        </w:rPr>
        <w:t>particularmente</w:t>
      </w:r>
      <w:r>
        <w:rPr>
          <w:color w:val="231F20"/>
          <w:spacing w:val="2"/>
          <w:w w:val="112"/>
        </w:rPr>
        <w:t> </w:t>
      </w:r>
      <w:r>
        <w:rPr>
          <w:color w:val="231F20"/>
          <w:w w:val="110"/>
        </w:rPr>
        <w:t>en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continua</w:t>
      </w:r>
      <w:r>
        <w:rPr>
          <w:color w:val="231F20"/>
          <w:spacing w:val="22"/>
          <w:w w:val="110"/>
        </w:rPr>
        <w:t> </w:t>
      </w:r>
      <w:r>
        <w:rPr>
          <w:color w:val="231F20"/>
          <w:w w:val="110"/>
        </w:rPr>
        <w:t>la</w:t>
      </w:r>
      <w:r>
        <w:rPr>
          <w:color w:val="231F20"/>
          <w:spacing w:val="22"/>
          <w:w w:val="110"/>
        </w:rPr>
        <w:t> </w:t>
      </w:r>
      <w:r>
        <w:rPr>
          <w:color w:val="231F20"/>
          <w:w w:val="110"/>
        </w:rPr>
        <w:t>larga</w:t>
      </w:r>
      <w:r>
        <w:rPr>
          <w:color w:val="231F20"/>
          <w:spacing w:val="22"/>
          <w:w w:val="110"/>
        </w:rPr>
        <w:t> </w:t>
      </w:r>
      <w:r>
        <w:rPr>
          <w:color w:val="231F20"/>
          <w:w w:val="110"/>
        </w:rPr>
        <w:t>fase</w:t>
      </w:r>
      <w:r>
        <w:rPr>
          <w:color w:val="231F20"/>
          <w:spacing w:val="22"/>
          <w:w w:val="110"/>
        </w:rPr>
        <w:t> </w:t>
      </w:r>
      <w:r>
        <w:rPr>
          <w:color w:val="231F20"/>
          <w:w w:val="110"/>
        </w:rPr>
        <w:t>descendente</w:t>
      </w:r>
      <w:r>
        <w:rPr>
          <w:color w:val="231F20"/>
          <w:spacing w:val="22"/>
          <w:w w:val="110"/>
        </w:rPr>
        <w:t> </w:t>
      </w:r>
      <w:r>
        <w:rPr>
          <w:color w:val="231F20"/>
          <w:w w:val="110"/>
        </w:rPr>
        <w:t>debido</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
          <w:w w:val="105"/>
        </w:rPr>
        <w:t> </w:t>
      </w:r>
      <w:r>
        <w:rPr>
          <w:color w:val="231F20"/>
          <w:w w:val="110"/>
        </w:rPr>
        <w:t>caída generalizada de la rentabilidad de las empresas. Para</w:t>
      </w:r>
      <w:r>
        <w:rPr>
          <w:color w:val="231F20"/>
          <w:spacing w:val="47"/>
          <w:w w:val="110"/>
        </w:rPr>
        <w:t> </w:t>
      </w:r>
      <w:r>
        <w:rPr>
          <w:color w:val="231F20"/>
          <w:w w:val="110"/>
        </w:rPr>
        <w:t>él</w:t>
      </w:r>
      <w:r>
        <w:rPr>
          <w:color w:val="231F20"/>
          <w:spacing w:val="17"/>
          <w:w w:val="110"/>
        </w:rPr>
        <w:t> </w:t>
      </w:r>
      <w:r>
        <w:rPr>
          <w:color w:val="231F20"/>
          <w:w w:val="110"/>
        </w:rPr>
        <w:t>tam-</w:t>
      </w:r>
      <w:r>
        <w:rPr>
          <w:color w:val="231F20"/>
          <w:w w:val="72"/>
        </w:rPr>
        <w:t> </w:t>
      </w:r>
      <w:r>
        <w:rPr>
          <w:color w:val="231F20"/>
          <w:w w:val="110"/>
        </w:rPr>
        <w:t>bién</w:t>
      </w:r>
      <w:r>
        <w:rPr>
          <w:color w:val="231F20"/>
          <w:spacing w:val="-5"/>
          <w:w w:val="110"/>
        </w:rPr>
        <w:t> </w:t>
      </w:r>
      <w:r>
        <w:rPr>
          <w:color w:val="231F20"/>
          <w:w w:val="110"/>
        </w:rPr>
        <w:t>la</w:t>
      </w:r>
      <w:r>
        <w:rPr>
          <w:color w:val="231F20"/>
          <w:spacing w:val="-5"/>
          <w:w w:val="110"/>
        </w:rPr>
        <w:t> </w:t>
      </w:r>
      <w:r>
        <w:rPr>
          <w:color w:val="231F20"/>
          <w:w w:val="110"/>
        </w:rPr>
        <w:t>causa</w:t>
      </w:r>
      <w:r>
        <w:rPr>
          <w:color w:val="231F20"/>
          <w:spacing w:val="-5"/>
          <w:w w:val="110"/>
        </w:rPr>
        <w:t> </w:t>
      </w:r>
      <w:r>
        <w:rPr>
          <w:color w:val="231F20"/>
          <w:w w:val="110"/>
        </w:rPr>
        <w:t>principal</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actual,</w:t>
      </w:r>
      <w:r>
        <w:rPr>
          <w:color w:val="231F20"/>
          <w:spacing w:val="-5"/>
          <w:w w:val="110"/>
        </w:rPr>
        <w:t> </w:t>
      </w:r>
      <w:r>
        <w:rPr>
          <w:color w:val="231F20"/>
          <w:w w:val="110"/>
        </w:rPr>
        <w:t>se</w:t>
      </w:r>
      <w:r>
        <w:rPr>
          <w:color w:val="231F20"/>
          <w:spacing w:val="-5"/>
          <w:w w:val="110"/>
        </w:rPr>
        <w:t> </w:t>
      </w:r>
      <w:r>
        <w:rPr>
          <w:color w:val="231F20"/>
          <w:w w:val="110"/>
        </w:rPr>
        <w:t>debe</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baja</w:t>
      </w:r>
      <w:r>
        <w:rPr>
          <w:color w:val="231F20"/>
          <w:spacing w:val="-5"/>
          <w:w w:val="110"/>
        </w:rPr>
        <w:t> </w:t>
      </w:r>
      <w:r>
        <w:rPr>
          <w:color w:val="231F20"/>
          <w:w w:val="110"/>
        </w:rPr>
        <w:t>tendencial</w:t>
      </w:r>
      <w:r>
        <w:rPr>
          <w:color w:val="231F20"/>
          <w:spacing w:val="2"/>
          <w:w w:val="111"/>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tasa</w:t>
      </w:r>
      <w:r>
        <w:rPr>
          <w:color w:val="231F20"/>
          <w:spacing w:val="21"/>
          <w:w w:val="110"/>
        </w:rPr>
        <w:t> </w:t>
      </w:r>
      <w:r>
        <w:rPr>
          <w:color w:val="231F20"/>
          <w:w w:val="110"/>
        </w:rPr>
        <w:t>de</w:t>
      </w:r>
      <w:r>
        <w:rPr>
          <w:color w:val="231F20"/>
          <w:spacing w:val="21"/>
          <w:w w:val="110"/>
        </w:rPr>
        <w:t> </w:t>
      </w:r>
      <w:r>
        <w:rPr>
          <w:color w:val="231F20"/>
          <w:w w:val="110"/>
        </w:rPr>
        <w:t>rentabilidad</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empresas</w:t>
      </w:r>
      <w:r>
        <w:rPr>
          <w:color w:val="231F20"/>
          <w:spacing w:val="21"/>
          <w:w w:val="110"/>
        </w:rPr>
        <w:t> </w:t>
      </w:r>
      <w:r>
        <w:rPr>
          <w:color w:val="231F20"/>
          <w:w w:val="110"/>
        </w:rPr>
        <w:t>productoras</w:t>
      </w:r>
      <w:r>
        <w:rPr>
          <w:color w:val="231F20"/>
          <w:spacing w:val="21"/>
          <w:w w:val="110"/>
        </w:rPr>
        <w:t> </w:t>
      </w:r>
      <w:r>
        <w:rPr>
          <w:color w:val="231F20"/>
          <w:w w:val="110"/>
        </w:rPr>
        <w:t>de</w:t>
      </w:r>
      <w:r>
        <w:rPr>
          <w:color w:val="231F20"/>
          <w:spacing w:val="21"/>
          <w:w w:val="110"/>
        </w:rPr>
        <w:t> </w:t>
      </w:r>
      <w:r>
        <w:rPr>
          <w:color w:val="231F20"/>
          <w:w w:val="110"/>
        </w:rPr>
        <w:t>bienes</w:t>
      </w:r>
      <w:r>
        <w:rPr>
          <w:color w:val="231F20"/>
          <w:spacing w:val="21"/>
          <w:w w:val="110"/>
        </w:rPr>
        <w:t> </w:t>
      </w:r>
      <w:r>
        <w:rPr>
          <w:color w:val="231F20"/>
          <w:w w:val="110"/>
        </w:rPr>
        <w:t>y</w:t>
      </w:r>
    </w:p>
    <w:p>
      <w:pPr>
        <w:pStyle w:val="BodyText"/>
        <w:ind w:left="100"/>
        <w:jc w:val="both"/>
      </w:pPr>
      <w:r>
        <w:rPr>
          <w:color w:val="231F20"/>
          <w:w w:val="105"/>
        </w:rPr>
        <w:t>servicios  (Brenner, 2009).</w:t>
      </w:r>
    </w:p>
    <w:p>
      <w:pPr>
        <w:pStyle w:val="BodyText"/>
        <w:spacing w:line="261" w:lineRule="auto" w:before="20"/>
        <w:ind w:left="100" w:right="112" w:firstLine="240"/>
        <w:jc w:val="both"/>
      </w:pPr>
      <w:r>
        <w:rPr>
          <w:color w:val="231F20"/>
          <w:w w:val="110"/>
        </w:rPr>
        <w:t>De la entrevista de febrero de 2009, destacamos las siguientes afirmaciones de Brenner:</w:t>
      </w:r>
    </w:p>
    <w:p>
      <w:pPr>
        <w:pStyle w:val="BodyText"/>
        <w:spacing w:before="4"/>
        <w:rPr>
          <w:sz w:val="23"/>
        </w:rPr>
      </w:pPr>
    </w:p>
    <w:p>
      <w:pPr>
        <w:spacing w:line="290" w:lineRule="auto" w:before="0"/>
        <w:ind w:left="100" w:right="117" w:firstLine="0"/>
        <w:jc w:val="both"/>
        <w:rPr>
          <w:sz w:val="18"/>
        </w:rPr>
      </w:pPr>
      <w:r>
        <w:rPr>
          <w:color w:val="231F20"/>
          <w:w w:val="110"/>
          <w:sz w:val="18"/>
        </w:rPr>
        <w:t>El</w:t>
      </w:r>
      <w:r>
        <w:rPr>
          <w:color w:val="231F20"/>
          <w:spacing w:val="-3"/>
          <w:w w:val="110"/>
          <w:sz w:val="18"/>
        </w:rPr>
        <w:t> </w:t>
      </w:r>
      <w:r>
        <w:rPr>
          <w:color w:val="231F20"/>
          <w:w w:val="110"/>
          <w:sz w:val="18"/>
        </w:rPr>
        <w:t>principal</w:t>
      </w:r>
      <w:r>
        <w:rPr>
          <w:color w:val="231F20"/>
          <w:spacing w:val="-3"/>
          <w:w w:val="110"/>
          <w:sz w:val="18"/>
        </w:rPr>
        <w:t> </w:t>
      </w:r>
      <w:r>
        <w:rPr>
          <w:color w:val="231F20"/>
          <w:w w:val="110"/>
          <w:sz w:val="18"/>
        </w:rPr>
        <w:t>origen</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w:t>
      </w:r>
      <w:r>
        <w:rPr>
          <w:color w:val="231F20"/>
          <w:spacing w:val="-3"/>
          <w:w w:val="110"/>
          <w:sz w:val="18"/>
        </w:rPr>
        <w:t> </w:t>
      </w:r>
      <w:r>
        <w:rPr>
          <w:color w:val="231F20"/>
          <w:w w:val="110"/>
          <w:sz w:val="18"/>
        </w:rPr>
        <w:t>crisis</w:t>
      </w:r>
      <w:r>
        <w:rPr>
          <w:color w:val="231F20"/>
          <w:spacing w:val="-3"/>
          <w:w w:val="110"/>
          <w:sz w:val="18"/>
        </w:rPr>
        <w:t> </w:t>
      </w:r>
      <w:r>
        <w:rPr>
          <w:color w:val="231F20"/>
          <w:w w:val="110"/>
          <w:sz w:val="18"/>
        </w:rPr>
        <w:t>actual</w:t>
      </w:r>
      <w:r>
        <w:rPr>
          <w:color w:val="231F20"/>
          <w:spacing w:val="-3"/>
          <w:w w:val="110"/>
          <w:sz w:val="18"/>
        </w:rPr>
        <w:t> </w:t>
      </w:r>
      <w:r>
        <w:rPr>
          <w:color w:val="231F20"/>
          <w:w w:val="110"/>
          <w:sz w:val="18"/>
        </w:rPr>
        <w:t>está</w:t>
      </w:r>
      <w:r>
        <w:rPr>
          <w:color w:val="231F20"/>
          <w:spacing w:val="-3"/>
          <w:w w:val="110"/>
          <w:sz w:val="18"/>
        </w:rPr>
        <w:t> </w:t>
      </w:r>
      <w:r>
        <w:rPr>
          <w:color w:val="231F20"/>
          <w:w w:val="110"/>
          <w:sz w:val="18"/>
        </w:rPr>
        <w:t>en</w:t>
      </w:r>
      <w:r>
        <w:rPr>
          <w:color w:val="231F20"/>
          <w:spacing w:val="-3"/>
          <w:w w:val="110"/>
          <w:sz w:val="18"/>
        </w:rPr>
        <w:t> </w:t>
      </w:r>
      <w:r>
        <w:rPr>
          <w:color w:val="231F20"/>
          <w:w w:val="110"/>
          <w:sz w:val="18"/>
        </w:rPr>
        <w:t>el</w:t>
      </w:r>
      <w:r>
        <w:rPr>
          <w:color w:val="231F20"/>
          <w:spacing w:val="-3"/>
          <w:w w:val="110"/>
          <w:sz w:val="18"/>
        </w:rPr>
        <w:t> </w:t>
      </w:r>
      <w:r>
        <w:rPr>
          <w:color w:val="231F20"/>
          <w:w w:val="110"/>
          <w:sz w:val="18"/>
        </w:rPr>
        <w:t>declive</w:t>
      </w:r>
      <w:r>
        <w:rPr>
          <w:color w:val="231F20"/>
          <w:spacing w:val="-3"/>
          <w:w w:val="110"/>
          <w:sz w:val="18"/>
        </w:rPr>
        <w:t> </w:t>
      </w:r>
      <w:r>
        <w:rPr>
          <w:color w:val="231F20"/>
          <w:w w:val="110"/>
          <w:sz w:val="18"/>
        </w:rPr>
        <w:t>del</w:t>
      </w:r>
      <w:r>
        <w:rPr>
          <w:color w:val="231F20"/>
          <w:spacing w:val="-3"/>
          <w:w w:val="110"/>
          <w:sz w:val="18"/>
        </w:rPr>
        <w:t> </w:t>
      </w:r>
      <w:r>
        <w:rPr>
          <w:color w:val="231F20"/>
          <w:w w:val="110"/>
          <w:sz w:val="18"/>
        </w:rPr>
        <w:t>dinamismo</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las economías</w:t>
      </w:r>
      <w:r>
        <w:rPr>
          <w:color w:val="231F20"/>
          <w:spacing w:val="-11"/>
          <w:w w:val="110"/>
          <w:sz w:val="18"/>
        </w:rPr>
        <w:t> </w:t>
      </w:r>
      <w:r>
        <w:rPr>
          <w:color w:val="231F20"/>
          <w:w w:val="110"/>
          <w:sz w:val="18"/>
        </w:rPr>
        <w:t>avanzadas</w:t>
      </w:r>
      <w:r>
        <w:rPr>
          <w:color w:val="231F20"/>
          <w:spacing w:val="-11"/>
          <w:w w:val="110"/>
          <w:sz w:val="18"/>
        </w:rPr>
        <w:t> </w:t>
      </w:r>
      <w:r>
        <w:rPr>
          <w:color w:val="231F20"/>
          <w:w w:val="110"/>
          <w:sz w:val="18"/>
        </w:rPr>
        <w:t>desde</w:t>
      </w:r>
      <w:r>
        <w:rPr>
          <w:color w:val="231F20"/>
          <w:spacing w:val="-11"/>
          <w:w w:val="110"/>
          <w:sz w:val="18"/>
        </w:rPr>
        <w:t> </w:t>
      </w:r>
      <w:r>
        <w:rPr>
          <w:color w:val="231F20"/>
          <w:w w:val="110"/>
          <w:sz w:val="18"/>
        </w:rPr>
        <w:t>1973,</w:t>
      </w:r>
      <w:r>
        <w:rPr>
          <w:color w:val="231F20"/>
          <w:spacing w:val="-11"/>
          <w:w w:val="110"/>
          <w:sz w:val="18"/>
        </w:rPr>
        <w:t> </w:t>
      </w:r>
      <w:r>
        <w:rPr>
          <w:color w:val="231F20"/>
          <w:w w:val="110"/>
          <w:sz w:val="18"/>
        </w:rPr>
        <w:t>especialmente</w:t>
      </w:r>
      <w:r>
        <w:rPr>
          <w:color w:val="231F20"/>
          <w:spacing w:val="-11"/>
          <w:w w:val="110"/>
          <w:sz w:val="18"/>
        </w:rPr>
        <w:t> </w:t>
      </w:r>
      <w:r>
        <w:rPr>
          <w:color w:val="231F20"/>
          <w:w w:val="110"/>
          <w:sz w:val="18"/>
        </w:rPr>
        <w:t>desde</w:t>
      </w:r>
      <w:r>
        <w:rPr>
          <w:color w:val="231F20"/>
          <w:spacing w:val="-11"/>
          <w:w w:val="110"/>
          <w:sz w:val="18"/>
        </w:rPr>
        <w:t> </w:t>
      </w:r>
      <w:r>
        <w:rPr>
          <w:color w:val="231F20"/>
          <w:w w:val="110"/>
          <w:sz w:val="18"/>
        </w:rPr>
        <w:t>2000.</w:t>
      </w:r>
      <w:r>
        <w:rPr>
          <w:color w:val="231F20"/>
          <w:spacing w:val="-11"/>
          <w:w w:val="110"/>
          <w:sz w:val="18"/>
        </w:rPr>
        <w:t> </w:t>
      </w:r>
      <w:r>
        <w:rPr>
          <w:color w:val="231F20"/>
          <w:w w:val="110"/>
          <w:sz w:val="18"/>
        </w:rPr>
        <w:t>El</w:t>
      </w:r>
      <w:r>
        <w:rPr>
          <w:color w:val="231F20"/>
          <w:spacing w:val="-11"/>
          <w:w w:val="110"/>
          <w:sz w:val="18"/>
        </w:rPr>
        <w:t> </w:t>
      </w:r>
      <w:r>
        <w:rPr>
          <w:color w:val="231F20"/>
          <w:w w:val="110"/>
          <w:sz w:val="18"/>
        </w:rPr>
        <w:t>crecimiento económico en Estados Unidos, Europa Occidental y Japón se ha</w:t>
      </w:r>
      <w:r>
        <w:rPr>
          <w:color w:val="231F20"/>
          <w:spacing w:val="-33"/>
          <w:w w:val="110"/>
          <w:sz w:val="18"/>
        </w:rPr>
        <w:t> </w:t>
      </w:r>
      <w:r>
        <w:rPr>
          <w:color w:val="231F20"/>
          <w:w w:val="110"/>
          <w:sz w:val="18"/>
        </w:rPr>
        <w:t>deteriorado seriamente en cada ciclo en términos de indicadores macroeconómicos</w:t>
      </w:r>
      <w:r>
        <w:rPr>
          <w:color w:val="231F20"/>
          <w:spacing w:val="-16"/>
          <w:w w:val="110"/>
          <w:sz w:val="18"/>
        </w:rPr>
        <w:t> </w:t>
      </w:r>
      <w:r>
        <w:rPr>
          <w:color w:val="231F20"/>
          <w:w w:val="110"/>
          <w:sz w:val="18"/>
        </w:rPr>
        <w:t>muy estándar.</w:t>
      </w:r>
    </w:p>
    <w:p>
      <w:pPr>
        <w:pStyle w:val="BodyText"/>
        <w:spacing w:before="2"/>
      </w:pPr>
    </w:p>
    <w:p>
      <w:pPr>
        <w:pStyle w:val="BodyText"/>
        <w:spacing w:line="261" w:lineRule="auto"/>
        <w:ind w:left="100" w:right="117" w:firstLine="240"/>
        <w:jc w:val="both"/>
      </w:pPr>
      <w:r>
        <w:rPr>
          <w:color w:val="231F20"/>
          <w:w w:val="110"/>
        </w:rPr>
        <w:t>Frente a la pregunta de cómo explicaría el debilitamiento a largo plazo de la economía real desde 1973, lo que él llama la larga caída, afirma:</w:t>
      </w:r>
    </w:p>
    <w:p>
      <w:pPr>
        <w:pStyle w:val="BodyText"/>
        <w:spacing w:before="4"/>
        <w:rPr>
          <w:sz w:val="23"/>
        </w:rPr>
      </w:pPr>
    </w:p>
    <w:p>
      <w:pPr>
        <w:spacing w:line="290" w:lineRule="auto" w:before="0"/>
        <w:ind w:left="73" w:right="117" w:firstLine="0"/>
        <w:jc w:val="right"/>
        <w:rPr>
          <w:sz w:val="18"/>
        </w:rPr>
      </w:pPr>
      <w:r>
        <w:rPr>
          <w:color w:val="231F20"/>
          <w:w w:val="110"/>
          <w:sz w:val="18"/>
        </w:rPr>
        <w:t>Lo que lo explica es sobre todo un declive profundo y duradero de la tasa</w:t>
      </w:r>
      <w:r>
        <w:rPr>
          <w:color w:val="231F20"/>
          <w:w w:val="105"/>
          <w:sz w:val="18"/>
        </w:rPr>
        <w:t> </w:t>
      </w:r>
      <w:r>
        <w:rPr>
          <w:color w:val="231F20"/>
          <w:w w:val="110"/>
          <w:sz w:val="18"/>
        </w:rPr>
        <w:t>de rendimiento en inversión de capital desde finales de los sesenta. La inca-</w:t>
      </w:r>
      <w:r>
        <w:rPr>
          <w:color w:val="231F20"/>
          <w:w w:val="72"/>
          <w:sz w:val="18"/>
        </w:rPr>
        <w:t> </w:t>
      </w:r>
      <w:r>
        <w:rPr>
          <w:color w:val="231F20"/>
          <w:w w:val="110"/>
          <w:sz w:val="18"/>
        </w:rPr>
        <w:t>pacidad de recuperar la tasa de beneficio es lo más destacable a la vista de</w:t>
      </w:r>
      <w:r>
        <w:rPr>
          <w:color w:val="231F20"/>
          <w:w w:val="114"/>
          <w:sz w:val="18"/>
        </w:rPr>
        <w:t> </w:t>
      </w:r>
      <w:r>
        <w:rPr>
          <w:color w:val="231F20"/>
          <w:w w:val="110"/>
          <w:sz w:val="18"/>
        </w:rPr>
        <w:t>la enorme caída de los salarios reales durante el periodo. La causa principal,</w:t>
      </w:r>
      <w:r>
        <w:rPr>
          <w:color w:val="231F20"/>
          <w:w w:val="110"/>
          <w:sz w:val="18"/>
        </w:rPr>
        <w:t> </w:t>
      </w:r>
      <w:r>
        <w:rPr>
          <w:color w:val="231F20"/>
          <w:w w:val="110"/>
          <w:sz w:val="18"/>
        </w:rPr>
        <w:t>aunque no la única, del declive de la tasa de beneficio ha sido una tendencia</w:t>
      </w:r>
      <w:r>
        <w:rPr>
          <w:color w:val="231F20"/>
          <w:w w:val="112"/>
          <w:sz w:val="18"/>
        </w:rPr>
        <w:t> </w:t>
      </w:r>
      <w:r>
        <w:rPr>
          <w:color w:val="231F20"/>
          <w:w w:val="110"/>
          <w:sz w:val="18"/>
        </w:rPr>
        <w:t>persistente a la sobrecapacidad de las industrias manufactureras mundiales.</w:t>
      </w:r>
    </w:p>
    <w:p>
      <w:pPr>
        <w:pStyle w:val="BodyText"/>
        <w:spacing w:before="2"/>
      </w:pPr>
    </w:p>
    <w:p>
      <w:pPr>
        <w:pStyle w:val="BodyText"/>
        <w:spacing w:line="261" w:lineRule="auto"/>
        <w:ind w:left="100" w:right="117" w:firstLine="240"/>
        <w:jc w:val="right"/>
      </w:pPr>
      <w:r>
        <w:rPr>
          <w:color w:val="231F20"/>
          <w:w w:val="110"/>
        </w:rPr>
        <w:t>Otra pregunta: ¿aun concediendo que el capitalismo de posguerra</w:t>
      </w:r>
      <w:r>
        <w:rPr>
          <w:color w:val="231F20"/>
          <w:w w:val="111"/>
        </w:rPr>
        <w:t> </w:t>
      </w:r>
      <w:r>
        <w:rPr>
          <w:color w:val="231F20"/>
          <w:w w:val="110"/>
        </w:rPr>
        <w:t>hubiera entrado en un periodo de larga caída en los años setenta,</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parece innegable que la ofensiva capitalista neoliberal ha impedido el empeoramiento de la caída de la producción desde los ochenta?”, responde:</w:t>
      </w:r>
    </w:p>
    <w:p>
      <w:pPr>
        <w:pStyle w:val="BodyText"/>
        <w:spacing w:before="4"/>
        <w:rPr>
          <w:sz w:val="23"/>
        </w:rPr>
      </w:pPr>
    </w:p>
    <w:p>
      <w:pPr>
        <w:spacing w:line="290" w:lineRule="auto" w:before="0"/>
        <w:ind w:left="100" w:right="117" w:firstLine="0"/>
        <w:jc w:val="both"/>
        <w:rPr>
          <w:sz w:val="18"/>
        </w:rPr>
      </w:pPr>
      <w:r>
        <w:rPr>
          <w:color w:val="231F20"/>
          <w:w w:val="110"/>
          <w:sz w:val="18"/>
        </w:rPr>
        <w:t>Si</w:t>
      </w:r>
      <w:r>
        <w:rPr>
          <w:color w:val="231F20"/>
          <w:spacing w:val="-16"/>
          <w:w w:val="110"/>
          <w:sz w:val="18"/>
        </w:rPr>
        <w:t> </w:t>
      </w:r>
      <w:r>
        <w:rPr>
          <w:color w:val="231F20"/>
          <w:w w:val="110"/>
          <w:sz w:val="18"/>
        </w:rPr>
        <w:t>por</w:t>
      </w:r>
      <w:r>
        <w:rPr>
          <w:color w:val="231F20"/>
          <w:spacing w:val="-16"/>
          <w:w w:val="110"/>
          <w:sz w:val="18"/>
        </w:rPr>
        <w:t> </w:t>
      </w:r>
      <w:r>
        <w:rPr>
          <w:color w:val="231F20"/>
          <w:w w:val="110"/>
          <w:sz w:val="18"/>
        </w:rPr>
        <w:t>neoliberalismo</w:t>
      </w:r>
      <w:r>
        <w:rPr>
          <w:color w:val="231F20"/>
          <w:spacing w:val="-16"/>
          <w:w w:val="110"/>
          <w:sz w:val="18"/>
        </w:rPr>
        <w:t> </w:t>
      </w:r>
      <w:r>
        <w:rPr>
          <w:color w:val="231F20"/>
          <w:w w:val="110"/>
          <w:sz w:val="18"/>
        </w:rPr>
        <w:t>se</w:t>
      </w:r>
      <w:r>
        <w:rPr>
          <w:color w:val="231F20"/>
          <w:spacing w:val="-16"/>
          <w:w w:val="110"/>
          <w:sz w:val="18"/>
        </w:rPr>
        <w:t> </w:t>
      </w:r>
      <w:r>
        <w:rPr>
          <w:color w:val="231F20"/>
          <w:w w:val="110"/>
          <w:sz w:val="18"/>
        </w:rPr>
        <w:t>entiende</w:t>
      </w:r>
      <w:r>
        <w:rPr>
          <w:color w:val="231F20"/>
          <w:spacing w:val="-16"/>
          <w:w w:val="110"/>
          <w:sz w:val="18"/>
        </w:rPr>
        <w:t> </w:t>
      </w:r>
      <w:r>
        <w:rPr>
          <w:color w:val="231F20"/>
          <w:w w:val="110"/>
          <w:sz w:val="18"/>
        </w:rPr>
        <w:t>el</w:t>
      </w:r>
      <w:r>
        <w:rPr>
          <w:color w:val="231F20"/>
          <w:spacing w:val="-16"/>
          <w:w w:val="110"/>
          <w:sz w:val="18"/>
        </w:rPr>
        <w:t> </w:t>
      </w:r>
      <w:r>
        <w:rPr>
          <w:color w:val="231F20"/>
          <w:w w:val="110"/>
          <w:sz w:val="18"/>
        </w:rPr>
        <w:t>giro</w:t>
      </w:r>
      <w:r>
        <w:rPr>
          <w:color w:val="231F20"/>
          <w:spacing w:val="-16"/>
          <w:w w:val="110"/>
          <w:sz w:val="18"/>
        </w:rPr>
        <w:t> </w:t>
      </w:r>
      <w:r>
        <w:rPr>
          <w:color w:val="231F20"/>
          <w:w w:val="110"/>
          <w:sz w:val="18"/>
        </w:rPr>
        <w:t>hacia</w:t>
      </w:r>
      <w:r>
        <w:rPr>
          <w:color w:val="231F20"/>
          <w:spacing w:val="-16"/>
          <w:w w:val="110"/>
          <w:sz w:val="18"/>
        </w:rPr>
        <w:t> </w:t>
      </w:r>
      <w:r>
        <w:rPr>
          <w:color w:val="231F20"/>
          <w:w w:val="110"/>
          <w:sz w:val="18"/>
        </w:rPr>
        <w:t>las</w:t>
      </w:r>
      <w:r>
        <w:rPr>
          <w:color w:val="231F20"/>
          <w:spacing w:val="-16"/>
          <w:w w:val="110"/>
          <w:sz w:val="18"/>
        </w:rPr>
        <w:t> </w:t>
      </w:r>
      <w:r>
        <w:rPr>
          <w:color w:val="231F20"/>
          <w:w w:val="110"/>
          <w:sz w:val="18"/>
        </w:rPr>
        <w:t>finanzas</w:t>
      </w:r>
      <w:r>
        <w:rPr>
          <w:color w:val="231F20"/>
          <w:spacing w:val="-16"/>
          <w:w w:val="110"/>
          <w:sz w:val="18"/>
        </w:rPr>
        <w:t> </w:t>
      </w:r>
      <w:r>
        <w:rPr>
          <w:color w:val="231F20"/>
          <w:w w:val="110"/>
          <w:sz w:val="18"/>
        </w:rPr>
        <w:t>y</w:t>
      </w:r>
      <w:r>
        <w:rPr>
          <w:color w:val="231F20"/>
          <w:spacing w:val="-16"/>
          <w:w w:val="110"/>
          <w:sz w:val="18"/>
        </w:rPr>
        <w:t> </w:t>
      </w:r>
      <w:r>
        <w:rPr>
          <w:color w:val="231F20"/>
          <w:w w:val="110"/>
          <w:sz w:val="18"/>
        </w:rPr>
        <w:t>la</w:t>
      </w:r>
      <w:r>
        <w:rPr>
          <w:color w:val="231F20"/>
          <w:spacing w:val="-16"/>
          <w:w w:val="110"/>
          <w:sz w:val="18"/>
        </w:rPr>
        <w:t> </w:t>
      </w:r>
      <w:r>
        <w:rPr>
          <w:color w:val="231F20"/>
          <w:w w:val="110"/>
          <w:sz w:val="18"/>
        </w:rPr>
        <w:t>desregulación, no veo cómo puede haber ayudado eso a la economía. Pero si por neolibe- ralismo se entiende el desmedido asalto de los empresarios y los gobiernos a</w:t>
      </w:r>
      <w:r>
        <w:rPr>
          <w:color w:val="231F20"/>
          <w:spacing w:val="-5"/>
          <w:w w:val="110"/>
          <w:sz w:val="18"/>
        </w:rPr>
        <w:t> </w:t>
      </w:r>
      <w:r>
        <w:rPr>
          <w:color w:val="231F20"/>
          <w:w w:val="110"/>
          <w:sz w:val="18"/>
        </w:rPr>
        <w:t>los</w:t>
      </w:r>
      <w:r>
        <w:rPr>
          <w:color w:val="231F20"/>
          <w:spacing w:val="-5"/>
          <w:w w:val="110"/>
          <w:sz w:val="18"/>
        </w:rPr>
        <w:t> </w:t>
      </w:r>
      <w:r>
        <w:rPr>
          <w:color w:val="231F20"/>
          <w:w w:val="110"/>
          <w:sz w:val="18"/>
        </w:rPr>
        <w:t>salarios</w:t>
      </w:r>
      <w:r>
        <w:rPr>
          <w:color w:val="231F20"/>
          <w:spacing w:val="-5"/>
          <w:w w:val="110"/>
          <w:sz w:val="18"/>
        </w:rPr>
        <w:t> </w:t>
      </w:r>
      <w:r>
        <w:rPr>
          <w:color w:val="231F20"/>
          <w:w w:val="110"/>
          <w:sz w:val="18"/>
        </w:rPr>
        <w:t>obreros,</w:t>
      </w:r>
      <w:r>
        <w:rPr>
          <w:color w:val="231F20"/>
          <w:spacing w:val="-5"/>
          <w:w w:val="110"/>
          <w:sz w:val="18"/>
        </w:rPr>
        <w:t> </w:t>
      </w:r>
      <w:r>
        <w:rPr>
          <w:color w:val="231F20"/>
          <w:w w:val="110"/>
          <w:sz w:val="18"/>
        </w:rPr>
        <w:t>a</w:t>
      </w:r>
      <w:r>
        <w:rPr>
          <w:color w:val="231F20"/>
          <w:spacing w:val="-5"/>
          <w:w w:val="110"/>
          <w:sz w:val="18"/>
        </w:rPr>
        <w:t> </w:t>
      </w:r>
      <w:r>
        <w:rPr>
          <w:color w:val="231F20"/>
          <w:w w:val="110"/>
          <w:sz w:val="18"/>
        </w:rPr>
        <w:t>las</w:t>
      </w:r>
      <w:r>
        <w:rPr>
          <w:color w:val="231F20"/>
          <w:spacing w:val="-5"/>
          <w:w w:val="110"/>
          <w:sz w:val="18"/>
        </w:rPr>
        <w:t> </w:t>
      </w:r>
      <w:r>
        <w:rPr>
          <w:color w:val="231F20"/>
          <w:w w:val="110"/>
          <w:sz w:val="18"/>
        </w:rPr>
        <w:t>condiciones</w:t>
      </w:r>
      <w:r>
        <w:rPr>
          <w:color w:val="231F20"/>
          <w:spacing w:val="-5"/>
          <w:w w:val="110"/>
          <w:sz w:val="18"/>
        </w:rPr>
        <w:t> </w:t>
      </w:r>
      <w:r>
        <w:rPr>
          <w:color w:val="231F20"/>
          <w:w w:val="110"/>
          <w:sz w:val="18"/>
        </w:rPr>
        <w:t>laborales</w:t>
      </w:r>
      <w:r>
        <w:rPr>
          <w:color w:val="231F20"/>
          <w:spacing w:val="-5"/>
          <w:w w:val="110"/>
          <w:sz w:val="18"/>
        </w:rPr>
        <w:t> </w:t>
      </w:r>
      <w:r>
        <w:rPr>
          <w:color w:val="231F20"/>
          <w:w w:val="110"/>
          <w:sz w:val="18"/>
        </w:rPr>
        <w:t>y</w:t>
      </w:r>
      <w:r>
        <w:rPr>
          <w:color w:val="231F20"/>
          <w:spacing w:val="-5"/>
          <w:w w:val="110"/>
          <w:sz w:val="18"/>
        </w:rPr>
        <w:t> </w:t>
      </w:r>
      <w:r>
        <w:rPr>
          <w:color w:val="231F20"/>
          <w:w w:val="110"/>
          <w:sz w:val="18"/>
        </w:rPr>
        <w:t>al</w:t>
      </w:r>
      <w:r>
        <w:rPr>
          <w:color w:val="231F20"/>
          <w:spacing w:val="-5"/>
          <w:w w:val="110"/>
          <w:sz w:val="18"/>
        </w:rPr>
        <w:t> </w:t>
      </w:r>
      <w:r>
        <w:rPr>
          <w:color w:val="231F20"/>
          <w:w w:val="110"/>
          <w:sz w:val="18"/>
        </w:rPr>
        <w:t>Estado</w:t>
      </w:r>
      <w:r>
        <w:rPr>
          <w:color w:val="231F20"/>
          <w:spacing w:val="-5"/>
          <w:w w:val="110"/>
          <w:sz w:val="18"/>
        </w:rPr>
        <w:t> </w:t>
      </w:r>
      <w:r>
        <w:rPr>
          <w:color w:val="231F20"/>
          <w:w w:val="110"/>
          <w:sz w:val="18"/>
        </w:rPr>
        <w:t>de</w:t>
      </w:r>
      <w:r>
        <w:rPr>
          <w:color w:val="231F20"/>
          <w:spacing w:val="-5"/>
          <w:w w:val="110"/>
          <w:sz w:val="18"/>
        </w:rPr>
        <w:t> </w:t>
      </w:r>
      <w:r>
        <w:rPr>
          <w:color w:val="231F20"/>
          <w:w w:val="110"/>
          <w:sz w:val="18"/>
        </w:rPr>
        <w:t>bienestar,</w:t>
      </w:r>
      <w:r>
        <w:rPr>
          <w:color w:val="231F20"/>
          <w:spacing w:val="-5"/>
          <w:w w:val="110"/>
          <w:sz w:val="18"/>
        </w:rPr>
        <w:t> </w:t>
      </w:r>
      <w:r>
        <w:rPr>
          <w:color w:val="231F20"/>
          <w:w w:val="110"/>
          <w:sz w:val="18"/>
        </w:rPr>
        <w:t>la cosa ofrece pocas dudas: se ha impedido que la caída de la tasa de</w:t>
      </w:r>
      <w:r>
        <w:rPr>
          <w:color w:val="231F20"/>
          <w:spacing w:val="-16"/>
          <w:w w:val="110"/>
          <w:sz w:val="18"/>
        </w:rPr>
        <w:t> </w:t>
      </w:r>
      <w:r>
        <w:rPr>
          <w:color w:val="231F20"/>
          <w:w w:val="110"/>
          <w:sz w:val="18"/>
        </w:rPr>
        <w:t>beneficio haya sido todavía</w:t>
      </w:r>
      <w:r>
        <w:rPr>
          <w:color w:val="231F20"/>
          <w:spacing w:val="-3"/>
          <w:w w:val="110"/>
          <w:sz w:val="18"/>
        </w:rPr>
        <w:t> </w:t>
      </w:r>
      <w:r>
        <w:rPr>
          <w:color w:val="231F20"/>
          <w:spacing w:val="-4"/>
          <w:w w:val="110"/>
          <w:sz w:val="18"/>
        </w:rPr>
        <w:t>peor.</w:t>
      </w:r>
    </w:p>
    <w:p>
      <w:pPr>
        <w:pStyle w:val="BodyText"/>
        <w:spacing w:before="2"/>
      </w:pPr>
    </w:p>
    <w:p>
      <w:pPr>
        <w:pStyle w:val="BodyText"/>
        <w:ind w:left="340" w:right="25"/>
      </w:pPr>
      <w:r>
        <w:rPr>
          <w:color w:val="231F20"/>
          <w:w w:val="110"/>
        </w:rPr>
        <w:t>Parte final de la respuesta a la pregunta sobre la  globalización:</w:t>
      </w:r>
    </w:p>
    <w:p>
      <w:pPr>
        <w:pStyle w:val="BodyText"/>
        <w:spacing w:before="1"/>
        <w:rPr>
          <w:sz w:val="25"/>
        </w:rPr>
      </w:pPr>
    </w:p>
    <w:p>
      <w:pPr>
        <w:spacing w:line="290" w:lineRule="auto" w:before="0"/>
        <w:ind w:left="100" w:right="118" w:firstLine="0"/>
        <w:jc w:val="both"/>
        <w:rPr>
          <w:sz w:val="18"/>
        </w:rPr>
      </w:pPr>
      <w:r>
        <w:rPr>
          <w:color w:val="231F20"/>
          <w:w w:val="110"/>
          <w:sz w:val="18"/>
        </w:rPr>
        <w:t>En otras palabras, la globalización ha sido una respuesta a la rentabilidad menguante; pero como las nuevas industrias, lejos de ser esencialmente  complementarias en la división mundial del trabajo, son redundantes, el  resultado ha sido la persistencia de los problemas de la  rentabilidad.</w:t>
      </w:r>
    </w:p>
    <w:p>
      <w:pPr>
        <w:pStyle w:val="BodyText"/>
        <w:spacing w:before="2"/>
      </w:pPr>
    </w:p>
    <w:p>
      <w:pPr>
        <w:pStyle w:val="BodyText"/>
        <w:spacing w:line="261" w:lineRule="auto"/>
        <w:ind w:left="100" w:right="117" w:firstLine="240"/>
        <w:jc w:val="both"/>
      </w:pPr>
      <w:r>
        <w:rPr>
          <w:color w:val="231F20"/>
          <w:w w:val="110"/>
        </w:rPr>
        <w:t>Como queda suficientemente claro, las conclusiones de nuestros estudios son completamente diferentes a las de  Brenner.</w:t>
      </w:r>
    </w:p>
    <w:p>
      <w:pPr>
        <w:pStyle w:val="BodyText"/>
        <w:spacing w:line="261" w:lineRule="auto"/>
        <w:ind w:left="100" w:right="117" w:firstLine="240"/>
        <w:jc w:val="both"/>
      </w:pPr>
      <w:r>
        <w:rPr>
          <w:color w:val="231F20"/>
          <w:w w:val="110"/>
        </w:rPr>
        <w:t>En vez de estancamiento de la producción, se constata un fuerte crecimiento tendencial. En vez de la tendencia decreciente y bajos niveles de tasas de ganancia de largo plazo, mostramos un gran</w:t>
      </w:r>
      <w:r>
        <w:rPr>
          <w:color w:val="231F20"/>
          <w:w w:val="112"/>
        </w:rPr>
        <w:t> </w:t>
      </w:r>
      <w:r>
        <w:rPr>
          <w:color w:val="231F20"/>
          <w:w w:val="110"/>
        </w:rPr>
        <w:t>crecimiento de la masa y tasa de ganancia a partir de mediados de</w:t>
      </w:r>
      <w:r>
        <w:rPr>
          <w:color w:val="231F20"/>
          <w:w w:val="114"/>
        </w:rPr>
        <w:t> </w:t>
      </w:r>
      <w:r>
        <w:rPr>
          <w:color w:val="231F20"/>
          <w:w w:val="110"/>
        </w:rPr>
        <w:t>los años ochenta como resultado de la globalización y del neolibe- ralismo.</w:t>
      </w:r>
    </w:p>
    <w:p>
      <w:pPr>
        <w:pStyle w:val="BodyText"/>
        <w:spacing w:line="261" w:lineRule="auto"/>
        <w:ind w:left="100" w:right="117" w:firstLine="240"/>
        <w:jc w:val="both"/>
      </w:pPr>
      <w:r>
        <w:rPr>
          <w:color w:val="231F20"/>
          <w:w w:val="110"/>
        </w:rPr>
        <w:t>A partir de esos elevados niveles de ganancias y tasa de</w:t>
      </w:r>
      <w:r>
        <w:rPr>
          <w:color w:val="231F20"/>
          <w:spacing w:val="-38"/>
          <w:w w:val="110"/>
        </w:rPr>
        <w:t> </w:t>
      </w:r>
      <w:r>
        <w:rPr>
          <w:color w:val="231F20"/>
          <w:w w:val="110"/>
        </w:rPr>
        <w:t>ganancia, mostrábamos que ellas podrían ser afectadas por el incremento de la competencia internacional en condiciones de una sobreproducción mundial</w:t>
      </w:r>
      <w:r>
        <w:rPr>
          <w:color w:val="231F20"/>
          <w:spacing w:val="-8"/>
          <w:w w:val="110"/>
        </w:rPr>
        <w:t> </w:t>
      </w:r>
      <w:r>
        <w:rPr>
          <w:color w:val="231F20"/>
          <w:w w:val="110"/>
        </w:rPr>
        <w:t>de</w:t>
      </w:r>
      <w:r>
        <w:rPr>
          <w:color w:val="231F20"/>
          <w:spacing w:val="-8"/>
          <w:w w:val="110"/>
        </w:rPr>
        <w:t> </w:t>
      </w:r>
      <w:r>
        <w:rPr>
          <w:color w:val="231F20"/>
          <w:w w:val="110"/>
        </w:rPr>
        <w:t>productos</w:t>
      </w:r>
      <w:r>
        <w:rPr>
          <w:color w:val="231F20"/>
          <w:spacing w:val="-8"/>
          <w:w w:val="110"/>
        </w:rPr>
        <w:t> </w:t>
      </w:r>
      <w:r>
        <w:rPr>
          <w:color w:val="231F20"/>
          <w:w w:val="110"/>
        </w:rPr>
        <w:t>industriales,</w:t>
      </w:r>
      <w:r>
        <w:rPr>
          <w:color w:val="231F20"/>
          <w:spacing w:val="-8"/>
          <w:w w:val="110"/>
        </w:rPr>
        <w:t> </w:t>
      </w:r>
      <w:r>
        <w:rPr>
          <w:color w:val="231F20"/>
          <w:w w:val="110"/>
        </w:rPr>
        <w:t>especialmente,</w:t>
      </w:r>
      <w:r>
        <w:rPr>
          <w:color w:val="231F20"/>
          <w:spacing w:val="-8"/>
          <w:w w:val="110"/>
        </w:rPr>
        <w:t> </w:t>
      </w:r>
      <w:r>
        <w:rPr>
          <w:color w:val="231F20"/>
          <w:w w:val="110"/>
        </w:rPr>
        <w:t>de</w:t>
      </w:r>
      <w:r>
        <w:rPr>
          <w:color w:val="231F20"/>
          <w:spacing w:val="-8"/>
          <w:w w:val="110"/>
        </w:rPr>
        <w:t> </w:t>
      </w:r>
      <w:r>
        <w:rPr>
          <w:color w:val="231F20"/>
          <w:w w:val="110"/>
        </w:rPr>
        <w:t>alta</w:t>
      </w:r>
      <w:r>
        <w:rPr>
          <w:color w:val="231F20"/>
          <w:spacing w:val="-8"/>
          <w:w w:val="110"/>
        </w:rPr>
        <w:t> </w:t>
      </w:r>
      <w:r>
        <w:rPr>
          <w:color w:val="231F20"/>
          <w:w w:val="110"/>
        </w:rPr>
        <w:t>tecnología, y subproducción o escasez de energéticos, materias primas y en un grado</w:t>
      </w:r>
      <w:r>
        <w:rPr>
          <w:color w:val="231F20"/>
          <w:spacing w:val="-14"/>
          <w:w w:val="110"/>
        </w:rPr>
        <w:t> </w:t>
      </w:r>
      <w:r>
        <w:rPr>
          <w:color w:val="231F20"/>
          <w:w w:val="110"/>
        </w:rPr>
        <w:t>menor</w:t>
      </w:r>
      <w:r>
        <w:rPr>
          <w:color w:val="231F20"/>
          <w:spacing w:val="-14"/>
          <w:w w:val="110"/>
        </w:rPr>
        <w:t> </w:t>
      </w:r>
      <w:r>
        <w:rPr>
          <w:color w:val="231F20"/>
          <w:w w:val="110"/>
        </w:rPr>
        <w:t>de</w:t>
      </w:r>
      <w:r>
        <w:rPr>
          <w:color w:val="231F20"/>
          <w:spacing w:val="-14"/>
          <w:w w:val="110"/>
        </w:rPr>
        <w:t> </w:t>
      </w:r>
      <w:r>
        <w:rPr>
          <w:color w:val="231F20"/>
          <w:w w:val="110"/>
        </w:rPr>
        <w:t>alimentos.</w:t>
      </w:r>
      <w:r>
        <w:rPr>
          <w:color w:val="231F20"/>
          <w:spacing w:val="-14"/>
          <w:w w:val="110"/>
        </w:rPr>
        <w:t> </w:t>
      </w:r>
      <w:r>
        <w:rPr>
          <w:color w:val="231F20"/>
          <w:w w:val="110"/>
        </w:rPr>
        <w:t>Destacábamos</w:t>
      </w:r>
      <w:r>
        <w:rPr>
          <w:color w:val="231F20"/>
          <w:spacing w:val="-14"/>
          <w:w w:val="110"/>
        </w:rPr>
        <w:t> </w:t>
      </w:r>
      <w:r>
        <w:rPr>
          <w:color w:val="231F20"/>
          <w:w w:val="110"/>
        </w:rPr>
        <w:t>un</w:t>
      </w:r>
      <w:r>
        <w:rPr>
          <w:color w:val="231F20"/>
          <w:spacing w:val="-14"/>
          <w:w w:val="110"/>
        </w:rPr>
        <w:t> </w:t>
      </w:r>
      <w:r>
        <w:rPr>
          <w:color w:val="231F20"/>
          <w:w w:val="110"/>
        </w:rPr>
        <w:t>cambio</w:t>
      </w:r>
      <w:r>
        <w:rPr>
          <w:color w:val="231F20"/>
          <w:spacing w:val="-14"/>
          <w:w w:val="110"/>
        </w:rPr>
        <w:t> </w:t>
      </w:r>
      <w:r>
        <w:rPr>
          <w:color w:val="231F20"/>
          <w:w w:val="110"/>
        </w:rPr>
        <w:t>muy</w:t>
      </w:r>
      <w:r>
        <w:rPr>
          <w:color w:val="231F20"/>
          <w:spacing w:val="-14"/>
          <w:w w:val="110"/>
        </w:rPr>
        <w:t> </w:t>
      </w:r>
      <w:r>
        <w:rPr>
          <w:color w:val="231F20"/>
          <w:w w:val="110"/>
        </w:rPr>
        <w:t>significati- vo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mundial,</w:t>
      </w:r>
      <w:r>
        <w:rPr>
          <w:color w:val="231F20"/>
          <w:spacing w:val="-9"/>
          <w:w w:val="110"/>
        </w:rPr>
        <w:t> </w:t>
      </w:r>
      <w:r>
        <w:rPr>
          <w:color w:val="231F20"/>
          <w:w w:val="110"/>
        </w:rPr>
        <w:t>de</w:t>
      </w:r>
      <w:r>
        <w:rPr>
          <w:color w:val="231F20"/>
          <w:spacing w:val="-9"/>
          <w:w w:val="110"/>
        </w:rPr>
        <w:t> </w:t>
      </w:r>
      <w:r>
        <w:rPr>
          <w:color w:val="231F20"/>
          <w:w w:val="110"/>
        </w:rPr>
        <w:t>términos</w:t>
      </w:r>
      <w:r>
        <w:rPr>
          <w:color w:val="231F20"/>
          <w:spacing w:val="-9"/>
          <w:w w:val="110"/>
        </w:rPr>
        <w:t> </w:t>
      </w:r>
      <w:r>
        <w:rPr>
          <w:color w:val="231F20"/>
          <w:w w:val="110"/>
        </w:rPr>
        <w:t>de</w:t>
      </w:r>
      <w:r>
        <w:rPr>
          <w:color w:val="231F20"/>
          <w:spacing w:val="-9"/>
          <w:w w:val="110"/>
        </w:rPr>
        <w:t> </w:t>
      </w:r>
      <w:r>
        <w:rPr>
          <w:color w:val="231F20"/>
          <w:w w:val="110"/>
        </w:rPr>
        <w:t>intercambio</w:t>
      </w:r>
      <w:r>
        <w:rPr>
          <w:color w:val="231F20"/>
          <w:spacing w:val="-9"/>
          <w:w w:val="110"/>
        </w:rPr>
        <w:t> </w:t>
      </w:r>
      <w:r>
        <w:rPr>
          <w:color w:val="231F20"/>
          <w:w w:val="110"/>
        </w:rPr>
        <w:t>desfavorable a</w:t>
      </w:r>
      <w:r>
        <w:rPr>
          <w:color w:val="231F20"/>
          <w:spacing w:val="-6"/>
          <w:w w:val="110"/>
        </w:rPr>
        <w:t> </w:t>
      </w:r>
      <w:r>
        <w:rPr>
          <w:color w:val="231F20"/>
          <w:w w:val="110"/>
        </w:rPr>
        <w:t>términos</w:t>
      </w:r>
      <w:r>
        <w:rPr>
          <w:color w:val="231F20"/>
          <w:spacing w:val="-6"/>
          <w:w w:val="110"/>
        </w:rPr>
        <w:t> </w:t>
      </w:r>
      <w:r>
        <w:rPr>
          <w:color w:val="231F20"/>
          <w:w w:val="110"/>
        </w:rPr>
        <w:t>de</w:t>
      </w:r>
      <w:r>
        <w:rPr>
          <w:color w:val="231F20"/>
          <w:spacing w:val="-6"/>
          <w:w w:val="110"/>
        </w:rPr>
        <w:t> </w:t>
      </w:r>
      <w:r>
        <w:rPr>
          <w:color w:val="231F20"/>
          <w:w w:val="110"/>
        </w:rPr>
        <w:t>intercambio</w:t>
      </w:r>
      <w:r>
        <w:rPr>
          <w:color w:val="231F20"/>
          <w:spacing w:val="-6"/>
          <w:w w:val="110"/>
        </w:rPr>
        <w:t> </w:t>
      </w:r>
      <w:r>
        <w:rPr>
          <w:color w:val="231F20"/>
          <w:w w:val="110"/>
        </w:rPr>
        <w:t>favorables</w:t>
      </w:r>
      <w:r>
        <w:rPr>
          <w:color w:val="231F20"/>
          <w:spacing w:val="-6"/>
          <w:w w:val="110"/>
        </w:rPr>
        <w:t> </w:t>
      </w:r>
      <w:r>
        <w:rPr>
          <w:color w:val="231F20"/>
          <w:w w:val="110"/>
        </w:rPr>
        <w:t>para</w:t>
      </w:r>
      <w:r>
        <w:rPr>
          <w:color w:val="231F20"/>
          <w:spacing w:val="-6"/>
          <w:w w:val="110"/>
        </w:rPr>
        <w:t> </w:t>
      </w:r>
      <w:r>
        <w:rPr>
          <w:color w:val="231F20"/>
          <w:w w:val="110"/>
        </w:rPr>
        <w:t>las</w:t>
      </w:r>
      <w:r>
        <w:rPr>
          <w:color w:val="231F20"/>
          <w:spacing w:val="-6"/>
          <w:w w:val="110"/>
        </w:rPr>
        <w:t> </w:t>
      </w:r>
      <w:r>
        <w:rPr>
          <w:color w:val="231F20"/>
          <w:w w:val="110"/>
        </w:rPr>
        <w:t>materias</w:t>
      </w:r>
      <w:r>
        <w:rPr>
          <w:color w:val="231F20"/>
          <w:spacing w:val="-6"/>
          <w:w w:val="110"/>
        </w:rPr>
        <w:t> </w:t>
      </w:r>
      <w:r>
        <w:rPr>
          <w:color w:val="231F20"/>
          <w:w w:val="110"/>
        </w:rPr>
        <w:t>primas.</w:t>
      </w:r>
      <w:r>
        <w:rPr>
          <w:color w:val="231F20"/>
          <w:spacing w:val="-6"/>
          <w:w w:val="110"/>
        </w:rPr>
        <w:t> </w:t>
      </w:r>
      <w:r>
        <w:rPr>
          <w:color w:val="231F20"/>
          <w:w w:val="110"/>
        </w:rPr>
        <w:t>El</w:t>
      </w:r>
      <w:r>
        <w:rPr>
          <w:color w:val="231F20"/>
          <w:spacing w:val="-6"/>
          <w:w w:val="110"/>
        </w:rPr>
        <w:t> </w:t>
      </w:r>
      <w:r>
        <w:rPr>
          <w:color w:val="231F20"/>
          <w:w w:val="110"/>
        </w:rPr>
        <w:t>in- cremento de la competencia provocaría una disminución de precios al mismo tiempo que un aumento de los costos que podría afectar  las ganancias de las empresas (Caputo,</w:t>
      </w:r>
      <w:r>
        <w:rPr>
          <w:color w:val="231F20"/>
          <w:spacing w:val="5"/>
          <w:w w:val="110"/>
        </w:rPr>
        <w:t> </w:t>
      </w:r>
      <w:r>
        <w:rPr>
          <w:color w:val="231F20"/>
          <w:w w:val="110"/>
        </w:rPr>
        <w:t>2005).</w:t>
      </w:r>
    </w:p>
    <w:p>
      <w:pPr>
        <w:pStyle w:val="BodyText"/>
        <w:spacing w:line="261" w:lineRule="auto"/>
        <w:ind w:left="100" w:right="119" w:firstLine="240"/>
        <w:jc w:val="both"/>
      </w:pPr>
      <w:r>
        <w:rPr>
          <w:color w:val="231F20"/>
          <w:w w:val="110"/>
        </w:rPr>
        <w:t>La disminución de las ganancias se produce antes de la crisis que ilustrábamos en el documento: “La crisis inmobiliaria en Estados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Unidos.</w:t>
      </w:r>
      <w:r>
        <w:rPr>
          <w:color w:val="231F20"/>
          <w:spacing w:val="-13"/>
          <w:w w:val="110"/>
        </w:rPr>
        <w:t> </w:t>
      </w:r>
      <w:r>
        <w:rPr>
          <w:color w:val="231F20"/>
          <w:w w:val="110"/>
        </w:rPr>
        <w:t>La</w:t>
      </w:r>
      <w:r>
        <w:rPr>
          <w:color w:val="231F20"/>
          <w:spacing w:val="-13"/>
          <w:w w:val="110"/>
        </w:rPr>
        <w:t> </w:t>
      </w:r>
      <w:r>
        <w:rPr>
          <w:color w:val="231F20"/>
          <w:w w:val="110"/>
        </w:rPr>
        <w:t>eventual</w:t>
      </w:r>
      <w:r>
        <w:rPr>
          <w:color w:val="231F20"/>
          <w:spacing w:val="-13"/>
          <w:w w:val="110"/>
        </w:rPr>
        <w:t> </w:t>
      </w:r>
      <w:r>
        <w:rPr>
          <w:color w:val="231F20"/>
          <w:w w:val="110"/>
        </w:rPr>
        <w:t>séptima</w:t>
      </w:r>
      <w:r>
        <w:rPr>
          <w:color w:val="231F20"/>
          <w:spacing w:val="-13"/>
          <w:w w:val="110"/>
        </w:rPr>
        <w:t> </w:t>
      </w:r>
      <w:r>
        <w:rPr>
          <w:color w:val="231F20"/>
          <w:w w:val="110"/>
        </w:rPr>
        <w:t>crisis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economía</w:t>
      </w:r>
      <w:r>
        <w:rPr>
          <w:color w:val="231F20"/>
          <w:spacing w:val="-13"/>
          <w:w w:val="110"/>
        </w:rPr>
        <w:t> </w:t>
      </w:r>
      <w:r>
        <w:rPr>
          <w:color w:val="231F20"/>
          <w:w w:val="110"/>
        </w:rPr>
        <w:t>mundial”</w:t>
      </w:r>
      <w:r>
        <w:rPr>
          <w:color w:val="231F20"/>
          <w:spacing w:val="-13"/>
          <w:w w:val="110"/>
        </w:rPr>
        <w:t> </w:t>
      </w:r>
      <w:r>
        <w:rPr>
          <w:color w:val="231F20"/>
          <w:w w:val="110"/>
        </w:rPr>
        <w:t>(Caputo,</w:t>
      </w:r>
      <w:r>
        <w:rPr>
          <w:color w:val="231F20"/>
          <w:w w:val="112"/>
        </w:rPr>
        <w:t> </w:t>
      </w:r>
      <w:r>
        <w:rPr>
          <w:color w:val="231F20"/>
          <w:w w:val="110"/>
        </w:rPr>
        <w:t>2009) de mediados de 2007 y publicado en 2008. La crisis actual es mucho más profunda que una crisis</w:t>
      </w:r>
      <w:r>
        <w:rPr>
          <w:color w:val="231F20"/>
          <w:spacing w:val="40"/>
          <w:w w:val="110"/>
        </w:rPr>
        <w:t> </w:t>
      </w:r>
      <w:r>
        <w:rPr>
          <w:color w:val="231F20"/>
          <w:w w:val="110"/>
        </w:rPr>
        <w:t>cíclica.</w:t>
      </w:r>
    </w:p>
    <w:p>
      <w:pPr>
        <w:pStyle w:val="BodyText"/>
      </w:pPr>
    </w:p>
    <w:p>
      <w:pPr>
        <w:pStyle w:val="BodyText"/>
      </w:pPr>
    </w:p>
    <w:p>
      <w:pPr>
        <w:pStyle w:val="BodyText"/>
        <w:spacing w:before="2"/>
        <w:rPr>
          <w:sz w:val="25"/>
        </w:rPr>
      </w:pPr>
    </w:p>
    <w:p>
      <w:pPr>
        <w:pStyle w:val="BodyText"/>
        <w:spacing w:line="261" w:lineRule="auto"/>
        <w:ind w:left="100" w:right="1680"/>
      </w:pPr>
      <w:r>
        <w:rPr>
          <w:color w:val="231F20"/>
          <w:w w:val="125"/>
        </w:rPr>
        <w:t>las</w:t>
      </w:r>
      <w:r>
        <w:rPr>
          <w:color w:val="231F20"/>
          <w:spacing w:val="-20"/>
          <w:w w:val="125"/>
        </w:rPr>
        <w:t> </w:t>
      </w:r>
      <w:r>
        <w:rPr>
          <w:color w:val="231F20"/>
          <w:w w:val="125"/>
        </w:rPr>
        <w:t>ganancias</w:t>
      </w:r>
      <w:r>
        <w:rPr>
          <w:color w:val="231F20"/>
          <w:spacing w:val="-20"/>
          <w:w w:val="125"/>
        </w:rPr>
        <w:t> </w:t>
      </w:r>
      <w:r>
        <w:rPr>
          <w:color w:val="231F20"/>
          <w:w w:val="125"/>
        </w:rPr>
        <w:t>de</w:t>
      </w:r>
      <w:r>
        <w:rPr>
          <w:color w:val="231F20"/>
          <w:spacing w:val="-20"/>
          <w:w w:val="125"/>
        </w:rPr>
        <w:t> </w:t>
      </w:r>
      <w:r>
        <w:rPr>
          <w:color w:val="231F20"/>
          <w:w w:val="125"/>
        </w:rPr>
        <w:t>las</w:t>
      </w:r>
      <w:r>
        <w:rPr>
          <w:color w:val="231F20"/>
          <w:spacing w:val="-20"/>
          <w:w w:val="125"/>
        </w:rPr>
        <w:t> </w:t>
      </w:r>
      <w:r>
        <w:rPr>
          <w:color w:val="231F20"/>
          <w:w w:val="125"/>
        </w:rPr>
        <w:t>empresas</w:t>
      </w:r>
      <w:r>
        <w:rPr>
          <w:color w:val="231F20"/>
          <w:spacing w:val="-20"/>
          <w:w w:val="125"/>
        </w:rPr>
        <w:t> </w:t>
      </w:r>
      <w:r>
        <w:rPr>
          <w:color w:val="231F20"/>
          <w:w w:val="125"/>
        </w:rPr>
        <w:t>estadunidenses en estados unidos y en el resto del</w:t>
      </w:r>
      <w:r>
        <w:rPr>
          <w:color w:val="231F20"/>
          <w:spacing w:val="-19"/>
          <w:w w:val="125"/>
        </w:rPr>
        <w:t> </w:t>
      </w:r>
      <w:r>
        <w:rPr>
          <w:color w:val="231F20"/>
          <w:w w:val="125"/>
        </w:rPr>
        <w:t>mundo</w:t>
      </w:r>
    </w:p>
    <w:p>
      <w:pPr>
        <w:pStyle w:val="BodyText"/>
        <w:spacing w:before="8"/>
        <w:rPr>
          <w:sz w:val="21"/>
        </w:rPr>
      </w:pPr>
    </w:p>
    <w:p>
      <w:pPr>
        <w:pStyle w:val="BodyText"/>
        <w:spacing w:line="261" w:lineRule="auto"/>
        <w:ind w:left="100" w:right="119"/>
        <w:jc w:val="both"/>
      </w:pPr>
      <w:r>
        <w:rPr>
          <w:color w:val="231F20"/>
          <w:w w:val="110"/>
        </w:rPr>
        <w:t>A continuación y como crítica a Brenner, presentamos primero, el comportamiento de la masa de ganancia entre 1950 y 2009. Poste- riormente, mostraremos el comportamiento de la tasa de ganancia</w:t>
      </w:r>
      <w:r>
        <w:rPr>
          <w:color w:val="231F20"/>
          <w:w w:val="109"/>
        </w:rPr>
        <w:t> </w:t>
      </w:r>
      <w:r>
        <w:rPr>
          <w:color w:val="231F20"/>
          <w:w w:val="110"/>
        </w:rPr>
        <w:t>desde 1960 hasta años recientes.</w:t>
      </w:r>
    </w:p>
    <w:p>
      <w:pPr>
        <w:pStyle w:val="BodyText"/>
        <w:spacing w:line="261" w:lineRule="auto"/>
        <w:ind w:left="100" w:right="119" w:firstLine="240"/>
        <w:jc w:val="both"/>
      </w:pPr>
      <w:r>
        <w:rPr>
          <w:color w:val="231F20"/>
          <w:w w:val="110"/>
        </w:rPr>
        <w:t>Como</w:t>
      </w:r>
      <w:r>
        <w:rPr>
          <w:color w:val="231F20"/>
          <w:spacing w:val="-17"/>
          <w:w w:val="110"/>
        </w:rPr>
        <w:t> </w:t>
      </w:r>
      <w:r>
        <w:rPr>
          <w:color w:val="231F20"/>
          <w:w w:val="110"/>
        </w:rPr>
        <w:t>se</w:t>
      </w:r>
      <w:r>
        <w:rPr>
          <w:color w:val="231F20"/>
          <w:spacing w:val="-17"/>
          <w:w w:val="110"/>
        </w:rPr>
        <w:t> </w:t>
      </w:r>
      <w:r>
        <w:rPr>
          <w:color w:val="231F20"/>
          <w:w w:val="110"/>
        </w:rPr>
        <w:t>observa</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gráfica</w:t>
      </w:r>
      <w:r>
        <w:rPr>
          <w:color w:val="231F20"/>
          <w:spacing w:val="-17"/>
          <w:w w:val="110"/>
        </w:rPr>
        <w:t> </w:t>
      </w:r>
      <w:r>
        <w:rPr>
          <w:color w:val="231F20"/>
          <w:w w:val="110"/>
        </w:rPr>
        <w:t>4,</w:t>
      </w:r>
      <w:r>
        <w:rPr>
          <w:color w:val="231F20"/>
          <w:spacing w:val="-17"/>
          <w:w w:val="110"/>
        </w:rPr>
        <w:t> </w:t>
      </w:r>
      <w:r>
        <w:rPr>
          <w:color w:val="231F20"/>
          <w:w w:val="110"/>
        </w:rPr>
        <w:t>entre</w:t>
      </w:r>
      <w:r>
        <w:rPr>
          <w:color w:val="231F20"/>
          <w:spacing w:val="-17"/>
          <w:w w:val="110"/>
        </w:rPr>
        <w:t> </w:t>
      </w:r>
      <w:r>
        <w:rPr>
          <w:color w:val="231F20"/>
          <w:w w:val="110"/>
        </w:rPr>
        <w:t>1965</w:t>
      </w:r>
      <w:r>
        <w:rPr>
          <w:color w:val="231F20"/>
          <w:spacing w:val="-17"/>
          <w:w w:val="110"/>
        </w:rPr>
        <w:t> </w:t>
      </w:r>
      <w:r>
        <w:rPr>
          <w:color w:val="231F20"/>
          <w:w w:val="110"/>
        </w:rPr>
        <w:t>y</w:t>
      </w:r>
      <w:r>
        <w:rPr>
          <w:color w:val="231F20"/>
          <w:spacing w:val="-17"/>
          <w:w w:val="110"/>
        </w:rPr>
        <w:t> </w:t>
      </w:r>
      <w:r>
        <w:rPr>
          <w:color w:val="231F20"/>
          <w:w w:val="110"/>
        </w:rPr>
        <w:t>mediados</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años ochenta —veinte años—, las ganancias globales de</w:t>
      </w:r>
      <w:r>
        <w:rPr>
          <w:color w:val="231F20"/>
          <w:spacing w:val="4"/>
          <w:w w:val="110"/>
        </w:rPr>
        <w:t> </w:t>
      </w:r>
      <w:r>
        <w:rPr>
          <w:color w:val="231F20"/>
          <w:w w:val="110"/>
        </w:rPr>
        <w:t>Estados</w:t>
      </w:r>
      <w:r>
        <w:rPr>
          <w:color w:val="231F20"/>
          <w:spacing w:val="8"/>
          <w:w w:val="110"/>
        </w:rPr>
        <w:t> </w:t>
      </w:r>
      <w:r>
        <w:rPr>
          <w:color w:val="231F20"/>
          <w:w w:val="110"/>
        </w:rPr>
        <w:t>Unidos</w:t>
      </w:r>
      <w:r>
        <w:rPr>
          <w:color w:val="231F20"/>
          <w:w w:val="109"/>
        </w:rPr>
        <w:t> </w:t>
      </w:r>
      <w:r>
        <w:rPr>
          <w:color w:val="231F20"/>
          <w:w w:val="110"/>
        </w:rPr>
        <w:t>tuvieron un</w:t>
      </w:r>
      <w:r>
        <w:rPr>
          <w:color w:val="231F20"/>
          <w:spacing w:val="37"/>
          <w:w w:val="110"/>
        </w:rPr>
        <w:t> </w:t>
      </w:r>
      <w:r>
        <w:rPr>
          <w:color w:val="231F20"/>
          <w:w w:val="110"/>
        </w:rPr>
        <w:t>estancamiento.</w:t>
      </w:r>
    </w:p>
    <w:p>
      <w:pPr>
        <w:pStyle w:val="BodyText"/>
        <w:spacing w:before="2"/>
        <w:rPr>
          <w:sz w:val="24"/>
        </w:rPr>
      </w:pPr>
    </w:p>
    <w:p>
      <w:pPr>
        <w:spacing w:line="290" w:lineRule="auto" w:before="0"/>
        <w:ind w:left="100" w:right="202" w:firstLine="0"/>
        <w:jc w:val="left"/>
        <w:rPr>
          <w:sz w:val="18"/>
        </w:rPr>
      </w:pPr>
      <w:r>
        <w:rPr>
          <w:color w:val="231F20"/>
          <w:w w:val="120"/>
          <w:sz w:val="18"/>
        </w:rPr>
        <w:t>gráfica 4. las ganancias de las empresas estadunidenses, ganancias en estados unidos y en otros países (miles de millones de dólares corrientes y en dólares de   2005)</w:t>
      </w:r>
    </w:p>
    <w:p>
      <w:pPr>
        <w:tabs>
          <w:tab w:pos="5661" w:val="left" w:leader="none"/>
        </w:tabs>
        <w:spacing w:before="93"/>
        <w:ind w:left="402" w:right="25" w:firstLine="0"/>
        <w:jc w:val="left"/>
        <w:rPr>
          <w:rFonts w:ascii="Georgia" w:hAnsi="Georgia"/>
          <w:sz w:val="16"/>
        </w:rPr>
      </w:pPr>
      <w:r>
        <w:rPr/>
        <w:pict>
          <v:group style="position:absolute;margin-left:81.349998pt;margin-top:9.730145pt;width:235pt;height:120.2pt;mso-position-horizontal-relative:page;mso-position-vertical-relative:paragraph;z-index:-354880" coordorigin="1627,195" coordsize="4700,2404">
            <v:line style="position:absolute" from="1700,1791" to="6321,1791" stroked="true" strokeweight=".5pt" strokecolor="#a7a9ac"/>
            <v:line style="position:absolute" from="1700,2054" to="6321,2054" stroked="true" strokeweight=".5pt" strokecolor="#a7a9ac"/>
            <v:line style="position:absolute" from="2600,2185" to="2717,2126" stroked="true" strokeweight=".5pt" strokecolor="#231f20">
              <v:stroke dashstyle="dash"/>
            </v:line>
            <v:line style="position:absolute" from="2764,2098" to="2870,2026" stroked="true" strokeweight=".5pt" strokecolor="#231f20">
              <v:stroke dashstyle="dash"/>
            </v:line>
            <v:line style="position:absolute" from="2916,2003" to="2948,1991" stroked="true" strokeweight=".5pt" strokecolor="#231f20">
              <v:stroke dashstyle="dash"/>
            </v:line>
            <v:line style="position:absolute" from="2997,1994" to="3030,2006" stroked="true" strokeweight=".5pt" strokecolor="#231f20">
              <v:stroke dashstyle="dash"/>
            </v:line>
            <v:line style="position:absolute" from="3078,2007" to="3110,2000" stroked="true" strokeweight=".5pt" strokecolor="#231f20">
              <v:stroke dashstyle="dash"/>
            </v:line>
            <v:line style="position:absolute" from="3152,2008" to="3179,2022" stroked="true" strokeweight=".5pt" strokecolor="#231f20">
              <v:stroke dashstyle="dash"/>
            </v:line>
            <v:line style="position:absolute" from="3225,2061" to="3258,2094" stroked="true" strokeweight=".5pt" strokecolor="#231f20">
              <v:stroke dashstyle="dash"/>
            </v:line>
            <v:line style="position:absolute" from="3311,2105" to="3347,2093" stroked="true" strokeweight=".5pt" strokecolor="#231f20">
              <v:stroke dashstyle="dash"/>
            </v:line>
            <v:line style="position:absolute" from="3390,2064" to="3414,2040" stroked="true" strokeweight=".5pt" strokecolor="#231f20">
              <v:stroke dashstyle="dash"/>
            </v:line>
            <v:line style="position:absolute" from="3456,2019" to="3488,2012" stroked="true" strokeweight=".5pt" strokecolor="#231f20">
              <v:stroke dashstyle="dash"/>
            </v:line>
            <v:line style="position:absolute" from="3532,2032" to="3560,2061" stroked="true" strokeweight=".5pt" strokecolor="#231f20">
              <v:stroke dashstyle="dash"/>
            </v:line>
            <v:line style="position:absolute" from="3609,2073" to="3646,2066" stroked="true" strokeweight=".5pt" strokecolor="#231f20">
              <v:stroke dashstyle="dash"/>
            </v:line>
            <v:line style="position:absolute" from="3701,2034" to="3737,2003" stroked="true" strokeweight=".5pt" strokecolor="#231f20">
              <v:stroke dashstyle="dash"/>
            </v:line>
            <v:line style="position:absolute" from="3787,1951" to="3818,1916" stroked="true" strokeweight=".5pt" strokecolor="#231f20">
              <v:stroke dashstyle="dash"/>
            </v:line>
            <v:line style="position:absolute" from="3862,1881" to="3891,1866" stroked="true" strokeweight=".5pt" strokecolor="#231f20">
              <v:stroke dashstyle="dash"/>
            </v:line>
            <v:line style="position:absolute" from="3939,1872" to="3972,1889" stroked="true" strokeweight=".5pt" strokecolor="#231f20">
              <v:stroke dashstyle="dash"/>
            </v:line>
            <v:line style="position:absolute" from="4010,1929" to="4053,2004" stroked="true" strokeweight=".5pt" strokecolor="#231f20">
              <v:stroke dashstyle="dash"/>
            </v:line>
            <v:line style="position:absolute" from="4092,2019" to="4124,2012" stroked="true" strokeweight=".5pt" strokecolor="#231f20">
              <v:stroke dashstyle="dash"/>
            </v:line>
            <v:line style="position:absolute" from="4169,2035" to="4199,2066" stroked="true" strokeweight=".5pt" strokecolor="#231f20">
              <v:stroke dashstyle="dash"/>
            </v:line>
            <v:line style="position:absolute" from="4242,2056" to="4372,1896" stroked="true" strokeweight=".5pt" strokecolor="#231f20">
              <v:stroke dashstyle="dash"/>
            </v:line>
            <v:line style="position:absolute" from="4488,1892" to="4518,1911" stroked="true" strokeweight=".5pt" strokecolor="#231f20">
              <v:stroke dashstyle="dash"/>
            </v:line>
            <v:line style="position:absolute" from="4554,1900" to="4599,1838" stroked="true" strokeweight=".5pt" strokecolor="#231f20">
              <v:stroke dashstyle="dash"/>
            </v:line>
            <v:line style="position:absolute" from="4634,1802" to="4691,1751" stroked="true" strokeweight=".5pt" strokecolor="#231f20">
              <v:stroke dashstyle="dash"/>
            </v:line>
            <v:line style="position:absolute" from="4731,1748" to="4760,1760" stroked="true" strokeweight=".5pt" strokecolor="#231f20">
              <v:stroke dashstyle="dash"/>
            </v:line>
            <v:line style="position:absolute" from="4803,1773" to="4833,1781" stroked="true" strokeweight=".5pt" strokecolor="#231f20">
              <v:stroke dashstyle="dash"/>
            </v:line>
            <v:line style="position:absolute" from="4878,1779" to="4910,1772" stroked="true" strokeweight=".5pt" strokecolor="#231f20">
              <v:stroke dashstyle="dash"/>
            </v:line>
            <v:line style="position:absolute" from="4959,1753" to="4992,1736" stroked="true" strokeweight=".5pt" strokecolor="#231f20">
              <v:stroke dashstyle="dash"/>
            </v:line>
            <v:line style="position:absolute" from="5039,1704" to="5067,1680" stroked="true" strokeweight=".5pt" strokecolor="#231f20">
              <v:stroke dashstyle="dash"/>
            </v:line>
            <v:line style="position:absolute" from="5105,1637" to="5155,1565" stroked="true" strokeweight=".5pt" strokecolor="#231f20">
              <v:stroke dashstyle="dash"/>
            </v:line>
            <v:line style="position:absolute" from="5188,1514" to="5234,1435" stroked="true" strokeweight=".5pt" strokecolor="#231f20">
              <v:stroke dashstyle="dash"/>
            </v:line>
            <v:line style="position:absolute" from="1700,1265" to="6321,1265" stroked="true" strokeweight=".5pt" strokecolor="#a7a9ac"/>
            <v:line style="position:absolute" from="5266,1387" to="5396,1204" stroked="true" strokeweight=".5pt" strokecolor="#231f20">
              <v:stroke dashstyle="dash"/>
            </v:line>
            <v:line style="position:absolute" from="5426,1219" to="5469,1305" stroked="true" strokeweight=".5pt" strokecolor="#231f20">
              <v:stroke dashstyle="dash"/>
            </v:line>
            <v:line style="position:absolute" from="5509,1310" to="5540,1289" stroked="true" strokeweight=".5pt" strokecolor="#231f20">
              <v:stroke dashstyle="dash"/>
            </v:line>
            <v:line style="position:absolute" from="5585,1305" to="5613,1338" stroked="true" strokeweight=".5pt" strokecolor="#231f20">
              <v:stroke dashstyle="dash"/>
            </v:line>
            <v:line style="position:absolute" from="5665,1383" to="5703,1409" stroked="true" strokeweight=".5pt" strokecolor="#231f20">
              <v:stroke dashstyle="dash"/>
            </v:line>
            <v:line style="position:absolute" from="5748,1395" to="5862,1231" stroked="true" strokeweight=".5pt" strokecolor="#231f20">
              <v:stroke dashstyle="dash"/>
            </v:line>
            <v:line style="position:absolute" from="1700,1002" to="6321,1002" stroked="true" strokeweight=".5pt" strokecolor="#a7a9ac"/>
            <v:line style="position:absolute" from="5885,1175" to="5944,892" stroked="true" strokeweight=".5pt" strokecolor="#231f20">
              <v:stroke dashstyle="dash"/>
            </v:line>
            <v:line style="position:absolute" from="5961,836" to="6025,667" stroked="true" strokeweight=".5pt" strokecolor="#231f20">
              <v:stroke dashstyle="dash"/>
            </v:line>
            <v:line style="position:absolute" from="6052,616" to="6098,540" stroked="true" strokeweight=".5pt" strokecolor="#231f20">
              <v:stroke dashstyle="dash"/>
            </v:line>
            <v:line style="position:absolute" from="6130,553" to="6176,639" stroked="true" strokeweight=".5pt" strokecolor="#231f20">
              <v:stroke dashstyle="dash"/>
            </v:line>
            <v:line style="position:absolute" from="6201,699" to="6265,890" stroked="true" strokeweight=".5pt" strokecolor="#231f20">
              <v:stroke dashstyle="dash"/>
            </v:line>
            <v:line style="position:absolute" from="1740,2249" to="1772,2237" stroked="true" strokeweight=".5pt" strokecolor="#231f20">
              <v:stroke dashstyle="dash"/>
            </v:line>
            <v:line style="position:absolute" from="1818,2240" to="1850,2252" stroked="true" strokeweight=".5pt" strokecolor="#231f20">
              <v:stroke dashstyle="dash"/>
            </v:line>
            <v:shape style="position:absolute;left:0;top:5804;width:177;height:30" coordorigin="0,5804" coordsize="177,30" path="m1713,2259l1726,2255m1779,2234l1791,2229,1804,2234m1857,2255l1869,2259,1890,2259e" filled="false" stroked="true" strokeweight=".5pt" strokecolor="#231f20">
              <v:path arrowok="t"/>
            </v:shape>
            <v:line style="position:absolute" from="1977,2261" to="2018,2264" stroked="true" strokeweight=".5pt" strokecolor="#231f20">
              <v:stroke dashstyle="dash"/>
            </v:line>
            <v:line style="position:absolute" from="2062,2234" to="2084,2198" stroked="true" strokeweight=".5pt" strokecolor="#231f20">
              <v:stroke dashstyle="dash"/>
            </v:line>
            <v:line style="position:absolute" from="2127,2186" to="2160,2198" stroked="true" strokeweight=".5pt" strokecolor="#231f20">
              <v:stroke dashstyle="dash"/>
            </v:line>
            <v:line style="position:absolute" from="2207,2211" to="2238,2219" stroked="true" strokeweight=".5pt" strokecolor="#231f20">
              <v:stroke dashstyle="dash"/>
            </v:line>
            <v:line style="position:absolute" from="2287,2240" to="2322,2259" stroked="true" strokeweight=".5pt" strokecolor="#231f20">
              <v:stroke dashstyle="dash"/>
            </v:line>
            <v:line style="position:absolute" from="2369,2244" to="2399,2213" stroked="true" strokeweight=".5pt" strokecolor="#231f20">
              <v:stroke dashstyle="dash"/>
            </v:line>
            <v:line style="position:absolute" from="2445,2193" to="2477,2193" stroked="true" strokeweight=".5pt" strokecolor="#231f20">
              <v:stroke dashstyle="dash"/>
            </v:line>
            <v:shape style="position:absolute;left:208;top:4094;width:4353;height:1752" coordorigin="208,4094" coordsize="4353,1752" path="m1921,2259l1941,2259,1957,2260m2028,2264l2043,2265,2051,2252m2089,2189l2097,2175,2110,2180m2169,2201l2181,2205,2193,2208m2245,2220l2257,2223,2270,2230m2330,2264l2343,2271,2354,2260m2406,2205l2417,2193,2430,2193m2485,2193l2497,2193,2518,2195m2550,2198l2571,2199,2584,2193m2725,2122l2737,2115,2749,2107m2878,2021l2889,2013,2902,2009m2955,1988l2967,1983,2980,1988m3039,2009l3051,2013,3064,2010m3117,1998l3129,1995,3140,2001m3185,2025l3195,2031,3208,2043m3267,2103l3279,2115,3293,2111m3356,2090l3369,2085,3379,2076m3420,2034l3429,2025,3442,2022m3495,2010l3507,2007,3518,2018m3567,2068l3577,2079,3591,2076m3655,2064l3669,2061,3683,2050m3746,1995l3759,1983,3771,1970m3826,1906l3837,1893,3849,1888m3898,1863l3909,1857,3922,1864m3981,1893l3993,1899,4001,1912m4058,2013l4065,2025,4078,2022m4131,2010l4143,2007,4154,2019m4206,2074l4217,2085,4228,2073m4379,1888l4389,1875,4410,1875m4441,1875l4461,1875,4473,1883m4526,1916l4537,1923,4545,1913m4604,1832l4611,1821,4621,1813m4698,1746l4707,1737,4718,1742m4766,1763l4777,1767,4789,1770m4840,1782l4851,1785,4864,1782m4917,1770l4929,1767,4942,1761m5001,1732l5013,1725,5024,1716m5075,1674l5085,1665,5094,1653m5161,1557l5169,1545,5177,1532m5240,1426l5247,1413,5256,1402m5401,1197l5409,1185,5417,1199m5474,1315l5481,1329,5493,1321m5548,1283l5559,1275,5570,1288m5621,1347l5631,1359,5645,1369m5713,1416l5727,1425,5736,1412m5869,1222l5877,1209,5881,1195m5946,882l5949,867,5955,854m6028,659l6033,645,6041,633m6104,532l6111,519,6119,533m6182,649l6189,663,6194,678m6268,900l6273,915e" filled="false" stroked="true" strokeweight=".5pt" strokecolor="#231f20">
              <v:path arrowok="t"/>
            </v:shape>
            <v:shape style="position:absolute;left:1719;top:459;width:4548;height:2082" coordorigin="1719,459" coordsize="4548,2082" path="m1719,2541l1791,2529,1869,2541,1947,2541,2031,2541,2109,2517,2187,2535,2265,2535,2349,2535,2433,2529,2499,2517,2577,2523,2657,2505,2739,2499,2817,2481,2889,2469,2977,2463,3063,2475,3129,2463,3207,2463,3279,2493,3377,2457,3447,2439,3525,2433,3591,2445,3681,2413,3759,2373,3831,2333,3909,2293,3999,2283,4071,2325,4155,2289,4239,2325,4297,2235,4389,2173,4473,2145,4545,2175,4629,2097,4707,2019,4779,2025,4863,2019,4929,1983,5019,1935,5103,1869,5177,1755,5253,1641,5337,1527,5409,1413,5493,1497,5565,1453,5649,1503,5733,1551,5799,1437,5883,1299,5955,933,6045,657,6123,459,6195,549,6267,789e" filled="false" stroked="true" strokeweight=".5pt" strokecolor="#231f20">
              <v:path arrowok="t"/>
            </v:shape>
            <v:line style="position:absolute" from="1632,2594" to="1632,200" stroked="true" strokeweight=".5pt" strokecolor="#231f20"/>
            <v:shape style="position:absolute;left:1700;top:382;width:4622;height:425" type="#_x0000_t202" filled="false" stroked="false">
              <v:textbox inset="0,0,0,0">
                <w:txbxContent>
                  <w:p>
                    <w:pPr>
                      <w:tabs>
                        <w:tab w:pos="4621" w:val="left" w:leader="none"/>
                      </w:tabs>
                      <w:spacing w:line="158" w:lineRule="exact" w:before="0"/>
                      <w:ind w:left="0" w:right="0" w:firstLine="0"/>
                      <w:jc w:val="left"/>
                      <w:rPr>
                        <w:rFonts w:ascii="Georgia"/>
                        <w:sz w:val="16"/>
                      </w:rPr>
                    </w:pPr>
                    <w:r>
                      <w:rPr>
                        <w:rFonts w:ascii="Georgia"/>
                        <w:color w:val="231F20"/>
                        <w:w w:val="107"/>
                        <w:sz w:val="16"/>
                        <w:u w:val="single" w:color="A7A9AC"/>
                      </w:rPr>
                      <w:t> </w:t>
                    </w:r>
                    <w:r>
                      <w:rPr>
                        <w:rFonts w:ascii="Georgia"/>
                        <w:color w:val="231F20"/>
                        <w:sz w:val="16"/>
                        <w:u w:val="single" w:color="A7A9AC"/>
                      </w:rPr>
                      <w:tab/>
                    </w:r>
                  </w:p>
                  <w:p>
                    <w:pPr>
                      <w:tabs>
                        <w:tab w:pos="4621" w:val="left" w:leader="none"/>
                      </w:tabs>
                      <w:spacing w:before="83"/>
                      <w:ind w:left="0" w:right="0" w:firstLine="0"/>
                      <w:jc w:val="left"/>
                      <w:rPr>
                        <w:rFonts w:ascii="Georgia"/>
                        <w:sz w:val="16"/>
                      </w:rPr>
                    </w:pPr>
                    <w:r>
                      <w:rPr>
                        <w:rFonts w:ascii="Georgia"/>
                        <w:color w:val="231F20"/>
                        <w:w w:val="107"/>
                        <w:sz w:val="16"/>
                        <w:u w:val="single" w:color="A7A9AC"/>
                      </w:rPr>
                      <w:t> </w:t>
                    </w:r>
                    <w:r>
                      <w:rPr>
                        <w:rFonts w:ascii="Georgia"/>
                        <w:color w:val="231F20"/>
                        <w:sz w:val="16"/>
                        <w:u w:val="single" w:color="A7A9AC"/>
                      </w:rPr>
                      <w:tab/>
                    </w:r>
                  </w:p>
                </w:txbxContent>
              </v:textbox>
              <w10:wrap type="none"/>
            </v:shape>
            <v:shape style="position:absolute;left:1700;top:1461;width:4622;height:160" type="#_x0000_t202" filled="false" stroked="false">
              <v:textbox inset="0,0,0,0">
                <w:txbxContent>
                  <w:p>
                    <w:pPr>
                      <w:tabs>
                        <w:tab w:pos="4621" w:val="left" w:leader="none"/>
                      </w:tabs>
                      <w:spacing w:line="158" w:lineRule="exact" w:before="0"/>
                      <w:ind w:left="0" w:right="0" w:firstLine="0"/>
                      <w:jc w:val="left"/>
                      <w:rPr>
                        <w:rFonts w:ascii="Georgia"/>
                        <w:sz w:val="16"/>
                      </w:rPr>
                    </w:pPr>
                    <w:r>
                      <w:rPr>
                        <w:rFonts w:ascii="Georgia"/>
                        <w:strike/>
                        <w:color w:val="231F20"/>
                        <w:w w:val="107"/>
                        <w:sz w:val="16"/>
                      </w:rPr>
                      <w:t> </w:t>
                    </w:r>
                    <w:r>
                      <w:rPr>
                        <w:rFonts w:ascii="Georgia"/>
                        <w:strike/>
                        <w:color w:val="231F20"/>
                        <w:sz w:val="16"/>
                      </w:rPr>
                      <w:t> </w:t>
                    </w:r>
                    <w:r>
                      <w:rPr>
                        <w:rFonts w:ascii="Georgia"/>
                        <w:strike/>
                        <w:color w:val="231F20"/>
                        <w:spacing w:val="-12"/>
                        <w:sz w:val="16"/>
                      </w:rPr>
                      <w:t> </w:t>
                    </w:r>
                    <w:r>
                      <w:rPr>
                        <w:rFonts w:ascii="Georgia"/>
                        <w:strike/>
                        <w:color w:val="231F20"/>
                        <w:sz w:val="16"/>
                      </w:rPr>
                      <w:t>Ganancia real de EU en el</w:t>
                    </w:r>
                    <w:r>
                      <w:rPr>
                        <w:rFonts w:ascii="Georgia"/>
                        <w:strike/>
                        <w:color w:val="231F20"/>
                        <w:spacing w:val="17"/>
                        <w:sz w:val="16"/>
                      </w:rPr>
                      <w:t> </w:t>
                    </w:r>
                    <w:r>
                      <w:rPr>
                        <w:rFonts w:ascii="Georgia"/>
                        <w:strike/>
                        <w:color w:val="231F20"/>
                        <w:sz w:val="16"/>
                      </w:rPr>
                      <w:t>mundo</w:t>
                      <w:tab/>
                    </w:r>
                  </w:p>
                </w:txbxContent>
              </v:textbox>
              <w10:wrap type="none"/>
            </v:shape>
            <v:shape style="position:absolute;left:1975;top:1641;width:2045;height:160" type="#_x0000_t202" filled="false" stroked="false">
              <v:textbox inset="0,0,0,0">
                <w:txbxContent>
                  <w:p>
                    <w:pPr>
                      <w:spacing w:line="158" w:lineRule="exact" w:before="0"/>
                      <w:ind w:left="0" w:right="0" w:firstLine="0"/>
                      <w:jc w:val="left"/>
                      <w:rPr>
                        <w:rFonts w:ascii="Georgia"/>
                        <w:sz w:val="16"/>
                      </w:rPr>
                    </w:pPr>
                    <w:r>
                      <w:rPr>
                        <w:rFonts w:ascii="Georgia"/>
                        <w:color w:val="231F20"/>
                        <w:sz w:val="16"/>
                      </w:rPr>
                      <w:t>(G en EU y resto del mundo)</w:t>
                    </w:r>
                  </w:p>
                </w:txbxContent>
              </v:textbox>
              <w10:wrap type="none"/>
            </v:shape>
            <v:shape style="position:absolute;left:5117;top:1677;width:1181;height:520" type="#_x0000_t202" filled="false" stroked="false">
              <v:textbox inset="0,0,0,0">
                <w:txbxContent>
                  <w:p>
                    <w:pPr>
                      <w:spacing w:line="157" w:lineRule="exact" w:before="0"/>
                      <w:ind w:left="0" w:right="-2" w:firstLine="464"/>
                      <w:jc w:val="left"/>
                      <w:rPr>
                        <w:rFonts w:ascii="Georgia"/>
                        <w:sz w:val="16"/>
                      </w:rPr>
                    </w:pPr>
                    <w:r>
                      <w:rPr>
                        <w:rFonts w:ascii="Georgia"/>
                        <w:color w:val="231F20"/>
                        <w:w w:val="95"/>
                        <w:sz w:val="16"/>
                      </w:rPr>
                      <w:t>Ganancias</w:t>
                    </w:r>
                  </w:p>
                  <w:p>
                    <w:pPr>
                      <w:spacing w:before="0"/>
                      <w:ind w:left="57" w:right="-19" w:hanging="58"/>
                      <w:jc w:val="left"/>
                      <w:rPr>
                        <w:rFonts w:ascii="Georgia"/>
                        <w:sz w:val="16"/>
                      </w:rPr>
                    </w:pPr>
                    <w:r>
                      <w:rPr>
                        <w:rFonts w:ascii="Georgia"/>
                        <w:color w:val="231F20"/>
                        <w:sz w:val="16"/>
                      </w:rPr>
                      <w:t>corrientes</w:t>
                    </w:r>
                    <w:r>
                      <w:rPr>
                        <w:rFonts w:ascii="Georgia"/>
                        <w:color w:val="231F20"/>
                        <w:spacing w:val="-1"/>
                        <w:sz w:val="16"/>
                      </w:rPr>
                      <w:t> </w:t>
                    </w:r>
                    <w:r>
                      <w:rPr>
                        <w:rFonts w:ascii="Georgia"/>
                        <w:color w:val="231F20"/>
                        <w:sz w:val="16"/>
                      </w:rPr>
                      <w:t>de</w:t>
                    </w:r>
                    <w:r>
                      <w:rPr>
                        <w:rFonts w:ascii="Georgia"/>
                        <w:color w:val="231F20"/>
                        <w:spacing w:val="-1"/>
                        <w:sz w:val="16"/>
                      </w:rPr>
                      <w:t> </w:t>
                    </w:r>
                    <w:r>
                      <w:rPr>
                        <w:rFonts w:ascii="Georgia"/>
                        <w:color w:val="231F20"/>
                        <w:sz w:val="16"/>
                      </w:rPr>
                      <w:t>EU</w:t>
                    </w:r>
                    <w:r>
                      <w:rPr>
                        <w:rFonts w:ascii="Georgia"/>
                        <w:color w:val="231F20"/>
                        <w:w w:val="99"/>
                        <w:sz w:val="16"/>
                      </w:rPr>
                      <w:t> </w:t>
                    </w:r>
                    <w:r>
                      <w:rPr>
                        <w:rFonts w:ascii="Georgia"/>
                        <w:color w:val="231F20"/>
                        <w:sz w:val="16"/>
                      </w:rPr>
                      <w:t>en el mundo</w:t>
                    </w:r>
                    <w:r>
                      <w:rPr>
                        <w:rFonts w:ascii="Georgia"/>
                        <w:color w:val="231F20"/>
                        <w:spacing w:val="30"/>
                        <w:sz w:val="16"/>
                      </w:rPr>
                      <w:t> </w:t>
                    </w:r>
                    <w:r>
                      <w:rPr>
                        <w:rFonts w:ascii="Georgia"/>
                        <w:color w:val="231F20"/>
                        <w:sz w:val="16"/>
                      </w:rPr>
                      <w:t>(G</w:t>
                    </w:r>
                  </w:p>
                </w:txbxContent>
              </v:textbox>
              <w10:wrap type="none"/>
            </v:shape>
            <v:shape style="position:absolute;left:1700;top:2217;width:4598;height:340" type="#_x0000_t202" filled="false" stroked="false">
              <v:textbox inset="0,0,0,0">
                <w:txbxContent>
                  <w:p>
                    <w:pPr>
                      <w:tabs>
                        <w:tab w:pos="3404" w:val="left" w:leader="none"/>
                      </w:tabs>
                      <w:spacing w:line="157" w:lineRule="exact" w:before="0"/>
                      <w:ind w:left="0" w:right="0" w:firstLine="0"/>
                      <w:jc w:val="left"/>
                      <w:rPr>
                        <w:rFonts w:ascii="Georgia"/>
                        <w:sz w:val="16"/>
                      </w:rPr>
                    </w:pPr>
                    <w:r>
                      <w:rPr>
                        <w:rFonts w:ascii="Georgia"/>
                        <w:color w:val="231F20"/>
                        <w:w w:val="107"/>
                        <w:sz w:val="16"/>
                        <w:u w:val="single" w:color="A7A9AC"/>
                      </w:rPr>
                      <w:t> </w:t>
                    </w:r>
                    <w:r>
                      <w:rPr>
                        <w:rFonts w:ascii="Georgia"/>
                        <w:color w:val="231F20"/>
                        <w:sz w:val="16"/>
                        <w:u w:val="single" w:color="A7A9AC"/>
                      </w:rPr>
                      <w:tab/>
                      <w:t>en EU y resto</w:t>
                    </w:r>
                    <w:r>
                      <w:rPr>
                        <w:rFonts w:ascii="Georgia"/>
                        <w:color w:val="231F20"/>
                        <w:spacing w:val="-6"/>
                        <w:sz w:val="16"/>
                        <w:u w:val="single" w:color="A7A9AC"/>
                      </w:rPr>
                      <w:t> </w:t>
                    </w:r>
                    <w:r>
                      <w:rPr>
                        <w:rFonts w:ascii="Georgia"/>
                        <w:color w:val="231F20"/>
                        <w:sz w:val="16"/>
                        <w:u w:val="single" w:color="A7A9AC"/>
                      </w:rPr>
                      <w:t>del</w:t>
                    </w:r>
                  </w:p>
                  <w:p>
                    <w:pPr>
                      <w:tabs>
                        <w:tab w:pos="4018" w:val="left" w:leader="none"/>
                      </w:tabs>
                      <w:spacing w:line="181" w:lineRule="exact" w:before="0"/>
                      <w:ind w:left="0" w:right="0" w:firstLine="0"/>
                      <w:jc w:val="left"/>
                      <w:rPr>
                        <w:rFonts w:ascii="Georgia"/>
                        <w:sz w:val="16"/>
                      </w:rPr>
                    </w:pPr>
                    <w:r>
                      <w:rPr>
                        <w:rFonts w:ascii="Georgia"/>
                        <w:color w:val="231F20"/>
                        <w:w w:val="107"/>
                        <w:sz w:val="16"/>
                        <w:u w:val="single" w:color="A7A9AC"/>
                      </w:rPr>
                      <w:t> </w:t>
                    </w:r>
                    <w:r>
                      <w:rPr>
                        <w:rFonts w:ascii="Georgia"/>
                        <w:color w:val="231F20"/>
                        <w:sz w:val="16"/>
                        <w:u w:val="single" w:color="A7A9AC"/>
                      </w:rPr>
                      <w:tab/>
                      <w:t>mundo)</w:t>
                    </w:r>
                  </w:p>
                </w:txbxContent>
              </v:textbox>
              <w10:wrap type="none"/>
            </v:shape>
            <w10:wrap type="none"/>
          </v:group>
        </w:pict>
      </w:r>
      <w:r>
        <w:rPr>
          <w:rFonts w:ascii="Georgia" w:hAnsi="Georgia"/>
          <w:color w:val="231F20"/>
          <w:w w:val="105"/>
          <w:sz w:val="16"/>
        </w:rPr>
        <w:t>1 800</w:t>
      </w:r>
      <w:r>
        <w:rPr>
          <w:rFonts w:ascii="Georgia" w:hAnsi="Georgia"/>
          <w:color w:val="231F20"/>
          <w:spacing w:val="-28"/>
          <w:w w:val="105"/>
          <w:sz w:val="16"/>
        </w:rPr>
        <w:t> </w:t>
      </w:r>
      <w:r>
        <w:rPr>
          <w:rFonts w:ascii="Georgia" w:hAnsi="Georgia"/>
          <w:color w:val="231F20"/>
          <w:w w:val="105"/>
          <w:sz w:val="16"/>
        </w:rPr>
        <w:t>—</w:t>
      </w:r>
      <w:r>
        <w:rPr>
          <w:rFonts w:ascii="Georgia" w:hAnsi="Georgia"/>
          <w:color w:val="231F20"/>
          <w:sz w:val="16"/>
        </w:rPr>
        <w:t> </w:t>
      </w:r>
      <w:r>
        <w:rPr>
          <w:rFonts w:ascii="Georgia" w:hAnsi="Georgia"/>
          <w:color w:val="231F20"/>
          <w:spacing w:val="-16"/>
          <w:sz w:val="16"/>
        </w:rPr>
        <w:t> </w:t>
      </w:r>
      <w:r>
        <w:rPr>
          <w:rFonts w:ascii="Georgia" w:hAnsi="Georgia"/>
          <w:color w:val="231F20"/>
          <w:w w:val="107"/>
          <w:sz w:val="16"/>
          <w:u w:val="single" w:color="A7A9AC"/>
        </w:rPr>
        <w:t> </w:t>
      </w:r>
      <w:r>
        <w:rPr>
          <w:rFonts w:ascii="Georgia" w:hAnsi="Georgia"/>
          <w:color w:val="231F20"/>
          <w:sz w:val="16"/>
          <w:u w:val="single" w:color="A7A9AC"/>
        </w:rPr>
        <w:tab/>
      </w:r>
    </w:p>
    <w:p>
      <w:pPr>
        <w:spacing w:before="83"/>
        <w:ind w:left="113" w:right="4950" w:firstLine="0"/>
        <w:jc w:val="center"/>
        <w:rPr>
          <w:rFonts w:ascii="Georgia" w:hAnsi="Georgia"/>
          <w:sz w:val="16"/>
        </w:rPr>
      </w:pPr>
      <w:r>
        <w:rPr>
          <w:rFonts w:ascii="Georgia" w:hAnsi="Georgia"/>
          <w:color w:val="231F20"/>
          <w:w w:val="105"/>
          <w:sz w:val="16"/>
        </w:rPr>
        <w:t>1 600 —</w:t>
      </w:r>
    </w:p>
    <w:p>
      <w:pPr>
        <w:spacing w:before="83"/>
        <w:ind w:left="113" w:right="4950" w:firstLine="0"/>
        <w:jc w:val="center"/>
        <w:rPr>
          <w:rFonts w:ascii="Georgia" w:hAnsi="Georgia"/>
          <w:sz w:val="16"/>
        </w:rPr>
      </w:pPr>
      <w:r>
        <w:rPr>
          <w:rFonts w:ascii="Georgia" w:hAnsi="Georgia"/>
          <w:color w:val="231F20"/>
          <w:w w:val="105"/>
          <w:sz w:val="16"/>
        </w:rPr>
        <w:t>1 400 —</w:t>
      </w:r>
    </w:p>
    <w:p>
      <w:pPr>
        <w:spacing w:before="83"/>
        <w:ind w:left="113" w:right="4950" w:firstLine="0"/>
        <w:jc w:val="center"/>
        <w:rPr>
          <w:rFonts w:ascii="Georgia" w:hAnsi="Georgia"/>
          <w:sz w:val="16"/>
        </w:rPr>
      </w:pPr>
      <w:r>
        <w:rPr>
          <w:rFonts w:ascii="Georgia" w:hAnsi="Georgia"/>
          <w:color w:val="231F20"/>
          <w:w w:val="105"/>
          <w:sz w:val="16"/>
        </w:rPr>
        <w:t>1 200 —</w:t>
      </w:r>
    </w:p>
    <w:p>
      <w:pPr>
        <w:spacing w:before="83"/>
        <w:ind w:left="113" w:right="4950" w:firstLine="0"/>
        <w:jc w:val="center"/>
        <w:rPr>
          <w:rFonts w:ascii="Georgia" w:hAnsi="Georgia"/>
          <w:sz w:val="16"/>
        </w:rPr>
      </w:pPr>
      <w:r>
        <w:rPr>
          <w:rFonts w:ascii="Georgia" w:hAnsi="Georgia"/>
          <w:color w:val="231F20"/>
          <w:w w:val="105"/>
          <w:sz w:val="16"/>
        </w:rPr>
        <w:t>1 000 —</w:t>
      </w:r>
    </w:p>
    <w:p>
      <w:pPr>
        <w:spacing w:before="83"/>
        <w:ind w:left="113" w:right="4825" w:firstLine="0"/>
        <w:jc w:val="center"/>
        <w:rPr>
          <w:rFonts w:ascii="Georgia" w:hAnsi="Georgia"/>
          <w:sz w:val="16"/>
        </w:rPr>
      </w:pPr>
      <w:r>
        <w:rPr>
          <w:rFonts w:ascii="Georgia" w:hAnsi="Georgia"/>
          <w:color w:val="231F20"/>
          <w:sz w:val="16"/>
        </w:rPr>
        <w:t>800 —</w:t>
      </w:r>
    </w:p>
    <w:p>
      <w:pPr>
        <w:spacing w:before="83"/>
        <w:ind w:left="113" w:right="4825" w:firstLine="0"/>
        <w:jc w:val="center"/>
        <w:rPr>
          <w:rFonts w:ascii="Georgia" w:hAnsi="Georgia"/>
          <w:sz w:val="16"/>
        </w:rPr>
      </w:pPr>
      <w:r>
        <w:rPr>
          <w:rFonts w:ascii="Georgia" w:hAnsi="Georgia"/>
          <w:color w:val="231F20"/>
          <w:sz w:val="16"/>
        </w:rPr>
        <w:t>600 —</w:t>
      </w:r>
    </w:p>
    <w:p>
      <w:pPr>
        <w:spacing w:before="83"/>
        <w:ind w:left="113" w:right="4825" w:firstLine="0"/>
        <w:jc w:val="center"/>
        <w:rPr>
          <w:rFonts w:ascii="Georgia" w:hAnsi="Georgia"/>
          <w:sz w:val="16"/>
        </w:rPr>
      </w:pPr>
      <w:r>
        <w:rPr>
          <w:rFonts w:ascii="Georgia" w:hAnsi="Georgia"/>
          <w:color w:val="231F20"/>
          <w:sz w:val="16"/>
        </w:rPr>
        <w:t>400 —</w:t>
      </w:r>
    </w:p>
    <w:p>
      <w:pPr>
        <w:spacing w:before="83"/>
        <w:ind w:left="113" w:right="4825" w:firstLine="0"/>
        <w:jc w:val="center"/>
        <w:rPr>
          <w:rFonts w:ascii="Georgia" w:hAnsi="Georgia"/>
          <w:sz w:val="16"/>
        </w:rPr>
      </w:pPr>
      <w:r>
        <w:rPr>
          <w:rFonts w:ascii="Georgia" w:hAnsi="Georgia"/>
          <w:color w:val="231F20"/>
          <w:sz w:val="16"/>
        </w:rPr>
        <w:t>200 —</w:t>
      </w:r>
    </w:p>
    <w:p>
      <w:pPr>
        <w:spacing w:before="83"/>
        <w:ind w:left="113" w:right="4659" w:firstLine="0"/>
        <w:jc w:val="center"/>
        <w:rPr>
          <w:rFonts w:ascii="Georgia" w:hAnsi="Georgia"/>
          <w:sz w:val="16"/>
        </w:rPr>
      </w:pPr>
      <w:r>
        <w:rPr/>
        <w:pict>
          <v:shape style="position:absolute;margin-left:78.642296pt;margin-top:13.527034pt;width:241.8pt;height:28.75pt;mso-position-horizontal-relative:page;mso-position-vertical-relative:paragraph;z-index:2488" type="#_x0000_t202" filled="false" stroked="false">
            <v:textbox inset="0,0,0,0" style="layout-flow:vertical;mso-layout-flow-alt:bottom-to-top">
              <w:txbxContent>
                <w:p>
                  <w:pPr>
                    <w:spacing w:line="178" w:lineRule="exact" w:before="0"/>
                    <w:ind w:left="20" w:right="0" w:firstLine="0"/>
                    <w:jc w:val="left"/>
                    <w:rPr>
                      <w:rFonts w:ascii="Georgia" w:hAnsi="Georgia"/>
                      <w:sz w:val="16"/>
                    </w:rPr>
                  </w:pPr>
                  <w:r>
                    <w:rPr>
                      <w:rFonts w:ascii="Georgia" w:hAnsi="Georgia"/>
                      <w:color w:val="231F20"/>
                      <w:w w:val="97"/>
                      <w:sz w:val="16"/>
                    </w:rPr>
                    <w:t>1950</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100"/>
                      <w:sz w:val="16"/>
                    </w:rPr>
                    <w:t>1953</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9"/>
                      <w:sz w:val="16"/>
                    </w:rPr>
                    <w:t>1956</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9"/>
                      <w:sz w:val="16"/>
                    </w:rPr>
                    <w:t>1959</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8"/>
                      <w:sz w:val="16"/>
                    </w:rPr>
                    <w:t>1962</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9"/>
                      <w:sz w:val="16"/>
                    </w:rPr>
                    <w:t>1965</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6"/>
                      <w:sz w:val="16"/>
                    </w:rPr>
                    <w:t>1968</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107"/>
                      <w:sz w:val="16"/>
                    </w:rPr>
                    <w:t>1971</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100"/>
                      <w:sz w:val="16"/>
                    </w:rPr>
                    <w:t>1974</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103"/>
                      <w:sz w:val="16"/>
                    </w:rPr>
                    <w:t>1977</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4"/>
                      <w:sz w:val="16"/>
                    </w:rPr>
                    <w:t>1980</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7"/>
                      <w:sz w:val="16"/>
                    </w:rPr>
                    <w:t>1983</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6"/>
                      <w:sz w:val="16"/>
                    </w:rPr>
                    <w:t>1986</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6"/>
                      <w:sz w:val="16"/>
                    </w:rPr>
                    <w:t>1989</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8"/>
                      <w:sz w:val="16"/>
                    </w:rPr>
                    <w:t>1992</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9"/>
                      <w:sz w:val="16"/>
                    </w:rPr>
                    <w:t>1995</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6"/>
                      <w:sz w:val="16"/>
                    </w:rPr>
                    <w:t>1998</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3"/>
                      <w:sz w:val="16"/>
                    </w:rPr>
                    <w:t>2001</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88"/>
                      <w:sz w:val="16"/>
                    </w:rPr>
                    <w:t>2004</w:t>
                  </w:r>
                  <w:r>
                    <w:rPr>
                      <w:rFonts w:ascii="Georgia" w:hAnsi="Georgia"/>
                      <w:color w:val="231F20"/>
                      <w:spacing w:val="3"/>
                      <w:sz w:val="16"/>
                    </w:rPr>
                    <w:t> </w:t>
                  </w:r>
                  <w:r>
                    <w:rPr>
                      <w:rFonts w:ascii="Georgia" w:hAnsi="Georgia"/>
                      <w:color w:val="231F20"/>
                      <w:w w:val="116"/>
                      <w:sz w:val="16"/>
                    </w:rPr>
                    <w:t>—</w:t>
                  </w:r>
                </w:p>
                <w:p>
                  <w:pPr>
                    <w:spacing w:before="62"/>
                    <w:ind w:left="20" w:right="0" w:firstLine="0"/>
                    <w:jc w:val="left"/>
                    <w:rPr>
                      <w:rFonts w:ascii="Georgia" w:hAnsi="Georgia"/>
                      <w:sz w:val="16"/>
                    </w:rPr>
                  </w:pPr>
                  <w:r>
                    <w:rPr>
                      <w:rFonts w:ascii="Georgia" w:hAnsi="Georgia"/>
                      <w:color w:val="231F20"/>
                      <w:w w:val="90"/>
                      <w:sz w:val="16"/>
                    </w:rPr>
                    <w:t>2007</w:t>
                  </w:r>
                  <w:r>
                    <w:rPr>
                      <w:rFonts w:ascii="Georgia" w:hAnsi="Georgia"/>
                      <w:color w:val="231F20"/>
                      <w:spacing w:val="3"/>
                      <w:sz w:val="16"/>
                    </w:rPr>
                    <w:t> </w:t>
                  </w:r>
                  <w:r>
                    <w:rPr>
                      <w:rFonts w:ascii="Georgia" w:hAnsi="Georgia"/>
                      <w:color w:val="231F20"/>
                      <w:w w:val="116"/>
                      <w:sz w:val="16"/>
                    </w:rPr>
                    <w:t>—</w:t>
                  </w:r>
                </w:p>
              </w:txbxContent>
            </v:textbox>
            <w10:wrap type="none"/>
          </v:shape>
        </w:pict>
      </w:r>
      <w:r>
        <w:rPr>
          <w:rFonts w:ascii="Georgia" w:hAnsi="Georgia"/>
          <w:color w:val="231F20"/>
          <w:w w:val="105"/>
          <w:sz w:val="16"/>
        </w:rPr>
        <w:t>0 —</w:t>
      </w:r>
    </w:p>
    <w:p>
      <w:pPr>
        <w:pStyle w:val="BodyText"/>
        <w:rPr>
          <w:rFonts w:ascii="Georgia"/>
        </w:rPr>
      </w:pPr>
    </w:p>
    <w:p>
      <w:pPr>
        <w:pStyle w:val="BodyText"/>
        <w:rPr>
          <w:rFonts w:ascii="Georgia"/>
        </w:rPr>
      </w:pPr>
    </w:p>
    <w:p>
      <w:pPr>
        <w:pStyle w:val="BodyText"/>
        <w:spacing w:before="2"/>
        <w:rPr>
          <w:rFonts w:ascii="Georgia"/>
        </w:rPr>
      </w:pPr>
    </w:p>
    <w:p>
      <w:pPr>
        <w:spacing w:line="276" w:lineRule="auto" w:before="67"/>
        <w:ind w:left="73" w:right="117" w:firstLine="0"/>
        <w:jc w:val="right"/>
        <w:rPr>
          <w:sz w:val="18"/>
        </w:rPr>
      </w:pPr>
      <w:r>
        <w:rPr>
          <w:rFonts w:ascii="Calibri"/>
          <w:color w:val="231F20"/>
          <w:w w:val="110"/>
          <w:sz w:val="18"/>
        </w:rPr>
        <w:t>fuente:</w:t>
      </w:r>
      <w:r>
        <w:rPr>
          <w:rFonts w:ascii="Calibri"/>
          <w:color w:val="231F20"/>
          <w:spacing w:val="28"/>
          <w:w w:val="110"/>
          <w:sz w:val="18"/>
        </w:rPr>
        <w:t> </w:t>
      </w:r>
      <w:r>
        <w:rPr>
          <w:color w:val="231F20"/>
          <w:w w:val="110"/>
          <w:sz w:val="18"/>
        </w:rPr>
        <w:t>realizada</w:t>
      </w:r>
      <w:r>
        <w:rPr>
          <w:color w:val="231F20"/>
          <w:spacing w:val="24"/>
          <w:w w:val="110"/>
          <w:sz w:val="18"/>
        </w:rPr>
        <w:t> </w:t>
      </w:r>
      <w:r>
        <w:rPr>
          <w:color w:val="231F20"/>
          <w:w w:val="110"/>
          <w:sz w:val="18"/>
        </w:rPr>
        <w:t>a</w:t>
      </w:r>
      <w:r>
        <w:rPr>
          <w:color w:val="231F20"/>
          <w:spacing w:val="24"/>
          <w:w w:val="110"/>
          <w:sz w:val="18"/>
        </w:rPr>
        <w:t> </w:t>
      </w:r>
      <w:r>
        <w:rPr>
          <w:color w:val="231F20"/>
          <w:w w:val="110"/>
          <w:sz w:val="18"/>
        </w:rPr>
        <w:t>partir</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las</w:t>
      </w:r>
      <w:r>
        <w:rPr>
          <w:color w:val="231F20"/>
          <w:spacing w:val="24"/>
          <w:w w:val="110"/>
          <w:sz w:val="18"/>
        </w:rPr>
        <w:t> </w:t>
      </w:r>
      <w:r>
        <w:rPr>
          <w:color w:val="231F20"/>
          <w:w w:val="110"/>
          <w:sz w:val="18"/>
        </w:rPr>
        <w:t>cifras</w:t>
      </w:r>
      <w:r>
        <w:rPr>
          <w:color w:val="231F20"/>
          <w:spacing w:val="24"/>
          <w:w w:val="110"/>
          <w:sz w:val="18"/>
        </w:rPr>
        <w:t> </w:t>
      </w:r>
      <w:r>
        <w:rPr>
          <w:color w:val="231F20"/>
          <w:w w:val="110"/>
          <w:sz w:val="18"/>
        </w:rPr>
        <w:t>del</w:t>
      </w:r>
      <w:r>
        <w:rPr>
          <w:color w:val="231F20"/>
          <w:spacing w:val="24"/>
          <w:w w:val="110"/>
          <w:sz w:val="18"/>
        </w:rPr>
        <w:t> </w:t>
      </w:r>
      <w:r>
        <w:rPr>
          <w:color w:val="231F20"/>
          <w:w w:val="110"/>
          <w:sz w:val="18"/>
        </w:rPr>
        <w:t>Departamento</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Comercio</w:t>
      </w:r>
      <w:r>
        <w:rPr>
          <w:color w:val="231F20"/>
          <w:spacing w:val="24"/>
          <w:w w:val="110"/>
          <w:sz w:val="18"/>
        </w:rPr>
        <w:t> </w:t>
      </w:r>
      <w:r>
        <w:rPr>
          <w:color w:val="231F20"/>
          <w:w w:val="110"/>
          <w:sz w:val="18"/>
        </w:rPr>
        <w:t>de</w:t>
      </w:r>
      <w:r>
        <w:rPr>
          <w:color w:val="231F20"/>
          <w:w w:val="114"/>
          <w:sz w:val="18"/>
        </w:rPr>
        <w:t> </w:t>
      </w:r>
      <w:r>
        <w:rPr>
          <w:color w:val="231F20"/>
          <w:w w:val="110"/>
          <w:sz w:val="18"/>
        </w:rPr>
        <w:t>Estados</w:t>
      </w:r>
      <w:r>
        <w:rPr>
          <w:color w:val="231F20"/>
          <w:spacing w:val="-18"/>
          <w:w w:val="110"/>
          <w:sz w:val="18"/>
        </w:rPr>
        <w:t> </w:t>
      </w:r>
      <w:r>
        <w:rPr>
          <w:color w:val="231F20"/>
          <w:w w:val="110"/>
          <w:sz w:val="18"/>
        </w:rPr>
        <w:t>Unidos,</w:t>
      </w:r>
      <w:r>
        <w:rPr>
          <w:color w:val="231F20"/>
          <w:spacing w:val="-18"/>
          <w:w w:val="110"/>
          <w:sz w:val="18"/>
        </w:rPr>
        <w:t> </w:t>
      </w:r>
      <w:r>
        <w:rPr>
          <w:color w:val="231F20"/>
          <w:w w:val="110"/>
          <w:sz w:val="18"/>
        </w:rPr>
        <w:t>con</w:t>
      </w:r>
      <w:r>
        <w:rPr>
          <w:color w:val="231F20"/>
          <w:spacing w:val="-18"/>
          <w:w w:val="110"/>
          <w:sz w:val="18"/>
        </w:rPr>
        <w:t> </w:t>
      </w:r>
      <w:r>
        <w:rPr>
          <w:color w:val="231F20"/>
          <w:w w:val="110"/>
          <w:sz w:val="18"/>
        </w:rPr>
        <w:t>las</w:t>
      </w:r>
      <w:r>
        <w:rPr>
          <w:color w:val="231F20"/>
          <w:spacing w:val="-18"/>
          <w:w w:val="110"/>
          <w:sz w:val="18"/>
        </w:rPr>
        <w:t> </w:t>
      </w:r>
      <w:r>
        <w:rPr>
          <w:color w:val="231F20"/>
          <w:w w:val="110"/>
          <w:sz w:val="18"/>
        </w:rPr>
        <w:t>revisiones</w:t>
      </w:r>
      <w:r>
        <w:rPr>
          <w:color w:val="231F20"/>
          <w:spacing w:val="-18"/>
          <w:w w:val="110"/>
          <w:sz w:val="18"/>
        </w:rPr>
        <w:t> </w:t>
      </w:r>
      <w:r>
        <w:rPr>
          <w:color w:val="231F20"/>
          <w:w w:val="110"/>
          <w:sz w:val="18"/>
        </w:rPr>
        <w:t>al</w:t>
      </w:r>
      <w:r>
        <w:rPr>
          <w:color w:val="231F20"/>
          <w:spacing w:val="-18"/>
          <w:w w:val="110"/>
          <w:sz w:val="18"/>
        </w:rPr>
        <w:t> </w:t>
      </w:r>
      <w:r>
        <w:rPr>
          <w:color w:val="231F20"/>
          <w:w w:val="110"/>
          <w:sz w:val="18"/>
        </w:rPr>
        <w:t>17</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agosto</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2009,</w:t>
      </w:r>
      <w:r>
        <w:rPr>
          <w:color w:val="231F20"/>
          <w:spacing w:val="-18"/>
          <w:w w:val="110"/>
          <w:sz w:val="18"/>
        </w:rPr>
        <w:t> </w:t>
      </w:r>
      <w:r>
        <w:rPr>
          <w:color w:val="231F20"/>
          <w:w w:val="110"/>
          <w:sz w:val="18"/>
        </w:rPr>
        <w:t>&lt;</w:t>
      </w:r>
      <w:hyperlink r:id="rId80">
        <w:r>
          <w:rPr>
            <w:color w:val="231F20"/>
            <w:w w:val="110"/>
            <w:sz w:val="18"/>
          </w:rPr>
          <w:t>www.bea.gov&gt;.</w:t>
        </w:r>
      </w:hyperlink>
    </w:p>
    <w:p>
      <w:pPr>
        <w:pStyle w:val="BodyText"/>
        <w:rPr>
          <w:sz w:val="18"/>
        </w:rPr>
      </w:pPr>
    </w:p>
    <w:p>
      <w:pPr>
        <w:pStyle w:val="BodyText"/>
        <w:spacing w:line="261" w:lineRule="auto" w:before="107"/>
        <w:ind w:left="100" w:right="119" w:firstLine="240"/>
        <w:jc w:val="right"/>
      </w:pPr>
      <w:r>
        <w:rPr>
          <w:color w:val="231F20"/>
          <w:w w:val="105"/>
        </w:rPr>
        <w:t>Desde mediados de los años ochenta y relacionado con la glo-</w:t>
      </w:r>
      <w:r>
        <w:rPr>
          <w:color w:val="231F20"/>
          <w:w w:val="72"/>
        </w:rPr>
        <w:t> </w:t>
      </w:r>
      <w:r>
        <w:rPr>
          <w:color w:val="231F20"/>
          <w:w w:val="105"/>
        </w:rPr>
        <w:t>balización,  las  ganancias  tienen  un  incremento  extraordinario,   con</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disminuciones</w:t>
      </w:r>
      <w:r>
        <w:rPr>
          <w:color w:val="231F20"/>
          <w:spacing w:val="-24"/>
          <w:w w:val="110"/>
        </w:rPr>
        <w:t> </w:t>
      </w:r>
      <w:r>
        <w:rPr>
          <w:color w:val="231F20"/>
          <w:w w:val="110"/>
        </w:rPr>
        <w:t>por</w:t>
      </w:r>
      <w:r>
        <w:rPr>
          <w:color w:val="231F20"/>
          <w:spacing w:val="-24"/>
          <w:w w:val="110"/>
        </w:rPr>
        <w:t> </w:t>
      </w:r>
      <w:r>
        <w:rPr>
          <w:color w:val="231F20"/>
          <w:w w:val="110"/>
        </w:rPr>
        <w:t>la</w:t>
      </w:r>
      <w:r>
        <w:rPr>
          <w:color w:val="231F20"/>
          <w:spacing w:val="-24"/>
          <w:w w:val="110"/>
        </w:rPr>
        <w:t> </w:t>
      </w:r>
      <w:r>
        <w:rPr>
          <w:color w:val="231F20"/>
          <w:w w:val="110"/>
        </w:rPr>
        <w:t>crisis</w:t>
      </w:r>
      <w:r>
        <w:rPr>
          <w:color w:val="231F20"/>
          <w:spacing w:val="-24"/>
          <w:w w:val="110"/>
        </w:rPr>
        <w:t> </w:t>
      </w:r>
      <w:r>
        <w:rPr>
          <w:color w:val="231F20"/>
          <w:w w:val="110"/>
        </w:rPr>
        <w:t>de</w:t>
      </w:r>
      <w:r>
        <w:rPr>
          <w:color w:val="231F20"/>
          <w:spacing w:val="-24"/>
          <w:w w:val="110"/>
        </w:rPr>
        <w:t> </w:t>
      </w:r>
      <w:r>
        <w:rPr>
          <w:color w:val="231F20"/>
          <w:w w:val="110"/>
        </w:rPr>
        <w:t>2001</w:t>
      </w:r>
      <w:r>
        <w:rPr>
          <w:color w:val="231F20"/>
          <w:spacing w:val="-24"/>
          <w:w w:val="110"/>
        </w:rPr>
        <w:t> </w:t>
      </w:r>
      <w:r>
        <w:rPr>
          <w:color w:val="231F20"/>
          <w:w w:val="110"/>
        </w:rPr>
        <w:t>y</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crisis</w:t>
      </w:r>
      <w:r>
        <w:rPr>
          <w:color w:val="231F20"/>
          <w:spacing w:val="-24"/>
          <w:w w:val="110"/>
        </w:rPr>
        <w:t> </w:t>
      </w:r>
      <w:r>
        <w:rPr>
          <w:color w:val="231F20"/>
          <w:w w:val="110"/>
        </w:rPr>
        <w:t>reciente</w:t>
      </w:r>
      <w:r>
        <w:rPr>
          <w:color w:val="231F20"/>
          <w:spacing w:val="-24"/>
          <w:w w:val="110"/>
        </w:rPr>
        <w:t> </w:t>
      </w:r>
      <w:r>
        <w:rPr>
          <w:color w:val="231F20"/>
          <w:w w:val="110"/>
        </w:rPr>
        <w:t>—cuyo</w:t>
      </w:r>
      <w:r>
        <w:rPr>
          <w:color w:val="231F20"/>
          <w:spacing w:val="-24"/>
          <w:w w:val="110"/>
        </w:rPr>
        <w:t> </w:t>
      </w:r>
      <w:r>
        <w:rPr>
          <w:color w:val="231F20"/>
          <w:w w:val="110"/>
        </w:rPr>
        <w:t>inicio en</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ha</w:t>
      </w:r>
      <w:r>
        <w:rPr>
          <w:color w:val="231F20"/>
          <w:spacing w:val="-5"/>
          <w:w w:val="110"/>
        </w:rPr>
        <w:t> </w:t>
      </w:r>
      <w:r>
        <w:rPr>
          <w:color w:val="231F20"/>
          <w:w w:val="110"/>
        </w:rPr>
        <w:t>sido</w:t>
      </w:r>
      <w:r>
        <w:rPr>
          <w:color w:val="231F20"/>
          <w:spacing w:val="-5"/>
          <w:w w:val="110"/>
        </w:rPr>
        <w:t> </w:t>
      </w:r>
      <w:r>
        <w:rPr>
          <w:color w:val="231F20"/>
          <w:w w:val="110"/>
        </w:rPr>
        <w:t>señalado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cuarto</w:t>
      </w:r>
      <w:r>
        <w:rPr>
          <w:color w:val="231F20"/>
          <w:spacing w:val="-5"/>
          <w:w w:val="110"/>
        </w:rPr>
        <w:t> </w:t>
      </w:r>
      <w:r>
        <w:rPr>
          <w:color w:val="231F20"/>
          <w:w w:val="110"/>
        </w:rPr>
        <w:t>trimestre</w:t>
      </w:r>
      <w:r>
        <w:rPr>
          <w:color w:val="231F20"/>
          <w:spacing w:val="-5"/>
          <w:w w:val="110"/>
        </w:rPr>
        <w:t> </w:t>
      </w:r>
      <w:r>
        <w:rPr>
          <w:color w:val="231F20"/>
          <w:w w:val="110"/>
        </w:rPr>
        <w:t>de</w:t>
      </w:r>
      <w:r>
        <w:rPr>
          <w:color w:val="231F20"/>
          <w:spacing w:val="-5"/>
          <w:w w:val="110"/>
        </w:rPr>
        <w:t> </w:t>
      </w:r>
      <w:r>
        <w:rPr>
          <w:color w:val="231F20"/>
          <w:w w:val="110"/>
        </w:rPr>
        <w:t>2007— las</w:t>
      </w:r>
      <w:r>
        <w:rPr>
          <w:color w:val="231F20"/>
          <w:spacing w:val="-8"/>
          <w:w w:val="110"/>
        </w:rPr>
        <w:t> </w:t>
      </w:r>
      <w:r>
        <w:rPr>
          <w:color w:val="231F20"/>
          <w:w w:val="110"/>
        </w:rPr>
        <w:t>ganancias</w:t>
      </w:r>
      <w:r>
        <w:rPr>
          <w:color w:val="231F20"/>
          <w:spacing w:val="-8"/>
          <w:w w:val="110"/>
        </w:rPr>
        <w:t> </w:t>
      </w:r>
      <w:r>
        <w:rPr>
          <w:color w:val="231F20"/>
          <w:w w:val="110"/>
        </w:rPr>
        <w:t>han</w:t>
      </w:r>
      <w:r>
        <w:rPr>
          <w:color w:val="231F20"/>
          <w:spacing w:val="-8"/>
          <w:w w:val="110"/>
        </w:rPr>
        <w:t> </w:t>
      </w:r>
      <w:r>
        <w:rPr>
          <w:color w:val="231F20"/>
          <w:w w:val="110"/>
        </w:rPr>
        <w:t>disminuido</w:t>
      </w:r>
      <w:r>
        <w:rPr>
          <w:color w:val="231F20"/>
          <w:spacing w:val="-8"/>
          <w:w w:val="110"/>
        </w:rPr>
        <w:t> </w:t>
      </w:r>
      <w:r>
        <w:rPr>
          <w:color w:val="231F20"/>
          <w:w w:val="110"/>
        </w:rPr>
        <w:t>pero</w:t>
      </w:r>
      <w:r>
        <w:rPr>
          <w:color w:val="231F20"/>
          <w:spacing w:val="-8"/>
          <w:w w:val="110"/>
        </w:rPr>
        <w:t> </w:t>
      </w:r>
      <w:r>
        <w:rPr>
          <w:color w:val="231F20"/>
          <w:w w:val="110"/>
        </w:rPr>
        <w:t>se</w:t>
      </w:r>
      <w:r>
        <w:rPr>
          <w:color w:val="231F20"/>
          <w:spacing w:val="-8"/>
          <w:w w:val="110"/>
        </w:rPr>
        <w:t> </w:t>
      </w:r>
      <w:r>
        <w:rPr>
          <w:color w:val="231F20"/>
          <w:w w:val="110"/>
        </w:rPr>
        <w:t>mantienen</w:t>
      </w:r>
      <w:r>
        <w:rPr>
          <w:color w:val="231F20"/>
          <w:spacing w:val="-8"/>
          <w:w w:val="110"/>
        </w:rPr>
        <w:t> </w:t>
      </w:r>
      <w:r>
        <w:rPr>
          <w:color w:val="231F20"/>
          <w:w w:val="110"/>
        </w:rPr>
        <w:t>en</w:t>
      </w:r>
      <w:r>
        <w:rPr>
          <w:color w:val="231F20"/>
          <w:spacing w:val="-8"/>
          <w:w w:val="110"/>
        </w:rPr>
        <w:t> </w:t>
      </w:r>
      <w:r>
        <w:rPr>
          <w:color w:val="231F20"/>
          <w:w w:val="110"/>
        </w:rPr>
        <w:t>niveles</w:t>
      </w:r>
      <w:r>
        <w:rPr>
          <w:color w:val="231F20"/>
          <w:spacing w:val="-8"/>
          <w:w w:val="110"/>
        </w:rPr>
        <w:t> </w:t>
      </w:r>
      <w:r>
        <w:rPr>
          <w:color w:val="231F20"/>
          <w:w w:val="110"/>
        </w:rPr>
        <w:t>elevados.</w:t>
      </w:r>
    </w:p>
    <w:p>
      <w:pPr>
        <w:pStyle w:val="BodyText"/>
      </w:pPr>
    </w:p>
    <w:p>
      <w:pPr>
        <w:pStyle w:val="BodyText"/>
      </w:pPr>
    </w:p>
    <w:p>
      <w:pPr>
        <w:pStyle w:val="BodyText"/>
        <w:spacing w:before="2"/>
        <w:rPr>
          <w:sz w:val="25"/>
        </w:rPr>
      </w:pPr>
    </w:p>
    <w:p>
      <w:pPr>
        <w:pStyle w:val="BodyText"/>
        <w:spacing w:line="261" w:lineRule="auto"/>
        <w:ind w:left="100" w:right="1770"/>
      </w:pPr>
      <w:r>
        <w:rPr>
          <w:color w:val="231F20"/>
          <w:w w:val="125"/>
        </w:rPr>
        <w:t>ganancias</w:t>
      </w:r>
      <w:r>
        <w:rPr>
          <w:color w:val="231F20"/>
          <w:spacing w:val="-19"/>
          <w:w w:val="125"/>
        </w:rPr>
        <w:t> </w:t>
      </w:r>
      <w:r>
        <w:rPr>
          <w:color w:val="231F20"/>
          <w:w w:val="125"/>
        </w:rPr>
        <w:t>de</w:t>
      </w:r>
      <w:r>
        <w:rPr>
          <w:color w:val="231F20"/>
          <w:spacing w:val="-19"/>
          <w:w w:val="125"/>
        </w:rPr>
        <w:t> </w:t>
      </w:r>
      <w:r>
        <w:rPr>
          <w:color w:val="231F20"/>
          <w:w w:val="125"/>
        </w:rPr>
        <w:t>las</w:t>
      </w:r>
      <w:r>
        <w:rPr>
          <w:color w:val="231F20"/>
          <w:spacing w:val="-19"/>
          <w:w w:val="125"/>
        </w:rPr>
        <w:t> </w:t>
      </w:r>
      <w:r>
        <w:rPr>
          <w:color w:val="231F20"/>
          <w:w w:val="125"/>
        </w:rPr>
        <w:t>empresas</w:t>
      </w:r>
      <w:r>
        <w:rPr>
          <w:color w:val="231F20"/>
          <w:spacing w:val="-19"/>
          <w:w w:val="125"/>
        </w:rPr>
        <w:t> </w:t>
      </w:r>
      <w:r>
        <w:rPr>
          <w:color w:val="231F20"/>
          <w:w w:val="125"/>
        </w:rPr>
        <w:t>de</w:t>
      </w:r>
      <w:r>
        <w:rPr>
          <w:color w:val="231F20"/>
          <w:spacing w:val="-19"/>
          <w:w w:val="125"/>
        </w:rPr>
        <w:t> </w:t>
      </w:r>
      <w:r>
        <w:rPr>
          <w:color w:val="231F20"/>
          <w:w w:val="125"/>
        </w:rPr>
        <w:t>estados</w:t>
      </w:r>
      <w:r>
        <w:rPr>
          <w:color w:val="231F20"/>
          <w:spacing w:val="-19"/>
          <w:w w:val="125"/>
        </w:rPr>
        <w:t> </w:t>
      </w:r>
      <w:r>
        <w:rPr>
          <w:color w:val="231F20"/>
          <w:w w:val="125"/>
        </w:rPr>
        <w:t>unidos</w:t>
      </w:r>
      <w:r>
        <w:rPr>
          <w:color w:val="231F20"/>
          <w:w w:val="120"/>
        </w:rPr>
        <w:t> </w:t>
      </w:r>
      <w:r>
        <w:rPr>
          <w:color w:val="231F20"/>
          <w:w w:val="125"/>
        </w:rPr>
        <w:t>en</w:t>
      </w:r>
      <w:r>
        <w:rPr>
          <w:color w:val="231F20"/>
          <w:spacing w:val="-14"/>
          <w:w w:val="125"/>
        </w:rPr>
        <w:t> </w:t>
      </w:r>
      <w:r>
        <w:rPr>
          <w:color w:val="231F20"/>
          <w:w w:val="125"/>
        </w:rPr>
        <w:t>otros</w:t>
      </w:r>
      <w:r>
        <w:rPr>
          <w:color w:val="231F20"/>
          <w:spacing w:val="-14"/>
          <w:w w:val="125"/>
        </w:rPr>
        <w:t> </w:t>
      </w:r>
      <w:r>
        <w:rPr>
          <w:color w:val="231F20"/>
          <w:w w:val="125"/>
        </w:rPr>
        <w:t>países</w:t>
      </w:r>
      <w:r>
        <w:rPr>
          <w:color w:val="231F20"/>
          <w:spacing w:val="-14"/>
          <w:w w:val="125"/>
        </w:rPr>
        <w:t> </w:t>
      </w:r>
      <w:r>
        <w:rPr>
          <w:color w:val="231F20"/>
          <w:w w:val="125"/>
        </w:rPr>
        <w:t>del</w:t>
      </w:r>
      <w:r>
        <w:rPr>
          <w:color w:val="231F20"/>
          <w:spacing w:val="-14"/>
          <w:w w:val="125"/>
        </w:rPr>
        <w:t> </w:t>
      </w:r>
      <w:r>
        <w:rPr>
          <w:color w:val="231F20"/>
          <w:w w:val="125"/>
        </w:rPr>
        <w:t>mundo</w:t>
      </w:r>
    </w:p>
    <w:p>
      <w:pPr>
        <w:pStyle w:val="BodyText"/>
        <w:spacing w:before="8"/>
        <w:rPr>
          <w:sz w:val="21"/>
        </w:rPr>
      </w:pPr>
    </w:p>
    <w:p>
      <w:pPr>
        <w:pStyle w:val="BodyText"/>
        <w:spacing w:line="261" w:lineRule="auto"/>
        <w:ind w:left="100" w:right="117"/>
        <w:jc w:val="both"/>
      </w:pPr>
      <w:r>
        <w:rPr>
          <w:color w:val="231F20"/>
          <w:w w:val="110"/>
        </w:rPr>
        <w:t>El </w:t>
      </w:r>
      <w:r>
        <w:rPr>
          <w:color w:val="231F20"/>
          <w:spacing w:val="-4"/>
          <w:w w:val="110"/>
        </w:rPr>
        <w:t>crecimiento </w:t>
      </w:r>
      <w:r>
        <w:rPr>
          <w:color w:val="231F20"/>
          <w:w w:val="110"/>
        </w:rPr>
        <w:t>de </w:t>
      </w:r>
      <w:r>
        <w:rPr>
          <w:color w:val="231F20"/>
          <w:spacing w:val="-3"/>
          <w:w w:val="110"/>
        </w:rPr>
        <w:t>las </w:t>
      </w:r>
      <w:r>
        <w:rPr>
          <w:color w:val="231F20"/>
          <w:spacing w:val="-4"/>
          <w:w w:val="110"/>
        </w:rPr>
        <w:t>ganancias </w:t>
      </w:r>
      <w:r>
        <w:rPr>
          <w:color w:val="231F20"/>
          <w:w w:val="110"/>
        </w:rPr>
        <w:t>de </w:t>
      </w:r>
      <w:r>
        <w:rPr>
          <w:color w:val="231F20"/>
          <w:spacing w:val="-3"/>
          <w:w w:val="110"/>
        </w:rPr>
        <w:t>las </w:t>
      </w:r>
      <w:r>
        <w:rPr>
          <w:color w:val="231F20"/>
          <w:spacing w:val="-4"/>
          <w:w w:val="110"/>
        </w:rPr>
        <w:t>empresas </w:t>
      </w:r>
      <w:r>
        <w:rPr>
          <w:color w:val="231F20"/>
          <w:w w:val="110"/>
        </w:rPr>
        <w:t>de </w:t>
      </w:r>
      <w:r>
        <w:rPr>
          <w:color w:val="231F20"/>
          <w:spacing w:val="-4"/>
          <w:w w:val="110"/>
        </w:rPr>
        <w:t>Estados Unidos en </w:t>
      </w:r>
      <w:r>
        <w:rPr>
          <w:color w:val="231F20"/>
          <w:w w:val="110"/>
        </w:rPr>
        <w:t>otros países ha crecido mucho más que las ganancias en Estados Unidos. El crecimiento ha sido extraordinario, a partir de mediados de los años ochenta en que eran alrededor de 50 mil millones de dólares. En los años noventa, en promedio suben a alrededor de 100 mil</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dólares.</w:t>
      </w:r>
      <w:r>
        <w:rPr>
          <w:color w:val="231F20"/>
          <w:spacing w:val="-5"/>
          <w:w w:val="110"/>
        </w:rPr>
        <w:t> </w:t>
      </w:r>
      <w:r>
        <w:rPr>
          <w:color w:val="231F20"/>
          <w:w w:val="110"/>
        </w:rPr>
        <w:t>A</w:t>
      </w:r>
      <w:r>
        <w:rPr>
          <w:color w:val="231F20"/>
          <w:spacing w:val="-5"/>
          <w:w w:val="110"/>
        </w:rPr>
        <w:t> </w:t>
      </w:r>
      <w:r>
        <w:rPr>
          <w:color w:val="231F20"/>
          <w:w w:val="110"/>
        </w:rPr>
        <w:t>inicios</w:t>
      </w:r>
      <w:r>
        <w:rPr>
          <w:color w:val="231F20"/>
          <w:spacing w:val="-5"/>
          <w:w w:val="110"/>
        </w:rPr>
        <w:t> </w:t>
      </w:r>
      <w:r>
        <w:rPr>
          <w:color w:val="231F20"/>
          <w:w w:val="110"/>
        </w:rPr>
        <w:t>de</w:t>
      </w:r>
      <w:r>
        <w:rPr>
          <w:color w:val="231F20"/>
          <w:spacing w:val="-5"/>
          <w:w w:val="110"/>
        </w:rPr>
        <w:t> </w:t>
      </w:r>
      <w:r>
        <w:rPr>
          <w:color w:val="231F20"/>
          <w:w w:val="110"/>
        </w:rPr>
        <w:t>2000,</w:t>
      </w:r>
      <w:r>
        <w:rPr>
          <w:color w:val="231F20"/>
          <w:spacing w:val="-5"/>
          <w:w w:val="110"/>
        </w:rPr>
        <w:t> </w:t>
      </w:r>
      <w:r>
        <w:rPr>
          <w:color w:val="231F20"/>
          <w:w w:val="110"/>
        </w:rPr>
        <w:t>suben</w:t>
      </w:r>
      <w:r>
        <w:rPr>
          <w:color w:val="231F20"/>
          <w:spacing w:val="-5"/>
          <w:w w:val="110"/>
        </w:rPr>
        <w:t> </w:t>
      </w:r>
      <w:r>
        <w:rPr>
          <w:color w:val="231F20"/>
          <w:w w:val="110"/>
        </w:rPr>
        <w:t>a</w:t>
      </w:r>
      <w:r>
        <w:rPr>
          <w:color w:val="231F20"/>
          <w:spacing w:val="-5"/>
          <w:w w:val="110"/>
        </w:rPr>
        <w:t> </w:t>
      </w:r>
      <w:r>
        <w:rPr>
          <w:color w:val="231F20"/>
          <w:w w:val="110"/>
        </w:rPr>
        <w:t>200</w:t>
      </w:r>
      <w:r>
        <w:rPr>
          <w:color w:val="231F20"/>
          <w:spacing w:val="-5"/>
          <w:w w:val="110"/>
        </w:rPr>
        <w:t> </w:t>
      </w:r>
      <w:r>
        <w:rPr>
          <w:color w:val="231F20"/>
          <w:w w:val="110"/>
        </w:rPr>
        <w:t>mil</w:t>
      </w:r>
      <w:r>
        <w:rPr>
          <w:color w:val="231F20"/>
          <w:spacing w:val="-5"/>
          <w:w w:val="110"/>
        </w:rPr>
        <w:t> </w:t>
      </w:r>
      <w:r>
        <w:rPr>
          <w:color w:val="231F20"/>
          <w:w w:val="110"/>
        </w:rPr>
        <w:t>millones de</w:t>
      </w:r>
      <w:r>
        <w:rPr>
          <w:color w:val="231F20"/>
          <w:spacing w:val="-12"/>
          <w:w w:val="110"/>
        </w:rPr>
        <w:t> </w:t>
      </w:r>
      <w:r>
        <w:rPr>
          <w:color w:val="231F20"/>
          <w:w w:val="110"/>
        </w:rPr>
        <w:t>dólares.</w:t>
      </w:r>
      <w:r>
        <w:rPr>
          <w:color w:val="231F20"/>
          <w:spacing w:val="-12"/>
          <w:w w:val="110"/>
        </w:rPr>
        <w:t> </w:t>
      </w:r>
      <w:r>
        <w:rPr>
          <w:color w:val="231F20"/>
          <w:w w:val="110"/>
        </w:rPr>
        <w:t>En</w:t>
      </w:r>
      <w:r>
        <w:rPr>
          <w:color w:val="231F20"/>
          <w:spacing w:val="-12"/>
          <w:w w:val="110"/>
        </w:rPr>
        <w:t> </w:t>
      </w:r>
      <w:r>
        <w:rPr>
          <w:color w:val="231F20"/>
          <w:w w:val="110"/>
        </w:rPr>
        <w:t>2004</w:t>
      </w:r>
      <w:r>
        <w:rPr>
          <w:color w:val="231F20"/>
          <w:spacing w:val="-12"/>
          <w:w w:val="110"/>
        </w:rPr>
        <w:t> </w:t>
      </w:r>
      <w:r>
        <w:rPr>
          <w:color w:val="231F20"/>
          <w:w w:val="110"/>
        </w:rPr>
        <w:t>y</w:t>
      </w:r>
      <w:r>
        <w:rPr>
          <w:color w:val="231F20"/>
          <w:spacing w:val="-12"/>
          <w:w w:val="110"/>
        </w:rPr>
        <w:t> </w:t>
      </w:r>
      <w:r>
        <w:rPr>
          <w:color w:val="231F20"/>
          <w:w w:val="110"/>
        </w:rPr>
        <w:t>2005,</w:t>
      </w:r>
      <w:r>
        <w:rPr>
          <w:color w:val="231F20"/>
          <w:spacing w:val="-12"/>
          <w:w w:val="110"/>
        </w:rPr>
        <w:t> </w:t>
      </w:r>
      <w:r>
        <w:rPr>
          <w:color w:val="231F20"/>
          <w:w w:val="110"/>
        </w:rPr>
        <w:t>suben</w:t>
      </w:r>
      <w:r>
        <w:rPr>
          <w:color w:val="231F20"/>
          <w:spacing w:val="-12"/>
          <w:w w:val="110"/>
        </w:rPr>
        <w:t> </w:t>
      </w:r>
      <w:r>
        <w:rPr>
          <w:color w:val="231F20"/>
          <w:w w:val="110"/>
        </w:rPr>
        <w:t>a</w:t>
      </w:r>
      <w:r>
        <w:rPr>
          <w:color w:val="231F20"/>
          <w:spacing w:val="-12"/>
          <w:w w:val="110"/>
        </w:rPr>
        <w:t> </w:t>
      </w:r>
      <w:r>
        <w:rPr>
          <w:color w:val="231F20"/>
          <w:w w:val="110"/>
        </w:rPr>
        <w:t>alrededor</w:t>
      </w:r>
      <w:r>
        <w:rPr>
          <w:color w:val="231F20"/>
          <w:spacing w:val="-12"/>
          <w:w w:val="110"/>
        </w:rPr>
        <w:t> </w:t>
      </w:r>
      <w:r>
        <w:rPr>
          <w:color w:val="231F20"/>
          <w:w w:val="110"/>
        </w:rPr>
        <w:t>de</w:t>
      </w:r>
      <w:r>
        <w:rPr>
          <w:color w:val="231F20"/>
          <w:spacing w:val="-12"/>
          <w:w w:val="110"/>
        </w:rPr>
        <w:t> </w:t>
      </w:r>
      <w:r>
        <w:rPr>
          <w:color w:val="231F20"/>
          <w:w w:val="110"/>
        </w:rPr>
        <w:t>400</w:t>
      </w:r>
      <w:r>
        <w:rPr>
          <w:color w:val="231F20"/>
          <w:spacing w:val="-12"/>
          <w:w w:val="110"/>
        </w:rPr>
        <w:t> </w:t>
      </w:r>
      <w:r>
        <w:rPr>
          <w:color w:val="231F20"/>
          <w:w w:val="110"/>
        </w:rPr>
        <w:t>mil</w:t>
      </w:r>
      <w:r>
        <w:rPr>
          <w:color w:val="231F20"/>
          <w:spacing w:val="-12"/>
          <w:w w:val="110"/>
        </w:rPr>
        <w:t> </w:t>
      </w:r>
      <w:r>
        <w:rPr>
          <w:color w:val="231F20"/>
          <w:w w:val="110"/>
        </w:rPr>
        <w:t>millones</w:t>
      </w:r>
      <w:r>
        <w:rPr>
          <w:color w:val="231F20"/>
          <w:spacing w:val="-12"/>
          <w:w w:val="110"/>
        </w:rPr>
        <w:t> </w:t>
      </w:r>
      <w:r>
        <w:rPr>
          <w:color w:val="231F20"/>
          <w:w w:val="110"/>
        </w:rPr>
        <w:t>de dólares y en 2007 y 2008, superan los 500 mil millones de</w:t>
      </w:r>
      <w:r>
        <w:rPr>
          <w:color w:val="231F20"/>
          <w:spacing w:val="-14"/>
          <w:w w:val="110"/>
        </w:rPr>
        <w:t> </w:t>
      </w:r>
      <w:r>
        <w:rPr>
          <w:color w:val="231F20"/>
          <w:w w:val="110"/>
        </w:rPr>
        <w:t>dólares.</w:t>
      </w:r>
    </w:p>
    <w:p>
      <w:pPr>
        <w:pStyle w:val="BodyText"/>
        <w:spacing w:before="5"/>
        <w:rPr>
          <w:sz w:val="22"/>
        </w:rPr>
      </w:pPr>
    </w:p>
    <w:p>
      <w:pPr>
        <w:spacing w:line="290" w:lineRule="auto" w:before="0"/>
        <w:ind w:left="100" w:right="169" w:firstLine="0"/>
        <w:jc w:val="left"/>
        <w:rPr>
          <w:sz w:val="18"/>
        </w:rPr>
      </w:pPr>
      <w:r>
        <w:rPr>
          <w:color w:val="231F20"/>
          <w:w w:val="125"/>
          <w:sz w:val="18"/>
        </w:rPr>
        <w:t>gráfica</w:t>
      </w:r>
      <w:r>
        <w:rPr>
          <w:color w:val="231F20"/>
          <w:spacing w:val="-13"/>
          <w:w w:val="125"/>
          <w:sz w:val="18"/>
        </w:rPr>
        <w:t> </w:t>
      </w:r>
      <w:r>
        <w:rPr>
          <w:color w:val="231F20"/>
          <w:w w:val="125"/>
          <w:sz w:val="18"/>
        </w:rPr>
        <w:t>5.</w:t>
      </w:r>
      <w:r>
        <w:rPr>
          <w:color w:val="231F20"/>
          <w:spacing w:val="-13"/>
          <w:w w:val="125"/>
          <w:sz w:val="18"/>
        </w:rPr>
        <w:t> </w:t>
      </w:r>
      <w:r>
        <w:rPr>
          <w:color w:val="231F20"/>
          <w:w w:val="125"/>
          <w:sz w:val="18"/>
        </w:rPr>
        <w:t>ganancias</w:t>
      </w:r>
      <w:r>
        <w:rPr>
          <w:color w:val="231F20"/>
          <w:spacing w:val="-13"/>
          <w:w w:val="125"/>
          <w:sz w:val="18"/>
        </w:rPr>
        <w:t> </w:t>
      </w:r>
      <w:r>
        <w:rPr>
          <w:color w:val="231F20"/>
          <w:w w:val="125"/>
          <w:sz w:val="18"/>
        </w:rPr>
        <w:t>de</w:t>
      </w:r>
      <w:r>
        <w:rPr>
          <w:color w:val="231F20"/>
          <w:spacing w:val="-13"/>
          <w:w w:val="125"/>
          <w:sz w:val="18"/>
        </w:rPr>
        <w:t> </w:t>
      </w:r>
      <w:r>
        <w:rPr>
          <w:color w:val="231F20"/>
          <w:w w:val="125"/>
          <w:sz w:val="18"/>
        </w:rPr>
        <w:t>las</w:t>
      </w:r>
      <w:r>
        <w:rPr>
          <w:color w:val="231F20"/>
          <w:spacing w:val="-13"/>
          <w:w w:val="125"/>
          <w:sz w:val="18"/>
        </w:rPr>
        <w:t> </w:t>
      </w:r>
      <w:r>
        <w:rPr>
          <w:color w:val="231F20"/>
          <w:w w:val="125"/>
          <w:sz w:val="18"/>
        </w:rPr>
        <w:t>empresas</w:t>
      </w:r>
      <w:r>
        <w:rPr>
          <w:color w:val="231F20"/>
          <w:spacing w:val="-13"/>
          <w:w w:val="125"/>
          <w:sz w:val="18"/>
        </w:rPr>
        <w:t> </w:t>
      </w:r>
      <w:r>
        <w:rPr>
          <w:color w:val="231F20"/>
          <w:w w:val="125"/>
          <w:sz w:val="18"/>
        </w:rPr>
        <w:t>estadunidenses</w:t>
      </w:r>
      <w:r>
        <w:rPr>
          <w:color w:val="231F20"/>
          <w:spacing w:val="-13"/>
          <w:w w:val="125"/>
          <w:sz w:val="18"/>
        </w:rPr>
        <w:t> </w:t>
      </w:r>
      <w:r>
        <w:rPr>
          <w:color w:val="231F20"/>
          <w:w w:val="125"/>
          <w:sz w:val="18"/>
        </w:rPr>
        <w:t>en</w:t>
      </w:r>
      <w:r>
        <w:rPr>
          <w:color w:val="231F20"/>
          <w:spacing w:val="-13"/>
          <w:w w:val="125"/>
          <w:sz w:val="18"/>
        </w:rPr>
        <w:t> </w:t>
      </w:r>
      <w:r>
        <w:rPr>
          <w:color w:val="231F20"/>
          <w:w w:val="125"/>
          <w:sz w:val="18"/>
        </w:rPr>
        <w:t>otros</w:t>
      </w:r>
      <w:r>
        <w:rPr>
          <w:color w:val="231F20"/>
          <w:spacing w:val="-13"/>
          <w:w w:val="125"/>
          <w:sz w:val="18"/>
        </w:rPr>
        <w:t> </w:t>
      </w:r>
      <w:r>
        <w:rPr>
          <w:color w:val="231F20"/>
          <w:w w:val="125"/>
          <w:sz w:val="18"/>
        </w:rPr>
        <w:t>países remesadas a estados unidos, 1950-2008 (en miles de millones de dólares)</w:t>
      </w:r>
    </w:p>
    <w:p>
      <w:pPr>
        <w:spacing w:before="79"/>
        <w:ind w:left="262" w:right="25" w:firstLine="0"/>
        <w:jc w:val="left"/>
        <w:rPr>
          <w:rFonts w:ascii="Plantagenet Cherokee" w:hAnsi="Plantagenet Cherokee"/>
          <w:sz w:val="16"/>
        </w:rPr>
      </w:pPr>
      <w:r>
        <w:rPr/>
        <w:pict>
          <v:group style="position:absolute;margin-left:74.150002pt;margin-top:9.615936pt;width:263.350pt;height:135.5pt;mso-position-horizontal-relative:page;mso-position-vertical-relative:paragraph;z-index:-354832" coordorigin="1483,192" coordsize="5267,2710">
            <v:line style="position:absolute" from="1525,198" to="6745,198" stroked="true" strokeweight=".5pt" strokecolor="#a7a9ac"/>
            <v:line style="position:absolute" from="1525,648" to="6745,648" stroked="true" strokeweight=".5pt" strokecolor="#a7a9ac"/>
            <v:line style="position:absolute" from="1525,1097" to="6745,1097" stroked="true" strokeweight=".5pt" strokecolor="#a7a9ac"/>
            <v:line style="position:absolute" from="1525,1547" to="6745,1547" stroked="true" strokeweight=".5pt" strokecolor="#a7a9ac"/>
            <v:line style="position:absolute" from="1525,1997" to="6745,1997" stroked="true" strokeweight=".5pt" strokecolor="#a7a9ac"/>
            <v:line style="position:absolute" from="1525,2446" to="6745,2446" stroked="true" strokeweight=".5pt" strokecolor="#a7a9ac"/>
            <v:line style="position:absolute" from="1525,2896" to="6745,2896" stroked="true" strokeweight=".5pt" strokecolor="#a7a9ac"/>
            <v:line style="position:absolute" from="1573,2879" to="1621,2875" stroked="true" strokeweight=".5pt" strokecolor="#231f20">
              <v:stroke dashstyle="dash"/>
            </v:line>
            <v:line style="position:absolute" from="1682,2873" to="1808,2873" stroked="true" strokeweight=".5pt" strokecolor="#231f20">
              <v:stroke dashstyle="dash"/>
            </v:line>
            <v:line style="position:absolute" from="1862,2875" to="1898,2878" stroked="true" strokeweight=".5pt" strokecolor="#231f20">
              <v:stroke dashstyle="dash"/>
            </v:line>
            <v:line style="position:absolute" from="1950,2879" to="1984,2879" stroked="true" strokeweight=".5pt" strokecolor="#231f20">
              <v:stroke dashstyle="dash"/>
            </v:line>
            <v:line style="position:absolute" from="2038,2877" to="2077,2874" stroked="true" strokeweight=".5pt" strokecolor="#231f20">
              <v:stroke dashstyle="dash"/>
            </v:line>
            <v:line style="position:absolute" from="2130,2875" to="2164,2878" stroked="true" strokeweight=".5pt" strokecolor="#231f20">
              <v:stroke dashstyle="dash"/>
            </v:line>
            <v:line style="position:absolute" from="2224,2879" to="2325,2879" stroked="true" strokeweight=".5pt" strokecolor="#231f20">
              <v:stroke dashstyle="dash"/>
            </v:line>
            <v:line style="position:absolute" from="2386,2877" to="2425,2874" stroked="true" strokeweight=".5pt" strokecolor="#231f20">
              <v:stroke dashstyle="dash"/>
            </v:line>
            <v:line style="position:absolute" from="2480,2875" to="2516,2878" stroked="true" strokeweight=".5pt" strokecolor="#231f20">
              <v:stroke dashstyle="dash"/>
            </v:line>
            <v:line style="position:absolute" from="2578,2876" to="2679,2869" stroked="true" strokeweight=".5pt" strokecolor="#231f20">
              <v:stroke dashstyle="dash"/>
            </v:line>
            <v:line style="position:absolute" from="2740,2869" to="2779,2871" stroked="true" strokeweight=".5pt" strokecolor="#231f20">
              <v:stroke dashstyle="dash"/>
            </v:line>
            <v:line style="position:absolute" from="2829,2869" to="2861,2864" stroked="true" strokeweight=".5pt" strokecolor="#231f20">
              <v:stroke dashstyle="dash"/>
            </v:line>
            <v:line style="position:absolute" from="2912,2861" to="3038,2861" stroked="true" strokeweight=".5pt" strokecolor="#231f20">
              <v:stroke dashstyle="dash"/>
            </v:line>
            <v:line style="position:absolute" from="3092,2863" to="3128,2865" stroked="true" strokeweight=".5pt" strokecolor="#231f20">
              <v:stroke dashstyle="dash"/>
            </v:line>
            <v:line style="position:absolute" from="3182,2863" to="3218,2858" stroked="true" strokeweight=".5pt" strokecolor="#231f20">
              <v:stroke dashstyle="dash"/>
            </v:line>
            <v:line style="position:absolute" from="3272,2855" to="3398,2855" stroked="true" strokeweight=".5pt" strokecolor="#231f20">
              <v:stroke dashstyle="dash"/>
            </v:line>
            <v:line style="position:absolute" from="3447,2849" to="3479,2842" stroked="true" strokeweight=".5pt" strokecolor="#231f20">
              <v:stroke dashstyle="dash"/>
            </v:line>
            <v:line style="position:absolute" from="3534,2833" to="3575,2828" stroked="true" strokeweight=".5pt" strokecolor="#231f20">
              <v:stroke dashstyle="dash"/>
            </v:line>
            <v:line style="position:absolute" from="3627,2817" to="3659,2808" stroked="true" strokeweight=".5pt" strokecolor="#231f20">
              <v:stroke dashstyle="dash"/>
            </v:line>
            <v:line style="position:absolute" from="3710,2806" to="3746,2810" stroked="true" strokeweight=".5pt" strokecolor="#231f20">
              <v:stroke dashstyle="dash"/>
            </v:line>
            <v:line style="position:absolute" from="3800,2809" to="3926,2792" stroked="true" strokeweight=".5pt" strokecolor="#231f20">
              <v:stroke dashstyle="dash"/>
            </v:line>
            <v:line style="position:absolute" from="3975,2780" to="4007,2769" stroked="true" strokeweight=".5pt" strokecolor="#231f20">
              <v:stroke dashstyle="dash"/>
            </v:line>
            <v:line style="position:absolute" from="4063,2742" to="4103,2719" stroked="true" strokeweight=".5pt" strokecolor="#231f20">
              <v:stroke dashstyle="dash"/>
            </v:line>
            <v:line style="position:absolute" from="4160,2705" to="4196,2705" stroked="true" strokeweight=".5pt" strokecolor="#231f20">
              <v:stroke dashstyle="dash"/>
            </v:line>
            <v:line style="position:absolute" from="4245,2709" to="4277,2714" stroked="true" strokeweight=".5pt" strokecolor="#231f20">
              <v:stroke dashstyle="dash"/>
            </v:line>
            <v:line style="position:absolute" from="4330,2725" to="4369,2735" stroked="true" strokeweight=".5pt" strokecolor="#231f20">
              <v:stroke dashstyle="dash"/>
            </v:line>
            <v:line style="position:absolute" from="4422,2731" to="4456,2718" stroked="true" strokeweight=".5pt" strokecolor="#231f20">
              <v:stroke dashstyle="dash"/>
            </v:line>
            <v:line style="position:absolute" from="4509,2707" to="4546,2702" stroked="true" strokeweight=".5pt" strokecolor="#231f20">
              <v:stroke dashstyle="dash"/>
            </v:line>
            <v:line style="position:absolute" from="4597,2699" to="4630,2699" stroked="true" strokeweight=".5pt" strokecolor="#231f20">
              <v:stroke dashstyle="dash"/>
            </v:line>
            <v:line style="position:absolute" from="4682,2691" to="4718,2681" stroked="true" strokeweight=".5pt" strokecolor="#231f20">
              <v:stroke dashstyle="dash"/>
            </v:line>
            <v:line style="position:absolute" from="4770,2660" to="4804,2643" stroked="true" strokeweight=".5pt" strokecolor="#231f20">
              <v:stroke dashstyle="dash"/>
            </v:line>
            <v:line style="position:absolute" from="4854,2612" to="4888,2588" stroked="true" strokeweight=".5pt" strokecolor="#231f20">
              <v:stroke dashstyle="dash"/>
            </v:line>
            <v:line style="position:absolute" from="4941,2567" to="5071,2541" stroked="true" strokeweight=".5pt" strokecolor="#231f20">
              <v:stroke dashstyle="dash"/>
            </v:line>
            <v:line style="position:absolute" from="5130,2543" to="5171,2550" stroked="true" strokeweight=".5pt" strokecolor="#231f20">
              <v:stroke dashstyle="dash"/>
            </v:line>
            <v:line style="position:absolute" from="5223,2553" to="5255,2550" stroked="true" strokeweight=".5pt" strokecolor="#231f20">
              <v:stroke dashstyle="dash"/>
            </v:line>
            <v:line style="position:absolute" from="5308,2530" to="5345,2508" stroked="true" strokeweight=".5pt" strokecolor="#231f20">
              <v:stroke dashstyle="dash"/>
            </v:line>
            <v:line style="position:absolute" from="5394,2473" to="5532,2355" stroked="true" strokeweight=".5pt" strokecolor="#231f20">
              <v:stroke dashstyle="dash"/>
            </v:line>
            <v:line style="position:absolute" from="5580,2318" to="5614,2294" stroked="true" strokeweight=".5pt" strokecolor="#231f20">
              <v:stroke dashstyle="dash"/>
            </v:line>
            <v:line style="position:absolute" from="5666,2249" to="5702,2216" stroked="true" strokeweight=".5pt" strokecolor="#231f20">
              <v:stroke dashstyle="dash"/>
            </v:line>
            <v:line style="position:absolute" from="5749,2212" to="5779,2231" stroked="true" strokeweight=".5pt" strokecolor="#231f20">
              <v:stroke dashstyle="dash"/>
            </v:line>
            <v:line style="position:absolute" from="5818,2213" to="5962,2006" stroked="true" strokeweight=".5pt" strokecolor="#231f20">
              <v:stroke dashstyle="dash"/>
            </v:line>
            <v:line style="position:absolute" from="5997,2008" to="6052,2067" stroked="true" strokeweight=".5pt" strokecolor="#231f20">
              <v:stroke dashstyle="dash"/>
            </v:line>
            <v:line style="position:absolute" from="6087,2059" to="6142,1996" stroked="true" strokeweight=".5pt" strokecolor="#231f20">
              <v:stroke dashstyle="dash"/>
            </v:line>
            <v:line style="position:absolute" from="6173,1944" to="6237,1806" stroked="true" strokeweight=".5pt" strokecolor="#231f20">
              <v:stroke dashstyle="dash"/>
            </v:line>
            <v:line style="position:absolute" from="6257,1745" to="6330,1452" stroked="true" strokeweight=".5pt" strokecolor="#231f20">
              <v:stroke dashstyle="dash"/>
            </v:line>
            <v:line style="position:absolute" from="6348,1392" to="6412,1200" stroked="true" strokeweight=".5pt" strokecolor="#231f20">
              <v:stroke dashstyle="dash"/>
            </v:line>
            <v:line style="position:absolute" from="6434,1141" to="6507,959" stroked="true" strokeweight=".5pt" strokecolor="#231f20">
              <v:stroke dashstyle="dash"/>
            </v:line>
            <v:line style="position:absolute" from="6526,899" to="6588,654" stroked="true" strokeweight=".5pt" strokecolor="#231f20">
              <v:stroke dashstyle="dash"/>
            </v:line>
            <v:line style="position:absolute" from="6611,600" to="6679,482" stroked="true" strokeweight=".5pt" strokecolor="#231f20">
              <v:stroke dashstyle="dash"/>
            </v:line>
            <v:shape style="position:absolute;left:0;top:3181;width:5160;height:2423" coordorigin="0,3181" coordsize="5160,2423" path="m1531,2883l1548,2882m1633,2874l1651,2873,1664,2873m1817,2873l1831,2873,1844,2874m1907,2878l1921,2879,1934,2879m1992,2879l2005,2879,2019,2878m2086,2874l2101,2873,2114,2874m2172,2878l2185,2879,2201,2879m2336,2879l2353,2879,2367,2878m2434,2874l2449,2873,2462,2874m2525,2878l2539,2879,2555,2878m2690,2868l2707,2867,2721,2868m2788,2872l2803,2873,2815,2871m2868,2863l2881,2861,2894,2861m3047,2861l3061,2861,3074,2862m3137,2866l3151,2867,3164,2865m3227,2857l3241,2855,3254,2855m3407,2855l3421,2855,3433,2852m3486,2840l3499,2837,3514,2835m3585,2827l3601,2825,3613,2822m3666,2806l3679,2803,3692,2805m3755,2811l3769,2813,3782,2811m3935,2791l3949,2789,3961,2785m4014,2767l4027,2763,4041,2754m4114,2713l4129,2705,4142,2705m4205,2705l4219,2705,4231,2707m4284,2715l4297,2717,4311,2721m4378,2737l4393,2741,4405,2736m4464,2716l4477,2711,4491,2709m4555,2701l4569,2699,4581,2699m4638,2699l4651,2699,4664,2695m4727,2679l4741,2675,4753,2669m4812,2639l4825,2633,4837,2624m4896,2582l4909,2573,4923,2570m5080,2540l5095,2537,5110,2540m5181,2552l5197,2555,5209,2554m5262,2550l5275,2549,5288,2541m5355,2503l5369,2495,5380,2486m5540,2348l5551,2339,5563,2330m5622,2288l5635,2279,5648,2267m5711,2207l5725,2195,5736,2202m5785,2236l5797,2243,5805,2230m5968,1998l5977,1985,5986,1995m6057,2073l6067,2083,6076,2072m6147,1990l6157,1979,6163,1964m6242,1796l6249,1781,6252,1766m6333,1442l6337,1427,6342,1412m6416,1190l6421,1175,6426,1161m6511,949l6517,935,6520,920m6591,644l6595,629,6602,616m6683,474l6691,461e" filled="false" stroked="true" strokeweight=".5pt" strokecolor="#231f20">
              <v:path arrowok="t"/>
            </v:shape>
            <v:line style="position:absolute" from="1488,2897" to="1488,197" stroked="true" strokeweight=".5pt" strokecolor="#231f20"/>
            <w10:wrap type="none"/>
          </v:group>
        </w:pict>
      </w:r>
      <w:r>
        <w:rPr>
          <w:rFonts w:ascii="Plantagenet Cherokee" w:hAnsi="Plantagenet Cherokee"/>
          <w:color w:val="231F20"/>
          <w:sz w:val="16"/>
        </w:rPr>
        <w:t>600 —</w:t>
      </w:r>
    </w:p>
    <w:p>
      <w:pPr>
        <w:pStyle w:val="BodyText"/>
        <w:spacing w:before="1"/>
        <w:rPr>
          <w:rFonts w:ascii="Plantagenet Cherokee"/>
          <w:sz w:val="18"/>
        </w:rPr>
      </w:pPr>
    </w:p>
    <w:p>
      <w:pPr>
        <w:spacing w:before="1"/>
        <w:ind w:left="262" w:right="25" w:firstLine="0"/>
        <w:jc w:val="left"/>
        <w:rPr>
          <w:rFonts w:ascii="Plantagenet Cherokee" w:hAnsi="Plantagenet Cherokee"/>
          <w:sz w:val="16"/>
        </w:rPr>
      </w:pPr>
      <w:r>
        <w:rPr>
          <w:rFonts w:ascii="Plantagenet Cherokee" w:hAnsi="Plantagenet Cherokee"/>
          <w:color w:val="231F20"/>
          <w:sz w:val="16"/>
        </w:rPr>
        <w:t>500 —</w:t>
      </w:r>
    </w:p>
    <w:p>
      <w:pPr>
        <w:pStyle w:val="BodyText"/>
        <w:spacing w:before="2"/>
        <w:rPr>
          <w:rFonts w:ascii="Plantagenet Cherokee"/>
          <w:sz w:val="18"/>
        </w:rPr>
      </w:pPr>
    </w:p>
    <w:p>
      <w:pPr>
        <w:spacing w:before="0"/>
        <w:ind w:left="262" w:right="25" w:firstLine="0"/>
        <w:jc w:val="left"/>
        <w:rPr>
          <w:rFonts w:ascii="Plantagenet Cherokee" w:hAnsi="Plantagenet Cherokee"/>
          <w:sz w:val="16"/>
        </w:rPr>
      </w:pPr>
      <w:r>
        <w:rPr>
          <w:rFonts w:ascii="Plantagenet Cherokee" w:hAnsi="Plantagenet Cherokee"/>
          <w:color w:val="231F20"/>
          <w:sz w:val="16"/>
        </w:rPr>
        <w:t>400 —</w:t>
      </w:r>
    </w:p>
    <w:p>
      <w:pPr>
        <w:pStyle w:val="BodyText"/>
        <w:spacing w:before="2"/>
        <w:rPr>
          <w:rFonts w:ascii="Plantagenet Cherokee"/>
          <w:sz w:val="18"/>
        </w:rPr>
      </w:pPr>
    </w:p>
    <w:p>
      <w:pPr>
        <w:spacing w:before="0"/>
        <w:ind w:left="262" w:right="25" w:firstLine="0"/>
        <w:jc w:val="left"/>
        <w:rPr>
          <w:rFonts w:ascii="Plantagenet Cherokee" w:hAnsi="Plantagenet Cherokee"/>
          <w:sz w:val="16"/>
        </w:rPr>
      </w:pPr>
      <w:r>
        <w:rPr>
          <w:rFonts w:ascii="Plantagenet Cherokee" w:hAnsi="Plantagenet Cherokee"/>
          <w:color w:val="231F20"/>
          <w:sz w:val="16"/>
        </w:rPr>
        <w:t>300 —</w:t>
      </w:r>
    </w:p>
    <w:p>
      <w:pPr>
        <w:pStyle w:val="BodyText"/>
        <w:spacing w:before="2"/>
        <w:rPr>
          <w:rFonts w:ascii="Plantagenet Cherokee"/>
          <w:sz w:val="18"/>
        </w:rPr>
      </w:pPr>
    </w:p>
    <w:p>
      <w:pPr>
        <w:spacing w:before="0"/>
        <w:ind w:left="262" w:right="25" w:firstLine="0"/>
        <w:jc w:val="left"/>
        <w:rPr>
          <w:rFonts w:ascii="Plantagenet Cherokee" w:hAnsi="Plantagenet Cherokee"/>
          <w:sz w:val="16"/>
        </w:rPr>
      </w:pPr>
      <w:r>
        <w:rPr>
          <w:rFonts w:ascii="Plantagenet Cherokee" w:hAnsi="Plantagenet Cherokee"/>
          <w:color w:val="231F20"/>
          <w:sz w:val="16"/>
        </w:rPr>
        <w:t>200 —</w:t>
      </w:r>
    </w:p>
    <w:p>
      <w:pPr>
        <w:pStyle w:val="BodyText"/>
        <w:spacing w:before="2"/>
        <w:rPr>
          <w:rFonts w:ascii="Plantagenet Cherokee"/>
          <w:sz w:val="18"/>
        </w:rPr>
      </w:pPr>
    </w:p>
    <w:p>
      <w:pPr>
        <w:spacing w:before="0"/>
        <w:ind w:left="262" w:right="25" w:firstLine="0"/>
        <w:jc w:val="left"/>
        <w:rPr>
          <w:rFonts w:ascii="Plantagenet Cherokee" w:hAnsi="Plantagenet Cherokee"/>
          <w:sz w:val="16"/>
        </w:rPr>
      </w:pPr>
      <w:r>
        <w:rPr>
          <w:rFonts w:ascii="Plantagenet Cherokee" w:hAnsi="Plantagenet Cherokee"/>
          <w:color w:val="231F20"/>
          <w:sz w:val="16"/>
        </w:rPr>
        <w:t>100 —</w:t>
      </w:r>
    </w:p>
    <w:p>
      <w:pPr>
        <w:pStyle w:val="BodyText"/>
        <w:spacing w:before="2"/>
        <w:rPr>
          <w:rFonts w:ascii="Plantagenet Cherokee"/>
          <w:sz w:val="18"/>
        </w:rPr>
      </w:pPr>
    </w:p>
    <w:p>
      <w:pPr>
        <w:tabs>
          <w:tab w:pos="1443" w:val="left" w:leader="none"/>
        </w:tabs>
        <w:spacing w:before="0"/>
        <w:ind w:left="428" w:right="25" w:firstLine="0"/>
        <w:jc w:val="left"/>
        <w:rPr>
          <w:rFonts w:ascii="Plantagenet Cherokee" w:hAnsi="Plantagenet Cherokee"/>
          <w:sz w:val="16"/>
        </w:rPr>
      </w:pPr>
      <w:r>
        <w:rPr/>
        <w:pict>
          <v:shape style="position:absolute;margin-left:70.898399pt;margin-top:7.47873pt;width:270.7pt;height:28.75pt;mso-position-horizontal-relative:page;mso-position-vertical-relative:paragraph;z-index:-354808" type="#_x0000_t202" filled="false" stroked="false">
            <v:textbox inset="0,0,0,0" style="layout-flow:vertical;mso-layout-flow-alt:bottom-to-top">
              <w:txbxContent>
                <w:p>
                  <w:pPr>
                    <w:spacing w:line="193" w:lineRule="exact" w:before="0"/>
                    <w:ind w:left="20" w:right="0" w:firstLine="0"/>
                    <w:jc w:val="left"/>
                    <w:rPr>
                      <w:rFonts w:ascii="Plantagenet Cherokee" w:hAnsi="Plantagenet Cherokee"/>
                      <w:sz w:val="16"/>
                    </w:rPr>
                  </w:pPr>
                  <w:r>
                    <w:rPr>
                      <w:rFonts w:ascii="Plantagenet Cherokee" w:hAnsi="Plantagenet Cherokee"/>
                      <w:color w:val="231F20"/>
                      <w:w w:val="99"/>
                      <w:sz w:val="16"/>
                    </w:rPr>
                    <w:t>1950</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1953</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1956</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1959</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1962</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1965</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1968</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1971</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1974</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1977</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1980</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1983</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1986</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1989</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1992</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1995</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1998</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2001</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2004</w:t>
                  </w:r>
                  <w:r>
                    <w:rPr>
                      <w:rFonts w:ascii="Plantagenet Cherokee" w:hAnsi="Plantagenet Cherokee"/>
                      <w:color w:val="231F20"/>
                      <w:spacing w:val="-1"/>
                      <w:w w:val="99"/>
                      <w:sz w:val="16"/>
                    </w:rPr>
                    <w:t> </w:t>
                  </w:r>
                  <w:r>
                    <w:rPr>
                      <w:rFonts w:ascii="Plantagenet Cherokee" w:hAnsi="Plantagenet Cherokee"/>
                      <w:color w:val="231F20"/>
                      <w:w w:val="99"/>
                      <w:sz w:val="16"/>
                    </w:rPr>
                    <w:t>—</w:t>
                  </w:r>
                </w:p>
                <w:p>
                  <w:pPr>
                    <w:spacing w:before="63"/>
                    <w:ind w:left="20" w:right="0" w:firstLine="0"/>
                    <w:jc w:val="left"/>
                    <w:rPr>
                      <w:rFonts w:ascii="Plantagenet Cherokee" w:hAnsi="Plantagenet Cherokee"/>
                      <w:sz w:val="16"/>
                    </w:rPr>
                  </w:pPr>
                  <w:r>
                    <w:rPr>
                      <w:rFonts w:ascii="Plantagenet Cherokee" w:hAnsi="Plantagenet Cherokee"/>
                      <w:color w:val="231F20"/>
                      <w:w w:val="99"/>
                      <w:sz w:val="16"/>
                    </w:rPr>
                    <w:t>2007</w:t>
                  </w:r>
                  <w:r>
                    <w:rPr>
                      <w:rFonts w:ascii="Plantagenet Cherokee" w:hAnsi="Plantagenet Cherokee"/>
                      <w:color w:val="231F20"/>
                      <w:spacing w:val="-1"/>
                      <w:w w:val="99"/>
                      <w:sz w:val="16"/>
                    </w:rPr>
                    <w:t> </w:t>
                  </w:r>
                  <w:r>
                    <w:rPr>
                      <w:rFonts w:ascii="Plantagenet Cherokee" w:hAnsi="Plantagenet Cherokee"/>
                      <w:color w:val="231F20"/>
                      <w:w w:val="99"/>
                      <w:sz w:val="16"/>
                    </w:rPr>
                    <w:t>—</w:t>
                  </w:r>
                </w:p>
              </w:txbxContent>
            </v:textbox>
            <w10:wrap type="none"/>
          </v:shape>
        </w:pict>
      </w:r>
      <w:r>
        <w:rPr>
          <w:rFonts w:ascii="Plantagenet Cherokee" w:hAnsi="Plantagenet Cherokee"/>
          <w:color w:val="231F20"/>
          <w:sz w:val="16"/>
        </w:rPr>
        <w:t>0</w:t>
      </w:r>
      <w:r>
        <w:rPr>
          <w:rFonts w:ascii="Plantagenet Cherokee" w:hAnsi="Plantagenet Cherokee"/>
          <w:color w:val="231F20"/>
          <w:spacing w:val="-1"/>
          <w:sz w:val="16"/>
        </w:rPr>
        <w:t> </w:t>
      </w:r>
      <w:r>
        <w:rPr>
          <w:rFonts w:ascii="Plantagenet Cherokee" w:hAnsi="Plantagenet Cherokee"/>
          <w:color w:val="231F20"/>
          <w:sz w:val="16"/>
        </w:rPr>
        <w:t>—   </w:t>
      </w:r>
      <w:r>
        <w:rPr>
          <w:rFonts w:ascii="Plantagenet Cherokee" w:hAnsi="Plantagenet Cherokee"/>
          <w:color w:val="231F20"/>
          <w:spacing w:val="20"/>
          <w:sz w:val="16"/>
        </w:rPr>
        <w:t> </w:t>
      </w:r>
      <w:r>
        <w:rPr>
          <w:rFonts w:ascii="Plantagenet Cherokee" w:hAnsi="Plantagenet Cherokee"/>
          <w:color w:val="231F20"/>
          <w:w w:val="99"/>
          <w:sz w:val="16"/>
        </w:rPr>
        <w:t> </w:t>
      </w:r>
      <w:r>
        <w:rPr>
          <w:rFonts w:ascii="Plantagenet Cherokee" w:hAnsi="Plantagenet Cherokee"/>
          <w:color w:val="231F20"/>
          <w:sz w:val="16"/>
        </w:rPr>
        <w:tab/>
      </w:r>
      <w:r>
        <w:rPr>
          <w:rFonts w:ascii="Plantagenet Cherokee" w:hAnsi="Plantagenet Cherokee"/>
          <w:color w:val="231F20"/>
          <w:w w:val="99"/>
          <w:sz w:val="16"/>
        </w:rPr>
        <w:t> </w:t>
      </w:r>
      <w:r>
        <w:rPr>
          <w:rFonts w:ascii="Plantagenet Cherokee" w:hAnsi="Plantagenet Cherokee"/>
          <w:color w:val="231F20"/>
          <w:spacing w:val="16"/>
          <w:sz w:val="16"/>
        </w:rPr>
        <w:t> </w:t>
      </w:r>
    </w:p>
    <w:p>
      <w:pPr>
        <w:pStyle w:val="BodyText"/>
        <w:rPr>
          <w:rFonts w:ascii="Plantagenet Cherokee"/>
        </w:rPr>
      </w:pPr>
    </w:p>
    <w:p>
      <w:pPr>
        <w:pStyle w:val="BodyText"/>
        <w:spacing w:before="11"/>
        <w:rPr>
          <w:rFonts w:ascii="Plantagenet Cherokee"/>
          <w:sz w:val="26"/>
        </w:rPr>
      </w:pPr>
    </w:p>
    <w:p>
      <w:pPr>
        <w:spacing w:line="276" w:lineRule="auto" w:before="67"/>
        <w:ind w:left="100" w:right="25" w:firstLine="0"/>
        <w:jc w:val="left"/>
        <w:rPr>
          <w:sz w:val="18"/>
        </w:rPr>
      </w:pPr>
      <w:r>
        <w:rPr>
          <w:rFonts w:ascii="Calibri"/>
          <w:color w:val="231F20"/>
          <w:w w:val="110"/>
          <w:sz w:val="18"/>
        </w:rPr>
        <w:t>fuente: </w:t>
      </w:r>
      <w:r>
        <w:rPr>
          <w:color w:val="231F20"/>
          <w:w w:val="110"/>
          <w:sz w:val="18"/>
        </w:rPr>
        <w:t>realizada a partir de las cifras del Departamento de Comercio de Estados</w:t>
      </w:r>
      <w:r>
        <w:rPr>
          <w:color w:val="231F20"/>
          <w:spacing w:val="-18"/>
          <w:w w:val="110"/>
          <w:sz w:val="18"/>
        </w:rPr>
        <w:t> </w:t>
      </w:r>
      <w:r>
        <w:rPr>
          <w:color w:val="231F20"/>
          <w:w w:val="110"/>
          <w:sz w:val="18"/>
        </w:rPr>
        <w:t>Unidos,</w:t>
      </w:r>
      <w:r>
        <w:rPr>
          <w:color w:val="231F20"/>
          <w:spacing w:val="-18"/>
          <w:w w:val="110"/>
          <w:sz w:val="18"/>
        </w:rPr>
        <w:t> </w:t>
      </w:r>
      <w:r>
        <w:rPr>
          <w:color w:val="231F20"/>
          <w:w w:val="110"/>
          <w:sz w:val="18"/>
        </w:rPr>
        <w:t>con</w:t>
      </w:r>
      <w:r>
        <w:rPr>
          <w:color w:val="231F20"/>
          <w:spacing w:val="-18"/>
          <w:w w:val="110"/>
          <w:sz w:val="18"/>
        </w:rPr>
        <w:t> </w:t>
      </w:r>
      <w:r>
        <w:rPr>
          <w:color w:val="231F20"/>
          <w:w w:val="110"/>
          <w:sz w:val="18"/>
        </w:rPr>
        <w:t>las</w:t>
      </w:r>
      <w:r>
        <w:rPr>
          <w:color w:val="231F20"/>
          <w:spacing w:val="-18"/>
          <w:w w:val="110"/>
          <w:sz w:val="18"/>
        </w:rPr>
        <w:t> </w:t>
      </w:r>
      <w:r>
        <w:rPr>
          <w:color w:val="231F20"/>
          <w:w w:val="110"/>
          <w:sz w:val="18"/>
        </w:rPr>
        <w:t>revisiones</w:t>
      </w:r>
      <w:r>
        <w:rPr>
          <w:color w:val="231F20"/>
          <w:spacing w:val="-18"/>
          <w:w w:val="110"/>
          <w:sz w:val="18"/>
        </w:rPr>
        <w:t> </w:t>
      </w:r>
      <w:r>
        <w:rPr>
          <w:color w:val="231F20"/>
          <w:w w:val="110"/>
          <w:sz w:val="18"/>
        </w:rPr>
        <w:t>al</w:t>
      </w:r>
      <w:r>
        <w:rPr>
          <w:color w:val="231F20"/>
          <w:spacing w:val="-18"/>
          <w:w w:val="110"/>
          <w:sz w:val="18"/>
        </w:rPr>
        <w:t> </w:t>
      </w:r>
      <w:r>
        <w:rPr>
          <w:color w:val="231F20"/>
          <w:w w:val="110"/>
          <w:sz w:val="18"/>
        </w:rPr>
        <w:t>17</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agosto</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2009,</w:t>
      </w:r>
      <w:r>
        <w:rPr>
          <w:color w:val="231F20"/>
          <w:spacing w:val="-18"/>
          <w:w w:val="110"/>
          <w:sz w:val="18"/>
        </w:rPr>
        <w:t> </w:t>
      </w:r>
      <w:hyperlink r:id="rId80">
        <w:r>
          <w:rPr>
            <w:color w:val="231F20"/>
            <w:w w:val="110"/>
            <w:sz w:val="18"/>
          </w:rPr>
          <w:t>&lt;www.bea.gov&gt;.</w:t>
        </w:r>
      </w:hyperlink>
    </w:p>
    <w:p>
      <w:pPr>
        <w:spacing w:after="0" w:line="276" w:lineRule="auto"/>
        <w:jc w:val="left"/>
        <w:rPr>
          <w:sz w:val="18"/>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Estas</w:t>
      </w:r>
      <w:r>
        <w:rPr>
          <w:color w:val="231F20"/>
          <w:spacing w:val="-25"/>
          <w:w w:val="110"/>
        </w:rPr>
        <w:t> </w:t>
      </w:r>
      <w:r>
        <w:rPr>
          <w:color w:val="231F20"/>
          <w:w w:val="110"/>
        </w:rPr>
        <w:t>ganancias</w:t>
      </w:r>
      <w:r>
        <w:rPr>
          <w:color w:val="231F20"/>
          <w:spacing w:val="-25"/>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exterior</w:t>
      </w:r>
      <w:r>
        <w:rPr>
          <w:color w:val="231F20"/>
          <w:spacing w:val="-25"/>
          <w:w w:val="110"/>
        </w:rPr>
        <w:t> </w:t>
      </w:r>
      <w:r>
        <w:rPr>
          <w:color w:val="231F20"/>
          <w:w w:val="110"/>
        </w:rPr>
        <w:t>en</w:t>
      </w:r>
      <w:r>
        <w:rPr>
          <w:color w:val="231F20"/>
          <w:spacing w:val="-25"/>
          <w:w w:val="110"/>
        </w:rPr>
        <w:t> </w:t>
      </w:r>
      <w:r>
        <w:rPr>
          <w:color w:val="231F20"/>
          <w:w w:val="110"/>
        </w:rPr>
        <w:t>los</w:t>
      </w:r>
      <w:r>
        <w:rPr>
          <w:color w:val="231F20"/>
          <w:spacing w:val="-25"/>
          <w:w w:val="110"/>
        </w:rPr>
        <w:t> </w:t>
      </w:r>
      <w:r>
        <w:rPr>
          <w:color w:val="231F20"/>
          <w:w w:val="110"/>
        </w:rPr>
        <w:t>últimos</w:t>
      </w:r>
      <w:r>
        <w:rPr>
          <w:color w:val="231F20"/>
          <w:spacing w:val="-25"/>
          <w:w w:val="110"/>
        </w:rPr>
        <w:t> </w:t>
      </w:r>
      <w:r>
        <w:rPr>
          <w:color w:val="231F20"/>
          <w:w w:val="110"/>
        </w:rPr>
        <w:t>años</w:t>
      </w:r>
      <w:r>
        <w:rPr>
          <w:color w:val="231F20"/>
          <w:spacing w:val="-25"/>
          <w:w w:val="110"/>
        </w:rPr>
        <w:t> </w:t>
      </w:r>
      <w:r>
        <w:rPr>
          <w:color w:val="231F20"/>
          <w:w w:val="110"/>
        </w:rPr>
        <w:t>son</w:t>
      </w:r>
      <w:r>
        <w:rPr>
          <w:color w:val="231F20"/>
          <w:spacing w:val="-25"/>
          <w:w w:val="110"/>
        </w:rPr>
        <w:t> </w:t>
      </w:r>
      <w:r>
        <w:rPr>
          <w:color w:val="231F20"/>
          <w:w w:val="110"/>
        </w:rPr>
        <w:t>tan</w:t>
      </w:r>
      <w:r>
        <w:rPr>
          <w:color w:val="231F20"/>
          <w:spacing w:val="-25"/>
          <w:w w:val="110"/>
        </w:rPr>
        <w:t> </w:t>
      </w:r>
      <w:r>
        <w:rPr>
          <w:color w:val="231F20"/>
          <w:w w:val="110"/>
        </w:rPr>
        <w:t>significativas si se compara con los planes iniciales de rescate de Estados Unidos que fueron en torno a los 700 millones de </w:t>
      </w:r>
      <w:r>
        <w:rPr>
          <w:color w:val="231F20"/>
          <w:spacing w:val="51"/>
          <w:w w:val="110"/>
        </w:rPr>
        <w:t> </w:t>
      </w:r>
      <w:r>
        <w:rPr>
          <w:color w:val="231F20"/>
          <w:w w:val="110"/>
        </w:rPr>
        <w:t>dólares.</w:t>
      </w:r>
    </w:p>
    <w:p>
      <w:pPr>
        <w:pStyle w:val="BodyText"/>
      </w:pPr>
    </w:p>
    <w:p>
      <w:pPr>
        <w:pStyle w:val="BodyText"/>
      </w:pPr>
    </w:p>
    <w:p>
      <w:pPr>
        <w:pStyle w:val="BodyText"/>
        <w:spacing w:before="2"/>
        <w:rPr>
          <w:sz w:val="25"/>
        </w:rPr>
      </w:pPr>
    </w:p>
    <w:p>
      <w:pPr>
        <w:pStyle w:val="BodyText"/>
        <w:spacing w:line="261" w:lineRule="auto"/>
        <w:ind w:left="100" w:right="830"/>
      </w:pPr>
      <w:r>
        <w:rPr>
          <w:color w:val="231F20"/>
          <w:w w:val="125"/>
        </w:rPr>
        <w:t>estados unidos: las ganancias recibidas del exterior como porcentajes de las ganancias en estados unidos</w:t>
      </w:r>
    </w:p>
    <w:p>
      <w:pPr>
        <w:pStyle w:val="BodyText"/>
        <w:spacing w:before="8"/>
        <w:rPr>
          <w:sz w:val="21"/>
        </w:rPr>
      </w:pPr>
    </w:p>
    <w:p>
      <w:pPr>
        <w:pStyle w:val="BodyText"/>
        <w:spacing w:line="261" w:lineRule="auto"/>
        <w:ind w:left="100" w:right="117"/>
        <w:jc w:val="both"/>
      </w:pPr>
      <w:r>
        <w:rPr>
          <w:color w:val="231F20"/>
          <w:w w:val="110"/>
        </w:rPr>
        <w:t>Las</w:t>
      </w:r>
      <w:r>
        <w:rPr>
          <w:color w:val="231F20"/>
          <w:spacing w:val="-8"/>
          <w:w w:val="110"/>
        </w:rPr>
        <w:t> </w:t>
      </w:r>
      <w:r>
        <w:rPr>
          <w:color w:val="231F20"/>
          <w:w w:val="110"/>
        </w:rPr>
        <w:t>ganancias</w:t>
      </w:r>
      <w:r>
        <w:rPr>
          <w:color w:val="231F20"/>
          <w:spacing w:val="-8"/>
          <w:w w:val="110"/>
        </w:rPr>
        <w:t> </w:t>
      </w:r>
      <w:r>
        <w:rPr>
          <w:color w:val="231F20"/>
          <w:w w:val="110"/>
        </w:rPr>
        <w:t>recibidas</w:t>
      </w:r>
      <w:r>
        <w:rPr>
          <w:color w:val="231F20"/>
          <w:spacing w:val="-8"/>
          <w:w w:val="110"/>
        </w:rPr>
        <w:t> </w:t>
      </w:r>
      <w:r>
        <w:rPr>
          <w:color w:val="231F20"/>
          <w:w w:val="110"/>
        </w:rPr>
        <w:t>desde</w:t>
      </w:r>
      <w:r>
        <w:rPr>
          <w:color w:val="231F20"/>
          <w:spacing w:val="-8"/>
          <w:w w:val="110"/>
        </w:rPr>
        <w:t> </w:t>
      </w:r>
      <w:r>
        <w:rPr>
          <w:color w:val="231F20"/>
          <w:w w:val="110"/>
        </w:rPr>
        <w:t>el</w:t>
      </w:r>
      <w:r>
        <w:rPr>
          <w:color w:val="231F20"/>
          <w:spacing w:val="-8"/>
          <w:w w:val="110"/>
        </w:rPr>
        <w:t> </w:t>
      </w:r>
      <w:r>
        <w:rPr>
          <w:color w:val="231F20"/>
          <w:w w:val="110"/>
        </w:rPr>
        <w:t>exterior</w:t>
      </w:r>
      <w:r>
        <w:rPr>
          <w:color w:val="231F20"/>
          <w:spacing w:val="-8"/>
          <w:w w:val="110"/>
        </w:rPr>
        <w:t> </w:t>
      </w:r>
      <w:r>
        <w:rPr>
          <w:color w:val="231F20"/>
          <w:w w:val="110"/>
        </w:rPr>
        <w:t>entre</w:t>
      </w:r>
      <w:r>
        <w:rPr>
          <w:color w:val="231F20"/>
          <w:spacing w:val="-8"/>
          <w:w w:val="110"/>
        </w:rPr>
        <w:t> </w:t>
      </w:r>
      <w:r>
        <w:rPr>
          <w:color w:val="231F20"/>
          <w:w w:val="110"/>
        </w:rPr>
        <w:t>1950</w:t>
      </w:r>
      <w:r>
        <w:rPr>
          <w:color w:val="231F20"/>
          <w:spacing w:val="-8"/>
          <w:w w:val="110"/>
        </w:rPr>
        <w:t> </w:t>
      </w:r>
      <w:r>
        <w:rPr>
          <w:color w:val="231F20"/>
          <w:w w:val="110"/>
        </w:rPr>
        <w:t>y</w:t>
      </w:r>
      <w:r>
        <w:rPr>
          <w:color w:val="231F20"/>
          <w:spacing w:val="-8"/>
          <w:w w:val="110"/>
        </w:rPr>
        <w:t> </w:t>
      </w:r>
      <w:r>
        <w:rPr>
          <w:color w:val="231F20"/>
          <w:w w:val="110"/>
        </w:rPr>
        <w:t>1965</w:t>
      </w:r>
      <w:r>
        <w:rPr>
          <w:color w:val="231F20"/>
          <w:spacing w:val="-8"/>
          <w:w w:val="110"/>
        </w:rPr>
        <w:t> </w:t>
      </w:r>
      <w:r>
        <w:rPr>
          <w:color w:val="231F20"/>
          <w:w w:val="110"/>
        </w:rPr>
        <w:t>eran</w:t>
      </w:r>
      <w:r>
        <w:rPr>
          <w:color w:val="231F20"/>
          <w:spacing w:val="-8"/>
          <w:w w:val="110"/>
        </w:rPr>
        <w:t> </w:t>
      </w:r>
      <w:r>
        <w:rPr>
          <w:color w:val="231F20"/>
          <w:w w:val="110"/>
        </w:rPr>
        <w:t>me- nores a 8% en relación con las ganancias obtenidas por las</w:t>
      </w:r>
      <w:r>
        <w:rPr>
          <w:color w:val="231F20"/>
          <w:spacing w:val="-18"/>
          <w:w w:val="110"/>
        </w:rPr>
        <w:t> </w:t>
      </w:r>
      <w:r>
        <w:rPr>
          <w:color w:val="231F20"/>
          <w:w w:val="110"/>
        </w:rPr>
        <w:t>empresas en Estados Unidos. En el primer decenio del siglo xxi, superan el 30%.</w:t>
      </w:r>
      <w:r>
        <w:rPr>
          <w:color w:val="231F20"/>
          <w:spacing w:val="-12"/>
          <w:w w:val="110"/>
        </w:rPr>
        <w:t> </w:t>
      </w:r>
      <w:r>
        <w:rPr>
          <w:color w:val="231F20"/>
          <w:w w:val="110"/>
        </w:rPr>
        <w:t>En</w:t>
      </w:r>
      <w:r>
        <w:rPr>
          <w:color w:val="231F20"/>
          <w:spacing w:val="-12"/>
          <w:w w:val="110"/>
        </w:rPr>
        <w:t> </w:t>
      </w:r>
      <w:r>
        <w:rPr>
          <w:color w:val="231F20"/>
          <w:w w:val="110"/>
        </w:rPr>
        <w:t>2007,</w:t>
      </w:r>
      <w:r>
        <w:rPr>
          <w:color w:val="231F20"/>
          <w:spacing w:val="-12"/>
          <w:w w:val="110"/>
        </w:rPr>
        <w:t> </w:t>
      </w:r>
      <w:r>
        <w:rPr>
          <w:color w:val="231F20"/>
          <w:w w:val="110"/>
        </w:rPr>
        <w:t>aumentan</w:t>
      </w:r>
      <w:r>
        <w:rPr>
          <w:color w:val="231F20"/>
          <w:spacing w:val="-12"/>
          <w:w w:val="110"/>
        </w:rPr>
        <w:t> </w:t>
      </w:r>
      <w:r>
        <w:rPr>
          <w:color w:val="231F20"/>
          <w:w w:val="110"/>
        </w:rPr>
        <w:t>a</w:t>
      </w:r>
      <w:r>
        <w:rPr>
          <w:color w:val="231F20"/>
          <w:spacing w:val="-12"/>
          <w:w w:val="110"/>
        </w:rPr>
        <w:t> </w:t>
      </w:r>
      <w:r>
        <w:rPr>
          <w:color w:val="231F20"/>
          <w:w w:val="110"/>
        </w:rPr>
        <w:t>42.3%</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w w:val="110"/>
        </w:rPr>
        <w:t>2008,</w:t>
      </w:r>
      <w:r>
        <w:rPr>
          <w:color w:val="231F20"/>
          <w:spacing w:val="-12"/>
          <w:w w:val="110"/>
        </w:rPr>
        <w:t> </w:t>
      </w:r>
      <w:r>
        <w:rPr>
          <w:color w:val="231F20"/>
          <w:w w:val="110"/>
        </w:rPr>
        <w:t>las</w:t>
      </w:r>
      <w:r>
        <w:rPr>
          <w:color w:val="231F20"/>
          <w:spacing w:val="-12"/>
          <w:w w:val="110"/>
        </w:rPr>
        <w:t> </w:t>
      </w:r>
      <w:r>
        <w:rPr>
          <w:color w:val="231F20"/>
          <w:w w:val="110"/>
        </w:rPr>
        <w:t>ganancias</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em- presas</w:t>
      </w:r>
      <w:r>
        <w:rPr>
          <w:color w:val="231F20"/>
          <w:spacing w:val="-21"/>
          <w:w w:val="110"/>
        </w:rPr>
        <w:t> </w:t>
      </w:r>
      <w:r>
        <w:rPr>
          <w:color w:val="231F20"/>
          <w:w w:val="110"/>
        </w:rPr>
        <w:t>estadunidenses</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exterior,</w:t>
      </w:r>
      <w:r>
        <w:rPr>
          <w:color w:val="231F20"/>
          <w:spacing w:val="-21"/>
          <w:w w:val="110"/>
        </w:rPr>
        <w:t> </w:t>
      </w:r>
      <w:r>
        <w:rPr>
          <w:color w:val="231F20"/>
          <w:w w:val="110"/>
        </w:rPr>
        <w:t>equivalen</w:t>
      </w:r>
      <w:r>
        <w:rPr>
          <w:color w:val="231F20"/>
          <w:spacing w:val="-21"/>
          <w:w w:val="110"/>
        </w:rPr>
        <w:t> </w:t>
      </w:r>
      <w:r>
        <w:rPr>
          <w:color w:val="231F20"/>
          <w:w w:val="110"/>
        </w:rPr>
        <w:t>a</w:t>
      </w:r>
      <w:r>
        <w:rPr>
          <w:color w:val="231F20"/>
          <w:spacing w:val="-21"/>
          <w:w w:val="110"/>
        </w:rPr>
        <w:t> </w:t>
      </w:r>
      <w:r>
        <w:rPr>
          <w:color w:val="231F20"/>
          <w:w w:val="110"/>
        </w:rPr>
        <w:t>55%</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ganancias de las empresas en Estados Unidos (gráfica</w:t>
      </w:r>
      <w:r>
        <w:rPr>
          <w:color w:val="231F20"/>
          <w:spacing w:val="25"/>
          <w:w w:val="110"/>
        </w:rPr>
        <w:t> </w:t>
      </w:r>
      <w:r>
        <w:rPr>
          <w:color w:val="231F20"/>
          <w:w w:val="110"/>
        </w:rPr>
        <w:t>6).</w:t>
      </w:r>
    </w:p>
    <w:p>
      <w:pPr>
        <w:pStyle w:val="BodyText"/>
        <w:spacing w:before="2"/>
        <w:rPr>
          <w:sz w:val="24"/>
        </w:rPr>
      </w:pPr>
    </w:p>
    <w:p>
      <w:pPr>
        <w:spacing w:line="290" w:lineRule="auto" w:before="0"/>
        <w:ind w:left="100" w:right="129" w:firstLine="0"/>
        <w:jc w:val="both"/>
        <w:rPr>
          <w:sz w:val="18"/>
        </w:rPr>
      </w:pPr>
      <w:r>
        <w:rPr>
          <w:color w:val="231F20"/>
          <w:w w:val="125"/>
          <w:sz w:val="18"/>
        </w:rPr>
        <w:t>gráfica 6. las ganancias recibidas del exterior como porcentajes de las ganancias en estados unidos (%).</w:t>
      </w:r>
    </w:p>
    <w:p>
      <w:pPr>
        <w:spacing w:before="90"/>
        <w:ind w:left="919" w:right="25" w:firstLine="0"/>
        <w:jc w:val="left"/>
        <w:rPr>
          <w:sz w:val="16"/>
        </w:rPr>
      </w:pPr>
      <w:r>
        <w:rPr>
          <w:color w:val="231F20"/>
          <w:w w:val="125"/>
          <w:sz w:val="16"/>
        </w:rPr>
        <w:t>porcentaje de ganancias recibidas / ganancias en estados unidos</w:t>
      </w:r>
    </w:p>
    <w:p>
      <w:pPr>
        <w:spacing w:before="56"/>
        <w:ind w:left="113" w:right="5479" w:firstLine="0"/>
        <w:jc w:val="center"/>
        <w:rPr>
          <w:sz w:val="16"/>
        </w:rPr>
      </w:pPr>
      <w:r>
        <w:rPr/>
        <w:pict>
          <v:group style="position:absolute;margin-left:68.150002pt;margin-top:6.556052pt;width:269.75pt;height:86.1pt;mso-position-horizontal-relative:page;mso-position-vertical-relative:paragraph;z-index:-354472" coordorigin="1363,131" coordsize="5395,1722">
            <v:line style="position:absolute" from="1399,172" to="6753,172" stroked="true" strokeweight=".5pt" strokecolor="#a7a9ac"/>
            <v:shape style="position:absolute;left:0;top:6059;width:5354;height:2" coordorigin="0,6059" coordsize="5354,0" path="m6709,451l6753,451m1399,451l6429,451e" filled="false" stroked="true" strokeweight=".5pt" strokecolor="#a7a9ac">
              <v:path arrowok="t"/>
            </v:shape>
            <v:shape style="position:absolute;left:0;top:6059;width:5354;height:2" coordorigin="0,6059" coordsize="5354,0" path="m6709,730l6753,730m6351,730l6429,730m1399,730l6071,730e" filled="false" stroked="true" strokeweight=".5pt" strokecolor="#a7a9ac">
              <v:path arrowok="t"/>
            </v:shape>
            <v:shape style="position:absolute;left:0;top:6059;width:5030;height:2" coordorigin="0,6059" coordsize="5030,0" path="m6351,1009l6429,1009m5993,1009l6071,1009m5635,1009l5713,1009m1399,1009l5355,1009e" filled="false" stroked="true" strokeweight=".5pt" strokecolor="#a7a9ac">
              <v:path arrowok="t"/>
            </v:shape>
            <v:shape style="position:absolute;left:0;top:6059;width:3957;height:2" coordorigin="0,6059" coordsize="3957,0" path="m5277,1288l5355,1288m4562,1288l4997,1288m3846,1288l4282,1288m1399,1288l3566,1288e" filled="false" stroked="true" strokeweight=".5pt" strokecolor="#a7a9ac">
              <v:path arrowok="t"/>
            </v:shape>
            <v:shape style="position:absolute;left:0;top:6059;width:2525;height:2" coordorigin="0,6059" coordsize="2525,0" path="m3846,1567l3924,1567m3488,1567l3566,1567m3130,1567l3208,1567m1399,1567l2850,1567e" filled="false" stroked="true" strokeweight=".5pt" strokecolor="#a7a9ac">
              <v:path arrowok="t"/>
            </v:shape>
            <v:line style="position:absolute" from="1399,1846" to="6753,1846" stroked="true" strokeweight=".5pt" strokecolor="#a7a9ac"/>
            <v:shape style="position:absolute;left:1431;top:1092;width:2416;height:758" coordorigin="1431,1092" coordsize="2416,758" path="m1711,1690l1431,1690,1431,1849,1711,1849,1711,1690m2057,1657l1777,1657,1777,1846,2057,1846,2057,1657m2414,1628l2134,1628,2134,1846,2414,1846,2414,1628m2772,1643l2492,1643,2492,1846,2772,1846,2772,1643m3130,1513l2850,1513,2850,1846,3130,1846,3130,1513m3488,1411l3208,1411,3208,1846,3488,1846,3488,1411m3846,1092l3566,1092,3566,1846,3846,1846,3846,1092e" filled="true" fillcolor="#808285" stroked="false">
              <v:path arrowok="t"/>
              <v:fill type="solid"/>
            </v:shape>
            <v:line style="position:absolute" from="4204,1567" to="4282,1567" stroked="true" strokeweight=".5pt" strokecolor="#a7a9ac"/>
            <v:rect style="position:absolute;left:3924;top:1397;width:280;height:449" filled="true" fillcolor="#808285" stroked="false">
              <v:fill type="solid"/>
            </v:rect>
            <v:line style="position:absolute" from="4562,1567" to="4639,1567" stroked="true" strokeweight=".5pt" strokecolor="#a7a9ac"/>
            <v:rect style="position:absolute;left:4282;top:1208;width:280;height:638" filled="true" fillcolor="#808285" stroked="false">
              <v:fill type="solid"/>
            </v:rect>
            <v:line style="position:absolute" from="4919,1567" to="4997,1567" stroked="true" strokeweight=".5pt" strokecolor="#a7a9ac"/>
            <v:rect style="position:absolute;left:4639;top:1266;width:280;height:580" filled="true" fillcolor="#808285" stroked="false">
              <v:fill type="solid"/>
            </v:rect>
            <v:line style="position:absolute" from="5277,1567" to="5355,1567" stroked="true" strokeweight=".5pt" strokecolor="#a7a9ac"/>
            <v:rect style="position:absolute;left:4997;top:1005;width:280;height:841" filled="true" fillcolor="#808285" stroked="false">
              <v:fill type="solid"/>
            </v:rect>
            <v:line style="position:absolute" from="5635,1288" to="5713,1288" stroked="true" strokeweight=".5pt" strokecolor="#a7a9ac"/>
            <v:line style="position:absolute" from="5635,1567" to="5713,1567" stroked="true" strokeweight=".5pt" strokecolor="#a7a9ac"/>
            <v:rect style="position:absolute;left:5355;top:962;width:280;height:884" filled="true" fillcolor="#808285" stroked="false">
              <v:fill type="solid"/>
            </v:rect>
            <v:line style="position:absolute" from="5993,1288" to="6071,1288" stroked="true" strokeweight=".5pt" strokecolor="#a7a9ac"/>
            <v:line style="position:absolute" from="5993,1567" to="6071,1567" stroked="true" strokeweight=".5pt" strokecolor="#a7a9ac"/>
            <v:rect style="position:absolute;left:5713;top:947;width:280;height:899" filled="true" fillcolor="#808285" stroked="false">
              <v:fill type="solid"/>
            </v:rect>
            <v:line style="position:absolute" from="6351,1288" to="6429,1288" stroked="true" strokeweight=".5pt" strokecolor="#a7a9ac"/>
            <v:line style="position:absolute" from="6351,1567" to="6429,1567" stroked="true" strokeweight=".5pt" strokecolor="#a7a9ac"/>
            <v:rect style="position:absolute;left:6071;top:658;width:280;height:1188" filled="true" fillcolor="#808285" stroked="false">
              <v:fill type="solid"/>
            </v:rect>
            <v:line style="position:absolute" from="6709,1009" to="6753,1009" stroked="true" strokeweight=".5pt" strokecolor="#a7a9ac"/>
            <v:line style="position:absolute" from="6709,1288" to="6753,1288" stroked="true" strokeweight=".5pt" strokecolor="#a7a9ac"/>
            <v:line style="position:absolute" from="6709,1567" to="6753,1567" stroked="true" strokeweight=".5pt" strokecolor="#a7a9ac"/>
            <v:rect style="position:absolute;left:6429;top:295;width:280;height:1551" filled="true" fillcolor="#808285" stroked="false">
              <v:fill type="solid"/>
            </v:rect>
            <v:line style="position:absolute" from="1368,1847" to="1368,167" stroked="true" strokeweight=".5pt" strokecolor="#231f20"/>
            <v:shape style="position:absolute;left:6441;top:131;width:255;height:140" type="#_x0000_t202" filled="false" stroked="false">
              <v:textbox inset="0,0,0,0">
                <w:txbxContent>
                  <w:p>
                    <w:pPr>
                      <w:spacing w:line="138" w:lineRule="exact" w:before="0"/>
                      <w:ind w:left="0" w:right="-10" w:firstLine="0"/>
                      <w:jc w:val="left"/>
                      <w:rPr>
                        <w:sz w:val="14"/>
                      </w:rPr>
                    </w:pPr>
                    <w:r>
                      <w:rPr>
                        <w:color w:val="231F20"/>
                        <w:sz w:val="14"/>
                      </w:rPr>
                      <w:t>55.3</w:t>
                    </w:r>
                  </w:p>
                </w:txbxContent>
              </v:textbox>
              <w10:wrap type="none"/>
            </v:shape>
            <v:shape style="position:absolute;left:6087;top:491;width:255;height:140" type="#_x0000_t202" filled="false" stroked="false">
              <v:textbox inset="0,0,0,0">
                <w:txbxContent>
                  <w:p>
                    <w:pPr>
                      <w:spacing w:line="138" w:lineRule="exact" w:before="0"/>
                      <w:ind w:left="0" w:right="-10" w:firstLine="0"/>
                      <w:jc w:val="left"/>
                      <w:rPr>
                        <w:sz w:val="14"/>
                      </w:rPr>
                    </w:pPr>
                    <w:r>
                      <w:rPr>
                        <w:color w:val="231F20"/>
                        <w:sz w:val="14"/>
                      </w:rPr>
                      <w:t>42.3</w:t>
                    </w:r>
                  </w:p>
                </w:txbxContent>
              </v:textbox>
              <w10:wrap type="none"/>
            </v:shape>
            <v:shape style="position:absolute;left:5361;top:785;width:615;height:154" type="#_x0000_t202" filled="false" stroked="false">
              <v:textbox inset="0,0,0,0">
                <w:txbxContent>
                  <w:p>
                    <w:pPr>
                      <w:spacing w:line="152" w:lineRule="exact" w:before="0"/>
                      <w:ind w:left="0" w:right="0" w:firstLine="0"/>
                      <w:jc w:val="left"/>
                      <w:rPr>
                        <w:sz w:val="14"/>
                      </w:rPr>
                    </w:pPr>
                    <w:r>
                      <w:rPr>
                        <w:color w:val="231F20"/>
                        <w:w w:val="105"/>
                        <w:sz w:val="14"/>
                      </w:rPr>
                      <w:t>31.6  </w:t>
                    </w:r>
                    <w:r>
                      <w:rPr>
                        <w:color w:val="231F20"/>
                        <w:w w:val="105"/>
                        <w:position w:val="1"/>
                        <w:sz w:val="14"/>
                      </w:rPr>
                      <w:t>32.1</w:t>
                    </w:r>
                  </w:p>
                </w:txbxContent>
              </v:textbox>
              <w10:wrap type="none"/>
            </v:shape>
            <v:shape style="position:absolute;left:3579;top:919;width:255;height:140" type="#_x0000_t202" filled="false" stroked="false">
              <v:textbox inset="0,0,0,0">
                <w:txbxContent>
                  <w:p>
                    <w:pPr>
                      <w:spacing w:line="138" w:lineRule="exact" w:before="0"/>
                      <w:ind w:left="0" w:right="-10" w:firstLine="0"/>
                      <w:jc w:val="left"/>
                      <w:rPr>
                        <w:sz w:val="14"/>
                      </w:rPr>
                    </w:pPr>
                    <w:r>
                      <w:rPr>
                        <w:color w:val="231F20"/>
                        <w:sz w:val="14"/>
                      </w:rPr>
                      <w:t>26.4</w:t>
                    </w:r>
                  </w:p>
                </w:txbxContent>
              </v:textbox>
              <w10:wrap type="none"/>
            </v:shape>
            <v:shape style="position:absolute;left:5007;top:839;width:255;height:140" type="#_x0000_t202" filled="false" stroked="false">
              <v:textbox inset="0,0,0,0">
                <w:txbxContent>
                  <w:p>
                    <w:pPr>
                      <w:spacing w:line="138" w:lineRule="exact" w:before="0"/>
                      <w:ind w:left="0" w:right="-10" w:firstLine="0"/>
                      <w:jc w:val="left"/>
                      <w:rPr>
                        <w:sz w:val="14"/>
                      </w:rPr>
                    </w:pPr>
                    <w:r>
                      <w:rPr>
                        <w:color w:val="231F20"/>
                        <w:sz w:val="14"/>
                      </w:rPr>
                      <w:t>30.1</w:t>
                    </w:r>
                  </w:p>
                </w:txbxContent>
              </v:textbox>
              <w10:wrap type="none"/>
            </v:shape>
            <v:shape style="position:absolute;left:4291;top:1039;width:255;height:140" type="#_x0000_t202" filled="false" stroked="false">
              <v:textbox inset="0,0,0,0">
                <w:txbxContent>
                  <w:p>
                    <w:pPr>
                      <w:spacing w:line="138" w:lineRule="exact" w:before="0"/>
                      <w:ind w:left="0" w:right="-10" w:firstLine="0"/>
                      <w:jc w:val="left"/>
                      <w:rPr>
                        <w:sz w:val="14"/>
                      </w:rPr>
                    </w:pPr>
                    <w:r>
                      <w:rPr>
                        <w:color w:val="231F20"/>
                        <w:sz w:val="14"/>
                      </w:rPr>
                      <w:t>22.6</w:t>
                    </w:r>
                  </w:p>
                </w:txbxContent>
              </v:textbox>
              <w10:wrap type="none"/>
            </v:shape>
            <v:shape style="position:absolute;left:4651;top:1097;width:255;height:140" type="#_x0000_t202" filled="false" stroked="false">
              <v:textbox inset="0,0,0,0">
                <w:txbxContent>
                  <w:p>
                    <w:pPr>
                      <w:spacing w:line="138" w:lineRule="exact" w:before="0"/>
                      <w:ind w:left="0" w:right="-10" w:firstLine="0"/>
                      <w:jc w:val="left"/>
                      <w:rPr>
                        <w:sz w:val="14"/>
                      </w:rPr>
                    </w:pPr>
                    <w:r>
                      <w:rPr>
                        <w:color w:val="231F20"/>
                        <w:sz w:val="14"/>
                      </w:rPr>
                      <w:t>20.4</w:t>
                    </w:r>
                  </w:p>
                </w:txbxContent>
              </v:textbox>
              <w10:wrap type="none"/>
            </v:shape>
            <v:shape style="position:absolute;left:3219;top:1239;width:255;height:140" type="#_x0000_t202" filled="false" stroked="false">
              <v:textbox inset="0,0,0,0">
                <w:txbxContent>
                  <w:p>
                    <w:pPr>
                      <w:spacing w:line="138" w:lineRule="exact" w:before="0"/>
                      <w:ind w:left="0" w:right="-10" w:firstLine="0"/>
                      <w:jc w:val="left"/>
                      <w:rPr>
                        <w:sz w:val="14"/>
                      </w:rPr>
                    </w:pPr>
                    <w:r>
                      <w:rPr>
                        <w:color w:val="231F20"/>
                        <w:sz w:val="14"/>
                      </w:rPr>
                      <w:t>15.2</w:t>
                    </w:r>
                  </w:p>
                </w:txbxContent>
              </v:textbox>
              <w10:wrap type="none"/>
            </v:shape>
            <v:shape style="position:absolute;left:3939;top:1229;width:255;height:140" type="#_x0000_t202" filled="false" stroked="false">
              <v:textbox inset="0,0,0,0">
                <w:txbxContent>
                  <w:p>
                    <w:pPr>
                      <w:spacing w:line="138" w:lineRule="exact" w:before="0"/>
                      <w:ind w:left="0" w:right="-10" w:firstLine="0"/>
                      <w:jc w:val="left"/>
                      <w:rPr>
                        <w:sz w:val="14"/>
                      </w:rPr>
                    </w:pPr>
                    <w:r>
                      <w:rPr>
                        <w:color w:val="231F20"/>
                        <w:sz w:val="14"/>
                      </w:rPr>
                      <w:t>15.9</w:t>
                    </w:r>
                  </w:p>
                </w:txbxContent>
              </v:textbox>
              <w10:wrap type="none"/>
            </v:shape>
            <v:shape style="position:absolute;left:2865;top:1343;width:255;height:140" type="#_x0000_t202" filled="false" stroked="false">
              <v:textbox inset="0,0,0,0">
                <w:txbxContent>
                  <w:p>
                    <w:pPr>
                      <w:spacing w:line="138" w:lineRule="exact" w:before="0"/>
                      <w:ind w:left="0" w:right="-10" w:firstLine="0"/>
                      <w:jc w:val="left"/>
                      <w:rPr>
                        <w:sz w:val="14"/>
                      </w:rPr>
                    </w:pPr>
                    <w:r>
                      <w:rPr>
                        <w:color w:val="231F20"/>
                        <w:sz w:val="14"/>
                      </w:rPr>
                      <w:t>11.5</w:t>
                    </w:r>
                  </w:p>
                </w:txbxContent>
              </v:textbox>
              <w10:wrap type="none"/>
            </v:shape>
            <v:shape style="position:absolute;left:1480;top:1523;width:182;height:140" type="#_x0000_t202" filled="false" stroked="false">
              <v:textbox inset="0,0,0,0">
                <w:txbxContent>
                  <w:p>
                    <w:pPr>
                      <w:spacing w:line="138" w:lineRule="exact" w:before="0"/>
                      <w:ind w:left="0" w:right="-13" w:firstLine="0"/>
                      <w:jc w:val="left"/>
                      <w:rPr>
                        <w:sz w:val="14"/>
                      </w:rPr>
                    </w:pPr>
                    <w:r>
                      <w:rPr>
                        <w:color w:val="231F20"/>
                        <w:sz w:val="14"/>
                      </w:rPr>
                      <w:t>5.2</w:t>
                    </w:r>
                  </w:p>
                </w:txbxContent>
              </v:textbox>
              <w10:wrap type="none"/>
            </v:shape>
            <v:shape style="position:absolute;left:1828;top:1493;width:182;height:140" type="#_x0000_t202" filled="false" stroked="false">
              <v:textbox inset="0,0,0,0">
                <w:txbxContent>
                  <w:p>
                    <w:pPr>
                      <w:spacing w:line="138" w:lineRule="exact" w:before="0"/>
                      <w:ind w:left="0" w:right="-13" w:firstLine="0"/>
                      <w:jc w:val="left"/>
                      <w:rPr>
                        <w:sz w:val="14"/>
                      </w:rPr>
                    </w:pPr>
                    <w:r>
                      <w:rPr>
                        <w:color w:val="231F20"/>
                        <w:sz w:val="14"/>
                      </w:rPr>
                      <w:t>6.2</w:t>
                    </w:r>
                  </w:p>
                </w:txbxContent>
              </v:textbox>
              <w10:wrap type="none"/>
            </v:shape>
            <v:shape style="position:absolute;left:2182;top:1463;width:542;height:153" type="#_x0000_t202" filled="false" stroked="false">
              <v:textbox inset="0,0,0,0">
                <w:txbxContent>
                  <w:p>
                    <w:pPr>
                      <w:spacing w:line="150" w:lineRule="exact" w:before="0"/>
                      <w:ind w:left="0" w:right="0" w:firstLine="0"/>
                      <w:jc w:val="left"/>
                      <w:rPr>
                        <w:sz w:val="14"/>
                      </w:rPr>
                    </w:pPr>
                    <w:r>
                      <w:rPr>
                        <w:color w:val="231F20"/>
                        <w:w w:val="105"/>
                        <w:position w:val="1"/>
                        <w:sz w:val="14"/>
                      </w:rPr>
                      <w:t>7.6    </w:t>
                    </w:r>
                    <w:r>
                      <w:rPr>
                        <w:color w:val="231F20"/>
                        <w:w w:val="105"/>
                        <w:sz w:val="14"/>
                      </w:rPr>
                      <w:t>7.1</w:t>
                    </w:r>
                  </w:p>
                </w:txbxContent>
              </v:textbox>
              <w10:wrap type="none"/>
            </v:shape>
            <w10:wrap type="none"/>
          </v:group>
        </w:pict>
      </w:r>
      <w:r>
        <w:rPr>
          <w:color w:val="231F20"/>
          <w:w w:val="105"/>
          <w:sz w:val="16"/>
        </w:rPr>
        <w:t>2 600 —</w:t>
      </w:r>
    </w:p>
    <w:p>
      <w:pPr>
        <w:spacing w:before="96"/>
        <w:ind w:left="113" w:right="5479" w:firstLine="0"/>
        <w:jc w:val="center"/>
        <w:rPr>
          <w:sz w:val="16"/>
        </w:rPr>
      </w:pPr>
      <w:r>
        <w:rPr>
          <w:color w:val="231F20"/>
          <w:w w:val="105"/>
          <w:sz w:val="16"/>
        </w:rPr>
        <w:t>2 200 —</w:t>
      </w:r>
    </w:p>
    <w:p>
      <w:pPr>
        <w:spacing w:before="96"/>
        <w:ind w:left="113" w:right="5479" w:firstLine="0"/>
        <w:jc w:val="center"/>
        <w:rPr>
          <w:sz w:val="16"/>
        </w:rPr>
      </w:pPr>
      <w:r>
        <w:rPr>
          <w:color w:val="231F20"/>
          <w:w w:val="105"/>
          <w:sz w:val="16"/>
        </w:rPr>
        <w:t>1 800 —</w:t>
      </w:r>
    </w:p>
    <w:p>
      <w:pPr>
        <w:spacing w:before="96"/>
        <w:ind w:left="113" w:right="5479" w:firstLine="0"/>
        <w:jc w:val="center"/>
        <w:rPr>
          <w:sz w:val="16"/>
        </w:rPr>
      </w:pPr>
      <w:r>
        <w:rPr>
          <w:color w:val="231F20"/>
          <w:w w:val="105"/>
          <w:sz w:val="16"/>
        </w:rPr>
        <w:t>1 400 —</w:t>
      </w:r>
    </w:p>
    <w:p>
      <w:pPr>
        <w:spacing w:before="96"/>
        <w:ind w:left="113" w:right="5479" w:firstLine="0"/>
        <w:jc w:val="center"/>
        <w:rPr>
          <w:sz w:val="16"/>
        </w:rPr>
      </w:pPr>
      <w:r>
        <w:rPr>
          <w:color w:val="231F20"/>
          <w:w w:val="105"/>
          <w:sz w:val="16"/>
        </w:rPr>
        <w:t>1 000 —</w:t>
      </w:r>
    </w:p>
    <w:p>
      <w:pPr>
        <w:spacing w:before="96"/>
        <w:ind w:left="113" w:right="5355" w:firstLine="0"/>
        <w:jc w:val="center"/>
        <w:rPr>
          <w:sz w:val="16"/>
        </w:rPr>
      </w:pPr>
      <w:r>
        <w:rPr>
          <w:color w:val="231F20"/>
          <w:sz w:val="16"/>
        </w:rPr>
        <w:t>600 —</w:t>
      </w:r>
    </w:p>
    <w:p>
      <w:pPr>
        <w:spacing w:before="96"/>
        <w:ind w:left="113" w:right="5355" w:firstLine="0"/>
        <w:jc w:val="center"/>
        <w:rPr>
          <w:sz w:val="16"/>
        </w:rPr>
      </w:pPr>
      <w:r>
        <w:rPr/>
        <w:pict>
          <v:shape style="position:absolute;margin-left:63.909199pt;margin-top:12.944453pt;width:10pt;height:28.75pt;mso-position-horizontal-relative:page;mso-position-vertical-relative:paragraph;z-index:-35444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1950</w:t>
                  </w:r>
                  <w:r>
                    <w:rPr>
                      <w:color w:val="231F20"/>
                      <w:spacing w:val="1"/>
                      <w:sz w:val="16"/>
                    </w:rPr>
                    <w:t> </w:t>
                  </w:r>
                  <w:r>
                    <w:rPr>
                      <w:color w:val="231F20"/>
                      <w:sz w:val="16"/>
                    </w:rPr>
                    <w:t>—</w:t>
                  </w:r>
                </w:p>
              </w:txbxContent>
            </v:textbox>
            <w10:wrap type="none"/>
          </v:shape>
        </w:pict>
      </w:r>
      <w:r>
        <w:rPr/>
        <w:pict>
          <v:shape style="position:absolute;margin-left:81.805199pt;margin-top:12.944453pt;width:10pt;height:28.75pt;mso-position-horizontal-relative:page;mso-position-vertical-relative:paragraph;z-index:292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1955</w:t>
                  </w:r>
                  <w:r>
                    <w:rPr>
                      <w:color w:val="231F20"/>
                      <w:spacing w:val="1"/>
                      <w:sz w:val="16"/>
                    </w:rPr>
                    <w:t> </w:t>
                  </w:r>
                  <w:r>
                    <w:rPr>
                      <w:color w:val="231F20"/>
                      <w:sz w:val="16"/>
                    </w:rPr>
                    <w:t>—</w:t>
                  </w:r>
                </w:p>
              </w:txbxContent>
            </v:textbox>
            <w10:wrap type="none"/>
          </v:shape>
        </w:pict>
      </w:r>
      <w:r>
        <w:rPr/>
        <w:pict>
          <v:shape style="position:absolute;margin-left:99.701202pt;margin-top:12.944453pt;width:10pt;height:28.75pt;mso-position-horizontal-relative:page;mso-position-vertical-relative:paragraph;z-index:294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1960</w:t>
                  </w:r>
                  <w:r>
                    <w:rPr>
                      <w:color w:val="231F20"/>
                      <w:spacing w:val="1"/>
                      <w:sz w:val="16"/>
                    </w:rPr>
                    <w:t> </w:t>
                  </w:r>
                  <w:r>
                    <w:rPr>
                      <w:color w:val="231F20"/>
                      <w:sz w:val="16"/>
                    </w:rPr>
                    <w:t>—</w:t>
                  </w:r>
                </w:p>
              </w:txbxContent>
            </v:textbox>
            <w10:wrap type="none"/>
          </v:shape>
        </w:pict>
      </w:r>
      <w:r>
        <w:rPr/>
        <w:pict>
          <v:shape style="position:absolute;margin-left:117.597198pt;margin-top:12.944453pt;width:10pt;height:28.75pt;mso-position-horizontal-relative:page;mso-position-vertical-relative:paragraph;z-index:29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1965</w:t>
                  </w:r>
                  <w:r>
                    <w:rPr>
                      <w:color w:val="231F20"/>
                      <w:spacing w:val="1"/>
                      <w:sz w:val="16"/>
                    </w:rPr>
                    <w:t> </w:t>
                  </w:r>
                  <w:r>
                    <w:rPr>
                      <w:color w:val="231F20"/>
                      <w:sz w:val="16"/>
                    </w:rPr>
                    <w:t>—</w:t>
                  </w:r>
                </w:p>
              </w:txbxContent>
            </v:textbox>
            <w10:wrap type="none"/>
          </v:shape>
        </w:pict>
      </w:r>
      <w:r>
        <w:rPr/>
        <w:pict>
          <v:shape style="position:absolute;margin-left:135.493195pt;margin-top:12.944452pt;width:10pt;height:26.65pt;mso-position-horizontal-relative:page;mso-position-vertical-relative:paragraph;z-index:2992" type="#_x0000_t202" filled="false" stroked="false">
            <v:textbox inset="0,0,0,0" style="layout-flow:vertical;mso-layout-flow-alt:bottom-to-top">
              <w:txbxContent>
                <w:p>
                  <w:pPr>
                    <w:spacing w:line="178" w:lineRule="exact" w:before="0"/>
                    <w:ind w:left="20" w:right="-333" w:firstLine="0"/>
                    <w:jc w:val="left"/>
                    <w:rPr>
                      <w:sz w:val="16"/>
                    </w:rPr>
                  </w:pPr>
                  <w:r>
                    <w:rPr>
                      <w:color w:val="231F20"/>
                      <w:w w:val="104"/>
                      <w:sz w:val="16"/>
                    </w:rPr>
                    <w:t>1970</w:t>
                  </w:r>
                  <w:r>
                    <w:rPr>
                      <w:color w:val="231F20"/>
                      <w:sz w:val="16"/>
                    </w:rPr>
                    <w:t>—</w:t>
                  </w:r>
                </w:p>
              </w:txbxContent>
            </v:textbox>
            <w10:wrap type="none"/>
          </v:shape>
        </w:pict>
      </w:r>
      <w:r>
        <w:rPr/>
        <w:pict>
          <v:shape style="position:absolute;margin-left:153.389206pt;margin-top:12.944453pt;width:10pt;height:28.75pt;mso-position-horizontal-relative:page;mso-position-vertical-relative:paragraph;z-index:30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1975</w:t>
                  </w:r>
                  <w:r>
                    <w:rPr>
                      <w:color w:val="231F20"/>
                      <w:spacing w:val="1"/>
                      <w:sz w:val="16"/>
                    </w:rPr>
                    <w:t> </w:t>
                  </w:r>
                  <w:r>
                    <w:rPr>
                      <w:color w:val="231F20"/>
                      <w:sz w:val="16"/>
                    </w:rPr>
                    <w:t>—</w:t>
                  </w:r>
                </w:p>
              </w:txbxContent>
            </v:textbox>
            <w10:wrap type="none"/>
          </v:shape>
        </w:pict>
      </w:r>
      <w:r>
        <w:rPr/>
        <w:pict>
          <v:shape style="position:absolute;margin-left:171.285202pt;margin-top:12.944453pt;width:10pt;height:28.75pt;mso-position-horizontal-relative:page;mso-position-vertical-relative:paragraph;z-index:304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189.181198pt;margin-top:12.944453pt;width:10pt;height:28.75pt;mso-position-horizontal-relative:page;mso-position-vertical-relative:paragraph;z-index:306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1985</w:t>
                  </w:r>
                  <w:r>
                    <w:rPr>
                      <w:color w:val="231F20"/>
                      <w:spacing w:val="1"/>
                      <w:sz w:val="16"/>
                    </w:rPr>
                    <w:t> </w:t>
                  </w:r>
                  <w:r>
                    <w:rPr>
                      <w:color w:val="231F20"/>
                      <w:sz w:val="16"/>
                    </w:rPr>
                    <w:t>—</w:t>
                  </w:r>
                </w:p>
              </w:txbxContent>
            </v:textbox>
            <w10:wrap type="none"/>
          </v:shape>
        </w:pict>
      </w:r>
      <w:r>
        <w:rPr/>
        <w:pict>
          <v:shape style="position:absolute;margin-left:207.077194pt;margin-top:12.944452pt;width:10pt;height:28.75pt;mso-position-horizontal-relative:page;mso-position-vertical-relative:paragraph;z-index:308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24.981201pt;margin-top:12.944452pt;width:10pt;height:28.75pt;mso-position-horizontal-relative:page;mso-position-vertical-relative:paragraph;z-index:311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1995</w:t>
                  </w:r>
                  <w:r>
                    <w:rPr>
                      <w:color w:val="231F20"/>
                      <w:spacing w:val="1"/>
                      <w:sz w:val="16"/>
                    </w:rPr>
                    <w:t> </w:t>
                  </w:r>
                  <w:r>
                    <w:rPr>
                      <w:color w:val="231F20"/>
                      <w:sz w:val="16"/>
                    </w:rPr>
                    <w:t>—</w:t>
                  </w:r>
                </w:p>
              </w:txbxContent>
            </v:textbox>
            <w10:wrap type="none"/>
          </v:shape>
        </w:pict>
      </w:r>
      <w:r>
        <w:rPr/>
        <w:pict>
          <v:shape style="position:absolute;margin-left:242.877197pt;margin-top:12.944452pt;width:10pt;height:28.75pt;mso-position-horizontal-relative:page;mso-position-vertical-relative:paragraph;z-index:313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260.773193pt;margin-top:12.944452pt;width:10pt;height:28.75pt;mso-position-horizontal-relative:page;mso-position-vertical-relative:paragraph;z-index:316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2005</w:t>
                  </w:r>
                  <w:r>
                    <w:rPr>
                      <w:color w:val="231F20"/>
                      <w:spacing w:val="1"/>
                      <w:sz w:val="16"/>
                    </w:rPr>
                    <w:t> </w:t>
                  </w:r>
                  <w:r>
                    <w:rPr>
                      <w:color w:val="231F20"/>
                      <w:sz w:val="16"/>
                    </w:rPr>
                    <w:t>—</w:t>
                  </w:r>
                </w:p>
              </w:txbxContent>
            </v:textbox>
            <w10:wrap type="none"/>
          </v:shape>
        </w:pict>
      </w:r>
      <w:r>
        <w:rPr/>
        <w:pict>
          <v:shape style="position:absolute;margin-left:278.669189pt;margin-top:12.944452pt;width:10pt;height:28.75pt;mso-position-horizontal-relative:page;mso-position-vertical-relative:paragraph;z-index:318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2006</w:t>
                  </w:r>
                  <w:r>
                    <w:rPr>
                      <w:color w:val="231F20"/>
                      <w:spacing w:val="1"/>
                      <w:sz w:val="16"/>
                    </w:rPr>
                    <w:t> </w:t>
                  </w:r>
                  <w:r>
                    <w:rPr>
                      <w:color w:val="231F20"/>
                      <w:sz w:val="16"/>
                    </w:rPr>
                    <w:t>—</w:t>
                  </w:r>
                </w:p>
              </w:txbxContent>
            </v:textbox>
            <w10:wrap type="none"/>
          </v:shape>
        </w:pict>
      </w:r>
      <w:r>
        <w:rPr/>
        <w:pict>
          <v:shape style="position:absolute;margin-left:296.565186pt;margin-top:12.944452pt;width:10pt;height:28.75pt;mso-position-horizontal-relative:page;mso-position-vertical-relative:paragraph;z-index:320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2007</w:t>
                  </w:r>
                  <w:r>
                    <w:rPr>
                      <w:color w:val="231F20"/>
                      <w:spacing w:val="1"/>
                      <w:sz w:val="16"/>
                    </w:rPr>
                    <w:t> </w:t>
                  </w:r>
                  <w:r>
                    <w:rPr>
                      <w:color w:val="231F20"/>
                      <w:sz w:val="16"/>
                    </w:rPr>
                    <w:t>—</w:t>
                  </w:r>
                </w:p>
              </w:txbxContent>
            </v:textbox>
            <w10:wrap type="none"/>
          </v:shape>
        </w:pict>
      </w:r>
      <w:r>
        <w:rPr/>
        <w:pict>
          <v:shape style="position:absolute;margin-left:314.461212pt;margin-top:12.944452pt;width:10pt;height:28.75pt;mso-position-horizontal-relative:page;mso-position-vertical-relative:paragraph;z-index:32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2008</w:t>
                  </w:r>
                  <w:r>
                    <w:rPr>
                      <w:color w:val="231F20"/>
                      <w:spacing w:val="1"/>
                      <w:sz w:val="16"/>
                    </w:rPr>
                    <w:t> </w:t>
                  </w:r>
                  <w:r>
                    <w:rPr>
                      <w:color w:val="231F20"/>
                      <w:sz w:val="16"/>
                    </w:rPr>
                    <w:t>—</w:t>
                  </w:r>
                </w:p>
              </w:txbxContent>
            </v:textbox>
            <w10:wrap type="none"/>
          </v:shape>
        </w:pict>
      </w:r>
      <w:r>
        <w:rPr/>
        <w:pict>
          <v:shape style="position:absolute;margin-left:332.357208pt;margin-top:12.944453pt;width:10pt;height:10pt;mso-position-horizontal-relative:page;mso-position-vertical-relative:paragraph;z-index:3256" type="#_x0000_t202" filled="false" stroked="false">
            <v:textbox inset="0,0,0,0" style="layout-flow:vertical;mso-layout-flow-alt:bottom-to-top">
              <w:txbxContent>
                <w:p>
                  <w:pPr>
                    <w:spacing w:line="178" w:lineRule="exact" w:before="0"/>
                    <w:ind w:left="20" w:right="0" w:firstLine="0"/>
                    <w:jc w:val="left"/>
                    <w:rPr>
                      <w:sz w:val="16"/>
                    </w:rPr>
                  </w:pPr>
                  <w:r>
                    <w:rPr>
                      <w:color w:val="231F20"/>
                      <w:sz w:val="16"/>
                    </w:rPr>
                    <w:t>—</w:t>
                  </w:r>
                </w:p>
              </w:txbxContent>
            </v:textbox>
            <w10:wrap type="none"/>
          </v:shape>
        </w:pict>
      </w:r>
      <w:r>
        <w:rPr>
          <w:color w:val="231F20"/>
          <w:sz w:val="16"/>
        </w:rPr>
        <w:t>200 —</w:t>
      </w:r>
    </w:p>
    <w:p>
      <w:pPr>
        <w:pStyle w:val="BodyText"/>
      </w:pPr>
    </w:p>
    <w:p>
      <w:pPr>
        <w:pStyle w:val="BodyText"/>
      </w:pPr>
    </w:p>
    <w:p>
      <w:pPr>
        <w:pStyle w:val="BodyText"/>
        <w:spacing w:before="7"/>
      </w:pPr>
    </w:p>
    <w:p>
      <w:pPr>
        <w:spacing w:line="276" w:lineRule="auto" w:before="0"/>
        <w:ind w:left="73" w:right="117" w:firstLine="0"/>
        <w:jc w:val="right"/>
        <w:rPr>
          <w:sz w:val="18"/>
        </w:rPr>
      </w:pPr>
      <w:r>
        <w:rPr>
          <w:rFonts w:ascii="Calibri"/>
          <w:color w:val="231F20"/>
          <w:w w:val="110"/>
          <w:sz w:val="18"/>
        </w:rPr>
        <w:t>fuente:</w:t>
      </w:r>
      <w:r>
        <w:rPr>
          <w:rFonts w:ascii="Calibri"/>
          <w:color w:val="231F20"/>
          <w:spacing w:val="28"/>
          <w:w w:val="110"/>
          <w:sz w:val="18"/>
        </w:rPr>
        <w:t> </w:t>
      </w:r>
      <w:r>
        <w:rPr>
          <w:color w:val="231F20"/>
          <w:w w:val="110"/>
          <w:sz w:val="18"/>
        </w:rPr>
        <w:t>realizada</w:t>
      </w:r>
      <w:r>
        <w:rPr>
          <w:color w:val="231F20"/>
          <w:spacing w:val="24"/>
          <w:w w:val="110"/>
          <w:sz w:val="18"/>
        </w:rPr>
        <w:t> </w:t>
      </w:r>
      <w:r>
        <w:rPr>
          <w:color w:val="231F20"/>
          <w:w w:val="110"/>
          <w:sz w:val="18"/>
        </w:rPr>
        <w:t>a</w:t>
      </w:r>
      <w:r>
        <w:rPr>
          <w:color w:val="231F20"/>
          <w:spacing w:val="24"/>
          <w:w w:val="110"/>
          <w:sz w:val="18"/>
        </w:rPr>
        <w:t> </w:t>
      </w:r>
      <w:r>
        <w:rPr>
          <w:color w:val="231F20"/>
          <w:w w:val="110"/>
          <w:sz w:val="18"/>
        </w:rPr>
        <w:t>partir</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las</w:t>
      </w:r>
      <w:r>
        <w:rPr>
          <w:color w:val="231F20"/>
          <w:spacing w:val="24"/>
          <w:w w:val="110"/>
          <w:sz w:val="18"/>
        </w:rPr>
        <w:t> </w:t>
      </w:r>
      <w:r>
        <w:rPr>
          <w:color w:val="231F20"/>
          <w:w w:val="110"/>
          <w:sz w:val="18"/>
        </w:rPr>
        <w:t>cifras</w:t>
      </w:r>
      <w:r>
        <w:rPr>
          <w:color w:val="231F20"/>
          <w:spacing w:val="24"/>
          <w:w w:val="110"/>
          <w:sz w:val="18"/>
        </w:rPr>
        <w:t> </w:t>
      </w:r>
      <w:r>
        <w:rPr>
          <w:color w:val="231F20"/>
          <w:w w:val="110"/>
          <w:sz w:val="18"/>
        </w:rPr>
        <w:t>del</w:t>
      </w:r>
      <w:r>
        <w:rPr>
          <w:color w:val="231F20"/>
          <w:spacing w:val="24"/>
          <w:w w:val="110"/>
          <w:sz w:val="18"/>
        </w:rPr>
        <w:t> </w:t>
      </w:r>
      <w:r>
        <w:rPr>
          <w:color w:val="231F20"/>
          <w:w w:val="110"/>
          <w:sz w:val="18"/>
        </w:rPr>
        <w:t>Departamento</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Comercio</w:t>
      </w:r>
      <w:r>
        <w:rPr>
          <w:color w:val="231F20"/>
          <w:spacing w:val="24"/>
          <w:w w:val="110"/>
          <w:sz w:val="18"/>
        </w:rPr>
        <w:t> </w:t>
      </w:r>
      <w:r>
        <w:rPr>
          <w:color w:val="231F20"/>
          <w:w w:val="110"/>
          <w:sz w:val="18"/>
        </w:rPr>
        <w:t>de</w:t>
      </w:r>
      <w:r>
        <w:rPr>
          <w:color w:val="231F20"/>
          <w:w w:val="114"/>
          <w:sz w:val="18"/>
        </w:rPr>
        <w:t> </w:t>
      </w:r>
      <w:r>
        <w:rPr>
          <w:color w:val="231F20"/>
          <w:w w:val="110"/>
          <w:sz w:val="18"/>
        </w:rPr>
        <w:t>Estados</w:t>
      </w:r>
      <w:r>
        <w:rPr>
          <w:color w:val="231F20"/>
          <w:spacing w:val="-18"/>
          <w:w w:val="110"/>
          <w:sz w:val="18"/>
        </w:rPr>
        <w:t> </w:t>
      </w:r>
      <w:r>
        <w:rPr>
          <w:color w:val="231F20"/>
          <w:w w:val="110"/>
          <w:sz w:val="18"/>
        </w:rPr>
        <w:t>Unidos,</w:t>
      </w:r>
      <w:r>
        <w:rPr>
          <w:color w:val="231F20"/>
          <w:spacing w:val="-18"/>
          <w:w w:val="110"/>
          <w:sz w:val="18"/>
        </w:rPr>
        <w:t> </w:t>
      </w:r>
      <w:r>
        <w:rPr>
          <w:color w:val="231F20"/>
          <w:w w:val="110"/>
          <w:sz w:val="18"/>
        </w:rPr>
        <w:t>con</w:t>
      </w:r>
      <w:r>
        <w:rPr>
          <w:color w:val="231F20"/>
          <w:spacing w:val="-18"/>
          <w:w w:val="110"/>
          <w:sz w:val="18"/>
        </w:rPr>
        <w:t> </w:t>
      </w:r>
      <w:r>
        <w:rPr>
          <w:color w:val="231F20"/>
          <w:w w:val="110"/>
          <w:sz w:val="18"/>
        </w:rPr>
        <w:t>las</w:t>
      </w:r>
      <w:r>
        <w:rPr>
          <w:color w:val="231F20"/>
          <w:spacing w:val="-18"/>
          <w:w w:val="110"/>
          <w:sz w:val="18"/>
        </w:rPr>
        <w:t> </w:t>
      </w:r>
      <w:r>
        <w:rPr>
          <w:color w:val="231F20"/>
          <w:w w:val="110"/>
          <w:sz w:val="18"/>
        </w:rPr>
        <w:t>revisiones</w:t>
      </w:r>
      <w:r>
        <w:rPr>
          <w:color w:val="231F20"/>
          <w:spacing w:val="-18"/>
          <w:w w:val="110"/>
          <w:sz w:val="18"/>
        </w:rPr>
        <w:t> </w:t>
      </w:r>
      <w:r>
        <w:rPr>
          <w:color w:val="231F20"/>
          <w:w w:val="110"/>
          <w:sz w:val="18"/>
        </w:rPr>
        <w:t>al</w:t>
      </w:r>
      <w:r>
        <w:rPr>
          <w:color w:val="231F20"/>
          <w:spacing w:val="-18"/>
          <w:w w:val="110"/>
          <w:sz w:val="18"/>
        </w:rPr>
        <w:t> </w:t>
      </w:r>
      <w:r>
        <w:rPr>
          <w:color w:val="231F20"/>
          <w:w w:val="110"/>
          <w:sz w:val="18"/>
        </w:rPr>
        <w:t>17</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agosto</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2009,</w:t>
      </w:r>
      <w:r>
        <w:rPr>
          <w:color w:val="231F20"/>
          <w:spacing w:val="-18"/>
          <w:w w:val="110"/>
          <w:sz w:val="18"/>
        </w:rPr>
        <w:t> </w:t>
      </w:r>
      <w:hyperlink r:id="rId80">
        <w:r>
          <w:rPr>
            <w:color w:val="231F20"/>
            <w:w w:val="110"/>
            <w:sz w:val="18"/>
          </w:rPr>
          <w:t>&lt;www.bea.gov&gt;.</w:t>
        </w:r>
      </w:hyperlink>
    </w:p>
    <w:p>
      <w:pPr>
        <w:pStyle w:val="BodyText"/>
        <w:rPr>
          <w:sz w:val="18"/>
        </w:rPr>
      </w:pPr>
    </w:p>
    <w:p>
      <w:pPr>
        <w:pStyle w:val="BodyText"/>
        <w:spacing w:line="261" w:lineRule="auto" w:before="127"/>
        <w:ind w:left="100" w:right="117" w:firstLine="240"/>
        <w:jc w:val="both"/>
      </w:pPr>
      <w:r>
        <w:rPr>
          <w:color w:val="231F20"/>
          <w:w w:val="110"/>
        </w:rPr>
        <w:t>Hasta</w:t>
      </w:r>
      <w:r>
        <w:rPr>
          <w:color w:val="231F20"/>
          <w:spacing w:val="-8"/>
          <w:w w:val="110"/>
        </w:rPr>
        <w:t> </w:t>
      </w:r>
      <w:r>
        <w:rPr>
          <w:color w:val="231F20"/>
          <w:w w:val="110"/>
        </w:rPr>
        <w:t>fines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años</w:t>
      </w:r>
      <w:r>
        <w:rPr>
          <w:color w:val="231F20"/>
          <w:spacing w:val="-8"/>
          <w:w w:val="110"/>
        </w:rPr>
        <w:t> </w:t>
      </w:r>
      <w:r>
        <w:rPr>
          <w:color w:val="231F20"/>
          <w:w w:val="110"/>
        </w:rPr>
        <w:t>noventa,</w:t>
      </w:r>
      <w:r>
        <w:rPr>
          <w:color w:val="231F20"/>
          <w:spacing w:val="-8"/>
          <w:w w:val="110"/>
        </w:rPr>
        <w:t> </w:t>
      </w:r>
      <w:r>
        <w:rPr>
          <w:color w:val="231F20"/>
          <w:w w:val="110"/>
        </w:rPr>
        <w:t>las</w:t>
      </w:r>
      <w:r>
        <w:rPr>
          <w:color w:val="231F20"/>
          <w:spacing w:val="-8"/>
          <w:w w:val="110"/>
        </w:rPr>
        <w:t> </w:t>
      </w:r>
      <w:r>
        <w:rPr>
          <w:color w:val="231F20"/>
          <w:w w:val="110"/>
        </w:rPr>
        <w:t>ganancias</w:t>
      </w:r>
      <w:r>
        <w:rPr>
          <w:color w:val="231F20"/>
          <w:spacing w:val="-8"/>
          <w:w w:val="110"/>
        </w:rPr>
        <w:t> </w:t>
      </w:r>
      <w:r>
        <w:rPr>
          <w:color w:val="231F20"/>
          <w:w w:val="110"/>
        </w:rPr>
        <w:t>del</w:t>
      </w:r>
      <w:r>
        <w:rPr>
          <w:color w:val="231F20"/>
          <w:spacing w:val="-8"/>
          <w:w w:val="110"/>
        </w:rPr>
        <w:t> </w:t>
      </w:r>
      <w:r>
        <w:rPr>
          <w:color w:val="231F20"/>
          <w:w w:val="110"/>
        </w:rPr>
        <w:t>sector</w:t>
      </w:r>
      <w:r>
        <w:rPr>
          <w:color w:val="231F20"/>
          <w:spacing w:val="-8"/>
          <w:w w:val="110"/>
        </w:rPr>
        <w:t> </w:t>
      </w:r>
      <w:r>
        <w:rPr>
          <w:color w:val="231F20"/>
          <w:w w:val="110"/>
        </w:rPr>
        <w:t>manufac- turero (sector industrial) en Estados Unidos, eran mayores que las ganancias de las empresas estadunidenses en el</w:t>
      </w:r>
      <w:r>
        <w:rPr>
          <w:color w:val="231F20"/>
          <w:spacing w:val="33"/>
          <w:w w:val="110"/>
        </w:rPr>
        <w:t> </w:t>
      </w:r>
      <w:r>
        <w:rPr>
          <w:color w:val="231F20"/>
          <w:w w:val="110"/>
        </w:rPr>
        <w:t>exterior.</w:t>
      </w:r>
    </w:p>
    <w:p>
      <w:pPr>
        <w:pStyle w:val="BodyText"/>
        <w:spacing w:line="261" w:lineRule="auto"/>
        <w:ind w:left="100" w:right="117" w:firstLine="240"/>
        <w:jc w:val="both"/>
      </w:pPr>
      <w:r>
        <w:rPr>
          <w:color w:val="231F20"/>
          <w:w w:val="110"/>
        </w:rPr>
        <w:t>A partir del primer decenio del siglo xxi, se da un cambio</w:t>
      </w:r>
      <w:r>
        <w:rPr>
          <w:color w:val="231F20"/>
          <w:spacing w:val="-3"/>
          <w:w w:val="110"/>
        </w:rPr>
        <w:t> </w:t>
      </w:r>
      <w:r>
        <w:rPr>
          <w:color w:val="231F20"/>
          <w:w w:val="110"/>
        </w:rPr>
        <w:t>históri- co, las ganancias globales en el exterior son mayores a las</w:t>
      </w:r>
      <w:r>
        <w:rPr>
          <w:color w:val="231F20"/>
          <w:spacing w:val="-26"/>
          <w:w w:val="110"/>
        </w:rPr>
        <w:t> </w:t>
      </w:r>
      <w:r>
        <w:rPr>
          <w:color w:val="231F20"/>
          <w:w w:val="110"/>
        </w:rPr>
        <w:t>ganancias en</w:t>
      </w:r>
      <w:r>
        <w:rPr>
          <w:color w:val="231F20"/>
          <w:spacing w:val="37"/>
          <w:w w:val="110"/>
        </w:rPr>
        <w:t> </w:t>
      </w:r>
      <w:r>
        <w:rPr>
          <w:color w:val="231F20"/>
          <w:w w:val="110"/>
        </w:rPr>
        <w:t>el</w:t>
      </w:r>
      <w:r>
        <w:rPr>
          <w:color w:val="231F20"/>
          <w:spacing w:val="37"/>
          <w:w w:val="110"/>
        </w:rPr>
        <w:t> </w:t>
      </w:r>
      <w:r>
        <w:rPr>
          <w:color w:val="231F20"/>
          <w:w w:val="110"/>
        </w:rPr>
        <w:t>sector</w:t>
      </w:r>
      <w:r>
        <w:rPr>
          <w:color w:val="231F20"/>
          <w:spacing w:val="37"/>
          <w:w w:val="110"/>
        </w:rPr>
        <w:t> </w:t>
      </w:r>
      <w:r>
        <w:rPr>
          <w:color w:val="231F20"/>
          <w:w w:val="110"/>
        </w:rPr>
        <w:t>manufacturero</w:t>
      </w:r>
      <w:r>
        <w:rPr>
          <w:color w:val="231F20"/>
          <w:spacing w:val="37"/>
          <w:w w:val="110"/>
        </w:rPr>
        <w:t> </w:t>
      </w:r>
      <w:r>
        <w:rPr>
          <w:color w:val="231F20"/>
          <w:w w:val="110"/>
        </w:rPr>
        <w:t>(sector</w:t>
      </w:r>
      <w:r>
        <w:rPr>
          <w:color w:val="231F20"/>
          <w:spacing w:val="37"/>
          <w:w w:val="110"/>
        </w:rPr>
        <w:t> </w:t>
      </w:r>
      <w:r>
        <w:rPr>
          <w:color w:val="231F20"/>
          <w:w w:val="110"/>
        </w:rPr>
        <w:t>industrial)</w:t>
      </w:r>
      <w:r>
        <w:rPr>
          <w:color w:val="231F20"/>
          <w:spacing w:val="37"/>
          <w:w w:val="110"/>
        </w:rPr>
        <w:t> </w:t>
      </w:r>
      <w:r>
        <w:rPr>
          <w:color w:val="231F20"/>
          <w:w w:val="110"/>
        </w:rPr>
        <w:t>en</w:t>
      </w:r>
      <w:r>
        <w:rPr>
          <w:color w:val="231F20"/>
          <w:spacing w:val="37"/>
          <w:w w:val="110"/>
        </w:rPr>
        <w:t> </w:t>
      </w:r>
      <w:r>
        <w:rPr>
          <w:color w:val="231F20"/>
          <w:w w:val="110"/>
        </w:rPr>
        <w:t>Estados</w:t>
      </w:r>
      <w:r>
        <w:rPr>
          <w:color w:val="231F20"/>
          <w:spacing w:val="37"/>
          <w:w w:val="110"/>
        </w:rPr>
        <w:t> </w:t>
      </w:r>
      <w:r>
        <w:rPr>
          <w:color w:val="231F20"/>
          <w:w w:val="110"/>
        </w:rPr>
        <w:t>Unidos,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que incluye todas las empresas de bienes durables y no durables (en</w:t>
      </w:r>
      <w:r>
        <w:rPr>
          <w:color w:val="231F20"/>
          <w:w w:val="120"/>
        </w:rPr>
        <w:t> </w:t>
      </w:r>
      <w:r>
        <w:rPr>
          <w:color w:val="231F20"/>
          <w:w w:val="110"/>
        </w:rPr>
        <w:t>bienes durables, la industria espacial, maquinaria y equipo, electró-</w:t>
      </w:r>
      <w:r>
        <w:rPr>
          <w:color w:val="231F20"/>
          <w:w w:val="72"/>
        </w:rPr>
        <w:t> </w:t>
      </w:r>
      <w:r>
        <w:rPr>
          <w:color w:val="231F20"/>
          <w:w w:val="110"/>
        </w:rPr>
        <w:t>nica, computación, etcétera.</w:t>
      </w:r>
    </w:p>
    <w:p>
      <w:pPr>
        <w:pStyle w:val="BodyText"/>
        <w:spacing w:line="261" w:lineRule="auto"/>
        <w:ind w:left="100" w:right="114" w:firstLine="240"/>
        <w:jc w:val="both"/>
      </w:pPr>
      <w:r>
        <w:rPr>
          <w:color w:val="231F20"/>
          <w:w w:val="110"/>
        </w:rPr>
        <w:t>Esta información, confirma las limitaciones y los errores a que </w:t>
      </w:r>
      <w:r>
        <w:rPr>
          <w:color w:val="231F20"/>
          <w:spacing w:val="4"/>
          <w:w w:val="110"/>
        </w:rPr>
        <w:t>puede conducir </w:t>
      </w:r>
      <w:r>
        <w:rPr>
          <w:color w:val="231F20"/>
          <w:spacing w:val="2"/>
          <w:w w:val="110"/>
        </w:rPr>
        <w:t>el </w:t>
      </w:r>
      <w:r>
        <w:rPr>
          <w:color w:val="231F20"/>
          <w:spacing w:val="4"/>
          <w:w w:val="110"/>
        </w:rPr>
        <w:t>enfoque teórico-metodológico </w:t>
      </w:r>
      <w:r>
        <w:rPr>
          <w:color w:val="231F20"/>
          <w:spacing w:val="2"/>
          <w:w w:val="110"/>
        </w:rPr>
        <w:t>en</w:t>
      </w:r>
      <w:r>
        <w:rPr>
          <w:color w:val="231F20"/>
          <w:spacing w:val="4"/>
          <w:w w:val="110"/>
        </w:rPr>
        <w:t> </w:t>
      </w:r>
      <w:r>
        <w:rPr>
          <w:color w:val="231F20"/>
          <w:spacing w:val="2"/>
          <w:w w:val="110"/>
        </w:rPr>
        <w:t>la</w:t>
      </w:r>
      <w:r>
        <w:rPr>
          <w:color w:val="231F20"/>
          <w:spacing w:val="52"/>
          <w:w w:val="110"/>
        </w:rPr>
        <w:t> </w:t>
      </w:r>
      <w:r>
        <w:rPr>
          <w:color w:val="231F20"/>
          <w:spacing w:val="5"/>
          <w:w w:val="110"/>
        </w:rPr>
        <w:t>ciencia</w:t>
      </w:r>
      <w:r>
        <w:rPr>
          <w:color w:val="231F20"/>
          <w:spacing w:val="5"/>
          <w:w w:val="108"/>
        </w:rPr>
        <w:t> </w:t>
      </w:r>
      <w:r>
        <w:rPr>
          <w:color w:val="231F20"/>
          <w:w w:val="110"/>
        </w:rPr>
        <w:t>económica que tenga como escenario fundamental las economías nacionales. Las economías nacionales deben ser analizadas a partir de un escenario de economía mundial. La existencia objetiva de la economía mundial, como una totalidad superior a la existencia</w:t>
      </w:r>
      <w:r>
        <w:rPr>
          <w:color w:val="231F20"/>
          <w:spacing w:val="-18"/>
          <w:w w:val="110"/>
        </w:rPr>
        <w:t> </w:t>
      </w:r>
      <w:r>
        <w:rPr>
          <w:color w:val="231F20"/>
          <w:w w:val="110"/>
        </w:rPr>
        <w:t>obje- tiva</w:t>
      </w:r>
      <w:r>
        <w:rPr>
          <w:color w:val="231F20"/>
          <w:spacing w:val="-7"/>
          <w:w w:val="110"/>
        </w:rPr>
        <w:t> </w:t>
      </w:r>
      <w:r>
        <w:rPr>
          <w:color w:val="231F20"/>
          <w:w w:val="110"/>
        </w:rPr>
        <w:t>también</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economías</w:t>
      </w:r>
      <w:r>
        <w:rPr>
          <w:color w:val="231F20"/>
          <w:spacing w:val="-7"/>
          <w:w w:val="110"/>
        </w:rPr>
        <w:t> </w:t>
      </w:r>
      <w:r>
        <w:rPr>
          <w:color w:val="231F20"/>
          <w:w w:val="110"/>
        </w:rPr>
        <w:t>nacionales,</w:t>
      </w:r>
      <w:r>
        <w:rPr>
          <w:color w:val="231F20"/>
          <w:spacing w:val="-7"/>
          <w:w w:val="110"/>
        </w:rPr>
        <w:t> </w:t>
      </w:r>
      <w:r>
        <w:rPr>
          <w:color w:val="231F20"/>
          <w:w w:val="110"/>
        </w:rPr>
        <w:t>no</w:t>
      </w:r>
      <w:r>
        <w:rPr>
          <w:color w:val="231F20"/>
          <w:spacing w:val="-7"/>
          <w:w w:val="110"/>
        </w:rPr>
        <w:t> </w:t>
      </w:r>
      <w:r>
        <w:rPr>
          <w:color w:val="231F20"/>
          <w:w w:val="110"/>
        </w:rPr>
        <w:t>sólo</w:t>
      </w:r>
      <w:r>
        <w:rPr>
          <w:color w:val="231F20"/>
          <w:spacing w:val="-7"/>
          <w:w w:val="110"/>
        </w:rPr>
        <w:t> </w:t>
      </w:r>
      <w:r>
        <w:rPr>
          <w:color w:val="231F20"/>
          <w:w w:val="110"/>
        </w:rPr>
        <w:t>se</w:t>
      </w:r>
      <w:r>
        <w:rPr>
          <w:color w:val="231F20"/>
          <w:spacing w:val="-7"/>
          <w:w w:val="110"/>
        </w:rPr>
        <w:t> </w:t>
      </w:r>
      <w:r>
        <w:rPr>
          <w:color w:val="231F20"/>
          <w:w w:val="110"/>
        </w:rPr>
        <w:t>manifiesta</w:t>
      </w:r>
      <w:r>
        <w:rPr>
          <w:color w:val="231F20"/>
          <w:spacing w:val="-7"/>
          <w:w w:val="110"/>
        </w:rPr>
        <w:t> </w:t>
      </w:r>
      <w:r>
        <w:rPr>
          <w:color w:val="231F20"/>
          <w:w w:val="110"/>
        </w:rPr>
        <w:t>en</w:t>
      </w:r>
      <w:r>
        <w:rPr>
          <w:color w:val="231F20"/>
          <w:spacing w:val="-7"/>
          <w:w w:val="110"/>
        </w:rPr>
        <w:t> </w:t>
      </w:r>
      <w:r>
        <w:rPr>
          <w:color w:val="231F20"/>
          <w:w w:val="110"/>
        </w:rPr>
        <w:t>la estructura</w:t>
      </w:r>
      <w:r>
        <w:rPr>
          <w:color w:val="231F20"/>
          <w:spacing w:val="-5"/>
          <w:w w:val="110"/>
        </w:rPr>
        <w:t> </w:t>
      </w:r>
      <w:r>
        <w:rPr>
          <w:color w:val="231F20"/>
          <w:w w:val="110"/>
        </w:rPr>
        <w:t>productiva</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circulación</w:t>
      </w:r>
      <w:r>
        <w:rPr>
          <w:color w:val="231F20"/>
          <w:spacing w:val="-5"/>
          <w:w w:val="110"/>
        </w:rPr>
        <w:t> </w:t>
      </w:r>
      <w:r>
        <w:rPr>
          <w:color w:val="231F20"/>
          <w:w w:val="110"/>
        </w:rPr>
        <w:t>mundial</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mercancías</w:t>
      </w:r>
      <w:r>
        <w:rPr>
          <w:color w:val="231F20"/>
          <w:spacing w:val="-5"/>
          <w:w w:val="110"/>
        </w:rPr>
        <w:t> </w:t>
      </w:r>
      <w:r>
        <w:rPr>
          <w:color w:val="231F20"/>
          <w:w w:val="110"/>
        </w:rPr>
        <w:t>por sobre las economías nacionales, sino que se manifiesta también en la reproducción del sistema a través de las categorías fundamentales del capitalismo como son las inversiones, la masa de ganancia y la tasa de</w:t>
      </w:r>
      <w:r>
        <w:rPr>
          <w:color w:val="231F20"/>
          <w:spacing w:val="9"/>
          <w:w w:val="110"/>
        </w:rPr>
        <w:t> </w:t>
      </w:r>
      <w:r>
        <w:rPr>
          <w:color w:val="231F20"/>
          <w:w w:val="110"/>
        </w:rPr>
        <w:t>ganancia.</w:t>
      </w:r>
    </w:p>
    <w:p>
      <w:pPr>
        <w:pStyle w:val="BodyText"/>
      </w:pPr>
    </w:p>
    <w:p>
      <w:pPr>
        <w:pStyle w:val="BodyText"/>
      </w:pPr>
    </w:p>
    <w:p>
      <w:pPr>
        <w:pStyle w:val="BodyText"/>
        <w:spacing w:before="2"/>
        <w:rPr>
          <w:sz w:val="25"/>
        </w:rPr>
      </w:pPr>
    </w:p>
    <w:p>
      <w:pPr>
        <w:pStyle w:val="BodyText"/>
        <w:spacing w:line="261" w:lineRule="auto"/>
        <w:ind w:left="100" w:right="1162"/>
      </w:pPr>
      <w:r>
        <w:rPr>
          <w:color w:val="231F20"/>
          <w:w w:val="130"/>
        </w:rPr>
        <w:t>la recuperación de las tasas de ganancia a partir de mediados de los años ochenta</w:t>
      </w:r>
    </w:p>
    <w:p>
      <w:pPr>
        <w:pStyle w:val="BodyText"/>
        <w:spacing w:before="8"/>
        <w:rPr>
          <w:sz w:val="21"/>
        </w:rPr>
      </w:pPr>
    </w:p>
    <w:p>
      <w:pPr>
        <w:pStyle w:val="BodyText"/>
        <w:spacing w:line="261" w:lineRule="auto"/>
        <w:ind w:left="100" w:right="119"/>
        <w:jc w:val="both"/>
      </w:pPr>
      <w:r>
        <w:rPr>
          <w:color w:val="231F20"/>
          <w:w w:val="110"/>
        </w:rPr>
        <w:t>Como hemos señalado, Robert Brenner plantea que permanecen tasas de ganancia bajas como parte de la tendencia decreciente de largo plazo desde los años setenta.</w:t>
      </w:r>
    </w:p>
    <w:p>
      <w:pPr>
        <w:pStyle w:val="BodyText"/>
        <w:spacing w:line="261" w:lineRule="auto"/>
        <w:ind w:left="100" w:right="119" w:firstLine="240"/>
        <w:jc w:val="both"/>
      </w:pPr>
      <w:r>
        <w:rPr>
          <w:color w:val="231F20"/>
          <w:w w:val="110"/>
        </w:rPr>
        <w:t>A</w:t>
      </w:r>
      <w:r>
        <w:rPr>
          <w:color w:val="231F20"/>
          <w:spacing w:val="-7"/>
          <w:w w:val="110"/>
        </w:rPr>
        <w:t> </w:t>
      </w:r>
      <w:r>
        <w:rPr>
          <w:color w:val="231F20"/>
          <w:w w:val="110"/>
        </w:rPr>
        <w:t>continuación</w:t>
      </w:r>
      <w:r>
        <w:rPr>
          <w:color w:val="231F20"/>
          <w:spacing w:val="-7"/>
          <w:w w:val="110"/>
        </w:rPr>
        <w:t> </w:t>
      </w:r>
      <w:r>
        <w:rPr>
          <w:color w:val="231F20"/>
          <w:w w:val="110"/>
        </w:rPr>
        <w:t>presentaremos</w:t>
      </w:r>
      <w:r>
        <w:rPr>
          <w:color w:val="231F20"/>
          <w:spacing w:val="-7"/>
          <w:w w:val="110"/>
        </w:rPr>
        <w:t> </w:t>
      </w:r>
      <w:r>
        <w:rPr>
          <w:color w:val="231F20"/>
          <w:w w:val="110"/>
        </w:rPr>
        <w:t>una</w:t>
      </w:r>
      <w:r>
        <w:rPr>
          <w:color w:val="231F20"/>
          <w:spacing w:val="-7"/>
          <w:w w:val="110"/>
        </w:rPr>
        <w:t> </w:t>
      </w:r>
      <w:r>
        <w:rPr>
          <w:color w:val="231F20"/>
          <w:w w:val="110"/>
        </w:rPr>
        <w:t>síntesis</w:t>
      </w:r>
      <w:r>
        <w:rPr>
          <w:color w:val="231F20"/>
          <w:spacing w:val="-7"/>
          <w:w w:val="110"/>
        </w:rPr>
        <w:t> </w:t>
      </w:r>
      <w:r>
        <w:rPr>
          <w:color w:val="231F20"/>
          <w:w w:val="110"/>
        </w:rPr>
        <w:t>sobre</w:t>
      </w:r>
      <w:r>
        <w:rPr>
          <w:color w:val="231F20"/>
          <w:spacing w:val="-7"/>
          <w:w w:val="110"/>
        </w:rPr>
        <w:t> </w:t>
      </w:r>
      <w:r>
        <w:rPr>
          <w:color w:val="231F20"/>
          <w:w w:val="110"/>
        </w:rPr>
        <w:t>la</w:t>
      </w:r>
      <w:r>
        <w:rPr>
          <w:color w:val="231F20"/>
          <w:spacing w:val="-7"/>
          <w:w w:val="110"/>
        </w:rPr>
        <w:t> </w:t>
      </w:r>
      <w:r>
        <w:rPr>
          <w:color w:val="231F20"/>
          <w:w w:val="110"/>
        </w:rPr>
        <w:t>tasa</w:t>
      </w:r>
      <w:r>
        <w:rPr>
          <w:color w:val="231F20"/>
          <w:spacing w:val="-7"/>
          <w:w w:val="110"/>
        </w:rPr>
        <w:t> </w:t>
      </w:r>
      <w:r>
        <w:rPr>
          <w:color w:val="231F20"/>
          <w:w w:val="110"/>
        </w:rPr>
        <w:t>de</w:t>
      </w:r>
      <w:r>
        <w:rPr>
          <w:color w:val="231F20"/>
          <w:spacing w:val="-7"/>
          <w:w w:val="110"/>
        </w:rPr>
        <w:t> </w:t>
      </w:r>
      <w:r>
        <w:rPr>
          <w:color w:val="231F20"/>
          <w:w w:val="110"/>
        </w:rPr>
        <w:t>ganan- cia</w:t>
      </w:r>
      <w:r>
        <w:rPr>
          <w:color w:val="231F20"/>
          <w:spacing w:val="-7"/>
          <w:w w:val="110"/>
        </w:rPr>
        <w:t> </w:t>
      </w:r>
      <w:r>
        <w:rPr>
          <w:color w:val="231F20"/>
          <w:w w:val="110"/>
        </w:rPr>
        <w:t>en</w:t>
      </w:r>
      <w:r>
        <w:rPr>
          <w:color w:val="231F20"/>
          <w:spacing w:val="-7"/>
          <w:w w:val="110"/>
        </w:rPr>
        <w:t> </w:t>
      </w:r>
      <w:r>
        <w:rPr>
          <w:color w:val="231F20"/>
          <w:w w:val="110"/>
        </w:rPr>
        <w:t>diversos</w:t>
      </w:r>
      <w:r>
        <w:rPr>
          <w:color w:val="231F20"/>
          <w:spacing w:val="-7"/>
          <w:w w:val="110"/>
        </w:rPr>
        <w:t> </w:t>
      </w:r>
      <w:r>
        <w:rPr>
          <w:color w:val="231F20"/>
          <w:w w:val="110"/>
        </w:rPr>
        <w:t>trabajos</w:t>
      </w:r>
      <w:r>
        <w:rPr>
          <w:color w:val="231F20"/>
          <w:spacing w:val="-7"/>
          <w:w w:val="110"/>
        </w:rPr>
        <w:t> </w:t>
      </w:r>
      <w:r>
        <w:rPr>
          <w:color w:val="231F20"/>
          <w:w w:val="110"/>
        </w:rPr>
        <w:t>nuestros</w:t>
      </w:r>
      <w:r>
        <w:rPr>
          <w:color w:val="231F20"/>
          <w:spacing w:val="-7"/>
          <w:w w:val="110"/>
        </w:rPr>
        <w:t> </w:t>
      </w:r>
      <w:r>
        <w:rPr>
          <w:color w:val="231F20"/>
          <w:w w:val="110"/>
        </w:rPr>
        <w:t>que</w:t>
      </w:r>
      <w:r>
        <w:rPr>
          <w:color w:val="231F20"/>
          <w:spacing w:val="-7"/>
          <w:w w:val="110"/>
        </w:rPr>
        <w:t> </w:t>
      </w:r>
      <w:r>
        <w:rPr>
          <w:color w:val="231F20"/>
          <w:w w:val="110"/>
        </w:rPr>
        <w:t>son</w:t>
      </w:r>
      <w:r>
        <w:rPr>
          <w:color w:val="231F20"/>
          <w:spacing w:val="-7"/>
          <w:w w:val="110"/>
        </w:rPr>
        <w:t> </w:t>
      </w:r>
      <w:r>
        <w:rPr>
          <w:color w:val="231F20"/>
          <w:w w:val="110"/>
        </w:rPr>
        <w:t>recogidos</w:t>
      </w:r>
      <w:r>
        <w:rPr>
          <w:color w:val="231F20"/>
          <w:spacing w:val="-7"/>
          <w:w w:val="110"/>
        </w:rPr>
        <w:t> </w:t>
      </w:r>
      <w:r>
        <w:rPr>
          <w:color w:val="231F20"/>
          <w:w w:val="110"/>
        </w:rPr>
        <w:t>en</w:t>
      </w:r>
      <w:r>
        <w:rPr>
          <w:color w:val="231F20"/>
          <w:spacing w:val="-7"/>
          <w:w w:val="110"/>
        </w:rPr>
        <w:t> </w:t>
      </w:r>
      <w:r>
        <w:rPr>
          <w:color w:val="231F20"/>
          <w:w w:val="110"/>
        </w:rPr>
        <w:t>un</w:t>
      </w:r>
      <w:r>
        <w:rPr>
          <w:color w:val="231F20"/>
          <w:spacing w:val="-7"/>
          <w:w w:val="110"/>
        </w:rPr>
        <w:t> </w:t>
      </w:r>
      <w:r>
        <w:rPr>
          <w:color w:val="231F20"/>
          <w:w w:val="110"/>
        </w:rPr>
        <w:t>documento reciente (Caputo,</w:t>
      </w:r>
      <w:r>
        <w:rPr>
          <w:color w:val="231F20"/>
          <w:spacing w:val="39"/>
          <w:w w:val="110"/>
        </w:rPr>
        <w:t> </w:t>
      </w:r>
      <w:r>
        <w:rPr>
          <w:color w:val="231F20"/>
          <w:w w:val="110"/>
        </w:rPr>
        <w:t>2009).</w:t>
      </w:r>
    </w:p>
    <w:p>
      <w:pPr>
        <w:pStyle w:val="BodyText"/>
        <w:spacing w:line="261" w:lineRule="auto"/>
        <w:ind w:left="100" w:right="117" w:firstLine="240"/>
        <w:jc w:val="both"/>
      </w:pPr>
      <w:r>
        <w:rPr>
          <w:color w:val="231F20"/>
          <w:w w:val="110"/>
        </w:rPr>
        <w:t>En 1989 publicamos un documento titulado “La tasa de ganancia de</w:t>
      </w:r>
      <w:r>
        <w:rPr>
          <w:color w:val="231F20"/>
          <w:spacing w:val="-22"/>
          <w:w w:val="110"/>
        </w:rPr>
        <w:t> </w:t>
      </w:r>
      <w:r>
        <w:rPr>
          <w:color w:val="231F20"/>
          <w:w w:val="110"/>
        </w:rPr>
        <w:t>los</w:t>
      </w:r>
      <w:r>
        <w:rPr>
          <w:color w:val="231F20"/>
          <w:spacing w:val="-22"/>
          <w:w w:val="110"/>
        </w:rPr>
        <w:t> </w:t>
      </w:r>
      <w:r>
        <w:rPr>
          <w:color w:val="231F20"/>
          <w:w w:val="110"/>
        </w:rPr>
        <w:t>principales</w:t>
      </w:r>
      <w:r>
        <w:rPr>
          <w:color w:val="231F20"/>
          <w:spacing w:val="-22"/>
          <w:w w:val="110"/>
        </w:rPr>
        <w:t> </w:t>
      </w:r>
      <w:r>
        <w:rPr>
          <w:color w:val="231F20"/>
          <w:w w:val="110"/>
        </w:rPr>
        <w:t>países</w:t>
      </w:r>
      <w:r>
        <w:rPr>
          <w:color w:val="231F20"/>
          <w:spacing w:val="-22"/>
          <w:w w:val="110"/>
        </w:rPr>
        <w:t> </w:t>
      </w:r>
      <w:r>
        <w:rPr>
          <w:color w:val="231F20"/>
          <w:w w:val="110"/>
        </w:rPr>
        <w:t>capitalistas</w:t>
      </w:r>
      <w:r>
        <w:rPr>
          <w:color w:val="231F20"/>
          <w:spacing w:val="-22"/>
          <w:w w:val="110"/>
        </w:rPr>
        <w:t> </w:t>
      </w:r>
      <w:r>
        <w:rPr>
          <w:color w:val="231F20"/>
          <w:w w:val="110"/>
        </w:rPr>
        <w:t>desarrollados”,</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w w:val="110"/>
        </w:rPr>
        <w:t>Programa</w:t>
      </w:r>
      <w:r>
        <w:rPr>
          <w:color w:val="231F20"/>
          <w:spacing w:val="-22"/>
          <w:w w:val="110"/>
        </w:rPr>
        <w:t> </w:t>
      </w:r>
      <w:r>
        <w:rPr>
          <w:color w:val="231F20"/>
          <w:w w:val="110"/>
        </w:rPr>
        <w:t>de Estudios</w:t>
      </w:r>
      <w:r>
        <w:rPr>
          <w:color w:val="231F20"/>
          <w:spacing w:val="-18"/>
          <w:w w:val="110"/>
        </w:rPr>
        <w:t> </w:t>
      </w:r>
      <w:r>
        <w:rPr>
          <w:color w:val="231F20"/>
          <w:w w:val="110"/>
        </w:rPr>
        <w:t>de</w:t>
      </w:r>
      <w:r>
        <w:rPr>
          <w:color w:val="231F20"/>
          <w:spacing w:val="-18"/>
          <w:w w:val="110"/>
        </w:rPr>
        <w:t> </w:t>
      </w:r>
      <w:r>
        <w:rPr>
          <w:color w:val="231F20"/>
          <w:w w:val="110"/>
        </w:rPr>
        <w:t>Economía</w:t>
      </w:r>
      <w:r>
        <w:rPr>
          <w:color w:val="231F20"/>
          <w:spacing w:val="-18"/>
          <w:w w:val="110"/>
        </w:rPr>
        <w:t> </w:t>
      </w:r>
      <w:r>
        <w:rPr>
          <w:color w:val="231F20"/>
          <w:w w:val="110"/>
        </w:rPr>
        <w:t>Internacional,</w:t>
      </w:r>
      <w:r>
        <w:rPr>
          <w:color w:val="231F20"/>
          <w:spacing w:val="-18"/>
          <w:w w:val="110"/>
        </w:rPr>
        <w:t> </w:t>
      </w:r>
      <w:r>
        <w:rPr>
          <w:color w:val="231F20"/>
          <w:w w:val="110"/>
        </w:rPr>
        <w:t>Universidad</w:t>
      </w:r>
      <w:r>
        <w:rPr>
          <w:color w:val="231F20"/>
          <w:spacing w:val="-18"/>
          <w:w w:val="110"/>
        </w:rPr>
        <w:t> </w:t>
      </w:r>
      <w:r>
        <w:rPr>
          <w:color w:val="231F20"/>
          <w:w w:val="110"/>
        </w:rPr>
        <w:t>de</w:t>
      </w:r>
      <w:r>
        <w:rPr>
          <w:color w:val="231F20"/>
          <w:spacing w:val="-18"/>
          <w:w w:val="110"/>
        </w:rPr>
        <w:t> </w:t>
      </w:r>
      <w:r>
        <w:rPr>
          <w:color w:val="231F20"/>
          <w:w w:val="110"/>
        </w:rPr>
        <w:t>Puebla,</w:t>
      </w:r>
      <w:r>
        <w:rPr>
          <w:color w:val="231F20"/>
          <w:spacing w:val="-18"/>
          <w:w w:val="110"/>
        </w:rPr>
        <w:t> </w:t>
      </w:r>
      <w:r>
        <w:rPr>
          <w:color w:val="231F20"/>
          <w:w w:val="110"/>
        </w:rPr>
        <w:t>México. Allí demostramos que a partir de mediados de los años ochenta, se iniciaba una recuperación tendencial de la tasa de ganancia en los países</w:t>
      </w:r>
      <w:r>
        <w:rPr>
          <w:color w:val="231F20"/>
          <w:spacing w:val="31"/>
          <w:w w:val="110"/>
        </w:rPr>
        <w:t> </w:t>
      </w:r>
      <w:r>
        <w:rPr>
          <w:color w:val="231F20"/>
          <w:w w:val="110"/>
        </w:rPr>
        <w:t>desarrollados.</w:t>
      </w:r>
      <w:r>
        <w:rPr>
          <w:color w:val="231F20"/>
          <w:spacing w:val="31"/>
          <w:w w:val="110"/>
        </w:rPr>
        <w:t> </w:t>
      </w:r>
      <w:r>
        <w:rPr>
          <w:color w:val="231F20"/>
          <w:w w:val="110"/>
        </w:rPr>
        <w:t>Al</w:t>
      </w:r>
      <w:r>
        <w:rPr>
          <w:color w:val="231F20"/>
          <w:spacing w:val="31"/>
          <w:w w:val="110"/>
        </w:rPr>
        <w:t> </w:t>
      </w:r>
      <w:r>
        <w:rPr>
          <w:color w:val="231F20"/>
          <w:w w:val="110"/>
        </w:rPr>
        <w:t>inicio</w:t>
      </w:r>
      <w:r>
        <w:rPr>
          <w:color w:val="231F20"/>
          <w:spacing w:val="31"/>
          <w:w w:val="110"/>
        </w:rPr>
        <w:t> </w:t>
      </w:r>
      <w:r>
        <w:rPr>
          <w:color w:val="231F20"/>
          <w:w w:val="110"/>
        </w:rPr>
        <w:t>citábamos</w:t>
      </w:r>
      <w:r>
        <w:rPr>
          <w:color w:val="231F20"/>
          <w:spacing w:val="31"/>
          <w:w w:val="110"/>
        </w:rPr>
        <w:t> </w:t>
      </w:r>
      <w:r>
        <w:rPr>
          <w:color w:val="231F20"/>
          <w:w w:val="110"/>
        </w:rPr>
        <w:t>un</w:t>
      </w:r>
      <w:r>
        <w:rPr>
          <w:color w:val="231F20"/>
          <w:spacing w:val="31"/>
          <w:w w:val="110"/>
        </w:rPr>
        <w:t> </w:t>
      </w:r>
      <w:r>
        <w:rPr>
          <w:color w:val="231F20"/>
          <w:w w:val="110"/>
        </w:rPr>
        <w:t>artículo</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revista</w:t>
      </w:r>
      <w:r>
        <w:rPr>
          <w:color w:val="231F20"/>
          <w:spacing w:val="1"/>
          <w:w w:val="103"/>
        </w:rPr>
        <w:t> </w:t>
      </w:r>
      <w:r>
        <w:rPr>
          <w:i/>
          <w:color w:val="231F20"/>
          <w:w w:val="110"/>
        </w:rPr>
        <w:t>Fortune</w:t>
      </w:r>
      <w:r>
        <w:rPr>
          <w:i/>
          <w:color w:val="231F20"/>
          <w:spacing w:val="-13"/>
          <w:w w:val="110"/>
        </w:rPr>
        <w:t> </w:t>
      </w:r>
      <w:r>
        <w:rPr>
          <w:color w:val="231F20"/>
          <w:w w:val="110"/>
        </w:rPr>
        <w:t>del</w:t>
      </w:r>
      <w:r>
        <w:rPr>
          <w:color w:val="231F20"/>
          <w:spacing w:val="-13"/>
          <w:w w:val="110"/>
        </w:rPr>
        <w:t> </w:t>
      </w:r>
      <w:r>
        <w:rPr>
          <w:color w:val="231F20"/>
          <w:w w:val="110"/>
        </w:rPr>
        <w:t>24</w:t>
      </w:r>
      <w:r>
        <w:rPr>
          <w:color w:val="231F20"/>
          <w:spacing w:val="-13"/>
          <w:w w:val="110"/>
        </w:rPr>
        <w:t> </w:t>
      </w:r>
      <w:r>
        <w:rPr>
          <w:color w:val="231F20"/>
          <w:w w:val="110"/>
        </w:rPr>
        <w:t>de</w:t>
      </w:r>
      <w:r>
        <w:rPr>
          <w:color w:val="231F20"/>
          <w:spacing w:val="-13"/>
          <w:w w:val="110"/>
        </w:rPr>
        <w:t> </w:t>
      </w:r>
      <w:r>
        <w:rPr>
          <w:color w:val="231F20"/>
          <w:w w:val="110"/>
        </w:rPr>
        <w:t>abril</w:t>
      </w:r>
      <w:r>
        <w:rPr>
          <w:color w:val="231F20"/>
          <w:spacing w:val="-13"/>
          <w:w w:val="110"/>
        </w:rPr>
        <w:t> </w:t>
      </w:r>
      <w:r>
        <w:rPr>
          <w:color w:val="231F20"/>
          <w:w w:val="110"/>
        </w:rPr>
        <w:t>de</w:t>
      </w:r>
      <w:r>
        <w:rPr>
          <w:color w:val="231F20"/>
          <w:spacing w:val="-13"/>
          <w:w w:val="110"/>
        </w:rPr>
        <w:t> </w:t>
      </w:r>
      <w:r>
        <w:rPr>
          <w:color w:val="231F20"/>
          <w:w w:val="110"/>
        </w:rPr>
        <w:t>1989:</w:t>
      </w:r>
    </w:p>
    <w:p>
      <w:pPr>
        <w:pStyle w:val="BodyText"/>
        <w:spacing w:before="4"/>
        <w:rPr>
          <w:sz w:val="23"/>
        </w:rPr>
      </w:pPr>
    </w:p>
    <w:p>
      <w:pPr>
        <w:spacing w:line="290" w:lineRule="auto" w:before="0"/>
        <w:ind w:left="100" w:right="117" w:firstLine="0"/>
        <w:jc w:val="both"/>
        <w:rPr>
          <w:sz w:val="18"/>
        </w:rPr>
      </w:pPr>
      <w:r>
        <w:rPr>
          <w:color w:val="231F20"/>
          <w:w w:val="110"/>
          <w:sz w:val="18"/>
        </w:rPr>
        <w:t>Utilizando prácticamente cualquier indicador, 1988 fue el mejor año que han</w:t>
      </w:r>
      <w:r>
        <w:rPr>
          <w:color w:val="231F20"/>
          <w:spacing w:val="-8"/>
          <w:w w:val="110"/>
          <w:sz w:val="18"/>
        </w:rPr>
        <w:t> </w:t>
      </w:r>
      <w:r>
        <w:rPr>
          <w:color w:val="231F20"/>
          <w:w w:val="110"/>
          <w:sz w:val="18"/>
        </w:rPr>
        <w:t>tenido</w:t>
      </w:r>
      <w:r>
        <w:rPr>
          <w:color w:val="231F20"/>
          <w:spacing w:val="-8"/>
          <w:w w:val="110"/>
          <w:sz w:val="18"/>
        </w:rPr>
        <w:t> </w:t>
      </w:r>
      <w:r>
        <w:rPr>
          <w:color w:val="231F20"/>
          <w:w w:val="110"/>
          <w:sz w:val="18"/>
        </w:rPr>
        <w:t>las</w:t>
      </w:r>
      <w:r>
        <w:rPr>
          <w:color w:val="231F20"/>
          <w:spacing w:val="-8"/>
          <w:w w:val="110"/>
          <w:sz w:val="18"/>
        </w:rPr>
        <w:t> </w:t>
      </w:r>
      <w:r>
        <w:rPr>
          <w:color w:val="231F20"/>
          <w:w w:val="110"/>
          <w:sz w:val="18"/>
        </w:rPr>
        <w:t>500</w:t>
      </w:r>
      <w:r>
        <w:rPr>
          <w:color w:val="231F20"/>
          <w:spacing w:val="-8"/>
          <w:w w:val="110"/>
          <w:sz w:val="18"/>
        </w:rPr>
        <w:t> </w:t>
      </w:r>
      <w:r>
        <w:rPr>
          <w:color w:val="231F20"/>
          <w:w w:val="110"/>
          <w:sz w:val="18"/>
        </w:rPr>
        <w:t>mayores</w:t>
      </w:r>
      <w:r>
        <w:rPr>
          <w:color w:val="231F20"/>
          <w:spacing w:val="-8"/>
          <w:w w:val="110"/>
          <w:sz w:val="18"/>
        </w:rPr>
        <w:t> </w:t>
      </w:r>
      <w:r>
        <w:rPr>
          <w:color w:val="231F20"/>
          <w:w w:val="110"/>
          <w:sz w:val="18"/>
        </w:rPr>
        <w:t>empresas</w:t>
      </w:r>
      <w:r>
        <w:rPr>
          <w:color w:val="231F20"/>
          <w:spacing w:val="-8"/>
          <w:w w:val="110"/>
          <w:sz w:val="18"/>
        </w:rPr>
        <w:t> </w:t>
      </w:r>
      <w:r>
        <w:rPr>
          <w:color w:val="231F20"/>
          <w:w w:val="110"/>
          <w:sz w:val="18"/>
        </w:rPr>
        <w:t>[…]</w:t>
      </w:r>
      <w:r>
        <w:rPr>
          <w:color w:val="231F20"/>
          <w:spacing w:val="-8"/>
          <w:w w:val="110"/>
          <w:sz w:val="18"/>
        </w:rPr>
        <w:t> </w:t>
      </w:r>
      <w:r>
        <w:rPr>
          <w:color w:val="231F20"/>
          <w:w w:val="110"/>
          <w:sz w:val="18"/>
        </w:rPr>
        <w:t>Las</w:t>
      </w:r>
      <w:r>
        <w:rPr>
          <w:color w:val="231F20"/>
          <w:spacing w:val="-8"/>
          <w:w w:val="110"/>
          <w:sz w:val="18"/>
        </w:rPr>
        <w:t> </w:t>
      </w:r>
      <w:r>
        <w:rPr>
          <w:color w:val="231F20"/>
          <w:w w:val="110"/>
          <w:sz w:val="18"/>
        </w:rPr>
        <w:t>ganancias</w:t>
      </w:r>
      <w:r>
        <w:rPr>
          <w:color w:val="231F20"/>
          <w:spacing w:val="-8"/>
          <w:w w:val="110"/>
          <w:sz w:val="18"/>
        </w:rPr>
        <w:t> </w:t>
      </w:r>
      <w:r>
        <w:rPr>
          <w:color w:val="231F20"/>
          <w:w w:val="110"/>
          <w:sz w:val="18"/>
        </w:rPr>
        <w:t>se</w:t>
      </w:r>
      <w:r>
        <w:rPr>
          <w:color w:val="231F20"/>
          <w:spacing w:val="-8"/>
          <w:w w:val="110"/>
          <w:sz w:val="18"/>
        </w:rPr>
        <w:t> </w:t>
      </w:r>
      <w:r>
        <w:rPr>
          <w:color w:val="231F20"/>
          <w:w w:val="110"/>
          <w:sz w:val="18"/>
        </w:rPr>
        <w:t>dispararon</w:t>
      </w:r>
      <w:r>
        <w:rPr>
          <w:color w:val="231F20"/>
          <w:spacing w:val="-8"/>
          <w:w w:val="110"/>
          <w:sz w:val="18"/>
        </w:rPr>
        <w:t> </w:t>
      </w:r>
      <w:r>
        <w:rPr>
          <w:color w:val="231F20"/>
          <w:w w:val="110"/>
          <w:sz w:val="18"/>
        </w:rPr>
        <w:t>a</w:t>
      </w:r>
      <w:r>
        <w:rPr>
          <w:color w:val="231F20"/>
          <w:spacing w:val="-8"/>
          <w:w w:val="110"/>
          <w:sz w:val="18"/>
        </w:rPr>
        <w:t> </w:t>
      </w:r>
      <w:r>
        <w:rPr>
          <w:color w:val="231F20"/>
          <w:w w:val="110"/>
          <w:sz w:val="18"/>
        </w:rPr>
        <w:t>115 billones (miles de millones), lo que significó un salto de 27% y constituyó otro</w:t>
      </w:r>
      <w:r>
        <w:rPr>
          <w:color w:val="231F20"/>
          <w:spacing w:val="34"/>
          <w:w w:val="110"/>
          <w:sz w:val="18"/>
        </w:rPr>
        <w:t> </w:t>
      </w:r>
      <w:r>
        <w:rPr>
          <w:color w:val="231F20"/>
          <w:w w:val="110"/>
          <w:sz w:val="18"/>
        </w:rPr>
        <w:t>récord.</w:t>
      </w:r>
    </w:p>
    <w:p>
      <w:pPr>
        <w:spacing w:after="0" w:line="290" w:lineRule="auto"/>
        <w:jc w:val="both"/>
        <w:rPr>
          <w:sz w:val="18"/>
        </w:rPr>
        <w:sectPr>
          <w:pgSz w:w="7640" w:h="11900"/>
          <w:pgMar w:header="672" w:footer="0" w:top="860" w:bottom="280" w:left="780" w:right="640"/>
        </w:sectPr>
      </w:pPr>
    </w:p>
    <w:p>
      <w:pPr>
        <w:pStyle w:val="BodyText"/>
        <w:spacing w:before="8"/>
        <w:rPr>
          <w:sz w:val="8"/>
        </w:rPr>
      </w:pPr>
    </w:p>
    <w:p>
      <w:pPr>
        <w:spacing w:before="67"/>
        <w:ind w:left="340" w:right="25" w:firstLine="0"/>
        <w:jc w:val="left"/>
        <w:rPr>
          <w:sz w:val="20"/>
        </w:rPr>
      </w:pPr>
      <w:r>
        <w:rPr>
          <w:i/>
          <w:color w:val="231F20"/>
          <w:w w:val="105"/>
          <w:sz w:val="20"/>
        </w:rPr>
        <w:t>Fortune </w:t>
      </w:r>
      <w:r>
        <w:rPr>
          <w:color w:val="231F20"/>
          <w:w w:val="105"/>
          <w:sz w:val="20"/>
        </w:rPr>
        <w:t>continuaba:</w:t>
      </w:r>
    </w:p>
    <w:p>
      <w:pPr>
        <w:pStyle w:val="BodyText"/>
        <w:spacing w:before="1"/>
        <w:rPr>
          <w:sz w:val="25"/>
        </w:rPr>
      </w:pPr>
    </w:p>
    <w:p>
      <w:pPr>
        <w:spacing w:line="290" w:lineRule="auto" w:before="0"/>
        <w:ind w:left="100" w:right="118" w:firstLine="0"/>
        <w:jc w:val="both"/>
        <w:rPr>
          <w:i/>
          <w:sz w:val="18"/>
        </w:rPr>
      </w:pPr>
      <w:r>
        <w:rPr>
          <w:color w:val="231F20"/>
          <w:w w:val="110"/>
          <w:sz w:val="18"/>
        </w:rPr>
        <w:t>Las ganancias en dólares constantes excedieron a aquellas obtenidas en el año</w:t>
      </w:r>
      <w:r>
        <w:rPr>
          <w:color w:val="231F20"/>
          <w:spacing w:val="-13"/>
          <w:w w:val="110"/>
          <w:sz w:val="18"/>
        </w:rPr>
        <w:t> </w:t>
      </w:r>
      <w:r>
        <w:rPr>
          <w:color w:val="231F20"/>
          <w:w w:val="110"/>
          <w:sz w:val="18"/>
        </w:rPr>
        <w:t>base</w:t>
      </w:r>
      <w:r>
        <w:rPr>
          <w:color w:val="231F20"/>
          <w:spacing w:val="-13"/>
          <w:w w:val="110"/>
          <w:sz w:val="18"/>
        </w:rPr>
        <w:t> </w:t>
      </w:r>
      <w:r>
        <w:rPr>
          <w:color w:val="231F20"/>
          <w:w w:val="110"/>
          <w:sz w:val="18"/>
        </w:rPr>
        <w:t>anterior</w:t>
      </w:r>
      <w:r>
        <w:rPr>
          <w:color w:val="231F20"/>
          <w:spacing w:val="-13"/>
          <w:w w:val="110"/>
          <w:sz w:val="18"/>
        </w:rPr>
        <w:t> </w:t>
      </w:r>
      <w:r>
        <w:rPr>
          <w:color w:val="231F20"/>
          <w:w w:val="110"/>
          <w:sz w:val="18"/>
        </w:rPr>
        <w:t>que</w:t>
      </w:r>
      <w:r>
        <w:rPr>
          <w:color w:val="231F20"/>
          <w:spacing w:val="-13"/>
          <w:w w:val="110"/>
          <w:sz w:val="18"/>
        </w:rPr>
        <w:t> </w:t>
      </w:r>
      <w:r>
        <w:rPr>
          <w:color w:val="231F20"/>
          <w:w w:val="110"/>
          <w:sz w:val="18"/>
        </w:rPr>
        <w:t>fue</w:t>
      </w:r>
      <w:r>
        <w:rPr>
          <w:color w:val="231F20"/>
          <w:spacing w:val="-13"/>
          <w:w w:val="110"/>
          <w:sz w:val="18"/>
        </w:rPr>
        <w:t> </w:t>
      </w:r>
      <w:r>
        <w:rPr>
          <w:color w:val="231F20"/>
          <w:w w:val="110"/>
          <w:sz w:val="18"/>
        </w:rPr>
        <w:t>1980.</w:t>
      </w:r>
      <w:r>
        <w:rPr>
          <w:color w:val="231F20"/>
          <w:spacing w:val="-13"/>
          <w:w w:val="110"/>
          <w:sz w:val="18"/>
        </w:rPr>
        <w:t> </w:t>
      </w:r>
      <w:r>
        <w:rPr>
          <w:color w:val="231F20"/>
          <w:w w:val="110"/>
          <w:sz w:val="18"/>
        </w:rPr>
        <w:t>Desde</w:t>
      </w:r>
      <w:r>
        <w:rPr>
          <w:color w:val="231F20"/>
          <w:spacing w:val="-13"/>
          <w:w w:val="110"/>
          <w:sz w:val="18"/>
        </w:rPr>
        <w:t> </w:t>
      </w:r>
      <w:r>
        <w:rPr>
          <w:color w:val="231F20"/>
          <w:w w:val="110"/>
          <w:sz w:val="18"/>
        </w:rPr>
        <w:t>cualquier</w:t>
      </w:r>
      <w:r>
        <w:rPr>
          <w:color w:val="231F20"/>
          <w:spacing w:val="-13"/>
          <w:w w:val="110"/>
          <w:sz w:val="18"/>
        </w:rPr>
        <w:t> </w:t>
      </w:r>
      <w:r>
        <w:rPr>
          <w:color w:val="231F20"/>
          <w:w w:val="110"/>
          <w:sz w:val="18"/>
        </w:rPr>
        <w:t>punto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vista,</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año</w:t>
      </w:r>
      <w:r>
        <w:rPr>
          <w:color w:val="231F20"/>
          <w:spacing w:val="-13"/>
          <w:w w:val="110"/>
          <w:sz w:val="18"/>
        </w:rPr>
        <w:t> </w:t>
      </w:r>
      <w:r>
        <w:rPr>
          <w:color w:val="231F20"/>
          <w:w w:val="110"/>
          <w:sz w:val="18"/>
        </w:rPr>
        <w:t>pasado fue el más próspero para las 500 a partir de que </w:t>
      </w:r>
      <w:r>
        <w:rPr>
          <w:i/>
          <w:color w:val="231F20"/>
          <w:w w:val="110"/>
          <w:sz w:val="18"/>
        </w:rPr>
        <w:t>Fortune </w:t>
      </w:r>
      <w:r>
        <w:rPr>
          <w:color w:val="231F20"/>
          <w:w w:val="110"/>
          <w:sz w:val="18"/>
        </w:rPr>
        <w:t>publicó el primer directorio de dichas empresas en</w:t>
      </w:r>
      <w:r>
        <w:rPr>
          <w:color w:val="231F20"/>
          <w:spacing w:val="32"/>
          <w:w w:val="110"/>
          <w:sz w:val="18"/>
        </w:rPr>
        <w:t> </w:t>
      </w:r>
      <w:r>
        <w:rPr>
          <w:color w:val="231F20"/>
          <w:w w:val="110"/>
          <w:sz w:val="18"/>
        </w:rPr>
        <w:t>1955</w:t>
      </w:r>
      <w:r>
        <w:rPr>
          <w:i/>
          <w:color w:val="231F20"/>
          <w:w w:val="110"/>
          <w:sz w:val="18"/>
        </w:rPr>
        <w:t>.</w:t>
      </w:r>
    </w:p>
    <w:p>
      <w:pPr>
        <w:pStyle w:val="BodyText"/>
        <w:spacing w:before="2"/>
        <w:rPr>
          <w:i/>
        </w:rPr>
      </w:pPr>
    </w:p>
    <w:p>
      <w:pPr>
        <w:pStyle w:val="BodyText"/>
        <w:spacing w:line="261" w:lineRule="auto"/>
        <w:ind w:left="100" w:right="118" w:firstLine="240"/>
        <w:jc w:val="both"/>
      </w:pPr>
      <w:r>
        <w:rPr>
          <w:color w:val="231F20"/>
          <w:w w:val="105"/>
        </w:rPr>
        <w:t>En el documento de 1989 utilizamos estadísticas de la ocde sobre tasa de ganancia desde 1970 a 1988 para los países desarrollados G-7   y</w:t>
      </w:r>
      <w:r>
        <w:rPr>
          <w:color w:val="231F20"/>
          <w:spacing w:val="18"/>
          <w:w w:val="105"/>
        </w:rPr>
        <w:t> </w:t>
      </w:r>
      <w:r>
        <w:rPr>
          <w:color w:val="231F20"/>
          <w:w w:val="105"/>
        </w:rPr>
        <w:t>destacábamos:</w:t>
      </w:r>
    </w:p>
    <w:p>
      <w:pPr>
        <w:pStyle w:val="BodyText"/>
        <w:spacing w:before="4"/>
        <w:rPr>
          <w:sz w:val="23"/>
        </w:rPr>
      </w:pPr>
    </w:p>
    <w:p>
      <w:pPr>
        <w:spacing w:line="290" w:lineRule="auto" w:before="0"/>
        <w:ind w:left="100" w:right="119" w:firstLine="0"/>
        <w:jc w:val="both"/>
        <w:rPr>
          <w:sz w:val="18"/>
        </w:rPr>
      </w:pPr>
      <w:r>
        <w:rPr>
          <w:color w:val="231F20"/>
          <w:w w:val="110"/>
          <w:sz w:val="18"/>
        </w:rPr>
        <w:t>En</w:t>
      </w:r>
      <w:r>
        <w:rPr>
          <w:color w:val="231F20"/>
          <w:spacing w:val="-10"/>
          <w:w w:val="110"/>
          <w:sz w:val="18"/>
        </w:rPr>
        <w:t> </w:t>
      </w:r>
      <w:r>
        <w:rPr>
          <w:color w:val="231F20"/>
          <w:w w:val="110"/>
          <w:sz w:val="18"/>
        </w:rPr>
        <w:t>1987</w:t>
      </w:r>
      <w:r>
        <w:rPr>
          <w:color w:val="231F20"/>
          <w:spacing w:val="-10"/>
          <w:w w:val="110"/>
          <w:sz w:val="18"/>
        </w:rPr>
        <w:t> </w:t>
      </w:r>
      <w:r>
        <w:rPr>
          <w:color w:val="231F20"/>
          <w:w w:val="110"/>
          <w:sz w:val="18"/>
        </w:rPr>
        <w:t>y</w:t>
      </w:r>
      <w:r>
        <w:rPr>
          <w:color w:val="231F20"/>
          <w:spacing w:val="-10"/>
          <w:w w:val="110"/>
          <w:sz w:val="18"/>
        </w:rPr>
        <w:t> </w:t>
      </w:r>
      <w:r>
        <w:rPr>
          <w:color w:val="231F20"/>
          <w:w w:val="110"/>
          <w:sz w:val="18"/>
        </w:rPr>
        <w:t>1988,</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economía</w:t>
      </w:r>
      <w:r>
        <w:rPr>
          <w:color w:val="231F20"/>
          <w:spacing w:val="-10"/>
          <w:w w:val="110"/>
          <w:sz w:val="18"/>
        </w:rPr>
        <w:t> </w:t>
      </w:r>
      <w:r>
        <w:rPr>
          <w:color w:val="231F20"/>
          <w:w w:val="110"/>
          <w:sz w:val="18"/>
        </w:rPr>
        <w:t>estadunidense</w:t>
      </w:r>
      <w:r>
        <w:rPr>
          <w:color w:val="231F20"/>
          <w:spacing w:val="-10"/>
          <w:w w:val="110"/>
          <w:sz w:val="18"/>
        </w:rPr>
        <w:t> </w:t>
      </w:r>
      <w:r>
        <w:rPr>
          <w:color w:val="231F20"/>
          <w:w w:val="110"/>
          <w:sz w:val="18"/>
        </w:rPr>
        <w:t>logró</w:t>
      </w:r>
      <w:r>
        <w:rPr>
          <w:color w:val="231F20"/>
          <w:spacing w:val="-10"/>
          <w:w w:val="110"/>
          <w:sz w:val="18"/>
        </w:rPr>
        <w:t> </w:t>
      </w:r>
      <w:r>
        <w:rPr>
          <w:color w:val="231F20"/>
          <w:w w:val="110"/>
          <w:sz w:val="18"/>
        </w:rPr>
        <w:t>un</w:t>
      </w:r>
      <w:r>
        <w:rPr>
          <w:color w:val="231F20"/>
          <w:spacing w:val="-10"/>
          <w:w w:val="110"/>
          <w:sz w:val="18"/>
        </w:rPr>
        <w:t> </w:t>
      </w:r>
      <w:r>
        <w:rPr>
          <w:color w:val="231F20"/>
          <w:w w:val="110"/>
          <w:sz w:val="18"/>
        </w:rPr>
        <w:t>crecimiento</w:t>
      </w:r>
      <w:r>
        <w:rPr>
          <w:color w:val="231F20"/>
          <w:spacing w:val="-10"/>
          <w:w w:val="110"/>
          <w:sz w:val="18"/>
        </w:rPr>
        <w:t> </w:t>
      </w:r>
      <w:r>
        <w:rPr>
          <w:color w:val="231F20"/>
          <w:w w:val="110"/>
          <w:sz w:val="18"/>
        </w:rPr>
        <w:t>importante […] y es explicado en parte importante por un crecimiento de la tasa de  ganancia […] Esta tasa de ganancia es mayor a la que la economía nor-  teamericana tenía en los primeros años setenta” (inicio de la</w:t>
      </w:r>
      <w:r>
        <w:rPr>
          <w:color w:val="231F20"/>
          <w:spacing w:val="41"/>
          <w:w w:val="110"/>
          <w:sz w:val="18"/>
        </w:rPr>
        <w:t> </w:t>
      </w:r>
      <w:r>
        <w:rPr>
          <w:color w:val="231F20"/>
          <w:w w:val="110"/>
          <w:sz w:val="18"/>
        </w:rPr>
        <w:t>llamada</w:t>
      </w:r>
      <w:r>
        <w:rPr>
          <w:color w:val="231F20"/>
          <w:spacing w:val="9"/>
          <w:w w:val="110"/>
          <w:sz w:val="18"/>
        </w:rPr>
        <w:t> </w:t>
      </w:r>
      <w:r>
        <w:rPr>
          <w:color w:val="231F20"/>
          <w:w w:val="110"/>
          <w:sz w:val="18"/>
        </w:rPr>
        <w:t>crisis</w:t>
      </w:r>
      <w:r>
        <w:rPr>
          <w:color w:val="231F20"/>
          <w:w w:val="101"/>
          <w:sz w:val="18"/>
        </w:rPr>
        <w:t> </w:t>
      </w:r>
      <w:r>
        <w:rPr>
          <w:color w:val="231F20"/>
          <w:w w:val="110"/>
          <w:sz w:val="18"/>
        </w:rPr>
        <w:t>estructural o de crecimiento </w:t>
      </w:r>
      <w:r>
        <w:rPr>
          <w:color w:val="231F20"/>
          <w:spacing w:val="27"/>
          <w:w w:val="110"/>
          <w:sz w:val="18"/>
        </w:rPr>
        <w:t> </w:t>
      </w:r>
      <w:r>
        <w:rPr>
          <w:color w:val="231F20"/>
          <w:w w:val="110"/>
          <w:sz w:val="18"/>
        </w:rPr>
        <w:t>lento).</w:t>
      </w:r>
    </w:p>
    <w:p>
      <w:pPr>
        <w:spacing w:line="290" w:lineRule="auto" w:before="1"/>
        <w:ind w:left="100" w:right="119" w:firstLine="250"/>
        <w:jc w:val="both"/>
        <w:rPr>
          <w:sz w:val="18"/>
        </w:rPr>
      </w:pPr>
      <w:r>
        <w:rPr>
          <w:color w:val="231F20"/>
          <w:w w:val="105"/>
          <w:sz w:val="18"/>
        </w:rPr>
        <w:t>La tendencia decreciente (de la tasa de ganancia para el G-7) es mani-</w:t>
      </w:r>
      <w:r>
        <w:rPr>
          <w:color w:val="231F20"/>
          <w:spacing w:val="47"/>
          <w:w w:val="105"/>
          <w:sz w:val="18"/>
        </w:rPr>
        <w:t> </w:t>
      </w:r>
      <w:r>
        <w:rPr>
          <w:color w:val="231F20"/>
          <w:w w:val="105"/>
          <w:sz w:val="18"/>
        </w:rPr>
        <w:t>fiesta hasta 1982 […] La recuperación cíclica de la tasa de ganancia es muy significativa […] En 1987 y 1988 tuvo incrementos que la llevaron a niveles</w:t>
      </w:r>
      <w:r>
        <w:rPr>
          <w:color w:val="231F20"/>
          <w:spacing w:val="47"/>
          <w:w w:val="105"/>
          <w:sz w:val="18"/>
        </w:rPr>
        <w:t> </w:t>
      </w:r>
      <w:r>
        <w:rPr>
          <w:color w:val="231F20"/>
          <w:w w:val="105"/>
          <w:sz w:val="18"/>
        </w:rPr>
        <w:t>de</w:t>
      </w:r>
      <w:r>
        <w:rPr>
          <w:color w:val="231F20"/>
          <w:spacing w:val="20"/>
          <w:w w:val="105"/>
          <w:sz w:val="18"/>
        </w:rPr>
        <w:t> </w:t>
      </w:r>
      <w:r>
        <w:rPr>
          <w:color w:val="231F20"/>
          <w:w w:val="105"/>
          <w:sz w:val="18"/>
        </w:rPr>
        <w:t>21%,</w:t>
      </w:r>
      <w:r>
        <w:rPr>
          <w:color w:val="231F20"/>
          <w:spacing w:val="20"/>
          <w:w w:val="105"/>
          <w:sz w:val="18"/>
        </w:rPr>
        <w:t> </w:t>
      </w:r>
      <w:r>
        <w:rPr>
          <w:color w:val="231F20"/>
          <w:w w:val="105"/>
          <w:sz w:val="18"/>
        </w:rPr>
        <w:t>acercándose</w:t>
      </w:r>
      <w:r>
        <w:rPr>
          <w:color w:val="231F20"/>
          <w:spacing w:val="20"/>
          <w:w w:val="105"/>
          <w:sz w:val="18"/>
        </w:rPr>
        <w:t> </w:t>
      </w:r>
      <w:r>
        <w:rPr>
          <w:color w:val="231F20"/>
          <w:w w:val="105"/>
          <w:sz w:val="18"/>
        </w:rPr>
        <w:t>a</w:t>
      </w:r>
      <w:r>
        <w:rPr>
          <w:color w:val="231F20"/>
          <w:spacing w:val="20"/>
          <w:w w:val="105"/>
          <w:sz w:val="18"/>
        </w:rPr>
        <w:t> </w:t>
      </w:r>
      <w:r>
        <w:rPr>
          <w:color w:val="231F20"/>
          <w:w w:val="105"/>
          <w:sz w:val="18"/>
        </w:rPr>
        <w:t>las</w:t>
      </w:r>
      <w:r>
        <w:rPr>
          <w:color w:val="231F20"/>
          <w:spacing w:val="20"/>
          <w:w w:val="105"/>
          <w:sz w:val="18"/>
        </w:rPr>
        <w:t> </w:t>
      </w:r>
      <w:r>
        <w:rPr>
          <w:color w:val="231F20"/>
          <w:w w:val="105"/>
          <w:sz w:val="18"/>
        </w:rPr>
        <w:t>tasas</w:t>
      </w:r>
      <w:r>
        <w:rPr>
          <w:color w:val="231F20"/>
          <w:spacing w:val="20"/>
          <w:w w:val="105"/>
          <w:sz w:val="18"/>
        </w:rPr>
        <w:t> </w:t>
      </w:r>
      <w:r>
        <w:rPr>
          <w:color w:val="231F20"/>
          <w:w w:val="105"/>
          <w:sz w:val="18"/>
        </w:rPr>
        <w:t>previas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inicios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los</w:t>
      </w:r>
      <w:r>
        <w:rPr>
          <w:color w:val="231F20"/>
          <w:spacing w:val="20"/>
          <w:w w:val="105"/>
          <w:sz w:val="18"/>
        </w:rPr>
        <w:t> </w:t>
      </w:r>
      <w:r>
        <w:rPr>
          <w:color w:val="231F20"/>
          <w:w w:val="105"/>
          <w:sz w:val="18"/>
        </w:rPr>
        <w:t>años</w:t>
      </w:r>
      <w:r>
        <w:rPr>
          <w:color w:val="231F20"/>
          <w:spacing w:val="20"/>
          <w:w w:val="105"/>
          <w:sz w:val="18"/>
        </w:rPr>
        <w:t> </w:t>
      </w:r>
      <w:r>
        <w:rPr>
          <w:color w:val="231F20"/>
          <w:w w:val="105"/>
          <w:sz w:val="18"/>
        </w:rPr>
        <w:t>setenta.</w:t>
      </w:r>
    </w:p>
    <w:p>
      <w:pPr>
        <w:pStyle w:val="BodyText"/>
        <w:spacing w:before="2"/>
      </w:pPr>
    </w:p>
    <w:p>
      <w:pPr>
        <w:pStyle w:val="BodyText"/>
        <w:ind w:left="340" w:right="25"/>
      </w:pPr>
      <w:r>
        <w:rPr>
          <w:color w:val="231F20"/>
          <w:w w:val="105"/>
        </w:rPr>
        <w:t>Se destaca,</w:t>
      </w:r>
    </w:p>
    <w:p>
      <w:pPr>
        <w:pStyle w:val="BodyText"/>
        <w:spacing w:before="1"/>
        <w:rPr>
          <w:sz w:val="25"/>
        </w:rPr>
      </w:pPr>
    </w:p>
    <w:p>
      <w:pPr>
        <w:spacing w:line="290" w:lineRule="auto" w:before="0"/>
        <w:ind w:left="100" w:right="117" w:firstLine="0"/>
        <w:jc w:val="both"/>
        <w:rPr>
          <w:sz w:val="18"/>
        </w:rPr>
      </w:pPr>
      <w:r>
        <w:rPr>
          <w:color w:val="231F20"/>
          <w:w w:val="110"/>
          <w:sz w:val="18"/>
        </w:rPr>
        <w:t>En los años recientes el vínculo entre los relativamente elevados niveles de actividad, la fuerte recuperación de la tasa de ganancia y el crecimiento de la inversión, en particular la privada, con el momento actual por el que está transitando el capitalismo en relación con el movimiento cíclico, las crisis cíclicas y también con la crisis estructural.</w:t>
      </w:r>
    </w:p>
    <w:p>
      <w:pPr>
        <w:spacing w:line="290" w:lineRule="auto" w:before="1"/>
        <w:ind w:left="100" w:right="117" w:firstLine="250"/>
        <w:jc w:val="both"/>
        <w:rPr>
          <w:sz w:val="18"/>
        </w:rPr>
      </w:pPr>
      <w:r>
        <w:rPr>
          <w:color w:val="231F20"/>
          <w:w w:val="110"/>
          <w:sz w:val="18"/>
        </w:rPr>
        <w:t>La</w:t>
      </w:r>
      <w:r>
        <w:rPr>
          <w:color w:val="231F20"/>
          <w:spacing w:val="-17"/>
          <w:w w:val="110"/>
          <w:sz w:val="18"/>
        </w:rPr>
        <w:t> </w:t>
      </w:r>
      <w:r>
        <w:rPr>
          <w:color w:val="231F20"/>
          <w:w w:val="110"/>
          <w:sz w:val="18"/>
        </w:rPr>
        <w:t>significación</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tendencia</w:t>
      </w:r>
      <w:r>
        <w:rPr>
          <w:color w:val="231F20"/>
          <w:spacing w:val="-17"/>
          <w:w w:val="110"/>
          <w:sz w:val="18"/>
        </w:rPr>
        <w:t> </w:t>
      </w:r>
      <w:r>
        <w:rPr>
          <w:color w:val="231F20"/>
          <w:w w:val="110"/>
          <w:sz w:val="18"/>
        </w:rPr>
        <w:t>a</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igualación</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las</w:t>
      </w:r>
      <w:r>
        <w:rPr>
          <w:color w:val="231F20"/>
          <w:spacing w:val="-17"/>
          <w:w w:val="110"/>
          <w:sz w:val="18"/>
        </w:rPr>
        <w:t> </w:t>
      </w:r>
      <w:r>
        <w:rPr>
          <w:color w:val="231F20"/>
          <w:w w:val="110"/>
          <w:sz w:val="18"/>
        </w:rPr>
        <w:t>tasas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ganancia</w:t>
      </w:r>
      <w:r>
        <w:rPr>
          <w:color w:val="231F20"/>
          <w:spacing w:val="-17"/>
          <w:w w:val="110"/>
          <w:sz w:val="18"/>
        </w:rPr>
        <w:t> </w:t>
      </w:r>
      <w:r>
        <w:rPr>
          <w:color w:val="231F20"/>
          <w:w w:val="110"/>
          <w:sz w:val="18"/>
        </w:rPr>
        <w:t>en- tre</w:t>
      </w:r>
      <w:r>
        <w:rPr>
          <w:color w:val="231F20"/>
          <w:spacing w:val="-17"/>
          <w:w w:val="110"/>
          <w:sz w:val="18"/>
        </w:rPr>
        <w:t> </w:t>
      </w:r>
      <w:r>
        <w:rPr>
          <w:color w:val="231F20"/>
          <w:w w:val="110"/>
          <w:sz w:val="18"/>
        </w:rPr>
        <w:t>los</w:t>
      </w:r>
      <w:r>
        <w:rPr>
          <w:color w:val="231F20"/>
          <w:spacing w:val="-17"/>
          <w:w w:val="110"/>
          <w:sz w:val="18"/>
        </w:rPr>
        <w:t> </w:t>
      </w:r>
      <w:r>
        <w:rPr>
          <w:color w:val="231F20"/>
          <w:w w:val="110"/>
          <w:sz w:val="18"/>
        </w:rPr>
        <w:t>principales</w:t>
      </w:r>
      <w:r>
        <w:rPr>
          <w:color w:val="231F20"/>
          <w:spacing w:val="-17"/>
          <w:w w:val="110"/>
          <w:sz w:val="18"/>
        </w:rPr>
        <w:t> </w:t>
      </w:r>
      <w:r>
        <w:rPr>
          <w:color w:val="231F20"/>
          <w:w w:val="110"/>
          <w:sz w:val="18"/>
        </w:rPr>
        <w:t>países</w:t>
      </w:r>
      <w:r>
        <w:rPr>
          <w:color w:val="231F20"/>
          <w:spacing w:val="-17"/>
          <w:w w:val="110"/>
          <w:sz w:val="18"/>
        </w:rPr>
        <w:t> </w:t>
      </w:r>
      <w:r>
        <w:rPr>
          <w:color w:val="231F20"/>
          <w:w w:val="110"/>
          <w:sz w:val="18"/>
        </w:rPr>
        <w:t>capitalistas</w:t>
      </w:r>
      <w:r>
        <w:rPr>
          <w:color w:val="231F20"/>
          <w:spacing w:val="-17"/>
          <w:w w:val="110"/>
          <w:sz w:val="18"/>
        </w:rPr>
        <w:t> </w:t>
      </w:r>
      <w:r>
        <w:rPr>
          <w:color w:val="231F20"/>
          <w:w w:val="110"/>
          <w:sz w:val="18"/>
        </w:rPr>
        <w:t>desarrollados,</w:t>
      </w:r>
      <w:r>
        <w:rPr>
          <w:color w:val="231F20"/>
          <w:spacing w:val="-17"/>
          <w:w w:val="110"/>
          <w:sz w:val="18"/>
        </w:rPr>
        <w:t> </w:t>
      </w:r>
      <w:r>
        <w:rPr>
          <w:color w:val="231F20"/>
          <w:w w:val="110"/>
          <w:sz w:val="18"/>
        </w:rPr>
        <w:t>su</w:t>
      </w:r>
      <w:r>
        <w:rPr>
          <w:color w:val="231F20"/>
          <w:spacing w:val="-17"/>
          <w:w w:val="110"/>
          <w:sz w:val="18"/>
        </w:rPr>
        <w:t> </w:t>
      </w:r>
      <w:r>
        <w:rPr>
          <w:color w:val="231F20"/>
          <w:w w:val="110"/>
          <w:sz w:val="18"/>
        </w:rPr>
        <w:t>vínculo</w:t>
      </w:r>
      <w:r>
        <w:rPr>
          <w:color w:val="231F20"/>
          <w:spacing w:val="-17"/>
          <w:w w:val="110"/>
          <w:sz w:val="18"/>
        </w:rPr>
        <w:t> </w:t>
      </w:r>
      <w:r>
        <w:rPr>
          <w:color w:val="231F20"/>
          <w:w w:val="110"/>
          <w:sz w:val="18"/>
        </w:rPr>
        <w:t>con</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aumento de la competencia y con la economía mundial como escenario de actuación también</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las</w:t>
      </w:r>
      <w:r>
        <w:rPr>
          <w:color w:val="231F20"/>
          <w:spacing w:val="-5"/>
          <w:w w:val="110"/>
          <w:sz w:val="18"/>
        </w:rPr>
        <w:t> </w:t>
      </w:r>
      <w:r>
        <w:rPr>
          <w:color w:val="231F20"/>
          <w:w w:val="110"/>
          <w:sz w:val="18"/>
        </w:rPr>
        <w:t>categorías</w:t>
      </w:r>
      <w:r>
        <w:rPr>
          <w:color w:val="231F20"/>
          <w:spacing w:val="-5"/>
          <w:w w:val="110"/>
          <w:sz w:val="18"/>
        </w:rPr>
        <w:t> </w:t>
      </w:r>
      <w:r>
        <w:rPr>
          <w:color w:val="231F20"/>
          <w:w w:val="110"/>
          <w:sz w:val="18"/>
        </w:rPr>
        <w:t>y</w:t>
      </w:r>
      <w:r>
        <w:rPr>
          <w:color w:val="231F20"/>
          <w:spacing w:val="-5"/>
          <w:w w:val="110"/>
          <w:sz w:val="18"/>
        </w:rPr>
        <w:t> </w:t>
      </w:r>
      <w:r>
        <w:rPr>
          <w:color w:val="231F20"/>
          <w:w w:val="110"/>
          <w:sz w:val="18"/>
        </w:rPr>
        <w:t>leyes</w:t>
      </w:r>
      <w:r>
        <w:rPr>
          <w:color w:val="231F20"/>
          <w:spacing w:val="-5"/>
          <w:w w:val="110"/>
          <w:sz w:val="18"/>
        </w:rPr>
        <w:t> </w:t>
      </w:r>
      <w:r>
        <w:rPr>
          <w:color w:val="231F20"/>
          <w:w w:val="110"/>
          <w:sz w:val="18"/>
        </w:rPr>
        <w:t>económicas</w:t>
      </w:r>
      <w:r>
        <w:rPr>
          <w:color w:val="231F20"/>
          <w:spacing w:val="-5"/>
          <w:w w:val="110"/>
          <w:sz w:val="18"/>
        </w:rPr>
        <w:t> </w:t>
      </w:r>
      <w:r>
        <w:rPr>
          <w:color w:val="231F20"/>
          <w:w w:val="110"/>
          <w:sz w:val="18"/>
        </w:rPr>
        <w:t>del</w:t>
      </w:r>
      <w:r>
        <w:rPr>
          <w:color w:val="231F20"/>
          <w:spacing w:val="-5"/>
          <w:w w:val="110"/>
          <w:sz w:val="18"/>
        </w:rPr>
        <w:t> </w:t>
      </w:r>
      <w:r>
        <w:rPr>
          <w:color w:val="231F20"/>
          <w:w w:val="110"/>
          <w:sz w:val="18"/>
        </w:rPr>
        <w:t>capitalismo</w:t>
      </w:r>
    </w:p>
    <w:p>
      <w:pPr>
        <w:pStyle w:val="BodyText"/>
        <w:spacing w:before="2"/>
      </w:pPr>
    </w:p>
    <w:p>
      <w:pPr>
        <w:pStyle w:val="BodyText"/>
        <w:spacing w:line="261" w:lineRule="auto"/>
        <w:ind w:left="100" w:right="115" w:firstLine="252"/>
        <w:jc w:val="both"/>
      </w:pPr>
      <w:r>
        <w:rPr>
          <w:color w:val="231F20"/>
          <w:w w:val="110"/>
        </w:rPr>
        <w:t>La tendencia muestra claramente una recuperación de las ganan- cias globales medidas como tasas de retorno a partir de mediados  de los años ochenta, recuperando niveles cercanos a los de fines de los años sesenta. Esta tendencia es más manifiesta aun en el caso   de la tasa de retorno después de impuestos. Las gráficas muestran </w:t>
      </w:r>
      <w:r>
        <w:rPr>
          <w:color w:val="231F20"/>
          <w:spacing w:val="2"/>
          <w:w w:val="110"/>
        </w:rPr>
        <w:t>también </w:t>
      </w:r>
      <w:r>
        <w:rPr>
          <w:color w:val="231F20"/>
          <w:w w:val="110"/>
        </w:rPr>
        <w:t>que  se  </w:t>
      </w:r>
      <w:r>
        <w:rPr>
          <w:color w:val="231F20"/>
          <w:spacing w:val="2"/>
          <w:w w:val="110"/>
        </w:rPr>
        <w:t>producen fuertes disminuciones </w:t>
      </w:r>
      <w:r>
        <w:rPr>
          <w:color w:val="231F20"/>
          <w:w w:val="110"/>
        </w:rPr>
        <w:t>de  las  </w:t>
      </w:r>
      <w:r>
        <w:rPr>
          <w:color w:val="231F20"/>
          <w:spacing w:val="2"/>
          <w:w w:val="110"/>
        </w:rPr>
        <w:t>tasas   </w:t>
      </w:r>
      <w:r>
        <w:rPr>
          <w:color w:val="231F20"/>
          <w:spacing w:val="20"/>
          <w:w w:val="110"/>
        </w:rPr>
        <w:t> </w:t>
      </w:r>
      <w:r>
        <w:rPr>
          <w:color w:val="231F20"/>
          <w:spacing w:val="3"/>
          <w:w w:val="110"/>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25"/>
      </w:pPr>
      <w:r>
        <w:rPr>
          <w:color w:val="231F20"/>
          <w:w w:val="110"/>
        </w:rPr>
        <w:t>retorno, previo a las crisis de los últimos decenios, pero a partir de niveles elevados.</w:t>
      </w:r>
    </w:p>
    <w:p>
      <w:pPr>
        <w:pStyle w:val="BodyText"/>
        <w:spacing w:before="2"/>
        <w:rPr>
          <w:sz w:val="24"/>
        </w:rPr>
      </w:pPr>
    </w:p>
    <w:p>
      <w:pPr>
        <w:spacing w:line="290" w:lineRule="auto" w:before="0"/>
        <w:ind w:left="100" w:right="25" w:firstLine="0"/>
        <w:jc w:val="left"/>
        <w:rPr>
          <w:sz w:val="18"/>
        </w:rPr>
      </w:pPr>
      <w:r>
        <w:rPr>
          <w:color w:val="231F20"/>
          <w:w w:val="125"/>
          <w:sz w:val="18"/>
        </w:rPr>
        <w:t>gráfica 7. tasa de retorno: excedentes operacionales/capital fijo </w:t>
      </w:r>
      <w:r>
        <w:rPr>
          <w:color w:val="231F20"/>
          <w:w w:val="120"/>
          <w:sz w:val="18"/>
        </w:rPr>
        <w:t>(antes y después de impuestos), 1960-2008</w:t>
      </w:r>
    </w:p>
    <w:p>
      <w:pPr>
        <w:pStyle w:val="BodyText"/>
        <w:spacing w:before="5"/>
        <w:rPr>
          <w:sz w:val="23"/>
        </w:rPr>
      </w:pPr>
    </w:p>
    <w:p>
      <w:pPr>
        <w:spacing w:line="288" w:lineRule="auto" w:before="0"/>
        <w:ind w:left="100" w:right="117" w:firstLine="240"/>
        <w:jc w:val="both"/>
        <w:rPr>
          <w:sz w:val="16"/>
        </w:rPr>
      </w:pPr>
      <w:r>
        <w:rPr>
          <w:color w:val="231F20"/>
          <w:w w:val="110"/>
          <w:sz w:val="16"/>
        </w:rPr>
        <w:t>El excedente operacional, es igual a las ventas menos el costo laboral y los pro- ductos intermedios, también es la suma de las ganancias corporativas, intereses netos y transferencias entre empresas.</w:t>
      </w:r>
    </w:p>
    <w:p>
      <w:pPr>
        <w:spacing w:before="71"/>
        <w:ind w:left="835" w:right="298" w:firstLine="0"/>
        <w:jc w:val="center"/>
        <w:rPr>
          <w:sz w:val="16"/>
        </w:rPr>
      </w:pPr>
      <w:r>
        <w:rPr>
          <w:color w:val="231F20"/>
          <w:w w:val="120"/>
          <w:sz w:val="16"/>
        </w:rPr>
        <w:t>antes de impuestos</w:t>
      </w:r>
    </w:p>
    <w:p>
      <w:pPr>
        <w:tabs>
          <w:tab w:pos="5416" w:val="left" w:leader="none"/>
        </w:tabs>
        <w:spacing w:before="14"/>
        <w:ind w:left="913" w:right="25" w:firstLine="0"/>
        <w:jc w:val="left"/>
        <w:rPr>
          <w:sz w:val="16"/>
        </w:rPr>
      </w:pPr>
      <w:r>
        <w:rPr/>
        <w:pict>
          <v:group style="position:absolute;margin-left:102.449997pt;margin-top:5.81164pt;width:207.65pt;height:100.1pt;mso-position-horizontal-relative:page;mso-position-vertical-relative:paragraph;z-index:-354040" coordorigin="2049,116" coordsize="4153,2002">
            <v:line style="position:absolute" from="2109,350" to="6197,350" stroked="true" strokeweight=".5pt" strokecolor="#a7a9ac"/>
            <v:line style="position:absolute" from="2109,787" to="6197,787" stroked="true" strokeweight=".5pt" strokecolor="#a7a9ac"/>
            <v:line style="position:absolute" from="2109,1223" to="6197,1223" stroked="true" strokeweight=".5pt" strokecolor="#a7a9ac"/>
            <v:line style="position:absolute" from="2109,1005" to="6197,1005" stroked="true" strokeweight=".5pt" strokecolor="#a7a9ac"/>
            <v:line style="position:absolute" from="2171,1315" to="2214,1301" stroked="true" strokeweight=".5pt" strokecolor="#231f20">
              <v:stroke dashstyle="dash"/>
            </v:line>
            <v:line style="position:absolute" from="2248,1256" to="2296,1007" stroked="true" strokeweight=".5pt" strokecolor="#231f20">
              <v:stroke dashstyle="dash"/>
            </v:line>
            <v:line style="position:absolute" from="2318,950" to="2385,829" stroked="true" strokeweight=".5pt" strokecolor="#231f20">
              <v:stroke dashstyle="dash"/>
            </v:line>
            <v:line style="position:absolute" from="2419,780" to="2477,712" stroked="true" strokeweight=".5pt" strokecolor="#231f20">
              <v:stroke dashstyle="dash"/>
            </v:line>
            <v:line style="position:absolute" from="2109,568" to="6197,568" stroked="true" strokeweight=".5pt" strokecolor="#a7a9ac"/>
            <v:line style="position:absolute" from="2501,658" to="2559,418" stroked="true" strokeweight=".5pt" strokecolor="#231f20">
              <v:stroke dashstyle="dash"/>
            </v:line>
            <v:line style="position:absolute" from="2594,405" to="2628,420" stroked="true" strokeweight=".5pt" strokecolor="#231f20">
              <v:stroke dashstyle="dash"/>
            </v:line>
            <v:line style="position:absolute" from="2659,466" to="2714,666" stroked="true" strokeweight=".5pt" strokecolor="#231f20">
              <v:stroke dashstyle="dash"/>
            </v:line>
            <v:line style="position:absolute" from="2750,714" to="2784,738" stroked="true" strokeweight=".5pt" strokecolor="#231f20">
              <v:stroke dashstyle="dash"/>
            </v:line>
            <v:line style="position:absolute" from="2815,785" to="2882,1006" stroked="true" strokeweight=".5pt" strokecolor="#231f20">
              <v:stroke dashstyle="dash"/>
            </v:line>
            <v:line style="position:absolute" from="2109,1441" to="6197,1441" stroked="true" strokeweight=".5pt" strokecolor="#a7a9ac"/>
            <v:line style="position:absolute" from="2895,1063" to="2968,1448" stroked="true" strokeweight=".5pt" strokecolor="#231f20">
              <v:stroke dashstyle="dash"/>
            </v:line>
            <v:line style="position:absolute" from="2993,1445" to="3043,1373" stroked="true" strokeweight=".5pt" strokecolor="#231f20">
              <v:stroke dashstyle="dash"/>
            </v:line>
            <v:line style="position:absolute" from="3087,1323" to="3120,1290" stroked="true" strokeweight=".5pt" strokecolor="#231f20">
              <v:stroke dashstyle="dash"/>
            </v:line>
            <v:line style="position:absolute" from="3174,1275" to="3213,1282" stroked="true" strokeweight=".5pt" strokecolor="#231f20">
              <v:stroke dashstyle="dash"/>
            </v:line>
            <v:line style="position:absolute" from="2109,1659" to="6197,1659" stroked="true" strokeweight=".5pt" strokecolor="#a7a9ac"/>
            <v:line style="position:absolute" from="3243,1321" to="3305,1700" stroked="true" strokeweight=".5pt" strokecolor="#231f20">
              <v:stroke dashstyle="dash"/>
            </v:line>
            <v:line style="position:absolute" from="3339,1695" to="3372,1662" stroked="true" strokeweight=".5pt" strokecolor="#231f20">
              <v:stroke dashstyle="dash"/>
            </v:line>
            <v:line style="position:absolute" from="3415,1614" to="3533,1466" stroked="true" strokeweight=".5pt" strokecolor="#231f20">
              <v:stroke dashstyle="dash"/>
            </v:line>
            <v:line style="position:absolute" from="3583,1456" to="3621,1466" stroked="true" strokeweight=".5pt" strokecolor="#231f20">
              <v:stroke dashstyle="dash"/>
            </v:line>
            <v:line style="position:absolute" from="3657,1505" to="3721,1678" stroked="true" strokeweight=".5pt" strokecolor="#231f20">
              <v:stroke dashstyle="dash"/>
            </v:line>
            <v:line style="position:absolute" from="2109,1878" to="6197,1878" stroked="true" strokeweight=".5pt" strokecolor="#a7a9ac"/>
            <v:line style="position:absolute" from="3739,1736" to="3794,1928" stroked="true" strokeweight=".5pt" strokecolor="#231f20">
              <v:stroke dashstyle="dash"/>
            </v:line>
            <v:line style="position:absolute" from="3824,1918" to="3881,1831" stroked="true" strokeweight=".5pt" strokecolor="#231f20">
              <v:stroke dashstyle="dash"/>
            </v:line>
            <v:line style="position:absolute" from="3912,1835" to="3970,1947" stroked="true" strokeweight=".5pt" strokecolor="#231f20">
              <v:stroke dashstyle="dash"/>
            </v:line>
            <v:line style="position:absolute" from="3993,1933" to="4141,1511" stroked="true" strokeweight=".5pt" strokecolor="#231f20">
              <v:stroke dashstyle="dash"/>
            </v:line>
            <v:line style="position:absolute" from="4180,1503" to="4215,1521" stroked="true" strokeweight=".5pt" strokecolor="#231f20">
              <v:stroke dashstyle="dash"/>
            </v:line>
            <v:line style="position:absolute" from="4253,1559" to="4294,1628" stroked="true" strokeweight=".5pt" strokecolor="#231f20">
              <v:stroke dashstyle="dash"/>
            </v:line>
            <v:line style="position:absolute" from="4328,1614" to="4385,1532" stroked="true" strokeweight=".5pt" strokecolor="#231f20">
              <v:stroke dashstyle="dash"/>
            </v:line>
            <v:line style="position:absolute" from="4416,1480" to="4474,1362" stroked="true" strokeweight=".5pt" strokecolor="#231f20">
              <v:stroke dashstyle="dash"/>
            </v:line>
            <v:line style="position:absolute" from="4502,1365" to="4545,1429" stroked="true" strokeweight=".5pt" strokecolor="#231f20">
              <v:stroke dashstyle="dash"/>
            </v:line>
            <v:line style="position:absolute" from="4579,1475" to="4637,1547" stroked="true" strokeweight=".5pt" strokecolor="#231f20">
              <v:stroke dashstyle="dash"/>
            </v:line>
            <v:line style="position:absolute" from="4673,1595" to="4723,1667" stroked="true" strokeweight=".5pt" strokecolor="#231f20">
              <v:stroke dashstyle="dash"/>
            </v:line>
            <v:line style="position:absolute" from="4762,1700" to="4791,1715" stroked="true" strokeweight=".5pt" strokecolor="#231f20">
              <v:stroke dashstyle="dash"/>
            </v:line>
            <v:line style="position:absolute" from="4828,1700" to="4879,1635" stroked="true" strokeweight=".5pt" strokecolor="#231f20">
              <v:stroke dashstyle="dash"/>
            </v:line>
            <v:line style="position:absolute" from="4908,1583" to="4966,1449" stroked="true" strokeweight=".5pt" strokecolor="#231f20">
              <v:stroke dashstyle="dash"/>
            </v:line>
            <v:line style="position:absolute" from="5007,1395" to="5040,1362" stroked="true" strokeweight=".5pt" strokecolor="#231f20">
              <v:stroke dashstyle="dash"/>
            </v:line>
            <v:line style="position:absolute" from="5083,1313" to="5141,1241" stroked="true" strokeweight=".5pt" strokecolor="#231f20">
              <v:stroke dashstyle="dash"/>
            </v:line>
            <v:line style="position:absolute" from="5185,1191" to="5217,1158" stroked="true" strokeweight=".5pt" strokecolor="#231f20">
              <v:stroke dashstyle="dash"/>
            </v:line>
            <v:line style="position:absolute" from="5255,1174" to="5300,1267" stroked="true" strokeweight=".5pt" strokecolor="#231f20">
              <v:stroke dashstyle="dash"/>
            </v:line>
            <v:line style="position:absolute" from="5342,1310" to="5376,1329" stroked="true" strokeweight=".5pt" strokecolor="#231f20">
              <v:stroke dashstyle="dash"/>
            </v:line>
            <v:line style="position:absolute" from="5411,1374" to="5467,1509" stroked="true" strokeweight=".5pt" strokecolor="#231f20">
              <v:stroke dashstyle="dash"/>
            </v:line>
            <v:line style="position:absolute" from="5485,1568" to="5551,1856" stroked="true" strokeweight=".5pt" strokecolor="#231f20">
              <v:stroke dashstyle="dash"/>
            </v:line>
            <v:line style="position:absolute" from="5589,1855" to="5626,1825" stroked="true" strokeweight=".5pt" strokecolor="#231f20">
              <v:stroke dashstyle="dash"/>
            </v:line>
            <v:line style="position:absolute" from="5679,1778" to="5712,1745" stroked="true" strokeweight=".5pt" strokecolor="#231f20">
              <v:stroke dashstyle="dash"/>
            </v:line>
            <v:line style="position:absolute" from="5741,1688" to="5799,1439" stroked="true" strokeweight=".5pt" strokecolor="#231f20">
              <v:stroke dashstyle="dash"/>
            </v:line>
            <v:line style="position:absolute" from="5825,1385" to="5875,1313" stroked="true" strokeweight=".5pt" strokecolor="#231f20">
              <v:stroke dashstyle="dash"/>
            </v:line>
            <v:line style="position:absolute" from="5906,1261" to="5973,1135" stroked="true" strokeweight=".5pt" strokecolor="#231f20">
              <v:stroke dashstyle="dash"/>
            </v:line>
            <v:line style="position:absolute" from="5995,1147" to="6134,1623" stroked="true" strokeweight=".5pt" strokecolor="#231f20">
              <v:stroke dashstyle="dash"/>
            </v:line>
            <v:shape style="position:absolute;left:0;top:7465;width:4008;height:1574" coordorigin="0,7465" coordsize="4008,1574" path="m2133,1327l2149,1322m2225,1298l2241,1293,2244,1277m2298,996l2301,981,2308,968m2390,820l2397,807,2407,795m2483,704l2493,693,2497,678m2561,408l2565,393,2578,398m2636,423l2649,429,2653,444m2717,677l2721,693,2733,702m2792,744l2805,753,2809,767m2885,1015l2889,1029,2892,1044m2970,1458l2973,1473,2981,1461m3048,1365l3057,1353,3069,1341m3129,1281l3141,1269,3155,1272m3222,1284l3237,1287,3239,1301m3307,1710l3309,1725,3321,1713m3381,1653l3393,1641,3402,1629m3540,1458l3549,1447,3563,1451m3631,1469l3645,1473,3650,1487m3724,1687l3729,1701,3733,1716m3797,1938l3801,1953,3810,1939m3888,1821l3897,1807,3903,1819m3975,1955l3981,1967,3986,1952m4144,1501l4149,1487,4162,1494m4224,1526l4237,1533,4244,1544m4298,1635l4305,1647,4314,1633m4392,1522l4401,1509,4407,1496m4479,1354l4485,1341,4492,1352m4550,1436l4557,1447,4567,1459m4643,1555l4653,1567,4661,1579m4728,1675l4737,1687,4748,1693m4798,1719l4809,1725,4817,1714m4884,1628l4893,1617,4899,1603m4971,1439l4977,1425,4989,1413m5049,1353l5061,1341,5070,1329m5147,1233l5157,1221,5169,1209m5225,1149l5237,1137,5244,1152m5306,1278l5313,1293,5326,1300m5384,1334l5397,1341,5403,1355m5471,1519l5477,1533,5480,1548m5554,1866l5557,1881,5570,1870m5635,1818l5649,1807,5661,1795m5721,1737l5733,1725,5737,1709m5801,1428l5805,1413,5813,1401m5880,1305l5889,1293,5896,1279m5978,1126l5985,1113,5989,1127m6137,1632l6141,1647e" filled="false" stroked="true" strokeweight=".5pt" strokecolor="#231f20">
              <v:path arrowok="t"/>
            </v:shape>
            <v:shape style="position:absolute;left:2157;top:753;width:3996;height:1170" coordorigin="2157,753" coordsize="3996,1170" path="m2157,753l3227,1585,4000,1923,4851,1819,6153,1329e" filled="false" stroked="true" strokeweight=".5pt" strokecolor="#231f20">
              <v:path arrowok="t"/>
            </v:shape>
            <v:line style="position:absolute" from="2109,2096" to="6197,2096" stroked="true" strokeweight=".5pt" strokecolor="#a7a9ac"/>
            <v:line style="position:absolute" from="2054,121" to="2054,2113" stroked="true" strokeweight=".5pt" strokecolor="#231f20"/>
            <w10:wrap type="none"/>
          </v:group>
        </w:pict>
      </w:r>
      <w:r>
        <w:rPr>
          <w:color w:val="231F20"/>
          <w:sz w:val="16"/>
        </w:rPr>
        <w:t>15</w:t>
      </w:r>
      <w:r>
        <w:rPr>
          <w:color w:val="231F20"/>
          <w:spacing w:val="7"/>
          <w:sz w:val="16"/>
        </w:rPr>
        <w:t> </w:t>
      </w:r>
      <w:r>
        <w:rPr>
          <w:color w:val="231F20"/>
          <w:sz w:val="16"/>
        </w:rPr>
        <w:t>—</w:t>
      </w:r>
      <w:r>
        <w:rPr>
          <w:color w:val="231F20"/>
          <w:spacing w:val="7"/>
          <w:sz w:val="16"/>
        </w:rPr>
        <w:t> </w:t>
      </w:r>
      <w:r>
        <w:rPr>
          <w:color w:val="231F20"/>
          <w:w w:val="104"/>
          <w:sz w:val="16"/>
          <w:u w:val="single" w:color="A7A9AC"/>
        </w:rPr>
        <w:t> </w:t>
      </w:r>
      <w:r>
        <w:rPr>
          <w:color w:val="231F20"/>
          <w:sz w:val="16"/>
          <w:u w:val="single" w:color="A7A9AC"/>
        </w:rPr>
        <w:tab/>
      </w:r>
    </w:p>
    <w:p>
      <w:pPr>
        <w:spacing w:before="36"/>
        <w:ind w:left="913" w:right="25" w:firstLine="0"/>
        <w:jc w:val="left"/>
        <w:rPr>
          <w:sz w:val="16"/>
        </w:rPr>
      </w:pPr>
      <w:r>
        <w:rPr>
          <w:color w:val="231F20"/>
          <w:sz w:val="16"/>
        </w:rPr>
        <w:t>14 —</w:t>
      </w:r>
    </w:p>
    <w:p>
      <w:pPr>
        <w:spacing w:before="36"/>
        <w:ind w:left="913" w:right="25" w:firstLine="0"/>
        <w:jc w:val="left"/>
        <w:rPr>
          <w:sz w:val="16"/>
        </w:rPr>
      </w:pPr>
      <w:r>
        <w:rPr>
          <w:color w:val="231F20"/>
          <w:sz w:val="16"/>
        </w:rPr>
        <w:t>13 —</w:t>
      </w:r>
    </w:p>
    <w:p>
      <w:pPr>
        <w:spacing w:before="36"/>
        <w:ind w:left="913" w:right="25" w:firstLine="0"/>
        <w:jc w:val="left"/>
        <w:rPr>
          <w:sz w:val="16"/>
        </w:rPr>
      </w:pPr>
      <w:r>
        <w:rPr>
          <w:color w:val="231F20"/>
          <w:sz w:val="16"/>
        </w:rPr>
        <w:t>12 —</w:t>
      </w:r>
    </w:p>
    <w:p>
      <w:pPr>
        <w:spacing w:before="36"/>
        <w:ind w:left="913" w:right="25" w:firstLine="0"/>
        <w:jc w:val="left"/>
        <w:rPr>
          <w:sz w:val="16"/>
        </w:rPr>
      </w:pPr>
      <w:r>
        <w:rPr>
          <w:color w:val="231F20"/>
          <w:sz w:val="16"/>
        </w:rPr>
        <w:t>11 —</w:t>
      </w:r>
    </w:p>
    <w:p>
      <w:pPr>
        <w:spacing w:before="36"/>
        <w:ind w:left="913" w:right="25" w:firstLine="0"/>
        <w:jc w:val="left"/>
        <w:rPr>
          <w:sz w:val="16"/>
        </w:rPr>
      </w:pPr>
      <w:r>
        <w:rPr>
          <w:color w:val="231F20"/>
          <w:sz w:val="16"/>
        </w:rPr>
        <w:t>10 —</w:t>
      </w:r>
    </w:p>
    <w:p>
      <w:pPr>
        <w:spacing w:before="36"/>
        <w:ind w:left="996" w:right="25" w:firstLine="0"/>
        <w:jc w:val="left"/>
        <w:rPr>
          <w:sz w:val="16"/>
        </w:rPr>
      </w:pPr>
      <w:r>
        <w:rPr>
          <w:color w:val="231F20"/>
          <w:sz w:val="16"/>
        </w:rPr>
        <w:t>9 —</w:t>
      </w:r>
    </w:p>
    <w:p>
      <w:pPr>
        <w:spacing w:before="36"/>
        <w:ind w:left="996" w:right="25" w:firstLine="0"/>
        <w:jc w:val="left"/>
        <w:rPr>
          <w:sz w:val="16"/>
        </w:rPr>
      </w:pPr>
      <w:r>
        <w:rPr>
          <w:color w:val="231F20"/>
          <w:sz w:val="16"/>
        </w:rPr>
        <w:t>8 —</w:t>
      </w:r>
    </w:p>
    <w:p>
      <w:pPr>
        <w:spacing w:before="36"/>
        <w:ind w:left="996" w:right="25" w:firstLine="0"/>
        <w:jc w:val="left"/>
        <w:rPr>
          <w:sz w:val="16"/>
        </w:rPr>
      </w:pPr>
      <w:r>
        <w:rPr>
          <w:color w:val="231F20"/>
          <w:sz w:val="16"/>
        </w:rPr>
        <w:t>7 —</w:t>
      </w:r>
    </w:p>
    <w:p>
      <w:pPr>
        <w:spacing w:before="36"/>
        <w:ind w:left="996" w:right="25" w:firstLine="0"/>
        <w:jc w:val="left"/>
        <w:rPr>
          <w:sz w:val="16"/>
        </w:rPr>
      </w:pPr>
      <w:r>
        <w:rPr/>
        <w:pict>
          <v:shape style="position:absolute;margin-left:99.918701pt;margin-top:10.140839pt;width:214.2pt;height:28.75pt;mso-position-horizontal-relative:page;mso-position-vertical-relative:paragraph;z-index:-354016"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1960</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1963</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1966</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1972</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1975</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1978</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1981</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1984</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1984</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1987</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1993</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1996</w:t>
                  </w:r>
                  <w:r>
                    <w:rPr>
                      <w:color w:val="231F20"/>
                      <w:spacing w:val="1"/>
                      <w:sz w:val="16"/>
                    </w:rPr>
                    <w:t> </w:t>
                  </w:r>
                  <w:r>
                    <w:rPr>
                      <w:color w:val="231F20"/>
                      <w:sz w:val="16"/>
                    </w:rPr>
                    <w:t>—</w:t>
                  </w:r>
                </w:p>
                <w:p>
                  <w:pPr>
                    <w:spacing w:before="71"/>
                    <w:ind w:left="20" w:right="0" w:firstLine="0"/>
                    <w:jc w:val="left"/>
                    <w:rPr>
                      <w:sz w:val="16"/>
                    </w:rPr>
                  </w:pPr>
                  <w:r>
                    <w:rPr>
                      <w:color w:val="231F20"/>
                      <w:w w:val="104"/>
                      <w:sz w:val="16"/>
                    </w:rPr>
                    <w:t>1998</w:t>
                  </w:r>
                  <w:r>
                    <w:rPr>
                      <w:color w:val="231F20"/>
                      <w:spacing w:val="1"/>
                      <w:sz w:val="16"/>
                    </w:rPr>
                    <w:t> </w:t>
                  </w:r>
                  <w:r>
                    <w:rPr>
                      <w:color w:val="231F20"/>
                      <w:sz w:val="16"/>
                    </w:rPr>
                    <w:t>—</w:t>
                  </w:r>
                </w:p>
                <w:p>
                  <w:pPr>
                    <w:spacing w:before="71"/>
                    <w:ind w:left="20" w:right="0" w:firstLine="0"/>
                    <w:jc w:val="left"/>
                    <w:rPr>
                      <w:sz w:val="16"/>
                    </w:rPr>
                  </w:pPr>
                  <w:r>
                    <w:rPr>
                      <w:color w:val="231F20"/>
                      <w:w w:val="104"/>
                      <w:sz w:val="16"/>
                    </w:rPr>
                    <w:t>2002</w:t>
                  </w:r>
                  <w:r>
                    <w:rPr>
                      <w:color w:val="231F20"/>
                      <w:spacing w:val="1"/>
                      <w:sz w:val="16"/>
                    </w:rPr>
                    <w:t> </w:t>
                  </w:r>
                  <w:r>
                    <w:rPr>
                      <w:color w:val="231F20"/>
                      <w:sz w:val="16"/>
                    </w:rPr>
                    <w:t>—</w:t>
                  </w:r>
                </w:p>
                <w:p>
                  <w:pPr>
                    <w:spacing w:before="71"/>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71"/>
                    <w:ind w:left="20" w:right="0" w:firstLine="0"/>
                    <w:jc w:val="left"/>
                    <w:rPr>
                      <w:sz w:val="16"/>
                    </w:rPr>
                  </w:pPr>
                  <w:r>
                    <w:rPr>
                      <w:color w:val="231F20"/>
                      <w:w w:val="104"/>
                      <w:sz w:val="16"/>
                    </w:rPr>
                    <w:t>2008</w:t>
                  </w:r>
                  <w:r>
                    <w:rPr>
                      <w:color w:val="231F20"/>
                      <w:spacing w:val="1"/>
                      <w:sz w:val="16"/>
                    </w:rPr>
                    <w:t> </w:t>
                  </w:r>
                  <w:r>
                    <w:rPr>
                      <w:color w:val="231F20"/>
                      <w:sz w:val="16"/>
                    </w:rPr>
                    <w:t>—</w:t>
                  </w:r>
                </w:p>
              </w:txbxContent>
            </v:textbox>
            <w10:wrap type="none"/>
          </v:shape>
        </w:pict>
      </w:r>
      <w:r>
        <w:rPr>
          <w:color w:val="231F20"/>
          <w:sz w:val="16"/>
        </w:rPr>
        <w:t>4 —</w:t>
      </w:r>
    </w:p>
    <w:p>
      <w:pPr>
        <w:pStyle w:val="BodyText"/>
      </w:pPr>
    </w:p>
    <w:p>
      <w:pPr>
        <w:pStyle w:val="BodyText"/>
      </w:pPr>
    </w:p>
    <w:p>
      <w:pPr>
        <w:pStyle w:val="BodyText"/>
        <w:spacing w:before="11"/>
        <w:rPr>
          <w:sz w:val="18"/>
        </w:rPr>
      </w:pPr>
    </w:p>
    <w:p>
      <w:pPr>
        <w:spacing w:before="73"/>
        <w:ind w:left="2567" w:right="25" w:firstLine="0"/>
        <w:jc w:val="left"/>
        <w:rPr>
          <w:sz w:val="16"/>
        </w:rPr>
      </w:pPr>
      <w:r>
        <w:rPr>
          <w:color w:val="231F20"/>
          <w:w w:val="115"/>
          <w:sz w:val="16"/>
        </w:rPr>
        <w:t>después de impuestos</w:t>
      </w:r>
    </w:p>
    <w:p>
      <w:pPr>
        <w:spacing w:before="26"/>
        <w:ind w:left="809" w:right="25" w:firstLine="0"/>
        <w:jc w:val="left"/>
        <w:rPr>
          <w:sz w:val="16"/>
        </w:rPr>
      </w:pPr>
      <w:r>
        <w:rPr/>
        <w:pict>
          <v:group style="position:absolute;margin-left:103.550003pt;margin-top:6.548056pt;width:205.55pt;height:99pt;mso-position-horizontal-relative:page;mso-position-vertical-relative:paragraph;z-index:-354064" coordorigin="2071,131" coordsize="4111,1980">
            <v:line style="position:absolute" from="2138,136" to="6177,136" stroked="true" strokeweight=".5pt" strokecolor="#a7a9ac"/>
            <v:line style="position:absolute" from="2138,464" to="6177,464" stroked="true" strokeweight=".5pt" strokecolor="#a7a9ac"/>
            <v:line style="position:absolute" from="2138,792" to="6177,792" stroked="true" strokeweight=".5pt" strokecolor="#a7a9ac"/>
            <v:line style="position:absolute" from="2138,1120" to="6177,1120" stroked="true" strokeweight=".5pt" strokecolor="#a7a9ac"/>
            <v:line style="position:absolute" from="2138,1448" to="6177,1448" stroked="true" strokeweight=".5pt" strokecolor="#a7a9ac"/>
            <v:line style="position:absolute" from="2203,1533" to="2237,1523" stroked="true" strokeweight=".5pt" strokecolor="#231f20">
              <v:stroke dashstyle="dash"/>
            </v:line>
            <v:line style="position:absolute" from="2265,1483" to="2348,1109" stroked="true" strokeweight=".5pt" strokecolor="#231f20">
              <v:stroke dashstyle="dash"/>
            </v:line>
            <v:line style="position:absolute" from="2367,1056" to="2422,938" stroked="true" strokeweight=".5pt" strokecolor="#231f20">
              <v:stroke dashstyle="dash"/>
            </v:line>
            <v:line style="position:absolute" from="2443,886" to="2502,717" stroked="true" strokeweight=".5pt" strokecolor="#231f20">
              <v:stroke dashstyle="dash"/>
            </v:line>
            <v:line style="position:absolute" from="2520,661" to="2587,425" stroked="true" strokeweight=".5pt" strokecolor="#231f20">
              <v:stroke dashstyle="dash"/>
            </v:line>
            <v:line style="position:absolute" from="2621,413" to="2652,428" stroked="true" strokeweight=".5pt" strokecolor="#231f20">
              <v:stroke dashstyle="dash"/>
            </v:line>
            <v:line style="position:absolute" from="2685,470" to="2830,834" stroked="true" strokeweight=".5pt" strokecolor="#231f20">
              <v:stroke dashstyle="dash"/>
            </v:line>
            <v:line style="position:absolute" from="2849,891" to="2997,1465" stroked="true" strokeweight=".5pt" strokecolor="#231f20">
              <v:stroke dashstyle="dash"/>
            </v:line>
            <v:line style="position:absolute" from="3020,1459" to="3086,1340" stroked="true" strokeweight=".5pt" strokecolor="#231f20">
              <v:stroke dashstyle="dash"/>
            </v:line>
            <v:line style="position:absolute" from="3123,1287" to="3152,1251" stroked="true" strokeweight=".5pt" strokecolor="#231f20">
              <v:stroke dashstyle="dash"/>
            </v:line>
            <v:line style="position:absolute" from="3189,1260" to="3240,1339" stroked="true" strokeweight=".5pt" strokecolor="#231f20">
              <v:stroke dashstyle="dash"/>
            </v:line>
            <v:line style="position:absolute" from="2138,1776" to="6177,1776" stroked="true" strokeweight=".5pt" strokecolor="#a7a9ac"/>
            <v:line style="position:absolute" from="3259,1397" to="3322,1851" stroked="true" strokeweight=".5pt" strokecolor="#231f20">
              <v:stroke dashstyle="dash"/>
            </v:line>
            <v:line style="position:absolute" from="3337,1846" to="3414,1635" stroked="true" strokeweight=".5pt" strokecolor="#231f20">
              <v:stroke dashstyle="dash"/>
            </v:line>
            <v:line style="position:absolute" from="3451,1605" to="3485,1595" stroked="true" strokeweight=".5pt" strokecolor="#231f20">
              <v:stroke dashstyle="dash"/>
            </v:line>
            <v:line style="position:absolute" from="3522,1564" to="3566,1499" stroked="true" strokeweight=".5pt" strokecolor="#231f20">
              <v:stroke dashstyle="dash"/>
            </v:line>
            <v:line style="position:absolute" from="3607,1491" to="3641,1503" stroked="true" strokeweight=".5pt" strokecolor="#231f20">
              <v:stroke dashstyle="dash"/>
            </v:line>
            <v:line style="position:absolute" from="3671,1542" to="3739,1758" stroked="true" strokeweight=".5pt" strokecolor="#231f20">
              <v:stroke dashstyle="dash"/>
            </v:line>
            <v:line style="position:absolute" from="3760,1815" to="3819,1949" stroked="true" strokeweight=".5pt" strokecolor="#231f20">
              <v:stroke dashstyle="dash"/>
            </v:line>
            <v:line style="position:absolute" from="3838,1940" to="3908,1667" stroked="true" strokeweight=".5pt" strokecolor="#231f20">
              <v:stroke dashstyle="dash"/>
            </v:line>
            <v:line style="position:absolute" from="3941,1668" to="3972,1697" stroked="true" strokeweight=".5pt" strokecolor="#231f20">
              <v:stroke dashstyle="dash"/>
            </v:line>
            <v:line style="position:absolute" from="4008,1680" to="4072,1542" stroked="true" strokeweight=".5pt" strokecolor="#231f20">
              <v:stroke dashstyle="dash"/>
            </v:line>
            <v:shape style="position:absolute;left:4087;top:1060;width:643;height:426" type="#_x0000_t75" stroked="false">
              <v:imagedata r:id="rId85" o:title=""/>
            </v:shape>
            <v:line style="position:absolute" from="4763,1412" to="4794,1436" stroked="true" strokeweight=".5pt" strokecolor="#231f20">
              <v:stroke dashstyle="dash"/>
            </v:line>
            <v:line style="position:absolute" from="4836,1421" to="4894,1346" stroked="true" strokeweight=".5pt" strokecolor="#231f20">
              <v:stroke dashstyle="dash"/>
            </v:line>
            <v:line style="position:absolute" from="4924,1297" to="4983,1183" stroked="true" strokeweight=".5pt" strokecolor="#231f20">
              <v:stroke dashstyle="dash"/>
            </v:line>
            <v:line style="position:absolute" from="5010,1137" to="5054,1068" stroked="true" strokeweight=".5pt" strokecolor="#231f20">
              <v:stroke dashstyle="dash"/>
            </v:line>
            <v:line style="position:absolute" from="5082,1014" to="5144,876" stroked="true" strokeweight=".5pt" strokecolor="#231f20">
              <v:stroke dashstyle="dash"/>
            </v:line>
            <v:line style="position:absolute" from="5181,815" to="5210,774" stroked="true" strokeweight=".5pt" strokecolor="#231f20">
              <v:stroke dashstyle="dash"/>
            </v:line>
            <v:line style="position:absolute" from="5241,779" to="5296,901" stroked="true" strokeweight=".5pt" strokecolor="#231f20">
              <v:stroke dashstyle="dash"/>
            </v:line>
            <v:line style="position:absolute" from="5340,944" to="5379,968" stroked="true" strokeweight=".5pt" strokecolor="#231f20">
              <v:stroke dashstyle="dash"/>
            </v:line>
            <v:line style="position:absolute" from="5414,1017" to="5556,1487" stroked="true" strokeweight=".5pt" strokecolor="#231f20">
              <v:stroke dashstyle="dash"/>
            </v:line>
            <v:line style="position:absolute" from="5585,1483" to="5639,1411" stroked="true" strokeweight=".5pt" strokecolor="#231f20">
              <v:stroke dashstyle="dash"/>
            </v:line>
            <v:line style="position:absolute" from="5666,1356" to="5715,1218" stroked="true" strokeweight=".5pt" strokecolor="#231f20">
              <v:stroke dashstyle="dash"/>
            </v:line>
            <v:line style="position:absolute" from="5737,1163" to="5807,999" stroked="true" strokeweight=".5pt" strokecolor="#231f20">
              <v:stroke dashstyle="dash"/>
            </v:line>
            <v:line style="position:absolute" from="5907,927" to="5958,844" stroked="true" strokeweight=".5pt" strokecolor="#231f20">
              <v:stroke dashstyle="dash"/>
            </v:line>
            <v:line style="position:absolute" from="5979,853" to="6050,1164" stroked="true" strokeweight=".5pt" strokecolor="#231f20">
              <v:stroke dashstyle="dash"/>
            </v:line>
            <v:line style="position:absolute" from="6065,1218" to="6133,1429" stroked="true" strokeweight=".5pt" strokecolor="#231f20">
              <v:stroke dashstyle="dash"/>
            </v:line>
            <v:shape style="position:absolute;left:0;top:4146;width:3966;height:1572" coordorigin="0,4146" coordsize="3966,1572" path="m2174,1541l2187,1537m2245,1521l2258,1517,2261,1503m2351,1099l2354,1085,2360,1072m2426,930l2432,917,2436,903m2505,708l2510,695,2514,680m2590,416l2594,401,2606,407m2660,431l2672,437,2677,451m2834,843l2840,857,2844,872m3000,1474l3004,1489,3011,1476m3091,1332l3098,1319,3108,1306m3159,1242l3170,1229,3178,1242m3245,1348l3254,1361,3256,1376m3324,1862l3326,1877,3331,1864m3417,1626l3422,1613,3435,1609m3493,1593l3506,1589,3513,1578m3570,1492l3578,1481,3591,1486m3649,1506l3662,1511,3666,1525m3741,1767l3746,1781,3752,1795m3823,1959l3830,1973,3833,1959m3910,1657l3914,1643,3925,1654m3980,1704l3992,1715,3999,1700m4077,1532l4084,1517,4087,1502m4160,1172l4164,1157,4176,1157m4231,1157l4244,1157,4250,1172m4322,1346l4328,1361,4336,1350m4396,1269l4404,1259,4409,1246m4490,1056l4496,1043,4505,1054m4642,1212l4652,1223,4658,1236m4729,1378l4736,1391,4747,1400m4802,1442l4814,1451,4823,1438m4900,1337l4910,1325,4916,1313m4987,1175l4994,1163,5001,1151m5058,1061l5066,1049,5072,1034m5149,866l5156,851,5166,836m5217,764l5228,749,5234,762m5300,910l5306,923,5320,932m5389,974l5404,983,5408,997m5559,1497l5564,1511,5573,1499m5645,1403l5654,1391,5659,1376m5719,1208l5724,1193,5729,1180m5810,990l5816,977,5836,972m5867,964l5888,959,5896,945m5963,835l5972,821,5975,835m6053,1173l6056,1187,6060,1200m6135,1438l6140,1451e" filled="false" stroked="true" strokeweight=".5pt" strokecolor="#231f20">
              <v:path arrowok="t"/>
            </v:shape>
            <v:shape style="position:absolute;left:2180;top:959;width:3948;height:416" coordorigin="2180,959" coordsize="3948,416" path="m2180,971l2243,997,2316,1026,2398,1057,2488,1089,2587,1122,2694,1155,2809,1188,2870,1204,2932,1220,2996,1235,3061,1250,3129,1265,3198,1278,3268,1292,3340,1304,3414,1316,3489,1327,3566,1337,3644,1346,3723,1353,3804,1360,3886,1366,3969,1370,4054,1373,4139,1375,4226,1375,4314,1373,4402,1370,4492,1365,4583,1359,4674,1350,4767,1340,4860,1328,4954,1314,5049,1297,5144,1279,5240,1258,5337,1235,5434,1210,5532,1182,5631,1151,5729,1118,5828,1083,5928,1044,6028,1003,6128,959e" filled="false" stroked="true" strokeweight=".5pt" strokecolor="#231f20">
              <v:path arrowok="t"/>
            </v:shape>
            <v:line style="position:absolute" from="2138,2104" to="6177,2104" stroked="true" strokeweight=".5pt" strokecolor="#a7a9ac"/>
            <v:line style="position:absolute" from="2076,140" to="2076,2106" stroked="true" strokeweight=".5pt" strokecolor="#231f20"/>
            <w10:wrap type="none"/>
          </v:group>
        </w:pict>
      </w:r>
      <w:r>
        <w:rPr>
          <w:color w:val="231F20"/>
          <w:sz w:val="16"/>
        </w:rPr>
        <w:t>10.0 —</w:t>
      </w:r>
    </w:p>
    <w:p>
      <w:pPr>
        <w:pStyle w:val="BodyText"/>
        <w:spacing w:before="6"/>
        <w:rPr>
          <w:sz w:val="12"/>
        </w:rPr>
      </w:pPr>
    </w:p>
    <w:p>
      <w:pPr>
        <w:spacing w:before="0"/>
        <w:ind w:left="892" w:right="25" w:firstLine="0"/>
        <w:jc w:val="left"/>
        <w:rPr>
          <w:sz w:val="16"/>
        </w:rPr>
      </w:pPr>
      <w:r>
        <w:rPr>
          <w:color w:val="231F20"/>
          <w:sz w:val="16"/>
        </w:rPr>
        <w:t>9.0 —</w:t>
      </w:r>
    </w:p>
    <w:p>
      <w:pPr>
        <w:pStyle w:val="BodyText"/>
        <w:spacing w:before="6"/>
        <w:rPr>
          <w:sz w:val="12"/>
        </w:rPr>
      </w:pPr>
    </w:p>
    <w:p>
      <w:pPr>
        <w:spacing w:before="0"/>
        <w:ind w:left="892" w:right="25" w:firstLine="0"/>
        <w:jc w:val="left"/>
        <w:rPr>
          <w:sz w:val="16"/>
        </w:rPr>
      </w:pPr>
      <w:r>
        <w:rPr>
          <w:color w:val="231F20"/>
          <w:sz w:val="16"/>
        </w:rPr>
        <w:t>8.0 —</w:t>
      </w:r>
    </w:p>
    <w:p>
      <w:pPr>
        <w:pStyle w:val="BodyText"/>
        <w:spacing w:before="6"/>
        <w:rPr>
          <w:sz w:val="12"/>
        </w:rPr>
      </w:pPr>
    </w:p>
    <w:p>
      <w:pPr>
        <w:spacing w:before="0"/>
        <w:ind w:left="892" w:right="25" w:firstLine="0"/>
        <w:jc w:val="left"/>
        <w:rPr>
          <w:sz w:val="16"/>
        </w:rPr>
      </w:pPr>
      <w:r>
        <w:rPr>
          <w:color w:val="231F20"/>
          <w:sz w:val="16"/>
        </w:rPr>
        <w:t>7.0 —</w:t>
      </w:r>
    </w:p>
    <w:p>
      <w:pPr>
        <w:pStyle w:val="BodyText"/>
        <w:spacing w:before="6"/>
        <w:rPr>
          <w:sz w:val="12"/>
        </w:rPr>
      </w:pPr>
    </w:p>
    <w:p>
      <w:pPr>
        <w:spacing w:before="0"/>
        <w:ind w:left="892" w:right="25" w:firstLine="0"/>
        <w:jc w:val="left"/>
        <w:rPr>
          <w:sz w:val="16"/>
        </w:rPr>
      </w:pPr>
      <w:r>
        <w:rPr>
          <w:color w:val="231F20"/>
          <w:sz w:val="16"/>
        </w:rPr>
        <w:t>6.0 —</w:t>
      </w:r>
    </w:p>
    <w:p>
      <w:pPr>
        <w:pStyle w:val="BodyText"/>
        <w:spacing w:before="6"/>
        <w:rPr>
          <w:sz w:val="12"/>
        </w:rPr>
      </w:pPr>
    </w:p>
    <w:p>
      <w:pPr>
        <w:spacing w:before="0"/>
        <w:ind w:left="892" w:right="25" w:firstLine="0"/>
        <w:jc w:val="left"/>
        <w:rPr>
          <w:sz w:val="16"/>
        </w:rPr>
      </w:pPr>
      <w:r>
        <w:rPr>
          <w:color w:val="231F20"/>
          <w:sz w:val="16"/>
        </w:rPr>
        <w:t>5.0 —</w:t>
      </w:r>
    </w:p>
    <w:p>
      <w:pPr>
        <w:pStyle w:val="BodyText"/>
        <w:spacing w:before="6"/>
        <w:rPr>
          <w:sz w:val="12"/>
        </w:rPr>
      </w:pPr>
    </w:p>
    <w:p>
      <w:pPr>
        <w:spacing w:before="0"/>
        <w:ind w:left="892" w:right="25" w:firstLine="0"/>
        <w:jc w:val="left"/>
        <w:rPr>
          <w:sz w:val="16"/>
        </w:rPr>
      </w:pPr>
      <w:r>
        <w:rPr/>
        <w:pict>
          <v:shape style="position:absolute;margin-left:101.657997pt;margin-top:8.443545pt;width:212.1pt;height:28.75pt;mso-position-horizontal-relative:page;mso-position-vertical-relative:paragraph;z-index:-353992"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1960</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1963</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1966</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1972</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1975</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1978</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1981</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1984</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1984</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1987</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1993</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1996</w:t>
                  </w:r>
                  <w:r>
                    <w:rPr>
                      <w:color w:val="231F20"/>
                      <w:spacing w:val="1"/>
                      <w:sz w:val="16"/>
                    </w:rPr>
                    <w:t> </w:t>
                  </w:r>
                  <w:r>
                    <w:rPr>
                      <w:color w:val="231F20"/>
                      <w:sz w:val="16"/>
                    </w:rPr>
                    <w:t>—</w:t>
                  </w:r>
                </w:p>
                <w:p>
                  <w:pPr>
                    <w:spacing w:before="68"/>
                    <w:ind w:left="20" w:right="0" w:firstLine="0"/>
                    <w:jc w:val="left"/>
                    <w:rPr>
                      <w:sz w:val="16"/>
                    </w:rPr>
                  </w:pPr>
                  <w:r>
                    <w:rPr>
                      <w:color w:val="231F20"/>
                      <w:w w:val="104"/>
                      <w:sz w:val="16"/>
                    </w:rPr>
                    <w:t>1998</w:t>
                  </w:r>
                  <w:r>
                    <w:rPr>
                      <w:color w:val="231F20"/>
                      <w:spacing w:val="1"/>
                      <w:sz w:val="16"/>
                    </w:rPr>
                    <w:t> </w:t>
                  </w:r>
                  <w:r>
                    <w:rPr>
                      <w:color w:val="231F20"/>
                      <w:sz w:val="16"/>
                    </w:rPr>
                    <w:t>—</w:t>
                  </w:r>
                </w:p>
                <w:p>
                  <w:pPr>
                    <w:spacing w:before="68"/>
                    <w:ind w:left="20" w:right="0" w:firstLine="0"/>
                    <w:jc w:val="left"/>
                    <w:rPr>
                      <w:sz w:val="16"/>
                    </w:rPr>
                  </w:pPr>
                  <w:r>
                    <w:rPr>
                      <w:color w:val="231F20"/>
                      <w:w w:val="104"/>
                      <w:sz w:val="16"/>
                    </w:rPr>
                    <w:t>2002</w:t>
                  </w:r>
                  <w:r>
                    <w:rPr>
                      <w:color w:val="231F20"/>
                      <w:spacing w:val="1"/>
                      <w:sz w:val="16"/>
                    </w:rPr>
                    <w:t> </w:t>
                  </w:r>
                  <w:r>
                    <w:rPr>
                      <w:color w:val="231F20"/>
                      <w:sz w:val="16"/>
                    </w:rPr>
                    <w:t>—</w:t>
                  </w:r>
                </w:p>
                <w:p>
                  <w:pPr>
                    <w:spacing w:before="68"/>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68"/>
                    <w:ind w:left="20" w:right="0" w:firstLine="0"/>
                    <w:jc w:val="left"/>
                    <w:rPr>
                      <w:sz w:val="16"/>
                    </w:rPr>
                  </w:pPr>
                  <w:r>
                    <w:rPr>
                      <w:color w:val="231F20"/>
                      <w:w w:val="104"/>
                      <w:sz w:val="16"/>
                    </w:rPr>
                    <w:t>2008</w:t>
                  </w:r>
                  <w:r>
                    <w:rPr>
                      <w:color w:val="231F20"/>
                      <w:spacing w:val="1"/>
                      <w:sz w:val="16"/>
                    </w:rPr>
                    <w:t> </w:t>
                  </w:r>
                  <w:r>
                    <w:rPr>
                      <w:color w:val="231F20"/>
                      <w:sz w:val="16"/>
                    </w:rPr>
                    <w:t>—</w:t>
                  </w:r>
                </w:p>
              </w:txbxContent>
            </v:textbox>
            <w10:wrap type="none"/>
          </v:shape>
        </w:pict>
      </w:r>
      <w:r>
        <w:rPr>
          <w:color w:val="231F20"/>
          <w:sz w:val="16"/>
        </w:rPr>
        <w:t>4.0 —</w:t>
      </w:r>
    </w:p>
    <w:p>
      <w:pPr>
        <w:pStyle w:val="BodyText"/>
      </w:pPr>
    </w:p>
    <w:p>
      <w:pPr>
        <w:pStyle w:val="BodyText"/>
      </w:pPr>
    </w:p>
    <w:p>
      <w:pPr>
        <w:pStyle w:val="BodyText"/>
        <w:spacing w:before="8"/>
        <w:rPr>
          <w:sz w:val="17"/>
        </w:rPr>
      </w:pPr>
    </w:p>
    <w:p>
      <w:pPr>
        <w:spacing w:line="283" w:lineRule="auto" w:before="67"/>
        <w:ind w:left="100" w:right="119" w:firstLine="0"/>
        <w:jc w:val="both"/>
        <w:rPr>
          <w:sz w:val="18"/>
        </w:rPr>
      </w:pPr>
      <w:r>
        <w:rPr>
          <w:rFonts w:ascii="Calibri" w:hAnsi="Calibri"/>
          <w:color w:val="231F20"/>
          <w:w w:val="110"/>
          <w:sz w:val="18"/>
        </w:rPr>
        <w:t>fuente: </w:t>
      </w:r>
      <w:r>
        <w:rPr>
          <w:color w:val="231F20"/>
          <w:w w:val="110"/>
          <w:sz w:val="18"/>
        </w:rPr>
        <w:t>realizadas a partir de “Note on the Returns for Domestic Nonfi- nancial</w:t>
      </w:r>
      <w:r>
        <w:rPr>
          <w:color w:val="231F20"/>
          <w:spacing w:val="-13"/>
          <w:w w:val="110"/>
          <w:sz w:val="18"/>
        </w:rPr>
        <w:t> </w:t>
      </w:r>
      <w:r>
        <w:rPr>
          <w:color w:val="231F20"/>
          <w:w w:val="110"/>
          <w:sz w:val="18"/>
        </w:rPr>
        <w:t>Corporations</w:t>
      </w:r>
      <w:r>
        <w:rPr>
          <w:color w:val="231F20"/>
          <w:spacing w:val="-13"/>
          <w:w w:val="110"/>
          <w:sz w:val="18"/>
        </w:rPr>
        <w:t> </w:t>
      </w:r>
      <w:r>
        <w:rPr>
          <w:color w:val="231F20"/>
          <w:w w:val="110"/>
          <w:sz w:val="18"/>
        </w:rPr>
        <w:t>in</w:t>
      </w:r>
      <w:r>
        <w:rPr>
          <w:color w:val="231F20"/>
          <w:spacing w:val="-13"/>
          <w:w w:val="110"/>
          <w:sz w:val="18"/>
        </w:rPr>
        <w:t> </w:t>
      </w:r>
      <w:r>
        <w:rPr>
          <w:color w:val="231F20"/>
          <w:w w:val="110"/>
          <w:sz w:val="18"/>
        </w:rPr>
        <w:t>1960-2005”,</w:t>
      </w:r>
      <w:r>
        <w:rPr>
          <w:color w:val="231F20"/>
          <w:spacing w:val="-13"/>
          <w:w w:val="110"/>
          <w:sz w:val="18"/>
        </w:rPr>
        <w:t> </w:t>
      </w:r>
      <w:r>
        <w:rPr>
          <w:color w:val="231F20"/>
          <w:w w:val="110"/>
          <w:sz w:val="18"/>
        </w:rPr>
        <w:t>mayo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2006;</w:t>
      </w:r>
      <w:r>
        <w:rPr>
          <w:color w:val="231F20"/>
          <w:spacing w:val="-13"/>
          <w:w w:val="110"/>
          <w:sz w:val="18"/>
        </w:rPr>
        <w:t> </w:t>
      </w:r>
      <w:r>
        <w:rPr>
          <w:color w:val="231F20"/>
          <w:w w:val="110"/>
          <w:sz w:val="18"/>
        </w:rPr>
        <w:t>y</w:t>
      </w:r>
      <w:r>
        <w:rPr>
          <w:color w:val="231F20"/>
          <w:spacing w:val="-13"/>
          <w:w w:val="110"/>
          <w:sz w:val="18"/>
        </w:rPr>
        <w:t> </w:t>
      </w:r>
      <w:r>
        <w:rPr>
          <w:color w:val="231F20"/>
          <w:w w:val="110"/>
          <w:sz w:val="18"/>
        </w:rPr>
        <w:t>“Returns</w:t>
      </w:r>
      <w:r>
        <w:rPr>
          <w:color w:val="231F20"/>
          <w:spacing w:val="-13"/>
          <w:w w:val="110"/>
          <w:sz w:val="18"/>
        </w:rPr>
        <w:t> </w:t>
      </w:r>
      <w:r>
        <w:rPr>
          <w:color w:val="231F20"/>
          <w:w w:val="110"/>
          <w:sz w:val="18"/>
        </w:rPr>
        <w:t>for</w:t>
      </w:r>
      <w:r>
        <w:rPr>
          <w:color w:val="231F20"/>
          <w:spacing w:val="-13"/>
          <w:w w:val="110"/>
          <w:sz w:val="18"/>
        </w:rPr>
        <w:t> </w:t>
      </w:r>
      <w:r>
        <w:rPr>
          <w:color w:val="231F20"/>
          <w:w w:val="110"/>
          <w:sz w:val="18"/>
        </w:rPr>
        <w:t>Domestic Nonfinancial</w:t>
      </w:r>
      <w:r>
        <w:rPr>
          <w:color w:val="231F20"/>
          <w:spacing w:val="-13"/>
          <w:w w:val="110"/>
          <w:sz w:val="18"/>
        </w:rPr>
        <w:t> </w:t>
      </w:r>
      <w:r>
        <w:rPr>
          <w:color w:val="231F20"/>
          <w:w w:val="110"/>
          <w:sz w:val="18"/>
        </w:rPr>
        <w:t>Businnes”,</w:t>
      </w:r>
      <w:r>
        <w:rPr>
          <w:color w:val="231F20"/>
          <w:spacing w:val="-13"/>
          <w:w w:val="110"/>
          <w:sz w:val="18"/>
        </w:rPr>
        <w:t> </w:t>
      </w:r>
      <w:r>
        <w:rPr>
          <w:color w:val="231F20"/>
          <w:w w:val="110"/>
          <w:sz w:val="18"/>
        </w:rPr>
        <w:t>mayo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2009.</w:t>
      </w:r>
    </w:p>
    <w:p>
      <w:pPr>
        <w:spacing w:after="0" w:line="283" w:lineRule="auto"/>
        <w:jc w:val="both"/>
        <w:rPr>
          <w:sz w:val="18"/>
        </w:rPr>
        <w:sectPr>
          <w:headerReference w:type="even" r:id="rId83"/>
          <w:headerReference w:type="default" r:id="rId84"/>
          <w:pgSz w:w="7640" w:h="11900"/>
          <w:pgMar w:header="672" w:footer="0" w:top="860" w:bottom="280" w:left="780" w:right="640"/>
        </w:sectPr>
      </w:pPr>
    </w:p>
    <w:p>
      <w:pPr>
        <w:pStyle w:val="BodyText"/>
        <w:spacing w:before="8"/>
        <w:rPr>
          <w:sz w:val="8"/>
        </w:rPr>
      </w:pPr>
    </w:p>
    <w:p>
      <w:pPr>
        <w:pStyle w:val="BodyText"/>
        <w:spacing w:line="261" w:lineRule="auto" w:before="67"/>
        <w:ind w:left="100" w:right="115" w:firstLine="240"/>
        <w:jc w:val="both"/>
      </w:pPr>
      <w:r>
        <w:rPr>
          <w:color w:val="231F20"/>
          <w:w w:val="110"/>
        </w:rPr>
        <w:t>Las empresas manufactureras —bienes durables y no durables—, tienen tasas de retorno bastante mayores que las empresas del con- junto del sector industrial no financiero, y éstas tienen una tasa de retorno mayor que el conjunto de las corporaciones no financieras. Esto es así para todos los años desde 1997 hasta 2007 (</w:t>
      </w:r>
      <w:r>
        <w:rPr>
          <w:i/>
          <w:color w:val="231F20"/>
          <w:w w:val="110"/>
        </w:rPr>
        <w:t>Survey of </w:t>
      </w:r>
      <w:r>
        <w:rPr>
          <w:i/>
          <w:color w:val="231F20"/>
          <w:w w:val="110"/>
        </w:rPr>
        <w:t>Current</w:t>
      </w:r>
      <w:r>
        <w:rPr>
          <w:i/>
          <w:color w:val="231F20"/>
          <w:spacing w:val="-9"/>
          <w:w w:val="110"/>
        </w:rPr>
        <w:t> </w:t>
      </w:r>
      <w:r>
        <w:rPr>
          <w:i/>
          <w:color w:val="231F20"/>
          <w:w w:val="110"/>
        </w:rPr>
        <w:t>Business</w:t>
      </w:r>
      <w:r>
        <w:rPr>
          <w:color w:val="231F20"/>
          <w:w w:val="110"/>
        </w:rPr>
        <w:t>,</w:t>
      </w:r>
      <w:r>
        <w:rPr>
          <w:color w:val="231F20"/>
          <w:spacing w:val="-9"/>
          <w:w w:val="110"/>
        </w:rPr>
        <w:t> </w:t>
      </w:r>
      <w:r>
        <w:rPr>
          <w:color w:val="231F20"/>
          <w:w w:val="110"/>
        </w:rPr>
        <w:t>2009).</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documento</w:t>
      </w:r>
      <w:r>
        <w:rPr>
          <w:color w:val="231F20"/>
          <w:spacing w:val="-9"/>
          <w:w w:val="110"/>
        </w:rPr>
        <w:t> </w:t>
      </w:r>
      <w:r>
        <w:rPr>
          <w:color w:val="231F20"/>
          <w:w w:val="110"/>
        </w:rPr>
        <w:t>citado,</w:t>
      </w:r>
      <w:r>
        <w:rPr>
          <w:color w:val="231F20"/>
          <w:spacing w:val="-9"/>
          <w:w w:val="110"/>
        </w:rPr>
        <w:t> </w:t>
      </w:r>
      <w:r>
        <w:rPr>
          <w:color w:val="231F20"/>
          <w:w w:val="110"/>
        </w:rPr>
        <w:t>se</w:t>
      </w:r>
      <w:r>
        <w:rPr>
          <w:color w:val="231F20"/>
          <w:spacing w:val="-9"/>
          <w:w w:val="110"/>
        </w:rPr>
        <w:t> </w:t>
      </w:r>
      <w:r>
        <w:rPr>
          <w:color w:val="231F20"/>
          <w:w w:val="110"/>
        </w:rPr>
        <w:t>señalan</w:t>
      </w:r>
      <w:r>
        <w:rPr>
          <w:color w:val="231F20"/>
          <w:spacing w:val="-9"/>
          <w:w w:val="110"/>
        </w:rPr>
        <w:t> </w:t>
      </w:r>
      <w:r>
        <w:rPr>
          <w:color w:val="231F20"/>
          <w:w w:val="110"/>
        </w:rPr>
        <w:t>algunas diferencias metodológicas que se deberían tener en cuenta. Pero,   las</w:t>
      </w:r>
      <w:r>
        <w:rPr>
          <w:color w:val="231F20"/>
          <w:spacing w:val="-6"/>
          <w:w w:val="110"/>
        </w:rPr>
        <w:t> </w:t>
      </w:r>
      <w:r>
        <w:rPr>
          <w:color w:val="231F20"/>
          <w:w w:val="110"/>
        </w:rPr>
        <w:t>diferencias</w:t>
      </w:r>
      <w:r>
        <w:rPr>
          <w:color w:val="231F20"/>
          <w:spacing w:val="-6"/>
          <w:w w:val="110"/>
        </w:rPr>
        <w:t> </w:t>
      </w:r>
      <w:r>
        <w:rPr>
          <w:color w:val="231F20"/>
          <w:w w:val="110"/>
        </w:rPr>
        <w:t>son</w:t>
      </w:r>
      <w:r>
        <w:rPr>
          <w:color w:val="231F20"/>
          <w:spacing w:val="-6"/>
          <w:w w:val="110"/>
        </w:rPr>
        <w:t> </w:t>
      </w:r>
      <w:r>
        <w:rPr>
          <w:color w:val="231F20"/>
          <w:w w:val="110"/>
        </w:rPr>
        <w:t>muy</w:t>
      </w:r>
      <w:r>
        <w:rPr>
          <w:color w:val="231F20"/>
          <w:spacing w:val="-6"/>
          <w:w w:val="110"/>
        </w:rPr>
        <w:t> </w:t>
      </w:r>
      <w:r>
        <w:rPr>
          <w:color w:val="231F20"/>
          <w:w w:val="110"/>
        </w:rPr>
        <w:t>significativas.</w:t>
      </w:r>
      <w:r>
        <w:rPr>
          <w:color w:val="231F20"/>
          <w:spacing w:val="-6"/>
          <w:w w:val="110"/>
        </w:rPr>
        <w:t> </w:t>
      </w:r>
      <w:r>
        <w:rPr>
          <w:color w:val="231F20"/>
          <w:w w:val="110"/>
        </w:rPr>
        <w:t>A</w:t>
      </w:r>
      <w:r>
        <w:rPr>
          <w:color w:val="231F20"/>
          <w:spacing w:val="-6"/>
          <w:w w:val="110"/>
        </w:rPr>
        <w:t> </w:t>
      </w:r>
      <w:r>
        <w:rPr>
          <w:color w:val="231F20"/>
          <w:w w:val="110"/>
        </w:rPr>
        <w:t>modo</w:t>
      </w:r>
      <w:r>
        <w:rPr>
          <w:color w:val="231F20"/>
          <w:spacing w:val="-6"/>
          <w:w w:val="110"/>
        </w:rPr>
        <w:t> </w:t>
      </w:r>
      <w:r>
        <w:rPr>
          <w:color w:val="231F20"/>
          <w:w w:val="110"/>
        </w:rPr>
        <w:t>de</w:t>
      </w:r>
      <w:r>
        <w:rPr>
          <w:color w:val="231F20"/>
          <w:spacing w:val="-6"/>
          <w:w w:val="110"/>
        </w:rPr>
        <w:t> </w:t>
      </w:r>
      <w:r>
        <w:rPr>
          <w:color w:val="231F20"/>
          <w:w w:val="110"/>
        </w:rPr>
        <w:t>ejemplo,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año 2007, la tasa de retorno de las corporaciones no financieras, fue de 9.4%; la de la industria no financiera fue de 13.4%; y la del sector manufacturero fue 15.1 por </w:t>
      </w:r>
      <w:r>
        <w:rPr>
          <w:color w:val="231F20"/>
          <w:spacing w:val="6"/>
          <w:w w:val="110"/>
        </w:rPr>
        <w:t> </w:t>
      </w:r>
      <w:r>
        <w:rPr>
          <w:color w:val="231F20"/>
          <w:w w:val="110"/>
        </w:rPr>
        <w:t>ciento.</w:t>
      </w:r>
    </w:p>
    <w:p>
      <w:pPr>
        <w:pStyle w:val="BodyText"/>
        <w:spacing w:line="261" w:lineRule="auto"/>
        <w:ind w:left="100" w:right="117" w:firstLine="240"/>
        <w:jc w:val="both"/>
      </w:pPr>
      <w:r>
        <w:rPr>
          <w:color w:val="231F20"/>
          <w:w w:val="110"/>
        </w:rPr>
        <w:t>Con las tasas de ganancias de las empresas no financieras sucede el mismo comportamiento tendencial de la tasa de retorno que he- mos analizado. Incluso, como tendencia es un poco más acentuada la recuperación, debido a que para obtener la tasa de ganancia se deben deducir los intereses netos que han disminuido en los últimos decenios.</w:t>
      </w:r>
    </w:p>
    <w:p>
      <w:pPr>
        <w:pStyle w:val="BodyText"/>
        <w:spacing w:line="261" w:lineRule="auto"/>
        <w:ind w:left="100" w:right="117" w:firstLine="240"/>
        <w:jc w:val="both"/>
      </w:pPr>
      <w:r>
        <w:rPr>
          <w:color w:val="231F20"/>
          <w:w w:val="110"/>
        </w:rPr>
        <w:t>El aumento de las ganancias de las empresas productoras de bie- nes y servicios y la disminución de los intereses netos, constituyen elementos fundamentales que explican la autonomía relativa de las empresas que producen bienes y servicios respecto del capital</w:t>
      </w:r>
      <w:r>
        <w:rPr>
          <w:color w:val="231F20"/>
          <w:spacing w:val="-20"/>
          <w:w w:val="110"/>
        </w:rPr>
        <w:t> </w:t>
      </w:r>
      <w:r>
        <w:rPr>
          <w:color w:val="231F20"/>
          <w:w w:val="110"/>
        </w:rPr>
        <w:t>finan- ciero, en relación con la situación de fuerte dependencia financiera de los años</w:t>
      </w:r>
      <w:r>
        <w:rPr>
          <w:color w:val="231F20"/>
          <w:spacing w:val="35"/>
          <w:w w:val="110"/>
        </w:rPr>
        <w:t> </w:t>
      </w:r>
      <w:r>
        <w:rPr>
          <w:color w:val="231F20"/>
          <w:w w:val="110"/>
        </w:rPr>
        <w:t>ochenta.</w:t>
      </w:r>
    </w:p>
    <w:p>
      <w:pPr>
        <w:pStyle w:val="BodyText"/>
        <w:spacing w:line="261" w:lineRule="auto"/>
        <w:ind w:left="100" w:right="117" w:firstLine="240"/>
        <w:jc w:val="both"/>
      </w:pPr>
      <w:r>
        <w:rPr>
          <w:color w:val="231F20"/>
          <w:w w:val="110"/>
        </w:rPr>
        <w:t>Adicionalmente, los impuestos pagados por las empresas dismi- nuyen sustancialmente. En los años setenta el promedio anual de impuestos de las empresas productoras de bienes y servicios, es de aproximadamente 45%. En este segundo decenio del siglo xxi, los impuestos sobre las ganancias disminuyen a 25% en promedio</w:t>
      </w:r>
    </w:p>
    <w:p>
      <w:pPr>
        <w:pStyle w:val="BodyText"/>
        <w:spacing w:line="261" w:lineRule="auto"/>
        <w:ind w:left="100" w:right="117" w:firstLine="240"/>
        <w:jc w:val="both"/>
      </w:pPr>
      <w:r>
        <w:rPr>
          <w:color w:val="231F20"/>
          <w:w w:val="110"/>
        </w:rPr>
        <w:t>Es </w:t>
      </w:r>
      <w:r>
        <w:rPr>
          <w:color w:val="231F20"/>
          <w:spacing w:val="-3"/>
          <w:w w:val="110"/>
        </w:rPr>
        <w:t>decir, </w:t>
      </w:r>
      <w:r>
        <w:rPr>
          <w:color w:val="231F20"/>
          <w:w w:val="110"/>
        </w:rPr>
        <w:t>en términos de tasas disminuyen en aproximadamente 45%, o bien, que la tasa de impuestos que pagaban anteriormente estas</w:t>
      </w:r>
      <w:r>
        <w:rPr>
          <w:color w:val="231F20"/>
          <w:spacing w:val="-15"/>
          <w:w w:val="110"/>
        </w:rPr>
        <w:t> </w:t>
      </w:r>
      <w:r>
        <w:rPr>
          <w:color w:val="231F20"/>
          <w:w w:val="110"/>
        </w:rPr>
        <w:t>empresas</w:t>
      </w:r>
      <w:r>
        <w:rPr>
          <w:color w:val="231F20"/>
          <w:spacing w:val="-15"/>
          <w:w w:val="110"/>
        </w:rPr>
        <w:t> </w:t>
      </w:r>
      <w:r>
        <w:rPr>
          <w:color w:val="231F20"/>
          <w:w w:val="110"/>
        </w:rPr>
        <w:t>productoras</w:t>
      </w:r>
      <w:r>
        <w:rPr>
          <w:color w:val="231F20"/>
          <w:spacing w:val="-15"/>
          <w:w w:val="110"/>
        </w:rPr>
        <w:t> </w:t>
      </w:r>
      <w:r>
        <w:rPr>
          <w:color w:val="231F20"/>
          <w:w w:val="110"/>
        </w:rPr>
        <w:t>de</w:t>
      </w:r>
      <w:r>
        <w:rPr>
          <w:color w:val="231F20"/>
          <w:spacing w:val="-15"/>
          <w:w w:val="110"/>
        </w:rPr>
        <w:t> </w:t>
      </w:r>
      <w:r>
        <w:rPr>
          <w:color w:val="231F20"/>
          <w:w w:val="110"/>
        </w:rPr>
        <w:t>bienes</w:t>
      </w:r>
      <w:r>
        <w:rPr>
          <w:color w:val="231F20"/>
          <w:spacing w:val="-15"/>
          <w:w w:val="110"/>
        </w:rPr>
        <w:t> </w:t>
      </w:r>
      <w:r>
        <w:rPr>
          <w:color w:val="231F20"/>
          <w:w w:val="110"/>
        </w:rPr>
        <w:t>y</w:t>
      </w:r>
      <w:r>
        <w:rPr>
          <w:color w:val="231F20"/>
          <w:spacing w:val="-15"/>
          <w:w w:val="110"/>
        </w:rPr>
        <w:t> </w:t>
      </w:r>
      <w:r>
        <w:rPr>
          <w:color w:val="231F20"/>
          <w:w w:val="110"/>
        </w:rPr>
        <w:t>servicios</w:t>
      </w:r>
      <w:r>
        <w:rPr>
          <w:color w:val="231F20"/>
          <w:spacing w:val="-15"/>
          <w:w w:val="110"/>
        </w:rPr>
        <w:t> </w:t>
      </w:r>
      <w:r>
        <w:rPr>
          <w:color w:val="231F20"/>
          <w:w w:val="110"/>
        </w:rPr>
        <w:t>eran</w:t>
      </w:r>
      <w:r>
        <w:rPr>
          <w:color w:val="231F20"/>
          <w:spacing w:val="-15"/>
          <w:w w:val="110"/>
        </w:rPr>
        <w:t> </w:t>
      </w:r>
      <w:r>
        <w:rPr>
          <w:color w:val="231F20"/>
          <w:w w:val="110"/>
        </w:rPr>
        <w:t>80%</w:t>
      </w:r>
      <w:r>
        <w:rPr>
          <w:color w:val="231F20"/>
          <w:spacing w:val="-15"/>
          <w:w w:val="110"/>
        </w:rPr>
        <w:t> </w:t>
      </w:r>
      <w:r>
        <w:rPr>
          <w:color w:val="231F20"/>
          <w:w w:val="110"/>
        </w:rPr>
        <w:t>superiores a las actuales</w:t>
      </w:r>
      <w:r>
        <w:rPr>
          <w:color w:val="231F20"/>
          <w:spacing w:val="-40"/>
          <w:w w:val="110"/>
        </w:rPr>
        <w:t> </w:t>
      </w:r>
      <w:r>
        <w:rPr>
          <w:color w:val="231F20"/>
          <w:w w:val="110"/>
        </w:rPr>
        <w:t>tasas.</w:t>
      </w:r>
    </w:p>
    <w:p>
      <w:pPr>
        <w:pStyle w:val="BodyText"/>
        <w:spacing w:line="261" w:lineRule="auto"/>
        <w:ind w:left="100" w:right="117" w:firstLine="240"/>
        <w:jc w:val="both"/>
      </w:pPr>
      <w:r>
        <w:rPr>
          <w:color w:val="231F20"/>
          <w:w w:val="110"/>
        </w:rPr>
        <w:t>El</w:t>
      </w:r>
      <w:r>
        <w:rPr>
          <w:color w:val="231F20"/>
          <w:spacing w:val="-6"/>
          <w:w w:val="110"/>
        </w:rPr>
        <w:t> </w:t>
      </w:r>
      <w:r>
        <w:rPr>
          <w:color w:val="231F20"/>
          <w:w w:val="110"/>
        </w:rPr>
        <w:t>aumento</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ganancias</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tasa</w:t>
      </w:r>
      <w:r>
        <w:rPr>
          <w:color w:val="231F20"/>
          <w:spacing w:val="-6"/>
          <w:w w:val="110"/>
        </w:rPr>
        <w:t> </w:t>
      </w:r>
      <w:r>
        <w:rPr>
          <w:color w:val="231F20"/>
          <w:w w:val="110"/>
        </w:rPr>
        <w:t>de</w:t>
      </w:r>
      <w:r>
        <w:rPr>
          <w:color w:val="231F20"/>
          <w:spacing w:val="-6"/>
          <w:w w:val="110"/>
        </w:rPr>
        <w:t> </w:t>
      </w:r>
      <w:r>
        <w:rPr>
          <w:color w:val="231F20"/>
          <w:w w:val="110"/>
        </w:rPr>
        <w:t>ganancias,</w:t>
      </w:r>
      <w:r>
        <w:rPr>
          <w:color w:val="231F20"/>
          <w:spacing w:val="-6"/>
          <w:w w:val="110"/>
        </w:rPr>
        <w:t> </w:t>
      </w:r>
      <w:r>
        <w:rPr>
          <w:color w:val="231F20"/>
          <w:w w:val="110"/>
        </w:rPr>
        <w:t>la</w:t>
      </w:r>
      <w:r>
        <w:rPr>
          <w:color w:val="231F20"/>
          <w:spacing w:val="-6"/>
          <w:w w:val="110"/>
        </w:rPr>
        <w:t> </w:t>
      </w:r>
      <w:r>
        <w:rPr>
          <w:color w:val="231F20"/>
          <w:w w:val="110"/>
        </w:rPr>
        <w:t>disminu- ción de los intereses netos y del pago de impuestos, le da a las em- presas productoras de bienes y servicios una gran fuerza en relación con el capital</w:t>
      </w:r>
      <w:r>
        <w:rPr>
          <w:color w:val="231F20"/>
          <w:spacing w:val="24"/>
          <w:w w:val="110"/>
        </w:rPr>
        <w:t> </w:t>
      </w:r>
      <w:r>
        <w:rPr>
          <w:color w:val="231F20"/>
          <w:w w:val="110"/>
        </w:rPr>
        <w:t>financiero.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before="67"/>
        <w:ind w:left="100"/>
        <w:jc w:val="both"/>
      </w:pPr>
      <w:r>
        <w:rPr>
          <w:color w:val="231F20"/>
          <w:w w:val="130"/>
        </w:rPr>
        <w:t>la distribución de la producción en salarios, ganancias</w:t>
      </w:r>
    </w:p>
    <w:p>
      <w:pPr>
        <w:pStyle w:val="BodyText"/>
        <w:spacing w:before="20"/>
        <w:ind w:left="100"/>
        <w:jc w:val="both"/>
      </w:pPr>
      <w:r>
        <w:rPr>
          <w:color w:val="231F20"/>
          <w:w w:val="125"/>
        </w:rPr>
        <w:t>y renta de recursos naturales, a escalas de países y mundial</w:t>
      </w:r>
    </w:p>
    <w:p>
      <w:pPr>
        <w:pStyle w:val="BodyText"/>
        <w:spacing w:before="5"/>
        <w:rPr>
          <w:sz w:val="23"/>
        </w:rPr>
      </w:pPr>
    </w:p>
    <w:p>
      <w:pPr>
        <w:spacing w:line="261" w:lineRule="auto" w:before="0"/>
        <w:ind w:left="100" w:right="117" w:firstLine="0"/>
        <w:jc w:val="both"/>
        <w:rPr>
          <w:sz w:val="20"/>
        </w:rPr>
      </w:pPr>
      <w:r>
        <w:rPr>
          <w:color w:val="231F20"/>
          <w:w w:val="105"/>
          <w:sz w:val="20"/>
        </w:rPr>
        <w:t>El incremento de las ganancias en los países y mundiales tiene rela- ción directa, como lo hemos señalado, con una fuerte disminución      de la participación de los salarios y de la renta de los recursos na- turales, a favor de las ganancias. Esto lo desarrollamos ampliamente   en</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trabajo</w:t>
      </w:r>
      <w:r>
        <w:rPr>
          <w:color w:val="231F20"/>
          <w:spacing w:val="-11"/>
          <w:w w:val="105"/>
          <w:sz w:val="20"/>
        </w:rPr>
        <w:t> </w:t>
      </w:r>
      <w:r>
        <w:rPr>
          <w:i/>
          <w:color w:val="231F20"/>
          <w:w w:val="105"/>
          <w:sz w:val="20"/>
        </w:rPr>
        <w:t>Crisis</w:t>
      </w:r>
      <w:r>
        <w:rPr>
          <w:i/>
          <w:color w:val="231F20"/>
          <w:spacing w:val="-11"/>
          <w:w w:val="105"/>
          <w:sz w:val="20"/>
        </w:rPr>
        <w:t> </w:t>
      </w:r>
      <w:r>
        <w:rPr>
          <w:i/>
          <w:color w:val="231F20"/>
          <w:w w:val="105"/>
          <w:sz w:val="20"/>
        </w:rPr>
        <w:t>de</w:t>
      </w:r>
      <w:r>
        <w:rPr>
          <w:i/>
          <w:color w:val="231F20"/>
          <w:spacing w:val="-11"/>
          <w:w w:val="105"/>
          <w:sz w:val="20"/>
        </w:rPr>
        <w:t> </w:t>
      </w:r>
      <w:r>
        <w:rPr>
          <w:i/>
          <w:color w:val="231F20"/>
          <w:w w:val="105"/>
          <w:sz w:val="20"/>
        </w:rPr>
        <w:t>la</w:t>
      </w:r>
      <w:r>
        <w:rPr>
          <w:i/>
          <w:color w:val="231F20"/>
          <w:spacing w:val="-11"/>
          <w:w w:val="105"/>
          <w:sz w:val="20"/>
        </w:rPr>
        <w:t> </w:t>
      </w:r>
      <w:r>
        <w:rPr>
          <w:i/>
          <w:color w:val="231F20"/>
          <w:w w:val="105"/>
          <w:sz w:val="20"/>
        </w:rPr>
        <w:t>economía</w:t>
      </w:r>
      <w:r>
        <w:rPr>
          <w:i/>
          <w:color w:val="231F20"/>
          <w:spacing w:val="-11"/>
          <w:w w:val="105"/>
          <w:sz w:val="20"/>
        </w:rPr>
        <w:t> </w:t>
      </w:r>
      <w:r>
        <w:rPr>
          <w:i/>
          <w:color w:val="231F20"/>
          <w:w w:val="105"/>
          <w:sz w:val="20"/>
        </w:rPr>
        <w:t>mundial:</w:t>
      </w:r>
      <w:r>
        <w:rPr>
          <w:i/>
          <w:color w:val="231F20"/>
          <w:spacing w:val="-11"/>
          <w:w w:val="105"/>
          <w:sz w:val="20"/>
        </w:rPr>
        <w:t> </w:t>
      </w:r>
      <w:r>
        <w:rPr>
          <w:i/>
          <w:color w:val="231F20"/>
          <w:w w:val="105"/>
          <w:sz w:val="20"/>
        </w:rPr>
        <w:t>aumento</w:t>
      </w:r>
      <w:r>
        <w:rPr>
          <w:i/>
          <w:color w:val="231F20"/>
          <w:spacing w:val="-11"/>
          <w:w w:val="105"/>
          <w:sz w:val="20"/>
        </w:rPr>
        <w:t> </w:t>
      </w:r>
      <w:r>
        <w:rPr>
          <w:i/>
          <w:color w:val="231F20"/>
          <w:w w:val="105"/>
          <w:sz w:val="20"/>
        </w:rPr>
        <w:t>de</w:t>
      </w:r>
      <w:r>
        <w:rPr>
          <w:i/>
          <w:color w:val="231F20"/>
          <w:spacing w:val="-11"/>
          <w:w w:val="105"/>
          <w:sz w:val="20"/>
        </w:rPr>
        <w:t> </w:t>
      </w:r>
      <w:r>
        <w:rPr>
          <w:i/>
          <w:color w:val="231F20"/>
          <w:w w:val="105"/>
          <w:sz w:val="20"/>
        </w:rPr>
        <w:t>las</w:t>
      </w:r>
      <w:r>
        <w:rPr>
          <w:i/>
          <w:color w:val="231F20"/>
          <w:spacing w:val="-11"/>
          <w:w w:val="105"/>
          <w:sz w:val="20"/>
        </w:rPr>
        <w:t> </w:t>
      </w:r>
      <w:r>
        <w:rPr>
          <w:i/>
          <w:color w:val="231F20"/>
          <w:w w:val="105"/>
          <w:sz w:val="20"/>
        </w:rPr>
        <w:t>ganancias</w:t>
      </w:r>
      <w:r>
        <w:rPr>
          <w:i/>
          <w:color w:val="231F20"/>
          <w:spacing w:val="-11"/>
          <w:w w:val="105"/>
          <w:sz w:val="20"/>
        </w:rPr>
        <w:t> </w:t>
      </w:r>
      <w:r>
        <w:rPr>
          <w:i/>
          <w:color w:val="231F20"/>
          <w:w w:val="105"/>
          <w:sz w:val="20"/>
        </w:rPr>
        <w:t>y</w:t>
      </w:r>
      <w:r>
        <w:rPr>
          <w:i/>
          <w:color w:val="231F20"/>
          <w:w w:val="85"/>
          <w:sz w:val="20"/>
        </w:rPr>
        <w:t> </w:t>
      </w:r>
      <w:r>
        <w:rPr>
          <w:i/>
          <w:color w:val="231F20"/>
          <w:w w:val="105"/>
          <w:sz w:val="20"/>
        </w:rPr>
        <w:t>disminución</w:t>
      </w:r>
      <w:r>
        <w:rPr>
          <w:i/>
          <w:color w:val="231F20"/>
          <w:spacing w:val="-17"/>
          <w:w w:val="105"/>
          <w:sz w:val="20"/>
        </w:rPr>
        <w:t> </w:t>
      </w:r>
      <w:r>
        <w:rPr>
          <w:i/>
          <w:color w:val="231F20"/>
          <w:w w:val="105"/>
          <w:sz w:val="20"/>
        </w:rPr>
        <w:t>de</w:t>
      </w:r>
      <w:r>
        <w:rPr>
          <w:i/>
          <w:color w:val="231F20"/>
          <w:spacing w:val="-17"/>
          <w:w w:val="105"/>
          <w:sz w:val="20"/>
        </w:rPr>
        <w:t> </w:t>
      </w:r>
      <w:r>
        <w:rPr>
          <w:i/>
          <w:color w:val="231F20"/>
          <w:w w:val="105"/>
          <w:sz w:val="20"/>
        </w:rPr>
        <w:t>los</w:t>
      </w:r>
      <w:r>
        <w:rPr>
          <w:i/>
          <w:color w:val="231F20"/>
          <w:spacing w:val="-17"/>
          <w:w w:val="105"/>
          <w:sz w:val="20"/>
        </w:rPr>
        <w:t> </w:t>
      </w:r>
      <w:r>
        <w:rPr>
          <w:i/>
          <w:color w:val="231F20"/>
          <w:w w:val="105"/>
          <w:sz w:val="20"/>
        </w:rPr>
        <w:t>salarios</w:t>
      </w:r>
      <w:r>
        <w:rPr>
          <w:i/>
          <w:color w:val="231F20"/>
          <w:spacing w:val="-17"/>
          <w:w w:val="105"/>
          <w:sz w:val="20"/>
        </w:rPr>
        <w:t> </w:t>
      </w:r>
      <w:r>
        <w:rPr>
          <w:color w:val="231F20"/>
          <w:w w:val="105"/>
          <w:sz w:val="20"/>
        </w:rPr>
        <w:t>(Caputo,</w:t>
      </w:r>
      <w:r>
        <w:rPr>
          <w:color w:val="231F20"/>
          <w:spacing w:val="-17"/>
          <w:w w:val="105"/>
          <w:sz w:val="20"/>
        </w:rPr>
        <w:t> </w:t>
      </w:r>
      <w:r>
        <w:rPr>
          <w:color w:val="231F20"/>
          <w:w w:val="105"/>
          <w:sz w:val="20"/>
        </w:rPr>
        <w:t>2010).</w:t>
      </w:r>
    </w:p>
    <w:p>
      <w:pPr>
        <w:pStyle w:val="BodyText"/>
        <w:spacing w:line="261" w:lineRule="auto"/>
        <w:ind w:left="100" w:right="119" w:firstLine="240"/>
        <w:jc w:val="both"/>
      </w:pPr>
      <w:r>
        <w:rPr>
          <w:color w:val="231F20"/>
          <w:w w:val="110"/>
        </w:rPr>
        <w:t>En dicho documento, desarrollamos en forma extensa</w:t>
      </w:r>
      <w:r>
        <w:rPr>
          <w:color w:val="231F20"/>
          <w:spacing w:val="20"/>
          <w:w w:val="110"/>
        </w:rPr>
        <w:t> </w:t>
      </w:r>
      <w:r>
        <w:rPr>
          <w:color w:val="231F20"/>
          <w:w w:val="110"/>
        </w:rPr>
        <w:t>la</w:t>
      </w:r>
      <w:r>
        <w:rPr>
          <w:color w:val="231F20"/>
          <w:spacing w:val="2"/>
          <w:w w:val="110"/>
        </w:rPr>
        <w:t> </w:t>
      </w:r>
      <w:r>
        <w:rPr>
          <w:color w:val="231F20"/>
          <w:w w:val="110"/>
        </w:rPr>
        <w:t>distribu-</w:t>
      </w:r>
      <w:r>
        <w:rPr>
          <w:color w:val="231F20"/>
          <w:w w:val="72"/>
        </w:rPr>
        <w:t> </w:t>
      </w:r>
      <w:r>
        <w:rPr>
          <w:color w:val="231F20"/>
          <w:w w:val="110"/>
        </w:rPr>
        <w:t>ción funcional del ingreso entre remuneraciones, ganancias</w:t>
      </w:r>
      <w:r>
        <w:rPr>
          <w:color w:val="231F20"/>
          <w:spacing w:val="3"/>
          <w:w w:val="110"/>
        </w:rPr>
        <w:t> </w:t>
      </w:r>
      <w:r>
        <w:rPr>
          <w:color w:val="231F20"/>
          <w:w w:val="110"/>
        </w:rPr>
        <w:t>y</w:t>
      </w:r>
      <w:r>
        <w:rPr>
          <w:color w:val="231F20"/>
          <w:spacing w:val="16"/>
          <w:w w:val="110"/>
        </w:rPr>
        <w:t> </w:t>
      </w:r>
      <w:r>
        <w:rPr>
          <w:color w:val="231F20"/>
          <w:w w:val="110"/>
        </w:rPr>
        <w:t>renta</w:t>
      </w:r>
      <w:r>
        <w:rPr>
          <w:color w:val="231F20"/>
          <w:w w:val="115"/>
        </w:rPr>
        <w:t> </w:t>
      </w:r>
      <w:r>
        <w:rPr>
          <w:color w:val="231F20"/>
          <w:w w:val="110"/>
        </w:rPr>
        <w:t>de recursos naturales en Smith, Ricardo y Marx. Destacamos aquí</w:t>
      </w:r>
      <w:r>
        <w:rPr>
          <w:color w:val="231F20"/>
          <w:spacing w:val="-32"/>
          <w:w w:val="110"/>
        </w:rPr>
        <w:t> </w:t>
      </w:r>
      <w:r>
        <w:rPr>
          <w:color w:val="231F20"/>
          <w:w w:val="110"/>
        </w:rPr>
        <w:t>lo esencial:</w:t>
      </w:r>
    </w:p>
    <w:p>
      <w:pPr>
        <w:pStyle w:val="BodyText"/>
      </w:pPr>
    </w:p>
    <w:p>
      <w:pPr>
        <w:pStyle w:val="BodyText"/>
        <w:spacing w:before="5"/>
        <w:rPr>
          <w:sz w:val="23"/>
        </w:rPr>
      </w:pPr>
    </w:p>
    <w:p>
      <w:pPr>
        <w:spacing w:before="0"/>
        <w:ind w:left="100" w:right="0" w:firstLine="0"/>
        <w:jc w:val="both"/>
        <w:rPr>
          <w:i/>
          <w:sz w:val="20"/>
        </w:rPr>
      </w:pPr>
      <w:r>
        <w:rPr>
          <w:i/>
          <w:color w:val="231F20"/>
          <w:sz w:val="20"/>
        </w:rPr>
        <w:t>La distribución de la producción en Adam Smith</w:t>
      </w:r>
    </w:p>
    <w:p>
      <w:pPr>
        <w:pStyle w:val="BodyText"/>
        <w:spacing w:before="5"/>
        <w:rPr>
          <w:i/>
          <w:sz w:val="23"/>
        </w:rPr>
      </w:pPr>
    </w:p>
    <w:p>
      <w:pPr>
        <w:pStyle w:val="BodyText"/>
        <w:spacing w:line="261" w:lineRule="auto"/>
        <w:ind w:left="100" w:right="119"/>
        <w:jc w:val="both"/>
      </w:pPr>
      <w:r>
        <w:rPr>
          <w:color w:val="231F20"/>
          <w:w w:val="105"/>
        </w:rPr>
        <w:t>Adam Smith, en su famoso libro “Investigación sobre la Naturaleza y Causa de la Riqueza de las Naciones” (Smith, 1776) señala:</w:t>
      </w:r>
    </w:p>
    <w:p>
      <w:pPr>
        <w:pStyle w:val="BodyText"/>
        <w:spacing w:before="4"/>
        <w:rPr>
          <w:sz w:val="23"/>
        </w:rPr>
      </w:pPr>
    </w:p>
    <w:p>
      <w:pPr>
        <w:spacing w:line="290" w:lineRule="auto" w:before="0"/>
        <w:ind w:left="100" w:right="117" w:firstLine="0"/>
        <w:jc w:val="both"/>
        <w:rPr>
          <w:sz w:val="18"/>
        </w:rPr>
      </w:pPr>
      <w:r>
        <w:rPr>
          <w:color w:val="231F20"/>
          <w:w w:val="110"/>
          <w:sz w:val="18"/>
        </w:rPr>
        <w:t>En el Estado originario de la sociedad que precede a la apropiación de la tierra y a la acumulación del capital, el producto íntegro del trabajo perte- nece al trabajador. No había entonces propietarios ni patronos con quienes compartirlo.</w:t>
      </w:r>
    </w:p>
    <w:p>
      <w:pPr>
        <w:spacing w:line="290" w:lineRule="auto" w:before="1"/>
        <w:ind w:left="100" w:right="117" w:firstLine="250"/>
        <w:jc w:val="both"/>
        <w:rPr>
          <w:sz w:val="18"/>
        </w:rPr>
      </w:pPr>
      <w:r>
        <w:rPr>
          <w:color w:val="231F20"/>
          <w:w w:val="110"/>
          <w:sz w:val="18"/>
        </w:rPr>
        <w:t>Tan pronto como la tierra se convierte en propiedad privada, el propie- tario exige una parte de todo cuanto producto obtiene o recolecta en ella el trabajador. Su renta es la primera deducción que se hace del producto del trabajo aplicado a la tierra.</w:t>
      </w:r>
    </w:p>
    <w:p>
      <w:pPr>
        <w:pStyle w:val="BodyText"/>
        <w:spacing w:before="2"/>
      </w:pPr>
    </w:p>
    <w:p>
      <w:pPr>
        <w:pStyle w:val="BodyText"/>
        <w:spacing w:line="261" w:lineRule="auto"/>
        <w:ind w:left="100" w:right="117" w:firstLine="240"/>
        <w:jc w:val="both"/>
      </w:pPr>
      <w:r>
        <w:rPr>
          <w:color w:val="231F20"/>
          <w:w w:val="110"/>
        </w:rPr>
        <w:t>Si la producción está a cargo de un granjero o dueño del capital,</w:t>
      </w:r>
      <w:r>
        <w:rPr>
          <w:color w:val="231F20"/>
          <w:w w:val="107"/>
        </w:rPr>
        <w:t> </w:t>
      </w:r>
      <w:r>
        <w:rPr>
          <w:color w:val="231F20"/>
          <w:w w:val="110"/>
        </w:rPr>
        <w:t>éste obtiene un beneficio. “Este beneficio viene a ser la segunda</w:t>
      </w:r>
      <w:r>
        <w:rPr>
          <w:color w:val="231F20"/>
          <w:w w:val="110"/>
        </w:rPr>
        <w:t> </w:t>
      </w:r>
      <w:r>
        <w:rPr>
          <w:color w:val="231F20"/>
          <w:w w:val="110"/>
        </w:rPr>
        <w:t>deducción que se hace del producto del trabajo empleado en la tierra”.</w:t>
      </w:r>
    </w:p>
    <w:p>
      <w:pPr>
        <w:pStyle w:val="BodyText"/>
      </w:pPr>
    </w:p>
    <w:p>
      <w:pPr>
        <w:pStyle w:val="BodyText"/>
        <w:spacing w:before="5"/>
        <w:rPr>
          <w:sz w:val="23"/>
        </w:rPr>
      </w:pPr>
    </w:p>
    <w:p>
      <w:pPr>
        <w:spacing w:before="0"/>
        <w:ind w:left="100" w:right="0" w:firstLine="0"/>
        <w:jc w:val="both"/>
        <w:rPr>
          <w:i/>
          <w:sz w:val="20"/>
        </w:rPr>
      </w:pPr>
      <w:r>
        <w:rPr>
          <w:i/>
          <w:color w:val="231F20"/>
          <w:sz w:val="20"/>
        </w:rPr>
        <w:t>La distribución de la producción en David Ricardo</w:t>
      </w:r>
    </w:p>
    <w:p>
      <w:pPr>
        <w:pStyle w:val="BodyText"/>
        <w:spacing w:before="5"/>
        <w:rPr>
          <w:i/>
          <w:sz w:val="23"/>
        </w:rPr>
      </w:pPr>
    </w:p>
    <w:p>
      <w:pPr>
        <w:pStyle w:val="BodyText"/>
        <w:spacing w:line="261" w:lineRule="auto"/>
        <w:ind w:left="100" w:right="119"/>
        <w:jc w:val="both"/>
      </w:pPr>
      <w:r>
        <w:rPr>
          <w:color w:val="231F20"/>
          <w:w w:val="110"/>
        </w:rPr>
        <w:t>David Ricardo le asigna a la distribución una importancia tan gran- de y por sobre la producción, el mercado y el consumo que señala</w:t>
      </w:r>
    </w:p>
    <w:p>
      <w:pPr>
        <w:spacing w:after="0" w:line="261" w:lineRule="auto"/>
        <w:jc w:val="both"/>
        <w:sectPr>
          <w:headerReference w:type="even" r:id="rId86"/>
          <w:headerReference w:type="default" r:id="rId87"/>
          <w:pgSz w:w="7640" w:h="11900"/>
          <w:pgMar w:header="672" w:footer="0" w:top="860" w:bottom="280" w:left="780" w:right="640"/>
          <w:pgNumType w:start="102"/>
        </w:sectPr>
      </w:pPr>
    </w:p>
    <w:p>
      <w:pPr>
        <w:pStyle w:val="BodyText"/>
        <w:spacing w:before="8"/>
        <w:rPr>
          <w:sz w:val="8"/>
        </w:rPr>
      </w:pPr>
    </w:p>
    <w:p>
      <w:pPr>
        <w:pStyle w:val="BodyText"/>
        <w:spacing w:line="261" w:lineRule="auto" w:before="67"/>
        <w:ind w:left="100" w:right="118"/>
        <w:jc w:val="both"/>
      </w:pPr>
      <w:r>
        <w:rPr>
          <w:color w:val="231F20"/>
          <w:w w:val="110"/>
        </w:rPr>
        <w:t>que la distribución es el objeto de estudio fundamental de la ciencia económica.</w:t>
      </w:r>
    </w:p>
    <w:p>
      <w:pPr>
        <w:pStyle w:val="BodyText"/>
        <w:spacing w:line="261" w:lineRule="auto"/>
        <w:ind w:left="100" w:right="119" w:firstLine="240"/>
        <w:jc w:val="both"/>
      </w:pP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presentación</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libro,</w:t>
      </w:r>
      <w:r>
        <w:rPr>
          <w:color w:val="231F20"/>
          <w:spacing w:val="-19"/>
          <w:w w:val="105"/>
        </w:rPr>
        <w:t> </w:t>
      </w:r>
      <w:r>
        <w:rPr>
          <w:i/>
          <w:color w:val="231F20"/>
          <w:w w:val="105"/>
        </w:rPr>
        <w:t>Principios</w:t>
      </w:r>
      <w:r>
        <w:rPr>
          <w:i/>
          <w:color w:val="231F20"/>
          <w:spacing w:val="-19"/>
          <w:w w:val="105"/>
        </w:rPr>
        <w:t> </w:t>
      </w:r>
      <w:r>
        <w:rPr>
          <w:i/>
          <w:color w:val="231F20"/>
          <w:w w:val="105"/>
        </w:rPr>
        <w:t>de</w:t>
      </w:r>
      <w:r>
        <w:rPr>
          <w:i/>
          <w:color w:val="231F20"/>
          <w:spacing w:val="-19"/>
          <w:w w:val="105"/>
        </w:rPr>
        <w:t> </w:t>
      </w:r>
      <w:r>
        <w:rPr>
          <w:i/>
          <w:color w:val="231F20"/>
          <w:w w:val="105"/>
        </w:rPr>
        <w:t>economía</w:t>
      </w:r>
      <w:r>
        <w:rPr>
          <w:i/>
          <w:color w:val="231F20"/>
          <w:spacing w:val="-19"/>
          <w:w w:val="105"/>
        </w:rPr>
        <w:t> </w:t>
      </w:r>
      <w:r>
        <w:rPr>
          <w:i/>
          <w:color w:val="231F20"/>
          <w:w w:val="105"/>
        </w:rPr>
        <w:t>política</w:t>
      </w:r>
      <w:r>
        <w:rPr>
          <w:i/>
          <w:color w:val="231F20"/>
          <w:spacing w:val="-19"/>
          <w:w w:val="105"/>
        </w:rPr>
        <w:t> </w:t>
      </w:r>
      <w:r>
        <w:rPr>
          <w:i/>
          <w:color w:val="231F20"/>
        </w:rPr>
        <w:t>y</w:t>
      </w:r>
      <w:r>
        <w:rPr>
          <w:i/>
          <w:color w:val="231F20"/>
          <w:spacing w:val="-16"/>
        </w:rPr>
        <w:t> </w:t>
      </w:r>
      <w:r>
        <w:rPr>
          <w:i/>
          <w:color w:val="231F20"/>
          <w:w w:val="105"/>
        </w:rPr>
        <w:t>tribu- </w:t>
      </w:r>
      <w:r>
        <w:rPr>
          <w:i/>
          <w:color w:val="231F20"/>
          <w:w w:val="105"/>
        </w:rPr>
        <w:t>tación </w:t>
      </w:r>
      <w:r>
        <w:rPr>
          <w:color w:val="231F20"/>
          <w:w w:val="105"/>
          <w:sz w:val="18"/>
        </w:rPr>
        <w:t>(</w:t>
      </w:r>
      <w:r>
        <w:rPr>
          <w:color w:val="231F20"/>
          <w:w w:val="105"/>
        </w:rPr>
        <w:t>Ricardo, 1817), Ricardo señala que el producto: “Se reparte entre tres clases de la comunidad, a saber: el propietario de la tierra,    el dueño del capital […] </w:t>
      </w:r>
      <w:r>
        <w:rPr>
          <w:color w:val="231F20"/>
        </w:rPr>
        <w:t>y </w:t>
      </w:r>
      <w:r>
        <w:rPr>
          <w:color w:val="231F20"/>
          <w:w w:val="105"/>
        </w:rPr>
        <w:t>los trabajadores”. </w:t>
      </w:r>
      <w:r>
        <w:rPr>
          <w:color w:val="231F20"/>
        </w:rPr>
        <w:t>Y </w:t>
      </w:r>
      <w:r>
        <w:rPr>
          <w:color w:val="231F20"/>
          <w:w w:val="105"/>
        </w:rPr>
        <w:t>afirma: “La determina- ción de las leyes que rigen esta distribución es el</w:t>
      </w:r>
      <w:r>
        <w:rPr>
          <w:color w:val="231F20"/>
          <w:spacing w:val="10"/>
          <w:w w:val="105"/>
        </w:rPr>
        <w:t> </w:t>
      </w:r>
      <w:r>
        <w:rPr>
          <w:color w:val="231F20"/>
          <w:w w:val="105"/>
        </w:rPr>
        <w:t>problema</w:t>
      </w:r>
      <w:r>
        <w:rPr>
          <w:color w:val="231F20"/>
          <w:spacing w:val="11"/>
          <w:w w:val="105"/>
        </w:rPr>
        <w:t> </w:t>
      </w:r>
      <w:r>
        <w:rPr>
          <w:color w:val="231F20"/>
          <w:w w:val="105"/>
        </w:rPr>
        <w:t>primordial</w:t>
      </w:r>
      <w:r>
        <w:rPr>
          <w:color w:val="231F20"/>
          <w:w w:val="111"/>
        </w:rPr>
        <w:t> </w:t>
      </w:r>
      <w:r>
        <w:rPr>
          <w:color w:val="231F20"/>
          <w:w w:val="105"/>
        </w:rPr>
        <w:t>de  la  economía</w:t>
      </w:r>
      <w:r>
        <w:rPr>
          <w:color w:val="231F20"/>
          <w:spacing w:val="6"/>
          <w:w w:val="105"/>
        </w:rPr>
        <w:t> </w:t>
      </w:r>
      <w:r>
        <w:rPr>
          <w:color w:val="231F20"/>
          <w:w w:val="105"/>
        </w:rPr>
        <w:t>política”.</w:t>
      </w:r>
    </w:p>
    <w:p>
      <w:pPr>
        <w:pStyle w:val="BodyText"/>
        <w:ind w:left="340" w:right="25"/>
      </w:pPr>
      <w:r>
        <w:rPr>
          <w:color w:val="231F20"/>
          <w:w w:val="110"/>
        </w:rPr>
        <w:t>Agrega que en distintas épocas históricas la distribución:</w:t>
      </w:r>
    </w:p>
    <w:p>
      <w:pPr>
        <w:pStyle w:val="BodyText"/>
        <w:spacing w:before="1"/>
        <w:rPr>
          <w:sz w:val="25"/>
        </w:rPr>
      </w:pPr>
    </w:p>
    <w:p>
      <w:pPr>
        <w:spacing w:line="290" w:lineRule="auto" w:before="0"/>
        <w:ind w:left="100" w:right="117" w:firstLine="0"/>
        <w:jc w:val="both"/>
        <w:rPr>
          <w:sz w:val="18"/>
        </w:rPr>
      </w:pPr>
      <w:r>
        <w:rPr>
          <w:color w:val="231F20"/>
          <w:w w:val="110"/>
          <w:sz w:val="18"/>
        </w:rPr>
        <w:t>Imputadas</w:t>
      </w:r>
      <w:r>
        <w:rPr>
          <w:color w:val="231F20"/>
          <w:spacing w:val="-6"/>
          <w:w w:val="110"/>
          <w:sz w:val="18"/>
        </w:rPr>
        <w:t> </w:t>
      </w:r>
      <w:r>
        <w:rPr>
          <w:color w:val="231F20"/>
          <w:w w:val="110"/>
          <w:sz w:val="18"/>
        </w:rPr>
        <w:t>a</w:t>
      </w:r>
      <w:r>
        <w:rPr>
          <w:color w:val="231F20"/>
          <w:spacing w:val="-6"/>
          <w:w w:val="110"/>
          <w:sz w:val="18"/>
        </w:rPr>
        <w:t> </w:t>
      </w:r>
      <w:r>
        <w:rPr>
          <w:color w:val="231F20"/>
          <w:w w:val="110"/>
          <w:sz w:val="18"/>
        </w:rPr>
        <w:t>cada</w:t>
      </w:r>
      <w:r>
        <w:rPr>
          <w:color w:val="231F20"/>
          <w:spacing w:val="-6"/>
          <w:w w:val="110"/>
          <w:sz w:val="18"/>
        </w:rPr>
        <w:t> </w:t>
      </w:r>
      <w:r>
        <w:rPr>
          <w:color w:val="231F20"/>
          <w:w w:val="110"/>
          <w:sz w:val="18"/>
        </w:rPr>
        <w:t>una</w:t>
      </w:r>
      <w:r>
        <w:rPr>
          <w:color w:val="231F20"/>
          <w:spacing w:val="-6"/>
          <w:w w:val="110"/>
          <w:sz w:val="18"/>
        </w:rPr>
        <w:t> </w:t>
      </w:r>
      <w:r>
        <w:rPr>
          <w:color w:val="231F20"/>
          <w:w w:val="110"/>
          <w:sz w:val="18"/>
        </w:rPr>
        <w:t>de</w:t>
      </w:r>
      <w:r>
        <w:rPr>
          <w:color w:val="231F20"/>
          <w:spacing w:val="-6"/>
          <w:w w:val="110"/>
          <w:sz w:val="18"/>
        </w:rPr>
        <w:t> </w:t>
      </w:r>
      <w:r>
        <w:rPr>
          <w:color w:val="231F20"/>
          <w:w w:val="110"/>
          <w:sz w:val="18"/>
        </w:rPr>
        <w:t>estas</w:t>
      </w:r>
      <w:r>
        <w:rPr>
          <w:color w:val="231F20"/>
          <w:spacing w:val="-6"/>
          <w:w w:val="110"/>
          <w:sz w:val="18"/>
        </w:rPr>
        <w:t> </w:t>
      </w:r>
      <w:r>
        <w:rPr>
          <w:color w:val="231F20"/>
          <w:w w:val="110"/>
          <w:sz w:val="18"/>
        </w:rPr>
        <w:t>tres</w:t>
      </w:r>
      <w:r>
        <w:rPr>
          <w:color w:val="231F20"/>
          <w:spacing w:val="-6"/>
          <w:w w:val="110"/>
          <w:sz w:val="18"/>
        </w:rPr>
        <w:t> </w:t>
      </w:r>
      <w:r>
        <w:rPr>
          <w:color w:val="231F20"/>
          <w:w w:val="110"/>
          <w:sz w:val="18"/>
        </w:rPr>
        <w:t>clases,</w:t>
      </w:r>
      <w:r>
        <w:rPr>
          <w:color w:val="231F20"/>
          <w:spacing w:val="-6"/>
          <w:w w:val="110"/>
          <w:sz w:val="18"/>
        </w:rPr>
        <w:t> </w:t>
      </w:r>
      <w:r>
        <w:rPr>
          <w:color w:val="231F20"/>
          <w:w w:val="110"/>
          <w:sz w:val="18"/>
        </w:rPr>
        <w:t>con</w:t>
      </w:r>
      <w:r>
        <w:rPr>
          <w:color w:val="231F20"/>
          <w:spacing w:val="-6"/>
          <w:w w:val="110"/>
          <w:sz w:val="18"/>
        </w:rPr>
        <w:t> </w:t>
      </w:r>
      <w:r>
        <w:rPr>
          <w:color w:val="231F20"/>
          <w:w w:val="110"/>
          <w:sz w:val="18"/>
        </w:rPr>
        <w:t>los</w:t>
      </w:r>
      <w:r>
        <w:rPr>
          <w:color w:val="231F20"/>
          <w:spacing w:val="-6"/>
          <w:w w:val="110"/>
          <w:sz w:val="18"/>
        </w:rPr>
        <w:t> </w:t>
      </w:r>
      <w:r>
        <w:rPr>
          <w:color w:val="231F20"/>
          <w:w w:val="110"/>
          <w:sz w:val="18"/>
        </w:rPr>
        <w:t>nombres</w:t>
      </w:r>
      <w:r>
        <w:rPr>
          <w:color w:val="231F20"/>
          <w:spacing w:val="-6"/>
          <w:w w:val="110"/>
          <w:sz w:val="18"/>
        </w:rPr>
        <w:t> </w:t>
      </w:r>
      <w:r>
        <w:rPr>
          <w:color w:val="231F20"/>
          <w:w w:val="110"/>
          <w:sz w:val="18"/>
        </w:rPr>
        <w:t>de</w:t>
      </w:r>
      <w:r>
        <w:rPr>
          <w:color w:val="231F20"/>
          <w:spacing w:val="-6"/>
          <w:w w:val="110"/>
          <w:sz w:val="18"/>
        </w:rPr>
        <w:t> </w:t>
      </w:r>
      <w:r>
        <w:rPr>
          <w:color w:val="231F20"/>
          <w:w w:val="110"/>
          <w:sz w:val="18"/>
        </w:rPr>
        <w:t>renta,</w:t>
      </w:r>
      <w:r>
        <w:rPr>
          <w:color w:val="231F20"/>
          <w:spacing w:val="-6"/>
          <w:w w:val="110"/>
          <w:sz w:val="18"/>
        </w:rPr>
        <w:t> </w:t>
      </w:r>
      <w:r>
        <w:rPr>
          <w:color w:val="231F20"/>
          <w:w w:val="110"/>
          <w:sz w:val="18"/>
        </w:rPr>
        <w:t>utilidad, y salarios serán esencialmente</w:t>
      </w:r>
      <w:r>
        <w:rPr>
          <w:color w:val="231F20"/>
          <w:spacing w:val="-12"/>
          <w:w w:val="110"/>
          <w:sz w:val="18"/>
        </w:rPr>
        <w:t> </w:t>
      </w:r>
      <w:r>
        <w:rPr>
          <w:color w:val="231F20"/>
          <w:w w:val="110"/>
          <w:sz w:val="18"/>
        </w:rPr>
        <w:t>diferentes.</w:t>
      </w:r>
    </w:p>
    <w:p>
      <w:pPr>
        <w:pStyle w:val="BodyText"/>
        <w:rPr>
          <w:sz w:val="18"/>
        </w:rPr>
      </w:pPr>
    </w:p>
    <w:p>
      <w:pPr>
        <w:pStyle w:val="BodyText"/>
        <w:rPr>
          <w:sz w:val="18"/>
        </w:rPr>
      </w:pPr>
    </w:p>
    <w:p>
      <w:pPr>
        <w:pStyle w:val="BodyText"/>
        <w:rPr>
          <w:sz w:val="18"/>
        </w:rPr>
      </w:pPr>
    </w:p>
    <w:p>
      <w:pPr>
        <w:spacing w:before="111"/>
        <w:ind w:left="100" w:right="0" w:firstLine="0"/>
        <w:jc w:val="both"/>
        <w:rPr>
          <w:i/>
          <w:sz w:val="20"/>
        </w:rPr>
      </w:pPr>
      <w:r>
        <w:rPr>
          <w:i/>
          <w:color w:val="231F20"/>
          <w:sz w:val="20"/>
        </w:rPr>
        <w:t>La distribución de la producción en Marx</w:t>
      </w:r>
    </w:p>
    <w:p>
      <w:pPr>
        <w:pStyle w:val="BodyText"/>
        <w:spacing w:before="3"/>
        <w:rPr>
          <w:i/>
          <w:sz w:val="22"/>
        </w:rPr>
      </w:pPr>
    </w:p>
    <w:p>
      <w:pPr>
        <w:pStyle w:val="BodyText"/>
        <w:spacing w:line="250" w:lineRule="exact"/>
        <w:ind w:left="100" w:right="115"/>
        <w:jc w:val="both"/>
      </w:pPr>
      <w:r>
        <w:rPr>
          <w:color w:val="231F20"/>
          <w:w w:val="105"/>
        </w:rPr>
        <w:t>Marx (1977), en la “</w:t>
      </w:r>
      <w:r>
        <w:rPr>
          <w:i/>
          <w:color w:val="231F20"/>
          <w:w w:val="105"/>
        </w:rPr>
        <w:t>Introducción a la crítica de la economía política”</w:t>
      </w:r>
      <w:r>
        <w:rPr>
          <w:color w:val="231F20"/>
          <w:w w:val="105"/>
        </w:rPr>
        <w:t>, 1857, analiza extensamente bajo el titulo, “La relación general entre    la producción, la distribución, el cambio y el consumo</w:t>
      </w:r>
      <w:r>
        <w:rPr>
          <w:rFonts w:ascii="Sitka Heading" w:hAnsi="Sitka Heading"/>
          <w:b/>
          <w:color w:val="231F20"/>
          <w:w w:val="105"/>
        </w:rPr>
        <w:t>”. </w:t>
      </w:r>
      <w:r>
        <w:rPr>
          <w:color w:val="231F20"/>
          <w:w w:val="105"/>
        </w:rPr>
        <w:t>Afirma que    si se consideran sociedades  enteras,  la  distribución  parece  desde  otro punto de vista preceder a la producción y determinarla, por así decirlo  como  un  hecho </w:t>
      </w:r>
      <w:r>
        <w:rPr>
          <w:color w:val="231F20"/>
          <w:spacing w:val="33"/>
          <w:w w:val="105"/>
        </w:rPr>
        <w:t> </w:t>
      </w:r>
      <w:r>
        <w:rPr>
          <w:color w:val="231F20"/>
          <w:w w:val="105"/>
        </w:rPr>
        <w:t>preeconómico.</w:t>
      </w:r>
    </w:p>
    <w:p>
      <w:pPr>
        <w:pStyle w:val="BodyText"/>
        <w:spacing w:before="5"/>
        <w:rPr>
          <w:sz w:val="24"/>
        </w:rPr>
      </w:pPr>
    </w:p>
    <w:p>
      <w:pPr>
        <w:spacing w:line="290" w:lineRule="auto" w:before="1"/>
        <w:ind w:left="100" w:right="115" w:firstLine="0"/>
        <w:jc w:val="both"/>
        <w:rPr>
          <w:sz w:val="18"/>
        </w:rPr>
      </w:pPr>
      <w:r>
        <w:rPr>
          <w:color w:val="231F20"/>
          <w:w w:val="110"/>
          <w:sz w:val="18"/>
        </w:rPr>
        <w:t>Un pueblo conquistador […] reparte el país entre los conquistadores e impone así cierta repartición y determinada forma de propiedad rústica:  determina, pues la  producción.</w:t>
      </w:r>
    </w:p>
    <w:p>
      <w:pPr>
        <w:spacing w:line="290" w:lineRule="auto" w:before="1"/>
        <w:ind w:left="100" w:right="117" w:firstLine="250"/>
        <w:jc w:val="both"/>
        <w:rPr>
          <w:sz w:val="18"/>
        </w:rPr>
      </w:pPr>
      <w:r>
        <w:rPr>
          <w:color w:val="231F20"/>
          <w:w w:val="110"/>
          <w:sz w:val="18"/>
        </w:rPr>
        <w:t>O bien hace de los pueblos conquistados esclavos y hace del trabajo de esclavos la base de la producción.</w:t>
      </w:r>
    </w:p>
    <w:p>
      <w:pPr>
        <w:spacing w:line="290" w:lineRule="auto" w:before="1"/>
        <w:ind w:left="100" w:right="117" w:firstLine="250"/>
        <w:jc w:val="both"/>
        <w:rPr>
          <w:sz w:val="18"/>
        </w:rPr>
      </w:pPr>
      <w:r>
        <w:rPr>
          <w:color w:val="231F20"/>
          <w:w w:val="110"/>
          <w:sz w:val="18"/>
        </w:rPr>
        <w:t>En</w:t>
      </w:r>
      <w:r>
        <w:rPr>
          <w:color w:val="231F20"/>
          <w:spacing w:val="-10"/>
          <w:w w:val="110"/>
          <w:sz w:val="18"/>
        </w:rPr>
        <w:t> </w:t>
      </w:r>
      <w:r>
        <w:rPr>
          <w:color w:val="231F20"/>
          <w:w w:val="110"/>
          <w:sz w:val="18"/>
        </w:rPr>
        <w:t>todos</w:t>
      </w:r>
      <w:r>
        <w:rPr>
          <w:color w:val="231F20"/>
          <w:spacing w:val="-10"/>
          <w:w w:val="110"/>
          <w:sz w:val="18"/>
        </w:rPr>
        <w:t> </w:t>
      </w:r>
      <w:r>
        <w:rPr>
          <w:color w:val="231F20"/>
          <w:w w:val="110"/>
          <w:sz w:val="18"/>
        </w:rPr>
        <w:t>esos</w:t>
      </w:r>
      <w:r>
        <w:rPr>
          <w:color w:val="231F20"/>
          <w:spacing w:val="-10"/>
          <w:w w:val="110"/>
          <w:sz w:val="18"/>
        </w:rPr>
        <w:t> </w:t>
      </w:r>
      <w:r>
        <w:rPr>
          <w:color w:val="231F20"/>
          <w:w w:val="110"/>
          <w:sz w:val="18"/>
        </w:rPr>
        <w:t>casos,</w:t>
      </w:r>
      <w:r>
        <w:rPr>
          <w:color w:val="231F20"/>
          <w:spacing w:val="-10"/>
          <w:w w:val="110"/>
          <w:sz w:val="18"/>
        </w:rPr>
        <w:t> </w:t>
      </w:r>
      <w:r>
        <w:rPr>
          <w:color w:val="231F20"/>
          <w:w w:val="110"/>
          <w:sz w:val="18"/>
        </w:rPr>
        <w:t>y</w:t>
      </w:r>
      <w:r>
        <w:rPr>
          <w:color w:val="231F20"/>
          <w:spacing w:val="-10"/>
          <w:w w:val="110"/>
          <w:sz w:val="18"/>
        </w:rPr>
        <w:t> </w:t>
      </w:r>
      <w:r>
        <w:rPr>
          <w:color w:val="231F20"/>
          <w:w w:val="110"/>
          <w:sz w:val="18"/>
        </w:rPr>
        <w:t>todos</w:t>
      </w:r>
      <w:r>
        <w:rPr>
          <w:color w:val="231F20"/>
          <w:spacing w:val="-10"/>
          <w:w w:val="110"/>
          <w:sz w:val="18"/>
        </w:rPr>
        <w:t> </w:t>
      </w:r>
      <w:r>
        <w:rPr>
          <w:color w:val="231F20"/>
          <w:w w:val="110"/>
          <w:sz w:val="18"/>
        </w:rPr>
        <w:t>son</w:t>
      </w:r>
      <w:r>
        <w:rPr>
          <w:color w:val="231F20"/>
          <w:spacing w:val="-10"/>
          <w:w w:val="110"/>
          <w:sz w:val="18"/>
        </w:rPr>
        <w:t> </w:t>
      </w:r>
      <w:r>
        <w:rPr>
          <w:color w:val="231F20"/>
          <w:w w:val="110"/>
          <w:sz w:val="18"/>
        </w:rPr>
        <w:t>históricos,</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distribución</w:t>
      </w:r>
      <w:r>
        <w:rPr>
          <w:color w:val="231F20"/>
          <w:spacing w:val="-10"/>
          <w:w w:val="110"/>
          <w:sz w:val="18"/>
        </w:rPr>
        <w:t> </w:t>
      </w:r>
      <w:r>
        <w:rPr>
          <w:color w:val="231F20"/>
          <w:w w:val="110"/>
          <w:sz w:val="18"/>
        </w:rPr>
        <w:t>no</w:t>
      </w:r>
      <w:r>
        <w:rPr>
          <w:color w:val="231F20"/>
          <w:spacing w:val="-10"/>
          <w:w w:val="110"/>
          <w:sz w:val="18"/>
        </w:rPr>
        <w:t> </w:t>
      </w:r>
      <w:r>
        <w:rPr>
          <w:color w:val="231F20"/>
          <w:w w:val="110"/>
          <w:sz w:val="18"/>
        </w:rPr>
        <w:t>parece</w:t>
      </w:r>
      <w:r>
        <w:rPr>
          <w:color w:val="231F20"/>
          <w:spacing w:val="-10"/>
          <w:w w:val="110"/>
          <w:sz w:val="18"/>
        </w:rPr>
        <w:t> </w:t>
      </w:r>
      <w:r>
        <w:rPr>
          <w:color w:val="231F20"/>
          <w:w w:val="110"/>
          <w:sz w:val="18"/>
        </w:rPr>
        <w:t>estar estructurada y determinada por la producción, sino al revés. La producción estarlo por la</w:t>
      </w:r>
      <w:r>
        <w:rPr>
          <w:color w:val="231F20"/>
          <w:spacing w:val="25"/>
          <w:w w:val="110"/>
          <w:sz w:val="18"/>
        </w:rPr>
        <w:t> </w:t>
      </w:r>
      <w:r>
        <w:rPr>
          <w:color w:val="231F20"/>
          <w:w w:val="110"/>
          <w:sz w:val="18"/>
        </w:rPr>
        <w:t>distribución.</w:t>
      </w:r>
    </w:p>
    <w:p>
      <w:pPr>
        <w:pStyle w:val="BodyText"/>
        <w:spacing w:before="2"/>
      </w:pPr>
    </w:p>
    <w:p>
      <w:pPr>
        <w:pStyle w:val="BodyText"/>
        <w:spacing w:line="261" w:lineRule="auto"/>
        <w:ind w:left="100" w:right="119" w:firstLine="240"/>
        <w:jc w:val="both"/>
      </w:pPr>
      <w:r>
        <w:rPr>
          <w:color w:val="231F20"/>
          <w:w w:val="110"/>
        </w:rPr>
        <w:t>Marx en el tercer tomo de </w:t>
      </w:r>
      <w:r>
        <w:rPr>
          <w:i/>
          <w:color w:val="231F20"/>
          <w:w w:val="110"/>
        </w:rPr>
        <w:t>El capital </w:t>
      </w:r>
      <w:r>
        <w:rPr>
          <w:color w:val="231F20"/>
          <w:w w:val="110"/>
        </w:rPr>
        <w:t>(1977), en el capítulo xlviii, le da una importancia tan significativa a la distribución que la deno- mina, </w:t>
      </w:r>
      <w:r>
        <w:rPr>
          <w:i/>
          <w:color w:val="231F20"/>
          <w:w w:val="110"/>
        </w:rPr>
        <w:t>“</w:t>
      </w:r>
      <w:r>
        <w:rPr>
          <w:color w:val="231F20"/>
          <w:w w:val="110"/>
        </w:rPr>
        <w:t>la formula trinitaria”.</w:t>
      </w:r>
    </w:p>
    <w:p>
      <w:pPr>
        <w:pStyle w:val="BodyText"/>
        <w:ind w:left="340" w:right="25"/>
      </w:pPr>
      <w:r>
        <w:rPr>
          <w:color w:val="231F20"/>
          <w:w w:val="110"/>
        </w:rPr>
        <w:t>El capítulo se inicia con la siguiente síntesis:</w:t>
      </w:r>
    </w:p>
    <w:p>
      <w:pPr>
        <w:pStyle w:val="BodyText"/>
        <w:spacing w:before="1"/>
        <w:rPr>
          <w:sz w:val="25"/>
        </w:rPr>
      </w:pPr>
    </w:p>
    <w:p>
      <w:pPr>
        <w:spacing w:before="0"/>
        <w:ind w:left="100" w:right="0" w:firstLine="0"/>
        <w:jc w:val="both"/>
        <w:rPr>
          <w:sz w:val="18"/>
        </w:rPr>
      </w:pPr>
      <w:r>
        <w:rPr>
          <w:color w:val="231F20"/>
          <w:w w:val="110"/>
          <w:sz w:val="18"/>
        </w:rPr>
        <w:t>Capital-ganancia (Beneficio del empresario más interés); tierra-renta del</w:t>
      </w:r>
    </w:p>
    <w:p>
      <w:pPr>
        <w:spacing w:after="0"/>
        <w:jc w:val="both"/>
        <w:rPr>
          <w:sz w:val="18"/>
        </w:rPr>
        <w:sectPr>
          <w:pgSz w:w="7640" w:h="11900"/>
          <w:pgMar w:header="672" w:footer="0" w:top="860" w:bottom="280" w:left="660" w:right="760"/>
        </w:sectPr>
      </w:pPr>
    </w:p>
    <w:p>
      <w:pPr>
        <w:pStyle w:val="BodyText"/>
        <w:spacing w:before="8"/>
        <w:rPr>
          <w:sz w:val="8"/>
        </w:rPr>
      </w:pPr>
    </w:p>
    <w:p>
      <w:pPr>
        <w:spacing w:line="290" w:lineRule="auto" w:before="71"/>
        <w:ind w:left="100" w:right="562" w:firstLine="0"/>
        <w:jc w:val="left"/>
        <w:rPr>
          <w:sz w:val="18"/>
        </w:rPr>
      </w:pPr>
      <w:r>
        <w:rPr>
          <w:color w:val="231F20"/>
          <w:w w:val="110"/>
          <w:sz w:val="18"/>
        </w:rPr>
        <w:t>suelo; trabajo-salario: he aquí la formula trinitaria que engloba todos los secretos del proceso social de producción”, en el capitalismo.</w:t>
      </w:r>
    </w:p>
    <w:p>
      <w:pPr>
        <w:pStyle w:val="BodyText"/>
        <w:spacing w:before="8"/>
        <w:rPr>
          <w:sz w:val="22"/>
        </w:rPr>
      </w:pPr>
    </w:p>
    <w:p>
      <w:pPr>
        <w:spacing w:before="0"/>
        <w:ind w:left="100" w:right="562" w:firstLine="0"/>
        <w:jc w:val="left"/>
        <w:rPr>
          <w:sz w:val="18"/>
        </w:rPr>
      </w:pPr>
      <w:r>
        <w:rPr>
          <w:color w:val="231F20"/>
          <w:w w:val="120"/>
          <w:sz w:val="18"/>
        </w:rPr>
        <w:t>gráfica 8. disminución de la participación de los    salarios</w:t>
      </w:r>
    </w:p>
    <w:p>
      <w:pPr>
        <w:spacing w:line="290" w:lineRule="auto" w:before="43"/>
        <w:ind w:left="100" w:right="562" w:firstLine="0"/>
        <w:jc w:val="left"/>
        <w:rPr>
          <w:sz w:val="18"/>
        </w:rPr>
      </w:pPr>
      <w:r>
        <w:rPr>
          <w:color w:val="231F20"/>
          <w:w w:val="125"/>
          <w:sz w:val="18"/>
        </w:rPr>
        <w:t>y aumento de la participación de las ganancias en américa latina, 1970-2004</w:t>
      </w:r>
    </w:p>
    <w:p>
      <w:pPr>
        <w:spacing w:before="90"/>
        <w:ind w:left="2017" w:right="562" w:firstLine="0"/>
        <w:jc w:val="left"/>
        <w:rPr>
          <w:sz w:val="16"/>
        </w:rPr>
      </w:pPr>
      <w:r>
        <w:rPr>
          <w:color w:val="231F20"/>
          <w:w w:val="120"/>
          <w:sz w:val="16"/>
        </w:rPr>
        <w:t>disminución de las remuneraciones</w:t>
      </w:r>
    </w:p>
    <w:p>
      <w:pPr>
        <w:tabs>
          <w:tab w:pos="5143" w:val="left" w:leader="none"/>
        </w:tabs>
        <w:spacing w:before="14"/>
        <w:ind w:left="1109" w:right="562" w:firstLine="0"/>
        <w:jc w:val="left"/>
        <w:rPr>
          <w:sz w:val="16"/>
        </w:rPr>
      </w:pPr>
      <w:r>
        <w:rPr/>
        <w:pict>
          <v:line style="position:absolute;mso-position-horizontal-relative:page;mso-position-vertical-relative:paragraph;z-index:-353920" from="112.599998pt,7.192645pt" to="112.599998pt,91.192645pt" stroked="true" strokeweight=".5pt" strokecolor="#231f20">
            <w10:wrap type="none"/>
          </v:line>
        </w:pict>
      </w:r>
      <w:r>
        <w:rPr>
          <w:color w:val="231F20"/>
          <w:sz w:val="16"/>
        </w:rPr>
        <w:t>44</w:t>
      </w:r>
      <w:r>
        <w:rPr>
          <w:color w:val="231F20"/>
          <w:spacing w:val="7"/>
          <w:sz w:val="16"/>
        </w:rPr>
        <w:t> </w:t>
      </w:r>
      <w:r>
        <w:rPr>
          <w:color w:val="231F20"/>
          <w:sz w:val="16"/>
        </w:rPr>
        <w:t>— </w:t>
      </w:r>
      <w:r>
        <w:rPr>
          <w:color w:val="231F20"/>
          <w:spacing w:val="4"/>
          <w:sz w:val="16"/>
        </w:rPr>
        <w:t> </w:t>
      </w:r>
      <w:r>
        <w:rPr>
          <w:color w:val="231F20"/>
          <w:w w:val="104"/>
          <w:sz w:val="16"/>
          <w:u w:val="single" w:color="A7A9AC"/>
        </w:rPr>
        <w:t> </w:t>
      </w:r>
      <w:r>
        <w:rPr>
          <w:color w:val="231F20"/>
          <w:sz w:val="16"/>
          <w:u w:val="single" w:color="A7A9AC"/>
        </w:rPr>
        <w:tab/>
      </w:r>
    </w:p>
    <w:p>
      <w:pPr>
        <w:spacing w:before="58"/>
        <w:ind w:left="1109" w:right="562" w:firstLine="0"/>
        <w:jc w:val="left"/>
        <w:rPr>
          <w:sz w:val="16"/>
        </w:rPr>
      </w:pPr>
      <w:r>
        <w:rPr/>
        <w:pict>
          <v:group style="position:absolute;margin-left:116.839996pt;margin-top:6.496887pt;width:179.6pt;height:75.350pt;mso-position-horizontal-relative:page;mso-position-vertical-relative:paragraph;z-index:3376" coordorigin="2337,130" coordsize="3592,1507">
            <v:shape style="position:absolute;left:0;top:8876;width:3582;height:2" coordorigin="0,8876" coordsize="3582,0" path="m3281,664l5924,664m2956,664l3051,664m2632,664l2726,664m2342,664l2402,664e" filled="false" stroked="true" strokeweight=".5pt" strokecolor="#a7a9ac">
              <v:path arrowok="t"/>
            </v:shape>
            <v:shape style="position:absolute;left:0;top:8876;width:3582;height:2" coordorigin="0,8876" coordsize="3582,0" path="m2632,180l5924,180m2342,180l2402,180e" filled="false" stroked="true" strokeweight=".5pt" strokecolor="#a7a9ac">
              <v:path arrowok="t"/>
            </v:shape>
            <v:shape style="position:absolute;left:0;top:8876;width:385;height:2" coordorigin="0,8876" coordsize="385,0" path="m2632,422l2726,422m2342,422l2402,422e" filled="false" stroked="true" strokeweight=".5pt" strokecolor="#a7a9ac">
              <v:path arrowok="t"/>
            </v:shape>
            <v:shape style="position:absolute;left:0;top:8876;width:385;height:2" coordorigin="0,8876" coordsize="385,0" path="m2632,906l2726,906m2342,906l2402,906e" filled="false" stroked="true" strokeweight=".5pt" strokecolor="#a7a9ac">
              <v:path arrowok="t"/>
            </v:shape>
            <v:shape style="position:absolute;left:0;top:8876;width:385;height:2" coordorigin="0,8876" coordsize="385,0" path="m2632,1390l2726,1390m2342,1390l2402,1390e" filled="false" stroked="true" strokeweight=".5pt" strokecolor="#a7a9ac">
              <v:path arrowok="t"/>
            </v:shape>
            <v:shape style="position:absolute;left:0;top:8876;width:385;height:2" coordorigin="0,8876" coordsize="385,0" path="m2632,1148l2726,1148m2342,1148l2402,1148e" filled="false" stroked="true" strokeweight=".5pt" strokecolor="#a7a9ac">
              <v:path arrowok="t"/>
            </v:shape>
            <v:line style="position:absolute" from="2342,1632" to="5924,1632" stroked="true" strokeweight=".5pt" strokecolor="#a7a9ac"/>
            <v:rect style="position:absolute;left:2402;top:130;width:230;height:1501" filled="true" fillcolor="#808285" stroked="false">
              <v:fill type="solid"/>
            </v:rect>
            <v:line style="position:absolute" from="2956,422" to="5924,422" stroked="true" strokeweight=".5pt" strokecolor="#a7a9ac"/>
            <v:line style="position:absolute" from="2956,906" to="3051,906" stroked="true" strokeweight=".5pt" strokecolor="#a7a9ac"/>
            <v:line style="position:absolute" from="2956,1390" to="3051,1390" stroked="true" strokeweight=".5pt" strokecolor="#a7a9ac"/>
            <v:line style="position:absolute" from="2956,1148" to="3051,1148" stroked="true" strokeweight=".5pt" strokecolor="#a7a9ac"/>
            <v:rect style="position:absolute;left:2726;top:339;width:230;height:1293" filled="true" fillcolor="#808285" stroked="false">
              <v:fill type="solid"/>
            </v:rect>
            <v:line style="position:absolute" from="3281,906" to="3376,906" stroked="true" strokeweight=".5pt" strokecolor="#a7a9ac"/>
            <v:line style="position:absolute" from="3281,1390" to="3376,1390" stroked="true" strokeweight=".5pt" strokecolor="#a7a9ac"/>
            <v:line style="position:absolute" from="3281,1148" to="3376,1148" stroked="true" strokeweight=".5pt" strokecolor="#a7a9ac"/>
            <v:rect style="position:absolute;left:3051;top:519;width:230;height:1112" filled="true" fillcolor="#808285" stroked="false">
              <v:fill type="solid"/>
            </v:rect>
            <v:line style="position:absolute" from="3606,906" to="3700,906" stroked="true" strokeweight=".5pt" strokecolor="#a7a9ac"/>
            <v:line style="position:absolute" from="3606,1390" to="3700,1390" stroked="true" strokeweight=".5pt" strokecolor="#a7a9ac"/>
            <v:line style="position:absolute" from="3606,1148" to="3700,1148" stroked="true" strokeweight=".5pt" strokecolor="#a7a9ac"/>
            <v:rect style="position:absolute;left:3376;top:756;width:230;height:876" filled="true" fillcolor="#808285" stroked="false">
              <v:fill type="solid"/>
            </v:rect>
            <v:line style="position:absolute" from="3930,906" to="4025,906" stroked="true" strokeweight=".5pt" strokecolor="#a7a9ac"/>
            <v:line style="position:absolute" from="3930,1390" to="4025,1390" stroked="true" strokeweight=".5pt" strokecolor="#a7a9ac"/>
            <v:line style="position:absolute" from="3930,1148" to="4025,1148" stroked="true" strokeweight=".5pt" strokecolor="#a7a9ac"/>
            <v:rect style="position:absolute;left:3700;top:825;width:230;height:806" filled="true" fillcolor="#808285" stroked="false">
              <v:fill type="solid"/>
            </v:rect>
            <v:line style="position:absolute" from="4255,906" to="4349,906" stroked="true" strokeweight=".5pt" strokecolor="#a7a9ac"/>
            <v:line style="position:absolute" from="4255,1390" to="4349,1390" stroked="true" strokeweight=".5pt" strokecolor="#a7a9ac"/>
            <v:line style="position:absolute" from="4255,1148" to="4349,1148" stroked="true" strokeweight=".5pt" strokecolor="#a7a9ac"/>
            <v:rect style="position:absolute;left:4025;top:783;width:230;height:848" filled="true" fillcolor="#808285" stroked="false">
              <v:fill type="solid"/>
            </v:rect>
            <v:line style="position:absolute" from="4579,906" to="4674,906" stroked="true" strokeweight=".5pt" strokecolor="#a7a9ac"/>
            <v:line style="position:absolute" from="4579,1390" to="4674,1390" stroked="true" strokeweight=".5pt" strokecolor="#a7a9ac"/>
            <v:line style="position:absolute" from="4579,1148" to="4674,1148" stroked="true" strokeweight=".5pt" strokecolor="#a7a9ac"/>
            <v:rect style="position:absolute;left:4349;top:769;width:230;height:862" filled="true" fillcolor="#808285" stroked="false">
              <v:fill type="solid"/>
            </v:rect>
            <v:line style="position:absolute" from="4904,906" to="5924,906" stroked="true" strokeweight=".5pt" strokecolor="#a7a9ac"/>
            <v:line style="position:absolute" from="4904,1390" to="4999,1390" stroked="true" strokeweight=".5pt" strokecolor="#a7a9ac"/>
            <v:line style="position:absolute" from="4904,1148" to="4999,1148" stroked="true" strokeweight=".5pt" strokecolor="#a7a9ac"/>
            <v:rect style="position:absolute;left:4674;top:713;width:230;height:917" filled="true" fillcolor="#808285" stroked="false">
              <v:fill type="solid"/>
            </v:rect>
            <v:line style="position:absolute" from="5229,1390" to="5323,1390" stroked="true" strokeweight=".5pt" strokecolor="#a7a9ac"/>
            <v:line style="position:absolute" from="5229,1148" to="5323,1148" stroked="true" strokeweight=".5pt" strokecolor="#a7a9ac"/>
            <v:rect style="position:absolute;left:4999;top:908;width:230;height:723" filled="true" fillcolor="#808285" stroked="false">
              <v:fill type="solid"/>
            </v:rect>
            <v:line style="position:absolute" from="5553,1390" to="5648,1390" stroked="true" strokeweight=".5pt" strokecolor="#a7a9ac"/>
            <v:line style="position:absolute" from="5553,1148" to="5648,1148" stroked="true" strokeweight=".5pt" strokecolor="#a7a9ac"/>
            <v:rect style="position:absolute;left:5323;top:1043;width:230;height:588" filled="true" fillcolor="#808285" stroked="false">
              <v:fill type="solid"/>
            </v:rect>
            <v:line style="position:absolute" from="5878,1390" to="5924,1390" stroked="true" strokeweight=".5pt" strokecolor="#a7a9ac"/>
            <v:line style="position:absolute" from="5878,1148" to="5924,1148" stroked="true" strokeweight=".5pt" strokecolor="#a7a9ac"/>
            <v:rect style="position:absolute;left:5648;top:1109;width:230;height:522" filled="true" fillcolor="#808285" stroked="false">
              <v:fill type="solid"/>
            </v:rect>
            <w10:wrap type="none"/>
          </v:group>
        </w:pict>
      </w:r>
      <w:r>
        <w:rPr>
          <w:color w:val="231F20"/>
          <w:sz w:val="16"/>
        </w:rPr>
        <w:t>42 —</w:t>
      </w:r>
    </w:p>
    <w:p>
      <w:pPr>
        <w:spacing w:before="58"/>
        <w:ind w:left="1109" w:right="562" w:firstLine="0"/>
        <w:jc w:val="left"/>
        <w:rPr>
          <w:sz w:val="16"/>
        </w:rPr>
      </w:pPr>
      <w:r>
        <w:rPr>
          <w:color w:val="231F20"/>
          <w:sz w:val="16"/>
        </w:rPr>
        <w:t>40 —</w:t>
      </w:r>
    </w:p>
    <w:p>
      <w:pPr>
        <w:spacing w:before="58"/>
        <w:ind w:left="1109" w:right="562" w:firstLine="0"/>
        <w:jc w:val="left"/>
        <w:rPr>
          <w:sz w:val="16"/>
        </w:rPr>
      </w:pPr>
      <w:r>
        <w:rPr>
          <w:color w:val="231F20"/>
          <w:sz w:val="16"/>
        </w:rPr>
        <w:t>38 —</w:t>
      </w:r>
    </w:p>
    <w:p>
      <w:pPr>
        <w:spacing w:before="58"/>
        <w:ind w:left="1109" w:right="562" w:firstLine="0"/>
        <w:jc w:val="left"/>
        <w:rPr>
          <w:sz w:val="16"/>
        </w:rPr>
      </w:pPr>
      <w:r>
        <w:rPr>
          <w:color w:val="231F20"/>
          <w:sz w:val="16"/>
        </w:rPr>
        <w:t>36 —</w:t>
      </w:r>
    </w:p>
    <w:p>
      <w:pPr>
        <w:spacing w:before="58"/>
        <w:ind w:left="1109" w:right="562" w:firstLine="0"/>
        <w:jc w:val="left"/>
        <w:rPr>
          <w:sz w:val="16"/>
        </w:rPr>
      </w:pPr>
      <w:r>
        <w:rPr>
          <w:color w:val="231F20"/>
          <w:sz w:val="16"/>
        </w:rPr>
        <w:t>34 —</w:t>
      </w:r>
    </w:p>
    <w:p>
      <w:pPr>
        <w:spacing w:before="58"/>
        <w:ind w:left="1109" w:right="562" w:firstLine="0"/>
        <w:jc w:val="left"/>
        <w:rPr>
          <w:sz w:val="16"/>
        </w:rPr>
      </w:pPr>
      <w:r>
        <w:rPr>
          <w:color w:val="231F20"/>
          <w:sz w:val="16"/>
        </w:rPr>
        <w:t>32 —</w:t>
      </w:r>
    </w:p>
    <w:p>
      <w:pPr>
        <w:spacing w:before="58"/>
        <w:ind w:left="1109" w:right="562" w:firstLine="0"/>
        <w:jc w:val="left"/>
        <w:rPr>
          <w:sz w:val="16"/>
        </w:rPr>
      </w:pPr>
      <w:r>
        <w:rPr/>
        <w:pict>
          <v:shape style="position:absolute;margin-left:112.161301pt;margin-top:11.272347pt;width:10pt;height:28.75pt;mso-position-horizontal-relative:page;mso-position-vertical-relative:paragraph;z-index:-35387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144.761292pt;margin-top:11.272347pt;width:10pt;height:28.75pt;mso-position-horizontal-relative:page;mso-position-vertical-relative:paragraph;z-index:352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177.361298pt;margin-top:11.272347pt;width:10pt;height:28.75pt;mso-position-horizontal-relative:page;mso-position-vertical-relative:paragraph;z-index:35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09.961304pt;margin-top:11.272347pt;width:10pt;height:28.75pt;mso-position-horizontal-relative:page;mso-position-vertical-relative:paragraph;z-index:36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242.561295pt;margin-top:11.272347pt;width:10pt;height:28.75pt;mso-position-horizontal-relative:page;mso-position-vertical-relative:paragraph;z-index:366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2002</w:t>
                  </w:r>
                  <w:r>
                    <w:rPr>
                      <w:color w:val="231F20"/>
                      <w:spacing w:val="1"/>
                      <w:sz w:val="16"/>
                    </w:rPr>
                    <w:t> </w:t>
                  </w:r>
                  <w:r>
                    <w:rPr>
                      <w:color w:val="231F20"/>
                      <w:sz w:val="16"/>
                    </w:rPr>
                    <w:t>—</w:t>
                  </w:r>
                </w:p>
              </w:txbxContent>
            </v:textbox>
            <w10:wrap type="none"/>
          </v:shape>
        </w:pict>
      </w:r>
      <w:r>
        <w:rPr/>
        <w:pict>
          <v:shape style="position:absolute;margin-left:275.161285pt;margin-top:11.272347pt;width:10pt;height:28.75pt;mso-position-horizontal-relative:page;mso-position-vertical-relative:paragraph;z-index:368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2004</w:t>
                  </w:r>
                  <w:r>
                    <w:rPr>
                      <w:color w:val="231F20"/>
                      <w:spacing w:val="1"/>
                      <w:sz w:val="16"/>
                    </w:rPr>
                    <w:t> </w:t>
                  </w:r>
                  <w:r>
                    <w:rPr>
                      <w:color w:val="231F20"/>
                      <w:sz w:val="16"/>
                    </w:rPr>
                    <w:t>—</w:t>
                  </w:r>
                </w:p>
              </w:txbxContent>
            </v:textbox>
            <w10:wrap type="none"/>
          </v:shape>
        </w:pict>
      </w:r>
      <w:r>
        <w:rPr>
          <w:color w:val="231F20"/>
          <w:sz w:val="16"/>
        </w:rPr>
        <w:t>30 —</w:t>
      </w:r>
    </w:p>
    <w:p>
      <w:pPr>
        <w:pStyle w:val="BodyText"/>
      </w:pPr>
    </w:p>
    <w:p>
      <w:pPr>
        <w:pStyle w:val="BodyText"/>
      </w:pPr>
    </w:p>
    <w:p>
      <w:pPr>
        <w:pStyle w:val="BodyText"/>
        <w:spacing w:before="3"/>
        <w:rPr>
          <w:sz w:val="17"/>
        </w:rPr>
      </w:pPr>
    </w:p>
    <w:p>
      <w:pPr>
        <w:spacing w:before="74"/>
        <w:ind w:left="2303" w:right="2137" w:firstLine="0"/>
        <w:jc w:val="center"/>
        <w:rPr>
          <w:sz w:val="16"/>
        </w:rPr>
      </w:pPr>
      <w:r>
        <w:rPr>
          <w:color w:val="231F20"/>
          <w:w w:val="125"/>
          <w:sz w:val="16"/>
        </w:rPr>
        <w:t>aumento de las ganancias</w:t>
      </w:r>
    </w:p>
    <w:p>
      <w:pPr>
        <w:spacing w:before="31"/>
        <w:ind w:left="1109" w:right="562" w:firstLine="0"/>
        <w:jc w:val="left"/>
        <w:rPr>
          <w:sz w:val="16"/>
        </w:rPr>
      </w:pPr>
      <w:r>
        <w:rPr/>
        <w:pict>
          <v:group style="position:absolute;margin-left:112.349998pt;margin-top:6.821344pt;width:186.45pt;height:85.3pt;mso-position-horizontal-relative:page;mso-position-vertical-relative:paragraph;z-index:-353944" coordorigin="2247,136" coordsize="3729,1706">
            <v:line style="position:absolute" from="2311,141" to="5971,141" stroked="true" strokeweight=".5pt" strokecolor="#a7a9ac"/>
            <v:shape style="position:absolute;left:0;top:6265;width:3660;height:2" coordorigin="0,6265" coordsize="3660,0" path="m5907,988l5971,988m5574,988l5677,988m5241,988l5344,988m4908,988l5011,988m4575,988l4678,988m4242,988l4345,988m3909,988l4012,988m3576,988l3679,988m2311,988l3346,988e" filled="false" stroked="true" strokeweight=".5pt" strokecolor="#a7a9ac">
              <v:path arrowok="t"/>
            </v:shape>
            <v:shape style="position:absolute;left:0;top:6265;width:1368;height:2" coordorigin="0,6265" coordsize="1368,0" path="m3576,1271l3679,1271m3243,1271l3346,1271m2311,1271l3013,1271e" filled="false" stroked="true" strokeweight=".5pt" strokecolor="#a7a9ac">
              <v:path arrowok="t"/>
            </v:shape>
            <v:shape style="position:absolute;left:0;top:6265;width:1035;height:2" coordorigin="0,6265" coordsize="1035,0" path="m3243,1553l3346,1553m2910,1553l3013,1553m2311,1553l2680,1553e" filled="false" stroked="true" strokeweight=".5pt" strokecolor="#a7a9ac">
              <v:path arrowok="t"/>
            </v:shape>
            <v:line style="position:absolute" from="2311,1835" to="5971,1835" stroked="true" strokeweight=".5pt" strokecolor="#a7a9ac"/>
            <v:shape style="position:absolute;left:2347;top:1126;width:896;height:716" coordorigin="2347,1126" coordsize="896,716" path="m2577,1588l2347,1588,2347,1841,2577,1841,2577,1588m2910,1348l2680,1348,2680,1842,2910,1842,2910,1348m3243,1126l3013,1126,3013,1842,3243,1842,3243,1126e" filled="true" fillcolor="#808285" stroked="false">
              <v:path arrowok="t"/>
              <v:fill type="solid"/>
            </v:shape>
            <v:line style="position:absolute" from="3576,1553" to="3679,1553" stroked="true" strokeweight=".5pt" strokecolor="#a7a9ac"/>
            <v:rect style="position:absolute;left:3346;top:858;width:230;height:984" filled="true" fillcolor="#808285" stroked="false">
              <v:fill type="solid"/>
            </v:rect>
            <v:line style="position:absolute" from="2311,706" to="5344,706" stroked="true" strokeweight=".5pt" strokecolor="#a7a9ac"/>
            <v:line style="position:absolute" from="3909,1271" to="4012,1271" stroked="true" strokeweight=".5pt" strokecolor="#a7a9ac"/>
            <v:line style="position:absolute" from="3909,1553" to="4012,1553" stroked="true" strokeweight=".5pt" strokecolor="#a7a9ac"/>
            <v:rect style="position:absolute;left:3679;top:766;width:230;height:1076" filled="true" fillcolor="#808285" stroked="false">
              <v:fill type="solid"/>
            </v:rect>
            <v:line style="position:absolute" from="4242,1271" to="4345,1271" stroked="true" strokeweight=".5pt" strokecolor="#a7a9ac"/>
            <v:line style="position:absolute" from="4242,1553" to="4345,1553" stroked="true" strokeweight=".5pt" strokecolor="#a7a9ac"/>
            <v:rect style="position:absolute;left:4012;top:827;width:230;height:1015" filled="true" fillcolor="#808285" stroked="false">
              <v:fill type="solid"/>
            </v:rect>
            <v:line style="position:absolute" from="4575,1271" to="4678,1271" stroked="true" strokeweight=".5pt" strokecolor="#a7a9ac"/>
            <v:line style="position:absolute" from="4575,1553" to="4678,1553" stroked="true" strokeweight=".5pt" strokecolor="#a7a9ac"/>
            <v:rect style="position:absolute;left:4345;top:827;width:230;height:1015" filled="true" fillcolor="#808285" stroked="false">
              <v:fill type="solid"/>
            </v:rect>
            <v:line style="position:absolute" from="4908,1271" to="5011,1271" stroked="true" strokeweight=".5pt" strokecolor="#a7a9ac"/>
            <v:line style="position:absolute" from="4908,1553" to="5011,1553" stroked="true" strokeweight=".5pt" strokecolor="#a7a9ac"/>
            <v:rect style="position:absolute;left:4678;top:910;width:230;height:931" filled="true" fillcolor="#808285" stroked="false">
              <v:fill type="solid"/>
            </v:rect>
            <v:line style="position:absolute" from="5241,1271" to="5344,1271" stroked="true" strokeweight=".5pt" strokecolor="#a7a9ac"/>
            <v:line style="position:absolute" from="5241,1553" to="5344,1553" stroked="true" strokeweight=".5pt" strokecolor="#a7a9ac"/>
            <v:rect style="position:absolute;left:5011;top:716;width:230;height:1126" filled="true" fillcolor="#808285" stroked="false">
              <v:fill type="solid"/>
            </v:rect>
            <v:line style="position:absolute" from="5574,706" to="5677,706" stroked="true" strokeweight=".5pt" strokecolor="#a7a9ac"/>
            <v:line style="position:absolute" from="5574,1271" to="5677,1271" stroked="true" strokeweight=".5pt" strokecolor="#a7a9ac"/>
            <v:line style="position:absolute" from="5574,1553" to="5677,1553" stroked="true" strokeweight=".5pt" strokecolor="#a7a9ac"/>
            <v:rect style="position:absolute;left:5344;top:532;width:230;height:1309" filled="true" fillcolor="#808285" stroked="false">
              <v:fill type="solid"/>
            </v:rect>
            <v:line style="position:absolute" from="2311,424" to="5971,424" stroked="true" strokeweight=".5pt" strokecolor="#a7a9ac"/>
            <v:line style="position:absolute" from="5907,706" to="5971,706" stroked="true" strokeweight=".5pt" strokecolor="#a7a9ac"/>
            <v:line style="position:absolute" from="5907,1271" to="5971,1271" stroked="true" strokeweight=".5pt" strokecolor="#a7a9ac"/>
            <v:line style="position:absolute" from="5907,1553" to="5971,1553" stroked="true" strokeweight=".5pt" strokecolor="#a7a9ac"/>
            <v:rect style="position:absolute;left:5677;top:443;width:230;height:1399" filled="true" fillcolor="#808285" stroked="false">
              <v:fill type="solid"/>
            </v:rect>
            <v:line style="position:absolute" from="2252,143" to="2252,1835" stroked="true" strokeweight=".5pt" strokecolor="#231f20"/>
            <w10:wrap type="none"/>
          </v:group>
        </w:pict>
      </w:r>
      <w:r>
        <w:rPr>
          <w:color w:val="231F20"/>
          <w:sz w:val="16"/>
        </w:rPr>
        <w:t>68 —</w:t>
      </w:r>
    </w:p>
    <w:p>
      <w:pPr>
        <w:spacing w:before="98"/>
        <w:ind w:left="1109" w:right="562" w:firstLine="0"/>
        <w:jc w:val="left"/>
        <w:rPr>
          <w:sz w:val="16"/>
        </w:rPr>
      </w:pPr>
      <w:r>
        <w:rPr>
          <w:color w:val="231F20"/>
          <w:sz w:val="16"/>
        </w:rPr>
        <w:t>66 —</w:t>
      </w:r>
    </w:p>
    <w:p>
      <w:pPr>
        <w:spacing w:before="98"/>
        <w:ind w:left="1109" w:right="562" w:firstLine="0"/>
        <w:jc w:val="left"/>
        <w:rPr>
          <w:sz w:val="16"/>
        </w:rPr>
      </w:pPr>
      <w:r>
        <w:rPr>
          <w:color w:val="231F20"/>
          <w:sz w:val="16"/>
        </w:rPr>
        <w:t>64 —</w:t>
      </w:r>
    </w:p>
    <w:p>
      <w:pPr>
        <w:spacing w:before="98"/>
        <w:ind w:left="1109" w:right="562" w:firstLine="0"/>
        <w:jc w:val="left"/>
        <w:rPr>
          <w:sz w:val="16"/>
        </w:rPr>
      </w:pPr>
      <w:r>
        <w:rPr>
          <w:color w:val="231F20"/>
          <w:sz w:val="16"/>
        </w:rPr>
        <w:t>62 —</w:t>
      </w:r>
    </w:p>
    <w:p>
      <w:pPr>
        <w:spacing w:before="98"/>
        <w:ind w:left="1109" w:right="562" w:firstLine="0"/>
        <w:jc w:val="left"/>
        <w:rPr>
          <w:sz w:val="16"/>
        </w:rPr>
      </w:pPr>
      <w:r>
        <w:rPr>
          <w:color w:val="231F20"/>
          <w:sz w:val="16"/>
        </w:rPr>
        <w:t>60 —</w:t>
      </w:r>
    </w:p>
    <w:p>
      <w:pPr>
        <w:spacing w:before="98"/>
        <w:ind w:left="1109" w:right="562" w:firstLine="0"/>
        <w:jc w:val="left"/>
        <w:rPr>
          <w:sz w:val="16"/>
        </w:rPr>
      </w:pPr>
      <w:r>
        <w:rPr>
          <w:color w:val="231F20"/>
          <w:sz w:val="16"/>
        </w:rPr>
        <w:t>58 —</w:t>
      </w:r>
    </w:p>
    <w:p>
      <w:pPr>
        <w:spacing w:before="98"/>
        <w:ind w:left="1109" w:right="562" w:firstLine="0"/>
        <w:jc w:val="left"/>
        <w:rPr>
          <w:sz w:val="16"/>
        </w:rPr>
      </w:pPr>
      <w:r>
        <w:rPr/>
        <w:pict>
          <v:shape style="position:absolute;margin-left:109.121101pt;margin-top:13.092355pt;width:10pt;height:28.75pt;mso-position-horizontal-relative:page;mso-position-vertical-relative:paragraph;z-index:-35389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142.521103pt;margin-top:13.092355pt;width:10pt;height:28.75pt;mso-position-horizontal-relative:page;mso-position-vertical-relative:paragraph;z-index:349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175.921097pt;margin-top:13.092355pt;width:10pt;height:28.75pt;mso-position-horizontal-relative:page;mso-position-vertical-relative:paragraph;z-index:354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09.321106pt;margin-top:13.092355pt;width:10pt;height:28.75pt;mso-position-horizontal-relative:page;mso-position-vertical-relative:paragraph;z-index:359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242.7211pt;margin-top:13.092355pt;width:10pt;height:28.75pt;mso-position-horizontal-relative:page;mso-position-vertical-relative:paragraph;z-index:364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2002</w:t>
                  </w:r>
                  <w:r>
                    <w:rPr>
                      <w:color w:val="231F20"/>
                      <w:spacing w:val="1"/>
                      <w:sz w:val="16"/>
                    </w:rPr>
                    <w:t> </w:t>
                  </w:r>
                  <w:r>
                    <w:rPr>
                      <w:color w:val="231F20"/>
                      <w:sz w:val="16"/>
                    </w:rPr>
                    <w:t>—</w:t>
                  </w:r>
                </w:p>
              </w:txbxContent>
            </v:textbox>
            <w10:wrap type="none"/>
          </v:shape>
        </w:pict>
      </w:r>
      <w:r>
        <w:rPr/>
        <w:pict>
          <v:shape style="position:absolute;margin-left:276.121094pt;margin-top:13.092355pt;width:10pt;height:28.75pt;mso-position-horizontal-relative:page;mso-position-vertical-relative:paragraph;z-index:371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2004</w:t>
                  </w:r>
                  <w:r>
                    <w:rPr>
                      <w:color w:val="231F20"/>
                      <w:spacing w:val="1"/>
                      <w:sz w:val="16"/>
                    </w:rPr>
                    <w:t> </w:t>
                  </w:r>
                  <w:r>
                    <w:rPr>
                      <w:color w:val="231F20"/>
                      <w:sz w:val="16"/>
                    </w:rPr>
                    <w:t>—</w:t>
                  </w:r>
                </w:p>
              </w:txbxContent>
            </v:textbox>
            <w10:wrap type="none"/>
          </v:shape>
        </w:pict>
      </w:r>
      <w:r>
        <w:rPr>
          <w:color w:val="231F20"/>
          <w:sz w:val="16"/>
        </w:rPr>
        <w:t>56 —</w:t>
      </w:r>
    </w:p>
    <w:p>
      <w:pPr>
        <w:pStyle w:val="BodyText"/>
      </w:pPr>
    </w:p>
    <w:p>
      <w:pPr>
        <w:pStyle w:val="BodyText"/>
      </w:pPr>
    </w:p>
    <w:p>
      <w:pPr>
        <w:pStyle w:val="BodyText"/>
        <w:spacing w:before="1"/>
      </w:pPr>
    </w:p>
    <w:p>
      <w:pPr>
        <w:spacing w:line="285" w:lineRule="auto" w:before="67"/>
        <w:ind w:left="100" w:right="417" w:firstLine="0"/>
        <w:jc w:val="both"/>
        <w:rPr>
          <w:sz w:val="18"/>
        </w:rPr>
      </w:pPr>
      <w:r>
        <w:rPr>
          <w:rFonts w:ascii="Calibri" w:hAnsi="Calibri"/>
          <w:color w:val="231F20"/>
          <w:w w:val="105"/>
          <w:sz w:val="18"/>
        </w:rPr>
        <w:t>fuente: </w:t>
      </w:r>
      <w:r>
        <w:rPr>
          <w:color w:val="231F20"/>
          <w:w w:val="105"/>
          <w:sz w:val="18"/>
        </w:rPr>
        <w:t>realizada a partir de </w:t>
      </w:r>
      <w:r>
        <w:rPr>
          <w:i/>
          <w:color w:val="231F20"/>
          <w:w w:val="105"/>
          <w:sz w:val="18"/>
        </w:rPr>
        <w:t>Anuario Estadístico de la </w:t>
      </w:r>
      <w:r>
        <w:rPr>
          <w:i/>
          <w:color w:val="231F20"/>
          <w:w w:val="115"/>
          <w:sz w:val="13"/>
        </w:rPr>
        <w:t>cepal</w:t>
      </w:r>
      <w:r>
        <w:rPr>
          <w:color w:val="231F20"/>
          <w:w w:val="115"/>
          <w:sz w:val="18"/>
        </w:rPr>
        <w:t>, </w:t>
      </w:r>
      <w:r>
        <w:rPr>
          <w:color w:val="231F20"/>
          <w:w w:val="105"/>
          <w:sz w:val="18"/>
        </w:rPr>
        <w:t>2007, con in- formación para Brasil, Chile, Colombia, México, Perú y Venezuela. Para Argentina, Javier Lindemboim </w:t>
      </w:r>
      <w:r>
        <w:rPr>
          <w:i/>
          <w:color w:val="231F20"/>
          <w:w w:val="105"/>
          <w:sz w:val="18"/>
        </w:rPr>
        <w:t>et al.</w:t>
      </w:r>
      <w:r>
        <w:rPr>
          <w:color w:val="231F20"/>
          <w:w w:val="105"/>
          <w:sz w:val="18"/>
        </w:rPr>
        <w:t>, “La distribución del ingreso ayer y hoy”, Universidad  de  Buenos Aires.</w:t>
      </w:r>
    </w:p>
    <w:p>
      <w:pPr>
        <w:pStyle w:val="BodyText"/>
        <w:spacing w:before="6"/>
      </w:pPr>
    </w:p>
    <w:p>
      <w:pPr>
        <w:pStyle w:val="BodyText"/>
        <w:spacing w:line="261" w:lineRule="auto"/>
        <w:ind w:left="100" w:right="413" w:firstLine="240"/>
        <w:jc w:val="both"/>
      </w:pPr>
      <w:r>
        <w:rPr>
          <w:color w:val="231F20"/>
          <w:w w:val="110"/>
        </w:rPr>
        <w:t>En América Latina sobre la base de los siete países para los cua- les hay información, las remuneraciones disminuyen 8.1 puntos porcentuales, lo que significa una disminución de 20% de la par- ticipación de las remuneraciones en el pib que se transfieren a las ganancias de las empresas.</w:t>
      </w:r>
    </w:p>
    <w:p>
      <w:pPr>
        <w:spacing w:after="0" w:line="261" w:lineRule="auto"/>
        <w:jc w:val="both"/>
        <w:sectPr>
          <w:pgSz w:w="7640" w:h="11900"/>
          <w:pgMar w:header="672" w:footer="0" w:top="860" w:bottom="280" w:left="780" w:right="340"/>
        </w:sectPr>
      </w:pPr>
    </w:p>
    <w:p>
      <w:pPr>
        <w:pStyle w:val="BodyText"/>
        <w:spacing w:before="8"/>
        <w:rPr>
          <w:sz w:val="8"/>
        </w:rPr>
      </w:pPr>
    </w:p>
    <w:p>
      <w:pPr>
        <w:pStyle w:val="BodyText"/>
        <w:spacing w:line="261" w:lineRule="auto" w:before="67"/>
        <w:ind w:left="100" w:right="117" w:firstLine="240"/>
        <w:jc w:val="both"/>
      </w:pPr>
      <w:r>
        <w:rPr>
          <w:color w:val="231F20"/>
          <w:w w:val="110"/>
        </w:rPr>
        <w:t>En Argentina la participación de las remuneraciones en el pib disminuyeron</w:t>
      </w:r>
      <w:r>
        <w:rPr>
          <w:color w:val="231F20"/>
          <w:spacing w:val="-8"/>
          <w:w w:val="110"/>
        </w:rPr>
        <w:t> </w:t>
      </w:r>
      <w:r>
        <w:rPr>
          <w:color w:val="231F20"/>
          <w:w w:val="110"/>
        </w:rPr>
        <w:t>de</w:t>
      </w:r>
      <w:r>
        <w:rPr>
          <w:color w:val="231F20"/>
          <w:spacing w:val="-8"/>
          <w:w w:val="110"/>
        </w:rPr>
        <w:t> </w:t>
      </w:r>
      <w:r>
        <w:rPr>
          <w:color w:val="231F20"/>
          <w:w w:val="110"/>
        </w:rPr>
        <w:t>45.8%</w:t>
      </w:r>
      <w:r>
        <w:rPr>
          <w:color w:val="231F20"/>
          <w:spacing w:val="-8"/>
          <w:w w:val="110"/>
        </w:rPr>
        <w:t> </w:t>
      </w:r>
      <w:r>
        <w:rPr>
          <w:color w:val="231F20"/>
          <w:w w:val="110"/>
        </w:rPr>
        <w:t>en</w:t>
      </w:r>
      <w:r>
        <w:rPr>
          <w:color w:val="231F20"/>
          <w:spacing w:val="-8"/>
          <w:w w:val="110"/>
        </w:rPr>
        <w:t> </w:t>
      </w:r>
      <w:r>
        <w:rPr>
          <w:color w:val="231F20"/>
          <w:w w:val="110"/>
        </w:rPr>
        <w:t>1970</w:t>
      </w:r>
      <w:r>
        <w:rPr>
          <w:color w:val="231F20"/>
          <w:spacing w:val="-8"/>
          <w:w w:val="110"/>
        </w:rPr>
        <w:t> </w:t>
      </w:r>
      <w:r>
        <w:rPr>
          <w:color w:val="231F20"/>
          <w:w w:val="110"/>
        </w:rPr>
        <w:t>a</w:t>
      </w:r>
      <w:r>
        <w:rPr>
          <w:color w:val="231F20"/>
          <w:spacing w:val="-8"/>
          <w:w w:val="110"/>
        </w:rPr>
        <w:t> </w:t>
      </w:r>
      <w:r>
        <w:rPr>
          <w:color w:val="231F20"/>
          <w:w w:val="110"/>
        </w:rPr>
        <w:t>23.9%</w:t>
      </w:r>
      <w:r>
        <w:rPr>
          <w:color w:val="231F20"/>
          <w:spacing w:val="-8"/>
          <w:w w:val="110"/>
        </w:rPr>
        <w:t> </w:t>
      </w:r>
      <w:r>
        <w:rPr>
          <w:color w:val="231F20"/>
          <w:w w:val="110"/>
        </w:rPr>
        <w:t>en</w:t>
      </w:r>
      <w:r>
        <w:rPr>
          <w:color w:val="231F20"/>
          <w:spacing w:val="-8"/>
          <w:w w:val="110"/>
        </w:rPr>
        <w:t> </w:t>
      </w:r>
      <w:r>
        <w:rPr>
          <w:color w:val="231F20"/>
          <w:w w:val="110"/>
        </w:rPr>
        <w:t>2004,</w:t>
      </w:r>
      <w:r>
        <w:rPr>
          <w:color w:val="231F20"/>
          <w:spacing w:val="-8"/>
          <w:w w:val="110"/>
        </w:rPr>
        <w:t> </w:t>
      </w:r>
      <w:r>
        <w:rPr>
          <w:color w:val="231F20"/>
          <w:w w:val="110"/>
        </w:rPr>
        <w:t>es</w:t>
      </w:r>
      <w:r>
        <w:rPr>
          <w:color w:val="231F20"/>
          <w:spacing w:val="-8"/>
          <w:w w:val="110"/>
        </w:rPr>
        <w:t> </w:t>
      </w:r>
      <w:r>
        <w:rPr>
          <w:color w:val="231F20"/>
          <w:w w:val="110"/>
        </w:rPr>
        <w:t>decir</w:t>
      </w:r>
      <w:r>
        <w:rPr>
          <w:color w:val="231F20"/>
          <w:spacing w:val="-8"/>
          <w:w w:val="110"/>
        </w:rPr>
        <w:t> </w:t>
      </w:r>
      <w:r>
        <w:rPr>
          <w:color w:val="231F20"/>
          <w:w w:val="110"/>
        </w:rPr>
        <w:t>22</w:t>
      </w:r>
      <w:r>
        <w:rPr>
          <w:color w:val="231F20"/>
          <w:spacing w:val="-8"/>
          <w:w w:val="110"/>
        </w:rPr>
        <w:t> </w:t>
      </w:r>
      <w:r>
        <w:rPr>
          <w:color w:val="231F20"/>
          <w:w w:val="110"/>
        </w:rPr>
        <w:t>puntos porcentuales que significan una disminución de la participación de los salarios en el pib cercana al 50 por</w:t>
      </w:r>
      <w:r>
        <w:rPr>
          <w:color w:val="231F20"/>
          <w:spacing w:val="50"/>
          <w:w w:val="110"/>
        </w:rPr>
        <w:t> </w:t>
      </w:r>
      <w:r>
        <w:rPr>
          <w:color w:val="231F20"/>
          <w:w w:val="110"/>
        </w:rPr>
        <w:t>ciento.</w:t>
      </w:r>
    </w:p>
    <w:p>
      <w:pPr>
        <w:pStyle w:val="BodyText"/>
        <w:spacing w:before="2"/>
        <w:rPr>
          <w:sz w:val="24"/>
        </w:rPr>
      </w:pPr>
    </w:p>
    <w:p>
      <w:pPr>
        <w:spacing w:before="0"/>
        <w:ind w:left="100" w:right="25" w:firstLine="0"/>
        <w:jc w:val="left"/>
        <w:rPr>
          <w:sz w:val="18"/>
        </w:rPr>
      </w:pPr>
      <w:r>
        <w:rPr>
          <w:color w:val="231F20"/>
          <w:w w:val="120"/>
          <w:sz w:val="18"/>
        </w:rPr>
        <w:t>gráfica 9. disminución de la participación de los    salarios</w:t>
      </w:r>
    </w:p>
    <w:p>
      <w:pPr>
        <w:spacing w:line="290" w:lineRule="auto" w:before="43"/>
        <w:ind w:left="100" w:right="231" w:firstLine="0"/>
        <w:jc w:val="left"/>
        <w:rPr>
          <w:sz w:val="18"/>
        </w:rPr>
      </w:pPr>
      <w:r>
        <w:rPr>
          <w:color w:val="231F20"/>
          <w:w w:val="125"/>
          <w:sz w:val="18"/>
        </w:rPr>
        <w:t>y aumento de la participación de las ganancias en estados unidos, 1950-2007</w:t>
      </w:r>
    </w:p>
    <w:p>
      <w:pPr>
        <w:spacing w:after="0" w:line="290" w:lineRule="auto"/>
        <w:jc w:val="left"/>
        <w:rPr>
          <w:sz w:val="18"/>
        </w:rPr>
        <w:sectPr>
          <w:pgSz w:w="7640" w:h="11900"/>
          <w:pgMar w:header="672" w:footer="0" w:top="860" w:bottom="280" w:left="660" w:right="760"/>
        </w:sectPr>
      </w:pPr>
    </w:p>
    <w:p>
      <w:pPr>
        <w:pStyle w:val="BodyText"/>
        <w:rPr>
          <w:sz w:val="16"/>
        </w:rPr>
      </w:pPr>
    </w:p>
    <w:p>
      <w:pPr>
        <w:spacing w:before="122"/>
        <w:ind w:left="0" w:right="0" w:firstLine="0"/>
        <w:jc w:val="right"/>
        <w:rPr>
          <w:sz w:val="16"/>
        </w:rPr>
      </w:pPr>
      <w:r>
        <w:rPr/>
        <w:pict>
          <v:group style="position:absolute;margin-left:109.599998pt;margin-top:16.538057pt;width:182.6pt;height:85.85pt;mso-position-horizontal-relative:page;mso-position-vertical-relative:paragraph;z-index:3736" coordorigin="2192,331" coordsize="3652,1717">
            <v:shape style="position:absolute;left:1231;top:8649;width:2411;height:2" coordorigin="1231,8649" coordsize="2411,0" path="m3950,594l5839,594m3428,594l3790,594e" filled="false" stroked="true" strokeweight=".5pt" strokecolor="#a7a9ac">
              <v:path arrowok="t"/>
            </v:shape>
            <v:shape style="position:absolute;left:2276;top:8649;width:1366;height:2" coordorigin="2276,8649" coordsize="1366,0" path="m4995,956l5839,956m4473,956l4835,956e" filled="false" stroked="true" strokeweight=".5pt" strokecolor="#a7a9ac">
              <v:path arrowok="t"/>
            </v:shape>
            <v:shape style="position:absolute;left:3321;top:8649;width:321;height:2" coordorigin="3321,8649" coordsize="321,0" path="m5779,1680l5839,1680m5518,1680l5619,1680e" filled="false" stroked="true" strokeweight=".5pt" strokecolor="#a7a9ac">
              <v:path arrowok="t"/>
            </v:shape>
            <v:shape style="position:absolute;left:3321;top:8649;width:321;height:2" coordorigin="3321,8649" coordsize="321,0" path="m5779,1318l5839,1318m5518,1318l5619,1318e" filled="false" stroked="true" strokeweight=".5pt" strokecolor="#a7a9ac">
              <v:path arrowok="t"/>
            </v:shape>
            <v:line style="position:absolute" from="2197,2042" to="5839,2042" stroked="true" strokeweight=".5pt" strokecolor="#a7a9ac"/>
            <v:rect style="position:absolute;left:5619;top:1056;width:160;height:987" filled="true" fillcolor="#808285" stroked="false">
              <v:fill type="solid"/>
            </v:rect>
            <v:line style="position:absolute" from="5257,1680" to="5358,1680" stroked="true" strokeweight=".5pt" strokecolor="#a7a9ac"/>
            <v:line style="position:absolute" from="5257,1318" to="5358,1318" stroked="true" strokeweight=".5pt" strokecolor="#a7a9ac"/>
            <v:rect style="position:absolute;left:5358;top:1291;width:160;height:752" filled="true" fillcolor="#808285" stroked="false">
              <v:fill type="solid"/>
            </v:rect>
            <v:line style="position:absolute" from="4995,1680" to="5097,1680" stroked="true" strokeweight=".5pt" strokecolor="#a7a9ac"/>
            <v:line style="position:absolute" from="4995,1318" to="5097,1318" stroked="true" strokeweight=".5pt" strokecolor="#a7a9ac"/>
            <v:rect style="position:absolute;left:5097;top:1239;width:160;height:804" filled="true" fillcolor="#808285" stroked="false">
              <v:fill type="solid"/>
            </v:rect>
            <v:line style="position:absolute" from="4734,1680" to="4835,1680" stroked="true" strokeweight=".5pt" strokecolor="#a7a9ac"/>
            <v:line style="position:absolute" from="4734,1318" to="4835,1318" stroked="true" strokeweight=".5pt" strokecolor="#a7a9ac"/>
            <v:rect style="position:absolute;left:4835;top:691;width:160;height:1352" filled="true" fillcolor="#808285" stroked="false">
              <v:fill type="solid"/>
            </v:rect>
            <v:line style="position:absolute" from="4473,1680" to="4574,1680" stroked="true" strokeweight=".5pt" strokecolor="#a7a9ac"/>
            <v:line style="position:absolute" from="4473,1318" to="4574,1318" stroked="true" strokeweight=".5pt" strokecolor="#a7a9ac"/>
            <v:rect style="position:absolute;left:4574;top:1004;width:160;height:1039" filled="true" fillcolor="#808285" stroked="false">
              <v:fill type="solid"/>
            </v:rect>
            <v:line style="position:absolute" from="4212,956" to="4313,956" stroked="true" strokeweight=".5pt" strokecolor="#a7a9ac"/>
            <v:line style="position:absolute" from="4212,1680" to="4313,1680" stroked="true" strokeweight=".5pt" strokecolor="#a7a9ac"/>
            <v:line style="position:absolute" from="4212,1318" to="4313,1318" stroked="true" strokeweight=".5pt" strokecolor="#a7a9ac"/>
            <v:rect style="position:absolute;left:4313;top:717;width:160;height:1326" filled="true" fillcolor="#808285" stroked="false">
              <v:fill type="solid"/>
            </v:rect>
            <v:line style="position:absolute" from="3950,956" to="4052,956" stroked="true" strokeweight=".5pt" strokecolor="#a7a9ac"/>
            <v:line style="position:absolute" from="3950,1680" to="4052,1680" stroked="true" strokeweight=".5pt" strokecolor="#a7a9ac"/>
            <v:line style="position:absolute" from="3950,1318" to="4052,1318" stroked="true" strokeweight=".5pt" strokecolor="#a7a9ac"/>
            <v:rect style="position:absolute;left:4052;top:879;width:160;height:1164" filled="true" fillcolor="#808285" stroked="false">
              <v:fill type="solid"/>
            </v:rect>
            <v:line style="position:absolute" from="3689,956" to="3790,956" stroked="true" strokeweight=".5pt" strokecolor="#a7a9ac"/>
            <v:line style="position:absolute" from="3689,1680" to="3790,1680" stroked="true" strokeweight=".5pt" strokecolor="#a7a9ac"/>
            <v:line style="position:absolute" from="3689,1318" to="3790,1318" stroked="true" strokeweight=".5pt" strokecolor="#a7a9ac"/>
            <v:rect style="position:absolute;left:3790;top:331;width:160;height:1712" filled="true" fillcolor="#808285" stroked="false">
              <v:fill type="solid"/>
            </v:rect>
            <v:line style="position:absolute" from="3428,956" to="3529,956" stroked="true" strokeweight=".5pt" strokecolor="#a7a9ac"/>
            <v:line style="position:absolute" from="3428,1680" to="3529,1680" stroked="true" strokeweight=".5pt" strokecolor="#a7a9ac"/>
            <v:line style="position:absolute" from="3428,1318" to="3529,1318" stroked="true" strokeweight=".5pt" strokecolor="#a7a9ac"/>
            <v:rect style="position:absolute;left:3529;top:733;width:160;height:1310" filled="true" fillcolor="#808285" stroked="false">
              <v:fill type="solid"/>
            </v:rect>
            <v:line style="position:absolute" from="2197,594" to="3268,594" stroked="true" strokeweight=".5pt" strokecolor="#a7a9ac"/>
            <v:line style="position:absolute" from="2905,956" to="3268,956" stroked="true" strokeweight=".5pt" strokecolor="#a7a9ac"/>
            <v:line style="position:absolute" from="3167,1680" to="3268,1680" stroked="true" strokeweight=".5pt" strokecolor="#a7a9ac"/>
            <v:line style="position:absolute" from="3167,1318" to="3268,1318" stroked="true" strokeweight=".5pt" strokecolor="#a7a9ac"/>
            <v:rect style="position:absolute;left:3268;top:415;width:160;height:1628" filled="true" fillcolor="#808285" stroked="false">
              <v:fill type="solid"/>
            </v:rect>
            <v:line style="position:absolute" from="2905,1680" to="3007,1680" stroked="true" strokeweight=".5pt" strokecolor="#a7a9ac"/>
            <v:line style="position:absolute" from="2905,1318" to="3007,1318" stroked="true" strokeweight=".5pt" strokecolor="#a7a9ac"/>
            <v:rect style="position:absolute;left:3007;top:1182;width:160;height:861" filled="true" fillcolor="#808285" stroked="false">
              <v:fill type="solid"/>
            </v:rect>
            <v:line style="position:absolute" from="2197,956" to="2745,956" stroked="true" strokeweight=".5pt" strokecolor="#a7a9ac"/>
            <v:line style="position:absolute" from="2644,1680" to="2745,1680" stroked="true" strokeweight=".5pt" strokecolor="#a7a9ac"/>
            <v:line style="position:absolute" from="2644,1318" to="2745,1318" stroked="true" strokeweight=".5pt" strokecolor="#a7a9ac"/>
            <v:rect style="position:absolute;left:2745;top:795;width:160;height:1248" filled="true" fillcolor="#808285" stroked="false">
              <v:fill type="solid"/>
            </v:rect>
            <v:shape style="position:absolute;left:0;top:8649;width:288;height:2" coordorigin="0,8649" coordsize="288,0" path="m2383,1680l2484,1680m2197,1680l2223,1680e" filled="false" stroked="true" strokeweight=".5pt" strokecolor="#a7a9ac">
              <v:path arrowok="t"/>
            </v:shape>
            <v:rect style="position:absolute;left:2223;top:1395;width:160;height:648" filled="true" fillcolor="#808285" stroked="false">
              <v:fill type="solid"/>
            </v:rect>
            <v:line style="position:absolute" from="2197,1318" to="2484,1318" stroked="true" strokeweight=".5pt" strokecolor="#a7a9ac"/>
            <v:rect style="position:absolute;left:2484;top:1131;width:160;height:912" filled="true" fillcolor="#808285" stroked="false">
              <v:fill type="solid"/>
            </v:rect>
            <w10:wrap type="none"/>
          </v:group>
        </w:pict>
      </w:r>
      <w:r>
        <w:rPr/>
        <w:pict>
          <v:line style="position:absolute;mso-position-horizontal-relative:page;mso-position-vertical-relative:paragraph;z-index:3760" from="110.866699pt,11.591345pt" to="292.949699pt,11.591345pt" stroked="true" strokeweight=".5pt" strokecolor="#a7a9ac">
            <w10:wrap type="none"/>
          </v:line>
        </w:pict>
      </w:r>
      <w:r>
        <w:rPr/>
        <w:pict>
          <v:line style="position:absolute;mso-position-horizontal-relative:page;mso-position-vertical-relative:paragraph;z-index:-353536" from="105.900002pt,10.954645pt" to="105.900002pt,103.556645pt" stroked="true" strokeweight=".5pt" strokecolor="#231f20">
            <w10:wrap type="none"/>
          </v:line>
        </w:pict>
      </w:r>
      <w:r>
        <w:rPr>
          <w:color w:val="231F20"/>
          <w:sz w:val="16"/>
        </w:rPr>
        <w:t>68 —</w:t>
      </w:r>
    </w:p>
    <w:p>
      <w:pPr>
        <w:pStyle w:val="BodyText"/>
        <w:spacing w:before="7"/>
        <w:rPr>
          <w:sz w:val="15"/>
        </w:rPr>
      </w:pPr>
    </w:p>
    <w:p>
      <w:pPr>
        <w:spacing w:before="0"/>
        <w:ind w:left="0" w:right="0" w:firstLine="0"/>
        <w:jc w:val="right"/>
        <w:rPr>
          <w:sz w:val="16"/>
        </w:rPr>
      </w:pPr>
      <w:r>
        <w:rPr>
          <w:color w:val="231F20"/>
          <w:sz w:val="16"/>
        </w:rPr>
        <w:t>42 —</w:t>
      </w:r>
    </w:p>
    <w:p>
      <w:pPr>
        <w:pStyle w:val="BodyText"/>
        <w:spacing w:before="7"/>
        <w:rPr>
          <w:sz w:val="15"/>
        </w:rPr>
      </w:pPr>
    </w:p>
    <w:p>
      <w:pPr>
        <w:spacing w:before="0"/>
        <w:ind w:left="0" w:right="0" w:firstLine="0"/>
        <w:jc w:val="right"/>
        <w:rPr>
          <w:sz w:val="16"/>
        </w:rPr>
      </w:pPr>
      <w:r>
        <w:rPr>
          <w:color w:val="231F20"/>
          <w:sz w:val="16"/>
        </w:rPr>
        <w:t>40 —</w:t>
      </w:r>
    </w:p>
    <w:p>
      <w:pPr>
        <w:pStyle w:val="BodyText"/>
        <w:spacing w:before="7"/>
        <w:rPr>
          <w:sz w:val="15"/>
        </w:rPr>
      </w:pPr>
    </w:p>
    <w:p>
      <w:pPr>
        <w:spacing w:before="0"/>
        <w:ind w:left="0" w:right="0" w:firstLine="0"/>
        <w:jc w:val="right"/>
        <w:rPr>
          <w:sz w:val="16"/>
        </w:rPr>
      </w:pPr>
      <w:r>
        <w:rPr>
          <w:color w:val="231F20"/>
          <w:sz w:val="16"/>
        </w:rPr>
        <w:t>38 —</w:t>
      </w:r>
    </w:p>
    <w:p>
      <w:pPr>
        <w:pStyle w:val="BodyText"/>
        <w:spacing w:before="7"/>
        <w:rPr>
          <w:sz w:val="15"/>
        </w:rPr>
      </w:pPr>
    </w:p>
    <w:p>
      <w:pPr>
        <w:spacing w:before="0"/>
        <w:ind w:left="0" w:right="0" w:firstLine="0"/>
        <w:jc w:val="right"/>
        <w:rPr>
          <w:sz w:val="16"/>
        </w:rPr>
      </w:pPr>
      <w:r>
        <w:rPr>
          <w:color w:val="231F20"/>
          <w:sz w:val="16"/>
        </w:rPr>
        <w:t>36 —</w:t>
      </w:r>
    </w:p>
    <w:p>
      <w:pPr>
        <w:pStyle w:val="BodyText"/>
        <w:spacing w:before="7"/>
        <w:rPr>
          <w:sz w:val="15"/>
        </w:rPr>
      </w:pPr>
    </w:p>
    <w:p>
      <w:pPr>
        <w:spacing w:before="0"/>
        <w:ind w:left="0" w:right="0" w:firstLine="0"/>
        <w:jc w:val="right"/>
        <w:rPr>
          <w:sz w:val="16"/>
        </w:rPr>
      </w:pPr>
      <w:r>
        <w:rPr/>
        <w:pict>
          <v:shape style="position:absolute;margin-left:102.921196pt;margin-top:8.544344pt;width:181pt;height:28.75pt;mso-position-horizontal-relative:page;mso-position-vertical-relative:paragraph;z-index:-353488"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1950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1955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1960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1965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1970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1975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1980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1985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1995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2000</w:t>
                  </w:r>
                  <w:r>
                    <w:rPr>
                      <w:color w:val="231F20"/>
                      <w:spacing w:val="1"/>
                      <w:sz w:val="16"/>
                    </w:rPr>
                    <w:t> </w:t>
                  </w:r>
                  <w:r>
                    <w:rPr>
                      <w:color w:val="231F20"/>
                      <w:sz w:val="16"/>
                    </w:rPr>
                    <w:t>—</w:t>
                  </w:r>
                </w:p>
                <w:p>
                  <w:pPr>
                    <w:spacing w:before="79"/>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79"/>
                    <w:ind w:left="20" w:right="0" w:firstLine="0"/>
                    <w:jc w:val="left"/>
                    <w:rPr>
                      <w:sz w:val="16"/>
                    </w:rPr>
                  </w:pPr>
                  <w:r>
                    <w:rPr>
                      <w:color w:val="231F20"/>
                      <w:w w:val="104"/>
                      <w:sz w:val="16"/>
                    </w:rPr>
                    <w:t>2006</w:t>
                  </w:r>
                  <w:r>
                    <w:rPr>
                      <w:color w:val="231F20"/>
                      <w:spacing w:val="1"/>
                      <w:sz w:val="16"/>
                    </w:rPr>
                    <w:t> </w:t>
                  </w:r>
                  <w:r>
                    <w:rPr>
                      <w:color w:val="231F20"/>
                      <w:sz w:val="16"/>
                    </w:rPr>
                    <w:t>—</w:t>
                  </w:r>
                </w:p>
                <w:p>
                  <w:pPr>
                    <w:spacing w:before="79"/>
                    <w:ind w:left="20" w:right="0" w:firstLine="0"/>
                    <w:jc w:val="left"/>
                    <w:rPr>
                      <w:sz w:val="16"/>
                    </w:rPr>
                  </w:pPr>
                  <w:r>
                    <w:rPr>
                      <w:color w:val="231F20"/>
                      <w:w w:val="104"/>
                      <w:sz w:val="16"/>
                    </w:rPr>
                    <w:t>2007</w:t>
                  </w:r>
                  <w:r>
                    <w:rPr>
                      <w:color w:val="231F20"/>
                      <w:spacing w:val="1"/>
                      <w:sz w:val="16"/>
                    </w:rPr>
                    <w:t> </w:t>
                  </w:r>
                  <w:r>
                    <w:rPr>
                      <w:color w:val="231F20"/>
                      <w:sz w:val="16"/>
                    </w:rPr>
                    <w:t>—</w:t>
                  </w:r>
                </w:p>
              </w:txbxContent>
            </v:textbox>
            <w10:wrap type="none"/>
          </v:shape>
        </w:pict>
      </w:r>
      <w:r>
        <w:rPr>
          <w:color w:val="231F20"/>
          <w:sz w:val="16"/>
        </w:rPr>
        <w:t>34 —</w:t>
      </w:r>
    </w:p>
    <w:p>
      <w:pPr>
        <w:spacing w:before="90"/>
        <w:ind w:left="687" w:right="0" w:firstLine="0"/>
        <w:jc w:val="left"/>
        <w:rPr>
          <w:sz w:val="16"/>
        </w:rPr>
      </w:pPr>
      <w:r>
        <w:rPr/>
        <w:br w:type="column"/>
      </w:r>
      <w:r>
        <w:rPr>
          <w:color w:val="231F20"/>
          <w:w w:val="130"/>
          <w:sz w:val="16"/>
        </w:rPr>
        <w:t>remuneraciones / valor bruto</w:t>
      </w:r>
    </w:p>
    <w:p>
      <w:pPr>
        <w:spacing w:after="0"/>
        <w:jc w:val="left"/>
        <w:rPr>
          <w:sz w:val="16"/>
        </w:rPr>
        <w:sectPr>
          <w:type w:val="continuous"/>
          <w:pgSz w:w="7640" w:h="11900"/>
          <w:pgMar w:top="980" w:bottom="280" w:left="660" w:right="760"/>
          <w:cols w:num="2" w:equalWidth="0">
            <w:col w:w="1470" w:space="40"/>
            <w:col w:w="4710"/>
          </w:cols>
        </w:sectPr>
      </w:pPr>
    </w:p>
    <w:p>
      <w:pPr>
        <w:pStyle w:val="BodyText"/>
      </w:pPr>
    </w:p>
    <w:p>
      <w:pPr>
        <w:pStyle w:val="BodyText"/>
      </w:pPr>
    </w:p>
    <w:p>
      <w:pPr>
        <w:pStyle w:val="BodyText"/>
        <w:spacing w:before="6"/>
      </w:pPr>
    </w:p>
    <w:p>
      <w:pPr>
        <w:spacing w:after="0"/>
        <w:sectPr>
          <w:type w:val="continuous"/>
          <w:pgSz w:w="7640" w:h="11900"/>
          <w:pgMar w:top="980" w:bottom="280" w:left="660" w:right="760"/>
        </w:sectPr>
      </w:pPr>
    </w:p>
    <w:p>
      <w:pPr>
        <w:pStyle w:val="BodyText"/>
        <w:rPr>
          <w:sz w:val="16"/>
        </w:rPr>
      </w:pPr>
    </w:p>
    <w:p>
      <w:pPr>
        <w:spacing w:before="96"/>
        <w:ind w:left="0" w:right="0" w:firstLine="0"/>
        <w:jc w:val="right"/>
        <w:rPr>
          <w:sz w:val="16"/>
        </w:rPr>
      </w:pPr>
      <w:r>
        <w:rPr/>
        <w:pict>
          <v:group style="position:absolute;margin-left:103.550003pt;margin-top:10.244445pt;width:191.3pt;height:88.8pt;mso-position-horizontal-relative:page;mso-position-vertical-relative:paragraph;z-index:-353560" coordorigin="2071,205" coordsize="3826,1776">
            <v:line style="position:absolute" from="2135,431" to="5885,431" stroked="true" strokeweight=".5pt" strokecolor="#a7a9ac"/>
            <v:shape style="position:absolute;left:0;top:5643;width:326;height:2" coordorigin="0,5643" coordsize="326,0" path="m2361,1314l2467,1314m2141,1314l2201,1314e" filled="false" stroked="true" strokeweight=".5pt" strokecolor="#a7a9ac">
              <v:path arrowok="t"/>
            </v:shape>
            <v:shape style="position:absolute;left:0;top:5643;width:326;height:2" coordorigin="0,5643" coordsize="326,0" path="m2361,651l2467,651m2141,651l2201,651e" filled="false" stroked="true" strokeweight=".5pt" strokecolor="#a7a9ac">
              <v:path arrowok="t"/>
            </v:shape>
            <v:shape style="position:absolute;left:0;top:5643;width:332;height:2" coordorigin="0,5643" coordsize="332,0" path="m2361,872l2467,872m2135,872l2201,872e" filled="false" stroked="true" strokeweight=".5pt" strokecolor="#a7a9ac">
              <v:path arrowok="t"/>
            </v:shape>
            <v:shape style="position:absolute;left:0;top:5643;width:326;height:2" coordorigin="0,5643" coordsize="326,0" path="m2361,1093l2467,1093m2141,1093l2201,1093e" filled="false" stroked="true" strokeweight=".5pt" strokecolor="#a7a9ac">
              <v:path arrowok="t"/>
            </v:shape>
            <v:shape style="position:absolute;left:0;top:5643;width:326;height:2" coordorigin="0,5643" coordsize="326,0" path="m2361,1534l2467,1534m2141,1534l2201,1534e" filled="false" stroked="true" strokeweight=".5pt" strokecolor="#a7a9ac">
              <v:path arrowok="t"/>
            </v:shape>
            <v:shape style="position:absolute;left:0;top:5643;width:326;height:2" coordorigin="0,5643" coordsize="326,0" path="m2361,1755l2467,1755m2141,1755l2201,1755e" filled="false" stroked="true" strokeweight=".5pt" strokecolor="#a7a9ac">
              <v:path arrowok="t"/>
            </v:shape>
            <v:line style="position:absolute" from="2141,1976" to="5891,1976" stroked="true" strokeweight=".5pt" strokecolor="#a7a9ac"/>
            <v:rect style="position:absolute;left:2201;top:441;width:160;height:1533" filled="true" fillcolor="#808285" stroked="false">
              <v:fill type="solid"/>
            </v:rect>
            <v:line style="position:absolute" from="2627,1314" to="2733,1314" stroked="true" strokeweight=".5pt" strokecolor="#a7a9ac"/>
            <v:line style="position:absolute" from="2627,651" to="2999,651" stroked="true" strokeweight=".5pt" strokecolor="#a7a9ac"/>
            <v:line style="position:absolute" from="2627,872" to="2733,872" stroked="true" strokeweight=".5pt" strokecolor="#a7a9ac"/>
            <v:line style="position:absolute" from="2627,1093" to="2733,1093" stroked="true" strokeweight=".5pt" strokecolor="#a7a9ac"/>
            <v:line style="position:absolute" from="2627,1534" to="2733,1534" stroked="true" strokeweight=".5pt" strokecolor="#a7a9ac"/>
            <v:line style="position:absolute" from="2627,1755" to="2733,1755" stroked="true" strokeweight=".5pt" strokecolor="#a7a9ac"/>
            <v:rect style="position:absolute;left:2467;top:565;width:160;height:1409" filled="true" fillcolor="#808285" stroked="false">
              <v:fill type="solid"/>
            </v:rect>
            <v:line style="position:absolute" from="2893,1314" to="2999,1314" stroked="true" strokeweight=".5pt" strokecolor="#a7a9ac"/>
            <v:line style="position:absolute" from="2893,872" to="2999,872" stroked="true" strokeweight=".5pt" strokecolor="#a7a9ac"/>
            <v:line style="position:absolute" from="2893,1093" to="2999,1093" stroked="true" strokeweight=".5pt" strokecolor="#a7a9ac"/>
            <v:line style="position:absolute" from="2893,1534" to="2999,1534" stroked="true" strokeweight=".5pt" strokecolor="#a7a9ac"/>
            <v:line style="position:absolute" from="2893,1755" to="2999,1755" stroked="true" strokeweight=".5pt" strokecolor="#a7a9ac"/>
            <v:rect style="position:absolute;left:2733;top:847;width:160;height:1127" filled="true" fillcolor="#808285" stroked="false">
              <v:fill type="solid"/>
            </v:rect>
            <v:line style="position:absolute" from="3159,1314" to="3531,1314" stroked="true" strokeweight=".5pt" strokecolor="#a7a9ac"/>
            <v:line style="position:absolute" from="3159,651" to="5126,651" stroked="true" strokeweight=".5pt" strokecolor="#a7a9ac"/>
            <v:line style="position:absolute" from="3159,872" to="5126,872" stroked="true" strokeweight=".5pt" strokecolor="#a7a9ac"/>
            <v:line style="position:absolute" from="3159,1093" to="4594,1093" stroked="true" strokeweight=".5pt" strokecolor="#a7a9ac"/>
            <v:line style="position:absolute" from="3159,1534" to="3265,1534" stroked="true" strokeweight=".5pt" strokecolor="#a7a9ac"/>
            <v:line style="position:absolute" from="3159,1755" to="3265,1755" stroked="true" strokeweight=".5pt" strokecolor="#a7a9ac"/>
            <v:rect style="position:absolute;left:2999;top:626;width:160;height:1348" filled="true" fillcolor="#808285" stroked="false">
              <v:fill type="solid"/>
            </v:rect>
            <v:line style="position:absolute" from="3425,1534" to="3531,1534" stroked="true" strokeweight=".5pt" strokecolor="#a7a9ac"/>
            <v:line style="position:absolute" from="3425,1755" to="3531,1755" stroked="true" strokeweight=".5pt" strokecolor="#a7a9ac"/>
            <v:rect style="position:absolute;left:3265;top:1314;width:160;height:660" filled="true" fillcolor="#808285" stroked="false">
              <v:fill type="solid"/>
            </v:rect>
            <v:line style="position:absolute" from="3691,1314" to="4062,1314" stroked="true" strokeweight=".5pt" strokecolor="#a7a9ac"/>
            <v:line style="position:absolute" from="3691,1534" to="3796,1534" stroked="true" strokeweight=".5pt" strokecolor="#a7a9ac"/>
            <v:line style="position:absolute" from="3691,1755" to="3796,1755" stroked="true" strokeweight=".5pt" strokecolor="#a7a9ac"/>
            <v:rect style="position:absolute;left:3531;top:1129;width:160;height:845" filled="true" fillcolor="#808285" stroked="false">
              <v:fill type="solid"/>
            </v:rect>
            <v:line style="position:absolute" from="3956,1534" to="4062,1534" stroked="true" strokeweight=".5pt" strokecolor="#a7a9ac"/>
            <v:line style="position:absolute" from="3956,1755" to="4062,1755" stroked="true" strokeweight=".5pt" strokecolor="#a7a9ac"/>
            <v:rect style="position:absolute;left:3796;top:1332;width:160;height:642" filled="true" fillcolor="#808285" stroked="false">
              <v:fill type="solid"/>
            </v:rect>
            <v:line style="position:absolute" from="4222,1314" to="4328,1314" stroked="true" strokeweight=".5pt" strokecolor="#a7a9ac"/>
            <v:line style="position:absolute" from="4222,1534" to="4328,1534" stroked="true" strokeweight=".5pt" strokecolor="#a7a9ac"/>
            <v:line style="position:absolute" from="4222,1755" to="4328,1755" stroked="true" strokeweight=".5pt" strokecolor="#a7a9ac"/>
            <v:rect style="position:absolute;left:4062;top:1157;width:160;height:817" filled="true" fillcolor="#808285" stroked="false">
              <v:fill type="solid"/>
            </v:rect>
            <v:line style="position:absolute" from="4488,1314" to="4594,1314" stroked="true" strokeweight=".5pt" strokecolor="#a7a9ac"/>
            <v:line style="position:absolute" from="4488,1534" to="4594,1534" stroked="true" strokeweight=".5pt" strokecolor="#a7a9ac"/>
            <v:line style="position:absolute" from="4488,1755" to="4594,1755" stroked="true" strokeweight=".5pt" strokecolor="#a7a9ac"/>
            <v:rect style="position:absolute;left:4328;top:1243;width:160;height:731" filled="true" fillcolor="#808285" stroked="false">
              <v:fill type="solid"/>
            </v:rect>
            <v:line style="position:absolute" from="4754,1314" to="4860,1314" stroked="true" strokeweight=".5pt" strokecolor="#a7a9ac"/>
            <v:line style="position:absolute" from="4754,1093" to="5126,1093" stroked="true" strokeweight=".5pt" strokecolor="#a7a9ac"/>
            <v:line style="position:absolute" from="4754,1534" to="4860,1534" stroked="true" strokeweight=".5pt" strokecolor="#a7a9ac"/>
            <v:line style="position:absolute" from="4754,1755" to="4860,1755" stroked="true" strokeweight=".5pt" strokecolor="#a7a9ac"/>
            <v:rect style="position:absolute;left:4594;top:854;width:160;height:1120" filled="true" fillcolor="#808285" stroked="false">
              <v:fill type="solid"/>
            </v:rect>
            <v:line style="position:absolute" from="5020,1314" to="5126,1314" stroked="true" strokeweight=".5pt" strokecolor="#a7a9ac"/>
            <v:line style="position:absolute" from="5020,1534" to="5126,1534" stroked="true" strokeweight=".5pt" strokecolor="#a7a9ac"/>
            <v:line style="position:absolute" from="5020,1755" to="5126,1755" stroked="true" strokeweight=".5pt" strokecolor="#a7a9ac"/>
            <v:rect style="position:absolute;left:4860;top:1139;width:160;height:834" filled="true" fillcolor="#808285" stroked="false">
              <v:fill type="solid"/>
            </v:rect>
            <v:line style="position:absolute" from="5286,1314" to="5392,1314" stroked="true" strokeweight=".5pt" strokecolor="#a7a9ac"/>
            <v:line style="position:absolute" from="5286,651" to="5392,651" stroked="true" strokeweight=".5pt" strokecolor="#a7a9ac"/>
            <v:line style="position:absolute" from="5286,872" to="5392,872" stroked="true" strokeweight=".5pt" strokecolor="#a7a9ac"/>
            <v:line style="position:absolute" from="5286,1093" to="5392,1093" stroked="true" strokeweight=".5pt" strokecolor="#a7a9ac"/>
            <v:line style="position:absolute" from="5286,1534" to="5392,1534" stroked="true" strokeweight=".5pt" strokecolor="#a7a9ac"/>
            <v:line style="position:absolute" from="5286,1755" to="5392,1755" stroked="true" strokeweight=".5pt" strokecolor="#a7a9ac"/>
            <v:rect style="position:absolute;left:5126;top:608;width:160;height:1366" filled="true" fillcolor="#808285" stroked="false">
              <v:fill type="solid"/>
            </v:rect>
            <v:line style="position:absolute" from="5552,1314" to="5657,1314" stroked="true" strokeweight=".5pt" strokecolor="#a7a9ac"/>
            <v:line style="position:absolute" from="5552,651" to="5891,651" stroked="true" strokeweight=".5pt" strokecolor="#a7a9ac"/>
            <v:line style="position:absolute" from="5552,872" to="5657,872" stroked="true" strokeweight=".5pt" strokecolor="#a7a9ac"/>
            <v:line style="position:absolute" from="5552,1093" to="5657,1093" stroked="true" strokeweight=".5pt" strokecolor="#a7a9ac"/>
            <v:line style="position:absolute" from="5552,1534" to="5657,1534" stroked="true" strokeweight=".5pt" strokecolor="#a7a9ac"/>
            <v:line style="position:absolute" from="5552,1755" to="5657,1755" stroked="true" strokeweight=".5pt" strokecolor="#a7a9ac"/>
            <v:rect style="position:absolute;left:5392;top:565;width:160;height:1409" filled="true" fillcolor="#808285" stroked="false">
              <v:fill type="solid"/>
            </v:rect>
            <v:line style="position:absolute" from="5817,1314" to="5891,1314" stroked="true" strokeweight=".5pt" strokecolor="#a7a9ac"/>
            <v:line style="position:absolute" from="5817,872" to="5885,872" stroked="true" strokeweight=".5pt" strokecolor="#a7a9ac"/>
            <v:line style="position:absolute" from="5817,1093" to="5891,1093" stroked="true" strokeweight=".5pt" strokecolor="#a7a9ac"/>
            <v:line style="position:absolute" from="5817,1534" to="5891,1534" stroked="true" strokeweight=".5pt" strokecolor="#a7a9ac"/>
            <v:line style="position:absolute" from="5817,1755" to="5891,1755" stroked="true" strokeweight=".5pt" strokecolor="#a7a9ac"/>
            <v:rect style="position:absolute;left:5657;top:679;width:160;height:1294" filled="true" fillcolor="#808285" stroked="false">
              <v:fill type="solid"/>
            </v:rect>
            <v:line style="position:absolute" from="2135,210" to="5885,210" stroked="true" strokeweight=".5pt" strokecolor="#a7a9ac"/>
            <v:line style="position:absolute" from="2076,213" to="2076,1963" stroked="true" strokeweight=".5pt" strokecolor="#231f20"/>
            <w10:wrap type="none"/>
          </v:group>
        </w:pict>
      </w:r>
      <w:r>
        <w:rPr>
          <w:color w:val="231F20"/>
          <w:sz w:val="16"/>
        </w:rPr>
        <w:t>31 —</w:t>
      </w:r>
    </w:p>
    <w:p>
      <w:pPr>
        <w:spacing w:before="36"/>
        <w:ind w:left="0" w:right="0" w:firstLine="0"/>
        <w:jc w:val="right"/>
        <w:rPr>
          <w:sz w:val="16"/>
        </w:rPr>
      </w:pPr>
      <w:r>
        <w:rPr>
          <w:color w:val="231F20"/>
          <w:sz w:val="16"/>
        </w:rPr>
        <w:t>29 —</w:t>
      </w:r>
    </w:p>
    <w:p>
      <w:pPr>
        <w:spacing w:before="36"/>
        <w:ind w:left="0" w:right="0" w:firstLine="0"/>
        <w:jc w:val="right"/>
        <w:rPr>
          <w:sz w:val="16"/>
        </w:rPr>
      </w:pPr>
      <w:r>
        <w:rPr>
          <w:color w:val="231F20"/>
          <w:sz w:val="16"/>
        </w:rPr>
        <w:t>27 —</w:t>
      </w:r>
    </w:p>
    <w:p>
      <w:pPr>
        <w:spacing w:before="36"/>
        <w:ind w:left="0" w:right="0" w:firstLine="0"/>
        <w:jc w:val="right"/>
        <w:rPr>
          <w:sz w:val="16"/>
        </w:rPr>
      </w:pPr>
      <w:r>
        <w:rPr>
          <w:color w:val="231F20"/>
          <w:sz w:val="16"/>
        </w:rPr>
        <w:t>25 —</w:t>
      </w:r>
    </w:p>
    <w:p>
      <w:pPr>
        <w:spacing w:before="36"/>
        <w:ind w:left="0" w:right="0" w:firstLine="0"/>
        <w:jc w:val="right"/>
        <w:rPr>
          <w:sz w:val="16"/>
        </w:rPr>
      </w:pPr>
      <w:r>
        <w:rPr>
          <w:color w:val="231F20"/>
          <w:sz w:val="16"/>
        </w:rPr>
        <w:t>23 —</w:t>
      </w:r>
    </w:p>
    <w:p>
      <w:pPr>
        <w:spacing w:before="36"/>
        <w:ind w:left="0" w:right="0" w:firstLine="0"/>
        <w:jc w:val="right"/>
        <w:rPr>
          <w:sz w:val="16"/>
        </w:rPr>
      </w:pPr>
      <w:r>
        <w:rPr>
          <w:color w:val="231F20"/>
          <w:sz w:val="16"/>
        </w:rPr>
        <w:t>21 —</w:t>
      </w:r>
    </w:p>
    <w:p>
      <w:pPr>
        <w:spacing w:before="36"/>
        <w:ind w:left="0" w:right="0" w:firstLine="0"/>
        <w:jc w:val="right"/>
        <w:rPr>
          <w:sz w:val="16"/>
        </w:rPr>
      </w:pPr>
      <w:r>
        <w:rPr>
          <w:color w:val="231F20"/>
          <w:sz w:val="16"/>
        </w:rPr>
        <w:t>19 —</w:t>
      </w:r>
    </w:p>
    <w:p>
      <w:pPr>
        <w:spacing w:before="36"/>
        <w:ind w:left="0" w:right="0" w:firstLine="0"/>
        <w:jc w:val="right"/>
        <w:rPr>
          <w:sz w:val="16"/>
        </w:rPr>
      </w:pPr>
      <w:r>
        <w:rPr>
          <w:color w:val="231F20"/>
          <w:sz w:val="16"/>
        </w:rPr>
        <w:t>17 —</w:t>
      </w:r>
    </w:p>
    <w:p>
      <w:pPr>
        <w:spacing w:before="36"/>
        <w:ind w:left="0" w:right="0" w:firstLine="0"/>
        <w:jc w:val="right"/>
        <w:rPr>
          <w:sz w:val="16"/>
        </w:rPr>
      </w:pPr>
      <w:r>
        <w:rPr/>
        <w:pict>
          <v:shape style="position:absolute;margin-left:102.141197pt;margin-top:9.744444pt;width:184.2pt;height:28.75pt;mso-position-horizontal-relative:page;mso-position-vertical-relative:paragraph;z-index:-353512"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1950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1955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1960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1965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1970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1975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1980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1985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1995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2000</w:t>
                  </w:r>
                  <w:r>
                    <w:rPr>
                      <w:color w:val="231F20"/>
                      <w:spacing w:val="1"/>
                      <w:sz w:val="16"/>
                    </w:rPr>
                    <w:t> </w:t>
                  </w:r>
                  <w:r>
                    <w:rPr>
                      <w:color w:val="231F20"/>
                      <w:sz w:val="16"/>
                    </w:rPr>
                    <w:t>—</w:t>
                  </w:r>
                </w:p>
                <w:p>
                  <w:pPr>
                    <w:spacing w:before="84"/>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84"/>
                    <w:ind w:left="20" w:right="0" w:firstLine="0"/>
                    <w:jc w:val="left"/>
                    <w:rPr>
                      <w:sz w:val="16"/>
                    </w:rPr>
                  </w:pPr>
                  <w:r>
                    <w:rPr>
                      <w:color w:val="231F20"/>
                      <w:w w:val="104"/>
                      <w:sz w:val="16"/>
                    </w:rPr>
                    <w:t>2006</w:t>
                  </w:r>
                  <w:r>
                    <w:rPr>
                      <w:color w:val="231F20"/>
                      <w:spacing w:val="1"/>
                      <w:sz w:val="16"/>
                    </w:rPr>
                    <w:t> </w:t>
                  </w:r>
                  <w:r>
                    <w:rPr>
                      <w:color w:val="231F20"/>
                      <w:sz w:val="16"/>
                    </w:rPr>
                    <w:t>—</w:t>
                  </w:r>
                </w:p>
                <w:p>
                  <w:pPr>
                    <w:spacing w:before="84"/>
                    <w:ind w:left="20" w:right="0" w:firstLine="0"/>
                    <w:jc w:val="left"/>
                    <w:rPr>
                      <w:sz w:val="16"/>
                    </w:rPr>
                  </w:pPr>
                  <w:r>
                    <w:rPr>
                      <w:color w:val="231F20"/>
                      <w:w w:val="104"/>
                      <w:sz w:val="16"/>
                    </w:rPr>
                    <w:t>2007</w:t>
                  </w:r>
                  <w:r>
                    <w:rPr>
                      <w:color w:val="231F20"/>
                      <w:spacing w:val="1"/>
                      <w:sz w:val="16"/>
                    </w:rPr>
                    <w:t> </w:t>
                  </w:r>
                  <w:r>
                    <w:rPr>
                      <w:color w:val="231F20"/>
                      <w:sz w:val="16"/>
                    </w:rPr>
                    <w:t>—</w:t>
                  </w:r>
                </w:p>
              </w:txbxContent>
            </v:textbox>
            <w10:wrap type="none"/>
          </v:shape>
        </w:pict>
      </w:r>
      <w:r>
        <w:rPr>
          <w:color w:val="231F20"/>
          <w:sz w:val="16"/>
        </w:rPr>
        <w:t>15 —</w:t>
      </w:r>
    </w:p>
    <w:p>
      <w:pPr>
        <w:spacing w:before="74"/>
        <w:ind w:left="657" w:right="0" w:firstLine="0"/>
        <w:jc w:val="left"/>
        <w:rPr>
          <w:sz w:val="16"/>
        </w:rPr>
      </w:pPr>
      <w:r>
        <w:rPr/>
        <w:br w:type="column"/>
      </w:r>
      <w:r>
        <w:rPr>
          <w:color w:val="231F20"/>
          <w:w w:val="135"/>
          <w:sz w:val="16"/>
        </w:rPr>
        <w:t>ganancias brutas </w:t>
      </w:r>
      <w:r>
        <w:rPr>
          <w:color w:val="231F20"/>
          <w:w w:val="180"/>
          <w:sz w:val="16"/>
        </w:rPr>
        <w:t>/</w:t>
      </w:r>
      <w:r>
        <w:rPr>
          <w:color w:val="231F20"/>
          <w:spacing w:val="-50"/>
          <w:w w:val="180"/>
          <w:sz w:val="16"/>
        </w:rPr>
        <w:t> </w:t>
      </w:r>
      <w:r>
        <w:rPr>
          <w:color w:val="231F20"/>
          <w:w w:val="135"/>
          <w:sz w:val="16"/>
        </w:rPr>
        <w:t>valor bruto</w:t>
      </w:r>
    </w:p>
    <w:p>
      <w:pPr>
        <w:spacing w:after="0"/>
        <w:jc w:val="left"/>
        <w:rPr>
          <w:sz w:val="16"/>
        </w:rPr>
        <w:sectPr>
          <w:type w:val="continuous"/>
          <w:pgSz w:w="7640" w:h="11900"/>
          <w:pgMar w:top="980" w:bottom="280" w:left="660" w:right="760"/>
          <w:cols w:num="2" w:equalWidth="0">
            <w:col w:w="1420" w:space="40"/>
            <w:col w:w="4760"/>
          </w:cols>
        </w:sectPr>
      </w:pPr>
    </w:p>
    <w:p>
      <w:pPr>
        <w:pStyle w:val="BodyText"/>
      </w:pPr>
    </w:p>
    <w:p>
      <w:pPr>
        <w:pStyle w:val="BodyText"/>
      </w:pPr>
    </w:p>
    <w:p>
      <w:pPr>
        <w:pStyle w:val="BodyText"/>
        <w:spacing w:before="8"/>
        <w:rPr>
          <w:sz w:val="19"/>
        </w:rPr>
      </w:pPr>
    </w:p>
    <w:p>
      <w:pPr>
        <w:spacing w:line="276" w:lineRule="auto" w:before="67"/>
        <w:ind w:left="100" w:right="103" w:firstLine="0"/>
        <w:jc w:val="left"/>
        <w:rPr>
          <w:sz w:val="18"/>
        </w:rPr>
      </w:pPr>
      <w:r>
        <w:rPr>
          <w:rFonts w:ascii="Calibri"/>
          <w:color w:val="231F20"/>
          <w:w w:val="110"/>
          <w:sz w:val="18"/>
        </w:rPr>
        <w:t>fuente: </w:t>
      </w:r>
      <w:r>
        <w:rPr>
          <w:color w:val="231F20"/>
          <w:w w:val="110"/>
          <w:sz w:val="18"/>
        </w:rPr>
        <w:t>realizada a partir de informaciones del Departamento de Comercio de Estados Unidos.</w:t>
      </w:r>
    </w:p>
    <w:p>
      <w:pPr>
        <w:pStyle w:val="BodyText"/>
        <w:spacing w:before="2"/>
        <w:rPr>
          <w:sz w:val="21"/>
        </w:rPr>
      </w:pPr>
    </w:p>
    <w:p>
      <w:pPr>
        <w:pStyle w:val="BodyText"/>
        <w:spacing w:line="261" w:lineRule="auto" w:before="1"/>
        <w:ind w:left="100" w:right="117" w:firstLine="240"/>
        <w:jc w:val="both"/>
      </w:pPr>
      <w:r>
        <w:rPr>
          <w:color w:val="231F20"/>
          <w:w w:val="110"/>
        </w:rPr>
        <w:t>Las gráficas muestran que la participación de las remuneraciones aumenta desde 1950 hasta 1980. A partir de allí, la participación de las remuneraciones disminuye de una cifra superior a 67% a una participación de 62.5% como promedio en los últimos tres años. Lo</w:t>
      </w:r>
    </w:p>
    <w:p>
      <w:pPr>
        <w:spacing w:after="0" w:line="261" w:lineRule="auto"/>
        <w:jc w:val="both"/>
        <w:sectPr>
          <w:type w:val="continuous"/>
          <w:pgSz w:w="7640" w:h="11900"/>
          <w:pgMar w:top="98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opuesto sucede con las ganancias brutas (ganancias</w:t>
      </w:r>
      <w:r>
        <w:rPr>
          <w:color w:val="231F20"/>
          <w:spacing w:val="7"/>
          <w:w w:val="110"/>
        </w:rPr>
        <w:t> </w:t>
      </w:r>
      <w:r>
        <w:rPr>
          <w:color w:val="231F20"/>
          <w:w w:val="110"/>
        </w:rPr>
        <w:t>más</w:t>
      </w:r>
      <w:r>
        <w:rPr>
          <w:color w:val="231F20"/>
          <w:spacing w:val="24"/>
          <w:w w:val="110"/>
        </w:rPr>
        <w:t> </w:t>
      </w:r>
      <w:r>
        <w:rPr>
          <w:color w:val="231F20"/>
          <w:w w:val="110"/>
        </w:rPr>
        <w:t>deprecia-</w:t>
      </w:r>
      <w:r>
        <w:rPr>
          <w:color w:val="231F20"/>
          <w:w w:val="72"/>
        </w:rPr>
        <w:t> </w:t>
      </w:r>
      <w:r>
        <w:rPr>
          <w:color w:val="231F20"/>
          <w:w w:val="110"/>
        </w:rPr>
        <w:t>ción).</w:t>
      </w:r>
      <w:r>
        <w:rPr>
          <w:color w:val="231F20"/>
          <w:spacing w:val="-9"/>
          <w:w w:val="110"/>
        </w:rPr>
        <w:t> </w:t>
      </w:r>
      <w:r>
        <w:rPr>
          <w:color w:val="231F20"/>
          <w:w w:val="110"/>
        </w:rPr>
        <w:t>Éstas,</w:t>
      </w:r>
      <w:r>
        <w:rPr>
          <w:color w:val="231F20"/>
          <w:spacing w:val="-9"/>
          <w:w w:val="110"/>
        </w:rPr>
        <w:t> </w:t>
      </w:r>
      <w:r>
        <w:rPr>
          <w:color w:val="231F20"/>
          <w:w w:val="110"/>
        </w:rPr>
        <w:t>disminuyen</w:t>
      </w:r>
      <w:r>
        <w:rPr>
          <w:color w:val="231F20"/>
          <w:spacing w:val="-9"/>
          <w:w w:val="110"/>
        </w:rPr>
        <w:t> </w:t>
      </w:r>
      <w:r>
        <w:rPr>
          <w:color w:val="231F20"/>
          <w:w w:val="110"/>
        </w:rPr>
        <w:t>hasta</w:t>
      </w:r>
      <w:r>
        <w:rPr>
          <w:color w:val="231F20"/>
          <w:spacing w:val="-9"/>
          <w:w w:val="110"/>
        </w:rPr>
        <w:t> </w:t>
      </w:r>
      <w:r>
        <w:rPr>
          <w:color w:val="231F20"/>
          <w:w w:val="110"/>
        </w:rPr>
        <w:t>1985</w:t>
      </w:r>
      <w:r>
        <w:rPr>
          <w:color w:val="231F20"/>
          <w:spacing w:val="-9"/>
          <w:w w:val="110"/>
        </w:rPr>
        <w:t> </w:t>
      </w:r>
      <w:r>
        <w:rPr>
          <w:color w:val="231F20"/>
          <w:w w:val="110"/>
        </w:rPr>
        <w:t>para</w:t>
      </w:r>
      <w:r>
        <w:rPr>
          <w:color w:val="231F20"/>
          <w:spacing w:val="-9"/>
          <w:w w:val="110"/>
        </w:rPr>
        <w:t> </w:t>
      </w:r>
      <w:r>
        <w:rPr>
          <w:color w:val="231F20"/>
          <w:w w:val="110"/>
        </w:rPr>
        <w:t>luego</w:t>
      </w:r>
      <w:r>
        <w:rPr>
          <w:color w:val="231F20"/>
          <w:spacing w:val="-9"/>
          <w:w w:val="110"/>
        </w:rPr>
        <w:t> </w:t>
      </w:r>
      <w:r>
        <w:rPr>
          <w:color w:val="231F20"/>
          <w:w w:val="110"/>
        </w:rPr>
        <w:t>aumentar,</w:t>
      </w:r>
      <w:r>
        <w:rPr>
          <w:color w:val="231F20"/>
          <w:spacing w:val="-9"/>
          <w:w w:val="110"/>
        </w:rPr>
        <w:t> </w:t>
      </w:r>
      <w:r>
        <w:rPr>
          <w:color w:val="231F20"/>
          <w:w w:val="110"/>
        </w:rPr>
        <w:t>recuperan- do los niveles de los años cincuenta y</w:t>
      </w:r>
      <w:r>
        <w:rPr>
          <w:color w:val="231F20"/>
          <w:spacing w:val="-3"/>
          <w:w w:val="110"/>
        </w:rPr>
        <w:t> </w:t>
      </w:r>
      <w:r>
        <w:rPr>
          <w:color w:val="231F20"/>
          <w:w w:val="110"/>
        </w:rPr>
        <w:t>sesenta.</w:t>
      </w:r>
    </w:p>
    <w:p>
      <w:pPr>
        <w:pStyle w:val="BodyText"/>
      </w:pPr>
    </w:p>
    <w:p>
      <w:pPr>
        <w:pStyle w:val="BodyText"/>
      </w:pPr>
    </w:p>
    <w:p>
      <w:pPr>
        <w:pStyle w:val="BodyText"/>
        <w:spacing w:before="2"/>
        <w:rPr>
          <w:sz w:val="25"/>
        </w:rPr>
      </w:pPr>
    </w:p>
    <w:p>
      <w:pPr>
        <w:pStyle w:val="BodyText"/>
        <w:ind w:left="100"/>
        <w:jc w:val="both"/>
      </w:pPr>
      <w:r>
        <w:rPr>
          <w:color w:val="231F20"/>
          <w:w w:val="125"/>
        </w:rPr>
        <w:t>la disminución de la participación salarial en europa</w:t>
      </w:r>
    </w:p>
    <w:p>
      <w:pPr>
        <w:pStyle w:val="BodyText"/>
        <w:spacing w:before="5"/>
        <w:rPr>
          <w:sz w:val="23"/>
        </w:rPr>
      </w:pPr>
    </w:p>
    <w:p>
      <w:pPr>
        <w:pStyle w:val="BodyText"/>
        <w:spacing w:line="261" w:lineRule="auto"/>
        <w:ind w:left="100" w:right="117"/>
        <w:jc w:val="both"/>
      </w:pPr>
      <w:r>
        <w:rPr>
          <w:color w:val="231F20"/>
          <w:w w:val="110"/>
        </w:rPr>
        <w:t>La</w:t>
      </w:r>
      <w:r>
        <w:rPr>
          <w:color w:val="231F20"/>
          <w:spacing w:val="-14"/>
          <w:w w:val="110"/>
        </w:rPr>
        <w:t> </w:t>
      </w:r>
      <w:r>
        <w:rPr>
          <w:color w:val="231F20"/>
          <w:w w:val="110"/>
        </w:rPr>
        <w:t>información</w:t>
      </w:r>
      <w:r>
        <w:rPr>
          <w:color w:val="231F20"/>
          <w:spacing w:val="-14"/>
          <w:w w:val="110"/>
        </w:rPr>
        <w:t> </w:t>
      </w:r>
      <w:r>
        <w:rPr>
          <w:color w:val="231F20"/>
          <w:w w:val="110"/>
        </w:rPr>
        <w:t>que</w:t>
      </w:r>
      <w:r>
        <w:rPr>
          <w:color w:val="231F20"/>
          <w:spacing w:val="-14"/>
          <w:w w:val="110"/>
        </w:rPr>
        <w:t> </w:t>
      </w:r>
      <w:r>
        <w:rPr>
          <w:color w:val="231F20"/>
          <w:w w:val="110"/>
        </w:rPr>
        <w:t>presentamos</w:t>
      </w:r>
      <w:r>
        <w:rPr>
          <w:color w:val="231F20"/>
          <w:spacing w:val="-14"/>
          <w:w w:val="110"/>
        </w:rPr>
        <w:t> </w:t>
      </w:r>
      <w:r>
        <w:rPr>
          <w:color w:val="231F20"/>
          <w:w w:val="110"/>
        </w:rPr>
        <w:t>a</w:t>
      </w:r>
      <w:r>
        <w:rPr>
          <w:color w:val="231F20"/>
          <w:spacing w:val="-14"/>
          <w:w w:val="110"/>
        </w:rPr>
        <w:t> </w:t>
      </w:r>
      <w:r>
        <w:rPr>
          <w:color w:val="231F20"/>
          <w:w w:val="110"/>
        </w:rPr>
        <w:t>continuación</w:t>
      </w:r>
      <w:r>
        <w:rPr>
          <w:color w:val="231F20"/>
          <w:spacing w:val="-14"/>
          <w:w w:val="110"/>
        </w:rPr>
        <w:t> </w:t>
      </w:r>
      <w:r>
        <w:rPr>
          <w:color w:val="231F20"/>
          <w:w w:val="110"/>
        </w:rPr>
        <w:t>actualiza</w:t>
      </w:r>
      <w:r>
        <w:rPr>
          <w:color w:val="231F20"/>
          <w:spacing w:val="-14"/>
          <w:w w:val="110"/>
        </w:rPr>
        <w:t> </w:t>
      </w:r>
      <w:r>
        <w:rPr>
          <w:color w:val="231F20"/>
          <w:w w:val="110"/>
        </w:rPr>
        <w:t>la</w:t>
      </w:r>
      <w:r>
        <w:rPr>
          <w:color w:val="231F20"/>
          <w:spacing w:val="-14"/>
          <w:w w:val="110"/>
        </w:rPr>
        <w:t> </w:t>
      </w:r>
      <w:r>
        <w:rPr>
          <w:color w:val="231F20"/>
          <w:w w:val="110"/>
        </w:rPr>
        <w:t>informa- ción que para Europa habíamos analizado en el documento “Crisis de la economía mundial. Aumento de las ganancias y disminución de los salarios” (Caputo, 2010) y que abarcaba hasta el año</w:t>
      </w:r>
      <w:r>
        <w:rPr>
          <w:color w:val="231F20"/>
          <w:spacing w:val="18"/>
          <w:w w:val="110"/>
        </w:rPr>
        <w:t> </w:t>
      </w:r>
      <w:r>
        <w:rPr>
          <w:color w:val="231F20"/>
          <w:w w:val="110"/>
        </w:rPr>
        <w:t>2000.</w:t>
      </w:r>
    </w:p>
    <w:p>
      <w:pPr>
        <w:pStyle w:val="BodyText"/>
      </w:pPr>
    </w:p>
    <w:p>
      <w:pPr>
        <w:pStyle w:val="BodyText"/>
        <w:spacing w:before="3"/>
        <w:rPr>
          <w:sz w:val="15"/>
        </w:rPr>
      </w:pPr>
    </w:p>
    <w:tbl>
      <w:tblPr>
        <w:tblW w:w="0" w:type="auto"/>
        <w:jc w:val="left"/>
        <w:tblInd w:w="1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3"/>
        <w:gridCol w:w="703"/>
        <w:gridCol w:w="730"/>
        <w:gridCol w:w="708"/>
        <w:gridCol w:w="996"/>
      </w:tblGrid>
      <w:tr>
        <w:trPr>
          <w:trHeight w:val="374" w:hRule="exact"/>
        </w:trPr>
        <w:tc>
          <w:tcPr>
            <w:tcW w:w="843" w:type="dxa"/>
            <w:tcBorders>
              <w:top w:val="single" w:sz="4" w:space="0" w:color="231F20"/>
            </w:tcBorders>
          </w:tcPr>
          <w:p>
            <w:pPr>
              <w:pStyle w:val="TableParagraph"/>
              <w:spacing w:before="9"/>
              <w:rPr>
                <w:sz w:val="15"/>
              </w:rPr>
            </w:pPr>
          </w:p>
          <w:p>
            <w:pPr>
              <w:pStyle w:val="TableParagraph"/>
              <w:ind w:left="179"/>
              <w:rPr>
                <w:sz w:val="16"/>
              </w:rPr>
            </w:pPr>
            <w:r>
              <w:rPr>
                <w:color w:val="231F20"/>
                <w:w w:val="115"/>
                <w:sz w:val="16"/>
              </w:rPr>
              <w:t>países</w:t>
            </w:r>
          </w:p>
        </w:tc>
        <w:tc>
          <w:tcPr>
            <w:tcW w:w="703" w:type="dxa"/>
            <w:tcBorders>
              <w:top w:val="single" w:sz="4" w:space="0" w:color="231F20"/>
            </w:tcBorders>
          </w:tcPr>
          <w:p>
            <w:pPr>
              <w:pStyle w:val="TableParagraph"/>
              <w:spacing w:before="9"/>
              <w:rPr>
                <w:sz w:val="15"/>
              </w:rPr>
            </w:pPr>
          </w:p>
          <w:p>
            <w:pPr>
              <w:pStyle w:val="TableParagraph"/>
              <w:ind w:left="149"/>
              <w:rPr>
                <w:sz w:val="16"/>
              </w:rPr>
            </w:pPr>
            <w:r>
              <w:rPr>
                <w:color w:val="231F20"/>
                <w:w w:val="110"/>
                <w:sz w:val="16"/>
              </w:rPr>
              <w:t>1970</w:t>
            </w:r>
          </w:p>
        </w:tc>
        <w:tc>
          <w:tcPr>
            <w:tcW w:w="730" w:type="dxa"/>
            <w:tcBorders>
              <w:top w:val="single" w:sz="4" w:space="0" w:color="231F20"/>
            </w:tcBorders>
          </w:tcPr>
          <w:p>
            <w:pPr>
              <w:pStyle w:val="TableParagraph"/>
              <w:spacing w:before="9"/>
              <w:rPr>
                <w:sz w:val="15"/>
              </w:rPr>
            </w:pPr>
          </w:p>
          <w:p>
            <w:pPr>
              <w:pStyle w:val="TableParagraph"/>
              <w:ind w:left="186"/>
              <w:rPr>
                <w:sz w:val="16"/>
              </w:rPr>
            </w:pPr>
            <w:r>
              <w:rPr>
                <w:color w:val="231F20"/>
                <w:w w:val="110"/>
                <w:sz w:val="16"/>
              </w:rPr>
              <w:t>1980</w:t>
            </w:r>
          </w:p>
        </w:tc>
        <w:tc>
          <w:tcPr>
            <w:tcW w:w="708" w:type="dxa"/>
            <w:tcBorders>
              <w:top w:val="single" w:sz="4" w:space="0" w:color="231F20"/>
            </w:tcBorders>
          </w:tcPr>
          <w:p>
            <w:pPr>
              <w:pStyle w:val="TableParagraph"/>
              <w:spacing w:before="9"/>
              <w:rPr>
                <w:sz w:val="15"/>
              </w:rPr>
            </w:pPr>
          </w:p>
          <w:p>
            <w:pPr>
              <w:pStyle w:val="TableParagraph"/>
              <w:ind w:left="163" w:right="123"/>
              <w:jc w:val="center"/>
              <w:rPr>
                <w:sz w:val="16"/>
              </w:rPr>
            </w:pPr>
            <w:r>
              <w:rPr>
                <w:color w:val="231F20"/>
                <w:w w:val="110"/>
                <w:sz w:val="16"/>
              </w:rPr>
              <w:t>2006</w:t>
            </w:r>
          </w:p>
        </w:tc>
        <w:tc>
          <w:tcPr>
            <w:tcW w:w="996" w:type="dxa"/>
            <w:tcBorders>
              <w:top w:val="single" w:sz="4" w:space="0" w:color="231F20"/>
            </w:tcBorders>
          </w:tcPr>
          <w:p>
            <w:pPr>
              <w:pStyle w:val="TableParagraph"/>
              <w:spacing w:line="180" w:lineRule="exact" w:before="7"/>
              <w:ind w:left="145" w:right="95" w:firstLine="51"/>
              <w:rPr>
                <w:sz w:val="16"/>
              </w:rPr>
            </w:pPr>
            <w:r>
              <w:rPr>
                <w:color w:val="231F20"/>
                <w:w w:val="115"/>
                <w:sz w:val="16"/>
              </w:rPr>
              <w:t>disminu- ción en %</w:t>
            </w:r>
          </w:p>
        </w:tc>
      </w:tr>
      <w:tr>
        <w:trPr>
          <w:trHeight w:val="198" w:hRule="exact"/>
        </w:trPr>
        <w:tc>
          <w:tcPr>
            <w:tcW w:w="3980" w:type="dxa"/>
            <w:gridSpan w:val="5"/>
          </w:tcPr>
          <w:p>
            <w:pPr>
              <w:pStyle w:val="TableParagraph"/>
              <w:tabs>
                <w:tab w:pos="3117" w:val="left" w:leader="none"/>
              </w:tabs>
              <w:spacing w:line="178" w:lineRule="exact"/>
              <w:rPr>
                <w:sz w:val="16"/>
              </w:rPr>
            </w:pPr>
            <w:r>
              <w:rPr>
                <w:color w:val="231F20"/>
                <w:w w:val="104"/>
                <w:sz w:val="16"/>
                <w:u w:val="single" w:color="231F20"/>
              </w:rPr>
              <w:t> </w:t>
            </w:r>
            <w:r>
              <w:rPr>
                <w:color w:val="231F20"/>
                <w:sz w:val="16"/>
                <w:u w:val="single" w:color="231F20"/>
              </w:rPr>
              <w:tab/>
            </w:r>
            <w:r>
              <w:rPr>
                <w:color w:val="231F20"/>
                <w:w w:val="110"/>
                <w:sz w:val="16"/>
                <w:u w:val="single" w:color="231F20"/>
              </w:rPr>
              <w:t>1980-2006</w:t>
            </w:r>
            <w:r>
              <w:rPr>
                <w:color w:val="231F20"/>
                <w:spacing w:val="17"/>
                <w:sz w:val="16"/>
                <w:u w:val="single" w:color="231F20"/>
              </w:rPr>
              <w:t> </w:t>
            </w:r>
          </w:p>
        </w:tc>
      </w:tr>
      <w:tr>
        <w:trPr>
          <w:trHeight w:val="196" w:hRule="exact"/>
        </w:trPr>
        <w:tc>
          <w:tcPr>
            <w:tcW w:w="843" w:type="dxa"/>
          </w:tcPr>
          <w:p>
            <w:pPr>
              <w:pStyle w:val="TableParagraph"/>
              <w:spacing w:line="158" w:lineRule="exact"/>
              <w:ind w:left="40"/>
              <w:rPr>
                <w:sz w:val="16"/>
              </w:rPr>
            </w:pPr>
            <w:r>
              <w:rPr>
                <w:color w:val="231F20"/>
                <w:w w:val="105"/>
                <w:sz w:val="16"/>
              </w:rPr>
              <w:t>Alemania</w:t>
            </w:r>
          </w:p>
        </w:tc>
        <w:tc>
          <w:tcPr>
            <w:tcW w:w="703" w:type="dxa"/>
          </w:tcPr>
          <w:p>
            <w:pPr>
              <w:pStyle w:val="TableParagraph"/>
              <w:spacing w:line="158" w:lineRule="exact"/>
              <w:ind w:left="140"/>
              <w:rPr>
                <w:sz w:val="16"/>
              </w:rPr>
            </w:pPr>
            <w:r>
              <w:rPr>
                <w:color w:val="231F20"/>
                <w:w w:val="105"/>
                <w:sz w:val="16"/>
              </w:rPr>
              <w:t>91.41</w:t>
            </w:r>
          </w:p>
        </w:tc>
        <w:tc>
          <w:tcPr>
            <w:tcW w:w="730" w:type="dxa"/>
          </w:tcPr>
          <w:p>
            <w:pPr>
              <w:pStyle w:val="TableParagraph"/>
              <w:spacing w:line="158" w:lineRule="exact"/>
              <w:ind w:left="239"/>
              <w:rPr>
                <w:sz w:val="16"/>
              </w:rPr>
            </w:pPr>
            <w:r>
              <w:rPr>
                <w:color w:val="231F20"/>
                <w:w w:val="105"/>
                <w:sz w:val="16"/>
              </w:rPr>
              <w:t>100</w:t>
            </w:r>
          </w:p>
        </w:tc>
        <w:tc>
          <w:tcPr>
            <w:tcW w:w="708" w:type="dxa"/>
          </w:tcPr>
          <w:p>
            <w:pPr>
              <w:pStyle w:val="TableParagraph"/>
              <w:spacing w:line="158" w:lineRule="exact"/>
              <w:ind w:left="164" w:right="123"/>
              <w:jc w:val="center"/>
              <w:rPr>
                <w:sz w:val="16"/>
              </w:rPr>
            </w:pPr>
            <w:r>
              <w:rPr>
                <w:color w:val="231F20"/>
                <w:w w:val="105"/>
                <w:sz w:val="16"/>
              </w:rPr>
              <w:t>85.79</w:t>
            </w:r>
          </w:p>
        </w:tc>
        <w:tc>
          <w:tcPr>
            <w:tcW w:w="996" w:type="dxa"/>
          </w:tcPr>
          <w:p>
            <w:pPr>
              <w:pStyle w:val="TableParagraph"/>
              <w:spacing w:line="158" w:lineRule="exact"/>
              <w:ind w:right="237"/>
              <w:jc w:val="right"/>
              <w:rPr>
                <w:sz w:val="16"/>
              </w:rPr>
            </w:pPr>
            <w:r>
              <w:rPr>
                <w:color w:val="231F20"/>
                <w:sz w:val="16"/>
              </w:rPr>
              <w:t>–14.21</w:t>
            </w:r>
          </w:p>
        </w:tc>
      </w:tr>
      <w:tr>
        <w:trPr>
          <w:trHeight w:val="196" w:hRule="exact"/>
        </w:trPr>
        <w:tc>
          <w:tcPr>
            <w:tcW w:w="843" w:type="dxa"/>
          </w:tcPr>
          <w:p>
            <w:pPr>
              <w:pStyle w:val="TableParagraph"/>
              <w:spacing w:line="176" w:lineRule="exact"/>
              <w:ind w:left="40"/>
              <w:rPr>
                <w:sz w:val="16"/>
              </w:rPr>
            </w:pPr>
            <w:r>
              <w:rPr>
                <w:color w:val="231F20"/>
                <w:w w:val="105"/>
                <w:sz w:val="16"/>
              </w:rPr>
              <w:t>Austria</w:t>
            </w:r>
          </w:p>
        </w:tc>
        <w:tc>
          <w:tcPr>
            <w:tcW w:w="703" w:type="dxa"/>
          </w:tcPr>
          <w:p>
            <w:pPr>
              <w:pStyle w:val="TableParagraph"/>
              <w:spacing w:line="176" w:lineRule="exact"/>
              <w:ind w:left="140"/>
              <w:rPr>
                <w:sz w:val="16"/>
              </w:rPr>
            </w:pPr>
            <w:r>
              <w:rPr>
                <w:color w:val="231F20"/>
                <w:w w:val="105"/>
                <w:sz w:val="16"/>
              </w:rPr>
              <w:t>98.62</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4" w:right="123"/>
              <w:jc w:val="center"/>
              <w:rPr>
                <w:sz w:val="16"/>
              </w:rPr>
            </w:pPr>
            <w:r>
              <w:rPr>
                <w:color w:val="231F20"/>
                <w:w w:val="105"/>
                <w:sz w:val="16"/>
              </w:rPr>
              <w:t>86.62</w:t>
            </w:r>
          </w:p>
        </w:tc>
        <w:tc>
          <w:tcPr>
            <w:tcW w:w="996" w:type="dxa"/>
          </w:tcPr>
          <w:p>
            <w:pPr>
              <w:pStyle w:val="TableParagraph"/>
              <w:spacing w:line="176" w:lineRule="exact"/>
              <w:ind w:right="237"/>
              <w:jc w:val="right"/>
              <w:rPr>
                <w:sz w:val="16"/>
              </w:rPr>
            </w:pPr>
            <w:r>
              <w:rPr>
                <w:color w:val="231F20"/>
                <w:sz w:val="16"/>
              </w:rPr>
              <w:t>–13.38</w:t>
            </w:r>
          </w:p>
        </w:tc>
      </w:tr>
      <w:tr>
        <w:trPr>
          <w:trHeight w:val="196" w:hRule="exact"/>
        </w:trPr>
        <w:tc>
          <w:tcPr>
            <w:tcW w:w="843" w:type="dxa"/>
          </w:tcPr>
          <w:p>
            <w:pPr>
              <w:pStyle w:val="TableParagraph"/>
              <w:spacing w:line="176" w:lineRule="exact"/>
              <w:ind w:left="40"/>
              <w:rPr>
                <w:sz w:val="16"/>
              </w:rPr>
            </w:pPr>
            <w:r>
              <w:rPr>
                <w:color w:val="231F20"/>
                <w:w w:val="105"/>
                <w:sz w:val="16"/>
              </w:rPr>
              <w:t>Bélgica</w:t>
            </w:r>
          </w:p>
        </w:tc>
        <w:tc>
          <w:tcPr>
            <w:tcW w:w="703" w:type="dxa"/>
          </w:tcPr>
          <w:p>
            <w:pPr>
              <w:pStyle w:val="TableParagraph"/>
              <w:spacing w:line="176" w:lineRule="exact"/>
              <w:ind w:left="140"/>
              <w:rPr>
                <w:sz w:val="16"/>
              </w:rPr>
            </w:pPr>
            <w:r>
              <w:rPr>
                <w:color w:val="231F20"/>
                <w:w w:val="105"/>
                <w:sz w:val="16"/>
              </w:rPr>
              <w:t>83.69</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4" w:right="123"/>
              <w:jc w:val="center"/>
              <w:rPr>
                <w:sz w:val="16"/>
              </w:rPr>
            </w:pPr>
            <w:r>
              <w:rPr>
                <w:color w:val="231F20"/>
                <w:w w:val="105"/>
                <w:sz w:val="16"/>
              </w:rPr>
              <w:t>92.44</w:t>
            </w:r>
          </w:p>
        </w:tc>
        <w:tc>
          <w:tcPr>
            <w:tcW w:w="996" w:type="dxa"/>
          </w:tcPr>
          <w:p>
            <w:pPr>
              <w:pStyle w:val="TableParagraph"/>
              <w:spacing w:line="176" w:lineRule="exact"/>
              <w:ind w:right="237"/>
              <w:jc w:val="right"/>
              <w:rPr>
                <w:sz w:val="16"/>
              </w:rPr>
            </w:pPr>
            <w:r>
              <w:rPr>
                <w:color w:val="231F20"/>
                <w:sz w:val="16"/>
              </w:rPr>
              <w:t>–7.56</w:t>
            </w:r>
          </w:p>
        </w:tc>
      </w:tr>
      <w:tr>
        <w:trPr>
          <w:trHeight w:val="196" w:hRule="exact"/>
        </w:trPr>
        <w:tc>
          <w:tcPr>
            <w:tcW w:w="843" w:type="dxa"/>
          </w:tcPr>
          <w:p>
            <w:pPr>
              <w:pStyle w:val="TableParagraph"/>
              <w:spacing w:line="176" w:lineRule="exact"/>
              <w:ind w:left="40"/>
              <w:rPr>
                <w:sz w:val="16"/>
              </w:rPr>
            </w:pPr>
            <w:r>
              <w:rPr>
                <w:color w:val="231F20"/>
                <w:w w:val="110"/>
                <w:sz w:val="16"/>
              </w:rPr>
              <w:t>España</w:t>
            </w:r>
          </w:p>
        </w:tc>
        <w:tc>
          <w:tcPr>
            <w:tcW w:w="703" w:type="dxa"/>
          </w:tcPr>
          <w:p>
            <w:pPr>
              <w:pStyle w:val="TableParagraph"/>
              <w:spacing w:line="176" w:lineRule="exact"/>
              <w:ind w:left="140"/>
              <w:rPr>
                <w:sz w:val="16"/>
              </w:rPr>
            </w:pPr>
            <w:r>
              <w:rPr>
                <w:color w:val="231F20"/>
                <w:w w:val="105"/>
                <w:sz w:val="16"/>
              </w:rPr>
              <w:t>96.41</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5" w:right="123"/>
              <w:jc w:val="center"/>
              <w:rPr>
                <w:sz w:val="16"/>
              </w:rPr>
            </w:pPr>
            <w:r>
              <w:rPr>
                <w:color w:val="231F20"/>
                <w:w w:val="105"/>
                <w:sz w:val="16"/>
              </w:rPr>
              <w:t>97.15</w:t>
            </w:r>
          </w:p>
        </w:tc>
        <w:tc>
          <w:tcPr>
            <w:tcW w:w="996" w:type="dxa"/>
          </w:tcPr>
          <w:p>
            <w:pPr>
              <w:pStyle w:val="TableParagraph"/>
              <w:spacing w:line="176" w:lineRule="exact"/>
              <w:ind w:right="237"/>
              <w:jc w:val="right"/>
              <w:rPr>
                <w:sz w:val="16"/>
              </w:rPr>
            </w:pPr>
            <w:r>
              <w:rPr>
                <w:color w:val="231F20"/>
                <w:sz w:val="16"/>
              </w:rPr>
              <w:t>–2.85</w:t>
            </w:r>
          </w:p>
        </w:tc>
      </w:tr>
      <w:tr>
        <w:trPr>
          <w:trHeight w:val="196" w:hRule="exact"/>
        </w:trPr>
        <w:tc>
          <w:tcPr>
            <w:tcW w:w="843" w:type="dxa"/>
          </w:tcPr>
          <w:p>
            <w:pPr>
              <w:pStyle w:val="TableParagraph"/>
              <w:spacing w:line="176" w:lineRule="exact"/>
              <w:ind w:left="40"/>
              <w:rPr>
                <w:sz w:val="16"/>
              </w:rPr>
            </w:pPr>
            <w:r>
              <w:rPr>
                <w:color w:val="231F20"/>
                <w:w w:val="110"/>
                <w:sz w:val="16"/>
              </w:rPr>
              <w:t>Finlandia</w:t>
            </w:r>
          </w:p>
        </w:tc>
        <w:tc>
          <w:tcPr>
            <w:tcW w:w="703" w:type="dxa"/>
          </w:tcPr>
          <w:p>
            <w:pPr>
              <w:pStyle w:val="TableParagraph"/>
              <w:spacing w:line="176" w:lineRule="exact"/>
              <w:ind w:left="140"/>
              <w:rPr>
                <w:sz w:val="16"/>
              </w:rPr>
            </w:pPr>
            <w:r>
              <w:rPr>
                <w:color w:val="231F20"/>
                <w:w w:val="105"/>
                <w:sz w:val="16"/>
              </w:rPr>
              <w:t>96.31</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5" w:right="123"/>
              <w:jc w:val="center"/>
              <w:rPr>
                <w:sz w:val="16"/>
              </w:rPr>
            </w:pPr>
            <w:r>
              <w:rPr>
                <w:color w:val="231F20"/>
                <w:w w:val="105"/>
                <w:sz w:val="16"/>
              </w:rPr>
              <w:t>92.21</w:t>
            </w:r>
          </w:p>
        </w:tc>
        <w:tc>
          <w:tcPr>
            <w:tcW w:w="996" w:type="dxa"/>
          </w:tcPr>
          <w:p>
            <w:pPr>
              <w:pStyle w:val="TableParagraph"/>
              <w:spacing w:line="176" w:lineRule="exact"/>
              <w:ind w:right="237"/>
              <w:jc w:val="right"/>
              <w:rPr>
                <w:sz w:val="16"/>
              </w:rPr>
            </w:pPr>
            <w:r>
              <w:rPr>
                <w:color w:val="231F20"/>
                <w:sz w:val="16"/>
              </w:rPr>
              <w:t>–7.79</w:t>
            </w:r>
          </w:p>
        </w:tc>
      </w:tr>
      <w:tr>
        <w:trPr>
          <w:trHeight w:val="196" w:hRule="exact"/>
        </w:trPr>
        <w:tc>
          <w:tcPr>
            <w:tcW w:w="843" w:type="dxa"/>
          </w:tcPr>
          <w:p>
            <w:pPr>
              <w:pStyle w:val="TableParagraph"/>
              <w:spacing w:line="176" w:lineRule="exact"/>
              <w:ind w:left="40"/>
              <w:rPr>
                <w:sz w:val="16"/>
              </w:rPr>
            </w:pPr>
            <w:r>
              <w:rPr>
                <w:color w:val="231F20"/>
                <w:w w:val="110"/>
                <w:sz w:val="16"/>
              </w:rPr>
              <w:t>Francia</w:t>
            </w:r>
          </w:p>
        </w:tc>
        <w:tc>
          <w:tcPr>
            <w:tcW w:w="703" w:type="dxa"/>
          </w:tcPr>
          <w:p>
            <w:pPr>
              <w:pStyle w:val="TableParagraph"/>
              <w:spacing w:line="176" w:lineRule="exact"/>
              <w:ind w:left="141"/>
              <w:rPr>
                <w:sz w:val="16"/>
              </w:rPr>
            </w:pPr>
            <w:r>
              <w:rPr>
                <w:color w:val="231F20"/>
                <w:w w:val="105"/>
                <w:sz w:val="16"/>
              </w:rPr>
              <w:t>94.33</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5" w:right="123"/>
              <w:jc w:val="center"/>
              <w:rPr>
                <w:sz w:val="16"/>
              </w:rPr>
            </w:pPr>
            <w:r>
              <w:rPr>
                <w:color w:val="231F20"/>
                <w:w w:val="105"/>
                <w:sz w:val="16"/>
              </w:rPr>
              <w:t>92.56</w:t>
            </w:r>
          </w:p>
        </w:tc>
        <w:tc>
          <w:tcPr>
            <w:tcW w:w="996" w:type="dxa"/>
          </w:tcPr>
          <w:p>
            <w:pPr>
              <w:pStyle w:val="TableParagraph"/>
              <w:spacing w:line="176" w:lineRule="exact"/>
              <w:ind w:right="236"/>
              <w:jc w:val="right"/>
              <w:rPr>
                <w:sz w:val="16"/>
              </w:rPr>
            </w:pPr>
            <w:r>
              <w:rPr>
                <w:color w:val="231F20"/>
                <w:sz w:val="16"/>
              </w:rPr>
              <w:t>–7.44</w:t>
            </w:r>
          </w:p>
        </w:tc>
      </w:tr>
      <w:tr>
        <w:trPr>
          <w:trHeight w:val="196" w:hRule="exact"/>
        </w:trPr>
        <w:tc>
          <w:tcPr>
            <w:tcW w:w="843" w:type="dxa"/>
          </w:tcPr>
          <w:p>
            <w:pPr>
              <w:pStyle w:val="TableParagraph"/>
              <w:spacing w:line="176" w:lineRule="exact"/>
              <w:ind w:left="41"/>
              <w:rPr>
                <w:sz w:val="16"/>
              </w:rPr>
            </w:pPr>
            <w:r>
              <w:rPr>
                <w:color w:val="231F20"/>
                <w:w w:val="110"/>
                <w:sz w:val="16"/>
              </w:rPr>
              <w:t>Holanda</w:t>
            </w:r>
          </w:p>
        </w:tc>
        <w:tc>
          <w:tcPr>
            <w:tcW w:w="703" w:type="dxa"/>
          </w:tcPr>
          <w:p>
            <w:pPr>
              <w:pStyle w:val="TableParagraph"/>
              <w:spacing w:line="176" w:lineRule="exact"/>
              <w:ind w:left="141"/>
              <w:rPr>
                <w:sz w:val="16"/>
              </w:rPr>
            </w:pPr>
            <w:r>
              <w:rPr>
                <w:color w:val="231F20"/>
                <w:w w:val="105"/>
                <w:sz w:val="16"/>
              </w:rPr>
              <w:t>94.75</w:t>
            </w:r>
          </w:p>
        </w:tc>
        <w:tc>
          <w:tcPr>
            <w:tcW w:w="730" w:type="dxa"/>
          </w:tcPr>
          <w:p>
            <w:pPr>
              <w:pStyle w:val="TableParagraph"/>
              <w:spacing w:line="176" w:lineRule="exact"/>
              <w:ind w:left="240"/>
              <w:rPr>
                <w:sz w:val="16"/>
              </w:rPr>
            </w:pPr>
            <w:r>
              <w:rPr>
                <w:color w:val="231F20"/>
                <w:w w:val="105"/>
                <w:sz w:val="16"/>
              </w:rPr>
              <w:t>100</w:t>
            </w:r>
          </w:p>
        </w:tc>
        <w:tc>
          <w:tcPr>
            <w:tcW w:w="708" w:type="dxa"/>
          </w:tcPr>
          <w:p>
            <w:pPr>
              <w:pStyle w:val="TableParagraph"/>
              <w:spacing w:line="176" w:lineRule="exact"/>
              <w:ind w:left="165" w:right="122"/>
              <w:jc w:val="center"/>
              <w:rPr>
                <w:sz w:val="16"/>
              </w:rPr>
            </w:pPr>
            <w:r>
              <w:rPr>
                <w:color w:val="231F20"/>
                <w:w w:val="105"/>
                <w:sz w:val="16"/>
              </w:rPr>
              <w:t>88.54</w:t>
            </w:r>
          </w:p>
        </w:tc>
        <w:tc>
          <w:tcPr>
            <w:tcW w:w="996" w:type="dxa"/>
          </w:tcPr>
          <w:p>
            <w:pPr>
              <w:pStyle w:val="TableParagraph"/>
              <w:spacing w:line="176" w:lineRule="exact"/>
              <w:ind w:right="236"/>
              <w:jc w:val="right"/>
              <w:rPr>
                <w:sz w:val="16"/>
              </w:rPr>
            </w:pPr>
            <w:r>
              <w:rPr>
                <w:color w:val="231F20"/>
                <w:sz w:val="16"/>
              </w:rPr>
              <w:t>–11.46</w:t>
            </w:r>
          </w:p>
        </w:tc>
      </w:tr>
      <w:tr>
        <w:trPr>
          <w:trHeight w:val="196" w:hRule="exact"/>
        </w:trPr>
        <w:tc>
          <w:tcPr>
            <w:tcW w:w="843" w:type="dxa"/>
          </w:tcPr>
          <w:p>
            <w:pPr>
              <w:pStyle w:val="TableParagraph"/>
              <w:spacing w:line="176" w:lineRule="exact"/>
              <w:ind w:left="41"/>
              <w:rPr>
                <w:sz w:val="16"/>
              </w:rPr>
            </w:pPr>
            <w:r>
              <w:rPr>
                <w:color w:val="231F20"/>
                <w:w w:val="105"/>
                <w:sz w:val="16"/>
              </w:rPr>
              <w:t>Italia</w:t>
            </w:r>
          </w:p>
        </w:tc>
        <w:tc>
          <w:tcPr>
            <w:tcW w:w="703" w:type="dxa"/>
          </w:tcPr>
          <w:p>
            <w:pPr>
              <w:pStyle w:val="TableParagraph"/>
              <w:spacing w:line="176" w:lineRule="exact"/>
              <w:ind w:left="141"/>
              <w:rPr>
                <w:sz w:val="16"/>
              </w:rPr>
            </w:pPr>
            <w:r>
              <w:rPr>
                <w:color w:val="231F20"/>
                <w:w w:val="105"/>
                <w:sz w:val="16"/>
              </w:rPr>
              <w:t>98.74</w:t>
            </w:r>
          </w:p>
        </w:tc>
        <w:tc>
          <w:tcPr>
            <w:tcW w:w="730" w:type="dxa"/>
          </w:tcPr>
          <w:p>
            <w:pPr>
              <w:pStyle w:val="TableParagraph"/>
              <w:spacing w:line="176" w:lineRule="exact"/>
              <w:ind w:left="241"/>
              <w:rPr>
                <w:sz w:val="16"/>
              </w:rPr>
            </w:pPr>
            <w:r>
              <w:rPr>
                <w:color w:val="231F20"/>
                <w:w w:val="105"/>
                <w:sz w:val="16"/>
              </w:rPr>
              <w:t>100</w:t>
            </w:r>
          </w:p>
        </w:tc>
        <w:tc>
          <w:tcPr>
            <w:tcW w:w="708" w:type="dxa"/>
          </w:tcPr>
          <w:p>
            <w:pPr>
              <w:pStyle w:val="TableParagraph"/>
              <w:spacing w:line="176" w:lineRule="exact"/>
              <w:ind w:left="165" w:right="122"/>
              <w:jc w:val="center"/>
              <w:rPr>
                <w:sz w:val="16"/>
              </w:rPr>
            </w:pPr>
            <w:r>
              <w:rPr>
                <w:color w:val="231F20"/>
                <w:w w:val="105"/>
                <w:sz w:val="16"/>
              </w:rPr>
              <w:t>89.71</w:t>
            </w:r>
          </w:p>
        </w:tc>
        <w:tc>
          <w:tcPr>
            <w:tcW w:w="996" w:type="dxa"/>
          </w:tcPr>
          <w:p>
            <w:pPr>
              <w:pStyle w:val="TableParagraph"/>
              <w:spacing w:line="176" w:lineRule="exact"/>
              <w:ind w:right="236"/>
              <w:jc w:val="right"/>
              <w:rPr>
                <w:sz w:val="16"/>
              </w:rPr>
            </w:pPr>
            <w:r>
              <w:rPr>
                <w:color w:val="231F20"/>
                <w:sz w:val="16"/>
              </w:rPr>
              <w:t>–10.29</w:t>
            </w:r>
          </w:p>
        </w:tc>
      </w:tr>
      <w:tr>
        <w:trPr>
          <w:trHeight w:val="181" w:hRule="exact"/>
        </w:trPr>
        <w:tc>
          <w:tcPr>
            <w:tcW w:w="843" w:type="dxa"/>
            <w:tcBorders>
              <w:bottom w:val="single" w:sz="4" w:space="0" w:color="231F20"/>
            </w:tcBorders>
          </w:tcPr>
          <w:p>
            <w:pPr>
              <w:pStyle w:val="TableParagraph"/>
              <w:spacing w:line="176" w:lineRule="exact"/>
              <w:ind w:left="41"/>
              <w:rPr>
                <w:sz w:val="16"/>
              </w:rPr>
            </w:pPr>
            <w:r>
              <w:rPr>
                <w:color w:val="231F20"/>
                <w:w w:val="105"/>
                <w:sz w:val="16"/>
              </w:rPr>
              <w:t>uem</w:t>
            </w:r>
          </w:p>
        </w:tc>
        <w:tc>
          <w:tcPr>
            <w:tcW w:w="703" w:type="dxa"/>
            <w:tcBorders>
              <w:bottom w:val="single" w:sz="4" w:space="0" w:color="231F20"/>
            </w:tcBorders>
          </w:tcPr>
          <w:p>
            <w:pPr>
              <w:pStyle w:val="TableParagraph"/>
              <w:spacing w:line="176" w:lineRule="exact"/>
              <w:ind w:left="141"/>
              <w:rPr>
                <w:sz w:val="16"/>
              </w:rPr>
            </w:pPr>
            <w:r>
              <w:rPr>
                <w:color w:val="231F20"/>
                <w:w w:val="105"/>
                <w:sz w:val="16"/>
              </w:rPr>
              <w:t>94.22</w:t>
            </w:r>
          </w:p>
        </w:tc>
        <w:tc>
          <w:tcPr>
            <w:tcW w:w="730" w:type="dxa"/>
            <w:tcBorders>
              <w:bottom w:val="single" w:sz="4" w:space="0" w:color="231F20"/>
            </w:tcBorders>
          </w:tcPr>
          <w:p>
            <w:pPr>
              <w:pStyle w:val="TableParagraph"/>
              <w:spacing w:line="176" w:lineRule="exact"/>
              <w:ind w:left="241"/>
              <w:rPr>
                <w:sz w:val="16"/>
              </w:rPr>
            </w:pPr>
            <w:r>
              <w:rPr>
                <w:color w:val="231F20"/>
                <w:w w:val="105"/>
                <w:sz w:val="16"/>
              </w:rPr>
              <w:t>100</w:t>
            </w:r>
          </w:p>
        </w:tc>
        <w:tc>
          <w:tcPr>
            <w:tcW w:w="708" w:type="dxa"/>
            <w:tcBorders>
              <w:bottom w:val="single" w:sz="4" w:space="0" w:color="231F20"/>
            </w:tcBorders>
          </w:tcPr>
          <w:p>
            <w:pPr>
              <w:pStyle w:val="TableParagraph"/>
              <w:spacing w:line="176" w:lineRule="exact"/>
              <w:ind w:left="165" w:right="122"/>
              <w:jc w:val="center"/>
              <w:rPr>
                <w:sz w:val="16"/>
              </w:rPr>
            </w:pPr>
            <w:r>
              <w:rPr>
                <w:color w:val="231F20"/>
                <w:w w:val="105"/>
                <w:sz w:val="16"/>
              </w:rPr>
              <w:t>87.38</w:t>
            </w:r>
          </w:p>
        </w:tc>
        <w:tc>
          <w:tcPr>
            <w:tcW w:w="996" w:type="dxa"/>
            <w:tcBorders>
              <w:bottom w:val="single" w:sz="4" w:space="0" w:color="231F20"/>
            </w:tcBorders>
          </w:tcPr>
          <w:p>
            <w:pPr>
              <w:pStyle w:val="TableParagraph"/>
              <w:spacing w:line="176" w:lineRule="exact"/>
              <w:ind w:right="236"/>
              <w:jc w:val="right"/>
              <w:rPr>
                <w:sz w:val="16"/>
              </w:rPr>
            </w:pPr>
            <w:r>
              <w:rPr>
                <w:color w:val="231F20"/>
                <w:sz w:val="16"/>
              </w:rPr>
              <w:t>–12.62</w:t>
            </w:r>
          </w:p>
        </w:tc>
      </w:tr>
    </w:tbl>
    <w:p>
      <w:pPr>
        <w:pStyle w:val="BodyText"/>
        <w:spacing w:before="1"/>
        <w:rPr>
          <w:sz w:val="12"/>
        </w:rPr>
      </w:pPr>
    </w:p>
    <w:p>
      <w:pPr>
        <w:spacing w:after="0"/>
        <w:rPr>
          <w:sz w:val="12"/>
        </w:rPr>
        <w:sectPr>
          <w:pgSz w:w="7640" w:h="11900"/>
          <w:pgMar w:header="672" w:footer="0" w:top="860" w:bottom="280" w:left="780" w:right="640"/>
        </w:sectPr>
      </w:pPr>
    </w:p>
    <w:p>
      <w:pPr>
        <w:pStyle w:val="BodyText"/>
        <w:spacing w:before="9"/>
        <w:rPr>
          <w:sz w:val="23"/>
        </w:rPr>
      </w:pPr>
    </w:p>
    <w:p>
      <w:pPr>
        <w:spacing w:before="0"/>
        <w:ind w:left="0" w:right="0" w:firstLine="0"/>
        <w:jc w:val="right"/>
        <w:rPr>
          <w:sz w:val="16"/>
        </w:rPr>
      </w:pPr>
      <w:r>
        <w:rPr>
          <w:color w:val="231F20"/>
          <w:sz w:val="16"/>
        </w:rPr>
        <w:t>105 —</w:t>
      </w:r>
    </w:p>
    <w:p>
      <w:pPr>
        <w:pStyle w:val="BodyText"/>
        <w:spacing w:before="2"/>
        <w:rPr>
          <w:sz w:val="19"/>
        </w:rPr>
      </w:pPr>
    </w:p>
    <w:p>
      <w:pPr>
        <w:spacing w:before="0"/>
        <w:ind w:left="0" w:right="0" w:firstLine="0"/>
        <w:jc w:val="right"/>
        <w:rPr>
          <w:sz w:val="16"/>
        </w:rPr>
      </w:pPr>
      <w:r>
        <w:rPr>
          <w:color w:val="231F20"/>
          <w:sz w:val="16"/>
        </w:rPr>
        <w:t>100 —</w:t>
      </w:r>
    </w:p>
    <w:p>
      <w:pPr>
        <w:pStyle w:val="BodyText"/>
        <w:spacing w:before="2"/>
        <w:rPr>
          <w:sz w:val="19"/>
        </w:rPr>
      </w:pPr>
    </w:p>
    <w:p>
      <w:pPr>
        <w:spacing w:before="0"/>
        <w:ind w:left="0" w:right="0" w:firstLine="0"/>
        <w:jc w:val="right"/>
        <w:rPr>
          <w:sz w:val="16"/>
        </w:rPr>
      </w:pPr>
      <w:r>
        <w:rPr>
          <w:color w:val="231F20"/>
          <w:sz w:val="16"/>
        </w:rPr>
        <w:t>95 —</w:t>
      </w:r>
    </w:p>
    <w:p>
      <w:pPr>
        <w:pStyle w:val="BodyText"/>
        <w:spacing w:before="2"/>
        <w:rPr>
          <w:sz w:val="19"/>
        </w:rPr>
      </w:pPr>
    </w:p>
    <w:p>
      <w:pPr>
        <w:spacing w:before="0"/>
        <w:ind w:left="0" w:right="0" w:firstLine="0"/>
        <w:jc w:val="right"/>
        <w:rPr>
          <w:sz w:val="16"/>
        </w:rPr>
      </w:pPr>
      <w:r>
        <w:rPr>
          <w:color w:val="231F20"/>
          <w:sz w:val="16"/>
        </w:rPr>
        <w:t>90 —</w:t>
      </w:r>
    </w:p>
    <w:p>
      <w:pPr>
        <w:pStyle w:val="BodyText"/>
        <w:spacing w:before="2"/>
        <w:rPr>
          <w:sz w:val="19"/>
        </w:rPr>
      </w:pPr>
    </w:p>
    <w:p>
      <w:pPr>
        <w:spacing w:before="0"/>
        <w:ind w:left="0" w:right="0" w:firstLine="0"/>
        <w:jc w:val="right"/>
        <w:rPr>
          <w:sz w:val="16"/>
        </w:rPr>
      </w:pPr>
      <w:r>
        <w:rPr>
          <w:color w:val="231F20"/>
          <w:sz w:val="16"/>
        </w:rPr>
        <w:t>85 —</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pPr>
    </w:p>
    <w:p>
      <w:pPr>
        <w:spacing w:before="0"/>
        <w:ind w:left="123" w:right="-6" w:firstLine="0"/>
        <w:jc w:val="left"/>
        <w:rPr>
          <w:sz w:val="14"/>
        </w:rPr>
      </w:pPr>
      <w:r>
        <w:rPr>
          <w:color w:val="231F20"/>
          <w:sz w:val="14"/>
        </w:rPr>
        <w:t>94.22</w:t>
      </w:r>
    </w:p>
    <w:p>
      <w:pPr>
        <w:spacing w:before="74"/>
        <w:ind w:left="96" w:right="1848" w:firstLine="0"/>
        <w:jc w:val="center"/>
        <w:rPr>
          <w:sz w:val="16"/>
        </w:rPr>
      </w:pPr>
      <w:r>
        <w:rPr/>
        <w:br w:type="column"/>
      </w:r>
      <w:r>
        <w:rPr>
          <w:color w:val="231F20"/>
          <w:w w:val="125"/>
          <w:sz w:val="16"/>
        </w:rPr>
        <w:t>unión europea monetaria</w:t>
      </w:r>
    </w:p>
    <w:p>
      <w:pPr>
        <w:pStyle w:val="BodyText"/>
        <w:rPr>
          <w:sz w:val="16"/>
        </w:rPr>
      </w:pPr>
    </w:p>
    <w:p>
      <w:pPr>
        <w:spacing w:before="128"/>
        <w:ind w:left="292" w:right="0" w:firstLine="0"/>
        <w:jc w:val="left"/>
        <w:rPr>
          <w:sz w:val="14"/>
        </w:rPr>
      </w:pPr>
      <w:r>
        <w:rPr/>
        <w:pict>
          <v:group style="position:absolute;margin-left:124.168495pt;margin-top:-3.260045pt;width:163.450pt;height:101.9pt;mso-position-horizontal-relative:page;mso-position-vertical-relative:paragraph;z-index:-353464" coordorigin="2483,-65" coordsize="3269,2038">
            <v:line style="position:absolute" from="2488,345" to="5747,345" stroked="true" strokeweight=".5pt" strokecolor="#a7a9ac"/>
            <v:shape style="position:absolute;left:0;top:4539;width:3259;height:2" coordorigin="0,4539" coordsize="3259,0" path="m3655,750l5747,750m2488,750l3295,750e" filled="false" stroked="true" strokeweight=".5pt" strokecolor="#a7a9ac">
              <v:path arrowok="t"/>
            </v:shape>
            <v:shape style="position:absolute;left:0;top:4539;width:807;height:2" coordorigin="0,4539" coordsize="807,0" path="m3007,1561l3295,1561m2488,1561l2647,1561e" filled="false" stroked="true" strokeweight=".5pt" strokecolor="#a7a9ac">
              <v:path arrowok="t"/>
            </v:shape>
            <v:shape style="position:absolute;left:0;top:4539;width:807;height:2" coordorigin="0,4539" coordsize="807,0" path="m3007,1155l3295,1155m2488,1155l2647,1155e" filled="false" stroked="true" strokeweight=".5pt" strokecolor="#a7a9ac">
              <v:path arrowok="t"/>
            </v:shape>
            <v:line style="position:absolute" from="2488,1966" to="5747,1966" stroked="true" strokeweight=".5pt" strokecolor="#a7a9ac"/>
            <v:rect style="position:absolute;left:2647;top:814;width:360;height:1147" filled="true" fillcolor="#808285" stroked="false">
              <v:fill type="solid"/>
            </v:rect>
            <v:line style="position:absolute" from="3655,1561" to="3943,1561" stroked="true" strokeweight=".5pt" strokecolor="#a7a9ac"/>
            <v:line style="position:absolute" from="3655,1155" to="3943,1155" stroked="true" strokeweight=".5pt" strokecolor="#a7a9ac"/>
            <v:rect style="position:absolute;left:3295;top:347;width:360;height:1613" filled="true" fillcolor="#808285" stroked="false">
              <v:fill type="solid"/>
            </v:rect>
            <v:line style="position:absolute" from="4303,1561" to="4591,1561" stroked="true" strokeweight=".5pt" strokecolor="#a7a9ac"/>
            <v:line style="position:absolute" from="4303,1155" to="5747,1155" stroked="true" strokeweight=".5pt" strokecolor="#a7a9ac"/>
            <v:rect style="position:absolute;left:3943;top:982;width:360;height:978" filled="true" fillcolor="#808285" stroked="false">
              <v:fill type="solid"/>
            </v:rect>
            <v:line style="position:absolute" from="4951,1561" to="5239,1561" stroked="true" strokeweight=".5pt" strokecolor="#a7a9ac"/>
            <v:rect style="position:absolute;left:4591;top:1177;width:360;height:784" filled="true" fillcolor="#808285" stroked="false">
              <v:fill type="solid"/>
            </v:rect>
            <v:line style="position:absolute" from="5599,1561" to="5747,1561" stroked="true" strokeweight=".5pt" strokecolor="#a7a9ac"/>
            <v:rect style="position:absolute;left:5239;top:1360;width:360;height:601" filled="true" fillcolor="#808285" stroked="false">
              <v:fill type="solid"/>
            </v:rect>
            <v:line style="position:absolute" from="2488,-60" to="5747,-60" stroked="true" strokeweight=".5pt" strokecolor="#a7a9ac"/>
            <v:line style="position:absolute" from="2492,-55" to="2492,1967" stroked="true" strokeweight=".5pt" strokecolor="#231f20"/>
            <w10:wrap type="none"/>
          </v:group>
        </w:pict>
      </w:r>
      <w:r>
        <w:rPr>
          <w:color w:val="231F20"/>
          <w:w w:val="105"/>
          <w:sz w:val="14"/>
        </w:rPr>
        <w:t>100.0</w:t>
      </w:r>
    </w:p>
    <w:p>
      <w:pPr>
        <w:pStyle w:val="BodyText"/>
        <w:rPr>
          <w:sz w:val="14"/>
        </w:rPr>
      </w:pPr>
    </w:p>
    <w:p>
      <w:pPr>
        <w:pStyle w:val="BodyText"/>
        <w:rPr>
          <w:sz w:val="14"/>
        </w:rPr>
      </w:pPr>
    </w:p>
    <w:p>
      <w:pPr>
        <w:pStyle w:val="BodyText"/>
        <w:spacing w:before="9"/>
        <w:rPr>
          <w:sz w:val="13"/>
        </w:rPr>
      </w:pPr>
    </w:p>
    <w:p>
      <w:pPr>
        <w:spacing w:before="0"/>
        <w:ind w:left="66" w:right="1848" w:firstLine="0"/>
        <w:jc w:val="center"/>
        <w:rPr>
          <w:sz w:val="14"/>
        </w:rPr>
      </w:pPr>
      <w:r>
        <w:rPr>
          <w:color w:val="231F20"/>
          <w:w w:val="105"/>
          <w:sz w:val="14"/>
        </w:rPr>
        <w:t>92.01</w:t>
      </w:r>
    </w:p>
    <w:p>
      <w:pPr>
        <w:spacing w:before="37"/>
        <w:ind w:left="96" w:right="590" w:firstLine="0"/>
        <w:jc w:val="center"/>
        <w:rPr>
          <w:sz w:val="14"/>
        </w:rPr>
      </w:pPr>
      <w:r>
        <w:rPr>
          <w:color w:val="231F20"/>
          <w:w w:val="105"/>
          <w:sz w:val="14"/>
        </w:rPr>
        <w:t>89.70</w:t>
      </w:r>
    </w:p>
    <w:p>
      <w:pPr>
        <w:spacing w:before="13"/>
        <w:ind w:left="2207" w:right="1395" w:firstLine="0"/>
        <w:jc w:val="center"/>
        <w:rPr>
          <w:sz w:val="14"/>
        </w:rPr>
      </w:pPr>
      <w:r>
        <w:rPr>
          <w:color w:val="231F20"/>
          <w:w w:val="105"/>
          <w:sz w:val="14"/>
        </w:rPr>
        <w:t>87.38</w:t>
      </w:r>
    </w:p>
    <w:p>
      <w:pPr>
        <w:spacing w:after="0"/>
        <w:jc w:val="center"/>
        <w:rPr>
          <w:sz w:val="14"/>
        </w:rPr>
        <w:sectPr>
          <w:type w:val="continuous"/>
          <w:pgSz w:w="7640" w:h="11900"/>
          <w:pgMar w:top="980" w:bottom="280" w:left="780" w:right="640"/>
          <w:cols w:num="3" w:equalWidth="0">
            <w:col w:w="1714" w:space="40"/>
            <w:col w:w="452" w:space="40"/>
            <w:col w:w="3974"/>
          </w:cols>
        </w:sectPr>
      </w:pPr>
    </w:p>
    <w:p>
      <w:pPr>
        <w:pStyle w:val="BodyText"/>
        <w:spacing w:before="9"/>
        <w:rPr>
          <w:sz w:val="12"/>
        </w:rPr>
      </w:pPr>
    </w:p>
    <w:p>
      <w:pPr>
        <w:spacing w:line="171" w:lineRule="exact" w:before="73"/>
        <w:ind w:left="1345" w:right="25" w:firstLine="0"/>
        <w:jc w:val="left"/>
        <w:rPr>
          <w:sz w:val="16"/>
        </w:rPr>
      </w:pPr>
      <w:r>
        <w:rPr>
          <w:color w:val="231F20"/>
          <w:sz w:val="16"/>
        </w:rPr>
        <w:t>80 —</w:t>
      </w:r>
    </w:p>
    <w:p>
      <w:pPr>
        <w:spacing w:line="171" w:lineRule="exact" w:before="0"/>
        <w:ind w:left="1699" w:right="25" w:firstLine="0"/>
        <w:jc w:val="left"/>
        <w:rPr>
          <w:sz w:val="16"/>
        </w:rPr>
      </w:pPr>
      <w:r>
        <w:rPr>
          <w:color w:val="231F20"/>
          <w:w w:val="115"/>
          <w:sz w:val="16"/>
        </w:rPr>
        <w:t>|  1979  |  1980  |  1990  |  2000  |  2006        |</w:t>
      </w:r>
    </w:p>
    <w:p>
      <w:pPr>
        <w:pStyle w:val="BodyText"/>
        <w:spacing w:before="2"/>
        <w:rPr>
          <w:sz w:val="14"/>
        </w:rPr>
      </w:pPr>
    </w:p>
    <w:p>
      <w:pPr>
        <w:spacing w:line="283" w:lineRule="auto" w:before="67"/>
        <w:ind w:left="100" w:right="117" w:firstLine="0"/>
        <w:jc w:val="both"/>
        <w:rPr>
          <w:sz w:val="18"/>
        </w:rPr>
      </w:pPr>
      <w:r>
        <w:rPr>
          <w:rFonts w:ascii="Calibri" w:hAnsi="Calibri"/>
          <w:color w:val="231F20"/>
          <w:w w:val="110"/>
          <w:sz w:val="18"/>
        </w:rPr>
        <w:t>fuente: </w:t>
      </w:r>
      <w:r>
        <w:rPr>
          <w:color w:val="231F20"/>
          <w:w w:val="110"/>
          <w:sz w:val="18"/>
        </w:rPr>
        <w:t>“La evolución de la uem de la participación de los salarios en la renta”,</w:t>
      </w:r>
      <w:r>
        <w:rPr>
          <w:color w:val="231F20"/>
          <w:spacing w:val="-6"/>
          <w:w w:val="110"/>
          <w:sz w:val="18"/>
        </w:rPr>
        <w:t> </w:t>
      </w:r>
      <w:r>
        <w:rPr>
          <w:color w:val="231F20"/>
          <w:w w:val="110"/>
          <w:sz w:val="18"/>
        </w:rPr>
        <w:t>Banco</w:t>
      </w:r>
      <w:r>
        <w:rPr>
          <w:color w:val="231F20"/>
          <w:spacing w:val="-6"/>
          <w:w w:val="110"/>
          <w:sz w:val="18"/>
        </w:rPr>
        <w:t> </w:t>
      </w:r>
      <w:r>
        <w:rPr>
          <w:color w:val="231F20"/>
          <w:w w:val="110"/>
          <w:sz w:val="18"/>
        </w:rPr>
        <w:t>de</w:t>
      </w:r>
      <w:r>
        <w:rPr>
          <w:color w:val="231F20"/>
          <w:spacing w:val="-6"/>
          <w:w w:val="110"/>
          <w:sz w:val="18"/>
        </w:rPr>
        <w:t> </w:t>
      </w:r>
      <w:r>
        <w:rPr>
          <w:color w:val="231F20"/>
          <w:w w:val="110"/>
          <w:sz w:val="18"/>
        </w:rPr>
        <w:t>España.</w:t>
      </w:r>
      <w:r>
        <w:rPr>
          <w:color w:val="231F20"/>
          <w:spacing w:val="-6"/>
          <w:w w:val="110"/>
          <w:sz w:val="18"/>
        </w:rPr>
        <w:t> </w:t>
      </w:r>
      <w:r>
        <w:rPr>
          <w:i/>
          <w:color w:val="231F20"/>
          <w:w w:val="110"/>
          <w:sz w:val="18"/>
        </w:rPr>
        <w:t>Boletín</w:t>
      </w:r>
      <w:r>
        <w:rPr>
          <w:i/>
          <w:color w:val="231F20"/>
          <w:spacing w:val="-6"/>
          <w:w w:val="110"/>
          <w:sz w:val="18"/>
        </w:rPr>
        <w:t> </w:t>
      </w:r>
      <w:r>
        <w:rPr>
          <w:i/>
          <w:color w:val="231F20"/>
          <w:w w:val="110"/>
          <w:sz w:val="18"/>
        </w:rPr>
        <w:t>Económico</w:t>
      </w:r>
      <w:r>
        <w:rPr>
          <w:color w:val="231F20"/>
          <w:w w:val="110"/>
          <w:sz w:val="18"/>
        </w:rPr>
        <w:t>,</w:t>
      </w:r>
      <w:r>
        <w:rPr>
          <w:color w:val="231F20"/>
          <w:spacing w:val="-6"/>
          <w:w w:val="110"/>
          <w:sz w:val="18"/>
        </w:rPr>
        <w:t> </w:t>
      </w:r>
      <w:r>
        <w:rPr>
          <w:color w:val="231F20"/>
          <w:w w:val="110"/>
          <w:sz w:val="18"/>
        </w:rPr>
        <w:t>julio-agosto</w:t>
      </w:r>
      <w:r>
        <w:rPr>
          <w:color w:val="231F20"/>
          <w:spacing w:val="-6"/>
          <w:w w:val="110"/>
          <w:sz w:val="18"/>
        </w:rPr>
        <w:t> </w:t>
      </w:r>
      <w:r>
        <w:rPr>
          <w:color w:val="231F20"/>
          <w:w w:val="110"/>
          <w:sz w:val="18"/>
        </w:rPr>
        <w:t>de</w:t>
      </w:r>
      <w:r>
        <w:rPr>
          <w:color w:val="231F20"/>
          <w:spacing w:val="-6"/>
          <w:w w:val="110"/>
          <w:sz w:val="18"/>
        </w:rPr>
        <w:t> </w:t>
      </w:r>
      <w:r>
        <w:rPr>
          <w:color w:val="231F20"/>
          <w:w w:val="110"/>
          <w:sz w:val="18"/>
        </w:rPr>
        <w:t>2007.</w:t>
      </w:r>
      <w:r>
        <w:rPr>
          <w:color w:val="231F20"/>
          <w:spacing w:val="-6"/>
          <w:w w:val="110"/>
          <w:sz w:val="18"/>
        </w:rPr>
        <w:t> </w:t>
      </w:r>
      <w:r>
        <w:rPr>
          <w:color w:val="231F20"/>
          <w:w w:val="110"/>
          <w:sz w:val="18"/>
        </w:rPr>
        <w:t>Artículo elaborado por Esther Moral, Banco Central </w:t>
      </w:r>
      <w:r>
        <w:rPr>
          <w:color w:val="231F20"/>
          <w:spacing w:val="7"/>
          <w:w w:val="110"/>
          <w:sz w:val="18"/>
        </w:rPr>
        <w:t> </w:t>
      </w:r>
      <w:r>
        <w:rPr>
          <w:color w:val="231F20"/>
          <w:w w:val="110"/>
          <w:sz w:val="18"/>
        </w:rPr>
        <w:t>Europeo.</w:t>
      </w:r>
    </w:p>
    <w:p>
      <w:pPr>
        <w:spacing w:after="0" w:line="283" w:lineRule="auto"/>
        <w:jc w:val="both"/>
        <w:rPr>
          <w:sz w:val="18"/>
        </w:rPr>
        <w:sectPr>
          <w:type w:val="continuous"/>
          <w:pgSz w:w="7640" w:h="11900"/>
          <w:pgMar w:top="980" w:bottom="280" w:left="780" w:right="640"/>
        </w:sectPr>
      </w:pPr>
    </w:p>
    <w:p>
      <w:pPr>
        <w:pStyle w:val="BodyText"/>
        <w:spacing w:before="8"/>
        <w:rPr>
          <w:sz w:val="8"/>
        </w:rPr>
      </w:pPr>
    </w:p>
    <w:p>
      <w:pPr>
        <w:pStyle w:val="BodyText"/>
        <w:spacing w:line="261" w:lineRule="auto" w:before="67"/>
        <w:ind w:left="100" w:right="119" w:firstLine="240"/>
        <w:jc w:val="both"/>
      </w:pPr>
      <w:r>
        <w:rPr>
          <w:color w:val="231F20"/>
          <w:w w:val="110"/>
        </w:rPr>
        <w:t>El índice de participación de 100 en 1980 disminuye a</w:t>
      </w:r>
      <w:r>
        <w:rPr>
          <w:color w:val="231F20"/>
          <w:spacing w:val="-7"/>
          <w:w w:val="110"/>
        </w:rPr>
        <w:t> </w:t>
      </w:r>
      <w:r>
        <w:rPr>
          <w:color w:val="231F20"/>
          <w:w w:val="110"/>
        </w:rPr>
        <w:t>87.38</w:t>
      </w:r>
      <w:r>
        <w:rPr>
          <w:color w:val="231F20"/>
          <w:spacing w:val="-1"/>
          <w:w w:val="110"/>
        </w:rPr>
        <w:t> </w:t>
      </w:r>
      <w:r>
        <w:rPr>
          <w:color w:val="231F20"/>
          <w:w w:val="110"/>
        </w:rPr>
        <w:t>para</w:t>
      </w:r>
      <w:r>
        <w:rPr>
          <w:color w:val="231F20"/>
          <w:w w:val="112"/>
        </w:rPr>
        <w:t> </w:t>
      </w:r>
      <w:r>
        <w:rPr>
          <w:color w:val="231F20"/>
          <w:w w:val="110"/>
        </w:rPr>
        <w:t>el año 2006, para el conjunto de la Unión Económica Monetaria (uem) de la Unión </w:t>
      </w:r>
      <w:r>
        <w:rPr>
          <w:color w:val="231F20"/>
          <w:spacing w:val="25"/>
          <w:w w:val="110"/>
        </w:rPr>
        <w:t> </w:t>
      </w:r>
      <w:r>
        <w:rPr>
          <w:color w:val="231F20"/>
          <w:w w:val="110"/>
        </w:rPr>
        <w:t>Europea.</w:t>
      </w:r>
    </w:p>
    <w:p>
      <w:pPr>
        <w:pStyle w:val="BodyText"/>
        <w:spacing w:line="261" w:lineRule="auto"/>
        <w:ind w:left="100" w:right="117" w:firstLine="240"/>
        <w:jc w:val="both"/>
      </w:pPr>
      <w:r>
        <w:rPr>
          <w:color w:val="231F20"/>
          <w:w w:val="110"/>
        </w:rPr>
        <w:t>En</w:t>
      </w:r>
      <w:r>
        <w:rPr>
          <w:color w:val="231F20"/>
          <w:spacing w:val="-19"/>
          <w:w w:val="110"/>
        </w:rPr>
        <w:t> </w:t>
      </w:r>
      <w:r>
        <w:rPr>
          <w:color w:val="231F20"/>
          <w:w w:val="110"/>
        </w:rPr>
        <w:t>una</w:t>
      </w:r>
      <w:r>
        <w:rPr>
          <w:color w:val="231F20"/>
          <w:spacing w:val="-19"/>
          <w:w w:val="110"/>
        </w:rPr>
        <w:t> </w:t>
      </w:r>
      <w:r>
        <w:rPr>
          <w:color w:val="231F20"/>
          <w:w w:val="110"/>
        </w:rPr>
        <w:t>publicación</w:t>
      </w:r>
      <w:r>
        <w:rPr>
          <w:color w:val="231F20"/>
          <w:spacing w:val="-19"/>
          <w:w w:val="110"/>
        </w:rPr>
        <w:t> </w:t>
      </w:r>
      <w:r>
        <w:rPr>
          <w:color w:val="231F20"/>
          <w:w w:val="110"/>
        </w:rPr>
        <w:t>más</w:t>
      </w:r>
      <w:r>
        <w:rPr>
          <w:color w:val="231F20"/>
          <w:spacing w:val="-19"/>
          <w:w w:val="110"/>
        </w:rPr>
        <w:t> </w:t>
      </w:r>
      <w:r>
        <w:rPr>
          <w:color w:val="231F20"/>
          <w:w w:val="110"/>
        </w:rPr>
        <w:t>reciente</w:t>
      </w:r>
      <w:r>
        <w:rPr>
          <w:color w:val="231F20"/>
          <w:spacing w:val="-19"/>
          <w:w w:val="110"/>
        </w:rPr>
        <w:t> </w:t>
      </w:r>
      <w:r>
        <w:rPr>
          <w:color w:val="231F20"/>
          <w:w w:val="110"/>
        </w:rPr>
        <w:t>con</w:t>
      </w:r>
      <w:r>
        <w:rPr>
          <w:color w:val="231F20"/>
          <w:spacing w:val="-19"/>
          <w:w w:val="110"/>
        </w:rPr>
        <w:t> </w:t>
      </w:r>
      <w:r>
        <w:rPr>
          <w:color w:val="231F20"/>
          <w:w w:val="110"/>
        </w:rPr>
        <w:t>información</w:t>
      </w:r>
      <w:r>
        <w:rPr>
          <w:color w:val="231F20"/>
          <w:spacing w:val="-19"/>
          <w:w w:val="110"/>
        </w:rPr>
        <w:t> </w:t>
      </w:r>
      <w:r>
        <w:rPr>
          <w:color w:val="231F20"/>
          <w:w w:val="110"/>
        </w:rPr>
        <w:t>de</w:t>
      </w:r>
      <w:r>
        <w:rPr>
          <w:color w:val="231F20"/>
          <w:spacing w:val="-19"/>
          <w:w w:val="110"/>
        </w:rPr>
        <w:t> </w:t>
      </w:r>
      <w:r>
        <w:rPr>
          <w:color w:val="231F20"/>
          <w:w w:val="110"/>
        </w:rPr>
        <w:t>1981-2007,</w:t>
      </w:r>
      <w:r>
        <w:rPr>
          <w:color w:val="231F20"/>
          <w:spacing w:val="-19"/>
          <w:w w:val="110"/>
        </w:rPr>
        <w:t> </w:t>
      </w:r>
      <w:r>
        <w:rPr>
          <w:color w:val="231F20"/>
          <w:w w:val="110"/>
        </w:rPr>
        <w:t>se entrega información en el mismo sentido. Eso sí que muy diferente para</w:t>
      </w:r>
      <w:r>
        <w:rPr>
          <w:color w:val="231F20"/>
          <w:spacing w:val="-14"/>
          <w:w w:val="110"/>
        </w:rPr>
        <w:t> </w:t>
      </w:r>
      <w:r>
        <w:rPr>
          <w:color w:val="231F20"/>
          <w:w w:val="110"/>
        </w:rPr>
        <w:t>España.</w:t>
      </w:r>
      <w:r>
        <w:rPr>
          <w:color w:val="231F20"/>
          <w:spacing w:val="-14"/>
          <w:w w:val="110"/>
        </w:rPr>
        <w:t> </w:t>
      </w:r>
      <w:r>
        <w:rPr>
          <w:color w:val="231F20"/>
          <w:w w:val="110"/>
        </w:rPr>
        <w:t>“La</w:t>
      </w:r>
      <w:r>
        <w:rPr>
          <w:color w:val="231F20"/>
          <w:spacing w:val="-14"/>
          <w:w w:val="110"/>
        </w:rPr>
        <w:t> </w:t>
      </w:r>
      <w:r>
        <w:rPr>
          <w:color w:val="231F20"/>
          <w:w w:val="110"/>
        </w:rPr>
        <w:t>participación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masa</w:t>
      </w:r>
      <w:r>
        <w:rPr>
          <w:color w:val="231F20"/>
          <w:spacing w:val="-14"/>
          <w:w w:val="110"/>
        </w:rPr>
        <w:t> </w:t>
      </w:r>
      <w:r>
        <w:rPr>
          <w:color w:val="231F20"/>
          <w:w w:val="110"/>
        </w:rPr>
        <w:t>salarial</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producción</w:t>
      </w:r>
      <w:r>
        <w:rPr>
          <w:color w:val="231F20"/>
          <w:spacing w:val="-14"/>
          <w:w w:val="110"/>
        </w:rPr>
        <w:t> </w:t>
      </w:r>
      <w:r>
        <w:rPr>
          <w:color w:val="231F20"/>
          <w:w w:val="110"/>
        </w:rPr>
        <w:t>se redujo</w:t>
      </w:r>
      <w:r>
        <w:rPr>
          <w:color w:val="231F20"/>
          <w:spacing w:val="-11"/>
          <w:w w:val="110"/>
        </w:rPr>
        <w:t> </w:t>
      </w:r>
      <w:r>
        <w:rPr>
          <w:color w:val="231F20"/>
          <w:w w:val="110"/>
        </w:rPr>
        <w:t>notablemente</w:t>
      </w:r>
      <w:r>
        <w:rPr>
          <w:color w:val="231F20"/>
          <w:spacing w:val="-11"/>
          <w:w w:val="110"/>
        </w:rPr>
        <w:t> </w:t>
      </w:r>
      <w:r>
        <w:rPr>
          <w:color w:val="231F20"/>
          <w:w w:val="110"/>
        </w:rPr>
        <w:t>en</w:t>
      </w:r>
      <w:r>
        <w:rPr>
          <w:color w:val="231F20"/>
          <w:spacing w:val="-11"/>
          <w:w w:val="110"/>
        </w:rPr>
        <w:t> </w:t>
      </w:r>
      <w:r>
        <w:rPr>
          <w:color w:val="231F20"/>
          <w:w w:val="110"/>
        </w:rPr>
        <w:t>todos</w:t>
      </w:r>
      <w:r>
        <w:rPr>
          <w:color w:val="231F20"/>
          <w:spacing w:val="-11"/>
          <w:w w:val="110"/>
        </w:rPr>
        <w:t> </w:t>
      </w:r>
      <w:r>
        <w:rPr>
          <w:color w:val="231F20"/>
          <w:w w:val="110"/>
        </w:rPr>
        <w:t>los</w:t>
      </w:r>
      <w:r>
        <w:rPr>
          <w:color w:val="231F20"/>
          <w:spacing w:val="-11"/>
          <w:w w:val="110"/>
        </w:rPr>
        <w:t> </w:t>
      </w:r>
      <w:r>
        <w:rPr>
          <w:color w:val="231F20"/>
          <w:w w:val="110"/>
        </w:rPr>
        <w:t>países.</w:t>
      </w:r>
      <w:r>
        <w:rPr>
          <w:color w:val="231F20"/>
          <w:spacing w:val="-11"/>
          <w:w w:val="110"/>
        </w:rPr>
        <w:t> </w:t>
      </w:r>
      <w:r>
        <w:rPr>
          <w:color w:val="231F20"/>
          <w:w w:val="110"/>
        </w:rPr>
        <w:t>Con</w:t>
      </w:r>
      <w:r>
        <w:rPr>
          <w:color w:val="231F20"/>
          <w:spacing w:val="-11"/>
          <w:w w:val="110"/>
        </w:rPr>
        <w:t> </w:t>
      </w:r>
      <w:r>
        <w:rPr>
          <w:color w:val="231F20"/>
          <w:w w:val="110"/>
        </w:rPr>
        <w:t>descensos</w:t>
      </w:r>
      <w:r>
        <w:rPr>
          <w:color w:val="231F20"/>
          <w:spacing w:val="-11"/>
          <w:w w:val="110"/>
        </w:rPr>
        <w:t> </w:t>
      </w:r>
      <w:r>
        <w:rPr>
          <w:color w:val="231F20"/>
          <w:w w:val="110"/>
        </w:rPr>
        <w:t>que</w:t>
      </w:r>
      <w:r>
        <w:rPr>
          <w:color w:val="231F20"/>
          <w:spacing w:val="-11"/>
          <w:w w:val="110"/>
        </w:rPr>
        <w:t> </w:t>
      </w:r>
      <w:r>
        <w:rPr>
          <w:color w:val="231F20"/>
          <w:w w:val="110"/>
        </w:rPr>
        <w:t>sobrepa- san</w:t>
      </w:r>
      <w:r>
        <w:rPr>
          <w:color w:val="231F20"/>
          <w:spacing w:val="-13"/>
          <w:w w:val="110"/>
        </w:rPr>
        <w:t> </w:t>
      </w:r>
      <w:r>
        <w:rPr>
          <w:color w:val="231F20"/>
          <w:w w:val="110"/>
        </w:rPr>
        <w:t>los</w:t>
      </w:r>
      <w:r>
        <w:rPr>
          <w:color w:val="231F20"/>
          <w:spacing w:val="-13"/>
          <w:w w:val="110"/>
        </w:rPr>
        <w:t> </w:t>
      </w:r>
      <w:r>
        <w:rPr>
          <w:color w:val="231F20"/>
          <w:w w:val="110"/>
        </w:rPr>
        <w:t>10</w:t>
      </w:r>
      <w:r>
        <w:rPr>
          <w:color w:val="231F20"/>
          <w:spacing w:val="-13"/>
          <w:w w:val="110"/>
        </w:rPr>
        <w:t> </w:t>
      </w:r>
      <w:r>
        <w:rPr>
          <w:color w:val="231F20"/>
          <w:w w:val="110"/>
        </w:rPr>
        <w:t>puntos</w:t>
      </w:r>
      <w:r>
        <w:rPr>
          <w:color w:val="231F20"/>
          <w:spacing w:val="-13"/>
          <w:w w:val="110"/>
        </w:rPr>
        <w:t> </w:t>
      </w:r>
      <w:r>
        <w:rPr>
          <w:color w:val="231F20"/>
          <w:w w:val="110"/>
        </w:rPr>
        <w:t>porcentuales</w:t>
      </w:r>
      <w:r>
        <w:rPr>
          <w:color w:val="231F20"/>
          <w:spacing w:val="-13"/>
          <w:w w:val="110"/>
        </w:rPr>
        <w:t> </w:t>
      </w:r>
      <w:r>
        <w:rPr>
          <w:color w:val="231F20"/>
          <w:w w:val="110"/>
        </w:rPr>
        <w:t>sobre</w:t>
      </w:r>
      <w:r>
        <w:rPr>
          <w:color w:val="231F20"/>
          <w:spacing w:val="-13"/>
          <w:w w:val="110"/>
        </w:rPr>
        <w:t> </w:t>
      </w:r>
      <w:r>
        <w:rPr>
          <w:color w:val="231F20"/>
          <w:w w:val="110"/>
        </w:rPr>
        <w:t>el</w:t>
      </w:r>
      <w:r>
        <w:rPr>
          <w:color w:val="231F20"/>
          <w:spacing w:val="-12"/>
          <w:w w:val="110"/>
        </w:rPr>
        <w:t> </w:t>
      </w:r>
      <w:r>
        <w:rPr>
          <w:color w:val="231F20"/>
          <w:w w:val="110"/>
        </w:rPr>
        <w:t>pib,</w:t>
      </w:r>
      <w:r>
        <w:rPr>
          <w:color w:val="231F20"/>
          <w:spacing w:val="-13"/>
          <w:w w:val="110"/>
        </w:rPr>
        <w:t> </w:t>
      </w:r>
      <w:r>
        <w:rPr>
          <w:color w:val="231F20"/>
          <w:w w:val="110"/>
        </w:rPr>
        <w:t>en</w:t>
      </w:r>
      <w:r>
        <w:rPr>
          <w:color w:val="231F20"/>
          <w:spacing w:val="-13"/>
          <w:w w:val="110"/>
        </w:rPr>
        <w:t> </w:t>
      </w:r>
      <w:r>
        <w:rPr>
          <w:color w:val="231F20"/>
          <w:w w:val="110"/>
        </w:rPr>
        <w:t>España,</w:t>
      </w:r>
      <w:r>
        <w:rPr>
          <w:color w:val="231F20"/>
          <w:spacing w:val="-13"/>
          <w:w w:val="110"/>
        </w:rPr>
        <w:t> </w:t>
      </w:r>
      <w:r>
        <w:rPr>
          <w:color w:val="231F20"/>
          <w:w w:val="110"/>
        </w:rPr>
        <w:t>Italia,</w:t>
      </w:r>
      <w:r>
        <w:rPr>
          <w:color w:val="231F20"/>
          <w:spacing w:val="-13"/>
          <w:w w:val="110"/>
        </w:rPr>
        <w:t> </w:t>
      </w:r>
      <w:r>
        <w:rPr>
          <w:color w:val="231F20"/>
          <w:w w:val="110"/>
        </w:rPr>
        <w:t>Irlanda, Austria</w:t>
      </w:r>
      <w:r>
        <w:rPr>
          <w:color w:val="231F20"/>
          <w:spacing w:val="-16"/>
          <w:w w:val="110"/>
        </w:rPr>
        <w:t> </w:t>
      </w:r>
      <w:r>
        <w:rPr>
          <w:color w:val="231F20"/>
          <w:w w:val="110"/>
        </w:rPr>
        <w:t>y</w:t>
      </w:r>
      <w:r>
        <w:rPr>
          <w:color w:val="231F20"/>
          <w:spacing w:val="-16"/>
          <w:w w:val="110"/>
        </w:rPr>
        <w:t> </w:t>
      </w:r>
      <w:r>
        <w:rPr>
          <w:color w:val="231F20"/>
          <w:w w:val="110"/>
        </w:rPr>
        <w:t>Portugal”</w:t>
      </w:r>
      <w:r>
        <w:rPr>
          <w:color w:val="231F20"/>
          <w:spacing w:val="-16"/>
          <w:w w:val="110"/>
        </w:rPr>
        <w:t> </w:t>
      </w:r>
      <w:r>
        <w:rPr>
          <w:color w:val="231F20"/>
          <w:w w:val="110"/>
        </w:rPr>
        <w:t>(Medialdea,</w:t>
      </w:r>
      <w:r>
        <w:rPr>
          <w:color w:val="231F20"/>
          <w:spacing w:val="-16"/>
          <w:w w:val="110"/>
        </w:rPr>
        <w:t> </w:t>
      </w:r>
      <w:r>
        <w:rPr>
          <w:color w:val="231F20"/>
          <w:w w:val="110"/>
        </w:rPr>
        <w:t>2010).</w:t>
      </w:r>
      <w:r>
        <w:rPr>
          <w:color w:val="231F20"/>
          <w:spacing w:val="-16"/>
          <w:w w:val="110"/>
        </w:rPr>
        <w:t> </w:t>
      </w:r>
      <w:r>
        <w:rPr>
          <w:color w:val="231F20"/>
          <w:w w:val="110"/>
        </w:rPr>
        <w:t>La</w:t>
      </w:r>
      <w:r>
        <w:rPr>
          <w:color w:val="231F20"/>
          <w:spacing w:val="-16"/>
          <w:w w:val="110"/>
        </w:rPr>
        <w:t> </w:t>
      </w:r>
      <w:r>
        <w:rPr>
          <w:color w:val="231F20"/>
          <w:w w:val="110"/>
        </w:rPr>
        <w:t>disminución</w:t>
      </w:r>
      <w:r>
        <w:rPr>
          <w:color w:val="231F20"/>
          <w:spacing w:val="-16"/>
          <w:w w:val="110"/>
        </w:rPr>
        <w:t> </w:t>
      </w:r>
      <w:r>
        <w:rPr>
          <w:color w:val="231F20"/>
          <w:w w:val="110"/>
        </w:rPr>
        <w:t>porcentual</w:t>
      </w:r>
      <w:r>
        <w:rPr>
          <w:color w:val="231F20"/>
          <w:spacing w:val="-16"/>
          <w:w w:val="110"/>
        </w:rPr>
        <w:t> </w:t>
      </w:r>
      <w:r>
        <w:rPr>
          <w:color w:val="231F20"/>
          <w:w w:val="110"/>
        </w:rPr>
        <w:t>de la masa de salarios en el producto es de 22.6% en Irlanda, 20% en Italia,</w:t>
      </w:r>
      <w:r>
        <w:rPr>
          <w:color w:val="231F20"/>
          <w:spacing w:val="-6"/>
          <w:w w:val="110"/>
        </w:rPr>
        <w:t> </w:t>
      </w:r>
      <w:r>
        <w:rPr>
          <w:color w:val="231F20"/>
          <w:w w:val="110"/>
        </w:rPr>
        <w:t>18.8%</w:t>
      </w:r>
      <w:r>
        <w:rPr>
          <w:color w:val="231F20"/>
          <w:spacing w:val="-6"/>
          <w:w w:val="110"/>
        </w:rPr>
        <w:t> </w:t>
      </w:r>
      <w:r>
        <w:rPr>
          <w:color w:val="231F20"/>
          <w:w w:val="110"/>
        </w:rPr>
        <w:t>en</w:t>
      </w:r>
      <w:r>
        <w:rPr>
          <w:color w:val="231F20"/>
          <w:spacing w:val="-6"/>
          <w:w w:val="110"/>
        </w:rPr>
        <w:t> </w:t>
      </w:r>
      <w:r>
        <w:rPr>
          <w:color w:val="231F20"/>
          <w:w w:val="110"/>
        </w:rPr>
        <w:t>Austria</w:t>
      </w:r>
      <w:r>
        <w:rPr>
          <w:color w:val="231F20"/>
          <w:spacing w:val="-6"/>
          <w:w w:val="110"/>
        </w:rPr>
        <w:t> </w:t>
      </w:r>
      <w:r>
        <w:rPr>
          <w:color w:val="231F20"/>
          <w:w w:val="110"/>
        </w:rPr>
        <w:t>y</w:t>
      </w:r>
      <w:r>
        <w:rPr>
          <w:color w:val="231F20"/>
          <w:spacing w:val="-6"/>
          <w:w w:val="110"/>
        </w:rPr>
        <w:t> </w:t>
      </w:r>
      <w:r>
        <w:rPr>
          <w:color w:val="231F20"/>
          <w:w w:val="110"/>
        </w:rPr>
        <w:t>18.2%</w:t>
      </w:r>
      <w:r>
        <w:rPr>
          <w:color w:val="231F20"/>
          <w:spacing w:val="-6"/>
          <w:w w:val="110"/>
        </w:rPr>
        <w:t> </w:t>
      </w:r>
      <w:r>
        <w:rPr>
          <w:color w:val="231F20"/>
          <w:w w:val="110"/>
        </w:rPr>
        <w:t>en</w:t>
      </w:r>
      <w:r>
        <w:rPr>
          <w:color w:val="231F20"/>
          <w:spacing w:val="-6"/>
          <w:w w:val="110"/>
        </w:rPr>
        <w:t> </w:t>
      </w:r>
      <w:r>
        <w:rPr>
          <w:color w:val="231F20"/>
          <w:w w:val="110"/>
        </w:rPr>
        <w:t>España.</w:t>
      </w:r>
    </w:p>
    <w:p>
      <w:pPr>
        <w:pStyle w:val="BodyText"/>
        <w:spacing w:line="261" w:lineRule="auto"/>
        <w:ind w:left="100" w:right="119" w:firstLine="240"/>
        <w:jc w:val="both"/>
      </w:pPr>
      <w:r>
        <w:rPr>
          <w:color w:val="231F20"/>
          <w:w w:val="110"/>
        </w:rPr>
        <w:t>En Grecia la participación salarial en el pib era 65% en 1981 y disminuyó a 56.5% en 2007, una disminución de 8.5 puntos porcen- tuales</w:t>
      </w:r>
      <w:r>
        <w:rPr>
          <w:color w:val="231F20"/>
          <w:spacing w:val="-5"/>
          <w:w w:val="110"/>
        </w:rPr>
        <w:t> </w:t>
      </w:r>
      <w:r>
        <w:rPr>
          <w:color w:val="231F20"/>
          <w:w w:val="110"/>
        </w:rPr>
        <w:t>que</w:t>
      </w:r>
      <w:r>
        <w:rPr>
          <w:color w:val="231F20"/>
          <w:spacing w:val="-5"/>
          <w:w w:val="110"/>
        </w:rPr>
        <w:t> </w:t>
      </w:r>
      <w:r>
        <w:rPr>
          <w:color w:val="231F20"/>
          <w:w w:val="110"/>
        </w:rPr>
        <w:t>equivalen</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disminución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masa</w:t>
      </w:r>
      <w:r>
        <w:rPr>
          <w:color w:val="231F20"/>
          <w:spacing w:val="-5"/>
          <w:w w:val="110"/>
        </w:rPr>
        <w:t> </w:t>
      </w:r>
      <w:r>
        <w:rPr>
          <w:color w:val="231F20"/>
          <w:w w:val="110"/>
        </w:rPr>
        <w:t>salarial</w:t>
      </w:r>
      <w:r>
        <w:rPr>
          <w:color w:val="231F20"/>
          <w:spacing w:val="-5"/>
          <w:w w:val="110"/>
        </w:rPr>
        <w:t> </w:t>
      </w:r>
      <w:r>
        <w:rPr>
          <w:color w:val="231F20"/>
          <w:w w:val="110"/>
        </w:rPr>
        <w:t>en</w:t>
      </w:r>
      <w:r>
        <w:rPr>
          <w:color w:val="231F20"/>
          <w:spacing w:val="-5"/>
          <w:w w:val="110"/>
        </w:rPr>
        <w:t> </w:t>
      </w:r>
      <w:r>
        <w:rPr>
          <w:color w:val="231F20"/>
          <w:w w:val="110"/>
        </w:rPr>
        <w:t>Grecia de 13.1 por</w:t>
      </w:r>
      <w:r>
        <w:rPr>
          <w:color w:val="231F20"/>
          <w:spacing w:val="35"/>
          <w:w w:val="110"/>
        </w:rPr>
        <w:t> </w:t>
      </w:r>
      <w:r>
        <w:rPr>
          <w:color w:val="231F20"/>
          <w:w w:val="110"/>
        </w:rPr>
        <w:t>ciento.</w:t>
      </w:r>
    </w:p>
    <w:p>
      <w:pPr>
        <w:pStyle w:val="BodyText"/>
        <w:spacing w:line="261" w:lineRule="auto"/>
        <w:ind w:left="100" w:right="119" w:firstLine="240"/>
        <w:jc w:val="both"/>
      </w:pPr>
      <w:r>
        <w:rPr>
          <w:color w:val="231F20"/>
          <w:w w:val="110"/>
        </w:rPr>
        <w:t>Las transferencias de masas de salarios a ganancias en América Latina, Estados Unidos y Europa son muy elevadas, en cada uno de los</w:t>
      </w:r>
      <w:r>
        <w:rPr>
          <w:color w:val="231F20"/>
          <w:spacing w:val="-6"/>
          <w:w w:val="110"/>
        </w:rPr>
        <w:t> </w:t>
      </w:r>
      <w:r>
        <w:rPr>
          <w:color w:val="231F20"/>
          <w:w w:val="110"/>
        </w:rPr>
        <w:t>últimos</w:t>
      </w:r>
      <w:r>
        <w:rPr>
          <w:color w:val="231F20"/>
          <w:spacing w:val="-6"/>
          <w:w w:val="110"/>
        </w:rPr>
        <w:t> </w:t>
      </w:r>
      <w:r>
        <w:rPr>
          <w:color w:val="231F20"/>
          <w:w w:val="110"/>
        </w:rPr>
        <w:t>años.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casos</w:t>
      </w:r>
      <w:r>
        <w:rPr>
          <w:color w:val="231F20"/>
          <w:spacing w:val="-6"/>
          <w:w w:val="110"/>
        </w:rPr>
        <w:t> </w:t>
      </w:r>
      <w:r>
        <w:rPr>
          <w:color w:val="231F20"/>
          <w:w w:val="110"/>
        </w:rPr>
        <w:t>de</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y</w:t>
      </w:r>
      <w:r>
        <w:rPr>
          <w:color w:val="231F20"/>
          <w:spacing w:val="-6"/>
          <w:w w:val="110"/>
        </w:rPr>
        <w:t> </w:t>
      </w:r>
      <w:r>
        <w:rPr>
          <w:color w:val="231F20"/>
          <w:w w:val="110"/>
        </w:rPr>
        <w:t>Europa,</w:t>
      </w:r>
      <w:r>
        <w:rPr>
          <w:color w:val="231F20"/>
          <w:spacing w:val="-6"/>
          <w:w w:val="110"/>
        </w:rPr>
        <w:t> </w:t>
      </w:r>
      <w:r>
        <w:rPr>
          <w:color w:val="231F20"/>
          <w:w w:val="110"/>
        </w:rPr>
        <w:t>la</w:t>
      </w:r>
      <w:r>
        <w:rPr>
          <w:color w:val="231F20"/>
          <w:spacing w:val="-6"/>
          <w:w w:val="110"/>
        </w:rPr>
        <w:t> </w:t>
      </w:r>
      <w:r>
        <w:rPr>
          <w:color w:val="231F20"/>
          <w:w w:val="110"/>
        </w:rPr>
        <w:t>dismi- nución de los salarios y el aumento de las ganancias de las</w:t>
      </w:r>
      <w:r>
        <w:rPr>
          <w:color w:val="231F20"/>
          <w:spacing w:val="-19"/>
          <w:w w:val="110"/>
        </w:rPr>
        <w:t> </w:t>
      </w:r>
      <w:r>
        <w:rPr>
          <w:color w:val="231F20"/>
          <w:w w:val="110"/>
        </w:rPr>
        <w:t>empresas son tan elevadas en cada uno de los últimos años, que</w:t>
      </w:r>
      <w:r>
        <w:rPr>
          <w:color w:val="231F20"/>
          <w:spacing w:val="36"/>
          <w:w w:val="110"/>
        </w:rPr>
        <w:t> </w:t>
      </w:r>
      <w:r>
        <w:rPr>
          <w:color w:val="231F20"/>
          <w:w w:val="110"/>
        </w:rPr>
        <w:t>equivalen,</w:t>
      </w:r>
      <w:r>
        <w:rPr>
          <w:color w:val="231F20"/>
          <w:spacing w:val="13"/>
          <w:w w:val="110"/>
        </w:rPr>
        <w:t> </w:t>
      </w:r>
      <w:r>
        <w:rPr>
          <w:color w:val="231F20"/>
          <w:w w:val="110"/>
        </w:rPr>
        <w:t>e</w:t>
      </w:r>
      <w:r>
        <w:rPr>
          <w:color w:val="231F20"/>
          <w:w w:val="112"/>
        </w:rPr>
        <w:t> </w:t>
      </w:r>
      <w:r>
        <w:rPr>
          <w:color w:val="231F20"/>
          <w:w w:val="110"/>
        </w:rPr>
        <w:t>incluso,</w:t>
      </w:r>
      <w:r>
        <w:rPr>
          <w:color w:val="231F20"/>
          <w:spacing w:val="-10"/>
          <w:w w:val="110"/>
        </w:rPr>
        <w:t> </w:t>
      </w:r>
      <w:r>
        <w:rPr>
          <w:color w:val="231F20"/>
          <w:w w:val="110"/>
        </w:rPr>
        <w:t>son</w:t>
      </w:r>
      <w:r>
        <w:rPr>
          <w:color w:val="231F20"/>
          <w:spacing w:val="-10"/>
          <w:w w:val="110"/>
        </w:rPr>
        <w:t> </w:t>
      </w:r>
      <w:r>
        <w:rPr>
          <w:color w:val="231F20"/>
          <w:w w:val="110"/>
        </w:rPr>
        <w:t>superiores</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masivos</w:t>
      </w:r>
      <w:r>
        <w:rPr>
          <w:color w:val="231F20"/>
          <w:spacing w:val="-10"/>
          <w:w w:val="110"/>
        </w:rPr>
        <w:t> </w:t>
      </w:r>
      <w:r>
        <w:rPr>
          <w:color w:val="231F20"/>
          <w:w w:val="110"/>
        </w:rPr>
        <w:t>rescates</w:t>
      </w:r>
      <w:r>
        <w:rPr>
          <w:color w:val="231F20"/>
          <w:spacing w:val="-10"/>
          <w:w w:val="110"/>
        </w:rPr>
        <w:t> </w:t>
      </w:r>
      <w:r>
        <w:rPr>
          <w:color w:val="231F20"/>
          <w:w w:val="110"/>
        </w:rPr>
        <w:t>para</w:t>
      </w:r>
      <w:r>
        <w:rPr>
          <w:color w:val="231F20"/>
          <w:spacing w:val="-10"/>
          <w:w w:val="110"/>
        </w:rPr>
        <w:t> </w:t>
      </w:r>
      <w:r>
        <w:rPr>
          <w:color w:val="231F20"/>
          <w:w w:val="110"/>
        </w:rPr>
        <w:t>evitar</w:t>
      </w:r>
      <w:r>
        <w:rPr>
          <w:color w:val="231F20"/>
          <w:spacing w:val="-10"/>
          <w:w w:val="110"/>
        </w:rPr>
        <w:t> </w:t>
      </w:r>
      <w:r>
        <w:rPr>
          <w:color w:val="231F20"/>
          <w:w w:val="110"/>
        </w:rPr>
        <w:t>la</w:t>
      </w:r>
      <w:r>
        <w:rPr>
          <w:color w:val="231F20"/>
          <w:spacing w:val="-10"/>
          <w:w w:val="110"/>
        </w:rPr>
        <w:t> </w:t>
      </w:r>
      <w:r>
        <w:rPr>
          <w:color w:val="231F20"/>
          <w:w w:val="110"/>
        </w:rPr>
        <w:t>profundi- zación de la crisis en Estados Unidos y en la zona</w:t>
      </w:r>
      <w:r>
        <w:rPr>
          <w:color w:val="231F20"/>
          <w:spacing w:val="19"/>
          <w:w w:val="110"/>
        </w:rPr>
        <w:t> </w:t>
      </w:r>
      <w:r>
        <w:rPr>
          <w:color w:val="231F20"/>
          <w:w w:val="110"/>
        </w:rPr>
        <w:t>Euro.</w:t>
      </w:r>
    </w:p>
    <w:p>
      <w:pPr>
        <w:pStyle w:val="BodyText"/>
      </w:pPr>
    </w:p>
    <w:p>
      <w:pPr>
        <w:pStyle w:val="BodyText"/>
      </w:pPr>
    </w:p>
    <w:p>
      <w:pPr>
        <w:pStyle w:val="BodyText"/>
        <w:spacing w:before="2"/>
        <w:rPr>
          <w:sz w:val="25"/>
        </w:rPr>
      </w:pPr>
    </w:p>
    <w:p>
      <w:pPr>
        <w:pStyle w:val="BodyText"/>
        <w:ind w:left="100"/>
        <w:jc w:val="both"/>
      </w:pPr>
      <w:r>
        <w:rPr>
          <w:color w:val="231F20"/>
          <w:w w:val="125"/>
        </w:rPr>
        <w:t>conclusiones</w:t>
      </w:r>
    </w:p>
    <w:p>
      <w:pPr>
        <w:pStyle w:val="BodyText"/>
        <w:spacing w:before="5"/>
        <w:rPr>
          <w:sz w:val="23"/>
        </w:rPr>
      </w:pPr>
    </w:p>
    <w:p>
      <w:pPr>
        <w:pStyle w:val="BodyText"/>
        <w:spacing w:line="261" w:lineRule="auto"/>
        <w:ind w:left="100" w:right="119"/>
        <w:jc w:val="both"/>
      </w:pPr>
      <w:r>
        <w:rPr>
          <w:color w:val="231F20"/>
          <w:w w:val="110"/>
        </w:rPr>
        <w:t>Es muy importante destacar que las diferencias en las interpretacio- nes tienen que ver en una medida significativa con el escenario de economía nacional o economía mundial que se  utilice.</w:t>
      </w:r>
    </w:p>
    <w:p>
      <w:pPr>
        <w:pStyle w:val="BodyText"/>
        <w:spacing w:line="261" w:lineRule="auto"/>
        <w:ind w:left="100" w:right="115" w:firstLine="240"/>
        <w:jc w:val="both"/>
      </w:pPr>
      <w:r>
        <w:rPr>
          <w:color w:val="231F20"/>
          <w:w w:val="110"/>
        </w:rPr>
        <w:t>La interpretación financiera de la dinámica económica y de la crisis actual, al señalar que los recursos se orientan preferentemente a actividades financieras y especulativas, limitando los niveles de</w:t>
      </w:r>
      <w:r>
        <w:rPr>
          <w:color w:val="231F20"/>
          <w:w w:val="114"/>
        </w:rPr>
        <w:t> </w:t>
      </w:r>
      <w:r>
        <w:rPr>
          <w:color w:val="231F20"/>
          <w:w w:val="110"/>
        </w:rPr>
        <w:t>producción global, desconocen lo que nos parece evidente: un gran crecimiento de la producción y de las inversiones mundiales.</w:t>
      </w:r>
    </w:p>
    <w:p>
      <w:pPr>
        <w:pStyle w:val="BodyText"/>
        <w:spacing w:line="261" w:lineRule="auto"/>
        <w:ind w:left="100" w:right="116" w:firstLine="240"/>
        <w:jc w:val="both"/>
      </w:pPr>
      <w:r>
        <w:rPr>
          <w:color w:val="231F20"/>
          <w:w w:val="110"/>
        </w:rPr>
        <w:t>La interpretación financiera de la dinámica económica y de la crisis actual, desconoce el gran éxito para el capital del proceso de globalización de la economía y del neoliberalismo implementado en los últimos decenios que se refleja en un fuerte incremento mundial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del número de trabajadores. En un documento del Fondo Monetario Internacional,</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capitulo</w:t>
      </w:r>
      <w:r>
        <w:rPr>
          <w:color w:val="231F20"/>
          <w:spacing w:val="-5"/>
          <w:w w:val="110"/>
        </w:rPr>
        <w:t> </w:t>
      </w:r>
      <w:r>
        <w:rPr>
          <w:color w:val="231F20"/>
          <w:w w:val="110"/>
        </w:rPr>
        <w:t>“La</w:t>
      </w:r>
      <w:r>
        <w:rPr>
          <w:color w:val="231F20"/>
          <w:spacing w:val="-5"/>
          <w:w w:val="110"/>
        </w:rPr>
        <w:t> </w:t>
      </w:r>
      <w:r>
        <w:rPr>
          <w:color w:val="231F20"/>
          <w:w w:val="110"/>
        </w:rPr>
        <w:t>globalización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Mano</w:t>
      </w:r>
      <w:r>
        <w:rPr>
          <w:color w:val="231F20"/>
          <w:spacing w:val="-5"/>
          <w:w w:val="110"/>
        </w:rPr>
        <w:t> </w:t>
      </w:r>
      <w:r>
        <w:rPr>
          <w:color w:val="231F20"/>
          <w:w w:val="110"/>
        </w:rPr>
        <w:t>de</w:t>
      </w:r>
      <w:r>
        <w:rPr>
          <w:color w:val="231F20"/>
          <w:spacing w:val="-5"/>
          <w:w w:val="110"/>
        </w:rPr>
        <w:t> </w:t>
      </w:r>
      <w:r>
        <w:rPr>
          <w:color w:val="231F20"/>
          <w:w w:val="110"/>
        </w:rPr>
        <w:t>Obra”, se</w:t>
      </w:r>
      <w:r>
        <w:rPr>
          <w:color w:val="231F20"/>
          <w:spacing w:val="-5"/>
          <w:w w:val="110"/>
        </w:rPr>
        <w:t> </w:t>
      </w:r>
      <w:r>
        <w:rPr>
          <w:color w:val="231F20"/>
          <w:w w:val="110"/>
        </w:rPr>
        <w:t>señala:</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fuerza</w:t>
      </w:r>
      <w:r>
        <w:rPr>
          <w:color w:val="231F20"/>
          <w:spacing w:val="-5"/>
          <w:w w:val="110"/>
        </w:rPr>
        <w:t> </w:t>
      </w:r>
      <w:r>
        <w:rPr>
          <w:color w:val="231F20"/>
          <w:w w:val="110"/>
        </w:rPr>
        <w:t>laboral</w:t>
      </w:r>
      <w:r>
        <w:rPr>
          <w:color w:val="231F20"/>
          <w:spacing w:val="-5"/>
          <w:w w:val="110"/>
        </w:rPr>
        <w:t> </w:t>
      </w:r>
      <w:r>
        <w:rPr>
          <w:color w:val="231F20"/>
          <w:w w:val="110"/>
        </w:rPr>
        <w:t>real</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cuadruplicado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curso de los dos últimos decenios” (fmi,</w:t>
      </w:r>
      <w:r>
        <w:rPr>
          <w:color w:val="231F20"/>
          <w:spacing w:val="7"/>
          <w:w w:val="110"/>
        </w:rPr>
        <w:t> </w:t>
      </w:r>
      <w:r>
        <w:rPr>
          <w:color w:val="231F20"/>
          <w:w w:val="110"/>
        </w:rPr>
        <w:t>2007).</w:t>
      </w:r>
    </w:p>
    <w:p>
      <w:pPr>
        <w:pStyle w:val="BodyText"/>
        <w:spacing w:line="261" w:lineRule="auto"/>
        <w:ind w:left="100" w:right="117" w:firstLine="240"/>
        <w:jc w:val="both"/>
      </w:pPr>
      <w:r>
        <w:rPr>
          <w:color w:val="231F20"/>
          <w:w w:val="110"/>
        </w:rPr>
        <w:t>La interpretación financiera de la dinámica económica y de la</w:t>
      </w:r>
      <w:r>
        <w:rPr>
          <w:color w:val="231F20"/>
          <w:spacing w:val="-32"/>
          <w:w w:val="110"/>
        </w:rPr>
        <w:t> </w:t>
      </w:r>
      <w:r>
        <w:rPr>
          <w:color w:val="231F20"/>
          <w:w w:val="110"/>
        </w:rPr>
        <w:t>cri- sis</w:t>
      </w:r>
      <w:r>
        <w:rPr>
          <w:color w:val="231F20"/>
          <w:spacing w:val="-6"/>
          <w:w w:val="110"/>
        </w:rPr>
        <w:t> </w:t>
      </w:r>
      <w:r>
        <w:rPr>
          <w:color w:val="231F20"/>
          <w:w w:val="110"/>
        </w:rPr>
        <w:t>actual,</w:t>
      </w:r>
      <w:r>
        <w:rPr>
          <w:color w:val="231F20"/>
          <w:spacing w:val="-6"/>
          <w:w w:val="110"/>
        </w:rPr>
        <w:t> </w:t>
      </w:r>
      <w:r>
        <w:rPr>
          <w:color w:val="231F20"/>
          <w:w w:val="110"/>
        </w:rPr>
        <w:t>desconoce</w:t>
      </w:r>
      <w:r>
        <w:rPr>
          <w:color w:val="231F20"/>
          <w:spacing w:val="-6"/>
          <w:w w:val="110"/>
        </w:rPr>
        <w:t> </w:t>
      </w:r>
      <w:r>
        <w:rPr>
          <w:color w:val="231F20"/>
          <w:w w:val="110"/>
        </w:rPr>
        <w:t>o</w:t>
      </w:r>
      <w:r>
        <w:rPr>
          <w:color w:val="231F20"/>
          <w:spacing w:val="-6"/>
          <w:w w:val="110"/>
        </w:rPr>
        <w:t> </w:t>
      </w:r>
      <w:r>
        <w:rPr>
          <w:color w:val="231F20"/>
          <w:w w:val="110"/>
        </w:rPr>
        <w:t>le</w:t>
      </w:r>
      <w:r>
        <w:rPr>
          <w:color w:val="231F20"/>
          <w:spacing w:val="-6"/>
          <w:w w:val="110"/>
        </w:rPr>
        <w:t> </w:t>
      </w:r>
      <w:r>
        <w:rPr>
          <w:color w:val="231F20"/>
          <w:w w:val="110"/>
        </w:rPr>
        <w:t>otorga</w:t>
      </w:r>
      <w:r>
        <w:rPr>
          <w:color w:val="231F20"/>
          <w:spacing w:val="-6"/>
          <w:w w:val="110"/>
        </w:rPr>
        <w:t> </w:t>
      </w:r>
      <w:r>
        <w:rPr>
          <w:color w:val="231F20"/>
          <w:w w:val="110"/>
        </w:rPr>
        <w:t>poco</w:t>
      </w:r>
      <w:r>
        <w:rPr>
          <w:color w:val="231F20"/>
          <w:spacing w:val="-6"/>
          <w:w w:val="110"/>
        </w:rPr>
        <w:t> </w:t>
      </w:r>
      <w:r>
        <w:rPr>
          <w:color w:val="231F20"/>
          <w:w w:val="110"/>
        </w:rPr>
        <w:t>significado</w:t>
      </w:r>
      <w:r>
        <w:rPr>
          <w:color w:val="231F20"/>
          <w:spacing w:val="-6"/>
          <w:w w:val="110"/>
        </w:rPr>
        <w:t> </w:t>
      </w:r>
      <w:r>
        <w:rPr>
          <w:color w:val="231F20"/>
          <w:w w:val="110"/>
        </w:rPr>
        <w:t>al</w:t>
      </w:r>
      <w:r>
        <w:rPr>
          <w:color w:val="231F20"/>
          <w:spacing w:val="-6"/>
          <w:w w:val="110"/>
        </w:rPr>
        <w:t> </w:t>
      </w:r>
      <w:r>
        <w:rPr>
          <w:color w:val="231F20"/>
          <w:w w:val="110"/>
        </w:rPr>
        <w:t>gran</w:t>
      </w:r>
      <w:r>
        <w:rPr>
          <w:color w:val="231F20"/>
          <w:spacing w:val="-6"/>
          <w:w w:val="110"/>
        </w:rPr>
        <w:t> </w:t>
      </w:r>
      <w:r>
        <w:rPr>
          <w:color w:val="231F20"/>
          <w:w w:val="110"/>
        </w:rPr>
        <w:t>incremento de la explotación del trabajo a nivel mundial que en parte se refleja en la gran disminución de la participación de los salarios en el pro- ducto en los diferentes países y regiones, con excepción del Sudeste Asiático. Gran aumento de la producción mundial, limitación del consumo y endeudamiento generalizado de las</w:t>
      </w:r>
      <w:r>
        <w:rPr>
          <w:color w:val="231F20"/>
          <w:spacing w:val="20"/>
          <w:w w:val="110"/>
        </w:rPr>
        <w:t> </w:t>
      </w:r>
      <w:r>
        <w:rPr>
          <w:color w:val="231F20"/>
          <w:w w:val="110"/>
        </w:rPr>
        <w:t>familias.</w:t>
      </w:r>
    </w:p>
    <w:p>
      <w:pPr>
        <w:pStyle w:val="BodyText"/>
        <w:spacing w:line="261" w:lineRule="auto"/>
        <w:ind w:left="100" w:right="117" w:firstLine="240"/>
        <w:jc w:val="both"/>
      </w:pPr>
      <w:r>
        <w:rPr>
          <w:color w:val="231F20"/>
          <w:w w:val="110"/>
        </w:rPr>
        <w:t>El incremento de la tasa de explotación, junto con la disminución del</w:t>
      </w:r>
      <w:r>
        <w:rPr>
          <w:color w:val="231F20"/>
          <w:spacing w:val="-9"/>
          <w:w w:val="110"/>
        </w:rPr>
        <w:t> </w:t>
      </w:r>
      <w:r>
        <w:rPr>
          <w:color w:val="231F20"/>
          <w:w w:val="110"/>
        </w:rPr>
        <w:t>valor</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maquinaria</w:t>
      </w:r>
      <w:r>
        <w:rPr>
          <w:color w:val="231F20"/>
          <w:spacing w:val="-9"/>
          <w:w w:val="110"/>
        </w:rPr>
        <w:t> </w:t>
      </w:r>
      <w:r>
        <w:rPr>
          <w:color w:val="231F20"/>
          <w:w w:val="110"/>
        </w:rPr>
        <w:t>y</w:t>
      </w:r>
      <w:r>
        <w:rPr>
          <w:color w:val="231F20"/>
          <w:spacing w:val="-9"/>
          <w:w w:val="110"/>
        </w:rPr>
        <w:t> </w:t>
      </w:r>
      <w:r>
        <w:rPr>
          <w:color w:val="231F20"/>
          <w:w w:val="110"/>
        </w:rPr>
        <w:t>equipo</w:t>
      </w:r>
      <w:r>
        <w:rPr>
          <w:color w:val="231F20"/>
          <w:spacing w:val="-9"/>
          <w:w w:val="110"/>
        </w:rPr>
        <w:t> </w:t>
      </w:r>
      <w:r>
        <w:rPr>
          <w:color w:val="231F20"/>
          <w:w w:val="110"/>
        </w:rPr>
        <w:t>de</w:t>
      </w:r>
      <w:r>
        <w:rPr>
          <w:color w:val="231F20"/>
          <w:spacing w:val="-9"/>
          <w:w w:val="110"/>
        </w:rPr>
        <w:t> </w:t>
      </w:r>
      <w:r>
        <w:rPr>
          <w:color w:val="231F20"/>
          <w:w w:val="110"/>
        </w:rPr>
        <w:t>alta</w:t>
      </w:r>
      <w:r>
        <w:rPr>
          <w:color w:val="231F20"/>
          <w:spacing w:val="-9"/>
          <w:w w:val="110"/>
        </w:rPr>
        <w:t> </w:t>
      </w:r>
      <w:r>
        <w:rPr>
          <w:color w:val="231F20"/>
          <w:w w:val="110"/>
        </w:rPr>
        <w:t>tecnología</w:t>
      </w:r>
      <w:r>
        <w:rPr>
          <w:color w:val="231F20"/>
          <w:spacing w:val="-9"/>
          <w:w w:val="110"/>
        </w:rPr>
        <w:t> </w:t>
      </w:r>
      <w:r>
        <w:rPr>
          <w:color w:val="231F20"/>
          <w:w w:val="110"/>
        </w:rPr>
        <w:t>—disminución del valor del capital constante fijo— y de la apropiación de parte significativa de la renta de recursos naturales, ha significado en los últimos</w:t>
      </w:r>
      <w:r>
        <w:rPr>
          <w:color w:val="231F20"/>
          <w:spacing w:val="-11"/>
          <w:w w:val="110"/>
        </w:rPr>
        <w:t> </w:t>
      </w:r>
      <w:r>
        <w:rPr>
          <w:color w:val="231F20"/>
          <w:w w:val="110"/>
        </w:rPr>
        <w:t>decenios</w:t>
      </w:r>
      <w:r>
        <w:rPr>
          <w:color w:val="231F20"/>
          <w:spacing w:val="-11"/>
          <w:w w:val="110"/>
        </w:rPr>
        <w:t> </w:t>
      </w:r>
      <w:r>
        <w:rPr>
          <w:color w:val="231F20"/>
          <w:w w:val="110"/>
        </w:rPr>
        <w:t>un</w:t>
      </w:r>
      <w:r>
        <w:rPr>
          <w:color w:val="231F20"/>
          <w:spacing w:val="-11"/>
          <w:w w:val="110"/>
        </w:rPr>
        <w:t> </w:t>
      </w:r>
      <w:r>
        <w:rPr>
          <w:color w:val="231F20"/>
          <w:w w:val="110"/>
        </w:rPr>
        <w:t>incremento</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ganancias</w:t>
      </w:r>
      <w:r>
        <w:rPr>
          <w:color w:val="231F20"/>
          <w:spacing w:val="-11"/>
          <w:w w:val="110"/>
        </w:rPr>
        <w:t> </w:t>
      </w:r>
      <w:r>
        <w:rPr>
          <w:color w:val="231F20"/>
          <w:w w:val="110"/>
        </w:rPr>
        <w:t>globales</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tasa de ganancia. En estas categorías económicas se expresa en forma concentrada el éxito del capitalismo con la implementación del neo- liberalismo y de la globalización en los últimos</w:t>
      </w:r>
      <w:r>
        <w:rPr>
          <w:color w:val="231F20"/>
          <w:spacing w:val="-21"/>
          <w:w w:val="110"/>
        </w:rPr>
        <w:t> </w:t>
      </w:r>
      <w:r>
        <w:rPr>
          <w:color w:val="231F20"/>
          <w:w w:val="110"/>
        </w:rPr>
        <w:t>decenios.</w:t>
      </w:r>
    </w:p>
    <w:p>
      <w:pPr>
        <w:pStyle w:val="BodyText"/>
        <w:spacing w:line="261" w:lineRule="auto"/>
        <w:ind w:left="100" w:right="113" w:firstLine="240"/>
        <w:jc w:val="both"/>
      </w:pPr>
      <w:r>
        <w:rPr>
          <w:color w:val="231F20"/>
          <w:w w:val="110"/>
        </w:rPr>
        <w:t>La </w:t>
      </w:r>
      <w:r>
        <w:rPr>
          <w:color w:val="231F20"/>
          <w:spacing w:val="3"/>
          <w:w w:val="110"/>
        </w:rPr>
        <w:t>interpretación financiera </w:t>
      </w:r>
      <w:r>
        <w:rPr>
          <w:color w:val="231F20"/>
          <w:w w:val="110"/>
        </w:rPr>
        <w:t>de la </w:t>
      </w:r>
      <w:r>
        <w:rPr>
          <w:color w:val="231F20"/>
          <w:spacing w:val="3"/>
          <w:w w:val="110"/>
        </w:rPr>
        <w:t>dinámica económica </w:t>
      </w:r>
      <w:r>
        <w:rPr>
          <w:color w:val="231F20"/>
          <w:w w:val="110"/>
        </w:rPr>
        <w:t>y de </w:t>
      </w:r>
      <w:r>
        <w:rPr>
          <w:color w:val="231F20"/>
          <w:spacing w:val="4"/>
          <w:w w:val="110"/>
        </w:rPr>
        <w:t>la </w:t>
      </w:r>
      <w:r>
        <w:rPr>
          <w:color w:val="231F20"/>
          <w:spacing w:val="3"/>
          <w:w w:val="110"/>
        </w:rPr>
        <w:t>crisis</w:t>
      </w:r>
      <w:r>
        <w:rPr>
          <w:color w:val="231F20"/>
          <w:spacing w:val="-5"/>
          <w:w w:val="110"/>
        </w:rPr>
        <w:t> </w:t>
      </w:r>
      <w:r>
        <w:rPr>
          <w:color w:val="231F20"/>
          <w:spacing w:val="3"/>
          <w:w w:val="110"/>
        </w:rPr>
        <w:t>actual,</w:t>
      </w:r>
      <w:r>
        <w:rPr>
          <w:color w:val="231F20"/>
          <w:spacing w:val="-5"/>
          <w:w w:val="110"/>
        </w:rPr>
        <w:t> </w:t>
      </w:r>
      <w:r>
        <w:rPr>
          <w:color w:val="231F20"/>
          <w:spacing w:val="3"/>
          <w:w w:val="110"/>
        </w:rPr>
        <w:t>invisibiliza</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spacing w:val="3"/>
          <w:w w:val="110"/>
        </w:rPr>
        <w:t>cierto</w:t>
      </w:r>
      <w:r>
        <w:rPr>
          <w:color w:val="231F20"/>
          <w:spacing w:val="-5"/>
          <w:w w:val="110"/>
        </w:rPr>
        <w:t> </w:t>
      </w:r>
      <w:r>
        <w:rPr>
          <w:color w:val="231F20"/>
          <w:spacing w:val="3"/>
          <w:w w:val="110"/>
        </w:rPr>
        <w:t>sentido</w:t>
      </w:r>
      <w:r>
        <w:rPr>
          <w:color w:val="231F20"/>
          <w:spacing w:val="-5"/>
          <w:w w:val="110"/>
        </w:rPr>
        <w:t> </w:t>
      </w:r>
      <w:r>
        <w:rPr>
          <w:color w:val="231F20"/>
          <w:spacing w:val="3"/>
          <w:w w:val="110"/>
        </w:rPr>
        <w:t>oculta,</w:t>
      </w:r>
      <w:r>
        <w:rPr>
          <w:color w:val="231F20"/>
          <w:spacing w:val="-5"/>
          <w:w w:val="110"/>
        </w:rPr>
        <w:t> </w:t>
      </w:r>
      <w:r>
        <w:rPr>
          <w:color w:val="231F20"/>
          <w:w w:val="110"/>
        </w:rPr>
        <w:t>la</w:t>
      </w:r>
      <w:r>
        <w:rPr>
          <w:color w:val="231F20"/>
          <w:spacing w:val="-5"/>
          <w:w w:val="110"/>
        </w:rPr>
        <w:t> </w:t>
      </w:r>
      <w:r>
        <w:rPr>
          <w:color w:val="231F20"/>
          <w:spacing w:val="3"/>
          <w:w w:val="110"/>
        </w:rPr>
        <w:t>responsabili- </w:t>
      </w:r>
      <w:r>
        <w:rPr>
          <w:color w:val="231F20"/>
          <w:spacing w:val="2"/>
          <w:w w:val="110"/>
        </w:rPr>
        <w:t>dad del </w:t>
      </w:r>
      <w:r>
        <w:rPr>
          <w:color w:val="231F20"/>
          <w:spacing w:val="3"/>
          <w:w w:val="110"/>
        </w:rPr>
        <w:t>gran crecimiento </w:t>
      </w:r>
      <w:r>
        <w:rPr>
          <w:color w:val="231F20"/>
          <w:w w:val="110"/>
        </w:rPr>
        <w:t>de la </w:t>
      </w:r>
      <w:r>
        <w:rPr>
          <w:color w:val="231F20"/>
          <w:spacing w:val="3"/>
          <w:w w:val="110"/>
        </w:rPr>
        <w:t>producción mundial </w:t>
      </w:r>
      <w:r>
        <w:rPr>
          <w:color w:val="231F20"/>
          <w:w w:val="110"/>
        </w:rPr>
        <w:t>y la </w:t>
      </w:r>
      <w:r>
        <w:rPr>
          <w:color w:val="231F20"/>
          <w:spacing w:val="3"/>
          <w:w w:val="110"/>
        </w:rPr>
        <w:t>profundi- zación </w:t>
      </w:r>
      <w:r>
        <w:rPr>
          <w:color w:val="231F20"/>
          <w:w w:val="110"/>
        </w:rPr>
        <w:t>de </w:t>
      </w:r>
      <w:r>
        <w:rPr>
          <w:color w:val="231F20"/>
          <w:spacing w:val="2"/>
          <w:w w:val="110"/>
        </w:rPr>
        <w:t>los </w:t>
      </w:r>
      <w:r>
        <w:rPr>
          <w:color w:val="231F20"/>
          <w:spacing w:val="3"/>
          <w:w w:val="110"/>
        </w:rPr>
        <w:t>graves daños </w:t>
      </w:r>
      <w:r>
        <w:rPr>
          <w:color w:val="231F20"/>
          <w:w w:val="110"/>
        </w:rPr>
        <w:t>a la </w:t>
      </w:r>
      <w:r>
        <w:rPr>
          <w:color w:val="231F20"/>
          <w:spacing w:val="3"/>
          <w:w w:val="110"/>
        </w:rPr>
        <w:t>naturaleza. Nuestra </w:t>
      </w:r>
      <w:r>
        <w:rPr>
          <w:color w:val="231F20"/>
          <w:spacing w:val="4"/>
          <w:w w:val="110"/>
        </w:rPr>
        <w:t>interpretación </w:t>
      </w:r>
      <w:r>
        <w:rPr>
          <w:color w:val="231F20"/>
          <w:spacing w:val="2"/>
          <w:w w:val="110"/>
        </w:rPr>
        <w:t>que </w:t>
      </w:r>
      <w:r>
        <w:rPr>
          <w:color w:val="231F20"/>
          <w:spacing w:val="3"/>
          <w:w w:val="110"/>
        </w:rPr>
        <w:t>concentra </w:t>
      </w:r>
      <w:r>
        <w:rPr>
          <w:color w:val="231F20"/>
          <w:w w:val="110"/>
        </w:rPr>
        <w:t>la </w:t>
      </w:r>
      <w:r>
        <w:rPr>
          <w:color w:val="231F20"/>
          <w:spacing w:val="3"/>
          <w:w w:val="110"/>
        </w:rPr>
        <w:t>explicación </w:t>
      </w:r>
      <w:r>
        <w:rPr>
          <w:color w:val="231F20"/>
          <w:w w:val="110"/>
        </w:rPr>
        <w:t>en  el  </w:t>
      </w:r>
      <w:r>
        <w:rPr>
          <w:color w:val="231F20"/>
          <w:spacing w:val="3"/>
          <w:w w:val="110"/>
        </w:rPr>
        <w:t>incremento </w:t>
      </w:r>
      <w:r>
        <w:rPr>
          <w:color w:val="231F20"/>
          <w:w w:val="110"/>
        </w:rPr>
        <w:t>de  la  </w:t>
      </w:r>
      <w:r>
        <w:rPr>
          <w:color w:val="231F20"/>
          <w:spacing w:val="4"/>
          <w:w w:val="110"/>
        </w:rPr>
        <w:t>producción </w:t>
      </w:r>
      <w:r>
        <w:rPr>
          <w:color w:val="231F20"/>
          <w:w w:val="110"/>
        </w:rPr>
        <w:t>y </w:t>
      </w:r>
      <w:r>
        <w:rPr>
          <w:color w:val="231F20"/>
          <w:spacing w:val="2"/>
          <w:w w:val="110"/>
        </w:rPr>
        <w:t>del </w:t>
      </w:r>
      <w:r>
        <w:rPr>
          <w:color w:val="231F20"/>
          <w:spacing w:val="3"/>
          <w:w w:val="110"/>
        </w:rPr>
        <w:t>dominio </w:t>
      </w:r>
      <w:r>
        <w:rPr>
          <w:color w:val="231F20"/>
          <w:spacing w:val="2"/>
          <w:w w:val="110"/>
        </w:rPr>
        <w:t>del </w:t>
      </w:r>
      <w:r>
        <w:rPr>
          <w:color w:val="231F20"/>
          <w:spacing w:val="3"/>
          <w:w w:val="110"/>
        </w:rPr>
        <w:t>capital sobre </w:t>
      </w:r>
      <w:r>
        <w:rPr>
          <w:color w:val="231F20"/>
          <w:w w:val="110"/>
        </w:rPr>
        <w:t>el </w:t>
      </w:r>
      <w:r>
        <w:rPr>
          <w:color w:val="231F20"/>
          <w:spacing w:val="3"/>
          <w:w w:val="110"/>
        </w:rPr>
        <w:t>trabajo, sobre </w:t>
      </w:r>
      <w:r>
        <w:rPr>
          <w:color w:val="231F20"/>
          <w:w w:val="110"/>
        </w:rPr>
        <w:t>la </w:t>
      </w:r>
      <w:r>
        <w:rPr>
          <w:color w:val="231F20"/>
          <w:spacing w:val="3"/>
          <w:w w:val="110"/>
        </w:rPr>
        <w:t>naturaleza </w:t>
      </w:r>
      <w:r>
        <w:rPr>
          <w:color w:val="231F20"/>
          <w:w w:val="110"/>
        </w:rPr>
        <w:t>y </w:t>
      </w:r>
      <w:r>
        <w:rPr>
          <w:color w:val="231F20"/>
          <w:spacing w:val="3"/>
          <w:w w:val="110"/>
        </w:rPr>
        <w:t>sobre </w:t>
      </w:r>
      <w:r>
        <w:rPr>
          <w:color w:val="231F20"/>
          <w:spacing w:val="2"/>
          <w:w w:val="110"/>
        </w:rPr>
        <w:t>los </w:t>
      </w:r>
      <w:r>
        <w:rPr>
          <w:color w:val="231F20"/>
          <w:spacing w:val="3"/>
          <w:w w:val="110"/>
        </w:rPr>
        <w:t>Estados, establece </w:t>
      </w:r>
      <w:r>
        <w:rPr>
          <w:color w:val="231F20"/>
          <w:spacing w:val="2"/>
          <w:w w:val="110"/>
        </w:rPr>
        <w:t>una </w:t>
      </w:r>
      <w:r>
        <w:rPr>
          <w:color w:val="231F20"/>
          <w:spacing w:val="3"/>
          <w:w w:val="110"/>
        </w:rPr>
        <w:t>relación directa </w:t>
      </w:r>
      <w:r>
        <w:rPr>
          <w:color w:val="231F20"/>
          <w:spacing w:val="2"/>
          <w:w w:val="110"/>
        </w:rPr>
        <w:t>con los </w:t>
      </w:r>
      <w:r>
        <w:rPr>
          <w:color w:val="231F20"/>
          <w:spacing w:val="4"/>
          <w:w w:val="110"/>
        </w:rPr>
        <w:t>daños     </w:t>
      </w:r>
      <w:r>
        <w:rPr>
          <w:color w:val="231F20"/>
          <w:w w:val="110"/>
        </w:rPr>
        <w:t>a la </w:t>
      </w:r>
      <w:r>
        <w:rPr>
          <w:color w:val="231F20"/>
          <w:spacing w:val="3"/>
          <w:w w:val="110"/>
        </w:rPr>
        <w:t>naturaleza. </w:t>
      </w:r>
      <w:r>
        <w:rPr>
          <w:color w:val="231F20"/>
          <w:spacing w:val="2"/>
          <w:w w:val="110"/>
        </w:rPr>
        <w:t>Por </w:t>
      </w:r>
      <w:r>
        <w:rPr>
          <w:color w:val="231F20"/>
          <w:spacing w:val="3"/>
          <w:w w:val="110"/>
        </w:rPr>
        <w:t>ejemplo, </w:t>
      </w:r>
      <w:r>
        <w:rPr>
          <w:color w:val="231F20"/>
          <w:w w:val="110"/>
        </w:rPr>
        <w:t>el </w:t>
      </w:r>
      <w:r>
        <w:rPr>
          <w:color w:val="231F20"/>
          <w:spacing w:val="3"/>
          <w:w w:val="110"/>
        </w:rPr>
        <w:t>gran derrame </w:t>
      </w:r>
      <w:r>
        <w:rPr>
          <w:color w:val="231F20"/>
          <w:w w:val="110"/>
        </w:rPr>
        <w:t>de </w:t>
      </w:r>
      <w:r>
        <w:rPr>
          <w:color w:val="231F20"/>
          <w:spacing w:val="3"/>
          <w:w w:val="110"/>
        </w:rPr>
        <w:t>petróleo </w:t>
      </w:r>
      <w:r>
        <w:rPr>
          <w:color w:val="231F20"/>
          <w:w w:val="110"/>
        </w:rPr>
        <w:t>en </w:t>
      </w:r>
      <w:r>
        <w:rPr>
          <w:color w:val="231F20"/>
          <w:spacing w:val="4"/>
          <w:w w:val="110"/>
        </w:rPr>
        <w:t>el </w:t>
      </w:r>
      <w:r>
        <w:rPr>
          <w:color w:val="231F20"/>
          <w:spacing w:val="3"/>
          <w:w w:val="110"/>
        </w:rPr>
        <w:t>Golfo </w:t>
      </w:r>
      <w:r>
        <w:rPr>
          <w:color w:val="231F20"/>
          <w:w w:val="110"/>
        </w:rPr>
        <w:t>de </w:t>
      </w:r>
      <w:r>
        <w:rPr>
          <w:color w:val="231F20"/>
          <w:spacing w:val="3"/>
          <w:w w:val="110"/>
        </w:rPr>
        <w:t>México; </w:t>
      </w:r>
      <w:r>
        <w:rPr>
          <w:color w:val="231F20"/>
          <w:spacing w:val="2"/>
          <w:w w:val="110"/>
        </w:rPr>
        <w:t>los </w:t>
      </w:r>
      <w:r>
        <w:rPr>
          <w:color w:val="231F20"/>
          <w:spacing w:val="3"/>
          <w:w w:val="110"/>
        </w:rPr>
        <w:t>incendios forestales </w:t>
      </w:r>
      <w:r>
        <w:rPr>
          <w:color w:val="231F20"/>
          <w:w w:val="110"/>
        </w:rPr>
        <w:t>en </w:t>
      </w:r>
      <w:r>
        <w:rPr>
          <w:color w:val="231F20"/>
          <w:spacing w:val="2"/>
          <w:w w:val="110"/>
        </w:rPr>
        <w:t>los </w:t>
      </w:r>
      <w:r>
        <w:rPr>
          <w:color w:val="231F20"/>
          <w:spacing w:val="3"/>
          <w:w w:val="110"/>
        </w:rPr>
        <w:t>alrededores </w:t>
      </w:r>
      <w:r>
        <w:rPr>
          <w:color w:val="231F20"/>
          <w:spacing w:val="4"/>
          <w:w w:val="110"/>
        </w:rPr>
        <w:t>de </w:t>
      </w:r>
      <w:r>
        <w:rPr>
          <w:color w:val="231F20"/>
          <w:spacing w:val="3"/>
          <w:w w:val="110"/>
        </w:rPr>
        <w:t>Moscú; </w:t>
      </w:r>
      <w:r>
        <w:rPr>
          <w:color w:val="231F20"/>
          <w:w w:val="110"/>
        </w:rPr>
        <w:t>y el </w:t>
      </w:r>
      <w:r>
        <w:rPr>
          <w:color w:val="231F20"/>
          <w:spacing w:val="3"/>
          <w:w w:val="110"/>
        </w:rPr>
        <w:t>derrumbe </w:t>
      </w:r>
      <w:r>
        <w:rPr>
          <w:color w:val="231F20"/>
          <w:w w:val="110"/>
        </w:rPr>
        <w:t>de la </w:t>
      </w:r>
      <w:r>
        <w:rPr>
          <w:color w:val="231F20"/>
          <w:spacing w:val="3"/>
          <w:w w:val="110"/>
        </w:rPr>
        <w:t>mina </w:t>
      </w:r>
      <w:r>
        <w:rPr>
          <w:color w:val="231F20"/>
          <w:w w:val="110"/>
        </w:rPr>
        <w:t>de </w:t>
      </w:r>
      <w:r>
        <w:rPr>
          <w:color w:val="231F20"/>
          <w:spacing w:val="3"/>
          <w:w w:val="110"/>
        </w:rPr>
        <w:t>cobre </w:t>
      </w:r>
      <w:r>
        <w:rPr>
          <w:color w:val="231F20"/>
          <w:w w:val="110"/>
        </w:rPr>
        <w:t>en </w:t>
      </w:r>
      <w:r>
        <w:rPr>
          <w:color w:val="231F20"/>
          <w:spacing w:val="2"/>
          <w:w w:val="110"/>
        </w:rPr>
        <w:t>San </w:t>
      </w:r>
      <w:r>
        <w:rPr>
          <w:color w:val="231F20"/>
          <w:spacing w:val="3"/>
          <w:w w:val="110"/>
        </w:rPr>
        <w:t>José, Chile, </w:t>
      </w:r>
      <w:r>
        <w:rPr>
          <w:color w:val="231F20"/>
          <w:spacing w:val="4"/>
          <w:w w:val="110"/>
        </w:rPr>
        <w:t>que </w:t>
      </w:r>
      <w:r>
        <w:rPr>
          <w:color w:val="231F20"/>
          <w:spacing w:val="3"/>
          <w:w w:val="110"/>
        </w:rPr>
        <w:t>mantuvo atrapados </w:t>
      </w:r>
      <w:r>
        <w:rPr>
          <w:color w:val="231F20"/>
          <w:w w:val="110"/>
        </w:rPr>
        <w:t>a 33 </w:t>
      </w:r>
      <w:r>
        <w:rPr>
          <w:color w:val="231F20"/>
          <w:spacing w:val="3"/>
          <w:w w:val="110"/>
        </w:rPr>
        <w:t>mineros </w:t>
      </w:r>
      <w:r>
        <w:rPr>
          <w:color w:val="231F20"/>
          <w:w w:val="110"/>
        </w:rPr>
        <w:t>a </w:t>
      </w:r>
      <w:r>
        <w:rPr>
          <w:color w:val="231F20"/>
          <w:spacing w:val="2"/>
          <w:w w:val="110"/>
        </w:rPr>
        <w:t>700 </w:t>
      </w:r>
      <w:r>
        <w:rPr>
          <w:color w:val="231F20"/>
          <w:spacing w:val="3"/>
          <w:w w:val="110"/>
        </w:rPr>
        <w:t>metros </w:t>
      </w:r>
      <w:r>
        <w:rPr>
          <w:color w:val="231F20"/>
          <w:w w:val="110"/>
        </w:rPr>
        <w:t>de </w:t>
      </w:r>
      <w:r>
        <w:rPr>
          <w:color w:val="231F20"/>
          <w:spacing w:val="3"/>
          <w:w w:val="110"/>
        </w:rPr>
        <w:t>profundidad,</w:t>
      </w:r>
      <w:r>
        <w:rPr>
          <w:color w:val="231F20"/>
          <w:spacing w:val="-18"/>
          <w:w w:val="110"/>
        </w:rPr>
        <w:t> </w:t>
      </w:r>
      <w:r>
        <w:rPr>
          <w:color w:val="231F20"/>
          <w:spacing w:val="4"/>
          <w:w w:val="110"/>
        </w:rPr>
        <w:t>son </w:t>
      </w:r>
      <w:r>
        <w:rPr>
          <w:color w:val="231F20"/>
          <w:w w:val="110"/>
        </w:rPr>
        <w:t>el </w:t>
      </w:r>
      <w:r>
        <w:rPr>
          <w:color w:val="231F20"/>
          <w:spacing w:val="3"/>
          <w:w w:val="110"/>
        </w:rPr>
        <w:t>resultado directo </w:t>
      </w:r>
      <w:r>
        <w:rPr>
          <w:color w:val="231F20"/>
          <w:spacing w:val="2"/>
          <w:w w:val="110"/>
        </w:rPr>
        <w:t>del </w:t>
      </w:r>
      <w:r>
        <w:rPr>
          <w:color w:val="231F20"/>
          <w:spacing w:val="3"/>
          <w:w w:val="110"/>
        </w:rPr>
        <w:t>dominio </w:t>
      </w:r>
      <w:r>
        <w:rPr>
          <w:color w:val="231F20"/>
          <w:spacing w:val="2"/>
          <w:w w:val="110"/>
        </w:rPr>
        <w:t>del </w:t>
      </w:r>
      <w:r>
        <w:rPr>
          <w:color w:val="231F20"/>
          <w:spacing w:val="3"/>
          <w:w w:val="110"/>
        </w:rPr>
        <w:t>capital sobre </w:t>
      </w:r>
      <w:r>
        <w:rPr>
          <w:color w:val="231F20"/>
          <w:w w:val="110"/>
        </w:rPr>
        <w:t>la </w:t>
      </w:r>
      <w:r>
        <w:rPr>
          <w:color w:val="231F20"/>
          <w:spacing w:val="3"/>
          <w:w w:val="110"/>
        </w:rPr>
        <w:t>naturaleza </w:t>
      </w:r>
      <w:r>
        <w:rPr>
          <w:color w:val="231F20"/>
          <w:w w:val="110"/>
        </w:rPr>
        <w:t>y </w:t>
      </w:r>
      <w:r>
        <w:rPr>
          <w:color w:val="231F20"/>
          <w:spacing w:val="3"/>
          <w:w w:val="110"/>
        </w:rPr>
        <w:t>sobre </w:t>
      </w:r>
      <w:r>
        <w:rPr>
          <w:color w:val="231F20"/>
          <w:spacing w:val="2"/>
          <w:w w:val="110"/>
        </w:rPr>
        <w:t>los</w:t>
      </w:r>
      <w:r>
        <w:rPr>
          <w:color w:val="231F20"/>
          <w:spacing w:val="16"/>
          <w:w w:val="110"/>
        </w:rPr>
        <w:t> </w:t>
      </w:r>
      <w:r>
        <w:rPr>
          <w:color w:val="231F20"/>
          <w:spacing w:val="4"/>
          <w:w w:val="110"/>
        </w:rPr>
        <w:t>trabajadores.</w:t>
      </w:r>
    </w:p>
    <w:p>
      <w:pPr>
        <w:pStyle w:val="BodyText"/>
        <w:spacing w:line="261" w:lineRule="auto"/>
        <w:ind w:left="100" w:right="117" w:firstLine="240"/>
        <w:jc w:val="both"/>
      </w:pPr>
      <w:r>
        <w:rPr>
          <w:color w:val="231F20"/>
          <w:w w:val="110"/>
        </w:rPr>
        <w:t>Nuestra interpretación de la dinámica económica mundial y de   la crisis actual, podría facilitar la organización de los trabajadores y de los movimientos sociales, al mostrar que ellos participan directa- mente en la explicación del funcionamiento del capitalismo y de la crisis actual, a través de la disminución de los salarios y de la</w:t>
      </w:r>
      <w:r>
        <w:rPr>
          <w:color w:val="231F20"/>
          <w:spacing w:val="-12"/>
          <w:w w:val="110"/>
        </w:rPr>
        <w:t> </w:t>
      </w:r>
      <w:r>
        <w:rPr>
          <w:color w:val="231F20"/>
          <w:w w:val="110"/>
        </w:rPr>
        <w:t>dismi- nución de la renta de los recursos naturales. Adicionalmente, esta capacidad movilizadora podría aumentar, ya que la crisis reciente </w:t>
      </w:r>
      <w:r>
        <w:rPr>
          <w:color w:val="231F20"/>
          <w:spacing w:val="15"/>
          <w:w w:val="110"/>
        </w:rPr>
        <w:t> </w:t>
      </w:r>
      <w:r>
        <w:rPr>
          <w:color w:val="231F20"/>
          <w:w w:val="110"/>
        </w:rPr>
        <w:t>y</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10"/>
        </w:rPr>
        <w:t>particularmente, la actual, ha significado una expropiación de parte significativa de los fondos de pensiones y de otros fondos.</w:t>
      </w:r>
    </w:p>
    <w:p>
      <w:pPr>
        <w:pStyle w:val="BodyText"/>
        <w:spacing w:line="261" w:lineRule="auto"/>
        <w:ind w:left="100" w:right="113" w:firstLine="240"/>
        <w:jc w:val="both"/>
      </w:pPr>
      <w:r>
        <w:rPr>
          <w:color w:val="231F20"/>
          <w:w w:val="105"/>
        </w:rPr>
        <w:t>Sin embargo, esta crisis se da en condiciones de una gran debilidad de las organizaciones sindicales y de los movimientos sociales, y sobre ellos recae fundamentalmente el peso de la crisis actual. Incluso, las movilizaciones en Europa, han sido limitadas, hasta ahora, frente a    las drásticas medidas sobre los trabajadores y sobre los beneficios sociales.</w:t>
      </w:r>
    </w:p>
    <w:p>
      <w:pPr>
        <w:pStyle w:val="BodyText"/>
        <w:spacing w:line="261" w:lineRule="auto"/>
        <w:ind w:left="100" w:right="117" w:firstLine="240"/>
        <w:jc w:val="both"/>
      </w:pPr>
      <w:r>
        <w:rPr>
          <w:color w:val="231F20"/>
          <w:w w:val="110"/>
        </w:rPr>
        <w:t>Esta crisis, a diferencia de la crisis de inicios de los años ochenta se produce en condiciones de ganancias y tasas de ganancias eleva- das, especialmente de las grandes empresas productoras de bienes   y servicios. Estas ganancias han disminuido pero aún se mantienen en niveles</w:t>
      </w:r>
      <w:r>
        <w:rPr>
          <w:color w:val="231F20"/>
          <w:spacing w:val="-40"/>
          <w:w w:val="110"/>
        </w:rPr>
        <w:t> </w:t>
      </w:r>
      <w:r>
        <w:rPr>
          <w:color w:val="231F20"/>
          <w:w w:val="110"/>
        </w:rPr>
        <w:t>elevados.</w:t>
      </w:r>
    </w:p>
    <w:p>
      <w:pPr>
        <w:pStyle w:val="BodyText"/>
        <w:spacing w:line="261" w:lineRule="auto"/>
        <w:ind w:left="100" w:right="117" w:firstLine="240"/>
        <w:jc w:val="both"/>
      </w:pPr>
      <w:r>
        <w:rPr>
          <w:color w:val="231F20"/>
          <w:w w:val="110"/>
        </w:rPr>
        <w:t>Con la crisis, las ganancias de las instituciones financieras</w:t>
      </w:r>
      <w:r>
        <w:rPr>
          <w:color w:val="231F20"/>
          <w:spacing w:val="-10"/>
          <w:w w:val="110"/>
        </w:rPr>
        <w:t> </w:t>
      </w:r>
      <w:r>
        <w:rPr>
          <w:color w:val="231F20"/>
          <w:w w:val="110"/>
        </w:rPr>
        <w:t>habían disminuido</w:t>
      </w:r>
      <w:r>
        <w:rPr>
          <w:color w:val="231F20"/>
          <w:spacing w:val="-14"/>
          <w:w w:val="110"/>
        </w:rPr>
        <w:t> </w:t>
      </w:r>
      <w:r>
        <w:rPr>
          <w:color w:val="231F20"/>
          <w:w w:val="110"/>
        </w:rPr>
        <w:t>considerablemente.</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últimos</w:t>
      </w:r>
      <w:r>
        <w:rPr>
          <w:color w:val="231F20"/>
          <w:spacing w:val="-14"/>
          <w:w w:val="110"/>
        </w:rPr>
        <w:t> </w:t>
      </w:r>
      <w:r>
        <w:rPr>
          <w:color w:val="231F20"/>
          <w:w w:val="110"/>
        </w:rPr>
        <w:t>trimestres,</w:t>
      </w:r>
      <w:r>
        <w:rPr>
          <w:color w:val="231F20"/>
          <w:spacing w:val="-14"/>
          <w:w w:val="110"/>
        </w:rPr>
        <w:t> </w:t>
      </w:r>
      <w:r>
        <w:rPr>
          <w:color w:val="231F20"/>
          <w:w w:val="110"/>
        </w:rPr>
        <w:t>la</w:t>
      </w:r>
      <w:r>
        <w:rPr>
          <w:color w:val="231F20"/>
          <w:spacing w:val="-14"/>
          <w:w w:val="110"/>
        </w:rPr>
        <w:t> </w:t>
      </w:r>
      <w:r>
        <w:rPr>
          <w:color w:val="231F20"/>
          <w:w w:val="110"/>
        </w:rPr>
        <w:t>informa- ción para Estados Unidos muestra que sus ganancias han</w:t>
      </w:r>
      <w:r>
        <w:rPr>
          <w:color w:val="231F20"/>
          <w:spacing w:val="-31"/>
          <w:w w:val="110"/>
        </w:rPr>
        <w:t> </w:t>
      </w:r>
      <w:r>
        <w:rPr>
          <w:color w:val="231F20"/>
          <w:w w:val="110"/>
        </w:rPr>
        <w:t>recuperado los</w:t>
      </w:r>
      <w:r>
        <w:rPr>
          <w:color w:val="231F20"/>
          <w:spacing w:val="-14"/>
          <w:w w:val="110"/>
        </w:rPr>
        <w:t> </w:t>
      </w:r>
      <w:r>
        <w:rPr>
          <w:color w:val="231F20"/>
          <w:w w:val="110"/>
        </w:rPr>
        <w:t>altos</w:t>
      </w:r>
      <w:r>
        <w:rPr>
          <w:color w:val="231F20"/>
          <w:spacing w:val="-14"/>
          <w:w w:val="110"/>
        </w:rPr>
        <w:t> </w:t>
      </w:r>
      <w:r>
        <w:rPr>
          <w:color w:val="231F20"/>
          <w:w w:val="110"/>
        </w:rPr>
        <w:t>niveles</w:t>
      </w:r>
      <w:r>
        <w:rPr>
          <w:color w:val="231F20"/>
          <w:spacing w:val="-14"/>
          <w:w w:val="110"/>
        </w:rPr>
        <w:t> </w:t>
      </w:r>
      <w:r>
        <w:rPr>
          <w:color w:val="231F20"/>
          <w:w w:val="110"/>
        </w:rPr>
        <w:t>previos</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crisis.</w:t>
      </w:r>
    </w:p>
    <w:p>
      <w:pPr>
        <w:pStyle w:val="BodyText"/>
        <w:spacing w:line="261" w:lineRule="auto"/>
        <w:ind w:left="100" w:right="118" w:firstLine="240"/>
        <w:jc w:val="both"/>
      </w:pPr>
      <w:r>
        <w:rPr>
          <w:color w:val="231F20"/>
          <w:w w:val="110"/>
        </w:rPr>
        <w:t>Ha</w:t>
      </w:r>
      <w:r>
        <w:rPr>
          <w:color w:val="231F20"/>
          <w:spacing w:val="-9"/>
          <w:w w:val="110"/>
        </w:rPr>
        <w:t> </w:t>
      </w:r>
      <w:r>
        <w:rPr>
          <w:color w:val="231F20"/>
          <w:w w:val="110"/>
        </w:rPr>
        <w:t>sido</w:t>
      </w:r>
      <w:r>
        <w:rPr>
          <w:color w:val="231F20"/>
          <w:spacing w:val="-9"/>
          <w:w w:val="110"/>
        </w:rPr>
        <w:t> </w:t>
      </w:r>
      <w:r>
        <w:rPr>
          <w:color w:val="231F20"/>
          <w:w w:val="110"/>
        </w:rPr>
        <w:t>fundamental</w:t>
      </w:r>
      <w:r>
        <w:rPr>
          <w:color w:val="231F20"/>
          <w:spacing w:val="-9"/>
          <w:w w:val="110"/>
        </w:rPr>
        <w:t> </w:t>
      </w:r>
      <w:r>
        <w:rPr>
          <w:color w:val="231F20"/>
          <w:w w:val="110"/>
        </w:rPr>
        <w:t>el</w:t>
      </w:r>
      <w:r>
        <w:rPr>
          <w:color w:val="231F20"/>
          <w:spacing w:val="-9"/>
          <w:w w:val="110"/>
        </w:rPr>
        <w:t> </w:t>
      </w:r>
      <w:r>
        <w:rPr>
          <w:color w:val="231F20"/>
          <w:w w:val="110"/>
        </w:rPr>
        <w:t>papel</w:t>
      </w:r>
      <w:r>
        <w:rPr>
          <w:color w:val="231F20"/>
          <w:spacing w:val="-9"/>
          <w:w w:val="110"/>
        </w:rPr>
        <w:t> </w:t>
      </w:r>
      <w:r>
        <w:rPr>
          <w:color w:val="231F20"/>
          <w:w w:val="110"/>
        </w:rPr>
        <w:t>de</w:t>
      </w:r>
      <w:r>
        <w:rPr>
          <w:color w:val="231F20"/>
          <w:spacing w:val="-9"/>
          <w:w w:val="110"/>
        </w:rPr>
        <w:t> </w:t>
      </w:r>
      <w:r>
        <w:rPr>
          <w:color w:val="231F20"/>
          <w:w w:val="110"/>
        </w:rPr>
        <w:t>China</w:t>
      </w:r>
      <w:r>
        <w:rPr>
          <w:color w:val="231F20"/>
          <w:spacing w:val="-9"/>
          <w:w w:val="110"/>
        </w:rPr>
        <w:t> </w:t>
      </w:r>
      <w:r>
        <w:rPr>
          <w:color w:val="231F20"/>
          <w:w w:val="110"/>
        </w:rPr>
        <w:t>evitando</w:t>
      </w:r>
      <w:r>
        <w:rPr>
          <w:color w:val="231F20"/>
          <w:spacing w:val="-9"/>
          <w:w w:val="110"/>
        </w:rPr>
        <w:t> </w:t>
      </w:r>
      <w:r>
        <w:rPr>
          <w:color w:val="231F20"/>
          <w:w w:val="110"/>
        </w:rPr>
        <w:t>la</w:t>
      </w:r>
      <w:r>
        <w:rPr>
          <w:color w:val="231F20"/>
          <w:spacing w:val="-9"/>
          <w:w w:val="110"/>
        </w:rPr>
        <w:t> </w:t>
      </w:r>
      <w:r>
        <w:rPr>
          <w:color w:val="231F20"/>
          <w:w w:val="110"/>
        </w:rPr>
        <w:t>profundización de la crisis en Estados Unidos, en Europa y en el </w:t>
      </w:r>
      <w:r>
        <w:rPr>
          <w:color w:val="231F20"/>
          <w:spacing w:val="24"/>
          <w:w w:val="110"/>
        </w:rPr>
        <w:t> </w:t>
      </w:r>
      <w:r>
        <w:rPr>
          <w:color w:val="231F20"/>
          <w:w w:val="110"/>
        </w:rPr>
        <w:t>mundo.</w:t>
      </w:r>
    </w:p>
    <w:p>
      <w:pPr>
        <w:pStyle w:val="BodyText"/>
        <w:spacing w:line="261" w:lineRule="auto"/>
        <w:ind w:left="100" w:right="119" w:firstLine="240"/>
        <w:jc w:val="right"/>
      </w:pPr>
      <w:r>
        <w:rPr>
          <w:color w:val="231F20"/>
          <w:w w:val="110"/>
        </w:rPr>
        <w:t>Hay</w:t>
      </w:r>
      <w:r>
        <w:rPr>
          <w:color w:val="231F20"/>
          <w:spacing w:val="34"/>
          <w:w w:val="110"/>
        </w:rPr>
        <w:t> </w:t>
      </w:r>
      <w:r>
        <w:rPr>
          <w:color w:val="231F20"/>
          <w:w w:val="110"/>
        </w:rPr>
        <w:t>un</w:t>
      </w:r>
      <w:r>
        <w:rPr>
          <w:color w:val="231F20"/>
          <w:spacing w:val="34"/>
          <w:w w:val="110"/>
        </w:rPr>
        <w:t> </w:t>
      </w:r>
      <w:r>
        <w:rPr>
          <w:color w:val="231F20"/>
          <w:w w:val="110"/>
        </w:rPr>
        <w:t>exceso</w:t>
      </w:r>
      <w:r>
        <w:rPr>
          <w:color w:val="231F20"/>
          <w:spacing w:val="34"/>
          <w:w w:val="110"/>
        </w:rPr>
        <w:t> </w:t>
      </w:r>
      <w:r>
        <w:rPr>
          <w:color w:val="231F20"/>
          <w:w w:val="110"/>
        </w:rPr>
        <w:t>de</w:t>
      </w:r>
      <w:r>
        <w:rPr>
          <w:color w:val="231F20"/>
          <w:spacing w:val="34"/>
          <w:w w:val="110"/>
        </w:rPr>
        <w:t> </w:t>
      </w:r>
      <w:r>
        <w:rPr>
          <w:color w:val="231F20"/>
          <w:w w:val="110"/>
        </w:rPr>
        <w:t>dinero</w:t>
      </w:r>
      <w:r>
        <w:rPr>
          <w:color w:val="231F20"/>
          <w:spacing w:val="34"/>
          <w:w w:val="110"/>
        </w:rPr>
        <w:t> </w:t>
      </w:r>
      <w:r>
        <w:rPr>
          <w:color w:val="231F20"/>
          <w:w w:val="110"/>
        </w:rPr>
        <w:t>y</w:t>
      </w:r>
      <w:r>
        <w:rPr>
          <w:color w:val="231F20"/>
          <w:spacing w:val="34"/>
          <w:w w:val="110"/>
        </w:rPr>
        <w:t> </w:t>
      </w:r>
      <w:r>
        <w:rPr>
          <w:color w:val="231F20"/>
          <w:w w:val="110"/>
        </w:rPr>
        <w:t>capital-dinero,</w:t>
      </w:r>
      <w:r>
        <w:rPr>
          <w:color w:val="231F20"/>
          <w:spacing w:val="34"/>
          <w:w w:val="110"/>
        </w:rPr>
        <w:t> </w:t>
      </w:r>
      <w:r>
        <w:rPr>
          <w:color w:val="231F20"/>
          <w:w w:val="110"/>
        </w:rPr>
        <w:t>combinado</w:t>
      </w:r>
      <w:r>
        <w:rPr>
          <w:color w:val="231F20"/>
          <w:spacing w:val="34"/>
          <w:w w:val="110"/>
        </w:rPr>
        <w:t> </w:t>
      </w:r>
      <w:r>
        <w:rPr>
          <w:color w:val="231F20"/>
          <w:w w:val="110"/>
        </w:rPr>
        <w:t>con</w:t>
      </w:r>
      <w:r>
        <w:rPr>
          <w:color w:val="231F20"/>
          <w:spacing w:val="34"/>
          <w:w w:val="110"/>
        </w:rPr>
        <w:t> </w:t>
      </w:r>
      <w:r>
        <w:rPr>
          <w:color w:val="231F20"/>
          <w:w w:val="110"/>
        </w:rPr>
        <w:t>una</w:t>
      </w:r>
      <w:r>
        <w:rPr>
          <w:color w:val="231F20"/>
          <w:w w:val="114"/>
        </w:rPr>
        <w:t> </w:t>
      </w:r>
      <w:r>
        <w:rPr>
          <w:color w:val="231F20"/>
          <w:w w:val="110"/>
        </w:rPr>
        <w:t>fuerte</w:t>
      </w:r>
      <w:r>
        <w:rPr>
          <w:color w:val="231F20"/>
          <w:spacing w:val="-10"/>
          <w:w w:val="110"/>
        </w:rPr>
        <w:t> </w:t>
      </w:r>
      <w:r>
        <w:rPr>
          <w:color w:val="231F20"/>
          <w:w w:val="110"/>
        </w:rPr>
        <w:t>disminución</w:t>
      </w:r>
      <w:r>
        <w:rPr>
          <w:color w:val="231F20"/>
          <w:spacing w:val="-10"/>
          <w:w w:val="110"/>
        </w:rPr>
        <w:t> </w:t>
      </w:r>
      <w:r>
        <w:rPr>
          <w:color w:val="231F20"/>
          <w:w w:val="110"/>
        </w:rPr>
        <w:t>transitoria,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inversión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em-</w:t>
      </w:r>
      <w:r>
        <w:rPr>
          <w:color w:val="231F20"/>
          <w:w w:val="72"/>
        </w:rPr>
        <w:t> </w:t>
      </w:r>
      <w:r>
        <w:rPr>
          <w:color w:val="231F20"/>
          <w:w w:val="110"/>
        </w:rPr>
        <w:t>presas.</w:t>
      </w:r>
      <w:r>
        <w:rPr>
          <w:color w:val="231F20"/>
          <w:spacing w:val="-19"/>
          <w:w w:val="110"/>
        </w:rPr>
        <w:t> </w:t>
      </w:r>
      <w:r>
        <w:rPr>
          <w:color w:val="231F20"/>
          <w:w w:val="110"/>
        </w:rPr>
        <w:t>El</w:t>
      </w:r>
      <w:r>
        <w:rPr>
          <w:color w:val="231F20"/>
          <w:spacing w:val="-19"/>
          <w:w w:val="110"/>
        </w:rPr>
        <w:t> </w:t>
      </w:r>
      <w:r>
        <w:rPr>
          <w:color w:val="231F20"/>
          <w:w w:val="110"/>
        </w:rPr>
        <w:t>exceso</w:t>
      </w:r>
      <w:r>
        <w:rPr>
          <w:color w:val="231F20"/>
          <w:spacing w:val="-19"/>
          <w:w w:val="110"/>
        </w:rPr>
        <w:t> </w:t>
      </w:r>
      <w:r>
        <w:rPr>
          <w:color w:val="231F20"/>
          <w:w w:val="110"/>
        </w:rPr>
        <w:t>de</w:t>
      </w:r>
      <w:r>
        <w:rPr>
          <w:color w:val="231F20"/>
          <w:spacing w:val="-19"/>
          <w:w w:val="110"/>
        </w:rPr>
        <w:t> </w:t>
      </w:r>
      <w:r>
        <w:rPr>
          <w:color w:val="231F20"/>
          <w:w w:val="110"/>
        </w:rPr>
        <w:t>dinero</w:t>
      </w:r>
      <w:r>
        <w:rPr>
          <w:color w:val="231F20"/>
          <w:spacing w:val="-19"/>
          <w:w w:val="110"/>
        </w:rPr>
        <w:t> </w:t>
      </w:r>
      <w:r>
        <w:rPr>
          <w:color w:val="231F20"/>
          <w:w w:val="110"/>
        </w:rPr>
        <w:t>y</w:t>
      </w:r>
      <w:r>
        <w:rPr>
          <w:color w:val="231F20"/>
          <w:spacing w:val="-19"/>
          <w:w w:val="110"/>
        </w:rPr>
        <w:t> </w:t>
      </w:r>
      <w:r>
        <w:rPr>
          <w:color w:val="231F20"/>
          <w:w w:val="110"/>
        </w:rPr>
        <w:t>de</w:t>
      </w:r>
      <w:r>
        <w:rPr>
          <w:color w:val="231F20"/>
          <w:spacing w:val="-19"/>
          <w:w w:val="110"/>
        </w:rPr>
        <w:t> </w:t>
      </w:r>
      <w:r>
        <w:rPr>
          <w:color w:val="231F20"/>
          <w:w w:val="110"/>
        </w:rPr>
        <w:t>capital-dinero</w:t>
      </w:r>
      <w:r>
        <w:rPr>
          <w:color w:val="231F20"/>
          <w:spacing w:val="-19"/>
          <w:w w:val="110"/>
        </w:rPr>
        <w:t> </w:t>
      </w:r>
      <w:r>
        <w:rPr>
          <w:color w:val="231F20"/>
          <w:w w:val="110"/>
        </w:rPr>
        <w:t>se</w:t>
      </w:r>
      <w:r>
        <w:rPr>
          <w:color w:val="231F20"/>
          <w:spacing w:val="-19"/>
          <w:w w:val="110"/>
        </w:rPr>
        <w:t> </w:t>
      </w:r>
      <w:r>
        <w:rPr>
          <w:color w:val="231F20"/>
          <w:w w:val="110"/>
        </w:rPr>
        <w:t>orienta</w:t>
      </w:r>
      <w:r>
        <w:rPr>
          <w:color w:val="231F20"/>
          <w:spacing w:val="-19"/>
          <w:w w:val="110"/>
        </w:rPr>
        <w:t> </w:t>
      </w:r>
      <w:r>
        <w:rPr>
          <w:color w:val="231F20"/>
          <w:w w:val="110"/>
        </w:rPr>
        <w:t>a</w:t>
      </w:r>
      <w:r>
        <w:rPr>
          <w:color w:val="231F20"/>
          <w:spacing w:val="-19"/>
          <w:w w:val="110"/>
        </w:rPr>
        <w:t> </w:t>
      </w:r>
      <w:r>
        <w:rPr>
          <w:color w:val="231F20"/>
          <w:w w:val="110"/>
        </w:rPr>
        <w:t>actividades</w:t>
      </w:r>
      <w:r>
        <w:rPr>
          <w:color w:val="231F20"/>
          <w:w w:val="105"/>
        </w:rPr>
        <w:t> </w:t>
      </w:r>
      <w:r>
        <w:rPr>
          <w:color w:val="231F20"/>
          <w:w w:val="110"/>
        </w:rPr>
        <w:t>especulativas,</w:t>
      </w:r>
      <w:r>
        <w:rPr>
          <w:color w:val="231F20"/>
          <w:spacing w:val="-32"/>
          <w:w w:val="110"/>
        </w:rPr>
        <w:t> </w:t>
      </w:r>
      <w:r>
        <w:rPr>
          <w:color w:val="231F20"/>
          <w:w w:val="110"/>
        </w:rPr>
        <w:t>a</w:t>
      </w:r>
      <w:r>
        <w:rPr>
          <w:color w:val="231F20"/>
          <w:spacing w:val="-32"/>
          <w:w w:val="110"/>
        </w:rPr>
        <w:t> </w:t>
      </w:r>
      <w:r>
        <w:rPr>
          <w:color w:val="231F20"/>
          <w:w w:val="110"/>
        </w:rPr>
        <w:t>las</w:t>
      </w:r>
      <w:r>
        <w:rPr>
          <w:color w:val="231F20"/>
          <w:spacing w:val="-32"/>
          <w:w w:val="110"/>
        </w:rPr>
        <w:t> </w:t>
      </w:r>
      <w:r>
        <w:rPr>
          <w:color w:val="231F20"/>
          <w:w w:val="110"/>
        </w:rPr>
        <w:t>bolsas</w:t>
      </w:r>
      <w:r>
        <w:rPr>
          <w:color w:val="231F20"/>
          <w:spacing w:val="-32"/>
          <w:w w:val="110"/>
        </w:rPr>
        <w:t> </w:t>
      </w:r>
      <w:r>
        <w:rPr>
          <w:color w:val="231F20"/>
          <w:w w:val="110"/>
        </w:rPr>
        <w:t>y</w:t>
      </w:r>
      <w:r>
        <w:rPr>
          <w:color w:val="231F20"/>
          <w:spacing w:val="-32"/>
          <w:w w:val="110"/>
        </w:rPr>
        <w:t> </w:t>
      </w:r>
      <w:r>
        <w:rPr>
          <w:color w:val="231F20"/>
          <w:w w:val="110"/>
        </w:rPr>
        <w:t>a</w:t>
      </w:r>
      <w:r>
        <w:rPr>
          <w:color w:val="231F20"/>
          <w:spacing w:val="-32"/>
          <w:w w:val="110"/>
        </w:rPr>
        <w:t> </w:t>
      </w:r>
      <w:r>
        <w:rPr>
          <w:color w:val="231F20"/>
          <w:w w:val="110"/>
        </w:rPr>
        <w:t>financiar</w:t>
      </w:r>
      <w:r>
        <w:rPr>
          <w:color w:val="231F20"/>
          <w:spacing w:val="-32"/>
          <w:w w:val="110"/>
        </w:rPr>
        <w:t> </w:t>
      </w:r>
      <w:r>
        <w:rPr>
          <w:color w:val="231F20"/>
          <w:w w:val="110"/>
        </w:rPr>
        <w:t>presupuestos</w:t>
      </w:r>
      <w:r>
        <w:rPr>
          <w:color w:val="231F20"/>
          <w:spacing w:val="-32"/>
          <w:w w:val="110"/>
        </w:rPr>
        <w:t> </w:t>
      </w:r>
      <w:r>
        <w:rPr>
          <w:color w:val="231F20"/>
          <w:w w:val="110"/>
        </w:rPr>
        <w:t>y</w:t>
      </w:r>
      <w:r>
        <w:rPr>
          <w:color w:val="231F20"/>
          <w:spacing w:val="-32"/>
          <w:w w:val="110"/>
        </w:rPr>
        <w:t> </w:t>
      </w:r>
      <w:r>
        <w:rPr>
          <w:color w:val="231F20"/>
          <w:w w:val="110"/>
        </w:rPr>
        <w:t>deudas</w:t>
      </w:r>
      <w:r>
        <w:rPr>
          <w:color w:val="231F20"/>
          <w:spacing w:val="-32"/>
          <w:w w:val="110"/>
        </w:rPr>
        <w:t> </w:t>
      </w:r>
      <w:r>
        <w:rPr>
          <w:color w:val="231F20"/>
          <w:w w:val="110"/>
        </w:rPr>
        <w:t>estatales.</w:t>
      </w:r>
    </w:p>
    <w:p>
      <w:pPr>
        <w:pStyle w:val="BodyText"/>
        <w:spacing w:line="261" w:lineRule="auto"/>
        <w:ind w:left="100" w:right="119" w:firstLine="240"/>
        <w:jc w:val="both"/>
      </w:pPr>
      <w:r>
        <w:rPr>
          <w:color w:val="231F20"/>
          <w:w w:val="110"/>
        </w:rPr>
        <w:t>La deuda pública se ha constituido en una fuente importante de inversión de algunas instituciones financieras.</w:t>
      </w:r>
    </w:p>
    <w:p>
      <w:pPr>
        <w:pStyle w:val="BodyText"/>
        <w:spacing w:line="261" w:lineRule="auto"/>
        <w:ind w:left="100" w:right="119" w:firstLine="240"/>
        <w:jc w:val="both"/>
      </w:pPr>
      <w:r>
        <w:rPr>
          <w:color w:val="231F20"/>
          <w:w w:val="110"/>
        </w:rPr>
        <w:t>La crisis puede permanecer por un tiempo prolongado</w:t>
      </w:r>
      <w:r>
        <w:rPr>
          <w:color w:val="231F20"/>
          <w:spacing w:val="52"/>
          <w:w w:val="110"/>
        </w:rPr>
        <w:t> </w:t>
      </w:r>
      <w:r>
        <w:rPr>
          <w:color w:val="231F20"/>
          <w:w w:val="110"/>
        </w:rPr>
        <w:t>en estado</w:t>
      </w:r>
      <w:r>
        <w:rPr>
          <w:color w:val="231F20"/>
          <w:w w:val="109"/>
        </w:rPr>
        <w:t> </w:t>
      </w:r>
      <w:r>
        <w:rPr>
          <w:color w:val="231F20"/>
          <w:w w:val="110"/>
        </w:rPr>
        <w:t>de reposo con gran desempleo, bajos niveles de demanda y del co- mercio mundial.</w:t>
      </w:r>
    </w:p>
    <w:p>
      <w:pPr>
        <w:pStyle w:val="BodyText"/>
        <w:spacing w:line="261" w:lineRule="auto"/>
        <w:ind w:left="100" w:right="117" w:firstLine="240"/>
        <w:jc w:val="right"/>
      </w:pPr>
      <w:r>
        <w:rPr>
          <w:color w:val="231F20"/>
          <w:w w:val="110"/>
        </w:rPr>
        <w:t>A pesar de que el fmi está optimista, es posible que</w:t>
      </w:r>
      <w:r>
        <w:rPr>
          <w:color w:val="231F20"/>
          <w:spacing w:val="23"/>
          <w:w w:val="110"/>
        </w:rPr>
        <w:t> </w:t>
      </w:r>
      <w:r>
        <w:rPr>
          <w:color w:val="231F20"/>
          <w:w w:val="110"/>
        </w:rPr>
        <w:t>se</w:t>
      </w:r>
      <w:r>
        <w:rPr>
          <w:color w:val="231F20"/>
          <w:spacing w:val="12"/>
          <w:w w:val="110"/>
        </w:rPr>
        <w:t> </w:t>
      </w:r>
      <w:r>
        <w:rPr>
          <w:color w:val="231F20"/>
          <w:w w:val="110"/>
        </w:rPr>
        <w:t>produzca</w:t>
      </w:r>
      <w:r>
        <w:rPr>
          <w:color w:val="231F20"/>
          <w:w w:val="110"/>
        </w:rPr>
        <w:t> </w:t>
      </w:r>
      <w:r>
        <w:rPr>
          <w:color w:val="231F20"/>
          <w:w w:val="110"/>
        </w:rPr>
        <w:t>una</w:t>
      </w:r>
      <w:r>
        <w:rPr>
          <w:color w:val="231F20"/>
          <w:spacing w:val="-18"/>
          <w:w w:val="110"/>
        </w:rPr>
        <w:t> </w:t>
      </w:r>
      <w:r>
        <w:rPr>
          <w:color w:val="231F20"/>
          <w:w w:val="110"/>
        </w:rPr>
        <w:t>crisis</w:t>
      </w:r>
      <w:r>
        <w:rPr>
          <w:color w:val="231F20"/>
          <w:spacing w:val="-18"/>
          <w:w w:val="110"/>
        </w:rPr>
        <w:t> </w:t>
      </w:r>
      <w:r>
        <w:rPr>
          <w:color w:val="231F20"/>
          <w:w w:val="110"/>
        </w:rPr>
        <w:t>de</w:t>
      </w:r>
      <w:r>
        <w:rPr>
          <w:color w:val="231F20"/>
          <w:spacing w:val="-18"/>
          <w:w w:val="110"/>
        </w:rPr>
        <w:t> </w:t>
      </w:r>
      <w:r>
        <w:rPr>
          <w:color w:val="231F20"/>
          <w:w w:val="110"/>
        </w:rPr>
        <w:t>doble</w:t>
      </w:r>
      <w:r>
        <w:rPr>
          <w:color w:val="231F20"/>
          <w:spacing w:val="-18"/>
          <w:w w:val="110"/>
        </w:rPr>
        <w:t> </w:t>
      </w:r>
      <w:r>
        <w:rPr>
          <w:color w:val="231F20"/>
          <w:w w:val="110"/>
        </w:rPr>
        <w:t>zambullida.</w:t>
      </w:r>
      <w:r>
        <w:rPr>
          <w:color w:val="231F20"/>
          <w:spacing w:val="-18"/>
          <w:w w:val="110"/>
        </w:rPr>
        <w:t> </w:t>
      </w:r>
      <w:r>
        <w:rPr>
          <w:color w:val="231F20"/>
          <w:w w:val="110"/>
        </w:rPr>
        <w:t>La</w:t>
      </w:r>
      <w:r>
        <w:rPr>
          <w:color w:val="231F20"/>
          <w:spacing w:val="-18"/>
          <w:w w:val="110"/>
        </w:rPr>
        <w:t> </w:t>
      </w:r>
      <w:r>
        <w:rPr>
          <w:color w:val="231F20"/>
          <w:w w:val="110"/>
        </w:rPr>
        <w:t>inestabilidad</w:t>
      </w:r>
      <w:r>
        <w:rPr>
          <w:color w:val="231F20"/>
          <w:spacing w:val="-18"/>
          <w:w w:val="110"/>
        </w:rPr>
        <w:t> </w:t>
      </w:r>
      <w:r>
        <w:rPr>
          <w:color w:val="231F20"/>
          <w:w w:val="110"/>
        </w:rPr>
        <w:t>será</w:t>
      </w:r>
      <w:r>
        <w:rPr>
          <w:color w:val="231F20"/>
          <w:spacing w:val="-18"/>
          <w:w w:val="110"/>
        </w:rPr>
        <w:t> </w:t>
      </w:r>
      <w:r>
        <w:rPr>
          <w:color w:val="231F20"/>
          <w:w w:val="110"/>
        </w:rPr>
        <w:t>muy</w:t>
      </w:r>
      <w:r>
        <w:rPr>
          <w:color w:val="231F20"/>
          <w:spacing w:val="-18"/>
          <w:w w:val="110"/>
        </w:rPr>
        <w:t> </w:t>
      </w:r>
      <w:r>
        <w:rPr>
          <w:color w:val="231F20"/>
          <w:w w:val="110"/>
        </w:rPr>
        <w:t>prolongada.</w:t>
      </w:r>
      <w:r>
        <w:rPr>
          <w:color w:val="231F20"/>
          <w:w w:val="111"/>
        </w:rPr>
        <w:t> </w:t>
      </w:r>
      <w:r>
        <w:rPr>
          <w:color w:val="231F20"/>
          <w:w w:val="110"/>
        </w:rPr>
        <w:t>Si se produce una recuperación será con bajos niveles</w:t>
      </w:r>
      <w:r>
        <w:rPr>
          <w:color w:val="231F20"/>
          <w:spacing w:val="21"/>
          <w:w w:val="110"/>
        </w:rPr>
        <w:t> </w:t>
      </w:r>
      <w:r>
        <w:rPr>
          <w:color w:val="231F20"/>
          <w:w w:val="110"/>
        </w:rPr>
        <w:t>de</w:t>
      </w:r>
      <w:r>
        <w:rPr>
          <w:color w:val="231F20"/>
          <w:spacing w:val="20"/>
          <w:w w:val="110"/>
        </w:rPr>
        <w:t> </w:t>
      </w:r>
      <w:r>
        <w:rPr>
          <w:color w:val="231F20"/>
          <w:w w:val="110"/>
        </w:rPr>
        <w:t>creci-</w:t>
      </w:r>
      <w:r>
        <w:rPr>
          <w:color w:val="231F20"/>
          <w:w w:val="72"/>
        </w:rPr>
        <w:t> </w:t>
      </w:r>
      <w:r>
        <w:rPr>
          <w:color w:val="231F20"/>
          <w:w w:val="110"/>
        </w:rPr>
        <w:t>miento, con elevado desempleo, porque las soluciones que</w:t>
      </w:r>
      <w:r>
        <w:rPr>
          <w:color w:val="231F20"/>
          <w:spacing w:val="30"/>
          <w:w w:val="110"/>
        </w:rPr>
        <w:t> </w:t>
      </w:r>
      <w:r>
        <w:rPr>
          <w:color w:val="231F20"/>
          <w:w w:val="110"/>
        </w:rPr>
        <w:t>se</w:t>
      </w:r>
      <w:r>
        <w:rPr>
          <w:color w:val="231F20"/>
          <w:spacing w:val="10"/>
          <w:w w:val="110"/>
        </w:rPr>
        <w:t> </w:t>
      </w:r>
      <w:r>
        <w:rPr>
          <w:color w:val="231F20"/>
          <w:w w:val="110"/>
        </w:rPr>
        <w:t>están</w:t>
      </w:r>
      <w:r>
        <w:rPr>
          <w:color w:val="231F20"/>
          <w:w w:val="109"/>
        </w:rPr>
        <w:t> </w:t>
      </w:r>
      <w:r>
        <w:rPr>
          <w:color w:val="231F20"/>
          <w:w w:val="110"/>
        </w:rPr>
        <w:t>implementando quedan sólo en el plano financiero, sin enfrentar</w:t>
      </w:r>
      <w:r>
        <w:rPr>
          <w:color w:val="231F20"/>
          <w:spacing w:val="37"/>
          <w:w w:val="110"/>
        </w:rPr>
        <w:t> </w:t>
      </w:r>
      <w:r>
        <w:rPr>
          <w:color w:val="231F20"/>
          <w:w w:val="110"/>
        </w:rPr>
        <w:t>las</w:t>
      </w:r>
    </w:p>
    <w:p>
      <w:pPr>
        <w:pStyle w:val="BodyText"/>
        <w:ind w:left="100" w:right="25"/>
      </w:pPr>
      <w:r>
        <w:rPr>
          <w:color w:val="231F20"/>
          <w:w w:val="105"/>
        </w:rPr>
        <w:t>reales causas de la  crisis.</w:t>
      </w:r>
    </w:p>
    <w:p>
      <w:pPr>
        <w:spacing w:after="0"/>
        <w:sectPr>
          <w:pgSz w:w="7640" w:h="11900"/>
          <w:pgMar w:header="672" w:footer="0" w:top="860" w:bottom="280" w:left="660" w:right="760"/>
        </w:sectPr>
      </w:pPr>
    </w:p>
    <w:p>
      <w:pPr>
        <w:pStyle w:val="BodyText"/>
        <w:spacing w:before="8"/>
        <w:rPr>
          <w:sz w:val="8"/>
        </w:rPr>
      </w:pPr>
    </w:p>
    <w:p>
      <w:pPr>
        <w:pStyle w:val="BodyText"/>
        <w:spacing w:before="67"/>
        <w:ind w:left="100" w:right="25"/>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w w:val="105"/>
          <w:sz w:val="18"/>
        </w:rPr>
        <w:t>Beinstein, Jorge, 2009, “Las crisis en la era senil del capitalismo. Esperando inútilmente al quinto Kondratief”, en </w:t>
      </w:r>
      <w:r>
        <w:rPr>
          <w:i/>
          <w:color w:val="231F20"/>
          <w:w w:val="105"/>
          <w:sz w:val="18"/>
        </w:rPr>
        <w:t>El Viejo Topo, </w:t>
      </w:r>
      <w:r>
        <w:rPr>
          <w:color w:val="231F20"/>
          <w:w w:val="105"/>
          <w:sz w:val="18"/>
        </w:rPr>
        <w:t>núm. 253, España.</w:t>
      </w:r>
    </w:p>
    <w:p>
      <w:pPr>
        <w:spacing w:before="1"/>
        <w:ind w:left="100" w:right="25" w:firstLine="0"/>
        <w:jc w:val="left"/>
        <w:rPr>
          <w:sz w:val="18"/>
        </w:rPr>
      </w:pPr>
      <w:r>
        <w:rPr>
          <w:color w:val="231F20"/>
          <w:w w:val="105"/>
          <w:sz w:val="18"/>
        </w:rPr>
        <w:t>Brenner, Robert, 1999, </w:t>
      </w:r>
      <w:r>
        <w:rPr>
          <w:i/>
          <w:color w:val="231F20"/>
          <w:w w:val="105"/>
          <w:sz w:val="18"/>
        </w:rPr>
        <w:t>Turbulencias en la economía mundial</w:t>
      </w:r>
      <w:r>
        <w:rPr>
          <w:color w:val="231F20"/>
          <w:w w:val="105"/>
          <w:sz w:val="18"/>
        </w:rPr>
        <w:t>, Santiago, lom</w:t>
      </w:r>
    </w:p>
    <w:p>
      <w:pPr>
        <w:spacing w:before="13"/>
        <w:ind w:left="113" w:right="4842" w:firstLine="0"/>
        <w:jc w:val="center"/>
        <w:rPr>
          <w:sz w:val="18"/>
        </w:rPr>
      </w:pPr>
      <w:r>
        <w:rPr>
          <w:color w:val="231F20"/>
          <w:w w:val="105"/>
          <w:sz w:val="18"/>
        </w:rPr>
        <w:t>Ediciones.</w:t>
      </w:r>
    </w:p>
    <w:p>
      <w:pPr>
        <w:spacing w:line="254" w:lineRule="auto" w:before="13"/>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2009, Entrevista de Seogin Jeong, “Un análisis histórico económico clásico de la actual crisis”, &lt;</w:t>
      </w:r>
      <w:hyperlink r:id="rId90">
        <w:r>
          <w:rPr>
            <w:color w:val="231F20"/>
            <w:w w:val="105"/>
            <w:sz w:val="18"/>
          </w:rPr>
          <w:t>www.rebelion.org&gt;</w:t>
        </w:r>
      </w:hyperlink>
      <w:r>
        <w:rPr>
          <w:color w:val="231F20"/>
          <w:w w:val="105"/>
          <w:sz w:val="18"/>
        </w:rPr>
        <w:t>.</w:t>
      </w:r>
    </w:p>
    <w:p>
      <w:pPr>
        <w:spacing w:line="254" w:lineRule="auto" w:before="1"/>
        <w:ind w:left="340" w:right="112" w:hanging="240"/>
        <w:jc w:val="both"/>
        <w:rPr>
          <w:sz w:val="18"/>
        </w:rPr>
      </w:pPr>
      <w:r>
        <w:rPr>
          <w:color w:val="231F20"/>
          <w:spacing w:val="2"/>
          <w:w w:val="115"/>
          <w:sz w:val="18"/>
        </w:rPr>
        <w:t>Caputo, Orlando, 2003 (2001), </w:t>
      </w:r>
      <w:r>
        <w:rPr>
          <w:color w:val="231F20"/>
          <w:w w:val="115"/>
          <w:sz w:val="18"/>
        </w:rPr>
        <w:t>“La </w:t>
      </w:r>
      <w:r>
        <w:rPr>
          <w:color w:val="231F20"/>
          <w:spacing w:val="2"/>
          <w:w w:val="115"/>
          <w:sz w:val="18"/>
        </w:rPr>
        <w:t>economía </w:t>
      </w:r>
      <w:r>
        <w:rPr>
          <w:color w:val="231F20"/>
          <w:w w:val="115"/>
          <w:sz w:val="18"/>
        </w:rPr>
        <w:t>de </w:t>
      </w:r>
      <w:r>
        <w:rPr>
          <w:color w:val="231F20"/>
          <w:spacing w:val="2"/>
          <w:w w:val="115"/>
          <w:sz w:val="18"/>
        </w:rPr>
        <w:t>Estados Unidos </w:t>
      </w:r>
      <w:r>
        <w:rPr>
          <w:color w:val="231F20"/>
          <w:w w:val="115"/>
          <w:sz w:val="18"/>
        </w:rPr>
        <w:t>y </w:t>
      </w:r>
      <w:r>
        <w:rPr>
          <w:color w:val="231F20"/>
          <w:spacing w:val="3"/>
          <w:w w:val="115"/>
          <w:sz w:val="18"/>
        </w:rPr>
        <w:t>de </w:t>
      </w:r>
      <w:r>
        <w:rPr>
          <w:color w:val="231F20"/>
          <w:w w:val="115"/>
          <w:sz w:val="18"/>
        </w:rPr>
        <w:t>América</w:t>
      </w:r>
      <w:r>
        <w:rPr>
          <w:color w:val="231F20"/>
          <w:spacing w:val="-20"/>
          <w:w w:val="115"/>
          <w:sz w:val="18"/>
        </w:rPr>
        <w:t> </w:t>
      </w:r>
      <w:r>
        <w:rPr>
          <w:color w:val="231F20"/>
          <w:w w:val="115"/>
          <w:sz w:val="18"/>
        </w:rPr>
        <w:t>Latina</w:t>
      </w:r>
      <w:r>
        <w:rPr>
          <w:color w:val="231F20"/>
          <w:spacing w:val="-20"/>
          <w:w w:val="115"/>
          <w:sz w:val="18"/>
        </w:rPr>
        <w:t> </w:t>
      </w:r>
      <w:r>
        <w:rPr>
          <w:color w:val="231F20"/>
          <w:w w:val="115"/>
          <w:sz w:val="18"/>
        </w:rPr>
        <w:t>en</w:t>
      </w:r>
      <w:r>
        <w:rPr>
          <w:color w:val="231F20"/>
          <w:spacing w:val="-20"/>
          <w:w w:val="115"/>
          <w:sz w:val="18"/>
        </w:rPr>
        <w:t> </w:t>
      </w:r>
      <w:r>
        <w:rPr>
          <w:color w:val="231F20"/>
          <w:w w:val="115"/>
          <w:sz w:val="18"/>
        </w:rPr>
        <w:t>las</w:t>
      </w:r>
      <w:r>
        <w:rPr>
          <w:color w:val="231F20"/>
          <w:spacing w:val="-20"/>
          <w:w w:val="115"/>
          <w:sz w:val="18"/>
        </w:rPr>
        <w:t> </w:t>
      </w:r>
      <w:r>
        <w:rPr>
          <w:color w:val="231F20"/>
          <w:w w:val="115"/>
          <w:sz w:val="18"/>
        </w:rPr>
        <w:t>últimas</w:t>
      </w:r>
      <w:r>
        <w:rPr>
          <w:color w:val="231F20"/>
          <w:spacing w:val="-20"/>
          <w:w w:val="115"/>
          <w:sz w:val="18"/>
        </w:rPr>
        <w:t> </w:t>
      </w:r>
      <w:r>
        <w:rPr>
          <w:color w:val="231F20"/>
          <w:w w:val="115"/>
          <w:sz w:val="18"/>
        </w:rPr>
        <w:t>décadas”,</w:t>
      </w:r>
      <w:r>
        <w:rPr>
          <w:color w:val="231F20"/>
          <w:spacing w:val="-20"/>
          <w:w w:val="115"/>
          <w:sz w:val="18"/>
        </w:rPr>
        <w:t> </w:t>
      </w:r>
      <w:r>
        <w:rPr>
          <w:color w:val="231F20"/>
          <w:w w:val="115"/>
          <w:sz w:val="18"/>
        </w:rPr>
        <w:t>ponencia</w:t>
      </w:r>
      <w:r>
        <w:rPr>
          <w:color w:val="231F20"/>
          <w:spacing w:val="-20"/>
          <w:w w:val="115"/>
          <w:sz w:val="18"/>
        </w:rPr>
        <w:t> </w:t>
      </w:r>
      <w:r>
        <w:rPr>
          <w:color w:val="231F20"/>
          <w:w w:val="115"/>
          <w:sz w:val="18"/>
        </w:rPr>
        <w:t>presentada</w:t>
      </w:r>
      <w:r>
        <w:rPr>
          <w:color w:val="231F20"/>
          <w:spacing w:val="-20"/>
          <w:w w:val="115"/>
          <w:sz w:val="18"/>
        </w:rPr>
        <w:t> </w:t>
      </w:r>
      <w:r>
        <w:rPr>
          <w:color w:val="231F20"/>
          <w:w w:val="115"/>
          <w:sz w:val="18"/>
        </w:rPr>
        <w:t>en</w:t>
      </w:r>
      <w:r>
        <w:rPr>
          <w:color w:val="231F20"/>
          <w:spacing w:val="-20"/>
          <w:w w:val="115"/>
          <w:sz w:val="18"/>
        </w:rPr>
        <w:t> </w:t>
      </w:r>
      <w:r>
        <w:rPr>
          <w:color w:val="231F20"/>
          <w:w w:val="115"/>
          <w:sz w:val="18"/>
        </w:rPr>
        <w:t>el</w:t>
      </w:r>
      <w:r>
        <w:rPr>
          <w:color w:val="231F20"/>
          <w:spacing w:val="-20"/>
          <w:w w:val="115"/>
          <w:sz w:val="18"/>
        </w:rPr>
        <w:t> </w:t>
      </w:r>
      <w:r>
        <w:rPr>
          <w:color w:val="231F20"/>
          <w:w w:val="115"/>
          <w:sz w:val="18"/>
        </w:rPr>
        <w:t>Foro </w:t>
      </w:r>
      <w:r>
        <w:rPr>
          <w:color w:val="231F20"/>
          <w:w w:val="110"/>
          <w:sz w:val="18"/>
        </w:rPr>
        <w:t>Social</w:t>
      </w:r>
      <w:r>
        <w:rPr>
          <w:color w:val="231F20"/>
          <w:spacing w:val="-16"/>
          <w:w w:val="110"/>
          <w:sz w:val="18"/>
        </w:rPr>
        <w:t> </w:t>
      </w:r>
      <w:r>
        <w:rPr>
          <w:color w:val="231F20"/>
          <w:w w:val="110"/>
          <w:sz w:val="18"/>
        </w:rPr>
        <w:t>Mundial,</w:t>
      </w:r>
      <w:r>
        <w:rPr>
          <w:color w:val="231F20"/>
          <w:spacing w:val="-16"/>
          <w:w w:val="110"/>
          <w:sz w:val="18"/>
        </w:rPr>
        <w:t> </w:t>
      </w:r>
      <w:r>
        <w:rPr>
          <w:color w:val="231F20"/>
          <w:w w:val="110"/>
          <w:sz w:val="18"/>
        </w:rPr>
        <w:t>Porto</w:t>
      </w:r>
      <w:r>
        <w:rPr>
          <w:color w:val="231F20"/>
          <w:spacing w:val="-16"/>
          <w:w w:val="110"/>
          <w:sz w:val="18"/>
        </w:rPr>
        <w:t> </w:t>
      </w:r>
      <w:r>
        <w:rPr>
          <w:color w:val="231F20"/>
          <w:w w:val="110"/>
          <w:sz w:val="18"/>
        </w:rPr>
        <w:t>Alegre,</w:t>
      </w:r>
      <w:r>
        <w:rPr>
          <w:color w:val="231F20"/>
          <w:spacing w:val="-16"/>
          <w:w w:val="110"/>
          <w:sz w:val="18"/>
        </w:rPr>
        <w:t> </w:t>
      </w:r>
      <w:r>
        <w:rPr>
          <w:color w:val="231F20"/>
          <w:w w:val="110"/>
          <w:sz w:val="18"/>
        </w:rPr>
        <w:t>Brasil,</w:t>
      </w:r>
      <w:r>
        <w:rPr>
          <w:color w:val="231F20"/>
          <w:spacing w:val="-16"/>
          <w:w w:val="110"/>
          <w:sz w:val="18"/>
        </w:rPr>
        <w:t> </w:t>
      </w:r>
      <w:r>
        <w:rPr>
          <w:color w:val="231F20"/>
          <w:w w:val="110"/>
          <w:sz w:val="18"/>
        </w:rPr>
        <w:t>2001,</w:t>
      </w:r>
      <w:r>
        <w:rPr>
          <w:color w:val="231F20"/>
          <w:spacing w:val="-16"/>
          <w:w w:val="110"/>
          <w:sz w:val="18"/>
        </w:rPr>
        <w:t> </w:t>
      </w:r>
      <w:r>
        <w:rPr>
          <w:color w:val="231F20"/>
          <w:w w:val="110"/>
          <w:sz w:val="18"/>
        </w:rPr>
        <w:t>en</w:t>
      </w:r>
      <w:r>
        <w:rPr>
          <w:color w:val="231F20"/>
          <w:spacing w:val="-16"/>
          <w:w w:val="110"/>
          <w:sz w:val="18"/>
        </w:rPr>
        <w:t> </w:t>
      </w:r>
      <w:r>
        <w:rPr>
          <w:i/>
          <w:color w:val="231F20"/>
          <w:w w:val="110"/>
          <w:sz w:val="13"/>
        </w:rPr>
        <w:t>oikos</w:t>
      </w:r>
      <w:r>
        <w:rPr>
          <w:i/>
          <w:color w:val="231F20"/>
          <w:w w:val="110"/>
          <w:sz w:val="18"/>
        </w:rPr>
        <w:t>,</w:t>
      </w:r>
      <w:r>
        <w:rPr>
          <w:i/>
          <w:color w:val="231F20"/>
          <w:spacing w:val="-16"/>
          <w:w w:val="110"/>
          <w:sz w:val="18"/>
        </w:rPr>
        <w:t> </w:t>
      </w:r>
      <w:r>
        <w:rPr>
          <w:color w:val="231F20"/>
          <w:w w:val="110"/>
          <w:sz w:val="18"/>
        </w:rPr>
        <w:t>Santiago,</w:t>
      </w:r>
      <w:r>
        <w:rPr>
          <w:color w:val="231F20"/>
          <w:spacing w:val="-16"/>
          <w:w w:val="110"/>
          <w:sz w:val="18"/>
        </w:rPr>
        <w:t> </w:t>
      </w:r>
      <w:r>
        <w:rPr>
          <w:color w:val="231F20"/>
          <w:w w:val="110"/>
          <w:sz w:val="18"/>
        </w:rPr>
        <w:t>Universidad Católica Raúl Silva Henríquez, núm.</w:t>
      </w:r>
      <w:r>
        <w:rPr>
          <w:color w:val="231F20"/>
          <w:spacing w:val="-31"/>
          <w:w w:val="110"/>
          <w:sz w:val="18"/>
        </w:rPr>
        <w:t> </w:t>
      </w:r>
      <w:r>
        <w:rPr>
          <w:color w:val="231F20"/>
          <w:w w:val="110"/>
          <w:sz w:val="18"/>
        </w:rPr>
        <w:t>16.</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w w:val="105"/>
          <w:sz w:val="18"/>
        </w:rPr>
        <w:t>, 2005 (2004), “Estados Unidos y China: ¿Locomotoras en la recupe- ración y en las crisis cíclicas de la economía mundial?” en Jaime Estay (comp.), </w:t>
      </w:r>
      <w:r>
        <w:rPr>
          <w:i/>
          <w:color w:val="231F20"/>
          <w:w w:val="105"/>
          <w:sz w:val="18"/>
        </w:rPr>
        <w:t>La economía mundial y América Latina</w:t>
      </w:r>
      <w:r>
        <w:rPr>
          <w:color w:val="231F20"/>
          <w:w w:val="105"/>
          <w:sz w:val="18"/>
        </w:rPr>
        <w:t>, Argentina,  clacso.</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2007, “La economía mundial a inicios del siglo xxi”, en Marco A. Gandásegui, hijo (coord.), </w:t>
      </w:r>
      <w:r>
        <w:rPr>
          <w:i/>
          <w:color w:val="231F20"/>
          <w:w w:val="105"/>
          <w:sz w:val="18"/>
        </w:rPr>
        <w:t>Crisis de hegemonía de Estados Unidos,</w:t>
      </w:r>
      <w:r>
        <w:rPr>
          <w:i/>
          <w:color w:val="231F20"/>
          <w:spacing w:val="-6"/>
          <w:w w:val="105"/>
          <w:sz w:val="18"/>
        </w:rPr>
        <w:t> </w:t>
      </w:r>
      <w:r>
        <w:rPr>
          <w:color w:val="231F20"/>
          <w:w w:val="105"/>
          <w:sz w:val="18"/>
        </w:rPr>
        <w:t>México, Siglo  xxi  Editores  y</w:t>
      </w:r>
      <w:r>
        <w:rPr>
          <w:color w:val="231F20"/>
          <w:spacing w:val="34"/>
          <w:w w:val="105"/>
          <w:sz w:val="18"/>
        </w:rPr>
        <w:t> </w:t>
      </w:r>
      <w:r>
        <w:rPr>
          <w:color w:val="231F20"/>
          <w:w w:val="105"/>
          <w:sz w:val="18"/>
        </w:rPr>
        <w:t>clacso.</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2009 (2007), “La crisis inmobiliaria en Estados Unidos. La eventual séptima crisis cíclica de la economía mundial”, en Julio Gambina y Jaime </w:t>
      </w:r>
      <w:r>
        <w:rPr>
          <w:color w:val="231F20"/>
          <w:sz w:val="18"/>
        </w:rPr>
        <w:t>Estay (comp.), </w:t>
      </w:r>
      <w:r>
        <w:rPr>
          <w:i/>
          <w:color w:val="231F20"/>
          <w:sz w:val="18"/>
        </w:rPr>
        <w:t>Economía mundial, corporaciones transnacionales y economías </w:t>
      </w:r>
      <w:r>
        <w:rPr>
          <w:i/>
          <w:color w:val="231F20"/>
          <w:w w:val="105"/>
          <w:sz w:val="18"/>
        </w:rPr>
        <w:t>nacionales, </w:t>
      </w:r>
      <w:r>
        <w:rPr>
          <w:color w:val="231F20"/>
          <w:w w:val="105"/>
          <w:sz w:val="18"/>
        </w:rPr>
        <w:t>Buenos Aires,  clacso.</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10"/>
          <w:sz w:val="18"/>
        </w:rPr>
        <w:t>, 2009, “El dominio del capital sobre el trabajo y la naturaleza: nueva interpretación de la crisis actual”, por publicarse en   clacso.</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2010 “Crisis de la economía mundial: aumento de las ganancias y disminución de salarios”, en Marco A. Gandásegui, hijo y Dídimo Castillo </w:t>
      </w:r>
      <w:r>
        <w:rPr>
          <w:color w:val="231F20"/>
          <w:sz w:val="18"/>
        </w:rPr>
        <w:t>Fernández</w:t>
      </w:r>
      <w:r>
        <w:rPr>
          <w:color w:val="231F20"/>
          <w:spacing w:val="-10"/>
          <w:sz w:val="18"/>
        </w:rPr>
        <w:t> </w:t>
      </w:r>
      <w:r>
        <w:rPr>
          <w:color w:val="231F20"/>
          <w:sz w:val="18"/>
        </w:rPr>
        <w:t>(coord.),</w:t>
      </w:r>
      <w:r>
        <w:rPr>
          <w:color w:val="231F20"/>
          <w:spacing w:val="-10"/>
          <w:sz w:val="18"/>
        </w:rPr>
        <w:t> </w:t>
      </w:r>
      <w:r>
        <w:rPr>
          <w:i/>
          <w:color w:val="231F20"/>
          <w:sz w:val="18"/>
        </w:rPr>
        <w:t>Estados</w:t>
      </w:r>
      <w:r>
        <w:rPr>
          <w:i/>
          <w:color w:val="231F20"/>
          <w:spacing w:val="-10"/>
          <w:sz w:val="18"/>
        </w:rPr>
        <w:t> </w:t>
      </w:r>
      <w:r>
        <w:rPr>
          <w:i/>
          <w:color w:val="231F20"/>
          <w:sz w:val="18"/>
        </w:rPr>
        <w:t>Unidos.</w:t>
      </w:r>
      <w:r>
        <w:rPr>
          <w:i/>
          <w:color w:val="231F20"/>
          <w:spacing w:val="-10"/>
          <w:sz w:val="18"/>
        </w:rPr>
        <w:t> </w:t>
      </w:r>
      <w:r>
        <w:rPr>
          <w:i/>
          <w:color w:val="231F20"/>
          <w:sz w:val="18"/>
        </w:rPr>
        <w:t>La</w:t>
      </w:r>
      <w:r>
        <w:rPr>
          <w:i/>
          <w:color w:val="231F20"/>
          <w:spacing w:val="-10"/>
          <w:sz w:val="18"/>
        </w:rPr>
        <w:t> </w:t>
      </w:r>
      <w:r>
        <w:rPr>
          <w:i/>
          <w:color w:val="231F20"/>
          <w:sz w:val="18"/>
        </w:rPr>
        <w:t>crisis</w:t>
      </w:r>
      <w:r>
        <w:rPr>
          <w:i/>
          <w:color w:val="231F20"/>
          <w:spacing w:val="-10"/>
          <w:sz w:val="18"/>
        </w:rPr>
        <w:t> </w:t>
      </w:r>
      <w:r>
        <w:rPr>
          <w:i/>
          <w:color w:val="231F20"/>
          <w:sz w:val="18"/>
        </w:rPr>
        <w:t>sistémica</w:t>
      </w:r>
      <w:r>
        <w:rPr>
          <w:i/>
          <w:color w:val="231F20"/>
          <w:spacing w:val="-10"/>
          <w:sz w:val="18"/>
        </w:rPr>
        <w:t> </w:t>
      </w:r>
      <w:r>
        <w:rPr>
          <w:i/>
          <w:color w:val="231F20"/>
          <w:sz w:val="18"/>
        </w:rPr>
        <w:t>y</w:t>
      </w:r>
      <w:r>
        <w:rPr>
          <w:i/>
          <w:color w:val="231F20"/>
          <w:spacing w:val="-10"/>
          <w:sz w:val="18"/>
        </w:rPr>
        <w:t> </w:t>
      </w:r>
      <w:r>
        <w:rPr>
          <w:i/>
          <w:color w:val="231F20"/>
          <w:sz w:val="18"/>
        </w:rPr>
        <w:t>las</w:t>
      </w:r>
      <w:r>
        <w:rPr>
          <w:i/>
          <w:color w:val="231F20"/>
          <w:spacing w:val="-10"/>
          <w:sz w:val="18"/>
        </w:rPr>
        <w:t> </w:t>
      </w:r>
      <w:r>
        <w:rPr>
          <w:i/>
          <w:color w:val="231F20"/>
          <w:sz w:val="18"/>
        </w:rPr>
        <w:t>nuevas</w:t>
      </w:r>
      <w:r>
        <w:rPr>
          <w:i/>
          <w:color w:val="231F20"/>
          <w:spacing w:val="-10"/>
          <w:sz w:val="18"/>
        </w:rPr>
        <w:t> </w:t>
      </w:r>
      <w:r>
        <w:rPr>
          <w:i/>
          <w:color w:val="231F20"/>
          <w:sz w:val="18"/>
        </w:rPr>
        <w:t>condiciones </w:t>
      </w:r>
      <w:r>
        <w:rPr>
          <w:i/>
          <w:color w:val="231F20"/>
          <w:w w:val="105"/>
          <w:sz w:val="18"/>
        </w:rPr>
        <w:t>de legitimación</w:t>
      </w:r>
      <w:r>
        <w:rPr>
          <w:color w:val="231F20"/>
          <w:w w:val="105"/>
          <w:sz w:val="18"/>
        </w:rPr>
        <w:t>, México, Siglo xxi Editores y </w:t>
      </w:r>
      <w:r>
        <w:rPr>
          <w:color w:val="231F20"/>
          <w:spacing w:val="36"/>
          <w:w w:val="105"/>
          <w:sz w:val="18"/>
        </w:rPr>
        <w:t> </w:t>
      </w:r>
      <w:r>
        <w:rPr>
          <w:color w:val="231F20"/>
          <w:w w:val="105"/>
          <w:sz w:val="18"/>
        </w:rPr>
        <w:t>clacso.</w:t>
      </w:r>
    </w:p>
    <w:p>
      <w:pPr>
        <w:spacing w:line="254" w:lineRule="auto" w:before="1"/>
        <w:ind w:left="340" w:right="119" w:hanging="240"/>
        <w:jc w:val="both"/>
        <w:rPr>
          <w:sz w:val="18"/>
        </w:rPr>
      </w:pPr>
      <w:r>
        <w:rPr>
          <w:color w:val="231F20"/>
          <w:w w:val="110"/>
          <w:sz w:val="18"/>
        </w:rPr>
        <w:t>Chesnais, Francois, 2003, “La teoría del régimen de acumulación financia- rizado:</w:t>
      </w:r>
      <w:r>
        <w:rPr>
          <w:color w:val="231F20"/>
          <w:spacing w:val="-17"/>
          <w:w w:val="110"/>
          <w:sz w:val="18"/>
        </w:rPr>
        <w:t> </w:t>
      </w:r>
      <w:r>
        <w:rPr>
          <w:color w:val="231F20"/>
          <w:w w:val="110"/>
          <w:sz w:val="18"/>
        </w:rPr>
        <w:t>contenido,</w:t>
      </w:r>
      <w:r>
        <w:rPr>
          <w:color w:val="231F20"/>
          <w:spacing w:val="-17"/>
          <w:w w:val="110"/>
          <w:sz w:val="18"/>
        </w:rPr>
        <w:t> </w:t>
      </w:r>
      <w:r>
        <w:rPr>
          <w:color w:val="231F20"/>
          <w:w w:val="110"/>
          <w:sz w:val="18"/>
        </w:rPr>
        <w:t>alcances</w:t>
      </w:r>
      <w:r>
        <w:rPr>
          <w:color w:val="231F20"/>
          <w:spacing w:val="-17"/>
          <w:w w:val="110"/>
          <w:sz w:val="18"/>
        </w:rPr>
        <w:t> </w:t>
      </w:r>
      <w:r>
        <w:rPr>
          <w:color w:val="231F20"/>
          <w:w w:val="110"/>
          <w:sz w:val="18"/>
        </w:rPr>
        <w:t>e</w:t>
      </w:r>
      <w:r>
        <w:rPr>
          <w:color w:val="231F20"/>
          <w:spacing w:val="-17"/>
          <w:w w:val="110"/>
          <w:sz w:val="18"/>
        </w:rPr>
        <w:t> </w:t>
      </w:r>
      <w:r>
        <w:rPr>
          <w:color w:val="231F20"/>
          <w:w w:val="110"/>
          <w:sz w:val="18"/>
        </w:rPr>
        <w:t>interrogantes”,</w:t>
      </w:r>
      <w:r>
        <w:rPr>
          <w:color w:val="231F20"/>
          <w:spacing w:val="-17"/>
          <w:w w:val="110"/>
          <w:sz w:val="18"/>
        </w:rPr>
        <w:t> </w:t>
      </w:r>
      <w:r>
        <w:rPr>
          <w:i/>
          <w:color w:val="231F20"/>
          <w:w w:val="110"/>
          <w:sz w:val="18"/>
        </w:rPr>
        <w:t>Revista</w:t>
      </w:r>
      <w:r>
        <w:rPr>
          <w:i/>
          <w:color w:val="231F20"/>
          <w:spacing w:val="-17"/>
          <w:w w:val="110"/>
          <w:sz w:val="18"/>
        </w:rPr>
        <w:t> </w:t>
      </w:r>
      <w:r>
        <w:rPr>
          <w:i/>
          <w:color w:val="231F20"/>
          <w:w w:val="110"/>
          <w:sz w:val="18"/>
        </w:rPr>
        <w:t>de</w:t>
      </w:r>
      <w:r>
        <w:rPr>
          <w:i/>
          <w:color w:val="231F20"/>
          <w:spacing w:val="-17"/>
          <w:w w:val="110"/>
          <w:sz w:val="18"/>
        </w:rPr>
        <w:t> </w:t>
      </w:r>
      <w:r>
        <w:rPr>
          <w:i/>
          <w:color w:val="231F20"/>
          <w:w w:val="110"/>
          <w:sz w:val="18"/>
        </w:rPr>
        <w:t>Economía</w:t>
      </w:r>
      <w:r>
        <w:rPr>
          <w:i/>
          <w:color w:val="231F20"/>
          <w:spacing w:val="-17"/>
          <w:w w:val="110"/>
          <w:sz w:val="18"/>
        </w:rPr>
        <w:t> </w:t>
      </w:r>
      <w:r>
        <w:rPr>
          <w:i/>
          <w:color w:val="231F20"/>
          <w:w w:val="110"/>
          <w:sz w:val="18"/>
        </w:rPr>
        <w:t>Crítica</w:t>
      </w:r>
      <w:r>
        <w:rPr>
          <w:color w:val="231F20"/>
          <w:w w:val="110"/>
          <w:sz w:val="18"/>
        </w:rPr>
        <w:t>, núm. 1,</w:t>
      </w:r>
      <w:r>
        <w:rPr>
          <w:color w:val="231F20"/>
          <w:spacing w:val="8"/>
          <w:w w:val="110"/>
          <w:sz w:val="18"/>
        </w:rPr>
        <w:t> </w:t>
      </w:r>
      <w:r>
        <w:rPr>
          <w:color w:val="231F20"/>
          <w:w w:val="110"/>
          <w:sz w:val="18"/>
        </w:rPr>
        <w:t>España.</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Suzane de Brunoff, Gérard Duménil, Michel Hussan  y  Dominique </w:t>
      </w:r>
      <w:r>
        <w:rPr>
          <w:color w:val="231F20"/>
          <w:spacing w:val="-3"/>
          <w:sz w:val="18"/>
        </w:rPr>
        <w:t>Lévy,</w:t>
      </w:r>
      <w:r>
        <w:rPr>
          <w:color w:val="231F20"/>
          <w:spacing w:val="-17"/>
          <w:sz w:val="18"/>
        </w:rPr>
        <w:t> </w:t>
      </w:r>
      <w:r>
        <w:rPr>
          <w:color w:val="231F20"/>
          <w:sz w:val="18"/>
        </w:rPr>
        <w:t>2009,</w:t>
      </w:r>
      <w:r>
        <w:rPr>
          <w:color w:val="231F20"/>
          <w:spacing w:val="-17"/>
          <w:sz w:val="18"/>
        </w:rPr>
        <w:t> </w:t>
      </w:r>
      <w:r>
        <w:rPr>
          <w:i/>
          <w:color w:val="231F20"/>
          <w:sz w:val="18"/>
        </w:rPr>
        <w:t>Las</w:t>
      </w:r>
      <w:r>
        <w:rPr>
          <w:i/>
          <w:color w:val="231F20"/>
          <w:spacing w:val="-17"/>
          <w:sz w:val="18"/>
        </w:rPr>
        <w:t> </w:t>
      </w:r>
      <w:r>
        <w:rPr>
          <w:i/>
          <w:color w:val="231F20"/>
          <w:sz w:val="18"/>
        </w:rPr>
        <w:t>finanzas</w:t>
      </w:r>
      <w:r>
        <w:rPr>
          <w:i/>
          <w:color w:val="231F20"/>
          <w:spacing w:val="-17"/>
          <w:sz w:val="18"/>
        </w:rPr>
        <w:t> </w:t>
      </w:r>
      <w:r>
        <w:rPr>
          <w:i/>
          <w:color w:val="231F20"/>
          <w:sz w:val="18"/>
        </w:rPr>
        <w:t>capitalistas.</w:t>
      </w:r>
      <w:r>
        <w:rPr>
          <w:i/>
          <w:color w:val="231F20"/>
          <w:spacing w:val="-17"/>
          <w:sz w:val="18"/>
        </w:rPr>
        <w:t> </w:t>
      </w:r>
      <w:r>
        <w:rPr>
          <w:i/>
          <w:color w:val="231F20"/>
          <w:sz w:val="18"/>
        </w:rPr>
        <w:t>Para</w:t>
      </w:r>
      <w:r>
        <w:rPr>
          <w:i/>
          <w:color w:val="231F20"/>
          <w:spacing w:val="-17"/>
          <w:sz w:val="18"/>
        </w:rPr>
        <w:t> </w:t>
      </w:r>
      <w:r>
        <w:rPr>
          <w:i/>
          <w:color w:val="231F20"/>
          <w:sz w:val="18"/>
        </w:rPr>
        <w:t>comprender</w:t>
      </w:r>
      <w:r>
        <w:rPr>
          <w:i/>
          <w:color w:val="231F20"/>
          <w:spacing w:val="-17"/>
          <w:sz w:val="18"/>
        </w:rPr>
        <w:t> </w:t>
      </w:r>
      <w:r>
        <w:rPr>
          <w:i/>
          <w:color w:val="231F20"/>
          <w:sz w:val="18"/>
        </w:rPr>
        <w:t>la</w:t>
      </w:r>
      <w:r>
        <w:rPr>
          <w:i/>
          <w:color w:val="231F20"/>
          <w:spacing w:val="-17"/>
          <w:sz w:val="18"/>
        </w:rPr>
        <w:t> </w:t>
      </w:r>
      <w:r>
        <w:rPr>
          <w:i/>
          <w:color w:val="231F20"/>
          <w:sz w:val="18"/>
        </w:rPr>
        <w:t>crisis</w:t>
      </w:r>
      <w:r>
        <w:rPr>
          <w:i/>
          <w:color w:val="231F20"/>
          <w:spacing w:val="-17"/>
          <w:sz w:val="18"/>
        </w:rPr>
        <w:t> </w:t>
      </w:r>
      <w:r>
        <w:rPr>
          <w:i/>
          <w:color w:val="231F20"/>
          <w:sz w:val="18"/>
        </w:rPr>
        <w:t>mundial</w:t>
      </w:r>
      <w:r>
        <w:rPr>
          <w:color w:val="231F20"/>
          <w:sz w:val="18"/>
        </w:rPr>
        <w:t>,</w:t>
      </w:r>
      <w:r>
        <w:rPr>
          <w:color w:val="231F20"/>
          <w:spacing w:val="-17"/>
          <w:sz w:val="18"/>
        </w:rPr>
        <w:t> </w:t>
      </w:r>
      <w:r>
        <w:rPr>
          <w:color w:val="231F20"/>
          <w:sz w:val="18"/>
        </w:rPr>
        <w:t>Buenos </w:t>
      </w:r>
      <w:r>
        <w:rPr>
          <w:color w:val="231F20"/>
          <w:w w:val="105"/>
          <w:sz w:val="18"/>
        </w:rPr>
        <w:t>Aires,  Ediciones </w:t>
      </w:r>
      <w:r>
        <w:rPr>
          <w:color w:val="231F20"/>
          <w:spacing w:val="1"/>
          <w:w w:val="105"/>
          <w:sz w:val="18"/>
        </w:rPr>
        <w:t> </w:t>
      </w:r>
      <w:r>
        <w:rPr>
          <w:color w:val="231F20"/>
          <w:w w:val="105"/>
          <w:sz w:val="18"/>
        </w:rPr>
        <w:t>Herramienta.</w:t>
      </w:r>
    </w:p>
    <w:p>
      <w:pPr>
        <w:spacing w:line="254" w:lineRule="auto" w:before="1"/>
        <w:ind w:left="340" w:right="119" w:hanging="240"/>
        <w:jc w:val="both"/>
        <w:rPr>
          <w:sz w:val="18"/>
        </w:rPr>
      </w:pPr>
      <w:r>
        <w:rPr>
          <w:color w:val="231F20"/>
          <w:w w:val="105"/>
          <w:sz w:val="18"/>
        </w:rPr>
        <w:t>Duménil, Gérard y Dominique Lévy, 2005, “El imperialismo en la era neoli- beral”, en </w:t>
      </w:r>
      <w:r>
        <w:rPr>
          <w:i/>
          <w:color w:val="231F20"/>
          <w:w w:val="105"/>
          <w:sz w:val="18"/>
        </w:rPr>
        <w:t>Revista de Economía Crítica</w:t>
      </w:r>
      <w:r>
        <w:rPr>
          <w:color w:val="231F20"/>
          <w:w w:val="105"/>
          <w:sz w:val="18"/>
        </w:rPr>
        <w:t>, núm. 3, España.</w:t>
      </w:r>
    </w:p>
    <w:p>
      <w:pPr>
        <w:spacing w:before="1"/>
        <w:ind w:left="100" w:right="25" w:firstLine="0"/>
        <w:jc w:val="left"/>
        <w:rPr>
          <w:sz w:val="18"/>
        </w:rPr>
      </w:pPr>
      <w:r>
        <w:rPr>
          <w:color w:val="231F20"/>
          <w:w w:val="105"/>
          <w:sz w:val="18"/>
        </w:rPr>
        <w:t>fmi, 2007, “World Economic Outlook”, Estados Unidos,    abril.</w:t>
      </w:r>
    </w:p>
    <w:p>
      <w:pPr>
        <w:spacing w:line="254" w:lineRule="auto" w:before="13"/>
        <w:ind w:left="340" w:right="118" w:hanging="240"/>
        <w:jc w:val="both"/>
        <w:rPr>
          <w:sz w:val="18"/>
        </w:rPr>
      </w:pPr>
      <w:r>
        <w:rPr>
          <w:color w:val="231F20"/>
          <w:w w:val="105"/>
          <w:sz w:val="18"/>
        </w:rPr>
        <w:t>Marx, Karl, 1977 (1857), “Introducción a la crítica de la economía política”,</w:t>
      </w:r>
      <w:r>
        <w:rPr>
          <w:color w:val="231F20"/>
          <w:spacing w:val="47"/>
          <w:w w:val="105"/>
          <w:sz w:val="18"/>
        </w:rPr>
        <w:t> </w:t>
      </w:r>
      <w:r>
        <w:rPr>
          <w:color w:val="231F20"/>
          <w:w w:val="105"/>
          <w:sz w:val="18"/>
        </w:rPr>
        <w:t>en</w:t>
      </w:r>
      <w:r>
        <w:rPr>
          <w:color w:val="231F20"/>
          <w:spacing w:val="-16"/>
          <w:w w:val="105"/>
          <w:sz w:val="18"/>
        </w:rPr>
        <w:t> </w:t>
      </w:r>
      <w:r>
        <w:rPr>
          <w:i/>
          <w:color w:val="231F20"/>
          <w:w w:val="105"/>
          <w:sz w:val="18"/>
        </w:rPr>
        <w:t>Método</w:t>
      </w:r>
      <w:r>
        <w:rPr>
          <w:i/>
          <w:color w:val="231F20"/>
          <w:spacing w:val="-16"/>
          <w:w w:val="105"/>
          <w:sz w:val="18"/>
        </w:rPr>
        <w:t> </w:t>
      </w:r>
      <w:r>
        <w:rPr>
          <w:i/>
          <w:color w:val="231F20"/>
          <w:w w:val="105"/>
          <w:sz w:val="18"/>
        </w:rPr>
        <w:t>en</w:t>
      </w:r>
      <w:r>
        <w:rPr>
          <w:i/>
          <w:color w:val="231F20"/>
          <w:spacing w:val="-16"/>
          <w:w w:val="105"/>
          <w:sz w:val="18"/>
        </w:rPr>
        <w:t> </w:t>
      </w:r>
      <w:r>
        <w:rPr>
          <w:i/>
          <w:color w:val="231F20"/>
          <w:w w:val="105"/>
          <w:sz w:val="18"/>
        </w:rPr>
        <w:t>la</w:t>
      </w:r>
      <w:r>
        <w:rPr>
          <w:i/>
          <w:color w:val="231F20"/>
          <w:spacing w:val="-16"/>
          <w:w w:val="105"/>
          <w:sz w:val="18"/>
        </w:rPr>
        <w:t> </w:t>
      </w:r>
      <w:r>
        <w:rPr>
          <w:i/>
          <w:color w:val="231F20"/>
          <w:w w:val="105"/>
          <w:sz w:val="18"/>
        </w:rPr>
        <w:t>Ciencia</w:t>
      </w:r>
      <w:r>
        <w:rPr>
          <w:i/>
          <w:color w:val="231F20"/>
          <w:spacing w:val="-16"/>
          <w:w w:val="105"/>
          <w:sz w:val="18"/>
        </w:rPr>
        <w:t> </w:t>
      </w:r>
      <w:r>
        <w:rPr>
          <w:i/>
          <w:color w:val="231F20"/>
          <w:w w:val="105"/>
          <w:sz w:val="18"/>
        </w:rPr>
        <w:t>Económica,</w:t>
      </w:r>
      <w:r>
        <w:rPr>
          <w:i/>
          <w:color w:val="231F20"/>
          <w:spacing w:val="-16"/>
          <w:w w:val="105"/>
          <w:sz w:val="18"/>
        </w:rPr>
        <w:t> </w:t>
      </w:r>
      <w:r>
        <w:rPr>
          <w:color w:val="231F20"/>
          <w:w w:val="105"/>
          <w:sz w:val="18"/>
        </w:rPr>
        <w:t>México,</w:t>
      </w:r>
      <w:r>
        <w:rPr>
          <w:color w:val="231F20"/>
          <w:spacing w:val="-16"/>
          <w:w w:val="105"/>
          <w:sz w:val="18"/>
        </w:rPr>
        <w:t> </w:t>
      </w:r>
      <w:r>
        <w:rPr>
          <w:color w:val="231F20"/>
          <w:w w:val="105"/>
          <w:sz w:val="18"/>
        </w:rPr>
        <w:t>Ediciones</w:t>
      </w:r>
      <w:r>
        <w:rPr>
          <w:color w:val="231F20"/>
          <w:spacing w:val="-16"/>
          <w:w w:val="105"/>
          <w:sz w:val="18"/>
        </w:rPr>
        <w:t> </w:t>
      </w:r>
      <w:r>
        <w:rPr>
          <w:color w:val="231F20"/>
          <w:w w:val="105"/>
          <w:sz w:val="18"/>
        </w:rPr>
        <w:t>Roca.</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w w:val="110"/>
          <w:sz w:val="18"/>
        </w:rPr>
        <w:t>, </w:t>
      </w:r>
      <w:r>
        <w:rPr>
          <w:i/>
          <w:color w:val="231F20"/>
          <w:w w:val="110"/>
          <w:sz w:val="18"/>
        </w:rPr>
        <w:t>El capital</w:t>
      </w:r>
      <w:r>
        <w:rPr>
          <w:color w:val="231F20"/>
          <w:w w:val="110"/>
          <w:sz w:val="18"/>
        </w:rPr>
        <w:t>, Tercer Tomo, capítulo XLVIII, México, Fondo de Cultura Económica.</w:t>
      </w:r>
    </w:p>
    <w:p>
      <w:pPr>
        <w:spacing w:line="254" w:lineRule="auto" w:before="1"/>
        <w:ind w:left="340" w:right="116" w:hanging="240"/>
        <w:jc w:val="both"/>
        <w:rPr>
          <w:sz w:val="18"/>
        </w:rPr>
      </w:pPr>
      <w:r>
        <w:rPr>
          <w:color w:val="231F20"/>
          <w:w w:val="105"/>
          <w:sz w:val="18"/>
        </w:rPr>
        <w:t>Medialdea, Bibiana, 2010, “La UE al desnudo”, en </w:t>
      </w:r>
      <w:r>
        <w:rPr>
          <w:i/>
          <w:color w:val="231F20"/>
          <w:w w:val="105"/>
          <w:sz w:val="18"/>
        </w:rPr>
        <w:t>Viento Sur</w:t>
      </w:r>
      <w:r>
        <w:rPr>
          <w:color w:val="231F20"/>
          <w:w w:val="105"/>
          <w:sz w:val="18"/>
        </w:rPr>
        <w:t>, núm. 110, España.</w:t>
      </w:r>
    </w:p>
    <w:p>
      <w:pPr>
        <w:spacing w:after="0" w:line="254" w:lineRule="auto"/>
        <w:jc w:val="both"/>
        <w:rPr>
          <w:sz w:val="18"/>
        </w:rPr>
        <w:sectPr>
          <w:headerReference w:type="even" r:id="rId88"/>
          <w:headerReference w:type="default" r:id="rId89"/>
          <w:pgSz w:w="7640" w:h="11900"/>
          <w:pgMar w:header="672" w:footer="0" w:top="860" w:bottom="280" w:left="780" w:right="640"/>
        </w:sectPr>
      </w:pPr>
    </w:p>
    <w:p>
      <w:pPr>
        <w:pStyle w:val="BodyText"/>
        <w:spacing w:before="8"/>
        <w:rPr>
          <w:sz w:val="8"/>
        </w:rPr>
      </w:pPr>
    </w:p>
    <w:p>
      <w:pPr>
        <w:spacing w:line="254" w:lineRule="auto" w:before="71"/>
        <w:ind w:left="340" w:right="105" w:hanging="240"/>
        <w:jc w:val="left"/>
        <w:rPr>
          <w:sz w:val="18"/>
        </w:rPr>
      </w:pPr>
      <w:r>
        <w:rPr>
          <w:color w:val="231F20"/>
          <w:sz w:val="18"/>
        </w:rPr>
        <w:t>Ricardo,</w:t>
      </w:r>
      <w:r>
        <w:rPr>
          <w:color w:val="231F20"/>
          <w:spacing w:val="-11"/>
          <w:sz w:val="18"/>
        </w:rPr>
        <w:t> </w:t>
      </w:r>
      <w:r>
        <w:rPr>
          <w:color w:val="231F20"/>
          <w:sz w:val="18"/>
        </w:rPr>
        <w:t>David,</w:t>
      </w:r>
      <w:r>
        <w:rPr>
          <w:color w:val="231F20"/>
          <w:spacing w:val="-11"/>
          <w:sz w:val="18"/>
        </w:rPr>
        <w:t> </w:t>
      </w:r>
      <w:r>
        <w:rPr>
          <w:color w:val="231F20"/>
          <w:sz w:val="18"/>
        </w:rPr>
        <w:t>1817,</w:t>
      </w:r>
      <w:r>
        <w:rPr>
          <w:color w:val="231F20"/>
          <w:spacing w:val="-11"/>
          <w:sz w:val="18"/>
        </w:rPr>
        <w:t> </w:t>
      </w:r>
      <w:r>
        <w:rPr>
          <w:i/>
          <w:color w:val="231F20"/>
          <w:sz w:val="18"/>
        </w:rPr>
        <w:t>Principios</w:t>
      </w:r>
      <w:r>
        <w:rPr>
          <w:i/>
          <w:color w:val="231F20"/>
          <w:spacing w:val="-11"/>
          <w:sz w:val="18"/>
        </w:rPr>
        <w:t> </w:t>
      </w:r>
      <w:r>
        <w:rPr>
          <w:i/>
          <w:color w:val="231F20"/>
          <w:sz w:val="18"/>
        </w:rPr>
        <w:t>de</w:t>
      </w:r>
      <w:r>
        <w:rPr>
          <w:i/>
          <w:color w:val="231F20"/>
          <w:spacing w:val="-11"/>
          <w:sz w:val="18"/>
        </w:rPr>
        <w:t> </w:t>
      </w:r>
      <w:r>
        <w:rPr>
          <w:i/>
          <w:color w:val="231F20"/>
          <w:sz w:val="18"/>
        </w:rPr>
        <w:t>economía</w:t>
      </w:r>
      <w:r>
        <w:rPr>
          <w:i/>
          <w:color w:val="231F20"/>
          <w:spacing w:val="-11"/>
          <w:sz w:val="18"/>
        </w:rPr>
        <w:t> </w:t>
      </w:r>
      <w:r>
        <w:rPr>
          <w:i/>
          <w:color w:val="231F20"/>
          <w:sz w:val="18"/>
        </w:rPr>
        <w:t>política</w:t>
      </w:r>
      <w:r>
        <w:rPr>
          <w:i/>
          <w:color w:val="231F20"/>
          <w:spacing w:val="-11"/>
          <w:sz w:val="18"/>
        </w:rPr>
        <w:t> </w:t>
      </w:r>
      <w:r>
        <w:rPr>
          <w:i/>
          <w:color w:val="231F20"/>
          <w:sz w:val="18"/>
        </w:rPr>
        <w:t>y</w:t>
      </w:r>
      <w:r>
        <w:rPr>
          <w:i/>
          <w:color w:val="231F20"/>
          <w:spacing w:val="-11"/>
          <w:sz w:val="18"/>
        </w:rPr>
        <w:t> </w:t>
      </w:r>
      <w:r>
        <w:rPr>
          <w:i/>
          <w:color w:val="231F20"/>
          <w:sz w:val="18"/>
        </w:rPr>
        <w:t>tributación</w:t>
      </w:r>
      <w:r>
        <w:rPr>
          <w:color w:val="231F20"/>
          <w:sz w:val="18"/>
        </w:rPr>
        <w:t>,</w:t>
      </w:r>
      <w:r>
        <w:rPr>
          <w:color w:val="231F20"/>
          <w:spacing w:val="-11"/>
          <w:sz w:val="18"/>
        </w:rPr>
        <w:t> </w:t>
      </w:r>
      <w:r>
        <w:rPr>
          <w:color w:val="231F20"/>
          <w:sz w:val="18"/>
        </w:rPr>
        <w:t>México,</w:t>
      </w:r>
      <w:r>
        <w:rPr>
          <w:color w:val="231F20"/>
          <w:spacing w:val="-11"/>
          <w:sz w:val="18"/>
        </w:rPr>
        <w:t> </w:t>
      </w:r>
      <w:r>
        <w:rPr>
          <w:color w:val="231F20"/>
          <w:sz w:val="18"/>
        </w:rPr>
        <w:t>Fondo de   Cultura </w:t>
      </w:r>
      <w:r>
        <w:rPr>
          <w:color w:val="231F20"/>
          <w:spacing w:val="43"/>
          <w:sz w:val="18"/>
        </w:rPr>
        <w:t> </w:t>
      </w:r>
      <w:r>
        <w:rPr>
          <w:color w:val="231F20"/>
          <w:sz w:val="18"/>
        </w:rPr>
        <w:t>Económica.</w:t>
      </w:r>
    </w:p>
    <w:p>
      <w:pPr>
        <w:spacing w:line="254" w:lineRule="auto" w:before="1"/>
        <w:ind w:left="340" w:right="25" w:hanging="240"/>
        <w:jc w:val="left"/>
        <w:rPr>
          <w:sz w:val="18"/>
        </w:rPr>
      </w:pPr>
      <w:r>
        <w:rPr>
          <w:color w:val="231F20"/>
          <w:sz w:val="18"/>
        </w:rPr>
        <w:t>Smith, Adam, 1776, “</w:t>
      </w:r>
      <w:r>
        <w:rPr>
          <w:i/>
          <w:color w:val="231F20"/>
          <w:sz w:val="18"/>
        </w:rPr>
        <w:t>Investigación sobre la naturaleza y causa de la riqueza de las </w:t>
      </w:r>
      <w:r>
        <w:rPr>
          <w:i/>
          <w:color w:val="231F20"/>
          <w:sz w:val="18"/>
        </w:rPr>
        <w:t>naciones</w:t>
      </w:r>
      <w:r>
        <w:rPr>
          <w:color w:val="231F20"/>
          <w:sz w:val="18"/>
        </w:rPr>
        <w:t>,  México,  Fondo  de  Cultura  Económica.</w:t>
      </w:r>
    </w:p>
    <w:p>
      <w:pPr>
        <w:spacing w:line="254" w:lineRule="auto" w:before="1"/>
        <w:ind w:left="340" w:right="25" w:hanging="240"/>
        <w:jc w:val="left"/>
        <w:rPr>
          <w:sz w:val="18"/>
        </w:rPr>
      </w:pPr>
      <w:r>
        <w:rPr>
          <w:color w:val="231F20"/>
          <w:sz w:val="18"/>
        </w:rPr>
        <w:t>Survey of Current Business, 2009, </w:t>
      </w:r>
      <w:r>
        <w:rPr>
          <w:i/>
          <w:color w:val="231F20"/>
          <w:sz w:val="18"/>
        </w:rPr>
        <w:t>Return for Domestic Nonfinancial Business</w:t>
      </w:r>
      <w:r>
        <w:rPr>
          <w:color w:val="231F20"/>
          <w:sz w:val="18"/>
        </w:rPr>
        <w:t>, mayo.</w:t>
      </w:r>
    </w:p>
    <w:p>
      <w:pPr>
        <w:spacing w:after="0" w:line="254" w:lineRule="auto"/>
        <w:jc w:val="left"/>
        <w:rPr>
          <w:sz w:val="18"/>
        </w:rPr>
        <w:sectPr>
          <w:pgSz w:w="7640" w:h="11900"/>
          <w:pgMar w:header="672" w:footer="0" w:top="860" w:bottom="280" w:left="660" w:right="760"/>
        </w:sectPr>
      </w:pPr>
    </w:p>
    <w:p>
      <w:pPr>
        <w:pStyle w:val="BodyText"/>
        <w:spacing w:before="39"/>
        <w:ind w:left="100" w:right="25"/>
      </w:pPr>
      <w:r>
        <w:rPr>
          <w:color w:val="231F20"/>
        </w:rPr>
        <w:t>CRISIS GENERAL CAPITALISTA</w:t>
      </w:r>
    </w:p>
    <w:p>
      <w:pPr>
        <w:pStyle w:val="BodyText"/>
        <w:spacing w:before="20"/>
        <w:ind w:left="100" w:right="25"/>
      </w:pPr>
      <w:r>
        <w:rPr>
          <w:color w:val="231F20"/>
        </w:rPr>
        <w:t>¿CRISIS FINAL DEL  NEOLIBERALISMO?</w:t>
      </w:r>
    </w:p>
    <w:p>
      <w:pPr>
        <w:pStyle w:val="BodyText"/>
        <w:spacing w:before="7"/>
        <w:rPr>
          <w:sz w:val="17"/>
        </w:rPr>
      </w:pPr>
    </w:p>
    <w:p>
      <w:pPr>
        <w:pStyle w:val="BodyText"/>
        <w:spacing w:before="67"/>
        <w:ind w:left="2441" w:right="25" w:firstLine="1484"/>
      </w:pPr>
      <w:r>
        <w:rPr>
          <w:color w:val="231F20"/>
          <w:w w:val="125"/>
        </w:rPr>
        <w:t>jaime ornelas delgado</w:t>
      </w:r>
    </w:p>
    <w:p>
      <w:pPr>
        <w:pStyle w:val="BodyText"/>
        <w:spacing w:before="1"/>
        <w:rPr>
          <w:sz w:val="25"/>
        </w:rPr>
      </w:pPr>
    </w:p>
    <w:p>
      <w:pPr>
        <w:spacing w:line="290" w:lineRule="auto" w:before="0"/>
        <w:ind w:left="3237" w:right="28" w:hanging="796"/>
        <w:jc w:val="left"/>
        <w:rPr>
          <w:i/>
          <w:sz w:val="18"/>
        </w:rPr>
      </w:pPr>
      <w:r>
        <w:rPr>
          <w:i/>
          <w:color w:val="231F20"/>
          <w:sz w:val="18"/>
        </w:rPr>
        <w:t>Vivimos en un mundo que es cada vez más caótico, </w:t>
      </w:r>
      <w:r>
        <w:rPr>
          <w:i/>
          <w:color w:val="231F20"/>
          <w:sz w:val="18"/>
        </w:rPr>
        <w:t>lo que es muy normal durante el periodo</w:t>
      </w:r>
    </w:p>
    <w:p>
      <w:pPr>
        <w:spacing w:before="1"/>
        <w:ind w:left="2977" w:right="-2" w:firstLine="0"/>
        <w:jc w:val="left"/>
        <w:rPr>
          <w:i/>
          <w:sz w:val="18"/>
        </w:rPr>
      </w:pPr>
      <w:r>
        <w:rPr>
          <w:i/>
          <w:color w:val="231F20"/>
          <w:sz w:val="18"/>
        </w:rPr>
        <w:t>de la desintegración de un sistema histórico.</w:t>
      </w:r>
    </w:p>
    <w:p>
      <w:pPr>
        <w:pStyle w:val="BodyText"/>
        <w:spacing w:before="24"/>
        <w:ind w:left="2889" w:right="25"/>
      </w:pPr>
      <w:r>
        <w:rPr>
          <w:color w:val="231F20"/>
          <w:w w:val="120"/>
        </w:rPr>
        <w:t>immanuel wallerstein (2005: 75).</w:t>
      </w:r>
    </w:p>
    <w:p>
      <w:pPr>
        <w:pStyle w:val="BodyText"/>
      </w:pPr>
    </w:p>
    <w:p>
      <w:pPr>
        <w:pStyle w:val="BodyText"/>
      </w:pPr>
    </w:p>
    <w:p>
      <w:pPr>
        <w:pStyle w:val="BodyText"/>
        <w:spacing w:before="1"/>
        <w:rPr>
          <w:sz w:val="21"/>
        </w:rPr>
      </w:pPr>
    </w:p>
    <w:p>
      <w:pPr>
        <w:pStyle w:val="BodyText"/>
        <w:spacing w:before="67"/>
        <w:ind w:left="100"/>
        <w:jc w:val="both"/>
      </w:pPr>
      <w:r>
        <w:rPr>
          <w:color w:val="231F20"/>
          <w:w w:val="130"/>
        </w:rPr>
        <w:t>introducción</w:t>
      </w:r>
    </w:p>
    <w:p>
      <w:pPr>
        <w:pStyle w:val="BodyText"/>
        <w:spacing w:before="5"/>
        <w:rPr>
          <w:sz w:val="23"/>
        </w:rPr>
      </w:pPr>
    </w:p>
    <w:p>
      <w:pPr>
        <w:pStyle w:val="BodyText"/>
        <w:spacing w:line="261" w:lineRule="auto"/>
        <w:ind w:left="100" w:right="117"/>
        <w:jc w:val="both"/>
      </w:pPr>
      <w:r>
        <w:rPr>
          <w:color w:val="231F20"/>
          <w:w w:val="110"/>
        </w:rPr>
        <w:t>El neoliberalismo está en retirada, pero no derrotado. Su descrédito, sin</w:t>
      </w:r>
      <w:r>
        <w:rPr>
          <w:color w:val="231F20"/>
          <w:spacing w:val="-8"/>
          <w:w w:val="110"/>
        </w:rPr>
        <w:t> </w:t>
      </w:r>
      <w:r>
        <w:rPr>
          <w:color w:val="231F20"/>
          <w:w w:val="110"/>
        </w:rPr>
        <w:t>embargo,</w:t>
      </w:r>
      <w:r>
        <w:rPr>
          <w:color w:val="231F20"/>
          <w:spacing w:val="-8"/>
          <w:w w:val="110"/>
        </w:rPr>
        <w:t> </w:t>
      </w:r>
      <w:r>
        <w:rPr>
          <w:color w:val="231F20"/>
          <w:w w:val="110"/>
        </w:rPr>
        <w:t>se</w:t>
      </w:r>
      <w:r>
        <w:rPr>
          <w:color w:val="231F20"/>
          <w:spacing w:val="-8"/>
          <w:w w:val="110"/>
        </w:rPr>
        <w:t> </w:t>
      </w:r>
      <w:r>
        <w:rPr>
          <w:color w:val="231F20"/>
          <w:w w:val="110"/>
        </w:rPr>
        <w:t>acentúa</w:t>
      </w:r>
      <w:r>
        <w:rPr>
          <w:color w:val="231F20"/>
          <w:spacing w:val="-8"/>
          <w:w w:val="110"/>
        </w:rPr>
        <w:t> </w:t>
      </w:r>
      <w:r>
        <w:rPr>
          <w:color w:val="231F20"/>
          <w:w w:val="110"/>
        </w:rPr>
        <w:t>desde</w:t>
      </w:r>
      <w:r>
        <w:rPr>
          <w:color w:val="231F20"/>
          <w:spacing w:val="-8"/>
          <w:w w:val="110"/>
        </w:rPr>
        <w:t> </w:t>
      </w:r>
      <w:r>
        <w:rPr>
          <w:color w:val="231F20"/>
          <w:w w:val="110"/>
        </w:rPr>
        <w:t>hace</w:t>
      </w:r>
      <w:r>
        <w:rPr>
          <w:color w:val="231F20"/>
          <w:spacing w:val="-8"/>
          <w:w w:val="110"/>
        </w:rPr>
        <w:t> </w:t>
      </w:r>
      <w:r>
        <w:rPr>
          <w:color w:val="231F20"/>
          <w:w w:val="110"/>
        </w:rPr>
        <w:t>algún</w:t>
      </w:r>
      <w:r>
        <w:rPr>
          <w:color w:val="231F20"/>
          <w:spacing w:val="-8"/>
          <w:w w:val="110"/>
        </w:rPr>
        <w:t> </w:t>
      </w:r>
      <w:r>
        <w:rPr>
          <w:color w:val="231F20"/>
          <w:w w:val="110"/>
        </w:rPr>
        <w:t>tiempo</w:t>
      </w:r>
      <w:r>
        <w:rPr>
          <w:color w:val="231F20"/>
          <w:spacing w:val="-8"/>
          <w:w w:val="110"/>
        </w:rPr>
        <w:t> </w:t>
      </w:r>
      <w:r>
        <w:rPr>
          <w:color w:val="231F20"/>
          <w:w w:val="110"/>
        </w:rPr>
        <w:t>en</w:t>
      </w:r>
      <w:r>
        <w:rPr>
          <w:color w:val="231F20"/>
          <w:spacing w:val="-8"/>
          <w:w w:val="110"/>
        </w:rPr>
        <w:t> </w:t>
      </w:r>
      <w:r>
        <w:rPr>
          <w:color w:val="231F20"/>
          <w:w w:val="110"/>
        </w:rPr>
        <w:t>América</w:t>
      </w:r>
      <w:r>
        <w:rPr>
          <w:color w:val="231F20"/>
          <w:spacing w:val="-8"/>
          <w:w w:val="110"/>
        </w:rPr>
        <w:t> </w:t>
      </w:r>
      <w:r>
        <w:rPr>
          <w:color w:val="231F20"/>
          <w:w w:val="110"/>
        </w:rPr>
        <w:t>Latina, donde algunos pueblos han iniciado el camino de la construcción de una sociedad alternativa a la</w:t>
      </w:r>
      <w:r>
        <w:rPr>
          <w:color w:val="231F20"/>
          <w:spacing w:val="35"/>
          <w:w w:val="110"/>
        </w:rPr>
        <w:t> </w:t>
      </w:r>
      <w:r>
        <w:rPr>
          <w:color w:val="231F20"/>
          <w:w w:val="110"/>
        </w:rPr>
        <w:t>neoliberal.</w:t>
      </w:r>
    </w:p>
    <w:p>
      <w:pPr>
        <w:pStyle w:val="BodyText"/>
        <w:spacing w:line="261" w:lineRule="auto"/>
        <w:ind w:left="100" w:right="117" w:firstLine="240"/>
        <w:jc w:val="both"/>
      </w:pPr>
      <w:r>
        <w:rPr>
          <w:color w:val="231F20"/>
          <w:w w:val="110"/>
        </w:rPr>
        <w:t>Al surgir el neoliberalismo, el “núcleo duro” de su mensaje polí- tico era suficientemente claro: ha llegado el fin de la política y toda la economía debe quedar a cargo del omnipotente libre mercado, cuya autorregulación permite el crecimiento de la economía, asigna racionalmente los recursos y evita las crisis. Con ello, la economía dejaba de ser política y la acumulación del capital debía sujetarse a las leyes del mercado y respetar su lógica de funcionamiento.</w:t>
      </w:r>
    </w:p>
    <w:p>
      <w:pPr>
        <w:pStyle w:val="BodyText"/>
        <w:spacing w:line="261" w:lineRule="auto"/>
        <w:ind w:left="100" w:right="117" w:firstLine="240"/>
        <w:jc w:val="both"/>
      </w:pPr>
      <w:r>
        <w:rPr>
          <w:color w:val="231F20"/>
          <w:w w:val="110"/>
        </w:rPr>
        <w:t>Para los panegiristas del neoliberalismo, el capitalismo de libre mercado es la expresión más elevada de la racionalidad económica, en consecuencia: “No tiene alternativa […] El orden existente</w:t>
      </w:r>
      <w:r>
        <w:rPr>
          <w:color w:val="231F20"/>
          <w:spacing w:val="-32"/>
          <w:w w:val="110"/>
        </w:rPr>
        <w:t> </w:t>
      </w:r>
      <w:r>
        <w:rPr>
          <w:color w:val="231F20"/>
          <w:w w:val="110"/>
        </w:rPr>
        <w:t>puede ser mejor o </w:t>
      </w:r>
      <w:r>
        <w:rPr>
          <w:color w:val="231F20"/>
          <w:spacing w:val="-4"/>
          <w:w w:val="110"/>
        </w:rPr>
        <w:t>peor, </w:t>
      </w:r>
      <w:r>
        <w:rPr>
          <w:color w:val="231F20"/>
          <w:w w:val="110"/>
        </w:rPr>
        <w:t>puede satisfacer más o menos las necesidades de las</w:t>
      </w:r>
      <w:r>
        <w:rPr>
          <w:color w:val="231F20"/>
          <w:spacing w:val="-15"/>
          <w:w w:val="110"/>
        </w:rPr>
        <w:t> </w:t>
      </w:r>
      <w:r>
        <w:rPr>
          <w:color w:val="231F20"/>
          <w:w w:val="110"/>
        </w:rPr>
        <w:t>mayorías,</w:t>
      </w:r>
      <w:r>
        <w:rPr>
          <w:color w:val="231F20"/>
          <w:spacing w:val="-15"/>
          <w:w w:val="110"/>
        </w:rPr>
        <w:t> </w:t>
      </w:r>
      <w:r>
        <w:rPr>
          <w:color w:val="231F20"/>
          <w:w w:val="110"/>
        </w:rPr>
        <w:t>pero</w:t>
      </w:r>
      <w:r>
        <w:rPr>
          <w:color w:val="231F20"/>
          <w:spacing w:val="-15"/>
          <w:w w:val="110"/>
        </w:rPr>
        <w:t> </w:t>
      </w:r>
      <w:r>
        <w:rPr>
          <w:color w:val="231F20"/>
          <w:w w:val="110"/>
        </w:rPr>
        <w:t>no</w:t>
      </w:r>
      <w:r>
        <w:rPr>
          <w:color w:val="231F20"/>
          <w:spacing w:val="-15"/>
          <w:w w:val="110"/>
        </w:rPr>
        <w:t> </w:t>
      </w:r>
      <w:r>
        <w:rPr>
          <w:color w:val="231F20"/>
          <w:w w:val="110"/>
        </w:rPr>
        <w:t>tiene</w:t>
      </w:r>
      <w:r>
        <w:rPr>
          <w:color w:val="231F20"/>
          <w:spacing w:val="-15"/>
          <w:w w:val="110"/>
        </w:rPr>
        <w:t> </w:t>
      </w:r>
      <w:r>
        <w:rPr>
          <w:color w:val="231F20"/>
          <w:w w:val="110"/>
        </w:rPr>
        <w:t>alternativa,</w:t>
      </w:r>
      <w:r>
        <w:rPr>
          <w:color w:val="231F20"/>
          <w:spacing w:val="-15"/>
          <w:w w:val="110"/>
        </w:rPr>
        <w:t> </w:t>
      </w:r>
      <w:r>
        <w:rPr>
          <w:color w:val="231F20"/>
          <w:w w:val="110"/>
        </w:rPr>
        <w:t>esto</w:t>
      </w:r>
      <w:r>
        <w:rPr>
          <w:color w:val="231F20"/>
          <w:spacing w:val="-15"/>
          <w:w w:val="110"/>
        </w:rPr>
        <w:t> </w:t>
      </w:r>
      <w:r>
        <w:rPr>
          <w:color w:val="231F20"/>
          <w:w w:val="110"/>
        </w:rPr>
        <w:t>es</w:t>
      </w:r>
      <w:r>
        <w:rPr>
          <w:color w:val="231F20"/>
          <w:spacing w:val="-15"/>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los</w:t>
      </w:r>
      <w:r>
        <w:rPr>
          <w:color w:val="231F20"/>
          <w:spacing w:val="-15"/>
          <w:w w:val="110"/>
        </w:rPr>
        <w:t> </w:t>
      </w:r>
      <w:r>
        <w:rPr>
          <w:color w:val="231F20"/>
          <w:w w:val="110"/>
        </w:rPr>
        <w:t>‘apologistas’</w:t>
      </w:r>
    </w:p>
    <w:p>
      <w:pPr>
        <w:pStyle w:val="BodyText"/>
        <w:spacing w:line="261" w:lineRule="auto"/>
        <w:ind w:left="100" w:right="117"/>
        <w:jc w:val="both"/>
      </w:pPr>
      <w:r>
        <w:rPr>
          <w:color w:val="231F20"/>
          <w:w w:val="105"/>
        </w:rPr>
        <w:t>—los ideólogos del capitalismo— no se cansan de repetir” (Monereo, 1995: 23).</w:t>
      </w:r>
    </w:p>
    <w:p>
      <w:pPr>
        <w:pStyle w:val="BodyText"/>
        <w:spacing w:line="261" w:lineRule="auto"/>
        <w:ind w:left="100" w:right="117" w:firstLine="240"/>
        <w:jc w:val="both"/>
      </w:pPr>
      <w:r>
        <w:rPr>
          <w:color w:val="231F20"/>
          <w:w w:val="110"/>
        </w:rPr>
        <w:t>Pero además, sus promotores consideran al capitalismo</w:t>
      </w:r>
      <w:r>
        <w:rPr>
          <w:color w:val="231F20"/>
          <w:spacing w:val="-37"/>
          <w:w w:val="110"/>
        </w:rPr>
        <w:t> </w:t>
      </w:r>
      <w:r>
        <w:rPr>
          <w:color w:val="231F20"/>
          <w:w w:val="110"/>
        </w:rPr>
        <w:t>neoliberal no</w:t>
      </w:r>
      <w:r>
        <w:rPr>
          <w:color w:val="231F20"/>
          <w:spacing w:val="-15"/>
          <w:w w:val="110"/>
        </w:rPr>
        <w:t> </w:t>
      </w:r>
      <w:r>
        <w:rPr>
          <w:color w:val="231F20"/>
          <w:w w:val="110"/>
        </w:rPr>
        <w:t>sólo</w:t>
      </w:r>
      <w:r>
        <w:rPr>
          <w:color w:val="231F20"/>
          <w:spacing w:val="-15"/>
          <w:w w:val="110"/>
        </w:rPr>
        <w:t> </w:t>
      </w:r>
      <w:r>
        <w:rPr>
          <w:color w:val="231F20"/>
          <w:w w:val="110"/>
        </w:rPr>
        <w:t>la</w:t>
      </w:r>
      <w:r>
        <w:rPr>
          <w:color w:val="231F20"/>
          <w:spacing w:val="-15"/>
          <w:w w:val="110"/>
        </w:rPr>
        <w:t> </w:t>
      </w:r>
      <w:r>
        <w:rPr>
          <w:color w:val="231F20"/>
          <w:w w:val="110"/>
        </w:rPr>
        <w:t>expresión</w:t>
      </w:r>
      <w:r>
        <w:rPr>
          <w:color w:val="231F20"/>
          <w:spacing w:val="-15"/>
          <w:w w:val="110"/>
        </w:rPr>
        <w:t> </w:t>
      </w:r>
      <w:r>
        <w:rPr>
          <w:color w:val="231F20"/>
          <w:w w:val="110"/>
        </w:rPr>
        <w:t>más</w:t>
      </w:r>
      <w:r>
        <w:rPr>
          <w:color w:val="231F20"/>
          <w:spacing w:val="-15"/>
          <w:w w:val="110"/>
        </w:rPr>
        <w:t> </w:t>
      </w:r>
      <w:r>
        <w:rPr>
          <w:color w:val="231F20"/>
          <w:w w:val="110"/>
        </w:rPr>
        <w:t>alta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organización</w:t>
      </w:r>
      <w:r>
        <w:rPr>
          <w:color w:val="231F20"/>
          <w:spacing w:val="-15"/>
          <w:w w:val="110"/>
        </w:rPr>
        <w:t> </w:t>
      </w:r>
      <w:r>
        <w:rPr>
          <w:color w:val="231F20"/>
          <w:w w:val="110"/>
        </w:rPr>
        <w:t>económica,</w:t>
      </w:r>
      <w:r>
        <w:rPr>
          <w:color w:val="231F20"/>
          <w:spacing w:val="-15"/>
          <w:w w:val="110"/>
        </w:rPr>
        <w:t> </w:t>
      </w:r>
      <w:r>
        <w:rPr>
          <w:color w:val="231F20"/>
          <w:w w:val="110"/>
        </w:rPr>
        <w:t>sino</w:t>
      </w:r>
      <w:r>
        <w:rPr>
          <w:color w:val="231F20"/>
          <w:spacing w:val="-15"/>
          <w:w w:val="110"/>
        </w:rPr>
        <w:t> </w:t>
      </w:r>
      <w:r>
        <w:rPr>
          <w:color w:val="231F20"/>
          <w:w w:val="110"/>
        </w:rPr>
        <w:t>tam- bién inamovible en tanto representa el “fin de la historia”, es </w:t>
      </w:r>
      <w:r>
        <w:rPr>
          <w:color w:val="231F20"/>
          <w:spacing w:val="-3"/>
          <w:w w:val="110"/>
        </w:rPr>
        <w:t>decir, </w:t>
      </w:r>
      <w:r>
        <w:rPr>
          <w:color w:val="231F20"/>
          <w:w w:val="110"/>
        </w:rPr>
        <w:t>que una vez establecido en todo el mundo no existe razón alguna para su</w:t>
      </w:r>
      <w:r>
        <w:rPr>
          <w:color w:val="231F20"/>
          <w:spacing w:val="19"/>
          <w:w w:val="110"/>
        </w:rPr>
        <w:t> </w:t>
      </w:r>
      <w:r>
        <w:rPr>
          <w:color w:val="231F20"/>
          <w:w w:val="110"/>
        </w:rPr>
        <w:t>desaparición.</w:t>
      </w:r>
    </w:p>
    <w:p>
      <w:pPr>
        <w:pStyle w:val="BodyText"/>
        <w:spacing w:line="261" w:lineRule="auto"/>
        <w:ind w:left="100" w:right="119" w:firstLine="240"/>
        <w:jc w:val="both"/>
      </w:pPr>
      <w:r>
        <w:rPr>
          <w:color w:val="231F20"/>
          <w:w w:val="110"/>
        </w:rPr>
        <w:t>La asunción acrítica que supone razonar dentro de un sistema cerrado, implica una fe ciega en el neoliberalismo y sus   soluciones</w:t>
      </w:r>
    </w:p>
    <w:p>
      <w:pPr>
        <w:pStyle w:val="BodyText"/>
        <w:rPr>
          <w:sz w:val="15"/>
        </w:rPr>
      </w:pPr>
    </w:p>
    <w:p>
      <w:pPr>
        <w:pStyle w:val="BodyText"/>
        <w:spacing w:before="67"/>
        <w:ind w:left="113" w:right="132"/>
        <w:jc w:val="center"/>
      </w:pPr>
      <w:r>
        <w:rPr>
          <w:color w:val="231F20"/>
          <w:w w:val="120"/>
        </w:rPr>
        <w:t>[112]</w:t>
      </w:r>
    </w:p>
    <w:p>
      <w:pPr>
        <w:spacing w:after="0"/>
        <w:jc w:val="center"/>
        <w:sectPr>
          <w:headerReference w:type="even" r:id="rId91"/>
          <w:pgSz w:w="7640" w:h="11900"/>
          <w:pgMar w:header="0" w:footer="0" w:top="100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10"/>
        </w:rPr>
        <w:t>políticas.</w:t>
      </w:r>
      <w:r>
        <w:rPr>
          <w:color w:val="231F20"/>
          <w:spacing w:val="-14"/>
          <w:w w:val="110"/>
        </w:rPr>
        <w:t> </w:t>
      </w:r>
      <w:r>
        <w:rPr>
          <w:color w:val="231F20"/>
          <w:w w:val="110"/>
        </w:rPr>
        <w:t>En</w:t>
      </w:r>
      <w:r>
        <w:rPr>
          <w:color w:val="231F20"/>
          <w:spacing w:val="-14"/>
          <w:w w:val="110"/>
        </w:rPr>
        <w:t> </w:t>
      </w:r>
      <w:r>
        <w:rPr>
          <w:color w:val="231F20"/>
          <w:w w:val="110"/>
        </w:rPr>
        <w:t>efecto,</w:t>
      </w:r>
      <w:r>
        <w:rPr>
          <w:color w:val="231F20"/>
          <w:spacing w:val="-14"/>
          <w:w w:val="110"/>
        </w:rPr>
        <w:t> </w:t>
      </w:r>
      <w:r>
        <w:rPr>
          <w:color w:val="231F20"/>
          <w:w w:val="110"/>
        </w:rPr>
        <w:t>diría</w:t>
      </w:r>
      <w:r>
        <w:rPr>
          <w:color w:val="231F20"/>
          <w:spacing w:val="-14"/>
          <w:w w:val="110"/>
        </w:rPr>
        <w:t> </w:t>
      </w:r>
      <w:r>
        <w:rPr>
          <w:color w:val="231F20"/>
          <w:w w:val="110"/>
        </w:rPr>
        <w:t>Francis</w:t>
      </w:r>
      <w:r>
        <w:rPr>
          <w:color w:val="231F20"/>
          <w:spacing w:val="-14"/>
          <w:w w:val="110"/>
        </w:rPr>
        <w:t> </w:t>
      </w:r>
      <w:r>
        <w:rPr>
          <w:color w:val="231F20"/>
          <w:w w:val="110"/>
        </w:rPr>
        <w:t>Fukuyama:</w:t>
      </w:r>
      <w:r>
        <w:rPr>
          <w:color w:val="231F20"/>
          <w:spacing w:val="-14"/>
          <w:w w:val="110"/>
        </w:rPr>
        <w:t> </w:t>
      </w:r>
      <w:r>
        <w:rPr>
          <w:color w:val="231F20"/>
          <w:w w:val="110"/>
        </w:rPr>
        <w:t>“La</w:t>
      </w:r>
      <w:r>
        <w:rPr>
          <w:color w:val="231F20"/>
          <w:spacing w:val="-14"/>
          <w:w w:val="110"/>
        </w:rPr>
        <w:t> </w:t>
      </w:r>
      <w:r>
        <w:rPr>
          <w:color w:val="231F20"/>
          <w:w w:val="110"/>
        </w:rPr>
        <w:t>democracias</w:t>
      </w:r>
      <w:r>
        <w:rPr>
          <w:color w:val="231F20"/>
          <w:spacing w:val="-14"/>
          <w:w w:val="110"/>
        </w:rPr>
        <w:t> </w:t>
      </w:r>
      <w:r>
        <w:rPr>
          <w:color w:val="231F20"/>
          <w:w w:val="110"/>
        </w:rPr>
        <w:t>liberal es la única aspiración política coherente que abarca las diferentes culturas y regiones del planeta” (Fukuyama, 1992/1994:</w:t>
      </w:r>
      <w:r>
        <w:rPr>
          <w:color w:val="231F20"/>
          <w:spacing w:val="4"/>
          <w:w w:val="110"/>
        </w:rPr>
        <w:t> </w:t>
      </w:r>
      <w:r>
        <w:rPr>
          <w:color w:val="231F20"/>
          <w:w w:val="110"/>
        </w:rPr>
        <w:t>14).</w:t>
      </w:r>
      <w:r>
        <w:rPr>
          <w:color w:val="231F20"/>
          <w:w w:val="110"/>
          <w:position w:val="6"/>
          <w:sz w:val="13"/>
        </w:rPr>
        <w:t>1</w:t>
      </w:r>
    </w:p>
    <w:p>
      <w:pPr>
        <w:pStyle w:val="BodyText"/>
      </w:pPr>
    </w:p>
    <w:p>
      <w:pPr>
        <w:pStyle w:val="BodyText"/>
      </w:pPr>
    </w:p>
    <w:p>
      <w:pPr>
        <w:pStyle w:val="BodyText"/>
        <w:spacing w:before="2"/>
        <w:rPr>
          <w:sz w:val="25"/>
        </w:rPr>
      </w:pPr>
    </w:p>
    <w:p>
      <w:pPr>
        <w:pStyle w:val="BodyText"/>
        <w:ind w:left="100"/>
        <w:jc w:val="both"/>
      </w:pPr>
      <w:r>
        <w:rPr>
          <w:color w:val="231F20"/>
          <w:w w:val="130"/>
        </w:rPr>
        <w:t>el consenso neoliberal</w:t>
      </w:r>
    </w:p>
    <w:p>
      <w:pPr>
        <w:pStyle w:val="BodyText"/>
        <w:spacing w:before="5"/>
        <w:rPr>
          <w:sz w:val="23"/>
        </w:rPr>
      </w:pPr>
    </w:p>
    <w:p>
      <w:pPr>
        <w:pStyle w:val="BodyText"/>
        <w:spacing w:line="261" w:lineRule="auto"/>
        <w:ind w:left="100" w:right="117"/>
        <w:jc w:val="both"/>
      </w:pPr>
      <w:r>
        <w:rPr>
          <w:color w:val="231F20"/>
          <w:w w:val="110"/>
        </w:rPr>
        <w:t>Si bien la experiencia en América Latina sobre el neoliberalismo ha sido</w:t>
      </w:r>
      <w:r>
        <w:rPr>
          <w:color w:val="231F20"/>
          <w:spacing w:val="-5"/>
          <w:w w:val="110"/>
        </w:rPr>
        <w:t> </w:t>
      </w:r>
      <w:r>
        <w:rPr>
          <w:color w:val="231F20"/>
          <w:w w:val="110"/>
        </w:rPr>
        <w:t>diversa,</w:t>
      </w:r>
      <w:r>
        <w:rPr>
          <w:color w:val="231F20"/>
          <w:spacing w:val="-5"/>
          <w:w w:val="110"/>
        </w:rPr>
        <w:t> </w:t>
      </w:r>
      <w:r>
        <w:rPr>
          <w:color w:val="231F20"/>
          <w:w w:val="110"/>
        </w:rPr>
        <w:t>aumentan</w:t>
      </w:r>
      <w:r>
        <w:rPr>
          <w:color w:val="231F20"/>
          <w:spacing w:val="-5"/>
          <w:w w:val="110"/>
        </w:rPr>
        <w:t> </w:t>
      </w:r>
      <w:r>
        <w:rPr>
          <w:color w:val="231F20"/>
          <w:w w:val="110"/>
        </w:rPr>
        <w:t>las</w:t>
      </w:r>
      <w:r>
        <w:rPr>
          <w:color w:val="231F20"/>
          <w:spacing w:val="-5"/>
          <w:w w:val="110"/>
        </w:rPr>
        <w:t> </w:t>
      </w:r>
      <w:r>
        <w:rPr>
          <w:color w:val="231F20"/>
          <w:w w:val="110"/>
        </w:rPr>
        <w:t>dudas</w:t>
      </w:r>
      <w:r>
        <w:rPr>
          <w:color w:val="231F20"/>
          <w:spacing w:val="-5"/>
          <w:w w:val="110"/>
        </w:rPr>
        <w:t> </w:t>
      </w:r>
      <w:r>
        <w:rPr>
          <w:color w:val="231F20"/>
          <w:w w:val="110"/>
        </w:rPr>
        <w:t>sobre</w:t>
      </w:r>
      <w:r>
        <w:rPr>
          <w:color w:val="231F20"/>
          <w:spacing w:val="-5"/>
          <w:w w:val="110"/>
        </w:rPr>
        <w:t> </w:t>
      </w:r>
      <w:r>
        <w:rPr>
          <w:color w:val="231F20"/>
          <w:w w:val="110"/>
        </w:rPr>
        <w:t>la</w:t>
      </w:r>
      <w:r>
        <w:rPr>
          <w:color w:val="231F20"/>
          <w:spacing w:val="-5"/>
          <w:w w:val="110"/>
        </w:rPr>
        <w:t> </w:t>
      </w:r>
      <w:r>
        <w:rPr>
          <w:color w:val="231F20"/>
          <w:w w:val="110"/>
        </w:rPr>
        <w:t>viabilidad</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mercados autorregulados y su capacidad para estimular el crecimiento econó- mico; en cambio, crece la certeza de que su libre accionar provoca el estancamiento productivo y alienta la concentración de la riqueza y el ingreso, elevando la pobreza social y</w:t>
      </w:r>
      <w:r>
        <w:rPr>
          <w:color w:val="231F20"/>
          <w:spacing w:val="-24"/>
          <w:w w:val="110"/>
        </w:rPr>
        <w:t> </w:t>
      </w:r>
      <w:r>
        <w:rPr>
          <w:color w:val="231F20"/>
          <w:w w:val="110"/>
        </w:rPr>
        <w:t>regional.</w:t>
      </w:r>
    </w:p>
    <w:p>
      <w:pPr>
        <w:pStyle w:val="BodyText"/>
        <w:spacing w:line="261" w:lineRule="auto"/>
        <w:ind w:left="100" w:right="112" w:firstLine="240"/>
        <w:jc w:val="both"/>
      </w:pPr>
      <w:r>
        <w:rPr>
          <w:color w:val="231F20"/>
          <w:w w:val="110"/>
        </w:rPr>
        <w:t>En </w:t>
      </w:r>
      <w:r>
        <w:rPr>
          <w:color w:val="231F20"/>
          <w:spacing w:val="2"/>
          <w:w w:val="110"/>
        </w:rPr>
        <w:t>América Latina, </w:t>
      </w:r>
      <w:r>
        <w:rPr>
          <w:color w:val="231F20"/>
          <w:w w:val="110"/>
        </w:rPr>
        <w:t>el </w:t>
      </w:r>
      <w:r>
        <w:rPr>
          <w:color w:val="231F20"/>
          <w:spacing w:val="2"/>
          <w:w w:val="110"/>
        </w:rPr>
        <w:t>neoliberalismo </w:t>
      </w:r>
      <w:r>
        <w:rPr>
          <w:color w:val="231F20"/>
          <w:w w:val="110"/>
        </w:rPr>
        <w:t>se </w:t>
      </w:r>
      <w:r>
        <w:rPr>
          <w:color w:val="231F20"/>
          <w:spacing w:val="2"/>
          <w:w w:val="110"/>
        </w:rPr>
        <w:t>impuso </w:t>
      </w:r>
      <w:r>
        <w:rPr>
          <w:color w:val="231F20"/>
          <w:spacing w:val="3"/>
          <w:w w:val="110"/>
        </w:rPr>
        <w:t>inicialmente </w:t>
      </w:r>
      <w:r>
        <w:rPr>
          <w:color w:val="231F20"/>
          <w:w w:val="110"/>
        </w:rPr>
        <w:t>por la vía de las dictaduras militares; más tarde, con el arribo de la democracia procedimental, llegaron al poder gobernantes que pro- pusieron programas de gobierno donde se planteaba “dejar hacer” la voluntad</w:t>
      </w:r>
      <w:r>
        <w:rPr>
          <w:color w:val="231F20"/>
          <w:spacing w:val="-15"/>
          <w:w w:val="110"/>
        </w:rPr>
        <w:t> </w:t>
      </w:r>
      <w:r>
        <w:rPr>
          <w:color w:val="231F20"/>
          <w:w w:val="110"/>
        </w:rPr>
        <w:t>del</w:t>
      </w:r>
      <w:r>
        <w:rPr>
          <w:color w:val="231F20"/>
          <w:spacing w:val="-15"/>
          <w:w w:val="110"/>
        </w:rPr>
        <w:t> </w:t>
      </w:r>
      <w:r>
        <w:rPr>
          <w:color w:val="231F20"/>
          <w:w w:val="110"/>
        </w:rPr>
        <w:t>mercado</w:t>
      </w:r>
      <w:r>
        <w:rPr>
          <w:color w:val="231F20"/>
          <w:spacing w:val="-15"/>
          <w:w w:val="110"/>
        </w:rPr>
        <w:t> </w:t>
      </w:r>
      <w:r>
        <w:rPr>
          <w:color w:val="231F20"/>
          <w:w w:val="110"/>
        </w:rPr>
        <w:t>y</w:t>
      </w:r>
      <w:r>
        <w:rPr>
          <w:color w:val="231F20"/>
          <w:spacing w:val="-15"/>
          <w:w w:val="110"/>
        </w:rPr>
        <w:t> </w:t>
      </w:r>
      <w:r>
        <w:rPr>
          <w:color w:val="231F20"/>
          <w:w w:val="110"/>
        </w:rPr>
        <w:t>obedecer</w:t>
      </w:r>
      <w:r>
        <w:rPr>
          <w:color w:val="231F20"/>
          <w:spacing w:val="-15"/>
          <w:w w:val="110"/>
        </w:rPr>
        <w:t> </w:t>
      </w:r>
      <w:r>
        <w:rPr>
          <w:color w:val="231F20"/>
          <w:w w:val="110"/>
        </w:rPr>
        <w:t>las</w:t>
      </w:r>
      <w:r>
        <w:rPr>
          <w:color w:val="231F20"/>
          <w:spacing w:val="-15"/>
          <w:w w:val="110"/>
        </w:rPr>
        <w:t> </w:t>
      </w:r>
      <w:r>
        <w:rPr>
          <w:color w:val="231F20"/>
          <w:w w:val="110"/>
        </w:rPr>
        <w:t>leyes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economía,</w:t>
      </w:r>
      <w:r>
        <w:rPr>
          <w:color w:val="231F20"/>
          <w:spacing w:val="-15"/>
          <w:w w:val="110"/>
        </w:rPr>
        <w:t> </w:t>
      </w:r>
      <w:r>
        <w:rPr>
          <w:color w:val="231F20"/>
          <w:w w:val="110"/>
        </w:rPr>
        <w:t>“universa- les,</w:t>
      </w:r>
      <w:r>
        <w:rPr>
          <w:color w:val="231F20"/>
          <w:spacing w:val="-10"/>
          <w:w w:val="110"/>
        </w:rPr>
        <w:t> </w:t>
      </w:r>
      <w:r>
        <w:rPr>
          <w:color w:val="231F20"/>
          <w:w w:val="110"/>
        </w:rPr>
        <w:t>férreas,</w:t>
      </w:r>
      <w:r>
        <w:rPr>
          <w:color w:val="231F20"/>
          <w:spacing w:val="-10"/>
          <w:w w:val="110"/>
        </w:rPr>
        <w:t> </w:t>
      </w:r>
      <w:r>
        <w:rPr>
          <w:color w:val="231F20"/>
          <w:w w:val="110"/>
        </w:rPr>
        <w:t>eternas</w:t>
      </w:r>
      <w:r>
        <w:rPr>
          <w:color w:val="231F20"/>
          <w:spacing w:val="-10"/>
          <w:w w:val="110"/>
        </w:rPr>
        <w:t> </w:t>
      </w:r>
      <w:r>
        <w:rPr>
          <w:color w:val="231F20"/>
          <w:w w:val="110"/>
        </w:rPr>
        <w:t>e</w:t>
      </w:r>
      <w:r>
        <w:rPr>
          <w:color w:val="231F20"/>
          <w:spacing w:val="-10"/>
          <w:w w:val="110"/>
        </w:rPr>
        <w:t> </w:t>
      </w:r>
      <w:r>
        <w:rPr>
          <w:color w:val="231F20"/>
          <w:w w:val="110"/>
        </w:rPr>
        <w:t>inmutables”.</w:t>
      </w:r>
      <w:r>
        <w:rPr>
          <w:color w:val="231F20"/>
          <w:spacing w:val="-10"/>
          <w:w w:val="110"/>
        </w:rPr>
        <w:t> </w:t>
      </w:r>
      <w:r>
        <w:rPr>
          <w:color w:val="231F20"/>
          <w:w w:val="110"/>
        </w:rPr>
        <w:t>Incluso,</w:t>
      </w:r>
      <w:r>
        <w:rPr>
          <w:color w:val="231F20"/>
          <w:spacing w:val="-10"/>
          <w:w w:val="110"/>
        </w:rPr>
        <w:t> </w:t>
      </w:r>
      <w:r>
        <w:rPr>
          <w:color w:val="231F20"/>
          <w:w w:val="110"/>
        </w:rPr>
        <w:t>gobernantes</w:t>
      </w:r>
      <w:r>
        <w:rPr>
          <w:color w:val="231F20"/>
          <w:spacing w:val="-10"/>
          <w:w w:val="110"/>
        </w:rPr>
        <w:t> </w:t>
      </w:r>
      <w:r>
        <w:rPr>
          <w:color w:val="231F20"/>
          <w:w w:val="110"/>
        </w:rPr>
        <w:t>provenientes de la izquierda socialdemócrata no vacilaron en aceptar la majestad de “las fuerzas del libre</w:t>
      </w:r>
      <w:r>
        <w:rPr>
          <w:color w:val="231F20"/>
          <w:spacing w:val="-9"/>
          <w:w w:val="110"/>
        </w:rPr>
        <w:t> </w:t>
      </w:r>
      <w:r>
        <w:rPr>
          <w:color w:val="231F20"/>
          <w:w w:val="110"/>
        </w:rPr>
        <w:t>mercado”.</w:t>
      </w:r>
    </w:p>
    <w:p>
      <w:pPr>
        <w:pStyle w:val="BodyText"/>
        <w:spacing w:line="261" w:lineRule="auto"/>
        <w:ind w:left="100" w:right="117" w:firstLine="240"/>
        <w:jc w:val="both"/>
      </w:pPr>
      <w:r>
        <w:rPr>
          <w:color w:val="231F20"/>
          <w:w w:val="110"/>
        </w:rPr>
        <w:t>Hubo</w:t>
      </w:r>
      <w:r>
        <w:rPr>
          <w:color w:val="231F20"/>
          <w:spacing w:val="-21"/>
          <w:w w:val="110"/>
        </w:rPr>
        <w:t> </w:t>
      </w:r>
      <w:r>
        <w:rPr>
          <w:color w:val="231F20"/>
          <w:w w:val="110"/>
        </w:rPr>
        <w:t>también</w:t>
      </w:r>
      <w:r>
        <w:rPr>
          <w:color w:val="231F20"/>
          <w:spacing w:val="-21"/>
          <w:w w:val="110"/>
        </w:rPr>
        <w:t> </w:t>
      </w:r>
      <w:r>
        <w:rPr>
          <w:color w:val="231F20"/>
          <w:w w:val="110"/>
        </w:rPr>
        <w:t>apoyo</w:t>
      </w:r>
      <w:r>
        <w:rPr>
          <w:color w:val="231F20"/>
          <w:spacing w:val="-21"/>
          <w:w w:val="110"/>
        </w:rPr>
        <w:t> </w:t>
      </w:r>
      <w:r>
        <w:rPr>
          <w:color w:val="231F20"/>
          <w:w w:val="110"/>
        </w:rPr>
        <w:t>popular</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programas</w:t>
      </w:r>
      <w:r>
        <w:rPr>
          <w:color w:val="231F20"/>
          <w:spacing w:val="-21"/>
          <w:w w:val="110"/>
        </w:rPr>
        <w:t> </w:t>
      </w:r>
      <w:r>
        <w:rPr>
          <w:color w:val="231F20"/>
          <w:w w:val="110"/>
        </w:rPr>
        <w:t>neoliberales,</w:t>
      </w:r>
      <w:r>
        <w:rPr>
          <w:color w:val="231F20"/>
          <w:spacing w:val="-21"/>
          <w:w w:val="110"/>
        </w:rPr>
        <w:t> </w:t>
      </w:r>
      <w:r>
        <w:rPr>
          <w:color w:val="231F20"/>
          <w:w w:val="110"/>
        </w:rPr>
        <w:t>logrado mediante dos argumentos cuidadosamente diseñados y promovidos con enorme fuerza mediática: el primero, fue el mito de las diversas catástrofes, mediatas o inmediatas, que amenazaban a la sociedad</w:t>
      </w:r>
      <w:r>
        <w:rPr>
          <w:color w:val="231F20"/>
          <w:spacing w:val="-31"/>
          <w:w w:val="110"/>
        </w:rPr>
        <w:t> </w:t>
      </w:r>
      <w:r>
        <w:rPr>
          <w:color w:val="231F20"/>
          <w:w w:val="110"/>
        </w:rPr>
        <w:t>de no</w:t>
      </w:r>
      <w:r>
        <w:rPr>
          <w:color w:val="231F20"/>
          <w:spacing w:val="-23"/>
          <w:w w:val="110"/>
        </w:rPr>
        <w:t> </w:t>
      </w:r>
      <w:r>
        <w:rPr>
          <w:color w:val="231F20"/>
          <w:w w:val="110"/>
        </w:rPr>
        <w:t>llevarse</w:t>
      </w:r>
      <w:r>
        <w:rPr>
          <w:color w:val="231F20"/>
          <w:spacing w:val="-23"/>
          <w:w w:val="110"/>
        </w:rPr>
        <w:t> </w:t>
      </w:r>
      <w:r>
        <w:rPr>
          <w:color w:val="231F20"/>
          <w:w w:val="110"/>
        </w:rPr>
        <w:t>a</w:t>
      </w:r>
      <w:r>
        <w:rPr>
          <w:color w:val="231F20"/>
          <w:spacing w:val="-23"/>
          <w:w w:val="110"/>
        </w:rPr>
        <w:t> </w:t>
      </w:r>
      <w:r>
        <w:rPr>
          <w:color w:val="231F20"/>
          <w:w w:val="110"/>
        </w:rPr>
        <w:t>cabo</w:t>
      </w:r>
      <w:r>
        <w:rPr>
          <w:color w:val="231F20"/>
          <w:spacing w:val="-23"/>
          <w:w w:val="110"/>
        </w:rPr>
        <w:t> </w:t>
      </w:r>
      <w:r>
        <w:rPr>
          <w:color w:val="231F20"/>
          <w:w w:val="110"/>
        </w:rPr>
        <w:t>las</w:t>
      </w:r>
      <w:r>
        <w:rPr>
          <w:color w:val="231F20"/>
          <w:spacing w:val="-23"/>
          <w:w w:val="110"/>
        </w:rPr>
        <w:t> </w:t>
      </w:r>
      <w:r>
        <w:rPr>
          <w:color w:val="231F20"/>
          <w:w w:val="110"/>
        </w:rPr>
        <w:t>reformas</w:t>
      </w:r>
      <w:r>
        <w:rPr>
          <w:color w:val="231F20"/>
          <w:spacing w:val="-23"/>
          <w:w w:val="110"/>
        </w:rPr>
        <w:t> </w:t>
      </w:r>
      <w:r>
        <w:rPr>
          <w:color w:val="231F20"/>
          <w:w w:val="110"/>
        </w:rPr>
        <w:t>estructurales</w:t>
      </w:r>
      <w:r>
        <w:rPr>
          <w:color w:val="231F20"/>
          <w:spacing w:val="-23"/>
          <w:w w:val="110"/>
        </w:rPr>
        <w:t> </w:t>
      </w:r>
      <w:r>
        <w:rPr>
          <w:color w:val="231F20"/>
          <w:w w:val="110"/>
        </w:rPr>
        <w:t>de</w:t>
      </w:r>
      <w:r>
        <w:rPr>
          <w:color w:val="231F20"/>
          <w:spacing w:val="-23"/>
          <w:w w:val="110"/>
        </w:rPr>
        <w:t> </w:t>
      </w:r>
      <w:r>
        <w:rPr>
          <w:color w:val="231F20"/>
          <w:w w:val="110"/>
        </w:rPr>
        <w:t>orientación</w:t>
      </w:r>
      <w:r>
        <w:rPr>
          <w:color w:val="231F20"/>
          <w:spacing w:val="-23"/>
          <w:w w:val="110"/>
        </w:rPr>
        <w:t> </w:t>
      </w:r>
      <w:r>
        <w:rPr>
          <w:color w:val="231F20"/>
          <w:w w:val="110"/>
        </w:rPr>
        <w:t>al</w:t>
      </w:r>
      <w:r>
        <w:rPr>
          <w:color w:val="231F20"/>
          <w:spacing w:val="-23"/>
          <w:w w:val="110"/>
        </w:rPr>
        <w:t> </w:t>
      </w:r>
      <w:r>
        <w:rPr>
          <w:color w:val="231F20"/>
          <w:w w:val="110"/>
        </w:rPr>
        <w:t>mercado que</w:t>
      </w:r>
      <w:r>
        <w:rPr>
          <w:color w:val="231F20"/>
          <w:spacing w:val="-12"/>
          <w:w w:val="110"/>
        </w:rPr>
        <w:t> </w:t>
      </w:r>
      <w:r>
        <w:rPr>
          <w:color w:val="231F20"/>
          <w:w w:val="110"/>
        </w:rPr>
        <w:t>la</w:t>
      </w:r>
      <w:r>
        <w:rPr>
          <w:color w:val="231F20"/>
          <w:spacing w:val="-12"/>
          <w:w w:val="110"/>
        </w:rPr>
        <w:t> </w:t>
      </w:r>
      <w:r>
        <w:rPr>
          <w:color w:val="231F20"/>
          <w:w w:val="110"/>
        </w:rPr>
        <w:t>libraran</w:t>
      </w:r>
      <w:r>
        <w:rPr>
          <w:color w:val="231F20"/>
          <w:spacing w:val="-12"/>
          <w:w w:val="110"/>
        </w:rPr>
        <w:t> </w:t>
      </w:r>
      <w:r>
        <w:rPr>
          <w:color w:val="231F20"/>
          <w:w w:val="110"/>
        </w:rPr>
        <w:t>del</w:t>
      </w:r>
      <w:r>
        <w:rPr>
          <w:color w:val="231F20"/>
          <w:spacing w:val="-12"/>
          <w:w w:val="110"/>
        </w:rPr>
        <w:t> </w:t>
      </w:r>
      <w:r>
        <w:rPr>
          <w:color w:val="231F20"/>
          <w:w w:val="110"/>
        </w:rPr>
        <w:t>desempleo,</w:t>
      </w:r>
      <w:r>
        <w:rPr>
          <w:color w:val="231F20"/>
          <w:spacing w:val="-12"/>
          <w:w w:val="110"/>
        </w:rPr>
        <w:t> </w:t>
      </w:r>
      <w:r>
        <w:rPr>
          <w:color w:val="231F20"/>
          <w:w w:val="110"/>
        </w:rPr>
        <w:t>la</w:t>
      </w:r>
      <w:r>
        <w:rPr>
          <w:color w:val="231F20"/>
          <w:spacing w:val="-12"/>
          <w:w w:val="110"/>
        </w:rPr>
        <w:t> </w:t>
      </w:r>
      <w:r>
        <w:rPr>
          <w:color w:val="231F20"/>
          <w:w w:val="110"/>
        </w:rPr>
        <w:t>sobrecarga</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contribuyentes</w:t>
      </w:r>
      <w:r>
        <w:rPr>
          <w:color w:val="231F20"/>
          <w:spacing w:val="-12"/>
          <w:w w:val="110"/>
        </w:rPr>
        <w:t> </w:t>
      </w:r>
      <w:r>
        <w:rPr>
          <w:color w:val="231F20"/>
          <w:w w:val="110"/>
        </w:rPr>
        <w:t>oca- sionada</w:t>
      </w:r>
      <w:r>
        <w:rPr>
          <w:color w:val="231F20"/>
          <w:spacing w:val="-19"/>
          <w:w w:val="110"/>
        </w:rPr>
        <w:t> </w:t>
      </w:r>
      <w:r>
        <w:rPr>
          <w:color w:val="231F20"/>
          <w:w w:val="110"/>
        </w:rPr>
        <w:t>por</w:t>
      </w:r>
      <w:r>
        <w:rPr>
          <w:color w:val="231F20"/>
          <w:spacing w:val="-19"/>
          <w:w w:val="110"/>
        </w:rPr>
        <w:t> </w:t>
      </w:r>
      <w:r>
        <w:rPr>
          <w:color w:val="231F20"/>
          <w:w w:val="110"/>
        </w:rPr>
        <w:t>“un</w:t>
      </w:r>
      <w:r>
        <w:rPr>
          <w:color w:val="231F20"/>
          <w:spacing w:val="-19"/>
          <w:w w:val="110"/>
        </w:rPr>
        <w:t> </w:t>
      </w:r>
      <w:r>
        <w:rPr>
          <w:color w:val="231F20"/>
          <w:w w:val="110"/>
        </w:rPr>
        <w:t>Estado</w:t>
      </w:r>
      <w:r>
        <w:rPr>
          <w:color w:val="231F20"/>
          <w:spacing w:val="-19"/>
          <w:w w:val="110"/>
        </w:rPr>
        <w:t> </w:t>
      </w:r>
      <w:r>
        <w:rPr>
          <w:color w:val="231F20"/>
          <w:w w:val="110"/>
        </w:rPr>
        <w:t>de</w:t>
      </w:r>
      <w:r>
        <w:rPr>
          <w:color w:val="231F20"/>
          <w:spacing w:val="-19"/>
          <w:w w:val="110"/>
        </w:rPr>
        <w:t> </w:t>
      </w:r>
      <w:r>
        <w:rPr>
          <w:color w:val="231F20"/>
          <w:w w:val="110"/>
        </w:rPr>
        <w:t>bienestar</w:t>
      </w:r>
      <w:r>
        <w:rPr>
          <w:color w:val="231F20"/>
          <w:spacing w:val="-19"/>
          <w:w w:val="110"/>
        </w:rPr>
        <w:t> </w:t>
      </w:r>
      <w:r>
        <w:rPr>
          <w:color w:val="231F20"/>
          <w:w w:val="110"/>
        </w:rPr>
        <w:t>cada</w:t>
      </w:r>
      <w:r>
        <w:rPr>
          <w:color w:val="231F20"/>
          <w:spacing w:val="-19"/>
          <w:w w:val="110"/>
        </w:rPr>
        <w:t> </w:t>
      </w:r>
      <w:r>
        <w:rPr>
          <w:color w:val="231F20"/>
          <w:w w:val="110"/>
        </w:rPr>
        <w:t>vez</w:t>
      </w:r>
      <w:r>
        <w:rPr>
          <w:color w:val="231F20"/>
          <w:spacing w:val="-19"/>
          <w:w w:val="110"/>
        </w:rPr>
        <w:t> </w:t>
      </w:r>
      <w:r>
        <w:rPr>
          <w:color w:val="231F20"/>
          <w:w w:val="110"/>
        </w:rPr>
        <w:t>más</w:t>
      </w:r>
      <w:r>
        <w:rPr>
          <w:color w:val="231F20"/>
          <w:spacing w:val="-19"/>
          <w:w w:val="110"/>
        </w:rPr>
        <w:t> </w:t>
      </w:r>
      <w:r>
        <w:rPr>
          <w:color w:val="231F20"/>
          <w:w w:val="110"/>
        </w:rPr>
        <w:t>ineficaz</w:t>
      </w:r>
      <w:r>
        <w:rPr>
          <w:color w:val="231F20"/>
          <w:spacing w:val="-19"/>
          <w:w w:val="110"/>
        </w:rPr>
        <w:t> </w:t>
      </w:r>
      <w:r>
        <w:rPr>
          <w:color w:val="231F20"/>
          <w:w w:val="110"/>
        </w:rPr>
        <w:t>y</w:t>
      </w:r>
      <w:r>
        <w:rPr>
          <w:color w:val="231F20"/>
          <w:spacing w:val="-19"/>
          <w:w w:val="110"/>
        </w:rPr>
        <w:t> </w:t>
      </w:r>
      <w:r>
        <w:rPr>
          <w:color w:val="231F20"/>
          <w:w w:val="110"/>
        </w:rPr>
        <w:t>oneroso”, el</w:t>
      </w:r>
      <w:r>
        <w:rPr>
          <w:color w:val="231F20"/>
          <w:spacing w:val="-10"/>
          <w:w w:val="110"/>
        </w:rPr>
        <w:t> </w:t>
      </w:r>
      <w:r>
        <w:rPr>
          <w:color w:val="231F20"/>
          <w:w w:val="110"/>
        </w:rPr>
        <w:t>insoportable</w:t>
      </w:r>
      <w:r>
        <w:rPr>
          <w:color w:val="231F20"/>
          <w:spacing w:val="-10"/>
          <w:w w:val="110"/>
        </w:rPr>
        <w:t> </w:t>
      </w:r>
      <w:r>
        <w:rPr>
          <w:color w:val="231F20"/>
          <w:w w:val="110"/>
        </w:rPr>
        <w:t>peso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deuda</w:t>
      </w:r>
      <w:r>
        <w:rPr>
          <w:color w:val="231F20"/>
          <w:spacing w:val="-10"/>
          <w:w w:val="110"/>
        </w:rPr>
        <w:t> </w:t>
      </w:r>
      <w:r>
        <w:rPr>
          <w:color w:val="231F20"/>
          <w:w w:val="110"/>
        </w:rPr>
        <w:t>pública,</w:t>
      </w:r>
      <w:r>
        <w:rPr>
          <w:color w:val="231F20"/>
          <w:spacing w:val="-10"/>
          <w:w w:val="110"/>
        </w:rPr>
        <w:t> </w:t>
      </w:r>
      <w:r>
        <w:rPr>
          <w:color w:val="231F20"/>
          <w:w w:val="110"/>
        </w:rPr>
        <w:t>así</w:t>
      </w:r>
      <w:r>
        <w:rPr>
          <w:color w:val="231F20"/>
          <w:spacing w:val="-10"/>
          <w:w w:val="110"/>
        </w:rPr>
        <w:t> </w:t>
      </w:r>
      <w:r>
        <w:rPr>
          <w:color w:val="231F20"/>
          <w:w w:val="110"/>
        </w:rPr>
        <w:t>como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falta</w:t>
      </w:r>
      <w:r>
        <w:rPr>
          <w:color w:val="231F20"/>
          <w:spacing w:val="-10"/>
          <w:w w:val="110"/>
        </w:rPr>
        <w:t> </w:t>
      </w:r>
      <w:r>
        <w:rPr>
          <w:color w:val="231F20"/>
          <w:w w:val="110"/>
        </w:rPr>
        <w:t>de</w:t>
      </w:r>
      <w:r>
        <w:rPr>
          <w:color w:val="231F20"/>
          <w:spacing w:val="-10"/>
          <w:w w:val="110"/>
        </w:rPr>
        <w:t> </w:t>
      </w:r>
      <w:r>
        <w:rPr>
          <w:color w:val="231F20"/>
          <w:w w:val="110"/>
        </w:rPr>
        <w:t>com- petitividad</w:t>
      </w:r>
      <w:r>
        <w:rPr>
          <w:color w:val="231F20"/>
          <w:spacing w:val="-14"/>
          <w:w w:val="110"/>
        </w:rPr>
        <w:t> </w:t>
      </w:r>
      <w:r>
        <w:rPr>
          <w:color w:val="231F20"/>
          <w:w w:val="110"/>
        </w:rPr>
        <w:t>internacional</w:t>
      </w:r>
      <w:r>
        <w:rPr>
          <w:color w:val="231F20"/>
          <w:spacing w:val="-14"/>
          <w:w w:val="110"/>
        </w:rPr>
        <w:t> </w:t>
      </w:r>
      <w:r>
        <w:rPr>
          <w:color w:val="231F20"/>
          <w:w w:val="110"/>
        </w:rPr>
        <w:t>y</w:t>
      </w:r>
      <w:r>
        <w:rPr>
          <w:color w:val="231F20"/>
          <w:spacing w:val="-14"/>
          <w:w w:val="110"/>
        </w:rPr>
        <w:t> </w:t>
      </w:r>
      <w:r>
        <w:rPr>
          <w:color w:val="231F20"/>
          <w:w w:val="110"/>
        </w:rPr>
        <w:t>de</w:t>
      </w:r>
      <w:r>
        <w:rPr>
          <w:color w:val="231F20"/>
          <w:spacing w:val="-14"/>
          <w:w w:val="110"/>
        </w:rPr>
        <w:t> </w:t>
      </w:r>
      <w:r>
        <w:rPr>
          <w:color w:val="231F20"/>
          <w:w w:val="110"/>
        </w:rPr>
        <w:t>crecimiento</w:t>
      </w:r>
      <w:r>
        <w:rPr>
          <w:color w:val="231F20"/>
          <w:spacing w:val="-14"/>
          <w:w w:val="110"/>
        </w:rPr>
        <w:t> </w:t>
      </w:r>
      <w:r>
        <w:rPr>
          <w:color w:val="231F20"/>
          <w:w w:val="110"/>
        </w:rPr>
        <w:t>económico.</w:t>
      </w:r>
    </w:p>
    <w:p>
      <w:pPr>
        <w:pStyle w:val="BodyText"/>
      </w:pPr>
    </w:p>
    <w:p>
      <w:pPr>
        <w:pStyle w:val="BodyText"/>
      </w:pPr>
    </w:p>
    <w:p>
      <w:pPr>
        <w:spacing w:line="261" w:lineRule="auto" w:before="122"/>
        <w:ind w:left="100" w:right="117" w:firstLine="240"/>
        <w:jc w:val="both"/>
        <w:rPr>
          <w:sz w:val="16"/>
        </w:rPr>
      </w:pPr>
      <w:r>
        <w:rPr>
          <w:color w:val="231F20"/>
          <w:w w:val="105"/>
          <w:position w:val="5"/>
          <w:sz w:val="10"/>
        </w:rPr>
        <w:t>1   </w:t>
      </w:r>
      <w:r>
        <w:rPr>
          <w:color w:val="231F20"/>
          <w:w w:val="105"/>
          <w:sz w:val="16"/>
        </w:rPr>
        <w:t>En otro momento, escribiría Fukuyama: “Lo que nosotros estamos atestiguando   no es sólo el final de la guerra fría o el de un periodo particular de la historia de            </w:t>
      </w:r>
      <w:r>
        <w:rPr>
          <w:color w:val="231F20"/>
          <w:spacing w:val="42"/>
          <w:w w:val="105"/>
          <w:sz w:val="16"/>
        </w:rPr>
        <w:t> </w:t>
      </w:r>
      <w:r>
        <w:rPr>
          <w:color w:val="231F20"/>
          <w:w w:val="105"/>
          <w:sz w:val="16"/>
        </w:rPr>
        <w:t>la posguerra a otro, sino el fin de la historia como tal; es </w:t>
      </w:r>
      <w:r>
        <w:rPr>
          <w:color w:val="231F20"/>
          <w:spacing w:val="-3"/>
          <w:w w:val="105"/>
          <w:sz w:val="16"/>
        </w:rPr>
        <w:t>decir, </w:t>
      </w:r>
      <w:r>
        <w:rPr>
          <w:color w:val="231F20"/>
          <w:w w:val="105"/>
          <w:sz w:val="16"/>
        </w:rPr>
        <w:t>el punto final de la evolución ideológica de la humanidad y la universalización de la democracia liberal occidental como forma decisiva del gobierno humano” (Fukuyama, 1990: 6). Así, el capitalismo no sólo es imperecedero, sino que con él la democracia procedimental y representativa  llegó  para </w:t>
      </w:r>
      <w:r>
        <w:rPr>
          <w:color w:val="231F20"/>
          <w:spacing w:val="8"/>
          <w:w w:val="105"/>
          <w:sz w:val="16"/>
        </w:rPr>
        <w:t> </w:t>
      </w:r>
      <w:r>
        <w:rPr>
          <w:color w:val="231F20"/>
          <w:w w:val="105"/>
          <w:sz w:val="16"/>
        </w:rPr>
        <w:t>quedarse.</w:t>
      </w:r>
    </w:p>
    <w:p>
      <w:pPr>
        <w:spacing w:after="0" w:line="261" w:lineRule="auto"/>
        <w:jc w:val="both"/>
        <w:rPr>
          <w:sz w:val="16"/>
        </w:rPr>
        <w:sectPr>
          <w:headerReference w:type="default" r:id="rId92"/>
          <w:headerReference w:type="even" r:id="rId93"/>
          <w:pgSz w:w="7640" w:h="11900"/>
          <w:pgMar w:header="672" w:footer="0" w:top="860" w:bottom="280" w:left="660" w:right="760"/>
          <w:pgNumType w:start="113"/>
        </w:sectPr>
      </w:pPr>
    </w:p>
    <w:p>
      <w:pPr>
        <w:pStyle w:val="BodyText"/>
        <w:spacing w:before="8"/>
        <w:rPr>
          <w:sz w:val="8"/>
        </w:rPr>
      </w:pPr>
    </w:p>
    <w:p>
      <w:pPr>
        <w:pStyle w:val="BodyText"/>
        <w:spacing w:line="261" w:lineRule="auto" w:before="67"/>
        <w:ind w:left="100" w:right="119" w:firstLine="240"/>
        <w:jc w:val="both"/>
      </w:pPr>
      <w:r>
        <w:rPr>
          <w:color w:val="231F20"/>
          <w:w w:val="110"/>
        </w:rPr>
        <w:t>El segundo argumento mediante el cual el</w:t>
      </w:r>
      <w:r>
        <w:rPr>
          <w:color w:val="231F20"/>
          <w:spacing w:val="-17"/>
          <w:w w:val="110"/>
        </w:rPr>
        <w:t> </w:t>
      </w:r>
      <w:r>
        <w:rPr>
          <w:color w:val="231F20"/>
          <w:w w:val="110"/>
        </w:rPr>
        <w:t>neoliberalismo</w:t>
      </w:r>
      <w:r>
        <w:rPr>
          <w:color w:val="231F20"/>
          <w:spacing w:val="-3"/>
          <w:w w:val="110"/>
        </w:rPr>
        <w:t> </w:t>
      </w:r>
      <w:r>
        <w:rPr>
          <w:color w:val="231F20"/>
          <w:w w:val="110"/>
        </w:rPr>
        <w:t>alcanzó</w:t>
      </w:r>
      <w:r>
        <w:rPr>
          <w:color w:val="231F20"/>
          <w:w w:val="107"/>
        </w:rPr>
        <w:t> </w:t>
      </w:r>
      <w:r>
        <w:rPr>
          <w:color w:val="231F20"/>
          <w:w w:val="110"/>
        </w:rPr>
        <w:t>algún</w:t>
      </w:r>
      <w:r>
        <w:rPr>
          <w:color w:val="231F20"/>
          <w:spacing w:val="-6"/>
          <w:w w:val="110"/>
        </w:rPr>
        <w:t> </w:t>
      </w:r>
      <w:r>
        <w:rPr>
          <w:color w:val="231F20"/>
          <w:w w:val="110"/>
        </w:rPr>
        <w:t>consenso,</w:t>
      </w:r>
      <w:r>
        <w:rPr>
          <w:color w:val="231F20"/>
          <w:spacing w:val="-6"/>
          <w:w w:val="110"/>
        </w:rPr>
        <w:t> </w:t>
      </w:r>
      <w:r>
        <w:rPr>
          <w:color w:val="231F20"/>
          <w:w w:val="110"/>
        </w:rPr>
        <w:t>fue</w:t>
      </w:r>
      <w:r>
        <w:rPr>
          <w:color w:val="231F20"/>
          <w:spacing w:val="-6"/>
          <w:w w:val="110"/>
        </w:rPr>
        <w:t> </w:t>
      </w:r>
      <w:r>
        <w:rPr>
          <w:color w:val="231F20"/>
          <w:w w:val="110"/>
        </w:rPr>
        <w:t>convertir</w:t>
      </w:r>
      <w:r>
        <w:rPr>
          <w:color w:val="231F20"/>
          <w:spacing w:val="-6"/>
          <w:w w:val="110"/>
        </w:rPr>
        <w:t> </w:t>
      </w:r>
      <w:r>
        <w:rPr>
          <w:color w:val="231F20"/>
          <w:w w:val="110"/>
        </w:rPr>
        <w:t>al</w:t>
      </w:r>
      <w:r>
        <w:rPr>
          <w:color w:val="231F20"/>
          <w:spacing w:val="-6"/>
          <w:w w:val="110"/>
        </w:rPr>
        <w:t> </w:t>
      </w:r>
      <w:r>
        <w:rPr>
          <w:color w:val="231F20"/>
          <w:w w:val="110"/>
        </w:rPr>
        <w:t>Estado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personificación</w:t>
      </w:r>
      <w:r>
        <w:rPr>
          <w:color w:val="231F20"/>
          <w:spacing w:val="-6"/>
          <w:w w:val="110"/>
        </w:rPr>
        <w:t> </w:t>
      </w:r>
      <w:r>
        <w:rPr>
          <w:color w:val="231F20"/>
          <w:w w:val="110"/>
        </w:rPr>
        <w:t>de</w:t>
      </w:r>
      <w:r>
        <w:rPr>
          <w:color w:val="231F20"/>
          <w:spacing w:val="-6"/>
          <w:w w:val="110"/>
        </w:rPr>
        <w:t> </w:t>
      </w:r>
      <w:r>
        <w:rPr>
          <w:color w:val="231F20"/>
          <w:w w:val="110"/>
        </w:rPr>
        <w:t>todo lo</w:t>
      </w:r>
      <w:r>
        <w:rPr>
          <w:color w:val="231F20"/>
          <w:spacing w:val="-16"/>
          <w:w w:val="110"/>
        </w:rPr>
        <w:t> </w:t>
      </w:r>
      <w:r>
        <w:rPr>
          <w:color w:val="231F20"/>
          <w:w w:val="110"/>
        </w:rPr>
        <w:t>ineficiente</w:t>
      </w:r>
      <w:r>
        <w:rPr>
          <w:color w:val="231F20"/>
          <w:spacing w:val="-16"/>
          <w:w w:val="110"/>
        </w:rPr>
        <w:t> </w:t>
      </w:r>
      <w:r>
        <w:rPr>
          <w:color w:val="231F20"/>
          <w:w w:val="110"/>
        </w:rPr>
        <w:t>e</w:t>
      </w:r>
      <w:r>
        <w:rPr>
          <w:color w:val="231F20"/>
          <w:spacing w:val="-16"/>
          <w:w w:val="110"/>
        </w:rPr>
        <w:t> </w:t>
      </w:r>
      <w:r>
        <w:rPr>
          <w:color w:val="231F20"/>
          <w:w w:val="110"/>
        </w:rPr>
        <w:t>ineficaz,</w:t>
      </w:r>
      <w:r>
        <w:rPr>
          <w:color w:val="231F20"/>
          <w:spacing w:val="-16"/>
          <w:w w:val="110"/>
        </w:rPr>
        <w:t> </w:t>
      </w:r>
      <w:r>
        <w:rPr>
          <w:color w:val="231F20"/>
          <w:w w:val="110"/>
        </w:rPr>
        <w:t>del</w:t>
      </w:r>
      <w:r>
        <w:rPr>
          <w:color w:val="231F20"/>
          <w:spacing w:val="-16"/>
          <w:w w:val="110"/>
        </w:rPr>
        <w:t> </w:t>
      </w:r>
      <w:r>
        <w:rPr>
          <w:color w:val="231F20"/>
          <w:w w:val="110"/>
        </w:rPr>
        <w:t>dispendio,</w:t>
      </w:r>
      <w:r>
        <w:rPr>
          <w:color w:val="231F20"/>
          <w:spacing w:val="-16"/>
          <w:w w:val="110"/>
        </w:rPr>
        <w:t> </w:t>
      </w:r>
      <w:r>
        <w:rPr>
          <w:color w:val="231F20"/>
          <w:w w:val="110"/>
        </w:rPr>
        <w:t>la</w:t>
      </w:r>
      <w:r>
        <w:rPr>
          <w:color w:val="231F20"/>
          <w:spacing w:val="-16"/>
          <w:w w:val="110"/>
        </w:rPr>
        <w:t> </w:t>
      </w:r>
      <w:r>
        <w:rPr>
          <w:color w:val="231F20"/>
          <w:w w:val="110"/>
        </w:rPr>
        <w:t>mala</w:t>
      </w:r>
      <w:r>
        <w:rPr>
          <w:color w:val="231F20"/>
          <w:spacing w:val="-16"/>
          <w:w w:val="110"/>
        </w:rPr>
        <w:t> </w:t>
      </w:r>
      <w:r>
        <w:rPr>
          <w:color w:val="231F20"/>
          <w:w w:val="110"/>
        </w:rPr>
        <w:t>calidad</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corrupción</w:t>
      </w:r>
      <w:r>
        <w:rPr>
          <w:color w:val="231F20"/>
          <w:w w:val="112"/>
        </w:rPr>
        <w:t> </w:t>
      </w:r>
      <w:r>
        <w:rPr>
          <w:color w:val="231F20"/>
          <w:w w:val="110"/>
        </w:rPr>
        <w:t>que obstaculizaban el funcionamiento equilibrado del </w:t>
      </w:r>
      <w:r>
        <w:rPr>
          <w:color w:val="231F20"/>
          <w:spacing w:val="29"/>
          <w:w w:val="110"/>
        </w:rPr>
        <w:t> </w:t>
      </w:r>
      <w:r>
        <w:rPr>
          <w:color w:val="231F20"/>
          <w:w w:val="110"/>
        </w:rPr>
        <w:t>mercado.</w:t>
      </w:r>
    </w:p>
    <w:p>
      <w:pPr>
        <w:pStyle w:val="BodyText"/>
      </w:pPr>
    </w:p>
    <w:p>
      <w:pPr>
        <w:pStyle w:val="BodyText"/>
      </w:pPr>
    </w:p>
    <w:p>
      <w:pPr>
        <w:pStyle w:val="BodyText"/>
        <w:spacing w:before="2"/>
        <w:rPr>
          <w:sz w:val="25"/>
        </w:rPr>
      </w:pPr>
    </w:p>
    <w:p>
      <w:pPr>
        <w:pStyle w:val="BodyText"/>
        <w:ind w:left="100"/>
        <w:jc w:val="both"/>
      </w:pPr>
      <w:r>
        <w:rPr>
          <w:color w:val="231F20"/>
          <w:w w:val="120"/>
        </w:rPr>
        <w:t>pérdida del consenso</w:t>
      </w:r>
    </w:p>
    <w:p>
      <w:pPr>
        <w:pStyle w:val="BodyText"/>
        <w:spacing w:before="5"/>
        <w:rPr>
          <w:sz w:val="23"/>
        </w:rPr>
      </w:pPr>
    </w:p>
    <w:p>
      <w:pPr>
        <w:pStyle w:val="BodyText"/>
        <w:spacing w:line="261" w:lineRule="auto"/>
        <w:ind w:left="100" w:right="117"/>
        <w:jc w:val="both"/>
      </w:pPr>
      <w:r>
        <w:rPr>
          <w:color w:val="231F20"/>
          <w:w w:val="110"/>
        </w:rPr>
        <w:t>Pronto, sin embargo, amplias minorías que se convertían paulati- namente en mayorías comenzaron a vigorizar su oposición a </w:t>
      </w:r>
      <w:r>
        <w:rPr>
          <w:color w:val="231F20"/>
          <w:spacing w:val="2"/>
          <w:w w:val="110"/>
        </w:rPr>
        <w:t>las</w:t>
      </w:r>
      <w:r>
        <w:rPr>
          <w:color w:val="231F20"/>
          <w:spacing w:val="59"/>
          <w:w w:val="110"/>
        </w:rPr>
        <w:t> </w:t>
      </w:r>
      <w:r>
        <w:rPr>
          <w:color w:val="231F20"/>
          <w:w w:val="110"/>
        </w:rPr>
        <w:t>recomendaciones del Consenso de Washington</w:t>
      </w:r>
      <w:r>
        <w:rPr>
          <w:color w:val="231F20"/>
          <w:w w:val="110"/>
          <w:position w:val="6"/>
          <w:sz w:val="13"/>
        </w:rPr>
        <w:t>2 </w:t>
      </w:r>
      <w:r>
        <w:rPr>
          <w:color w:val="231F20"/>
          <w:w w:val="110"/>
        </w:rPr>
        <w:t>y se movilizaban para rechazar el desmantelamiento del Estado del bienestar y</w:t>
      </w:r>
      <w:r>
        <w:rPr>
          <w:color w:val="231F20"/>
          <w:spacing w:val="-22"/>
          <w:w w:val="110"/>
        </w:rPr>
        <w:t> </w:t>
      </w:r>
      <w:r>
        <w:rPr>
          <w:color w:val="231F20"/>
          <w:w w:val="110"/>
        </w:rPr>
        <w:t>resistir la privatización de los recursos naturales y los bienes públicos; de</w:t>
      </w:r>
      <w:r>
        <w:rPr>
          <w:color w:val="231F20"/>
          <w:spacing w:val="-10"/>
          <w:w w:val="110"/>
        </w:rPr>
        <w:t> </w:t>
      </w:r>
      <w:r>
        <w:rPr>
          <w:color w:val="231F20"/>
          <w:w w:val="110"/>
        </w:rPr>
        <w:t>la misma manera, se oponían tenazmente a la desregulación del mer- cado laboral, a las cada vez más precarias condiciones laborales y a la caída de los salarios</w:t>
      </w:r>
      <w:r>
        <w:rPr>
          <w:color w:val="231F20"/>
          <w:spacing w:val="-14"/>
          <w:w w:val="110"/>
        </w:rPr>
        <w:t> </w:t>
      </w:r>
      <w:r>
        <w:rPr>
          <w:color w:val="231F20"/>
          <w:w w:val="110"/>
        </w:rPr>
        <w:t>reales.</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Latinoamérica,</w:t>
      </w:r>
      <w:r>
        <w:rPr>
          <w:color w:val="231F20"/>
          <w:spacing w:val="-6"/>
          <w:w w:val="110"/>
        </w:rPr>
        <w:t> </w:t>
      </w:r>
      <w:r>
        <w:rPr>
          <w:color w:val="231F20"/>
          <w:w w:val="110"/>
        </w:rPr>
        <w:t>el</w:t>
      </w:r>
      <w:r>
        <w:rPr>
          <w:color w:val="231F20"/>
          <w:spacing w:val="-6"/>
          <w:w w:val="110"/>
        </w:rPr>
        <w:t> </w:t>
      </w:r>
      <w:r>
        <w:rPr>
          <w:color w:val="231F20"/>
          <w:w w:val="110"/>
        </w:rPr>
        <w:t>movimiento</w:t>
      </w:r>
      <w:r>
        <w:rPr>
          <w:color w:val="231F20"/>
          <w:spacing w:val="-6"/>
          <w:w w:val="110"/>
        </w:rPr>
        <w:t> </w:t>
      </w:r>
      <w:r>
        <w:rPr>
          <w:color w:val="231F20"/>
          <w:w w:val="110"/>
        </w:rPr>
        <w:t>social</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resistencia</w:t>
      </w:r>
      <w:r>
        <w:rPr>
          <w:color w:val="231F20"/>
          <w:spacing w:val="-6"/>
          <w:w w:val="110"/>
        </w:rPr>
        <w:t> </w:t>
      </w:r>
      <w:r>
        <w:rPr>
          <w:color w:val="231F20"/>
          <w:w w:val="110"/>
        </w:rPr>
        <w:t>pasó</w:t>
      </w:r>
      <w:r>
        <w:rPr>
          <w:color w:val="231F20"/>
          <w:spacing w:val="-6"/>
          <w:w w:val="110"/>
        </w:rPr>
        <w:t> </w:t>
      </w:r>
      <w:r>
        <w:rPr>
          <w:color w:val="231F20"/>
          <w:w w:val="110"/>
        </w:rPr>
        <w:t>a</w:t>
      </w:r>
      <w:r>
        <w:rPr>
          <w:color w:val="231F20"/>
          <w:spacing w:val="-6"/>
          <w:w w:val="110"/>
        </w:rPr>
        <w:t> </w:t>
      </w:r>
      <w:r>
        <w:rPr>
          <w:color w:val="231F20"/>
          <w:w w:val="110"/>
        </w:rPr>
        <w:t>la organización política y a los triunfos electorales que lo convirtieron en gobierno en varios países. La primera victoria electoral</w:t>
      </w:r>
      <w:r>
        <w:rPr>
          <w:color w:val="231F20"/>
          <w:spacing w:val="-15"/>
          <w:w w:val="110"/>
        </w:rPr>
        <w:t> </w:t>
      </w:r>
      <w:r>
        <w:rPr>
          <w:color w:val="231F20"/>
          <w:w w:val="110"/>
        </w:rPr>
        <w:t>antineoli- beral, fue el triunfo de Hugo Chávez en 1998; la victoria de Lula en 2002, dio nuevo impulso a la certeza de que el neoliberalismo era vulnerable; asimismo, la victoria en Argentina de Ernesto </w:t>
      </w:r>
      <w:r>
        <w:rPr>
          <w:color w:val="231F20"/>
          <w:spacing w:val="37"/>
          <w:w w:val="110"/>
        </w:rPr>
        <w:t> </w:t>
      </w:r>
      <w:r>
        <w:rPr>
          <w:color w:val="231F20"/>
          <w:w w:val="110"/>
        </w:rPr>
        <w:t>Kirchner</w:t>
      </w:r>
    </w:p>
    <w:p>
      <w:pPr>
        <w:pStyle w:val="BodyText"/>
      </w:pPr>
    </w:p>
    <w:p>
      <w:pPr>
        <w:spacing w:line="261" w:lineRule="auto" w:before="152"/>
        <w:ind w:left="100" w:right="117" w:firstLine="240"/>
        <w:jc w:val="both"/>
        <w:rPr>
          <w:sz w:val="16"/>
        </w:rPr>
      </w:pPr>
      <w:r>
        <w:rPr>
          <w:color w:val="231F20"/>
          <w:w w:val="110"/>
          <w:position w:val="5"/>
          <w:sz w:val="10"/>
        </w:rPr>
        <w:t>2 </w:t>
      </w:r>
      <w:r>
        <w:rPr>
          <w:color w:val="231F20"/>
          <w:w w:val="110"/>
          <w:sz w:val="16"/>
        </w:rPr>
        <w:t>El discurso conservador que a finales de los años setenta explicó la bancarrota fiscal</w:t>
      </w:r>
      <w:r>
        <w:rPr>
          <w:color w:val="231F20"/>
          <w:spacing w:val="-7"/>
          <w:w w:val="110"/>
          <w:sz w:val="16"/>
        </w:rPr>
        <w:t> </w:t>
      </w:r>
      <w:r>
        <w:rPr>
          <w:color w:val="231F20"/>
          <w:w w:val="110"/>
          <w:sz w:val="16"/>
        </w:rPr>
        <w:t>del</w:t>
      </w:r>
      <w:r>
        <w:rPr>
          <w:color w:val="231F20"/>
          <w:spacing w:val="-7"/>
          <w:w w:val="110"/>
          <w:sz w:val="16"/>
        </w:rPr>
        <w:t> </w:t>
      </w:r>
      <w:r>
        <w:rPr>
          <w:color w:val="231F20"/>
          <w:w w:val="110"/>
          <w:sz w:val="16"/>
        </w:rPr>
        <w:t>Estado</w:t>
      </w:r>
      <w:r>
        <w:rPr>
          <w:color w:val="231F20"/>
          <w:spacing w:val="-7"/>
          <w:w w:val="110"/>
          <w:sz w:val="16"/>
        </w:rPr>
        <w:t> </w:t>
      </w:r>
      <w:r>
        <w:rPr>
          <w:color w:val="231F20"/>
          <w:w w:val="110"/>
          <w:sz w:val="16"/>
        </w:rPr>
        <w:t>de</w:t>
      </w:r>
      <w:r>
        <w:rPr>
          <w:color w:val="231F20"/>
          <w:spacing w:val="-7"/>
          <w:w w:val="110"/>
          <w:sz w:val="16"/>
        </w:rPr>
        <w:t> </w:t>
      </w:r>
      <w:r>
        <w:rPr>
          <w:color w:val="231F20"/>
          <w:w w:val="110"/>
          <w:sz w:val="16"/>
        </w:rPr>
        <w:t>bienestar</w:t>
      </w:r>
      <w:r>
        <w:rPr>
          <w:color w:val="231F20"/>
          <w:spacing w:val="-7"/>
          <w:w w:val="110"/>
          <w:sz w:val="16"/>
        </w:rPr>
        <w:t> </w:t>
      </w:r>
      <w:r>
        <w:rPr>
          <w:color w:val="231F20"/>
          <w:w w:val="110"/>
          <w:sz w:val="16"/>
        </w:rPr>
        <w:t>por</w:t>
      </w:r>
      <w:r>
        <w:rPr>
          <w:color w:val="231F20"/>
          <w:spacing w:val="-7"/>
          <w:w w:val="110"/>
          <w:sz w:val="16"/>
        </w:rPr>
        <w:t> </w:t>
      </w:r>
      <w:r>
        <w:rPr>
          <w:color w:val="231F20"/>
          <w:w w:val="110"/>
          <w:sz w:val="16"/>
        </w:rPr>
        <w:t>los</w:t>
      </w:r>
      <w:r>
        <w:rPr>
          <w:color w:val="231F20"/>
          <w:spacing w:val="-7"/>
          <w:w w:val="110"/>
          <w:sz w:val="16"/>
        </w:rPr>
        <w:t> </w:t>
      </w:r>
      <w:r>
        <w:rPr>
          <w:color w:val="231F20"/>
          <w:w w:val="110"/>
          <w:sz w:val="16"/>
        </w:rPr>
        <w:t>“excesos</w:t>
      </w:r>
      <w:r>
        <w:rPr>
          <w:color w:val="231F20"/>
          <w:spacing w:val="-7"/>
          <w:w w:val="110"/>
          <w:sz w:val="16"/>
        </w:rPr>
        <w:t> </w:t>
      </w:r>
      <w:r>
        <w:rPr>
          <w:color w:val="231F20"/>
          <w:w w:val="110"/>
          <w:sz w:val="16"/>
        </w:rPr>
        <w:t>del</w:t>
      </w:r>
      <w:r>
        <w:rPr>
          <w:color w:val="231F20"/>
          <w:spacing w:val="-7"/>
          <w:w w:val="110"/>
          <w:sz w:val="16"/>
        </w:rPr>
        <w:t> </w:t>
      </w:r>
      <w:r>
        <w:rPr>
          <w:color w:val="231F20"/>
          <w:w w:val="110"/>
          <w:sz w:val="16"/>
        </w:rPr>
        <w:t>gasto</w:t>
      </w:r>
      <w:r>
        <w:rPr>
          <w:color w:val="231F20"/>
          <w:spacing w:val="-7"/>
          <w:w w:val="110"/>
          <w:sz w:val="16"/>
        </w:rPr>
        <w:t> </w:t>
      </w:r>
      <w:r>
        <w:rPr>
          <w:color w:val="231F20"/>
          <w:w w:val="110"/>
          <w:sz w:val="16"/>
        </w:rPr>
        <w:t>gubernamental”,</w:t>
      </w:r>
      <w:r>
        <w:rPr>
          <w:color w:val="231F20"/>
          <w:spacing w:val="-7"/>
          <w:w w:val="110"/>
          <w:sz w:val="16"/>
        </w:rPr>
        <w:t> </w:t>
      </w:r>
      <w:r>
        <w:rPr>
          <w:color w:val="231F20"/>
          <w:w w:val="110"/>
          <w:sz w:val="16"/>
        </w:rPr>
        <w:t>se</w:t>
      </w:r>
      <w:r>
        <w:rPr>
          <w:color w:val="231F20"/>
          <w:spacing w:val="-7"/>
          <w:w w:val="110"/>
          <w:sz w:val="16"/>
        </w:rPr>
        <w:t> </w:t>
      </w:r>
      <w:r>
        <w:rPr>
          <w:color w:val="231F20"/>
          <w:w w:val="110"/>
          <w:sz w:val="16"/>
        </w:rPr>
        <w:t>tradujo</w:t>
      </w:r>
      <w:r>
        <w:rPr>
          <w:color w:val="231F20"/>
          <w:spacing w:val="-7"/>
          <w:w w:val="110"/>
          <w:sz w:val="16"/>
        </w:rPr>
        <w:t> </w:t>
      </w:r>
      <w:r>
        <w:rPr>
          <w:color w:val="231F20"/>
          <w:w w:val="110"/>
          <w:sz w:val="16"/>
        </w:rPr>
        <w:t>en un decálogo económico conocido como Consenso de Washington, “por la coinciden- cia de recomendaciones económicas formuladas por los organismos propulsores de las reformas (principalmente el Fondo Monetario Internacional y el Banco Mundial), todos domiciliados en la capital de Estados Unidos”. La estrategia </w:t>
      </w:r>
      <w:r>
        <w:rPr>
          <w:i/>
          <w:color w:val="231F20"/>
          <w:w w:val="110"/>
          <w:sz w:val="16"/>
        </w:rPr>
        <w:t>recomendada </w:t>
      </w:r>
      <w:r>
        <w:rPr>
          <w:color w:val="231F20"/>
          <w:w w:val="110"/>
          <w:sz w:val="16"/>
        </w:rPr>
        <w:t>por el Consenso de Washington para superar el estatismo, alcanzar el equilibrio macro- económico y el crecimiento con bajas tasas de inflación, se sustenta en las siguientes propuestas: 1] reforma tributaria orientada a favorecer el ahorro y la inversión; 2] rigurosa disciplina fiscal para alcanzar y mantener el equilibrio en las finanzas públi- cas (déficit cero); 3] priorizar la orientación de la inversión pública hacia regiones     y actividades de alto retorno económico; 4] dejar al libre juego de las fuerzas del mercado la fijación del tipo de cambio; 5] libertad al mercado para establecer la tasa de interés; 6] apertura comercial y financiera; libertad de movimiento de mercancías y</w:t>
      </w:r>
      <w:r>
        <w:rPr>
          <w:color w:val="231F20"/>
          <w:spacing w:val="-3"/>
          <w:w w:val="110"/>
          <w:sz w:val="16"/>
        </w:rPr>
        <w:t> </w:t>
      </w:r>
      <w:r>
        <w:rPr>
          <w:color w:val="231F20"/>
          <w:w w:val="110"/>
          <w:sz w:val="16"/>
        </w:rPr>
        <w:t>capitales;</w:t>
      </w:r>
      <w:r>
        <w:rPr>
          <w:color w:val="231F20"/>
          <w:spacing w:val="-3"/>
          <w:w w:val="110"/>
          <w:sz w:val="16"/>
        </w:rPr>
        <w:t> </w:t>
      </w:r>
      <w:r>
        <w:rPr>
          <w:color w:val="231F20"/>
          <w:w w:val="110"/>
          <w:sz w:val="16"/>
        </w:rPr>
        <w:t>7]</w:t>
      </w:r>
      <w:r>
        <w:rPr>
          <w:color w:val="231F20"/>
          <w:spacing w:val="-3"/>
          <w:w w:val="110"/>
          <w:sz w:val="16"/>
        </w:rPr>
        <w:t> </w:t>
      </w:r>
      <w:r>
        <w:rPr>
          <w:color w:val="231F20"/>
          <w:w w:val="110"/>
          <w:sz w:val="16"/>
        </w:rPr>
        <w:t>trato</w:t>
      </w:r>
      <w:r>
        <w:rPr>
          <w:color w:val="231F20"/>
          <w:spacing w:val="-3"/>
          <w:w w:val="110"/>
          <w:sz w:val="16"/>
        </w:rPr>
        <w:t> </w:t>
      </w:r>
      <w:r>
        <w:rPr>
          <w:color w:val="231F20"/>
          <w:w w:val="110"/>
          <w:sz w:val="16"/>
        </w:rPr>
        <w:t>de</w:t>
      </w:r>
      <w:r>
        <w:rPr>
          <w:color w:val="231F20"/>
          <w:spacing w:val="-3"/>
          <w:w w:val="110"/>
          <w:sz w:val="16"/>
        </w:rPr>
        <w:t> </w:t>
      </w:r>
      <w:r>
        <w:rPr>
          <w:color w:val="231F20"/>
          <w:w w:val="110"/>
          <w:sz w:val="16"/>
        </w:rPr>
        <w:t>nacional</w:t>
      </w:r>
      <w:r>
        <w:rPr>
          <w:color w:val="231F20"/>
          <w:spacing w:val="-3"/>
          <w:w w:val="110"/>
          <w:sz w:val="16"/>
        </w:rPr>
        <w:t> </w:t>
      </w:r>
      <w:r>
        <w:rPr>
          <w:color w:val="231F20"/>
          <w:w w:val="110"/>
          <w:sz w:val="16"/>
        </w:rPr>
        <w:t>a</w:t>
      </w:r>
      <w:r>
        <w:rPr>
          <w:color w:val="231F20"/>
          <w:spacing w:val="-3"/>
          <w:w w:val="110"/>
          <w:sz w:val="16"/>
        </w:rPr>
        <w:t> </w:t>
      </w:r>
      <w:r>
        <w:rPr>
          <w:color w:val="231F20"/>
          <w:w w:val="110"/>
          <w:sz w:val="16"/>
        </w:rPr>
        <w:t>la</w:t>
      </w:r>
      <w:r>
        <w:rPr>
          <w:color w:val="231F20"/>
          <w:spacing w:val="-3"/>
          <w:w w:val="110"/>
          <w:sz w:val="16"/>
        </w:rPr>
        <w:t> </w:t>
      </w:r>
      <w:r>
        <w:rPr>
          <w:color w:val="231F20"/>
          <w:w w:val="110"/>
          <w:sz w:val="16"/>
        </w:rPr>
        <w:t>inversión</w:t>
      </w:r>
      <w:r>
        <w:rPr>
          <w:color w:val="231F20"/>
          <w:spacing w:val="-3"/>
          <w:w w:val="110"/>
          <w:sz w:val="16"/>
        </w:rPr>
        <w:t> </w:t>
      </w:r>
      <w:r>
        <w:rPr>
          <w:color w:val="231F20"/>
          <w:w w:val="110"/>
          <w:sz w:val="16"/>
        </w:rPr>
        <w:t>extranjera;</w:t>
      </w:r>
      <w:r>
        <w:rPr>
          <w:color w:val="231F20"/>
          <w:spacing w:val="-3"/>
          <w:w w:val="110"/>
          <w:sz w:val="16"/>
        </w:rPr>
        <w:t> </w:t>
      </w:r>
      <w:r>
        <w:rPr>
          <w:color w:val="231F20"/>
          <w:w w:val="110"/>
          <w:sz w:val="16"/>
        </w:rPr>
        <w:t>8]</w:t>
      </w:r>
      <w:r>
        <w:rPr>
          <w:color w:val="231F20"/>
          <w:spacing w:val="-3"/>
          <w:w w:val="110"/>
          <w:sz w:val="16"/>
        </w:rPr>
        <w:t> </w:t>
      </w:r>
      <w:r>
        <w:rPr>
          <w:color w:val="231F20"/>
          <w:w w:val="110"/>
          <w:sz w:val="16"/>
        </w:rPr>
        <w:t>privatización</w:t>
      </w:r>
      <w:r>
        <w:rPr>
          <w:color w:val="231F20"/>
          <w:spacing w:val="-3"/>
          <w:w w:val="110"/>
          <w:sz w:val="16"/>
        </w:rPr>
        <w:t> </w:t>
      </w:r>
      <w:r>
        <w:rPr>
          <w:color w:val="231F20"/>
          <w:w w:val="110"/>
          <w:sz w:val="16"/>
        </w:rPr>
        <w:t>de</w:t>
      </w:r>
      <w:r>
        <w:rPr>
          <w:color w:val="231F20"/>
          <w:spacing w:val="-3"/>
          <w:w w:val="110"/>
          <w:sz w:val="16"/>
        </w:rPr>
        <w:t> </w:t>
      </w:r>
      <w:r>
        <w:rPr>
          <w:color w:val="231F20"/>
          <w:w w:val="110"/>
          <w:sz w:val="16"/>
        </w:rPr>
        <w:t>todos</w:t>
      </w:r>
      <w:r>
        <w:rPr>
          <w:color w:val="231F20"/>
          <w:spacing w:val="-3"/>
          <w:w w:val="110"/>
          <w:sz w:val="16"/>
        </w:rPr>
        <w:t> </w:t>
      </w:r>
      <w:r>
        <w:rPr>
          <w:color w:val="231F20"/>
          <w:w w:val="110"/>
          <w:sz w:val="16"/>
        </w:rPr>
        <w:t>los activos</w:t>
      </w:r>
      <w:r>
        <w:rPr>
          <w:color w:val="231F20"/>
          <w:spacing w:val="-21"/>
          <w:w w:val="110"/>
          <w:sz w:val="16"/>
        </w:rPr>
        <w:t> </w:t>
      </w:r>
      <w:r>
        <w:rPr>
          <w:color w:val="231F20"/>
          <w:w w:val="110"/>
          <w:sz w:val="16"/>
        </w:rPr>
        <w:t>públicos,</w:t>
      </w:r>
      <w:r>
        <w:rPr>
          <w:color w:val="231F20"/>
          <w:spacing w:val="-21"/>
          <w:w w:val="110"/>
          <w:sz w:val="16"/>
        </w:rPr>
        <w:t> </w:t>
      </w:r>
      <w:r>
        <w:rPr>
          <w:color w:val="231F20"/>
          <w:w w:val="110"/>
          <w:sz w:val="16"/>
        </w:rPr>
        <w:t>los</w:t>
      </w:r>
      <w:r>
        <w:rPr>
          <w:color w:val="231F20"/>
          <w:spacing w:val="-21"/>
          <w:w w:val="110"/>
          <w:sz w:val="16"/>
        </w:rPr>
        <w:t> </w:t>
      </w:r>
      <w:r>
        <w:rPr>
          <w:color w:val="231F20"/>
          <w:w w:val="110"/>
          <w:sz w:val="16"/>
        </w:rPr>
        <w:t>bienes</w:t>
      </w:r>
      <w:r>
        <w:rPr>
          <w:color w:val="231F20"/>
          <w:spacing w:val="-21"/>
          <w:w w:val="110"/>
          <w:sz w:val="16"/>
        </w:rPr>
        <w:t> </w:t>
      </w:r>
      <w:r>
        <w:rPr>
          <w:color w:val="231F20"/>
          <w:w w:val="110"/>
          <w:sz w:val="16"/>
        </w:rPr>
        <w:t>nacionales</w:t>
      </w:r>
      <w:r>
        <w:rPr>
          <w:color w:val="231F20"/>
          <w:spacing w:val="-21"/>
          <w:w w:val="110"/>
          <w:sz w:val="16"/>
        </w:rPr>
        <w:t> </w:t>
      </w:r>
      <w:r>
        <w:rPr>
          <w:color w:val="231F20"/>
          <w:w w:val="110"/>
          <w:sz w:val="16"/>
        </w:rPr>
        <w:t>y</w:t>
      </w:r>
      <w:r>
        <w:rPr>
          <w:color w:val="231F20"/>
          <w:spacing w:val="-21"/>
          <w:w w:val="110"/>
          <w:sz w:val="16"/>
        </w:rPr>
        <w:t> </w:t>
      </w:r>
      <w:r>
        <w:rPr>
          <w:color w:val="231F20"/>
          <w:w w:val="110"/>
          <w:sz w:val="16"/>
        </w:rPr>
        <w:t>los</w:t>
      </w:r>
      <w:r>
        <w:rPr>
          <w:color w:val="231F20"/>
          <w:spacing w:val="-21"/>
          <w:w w:val="110"/>
          <w:sz w:val="16"/>
        </w:rPr>
        <w:t> </w:t>
      </w:r>
      <w:r>
        <w:rPr>
          <w:color w:val="231F20"/>
          <w:w w:val="110"/>
          <w:sz w:val="16"/>
        </w:rPr>
        <w:t>servicios</w:t>
      </w:r>
      <w:r>
        <w:rPr>
          <w:color w:val="231F20"/>
          <w:spacing w:val="-21"/>
          <w:w w:val="110"/>
          <w:sz w:val="16"/>
        </w:rPr>
        <w:t> </w:t>
      </w:r>
      <w:r>
        <w:rPr>
          <w:color w:val="231F20"/>
          <w:w w:val="110"/>
          <w:sz w:val="16"/>
        </w:rPr>
        <w:t>universales;</w:t>
      </w:r>
      <w:r>
        <w:rPr>
          <w:color w:val="231F20"/>
          <w:spacing w:val="-21"/>
          <w:w w:val="110"/>
          <w:sz w:val="16"/>
        </w:rPr>
        <w:t> </w:t>
      </w:r>
      <w:r>
        <w:rPr>
          <w:color w:val="231F20"/>
          <w:w w:val="110"/>
          <w:sz w:val="16"/>
        </w:rPr>
        <w:t>9]</w:t>
      </w:r>
      <w:r>
        <w:rPr>
          <w:color w:val="231F20"/>
          <w:spacing w:val="-21"/>
          <w:w w:val="110"/>
          <w:sz w:val="16"/>
        </w:rPr>
        <w:t> </w:t>
      </w:r>
      <w:r>
        <w:rPr>
          <w:color w:val="231F20"/>
          <w:w w:val="110"/>
          <w:sz w:val="16"/>
        </w:rPr>
        <w:t>desregulación</w:t>
      </w:r>
      <w:r>
        <w:rPr>
          <w:color w:val="231F20"/>
          <w:spacing w:val="-21"/>
          <w:w w:val="110"/>
          <w:sz w:val="16"/>
        </w:rPr>
        <w:t> </w:t>
      </w:r>
      <w:r>
        <w:rPr>
          <w:color w:val="231F20"/>
          <w:w w:val="110"/>
          <w:sz w:val="16"/>
        </w:rPr>
        <w:t>total de la economía y 10] protección absoluta a la propiedad privada sobre los medios de producción</w:t>
      </w:r>
      <w:r>
        <w:rPr>
          <w:color w:val="231F20"/>
          <w:spacing w:val="-11"/>
          <w:w w:val="110"/>
          <w:sz w:val="16"/>
        </w:rPr>
        <w:t> </w:t>
      </w:r>
      <w:r>
        <w:rPr>
          <w:color w:val="231F20"/>
          <w:w w:val="110"/>
          <w:sz w:val="16"/>
        </w:rPr>
        <w:t>(Borón</w:t>
      </w:r>
      <w:r>
        <w:rPr>
          <w:color w:val="231F20"/>
          <w:spacing w:val="-11"/>
          <w:w w:val="110"/>
          <w:sz w:val="16"/>
        </w:rPr>
        <w:t> </w:t>
      </w:r>
      <w:r>
        <w:rPr>
          <w:color w:val="231F20"/>
          <w:w w:val="110"/>
          <w:sz w:val="16"/>
        </w:rPr>
        <w:t>y</w:t>
      </w:r>
      <w:r>
        <w:rPr>
          <w:color w:val="231F20"/>
          <w:spacing w:val="-11"/>
          <w:w w:val="110"/>
          <w:sz w:val="16"/>
        </w:rPr>
        <w:t> </w:t>
      </w:r>
      <w:r>
        <w:rPr>
          <w:color w:val="231F20"/>
          <w:w w:val="110"/>
          <w:sz w:val="16"/>
        </w:rPr>
        <w:t>Gambina,</w:t>
      </w:r>
      <w:r>
        <w:rPr>
          <w:color w:val="231F20"/>
          <w:spacing w:val="-11"/>
          <w:w w:val="110"/>
          <w:sz w:val="16"/>
        </w:rPr>
        <w:t> </w:t>
      </w:r>
      <w:r>
        <w:rPr>
          <w:color w:val="231F20"/>
          <w:w w:val="110"/>
          <w:sz w:val="16"/>
        </w:rPr>
        <w:t>2004:</w:t>
      </w:r>
      <w:r>
        <w:rPr>
          <w:color w:val="231F20"/>
          <w:spacing w:val="-11"/>
          <w:w w:val="110"/>
          <w:sz w:val="16"/>
        </w:rPr>
        <w:t> </w:t>
      </w:r>
      <w:r>
        <w:rPr>
          <w:color w:val="231F20"/>
          <w:w w:val="110"/>
          <w:sz w:val="16"/>
        </w:rPr>
        <w:t>133-134</w:t>
      </w:r>
      <w:r>
        <w:rPr>
          <w:color w:val="231F20"/>
          <w:spacing w:val="-11"/>
          <w:w w:val="110"/>
          <w:sz w:val="16"/>
        </w:rPr>
        <w:t> </w:t>
      </w:r>
      <w:r>
        <w:rPr>
          <w:color w:val="231F20"/>
          <w:w w:val="110"/>
          <w:sz w:val="16"/>
        </w:rPr>
        <w:t>y</w:t>
      </w:r>
      <w:r>
        <w:rPr>
          <w:color w:val="231F20"/>
          <w:spacing w:val="-11"/>
          <w:w w:val="110"/>
          <w:sz w:val="16"/>
        </w:rPr>
        <w:t> </w:t>
      </w:r>
      <w:r>
        <w:rPr>
          <w:color w:val="231F20"/>
          <w:w w:val="110"/>
          <w:sz w:val="16"/>
        </w:rPr>
        <w:t>Vilas,</w:t>
      </w:r>
      <w:r>
        <w:rPr>
          <w:color w:val="231F20"/>
          <w:spacing w:val="-11"/>
          <w:w w:val="110"/>
          <w:sz w:val="16"/>
        </w:rPr>
        <w:t> </w:t>
      </w:r>
      <w:r>
        <w:rPr>
          <w:color w:val="231F20"/>
          <w:w w:val="110"/>
          <w:sz w:val="16"/>
        </w:rPr>
        <w:t>2000:</w:t>
      </w:r>
      <w:r>
        <w:rPr>
          <w:color w:val="231F20"/>
          <w:spacing w:val="-11"/>
          <w:w w:val="110"/>
          <w:sz w:val="16"/>
        </w:rPr>
        <w:t> </w:t>
      </w:r>
      <w:r>
        <w:rPr>
          <w:color w:val="231F20"/>
          <w:w w:val="110"/>
          <w:sz w:val="16"/>
        </w:rPr>
        <w:t>35).</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en 2003 mostró la posibilidad de derrotar política e</w:t>
      </w:r>
      <w:r>
        <w:rPr>
          <w:color w:val="231F20"/>
          <w:spacing w:val="-13"/>
          <w:w w:val="110"/>
        </w:rPr>
        <w:t> </w:t>
      </w:r>
      <w:r>
        <w:rPr>
          <w:color w:val="231F20"/>
          <w:w w:val="110"/>
        </w:rPr>
        <w:t>ideológicamente al neoliberalismo y a los aparatos represivos heredados de una larga y</w:t>
      </w:r>
      <w:r>
        <w:rPr>
          <w:color w:val="231F20"/>
          <w:spacing w:val="-9"/>
          <w:w w:val="110"/>
        </w:rPr>
        <w:t> </w:t>
      </w:r>
      <w:r>
        <w:rPr>
          <w:color w:val="231F20"/>
          <w:w w:val="110"/>
        </w:rPr>
        <w:t>sangrienta</w:t>
      </w:r>
      <w:r>
        <w:rPr>
          <w:color w:val="231F20"/>
          <w:spacing w:val="-9"/>
          <w:w w:val="110"/>
        </w:rPr>
        <w:t> </w:t>
      </w:r>
      <w:r>
        <w:rPr>
          <w:color w:val="231F20"/>
          <w:w w:val="110"/>
        </w:rPr>
        <w:t>dictadura;</w:t>
      </w:r>
      <w:r>
        <w:rPr>
          <w:color w:val="231F20"/>
          <w:spacing w:val="-9"/>
          <w:w w:val="110"/>
        </w:rPr>
        <w:t> </w:t>
      </w:r>
      <w:r>
        <w:rPr>
          <w:color w:val="231F20"/>
          <w:w w:val="110"/>
        </w:rPr>
        <w:t>en</w:t>
      </w:r>
      <w:r>
        <w:rPr>
          <w:color w:val="231F20"/>
          <w:spacing w:val="-9"/>
          <w:w w:val="110"/>
        </w:rPr>
        <w:t> </w:t>
      </w:r>
      <w:r>
        <w:rPr>
          <w:color w:val="231F20"/>
          <w:w w:val="110"/>
        </w:rPr>
        <w:t>2004,</w:t>
      </w:r>
      <w:r>
        <w:rPr>
          <w:color w:val="231F20"/>
          <w:spacing w:val="-9"/>
          <w:w w:val="110"/>
        </w:rPr>
        <w:t> </w:t>
      </w:r>
      <w:r>
        <w:rPr>
          <w:color w:val="231F20"/>
          <w:spacing w:val="-3"/>
          <w:w w:val="110"/>
        </w:rPr>
        <w:t>Tabaré</w:t>
      </w:r>
      <w:r>
        <w:rPr>
          <w:color w:val="231F20"/>
          <w:spacing w:val="-9"/>
          <w:w w:val="110"/>
        </w:rPr>
        <w:t> </w:t>
      </w:r>
      <w:r>
        <w:rPr>
          <w:color w:val="231F20"/>
          <w:w w:val="110"/>
        </w:rPr>
        <w:t>Vázquez</w:t>
      </w:r>
      <w:r>
        <w:rPr>
          <w:color w:val="231F20"/>
          <w:spacing w:val="-9"/>
          <w:w w:val="110"/>
        </w:rPr>
        <w:t> </w:t>
      </w:r>
      <w:r>
        <w:rPr>
          <w:color w:val="231F20"/>
          <w:w w:val="110"/>
        </w:rPr>
        <w:t>en</w:t>
      </w:r>
      <w:r>
        <w:rPr>
          <w:color w:val="231F20"/>
          <w:spacing w:val="-9"/>
          <w:w w:val="110"/>
        </w:rPr>
        <w:t> </w:t>
      </w:r>
      <w:r>
        <w:rPr>
          <w:color w:val="231F20"/>
          <w:w w:val="110"/>
        </w:rPr>
        <w:t>Uruguay</w:t>
      </w:r>
      <w:r>
        <w:rPr>
          <w:color w:val="231F20"/>
          <w:spacing w:val="-9"/>
          <w:w w:val="110"/>
        </w:rPr>
        <w:t> </w:t>
      </w:r>
      <w:r>
        <w:rPr>
          <w:color w:val="231F20"/>
          <w:w w:val="110"/>
        </w:rPr>
        <w:t>y</w:t>
      </w:r>
      <w:r>
        <w:rPr>
          <w:color w:val="231F20"/>
          <w:spacing w:val="-9"/>
          <w:w w:val="110"/>
        </w:rPr>
        <w:t> </w:t>
      </w:r>
      <w:r>
        <w:rPr>
          <w:color w:val="231F20"/>
          <w:w w:val="110"/>
        </w:rPr>
        <w:t>luego Fernando</w:t>
      </w:r>
      <w:r>
        <w:rPr>
          <w:color w:val="231F20"/>
          <w:spacing w:val="-9"/>
          <w:w w:val="110"/>
        </w:rPr>
        <w:t> </w:t>
      </w:r>
      <w:r>
        <w:rPr>
          <w:color w:val="231F20"/>
          <w:w w:val="110"/>
        </w:rPr>
        <w:t>Lugo</w:t>
      </w:r>
      <w:r>
        <w:rPr>
          <w:color w:val="231F20"/>
          <w:spacing w:val="-9"/>
          <w:w w:val="110"/>
        </w:rPr>
        <w:t> </w:t>
      </w:r>
      <w:r>
        <w:rPr>
          <w:color w:val="231F20"/>
          <w:w w:val="110"/>
        </w:rPr>
        <w:t>en</w:t>
      </w:r>
      <w:r>
        <w:rPr>
          <w:color w:val="231F20"/>
          <w:spacing w:val="-9"/>
          <w:w w:val="110"/>
        </w:rPr>
        <w:t> </w:t>
      </w:r>
      <w:r>
        <w:rPr>
          <w:color w:val="231F20"/>
          <w:w w:val="110"/>
        </w:rPr>
        <w:t>Paraguay,</w:t>
      </w:r>
      <w:r>
        <w:rPr>
          <w:color w:val="231F20"/>
          <w:spacing w:val="-9"/>
          <w:w w:val="110"/>
        </w:rPr>
        <w:t> </w:t>
      </w:r>
      <w:r>
        <w:rPr>
          <w:color w:val="231F20"/>
          <w:w w:val="110"/>
        </w:rPr>
        <w:t>dieron</w:t>
      </w:r>
      <w:r>
        <w:rPr>
          <w:color w:val="231F20"/>
          <w:spacing w:val="-9"/>
          <w:w w:val="110"/>
        </w:rPr>
        <w:t> </w:t>
      </w:r>
      <w:r>
        <w:rPr>
          <w:color w:val="231F20"/>
          <w:w w:val="110"/>
        </w:rPr>
        <w:t>una</w:t>
      </w:r>
      <w:r>
        <w:rPr>
          <w:color w:val="231F20"/>
          <w:spacing w:val="-9"/>
          <w:w w:val="110"/>
        </w:rPr>
        <w:t> </w:t>
      </w:r>
      <w:r>
        <w:rPr>
          <w:color w:val="231F20"/>
          <w:w w:val="110"/>
        </w:rPr>
        <w:t>alentadora</w:t>
      </w:r>
      <w:r>
        <w:rPr>
          <w:color w:val="231F20"/>
          <w:spacing w:val="-9"/>
          <w:w w:val="110"/>
        </w:rPr>
        <w:t> </w:t>
      </w:r>
      <w:r>
        <w:rPr>
          <w:color w:val="231F20"/>
          <w:w w:val="110"/>
        </w:rPr>
        <w:t>señal</w:t>
      </w:r>
      <w:r>
        <w:rPr>
          <w:color w:val="231F20"/>
          <w:spacing w:val="-9"/>
          <w:w w:val="110"/>
        </w:rPr>
        <w:t> </w:t>
      </w:r>
      <w:r>
        <w:rPr>
          <w:color w:val="231F20"/>
          <w:w w:val="110"/>
        </w:rPr>
        <w:t>del</w:t>
      </w:r>
      <w:r>
        <w:rPr>
          <w:color w:val="231F20"/>
          <w:spacing w:val="-9"/>
          <w:w w:val="110"/>
        </w:rPr>
        <w:t> </w:t>
      </w:r>
      <w:r>
        <w:rPr>
          <w:color w:val="231F20"/>
          <w:w w:val="110"/>
        </w:rPr>
        <w:t>ascenso popular que ponía al neoliberalismo en retirada; en 2006, Daniel Ortega en Nicaragua y en 2009 en El Salvador el triunfo del fmln, mostraron con sus triunfos irreprochables que el impulso popular frente al neoliberalismo se mantenía</w:t>
      </w:r>
      <w:r>
        <w:rPr>
          <w:color w:val="231F20"/>
          <w:spacing w:val="20"/>
          <w:w w:val="110"/>
        </w:rPr>
        <w:t> </w:t>
      </w:r>
      <w:r>
        <w:rPr>
          <w:color w:val="231F20"/>
          <w:w w:val="110"/>
        </w:rPr>
        <w:t>vigoroso.</w:t>
      </w:r>
    </w:p>
    <w:p>
      <w:pPr>
        <w:pStyle w:val="BodyText"/>
        <w:spacing w:line="261" w:lineRule="auto"/>
        <w:ind w:left="100" w:right="112" w:firstLine="240"/>
        <w:jc w:val="both"/>
      </w:pPr>
      <w:r>
        <w:rPr>
          <w:color w:val="231F20"/>
          <w:spacing w:val="-3"/>
          <w:w w:val="110"/>
        </w:rPr>
        <w:t>Todas  </w:t>
      </w:r>
      <w:r>
        <w:rPr>
          <w:color w:val="231F20"/>
          <w:w w:val="110"/>
        </w:rPr>
        <w:t>estas victorias se produjeron con programas alternativos  al neoliberalismo enfrentados a partidos y candidatos que ofrecían mantener la ortodoxia neoliberal. Particularmente los triunfos de Evo</w:t>
      </w:r>
      <w:r>
        <w:rPr>
          <w:color w:val="231F20"/>
          <w:spacing w:val="-18"/>
          <w:w w:val="110"/>
        </w:rPr>
        <w:t> </w:t>
      </w:r>
      <w:r>
        <w:rPr>
          <w:color w:val="231F20"/>
          <w:w w:val="110"/>
        </w:rPr>
        <w:t>Morales</w:t>
      </w:r>
      <w:r>
        <w:rPr>
          <w:color w:val="231F20"/>
          <w:spacing w:val="-18"/>
          <w:w w:val="110"/>
        </w:rPr>
        <w:t> </w:t>
      </w:r>
      <w:r>
        <w:rPr>
          <w:color w:val="231F20"/>
          <w:w w:val="110"/>
        </w:rPr>
        <w:t>en</w:t>
      </w:r>
      <w:r>
        <w:rPr>
          <w:color w:val="231F20"/>
          <w:spacing w:val="-18"/>
          <w:w w:val="110"/>
        </w:rPr>
        <w:t> </w:t>
      </w:r>
      <w:r>
        <w:rPr>
          <w:color w:val="231F20"/>
          <w:w w:val="110"/>
        </w:rPr>
        <w:t>Bolivia</w:t>
      </w:r>
      <w:r>
        <w:rPr>
          <w:color w:val="231F20"/>
          <w:spacing w:val="-18"/>
          <w:w w:val="110"/>
        </w:rPr>
        <w:t> </w:t>
      </w:r>
      <w:r>
        <w:rPr>
          <w:color w:val="231F20"/>
          <w:w w:val="110"/>
        </w:rPr>
        <w:t>(2005)</w:t>
      </w:r>
      <w:r>
        <w:rPr>
          <w:color w:val="231F20"/>
          <w:spacing w:val="-18"/>
          <w:w w:val="110"/>
        </w:rPr>
        <w:t> </w:t>
      </w:r>
      <w:r>
        <w:rPr>
          <w:color w:val="231F20"/>
          <w:w w:val="110"/>
        </w:rPr>
        <w:t>y</w:t>
      </w:r>
      <w:r>
        <w:rPr>
          <w:color w:val="231F20"/>
          <w:spacing w:val="-18"/>
          <w:w w:val="110"/>
        </w:rPr>
        <w:t> </w:t>
      </w:r>
      <w:r>
        <w:rPr>
          <w:color w:val="231F20"/>
          <w:w w:val="110"/>
        </w:rPr>
        <w:t>de</w:t>
      </w:r>
      <w:r>
        <w:rPr>
          <w:color w:val="231F20"/>
          <w:spacing w:val="-18"/>
          <w:w w:val="110"/>
        </w:rPr>
        <w:t> </w:t>
      </w:r>
      <w:r>
        <w:rPr>
          <w:color w:val="231F20"/>
          <w:w w:val="110"/>
        </w:rPr>
        <w:t>Rafael</w:t>
      </w:r>
      <w:r>
        <w:rPr>
          <w:color w:val="231F20"/>
          <w:spacing w:val="-18"/>
          <w:w w:val="110"/>
        </w:rPr>
        <w:t> </w:t>
      </w:r>
      <w:r>
        <w:rPr>
          <w:color w:val="231F20"/>
          <w:w w:val="110"/>
        </w:rPr>
        <w:t>Correa</w:t>
      </w:r>
      <w:r>
        <w:rPr>
          <w:color w:val="231F20"/>
          <w:spacing w:val="-18"/>
          <w:w w:val="110"/>
        </w:rPr>
        <w:t> </w:t>
      </w:r>
      <w:r>
        <w:rPr>
          <w:color w:val="231F20"/>
          <w:w w:val="110"/>
        </w:rPr>
        <w:t>en</w:t>
      </w:r>
      <w:r>
        <w:rPr>
          <w:color w:val="231F20"/>
          <w:spacing w:val="-18"/>
          <w:w w:val="110"/>
        </w:rPr>
        <w:t> </w:t>
      </w:r>
      <w:r>
        <w:rPr>
          <w:color w:val="231F20"/>
          <w:w w:val="110"/>
        </w:rPr>
        <w:t>Ecuador</w:t>
      </w:r>
      <w:r>
        <w:rPr>
          <w:color w:val="231F20"/>
          <w:spacing w:val="-18"/>
          <w:w w:val="110"/>
        </w:rPr>
        <w:t> </w:t>
      </w:r>
      <w:r>
        <w:rPr>
          <w:color w:val="231F20"/>
          <w:w w:val="110"/>
        </w:rPr>
        <w:t>(2006), así como el lanzamiento de la Alternativa Bolivariana para los Pue- blos de Nuestra América (alba), la creación del Banco del Sur y la adhesión de Venezuela y Bolivia al Mercosur, dieron contornos</w:t>
      </w:r>
      <w:r>
        <w:rPr>
          <w:color w:val="231F20"/>
          <w:spacing w:val="-15"/>
          <w:w w:val="110"/>
        </w:rPr>
        <w:t> </w:t>
      </w:r>
      <w:r>
        <w:rPr>
          <w:color w:val="231F20"/>
          <w:w w:val="110"/>
        </w:rPr>
        <w:t>más amplios y un sólido eje político de lucha a los gobiernos populares, que además de alentar la participación social en la conducción del gobierno y privilegiar la integración regional, comenzaron a cons- truir modelos de ruptura sustentados en el rescate de los recursos naturales y el uso de la renta proveniente del sector energético    para reforzar las transformaciones económicas, políticas y sociales orientadas a la construcción de una sociedad confrontada con el neoliberalismo.</w:t>
      </w:r>
    </w:p>
    <w:p>
      <w:pPr>
        <w:pStyle w:val="BodyText"/>
        <w:spacing w:line="261" w:lineRule="auto"/>
        <w:ind w:left="100" w:right="117" w:firstLine="240"/>
        <w:jc w:val="both"/>
      </w:pPr>
      <w:r>
        <w:rPr>
          <w:color w:val="231F20"/>
          <w:w w:val="110"/>
        </w:rPr>
        <w:t>El</w:t>
      </w:r>
      <w:r>
        <w:rPr>
          <w:color w:val="231F20"/>
          <w:spacing w:val="-5"/>
          <w:w w:val="110"/>
        </w:rPr>
        <w:t> </w:t>
      </w:r>
      <w:r>
        <w:rPr>
          <w:color w:val="231F20"/>
          <w:w w:val="110"/>
        </w:rPr>
        <w:t>estallido</w:t>
      </w:r>
      <w:r>
        <w:rPr>
          <w:color w:val="231F20"/>
          <w:spacing w:val="-5"/>
          <w:w w:val="110"/>
        </w:rPr>
        <w:t> </w:t>
      </w:r>
      <w:r>
        <w:rPr>
          <w:color w:val="231F20"/>
          <w:w w:val="110"/>
        </w:rPr>
        <w:t>a</w:t>
      </w:r>
      <w:r>
        <w:rPr>
          <w:color w:val="231F20"/>
          <w:spacing w:val="-5"/>
          <w:w w:val="110"/>
        </w:rPr>
        <w:t> </w:t>
      </w:r>
      <w:r>
        <w:rPr>
          <w:color w:val="231F20"/>
          <w:w w:val="110"/>
        </w:rPr>
        <w:t>finales</w:t>
      </w:r>
      <w:r>
        <w:rPr>
          <w:color w:val="231F20"/>
          <w:spacing w:val="-5"/>
          <w:w w:val="110"/>
        </w:rPr>
        <w:t> </w:t>
      </w:r>
      <w:r>
        <w:rPr>
          <w:color w:val="231F20"/>
          <w:w w:val="110"/>
        </w:rPr>
        <w:t>de</w:t>
      </w:r>
      <w:r>
        <w:rPr>
          <w:color w:val="231F20"/>
          <w:spacing w:val="-5"/>
          <w:w w:val="110"/>
        </w:rPr>
        <w:t> </w:t>
      </w:r>
      <w:r>
        <w:rPr>
          <w:color w:val="231F20"/>
          <w:w w:val="110"/>
        </w:rPr>
        <w:t>2007</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general</w:t>
      </w:r>
      <w:r>
        <w:rPr>
          <w:color w:val="231F20"/>
          <w:spacing w:val="-5"/>
          <w:w w:val="110"/>
        </w:rPr>
        <w:t> </w:t>
      </w:r>
      <w:r>
        <w:rPr>
          <w:color w:val="231F20"/>
          <w:w w:val="110"/>
        </w:rPr>
        <w:t>del</w:t>
      </w:r>
      <w:r>
        <w:rPr>
          <w:color w:val="231F20"/>
          <w:spacing w:val="-5"/>
          <w:w w:val="110"/>
        </w:rPr>
        <w:t> </w:t>
      </w:r>
      <w:r>
        <w:rPr>
          <w:color w:val="231F20"/>
          <w:w w:val="110"/>
        </w:rPr>
        <w:t>capitalismo</w:t>
      </w:r>
      <w:r>
        <w:rPr>
          <w:color w:val="231F20"/>
          <w:spacing w:val="-5"/>
          <w:w w:val="110"/>
        </w:rPr>
        <w:t> </w:t>
      </w:r>
      <w:r>
        <w:rPr>
          <w:color w:val="231F20"/>
          <w:w w:val="110"/>
        </w:rPr>
        <w:t>y sus consecuencias en todos los ámbitos de la sociedad, fue un factor más para acentuar el descrédito del neoliberalismo y la necesidad  de</w:t>
      </w:r>
      <w:r>
        <w:rPr>
          <w:color w:val="231F20"/>
          <w:spacing w:val="24"/>
          <w:w w:val="110"/>
        </w:rPr>
        <w:t> </w:t>
      </w:r>
      <w:r>
        <w:rPr>
          <w:color w:val="231F20"/>
          <w:w w:val="110"/>
        </w:rPr>
        <w:t>superarlo.</w:t>
      </w:r>
    </w:p>
    <w:p>
      <w:pPr>
        <w:pStyle w:val="BodyText"/>
      </w:pPr>
    </w:p>
    <w:p>
      <w:pPr>
        <w:pStyle w:val="BodyText"/>
      </w:pPr>
    </w:p>
    <w:p>
      <w:pPr>
        <w:pStyle w:val="BodyText"/>
        <w:spacing w:before="2"/>
        <w:rPr>
          <w:sz w:val="25"/>
        </w:rPr>
      </w:pPr>
    </w:p>
    <w:p>
      <w:pPr>
        <w:pStyle w:val="BodyText"/>
        <w:ind w:left="100"/>
        <w:jc w:val="both"/>
      </w:pPr>
      <w:r>
        <w:rPr>
          <w:color w:val="231F20"/>
          <w:w w:val="125"/>
        </w:rPr>
        <w:t>crisis general del capitalismo</w:t>
      </w:r>
    </w:p>
    <w:p>
      <w:pPr>
        <w:pStyle w:val="BodyText"/>
        <w:spacing w:before="5"/>
        <w:rPr>
          <w:sz w:val="23"/>
        </w:rPr>
      </w:pPr>
    </w:p>
    <w:p>
      <w:pPr>
        <w:pStyle w:val="BodyText"/>
        <w:spacing w:line="261" w:lineRule="auto"/>
        <w:ind w:left="73" w:right="117"/>
        <w:jc w:val="right"/>
      </w:pPr>
      <w:r>
        <w:rPr>
          <w:color w:val="231F20"/>
          <w:w w:val="105"/>
        </w:rPr>
        <w:t>De acuerdo con Marx, las crisis son consustanciales al desarrollo del</w:t>
      </w:r>
      <w:r>
        <w:rPr>
          <w:color w:val="231F20"/>
          <w:w w:val="111"/>
        </w:rPr>
        <w:t> </w:t>
      </w:r>
      <w:r>
        <w:rPr>
          <w:color w:val="231F20"/>
          <w:w w:val="105"/>
        </w:rPr>
        <w:t>capitalismo y representan: “soluciones violentas puramente momentá-</w:t>
      </w:r>
      <w:r>
        <w:rPr>
          <w:color w:val="231F20"/>
          <w:w w:val="72"/>
        </w:rPr>
        <w:t> </w:t>
      </w:r>
      <w:r>
        <w:rPr>
          <w:color w:val="231F20"/>
          <w:w w:val="105"/>
        </w:rPr>
        <w:t>neas de las contradicciones existentes, erupciones violentas que resta-</w:t>
      </w:r>
      <w:r>
        <w:rPr>
          <w:color w:val="231F20"/>
          <w:w w:val="72"/>
        </w:rPr>
        <w:t> </w:t>
      </w:r>
      <w:r>
        <w:rPr>
          <w:color w:val="231F20"/>
          <w:w w:val="105"/>
        </w:rPr>
        <w:t>blecen pasajeramente el equilibrio roto” (Marx, 1867/1968, t. III: 247).</w:t>
      </w:r>
      <w:r>
        <w:rPr>
          <w:color w:val="231F20"/>
          <w:w w:val="108"/>
        </w:rPr>
        <w:t> </w:t>
      </w:r>
      <w:r>
        <w:rPr>
          <w:color w:val="231F20"/>
          <w:w w:val="105"/>
        </w:rPr>
        <w:t>Desde agosto de 2007, el capitalismo volvió a sufrir otra de esas</w:t>
      </w:r>
      <w:r>
        <w:rPr>
          <w:color w:val="231F20"/>
          <w:w w:val="102"/>
        </w:rPr>
        <w:t> </w:t>
      </w:r>
      <w:r>
        <w:rPr>
          <w:i/>
          <w:color w:val="231F20"/>
          <w:w w:val="105"/>
        </w:rPr>
        <w:t>soluciones violentas </w:t>
      </w:r>
      <w:r>
        <w:rPr>
          <w:color w:val="231F20"/>
          <w:w w:val="105"/>
        </w:rPr>
        <w:t>que por su magnitud y profanidad se convirtió   en</w:t>
      </w:r>
    </w:p>
    <w:p>
      <w:pPr>
        <w:pStyle w:val="BodyText"/>
        <w:ind w:left="100"/>
        <w:jc w:val="both"/>
      </w:pPr>
      <w:r>
        <w:rPr>
          <w:color w:val="231F20"/>
          <w:w w:val="110"/>
        </w:rPr>
        <w:t>la primera gran crisis general del capitalismo en el siglo  xxi.</w:t>
      </w:r>
    </w:p>
    <w:p>
      <w:pPr>
        <w:spacing w:after="0"/>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La</w:t>
      </w:r>
      <w:r>
        <w:rPr>
          <w:color w:val="231F20"/>
          <w:spacing w:val="-10"/>
          <w:w w:val="110"/>
        </w:rPr>
        <w:t> </w:t>
      </w:r>
      <w:r>
        <w:rPr>
          <w:color w:val="231F20"/>
          <w:w w:val="110"/>
        </w:rPr>
        <w:t>devastación</w:t>
      </w:r>
      <w:r>
        <w:rPr>
          <w:color w:val="231F20"/>
          <w:spacing w:val="-10"/>
          <w:w w:val="110"/>
        </w:rPr>
        <w:t> </w:t>
      </w:r>
      <w:r>
        <w:rPr>
          <w:color w:val="231F20"/>
          <w:w w:val="110"/>
        </w:rPr>
        <w:t>provocada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ha</w:t>
      </w:r>
      <w:r>
        <w:rPr>
          <w:color w:val="231F20"/>
          <w:spacing w:val="-10"/>
          <w:w w:val="110"/>
        </w:rPr>
        <w:t> </w:t>
      </w:r>
      <w:r>
        <w:rPr>
          <w:color w:val="231F20"/>
          <w:w w:val="110"/>
        </w:rPr>
        <w:t>fortalecido</w:t>
      </w:r>
      <w:r>
        <w:rPr>
          <w:color w:val="231F20"/>
          <w:spacing w:val="-10"/>
          <w:w w:val="110"/>
        </w:rPr>
        <w:t> </w:t>
      </w:r>
      <w:r>
        <w:rPr>
          <w:color w:val="231F20"/>
          <w:w w:val="110"/>
        </w:rPr>
        <w:t>la</w:t>
      </w:r>
      <w:r>
        <w:rPr>
          <w:color w:val="231F20"/>
          <w:spacing w:val="-10"/>
          <w:w w:val="110"/>
        </w:rPr>
        <w:t> </w:t>
      </w:r>
      <w:r>
        <w:rPr>
          <w:color w:val="231F20"/>
          <w:w w:val="110"/>
        </w:rPr>
        <w:t>certeza</w:t>
      </w:r>
      <w:r>
        <w:rPr>
          <w:color w:val="231F20"/>
          <w:spacing w:val="-10"/>
          <w:w w:val="110"/>
        </w:rPr>
        <w:t> </w:t>
      </w:r>
      <w:r>
        <w:rPr>
          <w:color w:val="231F20"/>
          <w:w w:val="110"/>
        </w:rPr>
        <w:t>de que</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últimos</w:t>
      </w:r>
      <w:r>
        <w:rPr>
          <w:color w:val="231F20"/>
          <w:spacing w:val="-8"/>
          <w:w w:val="110"/>
        </w:rPr>
        <w:t> </w:t>
      </w:r>
      <w:r>
        <w:rPr>
          <w:color w:val="231F20"/>
          <w:w w:val="110"/>
        </w:rPr>
        <w:t>años</w:t>
      </w:r>
      <w:r>
        <w:rPr>
          <w:color w:val="231F20"/>
          <w:spacing w:val="-8"/>
          <w:w w:val="110"/>
        </w:rPr>
        <w:t> </w:t>
      </w:r>
      <w:r>
        <w:rPr>
          <w:color w:val="231F20"/>
          <w:w w:val="110"/>
        </w:rPr>
        <w:t>del</w:t>
      </w:r>
      <w:r>
        <w:rPr>
          <w:color w:val="231F20"/>
          <w:spacing w:val="-8"/>
          <w:w w:val="110"/>
        </w:rPr>
        <w:t> </w:t>
      </w:r>
      <w:r>
        <w:rPr>
          <w:color w:val="231F20"/>
          <w:w w:val="110"/>
        </w:rPr>
        <w:t>siglo</w:t>
      </w:r>
      <w:r>
        <w:rPr>
          <w:color w:val="231F20"/>
          <w:spacing w:val="-9"/>
          <w:w w:val="110"/>
        </w:rPr>
        <w:t> </w:t>
      </w:r>
      <w:r>
        <w:rPr>
          <w:color w:val="231F20"/>
          <w:w w:val="110"/>
        </w:rPr>
        <w:t>xx</w:t>
      </w:r>
      <w:r>
        <w:rPr>
          <w:color w:val="231F20"/>
          <w:spacing w:val="-8"/>
          <w:w w:val="110"/>
        </w:rPr>
        <w:t> </w:t>
      </w:r>
      <w:r>
        <w:rPr>
          <w:color w:val="231F20"/>
          <w:w w:val="110"/>
        </w:rPr>
        <w:t>se</w:t>
      </w:r>
      <w:r>
        <w:rPr>
          <w:color w:val="231F20"/>
          <w:spacing w:val="-8"/>
          <w:w w:val="110"/>
        </w:rPr>
        <w:t> </w:t>
      </w:r>
      <w:r>
        <w:rPr>
          <w:color w:val="231F20"/>
          <w:w w:val="110"/>
        </w:rPr>
        <w:t>empezó</w:t>
      </w:r>
      <w:r>
        <w:rPr>
          <w:color w:val="231F20"/>
          <w:spacing w:val="-8"/>
          <w:w w:val="110"/>
        </w:rPr>
        <w:t> </w:t>
      </w:r>
      <w:r>
        <w:rPr>
          <w:color w:val="231F20"/>
          <w:w w:val="110"/>
        </w:rPr>
        <w:t>a</w:t>
      </w:r>
      <w:r>
        <w:rPr>
          <w:color w:val="231F20"/>
          <w:spacing w:val="-8"/>
          <w:w w:val="110"/>
        </w:rPr>
        <w:t> </w:t>
      </w:r>
      <w:r>
        <w:rPr>
          <w:color w:val="231F20"/>
          <w:w w:val="110"/>
        </w:rPr>
        <w:t>tener</w:t>
      </w:r>
      <w:r>
        <w:rPr>
          <w:color w:val="231F20"/>
          <w:spacing w:val="-8"/>
          <w:w w:val="110"/>
        </w:rPr>
        <w:t> </w:t>
      </w:r>
      <w:r>
        <w:rPr>
          <w:color w:val="231F20"/>
          <w:w w:val="110"/>
        </w:rPr>
        <w:t>en</w:t>
      </w:r>
      <w:r>
        <w:rPr>
          <w:color w:val="231F20"/>
          <w:spacing w:val="-8"/>
          <w:w w:val="110"/>
        </w:rPr>
        <w:t> </w:t>
      </w:r>
      <w:r>
        <w:rPr>
          <w:color w:val="231F20"/>
          <w:w w:val="110"/>
        </w:rPr>
        <w:t>Latinoamé- rica</w:t>
      </w:r>
      <w:r>
        <w:rPr>
          <w:color w:val="231F20"/>
          <w:spacing w:val="-5"/>
          <w:w w:val="110"/>
        </w:rPr>
        <w:t> </w:t>
      </w:r>
      <w:r>
        <w:rPr>
          <w:color w:val="231F20"/>
          <w:w w:val="110"/>
        </w:rPr>
        <w:t>sobre</w:t>
      </w:r>
      <w:r>
        <w:rPr>
          <w:color w:val="231F20"/>
          <w:spacing w:val="-5"/>
          <w:w w:val="110"/>
        </w:rPr>
        <w:t> </w:t>
      </w:r>
      <w:r>
        <w:rPr>
          <w:color w:val="231F20"/>
          <w:w w:val="110"/>
        </w:rPr>
        <w:t>la</w:t>
      </w:r>
      <w:r>
        <w:rPr>
          <w:color w:val="231F20"/>
          <w:spacing w:val="-5"/>
          <w:w w:val="110"/>
        </w:rPr>
        <w:t> </w:t>
      </w:r>
      <w:r>
        <w:rPr>
          <w:color w:val="231F20"/>
          <w:w w:val="110"/>
        </w:rPr>
        <w:t>inviabilidad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modalidad</w:t>
      </w:r>
      <w:r>
        <w:rPr>
          <w:color w:val="231F20"/>
          <w:spacing w:val="-5"/>
          <w:w w:val="110"/>
        </w:rPr>
        <w:t> </w:t>
      </w:r>
      <w:r>
        <w:rPr>
          <w:color w:val="231F20"/>
          <w:w w:val="110"/>
        </w:rPr>
        <w:t>neoliberal</w:t>
      </w:r>
      <w:r>
        <w:rPr>
          <w:color w:val="231F20"/>
          <w:spacing w:val="-5"/>
          <w:w w:val="110"/>
        </w:rPr>
        <w:t> </w:t>
      </w:r>
      <w:r>
        <w:rPr>
          <w:color w:val="231F20"/>
          <w:w w:val="110"/>
        </w:rPr>
        <w:t>del</w:t>
      </w:r>
      <w:r>
        <w:rPr>
          <w:color w:val="231F20"/>
          <w:spacing w:val="-5"/>
          <w:w w:val="110"/>
        </w:rPr>
        <w:t> </w:t>
      </w:r>
      <w:r>
        <w:rPr>
          <w:color w:val="231F20"/>
          <w:w w:val="110"/>
        </w:rPr>
        <w:t>capitalismo</w:t>
      </w:r>
      <w:r>
        <w:rPr>
          <w:color w:val="231F20"/>
          <w:w w:val="110"/>
          <w:position w:val="6"/>
          <w:sz w:val="13"/>
        </w:rPr>
        <w:t>3 </w:t>
      </w:r>
      <w:r>
        <w:rPr>
          <w:color w:val="231F20"/>
          <w:w w:val="110"/>
        </w:rPr>
        <w:t>y la necesidad de encontrar opciones a la sociedad sustentada en el libre mercado, la privatización de los recursos naturales, la</w:t>
      </w:r>
      <w:r>
        <w:rPr>
          <w:color w:val="231F20"/>
          <w:spacing w:val="-37"/>
          <w:w w:val="110"/>
        </w:rPr>
        <w:t> </w:t>
      </w:r>
      <w:r>
        <w:rPr>
          <w:color w:val="231F20"/>
          <w:w w:val="110"/>
        </w:rPr>
        <w:t>desapari- ción de los aspectos fundamentales de la seguridad social y el retiro total del Estado de la actividad</w:t>
      </w:r>
      <w:r>
        <w:rPr>
          <w:color w:val="231F20"/>
          <w:spacing w:val="16"/>
          <w:w w:val="110"/>
        </w:rPr>
        <w:t> </w:t>
      </w:r>
      <w:r>
        <w:rPr>
          <w:color w:val="231F20"/>
          <w:w w:val="110"/>
        </w:rPr>
        <w:t>económica.</w:t>
      </w:r>
    </w:p>
    <w:p>
      <w:pPr>
        <w:pStyle w:val="BodyText"/>
        <w:spacing w:line="261" w:lineRule="auto"/>
        <w:ind w:left="100" w:right="119" w:firstLine="240"/>
        <w:jc w:val="both"/>
      </w:pPr>
      <w:r>
        <w:rPr>
          <w:color w:val="231F20"/>
          <w:w w:val="110"/>
        </w:rPr>
        <w:t>El factor determinante de la gravedad de esta crisis, fue la coinci- dencia</w:t>
      </w:r>
      <w:r>
        <w:rPr>
          <w:color w:val="231F20"/>
          <w:spacing w:val="-9"/>
          <w:w w:val="110"/>
        </w:rPr>
        <w:t> </w:t>
      </w:r>
      <w:r>
        <w:rPr>
          <w:color w:val="231F20"/>
          <w:w w:val="110"/>
        </w:rPr>
        <w:t>temporal</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crisis</w:t>
      </w:r>
      <w:r>
        <w:rPr>
          <w:color w:val="231F20"/>
          <w:spacing w:val="-9"/>
          <w:w w:val="110"/>
        </w:rPr>
        <w:t> </w:t>
      </w:r>
      <w:r>
        <w:rPr>
          <w:color w:val="231F20"/>
          <w:w w:val="110"/>
        </w:rPr>
        <w:t>estructural</w:t>
      </w:r>
      <w:r>
        <w:rPr>
          <w:color w:val="231F20"/>
          <w:spacing w:val="-9"/>
          <w:w w:val="110"/>
        </w:rPr>
        <w:t> </w:t>
      </w:r>
      <w:r>
        <w:rPr>
          <w:color w:val="231F20"/>
          <w:w w:val="110"/>
        </w:rPr>
        <w:t>con</w:t>
      </w:r>
      <w:r>
        <w:rPr>
          <w:color w:val="231F20"/>
          <w:spacing w:val="-9"/>
          <w:w w:val="110"/>
        </w:rPr>
        <w:t> </w:t>
      </w:r>
      <w:r>
        <w:rPr>
          <w:color w:val="231F20"/>
          <w:w w:val="110"/>
        </w:rPr>
        <w:t>una</w:t>
      </w:r>
      <w:r>
        <w:rPr>
          <w:color w:val="231F20"/>
          <w:spacing w:val="-9"/>
          <w:w w:val="110"/>
        </w:rPr>
        <w:t> </w:t>
      </w:r>
      <w:r>
        <w:rPr>
          <w:color w:val="231F20"/>
          <w:w w:val="110"/>
        </w:rPr>
        <w:t>cíclica</w:t>
      </w:r>
      <w:r>
        <w:rPr>
          <w:color w:val="231F20"/>
          <w:spacing w:val="-9"/>
          <w:w w:val="110"/>
        </w:rPr>
        <w:t> </w:t>
      </w:r>
      <w:r>
        <w:rPr>
          <w:color w:val="231F20"/>
          <w:w w:val="110"/>
        </w:rPr>
        <w:t>de</w:t>
      </w:r>
      <w:r>
        <w:rPr>
          <w:color w:val="231F20"/>
          <w:spacing w:val="-9"/>
          <w:w w:val="110"/>
        </w:rPr>
        <w:t> </w:t>
      </w:r>
      <w:r>
        <w:rPr>
          <w:color w:val="231F20"/>
          <w:w w:val="110"/>
        </w:rPr>
        <w:t>sobrepro- ducción.</w:t>
      </w:r>
      <w:r>
        <w:rPr>
          <w:color w:val="231F20"/>
          <w:spacing w:val="-19"/>
          <w:w w:val="110"/>
        </w:rPr>
        <w:t> </w:t>
      </w:r>
      <w:r>
        <w:rPr>
          <w:color w:val="231F20"/>
          <w:w w:val="110"/>
        </w:rPr>
        <w:t>Las</w:t>
      </w:r>
      <w:r>
        <w:rPr>
          <w:color w:val="231F20"/>
          <w:spacing w:val="-19"/>
          <w:w w:val="110"/>
        </w:rPr>
        <w:t> </w:t>
      </w:r>
      <w:r>
        <w:rPr>
          <w:color w:val="231F20"/>
          <w:w w:val="110"/>
        </w:rPr>
        <w:t>crisis</w:t>
      </w:r>
      <w:r>
        <w:rPr>
          <w:color w:val="231F20"/>
          <w:spacing w:val="-19"/>
          <w:w w:val="110"/>
        </w:rPr>
        <w:t> </w:t>
      </w:r>
      <w:r>
        <w:rPr>
          <w:color w:val="231F20"/>
          <w:w w:val="110"/>
        </w:rPr>
        <w:t>estructurales</w:t>
      </w:r>
      <w:r>
        <w:rPr>
          <w:color w:val="231F20"/>
          <w:spacing w:val="-19"/>
          <w:w w:val="110"/>
        </w:rPr>
        <w:t> </w:t>
      </w:r>
      <w:r>
        <w:rPr>
          <w:color w:val="231F20"/>
          <w:w w:val="110"/>
        </w:rPr>
        <w:t>o</w:t>
      </w:r>
      <w:r>
        <w:rPr>
          <w:color w:val="231F20"/>
          <w:spacing w:val="-19"/>
          <w:w w:val="110"/>
        </w:rPr>
        <w:t> </w:t>
      </w:r>
      <w:r>
        <w:rPr>
          <w:color w:val="231F20"/>
          <w:w w:val="110"/>
        </w:rPr>
        <w:t>de</w:t>
      </w:r>
      <w:r>
        <w:rPr>
          <w:color w:val="231F20"/>
          <w:spacing w:val="-19"/>
          <w:w w:val="110"/>
        </w:rPr>
        <w:t> </w:t>
      </w:r>
      <w:r>
        <w:rPr>
          <w:color w:val="231F20"/>
          <w:w w:val="110"/>
        </w:rPr>
        <w:t>largo</w:t>
      </w:r>
      <w:r>
        <w:rPr>
          <w:color w:val="231F20"/>
          <w:spacing w:val="-19"/>
          <w:w w:val="110"/>
        </w:rPr>
        <w:t> </w:t>
      </w:r>
      <w:r>
        <w:rPr>
          <w:color w:val="231F20"/>
          <w:w w:val="110"/>
        </w:rPr>
        <w:t>plazo,</w:t>
      </w:r>
      <w:r>
        <w:rPr>
          <w:color w:val="231F20"/>
          <w:spacing w:val="-19"/>
          <w:w w:val="110"/>
        </w:rPr>
        <w:t> </w:t>
      </w:r>
      <w:r>
        <w:rPr>
          <w:color w:val="231F20"/>
          <w:w w:val="110"/>
        </w:rPr>
        <w:t>como</w:t>
      </w:r>
      <w:r>
        <w:rPr>
          <w:color w:val="231F20"/>
          <w:spacing w:val="-19"/>
          <w:w w:val="110"/>
        </w:rPr>
        <w:t> </w:t>
      </w:r>
      <w:r>
        <w:rPr>
          <w:color w:val="231F20"/>
          <w:w w:val="110"/>
        </w:rPr>
        <w:t>las</w:t>
      </w:r>
      <w:r>
        <w:rPr>
          <w:color w:val="231F20"/>
          <w:spacing w:val="-19"/>
          <w:w w:val="110"/>
        </w:rPr>
        <w:t> </w:t>
      </w:r>
      <w:r>
        <w:rPr>
          <w:color w:val="231F20"/>
          <w:w w:val="110"/>
        </w:rPr>
        <w:t>caracteriza Theotonio Dos</w:t>
      </w:r>
      <w:r>
        <w:rPr>
          <w:color w:val="231F20"/>
          <w:spacing w:val="-7"/>
          <w:w w:val="110"/>
        </w:rPr>
        <w:t> </w:t>
      </w:r>
      <w:r>
        <w:rPr>
          <w:color w:val="231F20"/>
          <w:w w:val="110"/>
        </w:rPr>
        <w:t>Santos:</w:t>
      </w:r>
    </w:p>
    <w:p>
      <w:pPr>
        <w:pStyle w:val="BodyText"/>
        <w:spacing w:before="4"/>
        <w:rPr>
          <w:sz w:val="23"/>
        </w:rPr>
      </w:pPr>
    </w:p>
    <w:p>
      <w:pPr>
        <w:spacing w:line="290" w:lineRule="auto" w:before="0"/>
        <w:ind w:left="100" w:right="117" w:firstLine="0"/>
        <w:jc w:val="both"/>
        <w:rPr>
          <w:sz w:val="18"/>
        </w:rPr>
      </w:pPr>
      <w:r>
        <w:rPr>
          <w:color w:val="231F20"/>
          <w:w w:val="110"/>
          <w:sz w:val="18"/>
        </w:rPr>
        <w:t>Están acompañadas por un fuerte proceso de especulación financiera que tiende a compensar la caída de la tasa de ganancia con el aumento de los valores</w:t>
      </w:r>
      <w:r>
        <w:rPr>
          <w:color w:val="231F20"/>
          <w:spacing w:val="-16"/>
          <w:w w:val="110"/>
          <w:sz w:val="18"/>
        </w:rPr>
        <w:t> </w:t>
      </w:r>
      <w:r>
        <w:rPr>
          <w:color w:val="231F20"/>
          <w:w w:val="110"/>
          <w:sz w:val="18"/>
        </w:rPr>
        <w:t>financieros</w:t>
      </w:r>
      <w:r>
        <w:rPr>
          <w:color w:val="231F20"/>
          <w:spacing w:val="-16"/>
          <w:w w:val="110"/>
          <w:sz w:val="18"/>
        </w:rPr>
        <w:t> </w:t>
      </w:r>
      <w:r>
        <w:rPr>
          <w:color w:val="231F20"/>
          <w:w w:val="110"/>
          <w:sz w:val="18"/>
        </w:rPr>
        <w:t>[…]</w:t>
      </w:r>
      <w:r>
        <w:rPr>
          <w:color w:val="231F20"/>
          <w:spacing w:val="-16"/>
          <w:w w:val="110"/>
          <w:sz w:val="18"/>
        </w:rPr>
        <w:t> </w:t>
      </w:r>
      <w:r>
        <w:rPr>
          <w:color w:val="231F20"/>
          <w:w w:val="110"/>
          <w:sz w:val="18"/>
        </w:rPr>
        <w:t>los</w:t>
      </w:r>
      <w:r>
        <w:rPr>
          <w:color w:val="231F20"/>
          <w:spacing w:val="-16"/>
          <w:w w:val="110"/>
          <w:sz w:val="18"/>
        </w:rPr>
        <w:t> </w:t>
      </w:r>
      <w:r>
        <w:rPr>
          <w:color w:val="231F20"/>
          <w:w w:val="110"/>
          <w:sz w:val="18"/>
        </w:rPr>
        <w:t>movimientos</w:t>
      </w:r>
      <w:r>
        <w:rPr>
          <w:color w:val="231F20"/>
          <w:spacing w:val="-16"/>
          <w:w w:val="110"/>
          <w:sz w:val="18"/>
        </w:rPr>
        <w:t> </w:t>
      </w:r>
      <w:r>
        <w:rPr>
          <w:color w:val="231F20"/>
          <w:w w:val="110"/>
          <w:sz w:val="18"/>
        </w:rPr>
        <w:t>especulativos</w:t>
      </w:r>
      <w:r>
        <w:rPr>
          <w:color w:val="231F20"/>
          <w:spacing w:val="-16"/>
          <w:w w:val="110"/>
          <w:sz w:val="18"/>
        </w:rPr>
        <w:t> </w:t>
      </w:r>
      <w:r>
        <w:rPr>
          <w:color w:val="231F20"/>
          <w:w w:val="110"/>
          <w:sz w:val="18"/>
        </w:rPr>
        <w:t>terminan</w:t>
      </w:r>
      <w:r>
        <w:rPr>
          <w:color w:val="231F20"/>
          <w:spacing w:val="-16"/>
          <w:w w:val="110"/>
          <w:sz w:val="18"/>
        </w:rPr>
        <w:t> </w:t>
      </w:r>
      <w:r>
        <w:rPr>
          <w:color w:val="231F20"/>
          <w:w w:val="110"/>
          <w:sz w:val="18"/>
        </w:rPr>
        <w:t>sustrayendo recursos del sector productivo. En consecuencia, las propias empresas tien- den a buscar ventajas en la inversión financiera, en demérito de la inversión productiva, generándose una liquidez creciente en el conjunto de la econo- mía (Dos Santos, 2004:</w:t>
      </w:r>
      <w:r>
        <w:rPr>
          <w:color w:val="231F20"/>
          <w:spacing w:val="-25"/>
          <w:w w:val="110"/>
          <w:sz w:val="18"/>
        </w:rPr>
        <w:t> </w:t>
      </w:r>
      <w:r>
        <w:rPr>
          <w:color w:val="231F20"/>
          <w:w w:val="110"/>
          <w:sz w:val="18"/>
        </w:rPr>
        <w:t>67).</w:t>
      </w:r>
    </w:p>
    <w:p>
      <w:pPr>
        <w:pStyle w:val="BodyText"/>
        <w:spacing w:before="2"/>
      </w:pPr>
    </w:p>
    <w:p>
      <w:pPr>
        <w:pStyle w:val="BodyText"/>
        <w:spacing w:line="261" w:lineRule="auto"/>
        <w:ind w:left="100" w:right="117" w:firstLine="240"/>
        <w:jc w:val="both"/>
      </w:pPr>
      <w:r>
        <w:rPr>
          <w:color w:val="231F20"/>
          <w:w w:val="110"/>
        </w:rPr>
        <w:t>Este tipo de crisis conmueve los fundamentos de la modalidad de acumulación hasta entonces prevaleciente, y expresan el hecho de que las fuerzas productivas han entrado en contradicción “con las relaciones de propiedad dentro de las que cuales se habían estado moviendo hasta ese momento” (Marx, 1859, 1968: 67).</w:t>
      </w:r>
    </w:p>
    <w:p>
      <w:pPr>
        <w:pStyle w:val="BodyText"/>
        <w:spacing w:line="261" w:lineRule="auto"/>
        <w:ind w:left="100" w:right="117" w:firstLine="240"/>
        <w:jc w:val="both"/>
      </w:pPr>
      <w:r>
        <w:rPr>
          <w:color w:val="231F20"/>
          <w:w w:val="110"/>
        </w:rPr>
        <w:t>La nueva situación de correspondencia entre las fuerzas</w:t>
      </w:r>
      <w:r>
        <w:rPr>
          <w:color w:val="231F20"/>
          <w:spacing w:val="-11"/>
          <w:w w:val="110"/>
        </w:rPr>
        <w:t> </w:t>
      </w:r>
      <w:r>
        <w:rPr>
          <w:color w:val="231F20"/>
          <w:w w:val="110"/>
        </w:rPr>
        <w:t>producti- vas</w:t>
      </w:r>
      <w:r>
        <w:rPr>
          <w:color w:val="231F20"/>
          <w:spacing w:val="-15"/>
          <w:w w:val="110"/>
        </w:rPr>
        <w:t> </w:t>
      </w:r>
      <w:r>
        <w:rPr>
          <w:color w:val="231F20"/>
          <w:w w:val="110"/>
        </w:rPr>
        <w:t>y</w:t>
      </w:r>
      <w:r>
        <w:rPr>
          <w:color w:val="231F20"/>
          <w:spacing w:val="-16"/>
          <w:w w:val="110"/>
        </w:rPr>
        <w:t> </w:t>
      </w:r>
      <w:r>
        <w:rPr>
          <w:color w:val="231F20"/>
          <w:w w:val="110"/>
        </w:rPr>
        <w:t>las</w:t>
      </w:r>
      <w:r>
        <w:rPr>
          <w:color w:val="231F20"/>
          <w:spacing w:val="-15"/>
          <w:w w:val="110"/>
        </w:rPr>
        <w:t> </w:t>
      </w:r>
      <w:r>
        <w:rPr>
          <w:color w:val="231F20"/>
          <w:w w:val="110"/>
        </w:rPr>
        <w:t>relaciones</w:t>
      </w:r>
      <w:r>
        <w:rPr>
          <w:color w:val="231F20"/>
          <w:spacing w:val="-16"/>
          <w:w w:val="110"/>
        </w:rPr>
        <w:t> </w:t>
      </w:r>
      <w:r>
        <w:rPr>
          <w:color w:val="231F20"/>
          <w:w w:val="110"/>
        </w:rPr>
        <w:t>de</w:t>
      </w:r>
      <w:r>
        <w:rPr>
          <w:color w:val="231F20"/>
          <w:spacing w:val="-15"/>
          <w:w w:val="110"/>
        </w:rPr>
        <w:t> </w:t>
      </w:r>
      <w:r>
        <w:rPr>
          <w:color w:val="231F20"/>
          <w:w w:val="110"/>
        </w:rPr>
        <w:t>producción,</w:t>
      </w:r>
      <w:r>
        <w:rPr>
          <w:color w:val="231F20"/>
          <w:spacing w:val="-15"/>
          <w:w w:val="110"/>
        </w:rPr>
        <w:t> </w:t>
      </w:r>
      <w:r>
        <w:rPr>
          <w:color w:val="231F20"/>
          <w:w w:val="110"/>
        </w:rPr>
        <w:t>en</w:t>
      </w:r>
      <w:r>
        <w:rPr>
          <w:color w:val="231F20"/>
          <w:spacing w:val="-16"/>
          <w:w w:val="110"/>
        </w:rPr>
        <w:t> </w:t>
      </w:r>
      <w:r>
        <w:rPr>
          <w:color w:val="231F20"/>
          <w:w w:val="110"/>
        </w:rPr>
        <w:t>tanto</w:t>
      </w:r>
      <w:r>
        <w:rPr>
          <w:color w:val="231F20"/>
          <w:spacing w:val="-16"/>
          <w:w w:val="110"/>
        </w:rPr>
        <w:t> </w:t>
      </w:r>
      <w:r>
        <w:rPr>
          <w:color w:val="231F20"/>
          <w:w w:val="110"/>
        </w:rPr>
        <w:t>sólo</w:t>
      </w:r>
      <w:r>
        <w:rPr>
          <w:color w:val="231F20"/>
          <w:spacing w:val="-15"/>
          <w:w w:val="110"/>
        </w:rPr>
        <w:t> </w:t>
      </w:r>
      <w:r>
        <w:rPr>
          <w:color w:val="231F20"/>
          <w:w w:val="110"/>
        </w:rPr>
        <w:t>signifique</w:t>
      </w:r>
      <w:r>
        <w:rPr>
          <w:color w:val="231F20"/>
          <w:spacing w:val="-16"/>
          <w:w w:val="110"/>
        </w:rPr>
        <w:t> </w:t>
      </w:r>
      <w:r>
        <w:rPr>
          <w:color w:val="231F20"/>
          <w:w w:val="110"/>
        </w:rPr>
        <w:t>un</w:t>
      </w:r>
      <w:r>
        <w:rPr>
          <w:color w:val="231F20"/>
          <w:spacing w:val="-15"/>
          <w:w w:val="110"/>
        </w:rPr>
        <w:t> </w:t>
      </w:r>
      <w:r>
        <w:rPr>
          <w:color w:val="231F20"/>
          <w:w w:val="110"/>
        </w:rPr>
        <w:t>cambio en la modalidad de acumulación y no la transformación del modo  de producción, se resuelve con la solución del conflicto suscitado entre los distintos grupos de la clase dominante respecto de la</w:t>
      </w:r>
      <w:r>
        <w:rPr>
          <w:color w:val="231F20"/>
          <w:spacing w:val="-11"/>
          <w:w w:val="110"/>
        </w:rPr>
        <w:t> </w:t>
      </w:r>
      <w:r>
        <w:rPr>
          <w:color w:val="231F20"/>
          <w:w w:val="110"/>
        </w:rPr>
        <w:t>nueva orientación en la modalidad de acumulación. En otras palabras, la presencia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crisis</w:t>
      </w:r>
      <w:r>
        <w:rPr>
          <w:color w:val="231F20"/>
          <w:spacing w:val="-11"/>
          <w:w w:val="110"/>
        </w:rPr>
        <w:t> </w:t>
      </w:r>
      <w:r>
        <w:rPr>
          <w:color w:val="231F20"/>
          <w:w w:val="110"/>
        </w:rPr>
        <w:t>estructurales</w:t>
      </w:r>
      <w:r>
        <w:rPr>
          <w:color w:val="231F20"/>
          <w:spacing w:val="-11"/>
          <w:w w:val="110"/>
        </w:rPr>
        <w:t> </w:t>
      </w:r>
      <w:r>
        <w:rPr>
          <w:color w:val="231F20"/>
          <w:w w:val="110"/>
        </w:rPr>
        <w:t>no</w:t>
      </w:r>
      <w:r>
        <w:rPr>
          <w:color w:val="231F20"/>
          <w:spacing w:val="-11"/>
          <w:w w:val="110"/>
        </w:rPr>
        <w:t> </w:t>
      </w:r>
      <w:r>
        <w:rPr>
          <w:color w:val="231F20"/>
          <w:w w:val="110"/>
        </w:rPr>
        <w:t>necesariamente</w:t>
      </w:r>
      <w:r>
        <w:rPr>
          <w:color w:val="231F20"/>
          <w:spacing w:val="-11"/>
          <w:w w:val="110"/>
        </w:rPr>
        <w:t> </w:t>
      </w:r>
      <w:r>
        <w:rPr>
          <w:color w:val="231F20"/>
          <w:w w:val="110"/>
        </w:rPr>
        <w:t>significa</w:t>
      </w:r>
      <w:r>
        <w:rPr>
          <w:color w:val="231F20"/>
          <w:spacing w:val="-11"/>
          <w:w w:val="110"/>
        </w:rPr>
        <w:t> </w:t>
      </w:r>
      <w:r>
        <w:rPr>
          <w:color w:val="231F20"/>
          <w:w w:val="110"/>
        </w:rPr>
        <w:t>el</w:t>
      </w:r>
      <w:r>
        <w:rPr>
          <w:color w:val="231F20"/>
          <w:spacing w:val="-11"/>
          <w:w w:val="110"/>
        </w:rPr>
        <w:t> </w:t>
      </w:r>
      <w:r>
        <w:rPr>
          <w:color w:val="231F20"/>
          <w:w w:val="110"/>
        </w:rPr>
        <w:t>fin del</w:t>
      </w:r>
      <w:r>
        <w:rPr>
          <w:color w:val="231F20"/>
          <w:spacing w:val="-9"/>
          <w:w w:val="110"/>
        </w:rPr>
        <w:t> </w:t>
      </w:r>
      <w:r>
        <w:rPr>
          <w:color w:val="231F20"/>
          <w:w w:val="110"/>
        </w:rPr>
        <w:t>capitalismo</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mayor</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veces</w:t>
      </w:r>
      <w:r>
        <w:rPr>
          <w:color w:val="231F20"/>
          <w:spacing w:val="-9"/>
          <w:w w:val="110"/>
        </w:rPr>
        <w:t> </w:t>
      </w:r>
      <w:r>
        <w:rPr>
          <w:color w:val="231F20"/>
          <w:w w:val="110"/>
        </w:rPr>
        <w:t>la</w:t>
      </w:r>
      <w:r>
        <w:rPr>
          <w:color w:val="231F20"/>
          <w:spacing w:val="-9"/>
          <w:w w:val="110"/>
        </w:rPr>
        <w:t> </w:t>
      </w:r>
      <w:r>
        <w:rPr>
          <w:color w:val="231F20"/>
          <w:w w:val="110"/>
        </w:rPr>
        <w:t>solución</w:t>
      </w:r>
      <w:r>
        <w:rPr>
          <w:color w:val="231F20"/>
          <w:spacing w:val="-9"/>
          <w:w w:val="110"/>
        </w:rPr>
        <w:t> </w:t>
      </w:r>
      <w:r>
        <w:rPr>
          <w:color w:val="231F20"/>
          <w:w w:val="110"/>
        </w:rPr>
        <w:t>a</w:t>
      </w:r>
      <w:r>
        <w:rPr>
          <w:color w:val="231F20"/>
          <w:spacing w:val="-9"/>
          <w:w w:val="110"/>
        </w:rPr>
        <w:t> </w:t>
      </w:r>
      <w:r>
        <w:rPr>
          <w:color w:val="231F20"/>
          <w:w w:val="110"/>
        </w:rPr>
        <w:t>estas</w:t>
      </w:r>
      <w:r>
        <w:rPr>
          <w:color w:val="231F20"/>
          <w:spacing w:val="-9"/>
          <w:w w:val="110"/>
        </w:rPr>
        <w:t> </w:t>
      </w:r>
      <w:r>
        <w:rPr>
          <w:color w:val="231F20"/>
          <w:w w:val="110"/>
        </w:rPr>
        <w:t>crisis</w:t>
      </w:r>
    </w:p>
    <w:p>
      <w:pPr>
        <w:pStyle w:val="BodyText"/>
      </w:pPr>
    </w:p>
    <w:p>
      <w:pPr>
        <w:pStyle w:val="BodyText"/>
      </w:pPr>
    </w:p>
    <w:p>
      <w:pPr>
        <w:pStyle w:val="BodyText"/>
        <w:spacing w:before="3"/>
        <w:rPr>
          <w:sz w:val="19"/>
        </w:rPr>
      </w:pPr>
    </w:p>
    <w:p>
      <w:pPr>
        <w:spacing w:line="261" w:lineRule="auto" w:before="0"/>
        <w:ind w:left="100" w:right="117" w:firstLine="240"/>
        <w:jc w:val="both"/>
        <w:rPr>
          <w:sz w:val="16"/>
        </w:rPr>
      </w:pPr>
      <w:r>
        <w:rPr>
          <w:color w:val="231F20"/>
          <w:w w:val="110"/>
          <w:position w:val="5"/>
          <w:sz w:val="10"/>
        </w:rPr>
        <w:t>3 </w:t>
      </w:r>
      <w:r>
        <w:rPr>
          <w:color w:val="231F20"/>
          <w:w w:val="110"/>
          <w:sz w:val="16"/>
        </w:rPr>
        <w:t>Siendo el </w:t>
      </w:r>
      <w:r>
        <w:rPr>
          <w:i/>
          <w:color w:val="231F20"/>
          <w:w w:val="110"/>
          <w:sz w:val="16"/>
        </w:rPr>
        <w:t>modelo </w:t>
      </w:r>
      <w:r>
        <w:rPr>
          <w:color w:val="231F20"/>
          <w:w w:val="110"/>
          <w:sz w:val="16"/>
        </w:rPr>
        <w:t>la forma como un modo de producción realiza concretamente su proceso de desarrollo, la </w:t>
      </w:r>
      <w:r>
        <w:rPr>
          <w:i/>
          <w:color w:val="231F20"/>
          <w:w w:val="110"/>
          <w:sz w:val="16"/>
        </w:rPr>
        <w:t>modalidad </w:t>
      </w:r>
      <w:r>
        <w:rPr>
          <w:color w:val="231F20"/>
          <w:w w:val="110"/>
          <w:sz w:val="16"/>
        </w:rPr>
        <w:t>supone una diferenciación dentro del propio modelo,</w:t>
      </w:r>
      <w:r>
        <w:rPr>
          <w:color w:val="231F20"/>
          <w:spacing w:val="-8"/>
          <w:w w:val="110"/>
          <w:sz w:val="16"/>
        </w:rPr>
        <w:t> </w:t>
      </w:r>
      <w:r>
        <w:rPr>
          <w:color w:val="231F20"/>
          <w:w w:val="110"/>
          <w:sz w:val="16"/>
        </w:rPr>
        <w:t>que</w:t>
      </w:r>
      <w:r>
        <w:rPr>
          <w:color w:val="231F20"/>
          <w:spacing w:val="-8"/>
          <w:w w:val="110"/>
          <w:sz w:val="16"/>
        </w:rPr>
        <w:t> </w:t>
      </w:r>
      <w:r>
        <w:rPr>
          <w:color w:val="231F20"/>
          <w:w w:val="110"/>
          <w:sz w:val="16"/>
        </w:rPr>
        <w:t>se</w:t>
      </w:r>
      <w:r>
        <w:rPr>
          <w:color w:val="231F20"/>
          <w:spacing w:val="-8"/>
          <w:w w:val="110"/>
          <w:sz w:val="16"/>
        </w:rPr>
        <w:t> </w:t>
      </w:r>
      <w:r>
        <w:rPr>
          <w:color w:val="231F20"/>
          <w:w w:val="110"/>
          <w:sz w:val="16"/>
        </w:rPr>
        <w:t>define</w:t>
      </w:r>
      <w:r>
        <w:rPr>
          <w:color w:val="231F20"/>
          <w:spacing w:val="-8"/>
          <w:w w:val="110"/>
          <w:sz w:val="16"/>
        </w:rPr>
        <w:t> </w:t>
      </w:r>
      <w:r>
        <w:rPr>
          <w:color w:val="231F20"/>
          <w:w w:val="110"/>
          <w:sz w:val="16"/>
        </w:rPr>
        <w:t>por</w:t>
      </w:r>
      <w:r>
        <w:rPr>
          <w:color w:val="231F20"/>
          <w:spacing w:val="-8"/>
          <w:w w:val="110"/>
          <w:sz w:val="16"/>
        </w:rPr>
        <w:t> </w:t>
      </w:r>
      <w:r>
        <w:rPr>
          <w:color w:val="231F20"/>
          <w:w w:val="110"/>
          <w:sz w:val="16"/>
        </w:rPr>
        <w:t>las</w:t>
      </w:r>
      <w:r>
        <w:rPr>
          <w:color w:val="231F20"/>
          <w:spacing w:val="-8"/>
          <w:w w:val="110"/>
          <w:sz w:val="16"/>
        </w:rPr>
        <w:t> </w:t>
      </w:r>
      <w:r>
        <w:rPr>
          <w:color w:val="231F20"/>
          <w:w w:val="110"/>
          <w:sz w:val="16"/>
        </w:rPr>
        <w:t>peculiaridades</w:t>
      </w:r>
      <w:r>
        <w:rPr>
          <w:color w:val="231F20"/>
          <w:spacing w:val="-8"/>
          <w:w w:val="110"/>
          <w:sz w:val="16"/>
        </w:rPr>
        <w:t> </w:t>
      </w:r>
      <w:r>
        <w:rPr>
          <w:color w:val="231F20"/>
          <w:w w:val="110"/>
          <w:sz w:val="16"/>
        </w:rPr>
        <w:t>específicas</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formación</w:t>
      </w:r>
      <w:r>
        <w:rPr>
          <w:color w:val="231F20"/>
          <w:spacing w:val="-8"/>
          <w:w w:val="110"/>
          <w:sz w:val="16"/>
        </w:rPr>
        <w:t> </w:t>
      </w:r>
      <w:r>
        <w:rPr>
          <w:color w:val="231F20"/>
          <w:w w:val="110"/>
          <w:sz w:val="16"/>
        </w:rPr>
        <w:t>social</w:t>
      </w:r>
      <w:r>
        <w:rPr>
          <w:color w:val="231F20"/>
          <w:spacing w:val="-8"/>
          <w:w w:val="110"/>
          <w:sz w:val="16"/>
        </w:rPr>
        <w:t> </w:t>
      </w:r>
      <w:r>
        <w:rPr>
          <w:color w:val="231F20"/>
          <w:w w:val="110"/>
          <w:sz w:val="16"/>
        </w:rPr>
        <w:t>sin</w:t>
      </w:r>
      <w:r>
        <w:rPr>
          <w:color w:val="231F20"/>
          <w:spacing w:val="-8"/>
          <w:w w:val="110"/>
          <w:sz w:val="16"/>
        </w:rPr>
        <w:t> </w:t>
      </w:r>
      <w:r>
        <w:rPr>
          <w:color w:val="231F20"/>
          <w:w w:val="110"/>
          <w:sz w:val="16"/>
        </w:rPr>
        <w:t>que se lleguen a modificar las características esenciales del</w:t>
      </w:r>
      <w:r>
        <w:rPr>
          <w:color w:val="231F20"/>
          <w:spacing w:val="-11"/>
          <w:w w:val="110"/>
          <w:sz w:val="16"/>
        </w:rPr>
        <w:t> </w:t>
      </w:r>
      <w:r>
        <w:rPr>
          <w:color w:val="231F20"/>
          <w:w w:val="110"/>
          <w:sz w:val="16"/>
        </w:rPr>
        <w:t>modelo.</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10"/>
        </w:rPr>
        <w:t>transcurre como un conflicto de interés entre las distintas fracciones de la burguesía.</w:t>
      </w:r>
    </w:p>
    <w:p>
      <w:pPr>
        <w:pStyle w:val="BodyText"/>
        <w:spacing w:line="261" w:lineRule="auto"/>
        <w:ind w:left="100" w:right="117" w:firstLine="240"/>
        <w:jc w:val="both"/>
      </w:pPr>
      <w:r>
        <w:rPr>
          <w:color w:val="231F20"/>
          <w:w w:val="110"/>
        </w:rPr>
        <w:t>De acuerdo con la experiencia histórica, la superación de la crisis estructural marca el fin de una modalidad del capitalismo y el inicio de otra donde se armonizan el desarrollo de las fuerzas productivas con las relaciones sociales de producción (nuevas formas de propie- dad</w:t>
      </w:r>
      <w:r>
        <w:rPr>
          <w:color w:val="231F20"/>
          <w:spacing w:val="-11"/>
          <w:w w:val="110"/>
        </w:rPr>
        <w:t> </w:t>
      </w:r>
      <w:r>
        <w:rPr>
          <w:color w:val="231F20"/>
          <w:w w:val="110"/>
        </w:rPr>
        <w:t>y</w:t>
      </w:r>
      <w:r>
        <w:rPr>
          <w:color w:val="231F20"/>
          <w:spacing w:val="-11"/>
          <w:w w:val="110"/>
        </w:rPr>
        <w:t> </w:t>
      </w:r>
      <w:r>
        <w:rPr>
          <w:color w:val="231F20"/>
          <w:w w:val="110"/>
        </w:rPr>
        <w:t>organización</w:t>
      </w:r>
      <w:r>
        <w:rPr>
          <w:color w:val="231F20"/>
          <w:spacing w:val="-11"/>
          <w:w w:val="110"/>
        </w:rPr>
        <w:t> </w:t>
      </w:r>
      <w:r>
        <w:rPr>
          <w:color w:val="231F20"/>
          <w:w w:val="110"/>
        </w:rPr>
        <w:t>industrial,</w:t>
      </w:r>
      <w:r>
        <w:rPr>
          <w:color w:val="231F20"/>
          <w:spacing w:val="-11"/>
          <w:w w:val="110"/>
        </w:rPr>
        <w:t> </w:t>
      </w:r>
      <w:r>
        <w:rPr>
          <w:color w:val="231F20"/>
          <w:w w:val="110"/>
        </w:rPr>
        <w:t>cambios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papel</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los ejes determinantes de las decisiones económicas,</w:t>
      </w:r>
      <w:r>
        <w:rPr>
          <w:color w:val="231F20"/>
          <w:spacing w:val="42"/>
          <w:w w:val="110"/>
        </w:rPr>
        <w:t> </w:t>
      </w:r>
      <w:r>
        <w:rPr>
          <w:color w:val="231F20"/>
          <w:w w:val="110"/>
        </w:rPr>
        <w:t>etcétera).</w:t>
      </w:r>
    </w:p>
    <w:p>
      <w:pPr>
        <w:pStyle w:val="BodyText"/>
        <w:spacing w:line="261" w:lineRule="auto"/>
        <w:ind w:left="100" w:right="117" w:firstLine="240"/>
        <w:jc w:val="both"/>
      </w:pPr>
      <w:r>
        <w:rPr>
          <w:color w:val="231F20"/>
          <w:w w:val="110"/>
        </w:rPr>
        <w:t>Por su parte, las crisis de sobreproducción se ubican en la fase más profunda del ciclo económico y son antecedidas por la recesión y sucedidas por la reactivación del proceso de acumulación, sin que necesariamente se modifique la modalidad capitalista vigente.</w:t>
      </w:r>
    </w:p>
    <w:p>
      <w:pPr>
        <w:pStyle w:val="BodyText"/>
        <w:spacing w:line="261" w:lineRule="auto"/>
        <w:ind w:left="100" w:right="115" w:firstLine="240"/>
        <w:jc w:val="both"/>
      </w:pPr>
      <w:r>
        <w:rPr>
          <w:color w:val="231F20"/>
          <w:w w:val="110"/>
        </w:rPr>
        <w:t>El origen de estas crisis se encuentra en la contradicción funda- mental del capitalismo, es decir, en la contradicción existente entre el carácter social de la producción y su apropiación privada, condi- ción que genera una creciente desproporción entre el volumen de producción y la debilidad del consumo, cuyo aumento es siempre relativamente inferior al incremento de la producción. En palabras de Marx, el origen de las crisis de sobreproducción se encuentra   en: “La contradicción entre las condiciones en que la plusvalía se produce y las condiciones en que se realiza” (Marx, 1867/1968, t. III:</w:t>
      </w:r>
      <w:r>
        <w:rPr>
          <w:color w:val="231F20"/>
          <w:spacing w:val="10"/>
          <w:w w:val="110"/>
        </w:rPr>
        <w:t> </w:t>
      </w:r>
      <w:r>
        <w:rPr>
          <w:color w:val="231F20"/>
          <w:w w:val="110"/>
        </w:rPr>
        <w:t>244).</w:t>
      </w:r>
    </w:p>
    <w:p>
      <w:pPr>
        <w:pStyle w:val="BodyText"/>
        <w:spacing w:line="261" w:lineRule="auto"/>
        <w:ind w:left="100" w:right="117" w:firstLine="240"/>
        <w:jc w:val="both"/>
      </w:pPr>
      <w:r>
        <w:rPr>
          <w:color w:val="231F20"/>
          <w:w w:val="110"/>
        </w:rPr>
        <w:t>Esta contradicción, significa que la competencia entre</w:t>
      </w:r>
      <w:r>
        <w:rPr>
          <w:color w:val="231F20"/>
          <w:spacing w:val="-20"/>
          <w:w w:val="110"/>
        </w:rPr>
        <w:t> </w:t>
      </w:r>
      <w:r>
        <w:rPr>
          <w:color w:val="231F20"/>
          <w:w w:val="110"/>
        </w:rPr>
        <w:t>capitalistas los obliga a impulsar el crecimiento de la producción con enorme rapidez</w:t>
      </w:r>
      <w:r>
        <w:rPr>
          <w:color w:val="231F20"/>
          <w:spacing w:val="-24"/>
          <w:w w:val="110"/>
        </w:rPr>
        <w:t> </w:t>
      </w:r>
      <w:r>
        <w:rPr>
          <w:color w:val="231F20"/>
          <w:w w:val="110"/>
        </w:rPr>
        <w:t>y</w:t>
      </w:r>
      <w:r>
        <w:rPr>
          <w:color w:val="231F20"/>
          <w:spacing w:val="-24"/>
          <w:w w:val="110"/>
        </w:rPr>
        <w:t> </w:t>
      </w:r>
      <w:r>
        <w:rPr>
          <w:color w:val="231F20"/>
          <w:w w:val="110"/>
        </w:rPr>
        <w:t>en</w:t>
      </w:r>
      <w:r>
        <w:rPr>
          <w:color w:val="231F20"/>
          <w:spacing w:val="-24"/>
          <w:w w:val="110"/>
        </w:rPr>
        <w:t> </w:t>
      </w:r>
      <w:r>
        <w:rPr>
          <w:color w:val="231F20"/>
          <w:w w:val="110"/>
        </w:rPr>
        <w:t>volúmenes</w:t>
      </w:r>
      <w:r>
        <w:rPr>
          <w:color w:val="231F20"/>
          <w:spacing w:val="-24"/>
          <w:w w:val="110"/>
        </w:rPr>
        <w:t> </w:t>
      </w:r>
      <w:r>
        <w:rPr>
          <w:color w:val="231F20"/>
          <w:w w:val="110"/>
        </w:rPr>
        <w:t>crecientes.</w:t>
      </w:r>
      <w:r>
        <w:rPr>
          <w:color w:val="231F20"/>
          <w:spacing w:val="-24"/>
          <w:w w:val="110"/>
        </w:rPr>
        <w:t> </w:t>
      </w:r>
      <w:r>
        <w:rPr>
          <w:color w:val="231F20"/>
          <w:w w:val="110"/>
        </w:rPr>
        <w:t>Asimismo,</w:t>
      </w:r>
      <w:r>
        <w:rPr>
          <w:color w:val="231F20"/>
          <w:spacing w:val="-24"/>
          <w:w w:val="110"/>
        </w:rPr>
        <w:t> </w:t>
      </w:r>
      <w:r>
        <w:rPr>
          <w:color w:val="231F20"/>
          <w:w w:val="110"/>
        </w:rPr>
        <w:t>la</w:t>
      </w:r>
      <w:r>
        <w:rPr>
          <w:color w:val="231F20"/>
          <w:spacing w:val="-24"/>
          <w:w w:val="110"/>
        </w:rPr>
        <w:t> </w:t>
      </w:r>
      <w:r>
        <w:rPr>
          <w:color w:val="231F20"/>
          <w:w w:val="110"/>
        </w:rPr>
        <w:t>búsqueda</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máxi- ma ganancia impulsa a los capitalistas a perfeccionar</w:t>
      </w:r>
      <w:r>
        <w:rPr>
          <w:color w:val="231F20"/>
          <w:spacing w:val="-15"/>
          <w:w w:val="110"/>
        </w:rPr>
        <w:t> </w:t>
      </w:r>
      <w:r>
        <w:rPr>
          <w:color w:val="231F20"/>
          <w:w w:val="110"/>
        </w:rPr>
        <w:t>continuamente la</w:t>
      </w:r>
      <w:r>
        <w:rPr>
          <w:color w:val="231F20"/>
          <w:spacing w:val="-4"/>
          <w:w w:val="110"/>
        </w:rPr>
        <w:t> </w:t>
      </w:r>
      <w:r>
        <w:rPr>
          <w:color w:val="231F20"/>
          <w:w w:val="110"/>
        </w:rPr>
        <w:t>técnica</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tecnología</w:t>
      </w:r>
      <w:r>
        <w:rPr>
          <w:color w:val="231F20"/>
          <w:spacing w:val="-4"/>
          <w:w w:val="110"/>
        </w:rPr>
        <w:t> </w:t>
      </w:r>
      <w:r>
        <w:rPr>
          <w:color w:val="231F20"/>
          <w:w w:val="110"/>
        </w:rPr>
        <w:t>aplicadas</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producción</w:t>
      </w:r>
      <w:r>
        <w:rPr>
          <w:color w:val="231F20"/>
          <w:spacing w:val="-4"/>
          <w:w w:val="110"/>
        </w:rPr>
        <w:t> </w:t>
      </w:r>
      <w:r>
        <w:rPr>
          <w:color w:val="231F20"/>
          <w:w w:val="110"/>
        </w:rPr>
        <w:t>dado</w:t>
      </w:r>
      <w:r>
        <w:rPr>
          <w:color w:val="231F20"/>
          <w:spacing w:val="-4"/>
          <w:w w:val="110"/>
        </w:rPr>
        <w:t> </w:t>
      </w:r>
      <w:r>
        <w:rPr>
          <w:color w:val="231F20"/>
          <w:w w:val="110"/>
        </w:rPr>
        <w:t>que</w:t>
      </w:r>
      <w:r>
        <w:rPr>
          <w:color w:val="231F20"/>
          <w:spacing w:val="-4"/>
          <w:w w:val="110"/>
        </w:rPr>
        <w:t> </w:t>
      </w:r>
      <w:r>
        <w:rPr>
          <w:color w:val="231F20"/>
          <w:w w:val="110"/>
        </w:rPr>
        <w:t>esto</w:t>
      </w:r>
      <w:r>
        <w:rPr>
          <w:color w:val="231F20"/>
          <w:spacing w:val="-4"/>
          <w:w w:val="110"/>
        </w:rPr>
        <w:t> </w:t>
      </w:r>
      <w:r>
        <w:rPr>
          <w:color w:val="231F20"/>
          <w:w w:val="110"/>
        </w:rPr>
        <w:t>les permite aumentar el monto producido </w:t>
      </w:r>
      <w:r>
        <w:rPr>
          <w:color w:val="231F20"/>
          <w:spacing w:val="-8"/>
          <w:w w:val="110"/>
        </w:rPr>
        <w:t>y, </w:t>
      </w:r>
      <w:r>
        <w:rPr>
          <w:color w:val="231F20"/>
          <w:w w:val="110"/>
        </w:rPr>
        <w:t>al mismo tiempo,</w:t>
      </w:r>
      <w:r>
        <w:rPr>
          <w:color w:val="231F20"/>
          <w:spacing w:val="-9"/>
          <w:w w:val="110"/>
        </w:rPr>
        <w:t> </w:t>
      </w:r>
      <w:r>
        <w:rPr>
          <w:color w:val="231F20"/>
          <w:w w:val="110"/>
        </w:rPr>
        <w:t>disminuir el valor por unidad producida, elevándose así la masa de plusvalía creada en el proceso de producción y de la que se apropia el dueño de los medios de producción y comprador de fuerza de  </w:t>
      </w:r>
      <w:r>
        <w:rPr>
          <w:color w:val="231F20"/>
          <w:spacing w:val="7"/>
          <w:w w:val="110"/>
        </w:rPr>
        <w:t> </w:t>
      </w:r>
      <w:r>
        <w:rPr>
          <w:color w:val="231F20"/>
          <w:w w:val="110"/>
        </w:rPr>
        <w:t>trabajo.</w:t>
      </w:r>
    </w:p>
    <w:p>
      <w:pPr>
        <w:pStyle w:val="BodyText"/>
        <w:spacing w:line="261" w:lineRule="auto"/>
        <w:ind w:left="100" w:right="115" w:firstLine="240"/>
        <w:jc w:val="both"/>
      </w:pPr>
      <w:r>
        <w:rPr>
          <w:color w:val="231F20"/>
          <w:w w:val="110"/>
        </w:rPr>
        <w:t>En cambio, el consumo personal crece débilmente o, para decirlo mejor, relativamente más lento que la magnitud y velocidad de la producción; así, en un momento determinado: “El crecimiento de   la producción choca con la estrecha base del consumo popular. </w:t>
      </w:r>
      <w:r>
        <w:rPr>
          <w:color w:val="231F20"/>
          <w:spacing w:val="2"/>
          <w:w w:val="110"/>
        </w:rPr>
        <w:t>Las </w:t>
      </w:r>
      <w:r>
        <w:rPr>
          <w:color w:val="231F20"/>
          <w:w w:val="110"/>
        </w:rPr>
        <w:t>mercancías producidas no encuentran salida, se dificulta la reali- zación del producto social. Se reduce la producción y sobreviene    la crisis económica de superproducción” (Rumiántsev, 1985: 446 y 447).</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05"/>
        </w:rPr>
        <w:t>Esta desproporción genera una sobreproducción relativa de mer- cancías cuyo valor no se realiza; crecen entonces los inventarios, esto es, aumenta el valor producido y no realizado; las acciones bursátiles pierden sustento y se produce el </w:t>
      </w:r>
      <w:r>
        <w:rPr>
          <w:i/>
          <w:color w:val="231F20"/>
          <w:w w:val="105"/>
        </w:rPr>
        <w:t>crack </w:t>
      </w:r>
      <w:r>
        <w:rPr>
          <w:color w:val="231F20"/>
          <w:w w:val="105"/>
        </w:rPr>
        <w:t>en las bolsas de valores; las em- presas reducen su producción; aumentan el desempleo y la pobreza; disminuye el consumo personal y productivo llevando a la ruina a  miles de pequeñas y medianas empresas, precisamente aquellas que proporcionan  el  mayor </w:t>
      </w:r>
      <w:r>
        <w:rPr>
          <w:color w:val="231F20"/>
          <w:spacing w:val="21"/>
          <w:w w:val="105"/>
        </w:rPr>
        <w:t> </w:t>
      </w:r>
      <w:r>
        <w:rPr>
          <w:color w:val="231F20"/>
          <w:w w:val="105"/>
        </w:rPr>
        <w:t>empleo.</w:t>
      </w:r>
    </w:p>
    <w:p>
      <w:pPr>
        <w:pStyle w:val="BodyText"/>
        <w:spacing w:line="261" w:lineRule="auto"/>
        <w:ind w:left="100" w:right="115" w:firstLine="240"/>
        <w:jc w:val="both"/>
      </w:pPr>
      <w:r>
        <w:rPr>
          <w:color w:val="231F20"/>
          <w:w w:val="110"/>
        </w:rPr>
        <w:t>Por sí mismas, cada una de estas crisis —las estructurales y las cíclicas</w:t>
      </w:r>
      <w:r>
        <w:rPr>
          <w:color w:val="231F20"/>
          <w:spacing w:val="-5"/>
          <w:w w:val="110"/>
        </w:rPr>
        <w:t> </w:t>
      </w:r>
      <w:r>
        <w:rPr>
          <w:color w:val="231F20"/>
          <w:w w:val="110"/>
        </w:rPr>
        <w:t>de</w:t>
      </w:r>
      <w:r>
        <w:rPr>
          <w:color w:val="231F20"/>
          <w:spacing w:val="-5"/>
          <w:w w:val="110"/>
        </w:rPr>
        <w:t> </w:t>
      </w:r>
      <w:r>
        <w:rPr>
          <w:color w:val="231F20"/>
          <w:w w:val="110"/>
        </w:rPr>
        <w:t>sobreproducción—</w:t>
      </w:r>
      <w:r>
        <w:rPr>
          <w:color w:val="231F20"/>
          <w:spacing w:val="-5"/>
          <w:w w:val="110"/>
        </w:rPr>
        <w:t> </w:t>
      </w:r>
      <w:r>
        <w:rPr>
          <w:color w:val="231F20"/>
          <w:w w:val="110"/>
        </w:rPr>
        <w:t>tienen</w:t>
      </w:r>
      <w:r>
        <w:rPr>
          <w:color w:val="231F20"/>
          <w:spacing w:val="-5"/>
          <w:w w:val="110"/>
        </w:rPr>
        <w:t> </w:t>
      </w:r>
      <w:r>
        <w:rPr>
          <w:color w:val="231F20"/>
          <w:w w:val="110"/>
        </w:rPr>
        <w:t>una</w:t>
      </w:r>
      <w:r>
        <w:rPr>
          <w:color w:val="231F20"/>
          <w:spacing w:val="-5"/>
          <w:w w:val="110"/>
        </w:rPr>
        <w:t> </w:t>
      </w:r>
      <w:r>
        <w:rPr>
          <w:color w:val="231F20"/>
          <w:w w:val="110"/>
        </w:rPr>
        <w:t>virulencia</w:t>
      </w:r>
      <w:r>
        <w:rPr>
          <w:color w:val="231F20"/>
          <w:spacing w:val="-5"/>
          <w:w w:val="110"/>
        </w:rPr>
        <w:t> </w:t>
      </w:r>
      <w:r>
        <w:rPr>
          <w:color w:val="231F20"/>
          <w:w w:val="110"/>
        </w:rPr>
        <w:t>de</w:t>
      </w:r>
      <w:r>
        <w:rPr>
          <w:color w:val="231F20"/>
          <w:spacing w:val="-5"/>
          <w:w w:val="110"/>
        </w:rPr>
        <w:t> </w:t>
      </w:r>
      <w:r>
        <w:rPr>
          <w:color w:val="231F20"/>
          <w:w w:val="110"/>
        </w:rPr>
        <w:t>distinta</w:t>
      </w:r>
      <w:r>
        <w:rPr>
          <w:color w:val="231F20"/>
          <w:spacing w:val="-5"/>
          <w:w w:val="110"/>
        </w:rPr>
        <w:t> </w:t>
      </w:r>
      <w:r>
        <w:rPr>
          <w:color w:val="231F20"/>
          <w:w w:val="110"/>
        </w:rPr>
        <w:t>mag- nitud e intensidad pero ambas son siempre destructivas; ahora bien, su coincidencia temporal trae otros problemas pues la superación  de la fase crítica del ciclo es preciso hacerla bajo una modalidad de acumulación distinta a la que entró en </w:t>
      </w:r>
      <w:r>
        <w:rPr>
          <w:color w:val="231F20"/>
          <w:spacing w:val="10"/>
          <w:w w:val="110"/>
        </w:rPr>
        <w:t> </w:t>
      </w:r>
      <w:r>
        <w:rPr>
          <w:color w:val="231F20"/>
          <w:w w:val="110"/>
        </w:rPr>
        <w:t>crisis.</w:t>
      </w:r>
    </w:p>
    <w:p>
      <w:pPr>
        <w:pStyle w:val="BodyText"/>
        <w:spacing w:line="261" w:lineRule="auto"/>
        <w:ind w:left="100" w:right="117" w:firstLine="240"/>
        <w:jc w:val="both"/>
      </w:pPr>
      <w:r>
        <w:rPr>
          <w:color w:val="231F20"/>
          <w:w w:val="110"/>
        </w:rPr>
        <w:t>En la situación actual, el capitalismo tiene el problema de resol- ver la crisis de sobreproducción y sobreacumulación mundial y, al mismo tiempo, dejar atrás la modalidad neoliberal de acumulación. De esta coincidencia derivan las dificultades por las que atraviesa el capitalismo mundial.</w:t>
      </w:r>
    </w:p>
    <w:p>
      <w:pPr>
        <w:pStyle w:val="BodyText"/>
      </w:pPr>
    </w:p>
    <w:p>
      <w:pPr>
        <w:pStyle w:val="BodyText"/>
      </w:pPr>
    </w:p>
    <w:p>
      <w:pPr>
        <w:pStyle w:val="BodyText"/>
        <w:spacing w:before="2"/>
        <w:rPr>
          <w:sz w:val="25"/>
        </w:rPr>
      </w:pPr>
    </w:p>
    <w:p>
      <w:pPr>
        <w:pStyle w:val="BodyText"/>
        <w:ind w:left="100"/>
        <w:jc w:val="both"/>
      </w:pPr>
      <w:r>
        <w:rPr>
          <w:color w:val="231F20"/>
          <w:w w:val="130"/>
        </w:rPr>
        <w:t>de la recesión a la crisis</w:t>
      </w:r>
    </w:p>
    <w:p>
      <w:pPr>
        <w:pStyle w:val="BodyText"/>
        <w:spacing w:before="5"/>
        <w:rPr>
          <w:sz w:val="23"/>
        </w:rPr>
      </w:pPr>
    </w:p>
    <w:p>
      <w:pPr>
        <w:pStyle w:val="BodyText"/>
        <w:spacing w:line="261" w:lineRule="auto"/>
        <w:ind w:left="100" w:right="117"/>
        <w:jc w:val="both"/>
      </w:pPr>
      <w:r>
        <w:rPr>
          <w:color w:val="231F20"/>
          <w:w w:val="105"/>
        </w:rPr>
        <w:t>Durante algún tiempo se consideró a una economía en recesión cuan- do el producto interno bruto (pib) disminuía durante dos trimestres consecutivos. Con este criterio, a lo largo de 2008 la mayor parte de  las</w:t>
      </w:r>
      <w:r>
        <w:rPr>
          <w:color w:val="231F20"/>
          <w:spacing w:val="39"/>
          <w:w w:val="105"/>
        </w:rPr>
        <w:t> </w:t>
      </w:r>
      <w:r>
        <w:rPr>
          <w:color w:val="231F20"/>
          <w:w w:val="105"/>
        </w:rPr>
        <w:t>economías</w:t>
      </w:r>
      <w:r>
        <w:rPr>
          <w:color w:val="231F20"/>
          <w:spacing w:val="39"/>
          <w:w w:val="105"/>
        </w:rPr>
        <w:t> </w:t>
      </w:r>
      <w:r>
        <w:rPr>
          <w:color w:val="231F20"/>
          <w:w w:val="105"/>
        </w:rPr>
        <w:t>del</w:t>
      </w:r>
      <w:r>
        <w:rPr>
          <w:color w:val="231F20"/>
          <w:spacing w:val="39"/>
          <w:w w:val="105"/>
        </w:rPr>
        <w:t> </w:t>
      </w:r>
      <w:r>
        <w:rPr>
          <w:color w:val="231F20"/>
          <w:w w:val="105"/>
        </w:rPr>
        <w:t>mundo</w:t>
      </w:r>
      <w:r>
        <w:rPr>
          <w:color w:val="231F20"/>
          <w:spacing w:val="39"/>
          <w:w w:val="105"/>
        </w:rPr>
        <w:t> </w:t>
      </w:r>
      <w:r>
        <w:rPr>
          <w:color w:val="231F20"/>
          <w:w w:val="105"/>
        </w:rPr>
        <w:t>entraron</w:t>
      </w:r>
      <w:r>
        <w:rPr>
          <w:color w:val="231F20"/>
          <w:spacing w:val="39"/>
          <w:w w:val="105"/>
        </w:rPr>
        <w:t> </w:t>
      </w:r>
      <w:r>
        <w:rPr>
          <w:color w:val="231F20"/>
          <w:w w:val="105"/>
        </w:rPr>
        <w:t>a</w:t>
      </w:r>
      <w:r>
        <w:rPr>
          <w:color w:val="231F20"/>
          <w:spacing w:val="39"/>
          <w:w w:val="105"/>
        </w:rPr>
        <w:t> </w:t>
      </w:r>
      <w:r>
        <w:rPr>
          <w:color w:val="231F20"/>
          <w:w w:val="105"/>
        </w:rPr>
        <w:t>una</w:t>
      </w:r>
      <w:r>
        <w:rPr>
          <w:color w:val="231F20"/>
          <w:spacing w:val="39"/>
          <w:w w:val="105"/>
        </w:rPr>
        <w:t> </w:t>
      </w:r>
      <w:r>
        <w:rPr>
          <w:color w:val="231F20"/>
          <w:w w:val="105"/>
        </w:rPr>
        <w:t>situación</w:t>
      </w:r>
      <w:r>
        <w:rPr>
          <w:color w:val="231F20"/>
          <w:spacing w:val="39"/>
          <w:w w:val="105"/>
        </w:rPr>
        <w:t> </w:t>
      </w:r>
      <w:r>
        <w:rPr>
          <w:color w:val="231F20"/>
          <w:w w:val="105"/>
        </w:rPr>
        <w:t>recesiva.</w:t>
      </w:r>
    </w:p>
    <w:p>
      <w:pPr>
        <w:pStyle w:val="BodyText"/>
        <w:spacing w:line="261" w:lineRule="auto"/>
        <w:ind w:left="100" w:right="117" w:firstLine="240"/>
        <w:jc w:val="both"/>
      </w:pPr>
      <w:r>
        <w:rPr>
          <w:color w:val="231F20"/>
          <w:w w:val="110"/>
        </w:rPr>
        <w:t>Sin embargo, considerar la disminución del pib como el único criterio para hablar de recesión comenzó a ser insuficiente para ex- presar la compleja situación económica del mundo. De esta manera, en diciembre de 2008 el Comité de Ciclos de Negocios del Buró Nacional</w:t>
      </w:r>
      <w:r>
        <w:rPr>
          <w:color w:val="231F20"/>
          <w:spacing w:val="-14"/>
          <w:w w:val="110"/>
        </w:rPr>
        <w:t> </w:t>
      </w:r>
      <w:r>
        <w:rPr>
          <w:color w:val="231F20"/>
          <w:w w:val="110"/>
        </w:rPr>
        <w:t>de</w:t>
      </w:r>
      <w:r>
        <w:rPr>
          <w:color w:val="231F20"/>
          <w:spacing w:val="-14"/>
          <w:w w:val="110"/>
        </w:rPr>
        <w:t> </w:t>
      </w:r>
      <w:r>
        <w:rPr>
          <w:color w:val="231F20"/>
          <w:w w:val="110"/>
        </w:rPr>
        <w:t>Análisis</w:t>
      </w:r>
      <w:r>
        <w:rPr>
          <w:color w:val="231F20"/>
          <w:spacing w:val="-14"/>
          <w:w w:val="110"/>
        </w:rPr>
        <w:t> </w:t>
      </w:r>
      <w:r>
        <w:rPr>
          <w:color w:val="231F20"/>
          <w:w w:val="110"/>
        </w:rPr>
        <w:t>Económicos</w:t>
      </w:r>
      <w:r>
        <w:rPr>
          <w:color w:val="231F20"/>
          <w:spacing w:val="-14"/>
          <w:w w:val="110"/>
        </w:rPr>
        <w:t> </w:t>
      </w:r>
      <w:r>
        <w:rPr>
          <w:color w:val="231F20"/>
          <w:w w:val="110"/>
        </w:rPr>
        <w:t>(National</w:t>
      </w:r>
      <w:r>
        <w:rPr>
          <w:color w:val="231F20"/>
          <w:spacing w:val="-14"/>
          <w:w w:val="110"/>
        </w:rPr>
        <w:t> </w:t>
      </w:r>
      <w:r>
        <w:rPr>
          <w:color w:val="231F20"/>
          <w:w w:val="110"/>
        </w:rPr>
        <w:t>Bureau</w:t>
      </w:r>
      <w:r>
        <w:rPr>
          <w:color w:val="231F20"/>
          <w:spacing w:val="-14"/>
          <w:w w:val="110"/>
        </w:rPr>
        <w:t> </w:t>
      </w:r>
      <w:r>
        <w:rPr>
          <w:color w:val="231F20"/>
          <w:w w:val="110"/>
        </w:rPr>
        <w:t>of</w:t>
      </w:r>
      <w:r>
        <w:rPr>
          <w:color w:val="231F20"/>
          <w:spacing w:val="-14"/>
          <w:w w:val="110"/>
        </w:rPr>
        <w:t> </w:t>
      </w:r>
      <w:r>
        <w:rPr>
          <w:color w:val="231F20"/>
          <w:w w:val="110"/>
        </w:rPr>
        <w:t>Economic</w:t>
      </w:r>
      <w:r>
        <w:rPr>
          <w:color w:val="231F20"/>
          <w:spacing w:val="-14"/>
          <w:w w:val="110"/>
        </w:rPr>
        <w:t> </w:t>
      </w:r>
      <w:r>
        <w:rPr>
          <w:color w:val="231F20"/>
          <w:w w:val="110"/>
        </w:rPr>
        <w:t>Re- sarch), advirtió que el diagnóstico de la situación estadunidense sig- nificaba mucho más que una contracción económica </w:t>
      </w:r>
      <w:r>
        <w:rPr>
          <w:color w:val="231F20"/>
          <w:spacing w:val="-8"/>
          <w:w w:val="110"/>
        </w:rPr>
        <w:t>y, </w:t>
      </w:r>
      <w:r>
        <w:rPr>
          <w:color w:val="231F20"/>
          <w:w w:val="110"/>
        </w:rPr>
        <w:t>por lo tanto, no respondía ya a la clásica definición de recesión, que implica dos trimestres consecutivos de caída del pib, sino que es un índice más amplio</w:t>
      </w:r>
      <w:r>
        <w:rPr>
          <w:color w:val="231F20"/>
          <w:spacing w:val="-13"/>
          <w:w w:val="110"/>
        </w:rPr>
        <w:t> </w:t>
      </w:r>
      <w:r>
        <w:rPr>
          <w:color w:val="231F20"/>
          <w:w w:val="110"/>
        </w:rPr>
        <w:t>y</w:t>
      </w:r>
      <w:r>
        <w:rPr>
          <w:color w:val="231F20"/>
          <w:spacing w:val="-13"/>
          <w:w w:val="110"/>
        </w:rPr>
        <w:t> </w:t>
      </w:r>
      <w:r>
        <w:rPr>
          <w:color w:val="231F20"/>
          <w:w w:val="110"/>
        </w:rPr>
        <w:t>contempla</w:t>
      </w:r>
      <w:r>
        <w:rPr>
          <w:color w:val="231F20"/>
          <w:spacing w:val="-13"/>
          <w:w w:val="110"/>
        </w:rPr>
        <w:t> </w:t>
      </w:r>
      <w:r>
        <w:rPr>
          <w:color w:val="231F20"/>
          <w:w w:val="110"/>
        </w:rPr>
        <w:t>la</w:t>
      </w:r>
      <w:r>
        <w:rPr>
          <w:color w:val="231F20"/>
          <w:spacing w:val="-13"/>
          <w:w w:val="110"/>
        </w:rPr>
        <w:t> </w:t>
      </w:r>
      <w:r>
        <w:rPr>
          <w:color w:val="231F20"/>
          <w:w w:val="110"/>
        </w:rPr>
        <w:t>destrucción</w:t>
      </w:r>
      <w:r>
        <w:rPr>
          <w:color w:val="231F20"/>
          <w:spacing w:val="-13"/>
          <w:w w:val="110"/>
        </w:rPr>
        <w:t> </w:t>
      </w:r>
      <w:r>
        <w:rPr>
          <w:color w:val="231F20"/>
          <w:w w:val="110"/>
        </w:rPr>
        <w:t>de</w:t>
      </w:r>
      <w:r>
        <w:rPr>
          <w:color w:val="231F20"/>
          <w:spacing w:val="-13"/>
          <w:w w:val="110"/>
        </w:rPr>
        <w:t> </w:t>
      </w:r>
      <w:r>
        <w:rPr>
          <w:color w:val="231F20"/>
          <w:w w:val="110"/>
        </w:rPr>
        <w:t>empleos,</w:t>
      </w:r>
      <w:r>
        <w:rPr>
          <w:color w:val="231F20"/>
          <w:spacing w:val="-13"/>
          <w:w w:val="110"/>
        </w:rPr>
        <w:t> </w:t>
      </w:r>
      <w:r>
        <w:rPr>
          <w:color w:val="231F20"/>
          <w:w w:val="110"/>
        </w:rPr>
        <w:t>ingresos</w:t>
      </w:r>
      <w:r>
        <w:rPr>
          <w:color w:val="231F20"/>
          <w:spacing w:val="-13"/>
          <w:w w:val="110"/>
        </w:rPr>
        <w:t> </w:t>
      </w:r>
      <w:r>
        <w:rPr>
          <w:color w:val="231F20"/>
          <w:w w:val="110"/>
        </w:rPr>
        <w:t>y</w:t>
      </w:r>
      <w:r>
        <w:rPr>
          <w:color w:val="231F20"/>
          <w:spacing w:val="-13"/>
          <w:w w:val="110"/>
        </w:rPr>
        <w:t> </w:t>
      </w:r>
      <w:r>
        <w:rPr>
          <w:color w:val="231F20"/>
          <w:w w:val="110"/>
        </w:rPr>
        <w:t>pérdida</w:t>
      </w:r>
      <w:r>
        <w:rPr>
          <w:color w:val="231F20"/>
          <w:spacing w:val="-13"/>
          <w:w w:val="110"/>
        </w:rPr>
        <w:t> </w:t>
      </w:r>
      <w:r>
        <w:rPr>
          <w:color w:val="231F20"/>
          <w:w w:val="110"/>
        </w:rPr>
        <w:t>del poder</w:t>
      </w:r>
      <w:r>
        <w:rPr>
          <w:color w:val="231F20"/>
          <w:spacing w:val="-8"/>
          <w:w w:val="110"/>
        </w:rPr>
        <w:t> </w:t>
      </w:r>
      <w:r>
        <w:rPr>
          <w:color w:val="231F20"/>
          <w:w w:val="110"/>
        </w:rPr>
        <w:t>adquisitivo.</w:t>
      </w:r>
      <w:r>
        <w:rPr>
          <w:color w:val="231F20"/>
          <w:spacing w:val="-8"/>
          <w:w w:val="110"/>
        </w:rPr>
        <w:t> </w:t>
      </w:r>
      <w:r>
        <w:rPr>
          <w:color w:val="231F20"/>
          <w:w w:val="110"/>
        </w:rPr>
        <w:t>Precisamente</w:t>
      </w:r>
      <w:r>
        <w:rPr>
          <w:color w:val="231F20"/>
          <w:spacing w:val="-8"/>
          <w:w w:val="110"/>
        </w:rPr>
        <w:t> </w:t>
      </w:r>
      <w:r>
        <w:rPr>
          <w:color w:val="231F20"/>
          <w:w w:val="110"/>
        </w:rPr>
        <w:t>los</w:t>
      </w:r>
      <w:r>
        <w:rPr>
          <w:color w:val="231F20"/>
          <w:spacing w:val="-8"/>
          <w:w w:val="110"/>
        </w:rPr>
        <w:t> </w:t>
      </w:r>
      <w:r>
        <w:rPr>
          <w:color w:val="231F20"/>
          <w:w w:val="110"/>
        </w:rPr>
        <w:t>indicadores</w:t>
      </w:r>
      <w:r>
        <w:rPr>
          <w:color w:val="231F20"/>
          <w:spacing w:val="-8"/>
          <w:w w:val="110"/>
        </w:rPr>
        <w:t> </w:t>
      </w:r>
      <w:r>
        <w:rPr>
          <w:color w:val="231F20"/>
          <w:w w:val="110"/>
        </w:rPr>
        <w:t>laborales</w:t>
      </w:r>
      <w:r>
        <w:rPr>
          <w:color w:val="231F20"/>
          <w:spacing w:val="-8"/>
          <w:w w:val="110"/>
        </w:rPr>
        <w:t> </w:t>
      </w:r>
      <w:r>
        <w:rPr>
          <w:color w:val="231F20"/>
          <w:w w:val="110"/>
        </w:rPr>
        <w:t>en</w:t>
      </w:r>
      <w:r>
        <w:rPr>
          <w:color w:val="231F20"/>
          <w:spacing w:val="-8"/>
          <w:w w:val="110"/>
        </w:rPr>
        <w:t> </w:t>
      </w:r>
      <w:r>
        <w:rPr>
          <w:color w:val="231F20"/>
          <w:w w:val="110"/>
        </w:rPr>
        <w:t>Estados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rPr>
          <w:sz w:val="13"/>
        </w:rPr>
      </w:pPr>
      <w:r>
        <w:rPr>
          <w:color w:val="231F20"/>
          <w:w w:val="110"/>
        </w:rPr>
        <w:t>Unidos comenzaron, en diciembre de 2007, un deslizamiento men-</w:t>
      </w:r>
      <w:r>
        <w:rPr>
          <w:color w:val="231F20"/>
          <w:w w:val="72"/>
        </w:rPr>
        <w:t> </w:t>
      </w:r>
      <w:r>
        <w:rPr>
          <w:color w:val="231F20"/>
          <w:w w:val="110"/>
        </w:rPr>
        <w:t>sual que todavía no culmina” (Blanco, 2009; Tello 2009: 8).</w:t>
      </w:r>
      <w:r>
        <w:rPr>
          <w:color w:val="231F20"/>
          <w:w w:val="110"/>
          <w:position w:val="6"/>
          <w:sz w:val="13"/>
        </w:rPr>
        <w:t>4</w:t>
      </w:r>
    </w:p>
    <w:p>
      <w:pPr>
        <w:pStyle w:val="BodyText"/>
        <w:spacing w:line="261" w:lineRule="auto"/>
        <w:ind w:left="100" w:right="119" w:firstLine="240"/>
        <w:jc w:val="both"/>
      </w:pPr>
      <w:r>
        <w:rPr>
          <w:color w:val="231F20"/>
          <w:w w:val="110"/>
        </w:rPr>
        <w:t>Las primeras señales de la crisis ocurrieron en agosto de 2007, “cuando la economía estadunidense empezó a mostrar señales in- equívocas</w:t>
      </w:r>
      <w:r>
        <w:rPr>
          <w:color w:val="231F20"/>
          <w:spacing w:val="-10"/>
          <w:w w:val="110"/>
        </w:rPr>
        <w:t> </w:t>
      </w:r>
      <w:r>
        <w:rPr>
          <w:color w:val="231F20"/>
          <w:w w:val="110"/>
        </w:rPr>
        <w:t>de</w:t>
      </w:r>
      <w:r>
        <w:rPr>
          <w:color w:val="231F20"/>
          <w:spacing w:val="-10"/>
          <w:w w:val="110"/>
        </w:rPr>
        <w:t> </w:t>
      </w:r>
      <w:r>
        <w:rPr>
          <w:color w:val="231F20"/>
          <w:w w:val="110"/>
        </w:rPr>
        <w:t>que</w:t>
      </w:r>
      <w:r>
        <w:rPr>
          <w:color w:val="231F20"/>
          <w:spacing w:val="-10"/>
          <w:w w:val="110"/>
        </w:rPr>
        <w:t> </w:t>
      </w:r>
      <w:r>
        <w:rPr>
          <w:color w:val="231F20"/>
          <w:w w:val="110"/>
        </w:rPr>
        <w:t>su</w:t>
      </w:r>
      <w:r>
        <w:rPr>
          <w:color w:val="231F20"/>
          <w:spacing w:val="-10"/>
          <w:w w:val="110"/>
        </w:rPr>
        <w:t> </w:t>
      </w:r>
      <w:r>
        <w:rPr>
          <w:color w:val="231F20"/>
          <w:w w:val="110"/>
        </w:rPr>
        <w:t>ciclo</w:t>
      </w:r>
      <w:r>
        <w:rPr>
          <w:color w:val="231F20"/>
          <w:spacing w:val="-10"/>
          <w:w w:val="110"/>
        </w:rPr>
        <w:t> </w:t>
      </w:r>
      <w:r>
        <w:rPr>
          <w:color w:val="231F20"/>
          <w:w w:val="110"/>
        </w:rPr>
        <w:t>de</w:t>
      </w:r>
      <w:r>
        <w:rPr>
          <w:color w:val="231F20"/>
          <w:spacing w:val="-10"/>
          <w:w w:val="110"/>
        </w:rPr>
        <w:t> </w:t>
      </w:r>
      <w:r>
        <w:rPr>
          <w:color w:val="231F20"/>
          <w:w w:val="110"/>
        </w:rPr>
        <w:t>crecimiento</w:t>
      </w:r>
      <w:r>
        <w:rPr>
          <w:color w:val="231F20"/>
          <w:spacing w:val="-10"/>
          <w:w w:val="110"/>
        </w:rPr>
        <w:t> </w:t>
      </w:r>
      <w:r>
        <w:rPr>
          <w:color w:val="231F20"/>
          <w:w w:val="110"/>
        </w:rPr>
        <w:t>estaba</w:t>
      </w:r>
      <w:r>
        <w:rPr>
          <w:color w:val="231F20"/>
          <w:spacing w:val="-10"/>
          <w:w w:val="110"/>
        </w:rPr>
        <w:t> </w:t>
      </w:r>
      <w:r>
        <w:rPr>
          <w:color w:val="231F20"/>
          <w:w w:val="110"/>
        </w:rPr>
        <w:t>llegando</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fin”,</w:t>
      </w:r>
      <w:r>
        <w:rPr>
          <w:color w:val="231F20"/>
          <w:spacing w:val="-10"/>
          <w:w w:val="110"/>
        </w:rPr>
        <w:t> </w:t>
      </w:r>
      <w:r>
        <w:rPr>
          <w:color w:val="231F20"/>
          <w:w w:val="110"/>
        </w:rPr>
        <w:t>lo que en efecto ocurrió pues ese año el pib terminó creciendo apenas 1.9% (Delgado, 2009:</w:t>
      </w:r>
      <w:r>
        <w:rPr>
          <w:color w:val="231F20"/>
          <w:spacing w:val="-24"/>
          <w:w w:val="110"/>
        </w:rPr>
        <w:t> </w:t>
      </w:r>
      <w:r>
        <w:rPr>
          <w:color w:val="231F20"/>
          <w:w w:val="110"/>
        </w:rPr>
        <w:t>18).</w:t>
      </w:r>
    </w:p>
    <w:p>
      <w:pPr>
        <w:pStyle w:val="BodyText"/>
        <w:spacing w:line="261" w:lineRule="auto"/>
        <w:ind w:left="100" w:right="119" w:firstLine="240"/>
        <w:jc w:val="both"/>
      </w:pPr>
      <w:r>
        <w:rPr>
          <w:color w:val="231F20"/>
          <w:w w:val="110"/>
        </w:rPr>
        <w:t>Las</w:t>
      </w:r>
      <w:r>
        <w:rPr>
          <w:color w:val="231F20"/>
          <w:spacing w:val="-25"/>
          <w:w w:val="110"/>
        </w:rPr>
        <w:t> </w:t>
      </w:r>
      <w:r>
        <w:rPr>
          <w:color w:val="231F20"/>
          <w:w w:val="110"/>
        </w:rPr>
        <w:t>explicaciones</w:t>
      </w:r>
      <w:r>
        <w:rPr>
          <w:color w:val="231F20"/>
          <w:spacing w:val="-25"/>
          <w:w w:val="110"/>
        </w:rPr>
        <w:t> </w:t>
      </w:r>
      <w:r>
        <w:rPr>
          <w:color w:val="231F20"/>
          <w:w w:val="110"/>
        </w:rPr>
        <w:t>iniciales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crisis</w:t>
      </w:r>
      <w:r>
        <w:rPr>
          <w:color w:val="231F20"/>
          <w:spacing w:val="-25"/>
          <w:w w:val="110"/>
        </w:rPr>
        <w:t> </w:t>
      </w:r>
      <w:r>
        <w:rPr>
          <w:color w:val="231F20"/>
          <w:w w:val="110"/>
        </w:rPr>
        <w:t>provinieron</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economis- tas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metrópolis</w:t>
      </w:r>
      <w:r>
        <w:rPr>
          <w:color w:val="231F20"/>
          <w:spacing w:val="-8"/>
          <w:w w:val="110"/>
        </w:rPr>
        <w:t> </w:t>
      </w:r>
      <w:r>
        <w:rPr>
          <w:color w:val="231F20"/>
          <w:w w:val="110"/>
        </w:rPr>
        <w:t>del</w:t>
      </w:r>
      <w:r>
        <w:rPr>
          <w:color w:val="231F20"/>
          <w:spacing w:val="-8"/>
          <w:w w:val="110"/>
        </w:rPr>
        <w:t> </w:t>
      </w:r>
      <w:r>
        <w:rPr>
          <w:color w:val="231F20"/>
          <w:w w:val="110"/>
        </w:rPr>
        <w:t>capitalismo,</w:t>
      </w:r>
      <w:r>
        <w:rPr>
          <w:color w:val="231F20"/>
          <w:spacing w:val="-8"/>
          <w:w w:val="110"/>
        </w:rPr>
        <w:t> </w:t>
      </w:r>
      <w:r>
        <w:rPr>
          <w:color w:val="231F20"/>
          <w:w w:val="110"/>
        </w:rPr>
        <w:t>quienes</w:t>
      </w:r>
      <w:r>
        <w:rPr>
          <w:color w:val="231F20"/>
          <w:spacing w:val="-8"/>
          <w:w w:val="110"/>
        </w:rPr>
        <w:t> </w:t>
      </w:r>
      <w:r>
        <w:rPr>
          <w:color w:val="231F20"/>
          <w:w w:val="110"/>
        </w:rPr>
        <w:t>reconocían</w:t>
      </w:r>
      <w:r>
        <w:rPr>
          <w:color w:val="231F20"/>
          <w:spacing w:val="-8"/>
          <w:w w:val="110"/>
        </w:rPr>
        <w:t> </w:t>
      </w:r>
      <w:r>
        <w:rPr>
          <w:color w:val="231F20"/>
          <w:w w:val="110"/>
        </w:rPr>
        <w:t>su</w:t>
      </w:r>
      <w:r>
        <w:rPr>
          <w:color w:val="231F20"/>
          <w:spacing w:val="-8"/>
          <w:w w:val="110"/>
        </w:rPr>
        <w:t> </w:t>
      </w:r>
      <w:r>
        <w:rPr>
          <w:color w:val="231F20"/>
          <w:w w:val="110"/>
        </w:rPr>
        <w:t>inicio</w:t>
      </w:r>
      <w:r>
        <w:rPr>
          <w:color w:val="231F20"/>
          <w:spacing w:val="-8"/>
          <w:w w:val="110"/>
        </w:rPr>
        <w:t> </w:t>
      </w:r>
      <w:r>
        <w:rPr>
          <w:color w:val="231F20"/>
          <w:w w:val="110"/>
        </w:rPr>
        <w:t>en el</w:t>
      </w:r>
      <w:r>
        <w:rPr>
          <w:color w:val="231F20"/>
          <w:spacing w:val="-5"/>
          <w:w w:val="110"/>
        </w:rPr>
        <w:t> </w:t>
      </w:r>
      <w:r>
        <w:rPr>
          <w:color w:val="231F20"/>
          <w:w w:val="110"/>
        </w:rPr>
        <w:t>surgimiento</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“burbuja</w:t>
      </w:r>
      <w:r>
        <w:rPr>
          <w:color w:val="231F20"/>
          <w:spacing w:val="-5"/>
          <w:w w:val="110"/>
        </w:rPr>
        <w:t> </w:t>
      </w:r>
      <w:r>
        <w:rPr>
          <w:color w:val="231F20"/>
          <w:w w:val="110"/>
        </w:rPr>
        <w:t>financiera”,</w:t>
      </w:r>
      <w:r>
        <w:rPr>
          <w:color w:val="231F20"/>
          <w:spacing w:val="-5"/>
          <w:w w:val="110"/>
        </w:rPr>
        <w:t> </w:t>
      </w:r>
      <w:r>
        <w:rPr>
          <w:color w:val="231F20"/>
          <w:w w:val="110"/>
        </w:rPr>
        <w:t>cuya</w:t>
      </w:r>
      <w:r>
        <w:rPr>
          <w:color w:val="231F20"/>
          <w:spacing w:val="-5"/>
          <w:w w:val="110"/>
        </w:rPr>
        <w:t> </w:t>
      </w:r>
      <w:r>
        <w:rPr>
          <w:color w:val="231F20"/>
          <w:w w:val="110"/>
        </w:rPr>
        <w:t>aparición</w:t>
      </w:r>
      <w:r>
        <w:rPr>
          <w:color w:val="231F20"/>
          <w:spacing w:val="-5"/>
          <w:w w:val="110"/>
        </w:rPr>
        <w:t> </w:t>
      </w:r>
      <w:r>
        <w:rPr>
          <w:color w:val="231F20"/>
          <w:w w:val="110"/>
        </w:rPr>
        <w:t>se</w:t>
      </w:r>
      <w:r>
        <w:rPr>
          <w:color w:val="231F20"/>
          <w:spacing w:val="-5"/>
          <w:w w:val="110"/>
        </w:rPr>
        <w:t> </w:t>
      </w:r>
      <w:r>
        <w:rPr>
          <w:color w:val="231F20"/>
          <w:w w:val="110"/>
        </w:rPr>
        <w:t>atribu- yó a la incompetencia de George Bush y a una cierta</w:t>
      </w:r>
      <w:r>
        <w:rPr>
          <w:color w:val="231F20"/>
          <w:spacing w:val="34"/>
          <w:w w:val="110"/>
        </w:rPr>
        <w:t> </w:t>
      </w:r>
      <w:r>
        <w:rPr>
          <w:color w:val="231F20"/>
          <w:w w:val="110"/>
        </w:rPr>
        <w:t>negligencia</w:t>
      </w:r>
      <w:r>
        <w:rPr>
          <w:color w:val="231F20"/>
          <w:spacing w:val="3"/>
          <w:w w:val="110"/>
        </w:rPr>
        <w:t> </w:t>
      </w:r>
      <w:r>
        <w:rPr>
          <w:color w:val="231F20"/>
          <w:w w:val="110"/>
        </w:rPr>
        <w:t>de</w:t>
      </w:r>
      <w:r>
        <w:rPr>
          <w:color w:val="231F20"/>
          <w:w w:val="114"/>
        </w:rPr>
        <w:t> </w:t>
      </w:r>
      <w:r>
        <w:rPr>
          <w:color w:val="231F20"/>
          <w:w w:val="110"/>
        </w:rPr>
        <w:t>la Reserva Federal para enfrentarla desde sus primeros momentos. Es el caso del Premio Nobel de Economía, Paul Krugman, quien en octubre de 2008</w:t>
      </w:r>
      <w:r>
        <w:rPr>
          <w:color w:val="231F20"/>
          <w:spacing w:val="10"/>
          <w:w w:val="110"/>
        </w:rPr>
        <w:t> </w:t>
      </w:r>
      <w:r>
        <w:rPr>
          <w:color w:val="231F20"/>
          <w:w w:val="110"/>
        </w:rPr>
        <w:t>escribiera:</w:t>
      </w:r>
    </w:p>
    <w:p>
      <w:pPr>
        <w:pStyle w:val="BodyText"/>
        <w:spacing w:before="4"/>
        <w:rPr>
          <w:sz w:val="23"/>
        </w:rPr>
      </w:pPr>
    </w:p>
    <w:p>
      <w:pPr>
        <w:spacing w:line="285" w:lineRule="auto" w:before="0"/>
        <w:ind w:left="73" w:right="117" w:firstLine="0"/>
        <w:jc w:val="right"/>
        <w:rPr>
          <w:sz w:val="13"/>
        </w:rPr>
      </w:pPr>
      <w:r>
        <w:rPr>
          <w:color w:val="231F20"/>
          <w:w w:val="110"/>
          <w:sz w:val="18"/>
        </w:rPr>
        <w:t>El mes pasado, cuando el Departamento del </w:t>
      </w:r>
      <w:r>
        <w:rPr>
          <w:color w:val="231F20"/>
          <w:spacing w:val="-3"/>
          <w:w w:val="110"/>
          <w:sz w:val="18"/>
        </w:rPr>
        <w:t>Tesoro</w:t>
      </w:r>
      <w:r>
        <w:rPr>
          <w:color w:val="231F20"/>
          <w:spacing w:val="12"/>
          <w:w w:val="110"/>
          <w:sz w:val="18"/>
        </w:rPr>
        <w:t> </w:t>
      </w:r>
      <w:r>
        <w:rPr>
          <w:color w:val="231F20"/>
          <w:w w:val="110"/>
          <w:sz w:val="18"/>
        </w:rPr>
        <w:t>estadunidense</w:t>
      </w:r>
      <w:r>
        <w:rPr>
          <w:color w:val="231F20"/>
          <w:spacing w:val="7"/>
          <w:w w:val="110"/>
          <w:sz w:val="18"/>
        </w:rPr>
        <w:t> </w:t>
      </w:r>
      <w:r>
        <w:rPr>
          <w:color w:val="231F20"/>
          <w:w w:val="110"/>
          <w:sz w:val="18"/>
        </w:rPr>
        <w:t>permitió</w:t>
      </w:r>
      <w:r>
        <w:rPr>
          <w:color w:val="231F20"/>
          <w:w w:val="111"/>
          <w:sz w:val="18"/>
        </w:rPr>
        <w:t> </w:t>
      </w:r>
      <w:r>
        <w:rPr>
          <w:color w:val="231F20"/>
          <w:w w:val="110"/>
          <w:sz w:val="18"/>
        </w:rPr>
        <w:t>que </w:t>
      </w:r>
      <w:r>
        <w:rPr>
          <w:i/>
          <w:color w:val="231F20"/>
          <w:w w:val="110"/>
          <w:sz w:val="18"/>
        </w:rPr>
        <w:t>Lehman Brothers </w:t>
      </w:r>
      <w:r>
        <w:rPr>
          <w:color w:val="231F20"/>
          <w:w w:val="110"/>
          <w:sz w:val="18"/>
        </w:rPr>
        <w:t>quebrase, escribí que Henry Paulson, el</w:t>
      </w:r>
      <w:r>
        <w:rPr>
          <w:color w:val="231F20"/>
          <w:spacing w:val="-13"/>
          <w:w w:val="110"/>
          <w:sz w:val="18"/>
        </w:rPr>
        <w:t> </w:t>
      </w:r>
      <w:r>
        <w:rPr>
          <w:color w:val="231F20"/>
          <w:w w:val="110"/>
          <w:sz w:val="18"/>
        </w:rPr>
        <w:t>secretario</w:t>
      </w:r>
      <w:r>
        <w:rPr>
          <w:color w:val="231F20"/>
          <w:spacing w:val="-2"/>
          <w:w w:val="110"/>
          <w:sz w:val="18"/>
        </w:rPr>
        <w:t> </w:t>
      </w:r>
      <w:r>
        <w:rPr>
          <w:color w:val="231F20"/>
          <w:w w:val="110"/>
          <w:sz w:val="18"/>
        </w:rPr>
        <w:t>del</w:t>
      </w:r>
      <w:r>
        <w:rPr>
          <w:color w:val="231F20"/>
          <w:w w:val="111"/>
          <w:sz w:val="18"/>
        </w:rPr>
        <w:t> </w:t>
      </w:r>
      <w:r>
        <w:rPr>
          <w:color w:val="231F20"/>
          <w:spacing w:val="-3"/>
          <w:w w:val="110"/>
          <w:sz w:val="18"/>
        </w:rPr>
        <w:t>Tesoro, </w:t>
      </w:r>
      <w:r>
        <w:rPr>
          <w:color w:val="231F20"/>
          <w:w w:val="110"/>
          <w:sz w:val="18"/>
        </w:rPr>
        <w:t>estaba jugando a la ruleta rusa financiera. Sin duda, había</w:t>
      </w:r>
      <w:r>
        <w:rPr>
          <w:color w:val="231F20"/>
          <w:spacing w:val="42"/>
          <w:w w:val="110"/>
          <w:sz w:val="18"/>
        </w:rPr>
        <w:t> </w:t>
      </w:r>
      <w:r>
        <w:rPr>
          <w:color w:val="231F20"/>
          <w:w w:val="110"/>
          <w:sz w:val="18"/>
        </w:rPr>
        <w:t>una</w:t>
      </w:r>
      <w:r>
        <w:rPr>
          <w:color w:val="231F20"/>
          <w:spacing w:val="8"/>
          <w:w w:val="110"/>
          <w:sz w:val="18"/>
        </w:rPr>
        <w:t> </w:t>
      </w:r>
      <w:r>
        <w:rPr>
          <w:color w:val="231F20"/>
          <w:w w:val="110"/>
          <w:sz w:val="18"/>
        </w:rPr>
        <w:t>bala</w:t>
      </w:r>
      <w:r>
        <w:rPr>
          <w:color w:val="231F20"/>
          <w:w w:val="108"/>
          <w:sz w:val="18"/>
        </w:rPr>
        <w:t> </w:t>
      </w:r>
      <w:r>
        <w:rPr>
          <w:color w:val="231F20"/>
          <w:w w:val="110"/>
          <w:sz w:val="18"/>
        </w:rPr>
        <w:t>en</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recámara:</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quiebra</w:t>
      </w:r>
      <w:r>
        <w:rPr>
          <w:color w:val="231F20"/>
          <w:spacing w:val="-14"/>
          <w:w w:val="110"/>
          <w:sz w:val="18"/>
        </w:rPr>
        <w:t> </w:t>
      </w:r>
      <w:r>
        <w:rPr>
          <w:color w:val="231F20"/>
          <w:w w:val="110"/>
          <w:sz w:val="18"/>
        </w:rPr>
        <w:t>de</w:t>
      </w:r>
      <w:r>
        <w:rPr>
          <w:color w:val="231F20"/>
          <w:spacing w:val="-14"/>
          <w:w w:val="110"/>
          <w:sz w:val="18"/>
        </w:rPr>
        <w:t> </w:t>
      </w:r>
      <w:r>
        <w:rPr>
          <w:i/>
          <w:color w:val="231F20"/>
          <w:w w:val="110"/>
          <w:sz w:val="18"/>
        </w:rPr>
        <w:t>Lehman</w:t>
      </w:r>
      <w:r>
        <w:rPr>
          <w:i/>
          <w:color w:val="231F20"/>
          <w:spacing w:val="-14"/>
          <w:w w:val="110"/>
          <w:sz w:val="18"/>
        </w:rPr>
        <w:t> </w:t>
      </w:r>
      <w:r>
        <w:rPr>
          <w:color w:val="231F20"/>
          <w:w w:val="110"/>
          <w:sz w:val="18"/>
        </w:rPr>
        <w:t>hizo</w:t>
      </w:r>
      <w:r>
        <w:rPr>
          <w:color w:val="231F20"/>
          <w:spacing w:val="-14"/>
          <w:w w:val="110"/>
          <w:sz w:val="18"/>
        </w:rPr>
        <w:t> </w:t>
      </w:r>
      <w:r>
        <w:rPr>
          <w:color w:val="231F20"/>
          <w:w w:val="110"/>
          <w:sz w:val="18"/>
        </w:rPr>
        <w:t>que</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crisis</w:t>
      </w:r>
      <w:r>
        <w:rPr>
          <w:color w:val="231F20"/>
          <w:spacing w:val="-14"/>
          <w:w w:val="110"/>
          <w:sz w:val="18"/>
        </w:rPr>
        <w:t> </w:t>
      </w:r>
      <w:r>
        <w:rPr>
          <w:color w:val="231F20"/>
          <w:w w:val="110"/>
          <w:sz w:val="18"/>
        </w:rPr>
        <w:t>financiera</w:t>
      </w:r>
      <w:r>
        <w:rPr>
          <w:color w:val="231F20"/>
          <w:spacing w:val="-14"/>
          <w:w w:val="110"/>
          <w:sz w:val="18"/>
        </w:rPr>
        <w:t> </w:t>
      </w:r>
      <w:r>
        <w:rPr>
          <w:color w:val="231F20"/>
          <w:w w:val="110"/>
          <w:sz w:val="18"/>
        </w:rPr>
        <w:t>mundial,</w:t>
      </w:r>
      <w:r>
        <w:rPr>
          <w:color w:val="231F20"/>
          <w:spacing w:val="-14"/>
          <w:w w:val="110"/>
          <w:sz w:val="18"/>
        </w:rPr>
        <w:t> </w:t>
      </w:r>
      <w:r>
        <w:rPr>
          <w:color w:val="231F20"/>
          <w:w w:val="110"/>
          <w:sz w:val="18"/>
        </w:rPr>
        <w:t>ya</w:t>
      </w:r>
      <w:r>
        <w:rPr>
          <w:color w:val="231F20"/>
          <w:w w:val="95"/>
          <w:sz w:val="18"/>
        </w:rPr>
        <w:t> </w:t>
      </w:r>
      <w:r>
        <w:rPr>
          <w:color w:val="231F20"/>
          <w:w w:val="110"/>
          <w:sz w:val="18"/>
        </w:rPr>
        <w:t>grave</w:t>
      </w:r>
      <w:r>
        <w:rPr>
          <w:color w:val="231F20"/>
          <w:spacing w:val="-9"/>
          <w:w w:val="110"/>
          <w:sz w:val="18"/>
        </w:rPr>
        <w:t> </w:t>
      </w:r>
      <w:r>
        <w:rPr>
          <w:color w:val="231F20"/>
          <w:w w:val="110"/>
          <w:sz w:val="18"/>
        </w:rPr>
        <w:t>de</w:t>
      </w:r>
      <w:r>
        <w:rPr>
          <w:color w:val="231F20"/>
          <w:spacing w:val="-9"/>
          <w:w w:val="110"/>
          <w:sz w:val="18"/>
        </w:rPr>
        <w:t> </w:t>
      </w:r>
      <w:r>
        <w:rPr>
          <w:color w:val="231F20"/>
          <w:w w:val="110"/>
          <w:sz w:val="18"/>
        </w:rPr>
        <w:t>por</w:t>
      </w:r>
      <w:r>
        <w:rPr>
          <w:color w:val="231F20"/>
          <w:spacing w:val="-9"/>
          <w:w w:val="110"/>
          <w:sz w:val="18"/>
        </w:rPr>
        <w:t> </w:t>
      </w:r>
      <w:r>
        <w:rPr>
          <w:color w:val="231F20"/>
          <w:w w:val="110"/>
          <w:sz w:val="18"/>
        </w:rPr>
        <w:t>sí,</w:t>
      </w:r>
      <w:r>
        <w:rPr>
          <w:color w:val="231F20"/>
          <w:spacing w:val="-9"/>
          <w:w w:val="110"/>
          <w:sz w:val="18"/>
        </w:rPr>
        <w:t> </w:t>
      </w:r>
      <w:r>
        <w:rPr>
          <w:color w:val="231F20"/>
          <w:w w:val="110"/>
          <w:sz w:val="18"/>
        </w:rPr>
        <w:t>empeorase,</w:t>
      </w:r>
      <w:r>
        <w:rPr>
          <w:color w:val="231F20"/>
          <w:spacing w:val="-9"/>
          <w:w w:val="110"/>
          <w:sz w:val="18"/>
        </w:rPr>
        <w:t> </w:t>
      </w:r>
      <w:r>
        <w:rPr>
          <w:color w:val="231F20"/>
          <w:w w:val="110"/>
          <w:sz w:val="18"/>
        </w:rPr>
        <w:t>mucho,</w:t>
      </w:r>
      <w:r>
        <w:rPr>
          <w:color w:val="231F20"/>
          <w:spacing w:val="-9"/>
          <w:w w:val="110"/>
          <w:sz w:val="18"/>
        </w:rPr>
        <w:t> </w:t>
      </w:r>
      <w:r>
        <w:rPr>
          <w:color w:val="231F20"/>
          <w:w w:val="110"/>
          <w:sz w:val="18"/>
        </w:rPr>
        <w:t>mucho</w:t>
      </w:r>
      <w:r>
        <w:rPr>
          <w:color w:val="231F20"/>
          <w:spacing w:val="-9"/>
          <w:w w:val="110"/>
          <w:sz w:val="18"/>
        </w:rPr>
        <w:t> </w:t>
      </w:r>
      <w:r>
        <w:rPr>
          <w:color w:val="231F20"/>
          <w:w w:val="110"/>
          <w:sz w:val="18"/>
        </w:rPr>
        <w:t>más.</w:t>
      </w:r>
      <w:r>
        <w:rPr>
          <w:color w:val="231F20"/>
          <w:spacing w:val="-9"/>
          <w:w w:val="110"/>
          <w:sz w:val="18"/>
        </w:rPr>
        <w:t> </w:t>
      </w:r>
      <w:r>
        <w:rPr>
          <w:color w:val="231F20"/>
          <w:w w:val="110"/>
          <w:sz w:val="18"/>
        </w:rPr>
        <w:t>Las</w:t>
      </w:r>
      <w:r>
        <w:rPr>
          <w:color w:val="231F20"/>
          <w:spacing w:val="-9"/>
          <w:w w:val="110"/>
          <w:sz w:val="18"/>
        </w:rPr>
        <w:t> </w:t>
      </w:r>
      <w:r>
        <w:rPr>
          <w:color w:val="231F20"/>
          <w:w w:val="110"/>
          <w:sz w:val="18"/>
        </w:rPr>
        <w:t>consecuencias</w:t>
      </w:r>
      <w:r>
        <w:rPr>
          <w:color w:val="231F20"/>
          <w:spacing w:val="-9"/>
          <w:w w:val="110"/>
          <w:sz w:val="18"/>
        </w:rPr>
        <w:t> </w:t>
      </w:r>
      <w:r>
        <w:rPr>
          <w:color w:val="231F20"/>
          <w:w w:val="110"/>
          <w:sz w:val="18"/>
        </w:rPr>
        <w:t>de</w:t>
      </w:r>
      <w:r>
        <w:rPr>
          <w:color w:val="231F20"/>
          <w:spacing w:val="-9"/>
          <w:w w:val="110"/>
          <w:sz w:val="18"/>
        </w:rPr>
        <w:t> </w:t>
      </w:r>
      <w:r>
        <w:rPr>
          <w:color w:val="231F20"/>
          <w:w w:val="110"/>
          <w:sz w:val="18"/>
        </w:rPr>
        <w:t>la</w:t>
      </w:r>
      <w:r>
        <w:rPr>
          <w:color w:val="231F20"/>
          <w:spacing w:val="-9"/>
          <w:w w:val="110"/>
          <w:sz w:val="18"/>
        </w:rPr>
        <w:t> </w:t>
      </w:r>
      <w:r>
        <w:rPr>
          <w:color w:val="231F20"/>
          <w:w w:val="110"/>
          <w:sz w:val="18"/>
        </w:rPr>
        <w:t>caí-</w:t>
      </w:r>
      <w:r>
        <w:rPr>
          <w:color w:val="231F20"/>
          <w:w w:val="72"/>
          <w:sz w:val="18"/>
        </w:rPr>
        <w:t> </w:t>
      </w:r>
      <w:r>
        <w:rPr>
          <w:color w:val="231F20"/>
          <w:w w:val="110"/>
          <w:sz w:val="18"/>
        </w:rPr>
        <w:t>da</w:t>
      </w:r>
      <w:r>
        <w:rPr>
          <w:color w:val="231F20"/>
          <w:spacing w:val="-12"/>
          <w:w w:val="110"/>
          <w:sz w:val="18"/>
        </w:rPr>
        <w:t> </w:t>
      </w:r>
      <w:r>
        <w:rPr>
          <w:color w:val="231F20"/>
          <w:w w:val="110"/>
          <w:sz w:val="18"/>
        </w:rPr>
        <w:t>de</w:t>
      </w:r>
      <w:r>
        <w:rPr>
          <w:color w:val="231F20"/>
          <w:spacing w:val="-12"/>
          <w:w w:val="110"/>
          <w:sz w:val="18"/>
        </w:rPr>
        <w:t> </w:t>
      </w:r>
      <w:r>
        <w:rPr>
          <w:i/>
          <w:color w:val="231F20"/>
          <w:w w:val="110"/>
          <w:sz w:val="18"/>
        </w:rPr>
        <w:t>Lehman</w:t>
      </w:r>
      <w:r>
        <w:rPr>
          <w:i/>
          <w:color w:val="231F20"/>
          <w:spacing w:val="-12"/>
          <w:w w:val="110"/>
          <w:sz w:val="18"/>
        </w:rPr>
        <w:t> </w:t>
      </w:r>
      <w:r>
        <w:rPr>
          <w:color w:val="231F20"/>
          <w:w w:val="110"/>
          <w:sz w:val="18"/>
        </w:rPr>
        <w:t>quedaron</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manifiesto</w:t>
      </w:r>
      <w:r>
        <w:rPr>
          <w:color w:val="231F20"/>
          <w:spacing w:val="-12"/>
          <w:w w:val="110"/>
          <w:sz w:val="18"/>
        </w:rPr>
        <w:t> </w:t>
      </w:r>
      <w:r>
        <w:rPr>
          <w:color w:val="231F20"/>
          <w:w w:val="110"/>
          <w:sz w:val="18"/>
        </w:rPr>
        <w:t>en</w:t>
      </w:r>
      <w:r>
        <w:rPr>
          <w:color w:val="231F20"/>
          <w:spacing w:val="-12"/>
          <w:w w:val="110"/>
          <w:sz w:val="18"/>
        </w:rPr>
        <w:t> </w:t>
      </w:r>
      <w:r>
        <w:rPr>
          <w:color w:val="231F20"/>
          <w:w w:val="110"/>
          <w:sz w:val="18"/>
        </w:rPr>
        <w:t>cuestión</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días</w:t>
      </w:r>
      <w:r>
        <w:rPr>
          <w:color w:val="231F20"/>
          <w:spacing w:val="-12"/>
          <w:w w:val="110"/>
          <w:sz w:val="18"/>
        </w:rPr>
        <w:t> </w:t>
      </w:r>
      <w:r>
        <w:rPr>
          <w:color w:val="231F20"/>
          <w:w w:val="110"/>
          <w:sz w:val="18"/>
        </w:rPr>
        <w:t>(Krugman,</w:t>
      </w:r>
      <w:r>
        <w:rPr>
          <w:color w:val="231F20"/>
          <w:spacing w:val="-12"/>
          <w:w w:val="110"/>
          <w:sz w:val="18"/>
        </w:rPr>
        <w:t> </w:t>
      </w:r>
      <w:r>
        <w:rPr>
          <w:color w:val="231F20"/>
          <w:w w:val="110"/>
          <w:sz w:val="18"/>
        </w:rPr>
        <w:t>2008).</w:t>
      </w:r>
      <w:r>
        <w:rPr>
          <w:color w:val="231F20"/>
          <w:w w:val="110"/>
          <w:position w:val="6"/>
          <w:sz w:val="13"/>
        </w:rPr>
        <w:t>5</w:t>
      </w:r>
    </w:p>
    <w:p>
      <w:pPr>
        <w:pStyle w:val="BodyText"/>
        <w:spacing w:before="3"/>
      </w:pPr>
    </w:p>
    <w:p>
      <w:pPr>
        <w:pStyle w:val="BodyText"/>
        <w:spacing w:line="261" w:lineRule="auto"/>
        <w:ind w:left="100" w:right="117" w:firstLine="240"/>
        <w:jc w:val="both"/>
      </w:pPr>
      <w:r>
        <w:rPr>
          <w:color w:val="231F20"/>
          <w:w w:val="110"/>
        </w:rPr>
        <w:t>Pero</w:t>
      </w:r>
      <w:r>
        <w:rPr>
          <w:color w:val="231F20"/>
          <w:spacing w:val="-12"/>
          <w:w w:val="110"/>
        </w:rPr>
        <w:t> </w:t>
      </w:r>
      <w:r>
        <w:rPr>
          <w:color w:val="231F20"/>
          <w:w w:val="110"/>
        </w:rPr>
        <w:t>cuando</w:t>
      </w:r>
      <w:r>
        <w:rPr>
          <w:color w:val="231F20"/>
          <w:spacing w:val="-12"/>
          <w:w w:val="110"/>
        </w:rPr>
        <w:t> </w:t>
      </w:r>
      <w:r>
        <w:rPr>
          <w:color w:val="231F20"/>
          <w:w w:val="110"/>
        </w:rPr>
        <w:t>la</w:t>
      </w:r>
      <w:r>
        <w:rPr>
          <w:color w:val="231F20"/>
          <w:spacing w:val="-12"/>
          <w:w w:val="110"/>
        </w:rPr>
        <w:t> </w:t>
      </w:r>
      <w:r>
        <w:rPr>
          <w:color w:val="231F20"/>
          <w:w w:val="110"/>
        </w:rPr>
        <w:t>recesión</w:t>
      </w:r>
      <w:r>
        <w:rPr>
          <w:color w:val="231F20"/>
          <w:spacing w:val="-12"/>
          <w:w w:val="110"/>
        </w:rPr>
        <w:t> </w:t>
      </w:r>
      <w:r>
        <w:rPr>
          <w:color w:val="231F20"/>
          <w:w w:val="110"/>
        </w:rPr>
        <w:t>se</w:t>
      </w:r>
      <w:r>
        <w:rPr>
          <w:color w:val="231F20"/>
          <w:spacing w:val="-12"/>
          <w:w w:val="110"/>
        </w:rPr>
        <w:t> </w:t>
      </w:r>
      <w:r>
        <w:rPr>
          <w:color w:val="231F20"/>
          <w:w w:val="110"/>
        </w:rPr>
        <w:t>convirtió</w:t>
      </w:r>
      <w:r>
        <w:rPr>
          <w:color w:val="231F20"/>
          <w:spacing w:val="-12"/>
          <w:w w:val="110"/>
        </w:rPr>
        <w:t> </w:t>
      </w:r>
      <w:r>
        <w:rPr>
          <w:color w:val="231F20"/>
          <w:w w:val="110"/>
        </w:rPr>
        <w:t>en</w:t>
      </w:r>
      <w:r>
        <w:rPr>
          <w:color w:val="231F20"/>
          <w:spacing w:val="-12"/>
          <w:w w:val="110"/>
        </w:rPr>
        <w:t> </w:t>
      </w:r>
      <w:r>
        <w:rPr>
          <w:color w:val="231F20"/>
          <w:w w:val="110"/>
        </w:rPr>
        <w:t>crisis</w:t>
      </w:r>
      <w:r>
        <w:rPr>
          <w:color w:val="231F20"/>
          <w:spacing w:val="-12"/>
          <w:w w:val="110"/>
        </w:rPr>
        <w:t> </w:t>
      </w:r>
      <w:r>
        <w:rPr>
          <w:color w:val="231F20"/>
          <w:w w:val="110"/>
        </w:rPr>
        <w:t>general</w:t>
      </w:r>
      <w:r>
        <w:rPr>
          <w:color w:val="231F20"/>
          <w:spacing w:val="-12"/>
          <w:w w:val="110"/>
        </w:rPr>
        <w:t> </w:t>
      </w:r>
      <w:r>
        <w:rPr>
          <w:color w:val="231F20"/>
          <w:w w:val="110"/>
        </w:rPr>
        <w:t>y</w:t>
      </w:r>
      <w:r>
        <w:rPr>
          <w:color w:val="231F20"/>
          <w:spacing w:val="-12"/>
          <w:w w:val="110"/>
        </w:rPr>
        <w:t> </w:t>
      </w:r>
      <w:r>
        <w:rPr>
          <w:color w:val="231F20"/>
          <w:w w:val="110"/>
        </w:rPr>
        <w:t>se</w:t>
      </w:r>
      <w:r>
        <w:rPr>
          <w:color w:val="231F20"/>
          <w:spacing w:val="-12"/>
          <w:w w:val="110"/>
        </w:rPr>
        <w:t> </w:t>
      </w:r>
      <w:r>
        <w:rPr>
          <w:color w:val="231F20"/>
          <w:w w:val="110"/>
        </w:rPr>
        <w:t>extendió por</w:t>
      </w:r>
      <w:r>
        <w:rPr>
          <w:color w:val="231F20"/>
          <w:spacing w:val="18"/>
          <w:w w:val="110"/>
        </w:rPr>
        <w:t> </w:t>
      </w:r>
      <w:r>
        <w:rPr>
          <w:color w:val="231F20"/>
          <w:w w:val="110"/>
        </w:rPr>
        <w:t>todo</w:t>
      </w:r>
      <w:r>
        <w:rPr>
          <w:color w:val="231F20"/>
          <w:spacing w:val="18"/>
          <w:w w:val="110"/>
        </w:rPr>
        <w:t> </w:t>
      </w:r>
      <w:r>
        <w:rPr>
          <w:color w:val="231F20"/>
          <w:w w:val="110"/>
        </w:rPr>
        <w:t>el</w:t>
      </w:r>
      <w:r>
        <w:rPr>
          <w:color w:val="231F20"/>
          <w:spacing w:val="18"/>
          <w:w w:val="110"/>
        </w:rPr>
        <w:t> </w:t>
      </w:r>
      <w:r>
        <w:rPr>
          <w:color w:val="231F20"/>
          <w:w w:val="110"/>
        </w:rPr>
        <w:t>planeta,</w:t>
      </w:r>
      <w:r>
        <w:rPr>
          <w:color w:val="231F20"/>
          <w:spacing w:val="18"/>
          <w:w w:val="110"/>
        </w:rPr>
        <w:t> </w:t>
      </w:r>
      <w:r>
        <w:rPr>
          <w:color w:val="231F20"/>
          <w:w w:val="110"/>
        </w:rPr>
        <w:t>no</w:t>
      </w:r>
      <w:r>
        <w:rPr>
          <w:color w:val="231F20"/>
          <w:spacing w:val="18"/>
          <w:w w:val="110"/>
        </w:rPr>
        <w:t> </w:t>
      </w:r>
      <w:r>
        <w:rPr>
          <w:color w:val="231F20"/>
          <w:w w:val="110"/>
        </w:rPr>
        <w:t>hubo</w:t>
      </w:r>
      <w:r>
        <w:rPr>
          <w:color w:val="231F20"/>
          <w:spacing w:val="18"/>
          <w:w w:val="110"/>
        </w:rPr>
        <w:t> </w:t>
      </w:r>
      <w:r>
        <w:rPr>
          <w:color w:val="231F20"/>
          <w:w w:val="110"/>
        </w:rPr>
        <w:t>posibilidad</w:t>
      </w:r>
      <w:r>
        <w:rPr>
          <w:color w:val="231F20"/>
          <w:spacing w:val="18"/>
          <w:w w:val="110"/>
        </w:rPr>
        <w:t> </w:t>
      </w:r>
      <w:r>
        <w:rPr>
          <w:color w:val="231F20"/>
          <w:w w:val="110"/>
        </w:rPr>
        <w:t>de</w:t>
      </w:r>
      <w:r>
        <w:rPr>
          <w:color w:val="231F20"/>
          <w:spacing w:val="18"/>
          <w:w w:val="110"/>
        </w:rPr>
        <w:t> </w:t>
      </w:r>
      <w:r>
        <w:rPr>
          <w:color w:val="231F20"/>
          <w:w w:val="110"/>
        </w:rPr>
        <w:t>disimular</w:t>
      </w:r>
      <w:r>
        <w:rPr>
          <w:color w:val="231F20"/>
          <w:spacing w:val="18"/>
          <w:w w:val="110"/>
        </w:rPr>
        <w:t> </w:t>
      </w:r>
      <w:r>
        <w:rPr>
          <w:color w:val="231F20"/>
          <w:w w:val="110"/>
        </w:rPr>
        <w:t>su</w:t>
      </w:r>
      <w:r>
        <w:rPr>
          <w:color w:val="231F20"/>
          <w:spacing w:val="18"/>
          <w:w w:val="110"/>
        </w:rPr>
        <w:t> </w:t>
      </w:r>
      <w:r>
        <w:rPr>
          <w:color w:val="231F20"/>
          <w:w w:val="110"/>
        </w:rPr>
        <w:t>origen:</w:t>
      </w:r>
      <w:r>
        <w:rPr>
          <w:color w:val="231F20"/>
          <w:spacing w:val="18"/>
          <w:w w:val="110"/>
        </w:rPr>
        <w:t> </w:t>
      </w:r>
      <w:r>
        <w:rPr>
          <w:color w:val="231F20"/>
          <w:w w:val="110"/>
        </w:rPr>
        <w:t>la</w:t>
      </w:r>
    </w:p>
    <w:p>
      <w:pPr>
        <w:pStyle w:val="BodyText"/>
      </w:pPr>
    </w:p>
    <w:p>
      <w:pPr>
        <w:pStyle w:val="BodyText"/>
      </w:pPr>
    </w:p>
    <w:p>
      <w:pPr>
        <w:pStyle w:val="BodyText"/>
        <w:spacing w:before="7"/>
        <w:rPr>
          <w:sz w:val="23"/>
        </w:rPr>
      </w:pPr>
    </w:p>
    <w:p>
      <w:pPr>
        <w:spacing w:line="261" w:lineRule="auto" w:before="0"/>
        <w:ind w:left="100" w:right="117" w:firstLine="240"/>
        <w:jc w:val="both"/>
        <w:rPr>
          <w:sz w:val="16"/>
        </w:rPr>
      </w:pPr>
      <w:r>
        <w:rPr>
          <w:color w:val="231F20"/>
          <w:w w:val="110"/>
          <w:position w:val="5"/>
          <w:sz w:val="10"/>
        </w:rPr>
        <w:t>4 </w:t>
      </w:r>
      <w:r>
        <w:rPr>
          <w:color w:val="231F20"/>
          <w:w w:val="110"/>
          <w:sz w:val="16"/>
        </w:rPr>
        <w:t>Con ese criterio el Banco de México, en voz de su entonces gobernador, Gui- llermo Ortiz Martínez, a finales de enero de 2009 aceptó la entrada formal de la economía mexicana a la recesión: “La economía mexicana está en recesión. En 2009 el pib decrecerá entre 0.8 y 1.8 por ciento y hasta 340 mil personas que hoy tienen  un</w:t>
      </w:r>
      <w:r>
        <w:rPr>
          <w:color w:val="231F20"/>
          <w:spacing w:val="-4"/>
          <w:w w:val="110"/>
          <w:sz w:val="16"/>
        </w:rPr>
        <w:t> </w:t>
      </w:r>
      <w:r>
        <w:rPr>
          <w:color w:val="231F20"/>
          <w:w w:val="110"/>
          <w:sz w:val="16"/>
        </w:rPr>
        <w:t>empleo</w:t>
      </w:r>
      <w:r>
        <w:rPr>
          <w:color w:val="231F20"/>
          <w:spacing w:val="-4"/>
          <w:w w:val="110"/>
          <w:sz w:val="16"/>
        </w:rPr>
        <w:t> </w:t>
      </w:r>
      <w:r>
        <w:rPr>
          <w:color w:val="231F20"/>
          <w:w w:val="110"/>
          <w:sz w:val="16"/>
        </w:rPr>
        <w:t>formal</w:t>
      </w:r>
      <w:r>
        <w:rPr>
          <w:color w:val="231F20"/>
          <w:spacing w:val="-4"/>
          <w:w w:val="110"/>
          <w:sz w:val="16"/>
        </w:rPr>
        <w:t> </w:t>
      </w:r>
      <w:r>
        <w:rPr>
          <w:color w:val="231F20"/>
          <w:w w:val="110"/>
          <w:sz w:val="16"/>
        </w:rPr>
        <w:t>se</w:t>
      </w:r>
      <w:r>
        <w:rPr>
          <w:color w:val="231F20"/>
          <w:spacing w:val="-4"/>
          <w:w w:val="110"/>
          <w:sz w:val="16"/>
        </w:rPr>
        <w:t> </w:t>
      </w:r>
      <w:r>
        <w:rPr>
          <w:color w:val="231F20"/>
          <w:w w:val="110"/>
          <w:sz w:val="16"/>
        </w:rPr>
        <w:t>irán</w:t>
      </w:r>
      <w:r>
        <w:rPr>
          <w:color w:val="231F20"/>
          <w:spacing w:val="-4"/>
          <w:w w:val="110"/>
          <w:sz w:val="16"/>
        </w:rPr>
        <w:t> </w:t>
      </w:r>
      <w:r>
        <w:rPr>
          <w:color w:val="231F20"/>
          <w:w w:val="110"/>
          <w:sz w:val="16"/>
        </w:rPr>
        <w:t>a</w:t>
      </w:r>
      <w:r>
        <w:rPr>
          <w:color w:val="231F20"/>
          <w:spacing w:val="-4"/>
          <w:w w:val="110"/>
          <w:sz w:val="16"/>
        </w:rPr>
        <w:t> </w:t>
      </w:r>
      <w:r>
        <w:rPr>
          <w:color w:val="231F20"/>
          <w:w w:val="110"/>
          <w:sz w:val="16"/>
        </w:rPr>
        <w:t>la</w:t>
      </w:r>
      <w:r>
        <w:rPr>
          <w:color w:val="231F20"/>
          <w:spacing w:val="-4"/>
          <w:w w:val="110"/>
          <w:sz w:val="16"/>
        </w:rPr>
        <w:t> </w:t>
      </w:r>
      <w:r>
        <w:rPr>
          <w:color w:val="231F20"/>
          <w:w w:val="110"/>
          <w:sz w:val="16"/>
        </w:rPr>
        <w:t>calle.</w:t>
      </w:r>
      <w:r>
        <w:rPr>
          <w:color w:val="231F20"/>
          <w:spacing w:val="-4"/>
          <w:w w:val="110"/>
          <w:sz w:val="16"/>
        </w:rPr>
        <w:t> </w:t>
      </w:r>
      <w:r>
        <w:rPr>
          <w:color w:val="231F20"/>
          <w:w w:val="110"/>
          <w:sz w:val="16"/>
        </w:rPr>
        <w:t>‘Esto</w:t>
      </w:r>
      <w:r>
        <w:rPr>
          <w:color w:val="231F20"/>
          <w:spacing w:val="-4"/>
          <w:w w:val="110"/>
          <w:sz w:val="16"/>
        </w:rPr>
        <w:t> </w:t>
      </w:r>
      <w:r>
        <w:rPr>
          <w:color w:val="231F20"/>
          <w:w w:val="110"/>
          <w:sz w:val="16"/>
        </w:rPr>
        <w:t>—concluyó</w:t>
      </w:r>
      <w:r>
        <w:rPr>
          <w:color w:val="231F20"/>
          <w:spacing w:val="-4"/>
          <w:w w:val="110"/>
          <w:sz w:val="16"/>
        </w:rPr>
        <w:t> </w:t>
      </w:r>
      <w:r>
        <w:rPr>
          <w:color w:val="231F20"/>
          <w:w w:val="110"/>
          <w:sz w:val="16"/>
        </w:rPr>
        <w:t>Martínez</w:t>
      </w:r>
      <w:r>
        <w:rPr>
          <w:color w:val="231F20"/>
          <w:spacing w:val="-4"/>
          <w:w w:val="110"/>
          <w:sz w:val="16"/>
        </w:rPr>
        <w:t> </w:t>
      </w:r>
      <w:r>
        <w:rPr>
          <w:color w:val="231F20"/>
          <w:w w:val="110"/>
          <w:sz w:val="16"/>
        </w:rPr>
        <w:t>Ortíz—</w:t>
      </w:r>
      <w:r>
        <w:rPr>
          <w:color w:val="231F20"/>
          <w:spacing w:val="-4"/>
          <w:w w:val="110"/>
          <w:sz w:val="16"/>
        </w:rPr>
        <w:t> </w:t>
      </w:r>
      <w:r>
        <w:rPr>
          <w:color w:val="231F20"/>
          <w:w w:val="110"/>
          <w:sz w:val="16"/>
        </w:rPr>
        <w:t>corresponde</w:t>
      </w:r>
      <w:r>
        <w:rPr>
          <w:color w:val="231F20"/>
          <w:spacing w:val="-4"/>
          <w:w w:val="110"/>
          <w:sz w:val="16"/>
        </w:rPr>
        <w:t> </w:t>
      </w:r>
      <w:r>
        <w:rPr>
          <w:color w:val="231F20"/>
          <w:w w:val="110"/>
          <w:sz w:val="16"/>
        </w:rPr>
        <w:t>a cualquier</w:t>
      </w:r>
      <w:r>
        <w:rPr>
          <w:color w:val="231F20"/>
          <w:spacing w:val="-8"/>
          <w:w w:val="110"/>
          <w:sz w:val="16"/>
        </w:rPr>
        <w:t> </w:t>
      </w:r>
      <w:r>
        <w:rPr>
          <w:color w:val="231F20"/>
          <w:w w:val="110"/>
          <w:sz w:val="16"/>
        </w:rPr>
        <w:t>definición</w:t>
      </w:r>
      <w:r>
        <w:rPr>
          <w:color w:val="231F20"/>
          <w:spacing w:val="-8"/>
          <w:w w:val="110"/>
          <w:sz w:val="16"/>
        </w:rPr>
        <w:t> </w:t>
      </w:r>
      <w:r>
        <w:rPr>
          <w:color w:val="231F20"/>
          <w:w w:val="110"/>
          <w:sz w:val="16"/>
        </w:rPr>
        <w:t>de</w:t>
      </w:r>
      <w:r>
        <w:rPr>
          <w:color w:val="231F20"/>
          <w:spacing w:val="-8"/>
          <w:w w:val="110"/>
          <w:sz w:val="16"/>
        </w:rPr>
        <w:t> </w:t>
      </w:r>
      <w:r>
        <w:rPr>
          <w:color w:val="231F20"/>
          <w:w w:val="110"/>
          <w:sz w:val="16"/>
        </w:rPr>
        <w:t>recesión’”</w:t>
      </w:r>
      <w:r>
        <w:rPr>
          <w:color w:val="231F20"/>
          <w:spacing w:val="-8"/>
          <w:w w:val="110"/>
          <w:sz w:val="16"/>
        </w:rPr>
        <w:t> </w:t>
      </w:r>
      <w:r>
        <w:rPr>
          <w:color w:val="231F20"/>
          <w:w w:val="110"/>
          <w:sz w:val="16"/>
        </w:rPr>
        <w:t>(</w:t>
      </w:r>
      <w:r>
        <w:rPr>
          <w:i/>
          <w:color w:val="231F20"/>
          <w:w w:val="110"/>
          <w:sz w:val="16"/>
        </w:rPr>
        <w:t>La</w:t>
      </w:r>
      <w:r>
        <w:rPr>
          <w:i/>
          <w:color w:val="231F20"/>
          <w:spacing w:val="-8"/>
          <w:w w:val="110"/>
          <w:sz w:val="16"/>
        </w:rPr>
        <w:t> </w:t>
      </w:r>
      <w:r>
        <w:rPr>
          <w:i/>
          <w:color w:val="231F20"/>
          <w:w w:val="110"/>
          <w:sz w:val="16"/>
        </w:rPr>
        <w:t>Jornada</w:t>
      </w:r>
      <w:r>
        <w:rPr>
          <w:color w:val="231F20"/>
          <w:w w:val="110"/>
          <w:sz w:val="16"/>
        </w:rPr>
        <w:t>,</w:t>
      </w:r>
      <w:r>
        <w:rPr>
          <w:color w:val="231F20"/>
          <w:spacing w:val="-8"/>
          <w:w w:val="110"/>
          <w:sz w:val="16"/>
        </w:rPr>
        <w:t> </w:t>
      </w:r>
      <w:r>
        <w:rPr>
          <w:color w:val="231F20"/>
          <w:w w:val="110"/>
          <w:sz w:val="16"/>
        </w:rPr>
        <w:t>miércoles</w:t>
      </w:r>
      <w:r>
        <w:rPr>
          <w:color w:val="231F20"/>
          <w:spacing w:val="-8"/>
          <w:w w:val="110"/>
          <w:sz w:val="16"/>
        </w:rPr>
        <w:t> </w:t>
      </w:r>
      <w:r>
        <w:rPr>
          <w:color w:val="231F20"/>
          <w:w w:val="110"/>
          <w:sz w:val="16"/>
        </w:rPr>
        <w:t>28</w:t>
      </w:r>
      <w:r>
        <w:rPr>
          <w:color w:val="231F20"/>
          <w:spacing w:val="-8"/>
          <w:w w:val="110"/>
          <w:sz w:val="16"/>
        </w:rPr>
        <w:t> </w:t>
      </w:r>
      <w:r>
        <w:rPr>
          <w:color w:val="231F20"/>
          <w:w w:val="110"/>
          <w:sz w:val="16"/>
        </w:rPr>
        <w:t>de</w:t>
      </w:r>
      <w:r>
        <w:rPr>
          <w:color w:val="231F20"/>
          <w:spacing w:val="-8"/>
          <w:w w:val="110"/>
          <w:sz w:val="16"/>
        </w:rPr>
        <w:t> </w:t>
      </w:r>
      <w:r>
        <w:rPr>
          <w:color w:val="231F20"/>
          <w:w w:val="110"/>
          <w:sz w:val="16"/>
        </w:rPr>
        <w:t>enero</w:t>
      </w:r>
      <w:r>
        <w:rPr>
          <w:color w:val="231F20"/>
          <w:spacing w:val="-8"/>
          <w:w w:val="110"/>
          <w:sz w:val="16"/>
        </w:rPr>
        <w:t> </w:t>
      </w:r>
      <w:r>
        <w:rPr>
          <w:color w:val="231F20"/>
          <w:w w:val="110"/>
          <w:sz w:val="16"/>
        </w:rPr>
        <w:t>de</w:t>
      </w:r>
      <w:r>
        <w:rPr>
          <w:color w:val="231F20"/>
          <w:spacing w:val="-8"/>
          <w:w w:val="110"/>
          <w:sz w:val="16"/>
        </w:rPr>
        <w:t> </w:t>
      </w:r>
      <w:r>
        <w:rPr>
          <w:color w:val="231F20"/>
          <w:w w:val="110"/>
          <w:sz w:val="16"/>
        </w:rPr>
        <w:t>2009,</w:t>
      </w:r>
      <w:r>
        <w:rPr>
          <w:color w:val="231F20"/>
          <w:spacing w:val="-8"/>
          <w:w w:val="110"/>
          <w:sz w:val="16"/>
        </w:rPr>
        <w:t> </w:t>
      </w:r>
      <w:r>
        <w:rPr>
          <w:color w:val="231F20"/>
          <w:w w:val="110"/>
          <w:sz w:val="16"/>
        </w:rPr>
        <w:t>p.</w:t>
      </w:r>
      <w:r>
        <w:rPr>
          <w:color w:val="231F20"/>
          <w:spacing w:val="-8"/>
          <w:w w:val="110"/>
          <w:sz w:val="16"/>
        </w:rPr>
        <w:t> </w:t>
      </w:r>
      <w:r>
        <w:rPr>
          <w:color w:val="231F20"/>
          <w:w w:val="110"/>
          <w:sz w:val="16"/>
        </w:rPr>
        <w:t>24).</w:t>
      </w:r>
    </w:p>
    <w:p>
      <w:pPr>
        <w:spacing w:line="261" w:lineRule="auto" w:before="0"/>
        <w:ind w:left="100" w:right="117" w:firstLine="240"/>
        <w:jc w:val="both"/>
        <w:rPr>
          <w:sz w:val="16"/>
        </w:rPr>
      </w:pPr>
      <w:r>
        <w:rPr>
          <w:color w:val="231F20"/>
          <w:w w:val="110"/>
          <w:position w:val="5"/>
          <w:sz w:val="10"/>
        </w:rPr>
        <w:t>5 </w:t>
      </w:r>
      <w:r>
        <w:rPr>
          <w:color w:val="231F20"/>
          <w:w w:val="110"/>
          <w:sz w:val="16"/>
        </w:rPr>
        <w:t>Siguiendo puntualmente a Krugman, el entonces secretario de Hacienda del gobierno</w:t>
      </w:r>
      <w:r>
        <w:rPr>
          <w:color w:val="231F20"/>
          <w:spacing w:val="-6"/>
          <w:w w:val="110"/>
          <w:sz w:val="16"/>
        </w:rPr>
        <w:t> </w:t>
      </w:r>
      <w:r>
        <w:rPr>
          <w:color w:val="231F20"/>
          <w:w w:val="110"/>
          <w:sz w:val="16"/>
        </w:rPr>
        <w:t>de</w:t>
      </w:r>
      <w:r>
        <w:rPr>
          <w:color w:val="231F20"/>
          <w:spacing w:val="-6"/>
          <w:w w:val="110"/>
          <w:sz w:val="16"/>
        </w:rPr>
        <w:t> </w:t>
      </w:r>
      <w:r>
        <w:rPr>
          <w:color w:val="231F20"/>
          <w:w w:val="110"/>
          <w:sz w:val="16"/>
        </w:rPr>
        <w:t>Felipe</w:t>
      </w:r>
      <w:r>
        <w:rPr>
          <w:color w:val="231F20"/>
          <w:spacing w:val="-6"/>
          <w:w w:val="110"/>
          <w:sz w:val="16"/>
        </w:rPr>
        <w:t> </w:t>
      </w:r>
      <w:r>
        <w:rPr>
          <w:color w:val="231F20"/>
          <w:w w:val="110"/>
          <w:sz w:val="16"/>
        </w:rPr>
        <w:t>Calderón,</w:t>
      </w:r>
      <w:r>
        <w:rPr>
          <w:color w:val="231F20"/>
          <w:spacing w:val="-6"/>
          <w:w w:val="110"/>
          <w:sz w:val="16"/>
        </w:rPr>
        <w:t> </w:t>
      </w:r>
      <w:r>
        <w:rPr>
          <w:color w:val="231F20"/>
          <w:w w:val="110"/>
          <w:sz w:val="16"/>
        </w:rPr>
        <w:t>Agustín</w:t>
      </w:r>
      <w:r>
        <w:rPr>
          <w:color w:val="231F20"/>
          <w:spacing w:val="-6"/>
          <w:w w:val="110"/>
          <w:sz w:val="16"/>
        </w:rPr>
        <w:t> </w:t>
      </w:r>
      <w:r>
        <w:rPr>
          <w:color w:val="231F20"/>
          <w:w w:val="110"/>
          <w:sz w:val="16"/>
        </w:rPr>
        <w:t>Carstens,</w:t>
      </w:r>
      <w:r>
        <w:rPr>
          <w:color w:val="231F20"/>
          <w:spacing w:val="-6"/>
          <w:w w:val="110"/>
          <w:sz w:val="16"/>
        </w:rPr>
        <w:t> </w:t>
      </w:r>
      <w:r>
        <w:rPr>
          <w:color w:val="231F20"/>
          <w:w w:val="110"/>
          <w:sz w:val="16"/>
        </w:rPr>
        <w:t>aseguraría</w:t>
      </w:r>
      <w:r>
        <w:rPr>
          <w:color w:val="231F20"/>
          <w:spacing w:val="-6"/>
          <w:w w:val="110"/>
          <w:sz w:val="16"/>
        </w:rPr>
        <w:t> </w:t>
      </w:r>
      <w:r>
        <w:rPr>
          <w:color w:val="231F20"/>
          <w:w w:val="110"/>
          <w:sz w:val="16"/>
        </w:rPr>
        <w:t>que</w:t>
      </w:r>
      <w:r>
        <w:rPr>
          <w:color w:val="231F20"/>
          <w:spacing w:val="-6"/>
          <w:w w:val="110"/>
          <w:sz w:val="16"/>
        </w:rPr>
        <w:t> </w:t>
      </w:r>
      <w:r>
        <w:rPr>
          <w:color w:val="231F20"/>
          <w:w w:val="110"/>
          <w:sz w:val="16"/>
        </w:rPr>
        <w:t>el</w:t>
      </w:r>
      <w:r>
        <w:rPr>
          <w:color w:val="231F20"/>
          <w:spacing w:val="-6"/>
          <w:w w:val="110"/>
          <w:sz w:val="16"/>
        </w:rPr>
        <w:t> </w:t>
      </w:r>
      <w:r>
        <w:rPr>
          <w:color w:val="231F20"/>
          <w:w w:val="110"/>
          <w:sz w:val="16"/>
        </w:rPr>
        <w:t>gobierno</w:t>
      </w:r>
      <w:r>
        <w:rPr>
          <w:color w:val="231F20"/>
          <w:spacing w:val="-6"/>
          <w:w w:val="110"/>
          <w:sz w:val="16"/>
        </w:rPr>
        <w:t> </w:t>
      </w:r>
      <w:r>
        <w:rPr>
          <w:color w:val="231F20"/>
          <w:w w:val="110"/>
          <w:sz w:val="16"/>
        </w:rPr>
        <w:t>de</w:t>
      </w:r>
      <w:r>
        <w:rPr>
          <w:color w:val="231F20"/>
          <w:spacing w:val="-6"/>
          <w:w w:val="110"/>
          <w:sz w:val="16"/>
        </w:rPr>
        <w:t> </w:t>
      </w:r>
      <w:r>
        <w:rPr>
          <w:color w:val="231F20"/>
          <w:w w:val="110"/>
          <w:sz w:val="16"/>
        </w:rPr>
        <w:t>Estados Unidos era el responsable “del bache profundo que vive la economía mundial”, al entrar de manera tardía y equivocada a resolver el problema de los mercados hipo- tecarios y aseguró que, “al no rescatar al banco de inversión Lehman Brothers, por considerar que se relajaría la disciplina de otras instituciones y que la compañía no era tan relevante”, el gobierno desencadenó la peor crisis económica en decenios, “que brincó del sector hipotecario a la economía de ese país y después golpeó a todo el mundo” (</w:t>
      </w:r>
      <w:r>
        <w:rPr>
          <w:i/>
          <w:color w:val="231F20"/>
          <w:w w:val="110"/>
          <w:sz w:val="16"/>
        </w:rPr>
        <w:t>La Jornada</w:t>
      </w:r>
      <w:r>
        <w:rPr>
          <w:color w:val="231F20"/>
          <w:w w:val="110"/>
          <w:sz w:val="16"/>
        </w:rPr>
        <w:t>. 4 de junio de 2009, p.</w:t>
      </w:r>
      <w:r>
        <w:rPr>
          <w:color w:val="231F20"/>
          <w:spacing w:val="-12"/>
          <w:w w:val="110"/>
          <w:sz w:val="16"/>
        </w:rPr>
        <w:t> </w:t>
      </w:r>
      <w:r>
        <w:rPr>
          <w:color w:val="231F20"/>
          <w:w w:val="110"/>
          <w:sz w:val="16"/>
        </w:rPr>
        <w:t>31).</w:t>
      </w:r>
    </w:p>
    <w:p>
      <w:pPr>
        <w:spacing w:after="0" w:line="261" w:lineRule="auto"/>
        <w:jc w:val="both"/>
        <w:rPr>
          <w:sz w:val="16"/>
        </w:rPr>
        <w:sectPr>
          <w:pgSz w:w="7640" w:h="11900"/>
          <w:pgMar w:header="672" w:footer="0" w:top="860" w:bottom="280" w:left="660" w:right="760"/>
        </w:sectPr>
      </w:pPr>
    </w:p>
    <w:p>
      <w:pPr>
        <w:pStyle w:val="BodyText"/>
        <w:spacing w:line="261" w:lineRule="auto" w:before="167"/>
        <w:ind w:left="100" w:right="117"/>
        <w:jc w:val="both"/>
      </w:pPr>
      <w:r>
        <w:rPr>
          <w:color w:val="231F20"/>
          <w:w w:val="110"/>
        </w:rPr>
        <w:t>caída de la tasa de ganancia,</w:t>
      </w:r>
      <w:r>
        <w:rPr>
          <w:color w:val="231F20"/>
          <w:w w:val="110"/>
          <w:position w:val="6"/>
          <w:sz w:val="13"/>
        </w:rPr>
        <w:t>6 </w:t>
      </w:r>
      <w:r>
        <w:rPr>
          <w:color w:val="231F20"/>
          <w:w w:val="110"/>
        </w:rPr>
        <w:t>la sobreproducción de mercancías y la sobreacumulación</w:t>
      </w:r>
      <w:r>
        <w:rPr>
          <w:color w:val="231F20"/>
          <w:spacing w:val="-8"/>
          <w:w w:val="110"/>
        </w:rPr>
        <w:t> </w:t>
      </w:r>
      <w:r>
        <w:rPr>
          <w:color w:val="231F20"/>
          <w:w w:val="110"/>
        </w:rPr>
        <w:t>de</w:t>
      </w:r>
      <w:r>
        <w:rPr>
          <w:color w:val="231F20"/>
          <w:spacing w:val="-8"/>
          <w:w w:val="110"/>
        </w:rPr>
        <w:t> </w:t>
      </w:r>
      <w:r>
        <w:rPr>
          <w:color w:val="231F20"/>
          <w:w w:val="110"/>
        </w:rPr>
        <w:t>capital</w:t>
      </w:r>
      <w:r>
        <w:rPr>
          <w:color w:val="231F20"/>
          <w:spacing w:val="-8"/>
          <w:w w:val="110"/>
        </w:rPr>
        <w:t> </w:t>
      </w:r>
      <w:r>
        <w:rPr>
          <w:color w:val="231F20"/>
          <w:w w:val="110"/>
        </w:rPr>
        <w:t>global</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venían</w:t>
      </w:r>
      <w:r>
        <w:rPr>
          <w:color w:val="231F20"/>
          <w:spacing w:val="-8"/>
          <w:w w:val="110"/>
        </w:rPr>
        <w:t> </w:t>
      </w:r>
      <w:r>
        <w:rPr>
          <w:color w:val="231F20"/>
          <w:w w:val="110"/>
        </w:rPr>
        <w:t>gestando</w:t>
      </w:r>
      <w:r>
        <w:rPr>
          <w:color w:val="231F20"/>
          <w:spacing w:val="-8"/>
          <w:w w:val="110"/>
        </w:rPr>
        <w:t> </w:t>
      </w:r>
      <w:r>
        <w:rPr>
          <w:color w:val="231F20"/>
          <w:w w:val="110"/>
        </w:rPr>
        <w:t>desde</w:t>
      </w:r>
      <w:r>
        <w:rPr>
          <w:color w:val="231F20"/>
          <w:spacing w:val="-8"/>
          <w:w w:val="110"/>
        </w:rPr>
        <w:t> </w:t>
      </w:r>
      <w:r>
        <w:rPr>
          <w:color w:val="231F20"/>
          <w:w w:val="110"/>
        </w:rPr>
        <w:t>los años ochenta. En todo caso, como reconocía Carlos </w:t>
      </w:r>
      <w:r>
        <w:rPr>
          <w:color w:val="231F20"/>
          <w:spacing w:val="-4"/>
          <w:w w:val="110"/>
        </w:rPr>
        <w:t>Tello </w:t>
      </w:r>
      <w:r>
        <w:rPr>
          <w:color w:val="231F20"/>
          <w:w w:val="110"/>
        </w:rPr>
        <w:t>a</w:t>
      </w:r>
      <w:r>
        <w:rPr>
          <w:color w:val="231F20"/>
          <w:spacing w:val="-27"/>
          <w:w w:val="110"/>
        </w:rPr>
        <w:t> </w:t>
      </w:r>
      <w:r>
        <w:rPr>
          <w:color w:val="231F20"/>
          <w:w w:val="110"/>
        </w:rPr>
        <w:t>principio de enero de 2009: “Lo que se ha estado viviendo (y padeciendo), en por lo menos los últimos doce meses, es una recesión económica. Una</w:t>
      </w:r>
      <w:r>
        <w:rPr>
          <w:color w:val="231F20"/>
          <w:spacing w:val="-8"/>
          <w:w w:val="110"/>
        </w:rPr>
        <w:t> </w:t>
      </w:r>
      <w:r>
        <w:rPr>
          <w:color w:val="231F20"/>
          <w:w w:val="110"/>
        </w:rPr>
        <w:t>cada</w:t>
      </w:r>
      <w:r>
        <w:rPr>
          <w:color w:val="231F20"/>
          <w:spacing w:val="-8"/>
          <w:w w:val="110"/>
        </w:rPr>
        <w:t> </w:t>
      </w:r>
      <w:r>
        <w:rPr>
          <w:color w:val="231F20"/>
          <w:w w:val="110"/>
        </w:rPr>
        <w:t>vez</w:t>
      </w:r>
      <w:r>
        <w:rPr>
          <w:color w:val="231F20"/>
          <w:spacing w:val="-8"/>
          <w:w w:val="110"/>
        </w:rPr>
        <w:t> </w:t>
      </w:r>
      <w:r>
        <w:rPr>
          <w:color w:val="231F20"/>
          <w:w w:val="110"/>
        </w:rPr>
        <w:t>más</w:t>
      </w:r>
      <w:r>
        <w:rPr>
          <w:color w:val="231F20"/>
          <w:spacing w:val="-8"/>
          <w:w w:val="110"/>
        </w:rPr>
        <w:t> </w:t>
      </w:r>
      <w:r>
        <w:rPr>
          <w:color w:val="231F20"/>
          <w:w w:val="110"/>
        </w:rPr>
        <w:t>aguda</w:t>
      </w:r>
      <w:r>
        <w:rPr>
          <w:color w:val="231F20"/>
          <w:spacing w:val="-8"/>
          <w:w w:val="110"/>
        </w:rPr>
        <w:t> </w:t>
      </w:r>
      <w:r>
        <w:rPr>
          <w:color w:val="231F20"/>
          <w:w w:val="110"/>
        </w:rPr>
        <w:t>y</w:t>
      </w:r>
      <w:r>
        <w:rPr>
          <w:color w:val="231F20"/>
          <w:spacing w:val="-8"/>
          <w:w w:val="110"/>
        </w:rPr>
        <w:t> </w:t>
      </w:r>
      <w:r>
        <w:rPr>
          <w:color w:val="231F20"/>
          <w:w w:val="110"/>
        </w:rPr>
        <w:t>profunda</w:t>
      </w:r>
      <w:r>
        <w:rPr>
          <w:color w:val="231F20"/>
          <w:spacing w:val="-8"/>
          <w:w w:val="110"/>
        </w:rPr>
        <w:t> </w:t>
      </w:r>
      <w:r>
        <w:rPr>
          <w:color w:val="231F20"/>
          <w:w w:val="110"/>
        </w:rPr>
        <w:t>crisis</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w w:val="110"/>
        </w:rPr>
        <w:t>como</w:t>
      </w:r>
      <w:r>
        <w:rPr>
          <w:color w:val="231F20"/>
          <w:spacing w:val="-8"/>
          <w:w w:val="110"/>
        </w:rPr>
        <w:t> </w:t>
      </w:r>
      <w:r>
        <w:rPr>
          <w:color w:val="231F20"/>
          <w:w w:val="110"/>
        </w:rPr>
        <w:t>con</w:t>
      </w:r>
      <w:r>
        <w:rPr>
          <w:color w:val="231F20"/>
          <w:spacing w:val="-8"/>
          <w:w w:val="110"/>
        </w:rPr>
        <w:t> </w:t>
      </w:r>
      <w:r>
        <w:rPr>
          <w:color w:val="231F20"/>
          <w:w w:val="110"/>
        </w:rPr>
        <w:t>frecuencia se afirma, una crisis financiera” </w:t>
      </w:r>
      <w:r>
        <w:rPr>
          <w:color w:val="231F20"/>
          <w:spacing w:val="-3"/>
          <w:w w:val="110"/>
        </w:rPr>
        <w:t>(Tello, </w:t>
      </w:r>
      <w:r>
        <w:rPr>
          <w:color w:val="231F20"/>
          <w:w w:val="110"/>
        </w:rPr>
        <w:t>2009:</w:t>
      </w:r>
      <w:r>
        <w:rPr>
          <w:color w:val="231F20"/>
          <w:spacing w:val="-14"/>
          <w:w w:val="110"/>
        </w:rPr>
        <w:t> </w:t>
      </w:r>
      <w:r>
        <w:rPr>
          <w:color w:val="231F20"/>
          <w:w w:val="110"/>
        </w:rPr>
        <w:t>8).</w:t>
      </w:r>
    </w:p>
    <w:p>
      <w:pPr>
        <w:pStyle w:val="BodyText"/>
        <w:spacing w:line="261" w:lineRule="auto"/>
        <w:ind w:left="100" w:right="115" w:firstLine="240"/>
        <w:jc w:val="both"/>
      </w:pPr>
      <w:r>
        <w:rPr>
          <w:color w:val="231F20"/>
          <w:w w:val="110"/>
        </w:rPr>
        <w:t>Ciertamente, ya era insuficiente hablar de “burbuja financiera” pues se reconocía la presencia de una crisis cíclica de sobreproduc- ción que provocaba la caída de la rentabilidad en la economía real tanto en los países metropolitanos como en los periféricos. Esta crisis cíclica de sobreproducción, se empalmó en el tiempo —lo</w:t>
      </w:r>
      <w:r>
        <w:rPr>
          <w:color w:val="231F20"/>
          <w:spacing w:val="-11"/>
          <w:w w:val="110"/>
        </w:rPr>
        <w:t> </w:t>
      </w:r>
      <w:r>
        <w:rPr>
          <w:color w:val="231F20"/>
          <w:w w:val="110"/>
        </w:rPr>
        <w:t>que no siempre ocurre—con la crisis estructural de la modalidad neoli- </w:t>
      </w:r>
      <w:r>
        <w:rPr>
          <w:color w:val="231F20"/>
          <w:spacing w:val="2"/>
          <w:w w:val="110"/>
        </w:rPr>
        <w:t>beral </w:t>
      </w:r>
      <w:r>
        <w:rPr>
          <w:color w:val="231F20"/>
          <w:w w:val="110"/>
        </w:rPr>
        <w:t>del </w:t>
      </w:r>
      <w:r>
        <w:rPr>
          <w:color w:val="231F20"/>
          <w:spacing w:val="2"/>
          <w:w w:val="110"/>
        </w:rPr>
        <w:t>capitalismo, </w:t>
      </w:r>
      <w:r>
        <w:rPr>
          <w:color w:val="231F20"/>
          <w:w w:val="110"/>
        </w:rPr>
        <w:t>que </w:t>
      </w:r>
      <w:r>
        <w:rPr>
          <w:color w:val="231F20"/>
          <w:spacing w:val="2"/>
          <w:w w:val="110"/>
        </w:rPr>
        <w:t>venía desarrollándose desde </w:t>
      </w:r>
      <w:r>
        <w:rPr>
          <w:color w:val="231F20"/>
          <w:w w:val="110"/>
        </w:rPr>
        <w:t>los </w:t>
      </w:r>
      <w:r>
        <w:rPr>
          <w:color w:val="231F20"/>
          <w:spacing w:val="3"/>
          <w:w w:val="110"/>
        </w:rPr>
        <w:t>años </w:t>
      </w:r>
      <w:r>
        <w:rPr>
          <w:color w:val="231F20"/>
          <w:w w:val="110"/>
        </w:rPr>
        <w:t>iniciales del siglo</w:t>
      </w:r>
      <w:r>
        <w:rPr>
          <w:color w:val="231F20"/>
          <w:spacing w:val="25"/>
          <w:w w:val="110"/>
        </w:rPr>
        <w:t> </w:t>
      </w:r>
      <w:r>
        <w:rPr>
          <w:color w:val="231F20"/>
          <w:w w:val="110"/>
        </w:rPr>
        <w:t>xxi.</w:t>
      </w:r>
    </w:p>
    <w:p>
      <w:pPr>
        <w:pStyle w:val="BodyText"/>
      </w:pPr>
    </w:p>
    <w:p>
      <w:pPr>
        <w:pStyle w:val="BodyText"/>
      </w:pPr>
    </w:p>
    <w:p>
      <w:pPr>
        <w:pStyle w:val="BodyText"/>
        <w:spacing w:before="2"/>
        <w:rPr>
          <w:sz w:val="25"/>
        </w:rPr>
      </w:pPr>
    </w:p>
    <w:p>
      <w:pPr>
        <w:pStyle w:val="BodyText"/>
        <w:ind w:left="100"/>
        <w:jc w:val="both"/>
      </w:pPr>
      <w:r>
        <w:rPr>
          <w:color w:val="231F20"/>
          <w:w w:val="125"/>
        </w:rPr>
        <w:t>las consecuencias de las crisis</w:t>
      </w:r>
    </w:p>
    <w:p>
      <w:pPr>
        <w:pStyle w:val="BodyText"/>
        <w:spacing w:before="5"/>
        <w:rPr>
          <w:sz w:val="23"/>
        </w:rPr>
      </w:pPr>
    </w:p>
    <w:p>
      <w:pPr>
        <w:pStyle w:val="BodyText"/>
        <w:spacing w:line="261" w:lineRule="auto"/>
        <w:ind w:left="100" w:right="117"/>
        <w:jc w:val="right"/>
      </w:pPr>
      <w:r>
        <w:rPr>
          <w:color w:val="231F20"/>
          <w:w w:val="110"/>
        </w:rPr>
        <w:t>Discutir</w:t>
      </w:r>
      <w:r>
        <w:rPr>
          <w:color w:val="231F20"/>
          <w:spacing w:val="-22"/>
          <w:w w:val="110"/>
        </w:rPr>
        <w:t> </w:t>
      </w:r>
      <w:r>
        <w:rPr>
          <w:color w:val="231F20"/>
          <w:w w:val="110"/>
        </w:rPr>
        <w:t>si</w:t>
      </w:r>
      <w:r>
        <w:rPr>
          <w:color w:val="231F20"/>
          <w:spacing w:val="-22"/>
          <w:w w:val="110"/>
        </w:rPr>
        <w:t> </w:t>
      </w:r>
      <w:r>
        <w:rPr>
          <w:color w:val="231F20"/>
          <w:w w:val="110"/>
        </w:rPr>
        <w:t>la</w:t>
      </w:r>
      <w:r>
        <w:rPr>
          <w:color w:val="231F20"/>
          <w:spacing w:val="-22"/>
          <w:w w:val="110"/>
        </w:rPr>
        <w:t> </w:t>
      </w:r>
      <w:r>
        <w:rPr>
          <w:color w:val="231F20"/>
          <w:w w:val="110"/>
        </w:rPr>
        <w:t>crisis</w:t>
      </w:r>
      <w:r>
        <w:rPr>
          <w:color w:val="231F20"/>
          <w:spacing w:val="-22"/>
          <w:w w:val="110"/>
        </w:rPr>
        <w:t> </w:t>
      </w:r>
      <w:r>
        <w:rPr>
          <w:color w:val="231F20"/>
          <w:w w:val="110"/>
        </w:rPr>
        <w:t>actual</w:t>
      </w:r>
      <w:r>
        <w:rPr>
          <w:color w:val="231F20"/>
          <w:spacing w:val="-22"/>
          <w:w w:val="110"/>
        </w:rPr>
        <w:t> </w:t>
      </w:r>
      <w:r>
        <w:rPr>
          <w:color w:val="231F20"/>
          <w:w w:val="110"/>
        </w:rPr>
        <w:t>es</w:t>
      </w:r>
      <w:r>
        <w:rPr>
          <w:color w:val="231F20"/>
          <w:spacing w:val="-22"/>
          <w:w w:val="110"/>
        </w:rPr>
        <w:t> </w:t>
      </w:r>
      <w:r>
        <w:rPr>
          <w:color w:val="231F20"/>
          <w:w w:val="110"/>
        </w:rPr>
        <w:t>más</w:t>
      </w:r>
      <w:r>
        <w:rPr>
          <w:color w:val="231F20"/>
          <w:spacing w:val="-22"/>
          <w:w w:val="110"/>
        </w:rPr>
        <w:t> </w:t>
      </w:r>
      <w:r>
        <w:rPr>
          <w:color w:val="231F20"/>
          <w:w w:val="110"/>
        </w:rPr>
        <w:t>o</w:t>
      </w:r>
      <w:r>
        <w:rPr>
          <w:color w:val="231F20"/>
          <w:spacing w:val="-22"/>
          <w:w w:val="110"/>
        </w:rPr>
        <w:t> </w:t>
      </w:r>
      <w:r>
        <w:rPr>
          <w:color w:val="231F20"/>
          <w:w w:val="110"/>
        </w:rPr>
        <w:t>menos</w:t>
      </w:r>
      <w:r>
        <w:rPr>
          <w:color w:val="231F20"/>
          <w:spacing w:val="-22"/>
          <w:w w:val="110"/>
        </w:rPr>
        <w:t> </w:t>
      </w:r>
      <w:r>
        <w:rPr>
          <w:color w:val="231F20"/>
          <w:w w:val="110"/>
        </w:rPr>
        <w:t>violenta</w:t>
      </w:r>
      <w:r>
        <w:rPr>
          <w:color w:val="231F20"/>
          <w:spacing w:val="-22"/>
          <w:w w:val="110"/>
        </w:rPr>
        <w:t> </w:t>
      </w:r>
      <w:r>
        <w:rPr>
          <w:color w:val="231F20"/>
          <w:w w:val="110"/>
        </w:rPr>
        <w:t>y</w:t>
      </w:r>
      <w:r>
        <w:rPr>
          <w:color w:val="231F20"/>
          <w:spacing w:val="-22"/>
          <w:w w:val="110"/>
        </w:rPr>
        <w:t> </w:t>
      </w:r>
      <w:r>
        <w:rPr>
          <w:color w:val="231F20"/>
          <w:w w:val="110"/>
        </w:rPr>
        <w:t>profunda</w:t>
      </w:r>
      <w:r>
        <w:rPr>
          <w:color w:val="231F20"/>
          <w:spacing w:val="-22"/>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de</w:t>
      </w:r>
      <w:r>
        <w:rPr>
          <w:color w:val="231F20"/>
          <w:w w:val="114"/>
        </w:rPr>
        <w:t> </w:t>
      </w:r>
      <w:r>
        <w:rPr>
          <w:color w:val="231F20"/>
          <w:w w:val="110"/>
        </w:rPr>
        <w:t>1929-1933,</w:t>
      </w:r>
      <w:r>
        <w:rPr>
          <w:color w:val="231F20"/>
          <w:spacing w:val="-11"/>
          <w:w w:val="110"/>
        </w:rPr>
        <w:t> </w:t>
      </w:r>
      <w:r>
        <w:rPr>
          <w:color w:val="231F20"/>
          <w:w w:val="110"/>
        </w:rPr>
        <w:t>resulta</w:t>
      </w:r>
      <w:r>
        <w:rPr>
          <w:color w:val="231F20"/>
          <w:spacing w:val="-11"/>
          <w:w w:val="110"/>
        </w:rPr>
        <w:t> </w:t>
      </w:r>
      <w:r>
        <w:rPr>
          <w:color w:val="231F20"/>
          <w:w w:val="110"/>
        </w:rPr>
        <w:t>ocioso;</w:t>
      </w:r>
      <w:r>
        <w:rPr>
          <w:color w:val="231F20"/>
          <w:spacing w:val="-11"/>
          <w:w w:val="110"/>
        </w:rPr>
        <w:t> </w:t>
      </w:r>
      <w:r>
        <w:rPr>
          <w:color w:val="231F20"/>
          <w:w w:val="110"/>
        </w:rPr>
        <w:t>lo</w:t>
      </w:r>
      <w:r>
        <w:rPr>
          <w:color w:val="231F20"/>
          <w:spacing w:val="-11"/>
          <w:w w:val="110"/>
        </w:rPr>
        <w:t> </w:t>
      </w:r>
      <w:r>
        <w:rPr>
          <w:color w:val="231F20"/>
          <w:w w:val="110"/>
        </w:rPr>
        <w:t>relevante</w:t>
      </w:r>
      <w:r>
        <w:rPr>
          <w:color w:val="231F20"/>
          <w:spacing w:val="-11"/>
          <w:w w:val="110"/>
        </w:rPr>
        <w:t> </w:t>
      </w:r>
      <w:r>
        <w:rPr>
          <w:color w:val="231F20"/>
          <w:w w:val="110"/>
        </w:rPr>
        <w:t>es</w:t>
      </w:r>
      <w:r>
        <w:rPr>
          <w:color w:val="231F20"/>
          <w:spacing w:val="-11"/>
          <w:w w:val="110"/>
        </w:rPr>
        <w:t> </w:t>
      </w:r>
      <w:r>
        <w:rPr>
          <w:color w:val="231F20"/>
          <w:w w:val="110"/>
        </w:rPr>
        <w:t>saber</w:t>
      </w:r>
      <w:r>
        <w:rPr>
          <w:color w:val="231F20"/>
          <w:spacing w:val="-11"/>
          <w:w w:val="110"/>
        </w:rPr>
        <w:t> </w:t>
      </w:r>
      <w:r>
        <w:rPr>
          <w:color w:val="231F20"/>
          <w:w w:val="110"/>
        </w:rPr>
        <w:t>que</w:t>
      </w:r>
      <w:r>
        <w:rPr>
          <w:color w:val="231F20"/>
          <w:spacing w:val="-11"/>
          <w:w w:val="110"/>
        </w:rPr>
        <w:t> </w:t>
      </w:r>
      <w:r>
        <w:rPr>
          <w:color w:val="231F20"/>
          <w:w w:val="110"/>
        </w:rPr>
        <w:t>ambas,</w:t>
      </w:r>
      <w:r>
        <w:rPr>
          <w:color w:val="231F20"/>
          <w:spacing w:val="-11"/>
          <w:w w:val="110"/>
        </w:rPr>
        <w:t> </w:t>
      </w:r>
      <w:r>
        <w:rPr>
          <w:color w:val="231F20"/>
          <w:w w:val="110"/>
        </w:rPr>
        <w:t>junto</w:t>
      </w:r>
      <w:r>
        <w:rPr>
          <w:color w:val="231F20"/>
          <w:spacing w:val="-11"/>
          <w:w w:val="110"/>
        </w:rPr>
        <w:t> </w:t>
      </w:r>
      <w:r>
        <w:rPr>
          <w:color w:val="231F20"/>
          <w:w w:val="110"/>
        </w:rPr>
        <w:t>con</w:t>
      </w:r>
      <w:r>
        <w:rPr>
          <w:color w:val="231F20"/>
          <w:w w:val="112"/>
        </w:rPr>
        <w:t> </w:t>
      </w:r>
      <w:r>
        <w:rPr>
          <w:color w:val="231F20"/>
          <w:w w:val="110"/>
        </w:rPr>
        <w:t>la de finales de los años setenta y principios de los ochenta</w:t>
      </w:r>
      <w:r>
        <w:rPr>
          <w:color w:val="231F20"/>
          <w:spacing w:val="7"/>
          <w:w w:val="110"/>
        </w:rPr>
        <w:t> </w:t>
      </w:r>
      <w:r>
        <w:rPr>
          <w:color w:val="231F20"/>
          <w:w w:val="110"/>
        </w:rPr>
        <w:t>del siglo</w:t>
      </w:r>
      <w:r>
        <w:rPr>
          <w:color w:val="231F20"/>
          <w:w w:val="102"/>
        </w:rPr>
        <w:t> </w:t>
      </w:r>
      <w:r>
        <w:rPr>
          <w:color w:val="231F20"/>
          <w:w w:val="110"/>
        </w:rPr>
        <w:t>pasado, comparten una característica común: marcan el fin</w:t>
      </w:r>
      <w:r>
        <w:rPr>
          <w:color w:val="231F20"/>
          <w:spacing w:val="47"/>
          <w:w w:val="110"/>
        </w:rPr>
        <w:t> </w:t>
      </w:r>
      <w:r>
        <w:rPr>
          <w:color w:val="231F20"/>
          <w:w w:val="110"/>
        </w:rPr>
        <w:t>de</w:t>
      </w:r>
      <w:r>
        <w:rPr>
          <w:color w:val="231F20"/>
          <w:spacing w:val="19"/>
          <w:w w:val="110"/>
        </w:rPr>
        <w:t> </w:t>
      </w:r>
      <w:r>
        <w:rPr>
          <w:color w:val="231F20"/>
          <w:w w:val="110"/>
        </w:rPr>
        <w:t>dis-</w:t>
      </w:r>
      <w:r>
        <w:rPr>
          <w:color w:val="231F20"/>
          <w:w w:val="72"/>
        </w:rPr>
        <w:t> </w:t>
      </w:r>
      <w:r>
        <w:rPr>
          <w:color w:val="231F20"/>
          <w:w w:val="110"/>
        </w:rPr>
        <w:t>tintas modalidades del proceso de acumulación</w:t>
      </w:r>
      <w:r>
        <w:rPr>
          <w:color w:val="231F20"/>
          <w:spacing w:val="45"/>
          <w:w w:val="110"/>
        </w:rPr>
        <w:t> </w:t>
      </w:r>
      <w:r>
        <w:rPr>
          <w:color w:val="231F20"/>
          <w:w w:val="110"/>
        </w:rPr>
        <w:t>capitalista</w:t>
      </w:r>
      <w:r>
        <w:rPr>
          <w:color w:val="231F20"/>
          <w:spacing w:val="7"/>
          <w:w w:val="110"/>
        </w:rPr>
        <w:t> </w:t>
      </w:r>
      <w:r>
        <w:rPr>
          <w:color w:val="231F20"/>
          <w:w w:val="110"/>
        </w:rPr>
        <w:t>mundial.</w:t>
      </w:r>
      <w:r>
        <w:rPr>
          <w:color w:val="231F20"/>
          <w:w w:val="111"/>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crisis</w:t>
      </w:r>
      <w:r>
        <w:rPr>
          <w:color w:val="231F20"/>
          <w:spacing w:val="-17"/>
          <w:w w:val="110"/>
        </w:rPr>
        <w:t> </w:t>
      </w:r>
      <w:r>
        <w:rPr>
          <w:color w:val="231F20"/>
          <w:w w:val="110"/>
        </w:rPr>
        <w:t>de</w:t>
      </w:r>
      <w:r>
        <w:rPr>
          <w:color w:val="231F20"/>
          <w:spacing w:val="-17"/>
          <w:w w:val="110"/>
        </w:rPr>
        <w:t> </w:t>
      </w:r>
      <w:r>
        <w:rPr>
          <w:color w:val="231F20"/>
          <w:w w:val="110"/>
        </w:rPr>
        <w:t>1929-1933</w:t>
      </w:r>
      <w:r>
        <w:rPr>
          <w:color w:val="231F20"/>
          <w:spacing w:val="-17"/>
          <w:w w:val="110"/>
        </w:rPr>
        <w:t> </w:t>
      </w:r>
      <w:r>
        <w:rPr>
          <w:color w:val="231F20"/>
          <w:w w:val="110"/>
        </w:rPr>
        <w:t>concluyó</w:t>
      </w:r>
      <w:r>
        <w:rPr>
          <w:color w:val="231F20"/>
          <w:spacing w:val="-17"/>
          <w:w w:val="110"/>
        </w:rPr>
        <w:t> </w:t>
      </w:r>
      <w:r>
        <w:rPr>
          <w:color w:val="231F20"/>
          <w:w w:val="110"/>
        </w:rPr>
        <w:t>la</w:t>
      </w:r>
      <w:r>
        <w:rPr>
          <w:color w:val="231F20"/>
          <w:spacing w:val="-17"/>
          <w:w w:val="110"/>
        </w:rPr>
        <w:t> </w:t>
      </w:r>
      <w:r>
        <w:rPr>
          <w:color w:val="231F20"/>
          <w:w w:val="110"/>
        </w:rPr>
        <w:t>fase</w:t>
      </w:r>
      <w:r>
        <w:rPr>
          <w:color w:val="231F20"/>
          <w:spacing w:val="-17"/>
          <w:w w:val="110"/>
        </w:rPr>
        <w:t> </w:t>
      </w:r>
      <w:r>
        <w:rPr>
          <w:color w:val="231F20"/>
          <w:w w:val="110"/>
        </w:rPr>
        <w:t>del</w:t>
      </w:r>
      <w:r>
        <w:rPr>
          <w:color w:val="231F20"/>
          <w:spacing w:val="-17"/>
          <w:w w:val="110"/>
        </w:rPr>
        <w:t> </w:t>
      </w:r>
      <w:r>
        <w:rPr>
          <w:color w:val="231F20"/>
          <w:w w:val="110"/>
        </w:rPr>
        <w:t>capitalismo</w:t>
      </w:r>
      <w:r>
        <w:rPr>
          <w:color w:val="231F20"/>
          <w:spacing w:val="-17"/>
          <w:w w:val="110"/>
        </w:rPr>
        <w:t> </w:t>
      </w:r>
      <w:r>
        <w:rPr>
          <w:color w:val="231F20"/>
          <w:w w:val="110"/>
        </w:rPr>
        <w:t>comer-</w:t>
      </w:r>
      <w:r>
        <w:rPr>
          <w:color w:val="231F20"/>
          <w:w w:val="72"/>
        </w:rPr>
        <w:t> </w:t>
      </w:r>
      <w:r>
        <w:rPr>
          <w:color w:val="231F20"/>
          <w:w w:val="110"/>
        </w:rPr>
        <w:t>cial</w:t>
      </w:r>
      <w:r>
        <w:rPr>
          <w:color w:val="231F20"/>
          <w:spacing w:val="19"/>
          <w:w w:val="110"/>
        </w:rPr>
        <w:t> </w:t>
      </w:r>
      <w:r>
        <w:rPr>
          <w:color w:val="231F20"/>
          <w:w w:val="110"/>
        </w:rPr>
        <w:t>que</w:t>
      </w:r>
      <w:r>
        <w:rPr>
          <w:color w:val="231F20"/>
          <w:spacing w:val="19"/>
          <w:w w:val="110"/>
        </w:rPr>
        <w:t> </w:t>
      </w:r>
      <w:r>
        <w:rPr>
          <w:color w:val="231F20"/>
          <w:w w:val="110"/>
        </w:rPr>
        <w:t>desde</w:t>
      </w:r>
      <w:r>
        <w:rPr>
          <w:color w:val="231F20"/>
          <w:spacing w:val="19"/>
          <w:w w:val="110"/>
        </w:rPr>
        <w:t> </w:t>
      </w:r>
      <w:r>
        <w:rPr>
          <w:color w:val="231F20"/>
          <w:w w:val="110"/>
        </w:rPr>
        <w:t>finales</w:t>
      </w:r>
      <w:r>
        <w:rPr>
          <w:color w:val="231F20"/>
          <w:spacing w:val="19"/>
          <w:w w:val="110"/>
        </w:rPr>
        <w:t> </w:t>
      </w:r>
      <w:r>
        <w:rPr>
          <w:color w:val="231F20"/>
          <w:w w:val="110"/>
        </w:rPr>
        <w:t>del</w:t>
      </w:r>
      <w:r>
        <w:rPr>
          <w:color w:val="231F20"/>
          <w:spacing w:val="19"/>
          <w:w w:val="110"/>
        </w:rPr>
        <w:t> </w:t>
      </w:r>
      <w:r>
        <w:rPr>
          <w:color w:val="231F20"/>
          <w:w w:val="110"/>
        </w:rPr>
        <w:t>siglo</w:t>
      </w:r>
      <w:r>
        <w:rPr>
          <w:color w:val="231F20"/>
          <w:spacing w:val="19"/>
          <w:w w:val="110"/>
        </w:rPr>
        <w:t> </w:t>
      </w:r>
      <w:r>
        <w:rPr>
          <w:color w:val="231F20"/>
          <w:w w:val="110"/>
        </w:rPr>
        <w:t>xix</w:t>
      </w:r>
      <w:r>
        <w:rPr>
          <w:color w:val="231F20"/>
          <w:spacing w:val="19"/>
          <w:w w:val="110"/>
        </w:rPr>
        <w:t> </w:t>
      </w:r>
      <w:r>
        <w:rPr>
          <w:color w:val="231F20"/>
          <w:w w:val="110"/>
        </w:rPr>
        <w:t>venía</w:t>
      </w:r>
      <w:r>
        <w:rPr>
          <w:color w:val="231F20"/>
          <w:spacing w:val="19"/>
          <w:w w:val="110"/>
        </w:rPr>
        <w:t> </w:t>
      </w:r>
      <w:r>
        <w:rPr>
          <w:color w:val="231F20"/>
          <w:w w:val="110"/>
        </w:rPr>
        <w:t>siendo</w:t>
      </w:r>
      <w:r>
        <w:rPr>
          <w:color w:val="231F20"/>
          <w:spacing w:val="19"/>
          <w:w w:val="110"/>
        </w:rPr>
        <w:t> </w:t>
      </w:r>
      <w:r>
        <w:rPr>
          <w:color w:val="231F20"/>
          <w:w w:val="110"/>
        </w:rPr>
        <w:t>desplazada</w:t>
      </w:r>
      <w:r>
        <w:rPr>
          <w:color w:val="231F20"/>
          <w:spacing w:val="19"/>
          <w:w w:val="110"/>
        </w:rPr>
        <w:t> </w:t>
      </w:r>
      <w:r>
        <w:rPr>
          <w:color w:val="231F20"/>
          <w:w w:val="110"/>
        </w:rPr>
        <w:t>por</w:t>
      </w:r>
      <w:r>
        <w:rPr>
          <w:color w:val="231F20"/>
          <w:spacing w:val="19"/>
          <w:w w:val="110"/>
        </w:rPr>
        <w:t> </w:t>
      </w:r>
      <w:r>
        <w:rPr>
          <w:color w:val="231F20"/>
          <w:w w:val="110"/>
        </w:rPr>
        <w:t>la</w:t>
      </w:r>
      <w:r>
        <w:rPr>
          <w:color w:val="231F20"/>
          <w:w w:val="105"/>
        </w:rPr>
        <w:t> </w:t>
      </w:r>
      <w:r>
        <w:rPr>
          <w:color w:val="231F20"/>
          <w:w w:val="110"/>
        </w:rPr>
        <w:t>fase imperialista sustentada en la hegemonía del capital</w:t>
      </w:r>
      <w:r>
        <w:rPr>
          <w:color w:val="231F20"/>
          <w:spacing w:val="-1"/>
          <w:w w:val="110"/>
        </w:rPr>
        <w:t> </w:t>
      </w:r>
      <w:r>
        <w:rPr>
          <w:color w:val="231F20"/>
          <w:w w:val="110"/>
        </w:rPr>
        <w:t>financiero</w:t>
      </w:r>
      <w:r>
        <w:rPr>
          <w:color w:val="231F20"/>
          <w:spacing w:val="-1"/>
          <w:w w:val="110"/>
        </w:rPr>
        <w:t> </w:t>
      </w:r>
      <w:r>
        <w:rPr>
          <w:color w:val="231F20"/>
          <w:w w:val="110"/>
        </w:rPr>
        <w:t>y</w:t>
      </w:r>
      <w:r>
        <w:rPr>
          <w:color w:val="231F20"/>
          <w:w w:val="84"/>
        </w:rPr>
        <w:t> </w:t>
      </w:r>
      <w:r>
        <w:rPr>
          <w:color w:val="231F20"/>
          <w:w w:val="110"/>
        </w:rPr>
        <w:t>la exportación de capitales. Históricamente, “La época que </w:t>
      </w:r>
      <w:r>
        <w:rPr>
          <w:color w:val="231F20"/>
          <w:spacing w:val="28"/>
          <w:w w:val="110"/>
        </w:rPr>
        <w:t> </w:t>
      </w:r>
      <w:r>
        <w:rPr>
          <w:color w:val="231F20"/>
          <w:w w:val="110"/>
        </w:rPr>
        <w:t>terminó</w:t>
      </w:r>
    </w:p>
    <w:p>
      <w:pPr>
        <w:pStyle w:val="BodyText"/>
      </w:pPr>
    </w:p>
    <w:p>
      <w:pPr>
        <w:pStyle w:val="BodyText"/>
        <w:spacing w:before="10"/>
        <w:rPr>
          <w:sz w:val="21"/>
        </w:rPr>
      </w:pPr>
    </w:p>
    <w:p>
      <w:pPr>
        <w:spacing w:line="261" w:lineRule="auto" w:before="0"/>
        <w:ind w:left="100" w:right="117" w:firstLine="240"/>
        <w:jc w:val="both"/>
        <w:rPr>
          <w:sz w:val="16"/>
        </w:rPr>
      </w:pPr>
      <w:r>
        <w:rPr>
          <w:color w:val="231F20"/>
          <w:w w:val="110"/>
          <w:position w:val="5"/>
          <w:sz w:val="10"/>
        </w:rPr>
        <w:t>6</w:t>
      </w:r>
      <w:r>
        <w:rPr>
          <w:color w:val="231F20"/>
          <w:spacing w:val="7"/>
          <w:w w:val="110"/>
          <w:position w:val="5"/>
          <w:sz w:val="10"/>
        </w:rPr>
        <w:t> </w:t>
      </w:r>
      <w:r>
        <w:rPr>
          <w:color w:val="231F20"/>
          <w:w w:val="110"/>
          <w:sz w:val="16"/>
        </w:rPr>
        <w:t>La</w:t>
      </w:r>
      <w:r>
        <w:rPr>
          <w:color w:val="231F20"/>
          <w:spacing w:val="-16"/>
          <w:w w:val="110"/>
          <w:sz w:val="16"/>
        </w:rPr>
        <w:t> </w:t>
      </w:r>
      <w:r>
        <w:rPr>
          <w:color w:val="231F20"/>
          <w:w w:val="110"/>
          <w:sz w:val="16"/>
        </w:rPr>
        <w:t>globalización,</w:t>
      </w:r>
      <w:r>
        <w:rPr>
          <w:color w:val="231F20"/>
          <w:spacing w:val="-16"/>
          <w:w w:val="110"/>
          <w:sz w:val="16"/>
        </w:rPr>
        <w:t> </w:t>
      </w:r>
      <w:r>
        <w:rPr>
          <w:color w:val="231F20"/>
          <w:w w:val="110"/>
          <w:sz w:val="16"/>
        </w:rPr>
        <w:t>cuya</w:t>
      </w:r>
      <w:r>
        <w:rPr>
          <w:color w:val="231F20"/>
          <w:spacing w:val="-16"/>
          <w:w w:val="110"/>
          <w:sz w:val="16"/>
        </w:rPr>
        <w:t> </w:t>
      </w:r>
      <w:r>
        <w:rPr>
          <w:color w:val="231F20"/>
          <w:w w:val="110"/>
          <w:sz w:val="16"/>
        </w:rPr>
        <w:t>aparición</w:t>
      </w:r>
      <w:r>
        <w:rPr>
          <w:color w:val="231F20"/>
          <w:spacing w:val="-16"/>
          <w:w w:val="110"/>
          <w:sz w:val="16"/>
        </w:rPr>
        <w:t> </w:t>
      </w:r>
      <w:r>
        <w:rPr>
          <w:color w:val="231F20"/>
          <w:w w:val="110"/>
          <w:sz w:val="16"/>
        </w:rPr>
        <w:t>parecía</w:t>
      </w:r>
      <w:r>
        <w:rPr>
          <w:color w:val="231F20"/>
          <w:spacing w:val="-16"/>
          <w:w w:val="110"/>
          <w:sz w:val="16"/>
        </w:rPr>
        <w:t> </w:t>
      </w:r>
      <w:r>
        <w:rPr>
          <w:color w:val="231F20"/>
          <w:w w:val="110"/>
          <w:sz w:val="16"/>
        </w:rPr>
        <w:t>resolvería</w:t>
      </w:r>
      <w:r>
        <w:rPr>
          <w:color w:val="231F20"/>
          <w:spacing w:val="-16"/>
          <w:w w:val="110"/>
          <w:sz w:val="16"/>
        </w:rPr>
        <w:t> </w:t>
      </w:r>
      <w:r>
        <w:rPr>
          <w:color w:val="231F20"/>
          <w:w w:val="110"/>
          <w:sz w:val="16"/>
        </w:rPr>
        <w:t>el</w:t>
      </w:r>
      <w:r>
        <w:rPr>
          <w:color w:val="231F20"/>
          <w:spacing w:val="-16"/>
          <w:w w:val="110"/>
          <w:sz w:val="16"/>
        </w:rPr>
        <w:t> </w:t>
      </w:r>
      <w:r>
        <w:rPr>
          <w:color w:val="231F20"/>
          <w:w w:val="110"/>
          <w:sz w:val="16"/>
        </w:rPr>
        <w:t>problema</w:t>
      </w:r>
      <w:r>
        <w:rPr>
          <w:color w:val="231F20"/>
          <w:spacing w:val="-16"/>
          <w:w w:val="110"/>
          <w:sz w:val="16"/>
        </w:rPr>
        <w:t> </w:t>
      </w:r>
      <w:r>
        <w:rPr>
          <w:color w:val="231F20"/>
          <w:w w:val="110"/>
          <w:sz w:val="16"/>
        </w:rPr>
        <w:t>del</w:t>
      </w:r>
      <w:r>
        <w:rPr>
          <w:color w:val="231F20"/>
          <w:spacing w:val="-16"/>
          <w:w w:val="110"/>
          <w:sz w:val="16"/>
        </w:rPr>
        <w:t> </w:t>
      </w:r>
      <w:r>
        <w:rPr>
          <w:color w:val="231F20"/>
          <w:w w:val="110"/>
          <w:sz w:val="16"/>
        </w:rPr>
        <w:t>estancamiento económico de finales de los años setenta, en realidad provocó la exacerbación del problema de la sobreproducción, en tanto que añadió mayor capacidad productiva     a la economía mundial. Así, desde los últimos años del siglo pasado, un imponente volumen de capacidad manufacturera vino a añadirse con China, lo que ha tenido    un efecto depresor sobre precios y beneficios. No es casualidad que desde 1997 los beneficios de las corporaciones estadunidenses dejaran de crecer. De acuerdo con una estimación, “la tasa de beneficios de las 500 primeras corporaciones de la lista</w:t>
      </w:r>
      <w:r>
        <w:rPr>
          <w:color w:val="231F20"/>
          <w:spacing w:val="-27"/>
          <w:w w:val="110"/>
          <w:sz w:val="16"/>
        </w:rPr>
        <w:t> </w:t>
      </w:r>
      <w:r>
        <w:rPr>
          <w:color w:val="231F20"/>
          <w:w w:val="110"/>
          <w:sz w:val="16"/>
        </w:rPr>
        <w:t>de </w:t>
      </w:r>
      <w:r>
        <w:rPr>
          <w:i/>
          <w:color w:val="231F20"/>
          <w:w w:val="110"/>
          <w:sz w:val="16"/>
        </w:rPr>
        <w:t>Fortune</w:t>
      </w:r>
      <w:r>
        <w:rPr>
          <w:color w:val="231F20"/>
          <w:w w:val="110"/>
          <w:sz w:val="16"/>
        </w:rPr>
        <w:t>,</w:t>
      </w:r>
      <w:r>
        <w:rPr>
          <w:color w:val="231F20"/>
          <w:spacing w:val="-7"/>
          <w:w w:val="110"/>
          <w:sz w:val="16"/>
        </w:rPr>
        <w:t> </w:t>
      </w:r>
      <w:r>
        <w:rPr>
          <w:color w:val="231F20"/>
          <w:w w:val="110"/>
          <w:sz w:val="16"/>
        </w:rPr>
        <w:t>pasó</w:t>
      </w:r>
      <w:r>
        <w:rPr>
          <w:color w:val="231F20"/>
          <w:spacing w:val="-7"/>
          <w:w w:val="110"/>
          <w:sz w:val="16"/>
        </w:rPr>
        <w:t> </w:t>
      </w:r>
      <w:r>
        <w:rPr>
          <w:color w:val="231F20"/>
          <w:w w:val="110"/>
          <w:sz w:val="16"/>
        </w:rPr>
        <w:t>de</w:t>
      </w:r>
      <w:r>
        <w:rPr>
          <w:color w:val="231F20"/>
          <w:spacing w:val="-7"/>
          <w:w w:val="110"/>
          <w:sz w:val="16"/>
        </w:rPr>
        <w:t> </w:t>
      </w:r>
      <w:r>
        <w:rPr>
          <w:color w:val="231F20"/>
          <w:w w:val="110"/>
          <w:sz w:val="16"/>
        </w:rPr>
        <w:t>un</w:t>
      </w:r>
      <w:r>
        <w:rPr>
          <w:color w:val="231F20"/>
          <w:spacing w:val="-7"/>
          <w:w w:val="110"/>
          <w:sz w:val="16"/>
        </w:rPr>
        <w:t> </w:t>
      </w:r>
      <w:r>
        <w:rPr>
          <w:color w:val="231F20"/>
          <w:w w:val="110"/>
          <w:sz w:val="16"/>
        </w:rPr>
        <w:t>7.15%</w:t>
      </w:r>
      <w:r>
        <w:rPr>
          <w:color w:val="231F20"/>
          <w:spacing w:val="-7"/>
          <w:w w:val="110"/>
          <w:sz w:val="16"/>
        </w:rPr>
        <w:t> </w:t>
      </w:r>
      <w:r>
        <w:rPr>
          <w:color w:val="231F20"/>
          <w:w w:val="110"/>
          <w:sz w:val="16"/>
        </w:rPr>
        <w:t>en</w:t>
      </w:r>
      <w:r>
        <w:rPr>
          <w:color w:val="231F20"/>
          <w:spacing w:val="-7"/>
          <w:w w:val="110"/>
          <w:sz w:val="16"/>
        </w:rPr>
        <w:t> </w:t>
      </w:r>
      <w:r>
        <w:rPr>
          <w:color w:val="231F20"/>
          <w:w w:val="110"/>
          <w:sz w:val="16"/>
        </w:rPr>
        <w:t>1960-1969</w:t>
      </w:r>
      <w:r>
        <w:rPr>
          <w:color w:val="231F20"/>
          <w:spacing w:val="-7"/>
          <w:w w:val="110"/>
          <w:sz w:val="16"/>
        </w:rPr>
        <w:t> </w:t>
      </w:r>
      <w:r>
        <w:rPr>
          <w:color w:val="231F20"/>
          <w:w w:val="110"/>
          <w:sz w:val="16"/>
        </w:rPr>
        <w:t>a</w:t>
      </w:r>
      <w:r>
        <w:rPr>
          <w:color w:val="231F20"/>
          <w:spacing w:val="-7"/>
          <w:w w:val="110"/>
          <w:sz w:val="16"/>
        </w:rPr>
        <w:t> </w:t>
      </w:r>
      <w:r>
        <w:rPr>
          <w:color w:val="231F20"/>
          <w:w w:val="110"/>
          <w:sz w:val="16"/>
        </w:rPr>
        <w:t>un</w:t>
      </w:r>
      <w:r>
        <w:rPr>
          <w:color w:val="231F20"/>
          <w:spacing w:val="-7"/>
          <w:w w:val="110"/>
          <w:sz w:val="16"/>
        </w:rPr>
        <w:t> </w:t>
      </w:r>
      <w:r>
        <w:rPr>
          <w:color w:val="231F20"/>
          <w:w w:val="110"/>
          <w:sz w:val="16"/>
        </w:rPr>
        <w:t>5.30%</w:t>
      </w:r>
      <w:r>
        <w:rPr>
          <w:color w:val="231F20"/>
          <w:spacing w:val="-7"/>
          <w:w w:val="110"/>
          <w:sz w:val="16"/>
        </w:rPr>
        <w:t> </w:t>
      </w:r>
      <w:r>
        <w:rPr>
          <w:color w:val="231F20"/>
          <w:w w:val="110"/>
          <w:sz w:val="16"/>
        </w:rPr>
        <w:t>en</w:t>
      </w:r>
      <w:r>
        <w:rPr>
          <w:color w:val="231F20"/>
          <w:spacing w:val="-7"/>
          <w:w w:val="110"/>
          <w:sz w:val="16"/>
        </w:rPr>
        <w:t> </w:t>
      </w:r>
      <w:r>
        <w:rPr>
          <w:color w:val="231F20"/>
          <w:w w:val="110"/>
          <w:sz w:val="16"/>
        </w:rPr>
        <w:t>1980-1990,</w:t>
      </w:r>
      <w:r>
        <w:rPr>
          <w:color w:val="231F20"/>
          <w:spacing w:val="-7"/>
          <w:w w:val="110"/>
          <w:sz w:val="16"/>
        </w:rPr>
        <w:t> </w:t>
      </w:r>
      <w:r>
        <w:rPr>
          <w:color w:val="231F20"/>
          <w:w w:val="110"/>
          <w:sz w:val="16"/>
        </w:rPr>
        <w:t>luego</w:t>
      </w:r>
      <w:r>
        <w:rPr>
          <w:color w:val="231F20"/>
          <w:spacing w:val="-7"/>
          <w:w w:val="110"/>
          <w:sz w:val="16"/>
        </w:rPr>
        <w:t> </w:t>
      </w:r>
      <w:r>
        <w:rPr>
          <w:color w:val="231F20"/>
          <w:w w:val="110"/>
          <w:sz w:val="16"/>
        </w:rPr>
        <w:t>a</w:t>
      </w:r>
      <w:r>
        <w:rPr>
          <w:color w:val="231F20"/>
          <w:spacing w:val="-7"/>
          <w:w w:val="110"/>
          <w:sz w:val="16"/>
        </w:rPr>
        <w:t> </w:t>
      </w:r>
      <w:r>
        <w:rPr>
          <w:color w:val="231F20"/>
          <w:w w:val="110"/>
          <w:sz w:val="16"/>
        </w:rPr>
        <w:t>un</w:t>
      </w:r>
      <w:r>
        <w:rPr>
          <w:color w:val="231F20"/>
          <w:spacing w:val="-7"/>
          <w:w w:val="110"/>
          <w:sz w:val="16"/>
        </w:rPr>
        <w:t> </w:t>
      </w:r>
      <w:r>
        <w:rPr>
          <w:color w:val="231F20"/>
          <w:w w:val="110"/>
          <w:sz w:val="16"/>
        </w:rPr>
        <w:t>2.29% en</w:t>
      </w:r>
      <w:r>
        <w:rPr>
          <w:color w:val="231F20"/>
          <w:spacing w:val="-13"/>
          <w:w w:val="110"/>
          <w:sz w:val="16"/>
        </w:rPr>
        <w:t> </w:t>
      </w:r>
      <w:r>
        <w:rPr>
          <w:color w:val="231F20"/>
          <w:w w:val="110"/>
          <w:sz w:val="16"/>
        </w:rPr>
        <w:t>1990-1999</w:t>
      </w:r>
      <w:r>
        <w:rPr>
          <w:color w:val="231F20"/>
          <w:spacing w:val="-13"/>
          <w:w w:val="110"/>
          <w:sz w:val="16"/>
        </w:rPr>
        <w:t> </w:t>
      </w:r>
      <w:r>
        <w:rPr>
          <w:color w:val="231F20"/>
          <w:w w:val="110"/>
          <w:sz w:val="16"/>
        </w:rPr>
        <w:t>y</w:t>
      </w:r>
      <w:r>
        <w:rPr>
          <w:color w:val="231F20"/>
          <w:spacing w:val="-13"/>
          <w:w w:val="110"/>
          <w:sz w:val="16"/>
        </w:rPr>
        <w:t> </w:t>
      </w:r>
      <w:r>
        <w:rPr>
          <w:color w:val="231F20"/>
          <w:w w:val="110"/>
          <w:sz w:val="16"/>
        </w:rPr>
        <w:t>a</w:t>
      </w:r>
      <w:r>
        <w:rPr>
          <w:color w:val="231F20"/>
          <w:spacing w:val="-13"/>
          <w:w w:val="110"/>
          <w:sz w:val="16"/>
        </w:rPr>
        <w:t> </w:t>
      </w:r>
      <w:r>
        <w:rPr>
          <w:color w:val="231F20"/>
          <w:w w:val="110"/>
          <w:sz w:val="16"/>
        </w:rPr>
        <w:t>1.32%</w:t>
      </w:r>
      <w:r>
        <w:rPr>
          <w:color w:val="231F20"/>
          <w:spacing w:val="-13"/>
          <w:w w:val="110"/>
          <w:sz w:val="16"/>
        </w:rPr>
        <w:t> </w:t>
      </w:r>
      <w:r>
        <w:rPr>
          <w:color w:val="231F20"/>
          <w:w w:val="110"/>
          <w:sz w:val="16"/>
        </w:rPr>
        <w:t>en</w:t>
      </w:r>
      <w:r>
        <w:rPr>
          <w:color w:val="231F20"/>
          <w:spacing w:val="-13"/>
          <w:w w:val="110"/>
          <w:sz w:val="16"/>
        </w:rPr>
        <w:t> </w:t>
      </w:r>
      <w:r>
        <w:rPr>
          <w:color w:val="231F20"/>
          <w:w w:val="110"/>
          <w:sz w:val="16"/>
        </w:rPr>
        <w:t>2000-2002”</w:t>
      </w:r>
      <w:r>
        <w:rPr>
          <w:color w:val="231F20"/>
          <w:spacing w:val="-13"/>
          <w:w w:val="110"/>
          <w:sz w:val="16"/>
        </w:rPr>
        <w:t> </w:t>
      </w:r>
      <w:r>
        <w:rPr>
          <w:color w:val="231F20"/>
          <w:w w:val="110"/>
          <w:sz w:val="16"/>
        </w:rPr>
        <w:t>(Walden,</w:t>
      </w:r>
      <w:r>
        <w:rPr>
          <w:color w:val="231F20"/>
          <w:spacing w:val="-13"/>
          <w:w w:val="110"/>
          <w:sz w:val="16"/>
        </w:rPr>
        <w:t> </w:t>
      </w:r>
      <w:r>
        <w:rPr>
          <w:color w:val="231F20"/>
          <w:w w:val="110"/>
          <w:sz w:val="16"/>
        </w:rPr>
        <w:t>2009:</w:t>
      </w:r>
      <w:r>
        <w:rPr>
          <w:color w:val="231F20"/>
          <w:spacing w:val="-13"/>
          <w:w w:val="110"/>
          <w:sz w:val="16"/>
        </w:rPr>
        <w:t> </w:t>
      </w:r>
      <w:r>
        <w:rPr>
          <w:color w:val="231F20"/>
          <w:w w:val="110"/>
          <w:sz w:val="16"/>
        </w:rPr>
        <w:t>3).</w:t>
      </w:r>
    </w:p>
    <w:p>
      <w:pPr>
        <w:spacing w:after="0" w:line="261" w:lineRule="auto"/>
        <w:jc w:val="both"/>
        <w:rPr>
          <w:sz w:val="16"/>
        </w:rPr>
        <w:sectPr>
          <w:headerReference w:type="even" r:id="rId94"/>
          <w:headerReference w:type="default" r:id="rId95"/>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en 1929-1933 fue la del patrón de acumulación del capitalismo mo- nopólico, con una competencia mundial entre monopolios naciona- les, con un predominio inglés basado en la exportación de manufac- turas y la importación de materias primas y alimentos, que para los países periféricos fue la del patrón primario exportador” (Delgado, 2009: 17).</w:t>
      </w:r>
    </w:p>
    <w:p>
      <w:pPr>
        <w:pStyle w:val="BodyText"/>
        <w:spacing w:line="261" w:lineRule="auto"/>
        <w:ind w:left="100" w:right="115" w:firstLine="240"/>
        <w:jc w:val="both"/>
      </w:pPr>
      <w:r>
        <w:rPr>
          <w:color w:val="231F20"/>
          <w:w w:val="110"/>
        </w:rPr>
        <w:t>En términos teóricos se puede decir que la crisis económica de 1929-1933 terminó con el predominio de la escuela neoclásica, in- capaz de dar respuestas a la crisis en tanto esta corriente: “Maneja como un postulado fundamental la noción de una economía de mercado capitalista esencialmente estable. Si emerge algún des- equilibrio éste se atribuye a factores exógenos y de inmediato se agrega que, ante tal situación, el sistema pone en juego mecanismos que espontáneamente le permiten volver al equilibrio” (Valenzue- la, 2009: 5). De esta manera, si el mercado está en equilibrio y se autorregula permanentemente las crisis no pueden existir. Así, la escuela neoclásica fue y es incapaz de ofrecer alguna explicación consecuente de las crisis.</w:t>
      </w:r>
    </w:p>
    <w:p>
      <w:pPr>
        <w:pStyle w:val="BodyText"/>
        <w:spacing w:line="261" w:lineRule="auto"/>
        <w:ind w:left="100" w:right="117" w:firstLine="240"/>
        <w:jc w:val="both"/>
      </w:pPr>
      <w:r>
        <w:rPr>
          <w:color w:val="231F20"/>
          <w:w w:val="110"/>
        </w:rPr>
        <w:t>Esta</w:t>
      </w:r>
      <w:r>
        <w:rPr>
          <w:color w:val="231F20"/>
          <w:spacing w:val="-24"/>
          <w:w w:val="110"/>
        </w:rPr>
        <w:t> </w:t>
      </w:r>
      <w:r>
        <w:rPr>
          <w:color w:val="231F20"/>
          <w:w w:val="110"/>
        </w:rPr>
        <w:t>crisis</w:t>
      </w:r>
      <w:r>
        <w:rPr>
          <w:color w:val="231F20"/>
          <w:spacing w:val="-24"/>
          <w:w w:val="110"/>
        </w:rPr>
        <w:t> </w:t>
      </w:r>
      <w:r>
        <w:rPr>
          <w:color w:val="231F20"/>
          <w:w w:val="110"/>
        </w:rPr>
        <w:t>teórica</w:t>
      </w:r>
      <w:r>
        <w:rPr>
          <w:color w:val="231F20"/>
          <w:spacing w:val="-24"/>
          <w:w w:val="110"/>
        </w:rPr>
        <w:t> </w:t>
      </w:r>
      <w:r>
        <w:rPr>
          <w:color w:val="231F20"/>
          <w:w w:val="110"/>
        </w:rPr>
        <w:t>dio</w:t>
      </w:r>
      <w:r>
        <w:rPr>
          <w:color w:val="231F20"/>
          <w:spacing w:val="-24"/>
          <w:w w:val="110"/>
        </w:rPr>
        <w:t> </w:t>
      </w:r>
      <w:r>
        <w:rPr>
          <w:color w:val="231F20"/>
          <w:w w:val="110"/>
        </w:rPr>
        <w:t>paso</w:t>
      </w:r>
      <w:r>
        <w:rPr>
          <w:color w:val="231F20"/>
          <w:spacing w:val="-24"/>
          <w:w w:val="110"/>
        </w:rPr>
        <w:t>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propuestas</w:t>
      </w:r>
      <w:r>
        <w:rPr>
          <w:color w:val="231F20"/>
          <w:spacing w:val="-24"/>
          <w:w w:val="110"/>
        </w:rPr>
        <w:t> </w:t>
      </w:r>
      <w:r>
        <w:rPr>
          <w:color w:val="231F20"/>
          <w:w w:val="110"/>
        </w:rPr>
        <w:t>keynesianas</w:t>
      </w:r>
      <w:r>
        <w:rPr>
          <w:color w:val="231F20"/>
          <w:spacing w:val="-24"/>
          <w:w w:val="110"/>
        </w:rPr>
        <w:t> </w:t>
      </w:r>
      <w:r>
        <w:rPr>
          <w:color w:val="231F20"/>
          <w:w w:val="110"/>
        </w:rPr>
        <w:t>sustentadas en asignar al Estado un papel activo en la economía, sobre todo en el impulso a la ocupación y a la demanda efectiva, considerada por Keynes como el principal estímulo a la</w:t>
      </w:r>
      <w:r>
        <w:rPr>
          <w:color w:val="231F20"/>
          <w:spacing w:val="-16"/>
          <w:w w:val="110"/>
        </w:rPr>
        <w:t> </w:t>
      </w:r>
      <w:r>
        <w:rPr>
          <w:color w:val="231F20"/>
          <w:w w:val="110"/>
        </w:rPr>
        <w:t>inversión.</w:t>
      </w:r>
    </w:p>
    <w:p>
      <w:pPr>
        <w:pStyle w:val="BodyText"/>
        <w:spacing w:line="261" w:lineRule="auto"/>
        <w:ind w:left="100" w:right="117" w:firstLine="240"/>
        <w:jc w:val="both"/>
      </w:pPr>
      <w:r>
        <w:rPr>
          <w:color w:val="231F20"/>
          <w:w w:val="105"/>
        </w:rPr>
        <w:t>A las políticas keynesianas se atribuye el periodo que Immanuel Wallerstein llama “de los treinta años gloriosos del capitalismo”, que se</w:t>
      </w:r>
      <w:r>
        <w:rPr>
          <w:color w:val="231F20"/>
          <w:spacing w:val="30"/>
          <w:w w:val="105"/>
        </w:rPr>
        <w:t> </w:t>
      </w:r>
      <w:r>
        <w:rPr>
          <w:color w:val="231F20"/>
          <w:w w:val="105"/>
        </w:rPr>
        <w:t>inicia</w:t>
      </w:r>
      <w:r>
        <w:rPr>
          <w:color w:val="231F20"/>
          <w:spacing w:val="30"/>
          <w:w w:val="105"/>
        </w:rPr>
        <w:t> </w:t>
      </w:r>
      <w:r>
        <w:rPr>
          <w:color w:val="231F20"/>
          <w:w w:val="105"/>
        </w:rPr>
        <w:t>en</w:t>
      </w:r>
      <w:r>
        <w:rPr>
          <w:color w:val="231F20"/>
          <w:spacing w:val="30"/>
          <w:w w:val="105"/>
        </w:rPr>
        <w:t> </w:t>
      </w:r>
      <w:r>
        <w:rPr>
          <w:color w:val="231F20"/>
          <w:w w:val="105"/>
        </w:rPr>
        <w:t>1945</w:t>
      </w:r>
      <w:r>
        <w:rPr>
          <w:color w:val="231F20"/>
          <w:spacing w:val="30"/>
          <w:w w:val="105"/>
        </w:rPr>
        <w:t> </w:t>
      </w:r>
      <w:r>
        <w:rPr>
          <w:color w:val="231F20"/>
          <w:w w:val="105"/>
        </w:rPr>
        <w:t>con</w:t>
      </w:r>
      <w:r>
        <w:rPr>
          <w:color w:val="231F20"/>
          <w:spacing w:val="30"/>
          <w:w w:val="105"/>
        </w:rPr>
        <w:t> </w:t>
      </w:r>
      <w:r>
        <w:rPr>
          <w:color w:val="231F20"/>
          <w:w w:val="105"/>
        </w:rPr>
        <w:t>el</w:t>
      </w:r>
      <w:r>
        <w:rPr>
          <w:color w:val="231F20"/>
          <w:spacing w:val="30"/>
          <w:w w:val="105"/>
        </w:rPr>
        <w:t> </w:t>
      </w:r>
      <w:r>
        <w:rPr>
          <w:color w:val="231F20"/>
          <w:w w:val="105"/>
        </w:rPr>
        <w:t>final</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segunda</w:t>
      </w:r>
      <w:r>
        <w:rPr>
          <w:color w:val="231F20"/>
          <w:spacing w:val="30"/>
          <w:w w:val="105"/>
        </w:rPr>
        <w:t> </w:t>
      </w:r>
      <w:r>
        <w:rPr>
          <w:color w:val="231F20"/>
          <w:w w:val="105"/>
        </w:rPr>
        <w:t>guerra</w:t>
      </w:r>
      <w:r>
        <w:rPr>
          <w:color w:val="231F20"/>
          <w:spacing w:val="30"/>
          <w:w w:val="105"/>
        </w:rPr>
        <w:t> </w:t>
      </w:r>
      <w:r>
        <w:rPr>
          <w:color w:val="231F20"/>
          <w:w w:val="105"/>
        </w:rPr>
        <w:t>mundial.</w:t>
      </w:r>
    </w:p>
    <w:p>
      <w:pPr>
        <w:pStyle w:val="BodyText"/>
        <w:ind w:left="340" w:right="25"/>
      </w:pPr>
      <w:r>
        <w:rPr>
          <w:color w:val="231F20"/>
          <w:w w:val="110"/>
        </w:rPr>
        <w:t>Hegemonizado por Estados Unidos, éste es:</w:t>
      </w:r>
    </w:p>
    <w:p>
      <w:pPr>
        <w:pStyle w:val="BodyText"/>
        <w:spacing w:before="1"/>
        <w:rPr>
          <w:sz w:val="25"/>
        </w:rPr>
      </w:pPr>
    </w:p>
    <w:p>
      <w:pPr>
        <w:spacing w:line="290" w:lineRule="auto" w:before="0"/>
        <w:ind w:left="100" w:right="117" w:firstLine="0"/>
        <w:jc w:val="both"/>
        <w:rPr>
          <w:sz w:val="18"/>
        </w:rPr>
      </w:pPr>
      <w:r>
        <w:rPr>
          <w:color w:val="231F20"/>
          <w:w w:val="110"/>
          <w:sz w:val="18"/>
        </w:rPr>
        <w:t>Un periodo de expansión económica, es decir de una fase A del ciclo Kon- dratiev. No solamente una fase A, sino incluso la más grande fase A dentro de la economía mundo capitalista. Porque en esos años, la expansión de la producción fue verdaderamente colosal. La tasa de urbanización fue fulgu- rante.</w:t>
      </w:r>
      <w:r>
        <w:rPr>
          <w:color w:val="231F20"/>
          <w:spacing w:val="-5"/>
          <w:w w:val="110"/>
          <w:sz w:val="18"/>
        </w:rPr>
        <w:t> </w:t>
      </w:r>
      <w:r>
        <w:rPr>
          <w:color w:val="231F20"/>
          <w:w w:val="110"/>
          <w:sz w:val="18"/>
        </w:rPr>
        <w:t>El</w:t>
      </w:r>
      <w:r>
        <w:rPr>
          <w:color w:val="231F20"/>
          <w:spacing w:val="-5"/>
          <w:w w:val="110"/>
          <w:sz w:val="18"/>
        </w:rPr>
        <w:t> </w:t>
      </w:r>
      <w:r>
        <w:rPr>
          <w:color w:val="231F20"/>
          <w:w w:val="110"/>
          <w:sz w:val="18"/>
        </w:rPr>
        <w:t>desempleo</w:t>
      </w:r>
      <w:r>
        <w:rPr>
          <w:color w:val="231F20"/>
          <w:spacing w:val="-5"/>
          <w:w w:val="110"/>
          <w:sz w:val="18"/>
        </w:rPr>
        <w:t> </w:t>
      </w:r>
      <w:r>
        <w:rPr>
          <w:color w:val="231F20"/>
          <w:w w:val="110"/>
          <w:sz w:val="18"/>
        </w:rPr>
        <w:t>mundial</w:t>
      </w:r>
      <w:r>
        <w:rPr>
          <w:color w:val="231F20"/>
          <w:spacing w:val="-5"/>
          <w:w w:val="110"/>
          <w:sz w:val="18"/>
        </w:rPr>
        <w:t> </w:t>
      </w:r>
      <w:r>
        <w:rPr>
          <w:color w:val="231F20"/>
          <w:w w:val="110"/>
          <w:sz w:val="18"/>
        </w:rPr>
        <w:t>llegó</w:t>
      </w:r>
      <w:r>
        <w:rPr>
          <w:color w:val="231F20"/>
          <w:spacing w:val="-5"/>
          <w:w w:val="110"/>
          <w:sz w:val="18"/>
        </w:rPr>
        <w:t> </w:t>
      </w:r>
      <w:r>
        <w:rPr>
          <w:color w:val="231F20"/>
          <w:w w:val="110"/>
          <w:sz w:val="18"/>
        </w:rPr>
        <w:t>a</w:t>
      </w:r>
      <w:r>
        <w:rPr>
          <w:color w:val="231F20"/>
          <w:spacing w:val="-5"/>
          <w:w w:val="110"/>
          <w:sz w:val="18"/>
        </w:rPr>
        <w:t> </w:t>
      </w:r>
      <w:r>
        <w:rPr>
          <w:color w:val="231F20"/>
          <w:w w:val="110"/>
          <w:sz w:val="18"/>
        </w:rPr>
        <w:t>niveles</w:t>
      </w:r>
      <w:r>
        <w:rPr>
          <w:color w:val="231F20"/>
          <w:spacing w:val="-5"/>
          <w:w w:val="110"/>
          <w:sz w:val="18"/>
        </w:rPr>
        <w:t> </w:t>
      </w:r>
      <w:r>
        <w:rPr>
          <w:color w:val="231F20"/>
          <w:w w:val="110"/>
          <w:sz w:val="18"/>
        </w:rPr>
        <w:t>verdaderamente</w:t>
      </w:r>
      <w:r>
        <w:rPr>
          <w:color w:val="231F20"/>
          <w:spacing w:val="-5"/>
          <w:w w:val="110"/>
          <w:sz w:val="18"/>
        </w:rPr>
        <w:t> </w:t>
      </w:r>
      <w:r>
        <w:rPr>
          <w:color w:val="231F20"/>
          <w:w w:val="110"/>
          <w:sz w:val="18"/>
        </w:rPr>
        <w:t>bajos</w:t>
      </w:r>
      <w:r>
        <w:rPr>
          <w:color w:val="231F20"/>
          <w:spacing w:val="-5"/>
          <w:w w:val="110"/>
          <w:sz w:val="18"/>
        </w:rPr>
        <w:t> </w:t>
      </w:r>
      <w:r>
        <w:rPr>
          <w:color w:val="231F20"/>
          <w:w w:val="110"/>
          <w:sz w:val="18"/>
        </w:rPr>
        <w:t>lo</w:t>
      </w:r>
      <w:r>
        <w:rPr>
          <w:color w:val="231F20"/>
          <w:spacing w:val="-5"/>
          <w:w w:val="110"/>
          <w:sz w:val="18"/>
        </w:rPr>
        <w:t> </w:t>
      </w:r>
      <w:r>
        <w:rPr>
          <w:color w:val="231F20"/>
          <w:w w:val="110"/>
          <w:sz w:val="18"/>
        </w:rPr>
        <w:t>mismo que la tasa de interés. El mejoramiento de las condiciones económicas y    el alza de los beneficios fue manifiesta a todo lo largo y ancho del planeta (Wallerstein,</w:t>
      </w:r>
      <w:r>
        <w:rPr>
          <w:color w:val="231F20"/>
          <w:spacing w:val="-21"/>
          <w:w w:val="110"/>
          <w:sz w:val="18"/>
        </w:rPr>
        <w:t> </w:t>
      </w:r>
      <w:r>
        <w:rPr>
          <w:color w:val="231F20"/>
          <w:w w:val="110"/>
          <w:sz w:val="18"/>
        </w:rPr>
        <w:t>2005:</w:t>
      </w:r>
      <w:r>
        <w:rPr>
          <w:color w:val="231F20"/>
          <w:spacing w:val="-21"/>
          <w:w w:val="110"/>
          <w:sz w:val="18"/>
        </w:rPr>
        <w:t> </w:t>
      </w:r>
      <w:r>
        <w:rPr>
          <w:color w:val="231F20"/>
          <w:w w:val="110"/>
          <w:sz w:val="18"/>
        </w:rPr>
        <w:t>62).</w:t>
      </w:r>
    </w:p>
    <w:p>
      <w:pPr>
        <w:pStyle w:val="BodyText"/>
        <w:spacing w:before="2"/>
      </w:pPr>
    </w:p>
    <w:p>
      <w:pPr>
        <w:pStyle w:val="BodyText"/>
        <w:spacing w:line="261" w:lineRule="auto"/>
        <w:ind w:left="100" w:right="119" w:firstLine="240"/>
        <w:jc w:val="both"/>
      </w:pPr>
      <w:r>
        <w:rPr>
          <w:color w:val="231F20"/>
          <w:w w:val="110"/>
        </w:rPr>
        <w:t>En ese periodo, la participación del Estado en la economía fue factor determinante en la expansión capitalista, convirtiéndose en la</w:t>
      </w:r>
      <w:r>
        <w:rPr>
          <w:color w:val="231F20"/>
          <w:w w:val="105"/>
        </w:rPr>
        <w:t> </w:t>
      </w:r>
      <w:r>
        <w:rPr>
          <w:color w:val="231F20"/>
          <w:w w:val="110"/>
        </w:rPr>
        <w:t>característica más acusada de esta modalidad de acumulación.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Los</w:t>
      </w:r>
      <w:r>
        <w:rPr>
          <w:color w:val="231F20"/>
          <w:spacing w:val="-20"/>
          <w:w w:val="110"/>
        </w:rPr>
        <w:t> </w:t>
      </w:r>
      <w:r>
        <w:rPr>
          <w:color w:val="231F20"/>
          <w:w w:val="110"/>
        </w:rPr>
        <w:t>“treinta</w:t>
      </w:r>
      <w:r>
        <w:rPr>
          <w:color w:val="231F20"/>
          <w:spacing w:val="-20"/>
          <w:w w:val="110"/>
        </w:rPr>
        <w:t> </w:t>
      </w:r>
      <w:r>
        <w:rPr>
          <w:color w:val="231F20"/>
          <w:w w:val="110"/>
        </w:rPr>
        <w:t>años</w:t>
      </w:r>
      <w:r>
        <w:rPr>
          <w:color w:val="231F20"/>
          <w:spacing w:val="-20"/>
          <w:w w:val="110"/>
        </w:rPr>
        <w:t> </w:t>
      </w:r>
      <w:r>
        <w:rPr>
          <w:color w:val="231F20"/>
          <w:w w:val="110"/>
        </w:rPr>
        <w:t>gloriosos”</w:t>
      </w:r>
      <w:r>
        <w:rPr>
          <w:color w:val="231F20"/>
          <w:spacing w:val="-20"/>
          <w:w w:val="110"/>
        </w:rPr>
        <w:t> </w:t>
      </w:r>
      <w:r>
        <w:rPr>
          <w:color w:val="231F20"/>
          <w:w w:val="110"/>
        </w:rPr>
        <w:t>de</w:t>
      </w:r>
      <w:r>
        <w:rPr>
          <w:color w:val="231F20"/>
          <w:spacing w:val="-20"/>
          <w:w w:val="110"/>
        </w:rPr>
        <w:t> </w:t>
      </w:r>
      <w:r>
        <w:rPr>
          <w:color w:val="231F20"/>
          <w:w w:val="110"/>
        </w:rPr>
        <w:t>expansión</w:t>
      </w:r>
      <w:r>
        <w:rPr>
          <w:color w:val="231F20"/>
          <w:spacing w:val="-20"/>
          <w:w w:val="110"/>
        </w:rPr>
        <w:t> </w:t>
      </w:r>
      <w:r>
        <w:rPr>
          <w:color w:val="231F20"/>
          <w:w w:val="110"/>
        </w:rPr>
        <w:t>capitalista</w:t>
      </w:r>
      <w:r>
        <w:rPr>
          <w:color w:val="231F20"/>
          <w:spacing w:val="-20"/>
          <w:w w:val="110"/>
        </w:rPr>
        <w:t> </w:t>
      </w:r>
      <w:r>
        <w:rPr>
          <w:color w:val="231F20"/>
          <w:w w:val="110"/>
        </w:rPr>
        <w:t>concluyeron</w:t>
      </w:r>
      <w:r>
        <w:rPr>
          <w:color w:val="231F20"/>
          <w:spacing w:val="-20"/>
          <w:w w:val="110"/>
        </w:rPr>
        <w:t> </w:t>
      </w:r>
      <w:r>
        <w:rPr>
          <w:color w:val="231F20"/>
          <w:w w:val="110"/>
        </w:rPr>
        <w:t>a</w:t>
      </w:r>
      <w:r>
        <w:rPr>
          <w:color w:val="231F20"/>
          <w:w w:val="108"/>
        </w:rPr>
        <w:t> </w:t>
      </w:r>
      <w:r>
        <w:rPr>
          <w:color w:val="231F20"/>
          <w:w w:val="110"/>
        </w:rPr>
        <w:t>mediados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setenta,</w:t>
      </w:r>
      <w:r>
        <w:rPr>
          <w:color w:val="231F20"/>
          <w:spacing w:val="-5"/>
          <w:w w:val="110"/>
        </w:rPr>
        <w:t> </w:t>
      </w:r>
      <w:r>
        <w:rPr>
          <w:color w:val="231F20"/>
          <w:w w:val="110"/>
        </w:rPr>
        <w:t>cuando</w:t>
      </w:r>
      <w:r>
        <w:rPr>
          <w:color w:val="231F20"/>
          <w:spacing w:val="-5"/>
          <w:w w:val="110"/>
        </w:rPr>
        <w:t> </w:t>
      </w:r>
      <w:r>
        <w:rPr>
          <w:color w:val="231F20"/>
          <w:w w:val="110"/>
        </w:rPr>
        <w:t>surge</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cíclica</w:t>
      </w:r>
      <w:r>
        <w:rPr>
          <w:color w:val="231F20"/>
          <w:spacing w:val="-5"/>
          <w:w w:val="110"/>
        </w:rPr>
        <w:t> </w:t>
      </w:r>
      <w:r>
        <w:rPr>
          <w:color w:val="231F20"/>
          <w:w w:val="110"/>
        </w:rPr>
        <w:t>de</w:t>
      </w:r>
      <w:r>
        <w:rPr>
          <w:color w:val="231F20"/>
          <w:spacing w:val="-5"/>
          <w:w w:val="110"/>
        </w:rPr>
        <w:t> </w:t>
      </w:r>
      <w:r>
        <w:rPr>
          <w:color w:val="231F20"/>
          <w:w w:val="110"/>
        </w:rPr>
        <w:t>sobre- producción</w:t>
      </w:r>
      <w:r>
        <w:rPr>
          <w:color w:val="231F20"/>
          <w:spacing w:val="-10"/>
          <w:w w:val="110"/>
        </w:rPr>
        <w:t> </w:t>
      </w:r>
      <w:r>
        <w:rPr>
          <w:color w:val="231F20"/>
          <w:w w:val="110"/>
        </w:rPr>
        <w:t>pues</w:t>
      </w:r>
      <w:r>
        <w:rPr>
          <w:color w:val="231F20"/>
          <w:spacing w:val="-10"/>
          <w:w w:val="110"/>
        </w:rPr>
        <w:t> </w:t>
      </w:r>
      <w:r>
        <w:rPr>
          <w:color w:val="231F20"/>
          <w:w w:val="110"/>
        </w:rPr>
        <w:t>se</w:t>
      </w:r>
      <w:r>
        <w:rPr>
          <w:color w:val="231F20"/>
          <w:spacing w:val="-10"/>
          <w:w w:val="110"/>
        </w:rPr>
        <w:t> </w:t>
      </w:r>
      <w:r>
        <w:rPr>
          <w:color w:val="231F20"/>
          <w:w w:val="110"/>
        </w:rPr>
        <w:t>producen</w:t>
      </w:r>
      <w:r>
        <w:rPr>
          <w:color w:val="231F20"/>
          <w:spacing w:val="-10"/>
          <w:w w:val="110"/>
        </w:rPr>
        <w:t> </w:t>
      </w:r>
      <w:r>
        <w:rPr>
          <w:color w:val="231F20"/>
          <w:w w:val="110"/>
        </w:rPr>
        <w:t>más</w:t>
      </w:r>
      <w:r>
        <w:rPr>
          <w:color w:val="231F20"/>
          <w:spacing w:val="-10"/>
          <w:w w:val="110"/>
        </w:rPr>
        <w:t> </w:t>
      </w:r>
      <w:r>
        <w:rPr>
          <w:color w:val="231F20"/>
          <w:w w:val="110"/>
        </w:rPr>
        <w:t>mercancías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población puede </w:t>
      </w:r>
      <w:r>
        <w:rPr>
          <w:color w:val="231F20"/>
          <w:spacing w:val="-4"/>
          <w:w w:val="110"/>
        </w:rPr>
        <w:t>consumir. </w:t>
      </w:r>
      <w:r>
        <w:rPr>
          <w:color w:val="231F20"/>
          <w:w w:val="110"/>
        </w:rPr>
        <w:t>Se inicia entonces la fase B de un ciclo </w:t>
      </w:r>
      <w:r>
        <w:rPr>
          <w:color w:val="231F20"/>
          <w:spacing w:val="-4"/>
          <w:w w:val="110"/>
        </w:rPr>
        <w:t>Kondratiev, </w:t>
      </w:r>
      <w:r>
        <w:rPr>
          <w:color w:val="231F20"/>
          <w:w w:val="110"/>
        </w:rPr>
        <w:t>caracterizado por la caída de la tasa de ganancia (resultado de la so- breacumulación</w:t>
      </w:r>
      <w:r>
        <w:rPr>
          <w:color w:val="231F20"/>
          <w:spacing w:val="-8"/>
          <w:w w:val="110"/>
        </w:rPr>
        <w:t> </w:t>
      </w:r>
      <w:r>
        <w:rPr>
          <w:color w:val="231F20"/>
          <w:w w:val="110"/>
        </w:rPr>
        <w:t>de</w:t>
      </w:r>
      <w:r>
        <w:rPr>
          <w:color w:val="231F20"/>
          <w:spacing w:val="-8"/>
          <w:w w:val="110"/>
        </w:rPr>
        <w:t> </w:t>
      </w:r>
      <w:r>
        <w:rPr>
          <w:color w:val="231F20"/>
          <w:w w:val="110"/>
        </w:rPr>
        <w:t>capital)</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aumento</w:t>
      </w:r>
      <w:r>
        <w:rPr>
          <w:color w:val="231F20"/>
          <w:spacing w:val="-8"/>
          <w:w w:val="110"/>
        </w:rPr>
        <w:t> </w:t>
      </w:r>
      <w:r>
        <w:rPr>
          <w:color w:val="231F20"/>
          <w:w w:val="110"/>
        </w:rPr>
        <w:t>del</w:t>
      </w:r>
      <w:r>
        <w:rPr>
          <w:color w:val="231F20"/>
          <w:spacing w:val="-8"/>
          <w:w w:val="110"/>
        </w:rPr>
        <w:t> </w:t>
      </w:r>
      <w:r>
        <w:rPr>
          <w:color w:val="231F20"/>
          <w:w w:val="110"/>
        </w:rPr>
        <w:t>desempleo;</w:t>
      </w:r>
      <w:r>
        <w:rPr>
          <w:color w:val="231F20"/>
          <w:spacing w:val="-8"/>
          <w:w w:val="110"/>
        </w:rPr>
        <w:t> </w:t>
      </w:r>
      <w:r>
        <w:rPr>
          <w:color w:val="231F20"/>
          <w:w w:val="110"/>
        </w:rPr>
        <w:t>y</w:t>
      </w:r>
      <w:r>
        <w:rPr>
          <w:color w:val="231F20"/>
          <w:spacing w:val="-8"/>
          <w:w w:val="110"/>
        </w:rPr>
        <w:t> </w:t>
      </w:r>
      <w:r>
        <w:rPr>
          <w:color w:val="231F20"/>
          <w:w w:val="110"/>
        </w:rPr>
        <w:t>“dado</w:t>
      </w:r>
      <w:r>
        <w:rPr>
          <w:color w:val="231F20"/>
          <w:spacing w:val="-8"/>
          <w:w w:val="110"/>
        </w:rPr>
        <w:t> </w:t>
      </w:r>
      <w:r>
        <w:rPr>
          <w:color w:val="231F20"/>
          <w:spacing w:val="-2"/>
          <w:w w:val="110"/>
        </w:rPr>
        <w:t>que </w:t>
      </w:r>
      <w:r>
        <w:rPr>
          <w:color w:val="231F20"/>
          <w:w w:val="110"/>
        </w:rPr>
        <w:t>las tasas de ganancia que provienen de la producción se reducen,</w:t>
      </w:r>
      <w:r>
        <w:rPr>
          <w:color w:val="231F20"/>
          <w:spacing w:val="-10"/>
          <w:w w:val="110"/>
        </w:rPr>
        <w:t> </w:t>
      </w:r>
      <w:r>
        <w:rPr>
          <w:color w:val="231F20"/>
          <w:spacing w:val="-2"/>
          <w:w w:val="110"/>
        </w:rPr>
        <w:t>los </w:t>
      </w:r>
      <w:r>
        <w:rPr>
          <w:color w:val="231F20"/>
          <w:w w:val="110"/>
        </w:rPr>
        <w:t>grandes capitales se vuelcan sobre la esfera financiera, para obtener </w:t>
      </w:r>
      <w:r>
        <w:rPr>
          <w:color w:val="231F20"/>
          <w:w w:val="105"/>
        </w:rPr>
        <w:t>ganancias</w:t>
      </w:r>
      <w:r>
        <w:rPr>
          <w:color w:val="231F20"/>
          <w:spacing w:val="-11"/>
          <w:w w:val="105"/>
        </w:rPr>
        <w:t> </w:t>
      </w:r>
      <w:r>
        <w:rPr>
          <w:color w:val="231F20"/>
          <w:w w:val="105"/>
        </w:rPr>
        <w:t>sustantivas</w:t>
      </w:r>
      <w:r>
        <w:rPr>
          <w:color w:val="231F20"/>
          <w:spacing w:val="-11"/>
          <w:w w:val="105"/>
        </w:rPr>
        <w:t> </w:t>
      </w:r>
      <w:r>
        <w:rPr>
          <w:color w:val="231F20"/>
          <w:w w:val="105"/>
        </w:rPr>
        <w:t>a</w:t>
      </w:r>
      <w:r>
        <w:rPr>
          <w:color w:val="231F20"/>
          <w:spacing w:val="-11"/>
          <w:w w:val="105"/>
        </w:rPr>
        <w:t> </w:t>
      </w:r>
      <w:r>
        <w:rPr>
          <w:color w:val="231F20"/>
          <w:w w:val="105"/>
        </w:rPr>
        <w:t>partir</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procesos</w:t>
      </w:r>
      <w:r>
        <w:rPr>
          <w:color w:val="231F20"/>
          <w:spacing w:val="-11"/>
          <w:w w:val="105"/>
        </w:rPr>
        <w:t> </w:t>
      </w:r>
      <w:r>
        <w:rPr>
          <w:color w:val="231F20"/>
          <w:w w:val="105"/>
        </w:rPr>
        <w:t>de</w:t>
      </w:r>
      <w:r>
        <w:rPr>
          <w:color w:val="231F20"/>
          <w:spacing w:val="-11"/>
          <w:w w:val="105"/>
        </w:rPr>
        <w:t> </w:t>
      </w:r>
      <w:r>
        <w:rPr>
          <w:color w:val="231F20"/>
          <w:w w:val="105"/>
        </w:rPr>
        <w:t>especulación”</w:t>
      </w:r>
      <w:r>
        <w:rPr>
          <w:color w:val="231F20"/>
          <w:spacing w:val="-11"/>
          <w:w w:val="105"/>
        </w:rPr>
        <w:t> </w:t>
      </w:r>
      <w:r>
        <w:rPr>
          <w:color w:val="231F20"/>
          <w:spacing w:val="-3"/>
          <w:w w:val="105"/>
        </w:rPr>
        <w:t>(Wallers- </w:t>
      </w:r>
      <w:r>
        <w:rPr>
          <w:color w:val="231F20"/>
          <w:w w:val="110"/>
        </w:rPr>
        <w:t>tein,</w:t>
      </w:r>
      <w:r>
        <w:rPr>
          <w:color w:val="231F20"/>
          <w:spacing w:val="-10"/>
          <w:w w:val="110"/>
        </w:rPr>
        <w:t> </w:t>
      </w:r>
      <w:r>
        <w:rPr>
          <w:color w:val="231F20"/>
          <w:w w:val="110"/>
        </w:rPr>
        <w:t>2005:</w:t>
      </w:r>
      <w:r>
        <w:rPr>
          <w:color w:val="231F20"/>
          <w:spacing w:val="-10"/>
          <w:w w:val="110"/>
        </w:rPr>
        <w:t> </w:t>
      </w:r>
      <w:r>
        <w:rPr>
          <w:color w:val="231F20"/>
          <w:w w:val="110"/>
        </w:rPr>
        <w:t>63),</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comenzó</w:t>
      </w:r>
      <w:r>
        <w:rPr>
          <w:color w:val="231F20"/>
          <w:spacing w:val="-10"/>
          <w:w w:val="110"/>
        </w:rPr>
        <w:t> </w:t>
      </w:r>
      <w:r>
        <w:rPr>
          <w:color w:val="231F20"/>
          <w:w w:val="110"/>
        </w:rPr>
        <w:t>a</w:t>
      </w:r>
      <w:r>
        <w:rPr>
          <w:color w:val="231F20"/>
          <w:spacing w:val="-10"/>
          <w:w w:val="110"/>
        </w:rPr>
        <w:t> </w:t>
      </w:r>
      <w:r>
        <w:rPr>
          <w:color w:val="231F20"/>
          <w:w w:val="110"/>
        </w:rPr>
        <w:t>gestar</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estructural</w:t>
      </w:r>
      <w:r>
        <w:rPr>
          <w:color w:val="231F20"/>
          <w:spacing w:val="-10"/>
          <w:w w:val="110"/>
        </w:rPr>
        <w:t> </w:t>
      </w:r>
      <w:r>
        <w:rPr>
          <w:color w:val="231F20"/>
          <w:w w:val="110"/>
        </w:rPr>
        <w:t>actual.</w:t>
      </w:r>
    </w:p>
    <w:p>
      <w:pPr>
        <w:pStyle w:val="BodyText"/>
        <w:spacing w:line="261" w:lineRule="auto"/>
        <w:ind w:left="100" w:right="117" w:firstLine="240"/>
        <w:jc w:val="both"/>
      </w:pPr>
      <w:r>
        <w:rPr>
          <w:color w:val="231F20"/>
          <w:w w:val="110"/>
        </w:rPr>
        <w:t>El</w:t>
      </w:r>
      <w:r>
        <w:rPr>
          <w:color w:val="231F20"/>
          <w:spacing w:val="-9"/>
          <w:w w:val="110"/>
        </w:rPr>
        <w:t> </w:t>
      </w:r>
      <w:r>
        <w:rPr>
          <w:color w:val="231F20"/>
          <w:w w:val="110"/>
        </w:rPr>
        <w:t>agotamiento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modalidad</w:t>
      </w:r>
      <w:r>
        <w:rPr>
          <w:color w:val="231F20"/>
          <w:spacing w:val="-9"/>
          <w:w w:val="110"/>
        </w:rPr>
        <w:t> </w:t>
      </w:r>
      <w:r>
        <w:rPr>
          <w:color w:val="231F20"/>
          <w:w w:val="110"/>
        </w:rPr>
        <w:t>estatista</w:t>
      </w:r>
      <w:r>
        <w:rPr>
          <w:color w:val="231F20"/>
          <w:spacing w:val="-9"/>
          <w:w w:val="110"/>
        </w:rPr>
        <w:t> </w:t>
      </w:r>
      <w:r>
        <w:rPr>
          <w:color w:val="231F20"/>
          <w:w w:val="110"/>
        </w:rPr>
        <w:t>de</w:t>
      </w:r>
      <w:r>
        <w:rPr>
          <w:color w:val="231F20"/>
          <w:spacing w:val="-9"/>
          <w:w w:val="110"/>
        </w:rPr>
        <w:t> </w:t>
      </w:r>
      <w:r>
        <w:rPr>
          <w:color w:val="231F20"/>
          <w:w w:val="110"/>
        </w:rPr>
        <w:t>acumulación,</w:t>
      </w:r>
      <w:r>
        <w:rPr>
          <w:color w:val="231F20"/>
          <w:spacing w:val="-9"/>
          <w:w w:val="110"/>
        </w:rPr>
        <w:t> </w:t>
      </w:r>
      <w:r>
        <w:rPr>
          <w:color w:val="231F20"/>
          <w:w w:val="110"/>
        </w:rPr>
        <w:t>impulsó en buena parte del mundo, y con gran intensidad en América</w:t>
      </w:r>
      <w:r>
        <w:rPr>
          <w:color w:val="231F20"/>
          <w:spacing w:val="-19"/>
          <w:w w:val="110"/>
        </w:rPr>
        <w:t> </w:t>
      </w:r>
      <w:r>
        <w:rPr>
          <w:color w:val="231F20"/>
          <w:w w:val="110"/>
        </w:rPr>
        <w:t>Latina, los cambios estructurales de orientación al mercado, guiados por los principios del Consenso de Washington, que revivió los postulados neoclásicos enfatizando e identificando el desarrollo económico</w:t>
      </w:r>
      <w:r>
        <w:rPr>
          <w:color w:val="231F20"/>
          <w:spacing w:val="-9"/>
          <w:w w:val="110"/>
        </w:rPr>
        <w:t> </w:t>
      </w:r>
      <w:r>
        <w:rPr>
          <w:color w:val="231F20"/>
          <w:w w:val="110"/>
        </w:rPr>
        <w:t>con el crecimiento del pib sustentado en los mercados </w:t>
      </w:r>
      <w:r>
        <w:rPr>
          <w:color w:val="231F20"/>
          <w:spacing w:val="32"/>
          <w:w w:val="110"/>
        </w:rPr>
        <w:t> </w:t>
      </w:r>
      <w:r>
        <w:rPr>
          <w:color w:val="231F20"/>
          <w:w w:val="110"/>
        </w:rPr>
        <w:t>autorregulados.</w:t>
      </w:r>
    </w:p>
    <w:p>
      <w:pPr>
        <w:pStyle w:val="BodyText"/>
        <w:spacing w:line="261" w:lineRule="auto"/>
        <w:ind w:left="100" w:right="119" w:firstLine="252"/>
        <w:jc w:val="both"/>
      </w:pPr>
      <w:r>
        <w:rPr>
          <w:color w:val="231F20"/>
          <w:w w:val="110"/>
        </w:rPr>
        <w:t>Ante la crisis del Estado de bienestar, la</w:t>
      </w:r>
      <w:r>
        <w:rPr>
          <w:color w:val="231F20"/>
          <w:spacing w:val="-18"/>
          <w:w w:val="110"/>
        </w:rPr>
        <w:t> </w:t>
      </w:r>
      <w:r>
        <w:rPr>
          <w:color w:val="231F20"/>
          <w:w w:val="110"/>
        </w:rPr>
        <w:t>reestructuración</w:t>
      </w:r>
      <w:r>
        <w:rPr>
          <w:color w:val="231F20"/>
          <w:spacing w:val="-3"/>
          <w:w w:val="110"/>
        </w:rPr>
        <w:t> </w:t>
      </w:r>
      <w:r>
        <w:rPr>
          <w:color w:val="231F20"/>
          <w:w w:val="110"/>
        </w:rPr>
        <w:t>neolibe-</w:t>
      </w:r>
      <w:r>
        <w:rPr>
          <w:color w:val="231F20"/>
          <w:w w:val="72"/>
        </w:rPr>
        <w:t> </w:t>
      </w:r>
      <w:r>
        <w:rPr>
          <w:color w:val="231F20"/>
          <w:w w:val="110"/>
        </w:rPr>
        <w:t>ral tuvo como objetivo revigorizar la acumulación de</w:t>
      </w:r>
      <w:r>
        <w:rPr>
          <w:color w:val="231F20"/>
          <w:spacing w:val="-10"/>
          <w:w w:val="110"/>
        </w:rPr>
        <w:t> </w:t>
      </w:r>
      <w:r>
        <w:rPr>
          <w:color w:val="231F20"/>
          <w:w w:val="110"/>
        </w:rPr>
        <w:t>capital,</w:t>
      </w:r>
      <w:r>
        <w:rPr>
          <w:color w:val="231F20"/>
          <w:spacing w:val="-2"/>
          <w:w w:val="110"/>
        </w:rPr>
        <w:t> </w:t>
      </w:r>
      <w:r>
        <w:rPr>
          <w:color w:val="231F20"/>
          <w:w w:val="110"/>
        </w:rPr>
        <w:t>propo-</w:t>
      </w:r>
      <w:r>
        <w:rPr>
          <w:color w:val="231F20"/>
          <w:w w:val="72"/>
        </w:rPr>
        <w:t> </w:t>
      </w:r>
      <w:r>
        <w:rPr>
          <w:color w:val="231F20"/>
          <w:w w:val="110"/>
        </w:rPr>
        <w:t>niendo dos acciones principales, pero no </w:t>
      </w:r>
      <w:r>
        <w:rPr>
          <w:color w:val="231F20"/>
          <w:spacing w:val="9"/>
          <w:w w:val="110"/>
        </w:rPr>
        <w:t> </w:t>
      </w:r>
      <w:r>
        <w:rPr>
          <w:color w:val="231F20"/>
          <w:w w:val="110"/>
        </w:rPr>
        <w:t>únicas:</w:t>
      </w:r>
    </w:p>
    <w:p>
      <w:pPr>
        <w:pStyle w:val="BodyText"/>
        <w:spacing w:before="6"/>
      </w:pPr>
    </w:p>
    <w:p>
      <w:pPr>
        <w:pStyle w:val="BodyText"/>
        <w:spacing w:line="254" w:lineRule="auto"/>
        <w:ind w:left="460" w:right="117" w:hanging="360"/>
        <w:jc w:val="both"/>
      </w:pPr>
      <w:r>
        <w:rPr>
          <w:rFonts w:ascii="Calibri" w:hAnsi="Calibri"/>
          <w:color w:val="231F20"/>
          <w:w w:val="110"/>
        </w:rPr>
        <w:t>1] </w:t>
      </w:r>
      <w:r>
        <w:rPr>
          <w:color w:val="231F20"/>
          <w:w w:val="110"/>
        </w:rPr>
        <w:t>Remoción de lo que se consideraban las restricciones estatales</w:t>
      </w:r>
      <w:r>
        <w:rPr>
          <w:color w:val="231F20"/>
          <w:spacing w:val="-30"/>
          <w:w w:val="110"/>
        </w:rPr>
        <w:t> </w:t>
      </w:r>
      <w:r>
        <w:rPr>
          <w:color w:val="231F20"/>
          <w:w w:val="110"/>
        </w:rPr>
        <w:t>al crecimiento,</w:t>
      </w:r>
      <w:r>
        <w:rPr>
          <w:color w:val="231F20"/>
          <w:spacing w:val="-13"/>
          <w:w w:val="110"/>
        </w:rPr>
        <w:t> </w:t>
      </w:r>
      <w:r>
        <w:rPr>
          <w:color w:val="231F20"/>
          <w:w w:val="110"/>
        </w:rPr>
        <w:t>localizadas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obstáculos</w:t>
      </w:r>
      <w:r>
        <w:rPr>
          <w:color w:val="231F20"/>
          <w:spacing w:val="-13"/>
          <w:w w:val="110"/>
        </w:rPr>
        <w:t> </w:t>
      </w:r>
      <w:r>
        <w:rPr>
          <w:color w:val="231F20"/>
          <w:w w:val="110"/>
        </w:rPr>
        <w:t>al</w:t>
      </w:r>
      <w:r>
        <w:rPr>
          <w:color w:val="231F20"/>
          <w:spacing w:val="-13"/>
          <w:w w:val="110"/>
        </w:rPr>
        <w:t> </w:t>
      </w:r>
      <w:r>
        <w:rPr>
          <w:color w:val="231F20"/>
          <w:w w:val="110"/>
        </w:rPr>
        <w:t>libre</w:t>
      </w:r>
      <w:r>
        <w:rPr>
          <w:color w:val="231F20"/>
          <w:spacing w:val="-13"/>
          <w:w w:val="110"/>
        </w:rPr>
        <w:t> </w:t>
      </w:r>
      <w:r>
        <w:rPr>
          <w:color w:val="231F20"/>
          <w:w w:val="110"/>
        </w:rPr>
        <w:t>movimiento</w:t>
      </w:r>
      <w:r>
        <w:rPr>
          <w:color w:val="231F20"/>
          <w:spacing w:val="-13"/>
          <w:w w:val="110"/>
        </w:rPr>
        <w:t> </w:t>
      </w:r>
      <w:r>
        <w:rPr>
          <w:color w:val="231F20"/>
          <w:w w:val="110"/>
        </w:rPr>
        <w:t>de los</w:t>
      </w:r>
      <w:r>
        <w:rPr>
          <w:color w:val="231F20"/>
          <w:spacing w:val="-22"/>
          <w:w w:val="110"/>
        </w:rPr>
        <w:t> </w:t>
      </w:r>
      <w:r>
        <w:rPr>
          <w:color w:val="231F20"/>
          <w:w w:val="110"/>
        </w:rPr>
        <w:t>flujos</w:t>
      </w:r>
      <w:r>
        <w:rPr>
          <w:color w:val="231F20"/>
          <w:spacing w:val="-22"/>
          <w:w w:val="110"/>
        </w:rPr>
        <w:t> </w:t>
      </w:r>
      <w:r>
        <w:rPr>
          <w:color w:val="231F20"/>
          <w:w w:val="110"/>
        </w:rPr>
        <w:t>de</w:t>
      </w:r>
      <w:r>
        <w:rPr>
          <w:color w:val="231F20"/>
          <w:spacing w:val="-22"/>
          <w:w w:val="110"/>
        </w:rPr>
        <w:t> </w:t>
      </w:r>
      <w:r>
        <w:rPr>
          <w:color w:val="231F20"/>
          <w:w w:val="110"/>
        </w:rPr>
        <w:t>capital</w:t>
      </w:r>
      <w:r>
        <w:rPr>
          <w:color w:val="231F20"/>
          <w:spacing w:val="-22"/>
          <w:w w:val="110"/>
        </w:rPr>
        <w:t> </w:t>
      </w:r>
      <w:r>
        <w:rPr>
          <w:color w:val="231F20"/>
          <w:w w:val="110"/>
        </w:rPr>
        <w:t>y</w:t>
      </w:r>
      <w:r>
        <w:rPr>
          <w:color w:val="231F20"/>
          <w:spacing w:val="-22"/>
          <w:w w:val="110"/>
        </w:rPr>
        <w:t> </w:t>
      </w:r>
      <w:r>
        <w:rPr>
          <w:color w:val="231F20"/>
          <w:w w:val="110"/>
        </w:rPr>
        <w:t>las</w:t>
      </w:r>
      <w:r>
        <w:rPr>
          <w:color w:val="231F20"/>
          <w:spacing w:val="-22"/>
          <w:w w:val="110"/>
        </w:rPr>
        <w:t> </w:t>
      </w:r>
      <w:r>
        <w:rPr>
          <w:color w:val="231F20"/>
          <w:w w:val="110"/>
        </w:rPr>
        <w:t>mercancías;</w:t>
      </w:r>
    </w:p>
    <w:p>
      <w:pPr>
        <w:pStyle w:val="BodyText"/>
        <w:spacing w:line="256" w:lineRule="auto" w:before="3"/>
        <w:ind w:left="460" w:right="117" w:hanging="360"/>
        <w:jc w:val="both"/>
      </w:pPr>
      <w:r>
        <w:rPr>
          <w:rFonts w:ascii="Calibri" w:hAnsi="Calibri"/>
          <w:color w:val="231F20"/>
          <w:w w:val="110"/>
        </w:rPr>
        <w:t>2] </w:t>
      </w:r>
      <w:r>
        <w:rPr>
          <w:color w:val="231F20"/>
          <w:w w:val="110"/>
        </w:rPr>
        <w:t>Redistribuir el ingreso en favor de los sectores de mayores ingre- sos con el propósito de incrementar el ahorro, considerándolo como determinante de la inversión privada, cuyo freno se atri- buía a las interferencias regulatorias del Estado en el mercado financiero.</w:t>
      </w:r>
    </w:p>
    <w:p>
      <w:pPr>
        <w:pStyle w:val="BodyText"/>
        <w:spacing w:before="1"/>
        <w:rPr>
          <w:sz w:val="22"/>
        </w:rPr>
      </w:pPr>
    </w:p>
    <w:p>
      <w:pPr>
        <w:pStyle w:val="BodyText"/>
        <w:spacing w:line="261" w:lineRule="auto"/>
        <w:ind w:left="100" w:right="117" w:firstLine="252"/>
        <w:jc w:val="both"/>
        <w:rPr>
          <w:sz w:val="13"/>
        </w:rPr>
      </w:pPr>
      <w:r>
        <w:rPr>
          <w:color w:val="231F20"/>
          <w:w w:val="110"/>
        </w:rPr>
        <w:t>La era de la modalidad neoliberal, se inició en América Latina a mediados de los años setenta en Chile bajo la dictadura de Augusto Pinochet, seguida luego por otros regímenes del mismo corte; pero su expansión por todo el mundo, comenzó con los gobiernos de Margaret Thatcher en Inglaterra (1979-1990) y Ronald Reagan en Estados Unidos (1980-1988), que impulsaron su imposición en todo el planeta.</w:t>
      </w:r>
      <w:r>
        <w:rPr>
          <w:color w:val="231F20"/>
          <w:w w:val="110"/>
          <w:position w:val="6"/>
          <w:sz w:val="13"/>
        </w:rPr>
        <w:t>7</w:t>
      </w:r>
    </w:p>
    <w:p>
      <w:pPr>
        <w:pStyle w:val="BodyText"/>
      </w:pPr>
    </w:p>
    <w:p>
      <w:pPr>
        <w:pStyle w:val="BodyText"/>
        <w:spacing w:before="1"/>
        <w:rPr>
          <w:sz w:val="27"/>
        </w:rPr>
      </w:pPr>
    </w:p>
    <w:p>
      <w:pPr>
        <w:spacing w:before="0"/>
        <w:ind w:left="340" w:right="25" w:firstLine="0"/>
        <w:jc w:val="left"/>
        <w:rPr>
          <w:sz w:val="16"/>
        </w:rPr>
      </w:pPr>
      <w:r>
        <w:rPr>
          <w:color w:val="231F20"/>
          <w:w w:val="110"/>
          <w:position w:val="5"/>
          <w:sz w:val="10"/>
        </w:rPr>
        <w:t>7        </w:t>
      </w:r>
      <w:r>
        <w:rPr>
          <w:color w:val="231F20"/>
          <w:w w:val="110"/>
          <w:sz w:val="16"/>
        </w:rPr>
        <w:t>En México, el neoliberalismo se inició en el gobierno de Miguel de la Madrid</w:t>
      </w:r>
    </w:p>
    <w:p>
      <w:pPr>
        <w:spacing w:after="0"/>
        <w:jc w:val="left"/>
        <w:rPr>
          <w:sz w:val="16"/>
        </w:rPr>
        <w:sectPr>
          <w:headerReference w:type="even" r:id="rId96"/>
          <w:headerReference w:type="default" r:id="rId97"/>
          <w:pgSz w:w="7640" w:h="11900"/>
          <w:pgMar w:header="672" w:footer="0" w:top="860" w:bottom="280" w:left="780" w:right="640"/>
          <w:pgNumType w:start="122"/>
        </w:sectPr>
      </w:pPr>
    </w:p>
    <w:p>
      <w:pPr>
        <w:pStyle w:val="BodyText"/>
        <w:spacing w:before="8"/>
        <w:rPr>
          <w:sz w:val="8"/>
        </w:rPr>
      </w:pPr>
    </w:p>
    <w:p>
      <w:pPr>
        <w:pStyle w:val="BodyText"/>
        <w:spacing w:line="261" w:lineRule="auto" w:before="67"/>
        <w:ind w:left="120" w:right="117" w:firstLine="240"/>
        <w:jc w:val="right"/>
      </w:pPr>
      <w:r>
        <w:rPr>
          <w:color w:val="231F20"/>
          <w:w w:val="110"/>
        </w:rPr>
        <w:t>Si bien el neoliberalismo en América Latina jamás logró</w:t>
      </w:r>
      <w:r>
        <w:rPr>
          <w:color w:val="231F20"/>
          <w:spacing w:val="4"/>
          <w:w w:val="110"/>
        </w:rPr>
        <w:t> </w:t>
      </w:r>
      <w:r>
        <w:rPr>
          <w:color w:val="231F20"/>
          <w:w w:val="110"/>
        </w:rPr>
        <w:t>su</w:t>
      </w:r>
      <w:r>
        <w:rPr>
          <w:color w:val="231F20"/>
          <w:spacing w:val="18"/>
          <w:w w:val="110"/>
        </w:rPr>
        <w:t> </w:t>
      </w:r>
      <w:r>
        <w:rPr>
          <w:color w:val="231F20"/>
          <w:w w:val="110"/>
        </w:rPr>
        <w:t>ob-</w:t>
      </w:r>
      <w:r>
        <w:rPr>
          <w:color w:val="231F20"/>
          <w:w w:val="72"/>
        </w:rPr>
        <w:t> </w:t>
      </w:r>
      <w:r>
        <w:rPr>
          <w:color w:val="231F20"/>
          <w:w w:val="110"/>
        </w:rPr>
        <w:t>jetivo</w:t>
      </w:r>
      <w:r>
        <w:rPr>
          <w:color w:val="231F20"/>
          <w:spacing w:val="32"/>
          <w:w w:val="110"/>
        </w:rPr>
        <w:t> </w:t>
      </w:r>
      <w:r>
        <w:rPr>
          <w:color w:val="231F20"/>
          <w:w w:val="110"/>
        </w:rPr>
        <w:t>de</w:t>
      </w:r>
      <w:r>
        <w:rPr>
          <w:color w:val="231F20"/>
          <w:spacing w:val="32"/>
          <w:w w:val="110"/>
        </w:rPr>
        <w:t> </w:t>
      </w:r>
      <w:r>
        <w:rPr>
          <w:color w:val="231F20"/>
          <w:w w:val="110"/>
        </w:rPr>
        <w:t>alcanzar</w:t>
      </w:r>
      <w:r>
        <w:rPr>
          <w:color w:val="231F20"/>
          <w:spacing w:val="32"/>
          <w:w w:val="110"/>
        </w:rPr>
        <w:t> </w:t>
      </w:r>
      <w:r>
        <w:rPr>
          <w:color w:val="231F20"/>
          <w:w w:val="110"/>
        </w:rPr>
        <w:t>el</w:t>
      </w:r>
      <w:r>
        <w:rPr>
          <w:color w:val="231F20"/>
          <w:spacing w:val="32"/>
          <w:w w:val="110"/>
        </w:rPr>
        <w:t> </w:t>
      </w:r>
      <w:r>
        <w:rPr>
          <w:color w:val="231F20"/>
          <w:w w:val="110"/>
        </w:rPr>
        <w:t>crecimiento</w:t>
      </w:r>
      <w:r>
        <w:rPr>
          <w:color w:val="231F20"/>
          <w:spacing w:val="32"/>
          <w:w w:val="110"/>
        </w:rPr>
        <w:t> </w:t>
      </w:r>
      <w:r>
        <w:rPr>
          <w:color w:val="231F20"/>
          <w:w w:val="110"/>
        </w:rPr>
        <w:t>sostenido</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economía,</w:t>
      </w:r>
      <w:r>
        <w:rPr>
          <w:color w:val="231F20"/>
          <w:spacing w:val="32"/>
          <w:w w:val="110"/>
        </w:rPr>
        <w:t> </w:t>
      </w:r>
      <w:r>
        <w:rPr>
          <w:color w:val="231F20"/>
          <w:w w:val="110"/>
        </w:rPr>
        <w:t>sí</w:t>
      </w:r>
      <w:r>
        <w:rPr>
          <w:color w:val="231F20"/>
          <w:spacing w:val="32"/>
          <w:w w:val="110"/>
        </w:rPr>
        <w:t> </w:t>
      </w:r>
      <w:r>
        <w:rPr>
          <w:color w:val="231F20"/>
          <w:w w:val="110"/>
        </w:rPr>
        <w:t>en</w:t>
      </w:r>
      <w:r>
        <w:rPr>
          <w:color w:val="231F20"/>
          <w:w w:val="116"/>
        </w:rPr>
        <w:t> </w:t>
      </w:r>
      <w:r>
        <w:rPr>
          <w:color w:val="231F20"/>
          <w:w w:val="110"/>
        </w:rPr>
        <w:t>cambio</w:t>
      </w:r>
      <w:r>
        <w:rPr>
          <w:color w:val="231F20"/>
          <w:spacing w:val="-8"/>
          <w:w w:val="110"/>
        </w:rPr>
        <w:t> </w:t>
      </w:r>
      <w:r>
        <w:rPr>
          <w:color w:val="231F20"/>
          <w:w w:val="110"/>
        </w:rPr>
        <w:t>elevó</w:t>
      </w:r>
      <w:r>
        <w:rPr>
          <w:color w:val="231F20"/>
          <w:spacing w:val="-8"/>
          <w:w w:val="110"/>
        </w:rPr>
        <w:t> </w:t>
      </w:r>
      <w:r>
        <w:rPr>
          <w:color w:val="231F20"/>
          <w:w w:val="110"/>
        </w:rPr>
        <w:t>el</w:t>
      </w:r>
      <w:r>
        <w:rPr>
          <w:color w:val="231F20"/>
          <w:spacing w:val="-8"/>
          <w:w w:val="110"/>
        </w:rPr>
        <w:t> </w:t>
      </w:r>
      <w:r>
        <w:rPr>
          <w:color w:val="231F20"/>
          <w:w w:val="110"/>
        </w:rPr>
        <w:t>desempleo</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pobreza</w:t>
      </w:r>
      <w:r>
        <w:rPr>
          <w:color w:val="231F20"/>
          <w:spacing w:val="-8"/>
          <w:w w:val="110"/>
        </w:rPr>
        <w:t> </w:t>
      </w:r>
      <w:r>
        <w:rPr>
          <w:color w:val="231F20"/>
          <w:w w:val="110"/>
        </w:rPr>
        <w:t>social</w:t>
      </w:r>
      <w:r>
        <w:rPr>
          <w:color w:val="231F20"/>
          <w:spacing w:val="-8"/>
          <w:w w:val="110"/>
        </w:rPr>
        <w:t> </w:t>
      </w:r>
      <w:r>
        <w:rPr>
          <w:color w:val="231F20"/>
          <w:w w:val="110"/>
        </w:rPr>
        <w:t>y</w:t>
      </w:r>
      <w:r>
        <w:rPr>
          <w:color w:val="231F20"/>
          <w:spacing w:val="-8"/>
          <w:w w:val="110"/>
        </w:rPr>
        <w:t> </w:t>
      </w:r>
      <w:r>
        <w:rPr>
          <w:color w:val="231F20"/>
          <w:w w:val="110"/>
        </w:rPr>
        <w:t>regional,</w:t>
      </w:r>
      <w:r>
        <w:rPr>
          <w:color w:val="231F20"/>
          <w:spacing w:val="-8"/>
          <w:w w:val="110"/>
        </w:rPr>
        <w:t> </w:t>
      </w:r>
      <w:r>
        <w:rPr>
          <w:color w:val="231F20"/>
          <w:w w:val="110"/>
        </w:rPr>
        <w:t>ampliando</w:t>
      </w:r>
      <w:r>
        <w:rPr>
          <w:color w:val="231F20"/>
          <w:w w:val="111"/>
        </w:rPr>
        <w:t> </w:t>
      </w:r>
      <w:r>
        <w:rPr>
          <w:color w:val="231F20"/>
          <w:w w:val="110"/>
        </w:rPr>
        <w:t>la brecha de la desigualdad característica del capitalismo.</w:t>
      </w:r>
      <w:r>
        <w:rPr>
          <w:color w:val="231F20"/>
          <w:spacing w:val="1"/>
          <w:w w:val="110"/>
        </w:rPr>
        <w:t> </w:t>
      </w:r>
      <w:r>
        <w:rPr>
          <w:color w:val="231F20"/>
          <w:w w:val="110"/>
        </w:rPr>
        <w:t>Sin</w:t>
      </w:r>
      <w:r>
        <w:rPr>
          <w:color w:val="231F20"/>
          <w:spacing w:val="7"/>
          <w:w w:val="110"/>
        </w:rPr>
        <w:t> </w:t>
      </w:r>
      <w:r>
        <w:rPr>
          <w:color w:val="231F20"/>
          <w:w w:val="110"/>
        </w:rPr>
        <w:t>duda,</w:t>
      </w:r>
      <w:r>
        <w:rPr>
          <w:color w:val="231F20"/>
          <w:w w:val="113"/>
        </w:rPr>
        <w:t> </w:t>
      </w:r>
      <w:r>
        <w:rPr>
          <w:color w:val="231F20"/>
          <w:w w:val="110"/>
        </w:rPr>
        <w:t>por sus resultados, “Hay un vidente desfase entre lo que dice</w:t>
      </w:r>
      <w:r>
        <w:rPr>
          <w:color w:val="231F20"/>
          <w:spacing w:val="32"/>
          <w:w w:val="110"/>
        </w:rPr>
        <w:t> </w:t>
      </w:r>
      <w:r>
        <w:rPr>
          <w:color w:val="231F20"/>
          <w:w w:val="110"/>
        </w:rPr>
        <w:t>la</w:t>
      </w:r>
      <w:r>
        <w:rPr>
          <w:color w:val="231F20"/>
          <w:spacing w:val="2"/>
          <w:w w:val="110"/>
        </w:rPr>
        <w:t> </w:t>
      </w:r>
      <w:r>
        <w:rPr>
          <w:color w:val="231F20"/>
          <w:w w:val="110"/>
        </w:rPr>
        <w:t>teo-</w:t>
      </w:r>
      <w:r>
        <w:rPr>
          <w:color w:val="231F20"/>
          <w:w w:val="72"/>
        </w:rPr>
        <w:t> </w:t>
      </w:r>
      <w:r>
        <w:rPr>
          <w:color w:val="231F20"/>
          <w:w w:val="110"/>
        </w:rPr>
        <w:t>ría neoliberal y los resultados de la realidad. Las ideas</w:t>
      </w:r>
      <w:r>
        <w:rPr>
          <w:color w:val="231F20"/>
          <w:spacing w:val="33"/>
          <w:w w:val="110"/>
        </w:rPr>
        <w:t> </w:t>
      </w:r>
      <w:r>
        <w:rPr>
          <w:color w:val="231F20"/>
          <w:w w:val="110"/>
        </w:rPr>
        <w:t>del</w:t>
      </w:r>
      <w:r>
        <w:rPr>
          <w:color w:val="231F20"/>
          <w:spacing w:val="8"/>
          <w:w w:val="110"/>
        </w:rPr>
        <w:t> </w:t>
      </w:r>
      <w:r>
        <w:rPr>
          <w:color w:val="231F20"/>
          <w:w w:val="110"/>
        </w:rPr>
        <w:t>mercado</w:t>
      </w:r>
      <w:r>
        <w:rPr>
          <w:color w:val="231F20"/>
          <w:w w:val="111"/>
        </w:rPr>
        <w:t> </w:t>
      </w:r>
      <w:r>
        <w:rPr>
          <w:color w:val="231F20"/>
          <w:w w:val="110"/>
        </w:rPr>
        <w:t>como organizador eficiente de equilibrios, de la racionalidad</w:t>
      </w:r>
      <w:r>
        <w:rPr>
          <w:color w:val="231F20"/>
          <w:spacing w:val="15"/>
          <w:w w:val="110"/>
        </w:rPr>
        <w:t> </w:t>
      </w:r>
      <w:r>
        <w:rPr>
          <w:color w:val="231F20"/>
          <w:w w:val="110"/>
        </w:rPr>
        <w:t>de</w:t>
      </w:r>
      <w:r>
        <w:rPr>
          <w:color w:val="231F20"/>
          <w:spacing w:val="8"/>
          <w:w w:val="110"/>
        </w:rPr>
        <w:t> </w:t>
      </w:r>
      <w:r>
        <w:rPr>
          <w:color w:val="231F20"/>
          <w:w w:val="110"/>
        </w:rPr>
        <w:t>los</w:t>
      </w:r>
      <w:r>
        <w:rPr>
          <w:color w:val="231F20"/>
          <w:w w:val="102"/>
        </w:rPr>
        <w:t> </w:t>
      </w:r>
      <w:r>
        <w:rPr>
          <w:color w:val="231F20"/>
          <w:w w:val="110"/>
        </w:rPr>
        <w:t>agentes económicos, de las derramas de los beneficios, por ejemplo,</w:t>
      </w:r>
      <w:r>
        <w:rPr>
          <w:color w:val="231F20"/>
          <w:w w:val="109"/>
        </w:rPr>
        <w:t> </w:t>
      </w:r>
      <w:r>
        <w:rPr>
          <w:color w:val="231F20"/>
          <w:w w:val="110"/>
        </w:rPr>
        <w:t>no</w:t>
      </w:r>
      <w:r>
        <w:rPr>
          <w:color w:val="231F20"/>
          <w:spacing w:val="-6"/>
          <w:w w:val="110"/>
        </w:rPr>
        <w:t> </w:t>
      </w:r>
      <w:r>
        <w:rPr>
          <w:color w:val="231F20"/>
          <w:w w:val="110"/>
        </w:rPr>
        <w:t>se</w:t>
      </w:r>
      <w:r>
        <w:rPr>
          <w:color w:val="231F20"/>
          <w:spacing w:val="-6"/>
          <w:w w:val="110"/>
        </w:rPr>
        <w:t> </w:t>
      </w:r>
      <w:r>
        <w:rPr>
          <w:color w:val="231F20"/>
          <w:w w:val="110"/>
        </w:rPr>
        <w:t>corresponden</w:t>
      </w:r>
      <w:r>
        <w:rPr>
          <w:color w:val="231F20"/>
          <w:spacing w:val="-6"/>
          <w:w w:val="110"/>
        </w:rPr>
        <w:t> </w:t>
      </w:r>
      <w:r>
        <w:rPr>
          <w:color w:val="231F20"/>
          <w:w w:val="110"/>
        </w:rPr>
        <w:t>con</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realmente</w:t>
      </w:r>
      <w:r>
        <w:rPr>
          <w:color w:val="231F20"/>
          <w:spacing w:val="-6"/>
          <w:w w:val="110"/>
        </w:rPr>
        <w:t> </w:t>
      </w:r>
      <w:r>
        <w:rPr>
          <w:color w:val="231F20"/>
          <w:w w:val="110"/>
        </w:rPr>
        <w:t>ocurre”</w:t>
      </w:r>
      <w:r>
        <w:rPr>
          <w:color w:val="231F20"/>
          <w:spacing w:val="-6"/>
          <w:w w:val="110"/>
        </w:rPr>
        <w:t> </w:t>
      </w:r>
      <w:r>
        <w:rPr>
          <w:color w:val="231F20"/>
          <w:w w:val="110"/>
        </w:rPr>
        <w:t>(Osorio,</w:t>
      </w:r>
      <w:r>
        <w:rPr>
          <w:color w:val="231F20"/>
          <w:spacing w:val="-6"/>
          <w:w w:val="110"/>
        </w:rPr>
        <w:t> </w:t>
      </w:r>
      <w:r>
        <w:rPr>
          <w:color w:val="231F20"/>
          <w:w w:val="110"/>
        </w:rPr>
        <w:t>1995:</w:t>
      </w:r>
      <w:r>
        <w:rPr>
          <w:color w:val="231F20"/>
          <w:spacing w:val="-6"/>
          <w:w w:val="110"/>
        </w:rPr>
        <w:t> </w:t>
      </w:r>
      <w:r>
        <w:rPr>
          <w:color w:val="231F20"/>
          <w:w w:val="110"/>
        </w:rPr>
        <w:t>91).</w:t>
      </w:r>
      <w:r>
        <w:rPr>
          <w:color w:val="231F20"/>
          <w:w w:val="109"/>
        </w:rPr>
        <w:t> </w:t>
      </w:r>
      <w:r>
        <w:rPr>
          <w:color w:val="231F20"/>
          <w:w w:val="110"/>
        </w:rPr>
        <w:t>Esta situación, provocó que los principios neoliberales</w:t>
      </w:r>
      <w:r>
        <w:rPr>
          <w:color w:val="231F20"/>
          <w:spacing w:val="-37"/>
          <w:w w:val="110"/>
        </w:rPr>
        <w:t> </w:t>
      </w:r>
      <w:r>
        <w:rPr>
          <w:color w:val="231F20"/>
          <w:w w:val="110"/>
        </w:rPr>
        <w:t>cayeran</w:t>
      </w:r>
      <w:r>
        <w:rPr>
          <w:color w:val="231F20"/>
          <w:spacing w:val="-6"/>
          <w:w w:val="110"/>
        </w:rPr>
        <w:t> </w:t>
      </w:r>
      <w:r>
        <w:rPr>
          <w:color w:val="231F20"/>
          <w:w w:val="110"/>
        </w:rPr>
        <w:t>en</w:t>
      </w:r>
      <w:r>
        <w:rPr>
          <w:color w:val="231F20"/>
          <w:w w:val="116"/>
        </w:rPr>
        <w:t> </w:t>
      </w:r>
      <w:r>
        <w:rPr>
          <w:color w:val="231F20"/>
          <w:w w:val="110"/>
        </w:rPr>
        <w:t>una</w:t>
      </w:r>
      <w:r>
        <w:rPr>
          <w:color w:val="231F20"/>
          <w:spacing w:val="-8"/>
          <w:w w:val="110"/>
        </w:rPr>
        <w:t> </w:t>
      </w:r>
      <w:r>
        <w:rPr>
          <w:color w:val="231F20"/>
          <w:w w:val="110"/>
        </w:rPr>
        <w:t>severa</w:t>
      </w:r>
      <w:r>
        <w:rPr>
          <w:color w:val="231F20"/>
          <w:spacing w:val="-8"/>
          <w:w w:val="110"/>
        </w:rPr>
        <w:t> </w:t>
      </w:r>
      <w:r>
        <w:rPr>
          <w:color w:val="231F20"/>
          <w:w w:val="110"/>
        </w:rPr>
        <w:t>crisis</w:t>
      </w:r>
      <w:r>
        <w:rPr>
          <w:color w:val="231F20"/>
          <w:spacing w:val="-8"/>
          <w:w w:val="110"/>
        </w:rPr>
        <w:t> </w:t>
      </w:r>
      <w:r>
        <w:rPr>
          <w:color w:val="231F20"/>
          <w:w w:val="110"/>
        </w:rPr>
        <w:t>de</w:t>
      </w:r>
      <w:r>
        <w:rPr>
          <w:color w:val="231F20"/>
          <w:spacing w:val="-8"/>
          <w:w w:val="110"/>
        </w:rPr>
        <w:t> </w:t>
      </w:r>
      <w:r>
        <w:rPr>
          <w:color w:val="231F20"/>
          <w:w w:val="110"/>
        </w:rPr>
        <w:t>legitimidad,</w:t>
      </w:r>
      <w:r>
        <w:rPr>
          <w:color w:val="231F20"/>
          <w:spacing w:val="-8"/>
          <w:w w:val="110"/>
        </w:rPr>
        <w:t> </w:t>
      </w:r>
      <w:r>
        <w:rPr>
          <w:color w:val="231F20"/>
          <w:w w:val="110"/>
        </w:rPr>
        <w:t>debido</w:t>
      </w:r>
      <w:r>
        <w:rPr>
          <w:color w:val="231F20"/>
          <w:spacing w:val="-8"/>
          <w:w w:val="110"/>
        </w:rPr>
        <w:t> </w:t>
      </w:r>
      <w:r>
        <w:rPr>
          <w:color w:val="231F20"/>
          <w:w w:val="110"/>
        </w:rPr>
        <w:t>entre</w:t>
      </w:r>
      <w:r>
        <w:rPr>
          <w:color w:val="231F20"/>
          <w:spacing w:val="-8"/>
          <w:w w:val="110"/>
        </w:rPr>
        <w:t> </w:t>
      </w:r>
      <w:r>
        <w:rPr>
          <w:color w:val="231F20"/>
          <w:w w:val="110"/>
        </w:rPr>
        <w:t>otras</w:t>
      </w:r>
      <w:r>
        <w:rPr>
          <w:color w:val="231F20"/>
          <w:spacing w:val="-8"/>
          <w:w w:val="110"/>
        </w:rPr>
        <w:t> </w:t>
      </w:r>
      <w:r>
        <w:rPr>
          <w:color w:val="231F20"/>
          <w:w w:val="110"/>
        </w:rPr>
        <w:t>cosas</w:t>
      </w:r>
      <w:r>
        <w:rPr>
          <w:color w:val="231F20"/>
          <w:spacing w:val="-8"/>
          <w:w w:val="110"/>
        </w:rPr>
        <w:t> </w:t>
      </w:r>
      <w:r>
        <w:rPr>
          <w:color w:val="231F20"/>
          <w:w w:val="110"/>
        </w:rPr>
        <w:t>al</w:t>
      </w:r>
      <w:r>
        <w:rPr>
          <w:color w:val="231F20"/>
          <w:spacing w:val="-8"/>
          <w:w w:val="110"/>
        </w:rPr>
        <w:t> </w:t>
      </w:r>
      <w:r>
        <w:rPr>
          <w:color w:val="231F20"/>
          <w:w w:val="110"/>
        </w:rPr>
        <w:t>desajuste</w:t>
      </w:r>
      <w:r>
        <w:rPr>
          <w:color w:val="231F20"/>
          <w:w w:val="107"/>
        </w:rPr>
        <w:t> </w:t>
      </w:r>
      <w:r>
        <w:rPr>
          <w:color w:val="231F20"/>
          <w:w w:val="110"/>
        </w:rPr>
        <w:t>estructural entre las necesidades del desarrollo de las</w:t>
      </w:r>
      <w:r>
        <w:rPr>
          <w:color w:val="231F20"/>
          <w:spacing w:val="46"/>
          <w:w w:val="110"/>
        </w:rPr>
        <w:t> </w:t>
      </w:r>
      <w:r>
        <w:rPr>
          <w:color w:val="231F20"/>
          <w:w w:val="110"/>
        </w:rPr>
        <w:t>fuerzas</w:t>
      </w:r>
      <w:r>
        <w:rPr>
          <w:color w:val="231F20"/>
          <w:spacing w:val="26"/>
          <w:w w:val="110"/>
        </w:rPr>
        <w:t> </w:t>
      </w:r>
      <w:r>
        <w:rPr>
          <w:color w:val="231F20"/>
          <w:w w:val="110"/>
        </w:rPr>
        <w:t>pro-</w:t>
      </w:r>
      <w:r>
        <w:rPr>
          <w:color w:val="231F20"/>
          <w:w w:val="72"/>
        </w:rPr>
        <w:t> </w:t>
      </w:r>
      <w:r>
        <w:rPr>
          <w:color w:val="231F20"/>
          <w:w w:val="110"/>
        </w:rPr>
        <w:t>ductivas y las relaciones de producción, desajuste</w:t>
      </w:r>
      <w:r>
        <w:rPr>
          <w:color w:val="231F20"/>
          <w:spacing w:val="54"/>
          <w:w w:val="110"/>
        </w:rPr>
        <w:t> </w:t>
      </w:r>
      <w:r>
        <w:rPr>
          <w:color w:val="231F20"/>
          <w:w w:val="110"/>
        </w:rPr>
        <w:t>determinado</w:t>
      </w:r>
      <w:r>
        <w:rPr>
          <w:color w:val="231F20"/>
          <w:spacing w:val="15"/>
          <w:w w:val="110"/>
        </w:rPr>
        <w:t> </w:t>
      </w:r>
      <w:r>
        <w:rPr>
          <w:color w:val="231F20"/>
          <w:w w:val="110"/>
        </w:rPr>
        <w:t>por</w:t>
      </w:r>
      <w:r>
        <w:rPr>
          <w:color w:val="231F20"/>
          <w:w w:val="115"/>
        </w:rPr>
        <w:t> </w:t>
      </w:r>
      <w:r>
        <w:rPr>
          <w:color w:val="231F20"/>
          <w:w w:val="110"/>
        </w:rPr>
        <w:t>el predominio de la economía especulativa sobre la</w:t>
      </w:r>
      <w:r>
        <w:rPr>
          <w:color w:val="231F20"/>
          <w:spacing w:val="21"/>
          <w:w w:val="110"/>
        </w:rPr>
        <w:t> </w:t>
      </w:r>
      <w:r>
        <w:rPr>
          <w:color w:val="231F20"/>
          <w:w w:val="110"/>
        </w:rPr>
        <w:t>economía</w:t>
      </w:r>
      <w:r>
        <w:rPr>
          <w:color w:val="231F20"/>
          <w:spacing w:val="16"/>
          <w:w w:val="110"/>
        </w:rPr>
        <w:t> </w:t>
      </w:r>
      <w:r>
        <w:rPr>
          <w:color w:val="231F20"/>
          <w:w w:val="110"/>
        </w:rPr>
        <w:t>real,</w:t>
      </w:r>
      <w:r>
        <w:rPr>
          <w:color w:val="231F20"/>
          <w:w w:val="109"/>
        </w:rPr>
        <w:t> </w:t>
      </w:r>
      <w:r>
        <w:rPr>
          <w:color w:val="231F20"/>
          <w:w w:val="110"/>
        </w:rPr>
        <w:t>lo que condujo a una severa crisis estructural que coincidió con</w:t>
      </w:r>
      <w:r>
        <w:rPr>
          <w:color w:val="231F20"/>
          <w:spacing w:val="51"/>
          <w:w w:val="110"/>
        </w:rPr>
        <w:t> </w:t>
      </w:r>
      <w:r>
        <w:rPr>
          <w:color w:val="231F20"/>
          <w:w w:val="110"/>
        </w:rPr>
        <w:t>una</w:t>
      </w:r>
    </w:p>
    <w:p>
      <w:pPr>
        <w:pStyle w:val="BodyText"/>
        <w:ind w:left="120"/>
        <w:jc w:val="both"/>
      </w:pPr>
      <w:r>
        <w:rPr>
          <w:color w:val="231F20"/>
          <w:w w:val="110"/>
        </w:rPr>
        <w:t>crisis periódica de sobreproducción.</w:t>
      </w:r>
    </w:p>
    <w:p>
      <w:pPr>
        <w:pStyle w:val="BodyText"/>
      </w:pPr>
    </w:p>
    <w:p>
      <w:pPr>
        <w:pStyle w:val="BodyText"/>
      </w:pPr>
    </w:p>
    <w:p>
      <w:pPr>
        <w:pStyle w:val="BodyText"/>
        <w:spacing w:before="11"/>
        <w:rPr>
          <w:sz w:val="26"/>
        </w:rPr>
      </w:pPr>
    </w:p>
    <w:p>
      <w:pPr>
        <w:pStyle w:val="BodyText"/>
        <w:ind w:left="120"/>
        <w:jc w:val="both"/>
      </w:pPr>
      <w:r>
        <w:rPr>
          <w:color w:val="231F20"/>
          <w:w w:val="130"/>
        </w:rPr>
        <w:t>inicio y desarrollo de la crisis</w:t>
      </w:r>
    </w:p>
    <w:p>
      <w:pPr>
        <w:pStyle w:val="BodyText"/>
        <w:spacing w:before="5"/>
        <w:rPr>
          <w:sz w:val="23"/>
        </w:rPr>
      </w:pPr>
    </w:p>
    <w:p>
      <w:pPr>
        <w:pStyle w:val="BodyText"/>
        <w:spacing w:line="261" w:lineRule="auto"/>
        <w:ind w:left="120" w:right="121"/>
        <w:jc w:val="both"/>
      </w:pPr>
      <w:r>
        <w:rPr>
          <w:color w:val="231F20"/>
          <w:w w:val="110"/>
        </w:rPr>
        <w:t>El</w:t>
      </w:r>
      <w:r>
        <w:rPr>
          <w:color w:val="231F20"/>
          <w:spacing w:val="-22"/>
          <w:w w:val="110"/>
        </w:rPr>
        <w:t> </w:t>
      </w:r>
      <w:r>
        <w:rPr>
          <w:color w:val="231F20"/>
          <w:spacing w:val="-4"/>
          <w:w w:val="110"/>
        </w:rPr>
        <w:t>inicio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spacing w:val="-4"/>
          <w:w w:val="110"/>
        </w:rPr>
        <w:t>crisis</w:t>
      </w:r>
      <w:r>
        <w:rPr>
          <w:color w:val="231F20"/>
          <w:spacing w:val="-22"/>
          <w:w w:val="110"/>
        </w:rPr>
        <w:t> </w:t>
      </w:r>
      <w:r>
        <w:rPr>
          <w:color w:val="231F20"/>
          <w:spacing w:val="-3"/>
          <w:w w:val="110"/>
        </w:rPr>
        <w:t>del</w:t>
      </w:r>
      <w:r>
        <w:rPr>
          <w:color w:val="231F20"/>
          <w:spacing w:val="-22"/>
          <w:w w:val="110"/>
        </w:rPr>
        <w:t> </w:t>
      </w:r>
      <w:r>
        <w:rPr>
          <w:color w:val="231F20"/>
          <w:spacing w:val="-4"/>
          <w:w w:val="110"/>
        </w:rPr>
        <w:t>capitalismo</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spacing w:val="-4"/>
          <w:w w:val="110"/>
        </w:rPr>
        <w:t>último</w:t>
      </w:r>
      <w:r>
        <w:rPr>
          <w:color w:val="231F20"/>
          <w:spacing w:val="-22"/>
          <w:w w:val="110"/>
        </w:rPr>
        <w:t> </w:t>
      </w:r>
      <w:r>
        <w:rPr>
          <w:color w:val="231F20"/>
          <w:spacing w:val="-4"/>
          <w:w w:val="110"/>
        </w:rPr>
        <w:t>trimestre</w:t>
      </w:r>
      <w:r>
        <w:rPr>
          <w:color w:val="231F20"/>
          <w:spacing w:val="-22"/>
          <w:w w:val="110"/>
        </w:rPr>
        <w:t> </w:t>
      </w:r>
      <w:r>
        <w:rPr>
          <w:color w:val="231F20"/>
          <w:w w:val="110"/>
        </w:rPr>
        <w:t>de</w:t>
      </w:r>
      <w:r>
        <w:rPr>
          <w:color w:val="231F20"/>
          <w:spacing w:val="-22"/>
          <w:w w:val="110"/>
        </w:rPr>
        <w:t> </w:t>
      </w:r>
      <w:r>
        <w:rPr>
          <w:color w:val="231F20"/>
          <w:spacing w:val="-4"/>
          <w:w w:val="110"/>
        </w:rPr>
        <w:t>2007,</w:t>
      </w:r>
      <w:r>
        <w:rPr>
          <w:color w:val="231F20"/>
          <w:spacing w:val="-22"/>
          <w:w w:val="110"/>
        </w:rPr>
        <w:t> </w:t>
      </w:r>
      <w:r>
        <w:rPr>
          <w:color w:val="231F20"/>
          <w:spacing w:val="-4"/>
          <w:w w:val="110"/>
        </w:rPr>
        <w:t>puede encontrarse </w:t>
      </w:r>
      <w:r>
        <w:rPr>
          <w:color w:val="231F20"/>
          <w:w w:val="110"/>
        </w:rPr>
        <w:t>en el </w:t>
      </w:r>
      <w:r>
        <w:rPr>
          <w:color w:val="231F20"/>
          <w:spacing w:val="-4"/>
          <w:w w:val="110"/>
        </w:rPr>
        <w:t>comportamiento </w:t>
      </w:r>
      <w:r>
        <w:rPr>
          <w:color w:val="231F20"/>
          <w:spacing w:val="-3"/>
          <w:w w:val="110"/>
        </w:rPr>
        <w:t>del </w:t>
      </w:r>
      <w:r>
        <w:rPr>
          <w:color w:val="231F20"/>
          <w:spacing w:val="-4"/>
          <w:w w:val="110"/>
        </w:rPr>
        <w:t>mercado financiero</w:t>
      </w:r>
      <w:r>
        <w:rPr>
          <w:color w:val="231F20"/>
          <w:spacing w:val="-15"/>
          <w:w w:val="110"/>
        </w:rPr>
        <w:t> </w:t>
      </w:r>
      <w:r>
        <w:rPr>
          <w:color w:val="231F20"/>
          <w:spacing w:val="-4"/>
          <w:w w:val="110"/>
        </w:rPr>
        <w:t>desregulado, </w:t>
      </w:r>
      <w:r>
        <w:rPr>
          <w:color w:val="231F20"/>
          <w:spacing w:val="-3"/>
          <w:w w:val="110"/>
        </w:rPr>
        <w:t>que</w:t>
      </w:r>
      <w:r>
        <w:rPr>
          <w:color w:val="231F20"/>
          <w:spacing w:val="-8"/>
          <w:w w:val="110"/>
        </w:rPr>
        <w:t> </w:t>
      </w:r>
      <w:r>
        <w:rPr>
          <w:color w:val="231F20"/>
          <w:spacing w:val="-4"/>
          <w:w w:val="110"/>
        </w:rPr>
        <w:t>facilitó</w:t>
      </w:r>
      <w:r>
        <w:rPr>
          <w:color w:val="231F20"/>
          <w:spacing w:val="-8"/>
          <w:w w:val="110"/>
        </w:rPr>
        <w:t> </w:t>
      </w:r>
      <w:r>
        <w:rPr>
          <w:color w:val="231F20"/>
          <w:w w:val="110"/>
        </w:rPr>
        <w:t>a</w:t>
      </w:r>
      <w:r>
        <w:rPr>
          <w:color w:val="231F20"/>
          <w:spacing w:val="-8"/>
          <w:w w:val="110"/>
        </w:rPr>
        <w:t> </w:t>
      </w:r>
      <w:r>
        <w:rPr>
          <w:color w:val="231F20"/>
          <w:spacing w:val="-3"/>
          <w:w w:val="110"/>
        </w:rPr>
        <w:t>los</w:t>
      </w:r>
      <w:r>
        <w:rPr>
          <w:color w:val="231F20"/>
          <w:spacing w:val="-8"/>
          <w:w w:val="110"/>
        </w:rPr>
        <w:t> </w:t>
      </w:r>
      <w:r>
        <w:rPr>
          <w:color w:val="231F20"/>
          <w:spacing w:val="-4"/>
          <w:w w:val="110"/>
        </w:rPr>
        <w:t>bancos</w:t>
      </w:r>
      <w:r>
        <w:rPr>
          <w:color w:val="231F20"/>
          <w:spacing w:val="-8"/>
          <w:w w:val="110"/>
        </w:rPr>
        <w:t> </w:t>
      </w:r>
      <w:r>
        <w:rPr>
          <w:color w:val="231F20"/>
          <w:spacing w:val="-4"/>
          <w:w w:val="110"/>
        </w:rPr>
        <w:t>hipotecarios</w:t>
      </w:r>
      <w:r>
        <w:rPr>
          <w:color w:val="231F20"/>
          <w:spacing w:val="-8"/>
          <w:w w:val="110"/>
        </w:rPr>
        <w:t> </w:t>
      </w:r>
      <w:r>
        <w:rPr>
          <w:color w:val="231F20"/>
          <w:spacing w:val="-4"/>
          <w:w w:val="110"/>
        </w:rPr>
        <w:t>generar</w:t>
      </w:r>
      <w:r>
        <w:rPr>
          <w:color w:val="231F20"/>
          <w:spacing w:val="-8"/>
          <w:w w:val="110"/>
        </w:rPr>
        <w:t> </w:t>
      </w:r>
      <w:r>
        <w:rPr>
          <w:color w:val="231F20"/>
          <w:spacing w:val="-4"/>
          <w:w w:val="110"/>
        </w:rPr>
        <w:t>millones</w:t>
      </w:r>
      <w:r>
        <w:rPr>
          <w:color w:val="231F20"/>
          <w:spacing w:val="-8"/>
          <w:w w:val="110"/>
        </w:rPr>
        <w:t> </w:t>
      </w:r>
      <w:r>
        <w:rPr>
          <w:color w:val="231F20"/>
          <w:w w:val="110"/>
        </w:rPr>
        <w:t>de</w:t>
      </w:r>
      <w:r>
        <w:rPr>
          <w:color w:val="231F20"/>
          <w:spacing w:val="-8"/>
          <w:w w:val="110"/>
        </w:rPr>
        <w:t> </w:t>
      </w:r>
      <w:r>
        <w:rPr>
          <w:color w:val="231F20"/>
          <w:spacing w:val="-4"/>
          <w:w w:val="110"/>
        </w:rPr>
        <w:t>títulos</w:t>
      </w:r>
      <w:r>
        <w:rPr>
          <w:color w:val="231F20"/>
          <w:spacing w:val="-8"/>
          <w:w w:val="110"/>
        </w:rPr>
        <w:t> </w:t>
      </w:r>
      <w:r>
        <w:rPr>
          <w:color w:val="231F20"/>
          <w:w w:val="110"/>
        </w:rPr>
        <w:t>de</w:t>
      </w:r>
      <w:r>
        <w:rPr>
          <w:color w:val="231F20"/>
          <w:spacing w:val="-8"/>
          <w:w w:val="110"/>
        </w:rPr>
        <w:t> </w:t>
      </w:r>
      <w:r>
        <w:rPr>
          <w:color w:val="231F20"/>
          <w:spacing w:val="-4"/>
          <w:w w:val="110"/>
        </w:rPr>
        <w:t>alto riesgo </w:t>
      </w:r>
      <w:r>
        <w:rPr>
          <w:color w:val="231F20"/>
          <w:w w:val="110"/>
        </w:rPr>
        <w:t>y </w:t>
      </w:r>
      <w:r>
        <w:rPr>
          <w:color w:val="231F20"/>
          <w:spacing w:val="-4"/>
          <w:w w:val="110"/>
        </w:rPr>
        <w:t>distribuirlos </w:t>
      </w:r>
      <w:r>
        <w:rPr>
          <w:color w:val="231F20"/>
          <w:spacing w:val="-3"/>
          <w:w w:val="110"/>
        </w:rPr>
        <w:t>por todo </w:t>
      </w:r>
      <w:r>
        <w:rPr>
          <w:color w:val="231F20"/>
          <w:w w:val="110"/>
        </w:rPr>
        <w:t>el </w:t>
      </w:r>
      <w:r>
        <w:rPr>
          <w:color w:val="231F20"/>
          <w:spacing w:val="-4"/>
          <w:w w:val="110"/>
        </w:rPr>
        <w:t>sistema financiero</w:t>
      </w:r>
      <w:r>
        <w:rPr>
          <w:color w:val="231F20"/>
          <w:spacing w:val="5"/>
          <w:w w:val="110"/>
        </w:rPr>
        <w:t> </w:t>
      </w:r>
      <w:r>
        <w:rPr>
          <w:color w:val="231F20"/>
          <w:spacing w:val="-4"/>
          <w:w w:val="110"/>
        </w:rPr>
        <w:t>mundial.</w:t>
      </w:r>
    </w:p>
    <w:p>
      <w:pPr>
        <w:pStyle w:val="BodyText"/>
        <w:spacing w:line="261" w:lineRule="auto"/>
        <w:ind w:left="120" w:right="118" w:firstLine="240"/>
        <w:jc w:val="both"/>
      </w:pPr>
      <w:r>
        <w:rPr>
          <w:color w:val="231F20"/>
          <w:w w:val="110"/>
        </w:rPr>
        <w:t>Esos títulos se emitieron y distribuyeron con mucha mayor velo- cidad de lo que se realizaba en el mercado el valor producido</w:t>
      </w:r>
      <w:r>
        <w:rPr>
          <w:color w:val="231F20"/>
          <w:spacing w:val="22"/>
          <w:w w:val="110"/>
        </w:rPr>
        <w:t> </w:t>
      </w:r>
      <w:r>
        <w:rPr>
          <w:color w:val="231F20"/>
          <w:w w:val="110"/>
        </w:rPr>
        <w:t>en</w:t>
      </w:r>
      <w:r>
        <w:rPr>
          <w:color w:val="231F20"/>
          <w:spacing w:val="11"/>
          <w:w w:val="110"/>
        </w:rPr>
        <w:t> </w:t>
      </w:r>
      <w:r>
        <w:rPr>
          <w:color w:val="231F20"/>
          <w:w w:val="110"/>
        </w:rPr>
        <w:t>el</w:t>
      </w:r>
      <w:r>
        <w:rPr>
          <w:color w:val="231F20"/>
          <w:w w:val="108"/>
        </w:rPr>
        <w:t> </w:t>
      </w:r>
      <w:r>
        <w:rPr>
          <w:color w:val="231F20"/>
          <w:w w:val="110"/>
        </w:rPr>
        <w:t>proceso</w:t>
      </w:r>
      <w:r>
        <w:rPr>
          <w:color w:val="231F20"/>
          <w:spacing w:val="-16"/>
          <w:w w:val="110"/>
        </w:rPr>
        <w:t> </w:t>
      </w:r>
      <w:r>
        <w:rPr>
          <w:color w:val="231F20"/>
          <w:w w:val="110"/>
        </w:rPr>
        <w:t>de</w:t>
      </w:r>
      <w:r>
        <w:rPr>
          <w:color w:val="231F20"/>
          <w:spacing w:val="-16"/>
          <w:w w:val="110"/>
        </w:rPr>
        <w:t> </w:t>
      </w:r>
      <w:r>
        <w:rPr>
          <w:color w:val="231F20"/>
          <w:w w:val="110"/>
        </w:rPr>
        <w:t>producción</w:t>
      </w:r>
      <w:r>
        <w:rPr>
          <w:color w:val="231F20"/>
          <w:spacing w:val="-16"/>
          <w:w w:val="110"/>
        </w:rPr>
        <w:t> </w:t>
      </w:r>
      <w:r>
        <w:rPr>
          <w:color w:val="231F20"/>
          <w:w w:val="110"/>
        </w:rPr>
        <w:t>de</w:t>
      </w:r>
      <w:r>
        <w:rPr>
          <w:color w:val="231F20"/>
          <w:spacing w:val="-16"/>
          <w:w w:val="110"/>
        </w:rPr>
        <w:t> </w:t>
      </w:r>
      <w:r>
        <w:rPr>
          <w:color w:val="231F20"/>
          <w:w w:val="110"/>
        </w:rPr>
        <w:t>viviendas,</w:t>
      </w:r>
      <w:r>
        <w:rPr>
          <w:color w:val="231F20"/>
          <w:spacing w:val="-16"/>
          <w:w w:val="110"/>
        </w:rPr>
        <w:t> </w:t>
      </w:r>
      <w:r>
        <w:rPr>
          <w:color w:val="231F20"/>
          <w:w w:val="110"/>
        </w:rPr>
        <w:t>es</w:t>
      </w:r>
      <w:r>
        <w:rPr>
          <w:color w:val="231F20"/>
          <w:spacing w:val="-16"/>
          <w:w w:val="110"/>
        </w:rPr>
        <w:t> </w:t>
      </w:r>
      <w:r>
        <w:rPr>
          <w:color w:val="231F20"/>
          <w:spacing w:val="-3"/>
          <w:w w:val="110"/>
        </w:rPr>
        <w:t>decir,</w:t>
      </w:r>
      <w:r>
        <w:rPr>
          <w:color w:val="231F20"/>
          <w:spacing w:val="-16"/>
          <w:w w:val="110"/>
        </w:rPr>
        <w:t> </w:t>
      </w:r>
      <w:r>
        <w:rPr>
          <w:color w:val="231F20"/>
          <w:w w:val="110"/>
        </w:rPr>
        <w:t>la</w:t>
      </w:r>
      <w:r>
        <w:rPr>
          <w:color w:val="231F20"/>
          <w:spacing w:val="-16"/>
          <w:w w:val="110"/>
        </w:rPr>
        <w:t> </w:t>
      </w:r>
      <w:r>
        <w:rPr>
          <w:color w:val="231F20"/>
          <w:w w:val="110"/>
        </w:rPr>
        <w:t>construcción</w:t>
      </w:r>
      <w:r>
        <w:rPr>
          <w:color w:val="231F20"/>
          <w:spacing w:val="-16"/>
          <w:w w:val="110"/>
        </w:rPr>
        <w:t> </w:t>
      </w:r>
      <w:r>
        <w:rPr>
          <w:color w:val="231F20"/>
          <w:w w:val="110"/>
        </w:rPr>
        <w:t>de</w:t>
      </w:r>
      <w:r>
        <w:rPr>
          <w:color w:val="231F20"/>
          <w:spacing w:val="-16"/>
          <w:w w:val="110"/>
        </w:rPr>
        <w:t> </w:t>
      </w:r>
      <w:r>
        <w:rPr>
          <w:color w:val="231F20"/>
          <w:w w:val="110"/>
        </w:rPr>
        <w:t>casas habitación crecía rápidamente pero como eran vendidas a crédito </w:t>
      </w:r>
      <w:r>
        <w:rPr>
          <w:color w:val="231F20"/>
          <w:spacing w:val="6"/>
          <w:w w:val="110"/>
        </w:rPr>
        <w:t> </w:t>
      </w:r>
      <w:r>
        <w:rPr>
          <w:color w:val="231F20"/>
          <w:w w:val="110"/>
        </w:rPr>
        <w:t>al</w:t>
      </w:r>
    </w:p>
    <w:p>
      <w:pPr>
        <w:pStyle w:val="BodyText"/>
      </w:pPr>
    </w:p>
    <w:p>
      <w:pPr>
        <w:pStyle w:val="BodyText"/>
        <w:spacing w:before="7"/>
        <w:rPr>
          <w:sz w:val="13"/>
        </w:rPr>
      </w:pPr>
      <w:r>
        <w:rPr/>
        <w:pict>
          <v:line style="position:absolute;mso-position-horizontal-relative:page;mso-position-vertical-relative:paragraph;z-index:3904;mso-wrap-distance-left:0;mso-wrap-distance-right:0" from="38pt,10.058908pt" to="98pt,10.058908pt" stroked="true" strokeweight=".5pt" strokecolor="#231f20">
            <w10:wrap type="topAndBottom"/>
          </v:line>
        </w:pict>
      </w:r>
    </w:p>
    <w:p>
      <w:pPr>
        <w:spacing w:line="261" w:lineRule="auto" w:before="16"/>
        <w:ind w:left="120" w:right="117" w:firstLine="0"/>
        <w:jc w:val="both"/>
        <w:rPr>
          <w:sz w:val="16"/>
        </w:rPr>
      </w:pPr>
      <w:r>
        <w:rPr>
          <w:color w:val="231F20"/>
          <w:w w:val="105"/>
          <w:sz w:val="16"/>
        </w:rPr>
        <w:t>(1982-1988), cuando se decide solicitar la incorporación del país al Acuerdo General sobre Aranceles y Comercio </w:t>
      </w:r>
      <w:r>
        <w:rPr>
          <w:color w:val="231F20"/>
          <w:w w:val="125"/>
          <w:sz w:val="16"/>
        </w:rPr>
        <w:t>(gatt, </w:t>
      </w:r>
      <w:r>
        <w:rPr>
          <w:color w:val="231F20"/>
          <w:w w:val="105"/>
          <w:sz w:val="16"/>
        </w:rPr>
        <w:t>este organismo creado  en  1947  desaparece  en  1995 y fue reemplazado por la Organización Mundial de Comercio) e iniciar la pri- vatización de la banca que, más tarde, terminó siendo apropiada casi en su totalidad    por capitales extranjeros. Los gobiernos siguientes, tanto los emanados del Partido Revolucionario Institucional (Carlos Salinas de Gortari, 1988-1994 y Ernesto Zedillo, 1994-2000), como los del Partido de Acción Nacional (Vicente Fox, 2000-2006 y el actual de Felipe Calderón), han realizado con mayor o menor eficacia, pero con el</w:t>
      </w:r>
      <w:r>
        <w:rPr>
          <w:color w:val="231F20"/>
          <w:spacing w:val="42"/>
          <w:w w:val="105"/>
          <w:sz w:val="16"/>
        </w:rPr>
        <w:t> </w:t>
      </w:r>
      <w:r>
        <w:rPr>
          <w:color w:val="231F20"/>
          <w:w w:val="105"/>
          <w:sz w:val="16"/>
        </w:rPr>
        <w:t>mismo énfasis, distintas reformas que han profundizado y acentuado los elementos fundamentales  de  esta  modalidad  del</w:t>
      </w:r>
      <w:r>
        <w:rPr>
          <w:color w:val="231F20"/>
          <w:spacing w:val="22"/>
          <w:w w:val="105"/>
          <w:sz w:val="16"/>
        </w:rPr>
        <w:t> </w:t>
      </w:r>
      <w:r>
        <w:rPr>
          <w:color w:val="231F20"/>
          <w:w w:val="105"/>
          <w:sz w:val="16"/>
        </w:rPr>
        <w:t>capitalismo.</w:t>
      </w:r>
    </w:p>
    <w:p>
      <w:pPr>
        <w:spacing w:after="0" w:line="261" w:lineRule="auto"/>
        <w:jc w:val="both"/>
        <w:rPr>
          <w:sz w:val="16"/>
        </w:rPr>
        <w:sectPr>
          <w:pgSz w:w="7640" w:h="11900"/>
          <w:pgMar w:header="672" w:footer="0" w:top="860" w:bottom="280" w:left="640" w:right="760"/>
        </w:sectPr>
      </w:pPr>
    </w:p>
    <w:p>
      <w:pPr>
        <w:pStyle w:val="BodyText"/>
        <w:spacing w:before="8"/>
        <w:rPr>
          <w:sz w:val="8"/>
        </w:rPr>
      </w:pPr>
    </w:p>
    <w:p>
      <w:pPr>
        <w:pStyle w:val="BodyText"/>
        <w:spacing w:line="261" w:lineRule="auto" w:before="67"/>
        <w:ind w:left="100" w:right="119"/>
        <w:jc w:val="both"/>
      </w:pPr>
      <w:r>
        <w:rPr>
          <w:color w:val="231F20"/>
          <w:w w:val="110"/>
        </w:rPr>
        <w:t>momento</w:t>
      </w:r>
      <w:r>
        <w:rPr>
          <w:color w:val="231F20"/>
          <w:spacing w:val="-6"/>
          <w:w w:val="110"/>
        </w:rPr>
        <w:t> </w:t>
      </w:r>
      <w:r>
        <w:rPr>
          <w:color w:val="231F20"/>
          <w:w w:val="110"/>
        </w:rPr>
        <w:t>de</w:t>
      </w:r>
      <w:r>
        <w:rPr>
          <w:color w:val="231F20"/>
          <w:spacing w:val="-6"/>
          <w:w w:val="110"/>
        </w:rPr>
        <w:t> </w:t>
      </w:r>
      <w:r>
        <w:rPr>
          <w:color w:val="231F20"/>
          <w:w w:val="110"/>
        </w:rPr>
        <w:t>dejarse</w:t>
      </w:r>
      <w:r>
        <w:rPr>
          <w:color w:val="231F20"/>
          <w:spacing w:val="-6"/>
          <w:w w:val="110"/>
        </w:rPr>
        <w:t> </w:t>
      </w:r>
      <w:r>
        <w:rPr>
          <w:color w:val="231F20"/>
          <w:w w:val="110"/>
        </w:rPr>
        <w:t>de</w:t>
      </w:r>
      <w:r>
        <w:rPr>
          <w:color w:val="231F20"/>
          <w:spacing w:val="-6"/>
          <w:w w:val="110"/>
        </w:rPr>
        <w:t> </w:t>
      </w:r>
      <w:r>
        <w:rPr>
          <w:color w:val="231F20"/>
          <w:w w:val="110"/>
        </w:rPr>
        <w:t>pagar</w:t>
      </w:r>
      <w:r>
        <w:rPr>
          <w:color w:val="231F20"/>
          <w:spacing w:val="-6"/>
          <w:w w:val="110"/>
        </w:rPr>
        <w:t> </w:t>
      </w:r>
      <w:r>
        <w:rPr>
          <w:color w:val="231F20"/>
          <w:w w:val="110"/>
        </w:rPr>
        <w:t>las</w:t>
      </w:r>
      <w:r>
        <w:rPr>
          <w:color w:val="231F20"/>
          <w:spacing w:val="-6"/>
          <w:w w:val="110"/>
        </w:rPr>
        <w:t> </w:t>
      </w:r>
      <w:r>
        <w:rPr>
          <w:color w:val="231F20"/>
          <w:w w:val="110"/>
        </w:rPr>
        <w:t>hipotecas</w:t>
      </w:r>
      <w:r>
        <w:rPr>
          <w:color w:val="231F20"/>
          <w:spacing w:val="-6"/>
          <w:w w:val="110"/>
        </w:rPr>
        <w:t> </w:t>
      </w:r>
      <w:r>
        <w:rPr>
          <w:color w:val="231F20"/>
          <w:w w:val="110"/>
        </w:rPr>
        <w:t>debido</w:t>
      </w:r>
      <w:r>
        <w:rPr>
          <w:color w:val="231F20"/>
          <w:spacing w:val="-6"/>
          <w:w w:val="110"/>
        </w:rPr>
        <w:t> </w:t>
      </w:r>
      <w:r>
        <w:rPr>
          <w:color w:val="231F20"/>
          <w:w w:val="110"/>
        </w:rPr>
        <w:t>a</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sobrepro- ducción obligaba a otorgar los créditos a familias con ingresos cada vez</w:t>
      </w:r>
      <w:r>
        <w:rPr>
          <w:color w:val="231F20"/>
          <w:spacing w:val="-25"/>
          <w:w w:val="110"/>
        </w:rPr>
        <w:t> </w:t>
      </w:r>
      <w:r>
        <w:rPr>
          <w:color w:val="231F20"/>
          <w:w w:val="110"/>
        </w:rPr>
        <w:t>más</w:t>
      </w:r>
      <w:r>
        <w:rPr>
          <w:color w:val="231F20"/>
          <w:spacing w:val="-25"/>
          <w:w w:val="110"/>
        </w:rPr>
        <w:t> </w:t>
      </w:r>
      <w:r>
        <w:rPr>
          <w:color w:val="231F20"/>
          <w:w w:val="110"/>
        </w:rPr>
        <w:t>bajos,</w:t>
      </w:r>
      <w:r>
        <w:rPr>
          <w:color w:val="231F20"/>
          <w:spacing w:val="-25"/>
          <w:w w:val="110"/>
        </w:rPr>
        <w:t> </w:t>
      </w:r>
      <w:r>
        <w:rPr>
          <w:color w:val="231F20"/>
          <w:w w:val="110"/>
        </w:rPr>
        <w:t>la</w:t>
      </w:r>
      <w:r>
        <w:rPr>
          <w:color w:val="231F20"/>
          <w:spacing w:val="-25"/>
          <w:w w:val="110"/>
        </w:rPr>
        <w:t> </w:t>
      </w:r>
      <w:r>
        <w:rPr>
          <w:color w:val="231F20"/>
          <w:w w:val="110"/>
        </w:rPr>
        <w:t>plusvalía</w:t>
      </w:r>
      <w:r>
        <w:rPr>
          <w:color w:val="231F20"/>
          <w:spacing w:val="-25"/>
          <w:w w:val="110"/>
        </w:rPr>
        <w:t> </w:t>
      </w:r>
      <w:r>
        <w:rPr>
          <w:color w:val="231F20"/>
          <w:w w:val="110"/>
        </w:rPr>
        <w:t>no</w:t>
      </w:r>
      <w:r>
        <w:rPr>
          <w:color w:val="231F20"/>
          <w:spacing w:val="-25"/>
          <w:w w:val="110"/>
        </w:rPr>
        <w:t> </w:t>
      </w:r>
      <w:r>
        <w:rPr>
          <w:color w:val="231F20"/>
          <w:w w:val="110"/>
        </w:rPr>
        <w:t>se</w:t>
      </w:r>
      <w:r>
        <w:rPr>
          <w:color w:val="231F20"/>
          <w:spacing w:val="-25"/>
          <w:w w:val="110"/>
        </w:rPr>
        <w:t> </w:t>
      </w:r>
      <w:r>
        <w:rPr>
          <w:color w:val="231F20"/>
          <w:w w:val="110"/>
        </w:rPr>
        <w:t>realizaba</w:t>
      </w:r>
      <w:r>
        <w:rPr>
          <w:color w:val="231F20"/>
          <w:spacing w:val="-25"/>
          <w:w w:val="110"/>
        </w:rPr>
        <w:t> </w:t>
      </w:r>
      <w:r>
        <w:rPr>
          <w:color w:val="231F20"/>
          <w:w w:val="110"/>
        </w:rPr>
        <w:t>y</w:t>
      </w:r>
      <w:r>
        <w:rPr>
          <w:color w:val="231F20"/>
          <w:spacing w:val="-25"/>
          <w:w w:val="110"/>
        </w:rPr>
        <w:t> </w:t>
      </w:r>
      <w:r>
        <w:rPr>
          <w:color w:val="231F20"/>
          <w:w w:val="110"/>
        </w:rPr>
        <w:t>perdían</w:t>
      </w:r>
      <w:r>
        <w:rPr>
          <w:color w:val="231F20"/>
          <w:spacing w:val="-25"/>
          <w:w w:val="110"/>
        </w:rPr>
        <w:t> </w:t>
      </w:r>
      <w:r>
        <w:rPr>
          <w:color w:val="231F20"/>
          <w:w w:val="110"/>
        </w:rPr>
        <w:t>sustento</w:t>
      </w:r>
      <w:r>
        <w:rPr>
          <w:color w:val="231F20"/>
          <w:spacing w:val="-25"/>
          <w:w w:val="110"/>
        </w:rPr>
        <w:t> </w:t>
      </w:r>
      <w:r>
        <w:rPr>
          <w:color w:val="231F20"/>
          <w:w w:val="110"/>
        </w:rPr>
        <w:t>los</w:t>
      </w:r>
      <w:r>
        <w:rPr>
          <w:color w:val="231F20"/>
          <w:spacing w:val="-25"/>
          <w:w w:val="110"/>
        </w:rPr>
        <w:t> </w:t>
      </w:r>
      <w:r>
        <w:rPr>
          <w:color w:val="231F20"/>
          <w:w w:val="110"/>
        </w:rPr>
        <w:t>títulos emitidos con el respaldo de la producción de</w:t>
      </w:r>
      <w:r>
        <w:rPr>
          <w:color w:val="231F20"/>
          <w:spacing w:val="46"/>
          <w:w w:val="110"/>
        </w:rPr>
        <w:t> </w:t>
      </w:r>
      <w:r>
        <w:rPr>
          <w:color w:val="231F20"/>
          <w:w w:val="110"/>
        </w:rPr>
        <w:t>viviendas.</w:t>
      </w:r>
    </w:p>
    <w:p>
      <w:pPr>
        <w:pStyle w:val="BodyText"/>
        <w:spacing w:line="261" w:lineRule="auto"/>
        <w:ind w:left="100" w:right="117" w:firstLine="240"/>
        <w:jc w:val="right"/>
      </w:pPr>
      <w:r>
        <w:rPr>
          <w:color w:val="231F20"/>
          <w:w w:val="105"/>
        </w:rPr>
        <w:t>Ésta sería una crisis derivada de una de las funciones del</w:t>
      </w:r>
      <w:r>
        <w:rPr>
          <w:color w:val="231F20"/>
          <w:spacing w:val="34"/>
          <w:w w:val="105"/>
        </w:rPr>
        <w:t> </w:t>
      </w:r>
      <w:r>
        <w:rPr>
          <w:color w:val="231F20"/>
          <w:w w:val="105"/>
        </w:rPr>
        <w:t>dinero,</w:t>
      </w:r>
      <w:r>
        <w:rPr>
          <w:color w:val="231F20"/>
          <w:spacing w:val="12"/>
          <w:w w:val="105"/>
        </w:rPr>
        <w:t> </w:t>
      </w:r>
      <w:r>
        <w:rPr>
          <w:color w:val="231F20"/>
          <w:w w:val="105"/>
        </w:rPr>
        <w:t>la</w:t>
      </w:r>
      <w:r>
        <w:rPr>
          <w:color w:val="231F20"/>
          <w:w w:val="105"/>
        </w:rPr>
        <w:t> </w:t>
      </w:r>
      <w:r>
        <w:rPr>
          <w:color w:val="231F20"/>
          <w:w w:val="105"/>
        </w:rPr>
        <w:t>de</w:t>
      </w:r>
      <w:r>
        <w:rPr>
          <w:color w:val="231F20"/>
          <w:spacing w:val="-12"/>
          <w:w w:val="105"/>
        </w:rPr>
        <w:t> </w:t>
      </w:r>
      <w:r>
        <w:rPr>
          <w:color w:val="231F20"/>
          <w:w w:val="105"/>
        </w:rPr>
        <w:t>servir</w:t>
      </w:r>
      <w:r>
        <w:rPr>
          <w:color w:val="231F20"/>
          <w:spacing w:val="-12"/>
          <w:w w:val="105"/>
        </w:rPr>
        <w:t> </w:t>
      </w:r>
      <w:r>
        <w:rPr>
          <w:color w:val="231F20"/>
          <w:w w:val="105"/>
        </w:rPr>
        <w:t>como</w:t>
      </w:r>
      <w:r>
        <w:rPr>
          <w:color w:val="231F20"/>
          <w:spacing w:val="-12"/>
          <w:w w:val="105"/>
        </w:rPr>
        <w:t> </w:t>
      </w:r>
      <w:r>
        <w:rPr>
          <w:i/>
          <w:color w:val="231F20"/>
          <w:w w:val="105"/>
        </w:rPr>
        <w:t>medio</w:t>
      </w:r>
      <w:r>
        <w:rPr>
          <w:i/>
          <w:color w:val="231F20"/>
          <w:spacing w:val="-12"/>
          <w:w w:val="105"/>
        </w:rPr>
        <w:t> </w:t>
      </w:r>
      <w:r>
        <w:rPr>
          <w:i/>
          <w:color w:val="231F20"/>
          <w:w w:val="105"/>
        </w:rPr>
        <w:t>de</w:t>
      </w:r>
      <w:r>
        <w:rPr>
          <w:i/>
          <w:color w:val="231F20"/>
          <w:spacing w:val="-12"/>
          <w:w w:val="105"/>
        </w:rPr>
        <w:t> </w:t>
      </w:r>
      <w:r>
        <w:rPr>
          <w:i/>
          <w:color w:val="231F20"/>
          <w:w w:val="105"/>
        </w:rPr>
        <w:t>pago</w:t>
      </w:r>
      <w:r>
        <w:rPr>
          <w:i/>
          <w:color w:val="231F20"/>
          <w:spacing w:val="-12"/>
          <w:w w:val="105"/>
        </w:rPr>
        <w:t> </w:t>
      </w:r>
      <w:r>
        <w:rPr>
          <w:i/>
          <w:color w:val="231F20"/>
          <w:w w:val="105"/>
        </w:rPr>
        <w:t>diferido</w:t>
      </w:r>
      <w:r>
        <w:rPr>
          <w:color w:val="231F20"/>
          <w:w w:val="105"/>
        </w:rPr>
        <w:t>,</w:t>
      </w:r>
      <w:r>
        <w:rPr>
          <w:color w:val="231F20"/>
          <w:spacing w:val="-12"/>
          <w:w w:val="105"/>
        </w:rPr>
        <w:t> </w:t>
      </w:r>
      <w:r>
        <w:rPr>
          <w:color w:val="231F20"/>
          <w:w w:val="105"/>
        </w:rPr>
        <w:t>función</w:t>
      </w:r>
      <w:r>
        <w:rPr>
          <w:color w:val="231F20"/>
          <w:spacing w:val="-12"/>
          <w:w w:val="105"/>
        </w:rPr>
        <w:t> </w:t>
      </w:r>
      <w:r>
        <w:rPr>
          <w:color w:val="231F20"/>
          <w:w w:val="105"/>
        </w:rPr>
        <w:t>surgida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relaciones</w:t>
      </w:r>
      <w:r>
        <w:rPr>
          <w:color w:val="231F20"/>
          <w:w w:val="109"/>
        </w:rPr>
        <w:t> </w:t>
      </w:r>
      <w:r>
        <w:rPr>
          <w:color w:val="231F20"/>
          <w:w w:val="105"/>
        </w:rPr>
        <w:t>de crédito donde el pago correspondiente no  se  hace</w:t>
      </w:r>
      <w:r>
        <w:rPr>
          <w:color w:val="231F20"/>
          <w:spacing w:val="-1"/>
          <w:w w:val="105"/>
        </w:rPr>
        <w:t> </w:t>
      </w:r>
      <w:r>
        <w:rPr>
          <w:color w:val="231F20"/>
          <w:w w:val="105"/>
        </w:rPr>
        <w:t>de</w:t>
      </w:r>
      <w:r>
        <w:rPr>
          <w:color w:val="231F20"/>
          <w:spacing w:val="46"/>
          <w:w w:val="105"/>
        </w:rPr>
        <w:t> </w:t>
      </w:r>
      <w:r>
        <w:rPr>
          <w:color w:val="231F20"/>
          <w:w w:val="105"/>
        </w:rPr>
        <w:t>inmediato</w:t>
      </w:r>
      <w:r>
        <w:rPr>
          <w:color w:val="231F20"/>
          <w:w w:val="111"/>
        </w:rPr>
        <w:t> </w:t>
      </w:r>
      <w:r>
        <w:rPr>
          <w:color w:val="231F20"/>
          <w:w w:val="105"/>
        </w:rPr>
        <w:t>sino</w:t>
      </w:r>
      <w:r>
        <w:rPr>
          <w:color w:val="231F20"/>
          <w:spacing w:val="36"/>
          <w:w w:val="105"/>
        </w:rPr>
        <w:t> </w:t>
      </w:r>
      <w:r>
        <w:rPr>
          <w:color w:val="231F20"/>
          <w:w w:val="105"/>
        </w:rPr>
        <w:t>luego</w:t>
      </w:r>
      <w:r>
        <w:rPr>
          <w:color w:val="231F20"/>
          <w:spacing w:val="36"/>
          <w:w w:val="105"/>
        </w:rPr>
        <w:t> </w:t>
      </w:r>
      <w:r>
        <w:rPr>
          <w:color w:val="231F20"/>
          <w:w w:val="105"/>
        </w:rPr>
        <w:t>de</w:t>
      </w:r>
      <w:r>
        <w:rPr>
          <w:color w:val="231F20"/>
          <w:spacing w:val="36"/>
          <w:w w:val="105"/>
        </w:rPr>
        <w:t> </w:t>
      </w:r>
      <w:r>
        <w:rPr>
          <w:color w:val="231F20"/>
          <w:w w:val="105"/>
        </w:rPr>
        <w:t>un</w:t>
      </w:r>
      <w:r>
        <w:rPr>
          <w:color w:val="231F20"/>
          <w:spacing w:val="36"/>
          <w:w w:val="105"/>
        </w:rPr>
        <w:t> </w:t>
      </w:r>
      <w:r>
        <w:rPr>
          <w:color w:val="231F20"/>
          <w:w w:val="105"/>
        </w:rPr>
        <w:t>plazo</w:t>
      </w:r>
      <w:r>
        <w:rPr>
          <w:color w:val="231F20"/>
          <w:spacing w:val="36"/>
          <w:w w:val="105"/>
        </w:rPr>
        <w:t> </w:t>
      </w:r>
      <w:r>
        <w:rPr>
          <w:color w:val="231F20"/>
          <w:w w:val="105"/>
        </w:rPr>
        <w:t>acordado</w:t>
      </w:r>
      <w:r>
        <w:rPr>
          <w:color w:val="231F20"/>
          <w:spacing w:val="36"/>
          <w:w w:val="105"/>
        </w:rPr>
        <w:t> </w:t>
      </w:r>
      <w:r>
        <w:rPr>
          <w:color w:val="231F20"/>
          <w:w w:val="105"/>
        </w:rPr>
        <w:t>entre</w:t>
      </w:r>
      <w:r>
        <w:rPr>
          <w:color w:val="231F20"/>
          <w:spacing w:val="36"/>
          <w:w w:val="105"/>
        </w:rPr>
        <w:t> </w:t>
      </w:r>
      <w:r>
        <w:rPr>
          <w:color w:val="231F20"/>
          <w:w w:val="105"/>
        </w:rPr>
        <w:t>el</w:t>
      </w:r>
      <w:r>
        <w:rPr>
          <w:color w:val="231F20"/>
          <w:spacing w:val="36"/>
          <w:w w:val="105"/>
        </w:rPr>
        <w:t> </w:t>
      </w:r>
      <w:r>
        <w:rPr>
          <w:color w:val="231F20"/>
          <w:w w:val="105"/>
        </w:rPr>
        <w:t>vendedor</w:t>
      </w:r>
      <w:r>
        <w:rPr>
          <w:color w:val="231F20"/>
          <w:spacing w:val="36"/>
          <w:w w:val="105"/>
        </w:rPr>
        <w:t> </w:t>
      </w:r>
      <w:r>
        <w:rPr>
          <w:color w:val="231F20"/>
          <w:w w:val="105"/>
        </w:rPr>
        <w:t>y</w:t>
      </w:r>
      <w:r>
        <w:rPr>
          <w:color w:val="231F20"/>
          <w:spacing w:val="36"/>
          <w:w w:val="105"/>
        </w:rPr>
        <w:t> </w:t>
      </w:r>
      <w:r>
        <w:rPr>
          <w:color w:val="231F20"/>
          <w:w w:val="105"/>
        </w:rPr>
        <w:t>el</w:t>
      </w:r>
      <w:r>
        <w:rPr>
          <w:color w:val="231F20"/>
          <w:spacing w:val="36"/>
          <w:w w:val="105"/>
        </w:rPr>
        <w:t> </w:t>
      </w:r>
      <w:r>
        <w:rPr>
          <w:color w:val="231F20"/>
          <w:w w:val="105"/>
        </w:rPr>
        <w:t>comprador.</w:t>
      </w:r>
      <w:r>
        <w:rPr>
          <w:color w:val="231F20"/>
          <w:w w:val="104"/>
        </w:rPr>
        <w:t> </w:t>
      </w:r>
      <w:r>
        <w:rPr>
          <w:color w:val="231F20"/>
          <w:w w:val="105"/>
        </w:rPr>
        <w:t>El</w:t>
      </w:r>
      <w:r>
        <w:rPr>
          <w:color w:val="231F20"/>
          <w:spacing w:val="29"/>
          <w:w w:val="105"/>
        </w:rPr>
        <w:t> </w:t>
      </w:r>
      <w:r>
        <w:rPr>
          <w:color w:val="231F20"/>
          <w:w w:val="105"/>
        </w:rPr>
        <w:t>desarrollo</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crisis</w:t>
      </w:r>
      <w:r>
        <w:rPr>
          <w:color w:val="231F20"/>
          <w:spacing w:val="29"/>
          <w:w w:val="105"/>
        </w:rPr>
        <w:t> </w:t>
      </w:r>
      <w:r>
        <w:rPr>
          <w:color w:val="231F20"/>
          <w:w w:val="105"/>
        </w:rPr>
        <w:t>de</w:t>
      </w:r>
      <w:r>
        <w:rPr>
          <w:color w:val="231F20"/>
          <w:spacing w:val="29"/>
          <w:w w:val="105"/>
        </w:rPr>
        <w:t> </w:t>
      </w:r>
      <w:r>
        <w:rPr>
          <w:color w:val="231F20"/>
          <w:w w:val="105"/>
        </w:rPr>
        <w:t>este</w:t>
      </w:r>
      <w:r>
        <w:rPr>
          <w:color w:val="231F20"/>
          <w:spacing w:val="29"/>
          <w:w w:val="105"/>
        </w:rPr>
        <w:t> </w:t>
      </w:r>
      <w:r>
        <w:rPr>
          <w:color w:val="231F20"/>
          <w:w w:val="105"/>
        </w:rPr>
        <w:t>tipo,</w:t>
      </w:r>
      <w:r>
        <w:rPr>
          <w:color w:val="231F20"/>
          <w:spacing w:val="29"/>
          <w:w w:val="105"/>
        </w:rPr>
        <w:t> </w:t>
      </w:r>
      <w:r>
        <w:rPr>
          <w:color w:val="231F20"/>
          <w:w w:val="105"/>
        </w:rPr>
        <w:t>lo</w:t>
      </w:r>
      <w:r>
        <w:rPr>
          <w:color w:val="231F20"/>
          <w:spacing w:val="29"/>
          <w:w w:val="105"/>
        </w:rPr>
        <w:t> </w:t>
      </w:r>
      <w:r>
        <w:rPr>
          <w:color w:val="231F20"/>
          <w:w w:val="105"/>
        </w:rPr>
        <w:t>describe</w:t>
      </w:r>
      <w:r>
        <w:rPr>
          <w:color w:val="231F20"/>
          <w:spacing w:val="29"/>
          <w:w w:val="105"/>
        </w:rPr>
        <w:t> </w:t>
      </w:r>
      <w:r>
        <w:rPr>
          <w:color w:val="231F20"/>
          <w:w w:val="105"/>
        </w:rPr>
        <w:t>Marx</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si-</w:t>
      </w:r>
    </w:p>
    <w:p>
      <w:pPr>
        <w:pStyle w:val="BodyText"/>
        <w:ind w:left="100"/>
        <w:jc w:val="both"/>
      </w:pPr>
      <w:r>
        <w:rPr>
          <w:color w:val="231F20"/>
          <w:w w:val="110"/>
        </w:rPr>
        <w:t>guiente manera:</w:t>
      </w:r>
    </w:p>
    <w:p>
      <w:pPr>
        <w:pStyle w:val="BodyText"/>
        <w:spacing w:before="1"/>
        <w:rPr>
          <w:sz w:val="25"/>
        </w:rPr>
      </w:pPr>
    </w:p>
    <w:p>
      <w:pPr>
        <w:spacing w:line="290" w:lineRule="auto" w:before="0"/>
        <w:ind w:left="73" w:right="116" w:firstLine="0"/>
        <w:jc w:val="right"/>
        <w:rPr>
          <w:sz w:val="18"/>
        </w:rPr>
      </w:pPr>
      <w:r>
        <w:rPr>
          <w:color w:val="231F20"/>
          <w:w w:val="110"/>
          <w:sz w:val="18"/>
        </w:rPr>
        <w:t>Supongamos que un tejedor venda tejidos por 1 000 libras</w:t>
      </w:r>
      <w:r>
        <w:rPr>
          <w:color w:val="231F20"/>
          <w:spacing w:val="26"/>
          <w:w w:val="110"/>
          <w:sz w:val="18"/>
        </w:rPr>
        <w:t> </w:t>
      </w:r>
      <w:r>
        <w:rPr>
          <w:color w:val="231F20"/>
          <w:w w:val="110"/>
          <w:sz w:val="18"/>
        </w:rPr>
        <w:t>al</w:t>
      </w:r>
      <w:r>
        <w:rPr>
          <w:color w:val="231F20"/>
          <w:spacing w:val="12"/>
          <w:w w:val="110"/>
          <w:sz w:val="18"/>
        </w:rPr>
        <w:t> </w:t>
      </w:r>
      <w:r>
        <w:rPr>
          <w:color w:val="231F20"/>
          <w:w w:val="110"/>
          <w:sz w:val="18"/>
        </w:rPr>
        <w:t>comerciante,</w:t>
      </w:r>
      <w:r>
        <w:rPr>
          <w:color w:val="231F20"/>
          <w:w w:val="110"/>
          <w:sz w:val="18"/>
        </w:rPr>
        <w:t> </w:t>
      </w:r>
      <w:r>
        <w:rPr>
          <w:color w:val="231F20"/>
          <w:w w:val="110"/>
          <w:sz w:val="18"/>
        </w:rPr>
        <w:t>pero</w:t>
      </w:r>
      <w:r>
        <w:rPr>
          <w:color w:val="231F20"/>
          <w:spacing w:val="-7"/>
          <w:w w:val="110"/>
          <w:sz w:val="18"/>
        </w:rPr>
        <w:t> </w:t>
      </w:r>
      <w:r>
        <w:rPr>
          <w:color w:val="231F20"/>
          <w:w w:val="110"/>
          <w:sz w:val="18"/>
        </w:rPr>
        <w:t>por</w:t>
      </w:r>
      <w:r>
        <w:rPr>
          <w:color w:val="231F20"/>
          <w:spacing w:val="-7"/>
          <w:w w:val="110"/>
          <w:sz w:val="18"/>
        </w:rPr>
        <w:t> </w:t>
      </w:r>
      <w:r>
        <w:rPr>
          <w:color w:val="231F20"/>
          <w:w w:val="110"/>
          <w:sz w:val="18"/>
        </w:rPr>
        <w:t>medio</w:t>
      </w:r>
      <w:r>
        <w:rPr>
          <w:color w:val="231F20"/>
          <w:spacing w:val="-7"/>
          <w:w w:val="110"/>
          <w:sz w:val="18"/>
        </w:rPr>
        <w:t> </w:t>
      </w:r>
      <w:r>
        <w:rPr>
          <w:color w:val="231F20"/>
          <w:w w:val="110"/>
          <w:sz w:val="18"/>
        </w:rPr>
        <w:t>de</w:t>
      </w:r>
      <w:r>
        <w:rPr>
          <w:color w:val="231F20"/>
          <w:spacing w:val="-7"/>
          <w:w w:val="110"/>
          <w:sz w:val="18"/>
        </w:rPr>
        <w:t> </w:t>
      </w:r>
      <w:r>
        <w:rPr>
          <w:color w:val="231F20"/>
          <w:w w:val="110"/>
          <w:sz w:val="18"/>
        </w:rPr>
        <w:t>una</w:t>
      </w:r>
      <w:r>
        <w:rPr>
          <w:color w:val="231F20"/>
          <w:spacing w:val="-7"/>
          <w:w w:val="110"/>
          <w:sz w:val="18"/>
        </w:rPr>
        <w:t> </w:t>
      </w:r>
      <w:r>
        <w:rPr>
          <w:color w:val="231F20"/>
          <w:w w:val="110"/>
          <w:sz w:val="18"/>
        </w:rPr>
        <w:t>letra,</w:t>
      </w:r>
      <w:r>
        <w:rPr>
          <w:color w:val="231F20"/>
          <w:spacing w:val="-7"/>
          <w:w w:val="110"/>
          <w:sz w:val="18"/>
        </w:rPr>
        <w:t> </w:t>
      </w:r>
      <w:r>
        <w:rPr>
          <w:color w:val="231F20"/>
          <w:w w:val="110"/>
          <w:sz w:val="18"/>
        </w:rPr>
        <w:t>de</w:t>
      </w:r>
      <w:r>
        <w:rPr>
          <w:color w:val="231F20"/>
          <w:spacing w:val="-7"/>
          <w:w w:val="110"/>
          <w:sz w:val="18"/>
        </w:rPr>
        <w:t> </w:t>
      </w:r>
      <w:r>
        <w:rPr>
          <w:color w:val="231F20"/>
          <w:w w:val="110"/>
          <w:sz w:val="18"/>
        </w:rPr>
        <w:t>tal</w:t>
      </w:r>
      <w:r>
        <w:rPr>
          <w:color w:val="231F20"/>
          <w:spacing w:val="-7"/>
          <w:w w:val="110"/>
          <w:sz w:val="18"/>
        </w:rPr>
        <w:t> </w:t>
      </w:r>
      <w:r>
        <w:rPr>
          <w:color w:val="231F20"/>
          <w:w w:val="110"/>
          <w:sz w:val="18"/>
        </w:rPr>
        <w:t>modo</w:t>
      </w:r>
      <w:r>
        <w:rPr>
          <w:color w:val="231F20"/>
          <w:spacing w:val="-7"/>
          <w:w w:val="110"/>
          <w:sz w:val="18"/>
        </w:rPr>
        <w:t> </w:t>
      </w:r>
      <w:r>
        <w:rPr>
          <w:color w:val="231F20"/>
          <w:w w:val="110"/>
          <w:sz w:val="18"/>
        </w:rPr>
        <w:t>que</w:t>
      </w:r>
      <w:r>
        <w:rPr>
          <w:color w:val="231F20"/>
          <w:spacing w:val="-7"/>
          <w:w w:val="110"/>
          <w:sz w:val="18"/>
        </w:rPr>
        <w:t> </w:t>
      </w:r>
      <w:r>
        <w:rPr>
          <w:color w:val="231F20"/>
          <w:w w:val="110"/>
          <w:sz w:val="18"/>
        </w:rPr>
        <w:t>el</w:t>
      </w:r>
      <w:r>
        <w:rPr>
          <w:color w:val="231F20"/>
          <w:spacing w:val="-7"/>
          <w:w w:val="110"/>
          <w:sz w:val="18"/>
        </w:rPr>
        <w:t> </w:t>
      </w:r>
      <w:r>
        <w:rPr>
          <w:color w:val="231F20"/>
          <w:w w:val="110"/>
          <w:sz w:val="18"/>
        </w:rPr>
        <w:t>dinero</w:t>
      </w:r>
      <w:r>
        <w:rPr>
          <w:color w:val="231F20"/>
          <w:spacing w:val="-7"/>
          <w:w w:val="110"/>
          <w:sz w:val="18"/>
        </w:rPr>
        <w:t> </w:t>
      </w:r>
      <w:r>
        <w:rPr>
          <w:color w:val="231F20"/>
          <w:w w:val="110"/>
          <w:sz w:val="18"/>
        </w:rPr>
        <w:t>figura</w:t>
      </w:r>
      <w:r>
        <w:rPr>
          <w:color w:val="231F20"/>
          <w:spacing w:val="-7"/>
          <w:w w:val="110"/>
          <w:sz w:val="18"/>
        </w:rPr>
        <w:t> </w:t>
      </w:r>
      <w:r>
        <w:rPr>
          <w:color w:val="231F20"/>
          <w:w w:val="110"/>
          <w:sz w:val="18"/>
        </w:rPr>
        <w:t>como</w:t>
      </w:r>
      <w:r>
        <w:rPr>
          <w:color w:val="231F20"/>
          <w:spacing w:val="-6"/>
          <w:w w:val="110"/>
          <w:sz w:val="18"/>
        </w:rPr>
        <w:t> </w:t>
      </w:r>
      <w:r>
        <w:rPr>
          <w:i/>
          <w:color w:val="231F20"/>
          <w:w w:val="110"/>
          <w:sz w:val="18"/>
        </w:rPr>
        <w:t>medio</w:t>
      </w:r>
      <w:r>
        <w:rPr>
          <w:i/>
          <w:color w:val="231F20"/>
          <w:spacing w:val="-7"/>
          <w:w w:val="110"/>
          <w:sz w:val="18"/>
        </w:rPr>
        <w:t> </w:t>
      </w:r>
      <w:r>
        <w:rPr>
          <w:i/>
          <w:color w:val="231F20"/>
          <w:w w:val="110"/>
          <w:sz w:val="18"/>
        </w:rPr>
        <w:t>de</w:t>
      </w:r>
      <w:r>
        <w:rPr>
          <w:i/>
          <w:color w:val="231F20"/>
          <w:w w:val="88"/>
          <w:sz w:val="18"/>
        </w:rPr>
        <w:t> </w:t>
      </w:r>
      <w:r>
        <w:rPr>
          <w:i/>
          <w:color w:val="231F20"/>
          <w:w w:val="110"/>
          <w:sz w:val="18"/>
        </w:rPr>
        <w:t>pago</w:t>
      </w:r>
      <w:r>
        <w:rPr>
          <w:color w:val="231F20"/>
          <w:w w:val="110"/>
          <w:sz w:val="18"/>
        </w:rPr>
        <w:t>.</w:t>
      </w:r>
      <w:r>
        <w:rPr>
          <w:color w:val="231F20"/>
          <w:spacing w:val="-26"/>
          <w:w w:val="110"/>
          <w:sz w:val="18"/>
        </w:rPr>
        <w:t> </w:t>
      </w:r>
      <w:r>
        <w:rPr>
          <w:color w:val="231F20"/>
          <w:sz w:val="18"/>
        </w:rPr>
        <w:t>Y</w:t>
      </w:r>
      <w:r>
        <w:rPr>
          <w:color w:val="231F20"/>
          <w:spacing w:val="-21"/>
          <w:sz w:val="18"/>
        </w:rPr>
        <w:t> </w:t>
      </w:r>
      <w:r>
        <w:rPr>
          <w:color w:val="231F20"/>
          <w:w w:val="110"/>
          <w:sz w:val="18"/>
        </w:rPr>
        <w:t>que</w:t>
      </w:r>
      <w:r>
        <w:rPr>
          <w:color w:val="231F20"/>
          <w:spacing w:val="-26"/>
          <w:w w:val="110"/>
          <w:sz w:val="18"/>
        </w:rPr>
        <w:t> </w:t>
      </w:r>
      <w:r>
        <w:rPr>
          <w:color w:val="231F20"/>
          <w:w w:val="110"/>
          <w:sz w:val="18"/>
        </w:rPr>
        <w:t>el</w:t>
      </w:r>
      <w:r>
        <w:rPr>
          <w:color w:val="231F20"/>
          <w:spacing w:val="-26"/>
          <w:w w:val="110"/>
          <w:sz w:val="18"/>
        </w:rPr>
        <w:t> </w:t>
      </w:r>
      <w:r>
        <w:rPr>
          <w:color w:val="231F20"/>
          <w:w w:val="110"/>
          <w:sz w:val="18"/>
        </w:rPr>
        <w:t>vendedor,</w:t>
      </w:r>
      <w:r>
        <w:rPr>
          <w:color w:val="231F20"/>
          <w:spacing w:val="-26"/>
          <w:w w:val="110"/>
          <w:sz w:val="18"/>
        </w:rPr>
        <w:t> </w:t>
      </w:r>
      <w:r>
        <w:rPr>
          <w:color w:val="231F20"/>
          <w:w w:val="110"/>
          <w:sz w:val="18"/>
        </w:rPr>
        <w:t>a</w:t>
      </w:r>
      <w:r>
        <w:rPr>
          <w:color w:val="231F20"/>
          <w:spacing w:val="-26"/>
          <w:w w:val="110"/>
          <w:sz w:val="18"/>
        </w:rPr>
        <w:t> </w:t>
      </w:r>
      <w:r>
        <w:rPr>
          <w:color w:val="231F20"/>
          <w:w w:val="110"/>
          <w:sz w:val="18"/>
        </w:rPr>
        <w:t>su</w:t>
      </w:r>
      <w:r>
        <w:rPr>
          <w:color w:val="231F20"/>
          <w:spacing w:val="-26"/>
          <w:w w:val="110"/>
          <w:sz w:val="18"/>
        </w:rPr>
        <w:t> </w:t>
      </w:r>
      <w:r>
        <w:rPr>
          <w:color w:val="231F20"/>
          <w:w w:val="110"/>
          <w:sz w:val="18"/>
        </w:rPr>
        <w:t>vez,</w:t>
      </w:r>
      <w:r>
        <w:rPr>
          <w:color w:val="231F20"/>
          <w:spacing w:val="-26"/>
          <w:w w:val="110"/>
          <w:sz w:val="18"/>
        </w:rPr>
        <w:t> </w:t>
      </w:r>
      <w:r>
        <w:rPr>
          <w:color w:val="231F20"/>
          <w:w w:val="110"/>
          <w:sz w:val="18"/>
        </w:rPr>
        <w:t>endose</w:t>
      </w:r>
      <w:r>
        <w:rPr>
          <w:color w:val="231F20"/>
          <w:spacing w:val="-26"/>
          <w:w w:val="110"/>
          <w:sz w:val="18"/>
        </w:rPr>
        <w:t> </w:t>
      </w:r>
      <w:r>
        <w:rPr>
          <w:color w:val="231F20"/>
          <w:w w:val="110"/>
          <w:sz w:val="18"/>
        </w:rPr>
        <w:t>la</w:t>
      </w:r>
      <w:r>
        <w:rPr>
          <w:color w:val="231F20"/>
          <w:spacing w:val="-26"/>
          <w:w w:val="110"/>
          <w:sz w:val="18"/>
        </w:rPr>
        <w:t> </w:t>
      </w:r>
      <w:r>
        <w:rPr>
          <w:color w:val="231F20"/>
          <w:w w:val="110"/>
          <w:sz w:val="18"/>
        </w:rPr>
        <w:t>letra</w:t>
      </w:r>
      <w:r>
        <w:rPr>
          <w:color w:val="231F20"/>
          <w:spacing w:val="-26"/>
          <w:w w:val="110"/>
          <w:sz w:val="18"/>
        </w:rPr>
        <w:t> </w:t>
      </w:r>
      <w:r>
        <w:rPr>
          <w:color w:val="231F20"/>
          <w:w w:val="110"/>
          <w:sz w:val="18"/>
        </w:rPr>
        <w:t>al</w:t>
      </w:r>
      <w:r>
        <w:rPr>
          <w:color w:val="231F20"/>
          <w:spacing w:val="-26"/>
          <w:w w:val="110"/>
          <w:sz w:val="18"/>
        </w:rPr>
        <w:t> </w:t>
      </w:r>
      <w:r>
        <w:rPr>
          <w:i/>
          <w:color w:val="231F20"/>
          <w:w w:val="110"/>
          <w:sz w:val="18"/>
        </w:rPr>
        <w:t>banquero</w:t>
      </w:r>
      <w:r>
        <w:rPr>
          <w:color w:val="231F20"/>
          <w:w w:val="110"/>
          <w:sz w:val="18"/>
        </w:rPr>
        <w:t>,</w:t>
      </w:r>
      <w:r>
        <w:rPr>
          <w:color w:val="231F20"/>
          <w:spacing w:val="-26"/>
          <w:w w:val="110"/>
          <w:sz w:val="18"/>
        </w:rPr>
        <w:t> </w:t>
      </w:r>
      <w:r>
        <w:rPr>
          <w:color w:val="231F20"/>
          <w:w w:val="110"/>
          <w:sz w:val="18"/>
        </w:rPr>
        <w:t>ya</w:t>
      </w:r>
      <w:r>
        <w:rPr>
          <w:color w:val="231F20"/>
          <w:spacing w:val="-26"/>
          <w:w w:val="110"/>
          <w:sz w:val="18"/>
        </w:rPr>
        <w:t> </w:t>
      </w:r>
      <w:r>
        <w:rPr>
          <w:color w:val="231F20"/>
          <w:w w:val="110"/>
          <w:sz w:val="18"/>
        </w:rPr>
        <w:t>sea</w:t>
      </w:r>
      <w:r>
        <w:rPr>
          <w:color w:val="231F20"/>
          <w:spacing w:val="-26"/>
          <w:w w:val="110"/>
          <w:sz w:val="18"/>
        </w:rPr>
        <w:t> </w:t>
      </w:r>
      <w:r>
        <w:rPr>
          <w:color w:val="231F20"/>
          <w:w w:val="110"/>
          <w:sz w:val="18"/>
        </w:rPr>
        <w:t>para</w:t>
      </w:r>
      <w:r>
        <w:rPr>
          <w:color w:val="231F20"/>
          <w:spacing w:val="-26"/>
          <w:w w:val="110"/>
          <w:sz w:val="18"/>
        </w:rPr>
        <w:t> </w:t>
      </w:r>
      <w:r>
        <w:rPr>
          <w:color w:val="231F20"/>
          <w:w w:val="110"/>
          <w:sz w:val="18"/>
        </w:rPr>
        <w:t>pagar</w:t>
      </w:r>
      <w:r>
        <w:rPr>
          <w:color w:val="231F20"/>
          <w:w w:val="110"/>
          <w:sz w:val="18"/>
        </w:rPr>
        <w:t> </w:t>
      </w:r>
      <w:r>
        <w:rPr>
          <w:color w:val="231F20"/>
          <w:w w:val="110"/>
          <w:sz w:val="18"/>
        </w:rPr>
        <w:t>con</w:t>
      </w:r>
      <w:r>
        <w:rPr>
          <w:color w:val="231F20"/>
          <w:spacing w:val="24"/>
          <w:w w:val="110"/>
          <w:sz w:val="18"/>
        </w:rPr>
        <w:t> </w:t>
      </w:r>
      <w:r>
        <w:rPr>
          <w:color w:val="231F20"/>
          <w:w w:val="110"/>
          <w:sz w:val="18"/>
        </w:rPr>
        <w:t>ello</w:t>
      </w:r>
      <w:r>
        <w:rPr>
          <w:color w:val="231F20"/>
          <w:spacing w:val="24"/>
          <w:w w:val="110"/>
          <w:sz w:val="18"/>
        </w:rPr>
        <w:t> </w:t>
      </w:r>
      <w:r>
        <w:rPr>
          <w:color w:val="231F20"/>
          <w:w w:val="110"/>
          <w:sz w:val="18"/>
        </w:rPr>
        <w:t>una</w:t>
      </w:r>
      <w:r>
        <w:rPr>
          <w:color w:val="231F20"/>
          <w:spacing w:val="24"/>
          <w:w w:val="110"/>
          <w:sz w:val="18"/>
        </w:rPr>
        <w:t> </w:t>
      </w:r>
      <w:r>
        <w:rPr>
          <w:color w:val="231F20"/>
          <w:w w:val="110"/>
          <w:sz w:val="18"/>
        </w:rPr>
        <w:t>deuda</w:t>
      </w:r>
      <w:r>
        <w:rPr>
          <w:color w:val="231F20"/>
          <w:spacing w:val="24"/>
          <w:w w:val="110"/>
          <w:sz w:val="18"/>
        </w:rPr>
        <w:t> </w:t>
      </w:r>
      <w:r>
        <w:rPr>
          <w:color w:val="231F20"/>
          <w:w w:val="110"/>
          <w:sz w:val="18"/>
        </w:rPr>
        <w:t>o</w:t>
      </w:r>
      <w:r>
        <w:rPr>
          <w:color w:val="231F20"/>
          <w:spacing w:val="24"/>
          <w:w w:val="110"/>
          <w:sz w:val="18"/>
        </w:rPr>
        <w:t> </w:t>
      </w:r>
      <w:r>
        <w:rPr>
          <w:color w:val="231F20"/>
          <w:w w:val="110"/>
          <w:sz w:val="18"/>
        </w:rPr>
        <w:t>para</w:t>
      </w:r>
      <w:r>
        <w:rPr>
          <w:color w:val="231F20"/>
          <w:spacing w:val="24"/>
          <w:w w:val="110"/>
          <w:sz w:val="18"/>
        </w:rPr>
        <w:t> </w:t>
      </w:r>
      <w:r>
        <w:rPr>
          <w:color w:val="231F20"/>
          <w:w w:val="110"/>
          <w:sz w:val="18"/>
        </w:rPr>
        <w:t>que</w:t>
      </w:r>
      <w:r>
        <w:rPr>
          <w:color w:val="231F20"/>
          <w:spacing w:val="24"/>
          <w:w w:val="110"/>
          <w:sz w:val="18"/>
        </w:rPr>
        <w:t> </w:t>
      </w:r>
      <w:r>
        <w:rPr>
          <w:color w:val="231F20"/>
          <w:w w:val="110"/>
          <w:sz w:val="18"/>
        </w:rPr>
        <w:t>se</w:t>
      </w:r>
      <w:r>
        <w:rPr>
          <w:color w:val="231F20"/>
          <w:spacing w:val="24"/>
          <w:w w:val="110"/>
          <w:sz w:val="18"/>
        </w:rPr>
        <w:t> </w:t>
      </w:r>
      <w:r>
        <w:rPr>
          <w:color w:val="231F20"/>
          <w:w w:val="110"/>
          <w:sz w:val="18"/>
        </w:rPr>
        <w:t>la</w:t>
      </w:r>
      <w:r>
        <w:rPr>
          <w:color w:val="231F20"/>
          <w:spacing w:val="24"/>
          <w:w w:val="110"/>
          <w:sz w:val="18"/>
        </w:rPr>
        <w:t> </w:t>
      </w:r>
      <w:r>
        <w:rPr>
          <w:color w:val="231F20"/>
          <w:w w:val="110"/>
          <w:sz w:val="18"/>
        </w:rPr>
        <w:t>descuente</w:t>
      </w:r>
      <w:r>
        <w:rPr>
          <w:color w:val="231F20"/>
          <w:spacing w:val="24"/>
          <w:w w:val="110"/>
          <w:sz w:val="18"/>
        </w:rPr>
        <w:t> </w:t>
      </w:r>
      <w:r>
        <w:rPr>
          <w:color w:val="231F20"/>
          <w:w w:val="110"/>
          <w:sz w:val="18"/>
        </w:rPr>
        <w:t>[…]</w:t>
      </w:r>
      <w:r>
        <w:rPr>
          <w:color w:val="231F20"/>
          <w:spacing w:val="24"/>
          <w:w w:val="110"/>
          <w:sz w:val="18"/>
        </w:rPr>
        <w:t> </w:t>
      </w:r>
      <w:r>
        <w:rPr>
          <w:color w:val="231F20"/>
          <w:w w:val="110"/>
          <w:sz w:val="18"/>
        </w:rPr>
        <w:t>Si</w:t>
      </w:r>
      <w:r>
        <w:rPr>
          <w:color w:val="231F20"/>
          <w:spacing w:val="24"/>
          <w:w w:val="110"/>
          <w:sz w:val="18"/>
        </w:rPr>
        <w:t> </w:t>
      </w:r>
      <w:r>
        <w:rPr>
          <w:color w:val="231F20"/>
          <w:w w:val="110"/>
          <w:sz w:val="18"/>
        </w:rPr>
        <w:t>el</w:t>
      </w:r>
      <w:r>
        <w:rPr>
          <w:color w:val="231F20"/>
          <w:spacing w:val="24"/>
          <w:w w:val="110"/>
          <w:sz w:val="18"/>
        </w:rPr>
        <w:t> </w:t>
      </w:r>
      <w:r>
        <w:rPr>
          <w:color w:val="231F20"/>
          <w:w w:val="110"/>
          <w:sz w:val="18"/>
        </w:rPr>
        <w:t>comerciante</w:t>
      </w:r>
      <w:r>
        <w:rPr>
          <w:color w:val="231F20"/>
          <w:spacing w:val="24"/>
          <w:w w:val="110"/>
          <w:sz w:val="18"/>
        </w:rPr>
        <w:t> </w:t>
      </w:r>
      <w:r>
        <w:rPr>
          <w:color w:val="231F20"/>
          <w:w w:val="110"/>
          <w:sz w:val="18"/>
        </w:rPr>
        <w:t>no</w:t>
      </w:r>
      <w:r>
        <w:rPr>
          <w:color w:val="231F20"/>
          <w:w w:val="116"/>
          <w:sz w:val="18"/>
        </w:rPr>
        <w:t> </w:t>
      </w:r>
      <w:r>
        <w:rPr>
          <w:color w:val="231F20"/>
          <w:w w:val="110"/>
          <w:sz w:val="18"/>
        </w:rPr>
        <w:t>paga, [tendríamos que] el tejedor no podrá reembolsar su letra</w:t>
      </w:r>
      <w:r>
        <w:rPr>
          <w:color w:val="231F20"/>
          <w:spacing w:val="44"/>
          <w:w w:val="110"/>
          <w:sz w:val="18"/>
        </w:rPr>
        <w:t> </w:t>
      </w:r>
      <w:r>
        <w:rPr>
          <w:color w:val="231F20"/>
          <w:w w:val="110"/>
          <w:sz w:val="18"/>
        </w:rPr>
        <w:t>al</w:t>
      </w:r>
      <w:r>
        <w:rPr>
          <w:color w:val="231F20"/>
          <w:spacing w:val="4"/>
          <w:w w:val="110"/>
          <w:sz w:val="18"/>
        </w:rPr>
        <w:t> </w:t>
      </w:r>
      <w:r>
        <w:rPr>
          <w:color w:val="231F20"/>
          <w:w w:val="110"/>
          <w:sz w:val="18"/>
        </w:rPr>
        <w:t>banquero.</w:t>
      </w:r>
      <w:r>
        <w:rPr>
          <w:color w:val="231F20"/>
          <w:w w:val="113"/>
          <w:sz w:val="18"/>
        </w:rPr>
        <w:t> </w:t>
      </w:r>
      <w:r>
        <w:rPr>
          <w:color w:val="231F20"/>
          <w:w w:val="110"/>
          <w:sz w:val="18"/>
        </w:rPr>
        <w:t>El</w:t>
      </w:r>
      <w:r>
        <w:rPr>
          <w:color w:val="231F20"/>
          <w:spacing w:val="38"/>
          <w:w w:val="110"/>
          <w:sz w:val="18"/>
        </w:rPr>
        <w:t> </w:t>
      </w:r>
      <w:r>
        <w:rPr>
          <w:color w:val="231F20"/>
          <w:w w:val="110"/>
          <w:sz w:val="18"/>
        </w:rPr>
        <w:t>cultivador</w:t>
      </w:r>
      <w:r>
        <w:rPr>
          <w:color w:val="231F20"/>
          <w:spacing w:val="38"/>
          <w:w w:val="110"/>
          <w:sz w:val="18"/>
        </w:rPr>
        <w:t> </w:t>
      </w:r>
      <w:r>
        <w:rPr>
          <w:color w:val="231F20"/>
          <w:w w:val="110"/>
          <w:sz w:val="18"/>
        </w:rPr>
        <w:t>de</w:t>
      </w:r>
      <w:r>
        <w:rPr>
          <w:color w:val="231F20"/>
          <w:spacing w:val="38"/>
          <w:w w:val="110"/>
          <w:sz w:val="18"/>
        </w:rPr>
        <w:t> </w:t>
      </w:r>
      <w:r>
        <w:rPr>
          <w:color w:val="231F20"/>
          <w:w w:val="110"/>
          <w:sz w:val="18"/>
        </w:rPr>
        <w:t>lino</w:t>
      </w:r>
      <w:r>
        <w:rPr>
          <w:color w:val="231F20"/>
          <w:spacing w:val="38"/>
          <w:w w:val="110"/>
          <w:sz w:val="18"/>
        </w:rPr>
        <w:t> </w:t>
      </w:r>
      <w:r>
        <w:rPr>
          <w:color w:val="231F20"/>
          <w:w w:val="110"/>
          <w:sz w:val="18"/>
        </w:rPr>
        <w:t>ha</w:t>
      </w:r>
      <w:r>
        <w:rPr>
          <w:color w:val="231F20"/>
          <w:spacing w:val="38"/>
          <w:w w:val="110"/>
          <w:sz w:val="18"/>
        </w:rPr>
        <w:t> </w:t>
      </w:r>
      <w:r>
        <w:rPr>
          <w:color w:val="231F20"/>
          <w:w w:val="110"/>
          <w:sz w:val="18"/>
        </w:rPr>
        <w:t>girado</w:t>
      </w:r>
      <w:r>
        <w:rPr>
          <w:color w:val="231F20"/>
          <w:spacing w:val="38"/>
          <w:w w:val="110"/>
          <w:sz w:val="18"/>
        </w:rPr>
        <w:t> </w:t>
      </w:r>
      <w:r>
        <w:rPr>
          <w:color w:val="231F20"/>
          <w:w w:val="110"/>
          <w:sz w:val="18"/>
        </w:rPr>
        <w:t>sobre</w:t>
      </w:r>
      <w:r>
        <w:rPr>
          <w:color w:val="231F20"/>
          <w:spacing w:val="38"/>
          <w:w w:val="110"/>
          <w:sz w:val="18"/>
        </w:rPr>
        <w:t> </w:t>
      </w:r>
      <w:r>
        <w:rPr>
          <w:color w:val="231F20"/>
          <w:w w:val="110"/>
          <w:sz w:val="18"/>
        </w:rPr>
        <w:t>el</w:t>
      </w:r>
      <w:r>
        <w:rPr>
          <w:color w:val="231F20"/>
          <w:spacing w:val="38"/>
          <w:w w:val="110"/>
          <w:sz w:val="18"/>
        </w:rPr>
        <w:t> </w:t>
      </w:r>
      <w:r>
        <w:rPr>
          <w:color w:val="231F20"/>
          <w:w w:val="110"/>
          <w:sz w:val="18"/>
        </w:rPr>
        <w:t>hilandero</w:t>
      </w:r>
      <w:r>
        <w:rPr>
          <w:color w:val="231F20"/>
          <w:spacing w:val="38"/>
          <w:w w:val="110"/>
          <w:sz w:val="18"/>
        </w:rPr>
        <w:t> </w:t>
      </w:r>
      <w:r>
        <w:rPr>
          <w:color w:val="231F20"/>
          <w:sz w:val="18"/>
        </w:rPr>
        <w:t>y</w:t>
      </w:r>
      <w:r>
        <w:rPr>
          <w:color w:val="231F20"/>
          <w:spacing w:val="42"/>
          <w:sz w:val="18"/>
        </w:rPr>
        <w:t> </w:t>
      </w:r>
      <w:r>
        <w:rPr>
          <w:color w:val="231F20"/>
          <w:w w:val="110"/>
          <w:sz w:val="18"/>
        </w:rPr>
        <w:t>el</w:t>
      </w:r>
      <w:r>
        <w:rPr>
          <w:color w:val="231F20"/>
          <w:spacing w:val="38"/>
          <w:w w:val="110"/>
          <w:sz w:val="18"/>
        </w:rPr>
        <w:t> </w:t>
      </w:r>
      <w:r>
        <w:rPr>
          <w:color w:val="231F20"/>
          <w:w w:val="110"/>
          <w:sz w:val="18"/>
        </w:rPr>
        <w:t>fabricante</w:t>
      </w:r>
      <w:r>
        <w:rPr>
          <w:color w:val="231F20"/>
          <w:spacing w:val="38"/>
          <w:w w:val="110"/>
          <w:sz w:val="18"/>
        </w:rPr>
        <w:t> </w:t>
      </w:r>
      <w:r>
        <w:rPr>
          <w:color w:val="231F20"/>
          <w:w w:val="110"/>
          <w:sz w:val="18"/>
        </w:rPr>
        <w:t>de</w:t>
      </w:r>
      <w:r>
        <w:rPr>
          <w:color w:val="231F20"/>
          <w:spacing w:val="1"/>
          <w:w w:val="114"/>
          <w:sz w:val="18"/>
        </w:rPr>
        <w:t> </w:t>
      </w:r>
      <w:r>
        <w:rPr>
          <w:color w:val="231F20"/>
          <w:w w:val="110"/>
          <w:sz w:val="18"/>
        </w:rPr>
        <w:t>maquinaria</w:t>
      </w:r>
      <w:r>
        <w:rPr>
          <w:color w:val="231F20"/>
          <w:spacing w:val="33"/>
          <w:w w:val="110"/>
          <w:sz w:val="18"/>
        </w:rPr>
        <w:t> </w:t>
      </w:r>
      <w:r>
        <w:rPr>
          <w:color w:val="231F20"/>
          <w:w w:val="110"/>
          <w:sz w:val="18"/>
        </w:rPr>
        <w:t>sobre</w:t>
      </w:r>
      <w:r>
        <w:rPr>
          <w:color w:val="231F20"/>
          <w:spacing w:val="33"/>
          <w:w w:val="110"/>
          <w:sz w:val="18"/>
        </w:rPr>
        <w:t> </w:t>
      </w:r>
      <w:r>
        <w:rPr>
          <w:color w:val="231F20"/>
          <w:w w:val="110"/>
          <w:sz w:val="18"/>
        </w:rPr>
        <w:t>el</w:t>
      </w:r>
      <w:r>
        <w:rPr>
          <w:color w:val="231F20"/>
          <w:spacing w:val="33"/>
          <w:w w:val="110"/>
          <w:sz w:val="18"/>
        </w:rPr>
        <w:t> </w:t>
      </w:r>
      <w:r>
        <w:rPr>
          <w:color w:val="231F20"/>
          <w:w w:val="110"/>
          <w:sz w:val="18"/>
        </w:rPr>
        <w:t>hilandero</w:t>
      </w:r>
      <w:r>
        <w:rPr>
          <w:color w:val="231F20"/>
          <w:spacing w:val="33"/>
          <w:w w:val="110"/>
          <w:sz w:val="18"/>
        </w:rPr>
        <w:t> </w:t>
      </w:r>
      <w:r>
        <w:rPr>
          <w:color w:val="231F20"/>
          <w:sz w:val="18"/>
        </w:rPr>
        <w:t>y</w:t>
      </w:r>
      <w:r>
        <w:rPr>
          <w:color w:val="231F20"/>
          <w:spacing w:val="38"/>
          <w:sz w:val="18"/>
        </w:rPr>
        <w:t> </w:t>
      </w:r>
      <w:r>
        <w:rPr>
          <w:color w:val="231F20"/>
          <w:w w:val="110"/>
          <w:sz w:val="18"/>
        </w:rPr>
        <w:t>el</w:t>
      </w:r>
      <w:r>
        <w:rPr>
          <w:color w:val="231F20"/>
          <w:spacing w:val="33"/>
          <w:w w:val="110"/>
          <w:sz w:val="18"/>
        </w:rPr>
        <w:t> </w:t>
      </w:r>
      <w:r>
        <w:rPr>
          <w:color w:val="231F20"/>
          <w:w w:val="110"/>
          <w:sz w:val="18"/>
        </w:rPr>
        <w:t>tejedor.</w:t>
      </w:r>
      <w:r>
        <w:rPr>
          <w:color w:val="231F20"/>
          <w:spacing w:val="33"/>
          <w:w w:val="110"/>
          <w:sz w:val="18"/>
        </w:rPr>
        <w:t> </w:t>
      </w:r>
      <w:r>
        <w:rPr>
          <w:color w:val="231F20"/>
          <w:w w:val="110"/>
          <w:sz w:val="18"/>
        </w:rPr>
        <w:t>El</w:t>
      </w:r>
      <w:r>
        <w:rPr>
          <w:color w:val="231F20"/>
          <w:spacing w:val="33"/>
          <w:w w:val="110"/>
          <w:sz w:val="18"/>
        </w:rPr>
        <w:t> </w:t>
      </w:r>
      <w:r>
        <w:rPr>
          <w:color w:val="231F20"/>
          <w:w w:val="110"/>
          <w:sz w:val="18"/>
        </w:rPr>
        <w:t>hilandero</w:t>
      </w:r>
      <w:r>
        <w:rPr>
          <w:color w:val="231F20"/>
          <w:spacing w:val="33"/>
          <w:w w:val="110"/>
          <w:sz w:val="18"/>
        </w:rPr>
        <w:t> </w:t>
      </w:r>
      <w:r>
        <w:rPr>
          <w:color w:val="231F20"/>
          <w:w w:val="110"/>
          <w:sz w:val="18"/>
        </w:rPr>
        <w:t>no</w:t>
      </w:r>
      <w:r>
        <w:rPr>
          <w:color w:val="231F20"/>
          <w:spacing w:val="33"/>
          <w:w w:val="110"/>
          <w:sz w:val="18"/>
        </w:rPr>
        <w:t> </w:t>
      </w:r>
      <w:r>
        <w:rPr>
          <w:color w:val="231F20"/>
          <w:w w:val="110"/>
          <w:sz w:val="18"/>
        </w:rPr>
        <w:t>puede</w:t>
      </w:r>
      <w:r>
        <w:rPr>
          <w:color w:val="231F20"/>
          <w:spacing w:val="33"/>
          <w:w w:val="110"/>
          <w:sz w:val="18"/>
        </w:rPr>
        <w:t> </w:t>
      </w:r>
      <w:r>
        <w:rPr>
          <w:color w:val="231F20"/>
          <w:w w:val="110"/>
          <w:sz w:val="18"/>
        </w:rPr>
        <w:t>pagar</w:t>
      </w:r>
      <w:r>
        <w:rPr>
          <w:color w:val="231F20"/>
          <w:w w:val="110"/>
          <w:sz w:val="18"/>
        </w:rPr>
        <w:t> </w:t>
      </w:r>
      <w:r>
        <w:rPr>
          <w:color w:val="231F20"/>
          <w:w w:val="110"/>
          <w:sz w:val="18"/>
        </w:rPr>
        <w:t>[al</w:t>
      </w:r>
      <w:r>
        <w:rPr>
          <w:color w:val="231F20"/>
          <w:spacing w:val="17"/>
          <w:w w:val="110"/>
          <w:sz w:val="18"/>
        </w:rPr>
        <w:t> </w:t>
      </w:r>
      <w:r>
        <w:rPr>
          <w:color w:val="231F20"/>
          <w:w w:val="110"/>
          <w:sz w:val="18"/>
        </w:rPr>
        <w:t>cultivador</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lino]</w:t>
      </w:r>
      <w:r>
        <w:rPr>
          <w:color w:val="231F20"/>
          <w:spacing w:val="17"/>
          <w:w w:val="110"/>
          <w:sz w:val="18"/>
        </w:rPr>
        <w:t> </w:t>
      </w:r>
      <w:r>
        <w:rPr>
          <w:color w:val="231F20"/>
          <w:w w:val="110"/>
          <w:sz w:val="18"/>
        </w:rPr>
        <w:t>porque</w:t>
      </w:r>
      <w:r>
        <w:rPr>
          <w:color w:val="231F20"/>
          <w:spacing w:val="17"/>
          <w:w w:val="110"/>
          <w:sz w:val="18"/>
        </w:rPr>
        <w:t> </w:t>
      </w:r>
      <w:r>
        <w:rPr>
          <w:color w:val="231F20"/>
          <w:w w:val="110"/>
          <w:sz w:val="18"/>
        </w:rPr>
        <w:t>no</w:t>
      </w:r>
      <w:r>
        <w:rPr>
          <w:color w:val="231F20"/>
          <w:spacing w:val="17"/>
          <w:w w:val="110"/>
          <w:sz w:val="18"/>
        </w:rPr>
        <w:t> </w:t>
      </w:r>
      <w:r>
        <w:rPr>
          <w:color w:val="231F20"/>
          <w:w w:val="110"/>
          <w:sz w:val="18"/>
        </w:rPr>
        <w:t>puede</w:t>
      </w:r>
      <w:r>
        <w:rPr>
          <w:color w:val="231F20"/>
          <w:spacing w:val="17"/>
          <w:w w:val="110"/>
          <w:sz w:val="18"/>
        </w:rPr>
        <w:t> </w:t>
      </w:r>
      <w:r>
        <w:rPr>
          <w:color w:val="231F20"/>
          <w:w w:val="110"/>
          <w:sz w:val="18"/>
        </w:rPr>
        <w:t>pagar</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tejedor,</w:t>
      </w:r>
      <w:r>
        <w:rPr>
          <w:color w:val="231F20"/>
          <w:spacing w:val="17"/>
          <w:w w:val="110"/>
          <w:sz w:val="18"/>
        </w:rPr>
        <w:t> </w:t>
      </w:r>
      <w:r>
        <w:rPr>
          <w:color w:val="231F20"/>
          <w:w w:val="110"/>
          <w:sz w:val="18"/>
        </w:rPr>
        <w:t>ninguno</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ellos</w:t>
      </w:r>
      <w:r>
        <w:rPr>
          <w:color w:val="231F20"/>
          <w:w w:val="104"/>
          <w:sz w:val="18"/>
        </w:rPr>
        <w:t> </w:t>
      </w:r>
      <w:r>
        <w:rPr>
          <w:color w:val="231F20"/>
          <w:w w:val="110"/>
          <w:sz w:val="18"/>
        </w:rPr>
        <w:t>paga</w:t>
      </w:r>
      <w:r>
        <w:rPr>
          <w:color w:val="231F20"/>
          <w:spacing w:val="17"/>
          <w:w w:val="110"/>
          <w:sz w:val="18"/>
        </w:rPr>
        <w:t> </w:t>
      </w:r>
      <w:r>
        <w:rPr>
          <w:color w:val="231F20"/>
          <w:w w:val="110"/>
          <w:sz w:val="18"/>
        </w:rPr>
        <w:t>al</w:t>
      </w:r>
      <w:r>
        <w:rPr>
          <w:color w:val="231F20"/>
          <w:spacing w:val="17"/>
          <w:w w:val="110"/>
          <w:sz w:val="18"/>
        </w:rPr>
        <w:t> </w:t>
      </w:r>
      <w:r>
        <w:rPr>
          <w:color w:val="231F20"/>
          <w:w w:val="110"/>
          <w:sz w:val="18"/>
        </w:rPr>
        <w:t>fabricante</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maquinaria,</w:t>
      </w:r>
      <w:r>
        <w:rPr>
          <w:color w:val="231F20"/>
          <w:spacing w:val="17"/>
          <w:w w:val="110"/>
          <w:sz w:val="18"/>
        </w:rPr>
        <w:t> </w:t>
      </w:r>
      <w:r>
        <w:rPr>
          <w:color w:val="231F20"/>
          <w:w w:val="110"/>
          <w:sz w:val="18"/>
        </w:rPr>
        <w:t>ni</w:t>
      </w:r>
      <w:r>
        <w:rPr>
          <w:color w:val="231F20"/>
          <w:spacing w:val="17"/>
          <w:w w:val="110"/>
          <w:sz w:val="18"/>
        </w:rPr>
        <w:t> </w:t>
      </w:r>
      <w:r>
        <w:rPr>
          <w:color w:val="231F20"/>
          <w:w w:val="110"/>
          <w:sz w:val="18"/>
        </w:rPr>
        <w:t>éste</w:t>
      </w:r>
      <w:r>
        <w:rPr>
          <w:color w:val="231F20"/>
          <w:spacing w:val="17"/>
          <w:w w:val="110"/>
          <w:sz w:val="18"/>
        </w:rPr>
        <w:t> </w:t>
      </w:r>
      <w:r>
        <w:rPr>
          <w:color w:val="231F20"/>
          <w:w w:val="110"/>
          <w:sz w:val="18"/>
        </w:rPr>
        <w:t>al</w:t>
      </w:r>
      <w:r>
        <w:rPr>
          <w:color w:val="231F20"/>
          <w:spacing w:val="17"/>
          <w:w w:val="110"/>
          <w:sz w:val="18"/>
        </w:rPr>
        <w:t> </w:t>
      </w:r>
      <w:r>
        <w:rPr>
          <w:color w:val="231F20"/>
          <w:w w:val="110"/>
          <w:sz w:val="18"/>
        </w:rPr>
        <w:t>productor</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hierro,</w:t>
      </w:r>
      <w:r>
        <w:rPr>
          <w:color w:val="231F20"/>
          <w:spacing w:val="17"/>
          <w:w w:val="110"/>
          <w:sz w:val="18"/>
        </w:rPr>
        <w:t> </w:t>
      </w:r>
      <w:r>
        <w:rPr>
          <w:color w:val="231F20"/>
          <w:w w:val="110"/>
          <w:sz w:val="18"/>
        </w:rPr>
        <w:t>madera</w:t>
      </w:r>
      <w:r>
        <w:rPr>
          <w:color w:val="231F20"/>
          <w:spacing w:val="17"/>
          <w:w w:val="110"/>
          <w:sz w:val="18"/>
        </w:rPr>
        <w:t> </w:t>
      </w:r>
      <w:r>
        <w:rPr>
          <w:color w:val="231F20"/>
          <w:sz w:val="18"/>
        </w:rPr>
        <w:t>y</w:t>
      </w:r>
      <w:r>
        <w:rPr>
          <w:color w:val="231F20"/>
          <w:w w:val="84"/>
          <w:sz w:val="18"/>
        </w:rPr>
        <w:t> </w:t>
      </w:r>
      <w:r>
        <w:rPr>
          <w:color w:val="231F20"/>
          <w:w w:val="110"/>
          <w:sz w:val="18"/>
        </w:rPr>
        <w:t>carbón. </w:t>
      </w:r>
      <w:r>
        <w:rPr>
          <w:color w:val="231F20"/>
          <w:spacing w:val="-9"/>
          <w:sz w:val="18"/>
        </w:rPr>
        <w:t>Y, </w:t>
      </w:r>
      <w:r>
        <w:rPr>
          <w:color w:val="231F20"/>
          <w:w w:val="110"/>
          <w:sz w:val="18"/>
        </w:rPr>
        <w:t>a su vez, todos estos, que no realizan el valor de</w:t>
      </w:r>
      <w:r>
        <w:rPr>
          <w:color w:val="231F20"/>
          <w:spacing w:val="11"/>
          <w:w w:val="110"/>
          <w:sz w:val="18"/>
        </w:rPr>
        <w:t> </w:t>
      </w:r>
      <w:r>
        <w:rPr>
          <w:color w:val="231F20"/>
          <w:w w:val="110"/>
          <w:sz w:val="18"/>
        </w:rPr>
        <w:t>sus</w:t>
      </w:r>
      <w:r>
        <w:rPr>
          <w:color w:val="231F20"/>
          <w:spacing w:val="3"/>
          <w:w w:val="110"/>
          <w:sz w:val="18"/>
        </w:rPr>
        <w:t> </w:t>
      </w:r>
      <w:r>
        <w:rPr>
          <w:color w:val="231F20"/>
          <w:w w:val="110"/>
          <w:sz w:val="18"/>
        </w:rPr>
        <w:t>mercancías,</w:t>
      </w:r>
      <w:r>
        <w:rPr>
          <w:color w:val="231F20"/>
          <w:w w:val="108"/>
          <w:sz w:val="18"/>
        </w:rPr>
        <w:t> </w:t>
      </w:r>
      <w:r>
        <w:rPr>
          <w:color w:val="231F20"/>
          <w:w w:val="110"/>
          <w:sz w:val="18"/>
        </w:rPr>
        <w:t>no</w:t>
      </w:r>
      <w:r>
        <w:rPr>
          <w:color w:val="231F20"/>
          <w:spacing w:val="18"/>
          <w:w w:val="110"/>
          <w:sz w:val="18"/>
        </w:rPr>
        <w:t> </w:t>
      </w:r>
      <w:r>
        <w:rPr>
          <w:color w:val="231F20"/>
          <w:w w:val="110"/>
          <w:sz w:val="18"/>
        </w:rPr>
        <w:t>pueden</w:t>
      </w:r>
      <w:r>
        <w:rPr>
          <w:color w:val="231F20"/>
          <w:spacing w:val="18"/>
          <w:w w:val="110"/>
          <w:sz w:val="18"/>
        </w:rPr>
        <w:t> </w:t>
      </w:r>
      <w:r>
        <w:rPr>
          <w:color w:val="231F20"/>
          <w:w w:val="110"/>
          <w:sz w:val="18"/>
        </w:rPr>
        <w:t>reponer</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parte</w:t>
      </w:r>
      <w:r>
        <w:rPr>
          <w:color w:val="231F20"/>
          <w:spacing w:val="18"/>
          <w:w w:val="110"/>
          <w:sz w:val="18"/>
        </w:rPr>
        <w:t> </w:t>
      </w:r>
      <w:r>
        <w:rPr>
          <w:color w:val="231F20"/>
          <w:w w:val="110"/>
          <w:sz w:val="18"/>
        </w:rPr>
        <w:t>que</w:t>
      </w:r>
      <w:r>
        <w:rPr>
          <w:color w:val="231F20"/>
          <w:spacing w:val="18"/>
          <w:w w:val="110"/>
          <w:sz w:val="18"/>
        </w:rPr>
        <w:t> </w:t>
      </w:r>
      <w:r>
        <w:rPr>
          <w:color w:val="231F20"/>
          <w:w w:val="110"/>
          <w:sz w:val="18"/>
        </w:rPr>
        <w:t>repone</w:t>
      </w:r>
      <w:r>
        <w:rPr>
          <w:color w:val="231F20"/>
          <w:spacing w:val="18"/>
          <w:w w:val="110"/>
          <w:sz w:val="18"/>
        </w:rPr>
        <w:t> </w:t>
      </w:r>
      <w:r>
        <w:rPr>
          <w:color w:val="231F20"/>
          <w:w w:val="110"/>
          <w:sz w:val="18"/>
        </w:rPr>
        <w:t>el</w:t>
      </w:r>
      <w:r>
        <w:rPr>
          <w:color w:val="231F20"/>
          <w:spacing w:val="18"/>
          <w:w w:val="110"/>
          <w:sz w:val="18"/>
        </w:rPr>
        <w:t> </w:t>
      </w:r>
      <w:r>
        <w:rPr>
          <w:color w:val="231F20"/>
          <w:w w:val="110"/>
          <w:sz w:val="18"/>
        </w:rPr>
        <w:t>capital</w:t>
      </w:r>
      <w:r>
        <w:rPr>
          <w:color w:val="231F20"/>
          <w:spacing w:val="18"/>
          <w:w w:val="110"/>
          <w:sz w:val="18"/>
        </w:rPr>
        <w:t> </w:t>
      </w:r>
      <w:r>
        <w:rPr>
          <w:color w:val="231F20"/>
          <w:w w:val="110"/>
          <w:sz w:val="18"/>
        </w:rPr>
        <w:t>constante.</w:t>
      </w:r>
      <w:r>
        <w:rPr>
          <w:color w:val="231F20"/>
          <w:spacing w:val="18"/>
          <w:w w:val="110"/>
          <w:sz w:val="18"/>
        </w:rPr>
        <w:t> </w:t>
      </w:r>
      <w:r>
        <w:rPr>
          <w:color w:val="231F20"/>
          <w:w w:val="110"/>
          <w:sz w:val="18"/>
        </w:rPr>
        <w:t>Surge</w:t>
      </w:r>
      <w:r>
        <w:rPr>
          <w:color w:val="231F20"/>
          <w:spacing w:val="18"/>
          <w:w w:val="110"/>
          <w:sz w:val="18"/>
        </w:rPr>
        <w:t> </w:t>
      </w:r>
      <w:r>
        <w:rPr>
          <w:color w:val="231F20"/>
          <w:w w:val="110"/>
          <w:sz w:val="18"/>
        </w:rPr>
        <w:t>así</w:t>
      </w:r>
      <w:r>
        <w:rPr>
          <w:color w:val="231F20"/>
          <w:spacing w:val="18"/>
          <w:w w:val="110"/>
          <w:sz w:val="18"/>
        </w:rPr>
        <w:t> </w:t>
      </w:r>
      <w:r>
        <w:rPr>
          <w:color w:val="231F20"/>
          <w:w w:val="110"/>
          <w:sz w:val="18"/>
        </w:rPr>
        <w:t>una</w:t>
      </w:r>
    </w:p>
    <w:p>
      <w:pPr>
        <w:spacing w:before="1"/>
        <w:ind w:left="100" w:right="0" w:firstLine="0"/>
        <w:jc w:val="both"/>
        <w:rPr>
          <w:sz w:val="18"/>
        </w:rPr>
      </w:pPr>
      <w:r>
        <w:rPr>
          <w:color w:val="231F20"/>
          <w:w w:val="105"/>
          <w:sz w:val="18"/>
        </w:rPr>
        <w:t>crisis general (Marx, 1980, t. 2:  471-472).</w:t>
      </w:r>
    </w:p>
    <w:p>
      <w:pPr>
        <w:pStyle w:val="BodyText"/>
        <w:spacing w:before="9"/>
        <w:rPr>
          <w:sz w:val="23"/>
        </w:rPr>
      </w:pPr>
    </w:p>
    <w:p>
      <w:pPr>
        <w:pStyle w:val="BodyText"/>
        <w:spacing w:line="261" w:lineRule="auto" w:before="1"/>
        <w:ind w:left="100" w:right="117" w:firstLine="240"/>
        <w:jc w:val="both"/>
      </w:pPr>
      <w:r>
        <w:rPr>
          <w:color w:val="231F20"/>
          <w:w w:val="110"/>
        </w:rPr>
        <w:t>La crisis actual recorrió, puntualmente, el camino revelado por Marx. En efecto, se inició siguiendo una de las prácticas financieras más</w:t>
      </w:r>
      <w:r>
        <w:rPr>
          <w:color w:val="231F20"/>
          <w:spacing w:val="-27"/>
          <w:w w:val="110"/>
        </w:rPr>
        <w:t> </w:t>
      </w:r>
      <w:r>
        <w:rPr>
          <w:color w:val="231F20"/>
          <w:w w:val="110"/>
        </w:rPr>
        <w:t>extendidas</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actualidad</w:t>
      </w:r>
      <w:r>
        <w:rPr>
          <w:color w:val="231F20"/>
          <w:spacing w:val="-27"/>
          <w:w w:val="110"/>
        </w:rPr>
        <w:t> </w:t>
      </w:r>
      <w:r>
        <w:rPr>
          <w:color w:val="231F20"/>
          <w:w w:val="110"/>
        </w:rPr>
        <w:t>consistente</w:t>
      </w:r>
      <w:r>
        <w:rPr>
          <w:color w:val="231F20"/>
          <w:spacing w:val="-27"/>
          <w:w w:val="110"/>
        </w:rPr>
        <w:t> </w:t>
      </w:r>
      <w:r>
        <w:rPr>
          <w:color w:val="231F20"/>
          <w:w w:val="110"/>
        </w:rPr>
        <w:t>en</w:t>
      </w:r>
      <w:r>
        <w:rPr>
          <w:color w:val="231F20"/>
          <w:spacing w:val="-27"/>
          <w:w w:val="110"/>
        </w:rPr>
        <w:t> </w:t>
      </w:r>
      <w:r>
        <w:rPr>
          <w:color w:val="231F20"/>
          <w:w w:val="110"/>
        </w:rPr>
        <w:t>“titularizar”</w:t>
      </w:r>
      <w:r>
        <w:rPr>
          <w:color w:val="231F20"/>
          <w:spacing w:val="-27"/>
          <w:w w:val="110"/>
        </w:rPr>
        <w:t> </w:t>
      </w:r>
      <w:r>
        <w:rPr>
          <w:color w:val="231F20"/>
          <w:w w:val="110"/>
        </w:rPr>
        <w:t>los</w:t>
      </w:r>
      <w:r>
        <w:rPr>
          <w:color w:val="231F20"/>
          <w:spacing w:val="-27"/>
          <w:w w:val="110"/>
        </w:rPr>
        <w:t> </w:t>
      </w:r>
      <w:r>
        <w:rPr>
          <w:color w:val="231F20"/>
          <w:w w:val="110"/>
        </w:rPr>
        <w:t>activos, es </w:t>
      </w:r>
      <w:r>
        <w:rPr>
          <w:color w:val="231F20"/>
          <w:spacing w:val="-3"/>
          <w:w w:val="110"/>
        </w:rPr>
        <w:t>decir, </w:t>
      </w:r>
      <w:r>
        <w:rPr>
          <w:color w:val="231F20"/>
          <w:w w:val="110"/>
        </w:rPr>
        <w:t>convertirlos en productos derivados de otros títulos para conseguir el emisor liquidez y rentabilidad. Siguiendo esa práctica, decenas de bancos de inversión de todo el mundo adquirieron los títulos que salían de la banca hipotecaria estadunidense, de modo</w:t>
      </w:r>
      <w:r>
        <w:rPr>
          <w:color w:val="231F20"/>
          <w:spacing w:val="-8"/>
          <w:w w:val="110"/>
        </w:rPr>
        <w:t> </w:t>
      </w:r>
      <w:r>
        <w:rPr>
          <w:color w:val="231F20"/>
          <w:w w:val="110"/>
        </w:rPr>
        <w:t>tal que</w:t>
      </w:r>
      <w:r>
        <w:rPr>
          <w:color w:val="231F20"/>
          <w:spacing w:val="-9"/>
          <w:w w:val="110"/>
        </w:rPr>
        <w:t> </w:t>
      </w:r>
      <w:r>
        <w:rPr>
          <w:color w:val="231F20"/>
          <w:w w:val="110"/>
        </w:rPr>
        <w:t>en</w:t>
      </w:r>
      <w:r>
        <w:rPr>
          <w:color w:val="231F20"/>
          <w:spacing w:val="-9"/>
          <w:w w:val="110"/>
        </w:rPr>
        <w:t> </w:t>
      </w:r>
      <w:r>
        <w:rPr>
          <w:color w:val="231F20"/>
          <w:w w:val="110"/>
        </w:rPr>
        <w:t>2007:</w:t>
      </w:r>
      <w:r>
        <w:rPr>
          <w:color w:val="231F20"/>
          <w:spacing w:val="-9"/>
          <w:w w:val="110"/>
        </w:rPr>
        <w:t> </w:t>
      </w:r>
      <w:r>
        <w:rPr>
          <w:color w:val="231F20"/>
          <w:w w:val="110"/>
        </w:rPr>
        <w:t>“los</w:t>
      </w:r>
      <w:r>
        <w:rPr>
          <w:color w:val="231F20"/>
          <w:spacing w:val="-9"/>
          <w:w w:val="110"/>
        </w:rPr>
        <w:t> </w:t>
      </w:r>
      <w:r>
        <w:rPr>
          <w:color w:val="231F20"/>
          <w:w w:val="110"/>
        </w:rPr>
        <w:t>activos</w:t>
      </w:r>
      <w:r>
        <w:rPr>
          <w:color w:val="231F20"/>
          <w:spacing w:val="-9"/>
          <w:w w:val="110"/>
        </w:rPr>
        <w:t> </w:t>
      </w:r>
      <w:r>
        <w:rPr>
          <w:color w:val="231F20"/>
          <w:w w:val="110"/>
        </w:rPr>
        <w:t>financieros</w:t>
      </w:r>
      <w:r>
        <w:rPr>
          <w:color w:val="231F20"/>
          <w:spacing w:val="-9"/>
          <w:w w:val="110"/>
        </w:rPr>
        <w:t> </w:t>
      </w:r>
      <w:r>
        <w:rPr>
          <w:color w:val="231F20"/>
          <w:w w:val="110"/>
        </w:rPr>
        <w:t>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en</w:t>
      </w:r>
      <w:r>
        <w:rPr>
          <w:color w:val="231F20"/>
          <w:spacing w:val="-9"/>
          <w:w w:val="110"/>
        </w:rPr>
        <w:t> </w:t>
      </w:r>
      <w:r>
        <w:rPr>
          <w:color w:val="231F20"/>
          <w:w w:val="110"/>
        </w:rPr>
        <w:t>poder</w:t>
      </w:r>
      <w:r>
        <w:rPr>
          <w:color w:val="231F20"/>
          <w:spacing w:val="-9"/>
          <w:w w:val="110"/>
        </w:rPr>
        <w:t> </w:t>
      </w:r>
      <w:r>
        <w:rPr>
          <w:color w:val="231F20"/>
          <w:w w:val="110"/>
        </w:rPr>
        <w:t>del resto del mundo ascendían a 16 billones de dólares. Los principales acreedores eran Japón, los países productores de petróleo del Medio Oriente y China. Este último país tenía en poder del Banco Central Chino, por lo menos, un billón de dólares” (Delgado, 2009: </w:t>
      </w:r>
      <w:r>
        <w:rPr>
          <w:color w:val="231F20"/>
          <w:spacing w:val="25"/>
          <w:w w:val="110"/>
        </w:rPr>
        <w:t> </w:t>
      </w:r>
      <w:r>
        <w:rPr>
          <w:color w:val="231F20"/>
          <w:w w:val="110"/>
        </w:rPr>
        <w:t>19).</w:t>
      </w:r>
    </w:p>
    <w:p>
      <w:pPr>
        <w:pStyle w:val="BodyText"/>
        <w:spacing w:line="261" w:lineRule="auto"/>
        <w:ind w:left="100" w:right="119" w:firstLine="240"/>
        <w:jc w:val="both"/>
      </w:pPr>
      <w:r>
        <w:rPr>
          <w:color w:val="231F20"/>
          <w:w w:val="110"/>
        </w:rPr>
        <w:t>Esos</w:t>
      </w:r>
      <w:r>
        <w:rPr>
          <w:color w:val="231F20"/>
          <w:spacing w:val="-13"/>
          <w:w w:val="110"/>
        </w:rPr>
        <w:t> </w:t>
      </w:r>
      <w:r>
        <w:rPr>
          <w:color w:val="231F20"/>
          <w:w w:val="110"/>
        </w:rPr>
        <w:t>activos</w:t>
      </w:r>
      <w:r>
        <w:rPr>
          <w:color w:val="231F20"/>
          <w:spacing w:val="-13"/>
          <w:w w:val="110"/>
        </w:rPr>
        <w:t> </w:t>
      </w:r>
      <w:r>
        <w:rPr>
          <w:color w:val="231F20"/>
          <w:w w:val="110"/>
        </w:rPr>
        <w:t>financieros,</w:t>
      </w:r>
      <w:r>
        <w:rPr>
          <w:color w:val="231F20"/>
          <w:spacing w:val="-13"/>
          <w:w w:val="110"/>
        </w:rPr>
        <w:t> </w:t>
      </w:r>
      <w:r>
        <w:rPr>
          <w:color w:val="231F20"/>
          <w:w w:val="110"/>
        </w:rPr>
        <w:t>cuyo</w:t>
      </w:r>
      <w:r>
        <w:rPr>
          <w:color w:val="231F20"/>
          <w:spacing w:val="-13"/>
          <w:w w:val="110"/>
        </w:rPr>
        <w:t> </w:t>
      </w:r>
      <w:r>
        <w:rPr>
          <w:color w:val="231F20"/>
          <w:w w:val="110"/>
        </w:rPr>
        <w:t>origen</w:t>
      </w:r>
      <w:r>
        <w:rPr>
          <w:color w:val="231F20"/>
          <w:spacing w:val="-13"/>
          <w:w w:val="110"/>
        </w:rPr>
        <w:t> </w:t>
      </w:r>
      <w:r>
        <w:rPr>
          <w:color w:val="231F20"/>
          <w:w w:val="110"/>
        </w:rPr>
        <w:t>eran</w:t>
      </w:r>
      <w:r>
        <w:rPr>
          <w:color w:val="231F20"/>
          <w:spacing w:val="-13"/>
          <w:w w:val="110"/>
        </w:rPr>
        <w:t> </w:t>
      </w:r>
      <w:r>
        <w:rPr>
          <w:color w:val="231F20"/>
          <w:w w:val="110"/>
        </w:rPr>
        <w:t>las</w:t>
      </w:r>
      <w:r>
        <w:rPr>
          <w:color w:val="231F20"/>
          <w:spacing w:val="-13"/>
          <w:w w:val="110"/>
        </w:rPr>
        <w:t> </w:t>
      </w:r>
      <w:r>
        <w:rPr>
          <w:color w:val="231F20"/>
          <w:w w:val="110"/>
        </w:rPr>
        <w:t>deudas</w:t>
      </w:r>
      <w:r>
        <w:rPr>
          <w:color w:val="231F20"/>
          <w:spacing w:val="-13"/>
          <w:w w:val="110"/>
        </w:rPr>
        <w:t> </w:t>
      </w:r>
      <w:r>
        <w:rPr>
          <w:color w:val="231F20"/>
          <w:w w:val="110"/>
        </w:rPr>
        <w:t>hipotecarias, fueron</w:t>
      </w:r>
      <w:r>
        <w:rPr>
          <w:color w:val="231F20"/>
          <w:spacing w:val="-8"/>
          <w:w w:val="110"/>
        </w:rPr>
        <w:t> </w:t>
      </w:r>
      <w:r>
        <w:rPr>
          <w:color w:val="231F20"/>
          <w:w w:val="110"/>
        </w:rPr>
        <w:t>emitidos</w:t>
      </w:r>
      <w:r>
        <w:rPr>
          <w:color w:val="231F20"/>
          <w:spacing w:val="-8"/>
          <w:w w:val="110"/>
        </w:rPr>
        <w:t> </w:t>
      </w:r>
      <w:r>
        <w:rPr>
          <w:color w:val="231F20"/>
          <w:w w:val="110"/>
        </w:rPr>
        <w:t>al</w:t>
      </w:r>
      <w:r>
        <w:rPr>
          <w:color w:val="231F20"/>
          <w:spacing w:val="-8"/>
          <w:w w:val="110"/>
        </w:rPr>
        <w:t> </w:t>
      </w:r>
      <w:r>
        <w:rPr>
          <w:color w:val="231F20"/>
          <w:w w:val="110"/>
        </w:rPr>
        <w:t>principio</w:t>
      </w:r>
      <w:r>
        <w:rPr>
          <w:color w:val="231F20"/>
          <w:spacing w:val="-8"/>
          <w:w w:val="110"/>
        </w:rPr>
        <w:t> </w:t>
      </w:r>
      <w:r>
        <w:rPr>
          <w:color w:val="231F20"/>
          <w:w w:val="110"/>
        </w:rPr>
        <w:t>con</w:t>
      </w:r>
      <w:r>
        <w:rPr>
          <w:color w:val="231F20"/>
          <w:spacing w:val="-8"/>
          <w:w w:val="110"/>
        </w:rPr>
        <w:t> </w:t>
      </w:r>
      <w:r>
        <w:rPr>
          <w:color w:val="231F20"/>
          <w:w w:val="110"/>
        </w:rPr>
        <w:t>una</w:t>
      </w:r>
      <w:r>
        <w:rPr>
          <w:color w:val="231F20"/>
          <w:spacing w:val="-8"/>
          <w:w w:val="110"/>
        </w:rPr>
        <w:t> </w:t>
      </w:r>
      <w:r>
        <w:rPr>
          <w:color w:val="231F20"/>
          <w:w w:val="110"/>
        </w:rPr>
        <w:t>elevada</w:t>
      </w:r>
      <w:r>
        <w:rPr>
          <w:color w:val="231F20"/>
          <w:spacing w:val="-8"/>
          <w:w w:val="110"/>
        </w:rPr>
        <w:t> </w:t>
      </w:r>
      <w:r>
        <w:rPr>
          <w:color w:val="231F20"/>
          <w:w w:val="110"/>
        </w:rPr>
        <w:t>solvencia;</w:t>
      </w:r>
      <w:r>
        <w:rPr>
          <w:color w:val="231F20"/>
          <w:spacing w:val="-8"/>
          <w:w w:val="110"/>
        </w:rPr>
        <w:t> </w:t>
      </w:r>
      <w:r>
        <w:rPr>
          <w:color w:val="231F20"/>
          <w:w w:val="110"/>
        </w:rPr>
        <w:t>sin</w:t>
      </w:r>
      <w:r>
        <w:rPr>
          <w:color w:val="231F20"/>
          <w:spacing w:val="-8"/>
          <w:w w:val="110"/>
        </w:rPr>
        <w:t> </w:t>
      </w:r>
      <w:r>
        <w:rPr>
          <w:color w:val="231F20"/>
          <w:w w:val="110"/>
        </w:rPr>
        <w:t>embargo, al</w:t>
      </w:r>
      <w:r>
        <w:rPr>
          <w:color w:val="231F20"/>
          <w:spacing w:val="-6"/>
          <w:w w:val="110"/>
        </w:rPr>
        <w:t> </w:t>
      </w:r>
      <w:r>
        <w:rPr>
          <w:color w:val="231F20"/>
          <w:w w:val="110"/>
        </w:rPr>
        <w:t>momento</w:t>
      </w:r>
      <w:r>
        <w:rPr>
          <w:color w:val="231F20"/>
          <w:spacing w:val="-6"/>
          <w:w w:val="110"/>
        </w:rPr>
        <w:t> </w:t>
      </w:r>
      <w:r>
        <w:rPr>
          <w:color w:val="231F20"/>
          <w:w w:val="110"/>
        </w:rPr>
        <w:t>de</w:t>
      </w:r>
      <w:r>
        <w:rPr>
          <w:color w:val="231F20"/>
          <w:spacing w:val="-6"/>
          <w:w w:val="110"/>
        </w:rPr>
        <w:t> </w:t>
      </w:r>
      <w:r>
        <w:rPr>
          <w:color w:val="231F20"/>
          <w:w w:val="110"/>
        </w:rPr>
        <w:t>ser</w:t>
      </w:r>
      <w:r>
        <w:rPr>
          <w:color w:val="231F20"/>
          <w:spacing w:val="-6"/>
          <w:w w:val="110"/>
        </w:rPr>
        <w:t> </w:t>
      </w:r>
      <w:r>
        <w:rPr>
          <w:color w:val="231F20"/>
          <w:w w:val="110"/>
        </w:rPr>
        <w:t>suscritos</w:t>
      </w:r>
      <w:r>
        <w:rPr>
          <w:color w:val="231F20"/>
          <w:spacing w:val="-6"/>
          <w:w w:val="110"/>
        </w:rPr>
        <w:t> </w:t>
      </w:r>
      <w:r>
        <w:rPr>
          <w:color w:val="231F20"/>
          <w:w w:val="110"/>
        </w:rPr>
        <w:t>por</w:t>
      </w:r>
      <w:r>
        <w:rPr>
          <w:color w:val="231F20"/>
          <w:spacing w:val="-6"/>
          <w:w w:val="110"/>
        </w:rPr>
        <w:t> </w:t>
      </w:r>
      <w:r>
        <w:rPr>
          <w:color w:val="231F20"/>
          <w:w w:val="110"/>
        </w:rPr>
        <w:t>entidades</w:t>
      </w:r>
      <w:r>
        <w:rPr>
          <w:color w:val="231F20"/>
          <w:spacing w:val="-6"/>
          <w:w w:val="110"/>
        </w:rPr>
        <w:t> </w:t>
      </w:r>
      <w:r>
        <w:rPr>
          <w:color w:val="231F20"/>
          <w:w w:val="110"/>
        </w:rPr>
        <w:t>sin</w:t>
      </w:r>
      <w:r>
        <w:rPr>
          <w:color w:val="231F20"/>
          <w:spacing w:val="-6"/>
          <w:w w:val="110"/>
        </w:rPr>
        <w:t> </w:t>
      </w:r>
      <w:r>
        <w:rPr>
          <w:color w:val="231F20"/>
          <w:w w:val="110"/>
        </w:rPr>
        <w:t>la</w:t>
      </w:r>
      <w:r>
        <w:rPr>
          <w:color w:val="231F20"/>
          <w:spacing w:val="-6"/>
          <w:w w:val="110"/>
        </w:rPr>
        <w:t> </w:t>
      </w:r>
      <w:r>
        <w:rPr>
          <w:color w:val="231F20"/>
          <w:w w:val="110"/>
        </w:rPr>
        <w:t>suficiente</w:t>
      </w:r>
      <w:r>
        <w:rPr>
          <w:color w:val="231F20"/>
          <w:spacing w:val="-6"/>
          <w:w w:val="110"/>
        </w:rPr>
        <w:t> </w:t>
      </w:r>
      <w:r>
        <w:rPr>
          <w:color w:val="231F20"/>
          <w:w w:val="110"/>
        </w:rPr>
        <w:t>capacidad</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73" w:right="117"/>
        <w:jc w:val="right"/>
        <w:rPr>
          <w:i/>
        </w:rPr>
      </w:pPr>
      <w:r>
        <w:rPr>
          <w:color w:val="231F20"/>
          <w:w w:val="110"/>
        </w:rPr>
        <w:t>financiera como para hacer frente a las obligaciones</w:t>
      </w:r>
      <w:r>
        <w:rPr>
          <w:color w:val="231F20"/>
          <w:spacing w:val="33"/>
          <w:w w:val="110"/>
        </w:rPr>
        <w:t> </w:t>
      </w:r>
      <w:r>
        <w:rPr>
          <w:color w:val="231F20"/>
          <w:w w:val="110"/>
        </w:rPr>
        <w:t>que</w:t>
      </w:r>
      <w:r>
        <w:rPr>
          <w:color w:val="231F20"/>
          <w:spacing w:val="4"/>
          <w:w w:val="110"/>
        </w:rPr>
        <w:t> </w:t>
      </w:r>
      <w:r>
        <w:rPr>
          <w:color w:val="231F20"/>
          <w:w w:val="110"/>
        </w:rPr>
        <w:t>conllevaba</w:t>
      </w:r>
      <w:r>
        <w:rPr>
          <w:color w:val="231F20"/>
          <w:spacing w:val="-2"/>
          <w:w w:val="106"/>
        </w:rPr>
        <w:t> </w:t>
      </w:r>
      <w:r>
        <w:rPr>
          <w:color w:val="231F20"/>
          <w:w w:val="110"/>
        </w:rPr>
        <w:t>su</w:t>
      </w:r>
      <w:r>
        <w:rPr>
          <w:color w:val="231F20"/>
          <w:spacing w:val="-18"/>
          <w:w w:val="110"/>
        </w:rPr>
        <w:t> </w:t>
      </w:r>
      <w:r>
        <w:rPr>
          <w:color w:val="231F20"/>
          <w:w w:val="110"/>
        </w:rPr>
        <w:t>emisión,</w:t>
      </w:r>
      <w:r>
        <w:rPr>
          <w:color w:val="231F20"/>
          <w:spacing w:val="-18"/>
          <w:w w:val="110"/>
        </w:rPr>
        <w:t> </w:t>
      </w:r>
      <w:r>
        <w:rPr>
          <w:color w:val="231F20"/>
          <w:w w:val="110"/>
        </w:rPr>
        <w:t>se</w:t>
      </w:r>
      <w:r>
        <w:rPr>
          <w:color w:val="231F20"/>
          <w:spacing w:val="-18"/>
          <w:w w:val="110"/>
        </w:rPr>
        <w:t> </w:t>
      </w:r>
      <w:r>
        <w:rPr>
          <w:color w:val="231F20"/>
          <w:w w:val="110"/>
        </w:rPr>
        <w:t>convirtieron</w:t>
      </w:r>
      <w:r>
        <w:rPr>
          <w:color w:val="231F20"/>
          <w:spacing w:val="-18"/>
          <w:w w:val="110"/>
        </w:rPr>
        <w:t> </w:t>
      </w:r>
      <w:r>
        <w:rPr>
          <w:color w:val="231F20"/>
          <w:w w:val="110"/>
        </w:rPr>
        <w:t>en</w:t>
      </w:r>
      <w:r>
        <w:rPr>
          <w:color w:val="231F20"/>
          <w:spacing w:val="-18"/>
          <w:w w:val="110"/>
        </w:rPr>
        <w:t> </w:t>
      </w:r>
      <w:r>
        <w:rPr>
          <w:color w:val="231F20"/>
          <w:w w:val="110"/>
        </w:rPr>
        <w:t>títulos</w:t>
      </w:r>
      <w:r>
        <w:rPr>
          <w:color w:val="231F20"/>
          <w:spacing w:val="-18"/>
          <w:w w:val="110"/>
        </w:rPr>
        <w:t> </w:t>
      </w:r>
      <w:r>
        <w:rPr>
          <w:color w:val="231F20"/>
          <w:w w:val="110"/>
        </w:rPr>
        <w:t>de</w:t>
      </w:r>
      <w:r>
        <w:rPr>
          <w:color w:val="231F20"/>
          <w:spacing w:val="-18"/>
          <w:w w:val="110"/>
        </w:rPr>
        <w:t> </w:t>
      </w:r>
      <w:r>
        <w:rPr>
          <w:color w:val="231F20"/>
          <w:w w:val="110"/>
        </w:rPr>
        <w:t>alto</w:t>
      </w:r>
      <w:r>
        <w:rPr>
          <w:color w:val="231F20"/>
          <w:spacing w:val="-18"/>
          <w:w w:val="110"/>
        </w:rPr>
        <w:t> </w:t>
      </w:r>
      <w:r>
        <w:rPr>
          <w:color w:val="231F20"/>
          <w:w w:val="110"/>
        </w:rPr>
        <w:t>riesgo.</w:t>
      </w:r>
      <w:r>
        <w:rPr>
          <w:color w:val="231F20"/>
          <w:spacing w:val="-18"/>
          <w:w w:val="110"/>
        </w:rPr>
        <w:t> </w:t>
      </w:r>
      <w:r>
        <w:rPr>
          <w:color w:val="231F20"/>
          <w:w w:val="110"/>
        </w:rPr>
        <w:t>Luego,</w:t>
      </w:r>
      <w:r>
        <w:rPr>
          <w:color w:val="231F20"/>
          <w:spacing w:val="-18"/>
          <w:w w:val="110"/>
        </w:rPr>
        <w:t> </w:t>
      </w:r>
      <w:r>
        <w:rPr>
          <w:color w:val="231F20"/>
          <w:w w:val="110"/>
        </w:rPr>
        <w:t>cuando</w:t>
      </w:r>
      <w:r>
        <w:rPr>
          <w:color w:val="231F20"/>
          <w:spacing w:val="-18"/>
          <w:w w:val="110"/>
        </w:rPr>
        <w:t> </w:t>
      </w:r>
      <w:r>
        <w:rPr>
          <w:color w:val="231F20"/>
          <w:spacing w:val="-2"/>
          <w:w w:val="110"/>
        </w:rPr>
        <w:t>las</w:t>
      </w:r>
      <w:r>
        <w:rPr>
          <w:color w:val="231F20"/>
          <w:spacing w:val="-2"/>
          <w:w w:val="100"/>
        </w:rPr>
        <w:t> </w:t>
      </w:r>
      <w:r>
        <w:rPr>
          <w:color w:val="231F20"/>
          <w:w w:val="110"/>
        </w:rPr>
        <w:t>hipotecas</w:t>
      </w:r>
      <w:r>
        <w:rPr>
          <w:color w:val="231F20"/>
          <w:spacing w:val="-22"/>
          <w:w w:val="110"/>
        </w:rPr>
        <w:t> </w:t>
      </w:r>
      <w:r>
        <w:rPr>
          <w:color w:val="231F20"/>
          <w:w w:val="110"/>
        </w:rPr>
        <w:t>de</w:t>
      </w:r>
      <w:r>
        <w:rPr>
          <w:color w:val="231F20"/>
          <w:spacing w:val="-22"/>
          <w:w w:val="110"/>
        </w:rPr>
        <w:t> </w:t>
      </w:r>
      <w:r>
        <w:rPr>
          <w:color w:val="231F20"/>
          <w:w w:val="110"/>
        </w:rPr>
        <w:t>alto</w:t>
      </w:r>
      <w:r>
        <w:rPr>
          <w:color w:val="231F20"/>
          <w:spacing w:val="-22"/>
          <w:w w:val="110"/>
        </w:rPr>
        <w:t> </w:t>
      </w:r>
      <w:r>
        <w:rPr>
          <w:color w:val="231F20"/>
          <w:w w:val="110"/>
        </w:rPr>
        <w:t>riesgo,</w:t>
      </w:r>
      <w:r>
        <w:rPr>
          <w:color w:val="231F20"/>
          <w:spacing w:val="-22"/>
          <w:w w:val="110"/>
        </w:rPr>
        <w:t> </w:t>
      </w:r>
      <w:r>
        <w:rPr>
          <w:color w:val="231F20"/>
          <w:w w:val="110"/>
        </w:rPr>
        <w:t>llamadas</w:t>
      </w:r>
      <w:r>
        <w:rPr>
          <w:color w:val="231F20"/>
          <w:spacing w:val="-22"/>
          <w:w w:val="110"/>
        </w:rPr>
        <w:t> </w:t>
      </w:r>
      <w:r>
        <w:rPr>
          <w:i/>
          <w:color w:val="231F20"/>
          <w:w w:val="110"/>
        </w:rPr>
        <w:t>subprime</w:t>
      </w:r>
      <w:r>
        <w:rPr>
          <w:color w:val="231F20"/>
          <w:w w:val="110"/>
        </w:rPr>
        <w:t>,</w:t>
      </w:r>
      <w:r>
        <w:rPr>
          <w:color w:val="231F20"/>
          <w:spacing w:val="-22"/>
          <w:w w:val="110"/>
        </w:rPr>
        <w:t> </w:t>
      </w:r>
      <w:r>
        <w:rPr>
          <w:color w:val="231F20"/>
          <w:w w:val="110"/>
        </w:rPr>
        <w:t>perdieron</w:t>
      </w:r>
      <w:r>
        <w:rPr>
          <w:color w:val="231F20"/>
          <w:spacing w:val="-22"/>
          <w:w w:val="110"/>
        </w:rPr>
        <w:t> </w:t>
      </w:r>
      <w:r>
        <w:rPr>
          <w:color w:val="231F20"/>
          <w:w w:val="110"/>
        </w:rPr>
        <w:t>su</w:t>
      </w:r>
      <w:r>
        <w:rPr>
          <w:color w:val="231F20"/>
          <w:spacing w:val="-22"/>
          <w:w w:val="110"/>
        </w:rPr>
        <w:t> </w:t>
      </w:r>
      <w:r>
        <w:rPr>
          <w:color w:val="231F20"/>
          <w:w w:val="110"/>
        </w:rPr>
        <w:t>valor</w:t>
      </w:r>
      <w:r>
        <w:rPr>
          <w:color w:val="231F20"/>
          <w:spacing w:val="-22"/>
          <w:w w:val="110"/>
        </w:rPr>
        <w:t> </w:t>
      </w:r>
      <w:r>
        <w:rPr>
          <w:color w:val="231F20"/>
          <w:spacing w:val="-2"/>
          <w:w w:val="110"/>
        </w:rPr>
        <w:t>debido</w:t>
      </w:r>
      <w:r>
        <w:rPr>
          <w:color w:val="231F20"/>
          <w:spacing w:val="-2"/>
          <w:w w:val="112"/>
        </w:rPr>
        <w:t> </w:t>
      </w:r>
      <w:r>
        <w:rPr>
          <w:color w:val="231F20"/>
          <w:w w:val="110"/>
        </w:rPr>
        <w:t>a que los titulares de las hipotecas dejaban de </w:t>
      </w:r>
      <w:r>
        <w:rPr>
          <w:color w:val="231F20"/>
          <w:spacing w:val="-5"/>
          <w:w w:val="110"/>
        </w:rPr>
        <w:t>pagar, </w:t>
      </w:r>
      <w:r>
        <w:rPr>
          <w:color w:val="231F20"/>
          <w:w w:val="110"/>
        </w:rPr>
        <w:t>los</w:t>
      </w:r>
      <w:r>
        <w:rPr>
          <w:color w:val="231F20"/>
          <w:spacing w:val="28"/>
          <w:w w:val="110"/>
        </w:rPr>
        <w:t> </w:t>
      </w:r>
      <w:r>
        <w:rPr>
          <w:color w:val="231F20"/>
          <w:w w:val="110"/>
        </w:rPr>
        <w:t>bancos</w:t>
      </w:r>
      <w:r>
        <w:rPr>
          <w:color w:val="231F20"/>
          <w:spacing w:val="7"/>
          <w:w w:val="110"/>
        </w:rPr>
        <w:t> </w:t>
      </w:r>
      <w:r>
        <w:rPr>
          <w:color w:val="231F20"/>
          <w:spacing w:val="-2"/>
          <w:w w:val="110"/>
        </w:rPr>
        <w:t>que</w:t>
      </w:r>
      <w:r>
        <w:rPr>
          <w:color w:val="231F20"/>
          <w:spacing w:val="-2"/>
          <w:w w:val="113"/>
        </w:rPr>
        <w:t> </w:t>
      </w:r>
      <w:r>
        <w:rPr>
          <w:color w:val="231F20"/>
          <w:w w:val="110"/>
        </w:rPr>
        <w:t>las habían emitido, primero, y después los que las</w:t>
      </w:r>
      <w:r>
        <w:rPr>
          <w:color w:val="231F20"/>
          <w:spacing w:val="15"/>
          <w:w w:val="110"/>
        </w:rPr>
        <w:t> </w:t>
      </w:r>
      <w:r>
        <w:rPr>
          <w:color w:val="231F20"/>
          <w:w w:val="110"/>
        </w:rPr>
        <w:t>habían</w:t>
      </w:r>
      <w:r>
        <w:rPr>
          <w:color w:val="231F20"/>
          <w:spacing w:val="7"/>
          <w:w w:val="110"/>
        </w:rPr>
        <w:t> </w:t>
      </w:r>
      <w:r>
        <w:rPr>
          <w:color w:val="231F20"/>
          <w:w w:val="110"/>
        </w:rPr>
        <w:t>adquirido</w:t>
      </w:r>
      <w:r>
        <w:rPr>
          <w:color w:val="231F20"/>
          <w:spacing w:val="-2"/>
          <w:w w:val="112"/>
        </w:rPr>
        <w:t> </w:t>
      </w:r>
      <w:r>
        <w:rPr>
          <w:color w:val="231F20"/>
          <w:w w:val="110"/>
        </w:rPr>
        <w:t>en</w:t>
      </w:r>
      <w:r>
        <w:rPr>
          <w:color w:val="231F20"/>
          <w:spacing w:val="-17"/>
          <w:w w:val="110"/>
        </w:rPr>
        <w:t> </w:t>
      </w:r>
      <w:r>
        <w:rPr>
          <w:color w:val="231F20"/>
          <w:w w:val="110"/>
        </w:rPr>
        <w:t>sucesivas</w:t>
      </w:r>
      <w:r>
        <w:rPr>
          <w:color w:val="231F20"/>
          <w:spacing w:val="-17"/>
          <w:w w:val="110"/>
        </w:rPr>
        <w:t> </w:t>
      </w:r>
      <w:r>
        <w:rPr>
          <w:color w:val="231F20"/>
          <w:w w:val="110"/>
        </w:rPr>
        <w:t>operaciones</w:t>
      </w:r>
      <w:r>
        <w:rPr>
          <w:color w:val="231F20"/>
          <w:spacing w:val="-17"/>
          <w:w w:val="110"/>
        </w:rPr>
        <w:t> </w:t>
      </w:r>
      <w:r>
        <w:rPr>
          <w:color w:val="231F20"/>
          <w:w w:val="110"/>
        </w:rPr>
        <w:t>de</w:t>
      </w:r>
      <w:r>
        <w:rPr>
          <w:color w:val="231F20"/>
          <w:spacing w:val="-17"/>
          <w:w w:val="110"/>
        </w:rPr>
        <w:t> </w:t>
      </w:r>
      <w:r>
        <w:rPr>
          <w:color w:val="231F20"/>
          <w:w w:val="110"/>
        </w:rPr>
        <w:t>titularización,</w:t>
      </w:r>
      <w:r>
        <w:rPr>
          <w:color w:val="231F20"/>
          <w:spacing w:val="-17"/>
          <w:w w:val="110"/>
        </w:rPr>
        <w:t> </w:t>
      </w:r>
      <w:r>
        <w:rPr>
          <w:color w:val="231F20"/>
          <w:w w:val="110"/>
        </w:rPr>
        <w:t>tuvieron</w:t>
      </w:r>
      <w:r>
        <w:rPr>
          <w:color w:val="231F20"/>
          <w:spacing w:val="-17"/>
          <w:w w:val="110"/>
        </w:rPr>
        <w:t> </w:t>
      </w:r>
      <w:r>
        <w:rPr>
          <w:color w:val="231F20"/>
          <w:w w:val="110"/>
        </w:rPr>
        <w:t>que</w:t>
      </w:r>
      <w:r>
        <w:rPr>
          <w:color w:val="231F20"/>
          <w:spacing w:val="-17"/>
          <w:w w:val="110"/>
        </w:rPr>
        <w:t> </w:t>
      </w:r>
      <w:r>
        <w:rPr>
          <w:color w:val="231F20"/>
          <w:w w:val="110"/>
        </w:rPr>
        <w:t>ir</w:t>
      </w:r>
      <w:r>
        <w:rPr>
          <w:color w:val="231F20"/>
          <w:spacing w:val="-17"/>
          <w:w w:val="110"/>
        </w:rPr>
        <w:t> </w:t>
      </w:r>
      <w:r>
        <w:rPr>
          <w:color w:val="231F20"/>
          <w:w w:val="110"/>
        </w:rPr>
        <w:t>registrando</w:t>
      </w:r>
      <w:r>
        <w:rPr>
          <w:color w:val="231F20"/>
          <w:spacing w:val="-2"/>
          <w:w w:val="111"/>
        </w:rPr>
        <w:t> </w:t>
      </w:r>
      <w:r>
        <w:rPr>
          <w:color w:val="231F20"/>
          <w:w w:val="110"/>
        </w:rPr>
        <w:t>en</w:t>
      </w:r>
      <w:r>
        <w:rPr>
          <w:color w:val="231F20"/>
          <w:spacing w:val="-38"/>
          <w:w w:val="110"/>
        </w:rPr>
        <w:t> </w:t>
      </w:r>
      <w:r>
        <w:rPr>
          <w:color w:val="231F20"/>
          <w:w w:val="110"/>
        </w:rPr>
        <w:t>sus</w:t>
      </w:r>
      <w:r>
        <w:rPr>
          <w:color w:val="231F20"/>
          <w:spacing w:val="-38"/>
          <w:w w:val="110"/>
        </w:rPr>
        <w:t> </w:t>
      </w:r>
      <w:r>
        <w:rPr>
          <w:color w:val="231F20"/>
          <w:w w:val="110"/>
        </w:rPr>
        <w:t>balances</w:t>
      </w:r>
      <w:r>
        <w:rPr>
          <w:color w:val="231F20"/>
          <w:spacing w:val="-38"/>
          <w:w w:val="110"/>
        </w:rPr>
        <w:t> </w:t>
      </w:r>
      <w:r>
        <w:rPr>
          <w:color w:val="231F20"/>
          <w:w w:val="110"/>
        </w:rPr>
        <w:t>las</w:t>
      </w:r>
      <w:r>
        <w:rPr>
          <w:color w:val="231F20"/>
          <w:spacing w:val="-38"/>
          <w:w w:val="110"/>
        </w:rPr>
        <w:t> </w:t>
      </w:r>
      <w:r>
        <w:rPr>
          <w:color w:val="231F20"/>
          <w:w w:val="110"/>
        </w:rPr>
        <w:t>inevitables</w:t>
      </w:r>
      <w:r>
        <w:rPr>
          <w:color w:val="231F20"/>
          <w:spacing w:val="-38"/>
          <w:w w:val="110"/>
        </w:rPr>
        <w:t> </w:t>
      </w:r>
      <w:r>
        <w:rPr>
          <w:color w:val="231F20"/>
          <w:w w:val="110"/>
        </w:rPr>
        <w:t>pérdidas</w:t>
      </w:r>
      <w:r>
        <w:rPr>
          <w:color w:val="231F20"/>
          <w:spacing w:val="-38"/>
          <w:w w:val="110"/>
        </w:rPr>
        <w:t> </w:t>
      </w:r>
      <w:r>
        <w:rPr>
          <w:color w:val="231F20"/>
          <w:w w:val="110"/>
        </w:rPr>
        <w:t>patrimoniales</w:t>
      </w:r>
      <w:r>
        <w:rPr>
          <w:color w:val="231F20"/>
          <w:spacing w:val="-38"/>
          <w:w w:val="110"/>
        </w:rPr>
        <w:t> </w:t>
      </w:r>
      <w:r>
        <w:rPr>
          <w:color w:val="231F20"/>
          <w:w w:val="110"/>
        </w:rPr>
        <w:t>correspondientes</w:t>
      </w:r>
      <w:r>
        <w:rPr>
          <w:color w:val="231F20"/>
          <w:spacing w:val="-2"/>
          <w:w w:val="111"/>
        </w:rPr>
        <w:t> </w:t>
      </w:r>
      <w:r>
        <w:rPr>
          <w:color w:val="231F20"/>
          <w:w w:val="110"/>
        </w:rPr>
        <w:t>pues</w:t>
      </w:r>
      <w:r>
        <w:rPr>
          <w:color w:val="231F20"/>
          <w:spacing w:val="-27"/>
          <w:w w:val="110"/>
        </w:rPr>
        <w:t> </w:t>
      </w:r>
      <w:r>
        <w:rPr>
          <w:color w:val="231F20"/>
          <w:w w:val="110"/>
        </w:rPr>
        <w:t>los</w:t>
      </w:r>
      <w:r>
        <w:rPr>
          <w:color w:val="231F20"/>
          <w:spacing w:val="-27"/>
          <w:w w:val="110"/>
        </w:rPr>
        <w:t> </w:t>
      </w:r>
      <w:r>
        <w:rPr>
          <w:color w:val="231F20"/>
          <w:w w:val="110"/>
        </w:rPr>
        <w:t>precios</w:t>
      </w:r>
      <w:r>
        <w:rPr>
          <w:color w:val="231F20"/>
          <w:spacing w:val="-27"/>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títulos</w:t>
      </w:r>
      <w:r>
        <w:rPr>
          <w:color w:val="231F20"/>
          <w:spacing w:val="-27"/>
          <w:w w:val="110"/>
        </w:rPr>
        <w:t> </w:t>
      </w:r>
      <w:r>
        <w:rPr>
          <w:color w:val="231F20"/>
          <w:w w:val="110"/>
        </w:rPr>
        <w:t>adquiridos</w:t>
      </w:r>
      <w:r>
        <w:rPr>
          <w:color w:val="231F20"/>
          <w:spacing w:val="-27"/>
          <w:w w:val="110"/>
        </w:rPr>
        <w:t> </w:t>
      </w:r>
      <w:r>
        <w:rPr>
          <w:color w:val="231F20"/>
          <w:w w:val="110"/>
        </w:rPr>
        <w:t>disminuían</w:t>
      </w:r>
      <w:r>
        <w:rPr>
          <w:color w:val="231F20"/>
          <w:spacing w:val="-27"/>
          <w:w w:val="110"/>
        </w:rPr>
        <w:t> </w:t>
      </w:r>
      <w:r>
        <w:rPr>
          <w:color w:val="231F20"/>
          <w:w w:val="110"/>
        </w:rPr>
        <w:t>apresuradamente.</w:t>
      </w:r>
      <w:r>
        <w:rPr>
          <w:color w:val="231F20"/>
          <w:spacing w:val="-2"/>
          <w:w w:val="112"/>
        </w:rPr>
        <w:t> </w:t>
      </w:r>
      <w:r>
        <w:rPr>
          <w:color w:val="231F20"/>
          <w:w w:val="110"/>
        </w:rPr>
        <w:t>En ese momento estalló la crisis hipotecaria en Estados</w:t>
      </w:r>
      <w:r>
        <w:rPr>
          <w:color w:val="231F20"/>
          <w:spacing w:val="-7"/>
          <w:w w:val="110"/>
        </w:rPr>
        <w:t> </w:t>
      </w:r>
      <w:r>
        <w:rPr>
          <w:color w:val="231F20"/>
          <w:w w:val="110"/>
        </w:rPr>
        <w:t>Unidos</w:t>
      </w:r>
      <w:r>
        <w:rPr>
          <w:color w:val="231F20"/>
          <w:spacing w:val="-1"/>
          <w:w w:val="110"/>
        </w:rPr>
        <w:t> </w:t>
      </w:r>
      <w:r>
        <w:rPr>
          <w:color w:val="231F20"/>
          <w:spacing w:val="-8"/>
          <w:w w:val="110"/>
        </w:rPr>
        <w:t>y,</w:t>
      </w:r>
      <w:r>
        <w:rPr>
          <w:color w:val="231F20"/>
          <w:w w:val="104"/>
        </w:rPr>
        <w:t> </w:t>
      </w:r>
      <w:r>
        <w:rPr>
          <w:color w:val="231F20"/>
          <w:w w:val="110"/>
        </w:rPr>
        <w:t>entonces, muchas instituciones financieras y bancos de</w:t>
      </w:r>
      <w:r>
        <w:rPr>
          <w:color w:val="231F20"/>
          <w:spacing w:val="14"/>
          <w:w w:val="110"/>
        </w:rPr>
        <w:t> </w:t>
      </w:r>
      <w:r>
        <w:rPr>
          <w:color w:val="231F20"/>
          <w:w w:val="110"/>
        </w:rPr>
        <w:t>todos</w:t>
      </w:r>
      <w:r>
        <w:rPr>
          <w:color w:val="231F20"/>
          <w:spacing w:val="10"/>
          <w:w w:val="110"/>
        </w:rPr>
        <w:t> </w:t>
      </w:r>
      <w:r>
        <w:rPr>
          <w:color w:val="231F20"/>
          <w:w w:val="110"/>
        </w:rPr>
        <w:t>tama-</w:t>
      </w:r>
      <w:r>
        <w:rPr>
          <w:color w:val="231F20"/>
          <w:w w:val="72"/>
        </w:rPr>
        <w:t> </w:t>
      </w:r>
      <w:r>
        <w:rPr>
          <w:color w:val="231F20"/>
          <w:w w:val="110"/>
        </w:rPr>
        <w:t>ños,</w:t>
      </w:r>
      <w:r>
        <w:rPr>
          <w:color w:val="231F20"/>
          <w:spacing w:val="27"/>
          <w:w w:val="110"/>
        </w:rPr>
        <w:t> </w:t>
      </w:r>
      <w:r>
        <w:rPr>
          <w:color w:val="231F20"/>
          <w:w w:val="110"/>
        </w:rPr>
        <w:t>empezaron</w:t>
      </w:r>
      <w:r>
        <w:rPr>
          <w:color w:val="231F20"/>
          <w:spacing w:val="27"/>
          <w:w w:val="110"/>
        </w:rPr>
        <w:t> </w:t>
      </w:r>
      <w:r>
        <w:rPr>
          <w:color w:val="231F20"/>
          <w:w w:val="110"/>
        </w:rPr>
        <w:t>a</w:t>
      </w:r>
      <w:r>
        <w:rPr>
          <w:color w:val="231F20"/>
          <w:spacing w:val="27"/>
          <w:w w:val="110"/>
        </w:rPr>
        <w:t> </w:t>
      </w:r>
      <w:r>
        <w:rPr>
          <w:color w:val="231F20"/>
          <w:w w:val="110"/>
        </w:rPr>
        <w:t>quebrar</w:t>
      </w:r>
      <w:r>
        <w:rPr>
          <w:color w:val="231F20"/>
          <w:spacing w:val="27"/>
          <w:w w:val="110"/>
        </w:rPr>
        <w:t> </w:t>
      </w:r>
      <w:r>
        <w:rPr>
          <w:color w:val="231F20"/>
          <w:w w:val="110"/>
        </w:rPr>
        <w:t>o</w:t>
      </w:r>
      <w:r>
        <w:rPr>
          <w:color w:val="231F20"/>
          <w:spacing w:val="27"/>
          <w:w w:val="110"/>
        </w:rPr>
        <w:t> </w:t>
      </w:r>
      <w:r>
        <w:rPr>
          <w:color w:val="231F20"/>
          <w:w w:val="110"/>
        </w:rPr>
        <w:t>a</w:t>
      </w:r>
      <w:r>
        <w:rPr>
          <w:color w:val="231F20"/>
          <w:spacing w:val="27"/>
          <w:w w:val="110"/>
        </w:rPr>
        <w:t> </w:t>
      </w:r>
      <w:r>
        <w:rPr>
          <w:color w:val="231F20"/>
          <w:w w:val="110"/>
        </w:rPr>
        <w:t>mostrar</w:t>
      </w:r>
      <w:r>
        <w:rPr>
          <w:color w:val="231F20"/>
          <w:spacing w:val="27"/>
          <w:w w:val="110"/>
        </w:rPr>
        <w:t> </w:t>
      </w:r>
      <w:r>
        <w:rPr>
          <w:color w:val="231F20"/>
          <w:w w:val="110"/>
        </w:rPr>
        <w:t>pérdidas</w:t>
      </w:r>
      <w:r>
        <w:rPr>
          <w:color w:val="231F20"/>
          <w:spacing w:val="27"/>
          <w:w w:val="110"/>
        </w:rPr>
        <w:t> </w:t>
      </w:r>
      <w:r>
        <w:rPr>
          <w:color w:val="231F20"/>
          <w:w w:val="110"/>
        </w:rPr>
        <w:t>muy</w:t>
      </w:r>
      <w:r>
        <w:rPr>
          <w:color w:val="231F20"/>
          <w:spacing w:val="27"/>
          <w:w w:val="110"/>
        </w:rPr>
        <w:t> </w:t>
      </w:r>
      <w:r>
        <w:rPr>
          <w:color w:val="231F20"/>
          <w:w w:val="110"/>
        </w:rPr>
        <w:t>elevadas.</w:t>
      </w:r>
      <w:r>
        <w:rPr>
          <w:color w:val="231F20"/>
          <w:spacing w:val="27"/>
          <w:w w:val="110"/>
        </w:rPr>
        <w:t> </w:t>
      </w:r>
      <w:r>
        <w:rPr>
          <w:color w:val="231F20"/>
          <w:w w:val="110"/>
        </w:rPr>
        <w:t>En</w:t>
      </w:r>
      <w:r>
        <w:rPr>
          <w:color w:val="231F20"/>
          <w:w w:val="109"/>
        </w:rPr>
        <w:t> </w:t>
      </w:r>
      <w:r>
        <w:rPr>
          <w:color w:val="231F20"/>
          <w:w w:val="110"/>
        </w:rPr>
        <w:t>efecto, a finales de mayo de 2009, la Corporación Federal</w:t>
      </w:r>
      <w:r>
        <w:rPr>
          <w:color w:val="231F20"/>
          <w:spacing w:val="15"/>
          <w:w w:val="110"/>
        </w:rPr>
        <w:t> </w:t>
      </w:r>
      <w:r>
        <w:rPr>
          <w:color w:val="231F20"/>
          <w:w w:val="110"/>
        </w:rPr>
        <w:t>de</w:t>
      </w:r>
      <w:r>
        <w:rPr>
          <w:color w:val="231F20"/>
          <w:spacing w:val="7"/>
          <w:w w:val="110"/>
        </w:rPr>
        <w:t> </w:t>
      </w:r>
      <w:r>
        <w:rPr>
          <w:color w:val="231F20"/>
          <w:w w:val="110"/>
        </w:rPr>
        <w:t>Segu-</w:t>
      </w:r>
      <w:r>
        <w:rPr>
          <w:color w:val="231F20"/>
          <w:w w:val="72"/>
        </w:rPr>
        <w:t> </w:t>
      </w:r>
      <w:r>
        <w:rPr>
          <w:color w:val="231F20"/>
          <w:w w:val="110"/>
        </w:rPr>
        <w:t>ros de Depósitos (fedic) informaba que “el número de</w:t>
      </w:r>
      <w:r>
        <w:rPr>
          <w:color w:val="231F20"/>
          <w:spacing w:val="26"/>
          <w:w w:val="110"/>
        </w:rPr>
        <w:t> </w:t>
      </w:r>
      <w:r>
        <w:rPr>
          <w:color w:val="231F20"/>
          <w:w w:val="110"/>
        </w:rPr>
        <w:t>bancos</w:t>
      </w:r>
      <w:r>
        <w:rPr>
          <w:color w:val="231F20"/>
          <w:spacing w:val="21"/>
          <w:w w:val="110"/>
        </w:rPr>
        <w:t> </w:t>
      </w:r>
      <w:r>
        <w:rPr>
          <w:color w:val="231F20"/>
          <w:w w:val="110"/>
        </w:rPr>
        <w:t>con</w:t>
      </w:r>
      <w:r>
        <w:rPr>
          <w:color w:val="231F20"/>
          <w:w w:val="112"/>
        </w:rPr>
        <w:t> </w:t>
      </w:r>
      <w:r>
        <w:rPr>
          <w:color w:val="231F20"/>
          <w:w w:val="110"/>
        </w:rPr>
        <w:t>problemas</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se</w:t>
      </w:r>
      <w:r>
        <w:rPr>
          <w:color w:val="231F20"/>
          <w:spacing w:val="-8"/>
          <w:w w:val="110"/>
        </w:rPr>
        <w:t> </w:t>
      </w:r>
      <w:r>
        <w:rPr>
          <w:color w:val="231F20"/>
          <w:w w:val="110"/>
        </w:rPr>
        <w:t>había</w:t>
      </w:r>
      <w:r>
        <w:rPr>
          <w:color w:val="231F20"/>
          <w:spacing w:val="-8"/>
          <w:w w:val="110"/>
        </w:rPr>
        <w:t> </w:t>
      </w:r>
      <w:r>
        <w:rPr>
          <w:color w:val="231F20"/>
          <w:w w:val="110"/>
        </w:rPr>
        <w:t>elevado</w:t>
      </w:r>
      <w:r>
        <w:rPr>
          <w:color w:val="231F20"/>
          <w:spacing w:val="-8"/>
          <w:w w:val="110"/>
        </w:rPr>
        <w:t> </w:t>
      </w:r>
      <w:r>
        <w:rPr>
          <w:color w:val="231F20"/>
          <w:w w:val="110"/>
        </w:rPr>
        <w:t>de</w:t>
      </w:r>
      <w:r>
        <w:rPr>
          <w:color w:val="231F20"/>
          <w:spacing w:val="-8"/>
          <w:w w:val="110"/>
        </w:rPr>
        <w:t> </w:t>
      </w:r>
      <w:r>
        <w:rPr>
          <w:color w:val="231F20"/>
          <w:w w:val="110"/>
        </w:rPr>
        <w:t>252</w:t>
      </w:r>
      <w:r>
        <w:rPr>
          <w:color w:val="231F20"/>
          <w:spacing w:val="-8"/>
          <w:w w:val="110"/>
        </w:rPr>
        <w:t> </w:t>
      </w:r>
      <w:r>
        <w:rPr>
          <w:color w:val="231F20"/>
          <w:w w:val="110"/>
        </w:rPr>
        <w:t>con</w:t>
      </w:r>
      <w:r>
        <w:rPr>
          <w:color w:val="231F20"/>
          <w:spacing w:val="-8"/>
          <w:w w:val="110"/>
        </w:rPr>
        <w:t> </w:t>
      </w:r>
      <w:r>
        <w:rPr>
          <w:color w:val="231F20"/>
          <w:w w:val="110"/>
        </w:rPr>
        <w:t>activos</w:t>
      </w:r>
      <w:r>
        <w:rPr>
          <w:color w:val="231F20"/>
          <w:spacing w:val="-8"/>
          <w:w w:val="110"/>
        </w:rPr>
        <w:t> </w:t>
      </w:r>
      <w:r>
        <w:rPr>
          <w:color w:val="231F20"/>
          <w:w w:val="110"/>
        </w:rPr>
        <w:t>de</w:t>
      </w:r>
      <w:r>
        <w:rPr>
          <w:color w:val="231F20"/>
          <w:w w:val="114"/>
        </w:rPr>
        <w:t> </w:t>
      </w:r>
      <w:r>
        <w:rPr>
          <w:color w:val="231F20"/>
          <w:w w:val="110"/>
        </w:rPr>
        <w:t>159</w:t>
      </w:r>
      <w:r>
        <w:rPr>
          <w:color w:val="231F20"/>
          <w:spacing w:val="-5"/>
          <w:w w:val="110"/>
        </w:rPr>
        <w:t> </w:t>
      </w:r>
      <w:r>
        <w:rPr>
          <w:color w:val="231F20"/>
          <w:w w:val="110"/>
        </w:rPr>
        <w:t>mil</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dólares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último</w:t>
      </w:r>
      <w:r>
        <w:rPr>
          <w:color w:val="231F20"/>
          <w:spacing w:val="-5"/>
          <w:w w:val="110"/>
        </w:rPr>
        <w:t> </w:t>
      </w:r>
      <w:r>
        <w:rPr>
          <w:color w:val="231F20"/>
          <w:w w:val="110"/>
        </w:rPr>
        <w:t>trimestre</w:t>
      </w:r>
      <w:r>
        <w:rPr>
          <w:color w:val="231F20"/>
          <w:spacing w:val="-5"/>
          <w:w w:val="110"/>
        </w:rPr>
        <w:t> </w:t>
      </w:r>
      <w:r>
        <w:rPr>
          <w:color w:val="231F20"/>
          <w:w w:val="110"/>
        </w:rPr>
        <w:t>de</w:t>
      </w:r>
      <w:r>
        <w:rPr>
          <w:color w:val="231F20"/>
          <w:spacing w:val="-5"/>
          <w:w w:val="110"/>
        </w:rPr>
        <w:t> </w:t>
      </w:r>
      <w:r>
        <w:rPr>
          <w:color w:val="231F20"/>
          <w:w w:val="110"/>
        </w:rPr>
        <w:t>2008</w:t>
      </w:r>
      <w:r>
        <w:rPr>
          <w:color w:val="231F20"/>
          <w:spacing w:val="-5"/>
          <w:w w:val="110"/>
        </w:rPr>
        <w:t> </w:t>
      </w:r>
      <w:r>
        <w:rPr>
          <w:color w:val="231F20"/>
          <w:w w:val="110"/>
        </w:rPr>
        <w:t>a</w:t>
      </w:r>
      <w:r>
        <w:rPr>
          <w:color w:val="231F20"/>
          <w:spacing w:val="-5"/>
          <w:w w:val="110"/>
        </w:rPr>
        <w:t> </w:t>
      </w:r>
      <w:r>
        <w:rPr>
          <w:color w:val="231F20"/>
          <w:w w:val="110"/>
        </w:rPr>
        <w:t>305</w:t>
      </w:r>
      <w:r>
        <w:rPr>
          <w:color w:val="231F20"/>
          <w:spacing w:val="-5"/>
          <w:w w:val="110"/>
        </w:rPr>
        <w:t> </w:t>
      </w:r>
      <w:r>
        <w:rPr>
          <w:color w:val="231F20"/>
          <w:w w:val="110"/>
        </w:rPr>
        <w:t>con</w:t>
      </w:r>
      <w:r>
        <w:rPr>
          <w:color w:val="231F20"/>
          <w:w w:val="112"/>
        </w:rPr>
        <w:t> </w:t>
      </w:r>
      <w:r>
        <w:rPr>
          <w:color w:val="231F20"/>
          <w:w w:val="110"/>
        </w:rPr>
        <w:t>220 mil millones en sus balances en el mismo lapso de</w:t>
      </w:r>
      <w:r>
        <w:rPr>
          <w:color w:val="231F20"/>
          <w:spacing w:val="35"/>
          <w:w w:val="110"/>
        </w:rPr>
        <w:t> </w:t>
      </w:r>
      <w:r>
        <w:rPr>
          <w:color w:val="231F20"/>
          <w:w w:val="110"/>
        </w:rPr>
        <w:t>2009”.</w:t>
      </w:r>
      <w:r>
        <w:rPr>
          <w:color w:val="231F20"/>
          <w:spacing w:val="8"/>
          <w:w w:val="110"/>
        </w:rPr>
        <w:t> </w:t>
      </w:r>
      <w:r>
        <w:rPr>
          <w:color w:val="231F20"/>
          <w:w w:val="110"/>
        </w:rPr>
        <w:t>Asi-</w:t>
      </w:r>
      <w:r>
        <w:rPr>
          <w:color w:val="231F20"/>
          <w:w w:val="72"/>
        </w:rPr>
        <w:t> </w:t>
      </w:r>
      <w:r>
        <w:rPr>
          <w:color w:val="231F20"/>
          <w:w w:val="110"/>
        </w:rPr>
        <w:t>mismo, la fedic informaba que en el primer trimestre de</w:t>
      </w:r>
      <w:r>
        <w:rPr>
          <w:color w:val="231F20"/>
          <w:spacing w:val="26"/>
          <w:w w:val="110"/>
        </w:rPr>
        <w:t> </w:t>
      </w:r>
      <w:r>
        <w:rPr>
          <w:color w:val="231F20"/>
          <w:w w:val="110"/>
        </w:rPr>
        <w:t>ese</w:t>
      </w:r>
      <w:r>
        <w:rPr>
          <w:color w:val="231F20"/>
          <w:spacing w:val="8"/>
          <w:w w:val="110"/>
        </w:rPr>
        <w:t> </w:t>
      </w:r>
      <w:r>
        <w:rPr>
          <w:color w:val="231F20"/>
          <w:w w:val="110"/>
        </w:rPr>
        <w:t>mismo</w:t>
      </w:r>
      <w:r>
        <w:rPr>
          <w:color w:val="231F20"/>
          <w:w w:val="107"/>
        </w:rPr>
        <w:t> </w:t>
      </w:r>
      <w:r>
        <w:rPr>
          <w:color w:val="231F20"/>
          <w:w w:val="110"/>
        </w:rPr>
        <w:t>año</w:t>
      </w:r>
      <w:r>
        <w:rPr>
          <w:color w:val="231F20"/>
          <w:spacing w:val="23"/>
          <w:w w:val="110"/>
        </w:rPr>
        <w:t> </w:t>
      </w:r>
      <w:r>
        <w:rPr>
          <w:color w:val="231F20"/>
          <w:w w:val="110"/>
        </w:rPr>
        <w:t>habían</w:t>
      </w:r>
      <w:r>
        <w:rPr>
          <w:color w:val="231F20"/>
          <w:spacing w:val="23"/>
          <w:w w:val="110"/>
        </w:rPr>
        <w:t> </w:t>
      </w:r>
      <w:r>
        <w:rPr>
          <w:color w:val="231F20"/>
          <w:w w:val="110"/>
        </w:rPr>
        <w:t>quebrado</w:t>
      </w:r>
      <w:r>
        <w:rPr>
          <w:color w:val="231F20"/>
          <w:spacing w:val="23"/>
          <w:w w:val="110"/>
        </w:rPr>
        <w:t> </w:t>
      </w:r>
      <w:r>
        <w:rPr>
          <w:color w:val="231F20"/>
          <w:w w:val="110"/>
        </w:rPr>
        <w:t>21</w:t>
      </w:r>
      <w:r>
        <w:rPr>
          <w:color w:val="231F20"/>
          <w:spacing w:val="23"/>
          <w:w w:val="110"/>
        </w:rPr>
        <w:t> </w:t>
      </w:r>
      <w:r>
        <w:rPr>
          <w:color w:val="231F20"/>
          <w:w w:val="110"/>
        </w:rPr>
        <w:t>bancos,</w:t>
      </w:r>
      <w:r>
        <w:rPr>
          <w:color w:val="231F20"/>
          <w:spacing w:val="23"/>
          <w:w w:val="110"/>
        </w:rPr>
        <w:t> </w:t>
      </w:r>
      <w:r>
        <w:rPr>
          <w:color w:val="231F20"/>
          <w:w w:val="110"/>
        </w:rPr>
        <w:t>el</w:t>
      </w:r>
      <w:r>
        <w:rPr>
          <w:color w:val="231F20"/>
          <w:spacing w:val="23"/>
          <w:w w:val="110"/>
        </w:rPr>
        <w:t> </w:t>
      </w:r>
      <w:r>
        <w:rPr>
          <w:color w:val="231F20"/>
          <w:w w:val="110"/>
        </w:rPr>
        <w:t>mayor</w:t>
      </w:r>
      <w:r>
        <w:rPr>
          <w:color w:val="231F20"/>
          <w:spacing w:val="23"/>
          <w:w w:val="110"/>
        </w:rPr>
        <w:t> </w:t>
      </w:r>
      <w:r>
        <w:rPr>
          <w:color w:val="231F20"/>
          <w:w w:val="110"/>
        </w:rPr>
        <w:t>número</w:t>
      </w:r>
      <w:r>
        <w:rPr>
          <w:color w:val="231F20"/>
          <w:spacing w:val="23"/>
          <w:w w:val="110"/>
        </w:rPr>
        <w:t> </w:t>
      </w:r>
      <w:r>
        <w:rPr>
          <w:color w:val="231F20"/>
          <w:w w:val="110"/>
        </w:rPr>
        <w:t>desde</w:t>
      </w:r>
      <w:r>
        <w:rPr>
          <w:color w:val="231F20"/>
          <w:spacing w:val="23"/>
          <w:w w:val="110"/>
        </w:rPr>
        <w:t> </w:t>
      </w:r>
      <w:r>
        <w:rPr>
          <w:color w:val="231F20"/>
          <w:w w:val="110"/>
        </w:rPr>
        <w:t>1992</w:t>
      </w:r>
      <w:r>
        <w:rPr>
          <w:color w:val="231F20"/>
          <w:spacing w:val="23"/>
          <w:w w:val="110"/>
        </w:rPr>
        <w:t> </w:t>
      </w:r>
      <w:r>
        <w:rPr>
          <w:color w:val="231F20"/>
          <w:w w:val="110"/>
        </w:rPr>
        <w:t>(</w:t>
      </w:r>
      <w:r>
        <w:rPr>
          <w:i/>
          <w:color w:val="231F20"/>
          <w:w w:val="110"/>
        </w:rPr>
        <w:t>El</w:t>
      </w:r>
    </w:p>
    <w:p>
      <w:pPr>
        <w:spacing w:before="0"/>
        <w:ind w:left="100" w:right="0" w:firstLine="0"/>
        <w:jc w:val="both"/>
        <w:rPr>
          <w:sz w:val="20"/>
        </w:rPr>
      </w:pPr>
      <w:r>
        <w:rPr>
          <w:i/>
          <w:color w:val="231F20"/>
          <w:w w:val="105"/>
          <w:sz w:val="20"/>
        </w:rPr>
        <w:t>Financiero</w:t>
      </w:r>
      <w:r>
        <w:rPr>
          <w:color w:val="231F20"/>
          <w:w w:val="105"/>
          <w:sz w:val="20"/>
        </w:rPr>
        <w:t>, 27 de mayo de 2009).</w:t>
      </w:r>
    </w:p>
    <w:p>
      <w:pPr>
        <w:pStyle w:val="BodyText"/>
      </w:pPr>
    </w:p>
    <w:p>
      <w:pPr>
        <w:pStyle w:val="BodyText"/>
      </w:pPr>
    </w:p>
    <w:p>
      <w:pPr>
        <w:pStyle w:val="BodyText"/>
        <w:spacing w:before="11"/>
        <w:rPr>
          <w:sz w:val="26"/>
        </w:rPr>
      </w:pPr>
    </w:p>
    <w:p>
      <w:pPr>
        <w:pStyle w:val="BodyText"/>
        <w:ind w:left="100"/>
        <w:jc w:val="both"/>
      </w:pPr>
      <w:r>
        <w:rPr>
          <w:color w:val="231F20"/>
          <w:w w:val="125"/>
        </w:rPr>
        <w:t>la crisis hipotecaria se convierte en algo más</w:t>
      </w:r>
    </w:p>
    <w:p>
      <w:pPr>
        <w:pStyle w:val="BodyText"/>
        <w:spacing w:before="5"/>
        <w:rPr>
          <w:sz w:val="23"/>
        </w:rPr>
      </w:pPr>
    </w:p>
    <w:p>
      <w:pPr>
        <w:pStyle w:val="BodyText"/>
        <w:spacing w:line="261" w:lineRule="auto"/>
        <w:ind w:left="100" w:right="117"/>
        <w:jc w:val="both"/>
      </w:pPr>
      <w:r>
        <w:rPr>
          <w:color w:val="231F20"/>
          <w:w w:val="110"/>
        </w:rPr>
        <w:t>Pero esta crisis inicialmente focalizada, estaba condenada a ser algo más que una simple crisis hipotecaria de Estados Unidos en tanto que las hipotecas de alto riesgo circulaban ya por todo el mundo, convirtiéndose en “títulos contaminantes”, </w:t>
      </w:r>
      <w:r>
        <w:rPr>
          <w:color w:val="231F20"/>
          <w:spacing w:val="-8"/>
          <w:w w:val="110"/>
        </w:rPr>
        <w:t>y, </w:t>
      </w:r>
      <w:r>
        <w:rPr>
          <w:color w:val="231F20"/>
          <w:w w:val="110"/>
        </w:rPr>
        <w:t>para colmo, lo hacían en</w:t>
      </w:r>
      <w:r>
        <w:rPr>
          <w:color w:val="231F20"/>
          <w:spacing w:val="-13"/>
          <w:w w:val="110"/>
        </w:rPr>
        <w:t> </w:t>
      </w:r>
      <w:r>
        <w:rPr>
          <w:color w:val="231F20"/>
          <w:w w:val="110"/>
        </w:rPr>
        <w:t>“paquetes”</w:t>
      </w:r>
      <w:r>
        <w:rPr>
          <w:color w:val="231F20"/>
          <w:spacing w:val="-13"/>
          <w:w w:val="110"/>
        </w:rPr>
        <w:t> </w:t>
      </w:r>
      <w:r>
        <w:rPr>
          <w:color w:val="231F20"/>
          <w:w w:val="110"/>
        </w:rPr>
        <w:t>donde</w:t>
      </w:r>
      <w:r>
        <w:rPr>
          <w:color w:val="231F20"/>
          <w:spacing w:val="-13"/>
          <w:w w:val="110"/>
        </w:rPr>
        <w:t> </w:t>
      </w:r>
      <w:r>
        <w:rPr>
          <w:color w:val="231F20"/>
          <w:w w:val="110"/>
        </w:rPr>
        <w:t>había</w:t>
      </w:r>
      <w:r>
        <w:rPr>
          <w:color w:val="231F20"/>
          <w:spacing w:val="-13"/>
          <w:w w:val="110"/>
        </w:rPr>
        <w:t> </w:t>
      </w:r>
      <w:r>
        <w:rPr>
          <w:color w:val="231F20"/>
          <w:w w:val="110"/>
        </w:rPr>
        <w:t>mezcladas</w:t>
      </w:r>
      <w:r>
        <w:rPr>
          <w:color w:val="231F20"/>
          <w:spacing w:val="-13"/>
          <w:w w:val="110"/>
        </w:rPr>
        <w:t> </w:t>
      </w:r>
      <w:r>
        <w:rPr>
          <w:color w:val="231F20"/>
          <w:w w:val="110"/>
        </w:rPr>
        <w:t>hipotecas</w:t>
      </w:r>
      <w:r>
        <w:rPr>
          <w:color w:val="231F20"/>
          <w:spacing w:val="-14"/>
          <w:w w:val="110"/>
        </w:rPr>
        <w:t> </w:t>
      </w:r>
      <w:r>
        <w:rPr>
          <w:i/>
          <w:color w:val="231F20"/>
          <w:w w:val="110"/>
        </w:rPr>
        <w:t>buenas</w:t>
      </w:r>
      <w:r>
        <w:rPr>
          <w:i/>
          <w:color w:val="231F20"/>
          <w:spacing w:val="-13"/>
          <w:w w:val="110"/>
        </w:rPr>
        <w:t> </w:t>
      </w:r>
      <w:r>
        <w:rPr>
          <w:color w:val="231F20"/>
          <w:w w:val="110"/>
        </w:rPr>
        <w:t>y</w:t>
      </w:r>
      <w:r>
        <w:rPr>
          <w:color w:val="231F20"/>
          <w:spacing w:val="-13"/>
          <w:w w:val="110"/>
        </w:rPr>
        <w:t> </w:t>
      </w:r>
      <w:r>
        <w:rPr>
          <w:color w:val="231F20"/>
          <w:w w:val="110"/>
        </w:rPr>
        <w:t>otras</w:t>
      </w:r>
      <w:r>
        <w:rPr>
          <w:color w:val="231F20"/>
          <w:spacing w:val="-14"/>
          <w:w w:val="110"/>
        </w:rPr>
        <w:t> </w:t>
      </w:r>
      <w:r>
        <w:rPr>
          <w:i/>
          <w:color w:val="231F20"/>
          <w:w w:val="110"/>
        </w:rPr>
        <w:t>malas </w:t>
      </w:r>
      <w:r>
        <w:rPr>
          <w:color w:val="231F20"/>
          <w:w w:val="110"/>
        </w:rPr>
        <w:t>que la Reserva Federal de ese país había autorizado para  </w:t>
      </w:r>
      <w:r>
        <w:rPr>
          <w:color w:val="231F20"/>
          <w:spacing w:val="32"/>
          <w:w w:val="110"/>
        </w:rPr>
        <w:t> </w:t>
      </w:r>
      <w:r>
        <w:rPr>
          <w:color w:val="231F20"/>
          <w:w w:val="110"/>
        </w:rPr>
        <w:t>disimular</w:t>
      </w:r>
    </w:p>
    <w:p>
      <w:pPr>
        <w:pStyle w:val="BodyText"/>
        <w:spacing w:line="261" w:lineRule="auto"/>
        <w:ind w:left="73" w:right="117"/>
        <w:jc w:val="right"/>
      </w:pPr>
      <w:r>
        <w:rPr>
          <w:color w:val="231F20"/>
          <w:w w:val="110"/>
        </w:rPr>
        <w:t>—en</w:t>
      </w:r>
      <w:r>
        <w:rPr>
          <w:color w:val="231F20"/>
          <w:spacing w:val="-16"/>
          <w:w w:val="110"/>
        </w:rPr>
        <w:t> </w:t>
      </w:r>
      <w:r>
        <w:rPr>
          <w:color w:val="231F20"/>
          <w:w w:val="110"/>
        </w:rPr>
        <w:t>realidad</w:t>
      </w:r>
      <w:r>
        <w:rPr>
          <w:color w:val="231F20"/>
          <w:spacing w:val="-16"/>
          <w:w w:val="110"/>
        </w:rPr>
        <w:t> </w:t>
      </w:r>
      <w:r>
        <w:rPr>
          <w:color w:val="231F20"/>
          <w:w w:val="110"/>
        </w:rPr>
        <w:t>ocultar—</w:t>
      </w:r>
      <w:r>
        <w:rPr>
          <w:color w:val="231F20"/>
          <w:spacing w:val="-16"/>
          <w:w w:val="110"/>
        </w:rPr>
        <w:t> </w:t>
      </w:r>
      <w:r>
        <w:rPr>
          <w:color w:val="231F20"/>
          <w:w w:val="110"/>
        </w:rPr>
        <w:t>el</w:t>
      </w:r>
      <w:r>
        <w:rPr>
          <w:color w:val="231F20"/>
          <w:spacing w:val="-16"/>
          <w:w w:val="110"/>
        </w:rPr>
        <w:t> </w:t>
      </w:r>
      <w:r>
        <w:rPr>
          <w:color w:val="231F20"/>
          <w:w w:val="110"/>
        </w:rPr>
        <w:t>riesgo</w:t>
      </w:r>
      <w:r>
        <w:rPr>
          <w:color w:val="231F20"/>
          <w:spacing w:val="-16"/>
          <w:w w:val="110"/>
        </w:rPr>
        <w:t> </w:t>
      </w:r>
      <w:r>
        <w:rPr>
          <w:color w:val="231F20"/>
          <w:spacing w:val="-8"/>
          <w:w w:val="110"/>
        </w:rPr>
        <w:t>y,</w:t>
      </w:r>
      <w:r>
        <w:rPr>
          <w:color w:val="231F20"/>
          <w:spacing w:val="-16"/>
          <w:w w:val="110"/>
        </w:rPr>
        <w:t> </w:t>
      </w:r>
      <w:r>
        <w:rPr>
          <w:color w:val="231F20"/>
          <w:w w:val="110"/>
        </w:rPr>
        <w:t>así,</w:t>
      </w:r>
      <w:r>
        <w:rPr>
          <w:color w:val="231F20"/>
          <w:spacing w:val="-16"/>
          <w:w w:val="110"/>
        </w:rPr>
        <w:t> </w:t>
      </w:r>
      <w:r>
        <w:rPr>
          <w:color w:val="231F20"/>
          <w:w w:val="110"/>
        </w:rPr>
        <w:t>hacer</w:t>
      </w:r>
      <w:r>
        <w:rPr>
          <w:color w:val="231F20"/>
          <w:spacing w:val="-16"/>
          <w:w w:val="110"/>
        </w:rPr>
        <w:t> </w:t>
      </w:r>
      <w:r>
        <w:rPr>
          <w:color w:val="231F20"/>
          <w:w w:val="110"/>
        </w:rPr>
        <w:t>más</w:t>
      </w:r>
      <w:r>
        <w:rPr>
          <w:color w:val="231F20"/>
          <w:spacing w:val="-16"/>
          <w:w w:val="110"/>
        </w:rPr>
        <w:t> </w:t>
      </w:r>
      <w:r>
        <w:rPr>
          <w:color w:val="231F20"/>
          <w:w w:val="110"/>
        </w:rPr>
        <w:t>fácil</w:t>
      </w:r>
      <w:r>
        <w:rPr>
          <w:color w:val="231F20"/>
          <w:spacing w:val="-16"/>
          <w:w w:val="110"/>
        </w:rPr>
        <w:t> </w:t>
      </w:r>
      <w:r>
        <w:rPr>
          <w:color w:val="231F20"/>
          <w:w w:val="110"/>
        </w:rPr>
        <w:t>su</w:t>
      </w:r>
      <w:r>
        <w:rPr>
          <w:color w:val="231F20"/>
          <w:spacing w:val="-16"/>
          <w:w w:val="110"/>
        </w:rPr>
        <w:t> </w:t>
      </w:r>
      <w:r>
        <w:rPr>
          <w:color w:val="231F20"/>
          <w:w w:val="110"/>
        </w:rPr>
        <w:t>circulación.</w:t>
      </w:r>
      <w:r>
        <w:rPr>
          <w:color w:val="231F20"/>
          <w:w w:val="108"/>
        </w:rPr>
        <w:t> </w:t>
      </w:r>
      <w:r>
        <w:rPr>
          <w:color w:val="231F20"/>
          <w:w w:val="110"/>
        </w:rPr>
        <w:t>Los bancos y entidades financieras de todo el mundo</w:t>
      </w:r>
      <w:r>
        <w:rPr>
          <w:color w:val="231F20"/>
          <w:spacing w:val="19"/>
          <w:w w:val="110"/>
        </w:rPr>
        <w:t> </w:t>
      </w:r>
      <w:r>
        <w:rPr>
          <w:color w:val="231F20"/>
          <w:w w:val="110"/>
        </w:rPr>
        <w:t>que</w:t>
      </w:r>
      <w:r>
        <w:rPr>
          <w:color w:val="231F20"/>
          <w:spacing w:val="8"/>
          <w:w w:val="110"/>
        </w:rPr>
        <w:t> </w:t>
      </w:r>
      <w:r>
        <w:rPr>
          <w:color w:val="231F20"/>
          <w:w w:val="110"/>
        </w:rPr>
        <w:t>habían</w:t>
      </w:r>
      <w:r>
        <w:rPr>
          <w:color w:val="231F20"/>
          <w:w w:val="113"/>
        </w:rPr>
        <w:t> </w:t>
      </w:r>
      <w:r>
        <w:rPr>
          <w:color w:val="231F20"/>
          <w:w w:val="110"/>
        </w:rPr>
        <w:t>adquirido</w:t>
      </w:r>
      <w:r>
        <w:rPr>
          <w:color w:val="231F20"/>
          <w:spacing w:val="30"/>
          <w:w w:val="110"/>
        </w:rPr>
        <w:t> </w:t>
      </w:r>
      <w:r>
        <w:rPr>
          <w:color w:val="231F20"/>
          <w:w w:val="110"/>
        </w:rPr>
        <w:t>ese</w:t>
      </w:r>
      <w:r>
        <w:rPr>
          <w:color w:val="231F20"/>
          <w:spacing w:val="30"/>
          <w:w w:val="110"/>
        </w:rPr>
        <w:t> </w:t>
      </w:r>
      <w:r>
        <w:rPr>
          <w:color w:val="231F20"/>
          <w:w w:val="110"/>
        </w:rPr>
        <w:t>tipo</w:t>
      </w:r>
      <w:r>
        <w:rPr>
          <w:color w:val="231F20"/>
          <w:spacing w:val="30"/>
          <w:w w:val="110"/>
        </w:rPr>
        <w:t> </w:t>
      </w:r>
      <w:r>
        <w:rPr>
          <w:color w:val="231F20"/>
          <w:w w:val="110"/>
        </w:rPr>
        <w:t>de</w:t>
      </w:r>
      <w:r>
        <w:rPr>
          <w:color w:val="231F20"/>
          <w:spacing w:val="30"/>
          <w:w w:val="110"/>
        </w:rPr>
        <w:t> </w:t>
      </w:r>
      <w:r>
        <w:rPr>
          <w:color w:val="231F20"/>
          <w:w w:val="110"/>
        </w:rPr>
        <w:t>paquetes</w:t>
      </w:r>
      <w:r>
        <w:rPr>
          <w:color w:val="231F20"/>
          <w:spacing w:val="30"/>
          <w:w w:val="110"/>
        </w:rPr>
        <w:t> </w:t>
      </w:r>
      <w:r>
        <w:rPr>
          <w:color w:val="231F20"/>
          <w:w w:val="110"/>
        </w:rPr>
        <w:t>y</w:t>
      </w:r>
      <w:r>
        <w:rPr>
          <w:color w:val="231F20"/>
          <w:spacing w:val="30"/>
          <w:w w:val="110"/>
        </w:rPr>
        <w:t> </w:t>
      </w:r>
      <w:r>
        <w:rPr>
          <w:color w:val="231F20"/>
          <w:w w:val="110"/>
        </w:rPr>
        <w:t>títulos,</w:t>
      </w:r>
      <w:r>
        <w:rPr>
          <w:color w:val="231F20"/>
          <w:spacing w:val="30"/>
          <w:w w:val="110"/>
        </w:rPr>
        <w:t> </w:t>
      </w:r>
      <w:r>
        <w:rPr>
          <w:color w:val="231F20"/>
          <w:w w:val="110"/>
        </w:rPr>
        <w:t>comenzaron</w:t>
      </w:r>
      <w:r>
        <w:rPr>
          <w:color w:val="231F20"/>
          <w:spacing w:val="30"/>
          <w:w w:val="110"/>
        </w:rPr>
        <w:t> </w:t>
      </w:r>
      <w:r>
        <w:rPr>
          <w:color w:val="231F20"/>
          <w:w w:val="110"/>
        </w:rPr>
        <w:t>a</w:t>
      </w:r>
      <w:r>
        <w:rPr>
          <w:color w:val="231F20"/>
          <w:spacing w:val="30"/>
          <w:w w:val="110"/>
        </w:rPr>
        <w:t> </w:t>
      </w:r>
      <w:r>
        <w:rPr>
          <w:color w:val="231F20"/>
          <w:w w:val="110"/>
        </w:rPr>
        <w:t>descapita-</w:t>
      </w:r>
      <w:r>
        <w:rPr>
          <w:color w:val="231F20"/>
          <w:w w:val="72"/>
        </w:rPr>
        <w:t> </w:t>
      </w:r>
      <w:r>
        <w:rPr>
          <w:color w:val="231F20"/>
          <w:w w:val="110"/>
        </w:rPr>
        <w:t>lizarse vertiginosamente: las hipotecas que se</w:t>
      </w:r>
      <w:r>
        <w:rPr>
          <w:color w:val="231F20"/>
          <w:spacing w:val="43"/>
          <w:w w:val="110"/>
        </w:rPr>
        <w:t> </w:t>
      </w:r>
      <w:r>
        <w:rPr>
          <w:color w:val="231F20"/>
          <w:w w:val="110"/>
        </w:rPr>
        <w:t>habían</w:t>
      </w:r>
      <w:r>
        <w:rPr>
          <w:color w:val="231F20"/>
          <w:spacing w:val="16"/>
          <w:w w:val="110"/>
        </w:rPr>
        <w:t> </w:t>
      </w:r>
      <w:r>
        <w:rPr>
          <w:color w:val="231F20"/>
          <w:w w:val="110"/>
        </w:rPr>
        <w:t>contabilizado</w:t>
      </w:r>
      <w:r>
        <w:rPr>
          <w:color w:val="231F20"/>
          <w:w w:val="108"/>
        </w:rPr>
        <w:t> </w:t>
      </w:r>
      <w:r>
        <w:rPr>
          <w:color w:val="231F20"/>
          <w:w w:val="110"/>
        </w:rPr>
        <w:t>como activos rentables de alto </w:t>
      </w:r>
      <w:r>
        <w:rPr>
          <w:color w:val="231F20"/>
          <w:spacing w:val="-3"/>
          <w:w w:val="110"/>
        </w:rPr>
        <w:t>valor, </w:t>
      </w:r>
      <w:r>
        <w:rPr>
          <w:color w:val="231F20"/>
          <w:w w:val="110"/>
        </w:rPr>
        <w:t>pasaban a ser papeles</w:t>
      </w:r>
      <w:r>
        <w:rPr>
          <w:color w:val="231F20"/>
          <w:spacing w:val="27"/>
          <w:w w:val="110"/>
        </w:rPr>
        <w:t> </w:t>
      </w:r>
      <w:r>
        <w:rPr>
          <w:color w:val="231F20"/>
          <w:w w:val="110"/>
        </w:rPr>
        <w:t>sin</w:t>
      </w:r>
      <w:r>
        <w:rPr>
          <w:color w:val="231F20"/>
          <w:spacing w:val="2"/>
          <w:w w:val="110"/>
        </w:rPr>
        <w:t> </w:t>
      </w:r>
      <w:r>
        <w:rPr>
          <w:color w:val="231F20"/>
          <w:w w:val="110"/>
        </w:rPr>
        <w:t>valor</w:t>
      </w:r>
      <w:r>
        <w:rPr>
          <w:color w:val="231F20"/>
          <w:w w:val="104"/>
        </w:rPr>
        <w:t> </w:t>
      </w:r>
      <w:r>
        <w:rPr>
          <w:color w:val="231F20"/>
          <w:w w:val="110"/>
        </w:rPr>
        <w:t>alguno en el mercado.</w:t>
      </w:r>
      <w:r>
        <w:rPr>
          <w:color w:val="231F20"/>
          <w:w w:val="110"/>
          <w:position w:val="6"/>
          <w:sz w:val="13"/>
        </w:rPr>
        <w:t>8 </w:t>
      </w:r>
      <w:r>
        <w:rPr>
          <w:color w:val="231F20"/>
          <w:w w:val="110"/>
        </w:rPr>
        <w:t>Al descapitalizarse tanto los bancos como</w:t>
      </w:r>
      <w:r>
        <w:rPr>
          <w:color w:val="231F20"/>
          <w:spacing w:val="-34"/>
          <w:w w:val="110"/>
        </w:rPr>
        <w:t> </w:t>
      </w:r>
      <w:r>
        <w:rPr>
          <w:color w:val="231F20"/>
          <w:w w:val="110"/>
        </w:rPr>
        <w:t>las</w:t>
      </w:r>
    </w:p>
    <w:p>
      <w:pPr>
        <w:pStyle w:val="BodyText"/>
      </w:pPr>
    </w:p>
    <w:p>
      <w:pPr>
        <w:pStyle w:val="BodyText"/>
        <w:spacing w:before="2"/>
        <w:rPr>
          <w:sz w:val="26"/>
        </w:rPr>
      </w:pPr>
    </w:p>
    <w:p>
      <w:pPr>
        <w:spacing w:before="1"/>
        <w:ind w:left="73" w:right="117" w:firstLine="0"/>
        <w:jc w:val="right"/>
        <w:rPr>
          <w:sz w:val="16"/>
        </w:rPr>
      </w:pPr>
      <w:r>
        <w:rPr>
          <w:color w:val="231F20"/>
          <w:w w:val="110"/>
          <w:position w:val="5"/>
          <w:sz w:val="10"/>
        </w:rPr>
        <w:t>8  </w:t>
      </w:r>
      <w:r>
        <w:rPr>
          <w:color w:val="231F20"/>
          <w:w w:val="110"/>
          <w:sz w:val="16"/>
        </w:rPr>
        <w:t>Curiosamente, una de las demandas de estos inversores es que los activos de esta</w:t>
      </w:r>
    </w:p>
    <w:p>
      <w:pPr>
        <w:spacing w:after="0"/>
        <w:jc w:val="right"/>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20" w:right="117"/>
        <w:jc w:val="both"/>
      </w:pPr>
      <w:r>
        <w:rPr>
          <w:color w:val="231F20"/>
          <w:w w:val="110"/>
        </w:rPr>
        <w:t>entidades financieras, al mismo tiempo disminuía su capacidad para ofrecer</w:t>
      </w:r>
      <w:r>
        <w:rPr>
          <w:color w:val="231F20"/>
          <w:spacing w:val="-17"/>
          <w:w w:val="110"/>
        </w:rPr>
        <w:t> </w:t>
      </w:r>
      <w:r>
        <w:rPr>
          <w:color w:val="231F20"/>
          <w:w w:val="110"/>
        </w:rPr>
        <w:t>liquidez</w:t>
      </w:r>
      <w:r>
        <w:rPr>
          <w:color w:val="231F20"/>
          <w:spacing w:val="-17"/>
          <w:w w:val="110"/>
        </w:rPr>
        <w:t> </w:t>
      </w:r>
      <w:r>
        <w:rPr>
          <w:color w:val="231F20"/>
          <w:w w:val="110"/>
        </w:rPr>
        <w:t>a</w:t>
      </w:r>
      <w:r>
        <w:rPr>
          <w:color w:val="231F20"/>
          <w:spacing w:val="-17"/>
          <w:w w:val="110"/>
        </w:rPr>
        <w:t> </w:t>
      </w:r>
      <w:r>
        <w:rPr>
          <w:color w:val="231F20"/>
          <w:w w:val="110"/>
        </w:rPr>
        <w:t>otros</w:t>
      </w:r>
      <w:r>
        <w:rPr>
          <w:color w:val="231F20"/>
          <w:spacing w:val="-17"/>
          <w:w w:val="110"/>
        </w:rPr>
        <w:t> </w:t>
      </w:r>
      <w:r>
        <w:rPr>
          <w:color w:val="231F20"/>
          <w:w w:val="110"/>
        </w:rPr>
        <w:t>bancos</w:t>
      </w:r>
      <w:r>
        <w:rPr>
          <w:color w:val="231F20"/>
          <w:spacing w:val="-17"/>
          <w:w w:val="110"/>
        </w:rPr>
        <w:t> </w:t>
      </w:r>
      <w:r>
        <w:rPr>
          <w:color w:val="231F20"/>
          <w:w w:val="110"/>
        </w:rPr>
        <w:t>y</w:t>
      </w:r>
      <w:r>
        <w:rPr>
          <w:color w:val="231F20"/>
          <w:spacing w:val="-17"/>
          <w:w w:val="110"/>
        </w:rPr>
        <w:t> </w:t>
      </w:r>
      <w:r>
        <w:rPr>
          <w:color w:val="231F20"/>
          <w:w w:val="110"/>
        </w:rPr>
        <w:t>entidades</w:t>
      </w:r>
      <w:r>
        <w:rPr>
          <w:color w:val="231F20"/>
          <w:spacing w:val="-17"/>
          <w:w w:val="110"/>
        </w:rPr>
        <w:t> </w:t>
      </w:r>
      <w:r>
        <w:rPr>
          <w:color w:val="231F20"/>
          <w:w w:val="110"/>
        </w:rPr>
        <w:t>financieras</w:t>
      </w:r>
      <w:r>
        <w:rPr>
          <w:color w:val="231F20"/>
          <w:spacing w:val="-17"/>
          <w:w w:val="110"/>
        </w:rPr>
        <w:t> </w:t>
      </w:r>
      <w:r>
        <w:rPr>
          <w:color w:val="231F20"/>
          <w:w w:val="110"/>
        </w:rPr>
        <w:t>lo</w:t>
      </w:r>
      <w:r>
        <w:rPr>
          <w:color w:val="231F20"/>
          <w:spacing w:val="-17"/>
          <w:w w:val="110"/>
        </w:rPr>
        <w:t> </w:t>
      </w:r>
      <w:r>
        <w:rPr>
          <w:color w:val="231F20"/>
          <w:w w:val="110"/>
        </w:rPr>
        <w:t>cual</w:t>
      </w:r>
      <w:r>
        <w:rPr>
          <w:color w:val="231F20"/>
          <w:spacing w:val="-17"/>
          <w:w w:val="110"/>
        </w:rPr>
        <w:t> </w:t>
      </w:r>
      <w:r>
        <w:rPr>
          <w:color w:val="231F20"/>
          <w:w w:val="110"/>
        </w:rPr>
        <w:t>terminó generando la crisis de los sistemas financieros de todo el </w:t>
      </w:r>
      <w:r>
        <w:rPr>
          <w:color w:val="231F20"/>
          <w:spacing w:val="14"/>
          <w:w w:val="110"/>
        </w:rPr>
        <w:t> </w:t>
      </w:r>
      <w:r>
        <w:rPr>
          <w:color w:val="231F20"/>
          <w:w w:val="110"/>
        </w:rPr>
        <w:t>mundo.</w:t>
      </w:r>
    </w:p>
    <w:p>
      <w:pPr>
        <w:pStyle w:val="BodyText"/>
        <w:spacing w:line="261" w:lineRule="auto"/>
        <w:ind w:left="120" w:right="117" w:firstLine="240"/>
        <w:jc w:val="both"/>
      </w:pPr>
      <w:r>
        <w:rPr>
          <w:color w:val="231F20"/>
          <w:w w:val="110"/>
        </w:rPr>
        <w:t>De esta manera, cuando los bancos internacionales empezaron    a ser conscientes de que ese riesgo estaba extendido entre las enti- dades bancarias de todo el mundo, comenzaron a reducir el flujo   de los préstamos que es práctica común entre ellos para disponer   de liquidez constantemente; en consecuencia, la mayor parte de los bancos se descapitalizó, se debilitaron sin remedio y de manera</w:t>
      </w:r>
      <w:r>
        <w:rPr>
          <w:color w:val="231F20"/>
          <w:spacing w:val="-37"/>
          <w:w w:val="110"/>
        </w:rPr>
        <w:t> </w:t>
      </w:r>
      <w:r>
        <w:rPr>
          <w:color w:val="231F20"/>
          <w:w w:val="110"/>
        </w:rPr>
        <w:t>cada vez más</w:t>
      </w:r>
      <w:r>
        <w:rPr>
          <w:color w:val="231F20"/>
          <w:spacing w:val="-9"/>
          <w:w w:val="110"/>
        </w:rPr>
        <w:t> </w:t>
      </w:r>
      <w:r>
        <w:rPr>
          <w:color w:val="231F20"/>
          <w:w w:val="110"/>
        </w:rPr>
        <w:t>profunda.</w:t>
      </w:r>
    </w:p>
    <w:p>
      <w:pPr>
        <w:pStyle w:val="BodyText"/>
      </w:pPr>
    </w:p>
    <w:p>
      <w:pPr>
        <w:pStyle w:val="BodyText"/>
      </w:pPr>
    </w:p>
    <w:p>
      <w:pPr>
        <w:pStyle w:val="BodyText"/>
        <w:spacing w:before="2"/>
        <w:rPr>
          <w:sz w:val="25"/>
        </w:rPr>
      </w:pPr>
    </w:p>
    <w:p>
      <w:pPr>
        <w:pStyle w:val="BodyText"/>
        <w:ind w:left="120"/>
        <w:jc w:val="both"/>
      </w:pPr>
      <w:r>
        <w:rPr>
          <w:color w:val="231F20"/>
          <w:w w:val="130"/>
        </w:rPr>
        <w:t>de la crisis hipotecaria a la crisis general</w:t>
      </w:r>
    </w:p>
    <w:p>
      <w:pPr>
        <w:pStyle w:val="BodyText"/>
        <w:spacing w:before="5"/>
        <w:rPr>
          <w:sz w:val="23"/>
        </w:rPr>
      </w:pPr>
    </w:p>
    <w:p>
      <w:pPr>
        <w:pStyle w:val="BodyText"/>
        <w:spacing w:line="261" w:lineRule="auto"/>
        <w:ind w:left="120" w:right="119"/>
        <w:jc w:val="both"/>
      </w:pPr>
      <w:r>
        <w:rPr>
          <w:color w:val="231F20"/>
          <w:w w:val="110"/>
        </w:rPr>
        <w:t>Paul</w:t>
      </w:r>
      <w:r>
        <w:rPr>
          <w:color w:val="231F20"/>
          <w:spacing w:val="-5"/>
          <w:w w:val="110"/>
        </w:rPr>
        <w:t> </w:t>
      </w:r>
      <w:r>
        <w:rPr>
          <w:color w:val="231F20"/>
          <w:w w:val="110"/>
        </w:rPr>
        <w:t>Krugman</w:t>
      </w:r>
      <w:r>
        <w:rPr>
          <w:color w:val="231F20"/>
          <w:spacing w:val="-5"/>
          <w:w w:val="110"/>
        </w:rPr>
        <w:t> </w:t>
      </w:r>
      <w:r>
        <w:rPr>
          <w:color w:val="231F20"/>
          <w:w w:val="110"/>
        </w:rPr>
        <w:t>explica</w:t>
      </w:r>
      <w:r>
        <w:rPr>
          <w:color w:val="231F20"/>
          <w:spacing w:val="-5"/>
          <w:w w:val="110"/>
        </w:rPr>
        <w:t> </w:t>
      </w:r>
      <w:r>
        <w:rPr>
          <w:color w:val="231F20"/>
          <w:w w:val="110"/>
        </w:rPr>
        <w:t>el</w:t>
      </w:r>
      <w:r>
        <w:rPr>
          <w:color w:val="231F20"/>
          <w:spacing w:val="-5"/>
          <w:w w:val="110"/>
        </w:rPr>
        <w:t> </w:t>
      </w:r>
      <w:r>
        <w:rPr>
          <w:color w:val="231F20"/>
          <w:w w:val="110"/>
        </w:rPr>
        <w:t>surgimiento</w:t>
      </w:r>
      <w:r>
        <w:rPr>
          <w:color w:val="231F20"/>
          <w:spacing w:val="-5"/>
          <w:w w:val="110"/>
        </w:rPr>
        <w:t> </w:t>
      </w:r>
      <w:r>
        <w:rPr>
          <w:color w:val="231F20"/>
          <w:w w:val="110"/>
        </w:rPr>
        <w:t>y</w:t>
      </w:r>
      <w:r>
        <w:rPr>
          <w:color w:val="231F20"/>
          <w:spacing w:val="-5"/>
          <w:w w:val="110"/>
        </w:rPr>
        <w:t> </w:t>
      </w:r>
      <w:r>
        <w:rPr>
          <w:color w:val="231F20"/>
          <w:w w:val="110"/>
        </w:rPr>
        <w:t>desarrollo</w:t>
      </w:r>
      <w:r>
        <w:rPr>
          <w:color w:val="231F20"/>
          <w:spacing w:val="-5"/>
          <w:w w:val="110"/>
        </w:rPr>
        <w:t>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crisis,</w:t>
      </w:r>
      <w:r>
        <w:rPr>
          <w:color w:val="231F20"/>
          <w:spacing w:val="-5"/>
          <w:w w:val="110"/>
        </w:rPr>
        <w:t> </w:t>
      </w:r>
      <w:r>
        <w:rPr>
          <w:color w:val="231F20"/>
          <w:w w:val="110"/>
        </w:rPr>
        <w:t>atri- buyéndolos a la pérdida de confianza en las instituciones</w:t>
      </w:r>
      <w:r>
        <w:rPr>
          <w:color w:val="231F20"/>
          <w:spacing w:val="41"/>
          <w:w w:val="110"/>
        </w:rPr>
        <w:t> </w:t>
      </w:r>
      <w:r>
        <w:rPr>
          <w:color w:val="231F20"/>
          <w:w w:val="110"/>
        </w:rPr>
        <w:t>bancarias:</w:t>
      </w:r>
    </w:p>
    <w:p>
      <w:pPr>
        <w:pStyle w:val="BodyText"/>
        <w:spacing w:before="4"/>
        <w:rPr>
          <w:sz w:val="23"/>
        </w:rPr>
      </w:pPr>
    </w:p>
    <w:p>
      <w:pPr>
        <w:spacing w:line="290" w:lineRule="auto" w:before="0"/>
        <w:ind w:left="120" w:right="117" w:firstLine="0"/>
        <w:jc w:val="both"/>
        <w:rPr>
          <w:sz w:val="18"/>
        </w:rPr>
      </w:pPr>
      <w:r>
        <w:rPr>
          <w:color w:val="231F20"/>
          <w:w w:val="110"/>
          <w:sz w:val="18"/>
        </w:rPr>
        <w:t>La</w:t>
      </w:r>
      <w:r>
        <w:rPr>
          <w:color w:val="231F20"/>
          <w:spacing w:val="-12"/>
          <w:w w:val="110"/>
          <w:sz w:val="18"/>
        </w:rPr>
        <w:t> </w:t>
      </w:r>
      <w:r>
        <w:rPr>
          <w:color w:val="231F20"/>
          <w:w w:val="110"/>
          <w:sz w:val="18"/>
        </w:rPr>
        <w:t>crisis</w:t>
      </w:r>
      <w:r>
        <w:rPr>
          <w:color w:val="231F20"/>
          <w:spacing w:val="-12"/>
          <w:w w:val="110"/>
          <w:sz w:val="18"/>
        </w:rPr>
        <w:t> </w:t>
      </w:r>
      <w:r>
        <w:rPr>
          <w:color w:val="231F20"/>
          <w:w w:val="110"/>
          <w:sz w:val="18"/>
        </w:rPr>
        <w:t>actual</w:t>
      </w:r>
      <w:r>
        <w:rPr>
          <w:color w:val="231F20"/>
          <w:spacing w:val="-12"/>
          <w:w w:val="110"/>
          <w:sz w:val="18"/>
        </w:rPr>
        <w:t> </w:t>
      </w:r>
      <w:r>
        <w:rPr>
          <w:color w:val="231F20"/>
          <w:w w:val="110"/>
          <w:sz w:val="18"/>
        </w:rPr>
        <w:t>comenzó</w:t>
      </w:r>
      <w:r>
        <w:rPr>
          <w:color w:val="231F20"/>
          <w:spacing w:val="-12"/>
          <w:w w:val="110"/>
          <w:sz w:val="18"/>
        </w:rPr>
        <w:t> </w:t>
      </w:r>
      <w:r>
        <w:rPr>
          <w:color w:val="231F20"/>
          <w:w w:val="110"/>
          <w:sz w:val="18"/>
        </w:rPr>
        <w:t>con</w:t>
      </w:r>
      <w:r>
        <w:rPr>
          <w:color w:val="231F20"/>
          <w:spacing w:val="-12"/>
          <w:w w:val="110"/>
          <w:sz w:val="18"/>
        </w:rPr>
        <w:t> </w:t>
      </w:r>
      <w:r>
        <w:rPr>
          <w:color w:val="231F20"/>
          <w:w w:val="110"/>
          <w:sz w:val="18"/>
        </w:rPr>
        <w:t>el</w:t>
      </w:r>
      <w:r>
        <w:rPr>
          <w:color w:val="231F20"/>
          <w:spacing w:val="-12"/>
          <w:w w:val="110"/>
          <w:sz w:val="18"/>
        </w:rPr>
        <w:t> </w:t>
      </w:r>
      <w:r>
        <w:rPr>
          <w:color w:val="231F20"/>
          <w:w w:val="110"/>
          <w:sz w:val="18"/>
        </w:rPr>
        <w:t>pinchazo</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burbuja</w:t>
      </w:r>
      <w:r>
        <w:rPr>
          <w:color w:val="231F20"/>
          <w:spacing w:val="-12"/>
          <w:w w:val="110"/>
          <w:sz w:val="18"/>
        </w:rPr>
        <w:t> </w:t>
      </w:r>
      <w:r>
        <w:rPr>
          <w:color w:val="231F20"/>
          <w:w w:val="110"/>
          <w:sz w:val="18"/>
        </w:rPr>
        <w:t>inmobiliaria,</w:t>
      </w:r>
      <w:r>
        <w:rPr>
          <w:color w:val="231F20"/>
          <w:spacing w:val="-12"/>
          <w:w w:val="110"/>
          <w:sz w:val="18"/>
        </w:rPr>
        <w:t> </w:t>
      </w:r>
      <w:r>
        <w:rPr>
          <w:color w:val="231F20"/>
          <w:w w:val="110"/>
          <w:sz w:val="18"/>
        </w:rPr>
        <w:t>que</w:t>
      </w:r>
      <w:r>
        <w:rPr>
          <w:color w:val="231F20"/>
          <w:spacing w:val="-12"/>
          <w:w w:val="110"/>
          <w:sz w:val="18"/>
        </w:rPr>
        <w:t> </w:t>
      </w:r>
      <w:r>
        <w:rPr>
          <w:color w:val="231F20"/>
          <w:w w:val="110"/>
          <w:sz w:val="18"/>
        </w:rPr>
        <w:t>cau- só una morosidad hipotecaria generalizada </w:t>
      </w:r>
      <w:r>
        <w:rPr>
          <w:color w:val="231F20"/>
          <w:spacing w:val="-7"/>
          <w:w w:val="110"/>
          <w:sz w:val="18"/>
        </w:rPr>
        <w:t>y, </w:t>
      </w:r>
      <w:r>
        <w:rPr>
          <w:color w:val="231F20"/>
          <w:w w:val="110"/>
          <w:sz w:val="18"/>
        </w:rPr>
        <w:t>por lo tanto, grandes pérdidas en</w:t>
      </w:r>
      <w:r>
        <w:rPr>
          <w:color w:val="231F20"/>
          <w:spacing w:val="-9"/>
          <w:w w:val="110"/>
          <w:sz w:val="18"/>
        </w:rPr>
        <w:t> </w:t>
      </w:r>
      <w:r>
        <w:rPr>
          <w:color w:val="231F20"/>
          <w:w w:val="110"/>
          <w:sz w:val="18"/>
        </w:rPr>
        <w:t>muchas</w:t>
      </w:r>
      <w:r>
        <w:rPr>
          <w:color w:val="231F20"/>
          <w:spacing w:val="-9"/>
          <w:w w:val="110"/>
          <w:sz w:val="18"/>
        </w:rPr>
        <w:t> </w:t>
      </w:r>
      <w:r>
        <w:rPr>
          <w:color w:val="231F20"/>
          <w:w w:val="110"/>
          <w:sz w:val="18"/>
        </w:rPr>
        <w:t>instituciones</w:t>
      </w:r>
      <w:r>
        <w:rPr>
          <w:color w:val="231F20"/>
          <w:spacing w:val="-9"/>
          <w:w w:val="110"/>
          <w:sz w:val="18"/>
        </w:rPr>
        <w:t> </w:t>
      </w:r>
      <w:r>
        <w:rPr>
          <w:color w:val="231F20"/>
          <w:w w:val="110"/>
          <w:sz w:val="18"/>
        </w:rPr>
        <w:t>financieras.</w:t>
      </w:r>
      <w:r>
        <w:rPr>
          <w:color w:val="231F20"/>
          <w:spacing w:val="-9"/>
          <w:w w:val="110"/>
          <w:sz w:val="18"/>
        </w:rPr>
        <w:t> </w:t>
      </w:r>
      <w:r>
        <w:rPr>
          <w:color w:val="231F20"/>
          <w:w w:val="110"/>
          <w:sz w:val="18"/>
        </w:rPr>
        <w:t>La</w:t>
      </w:r>
      <w:r>
        <w:rPr>
          <w:color w:val="231F20"/>
          <w:spacing w:val="-9"/>
          <w:w w:val="110"/>
          <w:sz w:val="18"/>
        </w:rPr>
        <w:t> </w:t>
      </w:r>
      <w:r>
        <w:rPr>
          <w:color w:val="231F20"/>
          <w:w w:val="110"/>
          <w:sz w:val="18"/>
        </w:rPr>
        <w:t>crisis</w:t>
      </w:r>
      <w:r>
        <w:rPr>
          <w:color w:val="231F20"/>
          <w:spacing w:val="-9"/>
          <w:w w:val="110"/>
          <w:sz w:val="18"/>
        </w:rPr>
        <w:t> </w:t>
      </w:r>
      <w:r>
        <w:rPr>
          <w:color w:val="231F20"/>
          <w:w w:val="110"/>
          <w:sz w:val="18"/>
        </w:rPr>
        <w:t>inicial</w:t>
      </w:r>
      <w:r>
        <w:rPr>
          <w:color w:val="231F20"/>
          <w:spacing w:val="-9"/>
          <w:w w:val="110"/>
          <w:sz w:val="18"/>
        </w:rPr>
        <w:t> </w:t>
      </w:r>
      <w:r>
        <w:rPr>
          <w:color w:val="231F20"/>
          <w:w w:val="110"/>
          <w:sz w:val="18"/>
        </w:rPr>
        <w:t>se</w:t>
      </w:r>
      <w:r>
        <w:rPr>
          <w:color w:val="231F20"/>
          <w:spacing w:val="-9"/>
          <w:w w:val="110"/>
          <w:sz w:val="18"/>
        </w:rPr>
        <w:t> </w:t>
      </w:r>
      <w:r>
        <w:rPr>
          <w:color w:val="231F20"/>
          <w:w w:val="110"/>
          <w:sz w:val="18"/>
        </w:rPr>
        <w:t>ha</w:t>
      </w:r>
      <w:r>
        <w:rPr>
          <w:color w:val="231F20"/>
          <w:spacing w:val="-9"/>
          <w:w w:val="110"/>
          <w:sz w:val="18"/>
        </w:rPr>
        <w:t> </w:t>
      </w:r>
      <w:r>
        <w:rPr>
          <w:color w:val="231F20"/>
          <w:w w:val="110"/>
          <w:sz w:val="18"/>
        </w:rPr>
        <w:t>visto</w:t>
      </w:r>
      <w:r>
        <w:rPr>
          <w:color w:val="231F20"/>
          <w:spacing w:val="-9"/>
          <w:w w:val="110"/>
          <w:sz w:val="18"/>
        </w:rPr>
        <w:t> </w:t>
      </w:r>
      <w:r>
        <w:rPr>
          <w:color w:val="231F20"/>
          <w:w w:val="110"/>
          <w:sz w:val="18"/>
        </w:rPr>
        <w:t>agravada</w:t>
      </w:r>
      <w:r>
        <w:rPr>
          <w:color w:val="231F20"/>
          <w:spacing w:val="-9"/>
          <w:w w:val="110"/>
          <w:sz w:val="18"/>
        </w:rPr>
        <w:t> </w:t>
      </w:r>
      <w:r>
        <w:rPr>
          <w:color w:val="231F20"/>
          <w:w w:val="110"/>
          <w:sz w:val="18"/>
        </w:rPr>
        <w:t>por los</w:t>
      </w:r>
      <w:r>
        <w:rPr>
          <w:color w:val="231F20"/>
          <w:spacing w:val="-14"/>
          <w:w w:val="110"/>
          <w:sz w:val="18"/>
        </w:rPr>
        <w:t> </w:t>
      </w:r>
      <w:r>
        <w:rPr>
          <w:color w:val="231F20"/>
          <w:w w:val="110"/>
          <w:sz w:val="18"/>
        </w:rPr>
        <w:t>efectos</w:t>
      </w:r>
      <w:r>
        <w:rPr>
          <w:color w:val="231F20"/>
          <w:spacing w:val="-14"/>
          <w:w w:val="110"/>
          <w:sz w:val="18"/>
        </w:rPr>
        <w:t> </w:t>
      </w:r>
      <w:r>
        <w:rPr>
          <w:color w:val="231F20"/>
          <w:w w:val="110"/>
          <w:sz w:val="18"/>
        </w:rPr>
        <w:t>secundarios</w:t>
      </w:r>
      <w:r>
        <w:rPr>
          <w:color w:val="231F20"/>
          <w:spacing w:val="-14"/>
          <w:w w:val="110"/>
          <w:sz w:val="18"/>
        </w:rPr>
        <w:t> </w:t>
      </w:r>
      <w:r>
        <w:rPr>
          <w:color w:val="231F20"/>
          <w:w w:val="110"/>
          <w:sz w:val="18"/>
        </w:rPr>
        <w:t>al</w:t>
      </w:r>
      <w:r>
        <w:rPr>
          <w:color w:val="231F20"/>
          <w:spacing w:val="-14"/>
          <w:w w:val="110"/>
          <w:sz w:val="18"/>
        </w:rPr>
        <w:t> </w:t>
      </w:r>
      <w:r>
        <w:rPr>
          <w:color w:val="231F20"/>
          <w:w w:val="110"/>
          <w:sz w:val="18"/>
        </w:rPr>
        <w:t>verse</w:t>
      </w:r>
      <w:r>
        <w:rPr>
          <w:color w:val="231F20"/>
          <w:spacing w:val="-14"/>
          <w:w w:val="110"/>
          <w:sz w:val="18"/>
        </w:rPr>
        <w:t> </w:t>
      </w:r>
      <w:r>
        <w:rPr>
          <w:color w:val="231F20"/>
          <w:w w:val="110"/>
          <w:sz w:val="18"/>
        </w:rPr>
        <w:t>forzados</w:t>
      </w:r>
      <w:r>
        <w:rPr>
          <w:color w:val="231F20"/>
          <w:spacing w:val="-14"/>
          <w:w w:val="110"/>
          <w:sz w:val="18"/>
        </w:rPr>
        <w:t> </w:t>
      </w:r>
      <w:r>
        <w:rPr>
          <w:color w:val="231F20"/>
          <w:w w:val="110"/>
          <w:sz w:val="18"/>
        </w:rPr>
        <w:t>los</w:t>
      </w:r>
      <w:r>
        <w:rPr>
          <w:color w:val="231F20"/>
          <w:spacing w:val="-14"/>
          <w:w w:val="110"/>
          <w:sz w:val="18"/>
        </w:rPr>
        <w:t> </w:t>
      </w:r>
      <w:r>
        <w:rPr>
          <w:color w:val="231F20"/>
          <w:w w:val="110"/>
          <w:sz w:val="18"/>
        </w:rPr>
        <w:t>bancos</w:t>
      </w:r>
      <w:r>
        <w:rPr>
          <w:color w:val="231F20"/>
          <w:spacing w:val="-14"/>
          <w:w w:val="110"/>
          <w:sz w:val="18"/>
        </w:rPr>
        <w:t> </w:t>
      </w:r>
      <w:r>
        <w:rPr>
          <w:color w:val="231F20"/>
          <w:w w:val="110"/>
          <w:sz w:val="18"/>
        </w:rPr>
        <w:t>a</w:t>
      </w:r>
      <w:r>
        <w:rPr>
          <w:color w:val="231F20"/>
          <w:spacing w:val="-14"/>
          <w:w w:val="110"/>
          <w:sz w:val="18"/>
        </w:rPr>
        <w:t> </w:t>
      </w:r>
      <w:r>
        <w:rPr>
          <w:color w:val="231F20"/>
          <w:w w:val="110"/>
          <w:sz w:val="18"/>
        </w:rPr>
        <w:t>reducir</w:t>
      </w:r>
      <w:r>
        <w:rPr>
          <w:color w:val="231F20"/>
          <w:spacing w:val="-14"/>
          <w:w w:val="110"/>
          <w:sz w:val="18"/>
        </w:rPr>
        <w:t> </w:t>
      </w:r>
      <w:r>
        <w:rPr>
          <w:color w:val="231F20"/>
          <w:w w:val="110"/>
          <w:sz w:val="18"/>
        </w:rPr>
        <w:t>su</w:t>
      </w:r>
      <w:r>
        <w:rPr>
          <w:color w:val="231F20"/>
          <w:spacing w:val="-14"/>
          <w:w w:val="110"/>
          <w:sz w:val="18"/>
        </w:rPr>
        <w:t> </w:t>
      </w:r>
      <w:r>
        <w:rPr>
          <w:color w:val="231F20"/>
          <w:w w:val="110"/>
          <w:sz w:val="18"/>
        </w:rPr>
        <w:t>actividad</w:t>
      </w:r>
      <w:r>
        <w:rPr>
          <w:color w:val="231F20"/>
          <w:spacing w:val="-14"/>
          <w:w w:val="110"/>
          <w:sz w:val="18"/>
        </w:rPr>
        <w:t> </w:t>
      </w:r>
      <w:r>
        <w:rPr>
          <w:color w:val="231F20"/>
          <w:w w:val="110"/>
          <w:sz w:val="18"/>
        </w:rPr>
        <w:t>por falta de capital, lo cual ha inducido una caída aún mayor del precio de los activos,</w:t>
      </w:r>
      <w:r>
        <w:rPr>
          <w:color w:val="231F20"/>
          <w:spacing w:val="-31"/>
          <w:w w:val="110"/>
          <w:sz w:val="18"/>
        </w:rPr>
        <w:t> </w:t>
      </w:r>
      <w:r>
        <w:rPr>
          <w:color w:val="231F20"/>
          <w:w w:val="110"/>
          <w:sz w:val="18"/>
        </w:rPr>
        <w:t>y</w:t>
      </w:r>
      <w:r>
        <w:rPr>
          <w:color w:val="231F20"/>
          <w:spacing w:val="-31"/>
          <w:w w:val="110"/>
          <w:sz w:val="18"/>
        </w:rPr>
        <w:t> </w:t>
      </w:r>
      <w:r>
        <w:rPr>
          <w:color w:val="231F20"/>
          <w:w w:val="110"/>
          <w:sz w:val="18"/>
        </w:rPr>
        <w:t>a</w:t>
      </w:r>
      <w:r>
        <w:rPr>
          <w:color w:val="231F20"/>
          <w:spacing w:val="-31"/>
          <w:w w:val="110"/>
          <w:sz w:val="18"/>
        </w:rPr>
        <w:t> </w:t>
      </w:r>
      <w:r>
        <w:rPr>
          <w:color w:val="231F20"/>
          <w:w w:val="110"/>
          <w:sz w:val="18"/>
        </w:rPr>
        <w:t>su</w:t>
      </w:r>
      <w:r>
        <w:rPr>
          <w:color w:val="231F20"/>
          <w:spacing w:val="-31"/>
          <w:w w:val="110"/>
          <w:sz w:val="18"/>
        </w:rPr>
        <w:t> </w:t>
      </w:r>
      <w:r>
        <w:rPr>
          <w:color w:val="231F20"/>
          <w:w w:val="110"/>
          <w:sz w:val="18"/>
        </w:rPr>
        <w:t>vez</w:t>
      </w:r>
      <w:r>
        <w:rPr>
          <w:color w:val="231F20"/>
          <w:spacing w:val="-31"/>
          <w:w w:val="110"/>
          <w:sz w:val="18"/>
        </w:rPr>
        <w:t> </w:t>
      </w:r>
      <w:r>
        <w:rPr>
          <w:color w:val="231F20"/>
          <w:w w:val="110"/>
          <w:sz w:val="18"/>
        </w:rPr>
        <w:t>ha</w:t>
      </w:r>
      <w:r>
        <w:rPr>
          <w:color w:val="231F20"/>
          <w:spacing w:val="-31"/>
          <w:w w:val="110"/>
          <w:sz w:val="18"/>
        </w:rPr>
        <w:t> </w:t>
      </w:r>
      <w:r>
        <w:rPr>
          <w:color w:val="231F20"/>
          <w:w w:val="110"/>
          <w:sz w:val="18"/>
        </w:rPr>
        <w:t>provocado</w:t>
      </w:r>
      <w:r>
        <w:rPr>
          <w:color w:val="231F20"/>
          <w:spacing w:val="-31"/>
          <w:w w:val="110"/>
          <w:sz w:val="18"/>
        </w:rPr>
        <w:t> </w:t>
      </w:r>
      <w:r>
        <w:rPr>
          <w:color w:val="231F20"/>
          <w:w w:val="110"/>
          <w:sz w:val="18"/>
        </w:rPr>
        <w:t>pérdidas</w:t>
      </w:r>
      <w:r>
        <w:rPr>
          <w:color w:val="231F20"/>
          <w:spacing w:val="-31"/>
          <w:w w:val="110"/>
          <w:sz w:val="18"/>
        </w:rPr>
        <w:t> </w:t>
      </w:r>
      <w:r>
        <w:rPr>
          <w:color w:val="231F20"/>
          <w:w w:val="110"/>
          <w:sz w:val="18"/>
        </w:rPr>
        <w:t>todavía</w:t>
      </w:r>
      <w:r>
        <w:rPr>
          <w:color w:val="231F20"/>
          <w:spacing w:val="-31"/>
          <w:w w:val="110"/>
          <w:sz w:val="18"/>
        </w:rPr>
        <w:t> </w:t>
      </w:r>
      <w:r>
        <w:rPr>
          <w:color w:val="231F20"/>
          <w:w w:val="110"/>
          <w:sz w:val="18"/>
        </w:rPr>
        <w:t>mayores,</w:t>
      </w:r>
      <w:r>
        <w:rPr>
          <w:color w:val="231F20"/>
          <w:spacing w:val="-31"/>
          <w:w w:val="110"/>
          <w:sz w:val="18"/>
        </w:rPr>
        <w:t> </w:t>
      </w:r>
      <w:r>
        <w:rPr>
          <w:color w:val="231F20"/>
          <w:w w:val="110"/>
          <w:sz w:val="18"/>
        </w:rPr>
        <w:t>y</w:t>
      </w:r>
      <w:r>
        <w:rPr>
          <w:color w:val="231F20"/>
          <w:spacing w:val="-31"/>
          <w:w w:val="110"/>
          <w:sz w:val="18"/>
        </w:rPr>
        <w:t> </w:t>
      </w:r>
      <w:r>
        <w:rPr>
          <w:color w:val="231F20"/>
          <w:w w:val="110"/>
          <w:sz w:val="18"/>
        </w:rPr>
        <w:t>así</w:t>
      </w:r>
      <w:r>
        <w:rPr>
          <w:color w:val="231F20"/>
          <w:spacing w:val="-31"/>
          <w:w w:val="110"/>
          <w:sz w:val="18"/>
        </w:rPr>
        <w:t> </w:t>
      </w:r>
      <w:r>
        <w:rPr>
          <w:color w:val="231F20"/>
          <w:w w:val="110"/>
          <w:sz w:val="18"/>
        </w:rPr>
        <w:t>sucesivamente, o sea, un círculo vicioso de desapalancamiento. La pérdida generalizada de confianza</w:t>
      </w:r>
      <w:r>
        <w:rPr>
          <w:color w:val="231F20"/>
          <w:spacing w:val="-5"/>
          <w:w w:val="110"/>
          <w:sz w:val="18"/>
        </w:rPr>
        <w:t> </w:t>
      </w:r>
      <w:r>
        <w:rPr>
          <w:color w:val="231F20"/>
          <w:w w:val="110"/>
          <w:sz w:val="18"/>
        </w:rPr>
        <w:t>en</w:t>
      </w:r>
      <w:r>
        <w:rPr>
          <w:color w:val="231F20"/>
          <w:spacing w:val="-5"/>
          <w:w w:val="110"/>
          <w:sz w:val="18"/>
        </w:rPr>
        <w:t> </w:t>
      </w:r>
      <w:r>
        <w:rPr>
          <w:color w:val="231F20"/>
          <w:w w:val="110"/>
          <w:sz w:val="18"/>
        </w:rPr>
        <w:t>los</w:t>
      </w:r>
      <w:r>
        <w:rPr>
          <w:color w:val="231F20"/>
          <w:spacing w:val="-5"/>
          <w:w w:val="110"/>
          <w:sz w:val="18"/>
        </w:rPr>
        <w:t> </w:t>
      </w:r>
      <w:r>
        <w:rPr>
          <w:color w:val="231F20"/>
          <w:w w:val="110"/>
          <w:sz w:val="18"/>
        </w:rPr>
        <w:t>bancos,</w:t>
      </w:r>
      <w:r>
        <w:rPr>
          <w:color w:val="231F20"/>
          <w:spacing w:val="-5"/>
          <w:w w:val="110"/>
          <w:sz w:val="18"/>
        </w:rPr>
        <w:t> </w:t>
      </w:r>
      <w:r>
        <w:rPr>
          <w:color w:val="231F20"/>
          <w:w w:val="110"/>
          <w:sz w:val="18"/>
        </w:rPr>
        <w:t>incluso</w:t>
      </w:r>
      <w:r>
        <w:rPr>
          <w:color w:val="231F20"/>
          <w:spacing w:val="-5"/>
          <w:w w:val="110"/>
          <w:sz w:val="18"/>
        </w:rPr>
        <w:t> </w:t>
      </w:r>
      <w:r>
        <w:rPr>
          <w:color w:val="231F20"/>
          <w:w w:val="110"/>
          <w:sz w:val="18"/>
        </w:rPr>
        <w:t>por</w:t>
      </w:r>
      <w:r>
        <w:rPr>
          <w:color w:val="231F20"/>
          <w:spacing w:val="-5"/>
          <w:w w:val="110"/>
          <w:sz w:val="18"/>
        </w:rPr>
        <w:t> </w:t>
      </w:r>
      <w:r>
        <w:rPr>
          <w:color w:val="231F20"/>
          <w:w w:val="110"/>
          <w:sz w:val="18"/>
        </w:rPr>
        <w:t>parte</w:t>
      </w:r>
      <w:r>
        <w:rPr>
          <w:color w:val="231F20"/>
          <w:spacing w:val="-5"/>
          <w:w w:val="110"/>
          <w:sz w:val="18"/>
        </w:rPr>
        <w:t> </w:t>
      </w:r>
      <w:r>
        <w:rPr>
          <w:color w:val="231F20"/>
          <w:w w:val="110"/>
          <w:sz w:val="18"/>
        </w:rPr>
        <w:t>de</w:t>
      </w:r>
      <w:r>
        <w:rPr>
          <w:color w:val="231F20"/>
          <w:spacing w:val="-5"/>
          <w:w w:val="110"/>
          <w:sz w:val="18"/>
        </w:rPr>
        <w:t> </w:t>
      </w:r>
      <w:r>
        <w:rPr>
          <w:color w:val="231F20"/>
          <w:w w:val="110"/>
          <w:sz w:val="18"/>
        </w:rPr>
        <w:t>otros</w:t>
      </w:r>
      <w:r>
        <w:rPr>
          <w:color w:val="231F20"/>
          <w:spacing w:val="-5"/>
          <w:w w:val="110"/>
          <w:sz w:val="18"/>
        </w:rPr>
        <w:t> </w:t>
      </w:r>
      <w:r>
        <w:rPr>
          <w:color w:val="231F20"/>
          <w:w w:val="110"/>
          <w:sz w:val="18"/>
        </w:rPr>
        <w:t>bancos,</w:t>
      </w:r>
      <w:r>
        <w:rPr>
          <w:color w:val="231F20"/>
          <w:spacing w:val="-5"/>
          <w:w w:val="110"/>
          <w:sz w:val="18"/>
        </w:rPr>
        <w:t> </w:t>
      </w:r>
      <w:r>
        <w:rPr>
          <w:color w:val="231F20"/>
          <w:w w:val="110"/>
          <w:sz w:val="18"/>
        </w:rPr>
        <w:t>ha</w:t>
      </w:r>
      <w:r>
        <w:rPr>
          <w:color w:val="231F20"/>
          <w:spacing w:val="-5"/>
          <w:w w:val="110"/>
          <w:sz w:val="18"/>
        </w:rPr>
        <w:t> </w:t>
      </w:r>
      <w:r>
        <w:rPr>
          <w:color w:val="231F20"/>
          <w:w w:val="110"/>
          <w:sz w:val="18"/>
        </w:rPr>
        <w:t>reforzado</w:t>
      </w:r>
      <w:r>
        <w:rPr>
          <w:color w:val="231F20"/>
          <w:spacing w:val="-5"/>
          <w:w w:val="110"/>
          <w:sz w:val="18"/>
        </w:rPr>
        <w:t> </w:t>
      </w:r>
      <w:r>
        <w:rPr>
          <w:color w:val="231F20"/>
          <w:w w:val="110"/>
          <w:sz w:val="18"/>
        </w:rPr>
        <w:t>este círculo vicioso (Krugman,</w:t>
      </w:r>
      <w:r>
        <w:rPr>
          <w:color w:val="231F20"/>
          <w:spacing w:val="-34"/>
          <w:w w:val="110"/>
          <w:sz w:val="18"/>
        </w:rPr>
        <w:t> </w:t>
      </w:r>
      <w:r>
        <w:rPr>
          <w:color w:val="231F20"/>
          <w:w w:val="110"/>
          <w:sz w:val="18"/>
        </w:rPr>
        <w:t>2008).</w:t>
      </w:r>
    </w:p>
    <w:p>
      <w:pPr>
        <w:pStyle w:val="BodyText"/>
        <w:spacing w:before="2"/>
      </w:pPr>
    </w:p>
    <w:p>
      <w:pPr>
        <w:pStyle w:val="BodyText"/>
        <w:spacing w:line="261" w:lineRule="auto"/>
        <w:ind w:left="120" w:right="117" w:firstLine="240"/>
        <w:jc w:val="both"/>
      </w:pPr>
      <w:r>
        <w:rPr>
          <w:color w:val="231F20"/>
          <w:w w:val="110"/>
        </w:rPr>
        <w:t>El especulador George Soros ofrece su propia versión de los he- chos, develando su origen de la crisis en la “continua desregulación de</w:t>
      </w:r>
      <w:r>
        <w:rPr>
          <w:color w:val="231F20"/>
          <w:spacing w:val="-15"/>
          <w:w w:val="110"/>
        </w:rPr>
        <w:t> </w:t>
      </w:r>
      <w:r>
        <w:rPr>
          <w:color w:val="231F20"/>
          <w:w w:val="110"/>
        </w:rPr>
        <w:t>los</w:t>
      </w:r>
      <w:r>
        <w:rPr>
          <w:color w:val="231F20"/>
          <w:spacing w:val="-15"/>
          <w:w w:val="110"/>
        </w:rPr>
        <w:t> </w:t>
      </w:r>
      <w:r>
        <w:rPr>
          <w:color w:val="231F20"/>
          <w:w w:val="110"/>
        </w:rPr>
        <w:t>mercados”.</w:t>
      </w:r>
      <w:r>
        <w:rPr>
          <w:color w:val="231F20"/>
          <w:spacing w:val="-15"/>
          <w:w w:val="110"/>
        </w:rPr>
        <w:t> </w:t>
      </w:r>
      <w:r>
        <w:rPr>
          <w:color w:val="231F20"/>
          <w:w w:val="110"/>
        </w:rPr>
        <w:t>Así,</w:t>
      </w:r>
      <w:r>
        <w:rPr>
          <w:color w:val="231F20"/>
          <w:spacing w:val="-15"/>
          <w:w w:val="110"/>
        </w:rPr>
        <w:t> </w:t>
      </w:r>
      <w:r>
        <w:rPr>
          <w:color w:val="231F20"/>
          <w:w w:val="110"/>
        </w:rPr>
        <w:t>diría:</w:t>
      </w:r>
      <w:r>
        <w:rPr>
          <w:color w:val="231F20"/>
          <w:spacing w:val="-15"/>
          <w:w w:val="110"/>
        </w:rPr>
        <w:t> </w:t>
      </w:r>
      <w:r>
        <w:rPr>
          <w:color w:val="231F20"/>
          <w:w w:val="110"/>
        </w:rPr>
        <w:t>“El</w:t>
      </w:r>
      <w:r>
        <w:rPr>
          <w:color w:val="231F20"/>
          <w:spacing w:val="-15"/>
          <w:w w:val="110"/>
        </w:rPr>
        <w:t> </w:t>
      </w:r>
      <w:r>
        <w:rPr>
          <w:color w:val="231F20"/>
          <w:w w:val="110"/>
        </w:rPr>
        <w:t>estallido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burbuja</w:t>
      </w:r>
      <w:r>
        <w:rPr>
          <w:color w:val="231F20"/>
          <w:spacing w:val="-15"/>
          <w:w w:val="110"/>
        </w:rPr>
        <w:t> </w:t>
      </w:r>
      <w:r>
        <w:rPr>
          <w:color w:val="231F20"/>
          <w:w w:val="110"/>
        </w:rPr>
        <w:t>hipotecaria</w:t>
      </w:r>
      <w:r>
        <w:rPr>
          <w:color w:val="231F20"/>
          <w:spacing w:val="-15"/>
          <w:w w:val="110"/>
        </w:rPr>
        <w:t> </w:t>
      </w:r>
      <w:r>
        <w:rPr>
          <w:color w:val="231F20"/>
          <w:w w:val="110"/>
        </w:rPr>
        <w:t>en Estados Unidos detonó una superburbuja, debida a varios factores: la gran expansión del crédito, la mundialización de los mercados bursátiles, las innovaciones financieras facilitadas por una continua desregulación de los mercados (Peiró,</w:t>
      </w:r>
      <w:r>
        <w:rPr>
          <w:color w:val="231F20"/>
          <w:spacing w:val="36"/>
          <w:w w:val="110"/>
        </w:rPr>
        <w:t> </w:t>
      </w:r>
      <w:r>
        <w:rPr>
          <w:color w:val="231F20"/>
          <w:w w:val="110"/>
        </w:rPr>
        <w:t>2008).</w:t>
      </w:r>
    </w:p>
    <w:p>
      <w:pPr>
        <w:pStyle w:val="BodyText"/>
        <w:spacing w:before="11"/>
        <w:rPr>
          <w:sz w:val="24"/>
        </w:rPr>
      </w:pPr>
      <w:r>
        <w:rPr/>
        <w:pict>
          <v:line style="position:absolute;mso-position-horizontal-relative:page;mso-position-vertical-relative:paragraph;z-index:3928;mso-wrap-distance-left:0;mso-wrap-distance-right:0" from="44pt,16.557932pt" to="104pt,16.557932pt" stroked="true" strokeweight=".5pt" strokecolor="#231f20">
            <w10:wrap type="topAndBottom"/>
          </v:line>
        </w:pict>
      </w:r>
    </w:p>
    <w:p>
      <w:pPr>
        <w:spacing w:line="261" w:lineRule="auto" w:before="16"/>
        <w:ind w:left="120" w:right="117" w:firstLine="0"/>
        <w:jc w:val="both"/>
        <w:rPr>
          <w:sz w:val="16"/>
        </w:rPr>
      </w:pPr>
      <w:r>
        <w:rPr>
          <w:color w:val="231F20"/>
          <w:w w:val="110"/>
          <w:sz w:val="16"/>
        </w:rPr>
        <w:t>naturaleza no se contabilicen por el valor de mercado, una propuesta paradójica pues hasta entonces sostenían que si el mercado sirve para algo es para fijar el precio de todos los productos concurrentes en el  mercado.</w:t>
      </w:r>
    </w:p>
    <w:p>
      <w:pPr>
        <w:spacing w:after="0" w:line="261" w:lineRule="auto"/>
        <w:jc w:val="both"/>
        <w:rPr>
          <w:sz w:val="16"/>
        </w:rPr>
        <w:sectPr>
          <w:pgSz w:w="7640" w:h="11900"/>
          <w:pgMar w:header="672" w:footer="0" w:top="860" w:bottom="280" w:left="760" w:right="640"/>
        </w:sectPr>
      </w:pPr>
    </w:p>
    <w:p>
      <w:pPr>
        <w:pStyle w:val="BodyText"/>
        <w:spacing w:before="8"/>
        <w:rPr>
          <w:sz w:val="8"/>
        </w:rPr>
      </w:pPr>
    </w:p>
    <w:p>
      <w:pPr>
        <w:pStyle w:val="BodyText"/>
        <w:spacing w:line="261" w:lineRule="auto" w:before="67"/>
        <w:ind w:left="100" w:right="114" w:firstLine="252"/>
        <w:jc w:val="both"/>
      </w:pPr>
      <w:r>
        <w:rPr>
          <w:color w:val="231F20"/>
          <w:w w:val="110"/>
        </w:rPr>
        <w:t>Fue así cómo la inicial crisis hipotecaria de Estados Unidos se convirtió</w:t>
      </w:r>
      <w:r>
        <w:rPr>
          <w:color w:val="231F20"/>
          <w:spacing w:val="-12"/>
          <w:w w:val="110"/>
        </w:rPr>
        <w:t> </w:t>
      </w:r>
      <w:r>
        <w:rPr>
          <w:color w:val="231F20"/>
          <w:w w:val="110"/>
        </w:rPr>
        <w:t>en</w:t>
      </w:r>
      <w:r>
        <w:rPr>
          <w:color w:val="231F20"/>
          <w:spacing w:val="-12"/>
          <w:w w:val="110"/>
        </w:rPr>
        <w:t> </w:t>
      </w:r>
      <w:r>
        <w:rPr>
          <w:color w:val="231F20"/>
          <w:w w:val="110"/>
        </w:rPr>
        <w:t>una</w:t>
      </w:r>
      <w:r>
        <w:rPr>
          <w:color w:val="231F20"/>
          <w:spacing w:val="-12"/>
          <w:w w:val="110"/>
        </w:rPr>
        <w:t> </w:t>
      </w:r>
      <w:r>
        <w:rPr>
          <w:color w:val="231F20"/>
          <w:w w:val="110"/>
        </w:rPr>
        <w:t>crisis</w:t>
      </w:r>
      <w:r>
        <w:rPr>
          <w:color w:val="231F20"/>
          <w:spacing w:val="-12"/>
          <w:w w:val="110"/>
        </w:rPr>
        <w:t> </w:t>
      </w:r>
      <w:r>
        <w:rPr>
          <w:color w:val="231F20"/>
          <w:w w:val="110"/>
        </w:rPr>
        <w:t>financiera</w:t>
      </w:r>
      <w:r>
        <w:rPr>
          <w:color w:val="231F20"/>
          <w:spacing w:val="-12"/>
          <w:w w:val="110"/>
        </w:rPr>
        <w:t> </w:t>
      </w:r>
      <w:r>
        <w:rPr>
          <w:color w:val="231F20"/>
          <w:w w:val="110"/>
        </w:rPr>
        <w:t>global,</w:t>
      </w:r>
      <w:r>
        <w:rPr>
          <w:color w:val="231F20"/>
          <w:spacing w:val="-12"/>
          <w:w w:val="110"/>
        </w:rPr>
        <w:t> </w:t>
      </w:r>
      <w:r>
        <w:rPr>
          <w:color w:val="231F20"/>
          <w:w w:val="110"/>
        </w:rPr>
        <w:t>que</w:t>
      </w:r>
      <w:r>
        <w:rPr>
          <w:color w:val="231F20"/>
          <w:spacing w:val="-12"/>
          <w:w w:val="110"/>
        </w:rPr>
        <w:t> </w:t>
      </w:r>
      <w:r>
        <w:rPr>
          <w:color w:val="231F20"/>
          <w:w w:val="110"/>
        </w:rPr>
        <w:t>tampoco</w:t>
      </w:r>
      <w:r>
        <w:rPr>
          <w:color w:val="231F20"/>
          <w:spacing w:val="-12"/>
          <w:w w:val="110"/>
        </w:rPr>
        <w:t> </w:t>
      </w:r>
      <w:r>
        <w:rPr>
          <w:color w:val="231F20"/>
          <w:w w:val="110"/>
        </w:rPr>
        <w:t>quedó</w:t>
      </w:r>
      <w:r>
        <w:rPr>
          <w:color w:val="231F20"/>
          <w:spacing w:val="-12"/>
          <w:w w:val="110"/>
        </w:rPr>
        <w:t> </w:t>
      </w:r>
      <w:r>
        <w:rPr>
          <w:color w:val="231F20"/>
          <w:w w:val="110"/>
        </w:rPr>
        <w:t>ahí</w:t>
      </w:r>
      <w:r>
        <w:rPr>
          <w:color w:val="231F20"/>
          <w:spacing w:val="-12"/>
          <w:w w:val="110"/>
        </w:rPr>
        <w:t> </w:t>
      </w:r>
      <w:r>
        <w:rPr>
          <w:color w:val="231F20"/>
          <w:w w:val="110"/>
        </w:rPr>
        <w:t>pues en cuanto los mercados financieros comenzaron a dar muestras de inestabilidad por falta de liquidez, se produjeron como</w:t>
      </w:r>
      <w:r>
        <w:rPr>
          <w:color w:val="231F20"/>
          <w:spacing w:val="-34"/>
          <w:w w:val="110"/>
        </w:rPr>
        <w:t> </w:t>
      </w:r>
      <w:r>
        <w:rPr>
          <w:color w:val="231F20"/>
          <w:w w:val="110"/>
        </w:rPr>
        <w:t>consecuencia dos fenómenos</w:t>
      </w:r>
      <w:r>
        <w:rPr>
          <w:color w:val="231F20"/>
          <w:spacing w:val="-26"/>
          <w:w w:val="110"/>
        </w:rPr>
        <w:t> </w:t>
      </w:r>
      <w:r>
        <w:rPr>
          <w:color w:val="231F20"/>
          <w:w w:val="110"/>
        </w:rPr>
        <w:t>inevitables:</w:t>
      </w:r>
    </w:p>
    <w:p>
      <w:pPr>
        <w:pStyle w:val="BodyText"/>
        <w:spacing w:before="6"/>
      </w:pPr>
    </w:p>
    <w:p>
      <w:pPr>
        <w:pStyle w:val="BodyText"/>
        <w:spacing w:line="259" w:lineRule="auto"/>
        <w:ind w:left="460" w:right="117" w:hanging="360"/>
        <w:jc w:val="both"/>
      </w:pPr>
      <w:r>
        <w:rPr>
          <w:rFonts w:ascii="Calibri" w:hAnsi="Calibri"/>
          <w:color w:val="231F20"/>
          <w:w w:val="110"/>
        </w:rPr>
        <w:t>1] </w:t>
      </w:r>
      <w:r>
        <w:rPr>
          <w:color w:val="231F20"/>
          <w:w w:val="110"/>
        </w:rPr>
        <w:t>La desviación de los fondos especulativos desde los mercados</w:t>
      </w:r>
      <w:r>
        <w:rPr>
          <w:color w:val="231F20"/>
          <w:spacing w:val="-4"/>
          <w:w w:val="110"/>
        </w:rPr>
        <w:t> </w:t>
      </w:r>
      <w:r>
        <w:rPr>
          <w:color w:val="231F20"/>
          <w:w w:val="110"/>
        </w:rPr>
        <w:t>fi- nancieros e inmobiliarios en crisis, a otros donde había tenden- cias,</w:t>
      </w:r>
      <w:r>
        <w:rPr>
          <w:color w:val="231F20"/>
          <w:spacing w:val="-10"/>
          <w:w w:val="110"/>
        </w:rPr>
        <w:t> </w:t>
      </w:r>
      <w:r>
        <w:rPr>
          <w:color w:val="231F20"/>
          <w:w w:val="110"/>
        </w:rPr>
        <w:t>más</w:t>
      </w:r>
      <w:r>
        <w:rPr>
          <w:color w:val="231F20"/>
          <w:spacing w:val="-10"/>
          <w:w w:val="110"/>
        </w:rPr>
        <w:t> </w:t>
      </w:r>
      <w:r>
        <w:rPr>
          <w:color w:val="231F20"/>
          <w:w w:val="110"/>
        </w:rPr>
        <w:t>o</w:t>
      </w:r>
      <w:r>
        <w:rPr>
          <w:color w:val="231F20"/>
          <w:spacing w:val="-10"/>
          <w:w w:val="110"/>
        </w:rPr>
        <w:t> </w:t>
      </w:r>
      <w:r>
        <w:rPr>
          <w:color w:val="231F20"/>
          <w:w w:val="110"/>
        </w:rPr>
        <w:t>menos</w:t>
      </w:r>
      <w:r>
        <w:rPr>
          <w:color w:val="231F20"/>
          <w:spacing w:val="-10"/>
          <w:w w:val="110"/>
        </w:rPr>
        <w:t> </w:t>
      </w:r>
      <w:r>
        <w:rPr>
          <w:color w:val="231F20"/>
          <w:w w:val="110"/>
        </w:rPr>
        <w:t>constantes,</w:t>
      </w:r>
      <w:r>
        <w:rPr>
          <w:color w:val="231F20"/>
          <w:spacing w:val="-10"/>
          <w:w w:val="110"/>
        </w:rPr>
        <w:t> </w:t>
      </w:r>
      <w:r>
        <w:rPr>
          <w:color w:val="231F20"/>
          <w:w w:val="110"/>
        </w:rPr>
        <w:t>al</w:t>
      </w:r>
      <w:r>
        <w:rPr>
          <w:color w:val="231F20"/>
          <w:spacing w:val="-10"/>
          <w:w w:val="110"/>
        </w:rPr>
        <w:t> </w:t>
      </w:r>
      <w:r>
        <w:rPr>
          <w:color w:val="231F20"/>
          <w:w w:val="110"/>
        </w:rPr>
        <w:t>alza</w:t>
      </w:r>
      <w:r>
        <w:rPr>
          <w:color w:val="231F20"/>
          <w:spacing w:val="-10"/>
          <w:w w:val="110"/>
        </w:rPr>
        <w:t> </w:t>
      </w:r>
      <w:r>
        <w:rPr>
          <w:color w:val="231F20"/>
          <w:w w:val="110"/>
        </w:rPr>
        <w:t>de</w:t>
      </w:r>
      <w:r>
        <w:rPr>
          <w:color w:val="231F20"/>
          <w:spacing w:val="-10"/>
          <w:w w:val="110"/>
        </w:rPr>
        <w:t> </w:t>
      </w:r>
      <w:r>
        <w:rPr>
          <w:color w:val="231F20"/>
          <w:w w:val="110"/>
        </w:rPr>
        <w:t>precios</w:t>
      </w:r>
      <w:r>
        <w:rPr>
          <w:color w:val="231F20"/>
          <w:spacing w:val="-10"/>
          <w:w w:val="110"/>
        </w:rPr>
        <w:t> </w:t>
      </w:r>
      <w:r>
        <w:rPr>
          <w:color w:val="231F20"/>
          <w:w w:val="110"/>
        </w:rPr>
        <w:t>como</w:t>
      </w:r>
      <w:r>
        <w:rPr>
          <w:color w:val="231F20"/>
          <w:spacing w:val="-10"/>
          <w:w w:val="110"/>
        </w:rPr>
        <w:t> </w:t>
      </w:r>
      <w:r>
        <w:rPr>
          <w:color w:val="231F20"/>
          <w:w w:val="110"/>
        </w:rPr>
        <w:t>fue</w:t>
      </w:r>
      <w:r>
        <w:rPr>
          <w:color w:val="231F20"/>
          <w:spacing w:val="-10"/>
          <w:w w:val="110"/>
        </w:rPr>
        <w:t> </w:t>
      </w:r>
      <w:r>
        <w:rPr>
          <w:color w:val="231F20"/>
          <w:w w:val="110"/>
        </w:rPr>
        <w:t>el</w:t>
      </w:r>
      <w:r>
        <w:rPr>
          <w:color w:val="231F20"/>
          <w:spacing w:val="-10"/>
          <w:w w:val="110"/>
        </w:rPr>
        <w:t> </w:t>
      </w:r>
      <w:r>
        <w:rPr>
          <w:color w:val="231F20"/>
          <w:w w:val="110"/>
        </w:rPr>
        <w:t>caso del</w:t>
      </w:r>
      <w:r>
        <w:rPr>
          <w:color w:val="231F20"/>
          <w:spacing w:val="-16"/>
          <w:w w:val="110"/>
        </w:rPr>
        <w:t> </w:t>
      </w:r>
      <w:r>
        <w:rPr>
          <w:color w:val="231F20"/>
          <w:w w:val="110"/>
        </w:rPr>
        <w:t>petróleo</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comercio</w:t>
      </w:r>
      <w:r>
        <w:rPr>
          <w:color w:val="231F20"/>
          <w:spacing w:val="-16"/>
          <w:w w:val="110"/>
        </w:rPr>
        <w:t> </w:t>
      </w:r>
      <w:r>
        <w:rPr>
          <w:color w:val="231F20"/>
          <w:w w:val="110"/>
        </w:rPr>
        <w:t>—monopólico—</w:t>
      </w:r>
      <w:r>
        <w:rPr>
          <w:color w:val="231F20"/>
          <w:spacing w:val="-16"/>
          <w:w w:val="110"/>
        </w:rPr>
        <w:t> </w:t>
      </w:r>
      <w:r>
        <w:rPr>
          <w:color w:val="231F20"/>
          <w:w w:val="110"/>
        </w:rPr>
        <w:t>de</w:t>
      </w:r>
      <w:r>
        <w:rPr>
          <w:color w:val="231F20"/>
          <w:spacing w:val="-16"/>
          <w:w w:val="110"/>
        </w:rPr>
        <w:t> </w:t>
      </w:r>
      <w:r>
        <w:rPr>
          <w:color w:val="231F20"/>
          <w:w w:val="110"/>
        </w:rPr>
        <w:t>alimentos.</w:t>
      </w:r>
      <w:r>
        <w:rPr>
          <w:color w:val="231F20"/>
          <w:spacing w:val="-16"/>
          <w:w w:val="110"/>
        </w:rPr>
        <w:t> </w:t>
      </w:r>
      <w:r>
        <w:rPr>
          <w:color w:val="231F20"/>
          <w:w w:val="110"/>
        </w:rPr>
        <w:t>De</w:t>
      </w:r>
      <w:r>
        <w:rPr>
          <w:color w:val="231F20"/>
          <w:spacing w:val="-16"/>
          <w:w w:val="110"/>
        </w:rPr>
        <w:t> </w:t>
      </w:r>
      <w:r>
        <w:rPr>
          <w:color w:val="231F20"/>
          <w:w w:val="110"/>
        </w:rPr>
        <w:t>esta manera, el traslado de capitales de la economía financiera a la economía</w:t>
      </w:r>
      <w:r>
        <w:rPr>
          <w:color w:val="231F20"/>
          <w:spacing w:val="-14"/>
          <w:w w:val="110"/>
        </w:rPr>
        <w:t> </w:t>
      </w:r>
      <w:r>
        <w:rPr>
          <w:color w:val="231F20"/>
          <w:w w:val="110"/>
        </w:rPr>
        <w:t>real</w:t>
      </w:r>
      <w:r>
        <w:rPr>
          <w:color w:val="231F20"/>
          <w:spacing w:val="-14"/>
          <w:w w:val="110"/>
        </w:rPr>
        <w:t> </w:t>
      </w:r>
      <w:r>
        <w:rPr>
          <w:color w:val="231F20"/>
          <w:w w:val="110"/>
        </w:rPr>
        <w:t>se</w:t>
      </w:r>
      <w:r>
        <w:rPr>
          <w:color w:val="231F20"/>
          <w:spacing w:val="-14"/>
          <w:w w:val="110"/>
        </w:rPr>
        <w:t> </w:t>
      </w:r>
      <w:r>
        <w:rPr>
          <w:color w:val="231F20"/>
          <w:w w:val="110"/>
        </w:rPr>
        <w:t>convirtió</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mecanismo</w:t>
      </w:r>
      <w:r>
        <w:rPr>
          <w:color w:val="231F20"/>
          <w:spacing w:val="-14"/>
          <w:w w:val="110"/>
        </w:rPr>
        <w:t> </w:t>
      </w:r>
      <w:r>
        <w:rPr>
          <w:color w:val="231F20"/>
          <w:w w:val="110"/>
        </w:rPr>
        <w:t>que</w:t>
      </w:r>
      <w:r>
        <w:rPr>
          <w:color w:val="231F20"/>
          <w:spacing w:val="-14"/>
          <w:w w:val="110"/>
        </w:rPr>
        <w:t> </w:t>
      </w:r>
      <w:r>
        <w:rPr>
          <w:color w:val="231F20"/>
          <w:w w:val="110"/>
        </w:rPr>
        <w:t>llevó</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del sector financiero a la producción</w:t>
      </w:r>
      <w:r>
        <w:rPr>
          <w:color w:val="231F20"/>
          <w:spacing w:val="-6"/>
          <w:w w:val="110"/>
        </w:rPr>
        <w:t> </w:t>
      </w:r>
      <w:r>
        <w:rPr>
          <w:color w:val="231F20"/>
          <w:w w:val="110"/>
        </w:rPr>
        <w:t>económica.</w:t>
      </w:r>
    </w:p>
    <w:p>
      <w:pPr>
        <w:pStyle w:val="BodyText"/>
        <w:spacing w:line="261" w:lineRule="auto" w:before="2"/>
        <w:ind w:left="460" w:right="117" w:firstLine="200"/>
        <w:jc w:val="both"/>
      </w:pPr>
      <w:r>
        <w:rPr>
          <w:color w:val="231F20"/>
          <w:w w:val="110"/>
        </w:rPr>
        <w:t>Esta</w:t>
      </w:r>
      <w:r>
        <w:rPr>
          <w:color w:val="231F20"/>
          <w:spacing w:val="-16"/>
          <w:w w:val="110"/>
        </w:rPr>
        <w:t> </w:t>
      </w:r>
      <w:r>
        <w:rPr>
          <w:color w:val="231F20"/>
          <w:w w:val="110"/>
        </w:rPr>
        <w:t>migración</w:t>
      </w:r>
      <w:r>
        <w:rPr>
          <w:color w:val="231F20"/>
          <w:spacing w:val="-16"/>
          <w:w w:val="110"/>
        </w:rPr>
        <w:t> </w:t>
      </w:r>
      <w:r>
        <w:rPr>
          <w:color w:val="231F20"/>
          <w:w w:val="110"/>
        </w:rPr>
        <w:t>de</w:t>
      </w:r>
      <w:r>
        <w:rPr>
          <w:color w:val="231F20"/>
          <w:spacing w:val="-16"/>
          <w:w w:val="110"/>
        </w:rPr>
        <w:t> </w:t>
      </w:r>
      <w:r>
        <w:rPr>
          <w:color w:val="231F20"/>
          <w:w w:val="110"/>
        </w:rPr>
        <w:t>capitales</w:t>
      </w:r>
      <w:r>
        <w:rPr>
          <w:color w:val="231F20"/>
          <w:spacing w:val="-16"/>
          <w:w w:val="110"/>
        </w:rPr>
        <w:t> </w:t>
      </w:r>
      <w:r>
        <w:rPr>
          <w:color w:val="231F20"/>
          <w:w w:val="110"/>
        </w:rPr>
        <w:t>desató</w:t>
      </w:r>
      <w:r>
        <w:rPr>
          <w:color w:val="231F20"/>
          <w:spacing w:val="-16"/>
          <w:w w:val="110"/>
        </w:rPr>
        <w:t> </w:t>
      </w:r>
      <w:r>
        <w:rPr>
          <w:color w:val="231F20"/>
          <w:w w:val="110"/>
        </w:rPr>
        <w:t>una</w:t>
      </w:r>
      <w:r>
        <w:rPr>
          <w:color w:val="231F20"/>
          <w:spacing w:val="-16"/>
          <w:w w:val="110"/>
        </w:rPr>
        <w:t> </w:t>
      </w:r>
      <w:r>
        <w:rPr>
          <w:color w:val="231F20"/>
          <w:w w:val="110"/>
        </w:rPr>
        <w:t>alza</w:t>
      </w:r>
      <w:r>
        <w:rPr>
          <w:color w:val="231F20"/>
          <w:spacing w:val="-16"/>
          <w:w w:val="110"/>
        </w:rPr>
        <w:t> </w:t>
      </w:r>
      <w:r>
        <w:rPr>
          <w:color w:val="231F20"/>
          <w:w w:val="110"/>
        </w:rPr>
        <w:t>inmoderada</w:t>
      </w:r>
      <w:r>
        <w:rPr>
          <w:color w:val="231F20"/>
          <w:spacing w:val="-16"/>
          <w:w w:val="110"/>
        </w:rPr>
        <w:t> </w:t>
      </w:r>
      <w:r>
        <w:rPr>
          <w:color w:val="231F20"/>
          <w:w w:val="110"/>
        </w:rPr>
        <w:t>de</w:t>
      </w:r>
      <w:r>
        <w:rPr>
          <w:color w:val="231F20"/>
          <w:spacing w:val="-16"/>
          <w:w w:val="110"/>
        </w:rPr>
        <w:t> </w:t>
      </w:r>
      <w:r>
        <w:rPr>
          <w:color w:val="231F20"/>
          <w:w w:val="110"/>
        </w:rPr>
        <w:t>pre- cios en ambos sectores, provocando una desenfrenada</w:t>
      </w:r>
      <w:r>
        <w:rPr>
          <w:color w:val="231F20"/>
          <w:spacing w:val="-10"/>
          <w:w w:val="110"/>
        </w:rPr>
        <w:t> </w:t>
      </w:r>
      <w:r>
        <w:rPr>
          <w:color w:val="231F20"/>
          <w:w w:val="110"/>
        </w:rPr>
        <w:t>elevación de costos de todas las actividades productivas que utilizan</w:t>
      </w:r>
      <w:r>
        <w:rPr>
          <w:color w:val="231F20"/>
          <w:spacing w:val="-18"/>
          <w:w w:val="110"/>
        </w:rPr>
        <w:t> </w:t>
      </w:r>
      <w:r>
        <w:rPr>
          <w:color w:val="231F20"/>
          <w:w w:val="110"/>
        </w:rPr>
        <w:t>como fuente</w:t>
      </w:r>
      <w:r>
        <w:rPr>
          <w:color w:val="231F20"/>
          <w:spacing w:val="-6"/>
          <w:w w:val="110"/>
        </w:rPr>
        <w:t> </w:t>
      </w:r>
      <w:r>
        <w:rPr>
          <w:color w:val="231F20"/>
          <w:w w:val="110"/>
        </w:rPr>
        <w:t>energética</w:t>
      </w:r>
      <w:r>
        <w:rPr>
          <w:color w:val="231F20"/>
          <w:spacing w:val="-6"/>
          <w:w w:val="110"/>
        </w:rPr>
        <w:t> </w:t>
      </w:r>
      <w:r>
        <w:rPr>
          <w:color w:val="231F20"/>
          <w:w w:val="110"/>
        </w:rPr>
        <w:t>el</w:t>
      </w:r>
      <w:r>
        <w:rPr>
          <w:color w:val="231F20"/>
          <w:spacing w:val="-6"/>
          <w:w w:val="110"/>
        </w:rPr>
        <w:t> </w:t>
      </w:r>
      <w:r>
        <w:rPr>
          <w:color w:val="231F20"/>
          <w:w w:val="110"/>
        </w:rPr>
        <w:t>petróleo;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misma</w:t>
      </w:r>
      <w:r>
        <w:rPr>
          <w:color w:val="231F20"/>
          <w:spacing w:val="-6"/>
          <w:w w:val="110"/>
        </w:rPr>
        <w:t> </w:t>
      </w:r>
      <w:r>
        <w:rPr>
          <w:color w:val="231F20"/>
          <w:w w:val="110"/>
        </w:rPr>
        <w:t>manera,</w:t>
      </w:r>
      <w:r>
        <w:rPr>
          <w:color w:val="231F20"/>
          <w:spacing w:val="-6"/>
          <w:w w:val="110"/>
        </w:rPr>
        <w:t> </w:t>
      </w:r>
      <w:r>
        <w:rPr>
          <w:color w:val="231F20"/>
          <w:w w:val="110"/>
        </w:rPr>
        <w:t>los</w:t>
      </w:r>
      <w:r>
        <w:rPr>
          <w:color w:val="231F20"/>
          <w:spacing w:val="-6"/>
          <w:w w:val="110"/>
        </w:rPr>
        <w:t> </w:t>
      </w:r>
      <w:r>
        <w:rPr>
          <w:color w:val="231F20"/>
          <w:w w:val="110"/>
        </w:rPr>
        <w:t>precios</w:t>
      </w:r>
      <w:r>
        <w:rPr>
          <w:color w:val="231F20"/>
          <w:spacing w:val="-6"/>
          <w:w w:val="110"/>
        </w:rPr>
        <w:t> </w:t>
      </w:r>
      <w:r>
        <w:rPr>
          <w:color w:val="231F20"/>
          <w:w w:val="110"/>
        </w:rPr>
        <w:t>de los</w:t>
      </w:r>
      <w:r>
        <w:rPr>
          <w:color w:val="231F20"/>
          <w:spacing w:val="-9"/>
          <w:w w:val="110"/>
        </w:rPr>
        <w:t> </w:t>
      </w:r>
      <w:r>
        <w:rPr>
          <w:color w:val="231F20"/>
          <w:w w:val="110"/>
        </w:rPr>
        <w:t>productos</w:t>
      </w:r>
      <w:r>
        <w:rPr>
          <w:color w:val="231F20"/>
          <w:spacing w:val="-9"/>
          <w:w w:val="110"/>
        </w:rPr>
        <w:t> </w:t>
      </w:r>
      <w:r>
        <w:rPr>
          <w:color w:val="231F20"/>
          <w:w w:val="110"/>
        </w:rPr>
        <w:t>alimentarios</w:t>
      </w:r>
      <w:r>
        <w:rPr>
          <w:color w:val="231F20"/>
          <w:spacing w:val="-9"/>
          <w:w w:val="110"/>
        </w:rPr>
        <w:t> </w:t>
      </w:r>
      <w:r>
        <w:rPr>
          <w:color w:val="231F20"/>
          <w:w w:val="110"/>
        </w:rPr>
        <w:t>se</w:t>
      </w:r>
      <w:r>
        <w:rPr>
          <w:color w:val="231F20"/>
          <w:spacing w:val="-9"/>
          <w:w w:val="110"/>
        </w:rPr>
        <w:t> </w:t>
      </w:r>
      <w:r>
        <w:rPr>
          <w:color w:val="231F20"/>
          <w:w w:val="110"/>
        </w:rPr>
        <w:t>elevaron</w:t>
      </w:r>
      <w:r>
        <w:rPr>
          <w:color w:val="231F20"/>
          <w:spacing w:val="-9"/>
          <w:w w:val="110"/>
        </w:rPr>
        <w:t> </w:t>
      </w:r>
      <w:r>
        <w:rPr>
          <w:color w:val="231F20"/>
          <w:w w:val="110"/>
        </w:rPr>
        <w:t>rápidamente</w:t>
      </w:r>
      <w:r>
        <w:rPr>
          <w:color w:val="231F20"/>
          <w:spacing w:val="-9"/>
          <w:w w:val="110"/>
        </w:rPr>
        <w:t> </w:t>
      </w:r>
      <w:r>
        <w:rPr>
          <w:color w:val="231F20"/>
          <w:w w:val="110"/>
        </w:rPr>
        <w:t>generando</w:t>
      </w:r>
      <w:r>
        <w:rPr>
          <w:color w:val="231F20"/>
          <w:spacing w:val="-9"/>
          <w:w w:val="110"/>
        </w:rPr>
        <w:t> </w:t>
      </w:r>
      <w:r>
        <w:rPr>
          <w:color w:val="231F20"/>
          <w:w w:val="110"/>
        </w:rPr>
        <w:t>la llamada “crisis alimentaria” mundial que, como siempre, afectó a la población de los países más pobres del </w:t>
      </w:r>
      <w:r>
        <w:rPr>
          <w:color w:val="231F20"/>
          <w:spacing w:val="5"/>
          <w:w w:val="110"/>
        </w:rPr>
        <w:t> </w:t>
      </w:r>
      <w:r>
        <w:rPr>
          <w:color w:val="231F20"/>
          <w:w w:val="110"/>
        </w:rPr>
        <w:t>planeta.</w:t>
      </w:r>
    </w:p>
    <w:p>
      <w:pPr>
        <w:pStyle w:val="BodyText"/>
        <w:spacing w:line="259" w:lineRule="auto"/>
        <w:ind w:left="460" w:right="119" w:hanging="360"/>
        <w:jc w:val="both"/>
      </w:pPr>
      <w:r>
        <w:rPr>
          <w:rFonts w:ascii="Calibri" w:hAnsi="Calibri"/>
          <w:color w:val="231F20"/>
          <w:w w:val="110"/>
        </w:rPr>
        <w:t>2] </w:t>
      </w:r>
      <w:r>
        <w:rPr>
          <w:color w:val="231F20"/>
          <w:w w:val="110"/>
        </w:rPr>
        <w:t>Al momento de cerrarse el financiamiento interbancario, se pro- dujo</w:t>
      </w:r>
      <w:r>
        <w:rPr>
          <w:color w:val="231F20"/>
          <w:spacing w:val="-10"/>
          <w:w w:val="110"/>
        </w:rPr>
        <w:t> </w:t>
      </w:r>
      <w:r>
        <w:rPr>
          <w:color w:val="231F20"/>
          <w:w w:val="110"/>
        </w:rPr>
        <w:t>una</w:t>
      </w:r>
      <w:r>
        <w:rPr>
          <w:color w:val="231F20"/>
          <w:spacing w:val="-10"/>
          <w:w w:val="110"/>
        </w:rPr>
        <w:t> </w:t>
      </w:r>
      <w:r>
        <w:rPr>
          <w:color w:val="231F20"/>
          <w:w w:val="110"/>
        </w:rPr>
        <w:t>progresiva</w:t>
      </w:r>
      <w:r>
        <w:rPr>
          <w:color w:val="231F20"/>
          <w:spacing w:val="-10"/>
          <w:w w:val="110"/>
        </w:rPr>
        <w:t> </w:t>
      </w:r>
      <w:r>
        <w:rPr>
          <w:color w:val="231F20"/>
          <w:w w:val="110"/>
        </w:rPr>
        <w:t>parálisis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actividad</w:t>
      </w:r>
      <w:r>
        <w:rPr>
          <w:color w:val="231F20"/>
          <w:spacing w:val="-10"/>
          <w:w w:val="110"/>
        </w:rPr>
        <w:t> </w:t>
      </w:r>
      <w:r>
        <w:rPr>
          <w:color w:val="231F20"/>
          <w:w w:val="110"/>
        </w:rPr>
        <w:t>económica</w:t>
      </w:r>
      <w:r>
        <w:rPr>
          <w:color w:val="231F20"/>
          <w:spacing w:val="-10"/>
          <w:w w:val="110"/>
        </w:rPr>
        <w:t> </w:t>
      </w:r>
      <w:r>
        <w:rPr>
          <w:color w:val="231F20"/>
          <w:w w:val="110"/>
        </w:rPr>
        <w:t>en</w:t>
      </w:r>
      <w:r>
        <w:rPr>
          <w:color w:val="231F20"/>
          <w:spacing w:val="-10"/>
          <w:w w:val="110"/>
        </w:rPr>
        <w:t> </w:t>
      </w:r>
      <w:r>
        <w:rPr>
          <w:color w:val="231F20"/>
          <w:w w:val="110"/>
        </w:rPr>
        <w:t>diver- sos sectores productivos, particularmente aquellos que son más sensibles al financiamiento bancario. Con esto, las</w:t>
      </w:r>
      <w:r>
        <w:rPr>
          <w:color w:val="231F20"/>
          <w:spacing w:val="-5"/>
          <w:w w:val="110"/>
        </w:rPr>
        <w:t> </w:t>
      </w:r>
      <w:r>
        <w:rPr>
          <w:color w:val="231F20"/>
          <w:w w:val="110"/>
        </w:rPr>
        <w:t>empresas</w:t>
      </w:r>
      <w:r>
        <w:rPr>
          <w:color w:val="231F20"/>
          <w:spacing w:val="-1"/>
          <w:w w:val="110"/>
        </w:rPr>
        <w:t> </w:t>
      </w:r>
      <w:r>
        <w:rPr>
          <w:color w:val="231F20"/>
          <w:w w:val="110"/>
        </w:rPr>
        <w:t>co-</w:t>
      </w:r>
      <w:r>
        <w:rPr>
          <w:color w:val="231F20"/>
          <w:w w:val="72"/>
        </w:rPr>
        <w:t> </w:t>
      </w:r>
      <w:r>
        <w:rPr>
          <w:color w:val="231F20"/>
          <w:w w:val="110"/>
        </w:rPr>
        <w:t>menzaron a trasladar el financiamiento a los proveedores, que pronto entraron también en</w:t>
      </w:r>
      <w:r>
        <w:rPr>
          <w:color w:val="231F20"/>
          <w:spacing w:val="40"/>
          <w:w w:val="110"/>
        </w:rPr>
        <w:t> </w:t>
      </w:r>
      <w:r>
        <w:rPr>
          <w:color w:val="231F20"/>
          <w:w w:val="110"/>
        </w:rPr>
        <w:t>crisis.</w:t>
      </w:r>
    </w:p>
    <w:p>
      <w:pPr>
        <w:pStyle w:val="BodyText"/>
        <w:spacing w:line="261" w:lineRule="auto" w:before="2"/>
        <w:ind w:left="460" w:right="117" w:firstLine="203"/>
        <w:jc w:val="both"/>
      </w:pPr>
      <w:r>
        <w:rPr>
          <w:color w:val="231F20"/>
          <w:spacing w:val="2"/>
          <w:w w:val="110"/>
        </w:rPr>
        <w:t>Finalmente, </w:t>
      </w:r>
      <w:r>
        <w:rPr>
          <w:color w:val="231F20"/>
          <w:w w:val="110"/>
        </w:rPr>
        <w:t>una </w:t>
      </w:r>
      <w:r>
        <w:rPr>
          <w:color w:val="231F20"/>
          <w:spacing w:val="2"/>
          <w:w w:val="110"/>
        </w:rPr>
        <w:t>crisis hipotecaria local </w:t>
      </w:r>
      <w:r>
        <w:rPr>
          <w:color w:val="231F20"/>
          <w:w w:val="110"/>
        </w:rPr>
        <w:t>—la </w:t>
      </w:r>
      <w:r>
        <w:rPr>
          <w:color w:val="231F20"/>
          <w:spacing w:val="2"/>
          <w:w w:val="110"/>
        </w:rPr>
        <w:t>estaduniden- </w:t>
      </w:r>
      <w:r>
        <w:rPr>
          <w:color w:val="231F20"/>
          <w:w w:val="110"/>
        </w:rPr>
        <w:t>se— se había convertido en una crisis real y global, una crisis de sobreacumulación donde la generalizada caída de la tasa de ganancia reducía las oportunidades de inversión, tanto en los países metropolitanos como en los periféricos, y dificultaba la acumulación del</w:t>
      </w:r>
      <w:r>
        <w:rPr>
          <w:color w:val="231F20"/>
          <w:spacing w:val="9"/>
          <w:w w:val="110"/>
        </w:rPr>
        <w:t> </w:t>
      </w:r>
      <w:r>
        <w:rPr>
          <w:color w:val="231F20"/>
          <w:w w:val="110"/>
        </w:rPr>
        <w:t>capital.</w:t>
      </w:r>
    </w:p>
    <w:p>
      <w:pPr>
        <w:pStyle w:val="BodyText"/>
      </w:pPr>
    </w:p>
    <w:p>
      <w:pPr>
        <w:pStyle w:val="BodyText"/>
      </w:pPr>
    </w:p>
    <w:p>
      <w:pPr>
        <w:pStyle w:val="BodyText"/>
        <w:spacing w:before="2"/>
        <w:rPr>
          <w:sz w:val="25"/>
        </w:rPr>
      </w:pPr>
    </w:p>
    <w:p>
      <w:pPr>
        <w:pStyle w:val="BodyText"/>
        <w:ind w:left="100" w:right="25"/>
      </w:pPr>
      <w:r>
        <w:rPr>
          <w:color w:val="231F20"/>
          <w:w w:val="125"/>
        </w:rPr>
        <w:t>crisis e inviabilidad del neoliberalismo</w:t>
      </w:r>
    </w:p>
    <w:p>
      <w:pPr>
        <w:pStyle w:val="BodyText"/>
        <w:spacing w:before="5"/>
        <w:rPr>
          <w:sz w:val="23"/>
        </w:rPr>
      </w:pPr>
    </w:p>
    <w:p>
      <w:pPr>
        <w:pStyle w:val="BodyText"/>
        <w:spacing w:line="261" w:lineRule="auto"/>
        <w:ind w:left="100" w:right="104"/>
      </w:pPr>
      <w:r>
        <w:rPr>
          <w:color w:val="231F20"/>
          <w:w w:val="110"/>
        </w:rPr>
        <w:t>Las crisis de ese tipo no son nuevas, ya antes se han dado otras ori- ginadas también por burbujas que disparaban la especulación </w:t>
      </w:r>
      <w:r>
        <w:rPr>
          <w:color w:val="231F20"/>
          <w:spacing w:val="51"/>
          <w:w w:val="110"/>
        </w:rPr>
        <w:t> </w:t>
      </w:r>
      <w:r>
        <w:rPr>
          <w:color w:val="231F20"/>
          <w:w w:val="110"/>
        </w:rPr>
        <w:t>hasta</w:t>
      </w:r>
    </w:p>
    <w:p>
      <w:pPr>
        <w:spacing w:after="0" w:line="261" w:lineRule="auto"/>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reventar, afectando severamente, primero a bancos e inversionistas y luego, con mayor fuerza, a la actividad económica real y el empleo. Sin embargo, en esta ocasión resulta distintiva la  intensidad  de  la crisis por el volumen de capitales afectados y su amplitud, que es ver- daderamente global y es la combinación de esas dos características, lo que le da una magnitud y virulencia extraordinaria a la crisis cíclica que</w:t>
      </w:r>
      <w:r>
        <w:rPr>
          <w:color w:val="231F20"/>
          <w:spacing w:val="32"/>
          <w:w w:val="105"/>
        </w:rPr>
        <w:t> </w:t>
      </w:r>
      <w:r>
        <w:rPr>
          <w:color w:val="231F20"/>
          <w:w w:val="105"/>
        </w:rPr>
        <w:t>viene</w:t>
      </w:r>
      <w:r>
        <w:rPr>
          <w:color w:val="231F20"/>
          <w:spacing w:val="32"/>
          <w:w w:val="105"/>
        </w:rPr>
        <w:t> </w:t>
      </w:r>
      <w:r>
        <w:rPr>
          <w:color w:val="231F20"/>
          <w:w w:val="105"/>
        </w:rPr>
        <w:t>asolando</w:t>
      </w:r>
      <w:r>
        <w:rPr>
          <w:color w:val="231F20"/>
          <w:spacing w:val="32"/>
          <w:w w:val="105"/>
        </w:rPr>
        <w:t> </w:t>
      </w:r>
      <w:r>
        <w:rPr>
          <w:color w:val="231F20"/>
          <w:w w:val="105"/>
        </w:rPr>
        <w:t>al</w:t>
      </w:r>
      <w:r>
        <w:rPr>
          <w:color w:val="231F20"/>
          <w:spacing w:val="32"/>
          <w:w w:val="105"/>
        </w:rPr>
        <w:t> </w:t>
      </w:r>
      <w:r>
        <w:rPr>
          <w:color w:val="231F20"/>
          <w:w w:val="105"/>
        </w:rPr>
        <w:t>mundo</w:t>
      </w:r>
      <w:r>
        <w:rPr>
          <w:color w:val="231F20"/>
          <w:spacing w:val="32"/>
          <w:w w:val="105"/>
        </w:rPr>
        <w:t> </w:t>
      </w:r>
      <w:r>
        <w:rPr>
          <w:color w:val="231F20"/>
          <w:w w:val="105"/>
        </w:rPr>
        <w:t>desde</w:t>
      </w:r>
      <w:r>
        <w:rPr>
          <w:color w:val="231F20"/>
          <w:spacing w:val="32"/>
          <w:w w:val="105"/>
        </w:rPr>
        <w:t> </w:t>
      </w:r>
      <w:r>
        <w:rPr>
          <w:color w:val="231F20"/>
          <w:w w:val="105"/>
        </w:rPr>
        <w:t>finales</w:t>
      </w:r>
      <w:r>
        <w:rPr>
          <w:color w:val="231F20"/>
          <w:spacing w:val="32"/>
          <w:w w:val="105"/>
        </w:rPr>
        <w:t> </w:t>
      </w:r>
      <w:r>
        <w:rPr>
          <w:color w:val="231F20"/>
          <w:w w:val="105"/>
        </w:rPr>
        <w:t>de</w:t>
      </w:r>
      <w:r>
        <w:rPr>
          <w:color w:val="231F20"/>
          <w:spacing w:val="32"/>
          <w:w w:val="105"/>
        </w:rPr>
        <w:t> </w:t>
      </w:r>
      <w:r>
        <w:rPr>
          <w:color w:val="231F20"/>
          <w:w w:val="105"/>
        </w:rPr>
        <w:t>2007.</w:t>
      </w:r>
    </w:p>
    <w:p>
      <w:pPr>
        <w:pStyle w:val="BodyText"/>
        <w:spacing w:line="261" w:lineRule="auto"/>
        <w:ind w:left="100" w:right="117" w:firstLine="240"/>
        <w:jc w:val="both"/>
      </w:pPr>
      <w:r>
        <w:rPr>
          <w:color w:val="231F20"/>
          <w:w w:val="110"/>
        </w:rPr>
        <w:t>A la crisis de cíclica de sobreproducción, se suma la crisis</w:t>
      </w:r>
      <w:r>
        <w:rPr>
          <w:color w:val="231F20"/>
          <w:spacing w:val="-11"/>
          <w:w w:val="110"/>
        </w:rPr>
        <w:t> </w:t>
      </w:r>
      <w:r>
        <w:rPr>
          <w:color w:val="231F20"/>
          <w:w w:val="110"/>
        </w:rPr>
        <w:t>estruc- tural que comprende la inviabilidad del paradigma neoliberal, de</w:t>
      </w:r>
      <w:r>
        <w:rPr>
          <w:color w:val="231F20"/>
          <w:spacing w:val="-25"/>
          <w:w w:val="110"/>
        </w:rPr>
        <w:t> </w:t>
      </w:r>
      <w:r>
        <w:rPr>
          <w:color w:val="231F20"/>
          <w:w w:val="110"/>
        </w:rPr>
        <w:t>sus postulados fundamentales, así como del fracaso del funcionamiento del</w:t>
      </w:r>
      <w:r>
        <w:rPr>
          <w:color w:val="231F20"/>
          <w:spacing w:val="-12"/>
          <w:w w:val="110"/>
        </w:rPr>
        <w:t> </w:t>
      </w:r>
      <w:r>
        <w:rPr>
          <w:color w:val="231F20"/>
          <w:w w:val="110"/>
        </w:rPr>
        <w:t>mercado</w:t>
      </w:r>
      <w:r>
        <w:rPr>
          <w:color w:val="231F20"/>
          <w:spacing w:val="-12"/>
          <w:w w:val="110"/>
        </w:rPr>
        <w:t> </w:t>
      </w:r>
      <w:r>
        <w:rPr>
          <w:color w:val="231F20"/>
          <w:w w:val="110"/>
        </w:rPr>
        <w:t>incapaz</w:t>
      </w:r>
      <w:r>
        <w:rPr>
          <w:color w:val="231F20"/>
          <w:spacing w:val="-12"/>
          <w:w w:val="110"/>
        </w:rPr>
        <w:t> </w:t>
      </w:r>
      <w:r>
        <w:rPr>
          <w:color w:val="231F20"/>
          <w:w w:val="110"/>
        </w:rPr>
        <w:t>de</w:t>
      </w:r>
      <w:r>
        <w:rPr>
          <w:color w:val="231F20"/>
          <w:spacing w:val="-12"/>
          <w:w w:val="110"/>
        </w:rPr>
        <w:t> </w:t>
      </w:r>
      <w:r>
        <w:rPr>
          <w:color w:val="231F20"/>
          <w:w w:val="110"/>
        </w:rPr>
        <w:t>autorregularse,</w:t>
      </w:r>
      <w:r>
        <w:rPr>
          <w:color w:val="231F20"/>
          <w:spacing w:val="-12"/>
          <w:w w:val="110"/>
        </w:rPr>
        <w:t> </w:t>
      </w:r>
      <w:r>
        <w:rPr>
          <w:color w:val="231F20"/>
          <w:w w:val="110"/>
        </w:rPr>
        <w:t>así</w:t>
      </w:r>
      <w:r>
        <w:rPr>
          <w:color w:val="231F20"/>
          <w:spacing w:val="-12"/>
          <w:w w:val="110"/>
        </w:rPr>
        <w:t> </w:t>
      </w:r>
      <w:r>
        <w:rPr>
          <w:color w:val="231F20"/>
          <w:w w:val="110"/>
        </w:rPr>
        <w:t>como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impotencia</w:t>
      </w:r>
      <w:r>
        <w:rPr>
          <w:color w:val="231F20"/>
          <w:spacing w:val="-12"/>
          <w:w w:val="110"/>
        </w:rPr>
        <w:t> </w:t>
      </w:r>
      <w:r>
        <w:rPr>
          <w:color w:val="231F20"/>
          <w:w w:val="110"/>
        </w:rPr>
        <w:t>del capital privado para alentar el crecimiento económico y el </w:t>
      </w:r>
      <w:r>
        <w:rPr>
          <w:color w:val="231F20"/>
          <w:spacing w:val="18"/>
          <w:w w:val="110"/>
        </w:rPr>
        <w:t> </w:t>
      </w:r>
      <w:r>
        <w:rPr>
          <w:color w:val="231F20"/>
          <w:w w:val="110"/>
        </w:rPr>
        <w:t>empleo.</w:t>
      </w:r>
    </w:p>
    <w:p>
      <w:pPr>
        <w:pStyle w:val="BodyText"/>
        <w:spacing w:line="261" w:lineRule="auto"/>
        <w:ind w:left="100" w:right="119" w:firstLine="252"/>
        <w:jc w:val="both"/>
      </w:pPr>
      <w:r>
        <w:rPr>
          <w:color w:val="231F20"/>
          <w:w w:val="110"/>
        </w:rPr>
        <w:t>La crisis puso en evidencia las deficiencias de</w:t>
      </w:r>
      <w:r>
        <w:rPr>
          <w:color w:val="231F20"/>
          <w:spacing w:val="52"/>
          <w:w w:val="110"/>
        </w:rPr>
        <w:t> </w:t>
      </w:r>
      <w:r>
        <w:rPr>
          <w:color w:val="231F20"/>
          <w:w w:val="110"/>
        </w:rPr>
        <w:t>los mecanismos</w:t>
      </w:r>
      <w:r>
        <w:rPr>
          <w:color w:val="231F20"/>
          <w:spacing w:val="1"/>
          <w:w w:val="107"/>
        </w:rPr>
        <w:t> </w:t>
      </w:r>
      <w:r>
        <w:rPr>
          <w:color w:val="231F20"/>
          <w:w w:val="110"/>
        </w:rPr>
        <w:t>básicos en los cuales se sustenta el funcionamiento de la modalidad</w:t>
      </w:r>
      <w:r>
        <w:rPr>
          <w:color w:val="231F20"/>
          <w:w w:val="110"/>
        </w:rPr>
        <w:t> </w:t>
      </w:r>
      <w:r>
        <w:rPr>
          <w:color w:val="231F20"/>
          <w:w w:val="110"/>
        </w:rPr>
        <w:t>neoliberal del capitalismo. Esos mecanismos, que la crisis ha puesto en tensión, son, a </w:t>
      </w:r>
      <w:r>
        <w:rPr>
          <w:color w:val="231F20"/>
          <w:spacing w:val="-3"/>
          <w:w w:val="110"/>
        </w:rPr>
        <w:t>saber, </w:t>
      </w:r>
      <w:r>
        <w:rPr>
          <w:color w:val="231F20"/>
          <w:w w:val="110"/>
        </w:rPr>
        <w:t>los siguientes:</w:t>
      </w:r>
    </w:p>
    <w:p>
      <w:pPr>
        <w:pStyle w:val="BodyText"/>
        <w:spacing w:before="10"/>
      </w:pPr>
    </w:p>
    <w:p>
      <w:pPr>
        <w:pStyle w:val="BodyText"/>
        <w:spacing w:line="261" w:lineRule="auto"/>
        <w:ind w:left="500" w:right="117" w:hanging="400"/>
        <w:jc w:val="both"/>
      </w:pPr>
      <w:r>
        <w:rPr>
          <w:i/>
          <w:color w:val="231F20"/>
          <w:w w:val="110"/>
        </w:rPr>
        <w:t>a</w:t>
      </w:r>
      <w:r>
        <w:rPr>
          <w:color w:val="231F20"/>
          <w:w w:val="110"/>
        </w:rPr>
        <w:t>] Siendo la libertad de movimiento de los capitales un principio fundamental del neoliberalismo, pues de esa movilidad</w:t>
      </w:r>
      <w:r>
        <w:rPr>
          <w:color w:val="231F20"/>
          <w:spacing w:val="-33"/>
          <w:w w:val="110"/>
        </w:rPr>
        <w:t> </w:t>
      </w:r>
      <w:r>
        <w:rPr>
          <w:color w:val="231F20"/>
          <w:w w:val="110"/>
        </w:rPr>
        <w:t>depende la</w:t>
      </w:r>
      <w:r>
        <w:rPr>
          <w:color w:val="231F20"/>
          <w:spacing w:val="-21"/>
          <w:w w:val="110"/>
        </w:rPr>
        <w:t> </w:t>
      </w:r>
      <w:r>
        <w:rPr>
          <w:color w:val="231F20"/>
          <w:w w:val="110"/>
        </w:rPr>
        <w:t>factibilidad</w:t>
      </w:r>
      <w:r>
        <w:rPr>
          <w:color w:val="231F20"/>
          <w:spacing w:val="-21"/>
          <w:w w:val="110"/>
        </w:rPr>
        <w:t> </w:t>
      </w:r>
      <w:r>
        <w:rPr>
          <w:color w:val="231F20"/>
          <w:w w:val="110"/>
        </w:rPr>
        <w:t>de</w:t>
      </w:r>
      <w:r>
        <w:rPr>
          <w:color w:val="231F20"/>
          <w:spacing w:val="-21"/>
          <w:w w:val="110"/>
        </w:rPr>
        <w:t> </w:t>
      </w:r>
      <w:r>
        <w:rPr>
          <w:color w:val="231F20"/>
          <w:w w:val="110"/>
        </w:rPr>
        <w:t>asignar</w:t>
      </w:r>
      <w:r>
        <w:rPr>
          <w:color w:val="231F20"/>
          <w:spacing w:val="-21"/>
          <w:w w:val="110"/>
        </w:rPr>
        <w:t> </w:t>
      </w:r>
      <w:r>
        <w:rPr>
          <w:i/>
          <w:color w:val="231F20"/>
          <w:w w:val="110"/>
        </w:rPr>
        <w:t>racionalmente</w:t>
      </w:r>
      <w:r>
        <w:rPr>
          <w:i/>
          <w:color w:val="231F20"/>
          <w:spacing w:val="-21"/>
          <w:w w:val="110"/>
        </w:rPr>
        <w:t> </w:t>
      </w:r>
      <w:r>
        <w:rPr>
          <w:color w:val="231F20"/>
          <w:w w:val="110"/>
        </w:rPr>
        <w:t>los</w:t>
      </w:r>
      <w:r>
        <w:rPr>
          <w:color w:val="231F20"/>
          <w:spacing w:val="-21"/>
          <w:w w:val="110"/>
        </w:rPr>
        <w:t> </w:t>
      </w:r>
      <w:r>
        <w:rPr>
          <w:color w:val="231F20"/>
          <w:w w:val="110"/>
        </w:rPr>
        <w:t>recursos</w:t>
      </w:r>
      <w:r>
        <w:rPr>
          <w:color w:val="231F20"/>
          <w:spacing w:val="-21"/>
          <w:w w:val="110"/>
        </w:rPr>
        <w:t> </w:t>
      </w:r>
      <w:r>
        <w:rPr>
          <w:color w:val="231F20"/>
          <w:w w:val="110"/>
        </w:rPr>
        <w:t>productivos, ha resultado en cambio ser el origen del desorden generalizado en el mercado financiero ya que se ha puesto al servicio de la especulación que tan nociva resulta no sólo a la economía pro- ductiva, sino también para el equilibrio financiero y la propia reproducción del</w:t>
      </w:r>
      <w:r>
        <w:rPr>
          <w:color w:val="231F20"/>
          <w:spacing w:val="35"/>
          <w:w w:val="110"/>
        </w:rPr>
        <w:t> </w:t>
      </w:r>
      <w:r>
        <w:rPr>
          <w:color w:val="231F20"/>
          <w:w w:val="110"/>
        </w:rPr>
        <w:t>capital;</w:t>
      </w:r>
    </w:p>
    <w:p>
      <w:pPr>
        <w:pStyle w:val="BodyText"/>
        <w:spacing w:line="261" w:lineRule="auto"/>
        <w:ind w:left="500" w:right="117" w:hanging="400"/>
        <w:jc w:val="both"/>
      </w:pPr>
      <w:r>
        <w:rPr>
          <w:i/>
          <w:color w:val="231F20"/>
          <w:w w:val="110"/>
        </w:rPr>
        <w:t>b</w:t>
      </w:r>
      <w:r>
        <w:rPr>
          <w:color w:val="231F20"/>
          <w:w w:val="110"/>
        </w:rPr>
        <w:t>] El principio del funcionamiento desregulado de los mercados financieros,</w:t>
      </w:r>
      <w:r>
        <w:rPr>
          <w:color w:val="231F20"/>
          <w:spacing w:val="-12"/>
          <w:w w:val="110"/>
        </w:rPr>
        <w:t> </w:t>
      </w:r>
      <w:r>
        <w:rPr>
          <w:color w:val="231F20"/>
          <w:w w:val="110"/>
        </w:rPr>
        <w:t>no</w:t>
      </w:r>
      <w:r>
        <w:rPr>
          <w:color w:val="231F20"/>
          <w:spacing w:val="-12"/>
          <w:w w:val="110"/>
        </w:rPr>
        <w:t> </w:t>
      </w:r>
      <w:r>
        <w:rPr>
          <w:color w:val="231F20"/>
          <w:w w:val="110"/>
        </w:rPr>
        <w:t>sólo</w:t>
      </w:r>
      <w:r>
        <w:rPr>
          <w:color w:val="231F20"/>
          <w:spacing w:val="-12"/>
          <w:w w:val="110"/>
        </w:rPr>
        <w:t> </w:t>
      </w:r>
      <w:r>
        <w:rPr>
          <w:color w:val="231F20"/>
          <w:w w:val="110"/>
        </w:rPr>
        <w:t>se</w:t>
      </w:r>
      <w:r>
        <w:rPr>
          <w:color w:val="231F20"/>
          <w:spacing w:val="-12"/>
          <w:w w:val="110"/>
        </w:rPr>
        <w:t> </w:t>
      </w:r>
      <w:r>
        <w:rPr>
          <w:color w:val="231F20"/>
          <w:w w:val="110"/>
        </w:rPr>
        <w:t>ha</w:t>
      </w:r>
      <w:r>
        <w:rPr>
          <w:color w:val="231F20"/>
          <w:spacing w:val="-12"/>
          <w:w w:val="110"/>
        </w:rPr>
        <w:t> </w:t>
      </w:r>
      <w:r>
        <w:rPr>
          <w:color w:val="231F20"/>
          <w:w w:val="110"/>
        </w:rPr>
        <w:t>mostrado</w:t>
      </w:r>
      <w:r>
        <w:rPr>
          <w:color w:val="231F20"/>
          <w:spacing w:val="-12"/>
          <w:w w:val="110"/>
        </w:rPr>
        <w:t> </w:t>
      </w:r>
      <w:r>
        <w:rPr>
          <w:color w:val="231F20"/>
          <w:w w:val="110"/>
        </w:rPr>
        <w:t>completamente</w:t>
      </w:r>
      <w:r>
        <w:rPr>
          <w:color w:val="231F20"/>
          <w:spacing w:val="-12"/>
          <w:w w:val="110"/>
        </w:rPr>
        <w:t> </w:t>
      </w:r>
      <w:r>
        <w:rPr>
          <w:color w:val="231F20"/>
          <w:w w:val="110"/>
        </w:rPr>
        <w:t>ineficaz</w:t>
      </w:r>
      <w:r>
        <w:rPr>
          <w:color w:val="231F20"/>
          <w:spacing w:val="-12"/>
          <w:w w:val="110"/>
        </w:rPr>
        <w:t> </w:t>
      </w:r>
      <w:r>
        <w:rPr>
          <w:color w:val="231F20"/>
          <w:w w:val="110"/>
        </w:rPr>
        <w:t>para evitar el riesgo de una crisis, sino que ha probado ser una de</w:t>
      </w:r>
      <w:r>
        <w:rPr>
          <w:color w:val="231F20"/>
          <w:spacing w:val="-35"/>
          <w:w w:val="110"/>
        </w:rPr>
        <w:t> </w:t>
      </w:r>
      <w:r>
        <w:rPr>
          <w:color w:val="231F20"/>
          <w:w w:val="110"/>
        </w:rPr>
        <w:t>sus principales</w:t>
      </w:r>
      <w:r>
        <w:rPr>
          <w:color w:val="231F20"/>
          <w:spacing w:val="-4"/>
          <w:w w:val="110"/>
        </w:rPr>
        <w:t> </w:t>
      </w:r>
      <w:r>
        <w:rPr>
          <w:color w:val="231F20"/>
          <w:w w:val="110"/>
        </w:rPr>
        <w:t>fuentes;</w:t>
      </w:r>
    </w:p>
    <w:p>
      <w:pPr>
        <w:pStyle w:val="BodyText"/>
        <w:spacing w:line="261" w:lineRule="auto"/>
        <w:ind w:left="500" w:right="119" w:hanging="400"/>
        <w:jc w:val="both"/>
      </w:pPr>
      <w:r>
        <w:rPr>
          <w:i/>
          <w:color w:val="231F20"/>
          <w:w w:val="110"/>
        </w:rPr>
        <w:t>c</w:t>
      </w:r>
      <w:r>
        <w:rPr>
          <w:color w:val="231F20"/>
          <w:w w:val="110"/>
        </w:rPr>
        <w:t>]</w:t>
      </w:r>
      <w:r>
        <w:rPr>
          <w:color w:val="231F20"/>
          <w:spacing w:val="48"/>
          <w:w w:val="110"/>
        </w:rPr>
        <w:t> </w:t>
      </w:r>
      <w:r>
        <w:rPr>
          <w:color w:val="231F20"/>
          <w:w w:val="110"/>
        </w:rPr>
        <w:t>El rotundo fracaso de la autonomía de los bancos centrales, con- vertidos</w:t>
      </w:r>
      <w:r>
        <w:rPr>
          <w:color w:val="231F20"/>
          <w:spacing w:val="-10"/>
          <w:w w:val="110"/>
        </w:rPr>
        <w:t> </w:t>
      </w:r>
      <w:r>
        <w:rPr>
          <w:color w:val="231F20"/>
          <w:w w:val="110"/>
        </w:rPr>
        <w:t>en</w:t>
      </w:r>
      <w:r>
        <w:rPr>
          <w:color w:val="231F20"/>
          <w:spacing w:val="-10"/>
          <w:w w:val="110"/>
        </w:rPr>
        <w:t> </w:t>
      </w:r>
      <w:r>
        <w:rPr>
          <w:color w:val="231F20"/>
          <w:w w:val="110"/>
        </w:rPr>
        <w:t>espectadores</w:t>
      </w:r>
      <w:r>
        <w:rPr>
          <w:color w:val="231F20"/>
          <w:spacing w:val="-10"/>
          <w:w w:val="110"/>
        </w:rPr>
        <w:t> </w:t>
      </w:r>
      <w:r>
        <w:rPr>
          <w:color w:val="231F20"/>
          <w:w w:val="110"/>
        </w:rPr>
        <w:t>pasivos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crisis,</w:t>
      </w:r>
      <w:r>
        <w:rPr>
          <w:color w:val="231F20"/>
          <w:spacing w:val="-10"/>
          <w:w w:val="110"/>
        </w:rPr>
        <w:t> </w:t>
      </w:r>
      <w:r>
        <w:rPr>
          <w:color w:val="231F20"/>
          <w:w w:val="110"/>
        </w:rPr>
        <w:t>los</w:t>
      </w:r>
      <w:r>
        <w:rPr>
          <w:color w:val="231F20"/>
          <w:spacing w:val="-10"/>
          <w:w w:val="110"/>
        </w:rPr>
        <w:t> </w:t>
      </w:r>
      <w:r>
        <w:rPr>
          <w:color w:val="231F20"/>
          <w:w w:val="110"/>
        </w:rPr>
        <w:t>hace</w:t>
      </w:r>
      <w:r>
        <w:rPr>
          <w:color w:val="231F20"/>
          <w:spacing w:val="-10"/>
          <w:w w:val="110"/>
        </w:rPr>
        <w:t> </w:t>
      </w:r>
      <w:r>
        <w:rPr>
          <w:color w:val="231F20"/>
          <w:w w:val="110"/>
        </w:rPr>
        <w:t>finalmente cómplices de su desarrollo y</w:t>
      </w:r>
      <w:r>
        <w:rPr>
          <w:color w:val="231F20"/>
          <w:spacing w:val="5"/>
          <w:w w:val="110"/>
        </w:rPr>
        <w:t> </w:t>
      </w:r>
      <w:r>
        <w:rPr>
          <w:color w:val="231F20"/>
          <w:w w:val="110"/>
        </w:rPr>
        <w:t>magnitud;</w:t>
      </w:r>
    </w:p>
    <w:p>
      <w:pPr>
        <w:pStyle w:val="BodyText"/>
        <w:spacing w:line="261" w:lineRule="auto"/>
        <w:ind w:left="500" w:right="119" w:hanging="400"/>
        <w:jc w:val="both"/>
      </w:pPr>
      <w:r>
        <w:rPr>
          <w:i/>
          <w:color w:val="231F20"/>
          <w:w w:val="110"/>
        </w:rPr>
        <w:t>d</w:t>
      </w:r>
      <w:r>
        <w:rPr>
          <w:color w:val="231F20"/>
          <w:w w:val="110"/>
        </w:rPr>
        <w:t>] Los bancos, que de agentes financieros de la actividad produc- tiva han pasado a ser suministradores de fondos a los mercados especulativos, no tienen una responsabilidad menor en el apre-</w:t>
      </w:r>
      <w:r>
        <w:rPr>
          <w:color w:val="231F20"/>
          <w:w w:val="72"/>
        </w:rPr>
        <w:t> </w:t>
      </w:r>
      <w:r>
        <w:rPr>
          <w:color w:val="231F20"/>
          <w:w w:val="110"/>
        </w:rPr>
        <w:t>suramiento de la crisis;</w:t>
      </w:r>
    </w:p>
    <w:p>
      <w:pPr>
        <w:pStyle w:val="BodyText"/>
        <w:spacing w:line="261" w:lineRule="auto"/>
        <w:ind w:left="500" w:right="117" w:hanging="400"/>
        <w:jc w:val="both"/>
      </w:pPr>
      <w:r>
        <w:rPr>
          <w:i/>
          <w:color w:val="231F20"/>
          <w:w w:val="105"/>
        </w:rPr>
        <w:t>e</w:t>
      </w:r>
      <w:r>
        <w:rPr>
          <w:color w:val="231F20"/>
          <w:w w:val="105"/>
        </w:rPr>
        <w:t>] Los estímulos a la inversión privada han resultado onerosos al sostener privilegios excesivos a los grandes capitalistas en forma de paraísos fiscales, secreto bancario, opacidad en las    relaciones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500" w:right="110"/>
      </w:pPr>
      <w:r>
        <w:rPr>
          <w:color w:val="231F20"/>
          <w:w w:val="110"/>
        </w:rPr>
        <w:t>financieras, contratos gubernamentales, cancelación de créditos </w:t>
      </w:r>
      <w:r>
        <w:rPr>
          <w:color w:val="231F20"/>
          <w:w w:val="105"/>
        </w:rPr>
        <w:t>fiscales, etcétera.</w:t>
      </w:r>
    </w:p>
    <w:p>
      <w:pPr>
        <w:pStyle w:val="BodyText"/>
        <w:spacing w:before="8"/>
        <w:rPr>
          <w:sz w:val="21"/>
        </w:rPr>
      </w:pPr>
    </w:p>
    <w:p>
      <w:pPr>
        <w:pStyle w:val="BodyText"/>
        <w:spacing w:line="261" w:lineRule="auto"/>
        <w:ind w:left="100" w:right="119" w:firstLine="252"/>
        <w:jc w:val="both"/>
      </w:pPr>
      <w:r>
        <w:rPr>
          <w:color w:val="231F20"/>
          <w:spacing w:val="-5"/>
          <w:w w:val="110"/>
        </w:rPr>
        <w:t>Ante</w:t>
      </w:r>
      <w:r>
        <w:rPr>
          <w:color w:val="231F20"/>
          <w:spacing w:val="-19"/>
          <w:w w:val="110"/>
        </w:rPr>
        <w:t> </w:t>
      </w:r>
      <w:r>
        <w:rPr>
          <w:color w:val="231F20"/>
          <w:spacing w:val="-4"/>
          <w:w w:val="110"/>
        </w:rPr>
        <w:t>las</w:t>
      </w:r>
      <w:r>
        <w:rPr>
          <w:color w:val="231F20"/>
          <w:spacing w:val="-19"/>
          <w:w w:val="110"/>
        </w:rPr>
        <w:t> </w:t>
      </w:r>
      <w:r>
        <w:rPr>
          <w:color w:val="231F20"/>
          <w:spacing w:val="-5"/>
          <w:w w:val="110"/>
        </w:rPr>
        <w:t>deficiencias</w:t>
      </w:r>
      <w:r>
        <w:rPr>
          <w:color w:val="231F20"/>
          <w:spacing w:val="-19"/>
          <w:w w:val="110"/>
        </w:rPr>
        <w:t> </w:t>
      </w:r>
      <w:r>
        <w:rPr>
          <w:color w:val="231F20"/>
          <w:spacing w:val="-3"/>
          <w:w w:val="110"/>
        </w:rPr>
        <w:t>de</w:t>
      </w:r>
      <w:r>
        <w:rPr>
          <w:color w:val="231F20"/>
          <w:spacing w:val="-19"/>
          <w:w w:val="110"/>
        </w:rPr>
        <w:t> </w:t>
      </w:r>
      <w:r>
        <w:rPr>
          <w:color w:val="231F20"/>
          <w:spacing w:val="-5"/>
          <w:w w:val="110"/>
        </w:rPr>
        <w:t>estos</w:t>
      </w:r>
      <w:r>
        <w:rPr>
          <w:color w:val="231F20"/>
          <w:spacing w:val="-19"/>
          <w:w w:val="110"/>
        </w:rPr>
        <w:t> </w:t>
      </w:r>
      <w:r>
        <w:rPr>
          <w:color w:val="231F20"/>
          <w:spacing w:val="-6"/>
          <w:w w:val="110"/>
        </w:rPr>
        <w:t>mecanismos</w:t>
      </w:r>
      <w:r>
        <w:rPr>
          <w:color w:val="231F20"/>
          <w:spacing w:val="-19"/>
          <w:w w:val="110"/>
        </w:rPr>
        <w:t> </w:t>
      </w:r>
      <w:r>
        <w:rPr>
          <w:color w:val="231F20"/>
          <w:spacing w:val="-6"/>
          <w:w w:val="110"/>
        </w:rPr>
        <w:t>presentes</w:t>
      </w:r>
      <w:r>
        <w:rPr>
          <w:color w:val="231F20"/>
          <w:spacing w:val="-19"/>
          <w:w w:val="110"/>
        </w:rPr>
        <w:t> </w:t>
      </w:r>
      <w:r>
        <w:rPr>
          <w:color w:val="231F20"/>
          <w:spacing w:val="-3"/>
          <w:w w:val="110"/>
        </w:rPr>
        <w:t>de</w:t>
      </w:r>
      <w:r>
        <w:rPr>
          <w:color w:val="231F20"/>
          <w:spacing w:val="-19"/>
          <w:w w:val="110"/>
        </w:rPr>
        <w:t> </w:t>
      </w:r>
      <w:r>
        <w:rPr>
          <w:color w:val="231F20"/>
          <w:spacing w:val="-5"/>
          <w:w w:val="110"/>
        </w:rPr>
        <w:t>manera</w:t>
      </w:r>
      <w:r>
        <w:rPr>
          <w:color w:val="231F20"/>
          <w:spacing w:val="-19"/>
          <w:w w:val="110"/>
        </w:rPr>
        <w:t> </w:t>
      </w:r>
      <w:r>
        <w:rPr>
          <w:color w:val="231F20"/>
          <w:spacing w:val="-7"/>
          <w:w w:val="110"/>
        </w:rPr>
        <w:t>impor- </w:t>
      </w:r>
      <w:r>
        <w:rPr>
          <w:color w:val="231F20"/>
          <w:spacing w:val="-5"/>
          <w:w w:val="110"/>
        </w:rPr>
        <w:t>tante</w:t>
      </w:r>
      <w:r>
        <w:rPr>
          <w:color w:val="231F20"/>
          <w:spacing w:val="-17"/>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modalidad</w:t>
      </w:r>
      <w:r>
        <w:rPr>
          <w:color w:val="231F20"/>
          <w:spacing w:val="-11"/>
          <w:w w:val="110"/>
        </w:rPr>
        <w:t> </w:t>
      </w:r>
      <w:r>
        <w:rPr>
          <w:color w:val="231F20"/>
          <w:w w:val="110"/>
        </w:rPr>
        <w:t>neoliberal,</w:t>
      </w:r>
      <w:r>
        <w:rPr>
          <w:color w:val="231F20"/>
          <w:spacing w:val="-11"/>
          <w:w w:val="110"/>
        </w:rPr>
        <w:t> </w:t>
      </w:r>
      <w:r>
        <w:rPr>
          <w:color w:val="231F20"/>
          <w:w w:val="110"/>
        </w:rPr>
        <w:t>hoy</w:t>
      </w:r>
      <w:r>
        <w:rPr>
          <w:color w:val="231F20"/>
          <w:spacing w:val="-11"/>
          <w:w w:val="110"/>
        </w:rPr>
        <w:t> </w:t>
      </w:r>
      <w:r>
        <w:rPr>
          <w:color w:val="231F20"/>
          <w:w w:val="110"/>
        </w:rPr>
        <w:t>ha</w:t>
      </w:r>
      <w:r>
        <w:rPr>
          <w:color w:val="231F20"/>
          <w:spacing w:val="-11"/>
          <w:w w:val="110"/>
        </w:rPr>
        <w:t> </w:t>
      </w:r>
      <w:r>
        <w:rPr>
          <w:color w:val="231F20"/>
          <w:w w:val="110"/>
        </w:rPr>
        <w:t>surgido</w:t>
      </w:r>
      <w:r>
        <w:rPr>
          <w:color w:val="231F20"/>
          <w:spacing w:val="-11"/>
          <w:w w:val="110"/>
        </w:rPr>
        <w:t> </w:t>
      </w:r>
      <w:r>
        <w:rPr>
          <w:color w:val="231F20"/>
          <w:w w:val="110"/>
        </w:rPr>
        <w:t>de</w:t>
      </w:r>
      <w:r>
        <w:rPr>
          <w:color w:val="231F20"/>
          <w:spacing w:val="-11"/>
          <w:w w:val="110"/>
        </w:rPr>
        <w:t> </w:t>
      </w:r>
      <w:r>
        <w:rPr>
          <w:color w:val="231F20"/>
          <w:w w:val="110"/>
        </w:rPr>
        <w:t>manera</w:t>
      </w:r>
      <w:r>
        <w:rPr>
          <w:color w:val="231F20"/>
          <w:spacing w:val="-11"/>
          <w:w w:val="110"/>
        </w:rPr>
        <w:t> </w:t>
      </w:r>
      <w:r>
        <w:rPr>
          <w:color w:val="231F20"/>
          <w:w w:val="110"/>
        </w:rPr>
        <w:t>inevitable el Estado como el último recurso para solventar los desequilibrios económicos</w:t>
      </w:r>
      <w:r>
        <w:rPr>
          <w:color w:val="231F20"/>
          <w:spacing w:val="-7"/>
          <w:w w:val="110"/>
        </w:rPr>
        <w:t> </w:t>
      </w:r>
      <w:r>
        <w:rPr>
          <w:color w:val="231F20"/>
          <w:w w:val="110"/>
        </w:rPr>
        <w:t>y</w:t>
      </w:r>
      <w:r>
        <w:rPr>
          <w:color w:val="231F20"/>
          <w:spacing w:val="-7"/>
          <w:w w:val="110"/>
        </w:rPr>
        <w:t> </w:t>
      </w:r>
      <w:r>
        <w:rPr>
          <w:color w:val="231F20"/>
          <w:w w:val="110"/>
        </w:rPr>
        <w:t>financieros</w:t>
      </w:r>
      <w:r>
        <w:rPr>
          <w:color w:val="231F20"/>
          <w:spacing w:val="-7"/>
          <w:w w:val="110"/>
        </w:rPr>
        <w:t> </w:t>
      </w:r>
      <w:r>
        <w:rPr>
          <w:color w:val="231F20"/>
          <w:w w:val="110"/>
        </w:rPr>
        <w:t>provocados</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crisis.</w:t>
      </w:r>
    </w:p>
    <w:p>
      <w:pPr>
        <w:pStyle w:val="BodyText"/>
        <w:spacing w:line="261" w:lineRule="auto"/>
        <w:ind w:left="100" w:right="117" w:firstLine="240"/>
        <w:jc w:val="both"/>
      </w:pPr>
      <w:r>
        <w:rPr>
          <w:color w:val="231F20"/>
          <w:w w:val="110"/>
        </w:rPr>
        <w:t>En</w:t>
      </w:r>
      <w:r>
        <w:rPr>
          <w:color w:val="231F20"/>
          <w:spacing w:val="-14"/>
          <w:w w:val="110"/>
        </w:rPr>
        <w:t> </w:t>
      </w:r>
      <w:r>
        <w:rPr>
          <w:color w:val="231F20"/>
          <w:w w:val="110"/>
        </w:rPr>
        <w:t>fin,</w:t>
      </w:r>
      <w:r>
        <w:rPr>
          <w:color w:val="231F20"/>
          <w:spacing w:val="-14"/>
          <w:w w:val="110"/>
        </w:rPr>
        <w:t> </w:t>
      </w:r>
      <w:r>
        <w:rPr>
          <w:color w:val="231F20"/>
          <w:w w:val="110"/>
        </w:rPr>
        <w:t>para</w:t>
      </w:r>
      <w:r>
        <w:rPr>
          <w:color w:val="231F20"/>
          <w:spacing w:val="-14"/>
          <w:w w:val="110"/>
        </w:rPr>
        <w:t> </w:t>
      </w:r>
      <w:r>
        <w:rPr>
          <w:color w:val="231F20"/>
          <w:w w:val="110"/>
        </w:rPr>
        <w:t>decirlo</w:t>
      </w:r>
      <w:r>
        <w:rPr>
          <w:color w:val="231F20"/>
          <w:spacing w:val="-14"/>
          <w:w w:val="110"/>
        </w:rPr>
        <w:t> </w:t>
      </w:r>
      <w:r>
        <w:rPr>
          <w:color w:val="231F20"/>
          <w:w w:val="110"/>
        </w:rPr>
        <w:t>con</w:t>
      </w:r>
      <w:r>
        <w:rPr>
          <w:color w:val="231F20"/>
          <w:spacing w:val="-14"/>
          <w:w w:val="110"/>
        </w:rPr>
        <w:t> </w:t>
      </w:r>
      <w:r>
        <w:rPr>
          <w:color w:val="231F20"/>
          <w:w w:val="110"/>
        </w:rPr>
        <w:t>precisión</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modalidad</w:t>
      </w:r>
      <w:r>
        <w:rPr>
          <w:color w:val="231F20"/>
          <w:spacing w:val="-14"/>
          <w:w w:val="110"/>
        </w:rPr>
        <w:t> </w:t>
      </w:r>
      <w:r>
        <w:rPr>
          <w:color w:val="231F20"/>
          <w:w w:val="110"/>
        </w:rPr>
        <w:t>neolibe- ral</w:t>
      </w:r>
      <w:r>
        <w:rPr>
          <w:color w:val="231F20"/>
          <w:spacing w:val="-9"/>
          <w:w w:val="110"/>
        </w:rPr>
        <w:t> </w:t>
      </w:r>
      <w:r>
        <w:rPr>
          <w:color w:val="231F20"/>
          <w:w w:val="110"/>
        </w:rPr>
        <w:t>apunta</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cambio</w:t>
      </w:r>
      <w:r>
        <w:rPr>
          <w:color w:val="231F20"/>
          <w:spacing w:val="-9"/>
          <w:w w:val="110"/>
        </w:rPr>
        <w:t> </w:t>
      </w:r>
      <w:r>
        <w:rPr>
          <w:color w:val="231F20"/>
          <w:w w:val="110"/>
        </w:rPr>
        <w:t>sustancial</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capitalismo.</w:t>
      </w:r>
      <w:r>
        <w:rPr>
          <w:color w:val="231F20"/>
          <w:spacing w:val="-9"/>
          <w:w w:val="110"/>
        </w:rPr>
        <w:t> </w:t>
      </w:r>
      <w:r>
        <w:rPr>
          <w:color w:val="231F20"/>
          <w:w w:val="110"/>
        </w:rPr>
        <w:t>Sin</w:t>
      </w:r>
      <w:r>
        <w:rPr>
          <w:color w:val="231F20"/>
          <w:spacing w:val="-9"/>
          <w:w w:val="110"/>
        </w:rPr>
        <w:t> </w:t>
      </w:r>
      <w:r>
        <w:rPr>
          <w:color w:val="231F20"/>
          <w:w w:val="110"/>
        </w:rPr>
        <w:t>embargo,</w:t>
      </w:r>
      <w:r>
        <w:rPr>
          <w:color w:val="231F20"/>
          <w:spacing w:val="-9"/>
          <w:w w:val="110"/>
        </w:rPr>
        <w:t> </w:t>
      </w:r>
      <w:r>
        <w:rPr>
          <w:color w:val="231F20"/>
          <w:w w:val="110"/>
        </w:rPr>
        <w:t>da- das</w:t>
      </w:r>
      <w:r>
        <w:rPr>
          <w:color w:val="231F20"/>
          <w:spacing w:val="-18"/>
          <w:w w:val="110"/>
        </w:rPr>
        <w:t> </w:t>
      </w:r>
      <w:r>
        <w:rPr>
          <w:color w:val="231F20"/>
          <w:w w:val="110"/>
        </w:rPr>
        <w:t>la</w:t>
      </w:r>
      <w:r>
        <w:rPr>
          <w:color w:val="231F20"/>
          <w:spacing w:val="-18"/>
          <w:w w:val="110"/>
        </w:rPr>
        <w:t> </w:t>
      </w:r>
      <w:r>
        <w:rPr>
          <w:color w:val="231F20"/>
          <w:w w:val="110"/>
        </w:rPr>
        <w:t>situación</w:t>
      </w:r>
      <w:r>
        <w:rPr>
          <w:color w:val="231F20"/>
          <w:spacing w:val="-18"/>
          <w:w w:val="110"/>
        </w:rPr>
        <w:t> </w:t>
      </w:r>
      <w:r>
        <w:rPr>
          <w:color w:val="231F20"/>
          <w:w w:val="110"/>
        </w:rPr>
        <w:t>mundial</w:t>
      </w:r>
      <w:r>
        <w:rPr>
          <w:color w:val="231F20"/>
          <w:spacing w:val="-18"/>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debilidad</w:t>
      </w:r>
      <w:r>
        <w:rPr>
          <w:color w:val="231F20"/>
          <w:spacing w:val="-18"/>
          <w:w w:val="110"/>
        </w:rPr>
        <w:t> </w:t>
      </w:r>
      <w:r>
        <w:rPr>
          <w:color w:val="231F20"/>
          <w:w w:val="110"/>
        </w:rPr>
        <w:t>del</w:t>
      </w:r>
      <w:r>
        <w:rPr>
          <w:color w:val="231F20"/>
          <w:spacing w:val="-18"/>
          <w:w w:val="110"/>
        </w:rPr>
        <w:t> </w:t>
      </w:r>
      <w:r>
        <w:rPr>
          <w:color w:val="231F20"/>
          <w:w w:val="110"/>
        </w:rPr>
        <w:t>movimiento</w:t>
      </w:r>
      <w:r>
        <w:rPr>
          <w:color w:val="231F20"/>
          <w:spacing w:val="-18"/>
          <w:w w:val="110"/>
        </w:rPr>
        <w:t> </w:t>
      </w:r>
      <w:r>
        <w:rPr>
          <w:color w:val="231F20"/>
          <w:w w:val="110"/>
        </w:rPr>
        <w:t>anticapitalista, parece irremediable que sean las distintas fracciones del capital las que</w:t>
      </w:r>
      <w:r>
        <w:rPr>
          <w:color w:val="231F20"/>
          <w:spacing w:val="-7"/>
          <w:w w:val="110"/>
        </w:rPr>
        <w:t> </w:t>
      </w:r>
      <w:r>
        <w:rPr>
          <w:color w:val="231F20"/>
          <w:w w:val="110"/>
        </w:rPr>
        <w:t>disputen</w:t>
      </w:r>
      <w:r>
        <w:rPr>
          <w:color w:val="231F20"/>
          <w:spacing w:val="-7"/>
          <w:w w:val="110"/>
        </w:rPr>
        <w:t> </w:t>
      </w:r>
      <w:r>
        <w:rPr>
          <w:color w:val="231F20"/>
          <w:w w:val="110"/>
        </w:rPr>
        <w:t>las</w:t>
      </w:r>
      <w:r>
        <w:rPr>
          <w:color w:val="231F20"/>
          <w:spacing w:val="-7"/>
          <w:w w:val="110"/>
        </w:rPr>
        <w:t> </w:t>
      </w:r>
      <w:r>
        <w:rPr>
          <w:color w:val="231F20"/>
          <w:w w:val="110"/>
        </w:rPr>
        <w:t>alternativas</w:t>
      </w:r>
      <w:r>
        <w:rPr>
          <w:color w:val="231F20"/>
          <w:spacing w:val="-7"/>
          <w:w w:val="110"/>
        </w:rPr>
        <w:t> </w:t>
      </w:r>
      <w:r>
        <w:rPr>
          <w:color w:val="231F20"/>
          <w:w w:val="110"/>
        </w:rPr>
        <w:t>al</w:t>
      </w:r>
      <w:r>
        <w:rPr>
          <w:color w:val="231F20"/>
          <w:spacing w:val="-7"/>
          <w:w w:val="110"/>
        </w:rPr>
        <w:t> </w:t>
      </w:r>
      <w:r>
        <w:rPr>
          <w:color w:val="231F20"/>
          <w:w w:val="110"/>
        </w:rPr>
        <w:t>actual</w:t>
      </w:r>
      <w:r>
        <w:rPr>
          <w:color w:val="231F20"/>
          <w:spacing w:val="-7"/>
          <w:w w:val="110"/>
        </w:rPr>
        <w:t> </w:t>
      </w:r>
      <w:r>
        <w:rPr>
          <w:color w:val="231F20"/>
          <w:w w:val="110"/>
        </w:rPr>
        <w:t>orden</w:t>
      </w:r>
      <w:r>
        <w:rPr>
          <w:color w:val="231F20"/>
          <w:spacing w:val="-7"/>
          <w:w w:val="110"/>
        </w:rPr>
        <w:t> </w:t>
      </w:r>
      <w:r>
        <w:rPr>
          <w:color w:val="231F20"/>
          <w:w w:val="110"/>
        </w:rPr>
        <w:t>financiero</w:t>
      </w:r>
      <w:r>
        <w:rPr>
          <w:color w:val="231F20"/>
          <w:spacing w:val="-7"/>
          <w:w w:val="110"/>
        </w:rPr>
        <w:t> </w:t>
      </w:r>
      <w:r>
        <w:rPr>
          <w:color w:val="231F20"/>
          <w:w w:val="110"/>
        </w:rPr>
        <w:t>internacional; alternativas que no necesariamente significarán mejorar el bienestar global y las condiciones de vida de la población</w:t>
      </w:r>
      <w:r>
        <w:rPr>
          <w:color w:val="231F20"/>
          <w:spacing w:val="22"/>
          <w:w w:val="110"/>
        </w:rPr>
        <w:t> </w:t>
      </w:r>
      <w:r>
        <w:rPr>
          <w:color w:val="231F20"/>
          <w:w w:val="110"/>
        </w:rPr>
        <w:t>trabajadora.</w:t>
      </w:r>
    </w:p>
    <w:p>
      <w:pPr>
        <w:pStyle w:val="BodyText"/>
        <w:spacing w:line="261" w:lineRule="auto"/>
        <w:ind w:left="100" w:right="119" w:firstLine="240"/>
        <w:jc w:val="both"/>
      </w:pPr>
      <w:r>
        <w:rPr>
          <w:color w:val="231F20"/>
          <w:w w:val="110"/>
        </w:rPr>
        <w:t>No obstante, en algunos países de Latinoamérica el</w:t>
      </w:r>
      <w:r>
        <w:rPr>
          <w:color w:val="231F20"/>
          <w:spacing w:val="2"/>
          <w:w w:val="110"/>
        </w:rPr>
        <w:t> </w:t>
      </w:r>
      <w:r>
        <w:rPr>
          <w:color w:val="231F20"/>
          <w:w w:val="110"/>
        </w:rPr>
        <w:t>ascenso</w:t>
      </w:r>
      <w:r>
        <w:rPr>
          <w:color w:val="231F20"/>
          <w:spacing w:val="20"/>
          <w:w w:val="110"/>
        </w:rPr>
        <w:t> </w:t>
      </w:r>
      <w:r>
        <w:rPr>
          <w:color w:val="231F20"/>
          <w:w w:val="110"/>
        </w:rPr>
        <w:t>del</w:t>
      </w:r>
      <w:r>
        <w:rPr>
          <w:color w:val="231F20"/>
          <w:w w:val="111"/>
        </w:rPr>
        <w:t> </w:t>
      </w:r>
      <w:r>
        <w:rPr>
          <w:color w:val="231F20"/>
          <w:w w:val="110"/>
        </w:rPr>
        <w:t>movimiento</w:t>
      </w:r>
      <w:r>
        <w:rPr>
          <w:color w:val="231F20"/>
          <w:spacing w:val="-16"/>
          <w:w w:val="110"/>
        </w:rPr>
        <w:t> </w:t>
      </w:r>
      <w:r>
        <w:rPr>
          <w:color w:val="231F20"/>
          <w:w w:val="110"/>
        </w:rPr>
        <w:t>social</w:t>
      </w:r>
      <w:r>
        <w:rPr>
          <w:color w:val="231F20"/>
          <w:spacing w:val="-16"/>
          <w:w w:val="110"/>
        </w:rPr>
        <w:t> </w:t>
      </w:r>
      <w:r>
        <w:rPr>
          <w:color w:val="231F20"/>
          <w:w w:val="110"/>
        </w:rPr>
        <w:t>puede</w:t>
      </w:r>
      <w:r>
        <w:rPr>
          <w:color w:val="231F20"/>
          <w:spacing w:val="-16"/>
          <w:w w:val="110"/>
        </w:rPr>
        <w:t> </w:t>
      </w:r>
      <w:r>
        <w:rPr>
          <w:color w:val="231F20"/>
          <w:w w:val="110"/>
        </w:rPr>
        <w:t>lograr</w:t>
      </w:r>
      <w:r>
        <w:rPr>
          <w:color w:val="231F20"/>
          <w:spacing w:val="-16"/>
          <w:w w:val="110"/>
        </w:rPr>
        <w:t> </w:t>
      </w:r>
      <w:r>
        <w:rPr>
          <w:color w:val="231F20"/>
          <w:w w:val="110"/>
        </w:rPr>
        <w:t>la</w:t>
      </w:r>
      <w:r>
        <w:rPr>
          <w:color w:val="231F20"/>
          <w:spacing w:val="-16"/>
          <w:w w:val="110"/>
        </w:rPr>
        <w:t> </w:t>
      </w:r>
      <w:r>
        <w:rPr>
          <w:color w:val="231F20"/>
          <w:w w:val="110"/>
        </w:rPr>
        <w:t>dirección</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cambios</w:t>
      </w:r>
      <w:r>
        <w:rPr>
          <w:color w:val="231F20"/>
          <w:spacing w:val="-16"/>
          <w:w w:val="110"/>
        </w:rPr>
        <w:t> </w:t>
      </w:r>
      <w:r>
        <w:rPr>
          <w:color w:val="231F20"/>
          <w:w w:val="110"/>
        </w:rPr>
        <w:t>y</w:t>
      </w:r>
      <w:r>
        <w:rPr>
          <w:color w:val="231F20"/>
          <w:spacing w:val="-16"/>
          <w:w w:val="110"/>
        </w:rPr>
        <w:t> </w:t>
      </w:r>
      <w:r>
        <w:rPr>
          <w:color w:val="231F20"/>
          <w:w w:val="110"/>
        </w:rPr>
        <w:t>avanzar en la construcción de una sociedad alternativa a la </w:t>
      </w:r>
      <w:r>
        <w:rPr>
          <w:color w:val="231F20"/>
          <w:spacing w:val="1"/>
          <w:w w:val="110"/>
        </w:rPr>
        <w:t> </w:t>
      </w:r>
      <w:r>
        <w:rPr>
          <w:color w:val="231F20"/>
          <w:w w:val="110"/>
        </w:rPr>
        <w:t>capitalista.</w:t>
      </w:r>
    </w:p>
    <w:p>
      <w:pPr>
        <w:pStyle w:val="BodyText"/>
      </w:pPr>
    </w:p>
    <w:p>
      <w:pPr>
        <w:pStyle w:val="BodyText"/>
      </w:pPr>
    </w:p>
    <w:p>
      <w:pPr>
        <w:pStyle w:val="BodyText"/>
        <w:spacing w:before="2"/>
        <w:rPr>
          <w:sz w:val="25"/>
        </w:rPr>
      </w:pPr>
    </w:p>
    <w:p>
      <w:pPr>
        <w:pStyle w:val="BodyText"/>
        <w:ind w:left="100"/>
        <w:jc w:val="both"/>
      </w:pPr>
      <w:r>
        <w:rPr>
          <w:color w:val="231F20"/>
          <w:w w:val="130"/>
        </w:rPr>
        <w:t>el debate sobre la crisis entre los grupos hegemónicos</w:t>
      </w:r>
    </w:p>
    <w:p>
      <w:pPr>
        <w:pStyle w:val="BodyText"/>
        <w:spacing w:before="5"/>
        <w:rPr>
          <w:sz w:val="23"/>
        </w:rPr>
      </w:pPr>
    </w:p>
    <w:p>
      <w:pPr>
        <w:pStyle w:val="BodyText"/>
        <w:spacing w:line="261" w:lineRule="auto"/>
        <w:ind w:left="100" w:right="117"/>
        <w:jc w:val="both"/>
      </w:pPr>
      <w:r>
        <w:rPr>
          <w:color w:val="231F20"/>
          <w:w w:val="110"/>
        </w:rPr>
        <w:t>Si</w:t>
      </w:r>
      <w:r>
        <w:rPr>
          <w:color w:val="231F20"/>
          <w:spacing w:val="-9"/>
          <w:w w:val="110"/>
        </w:rPr>
        <w:t> </w:t>
      </w:r>
      <w:r>
        <w:rPr>
          <w:color w:val="231F20"/>
          <w:w w:val="110"/>
        </w:rPr>
        <w:t>alguna</w:t>
      </w:r>
      <w:r>
        <w:rPr>
          <w:color w:val="231F20"/>
          <w:spacing w:val="-9"/>
          <w:w w:val="110"/>
        </w:rPr>
        <w:t> </w:t>
      </w:r>
      <w:r>
        <w:rPr>
          <w:color w:val="231F20"/>
          <w:w w:val="110"/>
        </w:rPr>
        <w:t>virtud</w:t>
      </w:r>
      <w:r>
        <w:rPr>
          <w:color w:val="231F20"/>
          <w:spacing w:val="-9"/>
          <w:w w:val="110"/>
        </w:rPr>
        <w:t> </w:t>
      </w:r>
      <w:r>
        <w:rPr>
          <w:color w:val="231F20"/>
          <w:w w:val="110"/>
        </w:rPr>
        <w:t>ha</w:t>
      </w:r>
      <w:r>
        <w:rPr>
          <w:color w:val="231F20"/>
          <w:spacing w:val="-9"/>
          <w:w w:val="110"/>
        </w:rPr>
        <w:t> </w:t>
      </w:r>
      <w:r>
        <w:rPr>
          <w:color w:val="231F20"/>
          <w:w w:val="110"/>
        </w:rPr>
        <w:t>tenido</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es</w:t>
      </w:r>
      <w:r>
        <w:rPr>
          <w:color w:val="231F20"/>
          <w:spacing w:val="-9"/>
          <w:w w:val="110"/>
        </w:rPr>
        <w:t> </w:t>
      </w:r>
      <w:r>
        <w:rPr>
          <w:color w:val="231F20"/>
          <w:w w:val="110"/>
        </w:rPr>
        <w:t>haber</w:t>
      </w:r>
      <w:r>
        <w:rPr>
          <w:color w:val="231F20"/>
          <w:spacing w:val="-9"/>
          <w:w w:val="110"/>
        </w:rPr>
        <w:t> </w:t>
      </w:r>
      <w:r>
        <w:rPr>
          <w:color w:val="231F20"/>
          <w:w w:val="110"/>
        </w:rPr>
        <w:t>abierto</w:t>
      </w:r>
      <w:r>
        <w:rPr>
          <w:color w:val="231F20"/>
          <w:spacing w:val="-9"/>
          <w:w w:val="110"/>
        </w:rPr>
        <w:t> </w:t>
      </w:r>
      <w:r>
        <w:rPr>
          <w:color w:val="231F20"/>
          <w:w w:val="110"/>
        </w:rPr>
        <w:t>el</w:t>
      </w:r>
      <w:r>
        <w:rPr>
          <w:color w:val="231F20"/>
          <w:spacing w:val="-9"/>
          <w:w w:val="110"/>
        </w:rPr>
        <w:t> </w:t>
      </w:r>
      <w:r>
        <w:rPr>
          <w:color w:val="231F20"/>
          <w:w w:val="110"/>
        </w:rPr>
        <w:t>debate</w:t>
      </w:r>
      <w:r>
        <w:rPr>
          <w:color w:val="231F20"/>
          <w:spacing w:val="-9"/>
          <w:w w:val="110"/>
        </w:rPr>
        <w:t> </w:t>
      </w:r>
      <w:r>
        <w:rPr>
          <w:color w:val="231F20"/>
          <w:w w:val="110"/>
        </w:rPr>
        <w:t>sobre</w:t>
      </w:r>
      <w:r>
        <w:rPr>
          <w:color w:val="231F20"/>
          <w:spacing w:val="-9"/>
          <w:w w:val="110"/>
        </w:rPr>
        <w:t> </w:t>
      </w:r>
      <w:r>
        <w:rPr>
          <w:color w:val="231F20"/>
          <w:w w:val="110"/>
        </w:rPr>
        <w:t>la forma y el rumbo que habrá de adquirir la economía mundial según la orientación de su</w:t>
      </w:r>
      <w:r>
        <w:rPr>
          <w:color w:val="231F20"/>
          <w:spacing w:val="39"/>
          <w:w w:val="110"/>
        </w:rPr>
        <w:t> </w:t>
      </w:r>
      <w:r>
        <w:rPr>
          <w:color w:val="231F20"/>
          <w:w w:val="110"/>
        </w:rPr>
        <w:t>solución.</w:t>
      </w:r>
    </w:p>
    <w:p>
      <w:pPr>
        <w:pStyle w:val="BodyText"/>
        <w:spacing w:line="261" w:lineRule="auto"/>
        <w:ind w:left="72" w:right="117" w:firstLine="240"/>
        <w:jc w:val="right"/>
      </w:pPr>
      <w:r>
        <w:rPr>
          <w:color w:val="231F20"/>
          <w:w w:val="110"/>
        </w:rPr>
        <w:t>El debate ha sido intenso. Sin embargo, los economistas que du-</w:t>
      </w:r>
      <w:r>
        <w:rPr>
          <w:color w:val="231F20"/>
          <w:w w:val="72"/>
        </w:rPr>
        <w:t> </w:t>
      </w:r>
      <w:r>
        <w:rPr>
          <w:color w:val="231F20"/>
          <w:w w:val="110"/>
        </w:rPr>
        <w:t>rante los tres últimos decenios definieron al neoliberalismo como</w:t>
      </w:r>
      <w:r>
        <w:rPr>
          <w:color w:val="231F20"/>
          <w:w w:val="109"/>
        </w:rPr>
        <w:t> </w:t>
      </w:r>
      <w:r>
        <w:rPr>
          <w:color w:val="231F20"/>
          <w:w w:val="110"/>
        </w:rPr>
        <w:t>“la única opción posible”, guardan hoy discreto silencio. Es la hora</w:t>
      </w:r>
      <w:r>
        <w:rPr>
          <w:color w:val="231F20"/>
          <w:w w:val="114"/>
        </w:rPr>
        <w:t> </w:t>
      </w:r>
      <w:r>
        <w:rPr>
          <w:color w:val="231F20"/>
          <w:w w:val="110"/>
        </w:rPr>
        <w:t>de la “heterodoxia” que reclama la necesidad de regular el mercado.</w:t>
      </w:r>
      <w:r>
        <w:rPr>
          <w:color w:val="231F20"/>
          <w:w w:val="111"/>
        </w:rPr>
        <w:t> </w:t>
      </w:r>
      <w:r>
        <w:rPr>
          <w:color w:val="231F20"/>
          <w:w w:val="110"/>
        </w:rPr>
        <w:t>Pero, como siempre, conviene tener cuidado con la nueva oleada de</w:t>
      </w:r>
      <w:r>
        <w:rPr>
          <w:color w:val="231F20"/>
          <w:w w:val="114"/>
        </w:rPr>
        <w:t> </w:t>
      </w:r>
      <w:r>
        <w:rPr>
          <w:color w:val="231F20"/>
          <w:w w:val="110"/>
        </w:rPr>
        <w:t>travestismo ideológico que todo cambio de la realidad trae consigo.</w:t>
      </w:r>
      <w:r>
        <w:rPr>
          <w:color w:val="231F20"/>
          <w:w w:val="107"/>
        </w:rPr>
        <w:t> </w:t>
      </w:r>
      <w:r>
        <w:rPr>
          <w:color w:val="231F20"/>
          <w:w w:val="110"/>
        </w:rPr>
        <w:t>Los ahora heterodoxos, no parecen ser mejores que los econo-</w:t>
      </w:r>
      <w:r>
        <w:rPr>
          <w:color w:val="231F20"/>
          <w:w w:val="72"/>
        </w:rPr>
        <w:t> </w:t>
      </w:r>
      <w:r>
        <w:rPr>
          <w:color w:val="231F20"/>
          <w:w w:val="110"/>
        </w:rPr>
        <w:t>mistas neoliberales. Todos dan lecciones y, algunos, hasta muestran</w:t>
      </w:r>
      <w:r>
        <w:rPr>
          <w:color w:val="231F20"/>
          <w:w w:val="111"/>
        </w:rPr>
        <w:t> </w:t>
      </w:r>
      <w:r>
        <w:rPr>
          <w:color w:val="231F20"/>
          <w:w w:val="110"/>
        </w:rPr>
        <w:t>arrepentimiento por su fundamentalismo, es el caso de Alan Greens-</w:t>
      </w:r>
      <w:r>
        <w:rPr>
          <w:color w:val="231F20"/>
          <w:w w:val="72"/>
        </w:rPr>
        <w:t> </w:t>
      </w:r>
      <w:r>
        <w:rPr>
          <w:color w:val="231F20"/>
          <w:w w:val="110"/>
        </w:rPr>
        <w:t>pan, presidente de la Reserva Federal de Estados Unidos entre 1987</w:t>
      </w:r>
      <w:r>
        <w:rPr>
          <w:color w:val="231F20"/>
          <w:w w:val="104"/>
        </w:rPr>
        <w:t> </w:t>
      </w:r>
      <w:r>
        <w:rPr>
          <w:color w:val="231F20"/>
          <w:w w:val="110"/>
        </w:rPr>
        <w:t>y 2006, quien ante el Comité de Control de Acción Gubernamental</w:t>
      </w:r>
      <w:r>
        <w:rPr>
          <w:color w:val="231F20"/>
          <w:w w:val="111"/>
        </w:rPr>
        <w:t> </w:t>
      </w:r>
      <w:r>
        <w:rPr>
          <w:color w:val="231F20"/>
          <w:w w:val="110"/>
        </w:rPr>
        <w:t>de la Cámara de Representantes de Estados Unidos, declaró: “[Con</w:t>
      </w:r>
      <w:r>
        <w:rPr>
          <w:color w:val="231F20"/>
          <w:w w:val="109"/>
        </w:rPr>
        <w:t> </w:t>
      </w:r>
      <w:r>
        <w:rPr>
          <w:color w:val="231F20"/>
          <w:w w:val="110"/>
        </w:rPr>
        <w:t>la crisis] Se me reveló una laguna en la ideología capitalista en la</w:t>
      </w:r>
      <w:r>
        <w:rPr>
          <w:color w:val="231F20"/>
          <w:w w:val="105"/>
        </w:rPr>
        <w:t> </w:t>
      </w:r>
      <w:r>
        <w:rPr>
          <w:color w:val="231F20"/>
          <w:w w:val="110"/>
        </w:rPr>
        <w:t>que siempre creí. Mi opinión era que los mercados libres y competi-</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05"/>
        </w:rPr>
        <w:t>tivos son de lejos la mejor manera de organizar la economía. Quizá cometí un error al confiar en que los mercados podían regularse a sí</w:t>
      </w:r>
      <w:r>
        <w:rPr>
          <w:color w:val="231F20"/>
          <w:w w:val="98"/>
        </w:rPr>
        <w:t> </w:t>
      </w:r>
      <w:r>
        <w:rPr>
          <w:color w:val="231F20"/>
          <w:w w:val="105"/>
        </w:rPr>
        <w:t>mismos”, y terminar sugiriendo que las empresas y mercados finan- cieros estuvieran “mucho más regulados para impedir el peor </w:t>
      </w:r>
      <w:r>
        <w:rPr>
          <w:i/>
          <w:color w:val="231F20"/>
          <w:w w:val="105"/>
        </w:rPr>
        <w:t>tsunami </w:t>
      </w:r>
      <w:r>
        <w:rPr>
          <w:color w:val="231F20"/>
          <w:w w:val="105"/>
        </w:rPr>
        <w:t>financiero del último siglo” (</w:t>
      </w:r>
      <w:r>
        <w:rPr>
          <w:i/>
          <w:color w:val="231F20"/>
          <w:w w:val="105"/>
        </w:rPr>
        <w:t>El Financiero, </w:t>
      </w:r>
      <w:r>
        <w:rPr>
          <w:color w:val="231F20"/>
          <w:w w:val="105"/>
        </w:rPr>
        <w:t>24 de octubre de    2008).</w:t>
      </w:r>
    </w:p>
    <w:p>
      <w:pPr>
        <w:pStyle w:val="BodyText"/>
        <w:spacing w:line="261" w:lineRule="auto"/>
        <w:ind w:left="100" w:right="117" w:firstLine="240"/>
        <w:jc w:val="both"/>
      </w:pPr>
      <w:r>
        <w:rPr>
          <w:color w:val="231F20"/>
          <w:w w:val="110"/>
        </w:rPr>
        <w:t>A</w:t>
      </w:r>
      <w:r>
        <w:rPr>
          <w:color w:val="231F20"/>
          <w:spacing w:val="-21"/>
          <w:w w:val="110"/>
        </w:rPr>
        <w:t> </w:t>
      </w:r>
      <w:r>
        <w:rPr>
          <w:color w:val="231F20"/>
          <w:w w:val="110"/>
        </w:rPr>
        <w:t>su</w:t>
      </w:r>
      <w:r>
        <w:rPr>
          <w:color w:val="231F20"/>
          <w:spacing w:val="-21"/>
          <w:w w:val="110"/>
        </w:rPr>
        <w:t> </w:t>
      </w:r>
      <w:r>
        <w:rPr>
          <w:color w:val="231F20"/>
          <w:w w:val="110"/>
        </w:rPr>
        <w:t>vez,</w:t>
      </w:r>
      <w:r>
        <w:rPr>
          <w:color w:val="231F20"/>
          <w:spacing w:val="-21"/>
          <w:w w:val="110"/>
        </w:rPr>
        <w:t> </w:t>
      </w:r>
      <w:r>
        <w:rPr>
          <w:color w:val="231F20"/>
          <w:w w:val="110"/>
        </w:rPr>
        <w:t>George</w:t>
      </w:r>
      <w:r>
        <w:rPr>
          <w:color w:val="231F20"/>
          <w:spacing w:val="-21"/>
          <w:w w:val="110"/>
        </w:rPr>
        <w:t> </w:t>
      </w:r>
      <w:r>
        <w:rPr>
          <w:color w:val="231F20"/>
          <w:w w:val="110"/>
        </w:rPr>
        <w:t>Soros</w:t>
      </w:r>
      <w:r>
        <w:rPr>
          <w:color w:val="231F20"/>
          <w:spacing w:val="-21"/>
          <w:w w:val="110"/>
        </w:rPr>
        <w:t> </w:t>
      </w:r>
      <w:r>
        <w:rPr>
          <w:color w:val="231F20"/>
          <w:w w:val="110"/>
        </w:rPr>
        <w:t>en</w:t>
      </w:r>
      <w:r>
        <w:rPr>
          <w:color w:val="231F20"/>
          <w:spacing w:val="-21"/>
          <w:w w:val="110"/>
        </w:rPr>
        <w:t> </w:t>
      </w:r>
      <w:r>
        <w:rPr>
          <w:color w:val="231F20"/>
          <w:w w:val="110"/>
        </w:rPr>
        <w:t>septiembre</w:t>
      </w:r>
      <w:r>
        <w:rPr>
          <w:color w:val="231F20"/>
          <w:spacing w:val="-21"/>
          <w:w w:val="110"/>
        </w:rPr>
        <w:t> </w:t>
      </w:r>
      <w:r>
        <w:rPr>
          <w:color w:val="231F20"/>
          <w:w w:val="110"/>
        </w:rPr>
        <w:t>del</w:t>
      </w:r>
      <w:r>
        <w:rPr>
          <w:color w:val="231F20"/>
          <w:spacing w:val="-21"/>
          <w:w w:val="110"/>
        </w:rPr>
        <w:t> </w:t>
      </w:r>
      <w:r>
        <w:rPr>
          <w:color w:val="231F20"/>
          <w:w w:val="110"/>
        </w:rPr>
        <w:t>2008,</w:t>
      </w:r>
      <w:r>
        <w:rPr>
          <w:color w:val="231F20"/>
          <w:spacing w:val="-21"/>
          <w:w w:val="110"/>
        </w:rPr>
        <w:t> </w:t>
      </w:r>
      <w:r>
        <w:rPr>
          <w:color w:val="231F20"/>
          <w:w w:val="110"/>
        </w:rPr>
        <w:t>en</w:t>
      </w:r>
      <w:r>
        <w:rPr>
          <w:color w:val="231F20"/>
          <w:spacing w:val="-21"/>
          <w:w w:val="110"/>
        </w:rPr>
        <w:t> </w:t>
      </w:r>
      <w:r>
        <w:rPr>
          <w:color w:val="231F20"/>
          <w:w w:val="110"/>
        </w:rPr>
        <w:t>pleno</w:t>
      </w:r>
      <w:r>
        <w:rPr>
          <w:color w:val="231F20"/>
          <w:spacing w:val="-21"/>
          <w:w w:val="110"/>
        </w:rPr>
        <w:t> </w:t>
      </w:r>
      <w:r>
        <w:rPr>
          <w:color w:val="231F20"/>
          <w:w w:val="110"/>
        </w:rPr>
        <w:t>desarrollo de</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encontraría</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i/>
          <w:color w:val="231F20"/>
          <w:w w:val="110"/>
        </w:rPr>
        <w:t>culpables</w:t>
      </w:r>
      <w:r>
        <w:rPr>
          <w:i/>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fundamentos del</w:t>
      </w:r>
      <w:r>
        <w:rPr>
          <w:color w:val="231F20"/>
          <w:spacing w:val="-11"/>
          <w:w w:val="110"/>
        </w:rPr>
        <w:t> </w:t>
      </w:r>
      <w:r>
        <w:rPr>
          <w:color w:val="231F20"/>
          <w:w w:val="110"/>
        </w:rPr>
        <w:t>neoliberalismo</w:t>
      </w:r>
      <w:r>
        <w:rPr>
          <w:color w:val="231F20"/>
          <w:spacing w:val="-11"/>
          <w:w w:val="110"/>
        </w:rPr>
        <w:t> </w:t>
      </w:r>
      <w:r>
        <w:rPr>
          <w:color w:val="231F20"/>
          <w:w w:val="110"/>
        </w:rPr>
        <w:t>y</w:t>
      </w:r>
      <w:r>
        <w:rPr>
          <w:color w:val="231F20"/>
          <w:spacing w:val="-11"/>
          <w:w w:val="110"/>
        </w:rPr>
        <w:t> </w:t>
      </w:r>
      <w:r>
        <w:rPr>
          <w:color w:val="231F20"/>
          <w:w w:val="110"/>
        </w:rPr>
        <w:t>afirmaría:</w:t>
      </w:r>
      <w:r>
        <w:rPr>
          <w:color w:val="231F20"/>
          <w:spacing w:val="-11"/>
          <w:w w:val="110"/>
        </w:rPr>
        <w:t> </w:t>
      </w:r>
      <w:r>
        <w:rPr>
          <w:color w:val="231F20"/>
          <w:w w:val="110"/>
        </w:rPr>
        <w:t>“La</w:t>
      </w:r>
      <w:r>
        <w:rPr>
          <w:color w:val="231F20"/>
          <w:spacing w:val="-11"/>
          <w:w w:val="110"/>
        </w:rPr>
        <w:t> </w:t>
      </w:r>
      <w:r>
        <w:rPr>
          <w:color w:val="231F20"/>
          <w:w w:val="110"/>
        </w:rPr>
        <w:t>culpa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actual</w:t>
      </w:r>
      <w:r>
        <w:rPr>
          <w:color w:val="231F20"/>
          <w:spacing w:val="-11"/>
          <w:w w:val="110"/>
        </w:rPr>
        <w:t> </w:t>
      </w:r>
      <w:r>
        <w:rPr>
          <w:color w:val="231F20"/>
          <w:w w:val="110"/>
        </w:rPr>
        <w:t>crisis</w:t>
      </w:r>
      <w:r>
        <w:rPr>
          <w:color w:val="231F20"/>
          <w:spacing w:val="-11"/>
          <w:w w:val="110"/>
        </w:rPr>
        <w:t> </w:t>
      </w:r>
      <w:r>
        <w:rPr>
          <w:color w:val="231F20"/>
          <w:w w:val="110"/>
        </w:rPr>
        <w:t>la</w:t>
      </w:r>
      <w:r>
        <w:rPr>
          <w:color w:val="231F20"/>
          <w:spacing w:val="-11"/>
          <w:w w:val="110"/>
        </w:rPr>
        <w:t> </w:t>
      </w:r>
      <w:r>
        <w:rPr>
          <w:color w:val="231F20"/>
          <w:w w:val="110"/>
        </w:rPr>
        <w:t>tiene</w:t>
      </w:r>
      <w:r>
        <w:rPr>
          <w:color w:val="231F20"/>
          <w:spacing w:val="-11"/>
          <w:w w:val="110"/>
        </w:rPr>
        <w:t> </w:t>
      </w:r>
      <w:r>
        <w:rPr>
          <w:color w:val="231F20"/>
          <w:w w:val="110"/>
        </w:rPr>
        <w:t>el fundamentalismo</w:t>
      </w:r>
      <w:r>
        <w:rPr>
          <w:color w:val="231F20"/>
          <w:spacing w:val="-8"/>
          <w:w w:val="110"/>
        </w:rPr>
        <w:t> </w:t>
      </w:r>
      <w:r>
        <w:rPr>
          <w:color w:val="231F20"/>
          <w:w w:val="110"/>
        </w:rPr>
        <w:t>de</w:t>
      </w:r>
      <w:r>
        <w:rPr>
          <w:color w:val="231F20"/>
          <w:spacing w:val="-8"/>
          <w:w w:val="110"/>
        </w:rPr>
        <w:t> </w:t>
      </w:r>
      <w:r>
        <w:rPr>
          <w:color w:val="231F20"/>
          <w:w w:val="110"/>
        </w:rPr>
        <w:t>mercado,</w:t>
      </w:r>
      <w:r>
        <w:rPr>
          <w:color w:val="231F20"/>
          <w:spacing w:val="-8"/>
          <w:w w:val="110"/>
        </w:rPr>
        <w:t> </w:t>
      </w:r>
      <w:r>
        <w:rPr>
          <w:color w:val="231F20"/>
          <w:w w:val="110"/>
        </w:rPr>
        <w:t>que</w:t>
      </w:r>
      <w:r>
        <w:rPr>
          <w:color w:val="231F20"/>
          <w:spacing w:val="-8"/>
          <w:w w:val="110"/>
        </w:rPr>
        <w:t> </w:t>
      </w:r>
      <w:r>
        <w:rPr>
          <w:color w:val="231F20"/>
          <w:w w:val="110"/>
        </w:rPr>
        <w:t>no</w:t>
      </w:r>
      <w:r>
        <w:rPr>
          <w:color w:val="231F20"/>
          <w:spacing w:val="-8"/>
          <w:w w:val="110"/>
        </w:rPr>
        <w:t> </w:t>
      </w:r>
      <w:r>
        <w:rPr>
          <w:color w:val="231F20"/>
          <w:w w:val="110"/>
        </w:rPr>
        <w:t>es</w:t>
      </w:r>
      <w:r>
        <w:rPr>
          <w:color w:val="231F20"/>
          <w:spacing w:val="-8"/>
          <w:w w:val="110"/>
        </w:rPr>
        <w:t> </w:t>
      </w:r>
      <w:r>
        <w:rPr>
          <w:color w:val="231F20"/>
          <w:w w:val="110"/>
        </w:rPr>
        <w:t>otra</w:t>
      </w:r>
      <w:r>
        <w:rPr>
          <w:color w:val="231F20"/>
          <w:spacing w:val="-8"/>
          <w:w w:val="110"/>
        </w:rPr>
        <w:t> </w:t>
      </w:r>
      <w:r>
        <w:rPr>
          <w:color w:val="231F20"/>
          <w:w w:val="110"/>
        </w:rPr>
        <w:t>cosa</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9"/>
          <w:w w:val="110"/>
        </w:rPr>
        <w:t> </w:t>
      </w:r>
      <w:r>
        <w:rPr>
          <w:i/>
          <w:color w:val="231F20"/>
          <w:w w:val="110"/>
        </w:rPr>
        <w:t>laissez</w:t>
      </w:r>
      <w:r>
        <w:rPr>
          <w:i/>
          <w:color w:val="231F20"/>
          <w:spacing w:val="-8"/>
          <w:w w:val="110"/>
        </w:rPr>
        <w:t> </w:t>
      </w:r>
      <w:r>
        <w:rPr>
          <w:i/>
          <w:color w:val="231F20"/>
          <w:w w:val="110"/>
        </w:rPr>
        <w:t>faire </w:t>
      </w:r>
      <w:r>
        <w:rPr>
          <w:color w:val="231F20"/>
          <w:w w:val="110"/>
        </w:rPr>
        <w:t>(“dejar</w:t>
      </w:r>
      <w:r>
        <w:rPr>
          <w:color w:val="231F20"/>
          <w:spacing w:val="-15"/>
          <w:w w:val="110"/>
        </w:rPr>
        <w:t> </w:t>
      </w:r>
      <w:r>
        <w:rPr>
          <w:color w:val="231F20"/>
          <w:w w:val="110"/>
        </w:rPr>
        <w:t>hacer”)</w:t>
      </w:r>
      <w:r>
        <w:rPr>
          <w:color w:val="231F20"/>
          <w:spacing w:val="-15"/>
          <w:w w:val="110"/>
        </w:rPr>
        <w:t> </w:t>
      </w:r>
      <w:r>
        <w:rPr>
          <w:color w:val="231F20"/>
          <w:w w:val="110"/>
        </w:rPr>
        <w:t>del</w:t>
      </w:r>
      <w:r>
        <w:rPr>
          <w:color w:val="231F20"/>
          <w:spacing w:val="-15"/>
          <w:w w:val="110"/>
        </w:rPr>
        <w:t> </w:t>
      </w:r>
      <w:r>
        <w:rPr>
          <w:color w:val="231F20"/>
          <w:w w:val="110"/>
        </w:rPr>
        <w:t>siglo</w:t>
      </w:r>
      <w:r>
        <w:rPr>
          <w:color w:val="231F20"/>
          <w:spacing w:val="-15"/>
          <w:w w:val="110"/>
        </w:rPr>
        <w:t> </w:t>
      </w:r>
      <w:r>
        <w:rPr>
          <w:color w:val="231F20"/>
          <w:w w:val="110"/>
        </w:rPr>
        <w:t>xx;</w:t>
      </w:r>
      <w:r>
        <w:rPr>
          <w:color w:val="231F20"/>
          <w:spacing w:val="-15"/>
          <w:w w:val="110"/>
        </w:rPr>
        <w:t> </w:t>
      </w:r>
      <w:r>
        <w:rPr>
          <w:color w:val="231F20"/>
          <w:w w:val="110"/>
        </w:rPr>
        <w:t>las</w:t>
      </w:r>
      <w:r>
        <w:rPr>
          <w:color w:val="231F20"/>
          <w:spacing w:val="-15"/>
          <w:w w:val="110"/>
        </w:rPr>
        <w:t> </w:t>
      </w:r>
      <w:r>
        <w:rPr>
          <w:color w:val="231F20"/>
          <w:w w:val="110"/>
        </w:rPr>
        <w:t>finanzas</w:t>
      </w:r>
      <w:r>
        <w:rPr>
          <w:color w:val="231F20"/>
          <w:spacing w:val="-15"/>
          <w:w w:val="110"/>
        </w:rPr>
        <w:t> </w:t>
      </w:r>
      <w:r>
        <w:rPr>
          <w:color w:val="231F20"/>
          <w:w w:val="110"/>
        </w:rPr>
        <w:t>se</w:t>
      </w:r>
      <w:r>
        <w:rPr>
          <w:color w:val="231F20"/>
          <w:spacing w:val="-15"/>
          <w:w w:val="110"/>
        </w:rPr>
        <w:t> </w:t>
      </w:r>
      <w:r>
        <w:rPr>
          <w:color w:val="231F20"/>
          <w:w w:val="110"/>
        </w:rPr>
        <w:t>han</w:t>
      </w:r>
      <w:r>
        <w:rPr>
          <w:color w:val="231F20"/>
          <w:spacing w:val="-15"/>
          <w:w w:val="110"/>
        </w:rPr>
        <w:t> </w:t>
      </w:r>
      <w:r>
        <w:rPr>
          <w:color w:val="231F20"/>
          <w:w w:val="110"/>
        </w:rPr>
        <w:t>vuelto</w:t>
      </w:r>
      <w:r>
        <w:rPr>
          <w:color w:val="231F20"/>
          <w:spacing w:val="-15"/>
          <w:w w:val="110"/>
        </w:rPr>
        <w:t> </w:t>
      </w:r>
      <w:r>
        <w:rPr>
          <w:color w:val="231F20"/>
          <w:w w:val="110"/>
        </w:rPr>
        <w:t>tan</w:t>
      </w:r>
      <w:r>
        <w:rPr>
          <w:color w:val="231F20"/>
          <w:spacing w:val="-15"/>
          <w:w w:val="110"/>
        </w:rPr>
        <w:t> </w:t>
      </w:r>
      <w:r>
        <w:rPr>
          <w:color w:val="231F20"/>
          <w:w w:val="110"/>
        </w:rPr>
        <w:t>irracionales que habrá que ponerlas nuevamente bajo control; el monetarismo es una doctrina errónea” (Peiró, </w:t>
      </w:r>
      <w:r>
        <w:rPr>
          <w:color w:val="231F20"/>
          <w:spacing w:val="24"/>
          <w:w w:val="110"/>
        </w:rPr>
        <w:t> </w:t>
      </w:r>
      <w:r>
        <w:rPr>
          <w:color w:val="231F20"/>
          <w:w w:val="110"/>
        </w:rPr>
        <w:t>2008).</w:t>
      </w:r>
    </w:p>
    <w:p>
      <w:pPr>
        <w:pStyle w:val="BodyText"/>
        <w:spacing w:line="261" w:lineRule="auto"/>
        <w:ind w:left="100" w:right="119" w:firstLine="240"/>
        <w:jc w:val="both"/>
      </w:pPr>
      <w:r>
        <w:rPr>
          <w:color w:val="231F20"/>
          <w:w w:val="105"/>
        </w:rPr>
        <w:t>Por las mismas fechas, el Premio Nobel en Economía Joseph Sti-</w:t>
      </w:r>
      <w:r>
        <w:rPr>
          <w:color w:val="231F20"/>
          <w:w w:val="72"/>
        </w:rPr>
        <w:t> </w:t>
      </w:r>
      <w:r>
        <w:rPr>
          <w:color w:val="231F20"/>
          <w:w w:val="105"/>
        </w:rPr>
        <w:t>glitz, sostenía:</w:t>
      </w:r>
    </w:p>
    <w:p>
      <w:pPr>
        <w:pStyle w:val="BodyText"/>
        <w:spacing w:before="4"/>
        <w:rPr>
          <w:sz w:val="23"/>
        </w:rPr>
      </w:pPr>
    </w:p>
    <w:p>
      <w:pPr>
        <w:spacing w:line="290" w:lineRule="auto" w:before="0"/>
        <w:ind w:left="100" w:right="117" w:firstLine="0"/>
        <w:jc w:val="both"/>
        <w:rPr>
          <w:sz w:val="18"/>
        </w:rPr>
      </w:pPr>
      <w:r>
        <w:rPr>
          <w:color w:val="231F20"/>
          <w:w w:val="110"/>
          <w:sz w:val="18"/>
        </w:rPr>
        <w:t>Hemos aprendido que no se puede dejar a los bancos de inversión regu-  larse a sí mismos. No se puede dejar a la Reserva Federal, que está aliada estrechamente a los banqueros, a cargo de toda la regulación del sistema financiero. Se suponía que la Reserva retiraba el ponche cuando la fiesta se volvía escandalosa, pero en su lugar echó más alcohol (Stiglitz, 2008).</w:t>
      </w:r>
    </w:p>
    <w:p>
      <w:pPr>
        <w:pStyle w:val="BodyText"/>
        <w:spacing w:before="2"/>
      </w:pPr>
    </w:p>
    <w:p>
      <w:pPr>
        <w:pStyle w:val="BodyText"/>
        <w:spacing w:line="261" w:lineRule="auto"/>
        <w:ind w:left="100" w:right="113" w:firstLine="240"/>
        <w:jc w:val="right"/>
      </w:pPr>
      <w:r>
        <w:rPr>
          <w:color w:val="231F20"/>
          <w:w w:val="110"/>
        </w:rPr>
        <w:t>En abril de 2010, el presidente estadunidense</w:t>
      </w:r>
      <w:r>
        <w:rPr>
          <w:color w:val="231F20"/>
          <w:spacing w:val="11"/>
          <w:w w:val="110"/>
        </w:rPr>
        <w:t> </w:t>
      </w:r>
      <w:r>
        <w:rPr>
          <w:color w:val="231F20"/>
          <w:w w:val="110"/>
        </w:rPr>
        <w:t>Barack</w:t>
      </w:r>
      <w:r>
        <w:rPr>
          <w:color w:val="231F20"/>
          <w:spacing w:val="48"/>
          <w:w w:val="110"/>
        </w:rPr>
        <w:t> </w:t>
      </w:r>
      <w:r>
        <w:rPr>
          <w:color w:val="231F20"/>
          <w:w w:val="110"/>
        </w:rPr>
        <w:t>Obama</w:t>
      </w:r>
      <w:r>
        <w:rPr>
          <w:color w:val="231F20"/>
          <w:spacing w:val="2"/>
          <w:w w:val="110"/>
        </w:rPr>
        <w:t> </w:t>
      </w:r>
      <w:r>
        <w:rPr>
          <w:color w:val="231F20"/>
          <w:w w:val="110"/>
        </w:rPr>
        <w:t>promovió</w:t>
      </w:r>
      <w:r>
        <w:rPr>
          <w:color w:val="231F20"/>
          <w:spacing w:val="42"/>
          <w:w w:val="110"/>
        </w:rPr>
        <w:t> </w:t>
      </w:r>
      <w:r>
        <w:rPr>
          <w:color w:val="231F20"/>
          <w:w w:val="110"/>
        </w:rPr>
        <w:t>una</w:t>
      </w:r>
      <w:r>
        <w:rPr>
          <w:color w:val="231F20"/>
          <w:spacing w:val="42"/>
          <w:w w:val="110"/>
        </w:rPr>
        <w:t> </w:t>
      </w:r>
      <w:r>
        <w:rPr>
          <w:color w:val="231F20"/>
          <w:w w:val="110"/>
        </w:rPr>
        <w:t>reforma</w:t>
      </w:r>
      <w:r>
        <w:rPr>
          <w:color w:val="231F20"/>
          <w:spacing w:val="42"/>
          <w:w w:val="110"/>
        </w:rPr>
        <w:t> </w:t>
      </w:r>
      <w:r>
        <w:rPr>
          <w:color w:val="231F20"/>
          <w:w w:val="110"/>
        </w:rPr>
        <w:t>financiera,</w:t>
      </w:r>
      <w:r>
        <w:rPr>
          <w:color w:val="231F20"/>
          <w:spacing w:val="42"/>
          <w:w w:val="110"/>
        </w:rPr>
        <w:t> </w:t>
      </w:r>
      <w:r>
        <w:rPr>
          <w:color w:val="231F20"/>
          <w:w w:val="110"/>
        </w:rPr>
        <w:t>advirtiendo</w:t>
      </w:r>
      <w:r>
        <w:rPr>
          <w:color w:val="231F20"/>
          <w:spacing w:val="42"/>
          <w:w w:val="110"/>
        </w:rPr>
        <w:t> </w:t>
      </w:r>
      <w:r>
        <w:rPr>
          <w:color w:val="231F20"/>
          <w:w w:val="110"/>
        </w:rPr>
        <w:t>que</w:t>
      </w:r>
      <w:r>
        <w:rPr>
          <w:color w:val="231F20"/>
          <w:spacing w:val="42"/>
          <w:w w:val="110"/>
        </w:rPr>
        <w:t> </w:t>
      </w:r>
      <w:r>
        <w:rPr>
          <w:color w:val="231F20"/>
          <w:w w:val="110"/>
        </w:rPr>
        <w:t>de</w:t>
      </w:r>
      <w:r>
        <w:rPr>
          <w:color w:val="231F20"/>
          <w:spacing w:val="42"/>
          <w:w w:val="110"/>
        </w:rPr>
        <w:t> </w:t>
      </w:r>
      <w:r>
        <w:rPr>
          <w:color w:val="231F20"/>
          <w:w w:val="110"/>
        </w:rPr>
        <w:t>no</w:t>
      </w:r>
      <w:r>
        <w:rPr>
          <w:color w:val="231F20"/>
          <w:spacing w:val="42"/>
          <w:w w:val="110"/>
        </w:rPr>
        <w:t> </w:t>
      </w:r>
      <w:r>
        <w:rPr>
          <w:color w:val="231F20"/>
          <w:w w:val="110"/>
        </w:rPr>
        <w:t>hacerla</w:t>
      </w:r>
      <w:r>
        <w:rPr>
          <w:color w:val="231F20"/>
          <w:w w:val="110"/>
        </w:rPr>
        <w:t> </w:t>
      </w:r>
      <w:r>
        <w:rPr>
          <w:color w:val="231F20"/>
          <w:w w:val="110"/>
        </w:rPr>
        <w:t>Estados Unidos estará condenado a una nueva crisis:</w:t>
      </w:r>
      <w:r>
        <w:rPr>
          <w:color w:val="231F20"/>
          <w:spacing w:val="41"/>
          <w:w w:val="110"/>
        </w:rPr>
        <w:t> </w:t>
      </w:r>
      <w:r>
        <w:rPr>
          <w:color w:val="231F20"/>
          <w:w w:val="110"/>
        </w:rPr>
        <w:t>“Es</w:t>
      </w:r>
      <w:r>
        <w:rPr>
          <w:color w:val="231F20"/>
          <w:spacing w:val="18"/>
          <w:w w:val="110"/>
        </w:rPr>
        <w:t> </w:t>
      </w:r>
      <w:r>
        <w:rPr>
          <w:color w:val="231F20"/>
          <w:w w:val="110"/>
        </w:rPr>
        <w:t>esencial,</w:t>
      </w:r>
      <w:r>
        <w:rPr>
          <w:color w:val="231F20"/>
          <w:w w:val="107"/>
        </w:rPr>
        <w:t> </w:t>
      </w:r>
      <w:r>
        <w:rPr>
          <w:color w:val="231F20"/>
          <w:w w:val="110"/>
        </w:rPr>
        <w:t>dijo,</w:t>
      </w:r>
      <w:r>
        <w:rPr>
          <w:color w:val="231F20"/>
          <w:spacing w:val="-14"/>
          <w:w w:val="110"/>
        </w:rPr>
        <w:t> </w:t>
      </w:r>
      <w:r>
        <w:rPr>
          <w:color w:val="231F20"/>
          <w:w w:val="110"/>
        </w:rPr>
        <w:t>que</w:t>
      </w:r>
      <w:r>
        <w:rPr>
          <w:color w:val="231F20"/>
          <w:spacing w:val="-14"/>
          <w:w w:val="110"/>
        </w:rPr>
        <w:t> </w:t>
      </w:r>
      <w:r>
        <w:rPr>
          <w:color w:val="231F20"/>
          <w:w w:val="110"/>
        </w:rPr>
        <w:t>aprendamos</w:t>
      </w:r>
      <w:r>
        <w:rPr>
          <w:color w:val="231F20"/>
          <w:spacing w:val="-14"/>
          <w:w w:val="110"/>
        </w:rPr>
        <w:t> </w:t>
      </w:r>
      <w:r>
        <w:rPr>
          <w:color w:val="231F20"/>
          <w:w w:val="110"/>
        </w:rPr>
        <w:t>las</w:t>
      </w:r>
      <w:r>
        <w:rPr>
          <w:color w:val="231F20"/>
          <w:spacing w:val="-14"/>
          <w:w w:val="110"/>
        </w:rPr>
        <w:t> </w:t>
      </w:r>
      <w:r>
        <w:rPr>
          <w:color w:val="231F20"/>
          <w:w w:val="110"/>
        </w:rPr>
        <w:t>lecciones</w:t>
      </w:r>
      <w:r>
        <w:rPr>
          <w:color w:val="231F20"/>
          <w:spacing w:val="-14"/>
          <w:w w:val="110"/>
        </w:rPr>
        <w:t> </w:t>
      </w:r>
      <w:r>
        <w:rPr>
          <w:color w:val="231F20"/>
          <w:w w:val="110"/>
        </w:rPr>
        <w:t>de</w:t>
      </w:r>
      <w:r>
        <w:rPr>
          <w:color w:val="231F20"/>
          <w:spacing w:val="-14"/>
          <w:w w:val="110"/>
        </w:rPr>
        <w:t> </w:t>
      </w:r>
      <w:r>
        <w:rPr>
          <w:color w:val="231F20"/>
          <w:w w:val="110"/>
        </w:rPr>
        <w:t>esta</w:t>
      </w:r>
      <w:r>
        <w:rPr>
          <w:color w:val="231F20"/>
          <w:spacing w:val="-14"/>
          <w:w w:val="110"/>
        </w:rPr>
        <w:t> </w:t>
      </w:r>
      <w:r>
        <w:rPr>
          <w:color w:val="231F20"/>
          <w:w w:val="110"/>
        </w:rPr>
        <w:t>crisis,</w:t>
      </w:r>
      <w:r>
        <w:rPr>
          <w:color w:val="231F20"/>
          <w:spacing w:val="-14"/>
          <w:w w:val="110"/>
        </w:rPr>
        <w:t> </w:t>
      </w:r>
      <w:r>
        <w:rPr>
          <w:color w:val="231F20"/>
          <w:w w:val="110"/>
        </w:rPr>
        <w:t>para</w:t>
      </w:r>
      <w:r>
        <w:rPr>
          <w:color w:val="231F20"/>
          <w:spacing w:val="-14"/>
          <w:w w:val="110"/>
        </w:rPr>
        <w:t> </w:t>
      </w:r>
      <w:r>
        <w:rPr>
          <w:color w:val="231F20"/>
          <w:w w:val="110"/>
        </w:rPr>
        <w:t>que</w:t>
      </w:r>
      <w:r>
        <w:rPr>
          <w:color w:val="231F20"/>
          <w:spacing w:val="-14"/>
          <w:w w:val="110"/>
        </w:rPr>
        <w:t> </w:t>
      </w:r>
      <w:r>
        <w:rPr>
          <w:color w:val="231F20"/>
          <w:w w:val="110"/>
        </w:rPr>
        <w:t>no</w:t>
      </w:r>
      <w:r>
        <w:rPr>
          <w:color w:val="231F20"/>
          <w:spacing w:val="-14"/>
          <w:w w:val="110"/>
        </w:rPr>
        <w:t> </w:t>
      </w:r>
      <w:r>
        <w:rPr>
          <w:color w:val="231F20"/>
          <w:w w:val="110"/>
        </w:rPr>
        <w:t>estemos</w:t>
      </w:r>
      <w:r>
        <w:rPr>
          <w:color w:val="231F20"/>
          <w:w w:val="107"/>
        </w:rPr>
        <w:t> </w:t>
      </w:r>
      <w:r>
        <w:rPr>
          <w:color w:val="231F20"/>
          <w:w w:val="110"/>
        </w:rPr>
        <w:t>condenados a repetirla. </w:t>
      </w:r>
      <w:r>
        <w:rPr>
          <w:color w:val="231F20"/>
        </w:rPr>
        <w:t>Y </w:t>
      </w:r>
      <w:r>
        <w:rPr>
          <w:color w:val="231F20"/>
          <w:w w:val="110"/>
        </w:rPr>
        <w:t>no se equivoquen, eso es</w:t>
      </w:r>
      <w:r>
        <w:rPr>
          <w:color w:val="231F20"/>
          <w:spacing w:val="22"/>
          <w:w w:val="110"/>
        </w:rPr>
        <w:t> </w:t>
      </w:r>
      <w:r>
        <w:rPr>
          <w:color w:val="231F20"/>
          <w:w w:val="110"/>
        </w:rPr>
        <w:t>exactamente</w:t>
      </w:r>
      <w:r>
        <w:rPr>
          <w:color w:val="231F20"/>
          <w:spacing w:val="14"/>
          <w:w w:val="110"/>
        </w:rPr>
        <w:t> </w:t>
      </w:r>
      <w:r>
        <w:rPr>
          <w:color w:val="231F20"/>
          <w:w w:val="110"/>
        </w:rPr>
        <w:t>lo</w:t>
      </w:r>
      <w:r>
        <w:rPr>
          <w:color w:val="231F20"/>
          <w:w w:val="107"/>
        </w:rPr>
        <w:t> </w:t>
      </w:r>
      <w:r>
        <w:rPr>
          <w:color w:val="231F20"/>
          <w:w w:val="110"/>
        </w:rPr>
        <w:t>que</w:t>
      </w:r>
      <w:r>
        <w:rPr>
          <w:color w:val="231F20"/>
          <w:spacing w:val="-6"/>
          <w:w w:val="110"/>
        </w:rPr>
        <w:t> </w:t>
      </w:r>
      <w:r>
        <w:rPr>
          <w:color w:val="231F20"/>
          <w:w w:val="110"/>
        </w:rPr>
        <w:t>va</w:t>
      </w:r>
      <w:r>
        <w:rPr>
          <w:color w:val="231F20"/>
          <w:spacing w:val="-6"/>
          <w:w w:val="110"/>
        </w:rPr>
        <w:t> </w:t>
      </w:r>
      <w:r>
        <w:rPr>
          <w:color w:val="231F20"/>
          <w:w w:val="110"/>
        </w:rPr>
        <w:t>a</w:t>
      </w:r>
      <w:r>
        <w:rPr>
          <w:color w:val="231F20"/>
          <w:spacing w:val="-6"/>
          <w:w w:val="110"/>
        </w:rPr>
        <w:t> </w:t>
      </w:r>
      <w:r>
        <w:rPr>
          <w:color w:val="231F20"/>
          <w:w w:val="110"/>
        </w:rPr>
        <w:t>ocurrir</w:t>
      </w:r>
      <w:r>
        <w:rPr>
          <w:color w:val="231F20"/>
          <w:spacing w:val="-6"/>
          <w:w w:val="110"/>
        </w:rPr>
        <w:t> </w:t>
      </w:r>
      <w:r>
        <w:rPr>
          <w:color w:val="231F20"/>
          <w:w w:val="110"/>
        </w:rPr>
        <w:t>si</w:t>
      </w:r>
      <w:r>
        <w:rPr>
          <w:color w:val="231F20"/>
          <w:spacing w:val="-6"/>
          <w:w w:val="110"/>
        </w:rPr>
        <w:t> </w:t>
      </w:r>
      <w:r>
        <w:rPr>
          <w:color w:val="231F20"/>
          <w:w w:val="110"/>
        </w:rPr>
        <w:t>dejamos</w:t>
      </w:r>
      <w:r>
        <w:rPr>
          <w:color w:val="231F20"/>
          <w:spacing w:val="-6"/>
          <w:w w:val="110"/>
        </w:rPr>
        <w:t> </w:t>
      </w:r>
      <w:r>
        <w:rPr>
          <w:color w:val="231F20"/>
          <w:w w:val="110"/>
        </w:rPr>
        <w:t>pasar</w:t>
      </w:r>
      <w:r>
        <w:rPr>
          <w:color w:val="231F20"/>
          <w:spacing w:val="-6"/>
          <w:w w:val="110"/>
        </w:rPr>
        <w:t> </w:t>
      </w:r>
      <w:r>
        <w:rPr>
          <w:color w:val="231F20"/>
          <w:w w:val="110"/>
        </w:rPr>
        <w:t>esta</w:t>
      </w:r>
      <w:r>
        <w:rPr>
          <w:color w:val="231F20"/>
          <w:spacing w:val="-6"/>
          <w:w w:val="110"/>
        </w:rPr>
        <w:t> </w:t>
      </w:r>
      <w:r>
        <w:rPr>
          <w:color w:val="231F20"/>
          <w:w w:val="110"/>
        </w:rPr>
        <w:t>ocasión”</w:t>
      </w:r>
      <w:r>
        <w:rPr>
          <w:color w:val="231F20"/>
          <w:spacing w:val="-6"/>
          <w:w w:val="110"/>
        </w:rPr>
        <w:t> </w:t>
      </w:r>
      <w:r>
        <w:rPr>
          <w:color w:val="231F20"/>
          <w:w w:val="110"/>
        </w:rPr>
        <w:t>de</w:t>
      </w:r>
      <w:r>
        <w:rPr>
          <w:color w:val="231F20"/>
          <w:spacing w:val="-6"/>
          <w:w w:val="110"/>
        </w:rPr>
        <w:t> </w:t>
      </w:r>
      <w:r>
        <w:rPr>
          <w:color w:val="231F20"/>
          <w:w w:val="110"/>
        </w:rPr>
        <w:t>poner</w:t>
      </w:r>
      <w:r>
        <w:rPr>
          <w:color w:val="231F20"/>
          <w:spacing w:val="-6"/>
          <w:w w:val="110"/>
        </w:rPr>
        <w:t> </w:t>
      </w:r>
      <w:r>
        <w:rPr>
          <w:color w:val="231F20"/>
          <w:w w:val="110"/>
        </w:rPr>
        <w:t>a</w:t>
      </w:r>
      <w:r>
        <w:rPr>
          <w:color w:val="231F20"/>
          <w:spacing w:val="-6"/>
          <w:w w:val="110"/>
        </w:rPr>
        <w:t> </w:t>
      </w:r>
      <w:r>
        <w:rPr>
          <w:color w:val="231F20"/>
          <w:w w:val="110"/>
        </w:rPr>
        <w:t>revisión</w:t>
      </w:r>
      <w:r>
        <w:rPr>
          <w:color w:val="231F20"/>
          <w:spacing w:val="-6"/>
          <w:w w:val="110"/>
        </w:rPr>
        <w:t> </w:t>
      </w:r>
      <w:r>
        <w:rPr>
          <w:color w:val="231F20"/>
          <w:w w:val="110"/>
        </w:rPr>
        <w:t>el</w:t>
      </w:r>
      <w:r>
        <w:rPr>
          <w:color w:val="231F20"/>
          <w:w w:val="108"/>
        </w:rPr>
        <w:t> </w:t>
      </w:r>
      <w:r>
        <w:rPr>
          <w:color w:val="231F20"/>
          <w:w w:val="110"/>
        </w:rPr>
        <w:t>sistema de regulación de los bancos </w:t>
      </w:r>
      <w:r>
        <w:rPr>
          <w:color w:val="231F20"/>
        </w:rPr>
        <w:t>y </w:t>
      </w:r>
      <w:r>
        <w:rPr>
          <w:color w:val="231F20"/>
          <w:w w:val="110"/>
        </w:rPr>
        <w:t>otras</w:t>
      </w:r>
      <w:r>
        <w:rPr>
          <w:color w:val="231F20"/>
          <w:spacing w:val="-26"/>
          <w:w w:val="110"/>
        </w:rPr>
        <w:t> </w:t>
      </w:r>
      <w:r>
        <w:rPr>
          <w:color w:val="231F20"/>
          <w:w w:val="110"/>
        </w:rPr>
        <w:t>instituciones</w:t>
      </w:r>
      <w:r>
        <w:rPr>
          <w:color w:val="231F20"/>
          <w:spacing w:val="-4"/>
          <w:w w:val="110"/>
        </w:rPr>
        <w:t> </w:t>
      </w:r>
      <w:r>
        <w:rPr>
          <w:color w:val="231F20"/>
          <w:w w:val="110"/>
        </w:rPr>
        <w:t>financieras.</w:t>
      </w:r>
      <w:r>
        <w:rPr>
          <w:color w:val="231F20"/>
          <w:w w:val="108"/>
        </w:rPr>
        <w:t> </w:t>
      </w:r>
      <w:r>
        <w:rPr>
          <w:color w:val="231F20"/>
          <w:w w:val="110"/>
        </w:rPr>
        <w:t>En</w:t>
      </w:r>
      <w:r>
        <w:rPr>
          <w:color w:val="231F20"/>
          <w:spacing w:val="-13"/>
          <w:w w:val="110"/>
        </w:rPr>
        <w:t> </w:t>
      </w:r>
      <w:r>
        <w:rPr>
          <w:color w:val="231F20"/>
          <w:w w:val="110"/>
        </w:rPr>
        <w:t>esa</w:t>
      </w:r>
      <w:r>
        <w:rPr>
          <w:color w:val="231F20"/>
          <w:spacing w:val="-13"/>
          <w:w w:val="110"/>
        </w:rPr>
        <w:t> </w:t>
      </w:r>
      <w:r>
        <w:rPr>
          <w:color w:val="231F20"/>
          <w:w w:val="110"/>
        </w:rPr>
        <w:t>mismas</w:t>
      </w:r>
      <w:r>
        <w:rPr>
          <w:color w:val="231F20"/>
          <w:spacing w:val="-13"/>
          <w:w w:val="110"/>
        </w:rPr>
        <w:t> </w:t>
      </w:r>
      <w:r>
        <w:rPr>
          <w:color w:val="231F20"/>
          <w:w w:val="110"/>
        </w:rPr>
        <w:t>ocasión,</w:t>
      </w:r>
      <w:r>
        <w:rPr>
          <w:color w:val="231F20"/>
          <w:spacing w:val="-13"/>
          <w:w w:val="110"/>
        </w:rPr>
        <w:t> </w:t>
      </w:r>
      <w:r>
        <w:rPr>
          <w:color w:val="231F20"/>
          <w:w w:val="110"/>
        </w:rPr>
        <w:t>Obama</w:t>
      </w:r>
      <w:r>
        <w:rPr>
          <w:color w:val="231F20"/>
          <w:spacing w:val="-13"/>
          <w:w w:val="110"/>
        </w:rPr>
        <w:t> </w:t>
      </w:r>
      <w:r>
        <w:rPr>
          <w:color w:val="231F20"/>
          <w:w w:val="110"/>
        </w:rPr>
        <w:t>ofreció</w:t>
      </w:r>
      <w:r>
        <w:rPr>
          <w:color w:val="231F20"/>
          <w:spacing w:val="-13"/>
          <w:w w:val="110"/>
        </w:rPr>
        <w:t> </w:t>
      </w:r>
      <w:r>
        <w:rPr>
          <w:color w:val="231F20"/>
          <w:w w:val="110"/>
        </w:rPr>
        <w:t>garantías</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inversores</w:t>
      </w:r>
      <w:r>
        <w:rPr>
          <w:color w:val="231F20"/>
          <w:spacing w:val="-13"/>
          <w:w w:val="110"/>
        </w:rPr>
        <w:t> </w:t>
      </w:r>
      <w:r>
        <w:rPr>
          <w:color w:val="231F20"/>
          <w:w w:val="110"/>
        </w:rPr>
        <w:t>a</w:t>
      </w:r>
      <w:r>
        <w:rPr>
          <w:color w:val="231F20"/>
          <w:w w:val="108"/>
        </w:rPr>
        <w:t> </w:t>
      </w:r>
      <w:r>
        <w:rPr>
          <w:color w:val="231F20"/>
          <w:w w:val="110"/>
        </w:rPr>
        <w:t>quienes aseguró que cree en el capitalismo </w:t>
      </w:r>
      <w:r>
        <w:rPr>
          <w:color w:val="231F20"/>
        </w:rPr>
        <w:t>y </w:t>
      </w:r>
      <w:r>
        <w:rPr>
          <w:color w:val="231F20"/>
          <w:w w:val="110"/>
        </w:rPr>
        <w:t>en el “poder</w:t>
      </w:r>
      <w:r>
        <w:rPr>
          <w:color w:val="231F20"/>
          <w:spacing w:val="-26"/>
          <w:w w:val="110"/>
        </w:rPr>
        <w:t> </w:t>
      </w:r>
      <w:r>
        <w:rPr>
          <w:color w:val="231F20"/>
          <w:w w:val="110"/>
        </w:rPr>
        <w:t>del</w:t>
      </w:r>
      <w:r>
        <w:rPr>
          <w:color w:val="231F20"/>
          <w:spacing w:val="-3"/>
          <w:w w:val="110"/>
        </w:rPr>
        <w:t> </w:t>
      </w:r>
      <w:r>
        <w:rPr>
          <w:color w:val="231F20"/>
          <w:w w:val="110"/>
        </w:rPr>
        <w:t>merca-</w:t>
      </w:r>
      <w:r>
        <w:rPr>
          <w:color w:val="231F20"/>
          <w:w w:val="72"/>
        </w:rPr>
        <w:t> </w:t>
      </w:r>
      <w:r>
        <w:rPr>
          <w:color w:val="231F20"/>
          <w:w w:val="110"/>
        </w:rPr>
        <w:t>do”; además afirmó </w:t>
      </w:r>
      <w:r>
        <w:rPr>
          <w:color w:val="231F20"/>
        </w:rPr>
        <w:t>y </w:t>
      </w:r>
      <w:r>
        <w:rPr>
          <w:color w:val="231F20"/>
          <w:w w:val="110"/>
        </w:rPr>
        <w:t>advirtió: “Creo en un sector</w:t>
      </w:r>
      <w:r>
        <w:rPr>
          <w:color w:val="231F20"/>
          <w:spacing w:val="33"/>
          <w:w w:val="110"/>
        </w:rPr>
        <w:t> </w:t>
      </w:r>
      <w:r>
        <w:rPr>
          <w:color w:val="231F20"/>
          <w:w w:val="110"/>
        </w:rPr>
        <w:t>financiero</w:t>
      </w:r>
      <w:r>
        <w:rPr>
          <w:color w:val="231F20"/>
          <w:spacing w:val="9"/>
          <w:w w:val="110"/>
        </w:rPr>
        <w:t> </w:t>
      </w:r>
      <w:r>
        <w:rPr>
          <w:color w:val="231F20"/>
          <w:w w:val="110"/>
        </w:rPr>
        <w:t>fuerte</w:t>
      </w:r>
      <w:r>
        <w:rPr>
          <w:color w:val="231F20"/>
          <w:w w:val="112"/>
        </w:rPr>
        <w:t> </w:t>
      </w:r>
      <w:r>
        <w:rPr>
          <w:color w:val="231F20"/>
          <w:w w:val="110"/>
        </w:rPr>
        <w:t>que ayude a la gente a aumentar su capital, a obtener préstamos</w:t>
      </w:r>
      <w:r>
        <w:rPr>
          <w:color w:val="231F20"/>
          <w:spacing w:val="44"/>
          <w:w w:val="110"/>
        </w:rPr>
        <w:t> </w:t>
      </w:r>
      <w:r>
        <w:rPr>
          <w:color w:val="231F20"/>
        </w:rPr>
        <w:t>y</w:t>
      </w:r>
      <w:r>
        <w:rPr>
          <w:color w:val="231F20"/>
          <w:spacing w:val="13"/>
        </w:rPr>
        <w:t> </w:t>
      </w:r>
      <w:r>
        <w:rPr>
          <w:color w:val="231F20"/>
          <w:w w:val="110"/>
        </w:rPr>
        <w:t>a</w:t>
      </w:r>
      <w:r>
        <w:rPr>
          <w:color w:val="231F20"/>
          <w:w w:val="108"/>
        </w:rPr>
        <w:t> </w:t>
      </w:r>
      <w:r>
        <w:rPr>
          <w:color w:val="231F20"/>
          <w:w w:val="110"/>
        </w:rPr>
        <w:t>invertir sus ahorros. Pero un mercado libre no quiere decir</w:t>
      </w:r>
      <w:r>
        <w:rPr>
          <w:color w:val="231F20"/>
          <w:spacing w:val="49"/>
          <w:w w:val="110"/>
        </w:rPr>
        <w:t> </w:t>
      </w:r>
      <w:r>
        <w:rPr>
          <w:color w:val="231F20"/>
          <w:w w:val="110"/>
        </w:rPr>
        <w:t>un</w:t>
      </w:r>
      <w:r>
        <w:rPr>
          <w:color w:val="231F20"/>
          <w:spacing w:val="15"/>
          <w:w w:val="110"/>
        </w:rPr>
        <w:t> </w:t>
      </w:r>
      <w:r>
        <w:rPr>
          <w:color w:val="231F20"/>
          <w:w w:val="110"/>
        </w:rPr>
        <w:t>per-</w:t>
      </w:r>
      <w:r>
        <w:rPr>
          <w:color w:val="231F20"/>
          <w:w w:val="72"/>
        </w:rPr>
        <w:t> </w:t>
      </w:r>
      <w:r>
        <w:rPr>
          <w:color w:val="231F20"/>
          <w:w w:val="110"/>
        </w:rPr>
        <w:t>miso para tomar todo lo que puedan </w:t>
      </w:r>
      <w:r>
        <w:rPr>
          <w:color w:val="231F20"/>
          <w:spacing w:val="-3"/>
          <w:w w:val="110"/>
        </w:rPr>
        <w:t>tomar, </w:t>
      </w:r>
      <w:r>
        <w:rPr>
          <w:color w:val="231F20"/>
          <w:w w:val="110"/>
        </w:rPr>
        <w:t>de</w:t>
      </w:r>
      <w:r>
        <w:rPr>
          <w:color w:val="231F20"/>
          <w:spacing w:val="11"/>
          <w:w w:val="110"/>
        </w:rPr>
        <w:t> </w:t>
      </w:r>
      <w:r>
        <w:rPr>
          <w:color w:val="231F20"/>
          <w:w w:val="110"/>
        </w:rPr>
        <w:t>cualquiera</w:t>
      </w:r>
      <w:r>
        <w:rPr>
          <w:color w:val="231F20"/>
          <w:spacing w:val="19"/>
          <w:w w:val="110"/>
        </w:rPr>
        <w:t> </w:t>
      </w:r>
      <w:r>
        <w:rPr>
          <w:color w:val="231F20"/>
          <w:w w:val="110"/>
        </w:rPr>
        <w:t>manera”</w:t>
      </w:r>
      <w:r>
        <w:rPr>
          <w:color w:val="231F20"/>
          <w:w w:val="109"/>
        </w:rPr>
        <w:t> </w:t>
      </w:r>
      <w:r>
        <w:rPr>
          <w:color w:val="231F20"/>
          <w:w w:val="110"/>
        </w:rPr>
        <w:t>(</w:t>
      </w:r>
      <w:r>
        <w:rPr>
          <w:i/>
          <w:color w:val="231F20"/>
          <w:w w:val="110"/>
        </w:rPr>
        <w:t>Terra–Invertia</w:t>
      </w:r>
      <w:r>
        <w:rPr>
          <w:color w:val="231F20"/>
          <w:w w:val="110"/>
        </w:rPr>
        <w:t>, &lt;</w:t>
      </w:r>
      <w:hyperlink r:id="rId100">
        <w:r>
          <w:rPr>
            <w:color w:val="231F20"/>
            <w:w w:val="110"/>
          </w:rPr>
          <w:t>http://economia.terra.com.mx/&gt;</w:t>
        </w:r>
      </w:hyperlink>
      <w:r>
        <w:rPr>
          <w:color w:val="231F20"/>
          <w:w w:val="110"/>
        </w:rPr>
        <w:t>, consultada el</w:t>
      </w:r>
      <w:r>
        <w:rPr>
          <w:color w:val="231F20"/>
          <w:spacing w:val="48"/>
          <w:w w:val="110"/>
        </w:rPr>
        <w:t> </w:t>
      </w:r>
      <w:r>
        <w:rPr>
          <w:color w:val="231F20"/>
          <w:w w:val="110"/>
        </w:rPr>
        <w:t>25</w:t>
      </w:r>
    </w:p>
    <w:p>
      <w:pPr>
        <w:pStyle w:val="BodyText"/>
        <w:ind w:left="100"/>
        <w:jc w:val="both"/>
      </w:pPr>
      <w:r>
        <w:rPr>
          <w:color w:val="231F20"/>
          <w:w w:val="110"/>
        </w:rPr>
        <w:t>de abril de 2010).</w:t>
      </w:r>
    </w:p>
    <w:p>
      <w:pPr>
        <w:spacing w:after="0"/>
        <w:jc w:val="both"/>
        <w:sectPr>
          <w:headerReference w:type="even" r:id="rId98"/>
          <w:headerReference w:type="default" r:id="rId99"/>
          <w:pgSz w:w="7640" w:h="11900"/>
          <w:pgMar w:header="672" w:footer="0" w:top="860" w:bottom="280" w:left="780" w:right="640"/>
        </w:sectPr>
      </w:pPr>
    </w:p>
    <w:p>
      <w:pPr>
        <w:pStyle w:val="BodyText"/>
        <w:spacing w:before="8"/>
        <w:rPr>
          <w:sz w:val="8"/>
        </w:rPr>
      </w:pPr>
    </w:p>
    <w:p>
      <w:pPr>
        <w:pStyle w:val="BodyText"/>
        <w:spacing w:before="67"/>
        <w:ind w:left="100"/>
        <w:jc w:val="both"/>
      </w:pPr>
      <w:r>
        <w:rPr>
          <w:color w:val="231F20"/>
          <w:w w:val="120"/>
        </w:rPr>
        <w:t>¿keynes resucitado?</w:t>
      </w:r>
    </w:p>
    <w:p>
      <w:pPr>
        <w:pStyle w:val="BodyText"/>
        <w:spacing w:before="5"/>
        <w:rPr>
          <w:sz w:val="23"/>
        </w:rPr>
      </w:pPr>
    </w:p>
    <w:p>
      <w:pPr>
        <w:pStyle w:val="BodyText"/>
        <w:spacing w:line="261" w:lineRule="auto"/>
        <w:ind w:left="100" w:right="117"/>
        <w:jc w:val="both"/>
      </w:pPr>
      <w:r>
        <w:rPr>
          <w:color w:val="231F20"/>
          <w:w w:val="110"/>
        </w:rPr>
        <w:t>En opinión de diversos analistas, las posturas tendientes a regular los mercados, particularmente el financiero, así como las medidas asumidas</w:t>
      </w:r>
      <w:r>
        <w:rPr>
          <w:color w:val="231F20"/>
          <w:spacing w:val="-8"/>
          <w:w w:val="110"/>
        </w:rPr>
        <w:t> </w:t>
      </w:r>
      <w:r>
        <w:rPr>
          <w:color w:val="231F20"/>
          <w:w w:val="110"/>
        </w:rPr>
        <w:t>por</w:t>
      </w:r>
      <w:r>
        <w:rPr>
          <w:color w:val="231F20"/>
          <w:spacing w:val="-8"/>
          <w:w w:val="110"/>
        </w:rPr>
        <w:t> </w:t>
      </w:r>
      <w:r>
        <w:rPr>
          <w:color w:val="231F20"/>
          <w:w w:val="110"/>
        </w:rPr>
        <w:t>diversos</w:t>
      </w:r>
      <w:r>
        <w:rPr>
          <w:color w:val="231F20"/>
          <w:spacing w:val="-8"/>
          <w:w w:val="110"/>
        </w:rPr>
        <w:t> </w:t>
      </w:r>
      <w:r>
        <w:rPr>
          <w:color w:val="231F20"/>
          <w:w w:val="110"/>
        </w:rPr>
        <w:t>gobiernos</w:t>
      </w:r>
      <w:r>
        <w:rPr>
          <w:color w:val="231F20"/>
          <w:spacing w:val="-8"/>
          <w:w w:val="110"/>
        </w:rPr>
        <w:t> </w:t>
      </w:r>
      <w:r>
        <w:rPr>
          <w:color w:val="231F20"/>
          <w:w w:val="110"/>
        </w:rPr>
        <w:t>han</w:t>
      </w:r>
      <w:r>
        <w:rPr>
          <w:color w:val="231F20"/>
          <w:spacing w:val="-8"/>
          <w:w w:val="110"/>
        </w:rPr>
        <w:t> </w:t>
      </w:r>
      <w:r>
        <w:rPr>
          <w:color w:val="231F20"/>
          <w:w w:val="110"/>
        </w:rPr>
        <w:t>revivido</w:t>
      </w:r>
      <w:r>
        <w:rPr>
          <w:color w:val="231F20"/>
          <w:spacing w:val="-8"/>
          <w:w w:val="110"/>
        </w:rPr>
        <w:t> </w:t>
      </w:r>
      <w:r>
        <w:rPr>
          <w:color w:val="231F20"/>
          <w:w w:val="110"/>
        </w:rPr>
        <w:t>la</w:t>
      </w:r>
      <w:r>
        <w:rPr>
          <w:color w:val="231F20"/>
          <w:spacing w:val="-8"/>
          <w:w w:val="110"/>
        </w:rPr>
        <w:t> </w:t>
      </w:r>
      <w:r>
        <w:rPr>
          <w:color w:val="231F20"/>
          <w:w w:val="110"/>
        </w:rPr>
        <w:t>teoría</w:t>
      </w:r>
      <w:r>
        <w:rPr>
          <w:color w:val="231F20"/>
          <w:spacing w:val="-8"/>
          <w:w w:val="110"/>
        </w:rPr>
        <w:t> </w:t>
      </w:r>
      <w:r>
        <w:rPr>
          <w:color w:val="231F20"/>
          <w:w w:val="110"/>
        </w:rPr>
        <w:t>de</w:t>
      </w:r>
      <w:r>
        <w:rPr>
          <w:color w:val="231F20"/>
          <w:spacing w:val="-8"/>
          <w:w w:val="110"/>
        </w:rPr>
        <w:t> </w:t>
      </w:r>
      <w:r>
        <w:rPr>
          <w:color w:val="231F20"/>
          <w:w w:val="110"/>
        </w:rPr>
        <w:t>John</w:t>
      </w:r>
      <w:r>
        <w:rPr>
          <w:color w:val="231F20"/>
          <w:spacing w:val="-8"/>
          <w:w w:val="110"/>
        </w:rPr>
        <w:t> </w:t>
      </w:r>
      <w:r>
        <w:rPr>
          <w:color w:val="231F20"/>
          <w:w w:val="110"/>
        </w:rPr>
        <w:t>May- nard Keynes (1883-1930). Sin embargo, una lectura elemental del economista británico, establecería las muchas diferencias existentes entre él y sus actuales</w:t>
      </w:r>
      <w:r>
        <w:rPr>
          <w:color w:val="231F20"/>
          <w:spacing w:val="6"/>
          <w:w w:val="110"/>
        </w:rPr>
        <w:t> </w:t>
      </w:r>
      <w:r>
        <w:rPr>
          <w:color w:val="231F20"/>
          <w:w w:val="110"/>
        </w:rPr>
        <w:t>epígonos.</w:t>
      </w:r>
    </w:p>
    <w:p>
      <w:pPr>
        <w:pStyle w:val="BodyText"/>
        <w:spacing w:line="261" w:lineRule="auto"/>
        <w:ind w:left="100" w:right="117" w:firstLine="240"/>
        <w:jc w:val="both"/>
      </w:pPr>
      <w:r>
        <w:rPr>
          <w:color w:val="231F20"/>
          <w:w w:val="110"/>
        </w:rPr>
        <w:t>En realidad, hay un abismo entre los tibios planteamientos de    los economistas de hoy que promueven la regulación estatal de la economía, respecto de las propuestas intervencionistas de Keynes, para quien, dada su desconfianza en el mercado como el</w:t>
      </w:r>
      <w:r>
        <w:rPr>
          <w:color w:val="231F20"/>
          <w:spacing w:val="-11"/>
          <w:w w:val="110"/>
        </w:rPr>
        <w:t> </w:t>
      </w:r>
      <w:r>
        <w:rPr>
          <w:color w:val="231F20"/>
          <w:w w:val="110"/>
        </w:rPr>
        <w:t>mecanismo más eficiente para la asignación de recursos productivos, era indis- pensable realizar grandes programas de obras públicas, incluida su propuesta de “hacer hoyos de día y taparlos por la noche”, como afirmación de que lo fundamental era reactivar la demanda efectiva; incluso, a quienes lo criticaban diciendo que sus soluciones eran coyunturales y de corto plazo, les respondió con cierta ironía: “Esto de a la larga es una guía errónea para los asuntos corrientes. A la larga todos morimos. Los economistas se asignan una tarea dema- siado fácil, demasiado inútil, si en las épocas tempestuosas sólo nos pueden decir que cuando pase la tempestad el océano volverá a</w:t>
      </w:r>
      <w:r>
        <w:rPr>
          <w:color w:val="231F20"/>
          <w:spacing w:val="-33"/>
          <w:w w:val="110"/>
        </w:rPr>
        <w:t> </w:t>
      </w:r>
      <w:r>
        <w:rPr>
          <w:color w:val="231F20"/>
          <w:w w:val="110"/>
        </w:rPr>
        <w:t>estar tranquilo” (Harrod, 1958:</w:t>
      </w:r>
      <w:r>
        <w:rPr>
          <w:color w:val="231F20"/>
          <w:spacing w:val="27"/>
          <w:w w:val="110"/>
        </w:rPr>
        <w:t> </w:t>
      </w:r>
      <w:r>
        <w:rPr>
          <w:color w:val="231F20"/>
          <w:w w:val="110"/>
        </w:rPr>
        <w:t>394).</w:t>
      </w:r>
    </w:p>
    <w:p>
      <w:pPr>
        <w:pStyle w:val="BodyText"/>
        <w:spacing w:line="261" w:lineRule="auto"/>
        <w:ind w:left="100" w:right="117" w:firstLine="240"/>
        <w:jc w:val="both"/>
      </w:pPr>
      <w:r>
        <w:rPr>
          <w:color w:val="231F20"/>
          <w:w w:val="110"/>
        </w:rPr>
        <w:t>En las circunstancias actuales salvar a los bancos, bajar la tasa de interés de referencia o ampliar el crédito, sirve para poco pues, diría Keynes, cuando reina la incertidumbre y caemos en una situación  de la preferencia por la liquidez, donde nadie se desprende de su dinero y se reduce el consumo, se ahonda la depresión por la falta de demanda</w:t>
      </w:r>
      <w:r>
        <w:rPr>
          <w:color w:val="231F20"/>
          <w:spacing w:val="7"/>
          <w:w w:val="110"/>
        </w:rPr>
        <w:t> </w:t>
      </w:r>
      <w:r>
        <w:rPr>
          <w:color w:val="231F20"/>
          <w:w w:val="110"/>
        </w:rPr>
        <w:t>efectiva.</w:t>
      </w:r>
    </w:p>
    <w:p>
      <w:pPr>
        <w:pStyle w:val="BodyText"/>
        <w:spacing w:line="261" w:lineRule="auto"/>
        <w:ind w:left="100" w:right="117" w:firstLine="240"/>
        <w:jc w:val="both"/>
      </w:pPr>
      <w:r>
        <w:rPr>
          <w:color w:val="231F20"/>
          <w:w w:val="110"/>
        </w:rPr>
        <w:t>Keynes, por supuesto, no se fijaría en “cómo financiar la obra pública” o si hay déficit o no en las finanzas gubernamentales, en todo caso propondría un </w:t>
      </w:r>
      <w:r>
        <w:rPr>
          <w:i/>
          <w:color w:val="231F20"/>
          <w:w w:val="110"/>
        </w:rPr>
        <w:t>shock</w:t>
      </w:r>
      <w:r>
        <w:rPr>
          <w:color w:val="231F20"/>
          <w:w w:val="110"/>
        </w:rPr>
        <w:t>, como lo hizo en los años treinta con su</w:t>
      </w:r>
      <w:r>
        <w:rPr>
          <w:color w:val="231F20"/>
          <w:spacing w:val="-10"/>
          <w:w w:val="110"/>
        </w:rPr>
        <w:t> </w:t>
      </w:r>
      <w:r>
        <w:rPr>
          <w:i/>
          <w:color w:val="231F20"/>
          <w:spacing w:val="-4"/>
          <w:w w:val="110"/>
        </w:rPr>
        <w:t>Teoría</w:t>
      </w:r>
      <w:r>
        <w:rPr>
          <w:i/>
          <w:color w:val="231F20"/>
          <w:spacing w:val="-10"/>
          <w:w w:val="110"/>
        </w:rPr>
        <w:t> </w:t>
      </w:r>
      <w:r>
        <w:rPr>
          <w:i/>
          <w:color w:val="231F20"/>
          <w:w w:val="110"/>
        </w:rPr>
        <w:t>general</w:t>
      </w:r>
      <w:r>
        <w:rPr>
          <w:color w:val="231F20"/>
          <w:w w:val="110"/>
        </w:rPr>
        <w:t>,</w:t>
      </w:r>
      <w:r>
        <w:rPr>
          <w:color w:val="231F20"/>
          <w:spacing w:val="-10"/>
          <w:w w:val="110"/>
        </w:rPr>
        <w:t> </w:t>
      </w:r>
      <w:r>
        <w:rPr>
          <w:color w:val="231F20"/>
          <w:w w:val="110"/>
        </w:rPr>
        <w:t>donde</w:t>
      </w:r>
      <w:r>
        <w:rPr>
          <w:color w:val="231F20"/>
          <w:spacing w:val="-10"/>
          <w:w w:val="110"/>
        </w:rPr>
        <w:t> </w:t>
      </w:r>
      <w:r>
        <w:rPr>
          <w:color w:val="231F20"/>
          <w:w w:val="110"/>
        </w:rPr>
        <w:t>rompe</w:t>
      </w:r>
      <w:r>
        <w:rPr>
          <w:color w:val="231F20"/>
          <w:spacing w:val="-10"/>
          <w:w w:val="110"/>
        </w:rPr>
        <w:t> </w:t>
      </w:r>
      <w:r>
        <w:rPr>
          <w:color w:val="231F20"/>
          <w:w w:val="110"/>
        </w:rPr>
        <w:t>con</w:t>
      </w:r>
      <w:r>
        <w:rPr>
          <w:color w:val="231F20"/>
          <w:spacing w:val="-10"/>
          <w:w w:val="110"/>
        </w:rPr>
        <w:t> </w:t>
      </w:r>
      <w:r>
        <w:rPr>
          <w:color w:val="231F20"/>
          <w:w w:val="110"/>
        </w:rPr>
        <w:t>el</w:t>
      </w:r>
      <w:r>
        <w:rPr>
          <w:color w:val="231F20"/>
          <w:spacing w:val="-10"/>
          <w:w w:val="110"/>
        </w:rPr>
        <w:t> </w:t>
      </w:r>
      <w:r>
        <w:rPr>
          <w:color w:val="231F20"/>
          <w:w w:val="110"/>
        </w:rPr>
        <w:t>pensamiento</w:t>
      </w:r>
      <w:r>
        <w:rPr>
          <w:color w:val="231F20"/>
          <w:spacing w:val="-10"/>
          <w:w w:val="110"/>
        </w:rPr>
        <w:t> </w:t>
      </w:r>
      <w:r>
        <w:rPr>
          <w:color w:val="231F20"/>
          <w:w w:val="110"/>
        </w:rPr>
        <w:t>clásico</w:t>
      </w:r>
      <w:r>
        <w:rPr>
          <w:color w:val="231F20"/>
          <w:spacing w:val="-10"/>
          <w:w w:val="110"/>
        </w:rPr>
        <w:t> </w:t>
      </w:r>
      <w:r>
        <w:rPr>
          <w:color w:val="231F20"/>
          <w:w w:val="110"/>
        </w:rPr>
        <w:t>y</w:t>
      </w:r>
      <w:r>
        <w:rPr>
          <w:color w:val="231F20"/>
          <w:spacing w:val="-10"/>
          <w:w w:val="110"/>
        </w:rPr>
        <w:t> </w:t>
      </w:r>
      <w:r>
        <w:rPr>
          <w:color w:val="231F20"/>
          <w:w w:val="110"/>
        </w:rPr>
        <w:t>neoclá- sico que consideraban a la inversión dependiente de la disposición  a </w:t>
      </w:r>
      <w:r>
        <w:rPr>
          <w:color w:val="231F20"/>
          <w:spacing w:val="-3"/>
          <w:w w:val="110"/>
        </w:rPr>
        <w:t>ahorrar, </w:t>
      </w:r>
      <w:r>
        <w:rPr>
          <w:color w:val="231F20"/>
          <w:w w:val="110"/>
        </w:rPr>
        <w:t>mientras que para Keynes dependería de la disposición a consumir expresada como función global de la </w:t>
      </w:r>
      <w:r>
        <w:rPr>
          <w:color w:val="231F20"/>
          <w:spacing w:val="30"/>
          <w:w w:val="110"/>
        </w:rPr>
        <w:t> </w:t>
      </w:r>
      <w:r>
        <w:rPr>
          <w:color w:val="231F20"/>
          <w:w w:val="110"/>
        </w:rPr>
        <w:t>demanda.</w:t>
      </w:r>
    </w:p>
    <w:p>
      <w:pPr>
        <w:pStyle w:val="BodyText"/>
        <w:spacing w:line="261" w:lineRule="auto"/>
        <w:ind w:left="100" w:right="119" w:firstLine="240"/>
        <w:jc w:val="both"/>
      </w:pPr>
      <w:r>
        <w:rPr>
          <w:color w:val="231F20"/>
          <w:w w:val="110"/>
        </w:rPr>
        <w:t>Muy</w:t>
      </w:r>
      <w:r>
        <w:rPr>
          <w:color w:val="231F20"/>
          <w:spacing w:val="-10"/>
          <w:w w:val="110"/>
        </w:rPr>
        <w:t> </w:t>
      </w:r>
      <w:r>
        <w:rPr>
          <w:color w:val="231F20"/>
          <w:w w:val="110"/>
        </w:rPr>
        <w:t>lejos</w:t>
      </w:r>
      <w:r>
        <w:rPr>
          <w:color w:val="231F20"/>
          <w:spacing w:val="-10"/>
          <w:w w:val="110"/>
        </w:rPr>
        <w:t> </w:t>
      </w:r>
      <w:r>
        <w:rPr>
          <w:color w:val="231F20"/>
          <w:w w:val="110"/>
        </w:rPr>
        <w:t>de</w:t>
      </w:r>
      <w:r>
        <w:rPr>
          <w:color w:val="231F20"/>
          <w:spacing w:val="-10"/>
          <w:w w:val="110"/>
        </w:rPr>
        <w:t> </w:t>
      </w:r>
      <w:r>
        <w:rPr>
          <w:color w:val="231F20"/>
          <w:w w:val="110"/>
        </w:rPr>
        <w:t>Keynes</w:t>
      </w:r>
      <w:r>
        <w:rPr>
          <w:color w:val="231F20"/>
          <w:spacing w:val="-10"/>
          <w:w w:val="110"/>
        </w:rPr>
        <w:t> </w:t>
      </w:r>
      <w:r>
        <w:rPr>
          <w:color w:val="231F20"/>
          <w:w w:val="110"/>
        </w:rPr>
        <w:t>está</w:t>
      </w:r>
      <w:r>
        <w:rPr>
          <w:color w:val="231F20"/>
          <w:spacing w:val="-10"/>
          <w:w w:val="110"/>
        </w:rPr>
        <w:t> </w:t>
      </w:r>
      <w:r>
        <w:rPr>
          <w:color w:val="231F20"/>
          <w:w w:val="110"/>
        </w:rPr>
        <w:t>Krugman,</w:t>
      </w:r>
      <w:r>
        <w:rPr>
          <w:color w:val="231F20"/>
          <w:spacing w:val="-10"/>
          <w:w w:val="110"/>
        </w:rPr>
        <w:t> </w:t>
      </w:r>
      <w:r>
        <w:rPr>
          <w:color w:val="231F20"/>
          <w:w w:val="110"/>
        </w:rPr>
        <w:t>quien</w:t>
      </w:r>
      <w:r>
        <w:rPr>
          <w:color w:val="231F20"/>
          <w:spacing w:val="-10"/>
          <w:w w:val="110"/>
        </w:rPr>
        <w:t> </w:t>
      </w:r>
      <w:r>
        <w:rPr>
          <w:color w:val="231F20"/>
          <w:w w:val="110"/>
        </w:rPr>
        <w:t>si</w:t>
      </w:r>
      <w:r>
        <w:rPr>
          <w:color w:val="231F20"/>
          <w:spacing w:val="-10"/>
          <w:w w:val="110"/>
        </w:rPr>
        <w:t> </w:t>
      </w:r>
      <w:r>
        <w:rPr>
          <w:color w:val="231F20"/>
          <w:w w:val="110"/>
        </w:rPr>
        <w:t>bien</w:t>
      </w:r>
      <w:r>
        <w:rPr>
          <w:color w:val="231F20"/>
          <w:spacing w:val="-10"/>
          <w:w w:val="110"/>
        </w:rPr>
        <w:t> </w:t>
      </w:r>
      <w:r>
        <w:rPr>
          <w:color w:val="231F20"/>
          <w:w w:val="110"/>
        </w:rPr>
        <w:t>propone</w:t>
      </w:r>
      <w:r>
        <w:rPr>
          <w:color w:val="231F20"/>
          <w:spacing w:val="-10"/>
          <w:w w:val="110"/>
        </w:rPr>
        <w:t> </w:t>
      </w:r>
      <w:r>
        <w:rPr>
          <w:color w:val="231F20"/>
          <w:w w:val="110"/>
        </w:rPr>
        <w:t>un</w:t>
      </w:r>
      <w:r>
        <w:rPr>
          <w:color w:val="231F20"/>
          <w:spacing w:val="-10"/>
          <w:w w:val="110"/>
        </w:rPr>
        <w:t> </w:t>
      </w:r>
      <w:r>
        <w:rPr>
          <w:color w:val="231F20"/>
          <w:w w:val="110"/>
        </w:rPr>
        <w:t>plan de obras públicas inmediatamente después recomienda “no</w:t>
      </w:r>
      <w:r>
        <w:rPr>
          <w:color w:val="231F20"/>
          <w:spacing w:val="-10"/>
          <w:w w:val="110"/>
        </w:rPr>
        <w:t> </w:t>
      </w:r>
      <w:r>
        <w:rPr>
          <w:color w:val="231F20"/>
          <w:w w:val="110"/>
        </w:rPr>
        <w:t>exceder- se”. </w:t>
      </w:r>
      <w:r>
        <w:rPr>
          <w:color w:val="231F20"/>
        </w:rPr>
        <w:t>Y </w:t>
      </w:r>
      <w:r>
        <w:rPr>
          <w:color w:val="231F20"/>
          <w:w w:val="110"/>
        </w:rPr>
        <w:t>mucho más lejos de las políticas del gobierno </w:t>
      </w:r>
      <w:r>
        <w:rPr>
          <w:color w:val="231F20"/>
          <w:spacing w:val="7"/>
          <w:w w:val="110"/>
        </w:rPr>
        <w:t> </w:t>
      </w:r>
      <w:r>
        <w:rPr>
          <w:color w:val="231F20"/>
          <w:w w:val="110"/>
        </w:rPr>
        <w:t>estadunidense,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donde</w:t>
      </w:r>
      <w:r>
        <w:rPr>
          <w:color w:val="231F20"/>
          <w:spacing w:val="-13"/>
          <w:w w:val="110"/>
        </w:rPr>
        <w:t> </w:t>
      </w:r>
      <w:r>
        <w:rPr>
          <w:color w:val="231F20"/>
          <w:w w:val="110"/>
        </w:rPr>
        <w:t>el</w:t>
      </w:r>
      <w:r>
        <w:rPr>
          <w:color w:val="231F20"/>
          <w:spacing w:val="-13"/>
          <w:w w:val="110"/>
        </w:rPr>
        <w:t> </w:t>
      </w:r>
      <w:r>
        <w:rPr>
          <w:color w:val="231F20"/>
          <w:w w:val="110"/>
        </w:rPr>
        <w:t>congreso</w:t>
      </w:r>
      <w:r>
        <w:rPr>
          <w:color w:val="231F20"/>
          <w:spacing w:val="-13"/>
          <w:w w:val="110"/>
        </w:rPr>
        <w:t> </w:t>
      </w:r>
      <w:r>
        <w:rPr>
          <w:color w:val="231F20"/>
          <w:w w:val="110"/>
        </w:rPr>
        <w:t>aprobó</w:t>
      </w:r>
      <w:r>
        <w:rPr>
          <w:color w:val="231F20"/>
          <w:spacing w:val="-13"/>
          <w:w w:val="110"/>
        </w:rPr>
        <w:t> </w:t>
      </w:r>
      <w:r>
        <w:rPr>
          <w:color w:val="231F20"/>
          <w:w w:val="110"/>
        </w:rPr>
        <w:t>700</w:t>
      </w:r>
      <w:r>
        <w:rPr>
          <w:color w:val="231F20"/>
          <w:spacing w:val="-13"/>
          <w:w w:val="110"/>
        </w:rPr>
        <w:t> </w:t>
      </w:r>
      <w:r>
        <w:rPr>
          <w:color w:val="231F20"/>
          <w:w w:val="110"/>
        </w:rPr>
        <w:t>mil</w:t>
      </w:r>
      <w:r>
        <w:rPr>
          <w:color w:val="231F20"/>
          <w:spacing w:val="-13"/>
          <w:w w:val="110"/>
        </w:rPr>
        <w:t> </w:t>
      </w:r>
      <w:r>
        <w:rPr>
          <w:color w:val="231F20"/>
          <w:w w:val="110"/>
        </w:rPr>
        <w:t>millones</w:t>
      </w:r>
      <w:r>
        <w:rPr>
          <w:color w:val="231F20"/>
          <w:spacing w:val="-13"/>
          <w:w w:val="110"/>
        </w:rPr>
        <w:t> </w:t>
      </w:r>
      <w:r>
        <w:rPr>
          <w:color w:val="231F20"/>
          <w:w w:val="110"/>
        </w:rPr>
        <w:t>para</w:t>
      </w:r>
      <w:r>
        <w:rPr>
          <w:color w:val="231F20"/>
          <w:spacing w:val="-13"/>
          <w:w w:val="110"/>
        </w:rPr>
        <w:t> </w:t>
      </w:r>
      <w:r>
        <w:rPr>
          <w:color w:val="231F20"/>
          <w:w w:val="110"/>
        </w:rPr>
        <w:t>salvar</w:t>
      </w:r>
      <w:r>
        <w:rPr>
          <w:color w:val="231F20"/>
          <w:spacing w:val="-13"/>
          <w:w w:val="110"/>
        </w:rPr>
        <w:t> </w:t>
      </w:r>
      <w:r>
        <w:rPr>
          <w:color w:val="231F20"/>
          <w:w w:val="110"/>
        </w:rPr>
        <w:t>a</w:t>
      </w:r>
      <w:r>
        <w:rPr>
          <w:color w:val="231F20"/>
          <w:spacing w:val="-13"/>
          <w:w w:val="110"/>
        </w:rPr>
        <w:t> </w:t>
      </w:r>
      <w:r>
        <w:rPr>
          <w:color w:val="231F20"/>
          <w:w w:val="110"/>
        </w:rPr>
        <w:t>sus</w:t>
      </w:r>
      <w:r>
        <w:rPr>
          <w:color w:val="231F20"/>
          <w:spacing w:val="-13"/>
          <w:w w:val="110"/>
        </w:rPr>
        <w:t> </w:t>
      </w:r>
      <w:r>
        <w:rPr>
          <w:color w:val="231F20"/>
          <w:w w:val="110"/>
        </w:rPr>
        <w:t>bancos</w:t>
      </w:r>
      <w:r>
        <w:rPr>
          <w:color w:val="231F20"/>
          <w:spacing w:val="-13"/>
          <w:w w:val="110"/>
        </w:rPr>
        <w:t> </w:t>
      </w:r>
      <w:r>
        <w:rPr>
          <w:color w:val="231F20"/>
          <w:w w:val="110"/>
        </w:rPr>
        <w:t>y es incapaz de diseñar una política para frenar el desempleo, ampliar la demanda o impulsar la distribución del ingreso en favor de los sectores más pobres de ese</w:t>
      </w:r>
      <w:r>
        <w:rPr>
          <w:color w:val="231F20"/>
          <w:spacing w:val="10"/>
          <w:w w:val="110"/>
        </w:rPr>
        <w:t> </w:t>
      </w:r>
      <w:r>
        <w:rPr>
          <w:color w:val="231F20"/>
          <w:w w:val="110"/>
        </w:rPr>
        <w:t>país.</w:t>
      </w:r>
    </w:p>
    <w:p>
      <w:pPr>
        <w:pStyle w:val="BodyText"/>
        <w:spacing w:line="261" w:lineRule="auto"/>
        <w:ind w:left="100" w:right="117" w:firstLine="240"/>
        <w:jc w:val="both"/>
      </w:pPr>
      <w:r>
        <w:rPr>
          <w:color w:val="231F20"/>
          <w:w w:val="105"/>
        </w:rPr>
        <w:t>En realidad, la imagen de Keynes brilla ante la palidez de los nue- vos heterodoxos. Sin embargo, se debe tener cuidado con el riesgo inverso: creer que en Keynes está la solución a la crisis del</w:t>
      </w:r>
      <w:r>
        <w:rPr>
          <w:color w:val="231F20"/>
          <w:spacing w:val="-18"/>
          <w:w w:val="105"/>
        </w:rPr>
        <w:t> </w:t>
      </w:r>
      <w:r>
        <w:rPr>
          <w:color w:val="231F20"/>
          <w:w w:val="105"/>
        </w:rPr>
        <w:t>capitalismo. Asumirlo así, puede llevar a creer que se trata simplemente de impo- ner un conjunto de medidas más “radicales” que las actuales en busca del capitalismo “bueno”, productivo, regulado e incluyente para sus- tituir</w:t>
      </w:r>
      <w:r>
        <w:rPr>
          <w:color w:val="231F20"/>
          <w:spacing w:val="25"/>
          <w:w w:val="105"/>
        </w:rPr>
        <w:t> </w:t>
      </w:r>
      <w:r>
        <w:rPr>
          <w:color w:val="231F20"/>
          <w:w w:val="105"/>
        </w:rPr>
        <w:t>al</w:t>
      </w:r>
      <w:r>
        <w:rPr>
          <w:color w:val="231F20"/>
          <w:spacing w:val="25"/>
          <w:w w:val="105"/>
        </w:rPr>
        <w:t> </w:t>
      </w:r>
      <w:r>
        <w:rPr>
          <w:color w:val="231F20"/>
          <w:w w:val="105"/>
        </w:rPr>
        <w:t>otro:</w:t>
      </w:r>
      <w:r>
        <w:rPr>
          <w:color w:val="231F20"/>
          <w:spacing w:val="25"/>
          <w:w w:val="105"/>
        </w:rPr>
        <w:t> </w:t>
      </w:r>
      <w:r>
        <w:rPr>
          <w:color w:val="231F20"/>
          <w:w w:val="105"/>
        </w:rPr>
        <w:t>“malo”,</w:t>
      </w:r>
      <w:r>
        <w:rPr>
          <w:color w:val="231F20"/>
          <w:spacing w:val="25"/>
          <w:w w:val="105"/>
        </w:rPr>
        <w:t> </w:t>
      </w:r>
      <w:r>
        <w:rPr>
          <w:color w:val="231F20"/>
          <w:w w:val="105"/>
        </w:rPr>
        <w:t>especulativo,</w:t>
      </w:r>
      <w:r>
        <w:rPr>
          <w:color w:val="231F20"/>
          <w:spacing w:val="25"/>
          <w:w w:val="105"/>
        </w:rPr>
        <w:t> </w:t>
      </w:r>
      <w:r>
        <w:rPr>
          <w:color w:val="231F20"/>
          <w:w w:val="105"/>
        </w:rPr>
        <w:t>“de</w:t>
      </w:r>
      <w:r>
        <w:rPr>
          <w:color w:val="231F20"/>
          <w:spacing w:val="25"/>
          <w:w w:val="105"/>
        </w:rPr>
        <w:t> </w:t>
      </w:r>
      <w:r>
        <w:rPr>
          <w:color w:val="231F20"/>
          <w:w w:val="105"/>
        </w:rPr>
        <w:t>libre</w:t>
      </w:r>
      <w:r>
        <w:rPr>
          <w:color w:val="231F20"/>
          <w:spacing w:val="25"/>
          <w:w w:val="105"/>
        </w:rPr>
        <w:t> </w:t>
      </w:r>
      <w:r>
        <w:rPr>
          <w:color w:val="231F20"/>
          <w:w w:val="105"/>
        </w:rPr>
        <w:t>mercado”</w:t>
      </w:r>
      <w:r>
        <w:rPr>
          <w:color w:val="231F20"/>
          <w:spacing w:val="25"/>
          <w:w w:val="105"/>
        </w:rPr>
        <w:t> </w:t>
      </w:r>
      <w:r>
        <w:rPr>
          <w:color w:val="231F20"/>
          <w:w w:val="105"/>
        </w:rPr>
        <w:t>y</w:t>
      </w:r>
      <w:r>
        <w:rPr>
          <w:color w:val="231F20"/>
          <w:spacing w:val="25"/>
          <w:w w:val="105"/>
        </w:rPr>
        <w:t> </w:t>
      </w:r>
      <w:r>
        <w:rPr>
          <w:color w:val="231F20"/>
          <w:w w:val="105"/>
        </w:rPr>
        <w:t>excluyente.</w:t>
      </w:r>
    </w:p>
    <w:p>
      <w:pPr>
        <w:pStyle w:val="BodyText"/>
      </w:pPr>
    </w:p>
    <w:p>
      <w:pPr>
        <w:pStyle w:val="BodyText"/>
      </w:pPr>
    </w:p>
    <w:p>
      <w:pPr>
        <w:pStyle w:val="BodyText"/>
        <w:spacing w:before="2"/>
        <w:rPr>
          <w:sz w:val="25"/>
        </w:rPr>
      </w:pPr>
    </w:p>
    <w:p>
      <w:pPr>
        <w:pStyle w:val="BodyText"/>
        <w:ind w:left="100"/>
        <w:jc w:val="both"/>
      </w:pPr>
      <w:r>
        <w:rPr>
          <w:color w:val="231F20"/>
          <w:w w:val="125"/>
        </w:rPr>
        <w:t>conclusión</w:t>
      </w:r>
    </w:p>
    <w:p>
      <w:pPr>
        <w:pStyle w:val="BodyText"/>
        <w:spacing w:before="5"/>
        <w:rPr>
          <w:sz w:val="23"/>
        </w:rPr>
      </w:pPr>
    </w:p>
    <w:p>
      <w:pPr>
        <w:pStyle w:val="BodyText"/>
        <w:spacing w:line="261" w:lineRule="auto"/>
        <w:ind w:left="73" w:right="117"/>
        <w:jc w:val="right"/>
      </w:pPr>
      <w:r>
        <w:rPr>
          <w:color w:val="231F20"/>
          <w:w w:val="110"/>
        </w:rPr>
        <w:t>La crisis actual, ha terminado con la ilusión propagada por</w:t>
      </w:r>
      <w:r>
        <w:rPr>
          <w:color w:val="231F20"/>
          <w:spacing w:val="18"/>
          <w:w w:val="110"/>
        </w:rPr>
        <w:t> </w:t>
      </w:r>
      <w:r>
        <w:rPr>
          <w:color w:val="231F20"/>
          <w:w w:val="110"/>
        </w:rPr>
        <w:t>la</w:t>
      </w:r>
      <w:r>
        <w:rPr>
          <w:color w:val="231F20"/>
          <w:spacing w:val="18"/>
          <w:w w:val="110"/>
        </w:rPr>
        <w:t> </w:t>
      </w:r>
      <w:r>
        <w:rPr>
          <w:color w:val="231F20"/>
          <w:w w:val="110"/>
        </w:rPr>
        <w:t>bur-</w:t>
      </w:r>
      <w:r>
        <w:rPr>
          <w:color w:val="231F20"/>
          <w:w w:val="72"/>
        </w:rPr>
        <w:t> </w:t>
      </w:r>
      <w:r>
        <w:rPr>
          <w:color w:val="231F20"/>
          <w:w w:val="110"/>
        </w:rPr>
        <w:t>guesía dominante sobre un auge permanente del capitalismo</w:t>
      </w:r>
      <w:r>
        <w:rPr>
          <w:color w:val="231F20"/>
          <w:spacing w:val="2"/>
          <w:w w:val="110"/>
        </w:rPr>
        <w:t> </w:t>
      </w:r>
      <w:r>
        <w:rPr>
          <w:color w:val="231F20"/>
          <w:w w:val="110"/>
        </w:rPr>
        <w:t>en</w:t>
      </w:r>
      <w:r>
        <w:rPr>
          <w:color w:val="231F20"/>
          <w:spacing w:val="20"/>
          <w:w w:val="110"/>
        </w:rPr>
        <w:t> </w:t>
      </w:r>
      <w:r>
        <w:rPr>
          <w:color w:val="231F20"/>
          <w:w w:val="110"/>
        </w:rPr>
        <w:t>su</w:t>
      </w:r>
      <w:r>
        <w:rPr>
          <w:color w:val="231F20"/>
          <w:w w:val="105"/>
        </w:rPr>
        <w:t> </w:t>
      </w:r>
      <w:r>
        <w:rPr>
          <w:color w:val="231F20"/>
          <w:w w:val="110"/>
        </w:rPr>
        <w:t>modalidad neoliberal. Sin embargo, la crisis ha venido</w:t>
      </w:r>
      <w:r>
        <w:rPr>
          <w:color w:val="231F20"/>
          <w:spacing w:val="44"/>
          <w:w w:val="110"/>
        </w:rPr>
        <w:t> </w:t>
      </w:r>
      <w:r>
        <w:rPr>
          <w:color w:val="231F20"/>
          <w:w w:val="110"/>
        </w:rPr>
        <w:t>a</w:t>
      </w:r>
      <w:r>
        <w:rPr>
          <w:color w:val="231F20"/>
          <w:spacing w:val="12"/>
          <w:w w:val="110"/>
        </w:rPr>
        <w:t> </w:t>
      </w:r>
      <w:r>
        <w:rPr>
          <w:color w:val="231F20"/>
          <w:w w:val="110"/>
        </w:rPr>
        <w:t>demostrar</w:t>
      </w:r>
      <w:r>
        <w:rPr>
          <w:color w:val="231F20"/>
          <w:w w:val="111"/>
        </w:rPr>
        <w:t> </w:t>
      </w:r>
      <w:r>
        <w:rPr>
          <w:color w:val="231F20"/>
          <w:w w:val="110"/>
        </w:rPr>
        <w:t>nuevamente que ni ésta, ni ninguna otra modalidad</w:t>
      </w:r>
      <w:r>
        <w:rPr>
          <w:color w:val="231F20"/>
          <w:spacing w:val="10"/>
          <w:w w:val="110"/>
        </w:rPr>
        <w:t> </w:t>
      </w:r>
      <w:r>
        <w:rPr>
          <w:color w:val="231F20"/>
          <w:w w:val="110"/>
        </w:rPr>
        <w:t>de</w:t>
      </w:r>
      <w:r>
        <w:rPr>
          <w:color w:val="231F20"/>
          <w:spacing w:val="8"/>
          <w:w w:val="110"/>
        </w:rPr>
        <w:t> </w:t>
      </w:r>
      <w:r>
        <w:rPr>
          <w:color w:val="231F20"/>
          <w:w w:val="110"/>
        </w:rPr>
        <w:t>acumulación</w:t>
      </w:r>
      <w:r>
        <w:rPr>
          <w:color w:val="231F20"/>
          <w:w w:val="110"/>
        </w:rPr>
        <w:t> </w:t>
      </w:r>
      <w:r>
        <w:rPr>
          <w:color w:val="231F20"/>
          <w:w w:val="110"/>
        </w:rPr>
        <w:t>puede impedir las crisis estructurales y mucho menos las</w:t>
      </w:r>
      <w:r>
        <w:rPr>
          <w:color w:val="231F20"/>
          <w:spacing w:val="-4"/>
          <w:w w:val="110"/>
        </w:rPr>
        <w:t> </w:t>
      </w:r>
      <w:r>
        <w:rPr>
          <w:color w:val="231F20"/>
          <w:w w:val="110"/>
        </w:rPr>
        <w:t>de</w:t>
      </w:r>
      <w:r>
        <w:rPr>
          <w:color w:val="231F20"/>
          <w:spacing w:val="-1"/>
          <w:w w:val="110"/>
        </w:rPr>
        <w:t> </w:t>
      </w:r>
      <w:r>
        <w:rPr>
          <w:color w:val="231F20"/>
          <w:w w:val="110"/>
        </w:rPr>
        <w:t>produc-</w:t>
      </w:r>
      <w:r>
        <w:rPr>
          <w:color w:val="231F20"/>
          <w:w w:val="72"/>
        </w:rPr>
        <w:t> </w:t>
      </w:r>
      <w:r>
        <w:rPr>
          <w:color w:val="231F20"/>
          <w:w w:val="110"/>
        </w:rPr>
        <w:t>ción,</w:t>
      </w:r>
      <w:r>
        <w:rPr>
          <w:color w:val="231F20"/>
          <w:spacing w:val="-7"/>
          <w:w w:val="110"/>
        </w:rPr>
        <w:t> </w:t>
      </w:r>
      <w:r>
        <w:rPr>
          <w:color w:val="231F20"/>
          <w:w w:val="110"/>
        </w:rPr>
        <w:t>pues</w:t>
      </w:r>
      <w:r>
        <w:rPr>
          <w:color w:val="231F20"/>
          <w:spacing w:val="-7"/>
          <w:w w:val="110"/>
        </w:rPr>
        <w:t> </w:t>
      </w:r>
      <w:r>
        <w:rPr>
          <w:color w:val="231F20"/>
          <w:w w:val="110"/>
        </w:rPr>
        <w:t>ambas</w:t>
      </w:r>
      <w:r>
        <w:rPr>
          <w:color w:val="231F20"/>
          <w:spacing w:val="-7"/>
          <w:w w:val="110"/>
        </w:rPr>
        <w:t> </w:t>
      </w:r>
      <w:r>
        <w:rPr>
          <w:color w:val="231F20"/>
          <w:w w:val="110"/>
        </w:rPr>
        <w:t>son</w:t>
      </w:r>
      <w:r>
        <w:rPr>
          <w:color w:val="231F20"/>
          <w:spacing w:val="-7"/>
          <w:w w:val="110"/>
        </w:rPr>
        <w:t> </w:t>
      </w:r>
      <w:r>
        <w:rPr>
          <w:color w:val="231F20"/>
          <w:w w:val="110"/>
        </w:rPr>
        <w:t>sustanciales</w:t>
      </w:r>
      <w:r>
        <w:rPr>
          <w:color w:val="231F20"/>
          <w:spacing w:val="-7"/>
          <w:w w:val="110"/>
        </w:rPr>
        <w:t> </w:t>
      </w:r>
      <w:r>
        <w:rPr>
          <w:color w:val="231F20"/>
          <w:w w:val="110"/>
        </w:rPr>
        <w:t>al</w:t>
      </w:r>
      <w:r>
        <w:rPr>
          <w:color w:val="231F20"/>
          <w:spacing w:val="-7"/>
          <w:w w:val="110"/>
        </w:rPr>
        <w:t> </w:t>
      </w:r>
      <w:r>
        <w:rPr>
          <w:color w:val="231F20"/>
          <w:w w:val="110"/>
        </w:rPr>
        <w:t>modo</w:t>
      </w:r>
      <w:r>
        <w:rPr>
          <w:color w:val="231F20"/>
          <w:spacing w:val="-7"/>
          <w:w w:val="110"/>
        </w:rPr>
        <w:t> </w:t>
      </w:r>
      <w:r>
        <w:rPr>
          <w:color w:val="231F20"/>
          <w:w w:val="110"/>
        </w:rPr>
        <w:t>de</w:t>
      </w:r>
      <w:r>
        <w:rPr>
          <w:color w:val="231F20"/>
          <w:spacing w:val="-7"/>
          <w:w w:val="110"/>
        </w:rPr>
        <w:t> </w:t>
      </w:r>
      <w:r>
        <w:rPr>
          <w:color w:val="231F20"/>
          <w:w w:val="110"/>
        </w:rPr>
        <w:t>producción</w:t>
      </w:r>
      <w:r>
        <w:rPr>
          <w:color w:val="231F20"/>
          <w:spacing w:val="-7"/>
          <w:w w:val="110"/>
        </w:rPr>
        <w:t> </w:t>
      </w:r>
      <w:r>
        <w:rPr>
          <w:color w:val="231F20"/>
          <w:w w:val="110"/>
        </w:rPr>
        <w:t>capitalista.</w:t>
      </w:r>
      <w:r>
        <w:rPr>
          <w:color w:val="231F20"/>
          <w:w w:val="106"/>
        </w:rPr>
        <w:t> </w:t>
      </w:r>
      <w:r>
        <w:rPr>
          <w:color w:val="231F20"/>
          <w:w w:val="110"/>
        </w:rPr>
        <w:t>A</w:t>
      </w:r>
      <w:r>
        <w:rPr>
          <w:color w:val="231F20"/>
          <w:spacing w:val="-16"/>
          <w:w w:val="110"/>
        </w:rPr>
        <w:t> </w:t>
      </w:r>
      <w:r>
        <w:rPr>
          <w:color w:val="231F20"/>
          <w:w w:val="110"/>
        </w:rPr>
        <w:t>pesar</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campaña</w:t>
      </w:r>
      <w:r>
        <w:rPr>
          <w:color w:val="231F20"/>
          <w:spacing w:val="-16"/>
          <w:w w:val="110"/>
        </w:rPr>
        <w:t> </w:t>
      </w:r>
      <w:r>
        <w:rPr>
          <w:color w:val="231F20"/>
          <w:w w:val="110"/>
        </w:rPr>
        <w:t>mediática</w:t>
      </w:r>
      <w:r>
        <w:rPr>
          <w:color w:val="231F20"/>
          <w:spacing w:val="-16"/>
          <w:w w:val="110"/>
        </w:rPr>
        <w:t> </w:t>
      </w:r>
      <w:r>
        <w:rPr>
          <w:color w:val="231F20"/>
          <w:w w:val="110"/>
        </w:rPr>
        <w:t>tendiente</w:t>
      </w:r>
      <w:r>
        <w:rPr>
          <w:color w:val="231F20"/>
          <w:spacing w:val="-16"/>
          <w:w w:val="110"/>
        </w:rPr>
        <w:t> </w:t>
      </w:r>
      <w:r>
        <w:rPr>
          <w:color w:val="231F20"/>
          <w:w w:val="110"/>
        </w:rPr>
        <w:t>a</w:t>
      </w:r>
      <w:r>
        <w:rPr>
          <w:color w:val="231F20"/>
          <w:spacing w:val="-16"/>
          <w:w w:val="110"/>
        </w:rPr>
        <w:t> </w:t>
      </w:r>
      <w:r>
        <w:rPr>
          <w:color w:val="231F20"/>
          <w:w w:val="110"/>
        </w:rPr>
        <w:t>mostrar</w:t>
      </w:r>
      <w:r>
        <w:rPr>
          <w:color w:val="231F20"/>
          <w:spacing w:val="-16"/>
          <w:w w:val="110"/>
        </w:rPr>
        <w:t> </w:t>
      </w:r>
      <w:r>
        <w:rPr>
          <w:color w:val="231F20"/>
          <w:w w:val="110"/>
        </w:rPr>
        <w:t>la</w:t>
      </w:r>
      <w:r>
        <w:rPr>
          <w:color w:val="231F20"/>
          <w:spacing w:val="-16"/>
          <w:w w:val="110"/>
        </w:rPr>
        <w:t> </w:t>
      </w:r>
      <w:r>
        <w:rPr>
          <w:color w:val="231F20"/>
          <w:w w:val="110"/>
        </w:rPr>
        <w:t>crisis</w:t>
      </w:r>
      <w:r>
        <w:rPr>
          <w:color w:val="231F20"/>
          <w:spacing w:val="-16"/>
          <w:w w:val="110"/>
        </w:rPr>
        <w:t> </w:t>
      </w:r>
      <w:r>
        <w:rPr>
          <w:color w:val="231F20"/>
          <w:w w:val="110"/>
        </w:rPr>
        <w:t>como</w:t>
      </w:r>
      <w:r>
        <w:rPr>
          <w:color w:val="231F20"/>
          <w:w w:val="109"/>
        </w:rPr>
        <w:t> </w:t>
      </w:r>
      <w:r>
        <w:rPr>
          <w:color w:val="231F20"/>
          <w:w w:val="110"/>
        </w:rPr>
        <w:t>una “crisis financiera” o una mera “crisis bancaria” derivada</w:t>
      </w:r>
      <w:r>
        <w:rPr>
          <w:color w:val="231F20"/>
          <w:spacing w:val="12"/>
          <w:w w:val="110"/>
        </w:rPr>
        <w:t> </w:t>
      </w:r>
      <w:r>
        <w:rPr>
          <w:color w:val="231F20"/>
          <w:w w:val="110"/>
        </w:rPr>
        <w:t>de</w:t>
      </w:r>
      <w:r>
        <w:rPr>
          <w:color w:val="231F20"/>
          <w:spacing w:val="19"/>
          <w:w w:val="110"/>
        </w:rPr>
        <w:t> </w:t>
      </w:r>
      <w:r>
        <w:rPr>
          <w:color w:val="231F20"/>
          <w:w w:val="110"/>
        </w:rPr>
        <w:t>la</w:t>
      </w:r>
      <w:r>
        <w:rPr>
          <w:color w:val="231F20"/>
          <w:w w:val="105"/>
        </w:rPr>
        <w:t> </w:t>
      </w:r>
      <w:r>
        <w:rPr>
          <w:color w:val="231F20"/>
          <w:w w:val="110"/>
        </w:rPr>
        <w:t>“crisis </w:t>
      </w:r>
      <w:r>
        <w:rPr>
          <w:i/>
          <w:color w:val="231F20"/>
          <w:w w:val="110"/>
        </w:rPr>
        <w:t>subprime</w:t>
      </w:r>
      <w:r>
        <w:rPr>
          <w:color w:val="231F20"/>
          <w:w w:val="110"/>
        </w:rPr>
        <w:t>” y presentarla, entonces, como un</w:t>
      </w:r>
      <w:r>
        <w:rPr>
          <w:color w:val="231F20"/>
          <w:spacing w:val="40"/>
          <w:w w:val="110"/>
        </w:rPr>
        <w:t> </w:t>
      </w:r>
      <w:r>
        <w:rPr>
          <w:color w:val="231F20"/>
          <w:w w:val="110"/>
        </w:rPr>
        <w:t>incidente</w:t>
      </w:r>
      <w:r>
        <w:rPr>
          <w:color w:val="231F20"/>
          <w:spacing w:val="5"/>
          <w:w w:val="110"/>
        </w:rPr>
        <w:t> </w:t>
      </w:r>
      <w:r>
        <w:rPr>
          <w:color w:val="231F20"/>
          <w:w w:val="110"/>
        </w:rPr>
        <w:t>menor</w:t>
      </w:r>
      <w:r>
        <w:rPr>
          <w:color w:val="231F20"/>
          <w:w w:val="114"/>
        </w:rPr>
        <w:t> </w:t>
      </w:r>
      <w:r>
        <w:rPr>
          <w:color w:val="231F20"/>
          <w:w w:val="110"/>
        </w:rPr>
        <w:t>en la marcha de los mercados y hacer creer que la salud</w:t>
      </w:r>
      <w:r>
        <w:rPr>
          <w:color w:val="231F20"/>
          <w:spacing w:val="-1"/>
          <w:w w:val="110"/>
        </w:rPr>
        <w:t> </w:t>
      </w:r>
      <w:r>
        <w:rPr>
          <w:color w:val="231F20"/>
          <w:w w:val="110"/>
        </w:rPr>
        <w:t>y</w:t>
      </w:r>
      <w:r>
        <w:rPr>
          <w:color w:val="231F20"/>
          <w:spacing w:val="-1"/>
          <w:w w:val="110"/>
        </w:rPr>
        <w:t> </w:t>
      </w:r>
      <w:r>
        <w:rPr>
          <w:color w:val="231F20"/>
          <w:w w:val="110"/>
        </w:rPr>
        <w:t>viabilidad</w:t>
      </w:r>
      <w:r>
        <w:rPr>
          <w:color w:val="231F20"/>
          <w:w w:val="105"/>
        </w:rPr>
        <w:t> </w:t>
      </w:r>
      <w:r>
        <w:rPr>
          <w:color w:val="231F20"/>
          <w:w w:val="110"/>
        </w:rPr>
        <w:t>del</w:t>
      </w:r>
      <w:r>
        <w:rPr>
          <w:color w:val="231F20"/>
          <w:spacing w:val="-16"/>
          <w:w w:val="110"/>
        </w:rPr>
        <w:t> </w:t>
      </w:r>
      <w:r>
        <w:rPr>
          <w:color w:val="231F20"/>
          <w:w w:val="110"/>
        </w:rPr>
        <w:t>capitalismo</w:t>
      </w:r>
      <w:r>
        <w:rPr>
          <w:color w:val="231F20"/>
          <w:spacing w:val="-16"/>
          <w:w w:val="110"/>
        </w:rPr>
        <w:t> </w:t>
      </w:r>
      <w:r>
        <w:rPr>
          <w:color w:val="231F20"/>
          <w:w w:val="110"/>
        </w:rPr>
        <w:t>están</w:t>
      </w:r>
      <w:r>
        <w:rPr>
          <w:color w:val="231F20"/>
          <w:spacing w:val="-16"/>
          <w:w w:val="110"/>
        </w:rPr>
        <w:t> </w:t>
      </w:r>
      <w:r>
        <w:rPr>
          <w:color w:val="231F20"/>
          <w:w w:val="110"/>
        </w:rPr>
        <w:t>aseguradas,</w:t>
      </w:r>
      <w:r>
        <w:rPr>
          <w:color w:val="231F20"/>
          <w:spacing w:val="-16"/>
          <w:w w:val="110"/>
        </w:rPr>
        <w:t> </w:t>
      </w:r>
      <w:r>
        <w:rPr>
          <w:color w:val="231F20"/>
          <w:w w:val="110"/>
        </w:rPr>
        <w:t>la</w:t>
      </w:r>
      <w:r>
        <w:rPr>
          <w:color w:val="231F20"/>
          <w:spacing w:val="-16"/>
          <w:w w:val="110"/>
        </w:rPr>
        <w:t> </w:t>
      </w:r>
      <w:r>
        <w:rPr>
          <w:color w:val="231F20"/>
          <w:w w:val="110"/>
        </w:rPr>
        <w:t>realidad</w:t>
      </w:r>
      <w:r>
        <w:rPr>
          <w:color w:val="231F20"/>
          <w:spacing w:val="-16"/>
          <w:w w:val="110"/>
        </w:rPr>
        <w:t> </w:t>
      </w:r>
      <w:r>
        <w:rPr>
          <w:color w:val="231F20"/>
          <w:w w:val="110"/>
        </w:rPr>
        <w:t>ha</w:t>
      </w:r>
      <w:r>
        <w:rPr>
          <w:color w:val="231F20"/>
          <w:spacing w:val="-16"/>
          <w:w w:val="110"/>
        </w:rPr>
        <w:t> </w:t>
      </w:r>
      <w:r>
        <w:rPr>
          <w:color w:val="231F20"/>
          <w:w w:val="110"/>
        </w:rPr>
        <w:t>mostrado</w:t>
      </w:r>
      <w:r>
        <w:rPr>
          <w:color w:val="231F20"/>
          <w:spacing w:val="-16"/>
          <w:w w:val="110"/>
        </w:rPr>
        <w:t> </w:t>
      </w:r>
      <w:r>
        <w:rPr>
          <w:color w:val="231F20"/>
          <w:w w:val="110"/>
        </w:rPr>
        <w:t>la</w:t>
      </w:r>
      <w:r>
        <w:rPr>
          <w:color w:val="231F20"/>
          <w:spacing w:val="-16"/>
          <w:w w:val="110"/>
        </w:rPr>
        <w:t> </w:t>
      </w:r>
      <w:r>
        <w:rPr>
          <w:color w:val="231F20"/>
          <w:w w:val="110"/>
        </w:rPr>
        <w:t>magnitud</w:t>
      </w:r>
      <w:r>
        <w:rPr>
          <w:color w:val="231F20"/>
          <w:w w:val="111"/>
        </w:rPr>
        <w:t> </w:t>
      </w:r>
      <w:r>
        <w:rPr>
          <w:color w:val="231F20"/>
          <w:w w:val="110"/>
        </w:rPr>
        <w:t>de una crisis que por su virulencia y extensión es sin duda una</w:t>
      </w:r>
      <w:r>
        <w:rPr>
          <w:color w:val="231F20"/>
          <w:spacing w:val="-2"/>
          <w:w w:val="110"/>
        </w:rPr>
        <w:t> </w:t>
      </w:r>
      <w:r>
        <w:rPr>
          <w:color w:val="231F20"/>
          <w:w w:val="110"/>
        </w:rPr>
        <w:t>crisis</w:t>
      </w:r>
    </w:p>
    <w:p>
      <w:pPr>
        <w:pStyle w:val="BodyText"/>
        <w:ind w:left="100"/>
        <w:jc w:val="both"/>
      </w:pPr>
      <w:r>
        <w:rPr>
          <w:color w:val="231F20"/>
          <w:w w:val="110"/>
        </w:rPr>
        <w:t>general del capitalismo.</w:t>
      </w:r>
    </w:p>
    <w:p>
      <w:pPr>
        <w:pStyle w:val="BodyText"/>
        <w:spacing w:line="261" w:lineRule="auto" w:before="20"/>
        <w:ind w:left="100" w:right="117" w:firstLine="240"/>
        <w:jc w:val="both"/>
      </w:pPr>
      <w:r>
        <w:rPr>
          <w:color w:val="231F20"/>
          <w:w w:val="110"/>
        </w:rPr>
        <w:t>En efecto, advierte Atilio Borón, esta crisis que no acaba de</w:t>
      </w:r>
      <w:r>
        <w:rPr>
          <w:color w:val="231F20"/>
          <w:spacing w:val="-32"/>
          <w:w w:val="110"/>
        </w:rPr>
        <w:t> </w:t>
      </w:r>
      <w:r>
        <w:rPr>
          <w:color w:val="231F20"/>
          <w:w w:val="110"/>
        </w:rPr>
        <w:t>pasar podemos decir que</w:t>
      </w:r>
      <w:r>
        <w:rPr>
          <w:color w:val="231F20"/>
          <w:spacing w:val="29"/>
          <w:w w:val="110"/>
        </w:rPr>
        <w:t> </w:t>
      </w:r>
      <w:r>
        <w:rPr>
          <w:color w:val="231F20"/>
          <w:w w:val="110"/>
        </w:rPr>
        <w:t>es:</w:t>
      </w:r>
    </w:p>
    <w:p>
      <w:pPr>
        <w:pStyle w:val="BodyText"/>
        <w:spacing w:before="4"/>
        <w:rPr>
          <w:sz w:val="23"/>
        </w:rPr>
      </w:pPr>
    </w:p>
    <w:p>
      <w:pPr>
        <w:spacing w:line="290" w:lineRule="auto" w:before="0"/>
        <w:ind w:left="100" w:right="117" w:firstLine="0"/>
        <w:jc w:val="both"/>
        <w:rPr>
          <w:sz w:val="18"/>
        </w:rPr>
      </w:pPr>
      <w:r>
        <w:rPr>
          <w:color w:val="231F20"/>
          <w:w w:val="110"/>
          <w:sz w:val="18"/>
        </w:rPr>
        <w:t>Una</w:t>
      </w:r>
      <w:r>
        <w:rPr>
          <w:color w:val="231F20"/>
          <w:spacing w:val="-18"/>
          <w:w w:val="110"/>
          <w:sz w:val="18"/>
        </w:rPr>
        <w:t> </w:t>
      </w:r>
      <w:r>
        <w:rPr>
          <w:color w:val="231F20"/>
          <w:w w:val="110"/>
          <w:sz w:val="18"/>
        </w:rPr>
        <w:t>crisis</w:t>
      </w:r>
      <w:r>
        <w:rPr>
          <w:color w:val="231F20"/>
          <w:spacing w:val="-18"/>
          <w:w w:val="110"/>
          <w:sz w:val="18"/>
        </w:rPr>
        <w:t> </w:t>
      </w:r>
      <w:r>
        <w:rPr>
          <w:color w:val="231F20"/>
          <w:w w:val="110"/>
          <w:sz w:val="18"/>
        </w:rPr>
        <w:t>general</w:t>
      </w:r>
      <w:r>
        <w:rPr>
          <w:color w:val="231F20"/>
          <w:spacing w:val="-18"/>
          <w:w w:val="110"/>
          <w:sz w:val="18"/>
        </w:rPr>
        <w:t> </w:t>
      </w:r>
      <w:r>
        <w:rPr>
          <w:color w:val="231F20"/>
          <w:w w:val="110"/>
          <w:sz w:val="18"/>
        </w:rPr>
        <w:t>del</w:t>
      </w:r>
      <w:r>
        <w:rPr>
          <w:color w:val="231F20"/>
          <w:spacing w:val="-18"/>
          <w:w w:val="110"/>
          <w:sz w:val="18"/>
        </w:rPr>
        <w:t> </w:t>
      </w:r>
      <w:r>
        <w:rPr>
          <w:color w:val="231F20"/>
          <w:w w:val="110"/>
          <w:sz w:val="18"/>
        </w:rPr>
        <w:t>sistema</w:t>
      </w:r>
      <w:r>
        <w:rPr>
          <w:color w:val="231F20"/>
          <w:spacing w:val="-18"/>
          <w:w w:val="110"/>
          <w:sz w:val="18"/>
        </w:rPr>
        <w:t> </w:t>
      </w:r>
      <w:r>
        <w:rPr>
          <w:color w:val="231F20"/>
          <w:w w:val="110"/>
          <w:sz w:val="18"/>
        </w:rPr>
        <w:t>capitalista</w:t>
      </w:r>
      <w:r>
        <w:rPr>
          <w:color w:val="231F20"/>
          <w:spacing w:val="-18"/>
          <w:w w:val="110"/>
          <w:sz w:val="18"/>
        </w:rPr>
        <w:t> </w:t>
      </w:r>
      <w:r>
        <w:rPr>
          <w:color w:val="231F20"/>
          <w:w w:val="110"/>
          <w:sz w:val="18"/>
        </w:rPr>
        <w:t>en</w:t>
      </w:r>
      <w:r>
        <w:rPr>
          <w:color w:val="231F20"/>
          <w:spacing w:val="-18"/>
          <w:w w:val="110"/>
          <w:sz w:val="18"/>
        </w:rPr>
        <w:t> </w:t>
      </w:r>
      <w:r>
        <w:rPr>
          <w:color w:val="231F20"/>
          <w:w w:val="110"/>
          <w:sz w:val="18"/>
        </w:rPr>
        <w:t>su</w:t>
      </w:r>
      <w:r>
        <w:rPr>
          <w:color w:val="231F20"/>
          <w:spacing w:val="-18"/>
          <w:w w:val="110"/>
          <w:sz w:val="18"/>
        </w:rPr>
        <w:t> </w:t>
      </w:r>
      <w:r>
        <w:rPr>
          <w:color w:val="231F20"/>
          <w:w w:val="110"/>
          <w:sz w:val="18"/>
        </w:rPr>
        <w:t>conjunto,</w:t>
      </w:r>
      <w:r>
        <w:rPr>
          <w:color w:val="231F20"/>
          <w:spacing w:val="-18"/>
          <w:w w:val="110"/>
          <w:sz w:val="18"/>
        </w:rPr>
        <w:t> </w:t>
      </w:r>
      <w:r>
        <w:rPr>
          <w:color w:val="231F20"/>
          <w:w w:val="110"/>
          <w:sz w:val="18"/>
        </w:rPr>
        <w:t>que</w:t>
      </w:r>
      <w:r>
        <w:rPr>
          <w:color w:val="231F20"/>
          <w:spacing w:val="-18"/>
          <w:w w:val="110"/>
          <w:sz w:val="18"/>
        </w:rPr>
        <w:t> </w:t>
      </w:r>
      <w:r>
        <w:rPr>
          <w:color w:val="231F20"/>
          <w:w w:val="110"/>
          <w:sz w:val="18"/>
        </w:rPr>
        <w:t>afecta</w:t>
      </w:r>
      <w:r>
        <w:rPr>
          <w:color w:val="231F20"/>
          <w:spacing w:val="-18"/>
          <w:w w:val="110"/>
          <w:sz w:val="18"/>
        </w:rPr>
        <w:t> </w:t>
      </w:r>
      <w:r>
        <w:rPr>
          <w:color w:val="231F20"/>
          <w:w w:val="110"/>
          <w:sz w:val="18"/>
        </w:rPr>
        <w:t>a</w:t>
      </w:r>
      <w:r>
        <w:rPr>
          <w:color w:val="231F20"/>
          <w:spacing w:val="-18"/>
          <w:w w:val="110"/>
          <w:sz w:val="18"/>
        </w:rPr>
        <w:t> </w:t>
      </w:r>
      <w:r>
        <w:rPr>
          <w:color w:val="231F20"/>
          <w:w w:val="110"/>
          <w:sz w:val="18"/>
        </w:rPr>
        <w:t>todos</w:t>
      </w:r>
      <w:r>
        <w:rPr>
          <w:color w:val="231F20"/>
          <w:spacing w:val="-18"/>
          <w:w w:val="110"/>
          <w:sz w:val="18"/>
        </w:rPr>
        <w:t> </w:t>
      </w:r>
      <w:r>
        <w:rPr>
          <w:color w:val="231F20"/>
          <w:w w:val="110"/>
          <w:sz w:val="18"/>
        </w:rPr>
        <w:t>los sectores de la economía: la banca, la industria, los seguros, la construcción, la agricultura, la minería, etcétera, que se disemina por todo el conjunto del sistema capitalista internacional. El “contagio” se produjo de inmediato en los capitalismos desarrollados y luego pasó a diseminarse rápidamente por la periferia (Borón, 2009:</w:t>
      </w:r>
      <w:r>
        <w:rPr>
          <w:color w:val="231F20"/>
          <w:spacing w:val="12"/>
          <w:w w:val="110"/>
          <w:sz w:val="18"/>
        </w:rPr>
        <w:t> </w:t>
      </w:r>
      <w:r>
        <w:rPr>
          <w:color w:val="231F20"/>
          <w:w w:val="110"/>
          <w:sz w:val="18"/>
        </w:rPr>
        <w:t>18).</w:t>
      </w:r>
    </w:p>
    <w:p>
      <w:pPr>
        <w:spacing w:after="0" w:line="290" w:lineRule="auto"/>
        <w:jc w:val="both"/>
        <w:rPr>
          <w:sz w:val="18"/>
        </w:rPr>
        <w:sectPr>
          <w:headerReference w:type="even" r:id="rId101"/>
          <w:headerReference w:type="default" r:id="rId102"/>
          <w:pgSz w:w="7640" w:h="11900"/>
          <w:pgMar w:header="672" w:footer="0" w:top="860" w:bottom="280" w:left="780" w:right="640"/>
          <w:pgNumType w:start="132"/>
        </w:sectPr>
      </w:pPr>
    </w:p>
    <w:p>
      <w:pPr>
        <w:pStyle w:val="BodyText"/>
        <w:spacing w:before="8"/>
        <w:rPr>
          <w:sz w:val="8"/>
        </w:rPr>
      </w:pPr>
    </w:p>
    <w:p>
      <w:pPr>
        <w:pStyle w:val="BodyText"/>
        <w:spacing w:line="261" w:lineRule="auto" w:before="67"/>
        <w:ind w:left="100" w:right="117" w:firstLine="240"/>
        <w:jc w:val="both"/>
      </w:pPr>
      <w:r>
        <w:rPr>
          <w:color w:val="231F20"/>
          <w:w w:val="110"/>
        </w:rPr>
        <w:t>Ciertamente, la crisis se hace visible cuando estalla la burbuja creada</w:t>
      </w:r>
      <w:r>
        <w:rPr>
          <w:color w:val="231F20"/>
          <w:spacing w:val="-7"/>
          <w:w w:val="110"/>
        </w:rPr>
        <w:t> </w:t>
      </w:r>
      <w:r>
        <w:rPr>
          <w:color w:val="231F20"/>
          <w:w w:val="110"/>
        </w:rPr>
        <w:t>alrededor</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hipotecas</w:t>
      </w:r>
      <w:r>
        <w:rPr>
          <w:color w:val="231F20"/>
          <w:spacing w:val="-7"/>
          <w:w w:val="110"/>
        </w:rPr>
        <w:t> </w:t>
      </w:r>
      <w:r>
        <w:rPr>
          <w:i/>
          <w:color w:val="231F20"/>
          <w:w w:val="110"/>
        </w:rPr>
        <w:t>subprime</w:t>
      </w:r>
      <w:r>
        <w:rPr>
          <w:i/>
          <w:color w:val="231F20"/>
          <w:spacing w:val="-7"/>
          <w:w w:val="110"/>
        </w:rPr>
        <w:t> </w:t>
      </w:r>
      <w:r>
        <w:rPr>
          <w:color w:val="231F20"/>
          <w:w w:val="110"/>
        </w:rPr>
        <w:t>y</w:t>
      </w:r>
      <w:r>
        <w:rPr>
          <w:color w:val="231F20"/>
          <w:spacing w:val="-7"/>
          <w:w w:val="110"/>
        </w:rPr>
        <w:t> </w:t>
      </w:r>
      <w:r>
        <w:rPr>
          <w:color w:val="231F20"/>
          <w:w w:val="110"/>
        </w:rPr>
        <w:t>luego</w:t>
      </w:r>
      <w:r>
        <w:rPr>
          <w:color w:val="231F20"/>
          <w:spacing w:val="-7"/>
          <w:w w:val="110"/>
        </w:rPr>
        <w:t> </w:t>
      </w:r>
      <w:r>
        <w:rPr>
          <w:color w:val="231F20"/>
          <w:w w:val="110"/>
        </w:rPr>
        <w:t>se</w:t>
      </w:r>
      <w:r>
        <w:rPr>
          <w:color w:val="231F20"/>
          <w:spacing w:val="-7"/>
          <w:w w:val="110"/>
        </w:rPr>
        <w:t> </w:t>
      </w:r>
      <w:r>
        <w:rPr>
          <w:color w:val="231F20"/>
          <w:w w:val="110"/>
        </w:rPr>
        <w:t>transmite</w:t>
      </w:r>
      <w:r>
        <w:rPr>
          <w:color w:val="231F20"/>
          <w:spacing w:val="-7"/>
          <w:w w:val="110"/>
        </w:rPr>
        <w:t> </w:t>
      </w:r>
      <w:r>
        <w:rPr>
          <w:color w:val="231F20"/>
          <w:w w:val="110"/>
        </w:rPr>
        <w:t>a</w:t>
      </w:r>
      <w:r>
        <w:rPr>
          <w:color w:val="231F20"/>
          <w:spacing w:val="-7"/>
          <w:w w:val="110"/>
        </w:rPr>
        <w:t> </w:t>
      </w:r>
      <w:r>
        <w:rPr>
          <w:color w:val="231F20"/>
          <w:w w:val="110"/>
        </w:rPr>
        <w:t>los bancos</w:t>
      </w:r>
      <w:r>
        <w:rPr>
          <w:color w:val="231F20"/>
          <w:spacing w:val="-6"/>
          <w:w w:val="110"/>
        </w:rPr>
        <w:t> </w:t>
      </w:r>
      <w:r>
        <w:rPr>
          <w:color w:val="231F20"/>
          <w:w w:val="110"/>
        </w:rPr>
        <w:t>e</w:t>
      </w:r>
      <w:r>
        <w:rPr>
          <w:color w:val="231F20"/>
          <w:spacing w:val="-6"/>
          <w:w w:val="110"/>
        </w:rPr>
        <w:t> </w:t>
      </w:r>
      <w:r>
        <w:rPr>
          <w:color w:val="231F20"/>
          <w:w w:val="110"/>
        </w:rPr>
        <w:t>instituciones</w:t>
      </w:r>
      <w:r>
        <w:rPr>
          <w:color w:val="231F20"/>
          <w:spacing w:val="-6"/>
          <w:w w:val="110"/>
        </w:rPr>
        <w:t> </w:t>
      </w:r>
      <w:r>
        <w:rPr>
          <w:color w:val="231F20"/>
          <w:w w:val="110"/>
        </w:rPr>
        <w:t>financieras</w:t>
      </w:r>
      <w:r>
        <w:rPr>
          <w:color w:val="231F20"/>
          <w:spacing w:val="-6"/>
          <w:w w:val="110"/>
        </w:rPr>
        <w:t> </w:t>
      </w:r>
      <w:r>
        <w:rPr>
          <w:color w:val="231F20"/>
          <w:w w:val="110"/>
        </w:rPr>
        <w:t>de</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para,</w:t>
      </w:r>
      <w:r>
        <w:rPr>
          <w:color w:val="231F20"/>
          <w:spacing w:val="-6"/>
          <w:w w:val="110"/>
        </w:rPr>
        <w:t> </w:t>
      </w:r>
      <w:r>
        <w:rPr>
          <w:color w:val="231F20"/>
          <w:w w:val="110"/>
        </w:rPr>
        <w:t>finalmen- te, extenderse a todos los sectores de la economía mundial. Sin em- bargo, anota el mismo Borón, la burbuja y su estallido son apenas el síntoma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enfermedad,</w:t>
      </w:r>
      <w:r>
        <w:rPr>
          <w:color w:val="231F20"/>
          <w:spacing w:val="-4"/>
          <w:w w:val="110"/>
        </w:rPr>
        <w:t> </w:t>
      </w:r>
      <w:r>
        <w:rPr>
          <w:color w:val="231F20"/>
          <w:w w:val="110"/>
        </w:rPr>
        <w:t>pues</w:t>
      </w:r>
      <w:r>
        <w:rPr>
          <w:color w:val="231F20"/>
          <w:spacing w:val="-4"/>
          <w:w w:val="110"/>
        </w:rPr>
        <w:t> </w:t>
      </w:r>
      <w:r>
        <w:rPr>
          <w:color w:val="231F20"/>
          <w:w w:val="110"/>
        </w:rPr>
        <w:t>se</w:t>
      </w:r>
      <w:r>
        <w:rPr>
          <w:color w:val="231F20"/>
          <w:spacing w:val="-4"/>
          <w:w w:val="110"/>
        </w:rPr>
        <w:t> </w:t>
      </w:r>
      <w:r>
        <w:rPr>
          <w:color w:val="231F20"/>
          <w:w w:val="110"/>
        </w:rPr>
        <w:t>trata</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crisis</w:t>
      </w:r>
      <w:r>
        <w:rPr>
          <w:color w:val="231F20"/>
          <w:spacing w:val="-4"/>
          <w:w w:val="110"/>
        </w:rPr>
        <w:t> </w:t>
      </w:r>
      <w:r>
        <w:rPr>
          <w:color w:val="231F20"/>
          <w:w w:val="110"/>
        </w:rPr>
        <w:t>que</w:t>
      </w:r>
      <w:r>
        <w:rPr>
          <w:color w:val="231F20"/>
          <w:spacing w:val="-4"/>
          <w:w w:val="110"/>
        </w:rPr>
        <w:t> </w:t>
      </w:r>
      <w:r>
        <w:rPr>
          <w:color w:val="231F20"/>
          <w:w w:val="110"/>
        </w:rPr>
        <w:t>trasciende con creces lo financiero o bancario y afecta a la economía real en todos sus departamentos </w:t>
      </w:r>
      <w:r>
        <w:rPr>
          <w:color w:val="231F20"/>
          <w:spacing w:val="-8"/>
          <w:w w:val="110"/>
        </w:rPr>
        <w:t>y, </w:t>
      </w:r>
      <w:r>
        <w:rPr>
          <w:color w:val="231F20"/>
          <w:w w:val="110"/>
        </w:rPr>
        <w:t>además, es una crisis que se propaga por la economía global y desborda las fronteras estadunidenses” (Borón 2009:</w:t>
      </w:r>
      <w:r>
        <w:rPr>
          <w:color w:val="231F20"/>
          <w:spacing w:val="-24"/>
          <w:w w:val="110"/>
        </w:rPr>
        <w:t> </w:t>
      </w:r>
      <w:r>
        <w:rPr>
          <w:color w:val="231F20"/>
          <w:w w:val="110"/>
        </w:rPr>
        <w:t>17).</w:t>
      </w:r>
    </w:p>
    <w:p>
      <w:pPr>
        <w:pStyle w:val="BodyText"/>
        <w:spacing w:line="261" w:lineRule="auto"/>
        <w:ind w:left="100" w:right="117" w:firstLine="240"/>
        <w:jc w:val="both"/>
      </w:pPr>
      <w:r>
        <w:rPr>
          <w:color w:val="231F20"/>
          <w:w w:val="110"/>
        </w:rPr>
        <w:t>La crisis del capitalismo en estos últimos años, tiene como carac- terística la coincidencia temporal de una crisis de sobreproducción</w:t>
      </w:r>
      <w:r>
        <w:rPr>
          <w:color w:val="231F20"/>
          <w:spacing w:val="-18"/>
          <w:w w:val="110"/>
        </w:rPr>
        <w:t> </w:t>
      </w:r>
      <w:r>
        <w:rPr>
          <w:color w:val="231F20"/>
          <w:w w:val="110"/>
        </w:rPr>
        <w:t>y una estructural, ambas por sí mismas con efectos devastadores</w:t>
      </w:r>
      <w:r>
        <w:rPr>
          <w:color w:val="231F20"/>
          <w:spacing w:val="-24"/>
          <w:w w:val="110"/>
        </w:rPr>
        <w:t> </w:t>
      </w:r>
      <w:r>
        <w:rPr>
          <w:color w:val="231F20"/>
          <w:w w:val="110"/>
        </w:rPr>
        <w:t>sobre la</w:t>
      </w:r>
      <w:r>
        <w:rPr>
          <w:color w:val="231F20"/>
          <w:spacing w:val="-16"/>
          <w:w w:val="110"/>
        </w:rPr>
        <w:t> </w:t>
      </w:r>
      <w:r>
        <w:rPr>
          <w:color w:val="231F20"/>
          <w:w w:val="110"/>
        </w:rPr>
        <w:t>actividad</w:t>
      </w:r>
      <w:r>
        <w:rPr>
          <w:color w:val="231F20"/>
          <w:spacing w:val="-16"/>
          <w:w w:val="110"/>
        </w:rPr>
        <w:t> </w:t>
      </w:r>
      <w:r>
        <w:rPr>
          <w:color w:val="231F20"/>
          <w:w w:val="110"/>
        </w:rPr>
        <w:t>económica,</w:t>
      </w:r>
      <w:r>
        <w:rPr>
          <w:color w:val="231F20"/>
          <w:spacing w:val="-16"/>
          <w:w w:val="110"/>
        </w:rPr>
        <w:t> </w:t>
      </w:r>
      <w:r>
        <w:rPr>
          <w:color w:val="231F20"/>
          <w:w w:val="110"/>
        </w:rPr>
        <w:t>que</w:t>
      </w:r>
      <w:r>
        <w:rPr>
          <w:color w:val="231F20"/>
          <w:spacing w:val="-16"/>
          <w:w w:val="110"/>
        </w:rPr>
        <w:t> </w:t>
      </w:r>
      <w:r>
        <w:rPr>
          <w:color w:val="231F20"/>
          <w:w w:val="110"/>
        </w:rPr>
        <w:t>estalla</w:t>
      </w:r>
      <w:r>
        <w:rPr>
          <w:color w:val="231F20"/>
          <w:spacing w:val="-16"/>
          <w:w w:val="110"/>
        </w:rPr>
        <w:t> </w:t>
      </w:r>
      <w:r>
        <w:rPr>
          <w:color w:val="231F20"/>
          <w:w w:val="110"/>
        </w:rPr>
        <w:t>en</w:t>
      </w:r>
      <w:r>
        <w:rPr>
          <w:color w:val="231F20"/>
          <w:spacing w:val="-16"/>
          <w:w w:val="110"/>
        </w:rPr>
        <w:t> </w:t>
      </w:r>
      <w:r>
        <w:rPr>
          <w:color w:val="231F20"/>
          <w:w w:val="110"/>
        </w:rPr>
        <w:t>Estados</w:t>
      </w:r>
      <w:r>
        <w:rPr>
          <w:color w:val="231F20"/>
          <w:spacing w:val="-16"/>
          <w:w w:val="110"/>
        </w:rPr>
        <w:t> </w:t>
      </w:r>
      <w:r>
        <w:rPr>
          <w:color w:val="231F20"/>
          <w:w w:val="110"/>
        </w:rPr>
        <w:t>Unidos</w:t>
      </w:r>
      <w:r>
        <w:rPr>
          <w:color w:val="231F20"/>
          <w:spacing w:val="-16"/>
          <w:w w:val="110"/>
        </w:rPr>
        <w:t> </w:t>
      </w:r>
      <w:r>
        <w:rPr>
          <w:color w:val="231F20"/>
          <w:w w:val="110"/>
        </w:rPr>
        <w:t>después</w:t>
      </w:r>
      <w:r>
        <w:rPr>
          <w:color w:val="231F20"/>
          <w:spacing w:val="-16"/>
          <w:w w:val="110"/>
        </w:rPr>
        <w:t> </w:t>
      </w:r>
      <w:r>
        <w:rPr>
          <w:color w:val="231F20"/>
          <w:w w:val="110"/>
        </w:rPr>
        <w:t>de</w:t>
      </w:r>
      <w:r>
        <w:rPr>
          <w:color w:val="231F20"/>
          <w:spacing w:val="-16"/>
          <w:w w:val="110"/>
        </w:rPr>
        <w:t> </w:t>
      </w:r>
      <w:r>
        <w:rPr>
          <w:color w:val="231F20"/>
          <w:w w:val="110"/>
        </w:rPr>
        <w:t>tres decenios de vivir del ahorro y el crédito</w:t>
      </w:r>
      <w:r>
        <w:rPr>
          <w:color w:val="231F20"/>
          <w:spacing w:val="44"/>
          <w:w w:val="110"/>
        </w:rPr>
        <w:t> </w:t>
      </w:r>
      <w:r>
        <w:rPr>
          <w:color w:val="231F20"/>
          <w:w w:val="110"/>
        </w:rPr>
        <w:t>externos.</w:t>
      </w:r>
    </w:p>
    <w:p>
      <w:pPr>
        <w:pStyle w:val="BodyText"/>
        <w:spacing w:line="261" w:lineRule="auto"/>
        <w:ind w:left="100" w:right="117" w:firstLine="240"/>
        <w:jc w:val="right"/>
      </w:pPr>
      <w:r>
        <w:rPr>
          <w:color w:val="231F20"/>
          <w:w w:val="110"/>
        </w:rPr>
        <w:t>Al mismo tiempo, las empresas estadunidenses se</w:t>
      </w:r>
      <w:r>
        <w:rPr>
          <w:color w:val="231F20"/>
          <w:spacing w:val="30"/>
          <w:w w:val="110"/>
        </w:rPr>
        <w:t> </w:t>
      </w:r>
      <w:r>
        <w:rPr>
          <w:color w:val="231F20"/>
          <w:w w:val="110"/>
        </w:rPr>
        <w:t>endeudaron</w:t>
      </w:r>
      <w:r>
        <w:rPr>
          <w:color w:val="231F20"/>
          <w:spacing w:val="4"/>
          <w:w w:val="110"/>
        </w:rPr>
        <w:t> </w:t>
      </w:r>
      <w:r>
        <w:rPr>
          <w:color w:val="231F20"/>
          <w:w w:val="110"/>
        </w:rPr>
        <w:t>en</w:t>
      </w:r>
      <w:r>
        <w:rPr>
          <w:color w:val="231F20"/>
          <w:w w:val="116"/>
        </w:rPr>
        <w:t> </w:t>
      </w:r>
      <w:r>
        <w:rPr>
          <w:color w:val="231F20"/>
          <w:w w:val="110"/>
        </w:rPr>
        <w:t>exceso</w:t>
      </w:r>
      <w:r>
        <w:rPr>
          <w:color w:val="231F20"/>
          <w:spacing w:val="24"/>
          <w:w w:val="110"/>
        </w:rPr>
        <w:t> </w:t>
      </w:r>
      <w:r>
        <w:rPr>
          <w:color w:val="231F20"/>
          <w:w w:val="110"/>
        </w:rPr>
        <w:t>y</w:t>
      </w:r>
      <w:r>
        <w:rPr>
          <w:color w:val="231F20"/>
          <w:spacing w:val="24"/>
          <w:w w:val="110"/>
        </w:rPr>
        <w:t> </w:t>
      </w:r>
      <w:r>
        <w:rPr>
          <w:color w:val="231F20"/>
          <w:w w:val="110"/>
        </w:rPr>
        <w:t>perdieron</w:t>
      </w:r>
      <w:r>
        <w:rPr>
          <w:color w:val="231F20"/>
          <w:spacing w:val="24"/>
          <w:w w:val="110"/>
        </w:rPr>
        <w:t> </w:t>
      </w:r>
      <w:r>
        <w:rPr>
          <w:color w:val="231F20"/>
          <w:w w:val="110"/>
        </w:rPr>
        <w:t>competitividad</w:t>
      </w:r>
      <w:r>
        <w:rPr>
          <w:color w:val="231F20"/>
          <w:spacing w:val="24"/>
          <w:w w:val="110"/>
        </w:rPr>
        <w:t> </w:t>
      </w:r>
      <w:r>
        <w:rPr>
          <w:color w:val="231F20"/>
          <w:w w:val="110"/>
        </w:rPr>
        <w:t>frente</w:t>
      </w:r>
      <w:r>
        <w:rPr>
          <w:color w:val="231F20"/>
          <w:spacing w:val="24"/>
          <w:w w:val="110"/>
        </w:rPr>
        <w:t>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firmas</w:t>
      </w:r>
      <w:r>
        <w:rPr>
          <w:color w:val="231F20"/>
          <w:spacing w:val="24"/>
          <w:w w:val="110"/>
        </w:rPr>
        <w:t> </w:t>
      </w:r>
      <w:r>
        <w:rPr>
          <w:color w:val="231F20"/>
          <w:w w:val="110"/>
        </w:rPr>
        <w:t>de</w:t>
      </w:r>
      <w:r>
        <w:rPr>
          <w:color w:val="231F20"/>
          <w:spacing w:val="24"/>
          <w:w w:val="110"/>
        </w:rPr>
        <w:t> </w:t>
      </w:r>
      <w:r>
        <w:rPr>
          <w:color w:val="231F20"/>
          <w:w w:val="110"/>
        </w:rPr>
        <w:t>otras</w:t>
      </w:r>
      <w:r>
        <w:rPr>
          <w:color w:val="231F20"/>
          <w:spacing w:val="24"/>
          <w:w w:val="110"/>
        </w:rPr>
        <w:t> </w:t>
      </w:r>
      <w:r>
        <w:rPr>
          <w:color w:val="231F20"/>
          <w:w w:val="110"/>
        </w:rPr>
        <w:t>na-</w:t>
      </w:r>
      <w:r>
        <w:rPr>
          <w:color w:val="231F20"/>
          <w:w w:val="72"/>
        </w:rPr>
        <w:t> </w:t>
      </w:r>
      <w:r>
        <w:rPr>
          <w:color w:val="231F20"/>
          <w:w w:val="110"/>
        </w:rPr>
        <w:t>ciones; de la misma manera, el gobierno acrecentó su</w:t>
      </w:r>
      <w:r>
        <w:rPr>
          <w:color w:val="231F20"/>
          <w:spacing w:val="6"/>
          <w:w w:val="110"/>
        </w:rPr>
        <w:t> </w:t>
      </w:r>
      <w:r>
        <w:rPr>
          <w:color w:val="231F20"/>
          <w:w w:val="110"/>
        </w:rPr>
        <w:t>deuda,</w:t>
      </w:r>
      <w:r>
        <w:rPr>
          <w:color w:val="231F20"/>
          <w:spacing w:val="12"/>
          <w:w w:val="110"/>
        </w:rPr>
        <w:t> </w:t>
      </w:r>
      <w:r>
        <w:rPr>
          <w:color w:val="231F20"/>
          <w:w w:val="110"/>
        </w:rPr>
        <w:t>sobre</w:t>
      </w:r>
      <w:r>
        <w:rPr>
          <w:color w:val="231F20"/>
          <w:w w:val="109"/>
        </w:rPr>
        <w:t> </w:t>
      </w:r>
      <w:r>
        <w:rPr>
          <w:color w:val="231F20"/>
          <w:w w:val="110"/>
        </w:rPr>
        <w:t>todo, para financiar las guerras de invasión a Irak y Afganistán</w:t>
      </w:r>
      <w:r>
        <w:rPr>
          <w:color w:val="231F20"/>
          <w:spacing w:val="-5"/>
          <w:w w:val="110"/>
        </w:rPr>
        <w:t> </w:t>
      </w:r>
      <w:r>
        <w:rPr>
          <w:color w:val="231F20"/>
          <w:w w:val="110"/>
        </w:rPr>
        <w:t>y</w:t>
      </w:r>
      <w:r>
        <w:rPr>
          <w:color w:val="231F20"/>
          <w:spacing w:val="-1"/>
          <w:w w:val="110"/>
        </w:rPr>
        <w:t> </w:t>
      </w:r>
      <w:r>
        <w:rPr>
          <w:color w:val="231F20"/>
          <w:w w:val="110"/>
        </w:rPr>
        <w:t>los</w:t>
      </w:r>
      <w:r>
        <w:rPr>
          <w:color w:val="231F20"/>
          <w:w w:val="102"/>
        </w:rPr>
        <w:t> </w:t>
      </w:r>
      <w:r>
        <w:rPr>
          <w:color w:val="231F20"/>
          <w:w w:val="110"/>
        </w:rPr>
        <w:t>consumidores privados estadunidenses fueron impelidos</w:t>
      </w:r>
      <w:r>
        <w:rPr>
          <w:color w:val="231F20"/>
          <w:spacing w:val="3"/>
          <w:w w:val="110"/>
        </w:rPr>
        <w:t> </w:t>
      </w:r>
      <w:r>
        <w:rPr>
          <w:color w:val="231F20"/>
          <w:w w:val="110"/>
        </w:rPr>
        <w:t>a</w:t>
      </w:r>
      <w:r>
        <w:rPr>
          <w:color w:val="231F20"/>
          <w:spacing w:val="33"/>
          <w:w w:val="110"/>
        </w:rPr>
        <w:t> </w:t>
      </w:r>
      <w:r>
        <w:rPr>
          <w:color w:val="231F20"/>
          <w:w w:val="110"/>
        </w:rPr>
        <w:t>endeu-</w:t>
      </w:r>
      <w:r>
        <w:rPr>
          <w:color w:val="231F20"/>
          <w:w w:val="72"/>
        </w:rPr>
        <w:t> </w:t>
      </w:r>
      <w:r>
        <w:rPr>
          <w:color w:val="231F20"/>
          <w:w w:val="110"/>
        </w:rPr>
        <w:t>darse para sostener un nivel de consumo irracional</w:t>
      </w:r>
      <w:r>
        <w:rPr>
          <w:color w:val="231F20"/>
          <w:spacing w:val="30"/>
          <w:w w:val="110"/>
        </w:rPr>
        <w:t> </w:t>
      </w:r>
      <w:r>
        <w:rPr>
          <w:color w:val="231F20"/>
          <w:w w:val="110"/>
        </w:rPr>
        <w:t>y</w:t>
      </w:r>
      <w:r>
        <w:rPr>
          <w:color w:val="231F20"/>
          <w:spacing w:val="3"/>
          <w:w w:val="110"/>
        </w:rPr>
        <w:t> </w:t>
      </w:r>
      <w:r>
        <w:rPr>
          <w:color w:val="231F20"/>
          <w:w w:val="110"/>
        </w:rPr>
        <w:t>despilfarrador.</w:t>
      </w:r>
      <w:r>
        <w:rPr>
          <w:color w:val="231F20"/>
          <w:w w:val="104"/>
        </w:rPr>
        <w:t> </w:t>
      </w:r>
      <w:r>
        <w:rPr>
          <w:color w:val="231F20"/>
          <w:w w:val="110"/>
        </w:rPr>
        <w:t>A</w:t>
      </w:r>
      <w:r>
        <w:rPr>
          <w:color w:val="231F20"/>
          <w:spacing w:val="-25"/>
          <w:w w:val="110"/>
        </w:rPr>
        <w:t> </w:t>
      </w:r>
      <w:r>
        <w:rPr>
          <w:color w:val="231F20"/>
          <w:w w:val="110"/>
        </w:rPr>
        <w:t>estas</w:t>
      </w:r>
      <w:r>
        <w:rPr>
          <w:color w:val="231F20"/>
          <w:spacing w:val="-25"/>
          <w:w w:val="110"/>
        </w:rPr>
        <w:t> </w:t>
      </w:r>
      <w:r>
        <w:rPr>
          <w:color w:val="231F20"/>
          <w:w w:val="110"/>
        </w:rPr>
        <w:t>causas</w:t>
      </w:r>
      <w:r>
        <w:rPr>
          <w:color w:val="231F20"/>
          <w:spacing w:val="-25"/>
          <w:w w:val="110"/>
        </w:rPr>
        <w:t> </w:t>
      </w:r>
      <w:r>
        <w:rPr>
          <w:color w:val="231F20"/>
          <w:w w:val="110"/>
        </w:rPr>
        <w:t>estructurales,</w:t>
      </w:r>
      <w:r>
        <w:rPr>
          <w:color w:val="231F20"/>
          <w:spacing w:val="-25"/>
          <w:w w:val="110"/>
        </w:rPr>
        <w:t> </w:t>
      </w:r>
      <w:r>
        <w:rPr>
          <w:color w:val="231F20"/>
          <w:w w:val="110"/>
        </w:rPr>
        <w:t>se</w:t>
      </w:r>
      <w:r>
        <w:rPr>
          <w:color w:val="231F20"/>
          <w:spacing w:val="-25"/>
          <w:w w:val="110"/>
        </w:rPr>
        <w:t> </w:t>
      </w:r>
      <w:r>
        <w:rPr>
          <w:color w:val="231F20"/>
          <w:w w:val="110"/>
        </w:rPr>
        <w:t>sumó</w:t>
      </w:r>
      <w:r>
        <w:rPr>
          <w:color w:val="231F20"/>
          <w:spacing w:val="-25"/>
          <w:w w:val="110"/>
        </w:rPr>
        <w:t> </w:t>
      </w:r>
      <w:r>
        <w:rPr>
          <w:color w:val="231F20"/>
          <w:w w:val="110"/>
        </w:rPr>
        <w:t>la</w:t>
      </w:r>
      <w:r>
        <w:rPr>
          <w:color w:val="231F20"/>
          <w:spacing w:val="-25"/>
          <w:w w:val="110"/>
        </w:rPr>
        <w:t> </w:t>
      </w:r>
      <w:r>
        <w:rPr>
          <w:color w:val="231F20"/>
          <w:w w:val="110"/>
        </w:rPr>
        <w:t>apresurada</w:t>
      </w:r>
      <w:r>
        <w:rPr>
          <w:color w:val="231F20"/>
          <w:spacing w:val="-25"/>
          <w:w w:val="110"/>
        </w:rPr>
        <w:t> </w:t>
      </w:r>
      <w:r>
        <w:rPr>
          <w:color w:val="231F20"/>
          <w:w w:val="110"/>
        </w:rPr>
        <w:t>financiarización</w:t>
      </w:r>
      <w:r>
        <w:rPr>
          <w:color w:val="231F20"/>
          <w:w w:val="108"/>
        </w:rPr>
        <w:t> </w:t>
      </w:r>
      <w:r>
        <w:rPr>
          <w:color w:val="231F20"/>
          <w:w w:val="110"/>
        </w:rPr>
        <w:t>de la economía </w:t>
      </w:r>
      <w:r>
        <w:rPr>
          <w:color w:val="231F20"/>
          <w:spacing w:val="-8"/>
          <w:w w:val="110"/>
        </w:rPr>
        <w:t>y, </w:t>
      </w:r>
      <w:r>
        <w:rPr>
          <w:color w:val="231F20"/>
          <w:w w:val="110"/>
        </w:rPr>
        <w:t>su correlato, la incursión en</w:t>
      </w:r>
      <w:r>
        <w:rPr>
          <w:color w:val="231F20"/>
          <w:spacing w:val="15"/>
          <w:w w:val="110"/>
        </w:rPr>
        <w:t> </w:t>
      </w:r>
      <w:r>
        <w:rPr>
          <w:color w:val="231F20"/>
          <w:w w:val="110"/>
        </w:rPr>
        <w:t>operaciones</w:t>
      </w:r>
      <w:r>
        <w:rPr>
          <w:color w:val="231F20"/>
          <w:spacing w:val="13"/>
          <w:w w:val="110"/>
        </w:rPr>
        <w:t> </w:t>
      </w:r>
      <w:r>
        <w:rPr>
          <w:color w:val="231F20"/>
          <w:w w:val="110"/>
        </w:rPr>
        <w:t>especu-</w:t>
      </w:r>
      <w:r>
        <w:rPr>
          <w:color w:val="231F20"/>
          <w:w w:val="72"/>
        </w:rPr>
        <w:t> </w:t>
      </w:r>
      <w:r>
        <w:rPr>
          <w:color w:val="231F20"/>
          <w:w w:val="110"/>
        </w:rPr>
        <w:t>lativas cada vez más riesgosas pero que permitían rápidas</w:t>
      </w:r>
      <w:r>
        <w:rPr>
          <w:color w:val="231F20"/>
          <w:spacing w:val="22"/>
          <w:w w:val="110"/>
        </w:rPr>
        <w:t> </w:t>
      </w:r>
      <w:r>
        <w:rPr>
          <w:color w:val="231F20"/>
          <w:w w:val="110"/>
        </w:rPr>
        <w:t>y</w:t>
      </w:r>
      <w:r>
        <w:rPr>
          <w:color w:val="231F20"/>
          <w:spacing w:val="2"/>
          <w:w w:val="110"/>
        </w:rPr>
        <w:t> </w:t>
      </w:r>
      <w:r>
        <w:rPr>
          <w:color w:val="231F20"/>
          <w:w w:val="110"/>
        </w:rPr>
        <w:t>grandes</w:t>
      </w:r>
      <w:r>
        <w:rPr>
          <w:color w:val="231F20"/>
          <w:w w:val="110"/>
        </w:rPr>
        <w:t> </w:t>
      </w:r>
      <w:r>
        <w:rPr>
          <w:color w:val="231F20"/>
          <w:w w:val="110"/>
        </w:rPr>
        <w:t>ganancias, muy superiores a las que era posible obtener en la</w:t>
      </w:r>
      <w:r>
        <w:rPr>
          <w:color w:val="231F20"/>
          <w:spacing w:val="-13"/>
          <w:w w:val="110"/>
        </w:rPr>
        <w:t> </w:t>
      </w:r>
      <w:r>
        <w:rPr>
          <w:color w:val="231F20"/>
          <w:w w:val="110"/>
        </w:rPr>
        <w:t>econo-</w:t>
      </w:r>
    </w:p>
    <w:p>
      <w:pPr>
        <w:pStyle w:val="BodyText"/>
        <w:ind w:left="100" w:right="25"/>
      </w:pPr>
      <w:r>
        <w:rPr>
          <w:color w:val="231F20"/>
          <w:w w:val="110"/>
        </w:rPr>
        <w:t>mía real y, sobre todo, con mayor rapidez.</w:t>
      </w:r>
    </w:p>
    <w:p>
      <w:pPr>
        <w:pStyle w:val="BodyText"/>
        <w:spacing w:line="261" w:lineRule="auto" w:before="20"/>
        <w:ind w:left="100" w:right="117" w:firstLine="240"/>
        <w:jc w:val="both"/>
      </w:pPr>
      <w:r>
        <w:rPr>
          <w:color w:val="231F20"/>
          <w:w w:val="110"/>
        </w:rPr>
        <w:t>Parte</w:t>
      </w:r>
      <w:r>
        <w:rPr>
          <w:color w:val="231F20"/>
          <w:spacing w:val="-15"/>
          <w:w w:val="110"/>
        </w:rPr>
        <w:t> </w:t>
      </w:r>
      <w:r>
        <w:rPr>
          <w:color w:val="231F20"/>
          <w:w w:val="110"/>
        </w:rPr>
        <w:t>importante</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circunstancias</w:t>
      </w:r>
      <w:r>
        <w:rPr>
          <w:color w:val="231F20"/>
          <w:spacing w:val="-15"/>
          <w:w w:val="110"/>
        </w:rPr>
        <w:t> </w:t>
      </w:r>
      <w:r>
        <w:rPr>
          <w:color w:val="231F20"/>
          <w:w w:val="110"/>
        </w:rPr>
        <w:t>que</w:t>
      </w:r>
      <w:r>
        <w:rPr>
          <w:color w:val="231F20"/>
          <w:spacing w:val="-15"/>
          <w:w w:val="110"/>
        </w:rPr>
        <w:t> </w:t>
      </w:r>
      <w:r>
        <w:rPr>
          <w:color w:val="231F20"/>
          <w:w w:val="110"/>
        </w:rPr>
        <w:t>favorecieron</w:t>
      </w:r>
      <w:r>
        <w:rPr>
          <w:color w:val="231F20"/>
          <w:spacing w:val="-15"/>
          <w:w w:val="110"/>
        </w:rPr>
        <w:t> </w:t>
      </w:r>
      <w:r>
        <w:rPr>
          <w:color w:val="231F20"/>
          <w:w w:val="110"/>
        </w:rPr>
        <w:t>el</w:t>
      </w:r>
      <w:r>
        <w:rPr>
          <w:color w:val="231F20"/>
          <w:spacing w:val="-15"/>
          <w:w w:val="110"/>
        </w:rPr>
        <w:t> </w:t>
      </w:r>
      <w:r>
        <w:rPr>
          <w:color w:val="231F20"/>
          <w:w w:val="110"/>
        </w:rPr>
        <w:t>estallido de</w:t>
      </w:r>
      <w:r>
        <w:rPr>
          <w:color w:val="231F20"/>
          <w:spacing w:val="-18"/>
          <w:w w:val="110"/>
        </w:rPr>
        <w:t> </w:t>
      </w:r>
      <w:r>
        <w:rPr>
          <w:color w:val="231F20"/>
          <w:w w:val="110"/>
        </w:rPr>
        <w:t>la</w:t>
      </w:r>
      <w:r>
        <w:rPr>
          <w:color w:val="231F20"/>
          <w:spacing w:val="-18"/>
          <w:w w:val="110"/>
        </w:rPr>
        <w:t> </w:t>
      </w:r>
      <w:r>
        <w:rPr>
          <w:color w:val="231F20"/>
          <w:w w:val="110"/>
        </w:rPr>
        <w:t>crisis,</w:t>
      </w:r>
      <w:r>
        <w:rPr>
          <w:color w:val="231F20"/>
          <w:spacing w:val="-18"/>
          <w:w w:val="110"/>
        </w:rPr>
        <w:t> </w:t>
      </w:r>
      <w:r>
        <w:rPr>
          <w:color w:val="231F20"/>
          <w:w w:val="110"/>
        </w:rPr>
        <w:t>fueron</w:t>
      </w:r>
      <w:r>
        <w:rPr>
          <w:color w:val="231F20"/>
          <w:spacing w:val="-18"/>
          <w:w w:val="110"/>
        </w:rPr>
        <w:t> </w:t>
      </w:r>
      <w:r>
        <w:rPr>
          <w:color w:val="231F20"/>
          <w:w w:val="110"/>
        </w:rPr>
        <w:t>las</w:t>
      </w:r>
      <w:r>
        <w:rPr>
          <w:color w:val="231F20"/>
          <w:spacing w:val="-18"/>
          <w:w w:val="110"/>
        </w:rPr>
        <w:t> </w:t>
      </w:r>
      <w:r>
        <w:rPr>
          <w:color w:val="231F20"/>
          <w:w w:val="110"/>
        </w:rPr>
        <w:t>políticas</w:t>
      </w:r>
      <w:r>
        <w:rPr>
          <w:color w:val="231F20"/>
          <w:spacing w:val="-18"/>
          <w:w w:val="110"/>
        </w:rPr>
        <w:t> </w:t>
      </w:r>
      <w:r>
        <w:rPr>
          <w:color w:val="231F20"/>
          <w:w w:val="110"/>
        </w:rPr>
        <w:t>neoliberales</w:t>
      </w:r>
      <w:r>
        <w:rPr>
          <w:color w:val="231F20"/>
          <w:spacing w:val="-18"/>
          <w:w w:val="110"/>
        </w:rPr>
        <w:t> </w:t>
      </w:r>
      <w:r>
        <w:rPr>
          <w:color w:val="231F20"/>
          <w:w w:val="110"/>
        </w:rPr>
        <w:t>de</w:t>
      </w:r>
      <w:r>
        <w:rPr>
          <w:color w:val="231F20"/>
          <w:spacing w:val="-18"/>
          <w:w w:val="110"/>
        </w:rPr>
        <w:t> </w:t>
      </w:r>
      <w:r>
        <w:rPr>
          <w:color w:val="231F20"/>
          <w:w w:val="110"/>
        </w:rPr>
        <w:t>desregulación</w:t>
      </w:r>
      <w:r>
        <w:rPr>
          <w:color w:val="231F20"/>
          <w:spacing w:val="-18"/>
          <w:w w:val="110"/>
        </w:rPr>
        <w:t> </w:t>
      </w:r>
      <w:r>
        <w:rPr>
          <w:color w:val="231F20"/>
          <w:w w:val="110"/>
        </w:rPr>
        <w:t>y</w:t>
      </w:r>
      <w:r>
        <w:rPr>
          <w:color w:val="231F20"/>
          <w:spacing w:val="-18"/>
          <w:w w:val="110"/>
        </w:rPr>
        <w:t> </w:t>
      </w:r>
      <w:r>
        <w:rPr>
          <w:color w:val="231F20"/>
          <w:w w:val="110"/>
        </w:rPr>
        <w:t>libera- lización que hicieron más poderosos a los monopolios que lograron imponer y reforzar su hegemonía en la economía   mundial.</w:t>
      </w:r>
    </w:p>
    <w:p>
      <w:pPr>
        <w:pStyle w:val="BodyText"/>
        <w:spacing w:line="261" w:lineRule="auto"/>
        <w:ind w:left="100" w:right="117" w:firstLine="240"/>
        <w:jc w:val="both"/>
      </w:pPr>
      <w:r>
        <w:rPr>
          <w:color w:val="231F20"/>
          <w:w w:val="110"/>
        </w:rPr>
        <w:t>La</w:t>
      </w:r>
      <w:r>
        <w:rPr>
          <w:color w:val="231F20"/>
          <w:spacing w:val="-22"/>
          <w:w w:val="110"/>
        </w:rPr>
        <w:t> </w:t>
      </w:r>
      <w:r>
        <w:rPr>
          <w:color w:val="231F20"/>
          <w:w w:val="110"/>
        </w:rPr>
        <w:t>crisis,</w:t>
      </w:r>
      <w:r>
        <w:rPr>
          <w:color w:val="231F20"/>
          <w:spacing w:val="-22"/>
          <w:w w:val="110"/>
        </w:rPr>
        <w:t> </w:t>
      </w:r>
      <w:r>
        <w:rPr>
          <w:color w:val="231F20"/>
          <w:w w:val="110"/>
        </w:rPr>
        <w:t>es</w:t>
      </w:r>
      <w:r>
        <w:rPr>
          <w:color w:val="231F20"/>
          <w:spacing w:val="-22"/>
          <w:w w:val="110"/>
        </w:rPr>
        <w:t> </w:t>
      </w:r>
      <w:r>
        <w:rPr>
          <w:color w:val="231F20"/>
          <w:w w:val="110"/>
        </w:rPr>
        <w:t>devastadora,</w:t>
      </w:r>
      <w:r>
        <w:rPr>
          <w:color w:val="231F20"/>
          <w:spacing w:val="-22"/>
          <w:w w:val="110"/>
        </w:rPr>
        <w:t> </w:t>
      </w:r>
      <w:r>
        <w:rPr>
          <w:color w:val="231F20"/>
          <w:w w:val="110"/>
        </w:rPr>
        <w:t>la</w:t>
      </w:r>
      <w:r>
        <w:rPr>
          <w:color w:val="231F20"/>
          <w:spacing w:val="-22"/>
          <w:w w:val="110"/>
        </w:rPr>
        <w:t> </w:t>
      </w:r>
      <w:r>
        <w:rPr>
          <w:color w:val="231F20"/>
          <w:w w:val="110"/>
        </w:rPr>
        <w:t>destrucción</w:t>
      </w:r>
      <w:r>
        <w:rPr>
          <w:color w:val="231F20"/>
          <w:spacing w:val="-22"/>
          <w:w w:val="110"/>
        </w:rPr>
        <w:t> </w:t>
      </w:r>
      <w:r>
        <w:rPr>
          <w:color w:val="231F20"/>
          <w:w w:val="110"/>
        </w:rPr>
        <w:t>de</w:t>
      </w:r>
      <w:r>
        <w:rPr>
          <w:color w:val="231F20"/>
          <w:spacing w:val="-22"/>
          <w:w w:val="110"/>
        </w:rPr>
        <w:t> </w:t>
      </w:r>
      <w:r>
        <w:rPr>
          <w:color w:val="231F20"/>
          <w:w w:val="110"/>
        </w:rPr>
        <w:t>capitales</w:t>
      </w:r>
      <w:r>
        <w:rPr>
          <w:color w:val="231F20"/>
          <w:spacing w:val="-22"/>
          <w:w w:val="110"/>
        </w:rPr>
        <w:t> </w:t>
      </w:r>
      <w:r>
        <w:rPr>
          <w:color w:val="231F20"/>
          <w:w w:val="110"/>
        </w:rPr>
        <w:t>ha</w:t>
      </w:r>
      <w:r>
        <w:rPr>
          <w:color w:val="231F20"/>
          <w:spacing w:val="-22"/>
          <w:w w:val="110"/>
        </w:rPr>
        <w:t> </w:t>
      </w:r>
      <w:r>
        <w:rPr>
          <w:color w:val="231F20"/>
          <w:w w:val="110"/>
        </w:rPr>
        <w:t>sido</w:t>
      </w:r>
      <w:r>
        <w:rPr>
          <w:color w:val="231F20"/>
          <w:spacing w:val="-22"/>
          <w:w w:val="110"/>
        </w:rPr>
        <w:t> </w:t>
      </w:r>
      <w:r>
        <w:rPr>
          <w:color w:val="231F20"/>
          <w:w w:val="110"/>
        </w:rPr>
        <w:t>enorme y</w:t>
      </w:r>
      <w:r>
        <w:rPr>
          <w:color w:val="231F20"/>
          <w:spacing w:val="-18"/>
          <w:w w:val="110"/>
        </w:rPr>
        <w:t> </w:t>
      </w:r>
      <w:r>
        <w:rPr>
          <w:color w:val="231F20"/>
          <w:w w:val="110"/>
        </w:rPr>
        <w:t>“las</w:t>
      </w:r>
      <w:r>
        <w:rPr>
          <w:color w:val="231F20"/>
          <w:spacing w:val="-18"/>
          <w:w w:val="110"/>
        </w:rPr>
        <w:t> </w:t>
      </w:r>
      <w:r>
        <w:rPr>
          <w:color w:val="231F20"/>
          <w:w w:val="110"/>
        </w:rPr>
        <w:t>consecuencias</w:t>
      </w:r>
      <w:r>
        <w:rPr>
          <w:color w:val="231F20"/>
          <w:spacing w:val="-18"/>
          <w:w w:val="110"/>
        </w:rPr>
        <w:t> </w:t>
      </w:r>
      <w:r>
        <w:rPr>
          <w:color w:val="231F20"/>
          <w:w w:val="110"/>
        </w:rPr>
        <w:t>recesivas</w:t>
      </w:r>
      <w:r>
        <w:rPr>
          <w:color w:val="231F20"/>
          <w:spacing w:val="-18"/>
          <w:w w:val="110"/>
        </w:rPr>
        <w:t> </w:t>
      </w:r>
      <w:r>
        <w:rPr>
          <w:color w:val="231F20"/>
          <w:w w:val="110"/>
        </w:rPr>
        <w:t>de</w:t>
      </w:r>
      <w:r>
        <w:rPr>
          <w:color w:val="231F20"/>
          <w:spacing w:val="-18"/>
          <w:w w:val="110"/>
        </w:rPr>
        <w:t> </w:t>
      </w:r>
      <w:r>
        <w:rPr>
          <w:color w:val="231F20"/>
          <w:w w:val="110"/>
        </w:rPr>
        <w:t>tamaña</w:t>
      </w:r>
      <w:r>
        <w:rPr>
          <w:color w:val="231F20"/>
          <w:spacing w:val="-18"/>
          <w:w w:val="110"/>
        </w:rPr>
        <w:t> </w:t>
      </w:r>
      <w:r>
        <w:rPr>
          <w:color w:val="231F20"/>
          <w:w w:val="110"/>
        </w:rPr>
        <w:t>destrucción</w:t>
      </w:r>
      <w:r>
        <w:rPr>
          <w:color w:val="231F20"/>
          <w:spacing w:val="-18"/>
          <w:w w:val="110"/>
        </w:rPr>
        <w:t> </w:t>
      </w:r>
      <w:r>
        <w:rPr>
          <w:color w:val="231F20"/>
          <w:w w:val="110"/>
        </w:rPr>
        <w:t>de</w:t>
      </w:r>
      <w:r>
        <w:rPr>
          <w:color w:val="231F20"/>
          <w:spacing w:val="-18"/>
          <w:w w:val="110"/>
        </w:rPr>
        <w:t> </w:t>
      </w:r>
      <w:r>
        <w:rPr>
          <w:color w:val="231F20"/>
          <w:w w:val="110"/>
        </w:rPr>
        <w:t>capitales</w:t>
      </w:r>
      <w:r>
        <w:rPr>
          <w:color w:val="231F20"/>
          <w:spacing w:val="-18"/>
          <w:w w:val="110"/>
        </w:rPr>
        <w:t> </w:t>
      </w:r>
      <w:r>
        <w:rPr>
          <w:color w:val="231F20"/>
          <w:w w:val="110"/>
        </w:rPr>
        <w:t>son fáciles de identificar: caída de la producción, desempleo, derrumbe de</w:t>
      </w:r>
      <w:r>
        <w:rPr>
          <w:color w:val="231F20"/>
          <w:spacing w:val="-11"/>
          <w:w w:val="110"/>
        </w:rPr>
        <w:t> </w:t>
      </w:r>
      <w:r>
        <w:rPr>
          <w:color w:val="231F20"/>
          <w:w w:val="110"/>
        </w:rPr>
        <w:t>los</w:t>
      </w:r>
      <w:r>
        <w:rPr>
          <w:color w:val="231F20"/>
          <w:spacing w:val="-11"/>
          <w:w w:val="110"/>
        </w:rPr>
        <w:t> </w:t>
      </w:r>
      <w:r>
        <w:rPr>
          <w:color w:val="231F20"/>
          <w:w w:val="110"/>
        </w:rPr>
        <w:t>precios,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salarios</w:t>
      </w:r>
      <w:r>
        <w:rPr>
          <w:color w:val="231F20"/>
          <w:spacing w:val="-11"/>
          <w:w w:val="110"/>
        </w:rPr>
        <w:t> </w:t>
      </w:r>
      <w:r>
        <w:rPr>
          <w:color w:val="231F20"/>
          <w:w w:val="110"/>
        </w:rPr>
        <w:t>del</w:t>
      </w:r>
      <w:r>
        <w:rPr>
          <w:color w:val="231F20"/>
          <w:spacing w:val="-11"/>
          <w:w w:val="110"/>
        </w:rPr>
        <w:t> </w:t>
      </w:r>
      <w:r>
        <w:rPr>
          <w:color w:val="231F20"/>
          <w:w w:val="110"/>
        </w:rPr>
        <w:t>poder</w:t>
      </w:r>
      <w:r>
        <w:rPr>
          <w:color w:val="231F20"/>
          <w:spacing w:val="-11"/>
          <w:w w:val="110"/>
        </w:rPr>
        <w:t> </w:t>
      </w:r>
      <w:r>
        <w:rPr>
          <w:color w:val="231F20"/>
          <w:w w:val="110"/>
        </w:rPr>
        <w:t>de</w:t>
      </w:r>
      <w:r>
        <w:rPr>
          <w:color w:val="231F20"/>
          <w:spacing w:val="-11"/>
          <w:w w:val="110"/>
        </w:rPr>
        <w:t> </w:t>
      </w:r>
      <w:r>
        <w:rPr>
          <w:color w:val="231F20"/>
          <w:w w:val="110"/>
        </w:rPr>
        <w:t>compra,</w:t>
      </w:r>
      <w:r>
        <w:rPr>
          <w:color w:val="231F20"/>
          <w:spacing w:val="-11"/>
          <w:w w:val="110"/>
        </w:rPr>
        <w:t> </w:t>
      </w:r>
      <w:r>
        <w:rPr>
          <w:color w:val="231F20"/>
          <w:w w:val="110"/>
        </w:rPr>
        <w:t>es</w:t>
      </w:r>
      <w:r>
        <w:rPr>
          <w:color w:val="231F20"/>
          <w:spacing w:val="-11"/>
          <w:w w:val="110"/>
        </w:rPr>
        <w:t> </w:t>
      </w:r>
      <w:r>
        <w:rPr>
          <w:color w:val="231F20"/>
          <w:spacing w:val="-3"/>
          <w:w w:val="110"/>
        </w:rPr>
        <w:t>decir,</w:t>
      </w:r>
      <w:r>
        <w:rPr>
          <w:color w:val="231F20"/>
          <w:spacing w:val="-11"/>
          <w:w w:val="110"/>
        </w:rPr>
        <w:t> </w:t>
      </w:r>
      <w:r>
        <w:rPr>
          <w:color w:val="231F20"/>
          <w:w w:val="110"/>
        </w:rPr>
        <w:t>el</w:t>
      </w:r>
      <w:r>
        <w:rPr>
          <w:color w:val="231F20"/>
          <w:spacing w:val="-11"/>
          <w:w w:val="110"/>
        </w:rPr>
        <w:t> </w:t>
      </w:r>
      <w:r>
        <w:rPr>
          <w:color w:val="231F20"/>
          <w:w w:val="110"/>
        </w:rPr>
        <w:t>círculo vicioso de la depresión económica” (Borón, 2005: 18). Sin duda, la “solución violenta” a la sobreacumulación de la que hablara</w:t>
      </w:r>
      <w:r>
        <w:rPr>
          <w:color w:val="231F20"/>
          <w:spacing w:val="13"/>
          <w:w w:val="110"/>
        </w:rPr>
        <w:t> </w:t>
      </w:r>
      <w:r>
        <w:rPr>
          <w:color w:val="231F20"/>
          <w:w w:val="110"/>
        </w:rPr>
        <w:t>Marx.</w:t>
      </w:r>
    </w:p>
    <w:p>
      <w:pPr>
        <w:pStyle w:val="BodyText"/>
        <w:spacing w:line="261" w:lineRule="auto"/>
        <w:ind w:left="100" w:right="119" w:firstLine="240"/>
        <w:jc w:val="both"/>
      </w:pPr>
      <w:r>
        <w:rPr>
          <w:color w:val="231F20"/>
          <w:w w:val="110"/>
        </w:rPr>
        <w:t>Pero la destrucción de capitales no tiene resultados neutros, por  el</w:t>
      </w:r>
      <w:r>
        <w:rPr>
          <w:color w:val="231F20"/>
          <w:spacing w:val="32"/>
          <w:w w:val="110"/>
        </w:rPr>
        <w:t> </w:t>
      </w:r>
      <w:r>
        <w:rPr>
          <w:color w:val="231F20"/>
          <w:w w:val="110"/>
        </w:rPr>
        <w:t>contrario</w:t>
      </w:r>
      <w:r>
        <w:rPr>
          <w:color w:val="231F20"/>
          <w:spacing w:val="32"/>
          <w:w w:val="110"/>
        </w:rPr>
        <w:t> </w:t>
      </w:r>
      <w:r>
        <w:rPr>
          <w:color w:val="231F20"/>
          <w:w w:val="110"/>
        </w:rPr>
        <w:t>ese</w:t>
      </w:r>
      <w:r>
        <w:rPr>
          <w:color w:val="231F20"/>
          <w:spacing w:val="32"/>
          <w:w w:val="110"/>
        </w:rPr>
        <w:t> </w:t>
      </w:r>
      <w:r>
        <w:rPr>
          <w:color w:val="231F20"/>
          <w:w w:val="110"/>
        </w:rPr>
        <w:t>proceso</w:t>
      </w:r>
      <w:r>
        <w:rPr>
          <w:color w:val="231F20"/>
          <w:spacing w:val="32"/>
          <w:w w:val="110"/>
        </w:rPr>
        <w:t> </w:t>
      </w:r>
      <w:r>
        <w:rPr>
          <w:color w:val="231F20"/>
          <w:w w:val="110"/>
        </w:rPr>
        <w:t>favorece</w:t>
      </w:r>
      <w:r>
        <w:rPr>
          <w:color w:val="231F20"/>
          <w:spacing w:val="32"/>
          <w:w w:val="110"/>
        </w:rPr>
        <w:t> </w:t>
      </w:r>
      <w:r>
        <w:rPr>
          <w:color w:val="231F20"/>
          <w:w w:val="110"/>
        </w:rPr>
        <w:t>a</w:t>
      </w:r>
      <w:r>
        <w:rPr>
          <w:color w:val="231F20"/>
          <w:spacing w:val="32"/>
          <w:w w:val="110"/>
        </w:rPr>
        <w:t> </w:t>
      </w:r>
      <w:r>
        <w:rPr>
          <w:color w:val="231F20"/>
          <w:w w:val="110"/>
        </w:rPr>
        <w:t>unos</w:t>
      </w:r>
      <w:r>
        <w:rPr>
          <w:color w:val="231F20"/>
          <w:spacing w:val="32"/>
          <w:w w:val="110"/>
        </w:rPr>
        <w:t> </w:t>
      </w:r>
      <w:r>
        <w:rPr>
          <w:color w:val="231F20"/>
          <w:w w:val="110"/>
        </w:rPr>
        <w:t>cuantos</w:t>
      </w:r>
      <w:r>
        <w:rPr>
          <w:color w:val="231F20"/>
          <w:spacing w:val="32"/>
          <w:w w:val="110"/>
        </w:rPr>
        <w:t> </w:t>
      </w:r>
      <w:r>
        <w:rPr>
          <w:color w:val="231F20"/>
          <w:w w:val="110"/>
        </w:rPr>
        <w:t>monopolios</w:t>
      </w:r>
      <w:r>
        <w:rPr>
          <w:color w:val="231F20"/>
          <w:spacing w:val="32"/>
          <w:w w:val="110"/>
        </w:rPr>
        <w:t> </w:t>
      </w:r>
      <w:r>
        <w:rPr>
          <w:color w:val="231F20"/>
          <w:w w:val="110"/>
        </w:rPr>
        <w:t>que</w:t>
      </w:r>
      <w:r>
        <w:rPr>
          <w:color w:val="231F20"/>
          <w:w w:val="113"/>
        </w:rPr>
        <w:t> </w:t>
      </w:r>
      <w:r>
        <w:rPr>
          <w:color w:val="231F20"/>
          <w:w w:val="110"/>
        </w:rPr>
        <w:t>lograron</w:t>
      </w:r>
      <w:r>
        <w:rPr>
          <w:color w:val="231F20"/>
          <w:spacing w:val="27"/>
          <w:w w:val="110"/>
        </w:rPr>
        <w:t> </w:t>
      </w:r>
      <w:r>
        <w:rPr>
          <w:color w:val="231F20"/>
          <w:w w:val="110"/>
        </w:rPr>
        <w:t>desplazar</w:t>
      </w:r>
      <w:r>
        <w:rPr>
          <w:color w:val="231F20"/>
          <w:spacing w:val="27"/>
          <w:w w:val="110"/>
        </w:rPr>
        <w:t> </w:t>
      </w:r>
      <w:r>
        <w:rPr>
          <w:color w:val="231F20"/>
          <w:w w:val="110"/>
        </w:rPr>
        <w:t>del</w:t>
      </w:r>
      <w:r>
        <w:rPr>
          <w:color w:val="231F20"/>
          <w:spacing w:val="27"/>
          <w:w w:val="110"/>
        </w:rPr>
        <w:t> </w:t>
      </w:r>
      <w:r>
        <w:rPr>
          <w:color w:val="231F20"/>
          <w:w w:val="110"/>
        </w:rPr>
        <w:t>mercado</w:t>
      </w:r>
      <w:r>
        <w:rPr>
          <w:color w:val="231F20"/>
          <w:spacing w:val="27"/>
          <w:w w:val="110"/>
        </w:rPr>
        <w:t> </w:t>
      </w:r>
      <w:r>
        <w:rPr>
          <w:color w:val="231F20"/>
          <w:w w:val="110"/>
        </w:rPr>
        <w:t>a</w:t>
      </w:r>
      <w:r>
        <w:rPr>
          <w:color w:val="231F20"/>
          <w:spacing w:val="27"/>
          <w:w w:val="110"/>
        </w:rPr>
        <w:t> </w:t>
      </w:r>
      <w:r>
        <w:rPr>
          <w:color w:val="231F20"/>
          <w:w w:val="110"/>
        </w:rPr>
        <w:t>sus</w:t>
      </w:r>
      <w:r>
        <w:rPr>
          <w:color w:val="231F20"/>
          <w:spacing w:val="27"/>
          <w:w w:val="110"/>
        </w:rPr>
        <w:t> </w:t>
      </w:r>
      <w:r>
        <w:rPr>
          <w:color w:val="231F20"/>
          <w:w w:val="110"/>
        </w:rPr>
        <w:t>reales</w:t>
      </w:r>
      <w:r>
        <w:rPr>
          <w:color w:val="231F20"/>
          <w:spacing w:val="27"/>
          <w:w w:val="110"/>
        </w:rPr>
        <w:t> </w:t>
      </w:r>
      <w:r>
        <w:rPr>
          <w:color w:val="231F20"/>
          <w:w w:val="110"/>
        </w:rPr>
        <w:t>y</w:t>
      </w:r>
      <w:r>
        <w:rPr>
          <w:color w:val="231F20"/>
          <w:spacing w:val="27"/>
          <w:w w:val="110"/>
        </w:rPr>
        <w:t> </w:t>
      </w:r>
      <w:r>
        <w:rPr>
          <w:color w:val="231F20"/>
          <w:w w:val="110"/>
        </w:rPr>
        <w:t>potenciales</w:t>
      </w:r>
      <w:r>
        <w:rPr>
          <w:color w:val="231F20"/>
          <w:spacing w:val="27"/>
          <w:w w:val="110"/>
        </w:rPr>
        <w:t> </w:t>
      </w:r>
      <w:r>
        <w:rPr>
          <w:color w:val="231F20"/>
          <w:w w:val="110"/>
        </w:rPr>
        <w:t>compe-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jc w:val="both"/>
      </w:pPr>
      <w:r>
        <w:rPr>
          <w:color w:val="231F20"/>
          <w:w w:val="110"/>
        </w:rPr>
        <w:t>tidores, así como a los más débiles, a los que no fueron capaces    de sortear la crisis. Esto desbrozó el camino para nuevas alianzas y fusiones empresariales, que dan a los monopolios más poder en el mundo</w:t>
      </w:r>
      <w:r>
        <w:rPr>
          <w:color w:val="231F20"/>
          <w:spacing w:val="5"/>
          <w:w w:val="110"/>
        </w:rPr>
        <w:t> </w:t>
      </w:r>
      <w:r>
        <w:rPr>
          <w:color w:val="231F20"/>
          <w:w w:val="110"/>
        </w:rPr>
        <w:t>globalizado.</w:t>
      </w:r>
    </w:p>
    <w:p>
      <w:pPr>
        <w:pStyle w:val="BodyText"/>
        <w:spacing w:line="261" w:lineRule="auto"/>
        <w:ind w:left="100" w:right="117" w:firstLine="240"/>
        <w:jc w:val="both"/>
      </w:pP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países</w:t>
      </w:r>
      <w:r>
        <w:rPr>
          <w:color w:val="231F20"/>
          <w:spacing w:val="-15"/>
          <w:w w:val="110"/>
        </w:rPr>
        <w:t> </w:t>
      </w:r>
      <w:r>
        <w:rPr>
          <w:color w:val="231F20"/>
          <w:w w:val="110"/>
        </w:rPr>
        <w:t>de</w:t>
      </w:r>
      <w:r>
        <w:rPr>
          <w:color w:val="231F20"/>
          <w:spacing w:val="-15"/>
          <w:w w:val="110"/>
        </w:rPr>
        <w:t> </w:t>
      </w:r>
      <w:r>
        <w:rPr>
          <w:color w:val="231F20"/>
          <w:w w:val="110"/>
        </w:rPr>
        <w:t>América</w:t>
      </w:r>
      <w:r>
        <w:rPr>
          <w:color w:val="231F20"/>
          <w:spacing w:val="-15"/>
          <w:w w:val="110"/>
        </w:rPr>
        <w:t> </w:t>
      </w:r>
      <w:r>
        <w:rPr>
          <w:color w:val="231F20"/>
          <w:w w:val="110"/>
        </w:rPr>
        <w:t>Latina,</w:t>
      </w:r>
      <w:r>
        <w:rPr>
          <w:color w:val="231F20"/>
          <w:spacing w:val="-15"/>
          <w:w w:val="110"/>
        </w:rPr>
        <w:t> </w:t>
      </w:r>
      <w:r>
        <w:rPr>
          <w:color w:val="231F20"/>
          <w:w w:val="110"/>
        </w:rPr>
        <w:t>la</w:t>
      </w:r>
      <w:r>
        <w:rPr>
          <w:color w:val="231F20"/>
          <w:spacing w:val="-15"/>
          <w:w w:val="110"/>
        </w:rPr>
        <w:t> </w:t>
      </w:r>
      <w:r>
        <w:rPr>
          <w:color w:val="231F20"/>
          <w:w w:val="110"/>
        </w:rPr>
        <w:t>crisis</w:t>
      </w:r>
      <w:r>
        <w:rPr>
          <w:color w:val="231F20"/>
          <w:spacing w:val="-15"/>
          <w:w w:val="110"/>
        </w:rPr>
        <w:t> </w:t>
      </w:r>
      <w:r>
        <w:rPr>
          <w:color w:val="231F20"/>
          <w:w w:val="110"/>
        </w:rPr>
        <w:t>se</w:t>
      </w:r>
      <w:r>
        <w:rPr>
          <w:color w:val="231F20"/>
          <w:spacing w:val="-15"/>
          <w:w w:val="110"/>
        </w:rPr>
        <w:t> </w:t>
      </w:r>
      <w:r>
        <w:rPr>
          <w:color w:val="231F20"/>
          <w:w w:val="110"/>
        </w:rPr>
        <w:t>precipitó</w:t>
      </w:r>
      <w:r>
        <w:rPr>
          <w:color w:val="231F20"/>
          <w:spacing w:val="-15"/>
          <w:w w:val="110"/>
        </w:rPr>
        <w:t> </w:t>
      </w:r>
      <w:r>
        <w:rPr>
          <w:color w:val="231F20"/>
          <w:w w:val="110"/>
        </w:rPr>
        <w:t>por</w:t>
      </w:r>
      <w:r>
        <w:rPr>
          <w:color w:val="231F20"/>
          <w:spacing w:val="-15"/>
          <w:w w:val="110"/>
        </w:rPr>
        <w:t> </w:t>
      </w:r>
      <w:r>
        <w:rPr>
          <w:color w:val="231F20"/>
          <w:w w:val="110"/>
        </w:rPr>
        <w:t>varias</w:t>
      </w:r>
      <w:r>
        <w:rPr>
          <w:color w:val="231F20"/>
          <w:spacing w:val="-15"/>
          <w:w w:val="110"/>
        </w:rPr>
        <w:t> </w:t>
      </w:r>
      <w:r>
        <w:rPr>
          <w:color w:val="231F20"/>
          <w:w w:val="110"/>
        </w:rPr>
        <w:t>ra- zones.</w:t>
      </w:r>
      <w:r>
        <w:rPr>
          <w:color w:val="231F20"/>
          <w:spacing w:val="-20"/>
          <w:w w:val="110"/>
        </w:rPr>
        <w:t> </w:t>
      </w:r>
      <w:r>
        <w:rPr>
          <w:color w:val="231F20"/>
          <w:w w:val="110"/>
        </w:rPr>
        <w:t>Una</w:t>
      </w:r>
      <w:r>
        <w:rPr>
          <w:color w:val="231F20"/>
          <w:spacing w:val="-20"/>
          <w:w w:val="110"/>
        </w:rPr>
        <w:t> </w:t>
      </w:r>
      <w:r>
        <w:rPr>
          <w:color w:val="231F20"/>
          <w:w w:val="110"/>
        </w:rPr>
        <w:t>fue</w:t>
      </w:r>
      <w:r>
        <w:rPr>
          <w:color w:val="231F20"/>
          <w:spacing w:val="-20"/>
          <w:w w:val="110"/>
        </w:rPr>
        <w:t> </w:t>
      </w:r>
      <w:r>
        <w:rPr>
          <w:color w:val="231F20"/>
          <w:w w:val="110"/>
        </w:rPr>
        <w:t>la</w:t>
      </w:r>
      <w:r>
        <w:rPr>
          <w:color w:val="231F20"/>
          <w:spacing w:val="-20"/>
          <w:w w:val="110"/>
        </w:rPr>
        <w:t> </w:t>
      </w:r>
      <w:r>
        <w:rPr>
          <w:color w:val="231F20"/>
          <w:w w:val="110"/>
        </w:rPr>
        <w:t>caída</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volúmenes</w:t>
      </w:r>
      <w:r>
        <w:rPr>
          <w:color w:val="231F20"/>
          <w:spacing w:val="-20"/>
          <w:w w:val="110"/>
        </w:rPr>
        <w:t> </w:t>
      </w:r>
      <w:r>
        <w:rPr>
          <w:color w:val="231F20"/>
          <w:w w:val="110"/>
        </w:rPr>
        <w:t>y</w:t>
      </w:r>
      <w:r>
        <w:rPr>
          <w:color w:val="231F20"/>
          <w:spacing w:val="-20"/>
          <w:w w:val="110"/>
        </w:rPr>
        <w:t> </w:t>
      </w:r>
      <w:r>
        <w:rPr>
          <w:color w:val="231F20"/>
          <w:w w:val="110"/>
        </w:rPr>
        <w:t>precios</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productos</w:t>
      </w:r>
      <w:r>
        <w:rPr>
          <w:color w:val="231F20"/>
          <w:spacing w:val="-20"/>
          <w:w w:val="110"/>
        </w:rPr>
        <w:t> </w:t>
      </w:r>
      <w:r>
        <w:rPr>
          <w:color w:val="231F20"/>
          <w:w w:val="110"/>
        </w:rPr>
        <w:t>de exportables; asimismo, la crisis de los países metropolitanos</w:t>
      </w:r>
      <w:r>
        <w:rPr>
          <w:color w:val="231F20"/>
          <w:spacing w:val="-34"/>
          <w:w w:val="110"/>
        </w:rPr>
        <w:t> </w:t>
      </w:r>
      <w:r>
        <w:rPr>
          <w:color w:val="231F20"/>
          <w:w w:val="110"/>
        </w:rPr>
        <w:t>implicó la reducción de los montos de remesas enviadas por los trabajadores migrantes, pero sin duda, la dependencia de los países periféricos hacia los centrales fue el factor determinante en la transmisión de   la crisis que desató los factores internos de la crisis del capitalismo subdesarrollado.</w:t>
      </w:r>
    </w:p>
    <w:p>
      <w:pPr>
        <w:pStyle w:val="BodyText"/>
        <w:spacing w:line="261" w:lineRule="auto"/>
        <w:ind w:left="100" w:right="117" w:firstLine="240"/>
        <w:jc w:val="both"/>
      </w:pPr>
      <w:r>
        <w:rPr>
          <w:color w:val="231F20"/>
          <w:w w:val="110"/>
        </w:rPr>
        <w:t>La crisis, por supuesto, ha tenido consecuencias distintas en las naciones periféricas que las padecidas en las metrópolis, en éstas se debate si se refuerza el neoliberalismo dotándolo de medidas que suavicen sus aspectos sociales más perversos o bien se actualiza el keynesianismo, estableciendo una nueva relación entre el Estado y el mercado. En cambio, para buena parte de los países latinoame- ricanos, el neoliberalismo dejó de ser opción y en muchos casos se discute cómo tendrá que ser la nueva sociedad  posneoliberal.</w:t>
      </w:r>
    </w:p>
    <w:p>
      <w:pPr>
        <w:pStyle w:val="BodyText"/>
      </w:pPr>
    </w:p>
    <w:p>
      <w:pPr>
        <w:pStyle w:val="BodyText"/>
      </w:pPr>
    </w:p>
    <w:p>
      <w:pPr>
        <w:pStyle w:val="BodyText"/>
        <w:spacing w:before="2"/>
        <w:rPr>
          <w:sz w:val="25"/>
        </w:rPr>
      </w:pPr>
    </w:p>
    <w:p>
      <w:pPr>
        <w:pStyle w:val="BodyText"/>
        <w:ind w:left="100"/>
        <w:jc w:val="both"/>
      </w:pPr>
      <w:r>
        <w:rPr>
          <w:color w:val="231F20"/>
          <w:w w:val="130"/>
        </w:rPr>
        <w:t>reflexión final</w:t>
      </w:r>
    </w:p>
    <w:p>
      <w:pPr>
        <w:pStyle w:val="BodyText"/>
        <w:spacing w:before="5"/>
        <w:rPr>
          <w:sz w:val="23"/>
        </w:rPr>
      </w:pPr>
    </w:p>
    <w:p>
      <w:pPr>
        <w:pStyle w:val="BodyText"/>
        <w:spacing w:line="261" w:lineRule="auto"/>
        <w:ind w:left="100" w:right="117"/>
        <w:jc w:val="both"/>
      </w:pPr>
      <w:r>
        <w:rPr>
          <w:color w:val="231F20"/>
          <w:w w:val="110"/>
        </w:rPr>
        <w:t>La crisis reciente, puede convertirse en la crisis final del neolibera- lismo si a los factores seculares de la crisis capitalista se agregan</w:t>
      </w:r>
      <w:r>
        <w:rPr>
          <w:color w:val="231F20"/>
          <w:spacing w:val="-14"/>
          <w:w w:val="110"/>
        </w:rPr>
        <w:t> </w:t>
      </w:r>
      <w:r>
        <w:rPr>
          <w:color w:val="231F20"/>
          <w:w w:val="110"/>
        </w:rPr>
        <w:t>los peculiares de esta época. Por ejemplo, esta crisis general capitalista implica una profunda crisis del paradigma energético prevaleciente, “basado en el uso irracional y depredador del combustible fósil, un recurso finito y no renovable, lo que requiere imperativamente su reemplazo” (Borón, 2005:</w:t>
      </w:r>
      <w:r>
        <w:rPr>
          <w:color w:val="231F20"/>
          <w:spacing w:val="-8"/>
          <w:w w:val="110"/>
        </w:rPr>
        <w:t> </w:t>
      </w:r>
      <w:r>
        <w:rPr>
          <w:color w:val="231F20"/>
          <w:w w:val="110"/>
        </w:rPr>
        <w:t>19).</w:t>
      </w:r>
    </w:p>
    <w:p>
      <w:pPr>
        <w:pStyle w:val="BodyText"/>
        <w:spacing w:line="261" w:lineRule="auto"/>
        <w:ind w:left="100" w:right="117" w:firstLine="240"/>
        <w:jc w:val="both"/>
      </w:pPr>
      <w:r>
        <w:rPr>
          <w:color w:val="231F20"/>
          <w:w w:val="110"/>
        </w:rPr>
        <w:t>Al</w:t>
      </w:r>
      <w:r>
        <w:rPr>
          <w:color w:val="231F20"/>
          <w:spacing w:val="-5"/>
          <w:w w:val="110"/>
        </w:rPr>
        <w:t> </w:t>
      </w:r>
      <w:r>
        <w:rPr>
          <w:color w:val="231F20"/>
          <w:w w:val="110"/>
        </w:rPr>
        <w:t>mismo</w:t>
      </w:r>
      <w:r>
        <w:rPr>
          <w:color w:val="231F20"/>
          <w:spacing w:val="-5"/>
          <w:w w:val="110"/>
        </w:rPr>
        <w:t> </w:t>
      </w:r>
      <w:r>
        <w:rPr>
          <w:color w:val="231F20"/>
          <w:w w:val="110"/>
        </w:rPr>
        <w:t>tiempo,</w:t>
      </w:r>
      <w:r>
        <w:rPr>
          <w:color w:val="231F20"/>
          <w:spacing w:val="-5"/>
          <w:w w:val="110"/>
        </w:rPr>
        <w:t> </w:t>
      </w:r>
      <w:r>
        <w:rPr>
          <w:color w:val="231F20"/>
          <w:w w:val="110"/>
        </w:rPr>
        <w:t>la</w:t>
      </w:r>
      <w:r>
        <w:rPr>
          <w:color w:val="231F20"/>
          <w:spacing w:val="-5"/>
          <w:w w:val="110"/>
        </w:rPr>
        <w:t> </w:t>
      </w:r>
      <w:r>
        <w:rPr>
          <w:color w:val="231F20"/>
          <w:w w:val="110"/>
        </w:rPr>
        <w:t>certeza</w:t>
      </w:r>
      <w:r>
        <w:rPr>
          <w:color w:val="231F20"/>
          <w:spacing w:val="-5"/>
          <w:w w:val="110"/>
        </w:rPr>
        <w:t> </w:t>
      </w:r>
      <w:r>
        <w:rPr>
          <w:color w:val="231F20"/>
          <w:w w:val="110"/>
        </w:rPr>
        <w:t>creciente</w:t>
      </w:r>
      <w:r>
        <w:rPr>
          <w:color w:val="231F20"/>
          <w:spacing w:val="-5"/>
          <w:w w:val="110"/>
        </w:rPr>
        <w:t> </w:t>
      </w:r>
      <w:r>
        <w:rPr>
          <w:color w:val="231F20"/>
          <w:w w:val="110"/>
        </w:rPr>
        <w:t>y</w:t>
      </w:r>
      <w:r>
        <w:rPr>
          <w:color w:val="231F20"/>
          <w:spacing w:val="-5"/>
          <w:w w:val="110"/>
        </w:rPr>
        <w:t> </w:t>
      </w:r>
      <w:r>
        <w:rPr>
          <w:color w:val="231F20"/>
          <w:w w:val="110"/>
        </w:rPr>
        <w:t>generalizada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catas- tróficos efectos del cambio climático, ocasionados por el insusten- table modo de producción capitalista, así como la crisis alimentaria y el aumento incesante de la pobreza y el desempleo, plantean la necesidad de un nuevo modelo que, sin duda, puede seguir dos vías, con diferentes y múltiples variantes: la capitalista, que dependiendo de la correlación de fuerzas entre los monopolios podría   </w:t>
      </w:r>
      <w:r>
        <w:rPr>
          <w:color w:val="231F20"/>
          <w:spacing w:val="9"/>
          <w:w w:val="110"/>
        </w:rPr>
        <w:t> </w:t>
      </w:r>
      <w:r>
        <w:rPr>
          <w:color w:val="231F20"/>
          <w:w w:val="110"/>
        </w:rPr>
        <w:t>significar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una relación distinta entre el Estado y el mercado, relación que se traduciría en un nuevo ciclo de desarrollo social apuntalado por una nueva</w:t>
      </w:r>
      <w:r>
        <w:rPr>
          <w:color w:val="231F20"/>
          <w:spacing w:val="-11"/>
          <w:w w:val="110"/>
        </w:rPr>
        <w:t> </w:t>
      </w:r>
      <w:r>
        <w:rPr>
          <w:color w:val="231F20"/>
          <w:w w:val="110"/>
        </w:rPr>
        <w:t>economía,</w:t>
      </w:r>
      <w:r>
        <w:rPr>
          <w:color w:val="231F20"/>
          <w:spacing w:val="-11"/>
          <w:w w:val="110"/>
        </w:rPr>
        <w:t> </w:t>
      </w:r>
      <w:r>
        <w:rPr>
          <w:color w:val="231F20"/>
          <w:w w:val="110"/>
        </w:rPr>
        <w:t>cuya</w:t>
      </w:r>
      <w:r>
        <w:rPr>
          <w:color w:val="231F20"/>
          <w:spacing w:val="-11"/>
          <w:w w:val="110"/>
        </w:rPr>
        <w:t> </w:t>
      </w:r>
      <w:r>
        <w:rPr>
          <w:color w:val="231F20"/>
          <w:w w:val="110"/>
        </w:rPr>
        <w:t>expansión</w:t>
      </w:r>
      <w:r>
        <w:rPr>
          <w:color w:val="231F20"/>
          <w:spacing w:val="-11"/>
          <w:w w:val="110"/>
        </w:rPr>
        <w:t> </w:t>
      </w:r>
      <w:r>
        <w:rPr>
          <w:color w:val="231F20"/>
          <w:w w:val="110"/>
        </w:rPr>
        <w:t>se</w:t>
      </w:r>
      <w:r>
        <w:rPr>
          <w:color w:val="231F20"/>
          <w:spacing w:val="-11"/>
          <w:w w:val="110"/>
        </w:rPr>
        <w:t> </w:t>
      </w:r>
      <w:r>
        <w:rPr>
          <w:color w:val="231F20"/>
          <w:w w:val="110"/>
        </w:rPr>
        <w:t>sustente</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mercado</w:t>
      </w:r>
      <w:r>
        <w:rPr>
          <w:color w:val="231F20"/>
          <w:spacing w:val="-11"/>
          <w:w w:val="110"/>
        </w:rPr>
        <w:t> </w:t>
      </w:r>
      <w:r>
        <w:rPr>
          <w:color w:val="231F20"/>
          <w:w w:val="110"/>
        </w:rPr>
        <w:t>interno,</w:t>
      </w:r>
      <w:r>
        <w:rPr>
          <w:color w:val="231F20"/>
          <w:spacing w:val="-11"/>
          <w:w w:val="110"/>
        </w:rPr>
        <w:t> </w:t>
      </w:r>
      <w:r>
        <w:rPr>
          <w:color w:val="231F20"/>
          <w:w w:val="110"/>
        </w:rPr>
        <w:t>o se refuerza la modalidad neoliberal haciendo los cambios</w:t>
      </w:r>
      <w:r>
        <w:rPr>
          <w:color w:val="231F20"/>
          <w:spacing w:val="-15"/>
          <w:w w:val="110"/>
        </w:rPr>
        <w:t> </w:t>
      </w:r>
      <w:r>
        <w:rPr>
          <w:color w:val="231F20"/>
          <w:w w:val="110"/>
        </w:rPr>
        <w:t>necesarios para que todo siga igual; la otra posibilidad, es en aquellas naciones donde el neoliberalismo se bate en retirada y seguir la vía no capita- lista que, con múltiples formas y modos, supere la irracionalidad de la economía de mercado y permita construir una sociedad donde los recursos</w:t>
      </w:r>
      <w:r>
        <w:rPr>
          <w:color w:val="231F20"/>
          <w:spacing w:val="-12"/>
          <w:w w:val="110"/>
        </w:rPr>
        <w:t> </w:t>
      </w:r>
      <w:r>
        <w:rPr>
          <w:color w:val="231F20"/>
          <w:w w:val="110"/>
        </w:rPr>
        <w:t>naturales</w:t>
      </w:r>
      <w:r>
        <w:rPr>
          <w:color w:val="231F20"/>
          <w:spacing w:val="-12"/>
          <w:w w:val="110"/>
        </w:rPr>
        <w:t> </w:t>
      </w:r>
      <w:r>
        <w:rPr>
          <w:color w:val="231F20"/>
          <w:w w:val="110"/>
        </w:rPr>
        <w:t>y</w:t>
      </w:r>
      <w:r>
        <w:rPr>
          <w:color w:val="231F20"/>
          <w:spacing w:val="-12"/>
          <w:w w:val="110"/>
        </w:rPr>
        <w:t> </w:t>
      </w:r>
      <w:r>
        <w:rPr>
          <w:color w:val="231F20"/>
          <w:w w:val="110"/>
        </w:rPr>
        <w:t>los</w:t>
      </w:r>
      <w:r>
        <w:rPr>
          <w:color w:val="231F20"/>
          <w:spacing w:val="-12"/>
          <w:w w:val="110"/>
        </w:rPr>
        <w:t> </w:t>
      </w:r>
      <w:r>
        <w:rPr>
          <w:color w:val="231F20"/>
          <w:w w:val="110"/>
        </w:rPr>
        <w:t>medios</w:t>
      </w:r>
      <w:r>
        <w:rPr>
          <w:color w:val="231F20"/>
          <w:spacing w:val="-12"/>
          <w:w w:val="110"/>
        </w:rPr>
        <w:t> </w:t>
      </w:r>
      <w:r>
        <w:rPr>
          <w:color w:val="231F20"/>
          <w:w w:val="110"/>
        </w:rPr>
        <w:t>de</w:t>
      </w:r>
      <w:r>
        <w:rPr>
          <w:color w:val="231F20"/>
          <w:spacing w:val="-12"/>
          <w:w w:val="110"/>
        </w:rPr>
        <w:t> </w:t>
      </w:r>
      <w:r>
        <w:rPr>
          <w:color w:val="231F20"/>
          <w:w w:val="110"/>
        </w:rPr>
        <w:t>producción</w:t>
      </w:r>
      <w:r>
        <w:rPr>
          <w:color w:val="231F20"/>
          <w:spacing w:val="-12"/>
          <w:w w:val="110"/>
        </w:rPr>
        <w:t> </w:t>
      </w:r>
      <w:r>
        <w:rPr>
          <w:color w:val="231F20"/>
          <w:w w:val="110"/>
        </w:rPr>
        <w:t>fundamentales</w:t>
      </w:r>
      <w:r>
        <w:rPr>
          <w:color w:val="231F20"/>
          <w:spacing w:val="-12"/>
          <w:w w:val="110"/>
        </w:rPr>
        <w:t> </w:t>
      </w:r>
      <w:r>
        <w:rPr>
          <w:color w:val="231F20"/>
          <w:w w:val="110"/>
        </w:rPr>
        <w:t>y</w:t>
      </w:r>
      <w:r>
        <w:rPr>
          <w:color w:val="231F20"/>
          <w:spacing w:val="-12"/>
          <w:w w:val="110"/>
        </w:rPr>
        <w:t> </w:t>
      </w:r>
      <w:r>
        <w:rPr>
          <w:color w:val="231F20"/>
          <w:w w:val="110"/>
        </w:rPr>
        <w:t>estra- tégicos sean propiedad del pueblo, la democracia sea participativa y las definiciones fundamentales del camino a seguir sean determina- das colectivamente por los trabajadores en el marco de una</w:t>
      </w:r>
      <w:r>
        <w:rPr>
          <w:color w:val="231F20"/>
          <w:spacing w:val="-19"/>
          <w:w w:val="110"/>
        </w:rPr>
        <w:t> </w:t>
      </w:r>
      <w:r>
        <w:rPr>
          <w:color w:val="231F20"/>
          <w:w w:val="110"/>
        </w:rPr>
        <w:t>sociedad igualitaria e incluyente. </w:t>
      </w:r>
      <w:r>
        <w:rPr>
          <w:color w:val="231F20"/>
          <w:spacing w:val="-6"/>
          <w:w w:val="110"/>
        </w:rPr>
        <w:t>Tal </w:t>
      </w:r>
      <w:r>
        <w:rPr>
          <w:color w:val="231F20"/>
          <w:w w:val="110"/>
        </w:rPr>
        <w:t>es la contradicción principal del periodo que se abre en América</w:t>
      </w:r>
      <w:r>
        <w:rPr>
          <w:color w:val="231F20"/>
          <w:spacing w:val="32"/>
          <w:w w:val="110"/>
        </w:rPr>
        <w:t> </w:t>
      </w:r>
      <w:r>
        <w:rPr>
          <w:color w:val="231F20"/>
          <w:w w:val="110"/>
        </w:rPr>
        <w:t>Latina.</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w w:val="105"/>
          <w:sz w:val="18"/>
        </w:rPr>
        <w:t>Blanco, José, 2009, “Recesión en México”, </w:t>
      </w:r>
      <w:r>
        <w:rPr>
          <w:i/>
          <w:color w:val="231F20"/>
          <w:w w:val="105"/>
          <w:sz w:val="18"/>
        </w:rPr>
        <w:t>La Jornada</w:t>
      </w:r>
      <w:r>
        <w:rPr>
          <w:color w:val="231F20"/>
          <w:w w:val="105"/>
          <w:sz w:val="18"/>
        </w:rPr>
        <w:t>, martes 6 de enero,   </w:t>
      </w:r>
      <w:r>
        <w:rPr>
          <w:color w:val="231F20"/>
          <w:spacing w:val="47"/>
          <w:w w:val="105"/>
          <w:sz w:val="18"/>
        </w:rPr>
        <w:t> </w:t>
      </w:r>
      <w:r>
        <w:rPr>
          <w:color w:val="231F20"/>
          <w:w w:val="105"/>
          <w:sz w:val="18"/>
        </w:rPr>
        <w:t>p.</w:t>
      </w:r>
      <w:r>
        <w:rPr>
          <w:color w:val="231F20"/>
          <w:spacing w:val="17"/>
          <w:w w:val="105"/>
          <w:sz w:val="18"/>
        </w:rPr>
        <w:t> </w:t>
      </w:r>
      <w:r>
        <w:rPr>
          <w:color w:val="231F20"/>
          <w:w w:val="105"/>
          <w:sz w:val="18"/>
        </w:rPr>
        <w:t>16.</w:t>
      </w:r>
    </w:p>
    <w:p>
      <w:pPr>
        <w:spacing w:before="1"/>
        <w:ind w:left="100" w:right="25" w:firstLine="0"/>
        <w:jc w:val="left"/>
        <w:rPr>
          <w:sz w:val="18"/>
        </w:rPr>
      </w:pPr>
      <w:r>
        <w:rPr>
          <w:color w:val="231F20"/>
          <w:w w:val="105"/>
          <w:sz w:val="18"/>
        </w:rPr>
        <w:t>Borón, Atilio, 2009, “De la guerra infinita a la crisis infinita”, </w:t>
      </w:r>
      <w:r>
        <w:rPr>
          <w:i/>
          <w:color w:val="231F20"/>
          <w:w w:val="105"/>
          <w:sz w:val="18"/>
        </w:rPr>
        <w:t>Memoria</w:t>
      </w:r>
      <w:r>
        <w:rPr>
          <w:color w:val="231F20"/>
          <w:w w:val="105"/>
          <w:sz w:val="18"/>
        </w:rPr>
        <w:t>,   núm.</w:t>
      </w:r>
    </w:p>
    <w:p>
      <w:pPr>
        <w:spacing w:before="13"/>
        <w:ind w:left="340" w:right="25" w:firstLine="0"/>
        <w:jc w:val="left"/>
        <w:rPr>
          <w:sz w:val="18"/>
        </w:rPr>
      </w:pPr>
      <w:r>
        <w:rPr>
          <w:color w:val="231F20"/>
          <w:w w:val="105"/>
          <w:sz w:val="18"/>
        </w:rPr>
        <w:t>236, México, abril-julio, pp. 17-23.</w:t>
      </w:r>
    </w:p>
    <w:p>
      <w:pPr>
        <w:spacing w:line="254" w:lineRule="auto" w:before="13"/>
        <w:ind w:left="340" w:right="119" w:hanging="240"/>
        <w:jc w:val="both"/>
        <w:rPr>
          <w:sz w:val="18"/>
        </w:rPr>
      </w:pPr>
      <w:r>
        <w:rPr>
          <w:color w:val="231F20"/>
          <w:w w:val="104"/>
          <w:sz w:val="18"/>
          <w:u w:val="single" w:color="221E1F"/>
        </w:rPr>
        <w:t> </w:t>
      </w:r>
      <w:r>
        <w:rPr>
          <w:color w:val="231F20"/>
          <w:sz w:val="18"/>
          <w:u w:val="single" w:color="221E1F"/>
        </w:rPr>
        <w:t>         </w:t>
      </w:r>
      <w:r>
        <w:rPr>
          <w:color w:val="231F20"/>
          <w:sz w:val="18"/>
        </w:rPr>
        <w:t> </w:t>
      </w:r>
      <w:r>
        <w:rPr>
          <w:color w:val="231F20"/>
          <w:w w:val="105"/>
          <w:sz w:val="18"/>
        </w:rPr>
        <w:t>y Julio Gambina, 2004, “La tercera vía que no fue: reflexiones sobre</w:t>
      </w:r>
      <w:r>
        <w:rPr>
          <w:color w:val="231F20"/>
          <w:w w:val="109"/>
          <w:sz w:val="18"/>
        </w:rPr>
        <w:t> </w:t>
      </w:r>
      <w:r>
        <w:rPr>
          <w:color w:val="231F20"/>
          <w:w w:val="105"/>
          <w:sz w:val="18"/>
        </w:rPr>
        <w:t>la experiencia argentina”, en John Saxe-Fernández (coordinador), </w:t>
      </w:r>
      <w:r>
        <w:rPr>
          <w:i/>
          <w:color w:val="231F20"/>
          <w:w w:val="105"/>
          <w:sz w:val="18"/>
        </w:rPr>
        <w:t>Tercera </w:t>
      </w:r>
      <w:r>
        <w:rPr>
          <w:i/>
          <w:color w:val="231F20"/>
          <w:w w:val="105"/>
          <w:sz w:val="18"/>
        </w:rPr>
        <w:t>vía y neoliberalismo</w:t>
      </w:r>
      <w:r>
        <w:rPr>
          <w:color w:val="231F20"/>
          <w:w w:val="105"/>
          <w:sz w:val="18"/>
        </w:rPr>
        <w:t>, México, Siglo xxi Editores, pp. 129-177.</w:t>
      </w:r>
    </w:p>
    <w:p>
      <w:pPr>
        <w:spacing w:line="254" w:lineRule="auto" w:before="1"/>
        <w:ind w:left="340" w:right="119" w:hanging="240"/>
        <w:jc w:val="both"/>
        <w:rPr>
          <w:sz w:val="18"/>
        </w:rPr>
      </w:pPr>
      <w:r>
        <w:rPr>
          <w:color w:val="231F20"/>
          <w:w w:val="105"/>
          <w:sz w:val="18"/>
        </w:rPr>
        <w:t>Delgado Selley, Orlando, 2009, “Estados Unidos y su crisis económica”, </w:t>
      </w:r>
      <w:r>
        <w:rPr>
          <w:i/>
          <w:color w:val="231F20"/>
          <w:w w:val="105"/>
          <w:sz w:val="18"/>
        </w:rPr>
        <w:t>Me- </w:t>
      </w:r>
      <w:r>
        <w:rPr>
          <w:i/>
          <w:color w:val="231F20"/>
          <w:w w:val="105"/>
          <w:sz w:val="18"/>
        </w:rPr>
        <w:t>tapolítica</w:t>
      </w:r>
      <w:r>
        <w:rPr>
          <w:color w:val="231F20"/>
          <w:w w:val="105"/>
          <w:sz w:val="18"/>
        </w:rPr>
        <w:t>, vol. 12, número 63, enero-febrero, pp.   17–27.</w:t>
      </w:r>
    </w:p>
    <w:p>
      <w:pPr>
        <w:spacing w:line="254" w:lineRule="auto" w:before="1"/>
        <w:ind w:left="340" w:right="119" w:hanging="240"/>
        <w:jc w:val="both"/>
        <w:rPr>
          <w:sz w:val="18"/>
        </w:rPr>
      </w:pPr>
      <w:r>
        <w:rPr>
          <w:color w:val="231F20"/>
          <w:sz w:val="18"/>
        </w:rPr>
        <w:t>Dos Santos, Theotonio, 2004, </w:t>
      </w:r>
      <w:r>
        <w:rPr>
          <w:i/>
          <w:color w:val="231F20"/>
          <w:sz w:val="18"/>
        </w:rPr>
        <w:t>Economía mundial. La integración Latinoamerica- </w:t>
      </w:r>
      <w:r>
        <w:rPr>
          <w:i/>
          <w:color w:val="231F20"/>
          <w:sz w:val="18"/>
        </w:rPr>
        <w:t>na</w:t>
      </w:r>
      <w:r>
        <w:rPr>
          <w:color w:val="231F20"/>
          <w:sz w:val="18"/>
        </w:rPr>
        <w:t>, México, Plaza y   Janes.</w:t>
      </w:r>
    </w:p>
    <w:p>
      <w:pPr>
        <w:spacing w:line="254" w:lineRule="auto" w:before="1"/>
        <w:ind w:left="340" w:right="119" w:hanging="240"/>
        <w:jc w:val="both"/>
        <w:rPr>
          <w:sz w:val="18"/>
        </w:rPr>
      </w:pPr>
      <w:r>
        <w:rPr>
          <w:color w:val="231F20"/>
          <w:w w:val="105"/>
          <w:sz w:val="18"/>
        </w:rPr>
        <w:t>Fukuyama,</w:t>
      </w:r>
      <w:r>
        <w:rPr>
          <w:color w:val="231F20"/>
          <w:spacing w:val="-15"/>
          <w:w w:val="105"/>
          <w:sz w:val="18"/>
        </w:rPr>
        <w:t> </w:t>
      </w:r>
      <w:r>
        <w:rPr>
          <w:color w:val="231F20"/>
          <w:w w:val="105"/>
          <w:sz w:val="18"/>
        </w:rPr>
        <w:t>Francis,</w:t>
      </w:r>
      <w:r>
        <w:rPr>
          <w:color w:val="231F20"/>
          <w:spacing w:val="-15"/>
          <w:w w:val="105"/>
          <w:sz w:val="18"/>
        </w:rPr>
        <w:t> </w:t>
      </w:r>
      <w:r>
        <w:rPr>
          <w:color w:val="231F20"/>
          <w:w w:val="105"/>
          <w:sz w:val="18"/>
        </w:rPr>
        <w:t>1990,</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fin</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Historia”,</w:t>
      </w:r>
      <w:r>
        <w:rPr>
          <w:color w:val="231F20"/>
          <w:spacing w:val="-15"/>
          <w:w w:val="105"/>
          <w:sz w:val="18"/>
        </w:rPr>
        <w:t> </w:t>
      </w:r>
      <w:r>
        <w:rPr>
          <w:i/>
          <w:color w:val="231F20"/>
          <w:w w:val="105"/>
          <w:sz w:val="18"/>
        </w:rPr>
        <w:t>El</w:t>
      </w:r>
      <w:r>
        <w:rPr>
          <w:i/>
          <w:color w:val="231F20"/>
          <w:spacing w:val="-15"/>
          <w:w w:val="105"/>
          <w:sz w:val="18"/>
        </w:rPr>
        <w:t> </w:t>
      </w:r>
      <w:r>
        <w:rPr>
          <w:i/>
          <w:color w:val="231F20"/>
          <w:w w:val="105"/>
          <w:sz w:val="18"/>
        </w:rPr>
        <w:t>Gallo</w:t>
      </w:r>
      <w:r>
        <w:rPr>
          <w:i/>
          <w:color w:val="231F20"/>
          <w:spacing w:val="-15"/>
          <w:w w:val="105"/>
          <w:sz w:val="18"/>
        </w:rPr>
        <w:t> </w:t>
      </w:r>
      <w:r>
        <w:rPr>
          <w:i/>
          <w:color w:val="231F20"/>
          <w:w w:val="105"/>
          <w:sz w:val="18"/>
        </w:rPr>
        <w:t>Ilustrado</w:t>
      </w:r>
      <w:r>
        <w:rPr>
          <w:color w:val="231F20"/>
          <w:w w:val="105"/>
          <w:sz w:val="18"/>
        </w:rPr>
        <w:t>,</w:t>
      </w:r>
      <w:r>
        <w:rPr>
          <w:color w:val="231F20"/>
          <w:spacing w:val="-15"/>
          <w:w w:val="105"/>
          <w:sz w:val="18"/>
        </w:rPr>
        <w:t> </w:t>
      </w:r>
      <w:r>
        <w:rPr>
          <w:color w:val="231F20"/>
          <w:w w:val="105"/>
          <w:sz w:val="18"/>
        </w:rPr>
        <w:t>Suplemento Cultural del periódico </w:t>
      </w:r>
      <w:r>
        <w:rPr>
          <w:i/>
          <w:color w:val="231F20"/>
          <w:w w:val="105"/>
          <w:sz w:val="18"/>
        </w:rPr>
        <w:t>El Día</w:t>
      </w:r>
      <w:r>
        <w:rPr>
          <w:color w:val="231F20"/>
          <w:w w:val="105"/>
          <w:sz w:val="18"/>
        </w:rPr>
        <w:t>, México, 29 de   </w:t>
      </w:r>
      <w:r>
        <w:rPr>
          <w:color w:val="231F20"/>
          <w:spacing w:val="9"/>
          <w:w w:val="105"/>
          <w:sz w:val="18"/>
        </w:rPr>
        <w:t> </w:t>
      </w:r>
      <w:r>
        <w:rPr>
          <w:color w:val="231F20"/>
          <w:w w:val="105"/>
          <w:sz w:val="18"/>
        </w:rPr>
        <w:t>abril.</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1992/1994, </w:t>
      </w:r>
      <w:r>
        <w:rPr>
          <w:i/>
          <w:color w:val="231F20"/>
          <w:w w:val="105"/>
          <w:sz w:val="18"/>
        </w:rPr>
        <w:t>El fin de la historia y el último hombre</w:t>
      </w:r>
      <w:r>
        <w:rPr>
          <w:color w:val="231F20"/>
          <w:w w:val="105"/>
          <w:sz w:val="18"/>
        </w:rPr>
        <w:t>, España, Planeta- Agostino. La primera edición en inglés está fechada en 1992.</w:t>
      </w:r>
    </w:p>
    <w:p>
      <w:pPr>
        <w:spacing w:line="254" w:lineRule="auto" w:before="1"/>
        <w:ind w:left="340" w:right="119" w:hanging="240"/>
        <w:jc w:val="both"/>
        <w:rPr>
          <w:sz w:val="18"/>
        </w:rPr>
      </w:pPr>
      <w:r>
        <w:rPr>
          <w:color w:val="231F20"/>
          <w:w w:val="105"/>
          <w:sz w:val="18"/>
        </w:rPr>
        <w:t>Harrod, R. F., 1958, </w:t>
      </w:r>
      <w:r>
        <w:rPr>
          <w:i/>
          <w:color w:val="231F20"/>
          <w:w w:val="105"/>
          <w:sz w:val="18"/>
        </w:rPr>
        <w:t>La vida de John Maynard Keynes</w:t>
      </w:r>
      <w:r>
        <w:rPr>
          <w:color w:val="231F20"/>
          <w:w w:val="105"/>
          <w:sz w:val="18"/>
        </w:rPr>
        <w:t>, Fondo de Cultura Eco- nómica, México.</w:t>
      </w:r>
    </w:p>
    <w:p>
      <w:pPr>
        <w:spacing w:line="254" w:lineRule="auto" w:before="1"/>
        <w:ind w:left="340" w:right="117" w:hanging="240"/>
        <w:jc w:val="both"/>
        <w:rPr>
          <w:sz w:val="18"/>
        </w:rPr>
      </w:pPr>
      <w:r>
        <w:rPr>
          <w:color w:val="231F20"/>
          <w:w w:val="105"/>
          <w:sz w:val="18"/>
        </w:rPr>
        <w:t>Krugman, Paul, 2008, “El momento de la verdad”</w:t>
      </w:r>
      <w:r>
        <w:rPr>
          <w:i/>
          <w:color w:val="231F20"/>
          <w:w w:val="105"/>
          <w:sz w:val="18"/>
        </w:rPr>
        <w:t>, El País, </w:t>
      </w:r>
      <w:r>
        <w:rPr>
          <w:color w:val="231F20"/>
          <w:w w:val="105"/>
          <w:sz w:val="18"/>
        </w:rPr>
        <w:t>Madrid, España, </w:t>
      </w:r>
      <w:r>
        <w:rPr>
          <w:color w:val="231F20"/>
          <w:spacing w:val="47"/>
          <w:w w:val="105"/>
          <w:sz w:val="18"/>
        </w:rPr>
        <w:t> </w:t>
      </w:r>
      <w:r>
        <w:rPr>
          <w:color w:val="231F20"/>
          <w:w w:val="105"/>
          <w:sz w:val="18"/>
        </w:rPr>
        <w:t>12  de</w:t>
      </w:r>
      <w:r>
        <w:rPr>
          <w:color w:val="231F20"/>
          <w:spacing w:val="29"/>
          <w:w w:val="105"/>
          <w:sz w:val="18"/>
        </w:rPr>
        <w:t> </w:t>
      </w:r>
      <w:r>
        <w:rPr>
          <w:color w:val="231F20"/>
          <w:w w:val="105"/>
          <w:sz w:val="18"/>
        </w:rPr>
        <w:t>octubre.</w:t>
      </w:r>
    </w:p>
    <w:p>
      <w:pPr>
        <w:spacing w:line="254" w:lineRule="auto" w:before="1"/>
        <w:ind w:left="340" w:right="118" w:hanging="240"/>
        <w:jc w:val="both"/>
        <w:rPr>
          <w:sz w:val="18"/>
        </w:rPr>
      </w:pPr>
      <w:r>
        <w:rPr>
          <w:color w:val="231F20"/>
          <w:w w:val="105"/>
          <w:sz w:val="18"/>
        </w:rPr>
        <w:t>Marx, Carlos, 1867/1968, </w:t>
      </w:r>
      <w:r>
        <w:rPr>
          <w:i/>
          <w:color w:val="231F20"/>
          <w:w w:val="105"/>
          <w:sz w:val="18"/>
        </w:rPr>
        <w:t>El Capital, Crítica de la Economía Política</w:t>
      </w:r>
      <w:r>
        <w:rPr>
          <w:color w:val="231F20"/>
          <w:w w:val="105"/>
          <w:sz w:val="18"/>
        </w:rPr>
        <w:t>,</w:t>
      </w:r>
      <w:r>
        <w:rPr>
          <w:color w:val="231F20"/>
          <w:spacing w:val="-6"/>
          <w:w w:val="105"/>
          <w:sz w:val="18"/>
        </w:rPr>
        <w:t> </w:t>
      </w:r>
      <w:r>
        <w:rPr>
          <w:color w:val="231F20"/>
          <w:w w:val="105"/>
          <w:sz w:val="18"/>
        </w:rPr>
        <w:t>México, Fondo  de  Cultura  Económica,  5a.</w:t>
      </w:r>
      <w:r>
        <w:rPr>
          <w:color w:val="231F20"/>
          <w:spacing w:val="-16"/>
          <w:w w:val="105"/>
          <w:sz w:val="18"/>
        </w:rPr>
        <w:t> </w:t>
      </w:r>
      <w:r>
        <w:rPr>
          <w:color w:val="231F20"/>
          <w:w w:val="105"/>
          <w:sz w:val="18"/>
        </w:rPr>
        <w:t>ed.</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w:t>
      </w:r>
      <w:r>
        <w:rPr>
          <w:color w:val="231F20"/>
          <w:spacing w:val="-18"/>
          <w:w w:val="105"/>
          <w:sz w:val="18"/>
        </w:rPr>
        <w:t> </w:t>
      </w:r>
      <w:r>
        <w:rPr>
          <w:color w:val="231F20"/>
          <w:w w:val="105"/>
          <w:sz w:val="18"/>
        </w:rPr>
        <w:t>1980,</w:t>
      </w:r>
      <w:r>
        <w:rPr>
          <w:color w:val="231F20"/>
          <w:spacing w:val="-18"/>
          <w:w w:val="105"/>
          <w:sz w:val="18"/>
        </w:rPr>
        <w:t> </w:t>
      </w:r>
      <w:r>
        <w:rPr>
          <w:i/>
          <w:color w:val="231F20"/>
          <w:spacing w:val="-3"/>
          <w:w w:val="105"/>
          <w:sz w:val="18"/>
        </w:rPr>
        <w:t>Teorías</w:t>
      </w:r>
      <w:r>
        <w:rPr>
          <w:i/>
          <w:color w:val="231F20"/>
          <w:spacing w:val="-18"/>
          <w:w w:val="105"/>
          <w:sz w:val="18"/>
        </w:rPr>
        <w:t> </w:t>
      </w:r>
      <w:r>
        <w:rPr>
          <w:i/>
          <w:color w:val="231F20"/>
          <w:w w:val="105"/>
          <w:sz w:val="18"/>
        </w:rPr>
        <w:t>sobre</w:t>
      </w:r>
      <w:r>
        <w:rPr>
          <w:i/>
          <w:color w:val="231F20"/>
          <w:spacing w:val="-18"/>
          <w:w w:val="105"/>
          <w:sz w:val="18"/>
        </w:rPr>
        <w:t> </w:t>
      </w:r>
      <w:r>
        <w:rPr>
          <w:i/>
          <w:color w:val="231F20"/>
          <w:w w:val="105"/>
          <w:sz w:val="18"/>
        </w:rPr>
        <w:t>la</w:t>
      </w:r>
      <w:r>
        <w:rPr>
          <w:i/>
          <w:color w:val="231F20"/>
          <w:spacing w:val="-18"/>
          <w:w w:val="105"/>
          <w:sz w:val="18"/>
        </w:rPr>
        <w:t> </w:t>
      </w:r>
      <w:r>
        <w:rPr>
          <w:i/>
          <w:color w:val="231F20"/>
          <w:w w:val="105"/>
          <w:sz w:val="18"/>
        </w:rPr>
        <w:t>plusvalía,</w:t>
      </w:r>
      <w:r>
        <w:rPr>
          <w:i/>
          <w:color w:val="231F20"/>
          <w:spacing w:val="-18"/>
          <w:w w:val="105"/>
          <w:sz w:val="18"/>
        </w:rPr>
        <w:t> </w:t>
      </w:r>
      <w:r>
        <w:rPr>
          <w:color w:val="231F20"/>
          <w:w w:val="105"/>
          <w:sz w:val="18"/>
        </w:rPr>
        <w:t>en</w:t>
      </w:r>
      <w:r>
        <w:rPr>
          <w:color w:val="231F20"/>
          <w:spacing w:val="-18"/>
          <w:w w:val="105"/>
          <w:sz w:val="18"/>
        </w:rPr>
        <w:t> </w:t>
      </w:r>
      <w:r>
        <w:rPr>
          <w:color w:val="231F20"/>
          <w:w w:val="105"/>
          <w:sz w:val="18"/>
        </w:rPr>
        <w:t>Carlos</w:t>
      </w:r>
      <w:r>
        <w:rPr>
          <w:color w:val="231F20"/>
          <w:spacing w:val="-18"/>
          <w:w w:val="105"/>
          <w:sz w:val="18"/>
        </w:rPr>
        <w:t> </w:t>
      </w:r>
      <w:r>
        <w:rPr>
          <w:color w:val="231F20"/>
          <w:w w:val="105"/>
          <w:sz w:val="18"/>
        </w:rPr>
        <w:t>Marx</w:t>
      </w:r>
      <w:r>
        <w:rPr>
          <w:color w:val="231F20"/>
          <w:spacing w:val="-18"/>
          <w:w w:val="105"/>
          <w:sz w:val="18"/>
        </w:rPr>
        <w:t> </w:t>
      </w:r>
      <w:r>
        <w:rPr>
          <w:color w:val="231F20"/>
          <w:w w:val="105"/>
          <w:sz w:val="18"/>
        </w:rPr>
        <w:t>y</w:t>
      </w:r>
      <w:r>
        <w:rPr>
          <w:color w:val="231F20"/>
          <w:spacing w:val="-18"/>
          <w:w w:val="105"/>
          <w:sz w:val="18"/>
        </w:rPr>
        <w:t> </w:t>
      </w:r>
      <w:r>
        <w:rPr>
          <w:color w:val="231F20"/>
          <w:w w:val="105"/>
          <w:sz w:val="18"/>
        </w:rPr>
        <w:t>Federico</w:t>
      </w:r>
      <w:r>
        <w:rPr>
          <w:color w:val="231F20"/>
          <w:spacing w:val="-18"/>
          <w:w w:val="105"/>
          <w:sz w:val="18"/>
        </w:rPr>
        <w:t> </w:t>
      </w:r>
      <w:r>
        <w:rPr>
          <w:color w:val="231F20"/>
          <w:w w:val="105"/>
          <w:sz w:val="18"/>
        </w:rPr>
        <w:t>Engels,</w:t>
      </w:r>
      <w:r>
        <w:rPr>
          <w:color w:val="231F20"/>
          <w:spacing w:val="-18"/>
          <w:w w:val="105"/>
          <w:sz w:val="18"/>
        </w:rPr>
        <w:t> </w:t>
      </w:r>
      <w:r>
        <w:rPr>
          <w:color w:val="231F20"/>
          <w:w w:val="105"/>
          <w:sz w:val="18"/>
        </w:rPr>
        <w:t>Obras fundamentales,</w:t>
      </w:r>
      <w:r>
        <w:rPr>
          <w:color w:val="231F20"/>
          <w:spacing w:val="34"/>
          <w:w w:val="105"/>
          <w:sz w:val="18"/>
        </w:rPr>
        <w:t> </w:t>
      </w:r>
      <w:r>
        <w:rPr>
          <w:color w:val="231F20"/>
          <w:w w:val="105"/>
          <w:sz w:val="18"/>
        </w:rPr>
        <w:t>t.</w:t>
      </w:r>
      <w:r>
        <w:rPr>
          <w:color w:val="231F20"/>
          <w:spacing w:val="34"/>
          <w:w w:val="105"/>
          <w:sz w:val="18"/>
        </w:rPr>
        <w:t> </w:t>
      </w:r>
      <w:r>
        <w:rPr>
          <w:color w:val="231F20"/>
          <w:w w:val="105"/>
          <w:sz w:val="18"/>
        </w:rPr>
        <w:t>13,</w:t>
      </w:r>
      <w:r>
        <w:rPr>
          <w:color w:val="231F20"/>
          <w:spacing w:val="34"/>
          <w:w w:val="105"/>
          <w:sz w:val="18"/>
        </w:rPr>
        <w:t> </w:t>
      </w:r>
      <w:r>
        <w:rPr>
          <w:color w:val="231F20"/>
          <w:w w:val="105"/>
          <w:sz w:val="18"/>
        </w:rPr>
        <w:t>México,</w:t>
      </w:r>
      <w:r>
        <w:rPr>
          <w:color w:val="231F20"/>
          <w:spacing w:val="34"/>
          <w:w w:val="105"/>
          <w:sz w:val="18"/>
        </w:rPr>
        <w:t> </w:t>
      </w:r>
      <w:r>
        <w:rPr>
          <w:color w:val="231F20"/>
          <w:w w:val="105"/>
          <w:sz w:val="18"/>
        </w:rPr>
        <w:t>Fondo</w:t>
      </w:r>
      <w:r>
        <w:rPr>
          <w:color w:val="231F20"/>
          <w:spacing w:val="34"/>
          <w:w w:val="105"/>
          <w:sz w:val="18"/>
        </w:rPr>
        <w:t> </w:t>
      </w:r>
      <w:r>
        <w:rPr>
          <w:color w:val="231F20"/>
          <w:w w:val="105"/>
          <w:sz w:val="18"/>
        </w:rPr>
        <w:t>de</w:t>
      </w:r>
      <w:r>
        <w:rPr>
          <w:color w:val="231F20"/>
          <w:spacing w:val="34"/>
          <w:w w:val="105"/>
          <w:sz w:val="18"/>
        </w:rPr>
        <w:t> </w:t>
      </w:r>
      <w:r>
        <w:rPr>
          <w:color w:val="231F20"/>
          <w:w w:val="105"/>
          <w:sz w:val="18"/>
        </w:rPr>
        <w:t>Cultura</w:t>
      </w:r>
      <w:r>
        <w:rPr>
          <w:color w:val="231F20"/>
          <w:spacing w:val="34"/>
          <w:w w:val="105"/>
          <w:sz w:val="18"/>
        </w:rPr>
        <w:t> </w:t>
      </w:r>
      <w:r>
        <w:rPr>
          <w:color w:val="231F20"/>
          <w:w w:val="105"/>
          <w:sz w:val="18"/>
        </w:rPr>
        <w:t>Económica.</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1859/1968, “Prólogo a la contribución a la crítica de la economía </w:t>
      </w:r>
      <w:r>
        <w:rPr>
          <w:color w:val="231F20"/>
          <w:sz w:val="18"/>
        </w:rPr>
        <w:t>política”,</w:t>
      </w:r>
      <w:r>
        <w:rPr>
          <w:color w:val="231F20"/>
          <w:spacing w:val="-13"/>
          <w:sz w:val="18"/>
        </w:rPr>
        <w:t> </w:t>
      </w:r>
      <w:r>
        <w:rPr>
          <w:color w:val="231F20"/>
          <w:sz w:val="18"/>
        </w:rPr>
        <w:t>en</w:t>
      </w:r>
      <w:r>
        <w:rPr>
          <w:color w:val="231F20"/>
          <w:spacing w:val="-13"/>
          <w:sz w:val="18"/>
        </w:rPr>
        <w:t> </w:t>
      </w:r>
      <w:r>
        <w:rPr>
          <w:color w:val="231F20"/>
          <w:sz w:val="18"/>
        </w:rPr>
        <w:t>Karl</w:t>
      </w:r>
      <w:r>
        <w:rPr>
          <w:color w:val="231F20"/>
          <w:spacing w:val="-13"/>
          <w:sz w:val="18"/>
        </w:rPr>
        <w:t> </w:t>
      </w:r>
      <w:r>
        <w:rPr>
          <w:color w:val="231F20"/>
          <w:sz w:val="18"/>
        </w:rPr>
        <w:t>Marx,</w:t>
      </w:r>
      <w:r>
        <w:rPr>
          <w:color w:val="231F20"/>
          <w:spacing w:val="-13"/>
          <w:sz w:val="18"/>
        </w:rPr>
        <w:t> </w:t>
      </w:r>
      <w:r>
        <w:rPr>
          <w:i/>
          <w:color w:val="231F20"/>
          <w:sz w:val="18"/>
        </w:rPr>
        <w:t>Introducción</w:t>
      </w:r>
      <w:r>
        <w:rPr>
          <w:i/>
          <w:color w:val="231F20"/>
          <w:spacing w:val="-13"/>
          <w:sz w:val="18"/>
        </w:rPr>
        <w:t> </w:t>
      </w:r>
      <w:r>
        <w:rPr>
          <w:i/>
          <w:color w:val="231F20"/>
          <w:sz w:val="18"/>
        </w:rPr>
        <w:t>general</w:t>
      </w:r>
      <w:r>
        <w:rPr>
          <w:i/>
          <w:color w:val="231F20"/>
          <w:spacing w:val="-13"/>
          <w:sz w:val="18"/>
        </w:rPr>
        <w:t> </w:t>
      </w:r>
      <w:r>
        <w:rPr>
          <w:i/>
          <w:color w:val="231F20"/>
          <w:sz w:val="18"/>
        </w:rPr>
        <w:t>a</w:t>
      </w:r>
      <w:r>
        <w:rPr>
          <w:i/>
          <w:color w:val="231F20"/>
          <w:spacing w:val="-13"/>
          <w:sz w:val="18"/>
        </w:rPr>
        <w:t> </w:t>
      </w:r>
      <w:r>
        <w:rPr>
          <w:i/>
          <w:color w:val="231F20"/>
          <w:sz w:val="18"/>
        </w:rPr>
        <w:t>la</w:t>
      </w:r>
      <w:r>
        <w:rPr>
          <w:i/>
          <w:color w:val="231F20"/>
          <w:spacing w:val="-13"/>
          <w:sz w:val="18"/>
        </w:rPr>
        <w:t> </w:t>
      </w:r>
      <w:r>
        <w:rPr>
          <w:i/>
          <w:color w:val="231F20"/>
          <w:sz w:val="18"/>
        </w:rPr>
        <w:t>crítica</w:t>
      </w:r>
      <w:r>
        <w:rPr>
          <w:i/>
          <w:color w:val="231F20"/>
          <w:spacing w:val="-13"/>
          <w:sz w:val="18"/>
        </w:rPr>
        <w:t> </w:t>
      </w:r>
      <w:r>
        <w:rPr>
          <w:i/>
          <w:color w:val="231F20"/>
          <w:sz w:val="18"/>
        </w:rPr>
        <w:t>de</w:t>
      </w:r>
      <w:r>
        <w:rPr>
          <w:i/>
          <w:color w:val="231F20"/>
          <w:spacing w:val="-13"/>
          <w:sz w:val="18"/>
        </w:rPr>
        <w:t> </w:t>
      </w:r>
      <w:r>
        <w:rPr>
          <w:i/>
          <w:color w:val="231F20"/>
          <w:sz w:val="18"/>
        </w:rPr>
        <w:t>la</w:t>
      </w:r>
      <w:r>
        <w:rPr>
          <w:i/>
          <w:color w:val="231F20"/>
          <w:spacing w:val="-13"/>
          <w:sz w:val="18"/>
        </w:rPr>
        <w:t> </w:t>
      </w:r>
      <w:r>
        <w:rPr>
          <w:i/>
          <w:color w:val="231F20"/>
          <w:sz w:val="18"/>
        </w:rPr>
        <w:t>economía</w:t>
      </w:r>
      <w:r>
        <w:rPr>
          <w:i/>
          <w:color w:val="231F20"/>
          <w:spacing w:val="-13"/>
          <w:sz w:val="18"/>
        </w:rPr>
        <w:t> </w:t>
      </w:r>
      <w:r>
        <w:rPr>
          <w:i/>
          <w:color w:val="231F20"/>
          <w:sz w:val="18"/>
        </w:rPr>
        <w:t>política, </w:t>
      </w:r>
      <w:r>
        <w:rPr>
          <w:color w:val="231F20"/>
          <w:w w:val="105"/>
          <w:sz w:val="18"/>
        </w:rPr>
        <w:t>México</w:t>
      </w:r>
      <w:r>
        <w:rPr>
          <w:i/>
          <w:color w:val="231F20"/>
          <w:w w:val="105"/>
          <w:sz w:val="18"/>
        </w:rPr>
        <w:t>, </w:t>
      </w:r>
      <w:r>
        <w:rPr>
          <w:color w:val="231F20"/>
          <w:w w:val="105"/>
          <w:sz w:val="18"/>
        </w:rPr>
        <w:t>Siglo xxi Editores, pp.  </w:t>
      </w:r>
      <w:r>
        <w:rPr>
          <w:color w:val="231F20"/>
          <w:spacing w:val="5"/>
          <w:w w:val="105"/>
          <w:sz w:val="18"/>
        </w:rPr>
        <w:t> </w:t>
      </w:r>
      <w:r>
        <w:rPr>
          <w:color w:val="231F20"/>
          <w:w w:val="105"/>
          <w:sz w:val="18"/>
        </w:rPr>
        <w:t>65-69.</w:t>
      </w:r>
    </w:p>
    <w:p>
      <w:pPr>
        <w:spacing w:line="254" w:lineRule="auto" w:before="1"/>
        <w:ind w:left="340" w:right="119" w:hanging="240"/>
        <w:jc w:val="both"/>
        <w:rPr>
          <w:sz w:val="18"/>
        </w:rPr>
      </w:pPr>
      <w:r>
        <w:rPr>
          <w:color w:val="231F20"/>
          <w:w w:val="105"/>
          <w:sz w:val="18"/>
        </w:rPr>
        <w:t>Monereo Pérez, Manuel, 1995, “La izquierda europea: entre el estancamien-   to y la renovación”, en Dilla, H., M. Monereo y J. Valdés Paz (coords.), </w:t>
      </w:r>
      <w:r>
        <w:rPr>
          <w:i/>
          <w:color w:val="231F20"/>
          <w:w w:val="105"/>
          <w:sz w:val="18"/>
        </w:rPr>
        <w:t>Alternativas</w:t>
      </w:r>
      <w:r>
        <w:rPr>
          <w:i/>
          <w:color w:val="231F20"/>
          <w:spacing w:val="-25"/>
          <w:w w:val="105"/>
          <w:sz w:val="18"/>
        </w:rPr>
        <w:t> </w:t>
      </w:r>
      <w:r>
        <w:rPr>
          <w:i/>
          <w:color w:val="231F20"/>
          <w:w w:val="105"/>
          <w:sz w:val="18"/>
        </w:rPr>
        <w:t>de</w:t>
      </w:r>
      <w:r>
        <w:rPr>
          <w:i/>
          <w:color w:val="231F20"/>
          <w:spacing w:val="-25"/>
          <w:w w:val="105"/>
          <w:sz w:val="18"/>
        </w:rPr>
        <w:t> </w:t>
      </w:r>
      <w:r>
        <w:rPr>
          <w:i/>
          <w:color w:val="231F20"/>
          <w:w w:val="105"/>
          <w:sz w:val="18"/>
        </w:rPr>
        <w:t>izquierda</w:t>
      </w:r>
      <w:r>
        <w:rPr>
          <w:i/>
          <w:color w:val="231F20"/>
          <w:spacing w:val="-25"/>
          <w:w w:val="105"/>
          <w:sz w:val="18"/>
        </w:rPr>
        <w:t> </w:t>
      </w:r>
      <w:r>
        <w:rPr>
          <w:i/>
          <w:color w:val="231F20"/>
          <w:w w:val="105"/>
          <w:sz w:val="18"/>
        </w:rPr>
        <w:t>al</w:t>
      </w:r>
      <w:r>
        <w:rPr>
          <w:i/>
          <w:color w:val="231F20"/>
          <w:spacing w:val="-25"/>
          <w:w w:val="105"/>
          <w:sz w:val="18"/>
        </w:rPr>
        <w:t> </w:t>
      </w:r>
      <w:r>
        <w:rPr>
          <w:i/>
          <w:color w:val="231F20"/>
          <w:w w:val="105"/>
          <w:sz w:val="18"/>
        </w:rPr>
        <w:t>neoliberalismo</w:t>
      </w:r>
      <w:r>
        <w:rPr>
          <w:color w:val="231F20"/>
          <w:w w:val="105"/>
          <w:sz w:val="18"/>
        </w:rPr>
        <w:t>,</w:t>
      </w:r>
      <w:r>
        <w:rPr>
          <w:color w:val="231F20"/>
          <w:spacing w:val="-25"/>
          <w:w w:val="105"/>
          <w:sz w:val="18"/>
        </w:rPr>
        <w:t> </w:t>
      </w:r>
      <w:r>
        <w:rPr>
          <w:color w:val="231F20"/>
          <w:w w:val="105"/>
          <w:sz w:val="18"/>
        </w:rPr>
        <w:t>España,</w:t>
      </w:r>
      <w:r>
        <w:rPr>
          <w:color w:val="231F20"/>
          <w:spacing w:val="-25"/>
          <w:w w:val="105"/>
          <w:sz w:val="18"/>
        </w:rPr>
        <w:t> </w:t>
      </w:r>
      <w:r>
        <w:rPr>
          <w:color w:val="231F20"/>
          <w:w w:val="105"/>
          <w:sz w:val="18"/>
        </w:rPr>
        <w:t>Ediciones</w:t>
      </w:r>
      <w:r>
        <w:rPr>
          <w:color w:val="231F20"/>
          <w:spacing w:val="-25"/>
          <w:w w:val="105"/>
          <w:sz w:val="18"/>
        </w:rPr>
        <w:t> </w:t>
      </w:r>
      <w:r>
        <w:rPr>
          <w:color w:val="231F20"/>
          <w:w w:val="105"/>
          <w:sz w:val="18"/>
        </w:rPr>
        <w:t>cea,</w:t>
      </w:r>
      <w:r>
        <w:rPr>
          <w:color w:val="231F20"/>
          <w:spacing w:val="-25"/>
          <w:w w:val="105"/>
          <w:sz w:val="18"/>
        </w:rPr>
        <w:t> </w:t>
      </w:r>
      <w:r>
        <w:rPr>
          <w:color w:val="231F20"/>
          <w:w w:val="105"/>
          <w:sz w:val="18"/>
        </w:rPr>
        <w:t>Fundación</w:t>
      </w:r>
      <w:r>
        <w:rPr>
          <w:color w:val="231F20"/>
          <w:w w:val="110"/>
          <w:sz w:val="18"/>
        </w:rPr>
        <w:t> </w:t>
      </w:r>
      <w:r>
        <w:rPr>
          <w:color w:val="231F20"/>
          <w:w w:val="105"/>
          <w:sz w:val="18"/>
        </w:rPr>
        <w:t>de Investigaciones Marxistas, pp. </w:t>
      </w:r>
      <w:r>
        <w:rPr>
          <w:color w:val="231F20"/>
          <w:spacing w:val="9"/>
          <w:w w:val="105"/>
          <w:sz w:val="18"/>
        </w:rPr>
        <w:t> </w:t>
      </w:r>
      <w:r>
        <w:rPr>
          <w:color w:val="231F20"/>
          <w:w w:val="105"/>
          <w:sz w:val="18"/>
        </w:rPr>
        <w:t>15-29.</w:t>
      </w:r>
    </w:p>
    <w:p>
      <w:pPr>
        <w:spacing w:line="254" w:lineRule="auto" w:before="1"/>
        <w:ind w:left="340" w:right="119" w:hanging="240"/>
        <w:jc w:val="both"/>
        <w:rPr>
          <w:sz w:val="18"/>
        </w:rPr>
      </w:pPr>
      <w:r>
        <w:rPr>
          <w:color w:val="231F20"/>
          <w:w w:val="105"/>
          <w:sz w:val="18"/>
        </w:rPr>
        <w:t>Osorio, Jaime, 1995, “Neoliberalismo y globalización: notas para una demar- cación de fronteras y de políticas alternativas”, en Dilla, H., M. Monereo   y</w:t>
      </w:r>
    </w:p>
    <w:p>
      <w:pPr>
        <w:spacing w:line="254" w:lineRule="auto" w:before="1"/>
        <w:ind w:left="340" w:right="109" w:firstLine="0"/>
        <w:jc w:val="left"/>
        <w:rPr>
          <w:sz w:val="18"/>
        </w:rPr>
      </w:pPr>
      <w:r>
        <w:rPr>
          <w:color w:val="231F20"/>
          <w:w w:val="105"/>
          <w:sz w:val="18"/>
        </w:rPr>
        <w:t>J.</w:t>
      </w:r>
      <w:r>
        <w:rPr>
          <w:color w:val="231F20"/>
          <w:spacing w:val="-23"/>
          <w:w w:val="105"/>
          <w:sz w:val="18"/>
        </w:rPr>
        <w:t> </w:t>
      </w:r>
      <w:r>
        <w:rPr>
          <w:color w:val="231F20"/>
          <w:w w:val="105"/>
          <w:sz w:val="18"/>
        </w:rPr>
        <w:t>Valdés</w:t>
      </w:r>
      <w:r>
        <w:rPr>
          <w:color w:val="231F20"/>
          <w:spacing w:val="-23"/>
          <w:w w:val="105"/>
          <w:sz w:val="18"/>
        </w:rPr>
        <w:t> </w:t>
      </w:r>
      <w:r>
        <w:rPr>
          <w:color w:val="231F20"/>
          <w:w w:val="105"/>
          <w:sz w:val="18"/>
        </w:rPr>
        <w:t>Paz</w:t>
      </w:r>
      <w:r>
        <w:rPr>
          <w:color w:val="231F20"/>
          <w:spacing w:val="-23"/>
          <w:w w:val="105"/>
          <w:sz w:val="18"/>
        </w:rPr>
        <w:t> </w:t>
      </w:r>
      <w:r>
        <w:rPr>
          <w:color w:val="231F20"/>
          <w:w w:val="105"/>
          <w:sz w:val="18"/>
        </w:rPr>
        <w:t>(coords.),</w:t>
      </w:r>
      <w:r>
        <w:rPr>
          <w:color w:val="231F20"/>
          <w:spacing w:val="-23"/>
          <w:w w:val="105"/>
          <w:sz w:val="18"/>
        </w:rPr>
        <w:t> </w:t>
      </w:r>
      <w:r>
        <w:rPr>
          <w:i/>
          <w:color w:val="231F20"/>
          <w:w w:val="105"/>
          <w:sz w:val="18"/>
        </w:rPr>
        <w:t>Alternativas</w:t>
      </w:r>
      <w:r>
        <w:rPr>
          <w:i/>
          <w:color w:val="231F20"/>
          <w:spacing w:val="-23"/>
          <w:w w:val="105"/>
          <w:sz w:val="18"/>
        </w:rPr>
        <w:t> </w:t>
      </w:r>
      <w:r>
        <w:rPr>
          <w:i/>
          <w:color w:val="231F20"/>
          <w:w w:val="105"/>
          <w:sz w:val="18"/>
        </w:rPr>
        <w:t>de</w:t>
      </w:r>
      <w:r>
        <w:rPr>
          <w:i/>
          <w:color w:val="231F20"/>
          <w:spacing w:val="-23"/>
          <w:w w:val="105"/>
          <w:sz w:val="18"/>
        </w:rPr>
        <w:t> </w:t>
      </w:r>
      <w:r>
        <w:rPr>
          <w:i/>
          <w:color w:val="231F20"/>
          <w:w w:val="105"/>
          <w:sz w:val="18"/>
        </w:rPr>
        <w:t>izquierda</w:t>
      </w:r>
      <w:r>
        <w:rPr>
          <w:i/>
          <w:color w:val="231F20"/>
          <w:spacing w:val="-23"/>
          <w:w w:val="105"/>
          <w:sz w:val="18"/>
        </w:rPr>
        <w:t> </w:t>
      </w:r>
      <w:r>
        <w:rPr>
          <w:i/>
          <w:color w:val="231F20"/>
          <w:w w:val="105"/>
          <w:sz w:val="18"/>
        </w:rPr>
        <w:t>al</w:t>
      </w:r>
      <w:r>
        <w:rPr>
          <w:i/>
          <w:color w:val="231F20"/>
          <w:spacing w:val="-23"/>
          <w:w w:val="105"/>
          <w:sz w:val="18"/>
        </w:rPr>
        <w:t> </w:t>
      </w:r>
      <w:r>
        <w:rPr>
          <w:i/>
          <w:color w:val="231F20"/>
          <w:w w:val="105"/>
          <w:sz w:val="18"/>
        </w:rPr>
        <w:t>neoliberalismo</w:t>
      </w:r>
      <w:r>
        <w:rPr>
          <w:color w:val="231F20"/>
          <w:w w:val="105"/>
          <w:sz w:val="18"/>
        </w:rPr>
        <w:t>,</w:t>
      </w:r>
      <w:r>
        <w:rPr>
          <w:color w:val="231F20"/>
          <w:spacing w:val="-23"/>
          <w:w w:val="105"/>
          <w:sz w:val="18"/>
        </w:rPr>
        <w:t> </w:t>
      </w:r>
      <w:r>
        <w:rPr>
          <w:color w:val="231F20"/>
          <w:w w:val="105"/>
          <w:sz w:val="18"/>
        </w:rPr>
        <w:t>Ediciones CEA, Fundación de Investigaciones Marxistas, España, pp.  </w:t>
      </w:r>
      <w:r>
        <w:rPr>
          <w:color w:val="231F20"/>
          <w:spacing w:val="28"/>
          <w:w w:val="105"/>
          <w:sz w:val="18"/>
        </w:rPr>
        <w:t> </w:t>
      </w:r>
      <w:r>
        <w:rPr>
          <w:color w:val="231F20"/>
          <w:w w:val="105"/>
          <w:sz w:val="18"/>
        </w:rPr>
        <w:t>87-97.</w:t>
      </w:r>
    </w:p>
    <w:p>
      <w:pPr>
        <w:spacing w:line="254" w:lineRule="auto" w:before="1"/>
        <w:ind w:left="73" w:right="117" w:firstLine="0"/>
        <w:jc w:val="right"/>
        <w:rPr>
          <w:sz w:val="18"/>
        </w:rPr>
      </w:pPr>
      <w:r>
        <w:rPr>
          <w:color w:val="231F20"/>
          <w:w w:val="105"/>
          <w:sz w:val="18"/>
        </w:rPr>
        <w:t>Peiró, Claudia, 2008, “Soros: ‘Hay que volver a controlar finanzas. Están irra-</w:t>
      </w:r>
      <w:r>
        <w:rPr>
          <w:color w:val="231F20"/>
          <w:w w:val="72"/>
          <w:sz w:val="18"/>
        </w:rPr>
        <w:t> </w:t>
      </w:r>
      <w:r>
        <w:rPr>
          <w:color w:val="231F20"/>
          <w:w w:val="105"/>
          <w:sz w:val="18"/>
        </w:rPr>
        <w:t>cionales’”, </w:t>
      </w:r>
      <w:r>
        <w:rPr>
          <w:i/>
          <w:color w:val="231F20"/>
          <w:w w:val="105"/>
          <w:sz w:val="18"/>
        </w:rPr>
        <w:t>Ámbito Financiero</w:t>
      </w:r>
      <w:r>
        <w:rPr>
          <w:color w:val="231F20"/>
          <w:w w:val="105"/>
          <w:sz w:val="18"/>
        </w:rPr>
        <w:t>, Buenos Aires, Argentina, 22 de septiembre.</w:t>
      </w:r>
      <w:r>
        <w:rPr>
          <w:color w:val="231F20"/>
          <w:w w:val="110"/>
          <w:sz w:val="18"/>
        </w:rPr>
        <w:t> </w:t>
      </w:r>
      <w:r>
        <w:rPr>
          <w:color w:val="231F20"/>
          <w:sz w:val="18"/>
        </w:rPr>
        <w:t>Rumiántsev, A., 1985, </w:t>
      </w:r>
      <w:r>
        <w:rPr>
          <w:i/>
          <w:color w:val="231F20"/>
          <w:sz w:val="18"/>
        </w:rPr>
        <w:t>Economía política. Capitalismo</w:t>
      </w:r>
      <w:r>
        <w:rPr>
          <w:color w:val="231F20"/>
          <w:sz w:val="18"/>
        </w:rPr>
        <w:t>, Moscú, Editorial Progreso.</w:t>
      </w:r>
    </w:p>
    <w:p>
      <w:pPr>
        <w:spacing w:before="1"/>
        <w:ind w:left="100" w:right="25" w:firstLine="0"/>
        <w:jc w:val="left"/>
        <w:rPr>
          <w:sz w:val="18"/>
        </w:rPr>
      </w:pPr>
      <w:r>
        <w:rPr>
          <w:color w:val="231F20"/>
          <w:w w:val="110"/>
          <w:sz w:val="18"/>
        </w:rPr>
        <w:t>Stiglitz, Joseph, 2008, </w:t>
      </w:r>
      <w:r>
        <w:rPr>
          <w:i/>
          <w:color w:val="231F20"/>
          <w:w w:val="110"/>
          <w:sz w:val="18"/>
        </w:rPr>
        <w:t>Página 12</w:t>
      </w:r>
      <w:r>
        <w:rPr>
          <w:color w:val="231F20"/>
          <w:w w:val="110"/>
          <w:sz w:val="18"/>
        </w:rPr>
        <w:t>, Argentina, 21 de septiembre.</w:t>
      </w:r>
    </w:p>
    <w:p>
      <w:pPr>
        <w:spacing w:line="254" w:lineRule="auto" w:before="13"/>
        <w:ind w:left="340" w:right="119" w:hanging="240"/>
        <w:jc w:val="both"/>
        <w:rPr>
          <w:sz w:val="18"/>
        </w:rPr>
      </w:pPr>
      <w:r>
        <w:rPr>
          <w:color w:val="231F20"/>
          <w:spacing w:val="-3"/>
          <w:w w:val="105"/>
          <w:sz w:val="18"/>
        </w:rPr>
        <w:t>Tello,</w:t>
      </w:r>
      <w:r>
        <w:rPr>
          <w:color w:val="231F20"/>
          <w:spacing w:val="-16"/>
          <w:w w:val="105"/>
          <w:sz w:val="18"/>
        </w:rPr>
        <w:t> </w:t>
      </w:r>
      <w:r>
        <w:rPr>
          <w:color w:val="231F20"/>
          <w:w w:val="105"/>
          <w:sz w:val="18"/>
        </w:rPr>
        <w:t>Carlos,</w:t>
      </w:r>
      <w:r>
        <w:rPr>
          <w:color w:val="231F20"/>
          <w:spacing w:val="-16"/>
          <w:w w:val="105"/>
          <w:sz w:val="18"/>
        </w:rPr>
        <w:t> </w:t>
      </w:r>
      <w:r>
        <w:rPr>
          <w:color w:val="231F20"/>
          <w:w w:val="105"/>
          <w:sz w:val="18"/>
        </w:rPr>
        <w:t>2009,</w:t>
      </w:r>
      <w:r>
        <w:rPr>
          <w:color w:val="231F20"/>
          <w:spacing w:val="-16"/>
          <w:w w:val="105"/>
          <w:sz w:val="18"/>
        </w:rPr>
        <w:t> </w:t>
      </w:r>
      <w:r>
        <w:rPr>
          <w:color w:val="231F20"/>
          <w:w w:val="105"/>
          <w:sz w:val="18"/>
        </w:rPr>
        <w:t>“Sobre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crisis</w:t>
      </w:r>
      <w:r>
        <w:rPr>
          <w:color w:val="231F20"/>
          <w:spacing w:val="-16"/>
          <w:w w:val="105"/>
          <w:sz w:val="18"/>
        </w:rPr>
        <w:t> </w:t>
      </w:r>
      <w:r>
        <w:rPr>
          <w:color w:val="231F20"/>
          <w:w w:val="105"/>
          <w:sz w:val="18"/>
        </w:rPr>
        <w:t>económica”,</w:t>
      </w:r>
      <w:r>
        <w:rPr>
          <w:color w:val="231F20"/>
          <w:spacing w:val="-16"/>
          <w:w w:val="105"/>
          <w:sz w:val="18"/>
        </w:rPr>
        <w:t> </w:t>
      </w:r>
      <w:r>
        <w:rPr>
          <w:i/>
          <w:color w:val="231F20"/>
          <w:w w:val="105"/>
          <w:sz w:val="18"/>
        </w:rPr>
        <w:t>Este</w:t>
      </w:r>
      <w:r>
        <w:rPr>
          <w:i/>
          <w:color w:val="231F20"/>
          <w:spacing w:val="-16"/>
          <w:w w:val="105"/>
          <w:sz w:val="18"/>
        </w:rPr>
        <w:t> </w:t>
      </w:r>
      <w:r>
        <w:rPr>
          <w:i/>
          <w:color w:val="231F20"/>
          <w:w w:val="105"/>
          <w:sz w:val="18"/>
        </w:rPr>
        <w:t>País.</w:t>
      </w:r>
      <w:r>
        <w:rPr>
          <w:i/>
          <w:color w:val="231F20"/>
          <w:spacing w:val="-16"/>
          <w:w w:val="105"/>
          <w:sz w:val="18"/>
        </w:rPr>
        <w:t> </w:t>
      </w:r>
      <w:r>
        <w:rPr>
          <w:i/>
          <w:color w:val="231F20"/>
          <w:w w:val="105"/>
          <w:sz w:val="18"/>
        </w:rPr>
        <w:t>Tendencias</w:t>
      </w:r>
      <w:r>
        <w:rPr>
          <w:i/>
          <w:color w:val="231F20"/>
          <w:spacing w:val="-16"/>
          <w:w w:val="105"/>
          <w:sz w:val="18"/>
        </w:rPr>
        <w:t> </w:t>
      </w:r>
      <w:r>
        <w:rPr>
          <w:i/>
          <w:color w:val="231F20"/>
          <w:w w:val="105"/>
          <w:sz w:val="18"/>
        </w:rPr>
        <w:t>y</w:t>
      </w:r>
      <w:r>
        <w:rPr>
          <w:i/>
          <w:color w:val="231F20"/>
          <w:spacing w:val="-16"/>
          <w:w w:val="105"/>
          <w:sz w:val="18"/>
        </w:rPr>
        <w:t> </w:t>
      </w:r>
      <w:r>
        <w:rPr>
          <w:i/>
          <w:color w:val="231F20"/>
          <w:w w:val="105"/>
          <w:sz w:val="18"/>
        </w:rPr>
        <w:t>Opinio- </w:t>
      </w:r>
      <w:r>
        <w:rPr>
          <w:i/>
          <w:color w:val="231F20"/>
          <w:w w:val="105"/>
          <w:sz w:val="18"/>
        </w:rPr>
        <w:t>nes</w:t>
      </w:r>
      <w:r>
        <w:rPr>
          <w:color w:val="231F20"/>
          <w:w w:val="105"/>
          <w:sz w:val="18"/>
        </w:rPr>
        <w:t>, núm. 214, México, enero, pp.  </w:t>
      </w:r>
      <w:r>
        <w:rPr>
          <w:color w:val="231F20"/>
          <w:spacing w:val="3"/>
          <w:w w:val="105"/>
          <w:sz w:val="18"/>
        </w:rPr>
        <w:t> </w:t>
      </w:r>
      <w:r>
        <w:rPr>
          <w:color w:val="231F20"/>
          <w:w w:val="105"/>
          <w:sz w:val="18"/>
        </w:rPr>
        <w:t>7-13.</w:t>
      </w:r>
    </w:p>
    <w:p>
      <w:pPr>
        <w:spacing w:before="1"/>
        <w:ind w:left="100" w:right="25" w:firstLine="0"/>
        <w:jc w:val="left"/>
        <w:rPr>
          <w:sz w:val="18"/>
        </w:rPr>
      </w:pPr>
      <w:r>
        <w:rPr>
          <w:color w:val="231F20"/>
          <w:w w:val="105"/>
          <w:sz w:val="18"/>
        </w:rPr>
        <w:t>Valenzuela Feijóo, José, 2009, “La crisis, algunas consideraciones básicas”,</w:t>
      </w:r>
    </w:p>
    <w:p>
      <w:pPr>
        <w:spacing w:before="13"/>
        <w:ind w:left="340" w:right="25" w:firstLine="0"/>
        <w:jc w:val="left"/>
        <w:rPr>
          <w:sz w:val="18"/>
        </w:rPr>
      </w:pPr>
      <w:r>
        <w:rPr>
          <w:i/>
          <w:color w:val="231F20"/>
          <w:w w:val="105"/>
          <w:sz w:val="18"/>
        </w:rPr>
        <w:t>Memoria</w:t>
      </w:r>
      <w:r>
        <w:rPr>
          <w:color w:val="231F20"/>
          <w:w w:val="105"/>
          <w:sz w:val="18"/>
        </w:rPr>
        <w:t>, número 234, México, febrero-marzo, pp.  4-8.</w:t>
      </w:r>
    </w:p>
    <w:p>
      <w:pPr>
        <w:spacing w:line="254" w:lineRule="auto" w:before="13"/>
        <w:ind w:left="340" w:right="118" w:hanging="240"/>
        <w:jc w:val="both"/>
        <w:rPr>
          <w:sz w:val="18"/>
        </w:rPr>
      </w:pPr>
      <w:r>
        <w:rPr>
          <w:color w:val="231F20"/>
          <w:w w:val="110"/>
          <w:sz w:val="18"/>
        </w:rPr>
        <w:t>Vilas, Carlos, 2000, “¿Más allá del ‘Consenso de Washington’? Un</w:t>
      </w:r>
      <w:r>
        <w:rPr>
          <w:color w:val="231F20"/>
          <w:spacing w:val="-34"/>
          <w:w w:val="110"/>
          <w:sz w:val="18"/>
        </w:rPr>
        <w:t> </w:t>
      </w:r>
      <w:r>
        <w:rPr>
          <w:color w:val="231F20"/>
          <w:w w:val="110"/>
          <w:sz w:val="18"/>
        </w:rPr>
        <w:t>enfoque desde</w:t>
      </w:r>
      <w:r>
        <w:rPr>
          <w:color w:val="231F20"/>
          <w:spacing w:val="-27"/>
          <w:w w:val="110"/>
          <w:sz w:val="18"/>
        </w:rPr>
        <w:t> </w:t>
      </w:r>
      <w:r>
        <w:rPr>
          <w:color w:val="231F20"/>
          <w:w w:val="110"/>
          <w:sz w:val="18"/>
        </w:rPr>
        <w:t>la</w:t>
      </w:r>
      <w:r>
        <w:rPr>
          <w:color w:val="231F20"/>
          <w:spacing w:val="-27"/>
          <w:w w:val="110"/>
          <w:sz w:val="18"/>
        </w:rPr>
        <w:t> </w:t>
      </w:r>
      <w:r>
        <w:rPr>
          <w:color w:val="231F20"/>
          <w:w w:val="110"/>
          <w:sz w:val="18"/>
        </w:rPr>
        <w:t>política</w:t>
      </w:r>
      <w:r>
        <w:rPr>
          <w:color w:val="231F20"/>
          <w:spacing w:val="-27"/>
          <w:w w:val="110"/>
          <w:sz w:val="18"/>
        </w:rPr>
        <w:t> </w:t>
      </w:r>
      <w:r>
        <w:rPr>
          <w:color w:val="231F20"/>
          <w:w w:val="110"/>
          <w:sz w:val="18"/>
        </w:rPr>
        <w:t>de</w:t>
      </w:r>
      <w:r>
        <w:rPr>
          <w:color w:val="231F20"/>
          <w:spacing w:val="-27"/>
          <w:w w:val="110"/>
          <w:sz w:val="18"/>
        </w:rPr>
        <w:t> </w:t>
      </w:r>
      <w:r>
        <w:rPr>
          <w:color w:val="231F20"/>
          <w:w w:val="110"/>
          <w:sz w:val="18"/>
        </w:rPr>
        <w:t>algunas</w:t>
      </w:r>
      <w:r>
        <w:rPr>
          <w:color w:val="231F20"/>
          <w:spacing w:val="-27"/>
          <w:w w:val="110"/>
          <w:sz w:val="18"/>
        </w:rPr>
        <w:t> </w:t>
      </w:r>
      <w:r>
        <w:rPr>
          <w:color w:val="231F20"/>
          <w:w w:val="110"/>
          <w:sz w:val="18"/>
        </w:rPr>
        <w:t>propuestas</w:t>
      </w:r>
      <w:r>
        <w:rPr>
          <w:color w:val="231F20"/>
          <w:spacing w:val="-27"/>
          <w:w w:val="110"/>
          <w:sz w:val="18"/>
        </w:rPr>
        <w:t> </w:t>
      </w:r>
      <w:r>
        <w:rPr>
          <w:color w:val="231F20"/>
          <w:w w:val="110"/>
          <w:sz w:val="18"/>
        </w:rPr>
        <w:t>del</w:t>
      </w:r>
      <w:r>
        <w:rPr>
          <w:color w:val="231F20"/>
          <w:spacing w:val="-27"/>
          <w:w w:val="110"/>
          <w:sz w:val="18"/>
        </w:rPr>
        <w:t> </w:t>
      </w:r>
      <w:r>
        <w:rPr>
          <w:color w:val="231F20"/>
          <w:w w:val="110"/>
          <w:sz w:val="18"/>
        </w:rPr>
        <w:t>Banco</w:t>
      </w:r>
      <w:r>
        <w:rPr>
          <w:color w:val="231F20"/>
          <w:spacing w:val="-27"/>
          <w:w w:val="110"/>
          <w:sz w:val="18"/>
        </w:rPr>
        <w:t> </w:t>
      </w:r>
      <w:r>
        <w:rPr>
          <w:color w:val="231F20"/>
          <w:w w:val="110"/>
          <w:sz w:val="18"/>
        </w:rPr>
        <w:t>Mundial”,</w:t>
      </w:r>
      <w:r>
        <w:rPr>
          <w:color w:val="231F20"/>
          <w:spacing w:val="-27"/>
          <w:w w:val="110"/>
          <w:sz w:val="18"/>
        </w:rPr>
        <w:t> </w:t>
      </w:r>
      <w:r>
        <w:rPr>
          <w:i/>
          <w:color w:val="231F20"/>
          <w:w w:val="110"/>
          <w:sz w:val="18"/>
        </w:rPr>
        <w:t>Aportes</w:t>
      </w:r>
      <w:r>
        <w:rPr>
          <w:color w:val="231F20"/>
          <w:w w:val="110"/>
          <w:sz w:val="18"/>
        </w:rPr>
        <w:t>,</w:t>
      </w:r>
      <w:r>
        <w:rPr>
          <w:color w:val="231F20"/>
          <w:spacing w:val="-27"/>
          <w:w w:val="110"/>
          <w:sz w:val="18"/>
        </w:rPr>
        <w:t> </w:t>
      </w:r>
      <w:r>
        <w:rPr>
          <w:color w:val="231F20"/>
          <w:w w:val="110"/>
          <w:sz w:val="18"/>
        </w:rPr>
        <w:t>año</w:t>
      </w:r>
      <w:r>
        <w:rPr>
          <w:color w:val="231F20"/>
          <w:spacing w:val="-27"/>
          <w:w w:val="110"/>
          <w:sz w:val="18"/>
        </w:rPr>
        <w:t> </w:t>
      </w:r>
      <w:r>
        <w:rPr>
          <w:color w:val="231F20"/>
          <w:spacing w:val="-9"/>
          <w:w w:val="110"/>
          <w:sz w:val="18"/>
        </w:rPr>
        <w:t>V, </w:t>
      </w:r>
      <w:r>
        <w:rPr>
          <w:color w:val="231F20"/>
          <w:w w:val="110"/>
          <w:sz w:val="18"/>
        </w:rPr>
        <w:t>núm.</w:t>
      </w:r>
      <w:r>
        <w:rPr>
          <w:color w:val="231F20"/>
          <w:spacing w:val="-6"/>
          <w:w w:val="110"/>
          <w:sz w:val="18"/>
        </w:rPr>
        <w:t> </w:t>
      </w:r>
      <w:r>
        <w:rPr>
          <w:color w:val="231F20"/>
          <w:w w:val="110"/>
          <w:sz w:val="18"/>
        </w:rPr>
        <w:t>15,</w:t>
      </w:r>
      <w:r>
        <w:rPr>
          <w:color w:val="231F20"/>
          <w:spacing w:val="-6"/>
          <w:w w:val="110"/>
          <w:sz w:val="18"/>
        </w:rPr>
        <w:t> </w:t>
      </w:r>
      <w:r>
        <w:rPr>
          <w:color w:val="231F20"/>
          <w:w w:val="110"/>
          <w:sz w:val="18"/>
        </w:rPr>
        <w:t>Facultad</w:t>
      </w:r>
      <w:r>
        <w:rPr>
          <w:color w:val="231F20"/>
          <w:spacing w:val="-6"/>
          <w:w w:val="110"/>
          <w:sz w:val="18"/>
        </w:rPr>
        <w:t> </w:t>
      </w:r>
      <w:r>
        <w:rPr>
          <w:color w:val="231F20"/>
          <w:w w:val="110"/>
          <w:sz w:val="18"/>
        </w:rPr>
        <w:t>de</w:t>
      </w:r>
      <w:r>
        <w:rPr>
          <w:color w:val="231F20"/>
          <w:spacing w:val="-6"/>
          <w:w w:val="110"/>
          <w:sz w:val="18"/>
        </w:rPr>
        <w:t> </w:t>
      </w:r>
      <w:r>
        <w:rPr>
          <w:color w:val="231F20"/>
          <w:w w:val="110"/>
          <w:sz w:val="18"/>
        </w:rPr>
        <w:t>Economía</w:t>
      </w:r>
      <w:r>
        <w:rPr>
          <w:color w:val="231F20"/>
          <w:spacing w:val="-6"/>
          <w:w w:val="110"/>
          <w:sz w:val="18"/>
        </w:rPr>
        <w:t> </w:t>
      </w:r>
      <w:r>
        <w:rPr>
          <w:color w:val="231F20"/>
          <w:w w:val="110"/>
          <w:sz w:val="18"/>
        </w:rPr>
        <w:t>de</w:t>
      </w:r>
      <w:r>
        <w:rPr>
          <w:color w:val="231F20"/>
          <w:spacing w:val="-6"/>
          <w:w w:val="110"/>
          <w:sz w:val="18"/>
        </w:rPr>
        <w:t> </w:t>
      </w:r>
      <w:r>
        <w:rPr>
          <w:color w:val="231F20"/>
          <w:w w:val="110"/>
          <w:sz w:val="18"/>
        </w:rPr>
        <w:t>la</w:t>
      </w:r>
      <w:r>
        <w:rPr>
          <w:color w:val="231F20"/>
          <w:spacing w:val="-6"/>
          <w:w w:val="110"/>
          <w:sz w:val="18"/>
        </w:rPr>
        <w:t> </w:t>
      </w:r>
      <w:r>
        <w:rPr>
          <w:color w:val="231F20"/>
          <w:w w:val="110"/>
          <w:sz w:val="18"/>
        </w:rPr>
        <w:t>Benemérita</w:t>
      </w:r>
      <w:r>
        <w:rPr>
          <w:color w:val="231F20"/>
          <w:spacing w:val="-6"/>
          <w:w w:val="110"/>
          <w:sz w:val="18"/>
        </w:rPr>
        <w:t> </w:t>
      </w:r>
      <w:r>
        <w:rPr>
          <w:color w:val="231F20"/>
          <w:w w:val="110"/>
          <w:sz w:val="18"/>
        </w:rPr>
        <w:t>Universidad</w:t>
      </w:r>
      <w:r>
        <w:rPr>
          <w:color w:val="231F20"/>
          <w:spacing w:val="-6"/>
          <w:w w:val="110"/>
          <w:sz w:val="18"/>
        </w:rPr>
        <w:t> </w:t>
      </w:r>
      <w:r>
        <w:rPr>
          <w:color w:val="231F20"/>
          <w:w w:val="110"/>
          <w:sz w:val="18"/>
        </w:rPr>
        <w:t>Autónoma de</w:t>
      </w:r>
      <w:r>
        <w:rPr>
          <w:color w:val="231F20"/>
          <w:spacing w:val="-9"/>
          <w:w w:val="110"/>
          <w:sz w:val="18"/>
        </w:rPr>
        <w:t> </w:t>
      </w:r>
      <w:r>
        <w:rPr>
          <w:color w:val="231F20"/>
          <w:w w:val="110"/>
          <w:sz w:val="18"/>
        </w:rPr>
        <w:t>Puebla,</w:t>
      </w:r>
      <w:r>
        <w:rPr>
          <w:color w:val="231F20"/>
          <w:spacing w:val="-9"/>
          <w:w w:val="110"/>
          <w:sz w:val="18"/>
        </w:rPr>
        <w:t> </w:t>
      </w:r>
      <w:r>
        <w:rPr>
          <w:color w:val="231F20"/>
          <w:w w:val="110"/>
          <w:sz w:val="18"/>
        </w:rPr>
        <w:t>México,</w:t>
      </w:r>
      <w:r>
        <w:rPr>
          <w:color w:val="231F20"/>
          <w:spacing w:val="-9"/>
          <w:w w:val="110"/>
          <w:sz w:val="18"/>
        </w:rPr>
        <w:t> </w:t>
      </w:r>
      <w:r>
        <w:rPr>
          <w:color w:val="231F20"/>
          <w:w w:val="110"/>
          <w:sz w:val="18"/>
        </w:rPr>
        <w:t>septiembre-diciembre,</w:t>
      </w:r>
      <w:r>
        <w:rPr>
          <w:color w:val="231F20"/>
          <w:spacing w:val="-9"/>
          <w:w w:val="110"/>
          <w:sz w:val="18"/>
        </w:rPr>
        <w:t> </w:t>
      </w:r>
      <w:r>
        <w:rPr>
          <w:color w:val="231F20"/>
          <w:w w:val="110"/>
          <w:sz w:val="18"/>
        </w:rPr>
        <w:t>pp.</w:t>
      </w:r>
      <w:r>
        <w:rPr>
          <w:color w:val="231F20"/>
          <w:spacing w:val="-9"/>
          <w:w w:val="110"/>
          <w:sz w:val="18"/>
        </w:rPr>
        <w:t> </w:t>
      </w:r>
      <w:r>
        <w:rPr>
          <w:color w:val="231F20"/>
          <w:w w:val="110"/>
          <w:sz w:val="18"/>
        </w:rPr>
        <w:t>33-69.</w:t>
      </w:r>
    </w:p>
    <w:p>
      <w:pPr>
        <w:spacing w:line="254" w:lineRule="auto" w:before="1"/>
        <w:ind w:left="340" w:right="119" w:hanging="240"/>
        <w:jc w:val="both"/>
        <w:rPr>
          <w:sz w:val="18"/>
        </w:rPr>
      </w:pPr>
      <w:r>
        <w:rPr>
          <w:color w:val="231F20"/>
          <w:w w:val="105"/>
          <w:sz w:val="18"/>
        </w:rPr>
        <w:t>Walden Bello, 2009, “La crisis capitalista y la respuesta política de la izquier- da”,</w:t>
      </w:r>
      <w:r>
        <w:rPr>
          <w:color w:val="231F20"/>
          <w:spacing w:val="-10"/>
          <w:w w:val="105"/>
          <w:sz w:val="18"/>
        </w:rPr>
        <w:t> </w:t>
      </w:r>
      <w:r>
        <w:rPr>
          <w:color w:val="231F20"/>
          <w:w w:val="105"/>
          <w:sz w:val="18"/>
        </w:rPr>
        <w:t>conferencia</w:t>
      </w:r>
      <w:r>
        <w:rPr>
          <w:color w:val="231F20"/>
          <w:spacing w:val="-10"/>
          <w:w w:val="105"/>
          <w:sz w:val="18"/>
        </w:rPr>
        <w:t> </w:t>
      </w:r>
      <w:r>
        <w:rPr>
          <w:color w:val="231F20"/>
          <w:w w:val="105"/>
          <w:sz w:val="18"/>
        </w:rPr>
        <w:t>dictada</w:t>
      </w:r>
      <w:r>
        <w:rPr>
          <w:color w:val="231F20"/>
          <w:spacing w:val="-10"/>
          <w:w w:val="105"/>
          <w:sz w:val="18"/>
        </w:rPr>
        <w:t> </w:t>
      </w:r>
      <w:r>
        <w:rPr>
          <w:color w:val="231F20"/>
          <w:w w:val="105"/>
          <w:sz w:val="18"/>
        </w:rPr>
        <w:t>por</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autor</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la</w:t>
      </w:r>
      <w:r>
        <w:rPr>
          <w:color w:val="231F20"/>
          <w:spacing w:val="-10"/>
          <w:w w:val="105"/>
          <w:sz w:val="18"/>
        </w:rPr>
        <w:t> </w:t>
      </w:r>
      <w:r>
        <w:rPr>
          <w:i/>
          <w:color w:val="231F20"/>
          <w:w w:val="105"/>
          <w:sz w:val="18"/>
        </w:rPr>
        <w:t>Conferencia</w:t>
      </w:r>
      <w:r>
        <w:rPr>
          <w:i/>
          <w:color w:val="231F20"/>
          <w:spacing w:val="-10"/>
          <w:w w:val="105"/>
          <w:sz w:val="18"/>
        </w:rPr>
        <w:t> </w:t>
      </w:r>
      <w:r>
        <w:rPr>
          <w:i/>
          <w:color w:val="231F20"/>
          <w:w w:val="105"/>
          <w:sz w:val="18"/>
        </w:rPr>
        <w:t>sobre</w:t>
      </w:r>
      <w:r>
        <w:rPr>
          <w:i/>
          <w:color w:val="231F20"/>
          <w:spacing w:val="-10"/>
          <w:w w:val="105"/>
          <w:sz w:val="18"/>
        </w:rPr>
        <w:t> </w:t>
      </w:r>
      <w:r>
        <w:rPr>
          <w:i/>
          <w:color w:val="231F20"/>
          <w:w w:val="105"/>
          <w:sz w:val="18"/>
        </w:rPr>
        <w:t>la</w:t>
      </w:r>
      <w:r>
        <w:rPr>
          <w:i/>
          <w:color w:val="231F20"/>
          <w:spacing w:val="-10"/>
          <w:w w:val="105"/>
          <w:sz w:val="18"/>
        </w:rPr>
        <w:t> </w:t>
      </w:r>
      <w:r>
        <w:rPr>
          <w:i/>
          <w:color w:val="231F20"/>
          <w:w w:val="105"/>
          <w:sz w:val="18"/>
        </w:rPr>
        <w:t>Crisis</w:t>
      </w:r>
      <w:r>
        <w:rPr>
          <w:i/>
          <w:color w:val="231F20"/>
          <w:spacing w:val="-10"/>
          <w:w w:val="105"/>
          <w:sz w:val="18"/>
        </w:rPr>
        <w:t> </w:t>
      </w:r>
      <w:r>
        <w:rPr>
          <w:i/>
          <w:color w:val="231F20"/>
          <w:w w:val="105"/>
          <w:sz w:val="18"/>
        </w:rPr>
        <w:t>Global </w:t>
      </w:r>
      <w:r>
        <w:rPr>
          <w:color w:val="231F20"/>
          <w:w w:val="105"/>
          <w:sz w:val="18"/>
        </w:rPr>
        <w:t>celebrada el 21 de marzo de 2009 en Berlín, &lt;</w:t>
      </w:r>
      <w:hyperlink r:id="rId103">
        <w:r>
          <w:rPr>
            <w:color w:val="231F20"/>
            <w:w w:val="105"/>
            <w:sz w:val="18"/>
          </w:rPr>
          <w:t>www.sinpermiso.info&gt;</w:t>
        </w:r>
      </w:hyperlink>
      <w:r>
        <w:rPr>
          <w:color w:val="231F20"/>
          <w:w w:val="105"/>
          <w:sz w:val="18"/>
        </w:rPr>
        <w:t>, consultado el 26 de abril de   </w:t>
      </w:r>
      <w:r>
        <w:rPr>
          <w:color w:val="231F20"/>
          <w:spacing w:val="8"/>
          <w:w w:val="105"/>
          <w:sz w:val="18"/>
        </w:rPr>
        <w:t> </w:t>
      </w:r>
      <w:r>
        <w:rPr>
          <w:color w:val="231F20"/>
          <w:w w:val="105"/>
          <w:sz w:val="18"/>
        </w:rPr>
        <w:t>2009.</w:t>
      </w:r>
    </w:p>
    <w:p>
      <w:pPr>
        <w:spacing w:line="254" w:lineRule="auto" w:before="1"/>
        <w:ind w:left="340" w:right="117" w:hanging="240"/>
        <w:jc w:val="both"/>
        <w:rPr>
          <w:sz w:val="18"/>
        </w:rPr>
      </w:pPr>
      <w:r>
        <w:rPr>
          <w:color w:val="231F20"/>
          <w:sz w:val="18"/>
        </w:rPr>
        <w:t>Wallerstein, Immanuel, 2005, </w:t>
      </w:r>
      <w:r>
        <w:rPr>
          <w:i/>
          <w:color w:val="231F20"/>
          <w:sz w:val="18"/>
        </w:rPr>
        <w:t>La crisis estructural del capitalismo</w:t>
      </w:r>
      <w:r>
        <w:rPr>
          <w:color w:val="231F20"/>
          <w:sz w:val="18"/>
        </w:rPr>
        <w:t>, México</w:t>
      </w:r>
      <w:r>
        <w:rPr>
          <w:i/>
          <w:color w:val="231F20"/>
          <w:sz w:val="18"/>
        </w:rPr>
        <w:t>, </w:t>
      </w:r>
      <w:r>
        <w:rPr>
          <w:color w:val="231F20"/>
          <w:sz w:val="18"/>
        </w:rPr>
        <w:t>Los Libros   de   Contrahistorias.</w:t>
      </w:r>
    </w:p>
    <w:p>
      <w:pPr>
        <w:spacing w:after="0" w:line="254" w:lineRule="auto"/>
        <w:jc w:val="both"/>
        <w:rPr>
          <w:sz w:val="18"/>
        </w:rPr>
        <w:sectPr>
          <w:pgSz w:w="7640" w:h="11900"/>
          <w:pgMar w:header="672" w:footer="0" w:top="860" w:bottom="280" w:left="780" w:right="640"/>
        </w:sectPr>
      </w:pPr>
    </w:p>
    <w:p>
      <w:pPr>
        <w:pStyle w:val="BodyText"/>
        <w:spacing w:before="39"/>
        <w:ind w:left="100"/>
        <w:jc w:val="both"/>
      </w:pPr>
      <w:r>
        <w:rPr>
          <w:color w:val="231F20"/>
        </w:rPr>
        <w:t>SISTEMA MUNDO, CRISIS ECONÓMICA Y AMÉRICA  LATINA</w:t>
      </w:r>
    </w:p>
    <w:p>
      <w:pPr>
        <w:pStyle w:val="BodyText"/>
        <w:spacing w:before="5"/>
        <w:rPr>
          <w:sz w:val="23"/>
        </w:rPr>
      </w:pPr>
    </w:p>
    <w:p>
      <w:pPr>
        <w:pStyle w:val="BodyText"/>
        <w:ind w:left="3613" w:right="25"/>
      </w:pPr>
      <w:r>
        <w:rPr>
          <w:color w:val="231F20"/>
          <w:w w:val="120"/>
        </w:rPr>
        <w:t>marco a. gandásegui, hijo</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8"/>
        <w:jc w:val="both"/>
      </w:pPr>
      <w:r>
        <w:rPr>
          <w:color w:val="231F20"/>
          <w:w w:val="110"/>
        </w:rPr>
        <w:t>En los últimos dos años hemos discutido la crisis económica en el entorno de la crisis de hegemonía del sistema mundo, entendién- dolo como un cambio de época en el desarrollo capitalista. Muchos de los problemas teóricos que son objeto de debate en los círculos marxistas se han convertido en temas de discusión cotidiana. Por un lado,</w:t>
      </w:r>
      <w:r>
        <w:rPr>
          <w:color w:val="231F20"/>
          <w:spacing w:val="-18"/>
          <w:w w:val="110"/>
        </w:rPr>
        <w:t> </w:t>
      </w:r>
      <w:r>
        <w:rPr>
          <w:color w:val="231F20"/>
          <w:w w:val="110"/>
        </w:rPr>
        <w:t>la</w:t>
      </w:r>
      <w:r>
        <w:rPr>
          <w:color w:val="231F20"/>
          <w:spacing w:val="-18"/>
          <w:w w:val="110"/>
        </w:rPr>
        <w:t> </w:t>
      </w:r>
      <w:r>
        <w:rPr>
          <w:color w:val="231F20"/>
          <w:w w:val="110"/>
        </w:rPr>
        <w:t>crisis</w:t>
      </w:r>
      <w:r>
        <w:rPr>
          <w:color w:val="231F20"/>
          <w:spacing w:val="-18"/>
          <w:w w:val="110"/>
        </w:rPr>
        <w:t> </w:t>
      </w:r>
      <w:r>
        <w:rPr>
          <w:color w:val="231F20"/>
          <w:w w:val="110"/>
        </w:rPr>
        <w:t>económica</w:t>
      </w:r>
      <w:r>
        <w:rPr>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que</w:t>
      </w:r>
      <w:r>
        <w:rPr>
          <w:color w:val="231F20"/>
          <w:spacing w:val="-18"/>
          <w:w w:val="110"/>
        </w:rPr>
        <w:t> </w:t>
      </w:r>
      <w:r>
        <w:rPr>
          <w:color w:val="231F20"/>
          <w:w w:val="110"/>
        </w:rPr>
        <w:t>fue</w:t>
      </w:r>
      <w:r>
        <w:rPr>
          <w:color w:val="231F20"/>
          <w:spacing w:val="-18"/>
          <w:w w:val="110"/>
        </w:rPr>
        <w:t> </w:t>
      </w:r>
      <w:r>
        <w:rPr>
          <w:color w:val="231F20"/>
          <w:w w:val="110"/>
        </w:rPr>
        <w:t>clasificada</w:t>
      </w:r>
      <w:r>
        <w:rPr>
          <w:color w:val="231F20"/>
          <w:spacing w:val="-18"/>
          <w:w w:val="110"/>
        </w:rPr>
        <w:t> </w:t>
      </w:r>
      <w:r>
        <w:rPr>
          <w:color w:val="231F20"/>
          <w:w w:val="110"/>
        </w:rPr>
        <w:t>como recesión</w:t>
      </w:r>
      <w:r>
        <w:rPr>
          <w:color w:val="231F20"/>
          <w:spacing w:val="-17"/>
          <w:w w:val="110"/>
        </w:rPr>
        <w:t> </w:t>
      </w:r>
      <w:r>
        <w:rPr>
          <w:color w:val="231F20"/>
          <w:w w:val="110"/>
        </w:rPr>
        <w:t>a</w:t>
      </w:r>
      <w:r>
        <w:rPr>
          <w:color w:val="231F20"/>
          <w:spacing w:val="-17"/>
          <w:w w:val="110"/>
        </w:rPr>
        <w:t> </w:t>
      </w:r>
      <w:r>
        <w:rPr>
          <w:color w:val="231F20"/>
          <w:w w:val="110"/>
        </w:rPr>
        <w:t>fines</w:t>
      </w:r>
      <w:r>
        <w:rPr>
          <w:color w:val="231F20"/>
          <w:spacing w:val="-17"/>
          <w:w w:val="110"/>
        </w:rPr>
        <w:t> </w:t>
      </w:r>
      <w:r>
        <w:rPr>
          <w:color w:val="231F20"/>
          <w:w w:val="110"/>
        </w:rPr>
        <w:t>de</w:t>
      </w:r>
      <w:r>
        <w:rPr>
          <w:color w:val="231F20"/>
          <w:spacing w:val="-17"/>
          <w:w w:val="110"/>
        </w:rPr>
        <w:t> </w:t>
      </w:r>
      <w:r>
        <w:rPr>
          <w:color w:val="231F20"/>
          <w:w w:val="110"/>
        </w:rPr>
        <w:t>2008,</w:t>
      </w:r>
      <w:r>
        <w:rPr>
          <w:color w:val="231F20"/>
          <w:spacing w:val="-17"/>
          <w:w w:val="110"/>
        </w:rPr>
        <w:t> </w:t>
      </w:r>
      <w:r>
        <w:rPr>
          <w:color w:val="231F20"/>
          <w:w w:val="110"/>
        </w:rPr>
        <w:t>ha</w:t>
      </w:r>
      <w:r>
        <w:rPr>
          <w:color w:val="231F20"/>
          <w:spacing w:val="-17"/>
          <w:w w:val="110"/>
        </w:rPr>
        <w:t> </w:t>
      </w:r>
      <w:r>
        <w:rPr>
          <w:color w:val="231F20"/>
          <w:w w:val="110"/>
        </w:rPr>
        <w:t>disminuido</w:t>
      </w:r>
      <w:r>
        <w:rPr>
          <w:color w:val="231F20"/>
          <w:spacing w:val="-17"/>
          <w:w w:val="110"/>
        </w:rPr>
        <w:t> </w:t>
      </w:r>
      <w:r>
        <w:rPr>
          <w:color w:val="231F20"/>
          <w:w w:val="110"/>
        </w:rPr>
        <w:t>las</w:t>
      </w:r>
      <w:r>
        <w:rPr>
          <w:color w:val="231F20"/>
          <w:spacing w:val="-17"/>
          <w:w w:val="110"/>
        </w:rPr>
        <w:t> </w:t>
      </w:r>
      <w:r>
        <w:rPr>
          <w:color w:val="231F20"/>
          <w:w w:val="110"/>
        </w:rPr>
        <w:t>inversiones,</w:t>
      </w:r>
      <w:r>
        <w:rPr>
          <w:color w:val="231F20"/>
          <w:spacing w:val="-17"/>
          <w:w w:val="110"/>
        </w:rPr>
        <w:t> </w:t>
      </w:r>
      <w:r>
        <w:rPr>
          <w:color w:val="231F20"/>
          <w:w w:val="110"/>
        </w:rPr>
        <w:t>el</w:t>
      </w:r>
      <w:r>
        <w:rPr>
          <w:color w:val="231F20"/>
          <w:spacing w:val="-17"/>
          <w:w w:val="110"/>
        </w:rPr>
        <w:t> </w:t>
      </w:r>
      <w:r>
        <w:rPr>
          <w:color w:val="231F20"/>
          <w:w w:val="110"/>
        </w:rPr>
        <w:t>empleo</w:t>
      </w:r>
      <w:r>
        <w:rPr>
          <w:color w:val="231F20"/>
          <w:spacing w:val="-17"/>
          <w:w w:val="110"/>
        </w:rPr>
        <w:t> </w:t>
      </w:r>
      <w:r>
        <w:rPr>
          <w:color w:val="231F20"/>
          <w:w w:val="110"/>
        </w:rPr>
        <w:t>y</w:t>
      </w:r>
      <w:r>
        <w:rPr>
          <w:color w:val="231F20"/>
          <w:spacing w:val="-17"/>
          <w:w w:val="110"/>
        </w:rPr>
        <w:t> </w:t>
      </w:r>
      <w:r>
        <w:rPr>
          <w:color w:val="231F20"/>
          <w:w w:val="110"/>
        </w:rPr>
        <w:t>el consumo a escala mundial. Además, ha generado inseguridad entre los</w:t>
      </w:r>
      <w:r>
        <w:rPr>
          <w:color w:val="231F20"/>
          <w:spacing w:val="-19"/>
          <w:w w:val="110"/>
        </w:rPr>
        <w:t> </w:t>
      </w:r>
      <w:r>
        <w:rPr>
          <w:color w:val="231F20"/>
          <w:w w:val="110"/>
        </w:rPr>
        <w:t>actores</w:t>
      </w:r>
      <w:r>
        <w:rPr>
          <w:color w:val="231F20"/>
          <w:spacing w:val="-19"/>
          <w:w w:val="110"/>
        </w:rPr>
        <w:t> </w:t>
      </w:r>
      <w:r>
        <w:rPr>
          <w:color w:val="231F20"/>
          <w:w w:val="110"/>
        </w:rPr>
        <w:t>sociales</w:t>
      </w:r>
      <w:r>
        <w:rPr>
          <w:color w:val="231F20"/>
          <w:spacing w:val="-19"/>
          <w:w w:val="110"/>
        </w:rPr>
        <w:t> </w:t>
      </w:r>
      <w:r>
        <w:rPr>
          <w:color w:val="231F20"/>
          <w:w w:val="110"/>
        </w:rPr>
        <w:t>y</w:t>
      </w:r>
      <w:r>
        <w:rPr>
          <w:color w:val="231F20"/>
          <w:spacing w:val="-19"/>
          <w:w w:val="110"/>
        </w:rPr>
        <w:t> </w:t>
      </w:r>
      <w:r>
        <w:rPr>
          <w:color w:val="231F20"/>
          <w:w w:val="110"/>
        </w:rPr>
        <w:t>turbulencia</w:t>
      </w:r>
      <w:r>
        <w:rPr>
          <w:color w:val="231F20"/>
          <w:spacing w:val="-19"/>
          <w:w w:val="110"/>
        </w:rPr>
        <w:t> </w:t>
      </w:r>
      <w:r>
        <w:rPr>
          <w:color w:val="231F20"/>
          <w:w w:val="110"/>
        </w:rPr>
        <w:t>en</w:t>
      </w:r>
      <w:r>
        <w:rPr>
          <w:color w:val="231F20"/>
          <w:spacing w:val="-19"/>
          <w:w w:val="110"/>
        </w:rPr>
        <w:t> </w:t>
      </w:r>
      <w:r>
        <w:rPr>
          <w:color w:val="231F20"/>
          <w:w w:val="110"/>
        </w:rPr>
        <w:t>los</w:t>
      </w:r>
      <w:r>
        <w:rPr>
          <w:color w:val="231F20"/>
          <w:spacing w:val="-19"/>
          <w:w w:val="110"/>
        </w:rPr>
        <w:t> </w:t>
      </w:r>
      <w:r>
        <w:rPr>
          <w:color w:val="231F20"/>
          <w:w w:val="110"/>
        </w:rPr>
        <w:t>mercados</w:t>
      </w:r>
      <w:r>
        <w:rPr>
          <w:color w:val="231F20"/>
          <w:spacing w:val="-19"/>
          <w:w w:val="110"/>
        </w:rPr>
        <w:t> </w:t>
      </w:r>
      <w:r>
        <w:rPr>
          <w:color w:val="231F20"/>
          <w:w w:val="110"/>
        </w:rPr>
        <w:t>internacionales.</w:t>
      </w:r>
      <w:r>
        <w:rPr>
          <w:color w:val="231F20"/>
          <w:spacing w:val="-19"/>
          <w:w w:val="110"/>
        </w:rPr>
        <w:t> </w:t>
      </w:r>
      <w:r>
        <w:rPr>
          <w:color w:val="231F20"/>
          <w:w w:val="110"/>
        </w:rPr>
        <w:t>Por</w:t>
      </w:r>
      <w:r>
        <w:rPr>
          <w:color w:val="231F20"/>
          <w:w w:val="110"/>
        </w:rPr>
        <w:t> </w:t>
      </w:r>
      <w:r>
        <w:rPr>
          <w:color w:val="231F20"/>
          <w:w w:val="110"/>
        </w:rPr>
        <w:t>el otro, la elección de Barack Obama a la presidencia de ese</w:t>
      </w:r>
      <w:r>
        <w:rPr>
          <w:color w:val="231F20"/>
          <w:spacing w:val="47"/>
          <w:w w:val="110"/>
        </w:rPr>
        <w:t> </w:t>
      </w:r>
      <w:r>
        <w:rPr>
          <w:color w:val="231F20"/>
          <w:w w:val="110"/>
        </w:rPr>
        <w:t>país</w:t>
      </w:r>
      <w:r>
        <w:rPr>
          <w:color w:val="231F20"/>
          <w:spacing w:val="3"/>
          <w:w w:val="110"/>
        </w:rPr>
        <w:t> </w:t>
      </w:r>
      <w:r>
        <w:rPr>
          <w:color w:val="231F20"/>
          <w:w w:val="110"/>
        </w:rPr>
        <w:t>ha</w:t>
      </w:r>
      <w:r>
        <w:rPr>
          <w:color w:val="231F20"/>
          <w:w w:val="114"/>
        </w:rPr>
        <w:t> </w:t>
      </w:r>
      <w:r>
        <w:rPr>
          <w:color w:val="231F20"/>
          <w:w w:val="110"/>
        </w:rPr>
        <w:t>generado expectativas</w:t>
      </w:r>
      <w:r>
        <w:rPr>
          <w:color w:val="231F20"/>
          <w:spacing w:val="-26"/>
          <w:w w:val="110"/>
        </w:rPr>
        <w:t> </w:t>
      </w:r>
      <w:r>
        <w:rPr>
          <w:color w:val="231F20"/>
          <w:w w:val="110"/>
        </w:rPr>
        <w:t>políticas.</w:t>
      </w:r>
    </w:p>
    <w:p>
      <w:pPr>
        <w:pStyle w:val="BodyText"/>
        <w:spacing w:line="261" w:lineRule="auto"/>
        <w:ind w:left="100" w:right="117" w:firstLine="240"/>
        <w:jc w:val="both"/>
      </w:pPr>
      <w:r>
        <w:rPr>
          <w:color w:val="231F20"/>
          <w:w w:val="110"/>
        </w:rPr>
        <w:t>Ambos</w:t>
      </w:r>
      <w:r>
        <w:rPr>
          <w:color w:val="231F20"/>
          <w:spacing w:val="-14"/>
          <w:w w:val="110"/>
        </w:rPr>
        <w:t> </w:t>
      </w:r>
      <w:r>
        <w:rPr>
          <w:color w:val="231F20"/>
          <w:w w:val="110"/>
        </w:rPr>
        <w:t>hechos</w:t>
      </w:r>
      <w:r>
        <w:rPr>
          <w:color w:val="231F20"/>
          <w:spacing w:val="-14"/>
          <w:w w:val="110"/>
        </w:rPr>
        <w:t> </w:t>
      </w:r>
      <w:r>
        <w:rPr>
          <w:color w:val="231F20"/>
          <w:w w:val="110"/>
        </w:rPr>
        <w:t>producidos</w:t>
      </w:r>
      <w:r>
        <w:rPr>
          <w:color w:val="231F20"/>
          <w:spacing w:val="-14"/>
          <w:w w:val="110"/>
        </w:rPr>
        <w:t> </w:t>
      </w:r>
      <w:r>
        <w:rPr>
          <w:color w:val="231F20"/>
          <w:w w:val="110"/>
        </w:rPr>
        <w:t>en</w:t>
      </w:r>
      <w:r>
        <w:rPr>
          <w:color w:val="231F20"/>
          <w:spacing w:val="-14"/>
          <w:w w:val="110"/>
        </w:rPr>
        <w:t> </w:t>
      </w:r>
      <w:r>
        <w:rPr>
          <w:color w:val="231F20"/>
          <w:w w:val="110"/>
        </w:rPr>
        <w:t>forma</w:t>
      </w:r>
      <w:r>
        <w:rPr>
          <w:color w:val="231F20"/>
          <w:spacing w:val="-14"/>
          <w:w w:val="110"/>
        </w:rPr>
        <w:t> </w:t>
      </w:r>
      <w:r>
        <w:rPr>
          <w:color w:val="231F20"/>
          <w:w w:val="110"/>
        </w:rPr>
        <w:t>casi</w:t>
      </w:r>
      <w:r>
        <w:rPr>
          <w:color w:val="231F20"/>
          <w:spacing w:val="-14"/>
          <w:w w:val="110"/>
        </w:rPr>
        <w:t> </w:t>
      </w:r>
      <w:r>
        <w:rPr>
          <w:color w:val="231F20"/>
          <w:w w:val="110"/>
        </w:rPr>
        <w:t>simultánea</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últimos meses de 2008 son importantes. La combinación de lo político y lo económico es también objeto de análisis, especialmente cuando se trata de explicar el comportamiento de uno a partir del otro. Aun cuando</w:t>
      </w:r>
      <w:r>
        <w:rPr>
          <w:color w:val="231F20"/>
          <w:spacing w:val="-11"/>
          <w:w w:val="110"/>
        </w:rPr>
        <w:t> </w:t>
      </w:r>
      <w:r>
        <w:rPr>
          <w:color w:val="231F20"/>
          <w:w w:val="110"/>
        </w:rPr>
        <w:t>muchos</w:t>
      </w:r>
      <w:r>
        <w:rPr>
          <w:color w:val="231F20"/>
          <w:spacing w:val="-10"/>
          <w:w w:val="110"/>
        </w:rPr>
        <w:t> </w:t>
      </w:r>
      <w:r>
        <w:rPr>
          <w:color w:val="231F20"/>
          <w:w w:val="110"/>
        </w:rPr>
        <w:t>relacionan</w:t>
      </w:r>
      <w:r>
        <w:rPr>
          <w:color w:val="231F20"/>
          <w:spacing w:val="-11"/>
          <w:w w:val="110"/>
        </w:rPr>
        <w:t> </w:t>
      </w:r>
      <w:r>
        <w:rPr>
          <w:color w:val="231F20"/>
          <w:w w:val="110"/>
        </w:rPr>
        <w:t>la</w:t>
      </w:r>
      <w:r>
        <w:rPr>
          <w:color w:val="231F20"/>
          <w:spacing w:val="-10"/>
          <w:w w:val="110"/>
        </w:rPr>
        <w:t> </w:t>
      </w:r>
      <w:r>
        <w:rPr>
          <w:color w:val="231F20"/>
          <w:w w:val="110"/>
        </w:rPr>
        <w:t>crisis</w:t>
      </w:r>
      <w:r>
        <w:rPr>
          <w:color w:val="231F20"/>
          <w:spacing w:val="-11"/>
          <w:w w:val="110"/>
        </w:rPr>
        <w:t> </w:t>
      </w:r>
      <w:r>
        <w:rPr>
          <w:color w:val="231F20"/>
          <w:w w:val="110"/>
        </w:rPr>
        <w:t>económica</w:t>
      </w:r>
      <w:r>
        <w:rPr>
          <w:color w:val="231F20"/>
          <w:spacing w:val="-11"/>
          <w:w w:val="110"/>
        </w:rPr>
        <w:t> </w:t>
      </w:r>
      <w:r>
        <w:rPr>
          <w:color w:val="231F20"/>
          <w:w w:val="110"/>
        </w:rPr>
        <w:t>con</w:t>
      </w:r>
      <w:r>
        <w:rPr>
          <w:color w:val="231F20"/>
          <w:spacing w:val="-10"/>
          <w:w w:val="110"/>
        </w:rPr>
        <w:t> </w:t>
      </w:r>
      <w:r>
        <w:rPr>
          <w:color w:val="231F20"/>
          <w:w w:val="110"/>
        </w:rPr>
        <w:t>el</w:t>
      </w:r>
      <w:r>
        <w:rPr>
          <w:color w:val="231F20"/>
          <w:spacing w:val="-10"/>
          <w:w w:val="110"/>
        </w:rPr>
        <w:t> </w:t>
      </w:r>
      <w:r>
        <w:rPr>
          <w:color w:val="231F20"/>
          <w:w w:val="110"/>
        </w:rPr>
        <w:t>abuso</w:t>
      </w:r>
      <w:r>
        <w:rPr>
          <w:color w:val="231F20"/>
          <w:spacing w:val="-11"/>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mala administración de los recursos mundiales (neoliberalismo), en rea- lidad estas supuestas causas son también consecuencia de una crisis aún más</w:t>
      </w:r>
      <w:r>
        <w:rPr>
          <w:color w:val="231F20"/>
          <w:spacing w:val="42"/>
          <w:w w:val="110"/>
        </w:rPr>
        <w:t> </w:t>
      </w:r>
      <w:r>
        <w:rPr>
          <w:color w:val="231F20"/>
          <w:w w:val="110"/>
        </w:rPr>
        <w:t>profunda.</w:t>
      </w:r>
    </w:p>
    <w:p>
      <w:pPr>
        <w:pStyle w:val="BodyText"/>
        <w:spacing w:line="261" w:lineRule="auto"/>
        <w:ind w:left="100" w:right="117" w:firstLine="240"/>
        <w:jc w:val="both"/>
      </w:pPr>
      <w:r>
        <w:rPr>
          <w:color w:val="231F20"/>
          <w:w w:val="110"/>
        </w:rPr>
        <w:t>Cualquier</w:t>
      </w:r>
      <w:r>
        <w:rPr>
          <w:color w:val="231F20"/>
          <w:spacing w:val="-11"/>
          <w:w w:val="110"/>
        </w:rPr>
        <w:t> </w:t>
      </w:r>
      <w:r>
        <w:rPr>
          <w:color w:val="231F20"/>
          <w:w w:val="110"/>
        </w:rPr>
        <w:t>salida</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actual</w:t>
      </w:r>
      <w:r>
        <w:rPr>
          <w:color w:val="231F20"/>
          <w:spacing w:val="-11"/>
          <w:w w:val="110"/>
        </w:rPr>
        <w:t> </w:t>
      </w:r>
      <w:r>
        <w:rPr>
          <w:color w:val="231F20"/>
          <w:w w:val="110"/>
        </w:rPr>
        <w:t>crisis</w:t>
      </w:r>
      <w:r>
        <w:rPr>
          <w:color w:val="231F20"/>
          <w:spacing w:val="-11"/>
          <w:w w:val="110"/>
        </w:rPr>
        <w:t> </w:t>
      </w:r>
      <w:r>
        <w:rPr>
          <w:color w:val="231F20"/>
          <w:w w:val="110"/>
        </w:rPr>
        <w:t>arrojará</w:t>
      </w:r>
      <w:r>
        <w:rPr>
          <w:color w:val="231F20"/>
          <w:spacing w:val="-11"/>
          <w:w w:val="110"/>
        </w:rPr>
        <w:t> </w:t>
      </w:r>
      <w:r>
        <w:rPr>
          <w:color w:val="231F20"/>
          <w:w w:val="110"/>
        </w:rPr>
        <w:t>como</w:t>
      </w:r>
      <w:r>
        <w:rPr>
          <w:color w:val="231F20"/>
          <w:spacing w:val="-11"/>
          <w:w w:val="110"/>
        </w:rPr>
        <w:t> </w:t>
      </w:r>
      <w:r>
        <w:rPr>
          <w:color w:val="231F20"/>
          <w:w w:val="110"/>
        </w:rPr>
        <w:t>resultado</w:t>
      </w:r>
      <w:r>
        <w:rPr>
          <w:color w:val="231F20"/>
          <w:spacing w:val="-11"/>
          <w:w w:val="110"/>
        </w:rPr>
        <w:t> </w:t>
      </w:r>
      <w:r>
        <w:rPr>
          <w:color w:val="231F20"/>
          <w:w w:val="110"/>
        </w:rPr>
        <w:t>una</w:t>
      </w:r>
      <w:r>
        <w:rPr>
          <w:color w:val="231F20"/>
          <w:spacing w:val="-11"/>
          <w:w w:val="110"/>
        </w:rPr>
        <w:t> </w:t>
      </w:r>
      <w:r>
        <w:rPr>
          <w:color w:val="231F20"/>
          <w:w w:val="110"/>
        </w:rPr>
        <w:t>nue- va</w:t>
      </w:r>
      <w:r>
        <w:rPr>
          <w:color w:val="231F20"/>
          <w:spacing w:val="-4"/>
          <w:w w:val="110"/>
        </w:rPr>
        <w:t> </w:t>
      </w:r>
      <w:r>
        <w:rPr>
          <w:color w:val="231F20"/>
          <w:w w:val="110"/>
        </w:rPr>
        <w:t>organización</w:t>
      </w:r>
      <w:r>
        <w:rPr>
          <w:color w:val="231F20"/>
          <w:spacing w:val="-4"/>
          <w:w w:val="110"/>
        </w:rPr>
        <w:t> </w:t>
      </w:r>
      <w:r>
        <w:rPr>
          <w:color w:val="231F20"/>
          <w:w w:val="110"/>
        </w:rPr>
        <w:t>social</w:t>
      </w:r>
      <w:r>
        <w:rPr>
          <w:color w:val="231F20"/>
          <w:spacing w:val="-4"/>
          <w:w w:val="110"/>
        </w:rPr>
        <w:t> </w:t>
      </w:r>
      <w:r>
        <w:rPr>
          <w:color w:val="231F20"/>
          <w:w w:val="110"/>
        </w:rPr>
        <w:t>y</w:t>
      </w:r>
      <w:r>
        <w:rPr>
          <w:color w:val="231F20"/>
          <w:spacing w:val="-4"/>
          <w:w w:val="110"/>
        </w:rPr>
        <w:t> </w:t>
      </w:r>
      <w:r>
        <w:rPr>
          <w:color w:val="231F20"/>
          <w:w w:val="110"/>
        </w:rPr>
        <w:t>espacial</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sociedad</w:t>
      </w:r>
      <w:r>
        <w:rPr>
          <w:color w:val="231F20"/>
          <w:spacing w:val="-4"/>
          <w:w w:val="110"/>
        </w:rPr>
        <w:t> </w:t>
      </w:r>
      <w:r>
        <w:rPr>
          <w:color w:val="231F20"/>
          <w:w w:val="110"/>
        </w:rPr>
        <w:t>y</w:t>
      </w:r>
      <w:r>
        <w:rPr>
          <w:color w:val="231F20"/>
          <w:spacing w:val="-4"/>
          <w:w w:val="110"/>
        </w:rPr>
        <w:t> </w:t>
      </w:r>
      <w:r>
        <w:rPr>
          <w:color w:val="231F20"/>
          <w:w w:val="110"/>
        </w:rPr>
        <w:t>una</w:t>
      </w:r>
      <w:r>
        <w:rPr>
          <w:color w:val="231F20"/>
          <w:spacing w:val="-4"/>
          <w:w w:val="110"/>
        </w:rPr>
        <w:t> </w:t>
      </w:r>
      <w:r>
        <w:rPr>
          <w:color w:val="231F20"/>
          <w:w w:val="110"/>
        </w:rPr>
        <w:t>correlación</w:t>
      </w:r>
      <w:r>
        <w:rPr>
          <w:color w:val="231F20"/>
          <w:spacing w:val="-4"/>
          <w:w w:val="110"/>
        </w:rPr>
        <w:t> </w:t>
      </w:r>
      <w:r>
        <w:rPr>
          <w:color w:val="231F20"/>
          <w:w w:val="110"/>
        </w:rPr>
        <w:t>de fuerzas</w:t>
      </w:r>
      <w:r>
        <w:rPr>
          <w:color w:val="231F20"/>
          <w:spacing w:val="-26"/>
          <w:w w:val="110"/>
        </w:rPr>
        <w:t> </w:t>
      </w:r>
      <w:r>
        <w:rPr>
          <w:color w:val="231F20"/>
          <w:w w:val="110"/>
        </w:rPr>
        <w:t>distinta</w:t>
      </w:r>
      <w:r>
        <w:rPr>
          <w:color w:val="231F20"/>
          <w:spacing w:val="-26"/>
          <w:w w:val="110"/>
        </w:rPr>
        <w:t> </w:t>
      </w:r>
      <w:r>
        <w:rPr>
          <w:color w:val="231F20"/>
          <w:w w:val="110"/>
        </w:rPr>
        <w:t>entre</w:t>
      </w:r>
      <w:r>
        <w:rPr>
          <w:color w:val="231F20"/>
          <w:spacing w:val="-26"/>
          <w:w w:val="110"/>
        </w:rPr>
        <w:t> </w:t>
      </w:r>
      <w:r>
        <w:rPr>
          <w:color w:val="231F20"/>
          <w:w w:val="110"/>
        </w:rPr>
        <w:t>las</w:t>
      </w:r>
      <w:r>
        <w:rPr>
          <w:color w:val="231F20"/>
          <w:spacing w:val="-26"/>
          <w:w w:val="110"/>
        </w:rPr>
        <w:t> </w:t>
      </w:r>
      <w:r>
        <w:rPr>
          <w:color w:val="231F20"/>
          <w:w w:val="110"/>
        </w:rPr>
        <w:t>clases</w:t>
      </w:r>
      <w:r>
        <w:rPr>
          <w:color w:val="231F20"/>
          <w:spacing w:val="-26"/>
          <w:w w:val="110"/>
        </w:rPr>
        <w:t> </w:t>
      </w:r>
      <w:r>
        <w:rPr>
          <w:color w:val="231F20"/>
          <w:w w:val="110"/>
        </w:rPr>
        <w:t>sociales.</w:t>
      </w:r>
      <w:r>
        <w:rPr>
          <w:color w:val="231F20"/>
          <w:spacing w:val="-26"/>
          <w:w w:val="110"/>
        </w:rPr>
        <w:t> </w:t>
      </w:r>
      <w:r>
        <w:rPr>
          <w:color w:val="231F20"/>
          <w:w w:val="110"/>
        </w:rPr>
        <w:t>La</w:t>
      </w:r>
      <w:r>
        <w:rPr>
          <w:color w:val="231F20"/>
          <w:spacing w:val="-26"/>
          <w:w w:val="110"/>
        </w:rPr>
        <w:t> </w:t>
      </w:r>
      <w:r>
        <w:rPr>
          <w:color w:val="231F20"/>
          <w:w w:val="110"/>
        </w:rPr>
        <w:t>crisis</w:t>
      </w:r>
      <w:r>
        <w:rPr>
          <w:color w:val="231F20"/>
          <w:spacing w:val="-26"/>
          <w:w w:val="110"/>
        </w:rPr>
        <w:t> </w:t>
      </w:r>
      <w:r>
        <w:rPr>
          <w:color w:val="231F20"/>
          <w:w w:val="110"/>
        </w:rPr>
        <w:t>de</w:t>
      </w:r>
      <w:r>
        <w:rPr>
          <w:color w:val="231F20"/>
          <w:spacing w:val="-26"/>
          <w:w w:val="110"/>
        </w:rPr>
        <w:t> </w:t>
      </w:r>
      <w:r>
        <w:rPr>
          <w:color w:val="231F20"/>
          <w:w w:val="110"/>
        </w:rPr>
        <w:t>hegemonía</w:t>
      </w:r>
      <w:r>
        <w:rPr>
          <w:color w:val="231F20"/>
          <w:spacing w:val="-26"/>
          <w:w w:val="110"/>
        </w:rPr>
        <w:t> </w:t>
      </w:r>
      <w:r>
        <w:rPr>
          <w:color w:val="231F20"/>
          <w:w w:val="110"/>
        </w:rPr>
        <w:t>va</w:t>
      </w:r>
      <w:r>
        <w:rPr>
          <w:color w:val="231F20"/>
          <w:spacing w:val="-26"/>
          <w:w w:val="110"/>
        </w:rPr>
        <w:t> </w:t>
      </w:r>
      <w:r>
        <w:rPr>
          <w:color w:val="231F20"/>
          <w:w w:val="110"/>
        </w:rPr>
        <w:t>más allá del colapso financiero e, incluso, de la disminución de la tasa</w:t>
      </w:r>
      <w:r>
        <w:rPr>
          <w:color w:val="231F20"/>
          <w:spacing w:val="-28"/>
          <w:w w:val="110"/>
        </w:rPr>
        <w:t> </w:t>
      </w:r>
      <w:r>
        <w:rPr>
          <w:color w:val="231F20"/>
          <w:w w:val="110"/>
        </w:rPr>
        <w:t>de ganancia. El grupo de trabajo sobre Estados Unidos de clacso, que se formó en 2004, presentó su hipótesis de trabajo partiendo de la noción de una crisis de hegemonía. Se planteó que la competencia económica mundial le hacía cada vez más difícil a Estados Unidos conservar su posición hegemónica sobre los demás países, tanto de- sarrollados como</w:t>
      </w:r>
      <w:r>
        <w:rPr>
          <w:color w:val="231F20"/>
          <w:spacing w:val="-27"/>
          <w:w w:val="110"/>
        </w:rPr>
        <w:t> </w:t>
      </w:r>
      <w:r>
        <w:rPr>
          <w:color w:val="231F20"/>
          <w:w w:val="110"/>
        </w:rPr>
        <w:t>“emergentes”.</w:t>
      </w:r>
    </w:p>
    <w:p>
      <w:pPr>
        <w:pStyle w:val="BodyText"/>
        <w:spacing w:line="261" w:lineRule="auto"/>
        <w:ind w:left="100" w:right="119" w:firstLine="240"/>
        <w:jc w:val="both"/>
      </w:pPr>
      <w:r>
        <w:rPr>
          <w:color w:val="231F20"/>
          <w:w w:val="110"/>
        </w:rPr>
        <w:t>En el libro de Gandásegui (2007) se planteaba la pérdida de</w:t>
      </w:r>
      <w:r>
        <w:rPr>
          <w:color w:val="231F20"/>
          <w:spacing w:val="-8"/>
          <w:w w:val="110"/>
        </w:rPr>
        <w:t> </w:t>
      </w:r>
      <w:r>
        <w:rPr>
          <w:color w:val="231F20"/>
          <w:w w:val="110"/>
        </w:rPr>
        <w:t>com- petitividad</w:t>
      </w:r>
      <w:r>
        <w:rPr>
          <w:color w:val="231F20"/>
          <w:spacing w:val="-15"/>
          <w:w w:val="110"/>
        </w:rPr>
        <w:t> </w:t>
      </w:r>
      <w:r>
        <w:rPr>
          <w:color w:val="231F20"/>
          <w:w w:val="110"/>
        </w:rPr>
        <w:t>económica</w:t>
      </w:r>
      <w:r>
        <w:rPr>
          <w:color w:val="231F20"/>
          <w:spacing w:val="-15"/>
          <w:w w:val="110"/>
        </w:rPr>
        <w:t> </w:t>
      </w:r>
      <w:r>
        <w:rPr>
          <w:color w:val="231F20"/>
          <w:spacing w:val="-8"/>
          <w:w w:val="110"/>
        </w:rPr>
        <w:t>y,</w:t>
      </w:r>
      <w:r>
        <w:rPr>
          <w:color w:val="231F20"/>
          <w:spacing w:val="-15"/>
          <w:w w:val="110"/>
        </w:rPr>
        <w:t> </w:t>
      </w:r>
      <w:r>
        <w:rPr>
          <w:color w:val="231F20"/>
          <w:w w:val="110"/>
        </w:rPr>
        <w:t>también,</w:t>
      </w:r>
      <w:r>
        <w:rPr>
          <w:color w:val="231F20"/>
          <w:spacing w:val="-15"/>
          <w:w w:val="110"/>
        </w:rPr>
        <w:t> </w:t>
      </w:r>
      <w:r>
        <w:rPr>
          <w:color w:val="231F20"/>
          <w:w w:val="110"/>
        </w:rPr>
        <w:t>un</w:t>
      </w:r>
      <w:r>
        <w:rPr>
          <w:color w:val="231F20"/>
          <w:spacing w:val="-15"/>
          <w:w w:val="110"/>
        </w:rPr>
        <w:t> </w:t>
      </w:r>
      <w:r>
        <w:rPr>
          <w:color w:val="231F20"/>
          <w:w w:val="110"/>
        </w:rPr>
        <w:t>deterioro</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planta</w:t>
      </w:r>
      <w:r>
        <w:rPr>
          <w:color w:val="231F20"/>
          <w:spacing w:val="-15"/>
          <w:w w:val="110"/>
        </w:rPr>
        <w:t> </w:t>
      </w:r>
      <w:r>
        <w:rPr>
          <w:color w:val="231F20"/>
          <w:w w:val="110"/>
        </w:rPr>
        <w:t>científico-</w:t>
      </w:r>
    </w:p>
    <w:p>
      <w:pPr>
        <w:pStyle w:val="BodyText"/>
        <w:rPr>
          <w:sz w:val="15"/>
        </w:rPr>
      </w:pPr>
    </w:p>
    <w:p>
      <w:pPr>
        <w:pStyle w:val="BodyText"/>
        <w:spacing w:before="67"/>
        <w:ind w:left="113" w:right="132"/>
        <w:jc w:val="center"/>
      </w:pPr>
      <w:r>
        <w:rPr>
          <w:color w:val="231F20"/>
          <w:w w:val="120"/>
        </w:rPr>
        <w:t>[137]</w:t>
      </w:r>
    </w:p>
    <w:p>
      <w:pPr>
        <w:spacing w:after="0"/>
        <w:jc w:val="center"/>
        <w:sectPr>
          <w:headerReference w:type="default" r:id="rId104"/>
          <w:pgSz w:w="7640" w:h="11900"/>
          <w:pgMar w:header="0" w:footer="0" w:top="100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tecnológica.</w:t>
      </w:r>
      <w:r>
        <w:rPr>
          <w:color w:val="231F20"/>
          <w:spacing w:val="-5"/>
          <w:w w:val="110"/>
        </w:rPr>
        <w:t> </w:t>
      </w:r>
      <w:r>
        <w:rPr>
          <w:color w:val="231F20"/>
          <w:w w:val="110"/>
        </w:rPr>
        <w:t>El</w:t>
      </w:r>
      <w:r>
        <w:rPr>
          <w:color w:val="231F20"/>
          <w:spacing w:val="-5"/>
          <w:w w:val="110"/>
        </w:rPr>
        <w:t> </w:t>
      </w:r>
      <w:r>
        <w:rPr>
          <w:color w:val="231F20"/>
          <w:w w:val="110"/>
        </w:rPr>
        <w:t>deslizamiento,</w:t>
      </w:r>
      <w:r>
        <w:rPr>
          <w:color w:val="231F20"/>
          <w:spacing w:val="-5"/>
          <w:w w:val="110"/>
        </w:rPr>
        <w:t> </w:t>
      </w: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aún</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sentía</w:t>
      </w:r>
      <w:r>
        <w:rPr>
          <w:color w:val="231F20"/>
          <w:spacing w:val="-5"/>
          <w:w w:val="110"/>
        </w:rPr>
        <w:t> </w:t>
      </w:r>
      <w:r>
        <w:rPr>
          <w:color w:val="231F20"/>
          <w:w w:val="110"/>
        </w:rPr>
        <w:t>en</w:t>
      </w:r>
      <w:r>
        <w:rPr>
          <w:color w:val="231F20"/>
          <w:spacing w:val="-5"/>
          <w:w w:val="110"/>
        </w:rPr>
        <w:t> </w:t>
      </w:r>
      <w:r>
        <w:rPr>
          <w:color w:val="231F20"/>
          <w:w w:val="110"/>
        </w:rPr>
        <w:t>otras áreas</w:t>
      </w:r>
      <w:r>
        <w:rPr>
          <w:color w:val="231F20"/>
          <w:spacing w:val="-8"/>
          <w:w w:val="110"/>
        </w:rPr>
        <w:t> </w:t>
      </w:r>
      <w:r>
        <w:rPr>
          <w:color w:val="231F20"/>
          <w:w w:val="110"/>
        </w:rPr>
        <w:t>claves</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cultura</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poderío</w:t>
      </w:r>
      <w:r>
        <w:rPr>
          <w:color w:val="231F20"/>
          <w:spacing w:val="-8"/>
          <w:w w:val="110"/>
        </w:rPr>
        <w:t> </w:t>
      </w:r>
      <w:r>
        <w:rPr>
          <w:color w:val="231F20"/>
          <w:spacing w:val="-3"/>
          <w:w w:val="110"/>
        </w:rPr>
        <w:t>militar.</w:t>
      </w:r>
      <w:r>
        <w:rPr>
          <w:color w:val="231F20"/>
          <w:spacing w:val="-8"/>
          <w:w w:val="110"/>
        </w:rPr>
        <w:t> </w:t>
      </w:r>
      <w:r>
        <w:rPr>
          <w:color w:val="231F20"/>
          <w:w w:val="110"/>
        </w:rPr>
        <w:t>Desde</w:t>
      </w:r>
      <w:r>
        <w:rPr>
          <w:color w:val="231F20"/>
          <w:spacing w:val="-8"/>
          <w:w w:val="110"/>
        </w:rPr>
        <w:t> </w:t>
      </w:r>
      <w:r>
        <w:rPr>
          <w:color w:val="231F20"/>
          <w:w w:val="110"/>
        </w:rPr>
        <w:t>aquella</w:t>
      </w:r>
      <w:r>
        <w:rPr>
          <w:color w:val="231F20"/>
          <w:spacing w:val="-8"/>
          <w:w w:val="110"/>
        </w:rPr>
        <w:t> </w:t>
      </w:r>
      <w:r>
        <w:rPr>
          <w:color w:val="231F20"/>
          <w:w w:val="110"/>
        </w:rPr>
        <w:t>fecha para acá, la crisis económica que era inminente estalló como con- secuencia del colapso de uno de los andamiajes de la estructura: la burbuja</w:t>
      </w:r>
      <w:r>
        <w:rPr>
          <w:color w:val="231F20"/>
          <w:spacing w:val="11"/>
          <w:w w:val="110"/>
        </w:rPr>
        <w:t> </w:t>
      </w:r>
      <w:r>
        <w:rPr>
          <w:color w:val="231F20"/>
          <w:w w:val="110"/>
        </w:rPr>
        <w:t>inmobiliaria.</w:t>
      </w:r>
    </w:p>
    <w:p>
      <w:pPr>
        <w:pStyle w:val="BodyText"/>
        <w:spacing w:line="261" w:lineRule="auto"/>
        <w:ind w:left="100" w:right="117" w:firstLine="240"/>
        <w:jc w:val="both"/>
      </w:pPr>
      <w:r>
        <w:rPr>
          <w:color w:val="231F20"/>
          <w:w w:val="110"/>
        </w:rPr>
        <w:t>Durante varios decenios muchos estudios apuntan a la crisis pro- funda</w:t>
      </w:r>
      <w:r>
        <w:rPr>
          <w:color w:val="231F20"/>
          <w:spacing w:val="-7"/>
          <w:w w:val="110"/>
        </w:rPr>
        <w:t> </w:t>
      </w:r>
      <w:r>
        <w:rPr>
          <w:color w:val="231F20"/>
          <w:w w:val="110"/>
        </w:rPr>
        <w:t>que</w:t>
      </w:r>
      <w:r>
        <w:rPr>
          <w:color w:val="231F20"/>
          <w:spacing w:val="-7"/>
          <w:w w:val="110"/>
        </w:rPr>
        <w:t> </w:t>
      </w:r>
      <w:r>
        <w:rPr>
          <w:color w:val="231F20"/>
          <w:w w:val="110"/>
        </w:rPr>
        <w:t>acecha</w:t>
      </w:r>
      <w:r>
        <w:rPr>
          <w:color w:val="231F20"/>
          <w:spacing w:val="-7"/>
          <w:w w:val="110"/>
        </w:rPr>
        <w:t> </w:t>
      </w:r>
      <w:r>
        <w:rPr>
          <w:color w:val="231F20"/>
          <w:w w:val="110"/>
        </w:rPr>
        <w:t>al</w:t>
      </w:r>
      <w:r>
        <w:rPr>
          <w:color w:val="231F20"/>
          <w:spacing w:val="-7"/>
          <w:w w:val="110"/>
        </w:rPr>
        <w:t> </w:t>
      </w:r>
      <w:r>
        <w:rPr>
          <w:color w:val="231F20"/>
          <w:w w:val="110"/>
        </w:rPr>
        <w:t>desarrollo</w:t>
      </w:r>
      <w:r>
        <w:rPr>
          <w:color w:val="231F20"/>
          <w:spacing w:val="-7"/>
          <w:w w:val="110"/>
        </w:rPr>
        <w:t> </w:t>
      </w:r>
      <w:r>
        <w:rPr>
          <w:color w:val="231F20"/>
          <w:w w:val="110"/>
        </w:rPr>
        <w:t>del</w:t>
      </w:r>
      <w:r>
        <w:rPr>
          <w:color w:val="231F20"/>
          <w:spacing w:val="-7"/>
          <w:w w:val="110"/>
        </w:rPr>
        <w:t> </w:t>
      </w:r>
      <w:r>
        <w:rPr>
          <w:color w:val="231F20"/>
          <w:w w:val="110"/>
        </w:rPr>
        <w:t>capitalismo</w:t>
      </w:r>
      <w:r>
        <w:rPr>
          <w:color w:val="231F20"/>
          <w:spacing w:val="-7"/>
          <w:w w:val="110"/>
        </w:rPr>
        <w:t> </w:t>
      </w:r>
      <w:r>
        <w:rPr>
          <w:color w:val="231F20"/>
          <w:w w:val="110"/>
        </w:rPr>
        <w:t>tal</w:t>
      </w:r>
      <w:r>
        <w:rPr>
          <w:color w:val="231F20"/>
          <w:spacing w:val="-7"/>
          <w:w w:val="110"/>
        </w:rPr>
        <w:t> </w:t>
      </w:r>
      <w:r>
        <w:rPr>
          <w:color w:val="231F20"/>
          <w:w w:val="110"/>
        </w:rPr>
        <w:t>como</w:t>
      </w:r>
      <w:r>
        <w:rPr>
          <w:color w:val="231F20"/>
          <w:spacing w:val="-7"/>
          <w:w w:val="110"/>
        </w:rPr>
        <w:t> </w:t>
      </w:r>
      <w:r>
        <w:rPr>
          <w:color w:val="231F20"/>
          <w:w w:val="110"/>
        </w:rPr>
        <w:t>se</w:t>
      </w:r>
      <w:r>
        <w:rPr>
          <w:color w:val="231F20"/>
          <w:spacing w:val="-7"/>
          <w:w w:val="110"/>
        </w:rPr>
        <w:t> </w:t>
      </w:r>
      <w:r>
        <w:rPr>
          <w:color w:val="231F20"/>
          <w:w w:val="110"/>
        </w:rPr>
        <w:t>conoce</w:t>
      </w:r>
      <w:r>
        <w:rPr>
          <w:color w:val="231F20"/>
          <w:spacing w:val="-7"/>
          <w:w w:val="110"/>
        </w:rPr>
        <w:t> </w:t>
      </w:r>
      <w:r>
        <w:rPr>
          <w:color w:val="231F20"/>
          <w:w w:val="110"/>
        </w:rPr>
        <w:t>en la actualidad. Para algunos se trata de un sistema mundo capitalista que</w:t>
      </w:r>
      <w:r>
        <w:rPr>
          <w:color w:val="231F20"/>
          <w:spacing w:val="-12"/>
          <w:w w:val="110"/>
        </w:rPr>
        <w:t> </w:t>
      </w:r>
      <w:r>
        <w:rPr>
          <w:color w:val="231F20"/>
          <w:w w:val="110"/>
        </w:rPr>
        <w:t>nació</w:t>
      </w:r>
      <w:r>
        <w:rPr>
          <w:color w:val="231F20"/>
          <w:spacing w:val="-12"/>
          <w:w w:val="110"/>
        </w:rPr>
        <w:t> </w:t>
      </w:r>
      <w:r>
        <w:rPr>
          <w:color w:val="231F20"/>
          <w:w w:val="110"/>
        </w:rPr>
        <w:t>en</w:t>
      </w:r>
      <w:r>
        <w:rPr>
          <w:color w:val="231F20"/>
          <w:spacing w:val="-12"/>
          <w:w w:val="110"/>
        </w:rPr>
        <w:t> </w:t>
      </w:r>
      <w:r>
        <w:rPr>
          <w:color w:val="231F20"/>
          <w:w w:val="110"/>
        </w:rPr>
        <w:t>ciertas</w:t>
      </w:r>
      <w:r>
        <w:rPr>
          <w:color w:val="231F20"/>
          <w:spacing w:val="-12"/>
          <w:w w:val="110"/>
        </w:rPr>
        <w:t> </w:t>
      </w:r>
      <w:r>
        <w:rPr>
          <w:color w:val="231F20"/>
          <w:w w:val="110"/>
        </w:rPr>
        <w:t>circunstancias</w:t>
      </w:r>
      <w:r>
        <w:rPr>
          <w:color w:val="231F20"/>
          <w:spacing w:val="-12"/>
          <w:w w:val="110"/>
        </w:rPr>
        <w:t> </w:t>
      </w:r>
      <w:r>
        <w:rPr>
          <w:color w:val="231F20"/>
          <w:spacing w:val="-8"/>
          <w:w w:val="110"/>
        </w:rPr>
        <w:t>y,</w:t>
      </w:r>
      <w:r>
        <w:rPr>
          <w:color w:val="231F20"/>
          <w:spacing w:val="-12"/>
          <w:w w:val="110"/>
        </w:rPr>
        <w:t> </w:t>
      </w:r>
      <w:r>
        <w:rPr>
          <w:color w:val="231F20"/>
          <w:w w:val="110"/>
        </w:rPr>
        <w:t>cumplidas</w:t>
      </w:r>
      <w:r>
        <w:rPr>
          <w:color w:val="231F20"/>
          <w:spacing w:val="-12"/>
          <w:w w:val="110"/>
        </w:rPr>
        <w:t> </w:t>
      </w:r>
      <w:r>
        <w:rPr>
          <w:color w:val="231F20"/>
          <w:w w:val="110"/>
        </w:rPr>
        <w:t>todas</w:t>
      </w:r>
      <w:r>
        <w:rPr>
          <w:color w:val="231F20"/>
          <w:spacing w:val="-12"/>
          <w:w w:val="110"/>
        </w:rPr>
        <w:t> </w:t>
      </w:r>
      <w:r>
        <w:rPr>
          <w:color w:val="231F20"/>
          <w:w w:val="110"/>
        </w:rPr>
        <w:t>sus</w:t>
      </w:r>
      <w:r>
        <w:rPr>
          <w:color w:val="231F20"/>
          <w:spacing w:val="-12"/>
          <w:w w:val="110"/>
        </w:rPr>
        <w:t> </w:t>
      </w:r>
      <w:r>
        <w:rPr>
          <w:color w:val="231F20"/>
          <w:w w:val="110"/>
        </w:rPr>
        <w:t>etapas,</w:t>
      </w:r>
      <w:r>
        <w:rPr>
          <w:color w:val="231F20"/>
          <w:spacing w:val="-12"/>
          <w:w w:val="110"/>
        </w:rPr>
        <w:t> </w:t>
      </w:r>
      <w:r>
        <w:rPr>
          <w:color w:val="231F20"/>
          <w:w w:val="110"/>
        </w:rPr>
        <w:t>está llamada</w:t>
      </w:r>
      <w:r>
        <w:rPr>
          <w:color w:val="231F20"/>
          <w:spacing w:val="-8"/>
          <w:w w:val="110"/>
        </w:rPr>
        <w:t> </w:t>
      </w:r>
      <w:r>
        <w:rPr>
          <w:color w:val="231F20"/>
          <w:w w:val="110"/>
        </w:rPr>
        <w:t>a</w:t>
      </w:r>
      <w:r>
        <w:rPr>
          <w:color w:val="231F20"/>
          <w:spacing w:val="-8"/>
          <w:w w:val="110"/>
        </w:rPr>
        <w:t> </w:t>
      </w:r>
      <w:r>
        <w:rPr>
          <w:color w:val="231F20"/>
          <w:spacing w:val="-3"/>
          <w:w w:val="110"/>
        </w:rPr>
        <w:t>perecer.</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de</w:t>
      </w:r>
      <w:r>
        <w:rPr>
          <w:color w:val="231F20"/>
          <w:spacing w:val="-8"/>
          <w:w w:val="110"/>
        </w:rPr>
        <w:t> </w:t>
      </w:r>
      <w:r>
        <w:rPr>
          <w:color w:val="231F20"/>
          <w:w w:val="110"/>
        </w:rPr>
        <w:t>Giovanni</w:t>
      </w:r>
      <w:r>
        <w:rPr>
          <w:color w:val="231F20"/>
          <w:spacing w:val="-8"/>
          <w:w w:val="110"/>
        </w:rPr>
        <w:t> </w:t>
      </w:r>
      <w:r>
        <w:rPr>
          <w:color w:val="231F20"/>
          <w:w w:val="110"/>
        </w:rPr>
        <w:t>Arrighi,</w:t>
      </w:r>
      <w:r>
        <w:rPr>
          <w:color w:val="231F20"/>
          <w:spacing w:val="-8"/>
          <w:w w:val="110"/>
        </w:rPr>
        <w:t> </w:t>
      </w:r>
      <w:r>
        <w:rPr>
          <w:color w:val="231F20"/>
          <w:w w:val="110"/>
        </w:rPr>
        <w:t>su</w:t>
      </w:r>
      <w:r>
        <w:rPr>
          <w:color w:val="231F20"/>
          <w:spacing w:val="-8"/>
          <w:w w:val="110"/>
        </w:rPr>
        <w:t> </w:t>
      </w:r>
      <w:r>
        <w:rPr>
          <w:color w:val="231F20"/>
          <w:w w:val="110"/>
        </w:rPr>
        <w:t>enfoque</w:t>
      </w:r>
      <w:r>
        <w:rPr>
          <w:color w:val="231F20"/>
          <w:spacing w:val="-8"/>
          <w:w w:val="110"/>
        </w:rPr>
        <w:t> </w:t>
      </w:r>
      <w:r>
        <w:rPr>
          <w:color w:val="231F20"/>
          <w:w w:val="110"/>
        </w:rPr>
        <w:t>difiere algo en la medida en que relaciona la crisis actual de sobreproduc- ción a una crisis de hegemonía de Estados Unidos. En este país, que se constituyó un eje central y motor principal de la acumulación capitalista desde mediados del siglo xx, será pronto desplazado por un nuevo centro </w:t>
      </w:r>
      <w:r>
        <w:rPr>
          <w:color w:val="231F20"/>
          <w:spacing w:val="13"/>
          <w:w w:val="110"/>
        </w:rPr>
        <w:t> </w:t>
      </w:r>
      <w:r>
        <w:rPr>
          <w:color w:val="231F20"/>
          <w:w w:val="110"/>
        </w:rPr>
        <w:t>hegemónico.</w:t>
      </w:r>
    </w:p>
    <w:p>
      <w:pPr>
        <w:pStyle w:val="BodyText"/>
        <w:spacing w:line="261" w:lineRule="auto"/>
        <w:ind w:left="100" w:right="117" w:firstLine="240"/>
        <w:jc w:val="both"/>
      </w:pPr>
      <w:r>
        <w:rPr>
          <w:color w:val="231F20"/>
          <w:spacing w:val="-3"/>
          <w:w w:val="110"/>
        </w:rPr>
        <w:t>También </w:t>
      </w:r>
      <w:r>
        <w:rPr>
          <w:color w:val="231F20"/>
          <w:w w:val="110"/>
        </w:rPr>
        <w:t>se destaca en esta línea de pensamiento, Samir Amin, quien plantea que el sistema unipolar de desarrollo capitalista</w:t>
      </w:r>
      <w:r>
        <w:rPr>
          <w:color w:val="231F20"/>
          <w:spacing w:val="-11"/>
          <w:w w:val="110"/>
        </w:rPr>
        <w:t> </w:t>
      </w:r>
      <w:r>
        <w:rPr>
          <w:color w:val="231F20"/>
          <w:w w:val="110"/>
        </w:rPr>
        <w:t>tiende a ser reemplazado por relaciones internacionales que darán lugar a un mundo multipolar. Cada región estará integrada estrechamente   a las demás, pero guardando su especificidad cultural y autonomía política.</w:t>
      </w:r>
    </w:p>
    <w:p>
      <w:pPr>
        <w:pStyle w:val="BodyText"/>
        <w:spacing w:line="261" w:lineRule="auto"/>
        <w:ind w:left="100" w:right="117" w:firstLine="240"/>
        <w:jc w:val="both"/>
      </w:pPr>
      <w:r>
        <w:rPr>
          <w:color w:val="231F20"/>
          <w:w w:val="110"/>
        </w:rPr>
        <w:t>Quien se ha destacado en los estudios del sistema mundo capita- lista</w:t>
      </w:r>
      <w:r>
        <w:rPr>
          <w:color w:val="231F20"/>
          <w:spacing w:val="-7"/>
          <w:w w:val="110"/>
        </w:rPr>
        <w:t> </w:t>
      </w:r>
      <w:r>
        <w:rPr>
          <w:color w:val="231F20"/>
          <w:w w:val="110"/>
        </w:rPr>
        <w:t>es</w:t>
      </w:r>
      <w:r>
        <w:rPr>
          <w:color w:val="231F20"/>
          <w:spacing w:val="-7"/>
          <w:w w:val="110"/>
        </w:rPr>
        <w:t> </w:t>
      </w:r>
      <w:r>
        <w:rPr>
          <w:color w:val="231F20"/>
          <w:w w:val="110"/>
        </w:rPr>
        <w:t>su</w:t>
      </w:r>
      <w:r>
        <w:rPr>
          <w:color w:val="231F20"/>
          <w:spacing w:val="-7"/>
          <w:w w:val="110"/>
        </w:rPr>
        <w:t> </w:t>
      </w:r>
      <w:r>
        <w:rPr>
          <w:color w:val="231F20"/>
          <w:w w:val="110"/>
        </w:rPr>
        <w:t>principal</w:t>
      </w:r>
      <w:r>
        <w:rPr>
          <w:color w:val="231F20"/>
          <w:spacing w:val="-7"/>
          <w:w w:val="110"/>
        </w:rPr>
        <w:t> </w:t>
      </w:r>
      <w:r>
        <w:rPr>
          <w:color w:val="231F20"/>
          <w:spacing w:val="-3"/>
          <w:w w:val="110"/>
        </w:rPr>
        <w:t>gestor,</w:t>
      </w:r>
      <w:r>
        <w:rPr>
          <w:color w:val="231F20"/>
          <w:spacing w:val="-7"/>
          <w:w w:val="110"/>
        </w:rPr>
        <w:t> </w:t>
      </w:r>
      <w:r>
        <w:rPr>
          <w:color w:val="231F20"/>
          <w:w w:val="110"/>
        </w:rPr>
        <w:t>I.</w:t>
      </w:r>
      <w:r>
        <w:rPr>
          <w:color w:val="231F20"/>
          <w:spacing w:val="-7"/>
          <w:w w:val="110"/>
        </w:rPr>
        <w:t> </w:t>
      </w:r>
      <w:r>
        <w:rPr>
          <w:color w:val="231F20"/>
          <w:w w:val="110"/>
        </w:rPr>
        <w:t>Wallerstein.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marco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obra</w:t>
      </w:r>
      <w:r>
        <w:rPr>
          <w:color w:val="231F20"/>
          <w:spacing w:val="-7"/>
          <w:w w:val="110"/>
        </w:rPr>
        <w:t> </w:t>
      </w:r>
      <w:r>
        <w:rPr>
          <w:color w:val="231F20"/>
          <w:w w:val="110"/>
        </w:rPr>
        <w:t>que cubre</w:t>
      </w:r>
      <w:r>
        <w:rPr>
          <w:color w:val="231F20"/>
          <w:spacing w:val="-10"/>
          <w:w w:val="110"/>
        </w:rPr>
        <w:t> </w:t>
      </w:r>
      <w:r>
        <w:rPr>
          <w:color w:val="231F20"/>
          <w:w w:val="110"/>
        </w:rPr>
        <w:t>un</w:t>
      </w:r>
      <w:r>
        <w:rPr>
          <w:color w:val="231F20"/>
          <w:spacing w:val="-10"/>
          <w:w w:val="110"/>
        </w:rPr>
        <w:t> </w:t>
      </w:r>
      <w:r>
        <w:rPr>
          <w:color w:val="231F20"/>
          <w:w w:val="110"/>
        </w:rPr>
        <w:t>periodo</w:t>
      </w:r>
      <w:r>
        <w:rPr>
          <w:color w:val="231F20"/>
          <w:spacing w:val="-10"/>
          <w:w w:val="110"/>
        </w:rPr>
        <w:t> </w:t>
      </w:r>
      <w:r>
        <w:rPr>
          <w:color w:val="231F20"/>
          <w:w w:val="110"/>
        </w:rPr>
        <w:t>de</w:t>
      </w:r>
      <w:r>
        <w:rPr>
          <w:color w:val="231F20"/>
          <w:spacing w:val="-10"/>
          <w:w w:val="110"/>
        </w:rPr>
        <w:t> </w:t>
      </w:r>
      <w:r>
        <w:rPr>
          <w:color w:val="231F20"/>
          <w:w w:val="110"/>
        </w:rPr>
        <w:t>casi</w:t>
      </w:r>
      <w:r>
        <w:rPr>
          <w:color w:val="231F20"/>
          <w:spacing w:val="-10"/>
          <w:w w:val="110"/>
        </w:rPr>
        <w:t> </w:t>
      </w:r>
      <w:r>
        <w:rPr>
          <w:color w:val="231F20"/>
          <w:w w:val="110"/>
        </w:rPr>
        <w:t>40</w:t>
      </w:r>
      <w:r>
        <w:rPr>
          <w:color w:val="231F20"/>
          <w:spacing w:val="-10"/>
          <w:w w:val="110"/>
        </w:rPr>
        <w:t> </w:t>
      </w:r>
      <w:r>
        <w:rPr>
          <w:color w:val="231F20"/>
          <w:w w:val="110"/>
        </w:rPr>
        <w:t>años,</w:t>
      </w:r>
      <w:r>
        <w:rPr>
          <w:color w:val="231F20"/>
          <w:spacing w:val="-10"/>
          <w:w w:val="110"/>
        </w:rPr>
        <w:t> </w:t>
      </w:r>
      <w:r>
        <w:rPr>
          <w:color w:val="231F20"/>
          <w:w w:val="110"/>
        </w:rPr>
        <w:t>Wallerstein</w:t>
      </w:r>
      <w:r>
        <w:rPr>
          <w:color w:val="231F20"/>
          <w:spacing w:val="-10"/>
          <w:w w:val="110"/>
        </w:rPr>
        <w:t> </w:t>
      </w:r>
      <w:r>
        <w:rPr>
          <w:color w:val="231F20"/>
          <w:w w:val="110"/>
        </w:rPr>
        <w:t>plantea</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modo</w:t>
      </w:r>
      <w:r>
        <w:rPr>
          <w:color w:val="231F20"/>
          <w:spacing w:val="-10"/>
          <w:w w:val="110"/>
        </w:rPr>
        <w:t> </w:t>
      </w:r>
      <w:r>
        <w:rPr>
          <w:color w:val="231F20"/>
          <w:w w:val="110"/>
        </w:rPr>
        <w:t>de producción hegemónico actualmente está a punto de fenecer como resultado de sus contradicciones internas insalvables. Wallerstein,   a diferencia de otros cientistas sociales, no postula otro modelo de sociedad que sustituya al capitalismo. Enfrentamos un futuro lleno de incógnitas donde predominará la  </w:t>
      </w:r>
      <w:r>
        <w:rPr>
          <w:color w:val="231F20"/>
          <w:spacing w:val="14"/>
          <w:w w:val="110"/>
        </w:rPr>
        <w:t> </w:t>
      </w:r>
      <w:r>
        <w:rPr>
          <w:color w:val="231F20"/>
          <w:w w:val="110"/>
        </w:rPr>
        <w:t>incertidumbre.</w:t>
      </w:r>
    </w:p>
    <w:p>
      <w:pPr>
        <w:pStyle w:val="BodyText"/>
        <w:spacing w:line="261" w:lineRule="auto"/>
        <w:ind w:left="100" w:right="117" w:firstLine="240"/>
        <w:jc w:val="both"/>
      </w:pPr>
      <w:r>
        <w:rPr>
          <w:color w:val="231F20"/>
          <w:w w:val="105"/>
        </w:rPr>
        <w:t>En el presente trabajo revisamos el estallido de la crisis, de las cau- sas de la crisis del desarrollo capitalista, el significado verdadero del “fin de la historia”, las alternativas que presentan los cuatro actores centrales del sistema mundo capitalista y, para cerrar, ¿quién puede encontrar  la salida?</w:t>
      </w:r>
    </w:p>
    <w:p>
      <w:pPr>
        <w:spacing w:after="0" w:line="261" w:lineRule="auto"/>
        <w:jc w:val="both"/>
        <w:sectPr>
          <w:headerReference w:type="even" r:id="rId105"/>
          <w:headerReference w:type="default" r:id="rId106"/>
          <w:pgSz w:w="7640" w:h="11900"/>
          <w:pgMar w:header="672" w:footer="0" w:top="860" w:bottom="280" w:left="780" w:right="640"/>
        </w:sectPr>
      </w:pPr>
    </w:p>
    <w:p>
      <w:pPr>
        <w:pStyle w:val="BodyText"/>
        <w:spacing w:before="8"/>
        <w:rPr>
          <w:sz w:val="8"/>
        </w:rPr>
      </w:pPr>
    </w:p>
    <w:p>
      <w:pPr>
        <w:pStyle w:val="BodyText"/>
        <w:spacing w:before="67"/>
        <w:ind w:left="100"/>
        <w:jc w:val="both"/>
      </w:pPr>
      <w:r>
        <w:rPr>
          <w:color w:val="231F20"/>
          <w:w w:val="130"/>
        </w:rPr>
        <w:t>el estallido de la crisis</w:t>
      </w:r>
    </w:p>
    <w:p>
      <w:pPr>
        <w:pStyle w:val="BodyText"/>
        <w:spacing w:before="5"/>
        <w:rPr>
          <w:sz w:val="23"/>
        </w:rPr>
      </w:pPr>
    </w:p>
    <w:p>
      <w:pPr>
        <w:pStyle w:val="BodyText"/>
        <w:spacing w:line="261" w:lineRule="auto"/>
        <w:ind w:left="100" w:right="118"/>
        <w:jc w:val="both"/>
      </w:pPr>
      <w:r>
        <w:rPr>
          <w:color w:val="231F20"/>
          <w:w w:val="110"/>
        </w:rPr>
        <w:t>En una sucesión rápida de quiebras en 2008 —en sólo seis meses— cayeron</w:t>
      </w:r>
      <w:r>
        <w:rPr>
          <w:color w:val="231F20"/>
          <w:spacing w:val="-8"/>
          <w:w w:val="110"/>
        </w:rPr>
        <w:t> </w:t>
      </w:r>
      <w:r>
        <w:rPr>
          <w:color w:val="231F20"/>
          <w:w w:val="110"/>
        </w:rPr>
        <w:t>seis</w:t>
      </w:r>
      <w:r>
        <w:rPr>
          <w:color w:val="231F20"/>
          <w:spacing w:val="-8"/>
          <w:w w:val="110"/>
        </w:rPr>
        <w:t> </w:t>
      </w:r>
      <w:r>
        <w:rPr>
          <w:color w:val="231F20"/>
          <w:w w:val="110"/>
        </w:rPr>
        <w:t>grandes</w:t>
      </w:r>
      <w:r>
        <w:rPr>
          <w:color w:val="231F20"/>
          <w:spacing w:val="-8"/>
          <w:w w:val="110"/>
        </w:rPr>
        <w:t> </w:t>
      </w:r>
      <w:r>
        <w:rPr>
          <w:color w:val="231F20"/>
          <w:w w:val="110"/>
        </w:rPr>
        <w:t>empresas</w:t>
      </w:r>
      <w:r>
        <w:rPr>
          <w:color w:val="231F20"/>
          <w:spacing w:val="-8"/>
          <w:w w:val="110"/>
        </w:rPr>
        <w:t> </w:t>
      </w:r>
      <w:r>
        <w:rPr>
          <w:color w:val="231F20"/>
          <w:w w:val="110"/>
        </w:rPr>
        <w:t>financieras</w:t>
      </w:r>
      <w:r>
        <w:rPr>
          <w:color w:val="231F20"/>
          <w:spacing w:val="-8"/>
          <w:w w:val="110"/>
        </w:rPr>
        <w:t> </w:t>
      </w:r>
      <w:r>
        <w:rPr>
          <w:color w:val="231F20"/>
          <w:w w:val="110"/>
        </w:rPr>
        <w:t>del</w:t>
      </w:r>
      <w:r>
        <w:rPr>
          <w:color w:val="231F20"/>
          <w:spacing w:val="-8"/>
          <w:w w:val="110"/>
        </w:rPr>
        <w:t> </w:t>
      </w:r>
      <w:r>
        <w:rPr>
          <w:color w:val="231F20"/>
          <w:w w:val="110"/>
        </w:rPr>
        <w:t>mercado</w:t>
      </w:r>
      <w:r>
        <w:rPr>
          <w:color w:val="231F20"/>
          <w:spacing w:val="-8"/>
          <w:w w:val="110"/>
        </w:rPr>
        <w:t> </w:t>
      </w:r>
      <w:r>
        <w:rPr>
          <w:color w:val="231F20"/>
          <w:w w:val="110"/>
        </w:rPr>
        <w:t>de</w:t>
      </w:r>
      <w:r>
        <w:rPr>
          <w:color w:val="231F20"/>
          <w:spacing w:val="-8"/>
          <w:w w:val="110"/>
        </w:rPr>
        <w:t> </w:t>
      </w:r>
      <w:r>
        <w:rPr>
          <w:color w:val="231F20"/>
          <w:w w:val="110"/>
        </w:rPr>
        <w:t>valores</w:t>
      </w:r>
      <w:r>
        <w:rPr>
          <w:color w:val="231F20"/>
          <w:spacing w:val="-8"/>
          <w:w w:val="110"/>
        </w:rPr>
        <w:t> </w:t>
      </w:r>
      <w:r>
        <w:rPr>
          <w:color w:val="231F20"/>
          <w:w w:val="110"/>
        </w:rPr>
        <w:t>de la ciudad de Nueva York. El 16 de marzo se desplomó Bear</w:t>
      </w:r>
      <w:r>
        <w:rPr>
          <w:color w:val="231F20"/>
          <w:spacing w:val="-25"/>
          <w:w w:val="110"/>
        </w:rPr>
        <w:t> </w:t>
      </w:r>
      <w:r>
        <w:rPr>
          <w:color w:val="231F20"/>
          <w:w w:val="110"/>
        </w:rPr>
        <w:t>Stearns, el 12 de julio fue la primera caída de Fannie Mae y Freddie Mac,</w:t>
      </w:r>
      <w:r>
        <w:rPr>
          <w:color w:val="231F20"/>
          <w:spacing w:val="-25"/>
          <w:w w:val="110"/>
        </w:rPr>
        <w:t> </w:t>
      </w:r>
      <w:r>
        <w:rPr>
          <w:color w:val="231F20"/>
          <w:w w:val="110"/>
        </w:rPr>
        <w:t>las gigantescas casas hipotecarias. El 6 de septiembre siguió</w:t>
      </w:r>
      <w:r>
        <w:rPr>
          <w:color w:val="231F20"/>
          <w:spacing w:val="22"/>
          <w:w w:val="110"/>
        </w:rPr>
        <w:t> </w:t>
      </w:r>
      <w:r>
        <w:rPr>
          <w:color w:val="231F20"/>
          <w:w w:val="110"/>
        </w:rPr>
        <w:t>el</w:t>
      </w:r>
      <w:r>
        <w:rPr>
          <w:color w:val="231F20"/>
          <w:spacing w:val="9"/>
          <w:w w:val="110"/>
        </w:rPr>
        <w:t> </w:t>
      </w:r>
      <w:r>
        <w:rPr>
          <w:color w:val="231F20"/>
          <w:w w:val="110"/>
        </w:rPr>
        <w:t>desplo-</w:t>
      </w:r>
      <w:r>
        <w:rPr>
          <w:color w:val="231F20"/>
          <w:w w:val="72"/>
        </w:rPr>
        <w:t> </w:t>
      </w:r>
      <w:r>
        <w:rPr>
          <w:color w:val="231F20"/>
          <w:w w:val="110"/>
        </w:rPr>
        <w:t>me de los Mac y el 13 de septiembre colapsaron Lehman Brothers   y Merril Lynch, Pocos días más tarde, el 16 de septiembre le tocó el turno a la American Internacional Group.</w:t>
      </w:r>
      <w:r>
        <w:rPr>
          <w:color w:val="231F20"/>
          <w:w w:val="110"/>
          <w:position w:val="6"/>
          <w:sz w:val="13"/>
        </w:rPr>
        <w:t>1 </w:t>
      </w:r>
      <w:r>
        <w:rPr>
          <w:color w:val="231F20"/>
          <w:w w:val="110"/>
        </w:rPr>
        <w:t>La Casa Blanca veía la tormenta sin poder reaccionar. La Reserva Federal (banco central  de Estados Unidos), que tiene autonomía para actuar cuando no   hay crisis, y el Departamento del </w:t>
      </w:r>
      <w:r>
        <w:rPr>
          <w:color w:val="231F20"/>
          <w:spacing w:val="-3"/>
          <w:w w:val="110"/>
        </w:rPr>
        <w:t>Tesoro, </w:t>
      </w:r>
      <w:r>
        <w:rPr>
          <w:color w:val="231F20"/>
          <w:w w:val="110"/>
        </w:rPr>
        <w:t>con cada golpe</w:t>
      </w:r>
      <w:r>
        <w:rPr>
          <w:color w:val="231F20"/>
          <w:spacing w:val="-28"/>
          <w:w w:val="110"/>
        </w:rPr>
        <w:t> </w:t>
      </w:r>
      <w:r>
        <w:rPr>
          <w:color w:val="231F20"/>
          <w:w w:val="110"/>
        </w:rPr>
        <w:t>anunciaban que tenía la situación bajo control. A fines de septiembre</w:t>
      </w:r>
      <w:r>
        <w:rPr>
          <w:color w:val="231F20"/>
          <w:spacing w:val="-36"/>
          <w:w w:val="110"/>
        </w:rPr>
        <w:t> </w:t>
      </w:r>
      <w:r>
        <w:rPr>
          <w:color w:val="231F20"/>
          <w:w w:val="110"/>
        </w:rPr>
        <w:t>confesaron que las acciones tomadas por el gobierno no alteraban la caída del mercado,</w:t>
      </w:r>
      <w:r>
        <w:rPr>
          <w:color w:val="231F20"/>
          <w:spacing w:val="-7"/>
          <w:w w:val="110"/>
        </w:rPr>
        <w:t> </w:t>
      </w:r>
      <w:r>
        <w:rPr>
          <w:color w:val="231F20"/>
          <w:w w:val="110"/>
        </w:rPr>
        <w:t>la</w:t>
      </w:r>
      <w:r>
        <w:rPr>
          <w:color w:val="231F20"/>
          <w:spacing w:val="-7"/>
          <w:w w:val="110"/>
        </w:rPr>
        <w:t> </w:t>
      </w:r>
      <w:r>
        <w:rPr>
          <w:color w:val="231F20"/>
          <w:w w:val="110"/>
        </w:rPr>
        <w:t>quiebra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agencias</w:t>
      </w:r>
      <w:r>
        <w:rPr>
          <w:color w:val="231F20"/>
          <w:spacing w:val="-7"/>
          <w:w w:val="110"/>
        </w:rPr>
        <w:t> </w:t>
      </w:r>
      <w:r>
        <w:rPr>
          <w:color w:val="231F20"/>
          <w:w w:val="110"/>
        </w:rPr>
        <w:t>financieras</w:t>
      </w:r>
      <w:r>
        <w:rPr>
          <w:color w:val="231F20"/>
          <w:spacing w:val="-7"/>
          <w:w w:val="110"/>
        </w:rPr>
        <w:t> </w:t>
      </w:r>
      <w:r>
        <w:rPr>
          <w:color w:val="231F20"/>
          <w:w w:val="110"/>
        </w:rPr>
        <w:t>ni</w:t>
      </w:r>
      <w:r>
        <w:rPr>
          <w:color w:val="231F20"/>
          <w:spacing w:val="-7"/>
          <w:w w:val="110"/>
        </w:rPr>
        <w:t> </w:t>
      </w:r>
      <w:r>
        <w:rPr>
          <w:color w:val="231F20"/>
          <w:w w:val="110"/>
        </w:rPr>
        <w:t>el</w:t>
      </w:r>
      <w:r>
        <w:rPr>
          <w:color w:val="231F20"/>
          <w:spacing w:val="-7"/>
          <w:w w:val="110"/>
        </w:rPr>
        <w:t> </w:t>
      </w:r>
      <w:r>
        <w:rPr>
          <w:color w:val="231F20"/>
          <w:w w:val="110"/>
        </w:rPr>
        <w:t>fin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burbuja inmobiliaria.</w:t>
      </w:r>
    </w:p>
    <w:p>
      <w:pPr>
        <w:pStyle w:val="BodyText"/>
        <w:spacing w:line="261" w:lineRule="auto"/>
        <w:ind w:left="100" w:right="117" w:firstLine="240"/>
        <w:jc w:val="both"/>
      </w:pPr>
      <w:r>
        <w:rPr>
          <w:color w:val="231F20"/>
          <w:w w:val="105"/>
        </w:rPr>
        <w:t>El presidente de la Reserva Federal, Ben Bernanke y Henry Paul- son, secretario del </w:t>
      </w:r>
      <w:r>
        <w:rPr>
          <w:color w:val="231F20"/>
          <w:spacing w:val="-3"/>
          <w:w w:val="105"/>
        </w:rPr>
        <w:t>Tesoro, </w:t>
      </w:r>
      <w:r>
        <w:rPr>
          <w:color w:val="231F20"/>
          <w:w w:val="105"/>
        </w:rPr>
        <w:t>ex presidente de Goldman Sachs (símbolo del capital financiero en Wall Street), intervinieron directamente en   las finanzas de los bancos a pesar de ser calificados como “socialistas”. En la coyuntura de septiembre, los dos grandes financistas decidieron sacrificar a Lehman Brothers para demostrar que no eran suaves y menos “socialistas”. La maniobra no funcionó ya que el mercado no reacciono  y  siguió</w:t>
      </w:r>
      <w:r>
        <w:rPr>
          <w:color w:val="231F20"/>
          <w:spacing w:val="44"/>
          <w:w w:val="105"/>
        </w:rPr>
        <w:t> </w:t>
      </w:r>
      <w:r>
        <w:rPr>
          <w:color w:val="231F20"/>
          <w:w w:val="105"/>
        </w:rPr>
        <w:t>hundiéndose.</w:t>
      </w:r>
    </w:p>
    <w:p>
      <w:pPr>
        <w:pStyle w:val="BodyText"/>
        <w:spacing w:line="261" w:lineRule="auto"/>
        <w:ind w:left="100" w:right="117" w:firstLine="240"/>
        <w:jc w:val="right"/>
      </w:pPr>
      <w:r>
        <w:rPr>
          <w:color w:val="231F20"/>
          <w:w w:val="110"/>
        </w:rPr>
        <w:t>Según</w:t>
      </w:r>
      <w:r>
        <w:rPr>
          <w:color w:val="231F20"/>
          <w:spacing w:val="-13"/>
          <w:w w:val="110"/>
        </w:rPr>
        <w:t> </w:t>
      </w:r>
      <w:r>
        <w:rPr>
          <w:color w:val="231F20"/>
          <w:w w:val="110"/>
        </w:rPr>
        <w:t>Lordon</w:t>
      </w:r>
      <w:r>
        <w:rPr>
          <w:color w:val="231F20"/>
          <w:spacing w:val="-13"/>
          <w:w w:val="110"/>
        </w:rPr>
        <w:t> </w:t>
      </w:r>
      <w:r>
        <w:rPr>
          <w:color w:val="231F20"/>
          <w:w w:val="110"/>
        </w:rPr>
        <w:t>(2008),</w:t>
      </w:r>
      <w:r>
        <w:rPr>
          <w:color w:val="231F20"/>
          <w:spacing w:val="-13"/>
          <w:w w:val="110"/>
        </w:rPr>
        <w:t> </w:t>
      </w:r>
      <w:r>
        <w:rPr>
          <w:color w:val="231F20"/>
          <w:w w:val="110"/>
        </w:rPr>
        <w:t>“el</w:t>
      </w:r>
      <w:r>
        <w:rPr>
          <w:color w:val="231F20"/>
          <w:spacing w:val="-13"/>
          <w:w w:val="110"/>
        </w:rPr>
        <w:t> </w:t>
      </w:r>
      <w:r>
        <w:rPr>
          <w:color w:val="231F20"/>
          <w:w w:val="110"/>
        </w:rPr>
        <w:t>fin</w:t>
      </w:r>
      <w:r>
        <w:rPr>
          <w:color w:val="231F20"/>
          <w:spacing w:val="-13"/>
          <w:w w:val="110"/>
        </w:rPr>
        <w:t> </w:t>
      </w:r>
      <w:r>
        <w:rPr>
          <w:color w:val="231F20"/>
          <w:w w:val="110"/>
        </w:rPr>
        <w:t>de</w:t>
      </w:r>
      <w:r>
        <w:rPr>
          <w:color w:val="231F20"/>
          <w:spacing w:val="-13"/>
          <w:w w:val="110"/>
        </w:rPr>
        <w:t> </w:t>
      </w:r>
      <w:r>
        <w:rPr>
          <w:color w:val="231F20"/>
          <w:w w:val="110"/>
        </w:rPr>
        <w:t>semana</w:t>
      </w:r>
      <w:r>
        <w:rPr>
          <w:color w:val="231F20"/>
          <w:spacing w:val="-13"/>
          <w:w w:val="110"/>
        </w:rPr>
        <w:t> </w:t>
      </w:r>
      <w:r>
        <w:rPr>
          <w:color w:val="231F20"/>
          <w:w w:val="110"/>
        </w:rPr>
        <w:t>del</w:t>
      </w:r>
      <w:r>
        <w:rPr>
          <w:color w:val="231F20"/>
          <w:spacing w:val="-13"/>
          <w:w w:val="110"/>
        </w:rPr>
        <w:t> </w:t>
      </w:r>
      <w:r>
        <w:rPr>
          <w:color w:val="231F20"/>
          <w:w w:val="110"/>
        </w:rPr>
        <w:t>12</w:t>
      </w:r>
      <w:r>
        <w:rPr>
          <w:color w:val="231F20"/>
          <w:spacing w:val="-13"/>
          <w:w w:val="110"/>
        </w:rPr>
        <w:t> </w:t>
      </w:r>
      <w:r>
        <w:rPr>
          <w:color w:val="231F20"/>
          <w:w w:val="110"/>
        </w:rPr>
        <w:t>al</w:t>
      </w:r>
      <w:r>
        <w:rPr>
          <w:color w:val="231F20"/>
          <w:spacing w:val="-13"/>
          <w:w w:val="110"/>
        </w:rPr>
        <w:t> </w:t>
      </w:r>
      <w:r>
        <w:rPr>
          <w:color w:val="231F20"/>
          <w:w w:val="110"/>
        </w:rPr>
        <w:t>14</w:t>
      </w:r>
      <w:r>
        <w:rPr>
          <w:color w:val="231F20"/>
          <w:spacing w:val="-13"/>
          <w:w w:val="110"/>
        </w:rPr>
        <w:t> </w:t>
      </w:r>
      <w:r>
        <w:rPr>
          <w:color w:val="231F20"/>
          <w:w w:val="110"/>
        </w:rPr>
        <w:t>de</w:t>
      </w:r>
      <w:r>
        <w:rPr>
          <w:color w:val="231F20"/>
          <w:spacing w:val="-13"/>
          <w:w w:val="110"/>
        </w:rPr>
        <w:t> </w:t>
      </w:r>
      <w:r>
        <w:rPr>
          <w:color w:val="231F20"/>
          <w:w w:val="110"/>
        </w:rPr>
        <w:t>septiembre</w:t>
      </w:r>
      <w:r>
        <w:rPr>
          <w:color w:val="231F20"/>
          <w:w w:val="110"/>
        </w:rPr>
        <w:t> </w:t>
      </w:r>
      <w:r>
        <w:rPr>
          <w:color w:val="231F20"/>
          <w:w w:val="110"/>
        </w:rPr>
        <w:t>fue una gigantesca partida de póquer de mentiras entre</w:t>
      </w:r>
      <w:r>
        <w:rPr>
          <w:color w:val="231F20"/>
          <w:spacing w:val="10"/>
          <w:w w:val="110"/>
        </w:rPr>
        <w:t> </w:t>
      </w:r>
      <w:r>
        <w:rPr>
          <w:color w:val="231F20"/>
          <w:w w:val="110"/>
        </w:rPr>
        <w:t>el</w:t>
      </w:r>
      <w:r>
        <w:rPr>
          <w:color w:val="231F20"/>
          <w:spacing w:val="19"/>
          <w:w w:val="110"/>
        </w:rPr>
        <w:t> </w:t>
      </w:r>
      <w:r>
        <w:rPr>
          <w:color w:val="231F20"/>
          <w:w w:val="110"/>
        </w:rPr>
        <w:t>binomio</w:t>
      </w:r>
      <w:r>
        <w:rPr>
          <w:color w:val="231F20"/>
          <w:w w:val="110"/>
        </w:rPr>
        <w:t> </w:t>
      </w:r>
      <w:r>
        <w:rPr>
          <w:color w:val="231F20"/>
          <w:w w:val="110"/>
        </w:rPr>
        <w:t>de la Reserva Federal con la Secretaría del </w:t>
      </w:r>
      <w:r>
        <w:rPr>
          <w:color w:val="231F20"/>
          <w:spacing w:val="-4"/>
          <w:w w:val="110"/>
        </w:rPr>
        <w:t>Tesoro </w:t>
      </w:r>
      <w:r>
        <w:rPr>
          <w:color w:val="231F20"/>
          <w:w w:val="110"/>
        </w:rPr>
        <w:t>y Wall</w:t>
      </w:r>
      <w:r>
        <w:rPr>
          <w:color w:val="231F20"/>
          <w:spacing w:val="-8"/>
          <w:w w:val="110"/>
        </w:rPr>
        <w:t> </w:t>
      </w:r>
      <w:r>
        <w:rPr>
          <w:color w:val="231F20"/>
          <w:w w:val="110"/>
        </w:rPr>
        <w:t>Street”.</w:t>
      </w:r>
      <w:r>
        <w:rPr>
          <w:color w:val="231F20"/>
          <w:spacing w:val="-2"/>
          <w:w w:val="110"/>
        </w:rPr>
        <w:t> </w:t>
      </w:r>
      <w:r>
        <w:rPr>
          <w:color w:val="231F20"/>
          <w:w w:val="110"/>
        </w:rPr>
        <w:t>El</w:t>
      </w:r>
      <w:r>
        <w:rPr>
          <w:color w:val="231F20"/>
          <w:w w:val="101"/>
        </w:rPr>
        <w:t> </w:t>
      </w:r>
      <w:r>
        <w:rPr>
          <w:color w:val="231F20"/>
          <w:w w:val="110"/>
        </w:rPr>
        <w:t>gobierno</w:t>
      </w:r>
      <w:r>
        <w:rPr>
          <w:color w:val="231F20"/>
          <w:spacing w:val="-11"/>
          <w:w w:val="110"/>
        </w:rPr>
        <w:t> </w:t>
      </w:r>
      <w:r>
        <w:rPr>
          <w:color w:val="231F20"/>
          <w:w w:val="110"/>
        </w:rPr>
        <w:t>quería</w:t>
      </w:r>
      <w:r>
        <w:rPr>
          <w:color w:val="231F20"/>
          <w:spacing w:val="-11"/>
          <w:w w:val="110"/>
        </w:rPr>
        <w:t> </w:t>
      </w:r>
      <w:r>
        <w:rPr>
          <w:color w:val="231F20"/>
          <w:w w:val="110"/>
        </w:rPr>
        <w:t>mostrar</w:t>
      </w:r>
      <w:r>
        <w:rPr>
          <w:color w:val="231F20"/>
          <w:spacing w:val="-11"/>
          <w:w w:val="110"/>
        </w:rPr>
        <w:t> </w:t>
      </w:r>
      <w:r>
        <w:rPr>
          <w:color w:val="231F20"/>
          <w:w w:val="110"/>
        </w:rPr>
        <w:t>su</w:t>
      </w:r>
      <w:r>
        <w:rPr>
          <w:color w:val="231F20"/>
          <w:spacing w:val="-11"/>
          <w:w w:val="110"/>
        </w:rPr>
        <w:t> </w:t>
      </w:r>
      <w:r>
        <w:rPr>
          <w:color w:val="231F20"/>
          <w:w w:val="110"/>
        </w:rPr>
        <w:t>fortaleza</w:t>
      </w:r>
      <w:r>
        <w:rPr>
          <w:color w:val="231F20"/>
          <w:spacing w:val="-11"/>
          <w:w w:val="110"/>
        </w:rPr>
        <w:t> </w:t>
      </w:r>
      <w:r>
        <w:rPr>
          <w:color w:val="231F20"/>
          <w:w w:val="110"/>
        </w:rPr>
        <w:t>y</w:t>
      </w:r>
      <w:r>
        <w:rPr>
          <w:color w:val="231F20"/>
          <w:spacing w:val="-11"/>
          <w:w w:val="110"/>
        </w:rPr>
        <w:t> </w:t>
      </w:r>
      <w:r>
        <w:rPr>
          <w:color w:val="231F20"/>
          <w:w w:val="110"/>
        </w:rPr>
        <w:t>decidió</w:t>
      </w:r>
      <w:r>
        <w:rPr>
          <w:color w:val="231F20"/>
          <w:spacing w:val="-11"/>
          <w:w w:val="110"/>
        </w:rPr>
        <w:t> </w:t>
      </w:r>
      <w:r>
        <w:rPr>
          <w:color w:val="231F20"/>
          <w:w w:val="110"/>
        </w:rPr>
        <w:t>atrincherarse.</w:t>
      </w:r>
      <w:r>
        <w:rPr>
          <w:color w:val="231F20"/>
          <w:spacing w:val="-11"/>
          <w:w w:val="110"/>
        </w:rPr>
        <w:t> </w:t>
      </w:r>
      <w:r>
        <w:rPr>
          <w:color w:val="231F20"/>
          <w:w w:val="110"/>
        </w:rPr>
        <w:t>En</w:t>
      </w:r>
      <w:r>
        <w:rPr>
          <w:color w:val="231F20"/>
          <w:spacing w:val="-11"/>
          <w:w w:val="110"/>
        </w:rPr>
        <w:t> </w:t>
      </w:r>
      <w:r>
        <w:rPr>
          <w:color w:val="231F20"/>
          <w:w w:val="110"/>
        </w:rPr>
        <w:t>cam-</w:t>
      </w:r>
      <w:r>
        <w:rPr>
          <w:color w:val="231F20"/>
          <w:w w:val="72"/>
        </w:rPr>
        <w:t> </w:t>
      </w:r>
      <w:r>
        <w:rPr>
          <w:color w:val="231F20"/>
          <w:w w:val="110"/>
        </w:rPr>
        <w:t>bio,</w:t>
      </w:r>
      <w:r>
        <w:rPr>
          <w:color w:val="231F20"/>
          <w:spacing w:val="-15"/>
          <w:w w:val="110"/>
        </w:rPr>
        <w:t> </w:t>
      </w:r>
      <w:r>
        <w:rPr>
          <w:color w:val="231F20"/>
          <w:w w:val="110"/>
        </w:rPr>
        <w:t>los</w:t>
      </w:r>
      <w:r>
        <w:rPr>
          <w:color w:val="231F20"/>
          <w:spacing w:val="-15"/>
          <w:w w:val="110"/>
        </w:rPr>
        <w:t> </w:t>
      </w:r>
      <w:r>
        <w:rPr>
          <w:color w:val="231F20"/>
          <w:w w:val="110"/>
        </w:rPr>
        <w:t>financistas</w:t>
      </w:r>
      <w:r>
        <w:rPr>
          <w:color w:val="231F20"/>
          <w:spacing w:val="-15"/>
          <w:w w:val="110"/>
        </w:rPr>
        <w:t> </w:t>
      </w:r>
      <w:r>
        <w:rPr>
          <w:color w:val="231F20"/>
          <w:w w:val="110"/>
        </w:rPr>
        <w:t>de</w:t>
      </w:r>
      <w:r>
        <w:rPr>
          <w:color w:val="231F20"/>
          <w:spacing w:val="-15"/>
          <w:w w:val="110"/>
        </w:rPr>
        <w:t> </w:t>
      </w:r>
      <w:r>
        <w:rPr>
          <w:color w:val="231F20"/>
          <w:w w:val="110"/>
        </w:rPr>
        <w:t>Wall</w:t>
      </w:r>
      <w:r>
        <w:rPr>
          <w:color w:val="231F20"/>
          <w:spacing w:val="-15"/>
          <w:w w:val="110"/>
        </w:rPr>
        <w:t> </w:t>
      </w:r>
      <w:r>
        <w:rPr>
          <w:color w:val="231F20"/>
          <w:w w:val="110"/>
        </w:rPr>
        <w:t>Street</w:t>
      </w:r>
      <w:r>
        <w:rPr>
          <w:color w:val="231F20"/>
          <w:spacing w:val="-15"/>
          <w:w w:val="110"/>
        </w:rPr>
        <w:t> </w:t>
      </w:r>
      <w:r>
        <w:rPr>
          <w:color w:val="231F20"/>
          <w:w w:val="110"/>
        </w:rPr>
        <w:t>pensaron,</w:t>
      </w:r>
      <w:r>
        <w:rPr>
          <w:color w:val="231F20"/>
          <w:spacing w:val="-15"/>
          <w:w w:val="110"/>
        </w:rPr>
        <w:t> </w:t>
      </w:r>
      <w:r>
        <w:rPr>
          <w:color w:val="231F20"/>
          <w:w w:val="110"/>
        </w:rPr>
        <w:t>equivocadamente,</w:t>
      </w:r>
      <w:r>
        <w:rPr>
          <w:color w:val="231F20"/>
          <w:spacing w:val="-15"/>
          <w:w w:val="110"/>
        </w:rPr>
        <w:t> </w:t>
      </w:r>
      <w:r>
        <w:rPr>
          <w:color w:val="231F20"/>
          <w:w w:val="110"/>
        </w:rPr>
        <w:t>que</w:t>
      </w:r>
      <w:r>
        <w:rPr>
          <w:color w:val="231F20"/>
          <w:spacing w:val="-15"/>
          <w:w w:val="110"/>
        </w:rPr>
        <w:t> </w:t>
      </w:r>
      <w:r>
        <w:rPr>
          <w:color w:val="231F20"/>
          <w:w w:val="110"/>
        </w:rPr>
        <w:t>se</w:t>
      </w:r>
      <w:r>
        <w:rPr>
          <w:color w:val="231F20"/>
          <w:w w:val="103"/>
        </w:rPr>
        <w:t> </w:t>
      </w:r>
      <w:r>
        <w:rPr>
          <w:color w:val="231F20"/>
          <w:w w:val="110"/>
        </w:rPr>
        <w:t>trataba</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estrategia</w:t>
      </w:r>
      <w:r>
        <w:rPr>
          <w:color w:val="231F20"/>
          <w:spacing w:val="-7"/>
          <w:w w:val="110"/>
        </w:rPr>
        <w:t> </w:t>
      </w:r>
      <w:r>
        <w:rPr>
          <w:color w:val="231F20"/>
          <w:w w:val="110"/>
        </w:rPr>
        <w:t>para</w:t>
      </w:r>
      <w:r>
        <w:rPr>
          <w:color w:val="231F20"/>
          <w:spacing w:val="-7"/>
          <w:w w:val="110"/>
        </w:rPr>
        <w:t> </w:t>
      </w:r>
      <w:r>
        <w:rPr>
          <w:color w:val="231F20"/>
          <w:w w:val="110"/>
        </w:rPr>
        <w:t>atemorizar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bancos</w:t>
      </w:r>
      <w:r>
        <w:rPr>
          <w:color w:val="231F20"/>
          <w:spacing w:val="-7"/>
          <w:w w:val="110"/>
        </w:rPr>
        <w:t> </w:t>
      </w:r>
      <w:r>
        <w:rPr>
          <w:color w:val="231F20"/>
          <w:w w:val="110"/>
        </w:rPr>
        <w:t>divididos</w:t>
      </w:r>
      <w:r>
        <w:rPr>
          <w:color w:val="231F20"/>
          <w:spacing w:val="-7"/>
          <w:w w:val="110"/>
        </w:rPr>
        <w:t> </w:t>
      </w:r>
      <w:r>
        <w:rPr>
          <w:color w:val="231F20"/>
          <w:w w:val="110"/>
        </w:rPr>
        <w:t>entre</w:t>
      </w:r>
      <w:r>
        <w:rPr>
          <w:color w:val="231F20"/>
          <w:w w:val="116"/>
        </w:rPr>
        <w:t> </w:t>
      </w:r>
      <w:r>
        <w:rPr>
          <w:color w:val="231F20"/>
          <w:w w:val="110"/>
        </w:rPr>
        <w:t>compradores</w:t>
      </w:r>
      <w:r>
        <w:rPr>
          <w:color w:val="231F20"/>
          <w:spacing w:val="-7"/>
          <w:w w:val="110"/>
        </w:rPr>
        <w:t> </w:t>
      </w:r>
      <w:r>
        <w:rPr>
          <w:color w:val="231F20"/>
          <w:w w:val="110"/>
        </w:rPr>
        <w:t>oportunistas</w:t>
      </w:r>
      <w:r>
        <w:rPr>
          <w:color w:val="231F20"/>
          <w:spacing w:val="-7"/>
          <w:w w:val="110"/>
        </w:rPr>
        <w:t> </w:t>
      </w:r>
      <w:r>
        <w:rPr>
          <w:color w:val="231F20"/>
          <w:w w:val="110"/>
        </w:rPr>
        <w:t>y</w:t>
      </w:r>
      <w:r>
        <w:rPr>
          <w:color w:val="231F20"/>
          <w:spacing w:val="-7"/>
          <w:w w:val="110"/>
        </w:rPr>
        <w:t> </w:t>
      </w:r>
      <w:r>
        <w:rPr>
          <w:color w:val="231F20"/>
          <w:w w:val="110"/>
        </w:rPr>
        <w:t>financistas”</w:t>
      </w:r>
      <w:r>
        <w:rPr>
          <w:color w:val="231F20"/>
          <w:spacing w:val="-7"/>
          <w:w w:val="110"/>
        </w:rPr>
        <w:t> </w:t>
      </w:r>
      <w:r>
        <w:rPr>
          <w:color w:val="231F20"/>
          <w:w w:val="110"/>
        </w:rPr>
        <w:t>(Lordon,</w:t>
      </w:r>
      <w:r>
        <w:rPr>
          <w:color w:val="231F20"/>
          <w:spacing w:val="-7"/>
          <w:w w:val="110"/>
        </w:rPr>
        <w:t> </w:t>
      </w:r>
      <w:r>
        <w:rPr>
          <w:color w:val="231F20"/>
          <w:w w:val="110"/>
        </w:rPr>
        <w:t>2008).</w:t>
      </w:r>
      <w:r>
        <w:rPr>
          <w:color w:val="231F20"/>
          <w:spacing w:val="-7"/>
          <w:w w:val="110"/>
        </w:rPr>
        <w:t> </w:t>
      </w:r>
      <w:r>
        <w:rPr>
          <w:color w:val="231F20"/>
          <w:spacing w:val="-5"/>
          <w:w w:val="110"/>
        </w:rPr>
        <w:t>Todo</w:t>
      </w:r>
      <w:r>
        <w:rPr>
          <w:color w:val="231F20"/>
          <w:spacing w:val="-7"/>
          <w:w w:val="110"/>
        </w:rPr>
        <w:t> </w:t>
      </w:r>
      <w:r>
        <w:rPr>
          <w:color w:val="231F20"/>
          <w:w w:val="110"/>
        </w:rPr>
        <w:t>el</w:t>
      </w:r>
      <w:r>
        <w:rPr>
          <w:color w:val="231F20"/>
          <w:spacing w:val="-7"/>
          <w:w w:val="110"/>
        </w:rPr>
        <w:t> </w:t>
      </w:r>
      <w:r>
        <w:rPr>
          <w:color w:val="231F20"/>
          <w:w w:val="110"/>
        </w:rPr>
        <w:t>sis-</w:t>
      </w:r>
      <w:r>
        <w:rPr>
          <w:color w:val="231F20"/>
          <w:w w:val="72"/>
        </w:rPr>
        <w:t> </w:t>
      </w:r>
      <w:r>
        <w:rPr>
          <w:color w:val="231F20"/>
          <w:w w:val="110"/>
        </w:rPr>
        <w:t>tema estaba intoxicado por los préstamos de alto</w:t>
      </w:r>
      <w:r>
        <w:rPr>
          <w:color w:val="231F20"/>
          <w:spacing w:val="47"/>
          <w:w w:val="110"/>
        </w:rPr>
        <w:t> </w:t>
      </w:r>
      <w:r>
        <w:rPr>
          <w:color w:val="231F20"/>
          <w:w w:val="110"/>
        </w:rPr>
        <w:t>riesgo</w:t>
      </w:r>
      <w:r>
        <w:rPr>
          <w:color w:val="231F20"/>
          <w:spacing w:val="5"/>
          <w:w w:val="110"/>
        </w:rPr>
        <w:t> </w:t>
      </w:r>
      <w:r>
        <w:rPr>
          <w:color w:val="231F20"/>
          <w:w w:val="110"/>
        </w:rPr>
        <w:t>(subprime).</w:t>
      </w:r>
      <w:r>
        <w:rPr>
          <w:color w:val="231F20"/>
          <w:w w:val="113"/>
        </w:rPr>
        <w:t> </w:t>
      </w:r>
      <w:r>
        <w:rPr>
          <w:color w:val="231F20"/>
          <w:w w:val="110"/>
        </w:rPr>
        <w:t>Los prestamistas no tenían una base sólida ni un historial</w:t>
      </w:r>
      <w:r>
        <w:rPr>
          <w:color w:val="231F20"/>
          <w:spacing w:val="-3"/>
          <w:w w:val="110"/>
        </w:rPr>
        <w:t> </w:t>
      </w:r>
      <w:r>
        <w:rPr>
          <w:color w:val="231F20"/>
          <w:w w:val="110"/>
        </w:rPr>
        <w:t>de</w:t>
      </w:r>
      <w:r>
        <w:rPr>
          <w:color w:val="231F20"/>
          <w:spacing w:val="-1"/>
          <w:w w:val="110"/>
        </w:rPr>
        <w:t> </w:t>
      </w:r>
      <w:r>
        <w:rPr>
          <w:color w:val="231F20"/>
          <w:w w:val="110"/>
        </w:rPr>
        <w:t>crédito.</w:t>
      </w:r>
      <w:r>
        <w:rPr>
          <w:color w:val="231F20"/>
          <w:w w:val="111"/>
        </w:rPr>
        <w:t> </w:t>
      </w:r>
      <w:r>
        <w:rPr>
          <w:color w:val="231F20"/>
          <w:w w:val="110"/>
        </w:rPr>
        <w:t>Los</w:t>
      </w:r>
      <w:r>
        <w:rPr>
          <w:color w:val="231F20"/>
          <w:spacing w:val="28"/>
          <w:w w:val="110"/>
        </w:rPr>
        <w:t> </w:t>
      </w:r>
      <w:r>
        <w:rPr>
          <w:color w:val="231F20"/>
          <w:w w:val="110"/>
        </w:rPr>
        <w:t>préstamos</w:t>
      </w:r>
      <w:r>
        <w:rPr>
          <w:color w:val="231F20"/>
          <w:spacing w:val="28"/>
          <w:w w:val="110"/>
        </w:rPr>
        <w:t> </w:t>
      </w:r>
      <w:r>
        <w:rPr>
          <w:color w:val="231F20"/>
          <w:w w:val="110"/>
        </w:rPr>
        <w:t>de</w:t>
      </w:r>
      <w:r>
        <w:rPr>
          <w:color w:val="231F20"/>
          <w:spacing w:val="28"/>
          <w:w w:val="110"/>
        </w:rPr>
        <w:t> </w:t>
      </w:r>
      <w:r>
        <w:rPr>
          <w:color w:val="231F20"/>
          <w:w w:val="110"/>
        </w:rPr>
        <w:t>alto</w:t>
      </w:r>
      <w:r>
        <w:rPr>
          <w:color w:val="231F20"/>
          <w:spacing w:val="28"/>
          <w:w w:val="110"/>
        </w:rPr>
        <w:t> </w:t>
      </w:r>
      <w:r>
        <w:rPr>
          <w:color w:val="231F20"/>
          <w:w w:val="110"/>
        </w:rPr>
        <w:t>riesgo</w:t>
      </w:r>
      <w:r>
        <w:rPr>
          <w:color w:val="231F20"/>
          <w:spacing w:val="28"/>
          <w:w w:val="110"/>
        </w:rPr>
        <w:t> </w:t>
      </w:r>
      <w:r>
        <w:rPr>
          <w:color w:val="231F20"/>
          <w:w w:val="110"/>
        </w:rPr>
        <w:t>tomaron</w:t>
      </w:r>
      <w:r>
        <w:rPr>
          <w:color w:val="231F20"/>
          <w:spacing w:val="28"/>
          <w:w w:val="110"/>
        </w:rPr>
        <w:t> </w:t>
      </w:r>
      <w:r>
        <w:rPr>
          <w:color w:val="231F20"/>
          <w:w w:val="110"/>
        </w:rPr>
        <w:t>vuelo</w:t>
      </w:r>
      <w:r>
        <w:rPr>
          <w:color w:val="231F20"/>
          <w:spacing w:val="28"/>
          <w:w w:val="110"/>
        </w:rPr>
        <w:t> </w:t>
      </w:r>
      <w:r>
        <w:rPr>
          <w:color w:val="231F20"/>
          <w:w w:val="110"/>
        </w:rPr>
        <w:t>a</w:t>
      </w:r>
      <w:r>
        <w:rPr>
          <w:color w:val="231F20"/>
          <w:spacing w:val="28"/>
          <w:w w:val="110"/>
        </w:rPr>
        <w:t> </w:t>
      </w:r>
      <w:r>
        <w:rPr>
          <w:color w:val="231F20"/>
          <w:w w:val="110"/>
        </w:rPr>
        <w:t>mediados</w:t>
      </w:r>
      <w:r>
        <w:rPr>
          <w:color w:val="231F20"/>
          <w:spacing w:val="28"/>
          <w:w w:val="110"/>
        </w:rPr>
        <w:t> </w:t>
      </w:r>
      <w:r>
        <w:rPr>
          <w:color w:val="231F20"/>
          <w:w w:val="110"/>
        </w:rPr>
        <w:t>de</w:t>
      </w:r>
      <w:r>
        <w:rPr>
          <w:color w:val="231F20"/>
          <w:spacing w:val="28"/>
          <w:w w:val="110"/>
        </w:rPr>
        <w:t> </w:t>
      </w:r>
      <w:r>
        <w:rPr>
          <w:color w:val="231F20"/>
          <w:w w:val="110"/>
        </w:rPr>
        <w:t>los</w:t>
      </w:r>
      <w:r>
        <w:rPr>
          <w:color w:val="231F20"/>
          <w:w w:val="102"/>
        </w:rPr>
        <w:t> </w:t>
      </w:r>
      <w:r>
        <w:rPr>
          <w:color w:val="231F20"/>
          <w:w w:val="110"/>
        </w:rPr>
        <w:t>años</w:t>
      </w:r>
      <w:r>
        <w:rPr>
          <w:color w:val="231F20"/>
          <w:spacing w:val="-16"/>
          <w:w w:val="110"/>
        </w:rPr>
        <w:t> </w:t>
      </w:r>
      <w:r>
        <w:rPr>
          <w:color w:val="231F20"/>
          <w:w w:val="110"/>
        </w:rPr>
        <w:t>noventa.</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momento</w:t>
      </w:r>
      <w:r>
        <w:rPr>
          <w:color w:val="231F20"/>
          <w:spacing w:val="-16"/>
          <w:w w:val="110"/>
        </w:rPr>
        <w:t> </w:t>
      </w:r>
      <w:r>
        <w:rPr>
          <w:color w:val="231F20"/>
          <w:w w:val="110"/>
        </w:rPr>
        <w:t>del</w:t>
      </w:r>
      <w:r>
        <w:rPr>
          <w:color w:val="231F20"/>
          <w:spacing w:val="-16"/>
          <w:w w:val="110"/>
        </w:rPr>
        <w:t> </w:t>
      </w:r>
      <w:r>
        <w:rPr>
          <w:color w:val="231F20"/>
          <w:w w:val="110"/>
        </w:rPr>
        <w:t>estallido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crisis</w:t>
      </w:r>
      <w:r>
        <w:rPr>
          <w:color w:val="231F20"/>
          <w:spacing w:val="-16"/>
          <w:w w:val="110"/>
        </w:rPr>
        <w:t> </w:t>
      </w:r>
      <w:r>
        <w:rPr>
          <w:color w:val="231F20"/>
          <w:w w:val="110"/>
        </w:rPr>
        <w:t>estos</w:t>
      </w:r>
      <w:r>
        <w:rPr>
          <w:color w:val="231F20"/>
          <w:spacing w:val="-16"/>
          <w:w w:val="110"/>
        </w:rPr>
        <w:t> </w:t>
      </w:r>
      <w:r>
        <w:rPr>
          <w:color w:val="231F20"/>
          <w:w w:val="110"/>
        </w:rPr>
        <w:t>préstamos</w:t>
      </w:r>
    </w:p>
    <w:p>
      <w:pPr>
        <w:pStyle w:val="BodyText"/>
      </w:pPr>
    </w:p>
    <w:p>
      <w:pPr>
        <w:pStyle w:val="BodyText"/>
        <w:spacing w:before="2"/>
        <w:rPr>
          <w:sz w:val="26"/>
        </w:rPr>
      </w:pPr>
    </w:p>
    <w:p>
      <w:pPr>
        <w:spacing w:before="0"/>
        <w:ind w:left="340" w:right="25" w:firstLine="0"/>
        <w:jc w:val="left"/>
        <w:rPr>
          <w:sz w:val="16"/>
        </w:rPr>
      </w:pPr>
      <w:r>
        <w:rPr>
          <w:color w:val="231F20"/>
          <w:w w:val="110"/>
          <w:position w:val="5"/>
          <w:sz w:val="10"/>
        </w:rPr>
        <w:t>1   </w:t>
      </w:r>
      <w:r>
        <w:rPr>
          <w:color w:val="231F20"/>
          <w:w w:val="110"/>
          <w:sz w:val="16"/>
        </w:rPr>
        <w:t>Una cronología en este sentido la ofrece Ocampo  (2009).</w:t>
      </w:r>
    </w:p>
    <w:p>
      <w:pPr>
        <w:spacing w:after="0"/>
        <w:jc w:val="left"/>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right"/>
      </w:pPr>
      <w:r>
        <w:rPr>
          <w:color w:val="231F20"/>
          <w:w w:val="110"/>
        </w:rPr>
        <w:t>intoxicados,</w:t>
      </w:r>
      <w:r>
        <w:rPr>
          <w:color w:val="231F20"/>
          <w:spacing w:val="-8"/>
          <w:w w:val="110"/>
        </w:rPr>
        <w:t> </w:t>
      </w:r>
      <w:r>
        <w:rPr>
          <w:color w:val="231F20"/>
          <w:w w:val="110"/>
        </w:rPr>
        <w:t>representaban</w:t>
      </w:r>
      <w:r>
        <w:rPr>
          <w:color w:val="231F20"/>
          <w:spacing w:val="-8"/>
          <w:w w:val="110"/>
        </w:rPr>
        <w:t> </w:t>
      </w:r>
      <w:r>
        <w:rPr>
          <w:color w:val="231F20"/>
          <w:w w:val="110"/>
        </w:rPr>
        <w:t>15%</w:t>
      </w:r>
      <w:r>
        <w:rPr>
          <w:color w:val="231F20"/>
          <w:spacing w:val="-8"/>
          <w:w w:val="110"/>
        </w:rPr>
        <w:t> </w:t>
      </w:r>
      <w:r>
        <w:rPr>
          <w:color w:val="231F20"/>
          <w:w w:val="110"/>
        </w:rPr>
        <w:t>del</w:t>
      </w:r>
      <w:r>
        <w:rPr>
          <w:color w:val="231F20"/>
          <w:spacing w:val="-8"/>
          <w:w w:val="110"/>
        </w:rPr>
        <w:t> </w:t>
      </w:r>
      <w:r>
        <w:rPr>
          <w:color w:val="231F20"/>
          <w:w w:val="110"/>
        </w:rPr>
        <w:t>total</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cartera</w:t>
      </w:r>
      <w:r>
        <w:rPr>
          <w:color w:val="231F20"/>
          <w:spacing w:val="-8"/>
          <w:w w:val="110"/>
        </w:rPr>
        <w:t> </w:t>
      </w:r>
      <w:r>
        <w:rPr>
          <w:color w:val="231F20"/>
          <w:w w:val="110"/>
        </w:rPr>
        <w:t>(cerca</w:t>
      </w:r>
      <w:r>
        <w:rPr>
          <w:color w:val="231F20"/>
          <w:spacing w:val="-8"/>
          <w:w w:val="110"/>
        </w:rPr>
        <w:t> </w:t>
      </w:r>
      <w:r>
        <w:rPr>
          <w:color w:val="231F20"/>
          <w:w w:val="110"/>
        </w:rPr>
        <w:t>de</w:t>
      </w:r>
      <w:r>
        <w:rPr>
          <w:color w:val="231F20"/>
          <w:spacing w:val="-8"/>
          <w:w w:val="110"/>
        </w:rPr>
        <w:t> </w:t>
      </w:r>
      <w:r>
        <w:rPr>
          <w:color w:val="231F20"/>
          <w:w w:val="110"/>
        </w:rPr>
        <w:t>8</w:t>
      </w:r>
      <w:r>
        <w:rPr>
          <w:color w:val="231F20"/>
          <w:spacing w:val="-8"/>
          <w:w w:val="110"/>
        </w:rPr>
        <w:t> </w:t>
      </w:r>
      <w:r>
        <w:rPr>
          <w:color w:val="231F20"/>
          <w:w w:val="110"/>
        </w:rPr>
        <w:t>mi-</w:t>
      </w:r>
      <w:r>
        <w:rPr>
          <w:color w:val="231F20"/>
          <w:w w:val="72"/>
        </w:rPr>
        <w:t> </w:t>
      </w:r>
      <w:r>
        <w:rPr>
          <w:color w:val="231F20"/>
          <w:w w:val="110"/>
        </w:rPr>
        <w:t>llones de préstamos hipotecarios). Las</w:t>
      </w:r>
      <w:r>
        <w:rPr>
          <w:color w:val="231F20"/>
          <w:spacing w:val="36"/>
          <w:w w:val="110"/>
        </w:rPr>
        <w:t> </w:t>
      </w:r>
      <w:r>
        <w:rPr>
          <w:color w:val="231F20"/>
          <w:w w:val="110"/>
        </w:rPr>
        <w:t>manipulaciones</w:t>
      </w:r>
      <w:r>
        <w:rPr>
          <w:color w:val="231F20"/>
          <w:spacing w:val="7"/>
          <w:w w:val="110"/>
        </w:rPr>
        <w:t> </w:t>
      </w:r>
      <w:r>
        <w:rPr>
          <w:color w:val="231F20"/>
          <w:w w:val="110"/>
        </w:rPr>
        <w:t>tecnológicas</w:t>
      </w:r>
      <w:r>
        <w:rPr>
          <w:color w:val="231F20"/>
          <w:w w:val="107"/>
        </w:rPr>
        <w:t> </w:t>
      </w:r>
      <w:r>
        <w:rPr>
          <w:color w:val="231F20"/>
          <w:w w:val="110"/>
        </w:rPr>
        <w:t>y financieras, acopladas a las nociones neoliberales, </w:t>
      </w:r>
      <w:r>
        <w:rPr>
          <w:color w:val="231F20"/>
          <w:spacing w:val="30"/>
          <w:w w:val="110"/>
        </w:rPr>
        <w:t> </w:t>
      </w:r>
      <w:r>
        <w:rPr>
          <w:color w:val="231F20"/>
          <w:w w:val="110"/>
        </w:rPr>
        <w:t>hicieron</w:t>
      </w:r>
      <w:r>
        <w:rPr>
          <w:color w:val="231F20"/>
          <w:spacing w:val="20"/>
          <w:w w:val="110"/>
        </w:rPr>
        <w:t> </w:t>
      </w:r>
      <w:r>
        <w:rPr>
          <w:color w:val="231F20"/>
          <w:w w:val="110"/>
        </w:rPr>
        <w:t>creer</w:t>
      </w:r>
      <w:r>
        <w:rPr>
          <w:color w:val="231F20"/>
          <w:w w:val="113"/>
        </w:rPr>
        <w:t> </w:t>
      </w:r>
      <w:r>
        <w:rPr>
          <w:color w:val="231F20"/>
          <w:w w:val="110"/>
        </w:rPr>
        <w:t>a muchos que se estaban reduciendo los costos de</w:t>
      </w:r>
      <w:r>
        <w:rPr>
          <w:color w:val="231F20"/>
          <w:spacing w:val="31"/>
          <w:w w:val="110"/>
        </w:rPr>
        <w:t> </w:t>
      </w:r>
      <w:r>
        <w:rPr>
          <w:color w:val="231F20"/>
          <w:w w:val="110"/>
        </w:rPr>
        <w:t>las</w:t>
      </w:r>
      <w:r>
        <w:rPr>
          <w:color w:val="231F20"/>
          <w:spacing w:val="21"/>
          <w:w w:val="110"/>
        </w:rPr>
        <w:t> </w:t>
      </w:r>
      <w:r>
        <w:rPr>
          <w:color w:val="231F20"/>
          <w:w w:val="110"/>
        </w:rPr>
        <w:t>operaciones</w:t>
      </w:r>
      <w:r>
        <w:rPr>
          <w:color w:val="231F20"/>
          <w:w w:val="110"/>
        </w:rPr>
        <w:t> </w:t>
      </w:r>
      <w:r>
        <w:rPr>
          <w:color w:val="231F20"/>
          <w:w w:val="110"/>
        </w:rPr>
        <w:t>hipotecarias riesgosas. Según los financistas, el sistema</w:t>
      </w:r>
      <w:r>
        <w:rPr>
          <w:color w:val="231F20"/>
          <w:spacing w:val="49"/>
          <w:w w:val="110"/>
        </w:rPr>
        <w:t> </w:t>
      </w:r>
      <w:r>
        <w:rPr>
          <w:color w:val="231F20"/>
          <w:w w:val="110"/>
        </w:rPr>
        <w:t>de</w:t>
      </w:r>
      <w:r>
        <w:rPr>
          <w:color w:val="231F20"/>
          <w:spacing w:val="7"/>
          <w:w w:val="110"/>
        </w:rPr>
        <w:t> </w:t>
      </w:r>
      <w:r>
        <w:rPr>
          <w:color w:val="231F20"/>
          <w:w w:val="110"/>
        </w:rPr>
        <w:t>procesa-</w:t>
      </w:r>
      <w:r>
        <w:rPr>
          <w:color w:val="231F20"/>
          <w:w w:val="72"/>
        </w:rPr>
        <w:t> </w:t>
      </w:r>
      <w:r>
        <w:rPr>
          <w:color w:val="231F20"/>
          <w:w w:val="110"/>
        </w:rPr>
        <w:t>miento de información les permitía uniformar sus técnicas y</w:t>
      </w:r>
      <w:r>
        <w:rPr>
          <w:color w:val="231F20"/>
          <w:spacing w:val="6"/>
          <w:w w:val="110"/>
        </w:rPr>
        <w:t> </w:t>
      </w:r>
      <w:r>
        <w:rPr>
          <w:color w:val="231F20"/>
          <w:w w:val="110"/>
        </w:rPr>
        <w:t>ajustar</w:t>
      </w:r>
      <w:r>
        <w:rPr>
          <w:color w:val="231F20"/>
          <w:w w:val="108"/>
        </w:rPr>
        <w:t> </w:t>
      </w:r>
      <w:r>
        <w:rPr>
          <w:color w:val="231F20"/>
          <w:w w:val="110"/>
        </w:rPr>
        <w:t>los</w:t>
      </w:r>
      <w:r>
        <w:rPr>
          <w:color w:val="231F20"/>
          <w:spacing w:val="-25"/>
          <w:w w:val="110"/>
        </w:rPr>
        <w:t> </w:t>
      </w:r>
      <w:r>
        <w:rPr>
          <w:color w:val="231F20"/>
          <w:w w:val="110"/>
        </w:rPr>
        <w:t>riesgos</w:t>
      </w:r>
      <w:r>
        <w:rPr>
          <w:color w:val="231F20"/>
          <w:spacing w:val="-25"/>
          <w:w w:val="110"/>
        </w:rPr>
        <w:t> </w:t>
      </w:r>
      <w:r>
        <w:rPr>
          <w:color w:val="231F20"/>
          <w:w w:val="110"/>
        </w:rPr>
        <w:t>que</w:t>
      </w:r>
      <w:r>
        <w:rPr>
          <w:color w:val="231F20"/>
          <w:spacing w:val="-25"/>
          <w:w w:val="110"/>
        </w:rPr>
        <w:t> </w:t>
      </w:r>
      <w:r>
        <w:rPr>
          <w:color w:val="231F20"/>
          <w:w w:val="110"/>
        </w:rPr>
        <w:t>implicaban</w:t>
      </w:r>
      <w:r>
        <w:rPr>
          <w:color w:val="231F20"/>
          <w:spacing w:val="-25"/>
          <w:w w:val="110"/>
        </w:rPr>
        <w:t> </w:t>
      </w:r>
      <w:r>
        <w:rPr>
          <w:color w:val="231F20"/>
          <w:w w:val="110"/>
        </w:rPr>
        <w:t>las</w:t>
      </w:r>
      <w:r>
        <w:rPr>
          <w:color w:val="231F20"/>
          <w:spacing w:val="-25"/>
          <w:w w:val="110"/>
        </w:rPr>
        <w:t> </w:t>
      </w:r>
      <w:r>
        <w:rPr>
          <w:color w:val="231F20"/>
          <w:w w:val="110"/>
        </w:rPr>
        <w:t>posibles</w:t>
      </w:r>
      <w:r>
        <w:rPr>
          <w:color w:val="231F20"/>
          <w:spacing w:val="-25"/>
          <w:w w:val="110"/>
        </w:rPr>
        <w:t> </w:t>
      </w:r>
      <w:r>
        <w:rPr>
          <w:color w:val="231F20"/>
          <w:w w:val="110"/>
        </w:rPr>
        <w:t>pérdidas</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malas</w:t>
      </w:r>
      <w:r>
        <w:rPr>
          <w:color w:val="231F20"/>
          <w:spacing w:val="-25"/>
          <w:w w:val="110"/>
        </w:rPr>
        <w:t> </w:t>
      </w:r>
      <w:r>
        <w:rPr>
          <w:color w:val="231F20"/>
          <w:w w:val="110"/>
        </w:rPr>
        <w:t>prácticas.</w:t>
      </w:r>
      <w:r>
        <w:rPr>
          <w:color w:val="231F20"/>
          <w:w w:val="107"/>
        </w:rPr>
        <w:t> </w:t>
      </w:r>
      <w:r>
        <w:rPr>
          <w:color w:val="231F20"/>
          <w:w w:val="110"/>
        </w:rPr>
        <w:t>En</w:t>
      </w:r>
      <w:r>
        <w:rPr>
          <w:color w:val="231F20"/>
          <w:spacing w:val="24"/>
          <w:w w:val="110"/>
        </w:rPr>
        <w:t> </w:t>
      </w:r>
      <w:r>
        <w:rPr>
          <w:color w:val="231F20"/>
          <w:w w:val="110"/>
        </w:rPr>
        <w:t>este</w:t>
      </w:r>
      <w:r>
        <w:rPr>
          <w:color w:val="231F20"/>
          <w:spacing w:val="24"/>
          <w:w w:val="110"/>
        </w:rPr>
        <w:t> </w:t>
      </w:r>
      <w:r>
        <w:rPr>
          <w:color w:val="231F20"/>
          <w:w w:val="110"/>
        </w:rPr>
        <w:t>juego</w:t>
      </w:r>
      <w:r>
        <w:rPr>
          <w:color w:val="231F20"/>
          <w:spacing w:val="24"/>
          <w:w w:val="110"/>
        </w:rPr>
        <w:t> </w:t>
      </w:r>
      <w:r>
        <w:rPr>
          <w:color w:val="231F20"/>
          <w:w w:val="110"/>
        </w:rPr>
        <w:t>de</w:t>
      </w:r>
      <w:r>
        <w:rPr>
          <w:color w:val="231F20"/>
          <w:spacing w:val="24"/>
          <w:w w:val="110"/>
        </w:rPr>
        <w:t> </w:t>
      </w:r>
      <w:r>
        <w:rPr>
          <w:color w:val="231F20"/>
          <w:w w:val="110"/>
        </w:rPr>
        <w:t>sillas,</w:t>
      </w:r>
      <w:r>
        <w:rPr>
          <w:color w:val="231F20"/>
          <w:spacing w:val="24"/>
          <w:w w:val="110"/>
        </w:rPr>
        <w:t> </w:t>
      </w:r>
      <w:r>
        <w:rPr>
          <w:color w:val="231F20"/>
          <w:w w:val="110"/>
        </w:rPr>
        <w:t>Bernanke,</w:t>
      </w:r>
      <w:r>
        <w:rPr>
          <w:color w:val="231F20"/>
          <w:spacing w:val="24"/>
          <w:w w:val="110"/>
        </w:rPr>
        <w:t> </w:t>
      </w:r>
      <w:r>
        <w:rPr>
          <w:color w:val="231F20"/>
          <w:w w:val="110"/>
        </w:rPr>
        <w:t>antes</w:t>
      </w:r>
      <w:r>
        <w:rPr>
          <w:color w:val="231F20"/>
          <w:spacing w:val="24"/>
          <w:w w:val="110"/>
        </w:rPr>
        <w:t> </w:t>
      </w:r>
      <w:r>
        <w:rPr>
          <w:color w:val="231F20"/>
          <w:w w:val="110"/>
        </w:rPr>
        <w:t>de</w:t>
      </w:r>
      <w:r>
        <w:rPr>
          <w:color w:val="231F20"/>
          <w:spacing w:val="24"/>
          <w:w w:val="110"/>
        </w:rPr>
        <w:t> </w:t>
      </w:r>
      <w:r>
        <w:rPr>
          <w:color w:val="231F20"/>
          <w:w w:val="110"/>
        </w:rPr>
        <w:t>ser</w:t>
      </w:r>
      <w:r>
        <w:rPr>
          <w:color w:val="231F20"/>
          <w:spacing w:val="24"/>
          <w:w w:val="110"/>
        </w:rPr>
        <w:t> </w:t>
      </w:r>
      <w:r>
        <w:rPr>
          <w:color w:val="231F20"/>
          <w:w w:val="110"/>
        </w:rPr>
        <w:t>presidente</w:t>
      </w:r>
      <w:r>
        <w:rPr>
          <w:color w:val="231F20"/>
          <w:spacing w:val="24"/>
          <w:w w:val="110"/>
        </w:rPr>
        <w:t> </w:t>
      </w:r>
      <w:r>
        <w:rPr>
          <w:color w:val="231F20"/>
          <w:w w:val="110"/>
        </w:rPr>
        <w:t>de</w:t>
      </w:r>
      <w:r>
        <w:rPr>
          <w:color w:val="231F20"/>
          <w:spacing w:val="24"/>
          <w:w w:val="110"/>
        </w:rPr>
        <w:t> </w:t>
      </w:r>
      <w:r>
        <w:rPr>
          <w:color w:val="231F20"/>
          <w:w w:val="110"/>
        </w:rPr>
        <w:t>la</w:t>
      </w:r>
      <w:r>
        <w:rPr>
          <w:color w:val="231F20"/>
          <w:w w:val="105"/>
        </w:rPr>
        <w:t> </w:t>
      </w:r>
      <w:r>
        <w:rPr>
          <w:color w:val="231F20"/>
          <w:w w:val="110"/>
        </w:rPr>
        <w:t>Reserva Federal llegó a efectuar un cálculo parecido a</w:t>
      </w:r>
      <w:r>
        <w:rPr>
          <w:color w:val="231F20"/>
          <w:spacing w:val="27"/>
          <w:w w:val="110"/>
        </w:rPr>
        <w:t> </w:t>
      </w:r>
      <w:r>
        <w:rPr>
          <w:color w:val="231F20"/>
          <w:w w:val="110"/>
        </w:rPr>
        <w:t>las</w:t>
      </w:r>
      <w:r>
        <w:rPr>
          <w:color w:val="231F20"/>
          <w:spacing w:val="3"/>
          <w:w w:val="110"/>
        </w:rPr>
        <w:t> </w:t>
      </w:r>
      <w:r>
        <w:rPr>
          <w:color w:val="231F20"/>
          <w:w w:val="110"/>
        </w:rPr>
        <w:t>aventuras</w:t>
      </w:r>
      <w:r>
        <w:rPr>
          <w:color w:val="231F20"/>
          <w:w w:val="108"/>
        </w:rPr>
        <w:t> </w:t>
      </w:r>
      <w:r>
        <w:rPr>
          <w:color w:val="231F20"/>
          <w:w w:val="110"/>
        </w:rPr>
        <w:t>de</w:t>
      </w:r>
      <w:r>
        <w:rPr>
          <w:color w:val="231F20"/>
          <w:spacing w:val="-35"/>
          <w:w w:val="110"/>
        </w:rPr>
        <w:t> </w:t>
      </w:r>
      <w:r>
        <w:rPr>
          <w:i/>
          <w:color w:val="231F20"/>
          <w:w w:val="110"/>
        </w:rPr>
        <w:t>Alicia</w:t>
      </w:r>
      <w:r>
        <w:rPr>
          <w:i/>
          <w:color w:val="231F20"/>
          <w:spacing w:val="-35"/>
          <w:w w:val="110"/>
        </w:rPr>
        <w:t> </w:t>
      </w:r>
      <w:r>
        <w:rPr>
          <w:i/>
          <w:color w:val="231F20"/>
          <w:w w:val="110"/>
        </w:rPr>
        <w:t>en</w:t>
      </w:r>
      <w:r>
        <w:rPr>
          <w:i/>
          <w:color w:val="231F20"/>
          <w:spacing w:val="-35"/>
          <w:w w:val="110"/>
        </w:rPr>
        <w:t> </w:t>
      </w:r>
      <w:r>
        <w:rPr>
          <w:i/>
          <w:color w:val="231F20"/>
          <w:w w:val="110"/>
        </w:rPr>
        <w:t>el</w:t>
      </w:r>
      <w:r>
        <w:rPr>
          <w:i/>
          <w:color w:val="231F20"/>
          <w:spacing w:val="-35"/>
          <w:w w:val="110"/>
        </w:rPr>
        <w:t> </w:t>
      </w:r>
      <w:r>
        <w:rPr>
          <w:i/>
          <w:color w:val="231F20"/>
          <w:w w:val="110"/>
        </w:rPr>
        <w:t>país</w:t>
      </w:r>
      <w:r>
        <w:rPr>
          <w:i/>
          <w:color w:val="231F20"/>
          <w:spacing w:val="-35"/>
          <w:w w:val="110"/>
        </w:rPr>
        <w:t> </w:t>
      </w:r>
      <w:r>
        <w:rPr>
          <w:i/>
          <w:color w:val="231F20"/>
          <w:w w:val="110"/>
        </w:rPr>
        <w:t>de</w:t>
      </w:r>
      <w:r>
        <w:rPr>
          <w:i/>
          <w:color w:val="231F20"/>
          <w:spacing w:val="-35"/>
          <w:w w:val="110"/>
        </w:rPr>
        <w:t> </w:t>
      </w:r>
      <w:r>
        <w:rPr>
          <w:i/>
          <w:color w:val="231F20"/>
          <w:w w:val="110"/>
        </w:rPr>
        <w:t>las</w:t>
      </w:r>
      <w:r>
        <w:rPr>
          <w:i/>
          <w:color w:val="231F20"/>
          <w:spacing w:val="-35"/>
          <w:w w:val="110"/>
        </w:rPr>
        <w:t> </w:t>
      </w:r>
      <w:r>
        <w:rPr>
          <w:i/>
          <w:color w:val="231F20"/>
          <w:w w:val="110"/>
        </w:rPr>
        <w:t>maravillas</w:t>
      </w:r>
      <w:r>
        <w:rPr>
          <w:color w:val="231F20"/>
          <w:w w:val="110"/>
        </w:rPr>
        <w:t>.</w:t>
      </w:r>
      <w:r>
        <w:rPr>
          <w:color w:val="231F20"/>
          <w:spacing w:val="-35"/>
          <w:w w:val="110"/>
        </w:rPr>
        <w:t> </w:t>
      </w:r>
      <w:r>
        <w:rPr>
          <w:color w:val="231F20"/>
          <w:w w:val="110"/>
        </w:rPr>
        <w:t>De</w:t>
      </w:r>
      <w:r>
        <w:rPr>
          <w:color w:val="231F20"/>
          <w:spacing w:val="-35"/>
          <w:w w:val="110"/>
        </w:rPr>
        <w:t> </w:t>
      </w:r>
      <w:r>
        <w:rPr>
          <w:color w:val="231F20"/>
          <w:w w:val="110"/>
        </w:rPr>
        <w:t>acuerdo</w:t>
      </w:r>
      <w:r>
        <w:rPr>
          <w:color w:val="231F20"/>
          <w:spacing w:val="-35"/>
          <w:w w:val="110"/>
        </w:rPr>
        <w:t> </w:t>
      </w:r>
      <w:r>
        <w:rPr>
          <w:color w:val="231F20"/>
          <w:w w:val="110"/>
        </w:rPr>
        <w:t>con</w:t>
      </w:r>
      <w:r>
        <w:rPr>
          <w:color w:val="231F20"/>
          <w:spacing w:val="-35"/>
          <w:w w:val="110"/>
        </w:rPr>
        <w:t> </w:t>
      </w:r>
      <w:r>
        <w:rPr>
          <w:color w:val="231F20"/>
          <w:w w:val="110"/>
        </w:rPr>
        <w:t>el</w:t>
      </w:r>
      <w:r>
        <w:rPr>
          <w:color w:val="231F20"/>
          <w:spacing w:val="-35"/>
          <w:w w:val="110"/>
        </w:rPr>
        <w:t> </w:t>
      </w:r>
      <w:r>
        <w:rPr>
          <w:color w:val="231F20"/>
          <w:w w:val="110"/>
        </w:rPr>
        <w:t>sucesor</w:t>
      </w:r>
      <w:r>
        <w:rPr>
          <w:color w:val="231F20"/>
          <w:spacing w:val="-35"/>
          <w:w w:val="110"/>
        </w:rPr>
        <w:t> </w:t>
      </w:r>
      <w:r>
        <w:rPr>
          <w:color w:val="231F20"/>
          <w:w w:val="110"/>
        </w:rPr>
        <w:t>de</w:t>
      </w:r>
      <w:r>
        <w:rPr>
          <w:color w:val="231F20"/>
          <w:spacing w:val="-35"/>
          <w:w w:val="110"/>
        </w:rPr>
        <w:t> </w:t>
      </w:r>
      <w:r>
        <w:rPr>
          <w:color w:val="231F20"/>
          <w:w w:val="110"/>
        </w:rPr>
        <w:t>Alain</w:t>
      </w:r>
      <w:r>
        <w:rPr>
          <w:color w:val="231F20"/>
          <w:w w:val="103"/>
        </w:rPr>
        <w:t> </w:t>
      </w:r>
      <w:r>
        <w:rPr>
          <w:color w:val="231F20"/>
          <w:w w:val="110"/>
        </w:rPr>
        <w:t>Greenspan, la probabilidad de una quiebra hipotecaria entre</w:t>
      </w:r>
      <w:r>
        <w:rPr>
          <w:color w:val="231F20"/>
          <w:spacing w:val="26"/>
          <w:w w:val="110"/>
        </w:rPr>
        <w:t> </w:t>
      </w:r>
      <w:r>
        <w:rPr>
          <w:color w:val="231F20"/>
          <w:w w:val="110"/>
        </w:rPr>
        <w:t>los</w:t>
      </w:r>
      <w:r>
        <w:rPr>
          <w:color w:val="231F20"/>
          <w:spacing w:val="17"/>
          <w:w w:val="110"/>
        </w:rPr>
        <w:t> </w:t>
      </w:r>
      <w:r>
        <w:rPr>
          <w:color w:val="231F20"/>
          <w:w w:val="110"/>
        </w:rPr>
        <w:t>35</w:t>
      </w:r>
      <w:r>
        <w:rPr>
          <w:color w:val="231F20"/>
          <w:w w:val="104"/>
        </w:rPr>
        <w:t> </w:t>
      </w:r>
      <w:r>
        <w:rPr>
          <w:color w:val="231F20"/>
          <w:w w:val="110"/>
        </w:rPr>
        <w:t>millones de préstamos más seguros (</w:t>
      </w:r>
      <w:r>
        <w:rPr>
          <w:i/>
          <w:color w:val="231F20"/>
          <w:w w:val="110"/>
        </w:rPr>
        <w:t>prime</w:t>
      </w:r>
      <w:r>
        <w:rPr>
          <w:color w:val="231F20"/>
          <w:w w:val="110"/>
        </w:rPr>
        <w:t>) es igual al 1%.</w:t>
      </w:r>
      <w:r>
        <w:rPr>
          <w:color w:val="231F20"/>
          <w:spacing w:val="-16"/>
          <w:w w:val="110"/>
        </w:rPr>
        <w:t> </w:t>
      </w:r>
      <w:r>
        <w:rPr>
          <w:color w:val="231F20"/>
          <w:w w:val="110"/>
        </w:rPr>
        <w:t>Entre</w:t>
      </w:r>
      <w:r>
        <w:rPr>
          <w:color w:val="231F20"/>
          <w:spacing w:val="-2"/>
          <w:w w:val="110"/>
        </w:rPr>
        <w:t> </w:t>
      </w:r>
      <w:r>
        <w:rPr>
          <w:color w:val="231F20"/>
          <w:w w:val="110"/>
        </w:rPr>
        <w:t>los</w:t>
      </w:r>
      <w:r>
        <w:rPr>
          <w:color w:val="231F20"/>
          <w:w w:val="102"/>
        </w:rPr>
        <w:t> </w:t>
      </w:r>
      <w:r>
        <w:rPr>
          <w:color w:val="231F20"/>
          <w:w w:val="110"/>
        </w:rPr>
        <w:t>12 millones de préstamos de alto riesgo (</w:t>
      </w:r>
      <w:r>
        <w:rPr>
          <w:i/>
          <w:color w:val="231F20"/>
          <w:w w:val="110"/>
        </w:rPr>
        <w:t>subprime</w:t>
      </w:r>
      <w:r>
        <w:rPr>
          <w:color w:val="231F20"/>
          <w:w w:val="110"/>
        </w:rPr>
        <w:t>), calculaba</w:t>
      </w:r>
      <w:r>
        <w:rPr>
          <w:color w:val="231F20"/>
          <w:spacing w:val="-31"/>
          <w:w w:val="110"/>
        </w:rPr>
        <w:t> </w:t>
      </w:r>
      <w:r>
        <w:rPr>
          <w:color w:val="231F20"/>
          <w:w w:val="110"/>
        </w:rPr>
        <w:t>que</w:t>
      </w:r>
      <w:r>
        <w:rPr>
          <w:color w:val="231F20"/>
          <w:spacing w:val="-4"/>
          <w:w w:val="110"/>
        </w:rPr>
        <w:t> </w:t>
      </w:r>
      <w:r>
        <w:rPr>
          <w:color w:val="231F20"/>
          <w:w w:val="110"/>
        </w:rPr>
        <w:t>la</w:t>
      </w:r>
      <w:r>
        <w:rPr>
          <w:color w:val="231F20"/>
          <w:w w:val="105"/>
        </w:rPr>
        <w:t> </w:t>
      </w:r>
      <w:r>
        <w:rPr>
          <w:color w:val="231F20"/>
          <w:w w:val="110"/>
        </w:rPr>
        <w:t>probabilidad</w:t>
      </w:r>
      <w:r>
        <w:rPr>
          <w:color w:val="231F20"/>
          <w:spacing w:val="27"/>
          <w:w w:val="110"/>
        </w:rPr>
        <w:t> </w:t>
      </w:r>
      <w:r>
        <w:rPr>
          <w:color w:val="231F20"/>
          <w:w w:val="110"/>
        </w:rPr>
        <w:t>de</w:t>
      </w:r>
      <w:r>
        <w:rPr>
          <w:color w:val="231F20"/>
          <w:spacing w:val="27"/>
          <w:w w:val="110"/>
        </w:rPr>
        <w:t> </w:t>
      </w:r>
      <w:r>
        <w:rPr>
          <w:color w:val="231F20"/>
          <w:w w:val="110"/>
        </w:rPr>
        <w:t>una</w:t>
      </w:r>
      <w:r>
        <w:rPr>
          <w:color w:val="231F20"/>
          <w:spacing w:val="27"/>
          <w:w w:val="110"/>
        </w:rPr>
        <w:t> </w:t>
      </w:r>
      <w:r>
        <w:rPr>
          <w:color w:val="231F20"/>
          <w:w w:val="110"/>
        </w:rPr>
        <w:t>quiebra</w:t>
      </w:r>
      <w:r>
        <w:rPr>
          <w:color w:val="231F20"/>
          <w:spacing w:val="27"/>
          <w:w w:val="110"/>
        </w:rPr>
        <w:t> </w:t>
      </w:r>
      <w:r>
        <w:rPr>
          <w:color w:val="231F20"/>
          <w:w w:val="110"/>
        </w:rPr>
        <w:t>era</w:t>
      </w:r>
      <w:r>
        <w:rPr>
          <w:color w:val="231F20"/>
          <w:spacing w:val="27"/>
          <w:w w:val="110"/>
        </w:rPr>
        <w:t> </w:t>
      </w:r>
      <w:r>
        <w:rPr>
          <w:color w:val="231F20"/>
          <w:w w:val="110"/>
        </w:rPr>
        <w:t>de</w:t>
      </w:r>
      <w:r>
        <w:rPr>
          <w:color w:val="231F20"/>
          <w:spacing w:val="27"/>
          <w:w w:val="110"/>
        </w:rPr>
        <w:t> </w:t>
      </w:r>
      <w:r>
        <w:rPr>
          <w:color w:val="231F20"/>
          <w:w w:val="110"/>
        </w:rPr>
        <w:t>2%.</w:t>
      </w:r>
      <w:r>
        <w:rPr>
          <w:color w:val="231F20"/>
          <w:spacing w:val="27"/>
          <w:w w:val="110"/>
        </w:rPr>
        <w:t> </w:t>
      </w:r>
      <w:r>
        <w:rPr>
          <w:color w:val="231F20"/>
          <w:w w:val="110"/>
        </w:rPr>
        <w:t>Entre</w:t>
      </w:r>
      <w:r>
        <w:rPr>
          <w:color w:val="231F20"/>
          <w:spacing w:val="27"/>
          <w:w w:val="110"/>
        </w:rPr>
        <w:t> </w:t>
      </w:r>
      <w:r>
        <w:rPr>
          <w:color w:val="231F20"/>
          <w:w w:val="110"/>
        </w:rPr>
        <w:t>los</w:t>
      </w:r>
      <w:r>
        <w:rPr>
          <w:color w:val="231F20"/>
          <w:spacing w:val="27"/>
          <w:w w:val="110"/>
        </w:rPr>
        <w:t> </w:t>
      </w:r>
      <w:r>
        <w:rPr>
          <w:color w:val="231F20"/>
          <w:w w:val="110"/>
        </w:rPr>
        <w:t>4.5</w:t>
      </w:r>
      <w:r>
        <w:rPr>
          <w:color w:val="231F20"/>
          <w:spacing w:val="27"/>
          <w:w w:val="110"/>
        </w:rPr>
        <w:t> </w:t>
      </w:r>
      <w:r>
        <w:rPr>
          <w:color w:val="231F20"/>
          <w:w w:val="110"/>
        </w:rPr>
        <w:t>millones</w:t>
      </w:r>
      <w:r>
        <w:rPr>
          <w:color w:val="231F20"/>
          <w:spacing w:val="27"/>
          <w:w w:val="110"/>
        </w:rPr>
        <w:t> </w:t>
      </w:r>
      <w:r>
        <w:rPr>
          <w:color w:val="231F20"/>
          <w:w w:val="110"/>
        </w:rPr>
        <w:t>de</w:t>
      </w:r>
      <w:r>
        <w:rPr>
          <w:color w:val="231F20"/>
          <w:w w:val="114"/>
        </w:rPr>
        <w:t> </w:t>
      </w:r>
      <w:r>
        <w:rPr>
          <w:color w:val="231F20"/>
          <w:w w:val="110"/>
        </w:rPr>
        <w:t>préstamos</w:t>
      </w:r>
      <w:r>
        <w:rPr>
          <w:color w:val="231F20"/>
          <w:spacing w:val="-7"/>
          <w:w w:val="110"/>
        </w:rPr>
        <w:t> </w:t>
      </w:r>
      <w:r>
        <w:rPr>
          <w:color w:val="231F20"/>
          <w:w w:val="110"/>
        </w:rPr>
        <w:t>de</w:t>
      </w:r>
      <w:r>
        <w:rPr>
          <w:color w:val="231F20"/>
          <w:spacing w:val="-7"/>
          <w:w w:val="110"/>
        </w:rPr>
        <w:t> </w:t>
      </w:r>
      <w:r>
        <w:rPr>
          <w:color w:val="231F20"/>
          <w:w w:val="110"/>
        </w:rPr>
        <w:t>más</w:t>
      </w:r>
      <w:r>
        <w:rPr>
          <w:color w:val="231F20"/>
          <w:spacing w:val="-7"/>
          <w:w w:val="110"/>
        </w:rPr>
        <w:t> </w:t>
      </w:r>
      <w:r>
        <w:rPr>
          <w:color w:val="231F20"/>
          <w:w w:val="110"/>
        </w:rPr>
        <w:t>alto</w:t>
      </w:r>
      <w:r>
        <w:rPr>
          <w:color w:val="231F20"/>
          <w:spacing w:val="-7"/>
          <w:w w:val="110"/>
        </w:rPr>
        <w:t> </w:t>
      </w:r>
      <w:r>
        <w:rPr>
          <w:color w:val="231F20"/>
          <w:w w:val="110"/>
        </w:rPr>
        <w:t>riesgo</w:t>
      </w:r>
      <w:r>
        <w:rPr>
          <w:color w:val="231F20"/>
          <w:spacing w:val="-7"/>
          <w:w w:val="110"/>
        </w:rPr>
        <w:t> </w:t>
      </w:r>
      <w:r>
        <w:rPr>
          <w:color w:val="231F20"/>
          <w:w w:val="110"/>
        </w:rPr>
        <w:t>(</w:t>
      </w:r>
      <w:r>
        <w:rPr>
          <w:i/>
          <w:color w:val="231F20"/>
          <w:w w:val="110"/>
        </w:rPr>
        <w:t>adjustable</w:t>
      </w:r>
      <w:r>
        <w:rPr>
          <w:color w:val="231F20"/>
          <w:w w:val="110"/>
        </w:rPr>
        <w:t>)</w:t>
      </w:r>
      <w:r>
        <w:rPr>
          <w:color w:val="231F20"/>
          <w:spacing w:val="-7"/>
          <w:w w:val="110"/>
        </w:rPr>
        <w:t> </w:t>
      </w:r>
      <w:r>
        <w:rPr>
          <w:color w:val="231F20"/>
          <w:w w:val="110"/>
        </w:rPr>
        <w:t>calculaba</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probabili-</w:t>
      </w:r>
    </w:p>
    <w:p>
      <w:pPr>
        <w:pStyle w:val="BodyText"/>
        <w:ind w:left="100" w:right="25"/>
      </w:pPr>
      <w:r>
        <w:rPr>
          <w:color w:val="231F20"/>
          <w:w w:val="110"/>
        </w:rPr>
        <w:t>dad de una quiebra era de 15% (Neil Reynolds,  2007).</w:t>
      </w:r>
    </w:p>
    <w:p>
      <w:pPr>
        <w:pStyle w:val="BodyText"/>
        <w:spacing w:line="261" w:lineRule="auto" w:before="20"/>
        <w:ind w:left="100" w:right="116" w:firstLine="240"/>
        <w:jc w:val="both"/>
      </w:pPr>
      <w:r>
        <w:rPr>
          <w:color w:val="231F20"/>
          <w:w w:val="110"/>
        </w:rPr>
        <w:t>En septiembre de 2008, en medio del estallido de la crisis, las viviendas en Estados Unidos habían perdido 20% de su valor com- parado</w:t>
      </w:r>
      <w:r>
        <w:rPr>
          <w:color w:val="231F20"/>
          <w:spacing w:val="-7"/>
          <w:w w:val="110"/>
        </w:rPr>
        <w:t> </w:t>
      </w:r>
      <w:r>
        <w:rPr>
          <w:color w:val="231F20"/>
          <w:w w:val="110"/>
        </w:rPr>
        <w:t>con</w:t>
      </w:r>
      <w:r>
        <w:rPr>
          <w:color w:val="231F20"/>
          <w:spacing w:val="-7"/>
          <w:w w:val="110"/>
        </w:rPr>
        <w:t> </w:t>
      </w:r>
      <w:r>
        <w:rPr>
          <w:color w:val="231F20"/>
          <w:w w:val="110"/>
        </w:rPr>
        <w:t>2006.</w:t>
      </w:r>
      <w:r>
        <w:rPr>
          <w:color w:val="231F20"/>
          <w:spacing w:val="-7"/>
          <w:w w:val="110"/>
        </w:rPr>
        <w:t> </w:t>
      </w:r>
      <w:r>
        <w:rPr>
          <w:color w:val="231F20"/>
          <w:w w:val="110"/>
        </w:rPr>
        <w:t>La</w:t>
      </w:r>
      <w:r>
        <w:rPr>
          <w:color w:val="231F20"/>
          <w:spacing w:val="-7"/>
          <w:w w:val="110"/>
        </w:rPr>
        <w:t> </w:t>
      </w:r>
      <w:r>
        <w:rPr>
          <w:color w:val="231F20"/>
          <w:w w:val="110"/>
        </w:rPr>
        <w:t>pérdida</w:t>
      </w:r>
      <w:r>
        <w:rPr>
          <w:color w:val="231F20"/>
          <w:spacing w:val="-7"/>
          <w:w w:val="110"/>
        </w:rPr>
        <w:t> </w:t>
      </w:r>
      <w:r>
        <w:rPr>
          <w:color w:val="231F20"/>
          <w:w w:val="110"/>
        </w:rPr>
        <w:t>de</w:t>
      </w:r>
      <w:r>
        <w:rPr>
          <w:color w:val="231F20"/>
          <w:spacing w:val="-7"/>
          <w:w w:val="110"/>
        </w:rPr>
        <w:t> </w:t>
      </w:r>
      <w:r>
        <w:rPr>
          <w:color w:val="231F20"/>
          <w:w w:val="110"/>
        </w:rPr>
        <w:t>valor</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casas</w:t>
      </w:r>
      <w:r>
        <w:rPr>
          <w:color w:val="231F20"/>
          <w:spacing w:val="-7"/>
          <w:w w:val="110"/>
        </w:rPr>
        <w:t> </w:t>
      </w:r>
      <w:r>
        <w:rPr>
          <w:color w:val="231F20"/>
          <w:w w:val="110"/>
        </w:rPr>
        <w:t>significaba</w:t>
      </w:r>
      <w:r>
        <w:rPr>
          <w:color w:val="231F20"/>
          <w:spacing w:val="-7"/>
          <w:w w:val="110"/>
        </w:rPr>
        <w:t> </w:t>
      </w:r>
      <w:r>
        <w:rPr>
          <w:color w:val="231F20"/>
          <w:w w:val="110"/>
        </w:rPr>
        <w:t>que</w:t>
      </w:r>
      <w:r>
        <w:rPr>
          <w:color w:val="231F20"/>
          <w:spacing w:val="-7"/>
          <w:w w:val="110"/>
        </w:rPr>
        <w:t> </w:t>
      </w:r>
      <w:r>
        <w:rPr>
          <w:color w:val="231F20"/>
          <w:w w:val="110"/>
        </w:rPr>
        <w:t>las familias que habían sacado préstamos tenían deudas que superaban el valor de sus propiedades. En marzo de 2008, casi 9 millones de familias —11% de todos los dueños de viviendas— tenían casas</w:t>
      </w:r>
      <w:r>
        <w:rPr>
          <w:color w:val="231F20"/>
          <w:spacing w:val="-36"/>
          <w:w w:val="110"/>
        </w:rPr>
        <w:t> </w:t>
      </w:r>
      <w:r>
        <w:rPr>
          <w:color w:val="231F20"/>
          <w:w w:val="110"/>
        </w:rPr>
        <w:t>que valían menos de lo que estaban pagando. En noviembre de 2008 ya había aumentado a 12 millones de familias. Los prestamistas en una situación como ésta tienden a abandonar la casa y no responder por el préstamo (Martens,</w:t>
      </w:r>
      <w:r>
        <w:rPr>
          <w:color w:val="231F20"/>
          <w:spacing w:val="19"/>
          <w:w w:val="110"/>
        </w:rPr>
        <w:t> </w:t>
      </w:r>
      <w:r>
        <w:rPr>
          <w:color w:val="231F20"/>
          <w:w w:val="110"/>
        </w:rPr>
        <w:t>2008).</w:t>
      </w:r>
    </w:p>
    <w:p>
      <w:pPr>
        <w:pStyle w:val="BodyText"/>
        <w:spacing w:line="261" w:lineRule="auto"/>
        <w:ind w:left="100" w:right="119" w:firstLine="240"/>
        <w:jc w:val="both"/>
      </w:pPr>
      <w:r>
        <w:rPr>
          <w:color w:val="231F20"/>
          <w:w w:val="110"/>
        </w:rPr>
        <w:t>Según Bello (2008), la crisis inmobiliaria era inevitable y</w:t>
      </w:r>
      <w:r>
        <w:rPr>
          <w:color w:val="231F20"/>
          <w:spacing w:val="-35"/>
          <w:w w:val="110"/>
        </w:rPr>
        <w:t> </w:t>
      </w:r>
      <w:r>
        <w:rPr>
          <w:color w:val="231F20"/>
          <w:w w:val="110"/>
        </w:rPr>
        <w:t>todos</w:t>
      </w:r>
      <w:r>
        <w:rPr>
          <w:color w:val="231F20"/>
          <w:spacing w:val="-4"/>
          <w:w w:val="110"/>
        </w:rPr>
        <w:t> </w:t>
      </w:r>
      <w:r>
        <w:rPr>
          <w:color w:val="231F20"/>
          <w:w w:val="110"/>
        </w:rPr>
        <w:t>la</w:t>
      </w:r>
      <w:r>
        <w:rPr>
          <w:color w:val="231F20"/>
          <w:w w:val="105"/>
        </w:rPr>
        <w:t> </w:t>
      </w:r>
      <w:r>
        <w:rPr>
          <w:color w:val="231F20"/>
          <w:w w:val="110"/>
        </w:rPr>
        <w:t>esperaban. La pregunta que todos se hacían era cuándo iba</w:t>
      </w:r>
      <w:r>
        <w:rPr>
          <w:color w:val="231F20"/>
          <w:spacing w:val="13"/>
          <w:w w:val="110"/>
        </w:rPr>
        <w:t> </w:t>
      </w:r>
      <w:r>
        <w:rPr>
          <w:color w:val="231F20"/>
          <w:w w:val="110"/>
        </w:rPr>
        <w:t>a</w:t>
      </w:r>
      <w:r>
        <w:rPr>
          <w:color w:val="231F20"/>
          <w:spacing w:val="6"/>
          <w:w w:val="110"/>
        </w:rPr>
        <w:t> </w:t>
      </w:r>
      <w:r>
        <w:rPr>
          <w:color w:val="231F20"/>
          <w:w w:val="110"/>
        </w:rPr>
        <w:t>reven-</w:t>
      </w:r>
      <w:r>
        <w:rPr>
          <w:color w:val="231F20"/>
          <w:w w:val="72"/>
        </w:rPr>
        <w:t> </w:t>
      </w:r>
      <w:r>
        <w:rPr>
          <w:color w:val="231F20"/>
          <w:w w:val="110"/>
        </w:rPr>
        <w:t>tar la burbuja. La crisis de los préstamos tóxicos no fue</w:t>
      </w:r>
      <w:r>
        <w:rPr>
          <w:color w:val="231F20"/>
          <w:spacing w:val="7"/>
          <w:w w:val="110"/>
        </w:rPr>
        <w:t> </w:t>
      </w:r>
      <w:r>
        <w:rPr>
          <w:color w:val="231F20"/>
          <w:w w:val="110"/>
        </w:rPr>
        <w:t>el</w:t>
      </w:r>
      <w:r>
        <w:rPr>
          <w:color w:val="231F20"/>
          <w:spacing w:val="5"/>
          <w:w w:val="110"/>
        </w:rPr>
        <w:t> </w:t>
      </w:r>
      <w:r>
        <w:rPr>
          <w:color w:val="231F20"/>
          <w:w w:val="110"/>
        </w:rPr>
        <w:t>resultado</w:t>
      </w:r>
      <w:r>
        <w:rPr>
          <w:color w:val="231F20"/>
          <w:w w:val="110"/>
        </w:rPr>
        <w:t> </w:t>
      </w:r>
      <w:r>
        <w:rPr>
          <w:color w:val="231F20"/>
          <w:w w:val="110"/>
        </w:rPr>
        <w:t>simplemente de una oferta que superara la demanda. La demanda había</w:t>
      </w:r>
      <w:r>
        <w:rPr>
          <w:color w:val="231F20"/>
          <w:spacing w:val="-7"/>
          <w:w w:val="110"/>
        </w:rPr>
        <w:t> </w:t>
      </w:r>
      <w:r>
        <w:rPr>
          <w:color w:val="231F20"/>
          <w:w w:val="110"/>
        </w:rPr>
        <w:t>sido</w:t>
      </w:r>
      <w:r>
        <w:rPr>
          <w:color w:val="231F20"/>
          <w:spacing w:val="-7"/>
          <w:w w:val="110"/>
        </w:rPr>
        <w:t> </w:t>
      </w:r>
      <w:r>
        <w:rPr>
          <w:color w:val="231F20"/>
          <w:w w:val="110"/>
        </w:rPr>
        <w:t>fabricada</w:t>
      </w:r>
      <w:r>
        <w:rPr>
          <w:color w:val="231F20"/>
          <w:spacing w:val="-7"/>
          <w:w w:val="110"/>
        </w:rPr>
        <w:t> </w:t>
      </w:r>
      <w:r>
        <w:rPr>
          <w:color w:val="231F20"/>
          <w:w w:val="110"/>
        </w:rPr>
        <w:t>por</w:t>
      </w:r>
      <w:r>
        <w:rPr>
          <w:color w:val="231F20"/>
          <w:spacing w:val="-7"/>
          <w:w w:val="110"/>
        </w:rPr>
        <w:t> </w:t>
      </w:r>
      <w:r>
        <w:rPr>
          <w:color w:val="231F20"/>
          <w:w w:val="110"/>
        </w:rPr>
        <w:t>una</w:t>
      </w:r>
      <w:r>
        <w:rPr>
          <w:color w:val="231F20"/>
          <w:spacing w:val="-7"/>
          <w:w w:val="110"/>
        </w:rPr>
        <w:t> </w:t>
      </w:r>
      <w:r>
        <w:rPr>
          <w:color w:val="231F20"/>
          <w:w w:val="110"/>
        </w:rPr>
        <w:t>manía</w:t>
      </w:r>
      <w:r>
        <w:rPr>
          <w:color w:val="231F20"/>
          <w:spacing w:val="-7"/>
          <w:w w:val="110"/>
        </w:rPr>
        <w:t> </w:t>
      </w:r>
      <w:r>
        <w:rPr>
          <w:color w:val="231F20"/>
          <w:w w:val="110"/>
        </w:rPr>
        <w:t>especulativa</w:t>
      </w:r>
      <w:r>
        <w:rPr>
          <w:color w:val="231F20"/>
          <w:spacing w:val="-7"/>
          <w:w w:val="110"/>
        </w:rPr>
        <w:t> </w:t>
      </w:r>
      <w:r>
        <w:rPr>
          <w:color w:val="231F20"/>
          <w:w w:val="110"/>
        </w:rPr>
        <w:t>por</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pro- motores y financistas que esperaban realizar grandes ganancias con los ahorros globales que llegaban en forma cada vez más acelerada a Estados</w:t>
      </w:r>
      <w:r>
        <w:rPr>
          <w:color w:val="231F20"/>
          <w:spacing w:val="-17"/>
          <w:w w:val="110"/>
        </w:rPr>
        <w:t> </w:t>
      </w:r>
      <w:r>
        <w:rPr>
          <w:color w:val="231F20"/>
          <w:w w:val="110"/>
        </w:rPr>
        <w:t>Unidos.</w:t>
      </w:r>
    </w:p>
    <w:p>
      <w:pPr>
        <w:pStyle w:val="BodyText"/>
        <w:spacing w:line="261" w:lineRule="auto"/>
        <w:ind w:left="100" w:right="117" w:firstLine="240"/>
        <w:jc w:val="both"/>
      </w:pPr>
      <w:r>
        <w:rPr>
          <w:color w:val="231F20"/>
          <w:w w:val="110"/>
        </w:rPr>
        <w:t>En una declaración más parecida a una plegaria que a un análisis de</w:t>
      </w:r>
      <w:r>
        <w:rPr>
          <w:color w:val="231F20"/>
          <w:spacing w:val="-8"/>
          <w:w w:val="110"/>
        </w:rPr>
        <w:t> </w:t>
      </w:r>
      <w:r>
        <w:rPr>
          <w:color w:val="231F20"/>
          <w:w w:val="110"/>
        </w:rPr>
        <w:t>la</w:t>
      </w:r>
      <w:r>
        <w:rPr>
          <w:color w:val="231F20"/>
          <w:spacing w:val="-8"/>
          <w:w w:val="110"/>
        </w:rPr>
        <w:t> </w:t>
      </w:r>
      <w:r>
        <w:rPr>
          <w:color w:val="231F20"/>
          <w:w w:val="110"/>
        </w:rPr>
        <w:t>coyuntura,</w:t>
      </w:r>
      <w:r>
        <w:rPr>
          <w:color w:val="231F20"/>
          <w:spacing w:val="-8"/>
          <w:w w:val="110"/>
        </w:rPr>
        <w:t> </w:t>
      </w:r>
      <w:r>
        <w:rPr>
          <w:i/>
          <w:color w:val="231F20"/>
          <w:w w:val="110"/>
        </w:rPr>
        <w:t>The</w:t>
      </w:r>
      <w:r>
        <w:rPr>
          <w:i/>
          <w:color w:val="231F20"/>
          <w:spacing w:val="-8"/>
          <w:w w:val="110"/>
        </w:rPr>
        <w:t> </w:t>
      </w:r>
      <w:r>
        <w:rPr>
          <w:i/>
          <w:color w:val="231F20"/>
          <w:w w:val="110"/>
        </w:rPr>
        <w:t>Economist</w:t>
      </w:r>
      <w:r>
        <w:rPr>
          <w:i/>
          <w:color w:val="231F20"/>
          <w:spacing w:val="-8"/>
          <w:w w:val="110"/>
        </w:rPr>
        <w:t> </w:t>
      </w:r>
      <w:r>
        <w:rPr>
          <w:i/>
          <w:color w:val="231F20"/>
          <w:w w:val="110"/>
        </w:rPr>
        <w:t>Unit</w:t>
      </w:r>
      <w:r>
        <w:rPr>
          <w:i/>
          <w:color w:val="231F20"/>
          <w:spacing w:val="-8"/>
          <w:w w:val="110"/>
        </w:rPr>
        <w:t> </w:t>
      </w:r>
      <w:r>
        <w:rPr>
          <w:color w:val="231F20"/>
          <w:w w:val="110"/>
        </w:rPr>
        <w:t>planteó</w:t>
      </w:r>
      <w:r>
        <w:rPr>
          <w:color w:val="231F20"/>
          <w:spacing w:val="-8"/>
          <w:w w:val="110"/>
        </w:rPr>
        <w:t> </w:t>
      </w:r>
      <w:r>
        <w:rPr>
          <w:color w:val="231F20"/>
          <w:w w:val="110"/>
        </w:rPr>
        <w:t>que</w:t>
      </w:r>
      <w:r>
        <w:rPr>
          <w:color w:val="231F20"/>
          <w:spacing w:val="-8"/>
          <w:w w:val="110"/>
        </w:rPr>
        <w:t> </w:t>
      </w:r>
      <w:r>
        <w:rPr>
          <w:color w:val="231F20"/>
          <w:w w:val="110"/>
        </w:rPr>
        <w:t>“para</w:t>
      </w:r>
      <w:r>
        <w:rPr>
          <w:color w:val="231F20"/>
          <w:spacing w:val="-8"/>
          <w:w w:val="110"/>
        </w:rPr>
        <w:t> </w:t>
      </w:r>
      <w:r>
        <w:rPr>
          <w:color w:val="231F20"/>
          <w:w w:val="110"/>
        </w:rPr>
        <w:t>quienes</w:t>
      </w:r>
      <w:r>
        <w:rPr>
          <w:color w:val="231F20"/>
          <w:spacing w:val="-8"/>
          <w:w w:val="110"/>
        </w:rPr>
        <w:t> </w:t>
      </w:r>
      <w:r>
        <w:rPr>
          <w:color w:val="231F20"/>
          <w:w w:val="110"/>
        </w:rPr>
        <w:t>están en la industria de servicios financieros no es tiempo de reacciones irreflexivas.</w:t>
      </w:r>
      <w:r>
        <w:rPr>
          <w:color w:val="231F20"/>
          <w:spacing w:val="-9"/>
          <w:w w:val="110"/>
        </w:rPr>
        <w:t> </w:t>
      </w:r>
      <w:r>
        <w:rPr>
          <w:color w:val="231F20"/>
          <w:w w:val="110"/>
        </w:rPr>
        <w:t>Estos</w:t>
      </w:r>
      <w:r>
        <w:rPr>
          <w:color w:val="231F20"/>
          <w:spacing w:val="-9"/>
          <w:w w:val="110"/>
        </w:rPr>
        <w:t> </w:t>
      </w:r>
      <w:r>
        <w:rPr>
          <w:color w:val="231F20"/>
          <w:w w:val="110"/>
        </w:rPr>
        <w:t>tiempos</w:t>
      </w:r>
      <w:r>
        <w:rPr>
          <w:color w:val="231F20"/>
          <w:spacing w:val="-9"/>
          <w:w w:val="110"/>
        </w:rPr>
        <w:t> </w:t>
      </w:r>
      <w:r>
        <w:rPr>
          <w:color w:val="231F20"/>
          <w:w w:val="110"/>
        </w:rPr>
        <w:t>reclaman</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líderes</w:t>
      </w:r>
      <w:r>
        <w:rPr>
          <w:color w:val="231F20"/>
          <w:spacing w:val="-9"/>
          <w:w w:val="110"/>
        </w:rPr>
        <w:t> </w:t>
      </w:r>
      <w:r>
        <w:rPr>
          <w:color w:val="231F20"/>
          <w:w w:val="110"/>
        </w:rPr>
        <w:t>financieros</w:t>
      </w:r>
      <w:r>
        <w:rPr>
          <w:color w:val="231F20"/>
          <w:spacing w:val="-9"/>
          <w:w w:val="110"/>
        </w:rPr>
        <w:t> </w:t>
      </w:r>
      <w:r>
        <w:rPr>
          <w:color w:val="231F20"/>
          <w:w w:val="110"/>
        </w:rPr>
        <w:t>y</w:t>
      </w:r>
      <w:r>
        <w:rPr>
          <w:color w:val="231F20"/>
          <w:spacing w:val="-9"/>
          <w:w w:val="110"/>
        </w:rPr>
        <w:t> </w:t>
      </w:r>
      <w:r>
        <w:rPr>
          <w:color w:val="231F20"/>
          <w:w w:val="110"/>
        </w:rPr>
        <w:t>po- líticos</w:t>
      </w:r>
      <w:r>
        <w:rPr>
          <w:color w:val="231F20"/>
          <w:spacing w:val="23"/>
          <w:w w:val="110"/>
        </w:rPr>
        <w:t> </w:t>
      </w:r>
      <w:r>
        <w:rPr>
          <w:color w:val="231F20"/>
          <w:w w:val="110"/>
        </w:rPr>
        <w:t>vean</w:t>
      </w:r>
      <w:r>
        <w:rPr>
          <w:color w:val="231F20"/>
          <w:spacing w:val="23"/>
          <w:w w:val="110"/>
        </w:rPr>
        <w:t> </w:t>
      </w:r>
      <w:r>
        <w:rPr>
          <w:color w:val="231F20"/>
          <w:w w:val="110"/>
        </w:rPr>
        <w:t>con</w:t>
      </w:r>
      <w:r>
        <w:rPr>
          <w:color w:val="231F20"/>
          <w:spacing w:val="23"/>
          <w:w w:val="110"/>
        </w:rPr>
        <w:t> </w:t>
      </w:r>
      <w:r>
        <w:rPr>
          <w:color w:val="231F20"/>
          <w:w w:val="110"/>
        </w:rPr>
        <w:t>tranquilidad</w:t>
      </w:r>
      <w:r>
        <w:rPr>
          <w:color w:val="231F20"/>
          <w:spacing w:val="23"/>
          <w:w w:val="110"/>
        </w:rPr>
        <w:t> </w:t>
      </w:r>
      <w:r>
        <w:rPr>
          <w:color w:val="231F20"/>
          <w:w w:val="110"/>
        </w:rPr>
        <w:t>la</w:t>
      </w:r>
      <w:r>
        <w:rPr>
          <w:color w:val="231F20"/>
          <w:spacing w:val="23"/>
          <w:w w:val="110"/>
        </w:rPr>
        <w:t> </w:t>
      </w:r>
      <w:r>
        <w:rPr>
          <w:color w:val="231F20"/>
          <w:w w:val="110"/>
        </w:rPr>
        <w:t>realidad</w:t>
      </w:r>
      <w:r>
        <w:rPr>
          <w:color w:val="231F20"/>
          <w:spacing w:val="23"/>
          <w:w w:val="110"/>
        </w:rPr>
        <w:t> </w:t>
      </w:r>
      <w:r>
        <w:rPr>
          <w:color w:val="231F20"/>
          <w:w w:val="110"/>
        </w:rPr>
        <w:t>para</w:t>
      </w:r>
      <w:r>
        <w:rPr>
          <w:color w:val="231F20"/>
          <w:spacing w:val="23"/>
          <w:w w:val="110"/>
        </w:rPr>
        <w:t> </w:t>
      </w:r>
      <w:r>
        <w:rPr>
          <w:color w:val="231F20"/>
          <w:w w:val="110"/>
        </w:rPr>
        <w:t>adoptar</w:t>
      </w:r>
      <w:r>
        <w:rPr>
          <w:color w:val="231F20"/>
          <w:spacing w:val="23"/>
          <w:w w:val="110"/>
        </w:rPr>
        <w:t> </w:t>
      </w:r>
      <w:r>
        <w:rPr>
          <w:color w:val="231F20"/>
          <w:w w:val="110"/>
        </w:rPr>
        <w:t>medidas</w:t>
      </w:r>
      <w:r>
        <w:rPr>
          <w:color w:val="231F20"/>
          <w:spacing w:val="23"/>
          <w:w w:val="110"/>
        </w:rPr>
        <w:t> </w:t>
      </w:r>
      <w:r>
        <w:rPr>
          <w:color w:val="231F20"/>
          <w:w w:val="110"/>
        </w:rPr>
        <w:t>que</w:t>
      </w:r>
    </w:p>
    <w:p>
      <w:pPr>
        <w:spacing w:after="0" w:line="261" w:lineRule="auto"/>
        <w:jc w:val="both"/>
        <w:sectPr>
          <w:headerReference w:type="even" r:id="rId107"/>
          <w:headerReference w:type="default" r:id="rId108"/>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tomen en cuenta los fundamentos económicos y establezcan una</w:t>
      </w:r>
      <w:r>
        <w:rPr>
          <w:color w:val="231F20"/>
          <w:w w:val="114"/>
        </w:rPr>
        <w:t> </w:t>
      </w:r>
      <w:r>
        <w:rPr>
          <w:color w:val="231F20"/>
          <w:w w:val="110"/>
        </w:rPr>
        <w:t>plataforma para el éxito en la nueva  era”.</w:t>
      </w:r>
    </w:p>
    <w:p>
      <w:pPr>
        <w:pStyle w:val="BodyText"/>
        <w:spacing w:line="261" w:lineRule="auto"/>
        <w:ind w:left="100" w:right="117" w:firstLine="240"/>
        <w:jc w:val="both"/>
        <w:rPr>
          <w:sz w:val="13"/>
        </w:rPr>
      </w:pPr>
      <w:r>
        <w:rPr>
          <w:color w:val="231F20"/>
          <w:w w:val="105"/>
        </w:rPr>
        <w:t>Las malas costumbres  de  los  financistas  no  se  han  modificado. A pesar del colapso de la bolsa de Nueva York, se siguen creando “paquetes financieros”, a los “perdedores” se le sigue premiando con “paracaídas dorados” y la legislación no se modifica para crear las condiciones  reguladoras  de  control.</w:t>
      </w:r>
      <w:r>
        <w:rPr>
          <w:color w:val="231F20"/>
          <w:w w:val="105"/>
          <w:position w:val="6"/>
          <w:sz w:val="13"/>
        </w:rPr>
        <w:t>2</w:t>
      </w:r>
    </w:p>
    <w:p>
      <w:pPr>
        <w:pStyle w:val="BodyText"/>
      </w:pPr>
    </w:p>
    <w:p>
      <w:pPr>
        <w:pStyle w:val="BodyText"/>
      </w:pPr>
    </w:p>
    <w:p>
      <w:pPr>
        <w:pStyle w:val="BodyText"/>
        <w:spacing w:before="2"/>
        <w:rPr>
          <w:sz w:val="25"/>
        </w:rPr>
      </w:pPr>
    </w:p>
    <w:p>
      <w:pPr>
        <w:pStyle w:val="BodyText"/>
        <w:ind w:left="100"/>
        <w:jc w:val="both"/>
      </w:pPr>
      <w:r>
        <w:rPr>
          <w:color w:val="231F20"/>
          <w:w w:val="130"/>
        </w:rPr>
        <w:t>las causas de la crisis</w:t>
      </w:r>
    </w:p>
    <w:p>
      <w:pPr>
        <w:pStyle w:val="BodyText"/>
        <w:spacing w:before="5"/>
        <w:rPr>
          <w:sz w:val="23"/>
        </w:rPr>
      </w:pPr>
    </w:p>
    <w:p>
      <w:pPr>
        <w:pStyle w:val="BodyText"/>
        <w:spacing w:line="261" w:lineRule="auto"/>
        <w:ind w:left="100" w:right="117"/>
        <w:jc w:val="both"/>
      </w:pPr>
      <w:r>
        <w:rPr>
          <w:color w:val="231F20"/>
          <w:w w:val="110"/>
        </w:rPr>
        <w:t>La pregunta que se hacen los especialistas del </w:t>
      </w:r>
      <w:r>
        <w:rPr>
          <w:i/>
          <w:color w:val="231F20"/>
          <w:w w:val="110"/>
        </w:rPr>
        <w:t>establishment </w:t>
      </w:r>
      <w:r>
        <w:rPr>
          <w:color w:val="231F20"/>
          <w:w w:val="110"/>
        </w:rPr>
        <w:t>es por qué no se tomaron en cuenta las alertas sobre el colapso financiero inminente. La transformación de una economía productiva a una economía basada en las finanzas, que se inició en los años setenta, podría</w:t>
      </w:r>
      <w:r>
        <w:rPr>
          <w:color w:val="231F20"/>
          <w:spacing w:val="-9"/>
          <w:w w:val="110"/>
        </w:rPr>
        <w:t> </w:t>
      </w:r>
      <w:r>
        <w:rPr>
          <w:color w:val="231F20"/>
          <w:w w:val="110"/>
        </w:rPr>
        <w:t>considerarse</w:t>
      </w:r>
      <w:r>
        <w:rPr>
          <w:color w:val="231F20"/>
          <w:spacing w:val="-9"/>
          <w:w w:val="110"/>
        </w:rPr>
        <w:t> </w:t>
      </w:r>
      <w:r>
        <w:rPr>
          <w:color w:val="231F20"/>
          <w:w w:val="110"/>
        </w:rPr>
        <w:t>la</w:t>
      </w:r>
      <w:r>
        <w:rPr>
          <w:color w:val="231F20"/>
          <w:spacing w:val="-9"/>
          <w:w w:val="110"/>
        </w:rPr>
        <w:t> </w:t>
      </w:r>
      <w:r>
        <w:rPr>
          <w:color w:val="231F20"/>
          <w:w w:val="110"/>
        </w:rPr>
        <w:t>primera</w:t>
      </w:r>
      <w:r>
        <w:rPr>
          <w:color w:val="231F20"/>
          <w:spacing w:val="-9"/>
          <w:w w:val="110"/>
        </w:rPr>
        <w:t> </w:t>
      </w:r>
      <w:r>
        <w:rPr>
          <w:color w:val="231F20"/>
          <w:w w:val="110"/>
        </w:rPr>
        <w:t>señal.</w:t>
      </w:r>
      <w:r>
        <w:rPr>
          <w:color w:val="231F20"/>
          <w:spacing w:val="-9"/>
          <w:w w:val="110"/>
        </w:rPr>
        <w:t> </w:t>
      </w:r>
      <w:r>
        <w:rPr>
          <w:color w:val="231F20"/>
          <w:w w:val="110"/>
        </w:rPr>
        <w:t>Las</w:t>
      </w:r>
      <w:r>
        <w:rPr>
          <w:color w:val="231F20"/>
          <w:spacing w:val="-9"/>
          <w:w w:val="110"/>
        </w:rPr>
        <w:t> </w:t>
      </w:r>
      <w:r>
        <w:rPr>
          <w:color w:val="231F20"/>
          <w:w w:val="110"/>
        </w:rPr>
        <w:t>políticas</w:t>
      </w:r>
      <w:r>
        <w:rPr>
          <w:color w:val="231F20"/>
          <w:spacing w:val="-9"/>
          <w:w w:val="110"/>
        </w:rPr>
        <w:t> </w:t>
      </w:r>
      <w:r>
        <w:rPr>
          <w:color w:val="231F20"/>
          <w:w w:val="110"/>
        </w:rPr>
        <w:t>neoliberales</w:t>
      </w:r>
      <w:r>
        <w:rPr>
          <w:color w:val="231F20"/>
          <w:spacing w:val="-9"/>
          <w:w w:val="110"/>
        </w:rPr>
        <w:t> </w:t>
      </w:r>
      <w:r>
        <w:rPr>
          <w:color w:val="231F20"/>
          <w:w w:val="110"/>
        </w:rPr>
        <w:t>intro- ducidas a la fuerza en los años ochenta son una segunda señal de</w:t>
      </w:r>
      <w:r>
        <w:rPr>
          <w:color w:val="231F20"/>
          <w:spacing w:val="-14"/>
          <w:w w:val="110"/>
        </w:rPr>
        <w:t> </w:t>
      </w:r>
      <w:r>
        <w:rPr>
          <w:color w:val="231F20"/>
          <w:w w:val="110"/>
        </w:rPr>
        <w:t>los problemas</w:t>
      </w:r>
      <w:r>
        <w:rPr>
          <w:color w:val="231F20"/>
          <w:spacing w:val="-22"/>
          <w:w w:val="110"/>
        </w:rPr>
        <w:t> </w:t>
      </w:r>
      <w:r>
        <w:rPr>
          <w:color w:val="231F20"/>
          <w:w w:val="110"/>
        </w:rPr>
        <w:t>en</w:t>
      </w:r>
      <w:r>
        <w:rPr>
          <w:color w:val="231F20"/>
          <w:spacing w:val="-22"/>
          <w:w w:val="110"/>
        </w:rPr>
        <w:t> </w:t>
      </w:r>
      <w:r>
        <w:rPr>
          <w:color w:val="231F20"/>
          <w:w w:val="110"/>
        </w:rPr>
        <w:t>ciernes.</w:t>
      </w:r>
      <w:r>
        <w:rPr>
          <w:color w:val="231F20"/>
          <w:spacing w:val="-22"/>
          <w:w w:val="110"/>
        </w:rPr>
        <w:t> </w:t>
      </w:r>
      <w:r>
        <w:rPr>
          <w:color w:val="231F20"/>
          <w:w w:val="110"/>
        </w:rPr>
        <w:t>Para</w:t>
      </w:r>
      <w:r>
        <w:rPr>
          <w:color w:val="231F20"/>
          <w:spacing w:val="-22"/>
          <w:w w:val="110"/>
        </w:rPr>
        <w:t> </w:t>
      </w:r>
      <w:r>
        <w:rPr>
          <w:color w:val="231F20"/>
          <w:w w:val="110"/>
        </w:rPr>
        <w:t>los</w:t>
      </w:r>
      <w:r>
        <w:rPr>
          <w:color w:val="231F20"/>
          <w:spacing w:val="-22"/>
          <w:w w:val="110"/>
        </w:rPr>
        <w:t> </w:t>
      </w:r>
      <w:r>
        <w:rPr>
          <w:color w:val="231F20"/>
          <w:w w:val="110"/>
        </w:rPr>
        <w:t>años</w:t>
      </w:r>
      <w:r>
        <w:rPr>
          <w:color w:val="231F20"/>
          <w:spacing w:val="-22"/>
          <w:w w:val="110"/>
        </w:rPr>
        <w:t> </w:t>
      </w:r>
      <w:r>
        <w:rPr>
          <w:color w:val="231F20"/>
          <w:w w:val="110"/>
        </w:rPr>
        <w:t>noventa,</w:t>
      </w:r>
      <w:r>
        <w:rPr>
          <w:color w:val="231F20"/>
          <w:spacing w:val="-22"/>
          <w:w w:val="110"/>
        </w:rPr>
        <w:t> </w:t>
      </w:r>
      <w:r>
        <w:rPr>
          <w:color w:val="231F20"/>
          <w:w w:val="110"/>
        </w:rPr>
        <w:t>la</w:t>
      </w:r>
      <w:r>
        <w:rPr>
          <w:color w:val="231F20"/>
          <w:spacing w:val="-22"/>
          <w:w w:val="110"/>
        </w:rPr>
        <w:t> </w:t>
      </w:r>
      <w:r>
        <w:rPr>
          <w:color w:val="231F20"/>
          <w:w w:val="110"/>
        </w:rPr>
        <w:t>Casa</w:t>
      </w:r>
      <w:r>
        <w:rPr>
          <w:color w:val="231F20"/>
          <w:spacing w:val="-22"/>
          <w:w w:val="110"/>
        </w:rPr>
        <w:t> </w:t>
      </w:r>
      <w:r>
        <w:rPr>
          <w:color w:val="231F20"/>
          <w:w w:val="110"/>
        </w:rPr>
        <w:t>Blanca</w:t>
      </w:r>
      <w:r>
        <w:rPr>
          <w:color w:val="231F20"/>
          <w:spacing w:val="-22"/>
          <w:w w:val="110"/>
        </w:rPr>
        <w:t> </w:t>
      </w:r>
      <w:r>
        <w:rPr>
          <w:color w:val="231F20"/>
          <w:w w:val="110"/>
        </w:rPr>
        <w:t>privilegió la consigna de un mundo libre para el comercio e impulsó alca en América</w:t>
      </w:r>
      <w:r>
        <w:rPr>
          <w:color w:val="231F20"/>
          <w:spacing w:val="-6"/>
          <w:w w:val="110"/>
        </w:rPr>
        <w:t> </w:t>
      </w:r>
      <w:r>
        <w:rPr>
          <w:color w:val="231F20"/>
          <w:w w:val="110"/>
        </w:rPr>
        <w:t>Latina,</w:t>
      </w:r>
      <w:r>
        <w:rPr>
          <w:color w:val="231F20"/>
          <w:spacing w:val="-6"/>
          <w:w w:val="110"/>
        </w:rPr>
        <w:t> </w:t>
      </w:r>
      <w:r>
        <w:rPr>
          <w:color w:val="231F20"/>
          <w:w w:val="110"/>
        </w:rPr>
        <w:t>la</w:t>
      </w:r>
      <w:r>
        <w:rPr>
          <w:color w:val="231F20"/>
          <w:spacing w:val="-6"/>
          <w:w w:val="110"/>
        </w:rPr>
        <w:t> </w:t>
      </w:r>
      <w:r>
        <w:rPr>
          <w:color w:val="231F20"/>
          <w:w w:val="110"/>
        </w:rPr>
        <w:t>externalizacion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producción</w:t>
      </w:r>
      <w:r>
        <w:rPr>
          <w:color w:val="231F20"/>
          <w:spacing w:val="-6"/>
          <w:w w:val="110"/>
        </w:rPr>
        <w:t> </w:t>
      </w:r>
      <w:r>
        <w:rPr>
          <w:color w:val="231F20"/>
          <w:w w:val="110"/>
        </w:rPr>
        <w:t>industrial</w:t>
      </w:r>
      <w:r>
        <w:rPr>
          <w:color w:val="231F20"/>
          <w:spacing w:val="-6"/>
          <w:w w:val="110"/>
        </w:rPr>
        <w:t> </w:t>
      </w:r>
      <w:r>
        <w:rPr>
          <w:color w:val="231F20"/>
          <w:w w:val="110"/>
        </w:rPr>
        <w:t>a</w:t>
      </w:r>
      <w:r>
        <w:rPr>
          <w:color w:val="231F20"/>
          <w:spacing w:val="-6"/>
          <w:w w:val="110"/>
        </w:rPr>
        <w:t> </w:t>
      </w:r>
      <w:r>
        <w:rPr>
          <w:color w:val="231F20"/>
          <w:w w:val="110"/>
        </w:rPr>
        <w:t>Chi- na, el control de las materias primas (África, Medio Oriente, Rusia) así como un comando central capitalista</w:t>
      </w:r>
      <w:r>
        <w:rPr>
          <w:color w:val="231F20"/>
          <w:spacing w:val="30"/>
          <w:w w:val="110"/>
        </w:rPr>
        <w:t> </w:t>
      </w:r>
      <w:r>
        <w:rPr>
          <w:color w:val="231F20"/>
          <w:w w:val="110"/>
        </w:rPr>
        <w:t>(Davos).</w:t>
      </w:r>
    </w:p>
    <w:p>
      <w:pPr>
        <w:pStyle w:val="BodyText"/>
        <w:spacing w:line="261" w:lineRule="auto"/>
        <w:ind w:left="100" w:right="115" w:firstLine="240"/>
        <w:jc w:val="both"/>
      </w:pPr>
      <w:r>
        <w:rPr>
          <w:color w:val="231F20"/>
          <w:w w:val="110"/>
        </w:rPr>
        <w:t>La política del presidente Clinton, que atrajo las inversiones in- ternacionales hacia Estados Unidos, le permitió eliminar el déficit comercial de Estados Unidos, someter militarmente a</w:t>
      </w:r>
      <w:r>
        <w:rPr>
          <w:color w:val="231F20"/>
          <w:spacing w:val="-11"/>
          <w:w w:val="110"/>
        </w:rPr>
        <w:t> </w:t>
      </w:r>
      <w:r>
        <w:rPr>
          <w:color w:val="231F20"/>
          <w:w w:val="110"/>
        </w:rPr>
        <w:t>un</w:t>
      </w:r>
      <w:r>
        <w:rPr>
          <w:color w:val="231F20"/>
          <w:spacing w:val="45"/>
          <w:w w:val="110"/>
        </w:rPr>
        <w:t> </w:t>
      </w:r>
      <w:r>
        <w:rPr>
          <w:color w:val="231F20"/>
          <w:w w:val="110"/>
        </w:rPr>
        <w:t>mundo</w:t>
      </w:r>
      <w:r>
        <w:rPr>
          <w:color w:val="231F20"/>
          <w:spacing w:val="1"/>
          <w:w w:val="114"/>
        </w:rPr>
        <w:t> </w:t>
      </w:r>
      <w:r>
        <w:rPr>
          <w:color w:val="231F20"/>
          <w:w w:val="110"/>
        </w:rPr>
        <w:t>unipolar</w:t>
      </w:r>
      <w:r>
        <w:rPr>
          <w:color w:val="231F20"/>
          <w:spacing w:val="-6"/>
          <w:w w:val="110"/>
        </w:rPr>
        <w:t> </w:t>
      </w:r>
      <w:r>
        <w:rPr>
          <w:color w:val="231F20"/>
          <w:w w:val="110"/>
        </w:rPr>
        <w:t>y</w:t>
      </w:r>
      <w:r>
        <w:rPr>
          <w:color w:val="231F20"/>
          <w:spacing w:val="-6"/>
          <w:w w:val="110"/>
        </w:rPr>
        <w:t> </w:t>
      </w:r>
      <w:r>
        <w:rPr>
          <w:color w:val="231F20"/>
          <w:w w:val="110"/>
        </w:rPr>
        <w:t>declarar</w:t>
      </w:r>
      <w:r>
        <w:rPr>
          <w:color w:val="231F20"/>
          <w:spacing w:val="-6"/>
          <w:w w:val="110"/>
        </w:rPr>
        <w:t> </w:t>
      </w:r>
      <w:r>
        <w:rPr>
          <w:color w:val="231F20"/>
          <w:w w:val="110"/>
        </w:rPr>
        <w:t>su</w:t>
      </w:r>
      <w:r>
        <w:rPr>
          <w:color w:val="231F20"/>
          <w:spacing w:val="-6"/>
          <w:w w:val="110"/>
        </w:rPr>
        <w:t> </w:t>
      </w:r>
      <w:r>
        <w:rPr>
          <w:color w:val="231F20"/>
          <w:w w:val="110"/>
        </w:rPr>
        <w:t>superioridad</w:t>
      </w:r>
      <w:r>
        <w:rPr>
          <w:color w:val="231F20"/>
          <w:spacing w:val="-6"/>
          <w:w w:val="110"/>
        </w:rPr>
        <w:t> </w:t>
      </w:r>
      <w:r>
        <w:rPr>
          <w:color w:val="231F20"/>
          <w:w w:val="110"/>
        </w:rPr>
        <w:t>política.</w:t>
      </w:r>
      <w:r>
        <w:rPr>
          <w:color w:val="231F20"/>
          <w:spacing w:val="-6"/>
          <w:w w:val="110"/>
        </w:rPr>
        <w:t> </w:t>
      </w:r>
      <w:r>
        <w:rPr>
          <w:color w:val="231F20"/>
          <w:w w:val="110"/>
        </w:rPr>
        <w:t>A</w:t>
      </w:r>
      <w:r>
        <w:rPr>
          <w:color w:val="231F20"/>
          <w:spacing w:val="-6"/>
          <w:w w:val="110"/>
        </w:rPr>
        <w:t> </w:t>
      </w:r>
      <w:r>
        <w:rPr>
          <w:color w:val="231F20"/>
          <w:w w:val="110"/>
        </w:rPr>
        <w:t>fines</w:t>
      </w:r>
      <w:r>
        <w:rPr>
          <w:color w:val="231F20"/>
          <w:spacing w:val="-6"/>
          <w:w w:val="110"/>
        </w:rPr>
        <w:t> </w:t>
      </w:r>
      <w:r>
        <w:rPr>
          <w:color w:val="231F20"/>
          <w:w w:val="110"/>
        </w:rPr>
        <w:t>de</w:t>
      </w:r>
      <w:r>
        <w:rPr>
          <w:color w:val="231F20"/>
          <w:spacing w:val="-6"/>
          <w:w w:val="110"/>
        </w:rPr>
        <w:t> </w:t>
      </w:r>
      <w:r>
        <w:rPr>
          <w:color w:val="231F20"/>
          <w:w w:val="110"/>
        </w:rPr>
        <w:t>1990,</w:t>
      </w:r>
      <w:r>
        <w:rPr>
          <w:color w:val="231F20"/>
          <w:spacing w:val="-6"/>
          <w:w w:val="110"/>
        </w:rPr>
        <w:t> </w:t>
      </w:r>
      <w:r>
        <w:rPr>
          <w:color w:val="231F20"/>
          <w:w w:val="110"/>
        </w:rPr>
        <w:t>sin</w:t>
      </w:r>
      <w:r>
        <w:rPr>
          <w:color w:val="231F20"/>
          <w:spacing w:val="-6"/>
          <w:w w:val="110"/>
        </w:rPr>
        <w:t> </w:t>
      </w:r>
      <w:r>
        <w:rPr>
          <w:color w:val="231F20"/>
          <w:w w:val="110"/>
        </w:rPr>
        <w:t>em- bargo, estallaron las crisis financieras de la periferia (Asia oriental, Rusia, México y Argentina) demostrando que subyacía una contra- dicción que no respondía a fórmulas </w:t>
      </w:r>
      <w:r>
        <w:rPr>
          <w:color w:val="231F20"/>
          <w:spacing w:val="8"/>
          <w:w w:val="110"/>
        </w:rPr>
        <w:t> </w:t>
      </w:r>
      <w:r>
        <w:rPr>
          <w:color w:val="231F20"/>
          <w:w w:val="110"/>
        </w:rPr>
        <w:t>gerenciales.</w:t>
      </w:r>
    </w:p>
    <w:p>
      <w:pPr>
        <w:pStyle w:val="BodyText"/>
      </w:pPr>
    </w:p>
    <w:p>
      <w:pPr>
        <w:pStyle w:val="BodyText"/>
      </w:pPr>
    </w:p>
    <w:p>
      <w:pPr>
        <w:pStyle w:val="BodyText"/>
      </w:pPr>
    </w:p>
    <w:p>
      <w:pPr>
        <w:spacing w:line="261" w:lineRule="auto" w:before="142"/>
        <w:ind w:left="100" w:right="117" w:firstLine="240"/>
        <w:jc w:val="both"/>
        <w:rPr>
          <w:sz w:val="16"/>
        </w:rPr>
      </w:pPr>
      <w:r>
        <w:rPr>
          <w:color w:val="231F20"/>
          <w:w w:val="110"/>
          <w:position w:val="5"/>
          <w:sz w:val="10"/>
        </w:rPr>
        <w:t>2</w:t>
      </w:r>
      <w:r>
        <w:rPr>
          <w:color w:val="231F20"/>
          <w:spacing w:val="2"/>
          <w:w w:val="110"/>
          <w:position w:val="5"/>
          <w:sz w:val="10"/>
        </w:rPr>
        <w:t> </w:t>
      </w:r>
      <w:r>
        <w:rPr>
          <w:color w:val="231F20"/>
          <w:w w:val="110"/>
          <w:sz w:val="16"/>
        </w:rPr>
        <w:t>El</w:t>
      </w:r>
      <w:r>
        <w:rPr>
          <w:color w:val="231F20"/>
          <w:spacing w:val="-12"/>
          <w:w w:val="110"/>
          <w:sz w:val="16"/>
        </w:rPr>
        <w:t> </w:t>
      </w:r>
      <w:r>
        <w:rPr>
          <w:color w:val="231F20"/>
          <w:w w:val="110"/>
          <w:sz w:val="16"/>
        </w:rPr>
        <w:t>15</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septiembre</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2009,</w:t>
      </w:r>
      <w:r>
        <w:rPr>
          <w:color w:val="231F20"/>
          <w:spacing w:val="-12"/>
          <w:w w:val="110"/>
          <w:sz w:val="16"/>
        </w:rPr>
        <w:t> </w:t>
      </w:r>
      <w:r>
        <w:rPr>
          <w:i/>
          <w:color w:val="231F20"/>
          <w:w w:val="110"/>
          <w:sz w:val="16"/>
        </w:rPr>
        <w:t>Democracy</w:t>
      </w:r>
      <w:r>
        <w:rPr>
          <w:i/>
          <w:color w:val="231F20"/>
          <w:spacing w:val="-12"/>
          <w:w w:val="110"/>
          <w:sz w:val="16"/>
        </w:rPr>
        <w:t> </w:t>
      </w:r>
      <w:r>
        <w:rPr>
          <w:i/>
          <w:color w:val="231F20"/>
          <w:w w:val="110"/>
          <w:sz w:val="16"/>
        </w:rPr>
        <w:t>Now</w:t>
      </w:r>
      <w:r>
        <w:rPr>
          <w:i/>
          <w:color w:val="231F20"/>
          <w:spacing w:val="-12"/>
          <w:w w:val="110"/>
          <w:sz w:val="16"/>
        </w:rPr>
        <w:t> </w:t>
      </w:r>
      <w:r>
        <w:rPr>
          <w:color w:val="231F20"/>
          <w:w w:val="110"/>
          <w:sz w:val="16"/>
        </w:rPr>
        <w:t>informó</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“un</w:t>
      </w:r>
      <w:r>
        <w:rPr>
          <w:color w:val="231F20"/>
          <w:spacing w:val="-12"/>
          <w:w w:val="110"/>
          <w:sz w:val="16"/>
        </w:rPr>
        <w:t> </w:t>
      </w:r>
      <w:r>
        <w:rPr>
          <w:color w:val="231F20"/>
          <w:w w:val="110"/>
          <w:sz w:val="16"/>
        </w:rPr>
        <w:t>juez</w:t>
      </w:r>
      <w:r>
        <w:rPr>
          <w:color w:val="231F20"/>
          <w:spacing w:val="-12"/>
          <w:w w:val="110"/>
          <w:sz w:val="16"/>
        </w:rPr>
        <w:t> </w:t>
      </w:r>
      <w:r>
        <w:rPr>
          <w:color w:val="231F20"/>
          <w:w w:val="110"/>
          <w:sz w:val="16"/>
        </w:rPr>
        <w:t>federal</w:t>
      </w:r>
      <w:r>
        <w:rPr>
          <w:color w:val="231F20"/>
          <w:spacing w:val="-12"/>
          <w:w w:val="110"/>
          <w:sz w:val="16"/>
        </w:rPr>
        <w:t> </w:t>
      </w:r>
      <w:r>
        <w:rPr>
          <w:color w:val="231F20"/>
          <w:w w:val="110"/>
          <w:sz w:val="16"/>
        </w:rPr>
        <w:t>anuló un acuerdo por 33 millones de dólares entre Bank of America y la Comisión del</w:t>
      </w:r>
      <w:r>
        <w:rPr>
          <w:color w:val="231F20"/>
          <w:spacing w:val="-29"/>
          <w:w w:val="110"/>
          <w:sz w:val="16"/>
        </w:rPr>
        <w:t> </w:t>
      </w:r>
      <w:r>
        <w:rPr>
          <w:color w:val="231F20"/>
          <w:w w:val="110"/>
          <w:sz w:val="16"/>
        </w:rPr>
        <w:t>Mer- cado</w:t>
      </w:r>
      <w:r>
        <w:rPr>
          <w:color w:val="231F20"/>
          <w:spacing w:val="-3"/>
          <w:w w:val="110"/>
          <w:sz w:val="16"/>
        </w:rPr>
        <w:t> </w:t>
      </w:r>
      <w:r>
        <w:rPr>
          <w:color w:val="231F20"/>
          <w:w w:val="110"/>
          <w:sz w:val="16"/>
        </w:rPr>
        <w:t>de</w:t>
      </w:r>
      <w:r>
        <w:rPr>
          <w:color w:val="231F20"/>
          <w:spacing w:val="-3"/>
          <w:w w:val="110"/>
          <w:sz w:val="16"/>
        </w:rPr>
        <w:t> </w:t>
      </w:r>
      <w:r>
        <w:rPr>
          <w:color w:val="231F20"/>
          <w:w w:val="110"/>
          <w:sz w:val="16"/>
        </w:rPr>
        <w:t>Valores</w:t>
      </w:r>
      <w:r>
        <w:rPr>
          <w:color w:val="231F20"/>
          <w:spacing w:val="-3"/>
          <w:w w:val="110"/>
          <w:sz w:val="16"/>
        </w:rPr>
        <w:t> </w:t>
      </w:r>
      <w:r>
        <w:rPr>
          <w:color w:val="231F20"/>
          <w:w w:val="110"/>
          <w:sz w:val="16"/>
        </w:rPr>
        <w:t>de</w:t>
      </w:r>
      <w:r>
        <w:rPr>
          <w:color w:val="231F20"/>
          <w:spacing w:val="-3"/>
          <w:w w:val="110"/>
          <w:sz w:val="16"/>
        </w:rPr>
        <w:t> </w:t>
      </w:r>
      <w:r>
        <w:rPr>
          <w:color w:val="231F20"/>
          <w:w w:val="110"/>
          <w:sz w:val="16"/>
        </w:rPr>
        <w:t>Estados</w:t>
      </w:r>
      <w:r>
        <w:rPr>
          <w:color w:val="231F20"/>
          <w:spacing w:val="-3"/>
          <w:w w:val="110"/>
          <w:sz w:val="16"/>
        </w:rPr>
        <w:t> </w:t>
      </w:r>
      <w:r>
        <w:rPr>
          <w:color w:val="231F20"/>
          <w:w w:val="110"/>
          <w:sz w:val="16"/>
        </w:rPr>
        <w:t>Unidos</w:t>
      </w:r>
      <w:r>
        <w:rPr>
          <w:color w:val="231F20"/>
          <w:spacing w:val="-3"/>
          <w:w w:val="110"/>
          <w:sz w:val="16"/>
        </w:rPr>
        <w:t> </w:t>
      </w:r>
      <w:r>
        <w:rPr>
          <w:color w:val="231F20"/>
          <w:w w:val="110"/>
          <w:sz w:val="16"/>
        </w:rPr>
        <w:t>por</w:t>
      </w:r>
      <w:r>
        <w:rPr>
          <w:color w:val="231F20"/>
          <w:spacing w:val="-3"/>
          <w:w w:val="110"/>
          <w:sz w:val="16"/>
        </w:rPr>
        <w:t> </w:t>
      </w:r>
      <w:r>
        <w:rPr>
          <w:color w:val="231F20"/>
          <w:w w:val="110"/>
          <w:sz w:val="16"/>
        </w:rPr>
        <w:t>los</w:t>
      </w:r>
      <w:r>
        <w:rPr>
          <w:color w:val="231F20"/>
          <w:spacing w:val="-3"/>
          <w:w w:val="110"/>
          <w:sz w:val="16"/>
        </w:rPr>
        <w:t> </w:t>
      </w:r>
      <w:r>
        <w:rPr>
          <w:color w:val="231F20"/>
          <w:w w:val="110"/>
          <w:sz w:val="16"/>
        </w:rPr>
        <w:t>sobresueldos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3</w:t>
      </w:r>
      <w:r>
        <w:rPr>
          <w:color w:val="231F20"/>
          <w:spacing w:val="-3"/>
          <w:w w:val="110"/>
          <w:sz w:val="16"/>
        </w:rPr>
        <w:t> </w:t>
      </w:r>
      <w:r>
        <w:rPr>
          <w:color w:val="231F20"/>
          <w:w w:val="110"/>
          <w:sz w:val="16"/>
        </w:rPr>
        <w:t>600</w:t>
      </w:r>
      <w:r>
        <w:rPr>
          <w:color w:val="231F20"/>
          <w:spacing w:val="-3"/>
          <w:w w:val="110"/>
          <w:sz w:val="16"/>
        </w:rPr>
        <w:t> </w:t>
      </w:r>
      <w:r>
        <w:rPr>
          <w:color w:val="231F20"/>
          <w:w w:val="110"/>
          <w:sz w:val="16"/>
        </w:rPr>
        <w:t>millones</w:t>
      </w:r>
      <w:r>
        <w:rPr>
          <w:color w:val="231F20"/>
          <w:spacing w:val="-3"/>
          <w:w w:val="110"/>
          <w:sz w:val="16"/>
        </w:rPr>
        <w:t> </w:t>
      </w:r>
      <w:r>
        <w:rPr>
          <w:color w:val="231F20"/>
          <w:w w:val="110"/>
          <w:sz w:val="16"/>
        </w:rPr>
        <w:t>de</w:t>
      </w:r>
      <w:r>
        <w:rPr>
          <w:color w:val="231F20"/>
          <w:spacing w:val="-3"/>
          <w:w w:val="110"/>
          <w:sz w:val="16"/>
        </w:rPr>
        <w:t> </w:t>
      </w:r>
      <w:r>
        <w:rPr>
          <w:color w:val="231F20"/>
          <w:w w:val="110"/>
          <w:sz w:val="16"/>
        </w:rPr>
        <w:t>dólares pagados a ejecutivos de Merril Lynch poco antes de que el banco fuera adquirido por Bank</w:t>
      </w:r>
      <w:r>
        <w:rPr>
          <w:color w:val="231F20"/>
          <w:spacing w:val="-18"/>
          <w:w w:val="110"/>
          <w:sz w:val="16"/>
        </w:rPr>
        <w:t> </w:t>
      </w:r>
      <w:r>
        <w:rPr>
          <w:color w:val="231F20"/>
          <w:w w:val="110"/>
          <w:sz w:val="16"/>
        </w:rPr>
        <w:t>of</w:t>
      </w:r>
      <w:r>
        <w:rPr>
          <w:color w:val="231F20"/>
          <w:spacing w:val="-18"/>
          <w:w w:val="110"/>
          <w:sz w:val="16"/>
        </w:rPr>
        <w:t> </w:t>
      </w:r>
      <w:r>
        <w:rPr>
          <w:color w:val="231F20"/>
          <w:w w:val="110"/>
          <w:sz w:val="16"/>
        </w:rPr>
        <w:t>America.</w:t>
      </w:r>
      <w:r>
        <w:rPr>
          <w:color w:val="231F20"/>
          <w:spacing w:val="-18"/>
          <w:w w:val="110"/>
          <w:sz w:val="16"/>
        </w:rPr>
        <w:t> </w:t>
      </w:r>
      <w:r>
        <w:rPr>
          <w:color w:val="231F20"/>
          <w:w w:val="110"/>
          <w:sz w:val="16"/>
        </w:rPr>
        <w:t>El</w:t>
      </w:r>
      <w:r>
        <w:rPr>
          <w:color w:val="231F20"/>
          <w:spacing w:val="-18"/>
          <w:w w:val="110"/>
          <w:sz w:val="16"/>
        </w:rPr>
        <w:t> </w:t>
      </w:r>
      <w:r>
        <w:rPr>
          <w:color w:val="231F20"/>
          <w:w w:val="110"/>
          <w:sz w:val="16"/>
        </w:rPr>
        <w:t>juez</w:t>
      </w:r>
      <w:r>
        <w:rPr>
          <w:color w:val="231F20"/>
          <w:spacing w:val="-18"/>
          <w:w w:val="110"/>
          <w:sz w:val="16"/>
        </w:rPr>
        <w:t> </w:t>
      </w:r>
      <w:r>
        <w:rPr>
          <w:color w:val="231F20"/>
          <w:w w:val="110"/>
          <w:sz w:val="16"/>
        </w:rPr>
        <w:t>Rakoff</w:t>
      </w:r>
      <w:r>
        <w:rPr>
          <w:color w:val="231F20"/>
          <w:spacing w:val="-18"/>
          <w:w w:val="110"/>
          <w:sz w:val="16"/>
        </w:rPr>
        <w:t> </w:t>
      </w:r>
      <w:r>
        <w:rPr>
          <w:color w:val="231F20"/>
          <w:w w:val="110"/>
          <w:sz w:val="16"/>
        </w:rPr>
        <w:t>cuestionó</w:t>
      </w:r>
      <w:r>
        <w:rPr>
          <w:color w:val="231F20"/>
          <w:spacing w:val="-18"/>
          <w:w w:val="110"/>
          <w:sz w:val="16"/>
        </w:rPr>
        <w:t> </w:t>
      </w:r>
      <w:r>
        <w:rPr>
          <w:color w:val="231F20"/>
          <w:w w:val="110"/>
          <w:sz w:val="16"/>
        </w:rPr>
        <w:t>por</w:t>
      </w:r>
      <w:r>
        <w:rPr>
          <w:color w:val="231F20"/>
          <w:spacing w:val="-18"/>
          <w:w w:val="110"/>
          <w:sz w:val="16"/>
        </w:rPr>
        <w:t> </w:t>
      </w:r>
      <w:r>
        <w:rPr>
          <w:color w:val="231F20"/>
          <w:w w:val="110"/>
          <w:sz w:val="16"/>
        </w:rPr>
        <w:t>qué</w:t>
      </w:r>
      <w:r>
        <w:rPr>
          <w:color w:val="231F20"/>
          <w:spacing w:val="-18"/>
          <w:w w:val="110"/>
          <w:sz w:val="16"/>
        </w:rPr>
        <w:t> </w:t>
      </w:r>
      <w:r>
        <w:rPr>
          <w:color w:val="231F20"/>
          <w:w w:val="110"/>
          <w:sz w:val="16"/>
        </w:rPr>
        <w:t>la</w:t>
      </w:r>
      <w:r>
        <w:rPr>
          <w:color w:val="231F20"/>
          <w:spacing w:val="-18"/>
          <w:w w:val="110"/>
          <w:sz w:val="16"/>
        </w:rPr>
        <w:t> </w:t>
      </w:r>
      <w:r>
        <w:rPr>
          <w:color w:val="231F20"/>
          <w:w w:val="110"/>
          <w:sz w:val="16"/>
        </w:rPr>
        <w:t>Comisión</w:t>
      </w:r>
      <w:r>
        <w:rPr>
          <w:color w:val="231F20"/>
          <w:spacing w:val="-18"/>
          <w:w w:val="110"/>
          <w:sz w:val="16"/>
        </w:rPr>
        <w:t> </w:t>
      </w:r>
      <w:r>
        <w:rPr>
          <w:color w:val="231F20"/>
          <w:w w:val="110"/>
          <w:sz w:val="16"/>
        </w:rPr>
        <w:t>no</w:t>
      </w:r>
      <w:r>
        <w:rPr>
          <w:color w:val="231F20"/>
          <w:spacing w:val="-18"/>
          <w:w w:val="110"/>
          <w:sz w:val="16"/>
        </w:rPr>
        <w:t> </w:t>
      </w:r>
      <w:r>
        <w:rPr>
          <w:color w:val="231F20"/>
          <w:w w:val="110"/>
          <w:sz w:val="16"/>
        </w:rPr>
        <w:t>presentó</w:t>
      </w:r>
      <w:r>
        <w:rPr>
          <w:color w:val="231F20"/>
          <w:spacing w:val="-18"/>
          <w:w w:val="110"/>
          <w:sz w:val="16"/>
        </w:rPr>
        <w:t> </w:t>
      </w:r>
      <w:r>
        <w:rPr>
          <w:color w:val="231F20"/>
          <w:w w:val="110"/>
          <w:sz w:val="16"/>
        </w:rPr>
        <w:t>cargos</w:t>
      </w:r>
      <w:r>
        <w:rPr>
          <w:color w:val="231F20"/>
          <w:spacing w:val="-18"/>
          <w:w w:val="110"/>
          <w:sz w:val="16"/>
        </w:rPr>
        <w:t> </w:t>
      </w:r>
      <w:r>
        <w:rPr>
          <w:color w:val="231F20"/>
          <w:w w:val="110"/>
          <w:sz w:val="16"/>
        </w:rPr>
        <w:t>con- tra</w:t>
      </w:r>
      <w:r>
        <w:rPr>
          <w:color w:val="231F20"/>
          <w:spacing w:val="-7"/>
          <w:w w:val="110"/>
          <w:sz w:val="16"/>
        </w:rPr>
        <w:t> </w:t>
      </w:r>
      <w:r>
        <w:rPr>
          <w:color w:val="231F20"/>
          <w:w w:val="110"/>
          <w:sz w:val="16"/>
        </w:rPr>
        <w:t>ejecutivos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Bank</w:t>
      </w:r>
      <w:r>
        <w:rPr>
          <w:color w:val="231F20"/>
          <w:spacing w:val="-7"/>
          <w:w w:val="110"/>
          <w:sz w:val="16"/>
        </w:rPr>
        <w:t> </w:t>
      </w:r>
      <w:r>
        <w:rPr>
          <w:color w:val="231F20"/>
          <w:w w:val="110"/>
          <w:sz w:val="16"/>
        </w:rPr>
        <w:t>of</w:t>
      </w:r>
      <w:r>
        <w:rPr>
          <w:color w:val="231F20"/>
          <w:spacing w:val="-7"/>
          <w:w w:val="110"/>
          <w:sz w:val="16"/>
        </w:rPr>
        <w:t> </w:t>
      </w:r>
      <w:r>
        <w:rPr>
          <w:color w:val="231F20"/>
          <w:w w:val="110"/>
          <w:sz w:val="16"/>
        </w:rPr>
        <w:t>America</w:t>
      </w:r>
      <w:r>
        <w:rPr>
          <w:color w:val="231F20"/>
          <w:spacing w:val="-7"/>
          <w:w w:val="110"/>
          <w:sz w:val="16"/>
        </w:rPr>
        <w:t> </w:t>
      </w:r>
      <w:r>
        <w:rPr>
          <w:color w:val="231F20"/>
          <w:w w:val="110"/>
          <w:sz w:val="16"/>
        </w:rPr>
        <w:t>y</w:t>
      </w:r>
      <w:r>
        <w:rPr>
          <w:color w:val="231F20"/>
          <w:spacing w:val="-7"/>
          <w:w w:val="110"/>
          <w:sz w:val="16"/>
        </w:rPr>
        <w:t> </w:t>
      </w:r>
      <w:r>
        <w:rPr>
          <w:color w:val="231F20"/>
          <w:w w:val="110"/>
          <w:sz w:val="16"/>
        </w:rPr>
        <w:t>Merrill</w:t>
      </w:r>
      <w:r>
        <w:rPr>
          <w:color w:val="231F20"/>
          <w:spacing w:val="-7"/>
          <w:w w:val="110"/>
          <w:sz w:val="16"/>
        </w:rPr>
        <w:t> </w:t>
      </w:r>
      <w:r>
        <w:rPr>
          <w:color w:val="231F20"/>
          <w:w w:val="110"/>
          <w:sz w:val="16"/>
        </w:rPr>
        <w:t>Lynch</w:t>
      </w:r>
      <w:r>
        <w:rPr>
          <w:color w:val="231F20"/>
          <w:spacing w:val="-7"/>
          <w:w w:val="110"/>
          <w:sz w:val="16"/>
        </w:rPr>
        <w:t> </w:t>
      </w:r>
      <w:r>
        <w:rPr>
          <w:color w:val="231F20"/>
          <w:w w:val="110"/>
          <w:sz w:val="16"/>
        </w:rPr>
        <w:t>que</w:t>
      </w:r>
      <w:r>
        <w:rPr>
          <w:color w:val="231F20"/>
          <w:spacing w:val="-7"/>
          <w:w w:val="110"/>
          <w:sz w:val="16"/>
        </w:rPr>
        <w:t> </w:t>
      </w:r>
      <w:r>
        <w:rPr>
          <w:color w:val="231F20"/>
          <w:w w:val="110"/>
          <w:sz w:val="16"/>
        </w:rPr>
        <w:t>habrían</w:t>
      </w:r>
      <w:r>
        <w:rPr>
          <w:color w:val="231F20"/>
          <w:spacing w:val="-7"/>
          <w:w w:val="110"/>
          <w:sz w:val="16"/>
        </w:rPr>
        <w:t> </w:t>
      </w:r>
      <w:r>
        <w:rPr>
          <w:color w:val="231F20"/>
          <w:w w:val="110"/>
          <w:sz w:val="16"/>
        </w:rPr>
        <w:t>presentado</w:t>
      </w:r>
      <w:r>
        <w:rPr>
          <w:color w:val="231F20"/>
          <w:spacing w:val="-7"/>
          <w:w w:val="110"/>
          <w:sz w:val="16"/>
        </w:rPr>
        <w:t> </w:t>
      </w:r>
      <w:r>
        <w:rPr>
          <w:color w:val="231F20"/>
          <w:w w:val="110"/>
          <w:sz w:val="16"/>
        </w:rPr>
        <w:t>declaracio- nes erróneas para desinformar a los inversores acerca del tamaño de los</w:t>
      </w:r>
      <w:r>
        <w:rPr>
          <w:color w:val="231F20"/>
          <w:spacing w:val="-30"/>
          <w:w w:val="110"/>
          <w:sz w:val="16"/>
        </w:rPr>
        <w:t> </w:t>
      </w:r>
      <w:r>
        <w:rPr>
          <w:color w:val="231F20"/>
          <w:w w:val="110"/>
          <w:sz w:val="16"/>
        </w:rPr>
        <w:t>sobresueldos.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firstLine="240"/>
        <w:jc w:val="both"/>
      </w:pPr>
      <w:r>
        <w:rPr>
          <w:color w:val="231F20"/>
          <w:w w:val="110"/>
        </w:rPr>
        <w:t>En el primer decenio del siglo xxi las políticas de Clinton fueron aceleradas por el presidente Bush (hijo). Para ello su política eco- nómica abandonó el control fiscal, abandonó alca, volcó su estra- tegia productiva hacia China y lanzó una ofensiva militar global</w:t>
      </w:r>
      <w:r>
        <w:rPr>
          <w:color w:val="231F20"/>
          <w:spacing w:val="-18"/>
          <w:w w:val="110"/>
        </w:rPr>
        <w:t> </w:t>
      </w:r>
      <w:r>
        <w:rPr>
          <w:color w:val="231F20"/>
          <w:w w:val="110"/>
        </w:rPr>
        <w:t>que convirtió a Estados Unidos en una medusa con conflictos armados en todos los rincones del globo. La militarización, la</w:t>
      </w:r>
      <w:r>
        <w:rPr>
          <w:color w:val="231F20"/>
          <w:spacing w:val="-22"/>
          <w:w w:val="110"/>
        </w:rPr>
        <w:t> </w:t>
      </w:r>
      <w:r>
        <w:rPr>
          <w:color w:val="231F20"/>
          <w:w w:val="110"/>
        </w:rPr>
        <w:t>externalización y la comercialización —combinación política que algunos llaman la financiación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economía—</w:t>
      </w:r>
      <w:r>
        <w:rPr>
          <w:color w:val="231F20"/>
          <w:spacing w:val="-8"/>
          <w:w w:val="110"/>
        </w:rPr>
        <w:t> </w:t>
      </w:r>
      <w:r>
        <w:rPr>
          <w:color w:val="231F20"/>
          <w:w w:val="110"/>
        </w:rPr>
        <w:t>tuvo</w:t>
      </w:r>
      <w:r>
        <w:rPr>
          <w:color w:val="231F20"/>
          <w:spacing w:val="-8"/>
          <w:w w:val="110"/>
        </w:rPr>
        <w:t> </w:t>
      </w:r>
      <w:r>
        <w:rPr>
          <w:color w:val="231F20"/>
          <w:w w:val="110"/>
        </w:rPr>
        <w:t>dos</w:t>
      </w:r>
      <w:r>
        <w:rPr>
          <w:color w:val="231F20"/>
          <w:spacing w:val="-8"/>
          <w:w w:val="110"/>
        </w:rPr>
        <w:t> </w:t>
      </w:r>
      <w:r>
        <w:rPr>
          <w:color w:val="231F20"/>
          <w:w w:val="110"/>
        </w:rPr>
        <w:t>consecuencias</w:t>
      </w:r>
      <w:r>
        <w:rPr>
          <w:color w:val="231F20"/>
          <w:spacing w:val="-8"/>
          <w:w w:val="110"/>
        </w:rPr>
        <w:t> </w:t>
      </w:r>
      <w:r>
        <w:rPr>
          <w:color w:val="231F20"/>
          <w:w w:val="110"/>
        </w:rPr>
        <w:t>a</w:t>
      </w:r>
      <w:r>
        <w:rPr>
          <w:color w:val="231F20"/>
          <w:spacing w:val="-8"/>
          <w:w w:val="110"/>
        </w:rPr>
        <w:t> </w:t>
      </w:r>
      <w:r>
        <w:rPr>
          <w:color w:val="231F20"/>
          <w:w w:val="110"/>
        </w:rPr>
        <w:t>corto</w:t>
      </w:r>
      <w:r>
        <w:rPr>
          <w:color w:val="231F20"/>
          <w:spacing w:val="-8"/>
          <w:w w:val="110"/>
        </w:rPr>
        <w:t> </w:t>
      </w:r>
      <w:r>
        <w:rPr>
          <w:color w:val="231F20"/>
          <w:w w:val="110"/>
        </w:rPr>
        <w:t>plazo. Por un lado, creó la apariencia de que contribuía al crecimiento económico </w:t>
      </w:r>
      <w:r>
        <w:rPr>
          <w:color w:val="231F20"/>
          <w:spacing w:val="-8"/>
          <w:w w:val="110"/>
        </w:rPr>
        <w:t>y, </w:t>
      </w:r>
      <w:r>
        <w:rPr>
          <w:color w:val="231F20"/>
          <w:w w:val="110"/>
        </w:rPr>
        <w:t>especialmente, a un incremento de los valores en las bolsas que transaban en una economía cada vez más globalizada. Por el otro, la especulación en el sector inmobiliario (así como en materias primas y el fenómeno </w:t>
      </w:r>
      <w:r>
        <w:rPr>
          <w:i/>
          <w:color w:val="231F20"/>
          <w:w w:val="110"/>
        </w:rPr>
        <w:t>dot.com</w:t>
      </w:r>
      <w:r>
        <w:rPr>
          <w:color w:val="231F20"/>
          <w:w w:val="110"/>
        </w:rPr>
        <w:t>) creó la visión</w:t>
      </w:r>
      <w:r>
        <w:rPr>
          <w:color w:val="231F20"/>
          <w:spacing w:val="-14"/>
          <w:w w:val="110"/>
        </w:rPr>
        <w:t> </w:t>
      </w:r>
      <w:r>
        <w:rPr>
          <w:color w:val="231F20"/>
          <w:w w:val="110"/>
        </w:rPr>
        <w:t>distorsionada de una economía en </w:t>
      </w:r>
      <w:r>
        <w:rPr>
          <w:color w:val="231F20"/>
          <w:spacing w:val="31"/>
          <w:w w:val="110"/>
        </w:rPr>
        <w:t> </w:t>
      </w:r>
      <w:r>
        <w:rPr>
          <w:color w:val="231F20"/>
          <w:w w:val="110"/>
        </w:rPr>
        <w:t>crecimiento.</w:t>
      </w:r>
    </w:p>
    <w:p>
      <w:pPr>
        <w:pStyle w:val="BodyText"/>
        <w:spacing w:line="261" w:lineRule="auto"/>
        <w:ind w:left="100" w:right="117" w:firstLine="240"/>
        <w:jc w:val="both"/>
      </w:pPr>
      <w:r>
        <w:rPr>
          <w:color w:val="231F20"/>
          <w:w w:val="110"/>
        </w:rPr>
        <w:t>Según</w:t>
      </w:r>
      <w:r>
        <w:rPr>
          <w:color w:val="231F20"/>
          <w:spacing w:val="-6"/>
          <w:w w:val="110"/>
        </w:rPr>
        <w:t> </w:t>
      </w:r>
      <w:r>
        <w:rPr>
          <w:color w:val="231F20"/>
          <w:w w:val="110"/>
        </w:rPr>
        <w:t>Krozner</w:t>
      </w:r>
      <w:r>
        <w:rPr>
          <w:color w:val="231F20"/>
          <w:spacing w:val="-6"/>
          <w:w w:val="110"/>
        </w:rPr>
        <w:t> </w:t>
      </w:r>
      <w:r>
        <w:rPr>
          <w:color w:val="231F20"/>
          <w:w w:val="110"/>
        </w:rPr>
        <w:t>(2007)</w:t>
      </w:r>
      <w:r>
        <w:rPr>
          <w:color w:val="231F20"/>
          <w:spacing w:val="-6"/>
          <w:w w:val="110"/>
        </w:rPr>
        <w:t> </w:t>
      </w:r>
      <w:r>
        <w:rPr>
          <w:color w:val="231F20"/>
          <w:w w:val="110"/>
        </w:rPr>
        <w:t>“el</w:t>
      </w:r>
      <w:r>
        <w:rPr>
          <w:color w:val="231F20"/>
          <w:spacing w:val="-6"/>
          <w:w w:val="110"/>
        </w:rPr>
        <w:t> </w:t>
      </w:r>
      <w:r>
        <w:rPr>
          <w:color w:val="231F20"/>
          <w:w w:val="110"/>
        </w:rPr>
        <w:t>estancamiento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economía</w:t>
      </w:r>
      <w:r>
        <w:rPr>
          <w:color w:val="231F20"/>
          <w:spacing w:val="-6"/>
          <w:w w:val="110"/>
        </w:rPr>
        <w:t> </w:t>
      </w:r>
      <w:r>
        <w:rPr>
          <w:color w:val="231F20"/>
          <w:w w:val="110"/>
        </w:rPr>
        <w:t>real</w:t>
      </w:r>
      <w:r>
        <w:rPr>
          <w:color w:val="231F20"/>
          <w:spacing w:val="-6"/>
          <w:w w:val="110"/>
        </w:rPr>
        <w:t> </w:t>
      </w:r>
      <w:r>
        <w:rPr>
          <w:color w:val="231F20"/>
          <w:w w:val="110"/>
        </w:rPr>
        <w:t>es</w:t>
      </w:r>
      <w:r>
        <w:rPr>
          <w:color w:val="231F20"/>
          <w:spacing w:val="-6"/>
          <w:w w:val="110"/>
        </w:rPr>
        <w:t> </w:t>
      </w:r>
      <w:r>
        <w:rPr>
          <w:color w:val="231F20"/>
          <w:w w:val="110"/>
        </w:rPr>
        <w:t>el resultado de la sobreproducción (o sobreacumulación) que caracte- riza la economía internacional desde 1970. La capacidad productiva supera la demanda global como consecuencia de la creciente des- igualdad</w:t>
      </w:r>
      <w:r>
        <w:rPr>
          <w:color w:val="231F20"/>
          <w:spacing w:val="-17"/>
          <w:w w:val="110"/>
        </w:rPr>
        <w:t> </w:t>
      </w:r>
      <w:r>
        <w:rPr>
          <w:color w:val="231F20"/>
          <w:w w:val="110"/>
        </w:rPr>
        <w:t>social.</w:t>
      </w:r>
      <w:r>
        <w:rPr>
          <w:color w:val="231F20"/>
          <w:spacing w:val="-17"/>
          <w:w w:val="110"/>
        </w:rPr>
        <w:t> </w:t>
      </w:r>
      <w:r>
        <w:rPr>
          <w:color w:val="231F20"/>
          <w:w w:val="110"/>
        </w:rPr>
        <w:t>Esta</w:t>
      </w:r>
      <w:r>
        <w:rPr>
          <w:color w:val="231F20"/>
          <w:spacing w:val="-17"/>
          <w:w w:val="110"/>
        </w:rPr>
        <w:t> </w:t>
      </w:r>
      <w:r>
        <w:rPr>
          <w:color w:val="231F20"/>
          <w:w w:val="110"/>
        </w:rPr>
        <w:t>situación</w:t>
      </w:r>
      <w:r>
        <w:rPr>
          <w:color w:val="231F20"/>
          <w:spacing w:val="-17"/>
          <w:w w:val="110"/>
        </w:rPr>
        <w:t> </w:t>
      </w:r>
      <w:r>
        <w:rPr>
          <w:color w:val="231F20"/>
          <w:w w:val="110"/>
        </w:rPr>
        <w:t>ha</w:t>
      </w:r>
      <w:r>
        <w:rPr>
          <w:color w:val="231F20"/>
          <w:spacing w:val="-17"/>
          <w:w w:val="110"/>
        </w:rPr>
        <w:t> </w:t>
      </w:r>
      <w:r>
        <w:rPr>
          <w:color w:val="231F20"/>
          <w:w w:val="110"/>
        </w:rPr>
        <w:t>frenado</w:t>
      </w:r>
      <w:r>
        <w:rPr>
          <w:color w:val="231F20"/>
          <w:spacing w:val="-17"/>
          <w:w w:val="110"/>
        </w:rPr>
        <w:t> </w:t>
      </w:r>
      <w:r>
        <w:rPr>
          <w:color w:val="231F20"/>
          <w:w w:val="110"/>
        </w:rPr>
        <w:t>las</w:t>
      </w:r>
      <w:r>
        <w:rPr>
          <w:color w:val="231F20"/>
          <w:spacing w:val="-17"/>
          <w:w w:val="110"/>
        </w:rPr>
        <w:t> </w:t>
      </w:r>
      <w:r>
        <w:rPr>
          <w:color w:val="231F20"/>
          <w:w w:val="110"/>
        </w:rPr>
        <w:t>posibilidades</w:t>
      </w:r>
      <w:r>
        <w:rPr>
          <w:color w:val="231F20"/>
          <w:spacing w:val="-17"/>
          <w:w w:val="110"/>
        </w:rPr>
        <w:t> </w:t>
      </w:r>
      <w:r>
        <w:rPr>
          <w:color w:val="231F20"/>
          <w:w w:val="110"/>
        </w:rPr>
        <w:t>de</w:t>
      </w:r>
      <w:r>
        <w:rPr>
          <w:color w:val="231F20"/>
          <w:spacing w:val="-17"/>
          <w:w w:val="110"/>
        </w:rPr>
        <w:t> </w:t>
      </w:r>
      <w:r>
        <w:rPr>
          <w:color w:val="231F20"/>
          <w:w w:val="110"/>
        </w:rPr>
        <w:t>generar ganancias en el sector productivo”. Kroszner concluye que “una</w:t>
      </w:r>
      <w:r>
        <w:rPr>
          <w:color w:val="231F20"/>
          <w:spacing w:val="-37"/>
          <w:w w:val="110"/>
        </w:rPr>
        <w:t> </w:t>
      </w:r>
      <w:r>
        <w:rPr>
          <w:color w:val="231F20"/>
          <w:w w:val="110"/>
        </w:rPr>
        <w:t>ruta de</w:t>
      </w:r>
      <w:r>
        <w:rPr>
          <w:color w:val="231F20"/>
          <w:spacing w:val="-6"/>
          <w:w w:val="110"/>
        </w:rPr>
        <w:t> </w:t>
      </w:r>
      <w:r>
        <w:rPr>
          <w:color w:val="231F20"/>
          <w:w w:val="110"/>
        </w:rPr>
        <w:t>escape</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es</w:t>
      </w:r>
      <w:r>
        <w:rPr>
          <w:color w:val="231F20"/>
          <w:spacing w:val="-6"/>
          <w:w w:val="110"/>
        </w:rPr>
        <w:t> </w:t>
      </w:r>
      <w:r>
        <w:rPr>
          <w:color w:val="231F20"/>
          <w:w w:val="110"/>
        </w:rPr>
        <w:t>la</w:t>
      </w:r>
      <w:r>
        <w:rPr>
          <w:color w:val="231F20"/>
          <w:spacing w:val="-6"/>
          <w:w w:val="110"/>
        </w:rPr>
        <w:t> </w:t>
      </w:r>
      <w:r>
        <w:rPr>
          <w:color w:val="231F20"/>
          <w:w w:val="110"/>
        </w:rPr>
        <w:t>“financiación”</w:t>
      </w:r>
      <w:r>
        <w:rPr>
          <w:color w:val="231F20"/>
          <w:spacing w:val="-6"/>
          <w:w w:val="110"/>
        </w:rPr>
        <w:t> </w:t>
      </w:r>
      <w:r>
        <w:rPr>
          <w:color w:val="231F20"/>
          <w:w w:val="110"/>
        </w:rPr>
        <w:t>que</w:t>
      </w:r>
      <w:r>
        <w:rPr>
          <w:color w:val="231F20"/>
          <w:spacing w:val="-6"/>
          <w:w w:val="110"/>
        </w:rPr>
        <w:t> </w:t>
      </w:r>
      <w:r>
        <w:rPr>
          <w:color w:val="231F20"/>
          <w:w w:val="110"/>
        </w:rPr>
        <w:t>implica</w:t>
      </w:r>
      <w:r>
        <w:rPr>
          <w:color w:val="231F20"/>
          <w:spacing w:val="-6"/>
          <w:w w:val="110"/>
        </w:rPr>
        <w:t> </w:t>
      </w:r>
      <w:r>
        <w:rPr>
          <w:color w:val="231F20"/>
          <w:w w:val="110"/>
        </w:rPr>
        <w:t>canalizar</w:t>
      </w:r>
      <w:r>
        <w:rPr>
          <w:color w:val="231F20"/>
          <w:spacing w:val="-6"/>
          <w:w w:val="110"/>
        </w:rPr>
        <w:t> </w:t>
      </w:r>
      <w:r>
        <w:rPr>
          <w:color w:val="231F20"/>
          <w:w w:val="110"/>
        </w:rPr>
        <w:t>las</w:t>
      </w:r>
      <w:r>
        <w:rPr>
          <w:color w:val="231F20"/>
          <w:spacing w:val="-6"/>
          <w:w w:val="110"/>
        </w:rPr>
        <w:t> </w:t>
      </w:r>
      <w:r>
        <w:rPr>
          <w:color w:val="231F20"/>
          <w:w w:val="110"/>
        </w:rPr>
        <w:t>in- versiones hacia la especulación financiera donde se pueden realizar </w:t>
      </w:r>
      <w:r>
        <w:rPr>
          <w:color w:val="231F20"/>
          <w:w w:val="105"/>
        </w:rPr>
        <w:t>mayores</w:t>
      </w:r>
      <w:r>
        <w:rPr>
          <w:color w:val="231F20"/>
          <w:spacing w:val="27"/>
          <w:w w:val="105"/>
        </w:rPr>
        <w:t> </w:t>
      </w:r>
      <w:r>
        <w:rPr>
          <w:color w:val="231F20"/>
          <w:w w:val="105"/>
        </w:rPr>
        <w:t>ganancias”.</w:t>
      </w:r>
    </w:p>
    <w:p>
      <w:pPr>
        <w:pStyle w:val="BodyText"/>
        <w:spacing w:line="261" w:lineRule="auto"/>
        <w:ind w:left="100" w:right="117" w:firstLine="240"/>
        <w:jc w:val="both"/>
      </w:pPr>
      <w:r>
        <w:rPr>
          <w:color w:val="231F20"/>
          <w:w w:val="110"/>
        </w:rPr>
        <w:t>La burbuja inmobiliaria incrementó los precios de las viviendas en 50% creando una riqueza artificial de 5 millones de millones de dólares. La externalizacion de la producción a China aprovechó los costos bajos de la fuerza de trabajo que permitían generar más ga- nancias.</w:t>
      </w:r>
      <w:r>
        <w:rPr>
          <w:color w:val="231F20"/>
          <w:spacing w:val="-6"/>
          <w:w w:val="110"/>
        </w:rPr>
        <w:t> </w:t>
      </w:r>
      <w:r>
        <w:rPr>
          <w:color w:val="231F20"/>
          <w:w w:val="110"/>
        </w:rPr>
        <w:t>Sin</w:t>
      </w:r>
      <w:r>
        <w:rPr>
          <w:color w:val="231F20"/>
          <w:spacing w:val="-6"/>
          <w:w w:val="110"/>
        </w:rPr>
        <w:t> </w:t>
      </w:r>
      <w:r>
        <w:rPr>
          <w:color w:val="231F20"/>
          <w:w w:val="110"/>
        </w:rPr>
        <w:t>embargo,</w:t>
      </w:r>
      <w:r>
        <w:rPr>
          <w:color w:val="231F20"/>
          <w:spacing w:val="-6"/>
          <w:w w:val="110"/>
        </w:rPr>
        <w:t> </w:t>
      </w:r>
      <w:r>
        <w:rPr>
          <w:color w:val="231F20"/>
          <w:w w:val="110"/>
        </w:rPr>
        <w:t>el</w:t>
      </w:r>
      <w:r>
        <w:rPr>
          <w:color w:val="231F20"/>
          <w:spacing w:val="-6"/>
          <w:w w:val="110"/>
        </w:rPr>
        <w:t> </w:t>
      </w:r>
      <w:r>
        <w:rPr>
          <w:color w:val="231F20"/>
          <w:w w:val="110"/>
        </w:rPr>
        <w:t>mercado</w:t>
      </w:r>
      <w:r>
        <w:rPr>
          <w:color w:val="231F20"/>
          <w:spacing w:val="-6"/>
          <w:w w:val="110"/>
        </w:rPr>
        <w:t> </w:t>
      </w:r>
      <w:r>
        <w:rPr>
          <w:color w:val="231F20"/>
          <w:w w:val="110"/>
        </w:rPr>
        <w:t>mundial</w:t>
      </w:r>
      <w:r>
        <w:rPr>
          <w:color w:val="231F20"/>
          <w:spacing w:val="-6"/>
          <w:w w:val="110"/>
        </w:rPr>
        <w:t> </w:t>
      </w:r>
      <w:r>
        <w:rPr>
          <w:color w:val="231F20"/>
          <w:w w:val="110"/>
        </w:rPr>
        <w:t>desigual</w:t>
      </w:r>
      <w:r>
        <w:rPr>
          <w:color w:val="231F20"/>
          <w:spacing w:val="-6"/>
          <w:w w:val="110"/>
        </w:rPr>
        <w:t> </w:t>
      </w:r>
      <w:r>
        <w:rPr>
          <w:color w:val="231F20"/>
          <w:w w:val="110"/>
        </w:rPr>
        <w:t>augura</w:t>
      </w:r>
      <w:r>
        <w:rPr>
          <w:color w:val="231F20"/>
          <w:spacing w:val="-6"/>
          <w:w w:val="110"/>
        </w:rPr>
        <w:t> </w:t>
      </w:r>
      <w:r>
        <w:rPr>
          <w:color w:val="231F20"/>
          <w:w w:val="110"/>
        </w:rPr>
        <w:t>una</w:t>
      </w:r>
      <w:r>
        <w:rPr>
          <w:color w:val="231F20"/>
          <w:spacing w:val="-6"/>
          <w:w w:val="110"/>
        </w:rPr>
        <w:t> </w:t>
      </w:r>
      <w:r>
        <w:rPr>
          <w:color w:val="231F20"/>
          <w:w w:val="110"/>
        </w:rPr>
        <w:t>corta vida a esa fuente de ganancias. La tasa de ganancia, según Kroszner de</w:t>
      </w:r>
      <w:r>
        <w:rPr>
          <w:color w:val="231F20"/>
          <w:spacing w:val="-10"/>
          <w:w w:val="110"/>
        </w:rPr>
        <w:t> </w:t>
      </w:r>
      <w:r>
        <w:rPr>
          <w:color w:val="231F20"/>
          <w:w w:val="110"/>
        </w:rPr>
        <w:t>las</w:t>
      </w:r>
      <w:r>
        <w:rPr>
          <w:color w:val="231F20"/>
          <w:spacing w:val="-10"/>
          <w:w w:val="110"/>
        </w:rPr>
        <w:t> </w:t>
      </w:r>
      <w:r>
        <w:rPr>
          <w:color w:val="231F20"/>
          <w:w w:val="110"/>
        </w:rPr>
        <w:t>500</w:t>
      </w:r>
      <w:r>
        <w:rPr>
          <w:color w:val="231F20"/>
          <w:spacing w:val="-10"/>
          <w:w w:val="110"/>
        </w:rPr>
        <w:t> </w:t>
      </w:r>
      <w:r>
        <w:rPr>
          <w:color w:val="231F20"/>
          <w:w w:val="110"/>
        </w:rPr>
        <w:t>empresas</w:t>
      </w:r>
      <w:r>
        <w:rPr>
          <w:color w:val="231F20"/>
          <w:spacing w:val="-10"/>
          <w:w w:val="110"/>
        </w:rPr>
        <w:t> </w:t>
      </w:r>
      <w:r>
        <w:rPr>
          <w:color w:val="231F20"/>
          <w:w w:val="110"/>
        </w:rPr>
        <w:t>más</w:t>
      </w:r>
      <w:r>
        <w:rPr>
          <w:color w:val="231F20"/>
          <w:spacing w:val="-10"/>
          <w:w w:val="110"/>
        </w:rPr>
        <w:t> </w:t>
      </w:r>
      <w:r>
        <w:rPr>
          <w:color w:val="231F20"/>
          <w:w w:val="110"/>
        </w:rPr>
        <w:t>grandes</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cayó</w:t>
      </w:r>
      <w:r>
        <w:rPr>
          <w:color w:val="231F20"/>
          <w:spacing w:val="-10"/>
          <w:w w:val="110"/>
        </w:rPr>
        <w:t> </w:t>
      </w:r>
      <w:r>
        <w:rPr>
          <w:color w:val="231F20"/>
          <w:w w:val="110"/>
        </w:rPr>
        <w:t>de</w:t>
      </w:r>
      <w:r>
        <w:rPr>
          <w:color w:val="231F20"/>
          <w:spacing w:val="-10"/>
          <w:w w:val="110"/>
        </w:rPr>
        <w:t> </w:t>
      </w:r>
      <w:r>
        <w:rPr>
          <w:color w:val="231F20"/>
          <w:w w:val="110"/>
        </w:rPr>
        <w:t>4.9%</w:t>
      </w:r>
      <w:r>
        <w:rPr>
          <w:color w:val="231F20"/>
          <w:spacing w:val="-10"/>
          <w:w w:val="110"/>
        </w:rPr>
        <w:t> </w:t>
      </w:r>
      <w:r>
        <w:rPr>
          <w:color w:val="231F20"/>
          <w:w w:val="110"/>
        </w:rPr>
        <w:t>en 1950 a 2% en 1960. La tasa fue de –2.6 por ciento en 1990 y –1.9% en los primeros años del presente siglo. Lo que está ocurriendo es una sobreproducción de bienes que no se ajusta a la capacidad de   la</w:t>
      </w:r>
      <w:r>
        <w:rPr>
          <w:color w:val="231F20"/>
          <w:spacing w:val="22"/>
          <w:w w:val="110"/>
        </w:rPr>
        <w:t> </w:t>
      </w:r>
      <w:r>
        <w:rPr>
          <w:color w:val="231F20"/>
          <w:w w:val="110"/>
        </w:rPr>
        <w:t>demanda.</w:t>
      </w:r>
    </w:p>
    <w:p>
      <w:pPr>
        <w:pStyle w:val="BodyText"/>
        <w:spacing w:line="261" w:lineRule="auto"/>
        <w:ind w:left="100" w:right="117" w:firstLine="240"/>
        <w:jc w:val="both"/>
      </w:pPr>
      <w:r>
        <w:rPr>
          <w:color w:val="231F20"/>
          <w:w w:val="110"/>
        </w:rPr>
        <w:t>Beinstein (2009) coincide con Krozner (2007) al señalar que “desde hace cuatro decenios el capitalismo global soporta una crisis crónica de sobreproducción, acumulando sobrecapacidad produc- tiva ante una demanda global que decrecía”. Beinstein agrega que “fue la droga financiera la tabla de salvación mejorando   beneficios</w:t>
      </w:r>
    </w:p>
    <w:p>
      <w:pPr>
        <w:spacing w:after="0" w:line="261" w:lineRule="auto"/>
        <w:jc w:val="both"/>
        <w:sectPr>
          <w:headerReference w:type="even" r:id="rId109"/>
          <w:headerReference w:type="default" r:id="rId110"/>
          <w:pgSz w:w="7640" w:h="11900"/>
          <w:pgMar w:header="672" w:footer="0" w:top="860" w:bottom="280" w:left="780" w:right="640"/>
          <w:pgNumType w:start="142"/>
        </w:sectPr>
      </w:pPr>
    </w:p>
    <w:p>
      <w:pPr>
        <w:pStyle w:val="BodyText"/>
        <w:spacing w:before="8"/>
        <w:rPr>
          <w:sz w:val="8"/>
        </w:rPr>
      </w:pPr>
    </w:p>
    <w:p>
      <w:pPr>
        <w:pStyle w:val="BodyText"/>
        <w:spacing w:line="261" w:lineRule="auto" w:before="67"/>
        <w:ind w:left="100" w:right="25"/>
      </w:pPr>
      <w:r>
        <w:rPr>
          <w:color w:val="231F20"/>
          <w:w w:val="110"/>
        </w:rPr>
        <w:t>e impulsando el consumo en los países ricos, aunque a largo plazo envenenó por completo el sistema”.</w:t>
      </w:r>
    </w:p>
    <w:p>
      <w:pPr>
        <w:pStyle w:val="BodyText"/>
        <w:spacing w:line="261" w:lineRule="auto"/>
        <w:ind w:left="100" w:right="117" w:firstLine="240"/>
        <w:jc w:val="both"/>
      </w:pPr>
      <w:r>
        <w:rPr>
          <w:color w:val="231F20"/>
          <w:w w:val="110"/>
        </w:rPr>
        <w:t>Según Foster (2008) el proceso de la financiación no sirvió para sacar el capitalismo del círculo vicioso. El estallido de la burbuja</w:t>
      </w:r>
      <w:r>
        <w:rPr>
          <w:color w:val="231F20"/>
          <w:spacing w:val="-24"/>
          <w:w w:val="110"/>
        </w:rPr>
        <w:t> </w:t>
      </w:r>
      <w:r>
        <w:rPr>
          <w:color w:val="231F20"/>
          <w:w w:val="110"/>
        </w:rPr>
        <w:t>re- presenta</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financiación</w:t>
      </w:r>
      <w:r>
        <w:rPr>
          <w:color w:val="231F20"/>
          <w:spacing w:val="-14"/>
          <w:w w:val="110"/>
        </w:rPr>
        <w:t> </w:t>
      </w:r>
      <w:r>
        <w:rPr>
          <w:color w:val="231F20"/>
          <w:w w:val="110"/>
        </w:rPr>
        <w:t>tras</w:t>
      </w:r>
      <w:r>
        <w:rPr>
          <w:color w:val="231F20"/>
          <w:spacing w:val="-14"/>
          <w:w w:val="110"/>
        </w:rPr>
        <w:t> </w:t>
      </w:r>
      <w:r>
        <w:rPr>
          <w:color w:val="231F20"/>
          <w:w w:val="110"/>
        </w:rPr>
        <w:t>el</w:t>
      </w:r>
      <w:r>
        <w:rPr>
          <w:color w:val="231F20"/>
          <w:spacing w:val="-14"/>
          <w:w w:val="110"/>
        </w:rPr>
        <w:t> </w:t>
      </w:r>
      <w:r>
        <w:rPr>
          <w:color w:val="231F20"/>
          <w:w w:val="110"/>
        </w:rPr>
        <w:t>cual</w:t>
      </w:r>
      <w:r>
        <w:rPr>
          <w:color w:val="231F20"/>
          <w:spacing w:val="-14"/>
          <w:w w:val="110"/>
        </w:rPr>
        <w:t> </w:t>
      </w:r>
      <w:r>
        <w:rPr>
          <w:color w:val="231F20"/>
          <w:w w:val="110"/>
        </w:rPr>
        <w:t>se</w:t>
      </w:r>
      <w:r>
        <w:rPr>
          <w:color w:val="231F20"/>
          <w:spacing w:val="-14"/>
          <w:w w:val="110"/>
        </w:rPr>
        <w:t> </w:t>
      </w:r>
      <w:r>
        <w:rPr>
          <w:color w:val="231F20"/>
          <w:w w:val="110"/>
        </w:rPr>
        <w:t>levanta</w:t>
      </w:r>
      <w:r>
        <w:rPr>
          <w:color w:val="231F20"/>
          <w:spacing w:val="-14"/>
          <w:w w:val="110"/>
        </w:rPr>
        <w:t> </w:t>
      </w:r>
      <w:r>
        <w:rPr>
          <w:color w:val="231F20"/>
          <w:w w:val="110"/>
        </w:rPr>
        <w:t>un</w:t>
      </w:r>
      <w:r>
        <w:rPr>
          <w:color w:val="231F20"/>
          <w:spacing w:val="-14"/>
          <w:w w:val="110"/>
        </w:rPr>
        <w:t> </w:t>
      </w:r>
      <w:r>
        <w:rPr>
          <w:color w:val="231F20"/>
          <w:w w:val="110"/>
        </w:rPr>
        <w:t>profundo estancamiento sin salida alguna. Para que la economía capitalista crezca tiene que encontrar siempre nuevos consumidores para reali- zar la creciente producción. Sin embargo, agrega </w:t>
      </w:r>
      <w:r>
        <w:rPr>
          <w:color w:val="231F20"/>
          <w:spacing w:val="-3"/>
          <w:w w:val="110"/>
        </w:rPr>
        <w:t>Foster, </w:t>
      </w:r>
      <w:r>
        <w:rPr>
          <w:color w:val="231F20"/>
          <w:w w:val="110"/>
        </w:rPr>
        <w:t>la creciente productividad del sistema no encuentra las salidas necesarias para que sus inversiones generen</w:t>
      </w:r>
      <w:r>
        <w:rPr>
          <w:color w:val="231F20"/>
          <w:spacing w:val="8"/>
          <w:w w:val="110"/>
        </w:rPr>
        <w:t> </w:t>
      </w:r>
      <w:r>
        <w:rPr>
          <w:color w:val="231F20"/>
          <w:w w:val="110"/>
        </w:rPr>
        <w:t>ganancias.</w:t>
      </w:r>
    </w:p>
    <w:p>
      <w:pPr>
        <w:pStyle w:val="BodyText"/>
        <w:spacing w:line="261" w:lineRule="auto"/>
        <w:ind w:left="100" w:right="117" w:firstLine="240"/>
        <w:jc w:val="both"/>
      </w:pPr>
      <w:r>
        <w:rPr>
          <w:color w:val="231F20"/>
          <w:w w:val="110"/>
        </w:rPr>
        <w:t>Recientemente se informó que la familia dueña de Wal-Mart es más rica que la tercera parte de la población de Estados Unidos  (100 millones de habitantes). Estas estadísticas son increíbles pero se confirman al comprobarse cómo aumenta el coeficiente de Gini, medida de la desigualdad en el ingreso (Ben, </w:t>
      </w:r>
      <w:r>
        <w:rPr>
          <w:color w:val="231F20"/>
          <w:spacing w:val="27"/>
          <w:w w:val="110"/>
        </w:rPr>
        <w:t> </w:t>
      </w:r>
      <w:r>
        <w:rPr>
          <w:color w:val="231F20"/>
          <w:w w:val="110"/>
        </w:rPr>
        <w:t>2009).</w:t>
      </w:r>
    </w:p>
    <w:p>
      <w:pPr>
        <w:pStyle w:val="BodyText"/>
        <w:spacing w:line="261" w:lineRule="auto"/>
        <w:ind w:left="100" w:right="119" w:firstLine="240"/>
        <w:jc w:val="both"/>
      </w:pPr>
      <w:r>
        <w:rPr>
          <w:color w:val="231F20"/>
          <w:w w:val="110"/>
        </w:rPr>
        <w:t>La crisis del capitalismo no es igual a la crisis del</w:t>
      </w:r>
      <w:r>
        <w:rPr>
          <w:color w:val="231F20"/>
          <w:spacing w:val="-24"/>
          <w:w w:val="110"/>
        </w:rPr>
        <w:t> </w:t>
      </w:r>
      <w:r>
        <w:rPr>
          <w:color w:val="231F20"/>
          <w:w w:val="110"/>
        </w:rPr>
        <w:t>neoliberalismo. El neoliberalismo es una estrategia política para mitigar la crisis del capitalismo que, a partir de los años setenta, dejó de generar las ganancias necesarias para reproducir el sistema de</w:t>
      </w:r>
      <w:r>
        <w:rPr>
          <w:color w:val="231F20"/>
          <w:spacing w:val="9"/>
          <w:w w:val="110"/>
        </w:rPr>
        <w:t> </w:t>
      </w:r>
      <w:r>
        <w:rPr>
          <w:color w:val="231F20"/>
          <w:w w:val="110"/>
        </w:rPr>
        <w:t>acumulación</w:t>
      </w:r>
      <w:r>
        <w:rPr>
          <w:color w:val="231F20"/>
          <w:spacing w:val="17"/>
          <w:w w:val="110"/>
        </w:rPr>
        <w:t> </w:t>
      </w:r>
      <w:r>
        <w:rPr>
          <w:color w:val="231F20"/>
          <w:w w:val="110"/>
        </w:rPr>
        <w:t>de</w:t>
      </w:r>
      <w:r>
        <w:rPr>
          <w:color w:val="231F20"/>
          <w:w w:val="114"/>
        </w:rPr>
        <w:t> </w:t>
      </w:r>
      <w:r>
        <w:rPr>
          <w:color w:val="231F20"/>
          <w:w w:val="110"/>
        </w:rPr>
        <w:t>riquezas. El neoliberalismo pretendió contribuir a la</w:t>
      </w:r>
      <w:r>
        <w:rPr>
          <w:color w:val="231F20"/>
          <w:spacing w:val="35"/>
          <w:w w:val="110"/>
        </w:rPr>
        <w:t> </w:t>
      </w:r>
      <w:r>
        <w:rPr>
          <w:color w:val="231F20"/>
          <w:w w:val="110"/>
        </w:rPr>
        <w:t>mitigación</w:t>
      </w:r>
      <w:r>
        <w:rPr>
          <w:color w:val="231F20"/>
          <w:spacing w:val="20"/>
          <w:w w:val="110"/>
        </w:rPr>
        <w:t> </w:t>
      </w:r>
      <w:r>
        <w:rPr>
          <w:color w:val="231F20"/>
          <w:w w:val="110"/>
        </w:rPr>
        <w:t>de</w:t>
      </w:r>
      <w:r>
        <w:rPr>
          <w:color w:val="231F20"/>
          <w:w w:val="114"/>
        </w:rPr>
        <w:t> </w:t>
      </w:r>
      <w:r>
        <w:rPr>
          <w:color w:val="231F20"/>
          <w:w w:val="110"/>
        </w:rPr>
        <w:t>la crisis mediante tres acciones concretas: la globalización, la desre- gulación</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flexibilización.</w:t>
      </w:r>
    </w:p>
    <w:p>
      <w:pPr>
        <w:pStyle w:val="BodyText"/>
        <w:spacing w:line="261" w:lineRule="auto"/>
        <w:ind w:left="100" w:right="117" w:firstLine="240"/>
        <w:jc w:val="both"/>
      </w:pPr>
      <w:r>
        <w:rPr>
          <w:color w:val="231F20"/>
          <w:w w:val="110"/>
        </w:rPr>
        <w:t>Casi 40 años más tarde se está presenciando el fracaso de las po- líticas neoliberales. No pudieron frenar el colapso del capitalismo como</w:t>
      </w:r>
      <w:r>
        <w:rPr>
          <w:color w:val="231F20"/>
          <w:spacing w:val="-14"/>
          <w:w w:val="110"/>
        </w:rPr>
        <w:t> </w:t>
      </w:r>
      <w:r>
        <w:rPr>
          <w:color w:val="231F20"/>
          <w:w w:val="110"/>
        </w:rPr>
        <w:t>sistema</w:t>
      </w:r>
      <w:r>
        <w:rPr>
          <w:color w:val="231F20"/>
          <w:spacing w:val="-14"/>
          <w:w w:val="110"/>
        </w:rPr>
        <w:t> </w:t>
      </w:r>
      <w:r>
        <w:rPr>
          <w:color w:val="231F20"/>
          <w:w w:val="110"/>
        </w:rPr>
        <w:t>capaz</w:t>
      </w:r>
      <w:r>
        <w:rPr>
          <w:color w:val="231F20"/>
          <w:spacing w:val="-14"/>
          <w:w w:val="110"/>
        </w:rPr>
        <w:t> </w:t>
      </w:r>
      <w:r>
        <w:rPr>
          <w:color w:val="231F20"/>
          <w:w w:val="110"/>
        </w:rPr>
        <w:t>de</w:t>
      </w:r>
      <w:r>
        <w:rPr>
          <w:color w:val="231F20"/>
          <w:spacing w:val="-14"/>
          <w:w w:val="110"/>
        </w:rPr>
        <w:t> </w:t>
      </w:r>
      <w:r>
        <w:rPr>
          <w:color w:val="231F20"/>
          <w:w w:val="110"/>
        </w:rPr>
        <w:t>generar</w:t>
      </w:r>
      <w:r>
        <w:rPr>
          <w:color w:val="231F20"/>
          <w:spacing w:val="-14"/>
          <w:w w:val="110"/>
        </w:rPr>
        <w:t> </w:t>
      </w:r>
      <w:r>
        <w:rPr>
          <w:color w:val="231F20"/>
          <w:w w:val="110"/>
        </w:rPr>
        <w:t>excedentes.</w:t>
      </w:r>
      <w:r>
        <w:rPr>
          <w:color w:val="231F20"/>
          <w:spacing w:val="-14"/>
          <w:w w:val="110"/>
        </w:rPr>
        <w:t> </w:t>
      </w:r>
      <w:r>
        <w:rPr>
          <w:color w:val="231F20"/>
          <w:w w:val="110"/>
        </w:rPr>
        <w:t>El</w:t>
      </w:r>
      <w:r>
        <w:rPr>
          <w:color w:val="231F20"/>
          <w:spacing w:val="-14"/>
          <w:w w:val="110"/>
        </w:rPr>
        <w:t> </w:t>
      </w:r>
      <w:r>
        <w:rPr>
          <w:color w:val="231F20"/>
          <w:w w:val="110"/>
        </w:rPr>
        <w:t>neoliberalismo</w:t>
      </w:r>
      <w:r>
        <w:rPr>
          <w:color w:val="231F20"/>
          <w:spacing w:val="-14"/>
          <w:w w:val="110"/>
        </w:rPr>
        <w:t> </w:t>
      </w:r>
      <w:r>
        <w:rPr>
          <w:color w:val="231F20"/>
          <w:w w:val="110"/>
        </w:rPr>
        <w:t>—en</w:t>
      </w:r>
      <w:r>
        <w:rPr>
          <w:color w:val="231F20"/>
          <w:spacing w:val="-14"/>
          <w:w w:val="110"/>
        </w:rPr>
        <w:t> </w:t>
      </w:r>
      <w:r>
        <w:rPr>
          <w:color w:val="231F20"/>
          <w:w w:val="110"/>
        </w:rPr>
        <w:t>el último cuarto de siglo— se anotó varios triunfos que lograron crear falsas expectativas entre sus defensores más entusiastas. En primer </w:t>
      </w:r>
      <w:r>
        <w:rPr>
          <w:color w:val="231F20"/>
          <w:spacing w:val="-3"/>
          <w:w w:val="110"/>
        </w:rPr>
        <w:t>lugar,</w:t>
      </w:r>
      <w:r>
        <w:rPr>
          <w:color w:val="231F20"/>
          <w:spacing w:val="-6"/>
          <w:w w:val="110"/>
        </w:rPr>
        <w:t> </w:t>
      </w:r>
      <w:r>
        <w:rPr>
          <w:color w:val="231F20"/>
          <w:w w:val="110"/>
        </w:rPr>
        <w:t>obtuvo</w:t>
      </w:r>
      <w:r>
        <w:rPr>
          <w:color w:val="231F20"/>
          <w:spacing w:val="-6"/>
          <w:w w:val="110"/>
        </w:rPr>
        <w:t> </w:t>
      </w:r>
      <w:r>
        <w:rPr>
          <w:color w:val="231F20"/>
          <w:w w:val="110"/>
        </w:rPr>
        <w:t>resonantes</w:t>
      </w:r>
      <w:r>
        <w:rPr>
          <w:color w:val="231F20"/>
          <w:spacing w:val="-6"/>
          <w:w w:val="110"/>
        </w:rPr>
        <w:t> </w:t>
      </w:r>
      <w:r>
        <w:rPr>
          <w:color w:val="231F20"/>
          <w:w w:val="110"/>
        </w:rPr>
        <w:t>éxitos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plano</w:t>
      </w:r>
      <w:r>
        <w:rPr>
          <w:color w:val="231F20"/>
          <w:spacing w:val="-6"/>
          <w:w w:val="110"/>
        </w:rPr>
        <w:t> </w:t>
      </w:r>
      <w:r>
        <w:rPr>
          <w:color w:val="231F20"/>
          <w:w w:val="110"/>
        </w:rPr>
        <w:t>político</w:t>
      </w:r>
      <w:r>
        <w:rPr>
          <w:color w:val="231F20"/>
          <w:spacing w:val="-6"/>
          <w:w w:val="110"/>
        </w:rPr>
        <w:t> </w:t>
      </w:r>
      <w:r>
        <w:rPr>
          <w:color w:val="231F20"/>
          <w:w w:val="110"/>
        </w:rPr>
        <w:t>llevando</w:t>
      </w:r>
      <w:r>
        <w:rPr>
          <w:color w:val="231F20"/>
          <w:spacing w:val="-6"/>
          <w:w w:val="110"/>
        </w:rPr>
        <w:t> </w:t>
      </w:r>
      <w:r>
        <w:rPr>
          <w:color w:val="231F20"/>
          <w:w w:val="110"/>
        </w:rPr>
        <w:t>al</w:t>
      </w:r>
      <w:r>
        <w:rPr>
          <w:color w:val="231F20"/>
          <w:spacing w:val="-6"/>
          <w:w w:val="110"/>
        </w:rPr>
        <w:t> </w:t>
      </w:r>
      <w:r>
        <w:rPr>
          <w:color w:val="231F20"/>
          <w:w w:val="110"/>
        </w:rPr>
        <w:t>poder figuras conservadoras que impusieron las políticas que doblegaron  a las organizaciones laborales y sometieron a los trabajadores a una redistribución de sus ingresos. Fueron los casos de Reagan y</w:t>
      </w:r>
      <w:r>
        <w:rPr>
          <w:color w:val="231F20"/>
          <w:spacing w:val="-34"/>
          <w:w w:val="110"/>
        </w:rPr>
        <w:t> </w:t>
      </w:r>
      <w:r>
        <w:rPr>
          <w:color w:val="231F20"/>
          <w:spacing w:val="-3"/>
          <w:w w:val="110"/>
        </w:rPr>
        <w:t>Tatcher </w:t>
      </w:r>
      <w:r>
        <w:rPr>
          <w:color w:val="231F20"/>
          <w:w w:val="110"/>
        </w:rPr>
        <w:t>que le abrieron camino a un nuevo estilo de generar ganancias. Al- gunos</w:t>
      </w:r>
      <w:r>
        <w:rPr>
          <w:color w:val="231F20"/>
          <w:spacing w:val="-14"/>
          <w:w w:val="110"/>
        </w:rPr>
        <w:t> </w:t>
      </w:r>
      <w:r>
        <w:rPr>
          <w:color w:val="231F20"/>
          <w:w w:val="110"/>
        </w:rPr>
        <w:t>llamaron</w:t>
      </w:r>
      <w:r>
        <w:rPr>
          <w:color w:val="231F20"/>
          <w:spacing w:val="-14"/>
          <w:w w:val="110"/>
        </w:rPr>
        <w:t> </w:t>
      </w:r>
      <w:r>
        <w:rPr>
          <w:color w:val="231F20"/>
          <w:w w:val="110"/>
        </w:rPr>
        <w:t>a</w:t>
      </w:r>
      <w:r>
        <w:rPr>
          <w:color w:val="231F20"/>
          <w:spacing w:val="-14"/>
          <w:w w:val="110"/>
        </w:rPr>
        <w:t> </w:t>
      </w:r>
      <w:r>
        <w:rPr>
          <w:color w:val="231F20"/>
          <w:w w:val="110"/>
        </w:rPr>
        <w:t>este</w:t>
      </w:r>
      <w:r>
        <w:rPr>
          <w:color w:val="231F20"/>
          <w:spacing w:val="-14"/>
          <w:w w:val="110"/>
        </w:rPr>
        <w:t> </w:t>
      </w:r>
      <w:r>
        <w:rPr>
          <w:color w:val="231F20"/>
          <w:w w:val="110"/>
        </w:rPr>
        <w:t>nuevo</w:t>
      </w:r>
      <w:r>
        <w:rPr>
          <w:color w:val="231F20"/>
          <w:spacing w:val="-14"/>
          <w:w w:val="110"/>
        </w:rPr>
        <w:t> </w:t>
      </w:r>
      <w:r>
        <w:rPr>
          <w:color w:val="231F20"/>
          <w:w w:val="110"/>
        </w:rPr>
        <w:t>modelo</w:t>
      </w:r>
      <w:r>
        <w:rPr>
          <w:color w:val="231F20"/>
          <w:spacing w:val="-14"/>
          <w:w w:val="110"/>
        </w:rPr>
        <w:t> </w:t>
      </w:r>
      <w:r>
        <w:rPr>
          <w:color w:val="231F20"/>
          <w:w w:val="110"/>
        </w:rPr>
        <w:t>de</w:t>
      </w:r>
      <w:r>
        <w:rPr>
          <w:color w:val="231F20"/>
          <w:spacing w:val="-14"/>
          <w:w w:val="110"/>
        </w:rPr>
        <w:t> </w:t>
      </w:r>
      <w:r>
        <w:rPr>
          <w:color w:val="231F20"/>
          <w:w w:val="110"/>
        </w:rPr>
        <w:t>acumulación</w:t>
      </w:r>
      <w:r>
        <w:rPr>
          <w:color w:val="231F20"/>
          <w:spacing w:val="-14"/>
          <w:w w:val="110"/>
        </w:rPr>
        <w:t> </w:t>
      </w:r>
      <w:r>
        <w:rPr>
          <w:color w:val="231F20"/>
          <w:w w:val="110"/>
        </w:rPr>
        <w:t>la</w:t>
      </w:r>
      <w:r>
        <w:rPr>
          <w:color w:val="231F20"/>
          <w:spacing w:val="-14"/>
          <w:w w:val="110"/>
        </w:rPr>
        <w:t> </w:t>
      </w:r>
      <w:r>
        <w:rPr>
          <w:color w:val="231F20"/>
          <w:w w:val="110"/>
        </w:rPr>
        <w:t>“financiación de la economía</w:t>
      </w:r>
      <w:r>
        <w:rPr>
          <w:color w:val="231F20"/>
          <w:spacing w:val="5"/>
          <w:w w:val="110"/>
        </w:rPr>
        <w:t> </w:t>
      </w:r>
      <w:r>
        <w:rPr>
          <w:color w:val="231F20"/>
          <w:w w:val="110"/>
        </w:rPr>
        <w:t>global”.</w:t>
      </w:r>
    </w:p>
    <w:p>
      <w:pPr>
        <w:pStyle w:val="BodyText"/>
        <w:spacing w:line="261" w:lineRule="auto"/>
        <w:ind w:left="100" w:right="117" w:firstLine="240"/>
        <w:jc w:val="both"/>
      </w:pPr>
      <w:r>
        <w:rPr>
          <w:color w:val="231F20"/>
          <w:w w:val="110"/>
        </w:rPr>
        <w:t>La crisis del sistema capitalista en los años setenta remeció los cimientos de las economías de mercado más poderosas al igual que a las más débiles. Más espectacular aún, siendo interpretado como otro gran triunfo político del capitalismo, fue el inesperado colapso de las economías del “socialismo real”.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5" w:firstLine="240"/>
        <w:jc w:val="both"/>
      </w:pPr>
      <w:r>
        <w:rPr>
          <w:color w:val="231F20"/>
          <w:w w:val="110"/>
        </w:rPr>
        <w:t>Las </w:t>
      </w:r>
      <w:r>
        <w:rPr>
          <w:color w:val="231F20"/>
          <w:spacing w:val="2"/>
          <w:w w:val="110"/>
        </w:rPr>
        <w:t>políticas neoliberales promovidas </w:t>
      </w:r>
      <w:r>
        <w:rPr>
          <w:color w:val="231F20"/>
          <w:w w:val="110"/>
        </w:rPr>
        <w:t>por las </w:t>
      </w:r>
      <w:r>
        <w:rPr>
          <w:color w:val="231F20"/>
          <w:spacing w:val="2"/>
          <w:w w:val="110"/>
        </w:rPr>
        <w:t>instituciones </w:t>
      </w:r>
      <w:r>
        <w:rPr>
          <w:color w:val="231F20"/>
          <w:w w:val="110"/>
        </w:rPr>
        <w:t>fi- nancieras internacionales y las potencias más fuertes, crearon las condiciones para transferir riquezas a escala global (globalización) mediante</w:t>
      </w:r>
      <w:r>
        <w:rPr>
          <w:color w:val="231F20"/>
          <w:spacing w:val="-19"/>
          <w:w w:val="110"/>
        </w:rPr>
        <w:t> </w:t>
      </w:r>
      <w:r>
        <w:rPr>
          <w:color w:val="231F20"/>
          <w:w w:val="110"/>
        </w:rPr>
        <w:t>la</w:t>
      </w:r>
      <w:r>
        <w:rPr>
          <w:color w:val="231F20"/>
          <w:spacing w:val="-19"/>
          <w:w w:val="110"/>
        </w:rPr>
        <w:t> </w:t>
      </w:r>
      <w:r>
        <w:rPr>
          <w:color w:val="231F20"/>
          <w:w w:val="110"/>
        </w:rPr>
        <w:t>rapiña</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“desposesión”,</w:t>
      </w:r>
      <w:r>
        <w:rPr>
          <w:color w:val="231F20"/>
          <w:spacing w:val="-19"/>
          <w:w w:val="110"/>
        </w:rPr>
        <w:t> </w:t>
      </w:r>
      <w:r>
        <w:rPr>
          <w:color w:val="231F20"/>
          <w:w w:val="110"/>
        </w:rPr>
        <w:t>como</w:t>
      </w:r>
      <w:r>
        <w:rPr>
          <w:color w:val="231F20"/>
          <w:spacing w:val="-19"/>
          <w:w w:val="110"/>
        </w:rPr>
        <w:t> </w:t>
      </w:r>
      <w:r>
        <w:rPr>
          <w:color w:val="231F20"/>
          <w:w w:val="110"/>
        </w:rPr>
        <w:t>la</w:t>
      </w:r>
      <w:r>
        <w:rPr>
          <w:color w:val="231F20"/>
          <w:spacing w:val="-19"/>
          <w:w w:val="110"/>
        </w:rPr>
        <w:t> </w:t>
      </w:r>
      <w:r>
        <w:rPr>
          <w:color w:val="231F20"/>
          <w:w w:val="110"/>
        </w:rPr>
        <w:t>bautizó</w:t>
      </w:r>
      <w:r>
        <w:rPr>
          <w:color w:val="231F20"/>
          <w:spacing w:val="-19"/>
          <w:w w:val="110"/>
        </w:rPr>
        <w:t> </w:t>
      </w:r>
      <w:r>
        <w:rPr>
          <w:color w:val="231F20"/>
          <w:w w:val="110"/>
        </w:rPr>
        <w:t>David</w:t>
      </w:r>
      <w:r>
        <w:rPr>
          <w:color w:val="231F20"/>
          <w:spacing w:val="-19"/>
          <w:w w:val="110"/>
        </w:rPr>
        <w:t> </w:t>
      </w:r>
      <w:r>
        <w:rPr>
          <w:color w:val="231F20"/>
          <w:w w:val="110"/>
        </w:rPr>
        <w:t>Harvey. A</w:t>
      </w:r>
      <w:r>
        <w:rPr>
          <w:color w:val="231F20"/>
          <w:spacing w:val="-9"/>
          <w:w w:val="110"/>
        </w:rPr>
        <w:t> </w:t>
      </w:r>
      <w:r>
        <w:rPr>
          <w:color w:val="231F20"/>
          <w:w w:val="110"/>
        </w:rPr>
        <w:t>su</w:t>
      </w:r>
      <w:r>
        <w:rPr>
          <w:color w:val="231F20"/>
          <w:spacing w:val="-9"/>
          <w:w w:val="110"/>
        </w:rPr>
        <w:t> </w:t>
      </w:r>
      <w:r>
        <w:rPr>
          <w:color w:val="231F20"/>
          <w:w w:val="110"/>
        </w:rPr>
        <w:t>vez,</w:t>
      </w:r>
      <w:r>
        <w:rPr>
          <w:color w:val="231F20"/>
          <w:spacing w:val="-9"/>
          <w:w w:val="110"/>
        </w:rPr>
        <w:t> </w:t>
      </w:r>
      <w:r>
        <w:rPr>
          <w:color w:val="231F20"/>
          <w:w w:val="110"/>
        </w:rPr>
        <w:t>mediante</w:t>
      </w:r>
      <w:r>
        <w:rPr>
          <w:color w:val="231F20"/>
          <w:spacing w:val="-9"/>
          <w:w w:val="110"/>
        </w:rPr>
        <w:t> </w:t>
      </w:r>
      <w:r>
        <w:rPr>
          <w:color w:val="231F20"/>
          <w:w w:val="110"/>
        </w:rPr>
        <w:t>la</w:t>
      </w:r>
      <w:r>
        <w:rPr>
          <w:color w:val="231F20"/>
          <w:spacing w:val="-9"/>
          <w:w w:val="110"/>
        </w:rPr>
        <w:t> </w:t>
      </w:r>
      <w:r>
        <w:rPr>
          <w:color w:val="231F20"/>
          <w:w w:val="110"/>
        </w:rPr>
        <w:t>desregulación</w:t>
      </w:r>
      <w:r>
        <w:rPr>
          <w:color w:val="231F20"/>
          <w:spacing w:val="-9"/>
          <w:w w:val="110"/>
        </w:rPr>
        <w:t> </w:t>
      </w:r>
      <w:r>
        <w:rPr>
          <w:color w:val="231F20"/>
          <w:w w:val="110"/>
        </w:rPr>
        <w:t>les</w:t>
      </w:r>
      <w:r>
        <w:rPr>
          <w:color w:val="231F20"/>
          <w:spacing w:val="-9"/>
          <w:w w:val="110"/>
        </w:rPr>
        <w:t> </w:t>
      </w:r>
      <w:r>
        <w:rPr>
          <w:color w:val="231F20"/>
          <w:w w:val="110"/>
        </w:rPr>
        <w:t>arrancó</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trabajadores</w:t>
      </w:r>
      <w:r>
        <w:rPr>
          <w:color w:val="231F20"/>
          <w:spacing w:val="-9"/>
          <w:w w:val="110"/>
        </w:rPr>
        <w:t> </w:t>
      </w:r>
      <w:r>
        <w:rPr>
          <w:color w:val="231F20"/>
          <w:w w:val="110"/>
        </w:rPr>
        <w:t>las llamadas empresas públicas, mercantilizando desde las fuentes de agua hasta los servicios públicos. De igual manera, la</w:t>
      </w:r>
      <w:r>
        <w:rPr>
          <w:color w:val="231F20"/>
          <w:spacing w:val="-35"/>
          <w:w w:val="110"/>
        </w:rPr>
        <w:t> </w:t>
      </w:r>
      <w:r>
        <w:rPr>
          <w:color w:val="231F20"/>
          <w:w w:val="110"/>
        </w:rPr>
        <w:t>flexibilización disminuyó drásticamente la participación de la clase obrera en la distribución de la riqueza que su trabajo </w:t>
      </w:r>
      <w:r>
        <w:rPr>
          <w:color w:val="231F20"/>
          <w:spacing w:val="29"/>
          <w:w w:val="110"/>
        </w:rPr>
        <w:t> </w:t>
      </w:r>
      <w:r>
        <w:rPr>
          <w:color w:val="231F20"/>
          <w:w w:val="110"/>
        </w:rPr>
        <w:t>generaba.</w:t>
      </w:r>
    </w:p>
    <w:p>
      <w:pPr>
        <w:pStyle w:val="BodyText"/>
        <w:spacing w:line="261" w:lineRule="auto"/>
        <w:ind w:left="100" w:right="112" w:firstLine="240"/>
        <w:jc w:val="both"/>
      </w:pPr>
      <w:r>
        <w:rPr>
          <w:color w:val="231F20"/>
          <w:w w:val="105"/>
        </w:rPr>
        <w:t>A pesar de las políticas neoliberales que transfería más y más riquezas de los sectores trabajadores a la clase capitalista, el sistema siguió sin poder generar ganancias. En vez de invertir en actividades productivas (que no podían generar ganancias), los inversionistas se dirigieron al sector especulativo donde se creaban los mecanismos (artificiales) aún capaces de movilizar los capitales acumulados. El mecanismo, mediante la aparición de burbujas, lograba generar ga- nancias  pero  sin  crear  nueva riqueza.</w:t>
      </w:r>
    </w:p>
    <w:p>
      <w:pPr>
        <w:pStyle w:val="BodyText"/>
        <w:spacing w:line="261" w:lineRule="auto"/>
        <w:ind w:left="100" w:right="113" w:firstLine="240"/>
        <w:jc w:val="both"/>
      </w:pPr>
      <w:r>
        <w:rPr>
          <w:color w:val="231F20"/>
          <w:w w:val="110"/>
        </w:rPr>
        <w:t>Las</w:t>
      </w:r>
      <w:r>
        <w:rPr>
          <w:color w:val="231F20"/>
          <w:spacing w:val="-9"/>
          <w:w w:val="110"/>
        </w:rPr>
        <w:t> </w:t>
      </w:r>
      <w:r>
        <w:rPr>
          <w:color w:val="231F20"/>
          <w:w w:val="110"/>
        </w:rPr>
        <w:t>burbujas</w:t>
      </w:r>
      <w:r>
        <w:rPr>
          <w:color w:val="231F20"/>
          <w:spacing w:val="-9"/>
          <w:w w:val="110"/>
        </w:rPr>
        <w:t> </w:t>
      </w:r>
      <w:r>
        <w:rPr>
          <w:color w:val="231F20"/>
          <w:w w:val="110"/>
        </w:rPr>
        <w:t>reventaron</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periferia</w:t>
      </w:r>
      <w:r>
        <w:rPr>
          <w:color w:val="231F20"/>
          <w:spacing w:val="-9"/>
          <w:w w:val="110"/>
        </w:rPr>
        <w:t> </w:t>
      </w:r>
      <w:r>
        <w:rPr>
          <w:color w:val="231F20"/>
          <w:w w:val="110"/>
        </w:rPr>
        <w:t>entre</w:t>
      </w:r>
      <w:r>
        <w:rPr>
          <w:color w:val="231F20"/>
          <w:spacing w:val="-9"/>
          <w:w w:val="110"/>
        </w:rPr>
        <w:t> </w:t>
      </w:r>
      <w:r>
        <w:rPr>
          <w:color w:val="231F20"/>
          <w:w w:val="110"/>
        </w:rPr>
        <w:t>1994</w:t>
      </w:r>
      <w:r>
        <w:rPr>
          <w:color w:val="231F20"/>
          <w:spacing w:val="-9"/>
          <w:w w:val="110"/>
        </w:rPr>
        <w:t> </w:t>
      </w:r>
      <w:r>
        <w:rPr>
          <w:color w:val="231F20"/>
          <w:w w:val="110"/>
        </w:rPr>
        <w:t>y</w:t>
      </w:r>
      <w:r>
        <w:rPr>
          <w:color w:val="231F20"/>
          <w:spacing w:val="-9"/>
          <w:w w:val="110"/>
        </w:rPr>
        <w:t> </w:t>
      </w:r>
      <w:r>
        <w:rPr>
          <w:color w:val="231F20"/>
          <w:w w:val="110"/>
        </w:rPr>
        <w:t>2006,</w:t>
      </w:r>
      <w:r>
        <w:rPr>
          <w:color w:val="231F20"/>
          <w:spacing w:val="-9"/>
          <w:w w:val="110"/>
        </w:rPr>
        <w:t> </w:t>
      </w:r>
      <w:r>
        <w:rPr>
          <w:color w:val="231F20"/>
          <w:w w:val="110"/>
        </w:rPr>
        <w:t>acaban- do con economías y debilitando Estados supuestamente emergentes. Finalmente, en 2008, estalló la burbuja de los préstamos inmobilia- rios</w:t>
      </w:r>
      <w:r>
        <w:rPr>
          <w:color w:val="231F20"/>
          <w:spacing w:val="-8"/>
          <w:w w:val="110"/>
        </w:rPr>
        <w:t> </w:t>
      </w:r>
      <w:r>
        <w:rPr>
          <w:color w:val="231F20"/>
          <w:w w:val="110"/>
        </w:rPr>
        <w:t>intoxicados</w:t>
      </w:r>
      <w:r>
        <w:rPr>
          <w:color w:val="231F20"/>
          <w:spacing w:val="-8"/>
          <w:w w:val="110"/>
        </w:rPr>
        <w:t> </w:t>
      </w:r>
      <w:r>
        <w:rPr>
          <w:color w:val="231F20"/>
          <w:w w:val="110"/>
        </w:rPr>
        <w:t>(</w:t>
      </w:r>
      <w:r>
        <w:rPr>
          <w:i/>
          <w:color w:val="231F20"/>
          <w:w w:val="110"/>
        </w:rPr>
        <w:t>subprime</w:t>
      </w:r>
      <w:r>
        <w:rPr>
          <w:color w:val="231F20"/>
          <w:w w:val="110"/>
        </w:rPr>
        <w:t>)</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anunciando</w:t>
      </w:r>
      <w:r>
        <w:rPr>
          <w:color w:val="231F20"/>
          <w:spacing w:val="-8"/>
          <w:w w:val="110"/>
        </w:rPr>
        <w:t> </w:t>
      </w:r>
      <w:r>
        <w:rPr>
          <w:color w:val="231F20"/>
          <w:w w:val="110"/>
        </w:rPr>
        <w:t>el</w:t>
      </w:r>
      <w:r>
        <w:rPr>
          <w:color w:val="231F20"/>
          <w:spacing w:val="-8"/>
          <w:w w:val="110"/>
        </w:rPr>
        <w:t> </w:t>
      </w:r>
      <w:r>
        <w:rPr>
          <w:color w:val="231F20"/>
          <w:w w:val="110"/>
        </w:rPr>
        <w:t>fin</w:t>
      </w:r>
      <w:r>
        <w:rPr>
          <w:color w:val="231F20"/>
          <w:spacing w:val="-8"/>
          <w:w w:val="110"/>
        </w:rPr>
        <w:t> </w:t>
      </w:r>
      <w:r>
        <w:rPr>
          <w:color w:val="231F20"/>
          <w:spacing w:val="-2"/>
          <w:w w:val="110"/>
        </w:rPr>
        <w:t>del </w:t>
      </w:r>
      <w:r>
        <w:rPr>
          <w:color w:val="231F20"/>
          <w:w w:val="110"/>
        </w:rPr>
        <w:t>neoliberalismo como opción para la estabilización o recuperación del</w:t>
      </w:r>
      <w:r>
        <w:rPr>
          <w:color w:val="231F20"/>
          <w:spacing w:val="-13"/>
          <w:w w:val="110"/>
        </w:rPr>
        <w:t> </w:t>
      </w:r>
      <w:r>
        <w:rPr>
          <w:color w:val="231F20"/>
          <w:w w:val="110"/>
        </w:rPr>
        <w:t>sistema</w:t>
      </w:r>
      <w:r>
        <w:rPr>
          <w:color w:val="231F20"/>
          <w:spacing w:val="-13"/>
          <w:w w:val="110"/>
        </w:rPr>
        <w:t> </w:t>
      </w:r>
      <w:r>
        <w:rPr>
          <w:color w:val="231F20"/>
          <w:w w:val="110"/>
        </w:rPr>
        <w:t>capitalista.</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3"/>
          <w:w w:val="110"/>
        </w:rPr>
        <w:t> </w:t>
      </w:r>
      <w:r>
        <w:rPr>
          <w:color w:val="231F20"/>
          <w:w w:val="110"/>
        </w:rPr>
        <w:t>financiera</w:t>
      </w:r>
      <w:r>
        <w:rPr>
          <w:color w:val="231F20"/>
          <w:spacing w:val="-12"/>
          <w:w w:val="110"/>
        </w:rPr>
        <w:t> </w:t>
      </w:r>
      <w:r>
        <w:rPr>
          <w:color w:val="231F20"/>
          <w:w w:val="110"/>
        </w:rPr>
        <w:t>basada</w:t>
      </w:r>
      <w:r>
        <w:rPr>
          <w:color w:val="231F20"/>
          <w:spacing w:val="-12"/>
          <w:w w:val="110"/>
        </w:rPr>
        <w:t> </w:t>
      </w:r>
      <w:r>
        <w:rPr>
          <w:color w:val="231F20"/>
          <w:w w:val="110"/>
        </w:rPr>
        <w:t>en</w:t>
      </w:r>
      <w:r>
        <w:rPr>
          <w:color w:val="231F20"/>
          <w:spacing w:val="-13"/>
          <w:w w:val="110"/>
        </w:rPr>
        <w:t> </w:t>
      </w:r>
      <w:r>
        <w:rPr>
          <w:color w:val="231F20"/>
          <w:w w:val="110"/>
        </w:rPr>
        <w:t>el</w:t>
      </w:r>
      <w:r>
        <w:rPr>
          <w:color w:val="231F20"/>
          <w:spacing w:val="-12"/>
          <w:w w:val="110"/>
        </w:rPr>
        <w:t> </w:t>
      </w:r>
      <w:r>
        <w:rPr>
          <w:color w:val="231F20"/>
          <w:w w:val="110"/>
        </w:rPr>
        <w:t>estallido</w:t>
      </w:r>
      <w:r>
        <w:rPr>
          <w:color w:val="231F20"/>
          <w:spacing w:val="-12"/>
          <w:w w:val="110"/>
        </w:rPr>
        <w:t> </w:t>
      </w:r>
      <w:r>
        <w:rPr>
          <w:color w:val="231F20"/>
          <w:w w:val="110"/>
        </w:rPr>
        <w:t>de</w:t>
      </w:r>
      <w:r>
        <w:rPr>
          <w:color w:val="231F20"/>
          <w:spacing w:val="-13"/>
          <w:w w:val="110"/>
        </w:rPr>
        <w:t> </w:t>
      </w:r>
      <w:r>
        <w:rPr>
          <w:color w:val="231F20"/>
          <w:w w:val="110"/>
        </w:rPr>
        <w:t>la burbuja</w:t>
      </w:r>
      <w:r>
        <w:rPr>
          <w:color w:val="231F20"/>
          <w:spacing w:val="-20"/>
          <w:w w:val="110"/>
        </w:rPr>
        <w:t> </w:t>
      </w:r>
      <w:r>
        <w:rPr>
          <w:color w:val="231F20"/>
          <w:w w:val="110"/>
        </w:rPr>
        <w:t>inmobiliaria</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bolsa</w:t>
      </w:r>
      <w:r>
        <w:rPr>
          <w:color w:val="231F20"/>
          <w:spacing w:val="-20"/>
          <w:w w:val="110"/>
        </w:rPr>
        <w:t> </w:t>
      </w:r>
      <w:r>
        <w:rPr>
          <w:color w:val="231F20"/>
          <w:w w:val="110"/>
        </w:rPr>
        <w:t>de</w:t>
      </w:r>
      <w:r>
        <w:rPr>
          <w:color w:val="231F20"/>
          <w:spacing w:val="-20"/>
          <w:w w:val="110"/>
        </w:rPr>
        <w:t> </w:t>
      </w:r>
      <w:r>
        <w:rPr>
          <w:color w:val="231F20"/>
          <w:w w:val="110"/>
        </w:rPr>
        <w:t>valores</w:t>
      </w:r>
      <w:r>
        <w:rPr>
          <w:color w:val="231F20"/>
          <w:spacing w:val="-20"/>
          <w:w w:val="110"/>
        </w:rPr>
        <w:t> </w:t>
      </w:r>
      <w:r>
        <w:rPr>
          <w:color w:val="231F20"/>
          <w:w w:val="110"/>
        </w:rPr>
        <w:t>de</w:t>
      </w:r>
      <w:r>
        <w:rPr>
          <w:color w:val="231F20"/>
          <w:spacing w:val="-20"/>
          <w:w w:val="110"/>
        </w:rPr>
        <w:t> </w:t>
      </w:r>
      <w:r>
        <w:rPr>
          <w:color w:val="231F20"/>
          <w:w w:val="110"/>
        </w:rPr>
        <w:t>Nueva</w:t>
      </w:r>
      <w:r>
        <w:rPr>
          <w:color w:val="231F20"/>
          <w:spacing w:val="-20"/>
          <w:w w:val="110"/>
        </w:rPr>
        <w:t> </w:t>
      </w:r>
      <w:r>
        <w:rPr>
          <w:color w:val="231F20"/>
          <w:spacing w:val="-4"/>
          <w:w w:val="110"/>
        </w:rPr>
        <w:t>York</w:t>
      </w:r>
      <w:r>
        <w:rPr>
          <w:color w:val="231F20"/>
          <w:spacing w:val="-20"/>
          <w:w w:val="110"/>
        </w:rPr>
        <w:t> </w:t>
      </w:r>
      <w:r>
        <w:rPr>
          <w:color w:val="231F20"/>
          <w:w w:val="110"/>
        </w:rPr>
        <w:t>es</w:t>
      </w:r>
      <w:r>
        <w:rPr>
          <w:color w:val="231F20"/>
          <w:spacing w:val="-20"/>
          <w:w w:val="110"/>
        </w:rPr>
        <w:t> </w:t>
      </w:r>
      <w:r>
        <w:rPr>
          <w:color w:val="231F20"/>
          <w:w w:val="110"/>
        </w:rPr>
        <w:t>un</w:t>
      </w:r>
      <w:r>
        <w:rPr>
          <w:color w:val="231F20"/>
          <w:spacing w:val="-20"/>
          <w:w w:val="110"/>
        </w:rPr>
        <w:t> </w:t>
      </w:r>
      <w:r>
        <w:rPr>
          <w:color w:val="231F20"/>
          <w:spacing w:val="-2"/>
          <w:w w:val="110"/>
        </w:rPr>
        <w:t>efecto </w:t>
      </w:r>
      <w:r>
        <w:rPr>
          <w:color w:val="231F20"/>
          <w:w w:val="110"/>
        </w:rPr>
        <w:t>de la crisis del sistema capitalista que se arrastraba por un cuarto de siglo</w:t>
      </w:r>
      <w:r>
        <w:rPr>
          <w:color w:val="231F20"/>
          <w:spacing w:val="-24"/>
          <w:w w:val="110"/>
        </w:rPr>
        <w:t> </w:t>
      </w:r>
      <w:r>
        <w:rPr>
          <w:color w:val="231F20"/>
          <w:w w:val="110"/>
        </w:rPr>
        <w:t>o</w:t>
      </w:r>
      <w:r>
        <w:rPr>
          <w:color w:val="231F20"/>
          <w:spacing w:val="-24"/>
          <w:w w:val="110"/>
        </w:rPr>
        <w:t> </w:t>
      </w:r>
      <w:r>
        <w:rPr>
          <w:color w:val="231F20"/>
          <w:w w:val="110"/>
        </w:rPr>
        <w:t>más.</w:t>
      </w:r>
    </w:p>
    <w:p>
      <w:pPr>
        <w:pStyle w:val="BodyText"/>
      </w:pPr>
    </w:p>
    <w:p>
      <w:pPr>
        <w:pStyle w:val="BodyText"/>
      </w:pPr>
    </w:p>
    <w:p>
      <w:pPr>
        <w:pStyle w:val="BodyText"/>
        <w:spacing w:before="2"/>
        <w:rPr>
          <w:sz w:val="25"/>
        </w:rPr>
      </w:pPr>
    </w:p>
    <w:p>
      <w:pPr>
        <w:pStyle w:val="BodyText"/>
        <w:ind w:left="100"/>
        <w:jc w:val="both"/>
      </w:pPr>
      <w:r>
        <w:rPr>
          <w:color w:val="231F20"/>
          <w:w w:val="130"/>
        </w:rPr>
        <w:t>el fin de la historia</w:t>
      </w:r>
    </w:p>
    <w:p>
      <w:pPr>
        <w:pStyle w:val="BodyText"/>
        <w:spacing w:before="5"/>
        <w:rPr>
          <w:sz w:val="23"/>
        </w:rPr>
      </w:pPr>
    </w:p>
    <w:p>
      <w:pPr>
        <w:pStyle w:val="BodyText"/>
        <w:spacing w:line="261" w:lineRule="auto"/>
        <w:ind w:left="100" w:right="112"/>
        <w:jc w:val="both"/>
      </w:pPr>
      <w:r>
        <w:rPr>
          <w:color w:val="231F20"/>
          <w:w w:val="110"/>
        </w:rPr>
        <w:t>El eufemismo popularizado por Francis Fukuyama, “el fin de la his- toria”, se refería a la derrota de la clase obrera y sus pretensiones   de compartir los frutos de su trabajo y productividad. Fukuyama, por razones ideológicas comprensibles, presentó su tesis puesta de cabeza. El capitalismo, decía, en su forma liberal y jerarquizada, llegó a la cima de la civilización humana para quedarse gozando de sus triunfos. Los ideólogos del capitalismo tenían mucha razón para celebrar. Habían quebrado el movimiento obrero de los países  </w:t>
      </w:r>
      <w:r>
        <w:rPr>
          <w:color w:val="231F20"/>
          <w:spacing w:val="19"/>
          <w:w w:val="110"/>
        </w:rPr>
        <w:t> </w:t>
      </w:r>
      <w:r>
        <w:rPr>
          <w:color w:val="231F20"/>
          <w:w w:val="110"/>
        </w:rPr>
        <w:t>más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4"/>
        <w:jc w:val="both"/>
      </w:pPr>
      <w:r>
        <w:rPr>
          <w:color w:val="231F20"/>
          <w:w w:val="110"/>
        </w:rPr>
        <w:t>desarrollados, reduciendo sus organizaciones en apéndices de los objetivos</w:t>
      </w:r>
      <w:r>
        <w:rPr>
          <w:color w:val="231F20"/>
          <w:spacing w:val="-17"/>
          <w:w w:val="110"/>
        </w:rPr>
        <w:t> </w:t>
      </w:r>
      <w:r>
        <w:rPr>
          <w:color w:val="231F20"/>
          <w:w w:val="110"/>
        </w:rPr>
        <w:t>asociados</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acumulación</w:t>
      </w:r>
      <w:r>
        <w:rPr>
          <w:color w:val="231F20"/>
          <w:spacing w:val="-17"/>
          <w:w w:val="110"/>
        </w:rPr>
        <w:t> </w:t>
      </w:r>
      <w:r>
        <w:rPr>
          <w:color w:val="231F20"/>
          <w:w w:val="110"/>
        </w:rPr>
        <w:t>capitalista.</w:t>
      </w:r>
      <w:r>
        <w:rPr>
          <w:color w:val="231F20"/>
          <w:spacing w:val="-17"/>
          <w:w w:val="110"/>
        </w:rPr>
        <w:t> </w:t>
      </w:r>
      <w:r>
        <w:rPr>
          <w:color w:val="231F20"/>
          <w:w w:val="110"/>
        </w:rPr>
        <w:t>Al</w:t>
      </w:r>
      <w:r>
        <w:rPr>
          <w:color w:val="231F20"/>
          <w:spacing w:val="-17"/>
          <w:w w:val="110"/>
        </w:rPr>
        <w:t> </w:t>
      </w:r>
      <w:r>
        <w:rPr>
          <w:color w:val="231F20"/>
          <w:w w:val="110"/>
        </w:rPr>
        <w:t>mismo</w:t>
      </w:r>
      <w:r>
        <w:rPr>
          <w:color w:val="231F20"/>
          <w:spacing w:val="-17"/>
          <w:w w:val="110"/>
        </w:rPr>
        <w:t> </w:t>
      </w:r>
      <w:r>
        <w:rPr>
          <w:color w:val="231F20"/>
          <w:w w:val="110"/>
        </w:rPr>
        <w:t>tiempo, sometieron los movimientos sociales de liberación nacional y de</w:t>
      </w:r>
      <w:r>
        <w:rPr>
          <w:color w:val="231F20"/>
          <w:spacing w:val="-8"/>
          <w:w w:val="110"/>
        </w:rPr>
        <w:t> </w:t>
      </w:r>
      <w:r>
        <w:rPr>
          <w:color w:val="231F20"/>
          <w:w w:val="110"/>
        </w:rPr>
        <w:t>de- sarrollo autónomo de los países menos</w:t>
      </w:r>
      <w:r>
        <w:rPr>
          <w:color w:val="231F20"/>
          <w:spacing w:val="35"/>
          <w:w w:val="110"/>
        </w:rPr>
        <w:t> </w:t>
      </w:r>
      <w:r>
        <w:rPr>
          <w:color w:val="231F20"/>
          <w:w w:val="110"/>
        </w:rPr>
        <w:t>desarrollados.</w:t>
      </w:r>
    </w:p>
    <w:p>
      <w:pPr>
        <w:pStyle w:val="BodyText"/>
        <w:spacing w:line="261" w:lineRule="auto"/>
        <w:ind w:left="100" w:right="119" w:firstLine="240"/>
        <w:jc w:val="both"/>
      </w:pPr>
      <w:r>
        <w:rPr>
          <w:color w:val="231F20"/>
          <w:w w:val="110"/>
        </w:rPr>
        <w:t>Se creyeron su propia propaganda cuando colapsó el</w:t>
      </w:r>
      <w:r>
        <w:rPr>
          <w:color w:val="231F20"/>
          <w:spacing w:val="-23"/>
          <w:w w:val="110"/>
        </w:rPr>
        <w:t> </w:t>
      </w:r>
      <w:r>
        <w:rPr>
          <w:color w:val="231F20"/>
          <w:w w:val="110"/>
        </w:rPr>
        <w:t>experimento soviético</w:t>
      </w:r>
      <w:r>
        <w:rPr>
          <w:color w:val="231F20"/>
          <w:spacing w:val="-35"/>
          <w:w w:val="110"/>
        </w:rPr>
        <w:t> </w:t>
      </w:r>
      <w:r>
        <w:rPr>
          <w:color w:val="231F20"/>
          <w:w w:val="110"/>
        </w:rPr>
        <w:t>en</w:t>
      </w:r>
      <w:r>
        <w:rPr>
          <w:color w:val="231F20"/>
          <w:spacing w:val="-35"/>
          <w:w w:val="110"/>
        </w:rPr>
        <w:t> </w:t>
      </w:r>
      <w:r>
        <w:rPr>
          <w:color w:val="231F20"/>
          <w:w w:val="110"/>
        </w:rPr>
        <w:t>Europa</w:t>
      </w:r>
      <w:r>
        <w:rPr>
          <w:color w:val="231F20"/>
          <w:spacing w:val="-35"/>
          <w:w w:val="110"/>
        </w:rPr>
        <w:t> </w:t>
      </w:r>
      <w:r>
        <w:rPr>
          <w:color w:val="231F20"/>
          <w:w w:val="110"/>
        </w:rPr>
        <w:t>central</w:t>
      </w:r>
      <w:r>
        <w:rPr>
          <w:color w:val="231F20"/>
          <w:spacing w:val="-35"/>
          <w:w w:val="110"/>
        </w:rPr>
        <w:t> </w:t>
      </w:r>
      <w:r>
        <w:rPr>
          <w:color w:val="231F20"/>
          <w:w w:val="110"/>
        </w:rPr>
        <w:t>y</w:t>
      </w:r>
      <w:r>
        <w:rPr>
          <w:color w:val="231F20"/>
          <w:spacing w:val="-35"/>
          <w:w w:val="110"/>
        </w:rPr>
        <w:t> </w:t>
      </w:r>
      <w:r>
        <w:rPr>
          <w:color w:val="231F20"/>
          <w:w w:val="110"/>
        </w:rPr>
        <w:t>oriental</w:t>
      </w:r>
      <w:r>
        <w:rPr>
          <w:color w:val="231F20"/>
          <w:spacing w:val="-35"/>
          <w:w w:val="110"/>
        </w:rPr>
        <w:t> </w:t>
      </w:r>
      <w:r>
        <w:rPr>
          <w:color w:val="231F20"/>
          <w:w w:val="110"/>
        </w:rPr>
        <w:t>(Devine,</w:t>
      </w:r>
      <w:r>
        <w:rPr>
          <w:color w:val="231F20"/>
          <w:spacing w:val="-35"/>
          <w:w w:val="110"/>
        </w:rPr>
        <w:t> </w:t>
      </w:r>
      <w:r>
        <w:rPr>
          <w:color w:val="231F20"/>
          <w:w w:val="110"/>
        </w:rPr>
        <w:t>2007).</w:t>
      </w:r>
      <w:r>
        <w:rPr>
          <w:color w:val="231F20"/>
          <w:spacing w:val="-34"/>
          <w:w w:val="110"/>
        </w:rPr>
        <w:t> </w:t>
      </w:r>
      <w:r>
        <w:rPr>
          <w:color w:val="231F20"/>
          <w:w w:val="110"/>
        </w:rPr>
        <w:t>La</w:t>
      </w:r>
      <w:r>
        <w:rPr>
          <w:color w:val="231F20"/>
          <w:spacing w:val="-33"/>
          <w:w w:val="110"/>
        </w:rPr>
        <w:t> </w:t>
      </w:r>
      <w:r>
        <w:rPr>
          <w:color w:val="231F20"/>
          <w:w w:val="110"/>
        </w:rPr>
        <w:t>debacle</w:t>
      </w:r>
      <w:r>
        <w:rPr>
          <w:color w:val="231F20"/>
          <w:spacing w:val="-33"/>
          <w:w w:val="110"/>
        </w:rPr>
        <w:t> </w:t>
      </w:r>
      <w:r>
        <w:rPr>
          <w:color w:val="231F20"/>
          <w:w w:val="110"/>
        </w:rPr>
        <w:t>sovié-</w:t>
      </w:r>
      <w:r>
        <w:rPr>
          <w:color w:val="231F20"/>
          <w:w w:val="72"/>
        </w:rPr>
        <w:t> </w:t>
      </w:r>
      <w:r>
        <w:rPr>
          <w:color w:val="231F20"/>
          <w:w w:val="110"/>
        </w:rPr>
        <w:t>tica,</w:t>
      </w:r>
      <w:r>
        <w:rPr>
          <w:color w:val="231F20"/>
          <w:spacing w:val="-13"/>
          <w:w w:val="110"/>
        </w:rPr>
        <w:t> </w:t>
      </w:r>
      <w:r>
        <w:rPr>
          <w:color w:val="231F20"/>
          <w:w w:val="110"/>
        </w:rPr>
        <w:t>a</w:t>
      </w:r>
      <w:r>
        <w:rPr>
          <w:color w:val="231F20"/>
          <w:spacing w:val="-13"/>
          <w:w w:val="110"/>
        </w:rPr>
        <w:t> </w:t>
      </w:r>
      <w:r>
        <w:rPr>
          <w:color w:val="231F20"/>
          <w:w w:val="110"/>
        </w:rPr>
        <w:t>su</w:t>
      </w:r>
      <w:r>
        <w:rPr>
          <w:color w:val="231F20"/>
          <w:spacing w:val="-13"/>
          <w:w w:val="110"/>
        </w:rPr>
        <w:t> </w:t>
      </w:r>
      <w:r>
        <w:rPr>
          <w:color w:val="231F20"/>
          <w:w w:val="110"/>
        </w:rPr>
        <w:t>vez,</w:t>
      </w:r>
      <w:r>
        <w:rPr>
          <w:color w:val="231F20"/>
          <w:spacing w:val="-13"/>
          <w:w w:val="110"/>
        </w:rPr>
        <w:t> </w:t>
      </w:r>
      <w:r>
        <w:rPr>
          <w:color w:val="231F20"/>
          <w:w w:val="110"/>
        </w:rPr>
        <w:t>dejó</w:t>
      </w:r>
      <w:r>
        <w:rPr>
          <w:color w:val="231F20"/>
          <w:spacing w:val="-13"/>
          <w:w w:val="110"/>
        </w:rPr>
        <w:t> </w:t>
      </w:r>
      <w:r>
        <w:rPr>
          <w:color w:val="231F20"/>
          <w:w w:val="110"/>
        </w:rPr>
        <w:t>a</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sin</w:t>
      </w:r>
      <w:r>
        <w:rPr>
          <w:color w:val="231F20"/>
          <w:spacing w:val="-13"/>
          <w:w w:val="110"/>
        </w:rPr>
        <w:t> </w:t>
      </w:r>
      <w:r>
        <w:rPr>
          <w:color w:val="231F20"/>
          <w:w w:val="110"/>
        </w:rPr>
        <w:t>un</w:t>
      </w:r>
      <w:r>
        <w:rPr>
          <w:color w:val="231F20"/>
          <w:spacing w:val="-13"/>
          <w:w w:val="110"/>
        </w:rPr>
        <w:t> </w:t>
      </w:r>
      <w:r>
        <w:rPr>
          <w:color w:val="231F20"/>
          <w:w w:val="110"/>
        </w:rPr>
        <w:t>enemigo</w:t>
      </w:r>
      <w:r>
        <w:rPr>
          <w:color w:val="231F20"/>
          <w:spacing w:val="-13"/>
          <w:w w:val="110"/>
        </w:rPr>
        <w:t> </w:t>
      </w:r>
      <w:r>
        <w:rPr>
          <w:color w:val="231F20"/>
          <w:w w:val="110"/>
        </w:rPr>
        <w:t>que</w:t>
      </w:r>
      <w:r>
        <w:rPr>
          <w:color w:val="231F20"/>
          <w:spacing w:val="-13"/>
          <w:w w:val="110"/>
        </w:rPr>
        <w:t> </w:t>
      </w:r>
      <w:r>
        <w:rPr>
          <w:color w:val="231F20"/>
          <w:w w:val="110"/>
        </w:rPr>
        <w:t>le</w:t>
      </w:r>
      <w:r>
        <w:rPr>
          <w:color w:val="231F20"/>
          <w:spacing w:val="-13"/>
          <w:w w:val="110"/>
        </w:rPr>
        <w:t> </w:t>
      </w:r>
      <w:r>
        <w:rPr>
          <w:color w:val="231F20"/>
          <w:w w:val="110"/>
        </w:rPr>
        <w:t>permitiera desarrollar su economía de guerra, única capaz de transferir con la legitimidad necesaria los excedentes extraídos a la clase obrera, en manos del gobierno, a la clase capitalista (Gandásegui,</w:t>
      </w:r>
      <w:r>
        <w:rPr>
          <w:color w:val="231F20"/>
          <w:spacing w:val="16"/>
          <w:w w:val="110"/>
        </w:rPr>
        <w:t> </w:t>
      </w:r>
      <w:r>
        <w:rPr>
          <w:color w:val="231F20"/>
          <w:w w:val="110"/>
        </w:rPr>
        <w:t>2007).</w:t>
      </w:r>
    </w:p>
    <w:p>
      <w:pPr>
        <w:pStyle w:val="BodyText"/>
        <w:spacing w:line="261" w:lineRule="auto"/>
        <w:ind w:left="100" w:right="117" w:firstLine="240"/>
        <w:jc w:val="both"/>
      </w:pPr>
      <w:r>
        <w:rPr>
          <w:color w:val="231F20"/>
          <w:w w:val="110"/>
        </w:rPr>
        <w:t>“El fin de la historia”, sin embargo, tenía otro significado muy distinto</w:t>
      </w:r>
      <w:r>
        <w:rPr>
          <w:color w:val="231F20"/>
          <w:spacing w:val="-7"/>
          <w:w w:val="110"/>
        </w:rPr>
        <w:t> </w:t>
      </w:r>
      <w:r>
        <w:rPr>
          <w:color w:val="231F20"/>
          <w:w w:val="110"/>
        </w:rPr>
        <w:t>al</w:t>
      </w:r>
      <w:r>
        <w:rPr>
          <w:color w:val="231F20"/>
          <w:spacing w:val="-6"/>
          <w:w w:val="110"/>
        </w:rPr>
        <w:t> </w:t>
      </w:r>
      <w:r>
        <w:rPr>
          <w:color w:val="231F20"/>
          <w:w w:val="110"/>
        </w:rPr>
        <w:t>imaginado</w:t>
      </w:r>
      <w:r>
        <w:rPr>
          <w:color w:val="231F20"/>
          <w:spacing w:val="-7"/>
          <w:w w:val="110"/>
        </w:rPr>
        <w:t> </w:t>
      </w:r>
      <w:r>
        <w:rPr>
          <w:color w:val="231F20"/>
          <w:w w:val="110"/>
        </w:rPr>
        <w:t>por</w:t>
      </w:r>
      <w:r>
        <w:rPr>
          <w:color w:val="231F20"/>
          <w:spacing w:val="-6"/>
          <w:w w:val="110"/>
        </w:rPr>
        <w:t> </w:t>
      </w:r>
      <w:r>
        <w:rPr>
          <w:color w:val="231F20"/>
          <w:w w:val="110"/>
        </w:rPr>
        <w:t>Fukuyama.</w:t>
      </w:r>
      <w:r>
        <w:rPr>
          <w:color w:val="231F20"/>
          <w:spacing w:val="-7"/>
          <w:w w:val="110"/>
        </w:rPr>
        <w:t> </w:t>
      </w:r>
      <w:r>
        <w:rPr>
          <w:color w:val="231F20"/>
          <w:w w:val="110"/>
        </w:rPr>
        <w:t>La</w:t>
      </w:r>
      <w:r>
        <w:rPr>
          <w:color w:val="231F20"/>
          <w:spacing w:val="-6"/>
          <w:w w:val="110"/>
        </w:rPr>
        <w:t> </w:t>
      </w:r>
      <w:r>
        <w:rPr>
          <w:color w:val="231F20"/>
          <w:w w:val="110"/>
        </w:rPr>
        <w:t>derrota</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7"/>
          <w:w w:val="110"/>
        </w:rPr>
        <w:t> </w:t>
      </w:r>
      <w:r>
        <w:rPr>
          <w:color w:val="231F20"/>
          <w:w w:val="110"/>
        </w:rPr>
        <w:t>clase</w:t>
      </w:r>
      <w:r>
        <w:rPr>
          <w:color w:val="231F20"/>
          <w:spacing w:val="-6"/>
          <w:w w:val="110"/>
        </w:rPr>
        <w:t> </w:t>
      </w:r>
      <w:r>
        <w:rPr>
          <w:color w:val="231F20"/>
          <w:w w:val="110"/>
        </w:rPr>
        <w:t>obrera</w:t>
      </w:r>
      <w:r>
        <w:rPr>
          <w:color w:val="231F20"/>
          <w:spacing w:val="-6"/>
          <w:w w:val="110"/>
        </w:rPr>
        <w:t> </w:t>
      </w:r>
      <w:r>
        <w:rPr>
          <w:color w:val="231F20"/>
          <w:w w:val="110"/>
        </w:rPr>
        <w:t>de los</w:t>
      </w:r>
      <w:r>
        <w:rPr>
          <w:color w:val="231F20"/>
          <w:spacing w:val="-17"/>
          <w:w w:val="110"/>
        </w:rPr>
        <w:t> </w:t>
      </w:r>
      <w:r>
        <w:rPr>
          <w:color w:val="231F20"/>
          <w:w w:val="110"/>
        </w:rPr>
        <w:t>países</w:t>
      </w:r>
      <w:r>
        <w:rPr>
          <w:color w:val="231F20"/>
          <w:spacing w:val="-17"/>
          <w:w w:val="110"/>
        </w:rPr>
        <w:t> </w:t>
      </w:r>
      <w:r>
        <w:rPr>
          <w:color w:val="231F20"/>
          <w:w w:val="110"/>
        </w:rPr>
        <w:t>más</w:t>
      </w:r>
      <w:r>
        <w:rPr>
          <w:color w:val="231F20"/>
          <w:spacing w:val="-17"/>
          <w:w w:val="110"/>
        </w:rPr>
        <w:t> </w:t>
      </w:r>
      <w:r>
        <w:rPr>
          <w:color w:val="231F20"/>
          <w:w w:val="110"/>
        </w:rPr>
        <w:t>industrializados</w:t>
      </w:r>
      <w:r>
        <w:rPr>
          <w:color w:val="231F20"/>
          <w:spacing w:val="-17"/>
          <w:w w:val="110"/>
        </w:rPr>
        <w:t> </w:t>
      </w:r>
      <w:r>
        <w:rPr>
          <w:color w:val="231F20"/>
          <w:w w:val="110"/>
        </w:rPr>
        <w:t>representaba</w:t>
      </w:r>
      <w:r>
        <w:rPr>
          <w:color w:val="231F20"/>
          <w:spacing w:val="-17"/>
          <w:w w:val="110"/>
        </w:rPr>
        <w:t> </w:t>
      </w:r>
      <w:r>
        <w:rPr>
          <w:color w:val="231F20"/>
          <w:w w:val="110"/>
        </w:rPr>
        <w:t>también</w:t>
      </w:r>
      <w:r>
        <w:rPr>
          <w:color w:val="231F20"/>
          <w:spacing w:val="-17"/>
          <w:w w:val="110"/>
        </w:rPr>
        <w:t> </w:t>
      </w:r>
      <w:r>
        <w:rPr>
          <w:color w:val="231F20"/>
          <w:w w:val="110"/>
        </w:rPr>
        <w:t>el</w:t>
      </w:r>
      <w:r>
        <w:rPr>
          <w:color w:val="231F20"/>
          <w:spacing w:val="-17"/>
          <w:w w:val="110"/>
        </w:rPr>
        <w:t> </w:t>
      </w:r>
      <w:r>
        <w:rPr>
          <w:color w:val="231F20"/>
          <w:w w:val="110"/>
        </w:rPr>
        <w:t>fin</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altas tasas de ganancia. Marcó el inicio de las políticas neoliberales que introducen</w:t>
      </w:r>
      <w:r>
        <w:rPr>
          <w:color w:val="231F20"/>
          <w:spacing w:val="-11"/>
          <w:w w:val="110"/>
        </w:rPr>
        <w:t> </w:t>
      </w:r>
      <w:r>
        <w:rPr>
          <w:color w:val="231F20"/>
          <w:w w:val="110"/>
        </w:rPr>
        <w:t>la</w:t>
      </w:r>
      <w:r>
        <w:rPr>
          <w:color w:val="231F20"/>
          <w:spacing w:val="-11"/>
          <w:w w:val="110"/>
        </w:rPr>
        <w:t> </w:t>
      </w:r>
      <w:r>
        <w:rPr>
          <w:color w:val="231F20"/>
          <w:w w:val="110"/>
        </w:rPr>
        <w:t>“financiación”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economías.</w:t>
      </w:r>
      <w:r>
        <w:rPr>
          <w:color w:val="231F20"/>
          <w:spacing w:val="-11"/>
          <w:w w:val="110"/>
        </w:rPr>
        <w:t> </w:t>
      </w:r>
      <w:r>
        <w:rPr>
          <w:color w:val="231F20"/>
          <w:w w:val="110"/>
        </w:rPr>
        <w:t>Es</w:t>
      </w:r>
      <w:r>
        <w:rPr>
          <w:color w:val="231F20"/>
          <w:spacing w:val="-11"/>
          <w:w w:val="110"/>
        </w:rPr>
        <w:t> </w:t>
      </w:r>
      <w:r>
        <w:rPr>
          <w:color w:val="231F20"/>
          <w:spacing w:val="-3"/>
          <w:w w:val="110"/>
        </w:rPr>
        <w:t>decir,</w:t>
      </w:r>
      <w:r>
        <w:rPr>
          <w:color w:val="231F20"/>
          <w:spacing w:val="-11"/>
          <w:w w:val="110"/>
        </w:rPr>
        <w:t> </w:t>
      </w:r>
      <w:r>
        <w:rPr>
          <w:color w:val="231F20"/>
          <w:w w:val="110"/>
        </w:rPr>
        <w:t>la</w:t>
      </w:r>
      <w:r>
        <w:rPr>
          <w:color w:val="231F20"/>
          <w:spacing w:val="-11"/>
          <w:w w:val="110"/>
        </w:rPr>
        <w:t> </w:t>
      </w:r>
      <w:r>
        <w:rPr>
          <w:color w:val="231F20"/>
          <w:w w:val="110"/>
        </w:rPr>
        <w:t>extracción de ganancias mediante la circulación y no la </w:t>
      </w:r>
      <w:r>
        <w:rPr>
          <w:color w:val="231F20"/>
          <w:spacing w:val="18"/>
          <w:w w:val="110"/>
        </w:rPr>
        <w:t> </w:t>
      </w:r>
      <w:r>
        <w:rPr>
          <w:color w:val="231F20"/>
          <w:w w:val="110"/>
        </w:rPr>
        <w:t>producción.</w:t>
      </w:r>
    </w:p>
    <w:p>
      <w:pPr>
        <w:pStyle w:val="BodyText"/>
        <w:spacing w:line="261" w:lineRule="auto"/>
        <w:ind w:left="100" w:right="119" w:firstLine="240"/>
        <w:jc w:val="both"/>
      </w:pPr>
      <w:r>
        <w:rPr>
          <w:color w:val="231F20"/>
          <w:w w:val="110"/>
        </w:rPr>
        <w:t>El</w:t>
      </w:r>
      <w:r>
        <w:rPr>
          <w:color w:val="231F20"/>
          <w:spacing w:val="-9"/>
          <w:w w:val="110"/>
        </w:rPr>
        <w:t> </w:t>
      </w:r>
      <w:r>
        <w:rPr>
          <w:color w:val="231F20"/>
          <w:w w:val="110"/>
        </w:rPr>
        <w:t>fin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historia</w:t>
      </w:r>
      <w:r>
        <w:rPr>
          <w:color w:val="231F20"/>
          <w:spacing w:val="-9"/>
          <w:w w:val="110"/>
        </w:rPr>
        <w:t> </w:t>
      </w:r>
      <w:r>
        <w:rPr>
          <w:color w:val="231F20"/>
          <w:w w:val="110"/>
        </w:rPr>
        <w:t>en</w:t>
      </w:r>
      <w:r>
        <w:rPr>
          <w:color w:val="231F20"/>
          <w:spacing w:val="-9"/>
          <w:w w:val="110"/>
        </w:rPr>
        <w:t> </w:t>
      </w:r>
      <w:r>
        <w:rPr>
          <w:color w:val="231F20"/>
          <w:w w:val="110"/>
        </w:rPr>
        <w:t>realidad</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del</w:t>
      </w:r>
      <w:r>
        <w:rPr>
          <w:color w:val="231F20"/>
          <w:spacing w:val="-9"/>
          <w:w w:val="110"/>
        </w:rPr>
        <w:t> </w:t>
      </w:r>
      <w:r>
        <w:rPr>
          <w:color w:val="231F20"/>
          <w:w w:val="110"/>
        </w:rPr>
        <w:t>capitalismo</w:t>
      </w:r>
      <w:r>
        <w:rPr>
          <w:color w:val="231F20"/>
          <w:spacing w:val="-9"/>
          <w:w w:val="110"/>
        </w:rPr>
        <w:t> </w:t>
      </w:r>
      <w:r>
        <w:rPr>
          <w:color w:val="231F20"/>
          <w:w w:val="110"/>
        </w:rPr>
        <w:t>entendi- do como la forma de dominación (liberal) sobre la clase trabajadora </w:t>
      </w:r>
      <w:r>
        <w:rPr>
          <w:color w:val="231F20"/>
          <w:spacing w:val="-8"/>
          <w:w w:val="110"/>
        </w:rPr>
        <w:t>y, </w:t>
      </w:r>
      <w:r>
        <w:rPr>
          <w:color w:val="231F20"/>
          <w:w w:val="110"/>
        </w:rPr>
        <w:t>a la vez, el sometimiento (dependencia) de enormes regiones del mundo en el marco de un sistema jerárquico tipo  </w:t>
      </w:r>
      <w:r>
        <w:rPr>
          <w:color w:val="231F20"/>
          <w:spacing w:val="16"/>
          <w:w w:val="110"/>
        </w:rPr>
        <w:t> </w:t>
      </w:r>
      <w:r>
        <w:rPr>
          <w:color w:val="231F20"/>
          <w:w w:val="110"/>
        </w:rPr>
        <w:t>centro-periferia.</w:t>
      </w:r>
    </w:p>
    <w:p>
      <w:pPr>
        <w:pStyle w:val="BodyText"/>
        <w:spacing w:line="261" w:lineRule="auto"/>
        <w:ind w:left="100" w:right="117" w:firstLine="240"/>
        <w:jc w:val="both"/>
      </w:pPr>
      <w:r>
        <w:rPr>
          <w:color w:val="231F20"/>
          <w:w w:val="110"/>
        </w:rPr>
        <w:t>La derrota de la clase obrera representa la tendencia hacia la pauperización y su exclusión de los procesos de realización de los excedentes que produce la relación de producción capitalista. En un análisis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datos</w:t>
      </w:r>
      <w:r>
        <w:rPr>
          <w:color w:val="231F20"/>
          <w:spacing w:val="-11"/>
          <w:w w:val="110"/>
        </w:rPr>
        <w:t> </w:t>
      </w:r>
      <w:r>
        <w:rPr>
          <w:color w:val="231F20"/>
          <w:w w:val="110"/>
        </w:rPr>
        <w:t>arrojados</w:t>
      </w:r>
      <w:r>
        <w:rPr>
          <w:color w:val="231F20"/>
          <w:spacing w:val="-11"/>
          <w:w w:val="110"/>
        </w:rPr>
        <w:t> </w:t>
      </w:r>
      <w:r>
        <w:rPr>
          <w:color w:val="231F20"/>
          <w:w w:val="110"/>
        </w:rPr>
        <w:t>por</w:t>
      </w:r>
      <w:r>
        <w:rPr>
          <w:color w:val="231F20"/>
          <w:spacing w:val="-11"/>
          <w:w w:val="110"/>
        </w:rPr>
        <w:t> </w:t>
      </w:r>
      <w:r>
        <w:rPr>
          <w:color w:val="231F20"/>
          <w:w w:val="110"/>
        </w:rPr>
        <w:t>una</w:t>
      </w:r>
      <w:r>
        <w:rPr>
          <w:color w:val="231F20"/>
          <w:spacing w:val="-11"/>
          <w:w w:val="110"/>
        </w:rPr>
        <w:t> </w:t>
      </w:r>
      <w:r>
        <w:rPr>
          <w:color w:val="231F20"/>
          <w:w w:val="110"/>
        </w:rPr>
        <w:t>encuesta</w:t>
      </w:r>
      <w:r>
        <w:rPr>
          <w:color w:val="231F20"/>
          <w:spacing w:val="-11"/>
          <w:w w:val="110"/>
        </w:rPr>
        <w:t> </w:t>
      </w:r>
      <w:r>
        <w:rPr>
          <w:color w:val="231F20"/>
          <w:w w:val="110"/>
        </w:rPr>
        <w:t>realizada</w:t>
      </w:r>
      <w:r>
        <w:rPr>
          <w:color w:val="231F20"/>
          <w:spacing w:val="-11"/>
          <w:w w:val="110"/>
        </w:rPr>
        <w:t> </w:t>
      </w:r>
      <w:r>
        <w:rPr>
          <w:color w:val="231F20"/>
          <w:w w:val="110"/>
        </w:rPr>
        <w:t>en</w:t>
      </w:r>
      <w:r>
        <w:rPr>
          <w:color w:val="231F20"/>
          <w:spacing w:val="-11"/>
          <w:w w:val="110"/>
        </w:rPr>
        <w:t> </w:t>
      </w:r>
      <w:r>
        <w:rPr>
          <w:color w:val="231F20"/>
          <w:w w:val="110"/>
        </w:rPr>
        <w:t>2005</w:t>
      </w:r>
      <w:r>
        <w:rPr>
          <w:color w:val="231F20"/>
          <w:spacing w:val="-11"/>
          <w:w w:val="110"/>
        </w:rPr>
        <w:t> </w:t>
      </w:r>
      <w:r>
        <w:rPr>
          <w:color w:val="231F20"/>
          <w:w w:val="110"/>
        </w:rPr>
        <w:t>por la</w:t>
      </w:r>
      <w:r>
        <w:rPr>
          <w:color w:val="231F20"/>
          <w:spacing w:val="-19"/>
          <w:w w:val="110"/>
        </w:rPr>
        <w:t> </w:t>
      </w:r>
      <w:r>
        <w:rPr>
          <w:color w:val="231F20"/>
          <w:w w:val="110"/>
        </w:rPr>
        <w:t>Reserva</w:t>
      </w:r>
      <w:r>
        <w:rPr>
          <w:color w:val="231F20"/>
          <w:spacing w:val="-19"/>
          <w:w w:val="110"/>
        </w:rPr>
        <w:t> </w:t>
      </w:r>
      <w:r>
        <w:rPr>
          <w:color w:val="231F20"/>
          <w:w w:val="110"/>
        </w:rPr>
        <w:t>Federal</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se</w:t>
      </w:r>
      <w:r>
        <w:rPr>
          <w:color w:val="231F20"/>
          <w:spacing w:val="-19"/>
          <w:w w:val="110"/>
        </w:rPr>
        <w:t> </w:t>
      </w:r>
      <w:r>
        <w:rPr>
          <w:color w:val="231F20"/>
          <w:w w:val="110"/>
        </w:rPr>
        <w:t>destaca</w:t>
      </w:r>
      <w:r>
        <w:rPr>
          <w:color w:val="231F20"/>
          <w:spacing w:val="-19"/>
          <w:w w:val="110"/>
        </w:rPr>
        <w:t> </w:t>
      </w:r>
      <w:r>
        <w:rPr>
          <w:color w:val="231F20"/>
          <w:w w:val="110"/>
        </w:rPr>
        <w:t>el</w:t>
      </w:r>
      <w:r>
        <w:rPr>
          <w:color w:val="231F20"/>
          <w:spacing w:val="-19"/>
          <w:w w:val="110"/>
        </w:rPr>
        <w:t> </w:t>
      </w:r>
      <w:r>
        <w:rPr>
          <w:color w:val="231F20"/>
          <w:w w:val="110"/>
        </w:rPr>
        <w:t>estancamiento</w:t>
      </w:r>
      <w:r>
        <w:rPr>
          <w:color w:val="231F20"/>
          <w:spacing w:val="-19"/>
          <w:w w:val="110"/>
        </w:rPr>
        <w:t> </w:t>
      </w:r>
      <w:r>
        <w:rPr>
          <w:color w:val="231F20"/>
          <w:w w:val="110"/>
        </w:rPr>
        <w:t>del ingreso de la familia media estadunidense en los primeros años del presente</w:t>
      </w:r>
      <w:r>
        <w:rPr>
          <w:color w:val="231F20"/>
          <w:spacing w:val="-5"/>
          <w:w w:val="110"/>
        </w:rPr>
        <w:t> </w:t>
      </w:r>
      <w:r>
        <w:rPr>
          <w:color w:val="231F20"/>
          <w:w w:val="110"/>
        </w:rPr>
        <w:t>decenio.</w:t>
      </w:r>
      <w:r>
        <w:rPr>
          <w:color w:val="231F20"/>
          <w:spacing w:val="-5"/>
          <w:w w:val="110"/>
        </w:rPr>
        <w:t> </w:t>
      </w:r>
      <w:r>
        <w:rPr>
          <w:color w:val="231F20"/>
          <w:w w:val="110"/>
        </w:rPr>
        <w:t>En</w:t>
      </w:r>
      <w:r>
        <w:rPr>
          <w:color w:val="231F20"/>
          <w:spacing w:val="-5"/>
          <w:w w:val="110"/>
        </w:rPr>
        <w:t> </w:t>
      </w:r>
      <w:r>
        <w:rPr>
          <w:color w:val="231F20"/>
          <w:w w:val="110"/>
        </w:rPr>
        <w:t>contraste,</w:t>
      </w:r>
      <w:r>
        <w:rPr>
          <w:color w:val="231F20"/>
          <w:spacing w:val="-5"/>
          <w:w w:val="110"/>
        </w:rPr>
        <w:t> </w:t>
      </w:r>
      <w:r>
        <w:rPr>
          <w:color w:val="231F20"/>
          <w:w w:val="110"/>
        </w:rPr>
        <w:t>los</w:t>
      </w:r>
      <w:r>
        <w:rPr>
          <w:color w:val="231F20"/>
          <w:spacing w:val="-5"/>
          <w:w w:val="110"/>
        </w:rPr>
        <w:t> </w:t>
      </w:r>
      <w:r>
        <w:rPr>
          <w:color w:val="231F20"/>
          <w:w w:val="110"/>
        </w:rPr>
        <w:t>ingresos</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familias</w:t>
      </w:r>
      <w:r>
        <w:rPr>
          <w:color w:val="231F20"/>
          <w:spacing w:val="-5"/>
          <w:w w:val="110"/>
        </w:rPr>
        <w:t> </w:t>
      </w:r>
      <w:r>
        <w:rPr>
          <w:color w:val="231F20"/>
          <w:w w:val="110"/>
        </w:rPr>
        <w:t>del</w:t>
      </w:r>
      <w:r>
        <w:rPr>
          <w:color w:val="231F20"/>
          <w:spacing w:val="-5"/>
          <w:w w:val="110"/>
        </w:rPr>
        <w:t> </w:t>
      </w:r>
      <w:r>
        <w:rPr>
          <w:color w:val="231F20"/>
          <w:w w:val="110"/>
        </w:rPr>
        <w:t>rango superior (más ricas) crecieron en un 20 por  </w:t>
      </w:r>
      <w:r>
        <w:rPr>
          <w:color w:val="231F20"/>
          <w:spacing w:val="25"/>
          <w:w w:val="110"/>
        </w:rPr>
        <w:t> </w:t>
      </w:r>
      <w:r>
        <w:rPr>
          <w:color w:val="231F20"/>
          <w:w w:val="110"/>
        </w:rPr>
        <w:t>ciento.</w:t>
      </w:r>
    </w:p>
    <w:p>
      <w:pPr>
        <w:pStyle w:val="BodyText"/>
        <w:spacing w:line="261" w:lineRule="auto"/>
        <w:ind w:left="100" w:right="117" w:firstLine="240"/>
        <w:jc w:val="both"/>
      </w:pPr>
      <w:r>
        <w:rPr>
          <w:color w:val="231F20"/>
          <w:w w:val="110"/>
        </w:rPr>
        <w:t>Cuando</w:t>
      </w:r>
      <w:r>
        <w:rPr>
          <w:color w:val="231F20"/>
          <w:spacing w:val="-9"/>
          <w:w w:val="110"/>
        </w:rPr>
        <w:t> </w:t>
      </w:r>
      <w:r>
        <w:rPr>
          <w:color w:val="231F20"/>
          <w:w w:val="110"/>
        </w:rPr>
        <w:t>se</w:t>
      </w:r>
      <w:r>
        <w:rPr>
          <w:color w:val="231F20"/>
          <w:spacing w:val="-9"/>
          <w:w w:val="110"/>
        </w:rPr>
        <w:t> </w:t>
      </w:r>
      <w:r>
        <w:rPr>
          <w:color w:val="231F20"/>
          <w:w w:val="110"/>
        </w:rPr>
        <w:t>analizan</w:t>
      </w:r>
      <w:r>
        <w:rPr>
          <w:color w:val="231F20"/>
          <w:spacing w:val="-9"/>
          <w:w w:val="110"/>
        </w:rPr>
        <w:t> </w:t>
      </w:r>
      <w:r>
        <w:rPr>
          <w:color w:val="231F20"/>
          <w:w w:val="110"/>
        </w:rPr>
        <w:t>los</w:t>
      </w:r>
      <w:r>
        <w:rPr>
          <w:color w:val="231F20"/>
          <w:spacing w:val="-9"/>
          <w:w w:val="110"/>
        </w:rPr>
        <w:t> </w:t>
      </w:r>
      <w:r>
        <w:rPr>
          <w:color w:val="231F20"/>
          <w:w w:val="110"/>
        </w:rPr>
        <w:t>datos</w:t>
      </w:r>
      <w:r>
        <w:rPr>
          <w:color w:val="231F20"/>
          <w:spacing w:val="-9"/>
          <w:w w:val="110"/>
        </w:rPr>
        <w:t> </w:t>
      </w:r>
      <w:r>
        <w:rPr>
          <w:color w:val="231F20"/>
          <w:w w:val="110"/>
        </w:rPr>
        <w:t>correspondientes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riqueza</w:t>
      </w:r>
      <w:r>
        <w:rPr>
          <w:color w:val="231F20"/>
          <w:spacing w:val="-9"/>
          <w:w w:val="110"/>
        </w:rPr>
        <w:t> </w:t>
      </w:r>
      <w:r>
        <w:rPr>
          <w:color w:val="231F20"/>
          <w:w w:val="110"/>
        </w:rPr>
        <w:t>neta</w:t>
      </w:r>
      <w:r>
        <w:rPr>
          <w:color w:val="231F20"/>
          <w:spacing w:val="-9"/>
          <w:w w:val="110"/>
        </w:rPr>
        <w:t> </w:t>
      </w:r>
      <w:r>
        <w:rPr>
          <w:color w:val="231F20"/>
          <w:w w:val="110"/>
        </w:rPr>
        <w:t>de las familias se presenta otra realidad. La riqueza de la familia media de Estados Unidos creció en 30% entre 1998 y 2007. ¿Cómo se ex- plica</w:t>
      </w:r>
      <w:r>
        <w:rPr>
          <w:color w:val="231F20"/>
          <w:spacing w:val="-12"/>
          <w:w w:val="110"/>
        </w:rPr>
        <w:t> </w:t>
      </w:r>
      <w:r>
        <w:rPr>
          <w:color w:val="231F20"/>
          <w:w w:val="110"/>
        </w:rPr>
        <w:t>que</w:t>
      </w:r>
      <w:r>
        <w:rPr>
          <w:color w:val="231F20"/>
          <w:spacing w:val="-12"/>
          <w:w w:val="110"/>
        </w:rPr>
        <w:t> </w:t>
      </w:r>
      <w:r>
        <w:rPr>
          <w:color w:val="231F20"/>
          <w:w w:val="110"/>
        </w:rPr>
        <w:t>mientras</w:t>
      </w:r>
      <w:r>
        <w:rPr>
          <w:color w:val="231F20"/>
          <w:spacing w:val="-12"/>
          <w:w w:val="110"/>
        </w:rPr>
        <w:t> </w:t>
      </w:r>
      <w:r>
        <w:rPr>
          <w:color w:val="231F20"/>
          <w:w w:val="110"/>
        </w:rPr>
        <w:t>los</w:t>
      </w:r>
      <w:r>
        <w:rPr>
          <w:color w:val="231F20"/>
          <w:spacing w:val="-12"/>
          <w:w w:val="110"/>
        </w:rPr>
        <w:t> </w:t>
      </w:r>
      <w:r>
        <w:rPr>
          <w:color w:val="231F20"/>
          <w:w w:val="110"/>
        </w:rPr>
        <w:t>ingresos</w:t>
      </w:r>
      <w:r>
        <w:rPr>
          <w:color w:val="231F20"/>
          <w:spacing w:val="-12"/>
          <w:w w:val="110"/>
        </w:rPr>
        <w:t> </w:t>
      </w:r>
      <w:r>
        <w:rPr>
          <w:color w:val="231F20"/>
          <w:w w:val="110"/>
        </w:rPr>
        <w:t>de</w:t>
      </w:r>
      <w:r>
        <w:rPr>
          <w:color w:val="231F20"/>
          <w:spacing w:val="-12"/>
          <w:w w:val="110"/>
        </w:rPr>
        <w:t> </w:t>
      </w:r>
      <w:r>
        <w:rPr>
          <w:color w:val="231F20"/>
          <w:w w:val="110"/>
        </w:rPr>
        <w:t>esas</w:t>
      </w:r>
      <w:r>
        <w:rPr>
          <w:color w:val="231F20"/>
          <w:spacing w:val="-12"/>
          <w:w w:val="110"/>
        </w:rPr>
        <w:t> </w:t>
      </w:r>
      <w:r>
        <w:rPr>
          <w:color w:val="231F20"/>
          <w:w w:val="110"/>
        </w:rPr>
        <w:t>familias</w:t>
      </w:r>
      <w:r>
        <w:rPr>
          <w:color w:val="231F20"/>
          <w:spacing w:val="-12"/>
          <w:w w:val="110"/>
        </w:rPr>
        <w:t> </w:t>
      </w:r>
      <w:r>
        <w:rPr>
          <w:color w:val="231F20"/>
          <w:w w:val="110"/>
        </w:rPr>
        <w:t>medias</w:t>
      </w:r>
      <w:r>
        <w:rPr>
          <w:color w:val="231F20"/>
          <w:spacing w:val="-12"/>
          <w:w w:val="110"/>
        </w:rPr>
        <w:t> </w:t>
      </w:r>
      <w:r>
        <w:rPr>
          <w:color w:val="231F20"/>
          <w:w w:val="110"/>
        </w:rPr>
        <w:t>se</w:t>
      </w:r>
      <w:r>
        <w:rPr>
          <w:color w:val="231F20"/>
          <w:spacing w:val="-12"/>
          <w:w w:val="110"/>
        </w:rPr>
        <w:t> </w:t>
      </w:r>
      <w:r>
        <w:rPr>
          <w:color w:val="231F20"/>
          <w:w w:val="110"/>
        </w:rPr>
        <w:t>estancaran, su riqueza creció en 30%? Según Pizzigati (2009), no hay misterio alguno.</w:t>
      </w:r>
      <w:r>
        <w:rPr>
          <w:color w:val="231F20"/>
          <w:spacing w:val="-6"/>
          <w:w w:val="110"/>
        </w:rPr>
        <w:t> </w:t>
      </w:r>
      <w:r>
        <w:rPr>
          <w:color w:val="231F20"/>
          <w:w w:val="110"/>
        </w:rPr>
        <w:t>“Los</w:t>
      </w:r>
      <w:r>
        <w:rPr>
          <w:color w:val="231F20"/>
          <w:spacing w:val="-6"/>
          <w:w w:val="110"/>
        </w:rPr>
        <w:t> </w:t>
      </w:r>
      <w:r>
        <w:rPr>
          <w:color w:val="231F20"/>
          <w:w w:val="110"/>
        </w:rPr>
        <w:t>valores</w:t>
      </w:r>
      <w:r>
        <w:rPr>
          <w:color w:val="231F20"/>
          <w:spacing w:val="-6"/>
          <w:w w:val="110"/>
        </w:rPr>
        <w:t> </w:t>
      </w:r>
      <w:r>
        <w:rPr>
          <w:color w:val="231F20"/>
          <w:w w:val="110"/>
        </w:rPr>
        <w:t>netos</w:t>
      </w:r>
      <w:r>
        <w:rPr>
          <w:color w:val="231F20"/>
          <w:spacing w:val="-6"/>
          <w:w w:val="110"/>
        </w:rPr>
        <w:t> </w:t>
      </w:r>
      <w:r>
        <w:rPr>
          <w:color w:val="231F20"/>
          <w:w w:val="110"/>
        </w:rPr>
        <w:t>crecían,</w:t>
      </w:r>
      <w:r>
        <w:rPr>
          <w:color w:val="231F20"/>
          <w:spacing w:val="-6"/>
          <w:w w:val="110"/>
        </w:rPr>
        <w:t> </w:t>
      </w:r>
      <w:r>
        <w:rPr>
          <w:color w:val="231F20"/>
          <w:w w:val="110"/>
        </w:rPr>
        <w:t>explica</w:t>
      </w:r>
      <w:r>
        <w:rPr>
          <w:color w:val="231F20"/>
          <w:spacing w:val="-6"/>
          <w:w w:val="110"/>
        </w:rPr>
        <w:t> </w:t>
      </w:r>
      <w:r>
        <w:rPr>
          <w:color w:val="231F20"/>
          <w:w w:val="110"/>
        </w:rPr>
        <w:t>Pizzigati,</w:t>
      </w:r>
      <w:r>
        <w:rPr>
          <w:color w:val="231F20"/>
          <w:spacing w:val="-6"/>
          <w:w w:val="110"/>
        </w:rPr>
        <w:t> </w:t>
      </w:r>
      <w:r>
        <w:rPr>
          <w:color w:val="231F20"/>
          <w:w w:val="110"/>
        </w:rPr>
        <w:t>porque</w:t>
      </w:r>
      <w:r>
        <w:rPr>
          <w:color w:val="231F20"/>
          <w:spacing w:val="-6"/>
          <w:w w:val="110"/>
        </w:rPr>
        <w:t> </w:t>
      </w:r>
      <w:r>
        <w:rPr>
          <w:color w:val="231F20"/>
          <w:w w:val="110"/>
        </w:rPr>
        <w:t>el</w:t>
      </w:r>
      <w:r>
        <w:rPr>
          <w:color w:val="231F20"/>
          <w:spacing w:val="-6"/>
          <w:w w:val="110"/>
        </w:rPr>
        <w:t> </w:t>
      </w:r>
      <w:r>
        <w:rPr>
          <w:color w:val="231F20"/>
          <w:w w:val="110"/>
        </w:rPr>
        <w:t>valor de</w:t>
      </w:r>
      <w:r>
        <w:rPr>
          <w:color w:val="231F20"/>
          <w:spacing w:val="-33"/>
          <w:w w:val="110"/>
        </w:rPr>
        <w:t> </w:t>
      </w:r>
      <w:r>
        <w:rPr>
          <w:color w:val="231F20"/>
          <w:w w:val="110"/>
        </w:rPr>
        <w:t>los</w:t>
      </w:r>
      <w:r>
        <w:rPr>
          <w:color w:val="231F20"/>
          <w:spacing w:val="-33"/>
          <w:w w:val="110"/>
        </w:rPr>
        <w:t> </w:t>
      </w:r>
      <w:r>
        <w:rPr>
          <w:color w:val="231F20"/>
          <w:w w:val="110"/>
        </w:rPr>
        <w:t>activos</w:t>
      </w:r>
      <w:r>
        <w:rPr>
          <w:color w:val="231F20"/>
          <w:spacing w:val="-33"/>
          <w:w w:val="110"/>
        </w:rPr>
        <w:t> </w:t>
      </w:r>
      <w:r>
        <w:rPr>
          <w:color w:val="231F20"/>
          <w:w w:val="110"/>
        </w:rPr>
        <w:t>que</w:t>
      </w:r>
      <w:r>
        <w:rPr>
          <w:color w:val="231F20"/>
          <w:spacing w:val="-33"/>
          <w:w w:val="110"/>
        </w:rPr>
        <w:t> </w:t>
      </w:r>
      <w:r>
        <w:rPr>
          <w:color w:val="231F20"/>
          <w:w w:val="110"/>
        </w:rPr>
        <w:t>las</w:t>
      </w:r>
      <w:r>
        <w:rPr>
          <w:color w:val="231F20"/>
          <w:spacing w:val="-33"/>
          <w:w w:val="110"/>
        </w:rPr>
        <w:t> </w:t>
      </w:r>
      <w:r>
        <w:rPr>
          <w:color w:val="231F20"/>
          <w:w w:val="110"/>
        </w:rPr>
        <w:t>familias</w:t>
      </w:r>
      <w:r>
        <w:rPr>
          <w:color w:val="231F20"/>
          <w:spacing w:val="-33"/>
          <w:w w:val="110"/>
        </w:rPr>
        <w:t> </w:t>
      </w:r>
      <w:r>
        <w:rPr>
          <w:color w:val="231F20"/>
          <w:w w:val="110"/>
        </w:rPr>
        <w:t>medias</w:t>
      </w:r>
      <w:r>
        <w:rPr>
          <w:color w:val="231F20"/>
          <w:spacing w:val="-33"/>
          <w:w w:val="110"/>
        </w:rPr>
        <w:t> </w:t>
      </w:r>
      <w:r>
        <w:rPr>
          <w:color w:val="231F20"/>
          <w:w w:val="110"/>
        </w:rPr>
        <w:t>poseían,</w:t>
      </w:r>
      <w:r>
        <w:rPr>
          <w:color w:val="231F20"/>
          <w:spacing w:val="-33"/>
          <w:w w:val="110"/>
        </w:rPr>
        <w:t> </w:t>
      </w:r>
      <w:r>
        <w:rPr>
          <w:color w:val="231F20"/>
          <w:w w:val="110"/>
        </w:rPr>
        <w:t>especialmente</w:t>
      </w:r>
      <w:r>
        <w:rPr>
          <w:color w:val="231F20"/>
          <w:spacing w:val="-33"/>
          <w:w w:val="110"/>
        </w:rPr>
        <w:t> </w:t>
      </w:r>
      <w:r>
        <w:rPr>
          <w:color w:val="231F20"/>
          <w:w w:val="110"/>
        </w:rPr>
        <w:t>viviendas y stocks, se</w:t>
      </w:r>
      <w:r>
        <w:rPr>
          <w:color w:val="231F20"/>
          <w:spacing w:val="-37"/>
          <w:w w:val="110"/>
        </w:rPr>
        <w:t> </w:t>
      </w:r>
      <w:r>
        <w:rPr>
          <w:color w:val="231F20"/>
          <w:w w:val="110"/>
        </w:rPr>
        <w:t>hinchaban”.</w:t>
      </w:r>
    </w:p>
    <w:p>
      <w:pPr>
        <w:pStyle w:val="BodyText"/>
        <w:spacing w:line="261" w:lineRule="auto"/>
        <w:ind w:left="100" w:right="117" w:firstLine="240"/>
        <w:jc w:val="both"/>
      </w:pPr>
      <w:r>
        <w:rPr>
          <w:color w:val="231F20"/>
          <w:w w:val="105"/>
        </w:rPr>
        <w:t>Según el análisis de los resultados de la encuesta del banco central estadunidense (</w:t>
      </w:r>
      <w:r>
        <w:rPr>
          <w:i/>
          <w:color w:val="231F20"/>
          <w:w w:val="105"/>
        </w:rPr>
        <w:t>Federal Reserve</w:t>
      </w:r>
      <w:r>
        <w:rPr>
          <w:color w:val="231F20"/>
          <w:w w:val="105"/>
        </w:rPr>
        <w:t>), “las familias medias podían haberse hecho “más ricas” sobre el papel. Pero los números sobre el papel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no pagan facturas. Solamente los dólares reales pagan facturas y las familias medias, con sus ingresos estancándose, no los tenían”. Para entender lo que pasaba hay que estudiar la manera en que “las fa- milias</w:t>
      </w:r>
      <w:r>
        <w:rPr>
          <w:color w:val="231F20"/>
          <w:spacing w:val="-6"/>
          <w:w w:val="110"/>
        </w:rPr>
        <w:t> </w:t>
      </w:r>
      <w:r>
        <w:rPr>
          <w:color w:val="231F20"/>
          <w:w w:val="110"/>
        </w:rPr>
        <w:t>medias</w:t>
      </w:r>
      <w:r>
        <w:rPr>
          <w:color w:val="231F20"/>
          <w:spacing w:val="-6"/>
          <w:w w:val="110"/>
        </w:rPr>
        <w:t> </w:t>
      </w:r>
      <w:r>
        <w:rPr>
          <w:color w:val="231F20"/>
          <w:w w:val="110"/>
        </w:rPr>
        <w:t>tomaron</w:t>
      </w:r>
      <w:r>
        <w:rPr>
          <w:color w:val="231F20"/>
          <w:spacing w:val="-6"/>
          <w:w w:val="110"/>
        </w:rPr>
        <w:t> </w:t>
      </w:r>
      <w:r>
        <w:rPr>
          <w:color w:val="231F20"/>
          <w:w w:val="110"/>
        </w:rPr>
        <w:t>prestado</w:t>
      </w:r>
      <w:r>
        <w:rPr>
          <w:color w:val="231F20"/>
          <w:spacing w:val="-6"/>
          <w:w w:val="110"/>
        </w:rPr>
        <w:t> </w:t>
      </w:r>
      <w:r>
        <w:rPr>
          <w:color w:val="231F20"/>
          <w:w w:val="110"/>
        </w:rPr>
        <w:t>a</w:t>
      </w:r>
      <w:r>
        <w:rPr>
          <w:color w:val="231F20"/>
          <w:spacing w:val="-6"/>
          <w:w w:val="110"/>
        </w:rPr>
        <w:t> </w:t>
      </w:r>
      <w:r>
        <w:rPr>
          <w:color w:val="231F20"/>
          <w:w w:val="110"/>
        </w:rPr>
        <w:t>niveles</w:t>
      </w:r>
      <w:r>
        <w:rPr>
          <w:color w:val="231F20"/>
          <w:spacing w:val="-6"/>
          <w:w w:val="110"/>
        </w:rPr>
        <w:t> </w:t>
      </w:r>
      <w:r>
        <w:rPr>
          <w:color w:val="231F20"/>
          <w:w w:val="110"/>
        </w:rPr>
        <w:t>récord,</w:t>
      </w:r>
      <w:r>
        <w:rPr>
          <w:color w:val="231F20"/>
          <w:spacing w:val="-6"/>
          <w:w w:val="110"/>
        </w:rPr>
        <w:t> </w:t>
      </w:r>
      <w:r>
        <w:rPr>
          <w:color w:val="231F20"/>
          <w:w w:val="110"/>
        </w:rPr>
        <w:t>según</w:t>
      </w:r>
      <w:r>
        <w:rPr>
          <w:color w:val="231F20"/>
          <w:spacing w:val="-6"/>
          <w:w w:val="110"/>
        </w:rPr>
        <w:t> </w:t>
      </w:r>
      <w:r>
        <w:rPr>
          <w:color w:val="231F20"/>
          <w:w w:val="110"/>
        </w:rPr>
        <w:t>muestran</w:t>
      </w:r>
      <w:r>
        <w:rPr>
          <w:color w:val="231F20"/>
          <w:spacing w:val="-6"/>
          <w:w w:val="110"/>
        </w:rPr>
        <w:t> </w:t>
      </w:r>
      <w:r>
        <w:rPr>
          <w:color w:val="231F20"/>
          <w:w w:val="110"/>
        </w:rPr>
        <w:t>los nuevos</w:t>
      </w:r>
      <w:r>
        <w:rPr>
          <w:color w:val="231F20"/>
          <w:spacing w:val="-12"/>
          <w:w w:val="110"/>
        </w:rPr>
        <w:t> </w:t>
      </w:r>
      <w:r>
        <w:rPr>
          <w:color w:val="231F20"/>
          <w:w w:val="110"/>
        </w:rPr>
        <w:t>datos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i/>
          <w:color w:val="231F20"/>
          <w:w w:val="110"/>
        </w:rPr>
        <w:t>Fed</w:t>
      </w:r>
      <w:r>
        <w:rPr>
          <w:color w:val="231F20"/>
          <w:w w:val="110"/>
        </w:rPr>
        <w:t>”.</w:t>
      </w:r>
      <w:r>
        <w:rPr>
          <w:color w:val="231F20"/>
          <w:spacing w:val="-12"/>
          <w:w w:val="110"/>
        </w:rPr>
        <w:t> </w:t>
      </w:r>
      <w:r>
        <w:rPr>
          <w:color w:val="231F20"/>
          <w:w w:val="110"/>
        </w:rPr>
        <w:t>Además,</w:t>
      </w:r>
      <w:r>
        <w:rPr>
          <w:color w:val="231F20"/>
          <w:spacing w:val="-12"/>
          <w:w w:val="110"/>
        </w:rPr>
        <w:t> </w:t>
      </w:r>
      <w:r>
        <w:rPr>
          <w:color w:val="231F20"/>
          <w:w w:val="110"/>
        </w:rPr>
        <w:t>“entre</w:t>
      </w:r>
      <w:r>
        <w:rPr>
          <w:color w:val="231F20"/>
          <w:spacing w:val="-12"/>
          <w:w w:val="110"/>
        </w:rPr>
        <w:t> </w:t>
      </w:r>
      <w:r>
        <w:rPr>
          <w:color w:val="231F20"/>
          <w:w w:val="110"/>
        </w:rPr>
        <w:t>2004</w:t>
      </w:r>
      <w:r>
        <w:rPr>
          <w:color w:val="231F20"/>
          <w:spacing w:val="-12"/>
          <w:w w:val="110"/>
        </w:rPr>
        <w:t> </w:t>
      </w:r>
      <w:r>
        <w:rPr>
          <w:color w:val="231F20"/>
          <w:w w:val="110"/>
        </w:rPr>
        <w:t>y</w:t>
      </w:r>
      <w:r>
        <w:rPr>
          <w:color w:val="231F20"/>
          <w:spacing w:val="-12"/>
          <w:w w:val="110"/>
        </w:rPr>
        <w:t> </w:t>
      </w:r>
      <w:r>
        <w:rPr>
          <w:color w:val="231F20"/>
          <w:w w:val="110"/>
        </w:rPr>
        <w:t>2007,</w:t>
      </w:r>
      <w:r>
        <w:rPr>
          <w:color w:val="231F20"/>
          <w:spacing w:val="-12"/>
          <w:w w:val="110"/>
        </w:rPr>
        <w:t> </w:t>
      </w:r>
      <w:r>
        <w:rPr>
          <w:color w:val="231F20"/>
          <w:w w:val="110"/>
        </w:rPr>
        <w:t>el</w:t>
      </w:r>
      <w:r>
        <w:rPr>
          <w:color w:val="231F20"/>
          <w:spacing w:val="-12"/>
          <w:w w:val="110"/>
        </w:rPr>
        <w:t> </w:t>
      </w:r>
      <w:r>
        <w:rPr>
          <w:color w:val="231F20"/>
          <w:w w:val="110"/>
        </w:rPr>
        <w:t>saldo</w:t>
      </w:r>
      <w:r>
        <w:rPr>
          <w:color w:val="231F20"/>
          <w:spacing w:val="-12"/>
          <w:w w:val="110"/>
        </w:rPr>
        <w:t> </w:t>
      </w:r>
      <w:r>
        <w:rPr>
          <w:color w:val="231F20"/>
          <w:w w:val="110"/>
        </w:rPr>
        <w:t>medio no</w:t>
      </w:r>
      <w:r>
        <w:rPr>
          <w:color w:val="231F20"/>
          <w:spacing w:val="-7"/>
          <w:w w:val="110"/>
        </w:rPr>
        <w:t> </w:t>
      </w:r>
      <w:r>
        <w:rPr>
          <w:color w:val="231F20"/>
          <w:w w:val="110"/>
        </w:rPr>
        <w:t>pagado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familias</w:t>
      </w:r>
      <w:r>
        <w:rPr>
          <w:color w:val="231F20"/>
          <w:spacing w:val="-7"/>
          <w:w w:val="110"/>
        </w:rPr>
        <w:t> </w:t>
      </w:r>
      <w:r>
        <w:rPr>
          <w:color w:val="231F20"/>
          <w:w w:val="110"/>
        </w:rPr>
        <w:t>con</w:t>
      </w:r>
      <w:r>
        <w:rPr>
          <w:color w:val="231F20"/>
          <w:spacing w:val="-7"/>
          <w:w w:val="110"/>
        </w:rPr>
        <w:t> </w:t>
      </w:r>
      <w:r>
        <w:rPr>
          <w:color w:val="231F20"/>
          <w:w w:val="110"/>
        </w:rPr>
        <w:t>pasivos</w:t>
      </w:r>
      <w:r>
        <w:rPr>
          <w:color w:val="231F20"/>
          <w:spacing w:val="-7"/>
          <w:w w:val="110"/>
        </w:rPr>
        <w:t> </w:t>
      </w:r>
      <w:r>
        <w:rPr>
          <w:color w:val="231F20"/>
          <w:w w:val="110"/>
        </w:rPr>
        <w:t>en</w:t>
      </w:r>
      <w:r>
        <w:rPr>
          <w:color w:val="231F20"/>
          <w:spacing w:val="-7"/>
          <w:w w:val="110"/>
        </w:rPr>
        <w:t> </w:t>
      </w:r>
      <w:r>
        <w:rPr>
          <w:color w:val="231F20"/>
          <w:w w:val="110"/>
        </w:rPr>
        <w:t>sus</w:t>
      </w:r>
      <w:r>
        <w:rPr>
          <w:color w:val="231F20"/>
          <w:spacing w:val="-7"/>
          <w:w w:val="110"/>
        </w:rPr>
        <w:t> </w:t>
      </w:r>
      <w:r>
        <w:rPr>
          <w:color w:val="231F20"/>
          <w:w w:val="110"/>
        </w:rPr>
        <w:t>tarjetas</w:t>
      </w:r>
      <w:r>
        <w:rPr>
          <w:color w:val="231F20"/>
          <w:spacing w:val="-7"/>
          <w:w w:val="110"/>
        </w:rPr>
        <w:t> </w:t>
      </w:r>
      <w:r>
        <w:rPr>
          <w:color w:val="231F20"/>
          <w:w w:val="110"/>
        </w:rPr>
        <w:t>de</w:t>
      </w:r>
      <w:r>
        <w:rPr>
          <w:color w:val="231F20"/>
          <w:spacing w:val="-7"/>
          <w:w w:val="110"/>
        </w:rPr>
        <w:t> </w:t>
      </w:r>
      <w:r>
        <w:rPr>
          <w:color w:val="231F20"/>
          <w:w w:val="110"/>
        </w:rPr>
        <w:t>crédito</w:t>
      </w:r>
      <w:r>
        <w:rPr>
          <w:color w:val="231F20"/>
          <w:spacing w:val="-7"/>
          <w:w w:val="110"/>
        </w:rPr>
        <w:t> </w:t>
      </w:r>
      <w:r>
        <w:rPr>
          <w:color w:val="231F20"/>
          <w:w w:val="110"/>
        </w:rPr>
        <w:t>subió en un 30 por </w:t>
      </w:r>
      <w:r>
        <w:rPr>
          <w:color w:val="231F20"/>
          <w:spacing w:val="19"/>
          <w:w w:val="110"/>
        </w:rPr>
        <w:t> </w:t>
      </w:r>
      <w:r>
        <w:rPr>
          <w:color w:val="231F20"/>
          <w:w w:val="110"/>
        </w:rPr>
        <w:t>ciento.</w:t>
      </w:r>
    </w:p>
    <w:p>
      <w:pPr>
        <w:pStyle w:val="BodyText"/>
        <w:spacing w:line="261" w:lineRule="auto"/>
        <w:ind w:left="100" w:right="117" w:firstLine="240"/>
        <w:jc w:val="both"/>
      </w:pPr>
      <w:r>
        <w:rPr>
          <w:color w:val="231F20"/>
          <w:w w:val="110"/>
        </w:rPr>
        <w:t>La riqueza neta media de las familias estadunidenses ha descen- dido, según estimaciones de la </w:t>
      </w:r>
      <w:r>
        <w:rPr>
          <w:i/>
          <w:color w:val="231F20"/>
          <w:w w:val="110"/>
        </w:rPr>
        <w:t>Fed</w:t>
      </w:r>
      <w:r>
        <w:rPr>
          <w:color w:val="231F20"/>
          <w:w w:val="110"/>
        </w:rPr>
        <w:t>, en 22.7% desde 2007, más que suficiente para eliminar virtualmente cada dólar de ganancia neta  en riqueza que las familias medias registraron a lo largo del pasado decenio (Pizzigati,</w:t>
      </w:r>
      <w:r>
        <w:rPr>
          <w:color w:val="231F20"/>
          <w:spacing w:val="-23"/>
          <w:w w:val="110"/>
        </w:rPr>
        <w:t> </w:t>
      </w:r>
      <w:r>
        <w:rPr>
          <w:color w:val="231F20"/>
          <w:w w:val="110"/>
        </w:rPr>
        <w:t>2009).</w:t>
      </w:r>
    </w:p>
    <w:p>
      <w:pPr>
        <w:pStyle w:val="BodyText"/>
        <w:spacing w:line="261" w:lineRule="auto"/>
        <w:ind w:left="100" w:right="112" w:firstLine="240"/>
        <w:jc w:val="both"/>
      </w:pPr>
      <w:r>
        <w:rPr>
          <w:color w:val="231F20"/>
          <w:w w:val="110"/>
        </w:rPr>
        <w:t>Mientras que la clase obrera tendía a empobrecerse en los países del “centro”, el freno de los movimientos de liberación nacional y  la oposición a los proyectos nacionales autónomos impidió la incor- poración de los trabajadores de la periferia al sistema capitalista. Carcanholo diría, rescatando la noción de Ruy Mauro Marini, que</w:t>
      </w:r>
      <w:r>
        <w:rPr>
          <w:color w:val="231F20"/>
          <w:spacing w:val="-15"/>
          <w:w w:val="110"/>
        </w:rPr>
        <w:t> </w:t>
      </w:r>
      <w:r>
        <w:rPr>
          <w:color w:val="231F20"/>
          <w:w w:val="110"/>
        </w:rPr>
        <w:t>la “superexplotación”</w:t>
      </w:r>
      <w:r>
        <w:rPr>
          <w:color w:val="231F20"/>
          <w:spacing w:val="-10"/>
          <w:w w:val="110"/>
        </w:rPr>
        <w:t> </w:t>
      </w:r>
      <w:r>
        <w:rPr>
          <w:color w:val="231F20"/>
          <w:w w:val="110"/>
        </w:rPr>
        <w:t>se</w:t>
      </w:r>
      <w:r>
        <w:rPr>
          <w:color w:val="231F20"/>
          <w:spacing w:val="-10"/>
          <w:w w:val="110"/>
        </w:rPr>
        <w:t> </w:t>
      </w:r>
      <w:r>
        <w:rPr>
          <w:color w:val="231F20"/>
          <w:w w:val="110"/>
        </w:rPr>
        <w:t>extendió</w:t>
      </w:r>
      <w:r>
        <w:rPr>
          <w:color w:val="231F20"/>
          <w:spacing w:val="-10"/>
          <w:w w:val="110"/>
        </w:rPr>
        <w:t> </w:t>
      </w:r>
      <w:r>
        <w:rPr>
          <w:color w:val="231F20"/>
          <w:w w:val="110"/>
        </w:rPr>
        <w:t>a</w:t>
      </w:r>
      <w:r>
        <w:rPr>
          <w:color w:val="231F20"/>
          <w:spacing w:val="-10"/>
          <w:w w:val="110"/>
        </w:rPr>
        <w:t> </w:t>
      </w:r>
      <w:r>
        <w:rPr>
          <w:color w:val="231F20"/>
          <w:w w:val="110"/>
        </w:rPr>
        <w:t>80%</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trabajadores</w:t>
      </w:r>
      <w:r>
        <w:rPr>
          <w:color w:val="231F20"/>
          <w:spacing w:val="-10"/>
          <w:w w:val="110"/>
        </w:rPr>
        <w:t> </w:t>
      </w:r>
      <w:r>
        <w:rPr>
          <w:color w:val="231F20"/>
          <w:w w:val="110"/>
        </w:rPr>
        <w:t>del</w:t>
      </w:r>
      <w:r>
        <w:rPr>
          <w:color w:val="231F20"/>
          <w:spacing w:val="-10"/>
          <w:w w:val="110"/>
        </w:rPr>
        <w:t> </w:t>
      </w:r>
      <w:r>
        <w:rPr>
          <w:color w:val="231F20"/>
          <w:w w:val="110"/>
        </w:rPr>
        <w:t>planeta (Chesnais y Duménil,</w:t>
      </w:r>
      <w:r>
        <w:rPr>
          <w:color w:val="231F20"/>
          <w:spacing w:val="-21"/>
          <w:w w:val="110"/>
        </w:rPr>
        <w:t> </w:t>
      </w:r>
      <w:r>
        <w:rPr>
          <w:color w:val="231F20"/>
          <w:w w:val="110"/>
        </w:rPr>
        <w:t>2004).</w:t>
      </w:r>
    </w:p>
    <w:p>
      <w:pPr>
        <w:pStyle w:val="BodyText"/>
        <w:spacing w:line="261" w:lineRule="auto"/>
        <w:ind w:left="100" w:right="116" w:firstLine="240"/>
        <w:jc w:val="both"/>
      </w:pPr>
      <w:r>
        <w:rPr>
          <w:color w:val="231F20"/>
          <w:w w:val="110"/>
        </w:rPr>
        <w:t>Según Amin (2008), antaño, un país emergente podía retener     su parte de los recursos sin amenazar los privilegios de los países ricos. Pero hoy día ya no es el caso. La población de los países opu- lentos —15% de la población del planeta— acapara para su propio consumo y despilfarro el 85% de los recursos del globo y no puede consentir que unos recién llegados accedan a estos recursos, ya que provocarían graves penurias que pondrían en peligro los niveles de vida</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ricos”.</w:t>
      </w:r>
    </w:p>
    <w:p>
      <w:pPr>
        <w:pStyle w:val="BodyText"/>
        <w:spacing w:line="261" w:lineRule="auto"/>
        <w:ind w:left="100" w:right="117" w:firstLine="240"/>
        <w:jc w:val="both"/>
      </w:pPr>
      <w:r>
        <w:rPr>
          <w:color w:val="231F20"/>
          <w:w w:val="110"/>
        </w:rPr>
        <w:t>Amín</w:t>
      </w:r>
      <w:r>
        <w:rPr>
          <w:color w:val="231F20"/>
          <w:spacing w:val="-9"/>
          <w:w w:val="110"/>
        </w:rPr>
        <w:t> </w:t>
      </w:r>
      <w:r>
        <w:rPr>
          <w:color w:val="231F20"/>
          <w:w w:val="110"/>
        </w:rPr>
        <w:t>agrega</w:t>
      </w:r>
      <w:r>
        <w:rPr>
          <w:color w:val="231F20"/>
          <w:spacing w:val="-9"/>
          <w:w w:val="110"/>
        </w:rPr>
        <w:t> </w:t>
      </w:r>
      <w:r>
        <w:rPr>
          <w:color w:val="231F20"/>
          <w:w w:val="110"/>
        </w:rPr>
        <w:t>que</w:t>
      </w:r>
      <w:r>
        <w:rPr>
          <w:color w:val="231F20"/>
          <w:spacing w:val="-9"/>
          <w:w w:val="110"/>
        </w:rPr>
        <w:t> </w:t>
      </w:r>
      <w:r>
        <w:rPr>
          <w:color w:val="231F20"/>
          <w:w w:val="110"/>
        </w:rPr>
        <w:t>“si</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se</w:t>
      </w:r>
      <w:r>
        <w:rPr>
          <w:color w:val="231F20"/>
          <w:spacing w:val="-9"/>
          <w:w w:val="110"/>
        </w:rPr>
        <w:t> </w:t>
      </w:r>
      <w:r>
        <w:rPr>
          <w:color w:val="231F20"/>
          <w:w w:val="110"/>
        </w:rPr>
        <w:t>ha</w:t>
      </w:r>
      <w:r>
        <w:rPr>
          <w:color w:val="231F20"/>
          <w:spacing w:val="-9"/>
          <w:w w:val="110"/>
        </w:rPr>
        <w:t> </w:t>
      </w:r>
      <w:r>
        <w:rPr>
          <w:color w:val="231F20"/>
          <w:w w:val="110"/>
        </w:rPr>
        <w:t>fijado</w:t>
      </w:r>
      <w:r>
        <w:rPr>
          <w:color w:val="231F20"/>
          <w:spacing w:val="-9"/>
          <w:w w:val="110"/>
        </w:rPr>
        <w:t> </w:t>
      </w:r>
      <w:r>
        <w:rPr>
          <w:color w:val="231F20"/>
          <w:w w:val="110"/>
        </w:rPr>
        <w:t>como</w:t>
      </w:r>
      <w:r>
        <w:rPr>
          <w:color w:val="231F20"/>
          <w:spacing w:val="-9"/>
          <w:w w:val="110"/>
        </w:rPr>
        <w:t> </w:t>
      </w:r>
      <w:r>
        <w:rPr>
          <w:color w:val="231F20"/>
          <w:w w:val="110"/>
        </w:rPr>
        <w:t>objetivo</w:t>
      </w:r>
      <w:r>
        <w:rPr>
          <w:color w:val="231F20"/>
          <w:spacing w:val="-9"/>
          <w:w w:val="110"/>
        </w:rPr>
        <w:t> </w:t>
      </w:r>
      <w:r>
        <w:rPr>
          <w:color w:val="231F20"/>
          <w:w w:val="110"/>
        </w:rPr>
        <w:t>el control militar del planeta es porque saben que sin ese control no pueden asegurarse el acceso exclusivo de tales recursos. China, la India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Sur</w:t>
      </w:r>
      <w:r>
        <w:rPr>
          <w:color w:val="231F20"/>
          <w:spacing w:val="-7"/>
          <w:w w:val="110"/>
        </w:rPr>
        <w:t> </w:t>
      </w:r>
      <w:r>
        <w:rPr>
          <w:color w:val="231F20"/>
          <w:w w:val="110"/>
        </w:rPr>
        <w:t>en</w:t>
      </w:r>
      <w:r>
        <w:rPr>
          <w:color w:val="231F20"/>
          <w:spacing w:val="-7"/>
          <w:w w:val="110"/>
        </w:rPr>
        <w:t> </w:t>
      </w:r>
      <w:r>
        <w:rPr>
          <w:color w:val="231F20"/>
          <w:w w:val="110"/>
        </w:rPr>
        <w:t>su</w:t>
      </w:r>
      <w:r>
        <w:rPr>
          <w:color w:val="231F20"/>
          <w:spacing w:val="-7"/>
          <w:w w:val="110"/>
        </w:rPr>
        <w:t> </w:t>
      </w:r>
      <w:r>
        <w:rPr>
          <w:color w:val="231F20"/>
          <w:w w:val="110"/>
        </w:rPr>
        <w:t>conjunto</w:t>
      </w:r>
      <w:r>
        <w:rPr>
          <w:color w:val="231F20"/>
          <w:spacing w:val="-7"/>
          <w:w w:val="110"/>
        </w:rPr>
        <w:t> </w:t>
      </w:r>
      <w:r>
        <w:rPr>
          <w:color w:val="231F20"/>
          <w:w w:val="110"/>
        </w:rPr>
        <w:t>también</w:t>
      </w:r>
      <w:r>
        <w:rPr>
          <w:color w:val="231F20"/>
          <w:spacing w:val="-7"/>
          <w:w w:val="110"/>
        </w:rPr>
        <w:t> </w:t>
      </w:r>
      <w:r>
        <w:rPr>
          <w:color w:val="231F20"/>
          <w:w w:val="110"/>
        </w:rPr>
        <w:t>necesitan</w:t>
      </w:r>
      <w:r>
        <w:rPr>
          <w:color w:val="231F20"/>
          <w:spacing w:val="-7"/>
          <w:w w:val="110"/>
        </w:rPr>
        <w:t> </w:t>
      </w:r>
      <w:r>
        <w:rPr>
          <w:color w:val="231F20"/>
          <w:w w:val="110"/>
        </w:rPr>
        <w:t>esos</w:t>
      </w:r>
      <w:r>
        <w:rPr>
          <w:color w:val="231F20"/>
          <w:spacing w:val="-7"/>
          <w:w w:val="110"/>
        </w:rPr>
        <w:t> </w:t>
      </w:r>
      <w:r>
        <w:rPr>
          <w:color w:val="231F20"/>
          <w:w w:val="110"/>
        </w:rPr>
        <w:t>recursos</w:t>
      </w:r>
      <w:r>
        <w:rPr>
          <w:color w:val="231F20"/>
          <w:spacing w:val="-7"/>
          <w:w w:val="110"/>
        </w:rPr>
        <w:t> </w:t>
      </w:r>
      <w:r>
        <w:rPr>
          <w:color w:val="231F20"/>
          <w:w w:val="110"/>
        </w:rPr>
        <w:t>para</w:t>
      </w:r>
      <w:r>
        <w:rPr>
          <w:color w:val="231F20"/>
          <w:spacing w:val="-7"/>
          <w:w w:val="110"/>
        </w:rPr>
        <w:t> </w:t>
      </w:r>
      <w:r>
        <w:rPr>
          <w:color w:val="231F20"/>
          <w:w w:val="110"/>
        </w:rPr>
        <w:t>su desarrollo. Para Estados Unidos se trata imperativamente de limitar ese acceso </w:t>
      </w:r>
      <w:r>
        <w:rPr>
          <w:color w:val="231F20"/>
          <w:spacing w:val="-8"/>
          <w:w w:val="110"/>
        </w:rPr>
        <w:t>y, </w:t>
      </w:r>
      <w:r>
        <w:rPr>
          <w:color w:val="231F20"/>
          <w:w w:val="110"/>
        </w:rPr>
        <w:t>en última instancia, sólo existe un medio: la guerra”. (Amin,</w:t>
      </w:r>
      <w:r>
        <w:rPr>
          <w:color w:val="231F20"/>
          <w:spacing w:val="-12"/>
          <w:w w:val="110"/>
        </w:rPr>
        <w:t> </w:t>
      </w:r>
      <w:r>
        <w:rPr>
          <w:color w:val="231F20"/>
          <w:w w:val="110"/>
        </w:rPr>
        <w:t>2008).</w:t>
      </w:r>
    </w:p>
    <w:p>
      <w:pPr>
        <w:pStyle w:val="BodyText"/>
        <w:spacing w:line="261" w:lineRule="auto"/>
        <w:ind w:left="100" w:right="117" w:firstLine="240"/>
        <w:jc w:val="both"/>
      </w:pPr>
      <w:r>
        <w:rPr>
          <w:color w:val="231F20"/>
          <w:w w:val="110"/>
        </w:rPr>
        <w:t>Pero no basta con llamar la atención sobre la debacle financiera. Detrás</w:t>
      </w:r>
      <w:r>
        <w:rPr>
          <w:color w:val="231F20"/>
          <w:spacing w:val="-19"/>
          <w:w w:val="110"/>
        </w:rPr>
        <w:t> </w:t>
      </w:r>
      <w:r>
        <w:rPr>
          <w:color w:val="231F20"/>
          <w:w w:val="110"/>
        </w:rPr>
        <w:t>de</w:t>
      </w:r>
      <w:r>
        <w:rPr>
          <w:color w:val="231F20"/>
          <w:spacing w:val="-19"/>
          <w:w w:val="110"/>
        </w:rPr>
        <w:t> </w:t>
      </w:r>
      <w:r>
        <w:rPr>
          <w:color w:val="231F20"/>
          <w:w w:val="110"/>
        </w:rPr>
        <w:t>ella</w:t>
      </w:r>
      <w:r>
        <w:rPr>
          <w:color w:val="231F20"/>
          <w:spacing w:val="-19"/>
          <w:w w:val="110"/>
        </w:rPr>
        <w:t> </w:t>
      </w:r>
      <w:r>
        <w:rPr>
          <w:color w:val="231F20"/>
          <w:w w:val="110"/>
        </w:rPr>
        <w:t>se</w:t>
      </w:r>
      <w:r>
        <w:rPr>
          <w:color w:val="231F20"/>
          <w:spacing w:val="-19"/>
          <w:w w:val="110"/>
        </w:rPr>
        <w:t> </w:t>
      </w:r>
      <w:r>
        <w:rPr>
          <w:color w:val="231F20"/>
          <w:w w:val="110"/>
        </w:rPr>
        <w:t>esboza</w:t>
      </w:r>
      <w:r>
        <w:rPr>
          <w:color w:val="231F20"/>
          <w:spacing w:val="-19"/>
          <w:w w:val="110"/>
        </w:rPr>
        <w:t> </w:t>
      </w:r>
      <w:r>
        <w:rPr>
          <w:color w:val="231F20"/>
          <w:w w:val="110"/>
        </w:rPr>
        <w:t>una</w:t>
      </w:r>
      <w:r>
        <w:rPr>
          <w:color w:val="231F20"/>
          <w:spacing w:val="-19"/>
          <w:w w:val="110"/>
        </w:rPr>
        <w:t> </w:t>
      </w:r>
      <w:r>
        <w:rPr>
          <w:color w:val="231F20"/>
          <w:w w:val="110"/>
        </w:rPr>
        <w:t>crisis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economía</w:t>
      </w:r>
      <w:r>
        <w:rPr>
          <w:color w:val="231F20"/>
          <w:spacing w:val="-19"/>
          <w:w w:val="110"/>
        </w:rPr>
        <w:t> </w:t>
      </w:r>
      <w:r>
        <w:rPr>
          <w:color w:val="231F20"/>
          <w:w w:val="110"/>
        </w:rPr>
        <w:t>real,</w:t>
      </w:r>
      <w:r>
        <w:rPr>
          <w:color w:val="231F20"/>
          <w:spacing w:val="-19"/>
          <w:w w:val="110"/>
        </w:rPr>
        <w:t> </w:t>
      </w:r>
      <w:r>
        <w:rPr>
          <w:color w:val="231F20"/>
          <w:w w:val="110"/>
        </w:rPr>
        <w:t>ya</w:t>
      </w:r>
      <w:r>
        <w:rPr>
          <w:color w:val="231F20"/>
          <w:spacing w:val="-19"/>
          <w:w w:val="110"/>
        </w:rPr>
        <w:t> </w:t>
      </w:r>
      <w:r>
        <w:rPr>
          <w:color w:val="231F20"/>
          <w:w w:val="110"/>
        </w:rPr>
        <w:t>que</w:t>
      </w:r>
      <w:r>
        <w:rPr>
          <w:color w:val="231F20"/>
          <w:spacing w:val="-19"/>
          <w:w w:val="110"/>
        </w:rPr>
        <w:t> </w:t>
      </w:r>
      <w:r>
        <w:rPr>
          <w:color w:val="231F20"/>
          <w:w w:val="110"/>
        </w:rPr>
        <w:t>la</w:t>
      </w:r>
      <w:r>
        <w:rPr>
          <w:color w:val="231F20"/>
          <w:spacing w:val="-19"/>
          <w:w w:val="110"/>
        </w:rPr>
        <w:t> </w:t>
      </w:r>
      <w:r>
        <w:rPr>
          <w:color w:val="231F20"/>
          <w:w w:val="110"/>
        </w:rPr>
        <w:t>actual deriva</w:t>
      </w:r>
      <w:r>
        <w:rPr>
          <w:color w:val="231F20"/>
          <w:spacing w:val="-10"/>
          <w:w w:val="110"/>
        </w:rPr>
        <w:t> </w:t>
      </w:r>
      <w:r>
        <w:rPr>
          <w:color w:val="231F20"/>
          <w:w w:val="110"/>
        </w:rPr>
        <w:t>financiera</w:t>
      </w:r>
      <w:r>
        <w:rPr>
          <w:color w:val="231F20"/>
          <w:spacing w:val="-10"/>
          <w:w w:val="110"/>
        </w:rPr>
        <w:t> </w:t>
      </w:r>
      <w:r>
        <w:rPr>
          <w:color w:val="231F20"/>
          <w:w w:val="110"/>
        </w:rPr>
        <w:t>va</w:t>
      </w:r>
      <w:r>
        <w:rPr>
          <w:color w:val="231F20"/>
          <w:spacing w:val="-10"/>
          <w:w w:val="110"/>
        </w:rPr>
        <w:t> </w:t>
      </w:r>
      <w:r>
        <w:rPr>
          <w:color w:val="231F20"/>
          <w:w w:val="110"/>
        </w:rPr>
        <w:t>a</w:t>
      </w:r>
      <w:r>
        <w:rPr>
          <w:color w:val="231F20"/>
          <w:spacing w:val="-10"/>
          <w:w w:val="110"/>
        </w:rPr>
        <w:t> </w:t>
      </w:r>
      <w:r>
        <w:rPr>
          <w:color w:val="231F20"/>
          <w:w w:val="110"/>
        </w:rPr>
        <w:t>asfixiar</w:t>
      </w:r>
      <w:r>
        <w:rPr>
          <w:color w:val="231F20"/>
          <w:spacing w:val="-10"/>
          <w:w w:val="110"/>
        </w:rPr>
        <w:t> </w:t>
      </w:r>
      <w:r>
        <w:rPr>
          <w:color w:val="231F20"/>
          <w:w w:val="110"/>
        </w:rPr>
        <w:t>el</w:t>
      </w:r>
      <w:r>
        <w:rPr>
          <w:color w:val="231F20"/>
          <w:spacing w:val="-10"/>
          <w:w w:val="110"/>
        </w:rPr>
        <w:t> </w:t>
      </w:r>
      <w:r>
        <w:rPr>
          <w:color w:val="231F20"/>
          <w:w w:val="110"/>
        </w:rPr>
        <w:t>desarrollo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base</w:t>
      </w:r>
      <w:r>
        <w:rPr>
          <w:color w:val="231F20"/>
          <w:spacing w:val="-10"/>
          <w:w w:val="110"/>
        </w:rPr>
        <w:t> </w:t>
      </w:r>
      <w:r>
        <w:rPr>
          <w:color w:val="231F20"/>
          <w:w w:val="110"/>
        </w:rPr>
        <w:t>productiva.</w:t>
      </w:r>
      <w:r>
        <w:rPr>
          <w:color w:val="231F20"/>
          <w:spacing w:val="-10"/>
          <w:w w:val="110"/>
        </w:rPr>
        <w:t> </w:t>
      </w:r>
      <w:r>
        <w:rPr>
          <w:color w:val="231F20"/>
          <w:w w:val="110"/>
        </w:rPr>
        <w:t>Las soluciones</w:t>
      </w:r>
      <w:r>
        <w:rPr>
          <w:color w:val="231F20"/>
          <w:spacing w:val="-15"/>
          <w:w w:val="110"/>
        </w:rPr>
        <w:t> </w:t>
      </w:r>
      <w:r>
        <w:rPr>
          <w:color w:val="231F20"/>
          <w:w w:val="110"/>
        </w:rPr>
        <w:t>aportadas</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crisis</w:t>
      </w:r>
      <w:r>
        <w:rPr>
          <w:color w:val="231F20"/>
          <w:spacing w:val="-15"/>
          <w:w w:val="110"/>
        </w:rPr>
        <w:t> </w:t>
      </w:r>
      <w:r>
        <w:rPr>
          <w:color w:val="231F20"/>
          <w:w w:val="110"/>
        </w:rPr>
        <w:t>financiera</w:t>
      </w:r>
      <w:r>
        <w:rPr>
          <w:color w:val="231F20"/>
          <w:spacing w:val="-15"/>
          <w:w w:val="110"/>
        </w:rPr>
        <w:t> </w:t>
      </w:r>
      <w:r>
        <w:rPr>
          <w:color w:val="231F20"/>
          <w:w w:val="110"/>
        </w:rPr>
        <w:t>sólo</w:t>
      </w:r>
      <w:r>
        <w:rPr>
          <w:color w:val="231F20"/>
          <w:spacing w:val="-15"/>
          <w:w w:val="110"/>
        </w:rPr>
        <w:t> </w:t>
      </w:r>
      <w:r>
        <w:rPr>
          <w:color w:val="231F20"/>
          <w:w w:val="110"/>
        </w:rPr>
        <w:t>pueden</w:t>
      </w:r>
      <w:r>
        <w:rPr>
          <w:color w:val="231F20"/>
          <w:spacing w:val="-15"/>
          <w:w w:val="110"/>
        </w:rPr>
        <w:t> </w:t>
      </w:r>
      <w:r>
        <w:rPr>
          <w:color w:val="231F20"/>
          <w:w w:val="110"/>
        </w:rPr>
        <w:t>desembocar</w:t>
      </w:r>
      <w:r>
        <w:rPr>
          <w:color w:val="231F20"/>
          <w:spacing w:val="-15"/>
          <w:w w:val="110"/>
        </w:rPr>
        <w:t> </w:t>
      </w:r>
      <w:r>
        <w:rPr>
          <w:color w:val="231F20"/>
          <w:w w:val="110"/>
        </w:rPr>
        <w:t>en una crisis de la economía real, esto es, una estagnación relativa de</w:t>
      </w:r>
      <w:r>
        <w:rPr>
          <w:color w:val="231F20"/>
          <w:spacing w:val="-28"/>
          <w:w w:val="110"/>
        </w:rPr>
        <w:t> </w:t>
      </w:r>
      <w:r>
        <w:rPr>
          <w:color w:val="231F20"/>
          <w:w w:val="110"/>
        </w:rPr>
        <w:t>la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producción y lo que ésta va a acarrear: regresión de los ingresos de</w:t>
      </w:r>
      <w:r>
        <w:rPr>
          <w:color w:val="231F20"/>
          <w:w w:val="114"/>
        </w:rPr>
        <w:t> </w:t>
      </w:r>
      <w:r>
        <w:rPr>
          <w:color w:val="231F20"/>
          <w:w w:val="110"/>
        </w:rPr>
        <w:t>los trabajadores, aumento del paro laboral, alza de la precariedad y empeoramiento de la  pobreza.</w:t>
      </w:r>
    </w:p>
    <w:p>
      <w:pPr>
        <w:pStyle w:val="BodyText"/>
        <w:spacing w:line="261" w:lineRule="auto"/>
        <w:ind w:left="100" w:right="117" w:firstLine="240"/>
        <w:jc w:val="both"/>
      </w:pPr>
      <w:r>
        <w:rPr>
          <w:color w:val="231F20"/>
          <w:w w:val="105"/>
        </w:rPr>
        <w:t>Detrás de esta crisis se perfila a su vez la verdadera crisis estructural sistémica del capitalismo. La continuación del modelo de desarrollo   de la economía real, tal y como lo venimos conociendo, así como el  del consumo que le va emparejado, se ha vuelto, por primera vez en    la historia, una verdadera amenaza para el porvenir de la humanidad    y su existencia sobre el  </w:t>
      </w:r>
      <w:r>
        <w:rPr>
          <w:color w:val="231F20"/>
          <w:spacing w:val="24"/>
          <w:w w:val="105"/>
        </w:rPr>
        <w:t> </w:t>
      </w:r>
      <w:r>
        <w:rPr>
          <w:color w:val="231F20"/>
          <w:w w:val="105"/>
        </w:rPr>
        <w:t>planeta.</w:t>
      </w:r>
    </w:p>
    <w:p>
      <w:pPr>
        <w:pStyle w:val="BodyText"/>
        <w:spacing w:line="261" w:lineRule="auto"/>
        <w:ind w:left="100" w:right="117" w:firstLine="240"/>
        <w:jc w:val="both"/>
      </w:pPr>
      <w:r>
        <w:rPr>
          <w:color w:val="231F20"/>
          <w:w w:val="110"/>
        </w:rPr>
        <w:t>La dimensión mayor de esta crisis sistémica concierne al acceso</w:t>
      </w:r>
      <w:r>
        <w:rPr>
          <w:color w:val="231F20"/>
          <w:spacing w:val="-33"/>
          <w:w w:val="110"/>
        </w:rPr>
        <w:t> </w:t>
      </w:r>
      <w:r>
        <w:rPr>
          <w:color w:val="231F20"/>
          <w:w w:val="110"/>
        </w:rPr>
        <w:t>a los recursos naturales del planeta, que se han vuelto muchísimo más escasos que hace medio siglo. El conflicto Norte-Sur constituye,</w:t>
      </w:r>
      <w:r>
        <w:rPr>
          <w:color w:val="231F20"/>
          <w:spacing w:val="-23"/>
          <w:w w:val="110"/>
        </w:rPr>
        <w:t> </w:t>
      </w:r>
      <w:r>
        <w:rPr>
          <w:color w:val="231F20"/>
          <w:w w:val="110"/>
        </w:rPr>
        <w:t>por lo tanto, el eje central de las luchas y conflictos por </w:t>
      </w:r>
      <w:r>
        <w:rPr>
          <w:color w:val="231F20"/>
          <w:spacing w:val="-3"/>
          <w:w w:val="110"/>
        </w:rPr>
        <w:t>venir. </w:t>
      </w:r>
      <w:r>
        <w:rPr>
          <w:color w:val="231F20"/>
          <w:w w:val="110"/>
        </w:rPr>
        <w:t>El</w:t>
      </w:r>
      <w:r>
        <w:rPr>
          <w:color w:val="231F20"/>
          <w:spacing w:val="-21"/>
          <w:w w:val="110"/>
        </w:rPr>
        <w:t> </w:t>
      </w:r>
      <w:r>
        <w:rPr>
          <w:color w:val="231F20"/>
          <w:w w:val="110"/>
        </w:rPr>
        <w:t>sistema de producción y de consumo-despilfarro existente hace imposible   el acceso a los recursos naturales del globo para la mayoría de los habitantes del planeta, para los pueblos de los países del </w:t>
      </w:r>
      <w:r>
        <w:rPr>
          <w:color w:val="231F20"/>
          <w:spacing w:val="26"/>
          <w:w w:val="110"/>
        </w:rPr>
        <w:t> </w:t>
      </w:r>
      <w:r>
        <w:rPr>
          <w:color w:val="231F20"/>
          <w:spacing w:val="-5"/>
          <w:w w:val="110"/>
        </w:rPr>
        <w:t>Sur.</w:t>
      </w:r>
    </w:p>
    <w:p>
      <w:pPr>
        <w:pStyle w:val="BodyText"/>
      </w:pPr>
    </w:p>
    <w:p>
      <w:pPr>
        <w:pStyle w:val="BodyText"/>
      </w:pPr>
    </w:p>
    <w:p>
      <w:pPr>
        <w:pStyle w:val="BodyText"/>
        <w:spacing w:before="2"/>
        <w:rPr>
          <w:sz w:val="25"/>
        </w:rPr>
      </w:pPr>
    </w:p>
    <w:p>
      <w:pPr>
        <w:pStyle w:val="BodyText"/>
        <w:ind w:left="100"/>
        <w:jc w:val="both"/>
      </w:pPr>
      <w:r>
        <w:rPr>
          <w:color w:val="231F20"/>
          <w:w w:val="115"/>
        </w:rPr>
        <w:t>opciones</w:t>
      </w:r>
    </w:p>
    <w:p>
      <w:pPr>
        <w:pStyle w:val="BodyText"/>
        <w:spacing w:before="5"/>
        <w:rPr>
          <w:sz w:val="23"/>
        </w:rPr>
      </w:pPr>
    </w:p>
    <w:p>
      <w:pPr>
        <w:pStyle w:val="BodyText"/>
        <w:spacing w:line="261" w:lineRule="auto"/>
        <w:ind w:left="100" w:right="119"/>
        <w:jc w:val="both"/>
      </w:pPr>
      <w:r>
        <w:rPr>
          <w:color w:val="231F20"/>
          <w:w w:val="110"/>
        </w:rPr>
        <w:t>La idea de que se había llegado al fin de la historia ha sido abando- nada por los ideólogos más fundamentalistas, incluso Fukuyama.</w:t>
      </w:r>
      <w:r>
        <w:rPr>
          <w:color w:val="231F20"/>
          <w:spacing w:val="-16"/>
          <w:w w:val="110"/>
        </w:rPr>
        <w:t> </w:t>
      </w:r>
      <w:r>
        <w:rPr>
          <w:color w:val="231F20"/>
          <w:w w:val="110"/>
        </w:rPr>
        <w:t>La pregunta</w:t>
      </w:r>
      <w:r>
        <w:rPr>
          <w:color w:val="231F20"/>
          <w:spacing w:val="-16"/>
          <w:w w:val="110"/>
        </w:rPr>
        <w:t> </w:t>
      </w:r>
      <w:r>
        <w:rPr>
          <w:color w:val="231F20"/>
          <w:w w:val="110"/>
        </w:rPr>
        <w:t>que</w:t>
      </w:r>
      <w:r>
        <w:rPr>
          <w:color w:val="231F20"/>
          <w:spacing w:val="-16"/>
          <w:w w:val="110"/>
        </w:rPr>
        <w:t> </w:t>
      </w:r>
      <w:r>
        <w:rPr>
          <w:color w:val="231F20"/>
          <w:w w:val="110"/>
        </w:rPr>
        <w:t>debe</w:t>
      </w:r>
      <w:r>
        <w:rPr>
          <w:color w:val="231F20"/>
          <w:spacing w:val="-16"/>
          <w:w w:val="110"/>
        </w:rPr>
        <w:t> </w:t>
      </w:r>
      <w:r>
        <w:rPr>
          <w:color w:val="231F20"/>
          <w:w w:val="110"/>
        </w:rPr>
        <w:t>contestarse</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vez</w:t>
      </w:r>
      <w:r>
        <w:rPr>
          <w:color w:val="231F20"/>
          <w:spacing w:val="-16"/>
          <w:w w:val="110"/>
        </w:rPr>
        <w:t> </w:t>
      </w:r>
      <w:r>
        <w:rPr>
          <w:color w:val="231F20"/>
          <w:w w:val="110"/>
        </w:rPr>
        <w:t>es</w:t>
      </w:r>
      <w:r>
        <w:rPr>
          <w:color w:val="231F20"/>
          <w:spacing w:val="-16"/>
          <w:w w:val="110"/>
        </w:rPr>
        <w:t> </w:t>
      </w:r>
      <w:r>
        <w:rPr>
          <w:color w:val="231F20"/>
          <w:w w:val="110"/>
        </w:rPr>
        <w:t>¿hacía</w:t>
      </w:r>
      <w:r>
        <w:rPr>
          <w:color w:val="231F20"/>
          <w:spacing w:val="-16"/>
          <w:w w:val="110"/>
        </w:rPr>
        <w:t> </w:t>
      </w:r>
      <w:r>
        <w:rPr>
          <w:color w:val="231F20"/>
          <w:w w:val="110"/>
        </w:rPr>
        <w:t>donde</w:t>
      </w:r>
      <w:r>
        <w:rPr>
          <w:color w:val="231F20"/>
          <w:spacing w:val="-16"/>
          <w:w w:val="110"/>
        </w:rPr>
        <w:t> </w:t>
      </w:r>
      <w:r>
        <w:rPr>
          <w:color w:val="231F20"/>
          <w:w w:val="110"/>
        </w:rPr>
        <w:t>se</w:t>
      </w:r>
      <w:r>
        <w:rPr>
          <w:color w:val="231F20"/>
          <w:spacing w:val="-16"/>
          <w:w w:val="110"/>
        </w:rPr>
        <w:t> </w:t>
      </w:r>
      <w:r>
        <w:rPr>
          <w:color w:val="231F20"/>
          <w:w w:val="110"/>
        </w:rPr>
        <w:t>mueve</w:t>
      </w:r>
      <w:r>
        <w:rPr>
          <w:color w:val="231F20"/>
          <w:spacing w:val="-16"/>
          <w:w w:val="110"/>
        </w:rPr>
        <w:t> </w:t>
      </w:r>
      <w:r>
        <w:rPr>
          <w:color w:val="231F20"/>
          <w:w w:val="110"/>
        </w:rPr>
        <w:t>el mundo</w:t>
      </w:r>
      <w:r>
        <w:rPr>
          <w:color w:val="231F20"/>
          <w:spacing w:val="-8"/>
          <w:w w:val="110"/>
        </w:rPr>
        <w:t> </w:t>
      </w:r>
      <w:r>
        <w:rPr>
          <w:color w:val="231F20"/>
          <w:w w:val="110"/>
        </w:rPr>
        <w:t>y</w:t>
      </w:r>
      <w:r>
        <w:rPr>
          <w:color w:val="231F20"/>
          <w:spacing w:val="-8"/>
          <w:w w:val="110"/>
        </w:rPr>
        <w:t> </w:t>
      </w:r>
      <w:r>
        <w:rPr>
          <w:color w:val="231F20"/>
          <w:w w:val="110"/>
        </w:rPr>
        <w:t>qué</w:t>
      </w:r>
      <w:r>
        <w:rPr>
          <w:color w:val="231F20"/>
          <w:spacing w:val="-8"/>
          <w:w w:val="110"/>
        </w:rPr>
        <w:t> </w:t>
      </w:r>
      <w:r>
        <w:rPr>
          <w:color w:val="231F20"/>
          <w:w w:val="110"/>
        </w:rPr>
        <w:t>dirección</w:t>
      </w:r>
      <w:r>
        <w:rPr>
          <w:color w:val="231F20"/>
          <w:spacing w:val="-8"/>
          <w:w w:val="110"/>
        </w:rPr>
        <w:t> </w:t>
      </w:r>
      <w:r>
        <w:rPr>
          <w:color w:val="231F20"/>
          <w:w w:val="110"/>
        </w:rPr>
        <w:t>han</w:t>
      </w:r>
      <w:r>
        <w:rPr>
          <w:color w:val="231F20"/>
          <w:spacing w:val="-8"/>
          <w:w w:val="110"/>
        </w:rPr>
        <w:t> </w:t>
      </w:r>
      <w:r>
        <w:rPr>
          <w:color w:val="231F20"/>
          <w:w w:val="110"/>
        </w:rPr>
        <w:t>tomado</w:t>
      </w:r>
      <w:r>
        <w:rPr>
          <w:color w:val="231F20"/>
          <w:spacing w:val="-8"/>
          <w:w w:val="110"/>
        </w:rPr>
        <w:t> </w:t>
      </w:r>
      <w:r>
        <w:rPr>
          <w:color w:val="231F20"/>
          <w:w w:val="110"/>
        </w:rPr>
        <w:t>los</w:t>
      </w:r>
      <w:r>
        <w:rPr>
          <w:color w:val="231F20"/>
          <w:spacing w:val="-8"/>
          <w:w w:val="110"/>
        </w:rPr>
        <w:t> </w:t>
      </w:r>
      <w:r>
        <w:rPr>
          <w:color w:val="231F20"/>
          <w:w w:val="110"/>
        </w:rPr>
        <w:t>acontecimientos?</w:t>
      </w:r>
      <w:r>
        <w:rPr>
          <w:color w:val="231F20"/>
          <w:spacing w:val="-8"/>
          <w:w w:val="110"/>
        </w:rPr>
        <w:t> </w:t>
      </w:r>
      <w:r>
        <w:rPr>
          <w:color w:val="231F20"/>
          <w:w w:val="110"/>
        </w:rPr>
        <w:t>Desde</w:t>
      </w:r>
      <w:r>
        <w:rPr>
          <w:color w:val="231F20"/>
          <w:spacing w:val="-8"/>
          <w:w w:val="110"/>
        </w:rPr>
        <w:t> </w:t>
      </w:r>
      <w:r>
        <w:rPr>
          <w:color w:val="231F20"/>
          <w:w w:val="110"/>
        </w:rPr>
        <w:t>hace 20</w:t>
      </w:r>
      <w:r>
        <w:rPr>
          <w:color w:val="231F20"/>
          <w:spacing w:val="-36"/>
          <w:w w:val="110"/>
        </w:rPr>
        <w:t> </w:t>
      </w:r>
      <w:r>
        <w:rPr>
          <w:color w:val="231F20"/>
          <w:w w:val="110"/>
        </w:rPr>
        <w:t>años</w:t>
      </w:r>
      <w:r>
        <w:rPr>
          <w:color w:val="231F20"/>
          <w:spacing w:val="-36"/>
          <w:w w:val="110"/>
        </w:rPr>
        <w:t> </w:t>
      </w:r>
      <w:r>
        <w:rPr>
          <w:color w:val="231F20"/>
          <w:spacing w:val="-3"/>
          <w:w w:val="110"/>
        </w:rPr>
        <w:t>Wallerstein</w:t>
      </w:r>
      <w:r>
        <w:rPr>
          <w:color w:val="231F20"/>
          <w:spacing w:val="-36"/>
          <w:w w:val="110"/>
        </w:rPr>
        <w:t> </w:t>
      </w:r>
      <w:r>
        <w:rPr>
          <w:color w:val="231F20"/>
          <w:w w:val="110"/>
        </w:rPr>
        <w:t>está</w:t>
      </w:r>
      <w:r>
        <w:rPr>
          <w:color w:val="231F20"/>
          <w:spacing w:val="-36"/>
          <w:w w:val="110"/>
        </w:rPr>
        <w:t> </w:t>
      </w:r>
      <w:r>
        <w:rPr>
          <w:color w:val="231F20"/>
          <w:w w:val="110"/>
        </w:rPr>
        <w:t>insistiendo</w:t>
      </w:r>
      <w:r>
        <w:rPr>
          <w:color w:val="231F20"/>
          <w:spacing w:val="-36"/>
          <w:w w:val="110"/>
        </w:rPr>
        <w:t> </w:t>
      </w:r>
      <w:r>
        <w:rPr>
          <w:color w:val="231F20"/>
          <w:w w:val="110"/>
        </w:rPr>
        <w:t>en</w:t>
      </w:r>
      <w:r>
        <w:rPr>
          <w:color w:val="231F20"/>
          <w:spacing w:val="-36"/>
          <w:w w:val="110"/>
        </w:rPr>
        <w:t> </w:t>
      </w:r>
      <w:r>
        <w:rPr>
          <w:color w:val="231F20"/>
          <w:w w:val="110"/>
        </w:rPr>
        <w:t>que</w:t>
      </w:r>
      <w:r>
        <w:rPr>
          <w:color w:val="231F20"/>
          <w:spacing w:val="-36"/>
          <w:w w:val="110"/>
        </w:rPr>
        <w:t> </w:t>
      </w:r>
      <w:r>
        <w:rPr>
          <w:color w:val="231F20"/>
          <w:w w:val="110"/>
        </w:rPr>
        <w:t>el</w:t>
      </w:r>
      <w:r>
        <w:rPr>
          <w:color w:val="231F20"/>
          <w:spacing w:val="-36"/>
          <w:w w:val="110"/>
        </w:rPr>
        <w:t> </w:t>
      </w:r>
      <w:r>
        <w:rPr>
          <w:color w:val="231F20"/>
          <w:w w:val="110"/>
        </w:rPr>
        <w:t>sistema</w:t>
      </w:r>
      <w:r>
        <w:rPr>
          <w:color w:val="231F20"/>
          <w:spacing w:val="-36"/>
          <w:w w:val="110"/>
        </w:rPr>
        <w:t> </w:t>
      </w:r>
      <w:r>
        <w:rPr>
          <w:color w:val="231F20"/>
          <w:w w:val="110"/>
        </w:rPr>
        <w:t>mundo-capitalista colapsará en una o dos generaciones. Pero, a diferencia de </w:t>
      </w:r>
      <w:r>
        <w:rPr>
          <w:color w:val="231F20"/>
          <w:spacing w:val="-2"/>
          <w:w w:val="110"/>
        </w:rPr>
        <w:t>muchos </w:t>
      </w:r>
      <w:r>
        <w:rPr>
          <w:color w:val="231F20"/>
          <w:w w:val="110"/>
        </w:rPr>
        <w:t>otros que creen poseer alguna parte de la verdad, no ofrece una guía para</w:t>
      </w:r>
      <w:r>
        <w:rPr>
          <w:color w:val="231F20"/>
          <w:spacing w:val="-20"/>
          <w:w w:val="110"/>
        </w:rPr>
        <w:t> </w:t>
      </w:r>
      <w:r>
        <w:rPr>
          <w:color w:val="231F20"/>
          <w:w w:val="110"/>
        </w:rPr>
        <w:t>mostrarnos</w:t>
      </w:r>
      <w:r>
        <w:rPr>
          <w:color w:val="231F20"/>
          <w:spacing w:val="-20"/>
          <w:w w:val="110"/>
        </w:rPr>
        <w:t> </w:t>
      </w:r>
      <w:r>
        <w:rPr>
          <w:color w:val="231F20"/>
          <w:w w:val="110"/>
        </w:rPr>
        <w:t>ese</w:t>
      </w:r>
      <w:r>
        <w:rPr>
          <w:color w:val="231F20"/>
          <w:spacing w:val="-20"/>
          <w:w w:val="110"/>
        </w:rPr>
        <w:t> </w:t>
      </w:r>
      <w:r>
        <w:rPr>
          <w:color w:val="231F20"/>
          <w:w w:val="110"/>
        </w:rPr>
        <w:t>futuro,</w:t>
      </w:r>
      <w:r>
        <w:rPr>
          <w:color w:val="231F20"/>
          <w:spacing w:val="-20"/>
          <w:w w:val="110"/>
        </w:rPr>
        <w:t> </w:t>
      </w:r>
      <w:r>
        <w:rPr>
          <w:color w:val="231F20"/>
          <w:w w:val="110"/>
        </w:rPr>
        <w:t>sus</w:t>
      </w:r>
      <w:r>
        <w:rPr>
          <w:color w:val="231F20"/>
          <w:spacing w:val="-20"/>
          <w:w w:val="110"/>
        </w:rPr>
        <w:t> </w:t>
      </w:r>
      <w:r>
        <w:rPr>
          <w:color w:val="231F20"/>
          <w:w w:val="110"/>
        </w:rPr>
        <w:t>conflictos</w:t>
      </w:r>
      <w:r>
        <w:rPr>
          <w:color w:val="231F20"/>
          <w:spacing w:val="-20"/>
          <w:w w:val="110"/>
        </w:rPr>
        <w:t> </w:t>
      </w:r>
      <w:r>
        <w:rPr>
          <w:color w:val="231F20"/>
          <w:w w:val="110"/>
        </w:rPr>
        <w:t>y</w:t>
      </w:r>
      <w:r>
        <w:rPr>
          <w:color w:val="231F20"/>
          <w:spacing w:val="-20"/>
          <w:w w:val="110"/>
        </w:rPr>
        <w:t> </w:t>
      </w:r>
      <w:r>
        <w:rPr>
          <w:color w:val="231F20"/>
          <w:w w:val="110"/>
        </w:rPr>
        <w:t>relaciones</w:t>
      </w:r>
      <w:r>
        <w:rPr>
          <w:color w:val="231F20"/>
          <w:spacing w:val="-20"/>
          <w:w w:val="110"/>
        </w:rPr>
        <w:t> </w:t>
      </w:r>
      <w:r>
        <w:rPr>
          <w:color w:val="231F20"/>
          <w:w w:val="110"/>
        </w:rPr>
        <w:t>sociales.</w:t>
      </w:r>
    </w:p>
    <w:p>
      <w:pPr>
        <w:pStyle w:val="BodyText"/>
        <w:spacing w:line="261" w:lineRule="auto"/>
        <w:ind w:left="100" w:right="117" w:firstLine="240"/>
        <w:jc w:val="both"/>
      </w:pP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actualidad,</w:t>
      </w:r>
      <w:r>
        <w:rPr>
          <w:color w:val="231F20"/>
          <w:spacing w:val="-11"/>
          <w:w w:val="110"/>
        </w:rPr>
        <w:t> </w:t>
      </w:r>
      <w:r>
        <w:rPr>
          <w:color w:val="231F20"/>
          <w:w w:val="110"/>
        </w:rPr>
        <w:t>a</w:t>
      </w:r>
      <w:r>
        <w:rPr>
          <w:color w:val="231F20"/>
          <w:spacing w:val="-11"/>
          <w:w w:val="110"/>
        </w:rPr>
        <w:t> </w:t>
      </w:r>
      <w:r>
        <w:rPr>
          <w:color w:val="231F20"/>
          <w:w w:val="110"/>
        </w:rPr>
        <w:t>diferencia</w:t>
      </w:r>
      <w:r>
        <w:rPr>
          <w:color w:val="231F20"/>
          <w:spacing w:val="-11"/>
          <w:w w:val="110"/>
        </w:rPr>
        <w:t> </w:t>
      </w:r>
      <w:r>
        <w:rPr>
          <w:color w:val="231F20"/>
          <w:w w:val="110"/>
        </w:rPr>
        <w:t>de</w:t>
      </w:r>
      <w:r>
        <w:rPr>
          <w:color w:val="231F20"/>
          <w:spacing w:val="-11"/>
          <w:w w:val="110"/>
        </w:rPr>
        <w:t> </w:t>
      </w:r>
      <w:r>
        <w:rPr>
          <w:color w:val="231F20"/>
          <w:w w:val="110"/>
        </w:rPr>
        <w:t>hace</w:t>
      </w:r>
      <w:r>
        <w:rPr>
          <w:color w:val="231F20"/>
          <w:spacing w:val="-11"/>
          <w:w w:val="110"/>
        </w:rPr>
        <w:t> </w:t>
      </w:r>
      <w:r>
        <w:rPr>
          <w:color w:val="231F20"/>
          <w:w w:val="110"/>
        </w:rPr>
        <w:t>varios</w:t>
      </w:r>
      <w:r>
        <w:rPr>
          <w:color w:val="231F20"/>
          <w:spacing w:val="-11"/>
          <w:w w:val="110"/>
        </w:rPr>
        <w:t> </w:t>
      </w:r>
      <w:r>
        <w:rPr>
          <w:color w:val="231F20"/>
          <w:w w:val="110"/>
        </w:rPr>
        <w:t>lustros,</w:t>
      </w:r>
      <w:r>
        <w:rPr>
          <w:color w:val="231F20"/>
          <w:spacing w:val="-11"/>
          <w:w w:val="110"/>
        </w:rPr>
        <w:t> </w:t>
      </w:r>
      <w:r>
        <w:rPr>
          <w:color w:val="231F20"/>
          <w:w w:val="110"/>
        </w:rPr>
        <w:t>todos</w:t>
      </w:r>
      <w:r>
        <w:rPr>
          <w:color w:val="231F20"/>
          <w:spacing w:val="-11"/>
          <w:w w:val="110"/>
        </w:rPr>
        <w:t> </w:t>
      </w:r>
      <w:r>
        <w:rPr>
          <w:color w:val="231F20"/>
          <w:w w:val="110"/>
        </w:rPr>
        <w:t>estamos conscientes de que la sociedad que conocimos a fines del siglo xx ha colapsado y desaparecido (“sociedad de bienestar”, “socialismo” y “neoliberalismo”). En todos los sectores, en todas las capitales</w:t>
      </w:r>
      <w:r>
        <w:rPr>
          <w:color w:val="231F20"/>
          <w:spacing w:val="-15"/>
          <w:w w:val="110"/>
        </w:rPr>
        <w:t> </w:t>
      </w:r>
      <w:r>
        <w:rPr>
          <w:color w:val="231F20"/>
          <w:w w:val="110"/>
        </w:rPr>
        <w:t>po- líticas, hay un sentido de urgencia de encontrar las soluciones a la crisis. En menor o mayor medida, las propuestas son más o menos radicales. En la medida en que es más lo que se puede perder en     la crisis, son menos las concesiones que están dispuestos a</w:t>
      </w:r>
      <w:r>
        <w:rPr>
          <w:color w:val="231F20"/>
          <w:spacing w:val="-25"/>
          <w:w w:val="110"/>
        </w:rPr>
        <w:t> </w:t>
      </w:r>
      <w:r>
        <w:rPr>
          <w:color w:val="231F20"/>
          <w:w w:val="110"/>
        </w:rPr>
        <w:t>realizar.</w:t>
      </w:r>
    </w:p>
    <w:p>
      <w:pPr>
        <w:pStyle w:val="BodyText"/>
        <w:spacing w:line="261" w:lineRule="auto"/>
        <w:ind w:left="100" w:right="117" w:firstLine="240"/>
        <w:jc w:val="both"/>
      </w:pPr>
      <w:r>
        <w:rPr>
          <w:color w:val="231F20"/>
          <w:w w:val="110"/>
        </w:rPr>
        <w:t>A grandes rasgos, el debate político en torno al desarrollo futuro del capitalismo se ha reducido a cuatro grandes posiciones. En 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5"/>
        <w:jc w:val="both"/>
      </w:pPr>
      <w:r>
        <w:rPr>
          <w:color w:val="231F20"/>
          <w:w w:val="110"/>
        </w:rPr>
        <w:t>sentido ideológico se pueden colocar sobre un continuo que va de los más </w:t>
      </w:r>
      <w:r>
        <w:rPr>
          <w:color w:val="231F20"/>
          <w:spacing w:val="2"/>
          <w:w w:val="110"/>
        </w:rPr>
        <w:t>conservadores </w:t>
      </w:r>
      <w:r>
        <w:rPr>
          <w:color w:val="231F20"/>
          <w:w w:val="110"/>
        </w:rPr>
        <w:t>a lo más favorables cambios. </w:t>
      </w:r>
      <w:r>
        <w:rPr>
          <w:color w:val="231F20"/>
          <w:spacing w:val="-3"/>
          <w:w w:val="110"/>
        </w:rPr>
        <w:t>Todo </w:t>
      </w:r>
      <w:r>
        <w:rPr>
          <w:color w:val="231F20"/>
          <w:w w:val="110"/>
        </w:rPr>
        <w:t>indica, a la vez, que las viejas categorías de izquierda y derecha o las dico- tomías burguesía-proletariado han perdido fuerza en los discursos relativos a las contradicciones que alimentan los cambios a </w:t>
      </w:r>
      <w:r>
        <w:rPr>
          <w:color w:val="231F20"/>
          <w:spacing w:val="2"/>
          <w:w w:val="110"/>
        </w:rPr>
        <w:t>escala </w:t>
      </w:r>
      <w:r>
        <w:rPr>
          <w:color w:val="231F20"/>
          <w:w w:val="110"/>
        </w:rPr>
        <w:t>mundial. Han perdido fuerza en el discurso, no necesariamente en  la</w:t>
      </w:r>
      <w:r>
        <w:rPr>
          <w:color w:val="231F20"/>
          <w:spacing w:val="31"/>
          <w:w w:val="110"/>
        </w:rPr>
        <w:t> </w:t>
      </w:r>
      <w:r>
        <w:rPr>
          <w:color w:val="231F20"/>
          <w:w w:val="110"/>
        </w:rPr>
        <w:t>realidad.</w:t>
      </w:r>
    </w:p>
    <w:p>
      <w:pPr>
        <w:pStyle w:val="BodyText"/>
        <w:spacing w:line="261" w:lineRule="auto"/>
        <w:ind w:left="100" w:right="113" w:firstLine="240"/>
        <w:jc w:val="both"/>
      </w:pPr>
      <w:r>
        <w:rPr>
          <w:color w:val="231F20"/>
          <w:w w:val="110"/>
        </w:rPr>
        <w:t>La pregunta de fondo consiste en plantearse: ¿qué posibilidad tiene el capitalismo contemporáneo para reciclarse? La declinación de la tasa de ganancia y la relación sobreproducción-subconsumo, como se demostró más arriba, desplazó a una creciente masa de ahorros acumulados al sector financiero para buscar fórmulas de reproducción. En un principio, estos capitales que se trasladaban al sector</w:t>
      </w:r>
      <w:r>
        <w:rPr>
          <w:color w:val="231F20"/>
          <w:spacing w:val="-5"/>
          <w:w w:val="110"/>
        </w:rPr>
        <w:t> </w:t>
      </w:r>
      <w:r>
        <w:rPr>
          <w:color w:val="231F20"/>
          <w:w w:val="110"/>
        </w:rPr>
        <w:t>especulativo</w:t>
      </w:r>
      <w:r>
        <w:rPr>
          <w:color w:val="231F20"/>
          <w:spacing w:val="-5"/>
          <w:w w:val="110"/>
        </w:rPr>
        <w:t> </w:t>
      </w:r>
      <w:r>
        <w:rPr>
          <w:color w:val="231F20"/>
          <w:w w:val="110"/>
        </w:rPr>
        <w:t>(no</w:t>
      </w:r>
      <w:r>
        <w:rPr>
          <w:color w:val="231F20"/>
          <w:spacing w:val="-5"/>
          <w:w w:val="110"/>
        </w:rPr>
        <w:t> </w:t>
      </w:r>
      <w:r>
        <w:rPr>
          <w:color w:val="231F20"/>
          <w:w w:val="110"/>
        </w:rPr>
        <w:t>productivo)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economía</w:t>
      </w:r>
      <w:r>
        <w:rPr>
          <w:color w:val="231F20"/>
          <w:spacing w:val="-5"/>
          <w:w w:val="110"/>
        </w:rPr>
        <w:t> </w:t>
      </w:r>
      <w:r>
        <w:rPr>
          <w:color w:val="231F20"/>
          <w:w w:val="110"/>
        </w:rPr>
        <w:t>lograban</w:t>
      </w:r>
      <w:r>
        <w:rPr>
          <w:color w:val="231F20"/>
          <w:spacing w:val="-5"/>
          <w:w w:val="110"/>
        </w:rPr>
        <w:t> </w:t>
      </w:r>
      <w:r>
        <w:rPr>
          <w:color w:val="231F20"/>
          <w:w w:val="110"/>
        </w:rPr>
        <w:t>generar “ganancias” sobre la base de actividades no productivas: transferen- cias</w:t>
      </w:r>
      <w:r>
        <w:rPr>
          <w:color w:val="231F20"/>
          <w:spacing w:val="-28"/>
          <w:w w:val="110"/>
        </w:rPr>
        <w:t> </w:t>
      </w:r>
      <w:r>
        <w:rPr>
          <w:color w:val="231F20"/>
          <w:w w:val="110"/>
        </w:rPr>
        <w:t>de</w:t>
      </w:r>
      <w:r>
        <w:rPr>
          <w:color w:val="231F20"/>
          <w:spacing w:val="-30"/>
          <w:w w:val="110"/>
        </w:rPr>
        <w:t> </w:t>
      </w:r>
      <w:r>
        <w:rPr>
          <w:color w:val="231F20"/>
          <w:w w:val="110"/>
        </w:rPr>
        <w:t>bienes</w:t>
      </w:r>
      <w:r>
        <w:rPr>
          <w:color w:val="231F20"/>
          <w:spacing w:val="-30"/>
          <w:w w:val="110"/>
        </w:rPr>
        <w:t> </w:t>
      </w:r>
      <w:r>
        <w:rPr>
          <w:color w:val="231F20"/>
          <w:w w:val="110"/>
        </w:rPr>
        <w:t>públicos,</w:t>
      </w:r>
      <w:r>
        <w:rPr>
          <w:color w:val="231F20"/>
          <w:spacing w:val="-30"/>
          <w:w w:val="110"/>
        </w:rPr>
        <w:t> </w:t>
      </w:r>
      <w:r>
        <w:rPr>
          <w:color w:val="231F20"/>
          <w:w w:val="110"/>
        </w:rPr>
        <w:t>reducción</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rPr>
        <w:t>masa</w:t>
      </w:r>
      <w:r>
        <w:rPr>
          <w:color w:val="231F20"/>
          <w:spacing w:val="-30"/>
          <w:w w:val="110"/>
        </w:rPr>
        <w:t> </w:t>
      </w:r>
      <w:r>
        <w:rPr>
          <w:color w:val="231F20"/>
          <w:w w:val="110"/>
        </w:rPr>
        <w:t>salarial</w:t>
      </w:r>
      <w:r>
        <w:rPr>
          <w:color w:val="231F20"/>
          <w:spacing w:val="-30"/>
          <w:w w:val="110"/>
        </w:rPr>
        <w:t> </w:t>
      </w:r>
      <w:r>
        <w:rPr>
          <w:color w:val="231F20"/>
          <w:w w:val="110"/>
        </w:rPr>
        <w:t>y</w:t>
      </w:r>
      <w:r>
        <w:rPr>
          <w:color w:val="231F20"/>
          <w:spacing w:val="-30"/>
          <w:w w:val="110"/>
        </w:rPr>
        <w:t> </w:t>
      </w:r>
      <w:r>
        <w:rPr>
          <w:color w:val="231F20"/>
          <w:w w:val="110"/>
        </w:rPr>
        <w:t>la</w:t>
      </w:r>
      <w:r>
        <w:rPr>
          <w:color w:val="231F20"/>
          <w:spacing w:val="-30"/>
          <w:w w:val="110"/>
        </w:rPr>
        <w:t> </w:t>
      </w:r>
      <w:r>
        <w:rPr>
          <w:color w:val="231F20"/>
          <w:w w:val="110"/>
        </w:rPr>
        <w:t>desregulación de actividades</w:t>
      </w:r>
      <w:r>
        <w:rPr>
          <w:color w:val="231F20"/>
          <w:spacing w:val="-35"/>
          <w:w w:val="110"/>
        </w:rPr>
        <w:t> </w:t>
      </w:r>
      <w:r>
        <w:rPr>
          <w:color w:val="231F20"/>
          <w:w w:val="110"/>
        </w:rPr>
        <w:t>económicas.</w:t>
      </w:r>
    </w:p>
    <w:p>
      <w:pPr>
        <w:pStyle w:val="BodyText"/>
        <w:spacing w:line="261" w:lineRule="auto"/>
        <w:ind w:left="100" w:right="112" w:firstLine="240"/>
        <w:jc w:val="both"/>
      </w:pPr>
      <w:r>
        <w:rPr>
          <w:color w:val="231F20"/>
          <w:w w:val="110"/>
        </w:rPr>
        <w:t>Sin embargo, como diría Wallerstein, en la medida en que la posibilidad de externalizar los costos (para mantener los niveles    de ganancia) se hace más difícil, el capital especulativo se ve en la necesidad de recurrir a prácticas cada vez más riesgosas. En</w:t>
      </w:r>
      <w:r>
        <w:rPr>
          <w:color w:val="231F20"/>
          <w:spacing w:val="-23"/>
          <w:w w:val="110"/>
        </w:rPr>
        <w:t> </w:t>
      </w:r>
      <w:r>
        <w:rPr>
          <w:color w:val="231F20"/>
          <w:w w:val="110"/>
        </w:rPr>
        <w:t>algunos casos —la externalización de la industria estadunidense— se logró desde</w:t>
      </w:r>
      <w:r>
        <w:rPr>
          <w:color w:val="231F20"/>
          <w:spacing w:val="-6"/>
          <w:w w:val="110"/>
        </w:rPr>
        <w:t> </w:t>
      </w:r>
      <w:r>
        <w:rPr>
          <w:color w:val="231F20"/>
          <w:w w:val="110"/>
        </w:rPr>
        <w:t>la</w:t>
      </w:r>
      <w:r>
        <w:rPr>
          <w:color w:val="231F20"/>
          <w:spacing w:val="-6"/>
          <w:w w:val="110"/>
        </w:rPr>
        <w:t> </w:t>
      </w:r>
      <w:r>
        <w:rPr>
          <w:color w:val="231F20"/>
          <w:w w:val="110"/>
        </w:rPr>
        <w:t>perspectiva</w:t>
      </w:r>
      <w:r>
        <w:rPr>
          <w:color w:val="231F20"/>
          <w:spacing w:val="-6"/>
          <w:w w:val="110"/>
        </w:rPr>
        <w:t> </w:t>
      </w:r>
      <w:r>
        <w:rPr>
          <w:color w:val="231F20"/>
          <w:w w:val="110"/>
        </w:rPr>
        <w:t>de</w:t>
      </w:r>
      <w:r>
        <w:rPr>
          <w:color w:val="231F20"/>
          <w:spacing w:val="-6"/>
          <w:w w:val="110"/>
        </w:rPr>
        <w:t> </w:t>
      </w:r>
      <w:r>
        <w:rPr>
          <w:color w:val="231F20"/>
          <w:w w:val="110"/>
        </w:rPr>
        <w:t>ingeniería</w:t>
      </w:r>
      <w:r>
        <w:rPr>
          <w:color w:val="231F20"/>
          <w:spacing w:val="-6"/>
          <w:w w:val="110"/>
        </w:rPr>
        <w:t> </w:t>
      </w:r>
      <w:r>
        <w:rPr>
          <w:color w:val="231F20"/>
          <w:w w:val="110"/>
        </w:rPr>
        <w:t>con</w:t>
      </w:r>
      <w:r>
        <w:rPr>
          <w:color w:val="231F20"/>
          <w:spacing w:val="-6"/>
          <w:w w:val="110"/>
        </w:rPr>
        <w:t> </w:t>
      </w:r>
      <w:r>
        <w:rPr>
          <w:color w:val="231F20"/>
          <w:w w:val="110"/>
        </w:rPr>
        <w:t>bastante</w:t>
      </w:r>
      <w:r>
        <w:rPr>
          <w:color w:val="231F20"/>
          <w:spacing w:val="-6"/>
          <w:w w:val="110"/>
        </w:rPr>
        <w:t> </w:t>
      </w:r>
      <w:r>
        <w:rPr>
          <w:color w:val="231F20"/>
          <w:w w:val="110"/>
        </w:rPr>
        <w:t>éxito.</w:t>
      </w:r>
      <w:r>
        <w:rPr>
          <w:color w:val="231F20"/>
          <w:spacing w:val="-6"/>
          <w:w w:val="110"/>
        </w:rPr>
        <w:t> </w:t>
      </w:r>
      <w:r>
        <w:rPr>
          <w:color w:val="231F20"/>
          <w:w w:val="110"/>
        </w:rPr>
        <w:t>En</w:t>
      </w:r>
      <w:r>
        <w:rPr>
          <w:color w:val="231F20"/>
          <w:spacing w:val="-6"/>
          <w:w w:val="110"/>
        </w:rPr>
        <w:t> </w:t>
      </w:r>
      <w:r>
        <w:rPr>
          <w:color w:val="231F20"/>
          <w:w w:val="110"/>
        </w:rPr>
        <w:t>otros,</w:t>
      </w:r>
      <w:r>
        <w:rPr>
          <w:color w:val="231F20"/>
          <w:spacing w:val="-6"/>
          <w:w w:val="110"/>
        </w:rPr>
        <w:t> </w:t>
      </w:r>
      <w:r>
        <w:rPr>
          <w:color w:val="231F20"/>
          <w:w w:val="110"/>
        </w:rPr>
        <w:t>como la creación de un mercado de consumo en África condujo a la quie- bra de todas las economías y la imposición de la informalidad para todos sus</w:t>
      </w:r>
      <w:r>
        <w:rPr>
          <w:color w:val="231F20"/>
          <w:spacing w:val="-4"/>
          <w:w w:val="110"/>
        </w:rPr>
        <w:t> </w:t>
      </w:r>
      <w:r>
        <w:rPr>
          <w:color w:val="231F20"/>
          <w:w w:val="110"/>
        </w:rPr>
        <w:t>trabajadores.</w:t>
      </w:r>
    </w:p>
    <w:p>
      <w:pPr>
        <w:pStyle w:val="BodyText"/>
        <w:spacing w:line="261" w:lineRule="auto"/>
        <w:ind w:left="100" w:right="113" w:firstLine="240"/>
        <w:jc w:val="both"/>
      </w:pPr>
      <w:r>
        <w:rPr>
          <w:color w:val="231F20"/>
          <w:w w:val="105"/>
        </w:rPr>
        <w:t>La crisis hipotecaria de 2007-2008 no sólo es  consecuencia  de unos paquetes mal envueltos, intoxicados e incapaces de reciclarse indefinidamente. El problema  radica  en  que  eran  meros  símbolos  de una crisis mucho más profunda, de una economía improductiva   que generaba excedentes. El estallido de septiembre de 2008  mo- vilizó las fuerzas del </w:t>
      </w:r>
      <w:r>
        <w:rPr>
          <w:i/>
          <w:color w:val="231F20"/>
          <w:w w:val="105"/>
        </w:rPr>
        <w:t>establishment </w:t>
      </w:r>
      <w:r>
        <w:rPr>
          <w:color w:val="231F20"/>
          <w:w w:val="105"/>
        </w:rPr>
        <w:t>estadunidense para enfrentar sus consecuencias. Apenas seis semanas más tarde se realizó la elección popular mediante la cual se desplazó el partido político del </w:t>
      </w:r>
      <w:r>
        <w:rPr>
          <w:color w:val="231F20"/>
          <w:spacing w:val="-3"/>
          <w:w w:val="105"/>
        </w:rPr>
        <w:t>poder, </w:t>
      </w:r>
      <w:r>
        <w:rPr>
          <w:color w:val="231F20"/>
          <w:w w:val="105"/>
        </w:rPr>
        <w:t>responsable de la debacle. En enero de 2009 asumió Barack Obama    la presidencia y sin mayores modificaciones siguió impulsando las mismas políticas fiscales que su </w:t>
      </w:r>
      <w:r>
        <w:rPr>
          <w:color w:val="231F20"/>
          <w:spacing w:val="50"/>
          <w:w w:val="105"/>
        </w:rPr>
        <w:t> </w:t>
      </w:r>
      <w:r>
        <w:rPr>
          <w:color w:val="231F20"/>
          <w:w w:val="105"/>
        </w:rPr>
        <w:t>antecesor.</w:t>
      </w:r>
    </w:p>
    <w:p>
      <w:pPr>
        <w:pStyle w:val="BodyText"/>
        <w:spacing w:line="261" w:lineRule="auto"/>
        <w:ind w:left="100" w:right="117" w:firstLine="240"/>
        <w:jc w:val="both"/>
      </w:pPr>
      <w:r>
        <w:rPr>
          <w:color w:val="231F20"/>
          <w:w w:val="110"/>
        </w:rPr>
        <w:t>Entre las cuatro alternativas propuestas para enfrentar la crisis económica, se destaca precisamente la planteada por el    presidente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Obama. Fue presentada en un código muy propio de la política de Estados Unidos, en la cumbre del G-20 en Londres, el 1 de abril de 2009. La propuesta tiene en cuenta la debacle financiera de los mer- cados y el frenazo de la economía real (que ha generado pérdidas  de empleos continuos desde mediados de 2008). </w:t>
      </w:r>
      <w:r>
        <w:rPr>
          <w:color w:val="231F20"/>
          <w:spacing w:val="-3"/>
          <w:w w:val="110"/>
        </w:rPr>
        <w:t>También </w:t>
      </w:r>
      <w:r>
        <w:rPr>
          <w:color w:val="231F20"/>
          <w:w w:val="110"/>
        </w:rPr>
        <w:t>agudiza  la crisis de hegemonía producto de la crisis de su economía, del de- terioro de su imagen como líder mundial y la pérdida de confianza que proyecta su</w:t>
      </w:r>
      <w:r>
        <w:rPr>
          <w:color w:val="231F20"/>
          <w:spacing w:val="19"/>
          <w:w w:val="110"/>
        </w:rPr>
        <w:t> </w:t>
      </w:r>
      <w:r>
        <w:rPr>
          <w:color w:val="231F20"/>
          <w:w w:val="110"/>
        </w:rPr>
        <w:t>promesa.</w:t>
      </w:r>
    </w:p>
    <w:p>
      <w:pPr>
        <w:pStyle w:val="BodyText"/>
        <w:spacing w:line="261" w:lineRule="auto"/>
        <w:ind w:left="100" w:right="112" w:firstLine="240"/>
        <w:jc w:val="both"/>
        <w:rPr>
          <w:sz w:val="13"/>
        </w:rPr>
      </w:pPr>
      <w:r>
        <w:rPr>
          <w:color w:val="231F20"/>
          <w:w w:val="110"/>
        </w:rPr>
        <w:t>La segunda alternativa presentada por el duo europeo de Sarkosy y Merkel —también en la cumbre de Londres— propone retroceder a prácticas políticas del periodo de reconstrucción de posguerra (1945-1975).</w:t>
      </w:r>
      <w:r>
        <w:rPr>
          <w:color w:val="231F20"/>
          <w:spacing w:val="-13"/>
          <w:w w:val="110"/>
        </w:rPr>
        <w:t> </w:t>
      </w:r>
      <w:r>
        <w:rPr>
          <w:color w:val="231F20"/>
          <w:w w:val="110"/>
        </w:rPr>
        <w:t>Significa</w:t>
      </w:r>
      <w:r>
        <w:rPr>
          <w:color w:val="231F20"/>
          <w:spacing w:val="-13"/>
          <w:w w:val="110"/>
        </w:rPr>
        <w:t> </w:t>
      </w:r>
      <w:r>
        <w:rPr>
          <w:color w:val="231F20"/>
          <w:w w:val="110"/>
        </w:rPr>
        <w:t>colocar</w:t>
      </w:r>
      <w:r>
        <w:rPr>
          <w:color w:val="231F20"/>
          <w:spacing w:val="-13"/>
          <w:w w:val="110"/>
        </w:rPr>
        <w:t> </w:t>
      </w:r>
      <w:r>
        <w:rPr>
          <w:color w:val="231F20"/>
          <w:w w:val="110"/>
        </w:rPr>
        <w:t>nuevamente</w:t>
      </w:r>
      <w:r>
        <w:rPr>
          <w:color w:val="231F20"/>
          <w:spacing w:val="-13"/>
          <w:w w:val="110"/>
        </w:rPr>
        <w:t> </w:t>
      </w:r>
      <w:r>
        <w:rPr>
          <w:color w:val="231F20"/>
          <w:w w:val="110"/>
        </w:rPr>
        <w:t>todos</w:t>
      </w:r>
      <w:r>
        <w:rPr>
          <w:color w:val="231F20"/>
          <w:spacing w:val="-13"/>
          <w:w w:val="110"/>
        </w:rPr>
        <w:t> </w:t>
      </w:r>
      <w:r>
        <w:rPr>
          <w:color w:val="231F20"/>
          <w:w w:val="110"/>
        </w:rPr>
        <w:t>los</w:t>
      </w:r>
      <w:r>
        <w:rPr>
          <w:color w:val="231F20"/>
          <w:spacing w:val="-13"/>
          <w:w w:val="110"/>
        </w:rPr>
        <w:t> </w:t>
      </w:r>
      <w:r>
        <w:rPr>
          <w:color w:val="231F20"/>
          <w:w w:val="110"/>
        </w:rPr>
        <w:t>huevos</w:t>
      </w:r>
      <w:r>
        <w:rPr>
          <w:color w:val="231F20"/>
          <w:spacing w:val="-13"/>
          <w:w w:val="110"/>
        </w:rPr>
        <w:t> </w:t>
      </w:r>
      <w:r>
        <w:rPr>
          <w:color w:val="231F20"/>
          <w:w w:val="110"/>
        </w:rPr>
        <w:t>otra</w:t>
      </w:r>
      <w:r>
        <w:rPr>
          <w:color w:val="231F20"/>
          <w:spacing w:val="-13"/>
          <w:w w:val="110"/>
        </w:rPr>
        <w:t> </w:t>
      </w:r>
      <w:r>
        <w:rPr>
          <w:color w:val="231F20"/>
          <w:w w:val="110"/>
        </w:rPr>
        <w:t>vez en la canasta del desarrollo productivo. La estrategia implica some- ter la economía a la regulación del Estado, mediante la innovación tecnológica y el incremento de la</w:t>
      </w:r>
      <w:r>
        <w:rPr>
          <w:color w:val="231F20"/>
          <w:spacing w:val="39"/>
          <w:w w:val="110"/>
        </w:rPr>
        <w:t> </w:t>
      </w:r>
      <w:r>
        <w:rPr>
          <w:color w:val="231F20"/>
          <w:w w:val="110"/>
        </w:rPr>
        <w:t>productividad.</w:t>
      </w:r>
      <w:r>
        <w:rPr>
          <w:color w:val="231F20"/>
          <w:w w:val="110"/>
          <w:position w:val="6"/>
          <w:sz w:val="13"/>
        </w:rPr>
        <w:t>3</w:t>
      </w:r>
    </w:p>
    <w:p>
      <w:pPr>
        <w:pStyle w:val="BodyText"/>
        <w:spacing w:line="261" w:lineRule="auto"/>
        <w:ind w:left="100" w:right="119" w:firstLine="240"/>
        <w:jc w:val="both"/>
      </w:pPr>
      <w:r>
        <w:rPr>
          <w:color w:val="231F20"/>
          <w:w w:val="110"/>
        </w:rPr>
        <w:t>La tercera alternativa fue anunciada por China poco antes</w:t>
      </w:r>
      <w:r>
        <w:rPr>
          <w:color w:val="231F20"/>
          <w:spacing w:val="27"/>
          <w:w w:val="110"/>
        </w:rPr>
        <w:t> </w:t>
      </w:r>
      <w:r>
        <w:rPr>
          <w:color w:val="231F20"/>
          <w:w w:val="110"/>
        </w:rPr>
        <w:t>de</w:t>
      </w:r>
      <w:r>
        <w:rPr>
          <w:color w:val="231F20"/>
          <w:spacing w:val="21"/>
          <w:w w:val="110"/>
        </w:rPr>
        <w:t> </w:t>
      </w:r>
      <w:r>
        <w:rPr>
          <w:color w:val="231F20"/>
          <w:w w:val="110"/>
        </w:rPr>
        <w:t>la</w:t>
      </w:r>
      <w:r>
        <w:rPr>
          <w:color w:val="231F20"/>
          <w:w w:val="105"/>
        </w:rPr>
        <w:t> </w:t>
      </w:r>
      <w:r>
        <w:rPr>
          <w:color w:val="231F20"/>
          <w:w w:val="110"/>
        </w:rPr>
        <w:t>Cumbre de Londres que consiste en la reingeniería del sistema ca- pitalista mundial. China hace énfasis en la necesidad de reformar el sistema</w:t>
      </w:r>
      <w:r>
        <w:rPr>
          <w:color w:val="231F20"/>
          <w:spacing w:val="-20"/>
          <w:w w:val="110"/>
        </w:rPr>
        <w:t> </w:t>
      </w:r>
      <w:r>
        <w:rPr>
          <w:color w:val="231F20"/>
          <w:w w:val="110"/>
        </w:rPr>
        <w:t>actual</w:t>
      </w:r>
      <w:r>
        <w:rPr>
          <w:color w:val="231F20"/>
          <w:spacing w:val="-20"/>
          <w:w w:val="110"/>
        </w:rPr>
        <w:t> </w:t>
      </w:r>
      <w:r>
        <w:rPr>
          <w:color w:val="231F20"/>
          <w:w w:val="110"/>
        </w:rPr>
        <w:t>que</w:t>
      </w:r>
      <w:r>
        <w:rPr>
          <w:color w:val="231F20"/>
          <w:spacing w:val="-20"/>
          <w:w w:val="110"/>
        </w:rPr>
        <w:t> </w:t>
      </w:r>
      <w:r>
        <w:rPr>
          <w:color w:val="231F20"/>
          <w:w w:val="110"/>
        </w:rPr>
        <w:t>descansa</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“hegemonía”</w:t>
      </w:r>
      <w:r>
        <w:rPr>
          <w:color w:val="231F20"/>
          <w:spacing w:val="-20"/>
          <w:w w:val="110"/>
        </w:rPr>
        <w:t> </w:t>
      </w:r>
      <w:r>
        <w:rPr>
          <w:color w:val="231F20"/>
          <w:w w:val="110"/>
        </w:rPr>
        <w:t>del</w:t>
      </w:r>
      <w:r>
        <w:rPr>
          <w:color w:val="231F20"/>
          <w:spacing w:val="-20"/>
          <w:w w:val="110"/>
        </w:rPr>
        <w:t> </w:t>
      </w:r>
      <w:r>
        <w:rPr>
          <w:color w:val="231F20"/>
          <w:w w:val="110"/>
        </w:rPr>
        <w:t>dólar</w:t>
      </w:r>
      <w:r>
        <w:rPr>
          <w:color w:val="231F20"/>
          <w:spacing w:val="-20"/>
          <w:w w:val="110"/>
        </w:rPr>
        <w:t> </w:t>
      </w:r>
      <w:r>
        <w:rPr>
          <w:color w:val="231F20"/>
          <w:w w:val="110"/>
        </w:rPr>
        <w:t>y</w:t>
      </w:r>
      <w:r>
        <w:rPr>
          <w:color w:val="231F20"/>
          <w:spacing w:val="-20"/>
          <w:w w:val="110"/>
        </w:rPr>
        <w:t> </w:t>
      </w:r>
      <w:r>
        <w:rPr>
          <w:color w:val="231F20"/>
          <w:w w:val="110"/>
        </w:rPr>
        <w:t>el</w:t>
      </w:r>
      <w:r>
        <w:rPr>
          <w:color w:val="231F20"/>
          <w:spacing w:val="-20"/>
          <w:w w:val="110"/>
        </w:rPr>
        <w:t> </w:t>
      </w:r>
      <w:r>
        <w:rPr>
          <w:color w:val="231F20"/>
          <w:w w:val="110"/>
        </w:rPr>
        <w:t>impuesto indirecto que Estados Unidos aplica al resto del </w:t>
      </w:r>
      <w:r>
        <w:rPr>
          <w:color w:val="231F20"/>
          <w:spacing w:val="22"/>
          <w:w w:val="110"/>
        </w:rPr>
        <w:t> </w:t>
      </w:r>
      <w:r>
        <w:rPr>
          <w:color w:val="231F20"/>
          <w:w w:val="110"/>
        </w:rPr>
        <w:t>mundo.</w:t>
      </w:r>
    </w:p>
    <w:p>
      <w:pPr>
        <w:pStyle w:val="BodyText"/>
        <w:spacing w:line="261" w:lineRule="auto"/>
        <w:ind w:left="100" w:right="117" w:firstLine="240"/>
        <w:jc w:val="both"/>
      </w:pPr>
      <w:r>
        <w:rPr>
          <w:color w:val="231F20"/>
          <w:w w:val="110"/>
        </w:rPr>
        <w:t>La cuarta alternativa es la que mucho llaman el “mundo multi- polar” con centros de decisión autónomos, que incorporen a un conjunto</w:t>
      </w:r>
      <w:r>
        <w:rPr>
          <w:color w:val="231F20"/>
          <w:spacing w:val="-7"/>
          <w:w w:val="110"/>
        </w:rPr>
        <w:t> </w:t>
      </w:r>
      <w:r>
        <w:rPr>
          <w:color w:val="231F20"/>
          <w:w w:val="110"/>
        </w:rPr>
        <w:t>de</w:t>
      </w:r>
      <w:r>
        <w:rPr>
          <w:color w:val="231F20"/>
          <w:spacing w:val="-7"/>
          <w:w w:val="110"/>
        </w:rPr>
        <w:t> </w:t>
      </w:r>
      <w:r>
        <w:rPr>
          <w:color w:val="231F20"/>
          <w:w w:val="110"/>
        </w:rPr>
        <w:t>países</w:t>
      </w:r>
      <w:r>
        <w:rPr>
          <w:color w:val="231F20"/>
          <w:spacing w:val="-7"/>
          <w:w w:val="110"/>
        </w:rPr>
        <w:t> </w:t>
      </w:r>
      <w:r>
        <w:rPr>
          <w:color w:val="231F20"/>
          <w:w w:val="110"/>
        </w:rPr>
        <w:t>—tanto</w:t>
      </w:r>
      <w:r>
        <w:rPr>
          <w:color w:val="231F20"/>
          <w:spacing w:val="-7"/>
          <w:w w:val="110"/>
        </w:rPr>
        <w:t> </w:t>
      </w:r>
      <w:r>
        <w:rPr>
          <w:color w:val="231F20"/>
          <w:w w:val="110"/>
        </w:rPr>
        <w:t>del</w:t>
      </w:r>
      <w:r>
        <w:rPr>
          <w:color w:val="231F20"/>
          <w:spacing w:val="-7"/>
          <w:w w:val="110"/>
        </w:rPr>
        <w:t> </w:t>
      </w:r>
      <w:r>
        <w:rPr>
          <w:color w:val="231F20"/>
          <w:w w:val="110"/>
        </w:rPr>
        <w:t>Sur</w:t>
      </w:r>
      <w:r>
        <w:rPr>
          <w:color w:val="231F20"/>
          <w:spacing w:val="-7"/>
          <w:w w:val="110"/>
        </w:rPr>
        <w:t> </w:t>
      </w:r>
      <w:r>
        <w:rPr>
          <w:color w:val="231F20"/>
          <w:w w:val="110"/>
        </w:rPr>
        <w:t>como</w:t>
      </w:r>
      <w:r>
        <w:rPr>
          <w:color w:val="231F20"/>
          <w:spacing w:val="-7"/>
          <w:w w:val="110"/>
        </w:rPr>
        <w:t> </w:t>
      </w:r>
      <w:r>
        <w:rPr>
          <w:color w:val="231F20"/>
          <w:w w:val="110"/>
        </w:rPr>
        <w:t>del</w:t>
      </w:r>
      <w:r>
        <w:rPr>
          <w:color w:val="231F20"/>
          <w:spacing w:val="-7"/>
          <w:w w:val="110"/>
        </w:rPr>
        <w:t> </w:t>
      </w:r>
      <w:r>
        <w:rPr>
          <w:color w:val="231F20"/>
          <w:w w:val="110"/>
        </w:rPr>
        <w:t>Norte—</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procesos de desarrollo de la economía mundial. La cuarta alternativa tiene implicaciones</w:t>
      </w:r>
      <w:r>
        <w:rPr>
          <w:color w:val="231F20"/>
          <w:spacing w:val="-19"/>
          <w:w w:val="110"/>
        </w:rPr>
        <w:t> </w:t>
      </w:r>
      <w:r>
        <w:rPr>
          <w:color w:val="231F20"/>
          <w:w w:val="110"/>
        </w:rPr>
        <w:t>que</w:t>
      </w:r>
      <w:r>
        <w:rPr>
          <w:color w:val="231F20"/>
          <w:spacing w:val="-19"/>
          <w:w w:val="110"/>
        </w:rPr>
        <w:t> </w:t>
      </w:r>
      <w:r>
        <w:rPr>
          <w:color w:val="231F20"/>
          <w:w w:val="110"/>
        </w:rPr>
        <w:t>van</w:t>
      </w:r>
      <w:r>
        <w:rPr>
          <w:color w:val="231F20"/>
          <w:spacing w:val="-19"/>
          <w:w w:val="110"/>
        </w:rPr>
        <w:t> </w:t>
      </w:r>
      <w:r>
        <w:rPr>
          <w:color w:val="231F20"/>
          <w:w w:val="110"/>
        </w:rPr>
        <w:t>mucho</w:t>
      </w:r>
      <w:r>
        <w:rPr>
          <w:color w:val="231F20"/>
          <w:spacing w:val="-19"/>
          <w:w w:val="110"/>
        </w:rPr>
        <w:t> </w:t>
      </w:r>
      <w:r>
        <w:rPr>
          <w:color w:val="231F20"/>
          <w:w w:val="110"/>
        </w:rPr>
        <w:t>más</w:t>
      </w:r>
      <w:r>
        <w:rPr>
          <w:color w:val="231F20"/>
          <w:spacing w:val="-19"/>
          <w:w w:val="110"/>
        </w:rPr>
        <w:t> </w:t>
      </w:r>
      <w:r>
        <w:rPr>
          <w:color w:val="231F20"/>
          <w:w w:val="110"/>
        </w:rPr>
        <w:t>allá</w:t>
      </w:r>
      <w:r>
        <w:rPr>
          <w:color w:val="231F20"/>
          <w:spacing w:val="-19"/>
          <w:w w:val="110"/>
        </w:rPr>
        <w:t> </w:t>
      </w:r>
      <w:r>
        <w:rPr>
          <w:color w:val="231F20"/>
          <w:w w:val="110"/>
        </w:rPr>
        <w:t>de</w:t>
      </w:r>
      <w:r>
        <w:rPr>
          <w:color w:val="231F20"/>
          <w:spacing w:val="-19"/>
          <w:w w:val="110"/>
        </w:rPr>
        <w:t> </w:t>
      </w:r>
      <w:r>
        <w:rPr>
          <w:color w:val="231F20"/>
          <w:w w:val="110"/>
        </w:rPr>
        <w:t>lo</w:t>
      </w:r>
      <w:r>
        <w:rPr>
          <w:color w:val="231F20"/>
          <w:spacing w:val="-19"/>
          <w:w w:val="110"/>
        </w:rPr>
        <w:t> </w:t>
      </w:r>
      <w:r>
        <w:rPr>
          <w:color w:val="231F20"/>
          <w:w w:val="110"/>
        </w:rPr>
        <w:t>económico.</w:t>
      </w:r>
      <w:r>
        <w:rPr>
          <w:color w:val="231F20"/>
          <w:spacing w:val="-19"/>
          <w:w w:val="110"/>
        </w:rPr>
        <w:t> </w:t>
      </w:r>
      <w:r>
        <w:rPr>
          <w:color w:val="231F20"/>
          <w:w w:val="110"/>
        </w:rPr>
        <w:t>Significa</w:t>
      </w:r>
      <w:r>
        <w:rPr>
          <w:color w:val="231F20"/>
          <w:spacing w:val="-19"/>
          <w:w w:val="110"/>
        </w:rPr>
        <w:t> </w:t>
      </w:r>
      <w:r>
        <w:rPr>
          <w:color w:val="231F20"/>
          <w:w w:val="110"/>
        </w:rPr>
        <w:t>que ningún país tendría hegemonía sobre el sistema capitalista mundial y aparecerían un conjunto de centros que estarían en condiciones   de tomar</w:t>
      </w:r>
      <w:r>
        <w:rPr>
          <w:color w:val="231F20"/>
          <w:spacing w:val="15"/>
          <w:w w:val="110"/>
        </w:rPr>
        <w:t> </w:t>
      </w:r>
      <w:r>
        <w:rPr>
          <w:color w:val="231F20"/>
          <w:w w:val="110"/>
        </w:rPr>
        <w:t>decisiones.</w:t>
      </w:r>
    </w:p>
    <w:p>
      <w:pPr>
        <w:pStyle w:val="BodyText"/>
        <w:spacing w:line="261" w:lineRule="auto"/>
        <w:ind w:left="100" w:right="117" w:firstLine="240"/>
        <w:jc w:val="both"/>
      </w:pPr>
      <w:r>
        <w:rPr>
          <w:color w:val="231F20"/>
          <w:w w:val="110"/>
        </w:rPr>
        <w:t>Según</w:t>
      </w:r>
      <w:r>
        <w:rPr>
          <w:color w:val="231F20"/>
          <w:spacing w:val="-6"/>
          <w:w w:val="110"/>
        </w:rPr>
        <w:t> </w:t>
      </w:r>
      <w:r>
        <w:rPr>
          <w:color w:val="231F20"/>
          <w:w w:val="110"/>
        </w:rPr>
        <w:t>Walden</w:t>
      </w:r>
      <w:r>
        <w:rPr>
          <w:color w:val="231F20"/>
          <w:spacing w:val="-6"/>
          <w:w w:val="110"/>
        </w:rPr>
        <w:t> </w:t>
      </w:r>
      <w:r>
        <w:rPr>
          <w:color w:val="231F20"/>
          <w:w w:val="110"/>
        </w:rPr>
        <w:t>Bello,</w:t>
      </w:r>
      <w:r>
        <w:rPr>
          <w:color w:val="231F20"/>
          <w:spacing w:val="-6"/>
          <w:w w:val="110"/>
        </w:rPr>
        <w:t> </w:t>
      </w:r>
      <w:r>
        <w:rPr>
          <w:color w:val="231F20"/>
          <w:w w:val="110"/>
        </w:rPr>
        <w:t>“por</w:t>
      </w:r>
      <w:r>
        <w:rPr>
          <w:color w:val="231F20"/>
          <w:spacing w:val="-6"/>
          <w:w w:val="110"/>
        </w:rPr>
        <w:t> </w:t>
      </w:r>
      <w:r>
        <w:rPr>
          <w:color w:val="231F20"/>
          <w:w w:val="110"/>
        </w:rPr>
        <w:t>cuantiosos</w:t>
      </w:r>
      <w:r>
        <w:rPr>
          <w:color w:val="231F20"/>
          <w:spacing w:val="-6"/>
          <w:w w:val="110"/>
        </w:rPr>
        <w:t> </w:t>
      </w:r>
      <w:r>
        <w:rPr>
          <w:color w:val="231F20"/>
          <w:w w:val="110"/>
        </w:rPr>
        <w:t>que</w:t>
      </w:r>
      <w:r>
        <w:rPr>
          <w:color w:val="231F20"/>
          <w:spacing w:val="-6"/>
          <w:w w:val="110"/>
        </w:rPr>
        <w:t> </w:t>
      </w:r>
      <w:r>
        <w:rPr>
          <w:color w:val="231F20"/>
          <w:w w:val="110"/>
        </w:rPr>
        <w:t>sean</w:t>
      </w:r>
      <w:r>
        <w:rPr>
          <w:color w:val="231F20"/>
          <w:spacing w:val="-6"/>
          <w:w w:val="110"/>
        </w:rPr>
        <w:t> </w:t>
      </w:r>
      <w:r>
        <w:rPr>
          <w:color w:val="231F20"/>
          <w:w w:val="110"/>
        </w:rPr>
        <w:t>los</w:t>
      </w:r>
      <w:r>
        <w:rPr>
          <w:color w:val="231F20"/>
          <w:spacing w:val="-6"/>
          <w:w w:val="110"/>
        </w:rPr>
        <w:t> </w:t>
      </w:r>
      <w:r>
        <w:rPr>
          <w:color w:val="231F20"/>
          <w:w w:val="110"/>
        </w:rPr>
        <w:t>recursos</w:t>
      </w:r>
      <w:r>
        <w:rPr>
          <w:color w:val="231F20"/>
          <w:spacing w:val="-6"/>
          <w:w w:val="110"/>
        </w:rPr>
        <w:t> </w:t>
      </w:r>
      <w:r>
        <w:rPr>
          <w:color w:val="231F20"/>
          <w:w w:val="110"/>
        </w:rPr>
        <w:t>que</w:t>
      </w:r>
      <w:r>
        <w:rPr>
          <w:color w:val="231F20"/>
          <w:spacing w:val="-6"/>
          <w:w w:val="110"/>
        </w:rPr>
        <w:t> </w:t>
      </w:r>
      <w:r>
        <w:rPr>
          <w:color w:val="231F20"/>
          <w:w w:val="110"/>
        </w:rPr>
        <w:t>el G-20</w:t>
      </w:r>
      <w:r>
        <w:rPr>
          <w:color w:val="231F20"/>
          <w:spacing w:val="-7"/>
          <w:w w:val="110"/>
        </w:rPr>
        <w:t> </w:t>
      </w:r>
      <w:r>
        <w:rPr>
          <w:color w:val="231F20"/>
          <w:w w:val="110"/>
        </w:rPr>
        <w:t>(le</w:t>
      </w:r>
      <w:r>
        <w:rPr>
          <w:color w:val="231F20"/>
          <w:spacing w:val="-7"/>
          <w:w w:val="110"/>
        </w:rPr>
        <w:t> </w:t>
      </w:r>
      <w:r>
        <w:rPr>
          <w:color w:val="231F20"/>
          <w:w w:val="110"/>
        </w:rPr>
        <w:t>proporcione)</w:t>
      </w:r>
      <w:r>
        <w:rPr>
          <w:color w:val="231F20"/>
          <w:spacing w:val="-7"/>
          <w:w w:val="110"/>
        </w:rPr>
        <w:t> </w:t>
      </w:r>
      <w:r>
        <w:rPr>
          <w:color w:val="231F20"/>
          <w:w w:val="110"/>
        </w:rPr>
        <w:t>al</w:t>
      </w:r>
      <w:r>
        <w:rPr>
          <w:color w:val="231F20"/>
          <w:spacing w:val="-7"/>
          <w:w w:val="110"/>
        </w:rPr>
        <w:t> </w:t>
      </w:r>
      <w:r>
        <w:rPr>
          <w:color w:val="231F20"/>
          <w:w w:val="110"/>
        </w:rPr>
        <w:t>fmi,</w:t>
      </w:r>
      <w:r>
        <w:rPr>
          <w:color w:val="231F20"/>
          <w:spacing w:val="-7"/>
          <w:w w:val="110"/>
        </w:rPr>
        <w:t> </w:t>
      </w:r>
      <w:r>
        <w:rPr>
          <w:color w:val="231F20"/>
          <w:w w:val="110"/>
        </w:rPr>
        <w:t>un</w:t>
      </w:r>
      <w:r>
        <w:rPr>
          <w:color w:val="231F20"/>
          <w:spacing w:val="-7"/>
          <w:w w:val="110"/>
        </w:rPr>
        <w:t> </w:t>
      </w:r>
      <w:r>
        <w:rPr>
          <w:color w:val="231F20"/>
          <w:w w:val="110"/>
        </w:rPr>
        <w:t>programa</w:t>
      </w:r>
      <w:r>
        <w:rPr>
          <w:color w:val="231F20"/>
          <w:spacing w:val="-7"/>
          <w:w w:val="110"/>
        </w:rPr>
        <w:t> </w:t>
      </w:r>
      <w:r>
        <w:rPr>
          <w:color w:val="231F20"/>
          <w:w w:val="110"/>
        </w:rPr>
        <w:t>de</w:t>
      </w:r>
      <w:r>
        <w:rPr>
          <w:color w:val="231F20"/>
          <w:spacing w:val="-7"/>
          <w:w w:val="110"/>
        </w:rPr>
        <w:t> </w:t>
      </w:r>
      <w:r>
        <w:rPr>
          <w:color w:val="231F20"/>
          <w:w w:val="110"/>
        </w:rPr>
        <w:t>estímulo</w:t>
      </w:r>
      <w:r>
        <w:rPr>
          <w:color w:val="231F20"/>
          <w:spacing w:val="-7"/>
          <w:w w:val="110"/>
        </w:rPr>
        <w:t> </w:t>
      </w:r>
      <w:r>
        <w:rPr>
          <w:color w:val="231F20"/>
          <w:w w:val="110"/>
        </w:rPr>
        <w:t>global</w:t>
      </w:r>
      <w:r>
        <w:rPr>
          <w:color w:val="231F20"/>
          <w:spacing w:val="-7"/>
          <w:w w:val="110"/>
        </w:rPr>
        <w:t> </w:t>
      </w:r>
      <w:r>
        <w:rPr>
          <w:color w:val="231F20"/>
          <w:w w:val="110"/>
        </w:rPr>
        <w:t>gestio- nado por el Fondo resultará muy poco atractivo internacionalmente para sus posibles destinatarios” (Bello, 2009). coha plantea que</w:t>
      </w:r>
      <w:r>
        <w:rPr>
          <w:color w:val="231F20"/>
          <w:spacing w:val="-25"/>
          <w:w w:val="110"/>
        </w:rPr>
        <w:t> </w:t>
      </w:r>
      <w:r>
        <w:rPr>
          <w:color w:val="231F20"/>
          <w:w w:val="110"/>
        </w:rPr>
        <w:t>todo</w:t>
      </w:r>
    </w:p>
    <w:p>
      <w:pPr>
        <w:pStyle w:val="BodyText"/>
      </w:pPr>
    </w:p>
    <w:p>
      <w:pPr>
        <w:pStyle w:val="BodyText"/>
        <w:spacing w:before="2"/>
        <w:rPr>
          <w:sz w:val="26"/>
        </w:rPr>
      </w:pPr>
    </w:p>
    <w:p>
      <w:pPr>
        <w:spacing w:line="261" w:lineRule="auto" w:before="1"/>
        <w:ind w:left="100" w:right="119" w:firstLine="240"/>
        <w:jc w:val="both"/>
        <w:rPr>
          <w:sz w:val="16"/>
        </w:rPr>
      </w:pPr>
      <w:r>
        <w:rPr>
          <w:color w:val="231F20"/>
          <w:w w:val="110"/>
          <w:position w:val="5"/>
          <w:sz w:val="10"/>
        </w:rPr>
        <w:t>3 </w:t>
      </w:r>
      <w:r>
        <w:rPr>
          <w:color w:val="231F20"/>
          <w:w w:val="110"/>
          <w:sz w:val="16"/>
        </w:rPr>
        <w:t>Krätke nos advierte que los econometristas alemanes son muy propensos a ju- gar con los números y las propuestas. Recomienda que se incorpore un curso en las carreras</w:t>
      </w:r>
      <w:r>
        <w:rPr>
          <w:color w:val="231F20"/>
          <w:spacing w:val="-10"/>
          <w:w w:val="110"/>
          <w:sz w:val="16"/>
        </w:rPr>
        <w:t> </w:t>
      </w:r>
      <w:r>
        <w:rPr>
          <w:color w:val="231F20"/>
          <w:w w:val="110"/>
          <w:sz w:val="16"/>
        </w:rPr>
        <w:t>universitarias</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economía</w:t>
      </w:r>
      <w:r>
        <w:rPr>
          <w:color w:val="231F20"/>
          <w:spacing w:val="-10"/>
          <w:w w:val="110"/>
          <w:sz w:val="16"/>
        </w:rPr>
        <w:t> </w:t>
      </w:r>
      <w:r>
        <w:rPr>
          <w:color w:val="231F20"/>
          <w:w w:val="110"/>
          <w:sz w:val="16"/>
        </w:rPr>
        <w:t>sobre</w:t>
      </w:r>
      <w:r>
        <w:rPr>
          <w:color w:val="231F20"/>
          <w:spacing w:val="-10"/>
          <w:w w:val="110"/>
          <w:sz w:val="16"/>
        </w:rPr>
        <w:t> </w:t>
      </w:r>
      <w:r>
        <w:rPr>
          <w:color w:val="231F20"/>
          <w:w w:val="110"/>
          <w:sz w:val="16"/>
        </w:rPr>
        <w:t>cómo</w:t>
      </w:r>
      <w:r>
        <w:rPr>
          <w:color w:val="231F20"/>
          <w:spacing w:val="-10"/>
          <w:w w:val="110"/>
          <w:sz w:val="16"/>
        </w:rPr>
        <w:t> </w:t>
      </w:r>
      <w:r>
        <w:rPr>
          <w:color w:val="231F20"/>
          <w:w w:val="110"/>
          <w:sz w:val="16"/>
        </w:rPr>
        <w:t>las</w:t>
      </w:r>
      <w:r>
        <w:rPr>
          <w:color w:val="231F20"/>
          <w:spacing w:val="-10"/>
          <w:w w:val="110"/>
          <w:sz w:val="16"/>
        </w:rPr>
        <w:t> </w:t>
      </w:r>
      <w:r>
        <w:rPr>
          <w:color w:val="231F20"/>
          <w:w w:val="110"/>
          <w:sz w:val="16"/>
        </w:rPr>
        <w:t>“estadísticas</w:t>
      </w:r>
      <w:r>
        <w:rPr>
          <w:color w:val="231F20"/>
          <w:spacing w:val="-10"/>
          <w:w w:val="110"/>
          <w:sz w:val="16"/>
        </w:rPr>
        <w:t> </w:t>
      </w:r>
      <w:r>
        <w:rPr>
          <w:color w:val="231F20"/>
          <w:w w:val="110"/>
          <w:sz w:val="16"/>
        </w:rPr>
        <w:t>mienten”.</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famoso</w:t>
      </w:r>
    </w:p>
    <w:p>
      <w:pPr>
        <w:spacing w:line="261" w:lineRule="auto" w:before="0"/>
        <w:ind w:left="100" w:right="117" w:firstLine="0"/>
        <w:jc w:val="both"/>
        <w:rPr>
          <w:sz w:val="16"/>
        </w:rPr>
      </w:pPr>
      <w:r>
        <w:rPr>
          <w:color w:val="231F20"/>
          <w:w w:val="110"/>
          <w:sz w:val="16"/>
        </w:rPr>
        <w:t>0.3 por ciento con que el pib alemán ha crecido estadísticamente en el segundo tri- mestre de 2009 resulta de una comparación con el trimestre anterior. En cambio, si</w:t>
      </w:r>
      <w:r>
        <w:rPr>
          <w:color w:val="231F20"/>
          <w:spacing w:val="-25"/>
          <w:w w:val="110"/>
          <w:sz w:val="16"/>
        </w:rPr>
        <w:t> </w:t>
      </w:r>
      <w:r>
        <w:rPr>
          <w:color w:val="231F20"/>
          <w:w w:val="110"/>
          <w:sz w:val="16"/>
        </w:rPr>
        <w:t>se compara con el trimestre del pasado año, el pib ha seguido bajando” (Krätke, </w:t>
      </w:r>
      <w:r>
        <w:rPr>
          <w:color w:val="231F20"/>
          <w:spacing w:val="21"/>
          <w:w w:val="110"/>
          <w:sz w:val="16"/>
        </w:rPr>
        <w:t> </w:t>
      </w:r>
      <w:r>
        <w:rPr>
          <w:color w:val="231F20"/>
          <w:w w:val="110"/>
          <w:sz w:val="16"/>
        </w:rPr>
        <w:t>2009).</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2"/>
        <w:jc w:val="both"/>
      </w:pPr>
      <w:r>
        <w:rPr>
          <w:color w:val="231F20"/>
          <w:w w:val="110"/>
        </w:rPr>
        <w:t>indica que “es más de lo mismo”. Desde septiembre de 2008, el fmi ha negociado nueve acuerdos que “exigen más controles fiscales, aumento</w:t>
      </w:r>
      <w:r>
        <w:rPr>
          <w:color w:val="231F20"/>
          <w:spacing w:val="-7"/>
          <w:w w:val="110"/>
        </w:rPr>
        <w:t> </w:t>
      </w:r>
      <w:r>
        <w:rPr>
          <w:color w:val="231F20"/>
          <w:w w:val="110"/>
        </w:rPr>
        <w:t>de</w:t>
      </w:r>
      <w:r>
        <w:rPr>
          <w:color w:val="231F20"/>
          <w:spacing w:val="-7"/>
          <w:w w:val="110"/>
        </w:rPr>
        <w:t> </w:t>
      </w:r>
      <w:r>
        <w:rPr>
          <w:color w:val="231F20"/>
          <w:w w:val="110"/>
        </w:rPr>
        <w:t>intereses</w:t>
      </w:r>
      <w:r>
        <w:rPr>
          <w:color w:val="231F20"/>
          <w:spacing w:val="-7"/>
          <w:w w:val="110"/>
        </w:rPr>
        <w:t> </w:t>
      </w:r>
      <w:r>
        <w:rPr>
          <w:color w:val="231F20"/>
          <w:w w:val="110"/>
        </w:rPr>
        <w:t>y</w:t>
      </w:r>
      <w:r>
        <w:rPr>
          <w:color w:val="231F20"/>
          <w:spacing w:val="-7"/>
          <w:w w:val="110"/>
        </w:rPr>
        <w:t> </w:t>
      </w:r>
      <w:r>
        <w:rPr>
          <w:color w:val="231F20"/>
          <w:w w:val="110"/>
        </w:rPr>
        <w:t>congelamientos</w:t>
      </w:r>
      <w:r>
        <w:rPr>
          <w:color w:val="231F20"/>
          <w:spacing w:val="-7"/>
          <w:w w:val="110"/>
        </w:rPr>
        <w:t> </w:t>
      </w:r>
      <w:r>
        <w:rPr>
          <w:color w:val="231F20"/>
          <w:w w:val="110"/>
        </w:rPr>
        <w:t>salariales</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estimularán la economía y reducirán la demanda” (Petrik, </w:t>
      </w:r>
      <w:r>
        <w:rPr>
          <w:color w:val="231F20"/>
          <w:spacing w:val="7"/>
          <w:w w:val="110"/>
        </w:rPr>
        <w:t> </w:t>
      </w:r>
      <w:r>
        <w:rPr>
          <w:color w:val="231F20"/>
          <w:w w:val="110"/>
        </w:rPr>
        <w:t>2009).</w:t>
      </w:r>
    </w:p>
    <w:p>
      <w:pPr>
        <w:pStyle w:val="BodyText"/>
      </w:pPr>
    </w:p>
    <w:p>
      <w:pPr>
        <w:pStyle w:val="BodyText"/>
        <w:spacing w:before="5"/>
        <w:rPr>
          <w:sz w:val="23"/>
        </w:rPr>
      </w:pPr>
    </w:p>
    <w:p>
      <w:pPr>
        <w:spacing w:before="0"/>
        <w:ind w:left="100" w:right="0" w:firstLine="0"/>
        <w:jc w:val="both"/>
        <w:rPr>
          <w:i/>
          <w:sz w:val="20"/>
        </w:rPr>
      </w:pPr>
      <w:r>
        <w:rPr>
          <w:i/>
          <w:color w:val="231F20"/>
          <w:sz w:val="20"/>
        </w:rPr>
        <w:t>Plan 1: Estados Unidos</w:t>
      </w:r>
    </w:p>
    <w:p>
      <w:pPr>
        <w:pStyle w:val="BodyText"/>
        <w:spacing w:before="5"/>
        <w:rPr>
          <w:i/>
          <w:sz w:val="23"/>
        </w:rPr>
      </w:pPr>
    </w:p>
    <w:p>
      <w:pPr>
        <w:pStyle w:val="BodyText"/>
        <w:spacing w:line="261" w:lineRule="auto"/>
        <w:ind w:left="100" w:right="117"/>
        <w:jc w:val="both"/>
      </w:pPr>
      <w:r>
        <w:rPr>
          <w:color w:val="231F20"/>
          <w:w w:val="110"/>
        </w:rPr>
        <w:t>Simon Johnson señala que Estados Unidos tiene dos problemas. El primero, que tiene un carácter técnico, se refiere a la “limpieza” de los</w:t>
      </w:r>
      <w:r>
        <w:rPr>
          <w:color w:val="231F20"/>
          <w:spacing w:val="-15"/>
          <w:w w:val="110"/>
        </w:rPr>
        <w:t> </w:t>
      </w:r>
      <w:r>
        <w:rPr>
          <w:color w:val="231F20"/>
          <w:w w:val="110"/>
        </w:rPr>
        <w:t>bancos</w:t>
      </w:r>
      <w:r>
        <w:rPr>
          <w:color w:val="231F20"/>
          <w:spacing w:val="-15"/>
          <w:w w:val="110"/>
        </w:rPr>
        <w:t> </w:t>
      </w:r>
      <w:r>
        <w:rPr>
          <w:color w:val="231F20"/>
          <w:w w:val="110"/>
        </w:rPr>
        <w:t>que,</w:t>
      </w:r>
      <w:r>
        <w:rPr>
          <w:color w:val="231F20"/>
          <w:spacing w:val="-15"/>
          <w:w w:val="110"/>
        </w:rPr>
        <w:t> </w:t>
      </w:r>
      <w:r>
        <w:rPr>
          <w:color w:val="231F20"/>
          <w:w w:val="110"/>
        </w:rPr>
        <w:t>según</w:t>
      </w:r>
      <w:r>
        <w:rPr>
          <w:color w:val="231F20"/>
          <w:spacing w:val="-15"/>
          <w:w w:val="110"/>
        </w:rPr>
        <w:t> </w:t>
      </w:r>
      <w:r>
        <w:rPr>
          <w:color w:val="231F20"/>
          <w:w w:val="110"/>
        </w:rPr>
        <w:t>el</w:t>
      </w:r>
      <w:r>
        <w:rPr>
          <w:color w:val="231F20"/>
          <w:spacing w:val="-15"/>
          <w:w w:val="110"/>
        </w:rPr>
        <w:t> </w:t>
      </w:r>
      <w:r>
        <w:rPr>
          <w:color w:val="231F20"/>
          <w:w w:val="110"/>
        </w:rPr>
        <w:t>cálculo</w:t>
      </w:r>
      <w:r>
        <w:rPr>
          <w:color w:val="231F20"/>
          <w:spacing w:val="-15"/>
          <w:w w:val="110"/>
        </w:rPr>
        <w:t> </w:t>
      </w:r>
      <w:r>
        <w:rPr>
          <w:color w:val="231F20"/>
          <w:w w:val="110"/>
        </w:rPr>
        <w:t>del</w:t>
      </w:r>
      <w:r>
        <w:rPr>
          <w:color w:val="231F20"/>
          <w:spacing w:val="-15"/>
          <w:w w:val="110"/>
        </w:rPr>
        <w:t> </w:t>
      </w:r>
      <w:r>
        <w:rPr>
          <w:color w:val="231F20"/>
          <w:w w:val="110"/>
        </w:rPr>
        <w:t>fmi,</w:t>
      </w:r>
      <w:r>
        <w:rPr>
          <w:color w:val="231F20"/>
          <w:spacing w:val="-15"/>
          <w:w w:val="110"/>
        </w:rPr>
        <w:t> </w:t>
      </w:r>
      <w:r>
        <w:rPr>
          <w:color w:val="231F20"/>
          <w:w w:val="110"/>
        </w:rPr>
        <w:t>le</w:t>
      </w:r>
      <w:r>
        <w:rPr>
          <w:color w:val="231F20"/>
          <w:spacing w:val="-15"/>
          <w:w w:val="110"/>
        </w:rPr>
        <w:t> </w:t>
      </w:r>
      <w:r>
        <w:rPr>
          <w:color w:val="231F20"/>
          <w:w w:val="110"/>
        </w:rPr>
        <w:t>costará</w:t>
      </w:r>
      <w:r>
        <w:rPr>
          <w:color w:val="231F20"/>
          <w:spacing w:val="-15"/>
          <w:w w:val="110"/>
        </w:rPr>
        <w:t> </w:t>
      </w:r>
      <w:r>
        <w:rPr>
          <w:color w:val="231F20"/>
          <w:w w:val="110"/>
        </w:rPr>
        <w:t>al</w:t>
      </w:r>
      <w:r>
        <w:rPr>
          <w:color w:val="231F20"/>
          <w:spacing w:val="-15"/>
          <w:w w:val="110"/>
        </w:rPr>
        <w:t> </w:t>
      </w:r>
      <w:r>
        <w:rPr>
          <w:color w:val="231F20"/>
          <w:w w:val="110"/>
        </w:rPr>
        <w:t>gobierno</w:t>
      </w:r>
      <w:r>
        <w:rPr>
          <w:color w:val="231F20"/>
          <w:spacing w:val="-15"/>
          <w:w w:val="110"/>
        </w:rPr>
        <w:t> </w:t>
      </w:r>
      <w:r>
        <w:rPr>
          <w:color w:val="231F20"/>
          <w:w w:val="110"/>
        </w:rPr>
        <w:t>federal</w:t>
      </w:r>
    </w:p>
    <w:p>
      <w:pPr>
        <w:pStyle w:val="BodyText"/>
        <w:spacing w:line="261" w:lineRule="auto"/>
        <w:ind w:left="100" w:right="117"/>
        <w:jc w:val="both"/>
      </w:pPr>
      <w:r>
        <w:rPr>
          <w:color w:val="231F20"/>
          <w:w w:val="110"/>
        </w:rPr>
        <w:t>1.5</w:t>
      </w:r>
      <w:r>
        <w:rPr>
          <w:color w:val="231F20"/>
          <w:spacing w:val="-16"/>
          <w:w w:val="110"/>
        </w:rPr>
        <w:t> </w:t>
      </w:r>
      <w:r>
        <w:rPr>
          <w:color w:val="231F20"/>
          <w:w w:val="110"/>
        </w:rPr>
        <w:t>millones</w:t>
      </w:r>
      <w:r>
        <w:rPr>
          <w:color w:val="231F20"/>
          <w:spacing w:val="-16"/>
          <w:w w:val="110"/>
        </w:rPr>
        <w:t> </w:t>
      </w:r>
      <w:r>
        <w:rPr>
          <w:color w:val="231F20"/>
          <w:w w:val="110"/>
        </w:rPr>
        <w:t>de</w:t>
      </w:r>
      <w:r>
        <w:rPr>
          <w:color w:val="231F20"/>
          <w:spacing w:val="-16"/>
          <w:w w:val="110"/>
        </w:rPr>
        <w:t> </w:t>
      </w:r>
      <w:r>
        <w:rPr>
          <w:color w:val="231F20"/>
          <w:w w:val="110"/>
        </w:rPr>
        <w:t>millones</w:t>
      </w:r>
      <w:r>
        <w:rPr>
          <w:color w:val="231F20"/>
          <w:spacing w:val="-16"/>
          <w:w w:val="110"/>
        </w:rPr>
        <w:t> </w:t>
      </w:r>
      <w:r>
        <w:rPr>
          <w:color w:val="231F20"/>
          <w:w w:val="110"/>
        </w:rPr>
        <w:t>de</w:t>
      </w:r>
      <w:r>
        <w:rPr>
          <w:color w:val="231F20"/>
          <w:spacing w:val="-16"/>
          <w:w w:val="110"/>
        </w:rPr>
        <w:t> </w:t>
      </w:r>
      <w:r>
        <w:rPr>
          <w:color w:val="231F20"/>
          <w:w w:val="110"/>
        </w:rPr>
        <w:t>dólares</w:t>
      </w:r>
      <w:r>
        <w:rPr>
          <w:color w:val="231F20"/>
          <w:spacing w:val="-16"/>
          <w:w w:val="110"/>
        </w:rPr>
        <w:t> </w:t>
      </w:r>
      <w:r>
        <w:rPr>
          <w:color w:val="231F20"/>
          <w:w w:val="110"/>
        </w:rPr>
        <w:t>(10%</w:t>
      </w:r>
      <w:r>
        <w:rPr>
          <w:color w:val="231F20"/>
          <w:spacing w:val="-16"/>
          <w:w w:val="110"/>
        </w:rPr>
        <w:t> </w:t>
      </w:r>
      <w:r>
        <w:rPr>
          <w:color w:val="231F20"/>
          <w:w w:val="110"/>
        </w:rPr>
        <w:t>del</w:t>
      </w:r>
      <w:r>
        <w:rPr>
          <w:color w:val="231F20"/>
          <w:spacing w:val="-15"/>
          <w:w w:val="110"/>
        </w:rPr>
        <w:t> </w:t>
      </w:r>
      <w:r>
        <w:rPr>
          <w:color w:val="231F20"/>
          <w:w w:val="110"/>
        </w:rPr>
        <w:t>pib).</w:t>
      </w:r>
      <w:r>
        <w:rPr>
          <w:color w:val="231F20"/>
          <w:spacing w:val="-16"/>
          <w:w w:val="110"/>
        </w:rPr>
        <w:t> </w:t>
      </w:r>
      <w:r>
        <w:rPr>
          <w:color w:val="231F20"/>
          <w:w w:val="110"/>
        </w:rPr>
        <w:t>El</w:t>
      </w:r>
      <w:r>
        <w:rPr>
          <w:color w:val="231F20"/>
          <w:spacing w:val="-16"/>
          <w:w w:val="110"/>
        </w:rPr>
        <w:t> </w:t>
      </w:r>
      <w:r>
        <w:rPr>
          <w:color w:val="231F20"/>
          <w:w w:val="110"/>
        </w:rPr>
        <w:t>segundo</w:t>
      </w:r>
      <w:r>
        <w:rPr>
          <w:color w:val="231F20"/>
          <w:spacing w:val="-16"/>
          <w:w w:val="110"/>
        </w:rPr>
        <w:t> </w:t>
      </w:r>
      <w:r>
        <w:rPr>
          <w:color w:val="231F20"/>
          <w:w w:val="110"/>
        </w:rPr>
        <w:t>proble- ma, que tiene una connotación sociológica, se refiere a la presencia de</w:t>
      </w:r>
      <w:r>
        <w:rPr>
          <w:color w:val="231F20"/>
          <w:spacing w:val="-6"/>
          <w:w w:val="110"/>
        </w:rPr>
        <w:t> </w:t>
      </w:r>
      <w:r>
        <w:rPr>
          <w:color w:val="231F20"/>
          <w:w w:val="110"/>
        </w:rPr>
        <w:t>una</w:t>
      </w:r>
      <w:r>
        <w:rPr>
          <w:color w:val="231F20"/>
          <w:spacing w:val="-6"/>
          <w:w w:val="110"/>
        </w:rPr>
        <w:t> </w:t>
      </w:r>
      <w:r>
        <w:rPr>
          <w:color w:val="231F20"/>
          <w:w w:val="110"/>
        </w:rPr>
        <w:t>poderosa</w:t>
      </w:r>
      <w:r>
        <w:rPr>
          <w:color w:val="231F20"/>
          <w:spacing w:val="-6"/>
          <w:w w:val="110"/>
        </w:rPr>
        <w:t> </w:t>
      </w:r>
      <w:r>
        <w:rPr>
          <w:color w:val="231F20"/>
          <w:w w:val="110"/>
        </w:rPr>
        <w:t>oligarquía</w:t>
      </w:r>
      <w:r>
        <w:rPr>
          <w:color w:val="231F20"/>
          <w:spacing w:val="-6"/>
          <w:w w:val="110"/>
        </w:rPr>
        <w:t> </w:t>
      </w:r>
      <w:r>
        <w:rPr>
          <w:color w:val="231F20"/>
          <w:w w:val="110"/>
        </w:rPr>
        <w:t>incrustada</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puestos</w:t>
      </w:r>
      <w:r>
        <w:rPr>
          <w:color w:val="231F20"/>
          <w:spacing w:val="-6"/>
          <w:w w:val="110"/>
        </w:rPr>
        <w:t> </w:t>
      </w:r>
      <w:r>
        <w:rPr>
          <w:color w:val="231F20"/>
          <w:w w:val="110"/>
        </w:rPr>
        <w:t>ejecutivos</w:t>
      </w:r>
      <w:r>
        <w:rPr>
          <w:color w:val="231F20"/>
          <w:spacing w:val="-6"/>
          <w:w w:val="110"/>
        </w:rPr>
        <w:t> </w:t>
      </w:r>
      <w:r>
        <w:rPr>
          <w:color w:val="231F20"/>
          <w:w w:val="110"/>
        </w:rPr>
        <w:t>de</w:t>
      </w:r>
      <w:r>
        <w:rPr>
          <w:color w:val="231F20"/>
          <w:spacing w:val="-6"/>
          <w:w w:val="110"/>
        </w:rPr>
        <w:t> </w:t>
      </w:r>
      <w:r>
        <w:rPr>
          <w:color w:val="231F20"/>
          <w:w w:val="110"/>
        </w:rPr>
        <w:t>la banca</w:t>
      </w:r>
      <w:r>
        <w:rPr>
          <w:color w:val="231F20"/>
          <w:spacing w:val="-8"/>
          <w:w w:val="110"/>
        </w:rPr>
        <w:t> </w:t>
      </w:r>
      <w:r>
        <w:rPr>
          <w:color w:val="231F20"/>
          <w:w w:val="110"/>
        </w:rPr>
        <w:t>estadunidense.</w:t>
      </w:r>
      <w:r>
        <w:rPr>
          <w:color w:val="231F20"/>
          <w:spacing w:val="-8"/>
          <w:w w:val="110"/>
        </w:rPr>
        <w:t> </w:t>
      </w:r>
      <w:r>
        <w:rPr>
          <w:color w:val="231F20"/>
          <w:w w:val="110"/>
        </w:rPr>
        <w:t>Es</w:t>
      </w:r>
      <w:r>
        <w:rPr>
          <w:color w:val="231F20"/>
          <w:spacing w:val="-8"/>
          <w:w w:val="110"/>
        </w:rPr>
        <w:t> </w:t>
      </w:r>
      <w:r>
        <w:rPr>
          <w:color w:val="231F20"/>
          <w:spacing w:val="-3"/>
          <w:w w:val="110"/>
        </w:rPr>
        <w:t>decir,</w:t>
      </w:r>
      <w:r>
        <w:rPr>
          <w:color w:val="231F20"/>
          <w:spacing w:val="-8"/>
          <w:w w:val="110"/>
        </w:rPr>
        <w:t> </w:t>
      </w:r>
      <w:r>
        <w:rPr>
          <w:color w:val="231F20"/>
          <w:w w:val="110"/>
        </w:rPr>
        <w:t>refleja</w:t>
      </w:r>
      <w:r>
        <w:rPr>
          <w:color w:val="231F20"/>
          <w:spacing w:val="-8"/>
          <w:w w:val="110"/>
        </w:rPr>
        <w:t> </w:t>
      </w:r>
      <w:r>
        <w:rPr>
          <w:color w:val="231F20"/>
          <w:w w:val="110"/>
        </w:rPr>
        <w:t>la</w:t>
      </w:r>
      <w:r>
        <w:rPr>
          <w:color w:val="231F20"/>
          <w:spacing w:val="-8"/>
          <w:w w:val="110"/>
        </w:rPr>
        <w:t> </w:t>
      </w:r>
      <w:r>
        <w:rPr>
          <w:color w:val="231F20"/>
          <w:w w:val="110"/>
        </w:rPr>
        <w:t>lucha</w:t>
      </w:r>
      <w:r>
        <w:rPr>
          <w:color w:val="231F20"/>
          <w:spacing w:val="-8"/>
          <w:w w:val="110"/>
        </w:rPr>
        <w:t> </w:t>
      </w:r>
      <w:r>
        <w:rPr>
          <w:color w:val="231F20"/>
          <w:w w:val="110"/>
        </w:rPr>
        <w:t>de</w:t>
      </w:r>
      <w:r>
        <w:rPr>
          <w:color w:val="231F20"/>
          <w:spacing w:val="-8"/>
          <w:w w:val="110"/>
        </w:rPr>
        <w:t> </w:t>
      </w:r>
      <w:r>
        <w:rPr>
          <w:color w:val="231F20"/>
          <w:w w:val="110"/>
        </w:rPr>
        <w:t>clases</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conflicto entre las distintas facciones de la burguesía (Johnson,</w:t>
      </w:r>
      <w:r>
        <w:rPr>
          <w:color w:val="231F20"/>
          <w:spacing w:val="44"/>
          <w:w w:val="110"/>
        </w:rPr>
        <w:t> </w:t>
      </w:r>
      <w:r>
        <w:rPr>
          <w:color w:val="231F20"/>
          <w:w w:val="110"/>
        </w:rPr>
        <w:t>2009).</w:t>
      </w:r>
    </w:p>
    <w:p>
      <w:pPr>
        <w:pStyle w:val="BodyText"/>
        <w:spacing w:line="261" w:lineRule="auto"/>
        <w:ind w:left="100" w:right="117" w:firstLine="240"/>
        <w:jc w:val="both"/>
      </w:pPr>
      <w:r>
        <w:rPr>
          <w:color w:val="231F20"/>
          <w:w w:val="110"/>
        </w:rPr>
        <w:t>Según Vasudevan (2009), Estados Unidos se encuentra en el</w:t>
      </w:r>
      <w:r>
        <w:rPr>
          <w:color w:val="231F20"/>
          <w:spacing w:val="-12"/>
          <w:w w:val="110"/>
        </w:rPr>
        <w:t> </w:t>
      </w:r>
      <w:r>
        <w:rPr>
          <w:color w:val="231F20"/>
          <w:w w:val="110"/>
        </w:rPr>
        <w:t>cen- tro de la crisis mundial. En el corazón de ese centro se encuentra   su banco central (la Reserva Federal). “Tiene que balancear los</w:t>
      </w:r>
      <w:r>
        <w:rPr>
          <w:color w:val="231F20"/>
          <w:spacing w:val="-7"/>
          <w:w w:val="110"/>
        </w:rPr>
        <w:t> </w:t>
      </w:r>
      <w:r>
        <w:rPr>
          <w:color w:val="231F20"/>
          <w:w w:val="110"/>
        </w:rPr>
        <w:t>con- flictos inherentes a la consolidación de los intereses imperiales de Estados</w:t>
      </w:r>
      <w:r>
        <w:rPr>
          <w:color w:val="231F20"/>
          <w:spacing w:val="-15"/>
          <w:w w:val="110"/>
        </w:rPr>
        <w:t> </w:t>
      </w:r>
      <w:r>
        <w:rPr>
          <w:color w:val="231F20"/>
          <w:w w:val="110"/>
        </w:rPr>
        <w:t>Unidos</w:t>
      </w:r>
      <w:r>
        <w:rPr>
          <w:color w:val="231F20"/>
          <w:spacing w:val="-15"/>
          <w:w w:val="110"/>
        </w:rPr>
        <w:t> </w:t>
      </w:r>
      <w:r>
        <w:rPr>
          <w:color w:val="231F20"/>
          <w:spacing w:val="-8"/>
          <w:w w:val="110"/>
        </w:rPr>
        <w:t>y,</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vez,</w:t>
      </w:r>
      <w:r>
        <w:rPr>
          <w:color w:val="231F20"/>
          <w:spacing w:val="-15"/>
          <w:w w:val="110"/>
        </w:rPr>
        <w:t> </w:t>
      </w:r>
      <w:r>
        <w:rPr>
          <w:color w:val="231F20"/>
          <w:w w:val="110"/>
        </w:rPr>
        <w:t>las</w:t>
      </w:r>
      <w:r>
        <w:rPr>
          <w:color w:val="231F20"/>
          <w:spacing w:val="-15"/>
          <w:w w:val="110"/>
        </w:rPr>
        <w:t> </w:t>
      </w:r>
      <w:r>
        <w:rPr>
          <w:color w:val="231F20"/>
          <w:w w:val="110"/>
        </w:rPr>
        <w:t>demandas</w:t>
      </w:r>
      <w:r>
        <w:rPr>
          <w:color w:val="231F20"/>
          <w:spacing w:val="-15"/>
          <w:w w:val="110"/>
        </w:rPr>
        <w:t> </w:t>
      </w:r>
      <w:r>
        <w:rPr>
          <w:color w:val="231F20"/>
          <w:w w:val="110"/>
        </w:rPr>
        <w:t>que</w:t>
      </w:r>
      <w:r>
        <w:rPr>
          <w:color w:val="231F20"/>
          <w:spacing w:val="-15"/>
          <w:w w:val="110"/>
        </w:rPr>
        <w:t> </w:t>
      </w:r>
      <w:r>
        <w:rPr>
          <w:color w:val="231F20"/>
          <w:w w:val="110"/>
        </w:rPr>
        <w:t>surgen</w:t>
      </w:r>
      <w:r>
        <w:rPr>
          <w:color w:val="231F20"/>
          <w:spacing w:val="-15"/>
          <w:w w:val="110"/>
        </w:rPr>
        <w:t> </w:t>
      </w:r>
      <w:r>
        <w:rPr>
          <w:color w:val="231F20"/>
          <w:w w:val="110"/>
        </w:rPr>
        <w:t>desde</w:t>
      </w:r>
      <w:r>
        <w:rPr>
          <w:color w:val="231F20"/>
          <w:spacing w:val="-15"/>
          <w:w w:val="110"/>
        </w:rPr>
        <w:t> </w:t>
      </w:r>
      <w:r>
        <w:rPr>
          <w:color w:val="231F20"/>
          <w:w w:val="110"/>
        </w:rPr>
        <w:t>su</w:t>
      </w:r>
      <w:r>
        <w:rPr>
          <w:color w:val="231F20"/>
          <w:spacing w:val="-15"/>
          <w:w w:val="110"/>
        </w:rPr>
        <w:t> </w:t>
      </w:r>
      <w:r>
        <w:rPr>
          <w:color w:val="231F20"/>
          <w:w w:val="110"/>
        </w:rPr>
        <w:t>interior. La política que salga de Estados Unidos para enfrentar la crisis eco- nómica actual responderá a estos imperativos tanto internacionales como</w:t>
      </w:r>
      <w:r>
        <w:rPr>
          <w:color w:val="231F20"/>
          <w:spacing w:val="-20"/>
          <w:w w:val="110"/>
        </w:rPr>
        <w:t> </w:t>
      </w:r>
      <w:r>
        <w:rPr>
          <w:color w:val="231F20"/>
          <w:w w:val="110"/>
        </w:rPr>
        <w:t>nacionales.”</w:t>
      </w:r>
    </w:p>
    <w:p>
      <w:pPr>
        <w:pStyle w:val="BodyText"/>
        <w:spacing w:line="261" w:lineRule="auto"/>
        <w:ind w:left="100" w:right="117" w:firstLine="240"/>
        <w:jc w:val="both"/>
      </w:pPr>
      <w:r>
        <w:rPr>
          <w:color w:val="231F20"/>
          <w:w w:val="110"/>
        </w:rPr>
        <w:t>La agenda de Estados Unidos pasa por la recuperación de la eco- nomía nacional y el rediseño de la economía mundial para salvar    la hegemonía del </w:t>
      </w:r>
      <w:r>
        <w:rPr>
          <w:color w:val="231F20"/>
          <w:spacing w:val="-3"/>
          <w:w w:val="110"/>
        </w:rPr>
        <w:t>dólar. </w:t>
      </w:r>
      <w:r>
        <w:rPr>
          <w:color w:val="231F20"/>
          <w:w w:val="110"/>
        </w:rPr>
        <w:t>A pesar de la retórica que rodea la idea de fortalecer la economía real (</w:t>
      </w:r>
      <w:r>
        <w:rPr>
          <w:i/>
          <w:color w:val="231F20"/>
          <w:w w:val="110"/>
        </w:rPr>
        <w:t>Main Street</w:t>
      </w:r>
      <w:r>
        <w:rPr>
          <w:color w:val="231F20"/>
          <w:w w:val="110"/>
        </w:rPr>
        <w:t>) y poner en su lugar a Wall Street, la realidad es otra. </w:t>
      </w:r>
      <w:r>
        <w:rPr>
          <w:color w:val="231F20"/>
          <w:spacing w:val="-5"/>
          <w:w w:val="110"/>
        </w:rPr>
        <w:t>Todo </w:t>
      </w:r>
      <w:r>
        <w:rPr>
          <w:color w:val="231F20"/>
          <w:w w:val="110"/>
        </w:rPr>
        <w:t>indica que Washington está apos- tando a una recuperación de la economía nacional sin necesidad    de ejercer una mayor regulación sobre el sector financiero. Esto se percibe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luz</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paquetes</w:t>
      </w:r>
      <w:r>
        <w:rPr>
          <w:color w:val="231F20"/>
          <w:spacing w:val="-8"/>
          <w:w w:val="110"/>
        </w:rPr>
        <w:t> </w:t>
      </w:r>
      <w:r>
        <w:rPr>
          <w:color w:val="231F20"/>
          <w:w w:val="110"/>
        </w:rPr>
        <w:t>de</w:t>
      </w:r>
      <w:r>
        <w:rPr>
          <w:color w:val="231F20"/>
          <w:spacing w:val="-8"/>
          <w:w w:val="110"/>
        </w:rPr>
        <w:t> </w:t>
      </w:r>
      <w:r>
        <w:rPr>
          <w:color w:val="231F20"/>
          <w:w w:val="110"/>
        </w:rPr>
        <w:t>rescate</w:t>
      </w:r>
      <w:r>
        <w:rPr>
          <w:color w:val="231F20"/>
          <w:spacing w:val="-8"/>
          <w:w w:val="110"/>
        </w:rPr>
        <w:t> </w:t>
      </w:r>
      <w:r>
        <w:rPr>
          <w:color w:val="231F20"/>
          <w:w w:val="110"/>
        </w:rPr>
        <w:t>aprobados</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congreso. Sin</w:t>
      </w:r>
      <w:r>
        <w:rPr>
          <w:color w:val="231F20"/>
          <w:spacing w:val="-11"/>
          <w:w w:val="110"/>
        </w:rPr>
        <w:t> </w:t>
      </w:r>
      <w:r>
        <w:rPr>
          <w:color w:val="231F20"/>
          <w:w w:val="110"/>
        </w:rPr>
        <w:t>embargo,</w:t>
      </w:r>
      <w:r>
        <w:rPr>
          <w:color w:val="231F20"/>
          <w:spacing w:val="-11"/>
          <w:w w:val="110"/>
        </w:rPr>
        <w:t> </w:t>
      </w:r>
      <w:r>
        <w:rPr>
          <w:color w:val="231F20"/>
          <w:w w:val="110"/>
        </w:rPr>
        <w:t>a</w:t>
      </w:r>
      <w:r>
        <w:rPr>
          <w:color w:val="231F20"/>
          <w:spacing w:val="-11"/>
          <w:w w:val="110"/>
        </w:rPr>
        <w:t> </w:t>
      </w:r>
      <w:r>
        <w:rPr>
          <w:color w:val="231F20"/>
          <w:w w:val="110"/>
        </w:rPr>
        <w:t>escala</w:t>
      </w:r>
      <w:r>
        <w:rPr>
          <w:color w:val="231F20"/>
          <w:spacing w:val="-11"/>
          <w:w w:val="110"/>
        </w:rPr>
        <w:t> </w:t>
      </w:r>
      <w:r>
        <w:rPr>
          <w:color w:val="231F20"/>
          <w:w w:val="110"/>
        </w:rPr>
        <w:t>internacional</w:t>
      </w:r>
      <w:r>
        <w:rPr>
          <w:color w:val="231F20"/>
          <w:spacing w:val="-11"/>
          <w:w w:val="110"/>
        </w:rPr>
        <w:t> </w:t>
      </w:r>
      <w:r>
        <w:rPr>
          <w:color w:val="231F20"/>
          <w:w w:val="110"/>
        </w:rPr>
        <w:t>no</w:t>
      </w:r>
      <w:r>
        <w:rPr>
          <w:color w:val="231F20"/>
          <w:spacing w:val="-11"/>
          <w:w w:val="110"/>
        </w:rPr>
        <w:t> </w:t>
      </w:r>
      <w:r>
        <w:rPr>
          <w:color w:val="231F20"/>
          <w:w w:val="110"/>
        </w:rPr>
        <w:t>existe</w:t>
      </w:r>
      <w:r>
        <w:rPr>
          <w:color w:val="231F20"/>
          <w:spacing w:val="-11"/>
          <w:w w:val="110"/>
        </w:rPr>
        <w:t> </w:t>
      </w:r>
      <w:r>
        <w:rPr>
          <w:color w:val="231F20"/>
          <w:w w:val="110"/>
        </w:rPr>
        <w:t>entusiasmo</w:t>
      </w:r>
      <w:r>
        <w:rPr>
          <w:color w:val="231F20"/>
          <w:spacing w:val="-11"/>
          <w:w w:val="110"/>
        </w:rPr>
        <w:t> </w:t>
      </w:r>
      <w:r>
        <w:rPr>
          <w:color w:val="231F20"/>
          <w:w w:val="110"/>
        </w:rPr>
        <w:t>alguno</w:t>
      </w:r>
      <w:r>
        <w:rPr>
          <w:color w:val="231F20"/>
          <w:spacing w:val="-11"/>
          <w:w w:val="110"/>
        </w:rPr>
        <w:t> </w:t>
      </w:r>
      <w:r>
        <w:rPr>
          <w:color w:val="231F20"/>
          <w:w w:val="110"/>
        </w:rPr>
        <w:t>para promover agendas progresistas que estimulen las economías de los países</w:t>
      </w:r>
      <w:r>
        <w:rPr>
          <w:color w:val="231F20"/>
          <w:spacing w:val="-12"/>
          <w:w w:val="110"/>
        </w:rPr>
        <w:t> </w:t>
      </w:r>
      <w:r>
        <w:rPr>
          <w:color w:val="231F20"/>
          <w:w w:val="110"/>
        </w:rPr>
        <w:t>menos</w:t>
      </w:r>
      <w:r>
        <w:rPr>
          <w:color w:val="231F20"/>
          <w:spacing w:val="-12"/>
          <w:w w:val="110"/>
        </w:rPr>
        <w:t> </w:t>
      </w:r>
      <w:r>
        <w:rPr>
          <w:color w:val="231F20"/>
          <w:w w:val="110"/>
        </w:rPr>
        <w:t>desarrollados.</w:t>
      </w:r>
      <w:r>
        <w:rPr>
          <w:color w:val="231F20"/>
          <w:spacing w:val="-12"/>
          <w:w w:val="110"/>
        </w:rPr>
        <w:t> </w:t>
      </w:r>
      <w:r>
        <w:rPr>
          <w:color w:val="231F20"/>
          <w:w w:val="110"/>
        </w:rPr>
        <w:t>Esta</w:t>
      </w:r>
      <w:r>
        <w:rPr>
          <w:color w:val="231F20"/>
          <w:spacing w:val="-12"/>
          <w:w w:val="110"/>
        </w:rPr>
        <w:t> </w:t>
      </w:r>
      <w:r>
        <w:rPr>
          <w:color w:val="231F20"/>
          <w:w w:val="110"/>
        </w:rPr>
        <w:t>alternativa</w:t>
      </w:r>
      <w:r>
        <w:rPr>
          <w:color w:val="231F20"/>
          <w:spacing w:val="-12"/>
          <w:w w:val="110"/>
        </w:rPr>
        <w:t> </w:t>
      </w:r>
      <w:r>
        <w:rPr>
          <w:color w:val="231F20"/>
          <w:w w:val="110"/>
        </w:rPr>
        <w:t>podría</w:t>
      </w:r>
      <w:r>
        <w:rPr>
          <w:color w:val="231F20"/>
          <w:spacing w:val="-12"/>
          <w:w w:val="110"/>
        </w:rPr>
        <w:t> </w:t>
      </w:r>
      <w:r>
        <w:rPr>
          <w:color w:val="231F20"/>
          <w:w w:val="110"/>
        </w:rPr>
        <w:t>debilitar</w:t>
      </w:r>
      <w:r>
        <w:rPr>
          <w:color w:val="231F20"/>
          <w:spacing w:val="-12"/>
          <w:w w:val="110"/>
        </w:rPr>
        <w:t> </w:t>
      </w:r>
      <w:r>
        <w:rPr>
          <w:color w:val="231F20"/>
          <w:w w:val="110"/>
        </w:rPr>
        <w:t>las</w:t>
      </w:r>
      <w:r>
        <w:rPr>
          <w:color w:val="231F20"/>
          <w:spacing w:val="-12"/>
          <w:w w:val="110"/>
        </w:rPr>
        <w:t> </w:t>
      </w:r>
      <w:r>
        <w:rPr>
          <w:color w:val="231F20"/>
          <w:w w:val="110"/>
        </w:rPr>
        <w:t>redes montadas por Estados Unidos y fortalecer las relaciones solidarias entre los países del</w:t>
      </w:r>
      <w:r>
        <w:rPr>
          <w:color w:val="231F20"/>
          <w:spacing w:val="23"/>
          <w:w w:val="110"/>
        </w:rPr>
        <w:t> </w:t>
      </w:r>
      <w:r>
        <w:rPr>
          <w:color w:val="231F20"/>
          <w:spacing w:val="-5"/>
          <w:w w:val="110"/>
        </w:rPr>
        <w:t>Sur.</w:t>
      </w:r>
    </w:p>
    <w:p>
      <w:pPr>
        <w:pStyle w:val="BodyText"/>
        <w:spacing w:line="261" w:lineRule="auto"/>
        <w:ind w:left="100" w:right="117" w:firstLine="240"/>
        <w:jc w:val="both"/>
      </w:pPr>
      <w:r>
        <w:rPr>
          <w:color w:val="231F20"/>
          <w:w w:val="110"/>
        </w:rPr>
        <w:t>Según Larry Summers, ex jefe del Consejo Económico Nacional, el presupuesto presentado por Obama de 3.6 millones de millones</w:t>
      </w:r>
    </w:p>
    <w:p>
      <w:pPr>
        <w:spacing w:after="0" w:line="261" w:lineRule="auto"/>
        <w:jc w:val="both"/>
        <w:sectPr>
          <w:headerReference w:type="even" r:id="rId111"/>
          <w:headerReference w:type="default" r:id="rId112"/>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de dólares pretende enfrentar la crisis pero sin modificar demasiado las prioridades de Bush. En primer </w:t>
      </w:r>
      <w:r>
        <w:rPr>
          <w:color w:val="231F20"/>
          <w:spacing w:val="-3"/>
          <w:w w:val="110"/>
        </w:rPr>
        <w:t>lugar, </w:t>
      </w:r>
      <w:r>
        <w:rPr>
          <w:color w:val="231F20"/>
          <w:w w:val="110"/>
        </w:rPr>
        <w:t>financiará el “rescate”</w:t>
      </w:r>
      <w:r>
        <w:rPr>
          <w:color w:val="231F20"/>
          <w:spacing w:val="-15"/>
          <w:w w:val="110"/>
        </w:rPr>
        <w:t> </w:t>
      </w:r>
      <w:r>
        <w:rPr>
          <w:color w:val="231F20"/>
          <w:w w:val="110"/>
        </w:rPr>
        <w:t>más ambicioso en decenios, contribuirá a evitar la corrida hipotecaria que aún sigue su curso </w:t>
      </w:r>
      <w:r>
        <w:rPr>
          <w:color w:val="231F20"/>
          <w:spacing w:val="-8"/>
          <w:w w:val="110"/>
        </w:rPr>
        <w:t>y, </w:t>
      </w:r>
      <w:r>
        <w:rPr>
          <w:color w:val="231F20"/>
          <w:w w:val="110"/>
        </w:rPr>
        <w:t>además, tratará de evitar que la tasa de desempleo supere el 10 por </w:t>
      </w:r>
      <w:r>
        <w:rPr>
          <w:color w:val="231F20"/>
          <w:spacing w:val="11"/>
          <w:w w:val="110"/>
        </w:rPr>
        <w:t> </w:t>
      </w:r>
      <w:r>
        <w:rPr>
          <w:color w:val="231F20"/>
          <w:w w:val="110"/>
        </w:rPr>
        <w:t>ciento.</w:t>
      </w:r>
    </w:p>
    <w:p>
      <w:pPr>
        <w:pStyle w:val="BodyText"/>
        <w:spacing w:line="261" w:lineRule="auto"/>
        <w:ind w:left="100" w:right="115" w:firstLine="240"/>
        <w:jc w:val="both"/>
      </w:pPr>
      <w:r>
        <w:rPr>
          <w:color w:val="231F20"/>
          <w:w w:val="110"/>
        </w:rPr>
        <w:t>Al igual que en la gran crisis de los años treinta, Estados Unidos enfoca toda su energía a rescatar al sector bancario. El secretario  del Tesoro, Timothy Geithner, prometió 500 mil millones de</w:t>
      </w:r>
      <w:r>
        <w:rPr>
          <w:color w:val="231F20"/>
          <w:spacing w:val="-32"/>
          <w:w w:val="110"/>
        </w:rPr>
        <w:t> </w:t>
      </w:r>
      <w:r>
        <w:rPr>
          <w:color w:val="231F20"/>
          <w:w w:val="110"/>
        </w:rPr>
        <w:t>dólares a los bancos que tienen hipotecas intoxicadas. Según Obama es la única manera de salvar el sistema financiero de Estados Unidos.   Las declaraciones de Wahington se dieron a conocer una semana después que la gigante America International Group aig repartió bonificaciones a sus ejecutivos después de recibir 170 mil millones de dólares en subvenciones </w:t>
      </w:r>
      <w:r>
        <w:rPr>
          <w:color w:val="231F20"/>
          <w:spacing w:val="30"/>
          <w:w w:val="110"/>
        </w:rPr>
        <w:t> </w:t>
      </w:r>
      <w:r>
        <w:rPr>
          <w:color w:val="231F20"/>
          <w:w w:val="110"/>
        </w:rPr>
        <w:t>gubernamentales.</w:t>
      </w:r>
    </w:p>
    <w:p>
      <w:pPr>
        <w:pStyle w:val="BodyText"/>
      </w:pPr>
    </w:p>
    <w:p>
      <w:pPr>
        <w:pStyle w:val="BodyText"/>
        <w:spacing w:before="5"/>
        <w:rPr>
          <w:sz w:val="23"/>
        </w:rPr>
      </w:pPr>
    </w:p>
    <w:p>
      <w:pPr>
        <w:spacing w:before="0"/>
        <w:ind w:left="100" w:right="0" w:firstLine="0"/>
        <w:jc w:val="both"/>
        <w:rPr>
          <w:i/>
          <w:sz w:val="20"/>
        </w:rPr>
      </w:pPr>
      <w:r>
        <w:rPr>
          <w:i/>
          <w:color w:val="231F20"/>
          <w:w w:val="95"/>
          <w:sz w:val="20"/>
        </w:rPr>
        <w:t>Plan 2: Sarkosy-Merkel</w:t>
      </w:r>
    </w:p>
    <w:p>
      <w:pPr>
        <w:pStyle w:val="BodyText"/>
        <w:spacing w:before="5"/>
        <w:rPr>
          <w:i/>
          <w:sz w:val="23"/>
        </w:rPr>
      </w:pPr>
    </w:p>
    <w:p>
      <w:pPr>
        <w:pStyle w:val="BodyText"/>
        <w:spacing w:line="261" w:lineRule="auto"/>
        <w:ind w:left="100" w:right="117"/>
        <w:jc w:val="both"/>
      </w:pPr>
      <w:r>
        <w:rPr>
          <w:color w:val="231F20"/>
          <w:w w:val="110"/>
        </w:rPr>
        <w:t>El núcleo central de la Unión Europea, formado por Alemania y Francia, percibe la crisis y las alternativas desde otra perspectiva. El crecimiento europeo ha sido muy rápido desde el colapso del</w:t>
      </w:r>
      <w:r>
        <w:rPr>
          <w:color w:val="231F20"/>
          <w:spacing w:val="-28"/>
          <w:w w:val="110"/>
        </w:rPr>
        <w:t> </w:t>
      </w:r>
      <w:r>
        <w:rPr>
          <w:color w:val="231F20"/>
          <w:w w:val="110"/>
        </w:rPr>
        <w:t>bloque socialista. Primero la anexión de Alemania Democrática a la</w:t>
      </w:r>
      <w:r>
        <w:rPr>
          <w:color w:val="231F20"/>
          <w:spacing w:val="-37"/>
          <w:w w:val="110"/>
        </w:rPr>
        <w:t> </w:t>
      </w:r>
      <w:r>
        <w:rPr>
          <w:color w:val="231F20"/>
          <w:w w:val="110"/>
        </w:rPr>
        <w:t>Alema- nia Federal. Poco después la incorporación de la totalidad de</w:t>
      </w:r>
      <w:r>
        <w:rPr>
          <w:color w:val="231F20"/>
          <w:spacing w:val="-36"/>
          <w:w w:val="110"/>
        </w:rPr>
        <w:t> </w:t>
      </w:r>
      <w:r>
        <w:rPr>
          <w:color w:val="231F20"/>
          <w:w w:val="110"/>
        </w:rPr>
        <w:t>Europa central a la comunidad europea. En la reunión del G20 celebrada   en Londres, la canciller alemana, Angela Merkel, rechazó la</w:t>
      </w:r>
      <w:r>
        <w:rPr>
          <w:color w:val="231F20"/>
          <w:spacing w:val="-13"/>
          <w:w w:val="110"/>
        </w:rPr>
        <w:t> </w:t>
      </w:r>
      <w:r>
        <w:rPr>
          <w:color w:val="231F20"/>
          <w:w w:val="110"/>
        </w:rPr>
        <w:t>política que obligaba a los países más desarrollados a “inyectar” capitales al sistema</w:t>
      </w:r>
      <w:r>
        <w:rPr>
          <w:color w:val="231F20"/>
          <w:spacing w:val="-8"/>
          <w:w w:val="110"/>
        </w:rPr>
        <w:t> </w:t>
      </w:r>
      <w:r>
        <w:rPr>
          <w:color w:val="231F20"/>
          <w:w w:val="110"/>
        </w:rPr>
        <w:t>financiero</w:t>
      </w:r>
      <w:r>
        <w:rPr>
          <w:color w:val="231F20"/>
          <w:spacing w:val="-8"/>
          <w:w w:val="110"/>
        </w:rPr>
        <w:t> </w:t>
      </w:r>
      <w:r>
        <w:rPr>
          <w:color w:val="231F20"/>
          <w:w w:val="110"/>
        </w:rPr>
        <w:t>quebrado.</w:t>
      </w:r>
      <w:r>
        <w:rPr>
          <w:color w:val="231F20"/>
          <w:spacing w:val="-8"/>
          <w:w w:val="110"/>
        </w:rPr>
        <w:t> </w:t>
      </w:r>
      <w:r>
        <w:rPr>
          <w:color w:val="231F20"/>
          <w:w w:val="110"/>
        </w:rPr>
        <w:t>El</w:t>
      </w:r>
      <w:r>
        <w:rPr>
          <w:color w:val="231F20"/>
          <w:spacing w:val="-8"/>
          <w:w w:val="110"/>
        </w:rPr>
        <w:t> </w:t>
      </w:r>
      <w:r>
        <w:rPr>
          <w:color w:val="231F20"/>
          <w:w w:val="110"/>
        </w:rPr>
        <w:t>presidente</w:t>
      </w:r>
      <w:r>
        <w:rPr>
          <w:color w:val="231F20"/>
          <w:spacing w:val="-8"/>
          <w:w w:val="110"/>
        </w:rPr>
        <w:t> </w:t>
      </w:r>
      <w:r>
        <w:rPr>
          <w:color w:val="231F20"/>
          <w:w w:val="110"/>
        </w:rPr>
        <w:t>francés,</w:t>
      </w:r>
      <w:r>
        <w:rPr>
          <w:color w:val="231F20"/>
          <w:spacing w:val="-8"/>
          <w:w w:val="110"/>
        </w:rPr>
        <w:t> </w:t>
      </w:r>
      <w:r>
        <w:rPr>
          <w:color w:val="231F20"/>
          <w:w w:val="110"/>
        </w:rPr>
        <w:t>Nicolas</w:t>
      </w:r>
      <w:r>
        <w:rPr>
          <w:color w:val="231F20"/>
          <w:spacing w:val="-8"/>
          <w:w w:val="110"/>
        </w:rPr>
        <w:t> </w:t>
      </w:r>
      <w:r>
        <w:rPr>
          <w:color w:val="231F20"/>
          <w:w w:val="110"/>
        </w:rPr>
        <w:t>Sarkozy, declaró que se sentía seguro de que el mundo se estaba alejando del modelo “anglosajón” de</w:t>
      </w:r>
      <w:r>
        <w:rPr>
          <w:color w:val="231F20"/>
          <w:spacing w:val="-30"/>
          <w:w w:val="110"/>
        </w:rPr>
        <w:t> </w:t>
      </w:r>
      <w:r>
        <w:rPr>
          <w:color w:val="231F20"/>
          <w:w w:val="110"/>
        </w:rPr>
        <w:t>finanzas.</w:t>
      </w:r>
    </w:p>
    <w:p>
      <w:pPr>
        <w:pStyle w:val="BodyText"/>
        <w:spacing w:line="261" w:lineRule="auto"/>
        <w:ind w:left="100" w:right="117" w:firstLine="240"/>
        <w:jc w:val="both"/>
      </w:pPr>
      <w:r>
        <w:rPr>
          <w:color w:val="231F20"/>
          <w:w w:val="110"/>
        </w:rPr>
        <w:t>Los europeos sienten que Washington es demasiado liberal en su repartición</w:t>
      </w:r>
      <w:r>
        <w:rPr>
          <w:color w:val="231F20"/>
          <w:spacing w:val="-18"/>
          <w:w w:val="110"/>
        </w:rPr>
        <w:t> </w:t>
      </w:r>
      <w:r>
        <w:rPr>
          <w:color w:val="231F20"/>
          <w:w w:val="110"/>
        </w:rPr>
        <w:t>de</w:t>
      </w:r>
      <w:r>
        <w:rPr>
          <w:color w:val="231F20"/>
          <w:spacing w:val="-18"/>
          <w:w w:val="110"/>
        </w:rPr>
        <w:t> </w:t>
      </w:r>
      <w:r>
        <w:rPr>
          <w:color w:val="231F20"/>
          <w:w w:val="110"/>
        </w:rPr>
        <w:t>fondos</w:t>
      </w:r>
      <w:r>
        <w:rPr>
          <w:color w:val="231F20"/>
          <w:spacing w:val="-18"/>
          <w:w w:val="110"/>
        </w:rPr>
        <w:t> </w:t>
      </w:r>
      <w:r>
        <w:rPr>
          <w:color w:val="231F20"/>
          <w:w w:val="110"/>
        </w:rPr>
        <w:t>públicos.</w:t>
      </w:r>
      <w:r>
        <w:rPr>
          <w:color w:val="231F20"/>
          <w:spacing w:val="-18"/>
          <w:w w:val="110"/>
        </w:rPr>
        <w:t> </w:t>
      </w:r>
      <w:r>
        <w:rPr>
          <w:color w:val="231F20"/>
          <w:spacing w:val="-4"/>
          <w:w w:val="110"/>
        </w:rPr>
        <w:t>Tanto</w:t>
      </w:r>
      <w:r>
        <w:rPr>
          <w:color w:val="231F20"/>
          <w:spacing w:val="-18"/>
          <w:w w:val="110"/>
        </w:rPr>
        <w:t> </w:t>
      </w:r>
      <w:r>
        <w:rPr>
          <w:color w:val="231F20"/>
          <w:w w:val="110"/>
        </w:rPr>
        <w:t>Merkel</w:t>
      </w:r>
      <w:r>
        <w:rPr>
          <w:color w:val="231F20"/>
          <w:spacing w:val="-18"/>
          <w:w w:val="110"/>
        </w:rPr>
        <w:t> </w:t>
      </w:r>
      <w:r>
        <w:rPr>
          <w:color w:val="231F20"/>
          <w:w w:val="110"/>
        </w:rPr>
        <w:t>como</w:t>
      </w:r>
      <w:r>
        <w:rPr>
          <w:color w:val="231F20"/>
          <w:spacing w:val="-18"/>
          <w:w w:val="110"/>
        </w:rPr>
        <w:t> </w:t>
      </w:r>
      <w:r>
        <w:rPr>
          <w:color w:val="231F20"/>
          <w:w w:val="110"/>
        </w:rPr>
        <w:t>Sarkosy</w:t>
      </w:r>
      <w:r>
        <w:rPr>
          <w:color w:val="231F20"/>
          <w:spacing w:val="-18"/>
          <w:w w:val="110"/>
        </w:rPr>
        <w:t> </w:t>
      </w:r>
      <w:r>
        <w:rPr>
          <w:color w:val="231F20"/>
          <w:w w:val="110"/>
        </w:rPr>
        <w:t>impulsan una</w:t>
      </w:r>
      <w:r>
        <w:rPr>
          <w:color w:val="231F20"/>
          <w:spacing w:val="-15"/>
          <w:w w:val="110"/>
        </w:rPr>
        <w:t> </w:t>
      </w:r>
      <w:r>
        <w:rPr>
          <w:color w:val="231F20"/>
          <w:w w:val="110"/>
        </w:rPr>
        <w:t>alternativa</w:t>
      </w:r>
      <w:r>
        <w:rPr>
          <w:color w:val="231F20"/>
          <w:spacing w:val="-15"/>
          <w:w w:val="110"/>
        </w:rPr>
        <w:t> </w:t>
      </w:r>
      <w:r>
        <w:rPr>
          <w:color w:val="231F20"/>
          <w:w w:val="110"/>
        </w:rPr>
        <w:t>que</w:t>
      </w:r>
      <w:r>
        <w:rPr>
          <w:color w:val="231F20"/>
          <w:spacing w:val="-15"/>
          <w:w w:val="110"/>
        </w:rPr>
        <w:t> </w:t>
      </w:r>
      <w:r>
        <w:rPr>
          <w:color w:val="231F20"/>
          <w:w w:val="110"/>
        </w:rPr>
        <w:t>favorece</w:t>
      </w:r>
      <w:r>
        <w:rPr>
          <w:color w:val="231F20"/>
          <w:spacing w:val="-15"/>
          <w:w w:val="110"/>
        </w:rPr>
        <w:t> </w:t>
      </w:r>
      <w:r>
        <w:rPr>
          <w:color w:val="231F20"/>
          <w:w w:val="110"/>
        </w:rPr>
        <w:t>establecer</w:t>
      </w:r>
      <w:r>
        <w:rPr>
          <w:color w:val="231F20"/>
          <w:spacing w:val="-15"/>
          <w:w w:val="110"/>
        </w:rPr>
        <w:t> </w:t>
      </w:r>
      <w:r>
        <w:rPr>
          <w:color w:val="231F20"/>
          <w:w w:val="110"/>
        </w:rPr>
        <w:t>regulaciones</w:t>
      </w:r>
      <w:r>
        <w:rPr>
          <w:color w:val="231F20"/>
          <w:spacing w:val="-15"/>
          <w:w w:val="110"/>
        </w:rPr>
        <w:t> </w:t>
      </w:r>
      <w:r>
        <w:rPr>
          <w:color w:val="231F20"/>
          <w:w w:val="110"/>
        </w:rPr>
        <w:t>más</w:t>
      </w:r>
      <w:r>
        <w:rPr>
          <w:color w:val="231F20"/>
          <w:spacing w:val="-15"/>
          <w:w w:val="110"/>
        </w:rPr>
        <w:t> </w:t>
      </w:r>
      <w:r>
        <w:rPr>
          <w:color w:val="231F20"/>
          <w:w w:val="110"/>
        </w:rPr>
        <w:t>rigurosas</w:t>
      </w:r>
      <w:r>
        <w:rPr>
          <w:color w:val="231F20"/>
          <w:spacing w:val="-15"/>
          <w:w w:val="110"/>
        </w:rPr>
        <w:t> </w:t>
      </w:r>
      <w:r>
        <w:rPr>
          <w:color w:val="231F20"/>
          <w:w w:val="110"/>
        </w:rPr>
        <w:t>en el</w:t>
      </w:r>
      <w:r>
        <w:rPr>
          <w:color w:val="231F20"/>
          <w:spacing w:val="-9"/>
          <w:w w:val="110"/>
        </w:rPr>
        <w:t> </w:t>
      </w:r>
      <w:r>
        <w:rPr>
          <w:color w:val="231F20"/>
          <w:w w:val="110"/>
        </w:rPr>
        <w:t>manejo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finanzas</w:t>
      </w:r>
      <w:r>
        <w:rPr>
          <w:color w:val="231F20"/>
          <w:spacing w:val="-9"/>
          <w:w w:val="110"/>
        </w:rPr>
        <w:t> </w:t>
      </w:r>
      <w:r>
        <w:rPr>
          <w:color w:val="231F20"/>
          <w:w w:val="110"/>
        </w:rPr>
        <w:t>internacionales.</w:t>
      </w:r>
      <w:r>
        <w:rPr>
          <w:color w:val="231F20"/>
          <w:spacing w:val="-9"/>
          <w:w w:val="110"/>
        </w:rPr>
        <w:t> </w:t>
      </w:r>
      <w:r>
        <w:rPr>
          <w:color w:val="231F20"/>
          <w:w w:val="110"/>
        </w:rPr>
        <w:t>Obama</w:t>
      </w:r>
      <w:r>
        <w:rPr>
          <w:color w:val="231F20"/>
          <w:spacing w:val="-9"/>
          <w:w w:val="110"/>
        </w:rPr>
        <w:t> </w:t>
      </w:r>
      <w:r>
        <w:rPr>
          <w:color w:val="231F20"/>
          <w:w w:val="110"/>
        </w:rPr>
        <w:t>reaccionó</w:t>
      </w:r>
      <w:r>
        <w:rPr>
          <w:color w:val="231F20"/>
          <w:spacing w:val="-9"/>
          <w:w w:val="110"/>
        </w:rPr>
        <w:t> </w:t>
      </w:r>
      <w:r>
        <w:rPr>
          <w:color w:val="231F20"/>
          <w:w w:val="110"/>
        </w:rPr>
        <w:t>diciendo que</w:t>
      </w:r>
      <w:r>
        <w:rPr>
          <w:color w:val="231F20"/>
          <w:spacing w:val="-8"/>
          <w:w w:val="110"/>
        </w:rPr>
        <w:t> </w:t>
      </w:r>
      <w:r>
        <w:rPr>
          <w:color w:val="231F20"/>
          <w:w w:val="110"/>
        </w:rPr>
        <w:t>“es</w:t>
      </w:r>
      <w:r>
        <w:rPr>
          <w:color w:val="231F20"/>
          <w:spacing w:val="-8"/>
          <w:w w:val="110"/>
        </w:rPr>
        <w:t> </w:t>
      </w:r>
      <w:r>
        <w:rPr>
          <w:color w:val="231F20"/>
          <w:w w:val="110"/>
        </w:rPr>
        <w:t>un</w:t>
      </w:r>
      <w:r>
        <w:rPr>
          <w:color w:val="231F20"/>
          <w:spacing w:val="-8"/>
          <w:w w:val="110"/>
        </w:rPr>
        <w:t> </w:t>
      </w:r>
      <w:r>
        <w:rPr>
          <w:color w:val="231F20"/>
          <w:w w:val="110"/>
        </w:rPr>
        <w:t>hecho</w:t>
      </w:r>
      <w:r>
        <w:rPr>
          <w:color w:val="231F20"/>
          <w:spacing w:val="-8"/>
          <w:w w:val="110"/>
        </w:rPr>
        <w:t> </w:t>
      </w:r>
      <w:r>
        <w:rPr>
          <w:color w:val="231F20"/>
          <w:w w:val="110"/>
        </w:rPr>
        <w:t>que</w:t>
      </w:r>
      <w:r>
        <w:rPr>
          <w:color w:val="231F20"/>
          <w:spacing w:val="-8"/>
          <w:w w:val="110"/>
        </w:rPr>
        <w:t> </w:t>
      </w:r>
      <w:r>
        <w:rPr>
          <w:color w:val="231F20"/>
          <w:w w:val="110"/>
        </w:rPr>
        <w:t>hay</w:t>
      </w:r>
      <w:r>
        <w:rPr>
          <w:color w:val="231F20"/>
          <w:spacing w:val="-8"/>
          <w:w w:val="110"/>
        </w:rPr>
        <w:t> </w:t>
      </w:r>
      <w:r>
        <w:rPr>
          <w:color w:val="231F20"/>
          <w:w w:val="110"/>
        </w:rPr>
        <w:t>quienes</w:t>
      </w:r>
      <w:r>
        <w:rPr>
          <w:color w:val="231F20"/>
          <w:spacing w:val="-8"/>
          <w:w w:val="110"/>
        </w:rPr>
        <w:t> </w:t>
      </w:r>
      <w:r>
        <w:rPr>
          <w:color w:val="231F20"/>
          <w:w w:val="110"/>
        </w:rPr>
        <w:t>empujan</w:t>
      </w:r>
      <w:r>
        <w:rPr>
          <w:color w:val="231F20"/>
          <w:spacing w:val="-8"/>
          <w:w w:val="110"/>
        </w:rPr>
        <w:t> </w:t>
      </w:r>
      <w:r>
        <w:rPr>
          <w:color w:val="231F20"/>
          <w:w w:val="110"/>
        </w:rPr>
        <w:t>a</w:t>
      </w:r>
      <w:r>
        <w:rPr>
          <w:color w:val="231F20"/>
          <w:spacing w:val="-8"/>
          <w:w w:val="110"/>
        </w:rPr>
        <w:t> </w:t>
      </w:r>
      <w:r>
        <w:rPr>
          <w:color w:val="231F20"/>
          <w:w w:val="110"/>
        </w:rPr>
        <w:t>favor</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regulación</w:t>
      </w:r>
      <w:r>
        <w:rPr>
          <w:color w:val="231F20"/>
          <w:spacing w:val="-8"/>
          <w:w w:val="110"/>
        </w:rPr>
        <w:t> </w:t>
      </w:r>
      <w:r>
        <w:rPr>
          <w:color w:val="231F20"/>
          <w:w w:val="110"/>
        </w:rPr>
        <w:t>y otros que lo están resistiendo”. El presidente Sarkosy ya había</w:t>
      </w:r>
      <w:r>
        <w:rPr>
          <w:color w:val="231F20"/>
          <w:spacing w:val="-32"/>
          <w:w w:val="110"/>
        </w:rPr>
        <w:t> </w:t>
      </w:r>
      <w:r>
        <w:rPr>
          <w:color w:val="231F20"/>
          <w:w w:val="110"/>
        </w:rPr>
        <w:t>anun- ciado su abandono de la reunión de Londres si se pretendía que se firmaran</w:t>
      </w:r>
      <w:r>
        <w:rPr>
          <w:color w:val="231F20"/>
          <w:spacing w:val="-19"/>
          <w:w w:val="110"/>
        </w:rPr>
        <w:t> </w:t>
      </w:r>
      <w:r>
        <w:rPr>
          <w:color w:val="231F20"/>
          <w:w w:val="110"/>
        </w:rPr>
        <w:t>“compromisos</w:t>
      </w:r>
      <w:r>
        <w:rPr>
          <w:color w:val="231F20"/>
          <w:spacing w:val="-19"/>
          <w:w w:val="110"/>
        </w:rPr>
        <w:t> </w:t>
      </w:r>
      <w:r>
        <w:rPr>
          <w:color w:val="231F20"/>
          <w:w w:val="110"/>
        </w:rPr>
        <w:t>falsos”</w:t>
      </w:r>
      <w:r>
        <w:rPr>
          <w:color w:val="231F20"/>
          <w:spacing w:val="-19"/>
          <w:w w:val="110"/>
        </w:rPr>
        <w:t> </w:t>
      </w:r>
      <w:r>
        <w:rPr>
          <w:color w:val="231F20"/>
          <w:w w:val="110"/>
        </w:rPr>
        <w:t>(Castellina,</w:t>
      </w:r>
      <w:r>
        <w:rPr>
          <w:color w:val="231F20"/>
          <w:spacing w:val="-19"/>
          <w:w w:val="110"/>
        </w:rPr>
        <w:t> </w:t>
      </w:r>
      <w:r>
        <w:rPr>
          <w:color w:val="231F20"/>
          <w:w w:val="110"/>
        </w:rPr>
        <w:t>2009).</w:t>
      </w:r>
    </w:p>
    <w:p>
      <w:pPr>
        <w:spacing w:after="0" w:line="261" w:lineRule="auto"/>
        <w:jc w:val="both"/>
        <w:sectPr>
          <w:pgSz w:w="7640" w:h="11900"/>
          <w:pgMar w:header="672" w:footer="0" w:top="860" w:bottom="280" w:left="660" w:right="760"/>
        </w:sectPr>
      </w:pPr>
    </w:p>
    <w:p>
      <w:pPr>
        <w:spacing w:before="167"/>
        <w:ind w:left="100" w:right="0" w:firstLine="0"/>
        <w:jc w:val="both"/>
        <w:rPr>
          <w:i/>
          <w:sz w:val="20"/>
        </w:rPr>
      </w:pPr>
      <w:r>
        <w:rPr>
          <w:i/>
          <w:color w:val="231F20"/>
          <w:sz w:val="20"/>
        </w:rPr>
        <w:t>Plan 3: Hu</w:t>
      </w:r>
    </w:p>
    <w:p>
      <w:pPr>
        <w:pStyle w:val="BodyText"/>
        <w:spacing w:before="5"/>
        <w:rPr>
          <w:i/>
          <w:sz w:val="23"/>
        </w:rPr>
      </w:pPr>
    </w:p>
    <w:p>
      <w:pPr>
        <w:pStyle w:val="BodyText"/>
        <w:spacing w:line="261" w:lineRule="auto"/>
        <w:ind w:left="100" w:right="114"/>
        <w:jc w:val="both"/>
      </w:pPr>
      <w:r>
        <w:rPr>
          <w:color w:val="231F20"/>
          <w:w w:val="110"/>
        </w:rPr>
        <w:t>En una iniciativa poco usual, el presidente del Banco Popular de China, Zhou Xiaochuan, recomendó, justo antes de la reunión del G20 en Londres, que se creara una “moneda global” controlada por el Fondo Monetario Internacional (fmi). El documento que circuló por Internet, explicaba cómo la crisis económica descubre el peligro de depender de la moneda de un solo país para efectuar los pagos internacionales. “Una moneda de reserva basada en los Derechos Especiales de Giro creados por el fmi, podría servir para crear y controlar la liquidez a escala global.”</w:t>
      </w:r>
    </w:p>
    <w:p>
      <w:pPr>
        <w:pStyle w:val="BodyText"/>
        <w:ind w:left="340" w:right="25"/>
      </w:pPr>
      <w:r>
        <w:rPr>
          <w:color w:val="231F20"/>
          <w:w w:val="110"/>
        </w:rPr>
        <w:t>Según Immanuel Wallerstein (2009):</w:t>
      </w:r>
    </w:p>
    <w:p>
      <w:pPr>
        <w:pStyle w:val="BodyText"/>
        <w:spacing w:before="1"/>
        <w:rPr>
          <w:sz w:val="25"/>
        </w:rPr>
      </w:pPr>
    </w:p>
    <w:p>
      <w:pPr>
        <w:spacing w:line="290" w:lineRule="auto" w:before="0"/>
        <w:ind w:left="73" w:right="111" w:firstLine="0"/>
        <w:jc w:val="right"/>
        <w:rPr>
          <w:sz w:val="18"/>
        </w:rPr>
      </w:pPr>
      <w:r>
        <w:rPr>
          <w:color w:val="231F20"/>
          <w:w w:val="110"/>
          <w:sz w:val="18"/>
        </w:rPr>
        <w:t>todos los actores principales están confiando que pueda haber</w:t>
      </w:r>
      <w:r>
        <w:rPr>
          <w:color w:val="231F20"/>
          <w:spacing w:val="-7"/>
          <w:w w:val="110"/>
          <w:sz w:val="18"/>
        </w:rPr>
        <w:t> </w:t>
      </w:r>
      <w:r>
        <w:rPr>
          <w:color w:val="231F20"/>
          <w:w w:val="110"/>
          <w:sz w:val="18"/>
        </w:rPr>
        <w:t>una</w:t>
      </w:r>
      <w:r>
        <w:rPr>
          <w:color w:val="231F20"/>
          <w:spacing w:val="-1"/>
          <w:w w:val="110"/>
          <w:sz w:val="18"/>
        </w:rPr>
        <w:t> </w:t>
      </w:r>
      <w:r>
        <w:rPr>
          <w:color w:val="231F20"/>
          <w:w w:val="110"/>
          <w:sz w:val="18"/>
        </w:rPr>
        <w:t>aterrizaje</w:t>
      </w:r>
      <w:r>
        <w:rPr>
          <w:color w:val="231F20"/>
          <w:w w:val="108"/>
          <w:sz w:val="18"/>
        </w:rPr>
        <w:t> </w:t>
      </w:r>
      <w:r>
        <w:rPr>
          <w:color w:val="231F20"/>
          <w:w w:val="110"/>
          <w:sz w:val="18"/>
        </w:rPr>
        <w:t>suave, una transición ordenada hacia algo que se aparte del dólar</w:t>
      </w:r>
      <w:r>
        <w:rPr>
          <w:color w:val="231F20"/>
          <w:spacing w:val="-29"/>
          <w:w w:val="110"/>
          <w:sz w:val="18"/>
        </w:rPr>
        <w:t> </w:t>
      </w:r>
      <w:r>
        <w:rPr>
          <w:color w:val="231F20"/>
          <w:w w:val="110"/>
          <w:sz w:val="18"/>
        </w:rPr>
        <w:t>de</w:t>
      </w:r>
      <w:r>
        <w:rPr>
          <w:color w:val="231F20"/>
          <w:spacing w:val="-3"/>
          <w:w w:val="110"/>
          <w:sz w:val="18"/>
        </w:rPr>
        <w:t> </w:t>
      </w:r>
      <w:r>
        <w:rPr>
          <w:color w:val="231F20"/>
          <w:w w:val="110"/>
          <w:sz w:val="18"/>
        </w:rPr>
        <w:t>Estados</w:t>
      </w:r>
      <w:r>
        <w:rPr>
          <w:color w:val="231F20"/>
          <w:w w:val="105"/>
          <w:sz w:val="18"/>
        </w:rPr>
        <w:t> </w:t>
      </w:r>
      <w:r>
        <w:rPr>
          <w:color w:val="231F20"/>
          <w:w w:val="110"/>
          <w:sz w:val="18"/>
        </w:rPr>
        <w:t>Unidos. Nadie quiere precipitar una caída libre, porque nadie está</w:t>
      </w:r>
      <w:r>
        <w:rPr>
          <w:color w:val="231F20"/>
          <w:spacing w:val="-9"/>
          <w:w w:val="110"/>
          <w:sz w:val="18"/>
        </w:rPr>
        <w:t> </w:t>
      </w:r>
      <w:r>
        <w:rPr>
          <w:color w:val="231F20"/>
          <w:w w:val="110"/>
          <w:sz w:val="18"/>
        </w:rPr>
        <w:t>seguro</w:t>
      </w:r>
      <w:r>
        <w:rPr>
          <w:color w:val="231F20"/>
          <w:spacing w:val="-1"/>
          <w:w w:val="110"/>
          <w:sz w:val="18"/>
        </w:rPr>
        <w:t> </w:t>
      </w:r>
      <w:r>
        <w:rPr>
          <w:color w:val="231F20"/>
          <w:w w:val="110"/>
          <w:sz w:val="18"/>
        </w:rPr>
        <w:t>de</w:t>
      </w:r>
      <w:r>
        <w:rPr>
          <w:color w:val="231F20"/>
          <w:w w:val="114"/>
          <w:sz w:val="18"/>
        </w:rPr>
        <w:t> </w:t>
      </w:r>
      <w:r>
        <w:rPr>
          <w:color w:val="231F20"/>
          <w:w w:val="110"/>
          <w:sz w:val="18"/>
        </w:rPr>
        <w:t>salir adelante si eso ocurre. Pero si el (paquete de) estímulos</w:t>
      </w:r>
      <w:r>
        <w:rPr>
          <w:color w:val="231F20"/>
          <w:spacing w:val="-28"/>
          <w:w w:val="110"/>
          <w:sz w:val="18"/>
        </w:rPr>
        <w:t> </w:t>
      </w:r>
      <w:r>
        <w:rPr>
          <w:color w:val="231F20"/>
          <w:w w:val="110"/>
          <w:sz w:val="18"/>
        </w:rPr>
        <w:t>de</w:t>
      </w:r>
      <w:r>
        <w:rPr>
          <w:color w:val="231F20"/>
          <w:spacing w:val="-3"/>
          <w:w w:val="110"/>
          <w:sz w:val="18"/>
        </w:rPr>
        <w:t> </w:t>
      </w:r>
      <w:r>
        <w:rPr>
          <w:color w:val="231F20"/>
          <w:w w:val="110"/>
          <w:sz w:val="18"/>
        </w:rPr>
        <w:t>Washington</w:t>
      </w:r>
      <w:r>
        <w:rPr>
          <w:color w:val="231F20"/>
          <w:w w:val="111"/>
          <w:sz w:val="18"/>
        </w:rPr>
        <w:t> </w:t>
      </w:r>
      <w:r>
        <w:rPr>
          <w:color w:val="231F20"/>
          <w:w w:val="110"/>
          <w:sz w:val="18"/>
        </w:rPr>
        <w:t>resulta ser la última de las burbujas, el dólar bien puede</w:t>
      </w:r>
      <w:r>
        <w:rPr>
          <w:color w:val="231F20"/>
          <w:spacing w:val="17"/>
          <w:w w:val="110"/>
          <w:sz w:val="18"/>
        </w:rPr>
        <w:t> </w:t>
      </w:r>
      <w:r>
        <w:rPr>
          <w:color w:val="231F20"/>
          <w:w w:val="110"/>
          <w:sz w:val="18"/>
        </w:rPr>
        <w:t>desinflarse</w:t>
      </w:r>
      <w:r>
        <w:rPr>
          <w:color w:val="231F20"/>
          <w:spacing w:val="1"/>
          <w:w w:val="110"/>
          <w:sz w:val="18"/>
        </w:rPr>
        <w:t> </w:t>
      </w:r>
      <w:r>
        <w:rPr>
          <w:color w:val="231F20"/>
          <w:w w:val="110"/>
          <w:sz w:val="18"/>
        </w:rPr>
        <w:t>repenti-</w:t>
      </w:r>
      <w:r>
        <w:rPr>
          <w:color w:val="231F20"/>
          <w:w w:val="72"/>
          <w:sz w:val="18"/>
        </w:rPr>
        <w:t> </w:t>
      </w:r>
      <w:r>
        <w:rPr>
          <w:color w:val="231F20"/>
          <w:w w:val="110"/>
          <w:sz w:val="18"/>
        </w:rPr>
        <w:t>namente en la forma más caótica. El modo de decir “estampida”</w:t>
      </w:r>
      <w:r>
        <w:rPr>
          <w:color w:val="231F20"/>
          <w:spacing w:val="45"/>
          <w:w w:val="110"/>
          <w:sz w:val="18"/>
        </w:rPr>
        <w:t> </w:t>
      </w:r>
      <w:r>
        <w:rPr>
          <w:color w:val="231F20"/>
          <w:w w:val="110"/>
          <w:sz w:val="18"/>
        </w:rPr>
        <w:t>en</w:t>
      </w:r>
      <w:r>
        <w:rPr>
          <w:color w:val="231F20"/>
          <w:spacing w:val="4"/>
          <w:w w:val="110"/>
          <w:sz w:val="18"/>
        </w:rPr>
        <w:t> </w:t>
      </w:r>
      <w:r>
        <w:rPr>
          <w:color w:val="231F20"/>
          <w:w w:val="110"/>
          <w:sz w:val="18"/>
        </w:rPr>
        <w:t>francés</w:t>
      </w:r>
      <w:r>
        <w:rPr>
          <w:color w:val="231F20"/>
          <w:w w:val="108"/>
          <w:sz w:val="18"/>
        </w:rPr>
        <w:t> </w:t>
      </w:r>
      <w:r>
        <w:rPr>
          <w:color w:val="231F20"/>
          <w:w w:val="110"/>
          <w:sz w:val="18"/>
        </w:rPr>
        <w:t>es</w:t>
      </w:r>
      <w:r>
        <w:rPr>
          <w:color w:val="231F20"/>
          <w:spacing w:val="-18"/>
          <w:w w:val="110"/>
          <w:sz w:val="18"/>
        </w:rPr>
        <w:t> </w:t>
      </w:r>
      <w:r>
        <w:rPr>
          <w:color w:val="231F20"/>
          <w:w w:val="110"/>
          <w:sz w:val="18"/>
        </w:rPr>
        <w:t>“</w:t>
      </w:r>
      <w:r>
        <w:rPr>
          <w:i/>
          <w:color w:val="231F20"/>
          <w:w w:val="110"/>
          <w:sz w:val="18"/>
        </w:rPr>
        <w:t>sauve-qui-peut</w:t>
      </w:r>
      <w:r>
        <w:rPr>
          <w:color w:val="231F20"/>
          <w:w w:val="110"/>
          <w:sz w:val="18"/>
        </w:rPr>
        <w:t>”,</w:t>
      </w:r>
      <w:r>
        <w:rPr>
          <w:color w:val="231F20"/>
          <w:spacing w:val="-18"/>
          <w:w w:val="110"/>
          <w:sz w:val="18"/>
        </w:rPr>
        <w:t> </w:t>
      </w:r>
      <w:r>
        <w:rPr>
          <w:color w:val="231F20"/>
          <w:w w:val="110"/>
          <w:sz w:val="18"/>
        </w:rPr>
        <w:t>que</w:t>
      </w:r>
      <w:r>
        <w:rPr>
          <w:color w:val="231F20"/>
          <w:spacing w:val="-18"/>
          <w:w w:val="110"/>
          <w:sz w:val="18"/>
        </w:rPr>
        <w:t> </w:t>
      </w:r>
      <w:r>
        <w:rPr>
          <w:color w:val="231F20"/>
          <w:w w:val="110"/>
          <w:sz w:val="18"/>
        </w:rPr>
        <w:t>se</w:t>
      </w:r>
      <w:r>
        <w:rPr>
          <w:color w:val="231F20"/>
          <w:spacing w:val="-18"/>
          <w:w w:val="110"/>
          <w:sz w:val="18"/>
        </w:rPr>
        <w:t> </w:t>
      </w:r>
      <w:r>
        <w:rPr>
          <w:color w:val="231F20"/>
          <w:w w:val="110"/>
          <w:sz w:val="18"/>
        </w:rPr>
        <w:t>traduce</w:t>
      </w:r>
      <w:r>
        <w:rPr>
          <w:color w:val="231F20"/>
          <w:spacing w:val="-18"/>
          <w:w w:val="110"/>
          <w:sz w:val="18"/>
        </w:rPr>
        <w:t> </w:t>
      </w:r>
      <w:r>
        <w:rPr>
          <w:color w:val="231F20"/>
          <w:w w:val="110"/>
          <w:sz w:val="18"/>
        </w:rPr>
        <w:t>literalmente</w:t>
      </w:r>
      <w:r>
        <w:rPr>
          <w:color w:val="231F20"/>
          <w:spacing w:val="-18"/>
          <w:w w:val="110"/>
          <w:sz w:val="18"/>
        </w:rPr>
        <w:t> </w:t>
      </w:r>
      <w:r>
        <w:rPr>
          <w:color w:val="231F20"/>
          <w:w w:val="110"/>
          <w:sz w:val="18"/>
        </w:rPr>
        <w:t>como</w:t>
      </w:r>
      <w:r>
        <w:rPr>
          <w:color w:val="231F20"/>
          <w:spacing w:val="-18"/>
          <w:w w:val="110"/>
          <w:sz w:val="18"/>
        </w:rPr>
        <w:t> </w:t>
      </w:r>
      <w:r>
        <w:rPr>
          <w:color w:val="231F20"/>
          <w:w w:val="110"/>
          <w:sz w:val="18"/>
        </w:rPr>
        <w:t>“sálvese</w:t>
      </w:r>
      <w:r>
        <w:rPr>
          <w:color w:val="231F20"/>
          <w:spacing w:val="-18"/>
          <w:w w:val="110"/>
          <w:sz w:val="18"/>
        </w:rPr>
        <w:t> </w:t>
      </w:r>
      <w:r>
        <w:rPr>
          <w:color w:val="231F20"/>
          <w:w w:val="110"/>
          <w:sz w:val="18"/>
        </w:rPr>
        <w:t>quien</w:t>
      </w:r>
      <w:r>
        <w:rPr>
          <w:color w:val="231F20"/>
          <w:spacing w:val="-18"/>
          <w:w w:val="110"/>
          <w:sz w:val="18"/>
        </w:rPr>
        <w:t> </w:t>
      </w:r>
      <w:r>
        <w:rPr>
          <w:color w:val="231F20"/>
          <w:w w:val="110"/>
          <w:sz w:val="18"/>
        </w:rPr>
        <w:t>pueda”.</w:t>
      </w:r>
    </w:p>
    <w:p>
      <w:pPr>
        <w:pStyle w:val="BodyText"/>
        <w:spacing w:before="2"/>
      </w:pPr>
    </w:p>
    <w:p>
      <w:pPr>
        <w:pStyle w:val="BodyText"/>
        <w:spacing w:line="261" w:lineRule="auto"/>
        <w:ind w:left="100" w:right="111" w:firstLine="240"/>
        <w:jc w:val="both"/>
      </w:pPr>
      <w:r>
        <w:rPr>
          <w:color w:val="231F20"/>
          <w:w w:val="110"/>
        </w:rPr>
        <w:t>La otra contradicción es que si China comienza a diversificar rápidamente su cartera de inversiones y de reservas, saliendo brus- camente de la esfera </w:t>
      </w:r>
      <w:r>
        <w:rPr>
          <w:color w:val="231F20"/>
          <w:spacing w:val="-3"/>
          <w:w w:val="110"/>
        </w:rPr>
        <w:t>dólar, </w:t>
      </w:r>
      <w:r>
        <w:rPr>
          <w:color w:val="231F20"/>
          <w:w w:val="110"/>
        </w:rPr>
        <w:t>el </w:t>
      </w:r>
      <w:r>
        <w:rPr>
          <w:color w:val="231F20"/>
          <w:spacing w:val="-4"/>
          <w:w w:val="110"/>
        </w:rPr>
        <w:t>Tesoro </w:t>
      </w:r>
      <w:r>
        <w:rPr>
          <w:color w:val="231F20"/>
          <w:w w:val="110"/>
        </w:rPr>
        <w:t>se verá obligado a incrementar la tasa de interés. Eso pondría en peligro cualquier recuperación    en Estados Unidos y comprometería la capacidad del gobierno para regresar a un balance fiscal más o menos controlable a corto plazo (Nadal, 2009).</w:t>
      </w:r>
    </w:p>
    <w:p>
      <w:pPr>
        <w:pStyle w:val="BodyText"/>
        <w:spacing w:line="261" w:lineRule="auto"/>
        <w:ind w:left="100" w:right="117" w:firstLine="240"/>
        <w:jc w:val="both"/>
      </w:pPr>
      <w:r>
        <w:rPr>
          <w:color w:val="231F20"/>
          <w:w w:val="110"/>
        </w:rPr>
        <w:t>Los chinos están estableciendo, junto con otros doce países de Asia —incluyendo a Japón y Corea del Sur— una reserva</w:t>
      </w:r>
      <w:r>
        <w:rPr>
          <w:color w:val="231F20"/>
          <w:spacing w:val="-30"/>
          <w:w w:val="110"/>
        </w:rPr>
        <w:t> </w:t>
      </w:r>
      <w:r>
        <w:rPr>
          <w:color w:val="231F20"/>
          <w:w w:val="110"/>
        </w:rPr>
        <w:t>monetaria de</w:t>
      </w:r>
      <w:r>
        <w:rPr>
          <w:color w:val="231F20"/>
          <w:spacing w:val="-5"/>
          <w:w w:val="110"/>
        </w:rPr>
        <w:t> </w:t>
      </w:r>
      <w:r>
        <w:rPr>
          <w:color w:val="231F20"/>
          <w:w w:val="110"/>
        </w:rPr>
        <w:t>120</w:t>
      </w:r>
      <w:r>
        <w:rPr>
          <w:color w:val="231F20"/>
          <w:spacing w:val="-5"/>
          <w:w w:val="110"/>
        </w:rPr>
        <w:t> </w:t>
      </w:r>
      <w:r>
        <w:rPr>
          <w:color w:val="231F20"/>
          <w:w w:val="110"/>
        </w:rPr>
        <w:t>mil</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dólares</w:t>
      </w:r>
      <w:r>
        <w:rPr>
          <w:color w:val="231F20"/>
          <w:spacing w:val="-5"/>
          <w:w w:val="110"/>
        </w:rPr>
        <w:t> </w:t>
      </w:r>
      <w:r>
        <w:rPr>
          <w:color w:val="231F20"/>
          <w:w w:val="110"/>
        </w:rPr>
        <w:t>para</w:t>
      </w:r>
      <w:r>
        <w:rPr>
          <w:color w:val="231F20"/>
          <w:spacing w:val="-5"/>
          <w:w w:val="110"/>
        </w:rPr>
        <w:t> </w:t>
      </w:r>
      <w:r>
        <w:rPr>
          <w:color w:val="231F20"/>
          <w:w w:val="110"/>
        </w:rPr>
        <w:t>enfrentar</w:t>
      </w:r>
      <w:r>
        <w:rPr>
          <w:color w:val="231F20"/>
          <w:spacing w:val="-5"/>
          <w:w w:val="110"/>
        </w:rPr>
        <w:t> </w:t>
      </w:r>
      <w:r>
        <w:rPr>
          <w:color w:val="231F20"/>
          <w:w w:val="110"/>
        </w:rPr>
        <w:t>problemas</w:t>
      </w:r>
      <w:r>
        <w:rPr>
          <w:color w:val="231F20"/>
          <w:spacing w:val="-5"/>
          <w:w w:val="110"/>
        </w:rPr>
        <w:t> </w:t>
      </w:r>
      <w:r>
        <w:rPr>
          <w:color w:val="231F20"/>
          <w:w w:val="110"/>
        </w:rPr>
        <w:t>de</w:t>
      </w:r>
      <w:r>
        <w:rPr>
          <w:color w:val="231F20"/>
          <w:spacing w:val="-5"/>
          <w:w w:val="110"/>
        </w:rPr>
        <w:t> </w:t>
      </w:r>
      <w:r>
        <w:rPr>
          <w:color w:val="231F20"/>
          <w:w w:val="110"/>
        </w:rPr>
        <w:t>liquidez. La iniciativa beneficia a China que tiene la reserva en dólares más grande  del</w:t>
      </w:r>
      <w:r>
        <w:rPr>
          <w:color w:val="231F20"/>
          <w:spacing w:val="7"/>
          <w:w w:val="110"/>
        </w:rPr>
        <w:t> </w:t>
      </w:r>
      <w:r>
        <w:rPr>
          <w:color w:val="231F20"/>
          <w:w w:val="110"/>
        </w:rPr>
        <w:t>mundo.</w:t>
      </w:r>
    </w:p>
    <w:p>
      <w:pPr>
        <w:pStyle w:val="BodyText"/>
        <w:spacing w:line="261" w:lineRule="auto"/>
        <w:ind w:left="100" w:right="118" w:firstLine="240"/>
        <w:jc w:val="both"/>
      </w:pPr>
      <w:r>
        <w:rPr>
          <w:color w:val="231F20"/>
          <w:w w:val="110"/>
        </w:rPr>
        <w:t>Giovanni Arrighi señaló, en su momento, que China tiene dos alternativas para enfrentar el futuro inmediato. Por un lado, una opción catastrófica en el caso de que China siga el patrón capitalista estadunidense. Por la otra, relativamente más tranquilizadora, si la abandonara. La apuesta del autor se inclina claramente por la</w:t>
      </w:r>
      <w:r>
        <w:rPr>
          <w:color w:val="231F20"/>
          <w:spacing w:val="-17"/>
          <w:w w:val="110"/>
        </w:rPr>
        <w:t> </w:t>
      </w:r>
      <w:r>
        <w:rPr>
          <w:color w:val="231F20"/>
          <w:w w:val="110"/>
        </w:rPr>
        <w:t>segun- da, aunque con</w:t>
      </w:r>
      <w:r>
        <w:rPr>
          <w:color w:val="231F20"/>
          <w:spacing w:val="50"/>
          <w:w w:val="110"/>
        </w:rPr>
        <w:t> </w:t>
      </w:r>
      <w:r>
        <w:rPr>
          <w:color w:val="231F20"/>
          <w:w w:val="110"/>
        </w:rPr>
        <w:t>cautela:</w:t>
      </w:r>
    </w:p>
    <w:p>
      <w:pPr>
        <w:spacing w:after="0" w:line="261" w:lineRule="auto"/>
        <w:jc w:val="both"/>
        <w:sectPr>
          <w:headerReference w:type="even" r:id="rId113"/>
          <w:headerReference w:type="default" r:id="rId114"/>
          <w:pgSz w:w="7640" w:h="11900"/>
          <w:pgMar w:header="672" w:footer="0" w:top="860" w:bottom="280" w:left="780" w:right="640"/>
          <w:pgNumType w:start="152"/>
        </w:sectPr>
      </w:pPr>
    </w:p>
    <w:p>
      <w:pPr>
        <w:pStyle w:val="BodyText"/>
        <w:spacing w:before="8"/>
        <w:rPr>
          <w:sz w:val="8"/>
        </w:rPr>
      </w:pPr>
    </w:p>
    <w:p>
      <w:pPr>
        <w:spacing w:line="290" w:lineRule="auto" w:before="71"/>
        <w:ind w:left="100" w:right="116" w:firstLine="0"/>
        <w:jc w:val="both"/>
        <w:rPr>
          <w:i/>
          <w:sz w:val="18"/>
        </w:rPr>
      </w:pPr>
      <w:r>
        <w:rPr>
          <w:color w:val="231F20"/>
          <w:w w:val="110"/>
          <w:sz w:val="18"/>
        </w:rPr>
        <w:t>Si la reorientación consigue revitalizar y consolidar las tradiciones chinas de desarrollo autocentrado basado en el mercado, acumulación sin despo- sesión, movilización de los recursos humanos más que de los no humanos   y gobierno mediante la participación de las masas en la toma de decisiones, entonces es probable que China esté en condiciones de contribuir decisiva- mente al surgimiento de una comunidad de civilizaciones auténticamente respetuosa hacia las diferencias culturales […] Si la reorientación fracasa, China</w:t>
      </w:r>
      <w:r>
        <w:rPr>
          <w:color w:val="231F20"/>
          <w:spacing w:val="-11"/>
          <w:w w:val="110"/>
          <w:sz w:val="18"/>
        </w:rPr>
        <w:t> </w:t>
      </w:r>
      <w:r>
        <w:rPr>
          <w:color w:val="231F20"/>
          <w:w w:val="110"/>
          <w:sz w:val="18"/>
        </w:rPr>
        <w:t>puede</w:t>
      </w:r>
      <w:r>
        <w:rPr>
          <w:color w:val="231F20"/>
          <w:spacing w:val="-11"/>
          <w:w w:val="110"/>
          <w:sz w:val="18"/>
        </w:rPr>
        <w:t> </w:t>
      </w:r>
      <w:r>
        <w:rPr>
          <w:color w:val="231F20"/>
          <w:w w:val="110"/>
          <w:sz w:val="18"/>
        </w:rPr>
        <w:t>muy</w:t>
      </w:r>
      <w:r>
        <w:rPr>
          <w:color w:val="231F20"/>
          <w:spacing w:val="-11"/>
          <w:w w:val="110"/>
          <w:sz w:val="18"/>
        </w:rPr>
        <w:t> </w:t>
      </w:r>
      <w:r>
        <w:rPr>
          <w:color w:val="231F20"/>
          <w:w w:val="110"/>
          <w:sz w:val="18"/>
        </w:rPr>
        <w:t>bien</w:t>
      </w:r>
      <w:r>
        <w:rPr>
          <w:color w:val="231F20"/>
          <w:spacing w:val="-11"/>
          <w:w w:val="110"/>
          <w:sz w:val="18"/>
        </w:rPr>
        <w:t> </w:t>
      </w:r>
      <w:r>
        <w:rPr>
          <w:color w:val="231F20"/>
          <w:w w:val="110"/>
          <w:sz w:val="18"/>
        </w:rPr>
        <w:t>convertirse</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un</w:t>
      </w:r>
      <w:r>
        <w:rPr>
          <w:color w:val="231F20"/>
          <w:spacing w:val="-11"/>
          <w:w w:val="110"/>
          <w:sz w:val="18"/>
        </w:rPr>
        <w:t> </w:t>
      </w:r>
      <w:r>
        <w:rPr>
          <w:color w:val="231F20"/>
          <w:w w:val="110"/>
          <w:sz w:val="18"/>
        </w:rPr>
        <w:t>nuevo</w:t>
      </w:r>
      <w:r>
        <w:rPr>
          <w:color w:val="231F20"/>
          <w:spacing w:val="-11"/>
          <w:w w:val="110"/>
          <w:sz w:val="18"/>
        </w:rPr>
        <w:t> </w:t>
      </w:r>
      <w:r>
        <w:rPr>
          <w:color w:val="231F20"/>
          <w:w w:val="110"/>
          <w:sz w:val="18"/>
        </w:rPr>
        <w:t>foco</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caos</w:t>
      </w:r>
      <w:r>
        <w:rPr>
          <w:color w:val="231F20"/>
          <w:spacing w:val="-11"/>
          <w:w w:val="110"/>
          <w:sz w:val="18"/>
        </w:rPr>
        <w:t> </w:t>
      </w:r>
      <w:r>
        <w:rPr>
          <w:color w:val="231F20"/>
          <w:w w:val="110"/>
          <w:sz w:val="18"/>
        </w:rPr>
        <w:t>social</w:t>
      </w:r>
      <w:r>
        <w:rPr>
          <w:color w:val="231F20"/>
          <w:spacing w:val="-11"/>
          <w:w w:val="110"/>
          <w:sz w:val="18"/>
        </w:rPr>
        <w:t> </w:t>
      </w:r>
      <w:r>
        <w:rPr>
          <w:color w:val="231F20"/>
          <w:w w:val="110"/>
          <w:sz w:val="18"/>
        </w:rPr>
        <w:t>y</w:t>
      </w:r>
      <w:r>
        <w:rPr>
          <w:color w:val="231F20"/>
          <w:spacing w:val="-11"/>
          <w:w w:val="110"/>
          <w:sz w:val="18"/>
        </w:rPr>
        <w:t> </w:t>
      </w:r>
      <w:r>
        <w:rPr>
          <w:color w:val="231F20"/>
          <w:w w:val="110"/>
          <w:sz w:val="18"/>
        </w:rPr>
        <w:t>político que facilite los intentos del Norte por restablecer un dominio global que    se desmorona o […] ayude a la humanidad a arder en los horrores (o las glorias) de la creciente violencia que acompaña la liquidación del orden mundial de la guerra fría (Arrigui, </w:t>
      </w:r>
      <w:r>
        <w:rPr>
          <w:color w:val="231F20"/>
          <w:spacing w:val="14"/>
          <w:w w:val="110"/>
          <w:sz w:val="18"/>
        </w:rPr>
        <w:t> </w:t>
      </w:r>
      <w:r>
        <w:rPr>
          <w:color w:val="231F20"/>
          <w:w w:val="110"/>
          <w:sz w:val="18"/>
        </w:rPr>
        <w:t>2008)</w:t>
      </w:r>
      <w:r>
        <w:rPr>
          <w:i/>
          <w:color w:val="231F20"/>
          <w:w w:val="110"/>
          <w:sz w:val="18"/>
        </w:rPr>
        <w:t>.</w:t>
      </w:r>
    </w:p>
    <w:p>
      <w:pPr>
        <w:pStyle w:val="BodyText"/>
        <w:spacing w:before="2"/>
        <w:rPr>
          <w:i/>
        </w:rPr>
      </w:pPr>
    </w:p>
    <w:p>
      <w:pPr>
        <w:pStyle w:val="BodyText"/>
        <w:spacing w:line="261" w:lineRule="auto"/>
        <w:ind w:left="100" w:right="117" w:firstLine="240"/>
        <w:jc w:val="both"/>
        <w:rPr>
          <w:sz w:val="13"/>
        </w:rPr>
      </w:pPr>
      <w:r>
        <w:rPr>
          <w:color w:val="231F20"/>
          <w:w w:val="110"/>
        </w:rPr>
        <w:t>Según Seong-Jin (2009), desafiando los argumentos de Arrighi, China</w:t>
      </w:r>
      <w:r>
        <w:rPr>
          <w:color w:val="231F20"/>
          <w:spacing w:val="-5"/>
          <w:w w:val="110"/>
        </w:rPr>
        <w:t> </w:t>
      </w:r>
      <w:r>
        <w:rPr>
          <w:color w:val="231F20"/>
          <w:w w:val="110"/>
        </w:rPr>
        <w:t>puede</w:t>
      </w:r>
      <w:r>
        <w:rPr>
          <w:color w:val="231F20"/>
          <w:spacing w:val="-5"/>
          <w:w w:val="110"/>
        </w:rPr>
        <w:t> </w:t>
      </w:r>
      <w:r>
        <w:rPr>
          <w:color w:val="231F20"/>
          <w:w w:val="110"/>
        </w:rPr>
        <w:t>ser</w:t>
      </w:r>
      <w:r>
        <w:rPr>
          <w:color w:val="231F20"/>
          <w:spacing w:val="-5"/>
          <w:w w:val="110"/>
        </w:rPr>
        <w:t> </w:t>
      </w:r>
      <w:r>
        <w:rPr>
          <w:color w:val="231F20"/>
          <w:w w:val="110"/>
        </w:rPr>
        <w:t>“el</w:t>
      </w:r>
      <w:r>
        <w:rPr>
          <w:color w:val="231F20"/>
          <w:spacing w:val="-5"/>
          <w:w w:val="110"/>
        </w:rPr>
        <w:t> </w:t>
      </w:r>
      <w:r>
        <w:rPr>
          <w:color w:val="231F20"/>
          <w:w w:val="110"/>
        </w:rPr>
        <w:t>eslabón</w:t>
      </w:r>
      <w:r>
        <w:rPr>
          <w:color w:val="231F20"/>
          <w:spacing w:val="-5"/>
          <w:w w:val="110"/>
        </w:rPr>
        <w:t> </w:t>
      </w:r>
      <w:r>
        <w:rPr>
          <w:color w:val="231F20"/>
          <w:w w:val="110"/>
        </w:rPr>
        <w:t>más</w:t>
      </w:r>
      <w:r>
        <w:rPr>
          <w:color w:val="231F20"/>
          <w:spacing w:val="-5"/>
          <w:w w:val="110"/>
        </w:rPr>
        <w:t> </w:t>
      </w:r>
      <w:r>
        <w:rPr>
          <w:color w:val="231F20"/>
          <w:w w:val="110"/>
        </w:rPr>
        <w:t>débil”</w:t>
      </w:r>
      <w:r>
        <w:rPr>
          <w:color w:val="231F20"/>
          <w:spacing w:val="-5"/>
          <w:w w:val="110"/>
        </w:rPr>
        <w:t> </w:t>
      </w:r>
      <w:r>
        <w:rPr>
          <w:color w:val="231F20"/>
          <w:w w:val="110"/>
        </w:rPr>
        <w:t>del</w:t>
      </w:r>
      <w:r>
        <w:rPr>
          <w:color w:val="231F20"/>
          <w:spacing w:val="-5"/>
          <w:w w:val="110"/>
        </w:rPr>
        <w:t> </w:t>
      </w:r>
      <w:r>
        <w:rPr>
          <w:color w:val="231F20"/>
          <w:w w:val="110"/>
        </w:rPr>
        <w:t>sistema</w:t>
      </w:r>
      <w:r>
        <w:rPr>
          <w:color w:val="231F20"/>
          <w:spacing w:val="-5"/>
          <w:w w:val="110"/>
        </w:rPr>
        <w:t> </w:t>
      </w:r>
      <w:r>
        <w:rPr>
          <w:color w:val="231F20"/>
          <w:w w:val="110"/>
        </w:rPr>
        <w:t>capitalista</w:t>
      </w:r>
      <w:r>
        <w:rPr>
          <w:color w:val="231F20"/>
          <w:spacing w:val="-5"/>
          <w:w w:val="110"/>
        </w:rPr>
        <w:t> </w:t>
      </w:r>
      <w:r>
        <w:rPr>
          <w:color w:val="231F20"/>
          <w:w w:val="110"/>
        </w:rPr>
        <w:t>donde las</w:t>
      </w:r>
      <w:r>
        <w:rPr>
          <w:color w:val="231F20"/>
          <w:spacing w:val="-18"/>
          <w:w w:val="110"/>
        </w:rPr>
        <w:t> </w:t>
      </w:r>
      <w:r>
        <w:rPr>
          <w:color w:val="231F20"/>
          <w:w w:val="110"/>
        </w:rPr>
        <w:t>contradicciones</w:t>
      </w:r>
      <w:r>
        <w:rPr>
          <w:color w:val="231F20"/>
          <w:spacing w:val="-18"/>
          <w:w w:val="110"/>
        </w:rPr>
        <w:t> </w:t>
      </w:r>
      <w:r>
        <w:rPr>
          <w:color w:val="231F20"/>
          <w:w w:val="110"/>
        </w:rPr>
        <w:t>alcanzan</w:t>
      </w:r>
      <w:r>
        <w:rPr>
          <w:color w:val="231F20"/>
          <w:spacing w:val="-18"/>
          <w:w w:val="110"/>
        </w:rPr>
        <w:t> </w:t>
      </w:r>
      <w:r>
        <w:rPr>
          <w:color w:val="231F20"/>
          <w:w w:val="110"/>
        </w:rPr>
        <w:t>los</w:t>
      </w:r>
      <w:r>
        <w:rPr>
          <w:color w:val="231F20"/>
          <w:spacing w:val="-18"/>
          <w:w w:val="110"/>
        </w:rPr>
        <w:t> </w:t>
      </w:r>
      <w:r>
        <w:rPr>
          <w:color w:val="231F20"/>
          <w:w w:val="110"/>
        </w:rPr>
        <w:t>niveles</w:t>
      </w:r>
      <w:r>
        <w:rPr>
          <w:color w:val="231F20"/>
          <w:spacing w:val="-18"/>
          <w:w w:val="110"/>
        </w:rPr>
        <w:t> </w:t>
      </w:r>
      <w:r>
        <w:rPr>
          <w:color w:val="231F20"/>
          <w:w w:val="110"/>
        </w:rPr>
        <w:t>más</w:t>
      </w:r>
      <w:r>
        <w:rPr>
          <w:color w:val="231F20"/>
          <w:spacing w:val="-18"/>
          <w:w w:val="110"/>
        </w:rPr>
        <w:t> </w:t>
      </w:r>
      <w:r>
        <w:rPr>
          <w:color w:val="231F20"/>
          <w:w w:val="110"/>
        </w:rPr>
        <w:t>altos.</w:t>
      </w:r>
      <w:r>
        <w:rPr>
          <w:color w:val="231F20"/>
          <w:spacing w:val="-18"/>
          <w:w w:val="110"/>
        </w:rPr>
        <w:t> </w:t>
      </w:r>
      <w:r>
        <w:rPr>
          <w:color w:val="231F20"/>
          <w:w w:val="110"/>
        </w:rPr>
        <w:t>“En</w:t>
      </w:r>
      <w:r>
        <w:rPr>
          <w:color w:val="231F20"/>
          <w:spacing w:val="-18"/>
          <w:w w:val="110"/>
        </w:rPr>
        <w:t> </w:t>
      </w:r>
      <w:r>
        <w:rPr>
          <w:color w:val="231F20"/>
          <w:w w:val="110"/>
        </w:rPr>
        <w:t>otras</w:t>
      </w:r>
      <w:r>
        <w:rPr>
          <w:color w:val="231F20"/>
          <w:spacing w:val="-18"/>
          <w:w w:val="110"/>
        </w:rPr>
        <w:t> </w:t>
      </w:r>
      <w:r>
        <w:rPr>
          <w:color w:val="231F20"/>
          <w:w w:val="110"/>
        </w:rPr>
        <w:t>palabras, el país donde es más probable que la revolución de los trabajadores contra el capitalismo puede hacer erupción (Seong-jin,</w:t>
      </w:r>
      <w:r>
        <w:rPr>
          <w:color w:val="231F20"/>
          <w:spacing w:val="49"/>
          <w:w w:val="110"/>
        </w:rPr>
        <w:t> </w:t>
      </w:r>
      <w:r>
        <w:rPr>
          <w:color w:val="231F20"/>
          <w:w w:val="110"/>
        </w:rPr>
        <w:t>2009).”</w:t>
      </w:r>
      <w:r>
        <w:rPr>
          <w:color w:val="231F20"/>
          <w:w w:val="110"/>
          <w:position w:val="6"/>
          <w:sz w:val="13"/>
        </w:rPr>
        <w:t>4</w:t>
      </w:r>
    </w:p>
    <w:p>
      <w:pPr>
        <w:pStyle w:val="BodyText"/>
      </w:pPr>
    </w:p>
    <w:p>
      <w:pPr>
        <w:pStyle w:val="BodyText"/>
        <w:spacing w:before="5"/>
        <w:rPr>
          <w:sz w:val="23"/>
        </w:rPr>
      </w:pPr>
    </w:p>
    <w:p>
      <w:pPr>
        <w:spacing w:before="0"/>
        <w:ind w:left="100" w:right="0" w:firstLine="0"/>
        <w:jc w:val="both"/>
        <w:rPr>
          <w:i/>
          <w:sz w:val="20"/>
        </w:rPr>
      </w:pPr>
      <w:r>
        <w:rPr>
          <w:i/>
          <w:color w:val="231F20"/>
          <w:sz w:val="20"/>
        </w:rPr>
        <w:t>Plan 4: Chávez</w:t>
      </w:r>
    </w:p>
    <w:p>
      <w:pPr>
        <w:pStyle w:val="BodyText"/>
        <w:spacing w:before="5"/>
        <w:rPr>
          <w:i/>
          <w:sz w:val="23"/>
        </w:rPr>
      </w:pPr>
    </w:p>
    <w:p>
      <w:pPr>
        <w:pStyle w:val="BodyText"/>
        <w:spacing w:line="261" w:lineRule="auto"/>
        <w:ind w:left="100" w:right="115"/>
        <w:jc w:val="both"/>
      </w:pPr>
      <w:r>
        <w:rPr>
          <w:color w:val="231F20"/>
          <w:w w:val="110"/>
        </w:rPr>
        <w:t>Apareció otra propuesta, una nueva contradicción, según la cual el G-8 debe ceder el paso al G-192. Es decir, a todos los países miem- bros de la Organización de las Naciones Unidas. Los 192 </w:t>
      </w:r>
      <w:r>
        <w:rPr>
          <w:color w:val="231F20"/>
          <w:spacing w:val="2"/>
          <w:w w:val="110"/>
        </w:rPr>
        <w:t>países</w:t>
      </w:r>
      <w:r>
        <w:rPr>
          <w:color w:val="231F20"/>
          <w:spacing w:val="59"/>
          <w:w w:val="110"/>
        </w:rPr>
        <w:t> </w:t>
      </w:r>
      <w:r>
        <w:rPr>
          <w:color w:val="231F20"/>
          <w:w w:val="110"/>
        </w:rPr>
        <w:t>que integran el nuevo grupo se reunieron en Nueva York, en la Asamblea General de las Naciones Unidas realizada entre el 24 y   el 26 de junio de 2009. El presidente del grupo, Miguel D’Escoto Brockmann, a la sazón presidente de la Asamblea de la onu, criticó al G-8 y la reunión de L’Aquila diciendo que mientras se jactan de representar el 65% del producto bruto mundial, sólo incluyen al  14% de la población del </w:t>
      </w:r>
      <w:r>
        <w:rPr>
          <w:color w:val="231F20"/>
          <w:spacing w:val="28"/>
          <w:w w:val="110"/>
        </w:rPr>
        <w:t> </w:t>
      </w:r>
      <w:r>
        <w:rPr>
          <w:color w:val="231F20"/>
          <w:spacing w:val="2"/>
          <w:w w:val="110"/>
        </w:rPr>
        <w:t>globo.</w:t>
      </w:r>
    </w:p>
    <w:p>
      <w:pPr>
        <w:pStyle w:val="BodyText"/>
        <w:spacing w:line="261" w:lineRule="auto"/>
        <w:ind w:left="100" w:right="115" w:firstLine="240"/>
        <w:jc w:val="both"/>
      </w:pPr>
      <w:r>
        <w:rPr>
          <w:color w:val="231F20"/>
          <w:w w:val="110"/>
        </w:rPr>
        <w:t>El G-192 ya cuenta con su Comisión de Expertos que preside Joseph Stiglitz, la que comunicó sus recomendaciones, entre    ellas,</w:t>
      </w:r>
    </w:p>
    <w:p>
      <w:pPr>
        <w:pStyle w:val="BodyText"/>
      </w:pPr>
    </w:p>
    <w:p>
      <w:pPr>
        <w:pStyle w:val="BodyText"/>
        <w:spacing w:before="9"/>
        <w:rPr>
          <w:sz w:val="18"/>
        </w:rPr>
      </w:pPr>
    </w:p>
    <w:p>
      <w:pPr>
        <w:spacing w:line="261" w:lineRule="auto" w:before="0"/>
        <w:ind w:left="100" w:right="117" w:firstLine="240"/>
        <w:jc w:val="both"/>
        <w:rPr>
          <w:sz w:val="16"/>
        </w:rPr>
      </w:pPr>
      <w:r>
        <w:rPr>
          <w:color w:val="231F20"/>
          <w:w w:val="105"/>
          <w:position w:val="5"/>
          <w:sz w:val="10"/>
        </w:rPr>
        <w:t>4 </w:t>
      </w:r>
      <w:r>
        <w:rPr>
          <w:color w:val="231F20"/>
          <w:w w:val="105"/>
          <w:sz w:val="16"/>
        </w:rPr>
        <w:t>José Luis Fiori agregaría que “está en curso una gran ‘explosión expansiva’ del sistema interestatal capitalista, y una nueva ‘carrera imperialista’ entre las grandes potencias […] tampoco a una ‘sucesión china’ en el liderazgo mundial, que seguirá     </w:t>
      </w:r>
      <w:r>
        <w:rPr>
          <w:color w:val="231F20"/>
          <w:spacing w:val="42"/>
          <w:w w:val="105"/>
          <w:sz w:val="16"/>
        </w:rPr>
        <w:t> </w:t>
      </w:r>
      <w:r>
        <w:rPr>
          <w:color w:val="231F20"/>
          <w:w w:val="105"/>
          <w:sz w:val="16"/>
        </w:rPr>
        <w:t>en las manos de los Estados  </w:t>
      </w:r>
      <w:r>
        <w:rPr>
          <w:color w:val="231F20"/>
          <w:spacing w:val="26"/>
          <w:w w:val="105"/>
          <w:sz w:val="16"/>
        </w:rPr>
        <w:t> </w:t>
      </w:r>
      <w:r>
        <w:rPr>
          <w:color w:val="231F20"/>
          <w:w w:val="105"/>
          <w:sz w:val="16"/>
        </w:rPr>
        <w:t>Unidos”.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 democratización del fmi, el bm y la omc, el uso de una nueva</w:t>
      </w:r>
      <w:r>
        <w:rPr>
          <w:color w:val="231F20"/>
          <w:spacing w:val="-30"/>
          <w:w w:val="110"/>
        </w:rPr>
        <w:t> </w:t>
      </w:r>
      <w:r>
        <w:rPr>
          <w:color w:val="231F20"/>
          <w:w w:val="110"/>
        </w:rPr>
        <w:t>mo- neda global de reserva que desplace al volátil dólar estadunidense, el establecimiento de regulaciones más estrictas sobre los mercados financieros, las agencias calificadoras de riesgos, los derivados y la asunción</w:t>
      </w:r>
      <w:r>
        <w:rPr>
          <w:color w:val="231F20"/>
          <w:spacing w:val="-10"/>
          <w:w w:val="110"/>
        </w:rPr>
        <w:t> </w:t>
      </w:r>
      <w:r>
        <w:rPr>
          <w:color w:val="231F20"/>
          <w:w w:val="110"/>
        </w:rPr>
        <w:t>de</w:t>
      </w:r>
      <w:r>
        <w:rPr>
          <w:color w:val="231F20"/>
          <w:spacing w:val="-10"/>
          <w:w w:val="110"/>
        </w:rPr>
        <w:t> </w:t>
      </w:r>
      <w:r>
        <w:rPr>
          <w:color w:val="231F20"/>
          <w:w w:val="110"/>
        </w:rPr>
        <w:t>riesgos</w:t>
      </w:r>
      <w:r>
        <w:rPr>
          <w:color w:val="231F20"/>
          <w:spacing w:val="-10"/>
          <w:w w:val="110"/>
        </w:rPr>
        <w:t> </w:t>
      </w:r>
      <w:r>
        <w:rPr>
          <w:color w:val="231F20"/>
          <w:w w:val="110"/>
        </w:rPr>
        <w:t>excesivos.</w:t>
      </w:r>
      <w:r>
        <w:rPr>
          <w:color w:val="231F20"/>
          <w:spacing w:val="-10"/>
          <w:w w:val="110"/>
        </w:rPr>
        <w:t> </w:t>
      </w:r>
      <w:r>
        <w:rPr>
          <w:color w:val="231F20"/>
          <w:w w:val="110"/>
        </w:rPr>
        <w:t>Los</w:t>
      </w:r>
      <w:r>
        <w:rPr>
          <w:color w:val="231F20"/>
          <w:spacing w:val="-10"/>
          <w:w w:val="110"/>
        </w:rPr>
        <w:t> </w:t>
      </w:r>
      <w:r>
        <w:rPr>
          <w:color w:val="231F20"/>
          <w:w w:val="110"/>
        </w:rPr>
        <w:t>expertos</w:t>
      </w:r>
      <w:r>
        <w:rPr>
          <w:color w:val="231F20"/>
          <w:spacing w:val="-10"/>
          <w:w w:val="110"/>
        </w:rPr>
        <w:t> </w:t>
      </w:r>
      <w:r>
        <w:rPr>
          <w:color w:val="231F20"/>
          <w:w w:val="110"/>
        </w:rPr>
        <w:t>propusieron,</w:t>
      </w:r>
      <w:r>
        <w:rPr>
          <w:color w:val="231F20"/>
          <w:spacing w:val="-10"/>
          <w:w w:val="110"/>
        </w:rPr>
        <w:t> </w:t>
      </w:r>
      <w:r>
        <w:rPr>
          <w:color w:val="231F20"/>
          <w:w w:val="110"/>
        </w:rPr>
        <w:t>también</w:t>
      </w:r>
      <w:r>
        <w:rPr>
          <w:color w:val="231F20"/>
          <w:spacing w:val="-10"/>
          <w:w w:val="110"/>
        </w:rPr>
        <w:t> </w:t>
      </w:r>
      <w:r>
        <w:rPr>
          <w:color w:val="231F20"/>
          <w:w w:val="110"/>
        </w:rPr>
        <w:t>un impuesto sobre las transacciones financieras para reducir la volatili- dad</w:t>
      </w:r>
      <w:r>
        <w:rPr>
          <w:color w:val="231F20"/>
          <w:spacing w:val="-12"/>
          <w:w w:val="110"/>
        </w:rPr>
        <w:t> </w:t>
      </w:r>
      <w:r>
        <w:rPr>
          <w:color w:val="231F20"/>
          <w:w w:val="110"/>
        </w:rPr>
        <w:t>y</w:t>
      </w:r>
      <w:r>
        <w:rPr>
          <w:color w:val="231F20"/>
          <w:spacing w:val="-12"/>
          <w:w w:val="110"/>
        </w:rPr>
        <w:t> </w:t>
      </w:r>
      <w:r>
        <w:rPr>
          <w:color w:val="231F20"/>
          <w:w w:val="110"/>
        </w:rPr>
        <w:t>proporcionar</w:t>
      </w:r>
      <w:r>
        <w:rPr>
          <w:color w:val="231F20"/>
          <w:spacing w:val="-12"/>
          <w:w w:val="110"/>
        </w:rPr>
        <w:t> </w:t>
      </w:r>
      <w:r>
        <w:rPr>
          <w:color w:val="231F20"/>
          <w:w w:val="110"/>
        </w:rPr>
        <w:t>ingresos</w:t>
      </w:r>
      <w:r>
        <w:rPr>
          <w:color w:val="231F20"/>
          <w:spacing w:val="-12"/>
          <w:w w:val="110"/>
        </w:rPr>
        <w:t> </w:t>
      </w:r>
      <w:r>
        <w:rPr>
          <w:color w:val="231F20"/>
          <w:w w:val="110"/>
        </w:rPr>
        <w:t>para</w:t>
      </w:r>
      <w:r>
        <w:rPr>
          <w:color w:val="231F20"/>
          <w:spacing w:val="-12"/>
          <w:w w:val="110"/>
        </w:rPr>
        <w:t> </w:t>
      </w:r>
      <w:r>
        <w:rPr>
          <w:color w:val="231F20"/>
          <w:w w:val="110"/>
        </w:rPr>
        <w:t>financiar</w:t>
      </w:r>
      <w:r>
        <w:rPr>
          <w:color w:val="231F20"/>
          <w:spacing w:val="-12"/>
          <w:w w:val="110"/>
        </w:rPr>
        <w:t> </w:t>
      </w:r>
      <w:r>
        <w:rPr>
          <w:color w:val="231F20"/>
          <w:w w:val="110"/>
        </w:rPr>
        <w:t>el</w:t>
      </w:r>
      <w:r>
        <w:rPr>
          <w:color w:val="231F20"/>
          <w:spacing w:val="-12"/>
          <w:w w:val="110"/>
        </w:rPr>
        <w:t> </w:t>
      </w:r>
      <w:r>
        <w:rPr>
          <w:color w:val="231F20"/>
          <w:w w:val="110"/>
        </w:rPr>
        <w:t>Consenso</w:t>
      </w:r>
      <w:r>
        <w:rPr>
          <w:color w:val="231F20"/>
          <w:spacing w:val="-12"/>
          <w:w w:val="110"/>
        </w:rPr>
        <w:t> </w:t>
      </w:r>
      <w:r>
        <w:rPr>
          <w:color w:val="231F20"/>
          <w:w w:val="110"/>
        </w:rPr>
        <w:t>de</w:t>
      </w:r>
      <w:r>
        <w:rPr>
          <w:color w:val="231F20"/>
          <w:spacing w:val="-12"/>
          <w:w w:val="110"/>
        </w:rPr>
        <w:t> </w:t>
      </w:r>
      <w:r>
        <w:rPr>
          <w:color w:val="231F20"/>
          <w:w w:val="110"/>
        </w:rPr>
        <w:t>Monterrey de 2002 y los Objetivos de Desarrollo del Milenio, con el fin de re- ducir la pobreza y mejorar la salud y la educación (Amiune,</w:t>
      </w:r>
      <w:r>
        <w:rPr>
          <w:color w:val="231F20"/>
          <w:spacing w:val="37"/>
          <w:w w:val="110"/>
        </w:rPr>
        <w:t> </w:t>
      </w:r>
      <w:r>
        <w:rPr>
          <w:color w:val="231F20"/>
          <w:w w:val="110"/>
        </w:rPr>
        <w:t>2009).</w:t>
      </w:r>
    </w:p>
    <w:p>
      <w:pPr>
        <w:pStyle w:val="BodyText"/>
        <w:spacing w:line="261" w:lineRule="auto"/>
        <w:ind w:left="100" w:right="119" w:firstLine="240"/>
        <w:jc w:val="both"/>
        <w:rPr>
          <w:sz w:val="13"/>
        </w:rPr>
      </w:pPr>
      <w:r>
        <w:rPr>
          <w:color w:val="231F20"/>
          <w:w w:val="110"/>
        </w:rPr>
        <w:t>Bello (2009a) llama a este proceso de cambios la “desglobaliza- ción”.</w:t>
      </w:r>
      <w:r>
        <w:rPr>
          <w:color w:val="231F20"/>
          <w:spacing w:val="-23"/>
          <w:w w:val="110"/>
        </w:rPr>
        <w:t> </w:t>
      </w:r>
      <w:r>
        <w:rPr>
          <w:color w:val="231F20"/>
          <w:w w:val="110"/>
        </w:rPr>
        <w:t>Según</w:t>
      </w:r>
      <w:r>
        <w:rPr>
          <w:color w:val="231F20"/>
          <w:spacing w:val="-23"/>
          <w:w w:val="110"/>
        </w:rPr>
        <w:t> </w:t>
      </w:r>
      <w:r>
        <w:rPr>
          <w:color w:val="231F20"/>
          <w:w w:val="110"/>
        </w:rPr>
        <w:t>este</w:t>
      </w:r>
      <w:r>
        <w:rPr>
          <w:color w:val="231F20"/>
          <w:spacing w:val="-23"/>
          <w:w w:val="110"/>
        </w:rPr>
        <w:t> </w:t>
      </w:r>
      <w:r>
        <w:rPr>
          <w:color w:val="231F20"/>
          <w:spacing w:val="-3"/>
          <w:w w:val="110"/>
        </w:rPr>
        <w:t>autor,</w:t>
      </w:r>
      <w:r>
        <w:rPr>
          <w:color w:val="231F20"/>
          <w:spacing w:val="-23"/>
          <w:w w:val="110"/>
        </w:rPr>
        <w:t> </w:t>
      </w:r>
      <w:r>
        <w:rPr>
          <w:color w:val="231F20"/>
          <w:w w:val="110"/>
        </w:rPr>
        <w:t>“su</w:t>
      </w:r>
      <w:r>
        <w:rPr>
          <w:color w:val="231F20"/>
          <w:spacing w:val="-23"/>
          <w:w w:val="110"/>
        </w:rPr>
        <w:t> </w:t>
      </w:r>
      <w:r>
        <w:rPr>
          <w:color w:val="231F20"/>
          <w:w w:val="110"/>
        </w:rPr>
        <w:t>pedigrí</w:t>
      </w:r>
      <w:r>
        <w:rPr>
          <w:color w:val="231F20"/>
          <w:spacing w:val="-23"/>
          <w:w w:val="110"/>
        </w:rPr>
        <w:t> </w:t>
      </w:r>
      <w:r>
        <w:rPr>
          <w:color w:val="231F20"/>
          <w:w w:val="110"/>
        </w:rPr>
        <w:t>incluye</w:t>
      </w:r>
      <w:r>
        <w:rPr>
          <w:color w:val="231F20"/>
          <w:spacing w:val="-23"/>
          <w:w w:val="110"/>
        </w:rPr>
        <w:t> </w:t>
      </w:r>
      <w:r>
        <w:rPr>
          <w:color w:val="231F20"/>
          <w:w w:val="110"/>
        </w:rPr>
        <w:t>los</w:t>
      </w:r>
      <w:r>
        <w:rPr>
          <w:color w:val="231F20"/>
          <w:spacing w:val="-23"/>
          <w:w w:val="110"/>
        </w:rPr>
        <w:t> </w:t>
      </w:r>
      <w:r>
        <w:rPr>
          <w:color w:val="231F20"/>
          <w:w w:val="110"/>
        </w:rPr>
        <w:t>escritos</w:t>
      </w:r>
      <w:r>
        <w:rPr>
          <w:color w:val="231F20"/>
          <w:spacing w:val="-23"/>
          <w:w w:val="110"/>
        </w:rPr>
        <w:t> </w:t>
      </w:r>
      <w:r>
        <w:rPr>
          <w:color w:val="231F20"/>
          <w:w w:val="110"/>
        </w:rPr>
        <w:t>del</w:t>
      </w:r>
      <w:r>
        <w:rPr>
          <w:color w:val="231F20"/>
          <w:spacing w:val="-23"/>
          <w:w w:val="110"/>
        </w:rPr>
        <w:t> </w:t>
      </w:r>
      <w:r>
        <w:rPr>
          <w:color w:val="231F20"/>
          <w:w w:val="110"/>
        </w:rPr>
        <w:t>economista británico Keynes, quien, en el momento culminante de la gran de- presión, planteó la necesidad de promover las</w:t>
      </w:r>
      <w:r>
        <w:rPr>
          <w:color w:val="231F20"/>
          <w:spacing w:val="6"/>
          <w:w w:val="110"/>
        </w:rPr>
        <w:t> </w:t>
      </w:r>
      <w:r>
        <w:rPr>
          <w:color w:val="231F20"/>
          <w:w w:val="110"/>
        </w:rPr>
        <w:t>economías nacionales</w:t>
      </w:r>
      <w:r>
        <w:rPr>
          <w:color w:val="231F20"/>
          <w:w w:val="108"/>
        </w:rPr>
        <w:t> </w:t>
      </w:r>
      <w:r>
        <w:rPr>
          <w:color w:val="231F20"/>
          <w:w w:val="110"/>
        </w:rPr>
        <w:t>y</w:t>
      </w:r>
      <w:r>
        <w:rPr>
          <w:color w:val="231F20"/>
          <w:spacing w:val="-31"/>
          <w:w w:val="110"/>
        </w:rPr>
        <w:t> </w:t>
      </w:r>
      <w:r>
        <w:rPr>
          <w:color w:val="231F20"/>
          <w:w w:val="110"/>
        </w:rPr>
        <w:t>regionales.</w:t>
      </w:r>
      <w:r>
        <w:rPr>
          <w:color w:val="231F20"/>
          <w:w w:val="110"/>
          <w:position w:val="6"/>
          <w:sz w:val="13"/>
        </w:rPr>
        <w:t>5</w:t>
      </w:r>
    </w:p>
    <w:p>
      <w:pPr>
        <w:pStyle w:val="BodyText"/>
      </w:pPr>
    </w:p>
    <w:p>
      <w:pPr>
        <w:pStyle w:val="BodyText"/>
      </w:pPr>
    </w:p>
    <w:p>
      <w:pPr>
        <w:pStyle w:val="BodyText"/>
        <w:spacing w:before="2"/>
        <w:rPr>
          <w:sz w:val="25"/>
        </w:rPr>
      </w:pPr>
    </w:p>
    <w:p>
      <w:pPr>
        <w:pStyle w:val="BodyText"/>
        <w:ind w:left="100"/>
        <w:jc w:val="both"/>
      </w:pPr>
      <w:r>
        <w:rPr>
          <w:color w:val="231F20"/>
          <w:w w:val="130"/>
        </w:rPr>
        <w:t>¿hay confianza para encontrar la salida?</w:t>
      </w:r>
    </w:p>
    <w:p>
      <w:pPr>
        <w:pStyle w:val="BodyText"/>
        <w:spacing w:before="5"/>
        <w:rPr>
          <w:sz w:val="23"/>
        </w:rPr>
      </w:pPr>
    </w:p>
    <w:p>
      <w:pPr>
        <w:pStyle w:val="BodyText"/>
        <w:spacing w:line="261" w:lineRule="auto"/>
        <w:ind w:left="100" w:right="117"/>
        <w:jc w:val="both"/>
      </w:pPr>
      <w:r>
        <w:rPr>
          <w:color w:val="231F20"/>
          <w:w w:val="110"/>
        </w:rPr>
        <w:t>Antes</w:t>
      </w:r>
      <w:r>
        <w:rPr>
          <w:color w:val="231F20"/>
          <w:spacing w:val="-12"/>
          <w:w w:val="110"/>
        </w:rPr>
        <w:t> </w:t>
      </w:r>
      <w:r>
        <w:rPr>
          <w:color w:val="231F20"/>
          <w:w w:val="110"/>
        </w:rPr>
        <w:t>de</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produjera</w:t>
      </w:r>
      <w:r>
        <w:rPr>
          <w:color w:val="231F20"/>
          <w:spacing w:val="-12"/>
          <w:w w:val="110"/>
        </w:rPr>
        <w:t> </w:t>
      </w:r>
      <w:r>
        <w:rPr>
          <w:color w:val="231F20"/>
          <w:w w:val="110"/>
        </w:rPr>
        <w:t>el</w:t>
      </w:r>
      <w:r>
        <w:rPr>
          <w:color w:val="231F20"/>
          <w:spacing w:val="-12"/>
          <w:w w:val="110"/>
        </w:rPr>
        <w:t> </w:t>
      </w:r>
      <w:r>
        <w:rPr>
          <w:color w:val="231F20"/>
          <w:w w:val="110"/>
        </w:rPr>
        <w:t>estallido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última</w:t>
      </w:r>
      <w:r>
        <w:rPr>
          <w:color w:val="231F20"/>
          <w:spacing w:val="-12"/>
          <w:w w:val="110"/>
        </w:rPr>
        <w:t> </w:t>
      </w:r>
      <w:r>
        <w:rPr>
          <w:color w:val="231F20"/>
          <w:w w:val="110"/>
        </w:rPr>
        <w:t>burbuja,</w:t>
      </w:r>
      <w:r>
        <w:rPr>
          <w:color w:val="231F20"/>
          <w:spacing w:val="-12"/>
          <w:w w:val="110"/>
        </w:rPr>
        <w:t> </w:t>
      </w:r>
      <w:r>
        <w:rPr>
          <w:color w:val="231F20"/>
          <w:w w:val="110"/>
        </w:rPr>
        <w:t>los</w:t>
      </w:r>
      <w:r>
        <w:rPr>
          <w:color w:val="231F20"/>
          <w:spacing w:val="-12"/>
          <w:w w:val="110"/>
        </w:rPr>
        <w:t> </w:t>
      </w:r>
      <w:r>
        <w:rPr>
          <w:color w:val="231F20"/>
          <w:w w:val="110"/>
        </w:rPr>
        <w:t>endeu- dados consumidores estadunidenses eran el motor del crecimiento global.</w:t>
      </w:r>
      <w:r>
        <w:rPr>
          <w:color w:val="231F20"/>
          <w:spacing w:val="-8"/>
          <w:w w:val="110"/>
        </w:rPr>
        <w:t> </w:t>
      </w:r>
      <w:r>
        <w:rPr>
          <w:color w:val="231F20"/>
          <w:w w:val="110"/>
        </w:rPr>
        <w:t>Ese</w:t>
      </w:r>
      <w:r>
        <w:rPr>
          <w:color w:val="231F20"/>
          <w:spacing w:val="-8"/>
          <w:w w:val="110"/>
        </w:rPr>
        <w:t> </w:t>
      </w:r>
      <w:r>
        <w:rPr>
          <w:color w:val="231F20"/>
          <w:w w:val="110"/>
        </w:rPr>
        <w:t>modelo</w:t>
      </w:r>
      <w:r>
        <w:rPr>
          <w:color w:val="231F20"/>
          <w:spacing w:val="-8"/>
          <w:w w:val="110"/>
        </w:rPr>
        <w:t> </w:t>
      </w:r>
      <w:r>
        <w:rPr>
          <w:color w:val="231F20"/>
          <w:w w:val="110"/>
        </w:rPr>
        <w:t>ha</w:t>
      </w:r>
      <w:r>
        <w:rPr>
          <w:color w:val="231F20"/>
          <w:spacing w:val="-8"/>
          <w:w w:val="110"/>
        </w:rPr>
        <w:t> </w:t>
      </w:r>
      <w:r>
        <w:rPr>
          <w:color w:val="231F20"/>
          <w:w w:val="110"/>
        </w:rPr>
        <w:t>quebrado</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w w:val="110"/>
        </w:rPr>
        <w:t>hay</w:t>
      </w:r>
      <w:r>
        <w:rPr>
          <w:color w:val="231F20"/>
          <w:spacing w:val="-8"/>
          <w:w w:val="110"/>
        </w:rPr>
        <w:t> </w:t>
      </w:r>
      <w:r>
        <w:rPr>
          <w:color w:val="231F20"/>
          <w:w w:val="110"/>
        </w:rPr>
        <w:t>sustituto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vista.</w:t>
      </w:r>
      <w:r>
        <w:rPr>
          <w:color w:val="231F20"/>
          <w:spacing w:val="-8"/>
          <w:w w:val="110"/>
        </w:rPr>
        <w:t> </w:t>
      </w:r>
      <w:r>
        <w:rPr>
          <w:color w:val="231F20"/>
          <w:w w:val="110"/>
        </w:rPr>
        <w:t>Incluso, si los bancos gozaran de buena salud, lo cierto es que la riqueza fic- ticia de estos consumidores ha recibido golpes contundentes. Estos ciudadanos se hipotecaban y consumían suponiendo que los precios de sus casas seguirían subiendo</w:t>
      </w:r>
      <w:r>
        <w:rPr>
          <w:color w:val="231F20"/>
          <w:spacing w:val="46"/>
          <w:w w:val="110"/>
        </w:rPr>
        <w:t> </w:t>
      </w:r>
      <w:r>
        <w:rPr>
          <w:color w:val="231F20"/>
          <w:w w:val="110"/>
        </w:rPr>
        <w:t>eternamente.</w:t>
      </w:r>
    </w:p>
    <w:p>
      <w:pPr>
        <w:pStyle w:val="BodyText"/>
        <w:spacing w:line="261" w:lineRule="auto"/>
        <w:ind w:left="100" w:right="113" w:firstLine="240"/>
        <w:jc w:val="both"/>
      </w:pPr>
      <w:r>
        <w:rPr>
          <w:color w:val="231F20"/>
          <w:w w:val="110"/>
        </w:rPr>
        <w:t>El colapso del crédito empeoró las cosas. Las empresas,</w:t>
      </w:r>
      <w:r>
        <w:rPr>
          <w:color w:val="231F20"/>
          <w:spacing w:val="-12"/>
          <w:w w:val="110"/>
        </w:rPr>
        <w:t> </w:t>
      </w:r>
      <w:r>
        <w:rPr>
          <w:color w:val="231F20"/>
          <w:w w:val="110"/>
        </w:rPr>
        <w:t>enfrenta- das a costos en alza y a mercados a la baja, respondieron recortando inventarios. Los pedidos cayeron abruptamente</w:t>
      </w:r>
      <w:r>
        <w:rPr>
          <w:color w:val="231F20"/>
          <w:spacing w:val="-15"/>
          <w:w w:val="110"/>
        </w:rPr>
        <w:t> </w:t>
      </w:r>
      <w:r>
        <w:rPr>
          <w:color w:val="231F20"/>
          <w:w w:val="110"/>
        </w:rPr>
        <w:t>—proporcionalmen- te, mucho más de lo que cayó el pib— y los países que dependían de bienes de inversión y duraderos —desembolsos postergables— recibieron un correctivo particularmente </w:t>
      </w:r>
      <w:r>
        <w:rPr>
          <w:color w:val="231F20"/>
          <w:spacing w:val="42"/>
          <w:w w:val="110"/>
        </w:rPr>
        <w:t> </w:t>
      </w:r>
      <w:r>
        <w:rPr>
          <w:color w:val="231F20"/>
          <w:w w:val="110"/>
        </w:rPr>
        <w:t>duro.</w:t>
      </w:r>
    </w:p>
    <w:p>
      <w:pPr>
        <w:pStyle w:val="BodyText"/>
      </w:pPr>
    </w:p>
    <w:p>
      <w:pPr>
        <w:pStyle w:val="BodyText"/>
      </w:pPr>
    </w:p>
    <w:p>
      <w:pPr>
        <w:pStyle w:val="BodyText"/>
        <w:spacing w:before="7"/>
        <w:rPr>
          <w:sz w:val="23"/>
        </w:rPr>
      </w:pPr>
    </w:p>
    <w:p>
      <w:pPr>
        <w:spacing w:line="261" w:lineRule="auto" w:before="0"/>
        <w:ind w:left="100" w:right="117" w:firstLine="240"/>
        <w:jc w:val="both"/>
        <w:rPr>
          <w:sz w:val="16"/>
        </w:rPr>
      </w:pPr>
      <w:r>
        <w:rPr>
          <w:color w:val="231F20"/>
          <w:w w:val="110"/>
          <w:position w:val="5"/>
          <w:sz w:val="10"/>
        </w:rPr>
        <w:t>5  </w:t>
      </w:r>
      <w:r>
        <w:rPr>
          <w:color w:val="231F20"/>
          <w:w w:val="110"/>
          <w:sz w:val="16"/>
        </w:rPr>
        <w:t>“No deseamos […] estar a merced de fuerzas mundiales que generan o tratan   de generar algún equilibrio uniforme, de acuerdo con principios de capitalismo de </w:t>
      </w:r>
      <w:r>
        <w:rPr>
          <w:i/>
          <w:color w:val="231F20"/>
          <w:w w:val="110"/>
          <w:sz w:val="16"/>
        </w:rPr>
        <w:t>laissez</w:t>
      </w:r>
      <w:r>
        <w:rPr>
          <w:i/>
          <w:color w:val="231F20"/>
          <w:spacing w:val="-5"/>
          <w:w w:val="110"/>
          <w:sz w:val="16"/>
        </w:rPr>
        <w:t> </w:t>
      </w:r>
      <w:r>
        <w:rPr>
          <w:i/>
          <w:color w:val="231F20"/>
          <w:w w:val="110"/>
          <w:sz w:val="16"/>
        </w:rPr>
        <w:t>faire</w:t>
      </w:r>
      <w:r>
        <w:rPr>
          <w:i/>
          <w:color w:val="231F20"/>
          <w:spacing w:val="-5"/>
          <w:w w:val="110"/>
          <w:sz w:val="16"/>
        </w:rPr>
        <w:t> </w:t>
      </w:r>
      <w:r>
        <w:rPr>
          <w:color w:val="231F20"/>
          <w:w w:val="110"/>
          <w:sz w:val="16"/>
        </w:rPr>
        <w:t>[…]</w:t>
      </w:r>
      <w:r>
        <w:rPr>
          <w:color w:val="231F20"/>
          <w:spacing w:val="-5"/>
          <w:w w:val="110"/>
          <w:sz w:val="16"/>
        </w:rPr>
        <w:t> </w:t>
      </w:r>
      <w:r>
        <w:rPr>
          <w:color w:val="231F20"/>
          <w:w w:val="110"/>
          <w:sz w:val="16"/>
        </w:rPr>
        <w:t>El</w:t>
      </w:r>
      <w:r>
        <w:rPr>
          <w:color w:val="231F20"/>
          <w:spacing w:val="-5"/>
          <w:w w:val="110"/>
          <w:sz w:val="16"/>
        </w:rPr>
        <w:t> </w:t>
      </w:r>
      <w:r>
        <w:rPr>
          <w:color w:val="231F20"/>
          <w:w w:val="110"/>
          <w:sz w:val="16"/>
        </w:rPr>
        <w:t>grueso</w:t>
      </w:r>
      <w:r>
        <w:rPr>
          <w:color w:val="231F20"/>
          <w:spacing w:val="-5"/>
          <w:w w:val="110"/>
          <w:sz w:val="16"/>
        </w:rPr>
        <w:t> </w:t>
      </w:r>
      <w:r>
        <w:rPr>
          <w:color w:val="231F20"/>
          <w:w w:val="110"/>
          <w:sz w:val="16"/>
        </w:rPr>
        <w:t>de</w:t>
      </w:r>
      <w:r>
        <w:rPr>
          <w:color w:val="231F20"/>
          <w:spacing w:val="-5"/>
          <w:w w:val="110"/>
          <w:sz w:val="16"/>
        </w:rPr>
        <w:t> </w:t>
      </w:r>
      <w:r>
        <w:rPr>
          <w:color w:val="231F20"/>
          <w:w w:val="110"/>
          <w:sz w:val="16"/>
        </w:rPr>
        <w:t>los</w:t>
      </w:r>
      <w:r>
        <w:rPr>
          <w:color w:val="231F20"/>
          <w:spacing w:val="-5"/>
          <w:w w:val="110"/>
          <w:sz w:val="16"/>
        </w:rPr>
        <w:t> </w:t>
      </w:r>
      <w:r>
        <w:rPr>
          <w:color w:val="231F20"/>
          <w:w w:val="110"/>
          <w:sz w:val="16"/>
        </w:rPr>
        <w:t>procesos</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moderna</w:t>
      </w:r>
      <w:r>
        <w:rPr>
          <w:color w:val="231F20"/>
          <w:spacing w:val="-5"/>
          <w:w w:val="110"/>
          <w:sz w:val="16"/>
        </w:rPr>
        <w:t> </w:t>
      </w:r>
      <w:r>
        <w:rPr>
          <w:color w:val="231F20"/>
          <w:w w:val="110"/>
          <w:sz w:val="16"/>
        </w:rPr>
        <w:t>producción</w:t>
      </w:r>
      <w:r>
        <w:rPr>
          <w:color w:val="231F20"/>
          <w:spacing w:val="-5"/>
          <w:w w:val="110"/>
          <w:sz w:val="16"/>
        </w:rPr>
        <w:t> </w:t>
      </w:r>
      <w:r>
        <w:rPr>
          <w:color w:val="231F20"/>
          <w:w w:val="110"/>
          <w:sz w:val="16"/>
        </w:rPr>
        <w:t>en</w:t>
      </w:r>
      <w:r>
        <w:rPr>
          <w:color w:val="231F20"/>
          <w:spacing w:val="-5"/>
          <w:w w:val="110"/>
          <w:sz w:val="16"/>
        </w:rPr>
        <w:t> </w:t>
      </w:r>
      <w:r>
        <w:rPr>
          <w:color w:val="231F20"/>
          <w:w w:val="110"/>
          <w:sz w:val="16"/>
        </w:rPr>
        <w:t>masa</w:t>
      </w:r>
      <w:r>
        <w:rPr>
          <w:color w:val="231F20"/>
          <w:spacing w:val="-5"/>
          <w:w w:val="110"/>
          <w:sz w:val="16"/>
        </w:rPr>
        <w:t> </w:t>
      </w:r>
      <w:r>
        <w:rPr>
          <w:color w:val="231F20"/>
          <w:w w:val="110"/>
          <w:sz w:val="16"/>
        </w:rPr>
        <w:t>pueden ejecutarse</w:t>
      </w:r>
      <w:r>
        <w:rPr>
          <w:color w:val="231F20"/>
          <w:spacing w:val="-4"/>
          <w:w w:val="110"/>
          <w:sz w:val="16"/>
        </w:rPr>
        <w:t> </w:t>
      </w:r>
      <w:r>
        <w:rPr>
          <w:color w:val="231F20"/>
          <w:w w:val="110"/>
          <w:sz w:val="16"/>
        </w:rPr>
        <w:t>en</w:t>
      </w:r>
      <w:r>
        <w:rPr>
          <w:color w:val="231F20"/>
          <w:spacing w:val="-4"/>
          <w:w w:val="110"/>
          <w:sz w:val="16"/>
        </w:rPr>
        <w:t> </w:t>
      </w:r>
      <w:r>
        <w:rPr>
          <w:color w:val="231F20"/>
          <w:w w:val="110"/>
          <w:sz w:val="16"/>
        </w:rPr>
        <w:t>la</w:t>
      </w:r>
      <w:r>
        <w:rPr>
          <w:color w:val="231F20"/>
          <w:spacing w:val="-4"/>
          <w:w w:val="110"/>
          <w:sz w:val="16"/>
        </w:rPr>
        <w:t> </w:t>
      </w:r>
      <w:r>
        <w:rPr>
          <w:color w:val="231F20"/>
          <w:w w:val="110"/>
          <w:sz w:val="16"/>
        </w:rPr>
        <w:t>mayoría</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países</w:t>
      </w:r>
      <w:r>
        <w:rPr>
          <w:color w:val="231F20"/>
          <w:spacing w:val="-4"/>
          <w:w w:val="110"/>
          <w:sz w:val="16"/>
        </w:rPr>
        <w:t> </w:t>
      </w:r>
      <w:r>
        <w:rPr>
          <w:color w:val="231F20"/>
          <w:w w:val="110"/>
          <w:sz w:val="16"/>
        </w:rPr>
        <w:t>y</w:t>
      </w:r>
      <w:r>
        <w:rPr>
          <w:color w:val="231F20"/>
          <w:spacing w:val="-4"/>
          <w:w w:val="110"/>
          <w:sz w:val="16"/>
        </w:rPr>
        <w:t> </w:t>
      </w:r>
      <w:r>
        <w:rPr>
          <w:color w:val="231F20"/>
          <w:w w:val="110"/>
          <w:sz w:val="16"/>
        </w:rPr>
        <w:t>en</w:t>
      </w:r>
      <w:r>
        <w:rPr>
          <w:color w:val="231F20"/>
          <w:spacing w:val="-4"/>
          <w:w w:val="110"/>
          <w:sz w:val="16"/>
        </w:rPr>
        <w:t> </w:t>
      </w:r>
      <w:r>
        <w:rPr>
          <w:color w:val="231F20"/>
          <w:w w:val="110"/>
          <w:sz w:val="16"/>
        </w:rPr>
        <w:t>la</w:t>
      </w:r>
      <w:r>
        <w:rPr>
          <w:color w:val="231F20"/>
          <w:spacing w:val="-4"/>
          <w:w w:val="110"/>
          <w:sz w:val="16"/>
        </w:rPr>
        <w:t> </w:t>
      </w:r>
      <w:r>
        <w:rPr>
          <w:color w:val="231F20"/>
          <w:w w:val="110"/>
          <w:sz w:val="16"/>
        </w:rPr>
        <w:t>mayoría</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climas</w:t>
      </w:r>
      <w:r>
        <w:rPr>
          <w:color w:val="231F20"/>
          <w:spacing w:val="-4"/>
          <w:w w:val="110"/>
          <w:sz w:val="16"/>
        </w:rPr>
        <w:t> </w:t>
      </w:r>
      <w:r>
        <w:rPr>
          <w:color w:val="231F20"/>
          <w:w w:val="110"/>
          <w:sz w:val="16"/>
        </w:rPr>
        <w:t>con</w:t>
      </w:r>
      <w:r>
        <w:rPr>
          <w:color w:val="231F20"/>
          <w:spacing w:val="-4"/>
          <w:w w:val="110"/>
          <w:sz w:val="16"/>
        </w:rPr>
        <w:t> </w:t>
      </w:r>
      <w:r>
        <w:rPr>
          <w:color w:val="231F20"/>
          <w:w w:val="110"/>
          <w:sz w:val="16"/>
        </w:rPr>
        <w:t>una</w:t>
      </w:r>
      <w:r>
        <w:rPr>
          <w:color w:val="231F20"/>
          <w:spacing w:val="-4"/>
          <w:w w:val="110"/>
          <w:sz w:val="16"/>
        </w:rPr>
        <w:t> </w:t>
      </w:r>
      <w:r>
        <w:rPr>
          <w:color w:val="231F20"/>
          <w:w w:val="110"/>
          <w:sz w:val="16"/>
        </w:rPr>
        <w:t>eficiencia prácticamente idéntica”. J. M. Keynes, citado en Bello</w:t>
      </w:r>
      <w:r>
        <w:rPr>
          <w:color w:val="231F20"/>
          <w:spacing w:val="-28"/>
          <w:w w:val="110"/>
          <w:sz w:val="16"/>
        </w:rPr>
        <w:t> </w:t>
      </w:r>
      <w:r>
        <w:rPr>
          <w:color w:val="231F20"/>
          <w:w w:val="110"/>
          <w:sz w:val="16"/>
        </w:rPr>
        <w:t>(2009a).</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En</w:t>
      </w:r>
      <w:r>
        <w:rPr>
          <w:color w:val="231F20"/>
          <w:spacing w:val="-21"/>
          <w:w w:val="110"/>
        </w:rPr>
        <w:t> </w:t>
      </w:r>
      <w:r>
        <w:rPr>
          <w:color w:val="231F20"/>
          <w:w w:val="110"/>
        </w:rPr>
        <w:t>Estados</w:t>
      </w:r>
      <w:r>
        <w:rPr>
          <w:color w:val="231F20"/>
          <w:spacing w:val="-21"/>
          <w:w w:val="110"/>
        </w:rPr>
        <w:t> </w:t>
      </w:r>
      <w:r>
        <w:rPr>
          <w:color w:val="231F20"/>
          <w:w w:val="110"/>
        </w:rPr>
        <w:t>Unidos,</w:t>
      </w:r>
      <w:r>
        <w:rPr>
          <w:color w:val="231F20"/>
          <w:spacing w:val="-21"/>
          <w:w w:val="110"/>
        </w:rPr>
        <w:t> </w:t>
      </w:r>
      <w:r>
        <w:rPr>
          <w:color w:val="231F20"/>
          <w:w w:val="110"/>
        </w:rPr>
        <w:t>los</w:t>
      </w:r>
      <w:r>
        <w:rPr>
          <w:color w:val="231F20"/>
          <w:spacing w:val="-21"/>
          <w:w w:val="110"/>
        </w:rPr>
        <w:t> </w:t>
      </w:r>
      <w:r>
        <w:rPr>
          <w:color w:val="231F20"/>
          <w:w w:val="110"/>
        </w:rPr>
        <w:t>precios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bienes</w:t>
      </w:r>
      <w:r>
        <w:rPr>
          <w:color w:val="231F20"/>
          <w:spacing w:val="-21"/>
          <w:w w:val="110"/>
        </w:rPr>
        <w:t> </w:t>
      </w:r>
      <w:r>
        <w:rPr>
          <w:color w:val="231F20"/>
          <w:w w:val="110"/>
        </w:rPr>
        <w:t>raíces</w:t>
      </w:r>
      <w:r>
        <w:rPr>
          <w:color w:val="231F20"/>
          <w:spacing w:val="-21"/>
          <w:w w:val="110"/>
        </w:rPr>
        <w:t> </w:t>
      </w:r>
      <w:r>
        <w:rPr>
          <w:color w:val="231F20"/>
          <w:w w:val="110"/>
        </w:rPr>
        <w:t>siguen</w:t>
      </w:r>
      <w:r>
        <w:rPr>
          <w:color w:val="231F20"/>
          <w:spacing w:val="-21"/>
          <w:w w:val="110"/>
        </w:rPr>
        <w:t> </w:t>
      </w:r>
      <w:r>
        <w:rPr>
          <w:color w:val="231F20"/>
          <w:w w:val="110"/>
        </w:rPr>
        <w:t>cayendo, millones de hogares están con el agua al cuello, con unas hipotecas que valen más que el precio de mercado de la vivienda y el desem- pleo subiendo, con centenares de miles acercándose al final de las 39 semanas de cobertura del paro. El sector público también sigue despidiendo trabajadores, a medida que se desploman sus ingresos fiscales.</w:t>
      </w:r>
    </w:p>
    <w:p>
      <w:pPr>
        <w:pStyle w:val="BodyText"/>
        <w:spacing w:line="261" w:lineRule="auto"/>
        <w:ind w:left="100" w:right="111" w:firstLine="240"/>
        <w:jc w:val="both"/>
      </w:pPr>
      <w:r>
        <w:rPr>
          <w:color w:val="231F20"/>
          <w:w w:val="110"/>
        </w:rPr>
        <w:t>Los</w:t>
      </w:r>
      <w:r>
        <w:rPr>
          <w:color w:val="231F20"/>
          <w:spacing w:val="-13"/>
          <w:w w:val="110"/>
        </w:rPr>
        <w:t> </w:t>
      </w:r>
      <w:r>
        <w:rPr>
          <w:color w:val="231F20"/>
          <w:w w:val="110"/>
        </w:rPr>
        <w:t>bancos</w:t>
      </w:r>
      <w:r>
        <w:rPr>
          <w:color w:val="231F20"/>
          <w:spacing w:val="-13"/>
          <w:w w:val="110"/>
        </w:rPr>
        <w:t> </w:t>
      </w:r>
      <w:r>
        <w:rPr>
          <w:color w:val="231F20"/>
          <w:w w:val="110"/>
        </w:rPr>
        <w:t>“zombis”</w:t>
      </w:r>
      <w:r>
        <w:rPr>
          <w:color w:val="231F20"/>
          <w:spacing w:val="-13"/>
          <w:w w:val="110"/>
        </w:rPr>
        <w:t> </w:t>
      </w:r>
      <w:r>
        <w:rPr>
          <w:color w:val="231F20"/>
          <w:w w:val="110"/>
        </w:rPr>
        <w:t>—muertos,</w:t>
      </w:r>
      <w:r>
        <w:rPr>
          <w:color w:val="231F20"/>
          <w:spacing w:val="-13"/>
          <w:w w:val="110"/>
        </w:rPr>
        <w:t> </w:t>
      </w:r>
      <w:r>
        <w:rPr>
          <w:color w:val="231F20"/>
          <w:w w:val="110"/>
        </w:rPr>
        <w:t>pero</w:t>
      </w:r>
      <w:r>
        <w:rPr>
          <w:color w:val="231F20"/>
          <w:spacing w:val="-13"/>
          <w:w w:val="110"/>
        </w:rPr>
        <w:t> </w:t>
      </w:r>
      <w:r>
        <w:rPr>
          <w:color w:val="231F20"/>
          <w:w w:val="110"/>
        </w:rPr>
        <w:t>todavía</w:t>
      </w:r>
      <w:r>
        <w:rPr>
          <w:color w:val="231F20"/>
          <w:spacing w:val="-13"/>
          <w:w w:val="110"/>
        </w:rPr>
        <w:t> </w:t>
      </w:r>
      <w:r>
        <w:rPr>
          <w:color w:val="231F20"/>
          <w:w w:val="110"/>
        </w:rPr>
        <w:t>circulando</w:t>
      </w:r>
      <w:r>
        <w:rPr>
          <w:color w:val="231F20"/>
          <w:spacing w:val="-13"/>
          <w:w w:val="110"/>
        </w:rPr>
        <w:t> </w:t>
      </w:r>
      <w:r>
        <w:rPr>
          <w:color w:val="231F20"/>
          <w:w w:val="110"/>
        </w:rPr>
        <w:t>entre</w:t>
      </w:r>
      <w:r>
        <w:rPr>
          <w:color w:val="231F20"/>
          <w:spacing w:val="-13"/>
          <w:w w:val="110"/>
        </w:rPr>
        <w:t> </w:t>
      </w:r>
      <w:r>
        <w:rPr>
          <w:color w:val="231F20"/>
          <w:w w:val="110"/>
        </w:rPr>
        <w:t>los vivos—</w:t>
      </w:r>
      <w:r>
        <w:rPr>
          <w:color w:val="231F20"/>
          <w:spacing w:val="-15"/>
          <w:w w:val="110"/>
        </w:rPr>
        <w:t> </w:t>
      </w:r>
      <w:r>
        <w:rPr>
          <w:color w:val="231F20"/>
          <w:w w:val="110"/>
        </w:rPr>
        <w:t>están,</w:t>
      </w:r>
      <w:r>
        <w:rPr>
          <w:color w:val="231F20"/>
          <w:spacing w:val="-15"/>
          <w:w w:val="110"/>
        </w:rPr>
        <w:t> </w:t>
      </w:r>
      <w:r>
        <w:rPr>
          <w:color w:val="231F20"/>
          <w:w w:val="110"/>
        </w:rPr>
        <w:t>conforme</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inmortales</w:t>
      </w:r>
      <w:r>
        <w:rPr>
          <w:color w:val="231F20"/>
          <w:spacing w:val="-15"/>
          <w:w w:val="110"/>
        </w:rPr>
        <w:t> </w:t>
      </w:r>
      <w:r>
        <w:rPr>
          <w:color w:val="231F20"/>
          <w:w w:val="110"/>
        </w:rPr>
        <w:t>palabras</w:t>
      </w:r>
      <w:r>
        <w:rPr>
          <w:color w:val="231F20"/>
          <w:spacing w:val="-15"/>
          <w:w w:val="110"/>
        </w:rPr>
        <w:t> </w:t>
      </w:r>
      <w:r>
        <w:rPr>
          <w:color w:val="231F20"/>
          <w:w w:val="110"/>
        </w:rPr>
        <w:t>de</w:t>
      </w:r>
      <w:r>
        <w:rPr>
          <w:color w:val="231F20"/>
          <w:spacing w:val="-15"/>
          <w:w w:val="110"/>
        </w:rPr>
        <w:t> </w:t>
      </w:r>
      <w:r>
        <w:rPr>
          <w:color w:val="231F20"/>
          <w:w w:val="110"/>
        </w:rPr>
        <w:t>Ed</w:t>
      </w:r>
      <w:r>
        <w:rPr>
          <w:color w:val="231F20"/>
          <w:spacing w:val="-15"/>
          <w:w w:val="110"/>
        </w:rPr>
        <w:t> </w:t>
      </w:r>
      <w:r>
        <w:rPr>
          <w:color w:val="231F20"/>
          <w:w w:val="110"/>
        </w:rPr>
        <w:t>Kane,</w:t>
      </w:r>
      <w:r>
        <w:rPr>
          <w:color w:val="231F20"/>
          <w:spacing w:val="-15"/>
          <w:w w:val="110"/>
        </w:rPr>
        <w:t> </w:t>
      </w:r>
      <w:r>
        <w:rPr>
          <w:color w:val="231F20"/>
          <w:w w:val="110"/>
        </w:rPr>
        <w:t>“apos- tando a la resurrección”. Repitiendo la debacle de Savings &amp; Loan en los años ochenta, los bancos recurren a la contabilidad tramposa. Se les permitió mantener en sus libros activos problemáticos sin obligarles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depreciación,</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ficción</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esos</w:t>
      </w:r>
      <w:r>
        <w:rPr>
          <w:color w:val="231F20"/>
          <w:spacing w:val="-9"/>
          <w:w w:val="110"/>
        </w:rPr>
        <w:t> </w:t>
      </w:r>
      <w:r>
        <w:rPr>
          <w:color w:val="231F20"/>
          <w:w w:val="110"/>
        </w:rPr>
        <w:t>activos</w:t>
      </w:r>
      <w:r>
        <w:rPr>
          <w:color w:val="231F20"/>
          <w:spacing w:val="-9"/>
          <w:w w:val="110"/>
        </w:rPr>
        <w:t> </w:t>
      </w:r>
      <w:r>
        <w:rPr>
          <w:color w:val="231F20"/>
          <w:w w:val="110"/>
        </w:rPr>
        <w:t>podrían llegar a madurar </w:t>
      </w:r>
      <w:r>
        <w:rPr>
          <w:color w:val="231F20"/>
          <w:spacing w:val="-8"/>
          <w:w w:val="110"/>
        </w:rPr>
        <w:t>y, </w:t>
      </w:r>
      <w:r>
        <w:rPr>
          <w:color w:val="231F20"/>
          <w:w w:val="110"/>
        </w:rPr>
        <w:t>de uno u otro modo, sanearse. Peor aún, se les permite tomar préstamos baratos de la Reserva federal, respaldados por un colateral ínfimo, para, simultáneamente, adoptar posiciones de</w:t>
      </w:r>
      <w:r>
        <w:rPr>
          <w:color w:val="231F20"/>
          <w:spacing w:val="1"/>
          <w:w w:val="110"/>
        </w:rPr>
        <w:t> </w:t>
      </w:r>
      <w:r>
        <w:rPr>
          <w:color w:val="231F20"/>
          <w:w w:val="110"/>
        </w:rPr>
        <w:t>riesgo.</w:t>
      </w:r>
    </w:p>
    <w:p>
      <w:pPr>
        <w:pStyle w:val="BodyText"/>
        <w:spacing w:line="261" w:lineRule="auto"/>
        <w:ind w:left="100" w:right="119" w:firstLine="240"/>
        <w:jc w:val="both"/>
      </w:pPr>
      <w:r>
        <w:rPr>
          <w:color w:val="231F20"/>
          <w:w w:val="110"/>
        </w:rPr>
        <w:t>¿Significa esto que las empresas financieras no deben ser</w:t>
      </w:r>
      <w:r>
        <w:rPr>
          <w:color w:val="231F20"/>
          <w:spacing w:val="-19"/>
          <w:w w:val="110"/>
        </w:rPr>
        <w:t> </w:t>
      </w:r>
      <w:r>
        <w:rPr>
          <w:color w:val="231F20"/>
          <w:w w:val="110"/>
        </w:rPr>
        <w:t>rescata- das? No, ¡en absoluto! Lo que significa es que el verdadero</w:t>
      </w:r>
      <w:r>
        <w:rPr>
          <w:color w:val="231F20"/>
          <w:spacing w:val="-4"/>
          <w:w w:val="110"/>
        </w:rPr>
        <w:t> </w:t>
      </w:r>
      <w:r>
        <w:rPr>
          <w:color w:val="231F20"/>
          <w:w w:val="110"/>
        </w:rPr>
        <w:t>objetivo no es </w:t>
      </w:r>
      <w:r>
        <w:rPr>
          <w:color w:val="231F20"/>
          <w:spacing w:val="-3"/>
          <w:w w:val="110"/>
        </w:rPr>
        <w:t>ahorrar, </w:t>
      </w:r>
      <w:r>
        <w:rPr>
          <w:color w:val="231F20"/>
          <w:w w:val="110"/>
        </w:rPr>
        <w:t>sino reestructurar la economía. Hay que salvarle la vida al paciente, pero después de ello debe cambiar radicalmente   las condiciones que lo llevaron a la mortal enfermedad. Las voces que afirman que la solución es “restablecer la confianza” se quedan en la superficie del problema. La estructura financiera que se está desmoronando</w:t>
      </w:r>
      <w:r>
        <w:rPr>
          <w:color w:val="231F20"/>
          <w:spacing w:val="-13"/>
          <w:w w:val="110"/>
        </w:rPr>
        <w:t> </w:t>
      </w:r>
      <w:r>
        <w:rPr>
          <w:color w:val="231F20"/>
          <w:w w:val="110"/>
        </w:rPr>
        <w:t>se</w:t>
      </w:r>
      <w:r>
        <w:rPr>
          <w:color w:val="231F20"/>
          <w:spacing w:val="-13"/>
          <w:w w:val="110"/>
        </w:rPr>
        <w:t> </w:t>
      </w:r>
      <w:r>
        <w:rPr>
          <w:color w:val="231F20"/>
          <w:w w:val="110"/>
        </w:rPr>
        <w:t>construyó</w:t>
      </w:r>
      <w:r>
        <w:rPr>
          <w:color w:val="231F20"/>
          <w:spacing w:val="-13"/>
          <w:w w:val="110"/>
        </w:rPr>
        <w:t> </w:t>
      </w:r>
      <w:r>
        <w:rPr>
          <w:color w:val="231F20"/>
          <w:w w:val="110"/>
        </w:rPr>
        <w:t>sobre</w:t>
      </w:r>
      <w:r>
        <w:rPr>
          <w:color w:val="231F20"/>
          <w:spacing w:val="-13"/>
          <w:w w:val="110"/>
        </w:rPr>
        <w:t> </w:t>
      </w:r>
      <w:r>
        <w:rPr>
          <w:color w:val="231F20"/>
          <w:w w:val="110"/>
        </w:rPr>
        <w:t>la</w:t>
      </w:r>
      <w:r>
        <w:rPr>
          <w:color w:val="231F20"/>
          <w:spacing w:val="-13"/>
          <w:w w:val="110"/>
        </w:rPr>
        <w:t> </w:t>
      </w:r>
      <w:r>
        <w:rPr>
          <w:color w:val="231F20"/>
          <w:w w:val="110"/>
        </w:rPr>
        <w:t>base</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confianza</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ilusión de la no existencia del riesgo) (Pérez, </w:t>
      </w:r>
      <w:r>
        <w:rPr>
          <w:color w:val="231F20"/>
          <w:spacing w:val="4"/>
          <w:w w:val="110"/>
        </w:rPr>
        <w:t> </w:t>
      </w:r>
      <w:r>
        <w:rPr>
          <w:color w:val="231F20"/>
          <w:w w:val="110"/>
        </w:rPr>
        <w:t>2009).</w:t>
      </w:r>
    </w:p>
    <w:p>
      <w:pPr>
        <w:pStyle w:val="BodyText"/>
        <w:spacing w:line="261" w:lineRule="auto"/>
        <w:ind w:left="100" w:right="118" w:firstLine="240"/>
        <w:jc w:val="both"/>
      </w:pPr>
      <w:r>
        <w:rPr>
          <w:color w:val="231F20"/>
          <w:w w:val="110"/>
        </w:rPr>
        <w:t>La</w:t>
      </w:r>
      <w:r>
        <w:rPr>
          <w:color w:val="231F20"/>
          <w:spacing w:val="-9"/>
          <w:w w:val="110"/>
        </w:rPr>
        <w:t> </w:t>
      </w:r>
      <w:r>
        <w:rPr>
          <w:color w:val="231F20"/>
          <w:w w:val="110"/>
        </w:rPr>
        <w:t>lucha</w:t>
      </w:r>
      <w:r>
        <w:rPr>
          <w:color w:val="231F20"/>
          <w:spacing w:val="-9"/>
          <w:w w:val="110"/>
        </w:rPr>
        <w:t> </w:t>
      </w:r>
      <w:r>
        <w:rPr>
          <w:color w:val="231F20"/>
          <w:w w:val="110"/>
        </w:rPr>
        <w:t>de</w:t>
      </w:r>
      <w:r>
        <w:rPr>
          <w:color w:val="231F20"/>
          <w:spacing w:val="-9"/>
          <w:w w:val="110"/>
        </w:rPr>
        <w:t> </w:t>
      </w:r>
      <w:r>
        <w:rPr>
          <w:color w:val="231F20"/>
          <w:w w:val="110"/>
        </w:rPr>
        <w:t>clases</w:t>
      </w:r>
      <w:r>
        <w:rPr>
          <w:color w:val="231F20"/>
          <w:spacing w:val="-9"/>
          <w:w w:val="110"/>
        </w:rPr>
        <w:t> </w:t>
      </w:r>
      <w:r>
        <w:rPr>
          <w:color w:val="231F20"/>
          <w:w w:val="110"/>
        </w:rPr>
        <w:t>sigue</w:t>
      </w:r>
      <w:r>
        <w:rPr>
          <w:color w:val="231F20"/>
          <w:spacing w:val="-9"/>
          <w:w w:val="110"/>
        </w:rPr>
        <w:t> </w:t>
      </w:r>
      <w:r>
        <w:rPr>
          <w:color w:val="231F20"/>
          <w:w w:val="110"/>
        </w:rPr>
        <w:t>siendo</w:t>
      </w:r>
      <w:r>
        <w:rPr>
          <w:color w:val="231F20"/>
          <w:spacing w:val="-9"/>
          <w:w w:val="110"/>
        </w:rPr>
        <w:t> </w:t>
      </w:r>
      <w:r>
        <w:rPr>
          <w:color w:val="231F20"/>
          <w:w w:val="110"/>
        </w:rPr>
        <w:t>la</w:t>
      </w:r>
      <w:r>
        <w:rPr>
          <w:color w:val="231F20"/>
          <w:spacing w:val="-9"/>
          <w:w w:val="110"/>
        </w:rPr>
        <w:t> </w:t>
      </w:r>
      <w:r>
        <w:rPr>
          <w:color w:val="231F20"/>
          <w:w w:val="110"/>
        </w:rPr>
        <w:t>carta</w:t>
      </w:r>
      <w:r>
        <w:rPr>
          <w:color w:val="231F20"/>
          <w:spacing w:val="-9"/>
          <w:w w:val="110"/>
        </w:rPr>
        <w:t> </w:t>
      </w:r>
      <w:r>
        <w:rPr>
          <w:color w:val="231F20"/>
          <w:w w:val="110"/>
        </w:rPr>
        <w:t>principal</w:t>
      </w:r>
      <w:r>
        <w:rPr>
          <w:color w:val="231F20"/>
          <w:spacing w:val="-9"/>
          <w:w w:val="110"/>
        </w:rPr>
        <w:t> </w:t>
      </w:r>
      <w:r>
        <w:rPr>
          <w:color w:val="231F20"/>
          <w:w w:val="110"/>
        </w:rPr>
        <w:t>que</w:t>
      </w:r>
      <w:r>
        <w:rPr>
          <w:color w:val="231F20"/>
          <w:spacing w:val="-9"/>
          <w:w w:val="110"/>
        </w:rPr>
        <w:t> </w:t>
      </w:r>
      <w:r>
        <w:rPr>
          <w:color w:val="231F20"/>
          <w:w w:val="110"/>
        </w:rPr>
        <w:t>tiene</w:t>
      </w:r>
      <w:r>
        <w:rPr>
          <w:color w:val="231F20"/>
          <w:spacing w:val="-9"/>
          <w:w w:val="110"/>
        </w:rPr>
        <w:t> </w:t>
      </w:r>
      <w:r>
        <w:rPr>
          <w:color w:val="231F20"/>
          <w:w w:val="110"/>
        </w:rPr>
        <w:t>el</w:t>
      </w:r>
      <w:r>
        <w:rPr>
          <w:color w:val="231F20"/>
          <w:spacing w:val="-9"/>
          <w:w w:val="110"/>
        </w:rPr>
        <w:t> </w:t>
      </w:r>
      <w:r>
        <w:rPr>
          <w:color w:val="231F20"/>
          <w:w w:val="110"/>
        </w:rPr>
        <w:t>capi- tal en su mano. A pesar de que la recesión ha generado</w:t>
      </w:r>
      <w:r>
        <w:rPr>
          <w:color w:val="231F20"/>
          <w:spacing w:val="25"/>
          <w:w w:val="110"/>
        </w:rPr>
        <w:t> </w:t>
      </w:r>
      <w:r>
        <w:rPr>
          <w:color w:val="231F20"/>
          <w:w w:val="110"/>
        </w:rPr>
        <w:t>una</w:t>
      </w:r>
      <w:r>
        <w:rPr>
          <w:color w:val="231F20"/>
          <w:spacing w:val="6"/>
          <w:w w:val="110"/>
        </w:rPr>
        <w:t> </w:t>
      </w:r>
      <w:r>
        <w:rPr>
          <w:color w:val="231F20"/>
          <w:w w:val="110"/>
        </w:rPr>
        <w:t>enorme</w:t>
      </w:r>
      <w:r>
        <w:rPr>
          <w:color w:val="231F20"/>
          <w:w w:val="114"/>
        </w:rPr>
        <w:t> </w:t>
      </w:r>
      <w:r>
        <w:rPr>
          <w:color w:val="231F20"/>
          <w:w w:val="110"/>
        </w:rPr>
        <w:t>desconfianza</w:t>
      </w:r>
      <w:r>
        <w:rPr>
          <w:color w:val="231F20"/>
          <w:spacing w:val="-12"/>
          <w:w w:val="110"/>
        </w:rPr>
        <w:t> </w:t>
      </w:r>
      <w:r>
        <w:rPr>
          <w:color w:val="231F20"/>
          <w:w w:val="110"/>
        </w:rPr>
        <w:t>entre</w:t>
      </w:r>
      <w:r>
        <w:rPr>
          <w:color w:val="231F20"/>
          <w:spacing w:val="-12"/>
          <w:w w:val="110"/>
        </w:rPr>
        <w:t> </w:t>
      </w:r>
      <w:r>
        <w:rPr>
          <w:color w:val="231F20"/>
          <w:w w:val="110"/>
        </w:rPr>
        <w:t>los</w:t>
      </w:r>
      <w:r>
        <w:rPr>
          <w:color w:val="231F20"/>
          <w:spacing w:val="-12"/>
          <w:w w:val="110"/>
        </w:rPr>
        <w:t> </w:t>
      </w:r>
      <w:r>
        <w:rPr>
          <w:color w:val="231F20"/>
          <w:w w:val="110"/>
        </w:rPr>
        <w:t>miembros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clase</w:t>
      </w:r>
      <w:r>
        <w:rPr>
          <w:color w:val="231F20"/>
          <w:spacing w:val="-12"/>
          <w:w w:val="110"/>
        </w:rPr>
        <w:t> </w:t>
      </w:r>
      <w:r>
        <w:rPr>
          <w:color w:val="231F20"/>
          <w:w w:val="110"/>
        </w:rPr>
        <w:t>dominante,</w:t>
      </w:r>
      <w:r>
        <w:rPr>
          <w:color w:val="231F20"/>
          <w:spacing w:val="-12"/>
          <w:w w:val="110"/>
        </w:rPr>
        <w:t> </w:t>
      </w:r>
      <w:r>
        <w:rPr>
          <w:color w:val="231F20"/>
          <w:w w:val="110"/>
        </w:rPr>
        <w:t>está</w:t>
      </w:r>
      <w:r>
        <w:rPr>
          <w:color w:val="231F20"/>
          <w:spacing w:val="-12"/>
          <w:w w:val="110"/>
        </w:rPr>
        <w:t> </w:t>
      </w:r>
      <w:r>
        <w:rPr>
          <w:color w:val="231F20"/>
          <w:w w:val="110"/>
        </w:rPr>
        <w:t>copando más espacio, no está perdiendo su legitimidad. Pero el mundo color de rosa se está marchitando. </w:t>
      </w:r>
      <w:r>
        <w:rPr>
          <w:color w:val="231F20"/>
          <w:spacing w:val="-5"/>
          <w:w w:val="110"/>
        </w:rPr>
        <w:t>Todo </w:t>
      </w:r>
      <w:r>
        <w:rPr>
          <w:color w:val="231F20"/>
          <w:w w:val="110"/>
        </w:rPr>
        <w:t>indica —lo que parece una con- tradicción—</w:t>
      </w:r>
      <w:r>
        <w:rPr>
          <w:color w:val="231F20"/>
          <w:spacing w:val="-7"/>
          <w:w w:val="110"/>
        </w:rPr>
        <w:t> </w:t>
      </w:r>
      <w:r>
        <w:rPr>
          <w:color w:val="231F20"/>
          <w:w w:val="110"/>
        </w:rPr>
        <w:t>que</w:t>
      </w:r>
      <w:r>
        <w:rPr>
          <w:color w:val="231F20"/>
          <w:spacing w:val="-7"/>
          <w:w w:val="110"/>
        </w:rPr>
        <w:t> </w:t>
      </w:r>
      <w:r>
        <w:rPr>
          <w:color w:val="231F20"/>
          <w:w w:val="110"/>
        </w:rPr>
        <w:t>sólo</w:t>
      </w:r>
      <w:r>
        <w:rPr>
          <w:color w:val="231F20"/>
          <w:spacing w:val="-7"/>
          <w:w w:val="110"/>
        </w:rPr>
        <w:t> </w:t>
      </w:r>
      <w:r>
        <w:rPr>
          <w:color w:val="231F20"/>
          <w:w w:val="110"/>
        </w:rPr>
        <w:t>los</w:t>
      </w:r>
      <w:r>
        <w:rPr>
          <w:color w:val="231F20"/>
          <w:spacing w:val="-7"/>
          <w:w w:val="110"/>
        </w:rPr>
        <w:t> </w:t>
      </w:r>
      <w:r>
        <w:rPr>
          <w:color w:val="231F20"/>
          <w:w w:val="110"/>
        </w:rPr>
        <w:t>comunistas</w:t>
      </w:r>
      <w:r>
        <w:rPr>
          <w:color w:val="231F20"/>
          <w:spacing w:val="-7"/>
          <w:w w:val="110"/>
        </w:rPr>
        <w:t> </w:t>
      </w:r>
      <w:r>
        <w:rPr>
          <w:color w:val="231F20"/>
          <w:w w:val="110"/>
        </w:rPr>
        <w:t>chinos</w:t>
      </w:r>
      <w:r>
        <w:rPr>
          <w:color w:val="231F20"/>
          <w:spacing w:val="-7"/>
          <w:w w:val="110"/>
        </w:rPr>
        <w:t> </w:t>
      </w:r>
      <w:r>
        <w:rPr>
          <w:color w:val="231F20"/>
          <w:w w:val="110"/>
        </w:rPr>
        <w:t>podrían</w:t>
      </w:r>
      <w:r>
        <w:rPr>
          <w:color w:val="231F20"/>
          <w:spacing w:val="-7"/>
          <w:w w:val="110"/>
        </w:rPr>
        <w:t> </w:t>
      </w:r>
      <w:r>
        <w:rPr>
          <w:color w:val="231F20"/>
          <w:w w:val="110"/>
        </w:rPr>
        <w:t>salvar</w:t>
      </w:r>
      <w:r>
        <w:rPr>
          <w:color w:val="231F20"/>
          <w:spacing w:val="-7"/>
          <w:w w:val="110"/>
        </w:rPr>
        <w:t> </w:t>
      </w:r>
      <w:r>
        <w:rPr>
          <w:color w:val="231F20"/>
          <w:w w:val="110"/>
        </w:rPr>
        <w:t>el</w:t>
      </w:r>
      <w:r>
        <w:rPr>
          <w:color w:val="231F20"/>
          <w:spacing w:val="-7"/>
          <w:w w:val="110"/>
        </w:rPr>
        <w:t> </w:t>
      </w:r>
      <w:r>
        <w:rPr>
          <w:color w:val="231F20"/>
          <w:w w:val="110"/>
        </w:rPr>
        <w:t>capita- lismo. Pero esta salida es aún menos prometedora para los grandes capitales tradicionales de occidente. ¿Qué es mejor? ¿Un sistema mundo capitalista cuyo eje central —hegemonía— pasa</w:t>
      </w:r>
      <w:r>
        <w:rPr>
          <w:color w:val="231F20"/>
          <w:spacing w:val="20"/>
          <w:w w:val="110"/>
        </w:rPr>
        <w:t> </w:t>
      </w:r>
      <w:r>
        <w:rPr>
          <w:color w:val="231F20"/>
          <w:w w:val="110"/>
        </w:rPr>
        <w:t>por</w:t>
      </w:r>
      <w:r>
        <w:rPr>
          <w:color w:val="231F20"/>
          <w:spacing w:val="10"/>
          <w:w w:val="110"/>
        </w:rPr>
        <w:t> </w:t>
      </w:r>
      <w:r>
        <w:rPr>
          <w:color w:val="231F20"/>
          <w:w w:val="110"/>
        </w:rPr>
        <w:t>Pekín?</w:t>
      </w:r>
      <w:r>
        <w:rPr>
          <w:color w:val="231F20"/>
          <w:w w:val="106"/>
        </w:rPr>
        <w:t> </w:t>
      </w:r>
      <w:r>
        <w:rPr>
          <w:color w:val="231F20"/>
          <w:w w:val="110"/>
        </w:rPr>
        <w:t>O más bien ¿un mundo caótico, en estado de guerra   </w:t>
      </w:r>
      <w:r>
        <w:rPr>
          <w:color w:val="231F20"/>
          <w:spacing w:val="1"/>
          <w:w w:val="110"/>
        </w:rPr>
        <w:t> </w:t>
      </w:r>
      <w:r>
        <w:rPr>
          <w:color w:val="231F20"/>
          <w:w w:val="110"/>
        </w:rPr>
        <w:t>permanente?</w:t>
      </w:r>
    </w:p>
    <w:p>
      <w:pPr>
        <w:pStyle w:val="BodyText"/>
        <w:spacing w:line="261" w:lineRule="auto"/>
        <w:ind w:left="100" w:right="117" w:firstLine="240"/>
        <w:jc w:val="both"/>
      </w:pPr>
      <w:r>
        <w:rPr>
          <w:color w:val="231F20"/>
          <w:w w:val="110"/>
        </w:rPr>
        <w:t>El capital tiene una esperanza que descansa sobre su capacidad de manejar las riquezas sociales a su antojo. La expropiación en Es- tados</w:t>
      </w:r>
      <w:r>
        <w:rPr>
          <w:color w:val="231F20"/>
          <w:spacing w:val="23"/>
          <w:w w:val="110"/>
        </w:rPr>
        <w:t> </w:t>
      </w:r>
      <w:r>
        <w:rPr>
          <w:color w:val="231F20"/>
          <w:w w:val="110"/>
        </w:rPr>
        <w:t>Unidos</w:t>
      </w:r>
      <w:r>
        <w:rPr>
          <w:color w:val="231F20"/>
          <w:spacing w:val="23"/>
          <w:w w:val="110"/>
        </w:rPr>
        <w:t> </w:t>
      </w:r>
      <w:r>
        <w:rPr>
          <w:color w:val="231F20"/>
          <w:w w:val="110"/>
        </w:rPr>
        <w:t>de</w:t>
      </w:r>
      <w:r>
        <w:rPr>
          <w:color w:val="231F20"/>
          <w:spacing w:val="23"/>
          <w:w w:val="110"/>
        </w:rPr>
        <w:t> </w:t>
      </w:r>
      <w:r>
        <w:rPr>
          <w:color w:val="231F20"/>
          <w:w w:val="110"/>
        </w:rPr>
        <w:t>un</w:t>
      </w:r>
      <w:r>
        <w:rPr>
          <w:color w:val="231F20"/>
          <w:spacing w:val="23"/>
          <w:w w:val="110"/>
        </w:rPr>
        <w:t> </w:t>
      </w:r>
      <w:r>
        <w:rPr>
          <w:color w:val="231F20"/>
          <w:w w:val="110"/>
        </w:rPr>
        <w:t>millón</w:t>
      </w:r>
      <w:r>
        <w:rPr>
          <w:color w:val="231F20"/>
          <w:spacing w:val="23"/>
          <w:w w:val="110"/>
        </w:rPr>
        <w:t> </w:t>
      </w:r>
      <w:r>
        <w:rPr>
          <w:color w:val="231F20"/>
          <w:w w:val="110"/>
        </w:rPr>
        <w:t>de</w:t>
      </w:r>
      <w:r>
        <w:rPr>
          <w:color w:val="231F20"/>
          <w:spacing w:val="23"/>
          <w:w w:val="110"/>
        </w:rPr>
        <w:t> </w:t>
      </w:r>
      <w:r>
        <w:rPr>
          <w:color w:val="231F20"/>
          <w:w w:val="110"/>
        </w:rPr>
        <w:t>millón</w:t>
      </w:r>
      <w:r>
        <w:rPr>
          <w:color w:val="231F20"/>
          <w:spacing w:val="23"/>
          <w:w w:val="110"/>
        </w:rPr>
        <w:t> </w:t>
      </w:r>
      <w:r>
        <w:rPr>
          <w:color w:val="231F20"/>
          <w:w w:val="110"/>
        </w:rPr>
        <w:t>de</w:t>
      </w:r>
      <w:r>
        <w:rPr>
          <w:color w:val="231F20"/>
          <w:spacing w:val="23"/>
          <w:w w:val="110"/>
        </w:rPr>
        <w:t> </w:t>
      </w:r>
      <w:r>
        <w:rPr>
          <w:color w:val="231F20"/>
          <w:w w:val="110"/>
        </w:rPr>
        <w:t>dólares</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ahorros</w:t>
      </w:r>
      <w:r>
        <w:rPr>
          <w:color w:val="231F20"/>
          <w:spacing w:val="23"/>
          <w:w w:val="110"/>
        </w:rPr>
        <w:t> </w:t>
      </w:r>
      <w:r>
        <w:rPr>
          <w:color w:val="231F20"/>
          <w:w w:val="110"/>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los pueblos del mundo para distribuirlo entre los financistas a fines de 2008 se hizo en el marco de una elección </w:t>
      </w:r>
      <w:r>
        <w:rPr>
          <w:color w:val="231F20"/>
          <w:spacing w:val="-3"/>
          <w:w w:val="110"/>
        </w:rPr>
        <w:t>popular. </w:t>
      </w:r>
      <w:r>
        <w:rPr>
          <w:color w:val="231F20"/>
          <w:w w:val="110"/>
        </w:rPr>
        <w:t>Sólo 40% de  la ciudadanía llegó a las urnas legitimando a la clase dominante.   Sin embargo, el 60%, en casi su totalidad, se encontraba aún más enajenado. En América Latina, con un giro hacia la izquierda en     la mayoría de los países, se da el mismo fenómeno. En medio de la crisis, de la pauperización de los trabajadores, se expresa confianza en los expropiadores de las riquezas</w:t>
      </w:r>
      <w:r>
        <w:rPr>
          <w:color w:val="231F20"/>
          <w:spacing w:val="-3"/>
          <w:w w:val="110"/>
        </w:rPr>
        <w:t> </w:t>
      </w:r>
      <w:r>
        <w:rPr>
          <w:color w:val="231F20"/>
          <w:w w:val="110"/>
        </w:rPr>
        <w:t>sociales.</w:t>
      </w:r>
    </w:p>
    <w:p>
      <w:pPr>
        <w:pStyle w:val="BodyText"/>
        <w:spacing w:line="261" w:lineRule="auto"/>
        <w:ind w:left="100" w:right="117" w:firstLine="240"/>
        <w:jc w:val="both"/>
      </w:pPr>
      <w:r>
        <w:rPr>
          <w:color w:val="231F20"/>
          <w:w w:val="110"/>
        </w:rPr>
        <w:t>Pero si la desconfianza es el menú del día entre los miembros    de la clase capitalista, entre los trabajadores no hay señales de que  la situación sea diferente. Quizá es aún peor la desconfianza en el futuro que se da entre los trabajadores. El neoliberalismo —política concebida</w:t>
      </w:r>
      <w:r>
        <w:rPr>
          <w:color w:val="231F20"/>
          <w:spacing w:val="-6"/>
          <w:w w:val="110"/>
        </w:rPr>
        <w:t> </w:t>
      </w:r>
      <w:r>
        <w:rPr>
          <w:color w:val="231F20"/>
          <w:w w:val="110"/>
        </w:rPr>
        <w:t>para</w:t>
      </w:r>
      <w:r>
        <w:rPr>
          <w:color w:val="231F20"/>
          <w:spacing w:val="-6"/>
          <w:w w:val="110"/>
        </w:rPr>
        <w:t> </w:t>
      </w:r>
      <w:r>
        <w:rPr>
          <w:color w:val="231F20"/>
          <w:w w:val="110"/>
        </w:rPr>
        <w:t>debilitar</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clase</w:t>
      </w:r>
      <w:r>
        <w:rPr>
          <w:color w:val="231F20"/>
          <w:spacing w:val="-6"/>
          <w:w w:val="110"/>
        </w:rPr>
        <w:t> </w:t>
      </w:r>
      <w:r>
        <w:rPr>
          <w:color w:val="231F20"/>
          <w:w w:val="110"/>
        </w:rPr>
        <w:t>obrera—</w:t>
      </w:r>
      <w:r>
        <w:rPr>
          <w:color w:val="231F20"/>
          <w:spacing w:val="-6"/>
          <w:w w:val="110"/>
        </w:rPr>
        <w:t> </w:t>
      </w:r>
      <w:r>
        <w:rPr>
          <w:color w:val="231F20"/>
          <w:w w:val="110"/>
        </w:rPr>
        <w:t>aparentemente</w:t>
      </w:r>
      <w:r>
        <w:rPr>
          <w:color w:val="231F20"/>
          <w:spacing w:val="-6"/>
          <w:w w:val="110"/>
        </w:rPr>
        <w:t> </w:t>
      </w:r>
      <w:r>
        <w:rPr>
          <w:color w:val="231F20"/>
          <w:w w:val="110"/>
        </w:rPr>
        <w:t>tuvo</w:t>
      </w:r>
      <w:r>
        <w:rPr>
          <w:color w:val="231F20"/>
          <w:spacing w:val="-6"/>
          <w:w w:val="110"/>
        </w:rPr>
        <w:t> </w:t>
      </w:r>
      <w:r>
        <w:rPr>
          <w:color w:val="231F20"/>
          <w:w w:val="110"/>
        </w:rPr>
        <w:t>todo el éxito esperado entre sus arquitectos. Sin embargo, no resucitó al capitalismo como</w:t>
      </w:r>
      <w:r>
        <w:rPr>
          <w:color w:val="231F20"/>
          <w:spacing w:val="-38"/>
          <w:w w:val="110"/>
        </w:rPr>
        <w:t> </w:t>
      </w:r>
      <w:r>
        <w:rPr>
          <w:color w:val="231F20"/>
          <w:w w:val="110"/>
        </w:rPr>
        <w:t>sistema.</w:t>
      </w:r>
    </w:p>
    <w:p>
      <w:pPr>
        <w:pStyle w:val="BodyText"/>
        <w:spacing w:line="261" w:lineRule="auto"/>
        <w:ind w:left="100" w:right="117" w:firstLine="240"/>
        <w:jc w:val="both"/>
      </w:pPr>
      <w:r>
        <w:rPr>
          <w:color w:val="231F20"/>
          <w:w w:val="110"/>
        </w:rPr>
        <w:t>Un</w:t>
      </w:r>
      <w:r>
        <w:rPr>
          <w:color w:val="231F20"/>
          <w:spacing w:val="-8"/>
          <w:w w:val="110"/>
        </w:rPr>
        <w:t> </w:t>
      </w:r>
      <w:r>
        <w:rPr>
          <w:color w:val="231F20"/>
          <w:w w:val="110"/>
        </w:rPr>
        <w:t>capitalismo</w:t>
      </w:r>
      <w:r>
        <w:rPr>
          <w:color w:val="231F20"/>
          <w:spacing w:val="-8"/>
          <w:w w:val="110"/>
        </w:rPr>
        <w:t> </w:t>
      </w:r>
      <w:r>
        <w:rPr>
          <w:color w:val="231F20"/>
          <w:w w:val="110"/>
        </w:rPr>
        <w:t>vigoroso</w:t>
      </w:r>
      <w:r>
        <w:rPr>
          <w:color w:val="231F20"/>
          <w:spacing w:val="-8"/>
          <w:w w:val="110"/>
        </w:rPr>
        <w:t> </w:t>
      </w:r>
      <w:r>
        <w:rPr>
          <w:color w:val="231F20"/>
          <w:w w:val="110"/>
        </w:rPr>
        <w:t>hace</w:t>
      </w:r>
      <w:r>
        <w:rPr>
          <w:color w:val="231F20"/>
          <w:spacing w:val="-8"/>
          <w:w w:val="110"/>
        </w:rPr>
        <w:t> </w:t>
      </w:r>
      <w:r>
        <w:rPr>
          <w:color w:val="231F20"/>
          <w:w w:val="110"/>
        </w:rPr>
        <w:t>nacer</w:t>
      </w:r>
      <w:r>
        <w:rPr>
          <w:color w:val="231F20"/>
          <w:spacing w:val="-8"/>
          <w:w w:val="110"/>
        </w:rPr>
        <w:t> </w:t>
      </w:r>
      <w:r>
        <w:rPr>
          <w:color w:val="231F20"/>
          <w:w w:val="110"/>
        </w:rPr>
        <w:t>una</w:t>
      </w:r>
      <w:r>
        <w:rPr>
          <w:color w:val="231F20"/>
          <w:spacing w:val="-8"/>
          <w:w w:val="110"/>
        </w:rPr>
        <w:t> </w:t>
      </w:r>
      <w:r>
        <w:rPr>
          <w:color w:val="231F20"/>
          <w:w w:val="110"/>
        </w:rPr>
        <w:t>clase</w:t>
      </w:r>
      <w:r>
        <w:rPr>
          <w:color w:val="231F20"/>
          <w:spacing w:val="-8"/>
          <w:w w:val="110"/>
        </w:rPr>
        <w:t> </w:t>
      </w:r>
      <w:r>
        <w:rPr>
          <w:color w:val="231F20"/>
          <w:w w:val="110"/>
        </w:rPr>
        <w:t>obrera</w:t>
      </w:r>
      <w:r>
        <w:rPr>
          <w:color w:val="231F20"/>
          <w:spacing w:val="-8"/>
          <w:w w:val="110"/>
        </w:rPr>
        <w:t> </w:t>
      </w:r>
      <w:r>
        <w:rPr>
          <w:color w:val="231F20"/>
          <w:w w:val="110"/>
        </w:rPr>
        <w:t>con</w:t>
      </w:r>
      <w:r>
        <w:rPr>
          <w:color w:val="231F20"/>
          <w:spacing w:val="-8"/>
          <w:w w:val="110"/>
        </w:rPr>
        <w:t> </w:t>
      </w:r>
      <w:r>
        <w:rPr>
          <w:color w:val="231F20"/>
          <w:w w:val="110"/>
        </w:rPr>
        <w:t>igual</w:t>
      </w:r>
      <w:r>
        <w:rPr>
          <w:color w:val="231F20"/>
          <w:spacing w:val="-8"/>
          <w:w w:val="110"/>
        </w:rPr>
        <w:t> </w:t>
      </w:r>
      <w:r>
        <w:rPr>
          <w:color w:val="231F20"/>
          <w:w w:val="110"/>
        </w:rPr>
        <w:t>en- tusiasmo. Es una relación dialéctica cuyas contradicciones</w:t>
      </w:r>
      <w:r>
        <w:rPr>
          <w:color w:val="231F20"/>
          <w:spacing w:val="-14"/>
          <w:w w:val="110"/>
        </w:rPr>
        <w:t> </w:t>
      </w:r>
      <w:r>
        <w:rPr>
          <w:color w:val="231F20"/>
          <w:w w:val="110"/>
        </w:rPr>
        <w:t>esconden el dilema de la clase capitalista, incapaz de resolver el conflicto que la pone al borde de la derrota en forma permanente. La clase tra- bajadora, por su lado, se quedó con las lecciones del profesor Marx: son las contradicciones del crecimiento capitalista, incapaz de gene- rar excedentes en forma continua, que finalmente lleva al sistema al colapso. Sin embargo, se olvidaron que Marx también tenía su lado militante. El Palacio de Invierno no es un símbolo ni un eufemismo. Es una realidad. La clase obrera tiene que organizar el conjunto del pueblo para asumir las riendas del poder y destruir el </w:t>
      </w:r>
      <w:r>
        <w:rPr>
          <w:color w:val="231F20"/>
          <w:spacing w:val="36"/>
          <w:w w:val="110"/>
        </w:rPr>
        <w:t> </w:t>
      </w:r>
      <w:r>
        <w:rPr>
          <w:color w:val="231F20"/>
          <w:w w:val="110"/>
        </w:rPr>
        <w:t>Estado.</w:t>
      </w:r>
    </w:p>
    <w:p>
      <w:pPr>
        <w:pStyle w:val="BodyText"/>
        <w:spacing w:line="261" w:lineRule="auto"/>
        <w:ind w:left="100" w:right="119" w:firstLine="240"/>
        <w:jc w:val="both"/>
      </w:pPr>
      <w:r>
        <w:rPr>
          <w:color w:val="231F20"/>
          <w:w w:val="110"/>
        </w:rPr>
        <w:t>La clase obrera ha sido engañada por los agentes del capital quie-</w:t>
      </w:r>
      <w:r>
        <w:rPr>
          <w:color w:val="231F20"/>
          <w:w w:val="72"/>
        </w:rPr>
        <w:t> </w:t>
      </w:r>
      <w:r>
        <w:rPr>
          <w:color w:val="231F20"/>
          <w:w w:val="110"/>
        </w:rPr>
        <w:t>nes le plantean la necesidad de organizar un Estado fuerte, capaz de organizar la producción, competir con el capital foráneo y derrotar</w:t>
      </w:r>
      <w:r>
        <w:rPr>
          <w:color w:val="231F20"/>
          <w:spacing w:val="-6"/>
          <w:w w:val="110"/>
        </w:rPr>
        <w:t> </w:t>
      </w:r>
      <w:r>
        <w:rPr>
          <w:color w:val="231F20"/>
          <w:w w:val="110"/>
        </w:rPr>
        <w:t>a la burguesía en su propio juego. Se plantea, además, que la propie- dad privada debe abolirse y ser reemplazada por la propiedad </w:t>
      </w:r>
      <w:r>
        <w:rPr>
          <w:color w:val="231F20"/>
          <w:spacing w:val="-2"/>
          <w:w w:val="110"/>
        </w:rPr>
        <w:t>social </w:t>
      </w:r>
      <w:r>
        <w:rPr>
          <w:color w:val="231F20"/>
          <w:w w:val="110"/>
        </w:rPr>
        <w:t>o</w:t>
      </w:r>
      <w:r>
        <w:rPr>
          <w:color w:val="231F20"/>
          <w:spacing w:val="-25"/>
          <w:w w:val="110"/>
        </w:rPr>
        <w:t> </w:t>
      </w:r>
      <w:r>
        <w:rPr>
          <w:color w:val="231F20"/>
          <w:w w:val="110"/>
        </w:rPr>
        <w:t>estatal.</w:t>
      </w:r>
    </w:p>
    <w:p>
      <w:pPr>
        <w:pStyle w:val="BodyText"/>
        <w:spacing w:line="261" w:lineRule="auto"/>
        <w:ind w:left="100" w:right="117" w:firstLine="240"/>
        <w:jc w:val="both"/>
      </w:pP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últimos</w:t>
      </w:r>
      <w:r>
        <w:rPr>
          <w:color w:val="231F20"/>
          <w:spacing w:val="-10"/>
          <w:w w:val="110"/>
        </w:rPr>
        <w:t> </w:t>
      </w:r>
      <w:r>
        <w:rPr>
          <w:color w:val="231F20"/>
          <w:w w:val="110"/>
        </w:rPr>
        <w:t>dos</w:t>
      </w:r>
      <w:r>
        <w:rPr>
          <w:color w:val="231F20"/>
          <w:spacing w:val="-10"/>
          <w:w w:val="110"/>
        </w:rPr>
        <w:t> </w:t>
      </w:r>
      <w:r>
        <w:rPr>
          <w:color w:val="231F20"/>
          <w:w w:val="110"/>
        </w:rPr>
        <w:t>años</w:t>
      </w:r>
      <w:r>
        <w:rPr>
          <w:color w:val="231F20"/>
          <w:spacing w:val="-10"/>
          <w:w w:val="110"/>
        </w:rPr>
        <w:t> </w:t>
      </w:r>
      <w:r>
        <w:rPr>
          <w:color w:val="231F20"/>
          <w:w w:val="110"/>
        </w:rPr>
        <w:t>el</w:t>
      </w:r>
      <w:r>
        <w:rPr>
          <w:color w:val="231F20"/>
          <w:spacing w:val="-10"/>
          <w:w w:val="110"/>
        </w:rPr>
        <w:t> </w:t>
      </w:r>
      <w:r>
        <w:rPr>
          <w:color w:val="231F20"/>
          <w:w w:val="110"/>
        </w:rPr>
        <w:t>capitalismo</w:t>
      </w:r>
      <w:r>
        <w:rPr>
          <w:color w:val="231F20"/>
          <w:spacing w:val="-10"/>
          <w:w w:val="110"/>
        </w:rPr>
        <w:t> </w:t>
      </w:r>
      <w:r>
        <w:rPr>
          <w:color w:val="231F20"/>
          <w:w w:val="110"/>
        </w:rPr>
        <w:t>ha</w:t>
      </w:r>
      <w:r>
        <w:rPr>
          <w:color w:val="231F20"/>
          <w:spacing w:val="-10"/>
          <w:w w:val="110"/>
        </w:rPr>
        <w:t> </w:t>
      </w:r>
      <w:r>
        <w:rPr>
          <w:color w:val="231F20"/>
          <w:w w:val="110"/>
        </w:rPr>
        <w:t>destruido</w:t>
      </w:r>
      <w:r>
        <w:rPr>
          <w:color w:val="231F20"/>
          <w:spacing w:val="-10"/>
          <w:w w:val="110"/>
        </w:rPr>
        <w:t> </w:t>
      </w:r>
      <w:r>
        <w:rPr>
          <w:color w:val="231F20"/>
          <w:w w:val="110"/>
        </w:rPr>
        <w:t>el</w:t>
      </w:r>
      <w:r>
        <w:rPr>
          <w:color w:val="231F20"/>
          <w:spacing w:val="-10"/>
          <w:w w:val="110"/>
        </w:rPr>
        <w:t> </w:t>
      </w:r>
      <w:r>
        <w:rPr>
          <w:color w:val="231F20"/>
          <w:w w:val="110"/>
        </w:rPr>
        <w:t>10%</w:t>
      </w:r>
      <w:r>
        <w:rPr>
          <w:color w:val="231F20"/>
          <w:spacing w:val="-10"/>
          <w:w w:val="110"/>
        </w:rPr>
        <w:t> </w:t>
      </w:r>
      <w:r>
        <w:rPr>
          <w:color w:val="231F20"/>
          <w:w w:val="110"/>
        </w:rPr>
        <w:t>de</w:t>
      </w:r>
      <w:r>
        <w:rPr>
          <w:color w:val="231F20"/>
          <w:spacing w:val="-10"/>
          <w:w w:val="110"/>
        </w:rPr>
        <w:t> </w:t>
      </w:r>
      <w:r>
        <w:rPr>
          <w:color w:val="231F20"/>
          <w:w w:val="110"/>
        </w:rPr>
        <w:t>toda la propiedad basada en la explotación del trabajo y el mercado. Pro- bablemente, continúe destruyendo la propiedad inservible por</w:t>
      </w:r>
      <w:r>
        <w:rPr>
          <w:color w:val="231F20"/>
          <w:spacing w:val="-28"/>
          <w:w w:val="110"/>
        </w:rPr>
        <w:t> </w:t>
      </w:r>
      <w:r>
        <w:rPr>
          <w:color w:val="231F20"/>
          <w:w w:val="110"/>
        </w:rPr>
        <w:t>varios años más (en la crisis de 1930 destruyó 50 por </w:t>
      </w:r>
      <w:r>
        <w:rPr>
          <w:color w:val="231F20"/>
          <w:spacing w:val="2"/>
          <w:w w:val="110"/>
        </w:rPr>
        <w:t> </w:t>
      </w:r>
      <w:r>
        <w:rPr>
          <w:color w:val="231F20"/>
          <w:w w:val="110"/>
        </w:rPr>
        <w:t>ciento).</w:t>
      </w:r>
    </w:p>
    <w:p>
      <w:pPr>
        <w:pStyle w:val="BodyText"/>
        <w:spacing w:line="261" w:lineRule="auto"/>
        <w:ind w:left="100" w:right="117" w:firstLine="240"/>
        <w:jc w:val="both"/>
      </w:pPr>
      <w:r>
        <w:rPr>
          <w:color w:val="231F20"/>
          <w:w w:val="105"/>
        </w:rPr>
        <w:t>En el caso de América latina, el comercio exterior se ha estancado (con la excepción de China). Igual suerte corre la producción nacio- nal, inversiones, empleo, ingresos y salarios (Petras, 2009). Por otro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50" w:right="117"/>
        <w:jc w:val="right"/>
      </w:pPr>
      <w:r>
        <w:rPr>
          <w:color w:val="231F20"/>
          <w:w w:val="110"/>
        </w:rPr>
        <w:t>lado, las transformaciones tendrán un impacto sobre</w:t>
      </w:r>
      <w:r>
        <w:rPr>
          <w:color w:val="231F20"/>
          <w:spacing w:val="21"/>
          <w:w w:val="110"/>
        </w:rPr>
        <w:t> </w:t>
      </w:r>
      <w:r>
        <w:rPr>
          <w:color w:val="231F20"/>
          <w:w w:val="110"/>
        </w:rPr>
        <w:t>la</w:t>
      </w:r>
      <w:r>
        <w:rPr>
          <w:color w:val="231F20"/>
          <w:spacing w:val="18"/>
          <w:w w:val="110"/>
        </w:rPr>
        <w:t> </w:t>
      </w:r>
      <w:r>
        <w:rPr>
          <w:color w:val="231F20"/>
          <w:w w:val="110"/>
        </w:rPr>
        <w:t>correlación</w:t>
      </w:r>
      <w:r>
        <w:rPr>
          <w:color w:val="231F20"/>
          <w:w w:val="110"/>
        </w:rPr>
        <w:t> </w:t>
      </w:r>
      <w:r>
        <w:rPr>
          <w:color w:val="231F20"/>
          <w:w w:val="110"/>
        </w:rPr>
        <w:t>de fuerzas sociales y políticas. ¿Podrán los</w:t>
      </w:r>
      <w:r>
        <w:rPr>
          <w:color w:val="231F20"/>
          <w:spacing w:val="13"/>
          <w:w w:val="110"/>
        </w:rPr>
        <w:t> </w:t>
      </w:r>
      <w:r>
        <w:rPr>
          <w:color w:val="231F20"/>
          <w:w w:val="110"/>
        </w:rPr>
        <w:t>gobiernos</w:t>
      </w:r>
      <w:r>
        <w:rPr>
          <w:color w:val="231F20"/>
          <w:spacing w:val="1"/>
          <w:w w:val="110"/>
        </w:rPr>
        <w:t> </w:t>
      </w:r>
      <w:r>
        <w:rPr>
          <w:color w:val="231F20"/>
          <w:w w:val="110"/>
        </w:rPr>
        <w:t>“progresistas”</w:t>
      </w:r>
      <w:r>
        <w:rPr>
          <w:color w:val="231F20"/>
          <w:w w:val="104"/>
        </w:rPr>
        <w:t> </w:t>
      </w:r>
      <w:r>
        <w:rPr>
          <w:color w:val="231F20"/>
          <w:w w:val="110"/>
        </w:rPr>
        <w:t>continuar</w:t>
      </w:r>
      <w:r>
        <w:rPr>
          <w:color w:val="231F20"/>
          <w:spacing w:val="-16"/>
          <w:w w:val="110"/>
        </w:rPr>
        <w:t> </w:t>
      </w:r>
      <w:r>
        <w:rPr>
          <w:color w:val="231F20"/>
          <w:w w:val="110"/>
        </w:rPr>
        <w:t>financiando</w:t>
      </w:r>
      <w:r>
        <w:rPr>
          <w:color w:val="231F20"/>
          <w:spacing w:val="-16"/>
          <w:w w:val="110"/>
        </w:rPr>
        <w:t> </w:t>
      </w:r>
      <w:r>
        <w:rPr>
          <w:color w:val="231F20"/>
          <w:w w:val="110"/>
        </w:rPr>
        <w:t>los</w:t>
      </w:r>
      <w:r>
        <w:rPr>
          <w:color w:val="231F20"/>
          <w:spacing w:val="-16"/>
          <w:w w:val="110"/>
        </w:rPr>
        <w:t> </w:t>
      </w:r>
      <w:r>
        <w:rPr>
          <w:color w:val="231F20"/>
          <w:w w:val="110"/>
        </w:rPr>
        <w:t>programas</w:t>
      </w:r>
      <w:r>
        <w:rPr>
          <w:color w:val="231F20"/>
          <w:spacing w:val="-16"/>
          <w:w w:val="110"/>
        </w:rPr>
        <w:t> </w:t>
      </w:r>
      <w:r>
        <w:rPr>
          <w:color w:val="231F20"/>
          <w:w w:val="110"/>
        </w:rPr>
        <w:t>focales</w:t>
      </w:r>
      <w:r>
        <w:rPr>
          <w:color w:val="231F20"/>
          <w:spacing w:val="-16"/>
          <w:w w:val="110"/>
        </w:rPr>
        <w:t> </w:t>
      </w:r>
      <w:r>
        <w:rPr>
          <w:color w:val="231F20"/>
          <w:w w:val="110"/>
        </w:rPr>
        <w:t>dirigidos</w:t>
      </w:r>
      <w:r>
        <w:rPr>
          <w:color w:val="231F20"/>
          <w:spacing w:val="-16"/>
          <w:w w:val="110"/>
        </w:rPr>
        <w:t> </w:t>
      </w:r>
      <w:r>
        <w:rPr>
          <w:color w:val="231F20"/>
          <w:w w:val="110"/>
        </w:rPr>
        <w:t>a</w:t>
      </w:r>
      <w:r>
        <w:rPr>
          <w:color w:val="231F20"/>
          <w:spacing w:val="-16"/>
          <w:w w:val="110"/>
        </w:rPr>
        <w:t> </w:t>
      </w:r>
      <w:r>
        <w:rPr>
          <w:color w:val="231F20"/>
          <w:w w:val="110"/>
        </w:rPr>
        <w:t>mitigar</w:t>
      </w:r>
      <w:r>
        <w:rPr>
          <w:color w:val="231F20"/>
          <w:spacing w:val="-16"/>
          <w:w w:val="110"/>
        </w:rPr>
        <w:t> </w:t>
      </w:r>
      <w:r>
        <w:rPr>
          <w:color w:val="231F20"/>
          <w:w w:val="110"/>
        </w:rPr>
        <w:t>la</w:t>
      </w:r>
      <w:r>
        <w:rPr>
          <w:color w:val="231F20"/>
          <w:spacing w:val="-16"/>
          <w:w w:val="110"/>
        </w:rPr>
        <w:t> </w:t>
      </w:r>
      <w:r>
        <w:rPr>
          <w:color w:val="231F20"/>
          <w:w w:val="110"/>
        </w:rPr>
        <w:t>po-</w:t>
      </w:r>
      <w:r>
        <w:rPr>
          <w:color w:val="231F20"/>
          <w:w w:val="72"/>
        </w:rPr>
        <w:t> </w:t>
      </w:r>
      <w:r>
        <w:rPr>
          <w:color w:val="231F20"/>
          <w:w w:val="110"/>
        </w:rPr>
        <w:t>breza? </w:t>
      </w:r>
      <w:r>
        <w:rPr>
          <w:color w:val="231F20"/>
          <w:spacing w:val="-3"/>
          <w:w w:val="110"/>
        </w:rPr>
        <w:t>¿Tendrán </w:t>
      </w:r>
      <w:r>
        <w:rPr>
          <w:color w:val="231F20"/>
          <w:w w:val="110"/>
        </w:rPr>
        <w:t>que plantear políticas más integrales?</w:t>
      </w:r>
      <w:r>
        <w:rPr>
          <w:color w:val="231F20"/>
          <w:spacing w:val="11"/>
          <w:w w:val="110"/>
        </w:rPr>
        <w:t> </w:t>
      </w:r>
      <w:r>
        <w:rPr>
          <w:color w:val="231F20"/>
          <w:w w:val="110"/>
        </w:rPr>
        <w:t>¿Qué</w:t>
      </w:r>
      <w:r>
        <w:rPr>
          <w:color w:val="231F20"/>
          <w:spacing w:val="1"/>
          <w:w w:val="110"/>
        </w:rPr>
        <w:t> </w:t>
      </w:r>
      <w:r>
        <w:rPr>
          <w:color w:val="231F20"/>
          <w:w w:val="110"/>
        </w:rPr>
        <w:t>efectos</w:t>
      </w:r>
      <w:r>
        <w:rPr>
          <w:color w:val="231F20"/>
          <w:w w:val="106"/>
        </w:rPr>
        <w:t> </w:t>
      </w:r>
      <w:r>
        <w:rPr>
          <w:color w:val="231F20"/>
          <w:w w:val="110"/>
        </w:rPr>
        <w:t>podrán tener otro tipo de programas sobre la correlación de</w:t>
      </w:r>
      <w:r>
        <w:rPr>
          <w:color w:val="231F20"/>
          <w:spacing w:val="-3"/>
          <w:w w:val="110"/>
        </w:rPr>
        <w:t> </w:t>
      </w:r>
      <w:r>
        <w:rPr>
          <w:color w:val="231F20"/>
          <w:w w:val="110"/>
        </w:rPr>
        <w:t>fuerzas?</w:t>
      </w:r>
    </w:p>
    <w:p>
      <w:pPr>
        <w:pStyle w:val="BodyText"/>
        <w:spacing w:line="261" w:lineRule="auto"/>
        <w:ind w:left="120" w:right="117" w:firstLine="240"/>
        <w:jc w:val="both"/>
      </w:pPr>
      <w:r>
        <w:rPr>
          <w:color w:val="231F20"/>
          <w:w w:val="110"/>
        </w:rPr>
        <w:t>Al mismo tiempo, se está produciendo un cambio importante en lo</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refiere</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socios</w:t>
      </w:r>
      <w:r>
        <w:rPr>
          <w:color w:val="231F20"/>
          <w:spacing w:val="-18"/>
          <w:w w:val="110"/>
        </w:rPr>
        <w:t> </w:t>
      </w:r>
      <w:r>
        <w:rPr>
          <w:color w:val="231F20"/>
          <w:w w:val="110"/>
        </w:rPr>
        <w:t>comerciales</w:t>
      </w:r>
      <w:r>
        <w:rPr>
          <w:color w:val="231F20"/>
          <w:spacing w:val="-18"/>
          <w:w w:val="110"/>
        </w:rPr>
        <w:t> </w:t>
      </w:r>
      <w:r>
        <w:rPr>
          <w:color w:val="231F20"/>
          <w:w w:val="110"/>
        </w:rPr>
        <w:t>de</w:t>
      </w:r>
      <w:r>
        <w:rPr>
          <w:color w:val="231F20"/>
          <w:spacing w:val="-18"/>
          <w:w w:val="110"/>
        </w:rPr>
        <w:t> </w:t>
      </w:r>
      <w:r>
        <w:rPr>
          <w:color w:val="231F20"/>
          <w:w w:val="110"/>
        </w:rPr>
        <w:t>América</w:t>
      </w:r>
      <w:r>
        <w:rPr>
          <w:color w:val="231F20"/>
          <w:spacing w:val="-18"/>
          <w:w w:val="110"/>
        </w:rPr>
        <w:t> </w:t>
      </w:r>
      <w:r>
        <w:rPr>
          <w:color w:val="231F20"/>
          <w:w w:val="110"/>
        </w:rPr>
        <w:t>Latina.</w:t>
      </w:r>
      <w:r>
        <w:rPr>
          <w:color w:val="231F20"/>
          <w:spacing w:val="-18"/>
          <w:w w:val="110"/>
        </w:rPr>
        <w:t> </w:t>
      </w:r>
      <w:r>
        <w:rPr>
          <w:color w:val="231F20"/>
          <w:w w:val="110"/>
        </w:rPr>
        <w:t>“Hace</w:t>
      </w:r>
      <w:r>
        <w:rPr>
          <w:color w:val="231F20"/>
          <w:spacing w:val="-18"/>
          <w:w w:val="110"/>
        </w:rPr>
        <w:t> </w:t>
      </w:r>
      <w:r>
        <w:rPr>
          <w:color w:val="231F20"/>
          <w:w w:val="110"/>
        </w:rPr>
        <w:t>20 años,</w:t>
      </w:r>
      <w:r>
        <w:rPr>
          <w:color w:val="231F20"/>
          <w:spacing w:val="-19"/>
          <w:w w:val="110"/>
        </w:rPr>
        <w:t> </w:t>
      </w:r>
      <w:r>
        <w:rPr>
          <w:color w:val="231F20"/>
          <w:w w:val="110"/>
        </w:rPr>
        <w:t>China</w:t>
      </w:r>
      <w:r>
        <w:rPr>
          <w:color w:val="231F20"/>
          <w:spacing w:val="-19"/>
          <w:w w:val="110"/>
        </w:rPr>
        <w:t> </w:t>
      </w:r>
      <w:r>
        <w:rPr>
          <w:color w:val="231F20"/>
          <w:w w:val="110"/>
        </w:rPr>
        <w:t>era</w:t>
      </w:r>
      <w:r>
        <w:rPr>
          <w:color w:val="231F20"/>
          <w:spacing w:val="-19"/>
          <w:w w:val="110"/>
        </w:rPr>
        <w:t> </w:t>
      </w:r>
      <w:r>
        <w:rPr>
          <w:color w:val="231F20"/>
          <w:w w:val="110"/>
        </w:rPr>
        <w:t>el</w:t>
      </w:r>
      <w:r>
        <w:rPr>
          <w:color w:val="231F20"/>
          <w:spacing w:val="-19"/>
          <w:w w:val="110"/>
        </w:rPr>
        <w:t> </w:t>
      </w:r>
      <w:r>
        <w:rPr>
          <w:color w:val="231F20"/>
          <w:w w:val="110"/>
        </w:rPr>
        <w:t>duodécimo</w:t>
      </w:r>
      <w:r>
        <w:rPr>
          <w:color w:val="231F20"/>
          <w:spacing w:val="-19"/>
          <w:w w:val="110"/>
        </w:rPr>
        <w:t> </w:t>
      </w:r>
      <w:r>
        <w:rPr>
          <w:color w:val="231F20"/>
          <w:w w:val="110"/>
        </w:rPr>
        <w:t>socio</w:t>
      </w:r>
      <w:r>
        <w:rPr>
          <w:color w:val="231F20"/>
          <w:spacing w:val="-19"/>
          <w:w w:val="110"/>
        </w:rPr>
        <w:t> </w:t>
      </w:r>
      <w:r>
        <w:rPr>
          <w:color w:val="231F20"/>
          <w:w w:val="110"/>
        </w:rPr>
        <w:t>de</w:t>
      </w:r>
      <w:r>
        <w:rPr>
          <w:color w:val="231F20"/>
          <w:spacing w:val="-19"/>
          <w:w w:val="110"/>
        </w:rPr>
        <w:t> </w:t>
      </w:r>
      <w:r>
        <w:rPr>
          <w:color w:val="231F20"/>
          <w:w w:val="110"/>
        </w:rPr>
        <w:t>América</w:t>
      </w:r>
      <w:r>
        <w:rPr>
          <w:color w:val="231F20"/>
          <w:spacing w:val="-19"/>
          <w:w w:val="110"/>
        </w:rPr>
        <w:t> </w:t>
      </w:r>
      <w:r>
        <w:rPr>
          <w:color w:val="231F20"/>
          <w:w w:val="110"/>
        </w:rPr>
        <w:t>Latina,</w:t>
      </w:r>
      <w:r>
        <w:rPr>
          <w:color w:val="231F20"/>
          <w:spacing w:val="-19"/>
          <w:w w:val="110"/>
        </w:rPr>
        <w:t> </w:t>
      </w:r>
      <w:r>
        <w:rPr>
          <w:color w:val="231F20"/>
          <w:w w:val="110"/>
        </w:rPr>
        <w:t>cuyo</w:t>
      </w:r>
      <w:r>
        <w:rPr>
          <w:color w:val="231F20"/>
          <w:spacing w:val="-19"/>
          <w:w w:val="110"/>
        </w:rPr>
        <w:t> </w:t>
      </w:r>
      <w:r>
        <w:rPr>
          <w:color w:val="231F20"/>
          <w:w w:val="110"/>
        </w:rPr>
        <w:t>volumen comercial apenas superaba 8 mil millones de dólares. Desde 2007 ocupó</w:t>
      </w:r>
      <w:r>
        <w:rPr>
          <w:color w:val="231F20"/>
          <w:spacing w:val="-5"/>
          <w:w w:val="110"/>
        </w:rPr>
        <w:t> </w:t>
      </w:r>
      <w:r>
        <w:rPr>
          <w:color w:val="231F20"/>
          <w:w w:val="110"/>
        </w:rPr>
        <w:t>la</w:t>
      </w:r>
      <w:r>
        <w:rPr>
          <w:color w:val="231F20"/>
          <w:spacing w:val="-5"/>
          <w:w w:val="110"/>
        </w:rPr>
        <w:t> </w:t>
      </w:r>
      <w:r>
        <w:rPr>
          <w:color w:val="231F20"/>
          <w:w w:val="110"/>
        </w:rPr>
        <w:t>segunda</w:t>
      </w:r>
      <w:r>
        <w:rPr>
          <w:color w:val="231F20"/>
          <w:spacing w:val="-5"/>
          <w:w w:val="110"/>
        </w:rPr>
        <w:t> </w:t>
      </w:r>
      <w:r>
        <w:rPr>
          <w:color w:val="231F20"/>
          <w:w w:val="110"/>
        </w:rPr>
        <w:t>posición,</w:t>
      </w:r>
      <w:r>
        <w:rPr>
          <w:color w:val="231F20"/>
          <w:spacing w:val="-5"/>
          <w:w w:val="110"/>
        </w:rPr>
        <w:t> </w:t>
      </w:r>
      <w:r>
        <w:rPr>
          <w:color w:val="231F20"/>
          <w:w w:val="110"/>
        </w:rPr>
        <w:t>multiplicando</w:t>
      </w:r>
      <w:r>
        <w:rPr>
          <w:color w:val="231F20"/>
          <w:spacing w:val="-5"/>
          <w:w w:val="110"/>
        </w:rPr>
        <w:t> </w:t>
      </w:r>
      <w:r>
        <w:rPr>
          <w:color w:val="231F20"/>
          <w:w w:val="110"/>
        </w:rPr>
        <w:t>por</w:t>
      </w:r>
      <w:r>
        <w:rPr>
          <w:color w:val="231F20"/>
          <w:spacing w:val="-5"/>
          <w:w w:val="110"/>
        </w:rPr>
        <w:t> </w:t>
      </w:r>
      <w:r>
        <w:rPr>
          <w:color w:val="231F20"/>
          <w:w w:val="110"/>
        </w:rPr>
        <w:t>13</w:t>
      </w:r>
      <w:r>
        <w:rPr>
          <w:color w:val="231F20"/>
          <w:spacing w:val="-5"/>
          <w:w w:val="110"/>
        </w:rPr>
        <w:t> </w:t>
      </w:r>
      <w:r>
        <w:rPr>
          <w:color w:val="231F20"/>
          <w:w w:val="110"/>
        </w:rPr>
        <w:t>aquella</w:t>
      </w:r>
      <w:r>
        <w:rPr>
          <w:color w:val="231F20"/>
          <w:spacing w:val="-5"/>
          <w:w w:val="110"/>
        </w:rPr>
        <w:t> </w:t>
      </w:r>
      <w:r>
        <w:rPr>
          <w:color w:val="231F20"/>
          <w:w w:val="110"/>
        </w:rPr>
        <w:t>cifra</w:t>
      </w:r>
      <w:r>
        <w:rPr>
          <w:color w:val="231F20"/>
          <w:spacing w:val="-5"/>
          <w:w w:val="110"/>
        </w:rPr>
        <w:t> </w:t>
      </w:r>
      <w:r>
        <w:rPr>
          <w:color w:val="231F20"/>
          <w:w w:val="110"/>
        </w:rPr>
        <w:t>y</w:t>
      </w:r>
      <w:r>
        <w:rPr>
          <w:color w:val="231F20"/>
          <w:spacing w:val="-5"/>
          <w:w w:val="110"/>
        </w:rPr>
        <w:t> </w:t>
      </w:r>
      <w:r>
        <w:rPr>
          <w:color w:val="231F20"/>
          <w:w w:val="110"/>
        </w:rPr>
        <w:t>aho- ra</w:t>
      </w:r>
      <w:r>
        <w:rPr>
          <w:color w:val="231F20"/>
          <w:spacing w:val="-20"/>
          <w:w w:val="110"/>
        </w:rPr>
        <w:t> </w:t>
      </w:r>
      <w:r>
        <w:rPr>
          <w:color w:val="231F20"/>
          <w:w w:val="110"/>
        </w:rPr>
        <w:t>sobrepasa</w:t>
      </w:r>
      <w:r>
        <w:rPr>
          <w:color w:val="231F20"/>
          <w:spacing w:val="-20"/>
          <w:w w:val="110"/>
        </w:rPr>
        <w:t> </w:t>
      </w:r>
      <w:r>
        <w:rPr>
          <w:color w:val="231F20"/>
          <w:w w:val="110"/>
        </w:rPr>
        <w:t>100</w:t>
      </w:r>
      <w:r>
        <w:rPr>
          <w:color w:val="231F20"/>
          <w:spacing w:val="-20"/>
          <w:w w:val="110"/>
        </w:rPr>
        <w:t> </w:t>
      </w:r>
      <w:r>
        <w:rPr>
          <w:color w:val="231F20"/>
          <w:w w:val="110"/>
        </w:rPr>
        <w:t>mil</w:t>
      </w:r>
      <w:r>
        <w:rPr>
          <w:color w:val="231F20"/>
          <w:spacing w:val="-20"/>
          <w:w w:val="110"/>
        </w:rPr>
        <w:t> </w:t>
      </w:r>
      <w:r>
        <w:rPr>
          <w:color w:val="231F20"/>
          <w:w w:val="110"/>
        </w:rPr>
        <w:t>millones</w:t>
      </w:r>
      <w:r>
        <w:rPr>
          <w:color w:val="231F20"/>
          <w:spacing w:val="-20"/>
          <w:w w:val="110"/>
        </w:rPr>
        <w:t> </w:t>
      </w:r>
      <w:r>
        <w:rPr>
          <w:color w:val="231F20"/>
          <w:w w:val="110"/>
        </w:rPr>
        <w:t>de</w:t>
      </w:r>
      <w:r>
        <w:rPr>
          <w:color w:val="231F20"/>
          <w:spacing w:val="-20"/>
          <w:w w:val="110"/>
        </w:rPr>
        <w:t> </w:t>
      </w:r>
      <w:r>
        <w:rPr>
          <w:color w:val="231F20"/>
          <w:w w:val="110"/>
        </w:rPr>
        <w:t>dólares”,</w:t>
      </w:r>
      <w:r>
        <w:rPr>
          <w:color w:val="231F20"/>
          <w:spacing w:val="-20"/>
          <w:w w:val="110"/>
        </w:rPr>
        <w:t> </w:t>
      </w:r>
      <w:r>
        <w:rPr>
          <w:color w:val="231F20"/>
          <w:w w:val="110"/>
        </w:rPr>
        <w:t>señala</w:t>
      </w:r>
      <w:r>
        <w:rPr>
          <w:color w:val="231F20"/>
          <w:spacing w:val="-20"/>
          <w:w w:val="110"/>
        </w:rPr>
        <w:t> </w:t>
      </w:r>
      <w:r>
        <w:rPr>
          <w:color w:val="231F20"/>
          <w:w w:val="110"/>
        </w:rPr>
        <w:t>el</w:t>
      </w:r>
      <w:r>
        <w:rPr>
          <w:color w:val="231F20"/>
          <w:spacing w:val="-20"/>
          <w:w w:val="110"/>
        </w:rPr>
        <w:t> </w:t>
      </w:r>
      <w:r>
        <w:rPr>
          <w:i/>
          <w:color w:val="231F20"/>
          <w:w w:val="110"/>
        </w:rPr>
        <w:t>Diario</w:t>
      </w:r>
      <w:r>
        <w:rPr>
          <w:i/>
          <w:color w:val="231F20"/>
          <w:spacing w:val="-20"/>
          <w:w w:val="110"/>
        </w:rPr>
        <w:t> </w:t>
      </w:r>
      <w:r>
        <w:rPr>
          <w:i/>
          <w:color w:val="231F20"/>
          <w:w w:val="110"/>
        </w:rPr>
        <w:t>del</w:t>
      </w:r>
      <w:r>
        <w:rPr>
          <w:i/>
          <w:color w:val="231F20"/>
          <w:spacing w:val="-20"/>
          <w:w w:val="110"/>
        </w:rPr>
        <w:t> </w:t>
      </w:r>
      <w:r>
        <w:rPr>
          <w:i/>
          <w:color w:val="231F20"/>
          <w:w w:val="110"/>
        </w:rPr>
        <w:t>Pueblo </w:t>
      </w:r>
      <w:r>
        <w:rPr>
          <w:color w:val="231F20"/>
          <w:w w:val="110"/>
        </w:rPr>
        <w:t>(11/8/09). En 2009, China se convirtió en el primer socio comercial de</w:t>
      </w:r>
      <w:r>
        <w:rPr>
          <w:color w:val="231F20"/>
          <w:spacing w:val="-6"/>
          <w:w w:val="110"/>
        </w:rPr>
        <w:t> </w:t>
      </w:r>
      <w:r>
        <w:rPr>
          <w:color w:val="231F20"/>
          <w:w w:val="110"/>
        </w:rPr>
        <w:t>Brasil,</w:t>
      </w:r>
      <w:r>
        <w:rPr>
          <w:color w:val="231F20"/>
          <w:spacing w:val="-6"/>
          <w:w w:val="110"/>
        </w:rPr>
        <w:t> </w:t>
      </w:r>
      <w:r>
        <w:rPr>
          <w:color w:val="231F20"/>
          <w:w w:val="110"/>
        </w:rPr>
        <w:t>superando</w:t>
      </w:r>
      <w:r>
        <w:rPr>
          <w:color w:val="231F20"/>
          <w:spacing w:val="-6"/>
          <w:w w:val="110"/>
        </w:rPr>
        <w:t> </w:t>
      </w:r>
      <w:r>
        <w:rPr>
          <w:color w:val="231F20"/>
          <w:w w:val="110"/>
        </w:rPr>
        <w:t>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Además,</w:t>
      </w:r>
      <w:r>
        <w:rPr>
          <w:color w:val="231F20"/>
          <w:spacing w:val="-6"/>
          <w:w w:val="110"/>
        </w:rPr>
        <w:t> </w:t>
      </w:r>
      <w:r>
        <w:rPr>
          <w:color w:val="231F20"/>
          <w:w w:val="110"/>
        </w:rPr>
        <w:t>ha</w:t>
      </w:r>
      <w:r>
        <w:rPr>
          <w:color w:val="231F20"/>
          <w:spacing w:val="-6"/>
          <w:w w:val="110"/>
        </w:rPr>
        <w:t> </w:t>
      </w:r>
      <w:r>
        <w:rPr>
          <w:color w:val="231F20"/>
          <w:w w:val="110"/>
        </w:rPr>
        <w:t>fortalecido</w:t>
      </w:r>
      <w:r>
        <w:rPr>
          <w:color w:val="231F20"/>
          <w:spacing w:val="-6"/>
          <w:w w:val="110"/>
        </w:rPr>
        <w:t> </w:t>
      </w:r>
      <w:r>
        <w:rPr>
          <w:color w:val="231F20"/>
          <w:w w:val="110"/>
        </w:rPr>
        <w:t>lazos comerciales con Venezuela, Argentina y Ecuador (Zibechi,</w:t>
      </w:r>
      <w:r>
        <w:rPr>
          <w:color w:val="231F20"/>
          <w:spacing w:val="-37"/>
          <w:w w:val="110"/>
        </w:rPr>
        <w:t> </w:t>
      </w:r>
      <w:r>
        <w:rPr>
          <w:color w:val="231F20"/>
          <w:w w:val="110"/>
        </w:rPr>
        <w:t>2009).</w:t>
      </w:r>
    </w:p>
    <w:p>
      <w:pPr>
        <w:pStyle w:val="BodyText"/>
        <w:spacing w:line="261" w:lineRule="auto"/>
        <w:ind w:left="120" w:right="117" w:firstLine="240"/>
        <w:jc w:val="both"/>
      </w:pPr>
      <w:r>
        <w:rPr>
          <w:color w:val="231F20"/>
          <w:w w:val="105"/>
        </w:rPr>
        <w:t>Los proyectos desarrollistas y neoliberales están en bancarrota. Le corresponde a América Latina ir más allá del proyecto de mercado nacional o de ser exportadora primaria. Tiene que definir una es- trategia global capaz de situarla en el escenario mundial. Hay que preguntarse, ¿qué clase social o combinación de clases sociales son capaces de alcanzar este  objetivo?</w:t>
      </w:r>
    </w:p>
    <w:p>
      <w:pPr>
        <w:pStyle w:val="BodyText"/>
      </w:pPr>
    </w:p>
    <w:p>
      <w:pPr>
        <w:pStyle w:val="BodyText"/>
      </w:pPr>
    </w:p>
    <w:p>
      <w:pPr>
        <w:pStyle w:val="BodyText"/>
        <w:spacing w:before="2"/>
        <w:rPr>
          <w:sz w:val="25"/>
        </w:rPr>
      </w:pPr>
    </w:p>
    <w:p>
      <w:pPr>
        <w:pStyle w:val="BodyText"/>
        <w:ind w:left="120" w:right="25"/>
      </w:pPr>
      <w:r>
        <w:rPr>
          <w:color w:val="231F20"/>
          <w:w w:val="125"/>
        </w:rPr>
        <w:t>bibliografía</w:t>
      </w:r>
    </w:p>
    <w:p>
      <w:pPr>
        <w:pStyle w:val="BodyText"/>
        <w:spacing w:before="5"/>
        <w:rPr>
          <w:sz w:val="22"/>
        </w:rPr>
      </w:pPr>
    </w:p>
    <w:p>
      <w:pPr>
        <w:spacing w:line="254" w:lineRule="auto" w:before="0"/>
        <w:ind w:left="360" w:right="121" w:hanging="240"/>
        <w:jc w:val="both"/>
        <w:rPr>
          <w:sz w:val="18"/>
        </w:rPr>
      </w:pPr>
      <w:r>
        <w:rPr>
          <w:color w:val="231F20"/>
          <w:sz w:val="18"/>
        </w:rPr>
        <w:t>Amin, Samir, 2008, </w:t>
      </w:r>
      <w:r>
        <w:rPr>
          <w:i/>
          <w:color w:val="231F20"/>
          <w:sz w:val="18"/>
        </w:rPr>
        <w:t>¿Debacle financiera, crisis sistémica? Respuestas ilusorias y </w:t>
      </w:r>
      <w:r>
        <w:rPr>
          <w:i/>
          <w:color w:val="231F20"/>
          <w:sz w:val="18"/>
        </w:rPr>
        <w:t>respuestas necesarias</w:t>
      </w:r>
      <w:r>
        <w:rPr>
          <w:color w:val="231F20"/>
          <w:sz w:val="18"/>
        </w:rPr>
        <w:t>, Caracas, Foro Mundial de las Alternativas, octubre.</w:t>
      </w:r>
    </w:p>
    <w:p>
      <w:pPr>
        <w:spacing w:line="254" w:lineRule="auto" w:before="1"/>
        <w:ind w:left="360" w:right="118" w:hanging="240"/>
        <w:jc w:val="both"/>
        <w:rPr>
          <w:sz w:val="18"/>
        </w:rPr>
      </w:pPr>
      <w:r>
        <w:rPr>
          <w:color w:val="231F20"/>
          <w:sz w:val="18"/>
        </w:rPr>
        <w:t>Amiune, José Miguel, 2009, “¿Quién gobierna la globalización?, </w:t>
      </w:r>
      <w:r>
        <w:rPr>
          <w:i/>
          <w:color w:val="231F20"/>
          <w:sz w:val="18"/>
        </w:rPr>
        <w:t>Other News- </w:t>
      </w:r>
      <w:r>
        <w:rPr>
          <w:i/>
          <w:color w:val="231F20"/>
          <w:sz w:val="18"/>
        </w:rPr>
        <w:t>Roberto Savio</w:t>
      </w:r>
      <w:r>
        <w:rPr>
          <w:color w:val="231F20"/>
          <w:sz w:val="18"/>
        </w:rPr>
        <w:t>, 4 de  agosto.</w:t>
      </w:r>
    </w:p>
    <w:p>
      <w:pPr>
        <w:spacing w:before="1"/>
        <w:ind w:left="120" w:right="25" w:firstLine="0"/>
        <w:jc w:val="left"/>
        <w:rPr>
          <w:sz w:val="18"/>
        </w:rPr>
      </w:pPr>
      <w:r>
        <w:rPr>
          <w:color w:val="231F20"/>
          <w:w w:val="105"/>
          <w:sz w:val="18"/>
        </w:rPr>
        <w:t>Arrighi, Giovanni, 2008, </w:t>
      </w:r>
      <w:r>
        <w:rPr>
          <w:i/>
          <w:color w:val="231F20"/>
          <w:w w:val="105"/>
          <w:sz w:val="18"/>
        </w:rPr>
        <w:t>Adam Smith In Beijing</w:t>
      </w:r>
      <w:r>
        <w:rPr>
          <w:color w:val="231F20"/>
          <w:w w:val="105"/>
          <w:sz w:val="18"/>
        </w:rPr>
        <w:t>, Londres, Verso.</w:t>
      </w:r>
    </w:p>
    <w:p>
      <w:pPr>
        <w:spacing w:line="254" w:lineRule="auto" w:before="13"/>
        <w:ind w:left="360" w:right="117" w:hanging="240"/>
        <w:jc w:val="both"/>
        <w:rPr>
          <w:sz w:val="18"/>
        </w:rPr>
      </w:pPr>
      <w:r>
        <w:rPr>
          <w:color w:val="231F20"/>
          <w:w w:val="105"/>
          <w:sz w:val="18"/>
        </w:rPr>
        <w:t>Beinstein, Jorge, 2009, “Señales de implosión. Hacia la desintegración del sistema global”, </w:t>
      </w:r>
      <w:r>
        <w:rPr>
          <w:i/>
          <w:color w:val="231F20"/>
          <w:w w:val="105"/>
          <w:sz w:val="18"/>
        </w:rPr>
        <w:t>Política y Sociedad</w:t>
      </w:r>
      <w:r>
        <w:rPr>
          <w:color w:val="231F20"/>
          <w:w w:val="105"/>
          <w:sz w:val="18"/>
        </w:rPr>
        <w:t>, 3 de marzo, &lt;unidadsiporelcambio. worldpress.com&gt;.</w:t>
      </w:r>
    </w:p>
    <w:p>
      <w:pPr>
        <w:spacing w:line="254" w:lineRule="auto" w:before="1"/>
        <w:ind w:left="360" w:right="119" w:hanging="240"/>
        <w:jc w:val="both"/>
        <w:rPr>
          <w:sz w:val="18"/>
        </w:rPr>
      </w:pPr>
      <w:r>
        <w:rPr>
          <w:color w:val="231F20"/>
          <w:w w:val="110"/>
          <w:sz w:val="18"/>
        </w:rPr>
        <w:t>Bello,</w:t>
      </w:r>
      <w:r>
        <w:rPr>
          <w:color w:val="231F20"/>
          <w:spacing w:val="-13"/>
          <w:w w:val="110"/>
          <w:sz w:val="18"/>
        </w:rPr>
        <w:t> </w:t>
      </w:r>
      <w:r>
        <w:rPr>
          <w:color w:val="231F20"/>
          <w:w w:val="110"/>
          <w:sz w:val="18"/>
        </w:rPr>
        <w:t>Walden,</w:t>
      </w:r>
      <w:r>
        <w:rPr>
          <w:color w:val="231F20"/>
          <w:spacing w:val="-13"/>
          <w:w w:val="110"/>
          <w:sz w:val="18"/>
        </w:rPr>
        <w:t> </w:t>
      </w:r>
      <w:r>
        <w:rPr>
          <w:color w:val="231F20"/>
          <w:w w:val="110"/>
          <w:sz w:val="18"/>
        </w:rPr>
        <w:t>2008,</w:t>
      </w:r>
      <w:r>
        <w:rPr>
          <w:color w:val="231F20"/>
          <w:spacing w:val="-13"/>
          <w:w w:val="110"/>
          <w:sz w:val="18"/>
        </w:rPr>
        <w:t> </w:t>
      </w:r>
      <w:r>
        <w:rPr>
          <w:color w:val="231F20"/>
          <w:w w:val="110"/>
          <w:sz w:val="18"/>
        </w:rPr>
        <w:t>“Capitalism</w:t>
      </w:r>
      <w:r>
        <w:rPr>
          <w:color w:val="231F20"/>
          <w:spacing w:val="-13"/>
          <w:w w:val="110"/>
          <w:sz w:val="18"/>
        </w:rPr>
        <w:t> </w:t>
      </w:r>
      <w:r>
        <w:rPr>
          <w:color w:val="231F20"/>
          <w:w w:val="110"/>
          <w:sz w:val="18"/>
        </w:rPr>
        <w:t>in</w:t>
      </w:r>
      <w:r>
        <w:rPr>
          <w:color w:val="231F20"/>
          <w:spacing w:val="-13"/>
          <w:w w:val="110"/>
          <w:sz w:val="18"/>
        </w:rPr>
        <w:t> </w:t>
      </w:r>
      <w:r>
        <w:rPr>
          <w:color w:val="231F20"/>
          <w:w w:val="110"/>
          <w:sz w:val="18"/>
        </w:rPr>
        <w:t>an</w:t>
      </w:r>
      <w:r>
        <w:rPr>
          <w:color w:val="231F20"/>
          <w:spacing w:val="-13"/>
          <w:w w:val="110"/>
          <w:sz w:val="18"/>
        </w:rPr>
        <w:t> </w:t>
      </w:r>
      <w:r>
        <w:rPr>
          <w:color w:val="231F20"/>
          <w:w w:val="110"/>
          <w:sz w:val="18"/>
        </w:rPr>
        <w:t>Apocalyptic</w:t>
      </w:r>
      <w:r>
        <w:rPr>
          <w:color w:val="231F20"/>
          <w:spacing w:val="-13"/>
          <w:w w:val="110"/>
          <w:sz w:val="18"/>
        </w:rPr>
        <w:t> </w:t>
      </w:r>
      <w:r>
        <w:rPr>
          <w:color w:val="231F20"/>
          <w:w w:val="110"/>
          <w:sz w:val="18"/>
        </w:rPr>
        <w:t>Mood”,</w:t>
      </w:r>
      <w:r>
        <w:rPr>
          <w:color w:val="231F20"/>
          <w:spacing w:val="-13"/>
          <w:w w:val="110"/>
          <w:sz w:val="18"/>
        </w:rPr>
        <w:t> </w:t>
      </w:r>
      <w:r>
        <w:rPr>
          <w:color w:val="231F20"/>
          <w:w w:val="110"/>
          <w:sz w:val="18"/>
        </w:rPr>
        <w:t>&lt;</w:t>
      </w:r>
      <w:hyperlink r:id="rId115">
        <w:r>
          <w:rPr>
            <w:color w:val="231F20"/>
            <w:w w:val="110"/>
            <w:sz w:val="18"/>
          </w:rPr>
          <w:t>www.fpif.org/</w:t>
        </w:r>
      </w:hyperlink>
      <w:r>
        <w:rPr>
          <w:color w:val="231F20"/>
          <w:w w:val="110"/>
          <w:sz w:val="18"/>
        </w:rPr>
        <w:t> fpiftxt/4996&gt;, 20 de</w:t>
      </w:r>
      <w:r>
        <w:rPr>
          <w:color w:val="231F20"/>
          <w:spacing w:val="22"/>
          <w:w w:val="110"/>
          <w:sz w:val="18"/>
        </w:rPr>
        <w:t> </w:t>
      </w:r>
      <w:r>
        <w:rPr>
          <w:color w:val="231F20"/>
          <w:w w:val="110"/>
          <w:sz w:val="18"/>
        </w:rPr>
        <w:t>febrero.</w:t>
      </w:r>
    </w:p>
    <w:p>
      <w:pPr>
        <w:spacing w:line="254" w:lineRule="auto" w:before="1"/>
        <w:ind w:left="360" w:right="119" w:hanging="240"/>
        <w:jc w:val="both"/>
        <w:rPr>
          <w:sz w:val="18"/>
        </w:rPr>
      </w:pPr>
      <w:r>
        <w:rPr>
          <w:color w:val="231F20"/>
          <w:w w:val="104"/>
          <w:sz w:val="18"/>
          <w:u w:val="single" w:color="221E1F"/>
        </w:rPr>
        <w:t> </w:t>
      </w:r>
      <w:r>
        <w:rPr>
          <w:color w:val="231F20"/>
          <w:sz w:val="18"/>
          <w:u w:val="single" w:color="221E1F"/>
        </w:rPr>
        <w:t>         </w:t>
      </w:r>
      <w:r>
        <w:rPr>
          <w:color w:val="231F20"/>
          <w:w w:val="105"/>
          <w:sz w:val="18"/>
        </w:rPr>
        <w:t>, 2009a, “¿Llegó la hora de poner fin a la globalización?”, &lt;www.sinper- miso.info&gt;,  16  de septiembre.</w:t>
      </w:r>
    </w:p>
    <w:p>
      <w:pPr>
        <w:spacing w:line="254" w:lineRule="auto" w:before="1"/>
        <w:ind w:left="359"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w:t>
      </w:r>
      <w:r>
        <w:rPr>
          <w:color w:val="231F20"/>
          <w:spacing w:val="-6"/>
          <w:w w:val="105"/>
          <w:sz w:val="18"/>
        </w:rPr>
        <w:t> </w:t>
      </w:r>
      <w:r>
        <w:rPr>
          <w:color w:val="231F20"/>
          <w:w w:val="105"/>
          <w:sz w:val="18"/>
        </w:rPr>
        <w:t>2009b,</w:t>
      </w:r>
      <w:r>
        <w:rPr>
          <w:color w:val="231F20"/>
          <w:spacing w:val="-6"/>
          <w:w w:val="105"/>
          <w:sz w:val="18"/>
        </w:rPr>
        <w:t> </w:t>
      </w:r>
      <w:r>
        <w:rPr>
          <w:color w:val="231F20"/>
          <w:w w:val="105"/>
          <w:sz w:val="18"/>
        </w:rPr>
        <w:t>“El</w:t>
      </w:r>
      <w:r>
        <w:rPr>
          <w:color w:val="231F20"/>
          <w:spacing w:val="-6"/>
          <w:w w:val="105"/>
          <w:sz w:val="18"/>
        </w:rPr>
        <w:t> </w:t>
      </w:r>
      <w:r>
        <w:rPr>
          <w:color w:val="231F20"/>
          <w:w w:val="105"/>
          <w:sz w:val="18"/>
        </w:rPr>
        <w:t>G-20</w:t>
      </w:r>
      <w:r>
        <w:rPr>
          <w:color w:val="231F20"/>
          <w:spacing w:val="-6"/>
          <w:w w:val="105"/>
          <w:sz w:val="18"/>
        </w:rPr>
        <w:t> </w:t>
      </w:r>
      <w:r>
        <w:rPr>
          <w:color w:val="231F20"/>
          <w:w w:val="105"/>
          <w:sz w:val="18"/>
        </w:rPr>
        <w:t>en</w:t>
      </w:r>
      <w:r>
        <w:rPr>
          <w:color w:val="231F20"/>
          <w:spacing w:val="-6"/>
          <w:w w:val="105"/>
          <w:sz w:val="18"/>
        </w:rPr>
        <w:t> </w:t>
      </w:r>
      <w:r>
        <w:rPr>
          <w:color w:val="231F20"/>
          <w:w w:val="105"/>
          <w:sz w:val="18"/>
        </w:rPr>
        <w:t>Londres:</w:t>
      </w:r>
      <w:r>
        <w:rPr>
          <w:color w:val="231F20"/>
          <w:spacing w:val="-6"/>
          <w:w w:val="105"/>
          <w:sz w:val="18"/>
        </w:rPr>
        <w:t> </w:t>
      </w:r>
      <w:r>
        <w:rPr>
          <w:color w:val="231F20"/>
          <w:w w:val="105"/>
          <w:sz w:val="18"/>
        </w:rPr>
        <w:t>la</w:t>
      </w:r>
      <w:r>
        <w:rPr>
          <w:color w:val="231F20"/>
          <w:spacing w:val="-6"/>
          <w:w w:val="105"/>
          <w:sz w:val="18"/>
        </w:rPr>
        <w:t> </w:t>
      </w:r>
      <w:r>
        <w:rPr>
          <w:color w:val="231F20"/>
          <w:w w:val="105"/>
          <w:sz w:val="18"/>
        </w:rPr>
        <w:t>cumbre</w:t>
      </w:r>
      <w:r>
        <w:rPr>
          <w:color w:val="231F20"/>
          <w:spacing w:val="-6"/>
          <w:w w:val="105"/>
          <w:sz w:val="18"/>
        </w:rPr>
        <w:t> </w:t>
      </w:r>
      <w:r>
        <w:rPr>
          <w:color w:val="231F20"/>
          <w:w w:val="105"/>
          <w:sz w:val="18"/>
        </w:rPr>
        <w:t>del</w:t>
      </w:r>
      <w:r>
        <w:rPr>
          <w:color w:val="231F20"/>
          <w:spacing w:val="-6"/>
          <w:w w:val="105"/>
          <w:sz w:val="18"/>
        </w:rPr>
        <w:t> </w:t>
      </w:r>
      <w:r>
        <w:rPr>
          <w:color w:val="231F20"/>
          <w:w w:val="105"/>
          <w:sz w:val="18"/>
        </w:rPr>
        <w:t>miedo”,</w:t>
      </w:r>
      <w:r>
        <w:rPr>
          <w:color w:val="231F20"/>
          <w:spacing w:val="-6"/>
          <w:w w:val="105"/>
          <w:sz w:val="18"/>
        </w:rPr>
        <w:t> </w:t>
      </w:r>
      <w:r>
        <w:rPr>
          <w:i/>
          <w:color w:val="231F20"/>
          <w:w w:val="105"/>
          <w:sz w:val="18"/>
        </w:rPr>
        <w:t>Sin</w:t>
      </w:r>
      <w:r>
        <w:rPr>
          <w:i/>
          <w:color w:val="231F20"/>
          <w:spacing w:val="-6"/>
          <w:w w:val="105"/>
          <w:sz w:val="18"/>
        </w:rPr>
        <w:t> </w:t>
      </w:r>
      <w:r>
        <w:rPr>
          <w:i/>
          <w:color w:val="231F20"/>
          <w:w w:val="105"/>
          <w:sz w:val="18"/>
        </w:rPr>
        <w:t>permiso</w:t>
      </w:r>
      <w:r>
        <w:rPr>
          <w:color w:val="231F20"/>
          <w:w w:val="105"/>
          <w:sz w:val="18"/>
        </w:rPr>
        <w:t>,</w:t>
      </w:r>
      <w:r>
        <w:rPr>
          <w:color w:val="231F20"/>
          <w:spacing w:val="-6"/>
          <w:w w:val="105"/>
          <w:sz w:val="18"/>
        </w:rPr>
        <w:t> </w:t>
      </w:r>
      <w:hyperlink r:id="rId47">
        <w:r>
          <w:rPr>
            <w:color w:val="231F20"/>
            <w:spacing w:val="-3"/>
            <w:w w:val="105"/>
            <w:sz w:val="18"/>
          </w:rPr>
          <w:t>&lt;www</w:t>
        </w:r>
      </w:hyperlink>
      <w:r>
        <w:rPr>
          <w:color w:val="231F20"/>
          <w:spacing w:val="-3"/>
          <w:w w:val="105"/>
          <w:sz w:val="18"/>
        </w:rPr>
        <w:t>. </w:t>
      </w:r>
      <w:r>
        <w:rPr>
          <w:color w:val="231F20"/>
          <w:w w:val="105"/>
          <w:sz w:val="18"/>
        </w:rPr>
        <w:t>sinpermiso.info&gt;,  5  de</w:t>
      </w:r>
      <w:r>
        <w:rPr>
          <w:color w:val="231F20"/>
          <w:spacing w:val="-5"/>
          <w:w w:val="105"/>
          <w:sz w:val="18"/>
        </w:rPr>
        <w:t> </w:t>
      </w:r>
      <w:r>
        <w:rPr>
          <w:color w:val="231F20"/>
          <w:w w:val="105"/>
          <w:sz w:val="18"/>
        </w:rPr>
        <w:t>abril.</w:t>
      </w:r>
    </w:p>
    <w:p>
      <w:pPr>
        <w:spacing w:line="254" w:lineRule="auto" w:before="1"/>
        <w:ind w:left="359" w:right="117" w:hanging="240"/>
        <w:jc w:val="both"/>
        <w:rPr>
          <w:sz w:val="18"/>
        </w:rPr>
      </w:pPr>
      <w:r>
        <w:rPr>
          <w:color w:val="231F20"/>
          <w:w w:val="105"/>
          <w:sz w:val="18"/>
        </w:rPr>
        <w:t>Carcanholo, Reinaldo A., 2008, “Aspectos teóricos de la crisis capitalista”, Herramienta.org, tomado de </w:t>
      </w:r>
      <w:r>
        <w:rPr>
          <w:i/>
          <w:color w:val="231F20"/>
          <w:w w:val="105"/>
          <w:sz w:val="18"/>
        </w:rPr>
        <w:t>&lt;</w:t>
      </w:r>
      <w:hyperlink r:id="rId90">
        <w:r>
          <w:rPr>
            <w:color w:val="231F20"/>
            <w:w w:val="105"/>
            <w:sz w:val="18"/>
          </w:rPr>
          <w:t>www.rebelion.org&gt;</w:t>
        </w:r>
      </w:hyperlink>
      <w:r>
        <w:rPr>
          <w:i/>
          <w:color w:val="231F20"/>
          <w:w w:val="105"/>
          <w:sz w:val="18"/>
        </w:rPr>
        <w:t>, </w:t>
      </w:r>
      <w:r>
        <w:rPr>
          <w:color w:val="231F20"/>
          <w:w w:val="105"/>
          <w:sz w:val="18"/>
        </w:rPr>
        <w:t>24 de    noviembre.</w:t>
      </w:r>
    </w:p>
    <w:p>
      <w:pPr>
        <w:spacing w:after="0" w:line="254" w:lineRule="auto"/>
        <w:jc w:val="both"/>
        <w:rPr>
          <w:sz w:val="18"/>
        </w:rPr>
        <w:sectPr>
          <w:pgSz w:w="7640" w:h="11900"/>
          <w:pgMar w:header="672" w:footer="0" w:top="860" w:bottom="280" w:left="640" w:right="760"/>
        </w:sectPr>
      </w:pPr>
    </w:p>
    <w:p>
      <w:pPr>
        <w:pStyle w:val="BodyText"/>
        <w:spacing w:before="8"/>
        <w:rPr>
          <w:sz w:val="8"/>
        </w:rPr>
      </w:pPr>
    </w:p>
    <w:p>
      <w:pPr>
        <w:spacing w:line="254" w:lineRule="auto" w:before="71"/>
        <w:ind w:left="340" w:right="117" w:hanging="240"/>
        <w:jc w:val="both"/>
        <w:rPr>
          <w:sz w:val="18"/>
        </w:rPr>
      </w:pPr>
      <w:r>
        <w:rPr>
          <w:color w:val="231F20"/>
          <w:w w:val="105"/>
          <w:sz w:val="18"/>
        </w:rPr>
        <w:t>Castellina, Luciana, 2009, “Si el continente se abstiene”, &lt;www.sinpermiso. info&gt;, 14 de  junio.</w:t>
      </w:r>
    </w:p>
    <w:p>
      <w:pPr>
        <w:spacing w:line="254" w:lineRule="auto" w:before="1"/>
        <w:ind w:left="340" w:right="118" w:hanging="240"/>
        <w:jc w:val="both"/>
        <w:rPr>
          <w:sz w:val="18"/>
        </w:rPr>
      </w:pPr>
      <w:r>
        <w:rPr>
          <w:color w:val="231F20"/>
          <w:w w:val="105"/>
          <w:sz w:val="18"/>
        </w:rPr>
        <w:t>Chesnais, Francois y Gérard Duménil, 2004, “La economía del imperialismo estadunidense”, </w:t>
      </w:r>
      <w:hyperlink r:id="rId90">
        <w:r>
          <w:rPr>
            <w:color w:val="231F20"/>
            <w:w w:val="105"/>
            <w:sz w:val="18"/>
          </w:rPr>
          <w:t>&lt;www.rebelion.org&gt;,</w:t>
        </w:r>
      </w:hyperlink>
      <w:r>
        <w:rPr>
          <w:color w:val="231F20"/>
          <w:w w:val="105"/>
          <w:sz w:val="18"/>
        </w:rPr>
        <w:t> 19 de   septiembre.</w:t>
      </w:r>
    </w:p>
    <w:p>
      <w:pPr>
        <w:spacing w:line="254" w:lineRule="auto" w:before="1"/>
        <w:ind w:left="340" w:right="118" w:hanging="240"/>
        <w:jc w:val="both"/>
        <w:rPr>
          <w:sz w:val="18"/>
        </w:rPr>
      </w:pPr>
      <w:r>
        <w:rPr>
          <w:color w:val="231F20"/>
          <w:w w:val="105"/>
          <w:sz w:val="18"/>
        </w:rPr>
        <w:t>Choonara, Joseph, 2009, “Marxist accounts of the current crisis”, </w:t>
      </w:r>
      <w:r>
        <w:rPr>
          <w:i/>
          <w:color w:val="231F20"/>
          <w:w w:val="105"/>
          <w:sz w:val="18"/>
        </w:rPr>
        <w:t>International </w:t>
      </w:r>
      <w:r>
        <w:rPr>
          <w:i/>
          <w:color w:val="231F20"/>
          <w:w w:val="105"/>
          <w:sz w:val="18"/>
        </w:rPr>
        <w:t>socialism</w:t>
      </w:r>
      <w:r>
        <w:rPr>
          <w:color w:val="231F20"/>
          <w:w w:val="105"/>
          <w:sz w:val="18"/>
        </w:rPr>
        <w:t>, núm. 123, junio.</w:t>
      </w:r>
    </w:p>
    <w:p>
      <w:pPr>
        <w:spacing w:line="254" w:lineRule="auto" w:before="1"/>
        <w:ind w:left="340" w:right="117" w:hanging="240"/>
        <w:jc w:val="both"/>
        <w:rPr>
          <w:sz w:val="18"/>
        </w:rPr>
      </w:pPr>
      <w:r>
        <w:rPr>
          <w:color w:val="231F20"/>
          <w:w w:val="105"/>
          <w:sz w:val="18"/>
        </w:rPr>
        <w:t>Devine, Pat, 2006, “The 1970s and </w:t>
      </w:r>
      <w:r>
        <w:rPr>
          <w:color w:val="231F20"/>
          <w:spacing w:val="-3"/>
          <w:w w:val="105"/>
          <w:sz w:val="18"/>
        </w:rPr>
        <w:t>after. </w:t>
      </w:r>
      <w:r>
        <w:rPr>
          <w:color w:val="231F20"/>
          <w:w w:val="105"/>
          <w:sz w:val="18"/>
        </w:rPr>
        <w:t>The political economy of inflation</w:t>
      </w:r>
      <w:r>
        <w:rPr>
          <w:color w:val="231F20"/>
          <w:spacing w:val="47"/>
          <w:w w:val="105"/>
          <w:sz w:val="18"/>
        </w:rPr>
        <w:t> </w:t>
      </w:r>
      <w:r>
        <w:rPr>
          <w:color w:val="231F20"/>
          <w:w w:val="105"/>
          <w:sz w:val="18"/>
        </w:rPr>
        <w:t>and the crisis of social democracy”, </w:t>
      </w:r>
      <w:r>
        <w:rPr>
          <w:i/>
          <w:color w:val="231F20"/>
          <w:w w:val="105"/>
          <w:sz w:val="18"/>
        </w:rPr>
        <w:t>Soundings </w:t>
      </w:r>
      <w:r>
        <w:rPr>
          <w:color w:val="231F20"/>
          <w:w w:val="105"/>
          <w:sz w:val="18"/>
        </w:rPr>
        <w:t>32,  </w:t>
      </w:r>
      <w:r>
        <w:rPr>
          <w:color w:val="231F20"/>
          <w:spacing w:val="5"/>
          <w:w w:val="105"/>
          <w:sz w:val="18"/>
        </w:rPr>
        <w:t> </w:t>
      </w:r>
      <w:r>
        <w:rPr>
          <w:color w:val="231F20"/>
          <w:w w:val="105"/>
          <w:sz w:val="18"/>
        </w:rPr>
        <w:t>Spring.</w:t>
      </w:r>
    </w:p>
    <w:p>
      <w:pPr>
        <w:spacing w:line="254" w:lineRule="auto" w:before="1"/>
        <w:ind w:left="340" w:right="119" w:hanging="240"/>
        <w:jc w:val="both"/>
        <w:rPr>
          <w:sz w:val="18"/>
        </w:rPr>
      </w:pPr>
      <w:r>
        <w:rPr>
          <w:color w:val="231F20"/>
          <w:w w:val="105"/>
          <w:sz w:val="18"/>
        </w:rPr>
        <w:t>Economist Intelligence Unit, 2008, “Las ventajas de la crisis”, </w:t>
      </w:r>
      <w:r>
        <w:rPr>
          <w:i/>
          <w:color w:val="231F20"/>
          <w:w w:val="105"/>
          <w:sz w:val="18"/>
        </w:rPr>
        <w:t>Economist Inte- </w:t>
      </w:r>
      <w:r>
        <w:rPr>
          <w:i/>
          <w:color w:val="231F20"/>
          <w:w w:val="105"/>
          <w:sz w:val="18"/>
        </w:rPr>
        <w:t>lligence Unit </w:t>
      </w:r>
      <w:r>
        <w:rPr>
          <w:color w:val="231F20"/>
          <w:w w:val="105"/>
          <w:sz w:val="18"/>
        </w:rPr>
        <w:t>(Finanzas), 4 de noviembre.</w:t>
      </w:r>
    </w:p>
    <w:p>
      <w:pPr>
        <w:spacing w:line="254" w:lineRule="auto" w:before="1"/>
        <w:ind w:left="340" w:right="117" w:hanging="240"/>
        <w:jc w:val="both"/>
        <w:rPr>
          <w:sz w:val="18"/>
        </w:rPr>
      </w:pPr>
      <w:r>
        <w:rPr>
          <w:color w:val="231F20"/>
          <w:w w:val="105"/>
          <w:sz w:val="18"/>
        </w:rPr>
        <w:t>Fiori, José Luis, 2009, “Sistema mundial: un universo en expansión”, </w:t>
      </w:r>
      <w:hyperlink r:id="rId47">
        <w:r>
          <w:rPr>
            <w:color w:val="231F20"/>
            <w:w w:val="105"/>
            <w:sz w:val="18"/>
          </w:rPr>
          <w:t>&lt;www</w:t>
        </w:r>
      </w:hyperlink>
      <w:r>
        <w:rPr>
          <w:color w:val="231F20"/>
          <w:w w:val="105"/>
          <w:sz w:val="18"/>
        </w:rPr>
        <w:t>. sinpermiso.info&gt;.</w:t>
      </w:r>
    </w:p>
    <w:p>
      <w:pPr>
        <w:spacing w:before="1"/>
        <w:ind w:left="100" w:right="-2" w:firstLine="0"/>
        <w:jc w:val="left"/>
        <w:rPr>
          <w:sz w:val="18"/>
        </w:rPr>
      </w:pPr>
      <w:r>
        <w:rPr>
          <w:color w:val="231F20"/>
          <w:w w:val="110"/>
          <w:sz w:val="18"/>
        </w:rPr>
        <w:t>Foster, John Bellamy, 2008,”The Financialization of Capital and the Crisis”,</w:t>
      </w:r>
    </w:p>
    <w:p>
      <w:pPr>
        <w:spacing w:before="13"/>
        <w:ind w:left="340" w:right="25" w:firstLine="0"/>
        <w:jc w:val="left"/>
        <w:rPr>
          <w:sz w:val="18"/>
        </w:rPr>
      </w:pPr>
      <w:r>
        <w:rPr>
          <w:i/>
          <w:color w:val="231F20"/>
          <w:w w:val="105"/>
          <w:sz w:val="18"/>
        </w:rPr>
        <w:t>Monthly Review</w:t>
      </w:r>
      <w:r>
        <w:rPr>
          <w:color w:val="231F20"/>
          <w:w w:val="105"/>
          <w:sz w:val="18"/>
        </w:rPr>
        <w:t>, vol. 60, núm. 11, abril.</w:t>
      </w:r>
    </w:p>
    <w:p>
      <w:pPr>
        <w:spacing w:line="254" w:lineRule="auto" w:before="13"/>
        <w:ind w:left="340" w:right="119" w:hanging="240"/>
        <w:jc w:val="both"/>
        <w:rPr>
          <w:sz w:val="18"/>
        </w:rPr>
      </w:pPr>
      <w:r>
        <w:rPr>
          <w:color w:val="231F20"/>
          <w:w w:val="105"/>
          <w:sz w:val="18"/>
        </w:rPr>
        <w:t>Funnell, Ben, 2009, “Debt is capitalism’s dirty little secret”, </w:t>
      </w:r>
      <w:r>
        <w:rPr>
          <w:i/>
          <w:color w:val="231F20"/>
          <w:w w:val="105"/>
          <w:sz w:val="18"/>
        </w:rPr>
        <w:t>Financial Times</w:t>
      </w:r>
      <w:r>
        <w:rPr>
          <w:color w:val="231F20"/>
          <w:w w:val="105"/>
          <w:sz w:val="18"/>
        </w:rPr>
        <w:t>, 30  de junio.</w:t>
      </w:r>
    </w:p>
    <w:p>
      <w:pPr>
        <w:spacing w:line="254" w:lineRule="auto" w:before="1"/>
        <w:ind w:left="340" w:right="119" w:hanging="240"/>
        <w:jc w:val="both"/>
        <w:rPr>
          <w:sz w:val="18"/>
        </w:rPr>
      </w:pPr>
      <w:r>
        <w:rPr>
          <w:color w:val="231F20"/>
          <w:w w:val="105"/>
          <w:sz w:val="18"/>
        </w:rPr>
        <w:t>Gandásegui,</w:t>
      </w:r>
      <w:r>
        <w:rPr>
          <w:color w:val="231F20"/>
          <w:spacing w:val="-7"/>
          <w:w w:val="105"/>
          <w:sz w:val="18"/>
        </w:rPr>
        <w:t> </w:t>
      </w:r>
      <w:r>
        <w:rPr>
          <w:color w:val="231F20"/>
          <w:w w:val="105"/>
          <w:sz w:val="18"/>
        </w:rPr>
        <w:t>Marco</w:t>
      </w:r>
      <w:r>
        <w:rPr>
          <w:color w:val="231F20"/>
          <w:spacing w:val="-7"/>
          <w:w w:val="105"/>
          <w:sz w:val="18"/>
        </w:rPr>
        <w:t> </w:t>
      </w:r>
      <w:r>
        <w:rPr>
          <w:color w:val="231F20"/>
          <w:w w:val="105"/>
          <w:sz w:val="18"/>
        </w:rPr>
        <w:t>A.,</w:t>
      </w:r>
      <w:r>
        <w:rPr>
          <w:color w:val="231F20"/>
          <w:spacing w:val="-7"/>
          <w:w w:val="105"/>
          <w:sz w:val="18"/>
        </w:rPr>
        <w:t> </w:t>
      </w:r>
      <w:r>
        <w:rPr>
          <w:color w:val="231F20"/>
          <w:w w:val="105"/>
          <w:sz w:val="18"/>
        </w:rPr>
        <w:t>2007a,</w:t>
      </w:r>
      <w:r>
        <w:rPr>
          <w:color w:val="231F20"/>
          <w:spacing w:val="-7"/>
          <w:w w:val="105"/>
          <w:sz w:val="18"/>
        </w:rPr>
        <w:t> </w:t>
      </w:r>
      <w:r>
        <w:rPr>
          <w:color w:val="231F20"/>
          <w:w w:val="105"/>
          <w:sz w:val="18"/>
        </w:rPr>
        <w:t>“The</w:t>
      </w:r>
      <w:r>
        <w:rPr>
          <w:color w:val="231F20"/>
          <w:spacing w:val="-7"/>
          <w:w w:val="105"/>
          <w:sz w:val="18"/>
        </w:rPr>
        <w:t> </w:t>
      </w:r>
      <w:r>
        <w:rPr>
          <w:color w:val="231F20"/>
          <w:w w:val="105"/>
          <w:sz w:val="18"/>
        </w:rPr>
        <w:t>Soviet</w:t>
      </w:r>
      <w:r>
        <w:rPr>
          <w:color w:val="231F20"/>
          <w:spacing w:val="-7"/>
          <w:w w:val="105"/>
          <w:sz w:val="18"/>
        </w:rPr>
        <w:t> </w:t>
      </w:r>
      <w:r>
        <w:rPr>
          <w:color w:val="231F20"/>
          <w:w w:val="105"/>
          <w:sz w:val="18"/>
        </w:rPr>
        <w:t>Collapse”,</w:t>
      </w:r>
      <w:r>
        <w:rPr>
          <w:color w:val="231F20"/>
          <w:spacing w:val="-7"/>
          <w:w w:val="105"/>
          <w:sz w:val="18"/>
        </w:rPr>
        <w:t> </w:t>
      </w:r>
      <w:r>
        <w:rPr>
          <w:i/>
          <w:color w:val="231F20"/>
          <w:w w:val="105"/>
          <w:sz w:val="18"/>
        </w:rPr>
        <w:t>Latin</w:t>
      </w:r>
      <w:r>
        <w:rPr>
          <w:i/>
          <w:color w:val="231F20"/>
          <w:spacing w:val="-7"/>
          <w:w w:val="105"/>
          <w:sz w:val="18"/>
        </w:rPr>
        <w:t> </w:t>
      </w:r>
      <w:r>
        <w:rPr>
          <w:i/>
          <w:color w:val="231F20"/>
          <w:w w:val="105"/>
          <w:sz w:val="18"/>
        </w:rPr>
        <w:t>American</w:t>
      </w:r>
      <w:r>
        <w:rPr>
          <w:i/>
          <w:color w:val="231F20"/>
          <w:spacing w:val="-7"/>
          <w:w w:val="105"/>
          <w:sz w:val="18"/>
        </w:rPr>
        <w:t> </w:t>
      </w:r>
      <w:r>
        <w:rPr>
          <w:i/>
          <w:color w:val="231F20"/>
          <w:w w:val="105"/>
          <w:sz w:val="18"/>
        </w:rPr>
        <w:t>Perspec- </w:t>
      </w:r>
      <w:r>
        <w:rPr>
          <w:i/>
          <w:color w:val="231F20"/>
          <w:w w:val="105"/>
          <w:sz w:val="18"/>
        </w:rPr>
        <w:t>tives, </w:t>
      </w:r>
      <w:r>
        <w:rPr>
          <w:color w:val="231F20"/>
          <w:w w:val="105"/>
          <w:sz w:val="18"/>
        </w:rPr>
        <w:t>núm. 157, vol. 34, núm. 6,  </w:t>
      </w:r>
      <w:r>
        <w:rPr>
          <w:color w:val="231F20"/>
          <w:spacing w:val="20"/>
          <w:w w:val="105"/>
          <w:sz w:val="18"/>
        </w:rPr>
        <w:t> </w:t>
      </w:r>
      <w:r>
        <w:rPr>
          <w:color w:val="231F20"/>
          <w:w w:val="105"/>
          <w:sz w:val="18"/>
        </w:rPr>
        <w:t>noviembre.</w:t>
      </w:r>
    </w:p>
    <w:p>
      <w:pPr>
        <w:tabs>
          <w:tab w:pos="549" w:val="left" w:leader="none"/>
        </w:tabs>
        <w:spacing w:line="254" w:lineRule="auto" w:before="1"/>
        <w:ind w:left="100" w:right="117" w:firstLine="0"/>
        <w:jc w:val="left"/>
        <w:rPr>
          <w:i/>
          <w:sz w:val="18"/>
        </w:rPr>
      </w:pPr>
      <w:r>
        <w:rPr>
          <w:color w:val="231F20"/>
          <w:w w:val="104"/>
          <w:sz w:val="18"/>
          <w:u w:val="single" w:color="221E1F"/>
        </w:rPr>
        <w:t> </w:t>
      </w:r>
      <w:r>
        <w:rPr>
          <w:color w:val="231F20"/>
          <w:sz w:val="18"/>
          <w:u w:val="single" w:color="221E1F"/>
        </w:rPr>
        <w:tab/>
      </w:r>
      <w:r>
        <w:rPr>
          <w:color w:val="231F20"/>
          <w:sz w:val="18"/>
        </w:rPr>
        <w:t>,</w:t>
      </w:r>
      <w:r>
        <w:rPr>
          <w:color w:val="231F20"/>
          <w:spacing w:val="-12"/>
          <w:sz w:val="18"/>
        </w:rPr>
        <w:t> </w:t>
      </w:r>
      <w:r>
        <w:rPr>
          <w:color w:val="231F20"/>
          <w:sz w:val="18"/>
        </w:rPr>
        <w:t>2007b,</w:t>
      </w:r>
      <w:r>
        <w:rPr>
          <w:color w:val="231F20"/>
          <w:spacing w:val="-12"/>
          <w:sz w:val="18"/>
        </w:rPr>
        <w:t> </w:t>
      </w:r>
      <w:r>
        <w:rPr>
          <w:i/>
          <w:color w:val="231F20"/>
          <w:sz w:val="18"/>
        </w:rPr>
        <w:t>Crisis</w:t>
      </w:r>
      <w:r>
        <w:rPr>
          <w:i/>
          <w:color w:val="231F20"/>
          <w:spacing w:val="-12"/>
          <w:sz w:val="18"/>
        </w:rPr>
        <w:t> </w:t>
      </w:r>
      <w:r>
        <w:rPr>
          <w:i/>
          <w:color w:val="231F20"/>
          <w:sz w:val="18"/>
        </w:rPr>
        <w:t>de</w:t>
      </w:r>
      <w:r>
        <w:rPr>
          <w:i/>
          <w:color w:val="231F20"/>
          <w:spacing w:val="-12"/>
          <w:sz w:val="18"/>
        </w:rPr>
        <w:t> </w:t>
      </w:r>
      <w:r>
        <w:rPr>
          <w:i/>
          <w:color w:val="231F20"/>
          <w:sz w:val="18"/>
        </w:rPr>
        <w:t>hegemonía</w:t>
      </w:r>
      <w:r>
        <w:rPr>
          <w:i/>
          <w:color w:val="231F20"/>
          <w:spacing w:val="-12"/>
          <w:sz w:val="18"/>
        </w:rPr>
        <w:t> </w:t>
      </w:r>
      <w:r>
        <w:rPr>
          <w:i/>
          <w:color w:val="231F20"/>
          <w:sz w:val="18"/>
        </w:rPr>
        <w:t>de</w:t>
      </w:r>
      <w:r>
        <w:rPr>
          <w:i/>
          <w:color w:val="231F20"/>
          <w:spacing w:val="-12"/>
          <w:sz w:val="18"/>
        </w:rPr>
        <w:t> </w:t>
      </w:r>
      <w:r>
        <w:rPr>
          <w:i/>
          <w:color w:val="231F20"/>
          <w:sz w:val="18"/>
        </w:rPr>
        <w:t>Estados</w:t>
      </w:r>
      <w:r>
        <w:rPr>
          <w:i/>
          <w:color w:val="231F20"/>
          <w:spacing w:val="-12"/>
          <w:sz w:val="18"/>
        </w:rPr>
        <w:t> </w:t>
      </w:r>
      <w:r>
        <w:rPr>
          <w:i/>
          <w:color w:val="231F20"/>
          <w:sz w:val="18"/>
        </w:rPr>
        <w:t>Unidos</w:t>
      </w:r>
      <w:r>
        <w:rPr>
          <w:color w:val="231F20"/>
          <w:sz w:val="18"/>
        </w:rPr>
        <w:t>,</w:t>
      </w:r>
      <w:r>
        <w:rPr>
          <w:color w:val="231F20"/>
          <w:spacing w:val="-12"/>
          <w:sz w:val="18"/>
        </w:rPr>
        <w:t> </w:t>
      </w:r>
      <w:r>
        <w:rPr>
          <w:color w:val="231F20"/>
          <w:sz w:val="18"/>
        </w:rPr>
        <w:t>México,</w:t>
      </w:r>
      <w:r>
        <w:rPr>
          <w:color w:val="231F20"/>
          <w:spacing w:val="-12"/>
          <w:sz w:val="18"/>
        </w:rPr>
        <w:t> </w:t>
      </w:r>
      <w:r>
        <w:rPr>
          <w:color w:val="231F20"/>
          <w:sz w:val="18"/>
        </w:rPr>
        <w:t>Siglo</w:t>
      </w:r>
      <w:r>
        <w:rPr>
          <w:color w:val="231F20"/>
          <w:spacing w:val="-12"/>
          <w:sz w:val="18"/>
        </w:rPr>
        <w:t> </w:t>
      </w:r>
      <w:r>
        <w:rPr>
          <w:color w:val="231F20"/>
          <w:sz w:val="18"/>
        </w:rPr>
        <w:t>XXI</w:t>
      </w:r>
      <w:r>
        <w:rPr>
          <w:color w:val="231F20"/>
          <w:spacing w:val="-12"/>
          <w:sz w:val="18"/>
        </w:rPr>
        <w:t> </w:t>
      </w:r>
      <w:r>
        <w:rPr>
          <w:color w:val="231F20"/>
          <w:sz w:val="18"/>
        </w:rPr>
        <w:t>Editores.</w:t>
      </w:r>
      <w:r>
        <w:rPr>
          <w:color w:val="231F20"/>
          <w:w w:val="108"/>
          <w:sz w:val="18"/>
        </w:rPr>
        <w:t> </w:t>
      </w:r>
      <w:r>
        <w:rPr>
          <w:color w:val="231F20"/>
          <w:w w:val="105"/>
          <w:sz w:val="18"/>
        </w:rPr>
        <w:t>Johnson,</w:t>
      </w:r>
      <w:r>
        <w:rPr>
          <w:color w:val="231F20"/>
          <w:spacing w:val="23"/>
          <w:w w:val="105"/>
          <w:sz w:val="18"/>
        </w:rPr>
        <w:t> </w:t>
      </w:r>
      <w:r>
        <w:rPr>
          <w:color w:val="231F20"/>
          <w:w w:val="105"/>
          <w:sz w:val="18"/>
        </w:rPr>
        <w:t>Simon,</w:t>
      </w:r>
      <w:r>
        <w:rPr>
          <w:color w:val="231F20"/>
          <w:spacing w:val="23"/>
          <w:w w:val="105"/>
          <w:sz w:val="18"/>
        </w:rPr>
        <w:t> </w:t>
      </w:r>
      <w:r>
        <w:rPr>
          <w:color w:val="231F20"/>
          <w:w w:val="105"/>
          <w:sz w:val="18"/>
        </w:rPr>
        <w:t>2009,</w:t>
      </w:r>
      <w:r>
        <w:rPr>
          <w:color w:val="231F20"/>
          <w:spacing w:val="23"/>
          <w:w w:val="105"/>
          <w:sz w:val="18"/>
        </w:rPr>
        <w:t> </w:t>
      </w:r>
      <w:r>
        <w:rPr>
          <w:color w:val="231F20"/>
          <w:w w:val="105"/>
          <w:sz w:val="18"/>
        </w:rPr>
        <w:t>“The</w:t>
      </w:r>
      <w:r>
        <w:rPr>
          <w:color w:val="231F20"/>
          <w:spacing w:val="23"/>
          <w:w w:val="105"/>
          <w:sz w:val="18"/>
        </w:rPr>
        <w:t> </w:t>
      </w:r>
      <w:r>
        <w:rPr>
          <w:color w:val="231F20"/>
          <w:w w:val="105"/>
          <w:sz w:val="18"/>
        </w:rPr>
        <w:t>Quiet</w:t>
      </w:r>
      <w:r>
        <w:rPr>
          <w:color w:val="231F20"/>
          <w:spacing w:val="23"/>
          <w:w w:val="105"/>
          <w:sz w:val="18"/>
        </w:rPr>
        <w:t> </w:t>
      </w:r>
      <w:r>
        <w:rPr>
          <w:color w:val="231F20"/>
          <w:w w:val="105"/>
          <w:sz w:val="18"/>
        </w:rPr>
        <w:t>Coup.</w:t>
      </w:r>
      <w:r>
        <w:rPr>
          <w:color w:val="231F20"/>
          <w:spacing w:val="23"/>
          <w:w w:val="105"/>
          <w:sz w:val="18"/>
        </w:rPr>
        <w:t> </w:t>
      </w:r>
      <w:r>
        <w:rPr>
          <w:color w:val="231F20"/>
          <w:w w:val="105"/>
          <w:sz w:val="18"/>
        </w:rPr>
        <w:t>The</w:t>
      </w:r>
      <w:r>
        <w:rPr>
          <w:color w:val="231F20"/>
          <w:spacing w:val="23"/>
          <w:w w:val="105"/>
          <w:sz w:val="18"/>
        </w:rPr>
        <w:t> </w:t>
      </w:r>
      <w:r>
        <w:rPr>
          <w:color w:val="231F20"/>
          <w:w w:val="105"/>
          <w:sz w:val="18"/>
        </w:rPr>
        <w:t>power</w:t>
      </w:r>
      <w:r>
        <w:rPr>
          <w:color w:val="231F20"/>
          <w:spacing w:val="23"/>
          <w:w w:val="105"/>
          <w:sz w:val="18"/>
        </w:rPr>
        <w:t> </w:t>
      </w:r>
      <w:r>
        <w:rPr>
          <w:color w:val="231F20"/>
          <w:w w:val="105"/>
          <w:sz w:val="18"/>
        </w:rPr>
        <w:t>of</w:t>
      </w:r>
      <w:r>
        <w:rPr>
          <w:color w:val="231F20"/>
          <w:spacing w:val="23"/>
          <w:w w:val="105"/>
          <w:sz w:val="18"/>
        </w:rPr>
        <w:t> </w:t>
      </w:r>
      <w:r>
        <w:rPr>
          <w:color w:val="231F20"/>
          <w:w w:val="105"/>
          <w:sz w:val="18"/>
        </w:rPr>
        <w:t>the</w:t>
      </w:r>
      <w:r>
        <w:rPr>
          <w:color w:val="231F20"/>
          <w:spacing w:val="23"/>
          <w:w w:val="105"/>
          <w:sz w:val="18"/>
        </w:rPr>
        <w:t> </w:t>
      </w:r>
      <w:r>
        <w:rPr>
          <w:color w:val="231F20"/>
          <w:w w:val="105"/>
          <w:sz w:val="18"/>
        </w:rPr>
        <w:t>Oligarchy”,</w:t>
      </w:r>
      <w:r>
        <w:rPr>
          <w:color w:val="231F20"/>
          <w:spacing w:val="23"/>
          <w:w w:val="105"/>
          <w:sz w:val="18"/>
        </w:rPr>
        <w:t> </w:t>
      </w:r>
      <w:r>
        <w:rPr>
          <w:i/>
          <w:color w:val="231F20"/>
          <w:w w:val="105"/>
          <w:sz w:val="18"/>
        </w:rPr>
        <w:t>The</w:t>
      </w:r>
    </w:p>
    <w:p>
      <w:pPr>
        <w:spacing w:before="1"/>
        <w:ind w:left="340" w:right="25" w:firstLine="0"/>
        <w:jc w:val="left"/>
        <w:rPr>
          <w:sz w:val="18"/>
        </w:rPr>
      </w:pPr>
      <w:r>
        <w:rPr>
          <w:i/>
          <w:color w:val="231F20"/>
          <w:sz w:val="18"/>
        </w:rPr>
        <w:t>Atlantic</w:t>
      </w:r>
      <w:r>
        <w:rPr>
          <w:color w:val="231F20"/>
          <w:sz w:val="18"/>
        </w:rPr>
        <w:t>, mayo.</w:t>
      </w:r>
    </w:p>
    <w:p>
      <w:pPr>
        <w:spacing w:line="254" w:lineRule="auto" w:before="13"/>
        <w:ind w:left="340" w:right="119" w:hanging="240"/>
        <w:jc w:val="both"/>
        <w:rPr>
          <w:sz w:val="18"/>
        </w:rPr>
      </w:pPr>
      <w:r>
        <w:rPr>
          <w:color w:val="231F20"/>
          <w:w w:val="105"/>
          <w:sz w:val="18"/>
        </w:rPr>
        <w:t>Krätke, Michael R., 2009, “¡Hurra! ¡La recesión quedó atrás!”, &lt;www.sinper- miso.info&gt;,  3  de septiembre.</w:t>
      </w:r>
    </w:p>
    <w:p>
      <w:pPr>
        <w:spacing w:line="254" w:lineRule="auto" w:before="1"/>
        <w:ind w:left="340" w:right="117" w:hanging="240"/>
        <w:jc w:val="both"/>
        <w:rPr>
          <w:sz w:val="18"/>
        </w:rPr>
      </w:pPr>
      <w:r>
        <w:rPr>
          <w:color w:val="231F20"/>
          <w:w w:val="105"/>
          <w:sz w:val="18"/>
        </w:rPr>
        <w:t>Kroszner,</w:t>
      </w:r>
      <w:r>
        <w:rPr>
          <w:color w:val="231F20"/>
          <w:spacing w:val="-25"/>
          <w:w w:val="105"/>
          <w:sz w:val="18"/>
        </w:rPr>
        <w:t> </w:t>
      </w:r>
      <w:r>
        <w:rPr>
          <w:color w:val="231F20"/>
          <w:w w:val="105"/>
          <w:sz w:val="18"/>
        </w:rPr>
        <w:t>Randall</w:t>
      </w:r>
      <w:r>
        <w:rPr>
          <w:color w:val="231F20"/>
          <w:spacing w:val="-25"/>
          <w:w w:val="105"/>
          <w:sz w:val="18"/>
        </w:rPr>
        <w:t> </w:t>
      </w:r>
      <w:r>
        <w:rPr>
          <w:color w:val="231F20"/>
          <w:w w:val="105"/>
          <w:sz w:val="18"/>
        </w:rPr>
        <w:t>S.,</w:t>
      </w:r>
      <w:r>
        <w:rPr>
          <w:color w:val="231F20"/>
          <w:spacing w:val="-25"/>
          <w:w w:val="105"/>
          <w:sz w:val="18"/>
        </w:rPr>
        <w:t> </w:t>
      </w:r>
      <w:r>
        <w:rPr>
          <w:color w:val="231F20"/>
          <w:w w:val="105"/>
          <w:sz w:val="18"/>
        </w:rPr>
        <w:t>2007,</w:t>
      </w:r>
      <w:r>
        <w:rPr>
          <w:color w:val="231F20"/>
          <w:spacing w:val="-25"/>
          <w:w w:val="105"/>
          <w:sz w:val="18"/>
        </w:rPr>
        <w:t> </w:t>
      </w:r>
      <w:r>
        <w:rPr>
          <w:color w:val="231F20"/>
          <w:w w:val="105"/>
          <w:sz w:val="18"/>
        </w:rPr>
        <w:t>“Speech”,</w:t>
      </w:r>
      <w:r>
        <w:rPr>
          <w:color w:val="231F20"/>
          <w:spacing w:val="-25"/>
          <w:w w:val="105"/>
          <w:sz w:val="18"/>
        </w:rPr>
        <w:t> </w:t>
      </w:r>
      <w:r>
        <w:rPr>
          <w:i/>
          <w:color w:val="231F20"/>
          <w:w w:val="105"/>
          <w:sz w:val="18"/>
        </w:rPr>
        <w:t>At</w:t>
      </w:r>
      <w:r>
        <w:rPr>
          <w:i/>
          <w:color w:val="231F20"/>
          <w:spacing w:val="-25"/>
          <w:w w:val="105"/>
          <w:sz w:val="18"/>
        </w:rPr>
        <w:t> </w:t>
      </w:r>
      <w:r>
        <w:rPr>
          <w:i/>
          <w:color w:val="231F20"/>
          <w:w w:val="105"/>
          <w:sz w:val="18"/>
        </w:rPr>
        <w:t>the</w:t>
      </w:r>
      <w:r>
        <w:rPr>
          <w:i/>
          <w:color w:val="231F20"/>
          <w:spacing w:val="-25"/>
          <w:w w:val="105"/>
          <w:sz w:val="18"/>
        </w:rPr>
        <w:t> </w:t>
      </w:r>
      <w:r>
        <w:rPr>
          <w:i/>
          <w:color w:val="231F20"/>
          <w:w w:val="105"/>
          <w:sz w:val="18"/>
        </w:rPr>
        <w:t>Consumer</w:t>
      </w:r>
      <w:r>
        <w:rPr>
          <w:i/>
          <w:color w:val="231F20"/>
          <w:spacing w:val="-25"/>
          <w:w w:val="105"/>
          <w:sz w:val="18"/>
        </w:rPr>
        <w:t> </w:t>
      </w:r>
      <w:r>
        <w:rPr>
          <w:i/>
          <w:color w:val="231F20"/>
          <w:w w:val="105"/>
          <w:sz w:val="18"/>
        </w:rPr>
        <w:t>Bankers</w:t>
      </w:r>
      <w:r>
        <w:rPr>
          <w:i/>
          <w:color w:val="231F20"/>
          <w:spacing w:val="-25"/>
          <w:w w:val="105"/>
          <w:sz w:val="18"/>
        </w:rPr>
        <w:t> </w:t>
      </w:r>
      <w:r>
        <w:rPr>
          <w:i/>
          <w:color w:val="231F20"/>
          <w:w w:val="105"/>
          <w:sz w:val="18"/>
        </w:rPr>
        <w:t>Association</w:t>
      </w:r>
      <w:r>
        <w:rPr>
          <w:i/>
          <w:color w:val="231F20"/>
          <w:spacing w:val="-25"/>
          <w:w w:val="105"/>
          <w:sz w:val="18"/>
        </w:rPr>
        <w:t> </w:t>
      </w:r>
      <w:r>
        <w:rPr>
          <w:i/>
          <w:color w:val="231F20"/>
          <w:w w:val="105"/>
          <w:sz w:val="18"/>
        </w:rPr>
        <w:t>2007 </w:t>
      </w:r>
      <w:r>
        <w:rPr>
          <w:i/>
          <w:color w:val="231F20"/>
          <w:w w:val="105"/>
          <w:sz w:val="18"/>
        </w:rPr>
        <w:t>Fair</w:t>
      </w:r>
      <w:r>
        <w:rPr>
          <w:i/>
          <w:color w:val="231F20"/>
          <w:spacing w:val="-11"/>
          <w:w w:val="105"/>
          <w:sz w:val="18"/>
        </w:rPr>
        <w:t> </w:t>
      </w:r>
      <w:r>
        <w:rPr>
          <w:i/>
          <w:color w:val="231F20"/>
          <w:w w:val="105"/>
          <w:sz w:val="18"/>
        </w:rPr>
        <w:t>Lending</w:t>
      </w:r>
      <w:r>
        <w:rPr>
          <w:i/>
          <w:color w:val="231F20"/>
          <w:spacing w:val="-11"/>
          <w:w w:val="105"/>
          <w:sz w:val="18"/>
        </w:rPr>
        <w:t> </w:t>
      </w:r>
      <w:r>
        <w:rPr>
          <w:i/>
          <w:color w:val="231F20"/>
          <w:w w:val="105"/>
          <w:sz w:val="18"/>
        </w:rPr>
        <w:t>Conference</w:t>
      </w:r>
      <w:r>
        <w:rPr>
          <w:color w:val="231F20"/>
          <w:w w:val="105"/>
          <w:sz w:val="18"/>
        </w:rPr>
        <w:t>,</w:t>
      </w:r>
      <w:r>
        <w:rPr>
          <w:color w:val="231F20"/>
          <w:spacing w:val="-11"/>
          <w:w w:val="105"/>
          <w:sz w:val="18"/>
        </w:rPr>
        <w:t> </w:t>
      </w:r>
      <w:r>
        <w:rPr>
          <w:color w:val="231F20"/>
          <w:w w:val="105"/>
          <w:sz w:val="18"/>
        </w:rPr>
        <w:t>Washington,</w:t>
      </w:r>
      <w:r>
        <w:rPr>
          <w:color w:val="231F20"/>
          <w:spacing w:val="-11"/>
          <w:w w:val="105"/>
          <w:sz w:val="18"/>
        </w:rPr>
        <w:t> </w:t>
      </w:r>
      <w:r>
        <w:rPr>
          <w:color w:val="231F20"/>
          <w:w w:val="105"/>
          <w:sz w:val="18"/>
        </w:rPr>
        <w:t>DC,</w:t>
      </w:r>
      <w:r>
        <w:rPr>
          <w:color w:val="231F20"/>
          <w:spacing w:val="-11"/>
          <w:w w:val="105"/>
          <w:sz w:val="18"/>
        </w:rPr>
        <w:t> </w:t>
      </w:r>
      <w:r>
        <w:rPr>
          <w:color w:val="231F20"/>
          <w:w w:val="105"/>
          <w:sz w:val="18"/>
        </w:rPr>
        <w:t>7</w:t>
      </w:r>
      <w:r>
        <w:rPr>
          <w:color w:val="231F20"/>
          <w:spacing w:val="-11"/>
          <w:w w:val="105"/>
          <w:sz w:val="18"/>
        </w:rPr>
        <w:t> </w:t>
      </w:r>
      <w:r>
        <w:rPr>
          <w:color w:val="231F20"/>
          <w:w w:val="105"/>
          <w:sz w:val="18"/>
        </w:rPr>
        <w:t>de</w:t>
      </w:r>
      <w:r>
        <w:rPr>
          <w:color w:val="231F20"/>
          <w:spacing w:val="-11"/>
          <w:w w:val="105"/>
          <w:sz w:val="18"/>
        </w:rPr>
        <w:t> </w:t>
      </w:r>
      <w:r>
        <w:rPr>
          <w:color w:val="231F20"/>
          <w:spacing w:val="-3"/>
          <w:w w:val="105"/>
          <w:sz w:val="18"/>
        </w:rPr>
        <w:t>nov.,</w:t>
      </w:r>
      <w:r>
        <w:rPr>
          <w:color w:val="231F20"/>
          <w:spacing w:val="-11"/>
          <w:w w:val="105"/>
          <w:sz w:val="18"/>
        </w:rPr>
        <w:t> </w:t>
      </w:r>
      <w:r>
        <w:rPr>
          <w:color w:val="231F20"/>
          <w:w w:val="105"/>
          <w:sz w:val="18"/>
        </w:rPr>
        <w:t>&lt;www.federalreserve. gov/newsevents/speech/kroszner20071105a.htm&gt;.</w:t>
      </w:r>
    </w:p>
    <w:p>
      <w:pPr>
        <w:spacing w:before="1"/>
        <w:ind w:left="100" w:right="25" w:firstLine="0"/>
        <w:jc w:val="left"/>
        <w:rPr>
          <w:sz w:val="18"/>
        </w:rPr>
      </w:pPr>
      <w:r>
        <w:rPr>
          <w:color w:val="231F20"/>
          <w:w w:val="105"/>
          <w:sz w:val="18"/>
        </w:rPr>
        <w:t>Lordon, Frédéric, 2008, “El día en que la Reserva Federal se hizo socialista”,</w:t>
      </w:r>
    </w:p>
    <w:p>
      <w:pPr>
        <w:spacing w:before="13"/>
        <w:ind w:left="340" w:right="25" w:firstLine="0"/>
        <w:jc w:val="left"/>
        <w:rPr>
          <w:sz w:val="18"/>
        </w:rPr>
      </w:pPr>
      <w:r>
        <w:rPr>
          <w:i/>
          <w:color w:val="231F20"/>
          <w:w w:val="105"/>
          <w:sz w:val="18"/>
        </w:rPr>
        <w:t>Aporrea–Rebelión, </w:t>
      </w:r>
      <w:r>
        <w:rPr>
          <w:color w:val="231F20"/>
          <w:w w:val="105"/>
          <w:sz w:val="18"/>
        </w:rPr>
        <w:t>11 de octubre.</w:t>
      </w:r>
    </w:p>
    <w:p>
      <w:pPr>
        <w:spacing w:line="254" w:lineRule="auto" w:before="13"/>
        <w:ind w:left="340" w:right="119" w:hanging="240"/>
        <w:jc w:val="both"/>
        <w:rPr>
          <w:sz w:val="18"/>
        </w:rPr>
      </w:pPr>
      <w:r>
        <w:rPr>
          <w:color w:val="231F20"/>
          <w:w w:val="105"/>
          <w:sz w:val="18"/>
        </w:rPr>
        <w:t>Martens, Pam, 2008, “El ascenso y la caída de Citigroup” </w:t>
      </w:r>
      <w:r>
        <w:rPr>
          <w:i/>
          <w:color w:val="231F20"/>
          <w:w w:val="105"/>
          <w:sz w:val="18"/>
        </w:rPr>
        <w:t>CounterPunch</w:t>
      </w:r>
      <w:r>
        <w:rPr>
          <w:color w:val="231F20"/>
          <w:w w:val="105"/>
          <w:sz w:val="18"/>
        </w:rPr>
        <w:t>, to- mado de </w:t>
      </w:r>
      <w:hyperlink r:id="rId90">
        <w:r>
          <w:rPr>
            <w:color w:val="231F20"/>
            <w:w w:val="105"/>
            <w:sz w:val="18"/>
          </w:rPr>
          <w:t>&lt;www.rebelion.org&gt;,</w:t>
        </w:r>
      </w:hyperlink>
      <w:r>
        <w:rPr>
          <w:color w:val="231F20"/>
          <w:w w:val="105"/>
          <w:sz w:val="18"/>
        </w:rPr>
        <w:t> 27 de   noviembre.</w:t>
      </w:r>
    </w:p>
    <w:p>
      <w:pPr>
        <w:spacing w:line="254" w:lineRule="auto" w:before="1"/>
        <w:ind w:left="340" w:right="119" w:hanging="240"/>
        <w:jc w:val="both"/>
        <w:rPr>
          <w:sz w:val="18"/>
        </w:rPr>
      </w:pPr>
      <w:r>
        <w:rPr>
          <w:color w:val="231F20"/>
          <w:w w:val="110"/>
          <w:sz w:val="18"/>
        </w:rPr>
        <w:t>Nadal,</w:t>
      </w:r>
      <w:r>
        <w:rPr>
          <w:color w:val="231F20"/>
          <w:spacing w:val="-19"/>
          <w:w w:val="110"/>
          <w:sz w:val="18"/>
        </w:rPr>
        <w:t> </w:t>
      </w:r>
      <w:r>
        <w:rPr>
          <w:color w:val="231F20"/>
          <w:w w:val="110"/>
          <w:sz w:val="18"/>
        </w:rPr>
        <w:t>Alejandro,</w:t>
      </w:r>
      <w:r>
        <w:rPr>
          <w:color w:val="231F20"/>
          <w:spacing w:val="-19"/>
          <w:w w:val="110"/>
          <w:sz w:val="18"/>
        </w:rPr>
        <w:t> </w:t>
      </w:r>
      <w:r>
        <w:rPr>
          <w:color w:val="231F20"/>
          <w:w w:val="110"/>
          <w:sz w:val="18"/>
        </w:rPr>
        <w:t>2009,”Geithner</w:t>
      </w:r>
      <w:r>
        <w:rPr>
          <w:color w:val="231F20"/>
          <w:spacing w:val="-19"/>
          <w:w w:val="110"/>
          <w:sz w:val="18"/>
        </w:rPr>
        <w:t> </w:t>
      </w:r>
      <w:r>
        <w:rPr>
          <w:color w:val="231F20"/>
          <w:w w:val="110"/>
          <w:sz w:val="18"/>
        </w:rPr>
        <w:t>lucha</w:t>
      </w:r>
      <w:r>
        <w:rPr>
          <w:color w:val="231F20"/>
          <w:spacing w:val="-19"/>
          <w:w w:val="110"/>
          <w:sz w:val="18"/>
        </w:rPr>
        <w:t> </w:t>
      </w:r>
      <w:r>
        <w:rPr>
          <w:color w:val="231F20"/>
          <w:w w:val="110"/>
          <w:sz w:val="18"/>
        </w:rPr>
        <w:t>por</w:t>
      </w:r>
      <w:r>
        <w:rPr>
          <w:color w:val="231F20"/>
          <w:spacing w:val="-19"/>
          <w:w w:val="110"/>
          <w:sz w:val="18"/>
        </w:rPr>
        <w:t> </w:t>
      </w:r>
      <w:r>
        <w:rPr>
          <w:color w:val="231F20"/>
          <w:w w:val="110"/>
          <w:sz w:val="18"/>
        </w:rPr>
        <w:t>el</w:t>
      </w:r>
      <w:r>
        <w:rPr>
          <w:color w:val="231F20"/>
          <w:spacing w:val="-19"/>
          <w:w w:val="110"/>
          <w:sz w:val="18"/>
        </w:rPr>
        <w:t> </w:t>
      </w:r>
      <w:r>
        <w:rPr>
          <w:color w:val="231F20"/>
          <w:w w:val="110"/>
          <w:sz w:val="18"/>
        </w:rPr>
        <w:t>dólar</w:t>
      </w:r>
      <w:r>
        <w:rPr>
          <w:color w:val="231F20"/>
          <w:spacing w:val="-19"/>
          <w:w w:val="110"/>
          <w:sz w:val="18"/>
        </w:rPr>
        <w:t> </w:t>
      </w:r>
      <w:r>
        <w:rPr>
          <w:color w:val="231F20"/>
          <w:w w:val="110"/>
          <w:sz w:val="18"/>
        </w:rPr>
        <w:t>en</w:t>
      </w:r>
      <w:r>
        <w:rPr>
          <w:color w:val="231F20"/>
          <w:spacing w:val="-19"/>
          <w:w w:val="110"/>
          <w:sz w:val="18"/>
        </w:rPr>
        <w:t> </w:t>
      </w:r>
      <w:r>
        <w:rPr>
          <w:color w:val="231F20"/>
          <w:w w:val="110"/>
          <w:sz w:val="18"/>
        </w:rPr>
        <w:t>China”</w:t>
      </w:r>
      <w:r>
        <w:rPr>
          <w:color w:val="231F20"/>
          <w:spacing w:val="-19"/>
          <w:w w:val="110"/>
          <w:sz w:val="18"/>
        </w:rPr>
        <w:t> </w:t>
      </w:r>
      <w:r>
        <w:rPr>
          <w:color w:val="231F20"/>
          <w:w w:val="110"/>
          <w:sz w:val="18"/>
        </w:rPr>
        <w:t>&lt;www.sinper- miso.info&gt;, 14 de</w:t>
      </w:r>
      <w:r>
        <w:rPr>
          <w:color w:val="231F20"/>
          <w:spacing w:val="-18"/>
          <w:w w:val="110"/>
          <w:sz w:val="18"/>
        </w:rPr>
        <w:t> </w:t>
      </w:r>
      <w:r>
        <w:rPr>
          <w:color w:val="231F20"/>
          <w:w w:val="110"/>
          <w:sz w:val="18"/>
        </w:rPr>
        <w:t>junio.</w:t>
      </w:r>
    </w:p>
    <w:p>
      <w:pPr>
        <w:spacing w:line="254" w:lineRule="auto" w:before="1"/>
        <w:ind w:left="340" w:right="119" w:hanging="240"/>
        <w:jc w:val="both"/>
        <w:rPr>
          <w:sz w:val="18"/>
        </w:rPr>
      </w:pPr>
      <w:r>
        <w:rPr>
          <w:color w:val="231F20"/>
          <w:w w:val="105"/>
          <w:sz w:val="18"/>
        </w:rPr>
        <w:t>Ocampo, José A., 2009, “Impactos de la crisis financiera mundial sobre Amé- rica Latina”, </w:t>
      </w:r>
      <w:r>
        <w:rPr>
          <w:i/>
          <w:color w:val="231F20"/>
          <w:w w:val="105"/>
          <w:sz w:val="18"/>
        </w:rPr>
        <w:t>Revista CEPAL</w:t>
      </w:r>
      <w:r>
        <w:rPr>
          <w:color w:val="231F20"/>
          <w:w w:val="105"/>
          <w:sz w:val="18"/>
        </w:rPr>
        <w:t>, núm. 97, abril.</w:t>
      </w:r>
    </w:p>
    <w:p>
      <w:pPr>
        <w:spacing w:line="254" w:lineRule="auto" w:before="1"/>
        <w:ind w:left="340" w:right="118" w:hanging="240"/>
        <w:jc w:val="both"/>
        <w:rPr>
          <w:sz w:val="18"/>
        </w:rPr>
      </w:pPr>
      <w:r>
        <w:rPr>
          <w:color w:val="231F20"/>
          <w:w w:val="105"/>
          <w:sz w:val="18"/>
        </w:rPr>
        <w:t>Pérez, Carlota, 2009, “After crisis: creative construction”, &lt;openDemocracy. net&gt;,  5  de marzo.</w:t>
      </w:r>
    </w:p>
    <w:p>
      <w:pPr>
        <w:spacing w:line="254" w:lineRule="auto" w:before="1"/>
        <w:ind w:left="340" w:right="119" w:hanging="240"/>
        <w:jc w:val="both"/>
        <w:rPr>
          <w:sz w:val="18"/>
        </w:rPr>
      </w:pPr>
      <w:r>
        <w:rPr>
          <w:color w:val="231F20"/>
          <w:w w:val="105"/>
          <w:sz w:val="18"/>
        </w:rPr>
        <w:t>Petras, James, 2009, “Crisis in Latin America”, </w:t>
      </w:r>
      <w:r>
        <w:rPr>
          <w:i/>
          <w:color w:val="231F20"/>
          <w:w w:val="105"/>
          <w:sz w:val="18"/>
        </w:rPr>
        <w:t>Latin American Perspectives</w:t>
      </w:r>
      <w:r>
        <w:rPr>
          <w:color w:val="231F20"/>
          <w:w w:val="105"/>
          <w:sz w:val="18"/>
        </w:rPr>
        <w:t>, núm.  167, julio.</w:t>
      </w:r>
    </w:p>
    <w:p>
      <w:pPr>
        <w:spacing w:line="254" w:lineRule="auto" w:before="1"/>
        <w:ind w:left="340" w:right="114" w:hanging="240"/>
        <w:jc w:val="both"/>
        <w:rPr>
          <w:sz w:val="18"/>
        </w:rPr>
      </w:pPr>
      <w:r>
        <w:rPr>
          <w:color w:val="231F20"/>
          <w:w w:val="110"/>
          <w:sz w:val="18"/>
        </w:rPr>
        <w:t>Petrik, Will, 2009, “International Monetary Fund and the Inter-American Development Bank: A History of Limited Choices and Broken Promises</w:t>
      </w:r>
    </w:p>
    <w:p>
      <w:pPr>
        <w:spacing w:before="1"/>
        <w:ind w:left="340" w:right="25" w:firstLine="0"/>
        <w:jc w:val="left"/>
        <w:rPr>
          <w:sz w:val="18"/>
        </w:rPr>
      </w:pPr>
      <w:r>
        <w:rPr>
          <w:color w:val="231F20"/>
          <w:sz w:val="18"/>
        </w:rPr>
        <w:t>-  </w:t>
      </w:r>
      <w:r>
        <w:rPr>
          <w:color w:val="231F20"/>
          <w:w w:val="105"/>
          <w:sz w:val="18"/>
        </w:rPr>
        <w:t>Part II”, Washington, coha, 23 de    abril.</w:t>
      </w:r>
    </w:p>
    <w:p>
      <w:pPr>
        <w:spacing w:line="254" w:lineRule="auto" w:before="13"/>
        <w:ind w:left="340" w:right="119" w:hanging="240"/>
        <w:jc w:val="both"/>
        <w:rPr>
          <w:sz w:val="18"/>
        </w:rPr>
      </w:pPr>
      <w:r>
        <w:rPr>
          <w:color w:val="231F20"/>
          <w:w w:val="105"/>
          <w:sz w:val="18"/>
        </w:rPr>
        <w:t>Pizzigati,</w:t>
      </w:r>
      <w:r>
        <w:rPr>
          <w:color w:val="231F20"/>
          <w:spacing w:val="-14"/>
          <w:w w:val="105"/>
          <w:sz w:val="18"/>
        </w:rPr>
        <w:t> </w:t>
      </w:r>
      <w:r>
        <w:rPr>
          <w:color w:val="231F20"/>
          <w:w w:val="105"/>
          <w:sz w:val="18"/>
        </w:rPr>
        <w:t>Sam,</w:t>
      </w:r>
      <w:r>
        <w:rPr>
          <w:color w:val="231F20"/>
          <w:spacing w:val="-14"/>
          <w:w w:val="105"/>
          <w:sz w:val="18"/>
        </w:rPr>
        <w:t> </w:t>
      </w:r>
      <w:r>
        <w:rPr>
          <w:color w:val="231F20"/>
          <w:w w:val="105"/>
          <w:sz w:val="18"/>
        </w:rPr>
        <w:t>2009,</w:t>
      </w:r>
      <w:r>
        <w:rPr>
          <w:color w:val="231F20"/>
          <w:spacing w:val="-14"/>
          <w:w w:val="105"/>
          <w:sz w:val="18"/>
        </w:rPr>
        <w:t> </w:t>
      </w:r>
      <w:r>
        <w:rPr>
          <w:color w:val="231F20"/>
          <w:w w:val="105"/>
          <w:sz w:val="18"/>
        </w:rPr>
        <w:t>“America’s</w:t>
      </w:r>
      <w:r>
        <w:rPr>
          <w:color w:val="231F20"/>
          <w:spacing w:val="-14"/>
          <w:w w:val="105"/>
          <w:sz w:val="18"/>
        </w:rPr>
        <w:t> </w:t>
      </w:r>
      <w:r>
        <w:rPr>
          <w:color w:val="231F20"/>
          <w:w w:val="105"/>
          <w:sz w:val="18"/>
        </w:rPr>
        <w:t>bubble</w:t>
      </w:r>
      <w:r>
        <w:rPr>
          <w:color w:val="231F20"/>
          <w:spacing w:val="-14"/>
          <w:w w:val="105"/>
          <w:sz w:val="18"/>
        </w:rPr>
        <w:t> </w:t>
      </w:r>
      <w:r>
        <w:rPr>
          <w:color w:val="231F20"/>
          <w:w w:val="105"/>
          <w:sz w:val="18"/>
        </w:rPr>
        <w:t>Economy:</w:t>
      </w:r>
      <w:r>
        <w:rPr>
          <w:color w:val="231F20"/>
          <w:spacing w:val="-14"/>
          <w:w w:val="105"/>
          <w:sz w:val="18"/>
        </w:rPr>
        <w:t> </w:t>
      </w:r>
      <w:r>
        <w:rPr>
          <w:color w:val="231F20"/>
          <w:w w:val="105"/>
          <w:sz w:val="18"/>
        </w:rPr>
        <w:t>A</w:t>
      </w:r>
      <w:r>
        <w:rPr>
          <w:color w:val="231F20"/>
          <w:spacing w:val="-14"/>
          <w:w w:val="105"/>
          <w:sz w:val="18"/>
        </w:rPr>
        <w:t> </w:t>
      </w:r>
      <w:r>
        <w:rPr>
          <w:color w:val="231F20"/>
          <w:w w:val="105"/>
          <w:sz w:val="18"/>
        </w:rPr>
        <w:t>Las</w:t>
      </w:r>
      <w:r>
        <w:rPr>
          <w:color w:val="231F20"/>
          <w:spacing w:val="-14"/>
          <w:w w:val="105"/>
          <w:sz w:val="18"/>
        </w:rPr>
        <w:t> </w:t>
      </w:r>
      <w:r>
        <w:rPr>
          <w:color w:val="231F20"/>
          <w:w w:val="105"/>
          <w:sz w:val="18"/>
        </w:rPr>
        <w:t>Look</w:t>
      </w:r>
      <w:r>
        <w:rPr>
          <w:color w:val="231F20"/>
          <w:spacing w:val="-14"/>
          <w:w w:val="105"/>
          <w:sz w:val="18"/>
        </w:rPr>
        <w:t> </w:t>
      </w:r>
      <w:r>
        <w:rPr>
          <w:color w:val="231F20"/>
          <w:w w:val="105"/>
          <w:sz w:val="18"/>
        </w:rPr>
        <w:t>Back”,</w:t>
      </w:r>
      <w:r>
        <w:rPr>
          <w:color w:val="231F20"/>
          <w:spacing w:val="-13"/>
          <w:w w:val="105"/>
          <w:sz w:val="18"/>
        </w:rPr>
        <w:t> </w:t>
      </w:r>
      <w:r>
        <w:rPr>
          <w:i/>
          <w:color w:val="231F20"/>
          <w:w w:val="105"/>
          <w:sz w:val="18"/>
        </w:rPr>
        <w:t>Working </w:t>
      </w:r>
      <w:r>
        <w:rPr>
          <w:i/>
          <w:color w:val="231F20"/>
          <w:w w:val="105"/>
          <w:sz w:val="18"/>
        </w:rPr>
        <w:t>Group</w:t>
      </w:r>
      <w:r>
        <w:rPr>
          <w:i/>
          <w:color w:val="231F20"/>
          <w:spacing w:val="-8"/>
          <w:w w:val="105"/>
          <w:sz w:val="18"/>
        </w:rPr>
        <w:t> </w:t>
      </w:r>
      <w:r>
        <w:rPr>
          <w:i/>
          <w:color w:val="231F20"/>
          <w:w w:val="105"/>
          <w:sz w:val="18"/>
        </w:rPr>
        <w:t>on</w:t>
      </w:r>
      <w:r>
        <w:rPr>
          <w:i/>
          <w:color w:val="231F20"/>
          <w:spacing w:val="-8"/>
          <w:w w:val="105"/>
          <w:sz w:val="18"/>
        </w:rPr>
        <w:t> </w:t>
      </w:r>
      <w:r>
        <w:rPr>
          <w:i/>
          <w:color w:val="231F20"/>
          <w:w w:val="105"/>
          <w:sz w:val="18"/>
        </w:rPr>
        <w:t>Extreme</w:t>
      </w:r>
      <w:r>
        <w:rPr>
          <w:i/>
          <w:color w:val="231F20"/>
          <w:spacing w:val="-8"/>
          <w:w w:val="105"/>
          <w:sz w:val="18"/>
        </w:rPr>
        <w:t> </w:t>
      </w:r>
      <w:r>
        <w:rPr>
          <w:i/>
          <w:color w:val="231F20"/>
          <w:w w:val="105"/>
          <w:sz w:val="18"/>
        </w:rPr>
        <w:t>Inequality</w:t>
      </w:r>
      <w:r>
        <w:rPr>
          <w:color w:val="231F20"/>
          <w:w w:val="105"/>
          <w:sz w:val="18"/>
        </w:rPr>
        <w:t>,</w:t>
      </w:r>
      <w:r>
        <w:rPr>
          <w:color w:val="231F20"/>
          <w:spacing w:val="-8"/>
          <w:w w:val="105"/>
          <w:sz w:val="18"/>
        </w:rPr>
        <w:t> </w:t>
      </w:r>
      <w:r>
        <w:rPr>
          <w:color w:val="231F20"/>
          <w:w w:val="105"/>
          <w:sz w:val="18"/>
        </w:rPr>
        <w:t>22</w:t>
      </w:r>
      <w:r>
        <w:rPr>
          <w:color w:val="231F20"/>
          <w:spacing w:val="-8"/>
          <w:w w:val="105"/>
          <w:sz w:val="18"/>
        </w:rPr>
        <w:t> </w:t>
      </w:r>
      <w:r>
        <w:rPr>
          <w:color w:val="231F20"/>
          <w:w w:val="105"/>
          <w:sz w:val="18"/>
        </w:rPr>
        <w:t>de</w:t>
      </w:r>
      <w:r>
        <w:rPr>
          <w:color w:val="231F20"/>
          <w:spacing w:val="-8"/>
          <w:w w:val="105"/>
          <w:sz w:val="18"/>
        </w:rPr>
        <w:t> </w:t>
      </w:r>
      <w:r>
        <w:rPr>
          <w:color w:val="231F20"/>
          <w:w w:val="105"/>
          <w:sz w:val="18"/>
        </w:rPr>
        <w:t>febrero,</w:t>
      </w:r>
      <w:r>
        <w:rPr>
          <w:color w:val="231F20"/>
          <w:spacing w:val="-8"/>
          <w:w w:val="105"/>
          <w:sz w:val="18"/>
        </w:rPr>
        <w:t> </w:t>
      </w:r>
      <w:r>
        <w:rPr>
          <w:color w:val="231F20"/>
          <w:w w:val="105"/>
          <w:sz w:val="18"/>
        </w:rPr>
        <w:t>&lt;extremeinequality.org&gt;.</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7" w:hanging="240"/>
        <w:jc w:val="both"/>
        <w:rPr>
          <w:sz w:val="18"/>
        </w:rPr>
      </w:pPr>
      <w:r>
        <w:rPr>
          <w:color w:val="231F20"/>
          <w:w w:val="105"/>
          <w:sz w:val="18"/>
        </w:rPr>
        <w:t>Reynolds, Neil, 2007, “Subprime roof is sound, foundation solid”, </w:t>
      </w:r>
      <w:r>
        <w:rPr>
          <w:color w:val="231F20"/>
          <w:spacing w:val="-3"/>
          <w:w w:val="105"/>
          <w:sz w:val="18"/>
        </w:rPr>
        <w:t>Toronto,  </w:t>
      </w:r>
      <w:r>
        <w:rPr>
          <w:i/>
          <w:color w:val="231F20"/>
          <w:w w:val="105"/>
          <w:sz w:val="18"/>
        </w:rPr>
        <w:t>The Globe and Mail</w:t>
      </w:r>
      <w:r>
        <w:rPr>
          <w:color w:val="231F20"/>
          <w:w w:val="105"/>
          <w:sz w:val="18"/>
        </w:rPr>
        <w:t>, 28 de septiembre, &lt;theglobeandmail.com/servlet/ story/&gt;.</w:t>
      </w:r>
    </w:p>
    <w:p>
      <w:pPr>
        <w:spacing w:before="1"/>
        <w:ind w:left="100" w:right="25" w:firstLine="0"/>
        <w:jc w:val="left"/>
        <w:rPr>
          <w:sz w:val="18"/>
        </w:rPr>
      </w:pPr>
      <w:r>
        <w:rPr>
          <w:color w:val="231F20"/>
          <w:w w:val="105"/>
          <w:sz w:val="18"/>
        </w:rPr>
        <w:t>Seong-Jin, Jeong, 2009, “Karl Marx in Beijing”, </w:t>
      </w:r>
      <w:r>
        <w:rPr>
          <w:i/>
          <w:color w:val="231F20"/>
          <w:w w:val="105"/>
          <w:sz w:val="18"/>
        </w:rPr>
        <w:t>International Socialism</w:t>
      </w:r>
      <w:r>
        <w:rPr>
          <w:color w:val="231F20"/>
          <w:w w:val="105"/>
          <w:sz w:val="18"/>
        </w:rPr>
        <w:t>, núm.</w:t>
      </w:r>
    </w:p>
    <w:p>
      <w:pPr>
        <w:spacing w:before="13"/>
        <w:ind w:left="340" w:right="25" w:firstLine="0"/>
        <w:jc w:val="left"/>
        <w:rPr>
          <w:sz w:val="18"/>
        </w:rPr>
      </w:pPr>
      <w:r>
        <w:rPr>
          <w:color w:val="231F20"/>
          <w:w w:val="105"/>
          <w:sz w:val="18"/>
        </w:rPr>
        <w:t>123, junio.</w:t>
      </w:r>
    </w:p>
    <w:p>
      <w:pPr>
        <w:spacing w:before="13"/>
        <w:ind w:left="100" w:right="-2" w:firstLine="0"/>
        <w:jc w:val="left"/>
        <w:rPr>
          <w:sz w:val="18"/>
        </w:rPr>
      </w:pPr>
      <w:r>
        <w:rPr>
          <w:color w:val="231F20"/>
          <w:w w:val="105"/>
          <w:sz w:val="18"/>
        </w:rPr>
        <w:t>Sheridan, Barrett, 2008, “¿600,000,000,000,000?”, en </w:t>
      </w:r>
      <w:r>
        <w:rPr>
          <w:i/>
          <w:color w:val="231F20"/>
          <w:w w:val="105"/>
          <w:sz w:val="18"/>
        </w:rPr>
        <w:t>Newsweek</w:t>
      </w:r>
      <w:r>
        <w:rPr>
          <w:color w:val="231F20"/>
          <w:w w:val="105"/>
          <w:sz w:val="18"/>
        </w:rPr>
        <w:t>, 27 de octubre,</w:t>
      </w:r>
    </w:p>
    <w:p>
      <w:pPr>
        <w:spacing w:before="13"/>
        <w:ind w:left="340" w:right="25" w:firstLine="0"/>
        <w:jc w:val="left"/>
        <w:rPr>
          <w:sz w:val="18"/>
        </w:rPr>
      </w:pPr>
      <w:r>
        <w:rPr>
          <w:color w:val="231F20"/>
          <w:w w:val="105"/>
          <w:sz w:val="18"/>
        </w:rPr>
        <w:t>p. 23.</w:t>
      </w:r>
    </w:p>
    <w:p>
      <w:pPr>
        <w:spacing w:line="254" w:lineRule="auto" w:before="13"/>
        <w:ind w:left="340" w:right="118" w:hanging="240"/>
        <w:jc w:val="both"/>
        <w:rPr>
          <w:sz w:val="18"/>
        </w:rPr>
      </w:pPr>
      <w:r>
        <w:rPr>
          <w:color w:val="231F20"/>
          <w:w w:val="105"/>
          <w:sz w:val="18"/>
        </w:rPr>
        <w:t>Vasudevan, Ramaa, 2009, “The Credit Crisis. Is the International Role of the Dollar at Stake?”, </w:t>
      </w:r>
      <w:r>
        <w:rPr>
          <w:i/>
          <w:color w:val="231F20"/>
          <w:w w:val="105"/>
          <w:sz w:val="18"/>
        </w:rPr>
        <w:t>Monthly Review</w:t>
      </w:r>
      <w:r>
        <w:rPr>
          <w:color w:val="231F20"/>
          <w:w w:val="105"/>
          <w:sz w:val="18"/>
        </w:rPr>
        <w:t>, vol 60, núm. 11, abril.</w:t>
      </w:r>
    </w:p>
    <w:p>
      <w:pPr>
        <w:spacing w:line="254" w:lineRule="auto" w:before="1"/>
        <w:ind w:left="340" w:right="118" w:hanging="240"/>
        <w:jc w:val="both"/>
        <w:rPr>
          <w:sz w:val="18"/>
        </w:rPr>
      </w:pPr>
      <w:r>
        <w:rPr>
          <w:color w:val="231F20"/>
          <w:w w:val="105"/>
          <w:sz w:val="18"/>
        </w:rPr>
        <w:t>Wallerstein, Immanuel, 2009, “The Sinking Dollar”, Immanuel Wallerstein Blog, núm. 257, 15 de mayo, </w:t>
      </w:r>
      <w:hyperlink r:id="rId116">
        <w:r>
          <w:rPr>
            <w:color w:val="231F20"/>
            <w:w w:val="105"/>
            <w:sz w:val="18"/>
          </w:rPr>
          <w:t>&lt;www.iwallerstein.com&gt;.</w:t>
        </w:r>
      </w:hyperlink>
    </w:p>
    <w:p>
      <w:pPr>
        <w:spacing w:line="254" w:lineRule="auto" w:before="1"/>
        <w:ind w:left="340" w:right="118" w:hanging="240"/>
        <w:jc w:val="both"/>
        <w:rPr>
          <w:sz w:val="18"/>
        </w:rPr>
      </w:pPr>
      <w:r>
        <w:rPr>
          <w:color w:val="231F20"/>
          <w:w w:val="105"/>
          <w:sz w:val="18"/>
        </w:rPr>
        <w:t>Zibechi, Raúl 2009, “Imperio, bases y acumulación por desposesión”, </w:t>
      </w:r>
      <w:r>
        <w:rPr>
          <w:i/>
          <w:color w:val="231F20"/>
          <w:w w:val="105"/>
          <w:sz w:val="18"/>
        </w:rPr>
        <w:t>La </w:t>
      </w:r>
      <w:r>
        <w:rPr>
          <w:i/>
          <w:color w:val="231F20"/>
          <w:w w:val="105"/>
          <w:sz w:val="18"/>
        </w:rPr>
        <w:t>Jornada</w:t>
      </w:r>
      <w:r>
        <w:rPr>
          <w:color w:val="231F20"/>
          <w:w w:val="105"/>
          <w:sz w:val="18"/>
        </w:rPr>
        <w:t>, México, 14 de agosto.</w:t>
      </w:r>
    </w:p>
    <w:p>
      <w:pPr>
        <w:spacing w:after="0" w:line="254" w:lineRule="auto"/>
        <w:jc w:val="both"/>
        <w:rPr>
          <w:sz w:val="18"/>
        </w:rPr>
        <w:sectPr>
          <w:pgSz w:w="7640" w:h="11900"/>
          <w:pgMar w:header="672" w:footer="0" w:top="860" w:bottom="280" w:left="660" w:right="760"/>
        </w:sectPr>
      </w:pPr>
    </w:p>
    <w:p>
      <w:pPr>
        <w:pStyle w:val="BodyText"/>
        <w:spacing w:before="4"/>
        <w:rPr>
          <w:sz w:val="17"/>
        </w:rPr>
      </w:pPr>
    </w:p>
    <w:p>
      <w:pPr>
        <w:spacing w:after="0"/>
        <w:rPr>
          <w:sz w:val="17"/>
        </w:rPr>
        <w:sectPr>
          <w:headerReference w:type="even" r:id="rId117"/>
          <w:pgSz w:w="7640" w:h="11900"/>
          <w:pgMar w:header="0" w:footer="0" w:top="1100" w:bottom="280" w:left="1040" w:right="1040"/>
        </w:sectPr>
      </w:pPr>
    </w:p>
    <w:p>
      <w:pPr>
        <w:pStyle w:val="BodyText"/>
        <w:spacing w:line="261" w:lineRule="auto" w:before="39"/>
        <w:ind w:left="100" w:right="921"/>
      </w:pPr>
      <w:r>
        <w:rPr>
          <w:color w:val="231F20"/>
        </w:rPr>
        <w:t>CRISIS DE HEGEMONÍA Y DECADENCIA INTERNA</w:t>
      </w:r>
      <w:r>
        <w:rPr>
          <w:color w:val="231F20"/>
          <w:w w:val="102"/>
        </w:rPr>
        <w:t> </w:t>
      </w:r>
      <w:r>
        <w:rPr>
          <w:color w:val="231F20"/>
        </w:rPr>
        <w:t>EN  ESTADOS UNIDOS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spacing w:before="67"/>
        <w:ind w:left="2820" w:right="2560"/>
        <w:jc w:val="center"/>
      </w:pPr>
      <w:r>
        <w:rPr>
          <w:color w:val="231F20"/>
          <w:w w:val="120"/>
        </w:rPr>
        <w:t>[161]</w:t>
      </w:r>
    </w:p>
    <w:p>
      <w:pPr>
        <w:spacing w:after="0"/>
        <w:jc w:val="center"/>
        <w:sectPr>
          <w:headerReference w:type="default" r:id="rId118"/>
          <w:pgSz w:w="7640" w:h="11900"/>
          <w:pgMar w:header="0" w:footer="0" w:top="1000" w:bottom="280" w:left="660" w:right="1040"/>
        </w:sectPr>
      </w:pPr>
    </w:p>
    <w:p>
      <w:pPr>
        <w:pStyle w:val="BodyText"/>
        <w:spacing w:before="4"/>
        <w:rPr>
          <w:sz w:val="17"/>
        </w:rPr>
      </w:pPr>
    </w:p>
    <w:p>
      <w:pPr>
        <w:spacing w:after="0"/>
        <w:rPr>
          <w:sz w:val="17"/>
        </w:rPr>
        <w:sectPr>
          <w:headerReference w:type="even" r:id="rId119"/>
          <w:pgSz w:w="7640" w:h="11900"/>
          <w:pgMar w:header="0" w:footer="0" w:top="1100" w:bottom="280" w:left="1040" w:right="1040"/>
        </w:sectPr>
      </w:pPr>
    </w:p>
    <w:p>
      <w:pPr>
        <w:pStyle w:val="BodyText"/>
        <w:spacing w:line="261" w:lineRule="auto" w:before="39"/>
        <w:ind w:left="100" w:right="25"/>
      </w:pPr>
      <w:r>
        <w:rPr>
          <w:color w:val="231F20"/>
        </w:rPr>
        <w:t>ESTADOS UNIDOS EN LA ENCRUCIJADA DE LA CRISIS CAPITALISTA</w:t>
      </w:r>
    </w:p>
    <w:p>
      <w:pPr>
        <w:pStyle w:val="BodyText"/>
        <w:spacing w:before="8"/>
        <w:rPr>
          <w:sz w:val="21"/>
        </w:rPr>
      </w:pPr>
    </w:p>
    <w:p>
      <w:pPr>
        <w:pStyle w:val="BodyText"/>
        <w:ind w:left="3856" w:right="25"/>
      </w:pPr>
      <w:r>
        <w:rPr>
          <w:color w:val="231F20"/>
          <w:w w:val="130"/>
        </w:rPr>
        <w:t>adrián sotelo valencia</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9"/>
        <w:jc w:val="both"/>
      </w:pPr>
      <w:r>
        <w:rPr>
          <w:color w:val="231F20"/>
          <w:w w:val="105"/>
        </w:rPr>
        <w:t>La crisis capitalista, con centro en Estados Unidos, no se deriva de   una contradicción entre la llamada economía real y la economía especulativa, como la presentan formalmente los medios</w:t>
      </w:r>
      <w:r>
        <w:rPr>
          <w:color w:val="231F20"/>
          <w:spacing w:val="3"/>
          <w:w w:val="105"/>
        </w:rPr>
        <w:t> </w:t>
      </w:r>
      <w:r>
        <w:rPr>
          <w:color w:val="231F20"/>
          <w:w w:val="105"/>
        </w:rPr>
        <w:t>de</w:t>
      </w:r>
      <w:r>
        <w:rPr>
          <w:color w:val="231F20"/>
          <w:spacing w:val="30"/>
          <w:w w:val="105"/>
        </w:rPr>
        <w:t> </w:t>
      </w:r>
      <w:r>
        <w:rPr>
          <w:color w:val="231F20"/>
          <w:w w:val="105"/>
        </w:rPr>
        <w:t>comuni-</w:t>
      </w:r>
      <w:r>
        <w:rPr>
          <w:color w:val="231F20"/>
          <w:w w:val="72"/>
        </w:rPr>
        <w:t> </w:t>
      </w:r>
      <w:r>
        <w:rPr>
          <w:color w:val="231F20"/>
          <w:w w:val="105"/>
        </w:rPr>
        <w:t>cación y la mayoría de los expertos financieros en la materia,</w:t>
      </w:r>
      <w:r>
        <w:rPr>
          <w:color w:val="231F20"/>
          <w:spacing w:val="22"/>
          <w:w w:val="105"/>
        </w:rPr>
        <w:t> </w:t>
      </w:r>
      <w:r>
        <w:rPr>
          <w:color w:val="231F20"/>
          <w:w w:val="105"/>
        </w:rPr>
        <w:t>por</w:t>
      </w:r>
      <w:r>
        <w:rPr>
          <w:color w:val="231F20"/>
          <w:spacing w:val="11"/>
          <w:w w:val="105"/>
        </w:rPr>
        <w:t> </w:t>
      </w:r>
      <w:r>
        <w:rPr>
          <w:color w:val="231F20"/>
          <w:w w:val="105"/>
        </w:rPr>
        <w:t>más</w:t>
      </w:r>
      <w:r>
        <w:rPr>
          <w:color w:val="231F20"/>
          <w:w w:val="105"/>
        </w:rPr>
        <w:t> </w:t>
      </w:r>
      <w:r>
        <w:rPr>
          <w:color w:val="231F20"/>
          <w:w w:val="105"/>
        </w:rPr>
        <w:t>que una de las coordenadas de la crisis derive del capital ficticio con toda su secuela de quiebre de empresas, bancos, comercios y sistemas productivos, como está sucediendo en la industria automovilística mundial incluida la de Estados   </w:t>
      </w:r>
      <w:r>
        <w:rPr>
          <w:color w:val="231F20"/>
          <w:spacing w:val="26"/>
          <w:w w:val="105"/>
        </w:rPr>
        <w:t> </w:t>
      </w:r>
      <w:r>
        <w:rPr>
          <w:color w:val="231F20"/>
          <w:w w:val="105"/>
        </w:rPr>
        <w:t>Unidos.</w:t>
      </w:r>
    </w:p>
    <w:p>
      <w:pPr>
        <w:pStyle w:val="BodyText"/>
        <w:spacing w:line="261" w:lineRule="auto"/>
        <w:ind w:left="100" w:right="117" w:firstLine="240"/>
        <w:jc w:val="both"/>
        <w:rPr>
          <w:sz w:val="13"/>
        </w:rPr>
      </w:pPr>
      <w:r>
        <w:rPr>
          <w:color w:val="231F20"/>
          <w:w w:val="110"/>
        </w:rPr>
        <w:t>Los problemas financieros, inmobiliarios y de insolvencia credi- ticia —que son tan reales como reales son las caídas de las tasas de ganancia</w:t>
      </w:r>
      <w:r>
        <w:rPr>
          <w:color w:val="231F20"/>
          <w:spacing w:val="-5"/>
          <w:w w:val="110"/>
        </w:rPr>
        <w:t> </w:t>
      </w:r>
      <w:r>
        <w:rPr>
          <w:color w:val="231F20"/>
          <w:w w:val="110"/>
        </w:rPr>
        <w:t>para</w:t>
      </w:r>
      <w:r>
        <w:rPr>
          <w:color w:val="231F20"/>
          <w:spacing w:val="-5"/>
          <w:w w:val="110"/>
        </w:rPr>
        <w:t> </w:t>
      </w:r>
      <w:r>
        <w:rPr>
          <w:color w:val="231F20"/>
          <w:w w:val="110"/>
        </w:rPr>
        <w:t>los</w:t>
      </w:r>
      <w:r>
        <w:rPr>
          <w:color w:val="231F20"/>
          <w:spacing w:val="-5"/>
          <w:w w:val="110"/>
        </w:rPr>
        <w:t> </w:t>
      </w:r>
      <w:r>
        <w:rPr>
          <w:color w:val="231F20"/>
          <w:w w:val="110"/>
        </w:rPr>
        <w:t>empresarios</w:t>
      </w:r>
      <w:r>
        <w:rPr>
          <w:color w:val="231F20"/>
          <w:spacing w:val="-5"/>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bancos—</w:t>
      </w:r>
      <w:r>
        <w:rPr>
          <w:color w:val="231F20"/>
          <w:spacing w:val="-5"/>
          <w:w w:val="110"/>
        </w:rPr>
        <w:t> </w:t>
      </w:r>
      <w:r>
        <w:rPr>
          <w:color w:val="231F20"/>
          <w:w w:val="110"/>
        </w:rPr>
        <w:t>son</w:t>
      </w:r>
      <w:r>
        <w:rPr>
          <w:color w:val="231F20"/>
          <w:spacing w:val="-5"/>
          <w:w w:val="110"/>
        </w:rPr>
        <w:t> </w:t>
      </w:r>
      <w:r>
        <w:rPr>
          <w:color w:val="231F20"/>
          <w:w w:val="110"/>
        </w:rPr>
        <w:t>sólo</w:t>
      </w:r>
      <w:r>
        <w:rPr>
          <w:color w:val="231F20"/>
          <w:spacing w:val="-5"/>
          <w:w w:val="110"/>
        </w:rPr>
        <w:t> </w:t>
      </w:r>
      <w:r>
        <w:rPr>
          <w:color w:val="231F20"/>
          <w:w w:val="110"/>
        </w:rPr>
        <w:t>manifestacio- nes de las dificultades, obstáculos y problemas que ocurren en la dimensión</w:t>
      </w:r>
      <w:r>
        <w:rPr>
          <w:color w:val="231F20"/>
          <w:spacing w:val="-12"/>
          <w:w w:val="110"/>
        </w:rPr>
        <w:t> </w:t>
      </w:r>
      <w:r>
        <w:rPr>
          <w:color w:val="231F20"/>
          <w:w w:val="110"/>
        </w:rPr>
        <w:t>productiva</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valorización</w:t>
      </w:r>
      <w:r>
        <w:rPr>
          <w:color w:val="231F20"/>
          <w:spacing w:val="-12"/>
          <w:w w:val="110"/>
        </w:rPr>
        <w:t> </w:t>
      </w:r>
      <w:r>
        <w:rPr>
          <w:color w:val="231F20"/>
          <w:w w:val="110"/>
        </w:rPr>
        <w:t>del</w:t>
      </w:r>
      <w:r>
        <w:rPr>
          <w:color w:val="231F20"/>
          <w:spacing w:val="-12"/>
          <w:w w:val="110"/>
        </w:rPr>
        <w:t> </w:t>
      </w:r>
      <w:r>
        <w:rPr>
          <w:color w:val="231F20"/>
          <w:w w:val="110"/>
        </w:rPr>
        <w:t>capital.</w:t>
      </w:r>
      <w:r>
        <w:rPr>
          <w:color w:val="231F20"/>
          <w:spacing w:val="-12"/>
          <w:w w:val="110"/>
        </w:rPr>
        <w:t> </w:t>
      </w:r>
      <w:r>
        <w:rPr>
          <w:color w:val="231F20"/>
          <w:w w:val="110"/>
        </w:rPr>
        <w:t>Éste</w:t>
      </w:r>
      <w:r>
        <w:rPr>
          <w:color w:val="231F20"/>
          <w:spacing w:val="-12"/>
          <w:w w:val="110"/>
        </w:rPr>
        <w:t> </w:t>
      </w:r>
      <w:r>
        <w:rPr>
          <w:color w:val="231F20"/>
          <w:w w:val="110"/>
        </w:rPr>
        <w:t>es</w:t>
      </w:r>
      <w:r>
        <w:rPr>
          <w:color w:val="231F20"/>
          <w:spacing w:val="-12"/>
          <w:w w:val="110"/>
        </w:rPr>
        <w:t> </w:t>
      </w:r>
      <w:r>
        <w:rPr>
          <w:color w:val="231F20"/>
          <w:w w:val="110"/>
        </w:rPr>
        <w:t>el</w:t>
      </w:r>
      <w:r>
        <w:rPr>
          <w:color w:val="231F20"/>
          <w:spacing w:val="-12"/>
          <w:w w:val="110"/>
        </w:rPr>
        <w:t> </w:t>
      </w:r>
      <w:r>
        <w:rPr>
          <w:color w:val="231F20"/>
          <w:w w:val="110"/>
        </w:rPr>
        <w:t>suelo fértil donde brotan y se recrean constantemente las contradicciones que ahora los gobiernos tratan de paliar recurriendo a medidas de corte monetarista como la emisión de moneda y la regulación del déficit</w:t>
      </w:r>
      <w:r>
        <w:rPr>
          <w:color w:val="231F20"/>
          <w:spacing w:val="-25"/>
          <w:w w:val="110"/>
        </w:rPr>
        <w:t> </w:t>
      </w:r>
      <w:r>
        <w:rPr>
          <w:color w:val="231F20"/>
          <w:w w:val="110"/>
        </w:rPr>
        <w:t>fiscal</w:t>
      </w:r>
      <w:r>
        <w:rPr>
          <w:color w:val="231F20"/>
          <w:spacing w:val="-25"/>
          <w:w w:val="110"/>
        </w:rPr>
        <w:t> </w:t>
      </w:r>
      <w:r>
        <w:rPr>
          <w:color w:val="231F20"/>
          <w:w w:val="110"/>
        </w:rPr>
        <w:t>para</w:t>
      </w:r>
      <w:r>
        <w:rPr>
          <w:color w:val="231F20"/>
          <w:spacing w:val="-25"/>
          <w:w w:val="110"/>
        </w:rPr>
        <w:t> </w:t>
      </w:r>
      <w:r>
        <w:rPr>
          <w:color w:val="231F20"/>
          <w:w w:val="110"/>
        </w:rPr>
        <w:t>subsidiar</w:t>
      </w:r>
      <w:r>
        <w:rPr>
          <w:color w:val="231F20"/>
          <w:spacing w:val="-25"/>
          <w:w w:val="110"/>
        </w:rPr>
        <w:t> </w:t>
      </w:r>
      <w:r>
        <w:rPr>
          <w:color w:val="231F20"/>
          <w:w w:val="110"/>
        </w:rPr>
        <w:t>a</w:t>
      </w:r>
      <w:r>
        <w:rPr>
          <w:color w:val="231F20"/>
          <w:spacing w:val="-25"/>
          <w:w w:val="110"/>
        </w:rPr>
        <w:t> </w:t>
      </w:r>
      <w:r>
        <w:rPr>
          <w:color w:val="231F20"/>
          <w:w w:val="110"/>
        </w:rPr>
        <w:t>empresas</w:t>
      </w:r>
      <w:r>
        <w:rPr>
          <w:color w:val="231F20"/>
          <w:spacing w:val="-25"/>
          <w:w w:val="110"/>
        </w:rPr>
        <w:t> </w:t>
      </w:r>
      <w:r>
        <w:rPr>
          <w:color w:val="231F20"/>
          <w:w w:val="110"/>
        </w:rPr>
        <w:t>y</w:t>
      </w:r>
      <w:r>
        <w:rPr>
          <w:color w:val="231F20"/>
          <w:spacing w:val="-25"/>
          <w:w w:val="110"/>
        </w:rPr>
        <w:t> </w:t>
      </w:r>
      <w:r>
        <w:rPr>
          <w:color w:val="231F20"/>
          <w:w w:val="110"/>
        </w:rPr>
        <w:t>negocios</w:t>
      </w:r>
      <w:r>
        <w:rPr>
          <w:color w:val="231F20"/>
          <w:spacing w:val="-25"/>
          <w:w w:val="110"/>
        </w:rPr>
        <w:t> </w:t>
      </w:r>
      <w:r>
        <w:rPr>
          <w:color w:val="231F20"/>
          <w:w w:val="110"/>
        </w:rPr>
        <w:t>cuyo</w:t>
      </w:r>
      <w:r>
        <w:rPr>
          <w:color w:val="231F20"/>
          <w:spacing w:val="-25"/>
          <w:w w:val="110"/>
        </w:rPr>
        <w:t> </w:t>
      </w:r>
      <w:r>
        <w:rPr>
          <w:color w:val="231F20"/>
          <w:w w:val="110"/>
        </w:rPr>
        <w:t>objetivo</w:t>
      </w:r>
      <w:r>
        <w:rPr>
          <w:color w:val="231F20"/>
          <w:spacing w:val="-25"/>
          <w:w w:val="110"/>
        </w:rPr>
        <w:t> </w:t>
      </w:r>
      <w:r>
        <w:rPr>
          <w:color w:val="231F20"/>
          <w:w w:val="110"/>
        </w:rPr>
        <w:t>es</w:t>
      </w:r>
      <w:r>
        <w:rPr>
          <w:color w:val="231F20"/>
          <w:spacing w:val="-25"/>
          <w:w w:val="110"/>
        </w:rPr>
        <w:t> </w:t>
      </w:r>
      <w:r>
        <w:rPr>
          <w:color w:val="231F20"/>
          <w:w w:val="110"/>
        </w:rPr>
        <w:t>lisa y llanamente la especulación, como sucede en Europa, en Estados Unidos y se está extendiendo al resto del </w:t>
      </w:r>
      <w:r>
        <w:rPr>
          <w:color w:val="231F20"/>
          <w:spacing w:val="20"/>
          <w:w w:val="110"/>
        </w:rPr>
        <w:t> </w:t>
      </w:r>
      <w:r>
        <w:rPr>
          <w:color w:val="231F20"/>
          <w:w w:val="110"/>
        </w:rPr>
        <w:t>mundo.</w:t>
      </w:r>
      <w:r>
        <w:rPr>
          <w:color w:val="231F20"/>
          <w:w w:val="110"/>
          <w:position w:val="6"/>
          <w:sz w:val="13"/>
        </w:rPr>
        <w:t>1</w:t>
      </w:r>
    </w:p>
    <w:p>
      <w:pPr>
        <w:pStyle w:val="BodyText"/>
        <w:spacing w:line="261" w:lineRule="auto"/>
        <w:ind w:left="100" w:right="117" w:firstLine="240"/>
        <w:jc w:val="both"/>
        <w:rPr>
          <w:i/>
        </w:rPr>
      </w:pPr>
      <w:r>
        <w:rPr>
          <w:color w:val="231F20"/>
          <w:w w:val="105"/>
        </w:rPr>
        <w:t>Otras medidas, como la tímida intervención del Estado en la eco- nomía y en la regulación de los tipos de cambio, resultan insuficien- tes, ante la hecatombe que representa la profunda crisis del emporio empresarial estadunidense y europeo, que no encuentra la forma de solventar el capitalismo sin agudizar sus contradicciones y precipitar nuevas escaladas de inflación, destrucción de activos y desempleo.   Por</w:t>
      </w:r>
      <w:r>
        <w:rPr>
          <w:color w:val="231F20"/>
          <w:spacing w:val="-18"/>
          <w:w w:val="105"/>
        </w:rPr>
        <w:t> </w:t>
      </w:r>
      <w:r>
        <w:rPr>
          <w:color w:val="231F20"/>
          <w:w w:val="105"/>
        </w:rPr>
        <w:t>supuesto,</w:t>
      </w:r>
      <w:r>
        <w:rPr>
          <w:color w:val="231F20"/>
          <w:spacing w:val="-18"/>
          <w:w w:val="105"/>
        </w:rPr>
        <w:t> </w:t>
      </w:r>
      <w:r>
        <w:rPr>
          <w:i/>
          <w:color w:val="231F20"/>
          <w:w w:val="105"/>
        </w:rPr>
        <w:t>no</w:t>
      </w:r>
      <w:r>
        <w:rPr>
          <w:i/>
          <w:color w:val="231F20"/>
          <w:spacing w:val="-18"/>
          <w:w w:val="105"/>
        </w:rPr>
        <w:t> </w:t>
      </w:r>
      <w:r>
        <w:rPr>
          <w:i/>
          <w:color w:val="231F20"/>
          <w:w w:val="105"/>
        </w:rPr>
        <w:t>es</w:t>
      </w:r>
      <w:r>
        <w:rPr>
          <w:i/>
          <w:color w:val="231F20"/>
          <w:spacing w:val="-18"/>
          <w:w w:val="105"/>
        </w:rPr>
        <w:t> </w:t>
      </w:r>
      <w:r>
        <w:rPr>
          <w:i/>
          <w:color w:val="231F20"/>
          <w:w w:val="105"/>
        </w:rPr>
        <w:t>el</w:t>
      </w:r>
      <w:r>
        <w:rPr>
          <w:i/>
          <w:color w:val="231F20"/>
          <w:spacing w:val="-18"/>
          <w:w w:val="105"/>
        </w:rPr>
        <w:t> </w:t>
      </w:r>
      <w:r>
        <w:rPr>
          <w:i/>
          <w:color w:val="231F20"/>
          <w:w w:val="105"/>
        </w:rPr>
        <w:t>fin</w:t>
      </w:r>
      <w:r>
        <w:rPr>
          <w:i/>
          <w:color w:val="231F20"/>
          <w:spacing w:val="-18"/>
          <w:w w:val="105"/>
        </w:rPr>
        <w:t> </w:t>
      </w:r>
      <w:r>
        <w:rPr>
          <w:i/>
          <w:color w:val="231F20"/>
          <w:w w:val="105"/>
        </w:rPr>
        <w:t>del</w:t>
      </w:r>
      <w:r>
        <w:rPr>
          <w:i/>
          <w:color w:val="231F20"/>
          <w:spacing w:val="-18"/>
          <w:w w:val="105"/>
        </w:rPr>
        <w:t> </w:t>
      </w:r>
      <w:r>
        <w:rPr>
          <w:i/>
          <w:color w:val="231F20"/>
          <w:w w:val="105"/>
        </w:rPr>
        <w:t>sistema</w:t>
      </w:r>
      <w:r>
        <w:rPr>
          <w:i/>
          <w:color w:val="231F20"/>
          <w:spacing w:val="-18"/>
          <w:w w:val="105"/>
        </w:rPr>
        <w:t> </w:t>
      </w:r>
      <w:r>
        <w:rPr>
          <w:i/>
          <w:color w:val="231F20"/>
          <w:w w:val="105"/>
        </w:rPr>
        <w:t>capitalista,</w:t>
      </w:r>
      <w:r>
        <w:rPr>
          <w:i/>
          <w:color w:val="231F20"/>
          <w:spacing w:val="-18"/>
          <w:w w:val="105"/>
        </w:rPr>
        <w:t> </w:t>
      </w:r>
      <w:r>
        <w:rPr>
          <w:i/>
          <w:color w:val="231F20"/>
          <w:w w:val="105"/>
        </w:rPr>
        <w:t>como</w:t>
      </w:r>
      <w:r>
        <w:rPr>
          <w:i/>
          <w:color w:val="231F20"/>
          <w:spacing w:val="-18"/>
          <w:w w:val="105"/>
        </w:rPr>
        <w:t> </w:t>
      </w:r>
      <w:r>
        <w:rPr>
          <w:i/>
          <w:color w:val="231F20"/>
          <w:w w:val="105"/>
        </w:rPr>
        <w:t>a</w:t>
      </w:r>
      <w:r>
        <w:rPr>
          <w:i/>
          <w:color w:val="231F20"/>
          <w:spacing w:val="-18"/>
          <w:w w:val="105"/>
        </w:rPr>
        <w:t> </w:t>
      </w:r>
      <w:r>
        <w:rPr>
          <w:i/>
          <w:color w:val="231F20"/>
          <w:w w:val="105"/>
        </w:rPr>
        <w:t>veces</w:t>
      </w:r>
      <w:r>
        <w:rPr>
          <w:i/>
          <w:color w:val="231F20"/>
          <w:spacing w:val="-18"/>
          <w:w w:val="105"/>
        </w:rPr>
        <w:t> </w:t>
      </w:r>
      <w:r>
        <w:rPr>
          <w:i/>
          <w:color w:val="231F20"/>
          <w:w w:val="105"/>
        </w:rPr>
        <w:t>se</w:t>
      </w:r>
      <w:r>
        <w:rPr>
          <w:i/>
          <w:color w:val="231F20"/>
          <w:spacing w:val="-18"/>
          <w:w w:val="105"/>
        </w:rPr>
        <w:t> </w:t>
      </w:r>
      <w:r>
        <w:rPr>
          <w:i/>
          <w:color w:val="231F20"/>
          <w:w w:val="105"/>
        </w:rPr>
        <w:t>plantea.</w:t>
      </w:r>
    </w:p>
    <w:p>
      <w:pPr>
        <w:pStyle w:val="BodyText"/>
        <w:rPr>
          <w:i/>
        </w:rPr>
      </w:pPr>
    </w:p>
    <w:p>
      <w:pPr>
        <w:spacing w:line="261" w:lineRule="auto" w:before="151"/>
        <w:ind w:left="100" w:right="117" w:firstLine="240"/>
        <w:jc w:val="both"/>
        <w:rPr>
          <w:sz w:val="16"/>
        </w:rPr>
      </w:pPr>
      <w:r>
        <w:rPr>
          <w:color w:val="231F20"/>
          <w:w w:val="110"/>
          <w:position w:val="5"/>
          <w:sz w:val="10"/>
        </w:rPr>
        <w:t>1</w:t>
      </w:r>
      <w:r>
        <w:rPr>
          <w:color w:val="231F20"/>
          <w:spacing w:val="15"/>
          <w:w w:val="110"/>
          <w:position w:val="5"/>
          <w:sz w:val="10"/>
        </w:rPr>
        <w:t> </w:t>
      </w:r>
      <w:r>
        <w:rPr>
          <w:color w:val="231F20"/>
          <w:w w:val="110"/>
          <w:sz w:val="16"/>
        </w:rPr>
        <w:t>En</w:t>
      </w:r>
      <w:r>
        <w:rPr>
          <w:color w:val="231F20"/>
          <w:spacing w:val="-8"/>
          <w:w w:val="110"/>
          <w:sz w:val="16"/>
        </w:rPr>
        <w:t> </w:t>
      </w:r>
      <w:r>
        <w:rPr>
          <w:color w:val="231F20"/>
          <w:w w:val="110"/>
          <w:sz w:val="16"/>
        </w:rPr>
        <w:t>Estados</w:t>
      </w:r>
      <w:r>
        <w:rPr>
          <w:color w:val="231F20"/>
          <w:spacing w:val="-8"/>
          <w:w w:val="110"/>
          <w:sz w:val="16"/>
        </w:rPr>
        <w:t> </w:t>
      </w:r>
      <w:r>
        <w:rPr>
          <w:color w:val="231F20"/>
          <w:w w:val="110"/>
          <w:sz w:val="16"/>
        </w:rPr>
        <w:t>Unidos</w:t>
      </w:r>
      <w:r>
        <w:rPr>
          <w:color w:val="231F20"/>
          <w:spacing w:val="-8"/>
          <w:w w:val="110"/>
          <w:sz w:val="16"/>
        </w:rPr>
        <w:t> </w:t>
      </w:r>
      <w:r>
        <w:rPr>
          <w:color w:val="231F20"/>
          <w:w w:val="110"/>
          <w:sz w:val="16"/>
        </w:rPr>
        <w:t>la</w:t>
      </w:r>
      <w:r>
        <w:rPr>
          <w:color w:val="231F20"/>
          <w:spacing w:val="-8"/>
          <w:w w:val="110"/>
          <w:sz w:val="16"/>
        </w:rPr>
        <w:t> </w:t>
      </w:r>
      <w:r>
        <w:rPr>
          <w:color w:val="231F20"/>
          <w:w w:val="110"/>
          <w:sz w:val="16"/>
        </w:rPr>
        <w:t>gravedad</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crisis</w:t>
      </w:r>
      <w:r>
        <w:rPr>
          <w:color w:val="231F20"/>
          <w:spacing w:val="-8"/>
          <w:w w:val="110"/>
          <w:sz w:val="16"/>
        </w:rPr>
        <w:t> </w:t>
      </w:r>
      <w:r>
        <w:rPr>
          <w:color w:val="231F20"/>
          <w:w w:val="110"/>
          <w:sz w:val="16"/>
        </w:rPr>
        <w:t>condujo</w:t>
      </w:r>
      <w:r>
        <w:rPr>
          <w:color w:val="231F20"/>
          <w:spacing w:val="-8"/>
          <w:w w:val="110"/>
          <w:sz w:val="16"/>
        </w:rPr>
        <w:t> </w:t>
      </w:r>
      <w:r>
        <w:rPr>
          <w:color w:val="231F20"/>
          <w:w w:val="110"/>
          <w:sz w:val="16"/>
        </w:rPr>
        <w:t>a</w:t>
      </w:r>
      <w:r>
        <w:rPr>
          <w:color w:val="231F20"/>
          <w:spacing w:val="-8"/>
          <w:w w:val="110"/>
          <w:sz w:val="16"/>
        </w:rPr>
        <w:t> </w:t>
      </w:r>
      <w:r>
        <w:rPr>
          <w:color w:val="231F20"/>
          <w:w w:val="110"/>
          <w:sz w:val="16"/>
        </w:rPr>
        <w:t>la</w:t>
      </w:r>
      <w:r>
        <w:rPr>
          <w:color w:val="231F20"/>
          <w:spacing w:val="-8"/>
          <w:w w:val="110"/>
          <w:sz w:val="16"/>
        </w:rPr>
        <w:t> </w:t>
      </w:r>
      <w:r>
        <w:rPr>
          <w:color w:val="231F20"/>
          <w:w w:val="110"/>
          <w:sz w:val="16"/>
        </w:rPr>
        <w:t>recién</w:t>
      </w:r>
      <w:r>
        <w:rPr>
          <w:color w:val="231F20"/>
          <w:spacing w:val="-8"/>
          <w:w w:val="110"/>
          <w:sz w:val="16"/>
        </w:rPr>
        <w:t> </w:t>
      </w:r>
      <w:r>
        <w:rPr>
          <w:color w:val="231F20"/>
          <w:w w:val="110"/>
          <w:sz w:val="16"/>
        </w:rPr>
        <w:t>aprobada</w:t>
      </w:r>
      <w:r>
        <w:rPr>
          <w:color w:val="231F20"/>
          <w:spacing w:val="-8"/>
          <w:w w:val="110"/>
          <w:sz w:val="16"/>
        </w:rPr>
        <w:t> </w:t>
      </w:r>
      <w:r>
        <w:rPr>
          <w:color w:val="231F20"/>
          <w:w w:val="110"/>
          <w:sz w:val="16"/>
        </w:rPr>
        <w:t>Reforma Financiera</w:t>
      </w:r>
      <w:r>
        <w:rPr>
          <w:color w:val="231F20"/>
          <w:spacing w:val="-10"/>
          <w:w w:val="110"/>
          <w:sz w:val="16"/>
        </w:rPr>
        <w:t> </w:t>
      </w:r>
      <w:r>
        <w:rPr>
          <w:color w:val="231F20"/>
          <w:w w:val="110"/>
          <w:sz w:val="16"/>
        </w:rPr>
        <w:t>por</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gobierno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Barack</w:t>
      </w:r>
      <w:r>
        <w:rPr>
          <w:color w:val="231F20"/>
          <w:spacing w:val="-10"/>
          <w:w w:val="110"/>
          <w:sz w:val="16"/>
        </w:rPr>
        <w:t> </w:t>
      </w:r>
      <w:r>
        <w:rPr>
          <w:color w:val="231F20"/>
          <w:w w:val="110"/>
          <w:sz w:val="16"/>
        </w:rPr>
        <w:t>Obama,</w:t>
      </w:r>
      <w:r>
        <w:rPr>
          <w:color w:val="231F20"/>
          <w:spacing w:val="-10"/>
          <w:w w:val="110"/>
          <w:sz w:val="16"/>
        </w:rPr>
        <w:t> </w:t>
      </w:r>
      <w:r>
        <w:rPr>
          <w:color w:val="231F20"/>
          <w:w w:val="110"/>
          <w:sz w:val="16"/>
        </w:rPr>
        <w:t>conocida</w:t>
      </w:r>
      <w:r>
        <w:rPr>
          <w:color w:val="231F20"/>
          <w:spacing w:val="-10"/>
          <w:w w:val="110"/>
          <w:sz w:val="16"/>
        </w:rPr>
        <w:t> </w:t>
      </w:r>
      <w:r>
        <w:rPr>
          <w:color w:val="231F20"/>
          <w:w w:val="110"/>
          <w:sz w:val="16"/>
        </w:rPr>
        <w:t>como</w:t>
      </w:r>
      <w:r>
        <w:rPr>
          <w:color w:val="231F20"/>
          <w:spacing w:val="-10"/>
          <w:w w:val="110"/>
          <w:sz w:val="16"/>
        </w:rPr>
        <w:t> </w:t>
      </w:r>
      <w:r>
        <w:rPr>
          <w:color w:val="231F20"/>
          <w:w w:val="110"/>
          <w:sz w:val="16"/>
        </w:rPr>
        <w:t>Dodd–Frank</w:t>
      </w:r>
      <w:r>
        <w:rPr>
          <w:color w:val="231F20"/>
          <w:spacing w:val="-10"/>
          <w:w w:val="110"/>
          <w:sz w:val="16"/>
        </w:rPr>
        <w:t> </w:t>
      </w:r>
      <w:r>
        <w:rPr>
          <w:color w:val="231F20"/>
          <w:w w:val="110"/>
          <w:sz w:val="16"/>
        </w:rPr>
        <w:t>Wall</w:t>
      </w:r>
      <w:r>
        <w:rPr>
          <w:color w:val="231F20"/>
          <w:spacing w:val="-10"/>
          <w:w w:val="110"/>
          <w:sz w:val="16"/>
        </w:rPr>
        <w:t> </w:t>
      </w:r>
      <w:r>
        <w:rPr>
          <w:color w:val="231F20"/>
          <w:w w:val="110"/>
          <w:sz w:val="16"/>
        </w:rPr>
        <w:t>Street Reform and Consumer Protection</w:t>
      </w:r>
      <w:r>
        <w:rPr>
          <w:color w:val="231F20"/>
          <w:spacing w:val="19"/>
          <w:w w:val="110"/>
          <w:sz w:val="16"/>
        </w:rPr>
        <w:t> </w:t>
      </w:r>
      <w:r>
        <w:rPr>
          <w:color w:val="231F20"/>
          <w:w w:val="110"/>
          <w:sz w:val="16"/>
        </w:rPr>
        <w:t>Act.</w:t>
      </w:r>
    </w:p>
    <w:p>
      <w:pPr>
        <w:pStyle w:val="BodyText"/>
        <w:spacing w:before="7"/>
        <w:rPr>
          <w:sz w:val="16"/>
        </w:rPr>
      </w:pPr>
    </w:p>
    <w:p>
      <w:pPr>
        <w:pStyle w:val="BodyText"/>
        <w:spacing w:before="67"/>
        <w:ind w:left="113" w:right="132"/>
        <w:jc w:val="center"/>
      </w:pPr>
      <w:r>
        <w:rPr>
          <w:color w:val="231F20"/>
          <w:w w:val="120"/>
        </w:rPr>
        <w:t>[163]</w:t>
      </w:r>
    </w:p>
    <w:p>
      <w:pPr>
        <w:spacing w:after="0"/>
        <w:jc w:val="center"/>
        <w:sectPr>
          <w:headerReference w:type="default" r:id="rId120"/>
          <w:pgSz w:w="7640" w:h="11900"/>
          <w:pgMar w:header="0" w:footer="0" w:top="1000" w:bottom="280" w:left="660" w:right="760"/>
        </w:sectPr>
      </w:pPr>
    </w:p>
    <w:p>
      <w:pPr>
        <w:spacing w:line="261" w:lineRule="auto" w:before="167"/>
        <w:ind w:left="100" w:right="117" w:firstLine="0"/>
        <w:jc w:val="both"/>
        <w:rPr>
          <w:sz w:val="20"/>
        </w:rPr>
      </w:pPr>
      <w:r>
        <w:rPr>
          <w:i/>
          <w:color w:val="231F20"/>
          <w:sz w:val="20"/>
        </w:rPr>
        <w:t>Pero</w:t>
      </w:r>
      <w:r>
        <w:rPr>
          <w:i/>
          <w:color w:val="231F20"/>
          <w:spacing w:val="-11"/>
          <w:sz w:val="20"/>
        </w:rPr>
        <w:t> </w:t>
      </w:r>
      <w:r>
        <w:rPr>
          <w:i/>
          <w:color w:val="231F20"/>
          <w:sz w:val="20"/>
        </w:rPr>
        <w:t>sí</w:t>
      </w:r>
      <w:r>
        <w:rPr>
          <w:i/>
          <w:color w:val="231F20"/>
          <w:spacing w:val="-11"/>
          <w:sz w:val="20"/>
        </w:rPr>
        <w:t> </w:t>
      </w:r>
      <w:r>
        <w:rPr>
          <w:i/>
          <w:color w:val="231F20"/>
          <w:sz w:val="20"/>
        </w:rPr>
        <w:t>creemos</w:t>
      </w:r>
      <w:r>
        <w:rPr>
          <w:i/>
          <w:color w:val="231F20"/>
          <w:spacing w:val="-11"/>
          <w:sz w:val="20"/>
        </w:rPr>
        <w:t> </w:t>
      </w:r>
      <w:r>
        <w:rPr>
          <w:i/>
          <w:color w:val="231F20"/>
          <w:sz w:val="20"/>
        </w:rPr>
        <w:t>que</w:t>
      </w:r>
      <w:r>
        <w:rPr>
          <w:i/>
          <w:color w:val="231F20"/>
          <w:spacing w:val="-11"/>
          <w:sz w:val="20"/>
        </w:rPr>
        <w:t> </w:t>
      </w:r>
      <w:r>
        <w:rPr>
          <w:i/>
          <w:color w:val="231F20"/>
          <w:sz w:val="20"/>
        </w:rPr>
        <w:t>es</w:t>
      </w:r>
      <w:r>
        <w:rPr>
          <w:i/>
          <w:color w:val="231F20"/>
          <w:spacing w:val="-11"/>
          <w:sz w:val="20"/>
        </w:rPr>
        <w:t> </w:t>
      </w:r>
      <w:r>
        <w:rPr>
          <w:i/>
          <w:color w:val="231F20"/>
          <w:sz w:val="20"/>
        </w:rPr>
        <w:t>el</w:t>
      </w:r>
      <w:r>
        <w:rPr>
          <w:i/>
          <w:color w:val="231F20"/>
          <w:spacing w:val="-11"/>
          <w:sz w:val="20"/>
        </w:rPr>
        <w:t> </w:t>
      </w:r>
      <w:r>
        <w:rPr>
          <w:i/>
          <w:color w:val="231F20"/>
          <w:sz w:val="20"/>
        </w:rPr>
        <w:t>preludio</w:t>
      </w:r>
      <w:r>
        <w:rPr>
          <w:i/>
          <w:color w:val="231F20"/>
          <w:spacing w:val="-11"/>
          <w:sz w:val="20"/>
        </w:rPr>
        <w:t> </w:t>
      </w:r>
      <w:r>
        <w:rPr>
          <w:i/>
          <w:color w:val="231F20"/>
          <w:sz w:val="20"/>
        </w:rPr>
        <w:t>del</w:t>
      </w:r>
      <w:r>
        <w:rPr>
          <w:i/>
          <w:color w:val="231F20"/>
          <w:spacing w:val="-11"/>
          <w:sz w:val="20"/>
        </w:rPr>
        <w:t> </w:t>
      </w:r>
      <w:r>
        <w:rPr>
          <w:i/>
          <w:color w:val="231F20"/>
          <w:sz w:val="20"/>
        </w:rPr>
        <w:t>agotamiento</w:t>
      </w:r>
      <w:r>
        <w:rPr>
          <w:i/>
          <w:color w:val="231F20"/>
          <w:spacing w:val="-11"/>
          <w:sz w:val="20"/>
        </w:rPr>
        <w:t> </w:t>
      </w:r>
      <w:r>
        <w:rPr>
          <w:i/>
          <w:color w:val="231F20"/>
          <w:sz w:val="20"/>
        </w:rPr>
        <w:t>de</w:t>
      </w:r>
      <w:r>
        <w:rPr>
          <w:i/>
          <w:color w:val="231F20"/>
          <w:spacing w:val="-11"/>
          <w:sz w:val="20"/>
        </w:rPr>
        <w:t> </w:t>
      </w:r>
      <w:r>
        <w:rPr>
          <w:i/>
          <w:color w:val="231F20"/>
          <w:sz w:val="20"/>
        </w:rPr>
        <w:t>la</w:t>
      </w:r>
      <w:r>
        <w:rPr>
          <w:i/>
          <w:color w:val="231F20"/>
          <w:spacing w:val="-11"/>
          <w:sz w:val="20"/>
        </w:rPr>
        <w:t> </w:t>
      </w:r>
      <w:r>
        <w:rPr>
          <w:i/>
          <w:color w:val="231F20"/>
          <w:sz w:val="20"/>
        </w:rPr>
        <w:t>fase</w:t>
      </w:r>
      <w:r>
        <w:rPr>
          <w:i/>
          <w:color w:val="231F20"/>
          <w:spacing w:val="-11"/>
          <w:sz w:val="20"/>
        </w:rPr>
        <w:t> </w:t>
      </w:r>
      <w:r>
        <w:rPr>
          <w:i/>
          <w:color w:val="231F20"/>
          <w:sz w:val="20"/>
        </w:rPr>
        <w:t>progresiva</w:t>
      </w:r>
      <w:r>
        <w:rPr>
          <w:i/>
          <w:color w:val="231F20"/>
          <w:spacing w:val="-11"/>
          <w:sz w:val="20"/>
        </w:rPr>
        <w:t> </w:t>
      </w:r>
      <w:r>
        <w:rPr>
          <w:i/>
          <w:color w:val="231F20"/>
          <w:sz w:val="20"/>
        </w:rPr>
        <w:t>del </w:t>
      </w:r>
      <w:r>
        <w:rPr>
          <w:i/>
          <w:color w:val="231F20"/>
          <w:sz w:val="20"/>
        </w:rPr>
        <w:t>capitalismo</w:t>
      </w:r>
      <w:r>
        <w:rPr>
          <w:color w:val="231F20"/>
          <w:sz w:val="20"/>
        </w:rPr>
        <w:t>,</w:t>
      </w:r>
      <w:r>
        <w:rPr>
          <w:color w:val="231F20"/>
          <w:spacing w:val="-5"/>
          <w:sz w:val="20"/>
        </w:rPr>
        <w:t> </w:t>
      </w:r>
      <w:r>
        <w:rPr>
          <w:i/>
          <w:color w:val="231F20"/>
          <w:sz w:val="20"/>
        </w:rPr>
        <w:t>en</w:t>
      </w:r>
      <w:r>
        <w:rPr>
          <w:i/>
          <w:color w:val="231F20"/>
          <w:spacing w:val="-5"/>
          <w:sz w:val="20"/>
        </w:rPr>
        <w:t> </w:t>
      </w:r>
      <w:r>
        <w:rPr>
          <w:i/>
          <w:color w:val="231F20"/>
          <w:sz w:val="20"/>
        </w:rPr>
        <w:t>tanto</w:t>
      </w:r>
      <w:r>
        <w:rPr>
          <w:i/>
          <w:color w:val="231F20"/>
          <w:spacing w:val="-5"/>
          <w:sz w:val="20"/>
        </w:rPr>
        <w:t> </w:t>
      </w:r>
      <w:r>
        <w:rPr>
          <w:i/>
          <w:color w:val="231F20"/>
          <w:sz w:val="20"/>
        </w:rPr>
        <w:t>modo</w:t>
      </w:r>
      <w:r>
        <w:rPr>
          <w:i/>
          <w:color w:val="231F20"/>
          <w:spacing w:val="-5"/>
          <w:sz w:val="20"/>
        </w:rPr>
        <w:t> </w:t>
      </w:r>
      <w:r>
        <w:rPr>
          <w:i/>
          <w:color w:val="231F20"/>
          <w:sz w:val="20"/>
        </w:rPr>
        <w:t>de</w:t>
      </w:r>
      <w:r>
        <w:rPr>
          <w:i/>
          <w:color w:val="231F20"/>
          <w:spacing w:val="-5"/>
          <w:sz w:val="20"/>
        </w:rPr>
        <w:t> </w:t>
      </w:r>
      <w:r>
        <w:rPr>
          <w:i/>
          <w:color w:val="231F20"/>
          <w:sz w:val="20"/>
        </w:rPr>
        <w:t>producción</w:t>
      </w:r>
      <w:r>
        <w:rPr>
          <w:color w:val="231F20"/>
          <w:sz w:val="20"/>
        </w:rPr>
        <w:t>,</w:t>
      </w:r>
      <w:r>
        <w:rPr>
          <w:color w:val="231F20"/>
          <w:spacing w:val="-5"/>
          <w:sz w:val="20"/>
        </w:rPr>
        <w:t> </w:t>
      </w:r>
      <w:r>
        <w:rPr>
          <w:i/>
          <w:color w:val="231F20"/>
          <w:sz w:val="20"/>
        </w:rPr>
        <w:t>y</w:t>
      </w:r>
      <w:r>
        <w:rPr>
          <w:i/>
          <w:color w:val="231F20"/>
          <w:spacing w:val="-5"/>
          <w:sz w:val="20"/>
        </w:rPr>
        <w:t> </w:t>
      </w:r>
      <w:r>
        <w:rPr>
          <w:i/>
          <w:color w:val="231F20"/>
          <w:sz w:val="20"/>
        </w:rPr>
        <w:t>el</w:t>
      </w:r>
      <w:r>
        <w:rPr>
          <w:i/>
          <w:color w:val="231F20"/>
          <w:spacing w:val="-5"/>
          <w:sz w:val="20"/>
        </w:rPr>
        <w:t> </w:t>
      </w:r>
      <w:r>
        <w:rPr>
          <w:i/>
          <w:color w:val="231F20"/>
          <w:sz w:val="20"/>
        </w:rPr>
        <w:t>comienzo</w:t>
      </w:r>
      <w:r>
        <w:rPr>
          <w:i/>
          <w:color w:val="231F20"/>
          <w:spacing w:val="-5"/>
          <w:sz w:val="20"/>
        </w:rPr>
        <w:t> </w:t>
      </w:r>
      <w:r>
        <w:rPr>
          <w:i/>
          <w:color w:val="231F20"/>
          <w:sz w:val="20"/>
        </w:rPr>
        <w:t>de</w:t>
      </w:r>
      <w:r>
        <w:rPr>
          <w:i/>
          <w:color w:val="231F20"/>
          <w:spacing w:val="-5"/>
          <w:sz w:val="20"/>
        </w:rPr>
        <w:t> </w:t>
      </w:r>
      <w:r>
        <w:rPr>
          <w:i/>
          <w:color w:val="231F20"/>
          <w:sz w:val="20"/>
        </w:rPr>
        <w:t>una</w:t>
      </w:r>
      <w:r>
        <w:rPr>
          <w:i/>
          <w:color w:val="231F20"/>
          <w:spacing w:val="-5"/>
          <w:sz w:val="20"/>
        </w:rPr>
        <w:t> </w:t>
      </w:r>
      <w:r>
        <w:rPr>
          <w:i/>
          <w:color w:val="231F20"/>
          <w:sz w:val="20"/>
        </w:rPr>
        <w:t>nueva</w:t>
      </w:r>
      <w:r>
        <w:rPr>
          <w:i/>
          <w:color w:val="231F20"/>
          <w:spacing w:val="-5"/>
          <w:sz w:val="20"/>
        </w:rPr>
        <w:t> </w:t>
      </w:r>
      <w:r>
        <w:rPr>
          <w:i/>
          <w:color w:val="231F20"/>
          <w:sz w:val="20"/>
        </w:rPr>
        <w:t>fase </w:t>
      </w:r>
      <w:r>
        <w:rPr>
          <w:i/>
          <w:color w:val="231F20"/>
          <w:w w:val="95"/>
          <w:sz w:val="20"/>
        </w:rPr>
        <w:t>tendiente al estancamiento estructural mucho más destructiva y contradictoria </w:t>
      </w:r>
      <w:r>
        <w:rPr>
          <w:i/>
          <w:color w:val="231F20"/>
          <w:sz w:val="20"/>
        </w:rPr>
        <w:t>para</w:t>
      </w:r>
      <w:r>
        <w:rPr>
          <w:i/>
          <w:color w:val="231F20"/>
          <w:spacing w:val="-19"/>
          <w:sz w:val="20"/>
        </w:rPr>
        <w:t> </w:t>
      </w:r>
      <w:r>
        <w:rPr>
          <w:i/>
          <w:color w:val="231F20"/>
          <w:sz w:val="20"/>
        </w:rPr>
        <w:t>la</w:t>
      </w:r>
      <w:r>
        <w:rPr>
          <w:i/>
          <w:color w:val="231F20"/>
          <w:spacing w:val="-19"/>
          <w:sz w:val="20"/>
        </w:rPr>
        <w:t> </w:t>
      </w:r>
      <w:r>
        <w:rPr>
          <w:i/>
          <w:color w:val="231F20"/>
          <w:sz w:val="20"/>
        </w:rPr>
        <w:t>humanidad,</w:t>
      </w:r>
      <w:r>
        <w:rPr>
          <w:i/>
          <w:color w:val="231F20"/>
          <w:spacing w:val="-19"/>
          <w:sz w:val="20"/>
        </w:rPr>
        <w:t> </w:t>
      </w:r>
      <w:r>
        <w:rPr>
          <w:i/>
          <w:color w:val="231F20"/>
          <w:sz w:val="20"/>
        </w:rPr>
        <w:t>porque</w:t>
      </w:r>
      <w:r>
        <w:rPr>
          <w:i/>
          <w:color w:val="231F20"/>
          <w:spacing w:val="-19"/>
          <w:sz w:val="20"/>
        </w:rPr>
        <w:t> </w:t>
      </w:r>
      <w:r>
        <w:rPr>
          <w:i/>
          <w:color w:val="231F20"/>
          <w:sz w:val="20"/>
        </w:rPr>
        <w:t>ahora</w:t>
      </w:r>
      <w:r>
        <w:rPr>
          <w:i/>
          <w:color w:val="231F20"/>
          <w:spacing w:val="-19"/>
          <w:sz w:val="20"/>
        </w:rPr>
        <w:t> </w:t>
      </w:r>
      <w:r>
        <w:rPr>
          <w:i/>
          <w:color w:val="231F20"/>
          <w:sz w:val="20"/>
        </w:rPr>
        <w:t>incorpora</w:t>
      </w:r>
      <w:r>
        <w:rPr>
          <w:i/>
          <w:color w:val="231F20"/>
          <w:spacing w:val="-19"/>
          <w:sz w:val="20"/>
        </w:rPr>
        <w:t> </w:t>
      </w:r>
      <w:r>
        <w:rPr>
          <w:i/>
          <w:color w:val="231F20"/>
          <w:sz w:val="20"/>
        </w:rPr>
        <w:t>los</w:t>
      </w:r>
      <w:r>
        <w:rPr>
          <w:i/>
          <w:color w:val="231F20"/>
          <w:spacing w:val="-19"/>
          <w:sz w:val="20"/>
        </w:rPr>
        <w:t> </w:t>
      </w:r>
      <w:r>
        <w:rPr>
          <w:i/>
          <w:color w:val="231F20"/>
          <w:sz w:val="20"/>
        </w:rPr>
        <w:t>recursos</w:t>
      </w:r>
      <w:r>
        <w:rPr>
          <w:i/>
          <w:color w:val="231F20"/>
          <w:spacing w:val="-19"/>
          <w:sz w:val="20"/>
        </w:rPr>
        <w:t> </w:t>
      </w:r>
      <w:r>
        <w:rPr>
          <w:i/>
          <w:color w:val="231F20"/>
          <w:sz w:val="20"/>
        </w:rPr>
        <w:t>naturales,</w:t>
      </w:r>
      <w:r>
        <w:rPr>
          <w:i/>
          <w:color w:val="231F20"/>
          <w:spacing w:val="-19"/>
          <w:sz w:val="20"/>
        </w:rPr>
        <w:t> </w:t>
      </w:r>
      <w:r>
        <w:rPr>
          <w:i/>
          <w:color w:val="231F20"/>
          <w:sz w:val="20"/>
        </w:rPr>
        <w:t>el</w:t>
      </w:r>
      <w:r>
        <w:rPr>
          <w:i/>
          <w:color w:val="231F20"/>
          <w:spacing w:val="-19"/>
          <w:sz w:val="20"/>
        </w:rPr>
        <w:t> </w:t>
      </w:r>
      <w:r>
        <w:rPr>
          <w:i/>
          <w:color w:val="231F20"/>
          <w:sz w:val="20"/>
        </w:rPr>
        <w:t>medio ambiente</w:t>
      </w:r>
      <w:r>
        <w:rPr>
          <w:i/>
          <w:color w:val="231F20"/>
          <w:spacing w:val="-11"/>
          <w:sz w:val="20"/>
        </w:rPr>
        <w:t> </w:t>
      </w:r>
      <w:r>
        <w:rPr>
          <w:i/>
          <w:color w:val="231F20"/>
          <w:sz w:val="20"/>
        </w:rPr>
        <w:t>y</w:t>
      </w:r>
      <w:r>
        <w:rPr>
          <w:i/>
          <w:color w:val="231F20"/>
          <w:spacing w:val="-11"/>
          <w:sz w:val="20"/>
        </w:rPr>
        <w:t> </w:t>
      </w:r>
      <w:r>
        <w:rPr>
          <w:i/>
          <w:color w:val="231F20"/>
          <w:sz w:val="20"/>
        </w:rPr>
        <w:t>los</w:t>
      </w:r>
      <w:r>
        <w:rPr>
          <w:i/>
          <w:color w:val="231F20"/>
          <w:spacing w:val="-11"/>
          <w:sz w:val="20"/>
        </w:rPr>
        <w:t> </w:t>
      </w:r>
      <w:r>
        <w:rPr>
          <w:i/>
          <w:color w:val="231F20"/>
          <w:sz w:val="20"/>
        </w:rPr>
        <w:t>sistemas</w:t>
      </w:r>
      <w:r>
        <w:rPr>
          <w:i/>
          <w:color w:val="231F20"/>
          <w:spacing w:val="-11"/>
          <w:sz w:val="20"/>
        </w:rPr>
        <w:t> </w:t>
      </w:r>
      <w:r>
        <w:rPr>
          <w:i/>
          <w:color w:val="231F20"/>
          <w:sz w:val="20"/>
        </w:rPr>
        <w:t>ecológicos</w:t>
      </w:r>
      <w:r>
        <w:rPr>
          <w:i/>
          <w:color w:val="231F20"/>
          <w:spacing w:val="-11"/>
          <w:sz w:val="20"/>
        </w:rPr>
        <w:t> </w:t>
      </w:r>
      <w:r>
        <w:rPr>
          <w:i/>
          <w:color w:val="231F20"/>
          <w:sz w:val="20"/>
        </w:rPr>
        <w:t>del</w:t>
      </w:r>
      <w:r>
        <w:rPr>
          <w:i/>
          <w:color w:val="231F20"/>
          <w:spacing w:val="-11"/>
          <w:sz w:val="20"/>
        </w:rPr>
        <w:t> </w:t>
      </w:r>
      <w:r>
        <w:rPr>
          <w:i/>
          <w:color w:val="231F20"/>
          <w:sz w:val="20"/>
        </w:rPr>
        <w:t>planeta</w:t>
      </w:r>
      <w:r>
        <w:rPr>
          <w:i/>
          <w:color w:val="231F20"/>
          <w:spacing w:val="-11"/>
          <w:sz w:val="20"/>
        </w:rPr>
        <w:t> </w:t>
      </w:r>
      <w:r>
        <w:rPr>
          <w:i/>
          <w:color w:val="231F20"/>
          <w:sz w:val="20"/>
        </w:rPr>
        <w:t>a</w:t>
      </w:r>
      <w:r>
        <w:rPr>
          <w:i/>
          <w:color w:val="231F20"/>
          <w:spacing w:val="-11"/>
          <w:sz w:val="20"/>
        </w:rPr>
        <w:t> </w:t>
      </w:r>
      <w:r>
        <w:rPr>
          <w:i/>
          <w:color w:val="231F20"/>
          <w:sz w:val="20"/>
        </w:rPr>
        <w:t>la</w:t>
      </w:r>
      <w:r>
        <w:rPr>
          <w:i/>
          <w:color w:val="231F20"/>
          <w:spacing w:val="-11"/>
          <w:sz w:val="20"/>
        </w:rPr>
        <w:t> </w:t>
      </w:r>
      <w:r>
        <w:rPr>
          <w:i/>
          <w:color w:val="231F20"/>
          <w:sz w:val="20"/>
        </w:rPr>
        <w:t>explotación</w:t>
      </w:r>
      <w:r>
        <w:rPr>
          <w:i/>
          <w:color w:val="231F20"/>
          <w:spacing w:val="-11"/>
          <w:sz w:val="20"/>
        </w:rPr>
        <w:t> </w:t>
      </w:r>
      <w:r>
        <w:rPr>
          <w:i/>
          <w:color w:val="231F20"/>
          <w:sz w:val="20"/>
        </w:rPr>
        <w:t>masiva</w:t>
      </w:r>
      <w:r>
        <w:rPr>
          <w:i/>
          <w:color w:val="231F20"/>
          <w:spacing w:val="-11"/>
          <w:sz w:val="20"/>
        </w:rPr>
        <w:t> </w:t>
      </w:r>
      <w:r>
        <w:rPr>
          <w:i/>
          <w:color w:val="231F20"/>
          <w:sz w:val="20"/>
        </w:rPr>
        <w:t>para la producción de mercancías y de servicios</w:t>
      </w:r>
      <w:r>
        <w:rPr>
          <w:color w:val="231F20"/>
          <w:sz w:val="20"/>
        </w:rPr>
        <w:t>. Sólo así el sistema podrá sol- ventar  su  destrucción  y  postergarla  por  algún  tiempo,  cuando  surja  un nuevo ciclo de contradicciones e incertidumbres como ya  está  en  curso a raíz del terremoto que azotó a Japón, seguido del destructivo maremoto y la crisis </w:t>
      </w:r>
      <w:r>
        <w:rPr>
          <w:color w:val="231F20"/>
          <w:spacing w:val="-3"/>
          <w:sz w:val="20"/>
        </w:rPr>
        <w:t>nuclear, </w:t>
      </w:r>
      <w:r>
        <w:rPr>
          <w:color w:val="231F20"/>
          <w:sz w:val="20"/>
        </w:rPr>
        <w:t>que tendrán enormes y graves  repercu-  siones   para   la</w:t>
      </w:r>
      <w:r>
        <w:rPr>
          <w:color w:val="231F20"/>
          <w:spacing w:val="49"/>
          <w:sz w:val="20"/>
        </w:rPr>
        <w:t> </w:t>
      </w:r>
      <w:r>
        <w:rPr>
          <w:color w:val="231F20"/>
          <w:sz w:val="20"/>
        </w:rPr>
        <w:t>humanidad.</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30"/>
        </w:rPr>
        <w:t>el carácter de la crisis del sistema capitalista internacional</w:t>
      </w:r>
    </w:p>
    <w:p>
      <w:pPr>
        <w:pStyle w:val="BodyText"/>
        <w:spacing w:before="8"/>
        <w:rPr>
          <w:sz w:val="21"/>
        </w:rPr>
      </w:pPr>
    </w:p>
    <w:p>
      <w:pPr>
        <w:pStyle w:val="BodyText"/>
        <w:spacing w:line="261" w:lineRule="auto"/>
        <w:ind w:left="100" w:right="117"/>
        <w:jc w:val="both"/>
      </w:pPr>
      <w:r>
        <w:rPr>
          <w:color w:val="231F20"/>
          <w:w w:val="110"/>
        </w:rPr>
        <w:t>Primero vino el desplome de los mercados bursátiles y financieros, desde la crisis mexicana de finales de 1994, pasando por la de </w:t>
      </w:r>
      <w:r>
        <w:rPr>
          <w:color w:val="231F20"/>
          <w:spacing w:val="-5"/>
          <w:w w:val="110"/>
        </w:rPr>
        <w:t>Tai- </w:t>
      </w:r>
      <w:r>
        <w:rPr>
          <w:color w:val="231F20"/>
          <w:w w:val="110"/>
        </w:rPr>
        <w:t>landia, la de Singapur y la de Hong Kong. Las siguientes crisis: de Corea</w:t>
      </w:r>
      <w:r>
        <w:rPr>
          <w:color w:val="231F20"/>
          <w:spacing w:val="-14"/>
          <w:w w:val="110"/>
        </w:rPr>
        <w:t> </w:t>
      </w:r>
      <w:r>
        <w:rPr>
          <w:color w:val="231F20"/>
          <w:w w:val="110"/>
        </w:rPr>
        <w:t>(1997),</w:t>
      </w:r>
      <w:r>
        <w:rPr>
          <w:color w:val="231F20"/>
          <w:spacing w:val="-14"/>
          <w:w w:val="110"/>
        </w:rPr>
        <w:t> </w:t>
      </w:r>
      <w:r>
        <w:rPr>
          <w:color w:val="231F20"/>
          <w:w w:val="110"/>
        </w:rPr>
        <w:t>Rusia</w:t>
      </w:r>
      <w:r>
        <w:rPr>
          <w:color w:val="231F20"/>
          <w:spacing w:val="-14"/>
          <w:w w:val="110"/>
        </w:rPr>
        <w:t> </w:t>
      </w:r>
      <w:r>
        <w:rPr>
          <w:color w:val="231F20"/>
          <w:w w:val="110"/>
        </w:rPr>
        <w:t>(1998),</w:t>
      </w:r>
      <w:r>
        <w:rPr>
          <w:color w:val="231F20"/>
          <w:spacing w:val="-14"/>
          <w:w w:val="110"/>
        </w:rPr>
        <w:t> </w:t>
      </w:r>
      <w:r>
        <w:rPr>
          <w:color w:val="231F20"/>
          <w:w w:val="110"/>
        </w:rPr>
        <w:t>Argentina</w:t>
      </w:r>
      <w:r>
        <w:rPr>
          <w:color w:val="231F20"/>
          <w:spacing w:val="-14"/>
          <w:w w:val="110"/>
        </w:rPr>
        <w:t> </w:t>
      </w:r>
      <w:r>
        <w:rPr>
          <w:color w:val="231F20"/>
          <w:w w:val="110"/>
        </w:rPr>
        <w:t>(1999-2002)</w:t>
      </w:r>
      <w:r>
        <w:rPr>
          <w:color w:val="231F20"/>
          <w:spacing w:val="-14"/>
          <w:w w:val="110"/>
        </w:rPr>
        <w:t> </w:t>
      </w:r>
      <w:r>
        <w:rPr>
          <w:color w:val="231F20"/>
          <w:spacing w:val="-8"/>
          <w:w w:val="110"/>
        </w:rPr>
        <w:t>y,</w:t>
      </w:r>
      <w:r>
        <w:rPr>
          <w:color w:val="231F20"/>
          <w:spacing w:val="-14"/>
          <w:w w:val="110"/>
        </w:rPr>
        <w:t> </w:t>
      </w:r>
      <w:r>
        <w:rPr>
          <w:color w:val="231F20"/>
          <w:w w:val="110"/>
        </w:rPr>
        <w:t>aún,</w:t>
      </w:r>
      <w:r>
        <w:rPr>
          <w:color w:val="231F20"/>
          <w:spacing w:val="-14"/>
          <w:w w:val="110"/>
        </w:rPr>
        <w:t> </w:t>
      </w:r>
      <w:r>
        <w:rPr>
          <w:color w:val="231F20"/>
          <w:w w:val="110"/>
        </w:rPr>
        <w:t>el</w:t>
      </w:r>
      <w:r>
        <w:rPr>
          <w:color w:val="231F20"/>
          <w:spacing w:val="-14"/>
          <w:w w:val="110"/>
        </w:rPr>
        <w:t> </w:t>
      </w:r>
      <w:r>
        <w:rPr>
          <w:color w:val="231F20"/>
          <w:w w:val="110"/>
        </w:rPr>
        <w:t>ínter</w:t>
      </w:r>
      <w:r>
        <w:rPr>
          <w:color w:val="231F20"/>
          <w:spacing w:val="-14"/>
          <w:w w:val="110"/>
        </w:rPr>
        <w:t> </w:t>
      </w:r>
      <w:r>
        <w:rPr>
          <w:color w:val="231F20"/>
          <w:w w:val="110"/>
        </w:rPr>
        <w:t>de recuperación que se registró en una parte del gobierno de Clinton  en</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—que,</w:t>
      </w:r>
      <w:r>
        <w:rPr>
          <w:color w:val="231F20"/>
          <w:spacing w:val="-6"/>
          <w:w w:val="110"/>
        </w:rPr>
        <w:t> </w:t>
      </w:r>
      <w:r>
        <w:rPr>
          <w:color w:val="231F20"/>
          <w:w w:val="110"/>
        </w:rPr>
        <w:t>por</w:t>
      </w:r>
      <w:r>
        <w:rPr>
          <w:color w:val="231F20"/>
          <w:spacing w:val="-6"/>
          <w:w w:val="110"/>
        </w:rPr>
        <w:t> </w:t>
      </w:r>
      <w:r>
        <w:rPr>
          <w:color w:val="231F20"/>
          <w:w w:val="110"/>
        </w:rPr>
        <w:t>cierto,</w:t>
      </w:r>
      <w:r>
        <w:rPr>
          <w:color w:val="231F20"/>
          <w:spacing w:val="-6"/>
          <w:w w:val="110"/>
        </w:rPr>
        <w:t> </w:t>
      </w:r>
      <w:r>
        <w:rPr>
          <w:color w:val="231F20"/>
          <w:w w:val="110"/>
        </w:rPr>
        <w:t>fue</w:t>
      </w:r>
      <w:r>
        <w:rPr>
          <w:color w:val="231F20"/>
          <w:spacing w:val="-6"/>
          <w:w w:val="110"/>
        </w:rPr>
        <w:t> </w:t>
      </w:r>
      <w:r>
        <w:rPr>
          <w:color w:val="231F20"/>
          <w:w w:val="110"/>
        </w:rPr>
        <w:t>insuficiente</w:t>
      </w:r>
      <w:r>
        <w:rPr>
          <w:color w:val="231F20"/>
          <w:spacing w:val="-6"/>
          <w:w w:val="110"/>
        </w:rPr>
        <w:t> </w:t>
      </w:r>
      <w:r>
        <w:rPr>
          <w:color w:val="231F20"/>
          <w:w w:val="110"/>
        </w:rPr>
        <w:t>para</w:t>
      </w:r>
      <w:r>
        <w:rPr>
          <w:color w:val="231F20"/>
          <w:spacing w:val="-6"/>
          <w:w w:val="110"/>
        </w:rPr>
        <w:t> </w:t>
      </w:r>
      <w:r>
        <w:rPr>
          <w:color w:val="231F20"/>
          <w:w w:val="110"/>
        </w:rPr>
        <w:t>impedir</w:t>
      </w:r>
      <w:r>
        <w:rPr>
          <w:color w:val="231F20"/>
          <w:spacing w:val="-6"/>
          <w:w w:val="110"/>
        </w:rPr>
        <w:t> </w:t>
      </w:r>
      <w:r>
        <w:rPr>
          <w:color w:val="231F20"/>
          <w:w w:val="110"/>
        </w:rPr>
        <w:t>la crisis</w:t>
      </w:r>
      <w:r>
        <w:rPr>
          <w:color w:val="231F20"/>
          <w:spacing w:val="-9"/>
          <w:w w:val="110"/>
        </w:rPr>
        <w:t> </w:t>
      </w:r>
      <w:r>
        <w:rPr>
          <w:color w:val="231F20"/>
          <w:w w:val="110"/>
        </w:rPr>
        <w:t>de</w:t>
      </w:r>
      <w:r>
        <w:rPr>
          <w:color w:val="231F20"/>
          <w:spacing w:val="-9"/>
          <w:w w:val="110"/>
        </w:rPr>
        <w:t> </w:t>
      </w:r>
      <w:r>
        <w:rPr>
          <w:color w:val="231F20"/>
          <w:w w:val="110"/>
        </w:rPr>
        <w:t>2001—,</w:t>
      </w:r>
      <w:r>
        <w:rPr>
          <w:color w:val="231F20"/>
          <w:spacing w:val="-9"/>
          <w:w w:val="110"/>
        </w:rPr>
        <w:t> </w:t>
      </w:r>
      <w:r>
        <w:rPr>
          <w:color w:val="231F20"/>
          <w:w w:val="110"/>
        </w:rPr>
        <w:t>encaminaron</w:t>
      </w:r>
      <w:r>
        <w:rPr>
          <w:color w:val="231F20"/>
          <w:spacing w:val="-9"/>
          <w:w w:val="110"/>
        </w:rPr>
        <w:t> </w:t>
      </w:r>
      <w:r>
        <w:rPr>
          <w:color w:val="231F20"/>
          <w:w w:val="110"/>
        </w:rPr>
        <w:t>la</w:t>
      </w:r>
      <w:r>
        <w:rPr>
          <w:color w:val="231F20"/>
          <w:spacing w:val="-9"/>
          <w:w w:val="110"/>
        </w:rPr>
        <w:t> </w:t>
      </w:r>
      <w:r>
        <w:rPr>
          <w:color w:val="231F20"/>
          <w:w w:val="110"/>
        </w:rPr>
        <w:t>profundización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fase</w:t>
      </w:r>
      <w:r>
        <w:rPr>
          <w:color w:val="231F20"/>
          <w:spacing w:val="-9"/>
          <w:w w:val="110"/>
        </w:rPr>
        <w:t> </w:t>
      </w:r>
      <w:r>
        <w:rPr>
          <w:color w:val="231F20"/>
          <w:w w:val="110"/>
        </w:rPr>
        <w:t>depresiva del ciclo Kondratiev. En este entorno se inscribe la crisis capitalista global</w:t>
      </w:r>
      <w:r>
        <w:rPr>
          <w:color w:val="231F20"/>
          <w:spacing w:val="-31"/>
          <w:w w:val="110"/>
        </w:rPr>
        <w:t> </w:t>
      </w:r>
      <w:r>
        <w:rPr>
          <w:color w:val="231F20"/>
          <w:w w:val="110"/>
        </w:rPr>
        <w:t>de</w:t>
      </w:r>
      <w:r>
        <w:rPr>
          <w:color w:val="231F20"/>
          <w:spacing w:val="-31"/>
          <w:w w:val="110"/>
        </w:rPr>
        <w:t> </w:t>
      </w:r>
      <w:r>
        <w:rPr>
          <w:color w:val="231F20"/>
          <w:w w:val="110"/>
        </w:rPr>
        <w:t>2008-2010.</w:t>
      </w:r>
    </w:p>
    <w:p>
      <w:pPr>
        <w:pStyle w:val="BodyText"/>
        <w:spacing w:line="261" w:lineRule="auto"/>
        <w:ind w:left="100" w:right="117" w:firstLine="240"/>
        <w:jc w:val="both"/>
      </w:pPr>
      <w:r>
        <w:rPr>
          <w:color w:val="231F20"/>
          <w:w w:val="110"/>
        </w:rPr>
        <w:t>En este comportamiento del ciclo económico la tasa de ganancia desempeñó un papel fundamental. Al respecto Chris Harman (abril de 2008) escribe que:</w:t>
      </w:r>
    </w:p>
    <w:p>
      <w:pPr>
        <w:pStyle w:val="BodyText"/>
        <w:spacing w:before="4"/>
        <w:rPr>
          <w:sz w:val="23"/>
        </w:rPr>
      </w:pPr>
    </w:p>
    <w:p>
      <w:pPr>
        <w:spacing w:line="290" w:lineRule="auto" w:before="0"/>
        <w:ind w:left="100" w:right="117" w:firstLine="0"/>
        <w:jc w:val="both"/>
        <w:rPr>
          <w:sz w:val="18"/>
        </w:rPr>
      </w:pPr>
      <w:r>
        <w:rPr>
          <w:color w:val="231F20"/>
          <w:w w:val="105"/>
          <w:sz w:val="18"/>
        </w:rPr>
        <w:t>Lo que motiva a los capitalistas a invertir no es sólo el nivel absoluto de be- neficios que hacen, sino la “tasa de ganancias” —esto es, la proporción entre beneficios e inversión necesaria—. Ésta fue más o menos constante desde finales de los decenios 1940, 1950 y 1960. Así, esos años vieron una inversión creciente y un </w:t>
      </w:r>
      <w:r>
        <w:rPr>
          <w:i/>
          <w:color w:val="231F20"/>
          <w:w w:val="105"/>
          <w:sz w:val="18"/>
        </w:rPr>
        <w:t>boom </w:t>
      </w:r>
      <w:r>
        <w:rPr>
          <w:color w:val="231F20"/>
          <w:w w:val="105"/>
          <w:sz w:val="18"/>
        </w:rPr>
        <w:t>continuo, algunas veces conocido como “la era dorada </w:t>
      </w:r>
      <w:r>
        <w:rPr>
          <w:color w:val="231F20"/>
          <w:spacing w:val="47"/>
          <w:w w:val="105"/>
          <w:sz w:val="18"/>
        </w:rPr>
        <w:t> </w:t>
      </w:r>
      <w:r>
        <w:rPr>
          <w:color w:val="231F20"/>
          <w:w w:val="105"/>
          <w:sz w:val="18"/>
        </w:rPr>
        <w:t>del capitalismo”. Pero desde finales de los años 60 hasta 1982, las tasas de ganancia cayeron, hasta que fueron sólo la mitad del nivel medio de los dos decenios previos. Las profundas recesiones económicas de mediados de los años</w:t>
      </w:r>
      <w:r>
        <w:rPr>
          <w:color w:val="231F20"/>
          <w:spacing w:val="25"/>
          <w:w w:val="105"/>
          <w:sz w:val="18"/>
        </w:rPr>
        <w:t> </w:t>
      </w:r>
      <w:r>
        <w:rPr>
          <w:color w:val="231F20"/>
          <w:w w:val="105"/>
          <w:sz w:val="18"/>
        </w:rPr>
        <w:t>70</w:t>
      </w:r>
      <w:r>
        <w:rPr>
          <w:color w:val="231F20"/>
          <w:spacing w:val="25"/>
          <w:w w:val="105"/>
          <w:sz w:val="18"/>
        </w:rPr>
        <w:t> </w:t>
      </w:r>
      <w:r>
        <w:rPr>
          <w:color w:val="231F20"/>
          <w:w w:val="105"/>
          <w:sz w:val="18"/>
        </w:rPr>
        <w:t>y</w:t>
      </w:r>
      <w:r>
        <w:rPr>
          <w:color w:val="231F20"/>
          <w:spacing w:val="25"/>
          <w:w w:val="105"/>
          <w:sz w:val="18"/>
        </w:rPr>
        <w:t> </w:t>
      </w:r>
      <w:r>
        <w:rPr>
          <w:color w:val="231F20"/>
          <w:w w:val="105"/>
          <w:sz w:val="18"/>
        </w:rPr>
        <w:t>principios</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los</w:t>
      </w:r>
      <w:r>
        <w:rPr>
          <w:color w:val="231F20"/>
          <w:spacing w:val="25"/>
          <w:w w:val="105"/>
          <w:sz w:val="18"/>
        </w:rPr>
        <w:t> </w:t>
      </w:r>
      <w:r>
        <w:rPr>
          <w:color w:val="231F20"/>
          <w:w w:val="105"/>
          <w:sz w:val="18"/>
        </w:rPr>
        <w:t>80</w:t>
      </w:r>
      <w:r>
        <w:rPr>
          <w:color w:val="231F20"/>
          <w:spacing w:val="25"/>
          <w:w w:val="105"/>
          <w:sz w:val="18"/>
        </w:rPr>
        <w:t> </w:t>
      </w:r>
      <w:r>
        <w:rPr>
          <w:color w:val="231F20"/>
          <w:w w:val="105"/>
          <w:sz w:val="18"/>
        </w:rPr>
        <w:t>fueron</w:t>
      </w:r>
      <w:r>
        <w:rPr>
          <w:color w:val="231F20"/>
          <w:spacing w:val="25"/>
          <w:w w:val="105"/>
          <w:sz w:val="18"/>
        </w:rPr>
        <w:t> </w:t>
      </w:r>
      <w:r>
        <w:rPr>
          <w:color w:val="231F20"/>
          <w:w w:val="105"/>
          <w:sz w:val="18"/>
        </w:rPr>
        <w:t>un</w:t>
      </w:r>
      <w:r>
        <w:rPr>
          <w:color w:val="231F20"/>
          <w:spacing w:val="25"/>
          <w:w w:val="105"/>
          <w:sz w:val="18"/>
        </w:rPr>
        <w:t> </w:t>
      </w:r>
      <w:r>
        <w:rPr>
          <w:color w:val="231F20"/>
          <w:w w:val="105"/>
          <w:sz w:val="18"/>
        </w:rPr>
        <w:t>resultado</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esta</w:t>
      </w:r>
      <w:r>
        <w:rPr>
          <w:color w:val="231F20"/>
          <w:spacing w:val="25"/>
          <w:w w:val="105"/>
          <w:sz w:val="18"/>
        </w:rPr>
        <w:t> </w:t>
      </w:r>
      <w:r>
        <w:rPr>
          <w:color w:val="231F20"/>
          <w:w w:val="105"/>
          <w:sz w:val="18"/>
        </w:rPr>
        <w:t>caída.</w:t>
      </w:r>
    </w:p>
    <w:p>
      <w:pPr>
        <w:spacing w:after="0" w:line="290" w:lineRule="auto"/>
        <w:jc w:val="both"/>
        <w:rPr>
          <w:sz w:val="18"/>
        </w:rPr>
        <w:sectPr>
          <w:headerReference w:type="even" r:id="rId121"/>
          <w:headerReference w:type="default" r:id="rId122"/>
          <w:pgSz w:w="7640" w:h="11900"/>
          <w:pgMar w:header="672" w:footer="0" w:top="860" w:bottom="280" w:left="780" w:right="640"/>
          <w:pgNumType w:start="164"/>
        </w:sectPr>
      </w:pPr>
    </w:p>
    <w:p>
      <w:pPr>
        <w:pStyle w:val="BodyText"/>
        <w:spacing w:before="8"/>
        <w:rPr>
          <w:sz w:val="8"/>
        </w:rPr>
      </w:pPr>
    </w:p>
    <w:p>
      <w:pPr>
        <w:spacing w:line="290" w:lineRule="auto" w:before="71"/>
        <w:ind w:left="100" w:right="117" w:firstLine="250"/>
        <w:jc w:val="both"/>
        <w:rPr>
          <w:sz w:val="18"/>
        </w:rPr>
      </w:pPr>
      <w:r>
        <w:rPr>
          <w:color w:val="231F20"/>
          <w:w w:val="110"/>
          <w:sz w:val="18"/>
        </w:rPr>
        <w:t>Las tasas de ganancia se pudieron recuperar parcialmente a mediados   de los años ochenta y a mediados de los noventa. Una cosa que lo posibilitó fue el incremento en los ingresos nacionales a expensas de los salarios. En todos lados esto implicó mayor presión para que la gente trabaje más duro  y ataques a los servicios del bienestar (el “salario social”). En Estados Uni- dos esto también significó una caída en el salario real desde principios de los años setenta hasta finales de los noventa y un incremento masivo en las horas totales de trabajo. En Europa todavía no ha habido la misma caída en los salarios reales, pero Gran Bretaña ha visto un aumento en las horas de trabajo</w:t>
      </w:r>
      <w:r>
        <w:rPr>
          <w:color w:val="231F20"/>
          <w:spacing w:val="-9"/>
          <w:w w:val="110"/>
          <w:sz w:val="18"/>
        </w:rPr>
        <w:t> </w:t>
      </w:r>
      <w:r>
        <w:rPr>
          <w:color w:val="231F20"/>
          <w:w w:val="110"/>
          <w:sz w:val="18"/>
        </w:rPr>
        <w:t>(particularmente</w:t>
      </w:r>
      <w:r>
        <w:rPr>
          <w:color w:val="231F20"/>
          <w:spacing w:val="-9"/>
          <w:w w:val="110"/>
          <w:sz w:val="18"/>
        </w:rPr>
        <w:t> </w:t>
      </w:r>
      <w:r>
        <w:rPr>
          <w:color w:val="231F20"/>
          <w:w w:val="110"/>
          <w:sz w:val="18"/>
        </w:rPr>
        <w:t>si</w:t>
      </w:r>
      <w:r>
        <w:rPr>
          <w:color w:val="231F20"/>
          <w:spacing w:val="-9"/>
          <w:w w:val="110"/>
          <w:sz w:val="18"/>
        </w:rPr>
        <w:t> </w:t>
      </w:r>
      <w:r>
        <w:rPr>
          <w:color w:val="231F20"/>
          <w:w w:val="110"/>
          <w:sz w:val="18"/>
        </w:rPr>
        <w:t>se</w:t>
      </w:r>
      <w:r>
        <w:rPr>
          <w:color w:val="231F20"/>
          <w:spacing w:val="-9"/>
          <w:w w:val="110"/>
          <w:sz w:val="18"/>
        </w:rPr>
        <w:t> </w:t>
      </w:r>
      <w:r>
        <w:rPr>
          <w:color w:val="231F20"/>
          <w:w w:val="110"/>
          <w:sz w:val="18"/>
        </w:rPr>
        <w:t>incluyen</w:t>
      </w:r>
      <w:r>
        <w:rPr>
          <w:color w:val="231F20"/>
          <w:spacing w:val="-9"/>
          <w:w w:val="110"/>
          <w:sz w:val="18"/>
        </w:rPr>
        <w:t> </w:t>
      </w:r>
      <w:r>
        <w:rPr>
          <w:color w:val="231F20"/>
          <w:w w:val="110"/>
          <w:sz w:val="18"/>
        </w:rPr>
        <w:t>las</w:t>
      </w:r>
      <w:r>
        <w:rPr>
          <w:color w:val="231F20"/>
          <w:spacing w:val="-9"/>
          <w:w w:val="110"/>
          <w:sz w:val="18"/>
        </w:rPr>
        <w:t> </w:t>
      </w:r>
      <w:r>
        <w:rPr>
          <w:color w:val="231F20"/>
          <w:w w:val="110"/>
          <w:sz w:val="18"/>
        </w:rPr>
        <w:t>horas</w:t>
      </w:r>
      <w:r>
        <w:rPr>
          <w:color w:val="231F20"/>
          <w:spacing w:val="-9"/>
          <w:w w:val="110"/>
          <w:sz w:val="18"/>
        </w:rPr>
        <w:t> </w:t>
      </w:r>
      <w:r>
        <w:rPr>
          <w:color w:val="231F20"/>
          <w:w w:val="110"/>
          <w:sz w:val="18"/>
        </w:rPr>
        <w:t>extras</w:t>
      </w:r>
      <w:r>
        <w:rPr>
          <w:color w:val="231F20"/>
          <w:spacing w:val="-9"/>
          <w:w w:val="110"/>
          <w:sz w:val="18"/>
        </w:rPr>
        <w:t> </w:t>
      </w:r>
      <w:r>
        <w:rPr>
          <w:color w:val="231F20"/>
          <w:w w:val="110"/>
          <w:sz w:val="18"/>
        </w:rPr>
        <w:t>no</w:t>
      </w:r>
      <w:r>
        <w:rPr>
          <w:color w:val="231F20"/>
          <w:spacing w:val="-9"/>
          <w:w w:val="110"/>
          <w:sz w:val="18"/>
        </w:rPr>
        <w:t> </w:t>
      </w:r>
      <w:r>
        <w:rPr>
          <w:color w:val="231F20"/>
          <w:w w:val="110"/>
          <w:sz w:val="18"/>
        </w:rPr>
        <w:t>pagadas</w:t>
      </w:r>
      <w:r>
        <w:rPr>
          <w:color w:val="231F20"/>
          <w:spacing w:val="-9"/>
          <w:w w:val="110"/>
          <w:sz w:val="18"/>
        </w:rPr>
        <w:t> </w:t>
      </w:r>
      <w:r>
        <w:rPr>
          <w:color w:val="231F20"/>
          <w:w w:val="110"/>
          <w:sz w:val="18"/>
        </w:rPr>
        <w:t>que</w:t>
      </w:r>
      <w:r>
        <w:rPr>
          <w:color w:val="231F20"/>
          <w:spacing w:val="-9"/>
          <w:w w:val="110"/>
          <w:sz w:val="18"/>
        </w:rPr>
        <w:t> </w:t>
      </w:r>
      <w:r>
        <w:rPr>
          <w:color w:val="231F20"/>
          <w:w w:val="110"/>
          <w:sz w:val="18"/>
        </w:rPr>
        <w:t>son</w:t>
      </w:r>
      <w:r>
        <w:rPr>
          <w:color w:val="231F20"/>
          <w:spacing w:val="-9"/>
          <w:w w:val="110"/>
          <w:sz w:val="18"/>
        </w:rPr>
        <w:t> </w:t>
      </w:r>
      <w:r>
        <w:rPr>
          <w:color w:val="231F20"/>
          <w:w w:val="110"/>
          <w:sz w:val="18"/>
        </w:rPr>
        <w:t>la maldición de muchas y muchos trabajadores de oficina) y ahora hay mucha presión para que suceda lo mismo en la mayoría de los países </w:t>
      </w:r>
      <w:r>
        <w:rPr>
          <w:color w:val="231F20"/>
          <w:spacing w:val="23"/>
          <w:w w:val="110"/>
          <w:sz w:val="18"/>
        </w:rPr>
        <w:t> </w:t>
      </w:r>
      <w:r>
        <w:rPr>
          <w:color w:val="231F20"/>
          <w:w w:val="110"/>
          <w:sz w:val="18"/>
        </w:rPr>
        <w:t>europeos</w:t>
      </w:r>
      <w:r>
        <w:rPr>
          <w:color w:val="333333"/>
          <w:w w:val="110"/>
          <w:sz w:val="18"/>
        </w:rPr>
        <w:t>.</w:t>
      </w:r>
    </w:p>
    <w:p>
      <w:pPr>
        <w:pStyle w:val="BodyText"/>
        <w:spacing w:before="2"/>
      </w:pPr>
    </w:p>
    <w:p>
      <w:pPr>
        <w:pStyle w:val="BodyText"/>
        <w:spacing w:line="261" w:lineRule="auto"/>
        <w:ind w:left="100" w:right="117" w:firstLine="240"/>
        <w:jc w:val="both"/>
      </w:pPr>
      <w:r>
        <w:rPr>
          <w:color w:val="231F20"/>
          <w:w w:val="110"/>
        </w:rPr>
        <w:t>Como vemos, fueron los salarios y las tasas de explotación del trabajo los variables determinantes en la relativa recuperación de   la tasa de ganancia en los dos últimos decenios del siglo xx. Pero a partir de 1994-1995, coincidiendo con la crisis mexicana, dichas ta- sas fueron insuficientes para coronar la labor de surgimiento de un </w:t>
      </w:r>
      <w:r>
        <w:rPr>
          <w:color w:val="231F20"/>
          <w:w w:val="105"/>
        </w:rPr>
        <w:t>nuevo</w:t>
      </w:r>
      <w:r>
        <w:rPr>
          <w:color w:val="231F20"/>
          <w:spacing w:val="-28"/>
          <w:w w:val="105"/>
        </w:rPr>
        <w:t> </w:t>
      </w:r>
      <w:r>
        <w:rPr>
          <w:color w:val="231F20"/>
          <w:w w:val="105"/>
        </w:rPr>
        <w:t>Kondratiev</w:t>
      </w:r>
      <w:r>
        <w:rPr>
          <w:color w:val="231F20"/>
          <w:spacing w:val="-28"/>
          <w:w w:val="105"/>
        </w:rPr>
        <w:t> </w:t>
      </w:r>
      <w:r>
        <w:rPr>
          <w:color w:val="231F20"/>
          <w:w w:val="105"/>
        </w:rPr>
        <w:t>expansivo</w:t>
      </w:r>
      <w:r>
        <w:rPr>
          <w:color w:val="231F20"/>
          <w:spacing w:val="-28"/>
          <w:w w:val="105"/>
        </w:rPr>
        <w:t> </w:t>
      </w:r>
      <w:r>
        <w:rPr>
          <w:color w:val="231F20"/>
          <w:w w:val="105"/>
        </w:rPr>
        <w:t>(la</w:t>
      </w:r>
      <w:r>
        <w:rPr>
          <w:color w:val="231F20"/>
          <w:spacing w:val="-28"/>
          <w:w w:val="105"/>
        </w:rPr>
        <w:t> </w:t>
      </w:r>
      <w:r>
        <w:rPr>
          <w:color w:val="231F20"/>
          <w:w w:val="105"/>
        </w:rPr>
        <w:t>llamada</w:t>
      </w:r>
      <w:r>
        <w:rPr>
          <w:color w:val="231F20"/>
          <w:spacing w:val="-28"/>
          <w:w w:val="105"/>
        </w:rPr>
        <w:t> </w:t>
      </w:r>
      <w:r>
        <w:rPr>
          <w:i/>
          <w:color w:val="231F20"/>
          <w:w w:val="105"/>
        </w:rPr>
        <w:t>New</w:t>
      </w:r>
      <w:r>
        <w:rPr>
          <w:i/>
          <w:color w:val="231F20"/>
          <w:spacing w:val="-28"/>
          <w:w w:val="105"/>
        </w:rPr>
        <w:t> </w:t>
      </w:r>
      <w:r>
        <w:rPr>
          <w:i/>
          <w:color w:val="231F20"/>
          <w:w w:val="105"/>
        </w:rPr>
        <w:t>Economy</w:t>
      </w:r>
      <w:r>
        <w:rPr>
          <w:color w:val="231F20"/>
          <w:w w:val="105"/>
        </w:rPr>
        <w:t>),</w:t>
      </w:r>
      <w:r>
        <w:rPr>
          <w:color w:val="231F20"/>
          <w:spacing w:val="-28"/>
          <w:w w:val="105"/>
        </w:rPr>
        <w:t> </w:t>
      </w:r>
      <w:r>
        <w:rPr>
          <w:color w:val="231F20"/>
          <w:w w:val="105"/>
        </w:rPr>
        <w:t>cuya</w:t>
      </w:r>
      <w:r>
        <w:rPr>
          <w:color w:val="231F20"/>
          <w:spacing w:val="-28"/>
          <w:w w:val="105"/>
        </w:rPr>
        <w:t> </w:t>
      </w:r>
      <w:r>
        <w:rPr>
          <w:i/>
          <w:color w:val="231F20"/>
          <w:w w:val="105"/>
        </w:rPr>
        <w:t>trayectoria</w:t>
      </w:r>
      <w:r>
        <w:rPr>
          <w:i/>
          <w:color w:val="231F20"/>
          <w:w w:val="90"/>
        </w:rPr>
        <w:t> </w:t>
      </w:r>
      <w:r>
        <w:rPr>
          <w:color w:val="231F20"/>
          <w:w w:val="110"/>
        </w:rPr>
        <w:t>suponía</w:t>
      </w:r>
      <w:r>
        <w:rPr>
          <w:color w:val="231F20"/>
          <w:spacing w:val="-10"/>
          <w:w w:val="110"/>
        </w:rPr>
        <w:t> </w:t>
      </w:r>
      <w:r>
        <w:rPr>
          <w:color w:val="231F20"/>
          <w:w w:val="110"/>
        </w:rPr>
        <w:t>una</w:t>
      </w:r>
      <w:r>
        <w:rPr>
          <w:color w:val="231F20"/>
          <w:spacing w:val="-10"/>
          <w:w w:val="110"/>
        </w:rPr>
        <w:t> </w:t>
      </w:r>
      <w:r>
        <w:rPr>
          <w:color w:val="231F20"/>
          <w:w w:val="110"/>
        </w:rPr>
        <w:t>recuperación</w:t>
      </w:r>
      <w:r>
        <w:rPr>
          <w:color w:val="231F20"/>
          <w:spacing w:val="-10"/>
          <w:w w:val="110"/>
        </w:rPr>
        <w:t> </w:t>
      </w:r>
      <w:r>
        <w:rPr>
          <w:color w:val="231F20"/>
          <w:w w:val="110"/>
        </w:rPr>
        <w:t>del</w:t>
      </w:r>
      <w:r>
        <w:rPr>
          <w:color w:val="231F20"/>
          <w:spacing w:val="-10"/>
          <w:w w:val="110"/>
        </w:rPr>
        <w:t> </w:t>
      </w:r>
      <w:r>
        <w:rPr>
          <w:color w:val="231F20"/>
          <w:w w:val="110"/>
        </w:rPr>
        <w:t>capitalismo</w:t>
      </w:r>
      <w:r>
        <w:rPr>
          <w:color w:val="231F20"/>
          <w:spacing w:val="-10"/>
          <w:w w:val="110"/>
        </w:rPr>
        <w:t> </w:t>
      </w:r>
      <w:r>
        <w:rPr>
          <w:color w:val="231F20"/>
          <w:w w:val="110"/>
        </w:rPr>
        <w:t>mundial</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crisis de</w:t>
      </w:r>
      <w:r>
        <w:rPr>
          <w:color w:val="231F20"/>
          <w:spacing w:val="-12"/>
          <w:w w:val="110"/>
        </w:rPr>
        <w:t> </w:t>
      </w:r>
      <w:r>
        <w:rPr>
          <w:color w:val="231F20"/>
          <w:w w:val="110"/>
        </w:rPr>
        <w:t>1994–1995,</w:t>
      </w:r>
      <w:r>
        <w:rPr>
          <w:color w:val="231F20"/>
          <w:spacing w:val="-12"/>
          <w:w w:val="110"/>
        </w:rPr>
        <w:t> </w:t>
      </w:r>
      <w:r>
        <w:rPr>
          <w:color w:val="231F20"/>
          <w:w w:val="110"/>
        </w:rPr>
        <w:t>cuando</w:t>
      </w:r>
      <w:r>
        <w:rPr>
          <w:color w:val="231F20"/>
          <w:spacing w:val="-12"/>
          <w:w w:val="110"/>
        </w:rPr>
        <w:t> </w:t>
      </w:r>
      <w:r>
        <w:rPr>
          <w:color w:val="231F20"/>
          <w:w w:val="110"/>
        </w:rPr>
        <w:t>despegaría</w:t>
      </w:r>
      <w:r>
        <w:rPr>
          <w:color w:val="231F20"/>
          <w:spacing w:val="-12"/>
          <w:w w:val="110"/>
        </w:rPr>
        <w:t> </w:t>
      </w:r>
      <w:r>
        <w:rPr>
          <w:color w:val="231F20"/>
          <w:w w:val="110"/>
        </w:rPr>
        <w:t>una</w:t>
      </w:r>
      <w:r>
        <w:rPr>
          <w:color w:val="231F20"/>
          <w:spacing w:val="-12"/>
          <w:w w:val="110"/>
        </w:rPr>
        <w:t> </w:t>
      </w:r>
      <w:r>
        <w:rPr>
          <w:color w:val="231F20"/>
          <w:w w:val="110"/>
        </w:rPr>
        <w:t>nueva</w:t>
      </w:r>
      <w:r>
        <w:rPr>
          <w:color w:val="231F20"/>
          <w:spacing w:val="-12"/>
          <w:w w:val="110"/>
        </w:rPr>
        <w:t> </w:t>
      </w:r>
      <w:r>
        <w:rPr>
          <w:color w:val="231F20"/>
          <w:w w:val="110"/>
        </w:rPr>
        <w:t>fase</w:t>
      </w:r>
      <w:r>
        <w:rPr>
          <w:color w:val="231F20"/>
          <w:spacing w:val="-12"/>
          <w:w w:val="110"/>
        </w:rPr>
        <w:t> </w:t>
      </w:r>
      <w:r>
        <w:rPr>
          <w:color w:val="231F20"/>
          <w:w w:val="110"/>
        </w:rPr>
        <w:t>de</w:t>
      </w:r>
      <w:r>
        <w:rPr>
          <w:color w:val="231F20"/>
          <w:spacing w:val="-12"/>
          <w:w w:val="110"/>
        </w:rPr>
        <w:t> </w:t>
      </w:r>
      <w:r>
        <w:rPr>
          <w:color w:val="231F20"/>
          <w:w w:val="110"/>
        </w:rPr>
        <w:t>“ascenso”</w:t>
      </w:r>
      <w:r>
        <w:rPr>
          <w:color w:val="231F20"/>
          <w:spacing w:val="-12"/>
          <w:w w:val="110"/>
        </w:rPr>
        <w:t> </w:t>
      </w:r>
      <w:r>
        <w:rPr>
          <w:color w:val="231F20"/>
          <w:w w:val="110"/>
        </w:rPr>
        <w:t>como suponían algunos analistas. En realidad ocurrió lo contrario: la fase recesiva se prolongó prácticamente hasta la actualidad desde que se originó con la crisis mundial de 1974-1975 y fue regenerada en los años</w:t>
      </w:r>
      <w:r>
        <w:rPr>
          <w:color w:val="231F20"/>
          <w:spacing w:val="-9"/>
          <w:w w:val="110"/>
        </w:rPr>
        <w:t> </w:t>
      </w:r>
      <w:r>
        <w:rPr>
          <w:color w:val="231F20"/>
          <w:w w:val="110"/>
        </w:rPr>
        <w:t>ochenta</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noventa</w:t>
      </w:r>
      <w:r>
        <w:rPr>
          <w:color w:val="231F20"/>
          <w:spacing w:val="-9"/>
          <w:w w:val="110"/>
        </w:rPr>
        <w:t> </w:t>
      </w:r>
      <w:r>
        <w:rPr>
          <w:color w:val="231F20"/>
          <w:w w:val="110"/>
        </w:rPr>
        <w:t>con</w:t>
      </w:r>
      <w:r>
        <w:rPr>
          <w:color w:val="231F20"/>
          <w:spacing w:val="-9"/>
          <w:w w:val="110"/>
        </w:rPr>
        <w:t> </w:t>
      </w:r>
      <w:r>
        <w:rPr>
          <w:color w:val="231F20"/>
          <w:w w:val="110"/>
        </w:rPr>
        <w:t>las</w:t>
      </w:r>
      <w:r>
        <w:rPr>
          <w:color w:val="231F20"/>
          <w:spacing w:val="-9"/>
          <w:w w:val="110"/>
        </w:rPr>
        <w:t> </w:t>
      </w:r>
      <w:r>
        <w:rPr>
          <w:color w:val="231F20"/>
          <w:w w:val="110"/>
        </w:rPr>
        <w:t>políticas</w:t>
      </w:r>
      <w:r>
        <w:rPr>
          <w:color w:val="231F20"/>
          <w:spacing w:val="-9"/>
          <w:w w:val="110"/>
        </w:rPr>
        <w:t> </w:t>
      </w:r>
      <w:r>
        <w:rPr>
          <w:color w:val="231F20"/>
          <w:w w:val="110"/>
        </w:rPr>
        <w:t>liberales</w:t>
      </w:r>
      <w:r>
        <w:rPr>
          <w:color w:val="231F20"/>
          <w:spacing w:val="-9"/>
          <w:w w:val="110"/>
        </w:rPr>
        <w:t> </w:t>
      </w:r>
      <w:r>
        <w:rPr>
          <w:color w:val="231F20"/>
          <w:w w:val="110"/>
        </w:rPr>
        <w:t>y</w:t>
      </w:r>
      <w:r>
        <w:rPr>
          <w:color w:val="231F20"/>
          <w:spacing w:val="-9"/>
          <w:w w:val="110"/>
        </w:rPr>
        <w:t> </w:t>
      </w:r>
      <w:r>
        <w:rPr>
          <w:color w:val="231F20"/>
          <w:w w:val="110"/>
        </w:rPr>
        <w:t>mercantilistas del gran capital y del Estado neoliberal. Desde entonces, según Xa- vier </w:t>
      </w:r>
      <w:r>
        <w:rPr>
          <w:color w:val="231F20"/>
          <w:spacing w:val="-3"/>
          <w:w w:val="110"/>
        </w:rPr>
        <w:t>Vence </w:t>
      </w:r>
      <w:r>
        <w:rPr>
          <w:color w:val="231F20"/>
          <w:w w:val="110"/>
        </w:rPr>
        <w:t>(2008: 20), se puede apreciar el declive de la economía mundial a partir de mediados de los años ochenta cuando la tasa    de crecimiento económico promedió la mitad (1.6% al año) de lo que fue en los treinta años posteriores a la segunda guerra mundial (de 3% anual). Por eso no es de extrañar que hoy las principales economías del planeta con muchísimas dificultades logren superar en un dígito sus tasas de crecimiento como se puede observar en el cuadro</w:t>
      </w:r>
      <w:r>
        <w:rPr>
          <w:color w:val="231F20"/>
          <w:spacing w:val="14"/>
          <w:w w:val="110"/>
        </w:rPr>
        <w:t> </w:t>
      </w:r>
      <w:r>
        <w:rPr>
          <w:color w:val="231F20"/>
          <w:w w:val="110"/>
        </w:rPr>
        <w:t>1.</w:t>
      </w:r>
    </w:p>
    <w:p>
      <w:pPr>
        <w:pStyle w:val="BodyText"/>
        <w:spacing w:line="261" w:lineRule="auto"/>
        <w:ind w:left="100" w:right="117" w:firstLine="240"/>
        <w:jc w:val="both"/>
      </w:pPr>
      <w:r>
        <w:rPr>
          <w:color w:val="231F20"/>
        </w:rPr>
        <w:t>Y </w:t>
      </w:r>
      <w:r>
        <w:rPr>
          <w:color w:val="231F20"/>
          <w:w w:val="110"/>
        </w:rPr>
        <w:t>no se diga ya del comportamiento de la segunda economía más importante del planeta, Japón, que durante 2008 decreció menos 3.2%,</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último</w:t>
      </w:r>
      <w:r>
        <w:rPr>
          <w:color w:val="231F20"/>
          <w:spacing w:val="-12"/>
          <w:w w:val="110"/>
        </w:rPr>
        <w:t> </w:t>
      </w:r>
      <w:r>
        <w:rPr>
          <w:color w:val="231F20"/>
          <w:w w:val="110"/>
        </w:rPr>
        <w:t>trimestre</w:t>
      </w:r>
      <w:r>
        <w:rPr>
          <w:color w:val="231F20"/>
          <w:spacing w:val="-12"/>
          <w:w w:val="110"/>
        </w:rPr>
        <w:t> </w:t>
      </w:r>
      <w:r>
        <w:rPr>
          <w:color w:val="231F20"/>
          <w:w w:val="110"/>
        </w:rPr>
        <w:t>de</w:t>
      </w:r>
      <w:r>
        <w:rPr>
          <w:color w:val="231F20"/>
          <w:spacing w:val="-12"/>
          <w:w w:val="110"/>
        </w:rPr>
        <w:t> </w:t>
      </w:r>
      <w:r>
        <w:rPr>
          <w:color w:val="231F20"/>
          <w:w w:val="110"/>
        </w:rPr>
        <w:t>ese</w:t>
      </w:r>
      <w:r>
        <w:rPr>
          <w:color w:val="231F20"/>
          <w:spacing w:val="-12"/>
          <w:w w:val="110"/>
        </w:rPr>
        <w:t> </w:t>
      </w:r>
      <w:r>
        <w:rPr>
          <w:color w:val="231F20"/>
          <w:w w:val="110"/>
        </w:rPr>
        <w:t>año</w:t>
      </w:r>
      <w:r>
        <w:rPr>
          <w:color w:val="231F20"/>
          <w:spacing w:val="-12"/>
          <w:w w:val="110"/>
        </w:rPr>
        <w:t> </w:t>
      </w:r>
      <w:r>
        <w:rPr>
          <w:color w:val="231F20"/>
          <w:w w:val="110"/>
        </w:rPr>
        <w:t>se</w:t>
      </w:r>
      <w:r>
        <w:rPr>
          <w:color w:val="231F20"/>
          <w:spacing w:val="-12"/>
          <w:w w:val="110"/>
        </w:rPr>
        <w:t> </w:t>
      </w:r>
      <w:r>
        <w:rPr>
          <w:color w:val="231F20"/>
          <w:w w:val="110"/>
        </w:rPr>
        <w:t>desplomó</w:t>
      </w:r>
      <w:r>
        <w:rPr>
          <w:color w:val="231F20"/>
          <w:spacing w:val="-12"/>
          <w:w w:val="110"/>
        </w:rPr>
        <w:t> </w:t>
      </w:r>
      <w:r>
        <w:rPr>
          <w:color w:val="231F20"/>
          <w:w w:val="110"/>
        </w:rPr>
        <w:t>estrepitosamente al arrojar un saldo negativo de su pib a</w:t>
      </w:r>
      <w:r>
        <w:rPr>
          <w:color w:val="231F20"/>
          <w:spacing w:val="32"/>
          <w:w w:val="110"/>
        </w:rPr>
        <w:t> </w:t>
      </w:r>
      <w:r>
        <w:rPr>
          <w:color w:val="231F20"/>
          <w:w w:val="110"/>
        </w:rPr>
        <w:t>–12.7%.</w:t>
      </w:r>
    </w:p>
    <w:p>
      <w:pPr>
        <w:spacing w:after="0" w:line="261" w:lineRule="auto"/>
        <w:jc w:val="both"/>
        <w:sectPr>
          <w:pgSz w:w="7640" w:h="11900"/>
          <w:pgMar w:header="672" w:footer="0" w:top="860" w:bottom="280" w:left="660" w:right="760"/>
        </w:sectPr>
      </w:pPr>
    </w:p>
    <w:p>
      <w:pPr>
        <w:pStyle w:val="BodyText"/>
        <w:spacing w:before="9"/>
        <w:rPr>
          <w:sz w:val="8"/>
        </w:rPr>
      </w:pPr>
    </w:p>
    <w:p>
      <w:pPr>
        <w:spacing w:after="0"/>
        <w:rPr>
          <w:sz w:val="8"/>
        </w:rPr>
        <w:sectPr>
          <w:pgSz w:w="7640" w:h="11900"/>
          <w:pgMar w:header="672" w:footer="0" w:top="860" w:bottom="280" w:left="760" w:right="640"/>
        </w:sectPr>
      </w:pPr>
    </w:p>
    <w:p>
      <w:pPr>
        <w:spacing w:before="70"/>
        <w:ind w:left="120" w:right="-14" w:firstLine="0"/>
        <w:jc w:val="left"/>
        <w:rPr>
          <w:sz w:val="18"/>
        </w:rPr>
      </w:pPr>
      <w:r>
        <w:rPr/>
        <w:pict>
          <v:group style="position:absolute;margin-left:43.950001pt;margin-top:15.902369pt;width:300.1pt;height:.5pt;mso-position-horizontal-relative:page;mso-position-vertical-relative:paragraph;z-index:4000" coordorigin="879,318" coordsize="6002,10">
            <v:line style="position:absolute" from="884,323" to="2076,323" stroked="true" strokeweight=".5pt" strokecolor="#231f20"/>
            <v:line style="position:absolute" from="2076,323" to="2776,323" stroked="true" strokeweight=".5pt" strokecolor="#231f20"/>
            <v:line style="position:absolute" from="2776,323" to="3476,323" stroked="true" strokeweight=".5pt" strokecolor="#231f20"/>
            <v:line style="position:absolute" from="3476,323" to="4176,323" stroked="true" strokeweight=".5pt" strokecolor="#231f20"/>
            <v:line style="position:absolute" from="4176,323" to="4876,323" stroked="true" strokeweight=".5pt" strokecolor="#231f20"/>
            <v:line style="position:absolute" from="4876,323" to="5876,323" stroked="true" strokeweight=".5pt" strokecolor="#231f20"/>
            <v:line style="position:absolute" from="5876,323" to="6876,323" stroked="true" strokeweight=".5pt" strokecolor="#231f20"/>
            <w10:wrap type="none"/>
          </v:group>
        </w:pict>
      </w:r>
      <w:r>
        <w:rPr>
          <w:color w:val="231F20"/>
          <w:w w:val="125"/>
          <w:sz w:val="18"/>
        </w:rPr>
        <w:t>cuadro 1. europa. crecimiento real del</w:t>
      </w:r>
      <w:r>
        <w:rPr>
          <w:color w:val="231F20"/>
          <w:spacing w:val="-21"/>
          <w:w w:val="125"/>
          <w:sz w:val="18"/>
        </w:rPr>
        <w:t> </w:t>
      </w:r>
      <w:r>
        <w:rPr>
          <w:color w:val="231F20"/>
          <w:w w:val="125"/>
          <w:sz w:val="18"/>
        </w:rPr>
        <w:t>pib</w:t>
      </w:r>
    </w:p>
    <w:p>
      <w:pPr>
        <w:pStyle w:val="BodyText"/>
        <w:rPr>
          <w:sz w:val="16"/>
        </w:rPr>
      </w:pPr>
      <w:r>
        <w:rPr/>
        <w:br w:type="column"/>
      </w:r>
      <w:r>
        <w:rPr>
          <w:sz w:val="16"/>
        </w:rPr>
      </w:r>
    </w:p>
    <w:p>
      <w:pPr>
        <w:pStyle w:val="BodyText"/>
        <w:spacing w:before="10"/>
        <w:rPr>
          <w:sz w:val="19"/>
        </w:rPr>
      </w:pPr>
    </w:p>
    <w:p>
      <w:pPr>
        <w:spacing w:before="0"/>
        <w:ind w:left="120" w:right="-11" w:firstLine="0"/>
        <w:jc w:val="left"/>
        <w:rPr>
          <w:sz w:val="16"/>
        </w:rPr>
      </w:pPr>
      <w:r>
        <w:rPr/>
        <w:pict>
          <v:shape style="position:absolute;margin-left:44.200001pt;margin-top:5.820147pt;width:299.6pt;height:134.25pt;mso-position-horizontal-relative:page;mso-position-vertical-relative:paragraph;z-index:40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9"/>
                    <w:gridCol w:w="563"/>
                    <w:gridCol w:w="700"/>
                    <w:gridCol w:w="700"/>
                    <w:gridCol w:w="563"/>
                    <w:gridCol w:w="1146"/>
                    <w:gridCol w:w="991"/>
                  </w:tblGrid>
                  <w:tr>
                    <w:trPr>
                      <w:trHeight w:val="215" w:hRule="exact"/>
                    </w:trPr>
                    <w:tc>
                      <w:tcPr>
                        <w:tcW w:w="1892" w:type="dxa"/>
                        <w:gridSpan w:val="2"/>
                      </w:tcPr>
                      <w:p>
                        <w:pPr>
                          <w:pStyle w:val="TableParagraph"/>
                          <w:tabs>
                            <w:tab w:pos="1364" w:val="left" w:leader="none"/>
                          </w:tabs>
                          <w:spacing w:line="248" w:lineRule="exact"/>
                          <w:ind w:left="375"/>
                          <w:rPr>
                            <w:sz w:val="16"/>
                          </w:rPr>
                        </w:pPr>
                        <w:r>
                          <w:rPr>
                            <w:color w:val="231F20"/>
                            <w:w w:val="115"/>
                            <w:sz w:val="16"/>
                          </w:rPr>
                          <w:t>países</w:t>
                          <w:tab/>
                        </w:r>
                        <w:r>
                          <w:rPr>
                            <w:color w:val="231F20"/>
                            <w:w w:val="115"/>
                            <w:position w:val="9"/>
                            <w:sz w:val="16"/>
                          </w:rPr>
                          <w:t>2008</w:t>
                        </w:r>
                      </w:p>
                    </w:tc>
                    <w:tc>
                      <w:tcPr>
                        <w:tcW w:w="700" w:type="dxa"/>
                      </w:tcPr>
                      <w:p>
                        <w:pPr>
                          <w:pStyle w:val="TableParagraph"/>
                          <w:spacing w:line="158" w:lineRule="exact"/>
                          <w:ind w:left="154" w:right="154"/>
                          <w:jc w:val="center"/>
                          <w:rPr>
                            <w:sz w:val="16"/>
                          </w:rPr>
                        </w:pPr>
                        <w:r>
                          <w:rPr>
                            <w:color w:val="231F20"/>
                            <w:w w:val="110"/>
                            <w:sz w:val="16"/>
                          </w:rPr>
                          <w:t>2008</w:t>
                        </w:r>
                      </w:p>
                    </w:tc>
                    <w:tc>
                      <w:tcPr>
                        <w:tcW w:w="700" w:type="dxa"/>
                      </w:tcPr>
                      <w:p>
                        <w:pPr>
                          <w:pStyle w:val="TableParagraph"/>
                          <w:spacing w:line="158" w:lineRule="exact"/>
                          <w:ind w:left="172"/>
                          <w:rPr>
                            <w:sz w:val="16"/>
                          </w:rPr>
                        </w:pPr>
                        <w:r>
                          <w:rPr>
                            <w:color w:val="231F20"/>
                            <w:w w:val="110"/>
                            <w:sz w:val="16"/>
                          </w:rPr>
                          <w:t>2008</w:t>
                        </w:r>
                      </w:p>
                    </w:tc>
                    <w:tc>
                      <w:tcPr>
                        <w:tcW w:w="2700" w:type="dxa"/>
                        <w:gridSpan w:val="3"/>
                      </w:tcPr>
                      <w:p>
                        <w:pPr>
                          <w:pStyle w:val="TableParagraph"/>
                          <w:tabs>
                            <w:tab w:pos="861" w:val="left" w:leader="none"/>
                            <w:tab w:pos="1861" w:val="left" w:leader="none"/>
                          </w:tabs>
                          <w:spacing w:line="248" w:lineRule="exact"/>
                          <w:ind w:left="172"/>
                          <w:rPr>
                            <w:sz w:val="16"/>
                          </w:rPr>
                        </w:pPr>
                        <w:r>
                          <w:rPr>
                            <w:color w:val="231F20"/>
                            <w:w w:val="125"/>
                            <w:position w:val="9"/>
                            <w:sz w:val="16"/>
                          </w:rPr>
                          <w:t>2008</w:t>
                          <w:tab/>
                        </w:r>
                        <w:r>
                          <w:rPr>
                            <w:color w:val="231F20"/>
                            <w:w w:val="125"/>
                            <w:sz w:val="16"/>
                          </w:rPr>
                          <w:t>forecast</w:t>
                          <w:tab/>
                          <w:t>forecast</w:t>
                        </w:r>
                      </w:p>
                    </w:tc>
                  </w:tr>
                  <w:tr>
                    <w:trPr>
                      <w:trHeight w:val="300" w:hRule="exact"/>
                    </w:trPr>
                    <w:tc>
                      <w:tcPr>
                        <w:tcW w:w="1329" w:type="dxa"/>
                        <w:tcBorders>
                          <w:bottom w:val="single" w:sz="4" w:space="0" w:color="231F20"/>
                        </w:tcBorders>
                      </w:tcPr>
                      <w:p>
                        <w:pPr/>
                      </w:p>
                    </w:tc>
                    <w:tc>
                      <w:tcPr>
                        <w:tcW w:w="563" w:type="dxa"/>
                        <w:tcBorders>
                          <w:bottom w:val="single" w:sz="4" w:space="0" w:color="231F20"/>
                        </w:tcBorders>
                      </w:tcPr>
                      <w:p>
                        <w:pPr>
                          <w:pStyle w:val="TableParagraph"/>
                          <w:spacing w:line="123" w:lineRule="exact"/>
                          <w:ind w:left="168"/>
                          <w:rPr>
                            <w:sz w:val="16"/>
                          </w:rPr>
                        </w:pPr>
                        <w:r>
                          <w:rPr>
                            <w:color w:val="231F20"/>
                            <w:w w:val="111"/>
                            <w:sz w:val="16"/>
                          </w:rPr>
                          <w:t>1</w:t>
                        </w:r>
                      </w:p>
                    </w:tc>
                    <w:tc>
                      <w:tcPr>
                        <w:tcW w:w="700" w:type="dxa"/>
                        <w:tcBorders>
                          <w:bottom w:val="single" w:sz="4" w:space="0" w:color="231F20"/>
                        </w:tcBorders>
                      </w:tcPr>
                      <w:p>
                        <w:pPr>
                          <w:pStyle w:val="TableParagraph"/>
                          <w:spacing w:line="123" w:lineRule="exact"/>
                          <w:jc w:val="center"/>
                          <w:rPr>
                            <w:sz w:val="16"/>
                          </w:rPr>
                        </w:pPr>
                        <w:r>
                          <w:rPr>
                            <w:color w:val="231F20"/>
                            <w:w w:val="111"/>
                            <w:sz w:val="16"/>
                          </w:rPr>
                          <w:t>2</w:t>
                        </w:r>
                      </w:p>
                    </w:tc>
                    <w:tc>
                      <w:tcPr>
                        <w:tcW w:w="700" w:type="dxa"/>
                        <w:tcBorders>
                          <w:bottom w:val="single" w:sz="4" w:space="0" w:color="231F20"/>
                        </w:tcBorders>
                      </w:tcPr>
                      <w:p>
                        <w:pPr>
                          <w:pStyle w:val="TableParagraph"/>
                          <w:spacing w:line="123" w:lineRule="exact"/>
                          <w:jc w:val="center"/>
                          <w:rPr>
                            <w:sz w:val="16"/>
                          </w:rPr>
                        </w:pPr>
                        <w:r>
                          <w:rPr>
                            <w:color w:val="231F20"/>
                            <w:w w:val="111"/>
                            <w:sz w:val="16"/>
                          </w:rPr>
                          <w:t>3</w:t>
                        </w:r>
                      </w:p>
                    </w:tc>
                    <w:tc>
                      <w:tcPr>
                        <w:tcW w:w="563" w:type="dxa"/>
                        <w:tcBorders>
                          <w:bottom w:val="single" w:sz="4" w:space="0" w:color="231F20"/>
                        </w:tcBorders>
                      </w:tcPr>
                      <w:p>
                        <w:pPr>
                          <w:pStyle w:val="TableParagraph"/>
                          <w:spacing w:line="123" w:lineRule="exact"/>
                          <w:ind w:left="137"/>
                          <w:jc w:val="center"/>
                          <w:rPr>
                            <w:sz w:val="16"/>
                          </w:rPr>
                        </w:pPr>
                        <w:r>
                          <w:rPr>
                            <w:color w:val="231F20"/>
                            <w:w w:val="111"/>
                            <w:sz w:val="16"/>
                          </w:rPr>
                          <w:t>4</w:t>
                        </w:r>
                      </w:p>
                    </w:tc>
                    <w:tc>
                      <w:tcPr>
                        <w:tcW w:w="1146" w:type="dxa"/>
                        <w:tcBorders>
                          <w:bottom w:val="single" w:sz="4" w:space="0" w:color="231F20"/>
                        </w:tcBorders>
                      </w:tcPr>
                      <w:p>
                        <w:pPr>
                          <w:pStyle w:val="TableParagraph"/>
                          <w:spacing w:before="28"/>
                          <w:ind w:left="254" w:right="126"/>
                          <w:jc w:val="center"/>
                          <w:rPr>
                            <w:sz w:val="16"/>
                          </w:rPr>
                        </w:pPr>
                        <w:r>
                          <w:rPr>
                            <w:color w:val="231F20"/>
                            <w:w w:val="120"/>
                            <w:sz w:val="16"/>
                          </w:rPr>
                          <w:t>abr. 2008</w:t>
                        </w:r>
                      </w:p>
                    </w:tc>
                    <w:tc>
                      <w:tcPr>
                        <w:tcW w:w="991" w:type="dxa"/>
                        <w:tcBorders>
                          <w:bottom w:val="single" w:sz="4" w:space="0" w:color="231F20"/>
                        </w:tcBorders>
                      </w:tcPr>
                      <w:p>
                        <w:pPr>
                          <w:pStyle w:val="TableParagraph"/>
                          <w:spacing w:before="28"/>
                          <w:ind w:left="135" w:right="141"/>
                          <w:jc w:val="center"/>
                          <w:rPr>
                            <w:sz w:val="16"/>
                          </w:rPr>
                        </w:pPr>
                        <w:r>
                          <w:rPr>
                            <w:color w:val="231F20"/>
                            <w:w w:val="110"/>
                            <w:sz w:val="16"/>
                          </w:rPr>
                          <w:t>sep. 2008</w:t>
                        </w:r>
                      </w:p>
                    </w:tc>
                  </w:tr>
                  <w:tr>
                    <w:trPr>
                      <w:trHeight w:val="255" w:hRule="exact"/>
                    </w:trPr>
                    <w:tc>
                      <w:tcPr>
                        <w:tcW w:w="1329" w:type="dxa"/>
                        <w:tcBorders>
                          <w:top w:val="single" w:sz="4" w:space="0" w:color="231F20"/>
                        </w:tcBorders>
                      </w:tcPr>
                      <w:p>
                        <w:pPr>
                          <w:pStyle w:val="TableParagraph"/>
                          <w:spacing w:before="24"/>
                          <w:ind w:left="40"/>
                          <w:rPr>
                            <w:sz w:val="16"/>
                          </w:rPr>
                        </w:pPr>
                        <w:r>
                          <w:rPr>
                            <w:color w:val="231F20"/>
                            <w:w w:val="105"/>
                            <w:sz w:val="16"/>
                          </w:rPr>
                          <w:t>Alemania</w:t>
                        </w:r>
                      </w:p>
                    </w:tc>
                    <w:tc>
                      <w:tcPr>
                        <w:tcW w:w="563" w:type="dxa"/>
                        <w:tcBorders>
                          <w:top w:val="single" w:sz="4" w:space="0" w:color="231F20"/>
                        </w:tcBorders>
                      </w:tcPr>
                      <w:p>
                        <w:pPr>
                          <w:pStyle w:val="TableParagraph"/>
                          <w:spacing w:before="24"/>
                          <w:ind w:left="108"/>
                          <w:rPr>
                            <w:sz w:val="16"/>
                          </w:rPr>
                        </w:pPr>
                        <w:r>
                          <w:rPr>
                            <w:color w:val="231F20"/>
                            <w:w w:val="105"/>
                            <w:sz w:val="16"/>
                          </w:rPr>
                          <w:t>1.3</w:t>
                        </w:r>
                      </w:p>
                    </w:tc>
                    <w:tc>
                      <w:tcPr>
                        <w:tcW w:w="700" w:type="dxa"/>
                        <w:tcBorders>
                          <w:top w:val="single" w:sz="4" w:space="0" w:color="231F20"/>
                        </w:tcBorders>
                      </w:tcPr>
                      <w:p>
                        <w:pPr>
                          <w:pStyle w:val="TableParagraph"/>
                          <w:spacing w:before="24"/>
                          <w:ind w:left="154" w:right="154"/>
                          <w:jc w:val="center"/>
                          <w:rPr>
                            <w:sz w:val="16"/>
                          </w:rPr>
                        </w:pPr>
                        <w:r>
                          <w:rPr>
                            <w:color w:val="231F20"/>
                            <w:w w:val="105"/>
                            <w:sz w:val="16"/>
                          </w:rPr>
                          <w:t>–0.5</w:t>
                        </w:r>
                      </w:p>
                    </w:tc>
                    <w:tc>
                      <w:tcPr>
                        <w:tcW w:w="700" w:type="dxa"/>
                        <w:tcBorders>
                          <w:top w:val="single" w:sz="4" w:space="0" w:color="231F20"/>
                        </w:tcBorders>
                      </w:tcPr>
                      <w:p>
                        <w:pPr>
                          <w:pStyle w:val="TableParagraph"/>
                          <w:spacing w:before="24"/>
                          <w:ind w:left="206"/>
                          <w:rPr>
                            <w:sz w:val="16"/>
                          </w:rPr>
                        </w:pPr>
                        <w:r>
                          <w:rPr>
                            <w:color w:val="231F20"/>
                            <w:w w:val="105"/>
                            <w:sz w:val="16"/>
                          </w:rPr>
                          <w:t>–0.2</w:t>
                        </w:r>
                      </w:p>
                    </w:tc>
                    <w:tc>
                      <w:tcPr>
                        <w:tcW w:w="563" w:type="dxa"/>
                        <w:tcBorders>
                          <w:top w:val="single" w:sz="4" w:space="0" w:color="231F20"/>
                        </w:tcBorders>
                      </w:tcPr>
                      <w:p>
                        <w:pPr>
                          <w:pStyle w:val="TableParagraph"/>
                          <w:spacing w:before="24"/>
                          <w:ind w:left="182" w:right="45"/>
                          <w:jc w:val="center"/>
                          <w:rPr>
                            <w:sz w:val="16"/>
                          </w:rPr>
                        </w:pPr>
                        <w:r>
                          <w:rPr>
                            <w:color w:val="231F20"/>
                            <w:w w:val="105"/>
                            <w:sz w:val="16"/>
                          </w:rPr>
                          <w:t>0.2</w:t>
                        </w:r>
                      </w:p>
                    </w:tc>
                    <w:tc>
                      <w:tcPr>
                        <w:tcW w:w="1146" w:type="dxa"/>
                        <w:tcBorders>
                          <w:top w:val="single" w:sz="4" w:space="0" w:color="231F20"/>
                        </w:tcBorders>
                      </w:tcPr>
                      <w:p>
                        <w:pPr>
                          <w:pStyle w:val="TableParagraph"/>
                          <w:spacing w:before="24"/>
                          <w:ind w:left="254" w:right="126"/>
                          <w:jc w:val="center"/>
                          <w:rPr>
                            <w:sz w:val="16"/>
                          </w:rPr>
                        </w:pPr>
                        <w:r>
                          <w:rPr>
                            <w:color w:val="231F20"/>
                            <w:w w:val="105"/>
                            <w:sz w:val="16"/>
                          </w:rPr>
                          <w:t>1.8</w:t>
                        </w:r>
                      </w:p>
                    </w:tc>
                    <w:tc>
                      <w:tcPr>
                        <w:tcW w:w="991" w:type="dxa"/>
                        <w:tcBorders>
                          <w:top w:val="single" w:sz="4" w:space="0" w:color="231F20"/>
                        </w:tcBorders>
                      </w:tcPr>
                      <w:p>
                        <w:pPr>
                          <w:pStyle w:val="TableParagraph"/>
                          <w:spacing w:before="24"/>
                          <w:ind w:left="135" w:right="141"/>
                          <w:jc w:val="center"/>
                          <w:rPr>
                            <w:sz w:val="16"/>
                          </w:rPr>
                        </w:pPr>
                        <w:r>
                          <w:rPr>
                            <w:color w:val="231F20"/>
                            <w:w w:val="105"/>
                            <w:sz w:val="16"/>
                          </w:rPr>
                          <w:t>1.8</w:t>
                        </w:r>
                      </w:p>
                    </w:tc>
                  </w:tr>
                  <w:tr>
                    <w:trPr>
                      <w:trHeight w:val="240" w:hRule="exact"/>
                    </w:trPr>
                    <w:tc>
                      <w:tcPr>
                        <w:tcW w:w="1329" w:type="dxa"/>
                      </w:tcPr>
                      <w:p>
                        <w:pPr>
                          <w:pStyle w:val="TableParagraph"/>
                          <w:spacing w:before="13"/>
                          <w:ind w:left="40"/>
                          <w:rPr>
                            <w:sz w:val="16"/>
                          </w:rPr>
                        </w:pPr>
                        <w:r>
                          <w:rPr>
                            <w:color w:val="231F20"/>
                            <w:w w:val="110"/>
                            <w:sz w:val="16"/>
                          </w:rPr>
                          <w:t>España</w:t>
                        </w:r>
                      </w:p>
                    </w:tc>
                    <w:tc>
                      <w:tcPr>
                        <w:tcW w:w="563" w:type="dxa"/>
                      </w:tcPr>
                      <w:p>
                        <w:pPr>
                          <w:pStyle w:val="TableParagraph"/>
                          <w:spacing w:before="13"/>
                          <w:ind w:left="108"/>
                          <w:rPr>
                            <w:sz w:val="16"/>
                          </w:rPr>
                        </w:pPr>
                        <w:r>
                          <w:rPr>
                            <w:color w:val="231F20"/>
                            <w:w w:val="105"/>
                            <w:sz w:val="16"/>
                          </w:rPr>
                          <w:t>0.3</w:t>
                        </w:r>
                      </w:p>
                    </w:tc>
                    <w:tc>
                      <w:tcPr>
                        <w:tcW w:w="700" w:type="dxa"/>
                      </w:tcPr>
                      <w:p>
                        <w:pPr>
                          <w:pStyle w:val="TableParagraph"/>
                          <w:spacing w:before="13"/>
                          <w:ind w:left="154" w:right="154"/>
                          <w:jc w:val="center"/>
                          <w:rPr>
                            <w:sz w:val="16"/>
                          </w:rPr>
                        </w:pPr>
                        <w:r>
                          <w:rPr>
                            <w:color w:val="231F20"/>
                            <w:w w:val="105"/>
                            <w:sz w:val="16"/>
                          </w:rPr>
                          <w:t>0.1</w:t>
                        </w:r>
                      </w:p>
                    </w:tc>
                    <w:tc>
                      <w:tcPr>
                        <w:tcW w:w="700" w:type="dxa"/>
                      </w:tcPr>
                      <w:p>
                        <w:pPr>
                          <w:pStyle w:val="TableParagraph"/>
                          <w:spacing w:before="13"/>
                          <w:ind w:left="206"/>
                          <w:rPr>
                            <w:sz w:val="16"/>
                          </w:rPr>
                        </w:pPr>
                        <w:r>
                          <w:rPr>
                            <w:color w:val="231F20"/>
                            <w:w w:val="105"/>
                            <w:sz w:val="16"/>
                          </w:rPr>
                          <w:t>–0.1</w:t>
                        </w:r>
                      </w:p>
                    </w:tc>
                    <w:tc>
                      <w:tcPr>
                        <w:tcW w:w="563" w:type="dxa"/>
                      </w:tcPr>
                      <w:p>
                        <w:pPr>
                          <w:pStyle w:val="TableParagraph"/>
                          <w:spacing w:before="13"/>
                          <w:ind w:left="182" w:right="45"/>
                          <w:jc w:val="center"/>
                          <w:rPr>
                            <w:sz w:val="16"/>
                          </w:rPr>
                        </w:pPr>
                        <w:r>
                          <w:rPr>
                            <w:color w:val="231F20"/>
                            <w:w w:val="105"/>
                            <w:sz w:val="16"/>
                          </w:rPr>
                          <w:t>–0.3</w:t>
                        </w:r>
                      </w:p>
                    </w:tc>
                    <w:tc>
                      <w:tcPr>
                        <w:tcW w:w="1146" w:type="dxa"/>
                      </w:tcPr>
                      <w:p>
                        <w:pPr>
                          <w:pStyle w:val="TableParagraph"/>
                          <w:spacing w:before="13"/>
                          <w:ind w:left="254" w:right="126"/>
                          <w:jc w:val="center"/>
                          <w:rPr>
                            <w:sz w:val="16"/>
                          </w:rPr>
                        </w:pPr>
                        <w:r>
                          <w:rPr>
                            <w:color w:val="231F20"/>
                            <w:w w:val="105"/>
                            <w:sz w:val="16"/>
                          </w:rPr>
                          <w:t>2.2</w:t>
                        </w:r>
                      </w:p>
                    </w:tc>
                    <w:tc>
                      <w:tcPr>
                        <w:tcW w:w="991" w:type="dxa"/>
                      </w:tcPr>
                      <w:p>
                        <w:pPr>
                          <w:pStyle w:val="TableParagraph"/>
                          <w:spacing w:before="13"/>
                          <w:ind w:left="135" w:right="141"/>
                          <w:jc w:val="center"/>
                          <w:rPr>
                            <w:sz w:val="16"/>
                          </w:rPr>
                        </w:pPr>
                        <w:r>
                          <w:rPr>
                            <w:color w:val="231F20"/>
                            <w:w w:val="105"/>
                            <w:sz w:val="16"/>
                          </w:rPr>
                          <w:t>1.4</w:t>
                        </w:r>
                      </w:p>
                    </w:tc>
                  </w:tr>
                  <w:tr>
                    <w:trPr>
                      <w:trHeight w:val="240" w:hRule="exact"/>
                    </w:trPr>
                    <w:tc>
                      <w:tcPr>
                        <w:tcW w:w="1329" w:type="dxa"/>
                      </w:tcPr>
                      <w:p>
                        <w:pPr>
                          <w:pStyle w:val="TableParagraph"/>
                          <w:spacing w:before="13"/>
                          <w:ind w:left="40"/>
                          <w:rPr>
                            <w:sz w:val="16"/>
                          </w:rPr>
                        </w:pPr>
                        <w:r>
                          <w:rPr>
                            <w:color w:val="231F20"/>
                            <w:w w:val="105"/>
                            <w:sz w:val="16"/>
                          </w:rPr>
                          <w:t>Italia</w:t>
                        </w:r>
                      </w:p>
                    </w:tc>
                    <w:tc>
                      <w:tcPr>
                        <w:tcW w:w="563" w:type="dxa"/>
                      </w:tcPr>
                      <w:p>
                        <w:pPr>
                          <w:pStyle w:val="TableParagraph"/>
                          <w:spacing w:before="13"/>
                          <w:ind w:left="108"/>
                          <w:rPr>
                            <w:sz w:val="16"/>
                          </w:rPr>
                        </w:pPr>
                        <w:r>
                          <w:rPr>
                            <w:color w:val="231F20"/>
                            <w:w w:val="105"/>
                            <w:sz w:val="16"/>
                          </w:rPr>
                          <w:t>0.5</w:t>
                        </w:r>
                      </w:p>
                    </w:tc>
                    <w:tc>
                      <w:tcPr>
                        <w:tcW w:w="700" w:type="dxa"/>
                      </w:tcPr>
                      <w:p>
                        <w:pPr>
                          <w:pStyle w:val="TableParagraph"/>
                          <w:spacing w:before="13"/>
                          <w:ind w:left="154" w:right="154"/>
                          <w:jc w:val="center"/>
                          <w:rPr>
                            <w:sz w:val="16"/>
                          </w:rPr>
                        </w:pPr>
                        <w:r>
                          <w:rPr>
                            <w:color w:val="231F20"/>
                            <w:w w:val="105"/>
                            <w:sz w:val="16"/>
                          </w:rPr>
                          <w:t>–0.3</w:t>
                        </w:r>
                      </w:p>
                    </w:tc>
                    <w:tc>
                      <w:tcPr>
                        <w:tcW w:w="700" w:type="dxa"/>
                      </w:tcPr>
                      <w:p>
                        <w:pPr>
                          <w:pStyle w:val="TableParagraph"/>
                          <w:spacing w:before="13"/>
                          <w:ind w:left="246"/>
                          <w:rPr>
                            <w:sz w:val="16"/>
                          </w:rPr>
                        </w:pPr>
                        <w:r>
                          <w:rPr>
                            <w:color w:val="231F20"/>
                            <w:w w:val="105"/>
                            <w:sz w:val="16"/>
                          </w:rPr>
                          <w:t>0.0</w:t>
                        </w:r>
                      </w:p>
                    </w:tc>
                    <w:tc>
                      <w:tcPr>
                        <w:tcW w:w="563" w:type="dxa"/>
                      </w:tcPr>
                      <w:p>
                        <w:pPr>
                          <w:pStyle w:val="TableParagraph"/>
                          <w:spacing w:before="13"/>
                          <w:ind w:left="182" w:right="45"/>
                          <w:jc w:val="center"/>
                          <w:rPr>
                            <w:sz w:val="16"/>
                          </w:rPr>
                        </w:pPr>
                        <w:r>
                          <w:rPr>
                            <w:color w:val="231F20"/>
                            <w:w w:val="105"/>
                            <w:sz w:val="16"/>
                          </w:rPr>
                          <w:t>0.1</w:t>
                        </w:r>
                      </w:p>
                    </w:tc>
                    <w:tc>
                      <w:tcPr>
                        <w:tcW w:w="1146" w:type="dxa"/>
                      </w:tcPr>
                      <w:p>
                        <w:pPr>
                          <w:pStyle w:val="TableParagraph"/>
                          <w:spacing w:before="13"/>
                          <w:ind w:left="254" w:right="126"/>
                          <w:jc w:val="center"/>
                          <w:rPr>
                            <w:sz w:val="16"/>
                          </w:rPr>
                        </w:pPr>
                        <w:r>
                          <w:rPr>
                            <w:color w:val="231F20"/>
                            <w:w w:val="105"/>
                            <w:sz w:val="16"/>
                          </w:rPr>
                          <w:t>0.5</w:t>
                        </w:r>
                      </w:p>
                    </w:tc>
                    <w:tc>
                      <w:tcPr>
                        <w:tcW w:w="991" w:type="dxa"/>
                      </w:tcPr>
                      <w:p>
                        <w:pPr>
                          <w:pStyle w:val="TableParagraph"/>
                          <w:spacing w:before="13"/>
                          <w:ind w:left="135" w:right="141"/>
                          <w:jc w:val="center"/>
                          <w:rPr>
                            <w:sz w:val="16"/>
                          </w:rPr>
                        </w:pPr>
                        <w:r>
                          <w:rPr>
                            <w:color w:val="231F20"/>
                            <w:w w:val="105"/>
                            <w:sz w:val="16"/>
                          </w:rPr>
                          <w:t>0.1</w:t>
                        </w:r>
                      </w:p>
                    </w:tc>
                  </w:tr>
                  <w:tr>
                    <w:trPr>
                      <w:trHeight w:val="240" w:hRule="exact"/>
                    </w:trPr>
                    <w:tc>
                      <w:tcPr>
                        <w:tcW w:w="1329" w:type="dxa"/>
                      </w:tcPr>
                      <w:p>
                        <w:pPr>
                          <w:pStyle w:val="TableParagraph"/>
                          <w:spacing w:before="13"/>
                          <w:ind w:left="40"/>
                          <w:rPr>
                            <w:sz w:val="16"/>
                          </w:rPr>
                        </w:pPr>
                        <w:r>
                          <w:rPr>
                            <w:color w:val="231F20"/>
                            <w:w w:val="110"/>
                            <w:sz w:val="16"/>
                          </w:rPr>
                          <w:t>Holanda</w:t>
                        </w:r>
                      </w:p>
                    </w:tc>
                    <w:tc>
                      <w:tcPr>
                        <w:tcW w:w="563" w:type="dxa"/>
                      </w:tcPr>
                      <w:p>
                        <w:pPr>
                          <w:pStyle w:val="TableParagraph"/>
                          <w:spacing w:before="13"/>
                          <w:ind w:left="108"/>
                          <w:rPr>
                            <w:sz w:val="16"/>
                          </w:rPr>
                        </w:pPr>
                        <w:r>
                          <w:rPr>
                            <w:color w:val="231F20"/>
                            <w:w w:val="105"/>
                            <w:sz w:val="16"/>
                          </w:rPr>
                          <w:t>0.4</w:t>
                        </w:r>
                      </w:p>
                    </w:tc>
                    <w:tc>
                      <w:tcPr>
                        <w:tcW w:w="700" w:type="dxa"/>
                      </w:tcPr>
                      <w:p>
                        <w:pPr>
                          <w:pStyle w:val="TableParagraph"/>
                          <w:spacing w:before="13"/>
                          <w:ind w:left="154" w:right="154"/>
                          <w:jc w:val="center"/>
                          <w:rPr>
                            <w:sz w:val="16"/>
                          </w:rPr>
                        </w:pPr>
                        <w:r>
                          <w:rPr>
                            <w:color w:val="231F20"/>
                            <w:w w:val="105"/>
                            <w:sz w:val="16"/>
                          </w:rPr>
                          <w:t>0.0</w:t>
                        </w:r>
                      </w:p>
                    </w:tc>
                    <w:tc>
                      <w:tcPr>
                        <w:tcW w:w="700" w:type="dxa"/>
                      </w:tcPr>
                      <w:p>
                        <w:pPr>
                          <w:pStyle w:val="TableParagraph"/>
                          <w:spacing w:before="13"/>
                          <w:ind w:left="246"/>
                          <w:rPr>
                            <w:sz w:val="16"/>
                          </w:rPr>
                        </w:pPr>
                        <w:r>
                          <w:rPr>
                            <w:color w:val="231F20"/>
                            <w:w w:val="105"/>
                            <w:sz w:val="16"/>
                          </w:rPr>
                          <w:t>0.3</w:t>
                        </w:r>
                      </w:p>
                    </w:tc>
                    <w:tc>
                      <w:tcPr>
                        <w:tcW w:w="563" w:type="dxa"/>
                      </w:tcPr>
                      <w:p>
                        <w:pPr>
                          <w:pStyle w:val="TableParagraph"/>
                          <w:spacing w:before="13"/>
                          <w:ind w:left="182" w:right="45"/>
                          <w:jc w:val="center"/>
                          <w:rPr>
                            <w:sz w:val="16"/>
                          </w:rPr>
                        </w:pPr>
                        <w:r>
                          <w:rPr>
                            <w:color w:val="231F20"/>
                            <w:w w:val="105"/>
                            <w:sz w:val="16"/>
                          </w:rPr>
                          <w:t>0.4</w:t>
                        </w:r>
                      </w:p>
                    </w:tc>
                    <w:tc>
                      <w:tcPr>
                        <w:tcW w:w="1146" w:type="dxa"/>
                      </w:tcPr>
                      <w:p>
                        <w:pPr>
                          <w:pStyle w:val="TableParagraph"/>
                          <w:spacing w:before="13"/>
                          <w:ind w:left="254" w:right="126"/>
                          <w:jc w:val="center"/>
                          <w:rPr>
                            <w:sz w:val="16"/>
                          </w:rPr>
                        </w:pPr>
                        <w:r>
                          <w:rPr>
                            <w:color w:val="231F20"/>
                            <w:w w:val="105"/>
                            <w:sz w:val="16"/>
                          </w:rPr>
                          <w:t>2.6</w:t>
                        </w:r>
                      </w:p>
                    </w:tc>
                    <w:tc>
                      <w:tcPr>
                        <w:tcW w:w="991" w:type="dxa"/>
                      </w:tcPr>
                      <w:p>
                        <w:pPr>
                          <w:pStyle w:val="TableParagraph"/>
                          <w:spacing w:before="13"/>
                          <w:ind w:left="135" w:right="141"/>
                          <w:jc w:val="center"/>
                          <w:rPr>
                            <w:sz w:val="16"/>
                          </w:rPr>
                        </w:pPr>
                        <w:r>
                          <w:rPr>
                            <w:color w:val="231F20"/>
                            <w:w w:val="105"/>
                            <w:sz w:val="16"/>
                          </w:rPr>
                          <w:t>2.2</w:t>
                        </w:r>
                      </w:p>
                    </w:tc>
                  </w:tr>
                  <w:tr>
                    <w:trPr>
                      <w:trHeight w:val="240" w:hRule="exact"/>
                    </w:trPr>
                    <w:tc>
                      <w:tcPr>
                        <w:tcW w:w="1329" w:type="dxa"/>
                      </w:tcPr>
                      <w:p>
                        <w:pPr>
                          <w:pStyle w:val="TableParagraph"/>
                          <w:spacing w:before="13"/>
                          <w:ind w:left="40"/>
                          <w:rPr>
                            <w:sz w:val="16"/>
                          </w:rPr>
                        </w:pPr>
                        <w:r>
                          <w:rPr>
                            <w:color w:val="231F20"/>
                            <w:w w:val="110"/>
                            <w:sz w:val="16"/>
                          </w:rPr>
                          <w:t>Francia</w:t>
                        </w:r>
                      </w:p>
                    </w:tc>
                    <w:tc>
                      <w:tcPr>
                        <w:tcW w:w="563" w:type="dxa"/>
                      </w:tcPr>
                      <w:p>
                        <w:pPr>
                          <w:pStyle w:val="TableParagraph"/>
                          <w:spacing w:before="13"/>
                          <w:ind w:left="108"/>
                          <w:rPr>
                            <w:sz w:val="16"/>
                          </w:rPr>
                        </w:pPr>
                        <w:r>
                          <w:rPr>
                            <w:color w:val="231F20"/>
                            <w:w w:val="105"/>
                            <w:sz w:val="16"/>
                          </w:rPr>
                          <w:t>0.4</w:t>
                        </w:r>
                      </w:p>
                    </w:tc>
                    <w:tc>
                      <w:tcPr>
                        <w:tcW w:w="700" w:type="dxa"/>
                      </w:tcPr>
                      <w:p>
                        <w:pPr>
                          <w:pStyle w:val="TableParagraph"/>
                          <w:spacing w:before="13"/>
                          <w:ind w:left="154" w:right="154"/>
                          <w:jc w:val="center"/>
                          <w:rPr>
                            <w:sz w:val="16"/>
                          </w:rPr>
                        </w:pPr>
                        <w:r>
                          <w:rPr>
                            <w:color w:val="231F20"/>
                            <w:w w:val="105"/>
                            <w:sz w:val="16"/>
                          </w:rPr>
                          <w:t>–0.3</w:t>
                        </w:r>
                      </w:p>
                    </w:tc>
                    <w:tc>
                      <w:tcPr>
                        <w:tcW w:w="700" w:type="dxa"/>
                      </w:tcPr>
                      <w:p>
                        <w:pPr>
                          <w:pStyle w:val="TableParagraph"/>
                          <w:spacing w:before="13"/>
                          <w:ind w:left="246"/>
                          <w:rPr>
                            <w:sz w:val="16"/>
                          </w:rPr>
                        </w:pPr>
                        <w:r>
                          <w:rPr>
                            <w:color w:val="231F20"/>
                            <w:w w:val="105"/>
                            <w:sz w:val="16"/>
                          </w:rPr>
                          <w:t>0.0</w:t>
                        </w:r>
                      </w:p>
                    </w:tc>
                    <w:tc>
                      <w:tcPr>
                        <w:tcW w:w="563" w:type="dxa"/>
                      </w:tcPr>
                      <w:p>
                        <w:pPr>
                          <w:pStyle w:val="TableParagraph"/>
                          <w:spacing w:before="13"/>
                          <w:ind w:left="182" w:right="45"/>
                          <w:jc w:val="center"/>
                          <w:rPr>
                            <w:sz w:val="16"/>
                          </w:rPr>
                        </w:pPr>
                        <w:r>
                          <w:rPr>
                            <w:color w:val="231F20"/>
                            <w:w w:val="105"/>
                            <w:sz w:val="16"/>
                          </w:rPr>
                          <w:t>0.1</w:t>
                        </w:r>
                      </w:p>
                    </w:tc>
                    <w:tc>
                      <w:tcPr>
                        <w:tcW w:w="1146" w:type="dxa"/>
                      </w:tcPr>
                      <w:p>
                        <w:pPr>
                          <w:pStyle w:val="TableParagraph"/>
                          <w:spacing w:before="13"/>
                          <w:ind w:left="254" w:right="126"/>
                          <w:jc w:val="center"/>
                          <w:rPr>
                            <w:sz w:val="16"/>
                          </w:rPr>
                        </w:pPr>
                        <w:r>
                          <w:rPr>
                            <w:color w:val="231F20"/>
                            <w:w w:val="105"/>
                            <w:sz w:val="16"/>
                          </w:rPr>
                          <w:t>1.6</w:t>
                        </w:r>
                      </w:p>
                    </w:tc>
                    <w:tc>
                      <w:tcPr>
                        <w:tcW w:w="991" w:type="dxa"/>
                      </w:tcPr>
                      <w:p>
                        <w:pPr>
                          <w:pStyle w:val="TableParagraph"/>
                          <w:spacing w:before="13"/>
                          <w:ind w:left="135" w:right="141"/>
                          <w:jc w:val="center"/>
                          <w:rPr>
                            <w:sz w:val="16"/>
                          </w:rPr>
                        </w:pPr>
                        <w:r>
                          <w:rPr>
                            <w:color w:val="231F20"/>
                            <w:w w:val="105"/>
                            <w:sz w:val="16"/>
                          </w:rPr>
                          <w:t>1.0</w:t>
                        </w:r>
                      </w:p>
                    </w:tc>
                  </w:tr>
                  <w:tr>
                    <w:trPr>
                      <w:trHeight w:val="240" w:hRule="exact"/>
                    </w:trPr>
                    <w:tc>
                      <w:tcPr>
                        <w:tcW w:w="1329" w:type="dxa"/>
                      </w:tcPr>
                      <w:p>
                        <w:pPr>
                          <w:pStyle w:val="TableParagraph"/>
                          <w:spacing w:before="13"/>
                          <w:ind w:left="40"/>
                          <w:rPr>
                            <w:sz w:val="16"/>
                          </w:rPr>
                        </w:pPr>
                        <w:r>
                          <w:rPr>
                            <w:color w:val="231F20"/>
                            <w:w w:val="110"/>
                            <w:sz w:val="16"/>
                          </w:rPr>
                          <w:t>Zona Euro</w:t>
                        </w:r>
                      </w:p>
                    </w:tc>
                    <w:tc>
                      <w:tcPr>
                        <w:tcW w:w="563" w:type="dxa"/>
                      </w:tcPr>
                      <w:p>
                        <w:pPr>
                          <w:pStyle w:val="TableParagraph"/>
                          <w:spacing w:before="13"/>
                          <w:ind w:left="108"/>
                          <w:rPr>
                            <w:sz w:val="16"/>
                          </w:rPr>
                        </w:pPr>
                        <w:r>
                          <w:rPr>
                            <w:color w:val="231F20"/>
                            <w:w w:val="105"/>
                            <w:sz w:val="16"/>
                          </w:rPr>
                          <w:t>0.7</w:t>
                        </w:r>
                      </w:p>
                    </w:tc>
                    <w:tc>
                      <w:tcPr>
                        <w:tcW w:w="700" w:type="dxa"/>
                      </w:tcPr>
                      <w:p>
                        <w:pPr>
                          <w:pStyle w:val="TableParagraph"/>
                          <w:spacing w:before="13"/>
                          <w:ind w:left="154" w:right="154"/>
                          <w:jc w:val="center"/>
                          <w:rPr>
                            <w:sz w:val="16"/>
                          </w:rPr>
                        </w:pPr>
                        <w:r>
                          <w:rPr>
                            <w:color w:val="231F20"/>
                            <w:w w:val="105"/>
                            <w:sz w:val="16"/>
                          </w:rPr>
                          <w:t>–0.2</w:t>
                        </w:r>
                      </w:p>
                    </w:tc>
                    <w:tc>
                      <w:tcPr>
                        <w:tcW w:w="700" w:type="dxa"/>
                      </w:tcPr>
                      <w:p>
                        <w:pPr>
                          <w:pStyle w:val="TableParagraph"/>
                          <w:spacing w:before="13"/>
                          <w:ind w:left="246"/>
                          <w:rPr>
                            <w:sz w:val="16"/>
                          </w:rPr>
                        </w:pPr>
                        <w:r>
                          <w:rPr>
                            <w:color w:val="231F20"/>
                            <w:w w:val="105"/>
                            <w:sz w:val="16"/>
                          </w:rPr>
                          <w:t>0.0</w:t>
                        </w:r>
                      </w:p>
                    </w:tc>
                    <w:tc>
                      <w:tcPr>
                        <w:tcW w:w="563" w:type="dxa"/>
                      </w:tcPr>
                      <w:p>
                        <w:pPr>
                          <w:pStyle w:val="TableParagraph"/>
                          <w:spacing w:before="13"/>
                          <w:ind w:left="182" w:right="45"/>
                          <w:jc w:val="center"/>
                          <w:rPr>
                            <w:sz w:val="16"/>
                          </w:rPr>
                        </w:pPr>
                        <w:r>
                          <w:rPr>
                            <w:color w:val="231F20"/>
                            <w:w w:val="105"/>
                            <w:sz w:val="16"/>
                          </w:rPr>
                          <w:t>0.1</w:t>
                        </w:r>
                      </w:p>
                    </w:tc>
                    <w:tc>
                      <w:tcPr>
                        <w:tcW w:w="1146" w:type="dxa"/>
                      </w:tcPr>
                      <w:p>
                        <w:pPr>
                          <w:pStyle w:val="TableParagraph"/>
                          <w:spacing w:before="13"/>
                          <w:ind w:left="254" w:right="126"/>
                          <w:jc w:val="center"/>
                          <w:rPr>
                            <w:sz w:val="16"/>
                          </w:rPr>
                        </w:pPr>
                        <w:r>
                          <w:rPr>
                            <w:color w:val="231F20"/>
                            <w:w w:val="105"/>
                            <w:sz w:val="16"/>
                          </w:rPr>
                          <w:t>1.7</w:t>
                        </w:r>
                      </w:p>
                    </w:tc>
                    <w:tc>
                      <w:tcPr>
                        <w:tcW w:w="991" w:type="dxa"/>
                      </w:tcPr>
                      <w:p>
                        <w:pPr>
                          <w:pStyle w:val="TableParagraph"/>
                          <w:spacing w:before="13"/>
                          <w:ind w:left="135" w:right="141"/>
                          <w:jc w:val="center"/>
                          <w:rPr>
                            <w:sz w:val="16"/>
                          </w:rPr>
                        </w:pPr>
                        <w:r>
                          <w:rPr>
                            <w:color w:val="231F20"/>
                            <w:w w:val="105"/>
                            <w:sz w:val="16"/>
                          </w:rPr>
                          <w:t>1.3</w:t>
                        </w:r>
                      </w:p>
                    </w:tc>
                  </w:tr>
                  <w:tr>
                    <w:trPr>
                      <w:trHeight w:val="240" w:hRule="exact"/>
                    </w:trPr>
                    <w:tc>
                      <w:tcPr>
                        <w:tcW w:w="1329" w:type="dxa"/>
                      </w:tcPr>
                      <w:p>
                        <w:pPr>
                          <w:pStyle w:val="TableParagraph"/>
                          <w:spacing w:before="13"/>
                          <w:ind w:left="40"/>
                          <w:rPr>
                            <w:sz w:val="16"/>
                          </w:rPr>
                        </w:pPr>
                        <w:r>
                          <w:rPr>
                            <w:color w:val="231F20"/>
                            <w:w w:val="110"/>
                            <w:sz w:val="16"/>
                          </w:rPr>
                          <w:t>Polonia</w:t>
                        </w:r>
                      </w:p>
                    </w:tc>
                    <w:tc>
                      <w:tcPr>
                        <w:tcW w:w="563" w:type="dxa"/>
                      </w:tcPr>
                      <w:p>
                        <w:pPr>
                          <w:pStyle w:val="TableParagraph"/>
                          <w:spacing w:before="13"/>
                          <w:ind w:left="108"/>
                          <w:rPr>
                            <w:sz w:val="16"/>
                          </w:rPr>
                        </w:pPr>
                        <w:r>
                          <w:rPr>
                            <w:color w:val="231F20"/>
                            <w:w w:val="105"/>
                            <w:sz w:val="16"/>
                          </w:rPr>
                          <w:t>1.4</w:t>
                        </w:r>
                      </w:p>
                    </w:tc>
                    <w:tc>
                      <w:tcPr>
                        <w:tcW w:w="700" w:type="dxa"/>
                      </w:tcPr>
                      <w:p>
                        <w:pPr>
                          <w:pStyle w:val="TableParagraph"/>
                          <w:spacing w:before="13"/>
                          <w:ind w:left="154" w:right="154"/>
                          <w:jc w:val="center"/>
                          <w:rPr>
                            <w:sz w:val="16"/>
                          </w:rPr>
                        </w:pPr>
                        <w:r>
                          <w:rPr>
                            <w:color w:val="231F20"/>
                            <w:w w:val="105"/>
                            <w:sz w:val="16"/>
                          </w:rPr>
                          <w:t>1.5</w:t>
                        </w:r>
                      </w:p>
                    </w:tc>
                    <w:tc>
                      <w:tcPr>
                        <w:tcW w:w="700" w:type="dxa"/>
                      </w:tcPr>
                      <w:p>
                        <w:pPr>
                          <w:pStyle w:val="TableParagraph"/>
                          <w:spacing w:before="13"/>
                          <w:ind w:left="246"/>
                          <w:rPr>
                            <w:sz w:val="16"/>
                          </w:rPr>
                        </w:pPr>
                        <w:r>
                          <w:rPr>
                            <w:color w:val="231F20"/>
                            <w:w w:val="105"/>
                            <w:sz w:val="16"/>
                          </w:rPr>
                          <w:t>0.7</w:t>
                        </w:r>
                      </w:p>
                    </w:tc>
                    <w:tc>
                      <w:tcPr>
                        <w:tcW w:w="563" w:type="dxa"/>
                      </w:tcPr>
                      <w:p>
                        <w:pPr>
                          <w:pStyle w:val="TableParagraph"/>
                          <w:spacing w:before="13"/>
                          <w:ind w:left="182" w:right="45"/>
                          <w:jc w:val="center"/>
                          <w:rPr>
                            <w:sz w:val="16"/>
                          </w:rPr>
                        </w:pPr>
                        <w:r>
                          <w:rPr>
                            <w:color w:val="231F20"/>
                            <w:w w:val="105"/>
                            <w:sz w:val="16"/>
                          </w:rPr>
                          <w:t>0.6</w:t>
                        </w:r>
                      </w:p>
                    </w:tc>
                    <w:tc>
                      <w:tcPr>
                        <w:tcW w:w="1146" w:type="dxa"/>
                      </w:tcPr>
                      <w:p>
                        <w:pPr>
                          <w:pStyle w:val="TableParagraph"/>
                          <w:spacing w:before="13"/>
                          <w:ind w:left="254" w:right="126"/>
                          <w:jc w:val="center"/>
                          <w:rPr>
                            <w:sz w:val="16"/>
                          </w:rPr>
                        </w:pPr>
                        <w:r>
                          <w:rPr>
                            <w:color w:val="231F20"/>
                            <w:w w:val="105"/>
                            <w:sz w:val="16"/>
                          </w:rPr>
                          <w:t>5.3</w:t>
                        </w:r>
                      </w:p>
                    </w:tc>
                    <w:tc>
                      <w:tcPr>
                        <w:tcW w:w="991" w:type="dxa"/>
                      </w:tcPr>
                      <w:p>
                        <w:pPr>
                          <w:pStyle w:val="TableParagraph"/>
                          <w:spacing w:before="13"/>
                          <w:ind w:left="135" w:right="141"/>
                          <w:jc w:val="center"/>
                          <w:rPr>
                            <w:sz w:val="16"/>
                          </w:rPr>
                        </w:pPr>
                        <w:r>
                          <w:rPr>
                            <w:color w:val="231F20"/>
                            <w:w w:val="105"/>
                            <w:sz w:val="16"/>
                          </w:rPr>
                          <w:t>5.4</w:t>
                        </w:r>
                      </w:p>
                    </w:tc>
                  </w:tr>
                  <w:tr>
                    <w:trPr>
                      <w:trHeight w:val="240" w:hRule="exact"/>
                    </w:trPr>
                    <w:tc>
                      <w:tcPr>
                        <w:tcW w:w="1329" w:type="dxa"/>
                      </w:tcPr>
                      <w:p>
                        <w:pPr>
                          <w:pStyle w:val="TableParagraph"/>
                          <w:spacing w:before="13"/>
                          <w:ind w:left="40"/>
                          <w:rPr>
                            <w:sz w:val="16"/>
                          </w:rPr>
                        </w:pPr>
                        <w:r>
                          <w:rPr>
                            <w:color w:val="231F20"/>
                            <w:w w:val="110"/>
                            <w:sz w:val="16"/>
                          </w:rPr>
                          <w:t>Reino Unido</w:t>
                        </w:r>
                      </w:p>
                    </w:tc>
                    <w:tc>
                      <w:tcPr>
                        <w:tcW w:w="563" w:type="dxa"/>
                      </w:tcPr>
                      <w:p>
                        <w:pPr>
                          <w:pStyle w:val="TableParagraph"/>
                          <w:spacing w:before="13"/>
                          <w:ind w:left="108"/>
                          <w:rPr>
                            <w:sz w:val="16"/>
                          </w:rPr>
                        </w:pPr>
                        <w:r>
                          <w:rPr>
                            <w:color w:val="231F20"/>
                            <w:w w:val="105"/>
                            <w:sz w:val="16"/>
                          </w:rPr>
                          <w:t>0.3</w:t>
                        </w:r>
                      </w:p>
                    </w:tc>
                    <w:tc>
                      <w:tcPr>
                        <w:tcW w:w="700" w:type="dxa"/>
                      </w:tcPr>
                      <w:p>
                        <w:pPr>
                          <w:pStyle w:val="TableParagraph"/>
                          <w:spacing w:before="13"/>
                          <w:ind w:left="154" w:right="154"/>
                          <w:jc w:val="center"/>
                          <w:rPr>
                            <w:sz w:val="16"/>
                          </w:rPr>
                        </w:pPr>
                        <w:r>
                          <w:rPr>
                            <w:color w:val="231F20"/>
                            <w:w w:val="105"/>
                            <w:sz w:val="16"/>
                          </w:rPr>
                          <w:t>0.0</w:t>
                        </w:r>
                      </w:p>
                    </w:tc>
                    <w:tc>
                      <w:tcPr>
                        <w:tcW w:w="700" w:type="dxa"/>
                      </w:tcPr>
                      <w:p>
                        <w:pPr>
                          <w:pStyle w:val="TableParagraph"/>
                          <w:spacing w:before="13"/>
                          <w:ind w:left="206"/>
                          <w:rPr>
                            <w:sz w:val="16"/>
                          </w:rPr>
                        </w:pPr>
                        <w:r>
                          <w:rPr>
                            <w:color w:val="231F20"/>
                            <w:w w:val="105"/>
                            <w:sz w:val="16"/>
                          </w:rPr>
                          <w:t>–0.2</w:t>
                        </w:r>
                      </w:p>
                    </w:tc>
                    <w:tc>
                      <w:tcPr>
                        <w:tcW w:w="563" w:type="dxa"/>
                      </w:tcPr>
                      <w:p>
                        <w:pPr>
                          <w:pStyle w:val="TableParagraph"/>
                          <w:spacing w:before="13"/>
                          <w:ind w:left="182" w:right="45"/>
                          <w:jc w:val="center"/>
                          <w:rPr>
                            <w:sz w:val="16"/>
                          </w:rPr>
                        </w:pPr>
                        <w:r>
                          <w:rPr>
                            <w:color w:val="231F20"/>
                            <w:w w:val="105"/>
                            <w:sz w:val="16"/>
                          </w:rPr>
                          <w:t>–0.2</w:t>
                        </w:r>
                      </w:p>
                    </w:tc>
                    <w:tc>
                      <w:tcPr>
                        <w:tcW w:w="1146" w:type="dxa"/>
                      </w:tcPr>
                      <w:p>
                        <w:pPr>
                          <w:pStyle w:val="TableParagraph"/>
                          <w:spacing w:before="13"/>
                          <w:ind w:left="254" w:right="126"/>
                          <w:jc w:val="center"/>
                          <w:rPr>
                            <w:sz w:val="16"/>
                          </w:rPr>
                        </w:pPr>
                        <w:r>
                          <w:rPr>
                            <w:color w:val="231F20"/>
                            <w:w w:val="105"/>
                            <w:sz w:val="16"/>
                          </w:rPr>
                          <w:t>1.7</w:t>
                        </w:r>
                      </w:p>
                    </w:tc>
                    <w:tc>
                      <w:tcPr>
                        <w:tcW w:w="991" w:type="dxa"/>
                      </w:tcPr>
                      <w:p>
                        <w:pPr>
                          <w:pStyle w:val="TableParagraph"/>
                          <w:spacing w:before="13"/>
                          <w:ind w:left="135" w:right="141"/>
                          <w:jc w:val="center"/>
                          <w:rPr>
                            <w:sz w:val="16"/>
                          </w:rPr>
                        </w:pPr>
                        <w:r>
                          <w:rPr>
                            <w:color w:val="231F20"/>
                            <w:w w:val="105"/>
                            <w:sz w:val="16"/>
                          </w:rPr>
                          <w:t>1.1</w:t>
                        </w:r>
                      </w:p>
                    </w:tc>
                  </w:tr>
                  <w:tr>
                    <w:trPr>
                      <w:trHeight w:val="225" w:hRule="exact"/>
                    </w:trPr>
                    <w:tc>
                      <w:tcPr>
                        <w:tcW w:w="1329" w:type="dxa"/>
                        <w:tcBorders>
                          <w:bottom w:val="single" w:sz="4" w:space="0" w:color="231F20"/>
                        </w:tcBorders>
                      </w:tcPr>
                      <w:p>
                        <w:pPr>
                          <w:pStyle w:val="TableParagraph"/>
                          <w:spacing w:before="13"/>
                          <w:ind w:left="40"/>
                          <w:rPr>
                            <w:sz w:val="16"/>
                          </w:rPr>
                        </w:pPr>
                        <w:r>
                          <w:rPr>
                            <w:color w:val="231F20"/>
                            <w:w w:val="105"/>
                            <w:sz w:val="16"/>
                          </w:rPr>
                          <w:t>Estados Unidos</w:t>
                        </w:r>
                      </w:p>
                    </w:tc>
                    <w:tc>
                      <w:tcPr>
                        <w:tcW w:w="563" w:type="dxa"/>
                        <w:tcBorders>
                          <w:bottom w:val="single" w:sz="4" w:space="0" w:color="231F20"/>
                        </w:tcBorders>
                      </w:tcPr>
                      <w:p>
                        <w:pPr>
                          <w:pStyle w:val="TableParagraph"/>
                          <w:spacing w:before="13"/>
                          <w:ind w:left="108"/>
                          <w:rPr>
                            <w:sz w:val="16"/>
                          </w:rPr>
                        </w:pPr>
                        <w:r>
                          <w:rPr>
                            <w:color w:val="231F20"/>
                            <w:w w:val="105"/>
                            <w:sz w:val="16"/>
                          </w:rPr>
                          <w:t>0.6</w:t>
                        </w:r>
                      </w:p>
                    </w:tc>
                    <w:tc>
                      <w:tcPr>
                        <w:tcW w:w="700" w:type="dxa"/>
                        <w:tcBorders>
                          <w:bottom w:val="single" w:sz="4" w:space="0" w:color="231F20"/>
                        </w:tcBorders>
                      </w:tcPr>
                      <w:p>
                        <w:pPr>
                          <w:pStyle w:val="TableParagraph"/>
                          <w:spacing w:before="13"/>
                          <w:ind w:left="154" w:right="154"/>
                          <w:jc w:val="center"/>
                          <w:rPr>
                            <w:sz w:val="16"/>
                          </w:rPr>
                        </w:pPr>
                        <w:r>
                          <w:rPr>
                            <w:color w:val="231F20"/>
                            <w:w w:val="105"/>
                            <w:sz w:val="16"/>
                          </w:rPr>
                          <w:t>–0.1</w:t>
                        </w:r>
                      </w:p>
                    </w:tc>
                    <w:tc>
                      <w:tcPr>
                        <w:tcW w:w="700" w:type="dxa"/>
                        <w:tcBorders>
                          <w:bottom w:val="single" w:sz="4" w:space="0" w:color="231F20"/>
                        </w:tcBorders>
                      </w:tcPr>
                      <w:p>
                        <w:pPr>
                          <w:pStyle w:val="TableParagraph"/>
                          <w:spacing w:before="13"/>
                          <w:ind w:left="246"/>
                          <w:rPr>
                            <w:sz w:val="16"/>
                          </w:rPr>
                        </w:pPr>
                        <w:r>
                          <w:rPr>
                            <w:color w:val="231F20"/>
                            <w:w w:val="105"/>
                            <w:sz w:val="16"/>
                          </w:rPr>
                          <w:t>0.0</w:t>
                        </w:r>
                      </w:p>
                    </w:tc>
                    <w:tc>
                      <w:tcPr>
                        <w:tcW w:w="563" w:type="dxa"/>
                        <w:tcBorders>
                          <w:bottom w:val="single" w:sz="4" w:space="0" w:color="231F20"/>
                        </w:tcBorders>
                      </w:tcPr>
                      <w:p>
                        <w:pPr>
                          <w:pStyle w:val="TableParagraph"/>
                          <w:spacing w:before="13"/>
                          <w:ind w:left="182" w:right="45"/>
                          <w:jc w:val="center"/>
                          <w:rPr>
                            <w:sz w:val="16"/>
                          </w:rPr>
                        </w:pPr>
                        <w:r>
                          <w:rPr>
                            <w:color w:val="231F20"/>
                            <w:w w:val="105"/>
                            <w:sz w:val="16"/>
                          </w:rPr>
                          <w:t>0.1</w:t>
                        </w:r>
                      </w:p>
                    </w:tc>
                    <w:tc>
                      <w:tcPr>
                        <w:tcW w:w="1146" w:type="dxa"/>
                        <w:tcBorders>
                          <w:bottom w:val="single" w:sz="4" w:space="0" w:color="231F20"/>
                        </w:tcBorders>
                      </w:tcPr>
                      <w:p>
                        <w:pPr>
                          <w:pStyle w:val="TableParagraph"/>
                          <w:spacing w:before="13"/>
                          <w:ind w:left="254" w:right="126"/>
                          <w:jc w:val="center"/>
                          <w:rPr>
                            <w:sz w:val="16"/>
                          </w:rPr>
                        </w:pPr>
                        <w:r>
                          <w:rPr>
                            <w:color w:val="231F20"/>
                            <w:w w:val="105"/>
                            <w:sz w:val="16"/>
                          </w:rPr>
                          <w:t>2.0</w:t>
                        </w:r>
                      </w:p>
                    </w:tc>
                    <w:tc>
                      <w:tcPr>
                        <w:tcW w:w="991" w:type="dxa"/>
                        <w:tcBorders>
                          <w:bottom w:val="single" w:sz="4" w:space="0" w:color="231F20"/>
                        </w:tcBorders>
                      </w:tcPr>
                      <w:p>
                        <w:pPr>
                          <w:pStyle w:val="TableParagraph"/>
                          <w:spacing w:before="13"/>
                          <w:ind w:left="135" w:right="141"/>
                          <w:jc w:val="center"/>
                          <w:rPr>
                            <w:sz w:val="16"/>
                          </w:rPr>
                        </w:pPr>
                        <w:r>
                          <w:rPr>
                            <w:color w:val="231F20"/>
                            <w:w w:val="105"/>
                            <w:sz w:val="16"/>
                          </w:rPr>
                          <w:t>1.4</w:t>
                        </w:r>
                      </w:p>
                    </w:tc>
                  </w:tr>
                </w:tbl>
                <w:p>
                  <w:pPr>
                    <w:pStyle w:val="BodyText"/>
                  </w:pPr>
                </w:p>
              </w:txbxContent>
            </v:textbox>
            <w10:wrap type="none"/>
          </v:shape>
        </w:pict>
      </w:r>
      <w:r>
        <w:rPr>
          <w:color w:val="231F20"/>
          <w:w w:val="120"/>
          <w:sz w:val="16"/>
        </w:rPr>
        <w:t>spring</w:t>
      </w:r>
    </w:p>
    <w:p>
      <w:pPr>
        <w:pStyle w:val="BodyText"/>
        <w:rPr>
          <w:sz w:val="16"/>
        </w:rPr>
      </w:pPr>
      <w:r>
        <w:rPr/>
        <w:br w:type="column"/>
      </w:r>
      <w:r>
        <w:rPr>
          <w:sz w:val="16"/>
        </w:rPr>
      </w:r>
    </w:p>
    <w:p>
      <w:pPr>
        <w:pStyle w:val="BodyText"/>
        <w:spacing w:before="10"/>
        <w:rPr>
          <w:sz w:val="19"/>
        </w:rPr>
      </w:pPr>
    </w:p>
    <w:p>
      <w:pPr>
        <w:spacing w:before="0"/>
        <w:ind w:left="120" w:right="0" w:firstLine="0"/>
        <w:jc w:val="left"/>
        <w:rPr>
          <w:sz w:val="16"/>
        </w:rPr>
      </w:pPr>
      <w:r>
        <w:rPr>
          <w:color w:val="231F20"/>
          <w:w w:val="125"/>
          <w:sz w:val="16"/>
        </w:rPr>
        <w:t>interim</w:t>
      </w:r>
    </w:p>
    <w:p>
      <w:pPr>
        <w:spacing w:after="0"/>
        <w:jc w:val="left"/>
        <w:rPr>
          <w:sz w:val="16"/>
        </w:rPr>
        <w:sectPr>
          <w:type w:val="continuous"/>
          <w:pgSz w:w="7640" w:h="11900"/>
          <w:pgMar w:top="980" w:bottom="280" w:left="760" w:right="640"/>
          <w:cols w:num="3" w:equalWidth="0">
            <w:col w:w="3854" w:space="398"/>
            <w:col w:w="609" w:space="346"/>
            <w:col w:w="1033"/>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6"/>
        </w:rPr>
      </w:pPr>
    </w:p>
    <w:p>
      <w:pPr>
        <w:spacing w:line="276" w:lineRule="auto" w:before="68"/>
        <w:ind w:left="120" w:right="119" w:firstLine="0"/>
        <w:jc w:val="both"/>
        <w:rPr>
          <w:sz w:val="18"/>
        </w:rPr>
      </w:pPr>
      <w:r>
        <w:rPr>
          <w:rFonts w:ascii="Calibri" w:hAnsi="Calibri"/>
          <w:color w:val="231F20"/>
          <w:w w:val="110"/>
          <w:sz w:val="18"/>
        </w:rPr>
        <w:t>nota: </w:t>
      </w:r>
      <w:r>
        <w:rPr>
          <w:color w:val="231F20"/>
          <w:w w:val="110"/>
          <w:sz w:val="18"/>
        </w:rPr>
        <w:t>las cifras trimestrales están ajustadas estacionalmente y según días hábiles, las anuales no están ajustadas.</w:t>
      </w:r>
    </w:p>
    <w:p>
      <w:pPr>
        <w:spacing w:line="283" w:lineRule="auto" w:before="9"/>
        <w:ind w:left="120" w:right="117" w:firstLine="0"/>
        <w:jc w:val="both"/>
        <w:rPr>
          <w:sz w:val="18"/>
        </w:rPr>
      </w:pPr>
      <w:r>
        <w:rPr>
          <w:rFonts w:ascii="Calibri" w:hAnsi="Calibri"/>
          <w:color w:val="231F20"/>
          <w:w w:val="110"/>
          <w:sz w:val="18"/>
        </w:rPr>
        <w:t>fuente: </w:t>
      </w:r>
      <w:r>
        <w:rPr>
          <w:color w:val="231F20"/>
          <w:w w:val="110"/>
          <w:sz w:val="18"/>
        </w:rPr>
        <w:t>“European Commission Economic and Financial Affairs”, septiem- </w:t>
      </w:r>
      <w:r>
        <w:rPr>
          <w:color w:val="231F20"/>
          <w:w w:val="115"/>
          <w:sz w:val="18"/>
        </w:rPr>
        <w:t>bre</w:t>
      </w:r>
      <w:r>
        <w:rPr>
          <w:color w:val="231F20"/>
          <w:spacing w:val="-11"/>
          <w:w w:val="115"/>
          <w:sz w:val="18"/>
        </w:rPr>
        <w:t> </w:t>
      </w:r>
      <w:r>
        <w:rPr>
          <w:color w:val="231F20"/>
          <w:w w:val="115"/>
          <w:sz w:val="18"/>
        </w:rPr>
        <w:t>de</w:t>
      </w:r>
      <w:r>
        <w:rPr>
          <w:color w:val="231F20"/>
          <w:spacing w:val="-11"/>
          <w:w w:val="115"/>
          <w:sz w:val="18"/>
        </w:rPr>
        <w:t> </w:t>
      </w:r>
      <w:r>
        <w:rPr>
          <w:color w:val="231F20"/>
          <w:w w:val="115"/>
          <w:sz w:val="18"/>
        </w:rPr>
        <w:t>2008,</w:t>
      </w:r>
      <w:r>
        <w:rPr>
          <w:color w:val="231F20"/>
          <w:spacing w:val="-11"/>
          <w:w w:val="115"/>
          <w:sz w:val="18"/>
        </w:rPr>
        <w:t> </w:t>
      </w:r>
      <w:r>
        <w:rPr>
          <w:color w:val="231F20"/>
          <w:w w:val="115"/>
          <w:sz w:val="18"/>
        </w:rPr>
        <w:t>en</w:t>
      </w:r>
      <w:r>
        <w:rPr>
          <w:color w:val="231F20"/>
          <w:spacing w:val="-11"/>
          <w:w w:val="115"/>
          <w:sz w:val="18"/>
        </w:rPr>
        <w:t> </w:t>
      </w:r>
      <w:r>
        <w:rPr>
          <w:color w:val="231F20"/>
          <w:w w:val="115"/>
          <w:sz w:val="18"/>
        </w:rPr>
        <w:t>&lt;</w:t>
      </w:r>
      <w:hyperlink r:id="rId123">
        <w:r>
          <w:rPr>
            <w:color w:val="231F20"/>
            <w:w w:val="115"/>
            <w:sz w:val="18"/>
          </w:rPr>
          <w:t>http://ec.europa.eu/economy_finance/thematic_articles/</w:t>
        </w:r>
      </w:hyperlink>
      <w:r>
        <w:rPr>
          <w:color w:val="231F20"/>
          <w:w w:val="115"/>
          <w:sz w:val="18"/>
        </w:rPr>
        <w:t> article13121_en.htm&gt;.</w:t>
      </w:r>
    </w:p>
    <w:p>
      <w:pPr>
        <w:pStyle w:val="BodyText"/>
        <w:rPr>
          <w:sz w:val="18"/>
        </w:rPr>
      </w:pPr>
    </w:p>
    <w:p>
      <w:pPr>
        <w:pStyle w:val="BodyText"/>
        <w:spacing w:before="2"/>
        <w:rPr>
          <w:sz w:val="25"/>
        </w:rPr>
      </w:pPr>
    </w:p>
    <w:p>
      <w:pPr>
        <w:spacing w:before="0"/>
        <w:ind w:left="120" w:right="0" w:firstLine="0"/>
        <w:jc w:val="both"/>
        <w:rPr>
          <w:sz w:val="18"/>
        </w:rPr>
      </w:pPr>
      <w:r>
        <w:rPr/>
        <w:pict>
          <v:group style="position:absolute;margin-left:97.75pt;margin-top:14.402339pt;width:192.5pt;height:.5pt;mso-position-horizontal-relative:page;mso-position-vertical-relative:paragraph;z-index:3952;mso-wrap-distance-left:0;mso-wrap-distance-right:0" coordorigin="1955,288" coordsize="3850,10">
            <v:line style="position:absolute" from="1960,293" to="3880,293" stroked="true" strokeweight=".5pt" strokecolor="#231f20"/>
            <v:line style="position:absolute" from="3880,293" to="5800,293" stroked="true" strokeweight=".5pt" strokecolor="#231f20"/>
            <w10:wrap type="topAndBottom"/>
          </v:group>
        </w:pict>
      </w:r>
      <w:r>
        <w:rPr>
          <w:color w:val="231F20"/>
          <w:w w:val="120"/>
          <w:sz w:val="18"/>
        </w:rPr>
        <w:t>cuadro 2. japón. trayectoria del pib,   2008</w:t>
      </w:r>
    </w:p>
    <w:p>
      <w:pPr>
        <w:tabs>
          <w:tab w:pos="3884" w:val="left" w:leader="none"/>
        </w:tabs>
        <w:spacing w:before="15"/>
        <w:ind w:left="1240" w:right="25" w:firstLine="0"/>
        <w:jc w:val="left"/>
        <w:rPr>
          <w:sz w:val="16"/>
        </w:rPr>
      </w:pPr>
      <w:r>
        <w:rPr>
          <w:color w:val="231F20"/>
          <w:w w:val="110"/>
          <w:sz w:val="16"/>
        </w:rPr>
        <w:t>Primer</w:t>
      </w:r>
      <w:r>
        <w:rPr>
          <w:color w:val="231F20"/>
          <w:spacing w:val="-1"/>
          <w:w w:val="110"/>
          <w:sz w:val="16"/>
        </w:rPr>
        <w:t> </w:t>
      </w:r>
      <w:r>
        <w:rPr>
          <w:color w:val="231F20"/>
          <w:w w:val="110"/>
          <w:sz w:val="16"/>
        </w:rPr>
        <w:t>trimestre</w:t>
        <w:tab/>
        <w:t>+3.3%</w:t>
      </w:r>
    </w:p>
    <w:p>
      <w:pPr>
        <w:tabs>
          <w:tab w:pos="3887" w:val="left" w:leader="none"/>
        </w:tabs>
        <w:spacing w:before="96"/>
        <w:ind w:left="1240" w:right="25" w:firstLine="0"/>
        <w:jc w:val="left"/>
        <w:rPr>
          <w:sz w:val="16"/>
        </w:rPr>
      </w:pPr>
      <w:r>
        <w:rPr>
          <w:color w:val="231F20"/>
          <w:w w:val="110"/>
          <w:sz w:val="16"/>
        </w:rPr>
        <w:t>Segundo</w:t>
      </w:r>
      <w:r>
        <w:rPr>
          <w:color w:val="231F20"/>
          <w:spacing w:val="-1"/>
          <w:w w:val="110"/>
          <w:sz w:val="16"/>
        </w:rPr>
        <w:t> </w:t>
      </w:r>
      <w:r>
        <w:rPr>
          <w:color w:val="231F20"/>
          <w:w w:val="110"/>
          <w:sz w:val="16"/>
        </w:rPr>
        <w:t>trimestre</w:t>
        <w:tab/>
        <w:t>–3.0%</w:t>
      </w:r>
    </w:p>
    <w:p>
      <w:pPr>
        <w:tabs>
          <w:tab w:pos="3887" w:val="left" w:leader="none"/>
        </w:tabs>
        <w:spacing w:before="96"/>
        <w:ind w:left="1240" w:right="25" w:firstLine="0"/>
        <w:jc w:val="left"/>
        <w:rPr>
          <w:sz w:val="16"/>
        </w:rPr>
      </w:pPr>
      <w:r>
        <w:rPr>
          <w:color w:val="231F20"/>
          <w:spacing w:val="-3"/>
          <w:w w:val="110"/>
          <w:sz w:val="16"/>
        </w:rPr>
        <w:t>Tercer</w:t>
      </w:r>
      <w:r>
        <w:rPr>
          <w:color w:val="231F20"/>
          <w:spacing w:val="1"/>
          <w:w w:val="110"/>
          <w:sz w:val="16"/>
        </w:rPr>
        <w:t> </w:t>
      </w:r>
      <w:r>
        <w:rPr>
          <w:color w:val="231F20"/>
          <w:w w:val="110"/>
          <w:sz w:val="16"/>
        </w:rPr>
        <w:t>trimestre</w:t>
        <w:tab/>
        <w:t>–0.4%</w:t>
      </w:r>
    </w:p>
    <w:p>
      <w:pPr>
        <w:tabs>
          <w:tab w:pos="3804" w:val="left" w:leader="none"/>
        </w:tabs>
        <w:spacing w:before="96"/>
        <w:ind w:left="1240" w:right="25" w:firstLine="0"/>
        <w:jc w:val="left"/>
        <w:rPr>
          <w:sz w:val="16"/>
        </w:rPr>
      </w:pPr>
      <w:r>
        <w:rPr/>
        <w:pict>
          <v:group style="position:absolute;margin-left:97.75pt;margin-top:16.106743pt;width:192.5pt;height:.5pt;mso-position-horizontal-relative:page;mso-position-vertical-relative:paragraph;z-index:3976;mso-wrap-distance-left:0;mso-wrap-distance-right:0" coordorigin="1955,322" coordsize="3850,10">
            <v:line style="position:absolute" from="1960,327" to="3880,327" stroked="true" strokeweight=".5pt" strokecolor="#231f20"/>
            <v:line style="position:absolute" from="3880,327" to="5800,327" stroked="true" strokeweight=".5pt" strokecolor="#231f20"/>
            <w10:wrap type="topAndBottom"/>
          </v:group>
        </w:pict>
      </w:r>
      <w:r>
        <w:rPr>
          <w:color w:val="231F20"/>
          <w:w w:val="110"/>
          <w:sz w:val="16"/>
        </w:rPr>
        <w:t>Cuarto</w:t>
      </w:r>
      <w:r>
        <w:rPr>
          <w:color w:val="231F20"/>
          <w:spacing w:val="-1"/>
          <w:w w:val="110"/>
          <w:sz w:val="16"/>
        </w:rPr>
        <w:t> </w:t>
      </w:r>
      <w:r>
        <w:rPr>
          <w:color w:val="231F20"/>
          <w:w w:val="110"/>
          <w:sz w:val="16"/>
        </w:rPr>
        <w:t>trimestre</w:t>
        <w:tab/>
        <w:t>–12.7%</w:t>
      </w:r>
    </w:p>
    <w:p>
      <w:pPr>
        <w:spacing w:before="49"/>
        <w:ind w:left="360" w:right="25" w:hanging="240"/>
        <w:jc w:val="left"/>
        <w:rPr>
          <w:sz w:val="18"/>
        </w:rPr>
      </w:pPr>
      <w:r>
        <w:rPr>
          <w:rFonts w:ascii="Calibri" w:hAnsi="Calibri"/>
          <w:color w:val="231F20"/>
          <w:w w:val="110"/>
          <w:sz w:val="18"/>
        </w:rPr>
        <w:t>fuente: </w:t>
      </w:r>
      <w:r>
        <w:rPr>
          <w:color w:val="231F20"/>
          <w:w w:val="110"/>
          <w:sz w:val="18"/>
        </w:rPr>
        <w:t>gobierno de Japón mediante Agencia Kyodo, 16 de febrero de 2009.</w:t>
      </w:r>
    </w:p>
    <w:p>
      <w:pPr>
        <w:pStyle w:val="BodyText"/>
        <w:rPr>
          <w:sz w:val="18"/>
        </w:rPr>
      </w:pPr>
    </w:p>
    <w:p>
      <w:pPr>
        <w:pStyle w:val="BodyText"/>
        <w:spacing w:line="261" w:lineRule="auto" w:before="128"/>
        <w:ind w:left="120" w:right="116" w:firstLine="240"/>
        <w:jc w:val="both"/>
      </w:pPr>
      <w:r>
        <w:rPr>
          <w:color w:val="231F20"/>
          <w:w w:val="110"/>
        </w:rPr>
        <w:t>De esta forma, el déficit acumulado de la economía japonesa</w:t>
      </w:r>
      <w:r>
        <w:rPr>
          <w:color w:val="231F20"/>
          <w:w w:val="109"/>
        </w:rPr>
        <w:t> </w:t>
      </w:r>
      <w:r>
        <w:rPr>
          <w:color w:val="231F20"/>
          <w:w w:val="110"/>
        </w:rPr>
        <w:t>durante los cuatro trimestres fue de 8.8%, muy cerca del 10%, que es el indicador que define una depresión. En cambio, en medio del torbellino de la crisis global, la economía de China Popular creció durante 2008, en promedio 9% en su pib y 8.7% en 2009, frente a desplomes importantes de las economías de la Unión Europea que prácticamente se precipitaron en la  recesión.</w:t>
      </w:r>
    </w:p>
    <w:p>
      <w:pPr>
        <w:pStyle w:val="BodyText"/>
        <w:spacing w:line="261" w:lineRule="auto"/>
        <w:ind w:left="120" w:right="119" w:firstLine="240"/>
        <w:jc w:val="both"/>
      </w:pPr>
      <w:r>
        <w:rPr>
          <w:color w:val="231F20"/>
          <w:w w:val="110"/>
        </w:rPr>
        <w:t>Así</w:t>
      </w:r>
      <w:r>
        <w:rPr>
          <w:color w:val="231F20"/>
          <w:spacing w:val="-13"/>
          <w:w w:val="110"/>
        </w:rPr>
        <w:t> </w:t>
      </w:r>
      <w:r>
        <w:rPr>
          <w:color w:val="231F20"/>
          <w:w w:val="110"/>
        </w:rPr>
        <w:t>el</w:t>
      </w:r>
      <w:r>
        <w:rPr>
          <w:color w:val="231F20"/>
          <w:spacing w:val="-13"/>
          <w:w w:val="110"/>
        </w:rPr>
        <w:t> </w:t>
      </w:r>
      <w:r>
        <w:rPr>
          <w:color w:val="231F20"/>
          <w:w w:val="110"/>
        </w:rPr>
        <w:t>Estado</w:t>
      </w:r>
      <w:r>
        <w:rPr>
          <w:color w:val="231F20"/>
          <w:spacing w:val="-13"/>
          <w:w w:val="110"/>
        </w:rPr>
        <w:t> </w:t>
      </w:r>
      <w:r>
        <w:rPr>
          <w:color w:val="231F20"/>
          <w:w w:val="110"/>
        </w:rPr>
        <w:t>Español,</w:t>
      </w:r>
      <w:r>
        <w:rPr>
          <w:color w:val="231F20"/>
          <w:spacing w:val="-13"/>
          <w:w w:val="110"/>
        </w:rPr>
        <w:t> </w:t>
      </w:r>
      <w:r>
        <w:rPr>
          <w:color w:val="231F20"/>
          <w:w w:val="110"/>
        </w:rPr>
        <w:t>por</w:t>
      </w:r>
      <w:r>
        <w:rPr>
          <w:color w:val="231F20"/>
          <w:spacing w:val="-13"/>
          <w:w w:val="110"/>
        </w:rPr>
        <w:t> </w:t>
      </w:r>
      <w:r>
        <w:rPr>
          <w:color w:val="231F20"/>
          <w:w w:val="110"/>
        </w:rPr>
        <w:t>ejemplo,</w:t>
      </w:r>
      <w:r>
        <w:rPr>
          <w:color w:val="231F20"/>
          <w:spacing w:val="-13"/>
          <w:w w:val="110"/>
        </w:rPr>
        <w:t> </w:t>
      </w:r>
      <w:r>
        <w:rPr>
          <w:color w:val="231F20"/>
          <w:w w:val="110"/>
        </w:rPr>
        <w:t>sólo</w:t>
      </w:r>
      <w:r>
        <w:rPr>
          <w:color w:val="231F20"/>
          <w:spacing w:val="-13"/>
          <w:w w:val="110"/>
        </w:rPr>
        <w:t> </w:t>
      </w:r>
      <w:r>
        <w:rPr>
          <w:color w:val="231F20"/>
          <w:w w:val="110"/>
        </w:rPr>
        <w:t>creció,</w:t>
      </w:r>
      <w:r>
        <w:rPr>
          <w:color w:val="231F20"/>
          <w:spacing w:val="-13"/>
          <w:w w:val="110"/>
        </w:rPr>
        <w:t> </w:t>
      </w:r>
      <w:r>
        <w:rPr>
          <w:color w:val="231F20"/>
          <w:w w:val="110"/>
        </w:rPr>
        <w:t>en</w:t>
      </w:r>
      <w:r>
        <w:rPr>
          <w:color w:val="231F20"/>
          <w:spacing w:val="-13"/>
          <w:w w:val="110"/>
        </w:rPr>
        <w:t> </w:t>
      </w:r>
      <w:r>
        <w:rPr>
          <w:color w:val="231F20"/>
          <w:w w:val="110"/>
        </w:rPr>
        <w:t>conjunto,</w:t>
      </w:r>
      <w:r>
        <w:rPr>
          <w:color w:val="231F20"/>
          <w:spacing w:val="-13"/>
          <w:w w:val="110"/>
        </w:rPr>
        <w:t> </w:t>
      </w:r>
      <w:r>
        <w:rPr>
          <w:color w:val="231F20"/>
          <w:w w:val="110"/>
        </w:rPr>
        <w:t>1.2% en</w:t>
      </w:r>
      <w:r>
        <w:rPr>
          <w:color w:val="231F20"/>
          <w:spacing w:val="-5"/>
          <w:w w:val="110"/>
        </w:rPr>
        <w:t> </w:t>
      </w:r>
      <w:r>
        <w:rPr>
          <w:color w:val="231F20"/>
          <w:w w:val="110"/>
        </w:rPr>
        <w:t>promedio</w:t>
      </w:r>
      <w:r>
        <w:rPr>
          <w:color w:val="231F20"/>
          <w:spacing w:val="-5"/>
          <w:w w:val="110"/>
        </w:rPr>
        <w:t> </w:t>
      </w:r>
      <w:r>
        <w:rPr>
          <w:color w:val="231F20"/>
          <w:w w:val="110"/>
        </w:rPr>
        <w:t>durante</w:t>
      </w:r>
      <w:r>
        <w:rPr>
          <w:color w:val="231F20"/>
          <w:spacing w:val="-5"/>
          <w:w w:val="110"/>
        </w:rPr>
        <w:t> </w:t>
      </w:r>
      <w:r>
        <w:rPr>
          <w:color w:val="231F20"/>
          <w:w w:val="110"/>
        </w:rPr>
        <w:t>2008</w:t>
      </w:r>
      <w:r>
        <w:rPr>
          <w:color w:val="231F20"/>
          <w:spacing w:val="-5"/>
          <w:w w:val="110"/>
        </w:rPr>
        <w:t> </w:t>
      </w:r>
      <w:r>
        <w:rPr>
          <w:color w:val="231F20"/>
          <w:w w:val="110"/>
        </w:rPr>
        <w:t>y</w:t>
      </w:r>
      <w:r>
        <w:rPr>
          <w:color w:val="231F20"/>
          <w:spacing w:val="-5"/>
          <w:w w:val="110"/>
        </w:rPr>
        <w:t> </w:t>
      </w:r>
      <w:r>
        <w:rPr>
          <w:color w:val="231F20"/>
          <w:w w:val="110"/>
        </w:rPr>
        <w:t>declinó</w:t>
      </w:r>
      <w:r>
        <w:rPr>
          <w:color w:val="231F20"/>
          <w:spacing w:val="-5"/>
          <w:w w:val="110"/>
        </w:rPr>
        <w:t> </w:t>
      </w:r>
      <w:r>
        <w:rPr>
          <w:color w:val="231F20"/>
          <w:w w:val="110"/>
        </w:rPr>
        <w:t>–0.7%</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cuarto</w:t>
      </w:r>
      <w:r>
        <w:rPr>
          <w:color w:val="231F20"/>
          <w:spacing w:val="-5"/>
          <w:w w:val="110"/>
        </w:rPr>
        <w:t> </w:t>
      </w:r>
      <w:r>
        <w:rPr>
          <w:color w:val="231F20"/>
          <w:w w:val="110"/>
        </w:rPr>
        <w:t>trimestre</w:t>
      </w:r>
      <w:r>
        <w:rPr>
          <w:color w:val="231F20"/>
          <w:spacing w:val="-5"/>
          <w:w w:val="110"/>
        </w:rPr>
        <w:t> </w:t>
      </w:r>
      <w:r>
        <w:rPr>
          <w:color w:val="231F20"/>
          <w:spacing w:val="-2"/>
          <w:w w:val="110"/>
        </w:rPr>
        <w:t>del </w:t>
      </w:r>
      <w:r>
        <w:rPr>
          <w:color w:val="231F20"/>
          <w:w w:val="110"/>
        </w:rPr>
        <w:t>mismo año, confirmando oficialmente su entrada en la recesión. Si bien</w:t>
      </w:r>
      <w:r>
        <w:rPr>
          <w:color w:val="231F20"/>
          <w:spacing w:val="-21"/>
          <w:w w:val="110"/>
        </w:rPr>
        <w:t> </w:t>
      </w:r>
      <w:r>
        <w:rPr>
          <w:color w:val="231F20"/>
          <w:w w:val="110"/>
        </w:rPr>
        <w:t>los</w:t>
      </w:r>
      <w:r>
        <w:rPr>
          <w:color w:val="231F20"/>
          <w:spacing w:val="-21"/>
          <w:w w:val="110"/>
        </w:rPr>
        <w:t> </w:t>
      </w:r>
      <w:r>
        <w:rPr>
          <w:color w:val="231F20"/>
          <w:w w:val="110"/>
        </w:rPr>
        <w:t>informes</w:t>
      </w:r>
      <w:r>
        <w:rPr>
          <w:color w:val="231F20"/>
          <w:spacing w:val="-21"/>
          <w:w w:val="110"/>
        </w:rPr>
        <w:t> </w:t>
      </w:r>
      <w:r>
        <w:rPr>
          <w:color w:val="231F20"/>
          <w:w w:val="110"/>
        </w:rPr>
        <w:t>gubernamentales</w:t>
      </w:r>
      <w:r>
        <w:rPr>
          <w:color w:val="231F20"/>
          <w:spacing w:val="-21"/>
          <w:w w:val="110"/>
        </w:rPr>
        <w:t> </w:t>
      </w:r>
      <w:r>
        <w:rPr>
          <w:color w:val="231F20"/>
          <w:w w:val="110"/>
        </w:rPr>
        <w:t>señalaron</w:t>
      </w:r>
      <w:r>
        <w:rPr>
          <w:color w:val="231F20"/>
          <w:spacing w:val="-21"/>
          <w:w w:val="110"/>
        </w:rPr>
        <w:t> </w:t>
      </w:r>
      <w:r>
        <w:rPr>
          <w:color w:val="231F20"/>
          <w:w w:val="110"/>
        </w:rPr>
        <w:t>que</w:t>
      </w:r>
      <w:r>
        <w:rPr>
          <w:color w:val="231F20"/>
          <w:spacing w:val="-21"/>
          <w:w w:val="110"/>
        </w:rPr>
        <w:t> </w:t>
      </w:r>
      <w:r>
        <w:rPr>
          <w:color w:val="231F20"/>
          <w:w w:val="110"/>
        </w:rPr>
        <w:t>para</w:t>
      </w:r>
      <w:r>
        <w:rPr>
          <w:color w:val="231F20"/>
          <w:spacing w:val="-21"/>
          <w:w w:val="110"/>
        </w:rPr>
        <w:t> </w:t>
      </w:r>
      <w:r>
        <w:rPr>
          <w:color w:val="231F20"/>
          <w:w w:val="110"/>
        </w:rPr>
        <w:t>finales</w:t>
      </w:r>
      <w:r>
        <w:rPr>
          <w:color w:val="231F20"/>
          <w:spacing w:val="-21"/>
          <w:w w:val="110"/>
        </w:rPr>
        <w:t> </w:t>
      </w:r>
      <w:r>
        <w:rPr>
          <w:color w:val="231F20"/>
          <w:w w:val="110"/>
        </w:rPr>
        <w:t>de</w:t>
      </w:r>
      <w:r>
        <w:rPr>
          <w:color w:val="231F20"/>
          <w:spacing w:val="-21"/>
          <w:w w:val="110"/>
        </w:rPr>
        <w:t> </w:t>
      </w:r>
      <w:r>
        <w:rPr>
          <w:color w:val="231F20"/>
          <w:w w:val="110"/>
        </w:rPr>
        <w:t>2009</w:t>
      </w:r>
    </w:p>
    <w:p>
      <w:pPr>
        <w:spacing w:after="0" w:line="261" w:lineRule="auto"/>
        <w:jc w:val="both"/>
        <w:sectPr>
          <w:type w:val="continuous"/>
          <w:pgSz w:w="7640" w:h="11900"/>
          <w:pgMar w:top="980" w:bottom="280" w:left="760" w:right="640"/>
        </w:sectPr>
      </w:pPr>
    </w:p>
    <w:p>
      <w:pPr>
        <w:pStyle w:val="BodyText"/>
        <w:spacing w:before="8"/>
        <w:rPr>
          <w:sz w:val="8"/>
        </w:rPr>
      </w:pPr>
    </w:p>
    <w:p>
      <w:pPr>
        <w:pStyle w:val="BodyText"/>
        <w:spacing w:line="261" w:lineRule="auto" w:before="67"/>
        <w:ind w:left="100" w:right="119"/>
        <w:jc w:val="both"/>
      </w:pPr>
      <w:r>
        <w:rPr>
          <w:color w:val="231F20"/>
          <w:w w:val="110"/>
        </w:rPr>
        <w:t>comenzaba</w:t>
      </w:r>
      <w:r>
        <w:rPr>
          <w:color w:val="231F20"/>
          <w:spacing w:val="-15"/>
          <w:w w:val="110"/>
        </w:rPr>
        <w:t> </w:t>
      </w:r>
      <w:r>
        <w:rPr>
          <w:color w:val="231F20"/>
          <w:w w:val="110"/>
        </w:rPr>
        <w:t>a</w:t>
      </w:r>
      <w:r>
        <w:rPr>
          <w:color w:val="231F20"/>
          <w:spacing w:val="-15"/>
          <w:w w:val="110"/>
        </w:rPr>
        <w:t> </w:t>
      </w:r>
      <w:r>
        <w:rPr>
          <w:color w:val="231F20"/>
          <w:w w:val="110"/>
        </w:rPr>
        <w:t>haber</w:t>
      </w:r>
      <w:r>
        <w:rPr>
          <w:color w:val="231F20"/>
          <w:spacing w:val="-15"/>
          <w:w w:val="110"/>
        </w:rPr>
        <w:t> </w:t>
      </w:r>
      <w:r>
        <w:rPr>
          <w:color w:val="231F20"/>
          <w:w w:val="110"/>
        </w:rPr>
        <w:t>visos</w:t>
      </w:r>
      <w:r>
        <w:rPr>
          <w:color w:val="231F20"/>
          <w:spacing w:val="-15"/>
          <w:w w:val="110"/>
        </w:rPr>
        <w:t> </w:t>
      </w:r>
      <w:r>
        <w:rPr>
          <w:color w:val="231F20"/>
          <w:w w:val="110"/>
        </w:rPr>
        <w:t>de</w:t>
      </w:r>
      <w:r>
        <w:rPr>
          <w:color w:val="231F20"/>
          <w:spacing w:val="-15"/>
          <w:w w:val="110"/>
        </w:rPr>
        <w:t> </w:t>
      </w:r>
      <w:r>
        <w:rPr>
          <w:color w:val="231F20"/>
          <w:w w:val="110"/>
        </w:rPr>
        <w:t>“recuperación”</w:t>
      </w:r>
      <w:r>
        <w:rPr>
          <w:color w:val="231F20"/>
          <w:spacing w:val="-15"/>
          <w:w w:val="110"/>
        </w:rPr>
        <w:t> </w:t>
      </w:r>
      <w:r>
        <w:rPr>
          <w:color w:val="231F20"/>
          <w:w w:val="110"/>
        </w:rPr>
        <w:t>en</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—que logró</w:t>
      </w:r>
      <w:r>
        <w:rPr>
          <w:color w:val="231F20"/>
          <w:spacing w:val="-21"/>
          <w:w w:val="110"/>
        </w:rPr>
        <w:t> </w:t>
      </w:r>
      <w:r>
        <w:rPr>
          <w:color w:val="231F20"/>
          <w:w w:val="110"/>
        </w:rPr>
        <w:t>un</w:t>
      </w:r>
      <w:r>
        <w:rPr>
          <w:color w:val="231F20"/>
          <w:spacing w:val="-21"/>
          <w:w w:val="110"/>
        </w:rPr>
        <w:t> </w:t>
      </w:r>
      <w:r>
        <w:rPr>
          <w:color w:val="231F20"/>
          <w:w w:val="110"/>
        </w:rPr>
        <w:t>tenue</w:t>
      </w:r>
      <w:r>
        <w:rPr>
          <w:color w:val="231F20"/>
          <w:spacing w:val="-21"/>
          <w:w w:val="110"/>
        </w:rPr>
        <w:t> </w:t>
      </w:r>
      <w:r>
        <w:rPr>
          <w:color w:val="231F20"/>
          <w:w w:val="110"/>
        </w:rPr>
        <w:t>crecimiento</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último</w:t>
      </w:r>
      <w:r>
        <w:rPr>
          <w:color w:val="231F20"/>
          <w:spacing w:val="-21"/>
          <w:w w:val="110"/>
        </w:rPr>
        <w:t> </w:t>
      </w:r>
      <w:r>
        <w:rPr>
          <w:color w:val="231F20"/>
          <w:w w:val="110"/>
        </w:rPr>
        <w:t>trimestre</w:t>
      </w:r>
      <w:r>
        <w:rPr>
          <w:color w:val="231F20"/>
          <w:spacing w:val="-21"/>
          <w:w w:val="110"/>
        </w:rPr>
        <w:t> </w:t>
      </w:r>
      <w:r>
        <w:rPr>
          <w:color w:val="231F20"/>
          <w:w w:val="110"/>
        </w:rPr>
        <w:t>de</w:t>
      </w:r>
      <w:r>
        <w:rPr>
          <w:color w:val="231F20"/>
          <w:spacing w:val="-21"/>
          <w:w w:val="110"/>
        </w:rPr>
        <w:t> </w:t>
      </w:r>
      <w:r>
        <w:rPr>
          <w:color w:val="231F20"/>
          <w:w w:val="110"/>
        </w:rPr>
        <w:t>2009</w:t>
      </w:r>
      <w:r>
        <w:rPr>
          <w:color w:val="231F20"/>
          <w:spacing w:val="-21"/>
          <w:w w:val="110"/>
        </w:rPr>
        <w:t> </w:t>
      </w:r>
      <w:r>
        <w:rPr>
          <w:color w:val="231F20"/>
          <w:w w:val="110"/>
        </w:rPr>
        <w:t>(oficialmen-</w:t>
      </w:r>
      <w:r>
        <w:rPr>
          <w:color w:val="231F20"/>
          <w:w w:val="72"/>
        </w:rPr>
        <w:t> </w:t>
      </w:r>
      <w:r>
        <w:rPr>
          <w:color w:val="231F20"/>
          <w:w w:val="110"/>
        </w:rPr>
        <w:t>te</w:t>
      </w:r>
      <w:r>
        <w:rPr>
          <w:color w:val="231F20"/>
          <w:spacing w:val="-12"/>
          <w:w w:val="110"/>
        </w:rPr>
        <w:t> </w:t>
      </w:r>
      <w:r>
        <w:rPr>
          <w:color w:val="231F20"/>
          <w:w w:val="110"/>
        </w:rPr>
        <w:t>se</w:t>
      </w:r>
      <w:r>
        <w:rPr>
          <w:color w:val="231F20"/>
          <w:spacing w:val="-12"/>
          <w:w w:val="110"/>
        </w:rPr>
        <w:t> </w:t>
      </w:r>
      <w:r>
        <w:rPr>
          <w:color w:val="231F20"/>
          <w:w w:val="110"/>
        </w:rPr>
        <w:t>habla</w:t>
      </w:r>
      <w:r>
        <w:rPr>
          <w:color w:val="231F20"/>
          <w:spacing w:val="-12"/>
          <w:w w:val="110"/>
        </w:rPr>
        <w:t> </w:t>
      </w:r>
      <w:r>
        <w:rPr>
          <w:color w:val="231F20"/>
          <w:w w:val="110"/>
        </w:rPr>
        <w:t>de</w:t>
      </w:r>
      <w:r>
        <w:rPr>
          <w:color w:val="231F20"/>
          <w:spacing w:val="-12"/>
          <w:w w:val="110"/>
        </w:rPr>
        <w:t> </w:t>
      </w:r>
      <w:r>
        <w:rPr>
          <w:color w:val="231F20"/>
          <w:w w:val="110"/>
        </w:rPr>
        <w:t>un</w:t>
      </w:r>
      <w:r>
        <w:rPr>
          <w:color w:val="231F20"/>
          <w:spacing w:val="-12"/>
          <w:w w:val="110"/>
        </w:rPr>
        <w:t> </w:t>
      </w:r>
      <w:r>
        <w:rPr>
          <w:color w:val="231F20"/>
          <w:w w:val="110"/>
        </w:rPr>
        <w:t>positivo</w:t>
      </w:r>
      <w:r>
        <w:rPr>
          <w:color w:val="231F20"/>
          <w:spacing w:val="-12"/>
          <w:w w:val="110"/>
        </w:rPr>
        <w:t> </w:t>
      </w:r>
      <w:r>
        <w:rPr>
          <w:color w:val="231F20"/>
          <w:w w:val="110"/>
        </w:rPr>
        <w:t>3.5%</w:t>
      </w:r>
      <w:r>
        <w:rPr>
          <w:color w:val="231F20"/>
          <w:spacing w:val="-12"/>
          <w:w w:val="110"/>
        </w:rPr>
        <w:t> </w:t>
      </w:r>
      <w:r>
        <w:rPr>
          <w:color w:val="231F20"/>
          <w:w w:val="110"/>
        </w:rPr>
        <w:t>entre</w:t>
      </w:r>
      <w:r>
        <w:rPr>
          <w:color w:val="231F20"/>
          <w:spacing w:val="-12"/>
          <w:w w:val="110"/>
        </w:rPr>
        <w:t> </w:t>
      </w:r>
      <w:r>
        <w:rPr>
          <w:color w:val="231F20"/>
          <w:w w:val="110"/>
        </w:rPr>
        <w:t>julio</w:t>
      </w:r>
      <w:r>
        <w:rPr>
          <w:color w:val="231F20"/>
          <w:spacing w:val="-12"/>
          <w:w w:val="110"/>
        </w:rPr>
        <w:t> </w:t>
      </w:r>
      <w:r>
        <w:rPr>
          <w:color w:val="231F20"/>
          <w:w w:val="110"/>
        </w:rPr>
        <w:t>y</w:t>
      </w:r>
      <w:r>
        <w:rPr>
          <w:color w:val="231F20"/>
          <w:spacing w:val="-12"/>
          <w:w w:val="110"/>
        </w:rPr>
        <w:t> </w:t>
      </w:r>
      <w:r>
        <w:rPr>
          <w:color w:val="231F20"/>
          <w:w w:val="110"/>
        </w:rPr>
        <w:t>septiembre)—</w:t>
      </w:r>
      <w:r>
        <w:rPr>
          <w:color w:val="231F20"/>
          <w:spacing w:val="-12"/>
          <w:w w:val="110"/>
        </w:rPr>
        <w:t> </w:t>
      </w:r>
      <w:r>
        <w:rPr>
          <w:color w:val="231F20"/>
          <w:w w:val="110"/>
        </w:rPr>
        <w:t>en</w:t>
      </w:r>
      <w:r>
        <w:rPr>
          <w:color w:val="231F20"/>
          <w:spacing w:val="-12"/>
          <w:w w:val="110"/>
        </w:rPr>
        <w:t> </w:t>
      </w:r>
      <w:r>
        <w:rPr>
          <w:color w:val="231F20"/>
          <w:w w:val="110"/>
        </w:rPr>
        <w:t>ese</w:t>
      </w:r>
      <w:r>
        <w:rPr>
          <w:color w:val="231F20"/>
          <w:spacing w:val="-12"/>
          <w:w w:val="110"/>
        </w:rPr>
        <w:t> </w:t>
      </w:r>
      <w:r>
        <w:rPr>
          <w:color w:val="231F20"/>
          <w:spacing w:val="-2"/>
          <w:w w:val="110"/>
        </w:rPr>
        <w:t>año </w:t>
      </w:r>
      <w:r>
        <w:rPr>
          <w:color w:val="231F20"/>
          <w:w w:val="110"/>
        </w:rPr>
        <w:t>la</w:t>
      </w:r>
      <w:r>
        <w:rPr>
          <w:color w:val="231F20"/>
          <w:spacing w:val="-8"/>
          <w:w w:val="110"/>
        </w:rPr>
        <w:t> </w:t>
      </w:r>
      <w:r>
        <w:rPr>
          <w:color w:val="231F20"/>
          <w:w w:val="110"/>
        </w:rPr>
        <w:t>economía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UE</w:t>
      </w:r>
      <w:r>
        <w:rPr>
          <w:color w:val="231F20"/>
          <w:spacing w:val="-8"/>
          <w:w w:val="110"/>
        </w:rPr>
        <w:t> </w:t>
      </w:r>
      <w:r>
        <w:rPr>
          <w:color w:val="231F20"/>
          <w:w w:val="110"/>
        </w:rPr>
        <w:t>cayó</w:t>
      </w:r>
      <w:r>
        <w:rPr>
          <w:color w:val="231F20"/>
          <w:spacing w:val="-8"/>
          <w:w w:val="110"/>
        </w:rPr>
        <w:t> </w:t>
      </w:r>
      <w:r>
        <w:rPr>
          <w:color w:val="231F20"/>
          <w:w w:val="110"/>
        </w:rPr>
        <w:t>4%,</w:t>
      </w:r>
      <w:r>
        <w:rPr>
          <w:color w:val="231F20"/>
          <w:spacing w:val="-8"/>
          <w:w w:val="110"/>
        </w:rPr>
        <w:t> </w:t>
      </w:r>
      <w:r>
        <w:rPr>
          <w:color w:val="231F20"/>
          <w:w w:val="110"/>
        </w:rPr>
        <w:t>que</w:t>
      </w:r>
      <w:r>
        <w:rPr>
          <w:color w:val="231F20"/>
          <w:spacing w:val="-8"/>
          <w:w w:val="110"/>
        </w:rPr>
        <w:t> </w:t>
      </w:r>
      <w:r>
        <w:rPr>
          <w:color w:val="231F20"/>
          <w:w w:val="110"/>
        </w:rPr>
        <w:t>es</w:t>
      </w:r>
      <w:r>
        <w:rPr>
          <w:color w:val="231F20"/>
          <w:spacing w:val="-8"/>
          <w:w w:val="110"/>
        </w:rPr>
        <w:t> </w:t>
      </w:r>
      <w:r>
        <w:rPr>
          <w:color w:val="231F20"/>
          <w:w w:val="110"/>
        </w:rPr>
        <w:t>la</w:t>
      </w:r>
      <w:r>
        <w:rPr>
          <w:color w:val="231F20"/>
          <w:spacing w:val="-8"/>
          <w:w w:val="110"/>
        </w:rPr>
        <w:t> </w:t>
      </w:r>
      <w:r>
        <w:rPr>
          <w:color w:val="231F20"/>
          <w:w w:val="110"/>
        </w:rPr>
        <w:t>peor</w:t>
      </w:r>
      <w:r>
        <w:rPr>
          <w:color w:val="231F20"/>
          <w:spacing w:val="-8"/>
          <w:w w:val="110"/>
        </w:rPr>
        <w:t> </w:t>
      </w:r>
      <w:r>
        <w:rPr>
          <w:color w:val="231F20"/>
          <w:w w:val="110"/>
        </w:rPr>
        <w:t>caída</w:t>
      </w:r>
      <w:r>
        <w:rPr>
          <w:color w:val="231F20"/>
          <w:spacing w:val="-8"/>
          <w:w w:val="110"/>
        </w:rPr>
        <w:t> </w:t>
      </w:r>
      <w:r>
        <w:rPr>
          <w:color w:val="231F20"/>
          <w:w w:val="110"/>
        </w:rPr>
        <w:t>desde</w:t>
      </w:r>
      <w:r>
        <w:rPr>
          <w:color w:val="231F20"/>
          <w:spacing w:val="-8"/>
          <w:w w:val="110"/>
        </w:rPr>
        <w:t> </w:t>
      </w:r>
      <w:r>
        <w:rPr>
          <w:color w:val="231F20"/>
          <w:w w:val="110"/>
        </w:rPr>
        <w:t>la</w:t>
      </w:r>
      <w:r>
        <w:rPr>
          <w:color w:val="231F20"/>
          <w:spacing w:val="-8"/>
          <w:w w:val="110"/>
        </w:rPr>
        <w:t> </w:t>
      </w:r>
      <w:r>
        <w:rPr>
          <w:color w:val="231F20"/>
          <w:w w:val="110"/>
        </w:rPr>
        <w:t>segunda guerra mundial, mientras que su producción industrial se desplomó 20%,</w:t>
      </w:r>
      <w:r>
        <w:rPr>
          <w:color w:val="231F20"/>
          <w:spacing w:val="-22"/>
          <w:w w:val="110"/>
        </w:rPr>
        <w:t> </w:t>
      </w:r>
      <w:r>
        <w:rPr>
          <w:color w:val="231F20"/>
          <w:w w:val="110"/>
        </w:rPr>
        <w:t>retrotrayendo</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estructura</w:t>
      </w:r>
      <w:r>
        <w:rPr>
          <w:color w:val="231F20"/>
          <w:spacing w:val="-22"/>
          <w:w w:val="110"/>
        </w:rPr>
        <w:t> </w:t>
      </w:r>
      <w:r>
        <w:rPr>
          <w:color w:val="231F20"/>
          <w:w w:val="110"/>
        </w:rPr>
        <w:t>industrial</w:t>
      </w:r>
      <w:r>
        <w:rPr>
          <w:color w:val="231F20"/>
          <w:spacing w:val="-22"/>
          <w:w w:val="110"/>
        </w:rPr>
        <w:t> </w:t>
      </w:r>
      <w:r>
        <w:rPr>
          <w:color w:val="231F20"/>
          <w:w w:val="110"/>
        </w:rPr>
        <w:t>europea</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situación</w:t>
      </w:r>
      <w:r>
        <w:rPr>
          <w:color w:val="231F20"/>
          <w:spacing w:val="-22"/>
          <w:w w:val="110"/>
        </w:rPr>
        <w:t> </w:t>
      </w:r>
      <w:r>
        <w:rPr>
          <w:color w:val="231F20"/>
          <w:spacing w:val="-2"/>
          <w:w w:val="110"/>
        </w:rPr>
        <w:t>que </w:t>
      </w:r>
      <w:r>
        <w:rPr>
          <w:color w:val="231F20"/>
          <w:w w:val="110"/>
        </w:rPr>
        <w:t>mantenía</w:t>
      </w:r>
      <w:r>
        <w:rPr>
          <w:color w:val="231F20"/>
          <w:spacing w:val="-6"/>
          <w:w w:val="110"/>
        </w:rPr>
        <w:t> </w:t>
      </w:r>
      <w:r>
        <w:rPr>
          <w:color w:val="231F20"/>
          <w:w w:val="110"/>
        </w:rPr>
        <w:t>a</w:t>
      </w:r>
      <w:r>
        <w:rPr>
          <w:color w:val="231F20"/>
          <w:spacing w:val="-6"/>
          <w:w w:val="110"/>
        </w:rPr>
        <w:t> </w:t>
      </w:r>
      <w:r>
        <w:rPr>
          <w:color w:val="231F20"/>
          <w:w w:val="110"/>
        </w:rPr>
        <w:t>mediados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noventa</w:t>
      </w:r>
      <w:r>
        <w:rPr>
          <w:color w:val="231F20"/>
          <w:spacing w:val="-6"/>
          <w:w w:val="110"/>
        </w:rPr>
        <w:t> </w:t>
      </w:r>
      <w:r>
        <w:rPr>
          <w:color w:val="231F20"/>
          <w:w w:val="110"/>
        </w:rPr>
        <w:t>del</w:t>
      </w:r>
      <w:r>
        <w:rPr>
          <w:color w:val="231F20"/>
          <w:spacing w:val="-6"/>
          <w:w w:val="110"/>
        </w:rPr>
        <w:t> </w:t>
      </w:r>
      <w:r>
        <w:rPr>
          <w:color w:val="231F20"/>
          <w:w w:val="110"/>
        </w:rPr>
        <w:t>siglo</w:t>
      </w:r>
      <w:r>
        <w:rPr>
          <w:color w:val="231F20"/>
          <w:spacing w:val="-6"/>
          <w:w w:val="110"/>
        </w:rPr>
        <w:t> </w:t>
      </w:r>
      <w:r>
        <w:rPr>
          <w:color w:val="231F20"/>
          <w:w w:val="110"/>
        </w:rPr>
        <w:t>pasado.</w:t>
      </w:r>
    </w:p>
    <w:p>
      <w:pPr>
        <w:pStyle w:val="BodyText"/>
        <w:spacing w:line="261" w:lineRule="auto"/>
        <w:ind w:left="100" w:right="117" w:firstLine="240"/>
        <w:jc w:val="both"/>
      </w:pPr>
      <w:r>
        <w:rPr>
          <w:color w:val="231F20"/>
          <w:w w:val="110"/>
        </w:rPr>
        <w:t>Pero</w:t>
      </w:r>
      <w:r>
        <w:rPr>
          <w:color w:val="231F20"/>
          <w:spacing w:val="-8"/>
          <w:w w:val="110"/>
        </w:rPr>
        <w:t> </w:t>
      </w:r>
      <w:r>
        <w:rPr>
          <w:color w:val="231F20"/>
          <w:w w:val="110"/>
        </w:rPr>
        <w:t>no</w:t>
      </w:r>
      <w:r>
        <w:rPr>
          <w:color w:val="231F20"/>
          <w:spacing w:val="-8"/>
          <w:w w:val="110"/>
        </w:rPr>
        <w:t> </w:t>
      </w:r>
      <w:r>
        <w:rPr>
          <w:color w:val="231F20"/>
          <w:w w:val="110"/>
        </w:rPr>
        <w:t>debemos</w:t>
      </w:r>
      <w:r>
        <w:rPr>
          <w:color w:val="231F20"/>
          <w:spacing w:val="-8"/>
          <w:w w:val="110"/>
        </w:rPr>
        <w:t> </w:t>
      </w:r>
      <w:r>
        <w:rPr>
          <w:color w:val="231F20"/>
          <w:w w:val="110"/>
        </w:rPr>
        <w:t>llamarnos</w:t>
      </w:r>
      <w:r>
        <w:rPr>
          <w:color w:val="231F20"/>
          <w:spacing w:val="-8"/>
          <w:w w:val="110"/>
        </w:rPr>
        <w:t> </w:t>
      </w:r>
      <w:r>
        <w:rPr>
          <w:color w:val="231F20"/>
          <w:w w:val="110"/>
        </w:rPr>
        <w:t>a</w:t>
      </w:r>
      <w:r>
        <w:rPr>
          <w:color w:val="231F20"/>
          <w:spacing w:val="-8"/>
          <w:w w:val="110"/>
        </w:rPr>
        <w:t> </w:t>
      </w:r>
      <w:r>
        <w:rPr>
          <w:color w:val="231F20"/>
          <w:w w:val="110"/>
        </w:rPr>
        <w:t>engaño:</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—y</w:t>
      </w:r>
      <w:r>
        <w:rPr>
          <w:color w:val="231F20"/>
          <w:spacing w:val="-8"/>
          <w:w w:val="110"/>
        </w:rPr>
        <w:t> </w:t>
      </w:r>
      <w:r>
        <w:rPr>
          <w:color w:val="231F20"/>
          <w:w w:val="110"/>
        </w:rPr>
        <w:t>más tarde en los países de la Unión Europea— con una tasa de desem- pleo abierto superior a 10%, ese crecimiento trimestral obedece a la decidida intervención del Estado en la salvaguarda de las quiebras de las empresas transnacionales y a una defensa incondicional del capital</w:t>
      </w:r>
      <w:r>
        <w:rPr>
          <w:color w:val="231F20"/>
          <w:spacing w:val="-14"/>
          <w:w w:val="110"/>
        </w:rPr>
        <w:t> </w:t>
      </w:r>
      <w:r>
        <w:rPr>
          <w:color w:val="231F20"/>
          <w:w w:val="110"/>
        </w:rPr>
        <w:t>financiero</w:t>
      </w:r>
      <w:r>
        <w:rPr>
          <w:color w:val="231F20"/>
          <w:spacing w:val="-14"/>
          <w:w w:val="110"/>
        </w:rPr>
        <w:t> </w:t>
      </w:r>
      <w:r>
        <w:rPr>
          <w:color w:val="231F20"/>
          <w:w w:val="110"/>
        </w:rPr>
        <w:t>especulativo,</w:t>
      </w:r>
      <w:r>
        <w:rPr>
          <w:color w:val="231F20"/>
          <w:spacing w:val="-14"/>
          <w:w w:val="110"/>
        </w:rPr>
        <w:t> </w:t>
      </w:r>
      <w:r>
        <w:rPr>
          <w:color w:val="231F20"/>
          <w:w w:val="110"/>
        </w:rPr>
        <w:t>inmobiliario</w:t>
      </w:r>
      <w:r>
        <w:rPr>
          <w:color w:val="231F20"/>
          <w:spacing w:val="-14"/>
          <w:w w:val="110"/>
        </w:rPr>
        <w:t> </w:t>
      </w:r>
      <w:r>
        <w:rPr>
          <w:color w:val="231F20"/>
          <w:w w:val="110"/>
        </w:rPr>
        <w:t>y</w:t>
      </w:r>
      <w:r>
        <w:rPr>
          <w:color w:val="231F20"/>
          <w:spacing w:val="-14"/>
          <w:w w:val="110"/>
        </w:rPr>
        <w:t> </w:t>
      </w:r>
      <w:r>
        <w:rPr>
          <w:color w:val="231F20"/>
          <w:w w:val="110"/>
        </w:rPr>
        <w:t>crediticio</w:t>
      </w:r>
      <w:r>
        <w:rPr>
          <w:color w:val="231F20"/>
          <w:spacing w:val="-14"/>
          <w:w w:val="110"/>
        </w:rPr>
        <w:t> </w:t>
      </w:r>
      <w:r>
        <w:rPr>
          <w:color w:val="231F20"/>
          <w:w w:val="110"/>
        </w:rPr>
        <w:t>que</w:t>
      </w:r>
      <w:r>
        <w:rPr>
          <w:color w:val="231F20"/>
          <w:spacing w:val="-14"/>
          <w:w w:val="110"/>
        </w:rPr>
        <w:t> </w:t>
      </w:r>
      <w:r>
        <w:rPr>
          <w:color w:val="231F20"/>
          <w:w w:val="110"/>
        </w:rPr>
        <w:t>posibili- tó dicha recuperación. En particular, a ello coadyuvaron las</w:t>
      </w:r>
      <w:r>
        <w:rPr>
          <w:color w:val="231F20"/>
          <w:spacing w:val="-32"/>
          <w:w w:val="110"/>
        </w:rPr>
        <w:t> </w:t>
      </w:r>
      <w:r>
        <w:rPr>
          <w:color w:val="231F20"/>
          <w:w w:val="110"/>
        </w:rPr>
        <w:t>políticas de estímulo fiscal del gobierno estadunidense en combinación con políticas monetarias de los tipos de interés de nivel cero favorables al gran</w:t>
      </w:r>
      <w:r>
        <w:rPr>
          <w:color w:val="231F20"/>
          <w:spacing w:val="9"/>
          <w:w w:val="110"/>
        </w:rPr>
        <w:t> </w:t>
      </w:r>
      <w:r>
        <w:rPr>
          <w:color w:val="231F20"/>
          <w:w w:val="110"/>
        </w:rPr>
        <w:t>capital.</w:t>
      </w:r>
    </w:p>
    <w:p>
      <w:pPr>
        <w:pStyle w:val="BodyText"/>
        <w:spacing w:line="261" w:lineRule="auto"/>
        <w:ind w:left="100" w:right="117" w:firstLine="240"/>
        <w:jc w:val="both"/>
      </w:pPr>
      <w:r>
        <w:rPr>
          <w:color w:val="231F20"/>
          <w:w w:val="110"/>
        </w:rPr>
        <w:t>Los signos que indican que las bolsas de valores estén arrojando ganancias, revela que se está formando otra poderosa “burbuja”</w:t>
      </w:r>
      <w:r>
        <w:rPr>
          <w:color w:val="231F20"/>
          <w:spacing w:val="-30"/>
          <w:w w:val="110"/>
        </w:rPr>
        <w:t> </w:t>
      </w:r>
      <w:r>
        <w:rPr>
          <w:color w:val="231F20"/>
          <w:w w:val="110"/>
        </w:rPr>
        <w:t>que, en el momento en que estalle, hará sacudir los cimientos del sistema capitalista en el entorno de un grave endeudamiento público de los Estados</w:t>
      </w:r>
      <w:r>
        <w:rPr>
          <w:color w:val="231F20"/>
          <w:spacing w:val="-31"/>
          <w:w w:val="110"/>
        </w:rPr>
        <w:t> </w:t>
      </w:r>
      <w:r>
        <w:rPr>
          <w:color w:val="231F20"/>
          <w:w w:val="110"/>
        </w:rPr>
        <w:t>capitalistas</w:t>
      </w:r>
      <w:r>
        <w:rPr>
          <w:color w:val="231F20"/>
          <w:spacing w:val="-31"/>
          <w:w w:val="110"/>
        </w:rPr>
        <w:t> </w:t>
      </w:r>
      <w:r>
        <w:rPr>
          <w:color w:val="231F20"/>
          <w:w w:val="110"/>
        </w:rPr>
        <w:t>desarrollados.</w:t>
      </w:r>
    </w:p>
    <w:p>
      <w:pPr>
        <w:pStyle w:val="BodyText"/>
      </w:pPr>
    </w:p>
    <w:p>
      <w:pPr>
        <w:pStyle w:val="BodyText"/>
      </w:pPr>
    </w:p>
    <w:p>
      <w:pPr>
        <w:pStyle w:val="BodyText"/>
        <w:spacing w:before="2"/>
        <w:rPr>
          <w:sz w:val="25"/>
        </w:rPr>
      </w:pPr>
    </w:p>
    <w:p>
      <w:pPr>
        <w:pStyle w:val="BodyText"/>
        <w:ind w:left="100"/>
        <w:jc w:val="both"/>
      </w:pPr>
      <w:r>
        <w:rPr>
          <w:color w:val="231F20"/>
          <w:w w:val="125"/>
        </w:rPr>
        <w:t>crisis de producción de valor y valorización del  capital</w:t>
      </w:r>
    </w:p>
    <w:p>
      <w:pPr>
        <w:pStyle w:val="BodyText"/>
        <w:spacing w:before="5"/>
        <w:rPr>
          <w:sz w:val="23"/>
        </w:rPr>
      </w:pPr>
    </w:p>
    <w:p>
      <w:pPr>
        <w:pStyle w:val="BodyText"/>
        <w:spacing w:line="261" w:lineRule="auto"/>
        <w:ind w:left="100" w:right="113"/>
        <w:jc w:val="both"/>
      </w:pPr>
      <w:r>
        <w:rPr>
          <w:color w:val="231F20"/>
          <w:w w:val="110"/>
        </w:rPr>
        <w:t>Son</w:t>
      </w:r>
      <w:r>
        <w:rPr>
          <w:color w:val="231F20"/>
          <w:spacing w:val="-10"/>
          <w:w w:val="110"/>
        </w:rPr>
        <w:t> </w:t>
      </w:r>
      <w:r>
        <w:rPr>
          <w:color w:val="231F20"/>
          <w:w w:val="110"/>
        </w:rPr>
        <w:t>muchas</w:t>
      </w:r>
      <w:r>
        <w:rPr>
          <w:color w:val="231F20"/>
          <w:spacing w:val="-11"/>
          <w:w w:val="110"/>
        </w:rPr>
        <w:t> </w:t>
      </w:r>
      <w:r>
        <w:rPr>
          <w:color w:val="231F20"/>
          <w:w w:val="110"/>
        </w:rPr>
        <w:t>las</w:t>
      </w:r>
      <w:r>
        <w:rPr>
          <w:color w:val="231F20"/>
          <w:spacing w:val="-11"/>
          <w:w w:val="110"/>
        </w:rPr>
        <w:t> </w:t>
      </w:r>
      <w:r>
        <w:rPr>
          <w:color w:val="231F20"/>
          <w:w w:val="110"/>
        </w:rPr>
        <w:t>hipótesis</w:t>
      </w:r>
      <w:r>
        <w:rPr>
          <w:color w:val="231F20"/>
          <w:spacing w:val="-10"/>
          <w:w w:val="110"/>
        </w:rPr>
        <w:t> </w:t>
      </w:r>
      <w:r>
        <w:rPr>
          <w:color w:val="231F20"/>
          <w:w w:val="110"/>
        </w:rPr>
        <w:t>y</w:t>
      </w:r>
      <w:r>
        <w:rPr>
          <w:color w:val="231F20"/>
          <w:spacing w:val="-11"/>
          <w:w w:val="110"/>
        </w:rPr>
        <w:t> </w:t>
      </w:r>
      <w:r>
        <w:rPr>
          <w:color w:val="231F20"/>
          <w:w w:val="110"/>
        </w:rPr>
        <w:t>ellas</w:t>
      </w:r>
      <w:r>
        <w:rPr>
          <w:color w:val="231F20"/>
          <w:spacing w:val="-10"/>
          <w:w w:val="110"/>
        </w:rPr>
        <w:t> </w:t>
      </w:r>
      <w:r>
        <w:rPr>
          <w:color w:val="231F20"/>
          <w:w w:val="110"/>
        </w:rPr>
        <w:t>han</w:t>
      </w:r>
      <w:r>
        <w:rPr>
          <w:color w:val="231F20"/>
          <w:spacing w:val="-10"/>
          <w:w w:val="110"/>
        </w:rPr>
        <w:t> </w:t>
      </w:r>
      <w:r>
        <w:rPr>
          <w:color w:val="231F20"/>
          <w:w w:val="110"/>
        </w:rPr>
        <w:t>sido</w:t>
      </w:r>
      <w:r>
        <w:rPr>
          <w:color w:val="231F20"/>
          <w:spacing w:val="-11"/>
          <w:w w:val="110"/>
        </w:rPr>
        <w:t> </w:t>
      </w:r>
      <w:r>
        <w:rPr>
          <w:color w:val="231F20"/>
          <w:w w:val="110"/>
        </w:rPr>
        <w:t>esbozadas</w:t>
      </w:r>
      <w:r>
        <w:rPr>
          <w:color w:val="231F20"/>
          <w:spacing w:val="-11"/>
          <w:w w:val="110"/>
        </w:rPr>
        <w:t> </w:t>
      </w:r>
      <w:r>
        <w:rPr>
          <w:color w:val="231F20"/>
          <w:w w:val="110"/>
        </w:rPr>
        <w:t>por</w:t>
      </w:r>
      <w:r>
        <w:rPr>
          <w:color w:val="231F20"/>
          <w:spacing w:val="-10"/>
          <w:w w:val="110"/>
        </w:rPr>
        <w:t> </w:t>
      </w:r>
      <w:r>
        <w:rPr>
          <w:color w:val="231F20"/>
          <w:w w:val="110"/>
        </w:rPr>
        <w:t>una</w:t>
      </w:r>
      <w:r>
        <w:rPr>
          <w:color w:val="231F20"/>
          <w:spacing w:val="-11"/>
          <w:w w:val="110"/>
        </w:rPr>
        <w:t> </w:t>
      </w:r>
      <w:r>
        <w:rPr>
          <w:color w:val="231F20"/>
          <w:w w:val="110"/>
        </w:rPr>
        <w:t>variedad de autores especialistas en el tema de la crisis. Nosotros nos ubica- mos en la perspectiva de la teoría del valor-trabajo: cuanto mayor   es el desarrollo capitalista afianzado en el aumento de la capacidad productiva —debida al progreso tecnológico y al desarrollo de las fuerzas productivas materiales de la sociedad capitalista global—, tanto</w:t>
      </w:r>
      <w:r>
        <w:rPr>
          <w:color w:val="231F20"/>
          <w:spacing w:val="24"/>
          <w:w w:val="110"/>
        </w:rPr>
        <w:t> </w:t>
      </w:r>
      <w:r>
        <w:rPr>
          <w:color w:val="231F20"/>
          <w:w w:val="110"/>
        </w:rPr>
        <w:t>menor</w:t>
      </w:r>
      <w:r>
        <w:rPr>
          <w:color w:val="231F20"/>
          <w:spacing w:val="24"/>
          <w:w w:val="110"/>
        </w:rPr>
        <w:t> </w:t>
      </w:r>
      <w:r>
        <w:rPr>
          <w:color w:val="231F20"/>
          <w:w w:val="110"/>
        </w:rPr>
        <w:t>es</w:t>
      </w:r>
      <w:r>
        <w:rPr>
          <w:color w:val="231F20"/>
          <w:spacing w:val="24"/>
          <w:w w:val="110"/>
        </w:rPr>
        <w:t> </w:t>
      </w:r>
      <w:r>
        <w:rPr>
          <w:color w:val="231F20"/>
          <w:w w:val="110"/>
        </w:rPr>
        <w:t>la</w:t>
      </w:r>
      <w:r>
        <w:rPr>
          <w:color w:val="231F20"/>
          <w:spacing w:val="24"/>
          <w:w w:val="110"/>
        </w:rPr>
        <w:t> </w:t>
      </w:r>
      <w:r>
        <w:rPr>
          <w:color w:val="231F20"/>
          <w:w w:val="110"/>
        </w:rPr>
        <w:t>reducción</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magnitud</w:t>
      </w:r>
      <w:r>
        <w:rPr>
          <w:color w:val="231F20"/>
          <w:spacing w:val="24"/>
          <w:w w:val="110"/>
        </w:rPr>
        <w:t> </w:t>
      </w:r>
      <w:r>
        <w:rPr>
          <w:color w:val="231F20"/>
          <w:w w:val="110"/>
        </w:rPr>
        <w:t>(I)</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que</w:t>
      </w:r>
      <w:r>
        <w:rPr>
          <w:color w:val="231F20"/>
          <w:spacing w:val="24"/>
          <w:w w:val="110"/>
        </w:rPr>
        <w:t> </w:t>
      </w:r>
      <w:r>
        <w:rPr>
          <w:color w:val="231F20"/>
          <w:w w:val="110"/>
        </w:rPr>
        <w:t>depende</w:t>
      </w:r>
    </w:p>
    <w:p>
      <w:pPr>
        <w:pStyle w:val="BodyText"/>
        <w:spacing w:line="261" w:lineRule="auto"/>
        <w:ind w:left="100" w:right="117"/>
        <w:jc w:val="both"/>
      </w:pPr>
      <w:r>
        <w:rPr>
          <w:color w:val="231F20"/>
          <w:w w:val="110"/>
        </w:rPr>
        <w:t>—dentro de la jornada de trabajo— el valor medio de la fuerza de trabajo determinado por el tiempo de trabajo socialmente necesario para su reproducción. Ocurre, entonces, una producción cada vez menor de valor que castiga severamente la producción de plusvalía y, en el largo plazo, provoca la caída de la tasa de ganancia. Ésta  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w:t>
      </w:r>
      <w:r>
        <w:rPr>
          <w:color w:val="231F20"/>
          <w:spacing w:val="-5"/>
          <w:w w:val="110"/>
        </w:rPr>
        <w:t> </w:t>
      </w:r>
      <w:r>
        <w:rPr>
          <w:color w:val="231F20"/>
          <w:w w:val="110"/>
        </w:rPr>
        <w:t>primera</w:t>
      </w:r>
      <w:r>
        <w:rPr>
          <w:color w:val="231F20"/>
          <w:spacing w:val="-5"/>
          <w:w w:val="110"/>
        </w:rPr>
        <w:t> </w:t>
      </w:r>
      <w:r>
        <w:rPr>
          <w:color w:val="231F20"/>
          <w:w w:val="110"/>
        </w:rPr>
        <w:t>hipótesis</w:t>
      </w:r>
      <w:r>
        <w:rPr>
          <w:color w:val="231F20"/>
          <w:spacing w:val="-5"/>
          <w:w w:val="110"/>
        </w:rPr>
        <w:t> </w:t>
      </w:r>
      <w:r>
        <w:rPr>
          <w:color w:val="231F20"/>
          <w:w w:val="110"/>
        </w:rPr>
        <w:t>que</w:t>
      </w:r>
      <w:r>
        <w:rPr>
          <w:color w:val="231F20"/>
          <w:spacing w:val="-5"/>
          <w:w w:val="110"/>
        </w:rPr>
        <w:t> </w:t>
      </w:r>
      <w:r>
        <w:rPr>
          <w:color w:val="231F20"/>
          <w:w w:val="110"/>
        </w:rPr>
        <w:t>planteamos.</w:t>
      </w:r>
      <w:r>
        <w:rPr>
          <w:color w:val="231F20"/>
          <w:spacing w:val="-5"/>
          <w:w w:val="110"/>
        </w:rPr>
        <w:t> </w:t>
      </w:r>
      <w:r>
        <w:rPr>
          <w:color w:val="231F20"/>
          <w:w w:val="110"/>
        </w:rPr>
        <w:t>La</w:t>
      </w:r>
      <w:r>
        <w:rPr>
          <w:color w:val="231F20"/>
          <w:spacing w:val="-5"/>
          <w:w w:val="110"/>
        </w:rPr>
        <w:t> </w:t>
      </w:r>
      <w:r>
        <w:rPr>
          <w:color w:val="231F20"/>
          <w:w w:val="110"/>
        </w:rPr>
        <w:t>segunda</w:t>
      </w:r>
      <w:r>
        <w:rPr>
          <w:color w:val="231F20"/>
          <w:spacing w:val="-5"/>
          <w:w w:val="110"/>
        </w:rPr>
        <w:t> </w:t>
      </w:r>
      <w:r>
        <w:rPr>
          <w:color w:val="231F20"/>
          <w:w w:val="110"/>
        </w:rPr>
        <w:t>hipótesis,</w:t>
      </w:r>
      <w:r>
        <w:rPr>
          <w:color w:val="231F20"/>
          <w:spacing w:val="-5"/>
          <w:w w:val="110"/>
        </w:rPr>
        <w:t> </w:t>
      </w:r>
      <w:r>
        <w:rPr>
          <w:color w:val="231F20"/>
          <w:w w:val="110"/>
        </w:rPr>
        <w:t>se</w:t>
      </w:r>
      <w:r>
        <w:rPr>
          <w:color w:val="231F20"/>
          <w:spacing w:val="-5"/>
          <w:w w:val="110"/>
        </w:rPr>
        <w:t> </w:t>
      </w:r>
      <w:r>
        <w:rPr>
          <w:color w:val="231F20"/>
          <w:w w:val="110"/>
        </w:rPr>
        <w:t>refiere al hecho de que, derivado de la anterior, la magnitud (II) relativa     a la plusvalía, o tiempo de trabajo excedente no remunerado al tra- </w:t>
      </w:r>
      <w:r>
        <w:rPr>
          <w:color w:val="231F20"/>
          <w:spacing w:val="-3"/>
          <w:w w:val="110"/>
        </w:rPr>
        <w:t>bajador, </w:t>
      </w:r>
      <w:r>
        <w:rPr>
          <w:color w:val="231F20"/>
          <w:w w:val="110"/>
        </w:rPr>
        <w:t>presenta cada vez más dificultades para aumentar; en otras palabras</w:t>
      </w:r>
      <w:r>
        <w:rPr>
          <w:color w:val="231F20"/>
          <w:spacing w:val="-10"/>
          <w:w w:val="110"/>
        </w:rPr>
        <w:t> </w:t>
      </w:r>
      <w:r>
        <w:rPr>
          <w:color w:val="231F20"/>
          <w:w w:val="110"/>
        </w:rPr>
        <w:t>su</w:t>
      </w:r>
      <w:r>
        <w:rPr>
          <w:color w:val="231F20"/>
          <w:spacing w:val="-10"/>
          <w:w w:val="110"/>
        </w:rPr>
        <w:t> </w:t>
      </w:r>
      <w:r>
        <w:rPr>
          <w:color w:val="231F20"/>
          <w:w w:val="110"/>
        </w:rPr>
        <w:t>crecimiento</w:t>
      </w:r>
      <w:r>
        <w:rPr>
          <w:color w:val="231F20"/>
          <w:spacing w:val="-10"/>
          <w:w w:val="110"/>
        </w:rPr>
        <w:t> </w:t>
      </w:r>
      <w:r>
        <w:rPr>
          <w:color w:val="231F20"/>
          <w:w w:val="110"/>
        </w:rPr>
        <w:t>se</w:t>
      </w:r>
      <w:r>
        <w:rPr>
          <w:color w:val="231F20"/>
          <w:spacing w:val="-10"/>
          <w:w w:val="110"/>
        </w:rPr>
        <w:t> </w:t>
      </w:r>
      <w:r>
        <w:rPr>
          <w:color w:val="231F20"/>
          <w:w w:val="110"/>
        </w:rPr>
        <w:t>convierte</w:t>
      </w:r>
      <w:r>
        <w:rPr>
          <w:color w:val="231F20"/>
          <w:spacing w:val="-10"/>
          <w:w w:val="110"/>
        </w:rPr>
        <w:t> </w:t>
      </w:r>
      <w:r>
        <w:rPr>
          <w:color w:val="231F20"/>
          <w:w w:val="110"/>
        </w:rPr>
        <w:t>en</w:t>
      </w:r>
      <w:r>
        <w:rPr>
          <w:color w:val="231F20"/>
          <w:spacing w:val="-10"/>
          <w:w w:val="110"/>
        </w:rPr>
        <w:t> </w:t>
      </w:r>
      <w:r>
        <w:rPr>
          <w:color w:val="231F20"/>
          <w:w w:val="110"/>
        </w:rPr>
        <w:t>marginal,</w:t>
      </w:r>
      <w:r>
        <w:rPr>
          <w:color w:val="231F20"/>
          <w:spacing w:val="-10"/>
          <w:w w:val="110"/>
        </w:rPr>
        <w:t> </w:t>
      </w:r>
      <w:r>
        <w:rPr>
          <w:color w:val="231F20"/>
          <w:w w:val="110"/>
        </w:rPr>
        <w:t>es</w:t>
      </w:r>
      <w:r>
        <w:rPr>
          <w:color w:val="231F20"/>
          <w:spacing w:val="-10"/>
          <w:w w:val="110"/>
        </w:rPr>
        <w:t> </w:t>
      </w:r>
      <w:r>
        <w:rPr>
          <w:color w:val="231F20"/>
          <w:spacing w:val="-3"/>
          <w:w w:val="110"/>
        </w:rPr>
        <w:t>decir,</w:t>
      </w:r>
      <w:r>
        <w:rPr>
          <w:color w:val="231F20"/>
          <w:spacing w:val="-10"/>
          <w:w w:val="110"/>
        </w:rPr>
        <w:t> </w:t>
      </w:r>
      <w:r>
        <w:rPr>
          <w:color w:val="231F20"/>
          <w:w w:val="110"/>
        </w:rPr>
        <w:t>crece</w:t>
      </w:r>
      <w:r>
        <w:rPr>
          <w:color w:val="231F20"/>
          <w:spacing w:val="-10"/>
          <w:w w:val="110"/>
        </w:rPr>
        <w:t> </w:t>
      </w:r>
      <w:r>
        <w:rPr>
          <w:color w:val="231F20"/>
          <w:w w:val="110"/>
        </w:rPr>
        <w:t>cada vez menos al grado de que podría llegar un punto en que cese, pero, entonces, el sistema se desplomaría. Este momento marca la irrup- ción de la crisis, de las rupturas y de las mutaciones en los órdenes económico,</w:t>
      </w:r>
      <w:r>
        <w:rPr>
          <w:color w:val="231F20"/>
          <w:spacing w:val="-9"/>
          <w:w w:val="110"/>
        </w:rPr>
        <w:t> </w:t>
      </w:r>
      <w:r>
        <w:rPr>
          <w:color w:val="231F20"/>
          <w:w w:val="110"/>
        </w:rPr>
        <w:t>social</w:t>
      </w:r>
      <w:r>
        <w:rPr>
          <w:color w:val="231F20"/>
          <w:spacing w:val="-9"/>
          <w:w w:val="110"/>
        </w:rPr>
        <w:t> </w:t>
      </w:r>
      <w:r>
        <w:rPr>
          <w:color w:val="231F20"/>
          <w:w w:val="110"/>
        </w:rPr>
        <w:t>y</w:t>
      </w:r>
      <w:r>
        <w:rPr>
          <w:color w:val="231F20"/>
          <w:spacing w:val="-9"/>
          <w:w w:val="110"/>
        </w:rPr>
        <w:t> </w:t>
      </w:r>
      <w:r>
        <w:rPr>
          <w:color w:val="231F20"/>
          <w:w w:val="110"/>
        </w:rPr>
        <w:t>político</w:t>
      </w:r>
      <w:r>
        <w:rPr>
          <w:color w:val="231F20"/>
          <w:spacing w:val="-9"/>
          <w:w w:val="110"/>
        </w:rPr>
        <w:t> </w:t>
      </w:r>
      <w:r>
        <w:rPr>
          <w:color w:val="231F20"/>
          <w:w w:val="110"/>
        </w:rPr>
        <w:t>(Marx,</w:t>
      </w:r>
      <w:r>
        <w:rPr>
          <w:color w:val="231F20"/>
          <w:spacing w:val="-9"/>
          <w:w w:val="110"/>
        </w:rPr>
        <w:t> </w:t>
      </w:r>
      <w:r>
        <w:rPr>
          <w:color w:val="231F20"/>
          <w:w w:val="110"/>
        </w:rPr>
        <w:t>1980</w:t>
      </w:r>
      <w:r>
        <w:rPr>
          <w:color w:val="231F20"/>
          <w:spacing w:val="-9"/>
          <w:w w:val="110"/>
        </w:rPr>
        <w:t> </w:t>
      </w:r>
      <w:r>
        <w:rPr>
          <w:color w:val="231F20"/>
          <w:w w:val="110"/>
        </w:rPr>
        <w:t>y</w:t>
      </w:r>
      <w:r>
        <w:rPr>
          <w:color w:val="231F20"/>
          <w:spacing w:val="-9"/>
          <w:w w:val="110"/>
        </w:rPr>
        <w:t> </w:t>
      </w:r>
      <w:r>
        <w:rPr>
          <w:color w:val="231F20"/>
          <w:w w:val="110"/>
        </w:rPr>
        <w:t>Sotelo,</w:t>
      </w:r>
      <w:r>
        <w:rPr>
          <w:color w:val="231F20"/>
          <w:spacing w:val="-9"/>
          <w:w w:val="110"/>
        </w:rPr>
        <w:t> </w:t>
      </w:r>
      <w:r>
        <w:rPr>
          <w:color w:val="231F20"/>
          <w:w w:val="110"/>
        </w:rPr>
        <w:t>2010).</w:t>
      </w:r>
    </w:p>
    <w:p>
      <w:pPr>
        <w:pStyle w:val="BodyText"/>
      </w:pPr>
    </w:p>
    <w:p>
      <w:pPr>
        <w:pStyle w:val="BodyText"/>
      </w:pPr>
    </w:p>
    <w:p>
      <w:pPr>
        <w:pStyle w:val="BodyText"/>
        <w:spacing w:before="2"/>
        <w:rPr>
          <w:sz w:val="25"/>
        </w:rPr>
      </w:pPr>
    </w:p>
    <w:p>
      <w:pPr>
        <w:pStyle w:val="BodyText"/>
        <w:ind w:left="100"/>
        <w:jc w:val="both"/>
      </w:pPr>
      <w:r>
        <w:rPr>
          <w:color w:val="231F20"/>
          <w:w w:val="130"/>
        </w:rPr>
        <w:t>dos etapas de la crisis estructural del capital</w:t>
      </w:r>
    </w:p>
    <w:p>
      <w:pPr>
        <w:pStyle w:val="BodyText"/>
        <w:spacing w:before="5"/>
        <w:rPr>
          <w:sz w:val="23"/>
        </w:rPr>
      </w:pPr>
    </w:p>
    <w:p>
      <w:pPr>
        <w:pStyle w:val="BodyText"/>
        <w:spacing w:line="261" w:lineRule="auto"/>
        <w:ind w:left="100" w:right="117"/>
        <w:jc w:val="both"/>
      </w:pPr>
      <w:r>
        <w:rPr>
          <w:color w:val="231F20"/>
          <w:w w:val="110"/>
        </w:rPr>
        <w:t>Si la crisis capitalista no es manejada con cuidado por sus respon- sables (gobiernos, empresarios y especuladores) —y escapa a sus expectativas— podría convertirse en una crisis mundial del régimen capitalista. En breve, partiendo de su bifurcación desde el centro del centro</w:t>
      </w:r>
      <w:r>
        <w:rPr>
          <w:color w:val="231F20"/>
          <w:spacing w:val="-11"/>
          <w:w w:val="110"/>
        </w:rPr>
        <w:t> </w:t>
      </w:r>
      <w:r>
        <w:rPr>
          <w:color w:val="231F20"/>
          <w:w w:val="110"/>
        </w:rPr>
        <w:t>(constituido</w:t>
      </w:r>
      <w:r>
        <w:rPr>
          <w:color w:val="231F20"/>
          <w:spacing w:val="-11"/>
          <w:w w:val="110"/>
        </w:rPr>
        <w:t> </w:t>
      </w:r>
      <w:r>
        <w:rPr>
          <w:color w:val="231F20"/>
          <w:w w:val="110"/>
        </w:rPr>
        <w:t>por</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se</w:t>
      </w:r>
      <w:r>
        <w:rPr>
          <w:color w:val="231F20"/>
          <w:spacing w:val="-11"/>
          <w:w w:val="110"/>
        </w:rPr>
        <w:t> </w:t>
      </w:r>
      <w:r>
        <w:rPr>
          <w:color w:val="231F20"/>
          <w:w w:val="110"/>
        </w:rPr>
        <w:t>irradió</w:t>
      </w:r>
      <w:r>
        <w:rPr>
          <w:color w:val="231F20"/>
          <w:spacing w:val="-11"/>
          <w:w w:val="110"/>
        </w:rPr>
        <w:t> </w:t>
      </w:r>
      <w:r>
        <w:rPr>
          <w:color w:val="231F20"/>
          <w:w w:val="110"/>
        </w:rPr>
        <w:t>hacia</w:t>
      </w:r>
      <w:r>
        <w:rPr>
          <w:color w:val="231F20"/>
          <w:spacing w:val="-11"/>
          <w:w w:val="110"/>
        </w:rPr>
        <w:t> </w:t>
      </w:r>
      <w:r>
        <w:rPr>
          <w:color w:val="231F20"/>
          <w:w w:val="110"/>
        </w:rPr>
        <w:t>la</w:t>
      </w:r>
      <w:r>
        <w:rPr>
          <w:color w:val="231F20"/>
          <w:spacing w:val="-11"/>
          <w:w w:val="110"/>
        </w:rPr>
        <w:t> </w:t>
      </w:r>
      <w:r>
        <w:rPr>
          <w:color w:val="231F20"/>
          <w:w w:val="110"/>
        </w:rPr>
        <w:t>Unión</w:t>
      </w:r>
      <w:r>
        <w:rPr>
          <w:color w:val="231F20"/>
          <w:spacing w:val="-11"/>
          <w:w w:val="110"/>
        </w:rPr>
        <w:t> </w:t>
      </w:r>
      <w:r>
        <w:rPr>
          <w:color w:val="231F20"/>
          <w:w w:val="110"/>
        </w:rPr>
        <w:t>Eu- ropea</w:t>
      </w:r>
      <w:r>
        <w:rPr>
          <w:color w:val="231F20"/>
          <w:spacing w:val="-5"/>
          <w:w w:val="110"/>
        </w:rPr>
        <w:t> </w:t>
      </w:r>
      <w:r>
        <w:rPr>
          <w:color w:val="231F20"/>
          <w:spacing w:val="-8"/>
          <w:w w:val="110"/>
        </w:rPr>
        <w:t>y,</w:t>
      </w:r>
      <w:r>
        <w:rPr>
          <w:color w:val="231F20"/>
          <w:spacing w:val="-5"/>
          <w:w w:val="110"/>
        </w:rPr>
        <w:t> </w:t>
      </w:r>
      <w:r>
        <w:rPr>
          <w:color w:val="231F20"/>
          <w:w w:val="110"/>
        </w:rPr>
        <w:t>como</w:t>
      </w:r>
      <w:r>
        <w:rPr>
          <w:color w:val="231F20"/>
          <w:spacing w:val="-5"/>
          <w:w w:val="110"/>
        </w:rPr>
        <w:t> </w:t>
      </w:r>
      <w:r>
        <w:rPr>
          <w:color w:val="231F20"/>
          <w:w w:val="110"/>
        </w:rPr>
        <w:t>está</w:t>
      </w:r>
      <w:r>
        <w:rPr>
          <w:color w:val="231F20"/>
          <w:spacing w:val="-5"/>
          <w:w w:val="110"/>
        </w:rPr>
        <w:t> </w:t>
      </w:r>
      <w:r>
        <w:rPr>
          <w:color w:val="231F20"/>
          <w:w w:val="110"/>
        </w:rPr>
        <w:t>ocurriendo,</w:t>
      </w:r>
      <w:r>
        <w:rPr>
          <w:color w:val="231F20"/>
          <w:spacing w:val="-5"/>
          <w:w w:val="110"/>
        </w:rPr>
        <w:t> </w:t>
      </w:r>
      <w:r>
        <w:rPr>
          <w:color w:val="231F20"/>
          <w:w w:val="110"/>
        </w:rPr>
        <w:t>de</w:t>
      </w:r>
      <w:r>
        <w:rPr>
          <w:color w:val="231F20"/>
          <w:spacing w:val="-5"/>
          <w:w w:val="110"/>
        </w:rPr>
        <w:t> </w:t>
      </w:r>
      <w:r>
        <w:rPr>
          <w:color w:val="231F20"/>
          <w:w w:val="110"/>
        </w:rPr>
        <w:t>ahí</w:t>
      </w:r>
      <w:r>
        <w:rPr>
          <w:color w:val="231F20"/>
          <w:spacing w:val="-5"/>
          <w:w w:val="110"/>
        </w:rPr>
        <w:t> </w:t>
      </w:r>
      <w:r>
        <w:rPr>
          <w:color w:val="231F20"/>
          <w:w w:val="110"/>
        </w:rPr>
        <w:t>a</w:t>
      </w:r>
      <w:r>
        <w:rPr>
          <w:color w:val="231F20"/>
          <w:spacing w:val="-5"/>
          <w:w w:val="110"/>
        </w:rPr>
        <w:t> </w:t>
      </w:r>
      <w:r>
        <w:rPr>
          <w:color w:val="231F20"/>
          <w:w w:val="110"/>
        </w:rPr>
        <w:t>sus</w:t>
      </w:r>
      <w:r>
        <w:rPr>
          <w:color w:val="231F20"/>
          <w:spacing w:val="-5"/>
          <w:w w:val="110"/>
        </w:rPr>
        <w:t> </w:t>
      </w:r>
      <w:r>
        <w:rPr>
          <w:color w:val="231F20"/>
          <w:w w:val="110"/>
        </w:rPr>
        <w:t>miembros</w:t>
      </w:r>
      <w:r>
        <w:rPr>
          <w:color w:val="231F20"/>
          <w:spacing w:val="-5"/>
          <w:w w:val="110"/>
        </w:rPr>
        <w:t> </w:t>
      </w:r>
      <w:r>
        <w:rPr>
          <w:color w:val="231F20"/>
          <w:w w:val="110"/>
        </w:rPr>
        <w:t>“más</w:t>
      </w:r>
      <w:r>
        <w:rPr>
          <w:color w:val="231F20"/>
          <w:spacing w:val="-5"/>
          <w:w w:val="110"/>
        </w:rPr>
        <w:t> </w:t>
      </w:r>
      <w:r>
        <w:rPr>
          <w:color w:val="231F20"/>
          <w:w w:val="110"/>
        </w:rPr>
        <w:t>débiles”: los llamados </w:t>
      </w:r>
      <w:r>
        <w:rPr>
          <w:i/>
          <w:color w:val="231F20"/>
          <w:w w:val="110"/>
        </w:rPr>
        <w:t>pigs</w:t>
      </w:r>
      <w:r>
        <w:rPr>
          <w:color w:val="231F20"/>
          <w:w w:val="110"/>
        </w:rPr>
        <w:t>: acrónimo despectivo de origen anglosajón con el que se conoce al grupo de países del sur de Europa constituido por Portugal, Italia y España, además de</w:t>
      </w:r>
      <w:r>
        <w:rPr>
          <w:color w:val="231F20"/>
          <w:spacing w:val="-14"/>
          <w:w w:val="110"/>
        </w:rPr>
        <w:t> </w:t>
      </w:r>
      <w:r>
        <w:rPr>
          <w:color w:val="231F20"/>
          <w:w w:val="110"/>
        </w:rPr>
        <w:t>Grecia.</w:t>
      </w:r>
    </w:p>
    <w:p>
      <w:pPr>
        <w:pStyle w:val="BodyText"/>
        <w:spacing w:line="261" w:lineRule="auto"/>
        <w:ind w:left="100" w:right="117" w:firstLine="240"/>
        <w:jc w:val="both"/>
        <w:rPr>
          <w:sz w:val="13"/>
        </w:rPr>
      </w:pPr>
      <w:r>
        <w:rPr>
          <w:color w:val="231F20"/>
          <w:w w:val="110"/>
        </w:rPr>
        <w:t>Para el neoliberalismo, en el curso de los años ochenta y noventa del siglo pasado, la “salida” de la crisis del capital consistió en el desdoblamiento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inversiones</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esfera</w:t>
      </w:r>
      <w:r>
        <w:rPr>
          <w:color w:val="231F20"/>
          <w:spacing w:val="-7"/>
          <w:w w:val="110"/>
        </w:rPr>
        <w:t> </w:t>
      </w:r>
      <w:r>
        <w:rPr>
          <w:color w:val="231F20"/>
          <w:w w:val="110"/>
        </w:rPr>
        <w:t>monetaria</w:t>
      </w:r>
      <w:r>
        <w:rPr>
          <w:color w:val="231F20"/>
          <w:spacing w:val="-7"/>
          <w:w w:val="110"/>
        </w:rPr>
        <w:t> </w:t>
      </w:r>
      <w:r>
        <w:rPr>
          <w:color w:val="231F20"/>
          <w:w w:val="110"/>
        </w:rPr>
        <w:t>y</w:t>
      </w:r>
      <w:r>
        <w:rPr>
          <w:color w:val="231F20"/>
          <w:spacing w:val="-7"/>
          <w:w w:val="110"/>
        </w:rPr>
        <w:t> </w:t>
      </w:r>
      <w:r>
        <w:rPr>
          <w:color w:val="231F20"/>
          <w:w w:val="110"/>
        </w:rPr>
        <w:t>financiera, en sentido estricto se fortaleció el capital ficticio que se convirtió en hegemónico hasta la</w:t>
      </w:r>
      <w:r>
        <w:rPr>
          <w:color w:val="231F20"/>
          <w:spacing w:val="24"/>
          <w:w w:val="110"/>
        </w:rPr>
        <w:t> </w:t>
      </w:r>
      <w:r>
        <w:rPr>
          <w:color w:val="231F20"/>
          <w:w w:val="110"/>
        </w:rPr>
        <w:t>actualidad.</w:t>
      </w:r>
      <w:r>
        <w:rPr>
          <w:color w:val="231F20"/>
          <w:w w:val="110"/>
          <w:position w:val="6"/>
          <w:sz w:val="13"/>
        </w:rPr>
        <w:t>2</w:t>
      </w:r>
    </w:p>
    <w:p>
      <w:pPr>
        <w:pStyle w:val="BodyText"/>
        <w:spacing w:line="261" w:lineRule="auto"/>
        <w:ind w:left="100" w:right="117" w:firstLine="240"/>
        <w:jc w:val="both"/>
      </w:pPr>
      <w:r>
        <w:rPr>
          <w:color w:val="231F20"/>
          <w:w w:val="110"/>
        </w:rPr>
        <w:t>La época estuvo caracterizada por crisis recurrentes estructurales que se desarrollaron en los países dependientes de la periferia ca- pitalista, desde la crisis mexicana de 1982 hasta la de argentina    de</w:t>
      </w:r>
    </w:p>
    <w:p>
      <w:pPr>
        <w:pStyle w:val="BodyText"/>
      </w:pPr>
    </w:p>
    <w:p>
      <w:pPr>
        <w:spacing w:line="261" w:lineRule="auto" w:before="152"/>
        <w:ind w:left="100" w:right="117" w:firstLine="240"/>
        <w:jc w:val="both"/>
        <w:rPr>
          <w:sz w:val="16"/>
        </w:rPr>
      </w:pPr>
      <w:r>
        <w:rPr>
          <w:color w:val="231F20"/>
          <w:w w:val="110"/>
          <w:position w:val="5"/>
          <w:sz w:val="10"/>
        </w:rPr>
        <w:t>2 </w:t>
      </w:r>
      <w:r>
        <w:rPr>
          <w:color w:val="231F20"/>
          <w:w w:val="110"/>
          <w:sz w:val="16"/>
        </w:rPr>
        <w:t>Harvey (2004: 206) define el </w:t>
      </w:r>
      <w:r>
        <w:rPr>
          <w:i/>
          <w:color w:val="231F20"/>
          <w:w w:val="110"/>
          <w:sz w:val="16"/>
        </w:rPr>
        <w:t>capital ficticio </w:t>
      </w:r>
      <w:r>
        <w:rPr>
          <w:color w:val="231F20"/>
          <w:w w:val="110"/>
          <w:sz w:val="16"/>
        </w:rPr>
        <w:t>como “capital que tiene un valor</w:t>
      </w:r>
      <w:r>
        <w:rPr>
          <w:color w:val="231F20"/>
          <w:spacing w:val="-5"/>
          <w:w w:val="110"/>
          <w:sz w:val="16"/>
        </w:rPr>
        <w:t> </w:t>
      </w:r>
      <w:r>
        <w:rPr>
          <w:color w:val="231F20"/>
          <w:w w:val="110"/>
          <w:sz w:val="16"/>
        </w:rPr>
        <w:t>en dinero nominal y existencia sobre documentos, pero que, en un momento dado en    el tiempo, carece de respaldo en términos de la actividad productiva real o de activos físicos colaterales”. Mientras que para Chesnais (2002: 43-72), “un ‘patrimonio’ o</w:t>
      </w:r>
      <w:r>
        <w:rPr>
          <w:color w:val="231F20"/>
          <w:spacing w:val="-21"/>
          <w:w w:val="110"/>
          <w:sz w:val="16"/>
        </w:rPr>
        <w:t> </w:t>
      </w:r>
      <w:r>
        <w:rPr>
          <w:color w:val="231F20"/>
          <w:w w:val="110"/>
          <w:sz w:val="16"/>
        </w:rPr>
        <w:t>un ‘capital’ constituido de títulos es un capital ficticio. Está compuesto de créditos, es </w:t>
      </w:r>
      <w:r>
        <w:rPr>
          <w:color w:val="231F20"/>
          <w:spacing w:val="-3"/>
          <w:w w:val="110"/>
          <w:sz w:val="16"/>
        </w:rPr>
        <w:t>decir,  </w:t>
      </w:r>
      <w:r>
        <w:rPr>
          <w:color w:val="231F20"/>
          <w:w w:val="110"/>
          <w:sz w:val="16"/>
        </w:rPr>
        <w:t>de promesas sobre la actividad productiva futura, que son luego negociados  en un mercado muy particular que fija su ‘precio’ según mecanismos y convenciones </w:t>
      </w:r>
      <w:r>
        <w:rPr>
          <w:color w:val="231F20"/>
          <w:w w:val="105"/>
          <w:sz w:val="16"/>
        </w:rPr>
        <w:t>muy</w:t>
      </w:r>
      <w:r>
        <w:rPr>
          <w:color w:val="231F20"/>
          <w:spacing w:val="5"/>
          <w:w w:val="105"/>
          <w:sz w:val="16"/>
        </w:rPr>
        <w:t> </w:t>
      </w:r>
      <w:r>
        <w:rPr>
          <w:color w:val="231F20"/>
          <w:w w:val="105"/>
          <w:sz w:val="16"/>
        </w:rPr>
        <w:t>especiales”.</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10"/>
        </w:rPr>
        <w:t>2001-2002. Pero las cosas cambiaron a partir de diciembre de 2007, 2008</w:t>
      </w:r>
      <w:r>
        <w:rPr>
          <w:color w:val="231F20"/>
          <w:spacing w:val="-7"/>
          <w:w w:val="110"/>
        </w:rPr>
        <w:t> </w:t>
      </w:r>
      <w:r>
        <w:rPr>
          <w:color w:val="231F20"/>
          <w:w w:val="110"/>
        </w:rPr>
        <w:t>y</w:t>
      </w:r>
      <w:r>
        <w:rPr>
          <w:color w:val="231F20"/>
          <w:spacing w:val="-7"/>
          <w:w w:val="110"/>
        </w:rPr>
        <w:t> </w:t>
      </w:r>
      <w:r>
        <w:rPr>
          <w:color w:val="231F20"/>
          <w:w w:val="110"/>
        </w:rPr>
        <w:t>2009,</w:t>
      </w:r>
      <w:r>
        <w:rPr>
          <w:color w:val="231F20"/>
          <w:spacing w:val="-7"/>
          <w:w w:val="110"/>
        </w:rPr>
        <w:t> </w:t>
      </w:r>
      <w:r>
        <w:rPr>
          <w:color w:val="231F20"/>
          <w:w w:val="110"/>
        </w:rPr>
        <w:t>cuando</w:t>
      </w:r>
      <w:r>
        <w:rPr>
          <w:color w:val="231F20"/>
          <w:spacing w:val="-7"/>
          <w:w w:val="110"/>
        </w:rPr>
        <w:t> </w:t>
      </w: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del</w:t>
      </w:r>
      <w:r>
        <w:rPr>
          <w:color w:val="231F20"/>
          <w:spacing w:val="-7"/>
          <w:w w:val="110"/>
        </w:rPr>
        <w:t> </w:t>
      </w:r>
      <w:r>
        <w:rPr>
          <w:color w:val="231F20"/>
          <w:w w:val="110"/>
        </w:rPr>
        <w:t>capital</w:t>
      </w:r>
      <w:r>
        <w:rPr>
          <w:color w:val="231F20"/>
          <w:spacing w:val="-7"/>
          <w:w w:val="110"/>
        </w:rPr>
        <w:t> </w:t>
      </w:r>
      <w:r>
        <w:rPr>
          <w:color w:val="231F20"/>
          <w:w w:val="110"/>
        </w:rPr>
        <w:t>se</w:t>
      </w:r>
      <w:r>
        <w:rPr>
          <w:color w:val="231F20"/>
          <w:spacing w:val="-7"/>
          <w:w w:val="110"/>
        </w:rPr>
        <w:t> </w:t>
      </w:r>
      <w:r>
        <w:rPr>
          <w:color w:val="231F20"/>
          <w:w w:val="110"/>
        </w:rPr>
        <w:t>desplaza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periferia</w:t>
      </w:r>
      <w:r>
        <w:rPr>
          <w:color w:val="231F20"/>
          <w:spacing w:val="-7"/>
          <w:w w:val="110"/>
        </w:rPr>
        <w:t> </w:t>
      </w:r>
      <w:r>
        <w:rPr>
          <w:color w:val="231F20"/>
          <w:w w:val="110"/>
        </w:rPr>
        <w:t>al centro del centro del sistema económico capitalista: Estados Unidos y ahora se bifurca hacia la eurozona, constituida por 16 países, pero también cubre a Gran Bretaña, Japón, Rusia, </w:t>
      </w:r>
      <w:r>
        <w:rPr>
          <w:color w:val="231F20"/>
          <w:spacing w:val="-3"/>
          <w:w w:val="110"/>
        </w:rPr>
        <w:t>Turquía </w:t>
      </w:r>
      <w:r>
        <w:rPr>
          <w:color w:val="231F20"/>
          <w:w w:val="110"/>
        </w:rPr>
        <w:t>y a algunos países</w:t>
      </w:r>
      <w:r>
        <w:rPr>
          <w:color w:val="231F20"/>
          <w:spacing w:val="-9"/>
          <w:w w:val="110"/>
        </w:rPr>
        <w:t> </w:t>
      </w:r>
      <w:r>
        <w:rPr>
          <w:color w:val="231F20"/>
          <w:w w:val="110"/>
        </w:rPr>
        <w:t>de</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(Belu,</w:t>
      </w:r>
      <w:r>
        <w:rPr>
          <w:color w:val="231F20"/>
          <w:spacing w:val="-9"/>
          <w:w w:val="110"/>
        </w:rPr>
        <w:t> </w:t>
      </w:r>
      <w:r>
        <w:rPr>
          <w:color w:val="231F20"/>
          <w:w w:val="110"/>
        </w:rPr>
        <w:t>2009-2010:</w:t>
      </w:r>
      <w:r>
        <w:rPr>
          <w:color w:val="231F20"/>
          <w:spacing w:val="-9"/>
          <w:w w:val="110"/>
        </w:rPr>
        <w:t> </w:t>
      </w:r>
      <w:r>
        <w:rPr>
          <w:color w:val="231F20"/>
          <w:w w:val="110"/>
        </w:rPr>
        <w:t>15)</w:t>
      </w:r>
      <w:r>
        <w:rPr>
          <w:color w:val="231F20"/>
          <w:spacing w:val="-9"/>
          <w:w w:val="110"/>
        </w:rPr>
        <w:t> </w:t>
      </w:r>
      <w:r>
        <w:rPr>
          <w:color w:val="231F20"/>
          <w:w w:val="110"/>
        </w:rPr>
        <w:t>como</w:t>
      </w:r>
      <w:r>
        <w:rPr>
          <w:color w:val="231F20"/>
          <w:spacing w:val="-9"/>
          <w:w w:val="110"/>
        </w:rPr>
        <w:t> </w:t>
      </w:r>
      <w:r>
        <w:rPr>
          <w:color w:val="231F20"/>
          <w:w w:val="110"/>
        </w:rPr>
        <w:t>México</w:t>
      </w:r>
      <w:r>
        <w:rPr>
          <w:color w:val="231F20"/>
          <w:spacing w:val="-9"/>
          <w:w w:val="110"/>
        </w:rPr>
        <w:t> </w:t>
      </w:r>
      <w:r>
        <w:rPr>
          <w:color w:val="231F20"/>
          <w:w w:val="110"/>
        </w:rPr>
        <w:t>—de- pendiente de la economía estadunidense— y Brasil dependiente de las importaciones chinas y cuyo gobierno recientemente aprobó una reducción del gasto del Estado y autorizó el incremento de las tasas de interés supuestamente para contener el “sobrecalentamiento” de la economía y el aumento de la</w:t>
      </w:r>
      <w:r>
        <w:rPr>
          <w:color w:val="231F20"/>
          <w:spacing w:val="53"/>
          <w:w w:val="110"/>
        </w:rPr>
        <w:t> </w:t>
      </w:r>
      <w:r>
        <w:rPr>
          <w:color w:val="231F20"/>
          <w:w w:val="110"/>
        </w:rPr>
        <w:t>inflación.</w:t>
      </w:r>
      <w:r>
        <w:rPr>
          <w:color w:val="231F20"/>
          <w:w w:val="110"/>
          <w:position w:val="6"/>
          <w:sz w:val="13"/>
        </w:rPr>
        <w:t>3</w:t>
      </w:r>
    </w:p>
    <w:p>
      <w:pPr>
        <w:pStyle w:val="BodyText"/>
        <w:spacing w:line="261" w:lineRule="auto"/>
        <w:ind w:left="100" w:right="118" w:firstLine="240"/>
        <w:jc w:val="both"/>
      </w:pPr>
      <w:r>
        <w:rPr>
          <w:color w:val="231F20"/>
          <w:w w:val="105"/>
        </w:rPr>
        <w:t>A partir de aquí vislumbramos dos etapas del proceso de la crisis estructural  del  capital.</w:t>
      </w:r>
    </w:p>
    <w:p>
      <w:pPr>
        <w:pStyle w:val="BodyText"/>
        <w:spacing w:line="261" w:lineRule="auto"/>
        <w:ind w:left="100" w:right="117" w:firstLine="309"/>
        <w:jc w:val="both"/>
      </w:pPr>
      <w:r>
        <w:rPr>
          <w:color w:val="231F20"/>
          <w:w w:val="110"/>
        </w:rPr>
        <w:t>La primera etapa se caracteriza por las enormes dificultades del capital</w:t>
      </w:r>
      <w:r>
        <w:rPr>
          <w:color w:val="231F20"/>
          <w:spacing w:val="-15"/>
          <w:w w:val="110"/>
        </w:rPr>
        <w:t> </w:t>
      </w:r>
      <w:r>
        <w:rPr>
          <w:color w:val="231F20"/>
          <w:w w:val="110"/>
        </w:rPr>
        <w:t>financiero</w:t>
      </w:r>
      <w:r>
        <w:rPr>
          <w:color w:val="231F20"/>
          <w:spacing w:val="-15"/>
          <w:w w:val="110"/>
        </w:rPr>
        <w:t> </w:t>
      </w:r>
      <w:r>
        <w:rPr>
          <w:color w:val="231F20"/>
          <w:w w:val="110"/>
        </w:rPr>
        <w:t>y</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grandes</w:t>
      </w:r>
      <w:r>
        <w:rPr>
          <w:color w:val="231F20"/>
          <w:spacing w:val="-15"/>
          <w:w w:val="110"/>
        </w:rPr>
        <w:t> </w:t>
      </w:r>
      <w:r>
        <w:rPr>
          <w:color w:val="231F20"/>
          <w:w w:val="110"/>
        </w:rPr>
        <w:t>empresas</w:t>
      </w:r>
      <w:r>
        <w:rPr>
          <w:color w:val="231F20"/>
          <w:spacing w:val="-15"/>
          <w:w w:val="110"/>
        </w:rPr>
        <w:t> </w:t>
      </w:r>
      <w:r>
        <w:rPr>
          <w:color w:val="231F20"/>
          <w:w w:val="110"/>
        </w:rPr>
        <w:t>inmobiliarias</w:t>
      </w:r>
      <w:r>
        <w:rPr>
          <w:color w:val="231F20"/>
          <w:spacing w:val="-15"/>
          <w:w w:val="110"/>
        </w:rPr>
        <w:t> </w:t>
      </w:r>
      <w:r>
        <w:rPr>
          <w:color w:val="231F20"/>
          <w:w w:val="110"/>
        </w:rPr>
        <w:t>que</w:t>
      </w:r>
      <w:r>
        <w:rPr>
          <w:color w:val="231F20"/>
          <w:spacing w:val="-15"/>
          <w:w w:val="110"/>
        </w:rPr>
        <w:t> </w:t>
      </w:r>
      <w:r>
        <w:rPr>
          <w:color w:val="231F20"/>
          <w:w w:val="110"/>
        </w:rPr>
        <w:t>sumer- gieron al sistema en una profunda recesión que sólo va a ser paliada por la intervención del Estado a través de un apoyo incondicional al capital financiero, sobre todo en Estados</w:t>
      </w:r>
      <w:r>
        <w:rPr>
          <w:color w:val="231F20"/>
          <w:spacing w:val="40"/>
          <w:w w:val="110"/>
        </w:rPr>
        <w:t> </w:t>
      </w:r>
      <w:r>
        <w:rPr>
          <w:color w:val="231F20"/>
          <w:w w:val="110"/>
        </w:rPr>
        <w:t>Unidos.</w:t>
      </w:r>
    </w:p>
    <w:p>
      <w:pPr>
        <w:pStyle w:val="BodyText"/>
        <w:ind w:left="340" w:right="25"/>
      </w:pPr>
      <w:r>
        <w:rPr>
          <w:color w:val="231F20"/>
          <w:w w:val="110"/>
        </w:rPr>
        <w:t>Al respecto Nadal (12 de mayo de 2010) asevera:</w:t>
      </w:r>
    </w:p>
    <w:p>
      <w:pPr>
        <w:pStyle w:val="BodyText"/>
        <w:spacing w:before="1"/>
        <w:rPr>
          <w:sz w:val="25"/>
        </w:rPr>
      </w:pPr>
    </w:p>
    <w:p>
      <w:pPr>
        <w:spacing w:line="290" w:lineRule="auto" w:before="0"/>
        <w:ind w:left="100" w:right="117" w:firstLine="0"/>
        <w:jc w:val="both"/>
        <w:rPr>
          <w:sz w:val="18"/>
        </w:rPr>
      </w:pPr>
      <w:r>
        <w:rPr>
          <w:color w:val="231F20"/>
          <w:w w:val="110"/>
          <w:sz w:val="18"/>
        </w:rPr>
        <w:t>A dos años de haber explotado la crisis neoliberal no se ha prohibido ni una de las transacciones financieras que sirven para especular, incrementar ries- gos</w:t>
      </w:r>
      <w:r>
        <w:rPr>
          <w:color w:val="231F20"/>
          <w:spacing w:val="-4"/>
          <w:w w:val="110"/>
          <w:sz w:val="18"/>
        </w:rPr>
        <w:t> </w:t>
      </w:r>
      <w:r>
        <w:rPr>
          <w:color w:val="231F20"/>
          <w:w w:val="110"/>
          <w:sz w:val="18"/>
        </w:rPr>
        <w:t>e</w:t>
      </w:r>
      <w:r>
        <w:rPr>
          <w:color w:val="231F20"/>
          <w:spacing w:val="-4"/>
          <w:w w:val="110"/>
          <w:sz w:val="18"/>
        </w:rPr>
        <w:t> </w:t>
      </w:r>
      <w:r>
        <w:rPr>
          <w:color w:val="231F20"/>
          <w:w w:val="110"/>
          <w:sz w:val="18"/>
        </w:rPr>
        <w:t>intensificar</w:t>
      </w:r>
      <w:r>
        <w:rPr>
          <w:color w:val="231F20"/>
          <w:spacing w:val="-4"/>
          <w:w w:val="110"/>
          <w:sz w:val="18"/>
        </w:rPr>
        <w:t> </w:t>
      </w:r>
      <w:r>
        <w:rPr>
          <w:color w:val="231F20"/>
          <w:w w:val="110"/>
          <w:sz w:val="18"/>
        </w:rPr>
        <w:t>la</w:t>
      </w:r>
      <w:r>
        <w:rPr>
          <w:color w:val="231F20"/>
          <w:spacing w:val="-4"/>
          <w:w w:val="110"/>
          <w:sz w:val="18"/>
        </w:rPr>
        <w:t> </w:t>
      </w:r>
      <w:r>
        <w:rPr>
          <w:color w:val="231F20"/>
          <w:w w:val="110"/>
          <w:sz w:val="18"/>
        </w:rPr>
        <w:t>volatilidad.</w:t>
      </w:r>
      <w:r>
        <w:rPr>
          <w:color w:val="231F20"/>
          <w:spacing w:val="-4"/>
          <w:w w:val="110"/>
          <w:sz w:val="18"/>
        </w:rPr>
        <w:t> </w:t>
      </w:r>
      <w:r>
        <w:rPr>
          <w:color w:val="231F20"/>
          <w:w w:val="110"/>
          <w:sz w:val="18"/>
        </w:rPr>
        <w:t>En</w:t>
      </w:r>
      <w:r>
        <w:rPr>
          <w:color w:val="231F20"/>
          <w:spacing w:val="-4"/>
          <w:w w:val="110"/>
          <w:sz w:val="18"/>
        </w:rPr>
        <w:t> </w:t>
      </w:r>
      <w:r>
        <w:rPr>
          <w:color w:val="231F20"/>
          <w:w w:val="110"/>
          <w:sz w:val="18"/>
        </w:rPr>
        <w:t>cambio,</w:t>
      </w:r>
      <w:r>
        <w:rPr>
          <w:color w:val="231F20"/>
          <w:spacing w:val="-4"/>
          <w:w w:val="110"/>
          <w:sz w:val="18"/>
        </w:rPr>
        <w:t> </w:t>
      </w:r>
      <w:r>
        <w:rPr>
          <w:color w:val="231F20"/>
          <w:w w:val="110"/>
          <w:sz w:val="18"/>
        </w:rPr>
        <w:t>se</w:t>
      </w:r>
      <w:r>
        <w:rPr>
          <w:color w:val="231F20"/>
          <w:spacing w:val="-4"/>
          <w:w w:val="110"/>
          <w:sz w:val="18"/>
        </w:rPr>
        <w:t> </w:t>
      </w:r>
      <w:r>
        <w:rPr>
          <w:color w:val="231F20"/>
          <w:w w:val="110"/>
          <w:sz w:val="18"/>
        </w:rPr>
        <w:t>inicia</w:t>
      </w:r>
      <w:r>
        <w:rPr>
          <w:color w:val="231F20"/>
          <w:spacing w:val="-4"/>
          <w:w w:val="110"/>
          <w:sz w:val="18"/>
        </w:rPr>
        <w:t> </w:t>
      </w:r>
      <w:r>
        <w:rPr>
          <w:color w:val="231F20"/>
          <w:w w:val="110"/>
          <w:sz w:val="18"/>
        </w:rPr>
        <w:t>la</w:t>
      </w:r>
      <w:r>
        <w:rPr>
          <w:color w:val="231F20"/>
          <w:spacing w:val="-4"/>
          <w:w w:val="110"/>
          <w:sz w:val="18"/>
        </w:rPr>
        <w:t> </w:t>
      </w:r>
      <w:r>
        <w:rPr>
          <w:color w:val="231F20"/>
          <w:w w:val="110"/>
          <w:sz w:val="18"/>
        </w:rPr>
        <w:t>última</w:t>
      </w:r>
      <w:r>
        <w:rPr>
          <w:color w:val="231F20"/>
          <w:spacing w:val="-4"/>
          <w:w w:val="110"/>
          <w:sz w:val="18"/>
        </w:rPr>
        <w:t> </w:t>
      </w:r>
      <w:r>
        <w:rPr>
          <w:color w:val="231F20"/>
          <w:w w:val="110"/>
          <w:sz w:val="18"/>
        </w:rPr>
        <w:t>ofensiva</w:t>
      </w:r>
      <w:r>
        <w:rPr>
          <w:color w:val="231F20"/>
          <w:spacing w:val="-4"/>
          <w:w w:val="110"/>
          <w:sz w:val="18"/>
        </w:rPr>
        <w:t> </w:t>
      </w:r>
      <w:r>
        <w:rPr>
          <w:color w:val="231F20"/>
          <w:w w:val="110"/>
          <w:sz w:val="18"/>
        </w:rPr>
        <w:t>en</w:t>
      </w:r>
      <w:r>
        <w:rPr>
          <w:color w:val="231F20"/>
          <w:spacing w:val="-4"/>
          <w:w w:val="110"/>
          <w:sz w:val="18"/>
        </w:rPr>
        <w:t> </w:t>
      </w:r>
      <w:r>
        <w:rPr>
          <w:color w:val="231F20"/>
          <w:w w:val="110"/>
          <w:sz w:val="18"/>
        </w:rPr>
        <w:t>la guerra</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desmantelar</w:t>
      </w:r>
      <w:r>
        <w:rPr>
          <w:color w:val="231F20"/>
          <w:spacing w:val="-7"/>
          <w:w w:val="110"/>
          <w:sz w:val="18"/>
        </w:rPr>
        <w:t> </w:t>
      </w:r>
      <w:r>
        <w:rPr>
          <w:color w:val="231F20"/>
          <w:w w:val="110"/>
          <w:sz w:val="18"/>
        </w:rPr>
        <w:t>lo</w:t>
      </w:r>
      <w:r>
        <w:rPr>
          <w:color w:val="231F20"/>
          <w:spacing w:val="-7"/>
          <w:w w:val="110"/>
          <w:sz w:val="18"/>
        </w:rPr>
        <w:t> </w:t>
      </w:r>
      <w:r>
        <w:rPr>
          <w:color w:val="231F20"/>
          <w:w w:val="110"/>
          <w:sz w:val="18"/>
        </w:rPr>
        <w:t>que</w:t>
      </w:r>
      <w:r>
        <w:rPr>
          <w:color w:val="231F20"/>
          <w:spacing w:val="-7"/>
          <w:w w:val="110"/>
          <w:sz w:val="18"/>
        </w:rPr>
        <w:t> </w:t>
      </w:r>
      <w:r>
        <w:rPr>
          <w:color w:val="231F20"/>
          <w:w w:val="110"/>
          <w:sz w:val="18"/>
        </w:rPr>
        <w:t>queda</w:t>
      </w:r>
      <w:r>
        <w:rPr>
          <w:color w:val="231F20"/>
          <w:spacing w:val="-7"/>
          <w:w w:val="110"/>
          <w:sz w:val="18"/>
        </w:rPr>
        <w:t> </w:t>
      </w:r>
      <w:r>
        <w:rPr>
          <w:color w:val="231F20"/>
          <w:w w:val="110"/>
          <w:sz w:val="18"/>
        </w:rPr>
        <w:t>de</w:t>
      </w:r>
      <w:r>
        <w:rPr>
          <w:color w:val="231F20"/>
          <w:spacing w:val="-7"/>
          <w:w w:val="110"/>
          <w:sz w:val="18"/>
        </w:rPr>
        <w:t> </w:t>
      </w:r>
      <w:r>
        <w:rPr>
          <w:color w:val="231F20"/>
          <w:w w:val="110"/>
          <w:sz w:val="18"/>
        </w:rPr>
        <w:t>una</w:t>
      </w:r>
      <w:r>
        <w:rPr>
          <w:color w:val="231F20"/>
          <w:spacing w:val="-7"/>
          <w:w w:val="110"/>
          <w:sz w:val="18"/>
        </w:rPr>
        <w:t> </w:t>
      </w:r>
      <w:r>
        <w:rPr>
          <w:color w:val="231F20"/>
          <w:w w:val="110"/>
          <w:sz w:val="18"/>
        </w:rPr>
        <w:t>etapa</w:t>
      </w:r>
      <w:r>
        <w:rPr>
          <w:color w:val="231F20"/>
          <w:spacing w:val="-7"/>
          <w:w w:val="110"/>
          <w:sz w:val="18"/>
        </w:rPr>
        <w:t> </w:t>
      </w:r>
      <w:r>
        <w:rPr>
          <w:color w:val="231F20"/>
          <w:w w:val="110"/>
          <w:sz w:val="18"/>
        </w:rPr>
        <w:t>en</w:t>
      </w:r>
      <w:r>
        <w:rPr>
          <w:color w:val="231F20"/>
          <w:spacing w:val="-7"/>
          <w:w w:val="110"/>
          <w:sz w:val="18"/>
        </w:rPr>
        <w:t> </w:t>
      </w:r>
      <w:r>
        <w:rPr>
          <w:color w:val="231F20"/>
          <w:w w:val="110"/>
          <w:sz w:val="18"/>
        </w:rPr>
        <w:t>la</w:t>
      </w:r>
      <w:r>
        <w:rPr>
          <w:color w:val="231F20"/>
          <w:spacing w:val="-7"/>
          <w:w w:val="110"/>
          <w:sz w:val="18"/>
        </w:rPr>
        <w:t> </w:t>
      </w:r>
      <w:r>
        <w:rPr>
          <w:color w:val="231F20"/>
          <w:w w:val="110"/>
          <w:sz w:val="18"/>
        </w:rPr>
        <w:t>vida</w:t>
      </w:r>
      <w:r>
        <w:rPr>
          <w:color w:val="231F20"/>
          <w:spacing w:val="-7"/>
          <w:w w:val="110"/>
          <w:sz w:val="18"/>
        </w:rPr>
        <w:t> </w:t>
      </w:r>
      <w:r>
        <w:rPr>
          <w:color w:val="231F20"/>
          <w:w w:val="110"/>
          <w:sz w:val="18"/>
        </w:rPr>
        <w:t>del</w:t>
      </w:r>
      <w:r>
        <w:rPr>
          <w:color w:val="231F20"/>
          <w:spacing w:val="-7"/>
          <w:w w:val="110"/>
          <w:sz w:val="18"/>
        </w:rPr>
        <w:t> </w:t>
      </w:r>
      <w:r>
        <w:rPr>
          <w:color w:val="231F20"/>
          <w:w w:val="110"/>
          <w:sz w:val="18"/>
        </w:rPr>
        <w:t>capitalismo en</w:t>
      </w:r>
      <w:r>
        <w:rPr>
          <w:color w:val="231F20"/>
          <w:spacing w:val="-4"/>
          <w:w w:val="110"/>
          <w:sz w:val="18"/>
        </w:rPr>
        <w:t> </w:t>
      </w:r>
      <w:r>
        <w:rPr>
          <w:color w:val="231F20"/>
          <w:w w:val="110"/>
          <w:sz w:val="18"/>
        </w:rPr>
        <w:t>la</w:t>
      </w:r>
      <w:r>
        <w:rPr>
          <w:color w:val="231F20"/>
          <w:spacing w:val="-4"/>
          <w:w w:val="110"/>
          <w:sz w:val="18"/>
        </w:rPr>
        <w:t> </w:t>
      </w:r>
      <w:r>
        <w:rPr>
          <w:color w:val="231F20"/>
          <w:w w:val="110"/>
          <w:sz w:val="18"/>
        </w:rPr>
        <w:t>que</w:t>
      </w:r>
      <w:r>
        <w:rPr>
          <w:color w:val="231F20"/>
          <w:spacing w:val="-4"/>
          <w:w w:val="110"/>
          <w:sz w:val="18"/>
        </w:rPr>
        <w:t> </w:t>
      </w:r>
      <w:r>
        <w:rPr>
          <w:color w:val="231F20"/>
          <w:w w:val="110"/>
          <w:sz w:val="18"/>
        </w:rPr>
        <w:t>la</w:t>
      </w:r>
      <w:r>
        <w:rPr>
          <w:color w:val="231F20"/>
          <w:spacing w:val="-4"/>
          <w:w w:val="110"/>
          <w:sz w:val="18"/>
        </w:rPr>
        <w:t> </w:t>
      </w:r>
      <w:r>
        <w:rPr>
          <w:color w:val="231F20"/>
          <w:w w:val="110"/>
          <w:sz w:val="18"/>
        </w:rPr>
        <w:t>solidaridad</w:t>
      </w:r>
      <w:r>
        <w:rPr>
          <w:color w:val="231F20"/>
          <w:spacing w:val="-4"/>
          <w:w w:val="110"/>
          <w:sz w:val="18"/>
        </w:rPr>
        <w:t> </w:t>
      </w:r>
      <w:r>
        <w:rPr>
          <w:color w:val="231F20"/>
          <w:w w:val="110"/>
          <w:sz w:val="18"/>
        </w:rPr>
        <w:t>social</w:t>
      </w:r>
      <w:r>
        <w:rPr>
          <w:color w:val="231F20"/>
          <w:spacing w:val="-4"/>
          <w:w w:val="110"/>
          <w:sz w:val="18"/>
        </w:rPr>
        <w:t> </w:t>
      </w:r>
      <w:r>
        <w:rPr>
          <w:color w:val="231F20"/>
          <w:w w:val="110"/>
          <w:sz w:val="18"/>
        </w:rPr>
        <w:t>y</w:t>
      </w:r>
      <w:r>
        <w:rPr>
          <w:color w:val="231F20"/>
          <w:spacing w:val="-4"/>
          <w:w w:val="110"/>
          <w:sz w:val="18"/>
        </w:rPr>
        <w:t> </w:t>
      </w:r>
      <w:r>
        <w:rPr>
          <w:color w:val="231F20"/>
          <w:w w:val="110"/>
          <w:sz w:val="18"/>
        </w:rPr>
        <w:t>una</w:t>
      </w:r>
      <w:r>
        <w:rPr>
          <w:color w:val="231F20"/>
          <w:spacing w:val="-4"/>
          <w:w w:val="110"/>
          <w:sz w:val="18"/>
        </w:rPr>
        <w:t> </w:t>
      </w:r>
      <w:r>
        <w:rPr>
          <w:color w:val="231F20"/>
          <w:w w:val="110"/>
          <w:sz w:val="18"/>
        </w:rPr>
        <w:t>norma</w:t>
      </w:r>
      <w:r>
        <w:rPr>
          <w:color w:val="231F20"/>
          <w:spacing w:val="-4"/>
          <w:w w:val="110"/>
          <w:sz w:val="18"/>
        </w:rPr>
        <w:t> </w:t>
      </w:r>
      <w:r>
        <w:rPr>
          <w:color w:val="231F20"/>
          <w:w w:val="110"/>
          <w:sz w:val="18"/>
        </w:rPr>
        <w:t>salarial</w:t>
      </w:r>
      <w:r>
        <w:rPr>
          <w:color w:val="231F20"/>
          <w:spacing w:val="-4"/>
          <w:w w:val="110"/>
          <w:sz w:val="18"/>
        </w:rPr>
        <w:t> </w:t>
      </w:r>
      <w:r>
        <w:rPr>
          <w:color w:val="231F20"/>
          <w:w w:val="110"/>
          <w:sz w:val="18"/>
        </w:rPr>
        <w:t>que</w:t>
      </w:r>
      <w:r>
        <w:rPr>
          <w:color w:val="231F20"/>
          <w:spacing w:val="-4"/>
          <w:w w:val="110"/>
          <w:sz w:val="18"/>
        </w:rPr>
        <w:t> </w:t>
      </w:r>
      <w:r>
        <w:rPr>
          <w:color w:val="231F20"/>
          <w:w w:val="110"/>
          <w:sz w:val="18"/>
        </w:rPr>
        <w:t>permitía</w:t>
      </w:r>
      <w:r>
        <w:rPr>
          <w:color w:val="231F20"/>
          <w:spacing w:val="-4"/>
          <w:w w:val="110"/>
          <w:sz w:val="18"/>
        </w:rPr>
        <w:t> </w:t>
      </w:r>
      <w:r>
        <w:rPr>
          <w:color w:val="231F20"/>
          <w:w w:val="110"/>
          <w:sz w:val="18"/>
        </w:rPr>
        <w:t>hacer</w:t>
      </w:r>
      <w:r>
        <w:rPr>
          <w:color w:val="231F20"/>
          <w:spacing w:val="-4"/>
          <w:w w:val="110"/>
          <w:sz w:val="18"/>
        </w:rPr>
        <w:t> </w:t>
      </w:r>
      <w:r>
        <w:rPr>
          <w:color w:val="231F20"/>
          <w:w w:val="110"/>
          <w:sz w:val="18"/>
        </w:rPr>
        <w:t>frente a la deficiencia de demanda agregada importaban un  </w:t>
      </w:r>
      <w:r>
        <w:rPr>
          <w:color w:val="231F20"/>
          <w:spacing w:val="7"/>
          <w:w w:val="110"/>
          <w:sz w:val="18"/>
        </w:rPr>
        <w:t> </w:t>
      </w:r>
      <w:r>
        <w:rPr>
          <w:color w:val="231F20"/>
          <w:w w:val="110"/>
          <w:sz w:val="18"/>
        </w:rPr>
        <w:t>poco.</w:t>
      </w:r>
    </w:p>
    <w:p>
      <w:pPr>
        <w:pStyle w:val="BodyText"/>
        <w:spacing w:before="2"/>
      </w:pPr>
    </w:p>
    <w:p>
      <w:pPr>
        <w:pStyle w:val="BodyText"/>
        <w:spacing w:line="261" w:lineRule="auto"/>
        <w:ind w:left="100" w:right="117" w:firstLine="240"/>
        <w:jc w:val="both"/>
      </w:pPr>
      <w:r>
        <w:rPr>
          <w:color w:val="231F20"/>
          <w:w w:val="110"/>
        </w:rPr>
        <w:t>La segunda etapa, que se prolonga hasta la actualidad (2011), se caracteriza</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fiscal</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1"/>
          <w:w w:val="110"/>
        </w:rPr>
        <w:t> </w:t>
      </w:r>
      <w:r>
        <w:rPr>
          <w:color w:val="231F20"/>
          <w:w w:val="110"/>
        </w:rPr>
        <w:t>(derivada</w:t>
      </w:r>
      <w:r>
        <w:rPr>
          <w:color w:val="231F20"/>
          <w:spacing w:val="-11"/>
          <w:w w:val="110"/>
        </w:rPr>
        <w:t> </w:t>
      </w:r>
      <w:r>
        <w:rPr>
          <w:color w:val="231F20"/>
          <w:w w:val="110"/>
        </w:rPr>
        <w:t>del</w:t>
      </w:r>
      <w:r>
        <w:rPr>
          <w:color w:val="231F20"/>
          <w:spacing w:val="-11"/>
          <w:w w:val="110"/>
        </w:rPr>
        <w:t> </w:t>
      </w:r>
      <w:r>
        <w:rPr>
          <w:color w:val="231F20"/>
          <w:w w:val="110"/>
        </w:rPr>
        <w:t>apoyo</w:t>
      </w:r>
      <w:r>
        <w:rPr>
          <w:color w:val="231F20"/>
          <w:spacing w:val="-11"/>
          <w:w w:val="110"/>
        </w:rPr>
        <w:t> </w:t>
      </w:r>
      <w:r>
        <w:rPr>
          <w:color w:val="231F20"/>
          <w:w w:val="110"/>
        </w:rPr>
        <w:t>que</w:t>
      </w:r>
      <w:r>
        <w:rPr>
          <w:color w:val="231F20"/>
          <w:spacing w:val="-11"/>
          <w:w w:val="110"/>
        </w:rPr>
        <w:t> </w:t>
      </w:r>
      <w:r>
        <w:rPr>
          <w:color w:val="231F20"/>
          <w:w w:val="110"/>
        </w:rPr>
        <w:t>éste le otorga al capital financiero o, mejor dicho, al capital ficticio), lo que</w:t>
      </w:r>
      <w:r>
        <w:rPr>
          <w:color w:val="231F20"/>
          <w:spacing w:val="-7"/>
          <w:w w:val="110"/>
        </w:rPr>
        <w:t> </w:t>
      </w:r>
      <w:r>
        <w:rPr>
          <w:color w:val="231F20"/>
          <w:w w:val="110"/>
        </w:rPr>
        <w:t>hace</w:t>
      </w:r>
      <w:r>
        <w:rPr>
          <w:color w:val="231F20"/>
          <w:spacing w:val="-7"/>
          <w:w w:val="110"/>
        </w:rPr>
        <w:t> </w:t>
      </w:r>
      <w:r>
        <w:rPr>
          <w:color w:val="231F20"/>
          <w:w w:val="110"/>
        </w:rPr>
        <w:t>recordar</w:t>
      </w:r>
      <w:r>
        <w:rPr>
          <w:color w:val="231F20"/>
          <w:spacing w:val="-7"/>
          <w:w w:val="110"/>
        </w:rPr>
        <w:t> </w:t>
      </w:r>
      <w:r>
        <w:rPr>
          <w:color w:val="231F20"/>
          <w:w w:val="110"/>
        </w:rPr>
        <w:t>la</w:t>
      </w:r>
      <w:r>
        <w:rPr>
          <w:color w:val="231F20"/>
          <w:spacing w:val="-7"/>
          <w:w w:val="110"/>
        </w:rPr>
        <w:t> </w:t>
      </w:r>
      <w:r>
        <w:rPr>
          <w:color w:val="231F20"/>
          <w:w w:val="110"/>
        </w:rPr>
        <w:t>obra</w:t>
      </w:r>
      <w:r>
        <w:rPr>
          <w:color w:val="231F20"/>
          <w:spacing w:val="-7"/>
          <w:w w:val="110"/>
        </w:rPr>
        <w:t> </w:t>
      </w:r>
      <w:r>
        <w:rPr>
          <w:color w:val="231F20"/>
          <w:w w:val="110"/>
        </w:rPr>
        <w:t>del</w:t>
      </w:r>
      <w:r>
        <w:rPr>
          <w:color w:val="231F20"/>
          <w:spacing w:val="-7"/>
          <w:w w:val="110"/>
        </w:rPr>
        <w:t> </w:t>
      </w:r>
      <w:r>
        <w:rPr>
          <w:color w:val="231F20"/>
          <w:w w:val="110"/>
        </w:rPr>
        <w:t>reconocido</w:t>
      </w:r>
      <w:r>
        <w:rPr>
          <w:color w:val="231F20"/>
          <w:spacing w:val="-7"/>
          <w:w w:val="110"/>
        </w:rPr>
        <w:t> </w:t>
      </w:r>
      <w:r>
        <w:rPr>
          <w:color w:val="231F20"/>
          <w:w w:val="110"/>
        </w:rPr>
        <w:t>autor</w:t>
      </w:r>
      <w:r>
        <w:rPr>
          <w:color w:val="231F20"/>
          <w:spacing w:val="-7"/>
          <w:w w:val="110"/>
        </w:rPr>
        <w:t> </w:t>
      </w:r>
      <w:r>
        <w:rPr>
          <w:color w:val="231F20"/>
          <w:w w:val="110"/>
        </w:rPr>
        <w:t>James</w:t>
      </w:r>
      <w:r>
        <w:rPr>
          <w:color w:val="231F20"/>
          <w:spacing w:val="-7"/>
          <w:w w:val="110"/>
        </w:rPr>
        <w:t> </w:t>
      </w:r>
      <w:r>
        <w:rPr>
          <w:color w:val="231F20"/>
          <w:w w:val="110"/>
        </w:rPr>
        <w:t>O’Connor,</w:t>
      </w:r>
      <w:r>
        <w:rPr>
          <w:color w:val="231F20"/>
          <w:spacing w:val="-7"/>
          <w:w w:val="110"/>
        </w:rPr>
        <w:t> </w:t>
      </w:r>
      <w:r>
        <w:rPr>
          <w:i/>
          <w:color w:val="231F20"/>
          <w:w w:val="110"/>
        </w:rPr>
        <w:t>The </w:t>
      </w:r>
      <w:r>
        <w:rPr>
          <w:i/>
          <w:color w:val="231F20"/>
          <w:w w:val="110"/>
        </w:rPr>
        <w:t>Fiscal</w:t>
      </w:r>
      <w:r>
        <w:rPr>
          <w:i/>
          <w:color w:val="231F20"/>
          <w:spacing w:val="-13"/>
          <w:w w:val="110"/>
        </w:rPr>
        <w:t> </w:t>
      </w:r>
      <w:r>
        <w:rPr>
          <w:i/>
          <w:color w:val="231F20"/>
          <w:w w:val="110"/>
        </w:rPr>
        <w:t>Crisis</w:t>
      </w:r>
      <w:r>
        <w:rPr>
          <w:i/>
          <w:color w:val="231F20"/>
          <w:spacing w:val="-13"/>
          <w:w w:val="110"/>
        </w:rPr>
        <w:t> </w:t>
      </w:r>
      <w:r>
        <w:rPr>
          <w:i/>
          <w:color w:val="231F20"/>
          <w:w w:val="110"/>
        </w:rPr>
        <w:t>of</w:t>
      </w:r>
      <w:r>
        <w:rPr>
          <w:i/>
          <w:color w:val="231F20"/>
          <w:spacing w:val="-13"/>
          <w:w w:val="110"/>
        </w:rPr>
        <w:t> </w:t>
      </w:r>
      <w:r>
        <w:rPr>
          <w:i/>
          <w:color w:val="231F20"/>
          <w:w w:val="110"/>
        </w:rPr>
        <w:t>the</w:t>
      </w:r>
      <w:r>
        <w:rPr>
          <w:i/>
          <w:color w:val="231F20"/>
          <w:spacing w:val="-13"/>
          <w:w w:val="110"/>
        </w:rPr>
        <w:t> </w:t>
      </w:r>
      <w:r>
        <w:rPr>
          <w:i/>
          <w:color w:val="231F20"/>
          <w:w w:val="110"/>
        </w:rPr>
        <w:t>State</w:t>
      </w:r>
      <w:r>
        <w:rPr>
          <w:color w:val="231F20"/>
          <w:w w:val="110"/>
        </w:rPr>
        <w:t>,</w:t>
      </w:r>
      <w:r>
        <w:rPr>
          <w:color w:val="231F20"/>
          <w:spacing w:val="-13"/>
          <w:w w:val="110"/>
        </w:rPr>
        <w:t> </w:t>
      </w:r>
      <w:r>
        <w:rPr>
          <w:color w:val="231F20"/>
          <w:w w:val="110"/>
        </w:rPr>
        <w:t>donde</w:t>
      </w:r>
      <w:r>
        <w:rPr>
          <w:color w:val="231F20"/>
          <w:spacing w:val="-13"/>
          <w:w w:val="110"/>
        </w:rPr>
        <w:t> </w:t>
      </w:r>
      <w:r>
        <w:rPr>
          <w:color w:val="231F20"/>
          <w:w w:val="110"/>
        </w:rPr>
        <w:t>postuló</w:t>
      </w:r>
      <w:r>
        <w:rPr>
          <w:color w:val="231F20"/>
          <w:spacing w:val="-13"/>
          <w:w w:val="110"/>
        </w:rPr>
        <w:t> </w:t>
      </w:r>
      <w:r>
        <w:rPr>
          <w:color w:val="231F20"/>
          <w:w w:val="110"/>
        </w:rPr>
        <w:t>la</w:t>
      </w:r>
      <w:r>
        <w:rPr>
          <w:color w:val="231F20"/>
          <w:spacing w:val="-13"/>
          <w:w w:val="110"/>
        </w:rPr>
        <w:t> </w:t>
      </w:r>
      <w:r>
        <w:rPr>
          <w:color w:val="231F20"/>
          <w:w w:val="110"/>
        </w:rPr>
        <w:t>tesis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crisis</w:t>
      </w:r>
      <w:r>
        <w:rPr>
          <w:color w:val="231F20"/>
          <w:spacing w:val="-13"/>
          <w:w w:val="110"/>
        </w:rPr>
        <w:t> </w:t>
      </w:r>
      <w:r>
        <w:rPr>
          <w:color w:val="231F20"/>
          <w:w w:val="110"/>
        </w:rPr>
        <w:t>del</w:t>
      </w:r>
      <w:r>
        <w:rPr>
          <w:color w:val="231F20"/>
          <w:spacing w:val="-13"/>
          <w:w w:val="110"/>
        </w:rPr>
        <w:t> </w:t>
      </w:r>
      <w:r>
        <w:rPr>
          <w:color w:val="231F20"/>
          <w:w w:val="110"/>
        </w:rPr>
        <w:t>Estado de bienestar desde los años setenta y que ahora se desdobla en sus rasgos estructurales sobre las clases trabajadoras de todo el</w:t>
      </w:r>
      <w:r>
        <w:rPr>
          <w:color w:val="231F20"/>
          <w:spacing w:val="27"/>
          <w:w w:val="110"/>
        </w:rPr>
        <w:t> </w:t>
      </w:r>
      <w:r>
        <w:rPr>
          <w:color w:val="231F20"/>
          <w:w w:val="110"/>
        </w:rPr>
        <w:t>planeta.</w:t>
      </w:r>
    </w:p>
    <w:p>
      <w:pPr>
        <w:pStyle w:val="BodyText"/>
      </w:pPr>
    </w:p>
    <w:p>
      <w:pPr>
        <w:pStyle w:val="BodyText"/>
      </w:pPr>
    </w:p>
    <w:p>
      <w:pPr>
        <w:pStyle w:val="BodyText"/>
      </w:pPr>
    </w:p>
    <w:p>
      <w:pPr>
        <w:spacing w:line="261" w:lineRule="auto" w:before="142"/>
        <w:ind w:left="100" w:right="118" w:firstLine="240"/>
        <w:jc w:val="both"/>
        <w:rPr>
          <w:sz w:val="16"/>
        </w:rPr>
      </w:pPr>
      <w:r>
        <w:rPr>
          <w:color w:val="231F20"/>
          <w:w w:val="110"/>
          <w:position w:val="5"/>
          <w:sz w:val="10"/>
        </w:rPr>
        <w:t>3 </w:t>
      </w:r>
      <w:r>
        <w:rPr>
          <w:color w:val="231F20"/>
          <w:w w:val="110"/>
          <w:sz w:val="16"/>
        </w:rPr>
        <w:t>Un buen análisis de estos cambios estructurales en América Latina se encuentra en cepal (octubre de   2009).</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Muchos autores subrayan que la crisis del Welfare State europeo se originó con la firma del </w:t>
      </w:r>
      <w:r>
        <w:rPr>
          <w:color w:val="231F20"/>
          <w:spacing w:val="-3"/>
          <w:w w:val="110"/>
        </w:rPr>
        <w:t>Tratado </w:t>
      </w:r>
      <w:r>
        <w:rPr>
          <w:color w:val="231F20"/>
          <w:w w:val="110"/>
        </w:rPr>
        <w:t>de Maastricht el 7 de febrero de 1992, que entró en vigor el 1 de noviembre de 1993, y con el que   se constituyó la actual Unión Europea (UE) en virtud de que, desde entonces,</w:t>
      </w:r>
      <w:r>
        <w:rPr>
          <w:color w:val="231F20"/>
          <w:spacing w:val="-14"/>
          <w:w w:val="110"/>
        </w:rPr>
        <w:t> </w:t>
      </w:r>
      <w:r>
        <w:rPr>
          <w:color w:val="231F20"/>
          <w:w w:val="110"/>
        </w:rPr>
        <w:t>se</w:t>
      </w:r>
      <w:r>
        <w:rPr>
          <w:color w:val="231F20"/>
          <w:spacing w:val="-14"/>
          <w:w w:val="110"/>
        </w:rPr>
        <w:t> </w:t>
      </w:r>
      <w:r>
        <w:rPr>
          <w:color w:val="231F20"/>
          <w:w w:val="110"/>
        </w:rPr>
        <w:t>generalizó</w:t>
      </w:r>
      <w:r>
        <w:rPr>
          <w:color w:val="231F20"/>
          <w:spacing w:val="-14"/>
          <w:w w:val="110"/>
        </w:rPr>
        <w:t> </w:t>
      </w:r>
      <w:r>
        <w:rPr>
          <w:color w:val="231F20"/>
          <w:w w:val="110"/>
        </w:rPr>
        <w:t>la</w:t>
      </w:r>
      <w:r>
        <w:rPr>
          <w:color w:val="231F20"/>
          <w:spacing w:val="-14"/>
          <w:w w:val="110"/>
        </w:rPr>
        <w:t> </w:t>
      </w:r>
      <w:r>
        <w:rPr>
          <w:color w:val="231F20"/>
          <w:w w:val="110"/>
        </w:rPr>
        <w:t>aplicación</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políticas</w:t>
      </w:r>
      <w:r>
        <w:rPr>
          <w:color w:val="231F20"/>
          <w:spacing w:val="-14"/>
          <w:w w:val="110"/>
        </w:rPr>
        <w:t> </w:t>
      </w:r>
      <w:r>
        <w:rPr>
          <w:color w:val="231F20"/>
          <w:w w:val="110"/>
        </w:rPr>
        <w:t>neoliberales</w:t>
      </w:r>
      <w:r>
        <w:rPr>
          <w:color w:val="231F20"/>
          <w:spacing w:val="-14"/>
          <w:w w:val="110"/>
        </w:rPr>
        <w:t> </w:t>
      </w:r>
      <w:r>
        <w:rPr>
          <w:color w:val="231F20"/>
          <w:w w:val="110"/>
        </w:rPr>
        <w:t>bajo la hegemonía económica y política del gran</w:t>
      </w:r>
      <w:r>
        <w:rPr>
          <w:color w:val="231F20"/>
          <w:spacing w:val="46"/>
          <w:w w:val="110"/>
        </w:rPr>
        <w:t> </w:t>
      </w:r>
      <w:r>
        <w:rPr>
          <w:color w:val="231F20"/>
          <w:w w:val="110"/>
        </w:rPr>
        <w:t>capital.</w:t>
      </w:r>
    </w:p>
    <w:p>
      <w:pPr>
        <w:pStyle w:val="BodyText"/>
      </w:pPr>
    </w:p>
    <w:p>
      <w:pPr>
        <w:pStyle w:val="BodyText"/>
      </w:pPr>
    </w:p>
    <w:p>
      <w:pPr>
        <w:pStyle w:val="BodyText"/>
        <w:spacing w:before="2"/>
        <w:rPr>
          <w:sz w:val="25"/>
        </w:rPr>
      </w:pPr>
    </w:p>
    <w:p>
      <w:pPr>
        <w:pStyle w:val="BodyText"/>
        <w:ind w:left="100"/>
        <w:jc w:val="both"/>
      </w:pPr>
      <w:r>
        <w:rPr>
          <w:color w:val="231F20"/>
          <w:w w:val="130"/>
        </w:rPr>
        <w:t>la crisis en estados unidos</w:t>
      </w:r>
    </w:p>
    <w:p>
      <w:pPr>
        <w:pStyle w:val="BodyText"/>
        <w:spacing w:before="5"/>
        <w:rPr>
          <w:sz w:val="23"/>
        </w:rPr>
      </w:pPr>
    </w:p>
    <w:p>
      <w:pPr>
        <w:pStyle w:val="BodyText"/>
        <w:spacing w:line="261" w:lineRule="auto"/>
        <w:ind w:left="100" w:right="117"/>
        <w:jc w:val="both"/>
      </w:pPr>
      <w:r>
        <w:rPr>
          <w:color w:val="231F20"/>
          <w:w w:val="110"/>
        </w:rPr>
        <w:t>No es posible comprender la dinámica y estructura de la economía mundial sin la participación de Estados Unidos en tanto sistema im- perialista global, de la misma manera que no se puede entender la dinámica estadunidense sin la economía global. En este sentido des- taca</w:t>
      </w:r>
      <w:r>
        <w:rPr>
          <w:color w:val="231F20"/>
          <w:spacing w:val="-13"/>
          <w:w w:val="110"/>
        </w:rPr>
        <w:t> </w:t>
      </w:r>
      <w:r>
        <w:rPr>
          <w:color w:val="231F20"/>
          <w:w w:val="110"/>
        </w:rPr>
        <w:t>la</w:t>
      </w:r>
      <w:r>
        <w:rPr>
          <w:color w:val="231F20"/>
          <w:spacing w:val="-13"/>
          <w:w w:val="110"/>
        </w:rPr>
        <w:t> </w:t>
      </w:r>
      <w:r>
        <w:rPr>
          <w:color w:val="231F20"/>
          <w:w w:val="110"/>
        </w:rPr>
        <w:t>tesis</w:t>
      </w:r>
      <w:r>
        <w:rPr>
          <w:color w:val="231F20"/>
          <w:spacing w:val="-13"/>
          <w:w w:val="110"/>
        </w:rPr>
        <w:t> </w:t>
      </w:r>
      <w:r>
        <w:rPr>
          <w:color w:val="231F20"/>
          <w:w w:val="110"/>
        </w:rPr>
        <w:t>de</w:t>
      </w:r>
      <w:r>
        <w:rPr>
          <w:color w:val="231F20"/>
          <w:spacing w:val="-13"/>
          <w:w w:val="110"/>
        </w:rPr>
        <w:t> </w:t>
      </w:r>
      <w:r>
        <w:rPr>
          <w:color w:val="231F20"/>
          <w:w w:val="110"/>
        </w:rPr>
        <w:t>Vergopoulos</w:t>
      </w:r>
      <w:r>
        <w:rPr>
          <w:color w:val="231F20"/>
          <w:spacing w:val="-13"/>
          <w:w w:val="110"/>
        </w:rPr>
        <w:t> </w:t>
      </w:r>
      <w:r>
        <w:rPr>
          <w:color w:val="231F20"/>
          <w:w w:val="110"/>
        </w:rPr>
        <w:t>(2005):</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pasado</w:t>
      </w:r>
      <w:r>
        <w:rPr>
          <w:color w:val="231F20"/>
          <w:spacing w:val="-13"/>
          <w:w w:val="110"/>
        </w:rPr>
        <w:t> </w:t>
      </w:r>
      <w:r>
        <w:rPr>
          <w:color w:val="231F20"/>
          <w:w w:val="110"/>
        </w:rPr>
        <w:t>era</w:t>
      </w:r>
      <w:r>
        <w:rPr>
          <w:color w:val="231F20"/>
          <w:spacing w:val="-13"/>
          <w:w w:val="110"/>
        </w:rPr>
        <w:t> </w:t>
      </w:r>
      <w:r>
        <w:rPr>
          <w:color w:val="231F20"/>
          <w:w w:val="110"/>
        </w:rPr>
        <w:t>incontrastable</w:t>
      </w:r>
      <w:r>
        <w:rPr>
          <w:color w:val="231F20"/>
          <w:spacing w:val="-13"/>
          <w:w w:val="110"/>
        </w:rPr>
        <w:t> </w:t>
      </w:r>
      <w:r>
        <w:rPr>
          <w:color w:val="231F20"/>
          <w:w w:val="110"/>
        </w:rPr>
        <w:t>la supremacía</w:t>
      </w:r>
      <w:r>
        <w:rPr>
          <w:color w:val="231F20"/>
          <w:spacing w:val="-11"/>
          <w:w w:val="110"/>
        </w:rPr>
        <w:t> </w:t>
      </w:r>
      <w:r>
        <w:rPr>
          <w:color w:val="231F20"/>
          <w:w w:val="110"/>
        </w:rPr>
        <w:t>económica</w:t>
      </w:r>
      <w:r>
        <w:rPr>
          <w:color w:val="231F20"/>
          <w:spacing w:val="-11"/>
          <w:w w:val="110"/>
        </w:rPr>
        <w:t> </w:t>
      </w:r>
      <w:r>
        <w:rPr>
          <w:color w:val="231F20"/>
          <w:w w:val="110"/>
        </w:rPr>
        <w:t>y</w:t>
      </w:r>
      <w:r>
        <w:rPr>
          <w:color w:val="231F20"/>
          <w:spacing w:val="-11"/>
          <w:w w:val="110"/>
        </w:rPr>
        <w:t> </w:t>
      </w:r>
      <w:r>
        <w:rPr>
          <w:color w:val="231F20"/>
          <w:w w:val="110"/>
        </w:rPr>
        <w:t>política</w:t>
      </w:r>
      <w:r>
        <w:rPr>
          <w:color w:val="231F20"/>
          <w:spacing w:val="-11"/>
          <w:w w:val="110"/>
        </w:rPr>
        <w:t> </w:t>
      </w:r>
      <w:r>
        <w:rPr>
          <w:color w:val="231F20"/>
          <w:w w:val="110"/>
        </w:rPr>
        <w:t>de</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mientras</w:t>
      </w:r>
      <w:r>
        <w:rPr>
          <w:color w:val="231F20"/>
          <w:spacing w:val="-11"/>
          <w:w w:val="110"/>
        </w:rPr>
        <w:t> </w:t>
      </w:r>
      <w:r>
        <w:rPr>
          <w:color w:val="231F20"/>
          <w:w w:val="110"/>
        </w:rPr>
        <w:t>que</w:t>
      </w:r>
      <w:r>
        <w:rPr>
          <w:color w:val="231F20"/>
          <w:spacing w:val="-11"/>
          <w:w w:val="110"/>
        </w:rPr>
        <w:t> </w:t>
      </w:r>
      <w:r>
        <w:rPr>
          <w:color w:val="231F20"/>
          <w:w w:val="110"/>
        </w:rPr>
        <w:t>en la actualidad la “locomotora estadunidense” resulta completamente impotente para sacar adelante a la economía mundial, y más bien la ha sometido paulatinamente a sus dinámicas de desequilibrio y per- turbación. Además, dicha locomotora hoy está fuertemente influida por la dinámica de la economía </w:t>
      </w:r>
      <w:r>
        <w:rPr>
          <w:color w:val="231F20"/>
          <w:spacing w:val="20"/>
          <w:w w:val="110"/>
        </w:rPr>
        <w:t> </w:t>
      </w:r>
      <w:r>
        <w:rPr>
          <w:color w:val="231F20"/>
          <w:w w:val="110"/>
        </w:rPr>
        <w:t>China.</w:t>
      </w:r>
    </w:p>
    <w:p>
      <w:pPr>
        <w:pStyle w:val="BodyText"/>
        <w:spacing w:line="261" w:lineRule="auto"/>
        <w:ind w:left="100" w:right="117" w:firstLine="240"/>
        <w:jc w:val="both"/>
      </w:pPr>
      <w:r>
        <w:rPr>
          <w:color w:val="231F20"/>
          <w:w w:val="110"/>
        </w:rPr>
        <w:t>El</w:t>
      </w:r>
      <w:r>
        <w:rPr>
          <w:color w:val="231F20"/>
          <w:spacing w:val="-28"/>
          <w:w w:val="110"/>
        </w:rPr>
        <w:t> </w:t>
      </w:r>
      <w:r>
        <w:rPr>
          <w:color w:val="231F20"/>
          <w:w w:val="110"/>
        </w:rPr>
        <w:t>ejemplo</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Acuerdos</w:t>
      </w:r>
      <w:r>
        <w:rPr>
          <w:color w:val="231F20"/>
          <w:spacing w:val="-28"/>
          <w:w w:val="110"/>
        </w:rPr>
        <w:t> </w:t>
      </w:r>
      <w:r>
        <w:rPr>
          <w:color w:val="231F20"/>
          <w:w w:val="110"/>
        </w:rPr>
        <w:t>de</w:t>
      </w:r>
      <w:r>
        <w:rPr>
          <w:color w:val="231F20"/>
          <w:spacing w:val="-28"/>
          <w:w w:val="110"/>
        </w:rPr>
        <w:t> </w:t>
      </w:r>
      <w:r>
        <w:rPr>
          <w:color w:val="231F20"/>
          <w:w w:val="110"/>
        </w:rPr>
        <w:t>Plaza</w:t>
      </w:r>
      <w:r>
        <w:rPr>
          <w:color w:val="231F20"/>
          <w:spacing w:val="-28"/>
          <w:w w:val="110"/>
        </w:rPr>
        <w:t> </w:t>
      </w:r>
      <w:r>
        <w:rPr>
          <w:color w:val="231F20"/>
          <w:w w:val="110"/>
        </w:rPr>
        <w:t>de</w:t>
      </w:r>
      <w:r>
        <w:rPr>
          <w:color w:val="231F20"/>
          <w:spacing w:val="-28"/>
          <w:w w:val="110"/>
        </w:rPr>
        <w:t> </w:t>
      </w:r>
      <w:r>
        <w:rPr>
          <w:color w:val="231F20"/>
          <w:w w:val="110"/>
        </w:rPr>
        <w:t>1985</w:t>
      </w:r>
      <w:r>
        <w:rPr>
          <w:color w:val="231F20"/>
          <w:spacing w:val="-28"/>
          <w:w w:val="110"/>
        </w:rPr>
        <w:t> </w:t>
      </w:r>
      <w:r>
        <w:rPr>
          <w:color w:val="231F20"/>
          <w:w w:val="110"/>
        </w:rPr>
        <w:t>en</w:t>
      </w:r>
      <w:r>
        <w:rPr>
          <w:color w:val="231F20"/>
          <w:spacing w:val="-28"/>
          <w:w w:val="110"/>
        </w:rPr>
        <w:t> </w:t>
      </w:r>
      <w:r>
        <w:rPr>
          <w:color w:val="231F20"/>
          <w:w w:val="110"/>
        </w:rPr>
        <w:t>Nueva</w:t>
      </w:r>
      <w:r>
        <w:rPr>
          <w:color w:val="231F20"/>
          <w:spacing w:val="-28"/>
          <w:w w:val="110"/>
        </w:rPr>
        <w:t> </w:t>
      </w:r>
      <w:r>
        <w:rPr>
          <w:color w:val="231F20"/>
          <w:w w:val="110"/>
        </w:rPr>
        <w:t>York,</w:t>
      </w:r>
      <w:r>
        <w:rPr>
          <w:color w:val="231F20"/>
          <w:spacing w:val="-28"/>
          <w:w w:val="110"/>
        </w:rPr>
        <w:t> </w:t>
      </w:r>
      <w:r>
        <w:rPr>
          <w:color w:val="231F20"/>
          <w:w w:val="110"/>
        </w:rPr>
        <w:t>impul- sados por el entonces recién nombrado secretario del </w:t>
      </w:r>
      <w:r>
        <w:rPr>
          <w:color w:val="231F20"/>
          <w:spacing w:val="-4"/>
          <w:w w:val="110"/>
        </w:rPr>
        <w:t>Tesoro </w:t>
      </w:r>
      <w:r>
        <w:rPr>
          <w:color w:val="231F20"/>
          <w:w w:val="110"/>
        </w:rPr>
        <w:t>James Baker</w:t>
      </w:r>
      <w:r>
        <w:rPr>
          <w:color w:val="231F20"/>
          <w:spacing w:val="-21"/>
          <w:w w:val="110"/>
        </w:rPr>
        <w:t> </w:t>
      </w:r>
      <w:r>
        <w:rPr>
          <w:color w:val="231F20"/>
          <w:w w:val="110"/>
        </w:rPr>
        <w:t>—que</w:t>
      </w:r>
      <w:r>
        <w:rPr>
          <w:color w:val="231F20"/>
          <w:spacing w:val="-21"/>
          <w:w w:val="110"/>
        </w:rPr>
        <w:t> </w:t>
      </w:r>
      <w:r>
        <w:rPr>
          <w:color w:val="231F20"/>
          <w:w w:val="110"/>
        </w:rPr>
        <w:t>reunió</w:t>
      </w:r>
      <w:r>
        <w:rPr>
          <w:color w:val="231F20"/>
          <w:spacing w:val="-21"/>
          <w:w w:val="110"/>
        </w:rPr>
        <w:t> </w:t>
      </w:r>
      <w:r>
        <w:rPr>
          <w:color w:val="231F20"/>
          <w:w w:val="110"/>
        </w:rPr>
        <w:t>al</w:t>
      </w:r>
      <w:r>
        <w:rPr>
          <w:color w:val="231F20"/>
          <w:spacing w:val="-21"/>
          <w:w w:val="110"/>
        </w:rPr>
        <w:t> </w:t>
      </w:r>
      <w:r>
        <w:rPr>
          <w:color w:val="231F20"/>
          <w:w w:val="110"/>
        </w:rPr>
        <w:t>llamado</w:t>
      </w:r>
      <w:r>
        <w:rPr>
          <w:color w:val="231F20"/>
          <w:spacing w:val="-21"/>
          <w:w w:val="110"/>
        </w:rPr>
        <w:t> </w:t>
      </w:r>
      <w:r>
        <w:rPr>
          <w:color w:val="231F20"/>
          <w:w w:val="110"/>
        </w:rPr>
        <w:t>G5</w:t>
      </w:r>
      <w:r>
        <w:rPr>
          <w:color w:val="231F20"/>
          <w:spacing w:val="-21"/>
          <w:w w:val="110"/>
        </w:rPr>
        <w:t> </w:t>
      </w:r>
      <w:r>
        <w:rPr>
          <w:color w:val="231F20"/>
          <w:w w:val="110"/>
        </w:rPr>
        <w:t>(Estados</w:t>
      </w:r>
      <w:r>
        <w:rPr>
          <w:color w:val="231F20"/>
          <w:spacing w:val="-21"/>
          <w:w w:val="110"/>
        </w:rPr>
        <w:t> </w:t>
      </w:r>
      <w:r>
        <w:rPr>
          <w:color w:val="231F20"/>
          <w:w w:val="110"/>
        </w:rPr>
        <w:t>Unidos,</w:t>
      </w:r>
      <w:r>
        <w:rPr>
          <w:color w:val="231F20"/>
          <w:spacing w:val="-21"/>
          <w:w w:val="110"/>
        </w:rPr>
        <w:t> </w:t>
      </w:r>
      <w:r>
        <w:rPr>
          <w:color w:val="231F20"/>
          <w:w w:val="110"/>
        </w:rPr>
        <w:t>Japón,</w:t>
      </w:r>
      <w:r>
        <w:rPr>
          <w:color w:val="231F20"/>
          <w:spacing w:val="-21"/>
          <w:w w:val="110"/>
        </w:rPr>
        <w:t> </w:t>
      </w:r>
      <w:r>
        <w:rPr>
          <w:color w:val="231F20"/>
          <w:w w:val="110"/>
        </w:rPr>
        <w:t>Alemania, Francia y Gran Bretaña)— recuerda la época en que el primer país impuso</w:t>
      </w:r>
      <w:r>
        <w:rPr>
          <w:color w:val="231F20"/>
          <w:spacing w:val="-11"/>
          <w:w w:val="110"/>
        </w:rPr>
        <w:t> </w:t>
      </w:r>
      <w:r>
        <w:rPr>
          <w:color w:val="231F20"/>
          <w:w w:val="110"/>
        </w:rPr>
        <w:t>su</w:t>
      </w:r>
      <w:r>
        <w:rPr>
          <w:color w:val="231F20"/>
          <w:spacing w:val="-11"/>
          <w:w w:val="110"/>
        </w:rPr>
        <w:t> </w:t>
      </w:r>
      <w:r>
        <w:rPr>
          <w:color w:val="231F20"/>
          <w:w w:val="110"/>
        </w:rPr>
        <w:t>política</w:t>
      </w:r>
      <w:r>
        <w:rPr>
          <w:color w:val="231F20"/>
          <w:spacing w:val="-11"/>
          <w:w w:val="110"/>
        </w:rPr>
        <w:t> </w:t>
      </w:r>
      <w:r>
        <w:rPr>
          <w:color w:val="231F20"/>
          <w:w w:val="110"/>
        </w:rPr>
        <w:t>al</w:t>
      </w:r>
      <w:r>
        <w:rPr>
          <w:color w:val="231F20"/>
          <w:spacing w:val="-11"/>
          <w:w w:val="110"/>
        </w:rPr>
        <w:t> </w:t>
      </w:r>
      <w:r>
        <w:rPr>
          <w:color w:val="231F20"/>
          <w:w w:val="110"/>
        </w:rPr>
        <w:t>resto</w:t>
      </w:r>
      <w:r>
        <w:rPr>
          <w:color w:val="231F20"/>
          <w:spacing w:val="-11"/>
          <w:w w:val="110"/>
        </w:rPr>
        <w:t> </w:t>
      </w:r>
      <w:r>
        <w:rPr>
          <w:color w:val="231F20"/>
          <w:w w:val="110"/>
        </w:rPr>
        <w:t>del</w:t>
      </w:r>
      <w:r>
        <w:rPr>
          <w:color w:val="231F20"/>
          <w:spacing w:val="-11"/>
          <w:w w:val="110"/>
        </w:rPr>
        <w:t> </w:t>
      </w:r>
      <w:r>
        <w:rPr>
          <w:color w:val="231F20"/>
          <w:w w:val="110"/>
        </w:rPr>
        <w:t>mundo</w:t>
      </w:r>
      <w:r>
        <w:rPr>
          <w:color w:val="231F20"/>
          <w:spacing w:val="-11"/>
          <w:w w:val="110"/>
        </w:rPr>
        <w:t> </w:t>
      </w:r>
      <w:r>
        <w:rPr>
          <w:color w:val="231F20"/>
          <w:w w:val="110"/>
        </w:rPr>
        <w:t>y</w:t>
      </w:r>
      <w:r>
        <w:rPr>
          <w:color w:val="231F20"/>
          <w:spacing w:val="-11"/>
          <w:w w:val="110"/>
        </w:rPr>
        <w:t> </w:t>
      </w:r>
      <w:r>
        <w:rPr>
          <w:color w:val="231F20"/>
          <w:w w:val="110"/>
        </w:rPr>
        <w:t>desvalorizó</w:t>
      </w:r>
      <w:r>
        <w:rPr>
          <w:color w:val="231F20"/>
          <w:spacing w:val="-11"/>
          <w:w w:val="110"/>
        </w:rPr>
        <w:t> </w:t>
      </w:r>
      <w:r>
        <w:rPr>
          <w:color w:val="231F20"/>
          <w:w w:val="110"/>
        </w:rPr>
        <w:t>su</w:t>
      </w:r>
      <w:r>
        <w:rPr>
          <w:color w:val="231F20"/>
          <w:spacing w:val="-11"/>
          <w:w w:val="110"/>
        </w:rPr>
        <w:t> </w:t>
      </w:r>
      <w:r>
        <w:rPr>
          <w:color w:val="231F20"/>
          <w:w w:val="110"/>
        </w:rPr>
        <w:t>moneda</w:t>
      </w:r>
      <w:r>
        <w:rPr>
          <w:color w:val="231F20"/>
          <w:spacing w:val="-11"/>
          <w:w w:val="110"/>
        </w:rPr>
        <w:t> </w:t>
      </w:r>
      <w:r>
        <w:rPr>
          <w:color w:val="231F20"/>
          <w:w w:val="110"/>
        </w:rPr>
        <w:t>con</w:t>
      </w:r>
      <w:r>
        <w:rPr>
          <w:color w:val="231F20"/>
          <w:spacing w:val="-11"/>
          <w:w w:val="110"/>
        </w:rPr>
        <w:t> </w:t>
      </w:r>
      <w:r>
        <w:rPr>
          <w:color w:val="231F20"/>
          <w:w w:val="110"/>
        </w:rPr>
        <w:t>el apoyo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otros</w:t>
      </w:r>
      <w:r>
        <w:rPr>
          <w:color w:val="231F20"/>
          <w:spacing w:val="-6"/>
          <w:w w:val="110"/>
        </w:rPr>
        <w:t> </w:t>
      </w:r>
      <w:r>
        <w:rPr>
          <w:color w:val="231F20"/>
          <w:w w:val="110"/>
        </w:rPr>
        <w:t>integrantes</w:t>
      </w:r>
      <w:r>
        <w:rPr>
          <w:color w:val="231F20"/>
          <w:spacing w:val="-6"/>
          <w:w w:val="110"/>
        </w:rPr>
        <w:t> </w:t>
      </w:r>
      <w:r>
        <w:rPr>
          <w:color w:val="231F20"/>
          <w:w w:val="110"/>
        </w:rPr>
        <w:t>del</w:t>
      </w:r>
      <w:r>
        <w:rPr>
          <w:color w:val="231F20"/>
          <w:spacing w:val="-6"/>
          <w:w w:val="110"/>
        </w:rPr>
        <w:t> </w:t>
      </w:r>
      <w:r>
        <w:rPr>
          <w:color w:val="231F20"/>
          <w:w w:val="110"/>
        </w:rPr>
        <w:t>grupo</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objetivo</w:t>
      </w:r>
      <w:r>
        <w:rPr>
          <w:color w:val="231F20"/>
          <w:spacing w:val="-6"/>
          <w:w w:val="110"/>
        </w:rPr>
        <w:t> </w:t>
      </w:r>
      <w:r>
        <w:rPr>
          <w:color w:val="231F20"/>
          <w:w w:val="110"/>
        </w:rPr>
        <w:t>de</w:t>
      </w:r>
      <w:r>
        <w:rPr>
          <w:color w:val="231F20"/>
          <w:spacing w:val="-6"/>
          <w:w w:val="110"/>
        </w:rPr>
        <w:t> </w:t>
      </w:r>
      <w:r>
        <w:rPr>
          <w:color w:val="231F20"/>
          <w:w w:val="110"/>
        </w:rPr>
        <w:t>promover sus exportaciones. Ahora esta relación de fuerzas ya no existe más, por</w:t>
      </w:r>
      <w:r>
        <w:rPr>
          <w:color w:val="231F20"/>
          <w:spacing w:val="-6"/>
          <w:w w:val="110"/>
        </w:rPr>
        <w:t> </w:t>
      </w:r>
      <w:r>
        <w:rPr>
          <w:color w:val="231F20"/>
          <w:w w:val="110"/>
        </w:rPr>
        <w:t>lo</w:t>
      </w:r>
      <w:r>
        <w:rPr>
          <w:color w:val="231F20"/>
          <w:spacing w:val="-6"/>
          <w:w w:val="110"/>
        </w:rPr>
        <w:t> </w:t>
      </w:r>
      <w:r>
        <w:rPr>
          <w:color w:val="231F20"/>
          <w:w w:val="110"/>
        </w:rPr>
        <w:t>menos</w:t>
      </w:r>
      <w:r>
        <w:rPr>
          <w:color w:val="231F20"/>
          <w:spacing w:val="-6"/>
          <w:w w:val="110"/>
        </w:rPr>
        <w:t> </w:t>
      </w:r>
      <w:r>
        <w:rPr>
          <w:color w:val="231F20"/>
          <w:w w:val="110"/>
        </w:rPr>
        <w:t>en</w:t>
      </w:r>
      <w:r>
        <w:rPr>
          <w:color w:val="231F20"/>
          <w:spacing w:val="-6"/>
          <w:w w:val="110"/>
        </w:rPr>
        <w:t> </w:t>
      </w:r>
      <w:r>
        <w:rPr>
          <w:color w:val="231F20"/>
          <w:w w:val="110"/>
        </w:rPr>
        <w:t>ese</w:t>
      </w:r>
      <w:r>
        <w:rPr>
          <w:color w:val="231F20"/>
          <w:spacing w:val="-6"/>
          <w:w w:val="110"/>
        </w:rPr>
        <w:t> </w:t>
      </w:r>
      <w:r>
        <w:rPr>
          <w:color w:val="231F20"/>
          <w:w w:val="110"/>
        </w:rPr>
        <w:t>ambiente</w:t>
      </w:r>
      <w:r>
        <w:rPr>
          <w:color w:val="231F20"/>
          <w:spacing w:val="-6"/>
          <w:w w:val="110"/>
        </w:rPr>
        <w:t> </w:t>
      </w:r>
      <w:r>
        <w:rPr>
          <w:color w:val="231F20"/>
          <w:w w:val="110"/>
        </w:rPr>
        <w:t>tan</w:t>
      </w:r>
      <w:r>
        <w:rPr>
          <w:color w:val="231F20"/>
          <w:spacing w:val="-6"/>
          <w:w w:val="110"/>
        </w:rPr>
        <w:t> </w:t>
      </w:r>
      <w:r>
        <w:rPr>
          <w:color w:val="231F20"/>
          <w:w w:val="110"/>
        </w:rPr>
        <w:t>favorable</w:t>
      </w:r>
      <w:r>
        <w:rPr>
          <w:color w:val="231F20"/>
          <w:spacing w:val="-6"/>
          <w:w w:val="110"/>
        </w:rPr>
        <w:t> </w:t>
      </w:r>
      <w:r>
        <w:rPr>
          <w:color w:val="231F20"/>
          <w:w w:val="110"/>
        </w:rPr>
        <w:t>para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que capitalizó todos los beneficios de la reconstrucción de la segunda posguerra en el siglo pasado. Por el contrario, este país encuentra cada vez más dificultades y obstáculos para imponer su voluntad a placer de manera contundente. Entre las causas de esta situación destaca su creciente déficit, que lo obliga a recurrir al</w:t>
      </w:r>
      <w:r>
        <w:rPr>
          <w:color w:val="231F20"/>
          <w:spacing w:val="-13"/>
          <w:w w:val="110"/>
        </w:rPr>
        <w:t> </w:t>
      </w:r>
      <w:r>
        <w:rPr>
          <w:color w:val="231F20"/>
          <w:w w:val="110"/>
        </w:rPr>
        <w:t>endeudamien- to externo, lo que podría provocar una contracción de la economía mundial sin paralelo en la historia (Vergopoulos, 2005: 109 y 175) pues la voluminosa deuda global estadunidense saltó de 2.7 billones de dólares en 1989 a más de 10 billones en 2008</w:t>
      </w:r>
      <w:r>
        <w:rPr>
          <w:color w:val="231F20"/>
          <w:spacing w:val="27"/>
          <w:w w:val="110"/>
        </w:rPr>
        <w:t> </w:t>
      </w:r>
      <w:r>
        <w:rPr>
          <w:color w:val="231F20"/>
          <w:w w:val="110"/>
        </w:rPr>
        <w:t>(aproximadamente</w:t>
      </w:r>
    </w:p>
    <w:p>
      <w:pPr>
        <w:spacing w:after="0" w:line="261" w:lineRule="auto"/>
        <w:jc w:val="both"/>
        <w:sectPr>
          <w:headerReference w:type="even" r:id="rId124"/>
          <w:headerReference w:type="default" r:id="rId125"/>
          <w:pgSz w:w="7640" w:h="11900"/>
          <w:pgMar w:header="672" w:footer="0" w:top="860" w:bottom="280" w:left="780" w:right="640"/>
        </w:sectPr>
      </w:pPr>
    </w:p>
    <w:p>
      <w:pPr>
        <w:pStyle w:val="BodyText"/>
        <w:spacing w:before="8"/>
        <w:rPr>
          <w:sz w:val="8"/>
        </w:rPr>
      </w:pPr>
    </w:p>
    <w:p>
      <w:pPr>
        <w:pStyle w:val="BodyText"/>
        <w:spacing w:line="261" w:lineRule="auto" w:before="67"/>
        <w:ind w:left="100" w:right="202"/>
      </w:pPr>
      <w:r>
        <w:rPr>
          <w:color w:val="231F20"/>
          <w:w w:val="110"/>
        </w:rPr>
        <w:t>65% de su pib) y promete incrementarse con la profundización de  la</w:t>
      </w:r>
      <w:r>
        <w:rPr>
          <w:color w:val="231F20"/>
          <w:spacing w:val="-27"/>
          <w:w w:val="110"/>
        </w:rPr>
        <w:t> </w:t>
      </w:r>
      <w:r>
        <w:rPr>
          <w:color w:val="231F20"/>
          <w:w w:val="110"/>
        </w:rPr>
        <w:t>crisis</w:t>
      </w:r>
      <w:r>
        <w:rPr>
          <w:color w:val="231F20"/>
          <w:spacing w:val="-27"/>
          <w:w w:val="110"/>
        </w:rPr>
        <w:t> </w:t>
      </w:r>
      <w:r>
        <w:rPr>
          <w:color w:val="231F20"/>
          <w:w w:val="110"/>
        </w:rPr>
        <w:t>capitalista.</w:t>
      </w:r>
    </w:p>
    <w:p>
      <w:pPr>
        <w:pStyle w:val="BodyText"/>
        <w:spacing w:line="261" w:lineRule="auto"/>
        <w:ind w:left="100" w:right="117" w:firstLine="240"/>
        <w:jc w:val="both"/>
      </w:pPr>
      <w:r>
        <w:rPr>
          <w:color w:val="231F20"/>
          <w:w w:val="110"/>
        </w:rPr>
        <w:t>El</w:t>
      </w:r>
      <w:r>
        <w:rPr>
          <w:color w:val="231F20"/>
          <w:spacing w:val="-13"/>
          <w:w w:val="110"/>
        </w:rPr>
        <w:t> </w:t>
      </w:r>
      <w:r>
        <w:rPr>
          <w:color w:val="231F20"/>
          <w:w w:val="110"/>
        </w:rPr>
        <w:t>resultado</w:t>
      </w:r>
      <w:r>
        <w:rPr>
          <w:color w:val="231F20"/>
          <w:spacing w:val="-13"/>
          <w:w w:val="110"/>
        </w:rPr>
        <w:t> </w:t>
      </w:r>
      <w:r>
        <w:rPr>
          <w:color w:val="231F20"/>
          <w:w w:val="110"/>
        </w:rPr>
        <w:t>de</w:t>
      </w:r>
      <w:r>
        <w:rPr>
          <w:color w:val="231F20"/>
          <w:spacing w:val="-13"/>
          <w:w w:val="110"/>
        </w:rPr>
        <w:t> </w:t>
      </w:r>
      <w:r>
        <w:rPr>
          <w:color w:val="231F20"/>
          <w:w w:val="110"/>
        </w:rPr>
        <w:t>esta</w:t>
      </w:r>
      <w:r>
        <w:rPr>
          <w:color w:val="231F20"/>
          <w:spacing w:val="-13"/>
          <w:w w:val="110"/>
        </w:rPr>
        <w:t> </w:t>
      </w:r>
      <w:r>
        <w:rPr>
          <w:color w:val="231F20"/>
          <w:w w:val="110"/>
        </w:rPr>
        <w:t>situación</w:t>
      </w:r>
      <w:r>
        <w:rPr>
          <w:color w:val="231F20"/>
          <w:spacing w:val="-13"/>
          <w:w w:val="110"/>
        </w:rPr>
        <w:t> </w:t>
      </w:r>
      <w:r>
        <w:rPr>
          <w:color w:val="231F20"/>
          <w:w w:val="110"/>
        </w:rPr>
        <w:t>es</w:t>
      </w:r>
      <w:r>
        <w:rPr>
          <w:color w:val="231F20"/>
          <w:spacing w:val="-13"/>
          <w:w w:val="110"/>
        </w:rPr>
        <w:t> </w:t>
      </w:r>
      <w:r>
        <w:rPr>
          <w:color w:val="231F20"/>
          <w:w w:val="110"/>
        </w:rPr>
        <w:t>alarmante</w:t>
      </w:r>
      <w:r>
        <w:rPr>
          <w:color w:val="231F20"/>
          <w:spacing w:val="-13"/>
          <w:w w:val="110"/>
        </w:rPr>
        <w:t> </w:t>
      </w:r>
      <w:r>
        <w:rPr>
          <w:color w:val="231F20"/>
          <w:w w:val="110"/>
        </w:rPr>
        <w:t>y</w:t>
      </w:r>
      <w:r>
        <w:rPr>
          <w:color w:val="231F20"/>
          <w:spacing w:val="-13"/>
          <w:w w:val="110"/>
        </w:rPr>
        <w:t> </w:t>
      </w:r>
      <w:r>
        <w:rPr>
          <w:color w:val="231F20"/>
          <w:w w:val="110"/>
        </w:rPr>
        <w:t>paradójico:</w:t>
      </w:r>
      <w:r>
        <w:rPr>
          <w:color w:val="231F20"/>
          <w:spacing w:val="-13"/>
          <w:w w:val="110"/>
        </w:rPr>
        <w:t> </w:t>
      </w:r>
      <w:r>
        <w:rPr>
          <w:color w:val="231F20"/>
          <w:w w:val="110"/>
        </w:rPr>
        <w:t>“Mientras se mantenga la prosperidad de Estados Unidos más se deteriorarán sus</w:t>
      </w:r>
      <w:r>
        <w:rPr>
          <w:color w:val="231F20"/>
          <w:spacing w:val="-18"/>
          <w:w w:val="110"/>
        </w:rPr>
        <w:t> </w:t>
      </w:r>
      <w:r>
        <w:rPr>
          <w:color w:val="231F20"/>
          <w:w w:val="110"/>
        </w:rPr>
        <w:t>posiciones</w:t>
      </w:r>
      <w:r>
        <w:rPr>
          <w:color w:val="231F20"/>
          <w:spacing w:val="-18"/>
          <w:w w:val="110"/>
        </w:rPr>
        <w:t> </w:t>
      </w:r>
      <w:r>
        <w:rPr>
          <w:color w:val="231F20"/>
          <w:w w:val="110"/>
        </w:rPr>
        <w:t>externas</w:t>
      </w:r>
      <w:r>
        <w:rPr>
          <w:color w:val="231F20"/>
          <w:spacing w:val="-18"/>
          <w:w w:val="110"/>
        </w:rPr>
        <w:t> </w:t>
      </w:r>
      <w:r>
        <w:rPr>
          <w:color w:val="231F20"/>
          <w:w w:val="110"/>
        </w:rPr>
        <w:t>y</w:t>
      </w:r>
      <w:r>
        <w:rPr>
          <w:color w:val="231F20"/>
          <w:spacing w:val="-18"/>
          <w:w w:val="110"/>
        </w:rPr>
        <w:t> </w:t>
      </w:r>
      <w:r>
        <w:rPr>
          <w:color w:val="231F20"/>
          <w:w w:val="110"/>
        </w:rPr>
        <w:t>será</w:t>
      </w:r>
      <w:r>
        <w:rPr>
          <w:color w:val="231F20"/>
          <w:spacing w:val="-18"/>
          <w:w w:val="110"/>
        </w:rPr>
        <w:t> </w:t>
      </w:r>
      <w:r>
        <w:rPr>
          <w:color w:val="231F20"/>
          <w:w w:val="110"/>
        </w:rPr>
        <w:t>menos</w:t>
      </w:r>
      <w:r>
        <w:rPr>
          <w:color w:val="231F20"/>
          <w:spacing w:val="-18"/>
          <w:w w:val="110"/>
        </w:rPr>
        <w:t> </w:t>
      </w:r>
      <w:r>
        <w:rPr>
          <w:color w:val="231F20"/>
          <w:w w:val="110"/>
        </w:rPr>
        <w:t>capaz</w:t>
      </w:r>
      <w:r>
        <w:rPr>
          <w:color w:val="231F20"/>
          <w:spacing w:val="-18"/>
          <w:w w:val="110"/>
        </w:rPr>
        <w:t> </w:t>
      </w:r>
      <w:r>
        <w:rPr>
          <w:color w:val="231F20"/>
          <w:w w:val="110"/>
        </w:rPr>
        <w:t>de</w:t>
      </w:r>
      <w:r>
        <w:rPr>
          <w:color w:val="231F20"/>
          <w:spacing w:val="-18"/>
          <w:w w:val="110"/>
        </w:rPr>
        <w:t> </w:t>
      </w:r>
      <w:r>
        <w:rPr>
          <w:color w:val="231F20"/>
          <w:w w:val="110"/>
        </w:rPr>
        <w:t>ejercer</w:t>
      </w:r>
      <w:r>
        <w:rPr>
          <w:color w:val="231F20"/>
          <w:spacing w:val="-18"/>
          <w:w w:val="110"/>
        </w:rPr>
        <w:t> </w:t>
      </w:r>
      <w:r>
        <w:rPr>
          <w:color w:val="231F20"/>
          <w:w w:val="110"/>
        </w:rPr>
        <w:t>el</w:t>
      </w:r>
      <w:r>
        <w:rPr>
          <w:color w:val="231F20"/>
          <w:spacing w:val="-18"/>
          <w:w w:val="110"/>
        </w:rPr>
        <w:t> </w:t>
      </w:r>
      <w:r>
        <w:rPr>
          <w:color w:val="231F20"/>
          <w:w w:val="110"/>
        </w:rPr>
        <w:t>papel</w:t>
      </w:r>
      <w:r>
        <w:rPr>
          <w:color w:val="231F20"/>
          <w:spacing w:val="-18"/>
          <w:w w:val="110"/>
        </w:rPr>
        <w:t> </w:t>
      </w:r>
      <w:r>
        <w:rPr>
          <w:color w:val="231F20"/>
          <w:w w:val="110"/>
        </w:rPr>
        <w:t>de</w:t>
      </w:r>
      <w:r>
        <w:rPr>
          <w:color w:val="231F20"/>
          <w:spacing w:val="-18"/>
          <w:w w:val="110"/>
        </w:rPr>
        <w:t> </w:t>
      </w:r>
      <w:r>
        <w:rPr>
          <w:color w:val="231F20"/>
          <w:w w:val="110"/>
        </w:rPr>
        <w:t>esta- bilizador</w:t>
      </w:r>
      <w:r>
        <w:rPr>
          <w:color w:val="231F20"/>
          <w:spacing w:val="-26"/>
          <w:w w:val="110"/>
        </w:rPr>
        <w:t> </w:t>
      </w:r>
      <w:r>
        <w:rPr>
          <w:color w:val="231F20"/>
          <w:w w:val="110"/>
        </w:rPr>
        <w:t>económico</w:t>
      </w:r>
      <w:r>
        <w:rPr>
          <w:color w:val="231F20"/>
          <w:spacing w:val="-26"/>
          <w:w w:val="110"/>
        </w:rPr>
        <w:t> </w:t>
      </w:r>
      <w:r>
        <w:rPr>
          <w:color w:val="231F20"/>
          <w:w w:val="110"/>
        </w:rPr>
        <w:t>y</w:t>
      </w:r>
      <w:r>
        <w:rPr>
          <w:color w:val="231F20"/>
          <w:spacing w:val="-26"/>
          <w:w w:val="110"/>
        </w:rPr>
        <w:t> </w:t>
      </w:r>
      <w:r>
        <w:rPr>
          <w:color w:val="231F20"/>
          <w:w w:val="110"/>
        </w:rPr>
        <w:t>monetario</w:t>
      </w:r>
      <w:r>
        <w:rPr>
          <w:color w:val="231F20"/>
          <w:spacing w:val="-26"/>
          <w:w w:val="110"/>
        </w:rPr>
        <w:t> </w:t>
      </w:r>
      <w:r>
        <w:rPr>
          <w:color w:val="231F20"/>
          <w:w w:val="110"/>
        </w:rPr>
        <w:t>mundial”</w:t>
      </w:r>
      <w:r>
        <w:rPr>
          <w:color w:val="231F20"/>
          <w:spacing w:val="-26"/>
          <w:w w:val="110"/>
        </w:rPr>
        <w:t> </w:t>
      </w:r>
      <w:r>
        <w:rPr>
          <w:color w:val="231F20"/>
          <w:w w:val="110"/>
        </w:rPr>
        <w:t>(Vergopoulos,</w:t>
      </w:r>
      <w:r>
        <w:rPr>
          <w:color w:val="231F20"/>
          <w:spacing w:val="-26"/>
          <w:w w:val="110"/>
        </w:rPr>
        <w:t> </w:t>
      </w:r>
      <w:r>
        <w:rPr>
          <w:color w:val="231F20"/>
          <w:w w:val="110"/>
        </w:rPr>
        <w:t>2005:</w:t>
      </w:r>
      <w:r>
        <w:rPr>
          <w:color w:val="231F20"/>
          <w:spacing w:val="-26"/>
          <w:w w:val="110"/>
        </w:rPr>
        <w:t> </w:t>
      </w:r>
      <w:r>
        <w:rPr>
          <w:color w:val="231F20"/>
          <w:w w:val="110"/>
        </w:rPr>
        <w:t>182). De esta forma, se ha llegado a un punto en el que la “hegemonía” del imperialismo estadunidense ha cedido lugar a una acumulación de desequilibrios derivados de la dinámica internacional y del desa- rrollo</w:t>
      </w:r>
      <w:r>
        <w:rPr>
          <w:color w:val="231F20"/>
          <w:spacing w:val="-13"/>
          <w:w w:val="110"/>
        </w:rPr>
        <w:t> </w:t>
      </w:r>
      <w:r>
        <w:rPr>
          <w:color w:val="231F20"/>
          <w:w w:val="110"/>
        </w:rPr>
        <w:t>de</w:t>
      </w:r>
      <w:r>
        <w:rPr>
          <w:color w:val="231F20"/>
          <w:spacing w:val="-13"/>
          <w:w w:val="110"/>
        </w:rPr>
        <w:t> </w:t>
      </w:r>
      <w:r>
        <w:rPr>
          <w:color w:val="231F20"/>
          <w:w w:val="110"/>
        </w:rPr>
        <w:t>nuevos</w:t>
      </w:r>
      <w:r>
        <w:rPr>
          <w:color w:val="231F20"/>
          <w:spacing w:val="-13"/>
          <w:w w:val="110"/>
        </w:rPr>
        <w:t> </w:t>
      </w:r>
      <w:r>
        <w:rPr>
          <w:color w:val="231F20"/>
          <w:w w:val="110"/>
        </w:rPr>
        <w:t>bloques</w:t>
      </w:r>
      <w:r>
        <w:rPr>
          <w:color w:val="231F20"/>
          <w:spacing w:val="-13"/>
          <w:w w:val="110"/>
        </w:rPr>
        <w:t> </w:t>
      </w:r>
      <w:r>
        <w:rPr>
          <w:color w:val="231F20"/>
          <w:w w:val="110"/>
        </w:rPr>
        <w:t>geoeconómicos</w:t>
      </w:r>
      <w:r>
        <w:rPr>
          <w:color w:val="231F20"/>
          <w:spacing w:val="-13"/>
          <w:w w:val="110"/>
        </w:rPr>
        <w:t> </w:t>
      </w:r>
      <w:r>
        <w:rPr>
          <w:color w:val="231F20"/>
          <w:w w:val="110"/>
        </w:rPr>
        <w:t>y</w:t>
      </w:r>
      <w:r>
        <w:rPr>
          <w:color w:val="231F20"/>
          <w:spacing w:val="-13"/>
          <w:w w:val="110"/>
        </w:rPr>
        <w:t> </w:t>
      </w:r>
      <w:r>
        <w:rPr>
          <w:color w:val="231F20"/>
          <w:w w:val="110"/>
        </w:rPr>
        <w:t>políticos</w:t>
      </w:r>
      <w:r>
        <w:rPr>
          <w:color w:val="231F20"/>
          <w:spacing w:val="-13"/>
          <w:w w:val="110"/>
        </w:rPr>
        <w:t> </w:t>
      </w:r>
      <w:r>
        <w:rPr>
          <w:color w:val="231F20"/>
          <w:w w:val="110"/>
        </w:rPr>
        <w:t>como</w:t>
      </w:r>
      <w:r>
        <w:rPr>
          <w:color w:val="231F20"/>
          <w:spacing w:val="-13"/>
          <w:w w:val="110"/>
        </w:rPr>
        <w:t> </w:t>
      </w:r>
      <w:r>
        <w:rPr>
          <w:color w:val="231F20"/>
          <w:w w:val="110"/>
        </w:rPr>
        <w:t>el</w:t>
      </w:r>
      <w:r>
        <w:rPr>
          <w:color w:val="231F20"/>
          <w:spacing w:val="-13"/>
          <w:w w:val="110"/>
        </w:rPr>
        <w:t> </w:t>
      </w:r>
      <w:r>
        <w:rPr>
          <w:color w:val="231F20"/>
          <w:w w:val="110"/>
        </w:rPr>
        <w:t>asiático, el europeo y el latinoamericano  </w:t>
      </w:r>
      <w:r>
        <w:rPr>
          <w:color w:val="231F20"/>
          <w:spacing w:val="35"/>
          <w:w w:val="110"/>
        </w:rPr>
        <w:t> </w:t>
      </w:r>
      <w:r>
        <w:rPr>
          <w:color w:val="231F20"/>
          <w:w w:val="110"/>
        </w:rPr>
        <w:t>(alba).</w:t>
      </w:r>
    </w:p>
    <w:p>
      <w:pPr>
        <w:pStyle w:val="BodyText"/>
        <w:spacing w:line="261" w:lineRule="auto"/>
        <w:ind w:left="100" w:right="116" w:firstLine="240"/>
        <w:jc w:val="both"/>
      </w:pPr>
      <w:r>
        <w:rPr>
          <w:color w:val="231F20"/>
          <w:w w:val="110"/>
        </w:rPr>
        <w:t>Vergopoulos (2005: 116) señala las diferencias entre el periodo de los “treinta años gloriosos” del capitalismo mundial (1945-1973) y el neoliberalismo declinante de la globalización cuando asienta que “durante el periodo de funcionamiento productivo del sistema monetario mundial de Bretton-Woods (1944-1971) se priorizaron los aspectos comerciales y la estabilización de los mercados, al</w:t>
      </w:r>
      <w:r>
        <w:rPr>
          <w:color w:val="231F20"/>
          <w:spacing w:val="-8"/>
          <w:w w:val="110"/>
        </w:rPr>
        <w:t> </w:t>
      </w:r>
      <w:r>
        <w:rPr>
          <w:color w:val="231F20"/>
          <w:w w:val="110"/>
        </w:rPr>
        <w:t>paso que hoy la atención se concentra en los aspectos financieros y en la integración financiera</w:t>
      </w:r>
      <w:r>
        <w:rPr>
          <w:color w:val="231F20"/>
          <w:spacing w:val="30"/>
          <w:w w:val="110"/>
        </w:rPr>
        <w:t> </w:t>
      </w:r>
      <w:r>
        <w:rPr>
          <w:color w:val="231F20"/>
          <w:w w:val="110"/>
        </w:rPr>
        <w:t>internacional”.</w:t>
      </w:r>
    </w:p>
    <w:p>
      <w:pPr>
        <w:pStyle w:val="BodyText"/>
        <w:spacing w:line="261" w:lineRule="auto"/>
        <w:ind w:left="100" w:right="118" w:firstLine="240"/>
        <w:jc w:val="both"/>
      </w:pPr>
      <w:r>
        <w:rPr>
          <w:color w:val="231F20"/>
          <w:w w:val="110"/>
        </w:rPr>
        <w:t>En efecto, las políticas que han puesto en práctica los gobiernos de los países desarrollados, supuestamente para contrarrestar los efectos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actual,</w:t>
      </w:r>
      <w:r>
        <w:rPr>
          <w:color w:val="231F20"/>
          <w:spacing w:val="-6"/>
          <w:w w:val="110"/>
        </w:rPr>
        <w:t> </w:t>
      </w:r>
      <w:r>
        <w:rPr>
          <w:color w:val="231F20"/>
          <w:w w:val="110"/>
        </w:rPr>
        <w:t>atañen</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esfera</w:t>
      </w:r>
      <w:r>
        <w:rPr>
          <w:color w:val="231F20"/>
          <w:spacing w:val="-6"/>
          <w:w w:val="110"/>
        </w:rPr>
        <w:t> </w:t>
      </w:r>
      <w:r>
        <w:rPr>
          <w:color w:val="231F20"/>
          <w:w w:val="110"/>
        </w:rPr>
        <w:t>financiera</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beneficio del capital especulativo, sin proponerse reformas que promuevan el desarrollo de la estructura productiva y</w:t>
      </w:r>
      <w:r>
        <w:rPr>
          <w:color w:val="231F20"/>
          <w:spacing w:val="7"/>
          <w:w w:val="110"/>
        </w:rPr>
        <w:t> </w:t>
      </w:r>
      <w:r>
        <w:rPr>
          <w:color w:val="231F20"/>
          <w:w w:val="110"/>
        </w:rPr>
        <w:t>social.</w:t>
      </w:r>
    </w:p>
    <w:p>
      <w:pPr>
        <w:pStyle w:val="BodyText"/>
        <w:spacing w:line="261" w:lineRule="auto"/>
        <w:ind w:left="100" w:right="114" w:firstLine="240"/>
        <w:jc w:val="both"/>
      </w:pPr>
      <w:r>
        <w:rPr>
          <w:color w:val="231F20"/>
          <w:w w:val="110"/>
        </w:rPr>
        <w:t>En los años ochenta y noventa se transitó paulatinamente del Estado</w:t>
      </w:r>
      <w:r>
        <w:rPr>
          <w:color w:val="231F20"/>
          <w:spacing w:val="-7"/>
          <w:w w:val="110"/>
        </w:rPr>
        <w:t> </w:t>
      </w:r>
      <w:r>
        <w:rPr>
          <w:color w:val="231F20"/>
          <w:w w:val="110"/>
        </w:rPr>
        <w:t>de</w:t>
      </w:r>
      <w:r>
        <w:rPr>
          <w:color w:val="231F20"/>
          <w:spacing w:val="-7"/>
          <w:w w:val="110"/>
        </w:rPr>
        <w:t> </w:t>
      </w:r>
      <w:r>
        <w:rPr>
          <w:color w:val="231F20"/>
          <w:w w:val="110"/>
        </w:rPr>
        <w:t>bienestar</w:t>
      </w:r>
      <w:r>
        <w:rPr>
          <w:color w:val="231F20"/>
          <w:spacing w:val="-7"/>
          <w:w w:val="110"/>
        </w:rPr>
        <w:t> </w:t>
      </w:r>
      <w:r>
        <w:rPr>
          <w:color w:val="231F20"/>
          <w:w w:val="110"/>
        </w:rPr>
        <w:t>sustentado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acumulación</w:t>
      </w:r>
      <w:r>
        <w:rPr>
          <w:color w:val="231F20"/>
          <w:spacing w:val="-7"/>
          <w:w w:val="110"/>
        </w:rPr>
        <w:t> </w:t>
      </w:r>
      <w:r>
        <w:rPr>
          <w:color w:val="231F20"/>
          <w:w w:val="110"/>
        </w:rPr>
        <w:t>de</w:t>
      </w:r>
      <w:r>
        <w:rPr>
          <w:color w:val="231F20"/>
          <w:spacing w:val="-7"/>
          <w:w w:val="110"/>
        </w:rPr>
        <w:t> </w:t>
      </w:r>
      <w:r>
        <w:rPr>
          <w:color w:val="231F20"/>
          <w:w w:val="110"/>
        </w:rPr>
        <w:t>capital</w:t>
      </w:r>
      <w:r>
        <w:rPr>
          <w:color w:val="231F20"/>
          <w:spacing w:val="-7"/>
          <w:w w:val="110"/>
        </w:rPr>
        <w:t> </w:t>
      </w:r>
      <w:r>
        <w:rPr>
          <w:color w:val="231F20"/>
          <w:w w:val="110"/>
        </w:rPr>
        <w:t>fordista- taylorista y en sus políticas keynesianas a un nuevo patrón de acu- mulación que privilegia la especulación financiera, la degradación   y fragmentación de la fuerza de trabajo (flexibilización y precari- zación), y la incorporación del desarrollo tecnológico al proceso productivo</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organización</w:t>
      </w:r>
      <w:r>
        <w:rPr>
          <w:color w:val="231F20"/>
          <w:spacing w:val="-6"/>
          <w:w w:val="110"/>
        </w:rPr>
        <w:t> </w:t>
      </w:r>
      <w:r>
        <w:rPr>
          <w:color w:val="231F20"/>
          <w:w w:val="110"/>
        </w:rPr>
        <w:t>del</w:t>
      </w:r>
      <w:r>
        <w:rPr>
          <w:color w:val="231F20"/>
          <w:spacing w:val="-6"/>
          <w:w w:val="110"/>
        </w:rPr>
        <w:t> </w:t>
      </w:r>
      <w:r>
        <w:rPr>
          <w:color w:val="231F20"/>
          <w:w w:val="110"/>
        </w:rPr>
        <w:t>trabajo.</w:t>
      </w:r>
      <w:r>
        <w:rPr>
          <w:color w:val="231F20"/>
          <w:spacing w:val="-6"/>
          <w:w w:val="110"/>
        </w:rPr>
        <w:t> </w:t>
      </w:r>
      <w:r>
        <w:rPr>
          <w:color w:val="231F20"/>
          <w:w w:val="110"/>
        </w:rPr>
        <w:t>Podríamos</w:t>
      </w:r>
      <w:r>
        <w:rPr>
          <w:color w:val="231F20"/>
          <w:spacing w:val="-6"/>
          <w:w w:val="110"/>
        </w:rPr>
        <w:t> </w:t>
      </w:r>
      <w:r>
        <w:rPr>
          <w:color w:val="231F20"/>
          <w:w w:val="110"/>
        </w:rPr>
        <w:t>caracterizar</w:t>
      </w:r>
      <w:r>
        <w:rPr>
          <w:color w:val="231F20"/>
          <w:spacing w:val="-6"/>
          <w:w w:val="110"/>
        </w:rPr>
        <w:t> </w:t>
      </w:r>
      <w:r>
        <w:rPr>
          <w:color w:val="231F20"/>
          <w:w w:val="110"/>
        </w:rPr>
        <w:t>este nuevo</w:t>
      </w:r>
      <w:r>
        <w:rPr>
          <w:color w:val="231F20"/>
          <w:spacing w:val="-11"/>
          <w:w w:val="110"/>
        </w:rPr>
        <w:t> </w:t>
      </w:r>
      <w:r>
        <w:rPr>
          <w:color w:val="231F20"/>
          <w:w w:val="110"/>
        </w:rPr>
        <w:t>dispositivo</w:t>
      </w:r>
      <w:r>
        <w:rPr>
          <w:color w:val="231F20"/>
          <w:spacing w:val="-11"/>
          <w:w w:val="110"/>
        </w:rPr>
        <w:t> </w:t>
      </w:r>
      <w:r>
        <w:rPr>
          <w:color w:val="231F20"/>
          <w:w w:val="110"/>
        </w:rPr>
        <w:t>como</w:t>
      </w:r>
      <w:r>
        <w:rPr>
          <w:color w:val="231F20"/>
          <w:spacing w:val="-11"/>
          <w:w w:val="110"/>
        </w:rPr>
        <w:t> </w:t>
      </w:r>
      <w:r>
        <w:rPr>
          <w:color w:val="231F20"/>
          <w:w w:val="110"/>
        </w:rPr>
        <w:t>“automatización</w:t>
      </w:r>
      <w:r>
        <w:rPr>
          <w:color w:val="231F20"/>
          <w:spacing w:val="-11"/>
          <w:w w:val="110"/>
        </w:rPr>
        <w:t> </w:t>
      </w:r>
      <w:r>
        <w:rPr>
          <w:color w:val="231F20"/>
          <w:w w:val="110"/>
        </w:rPr>
        <w:t>flexible”</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articulación entre la acumulación de capital y la organización del proceso de trabajo (toyotismo) sustentados en la captura de la subjetividad y en la intensificación como método de explotación del trabajo</w:t>
      </w:r>
      <w:r>
        <w:rPr>
          <w:color w:val="231F20"/>
          <w:spacing w:val="-18"/>
          <w:w w:val="110"/>
        </w:rPr>
        <w:t> </w:t>
      </w:r>
      <w:r>
        <w:rPr>
          <w:color w:val="231F20"/>
          <w:w w:val="110"/>
        </w:rPr>
        <w:t>(Antunes, 2005;</w:t>
      </w:r>
      <w:r>
        <w:rPr>
          <w:color w:val="231F20"/>
          <w:spacing w:val="-27"/>
          <w:w w:val="110"/>
        </w:rPr>
        <w:t> </w:t>
      </w:r>
      <w:r>
        <w:rPr>
          <w:color w:val="231F20"/>
          <w:w w:val="110"/>
        </w:rPr>
        <w:t>Alves,</w:t>
      </w:r>
      <w:r>
        <w:rPr>
          <w:color w:val="231F20"/>
          <w:spacing w:val="-27"/>
          <w:w w:val="110"/>
        </w:rPr>
        <w:t> </w:t>
      </w:r>
      <w:r>
        <w:rPr>
          <w:color w:val="231F20"/>
          <w:w w:val="110"/>
        </w:rPr>
        <w:t>2007</w:t>
      </w:r>
      <w:r>
        <w:rPr>
          <w:color w:val="231F20"/>
          <w:spacing w:val="-27"/>
          <w:w w:val="110"/>
        </w:rPr>
        <w:t> </w:t>
      </w:r>
      <w:r>
        <w:rPr>
          <w:color w:val="231F20"/>
          <w:w w:val="110"/>
        </w:rPr>
        <w:t>y</w:t>
      </w:r>
      <w:r>
        <w:rPr>
          <w:color w:val="231F20"/>
          <w:spacing w:val="-27"/>
          <w:w w:val="110"/>
        </w:rPr>
        <w:t> </w:t>
      </w:r>
      <w:r>
        <w:rPr>
          <w:color w:val="231F20"/>
          <w:w w:val="110"/>
        </w:rPr>
        <w:t>Sotelo,</w:t>
      </w:r>
      <w:r>
        <w:rPr>
          <w:color w:val="231F20"/>
          <w:spacing w:val="-27"/>
          <w:w w:val="110"/>
        </w:rPr>
        <w:t> </w:t>
      </w:r>
      <w:r>
        <w:rPr>
          <w:color w:val="231F20"/>
          <w:w w:val="110"/>
        </w:rPr>
        <w:t>2003).</w:t>
      </w:r>
    </w:p>
    <w:p>
      <w:pPr>
        <w:pStyle w:val="BodyText"/>
        <w:spacing w:line="261" w:lineRule="auto"/>
        <w:ind w:left="100" w:right="110" w:firstLine="240"/>
        <w:jc w:val="both"/>
      </w:pPr>
      <w:r>
        <w:rPr>
          <w:color w:val="231F20"/>
          <w:w w:val="105"/>
        </w:rPr>
        <w:t>Para superar la crisis de los años setenta y estimular el desarro-      llo de las economías basadas en el mercado, fueron necesarias la restructuración  productiva  y  la  flexibilización  del  Estado.  Así,   </w:t>
      </w:r>
      <w:r>
        <w:rPr>
          <w:color w:val="231F20"/>
          <w:spacing w:val="27"/>
          <w:w w:val="105"/>
        </w:rPr>
        <w:t> </w:t>
      </w:r>
      <w:r>
        <w:rPr>
          <w:color w:val="231F20"/>
          <w:w w:val="105"/>
        </w:rPr>
        <w:t>la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globalización neoliberal “es un intento del capital para  resolver  la crisis de acumulación que se presenta con toda su fuerza ya desde      los años setenta” (Vasapollo, 2007: 8). Dos de sus componentes, la revolución informática y la organización toyotista del trabajo, surgie- ron directamente de la crisis y no de la recuperación, como observa correctamente  Vasapollo  (2007:</w:t>
      </w:r>
      <w:r>
        <w:rPr>
          <w:color w:val="231F20"/>
          <w:spacing w:val="19"/>
          <w:w w:val="105"/>
        </w:rPr>
        <w:t> </w:t>
      </w:r>
      <w:r>
        <w:rPr>
          <w:color w:val="231F20"/>
          <w:w w:val="105"/>
        </w:rPr>
        <w:t>10).</w:t>
      </w:r>
    </w:p>
    <w:p>
      <w:pPr>
        <w:pStyle w:val="BodyText"/>
        <w:spacing w:line="261" w:lineRule="auto"/>
        <w:ind w:left="100" w:right="117" w:firstLine="240"/>
        <w:jc w:val="both"/>
      </w:pPr>
      <w:r>
        <w:rPr>
          <w:color w:val="231F20"/>
          <w:w w:val="110"/>
        </w:rPr>
        <w:t>Desde la segunda posguerra, la recuperación capitalista reforzó</w:t>
      </w:r>
      <w:r>
        <w:rPr>
          <w:color w:val="231F20"/>
          <w:spacing w:val="-13"/>
          <w:w w:val="110"/>
        </w:rPr>
        <w:t> </w:t>
      </w:r>
      <w:r>
        <w:rPr>
          <w:color w:val="231F20"/>
          <w:w w:val="110"/>
        </w:rPr>
        <w:t>el poder militar de Estados Unidos, que es quien, en primerísima ins- tancia, promueve la globalización, por supuesto en beneficio propio y en competencia con los imperialismos europeo y japonés. De esta manera en el plano de las relaciones internacionales se constituye, particularmente a raíz de la caída del Muro de Berlín en noviembre de 1989, un </w:t>
      </w:r>
      <w:r>
        <w:rPr>
          <w:i/>
          <w:color w:val="231F20"/>
          <w:w w:val="110"/>
        </w:rPr>
        <w:t>unilateralismo estadunidense</w:t>
      </w:r>
      <w:r>
        <w:rPr>
          <w:color w:val="231F20"/>
          <w:w w:val="110"/>
        </w:rPr>
        <w:t>, que un decenio después estaría dando paso a una cierta disputa entre los tres bloques por afianzar su supremacía en sus espacios regionales. En este entorno estalla la crisis que despuntó en agosto de 2008 en Estados Unidos, bajo la forma de crisis inmobiliaria, y que provocó el desplome de 504 puntos o 4.4%, del índice Dow Jones el 15 de septiembre de</w:t>
      </w:r>
      <w:r>
        <w:rPr>
          <w:color w:val="231F20"/>
          <w:spacing w:val="-19"/>
          <w:w w:val="110"/>
        </w:rPr>
        <w:t> </w:t>
      </w:r>
      <w:r>
        <w:rPr>
          <w:color w:val="231F20"/>
          <w:w w:val="110"/>
        </w:rPr>
        <w:t>ese mismo año, tras anunciarse la insolvencia del banco estadunidense Lehman Brothers, lo que a su vez provocó que las bolsas de valores de todo el mundo sufrieran una hecatombe y que el banco de in- versión Merrill Lynch fuera adquirido por el Bank of America y la American International Group solicitara un multimillonario crédito puente de la</w:t>
      </w:r>
      <w:r>
        <w:rPr>
          <w:color w:val="231F20"/>
          <w:spacing w:val="52"/>
          <w:w w:val="110"/>
        </w:rPr>
        <w:t> </w:t>
      </w:r>
      <w:r>
        <w:rPr>
          <w:color w:val="231F20"/>
          <w:w w:val="110"/>
        </w:rPr>
        <w:t>Fed.</w:t>
      </w:r>
    </w:p>
    <w:p>
      <w:pPr>
        <w:pStyle w:val="BodyText"/>
        <w:spacing w:line="261" w:lineRule="auto"/>
        <w:ind w:left="100" w:right="119" w:firstLine="240"/>
        <w:jc w:val="both"/>
      </w:pPr>
      <w:r>
        <w:rPr>
          <w:color w:val="231F20"/>
          <w:w w:val="110"/>
        </w:rPr>
        <w:t>Los</w:t>
      </w:r>
      <w:r>
        <w:rPr>
          <w:color w:val="231F20"/>
          <w:spacing w:val="-5"/>
          <w:w w:val="110"/>
        </w:rPr>
        <w:t> </w:t>
      </w:r>
      <w:r>
        <w:rPr>
          <w:color w:val="231F20"/>
          <w:w w:val="110"/>
        </w:rPr>
        <w:t>estragos</w:t>
      </w:r>
      <w:r>
        <w:rPr>
          <w:color w:val="231F20"/>
          <w:spacing w:val="-5"/>
          <w:w w:val="110"/>
        </w:rPr>
        <w:t> </w:t>
      </w:r>
      <w:r>
        <w:rPr>
          <w:color w:val="231F20"/>
          <w:w w:val="110"/>
        </w:rPr>
        <w:t>están</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vista</w:t>
      </w:r>
      <w:r>
        <w:rPr>
          <w:color w:val="231F20"/>
          <w:spacing w:val="-5"/>
          <w:w w:val="110"/>
        </w:rPr>
        <w:t> </w:t>
      </w:r>
      <w:r>
        <w:rPr>
          <w:color w:val="231F20"/>
          <w:w w:val="110"/>
        </w:rPr>
        <w:t>en</w:t>
      </w:r>
      <w:r>
        <w:rPr>
          <w:color w:val="231F20"/>
          <w:spacing w:val="-5"/>
          <w:w w:val="110"/>
        </w:rPr>
        <w:t> </w:t>
      </w:r>
      <w:r>
        <w:rPr>
          <w:color w:val="231F20"/>
          <w:w w:val="110"/>
        </w:rPr>
        <w:t>todo</w:t>
      </w:r>
      <w:r>
        <w:rPr>
          <w:color w:val="231F20"/>
          <w:spacing w:val="-5"/>
          <w:w w:val="110"/>
        </w:rPr>
        <w:t> </w:t>
      </w:r>
      <w:r>
        <w:rPr>
          <w:color w:val="231F20"/>
          <w:w w:val="110"/>
        </w:rPr>
        <w:t>el</w:t>
      </w:r>
      <w:r>
        <w:rPr>
          <w:color w:val="231F20"/>
          <w:spacing w:val="-5"/>
          <w:w w:val="110"/>
        </w:rPr>
        <w:t> </w:t>
      </w:r>
      <w:r>
        <w:rPr>
          <w:color w:val="231F20"/>
          <w:w w:val="110"/>
        </w:rPr>
        <w:t>mundo</w:t>
      </w:r>
      <w:r>
        <w:rPr>
          <w:color w:val="231F20"/>
          <w:spacing w:val="-5"/>
          <w:w w:val="110"/>
        </w:rPr>
        <w:t> </w:t>
      </w:r>
      <w:r>
        <w:rPr>
          <w:color w:val="231F20"/>
          <w:w w:val="110"/>
        </w:rPr>
        <w:t>y</w:t>
      </w:r>
      <w:r>
        <w:rPr>
          <w:color w:val="231F20"/>
          <w:spacing w:val="-5"/>
          <w:w w:val="110"/>
        </w:rPr>
        <w:t> </w:t>
      </w:r>
      <w:r>
        <w:rPr>
          <w:color w:val="231F20"/>
          <w:w w:val="110"/>
        </w:rPr>
        <w:t>revelan</w:t>
      </w:r>
      <w:r>
        <w:rPr>
          <w:color w:val="231F20"/>
          <w:spacing w:val="-5"/>
          <w:w w:val="110"/>
        </w:rPr>
        <w:t> </w:t>
      </w:r>
      <w:r>
        <w:rPr>
          <w:color w:val="231F20"/>
          <w:w w:val="110"/>
        </w:rPr>
        <w:t>el</w:t>
      </w:r>
      <w:r>
        <w:rPr>
          <w:color w:val="231F20"/>
          <w:spacing w:val="-5"/>
          <w:w w:val="110"/>
        </w:rPr>
        <w:t> </w:t>
      </w:r>
      <w:r>
        <w:rPr>
          <w:color w:val="231F20"/>
          <w:w w:val="110"/>
        </w:rPr>
        <w:t>fracaso de</w:t>
      </w:r>
      <w:r>
        <w:rPr>
          <w:color w:val="231F20"/>
          <w:spacing w:val="-14"/>
          <w:w w:val="110"/>
        </w:rPr>
        <w:t> </w:t>
      </w:r>
      <w:r>
        <w:rPr>
          <w:color w:val="231F20"/>
          <w:w w:val="110"/>
        </w:rPr>
        <w:t>las</w:t>
      </w:r>
      <w:r>
        <w:rPr>
          <w:color w:val="231F20"/>
          <w:spacing w:val="-13"/>
          <w:w w:val="110"/>
        </w:rPr>
        <w:t> </w:t>
      </w:r>
      <w:r>
        <w:rPr>
          <w:color w:val="231F20"/>
          <w:w w:val="110"/>
        </w:rPr>
        <w:t>políticas</w:t>
      </w:r>
      <w:r>
        <w:rPr>
          <w:color w:val="231F20"/>
          <w:spacing w:val="-14"/>
          <w:w w:val="110"/>
        </w:rPr>
        <w:t> </w:t>
      </w:r>
      <w:r>
        <w:rPr>
          <w:color w:val="231F20"/>
          <w:w w:val="110"/>
        </w:rPr>
        <w:t>neoliberales.</w:t>
      </w:r>
      <w:r>
        <w:rPr>
          <w:color w:val="231F20"/>
          <w:spacing w:val="-13"/>
          <w:w w:val="110"/>
        </w:rPr>
        <w:t> </w:t>
      </w:r>
      <w:r>
        <w:rPr>
          <w:color w:val="231F20"/>
          <w:w w:val="110"/>
        </w:rPr>
        <w:t>En</w:t>
      </w:r>
      <w:r>
        <w:rPr>
          <w:color w:val="231F20"/>
          <w:spacing w:val="-14"/>
          <w:w w:val="110"/>
        </w:rPr>
        <w:t> </w:t>
      </w:r>
      <w:r>
        <w:rPr>
          <w:color w:val="231F20"/>
          <w:w w:val="110"/>
        </w:rPr>
        <w:t>efecto,</w:t>
      </w:r>
      <w:r>
        <w:rPr>
          <w:color w:val="231F20"/>
          <w:spacing w:val="-14"/>
          <w:w w:val="110"/>
        </w:rPr>
        <w:t> </w:t>
      </w:r>
      <w:r>
        <w:rPr>
          <w:color w:val="231F20"/>
          <w:w w:val="110"/>
        </w:rPr>
        <w:t>frente</w:t>
      </w:r>
      <w:r>
        <w:rPr>
          <w:color w:val="231F20"/>
          <w:spacing w:val="-14"/>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mayor</w:t>
      </w:r>
      <w:r>
        <w:rPr>
          <w:color w:val="231F20"/>
          <w:spacing w:val="-13"/>
          <w:w w:val="110"/>
        </w:rPr>
        <w:t> </w:t>
      </w:r>
      <w:r>
        <w:rPr>
          <w:color w:val="231F20"/>
          <w:w w:val="110"/>
        </w:rPr>
        <w:t>quiebra</w:t>
      </w:r>
      <w:r>
        <w:rPr>
          <w:color w:val="231F20"/>
          <w:spacing w:val="-13"/>
          <w:w w:val="110"/>
        </w:rPr>
        <w:t> </w:t>
      </w:r>
      <w:r>
        <w:rPr>
          <w:color w:val="231F20"/>
          <w:w w:val="110"/>
        </w:rPr>
        <w:t>ban- caria en Estados Unidos en los últimos 24 años, que fue la del</w:t>
      </w:r>
      <w:r>
        <w:rPr>
          <w:color w:val="231F20"/>
          <w:spacing w:val="-28"/>
          <w:w w:val="110"/>
        </w:rPr>
        <w:t> </w:t>
      </w:r>
      <w:r>
        <w:rPr>
          <w:color w:val="231F20"/>
          <w:w w:val="110"/>
        </w:rPr>
        <w:t>banco californiano Indymac (con 35 mil millones de dólares en activos), y ante</w:t>
      </w:r>
      <w:r>
        <w:rPr>
          <w:color w:val="231F20"/>
          <w:spacing w:val="-22"/>
          <w:w w:val="110"/>
        </w:rPr>
        <w:t> </w:t>
      </w:r>
      <w:r>
        <w:rPr>
          <w:color w:val="231F20"/>
          <w:w w:val="110"/>
        </w:rPr>
        <w:t>las</w:t>
      </w:r>
      <w:r>
        <w:rPr>
          <w:color w:val="231F20"/>
          <w:spacing w:val="-22"/>
          <w:w w:val="110"/>
        </w:rPr>
        <w:t> </w:t>
      </w:r>
      <w:r>
        <w:rPr>
          <w:color w:val="231F20"/>
          <w:w w:val="110"/>
        </w:rPr>
        <w:t>quiebras</w:t>
      </w:r>
      <w:r>
        <w:rPr>
          <w:color w:val="231F20"/>
          <w:spacing w:val="-22"/>
          <w:w w:val="110"/>
        </w:rPr>
        <w:t> </w:t>
      </w:r>
      <w:r>
        <w:rPr>
          <w:color w:val="231F20"/>
          <w:w w:val="110"/>
        </w:rPr>
        <w:t>en</w:t>
      </w:r>
      <w:r>
        <w:rPr>
          <w:color w:val="231F20"/>
          <w:spacing w:val="-22"/>
          <w:w w:val="110"/>
        </w:rPr>
        <w:t> </w:t>
      </w:r>
      <w:r>
        <w:rPr>
          <w:color w:val="231F20"/>
          <w:w w:val="110"/>
        </w:rPr>
        <w:t>cascada</w:t>
      </w:r>
      <w:r>
        <w:rPr>
          <w:color w:val="231F20"/>
          <w:spacing w:val="-22"/>
          <w:w w:val="110"/>
        </w:rPr>
        <w:t> </w:t>
      </w:r>
      <w:r>
        <w:rPr>
          <w:color w:val="231F20"/>
          <w:w w:val="110"/>
        </w:rPr>
        <w:t>de</w:t>
      </w:r>
      <w:r>
        <w:rPr>
          <w:color w:val="231F20"/>
          <w:spacing w:val="-22"/>
          <w:w w:val="110"/>
        </w:rPr>
        <w:t> </w:t>
      </w:r>
      <w:r>
        <w:rPr>
          <w:color w:val="231F20"/>
          <w:w w:val="110"/>
        </w:rPr>
        <w:t>otras</w:t>
      </w:r>
      <w:r>
        <w:rPr>
          <w:color w:val="231F20"/>
          <w:spacing w:val="-22"/>
          <w:w w:val="110"/>
        </w:rPr>
        <w:t> </w:t>
      </w:r>
      <w:r>
        <w:rPr>
          <w:color w:val="231F20"/>
          <w:w w:val="110"/>
        </w:rPr>
        <w:t>empresas</w:t>
      </w:r>
      <w:r>
        <w:rPr>
          <w:color w:val="231F20"/>
          <w:spacing w:val="-22"/>
          <w:w w:val="110"/>
        </w:rPr>
        <w:t> </w:t>
      </w:r>
      <w:r>
        <w:rPr>
          <w:color w:val="231F20"/>
          <w:w w:val="110"/>
        </w:rPr>
        <w:t>inmobiliarias,</w:t>
      </w:r>
      <w:r>
        <w:rPr>
          <w:color w:val="231F20"/>
          <w:spacing w:val="-22"/>
          <w:w w:val="110"/>
        </w:rPr>
        <w:t> </w:t>
      </w:r>
      <w:r>
        <w:rPr>
          <w:color w:val="231F20"/>
          <w:w w:val="110"/>
        </w:rPr>
        <w:t>el</w:t>
      </w:r>
      <w:r>
        <w:rPr>
          <w:color w:val="231F20"/>
          <w:spacing w:val="-22"/>
          <w:w w:val="110"/>
        </w:rPr>
        <w:t> </w:t>
      </w:r>
      <w:r>
        <w:rPr>
          <w:color w:val="231F20"/>
          <w:spacing w:val="-2"/>
          <w:w w:val="110"/>
        </w:rPr>
        <w:t>Estado </w:t>
      </w:r>
      <w:r>
        <w:rPr>
          <w:color w:val="231F20"/>
          <w:w w:val="110"/>
        </w:rPr>
        <w:t>habilitó</w:t>
      </w:r>
      <w:r>
        <w:rPr>
          <w:color w:val="231F20"/>
          <w:spacing w:val="-20"/>
          <w:w w:val="110"/>
        </w:rPr>
        <w:t> </w:t>
      </w:r>
      <w:r>
        <w:rPr>
          <w:color w:val="231F20"/>
          <w:w w:val="110"/>
        </w:rPr>
        <w:t>una</w:t>
      </w:r>
      <w:r>
        <w:rPr>
          <w:color w:val="231F20"/>
          <w:spacing w:val="-20"/>
          <w:w w:val="110"/>
        </w:rPr>
        <w:t> </w:t>
      </w:r>
      <w:r>
        <w:rPr>
          <w:color w:val="231F20"/>
          <w:w w:val="110"/>
        </w:rPr>
        <w:t>auténtica</w:t>
      </w:r>
      <w:r>
        <w:rPr>
          <w:color w:val="231F20"/>
          <w:spacing w:val="-20"/>
          <w:w w:val="110"/>
        </w:rPr>
        <w:t> </w:t>
      </w:r>
      <w:r>
        <w:rPr>
          <w:color w:val="231F20"/>
          <w:w w:val="110"/>
        </w:rPr>
        <w:t>política</w:t>
      </w:r>
      <w:r>
        <w:rPr>
          <w:color w:val="231F20"/>
          <w:spacing w:val="-20"/>
          <w:w w:val="110"/>
        </w:rPr>
        <w:t> </w:t>
      </w:r>
      <w:r>
        <w:rPr>
          <w:color w:val="231F20"/>
          <w:w w:val="110"/>
        </w:rPr>
        <w:t>intervencionista</w:t>
      </w:r>
      <w:r>
        <w:rPr>
          <w:color w:val="231F20"/>
          <w:spacing w:val="-20"/>
          <w:w w:val="110"/>
        </w:rPr>
        <w:t> </w:t>
      </w:r>
      <w:r>
        <w:rPr>
          <w:color w:val="231F20"/>
          <w:w w:val="110"/>
        </w:rPr>
        <w:t>keynesiana</w:t>
      </w:r>
      <w:r>
        <w:rPr>
          <w:color w:val="231F20"/>
          <w:spacing w:val="-20"/>
          <w:w w:val="110"/>
        </w:rPr>
        <w:t> </w:t>
      </w:r>
      <w:r>
        <w:rPr>
          <w:color w:val="231F20"/>
          <w:w w:val="110"/>
        </w:rPr>
        <w:t>a</w:t>
      </w:r>
      <w:r>
        <w:rPr>
          <w:color w:val="231F20"/>
          <w:spacing w:val="-20"/>
          <w:w w:val="110"/>
        </w:rPr>
        <w:t> </w:t>
      </w:r>
      <w:r>
        <w:rPr>
          <w:color w:val="231F20"/>
          <w:w w:val="110"/>
        </w:rPr>
        <w:t>través</w:t>
      </w:r>
      <w:r>
        <w:rPr>
          <w:color w:val="231F20"/>
          <w:spacing w:val="-20"/>
          <w:w w:val="110"/>
        </w:rPr>
        <w:t> </w:t>
      </w:r>
      <w:r>
        <w:rPr>
          <w:color w:val="231F20"/>
          <w:spacing w:val="-2"/>
          <w:w w:val="110"/>
        </w:rPr>
        <w:t>del </w:t>
      </w:r>
      <w:r>
        <w:rPr>
          <w:color w:val="231F20"/>
          <w:spacing w:val="-5"/>
          <w:w w:val="110"/>
        </w:rPr>
        <w:t>Tesoro </w:t>
      </w:r>
      <w:r>
        <w:rPr>
          <w:color w:val="231F20"/>
          <w:w w:val="110"/>
        </w:rPr>
        <w:t>y la Reserva Federal, quienes exigieron al gobierno adoptar medidas</w:t>
      </w:r>
      <w:r>
        <w:rPr>
          <w:color w:val="231F20"/>
          <w:spacing w:val="-36"/>
          <w:w w:val="110"/>
        </w:rPr>
        <w:t> </w:t>
      </w:r>
      <w:r>
        <w:rPr>
          <w:color w:val="231F20"/>
          <w:w w:val="110"/>
        </w:rPr>
        <w:t>para</w:t>
      </w:r>
      <w:r>
        <w:rPr>
          <w:color w:val="231F20"/>
          <w:spacing w:val="-36"/>
          <w:w w:val="110"/>
        </w:rPr>
        <w:t> </w:t>
      </w:r>
      <w:r>
        <w:rPr>
          <w:color w:val="231F20"/>
          <w:w w:val="110"/>
        </w:rPr>
        <w:t>ayudar</w:t>
      </w:r>
      <w:r>
        <w:rPr>
          <w:color w:val="231F20"/>
          <w:spacing w:val="-36"/>
          <w:w w:val="110"/>
        </w:rPr>
        <w:t> </w:t>
      </w:r>
      <w:r>
        <w:rPr>
          <w:color w:val="231F20"/>
          <w:w w:val="110"/>
        </w:rPr>
        <w:t>a</w:t>
      </w:r>
      <w:r>
        <w:rPr>
          <w:color w:val="231F20"/>
          <w:spacing w:val="-36"/>
          <w:w w:val="110"/>
        </w:rPr>
        <w:t> </w:t>
      </w:r>
      <w:r>
        <w:rPr>
          <w:color w:val="231F20"/>
          <w:w w:val="110"/>
        </w:rPr>
        <w:t>consorcios</w:t>
      </w:r>
      <w:r>
        <w:rPr>
          <w:color w:val="231F20"/>
          <w:spacing w:val="-36"/>
          <w:w w:val="110"/>
        </w:rPr>
        <w:t> </w:t>
      </w:r>
      <w:r>
        <w:rPr>
          <w:color w:val="231F20"/>
          <w:w w:val="110"/>
        </w:rPr>
        <w:t>privados</w:t>
      </w:r>
      <w:r>
        <w:rPr>
          <w:color w:val="231F20"/>
          <w:spacing w:val="-36"/>
          <w:w w:val="110"/>
        </w:rPr>
        <w:t> </w:t>
      </w:r>
      <w:r>
        <w:rPr>
          <w:color w:val="231F20"/>
          <w:w w:val="110"/>
        </w:rPr>
        <w:t>inmobiliarios</w:t>
      </w:r>
      <w:r>
        <w:rPr>
          <w:color w:val="231F20"/>
          <w:spacing w:val="-36"/>
          <w:w w:val="110"/>
        </w:rPr>
        <w:t> </w:t>
      </w:r>
      <w:r>
        <w:rPr>
          <w:color w:val="231F20"/>
          <w:w w:val="110"/>
        </w:rPr>
        <w:t>como</w:t>
      </w:r>
      <w:r>
        <w:rPr>
          <w:color w:val="231F20"/>
          <w:spacing w:val="-36"/>
          <w:w w:val="110"/>
        </w:rPr>
        <w:t> </w:t>
      </w:r>
      <w:r>
        <w:rPr>
          <w:color w:val="231F20"/>
          <w:w w:val="110"/>
        </w:rPr>
        <w:t>Freddie Mac (Federal Home Loan Mortage Corporation), que tiene una deu- da</w:t>
      </w:r>
      <w:r>
        <w:rPr>
          <w:color w:val="231F20"/>
          <w:spacing w:val="-4"/>
          <w:w w:val="110"/>
        </w:rPr>
        <w:t> </w:t>
      </w:r>
      <w:r>
        <w:rPr>
          <w:color w:val="231F20"/>
          <w:w w:val="110"/>
        </w:rPr>
        <w:t>de</w:t>
      </w:r>
      <w:r>
        <w:rPr>
          <w:color w:val="231F20"/>
          <w:spacing w:val="-4"/>
          <w:w w:val="110"/>
        </w:rPr>
        <w:t> </w:t>
      </w:r>
      <w:r>
        <w:rPr>
          <w:color w:val="231F20"/>
          <w:w w:val="110"/>
        </w:rPr>
        <w:t>740</w:t>
      </w:r>
      <w:r>
        <w:rPr>
          <w:color w:val="231F20"/>
          <w:spacing w:val="-4"/>
          <w:w w:val="110"/>
        </w:rPr>
        <w:t> </w:t>
      </w:r>
      <w:r>
        <w:rPr>
          <w:color w:val="231F20"/>
          <w:w w:val="110"/>
        </w:rPr>
        <w:t>mil</w:t>
      </w:r>
      <w:r>
        <w:rPr>
          <w:color w:val="231F20"/>
          <w:spacing w:val="-4"/>
          <w:w w:val="110"/>
        </w:rPr>
        <w:t> </w:t>
      </w:r>
      <w:r>
        <w:rPr>
          <w:color w:val="231F20"/>
          <w:w w:val="110"/>
        </w:rPr>
        <w:t>millones</w:t>
      </w:r>
      <w:r>
        <w:rPr>
          <w:color w:val="231F20"/>
          <w:spacing w:val="-4"/>
          <w:w w:val="110"/>
        </w:rPr>
        <w:t> </w:t>
      </w:r>
      <w:r>
        <w:rPr>
          <w:color w:val="231F20"/>
          <w:w w:val="110"/>
        </w:rPr>
        <w:t>de</w:t>
      </w:r>
      <w:r>
        <w:rPr>
          <w:color w:val="231F20"/>
          <w:spacing w:val="-4"/>
          <w:w w:val="110"/>
        </w:rPr>
        <w:t> </w:t>
      </w:r>
      <w:r>
        <w:rPr>
          <w:color w:val="231F20"/>
          <w:w w:val="110"/>
        </w:rPr>
        <w:t>dólares,</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Fannie</w:t>
      </w:r>
      <w:r>
        <w:rPr>
          <w:color w:val="231F20"/>
          <w:spacing w:val="-4"/>
          <w:w w:val="110"/>
        </w:rPr>
        <w:t> </w:t>
      </w:r>
      <w:r>
        <w:rPr>
          <w:color w:val="231F20"/>
          <w:w w:val="110"/>
        </w:rPr>
        <w:t>Mae</w:t>
      </w:r>
      <w:r>
        <w:rPr>
          <w:color w:val="231F20"/>
          <w:spacing w:val="-4"/>
          <w:w w:val="110"/>
        </w:rPr>
        <w:t> </w:t>
      </w:r>
      <w:r>
        <w:rPr>
          <w:color w:val="231F20"/>
          <w:w w:val="110"/>
        </w:rPr>
        <w:t>(Federal</w:t>
      </w:r>
      <w:r>
        <w:rPr>
          <w:color w:val="231F20"/>
          <w:spacing w:val="-4"/>
          <w:w w:val="110"/>
        </w:rPr>
        <w:t> </w:t>
      </w:r>
      <w:r>
        <w:rPr>
          <w:color w:val="231F20"/>
          <w:w w:val="110"/>
        </w:rPr>
        <w:t>National Mortage</w:t>
      </w:r>
      <w:r>
        <w:rPr>
          <w:color w:val="231F20"/>
          <w:spacing w:val="-12"/>
          <w:w w:val="110"/>
        </w:rPr>
        <w:t> </w:t>
      </w:r>
      <w:r>
        <w:rPr>
          <w:color w:val="231F20"/>
          <w:w w:val="110"/>
        </w:rPr>
        <w:t>Association),</w:t>
      </w:r>
      <w:r>
        <w:rPr>
          <w:color w:val="231F20"/>
          <w:spacing w:val="-12"/>
          <w:w w:val="110"/>
        </w:rPr>
        <w:t> </w:t>
      </w:r>
      <w:r>
        <w:rPr>
          <w:color w:val="231F20"/>
          <w:w w:val="110"/>
        </w:rPr>
        <w:t>con</w:t>
      </w:r>
      <w:r>
        <w:rPr>
          <w:color w:val="231F20"/>
          <w:spacing w:val="-12"/>
          <w:w w:val="110"/>
        </w:rPr>
        <w:t> </w:t>
      </w:r>
      <w:r>
        <w:rPr>
          <w:color w:val="231F20"/>
          <w:w w:val="110"/>
        </w:rPr>
        <w:t>una</w:t>
      </w:r>
      <w:r>
        <w:rPr>
          <w:color w:val="231F20"/>
          <w:spacing w:val="-12"/>
          <w:w w:val="110"/>
        </w:rPr>
        <w:t> </w:t>
      </w:r>
      <w:r>
        <w:rPr>
          <w:color w:val="231F20"/>
          <w:w w:val="110"/>
        </w:rPr>
        <w:t>deuda</w:t>
      </w:r>
      <w:r>
        <w:rPr>
          <w:color w:val="231F20"/>
          <w:spacing w:val="-12"/>
          <w:w w:val="110"/>
        </w:rPr>
        <w:t> </w:t>
      </w:r>
      <w:r>
        <w:rPr>
          <w:color w:val="231F20"/>
          <w:w w:val="110"/>
        </w:rPr>
        <w:t>de</w:t>
      </w:r>
      <w:r>
        <w:rPr>
          <w:color w:val="231F20"/>
          <w:spacing w:val="-12"/>
          <w:w w:val="110"/>
        </w:rPr>
        <w:t> </w:t>
      </w:r>
      <w:r>
        <w:rPr>
          <w:color w:val="231F20"/>
          <w:w w:val="110"/>
        </w:rPr>
        <w:t>800</w:t>
      </w:r>
      <w:r>
        <w:rPr>
          <w:color w:val="231F20"/>
          <w:spacing w:val="-12"/>
          <w:w w:val="110"/>
        </w:rPr>
        <w:t> </w:t>
      </w:r>
      <w:r>
        <w:rPr>
          <w:color w:val="231F20"/>
          <w:w w:val="110"/>
        </w:rPr>
        <w:t>mil</w:t>
      </w:r>
      <w:r>
        <w:rPr>
          <w:color w:val="231F20"/>
          <w:spacing w:val="-12"/>
          <w:w w:val="110"/>
        </w:rPr>
        <w:t> </w:t>
      </w:r>
      <w:r>
        <w:rPr>
          <w:color w:val="231F20"/>
          <w:w w:val="110"/>
        </w:rPr>
        <w:t>millones</w:t>
      </w:r>
      <w:r>
        <w:rPr>
          <w:color w:val="231F20"/>
          <w:spacing w:val="-12"/>
          <w:w w:val="110"/>
        </w:rPr>
        <w:t> </w:t>
      </w:r>
      <w:r>
        <w:rPr>
          <w:color w:val="231F20"/>
          <w:w w:val="110"/>
        </w:rPr>
        <w:t>de</w:t>
      </w:r>
      <w:r>
        <w:rPr>
          <w:color w:val="231F20"/>
          <w:spacing w:val="-12"/>
          <w:w w:val="110"/>
        </w:rPr>
        <w:t> </w:t>
      </w:r>
      <w:r>
        <w:rPr>
          <w:color w:val="231F20"/>
          <w:w w:val="110"/>
        </w:rPr>
        <w:t>dólares, en un rescate cuyo costo se calcula en alrededor de 100 mil</w:t>
      </w:r>
      <w:r>
        <w:rPr>
          <w:color w:val="231F20"/>
          <w:spacing w:val="-30"/>
          <w:w w:val="110"/>
        </w:rPr>
        <w:t> </w:t>
      </w:r>
      <w:r>
        <w:rPr>
          <w:color w:val="231F20"/>
          <w:w w:val="110"/>
        </w:rPr>
        <w:t>millones de</w:t>
      </w:r>
      <w:r>
        <w:rPr>
          <w:color w:val="231F20"/>
          <w:spacing w:val="-16"/>
          <w:w w:val="110"/>
        </w:rPr>
        <w:t> </w:t>
      </w:r>
      <w:r>
        <w:rPr>
          <w:color w:val="231F20"/>
          <w:w w:val="110"/>
        </w:rPr>
        <w:t>dólares</w:t>
      </w:r>
      <w:r>
        <w:rPr>
          <w:color w:val="231F20"/>
          <w:spacing w:val="-16"/>
          <w:w w:val="110"/>
        </w:rPr>
        <w:t> </w:t>
      </w:r>
      <w:r>
        <w:rPr>
          <w:color w:val="231F20"/>
          <w:w w:val="110"/>
        </w:rPr>
        <w:t>y</w:t>
      </w:r>
      <w:r>
        <w:rPr>
          <w:color w:val="231F20"/>
          <w:spacing w:val="-16"/>
          <w:w w:val="110"/>
        </w:rPr>
        <w:t> </w:t>
      </w:r>
      <w:r>
        <w:rPr>
          <w:color w:val="231F20"/>
          <w:w w:val="110"/>
        </w:rPr>
        <w:t>que</w:t>
      </w:r>
      <w:r>
        <w:rPr>
          <w:color w:val="231F20"/>
          <w:spacing w:val="-16"/>
          <w:w w:val="110"/>
        </w:rPr>
        <w:t> </w:t>
      </w:r>
      <w:r>
        <w:rPr>
          <w:color w:val="231F20"/>
          <w:w w:val="110"/>
        </w:rPr>
        <w:t>por</w:t>
      </w:r>
      <w:r>
        <w:rPr>
          <w:color w:val="231F20"/>
          <w:spacing w:val="-16"/>
          <w:w w:val="110"/>
        </w:rPr>
        <w:t> </w:t>
      </w:r>
      <w:r>
        <w:rPr>
          <w:color w:val="231F20"/>
          <w:w w:val="110"/>
        </w:rPr>
        <w:t>supuesto</w:t>
      </w:r>
      <w:r>
        <w:rPr>
          <w:color w:val="231F20"/>
          <w:spacing w:val="-16"/>
          <w:w w:val="110"/>
        </w:rPr>
        <w:t> </w:t>
      </w:r>
      <w:r>
        <w:rPr>
          <w:color w:val="231F20"/>
          <w:w w:val="110"/>
        </w:rPr>
        <w:t>tendrán</w:t>
      </w:r>
      <w:r>
        <w:rPr>
          <w:color w:val="231F20"/>
          <w:spacing w:val="-16"/>
          <w:w w:val="110"/>
        </w:rPr>
        <w:t> </w:t>
      </w:r>
      <w:r>
        <w:rPr>
          <w:color w:val="231F20"/>
          <w:w w:val="110"/>
        </w:rPr>
        <w:t>que</w:t>
      </w:r>
      <w:r>
        <w:rPr>
          <w:color w:val="231F20"/>
          <w:spacing w:val="-16"/>
          <w:w w:val="110"/>
        </w:rPr>
        <w:t> </w:t>
      </w:r>
      <w:r>
        <w:rPr>
          <w:color w:val="231F20"/>
          <w:w w:val="110"/>
        </w:rPr>
        <w:t>pagar</w:t>
      </w:r>
      <w:r>
        <w:rPr>
          <w:color w:val="231F20"/>
          <w:spacing w:val="-16"/>
          <w:w w:val="110"/>
        </w:rPr>
        <w:t> </w:t>
      </w:r>
      <w:r>
        <w:rPr>
          <w:color w:val="231F20"/>
          <w:w w:val="110"/>
        </w:rPr>
        <w:t>los</w:t>
      </w:r>
      <w:r>
        <w:rPr>
          <w:color w:val="231F20"/>
          <w:spacing w:val="-16"/>
          <w:w w:val="110"/>
        </w:rPr>
        <w:t> </w:t>
      </w:r>
      <w:r>
        <w:rPr>
          <w:color w:val="231F20"/>
          <w:w w:val="110"/>
        </w:rPr>
        <w:t>ciudadanos.</w:t>
      </w:r>
      <w:r>
        <w:rPr>
          <w:color w:val="231F20"/>
          <w:spacing w:val="-16"/>
          <w:w w:val="110"/>
        </w:rPr>
        <w:t> </w:t>
      </w:r>
      <w:r>
        <w:rPr>
          <w:color w:val="231F20"/>
          <w:w w:val="110"/>
        </w:rPr>
        <w:t>Estas firmas</w:t>
      </w:r>
      <w:r>
        <w:rPr>
          <w:color w:val="231F20"/>
          <w:spacing w:val="-14"/>
          <w:w w:val="110"/>
        </w:rPr>
        <w:t> </w:t>
      </w:r>
      <w:r>
        <w:rPr>
          <w:color w:val="231F20"/>
          <w:w w:val="110"/>
        </w:rPr>
        <w:t>poseen</w:t>
      </w:r>
      <w:r>
        <w:rPr>
          <w:color w:val="231F20"/>
          <w:spacing w:val="-14"/>
          <w:w w:val="110"/>
        </w:rPr>
        <w:t> </w:t>
      </w:r>
      <w:r>
        <w:rPr>
          <w:color w:val="231F20"/>
          <w:w w:val="110"/>
        </w:rPr>
        <w:t>la</w:t>
      </w:r>
      <w:r>
        <w:rPr>
          <w:color w:val="231F20"/>
          <w:spacing w:val="-14"/>
          <w:w w:val="110"/>
        </w:rPr>
        <w:t> </w:t>
      </w:r>
      <w:r>
        <w:rPr>
          <w:color w:val="231F20"/>
          <w:w w:val="110"/>
        </w:rPr>
        <w:t>mitad</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garantías</w:t>
      </w:r>
      <w:r>
        <w:rPr>
          <w:color w:val="231F20"/>
          <w:spacing w:val="-14"/>
          <w:w w:val="110"/>
        </w:rPr>
        <w:t> </w:t>
      </w:r>
      <w:r>
        <w:rPr>
          <w:color w:val="231F20"/>
          <w:w w:val="110"/>
        </w:rPr>
        <w:t>hipotecarias</w:t>
      </w:r>
      <w:r>
        <w:rPr>
          <w:color w:val="231F20"/>
          <w:spacing w:val="-14"/>
          <w:w w:val="110"/>
        </w:rPr>
        <w:t> </w:t>
      </w:r>
      <w:r>
        <w:rPr>
          <w:color w:val="231F20"/>
          <w:w w:val="110"/>
        </w:rPr>
        <w:t>—unos</w:t>
      </w:r>
      <w:r>
        <w:rPr>
          <w:color w:val="231F20"/>
          <w:spacing w:val="-14"/>
          <w:w w:val="110"/>
        </w:rPr>
        <w:t> </w:t>
      </w:r>
      <w:r>
        <w:rPr>
          <w:color w:val="231F20"/>
          <w:w w:val="110"/>
        </w:rPr>
        <w:t>5</w:t>
      </w:r>
      <w:r>
        <w:rPr>
          <w:color w:val="231F20"/>
          <w:spacing w:val="-14"/>
          <w:w w:val="110"/>
        </w:rPr>
        <w:t> </w:t>
      </w:r>
      <w:r>
        <w:rPr>
          <w:color w:val="231F20"/>
          <w:w w:val="110"/>
        </w:rPr>
        <w:t>billones de</w:t>
      </w:r>
      <w:r>
        <w:rPr>
          <w:color w:val="231F20"/>
          <w:spacing w:val="27"/>
          <w:w w:val="110"/>
        </w:rPr>
        <w:t> </w:t>
      </w:r>
      <w:r>
        <w:rPr>
          <w:color w:val="231F20"/>
          <w:w w:val="110"/>
        </w:rPr>
        <w:t>dólares</w:t>
      </w:r>
      <w:r>
        <w:rPr>
          <w:color w:val="231F20"/>
          <w:spacing w:val="27"/>
          <w:w w:val="110"/>
        </w:rPr>
        <w:t> </w:t>
      </w:r>
      <w:r>
        <w:rPr>
          <w:color w:val="231F20"/>
          <w:w w:val="110"/>
        </w:rPr>
        <w:t>en</w:t>
      </w:r>
      <w:r>
        <w:rPr>
          <w:color w:val="231F20"/>
          <w:spacing w:val="27"/>
          <w:w w:val="110"/>
        </w:rPr>
        <w:t> </w:t>
      </w:r>
      <w:r>
        <w:rPr>
          <w:color w:val="231F20"/>
          <w:w w:val="110"/>
        </w:rPr>
        <w:t>deuda</w:t>
      </w:r>
      <w:r>
        <w:rPr>
          <w:color w:val="231F20"/>
          <w:spacing w:val="27"/>
          <w:w w:val="110"/>
        </w:rPr>
        <w:t> </w:t>
      </w:r>
      <w:r>
        <w:rPr>
          <w:color w:val="231F20"/>
          <w:w w:val="110"/>
        </w:rPr>
        <w:t>(alrededor</w:t>
      </w:r>
      <w:r>
        <w:rPr>
          <w:color w:val="231F20"/>
          <w:spacing w:val="27"/>
          <w:w w:val="110"/>
        </w:rPr>
        <w:t> </w:t>
      </w:r>
      <w:r>
        <w:rPr>
          <w:color w:val="231F20"/>
          <w:w w:val="110"/>
        </w:rPr>
        <w:t>de</w:t>
      </w:r>
      <w:r>
        <w:rPr>
          <w:color w:val="231F20"/>
          <w:spacing w:val="27"/>
          <w:w w:val="110"/>
        </w:rPr>
        <w:t> </w:t>
      </w:r>
      <w:r>
        <w:rPr>
          <w:color w:val="231F20"/>
          <w:w w:val="110"/>
        </w:rPr>
        <w:t>32.5%</w:t>
      </w:r>
      <w:r>
        <w:rPr>
          <w:color w:val="231F20"/>
          <w:spacing w:val="27"/>
          <w:w w:val="110"/>
        </w:rPr>
        <w:t> </w:t>
      </w:r>
      <w:r>
        <w:rPr>
          <w:color w:val="231F20"/>
          <w:w w:val="110"/>
        </w:rPr>
        <w:t>del</w:t>
      </w:r>
      <w:r>
        <w:rPr>
          <w:color w:val="231F20"/>
          <w:spacing w:val="27"/>
          <w:w w:val="110"/>
        </w:rPr>
        <w:t> </w:t>
      </w:r>
      <w:r>
        <w:rPr>
          <w:color w:val="231F20"/>
          <w:w w:val="110"/>
        </w:rPr>
        <w:t>pib</w:t>
      </w:r>
      <w:r>
        <w:rPr>
          <w:color w:val="231F20"/>
          <w:spacing w:val="27"/>
          <w:w w:val="110"/>
        </w:rPr>
        <w:t> </w:t>
      </w:r>
      <w:r>
        <w:rPr>
          <w:color w:val="231F20"/>
          <w:w w:val="110"/>
        </w:rPr>
        <w:t>total</w:t>
      </w:r>
      <w:r>
        <w:rPr>
          <w:color w:val="231F20"/>
          <w:spacing w:val="27"/>
          <w:w w:val="110"/>
        </w:rPr>
        <w:t> </w:t>
      </w:r>
      <w:r>
        <w:rPr>
          <w:color w:val="231F20"/>
          <w:w w:val="110"/>
        </w:rPr>
        <w:t>de</w:t>
      </w:r>
      <w:r>
        <w:rPr>
          <w:color w:val="231F20"/>
          <w:spacing w:val="27"/>
          <w:w w:val="110"/>
        </w:rPr>
        <w:t> </w:t>
      </w:r>
      <w:r>
        <w:rPr>
          <w:color w:val="231F20"/>
          <w:w w:val="110"/>
        </w:rPr>
        <w:t>Estados</w:t>
      </w:r>
    </w:p>
    <w:p>
      <w:pPr>
        <w:spacing w:after="0" w:line="261" w:lineRule="auto"/>
        <w:jc w:val="both"/>
        <w:sectPr>
          <w:headerReference w:type="even" r:id="rId126"/>
          <w:headerReference w:type="default" r:id="rId127"/>
          <w:pgSz w:w="7640" w:h="11900"/>
          <w:pgMar w:header="672" w:footer="0" w:top="860" w:bottom="280" w:left="780" w:right="640"/>
          <w:pgNumType w:start="172"/>
        </w:sectPr>
      </w:pPr>
    </w:p>
    <w:p>
      <w:pPr>
        <w:pStyle w:val="BodyText"/>
        <w:spacing w:before="8"/>
        <w:rPr>
          <w:sz w:val="8"/>
        </w:rPr>
      </w:pPr>
    </w:p>
    <w:p>
      <w:pPr>
        <w:pStyle w:val="BodyText"/>
        <w:spacing w:line="261" w:lineRule="auto" w:before="67"/>
        <w:ind w:left="100" w:right="117"/>
        <w:jc w:val="right"/>
      </w:pPr>
      <w:r>
        <w:rPr>
          <w:color w:val="231F20"/>
          <w:w w:val="110"/>
        </w:rPr>
        <w:t>Unidos)—</w:t>
      </w:r>
      <w:r>
        <w:rPr>
          <w:color w:val="231F20"/>
          <w:spacing w:val="-22"/>
          <w:w w:val="110"/>
        </w:rPr>
        <w:t> </w:t>
      </w:r>
      <w:r>
        <w:rPr>
          <w:color w:val="231F20"/>
          <w:w w:val="110"/>
        </w:rPr>
        <w:t>y</w:t>
      </w:r>
      <w:r>
        <w:rPr>
          <w:color w:val="231F20"/>
          <w:spacing w:val="-22"/>
          <w:w w:val="110"/>
        </w:rPr>
        <w:t> </w:t>
      </w:r>
      <w:r>
        <w:rPr>
          <w:color w:val="231F20"/>
          <w:w w:val="110"/>
        </w:rPr>
        <w:t>aunque</w:t>
      </w:r>
      <w:r>
        <w:rPr>
          <w:color w:val="231F20"/>
          <w:spacing w:val="-22"/>
          <w:w w:val="110"/>
        </w:rPr>
        <w:t> </w:t>
      </w:r>
      <w:r>
        <w:rPr>
          <w:color w:val="231F20"/>
          <w:w w:val="110"/>
        </w:rPr>
        <w:t>son</w:t>
      </w:r>
      <w:r>
        <w:rPr>
          <w:color w:val="231F20"/>
          <w:spacing w:val="-22"/>
          <w:w w:val="110"/>
        </w:rPr>
        <w:t> </w:t>
      </w:r>
      <w:r>
        <w:rPr>
          <w:color w:val="231F20"/>
          <w:w w:val="110"/>
        </w:rPr>
        <w:t>empresas</w:t>
      </w:r>
      <w:r>
        <w:rPr>
          <w:color w:val="231F20"/>
          <w:spacing w:val="-22"/>
          <w:w w:val="110"/>
        </w:rPr>
        <w:t> </w:t>
      </w:r>
      <w:r>
        <w:rPr>
          <w:color w:val="231F20"/>
          <w:w w:val="110"/>
        </w:rPr>
        <w:t>respaldadas</w:t>
      </w:r>
      <w:r>
        <w:rPr>
          <w:color w:val="231F20"/>
          <w:spacing w:val="-22"/>
          <w:w w:val="110"/>
        </w:rPr>
        <w:t> </w:t>
      </w:r>
      <w:r>
        <w:rPr>
          <w:color w:val="231F20"/>
          <w:w w:val="110"/>
        </w:rPr>
        <w:t>por</w:t>
      </w:r>
      <w:r>
        <w:rPr>
          <w:color w:val="231F20"/>
          <w:spacing w:val="-22"/>
          <w:w w:val="110"/>
        </w:rPr>
        <w:t> </w:t>
      </w:r>
      <w:r>
        <w:rPr>
          <w:color w:val="231F20"/>
          <w:w w:val="110"/>
        </w:rPr>
        <w:t>el</w:t>
      </w:r>
      <w:r>
        <w:rPr>
          <w:color w:val="231F20"/>
          <w:spacing w:val="-22"/>
          <w:w w:val="110"/>
        </w:rPr>
        <w:t> </w:t>
      </w:r>
      <w:r>
        <w:rPr>
          <w:color w:val="231F20"/>
          <w:w w:val="110"/>
        </w:rPr>
        <w:t>gobierno</w:t>
      </w:r>
      <w:r>
        <w:rPr>
          <w:color w:val="231F20"/>
          <w:spacing w:val="-22"/>
          <w:w w:val="110"/>
        </w:rPr>
        <w:t> </w:t>
      </w:r>
      <w:r>
        <w:rPr>
          <w:color w:val="231F20"/>
          <w:w w:val="110"/>
        </w:rPr>
        <w:t>estadu-</w:t>
      </w:r>
      <w:r>
        <w:rPr>
          <w:color w:val="231F20"/>
          <w:w w:val="72"/>
        </w:rPr>
        <w:t> </w:t>
      </w:r>
      <w:r>
        <w:rPr>
          <w:color w:val="231F20"/>
          <w:w w:val="110"/>
        </w:rPr>
        <w:t>nidense</w:t>
      </w:r>
      <w:r>
        <w:rPr>
          <w:color w:val="231F20"/>
          <w:spacing w:val="-25"/>
          <w:w w:val="110"/>
        </w:rPr>
        <w:t> </w:t>
      </w:r>
      <w:r>
        <w:rPr>
          <w:color w:val="231F20"/>
          <w:w w:val="110"/>
        </w:rPr>
        <w:t>pertenecen</w:t>
      </w:r>
      <w:r>
        <w:rPr>
          <w:color w:val="231F20"/>
          <w:spacing w:val="-25"/>
          <w:w w:val="110"/>
        </w:rPr>
        <w:t> </w:t>
      </w:r>
      <w:r>
        <w:rPr>
          <w:color w:val="231F20"/>
          <w:w w:val="110"/>
        </w:rPr>
        <w:t>a</w:t>
      </w:r>
      <w:r>
        <w:rPr>
          <w:color w:val="231F20"/>
          <w:spacing w:val="-25"/>
          <w:w w:val="110"/>
        </w:rPr>
        <w:t> </w:t>
      </w:r>
      <w:r>
        <w:rPr>
          <w:color w:val="231F20"/>
          <w:w w:val="110"/>
        </w:rPr>
        <w:t>sus</w:t>
      </w:r>
      <w:r>
        <w:rPr>
          <w:color w:val="231F20"/>
          <w:spacing w:val="-25"/>
          <w:w w:val="110"/>
        </w:rPr>
        <w:t> </w:t>
      </w:r>
      <w:r>
        <w:rPr>
          <w:color w:val="231F20"/>
          <w:w w:val="110"/>
        </w:rPr>
        <w:t>accionistas</w:t>
      </w:r>
      <w:r>
        <w:rPr>
          <w:color w:val="231F20"/>
          <w:spacing w:val="-25"/>
          <w:w w:val="110"/>
        </w:rPr>
        <w:t> </w:t>
      </w:r>
      <w:r>
        <w:rPr>
          <w:color w:val="231F20"/>
          <w:w w:val="110"/>
        </w:rPr>
        <w:t>(</w:t>
      </w:r>
      <w:r>
        <w:rPr>
          <w:i/>
          <w:color w:val="231F20"/>
          <w:w w:val="110"/>
        </w:rPr>
        <w:t>La</w:t>
      </w:r>
      <w:r>
        <w:rPr>
          <w:i/>
          <w:color w:val="231F20"/>
          <w:spacing w:val="-25"/>
          <w:w w:val="110"/>
        </w:rPr>
        <w:t> </w:t>
      </w:r>
      <w:r>
        <w:rPr>
          <w:i/>
          <w:color w:val="231F20"/>
          <w:w w:val="110"/>
        </w:rPr>
        <w:t>Jornada</w:t>
      </w:r>
      <w:r>
        <w:rPr>
          <w:color w:val="231F20"/>
          <w:w w:val="110"/>
        </w:rPr>
        <w:t>,</w:t>
      </w:r>
      <w:r>
        <w:rPr>
          <w:color w:val="231F20"/>
          <w:spacing w:val="-25"/>
          <w:w w:val="110"/>
        </w:rPr>
        <w:t> </w:t>
      </w:r>
      <w:r>
        <w:rPr>
          <w:color w:val="231F20"/>
          <w:w w:val="110"/>
        </w:rPr>
        <w:t>15</w:t>
      </w:r>
      <w:r>
        <w:rPr>
          <w:color w:val="231F20"/>
          <w:spacing w:val="-25"/>
          <w:w w:val="110"/>
        </w:rPr>
        <w:t> </w:t>
      </w:r>
      <w:r>
        <w:rPr>
          <w:color w:val="231F20"/>
          <w:w w:val="110"/>
        </w:rPr>
        <w:t>de</w:t>
      </w:r>
      <w:r>
        <w:rPr>
          <w:color w:val="231F20"/>
          <w:spacing w:val="-25"/>
          <w:w w:val="110"/>
        </w:rPr>
        <w:t> </w:t>
      </w:r>
      <w:r>
        <w:rPr>
          <w:color w:val="231F20"/>
          <w:w w:val="110"/>
        </w:rPr>
        <w:t>julio</w:t>
      </w:r>
      <w:r>
        <w:rPr>
          <w:color w:val="231F20"/>
          <w:spacing w:val="-25"/>
          <w:w w:val="110"/>
        </w:rPr>
        <w:t> </w:t>
      </w:r>
      <w:r>
        <w:rPr>
          <w:color w:val="231F20"/>
          <w:w w:val="110"/>
        </w:rPr>
        <w:t>de</w:t>
      </w:r>
      <w:r>
        <w:rPr>
          <w:color w:val="231F20"/>
          <w:spacing w:val="-25"/>
          <w:w w:val="110"/>
        </w:rPr>
        <w:t> </w:t>
      </w:r>
      <w:r>
        <w:rPr>
          <w:color w:val="231F20"/>
          <w:spacing w:val="-2"/>
          <w:w w:val="110"/>
        </w:rPr>
        <w:t>2008).</w:t>
      </w:r>
      <w:r>
        <w:rPr>
          <w:color w:val="231F20"/>
          <w:spacing w:val="-2"/>
          <w:w w:val="107"/>
        </w:rPr>
        <w:t> </w:t>
      </w:r>
      <w:r>
        <w:rPr>
          <w:color w:val="231F20"/>
          <w:w w:val="110"/>
        </w:rPr>
        <w:t>A</w:t>
      </w:r>
      <w:r>
        <w:rPr>
          <w:color w:val="231F20"/>
          <w:spacing w:val="-8"/>
          <w:w w:val="110"/>
        </w:rPr>
        <w:t> </w:t>
      </w:r>
      <w:r>
        <w:rPr>
          <w:color w:val="231F20"/>
          <w:w w:val="110"/>
        </w:rPr>
        <w:t>esta</w:t>
      </w:r>
      <w:r>
        <w:rPr>
          <w:color w:val="231F20"/>
          <w:spacing w:val="-8"/>
          <w:w w:val="110"/>
        </w:rPr>
        <w:t> </w:t>
      </w:r>
      <w:r>
        <w:rPr>
          <w:color w:val="231F20"/>
          <w:w w:val="110"/>
        </w:rPr>
        <w:t>crisis</w:t>
      </w:r>
      <w:r>
        <w:rPr>
          <w:color w:val="231F20"/>
          <w:spacing w:val="-8"/>
          <w:w w:val="110"/>
        </w:rPr>
        <w:t> </w:t>
      </w:r>
      <w:r>
        <w:rPr>
          <w:color w:val="231F20"/>
          <w:w w:val="110"/>
        </w:rPr>
        <w:t>de</w:t>
      </w:r>
      <w:r>
        <w:rPr>
          <w:color w:val="231F20"/>
          <w:spacing w:val="-8"/>
          <w:w w:val="110"/>
        </w:rPr>
        <w:t> </w:t>
      </w:r>
      <w:r>
        <w:rPr>
          <w:color w:val="231F20"/>
          <w:w w:val="110"/>
        </w:rPr>
        <w:t>consorcios</w:t>
      </w:r>
      <w:r>
        <w:rPr>
          <w:color w:val="231F20"/>
          <w:spacing w:val="-8"/>
          <w:w w:val="110"/>
        </w:rPr>
        <w:t> </w:t>
      </w:r>
      <w:r>
        <w:rPr>
          <w:color w:val="231F20"/>
          <w:w w:val="110"/>
        </w:rPr>
        <w:t>inmobiliarios</w:t>
      </w:r>
      <w:r>
        <w:rPr>
          <w:color w:val="231F20"/>
          <w:spacing w:val="-8"/>
          <w:w w:val="110"/>
        </w:rPr>
        <w:t> </w:t>
      </w:r>
      <w:r>
        <w:rPr>
          <w:color w:val="231F20"/>
          <w:w w:val="110"/>
        </w:rPr>
        <w:t>se</w:t>
      </w:r>
      <w:r>
        <w:rPr>
          <w:color w:val="231F20"/>
          <w:spacing w:val="-8"/>
          <w:w w:val="110"/>
        </w:rPr>
        <w:t> </w:t>
      </w:r>
      <w:r>
        <w:rPr>
          <w:color w:val="231F20"/>
          <w:w w:val="110"/>
        </w:rPr>
        <w:t>suman</w:t>
      </w:r>
      <w:r>
        <w:rPr>
          <w:color w:val="231F20"/>
          <w:spacing w:val="-8"/>
          <w:w w:val="110"/>
        </w:rPr>
        <w:t> </w:t>
      </w:r>
      <w:r>
        <w:rPr>
          <w:color w:val="231F20"/>
          <w:w w:val="110"/>
        </w:rPr>
        <w:t>los</w:t>
      </w:r>
      <w:r>
        <w:rPr>
          <w:color w:val="231F20"/>
          <w:spacing w:val="-8"/>
          <w:w w:val="110"/>
        </w:rPr>
        <w:t> </w:t>
      </w:r>
      <w:r>
        <w:rPr>
          <w:color w:val="231F20"/>
          <w:w w:val="110"/>
        </w:rPr>
        <w:t>descalabros</w:t>
      </w:r>
      <w:r>
        <w:rPr>
          <w:color w:val="231F20"/>
          <w:w w:val="107"/>
        </w:rPr>
        <w:t> </w:t>
      </w:r>
      <w:r>
        <w:rPr>
          <w:color w:val="231F20"/>
          <w:w w:val="110"/>
        </w:rPr>
        <w:t>de grupos financieros gigantes como </w:t>
      </w:r>
      <w:r>
        <w:rPr>
          <w:i/>
          <w:color w:val="231F20"/>
          <w:w w:val="110"/>
        </w:rPr>
        <w:t>Citigroup </w:t>
      </w:r>
      <w:r>
        <w:rPr>
          <w:color w:val="231F20"/>
          <w:w w:val="110"/>
        </w:rPr>
        <w:t>—que</w:t>
      </w:r>
      <w:r>
        <w:rPr>
          <w:color w:val="231F20"/>
          <w:spacing w:val="42"/>
          <w:w w:val="110"/>
        </w:rPr>
        <w:t> </w:t>
      </w:r>
      <w:r>
        <w:rPr>
          <w:color w:val="231F20"/>
          <w:w w:val="110"/>
        </w:rPr>
        <w:t>fue</w:t>
      </w:r>
      <w:r>
        <w:rPr>
          <w:color w:val="231F20"/>
          <w:spacing w:val="6"/>
          <w:w w:val="110"/>
        </w:rPr>
        <w:t> </w:t>
      </w:r>
      <w:r>
        <w:rPr>
          <w:color w:val="231F20"/>
          <w:w w:val="110"/>
        </w:rPr>
        <w:t>rescatado</w:t>
      </w:r>
      <w:r>
        <w:rPr>
          <w:color w:val="231F20"/>
          <w:w w:val="109"/>
        </w:rPr>
        <w:t> </w:t>
      </w:r>
      <w:r>
        <w:rPr>
          <w:color w:val="231F20"/>
          <w:w w:val="110"/>
        </w:rPr>
        <w:t>por el gobierno en noviembre de 2008 mediante un plan que</w:t>
      </w:r>
      <w:r>
        <w:rPr>
          <w:color w:val="231F20"/>
          <w:spacing w:val="11"/>
          <w:w w:val="110"/>
        </w:rPr>
        <w:t> </w:t>
      </w:r>
      <w:r>
        <w:rPr>
          <w:color w:val="231F20"/>
          <w:w w:val="110"/>
        </w:rPr>
        <w:t>inclu-</w:t>
      </w:r>
      <w:r>
        <w:rPr>
          <w:color w:val="231F20"/>
          <w:w w:val="72"/>
        </w:rPr>
        <w:t> </w:t>
      </w:r>
      <w:r>
        <w:rPr>
          <w:color w:val="231F20"/>
          <w:w w:val="110"/>
        </w:rPr>
        <w:t>ye</w:t>
      </w:r>
      <w:r>
        <w:rPr>
          <w:color w:val="231F20"/>
          <w:spacing w:val="20"/>
          <w:w w:val="110"/>
        </w:rPr>
        <w:t> </w:t>
      </w:r>
      <w:r>
        <w:rPr>
          <w:color w:val="231F20"/>
          <w:w w:val="110"/>
        </w:rPr>
        <w:t>la</w:t>
      </w:r>
      <w:r>
        <w:rPr>
          <w:color w:val="231F20"/>
          <w:spacing w:val="20"/>
          <w:w w:val="110"/>
        </w:rPr>
        <w:t> </w:t>
      </w:r>
      <w:r>
        <w:rPr>
          <w:color w:val="231F20"/>
          <w:w w:val="110"/>
        </w:rPr>
        <w:t>adquisición</w:t>
      </w:r>
      <w:r>
        <w:rPr>
          <w:color w:val="231F20"/>
          <w:spacing w:val="20"/>
          <w:w w:val="110"/>
        </w:rPr>
        <w:t> </w:t>
      </w:r>
      <w:r>
        <w:rPr>
          <w:color w:val="231F20"/>
          <w:w w:val="110"/>
        </w:rPr>
        <w:t>de</w:t>
      </w:r>
      <w:r>
        <w:rPr>
          <w:color w:val="231F20"/>
          <w:spacing w:val="20"/>
          <w:w w:val="110"/>
        </w:rPr>
        <w:t> </w:t>
      </w:r>
      <w:r>
        <w:rPr>
          <w:color w:val="231F20"/>
          <w:w w:val="110"/>
        </w:rPr>
        <w:t>20</w:t>
      </w:r>
      <w:r>
        <w:rPr>
          <w:color w:val="231F20"/>
          <w:spacing w:val="20"/>
          <w:w w:val="110"/>
        </w:rPr>
        <w:t> </w:t>
      </w:r>
      <w:r>
        <w:rPr>
          <w:color w:val="231F20"/>
          <w:w w:val="110"/>
        </w:rPr>
        <w:t>mil</w:t>
      </w:r>
      <w:r>
        <w:rPr>
          <w:color w:val="231F20"/>
          <w:spacing w:val="20"/>
          <w:w w:val="110"/>
        </w:rPr>
        <w:t> </w:t>
      </w:r>
      <w:r>
        <w:rPr>
          <w:color w:val="231F20"/>
          <w:w w:val="110"/>
        </w:rPr>
        <w:t>millones</w:t>
      </w:r>
      <w:r>
        <w:rPr>
          <w:color w:val="231F20"/>
          <w:spacing w:val="20"/>
          <w:w w:val="110"/>
        </w:rPr>
        <w:t> </w:t>
      </w:r>
      <w:r>
        <w:rPr>
          <w:color w:val="231F20"/>
          <w:w w:val="110"/>
        </w:rPr>
        <w:t>de</w:t>
      </w:r>
      <w:r>
        <w:rPr>
          <w:color w:val="231F20"/>
          <w:spacing w:val="20"/>
          <w:w w:val="110"/>
        </w:rPr>
        <w:t> </w:t>
      </w:r>
      <w:r>
        <w:rPr>
          <w:color w:val="231F20"/>
          <w:w w:val="110"/>
        </w:rPr>
        <w:t>dólares</w:t>
      </w:r>
      <w:r>
        <w:rPr>
          <w:color w:val="231F20"/>
          <w:spacing w:val="20"/>
          <w:w w:val="110"/>
        </w:rPr>
        <w:t> </w:t>
      </w:r>
      <w:r>
        <w:rPr>
          <w:color w:val="231F20"/>
          <w:w w:val="110"/>
        </w:rPr>
        <w:t>en</w:t>
      </w:r>
      <w:r>
        <w:rPr>
          <w:color w:val="231F20"/>
          <w:spacing w:val="20"/>
          <w:w w:val="110"/>
        </w:rPr>
        <w:t> </w:t>
      </w:r>
      <w:r>
        <w:rPr>
          <w:color w:val="231F20"/>
          <w:w w:val="110"/>
        </w:rPr>
        <w:t>acciones</w:t>
      </w:r>
      <w:r>
        <w:rPr>
          <w:color w:val="231F20"/>
          <w:spacing w:val="20"/>
          <w:w w:val="110"/>
        </w:rPr>
        <w:t> </w:t>
      </w:r>
      <w:r>
        <w:rPr>
          <w:color w:val="231F20"/>
          <w:w w:val="110"/>
        </w:rPr>
        <w:t>y</w:t>
      </w:r>
      <w:r>
        <w:rPr>
          <w:color w:val="231F20"/>
          <w:spacing w:val="20"/>
          <w:w w:val="110"/>
        </w:rPr>
        <w:t> </w:t>
      </w:r>
      <w:r>
        <w:rPr>
          <w:color w:val="231F20"/>
          <w:w w:val="110"/>
        </w:rPr>
        <w:t>que</w:t>
      </w:r>
      <w:r>
        <w:rPr>
          <w:color w:val="231F20"/>
          <w:w w:val="113"/>
        </w:rPr>
        <w:t> </w:t>
      </w:r>
      <w:r>
        <w:rPr>
          <w:color w:val="231F20"/>
          <w:w w:val="110"/>
        </w:rPr>
        <w:t>ofrece garantías a cientos de miles de millones de dólares</w:t>
      </w:r>
      <w:r>
        <w:rPr>
          <w:color w:val="231F20"/>
          <w:spacing w:val="2"/>
          <w:w w:val="110"/>
        </w:rPr>
        <w:t> </w:t>
      </w:r>
      <w:r>
        <w:rPr>
          <w:color w:val="231F20"/>
          <w:w w:val="110"/>
        </w:rPr>
        <w:t>en activos</w:t>
      </w:r>
      <w:r>
        <w:rPr>
          <w:color w:val="231F20"/>
          <w:w w:val="101"/>
        </w:rPr>
        <w:t> </w:t>
      </w:r>
      <w:r>
        <w:rPr>
          <w:color w:val="231F20"/>
          <w:w w:val="110"/>
        </w:rPr>
        <w:t>considerados “riesgosos”—, Bear Stearns, Merrill Lynch</w:t>
      </w:r>
      <w:r>
        <w:rPr>
          <w:color w:val="231F20"/>
          <w:spacing w:val="36"/>
          <w:w w:val="110"/>
        </w:rPr>
        <w:t> </w:t>
      </w:r>
      <w:r>
        <w:rPr>
          <w:color w:val="231F20"/>
          <w:w w:val="110"/>
        </w:rPr>
        <w:t>y</w:t>
      </w:r>
      <w:r>
        <w:rPr>
          <w:color w:val="231F20"/>
          <w:spacing w:val="6"/>
          <w:w w:val="110"/>
        </w:rPr>
        <w:t> </w:t>
      </w:r>
      <w:r>
        <w:rPr>
          <w:color w:val="231F20"/>
          <w:w w:val="110"/>
        </w:rPr>
        <w:t>Lehman</w:t>
      </w:r>
      <w:r>
        <w:rPr>
          <w:color w:val="231F20"/>
          <w:w w:val="111"/>
        </w:rPr>
        <w:t> </w:t>
      </w:r>
      <w:r>
        <w:rPr>
          <w:color w:val="231F20"/>
          <w:w w:val="110"/>
        </w:rPr>
        <w:t>Brothers el cual el 9 de junio de 2008 anunció, aún sin</w:t>
      </w:r>
      <w:r>
        <w:rPr>
          <w:color w:val="231F20"/>
          <w:spacing w:val="-9"/>
          <w:w w:val="110"/>
        </w:rPr>
        <w:t> </w:t>
      </w:r>
      <w:r>
        <w:rPr>
          <w:color w:val="231F20"/>
          <w:w w:val="110"/>
        </w:rPr>
        <w:t>declararse</w:t>
      </w:r>
      <w:r>
        <w:rPr>
          <w:color w:val="231F20"/>
          <w:spacing w:val="-1"/>
          <w:w w:val="110"/>
        </w:rPr>
        <w:t> </w:t>
      </w:r>
      <w:r>
        <w:rPr>
          <w:color w:val="231F20"/>
          <w:w w:val="110"/>
        </w:rPr>
        <w:t>en</w:t>
      </w:r>
      <w:r>
        <w:rPr>
          <w:color w:val="231F20"/>
          <w:w w:val="116"/>
        </w:rPr>
        <w:t> </w:t>
      </w:r>
      <w:r>
        <w:rPr>
          <w:color w:val="231F20"/>
          <w:w w:val="110"/>
        </w:rPr>
        <w:t>quiebra, pérdidas por 1 700 millones de euros. Destaca</w:t>
      </w:r>
      <w:r>
        <w:rPr>
          <w:color w:val="231F20"/>
          <w:spacing w:val="32"/>
          <w:w w:val="110"/>
        </w:rPr>
        <w:t> </w:t>
      </w:r>
      <w:r>
        <w:rPr>
          <w:color w:val="231F20"/>
          <w:w w:val="110"/>
        </w:rPr>
        <w:t>el</w:t>
      </w:r>
      <w:r>
        <w:rPr>
          <w:color w:val="231F20"/>
          <w:spacing w:val="3"/>
          <w:w w:val="110"/>
        </w:rPr>
        <w:t> </w:t>
      </w:r>
      <w:r>
        <w:rPr>
          <w:color w:val="231F20"/>
          <w:w w:val="110"/>
        </w:rPr>
        <w:t>“rescate”,</w:t>
      </w:r>
      <w:r>
        <w:rPr>
          <w:color w:val="231F20"/>
          <w:w w:val="104"/>
        </w:rPr>
        <w:t> </w:t>
      </w:r>
      <w:r>
        <w:rPr>
          <w:color w:val="231F20"/>
          <w:w w:val="110"/>
        </w:rPr>
        <w:t>el</w:t>
      </w:r>
      <w:r>
        <w:rPr>
          <w:color w:val="231F20"/>
          <w:spacing w:val="18"/>
          <w:w w:val="110"/>
        </w:rPr>
        <w:t> </w:t>
      </w:r>
      <w:r>
        <w:rPr>
          <w:color w:val="231F20"/>
          <w:w w:val="110"/>
        </w:rPr>
        <w:t>10</w:t>
      </w:r>
      <w:r>
        <w:rPr>
          <w:color w:val="231F20"/>
          <w:spacing w:val="18"/>
          <w:w w:val="110"/>
        </w:rPr>
        <w:t> </w:t>
      </w:r>
      <w:r>
        <w:rPr>
          <w:color w:val="231F20"/>
          <w:w w:val="110"/>
        </w:rPr>
        <w:t>de</w:t>
      </w:r>
      <w:r>
        <w:rPr>
          <w:color w:val="231F20"/>
          <w:spacing w:val="18"/>
          <w:w w:val="110"/>
        </w:rPr>
        <w:t> </w:t>
      </w:r>
      <w:r>
        <w:rPr>
          <w:color w:val="231F20"/>
          <w:w w:val="110"/>
        </w:rPr>
        <w:t>noviembre,</w:t>
      </w:r>
      <w:r>
        <w:rPr>
          <w:color w:val="231F20"/>
          <w:spacing w:val="18"/>
          <w:w w:val="110"/>
        </w:rPr>
        <w:t> </w:t>
      </w:r>
      <w:r>
        <w:rPr>
          <w:color w:val="231F20"/>
          <w:w w:val="110"/>
        </w:rPr>
        <w:t>que</w:t>
      </w:r>
      <w:r>
        <w:rPr>
          <w:color w:val="231F20"/>
          <w:spacing w:val="18"/>
          <w:w w:val="110"/>
        </w:rPr>
        <w:t> </w:t>
      </w:r>
      <w:r>
        <w:rPr>
          <w:color w:val="231F20"/>
          <w:w w:val="110"/>
        </w:rPr>
        <w:t>el</w:t>
      </w:r>
      <w:r>
        <w:rPr>
          <w:color w:val="231F20"/>
          <w:spacing w:val="18"/>
          <w:w w:val="110"/>
        </w:rPr>
        <w:t> </w:t>
      </w:r>
      <w:r>
        <w:rPr>
          <w:color w:val="231F20"/>
          <w:w w:val="110"/>
        </w:rPr>
        <w:t>gobierno</w:t>
      </w:r>
      <w:r>
        <w:rPr>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hizo</w:t>
      </w:r>
      <w:r>
        <w:rPr>
          <w:color w:val="231F20"/>
          <w:spacing w:val="18"/>
          <w:w w:val="110"/>
        </w:rPr>
        <w:t> </w:t>
      </w:r>
      <w:r>
        <w:rPr>
          <w:color w:val="231F20"/>
          <w:w w:val="110"/>
        </w:rPr>
        <w:t>de</w:t>
      </w:r>
      <w:r>
        <w:rPr>
          <w:color w:val="231F20"/>
          <w:spacing w:val="18"/>
          <w:w w:val="110"/>
        </w:rPr>
        <w:t> </w:t>
      </w:r>
      <w:r>
        <w:rPr>
          <w:color w:val="231F20"/>
          <w:w w:val="110"/>
        </w:rPr>
        <w:t>la</w:t>
      </w:r>
      <w:r>
        <w:rPr>
          <w:color w:val="231F20"/>
          <w:w w:val="105"/>
        </w:rPr>
        <w:t> </w:t>
      </w:r>
      <w:r>
        <w:rPr>
          <w:color w:val="231F20"/>
          <w:w w:val="110"/>
        </w:rPr>
        <w:t>mayor</w:t>
      </w:r>
      <w:r>
        <w:rPr>
          <w:color w:val="231F20"/>
          <w:spacing w:val="-8"/>
          <w:w w:val="110"/>
        </w:rPr>
        <w:t> </w:t>
      </w:r>
      <w:r>
        <w:rPr>
          <w:color w:val="231F20"/>
          <w:w w:val="110"/>
        </w:rPr>
        <w:t>aseguradora</w:t>
      </w:r>
      <w:r>
        <w:rPr>
          <w:color w:val="231F20"/>
          <w:spacing w:val="-8"/>
          <w:w w:val="110"/>
        </w:rPr>
        <w:t> </w:t>
      </w:r>
      <w:r>
        <w:rPr>
          <w:color w:val="231F20"/>
          <w:w w:val="110"/>
        </w:rPr>
        <w:t>del</w:t>
      </w:r>
      <w:r>
        <w:rPr>
          <w:color w:val="231F20"/>
          <w:spacing w:val="-8"/>
          <w:w w:val="110"/>
        </w:rPr>
        <w:t> </w:t>
      </w:r>
      <w:r>
        <w:rPr>
          <w:color w:val="231F20"/>
          <w:w w:val="110"/>
        </w:rPr>
        <w:t>mundo,</w:t>
      </w:r>
      <w:r>
        <w:rPr>
          <w:color w:val="231F20"/>
          <w:spacing w:val="-8"/>
          <w:w w:val="110"/>
        </w:rPr>
        <w:t> </w:t>
      </w:r>
      <w:r>
        <w:rPr>
          <w:color w:val="231F20"/>
          <w:w w:val="110"/>
        </w:rPr>
        <w:t>la</w:t>
      </w:r>
      <w:r>
        <w:rPr>
          <w:color w:val="231F20"/>
          <w:spacing w:val="-8"/>
          <w:w w:val="110"/>
        </w:rPr>
        <w:t> </w:t>
      </w:r>
      <w:r>
        <w:rPr>
          <w:color w:val="231F20"/>
          <w:w w:val="110"/>
        </w:rPr>
        <w:t>American</w:t>
      </w:r>
      <w:r>
        <w:rPr>
          <w:color w:val="231F20"/>
          <w:spacing w:val="-8"/>
          <w:w w:val="110"/>
        </w:rPr>
        <w:t> </w:t>
      </w:r>
      <w:r>
        <w:rPr>
          <w:color w:val="231F20"/>
          <w:w w:val="110"/>
        </w:rPr>
        <w:t>International</w:t>
      </w:r>
      <w:r>
        <w:rPr>
          <w:color w:val="231F20"/>
          <w:spacing w:val="-8"/>
          <w:w w:val="110"/>
        </w:rPr>
        <w:t> </w:t>
      </w:r>
      <w:r>
        <w:rPr>
          <w:color w:val="231F20"/>
          <w:w w:val="110"/>
        </w:rPr>
        <w:t>Group,</w:t>
      </w:r>
      <w:r>
        <w:rPr>
          <w:color w:val="231F20"/>
          <w:spacing w:val="-8"/>
          <w:w w:val="110"/>
        </w:rPr>
        <w:t> </w:t>
      </w:r>
      <w:r>
        <w:rPr>
          <w:color w:val="231F20"/>
          <w:w w:val="110"/>
        </w:rPr>
        <w:t>por</w:t>
      </w:r>
      <w:r>
        <w:rPr>
          <w:color w:val="231F20"/>
          <w:w w:val="115"/>
        </w:rPr>
        <w:t> </w:t>
      </w:r>
      <w:r>
        <w:rPr>
          <w:color w:val="231F20"/>
          <w:w w:val="110"/>
        </w:rPr>
        <w:t>150 mil millones de dólares debido a los</w:t>
      </w:r>
      <w:r>
        <w:rPr>
          <w:color w:val="231F20"/>
          <w:spacing w:val="12"/>
          <w:w w:val="110"/>
        </w:rPr>
        <w:t> </w:t>
      </w:r>
      <w:r>
        <w:rPr>
          <w:color w:val="231F20"/>
          <w:w w:val="110"/>
        </w:rPr>
        <w:t>profundos</w:t>
      </w:r>
      <w:r>
        <w:rPr>
          <w:color w:val="231F20"/>
          <w:spacing w:val="22"/>
          <w:w w:val="110"/>
        </w:rPr>
        <w:t> </w:t>
      </w:r>
      <w:r>
        <w:rPr>
          <w:color w:val="231F20"/>
          <w:w w:val="110"/>
        </w:rPr>
        <w:t>desequilibrios</w:t>
      </w:r>
      <w:r>
        <w:rPr>
          <w:color w:val="231F20"/>
          <w:w w:val="108"/>
        </w:rPr>
        <w:t> </w:t>
      </w:r>
      <w:r>
        <w:rPr>
          <w:color w:val="231F20"/>
          <w:w w:val="110"/>
        </w:rPr>
        <w:t>en sus balances financieros. En general se estima que</w:t>
      </w:r>
      <w:r>
        <w:rPr>
          <w:color w:val="231F20"/>
          <w:spacing w:val="28"/>
          <w:w w:val="110"/>
        </w:rPr>
        <w:t> </w:t>
      </w:r>
      <w:r>
        <w:rPr>
          <w:color w:val="231F20"/>
          <w:w w:val="110"/>
        </w:rPr>
        <w:t>las</w:t>
      </w:r>
      <w:r>
        <w:rPr>
          <w:color w:val="231F20"/>
          <w:spacing w:val="21"/>
          <w:w w:val="110"/>
        </w:rPr>
        <w:t> </w:t>
      </w:r>
      <w:r>
        <w:rPr>
          <w:color w:val="231F20"/>
          <w:w w:val="110"/>
        </w:rPr>
        <w:t>pérdidas</w:t>
      </w:r>
      <w:r>
        <w:rPr>
          <w:color w:val="231F20"/>
          <w:w w:val="110"/>
        </w:rPr>
        <w:t> </w:t>
      </w:r>
      <w:r>
        <w:rPr>
          <w:color w:val="231F20"/>
          <w:w w:val="110"/>
        </w:rPr>
        <w:t>ascienden a alrededor de 250 mil millones de euros, mientras</w:t>
      </w:r>
      <w:r>
        <w:rPr>
          <w:color w:val="231F20"/>
          <w:spacing w:val="33"/>
          <w:w w:val="110"/>
        </w:rPr>
        <w:t> </w:t>
      </w:r>
      <w:r>
        <w:rPr>
          <w:color w:val="231F20"/>
          <w:w w:val="110"/>
        </w:rPr>
        <w:t>que</w:t>
      </w:r>
      <w:r>
        <w:rPr>
          <w:color w:val="231F20"/>
          <w:spacing w:val="3"/>
          <w:w w:val="110"/>
        </w:rPr>
        <w:t> </w:t>
      </w:r>
      <w:r>
        <w:rPr>
          <w:color w:val="231F20"/>
          <w:w w:val="110"/>
        </w:rPr>
        <w:t>el</w:t>
      </w:r>
      <w:r>
        <w:rPr>
          <w:color w:val="231F20"/>
          <w:w w:val="108"/>
        </w:rPr>
        <w:t> </w:t>
      </w:r>
      <w:r>
        <w:rPr>
          <w:color w:val="231F20"/>
          <w:w w:val="110"/>
        </w:rPr>
        <w:t>Fondo Monetario Internacional calcula que se requerirán unos  </w:t>
      </w:r>
      <w:r>
        <w:rPr>
          <w:color w:val="231F20"/>
          <w:spacing w:val="33"/>
          <w:w w:val="110"/>
        </w:rPr>
        <w:t> </w:t>
      </w:r>
      <w:r>
        <w:rPr>
          <w:color w:val="231F20"/>
          <w:w w:val="110"/>
        </w:rPr>
        <w:t>610</w:t>
      </w:r>
    </w:p>
    <w:p>
      <w:pPr>
        <w:pStyle w:val="BodyText"/>
        <w:ind w:left="100"/>
        <w:jc w:val="both"/>
      </w:pPr>
      <w:r>
        <w:rPr>
          <w:color w:val="231F20"/>
          <w:w w:val="110"/>
        </w:rPr>
        <w:t>mil millones de euros para “superar” la crisis.</w:t>
      </w:r>
    </w:p>
    <w:p>
      <w:pPr>
        <w:pStyle w:val="BodyText"/>
        <w:spacing w:line="261" w:lineRule="auto" w:before="20"/>
        <w:ind w:left="100" w:right="114" w:firstLine="240"/>
        <w:jc w:val="both"/>
      </w:pPr>
      <w:r>
        <w:rPr>
          <w:color w:val="231F20"/>
          <w:w w:val="110"/>
        </w:rPr>
        <w:t>Ante la inminencia de la crisis y la posibilidad de quiebra del sistema financiero, el 3 de octubre de 2008 el Congreso estaduni- dense aprobó la inyección de 700 mil millones de dólares para que el Departamento del </w:t>
      </w:r>
      <w:r>
        <w:rPr>
          <w:color w:val="231F20"/>
          <w:spacing w:val="-4"/>
          <w:w w:val="110"/>
        </w:rPr>
        <w:t>Tesoro </w:t>
      </w:r>
      <w:r>
        <w:rPr>
          <w:color w:val="231F20"/>
          <w:w w:val="110"/>
        </w:rPr>
        <w:t>adquiriera la deuda, calificada de “mala calidad”,</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bancos</w:t>
      </w:r>
      <w:r>
        <w:rPr>
          <w:color w:val="231F20"/>
          <w:spacing w:val="-24"/>
          <w:w w:val="110"/>
        </w:rPr>
        <w:t> </w:t>
      </w:r>
      <w:r>
        <w:rPr>
          <w:color w:val="231F20"/>
          <w:w w:val="110"/>
        </w:rPr>
        <w:t>privados</w:t>
      </w:r>
      <w:r>
        <w:rPr>
          <w:color w:val="231F20"/>
          <w:spacing w:val="-24"/>
          <w:w w:val="110"/>
        </w:rPr>
        <w:t> </w:t>
      </w:r>
      <w:r>
        <w:rPr>
          <w:color w:val="231F20"/>
          <w:w w:val="110"/>
        </w:rPr>
        <w:t>con</w:t>
      </w:r>
      <w:r>
        <w:rPr>
          <w:color w:val="231F20"/>
          <w:spacing w:val="-24"/>
          <w:w w:val="110"/>
        </w:rPr>
        <w:t> </w:t>
      </w:r>
      <w:r>
        <w:rPr>
          <w:color w:val="231F20"/>
          <w:w w:val="110"/>
        </w:rPr>
        <w:t>el</w:t>
      </w:r>
      <w:r>
        <w:rPr>
          <w:color w:val="231F20"/>
          <w:spacing w:val="-24"/>
          <w:w w:val="110"/>
        </w:rPr>
        <w:t> </w:t>
      </w:r>
      <w:r>
        <w:rPr>
          <w:color w:val="231F20"/>
          <w:w w:val="110"/>
        </w:rPr>
        <w:t>fin</w:t>
      </w:r>
      <w:r>
        <w:rPr>
          <w:color w:val="231F20"/>
          <w:spacing w:val="-24"/>
          <w:w w:val="110"/>
        </w:rPr>
        <w:t> </w:t>
      </w:r>
      <w:r>
        <w:rPr>
          <w:color w:val="231F20"/>
          <w:w w:val="110"/>
        </w:rPr>
        <w:t>de</w:t>
      </w:r>
      <w:r>
        <w:rPr>
          <w:color w:val="231F20"/>
          <w:spacing w:val="-24"/>
          <w:w w:val="110"/>
        </w:rPr>
        <w:t> </w:t>
      </w:r>
      <w:r>
        <w:rPr>
          <w:color w:val="231F20"/>
          <w:w w:val="110"/>
        </w:rPr>
        <w:t>“rescatarlos”.</w:t>
      </w:r>
      <w:r>
        <w:rPr>
          <w:color w:val="231F20"/>
          <w:spacing w:val="-24"/>
          <w:w w:val="110"/>
        </w:rPr>
        <w:t> </w:t>
      </w:r>
      <w:r>
        <w:rPr>
          <w:color w:val="231F20"/>
          <w:w w:val="110"/>
        </w:rPr>
        <w:t>Sin</w:t>
      </w:r>
      <w:r>
        <w:rPr>
          <w:color w:val="231F20"/>
          <w:spacing w:val="-24"/>
          <w:w w:val="110"/>
        </w:rPr>
        <w:t> </w:t>
      </w:r>
      <w:r>
        <w:rPr>
          <w:color w:val="231F20"/>
          <w:w w:val="110"/>
        </w:rPr>
        <w:t>embar- go este rescate de los bancos —y de los especuladores financieros e inmobiliarios</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representan—</w:t>
      </w:r>
      <w:r>
        <w:rPr>
          <w:color w:val="231F20"/>
          <w:spacing w:val="-18"/>
          <w:w w:val="110"/>
        </w:rPr>
        <w:t> </w:t>
      </w:r>
      <w:r>
        <w:rPr>
          <w:color w:val="231F20"/>
          <w:w w:val="110"/>
        </w:rPr>
        <w:t>no</w:t>
      </w:r>
      <w:r>
        <w:rPr>
          <w:color w:val="231F20"/>
          <w:spacing w:val="-18"/>
          <w:w w:val="110"/>
        </w:rPr>
        <w:t> </w:t>
      </w:r>
      <w:r>
        <w:rPr>
          <w:color w:val="231F20"/>
          <w:w w:val="110"/>
        </w:rPr>
        <w:t>resolvió</w:t>
      </w:r>
      <w:r>
        <w:rPr>
          <w:color w:val="231F20"/>
          <w:spacing w:val="-18"/>
          <w:w w:val="110"/>
        </w:rPr>
        <w:t> </w:t>
      </w:r>
      <w:r>
        <w:rPr>
          <w:color w:val="231F20"/>
          <w:w w:val="110"/>
        </w:rPr>
        <w:t>la</w:t>
      </w:r>
      <w:r>
        <w:rPr>
          <w:color w:val="231F20"/>
          <w:spacing w:val="-18"/>
          <w:w w:val="110"/>
        </w:rPr>
        <w:t> </w:t>
      </w:r>
      <w:r>
        <w:rPr>
          <w:color w:val="231F20"/>
          <w:w w:val="110"/>
        </w:rPr>
        <w:t>crisis,</w:t>
      </w:r>
      <w:r>
        <w:rPr>
          <w:color w:val="231F20"/>
          <w:spacing w:val="-18"/>
          <w:w w:val="110"/>
        </w:rPr>
        <w:t> </w:t>
      </w:r>
      <w:r>
        <w:rPr>
          <w:color w:val="231F20"/>
          <w:w w:val="110"/>
        </w:rPr>
        <w:t>sino</w:t>
      </w:r>
      <w:r>
        <w:rPr>
          <w:color w:val="231F20"/>
          <w:spacing w:val="-18"/>
          <w:w w:val="110"/>
        </w:rPr>
        <w:t> </w:t>
      </w:r>
      <w:r>
        <w:rPr>
          <w:color w:val="231F20"/>
          <w:w w:val="110"/>
        </w:rPr>
        <w:t>que</w:t>
      </w:r>
      <w:r>
        <w:rPr>
          <w:color w:val="231F20"/>
          <w:spacing w:val="-18"/>
          <w:w w:val="110"/>
        </w:rPr>
        <w:t> </w:t>
      </w:r>
      <w:r>
        <w:rPr>
          <w:color w:val="231F20"/>
          <w:w w:val="110"/>
        </w:rPr>
        <w:t>más bien la profundizó al grado de poner a todo el sistema en riesgo de precipitarse en una recesión de incalculables consecuencias para la humanidad.</w:t>
      </w:r>
      <w:r>
        <w:rPr>
          <w:color w:val="231F20"/>
          <w:spacing w:val="-12"/>
          <w:w w:val="110"/>
        </w:rPr>
        <w:t> </w:t>
      </w:r>
      <w:r>
        <w:rPr>
          <w:color w:val="231F20"/>
          <w:w w:val="110"/>
        </w:rPr>
        <w:t>Un</w:t>
      </w:r>
      <w:r>
        <w:rPr>
          <w:color w:val="231F20"/>
          <w:spacing w:val="-12"/>
          <w:w w:val="110"/>
        </w:rPr>
        <w:t> </w:t>
      </w:r>
      <w:r>
        <w:rPr>
          <w:color w:val="231F20"/>
          <w:w w:val="110"/>
        </w:rPr>
        <w:t>autor</w:t>
      </w:r>
      <w:r>
        <w:rPr>
          <w:color w:val="231F20"/>
          <w:spacing w:val="-12"/>
          <w:w w:val="110"/>
        </w:rPr>
        <w:t> </w:t>
      </w:r>
      <w:r>
        <w:rPr>
          <w:color w:val="231F20"/>
          <w:w w:val="110"/>
        </w:rPr>
        <w:t>liberal</w:t>
      </w:r>
      <w:r>
        <w:rPr>
          <w:color w:val="231F20"/>
          <w:spacing w:val="-12"/>
          <w:w w:val="110"/>
        </w:rPr>
        <w:t> </w:t>
      </w:r>
      <w:r>
        <w:rPr>
          <w:color w:val="231F20"/>
          <w:w w:val="110"/>
        </w:rPr>
        <w:t>como</w:t>
      </w:r>
      <w:r>
        <w:rPr>
          <w:color w:val="231F20"/>
          <w:spacing w:val="-12"/>
          <w:w w:val="110"/>
        </w:rPr>
        <w:t> </w:t>
      </w:r>
      <w:r>
        <w:rPr>
          <w:color w:val="231F20"/>
          <w:w w:val="110"/>
        </w:rPr>
        <w:t>Joseph</w:t>
      </w:r>
      <w:r>
        <w:rPr>
          <w:color w:val="231F20"/>
          <w:spacing w:val="-12"/>
          <w:w w:val="110"/>
        </w:rPr>
        <w:t> </w:t>
      </w:r>
      <w:r>
        <w:rPr>
          <w:color w:val="231F20"/>
          <w:w w:val="110"/>
        </w:rPr>
        <w:t>E.</w:t>
      </w:r>
      <w:r>
        <w:rPr>
          <w:color w:val="231F20"/>
          <w:spacing w:val="-12"/>
          <w:w w:val="110"/>
        </w:rPr>
        <w:t> </w:t>
      </w:r>
      <w:r>
        <w:rPr>
          <w:color w:val="231F20"/>
          <w:w w:val="110"/>
        </w:rPr>
        <w:t>Stiglitz</w:t>
      </w:r>
      <w:r>
        <w:rPr>
          <w:color w:val="231F20"/>
          <w:spacing w:val="-12"/>
          <w:w w:val="110"/>
        </w:rPr>
        <w:t> </w:t>
      </w:r>
      <w:r>
        <w:rPr>
          <w:color w:val="231F20"/>
          <w:w w:val="110"/>
        </w:rPr>
        <w:t>(</w:t>
      </w:r>
      <w:r>
        <w:rPr>
          <w:color w:val="000033"/>
          <w:w w:val="110"/>
        </w:rPr>
        <w:t>2008)</w:t>
      </w:r>
      <w:r>
        <w:rPr>
          <w:color w:val="000033"/>
          <w:spacing w:val="-12"/>
          <w:w w:val="110"/>
        </w:rPr>
        <w:t> </w:t>
      </w:r>
      <w:r>
        <w:rPr>
          <w:color w:val="231F20"/>
          <w:w w:val="110"/>
        </w:rPr>
        <w:t>reconoce lo anterior en los siguientes</w:t>
      </w:r>
      <w:r>
        <w:rPr>
          <w:color w:val="231F20"/>
          <w:spacing w:val="43"/>
          <w:w w:val="110"/>
        </w:rPr>
        <w:t> </w:t>
      </w:r>
      <w:r>
        <w:rPr>
          <w:color w:val="231F20"/>
          <w:w w:val="110"/>
        </w:rPr>
        <w:t>términos:</w:t>
      </w:r>
    </w:p>
    <w:p>
      <w:pPr>
        <w:pStyle w:val="BodyText"/>
        <w:spacing w:before="4"/>
        <w:rPr>
          <w:sz w:val="23"/>
        </w:rPr>
      </w:pPr>
    </w:p>
    <w:p>
      <w:pPr>
        <w:spacing w:line="290" w:lineRule="auto" w:before="0"/>
        <w:ind w:left="100" w:right="117" w:firstLine="0"/>
        <w:jc w:val="both"/>
        <w:rPr>
          <w:sz w:val="18"/>
        </w:rPr>
      </w:pPr>
      <w:r>
        <w:rPr>
          <w:color w:val="231F20"/>
          <w:w w:val="110"/>
          <w:sz w:val="18"/>
        </w:rPr>
        <w:t>Aunque el programa de rescate financiero funcione, la economía se dirige a una</w:t>
      </w:r>
      <w:r>
        <w:rPr>
          <w:color w:val="231F20"/>
          <w:spacing w:val="-5"/>
          <w:w w:val="110"/>
          <w:sz w:val="18"/>
        </w:rPr>
        <w:t> </w:t>
      </w:r>
      <w:r>
        <w:rPr>
          <w:color w:val="231F20"/>
          <w:w w:val="110"/>
          <w:sz w:val="18"/>
        </w:rPr>
        <w:t>verdadera</w:t>
      </w:r>
      <w:r>
        <w:rPr>
          <w:color w:val="231F20"/>
          <w:spacing w:val="-5"/>
          <w:w w:val="110"/>
          <w:sz w:val="18"/>
        </w:rPr>
        <w:t> </w:t>
      </w:r>
      <w:r>
        <w:rPr>
          <w:color w:val="231F20"/>
          <w:w w:val="110"/>
          <w:sz w:val="18"/>
        </w:rPr>
        <w:t>recesión</w:t>
      </w:r>
      <w:r>
        <w:rPr>
          <w:color w:val="231F20"/>
          <w:spacing w:val="-5"/>
          <w:w w:val="110"/>
          <w:sz w:val="18"/>
        </w:rPr>
        <w:t> </w:t>
      </w:r>
      <w:r>
        <w:rPr>
          <w:color w:val="231F20"/>
          <w:w w:val="110"/>
          <w:sz w:val="18"/>
        </w:rPr>
        <w:t>[...]</w:t>
      </w:r>
      <w:r>
        <w:rPr>
          <w:color w:val="231F20"/>
          <w:spacing w:val="-5"/>
          <w:w w:val="110"/>
          <w:sz w:val="18"/>
        </w:rPr>
        <w:t> </w:t>
      </w:r>
      <w:r>
        <w:rPr>
          <w:color w:val="231F20"/>
          <w:w w:val="110"/>
          <w:sz w:val="18"/>
        </w:rPr>
        <w:t>El</w:t>
      </w:r>
      <w:r>
        <w:rPr>
          <w:color w:val="231F20"/>
          <w:spacing w:val="-5"/>
          <w:w w:val="110"/>
          <w:sz w:val="18"/>
        </w:rPr>
        <w:t> </w:t>
      </w:r>
      <w:r>
        <w:rPr>
          <w:color w:val="231F20"/>
          <w:w w:val="110"/>
          <w:sz w:val="18"/>
        </w:rPr>
        <w:t>hecho</w:t>
      </w:r>
      <w:r>
        <w:rPr>
          <w:color w:val="231F20"/>
          <w:spacing w:val="-5"/>
          <w:w w:val="110"/>
          <w:sz w:val="18"/>
        </w:rPr>
        <w:t> </w:t>
      </w:r>
      <w:r>
        <w:rPr>
          <w:color w:val="231F20"/>
          <w:w w:val="110"/>
          <w:sz w:val="18"/>
        </w:rPr>
        <w:t>es</w:t>
      </w:r>
      <w:r>
        <w:rPr>
          <w:color w:val="231F20"/>
          <w:spacing w:val="-5"/>
          <w:w w:val="110"/>
          <w:sz w:val="18"/>
        </w:rPr>
        <w:t> </w:t>
      </w:r>
      <w:r>
        <w:rPr>
          <w:color w:val="231F20"/>
          <w:w w:val="110"/>
          <w:sz w:val="18"/>
        </w:rPr>
        <w:t>que</w:t>
      </w:r>
      <w:r>
        <w:rPr>
          <w:color w:val="231F20"/>
          <w:spacing w:val="-5"/>
          <w:w w:val="110"/>
          <w:sz w:val="18"/>
        </w:rPr>
        <w:t> </w:t>
      </w:r>
      <w:r>
        <w:rPr>
          <w:color w:val="231F20"/>
          <w:w w:val="110"/>
          <w:sz w:val="18"/>
        </w:rPr>
        <w:t>sobrevino</w:t>
      </w:r>
      <w:r>
        <w:rPr>
          <w:color w:val="231F20"/>
          <w:spacing w:val="-5"/>
          <w:w w:val="110"/>
          <w:sz w:val="18"/>
        </w:rPr>
        <w:t> </w:t>
      </w:r>
      <w:r>
        <w:rPr>
          <w:color w:val="231F20"/>
          <w:w w:val="110"/>
          <w:sz w:val="18"/>
        </w:rPr>
        <w:t>ya</w:t>
      </w:r>
      <w:r>
        <w:rPr>
          <w:color w:val="231F20"/>
          <w:spacing w:val="-5"/>
          <w:w w:val="110"/>
          <w:sz w:val="18"/>
        </w:rPr>
        <w:t> </w:t>
      </w:r>
      <w:r>
        <w:rPr>
          <w:color w:val="231F20"/>
          <w:w w:val="110"/>
          <w:sz w:val="18"/>
        </w:rPr>
        <w:t>un</w:t>
      </w:r>
      <w:r>
        <w:rPr>
          <w:color w:val="231F20"/>
          <w:spacing w:val="-5"/>
          <w:w w:val="110"/>
          <w:sz w:val="18"/>
        </w:rPr>
        <w:t> </w:t>
      </w:r>
      <w:r>
        <w:rPr>
          <w:color w:val="231F20"/>
          <w:w w:val="110"/>
          <w:sz w:val="18"/>
        </w:rPr>
        <w:t>colapso</w:t>
      </w:r>
      <w:r>
        <w:rPr>
          <w:color w:val="231F20"/>
          <w:spacing w:val="-5"/>
          <w:w w:val="110"/>
          <w:sz w:val="18"/>
        </w:rPr>
        <w:t> </w:t>
      </w:r>
      <w:r>
        <w:rPr>
          <w:color w:val="231F20"/>
          <w:w w:val="110"/>
          <w:sz w:val="18"/>
        </w:rPr>
        <w:t>crediti- cio.</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balances</w:t>
      </w:r>
      <w:r>
        <w:rPr>
          <w:color w:val="231F20"/>
          <w:spacing w:val="-10"/>
          <w:w w:val="110"/>
          <w:sz w:val="18"/>
        </w:rPr>
        <w:t> </w:t>
      </w:r>
      <w:r>
        <w:rPr>
          <w:color w:val="231F20"/>
          <w:w w:val="110"/>
          <w:sz w:val="18"/>
        </w:rPr>
        <w:t>financieros</w:t>
      </w:r>
      <w:r>
        <w:rPr>
          <w:color w:val="231F20"/>
          <w:spacing w:val="-10"/>
          <w:w w:val="110"/>
          <w:sz w:val="18"/>
        </w:rPr>
        <w:t> </w:t>
      </w:r>
      <w:r>
        <w:rPr>
          <w:color w:val="231F20"/>
          <w:w w:val="110"/>
          <w:sz w:val="18"/>
        </w:rPr>
        <w:t>se</w:t>
      </w:r>
      <w:r>
        <w:rPr>
          <w:color w:val="231F20"/>
          <w:spacing w:val="-10"/>
          <w:w w:val="110"/>
          <w:sz w:val="18"/>
        </w:rPr>
        <w:t> </w:t>
      </w:r>
      <w:r>
        <w:rPr>
          <w:color w:val="231F20"/>
          <w:w w:val="110"/>
          <w:sz w:val="18"/>
        </w:rPr>
        <w:t>han</w:t>
      </w:r>
      <w:r>
        <w:rPr>
          <w:color w:val="231F20"/>
          <w:spacing w:val="-10"/>
          <w:w w:val="110"/>
          <w:sz w:val="18"/>
        </w:rPr>
        <w:t> </w:t>
      </w:r>
      <w:r>
        <w:rPr>
          <w:color w:val="231F20"/>
          <w:w w:val="110"/>
          <w:sz w:val="18"/>
        </w:rPr>
        <w:t>debilitado.</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gente</w:t>
      </w:r>
      <w:r>
        <w:rPr>
          <w:color w:val="231F20"/>
          <w:spacing w:val="-10"/>
          <w:w w:val="110"/>
          <w:sz w:val="18"/>
        </w:rPr>
        <w:t> </w:t>
      </w:r>
      <w:r>
        <w:rPr>
          <w:color w:val="231F20"/>
          <w:w w:val="110"/>
          <w:sz w:val="18"/>
        </w:rPr>
        <w:t>ha</w:t>
      </w:r>
      <w:r>
        <w:rPr>
          <w:color w:val="231F20"/>
          <w:spacing w:val="-10"/>
          <w:w w:val="110"/>
          <w:sz w:val="18"/>
        </w:rPr>
        <w:t> </w:t>
      </w:r>
      <w:r>
        <w:rPr>
          <w:color w:val="231F20"/>
          <w:w w:val="110"/>
          <w:sz w:val="18"/>
        </w:rPr>
        <w:t>visto</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precio</w:t>
      </w:r>
      <w:r>
        <w:rPr>
          <w:color w:val="231F20"/>
          <w:spacing w:val="-10"/>
          <w:w w:val="110"/>
          <w:sz w:val="18"/>
        </w:rPr>
        <w:t> </w:t>
      </w:r>
      <w:r>
        <w:rPr>
          <w:color w:val="231F20"/>
          <w:w w:val="110"/>
          <w:sz w:val="18"/>
        </w:rPr>
        <w:t>de las</w:t>
      </w:r>
      <w:r>
        <w:rPr>
          <w:color w:val="231F20"/>
          <w:spacing w:val="-17"/>
          <w:w w:val="110"/>
          <w:sz w:val="18"/>
        </w:rPr>
        <w:t> </w:t>
      </w:r>
      <w:r>
        <w:rPr>
          <w:color w:val="231F20"/>
          <w:w w:val="110"/>
          <w:sz w:val="18"/>
        </w:rPr>
        <w:t>acciones</w:t>
      </w:r>
      <w:r>
        <w:rPr>
          <w:color w:val="231F20"/>
          <w:spacing w:val="-17"/>
          <w:w w:val="110"/>
          <w:sz w:val="18"/>
        </w:rPr>
        <w:t> </w:t>
      </w:r>
      <w:r>
        <w:rPr>
          <w:color w:val="231F20"/>
          <w:w w:val="110"/>
          <w:sz w:val="18"/>
        </w:rPr>
        <w:t>desplomarse.</w:t>
      </w:r>
      <w:r>
        <w:rPr>
          <w:color w:val="231F20"/>
          <w:spacing w:val="-17"/>
          <w:w w:val="110"/>
          <w:sz w:val="18"/>
        </w:rPr>
        <w:t> </w:t>
      </w:r>
      <w:r>
        <w:rPr>
          <w:color w:val="231F20"/>
          <w:w w:val="110"/>
          <w:sz w:val="18"/>
        </w:rPr>
        <w:t>Los</w:t>
      </w:r>
      <w:r>
        <w:rPr>
          <w:color w:val="231F20"/>
          <w:spacing w:val="-17"/>
          <w:w w:val="110"/>
          <w:sz w:val="18"/>
        </w:rPr>
        <w:t> </w:t>
      </w:r>
      <w:r>
        <w:rPr>
          <w:color w:val="231F20"/>
          <w:w w:val="110"/>
          <w:sz w:val="18"/>
        </w:rPr>
        <w:t>precios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las</w:t>
      </w:r>
      <w:r>
        <w:rPr>
          <w:color w:val="231F20"/>
          <w:spacing w:val="-17"/>
          <w:w w:val="110"/>
          <w:sz w:val="18"/>
        </w:rPr>
        <w:t> </w:t>
      </w:r>
      <w:r>
        <w:rPr>
          <w:color w:val="231F20"/>
          <w:w w:val="110"/>
          <w:sz w:val="18"/>
        </w:rPr>
        <w:t>casas</w:t>
      </w:r>
      <w:r>
        <w:rPr>
          <w:color w:val="231F20"/>
          <w:spacing w:val="-17"/>
          <w:w w:val="110"/>
          <w:sz w:val="18"/>
        </w:rPr>
        <w:t> </w:t>
      </w:r>
      <w:r>
        <w:rPr>
          <w:color w:val="231F20"/>
          <w:w w:val="110"/>
          <w:sz w:val="18"/>
        </w:rPr>
        <w:t>bajan.</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teoría</w:t>
      </w:r>
      <w:r>
        <w:rPr>
          <w:color w:val="231F20"/>
          <w:spacing w:val="-17"/>
          <w:w w:val="110"/>
          <w:sz w:val="18"/>
        </w:rPr>
        <w:t> </w:t>
      </w:r>
      <w:r>
        <w:rPr>
          <w:color w:val="231F20"/>
          <w:w w:val="110"/>
          <w:sz w:val="18"/>
        </w:rPr>
        <w:t>económica estándar</w:t>
      </w:r>
      <w:r>
        <w:rPr>
          <w:color w:val="231F20"/>
          <w:spacing w:val="-8"/>
          <w:w w:val="110"/>
          <w:sz w:val="18"/>
        </w:rPr>
        <w:t> </w:t>
      </w:r>
      <w:r>
        <w:rPr>
          <w:color w:val="231F20"/>
          <w:w w:val="110"/>
          <w:sz w:val="18"/>
        </w:rPr>
        <w:t>predecía</w:t>
      </w:r>
      <w:r>
        <w:rPr>
          <w:color w:val="231F20"/>
          <w:spacing w:val="-8"/>
          <w:w w:val="110"/>
          <w:sz w:val="18"/>
        </w:rPr>
        <w:t> </w:t>
      </w:r>
      <w:r>
        <w:rPr>
          <w:color w:val="231F20"/>
          <w:w w:val="110"/>
          <w:sz w:val="18"/>
        </w:rPr>
        <w:t>eso:</w:t>
      </w:r>
      <w:r>
        <w:rPr>
          <w:color w:val="231F20"/>
          <w:spacing w:val="-8"/>
          <w:w w:val="110"/>
          <w:sz w:val="18"/>
        </w:rPr>
        <w:t> </w:t>
      </w:r>
      <w:r>
        <w:rPr>
          <w:color w:val="231F20"/>
          <w:w w:val="110"/>
          <w:sz w:val="18"/>
        </w:rPr>
        <w:t>bajo</w:t>
      </w:r>
      <w:r>
        <w:rPr>
          <w:color w:val="231F20"/>
          <w:spacing w:val="-8"/>
          <w:w w:val="110"/>
          <w:sz w:val="18"/>
        </w:rPr>
        <w:t> </w:t>
      </w:r>
      <w:r>
        <w:rPr>
          <w:color w:val="231F20"/>
          <w:w w:val="110"/>
          <w:sz w:val="18"/>
        </w:rPr>
        <w:t>estas</w:t>
      </w:r>
      <w:r>
        <w:rPr>
          <w:color w:val="231F20"/>
          <w:spacing w:val="-8"/>
          <w:w w:val="110"/>
          <w:sz w:val="18"/>
        </w:rPr>
        <w:t> </w:t>
      </w:r>
      <w:r>
        <w:rPr>
          <w:color w:val="231F20"/>
          <w:w w:val="110"/>
          <w:sz w:val="18"/>
        </w:rPr>
        <w:t>circunstancias,</w:t>
      </w:r>
      <w:r>
        <w:rPr>
          <w:color w:val="231F20"/>
          <w:spacing w:val="-8"/>
          <w:w w:val="110"/>
          <w:sz w:val="18"/>
        </w:rPr>
        <w:t> </w:t>
      </w:r>
      <w:r>
        <w:rPr>
          <w:color w:val="231F20"/>
          <w:w w:val="110"/>
          <w:sz w:val="18"/>
        </w:rPr>
        <w:t>habrá</w:t>
      </w:r>
      <w:r>
        <w:rPr>
          <w:color w:val="231F20"/>
          <w:spacing w:val="-8"/>
          <w:w w:val="110"/>
          <w:sz w:val="18"/>
        </w:rPr>
        <w:t> </w:t>
      </w:r>
      <w:r>
        <w:rPr>
          <w:color w:val="231F20"/>
          <w:w w:val="110"/>
          <w:sz w:val="18"/>
        </w:rPr>
        <w:t>una</w:t>
      </w:r>
      <w:r>
        <w:rPr>
          <w:color w:val="231F20"/>
          <w:spacing w:val="-8"/>
          <w:w w:val="110"/>
          <w:sz w:val="18"/>
        </w:rPr>
        <w:t> </w:t>
      </w:r>
      <w:r>
        <w:rPr>
          <w:color w:val="231F20"/>
          <w:w w:val="110"/>
          <w:sz w:val="18"/>
        </w:rPr>
        <w:t>desaceleración</w:t>
      </w:r>
      <w:r>
        <w:rPr>
          <w:color w:val="231F20"/>
          <w:spacing w:val="-8"/>
          <w:w w:val="110"/>
          <w:sz w:val="18"/>
        </w:rPr>
        <w:t> </w:t>
      </w:r>
      <w:r>
        <w:rPr>
          <w:color w:val="231F20"/>
          <w:w w:val="110"/>
          <w:sz w:val="18"/>
        </w:rPr>
        <w:t>en la actividad económica. Estados </w:t>
      </w:r>
      <w:r>
        <w:rPr>
          <w:color w:val="231F20"/>
          <w:sz w:val="18"/>
        </w:rPr>
        <w:t>y </w:t>
      </w:r>
      <w:r>
        <w:rPr>
          <w:color w:val="231F20"/>
          <w:w w:val="110"/>
          <w:sz w:val="18"/>
        </w:rPr>
        <w:t>localidades enfrentan la crisis financiera. Sus reservas han caído [...] </w:t>
      </w:r>
      <w:r>
        <w:rPr>
          <w:color w:val="231F20"/>
          <w:sz w:val="18"/>
        </w:rPr>
        <w:t>Y </w:t>
      </w:r>
      <w:r>
        <w:rPr>
          <w:color w:val="231F20"/>
          <w:w w:val="110"/>
          <w:sz w:val="18"/>
        </w:rPr>
        <w:t>si sus ingresos bajan, se tendrán que reducir gastos </w:t>
      </w:r>
      <w:r>
        <w:rPr>
          <w:color w:val="231F20"/>
          <w:sz w:val="18"/>
        </w:rPr>
        <w:t>y </w:t>
      </w:r>
      <w:r>
        <w:rPr>
          <w:color w:val="231F20"/>
          <w:w w:val="110"/>
          <w:sz w:val="18"/>
        </w:rPr>
        <w:t>la economía se hundirá todavía más. Por lo tanto, estamos apenas en el comienzo de esta desaceleración de nuestra economía. </w:t>
      </w:r>
      <w:r>
        <w:rPr>
          <w:color w:val="231F20"/>
          <w:sz w:val="18"/>
        </w:rPr>
        <w:t>Y </w:t>
      </w:r>
      <w:r>
        <w:rPr>
          <w:color w:val="231F20"/>
          <w:w w:val="110"/>
          <w:sz w:val="18"/>
        </w:rPr>
        <w:t>el rescate financiero no implica un estímulo eficaz para</w:t>
      </w:r>
      <w:r>
        <w:rPr>
          <w:color w:val="231F20"/>
          <w:spacing w:val="19"/>
          <w:w w:val="110"/>
          <w:sz w:val="18"/>
        </w:rPr>
        <w:t> </w:t>
      </w:r>
      <w:r>
        <w:rPr>
          <w:color w:val="231F20"/>
          <w:w w:val="110"/>
          <w:sz w:val="18"/>
        </w:rPr>
        <w:t>reactivarla.</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La errática política económica neoliberal a favor del capital ficti- cio estimuló la desaceleración económica, al grado de provocar, en 2009, una severa caída del producto económico de Estados Unidos  y una disminución de su actividad económica que se contrajo a un ritmo anual del 5.7% entre enero y marzo de ese año. De acuerdo con datos del Departamento de Comercio de ese país, el pib en  2007 creció 2%; en 2008 fue negativo al promediar –2.8% y de</w:t>
      </w:r>
      <w:r>
        <w:rPr>
          <w:color w:val="231F20"/>
          <w:spacing w:val="-10"/>
          <w:w w:val="110"/>
        </w:rPr>
        <w:t> </w:t>
      </w:r>
      <w:r>
        <w:rPr>
          <w:color w:val="231F20"/>
          <w:w w:val="110"/>
        </w:rPr>
        <w:t>cero</w:t>
      </w:r>
    </w:p>
    <w:p>
      <w:pPr>
        <w:pStyle w:val="BodyText"/>
        <w:ind w:left="100" w:right="25"/>
      </w:pPr>
      <w:r>
        <w:rPr>
          <w:color w:val="231F20"/>
          <w:w w:val="110"/>
        </w:rPr>
        <w:t>crecimiento en 2009.</w:t>
      </w:r>
    </w:p>
    <w:p>
      <w:pPr>
        <w:pStyle w:val="BodyText"/>
        <w:spacing w:line="261" w:lineRule="auto" w:before="20"/>
        <w:ind w:left="100" w:right="117" w:firstLine="240"/>
        <w:jc w:val="both"/>
      </w:pPr>
      <w:r>
        <w:rPr>
          <w:color w:val="231F20"/>
          <w:w w:val="105"/>
        </w:rPr>
        <w:t>Con ello se estimuló aún más la crisis mundial, con enormes consecuencias negativas en la industria automovilística, cuyas ad- ministraciones privadas llegaron a anunciar, y ejecutaron, despidos masivos de cientos de trabajadores a los que no será posible absorber nuevamente  en  el  futuro.</w:t>
      </w:r>
    </w:p>
    <w:p>
      <w:pPr>
        <w:pStyle w:val="BodyText"/>
        <w:spacing w:line="261" w:lineRule="auto"/>
        <w:ind w:left="100" w:right="117" w:firstLine="240"/>
        <w:jc w:val="both"/>
      </w:pPr>
      <w:r>
        <w:rPr>
          <w:color w:val="231F20"/>
          <w:w w:val="105"/>
        </w:rPr>
        <w:t>Es así como, por ejemplo, en febrero de 2009 el sector privado de Estados Unidos eliminó 697 mil empleos, la tasa anualizada de desem- pleo</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mismo</w:t>
      </w:r>
      <w:r>
        <w:rPr>
          <w:color w:val="231F20"/>
          <w:spacing w:val="-7"/>
          <w:w w:val="105"/>
        </w:rPr>
        <w:t> </w:t>
      </w:r>
      <w:r>
        <w:rPr>
          <w:color w:val="231F20"/>
          <w:w w:val="105"/>
        </w:rPr>
        <w:t>mes</w:t>
      </w:r>
      <w:r>
        <w:rPr>
          <w:color w:val="231F20"/>
          <w:spacing w:val="-7"/>
          <w:w w:val="105"/>
        </w:rPr>
        <w:t> </w:t>
      </w:r>
      <w:r>
        <w:rPr>
          <w:color w:val="231F20"/>
          <w:w w:val="105"/>
        </w:rPr>
        <w:t>fue</w:t>
      </w:r>
      <w:r>
        <w:rPr>
          <w:color w:val="231F20"/>
          <w:spacing w:val="-7"/>
          <w:w w:val="105"/>
        </w:rPr>
        <w:t> </w:t>
      </w:r>
      <w:r>
        <w:rPr>
          <w:color w:val="231F20"/>
          <w:w w:val="105"/>
        </w:rPr>
        <w:t>de</w:t>
      </w:r>
      <w:r>
        <w:rPr>
          <w:color w:val="231F20"/>
          <w:spacing w:val="-7"/>
          <w:w w:val="105"/>
        </w:rPr>
        <w:t> </w:t>
      </w:r>
      <w:r>
        <w:rPr>
          <w:color w:val="231F20"/>
          <w:w w:val="105"/>
        </w:rPr>
        <w:t>8.1%</w:t>
      </w:r>
      <w:r>
        <w:rPr>
          <w:color w:val="231F20"/>
          <w:spacing w:val="-7"/>
          <w:w w:val="105"/>
        </w:rPr>
        <w:t> </w:t>
      </w:r>
      <w:r>
        <w:rPr>
          <w:color w:val="231F20"/>
          <w:w w:val="105"/>
        </w:rPr>
        <w:t>y</w:t>
      </w:r>
      <w:r>
        <w:rPr>
          <w:color w:val="231F20"/>
          <w:spacing w:val="-8"/>
          <w:w w:val="105"/>
        </w:rPr>
        <w:t> </w:t>
      </w:r>
      <w:r>
        <w:rPr>
          <w:i/>
          <w:color w:val="231F20"/>
          <w:w w:val="105"/>
        </w:rPr>
        <w:t>la</w:t>
      </w:r>
      <w:r>
        <w:rPr>
          <w:i/>
          <w:color w:val="231F20"/>
          <w:spacing w:val="-7"/>
          <w:w w:val="105"/>
        </w:rPr>
        <w:t> </w:t>
      </w:r>
      <w:r>
        <w:rPr>
          <w:i/>
          <w:color w:val="231F20"/>
          <w:w w:val="105"/>
        </w:rPr>
        <w:t>GM</w:t>
      </w:r>
      <w:r>
        <w:rPr>
          <w:i/>
          <w:color w:val="231F20"/>
          <w:spacing w:val="-7"/>
          <w:w w:val="105"/>
        </w:rPr>
        <w:t> </w:t>
      </w:r>
      <w:r>
        <w:rPr>
          <w:i/>
          <w:color w:val="231F20"/>
          <w:w w:val="105"/>
        </w:rPr>
        <w:t>anunció</w:t>
      </w:r>
      <w:r>
        <w:rPr>
          <w:i/>
          <w:color w:val="231F20"/>
          <w:spacing w:val="-7"/>
          <w:w w:val="105"/>
        </w:rPr>
        <w:t> </w:t>
      </w:r>
      <w:r>
        <w:rPr>
          <w:i/>
          <w:color w:val="231F20"/>
          <w:w w:val="105"/>
        </w:rPr>
        <w:t>el</w:t>
      </w:r>
      <w:r>
        <w:rPr>
          <w:i/>
          <w:color w:val="231F20"/>
          <w:spacing w:val="-7"/>
          <w:w w:val="105"/>
        </w:rPr>
        <w:t> </w:t>
      </w:r>
      <w:r>
        <w:rPr>
          <w:i/>
          <w:color w:val="231F20"/>
          <w:w w:val="105"/>
        </w:rPr>
        <w:t>cese</w:t>
      </w:r>
      <w:r>
        <w:rPr>
          <w:i/>
          <w:color w:val="231F20"/>
          <w:spacing w:val="-7"/>
          <w:w w:val="105"/>
        </w:rPr>
        <w:t> </w:t>
      </w:r>
      <w:r>
        <w:rPr>
          <w:i/>
          <w:color w:val="231F20"/>
          <w:w w:val="105"/>
        </w:rPr>
        <w:t>de</w:t>
      </w:r>
      <w:r>
        <w:rPr>
          <w:i/>
          <w:color w:val="231F20"/>
          <w:spacing w:val="-7"/>
          <w:w w:val="105"/>
        </w:rPr>
        <w:t> </w:t>
      </w:r>
      <w:r>
        <w:rPr>
          <w:i/>
          <w:color w:val="231F20"/>
          <w:w w:val="105"/>
        </w:rPr>
        <w:t>tres</w:t>
      </w:r>
      <w:r>
        <w:rPr>
          <w:i/>
          <w:color w:val="231F20"/>
          <w:spacing w:val="-7"/>
          <w:w w:val="105"/>
        </w:rPr>
        <w:t> </w:t>
      </w:r>
      <w:r>
        <w:rPr>
          <w:i/>
          <w:color w:val="231F20"/>
          <w:w w:val="105"/>
        </w:rPr>
        <w:t>mil </w:t>
      </w:r>
      <w:r>
        <w:rPr>
          <w:i/>
          <w:color w:val="231F20"/>
          <w:w w:val="105"/>
        </w:rPr>
        <w:t>500</w:t>
      </w:r>
      <w:r>
        <w:rPr>
          <w:i/>
          <w:color w:val="231F20"/>
          <w:spacing w:val="-17"/>
          <w:w w:val="105"/>
        </w:rPr>
        <w:t> </w:t>
      </w:r>
      <w:r>
        <w:rPr>
          <w:i/>
          <w:color w:val="231F20"/>
          <w:w w:val="105"/>
        </w:rPr>
        <w:t>trabajadores</w:t>
      </w:r>
      <w:r>
        <w:rPr>
          <w:i/>
          <w:color w:val="231F20"/>
          <w:spacing w:val="-17"/>
          <w:w w:val="105"/>
        </w:rPr>
        <w:t> </w:t>
      </w:r>
      <w:r>
        <w:rPr>
          <w:i/>
          <w:color w:val="231F20"/>
          <w:w w:val="105"/>
        </w:rPr>
        <w:t>en</w:t>
      </w:r>
      <w:r>
        <w:rPr>
          <w:i/>
          <w:color w:val="231F20"/>
          <w:spacing w:val="-17"/>
          <w:w w:val="105"/>
        </w:rPr>
        <w:t> </w:t>
      </w:r>
      <w:r>
        <w:rPr>
          <w:i/>
          <w:color w:val="231F20"/>
          <w:w w:val="105"/>
        </w:rPr>
        <w:t>su</w:t>
      </w:r>
      <w:r>
        <w:rPr>
          <w:i/>
          <w:color w:val="231F20"/>
          <w:spacing w:val="-17"/>
          <w:w w:val="105"/>
        </w:rPr>
        <w:t> </w:t>
      </w:r>
      <w:r>
        <w:rPr>
          <w:i/>
          <w:color w:val="231F20"/>
          <w:w w:val="105"/>
        </w:rPr>
        <w:t>filial</w:t>
      </w:r>
      <w:r>
        <w:rPr>
          <w:i/>
          <w:color w:val="231F20"/>
          <w:spacing w:val="-17"/>
          <w:w w:val="105"/>
        </w:rPr>
        <w:t> </w:t>
      </w:r>
      <w:r>
        <w:rPr>
          <w:i/>
          <w:color w:val="231F20"/>
          <w:w w:val="105"/>
        </w:rPr>
        <w:t>Opel</w:t>
      </w:r>
      <w:r>
        <w:rPr>
          <w:i/>
          <w:color w:val="231F20"/>
          <w:spacing w:val="-17"/>
          <w:w w:val="105"/>
        </w:rPr>
        <w:t> </w:t>
      </w:r>
      <w:r>
        <w:rPr>
          <w:i/>
          <w:color w:val="231F20"/>
          <w:w w:val="105"/>
        </w:rPr>
        <w:t>de</w:t>
      </w:r>
      <w:r>
        <w:rPr>
          <w:i/>
          <w:color w:val="231F20"/>
          <w:spacing w:val="-17"/>
          <w:w w:val="105"/>
        </w:rPr>
        <w:t> </w:t>
      </w:r>
      <w:r>
        <w:rPr>
          <w:i/>
          <w:color w:val="231F20"/>
          <w:w w:val="105"/>
        </w:rPr>
        <w:t>Alemania.</w:t>
      </w:r>
      <w:r>
        <w:rPr>
          <w:i/>
          <w:color w:val="231F20"/>
          <w:spacing w:val="-17"/>
          <w:w w:val="105"/>
        </w:rPr>
        <w:t> </w:t>
      </w:r>
      <w:r>
        <w:rPr>
          <w:color w:val="231F20"/>
          <w:w w:val="105"/>
        </w:rPr>
        <w:t>Otras</w:t>
      </w:r>
      <w:r>
        <w:rPr>
          <w:color w:val="231F20"/>
          <w:spacing w:val="-17"/>
          <w:w w:val="105"/>
        </w:rPr>
        <w:t> </w:t>
      </w:r>
      <w:r>
        <w:rPr>
          <w:color w:val="231F20"/>
          <w:w w:val="105"/>
        </w:rPr>
        <w:t>medidas</w:t>
      </w:r>
      <w:r>
        <w:rPr>
          <w:color w:val="231F20"/>
          <w:spacing w:val="-17"/>
          <w:w w:val="105"/>
        </w:rPr>
        <w:t> </w:t>
      </w:r>
      <w:r>
        <w:rPr>
          <w:color w:val="231F20"/>
          <w:w w:val="105"/>
        </w:rPr>
        <w:t>adoptadas por el gobierno y el capital fueron: </w:t>
      </w:r>
      <w:r>
        <w:rPr>
          <w:i/>
          <w:color w:val="231F20"/>
          <w:w w:val="105"/>
        </w:rPr>
        <w:t>a</w:t>
      </w:r>
      <w:r>
        <w:rPr>
          <w:color w:val="231F20"/>
          <w:w w:val="105"/>
        </w:rPr>
        <w:t>] reducir salarios, </w:t>
      </w:r>
      <w:r>
        <w:rPr>
          <w:i/>
          <w:color w:val="231F20"/>
          <w:w w:val="105"/>
        </w:rPr>
        <w:t>b</w:t>
      </w:r>
      <w:r>
        <w:rPr>
          <w:color w:val="231F20"/>
          <w:w w:val="105"/>
        </w:rPr>
        <w:t>] reducir la jornada laboral, </w:t>
      </w:r>
      <w:r>
        <w:rPr>
          <w:i/>
          <w:color w:val="231F20"/>
          <w:w w:val="105"/>
        </w:rPr>
        <w:t>c</w:t>
      </w:r>
      <w:r>
        <w:rPr>
          <w:color w:val="231F20"/>
          <w:w w:val="105"/>
        </w:rPr>
        <w:t>] congelar o reducir los sueldos de los empleados y ejecutivos mientras que la tasa oficial de desempleo alcanzó 9.5% en junio de 2009. En otras palabras se comenzó a aplicar una auténtica política  de  superexplotación  del</w:t>
      </w:r>
      <w:r>
        <w:rPr>
          <w:color w:val="231F20"/>
          <w:spacing w:val="43"/>
          <w:w w:val="105"/>
        </w:rPr>
        <w:t> </w:t>
      </w:r>
      <w:r>
        <w:rPr>
          <w:color w:val="231F20"/>
          <w:w w:val="105"/>
        </w:rPr>
        <w:t>tabajo.</w:t>
      </w:r>
    </w:p>
    <w:p>
      <w:pPr>
        <w:pStyle w:val="BodyText"/>
        <w:spacing w:line="261" w:lineRule="auto"/>
        <w:ind w:left="100" w:right="117" w:firstLine="240"/>
        <w:jc w:val="both"/>
      </w:pPr>
      <w:r>
        <w:rPr>
          <w:color w:val="231F20"/>
          <w:w w:val="110"/>
        </w:rPr>
        <w:t>Incluso</w:t>
      </w:r>
      <w:r>
        <w:rPr>
          <w:color w:val="231F20"/>
          <w:spacing w:val="-24"/>
          <w:w w:val="110"/>
        </w:rPr>
        <w:t> </w:t>
      </w:r>
      <w:r>
        <w:rPr>
          <w:color w:val="231F20"/>
          <w:w w:val="110"/>
        </w:rPr>
        <w:t>los</w:t>
      </w:r>
      <w:r>
        <w:rPr>
          <w:color w:val="231F20"/>
          <w:spacing w:val="-24"/>
          <w:w w:val="110"/>
        </w:rPr>
        <w:t> </w:t>
      </w:r>
      <w:r>
        <w:rPr>
          <w:color w:val="231F20"/>
          <w:w w:val="110"/>
        </w:rPr>
        <w:t>tres</w:t>
      </w:r>
      <w:r>
        <w:rPr>
          <w:color w:val="231F20"/>
          <w:spacing w:val="-24"/>
          <w:w w:val="110"/>
        </w:rPr>
        <w:t> </w:t>
      </w:r>
      <w:r>
        <w:rPr>
          <w:color w:val="231F20"/>
          <w:w w:val="110"/>
        </w:rPr>
        <w:t>gigantes</w:t>
      </w:r>
      <w:r>
        <w:rPr>
          <w:color w:val="231F20"/>
          <w:spacing w:val="-24"/>
          <w:w w:val="110"/>
        </w:rPr>
        <w:t> </w:t>
      </w:r>
      <w:r>
        <w:rPr>
          <w:color w:val="231F20"/>
          <w:w w:val="110"/>
        </w:rPr>
        <w:t>automotrices</w:t>
      </w:r>
      <w:r>
        <w:rPr>
          <w:color w:val="231F20"/>
          <w:spacing w:val="-24"/>
          <w:w w:val="110"/>
        </w:rPr>
        <w:t> </w:t>
      </w:r>
      <w:r>
        <w:rPr>
          <w:color w:val="231F20"/>
          <w:w w:val="110"/>
        </w:rPr>
        <w:t>estadunidenses,</w:t>
      </w:r>
      <w:r>
        <w:rPr>
          <w:color w:val="231F20"/>
          <w:spacing w:val="-24"/>
          <w:w w:val="110"/>
        </w:rPr>
        <w:t> </w:t>
      </w:r>
      <w:r>
        <w:rPr>
          <w:color w:val="231F20"/>
          <w:w w:val="110"/>
        </w:rPr>
        <w:t>General</w:t>
      </w:r>
      <w:r>
        <w:rPr>
          <w:color w:val="231F20"/>
          <w:spacing w:val="-24"/>
          <w:w w:val="110"/>
        </w:rPr>
        <w:t> </w:t>
      </w:r>
      <w:r>
        <w:rPr>
          <w:color w:val="231F20"/>
          <w:w w:val="110"/>
        </w:rPr>
        <w:t>Mo- tors,</w:t>
      </w:r>
      <w:r>
        <w:rPr>
          <w:color w:val="231F20"/>
          <w:spacing w:val="-7"/>
          <w:w w:val="110"/>
        </w:rPr>
        <w:t> </w:t>
      </w:r>
      <w:r>
        <w:rPr>
          <w:color w:val="231F20"/>
          <w:w w:val="110"/>
        </w:rPr>
        <w:t>Chrysler</w:t>
      </w:r>
      <w:r>
        <w:rPr>
          <w:color w:val="231F20"/>
          <w:spacing w:val="-7"/>
          <w:w w:val="110"/>
        </w:rPr>
        <w:t> </w:t>
      </w:r>
      <w:r>
        <w:rPr>
          <w:color w:val="231F20"/>
          <w:w w:val="110"/>
        </w:rPr>
        <w:t>y</w:t>
      </w:r>
      <w:r>
        <w:rPr>
          <w:color w:val="231F20"/>
          <w:spacing w:val="-7"/>
          <w:w w:val="110"/>
        </w:rPr>
        <w:t> </w:t>
      </w:r>
      <w:r>
        <w:rPr>
          <w:color w:val="231F20"/>
          <w:w w:val="110"/>
        </w:rPr>
        <w:t>Ford,</w:t>
      </w:r>
      <w:r>
        <w:rPr>
          <w:color w:val="231F20"/>
          <w:spacing w:val="-7"/>
          <w:w w:val="110"/>
        </w:rPr>
        <w:t> </w:t>
      </w:r>
      <w:r>
        <w:rPr>
          <w:color w:val="231F20"/>
          <w:w w:val="110"/>
        </w:rPr>
        <w:t>solicitaron</w:t>
      </w:r>
      <w:r>
        <w:rPr>
          <w:color w:val="231F20"/>
          <w:spacing w:val="-7"/>
          <w:w w:val="110"/>
        </w:rPr>
        <w:t> </w:t>
      </w:r>
      <w:r>
        <w:rPr>
          <w:color w:val="231F20"/>
          <w:w w:val="110"/>
        </w:rPr>
        <w:t>al</w:t>
      </w:r>
      <w:r>
        <w:rPr>
          <w:color w:val="231F20"/>
          <w:spacing w:val="-7"/>
          <w:w w:val="110"/>
        </w:rPr>
        <w:t> </w:t>
      </w:r>
      <w:r>
        <w:rPr>
          <w:color w:val="231F20"/>
          <w:w w:val="110"/>
        </w:rPr>
        <w:t>gobierno</w:t>
      </w:r>
      <w:r>
        <w:rPr>
          <w:color w:val="231F20"/>
          <w:spacing w:val="-7"/>
          <w:w w:val="110"/>
        </w:rPr>
        <w:t> </w:t>
      </w:r>
      <w:r>
        <w:rPr>
          <w:color w:val="231F20"/>
          <w:w w:val="110"/>
        </w:rPr>
        <w:t>un</w:t>
      </w:r>
      <w:r>
        <w:rPr>
          <w:color w:val="231F20"/>
          <w:spacing w:val="-7"/>
          <w:w w:val="110"/>
        </w:rPr>
        <w:t> </w:t>
      </w:r>
      <w:r>
        <w:rPr>
          <w:color w:val="231F20"/>
          <w:w w:val="110"/>
        </w:rPr>
        <w:t>“paquete</w:t>
      </w:r>
      <w:r>
        <w:rPr>
          <w:color w:val="231F20"/>
          <w:spacing w:val="-7"/>
          <w:w w:val="110"/>
        </w:rPr>
        <w:t> </w:t>
      </w:r>
      <w:r>
        <w:rPr>
          <w:color w:val="231F20"/>
          <w:w w:val="110"/>
        </w:rPr>
        <w:t>de</w:t>
      </w:r>
      <w:r>
        <w:rPr>
          <w:color w:val="231F20"/>
          <w:spacing w:val="-7"/>
          <w:w w:val="110"/>
        </w:rPr>
        <w:t> </w:t>
      </w:r>
      <w:r>
        <w:rPr>
          <w:color w:val="231F20"/>
          <w:w w:val="110"/>
        </w:rPr>
        <w:t>rescate” por 34 mil millones de dólares para impedir que la industria se</w:t>
      </w:r>
      <w:r>
        <w:rPr>
          <w:color w:val="231F20"/>
          <w:spacing w:val="-16"/>
          <w:w w:val="110"/>
        </w:rPr>
        <w:t> </w:t>
      </w:r>
      <w:r>
        <w:rPr>
          <w:color w:val="231F20"/>
          <w:w w:val="110"/>
        </w:rPr>
        <w:t>fuera a la quiebra, mientras que los presidentes de las dos primeras em- presas declararon que estarían dispuestos a una fusión entre ambas, lo que provocaría un recorte de cientos de miles de empleos en el sector automotriz </w:t>
      </w:r>
      <w:r>
        <w:rPr>
          <w:color w:val="231F20"/>
          <w:spacing w:val="-5"/>
          <w:w w:val="110"/>
        </w:rPr>
        <w:t>—y, </w:t>
      </w:r>
      <w:r>
        <w:rPr>
          <w:color w:val="231F20"/>
          <w:w w:val="110"/>
        </w:rPr>
        <w:t>por extensión, en sus complejos productivos, debido</w:t>
      </w:r>
      <w:r>
        <w:rPr>
          <w:color w:val="231F20"/>
          <w:spacing w:val="-8"/>
          <w:w w:val="110"/>
        </w:rPr>
        <w:t> </w:t>
      </w:r>
      <w:r>
        <w:rPr>
          <w:color w:val="231F20"/>
          <w:w w:val="110"/>
        </w:rPr>
        <w:t>al</w:t>
      </w:r>
      <w:r>
        <w:rPr>
          <w:color w:val="231F20"/>
          <w:spacing w:val="-8"/>
          <w:w w:val="110"/>
        </w:rPr>
        <w:t> </w:t>
      </w:r>
      <w:r>
        <w:rPr>
          <w:color w:val="231F20"/>
          <w:w w:val="110"/>
        </w:rPr>
        <w:t>“efecto</w:t>
      </w:r>
      <w:r>
        <w:rPr>
          <w:color w:val="231F20"/>
          <w:spacing w:val="-8"/>
          <w:w w:val="110"/>
        </w:rPr>
        <w:t> </w:t>
      </w:r>
      <w:r>
        <w:rPr>
          <w:color w:val="231F20"/>
          <w:w w:val="110"/>
        </w:rPr>
        <w:t>demostración”</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proceso</w:t>
      </w:r>
      <w:r>
        <w:rPr>
          <w:color w:val="231F20"/>
          <w:spacing w:val="-8"/>
          <w:w w:val="110"/>
        </w:rPr>
        <w:t> </w:t>
      </w:r>
      <w:r>
        <w:rPr>
          <w:color w:val="231F20"/>
          <w:w w:val="110"/>
        </w:rPr>
        <w:t>acarrearía</w:t>
      </w:r>
      <w:r>
        <w:rPr>
          <w:color w:val="231F20"/>
          <w:spacing w:val="-8"/>
          <w:w w:val="110"/>
        </w:rPr>
        <w:t> </w:t>
      </w:r>
      <w:r>
        <w:rPr>
          <w:color w:val="231F20"/>
          <w:w w:val="110"/>
        </w:rPr>
        <w:t>afectando, por ende al conjunto de la industria— a causa de la eliminación de las fábricas y operaciones que se estarían</w:t>
      </w:r>
      <w:r>
        <w:rPr>
          <w:color w:val="231F20"/>
          <w:spacing w:val="19"/>
          <w:w w:val="110"/>
        </w:rPr>
        <w:t> </w:t>
      </w:r>
      <w:r>
        <w:rPr>
          <w:color w:val="231F20"/>
          <w:w w:val="110"/>
        </w:rPr>
        <w:t>duplicando.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before="67"/>
        <w:ind w:left="100"/>
        <w:jc w:val="both"/>
      </w:pPr>
      <w:r>
        <w:rPr>
          <w:color w:val="231F20"/>
          <w:w w:val="130"/>
        </w:rPr>
        <w:t>la crisis</w:t>
      </w:r>
      <w:r>
        <w:rPr>
          <w:color w:val="231F20"/>
          <w:spacing w:val="-50"/>
          <w:w w:val="130"/>
        </w:rPr>
        <w:t> </w:t>
      </w:r>
      <w:r>
        <w:rPr>
          <w:color w:val="231F20"/>
          <w:w w:val="130"/>
        </w:rPr>
        <w:t>europea</w:t>
      </w:r>
    </w:p>
    <w:p>
      <w:pPr>
        <w:pStyle w:val="BodyText"/>
        <w:spacing w:before="5"/>
        <w:rPr>
          <w:sz w:val="23"/>
        </w:rPr>
      </w:pPr>
    </w:p>
    <w:p>
      <w:pPr>
        <w:pStyle w:val="BodyText"/>
        <w:spacing w:line="261" w:lineRule="auto"/>
        <w:ind w:left="100" w:right="113"/>
        <w:jc w:val="both"/>
      </w:pPr>
      <w:r>
        <w:rPr>
          <w:color w:val="231F20"/>
          <w:w w:val="110"/>
        </w:rPr>
        <w:t>La crisis estadunidense se bifurcó a la Europa del gran capital a través del sistema financiero y de sus empresas trasnacionales. Al respecto Balze (31 de marzo de 2010) estima que: “La crisis fiscal no tardará en llegar a otras economías desarrolladas con cuentas frágiles y endeudamientos excesivos. La causa del gran deterioro en las</w:t>
      </w:r>
      <w:r>
        <w:rPr>
          <w:color w:val="231F20"/>
          <w:spacing w:val="-7"/>
          <w:w w:val="110"/>
        </w:rPr>
        <w:t> </w:t>
      </w:r>
      <w:r>
        <w:rPr>
          <w:color w:val="231F20"/>
          <w:w w:val="110"/>
        </w:rPr>
        <w:t>finanzas</w:t>
      </w:r>
      <w:r>
        <w:rPr>
          <w:color w:val="231F20"/>
          <w:spacing w:val="-7"/>
          <w:w w:val="110"/>
        </w:rPr>
        <w:t> </w:t>
      </w:r>
      <w:r>
        <w:rPr>
          <w:color w:val="231F20"/>
          <w:w w:val="110"/>
        </w:rPr>
        <w:t>públicas</w:t>
      </w:r>
      <w:r>
        <w:rPr>
          <w:color w:val="231F20"/>
          <w:spacing w:val="-7"/>
          <w:w w:val="110"/>
        </w:rPr>
        <w:t> </w:t>
      </w:r>
      <w:r>
        <w:rPr>
          <w:color w:val="231F20"/>
          <w:w w:val="110"/>
        </w:rPr>
        <w:t>fueron</w:t>
      </w:r>
      <w:r>
        <w:rPr>
          <w:color w:val="231F20"/>
          <w:spacing w:val="-7"/>
          <w:w w:val="110"/>
        </w:rPr>
        <w:t> </w:t>
      </w:r>
      <w:r>
        <w:rPr>
          <w:color w:val="231F20"/>
          <w:w w:val="110"/>
        </w:rPr>
        <w:t>las</w:t>
      </w:r>
      <w:r>
        <w:rPr>
          <w:color w:val="231F20"/>
          <w:spacing w:val="-7"/>
          <w:w w:val="110"/>
        </w:rPr>
        <w:t> </w:t>
      </w:r>
      <w:r>
        <w:rPr>
          <w:color w:val="231F20"/>
          <w:w w:val="110"/>
        </w:rPr>
        <w:t>medidas</w:t>
      </w:r>
      <w:r>
        <w:rPr>
          <w:color w:val="231F20"/>
          <w:spacing w:val="-7"/>
          <w:w w:val="110"/>
        </w:rPr>
        <w:t> </w:t>
      </w:r>
      <w:r>
        <w:rPr>
          <w:color w:val="231F20"/>
          <w:w w:val="110"/>
        </w:rPr>
        <w:t>adoptadas</w:t>
      </w:r>
      <w:r>
        <w:rPr>
          <w:color w:val="231F20"/>
          <w:spacing w:val="-7"/>
          <w:w w:val="110"/>
        </w:rPr>
        <w:t> </w:t>
      </w:r>
      <w:r>
        <w:rPr>
          <w:color w:val="231F20"/>
          <w:w w:val="110"/>
        </w:rPr>
        <w:t>por</w:t>
      </w:r>
      <w:r>
        <w:rPr>
          <w:color w:val="231F20"/>
          <w:spacing w:val="-7"/>
          <w:w w:val="110"/>
        </w:rPr>
        <w:t> </w:t>
      </w:r>
      <w:r>
        <w:rPr>
          <w:color w:val="231F20"/>
          <w:w w:val="110"/>
        </w:rPr>
        <w:t>los</w:t>
      </w:r>
      <w:r>
        <w:rPr>
          <w:color w:val="231F20"/>
          <w:spacing w:val="-7"/>
          <w:w w:val="110"/>
        </w:rPr>
        <w:t> </w:t>
      </w:r>
      <w:r>
        <w:rPr>
          <w:color w:val="231F20"/>
          <w:w w:val="110"/>
        </w:rPr>
        <w:t>gobiernos durante los últimos dos años para contener las consecuencias de la gravísima crisis financiera que eclosionó en Estados Unidos y que luego</w:t>
      </w:r>
      <w:r>
        <w:rPr>
          <w:color w:val="231F20"/>
          <w:spacing w:val="-8"/>
          <w:w w:val="110"/>
        </w:rPr>
        <w:t> </w:t>
      </w:r>
      <w:r>
        <w:rPr>
          <w:color w:val="231F20"/>
          <w:w w:val="110"/>
        </w:rPr>
        <w:t>se</w:t>
      </w:r>
      <w:r>
        <w:rPr>
          <w:color w:val="231F20"/>
          <w:spacing w:val="-8"/>
          <w:w w:val="110"/>
        </w:rPr>
        <w:t> </w:t>
      </w:r>
      <w:r>
        <w:rPr>
          <w:color w:val="231F20"/>
          <w:w w:val="110"/>
        </w:rPr>
        <w:t>diseminó</w:t>
      </w:r>
      <w:r>
        <w:rPr>
          <w:color w:val="231F20"/>
          <w:spacing w:val="-8"/>
          <w:w w:val="110"/>
        </w:rPr>
        <w:t> </w:t>
      </w:r>
      <w:r>
        <w:rPr>
          <w:color w:val="231F20"/>
          <w:w w:val="110"/>
        </w:rPr>
        <w:t>al</w:t>
      </w:r>
      <w:r>
        <w:rPr>
          <w:color w:val="231F20"/>
          <w:spacing w:val="-8"/>
          <w:w w:val="110"/>
        </w:rPr>
        <w:t> </w:t>
      </w:r>
      <w:r>
        <w:rPr>
          <w:color w:val="231F20"/>
          <w:w w:val="110"/>
        </w:rPr>
        <w:t>resto</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financiero</w:t>
      </w:r>
      <w:r>
        <w:rPr>
          <w:color w:val="231F20"/>
          <w:spacing w:val="-8"/>
          <w:w w:val="110"/>
        </w:rPr>
        <w:t> </w:t>
      </w:r>
      <w:r>
        <w:rPr>
          <w:color w:val="231F20"/>
          <w:w w:val="110"/>
        </w:rPr>
        <w:t>mundial.</w:t>
      </w:r>
      <w:r>
        <w:rPr>
          <w:color w:val="231F20"/>
          <w:spacing w:val="-8"/>
          <w:w w:val="110"/>
        </w:rPr>
        <w:t> </w:t>
      </w:r>
      <w:r>
        <w:rPr>
          <w:color w:val="231F20"/>
          <w:w w:val="110"/>
        </w:rPr>
        <w:t>Las</w:t>
      </w:r>
      <w:r>
        <w:rPr>
          <w:color w:val="231F20"/>
          <w:spacing w:val="-8"/>
          <w:w w:val="110"/>
        </w:rPr>
        <w:t> </w:t>
      </w:r>
      <w:r>
        <w:rPr>
          <w:color w:val="231F20"/>
          <w:w w:val="110"/>
        </w:rPr>
        <w:t>políti- cas</w:t>
      </w:r>
      <w:r>
        <w:rPr>
          <w:color w:val="231F20"/>
          <w:spacing w:val="-5"/>
          <w:w w:val="110"/>
        </w:rPr>
        <w:t> </w:t>
      </w:r>
      <w:r>
        <w:rPr>
          <w:color w:val="231F20"/>
          <w:w w:val="110"/>
        </w:rPr>
        <w:t>instrumentadas</w:t>
      </w:r>
      <w:r>
        <w:rPr>
          <w:color w:val="231F20"/>
          <w:spacing w:val="-5"/>
          <w:w w:val="110"/>
        </w:rPr>
        <w:t> </w:t>
      </w:r>
      <w:r>
        <w:rPr>
          <w:color w:val="231F20"/>
          <w:w w:val="110"/>
        </w:rPr>
        <w:t>para</w:t>
      </w:r>
      <w:r>
        <w:rPr>
          <w:color w:val="231F20"/>
          <w:spacing w:val="-5"/>
          <w:w w:val="110"/>
        </w:rPr>
        <w:t> </w:t>
      </w:r>
      <w:r>
        <w:rPr>
          <w:color w:val="231F20"/>
          <w:w w:val="110"/>
        </w:rPr>
        <w:t>salvar</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bancos</w:t>
      </w:r>
      <w:r>
        <w:rPr>
          <w:color w:val="231F20"/>
          <w:spacing w:val="-5"/>
          <w:w w:val="110"/>
        </w:rPr>
        <w:t> </w:t>
      </w:r>
      <w:r>
        <w:rPr>
          <w:color w:val="231F20"/>
          <w:w w:val="110"/>
        </w:rPr>
        <w:t>y</w:t>
      </w:r>
      <w:r>
        <w:rPr>
          <w:color w:val="231F20"/>
          <w:spacing w:val="-5"/>
          <w:w w:val="110"/>
        </w:rPr>
        <w:t> </w:t>
      </w:r>
      <w:r>
        <w:rPr>
          <w:color w:val="231F20"/>
          <w:w w:val="110"/>
        </w:rPr>
        <w:t>sacar</w:t>
      </w:r>
      <w:r>
        <w:rPr>
          <w:color w:val="231F20"/>
          <w:spacing w:val="-5"/>
          <w:w w:val="110"/>
        </w:rPr>
        <w:t> </w:t>
      </w:r>
      <w:r>
        <w:rPr>
          <w:color w:val="231F20"/>
          <w:w w:val="110"/>
        </w:rPr>
        <w:t>las</w:t>
      </w:r>
      <w:r>
        <w:rPr>
          <w:color w:val="231F20"/>
          <w:spacing w:val="-5"/>
          <w:w w:val="110"/>
        </w:rPr>
        <w:t> </w:t>
      </w:r>
      <w:r>
        <w:rPr>
          <w:color w:val="231F20"/>
          <w:w w:val="110"/>
        </w:rPr>
        <w:t>economías</w:t>
      </w:r>
      <w:r>
        <w:rPr>
          <w:color w:val="231F20"/>
          <w:spacing w:val="-5"/>
          <w:w w:val="110"/>
        </w:rPr>
        <w:t> </w:t>
      </w:r>
      <w:r>
        <w:rPr>
          <w:color w:val="231F20"/>
          <w:w w:val="110"/>
        </w:rPr>
        <w:t>de la recesión han generado enormes déficit y forzado a los gobiernos  a endeudarse y a asumir compromisos financieros que presionarán las cuentas fiscales por muchos años”. Pero es preciso señalar que</w:t>
      </w:r>
      <w:r>
        <w:rPr>
          <w:color w:val="231F20"/>
          <w:spacing w:val="-27"/>
          <w:w w:val="110"/>
        </w:rPr>
        <w:t> </w:t>
      </w:r>
      <w:r>
        <w:rPr>
          <w:color w:val="231F20"/>
          <w:w w:val="110"/>
        </w:rPr>
        <w:t>la crisis provocó el déficit fiscal de los Estados europeos y no al revés: es</w:t>
      </w:r>
      <w:r>
        <w:rPr>
          <w:color w:val="231F20"/>
          <w:spacing w:val="-9"/>
          <w:w w:val="110"/>
        </w:rPr>
        <w:t> </w:t>
      </w:r>
      <w:r>
        <w:rPr>
          <w:color w:val="231F20"/>
          <w:spacing w:val="-3"/>
          <w:w w:val="110"/>
        </w:rPr>
        <w:t>decir,</w:t>
      </w:r>
      <w:r>
        <w:rPr>
          <w:color w:val="231F20"/>
          <w:spacing w:val="-9"/>
          <w:w w:val="110"/>
        </w:rPr>
        <w:t> </w:t>
      </w:r>
      <w:r>
        <w:rPr>
          <w:color w:val="231F20"/>
          <w:w w:val="110"/>
        </w:rPr>
        <w:t>que</w:t>
      </w:r>
      <w:r>
        <w:rPr>
          <w:color w:val="231F20"/>
          <w:spacing w:val="-9"/>
          <w:w w:val="110"/>
        </w:rPr>
        <w:t> </w:t>
      </w:r>
      <w:r>
        <w:rPr>
          <w:color w:val="231F20"/>
          <w:w w:val="110"/>
        </w:rPr>
        <w:t>dichos</w:t>
      </w:r>
      <w:r>
        <w:rPr>
          <w:color w:val="231F20"/>
          <w:spacing w:val="-9"/>
          <w:w w:val="110"/>
        </w:rPr>
        <w:t> </w:t>
      </w:r>
      <w:r>
        <w:rPr>
          <w:color w:val="231F20"/>
          <w:w w:val="110"/>
        </w:rPr>
        <w:t>déficit</w:t>
      </w:r>
      <w:r>
        <w:rPr>
          <w:color w:val="231F20"/>
          <w:spacing w:val="-9"/>
          <w:w w:val="110"/>
        </w:rPr>
        <w:t> </w:t>
      </w:r>
      <w:r>
        <w:rPr>
          <w:color w:val="231F20"/>
          <w:w w:val="110"/>
        </w:rPr>
        <w:t>hayan</w:t>
      </w:r>
      <w:r>
        <w:rPr>
          <w:color w:val="231F20"/>
          <w:spacing w:val="-9"/>
          <w:w w:val="110"/>
        </w:rPr>
        <w:t> </w:t>
      </w:r>
      <w:r>
        <w:rPr>
          <w:color w:val="231F20"/>
          <w:w w:val="110"/>
        </w:rPr>
        <w:t>provocado</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como</w:t>
      </w:r>
      <w:r>
        <w:rPr>
          <w:color w:val="231F20"/>
          <w:spacing w:val="-9"/>
          <w:w w:val="110"/>
        </w:rPr>
        <w:t> </w:t>
      </w:r>
      <w:r>
        <w:rPr>
          <w:color w:val="231F20"/>
          <w:w w:val="110"/>
        </w:rPr>
        <w:t>ideológi- camente se argumenta por parte de las autoridades y de los medios de</w:t>
      </w:r>
      <w:r>
        <w:rPr>
          <w:color w:val="231F20"/>
          <w:spacing w:val="17"/>
          <w:w w:val="110"/>
        </w:rPr>
        <w:t> </w:t>
      </w:r>
      <w:r>
        <w:rPr>
          <w:color w:val="231F20"/>
          <w:w w:val="110"/>
        </w:rPr>
        <w:t>comunicación.</w:t>
      </w:r>
    </w:p>
    <w:p>
      <w:pPr>
        <w:pStyle w:val="BodyText"/>
        <w:spacing w:line="261" w:lineRule="auto"/>
        <w:ind w:left="100" w:right="117" w:firstLine="240"/>
        <w:jc w:val="both"/>
      </w:pPr>
      <w:r>
        <w:rPr>
          <w:color w:val="231F20"/>
          <w:w w:val="110"/>
        </w:rPr>
        <w:t>Como se puede apreciar, en relación con el plan de estabilización de la UE que marca un límite superior de 3% diseñado por el gran capital supuestamente para controlar los déficit fiscales de los</w:t>
      </w:r>
      <w:r>
        <w:rPr>
          <w:color w:val="231F20"/>
          <w:spacing w:val="-36"/>
          <w:w w:val="110"/>
        </w:rPr>
        <w:t> </w:t>
      </w:r>
      <w:r>
        <w:rPr>
          <w:color w:val="231F20"/>
          <w:w w:val="110"/>
        </w:rPr>
        <w:t>países de la Unión, Alemania es el país que más se acerca a esta meta, mientras que los demás, sobre todo los del sur de Europa, se alejan de ella, como es el caso de Grecia, de Irlanda, de España y</w:t>
      </w:r>
      <w:r>
        <w:rPr>
          <w:color w:val="231F20"/>
          <w:spacing w:val="-10"/>
          <w:w w:val="110"/>
        </w:rPr>
        <w:t> </w:t>
      </w:r>
      <w:r>
        <w:rPr>
          <w:color w:val="231F20"/>
          <w:w w:val="110"/>
        </w:rPr>
        <w:t>Portugal, que</w:t>
      </w:r>
      <w:r>
        <w:rPr>
          <w:color w:val="231F20"/>
          <w:spacing w:val="-6"/>
          <w:w w:val="110"/>
        </w:rPr>
        <w:t> </w:t>
      </w:r>
      <w:r>
        <w:rPr>
          <w:color w:val="231F20"/>
          <w:w w:val="110"/>
        </w:rPr>
        <w:t>son</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más</w:t>
      </w:r>
      <w:r>
        <w:rPr>
          <w:color w:val="231F20"/>
          <w:spacing w:val="-6"/>
          <w:w w:val="110"/>
        </w:rPr>
        <w:t> </w:t>
      </w:r>
      <w:r>
        <w:rPr>
          <w:color w:val="231F20"/>
          <w:w w:val="110"/>
        </w:rPr>
        <w:t>han</w:t>
      </w:r>
      <w:r>
        <w:rPr>
          <w:color w:val="231F20"/>
          <w:spacing w:val="-6"/>
          <w:w w:val="110"/>
        </w:rPr>
        <w:t> </w:t>
      </w:r>
      <w:r>
        <w:rPr>
          <w:color w:val="231F20"/>
          <w:w w:val="110"/>
        </w:rPr>
        <w:t>resentido</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en</w:t>
      </w:r>
      <w:r>
        <w:rPr>
          <w:color w:val="231F20"/>
          <w:spacing w:val="-6"/>
          <w:w w:val="110"/>
        </w:rPr>
        <w:t> </w:t>
      </w:r>
      <w:r>
        <w:rPr>
          <w:color w:val="231F20"/>
          <w:w w:val="110"/>
        </w:rPr>
        <w:t>todas</w:t>
      </w:r>
      <w:r>
        <w:rPr>
          <w:color w:val="231F20"/>
          <w:spacing w:val="-6"/>
          <w:w w:val="110"/>
        </w:rPr>
        <w:t> </w:t>
      </w:r>
      <w:r>
        <w:rPr>
          <w:color w:val="231F20"/>
          <w:w w:val="110"/>
        </w:rPr>
        <w:t>sus</w:t>
      </w:r>
      <w:r>
        <w:rPr>
          <w:color w:val="231F20"/>
          <w:spacing w:val="-6"/>
          <w:w w:val="110"/>
        </w:rPr>
        <w:t> </w:t>
      </w:r>
      <w:r>
        <w:rPr>
          <w:color w:val="231F20"/>
          <w:w w:val="110"/>
        </w:rPr>
        <w:t>dimensiones, sobre todo en la</w:t>
      </w:r>
      <w:r>
        <w:rPr>
          <w:color w:val="231F20"/>
          <w:spacing w:val="25"/>
          <w:w w:val="110"/>
        </w:rPr>
        <w:t> </w:t>
      </w:r>
      <w:r>
        <w:rPr>
          <w:color w:val="231F20"/>
          <w:w w:val="110"/>
        </w:rPr>
        <w:t>social.</w:t>
      </w:r>
    </w:p>
    <w:p>
      <w:pPr>
        <w:pStyle w:val="BodyText"/>
        <w:spacing w:before="2"/>
        <w:rPr>
          <w:sz w:val="24"/>
        </w:rPr>
      </w:pPr>
    </w:p>
    <w:p>
      <w:pPr>
        <w:spacing w:before="0"/>
        <w:ind w:left="100" w:right="0" w:firstLine="0"/>
        <w:jc w:val="both"/>
        <w:rPr>
          <w:sz w:val="18"/>
        </w:rPr>
      </w:pPr>
      <w:r>
        <w:rPr>
          <w:color w:val="231F20"/>
          <w:w w:val="120"/>
          <w:sz w:val="18"/>
        </w:rPr>
        <w:t>cuadro 3. déficit público de países europeos en proporción al   pib</w:t>
      </w:r>
    </w:p>
    <w:p>
      <w:pPr>
        <w:pStyle w:val="BodyText"/>
        <w:spacing w:before="5"/>
        <w:rPr>
          <w:sz w:val="7"/>
        </w:rPr>
      </w:pPr>
    </w:p>
    <w:tbl>
      <w:tblPr>
        <w:tblW w:w="0" w:type="auto"/>
        <w:jc w:val="left"/>
        <w:tblInd w:w="1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7"/>
        <w:gridCol w:w="1982"/>
      </w:tblGrid>
      <w:tr>
        <w:trPr>
          <w:trHeight w:val="240" w:hRule="exact"/>
        </w:trPr>
        <w:tc>
          <w:tcPr>
            <w:tcW w:w="1987" w:type="dxa"/>
            <w:tcBorders>
              <w:top w:val="single" w:sz="4" w:space="0" w:color="231F20"/>
              <w:bottom w:val="single" w:sz="4" w:space="0" w:color="231F20"/>
            </w:tcBorders>
          </w:tcPr>
          <w:p>
            <w:pPr>
              <w:pStyle w:val="TableParagraph"/>
              <w:spacing w:before="45"/>
              <w:ind w:left="824" w:right="825"/>
              <w:jc w:val="center"/>
              <w:rPr>
                <w:sz w:val="16"/>
              </w:rPr>
            </w:pPr>
            <w:r>
              <w:rPr>
                <w:color w:val="231F20"/>
                <w:w w:val="115"/>
                <w:sz w:val="16"/>
              </w:rPr>
              <w:t>país</w:t>
            </w:r>
          </w:p>
        </w:tc>
        <w:tc>
          <w:tcPr>
            <w:tcW w:w="1982" w:type="dxa"/>
            <w:tcBorders>
              <w:top w:val="single" w:sz="4" w:space="0" w:color="231F20"/>
              <w:bottom w:val="single" w:sz="4" w:space="0" w:color="231F20"/>
            </w:tcBorders>
          </w:tcPr>
          <w:p>
            <w:pPr>
              <w:pStyle w:val="TableParagraph"/>
              <w:spacing w:before="45"/>
              <w:ind w:right="1"/>
              <w:jc w:val="center"/>
              <w:rPr>
                <w:sz w:val="16"/>
              </w:rPr>
            </w:pPr>
            <w:r>
              <w:rPr>
                <w:color w:val="231F20"/>
                <w:w w:val="108"/>
                <w:sz w:val="16"/>
              </w:rPr>
              <w:t>%</w:t>
            </w:r>
          </w:p>
        </w:tc>
      </w:tr>
      <w:tr>
        <w:trPr>
          <w:trHeight w:val="277" w:hRule="exact"/>
        </w:trPr>
        <w:tc>
          <w:tcPr>
            <w:tcW w:w="1987" w:type="dxa"/>
            <w:tcBorders>
              <w:top w:val="single" w:sz="4" w:space="0" w:color="231F20"/>
            </w:tcBorders>
          </w:tcPr>
          <w:p>
            <w:pPr>
              <w:pStyle w:val="TableParagraph"/>
              <w:spacing w:before="45"/>
              <w:ind w:left="60"/>
              <w:rPr>
                <w:sz w:val="16"/>
              </w:rPr>
            </w:pPr>
            <w:r>
              <w:rPr>
                <w:color w:val="231F20"/>
                <w:w w:val="105"/>
                <w:sz w:val="16"/>
              </w:rPr>
              <w:t>Alemania</w:t>
            </w:r>
          </w:p>
        </w:tc>
        <w:tc>
          <w:tcPr>
            <w:tcW w:w="1982" w:type="dxa"/>
            <w:tcBorders>
              <w:top w:val="single" w:sz="4" w:space="0" w:color="231F20"/>
            </w:tcBorders>
          </w:tcPr>
          <w:p>
            <w:pPr>
              <w:pStyle w:val="TableParagraph"/>
              <w:spacing w:before="45"/>
              <w:ind w:right="839"/>
              <w:jc w:val="right"/>
              <w:rPr>
                <w:sz w:val="16"/>
              </w:rPr>
            </w:pPr>
            <w:r>
              <w:rPr>
                <w:color w:val="231F20"/>
                <w:sz w:val="16"/>
              </w:rPr>
              <w:t>3.7</w:t>
            </w:r>
          </w:p>
        </w:tc>
      </w:tr>
      <w:tr>
        <w:trPr>
          <w:trHeight w:val="240" w:hRule="exact"/>
        </w:trPr>
        <w:tc>
          <w:tcPr>
            <w:tcW w:w="1987" w:type="dxa"/>
          </w:tcPr>
          <w:p>
            <w:pPr>
              <w:pStyle w:val="TableParagraph"/>
              <w:spacing w:before="13"/>
              <w:ind w:left="60"/>
              <w:rPr>
                <w:sz w:val="16"/>
              </w:rPr>
            </w:pPr>
            <w:r>
              <w:rPr>
                <w:color w:val="231F20"/>
                <w:w w:val="105"/>
                <w:sz w:val="16"/>
              </w:rPr>
              <w:t>Italia</w:t>
            </w:r>
          </w:p>
        </w:tc>
        <w:tc>
          <w:tcPr>
            <w:tcW w:w="1982" w:type="dxa"/>
          </w:tcPr>
          <w:p>
            <w:pPr>
              <w:pStyle w:val="TableParagraph"/>
              <w:spacing w:before="13"/>
              <w:ind w:right="839"/>
              <w:jc w:val="right"/>
              <w:rPr>
                <w:sz w:val="16"/>
              </w:rPr>
            </w:pPr>
            <w:r>
              <w:rPr>
                <w:color w:val="231F20"/>
                <w:sz w:val="16"/>
              </w:rPr>
              <w:t>5.3</w:t>
            </w:r>
          </w:p>
        </w:tc>
      </w:tr>
      <w:tr>
        <w:trPr>
          <w:trHeight w:val="240" w:hRule="exact"/>
        </w:trPr>
        <w:tc>
          <w:tcPr>
            <w:tcW w:w="1987" w:type="dxa"/>
          </w:tcPr>
          <w:p>
            <w:pPr>
              <w:pStyle w:val="TableParagraph"/>
              <w:spacing w:before="13"/>
              <w:ind w:left="60"/>
              <w:rPr>
                <w:sz w:val="16"/>
              </w:rPr>
            </w:pPr>
            <w:r>
              <w:rPr>
                <w:color w:val="231F20"/>
                <w:w w:val="110"/>
                <w:sz w:val="16"/>
              </w:rPr>
              <w:t>Portugal</w:t>
            </w:r>
          </w:p>
        </w:tc>
        <w:tc>
          <w:tcPr>
            <w:tcW w:w="1982" w:type="dxa"/>
          </w:tcPr>
          <w:p>
            <w:pPr>
              <w:pStyle w:val="TableParagraph"/>
              <w:spacing w:before="13"/>
              <w:ind w:right="839"/>
              <w:jc w:val="right"/>
              <w:rPr>
                <w:sz w:val="16"/>
              </w:rPr>
            </w:pPr>
            <w:r>
              <w:rPr>
                <w:color w:val="231F20"/>
                <w:sz w:val="16"/>
              </w:rPr>
              <w:t>9.4</w:t>
            </w:r>
          </w:p>
        </w:tc>
      </w:tr>
      <w:tr>
        <w:trPr>
          <w:trHeight w:val="240" w:hRule="exact"/>
        </w:trPr>
        <w:tc>
          <w:tcPr>
            <w:tcW w:w="1987" w:type="dxa"/>
          </w:tcPr>
          <w:p>
            <w:pPr>
              <w:pStyle w:val="TableParagraph"/>
              <w:spacing w:before="13"/>
              <w:ind w:left="60"/>
              <w:rPr>
                <w:sz w:val="16"/>
              </w:rPr>
            </w:pPr>
            <w:r>
              <w:rPr>
                <w:color w:val="231F20"/>
                <w:w w:val="110"/>
                <w:sz w:val="16"/>
              </w:rPr>
              <w:t>España</w:t>
            </w:r>
          </w:p>
        </w:tc>
        <w:tc>
          <w:tcPr>
            <w:tcW w:w="1982" w:type="dxa"/>
          </w:tcPr>
          <w:p>
            <w:pPr>
              <w:pStyle w:val="TableParagraph"/>
              <w:spacing w:before="13"/>
              <w:ind w:right="839"/>
              <w:jc w:val="right"/>
              <w:rPr>
                <w:sz w:val="16"/>
              </w:rPr>
            </w:pPr>
            <w:r>
              <w:rPr>
                <w:color w:val="231F20"/>
                <w:w w:val="105"/>
                <w:sz w:val="16"/>
              </w:rPr>
              <w:t>11.1</w:t>
            </w:r>
          </w:p>
        </w:tc>
      </w:tr>
      <w:tr>
        <w:trPr>
          <w:trHeight w:val="240" w:hRule="exact"/>
        </w:trPr>
        <w:tc>
          <w:tcPr>
            <w:tcW w:w="1987" w:type="dxa"/>
          </w:tcPr>
          <w:p>
            <w:pPr>
              <w:pStyle w:val="TableParagraph"/>
              <w:spacing w:before="13"/>
              <w:ind w:left="60"/>
              <w:rPr>
                <w:sz w:val="16"/>
              </w:rPr>
            </w:pPr>
            <w:r>
              <w:rPr>
                <w:color w:val="231F20"/>
                <w:w w:val="110"/>
                <w:sz w:val="16"/>
              </w:rPr>
              <w:t>Gran Bretaña</w:t>
            </w:r>
          </w:p>
        </w:tc>
        <w:tc>
          <w:tcPr>
            <w:tcW w:w="1982" w:type="dxa"/>
          </w:tcPr>
          <w:p>
            <w:pPr>
              <w:pStyle w:val="TableParagraph"/>
              <w:spacing w:before="13"/>
              <w:ind w:right="839"/>
              <w:jc w:val="right"/>
              <w:rPr>
                <w:sz w:val="16"/>
              </w:rPr>
            </w:pPr>
            <w:r>
              <w:rPr>
                <w:color w:val="231F20"/>
                <w:w w:val="105"/>
                <w:sz w:val="16"/>
              </w:rPr>
              <w:t>11.5</w:t>
            </w:r>
          </w:p>
        </w:tc>
      </w:tr>
      <w:tr>
        <w:trPr>
          <w:trHeight w:val="240" w:hRule="exact"/>
        </w:trPr>
        <w:tc>
          <w:tcPr>
            <w:tcW w:w="1987" w:type="dxa"/>
          </w:tcPr>
          <w:p>
            <w:pPr>
              <w:pStyle w:val="TableParagraph"/>
              <w:spacing w:before="13"/>
              <w:ind w:left="60"/>
              <w:rPr>
                <w:sz w:val="16"/>
              </w:rPr>
            </w:pPr>
            <w:r>
              <w:rPr>
                <w:color w:val="231F20"/>
                <w:w w:val="110"/>
                <w:sz w:val="16"/>
              </w:rPr>
              <w:t>Irlanda</w:t>
            </w:r>
          </w:p>
        </w:tc>
        <w:tc>
          <w:tcPr>
            <w:tcW w:w="1982" w:type="dxa"/>
          </w:tcPr>
          <w:p>
            <w:pPr>
              <w:pStyle w:val="TableParagraph"/>
              <w:spacing w:before="13"/>
              <w:ind w:right="839"/>
              <w:jc w:val="right"/>
              <w:rPr>
                <w:sz w:val="16"/>
              </w:rPr>
            </w:pPr>
            <w:r>
              <w:rPr>
                <w:color w:val="231F20"/>
                <w:w w:val="105"/>
                <w:sz w:val="16"/>
              </w:rPr>
              <w:t>13.3</w:t>
            </w:r>
          </w:p>
        </w:tc>
      </w:tr>
      <w:tr>
        <w:trPr>
          <w:trHeight w:val="203" w:hRule="exact"/>
        </w:trPr>
        <w:tc>
          <w:tcPr>
            <w:tcW w:w="1987" w:type="dxa"/>
            <w:tcBorders>
              <w:bottom w:val="single" w:sz="4" w:space="0" w:color="231F20"/>
            </w:tcBorders>
          </w:tcPr>
          <w:p>
            <w:pPr>
              <w:pStyle w:val="TableParagraph"/>
              <w:spacing w:before="13"/>
              <w:ind w:left="60"/>
              <w:rPr>
                <w:sz w:val="16"/>
              </w:rPr>
            </w:pPr>
            <w:r>
              <w:rPr>
                <w:color w:val="231F20"/>
                <w:w w:val="105"/>
                <w:sz w:val="16"/>
              </w:rPr>
              <w:t>Grecia</w:t>
            </w:r>
          </w:p>
        </w:tc>
        <w:tc>
          <w:tcPr>
            <w:tcW w:w="1982" w:type="dxa"/>
            <w:tcBorders>
              <w:bottom w:val="single" w:sz="4" w:space="0" w:color="231F20"/>
            </w:tcBorders>
          </w:tcPr>
          <w:p>
            <w:pPr>
              <w:pStyle w:val="TableParagraph"/>
              <w:spacing w:before="13"/>
              <w:ind w:right="839"/>
              <w:jc w:val="right"/>
              <w:rPr>
                <w:sz w:val="16"/>
              </w:rPr>
            </w:pPr>
            <w:r>
              <w:rPr>
                <w:color w:val="231F20"/>
                <w:sz w:val="16"/>
              </w:rPr>
              <w:t>3.6</w:t>
            </w:r>
          </w:p>
        </w:tc>
      </w:tr>
    </w:tbl>
    <w:p>
      <w:pPr>
        <w:spacing w:before="74"/>
        <w:ind w:left="100" w:right="25" w:firstLine="0"/>
        <w:jc w:val="left"/>
        <w:rPr>
          <w:sz w:val="18"/>
        </w:rPr>
      </w:pPr>
      <w:r>
        <w:rPr>
          <w:rFonts w:ascii="Calibri"/>
          <w:color w:val="231F20"/>
          <w:w w:val="110"/>
          <w:sz w:val="18"/>
        </w:rPr>
        <w:t>fuente: </w:t>
      </w:r>
      <w:r>
        <w:rPr>
          <w:color w:val="231F20"/>
          <w:w w:val="110"/>
          <w:sz w:val="18"/>
        </w:rPr>
        <w:t>Banco Internacional de Pagos de  Basilea.</w:t>
      </w:r>
    </w:p>
    <w:p>
      <w:pPr>
        <w:spacing w:after="0"/>
        <w:jc w:val="left"/>
        <w:rPr>
          <w:sz w:val="18"/>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De este modo la contrapartida de la crisis fiscal, que ocurre en medio de la recesión y de graves problemas de sobreacumulación</w:t>
      </w:r>
      <w:r>
        <w:rPr>
          <w:color w:val="231F20"/>
          <w:spacing w:val="-24"/>
          <w:w w:val="110"/>
        </w:rPr>
        <w:t> </w:t>
      </w:r>
      <w:r>
        <w:rPr>
          <w:color w:val="231F20"/>
          <w:w w:val="110"/>
        </w:rPr>
        <w:t>de capital y disminución de la masa de plusvalía creada en el sistema, es el endeudamiento de las economías con bancos y acreedores y que, como reconoce el mismo fmi, pone al mundo en riesgo de otra </w:t>
      </w:r>
      <w:r>
        <w:rPr>
          <w:color w:val="231F20"/>
          <w:w w:val="105"/>
        </w:rPr>
        <w:t>nueva</w:t>
      </w:r>
      <w:r>
        <w:rPr>
          <w:color w:val="231F20"/>
          <w:spacing w:val="11"/>
          <w:w w:val="105"/>
        </w:rPr>
        <w:t> </w:t>
      </w:r>
      <w:r>
        <w:rPr>
          <w:color w:val="231F20"/>
          <w:w w:val="105"/>
        </w:rPr>
        <w:t>crisis.</w:t>
      </w:r>
    </w:p>
    <w:p>
      <w:pPr>
        <w:pStyle w:val="BodyText"/>
        <w:spacing w:line="261" w:lineRule="auto"/>
        <w:ind w:left="100" w:right="116" w:firstLine="240"/>
        <w:jc w:val="both"/>
      </w:pP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se</w:t>
      </w:r>
      <w:r>
        <w:rPr>
          <w:color w:val="231F20"/>
          <w:spacing w:val="-15"/>
          <w:w w:val="110"/>
        </w:rPr>
        <w:t> </w:t>
      </w:r>
      <w:r>
        <w:rPr>
          <w:color w:val="231F20"/>
          <w:w w:val="110"/>
        </w:rPr>
        <w:t>comienza</w:t>
      </w:r>
      <w:r>
        <w:rPr>
          <w:color w:val="231F20"/>
          <w:spacing w:val="-15"/>
          <w:w w:val="110"/>
        </w:rPr>
        <w:t> </w:t>
      </w:r>
      <w:r>
        <w:rPr>
          <w:color w:val="231F20"/>
          <w:w w:val="110"/>
        </w:rPr>
        <w:t>a</w:t>
      </w:r>
      <w:r>
        <w:rPr>
          <w:color w:val="231F20"/>
          <w:spacing w:val="-15"/>
          <w:w w:val="110"/>
        </w:rPr>
        <w:t> </w:t>
      </w:r>
      <w:r>
        <w:rPr>
          <w:color w:val="231F20"/>
          <w:w w:val="110"/>
        </w:rPr>
        <w:t>fracturar</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insolvencia</w:t>
      </w:r>
      <w:r>
        <w:rPr>
          <w:color w:val="231F20"/>
          <w:spacing w:val="-15"/>
          <w:w w:val="110"/>
        </w:rPr>
        <w:t> </w:t>
      </w:r>
      <w:r>
        <w:rPr>
          <w:color w:val="231F20"/>
          <w:w w:val="110"/>
        </w:rPr>
        <w:t>o</w:t>
      </w:r>
      <w:r>
        <w:rPr>
          <w:color w:val="231F20"/>
          <w:spacing w:val="-15"/>
          <w:w w:val="110"/>
        </w:rPr>
        <w:t> </w:t>
      </w:r>
      <w:r>
        <w:rPr>
          <w:color w:val="231F20"/>
          <w:w w:val="110"/>
        </w:rPr>
        <w:t>incapacidad de pagos de los países cuyo déficit es capitalistamente insostenible. Como se observa en el cuadro 4, destaca la deuda de Grecia que representa 115.1% de su producto interno bruto, la de Italia, 118%; la de Portugal, 76.8 y la de España, 53.2%, que se agravan por un creciente desempleo que, en la eurozona, se calcula oficialmente rebasa los 15 millones de personas y promete</w:t>
      </w:r>
      <w:r>
        <w:rPr>
          <w:color w:val="231F20"/>
          <w:spacing w:val="50"/>
          <w:w w:val="110"/>
        </w:rPr>
        <w:t> </w:t>
      </w:r>
      <w:r>
        <w:rPr>
          <w:color w:val="231F20"/>
          <w:w w:val="110"/>
        </w:rPr>
        <w:t>incrementarse.</w:t>
      </w:r>
    </w:p>
    <w:p>
      <w:pPr>
        <w:pStyle w:val="BodyText"/>
        <w:spacing w:before="2"/>
        <w:rPr>
          <w:sz w:val="24"/>
        </w:rPr>
      </w:pPr>
    </w:p>
    <w:p>
      <w:pPr>
        <w:spacing w:before="0"/>
        <w:ind w:left="100" w:right="25" w:firstLine="0"/>
        <w:jc w:val="left"/>
        <w:rPr>
          <w:sz w:val="18"/>
        </w:rPr>
      </w:pPr>
      <w:r>
        <w:rPr>
          <w:color w:val="231F20"/>
          <w:w w:val="120"/>
          <w:sz w:val="18"/>
        </w:rPr>
        <w:t>cuadro 4. deuda de países europeos en proporción al  pib</w:t>
      </w:r>
    </w:p>
    <w:p>
      <w:pPr>
        <w:pStyle w:val="BodyText"/>
        <w:spacing w:before="5"/>
        <w:rPr>
          <w:sz w:val="7"/>
        </w:rPr>
      </w:pPr>
    </w:p>
    <w:tbl>
      <w:tblPr>
        <w:tblW w:w="0" w:type="auto"/>
        <w:jc w:val="left"/>
        <w:tblInd w:w="15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0"/>
        <w:gridCol w:w="1735"/>
      </w:tblGrid>
      <w:tr>
        <w:trPr>
          <w:trHeight w:val="240" w:hRule="exact"/>
        </w:trPr>
        <w:tc>
          <w:tcPr>
            <w:tcW w:w="1430" w:type="dxa"/>
            <w:tcBorders>
              <w:top w:val="single" w:sz="4" w:space="0" w:color="231F20"/>
              <w:bottom w:val="single" w:sz="4" w:space="0" w:color="231F20"/>
            </w:tcBorders>
          </w:tcPr>
          <w:p>
            <w:pPr>
              <w:pStyle w:val="TableParagraph"/>
              <w:spacing w:before="24"/>
              <w:ind w:left="493" w:right="600"/>
              <w:jc w:val="center"/>
              <w:rPr>
                <w:sz w:val="16"/>
              </w:rPr>
            </w:pPr>
            <w:r>
              <w:rPr>
                <w:color w:val="231F20"/>
                <w:w w:val="115"/>
                <w:sz w:val="16"/>
              </w:rPr>
              <w:t>país</w:t>
            </w:r>
          </w:p>
        </w:tc>
        <w:tc>
          <w:tcPr>
            <w:tcW w:w="1735" w:type="dxa"/>
            <w:tcBorders>
              <w:top w:val="single" w:sz="4" w:space="0" w:color="231F20"/>
              <w:bottom w:val="single" w:sz="4" w:space="0" w:color="231F20"/>
            </w:tcBorders>
          </w:tcPr>
          <w:p>
            <w:pPr>
              <w:pStyle w:val="TableParagraph"/>
              <w:spacing w:before="24"/>
              <w:ind w:right="107"/>
              <w:jc w:val="center"/>
              <w:rPr>
                <w:sz w:val="16"/>
              </w:rPr>
            </w:pPr>
            <w:r>
              <w:rPr>
                <w:color w:val="231F20"/>
                <w:w w:val="108"/>
                <w:sz w:val="16"/>
              </w:rPr>
              <w:t>%</w:t>
            </w:r>
          </w:p>
        </w:tc>
      </w:tr>
      <w:tr>
        <w:trPr>
          <w:trHeight w:val="255" w:hRule="exact"/>
        </w:trPr>
        <w:tc>
          <w:tcPr>
            <w:tcW w:w="1430" w:type="dxa"/>
            <w:tcBorders>
              <w:top w:val="single" w:sz="4" w:space="0" w:color="231F20"/>
            </w:tcBorders>
          </w:tcPr>
          <w:p>
            <w:pPr>
              <w:pStyle w:val="TableParagraph"/>
              <w:spacing w:before="24"/>
              <w:ind w:left="40"/>
              <w:rPr>
                <w:sz w:val="16"/>
              </w:rPr>
            </w:pPr>
            <w:r>
              <w:rPr>
                <w:color w:val="231F20"/>
                <w:w w:val="110"/>
                <w:sz w:val="16"/>
              </w:rPr>
              <w:t>España</w:t>
            </w:r>
          </w:p>
        </w:tc>
        <w:tc>
          <w:tcPr>
            <w:tcW w:w="1735" w:type="dxa"/>
            <w:tcBorders>
              <w:top w:val="single" w:sz="4" w:space="0" w:color="231F20"/>
            </w:tcBorders>
          </w:tcPr>
          <w:p>
            <w:pPr>
              <w:pStyle w:val="TableParagraph"/>
              <w:spacing w:before="24"/>
              <w:ind w:right="774"/>
              <w:jc w:val="right"/>
              <w:rPr>
                <w:sz w:val="16"/>
              </w:rPr>
            </w:pPr>
            <w:r>
              <w:rPr>
                <w:color w:val="231F20"/>
                <w:w w:val="105"/>
                <w:sz w:val="16"/>
              </w:rPr>
              <w:t>53.2</w:t>
            </w:r>
          </w:p>
        </w:tc>
      </w:tr>
      <w:tr>
        <w:trPr>
          <w:trHeight w:val="240" w:hRule="exact"/>
        </w:trPr>
        <w:tc>
          <w:tcPr>
            <w:tcW w:w="1430" w:type="dxa"/>
          </w:tcPr>
          <w:p>
            <w:pPr>
              <w:pStyle w:val="TableParagraph"/>
              <w:spacing w:before="13"/>
              <w:ind w:left="40"/>
              <w:rPr>
                <w:sz w:val="16"/>
              </w:rPr>
            </w:pPr>
            <w:r>
              <w:rPr>
                <w:color w:val="231F20"/>
                <w:w w:val="105"/>
                <w:sz w:val="16"/>
              </w:rPr>
              <w:t>Alemania</w:t>
            </w:r>
          </w:p>
        </w:tc>
        <w:tc>
          <w:tcPr>
            <w:tcW w:w="1735" w:type="dxa"/>
          </w:tcPr>
          <w:p>
            <w:pPr>
              <w:pStyle w:val="TableParagraph"/>
              <w:spacing w:before="13"/>
              <w:ind w:left="668" w:right="775"/>
              <w:jc w:val="center"/>
              <w:rPr>
                <w:sz w:val="16"/>
              </w:rPr>
            </w:pPr>
            <w:r>
              <w:rPr>
                <w:color w:val="231F20"/>
                <w:w w:val="105"/>
                <w:sz w:val="16"/>
              </w:rPr>
              <w:t>76</w:t>
            </w:r>
          </w:p>
        </w:tc>
      </w:tr>
      <w:tr>
        <w:trPr>
          <w:trHeight w:val="240" w:hRule="exact"/>
        </w:trPr>
        <w:tc>
          <w:tcPr>
            <w:tcW w:w="1430" w:type="dxa"/>
          </w:tcPr>
          <w:p>
            <w:pPr>
              <w:pStyle w:val="TableParagraph"/>
              <w:spacing w:before="13"/>
              <w:ind w:left="40"/>
              <w:rPr>
                <w:sz w:val="16"/>
              </w:rPr>
            </w:pPr>
            <w:r>
              <w:rPr>
                <w:color w:val="231F20"/>
                <w:w w:val="110"/>
                <w:sz w:val="16"/>
              </w:rPr>
              <w:t>Portugal</w:t>
            </w:r>
          </w:p>
        </w:tc>
        <w:tc>
          <w:tcPr>
            <w:tcW w:w="1735" w:type="dxa"/>
          </w:tcPr>
          <w:p>
            <w:pPr>
              <w:pStyle w:val="TableParagraph"/>
              <w:spacing w:before="13"/>
              <w:ind w:right="774"/>
              <w:jc w:val="right"/>
              <w:rPr>
                <w:sz w:val="16"/>
              </w:rPr>
            </w:pPr>
            <w:r>
              <w:rPr>
                <w:color w:val="231F20"/>
                <w:w w:val="105"/>
                <w:sz w:val="16"/>
              </w:rPr>
              <w:t>76.8</w:t>
            </w:r>
          </w:p>
        </w:tc>
      </w:tr>
      <w:tr>
        <w:trPr>
          <w:trHeight w:val="240" w:hRule="exact"/>
        </w:trPr>
        <w:tc>
          <w:tcPr>
            <w:tcW w:w="1430" w:type="dxa"/>
          </w:tcPr>
          <w:p>
            <w:pPr>
              <w:pStyle w:val="TableParagraph"/>
              <w:spacing w:before="13"/>
              <w:ind w:left="40"/>
              <w:rPr>
                <w:sz w:val="16"/>
              </w:rPr>
            </w:pPr>
            <w:r>
              <w:rPr>
                <w:color w:val="231F20"/>
                <w:w w:val="105"/>
                <w:sz w:val="16"/>
              </w:rPr>
              <w:t>Grecia</w:t>
            </w:r>
          </w:p>
        </w:tc>
        <w:tc>
          <w:tcPr>
            <w:tcW w:w="1735" w:type="dxa"/>
          </w:tcPr>
          <w:p>
            <w:pPr>
              <w:pStyle w:val="TableParagraph"/>
              <w:spacing w:before="13"/>
              <w:ind w:right="733"/>
              <w:jc w:val="right"/>
              <w:rPr>
                <w:sz w:val="16"/>
              </w:rPr>
            </w:pPr>
            <w:r>
              <w:rPr>
                <w:color w:val="231F20"/>
                <w:sz w:val="16"/>
              </w:rPr>
              <w:t>115.1</w:t>
            </w:r>
          </w:p>
        </w:tc>
      </w:tr>
      <w:tr>
        <w:trPr>
          <w:trHeight w:val="225" w:hRule="exact"/>
        </w:trPr>
        <w:tc>
          <w:tcPr>
            <w:tcW w:w="1430" w:type="dxa"/>
            <w:tcBorders>
              <w:bottom w:val="single" w:sz="4" w:space="0" w:color="231F20"/>
            </w:tcBorders>
          </w:tcPr>
          <w:p>
            <w:pPr>
              <w:pStyle w:val="TableParagraph"/>
              <w:spacing w:before="13"/>
              <w:ind w:left="40"/>
              <w:rPr>
                <w:sz w:val="16"/>
              </w:rPr>
            </w:pPr>
            <w:r>
              <w:rPr>
                <w:color w:val="231F20"/>
                <w:w w:val="105"/>
                <w:sz w:val="16"/>
              </w:rPr>
              <w:t>Italia</w:t>
            </w:r>
          </w:p>
        </w:tc>
        <w:tc>
          <w:tcPr>
            <w:tcW w:w="1735" w:type="dxa"/>
            <w:tcBorders>
              <w:bottom w:val="single" w:sz="4" w:space="0" w:color="231F20"/>
            </w:tcBorders>
          </w:tcPr>
          <w:p>
            <w:pPr>
              <w:pStyle w:val="TableParagraph"/>
              <w:spacing w:before="13"/>
              <w:ind w:left="668" w:right="775"/>
              <w:jc w:val="center"/>
              <w:rPr>
                <w:sz w:val="16"/>
              </w:rPr>
            </w:pPr>
            <w:r>
              <w:rPr>
                <w:color w:val="231F20"/>
                <w:w w:val="105"/>
                <w:sz w:val="16"/>
              </w:rPr>
              <w:t>118</w:t>
            </w:r>
          </w:p>
        </w:tc>
      </w:tr>
    </w:tbl>
    <w:p>
      <w:pPr>
        <w:spacing w:before="74"/>
        <w:ind w:left="100" w:right="25" w:firstLine="0"/>
        <w:jc w:val="left"/>
        <w:rPr>
          <w:sz w:val="18"/>
        </w:rPr>
      </w:pPr>
      <w:r>
        <w:rPr>
          <w:rFonts w:ascii="Calibri"/>
          <w:color w:val="231F20"/>
          <w:w w:val="110"/>
          <w:sz w:val="18"/>
        </w:rPr>
        <w:t>fuente: </w:t>
      </w:r>
      <w:r>
        <w:rPr>
          <w:color w:val="231F20"/>
          <w:w w:val="110"/>
          <w:sz w:val="18"/>
        </w:rPr>
        <w:t>Banco Internacional de Pagos de  Basilea.</w:t>
      </w:r>
    </w:p>
    <w:p>
      <w:pPr>
        <w:pStyle w:val="BodyText"/>
        <w:rPr>
          <w:sz w:val="18"/>
        </w:rPr>
      </w:pPr>
    </w:p>
    <w:p>
      <w:pPr>
        <w:pStyle w:val="BodyText"/>
        <w:spacing w:before="3"/>
      </w:pPr>
    </w:p>
    <w:p>
      <w:pPr>
        <w:pStyle w:val="BodyText"/>
        <w:spacing w:line="261" w:lineRule="auto" w:before="1"/>
        <w:ind w:left="100" w:right="117" w:firstLine="252"/>
        <w:jc w:val="both"/>
      </w:pPr>
      <w:r>
        <w:rPr>
          <w:color w:val="231F20"/>
          <w:w w:val="110"/>
        </w:rPr>
        <w:t>En</w:t>
      </w:r>
      <w:r>
        <w:rPr>
          <w:color w:val="231F20"/>
          <w:spacing w:val="-14"/>
          <w:w w:val="110"/>
        </w:rPr>
        <w:t> </w:t>
      </w:r>
      <w:r>
        <w:rPr>
          <w:color w:val="231F20"/>
          <w:w w:val="110"/>
        </w:rPr>
        <w:t>particular,</w:t>
      </w:r>
      <w:r>
        <w:rPr>
          <w:color w:val="231F20"/>
          <w:spacing w:val="-14"/>
          <w:w w:val="110"/>
        </w:rPr>
        <w:t> </w:t>
      </w:r>
      <w:r>
        <w:rPr>
          <w:color w:val="231F20"/>
          <w:w w:val="110"/>
        </w:rPr>
        <w:t>la</w:t>
      </w:r>
      <w:r>
        <w:rPr>
          <w:color w:val="231F20"/>
          <w:spacing w:val="-14"/>
          <w:w w:val="110"/>
        </w:rPr>
        <w:t> </w:t>
      </w:r>
      <w:r>
        <w:rPr>
          <w:color w:val="231F20"/>
          <w:w w:val="110"/>
        </w:rPr>
        <w:t>deuda</w:t>
      </w:r>
      <w:r>
        <w:rPr>
          <w:color w:val="231F20"/>
          <w:spacing w:val="-14"/>
          <w:w w:val="110"/>
        </w:rPr>
        <w:t> </w:t>
      </w:r>
      <w:r>
        <w:rPr>
          <w:color w:val="231F20"/>
          <w:w w:val="110"/>
        </w:rPr>
        <w:t>Griega,</w:t>
      </w:r>
      <w:r>
        <w:rPr>
          <w:color w:val="231F20"/>
          <w:spacing w:val="-14"/>
          <w:w w:val="110"/>
        </w:rPr>
        <w:t> </w:t>
      </w:r>
      <w:r>
        <w:rPr>
          <w:color w:val="231F20"/>
          <w:w w:val="110"/>
        </w:rPr>
        <w:t>en</w:t>
      </w:r>
      <w:r>
        <w:rPr>
          <w:color w:val="231F20"/>
          <w:spacing w:val="-14"/>
          <w:w w:val="110"/>
        </w:rPr>
        <w:t> </w:t>
      </w:r>
      <w:r>
        <w:rPr>
          <w:color w:val="231F20"/>
          <w:w w:val="110"/>
        </w:rPr>
        <w:t>más</w:t>
      </w:r>
      <w:r>
        <w:rPr>
          <w:color w:val="231F20"/>
          <w:spacing w:val="-14"/>
          <w:w w:val="110"/>
        </w:rPr>
        <w:t> </w:t>
      </w:r>
      <w:r>
        <w:rPr>
          <w:color w:val="231F20"/>
          <w:w w:val="110"/>
        </w:rPr>
        <w:t>de</w:t>
      </w:r>
      <w:r>
        <w:rPr>
          <w:color w:val="231F20"/>
          <w:spacing w:val="-14"/>
          <w:w w:val="110"/>
        </w:rPr>
        <w:t> </w:t>
      </w:r>
      <w:r>
        <w:rPr>
          <w:color w:val="231F20"/>
          <w:w w:val="110"/>
        </w:rPr>
        <w:t>80%,</w:t>
      </w:r>
      <w:r>
        <w:rPr>
          <w:color w:val="231F20"/>
          <w:spacing w:val="-14"/>
          <w:w w:val="110"/>
        </w:rPr>
        <w:t> </w:t>
      </w:r>
      <w:r>
        <w:rPr>
          <w:color w:val="231F20"/>
          <w:w w:val="110"/>
        </w:rPr>
        <w:t>está</w:t>
      </w:r>
      <w:r>
        <w:rPr>
          <w:color w:val="231F20"/>
          <w:spacing w:val="-14"/>
          <w:w w:val="110"/>
        </w:rPr>
        <w:t> </w:t>
      </w:r>
      <w:r>
        <w:rPr>
          <w:color w:val="231F20"/>
          <w:w w:val="110"/>
        </w:rPr>
        <w:t>contratada</w:t>
      </w:r>
      <w:r>
        <w:rPr>
          <w:color w:val="231F20"/>
          <w:spacing w:val="-14"/>
          <w:w w:val="110"/>
        </w:rPr>
        <w:t> </w:t>
      </w:r>
      <w:r>
        <w:rPr>
          <w:color w:val="231F20"/>
          <w:w w:val="110"/>
        </w:rPr>
        <w:t>con bancos</w:t>
      </w:r>
      <w:r>
        <w:rPr>
          <w:color w:val="231F20"/>
          <w:spacing w:val="-6"/>
          <w:w w:val="110"/>
        </w:rPr>
        <w:t> </w:t>
      </w:r>
      <w:r>
        <w:rPr>
          <w:color w:val="231F20"/>
          <w:w w:val="110"/>
        </w:rPr>
        <w:t>alemanes</w:t>
      </w:r>
      <w:r>
        <w:rPr>
          <w:color w:val="231F20"/>
          <w:spacing w:val="-6"/>
          <w:w w:val="110"/>
        </w:rPr>
        <w:t> </w:t>
      </w:r>
      <w:r>
        <w:rPr>
          <w:color w:val="231F20"/>
          <w:w w:val="110"/>
        </w:rPr>
        <w:t>y</w:t>
      </w:r>
      <w:r>
        <w:rPr>
          <w:color w:val="231F20"/>
          <w:spacing w:val="-6"/>
          <w:w w:val="110"/>
        </w:rPr>
        <w:t> </w:t>
      </w:r>
      <w:r>
        <w:rPr>
          <w:color w:val="231F20"/>
          <w:w w:val="110"/>
        </w:rPr>
        <w:t>franceses</w:t>
      </w:r>
      <w:r>
        <w:rPr>
          <w:color w:val="231F20"/>
          <w:spacing w:val="-6"/>
          <w:w w:val="110"/>
        </w:rPr>
        <w:t> </w:t>
      </w:r>
      <w:r>
        <w:rPr>
          <w:color w:val="231F20"/>
          <w:w w:val="110"/>
        </w:rPr>
        <w:t>y</w:t>
      </w:r>
      <w:r>
        <w:rPr>
          <w:color w:val="231F20"/>
          <w:spacing w:val="-6"/>
          <w:w w:val="110"/>
        </w:rPr>
        <w:t> </w:t>
      </w:r>
      <w:r>
        <w:rPr>
          <w:color w:val="231F20"/>
          <w:w w:val="110"/>
        </w:rPr>
        <w:t>con</w:t>
      </w:r>
      <w:r>
        <w:rPr>
          <w:color w:val="231F20"/>
          <w:spacing w:val="-6"/>
          <w:w w:val="110"/>
        </w:rPr>
        <w:t> </w:t>
      </w:r>
      <w:r>
        <w:rPr>
          <w:color w:val="231F20"/>
          <w:w w:val="110"/>
        </w:rPr>
        <w:t>otros</w:t>
      </w:r>
      <w:r>
        <w:rPr>
          <w:color w:val="231F20"/>
          <w:spacing w:val="-6"/>
          <w:w w:val="110"/>
        </w:rPr>
        <w:t> </w:t>
      </w:r>
      <w:r>
        <w:rPr>
          <w:color w:val="231F20"/>
          <w:w w:val="110"/>
        </w:rPr>
        <w:t>países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Unión,</w:t>
      </w:r>
      <w:r>
        <w:rPr>
          <w:color w:val="231F20"/>
          <w:spacing w:val="-6"/>
          <w:w w:val="110"/>
        </w:rPr>
        <w:t> </w:t>
      </w:r>
      <w:r>
        <w:rPr>
          <w:color w:val="231F20"/>
          <w:w w:val="110"/>
        </w:rPr>
        <w:t>como</w:t>
      </w:r>
      <w:r>
        <w:rPr>
          <w:color w:val="231F20"/>
          <w:spacing w:val="-6"/>
          <w:w w:val="110"/>
        </w:rPr>
        <w:t> </w:t>
      </w:r>
      <w:r>
        <w:rPr>
          <w:color w:val="231F20"/>
          <w:w w:val="110"/>
        </w:rPr>
        <w:t>se puede observar en el cuadro </w:t>
      </w:r>
      <w:r>
        <w:rPr>
          <w:color w:val="231F20"/>
          <w:spacing w:val="14"/>
          <w:w w:val="110"/>
        </w:rPr>
        <w:t> </w:t>
      </w:r>
      <w:r>
        <w:rPr>
          <w:color w:val="231F20"/>
          <w:w w:val="110"/>
        </w:rPr>
        <w:t>5.</w:t>
      </w:r>
    </w:p>
    <w:p>
      <w:pPr>
        <w:pStyle w:val="BodyText"/>
        <w:spacing w:line="261" w:lineRule="auto"/>
        <w:ind w:left="100" w:right="111" w:firstLine="240"/>
        <w:jc w:val="both"/>
      </w:pPr>
      <w:r>
        <w:rPr>
          <w:color w:val="231F20"/>
          <w:w w:val="110"/>
        </w:rPr>
        <w:t>En el </w:t>
      </w:r>
      <w:r>
        <w:rPr>
          <w:color w:val="231F20"/>
          <w:spacing w:val="3"/>
          <w:w w:val="110"/>
        </w:rPr>
        <w:t>caso </w:t>
      </w:r>
      <w:r>
        <w:rPr>
          <w:color w:val="231F20"/>
          <w:w w:val="110"/>
        </w:rPr>
        <w:t>de </w:t>
      </w:r>
      <w:r>
        <w:rPr>
          <w:color w:val="231F20"/>
          <w:spacing w:val="2"/>
          <w:w w:val="110"/>
        </w:rPr>
        <w:t>los </w:t>
      </w:r>
      <w:r>
        <w:rPr>
          <w:color w:val="231F20"/>
          <w:spacing w:val="3"/>
          <w:w w:val="110"/>
        </w:rPr>
        <w:t>bancos alemanes (segundos acreedores </w:t>
      </w:r>
      <w:r>
        <w:rPr>
          <w:color w:val="231F20"/>
          <w:spacing w:val="4"/>
          <w:w w:val="110"/>
        </w:rPr>
        <w:t>de </w:t>
      </w:r>
      <w:r>
        <w:rPr>
          <w:color w:val="231F20"/>
          <w:w w:val="110"/>
        </w:rPr>
        <w:t>Grecia en el seno de la Unión Europea) 7 900 millones de euros corresponden al banco hipotecario Hypo Real Estate, nacionalizado el año pasado debido a las dificultades para sobrevivir sin declarar la suspensión de pagos. El segundo banco alemán acreedor de la deuda Griega es el Commerzbank (uno de los líderes del sistema bancario alemán con sucursales en más de 40 países en el mundo)   a quien el país helénico le debe 3 100 millones de euros, mientras que al Deutsche Postbank Group (uno de los principales bancos de Alemania proveedor de servicios financieros que se encuentra en manos del Estado), le debe 1 300 millones de euros en bonos y</w:t>
      </w:r>
      <w:r>
        <w:rPr>
          <w:color w:val="231F20"/>
          <w:spacing w:val="-29"/>
          <w:w w:val="110"/>
        </w:rPr>
        <w:t> </w:t>
      </w:r>
      <w:r>
        <w:rPr>
          <w:color w:val="231F20"/>
          <w:w w:val="110"/>
        </w:rPr>
        <w:t>otros productos financieros griegos.</w:t>
      </w:r>
    </w:p>
    <w:p>
      <w:pPr>
        <w:spacing w:after="0" w:line="261" w:lineRule="auto"/>
        <w:jc w:val="both"/>
        <w:sectPr>
          <w:pgSz w:w="7640" w:h="11900"/>
          <w:pgMar w:header="672" w:footer="0" w:top="860" w:bottom="280" w:left="780" w:right="640"/>
        </w:sectPr>
      </w:pPr>
    </w:p>
    <w:p>
      <w:pPr>
        <w:pStyle w:val="BodyText"/>
        <w:spacing w:before="1"/>
        <w:rPr>
          <w:sz w:val="16"/>
        </w:rPr>
      </w:pPr>
    </w:p>
    <w:p>
      <w:pPr>
        <w:spacing w:line="290" w:lineRule="auto" w:before="70" w:after="44"/>
        <w:ind w:left="100" w:right="766" w:firstLine="0"/>
        <w:jc w:val="left"/>
        <w:rPr>
          <w:sz w:val="18"/>
        </w:rPr>
      </w:pPr>
      <w:r>
        <w:rPr>
          <w:color w:val="231F20"/>
          <w:w w:val="130"/>
          <w:sz w:val="18"/>
        </w:rPr>
        <w:t>cuadro</w:t>
      </w:r>
      <w:r>
        <w:rPr>
          <w:color w:val="231F20"/>
          <w:spacing w:val="-21"/>
          <w:w w:val="130"/>
          <w:sz w:val="18"/>
        </w:rPr>
        <w:t> </w:t>
      </w:r>
      <w:r>
        <w:rPr>
          <w:color w:val="231F20"/>
          <w:w w:val="130"/>
          <w:sz w:val="18"/>
        </w:rPr>
        <w:t>5.</w:t>
      </w:r>
      <w:r>
        <w:rPr>
          <w:color w:val="231F20"/>
          <w:spacing w:val="-21"/>
          <w:w w:val="130"/>
          <w:sz w:val="18"/>
        </w:rPr>
        <w:t> </w:t>
      </w:r>
      <w:r>
        <w:rPr>
          <w:color w:val="231F20"/>
          <w:w w:val="130"/>
          <w:sz w:val="18"/>
        </w:rPr>
        <w:t>estructura</w:t>
      </w:r>
      <w:r>
        <w:rPr>
          <w:color w:val="231F20"/>
          <w:spacing w:val="-21"/>
          <w:w w:val="130"/>
          <w:sz w:val="18"/>
        </w:rPr>
        <w:t> </w:t>
      </w:r>
      <w:r>
        <w:rPr>
          <w:color w:val="231F20"/>
          <w:w w:val="130"/>
          <w:sz w:val="18"/>
        </w:rPr>
        <w:t>de</w:t>
      </w:r>
      <w:r>
        <w:rPr>
          <w:color w:val="231F20"/>
          <w:spacing w:val="-21"/>
          <w:w w:val="130"/>
          <w:sz w:val="18"/>
        </w:rPr>
        <w:t> </w:t>
      </w:r>
      <w:r>
        <w:rPr>
          <w:color w:val="231F20"/>
          <w:w w:val="130"/>
          <w:sz w:val="18"/>
        </w:rPr>
        <w:t>la</w:t>
      </w:r>
      <w:r>
        <w:rPr>
          <w:color w:val="231F20"/>
          <w:spacing w:val="-21"/>
          <w:w w:val="130"/>
          <w:sz w:val="18"/>
        </w:rPr>
        <w:t> </w:t>
      </w:r>
      <w:r>
        <w:rPr>
          <w:color w:val="231F20"/>
          <w:w w:val="130"/>
          <w:sz w:val="18"/>
        </w:rPr>
        <w:t>deuda</w:t>
      </w:r>
      <w:r>
        <w:rPr>
          <w:color w:val="231F20"/>
          <w:spacing w:val="-21"/>
          <w:w w:val="130"/>
          <w:sz w:val="18"/>
        </w:rPr>
        <w:t> </w:t>
      </w:r>
      <w:r>
        <w:rPr>
          <w:color w:val="231F20"/>
          <w:w w:val="130"/>
          <w:sz w:val="18"/>
        </w:rPr>
        <w:t>griega</w:t>
      </w:r>
      <w:r>
        <w:rPr>
          <w:color w:val="231F20"/>
          <w:spacing w:val="-21"/>
          <w:w w:val="130"/>
          <w:sz w:val="18"/>
        </w:rPr>
        <w:t> </w:t>
      </w:r>
      <w:r>
        <w:rPr>
          <w:color w:val="231F20"/>
          <w:w w:val="130"/>
          <w:sz w:val="18"/>
        </w:rPr>
        <w:t>por</w:t>
      </w:r>
      <w:r>
        <w:rPr>
          <w:color w:val="231F20"/>
          <w:spacing w:val="-21"/>
          <w:w w:val="130"/>
          <w:sz w:val="18"/>
        </w:rPr>
        <w:t> </w:t>
      </w:r>
      <w:r>
        <w:rPr>
          <w:color w:val="231F20"/>
          <w:w w:val="130"/>
          <w:sz w:val="18"/>
        </w:rPr>
        <w:t>países</w:t>
      </w:r>
      <w:r>
        <w:rPr>
          <w:color w:val="231F20"/>
          <w:spacing w:val="-21"/>
          <w:w w:val="130"/>
          <w:sz w:val="18"/>
        </w:rPr>
        <w:t> </w:t>
      </w:r>
      <w:r>
        <w:rPr>
          <w:color w:val="231F20"/>
          <w:w w:val="130"/>
          <w:sz w:val="18"/>
        </w:rPr>
        <w:t>europeos </w:t>
      </w:r>
      <w:r>
        <w:rPr>
          <w:color w:val="231F20"/>
          <w:w w:val="125"/>
          <w:sz w:val="18"/>
        </w:rPr>
        <w:t>(millones de</w:t>
      </w:r>
      <w:r>
        <w:rPr>
          <w:color w:val="231F20"/>
          <w:spacing w:val="-14"/>
          <w:w w:val="125"/>
          <w:sz w:val="18"/>
        </w:rPr>
        <w:t> </w:t>
      </w:r>
      <w:r>
        <w:rPr>
          <w:color w:val="231F20"/>
          <w:w w:val="125"/>
          <w:sz w:val="18"/>
        </w:rPr>
        <w:t>euros)</w:t>
      </w:r>
    </w:p>
    <w:tbl>
      <w:tblPr>
        <w:tblW w:w="0" w:type="auto"/>
        <w:jc w:val="left"/>
        <w:tblInd w:w="4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3"/>
        <w:gridCol w:w="3209"/>
      </w:tblGrid>
      <w:tr>
        <w:trPr>
          <w:trHeight w:val="280" w:hRule="exact"/>
        </w:trPr>
        <w:tc>
          <w:tcPr>
            <w:tcW w:w="2003" w:type="dxa"/>
            <w:tcBorders>
              <w:top w:val="single" w:sz="4" w:space="0" w:color="231F20"/>
              <w:bottom w:val="single" w:sz="4" w:space="0" w:color="231F20"/>
            </w:tcBorders>
          </w:tcPr>
          <w:p>
            <w:pPr>
              <w:pStyle w:val="TableParagraph"/>
              <w:spacing w:before="44"/>
              <w:ind w:left="859" w:right="807"/>
              <w:jc w:val="center"/>
              <w:rPr>
                <w:sz w:val="16"/>
              </w:rPr>
            </w:pPr>
            <w:r>
              <w:rPr>
                <w:color w:val="231F20"/>
                <w:w w:val="115"/>
                <w:sz w:val="16"/>
              </w:rPr>
              <w:t>país</w:t>
            </w:r>
          </w:p>
        </w:tc>
        <w:tc>
          <w:tcPr>
            <w:tcW w:w="3209" w:type="dxa"/>
            <w:tcBorders>
              <w:top w:val="single" w:sz="4" w:space="0" w:color="231F20"/>
              <w:bottom w:val="single" w:sz="4" w:space="0" w:color="231F20"/>
            </w:tcBorders>
          </w:tcPr>
          <w:p>
            <w:pPr>
              <w:pStyle w:val="TableParagraph"/>
              <w:spacing w:before="44"/>
              <w:ind w:left="1234" w:right="1217"/>
              <w:jc w:val="center"/>
              <w:rPr>
                <w:sz w:val="16"/>
              </w:rPr>
            </w:pPr>
            <w:r>
              <w:rPr>
                <w:color w:val="231F20"/>
                <w:w w:val="120"/>
                <w:sz w:val="16"/>
              </w:rPr>
              <w:t>monto</w:t>
            </w:r>
          </w:p>
        </w:tc>
      </w:tr>
      <w:tr>
        <w:trPr>
          <w:trHeight w:val="295" w:hRule="exact"/>
        </w:trPr>
        <w:tc>
          <w:tcPr>
            <w:tcW w:w="2003" w:type="dxa"/>
            <w:tcBorders>
              <w:top w:val="single" w:sz="4" w:space="0" w:color="231F20"/>
            </w:tcBorders>
          </w:tcPr>
          <w:p>
            <w:pPr>
              <w:pStyle w:val="TableParagraph"/>
              <w:spacing w:before="44"/>
              <w:ind w:left="75"/>
              <w:rPr>
                <w:sz w:val="16"/>
              </w:rPr>
            </w:pPr>
            <w:r>
              <w:rPr>
                <w:color w:val="231F20"/>
                <w:w w:val="110"/>
                <w:sz w:val="16"/>
              </w:rPr>
              <w:t>Francia</w:t>
            </w:r>
          </w:p>
        </w:tc>
        <w:tc>
          <w:tcPr>
            <w:tcW w:w="3209" w:type="dxa"/>
            <w:tcBorders>
              <w:top w:val="single" w:sz="4" w:space="0" w:color="231F20"/>
            </w:tcBorders>
          </w:tcPr>
          <w:p>
            <w:pPr>
              <w:pStyle w:val="TableParagraph"/>
              <w:spacing w:before="44"/>
              <w:ind w:left="830"/>
              <w:rPr>
                <w:sz w:val="16"/>
              </w:rPr>
            </w:pPr>
            <w:r>
              <w:rPr>
                <w:color w:val="231F20"/>
                <w:w w:val="110"/>
                <w:sz w:val="16"/>
              </w:rPr>
              <w:t>75 172 (40% del total)</w:t>
            </w:r>
          </w:p>
        </w:tc>
      </w:tr>
      <w:tr>
        <w:trPr>
          <w:trHeight w:val="280" w:hRule="exact"/>
        </w:trPr>
        <w:tc>
          <w:tcPr>
            <w:tcW w:w="2003" w:type="dxa"/>
          </w:tcPr>
          <w:p>
            <w:pPr>
              <w:pStyle w:val="TableParagraph"/>
              <w:spacing w:before="33"/>
              <w:ind w:left="75"/>
              <w:rPr>
                <w:sz w:val="16"/>
              </w:rPr>
            </w:pPr>
            <w:r>
              <w:rPr>
                <w:color w:val="231F20"/>
                <w:w w:val="105"/>
                <w:sz w:val="16"/>
              </w:rPr>
              <w:t>Alemania</w:t>
            </w:r>
          </w:p>
        </w:tc>
        <w:tc>
          <w:tcPr>
            <w:tcW w:w="3209" w:type="dxa"/>
          </w:tcPr>
          <w:p>
            <w:pPr>
              <w:pStyle w:val="TableParagraph"/>
              <w:spacing w:before="33"/>
              <w:ind w:left="1347" w:right="1076"/>
              <w:jc w:val="center"/>
              <w:rPr>
                <w:sz w:val="16"/>
              </w:rPr>
            </w:pPr>
            <w:r>
              <w:rPr>
                <w:color w:val="231F20"/>
                <w:w w:val="105"/>
                <w:sz w:val="16"/>
              </w:rPr>
              <w:t>45 003</w:t>
            </w:r>
          </w:p>
        </w:tc>
      </w:tr>
      <w:tr>
        <w:trPr>
          <w:trHeight w:val="280" w:hRule="exact"/>
        </w:trPr>
        <w:tc>
          <w:tcPr>
            <w:tcW w:w="2003" w:type="dxa"/>
          </w:tcPr>
          <w:p>
            <w:pPr>
              <w:pStyle w:val="TableParagraph"/>
              <w:spacing w:before="33"/>
              <w:ind w:left="75"/>
              <w:rPr>
                <w:sz w:val="16"/>
              </w:rPr>
            </w:pPr>
            <w:r>
              <w:rPr>
                <w:color w:val="231F20"/>
                <w:w w:val="110"/>
                <w:sz w:val="16"/>
              </w:rPr>
              <w:t>Gran Bretaña</w:t>
            </w:r>
          </w:p>
        </w:tc>
        <w:tc>
          <w:tcPr>
            <w:tcW w:w="3209" w:type="dxa"/>
          </w:tcPr>
          <w:p>
            <w:pPr>
              <w:pStyle w:val="TableParagraph"/>
              <w:spacing w:before="33"/>
              <w:ind w:left="1347" w:right="1076"/>
              <w:jc w:val="center"/>
              <w:rPr>
                <w:sz w:val="16"/>
              </w:rPr>
            </w:pPr>
            <w:r>
              <w:rPr>
                <w:color w:val="231F20"/>
                <w:w w:val="105"/>
                <w:sz w:val="16"/>
              </w:rPr>
              <w:t>15 089</w:t>
            </w:r>
          </w:p>
        </w:tc>
      </w:tr>
      <w:tr>
        <w:trPr>
          <w:trHeight w:val="280" w:hRule="exact"/>
        </w:trPr>
        <w:tc>
          <w:tcPr>
            <w:tcW w:w="2003" w:type="dxa"/>
          </w:tcPr>
          <w:p>
            <w:pPr>
              <w:pStyle w:val="TableParagraph"/>
              <w:spacing w:before="33"/>
              <w:ind w:left="75"/>
              <w:rPr>
                <w:sz w:val="16"/>
              </w:rPr>
            </w:pPr>
            <w:r>
              <w:rPr>
                <w:color w:val="231F20"/>
                <w:w w:val="110"/>
                <w:sz w:val="16"/>
              </w:rPr>
              <w:t>Holanda</w:t>
            </w:r>
          </w:p>
        </w:tc>
        <w:tc>
          <w:tcPr>
            <w:tcW w:w="3209" w:type="dxa"/>
          </w:tcPr>
          <w:p>
            <w:pPr>
              <w:pStyle w:val="TableParagraph"/>
              <w:spacing w:before="33"/>
              <w:ind w:left="1347" w:right="1076"/>
              <w:jc w:val="center"/>
              <w:rPr>
                <w:sz w:val="16"/>
              </w:rPr>
            </w:pPr>
            <w:r>
              <w:rPr>
                <w:color w:val="231F20"/>
                <w:w w:val="105"/>
                <w:sz w:val="16"/>
              </w:rPr>
              <w:t>11 892</w:t>
            </w:r>
          </w:p>
        </w:tc>
      </w:tr>
      <w:tr>
        <w:trPr>
          <w:trHeight w:val="280" w:hRule="exact"/>
        </w:trPr>
        <w:tc>
          <w:tcPr>
            <w:tcW w:w="2003" w:type="dxa"/>
          </w:tcPr>
          <w:p>
            <w:pPr>
              <w:pStyle w:val="TableParagraph"/>
              <w:spacing w:before="33"/>
              <w:ind w:left="75"/>
              <w:rPr>
                <w:sz w:val="16"/>
              </w:rPr>
            </w:pPr>
            <w:r>
              <w:rPr>
                <w:color w:val="231F20"/>
                <w:w w:val="105"/>
                <w:sz w:val="16"/>
              </w:rPr>
              <w:t>Italia</w:t>
            </w:r>
          </w:p>
        </w:tc>
        <w:tc>
          <w:tcPr>
            <w:tcW w:w="3209" w:type="dxa"/>
          </w:tcPr>
          <w:p>
            <w:pPr>
              <w:pStyle w:val="TableParagraph"/>
              <w:spacing w:before="33"/>
              <w:ind w:left="1347" w:right="993"/>
              <w:jc w:val="center"/>
              <w:rPr>
                <w:sz w:val="16"/>
              </w:rPr>
            </w:pPr>
            <w:r>
              <w:rPr>
                <w:color w:val="231F20"/>
                <w:w w:val="105"/>
                <w:sz w:val="16"/>
              </w:rPr>
              <w:t>6 924</w:t>
            </w:r>
          </w:p>
        </w:tc>
      </w:tr>
      <w:tr>
        <w:trPr>
          <w:trHeight w:val="280" w:hRule="exact"/>
        </w:trPr>
        <w:tc>
          <w:tcPr>
            <w:tcW w:w="2003" w:type="dxa"/>
          </w:tcPr>
          <w:p>
            <w:pPr>
              <w:pStyle w:val="TableParagraph"/>
              <w:spacing w:before="33"/>
              <w:ind w:left="75"/>
              <w:rPr>
                <w:sz w:val="16"/>
              </w:rPr>
            </w:pPr>
            <w:r>
              <w:rPr>
                <w:color w:val="231F20"/>
                <w:w w:val="105"/>
                <w:sz w:val="16"/>
              </w:rPr>
              <w:t>Bélgica</w:t>
            </w:r>
          </w:p>
        </w:tc>
        <w:tc>
          <w:tcPr>
            <w:tcW w:w="3209" w:type="dxa"/>
          </w:tcPr>
          <w:p>
            <w:pPr>
              <w:pStyle w:val="TableParagraph"/>
              <w:spacing w:before="33"/>
              <w:ind w:left="1347" w:right="993"/>
              <w:jc w:val="center"/>
              <w:rPr>
                <w:sz w:val="16"/>
              </w:rPr>
            </w:pPr>
            <w:r>
              <w:rPr>
                <w:color w:val="231F20"/>
                <w:w w:val="105"/>
                <w:sz w:val="16"/>
              </w:rPr>
              <w:t>3 600</w:t>
            </w:r>
          </w:p>
        </w:tc>
      </w:tr>
      <w:tr>
        <w:trPr>
          <w:trHeight w:val="280" w:hRule="exact"/>
        </w:trPr>
        <w:tc>
          <w:tcPr>
            <w:tcW w:w="2003" w:type="dxa"/>
          </w:tcPr>
          <w:p>
            <w:pPr>
              <w:pStyle w:val="TableParagraph"/>
              <w:spacing w:before="33"/>
              <w:ind w:left="75"/>
              <w:rPr>
                <w:sz w:val="16"/>
              </w:rPr>
            </w:pPr>
            <w:r>
              <w:rPr>
                <w:color w:val="231F20"/>
                <w:w w:val="105"/>
                <w:sz w:val="16"/>
              </w:rPr>
              <w:t>Austria</w:t>
            </w:r>
          </w:p>
        </w:tc>
        <w:tc>
          <w:tcPr>
            <w:tcW w:w="3209" w:type="dxa"/>
          </w:tcPr>
          <w:p>
            <w:pPr>
              <w:pStyle w:val="TableParagraph"/>
              <w:spacing w:before="33"/>
              <w:ind w:left="1347" w:right="993"/>
              <w:jc w:val="center"/>
              <w:rPr>
                <w:sz w:val="16"/>
              </w:rPr>
            </w:pPr>
            <w:r>
              <w:rPr>
                <w:color w:val="231F20"/>
                <w:w w:val="105"/>
                <w:sz w:val="16"/>
              </w:rPr>
              <w:t>4 649</w:t>
            </w:r>
          </w:p>
        </w:tc>
      </w:tr>
      <w:tr>
        <w:trPr>
          <w:trHeight w:val="280" w:hRule="exact"/>
        </w:trPr>
        <w:tc>
          <w:tcPr>
            <w:tcW w:w="2003" w:type="dxa"/>
          </w:tcPr>
          <w:p>
            <w:pPr>
              <w:pStyle w:val="TableParagraph"/>
              <w:spacing w:before="33"/>
              <w:ind w:left="75"/>
              <w:rPr>
                <w:sz w:val="16"/>
              </w:rPr>
            </w:pPr>
            <w:r>
              <w:rPr>
                <w:color w:val="231F20"/>
                <w:w w:val="110"/>
                <w:sz w:val="16"/>
              </w:rPr>
              <w:t>España</w:t>
            </w:r>
          </w:p>
        </w:tc>
        <w:tc>
          <w:tcPr>
            <w:tcW w:w="3209" w:type="dxa"/>
          </w:tcPr>
          <w:p>
            <w:pPr>
              <w:pStyle w:val="TableParagraph"/>
              <w:spacing w:before="33"/>
              <w:ind w:left="1347" w:right="993"/>
              <w:jc w:val="center"/>
              <w:rPr>
                <w:sz w:val="16"/>
              </w:rPr>
            </w:pPr>
            <w:r>
              <w:rPr>
                <w:color w:val="231F20"/>
                <w:w w:val="105"/>
                <w:sz w:val="16"/>
              </w:rPr>
              <w:t>1 273</w:t>
            </w:r>
          </w:p>
        </w:tc>
      </w:tr>
      <w:tr>
        <w:trPr>
          <w:trHeight w:val="301" w:hRule="exact"/>
        </w:trPr>
        <w:tc>
          <w:tcPr>
            <w:tcW w:w="2003" w:type="dxa"/>
          </w:tcPr>
          <w:p>
            <w:pPr>
              <w:pStyle w:val="TableParagraph"/>
              <w:spacing w:before="33"/>
              <w:ind w:left="75"/>
              <w:rPr>
                <w:sz w:val="16"/>
              </w:rPr>
            </w:pPr>
            <w:r>
              <w:rPr>
                <w:color w:val="231F20"/>
                <w:w w:val="105"/>
                <w:sz w:val="16"/>
              </w:rPr>
              <w:t>Suecia</w:t>
            </w:r>
          </w:p>
        </w:tc>
        <w:tc>
          <w:tcPr>
            <w:tcW w:w="3209" w:type="dxa"/>
          </w:tcPr>
          <w:p>
            <w:pPr>
              <w:pStyle w:val="TableParagraph"/>
              <w:spacing w:before="33"/>
              <w:ind w:left="1347" w:right="868"/>
              <w:jc w:val="center"/>
              <w:rPr>
                <w:sz w:val="16"/>
              </w:rPr>
            </w:pPr>
            <w:r>
              <w:rPr>
                <w:color w:val="231F20"/>
                <w:w w:val="105"/>
                <w:sz w:val="16"/>
              </w:rPr>
              <w:t>684</w:t>
            </w:r>
          </w:p>
        </w:tc>
      </w:tr>
      <w:tr>
        <w:trPr>
          <w:trHeight w:val="280" w:hRule="exact"/>
        </w:trPr>
        <w:tc>
          <w:tcPr>
            <w:tcW w:w="2003" w:type="dxa"/>
          </w:tcPr>
          <w:p>
            <w:pPr>
              <w:pStyle w:val="TableParagraph"/>
              <w:spacing w:before="54"/>
              <w:ind w:left="35"/>
              <w:rPr>
                <w:sz w:val="16"/>
              </w:rPr>
            </w:pPr>
            <w:r>
              <w:rPr>
                <w:color w:val="231F20"/>
                <w:w w:val="110"/>
                <w:sz w:val="16"/>
              </w:rPr>
              <w:t>Portugal</w:t>
            </w:r>
          </w:p>
        </w:tc>
        <w:tc>
          <w:tcPr>
            <w:tcW w:w="3209" w:type="dxa"/>
          </w:tcPr>
          <w:p>
            <w:pPr>
              <w:pStyle w:val="TableParagraph"/>
              <w:spacing w:before="54"/>
              <w:ind w:left="1347" w:right="993"/>
              <w:jc w:val="center"/>
              <w:rPr>
                <w:sz w:val="16"/>
              </w:rPr>
            </w:pPr>
            <w:r>
              <w:rPr>
                <w:color w:val="231F20"/>
                <w:w w:val="105"/>
                <w:sz w:val="16"/>
              </w:rPr>
              <w:t>9 746</w:t>
            </w:r>
          </w:p>
        </w:tc>
      </w:tr>
      <w:tr>
        <w:trPr>
          <w:trHeight w:val="259" w:hRule="exact"/>
        </w:trPr>
        <w:tc>
          <w:tcPr>
            <w:tcW w:w="2003" w:type="dxa"/>
          </w:tcPr>
          <w:p>
            <w:pPr>
              <w:pStyle w:val="TableParagraph"/>
              <w:spacing w:before="13"/>
              <w:ind w:left="75"/>
              <w:rPr>
                <w:sz w:val="16"/>
              </w:rPr>
            </w:pPr>
            <w:r>
              <w:rPr>
                <w:color w:val="231F20"/>
                <w:w w:val="110"/>
                <w:sz w:val="16"/>
              </w:rPr>
              <w:t>Irlanda</w:t>
            </w:r>
          </w:p>
        </w:tc>
        <w:tc>
          <w:tcPr>
            <w:tcW w:w="3209" w:type="dxa"/>
          </w:tcPr>
          <w:p>
            <w:pPr>
              <w:pStyle w:val="TableParagraph"/>
              <w:spacing w:before="13"/>
              <w:ind w:left="1347" w:right="993"/>
              <w:jc w:val="center"/>
              <w:rPr>
                <w:sz w:val="16"/>
              </w:rPr>
            </w:pPr>
            <w:r>
              <w:rPr>
                <w:color w:val="231F20"/>
                <w:w w:val="105"/>
                <w:sz w:val="16"/>
              </w:rPr>
              <w:t>8 464</w:t>
            </w:r>
          </w:p>
        </w:tc>
      </w:tr>
      <w:tr>
        <w:trPr>
          <w:trHeight w:val="265" w:hRule="exact"/>
        </w:trPr>
        <w:tc>
          <w:tcPr>
            <w:tcW w:w="2003" w:type="dxa"/>
            <w:tcBorders>
              <w:bottom w:val="single" w:sz="4" w:space="0" w:color="231F20"/>
            </w:tcBorders>
          </w:tcPr>
          <w:p>
            <w:pPr>
              <w:pStyle w:val="TableParagraph"/>
              <w:spacing w:before="33"/>
              <w:ind w:left="75"/>
              <w:rPr>
                <w:sz w:val="16"/>
              </w:rPr>
            </w:pPr>
            <w:r>
              <w:rPr>
                <w:color w:val="231F20"/>
                <w:w w:val="110"/>
                <w:sz w:val="16"/>
              </w:rPr>
              <w:t>Total</w:t>
            </w:r>
          </w:p>
        </w:tc>
        <w:tc>
          <w:tcPr>
            <w:tcW w:w="3209" w:type="dxa"/>
            <w:tcBorders>
              <w:bottom w:val="single" w:sz="4" w:space="0" w:color="231F20"/>
            </w:tcBorders>
          </w:tcPr>
          <w:p>
            <w:pPr>
              <w:pStyle w:val="TableParagraph"/>
              <w:spacing w:before="33"/>
              <w:ind w:left="1347" w:right="1159"/>
              <w:jc w:val="center"/>
              <w:rPr>
                <w:sz w:val="16"/>
              </w:rPr>
            </w:pPr>
            <w:r>
              <w:rPr>
                <w:color w:val="231F20"/>
                <w:w w:val="105"/>
                <w:sz w:val="16"/>
              </w:rPr>
              <w:t>188 598</w:t>
            </w:r>
          </w:p>
        </w:tc>
      </w:tr>
    </w:tbl>
    <w:p>
      <w:pPr>
        <w:spacing w:before="73"/>
        <w:ind w:left="100" w:right="25" w:firstLine="0"/>
        <w:jc w:val="left"/>
        <w:rPr>
          <w:sz w:val="18"/>
        </w:rPr>
      </w:pPr>
      <w:r>
        <w:rPr>
          <w:rFonts w:ascii="Calibri"/>
          <w:color w:val="231F20"/>
          <w:w w:val="110"/>
          <w:sz w:val="18"/>
        </w:rPr>
        <w:t>fuente: </w:t>
      </w:r>
      <w:r>
        <w:rPr>
          <w:color w:val="231F20"/>
          <w:w w:val="110"/>
          <w:sz w:val="18"/>
        </w:rPr>
        <w:t>Banco Internacional de Pagos de  Basilea.</w:t>
      </w:r>
    </w:p>
    <w:p>
      <w:pPr>
        <w:pStyle w:val="BodyText"/>
        <w:rPr>
          <w:sz w:val="18"/>
        </w:rPr>
      </w:pPr>
    </w:p>
    <w:p>
      <w:pPr>
        <w:pStyle w:val="BodyText"/>
        <w:spacing w:before="8"/>
        <w:rPr>
          <w:sz w:val="17"/>
        </w:rPr>
      </w:pPr>
    </w:p>
    <w:p>
      <w:pPr>
        <w:pStyle w:val="BodyText"/>
        <w:spacing w:line="261" w:lineRule="auto"/>
        <w:ind w:left="100" w:right="117" w:firstLine="252"/>
        <w:jc w:val="right"/>
      </w:pPr>
      <w:r>
        <w:rPr>
          <w:color w:val="231F20"/>
          <w:w w:val="110"/>
        </w:rPr>
        <w:t>A</w:t>
      </w:r>
      <w:r>
        <w:rPr>
          <w:color w:val="231F20"/>
          <w:spacing w:val="-16"/>
          <w:w w:val="110"/>
        </w:rPr>
        <w:t> </w:t>
      </w:r>
      <w:r>
        <w:rPr>
          <w:color w:val="231F20"/>
          <w:w w:val="110"/>
        </w:rPr>
        <w:t>consorcios</w:t>
      </w:r>
      <w:r>
        <w:rPr>
          <w:color w:val="231F20"/>
          <w:spacing w:val="-16"/>
          <w:w w:val="110"/>
        </w:rPr>
        <w:t> </w:t>
      </w:r>
      <w:r>
        <w:rPr>
          <w:color w:val="231F20"/>
          <w:w w:val="110"/>
        </w:rPr>
        <w:t>como</w:t>
      </w:r>
      <w:r>
        <w:rPr>
          <w:color w:val="231F20"/>
          <w:spacing w:val="-16"/>
          <w:w w:val="110"/>
        </w:rPr>
        <w:t> </w:t>
      </w:r>
      <w:r>
        <w:rPr>
          <w:color w:val="231F20"/>
          <w:w w:val="110"/>
        </w:rPr>
        <w:t>el</w:t>
      </w:r>
      <w:r>
        <w:rPr>
          <w:color w:val="231F20"/>
          <w:spacing w:val="-16"/>
          <w:w w:val="110"/>
        </w:rPr>
        <w:t> </w:t>
      </w:r>
      <w:r>
        <w:rPr>
          <w:color w:val="231F20"/>
          <w:w w:val="110"/>
        </w:rPr>
        <w:t>de</w:t>
      </w:r>
      <w:r>
        <w:rPr>
          <w:color w:val="231F20"/>
          <w:spacing w:val="-16"/>
          <w:w w:val="110"/>
        </w:rPr>
        <w:t> </w:t>
      </w:r>
      <w:r>
        <w:rPr>
          <w:color w:val="231F20"/>
          <w:w w:val="110"/>
        </w:rPr>
        <w:t>seguros</w:t>
      </w:r>
      <w:r>
        <w:rPr>
          <w:color w:val="231F20"/>
          <w:spacing w:val="-16"/>
          <w:w w:val="110"/>
        </w:rPr>
        <w:t> </w:t>
      </w:r>
      <w:r>
        <w:rPr>
          <w:color w:val="231F20"/>
          <w:w w:val="110"/>
        </w:rPr>
        <w:t>Munich,</w:t>
      </w:r>
      <w:r>
        <w:rPr>
          <w:color w:val="231F20"/>
          <w:spacing w:val="-16"/>
          <w:w w:val="110"/>
        </w:rPr>
        <w:t> </w:t>
      </w:r>
      <w:r>
        <w:rPr>
          <w:color w:val="231F20"/>
          <w:w w:val="110"/>
        </w:rPr>
        <w:t>Grecia</w:t>
      </w:r>
      <w:r>
        <w:rPr>
          <w:color w:val="231F20"/>
          <w:spacing w:val="-16"/>
          <w:w w:val="110"/>
        </w:rPr>
        <w:t> </w:t>
      </w:r>
      <w:r>
        <w:rPr>
          <w:color w:val="231F20"/>
          <w:w w:val="110"/>
        </w:rPr>
        <w:t>le</w:t>
      </w:r>
      <w:r>
        <w:rPr>
          <w:color w:val="231F20"/>
          <w:spacing w:val="-16"/>
          <w:w w:val="110"/>
        </w:rPr>
        <w:t> </w:t>
      </w:r>
      <w:r>
        <w:rPr>
          <w:color w:val="231F20"/>
          <w:w w:val="110"/>
        </w:rPr>
        <w:t>debe</w:t>
      </w:r>
      <w:r>
        <w:rPr>
          <w:color w:val="231F20"/>
          <w:spacing w:val="-16"/>
          <w:w w:val="110"/>
        </w:rPr>
        <w:t> </w:t>
      </w:r>
      <w:r>
        <w:rPr>
          <w:color w:val="231F20"/>
          <w:w w:val="110"/>
        </w:rPr>
        <w:t>2</w:t>
      </w:r>
      <w:r>
        <w:rPr>
          <w:color w:val="231F20"/>
          <w:spacing w:val="-16"/>
          <w:w w:val="110"/>
        </w:rPr>
        <w:t> </w:t>
      </w:r>
      <w:r>
        <w:rPr>
          <w:color w:val="231F20"/>
          <w:w w:val="110"/>
        </w:rPr>
        <w:t>200</w:t>
      </w:r>
      <w:r>
        <w:rPr>
          <w:color w:val="231F20"/>
          <w:spacing w:val="-16"/>
          <w:w w:val="110"/>
        </w:rPr>
        <w:t> </w:t>
      </w:r>
      <w:r>
        <w:rPr>
          <w:color w:val="231F20"/>
          <w:w w:val="110"/>
        </w:rPr>
        <w:t>mi-</w:t>
      </w:r>
      <w:r>
        <w:rPr>
          <w:color w:val="231F20"/>
          <w:w w:val="72"/>
        </w:rPr>
        <w:t> </w:t>
      </w:r>
      <w:r>
        <w:rPr>
          <w:color w:val="231F20"/>
          <w:w w:val="110"/>
        </w:rPr>
        <w:t>llones</w:t>
      </w:r>
      <w:r>
        <w:rPr>
          <w:color w:val="231F20"/>
          <w:spacing w:val="-13"/>
          <w:w w:val="110"/>
        </w:rPr>
        <w:t> </w:t>
      </w:r>
      <w:r>
        <w:rPr>
          <w:color w:val="231F20"/>
          <w:w w:val="110"/>
        </w:rPr>
        <w:t>de</w:t>
      </w:r>
      <w:r>
        <w:rPr>
          <w:color w:val="231F20"/>
          <w:spacing w:val="-13"/>
          <w:w w:val="110"/>
        </w:rPr>
        <w:t> </w:t>
      </w:r>
      <w:r>
        <w:rPr>
          <w:color w:val="231F20"/>
          <w:w w:val="110"/>
        </w:rPr>
        <w:t>euros</w:t>
      </w:r>
      <w:r>
        <w:rPr>
          <w:color w:val="231F20"/>
          <w:spacing w:val="-13"/>
          <w:w w:val="110"/>
        </w:rPr>
        <w:t> </w:t>
      </w:r>
      <w:r>
        <w:rPr>
          <w:color w:val="231F20"/>
          <w:w w:val="110"/>
        </w:rPr>
        <w:t>y</w:t>
      </w:r>
      <w:r>
        <w:rPr>
          <w:color w:val="231F20"/>
          <w:spacing w:val="-13"/>
          <w:w w:val="110"/>
        </w:rPr>
        <w:t> </w:t>
      </w:r>
      <w:r>
        <w:rPr>
          <w:color w:val="231F20"/>
          <w:w w:val="110"/>
        </w:rPr>
        <w:t>al</w:t>
      </w:r>
      <w:r>
        <w:rPr>
          <w:color w:val="231F20"/>
          <w:spacing w:val="-13"/>
          <w:w w:val="110"/>
        </w:rPr>
        <w:t> </w:t>
      </w:r>
      <w:r>
        <w:rPr>
          <w:color w:val="231F20"/>
          <w:w w:val="110"/>
        </w:rPr>
        <w:t>Allianz,</w:t>
      </w:r>
      <w:r>
        <w:rPr>
          <w:color w:val="231F20"/>
          <w:spacing w:val="-13"/>
          <w:w w:val="110"/>
        </w:rPr>
        <w:t> </w:t>
      </w:r>
      <w:r>
        <w:rPr>
          <w:color w:val="231F20"/>
          <w:w w:val="110"/>
        </w:rPr>
        <w:t>el</w:t>
      </w:r>
      <w:r>
        <w:rPr>
          <w:color w:val="231F20"/>
          <w:spacing w:val="-13"/>
          <w:w w:val="110"/>
        </w:rPr>
        <w:t> </w:t>
      </w:r>
      <w:r>
        <w:rPr>
          <w:color w:val="231F20"/>
          <w:w w:val="110"/>
        </w:rPr>
        <w:t>mayor</w:t>
      </w:r>
      <w:r>
        <w:rPr>
          <w:color w:val="231F20"/>
          <w:spacing w:val="-13"/>
          <w:w w:val="110"/>
        </w:rPr>
        <w:t> </w:t>
      </w:r>
      <w:r>
        <w:rPr>
          <w:color w:val="231F20"/>
          <w:w w:val="110"/>
        </w:rPr>
        <w:t>grupo</w:t>
      </w:r>
      <w:r>
        <w:rPr>
          <w:color w:val="231F20"/>
          <w:spacing w:val="-13"/>
          <w:w w:val="110"/>
        </w:rPr>
        <w:t> </w:t>
      </w:r>
      <w:r>
        <w:rPr>
          <w:color w:val="231F20"/>
          <w:w w:val="110"/>
        </w:rPr>
        <w:t>europeo</w:t>
      </w:r>
      <w:r>
        <w:rPr>
          <w:color w:val="231F20"/>
          <w:spacing w:val="-13"/>
          <w:w w:val="110"/>
        </w:rPr>
        <w:t> </w:t>
      </w:r>
      <w:r>
        <w:rPr>
          <w:color w:val="231F20"/>
          <w:w w:val="110"/>
        </w:rPr>
        <w:t>de</w:t>
      </w:r>
      <w:r>
        <w:rPr>
          <w:color w:val="231F20"/>
          <w:spacing w:val="-13"/>
          <w:w w:val="110"/>
        </w:rPr>
        <w:t> </w:t>
      </w:r>
      <w:r>
        <w:rPr>
          <w:color w:val="231F20"/>
          <w:w w:val="110"/>
        </w:rPr>
        <w:t>seguros</w:t>
      </w:r>
      <w:r>
        <w:rPr>
          <w:color w:val="231F20"/>
          <w:spacing w:val="-13"/>
          <w:w w:val="110"/>
        </w:rPr>
        <w:t> </w:t>
      </w:r>
      <w:r>
        <w:rPr>
          <w:color w:val="231F20"/>
          <w:w w:val="110"/>
        </w:rPr>
        <w:t>y</w:t>
      </w:r>
      <w:r>
        <w:rPr>
          <w:color w:val="231F20"/>
          <w:spacing w:val="-13"/>
          <w:w w:val="110"/>
        </w:rPr>
        <w:t> </w:t>
      </w:r>
      <w:r>
        <w:rPr>
          <w:color w:val="231F20"/>
          <w:w w:val="110"/>
        </w:rPr>
        <w:t>uno</w:t>
      </w:r>
      <w:r>
        <w:rPr>
          <w:color w:val="231F20"/>
          <w:w w:val="116"/>
        </w:rPr>
        <w:t> </w:t>
      </w:r>
      <w:r>
        <w:rPr>
          <w:color w:val="231F20"/>
          <w:w w:val="110"/>
        </w:rPr>
        <w:t>de los mayores aseguradores y proveedores de</w:t>
      </w:r>
      <w:r>
        <w:rPr>
          <w:color w:val="231F20"/>
          <w:spacing w:val="37"/>
          <w:w w:val="110"/>
        </w:rPr>
        <w:t> </w:t>
      </w:r>
      <w:r>
        <w:rPr>
          <w:color w:val="231F20"/>
          <w:w w:val="110"/>
        </w:rPr>
        <w:t>servicios</w:t>
      </w:r>
      <w:r>
        <w:rPr>
          <w:color w:val="231F20"/>
          <w:spacing w:val="5"/>
          <w:w w:val="110"/>
        </w:rPr>
        <w:t> </w:t>
      </w:r>
      <w:r>
        <w:rPr>
          <w:color w:val="231F20"/>
          <w:w w:val="110"/>
        </w:rPr>
        <w:t>financieros</w:t>
      </w:r>
      <w:r>
        <w:rPr>
          <w:color w:val="231F20"/>
          <w:w w:val="108"/>
        </w:rPr>
        <w:t> </w:t>
      </w:r>
      <w:r>
        <w:rPr>
          <w:color w:val="231F20"/>
          <w:w w:val="110"/>
        </w:rPr>
        <w:t>en el mundo, 700 millones, según el Banco Internacional</w:t>
      </w:r>
      <w:r>
        <w:rPr>
          <w:color w:val="231F20"/>
          <w:spacing w:val="18"/>
          <w:w w:val="110"/>
        </w:rPr>
        <w:t> </w:t>
      </w:r>
      <w:r>
        <w:rPr>
          <w:color w:val="231F20"/>
          <w:w w:val="110"/>
        </w:rPr>
        <w:t>de</w:t>
      </w:r>
      <w:r>
        <w:rPr>
          <w:color w:val="231F20"/>
          <w:spacing w:val="8"/>
          <w:w w:val="110"/>
        </w:rPr>
        <w:t> </w:t>
      </w:r>
      <w:r>
        <w:rPr>
          <w:color w:val="231F20"/>
          <w:w w:val="110"/>
        </w:rPr>
        <w:t>Pagos.</w:t>
      </w:r>
      <w:r>
        <w:rPr>
          <w:color w:val="231F20"/>
          <w:w w:val="104"/>
        </w:rPr>
        <w:t> </w:t>
      </w:r>
      <w:r>
        <w:rPr>
          <w:color w:val="231F20"/>
          <w:w w:val="110"/>
        </w:rPr>
        <w:t>En</w:t>
      </w:r>
      <w:r>
        <w:rPr>
          <w:color w:val="231F20"/>
          <w:spacing w:val="-6"/>
          <w:w w:val="110"/>
        </w:rPr>
        <w:t> </w:t>
      </w:r>
      <w:r>
        <w:rPr>
          <w:color w:val="231F20"/>
          <w:spacing w:val="-3"/>
          <w:w w:val="110"/>
        </w:rPr>
        <w:t>esta</w:t>
      </w:r>
      <w:r>
        <w:rPr>
          <w:color w:val="231F20"/>
          <w:spacing w:val="-6"/>
          <w:w w:val="110"/>
        </w:rPr>
        <w:t> </w:t>
      </w:r>
      <w:r>
        <w:rPr>
          <w:color w:val="231F20"/>
          <w:spacing w:val="-3"/>
          <w:w w:val="110"/>
        </w:rPr>
        <w:t>situación,</w:t>
      </w:r>
      <w:r>
        <w:rPr>
          <w:color w:val="231F20"/>
          <w:spacing w:val="-6"/>
          <w:w w:val="110"/>
        </w:rPr>
        <w:t> </w:t>
      </w:r>
      <w:r>
        <w:rPr>
          <w:color w:val="231F20"/>
          <w:w w:val="110"/>
        </w:rPr>
        <w:t>el</w:t>
      </w:r>
      <w:r>
        <w:rPr>
          <w:color w:val="231F20"/>
          <w:spacing w:val="-6"/>
          <w:w w:val="110"/>
        </w:rPr>
        <w:t> </w:t>
      </w:r>
      <w:r>
        <w:rPr>
          <w:color w:val="231F20"/>
          <w:w w:val="110"/>
        </w:rPr>
        <w:t>7</w:t>
      </w:r>
      <w:r>
        <w:rPr>
          <w:color w:val="231F20"/>
          <w:spacing w:val="-6"/>
          <w:w w:val="110"/>
        </w:rPr>
        <w:t> </w:t>
      </w:r>
      <w:r>
        <w:rPr>
          <w:color w:val="231F20"/>
          <w:w w:val="110"/>
        </w:rPr>
        <w:t>de</w:t>
      </w:r>
      <w:r>
        <w:rPr>
          <w:color w:val="231F20"/>
          <w:spacing w:val="-6"/>
          <w:w w:val="110"/>
        </w:rPr>
        <w:t> </w:t>
      </w:r>
      <w:r>
        <w:rPr>
          <w:color w:val="231F20"/>
          <w:spacing w:val="-3"/>
          <w:w w:val="110"/>
        </w:rPr>
        <w:t>mayo</w:t>
      </w:r>
      <w:r>
        <w:rPr>
          <w:color w:val="231F20"/>
          <w:spacing w:val="-6"/>
          <w:w w:val="110"/>
        </w:rPr>
        <w:t> </w:t>
      </w:r>
      <w:r>
        <w:rPr>
          <w:color w:val="231F20"/>
          <w:w w:val="110"/>
        </w:rPr>
        <w:t>de</w:t>
      </w:r>
      <w:r>
        <w:rPr>
          <w:color w:val="231F20"/>
          <w:spacing w:val="-6"/>
          <w:w w:val="110"/>
        </w:rPr>
        <w:t> </w:t>
      </w:r>
      <w:r>
        <w:rPr>
          <w:color w:val="231F20"/>
          <w:spacing w:val="-3"/>
          <w:w w:val="110"/>
        </w:rPr>
        <w:t>2010,</w:t>
      </w:r>
      <w:r>
        <w:rPr>
          <w:color w:val="231F20"/>
          <w:spacing w:val="-6"/>
          <w:w w:val="110"/>
        </w:rPr>
        <w:t> </w:t>
      </w:r>
      <w:r>
        <w:rPr>
          <w:color w:val="231F20"/>
          <w:w w:val="110"/>
        </w:rPr>
        <w:t>los</w:t>
      </w:r>
      <w:r>
        <w:rPr>
          <w:color w:val="231F20"/>
          <w:spacing w:val="-6"/>
          <w:w w:val="110"/>
        </w:rPr>
        <w:t> </w:t>
      </w:r>
      <w:r>
        <w:rPr>
          <w:color w:val="231F20"/>
          <w:spacing w:val="-3"/>
          <w:w w:val="110"/>
        </w:rPr>
        <w:t>líderes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16</w:t>
      </w:r>
      <w:r>
        <w:rPr>
          <w:color w:val="231F20"/>
          <w:spacing w:val="-6"/>
          <w:w w:val="110"/>
        </w:rPr>
        <w:t> </w:t>
      </w:r>
      <w:r>
        <w:rPr>
          <w:color w:val="231F20"/>
          <w:spacing w:val="-3"/>
          <w:w w:val="110"/>
        </w:rPr>
        <w:t>países</w:t>
      </w:r>
      <w:r>
        <w:rPr>
          <w:color w:val="231F20"/>
          <w:spacing w:val="-3"/>
          <w:w w:val="105"/>
        </w:rPr>
        <w:t> </w:t>
      </w:r>
      <w:r>
        <w:rPr>
          <w:color w:val="231F20"/>
          <w:w w:val="110"/>
        </w:rPr>
        <w:t>de la </w:t>
      </w:r>
      <w:r>
        <w:rPr>
          <w:color w:val="231F20"/>
          <w:spacing w:val="-3"/>
          <w:w w:val="110"/>
        </w:rPr>
        <w:t>eurozona aprobaron </w:t>
      </w:r>
      <w:r>
        <w:rPr>
          <w:color w:val="231F20"/>
          <w:w w:val="110"/>
        </w:rPr>
        <w:t>un </w:t>
      </w:r>
      <w:r>
        <w:rPr>
          <w:color w:val="231F20"/>
          <w:spacing w:val="-3"/>
          <w:w w:val="110"/>
        </w:rPr>
        <w:t>“paquete </w:t>
      </w:r>
      <w:r>
        <w:rPr>
          <w:color w:val="231F20"/>
          <w:w w:val="110"/>
        </w:rPr>
        <w:t>de </w:t>
      </w:r>
      <w:r>
        <w:rPr>
          <w:color w:val="231F20"/>
          <w:spacing w:val="-3"/>
          <w:w w:val="110"/>
        </w:rPr>
        <w:t>rescate” </w:t>
      </w:r>
      <w:r>
        <w:rPr>
          <w:color w:val="231F20"/>
          <w:w w:val="110"/>
        </w:rPr>
        <w:t>a </w:t>
      </w:r>
      <w:r>
        <w:rPr>
          <w:color w:val="231F20"/>
          <w:spacing w:val="-3"/>
          <w:w w:val="110"/>
        </w:rPr>
        <w:t>Grecia</w:t>
      </w:r>
      <w:r>
        <w:rPr>
          <w:color w:val="231F20"/>
          <w:spacing w:val="35"/>
          <w:w w:val="110"/>
        </w:rPr>
        <w:t> </w:t>
      </w:r>
      <w:r>
        <w:rPr>
          <w:color w:val="231F20"/>
          <w:w w:val="110"/>
        </w:rPr>
        <w:t>por</w:t>
      </w:r>
      <w:r>
        <w:rPr>
          <w:color w:val="231F20"/>
          <w:spacing w:val="33"/>
          <w:w w:val="110"/>
        </w:rPr>
        <w:t> </w:t>
      </w:r>
      <w:r>
        <w:rPr>
          <w:color w:val="231F20"/>
          <w:spacing w:val="-3"/>
          <w:w w:val="110"/>
        </w:rPr>
        <w:t>la</w:t>
      </w:r>
      <w:r>
        <w:rPr>
          <w:color w:val="231F20"/>
          <w:spacing w:val="-3"/>
          <w:w w:val="105"/>
        </w:rPr>
        <w:t> </w:t>
      </w:r>
      <w:r>
        <w:rPr>
          <w:color w:val="231F20"/>
          <w:spacing w:val="-3"/>
          <w:w w:val="110"/>
        </w:rPr>
        <w:t>cantidad </w:t>
      </w:r>
      <w:r>
        <w:rPr>
          <w:color w:val="231F20"/>
          <w:w w:val="110"/>
        </w:rPr>
        <w:t>de 110 mil </w:t>
      </w:r>
      <w:r>
        <w:rPr>
          <w:color w:val="231F20"/>
          <w:spacing w:val="-3"/>
          <w:w w:val="110"/>
        </w:rPr>
        <w:t>millones </w:t>
      </w:r>
      <w:r>
        <w:rPr>
          <w:color w:val="231F20"/>
          <w:w w:val="110"/>
        </w:rPr>
        <w:t>de </w:t>
      </w:r>
      <w:r>
        <w:rPr>
          <w:color w:val="231F20"/>
          <w:spacing w:val="-3"/>
          <w:w w:val="110"/>
        </w:rPr>
        <w:t>euros (alrededor </w:t>
      </w:r>
      <w:r>
        <w:rPr>
          <w:color w:val="231F20"/>
          <w:w w:val="110"/>
        </w:rPr>
        <w:t>de 147</w:t>
      </w:r>
      <w:r>
        <w:rPr>
          <w:color w:val="231F20"/>
          <w:spacing w:val="10"/>
          <w:w w:val="110"/>
        </w:rPr>
        <w:t> </w:t>
      </w:r>
      <w:r>
        <w:rPr>
          <w:color w:val="231F20"/>
          <w:w w:val="110"/>
        </w:rPr>
        <w:t>mil</w:t>
      </w:r>
      <w:r>
        <w:rPr>
          <w:color w:val="231F20"/>
          <w:spacing w:val="-1"/>
          <w:w w:val="110"/>
        </w:rPr>
        <w:t> </w:t>
      </w:r>
      <w:r>
        <w:rPr>
          <w:color w:val="231F20"/>
          <w:spacing w:val="-3"/>
          <w:w w:val="110"/>
        </w:rPr>
        <w:t>millones</w:t>
      </w:r>
      <w:r>
        <w:rPr>
          <w:color w:val="231F20"/>
          <w:spacing w:val="-3"/>
          <w:w w:val="108"/>
        </w:rPr>
        <w:t> </w:t>
      </w:r>
      <w:r>
        <w:rPr>
          <w:color w:val="231F20"/>
          <w:w w:val="110"/>
        </w:rPr>
        <w:t>de</w:t>
      </w:r>
      <w:r>
        <w:rPr>
          <w:color w:val="231F20"/>
          <w:spacing w:val="16"/>
          <w:w w:val="110"/>
        </w:rPr>
        <w:t> </w:t>
      </w:r>
      <w:r>
        <w:rPr>
          <w:color w:val="231F20"/>
          <w:spacing w:val="-3"/>
          <w:w w:val="110"/>
        </w:rPr>
        <w:t>dólares),</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spacing w:val="-3"/>
          <w:w w:val="110"/>
        </w:rPr>
        <w:t>cuales</w:t>
      </w:r>
      <w:r>
        <w:rPr>
          <w:color w:val="231F20"/>
          <w:spacing w:val="16"/>
          <w:w w:val="110"/>
        </w:rPr>
        <w:t> </w:t>
      </w:r>
      <w:r>
        <w:rPr>
          <w:color w:val="231F20"/>
          <w:w w:val="110"/>
        </w:rPr>
        <w:t>80</w:t>
      </w:r>
      <w:r>
        <w:rPr>
          <w:color w:val="231F20"/>
          <w:spacing w:val="16"/>
          <w:w w:val="110"/>
        </w:rPr>
        <w:t> </w:t>
      </w:r>
      <w:r>
        <w:rPr>
          <w:color w:val="231F20"/>
          <w:spacing w:val="-3"/>
          <w:w w:val="110"/>
        </w:rPr>
        <w:t>millones</w:t>
      </w:r>
      <w:r>
        <w:rPr>
          <w:color w:val="231F20"/>
          <w:spacing w:val="16"/>
          <w:w w:val="110"/>
        </w:rPr>
        <w:t> </w:t>
      </w:r>
      <w:r>
        <w:rPr>
          <w:color w:val="231F20"/>
          <w:spacing w:val="-3"/>
          <w:w w:val="110"/>
        </w:rPr>
        <w:t>fueron</w:t>
      </w:r>
      <w:r>
        <w:rPr>
          <w:color w:val="231F20"/>
          <w:spacing w:val="16"/>
          <w:w w:val="110"/>
        </w:rPr>
        <w:t> </w:t>
      </w:r>
      <w:r>
        <w:rPr>
          <w:color w:val="231F20"/>
          <w:spacing w:val="-3"/>
          <w:w w:val="110"/>
        </w:rPr>
        <w:t>aportados</w:t>
      </w:r>
      <w:r>
        <w:rPr>
          <w:color w:val="231F20"/>
          <w:spacing w:val="16"/>
          <w:w w:val="110"/>
        </w:rPr>
        <w:t> </w:t>
      </w:r>
      <w:r>
        <w:rPr>
          <w:color w:val="231F20"/>
          <w:w w:val="110"/>
        </w:rPr>
        <w:t>por</w:t>
      </w:r>
      <w:r>
        <w:rPr>
          <w:color w:val="231F20"/>
          <w:spacing w:val="16"/>
          <w:w w:val="110"/>
        </w:rPr>
        <w:t> </w:t>
      </w:r>
      <w:r>
        <w:rPr>
          <w:color w:val="231F20"/>
          <w:w w:val="110"/>
        </w:rPr>
        <w:t>la</w:t>
      </w:r>
      <w:r>
        <w:rPr>
          <w:color w:val="231F20"/>
          <w:spacing w:val="16"/>
          <w:w w:val="110"/>
        </w:rPr>
        <w:t> </w:t>
      </w:r>
      <w:r>
        <w:rPr>
          <w:color w:val="231F20"/>
          <w:w w:val="110"/>
        </w:rPr>
        <w:t>UE</w:t>
      </w:r>
      <w:r>
        <w:rPr>
          <w:color w:val="231F20"/>
          <w:spacing w:val="16"/>
          <w:w w:val="110"/>
        </w:rPr>
        <w:t> </w:t>
      </w:r>
      <w:r>
        <w:rPr>
          <w:color w:val="231F20"/>
          <w:w w:val="110"/>
        </w:rPr>
        <w:t>y</w:t>
      </w:r>
      <w:r>
        <w:rPr>
          <w:color w:val="231F20"/>
          <w:w w:val="84"/>
        </w:rPr>
        <w:t> </w:t>
      </w:r>
      <w:r>
        <w:rPr>
          <w:color w:val="231F20"/>
          <w:w w:val="110"/>
        </w:rPr>
        <w:t>el</w:t>
      </w:r>
      <w:r>
        <w:rPr>
          <w:color w:val="231F20"/>
          <w:spacing w:val="12"/>
          <w:w w:val="110"/>
        </w:rPr>
        <w:t> </w:t>
      </w:r>
      <w:r>
        <w:rPr>
          <w:color w:val="231F20"/>
          <w:spacing w:val="-3"/>
          <w:w w:val="110"/>
        </w:rPr>
        <w:t>resto</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fmi</w:t>
      </w:r>
      <w:r>
        <w:rPr>
          <w:color w:val="231F20"/>
          <w:spacing w:val="12"/>
          <w:w w:val="110"/>
        </w:rPr>
        <w:t> </w:t>
      </w:r>
      <w:r>
        <w:rPr>
          <w:color w:val="231F20"/>
          <w:w w:val="110"/>
        </w:rPr>
        <w:t>(9</w:t>
      </w:r>
      <w:r>
        <w:rPr>
          <w:color w:val="231F20"/>
          <w:spacing w:val="12"/>
          <w:w w:val="110"/>
        </w:rPr>
        <w:t> </w:t>
      </w:r>
      <w:r>
        <w:rPr>
          <w:color w:val="231F20"/>
          <w:w w:val="110"/>
        </w:rPr>
        <w:t>de</w:t>
      </w:r>
      <w:r>
        <w:rPr>
          <w:color w:val="231F20"/>
          <w:spacing w:val="12"/>
          <w:w w:val="110"/>
        </w:rPr>
        <w:t> </w:t>
      </w:r>
      <w:r>
        <w:rPr>
          <w:color w:val="231F20"/>
          <w:spacing w:val="-3"/>
          <w:w w:val="110"/>
        </w:rPr>
        <w:t>mayo</w:t>
      </w:r>
      <w:r>
        <w:rPr>
          <w:color w:val="231F20"/>
          <w:spacing w:val="12"/>
          <w:w w:val="110"/>
        </w:rPr>
        <w:t> </w:t>
      </w:r>
      <w:r>
        <w:rPr>
          <w:color w:val="231F20"/>
          <w:w w:val="110"/>
        </w:rPr>
        <w:t>de</w:t>
      </w:r>
      <w:r>
        <w:rPr>
          <w:color w:val="231F20"/>
          <w:spacing w:val="12"/>
          <w:w w:val="110"/>
        </w:rPr>
        <w:t> </w:t>
      </w:r>
      <w:r>
        <w:rPr>
          <w:color w:val="231F20"/>
          <w:spacing w:val="-3"/>
          <w:w w:val="110"/>
        </w:rPr>
        <w:t>2010).</w:t>
      </w:r>
      <w:r>
        <w:rPr>
          <w:color w:val="231F20"/>
          <w:spacing w:val="12"/>
          <w:w w:val="110"/>
        </w:rPr>
        <w:t> </w:t>
      </w:r>
      <w:r>
        <w:rPr>
          <w:color w:val="231F20"/>
          <w:w w:val="110"/>
        </w:rPr>
        <w:t>Las</w:t>
      </w:r>
      <w:r>
        <w:rPr>
          <w:color w:val="231F20"/>
          <w:spacing w:val="12"/>
          <w:w w:val="110"/>
        </w:rPr>
        <w:t> </w:t>
      </w:r>
      <w:r>
        <w:rPr>
          <w:color w:val="231F20"/>
          <w:spacing w:val="-3"/>
          <w:w w:val="110"/>
        </w:rPr>
        <w:t>primeras</w:t>
      </w:r>
      <w:r>
        <w:rPr>
          <w:color w:val="231F20"/>
          <w:spacing w:val="12"/>
          <w:w w:val="110"/>
        </w:rPr>
        <w:t> </w:t>
      </w:r>
      <w:r>
        <w:rPr>
          <w:color w:val="231F20"/>
          <w:spacing w:val="-3"/>
          <w:w w:val="110"/>
        </w:rPr>
        <w:t>partidas</w:t>
      </w:r>
      <w:r>
        <w:rPr>
          <w:color w:val="231F20"/>
          <w:spacing w:val="12"/>
          <w:w w:val="110"/>
        </w:rPr>
        <w:t> </w:t>
      </w:r>
      <w:r>
        <w:rPr>
          <w:color w:val="231F20"/>
          <w:w w:val="110"/>
        </w:rPr>
        <w:t>de</w:t>
      </w:r>
      <w:r>
        <w:rPr>
          <w:color w:val="231F20"/>
          <w:spacing w:val="12"/>
          <w:w w:val="110"/>
        </w:rPr>
        <w:t> </w:t>
      </w:r>
      <w:r>
        <w:rPr>
          <w:color w:val="231F20"/>
          <w:spacing w:val="-3"/>
          <w:w w:val="110"/>
        </w:rPr>
        <w:t>la</w:t>
      </w:r>
      <w:r>
        <w:rPr>
          <w:color w:val="231F20"/>
          <w:spacing w:val="-3"/>
          <w:w w:val="105"/>
        </w:rPr>
        <w:t> </w:t>
      </w:r>
      <w:r>
        <w:rPr>
          <w:color w:val="231F20"/>
          <w:spacing w:val="-3"/>
          <w:w w:val="110"/>
        </w:rPr>
        <w:t>“ayuda” millonaria llegaron </w:t>
      </w:r>
      <w:r>
        <w:rPr>
          <w:color w:val="231F20"/>
          <w:w w:val="110"/>
        </w:rPr>
        <w:t>el día 19 y el </w:t>
      </w:r>
      <w:r>
        <w:rPr>
          <w:color w:val="231F20"/>
          <w:spacing w:val="-3"/>
          <w:w w:val="110"/>
        </w:rPr>
        <w:t>gobierno griego</w:t>
      </w:r>
      <w:r>
        <w:rPr>
          <w:color w:val="231F20"/>
          <w:spacing w:val="26"/>
          <w:w w:val="110"/>
        </w:rPr>
        <w:t> </w:t>
      </w:r>
      <w:r>
        <w:rPr>
          <w:color w:val="231F20"/>
          <w:spacing w:val="-3"/>
          <w:w w:val="110"/>
        </w:rPr>
        <w:t>liquidó</w:t>
      </w:r>
      <w:r>
        <w:rPr>
          <w:color w:val="231F20"/>
          <w:spacing w:val="17"/>
          <w:w w:val="110"/>
        </w:rPr>
        <w:t> </w:t>
      </w:r>
      <w:r>
        <w:rPr>
          <w:color w:val="231F20"/>
          <w:w w:val="110"/>
        </w:rPr>
        <w:t>9</w:t>
      </w:r>
      <w:r>
        <w:rPr>
          <w:color w:val="231F20"/>
          <w:w w:val="104"/>
        </w:rPr>
        <w:t> </w:t>
      </w:r>
      <w:r>
        <w:rPr>
          <w:color w:val="231F20"/>
          <w:w w:val="110"/>
        </w:rPr>
        <w:t>mil </w:t>
      </w:r>
      <w:r>
        <w:rPr>
          <w:color w:val="231F20"/>
          <w:spacing w:val="-3"/>
          <w:w w:val="110"/>
        </w:rPr>
        <w:t>millones </w:t>
      </w:r>
      <w:r>
        <w:rPr>
          <w:color w:val="231F20"/>
          <w:w w:val="110"/>
        </w:rPr>
        <w:t>de </w:t>
      </w:r>
      <w:r>
        <w:rPr>
          <w:color w:val="231F20"/>
          <w:spacing w:val="-3"/>
          <w:w w:val="110"/>
        </w:rPr>
        <w:t>euros </w:t>
      </w:r>
      <w:r>
        <w:rPr>
          <w:color w:val="231F20"/>
          <w:w w:val="110"/>
        </w:rPr>
        <w:t>(11 mil </w:t>
      </w:r>
      <w:r>
        <w:rPr>
          <w:color w:val="231F20"/>
          <w:spacing w:val="-3"/>
          <w:w w:val="110"/>
        </w:rPr>
        <w:t>mdd) </w:t>
      </w:r>
      <w:r>
        <w:rPr>
          <w:color w:val="231F20"/>
          <w:w w:val="110"/>
        </w:rPr>
        <w:t>a los </w:t>
      </w:r>
      <w:r>
        <w:rPr>
          <w:color w:val="231F20"/>
          <w:spacing w:val="-3"/>
          <w:w w:val="110"/>
        </w:rPr>
        <w:t>tenedores </w:t>
      </w:r>
      <w:r>
        <w:rPr>
          <w:color w:val="231F20"/>
          <w:w w:val="110"/>
        </w:rPr>
        <w:t>de </w:t>
      </w:r>
      <w:r>
        <w:rPr>
          <w:color w:val="231F20"/>
          <w:spacing w:val="-3"/>
          <w:w w:val="110"/>
        </w:rPr>
        <w:t>bonos</w:t>
      </w:r>
      <w:r>
        <w:rPr>
          <w:color w:val="231F20"/>
          <w:spacing w:val="3"/>
          <w:w w:val="110"/>
        </w:rPr>
        <w:t> </w:t>
      </w:r>
      <w:r>
        <w:rPr>
          <w:color w:val="231F20"/>
          <w:w w:val="110"/>
        </w:rPr>
        <w:t>del</w:t>
      </w:r>
      <w:r>
        <w:rPr>
          <w:color w:val="231F20"/>
          <w:spacing w:val="3"/>
          <w:w w:val="110"/>
        </w:rPr>
        <w:t> </w:t>
      </w:r>
      <w:r>
        <w:rPr>
          <w:color w:val="231F20"/>
          <w:spacing w:val="-3"/>
          <w:w w:val="110"/>
        </w:rPr>
        <w:t>país</w:t>
      </w:r>
      <w:r>
        <w:rPr>
          <w:color w:val="231F20"/>
          <w:spacing w:val="-3"/>
          <w:w w:val="106"/>
        </w:rPr>
        <w:t> </w:t>
      </w:r>
      <w:r>
        <w:rPr>
          <w:color w:val="231F20"/>
          <w:w w:val="110"/>
        </w:rPr>
        <w:t>por el </w:t>
      </w:r>
      <w:r>
        <w:rPr>
          <w:color w:val="231F20"/>
          <w:spacing w:val="-3"/>
          <w:w w:val="110"/>
        </w:rPr>
        <w:t>vencimiento </w:t>
      </w:r>
      <w:r>
        <w:rPr>
          <w:color w:val="231F20"/>
          <w:w w:val="110"/>
        </w:rPr>
        <w:t>de los </w:t>
      </w:r>
      <w:r>
        <w:rPr>
          <w:color w:val="231F20"/>
          <w:spacing w:val="-3"/>
          <w:w w:val="110"/>
        </w:rPr>
        <w:t>intereses </w:t>
      </w:r>
      <w:r>
        <w:rPr>
          <w:color w:val="231F20"/>
          <w:w w:val="110"/>
        </w:rPr>
        <w:t>de su </w:t>
      </w:r>
      <w:r>
        <w:rPr>
          <w:color w:val="231F20"/>
          <w:spacing w:val="-3"/>
          <w:w w:val="110"/>
        </w:rPr>
        <w:t>abultada deuda</w:t>
      </w:r>
      <w:r>
        <w:rPr>
          <w:color w:val="231F20"/>
          <w:spacing w:val="-1"/>
          <w:w w:val="110"/>
        </w:rPr>
        <w:t> </w:t>
      </w:r>
      <w:r>
        <w:rPr>
          <w:color w:val="231F20"/>
          <w:w w:val="110"/>
        </w:rPr>
        <w:t>que</w:t>
      </w:r>
      <w:r>
        <w:rPr>
          <w:color w:val="231F20"/>
          <w:spacing w:val="-1"/>
          <w:w w:val="110"/>
        </w:rPr>
        <w:t> </w:t>
      </w:r>
      <w:r>
        <w:rPr>
          <w:color w:val="231F20"/>
          <w:spacing w:val="-3"/>
          <w:w w:val="110"/>
        </w:rPr>
        <w:t>asciende</w:t>
      </w:r>
      <w:r>
        <w:rPr>
          <w:color w:val="231F20"/>
          <w:spacing w:val="-3"/>
          <w:w w:val="109"/>
        </w:rPr>
        <w:t> </w:t>
      </w:r>
      <w:r>
        <w:rPr>
          <w:color w:val="231F20"/>
          <w:w w:val="110"/>
        </w:rPr>
        <w:t>a 273 mil </w:t>
      </w:r>
      <w:r>
        <w:rPr>
          <w:color w:val="231F20"/>
          <w:spacing w:val="-3"/>
          <w:w w:val="110"/>
        </w:rPr>
        <w:t>millones </w:t>
      </w:r>
      <w:r>
        <w:rPr>
          <w:color w:val="231F20"/>
          <w:w w:val="110"/>
        </w:rPr>
        <w:t>y que </w:t>
      </w:r>
      <w:r>
        <w:rPr>
          <w:color w:val="231F20"/>
          <w:spacing w:val="-3"/>
          <w:w w:val="110"/>
        </w:rPr>
        <w:t>corresponde </w:t>
      </w:r>
      <w:r>
        <w:rPr>
          <w:color w:val="231F20"/>
          <w:w w:val="110"/>
        </w:rPr>
        <w:t>a </w:t>
      </w:r>
      <w:r>
        <w:rPr>
          <w:color w:val="231F20"/>
          <w:spacing w:val="-3"/>
          <w:w w:val="110"/>
        </w:rPr>
        <w:t>115% </w:t>
      </w:r>
      <w:r>
        <w:rPr>
          <w:color w:val="231F20"/>
          <w:w w:val="110"/>
        </w:rPr>
        <w:t>de su </w:t>
      </w:r>
      <w:r>
        <w:rPr>
          <w:color w:val="231F20"/>
          <w:spacing w:val="-3"/>
          <w:w w:val="110"/>
        </w:rPr>
        <w:t>pib.</w:t>
      </w:r>
      <w:r>
        <w:rPr>
          <w:color w:val="231F20"/>
          <w:spacing w:val="5"/>
          <w:w w:val="110"/>
        </w:rPr>
        <w:t> </w:t>
      </w:r>
      <w:r>
        <w:rPr>
          <w:color w:val="231F20"/>
          <w:spacing w:val="-3"/>
          <w:w w:val="110"/>
        </w:rPr>
        <w:t>Este</w:t>
      </w:r>
      <w:r>
        <w:rPr>
          <w:color w:val="231F20"/>
          <w:spacing w:val="-1"/>
          <w:w w:val="110"/>
        </w:rPr>
        <w:t> </w:t>
      </w:r>
      <w:r>
        <w:rPr>
          <w:color w:val="231F20"/>
          <w:spacing w:val="-3"/>
          <w:w w:val="110"/>
        </w:rPr>
        <w:t>paquete</w:t>
      </w:r>
      <w:r>
        <w:rPr>
          <w:color w:val="231F20"/>
          <w:spacing w:val="-3"/>
          <w:w w:val="113"/>
        </w:rPr>
        <w:t> </w:t>
      </w:r>
      <w:r>
        <w:rPr>
          <w:color w:val="231F20"/>
          <w:w w:val="110"/>
        </w:rPr>
        <w:t>se </w:t>
      </w:r>
      <w:r>
        <w:rPr>
          <w:color w:val="231F20"/>
          <w:spacing w:val="-3"/>
          <w:w w:val="110"/>
        </w:rPr>
        <w:t>otorga </w:t>
      </w:r>
      <w:r>
        <w:rPr>
          <w:color w:val="231F20"/>
          <w:w w:val="110"/>
        </w:rPr>
        <w:t>a </w:t>
      </w:r>
      <w:r>
        <w:rPr>
          <w:color w:val="231F20"/>
          <w:spacing w:val="-3"/>
          <w:w w:val="110"/>
        </w:rPr>
        <w:t>cambio </w:t>
      </w:r>
      <w:r>
        <w:rPr>
          <w:color w:val="231F20"/>
          <w:w w:val="110"/>
        </w:rPr>
        <w:t>de </w:t>
      </w:r>
      <w:r>
        <w:rPr>
          <w:color w:val="231F20"/>
          <w:spacing w:val="-3"/>
          <w:w w:val="110"/>
        </w:rPr>
        <w:t>imponer </w:t>
      </w:r>
      <w:r>
        <w:rPr>
          <w:color w:val="231F20"/>
          <w:w w:val="110"/>
        </w:rPr>
        <w:t>a la </w:t>
      </w:r>
      <w:r>
        <w:rPr>
          <w:color w:val="231F20"/>
          <w:spacing w:val="-3"/>
          <w:w w:val="110"/>
        </w:rPr>
        <w:t>sociedad griega</w:t>
      </w:r>
      <w:r>
        <w:rPr>
          <w:color w:val="231F20"/>
          <w:spacing w:val="40"/>
          <w:w w:val="110"/>
        </w:rPr>
        <w:t> </w:t>
      </w:r>
      <w:r>
        <w:rPr>
          <w:color w:val="231F20"/>
          <w:w w:val="110"/>
        </w:rPr>
        <w:t>un</w:t>
      </w:r>
      <w:r>
        <w:rPr>
          <w:color w:val="231F20"/>
          <w:spacing w:val="28"/>
          <w:w w:val="110"/>
        </w:rPr>
        <w:t> </w:t>
      </w:r>
      <w:r>
        <w:rPr>
          <w:color w:val="231F20"/>
          <w:spacing w:val="-3"/>
          <w:w w:val="110"/>
        </w:rPr>
        <w:t>draconiano</w:t>
      </w:r>
      <w:r>
        <w:rPr>
          <w:color w:val="231F20"/>
          <w:spacing w:val="-3"/>
          <w:w w:val="112"/>
        </w:rPr>
        <w:t> </w:t>
      </w:r>
      <w:r>
        <w:rPr>
          <w:color w:val="231F20"/>
          <w:spacing w:val="-3"/>
          <w:w w:val="110"/>
        </w:rPr>
        <w:t>programa</w:t>
      </w:r>
      <w:r>
        <w:rPr>
          <w:color w:val="231F20"/>
          <w:spacing w:val="-16"/>
          <w:w w:val="110"/>
        </w:rPr>
        <w:t> </w:t>
      </w:r>
      <w:r>
        <w:rPr>
          <w:color w:val="231F20"/>
          <w:w w:val="110"/>
        </w:rPr>
        <w:t>de</w:t>
      </w:r>
      <w:r>
        <w:rPr>
          <w:color w:val="231F20"/>
          <w:spacing w:val="-16"/>
          <w:w w:val="110"/>
        </w:rPr>
        <w:t> </w:t>
      </w:r>
      <w:r>
        <w:rPr>
          <w:color w:val="231F20"/>
          <w:spacing w:val="-3"/>
          <w:w w:val="110"/>
        </w:rPr>
        <w:t>austeridad</w:t>
      </w:r>
      <w:r>
        <w:rPr>
          <w:color w:val="231F20"/>
          <w:spacing w:val="-16"/>
          <w:w w:val="110"/>
        </w:rPr>
        <w:t> </w:t>
      </w:r>
      <w:r>
        <w:rPr>
          <w:color w:val="231F20"/>
          <w:spacing w:val="-3"/>
          <w:w w:val="110"/>
        </w:rPr>
        <w:t>social</w:t>
      </w:r>
      <w:r>
        <w:rPr>
          <w:color w:val="231F20"/>
          <w:spacing w:val="-16"/>
          <w:w w:val="110"/>
        </w:rPr>
        <w:t> </w:t>
      </w:r>
      <w:r>
        <w:rPr>
          <w:color w:val="231F20"/>
          <w:w w:val="110"/>
        </w:rPr>
        <w:t>que</w:t>
      </w:r>
      <w:r>
        <w:rPr>
          <w:color w:val="231F20"/>
          <w:spacing w:val="-16"/>
          <w:w w:val="110"/>
        </w:rPr>
        <w:t> </w:t>
      </w:r>
      <w:r>
        <w:rPr>
          <w:color w:val="231F20"/>
          <w:w w:val="110"/>
        </w:rPr>
        <w:t>fue</w:t>
      </w:r>
      <w:r>
        <w:rPr>
          <w:color w:val="231F20"/>
          <w:spacing w:val="-16"/>
          <w:w w:val="110"/>
        </w:rPr>
        <w:t> </w:t>
      </w:r>
      <w:r>
        <w:rPr>
          <w:color w:val="231F20"/>
          <w:spacing w:val="-3"/>
          <w:w w:val="110"/>
        </w:rPr>
        <w:t>aprobado</w:t>
      </w:r>
      <w:r>
        <w:rPr>
          <w:color w:val="231F20"/>
          <w:spacing w:val="-16"/>
          <w:w w:val="110"/>
        </w:rPr>
        <w:t> </w:t>
      </w:r>
      <w:r>
        <w:rPr>
          <w:color w:val="231F20"/>
          <w:w w:val="110"/>
        </w:rPr>
        <w:t>por</w:t>
      </w:r>
      <w:r>
        <w:rPr>
          <w:color w:val="231F20"/>
          <w:spacing w:val="-16"/>
          <w:w w:val="110"/>
        </w:rPr>
        <w:t> </w:t>
      </w:r>
      <w:r>
        <w:rPr>
          <w:color w:val="231F20"/>
          <w:w w:val="110"/>
        </w:rPr>
        <w:t>el</w:t>
      </w:r>
      <w:r>
        <w:rPr>
          <w:color w:val="231F20"/>
          <w:spacing w:val="-16"/>
          <w:w w:val="110"/>
        </w:rPr>
        <w:t> </w:t>
      </w:r>
      <w:r>
        <w:rPr>
          <w:color w:val="231F20"/>
          <w:spacing w:val="-3"/>
          <w:w w:val="110"/>
        </w:rPr>
        <w:t>parlamento</w:t>
      </w:r>
      <w:r>
        <w:rPr>
          <w:color w:val="231F20"/>
          <w:spacing w:val="-16"/>
          <w:w w:val="110"/>
        </w:rPr>
        <w:t> </w:t>
      </w:r>
      <w:r>
        <w:rPr>
          <w:color w:val="231F20"/>
          <w:spacing w:val="-3"/>
          <w:w w:val="110"/>
        </w:rPr>
        <w:t>grie-</w:t>
      </w:r>
      <w:r>
        <w:rPr>
          <w:color w:val="231F20"/>
          <w:w w:val="72"/>
        </w:rPr>
        <w:t> </w:t>
      </w:r>
      <w:r>
        <w:rPr>
          <w:color w:val="231F20"/>
          <w:w w:val="110"/>
        </w:rPr>
        <w:t>go </w:t>
      </w:r>
      <w:r>
        <w:rPr>
          <w:color w:val="231F20"/>
          <w:spacing w:val="-3"/>
          <w:w w:val="110"/>
        </w:rPr>
        <w:t>hegemonizado </w:t>
      </w:r>
      <w:r>
        <w:rPr>
          <w:color w:val="231F20"/>
          <w:w w:val="110"/>
        </w:rPr>
        <w:t>por el </w:t>
      </w:r>
      <w:r>
        <w:rPr>
          <w:color w:val="231F20"/>
          <w:spacing w:val="-3"/>
          <w:w w:val="110"/>
        </w:rPr>
        <w:t>Movimiento Socialista</w:t>
      </w:r>
      <w:r>
        <w:rPr>
          <w:color w:val="231F20"/>
          <w:spacing w:val="20"/>
          <w:w w:val="110"/>
        </w:rPr>
        <w:t> </w:t>
      </w:r>
      <w:r>
        <w:rPr>
          <w:color w:val="231F20"/>
          <w:spacing w:val="-3"/>
          <w:w w:val="110"/>
        </w:rPr>
        <w:t>Panhelénico</w:t>
      </w:r>
      <w:r>
        <w:rPr>
          <w:color w:val="231F20"/>
          <w:spacing w:val="19"/>
          <w:w w:val="110"/>
        </w:rPr>
        <w:t> </w:t>
      </w:r>
      <w:r>
        <w:rPr>
          <w:color w:val="231F20"/>
          <w:spacing w:val="-4"/>
          <w:w w:val="110"/>
        </w:rPr>
        <w:t>(pasok)</w:t>
      </w:r>
      <w:r>
        <w:rPr>
          <w:color w:val="231F20"/>
          <w:w w:val="132"/>
        </w:rPr>
        <w:t> </w:t>
      </w:r>
      <w:r>
        <w:rPr>
          <w:color w:val="231F20"/>
          <w:spacing w:val="-3"/>
          <w:w w:val="110"/>
        </w:rPr>
        <w:t>durante tres años </w:t>
      </w:r>
      <w:r>
        <w:rPr>
          <w:color w:val="231F20"/>
          <w:w w:val="110"/>
        </w:rPr>
        <w:t>y que </w:t>
      </w:r>
      <w:r>
        <w:rPr>
          <w:color w:val="231F20"/>
          <w:spacing w:val="-3"/>
          <w:w w:val="110"/>
        </w:rPr>
        <w:t>incluye drásticos recortes </w:t>
      </w:r>
      <w:r>
        <w:rPr>
          <w:color w:val="231F20"/>
          <w:w w:val="110"/>
        </w:rPr>
        <w:t>en el </w:t>
      </w:r>
      <w:r>
        <w:rPr>
          <w:color w:val="231F20"/>
          <w:spacing w:val="-3"/>
          <w:w w:val="110"/>
        </w:rPr>
        <w:t>gasto  </w:t>
      </w:r>
      <w:r>
        <w:rPr>
          <w:color w:val="231F20"/>
          <w:spacing w:val="29"/>
          <w:w w:val="110"/>
        </w:rPr>
        <w:t> </w:t>
      </w:r>
      <w:r>
        <w:rPr>
          <w:color w:val="231F20"/>
          <w:spacing w:val="-3"/>
          <w:w w:val="110"/>
        </w:rPr>
        <w:t>público</w:t>
      </w:r>
    </w:p>
    <w:p>
      <w:pPr>
        <w:pStyle w:val="BodyText"/>
        <w:spacing w:line="261" w:lineRule="auto"/>
        <w:ind w:left="73" w:right="120"/>
        <w:jc w:val="right"/>
      </w:pPr>
      <w:r>
        <w:rPr>
          <w:color w:val="231F20"/>
          <w:spacing w:val="-3"/>
          <w:w w:val="110"/>
        </w:rPr>
        <w:t>—con énfasis </w:t>
      </w:r>
      <w:r>
        <w:rPr>
          <w:color w:val="231F20"/>
          <w:w w:val="110"/>
        </w:rPr>
        <w:t>en el </w:t>
      </w:r>
      <w:r>
        <w:rPr>
          <w:color w:val="231F20"/>
          <w:spacing w:val="-3"/>
          <w:w w:val="110"/>
        </w:rPr>
        <w:t>gasto social— </w:t>
      </w:r>
      <w:r>
        <w:rPr>
          <w:color w:val="231F20"/>
          <w:w w:val="110"/>
        </w:rPr>
        <w:t>con el fin de </w:t>
      </w:r>
      <w:r>
        <w:rPr>
          <w:color w:val="231F20"/>
          <w:spacing w:val="-3"/>
          <w:w w:val="110"/>
        </w:rPr>
        <w:t>reducir </w:t>
      </w:r>
      <w:r>
        <w:rPr>
          <w:color w:val="231F20"/>
          <w:w w:val="110"/>
        </w:rPr>
        <w:t>un </w:t>
      </w:r>
      <w:r>
        <w:rPr>
          <w:color w:val="231F20"/>
          <w:spacing w:val="-3"/>
          <w:w w:val="110"/>
        </w:rPr>
        <w:t>déficit que</w:t>
      </w:r>
      <w:r>
        <w:rPr>
          <w:color w:val="231F20"/>
          <w:spacing w:val="-3"/>
          <w:w w:val="113"/>
        </w:rPr>
        <w:t> </w:t>
      </w:r>
      <w:r>
        <w:rPr>
          <w:color w:val="231F20"/>
          <w:spacing w:val="-3"/>
          <w:w w:val="110"/>
        </w:rPr>
        <w:t>alcanza 13.6% </w:t>
      </w:r>
      <w:r>
        <w:rPr>
          <w:color w:val="231F20"/>
          <w:w w:val="110"/>
        </w:rPr>
        <w:t>del pib </w:t>
      </w:r>
      <w:r>
        <w:rPr>
          <w:color w:val="231F20"/>
          <w:spacing w:val="-3"/>
          <w:w w:val="110"/>
        </w:rPr>
        <w:t>(</w:t>
      </w:r>
      <w:r>
        <w:rPr>
          <w:i/>
          <w:color w:val="231F20"/>
          <w:spacing w:val="-3"/>
          <w:w w:val="110"/>
        </w:rPr>
        <w:t>La Jornada, </w:t>
      </w:r>
      <w:r>
        <w:rPr>
          <w:color w:val="231F20"/>
          <w:w w:val="110"/>
        </w:rPr>
        <w:t>8 de </w:t>
      </w:r>
      <w:r>
        <w:rPr>
          <w:color w:val="231F20"/>
          <w:spacing w:val="-3"/>
          <w:w w:val="110"/>
        </w:rPr>
        <w:t>mayo </w:t>
      </w:r>
      <w:r>
        <w:rPr>
          <w:color w:val="231F20"/>
          <w:w w:val="110"/>
        </w:rPr>
        <w:t>de </w:t>
      </w:r>
      <w:r>
        <w:rPr>
          <w:color w:val="231F20"/>
          <w:spacing w:val="-3"/>
          <w:w w:val="110"/>
        </w:rPr>
        <w:t>2010) para situarlo</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20"/>
        <w:jc w:val="both"/>
      </w:pPr>
      <w:r>
        <w:rPr>
          <w:color w:val="231F20"/>
          <w:w w:val="105"/>
        </w:rPr>
        <w:t>en </w:t>
      </w:r>
      <w:r>
        <w:rPr>
          <w:color w:val="231F20"/>
          <w:spacing w:val="-3"/>
          <w:w w:val="105"/>
        </w:rPr>
        <w:t>8.1% </w:t>
      </w:r>
      <w:r>
        <w:rPr>
          <w:color w:val="231F20"/>
          <w:w w:val="105"/>
        </w:rPr>
        <w:t>en </w:t>
      </w:r>
      <w:r>
        <w:rPr>
          <w:color w:val="231F20"/>
          <w:spacing w:val="-3"/>
          <w:w w:val="105"/>
        </w:rPr>
        <w:t>2011. Asimismo, </w:t>
      </w:r>
      <w:r>
        <w:rPr>
          <w:color w:val="231F20"/>
          <w:w w:val="105"/>
        </w:rPr>
        <w:t>las </w:t>
      </w:r>
      <w:r>
        <w:rPr>
          <w:color w:val="231F20"/>
          <w:spacing w:val="-3"/>
          <w:w w:val="105"/>
        </w:rPr>
        <w:t>pensiones, </w:t>
      </w:r>
      <w:r>
        <w:rPr>
          <w:color w:val="231F20"/>
          <w:w w:val="105"/>
        </w:rPr>
        <w:t>los </w:t>
      </w:r>
      <w:r>
        <w:rPr>
          <w:color w:val="231F20"/>
          <w:spacing w:val="-3"/>
          <w:w w:val="105"/>
        </w:rPr>
        <w:t>salarios </w:t>
      </w:r>
      <w:r>
        <w:rPr>
          <w:color w:val="231F20"/>
          <w:w w:val="105"/>
        </w:rPr>
        <w:t>de </w:t>
      </w:r>
      <w:r>
        <w:rPr>
          <w:color w:val="231F20"/>
          <w:spacing w:val="-3"/>
          <w:w w:val="105"/>
        </w:rPr>
        <w:t>funcionarios   </w:t>
      </w:r>
      <w:r>
        <w:rPr>
          <w:color w:val="231F20"/>
          <w:w w:val="105"/>
        </w:rPr>
        <w:t>y </w:t>
      </w:r>
      <w:r>
        <w:rPr>
          <w:color w:val="231F20"/>
          <w:spacing w:val="-3"/>
          <w:w w:val="105"/>
        </w:rPr>
        <w:t>otros beneficios sociales </w:t>
      </w:r>
      <w:r>
        <w:rPr>
          <w:color w:val="231F20"/>
          <w:w w:val="105"/>
        </w:rPr>
        <w:t>de la </w:t>
      </w:r>
      <w:r>
        <w:rPr>
          <w:color w:val="231F20"/>
          <w:spacing w:val="-3"/>
          <w:w w:val="105"/>
        </w:rPr>
        <w:t>población serán recortados, mientras aumentan </w:t>
      </w:r>
      <w:r>
        <w:rPr>
          <w:color w:val="231F20"/>
          <w:w w:val="105"/>
        </w:rPr>
        <w:t>los </w:t>
      </w:r>
      <w:r>
        <w:rPr>
          <w:color w:val="231F20"/>
          <w:spacing w:val="-3"/>
          <w:w w:val="105"/>
        </w:rPr>
        <w:t>impuestos </w:t>
      </w:r>
      <w:r>
        <w:rPr>
          <w:color w:val="231F20"/>
          <w:w w:val="105"/>
        </w:rPr>
        <w:t>a la </w:t>
      </w:r>
      <w:r>
        <w:rPr>
          <w:color w:val="231F20"/>
          <w:spacing w:val="-3"/>
          <w:w w:val="105"/>
        </w:rPr>
        <w:t>población. Cabe destacar </w:t>
      </w:r>
      <w:r>
        <w:rPr>
          <w:color w:val="231F20"/>
          <w:w w:val="105"/>
        </w:rPr>
        <w:t>que ya se </w:t>
      </w:r>
      <w:r>
        <w:rPr>
          <w:color w:val="231F20"/>
          <w:spacing w:val="-3"/>
          <w:w w:val="105"/>
        </w:rPr>
        <w:t>aplicó </w:t>
      </w:r>
      <w:r>
        <w:rPr>
          <w:color w:val="231F20"/>
          <w:w w:val="105"/>
        </w:rPr>
        <w:t>un </w:t>
      </w:r>
      <w:r>
        <w:rPr>
          <w:color w:val="231F20"/>
          <w:spacing w:val="-3"/>
          <w:w w:val="105"/>
        </w:rPr>
        <w:t>aumento </w:t>
      </w:r>
      <w:r>
        <w:rPr>
          <w:color w:val="231F20"/>
          <w:w w:val="105"/>
        </w:rPr>
        <w:t>de 10% en los </w:t>
      </w:r>
      <w:r>
        <w:rPr>
          <w:color w:val="231F20"/>
          <w:spacing w:val="-3"/>
          <w:w w:val="105"/>
        </w:rPr>
        <w:t>impuestos sobre </w:t>
      </w:r>
      <w:r>
        <w:rPr>
          <w:color w:val="231F20"/>
          <w:w w:val="105"/>
        </w:rPr>
        <w:t>el </w:t>
      </w:r>
      <w:r>
        <w:rPr>
          <w:color w:val="231F20"/>
          <w:spacing w:val="-3"/>
          <w:w w:val="105"/>
        </w:rPr>
        <w:t>tabaco, </w:t>
      </w:r>
      <w:r>
        <w:rPr>
          <w:color w:val="231F20"/>
          <w:w w:val="105"/>
        </w:rPr>
        <w:t>el </w:t>
      </w:r>
      <w:r>
        <w:rPr>
          <w:color w:val="231F20"/>
          <w:spacing w:val="-3"/>
          <w:w w:val="105"/>
        </w:rPr>
        <w:t>alcohol </w:t>
      </w:r>
      <w:r>
        <w:rPr>
          <w:color w:val="231F20"/>
          <w:w w:val="105"/>
        </w:rPr>
        <w:t>y </w:t>
      </w:r>
      <w:r>
        <w:rPr>
          <w:color w:val="231F20"/>
          <w:spacing w:val="-3"/>
          <w:w w:val="105"/>
        </w:rPr>
        <w:t>la gasolina, </w:t>
      </w:r>
      <w:r>
        <w:rPr>
          <w:color w:val="231F20"/>
          <w:w w:val="105"/>
        </w:rPr>
        <w:t>así </w:t>
      </w:r>
      <w:r>
        <w:rPr>
          <w:color w:val="231F20"/>
          <w:spacing w:val="-3"/>
          <w:w w:val="105"/>
        </w:rPr>
        <w:t>como </w:t>
      </w:r>
      <w:r>
        <w:rPr>
          <w:color w:val="231F20"/>
          <w:w w:val="105"/>
        </w:rPr>
        <w:t>al </w:t>
      </w:r>
      <w:r>
        <w:rPr>
          <w:color w:val="231F20"/>
          <w:spacing w:val="-5"/>
          <w:w w:val="105"/>
        </w:rPr>
        <w:t>iva; </w:t>
      </w:r>
      <w:r>
        <w:rPr>
          <w:color w:val="231F20"/>
          <w:spacing w:val="-3"/>
          <w:w w:val="105"/>
        </w:rPr>
        <w:t>aumentó también </w:t>
      </w:r>
      <w:r>
        <w:rPr>
          <w:color w:val="231F20"/>
          <w:w w:val="105"/>
        </w:rPr>
        <w:t>la </w:t>
      </w:r>
      <w:r>
        <w:rPr>
          <w:color w:val="231F20"/>
          <w:spacing w:val="-3"/>
          <w:w w:val="105"/>
        </w:rPr>
        <w:t>edad </w:t>
      </w:r>
      <w:r>
        <w:rPr>
          <w:color w:val="231F20"/>
          <w:w w:val="105"/>
        </w:rPr>
        <w:t>de </w:t>
      </w:r>
      <w:r>
        <w:rPr>
          <w:color w:val="231F20"/>
          <w:spacing w:val="-3"/>
          <w:w w:val="105"/>
        </w:rPr>
        <w:t>jubilación </w:t>
      </w:r>
      <w:r>
        <w:rPr>
          <w:color w:val="231F20"/>
          <w:w w:val="105"/>
        </w:rPr>
        <w:t>y </w:t>
      </w:r>
      <w:r>
        <w:rPr>
          <w:color w:val="231F20"/>
          <w:spacing w:val="-3"/>
          <w:w w:val="105"/>
        </w:rPr>
        <w:t>se flexibilizaron </w:t>
      </w:r>
      <w:r>
        <w:rPr>
          <w:color w:val="231F20"/>
          <w:w w:val="105"/>
        </w:rPr>
        <w:t>los </w:t>
      </w:r>
      <w:r>
        <w:rPr>
          <w:color w:val="231F20"/>
          <w:spacing w:val="-3"/>
          <w:w w:val="105"/>
        </w:rPr>
        <w:t>despidos </w:t>
      </w:r>
      <w:r>
        <w:rPr>
          <w:color w:val="231F20"/>
          <w:w w:val="105"/>
        </w:rPr>
        <w:t>de </w:t>
      </w:r>
      <w:r>
        <w:rPr>
          <w:color w:val="231F20"/>
          <w:spacing w:val="-3"/>
          <w:w w:val="105"/>
        </w:rPr>
        <w:t>trabajadores  </w:t>
      </w:r>
      <w:r>
        <w:rPr>
          <w:color w:val="231F20"/>
          <w:w w:val="105"/>
        </w:rPr>
        <w:t>y </w:t>
      </w:r>
      <w:r>
        <w:rPr>
          <w:color w:val="231F20"/>
          <w:spacing w:val="-3"/>
          <w:w w:val="105"/>
        </w:rPr>
        <w:t>empleados,  mientras  que  </w:t>
      </w:r>
      <w:r>
        <w:rPr>
          <w:color w:val="231F20"/>
          <w:w w:val="105"/>
        </w:rPr>
        <w:t>la </w:t>
      </w:r>
      <w:r>
        <w:rPr>
          <w:color w:val="231F20"/>
          <w:spacing w:val="-3"/>
          <w:w w:val="105"/>
        </w:rPr>
        <w:t>reforma laboral está pendiente para flexibilizar </w:t>
      </w:r>
      <w:r>
        <w:rPr>
          <w:color w:val="231F20"/>
          <w:w w:val="105"/>
        </w:rPr>
        <w:t>y </w:t>
      </w:r>
      <w:r>
        <w:rPr>
          <w:color w:val="231F20"/>
          <w:spacing w:val="-3"/>
          <w:w w:val="105"/>
        </w:rPr>
        <w:t>precarizar </w:t>
      </w:r>
      <w:r>
        <w:rPr>
          <w:color w:val="231F20"/>
          <w:w w:val="105"/>
        </w:rPr>
        <w:t>aún </w:t>
      </w:r>
      <w:r>
        <w:rPr>
          <w:color w:val="231F20"/>
          <w:spacing w:val="-3"/>
          <w:w w:val="105"/>
        </w:rPr>
        <w:t>más   </w:t>
      </w:r>
      <w:r>
        <w:rPr>
          <w:color w:val="231F20"/>
          <w:w w:val="105"/>
        </w:rPr>
        <w:t>el  </w:t>
      </w:r>
      <w:r>
        <w:rPr>
          <w:color w:val="231F20"/>
          <w:spacing w:val="-3"/>
          <w:w w:val="105"/>
        </w:rPr>
        <w:t>mercado  </w:t>
      </w:r>
      <w:r>
        <w:rPr>
          <w:color w:val="231F20"/>
          <w:w w:val="105"/>
        </w:rPr>
        <w:t>de</w:t>
      </w:r>
      <w:r>
        <w:rPr>
          <w:color w:val="231F20"/>
          <w:spacing w:val="13"/>
          <w:w w:val="105"/>
        </w:rPr>
        <w:t> </w:t>
      </w:r>
      <w:r>
        <w:rPr>
          <w:color w:val="231F20"/>
          <w:spacing w:val="-3"/>
          <w:w w:val="105"/>
        </w:rPr>
        <w:t>trabajo.</w:t>
      </w:r>
    </w:p>
    <w:p>
      <w:pPr>
        <w:pStyle w:val="BodyText"/>
        <w:spacing w:line="261" w:lineRule="auto"/>
        <w:ind w:left="100" w:right="113" w:firstLine="240"/>
        <w:jc w:val="both"/>
      </w:pPr>
      <w:r>
        <w:rPr>
          <w:color w:val="231F20"/>
          <w:w w:val="110"/>
        </w:rPr>
        <w:t>El paquete, además, refuerza las medidas presupuestarias en toda la Unión Europea con todas las consecuencias sociales que ello implica. Entre otras medidas adoptadas destaca un plan general     de “rescate” por 750 mil millones de euros (cercano a un billón de dólares), para todos los países europeos en crisis y se considera el más grande desde que los líderes del Grupo de las 20 naciones más importantes del mundo acordaron inyectar dinero a la economía global tras el colapso del banco Lehman Brothers en 2008, el cuarto banco</w:t>
      </w:r>
      <w:r>
        <w:rPr>
          <w:color w:val="231F20"/>
          <w:spacing w:val="-5"/>
          <w:w w:val="110"/>
        </w:rPr>
        <w:t> </w:t>
      </w:r>
      <w:r>
        <w:rPr>
          <w:color w:val="231F20"/>
          <w:w w:val="110"/>
        </w:rPr>
        <w:t>de</w:t>
      </w:r>
      <w:r>
        <w:rPr>
          <w:color w:val="231F20"/>
          <w:spacing w:val="-5"/>
          <w:w w:val="110"/>
        </w:rPr>
        <w:t> </w:t>
      </w:r>
      <w:r>
        <w:rPr>
          <w:color w:val="231F20"/>
          <w:w w:val="110"/>
        </w:rPr>
        <w:t>inversión</w:t>
      </w:r>
      <w:r>
        <w:rPr>
          <w:color w:val="231F20"/>
          <w:spacing w:val="-5"/>
          <w:w w:val="110"/>
        </w:rPr>
        <w:t> </w:t>
      </w:r>
      <w:r>
        <w:rPr>
          <w:color w:val="231F20"/>
          <w:w w:val="110"/>
        </w:rPr>
        <w:t>en</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rescatado</w:t>
      </w:r>
      <w:r>
        <w:rPr>
          <w:color w:val="231F20"/>
          <w:spacing w:val="-5"/>
          <w:w w:val="110"/>
        </w:rPr>
        <w:t> </w:t>
      </w:r>
      <w:r>
        <w:rPr>
          <w:color w:val="231F20"/>
          <w:w w:val="110"/>
        </w:rPr>
        <w:t>por</w:t>
      </w:r>
      <w:r>
        <w:rPr>
          <w:color w:val="231F20"/>
          <w:spacing w:val="-5"/>
          <w:w w:val="110"/>
        </w:rPr>
        <w:t> </w:t>
      </w:r>
      <w:r>
        <w:rPr>
          <w:color w:val="231F20"/>
          <w:w w:val="110"/>
        </w:rPr>
        <w:t>su</w:t>
      </w:r>
      <w:r>
        <w:rPr>
          <w:color w:val="231F20"/>
          <w:spacing w:val="-5"/>
          <w:w w:val="110"/>
        </w:rPr>
        <w:t> </w:t>
      </w:r>
      <w:r>
        <w:rPr>
          <w:color w:val="231F20"/>
          <w:w w:val="110"/>
        </w:rPr>
        <w:t>gobierno</w:t>
      </w:r>
      <w:r>
        <w:rPr>
          <w:color w:val="231F20"/>
          <w:spacing w:val="-5"/>
          <w:w w:val="110"/>
        </w:rPr>
        <w:t> </w:t>
      </w:r>
      <w:r>
        <w:rPr>
          <w:color w:val="231F20"/>
          <w:w w:val="110"/>
        </w:rPr>
        <w:t>(</w:t>
      </w:r>
      <w:r>
        <w:rPr>
          <w:i/>
          <w:color w:val="231F20"/>
          <w:w w:val="110"/>
        </w:rPr>
        <w:t>La </w:t>
      </w:r>
      <w:r>
        <w:rPr>
          <w:i/>
          <w:color w:val="231F20"/>
          <w:w w:val="110"/>
        </w:rPr>
        <w:t>Jornada</w:t>
      </w:r>
      <w:r>
        <w:rPr>
          <w:color w:val="231F20"/>
          <w:w w:val="110"/>
        </w:rPr>
        <w:t>,</w:t>
      </w:r>
      <w:r>
        <w:rPr>
          <w:color w:val="231F20"/>
          <w:spacing w:val="-18"/>
          <w:w w:val="110"/>
        </w:rPr>
        <w:t> </w:t>
      </w:r>
      <w:r>
        <w:rPr>
          <w:color w:val="231F20"/>
          <w:w w:val="110"/>
        </w:rPr>
        <w:t>8</w:t>
      </w:r>
      <w:r>
        <w:rPr>
          <w:color w:val="231F20"/>
          <w:spacing w:val="-18"/>
          <w:w w:val="110"/>
        </w:rPr>
        <w:t> </w:t>
      </w:r>
      <w:r>
        <w:rPr>
          <w:color w:val="231F20"/>
          <w:w w:val="110"/>
        </w:rPr>
        <w:t>de</w:t>
      </w:r>
      <w:r>
        <w:rPr>
          <w:color w:val="231F20"/>
          <w:spacing w:val="-18"/>
          <w:w w:val="110"/>
        </w:rPr>
        <w:t> </w:t>
      </w:r>
      <w:r>
        <w:rPr>
          <w:color w:val="231F20"/>
          <w:w w:val="110"/>
        </w:rPr>
        <w:t>mayo</w:t>
      </w:r>
      <w:r>
        <w:rPr>
          <w:color w:val="231F20"/>
          <w:spacing w:val="-18"/>
          <w:w w:val="110"/>
        </w:rPr>
        <w:t> </w:t>
      </w:r>
      <w:r>
        <w:rPr>
          <w:color w:val="231F20"/>
          <w:w w:val="110"/>
        </w:rPr>
        <w:t>de</w:t>
      </w:r>
      <w:r>
        <w:rPr>
          <w:color w:val="231F20"/>
          <w:spacing w:val="-18"/>
          <w:w w:val="110"/>
        </w:rPr>
        <w:t> </w:t>
      </w:r>
      <w:r>
        <w:rPr>
          <w:color w:val="231F20"/>
          <w:w w:val="110"/>
        </w:rPr>
        <w:t>2010).</w:t>
      </w:r>
    </w:p>
    <w:p>
      <w:pPr>
        <w:pStyle w:val="BodyText"/>
        <w:spacing w:line="261" w:lineRule="auto"/>
        <w:ind w:left="100" w:right="117" w:firstLine="240"/>
        <w:jc w:val="both"/>
      </w:pPr>
      <w:r>
        <w:rPr>
          <w:color w:val="231F20"/>
          <w:w w:val="110"/>
        </w:rPr>
        <w:t>Sin</w:t>
      </w:r>
      <w:r>
        <w:rPr>
          <w:color w:val="231F20"/>
          <w:spacing w:val="-11"/>
          <w:w w:val="110"/>
        </w:rPr>
        <w:t> </w:t>
      </w:r>
      <w:r>
        <w:rPr>
          <w:color w:val="231F20"/>
          <w:w w:val="110"/>
        </w:rPr>
        <w:t>embargo,</w:t>
      </w:r>
      <w:r>
        <w:rPr>
          <w:color w:val="231F20"/>
          <w:spacing w:val="-11"/>
          <w:w w:val="110"/>
        </w:rPr>
        <w:t> </w:t>
      </w:r>
      <w:r>
        <w:rPr>
          <w:color w:val="231F20"/>
          <w:w w:val="110"/>
        </w:rPr>
        <w:t>esas</w:t>
      </w:r>
      <w:r>
        <w:rPr>
          <w:color w:val="231F20"/>
          <w:spacing w:val="-11"/>
          <w:w w:val="110"/>
        </w:rPr>
        <w:t> </w:t>
      </w:r>
      <w:r>
        <w:rPr>
          <w:color w:val="231F20"/>
          <w:w w:val="110"/>
        </w:rPr>
        <w:t>medidas</w:t>
      </w:r>
      <w:r>
        <w:rPr>
          <w:color w:val="231F20"/>
          <w:spacing w:val="-11"/>
          <w:w w:val="110"/>
        </w:rPr>
        <w:t> </w:t>
      </w:r>
      <w:r>
        <w:rPr>
          <w:color w:val="231F20"/>
          <w:w w:val="110"/>
        </w:rPr>
        <w:t>no</w:t>
      </w:r>
      <w:r>
        <w:rPr>
          <w:color w:val="231F20"/>
          <w:spacing w:val="-11"/>
          <w:w w:val="110"/>
        </w:rPr>
        <w:t> </w:t>
      </w:r>
      <w:r>
        <w:rPr>
          <w:color w:val="231F20"/>
          <w:w w:val="110"/>
        </w:rPr>
        <w:t>atacan</w:t>
      </w:r>
      <w:r>
        <w:rPr>
          <w:color w:val="231F20"/>
          <w:spacing w:val="-11"/>
          <w:w w:val="110"/>
        </w:rPr>
        <w:t> </w:t>
      </w:r>
      <w:r>
        <w:rPr>
          <w:color w:val="231F20"/>
          <w:w w:val="110"/>
        </w:rPr>
        <w:t>de</w:t>
      </w:r>
      <w:r>
        <w:rPr>
          <w:color w:val="231F20"/>
          <w:spacing w:val="-11"/>
          <w:w w:val="110"/>
        </w:rPr>
        <w:t> </w:t>
      </w:r>
      <w:r>
        <w:rPr>
          <w:color w:val="231F20"/>
          <w:w w:val="110"/>
        </w:rPr>
        <w:t>raíz</w:t>
      </w:r>
      <w:r>
        <w:rPr>
          <w:color w:val="231F20"/>
          <w:spacing w:val="-11"/>
          <w:w w:val="110"/>
        </w:rPr>
        <w:t> </w:t>
      </w:r>
      <w:r>
        <w:rPr>
          <w:color w:val="231F20"/>
          <w:w w:val="110"/>
        </w:rPr>
        <w:t>los</w:t>
      </w:r>
      <w:r>
        <w:rPr>
          <w:color w:val="231F20"/>
          <w:spacing w:val="-11"/>
          <w:w w:val="110"/>
        </w:rPr>
        <w:t> </w:t>
      </w:r>
      <w:r>
        <w:rPr>
          <w:color w:val="231F20"/>
          <w:w w:val="110"/>
        </w:rPr>
        <w:t>problemas</w:t>
      </w:r>
      <w:r>
        <w:rPr>
          <w:color w:val="231F20"/>
          <w:spacing w:val="-11"/>
          <w:w w:val="110"/>
        </w:rPr>
        <w:t> </w:t>
      </w:r>
      <w:r>
        <w:rPr>
          <w:color w:val="231F20"/>
          <w:w w:val="110"/>
        </w:rPr>
        <w:t>estruc- turales que generaron la crisis griega </w:t>
      </w:r>
      <w:r>
        <w:rPr>
          <w:color w:val="231F20"/>
          <w:spacing w:val="-8"/>
          <w:w w:val="110"/>
        </w:rPr>
        <w:t>y, </w:t>
      </w:r>
      <w:r>
        <w:rPr>
          <w:color w:val="231F20"/>
          <w:w w:val="110"/>
        </w:rPr>
        <w:t>en general, del régimen del capital en Europa </w:t>
      </w:r>
      <w:r>
        <w:rPr>
          <w:color w:val="231F20"/>
        </w:rPr>
        <w:t>y </w:t>
      </w:r>
      <w:r>
        <w:rPr>
          <w:color w:val="231F20"/>
          <w:w w:val="110"/>
        </w:rPr>
        <w:t>en el mundo, por lo que están condenadas al fracaso </w:t>
      </w:r>
      <w:r>
        <w:rPr>
          <w:color w:val="231F20"/>
        </w:rPr>
        <w:t>y </w:t>
      </w:r>
      <w:r>
        <w:rPr>
          <w:color w:val="231F20"/>
          <w:w w:val="110"/>
        </w:rPr>
        <w:t>a generar nuevos paquetes de austeridad para la</w:t>
      </w:r>
      <w:r>
        <w:rPr>
          <w:color w:val="231F20"/>
          <w:spacing w:val="-8"/>
          <w:w w:val="110"/>
        </w:rPr>
        <w:t> </w:t>
      </w:r>
      <w:r>
        <w:rPr>
          <w:color w:val="231F20"/>
          <w:w w:val="110"/>
        </w:rPr>
        <w:t>población. Confirmando lo anterior, el presidente de la Comisión Europea,  José Manuel Durao Baroso, señaló que “hay que apretarse todavía más el cinturón en pos de una mayor austeridad para que los socios de la eurozona hagan esfuerzos adicionales con el fin de atajar sus abultados déficit públicos” (</w:t>
      </w:r>
      <w:r>
        <w:rPr>
          <w:i/>
          <w:color w:val="231F20"/>
          <w:w w:val="110"/>
        </w:rPr>
        <w:t>La Jornada</w:t>
      </w:r>
      <w:r>
        <w:rPr>
          <w:color w:val="231F20"/>
          <w:w w:val="110"/>
        </w:rPr>
        <w:t>, 12 de mayo de 2010). En particular, ese fracaso se da entre otras cosas porque: “El ‘plan de rescate’ de Grecia no ataca a los beneficios </w:t>
      </w:r>
      <w:r>
        <w:rPr>
          <w:color w:val="231F20"/>
        </w:rPr>
        <w:t>y </w:t>
      </w:r>
      <w:r>
        <w:rPr>
          <w:color w:val="231F20"/>
          <w:w w:val="110"/>
        </w:rPr>
        <w:t>las rentas financieras sobre la deuda” (Samary </w:t>
      </w:r>
      <w:r>
        <w:rPr>
          <w:color w:val="231F20"/>
        </w:rPr>
        <w:t>y </w:t>
      </w:r>
      <w:r>
        <w:rPr>
          <w:color w:val="231F20"/>
          <w:w w:val="110"/>
        </w:rPr>
        <w:t>Harari-Kermadec, 10 de mayo de 2010); por el contrario, las estimula </w:t>
      </w:r>
      <w:r>
        <w:rPr>
          <w:color w:val="231F20"/>
        </w:rPr>
        <w:t>y </w:t>
      </w:r>
      <w:r>
        <w:rPr>
          <w:color w:val="231F20"/>
          <w:w w:val="110"/>
        </w:rPr>
        <w:t>protege. </w:t>
      </w:r>
      <w:r>
        <w:rPr>
          <w:color w:val="231F20"/>
        </w:rPr>
        <w:t>Y </w:t>
      </w:r>
      <w:r>
        <w:rPr>
          <w:color w:val="231F20"/>
          <w:w w:val="110"/>
        </w:rPr>
        <w:t>el efecto “contagio” de la crisis griega a otros países de la región, debido a la insuficiencia de las</w:t>
      </w:r>
      <w:r>
        <w:rPr>
          <w:color w:val="231F20"/>
          <w:spacing w:val="-24"/>
          <w:w w:val="110"/>
        </w:rPr>
        <w:t> </w:t>
      </w:r>
      <w:r>
        <w:rPr>
          <w:color w:val="231F20"/>
          <w:w w:val="110"/>
        </w:rPr>
        <w:t>medidas</w:t>
      </w:r>
      <w:r>
        <w:rPr>
          <w:color w:val="231F20"/>
          <w:spacing w:val="-24"/>
          <w:w w:val="110"/>
        </w:rPr>
        <w:t> </w:t>
      </w:r>
      <w:r>
        <w:rPr>
          <w:color w:val="231F20"/>
          <w:w w:val="110"/>
        </w:rPr>
        <w:t>adoptadas,</w:t>
      </w:r>
      <w:r>
        <w:rPr>
          <w:color w:val="231F20"/>
          <w:spacing w:val="-24"/>
          <w:w w:val="110"/>
        </w:rPr>
        <w:t> </w:t>
      </w:r>
      <w:r>
        <w:rPr>
          <w:color w:val="231F20"/>
          <w:w w:val="110"/>
        </w:rPr>
        <w:t>lo</w:t>
      </w:r>
      <w:r>
        <w:rPr>
          <w:color w:val="231F20"/>
          <w:spacing w:val="-24"/>
          <w:w w:val="110"/>
        </w:rPr>
        <w:t> </w:t>
      </w:r>
      <w:r>
        <w:rPr>
          <w:color w:val="231F20"/>
          <w:w w:val="110"/>
        </w:rPr>
        <w:t>destaca</w:t>
      </w:r>
      <w:r>
        <w:rPr>
          <w:color w:val="231F20"/>
          <w:spacing w:val="-24"/>
          <w:w w:val="110"/>
        </w:rPr>
        <w:t> </w:t>
      </w:r>
      <w:r>
        <w:rPr>
          <w:color w:val="231F20"/>
          <w:w w:val="110"/>
        </w:rPr>
        <w:t>la</w:t>
      </w:r>
      <w:r>
        <w:rPr>
          <w:color w:val="231F20"/>
          <w:spacing w:val="-24"/>
          <w:w w:val="110"/>
        </w:rPr>
        <w:t> </w:t>
      </w:r>
      <w:r>
        <w:rPr>
          <w:color w:val="231F20"/>
          <w:w w:val="110"/>
        </w:rPr>
        <w:t>agencia</w:t>
      </w:r>
      <w:r>
        <w:rPr>
          <w:color w:val="231F20"/>
          <w:spacing w:val="-24"/>
          <w:w w:val="110"/>
        </w:rPr>
        <w:t> </w:t>
      </w:r>
      <w:r>
        <w:rPr>
          <w:color w:val="231F20"/>
          <w:w w:val="110"/>
        </w:rPr>
        <w:t>calificadora</w:t>
      </w:r>
      <w:r>
        <w:rPr>
          <w:color w:val="231F20"/>
          <w:spacing w:val="-24"/>
          <w:w w:val="110"/>
        </w:rPr>
        <w:t> </w:t>
      </w:r>
      <w:r>
        <w:rPr>
          <w:color w:val="231F20"/>
          <w:w w:val="110"/>
        </w:rPr>
        <w:t>Moody’s</w:t>
      </w:r>
      <w:r>
        <w:rPr>
          <w:color w:val="231F20"/>
          <w:spacing w:val="-24"/>
          <w:w w:val="110"/>
        </w:rPr>
        <w:t> </w:t>
      </w:r>
      <w:r>
        <w:rPr>
          <w:color w:val="231F20"/>
          <w:w w:val="110"/>
        </w:rPr>
        <w:t>que amenaza con rebajar la calificación crediticia de Portugal </w:t>
      </w:r>
      <w:r>
        <w:rPr>
          <w:color w:val="231F20"/>
        </w:rPr>
        <w:t>y </w:t>
      </w:r>
      <w:r>
        <w:rPr>
          <w:color w:val="231F20"/>
          <w:w w:val="110"/>
        </w:rPr>
        <w:t>recortar más</w:t>
      </w:r>
      <w:r>
        <w:rPr>
          <w:color w:val="231F20"/>
          <w:spacing w:val="-9"/>
          <w:w w:val="110"/>
        </w:rPr>
        <w:t> </w:t>
      </w:r>
      <w:r>
        <w:rPr>
          <w:color w:val="231F20"/>
          <w:w w:val="110"/>
        </w:rPr>
        <w:t>la</w:t>
      </w:r>
      <w:r>
        <w:rPr>
          <w:color w:val="231F20"/>
          <w:spacing w:val="-9"/>
          <w:w w:val="110"/>
        </w:rPr>
        <w:t> </w:t>
      </w:r>
      <w:r>
        <w:rPr>
          <w:color w:val="231F20"/>
          <w:w w:val="110"/>
        </w:rPr>
        <w:t>de</w:t>
      </w:r>
      <w:r>
        <w:rPr>
          <w:color w:val="231F20"/>
          <w:spacing w:val="-9"/>
          <w:w w:val="110"/>
        </w:rPr>
        <w:t> </w:t>
      </w:r>
      <w:r>
        <w:rPr>
          <w:color w:val="231F20"/>
          <w:w w:val="110"/>
        </w:rPr>
        <w:t>Grecia</w:t>
      </w:r>
      <w:r>
        <w:rPr>
          <w:color w:val="231F20"/>
          <w:spacing w:val="-9"/>
          <w:w w:val="110"/>
        </w:rPr>
        <w:t> </w:t>
      </w:r>
      <w:r>
        <w:rPr>
          <w:color w:val="231F20"/>
        </w:rPr>
        <w:t>y</w:t>
      </w:r>
      <w:r>
        <w:rPr>
          <w:color w:val="231F20"/>
          <w:spacing w:val="-4"/>
        </w:rPr>
        <w:t> </w:t>
      </w:r>
      <w:r>
        <w:rPr>
          <w:color w:val="231F20"/>
          <w:w w:val="110"/>
        </w:rPr>
        <w:t>reducirla</w:t>
      </w:r>
      <w:r>
        <w:rPr>
          <w:color w:val="231F20"/>
          <w:spacing w:val="-9"/>
          <w:w w:val="110"/>
        </w:rPr>
        <w:t> </w:t>
      </w:r>
      <w:r>
        <w:rPr>
          <w:color w:val="231F20"/>
          <w:w w:val="110"/>
        </w:rPr>
        <w:t>a</w:t>
      </w:r>
      <w:r>
        <w:rPr>
          <w:color w:val="231F20"/>
          <w:spacing w:val="-9"/>
          <w:w w:val="110"/>
        </w:rPr>
        <w:t> </w:t>
      </w:r>
      <w:r>
        <w:rPr>
          <w:color w:val="231F20"/>
          <w:w w:val="110"/>
        </w:rPr>
        <w:t>estatus</w:t>
      </w:r>
      <w:r>
        <w:rPr>
          <w:color w:val="231F20"/>
          <w:spacing w:val="-9"/>
          <w:w w:val="110"/>
        </w:rPr>
        <w:t> </w:t>
      </w:r>
      <w:r>
        <w:rPr>
          <w:color w:val="231F20"/>
          <w:w w:val="110"/>
        </w:rPr>
        <w:t>de</w:t>
      </w:r>
      <w:r>
        <w:rPr>
          <w:color w:val="231F20"/>
          <w:spacing w:val="-9"/>
          <w:w w:val="110"/>
        </w:rPr>
        <w:t> </w:t>
      </w:r>
      <w:r>
        <w:rPr>
          <w:color w:val="231F20"/>
          <w:w w:val="110"/>
        </w:rPr>
        <w:t>“basura”</w:t>
      </w:r>
      <w:r>
        <w:rPr>
          <w:color w:val="231F20"/>
          <w:spacing w:val="-9"/>
          <w:w w:val="110"/>
        </w:rPr>
        <w:t> </w:t>
      </w:r>
      <w:r>
        <w:rPr>
          <w:color w:val="231F20"/>
          <w:w w:val="110"/>
        </w:rPr>
        <w:t>(</w:t>
      </w:r>
      <w:r>
        <w:rPr>
          <w:i/>
          <w:color w:val="231F20"/>
          <w:w w:val="110"/>
        </w:rPr>
        <w:t>La</w:t>
      </w:r>
      <w:r>
        <w:rPr>
          <w:i/>
          <w:color w:val="231F20"/>
          <w:spacing w:val="-9"/>
          <w:w w:val="110"/>
        </w:rPr>
        <w:t> </w:t>
      </w:r>
      <w:r>
        <w:rPr>
          <w:i/>
          <w:color w:val="231F20"/>
          <w:w w:val="110"/>
        </w:rPr>
        <w:t>Jornada,</w:t>
      </w:r>
      <w:r>
        <w:rPr>
          <w:i/>
          <w:color w:val="231F20"/>
          <w:spacing w:val="-9"/>
          <w:w w:val="110"/>
        </w:rPr>
        <w:t> </w:t>
      </w:r>
      <w:r>
        <w:rPr>
          <w:color w:val="231F20"/>
          <w:w w:val="110"/>
        </w:rPr>
        <w:t>12</w:t>
      </w:r>
      <w:r>
        <w:rPr>
          <w:color w:val="231F20"/>
          <w:spacing w:val="-9"/>
          <w:w w:val="110"/>
        </w:rPr>
        <w:t> </w:t>
      </w:r>
      <w:r>
        <w:rPr>
          <w:color w:val="231F20"/>
          <w:w w:val="110"/>
        </w:rPr>
        <w:t>de mayo de 2010). “El contagio se ha extendido desde Grecia —histó- ricamente un crédito más débil en la zona euro— a soberanos con métricas de crédito más fuertes como Portugal, Irlanda </w:t>
      </w:r>
      <w:r>
        <w:rPr>
          <w:color w:val="231F20"/>
        </w:rPr>
        <w:t>y </w:t>
      </w:r>
      <w:r>
        <w:rPr>
          <w:color w:val="231F20"/>
          <w:w w:val="110"/>
        </w:rPr>
        <w:t>España”, reveló</w:t>
      </w:r>
      <w:r>
        <w:rPr>
          <w:color w:val="231F20"/>
          <w:spacing w:val="-18"/>
          <w:w w:val="110"/>
        </w:rPr>
        <w:t> </w:t>
      </w:r>
      <w:r>
        <w:rPr>
          <w:color w:val="231F20"/>
          <w:w w:val="110"/>
        </w:rPr>
        <w:t>la</w:t>
      </w:r>
      <w:r>
        <w:rPr>
          <w:color w:val="231F20"/>
          <w:spacing w:val="-18"/>
          <w:w w:val="110"/>
        </w:rPr>
        <w:t> </w:t>
      </w:r>
      <w:r>
        <w:rPr>
          <w:color w:val="231F20"/>
          <w:w w:val="110"/>
        </w:rPr>
        <w:t>agencia</w:t>
      </w:r>
      <w:r>
        <w:rPr>
          <w:color w:val="231F20"/>
          <w:spacing w:val="-18"/>
          <w:w w:val="110"/>
        </w:rPr>
        <w:t> </w:t>
      </w:r>
      <w:r>
        <w:rPr>
          <w:color w:val="231F20"/>
          <w:w w:val="110"/>
        </w:rPr>
        <w:t>calificadora</w:t>
      </w:r>
      <w:r>
        <w:rPr>
          <w:color w:val="231F20"/>
          <w:spacing w:val="-18"/>
          <w:w w:val="110"/>
        </w:rPr>
        <w:t> </w:t>
      </w:r>
      <w:r>
        <w:rPr>
          <w:color w:val="231F20"/>
          <w:w w:val="110"/>
        </w:rPr>
        <w:t>Moody’s.</w:t>
      </w:r>
      <w:r>
        <w:rPr>
          <w:color w:val="231F20"/>
          <w:spacing w:val="-18"/>
          <w:w w:val="110"/>
        </w:rPr>
        <w:t> </w:t>
      </w:r>
      <w:r>
        <w:rPr>
          <w:color w:val="231F20"/>
          <w:w w:val="110"/>
        </w:rPr>
        <w:t>A</w:t>
      </w:r>
      <w:r>
        <w:rPr>
          <w:color w:val="231F20"/>
          <w:spacing w:val="-18"/>
          <w:w w:val="110"/>
        </w:rPr>
        <w:t> </w:t>
      </w:r>
      <w:r>
        <w:rPr>
          <w:color w:val="231F20"/>
          <w:w w:val="110"/>
        </w:rPr>
        <w:t>partir</w:t>
      </w:r>
      <w:r>
        <w:rPr>
          <w:color w:val="231F20"/>
          <w:spacing w:val="-18"/>
          <w:w w:val="110"/>
        </w:rPr>
        <w:t> </w:t>
      </w:r>
      <w:r>
        <w:rPr>
          <w:color w:val="231F20"/>
          <w:w w:val="110"/>
        </w:rPr>
        <w:t>de</w:t>
      </w:r>
      <w:r>
        <w:rPr>
          <w:color w:val="231F20"/>
          <w:spacing w:val="-18"/>
          <w:w w:val="110"/>
        </w:rPr>
        <w:t> </w:t>
      </w:r>
      <w:r>
        <w:rPr>
          <w:color w:val="231F20"/>
          <w:w w:val="110"/>
        </w:rPr>
        <w:t>aquí</w:t>
      </w:r>
      <w:r>
        <w:rPr>
          <w:color w:val="231F20"/>
          <w:spacing w:val="-18"/>
          <w:w w:val="110"/>
        </w:rPr>
        <w:t> </w:t>
      </w:r>
      <w:r>
        <w:rPr>
          <w:color w:val="231F20"/>
          <w:w w:val="110"/>
        </w:rPr>
        <w:t>la</w:t>
      </w:r>
      <w:r>
        <w:rPr>
          <w:color w:val="231F20"/>
          <w:spacing w:val="-18"/>
          <w:w w:val="110"/>
        </w:rPr>
        <w:t> </w:t>
      </w:r>
      <w:r>
        <w:rPr>
          <w:color w:val="231F20"/>
          <w:w w:val="110"/>
        </w:rPr>
        <w:t>imposición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de paquetes de austeridad se ha ido extendiendo como lava</w:t>
      </w:r>
      <w:r>
        <w:rPr>
          <w:color w:val="231F20"/>
          <w:spacing w:val="-30"/>
          <w:w w:val="110"/>
        </w:rPr>
        <w:t> </w:t>
      </w:r>
      <w:r>
        <w:rPr>
          <w:color w:val="231F20"/>
          <w:w w:val="110"/>
        </w:rPr>
        <w:t>hirviente a más países del sur de</w:t>
      </w:r>
      <w:r>
        <w:rPr>
          <w:color w:val="231F20"/>
          <w:spacing w:val="38"/>
          <w:w w:val="110"/>
        </w:rPr>
        <w:t> </w:t>
      </w:r>
      <w:r>
        <w:rPr>
          <w:color w:val="231F20"/>
          <w:w w:val="110"/>
        </w:rPr>
        <w:t>Europa.</w:t>
      </w:r>
    </w:p>
    <w:p>
      <w:pPr>
        <w:pStyle w:val="BodyText"/>
        <w:spacing w:line="261" w:lineRule="auto"/>
        <w:ind w:left="100" w:right="117" w:firstLine="252"/>
        <w:jc w:val="both"/>
      </w:pPr>
      <w:r>
        <w:rPr>
          <w:color w:val="231F20"/>
          <w:w w:val="110"/>
        </w:rPr>
        <w:t>En efecto, el 12 de mayo de 2010 el presidente socialdemócrata del Estado Español anunció la posibilidad de poner en vigor un pa- quete de austeridad a la población para reducir el déficit público del gobierno</w:t>
      </w:r>
      <w:r>
        <w:rPr>
          <w:color w:val="231F20"/>
          <w:spacing w:val="-17"/>
          <w:w w:val="110"/>
        </w:rPr>
        <w:t> </w:t>
      </w:r>
      <w:r>
        <w:rPr>
          <w:color w:val="231F20"/>
          <w:w w:val="110"/>
        </w:rPr>
        <w:t>de</w:t>
      </w:r>
      <w:r>
        <w:rPr>
          <w:color w:val="231F20"/>
          <w:spacing w:val="-17"/>
          <w:w w:val="110"/>
        </w:rPr>
        <w:t> </w:t>
      </w:r>
      <w:r>
        <w:rPr>
          <w:color w:val="231F20"/>
          <w:w w:val="110"/>
        </w:rPr>
        <w:t>11.1%</w:t>
      </w:r>
      <w:r>
        <w:rPr>
          <w:color w:val="231F20"/>
          <w:spacing w:val="-17"/>
          <w:w w:val="110"/>
        </w:rPr>
        <w:t> </w:t>
      </w:r>
      <w:r>
        <w:rPr>
          <w:color w:val="231F20"/>
          <w:w w:val="110"/>
        </w:rPr>
        <w:t>a</w:t>
      </w:r>
      <w:r>
        <w:rPr>
          <w:color w:val="231F20"/>
          <w:spacing w:val="-17"/>
          <w:w w:val="110"/>
        </w:rPr>
        <w:t> </w:t>
      </w:r>
      <w:r>
        <w:rPr>
          <w:color w:val="231F20"/>
          <w:w w:val="110"/>
        </w:rPr>
        <w:t>3.0%</w:t>
      </w:r>
      <w:r>
        <w:rPr>
          <w:color w:val="231F20"/>
          <w:spacing w:val="-17"/>
          <w:w w:val="110"/>
        </w:rPr>
        <w:t> </w:t>
      </w:r>
      <w:r>
        <w:rPr>
          <w:color w:val="231F20"/>
          <w:w w:val="110"/>
        </w:rPr>
        <w:t>entre</w:t>
      </w:r>
      <w:r>
        <w:rPr>
          <w:color w:val="231F20"/>
          <w:spacing w:val="-17"/>
          <w:w w:val="110"/>
        </w:rPr>
        <w:t> </w:t>
      </w:r>
      <w:r>
        <w:rPr>
          <w:color w:val="231F20"/>
          <w:w w:val="110"/>
        </w:rPr>
        <w:t>2010</w:t>
      </w:r>
      <w:r>
        <w:rPr>
          <w:color w:val="231F20"/>
          <w:spacing w:val="-17"/>
          <w:w w:val="110"/>
        </w:rPr>
        <w:t> </w:t>
      </w:r>
      <w:r>
        <w:rPr>
          <w:color w:val="231F20"/>
          <w:w w:val="110"/>
        </w:rPr>
        <w:t>y</w:t>
      </w:r>
      <w:r>
        <w:rPr>
          <w:color w:val="231F20"/>
          <w:spacing w:val="-17"/>
          <w:w w:val="110"/>
        </w:rPr>
        <w:t> </w:t>
      </w:r>
      <w:r>
        <w:rPr>
          <w:color w:val="231F20"/>
          <w:w w:val="110"/>
        </w:rPr>
        <w:t>2013.</w:t>
      </w:r>
      <w:r>
        <w:rPr>
          <w:color w:val="231F20"/>
          <w:spacing w:val="-17"/>
          <w:w w:val="110"/>
        </w:rPr>
        <w:t> </w:t>
      </w:r>
      <w:r>
        <w:rPr>
          <w:color w:val="231F20"/>
          <w:w w:val="110"/>
        </w:rPr>
        <w:t>El</w:t>
      </w:r>
      <w:r>
        <w:rPr>
          <w:color w:val="231F20"/>
          <w:spacing w:val="-17"/>
          <w:w w:val="110"/>
        </w:rPr>
        <w:t> </w:t>
      </w:r>
      <w:r>
        <w:rPr>
          <w:color w:val="231F20"/>
          <w:w w:val="110"/>
        </w:rPr>
        <w:t>objetivo</w:t>
      </w:r>
      <w:r>
        <w:rPr>
          <w:color w:val="231F20"/>
          <w:spacing w:val="-17"/>
          <w:w w:val="110"/>
        </w:rPr>
        <w:t> </w:t>
      </w:r>
      <w:r>
        <w:rPr>
          <w:color w:val="231F20"/>
          <w:w w:val="110"/>
        </w:rPr>
        <w:t>es</w:t>
      </w:r>
      <w:r>
        <w:rPr>
          <w:color w:val="231F20"/>
          <w:spacing w:val="-17"/>
          <w:w w:val="110"/>
        </w:rPr>
        <w:t> </w:t>
      </w:r>
      <w:r>
        <w:rPr>
          <w:color w:val="231F20"/>
          <w:w w:val="110"/>
        </w:rPr>
        <w:t>“ahorrar”</w:t>
      </w:r>
    </w:p>
    <w:p>
      <w:pPr>
        <w:pStyle w:val="BodyText"/>
        <w:ind w:left="100"/>
        <w:jc w:val="both"/>
      </w:pPr>
      <w:r>
        <w:rPr>
          <w:color w:val="231F20"/>
          <w:w w:val="110"/>
        </w:rPr>
        <w:t>5 000 millones más en 2010 y un total de 10 000 en 2011. De</w:t>
      </w:r>
      <w:r>
        <w:rPr>
          <w:color w:val="231F20"/>
          <w:spacing w:val="54"/>
          <w:w w:val="110"/>
        </w:rPr>
        <w:t> </w:t>
      </w:r>
      <w:r>
        <w:rPr>
          <w:color w:val="231F20"/>
          <w:w w:val="110"/>
        </w:rPr>
        <w:t>ellos,</w:t>
      </w:r>
    </w:p>
    <w:p>
      <w:pPr>
        <w:pStyle w:val="ListParagraph"/>
        <w:numPr>
          <w:ilvl w:val="1"/>
          <w:numId w:val="2"/>
        </w:numPr>
        <w:tabs>
          <w:tab w:pos="414" w:val="left" w:leader="none"/>
        </w:tabs>
        <w:spacing w:line="261" w:lineRule="auto" w:before="20" w:after="0"/>
        <w:ind w:left="100" w:right="117" w:firstLine="0"/>
        <w:jc w:val="both"/>
        <w:rPr>
          <w:sz w:val="20"/>
        </w:rPr>
      </w:pPr>
      <w:r>
        <w:rPr>
          <w:color w:val="231F20"/>
          <w:w w:val="110"/>
          <w:sz w:val="20"/>
        </w:rPr>
        <w:t>millones</w:t>
      </w:r>
      <w:r>
        <w:rPr>
          <w:color w:val="231F20"/>
          <w:spacing w:val="-9"/>
          <w:w w:val="110"/>
          <w:sz w:val="20"/>
        </w:rPr>
        <w:t> </w:t>
      </w:r>
      <w:r>
        <w:rPr>
          <w:color w:val="231F20"/>
          <w:w w:val="110"/>
          <w:sz w:val="20"/>
        </w:rPr>
        <w:t>saldrán</w:t>
      </w:r>
      <w:r>
        <w:rPr>
          <w:color w:val="231F20"/>
          <w:spacing w:val="-9"/>
          <w:w w:val="110"/>
          <w:sz w:val="20"/>
        </w:rPr>
        <w:t> </w:t>
      </w:r>
      <w:r>
        <w:rPr>
          <w:color w:val="231F20"/>
          <w:w w:val="110"/>
          <w:sz w:val="20"/>
        </w:rPr>
        <w:t>de</w:t>
      </w:r>
      <w:r>
        <w:rPr>
          <w:color w:val="231F20"/>
          <w:spacing w:val="-9"/>
          <w:w w:val="110"/>
          <w:sz w:val="20"/>
        </w:rPr>
        <w:t> </w:t>
      </w:r>
      <w:r>
        <w:rPr>
          <w:color w:val="231F20"/>
          <w:w w:val="110"/>
          <w:sz w:val="20"/>
        </w:rPr>
        <w:t>comunidades</w:t>
      </w:r>
      <w:r>
        <w:rPr>
          <w:color w:val="231F20"/>
          <w:spacing w:val="-9"/>
          <w:w w:val="110"/>
          <w:sz w:val="20"/>
        </w:rPr>
        <w:t> </w:t>
      </w:r>
      <w:r>
        <w:rPr>
          <w:color w:val="231F20"/>
          <w:w w:val="110"/>
          <w:sz w:val="20"/>
        </w:rPr>
        <w:t>y</w:t>
      </w:r>
      <w:r>
        <w:rPr>
          <w:color w:val="231F20"/>
          <w:spacing w:val="-9"/>
          <w:w w:val="110"/>
          <w:sz w:val="20"/>
        </w:rPr>
        <w:t> </w:t>
      </w:r>
      <w:r>
        <w:rPr>
          <w:color w:val="231F20"/>
          <w:w w:val="110"/>
          <w:sz w:val="20"/>
        </w:rPr>
        <w:t>ayuntamientos.</w:t>
      </w:r>
      <w:r>
        <w:rPr>
          <w:color w:val="231F20"/>
          <w:spacing w:val="-9"/>
          <w:w w:val="110"/>
          <w:sz w:val="20"/>
        </w:rPr>
        <w:t> </w:t>
      </w:r>
      <w:r>
        <w:rPr>
          <w:color w:val="231F20"/>
          <w:spacing w:val="-3"/>
          <w:w w:val="110"/>
          <w:sz w:val="20"/>
        </w:rPr>
        <w:t>También</w:t>
      </w:r>
      <w:r>
        <w:rPr>
          <w:color w:val="231F20"/>
          <w:spacing w:val="-9"/>
          <w:w w:val="110"/>
          <w:sz w:val="20"/>
        </w:rPr>
        <w:t> </w:t>
      </w:r>
      <w:r>
        <w:rPr>
          <w:color w:val="231F20"/>
          <w:w w:val="110"/>
          <w:sz w:val="20"/>
        </w:rPr>
        <w:t>con- templa</w:t>
      </w:r>
      <w:r>
        <w:rPr>
          <w:color w:val="231F20"/>
          <w:spacing w:val="-21"/>
          <w:w w:val="110"/>
          <w:sz w:val="20"/>
        </w:rPr>
        <w:t> </w:t>
      </w:r>
      <w:r>
        <w:rPr>
          <w:color w:val="231F20"/>
          <w:w w:val="110"/>
          <w:sz w:val="20"/>
        </w:rPr>
        <w:t>disminuir</w:t>
      </w:r>
      <w:r>
        <w:rPr>
          <w:color w:val="231F20"/>
          <w:spacing w:val="-21"/>
          <w:w w:val="110"/>
          <w:sz w:val="20"/>
        </w:rPr>
        <w:t> </w:t>
      </w:r>
      <w:r>
        <w:rPr>
          <w:color w:val="231F20"/>
          <w:w w:val="110"/>
          <w:sz w:val="20"/>
        </w:rPr>
        <w:t>en</w:t>
      </w:r>
      <w:r>
        <w:rPr>
          <w:color w:val="231F20"/>
          <w:spacing w:val="-21"/>
          <w:w w:val="110"/>
          <w:sz w:val="20"/>
        </w:rPr>
        <w:t> </w:t>
      </w:r>
      <w:r>
        <w:rPr>
          <w:color w:val="231F20"/>
          <w:w w:val="110"/>
          <w:sz w:val="20"/>
        </w:rPr>
        <w:t>décimas</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previsión</w:t>
      </w:r>
      <w:r>
        <w:rPr>
          <w:color w:val="231F20"/>
          <w:spacing w:val="-21"/>
          <w:w w:val="110"/>
          <w:sz w:val="20"/>
        </w:rPr>
        <w:t> </w:t>
      </w:r>
      <w:r>
        <w:rPr>
          <w:color w:val="231F20"/>
          <w:w w:val="110"/>
          <w:sz w:val="20"/>
        </w:rPr>
        <w:t>del</w:t>
      </w:r>
      <w:r>
        <w:rPr>
          <w:color w:val="231F20"/>
          <w:spacing w:val="-21"/>
          <w:w w:val="110"/>
          <w:sz w:val="20"/>
        </w:rPr>
        <w:t> </w:t>
      </w:r>
      <w:r>
        <w:rPr>
          <w:color w:val="231F20"/>
          <w:w w:val="110"/>
          <w:sz w:val="20"/>
        </w:rPr>
        <w:t>pib</w:t>
      </w:r>
      <w:r>
        <w:rPr>
          <w:color w:val="231F20"/>
          <w:spacing w:val="-21"/>
          <w:w w:val="110"/>
          <w:sz w:val="20"/>
        </w:rPr>
        <w:t> </w:t>
      </w:r>
      <w:r>
        <w:rPr>
          <w:color w:val="231F20"/>
          <w:w w:val="110"/>
          <w:sz w:val="20"/>
        </w:rPr>
        <w:t>para</w:t>
      </w:r>
      <w:r>
        <w:rPr>
          <w:color w:val="231F20"/>
          <w:spacing w:val="-21"/>
          <w:w w:val="110"/>
          <w:sz w:val="20"/>
        </w:rPr>
        <w:t> </w:t>
      </w:r>
      <w:r>
        <w:rPr>
          <w:color w:val="231F20"/>
          <w:w w:val="110"/>
          <w:sz w:val="20"/>
        </w:rPr>
        <w:t>2011</w:t>
      </w:r>
      <w:r>
        <w:rPr>
          <w:color w:val="231F20"/>
          <w:spacing w:val="-21"/>
          <w:w w:val="110"/>
          <w:sz w:val="20"/>
        </w:rPr>
        <w:t> </w:t>
      </w:r>
      <w:r>
        <w:rPr>
          <w:color w:val="231F20"/>
          <w:w w:val="110"/>
          <w:sz w:val="20"/>
        </w:rPr>
        <w:t>(</w:t>
      </w:r>
      <w:r>
        <w:rPr>
          <w:i/>
          <w:color w:val="231F20"/>
          <w:w w:val="110"/>
          <w:sz w:val="20"/>
        </w:rPr>
        <w:t>El</w:t>
      </w:r>
      <w:r>
        <w:rPr>
          <w:i/>
          <w:color w:val="231F20"/>
          <w:spacing w:val="-21"/>
          <w:w w:val="110"/>
          <w:sz w:val="20"/>
        </w:rPr>
        <w:t> </w:t>
      </w:r>
      <w:r>
        <w:rPr>
          <w:i/>
          <w:color w:val="231F20"/>
          <w:w w:val="110"/>
          <w:sz w:val="20"/>
        </w:rPr>
        <w:t>País</w:t>
      </w:r>
      <w:r>
        <w:rPr>
          <w:i/>
          <w:color w:val="231F20"/>
          <w:spacing w:val="-21"/>
          <w:w w:val="110"/>
          <w:sz w:val="20"/>
        </w:rPr>
        <w:t> </w:t>
      </w:r>
      <w:r>
        <w:rPr>
          <w:i/>
          <w:color w:val="231F20"/>
          <w:w w:val="110"/>
          <w:sz w:val="20"/>
        </w:rPr>
        <w:t>en </w:t>
      </w:r>
      <w:r>
        <w:rPr>
          <w:i/>
          <w:color w:val="231F20"/>
          <w:w w:val="110"/>
          <w:sz w:val="20"/>
        </w:rPr>
        <w:t>línea</w:t>
      </w:r>
      <w:r>
        <w:rPr>
          <w:color w:val="231F20"/>
          <w:w w:val="110"/>
          <w:sz w:val="20"/>
        </w:rPr>
        <w:t>,</w:t>
      </w:r>
      <w:r>
        <w:rPr>
          <w:color w:val="231F20"/>
          <w:spacing w:val="-4"/>
          <w:w w:val="110"/>
          <w:sz w:val="20"/>
        </w:rPr>
        <w:t> </w:t>
      </w:r>
      <w:r>
        <w:rPr>
          <w:color w:val="231F20"/>
          <w:w w:val="110"/>
          <w:sz w:val="20"/>
        </w:rPr>
        <w:t>13</w:t>
      </w:r>
      <w:r>
        <w:rPr>
          <w:color w:val="231F20"/>
          <w:spacing w:val="-5"/>
          <w:w w:val="110"/>
          <w:sz w:val="20"/>
        </w:rPr>
        <w:t> </w:t>
      </w:r>
      <w:r>
        <w:rPr>
          <w:color w:val="231F20"/>
          <w:w w:val="110"/>
          <w:sz w:val="20"/>
        </w:rPr>
        <w:t>de</w:t>
      </w:r>
      <w:r>
        <w:rPr>
          <w:color w:val="231F20"/>
          <w:spacing w:val="-4"/>
          <w:w w:val="110"/>
          <w:sz w:val="20"/>
        </w:rPr>
        <w:t> </w:t>
      </w:r>
      <w:r>
        <w:rPr>
          <w:color w:val="231F20"/>
          <w:w w:val="110"/>
          <w:sz w:val="20"/>
        </w:rPr>
        <w:t>mayo</w:t>
      </w:r>
      <w:r>
        <w:rPr>
          <w:color w:val="231F20"/>
          <w:spacing w:val="-4"/>
          <w:w w:val="110"/>
          <w:sz w:val="20"/>
        </w:rPr>
        <w:t> </w:t>
      </w:r>
      <w:r>
        <w:rPr>
          <w:color w:val="231F20"/>
          <w:w w:val="110"/>
          <w:sz w:val="20"/>
        </w:rPr>
        <w:t>de</w:t>
      </w:r>
      <w:r>
        <w:rPr>
          <w:color w:val="231F20"/>
          <w:spacing w:val="-4"/>
          <w:w w:val="110"/>
          <w:sz w:val="20"/>
        </w:rPr>
        <w:t> </w:t>
      </w:r>
      <w:r>
        <w:rPr>
          <w:color w:val="231F20"/>
          <w:w w:val="110"/>
          <w:sz w:val="20"/>
        </w:rPr>
        <w:t>2010).</w:t>
      </w:r>
      <w:r>
        <w:rPr>
          <w:color w:val="231F20"/>
          <w:spacing w:val="-5"/>
          <w:w w:val="110"/>
          <w:sz w:val="20"/>
        </w:rPr>
        <w:t> </w:t>
      </w:r>
      <w:r>
        <w:rPr>
          <w:color w:val="231F20"/>
          <w:w w:val="110"/>
          <w:sz w:val="20"/>
        </w:rPr>
        <w:t>Para</w:t>
      </w:r>
      <w:r>
        <w:rPr>
          <w:color w:val="231F20"/>
          <w:spacing w:val="-4"/>
          <w:w w:val="110"/>
          <w:sz w:val="20"/>
        </w:rPr>
        <w:t> </w:t>
      </w:r>
      <w:r>
        <w:rPr>
          <w:color w:val="231F20"/>
          <w:w w:val="110"/>
          <w:sz w:val="20"/>
        </w:rPr>
        <w:t>ello</w:t>
      </w:r>
      <w:r>
        <w:rPr>
          <w:color w:val="231F20"/>
          <w:spacing w:val="-5"/>
          <w:w w:val="110"/>
          <w:sz w:val="20"/>
        </w:rPr>
        <w:t> </w:t>
      </w:r>
      <w:r>
        <w:rPr>
          <w:color w:val="231F20"/>
          <w:w w:val="110"/>
          <w:sz w:val="20"/>
        </w:rPr>
        <w:t>plantea</w:t>
      </w:r>
      <w:r>
        <w:rPr>
          <w:color w:val="231F20"/>
          <w:spacing w:val="-4"/>
          <w:w w:val="110"/>
          <w:sz w:val="20"/>
        </w:rPr>
        <w:t> </w:t>
      </w:r>
      <w:r>
        <w:rPr>
          <w:color w:val="231F20"/>
          <w:w w:val="110"/>
          <w:sz w:val="20"/>
        </w:rPr>
        <w:t>impulsar</w:t>
      </w:r>
      <w:r>
        <w:rPr>
          <w:color w:val="231F20"/>
          <w:spacing w:val="-5"/>
          <w:w w:val="110"/>
          <w:sz w:val="20"/>
        </w:rPr>
        <w:t> </w:t>
      </w:r>
      <w:r>
        <w:rPr>
          <w:color w:val="231F20"/>
          <w:w w:val="110"/>
          <w:sz w:val="20"/>
        </w:rPr>
        <w:t>las</w:t>
      </w:r>
      <w:r>
        <w:rPr>
          <w:color w:val="231F20"/>
          <w:spacing w:val="-4"/>
          <w:w w:val="110"/>
          <w:sz w:val="20"/>
        </w:rPr>
        <w:t> </w:t>
      </w:r>
      <w:r>
        <w:rPr>
          <w:color w:val="231F20"/>
          <w:w w:val="110"/>
          <w:sz w:val="20"/>
        </w:rPr>
        <w:t>siguientes medidas a través de un decreto</w:t>
      </w:r>
      <w:r>
        <w:rPr>
          <w:color w:val="231F20"/>
          <w:spacing w:val="27"/>
          <w:w w:val="110"/>
          <w:sz w:val="20"/>
        </w:rPr>
        <w:t> </w:t>
      </w:r>
      <w:r>
        <w:rPr>
          <w:color w:val="231F20"/>
          <w:w w:val="110"/>
          <w:sz w:val="20"/>
        </w:rPr>
        <w:t>ley:</w:t>
      </w:r>
    </w:p>
    <w:p>
      <w:pPr>
        <w:pStyle w:val="BodyText"/>
        <w:spacing w:before="10"/>
      </w:pPr>
    </w:p>
    <w:p>
      <w:pPr>
        <w:pStyle w:val="ListParagraph"/>
        <w:numPr>
          <w:ilvl w:val="2"/>
          <w:numId w:val="2"/>
        </w:numPr>
        <w:tabs>
          <w:tab w:pos="460" w:val="left" w:leader="none"/>
        </w:tabs>
        <w:spacing w:line="261" w:lineRule="auto" w:before="0" w:after="0"/>
        <w:ind w:left="460" w:right="119" w:hanging="160"/>
        <w:jc w:val="both"/>
        <w:rPr>
          <w:sz w:val="20"/>
        </w:rPr>
      </w:pPr>
      <w:r>
        <w:rPr>
          <w:color w:val="231F20"/>
          <w:w w:val="110"/>
          <w:sz w:val="20"/>
        </w:rPr>
        <w:t>Reducir el salario 5% en promedio a los burócratas (unos 2.6 millones) y mantenerlo congelado en</w:t>
      </w:r>
      <w:r>
        <w:rPr>
          <w:color w:val="231F20"/>
          <w:spacing w:val="44"/>
          <w:w w:val="110"/>
          <w:sz w:val="20"/>
        </w:rPr>
        <w:t> </w:t>
      </w:r>
      <w:r>
        <w:rPr>
          <w:color w:val="231F20"/>
          <w:w w:val="110"/>
          <w:sz w:val="20"/>
        </w:rPr>
        <w:t>2011.</w:t>
      </w:r>
    </w:p>
    <w:p>
      <w:pPr>
        <w:pStyle w:val="ListParagraph"/>
        <w:numPr>
          <w:ilvl w:val="2"/>
          <w:numId w:val="2"/>
        </w:numPr>
        <w:tabs>
          <w:tab w:pos="460" w:val="left" w:leader="none"/>
        </w:tabs>
        <w:spacing w:line="261" w:lineRule="auto" w:before="0" w:after="0"/>
        <w:ind w:left="460" w:right="119" w:hanging="160"/>
        <w:jc w:val="both"/>
        <w:rPr>
          <w:sz w:val="20"/>
        </w:rPr>
      </w:pPr>
      <w:r>
        <w:rPr>
          <w:color w:val="231F20"/>
          <w:w w:val="105"/>
          <w:sz w:val="20"/>
        </w:rPr>
        <w:t>Suspender en 2011 la revalorización de las</w:t>
      </w:r>
      <w:r>
        <w:rPr>
          <w:color w:val="231F20"/>
          <w:spacing w:val="29"/>
          <w:w w:val="105"/>
          <w:sz w:val="20"/>
        </w:rPr>
        <w:t> </w:t>
      </w:r>
      <w:r>
        <w:rPr>
          <w:color w:val="231F20"/>
          <w:w w:val="105"/>
          <w:sz w:val="20"/>
        </w:rPr>
        <w:t>pensiones,</w:t>
      </w:r>
      <w:r>
        <w:rPr>
          <w:color w:val="231F20"/>
          <w:spacing w:val="11"/>
          <w:w w:val="105"/>
          <w:sz w:val="20"/>
        </w:rPr>
        <w:t> </w:t>
      </w:r>
      <w:r>
        <w:rPr>
          <w:color w:val="231F20"/>
          <w:w w:val="105"/>
          <w:sz w:val="20"/>
        </w:rPr>
        <w:t>excluyendo</w:t>
      </w:r>
      <w:r>
        <w:rPr>
          <w:color w:val="231F20"/>
          <w:w w:val="108"/>
          <w:sz w:val="20"/>
        </w:rPr>
        <w:t> </w:t>
      </w:r>
      <w:r>
        <w:rPr>
          <w:color w:val="231F20"/>
          <w:w w:val="105"/>
          <w:sz w:val="20"/>
        </w:rPr>
        <w:t>las no contributivas y las pensiones  </w:t>
      </w:r>
      <w:r>
        <w:rPr>
          <w:color w:val="231F20"/>
          <w:spacing w:val="43"/>
          <w:w w:val="105"/>
          <w:sz w:val="20"/>
        </w:rPr>
        <w:t> </w:t>
      </w:r>
      <w:r>
        <w:rPr>
          <w:color w:val="231F20"/>
          <w:w w:val="105"/>
          <w:sz w:val="20"/>
        </w:rPr>
        <w:t>mínimas.</w:t>
      </w:r>
    </w:p>
    <w:p>
      <w:pPr>
        <w:pStyle w:val="ListParagraph"/>
        <w:numPr>
          <w:ilvl w:val="2"/>
          <w:numId w:val="2"/>
        </w:numPr>
        <w:tabs>
          <w:tab w:pos="460" w:val="left" w:leader="none"/>
        </w:tabs>
        <w:spacing w:line="261" w:lineRule="auto" w:before="0" w:after="0"/>
        <w:ind w:left="460" w:right="117" w:hanging="160"/>
        <w:jc w:val="both"/>
        <w:rPr>
          <w:sz w:val="20"/>
        </w:rPr>
      </w:pPr>
      <w:r>
        <w:rPr>
          <w:color w:val="231F20"/>
          <w:w w:val="110"/>
          <w:sz w:val="20"/>
        </w:rPr>
        <w:t>Eliminar el régimen transitorio para la jubilación parcial de la Ley</w:t>
      </w:r>
      <w:r>
        <w:rPr>
          <w:color w:val="231F20"/>
          <w:spacing w:val="-9"/>
          <w:w w:val="110"/>
          <w:sz w:val="20"/>
        </w:rPr>
        <w:t> </w:t>
      </w:r>
      <w:r>
        <w:rPr>
          <w:color w:val="231F20"/>
          <w:w w:val="110"/>
          <w:sz w:val="20"/>
        </w:rPr>
        <w:t>40/2007.</w:t>
      </w:r>
    </w:p>
    <w:p>
      <w:pPr>
        <w:pStyle w:val="ListParagraph"/>
        <w:numPr>
          <w:ilvl w:val="2"/>
          <w:numId w:val="2"/>
        </w:numPr>
        <w:tabs>
          <w:tab w:pos="460" w:val="left" w:leader="none"/>
        </w:tabs>
        <w:spacing w:line="261" w:lineRule="auto" w:before="0" w:after="0"/>
        <w:ind w:left="460" w:right="117" w:hanging="160"/>
        <w:jc w:val="both"/>
        <w:rPr>
          <w:sz w:val="20"/>
        </w:rPr>
      </w:pPr>
      <w:r>
        <w:rPr>
          <w:color w:val="231F20"/>
          <w:w w:val="110"/>
          <w:sz w:val="20"/>
        </w:rPr>
        <w:t>Eliminar la prestación por nacimiento de 2 500 euros a partir</w:t>
      </w:r>
      <w:r>
        <w:rPr>
          <w:color w:val="231F20"/>
          <w:spacing w:val="-38"/>
          <w:w w:val="110"/>
          <w:sz w:val="20"/>
        </w:rPr>
        <w:t> </w:t>
      </w:r>
      <w:r>
        <w:rPr>
          <w:color w:val="231F20"/>
          <w:w w:val="110"/>
          <w:sz w:val="20"/>
        </w:rPr>
        <w:t>del 1 de enero (el </w:t>
      </w:r>
      <w:r>
        <w:rPr>
          <w:color w:val="231F20"/>
          <w:spacing w:val="14"/>
          <w:w w:val="110"/>
          <w:sz w:val="20"/>
        </w:rPr>
        <w:t> </w:t>
      </w:r>
      <w:r>
        <w:rPr>
          <w:color w:val="231F20"/>
          <w:w w:val="110"/>
          <w:sz w:val="20"/>
        </w:rPr>
        <w:t>“cheque–bebé”).</w:t>
      </w:r>
    </w:p>
    <w:p>
      <w:pPr>
        <w:pStyle w:val="ListParagraph"/>
        <w:numPr>
          <w:ilvl w:val="2"/>
          <w:numId w:val="2"/>
        </w:numPr>
        <w:tabs>
          <w:tab w:pos="460" w:val="left" w:leader="none"/>
        </w:tabs>
        <w:spacing w:line="261" w:lineRule="auto" w:before="0" w:after="0"/>
        <w:ind w:left="460" w:right="119" w:hanging="160"/>
        <w:jc w:val="both"/>
        <w:rPr>
          <w:sz w:val="20"/>
        </w:rPr>
      </w:pPr>
      <w:r>
        <w:rPr>
          <w:color w:val="231F20"/>
          <w:w w:val="110"/>
          <w:sz w:val="20"/>
        </w:rPr>
        <w:t>Revisar el precio de los medicamentos (no los de referencia) y adecuar las unidades del envase a la duración estándar del trata- miento (incluso con</w:t>
      </w:r>
      <w:r>
        <w:rPr>
          <w:color w:val="231F20"/>
          <w:spacing w:val="54"/>
          <w:w w:val="110"/>
          <w:sz w:val="20"/>
        </w:rPr>
        <w:t> </w:t>
      </w:r>
      <w:r>
        <w:rPr>
          <w:color w:val="231F20"/>
          <w:w w:val="110"/>
          <w:sz w:val="20"/>
        </w:rPr>
        <w:t>monodosis).</w:t>
      </w:r>
    </w:p>
    <w:p>
      <w:pPr>
        <w:pStyle w:val="ListParagraph"/>
        <w:numPr>
          <w:ilvl w:val="2"/>
          <w:numId w:val="2"/>
        </w:numPr>
        <w:tabs>
          <w:tab w:pos="460" w:val="left" w:leader="none"/>
        </w:tabs>
        <w:spacing w:line="261" w:lineRule="auto" w:before="0" w:after="0"/>
        <w:ind w:left="460" w:right="119" w:hanging="160"/>
        <w:jc w:val="both"/>
        <w:rPr>
          <w:sz w:val="20"/>
        </w:rPr>
      </w:pPr>
      <w:r>
        <w:rPr>
          <w:color w:val="231F20"/>
          <w:w w:val="110"/>
          <w:sz w:val="20"/>
        </w:rPr>
        <w:t>Suprimir para nuevos solicitantes la retroactividad del</w:t>
      </w:r>
      <w:r>
        <w:rPr>
          <w:color w:val="231F20"/>
          <w:spacing w:val="49"/>
          <w:w w:val="110"/>
          <w:sz w:val="20"/>
        </w:rPr>
        <w:t> </w:t>
      </w:r>
      <w:r>
        <w:rPr>
          <w:color w:val="231F20"/>
          <w:w w:val="110"/>
          <w:sz w:val="20"/>
        </w:rPr>
        <w:t>pago</w:t>
      </w:r>
      <w:r>
        <w:rPr>
          <w:color w:val="231F20"/>
          <w:spacing w:val="7"/>
          <w:w w:val="110"/>
          <w:sz w:val="20"/>
        </w:rPr>
        <w:t> </w:t>
      </w:r>
      <w:r>
        <w:rPr>
          <w:color w:val="231F20"/>
          <w:w w:val="110"/>
          <w:sz w:val="20"/>
        </w:rPr>
        <w:t>por</w:t>
      </w:r>
      <w:r>
        <w:rPr>
          <w:color w:val="231F20"/>
          <w:w w:val="115"/>
          <w:sz w:val="20"/>
        </w:rPr>
        <w:t> </w:t>
      </w:r>
      <w:r>
        <w:rPr>
          <w:color w:val="231F20"/>
          <w:w w:val="110"/>
          <w:sz w:val="20"/>
        </w:rPr>
        <w:t>dependencia al día de la presentación, excepto si la tramitación supera el límite de 6</w:t>
      </w:r>
      <w:r>
        <w:rPr>
          <w:color w:val="231F20"/>
          <w:spacing w:val="25"/>
          <w:w w:val="110"/>
          <w:sz w:val="20"/>
        </w:rPr>
        <w:t> </w:t>
      </w:r>
      <w:r>
        <w:rPr>
          <w:color w:val="231F20"/>
          <w:w w:val="110"/>
          <w:sz w:val="20"/>
        </w:rPr>
        <w:t>meses.</w:t>
      </w:r>
    </w:p>
    <w:p>
      <w:pPr>
        <w:pStyle w:val="ListParagraph"/>
        <w:numPr>
          <w:ilvl w:val="2"/>
          <w:numId w:val="2"/>
        </w:numPr>
        <w:tabs>
          <w:tab w:pos="460" w:val="left" w:leader="none"/>
        </w:tabs>
        <w:spacing w:line="261" w:lineRule="auto" w:before="0" w:after="0"/>
        <w:ind w:left="460" w:right="119" w:hanging="160"/>
        <w:jc w:val="both"/>
        <w:rPr>
          <w:sz w:val="20"/>
        </w:rPr>
      </w:pPr>
      <w:r>
        <w:rPr>
          <w:color w:val="231F20"/>
          <w:w w:val="110"/>
          <w:sz w:val="20"/>
        </w:rPr>
        <w:t>Reducir 6 045 millones de inversión pública estatal para 2010 y 2011,</w:t>
      </w:r>
      <w:r>
        <w:rPr>
          <w:color w:val="231F20"/>
          <w:spacing w:val="-12"/>
          <w:w w:val="110"/>
          <w:sz w:val="20"/>
        </w:rPr>
        <w:t> </w:t>
      </w:r>
      <w:r>
        <w:rPr>
          <w:color w:val="231F20"/>
          <w:w w:val="110"/>
          <w:sz w:val="20"/>
        </w:rPr>
        <w:t>y</w:t>
      </w:r>
      <w:r>
        <w:rPr>
          <w:color w:val="231F20"/>
          <w:spacing w:val="-12"/>
          <w:w w:val="110"/>
          <w:sz w:val="20"/>
        </w:rPr>
        <w:t> </w:t>
      </w:r>
      <w:r>
        <w:rPr>
          <w:color w:val="231F20"/>
          <w:w w:val="110"/>
          <w:sz w:val="20"/>
        </w:rPr>
        <w:t>600</w:t>
      </w:r>
      <w:r>
        <w:rPr>
          <w:color w:val="231F20"/>
          <w:spacing w:val="-12"/>
          <w:w w:val="110"/>
          <w:sz w:val="20"/>
        </w:rPr>
        <w:t> </w:t>
      </w:r>
      <w:r>
        <w:rPr>
          <w:color w:val="231F20"/>
          <w:w w:val="110"/>
          <w:sz w:val="20"/>
        </w:rPr>
        <w:t>millones</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Ayuda</w:t>
      </w:r>
      <w:r>
        <w:rPr>
          <w:color w:val="231F20"/>
          <w:spacing w:val="-12"/>
          <w:w w:val="110"/>
          <w:sz w:val="20"/>
        </w:rPr>
        <w:t> </w:t>
      </w:r>
      <w:r>
        <w:rPr>
          <w:color w:val="231F20"/>
          <w:w w:val="110"/>
          <w:sz w:val="20"/>
        </w:rPr>
        <w:t>Oficial</w:t>
      </w:r>
      <w:r>
        <w:rPr>
          <w:color w:val="231F20"/>
          <w:spacing w:val="-12"/>
          <w:w w:val="110"/>
          <w:sz w:val="20"/>
        </w:rPr>
        <w:t> </w:t>
      </w:r>
      <w:r>
        <w:rPr>
          <w:color w:val="231F20"/>
          <w:w w:val="110"/>
          <w:sz w:val="20"/>
        </w:rPr>
        <w:t>al</w:t>
      </w:r>
      <w:r>
        <w:rPr>
          <w:color w:val="231F20"/>
          <w:spacing w:val="-12"/>
          <w:w w:val="110"/>
          <w:sz w:val="20"/>
        </w:rPr>
        <w:t> </w:t>
      </w:r>
      <w:r>
        <w:rPr>
          <w:color w:val="231F20"/>
          <w:w w:val="110"/>
          <w:sz w:val="20"/>
        </w:rPr>
        <w:t>Desarrollo.</w:t>
      </w:r>
    </w:p>
    <w:p>
      <w:pPr>
        <w:pStyle w:val="BodyText"/>
        <w:spacing w:before="8"/>
        <w:rPr>
          <w:sz w:val="21"/>
        </w:rPr>
      </w:pPr>
    </w:p>
    <w:p>
      <w:pPr>
        <w:pStyle w:val="BodyText"/>
        <w:spacing w:line="261" w:lineRule="auto"/>
        <w:ind w:left="100" w:right="115" w:firstLine="252"/>
        <w:jc w:val="both"/>
      </w:pPr>
      <w:r>
        <w:rPr>
          <w:color w:val="231F20"/>
          <w:w w:val="110"/>
        </w:rPr>
        <w:t>Ante esta política unilateral de ajustes económicos anunciados por el gobierno español, al igual que en Grecia, los sindicatos </w:t>
      </w:r>
      <w:r>
        <w:rPr>
          <w:color w:val="231F20"/>
          <w:spacing w:val="2"/>
          <w:w w:val="110"/>
        </w:rPr>
        <w:t>del </w:t>
      </w:r>
      <w:r>
        <w:rPr>
          <w:color w:val="231F20"/>
          <w:w w:val="110"/>
        </w:rPr>
        <w:t>país como la Unión General de Trabajadores (ugt), las Comisiones Obreras (ccoo) y la Federación de </w:t>
      </w:r>
      <w:r>
        <w:rPr>
          <w:color w:val="231F20"/>
          <w:spacing w:val="2"/>
          <w:w w:val="110"/>
        </w:rPr>
        <w:t>Servicios </w:t>
      </w:r>
      <w:r>
        <w:rPr>
          <w:color w:val="231F20"/>
          <w:w w:val="110"/>
        </w:rPr>
        <w:t>Públicos (fsp) anun- ciaron movilizaciones ante la reducción de salarios a </w:t>
      </w:r>
      <w:r>
        <w:rPr>
          <w:color w:val="231F20"/>
          <w:spacing w:val="2"/>
          <w:w w:val="110"/>
        </w:rPr>
        <w:t>trabajadores </w:t>
      </w:r>
      <w:r>
        <w:rPr>
          <w:color w:val="231F20"/>
          <w:w w:val="110"/>
        </w:rPr>
        <w:t>del Estado con la perspectiva de impulsar una huelga general </w:t>
      </w:r>
      <w:r>
        <w:rPr>
          <w:color w:val="231F20"/>
          <w:spacing w:val="2"/>
          <w:w w:val="110"/>
        </w:rPr>
        <w:t>que  </w:t>
      </w:r>
      <w:r>
        <w:rPr>
          <w:color w:val="231F20"/>
          <w:w w:val="110"/>
        </w:rPr>
        <w:t>no se concretó. Sin embargo, es muy probable que las direcciones corporativas de estos sindicatos negocien con el gobierno socialde- mócrata para no concretar la huelga general y mediatizar, así, </w:t>
      </w:r>
      <w:r>
        <w:rPr>
          <w:color w:val="231F20"/>
          <w:spacing w:val="2"/>
          <w:w w:val="110"/>
        </w:rPr>
        <w:t>las </w:t>
      </w:r>
      <w:r>
        <w:rPr>
          <w:color w:val="231F20"/>
          <w:w w:val="110"/>
        </w:rPr>
        <w:t>movilizaciones.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Un día después del anuncio del plan español de austeridad el gobierno de Portugal, en alianza con el conservador Partido </w:t>
      </w:r>
      <w:r>
        <w:rPr>
          <w:color w:val="231F20"/>
          <w:spacing w:val="-2"/>
          <w:w w:val="110"/>
        </w:rPr>
        <w:t>Social </w:t>
      </w:r>
      <w:r>
        <w:rPr>
          <w:color w:val="231F20"/>
          <w:w w:val="110"/>
        </w:rPr>
        <w:t>Demócrata</w:t>
      </w:r>
      <w:r>
        <w:rPr>
          <w:color w:val="231F20"/>
          <w:spacing w:val="-14"/>
          <w:w w:val="110"/>
        </w:rPr>
        <w:t> </w:t>
      </w:r>
      <w:r>
        <w:rPr>
          <w:color w:val="231F20"/>
          <w:w w:val="110"/>
        </w:rPr>
        <w:t>(psd),</w:t>
      </w:r>
      <w:r>
        <w:rPr>
          <w:color w:val="231F20"/>
          <w:spacing w:val="-14"/>
          <w:w w:val="110"/>
        </w:rPr>
        <w:t> </w:t>
      </w:r>
      <w:r>
        <w:rPr>
          <w:color w:val="231F20"/>
          <w:w w:val="110"/>
        </w:rPr>
        <w:t>aprobó</w:t>
      </w:r>
      <w:r>
        <w:rPr>
          <w:color w:val="231F20"/>
          <w:spacing w:val="-14"/>
          <w:w w:val="110"/>
        </w:rPr>
        <w:t> </w:t>
      </w:r>
      <w:r>
        <w:rPr>
          <w:color w:val="231F20"/>
          <w:w w:val="110"/>
        </w:rPr>
        <w:t>un</w:t>
      </w:r>
      <w:r>
        <w:rPr>
          <w:color w:val="231F20"/>
          <w:spacing w:val="-14"/>
          <w:w w:val="110"/>
        </w:rPr>
        <w:t> </w:t>
      </w:r>
      <w:r>
        <w:rPr>
          <w:color w:val="231F20"/>
          <w:w w:val="110"/>
        </w:rPr>
        <w:t>aumento</w:t>
      </w:r>
      <w:r>
        <w:rPr>
          <w:color w:val="231F20"/>
          <w:spacing w:val="-14"/>
          <w:w w:val="110"/>
        </w:rPr>
        <w:t> </w:t>
      </w:r>
      <w:r>
        <w:rPr>
          <w:color w:val="231F20"/>
          <w:w w:val="110"/>
        </w:rPr>
        <w:t>generalizado</w:t>
      </w:r>
      <w:r>
        <w:rPr>
          <w:color w:val="231F20"/>
          <w:spacing w:val="-14"/>
          <w:w w:val="110"/>
        </w:rPr>
        <w:t> </w:t>
      </w:r>
      <w:r>
        <w:rPr>
          <w:color w:val="231F20"/>
          <w:w w:val="110"/>
        </w:rPr>
        <w:t>de</w:t>
      </w:r>
      <w:r>
        <w:rPr>
          <w:color w:val="231F20"/>
          <w:spacing w:val="-14"/>
          <w:w w:val="110"/>
        </w:rPr>
        <w:t> </w:t>
      </w:r>
      <w:r>
        <w:rPr>
          <w:color w:val="231F20"/>
          <w:w w:val="110"/>
        </w:rPr>
        <w:t>impuestos</w:t>
      </w:r>
      <w:r>
        <w:rPr>
          <w:color w:val="231F20"/>
          <w:spacing w:val="-14"/>
          <w:w w:val="110"/>
        </w:rPr>
        <w:t> </w:t>
      </w:r>
      <w:r>
        <w:rPr>
          <w:color w:val="231F20"/>
          <w:w w:val="110"/>
        </w:rPr>
        <w:t>y</w:t>
      </w:r>
      <w:r>
        <w:rPr>
          <w:color w:val="231F20"/>
          <w:spacing w:val="-14"/>
          <w:w w:val="110"/>
        </w:rPr>
        <w:t> </w:t>
      </w:r>
      <w:r>
        <w:rPr>
          <w:color w:val="231F20"/>
          <w:w w:val="110"/>
        </w:rPr>
        <w:t>un recorte</w:t>
      </w:r>
      <w:r>
        <w:rPr>
          <w:color w:val="231F20"/>
          <w:spacing w:val="-21"/>
          <w:w w:val="110"/>
        </w:rPr>
        <w:t> </w:t>
      </w:r>
      <w:r>
        <w:rPr>
          <w:color w:val="231F20"/>
          <w:w w:val="110"/>
        </w:rPr>
        <w:t>drástico</w:t>
      </w:r>
      <w:r>
        <w:rPr>
          <w:color w:val="231F20"/>
          <w:spacing w:val="-21"/>
          <w:w w:val="110"/>
        </w:rPr>
        <w:t> </w:t>
      </w:r>
      <w:r>
        <w:rPr>
          <w:color w:val="231F20"/>
          <w:w w:val="110"/>
        </w:rPr>
        <w:t>del</w:t>
      </w:r>
      <w:r>
        <w:rPr>
          <w:color w:val="231F20"/>
          <w:spacing w:val="-21"/>
          <w:w w:val="110"/>
        </w:rPr>
        <w:t> </w:t>
      </w:r>
      <w:r>
        <w:rPr>
          <w:color w:val="231F20"/>
          <w:w w:val="110"/>
        </w:rPr>
        <w:t>gasto</w:t>
      </w:r>
      <w:r>
        <w:rPr>
          <w:color w:val="231F20"/>
          <w:spacing w:val="-21"/>
          <w:w w:val="110"/>
        </w:rPr>
        <w:t> </w:t>
      </w:r>
      <w:r>
        <w:rPr>
          <w:color w:val="231F20"/>
          <w:w w:val="110"/>
        </w:rPr>
        <w:t>con</w:t>
      </w:r>
      <w:r>
        <w:rPr>
          <w:color w:val="231F20"/>
          <w:spacing w:val="-21"/>
          <w:w w:val="110"/>
        </w:rPr>
        <w:t> </w:t>
      </w:r>
      <w:r>
        <w:rPr>
          <w:color w:val="231F20"/>
          <w:w w:val="110"/>
        </w:rPr>
        <w:t>el</w:t>
      </w:r>
      <w:r>
        <w:rPr>
          <w:color w:val="231F20"/>
          <w:spacing w:val="-21"/>
          <w:w w:val="110"/>
        </w:rPr>
        <w:t> </w:t>
      </w:r>
      <w:r>
        <w:rPr>
          <w:color w:val="231F20"/>
          <w:w w:val="110"/>
        </w:rPr>
        <w:t>objetivo</w:t>
      </w:r>
      <w:r>
        <w:rPr>
          <w:color w:val="231F20"/>
          <w:spacing w:val="-21"/>
          <w:w w:val="110"/>
        </w:rPr>
        <w:t> </w:t>
      </w:r>
      <w:r>
        <w:rPr>
          <w:color w:val="231F20"/>
          <w:w w:val="110"/>
        </w:rPr>
        <w:t>de</w:t>
      </w:r>
      <w:r>
        <w:rPr>
          <w:color w:val="231F20"/>
          <w:spacing w:val="-21"/>
          <w:w w:val="110"/>
        </w:rPr>
        <w:t> </w:t>
      </w:r>
      <w:r>
        <w:rPr>
          <w:color w:val="231F20"/>
          <w:w w:val="110"/>
        </w:rPr>
        <w:t>“ahorrar”</w:t>
      </w:r>
      <w:r>
        <w:rPr>
          <w:color w:val="231F20"/>
          <w:spacing w:val="-21"/>
          <w:w w:val="110"/>
        </w:rPr>
        <w:t> </w:t>
      </w:r>
      <w:r>
        <w:rPr>
          <w:color w:val="231F20"/>
          <w:w w:val="110"/>
        </w:rPr>
        <w:t>2</w:t>
      </w:r>
      <w:r>
        <w:rPr>
          <w:color w:val="231F20"/>
          <w:spacing w:val="-21"/>
          <w:w w:val="110"/>
        </w:rPr>
        <w:t> </w:t>
      </w:r>
      <w:r>
        <w:rPr>
          <w:color w:val="231F20"/>
          <w:w w:val="110"/>
        </w:rPr>
        <w:t>100</w:t>
      </w:r>
      <w:r>
        <w:rPr>
          <w:color w:val="231F20"/>
          <w:spacing w:val="-21"/>
          <w:w w:val="110"/>
        </w:rPr>
        <w:t> </w:t>
      </w:r>
      <w:r>
        <w:rPr>
          <w:color w:val="231F20"/>
          <w:w w:val="110"/>
        </w:rPr>
        <w:t>millones</w:t>
      </w:r>
      <w:r>
        <w:rPr>
          <w:color w:val="231F20"/>
          <w:spacing w:val="-21"/>
          <w:w w:val="110"/>
        </w:rPr>
        <w:t> </w:t>
      </w:r>
      <w:r>
        <w:rPr>
          <w:color w:val="231F20"/>
          <w:w w:val="110"/>
        </w:rPr>
        <w:t>y reducir</w:t>
      </w:r>
      <w:r>
        <w:rPr>
          <w:color w:val="231F20"/>
          <w:spacing w:val="-21"/>
          <w:w w:val="110"/>
        </w:rPr>
        <w:t> </w:t>
      </w:r>
      <w:r>
        <w:rPr>
          <w:color w:val="231F20"/>
          <w:w w:val="110"/>
        </w:rPr>
        <w:t>el</w:t>
      </w:r>
      <w:r>
        <w:rPr>
          <w:color w:val="231F20"/>
          <w:spacing w:val="-21"/>
          <w:w w:val="110"/>
        </w:rPr>
        <w:t> </w:t>
      </w:r>
      <w:r>
        <w:rPr>
          <w:color w:val="231F20"/>
          <w:w w:val="110"/>
        </w:rPr>
        <w:t>déficit</w:t>
      </w:r>
      <w:r>
        <w:rPr>
          <w:color w:val="231F20"/>
          <w:spacing w:val="-21"/>
          <w:w w:val="110"/>
        </w:rPr>
        <w:t> </w:t>
      </w:r>
      <w:r>
        <w:rPr>
          <w:color w:val="231F20"/>
          <w:w w:val="110"/>
        </w:rPr>
        <w:t>público</w:t>
      </w:r>
      <w:r>
        <w:rPr>
          <w:color w:val="231F20"/>
          <w:spacing w:val="-21"/>
          <w:w w:val="110"/>
        </w:rPr>
        <w:t> </w:t>
      </w:r>
      <w:r>
        <w:rPr>
          <w:color w:val="231F20"/>
          <w:w w:val="110"/>
        </w:rPr>
        <w:t>de</w:t>
      </w:r>
      <w:r>
        <w:rPr>
          <w:color w:val="231F20"/>
          <w:spacing w:val="-21"/>
          <w:w w:val="110"/>
        </w:rPr>
        <w:t> </w:t>
      </w:r>
      <w:r>
        <w:rPr>
          <w:color w:val="231F20"/>
          <w:w w:val="110"/>
        </w:rPr>
        <w:t>9%</w:t>
      </w:r>
      <w:r>
        <w:rPr>
          <w:color w:val="231F20"/>
          <w:spacing w:val="-21"/>
          <w:w w:val="110"/>
        </w:rPr>
        <w:t> </w:t>
      </w:r>
      <w:r>
        <w:rPr>
          <w:color w:val="231F20"/>
          <w:w w:val="110"/>
        </w:rPr>
        <w:t>de</w:t>
      </w:r>
      <w:r>
        <w:rPr>
          <w:color w:val="231F20"/>
          <w:spacing w:val="-21"/>
          <w:w w:val="110"/>
        </w:rPr>
        <w:t> </w:t>
      </w:r>
      <w:r>
        <w:rPr>
          <w:color w:val="231F20"/>
          <w:w w:val="110"/>
        </w:rPr>
        <w:t>2009</w:t>
      </w:r>
      <w:r>
        <w:rPr>
          <w:color w:val="231F20"/>
          <w:spacing w:val="-21"/>
          <w:w w:val="110"/>
        </w:rPr>
        <w:t> </w:t>
      </w:r>
      <w:r>
        <w:rPr>
          <w:color w:val="231F20"/>
          <w:w w:val="110"/>
        </w:rPr>
        <w:t>a</w:t>
      </w:r>
      <w:r>
        <w:rPr>
          <w:color w:val="231F20"/>
          <w:spacing w:val="-21"/>
          <w:w w:val="110"/>
        </w:rPr>
        <w:t> </w:t>
      </w:r>
      <w:r>
        <w:rPr>
          <w:color w:val="231F20"/>
          <w:w w:val="110"/>
        </w:rPr>
        <w:t>7%</w:t>
      </w:r>
      <w:r>
        <w:rPr>
          <w:color w:val="231F20"/>
          <w:spacing w:val="-21"/>
          <w:w w:val="110"/>
        </w:rPr>
        <w:t> </w:t>
      </w:r>
      <w:r>
        <w:rPr>
          <w:color w:val="231F20"/>
          <w:w w:val="110"/>
        </w:rPr>
        <w:t>del</w:t>
      </w:r>
      <w:r>
        <w:rPr>
          <w:color w:val="231F20"/>
          <w:spacing w:val="-20"/>
          <w:w w:val="110"/>
        </w:rPr>
        <w:t> </w:t>
      </w:r>
      <w:r>
        <w:rPr>
          <w:color w:val="231F20"/>
          <w:w w:val="110"/>
        </w:rPr>
        <w:t>pib</w:t>
      </w:r>
      <w:r>
        <w:rPr>
          <w:color w:val="231F20"/>
          <w:spacing w:val="-21"/>
          <w:w w:val="110"/>
        </w:rPr>
        <w:t> </w:t>
      </w:r>
      <w:r>
        <w:rPr>
          <w:color w:val="231F20"/>
          <w:w w:val="110"/>
        </w:rPr>
        <w:t>en</w:t>
      </w:r>
      <w:r>
        <w:rPr>
          <w:color w:val="231F20"/>
          <w:spacing w:val="-21"/>
          <w:w w:val="110"/>
        </w:rPr>
        <w:t> </w:t>
      </w:r>
      <w:r>
        <w:rPr>
          <w:color w:val="231F20"/>
          <w:w w:val="110"/>
        </w:rPr>
        <w:t>2010</w:t>
      </w:r>
      <w:r>
        <w:rPr>
          <w:color w:val="231F20"/>
          <w:spacing w:val="-21"/>
          <w:w w:val="110"/>
        </w:rPr>
        <w:t> </w:t>
      </w:r>
      <w:r>
        <w:rPr>
          <w:color w:val="231F20"/>
          <w:w w:val="110"/>
        </w:rPr>
        <w:t>(</w:t>
      </w:r>
      <w:r>
        <w:rPr>
          <w:i/>
          <w:color w:val="231F20"/>
          <w:w w:val="110"/>
        </w:rPr>
        <w:t>El</w:t>
      </w:r>
      <w:r>
        <w:rPr>
          <w:i/>
          <w:color w:val="231F20"/>
          <w:spacing w:val="-21"/>
          <w:w w:val="110"/>
        </w:rPr>
        <w:t> </w:t>
      </w:r>
      <w:r>
        <w:rPr>
          <w:i/>
          <w:color w:val="231F20"/>
          <w:w w:val="110"/>
        </w:rPr>
        <w:t>País</w:t>
      </w:r>
      <w:r>
        <w:rPr>
          <w:color w:val="231F20"/>
          <w:w w:val="110"/>
        </w:rPr>
        <w:t>) para,</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manera,</w:t>
      </w:r>
      <w:r>
        <w:rPr>
          <w:color w:val="231F20"/>
          <w:spacing w:val="-7"/>
          <w:w w:val="110"/>
        </w:rPr>
        <w:t> </w:t>
      </w:r>
      <w:r>
        <w:rPr>
          <w:color w:val="231F20"/>
          <w:w w:val="110"/>
        </w:rPr>
        <w:t>llegar</w:t>
      </w:r>
      <w:r>
        <w:rPr>
          <w:color w:val="231F20"/>
          <w:spacing w:val="-7"/>
          <w:w w:val="110"/>
        </w:rPr>
        <w:t> </w:t>
      </w:r>
      <w:r>
        <w:rPr>
          <w:color w:val="231F20"/>
          <w:w w:val="110"/>
        </w:rPr>
        <w:t>a</w:t>
      </w:r>
      <w:r>
        <w:rPr>
          <w:color w:val="231F20"/>
          <w:spacing w:val="-7"/>
          <w:w w:val="110"/>
        </w:rPr>
        <w:t> </w:t>
      </w:r>
      <w:r>
        <w:rPr>
          <w:color w:val="231F20"/>
          <w:w w:val="110"/>
        </w:rPr>
        <w:t>4.6%</w:t>
      </w:r>
      <w:r>
        <w:rPr>
          <w:color w:val="231F20"/>
          <w:spacing w:val="-7"/>
          <w:w w:val="110"/>
        </w:rPr>
        <w:t> </w:t>
      </w:r>
      <w:r>
        <w:rPr>
          <w:color w:val="231F20"/>
          <w:w w:val="110"/>
        </w:rPr>
        <w:t>(sólo</w:t>
      </w:r>
      <w:r>
        <w:rPr>
          <w:color w:val="231F20"/>
          <w:spacing w:val="-7"/>
          <w:w w:val="110"/>
        </w:rPr>
        <w:t> </w:t>
      </w:r>
      <w:r>
        <w:rPr>
          <w:color w:val="231F20"/>
          <w:w w:val="110"/>
        </w:rPr>
        <w:t>1.6%)</w:t>
      </w:r>
      <w:r>
        <w:rPr>
          <w:color w:val="231F20"/>
          <w:spacing w:val="-7"/>
          <w:w w:val="110"/>
        </w:rPr>
        <w:t> </w:t>
      </w:r>
      <w:r>
        <w:rPr>
          <w:color w:val="231F20"/>
          <w:w w:val="110"/>
        </w:rPr>
        <w:t>sobre</w:t>
      </w:r>
      <w:r>
        <w:rPr>
          <w:color w:val="231F20"/>
          <w:spacing w:val="-7"/>
          <w:w w:val="110"/>
        </w:rPr>
        <w:t> </w:t>
      </w:r>
      <w:r>
        <w:rPr>
          <w:color w:val="231F20"/>
          <w:w w:val="110"/>
        </w:rPr>
        <w:t>el</w:t>
      </w:r>
      <w:r>
        <w:rPr>
          <w:color w:val="231F20"/>
          <w:spacing w:val="-7"/>
          <w:w w:val="110"/>
        </w:rPr>
        <w:t> </w:t>
      </w:r>
      <w:r>
        <w:rPr>
          <w:color w:val="231F20"/>
          <w:w w:val="110"/>
        </w:rPr>
        <w:t>límite</w:t>
      </w:r>
      <w:r>
        <w:rPr>
          <w:color w:val="231F20"/>
          <w:spacing w:val="-7"/>
          <w:w w:val="110"/>
        </w:rPr>
        <w:t> </w:t>
      </w:r>
      <w:r>
        <w:rPr>
          <w:color w:val="231F20"/>
          <w:w w:val="110"/>
        </w:rPr>
        <w:t>de</w:t>
      </w:r>
      <w:r>
        <w:rPr>
          <w:color w:val="231F20"/>
          <w:spacing w:val="-7"/>
          <w:w w:val="110"/>
        </w:rPr>
        <w:t> </w:t>
      </w:r>
      <w:r>
        <w:rPr>
          <w:color w:val="231F20"/>
          <w:w w:val="110"/>
        </w:rPr>
        <w:t>3% que</w:t>
      </w:r>
      <w:r>
        <w:rPr>
          <w:color w:val="231F20"/>
          <w:spacing w:val="-7"/>
          <w:w w:val="110"/>
        </w:rPr>
        <w:t> </w:t>
      </w:r>
      <w:r>
        <w:rPr>
          <w:color w:val="231F20"/>
          <w:w w:val="110"/>
        </w:rPr>
        <w:t>impone</w:t>
      </w:r>
      <w:r>
        <w:rPr>
          <w:color w:val="231F20"/>
          <w:spacing w:val="-7"/>
          <w:w w:val="110"/>
        </w:rPr>
        <w:t> </w:t>
      </w:r>
      <w:r>
        <w:rPr>
          <w:color w:val="231F20"/>
          <w:w w:val="110"/>
        </w:rPr>
        <w:t>Bruselas</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Estados</w:t>
      </w:r>
      <w:r>
        <w:rPr>
          <w:color w:val="231F20"/>
          <w:spacing w:val="-7"/>
          <w:w w:val="110"/>
        </w:rPr>
        <w:t> </w:t>
      </w:r>
      <w:r>
        <w:rPr>
          <w:color w:val="231F20"/>
          <w:w w:val="110"/>
        </w:rPr>
        <w:t>miembros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Unión</w:t>
      </w:r>
      <w:r>
        <w:rPr>
          <w:color w:val="231F20"/>
          <w:spacing w:val="-7"/>
          <w:w w:val="110"/>
        </w:rPr>
        <w:t> </w:t>
      </w:r>
      <w:r>
        <w:rPr>
          <w:color w:val="231F20"/>
          <w:w w:val="110"/>
        </w:rPr>
        <w:t>Europea.</w:t>
      </w:r>
    </w:p>
    <w:p>
      <w:pPr>
        <w:pStyle w:val="BodyText"/>
        <w:spacing w:line="261" w:lineRule="auto"/>
        <w:ind w:left="100" w:right="119" w:firstLine="240"/>
        <w:jc w:val="both"/>
      </w:pPr>
      <w:r>
        <w:rPr>
          <w:color w:val="231F20"/>
          <w:w w:val="110"/>
        </w:rPr>
        <w:t>De acuerdo con la fuente citada de </w:t>
      </w:r>
      <w:r>
        <w:rPr>
          <w:i/>
          <w:color w:val="231F20"/>
          <w:w w:val="110"/>
        </w:rPr>
        <w:t>El País</w:t>
      </w:r>
      <w:r>
        <w:rPr>
          <w:color w:val="231F20"/>
          <w:w w:val="110"/>
        </w:rPr>
        <w:t>, el plan de austeridad del gobierno portugués contempla las siguientes medidas que dete- rioran las condiciones de vida y de trabajo de la  población:</w:t>
      </w:r>
    </w:p>
    <w:p>
      <w:pPr>
        <w:pStyle w:val="ListParagraph"/>
        <w:numPr>
          <w:ilvl w:val="0"/>
          <w:numId w:val="3"/>
        </w:numPr>
        <w:tabs>
          <w:tab w:pos="460" w:val="left" w:leader="none"/>
        </w:tabs>
        <w:spacing w:line="261" w:lineRule="auto" w:before="0" w:after="0"/>
        <w:ind w:left="460" w:right="118" w:hanging="160"/>
        <w:jc w:val="both"/>
        <w:rPr>
          <w:sz w:val="20"/>
        </w:rPr>
      </w:pPr>
      <w:r>
        <w:rPr>
          <w:color w:val="231F20"/>
          <w:w w:val="110"/>
          <w:sz w:val="20"/>
        </w:rPr>
        <w:t>Aumenta la presión fiscal en 1 000 millones de euros y recorta el gasto en otros 1 100</w:t>
      </w:r>
      <w:r>
        <w:rPr>
          <w:color w:val="231F20"/>
          <w:spacing w:val="12"/>
          <w:w w:val="110"/>
          <w:sz w:val="20"/>
        </w:rPr>
        <w:t> </w:t>
      </w:r>
      <w:r>
        <w:rPr>
          <w:color w:val="231F20"/>
          <w:w w:val="110"/>
          <w:sz w:val="20"/>
        </w:rPr>
        <w:t>millones.</w:t>
      </w:r>
    </w:p>
    <w:p>
      <w:pPr>
        <w:pStyle w:val="ListParagraph"/>
        <w:numPr>
          <w:ilvl w:val="0"/>
          <w:numId w:val="3"/>
        </w:numPr>
        <w:tabs>
          <w:tab w:pos="460" w:val="left" w:leader="none"/>
        </w:tabs>
        <w:spacing w:line="261" w:lineRule="auto" w:before="0" w:after="0"/>
        <w:ind w:left="460" w:right="118" w:hanging="160"/>
        <w:jc w:val="both"/>
        <w:rPr>
          <w:sz w:val="20"/>
        </w:rPr>
      </w:pPr>
      <w:r>
        <w:rPr>
          <w:color w:val="231F20"/>
          <w:w w:val="110"/>
          <w:sz w:val="20"/>
        </w:rPr>
        <w:t>El </w:t>
      </w:r>
      <w:r>
        <w:rPr>
          <w:color w:val="231F20"/>
          <w:spacing w:val="-3"/>
          <w:w w:val="110"/>
          <w:sz w:val="20"/>
        </w:rPr>
        <w:t>iva </w:t>
      </w:r>
      <w:r>
        <w:rPr>
          <w:color w:val="231F20"/>
          <w:w w:val="110"/>
          <w:sz w:val="20"/>
        </w:rPr>
        <w:t>sube 1% en todos los escalones y el tipo normal pasará</w:t>
      </w:r>
      <w:r>
        <w:rPr>
          <w:color w:val="231F20"/>
          <w:spacing w:val="-15"/>
          <w:w w:val="110"/>
          <w:sz w:val="20"/>
        </w:rPr>
        <w:t> </w:t>
      </w:r>
      <w:r>
        <w:rPr>
          <w:color w:val="231F20"/>
          <w:w w:val="110"/>
          <w:sz w:val="20"/>
        </w:rPr>
        <w:t>de 20 a 21 por</w:t>
      </w:r>
      <w:r>
        <w:rPr>
          <w:color w:val="231F20"/>
          <w:spacing w:val="32"/>
          <w:w w:val="110"/>
          <w:sz w:val="20"/>
        </w:rPr>
        <w:t> </w:t>
      </w:r>
      <w:r>
        <w:rPr>
          <w:color w:val="231F20"/>
          <w:w w:val="110"/>
          <w:sz w:val="20"/>
        </w:rPr>
        <w:t>ciento.</w:t>
      </w:r>
    </w:p>
    <w:p>
      <w:pPr>
        <w:pStyle w:val="ListParagraph"/>
        <w:numPr>
          <w:ilvl w:val="0"/>
          <w:numId w:val="3"/>
        </w:numPr>
        <w:tabs>
          <w:tab w:pos="460" w:val="left" w:leader="none"/>
        </w:tabs>
        <w:spacing w:line="261" w:lineRule="auto" w:before="0" w:after="0"/>
        <w:ind w:left="460" w:right="117" w:hanging="160"/>
        <w:jc w:val="both"/>
        <w:rPr>
          <w:sz w:val="20"/>
        </w:rPr>
      </w:pPr>
      <w:r>
        <w:rPr>
          <w:color w:val="231F20"/>
          <w:w w:val="110"/>
          <w:sz w:val="20"/>
        </w:rPr>
        <w:t>El</w:t>
      </w:r>
      <w:r>
        <w:rPr>
          <w:color w:val="231F20"/>
          <w:spacing w:val="-13"/>
          <w:w w:val="110"/>
          <w:sz w:val="20"/>
        </w:rPr>
        <w:t> </w:t>
      </w:r>
      <w:r>
        <w:rPr>
          <w:color w:val="231F20"/>
          <w:w w:val="110"/>
          <w:sz w:val="20"/>
        </w:rPr>
        <w:t>nuevo</w:t>
      </w:r>
      <w:r>
        <w:rPr>
          <w:color w:val="231F20"/>
          <w:spacing w:val="-13"/>
          <w:w w:val="110"/>
          <w:sz w:val="20"/>
        </w:rPr>
        <w:t> </w:t>
      </w:r>
      <w:r>
        <w:rPr>
          <w:color w:val="231F20"/>
          <w:w w:val="110"/>
          <w:sz w:val="20"/>
        </w:rPr>
        <w:t>impuesto</w:t>
      </w:r>
      <w:r>
        <w:rPr>
          <w:color w:val="231F20"/>
          <w:spacing w:val="-13"/>
          <w:w w:val="110"/>
          <w:sz w:val="20"/>
        </w:rPr>
        <w:t> </w:t>
      </w:r>
      <w:r>
        <w:rPr>
          <w:color w:val="231F20"/>
          <w:w w:val="110"/>
          <w:sz w:val="20"/>
        </w:rPr>
        <w:t>del</w:t>
      </w:r>
      <w:r>
        <w:rPr>
          <w:color w:val="231F20"/>
          <w:spacing w:val="-13"/>
          <w:w w:val="110"/>
          <w:sz w:val="20"/>
        </w:rPr>
        <w:t> </w:t>
      </w:r>
      <w:r>
        <w:rPr>
          <w:color w:val="231F20"/>
          <w:w w:val="110"/>
          <w:sz w:val="20"/>
        </w:rPr>
        <w:t>rendimiento</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las</w:t>
      </w:r>
      <w:r>
        <w:rPr>
          <w:color w:val="231F20"/>
          <w:spacing w:val="-13"/>
          <w:w w:val="110"/>
          <w:sz w:val="20"/>
        </w:rPr>
        <w:t> </w:t>
      </w:r>
      <w:r>
        <w:rPr>
          <w:color w:val="231F20"/>
          <w:w w:val="110"/>
          <w:sz w:val="20"/>
        </w:rPr>
        <w:t>personas</w:t>
      </w:r>
      <w:r>
        <w:rPr>
          <w:color w:val="231F20"/>
          <w:spacing w:val="-13"/>
          <w:w w:val="110"/>
          <w:sz w:val="20"/>
        </w:rPr>
        <w:t> </w:t>
      </w:r>
      <w:r>
        <w:rPr>
          <w:color w:val="231F20"/>
          <w:w w:val="110"/>
          <w:sz w:val="20"/>
        </w:rPr>
        <w:t>físicas</w:t>
      </w:r>
      <w:r>
        <w:rPr>
          <w:color w:val="231F20"/>
          <w:spacing w:val="-13"/>
          <w:w w:val="110"/>
          <w:sz w:val="20"/>
        </w:rPr>
        <w:t> </w:t>
      </w:r>
      <w:r>
        <w:rPr>
          <w:color w:val="231F20"/>
          <w:w w:val="110"/>
          <w:sz w:val="20"/>
        </w:rPr>
        <w:t>(irs)</w:t>
      </w:r>
      <w:r>
        <w:rPr>
          <w:color w:val="231F20"/>
          <w:spacing w:val="-13"/>
          <w:w w:val="110"/>
          <w:sz w:val="20"/>
        </w:rPr>
        <w:t> </w:t>
      </w:r>
      <w:r>
        <w:rPr>
          <w:color w:val="231F20"/>
          <w:w w:val="110"/>
          <w:sz w:val="20"/>
        </w:rPr>
        <w:t>se incrementa 1% para los salarios de hasta 2 375 euros mensuales y 1.5% para los que estén por encima de ese</w:t>
      </w:r>
      <w:r>
        <w:rPr>
          <w:color w:val="231F20"/>
          <w:spacing w:val="51"/>
          <w:w w:val="110"/>
          <w:sz w:val="20"/>
        </w:rPr>
        <w:t> </w:t>
      </w:r>
      <w:r>
        <w:rPr>
          <w:color w:val="231F20"/>
          <w:spacing w:val="-3"/>
          <w:w w:val="110"/>
          <w:sz w:val="20"/>
        </w:rPr>
        <w:t>valor.</w:t>
      </w:r>
    </w:p>
    <w:p>
      <w:pPr>
        <w:pStyle w:val="ListParagraph"/>
        <w:numPr>
          <w:ilvl w:val="0"/>
          <w:numId w:val="3"/>
        </w:numPr>
        <w:tabs>
          <w:tab w:pos="460" w:val="left" w:leader="none"/>
        </w:tabs>
        <w:spacing w:line="261" w:lineRule="auto" w:before="0" w:after="0"/>
        <w:ind w:left="460" w:right="125" w:hanging="160"/>
        <w:jc w:val="both"/>
        <w:rPr>
          <w:sz w:val="20"/>
        </w:rPr>
      </w:pPr>
      <w:r>
        <w:rPr>
          <w:color w:val="231F20"/>
          <w:spacing w:val="-3"/>
          <w:w w:val="110"/>
          <w:sz w:val="20"/>
        </w:rPr>
        <w:t>El</w:t>
      </w:r>
      <w:r>
        <w:rPr>
          <w:color w:val="231F20"/>
          <w:spacing w:val="-14"/>
          <w:w w:val="110"/>
          <w:sz w:val="20"/>
        </w:rPr>
        <w:t> </w:t>
      </w:r>
      <w:r>
        <w:rPr>
          <w:color w:val="231F20"/>
          <w:spacing w:val="-6"/>
          <w:w w:val="110"/>
          <w:sz w:val="20"/>
        </w:rPr>
        <w:t>impuesto</w:t>
      </w:r>
      <w:r>
        <w:rPr>
          <w:color w:val="231F20"/>
          <w:spacing w:val="-14"/>
          <w:w w:val="110"/>
          <w:sz w:val="20"/>
        </w:rPr>
        <w:t> </w:t>
      </w:r>
      <w:r>
        <w:rPr>
          <w:color w:val="231F20"/>
          <w:w w:val="110"/>
          <w:sz w:val="20"/>
        </w:rPr>
        <w:t>a</w:t>
      </w:r>
      <w:r>
        <w:rPr>
          <w:color w:val="231F20"/>
          <w:spacing w:val="-14"/>
          <w:w w:val="110"/>
          <w:sz w:val="20"/>
        </w:rPr>
        <w:t> </w:t>
      </w:r>
      <w:r>
        <w:rPr>
          <w:color w:val="231F20"/>
          <w:spacing w:val="-4"/>
          <w:w w:val="110"/>
          <w:sz w:val="20"/>
        </w:rPr>
        <w:t>las</w:t>
      </w:r>
      <w:r>
        <w:rPr>
          <w:color w:val="231F20"/>
          <w:spacing w:val="-14"/>
          <w:w w:val="110"/>
          <w:sz w:val="20"/>
        </w:rPr>
        <w:t> </w:t>
      </w:r>
      <w:r>
        <w:rPr>
          <w:color w:val="231F20"/>
          <w:spacing w:val="-6"/>
          <w:w w:val="110"/>
          <w:sz w:val="20"/>
        </w:rPr>
        <w:t>empresas</w:t>
      </w:r>
      <w:r>
        <w:rPr>
          <w:color w:val="231F20"/>
          <w:spacing w:val="-14"/>
          <w:w w:val="110"/>
          <w:sz w:val="20"/>
        </w:rPr>
        <w:t> </w:t>
      </w:r>
      <w:r>
        <w:rPr>
          <w:color w:val="231F20"/>
          <w:spacing w:val="-5"/>
          <w:w w:val="110"/>
          <w:sz w:val="20"/>
        </w:rPr>
        <w:t>tendrá</w:t>
      </w:r>
      <w:r>
        <w:rPr>
          <w:color w:val="231F20"/>
          <w:spacing w:val="-14"/>
          <w:w w:val="110"/>
          <w:sz w:val="20"/>
        </w:rPr>
        <w:t> </w:t>
      </w:r>
      <w:r>
        <w:rPr>
          <w:color w:val="231F20"/>
          <w:spacing w:val="-4"/>
          <w:w w:val="110"/>
          <w:sz w:val="20"/>
        </w:rPr>
        <w:t>una</w:t>
      </w:r>
      <w:r>
        <w:rPr>
          <w:color w:val="231F20"/>
          <w:spacing w:val="-14"/>
          <w:w w:val="110"/>
          <w:sz w:val="20"/>
        </w:rPr>
        <w:t> </w:t>
      </w:r>
      <w:r>
        <w:rPr>
          <w:color w:val="231F20"/>
          <w:spacing w:val="-6"/>
          <w:w w:val="110"/>
          <w:sz w:val="20"/>
        </w:rPr>
        <w:t>tributación</w:t>
      </w:r>
      <w:r>
        <w:rPr>
          <w:color w:val="231F20"/>
          <w:spacing w:val="-14"/>
          <w:w w:val="110"/>
          <w:sz w:val="20"/>
        </w:rPr>
        <w:t> </w:t>
      </w:r>
      <w:r>
        <w:rPr>
          <w:color w:val="231F20"/>
          <w:spacing w:val="-6"/>
          <w:w w:val="110"/>
          <w:sz w:val="20"/>
        </w:rPr>
        <w:t>autónoma</w:t>
      </w:r>
      <w:r>
        <w:rPr>
          <w:color w:val="231F20"/>
          <w:spacing w:val="-14"/>
          <w:w w:val="110"/>
          <w:sz w:val="20"/>
        </w:rPr>
        <w:t> </w:t>
      </w:r>
      <w:r>
        <w:rPr>
          <w:color w:val="231F20"/>
          <w:spacing w:val="-3"/>
          <w:w w:val="110"/>
          <w:sz w:val="20"/>
        </w:rPr>
        <w:t>de</w:t>
      </w:r>
      <w:r>
        <w:rPr>
          <w:color w:val="231F20"/>
          <w:spacing w:val="-14"/>
          <w:w w:val="110"/>
          <w:sz w:val="20"/>
        </w:rPr>
        <w:t> </w:t>
      </w:r>
      <w:r>
        <w:rPr>
          <w:color w:val="231F20"/>
          <w:spacing w:val="-6"/>
          <w:w w:val="110"/>
          <w:sz w:val="20"/>
        </w:rPr>
        <w:t>2.5% </w:t>
      </w:r>
      <w:r>
        <w:rPr>
          <w:color w:val="231F20"/>
          <w:spacing w:val="-5"/>
          <w:w w:val="110"/>
          <w:sz w:val="20"/>
        </w:rPr>
        <w:t>para </w:t>
      </w:r>
      <w:r>
        <w:rPr>
          <w:color w:val="231F20"/>
          <w:spacing w:val="-4"/>
          <w:w w:val="110"/>
          <w:sz w:val="20"/>
        </w:rPr>
        <w:t>las más </w:t>
      </w:r>
      <w:r>
        <w:rPr>
          <w:color w:val="231F20"/>
          <w:spacing w:val="-6"/>
          <w:w w:val="110"/>
          <w:sz w:val="20"/>
        </w:rPr>
        <w:t>grandes, </w:t>
      </w:r>
      <w:r>
        <w:rPr>
          <w:color w:val="231F20"/>
          <w:spacing w:val="-5"/>
          <w:w w:val="110"/>
          <w:sz w:val="20"/>
        </w:rPr>
        <w:t>sobre todo para </w:t>
      </w:r>
      <w:r>
        <w:rPr>
          <w:color w:val="231F20"/>
          <w:spacing w:val="-4"/>
          <w:w w:val="110"/>
          <w:sz w:val="20"/>
        </w:rPr>
        <w:t>las </w:t>
      </w:r>
      <w:r>
        <w:rPr>
          <w:color w:val="231F20"/>
          <w:spacing w:val="-6"/>
          <w:w w:val="110"/>
          <w:sz w:val="20"/>
        </w:rPr>
        <w:t>instituciones</w:t>
      </w:r>
      <w:r>
        <w:rPr>
          <w:color w:val="231F20"/>
          <w:spacing w:val="-7"/>
          <w:w w:val="110"/>
          <w:sz w:val="20"/>
        </w:rPr>
        <w:t> </w:t>
      </w:r>
      <w:r>
        <w:rPr>
          <w:color w:val="231F20"/>
          <w:spacing w:val="-6"/>
          <w:w w:val="110"/>
          <w:sz w:val="20"/>
        </w:rPr>
        <w:t>financieras.</w:t>
      </w:r>
    </w:p>
    <w:p>
      <w:pPr>
        <w:pStyle w:val="ListParagraph"/>
        <w:numPr>
          <w:ilvl w:val="0"/>
          <w:numId w:val="3"/>
        </w:numPr>
        <w:tabs>
          <w:tab w:pos="460" w:val="left" w:leader="none"/>
        </w:tabs>
        <w:spacing w:line="261" w:lineRule="auto" w:before="0" w:after="0"/>
        <w:ind w:left="460" w:right="119" w:hanging="160"/>
        <w:jc w:val="both"/>
        <w:rPr>
          <w:sz w:val="20"/>
        </w:rPr>
      </w:pPr>
      <w:r>
        <w:rPr>
          <w:color w:val="231F20"/>
          <w:w w:val="110"/>
          <w:sz w:val="20"/>
        </w:rPr>
        <w:t>El</w:t>
      </w:r>
      <w:r>
        <w:rPr>
          <w:color w:val="231F20"/>
          <w:spacing w:val="-23"/>
          <w:w w:val="110"/>
          <w:sz w:val="20"/>
        </w:rPr>
        <w:t> </w:t>
      </w:r>
      <w:r>
        <w:rPr>
          <w:color w:val="231F20"/>
          <w:w w:val="110"/>
          <w:sz w:val="20"/>
        </w:rPr>
        <w:t>impuesto</w:t>
      </w:r>
      <w:r>
        <w:rPr>
          <w:color w:val="231F20"/>
          <w:spacing w:val="-23"/>
          <w:w w:val="110"/>
          <w:sz w:val="20"/>
        </w:rPr>
        <w:t> </w:t>
      </w:r>
      <w:r>
        <w:rPr>
          <w:color w:val="231F20"/>
          <w:w w:val="110"/>
          <w:sz w:val="20"/>
        </w:rPr>
        <w:t>sobre</w:t>
      </w:r>
      <w:r>
        <w:rPr>
          <w:color w:val="231F20"/>
          <w:spacing w:val="-24"/>
          <w:w w:val="110"/>
          <w:sz w:val="20"/>
        </w:rPr>
        <w:t> </w:t>
      </w:r>
      <w:r>
        <w:rPr>
          <w:color w:val="231F20"/>
          <w:w w:val="110"/>
          <w:sz w:val="20"/>
        </w:rPr>
        <w:t>el</w:t>
      </w:r>
      <w:r>
        <w:rPr>
          <w:color w:val="231F20"/>
          <w:spacing w:val="-23"/>
          <w:w w:val="110"/>
          <w:sz w:val="20"/>
        </w:rPr>
        <w:t> </w:t>
      </w:r>
      <w:r>
        <w:rPr>
          <w:color w:val="231F20"/>
          <w:w w:val="110"/>
          <w:sz w:val="20"/>
        </w:rPr>
        <w:t>capital</w:t>
      </w:r>
      <w:r>
        <w:rPr>
          <w:color w:val="231F20"/>
          <w:spacing w:val="-23"/>
          <w:w w:val="110"/>
          <w:sz w:val="20"/>
        </w:rPr>
        <w:t> </w:t>
      </w:r>
      <w:r>
        <w:rPr>
          <w:color w:val="231F20"/>
          <w:w w:val="110"/>
          <w:sz w:val="20"/>
        </w:rPr>
        <w:t>aumenta</w:t>
      </w:r>
      <w:r>
        <w:rPr>
          <w:color w:val="231F20"/>
          <w:spacing w:val="-24"/>
          <w:w w:val="110"/>
          <w:sz w:val="20"/>
        </w:rPr>
        <w:t> </w:t>
      </w:r>
      <w:r>
        <w:rPr>
          <w:color w:val="231F20"/>
          <w:w w:val="110"/>
          <w:sz w:val="20"/>
        </w:rPr>
        <w:t>1.5%</w:t>
      </w:r>
      <w:r>
        <w:rPr>
          <w:color w:val="231F20"/>
          <w:spacing w:val="-24"/>
          <w:w w:val="110"/>
          <w:sz w:val="20"/>
        </w:rPr>
        <w:t> </w:t>
      </w:r>
      <w:r>
        <w:rPr>
          <w:color w:val="231F20"/>
          <w:w w:val="110"/>
          <w:sz w:val="20"/>
        </w:rPr>
        <w:t>para</w:t>
      </w:r>
      <w:r>
        <w:rPr>
          <w:color w:val="231F20"/>
          <w:spacing w:val="-23"/>
          <w:w w:val="110"/>
          <w:sz w:val="20"/>
        </w:rPr>
        <w:t> </w:t>
      </w:r>
      <w:r>
        <w:rPr>
          <w:color w:val="231F20"/>
          <w:w w:val="110"/>
          <w:sz w:val="20"/>
        </w:rPr>
        <w:t>los</w:t>
      </w:r>
      <w:r>
        <w:rPr>
          <w:color w:val="231F20"/>
          <w:spacing w:val="-23"/>
          <w:w w:val="110"/>
          <w:sz w:val="20"/>
        </w:rPr>
        <w:t> </w:t>
      </w:r>
      <w:r>
        <w:rPr>
          <w:color w:val="231F20"/>
          <w:w w:val="110"/>
          <w:sz w:val="20"/>
        </w:rPr>
        <w:t>tipos</w:t>
      </w:r>
      <w:r>
        <w:rPr>
          <w:color w:val="231F20"/>
          <w:spacing w:val="-23"/>
          <w:w w:val="110"/>
          <w:sz w:val="20"/>
        </w:rPr>
        <w:t> </w:t>
      </w:r>
      <w:r>
        <w:rPr>
          <w:color w:val="231F20"/>
          <w:w w:val="110"/>
          <w:sz w:val="20"/>
        </w:rPr>
        <w:t>de</w:t>
      </w:r>
      <w:r>
        <w:rPr>
          <w:color w:val="231F20"/>
          <w:spacing w:val="-24"/>
          <w:w w:val="110"/>
          <w:sz w:val="20"/>
        </w:rPr>
        <w:t> </w:t>
      </w:r>
      <w:r>
        <w:rPr>
          <w:color w:val="231F20"/>
          <w:w w:val="110"/>
          <w:sz w:val="20"/>
        </w:rPr>
        <w:t>interés de</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depósitos</w:t>
      </w:r>
      <w:r>
        <w:rPr>
          <w:color w:val="231F20"/>
          <w:spacing w:val="-16"/>
          <w:w w:val="110"/>
          <w:sz w:val="20"/>
        </w:rPr>
        <w:t> </w:t>
      </w:r>
      <w:r>
        <w:rPr>
          <w:color w:val="231F20"/>
          <w:w w:val="110"/>
          <w:sz w:val="20"/>
        </w:rPr>
        <w:t>a</w:t>
      </w:r>
      <w:r>
        <w:rPr>
          <w:color w:val="231F20"/>
          <w:spacing w:val="-16"/>
          <w:w w:val="110"/>
          <w:sz w:val="20"/>
        </w:rPr>
        <w:t> </w:t>
      </w:r>
      <w:r>
        <w:rPr>
          <w:color w:val="231F20"/>
          <w:w w:val="110"/>
          <w:sz w:val="20"/>
        </w:rPr>
        <w:t>plazo,</w:t>
      </w:r>
      <w:r>
        <w:rPr>
          <w:color w:val="231F20"/>
          <w:spacing w:val="-16"/>
          <w:w w:val="110"/>
          <w:sz w:val="20"/>
        </w:rPr>
        <w:t> </w:t>
      </w:r>
      <w:r>
        <w:rPr>
          <w:color w:val="231F20"/>
          <w:w w:val="110"/>
          <w:sz w:val="20"/>
        </w:rPr>
        <w:t>lo</w:t>
      </w:r>
      <w:r>
        <w:rPr>
          <w:color w:val="231F20"/>
          <w:spacing w:val="-16"/>
          <w:w w:val="110"/>
          <w:sz w:val="20"/>
        </w:rPr>
        <w:t> </w:t>
      </w:r>
      <w:r>
        <w:rPr>
          <w:color w:val="231F20"/>
          <w:w w:val="110"/>
          <w:sz w:val="20"/>
        </w:rPr>
        <w:t>que</w:t>
      </w:r>
      <w:r>
        <w:rPr>
          <w:color w:val="231F20"/>
          <w:spacing w:val="-16"/>
          <w:w w:val="110"/>
          <w:sz w:val="20"/>
        </w:rPr>
        <w:t> </w:t>
      </w:r>
      <w:r>
        <w:rPr>
          <w:color w:val="231F20"/>
          <w:w w:val="110"/>
          <w:sz w:val="20"/>
        </w:rPr>
        <w:t>afectará</w:t>
      </w:r>
      <w:r>
        <w:rPr>
          <w:color w:val="231F20"/>
          <w:spacing w:val="-16"/>
          <w:w w:val="110"/>
          <w:sz w:val="20"/>
        </w:rPr>
        <w:t> </w:t>
      </w:r>
      <w:r>
        <w:rPr>
          <w:color w:val="231F20"/>
          <w:w w:val="110"/>
          <w:sz w:val="20"/>
        </w:rPr>
        <w:t>también</w:t>
      </w:r>
      <w:r>
        <w:rPr>
          <w:color w:val="231F20"/>
          <w:spacing w:val="-16"/>
          <w:w w:val="110"/>
          <w:sz w:val="20"/>
        </w:rPr>
        <w:t> </w:t>
      </w:r>
      <w:r>
        <w:rPr>
          <w:color w:val="231F20"/>
          <w:w w:val="110"/>
          <w:sz w:val="20"/>
        </w:rPr>
        <w:t>a</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dividendos.</w:t>
      </w:r>
    </w:p>
    <w:p>
      <w:pPr>
        <w:pStyle w:val="ListParagraph"/>
        <w:numPr>
          <w:ilvl w:val="0"/>
          <w:numId w:val="3"/>
        </w:numPr>
        <w:tabs>
          <w:tab w:pos="460" w:val="left" w:leader="none"/>
        </w:tabs>
        <w:spacing w:line="261" w:lineRule="auto" w:before="0" w:after="0"/>
        <w:ind w:left="460" w:right="119" w:hanging="160"/>
        <w:jc w:val="both"/>
        <w:rPr>
          <w:sz w:val="20"/>
        </w:rPr>
      </w:pPr>
      <w:r>
        <w:rPr>
          <w:color w:val="231F20"/>
          <w:w w:val="110"/>
          <w:sz w:val="20"/>
        </w:rPr>
        <w:t>El</w:t>
      </w:r>
      <w:r>
        <w:rPr>
          <w:color w:val="231F20"/>
          <w:spacing w:val="-17"/>
          <w:w w:val="110"/>
          <w:sz w:val="20"/>
        </w:rPr>
        <w:t> </w:t>
      </w:r>
      <w:r>
        <w:rPr>
          <w:color w:val="231F20"/>
          <w:w w:val="110"/>
          <w:sz w:val="20"/>
        </w:rPr>
        <w:t>Gobierno</w:t>
      </w:r>
      <w:r>
        <w:rPr>
          <w:color w:val="231F20"/>
          <w:spacing w:val="-17"/>
          <w:w w:val="110"/>
          <w:sz w:val="20"/>
        </w:rPr>
        <w:t> </w:t>
      </w:r>
      <w:r>
        <w:rPr>
          <w:color w:val="231F20"/>
          <w:w w:val="110"/>
          <w:sz w:val="20"/>
        </w:rPr>
        <w:t>recortará</w:t>
      </w:r>
      <w:r>
        <w:rPr>
          <w:color w:val="231F20"/>
          <w:spacing w:val="-17"/>
          <w:w w:val="110"/>
          <w:sz w:val="20"/>
        </w:rPr>
        <w:t> </w:t>
      </w:r>
      <w:r>
        <w:rPr>
          <w:color w:val="231F20"/>
          <w:w w:val="110"/>
          <w:sz w:val="20"/>
        </w:rPr>
        <w:t>150</w:t>
      </w:r>
      <w:r>
        <w:rPr>
          <w:color w:val="231F20"/>
          <w:spacing w:val="-17"/>
          <w:w w:val="110"/>
          <w:sz w:val="20"/>
        </w:rPr>
        <w:t> </w:t>
      </w:r>
      <w:r>
        <w:rPr>
          <w:color w:val="231F20"/>
          <w:w w:val="110"/>
          <w:sz w:val="20"/>
        </w:rPr>
        <w:t>millones</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euros</w:t>
      </w:r>
      <w:r>
        <w:rPr>
          <w:color w:val="231F20"/>
          <w:spacing w:val="-17"/>
          <w:w w:val="110"/>
          <w:sz w:val="20"/>
        </w:rPr>
        <w:t> </w:t>
      </w:r>
      <w:r>
        <w:rPr>
          <w:color w:val="231F20"/>
          <w:w w:val="110"/>
          <w:sz w:val="20"/>
        </w:rPr>
        <w:t>en</w:t>
      </w:r>
      <w:r>
        <w:rPr>
          <w:color w:val="231F20"/>
          <w:spacing w:val="-17"/>
          <w:w w:val="110"/>
          <w:sz w:val="20"/>
        </w:rPr>
        <w:t> </w:t>
      </w:r>
      <w:r>
        <w:rPr>
          <w:color w:val="231F20"/>
          <w:w w:val="110"/>
          <w:sz w:val="20"/>
        </w:rPr>
        <w:t>las</w:t>
      </w:r>
      <w:r>
        <w:rPr>
          <w:color w:val="231F20"/>
          <w:spacing w:val="-17"/>
          <w:w w:val="110"/>
          <w:sz w:val="20"/>
        </w:rPr>
        <w:t> </w:t>
      </w:r>
      <w:r>
        <w:rPr>
          <w:color w:val="231F20"/>
          <w:w w:val="110"/>
          <w:sz w:val="20"/>
        </w:rPr>
        <w:t>indemnizacio-</w:t>
      </w:r>
      <w:r>
        <w:rPr>
          <w:color w:val="231F20"/>
          <w:w w:val="72"/>
          <w:sz w:val="20"/>
        </w:rPr>
        <w:t> </w:t>
      </w:r>
      <w:r>
        <w:rPr>
          <w:color w:val="231F20"/>
          <w:w w:val="110"/>
          <w:sz w:val="20"/>
        </w:rPr>
        <w:t>nes</w:t>
      </w:r>
      <w:r>
        <w:rPr>
          <w:color w:val="231F20"/>
          <w:spacing w:val="-23"/>
          <w:w w:val="110"/>
          <w:sz w:val="20"/>
        </w:rPr>
        <w:t> </w:t>
      </w:r>
      <w:r>
        <w:rPr>
          <w:color w:val="231F20"/>
          <w:w w:val="110"/>
          <w:sz w:val="20"/>
        </w:rPr>
        <w:t>compensatorias</w:t>
      </w:r>
      <w:r>
        <w:rPr>
          <w:color w:val="231F20"/>
          <w:spacing w:val="-23"/>
          <w:w w:val="110"/>
          <w:sz w:val="20"/>
        </w:rPr>
        <w:t> </w:t>
      </w:r>
      <w:r>
        <w:rPr>
          <w:color w:val="231F20"/>
          <w:w w:val="110"/>
          <w:sz w:val="20"/>
        </w:rPr>
        <w:t>a</w:t>
      </w:r>
      <w:r>
        <w:rPr>
          <w:color w:val="231F20"/>
          <w:spacing w:val="-23"/>
          <w:w w:val="110"/>
          <w:sz w:val="20"/>
        </w:rPr>
        <w:t> </w:t>
      </w:r>
      <w:r>
        <w:rPr>
          <w:color w:val="231F20"/>
          <w:w w:val="110"/>
          <w:sz w:val="20"/>
        </w:rPr>
        <w:t>las</w:t>
      </w:r>
      <w:r>
        <w:rPr>
          <w:color w:val="231F20"/>
          <w:spacing w:val="-23"/>
          <w:w w:val="110"/>
          <w:sz w:val="20"/>
        </w:rPr>
        <w:t> </w:t>
      </w:r>
      <w:r>
        <w:rPr>
          <w:color w:val="231F20"/>
          <w:w w:val="110"/>
          <w:sz w:val="20"/>
        </w:rPr>
        <w:t>empresas</w:t>
      </w:r>
      <w:r>
        <w:rPr>
          <w:color w:val="231F20"/>
          <w:spacing w:val="-23"/>
          <w:w w:val="110"/>
          <w:sz w:val="20"/>
        </w:rPr>
        <w:t> </w:t>
      </w:r>
      <w:r>
        <w:rPr>
          <w:color w:val="231F20"/>
          <w:w w:val="110"/>
          <w:sz w:val="20"/>
        </w:rPr>
        <w:t>públicas,</w:t>
      </w:r>
      <w:r>
        <w:rPr>
          <w:color w:val="231F20"/>
          <w:spacing w:val="-23"/>
          <w:w w:val="110"/>
          <w:sz w:val="20"/>
        </w:rPr>
        <w:t> </w:t>
      </w:r>
      <w:r>
        <w:rPr>
          <w:color w:val="231F20"/>
          <w:w w:val="110"/>
          <w:sz w:val="20"/>
        </w:rPr>
        <w:t>100</w:t>
      </w:r>
      <w:r>
        <w:rPr>
          <w:color w:val="231F20"/>
          <w:spacing w:val="-23"/>
          <w:w w:val="110"/>
          <w:sz w:val="20"/>
        </w:rPr>
        <w:t> </w:t>
      </w:r>
      <w:r>
        <w:rPr>
          <w:color w:val="231F20"/>
          <w:w w:val="110"/>
          <w:sz w:val="20"/>
        </w:rPr>
        <w:t>millones</w:t>
      </w:r>
      <w:r>
        <w:rPr>
          <w:color w:val="231F20"/>
          <w:spacing w:val="-23"/>
          <w:w w:val="110"/>
          <w:sz w:val="20"/>
        </w:rPr>
        <w:t> </w:t>
      </w:r>
      <w:r>
        <w:rPr>
          <w:color w:val="231F20"/>
          <w:w w:val="110"/>
          <w:sz w:val="20"/>
        </w:rPr>
        <w:t>(5%)</w:t>
      </w:r>
      <w:r>
        <w:rPr>
          <w:color w:val="231F20"/>
          <w:spacing w:val="-23"/>
          <w:w w:val="110"/>
          <w:sz w:val="20"/>
        </w:rPr>
        <w:t> </w:t>
      </w:r>
      <w:r>
        <w:rPr>
          <w:color w:val="231F20"/>
          <w:w w:val="110"/>
          <w:sz w:val="20"/>
        </w:rPr>
        <w:t>en las</w:t>
      </w:r>
      <w:r>
        <w:rPr>
          <w:color w:val="231F20"/>
          <w:spacing w:val="-21"/>
          <w:w w:val="110"/>
          <w:sz w:val="20"/>
        </w:rPr>
        <w:t> </w:t>
      </w:r>
      <w:r>
        <w:rPr>
          <w:color w:val="231F20"/>
          <w:w w:val="110"/>
          <w:sz w:val="20"/>
        </w:rPr>
        <w:t>transferencias</w:t>
      </w:r>
      <w:r>
        <w:rPr>
          <w:color w:val="231F20"/>
          <w:spacing w:val="-21"/>
          <w:w w:val="110"/>
          <w:sz w:val="20"/>
        </w:rPr>
        <w:t> </w:t>
      </w:r>
      <w:r>
        <w:rPr>
          <w:color w:val="231F20"/>
          <w:w w:val="110"/>
          <w:sz w:val="20"/>
        </w:rPr>
        <w:t>del</w:t>
      </w:r>
      <w:r>
        <w:rPr>
          <w:color w:val="231F20"/>
          <w:spacing w:val="-21"/>
          <w:w w:val="110"/>
          <w:sz w:val="20"/>
        </w:rPr>
        <w:t> </w:t>
      </w:r>
      <w:r>
        <w:rPr>
          <w:color w:val="231F20"/>
          <w:w w:val="110"/>
          <w:sz w:val="20"/>
        </w:rPr>
        <w:t>Estado</w:t>
      </w:r>
      <w:r>
        <w:rPr>
          <w:color w:val="231F20"/>
          <w:spacing w:val="-21"/>
          <w:w w:val="110"/>
          <w:sz w:val="20"/>
        </w:rPr>
        <w:t> </w:t>
      </w:r>
      <w:r>
        <w:rPr>
          <w:color w:val="231F20"/>
          <w:w w:val="110"/>
          <w:sz w:val="20"/>
        </w:rPr>
        <w:t>a</w:t>
      </w:r>
      <w:r>
        <w:rPr>
          <w:color w:val="231F20"/>
          <w:spacing w:val="-21"/>
          <w:w w:val="110"/>
          <w:sz w:val="20"/>
        </w:rPr>
        <w:t> </w:t>
      </w:r>
      <w:r>
        <w:rPr>
          <w:color w:val="231F20"/>
          <w:w w:val="110"/>
          <w:sz w:val="20"/>
        </w:rPr>
        <w:t>los</w:t>
      </w:r>
      <w:r>
        <w:rPr>
          <w:color w:val="231F20"/>
          <w:spacing w:val="-21"/>
          <w:w w:val="110"/>
          <w:sz w:val="20"/>
        </w:rPr>
        <w:t> </w:t>
      </w:r>
      <w:r>
        <w:rPr>
          <w:color w:val="231F20"/>
          <w:w w:val="110"/>
          <w:sz w:val="20"/>
        </w:rPr>
        <w:t>ayuntamientos</w:t>
      </w:r>
      <w:r>
        <w:rPr>
          <w:color w:val="231F20"/>
          <w:spacing w:val="-21"/>
          <w:w w:val="110"/>
          <w:sz w:val="20"/>
        </w:rPr>
        <w:t> </w:t>
      </w:r>
      <w:r>
        <w:rPr>
          <w:color w:val="231F20"/>
          <w:w w:val="110"/>
          <w:sz w:val="20"/>
        </w:rPr>
        <w:t>y</w:t>
      </w:r>
      <w:r>
        <w:rPr>
          <w:color w:val="231F20"/>
          <w:spacing w:val="-21"/>
          <w:w w:val="110"/>
          <w:sz w:val="20"/>
        </w:rPr>
        <w:t> </w:t>
      </w:r>
      <w:r>
        <w:rPr>
          <w:color w:val="231F20"/>
          <w:w w:val="110"/>
          <w:sz w:val="20"/>
        </w:rPr>
        <w:t>rebajará</w:t>
      </w:r>
      <w:r>
        <w:rPr>
          <w:color w:val="231F20"/>
          <w:spacing w:val="-21"/>
          <w:w w:val="110"/>
          <w:sz w:val="20"/>
        </w:rPr>
        <w:t> </w:t>
      </w:r>
      <w:r>
        <w:rPr>
          <w:color w:val="231F20"/>
          <w:w w:val="110"/>
          <w:sz w:val="20"/>
        </w:rPr>
        <w:t>en</w:t>
      </w:r>
      <w:r>
        <w:rPr>
          <w:color w:val="231F20"/>
          <w:spacing w:val="-21"/>
          <w:w w:val="110"/>
          <w:sz w:val="20"/>
        </w:rPr>
        <w:t> </w:t>
      </w:r>
      <w:r>
        <w:rPr>
          <w:color w:val="231F20"/>
          <w:w w:val="110"/>
          <w:sz w:val="20"/>
        </w:rPr>
        <w:t>5%</w:t>
      </w:r>
      <w:r>
        <w:rPr>
          <w:color w:val="231F20"/>
          <w:spacing w:val="-2"/>
          <w:w w:val="106"/>
          <w:sz w:val="20"/>
        </w:rPr>
        <w:t> </w:t>
      </w:r>
      <w:r>
        <w:rPr>
          <w:color w:val="231F20"/>
          <w:w w:val="110"/>
          <w:sz w:val="20"/>
        </w:rPr>
        <w:t>los</w:t>
      </w:r>
      <w:r>
        <w:rPr>
          <w:color w:val="231F20"/>
          <w:spacing w:val="-24"/>
          <w:w w:val="110"/>
          <w:sz w:val="20"/>
        </w:rPr>
        <w:t> </w:t>
      </w:r>
      <w:r>
        <w:rPr>
          <w:color w:val="231F20"/>
          <w:w w:val="110"/>
          <w:sz w:val="20"/>
        </w:rPr>
        <w:t>salarios</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ministros,</w:t>
      </w:r>
      <w:r>
        <w:rPr>
          <w:color w:val="231F20"/>
          <w:spacing w:val="-24"/>
          <w:w w:val="110"/>
          <w:sz w:val="20"/>
        </w:rPr>
        <w:t> </w:t>
      </w:r>
      <w:r>
        <w:rPr>
          <w:color w:val="231F20"/>
          <w:w w:val="110"/>
          <w:sz w:val="20"/>
        </w:rPr>
        <w:t>diputados,</w:t>
      </w:r>
      <w:r>
        <w:rPr>
          <w:color w:val="231F20"/>
          <w:spacing w:val="-24"/>
          <w:w w:val="110"/>
          <w:sz w:val="20"/>
        </w:rPr>
        <w:t> </w:t>
      </w:r>
      <w:r>
        <w:rPr>
          <w:color w:val="231F20"/>
          <w:w w:val="110"/>
          <w:sz w:val="20"/>
        </w:rPr>
        <w:t>alcaldes</w:t>
      </w:r>
      <w:r>
        <w:rPr>
          <w:color w:val="231F20"/>
          <w:spacing w:val="-24"/>
          <w:w w:val="110"/>
          <w:sz w:val="20"/>
        </w:rPr>
        <w:t> </w:t>
      </w:r>
      <w:r>
        <w:rPr>
          <w:color w:val="231F20"/>
          <w:w w:val="110"/>
          <w:sz w:val="20"/>
        </w:rPr>
        <w:t>y</w:t>
      </w:r>
      <w:r>
        <w:rPr>
          <w:color w:val="231F20"/>
          <w:spacing w:val="-24"/>
          <w:w w:val="110"/>
          <w:sz w:val="20"/>
        </w:rPr>
        <w:t> </w:t>
      </w:r>
      <w:r>
        <w:rPr>
          <w:color w:val="231F20"/>
          <w:w w:val="110"/>
          <w:sz w:val="20"/>
        </w:rPr>
        <w:t>gestores</w:t>
      </w:r>
      <w:r>
        <w:rPr>
          <w:color w:val="231F20"/>
          <w:spacing w:val="-24"/>
          <w:w w:val="110"/>
          <w:sz w:val="20"/>
        </w:rPr>
        <w:t> </w:t>
      </w:r>
      <w:r>
        <w:rPr>
          <w:color w:val="231F20"/>
          <w:w w:val="110"/>
          <w:sz w:val="20"/>
        </w:rPr>
        <w:t>públicos.</w:t>
      </w:r>
    </w:p>
    <w:p>
      <w:pPr>
        <w:pStyle w:val="ListParagraph"/>
        <w:numPr>
          <w:ilvl w:val="0"/>
          <w:numId w:val="3"/>
        </w:numPr>
        <w:tabs>
          <w:tab w:pos="460" w:val="left" w:leader="none"/>
        </w:tabs>
        <w:spacing w:line="261" w:lineRule="auto" w:before="0" w:after="0"/>
        <w:ind w:left="340" w:right="119" w:hanging="40"/>
        <w:jc w:val="right"/>
        <w:rPr>
          <w:sz w:val="20"/>
        </w:rPr>
      </w:pPr>
      <w:r>
        <w:rPr>
          <w:color w:val="231F20"/>
          <w:w w:val="110"/>
          <w:sz w:val="20"/>
        </w:rPr>
        <w:t>Para los gobiernos de la Europa del gran capital, la crisis</w:t>
      </w:r>
      <w:r>
        <w:rPr>
          <w:color w:val="231F20"/>
          <w:spacing w:val="38"/>
          <w:w w:val="110"/>
          <w:sz w:val="20"/>
        </w:rPr>
        <w:t> </w:t>
      </w:r>
      <w:r>
        <w:rPr>
          <w:color w:val="231F20"/>
          <w:w w:val="110"/>
          <w:sz w:val="20"/>
        </w:rPr>
        <w:t>se</w:t>
      </w:r>
      <w:r>
        <w:rPr>
          <w:color w:val="231F20"/>
          <w:spacing w:val="8"/>
          <w:w w:val="110"/>
          <w:sz w:val="20"/>
        </w:rPr>
        <w:t> </w:t>
      </w:r>
      <w:r>
        <w:rPr>
          <w:color w:val="231F20"/>
          <w:w w:val="110"/>
          <w:sz w:val="20"/>
        </w:rPr>
        <w:t>re-</w:t>
      </w:r>
      <w:r>
        <w:rPr>
          <w:color w:val="231F20"/>
          <w:w w:val="72"/>
          <w:sz w:val="20"/>
        </w:rPr>
        <w:t> </w:t>
      </w:r>
      <w:r>
        <w:rPr>
          <w:color w:val="231F20"/>
          <w:w w:val="110"/>
          <w:sz w:val="20"/>
        </w:rPr>
        <w:t>duce a la dimensión fiscal de los presupuestos públicos.</w:t>
      </w:r>
      <w:r>
        <w:rPr>
          <w:color w:val="231F20"/>
          <w:spacing w:val="15"/>
          <w:w w:val="110"/>
          <w:sz w:val="20"/>
        </w:rPr>
        <w:t> </w:t>
      </w:r>
      <w:r>
        <w:rPr>
          <w:color w:val="231F20"/>
          <w:w w:val="110"/>
          <w:sz w:val="20"/>
        </w:rPr>
        <w:t>De</w:t>
      </w:r>
      <w:r>
        <w:rPr>
          <w:color w:val="231F20"/>
          <w:spacing w:val="1"/>
          <w:w w:val="110"/>
          <w:sz w:val="20"/>
        </w:rPr>
        <w:t> </w:t>
      </w:r>
      <w:r>
        <w:rPr>
          <w:color w:val="231F20"/>
          <w:w w:val="110"/>
          <w:sz w:val="20"/>
        </w:rPr>
        <w:t>esta</w:t>
      </w:r>
      <w:r>
        <w:rPr>
          <w:color w:val="231F20"/>
          <w:spacing w:val="-2"/>
          <w:w w:val="106"/>
          <w:sz w:val="20"/>
        </w:rPr>
        <w:t> </w:t>
      </w:r>
      <w:r>
        <w:rPr>
          <w:color w:val="231F20"/>
          <w:w w:val="110"/>
          <w:sz w:val="20"/>
        </w:rPr>
        <w:t>forma, el gasto público en materia social queda limitado</w:t>
      </w:r>
      <w:r>
        <w:rPr>
          <w:color w:val="231F20"/>
          <w:spacing w:val="36"/>
          <w:w w:val="110"/>
          <w:sz w:val="20"/>
        </w:rPr>
        <w:t> </w:t>
      </w:r>
      <w:r>
        <w:rPr>
          <w:color w:val="231F20"/>
          <w:w w:val="110"/>
          <w:sz w:val="20"/>
        </w:rPr>
        <w:t>por</w:t>
      </w:r>
      <w:r>
        <w:rPr>
          <w:color w:val="231F20"/>
          <w:spacing w:val="4"/>
          <w:w w:val="110"/>
          <w:sz w:val="20"/>
        </w:rPr>
        <w:t> </w:t>
      </w:r>
      <w:r>
        <w:rPr>
          <w:color w:val="231F20"/>
          <w:spacing w:val="-2"/>
          <w:w w:val="110"/>
          <w:sz w:val="20"/>
        </w:rPr>
        <w:t>los</w:t>
      </w:r>
      <w:r>
        <w:rPr>
          <w:color w:val="231F20"/>
          <w:spacing w:val="-2"/>
          <w:w w:val="102"/>
          <w:sz w:val="20"/>
        </w:rPr>
        <w:t> </w:t>
      </w:r>
      <w:r>
        <w:rPr>
          <w:color w:val="231F20"/>
          <w:w w:val="110"/>
          <w:sz w:val="20"/>
        </w:rPr>
        <w:t>lineamientos macroeconómicos del Plan de Estabilización</w:t>
      </w:r>
      <w:r>
        <w:rPr>
          <w:color w:val="231F20"/>
          <w:spacing w:val="39"/>
          <w:w w:val="110"/>
          <w:sz w:val="20"/>
        </w:rPr>
        <w:t> </w:t>
      </w:r>
      <w:r>
        <w:rPr>
          <w:color w:val="231F20"/>
          <w:w w:val="110"/>
          <w:sz w:val="20"/>
        </w:rPr>
        <w:t>de</w:t>
      </w:r>
      <w:r>
        <w:rPr>
          <w:color w:val="231F20"/>
          <w:spacing w:val="6"/>
          <w:w w:val="110"/>
          <w:sz w:val="20"/>
        </w:rPr>
        <w:t> </w:t>
      </w:r>
      <w:r>
        <w:rPr>
          <w:color w:val="231F20"/>
          <w:w w:val="110"/>
          <w:sz w:val="20"/>
        </w:rPr>
        <w:t>la</w:t>
      </w:r>
      <w:r>
        <w:rPr>
          <w:color w:val="231F20"/>
          <w:spacing w:val="-2"/>
          <w:w w:val="105"/>
          <w:sz w:val="20"/>
        </w:rPr>
        <w:t> </w:t>
      </w:r>
      <w:r>
        <w:rPr>
          <w:color w:val="231F20"/>
          <w:w w:val="110"/>
          <w:sz w:val="20"/>
        </w:rPr>
        <w:t>UE que establece, como vimos, un tope de 3% al</w:t>
      </w:r>
      <w:r>
        <w:rPr>
          <w:color w:val="231F20"/>
          <w:spacing w:val="-4"/>
          <w:w w:val="110"/>
          <w:sz w:val="20"/>
        </w:rPr>
        <w:t> </w:t>
      </w:r>
      <w:r>
        <w:rPr>
          <w:color w:val="231F20"/>
          <w:w w:val="110"/>
          <w:sz w:val="20"/>
        </w:rPr>
        <w:t>déficit</w:t>
      </w:r>
      <w:r>
        <w:rPr>
          <w:color w:val="231F20"/>
          <w:spacing w:val="-1"/>
          <w:w w:val="110"/>
          <w:sz w:val="20"/>
        </w:rPr>
        <w:t> </w:t>
      </w:r>
      <w:r>
        <w:rPr>
          <w:color w:val="231F20"/>
          <w:w w:val="110"/>
          <w:sz w:val="20"/>
        </w:rPr>
        <w:t>público</w:t>
      </w:r>
      <w:r>
        <w:rPr>
          <w:color w:val="231F20"/>
          <w:spacing w:val="-2"/>
          <w:w w:val="110"/>
          <w:sz w:val="20"/>
        </w:rPr>
        <w:t> </w:t>
      </w:r>
      <w:r>
        <w:rPr>
          <w:color w:val="231F20"/>
          <w:w w:val="110"/>
          <w:sz w:val="20"/>
        </w:rPr>
        <w:t>por</w:t>
      </w:r>
      <w:r>
        <w:rPr>
          <w:color w:val="231F20"/>
          <w:spacing w:val="-15"/>
          <w:w w:val="110"/>
          <w:sz w:val="20"/>
        </w:rPr>
        <w:t> </w:t>
      </w:r>
      <w:r>
        <w:rPr>
          <w:color w:val="231F20"/>
          <w:w w:val="110"/>
          <w:sz w:val="20"/>
        </w:rPr>
        <w:t>lo</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rebasarlo,</w:t>
      </w:r>
      <w:r>
        <w:rPr>
          <w:color w:val="231F20"/>
          <w:spacing w:val="-15"/>
          <w:w w:val="110"/>
          <w:sz w:val="20"/>
        </w:rPr>
        <w:t> </w:t>
      </w:r>
      <w:r>
        <w:rPr>
          <w:color w:val="231F20"/>
          <w:w w:val="110"/>
          <w:sz w:val="20"/>
        </w:rPr>
        <w:t>implica</w:t>
      </w:r>
      <w:r>
        <w:rPr>
          <w:color w:val="231F20"/>
          <w:spacing w:val="-15"/>
          <w:w w:val="110"/>
          <w:sz w:val="20"/>
        </w:rPr>
        <w:t> </w:t>
      </w:r>
      <w:r>
        <w:rPr>
          <w:color w:val="231F20"/>
          <w:w w:val="110"/>
          <w:sz w:val="20"/>
        </w:rPr>
        <w:t>su</w:t>
      </w:r>
      <w:r>
        <w:rPr>
          <w:color w:val="231F20"/>
          <w:spacing w:val="-15"/>
          <w:w w:val="110"/>
          <w:sz w:val="20"/>
        </w:rPr>
        <w:t> </w:t>
      </w:r>
      <w:r>
        <w:rPr>
          <w:color w:val="231F20"/>
          <w:w w:val="110"/>
          <w:sz w:val="20"/>
        </w:rPr>
        <w:t>inmediata</w:t>
      </w:r>
      <w:r>
        <w:rPr>
          <w:color w:val="231F20"/>
          <w:spacing w:val="-15"/>
          <w:w w:val="110"/>
          <w:sz w:val="20"/>
        </w:rPr>
        <w:t> </w:t>
      </w:r>
      <w:r>
        <w:rPr>
          <w:color w:val="231F20"/>
          <w:w w:val="110"/>
          <w:sz w:val="20"/>
        </w:rPr>
        <w:t>corrección</w:t>
      </w:r>
      <w:r>
        <w:rPr>
          <w:color w:val="231F20"/>
          <w:spacing w:val="-15"/>
          <w:w w:val="110"/>
          <w:sz w:val="20"/>
        </w:rPr>
        <w:t> </w:t>
      </w:r>
      <w:r>
        <w:rPr>
          <w:color w:val="231F20"/>
          <w:w w:val="110"/>
          <w:sz w:val="20"/>
        </w:rPr>
        <w:t>con</w:t>
      </w:r>
      <w:r>
        <w:rPr>
          <w:color w:val="231F20"/>
          <w:spacing w:val="-15"/>
          <w:w w:val="110"/>
          <w:sz w:val="20"/>
        </w:rPr>
        <w:t> </w:t>
      </w:r>
      <w:r>
        <w:rPr>
          <w:color w:val="231F20"/>
          <w:spacing w:val="-2"/>
          <w:w w:val="110"/>
          <w:sz w:val="20"/>
        </w:rPr>
        <w:t>nuevas</w:t>
      </w:r>
      <w:r>
        <w:rPr>
          <w:color w:val="231F20"/>
          <w:spacing w:val="-2"/>
          <w:w w:val="105"/>
          <w:sz w:val="20"/>
        </w:rPr>
        <w:t> </w:t>
      </w:r>
      <w:r>
        <w:rPr>
          <w:color w:val="231F20"/>
          <w:w w:val="110"/>
          <w:sz w:val="20"/>
        </w:rPr>
        <w:t>medidas</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austeridad</w:t>
      </w:r>
      <w:r>
        <w:rPr>
          <w:color w:val="231F20"/>
          <w:spacing w:val="-17"/>
          <w:w w:val="110"/>
          <w:sz w:val="20"/>
        </w:rPr>
        <w:t> </w:t>
      </w:r>
      <w:r>
        <w:rPr>
          <w:color w:val="231F20"/>
          <w:w w:val="110"/>
          <w:sz w:val="20"/>
        </w:rPr>
        <w:t>para</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población</w:t>
      </w:r>
      <w:r>
        <w:rPr>
          <w:color w:val="231F20"/>
          <w:spacing w:val="-17"/>
          <w:w w:val="110"/>
          <w:sz w:val="20"/>
        </w:rPr>
        <w:t> </w:t>
      </w:r>
      <w:r>
        <w:rPr>
          <w:color w:val="231F20"/>
          <w:w w:val="110"/>
          <w:sz w:val="20"/>
        </w:rPr>
        <w:t>y</w:t>
      </w:r>
      <w:r>
        <w:rPr>
          <w:color w:val="231F20"/>
          <w:spacing w:val="-17"/>
          <w:w w:val="110"/>
          <w:sz w:val="20"/>
        </w:rPr>
        <w:t> </w:t>
      </w:r>
      <w:r>
        <w:rPr>
          <w:color w:val="231F20"/>
          <w:w w:val="110"/>
          <w:sz w:val="20"/>
        </w:rPr>
        <w:t>recortes</w:t>
      </w:r>
      <w:r>
        <w:rPr>
          <w:color w:val="231F20"/>
          <w:spacing w:val="-17"/>
          <w:w w:val="110"/>
          <w:sz w:val="20"/>
        </w:rPr>
        <w:t> </w:t>
      </w:r>
      <w:r>
        <w:rPr>
          <w:color w:val="231F20"/>
          <w:w w:val="110"/>
          <w:sz w:val="20"/>
        </w:rPr>
        <w:t>al</w:t>
      </w:r>
      <w:r>
        <w:rPr>
          <w:color w:val="231F20"/>
          <w:spacing w:val="-17"/>
          <w:w w:val="110"/>
          <w:sz w:val="20"/>
        </w:rPr>
        <w:t> </w:t>
      </w:r>
      <w:r>
        <w:rPr>
          <w:color w:val="231F20"/>
          <w:w w:val="110"/>
          <w:sz w:val="20"/>
        </w:rPr>
        <w:t>gasto</w:t>
      </w:r>
      <w:r>
        <w:rPr>
          <w:color w:val="231F20"/>
          <w:spacing w:val="-17"/>
          <w:w w:val="110"/>
          <w:sz w:val="20"/>
        </w:rPr>
        <w:t> </w:t>
      </w:r>
      <w:r>
        <w:rPr>
          <w:color w:val="231F20"/>
          <w:w w:val="110"/>
          <w:sz w:val="20"/>
        </w:rPr>
        <w:t>social.</w:t>
      </w:r>
    </w:p>
    <w:p>
      <w:pPr>
        <w:pStyle w:val="BodyText"/>
        <w:spacing w:line="261" w:lineRule="auto"/>
        <w:ind w:left="100" w:right="117" w:firstLine="240"/>
        <w:jc w:val="both"/>
      </w:pPr>
      <w:r>
        <w:rPr>
          <w:color w:val="231F20"/>
          <w:w w:val="110"/>
        </w:rPr>
        <w:t>La segunda línea de preocupación de las autoridades de la Unión es la defensa del euro, como “moneda soberana” que es su “cimien- to”: les preocupa la “unidad” y consideran que cualquier perturba- ción de las economías puede quebrantarla. De tal manera que así justifican la imposición de políticas de austeridad y de reducción de la dimensión social del decadente Estado de bienestar consolidado después de la segunda guerra  mundial.</w:t>
      </w:r>
    </w:p>
    <w:p>
      <w:pPr>
        <w:spacing w:after="0" w:line="261" w:lineRule="auto"/>
        <w:jc w:val="both"/>
        <w:sectPr>
          <w:headerReference w:type="even" r:id="rId128"/>
          <w:headerReference w:type="default" r:id="rId129"/>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El gran capital financiero está de acuerdo en lo general con las medidas</w:t>
      </w:r>
      <w:r>
        <w:rPr>
          <w:color w:val="231F20"/>
          <w:spacing w:val="-14"/>
          <w:w w:val="110"/>
        </w:rPr>
        <w:t> </w:t>
      </w:r>
      <w:r>
        <w:rPr>
          <w:color w:val="231F20"/>
          <w:w w:val="110"/>
        </w:rPr>
        <w:t>de</w:t>
      </w:r>
      <w:r>
        <w:rPr>
          <w:color w:val="231F20"/>
          <w:spacing w:val="-14"/>
          <w:w w:val="110"/>
        </w:rPr>
        <w:t> </w:t>
      </w:r>
      <w:r>
        <w:rPr>
          <w:color w:val="231F20"/>
          <w:w w:val="110"/>
        </w:rPr>
        <w:t>austeridad</w:t>
      </w:r>
      <w:r>
        <w:rPr>
          <w:color w:val="231F20"/>
          <w:spacing w:val="-14"/>
          <w:w w:val="110"/>
        </w:rPr>
        <w:t> </w:t>
      </w:r>
      <w:r>
        <w:rPr>
          <w:color w:val="231F20"/>
          <w:w w:val="110"/>
        </w:rPr>
        <w:t>adoptadas</w:t>
      </w:r>
      <w:r>
        <w:rPr>
          <w:color w:val="231F20"/>
          <w:spacing w:val="-14"/>
          <w:w w:val="110"/>
        </w:rPr>
        <w:t> </w:t>
      </w:r>
      <w:r>
        <w:rPr>
          <w:color w:val="231F20"/>
          <w:w w:val="110"/>
        </w:rPr>
        <w:t>para</w:t>
      </w:r>
      <w:r>
        <w:rPr>
          <w:color w:val="231F20"/>
          <w:spacing w:val="-14"/>
          <w:w w:val="110"/>
        </w:rPr>
        <w:t> </w:t>
      </w:r>
      <w:r>
        <w:rPr>
          <w:color w:val="231F20"/>
          <w:w w:val="110"/>
        </w:rPr>
        <w:t>“paliar”</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pero</w:t>
      </w:r>
      <w:r>
        <w:rPr>
          <w:color w:val="231F20"/>
          <w:spacing w:val="-14"/>
          <w:w w:val="110"/>
        </w:rPr>
        <w:t> </w:t>
      </w:r>
      <w:r>
        <w:rPr>
          <w:color w:val="231F20"/>
          <w:w w:val="110"/>
        </w:rPr>
        <w:t>se</w:t>
      </w:r>
      <w:r>
        <w:rPr>
          <w:color w:val="231F20"/>
          <w:spacing w:val="-14"/>
          <w:w w:val="110"/>
        </w:rPr>
        <w:t> </w:t>
      </w:r>
      <w:r>
        <w:rPr>
          <w:color w:val="231F20"/>
          <w:w w:val="110"/>
        </w:rPr>
        <w:t>opone rotundamente a ser objeto de “ajustes” que lesionen sus intereses de clase, así como de sus grandes capitales y empresas transnacionales que operan simultáneamente en varias regiones del  </w:t>
      </w:r>
      <w:r>
        <w:rPr>
          <w:color w:val="231F20"/>
          <w:spacing w:val="4"/>
          <w:w w:val="110"/>
        </w:rPr>
        <w:t> </w:t>
      </w:r>
      <w:r>
        <w:rPr>
          <w:color w:val="231F20"/>
          <w:w w:val="110"/>
        </w:rPr>
        <w:t>mundo.</w:t>
      </w:r>
    </w:p>
    <w:p>
      <w:pPr>
        <w:pStyle w:val="BodyText"/>
        <w:spacing w:line="261" w:lineRule="auto"/>
        <w:ind w:left="100" w:right="117" w:firstLine="240"/>
        <w:jc w:val="both"/>
      </w:pPr>
      <w:r>
        <w:rPr>
          <w:color w:val="231F20"/>
          <w:w w:val="110"/>
        </w:rPr>
        <w:t>Por</w:t>
      </w:r>
      <w:r>
        <w:rPr>
          <w:color w:val="231F20"/>
          <w:spacing w:val="-6"/>
          <w:w w:val="110"/>
        </w:rPr>
        <w:t> </w:t>
      </w:r>
      <w:r>
        <w:rPr>
          <w:color w:val="231F20"/>
          <w:w w:val="110"/>
        </w:rPr>
        <w:t>su</w:t>
      </w:r>
      <w:r>
        <w:rPr>
          <w:color w:val="231F20"/>
          <w:spacing w:val="-6"/>
          <w:w w:val="110"/>
        </w:rPr>
        <w:t> </w:t>
      </w:r>
      <w:r>
        <w:rPr>
          <w:color w:val="231F20"/>
          <w:w w:val="110"/>
        </w:rPr>
        <w:t>parte,</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realismo</w:t>
      </w:r>
      <w:r>
        <w:rPr>
          <w:color w:val="231F20"/>
          <w:spacing w:val="-6"/>
          <w:w w:val="110"/>
        </w:rPr>
        <w:t> </w:t>
      </w:r>
      <w:r>
        <w:rPr>
          <w:color w:val="231F20"/>
          <w:w w:val="110"/>
        </w:rPr>
        <w:t>exacerbado,</w:t>
      </w:r>
      <w:r>
        <w:rPr>
          <w:color w:val="231F20"/>
          <w:spacing w:val="-6"/>
          <w:w w:val="110"/>
        </w:rPr>
        <w:t> </w:t>
      </w:r>
      <w:r>
        <w:rPr>
          <w:color w:val="231F20"/>
          <w:w w:val="110"/>
        </w:rPr>
        <w:t>el</w:t>
      </w:r>
      <w:r>
        <w:rPr>
          <w:color w:val="231F20"/>
          <w:spacing w:val="-7"/>
          <w:w w:val="110"/>
        </w:rPr>
        <w:t> </w:t>
      </w:r>
      <w:r>
        <w:rPr>
          <w:color w:val="231F20"/>
          <w:w w:val="110"/>
        </w:rPr>
        <w:t>fmi</w:t>
      </w:r>
      <w:r>
        <w:rPr>
          <w:color w:val="231F20"/>
          <w:spacing w:val="-6"/>
          <w:w w:val="110"/>
        </w:rPr>
        <w:t> </w:t>
      </w:r>
      <w:r>
        <w:rPr>
          <w:color w:val="231F20"/>
          <w:w w:val="110"/>
        </w:rPr>
        <w:t>considera</w:t>
      </w:r>
      <w:r>
        <w:rPr>
          <w:color w:val="231F20"/>
          <w:spacing w:val="-6"/>
          <w:w w:val="110"/>
        </w:rPr>
        <w:t> </w:t>
      </w:r>
      <w:r>
        <w:rPr>
          <w:color w:val="231F20"/>
          <w:w w:val="110"/>
        </w:rPr>
        <w:t>que</w:t>
      </w:r>
      <w:r>
        <w:rPr>
          <w:color w:val="231F20"/>
          <w:spacing w:val="-6"/>
          <w:w w:val="110"/>
        </w:rPr>
        <w:t> </w:t>
      </w:r>
      <w:r>
        <w:rPr>
          <w:color w:val="231F20"/>
          <w:w w:val="110"/>
        </w:rPr>
        <w:t>las políticas de austeridad, que golpean gravemente a los trabajadores europeos, constituyen la única alternativa de superación de la crisis fiscal</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supuesta</w:t>
      </w:r>
      <w:r>
        <w:rPr>
          <w:color w:val="231F20"/>
          <w:spacing w:val="-6"/>
          <w:w w:val="110"/>
        </w:rPr>
        <w:t> </w:t>
      </w:r>
      <w:r>
        <w:rPr>
          <w:color w:val="231F20"/>
          <w:w w:val="110"/>
        </w:rPr>
        <w:t>pérdida</w:t>
      </w:r>
      <w:r>
        <w:rPr>
          <w:color w:val="231F20"/>
          <w:spacing w:val="-6"/>
          <w:w w:val="110"/>
        </w:rPr>
        <w:t> </w:t>
      </w:r>
      <w:r>
        <w:rPr>
          <w:color w:val="231F20"/>
          <w:w w:val="110"/>
        </w:rPr>
        <w:t>de</w:t>
      </w:r>
      <w:r>
        <w:rPr>
          <w:color w:val="231F20"/>
          <w:spacing w:val="-6"/>
          <w:w w:val="110"/>
        </w:rPr>
        <w:t> </w:t>
      </w:r>
      <w:r>
        <w:rPr>
          <w:color w:val="231F20"/>
          <w:w w:val="110"/>
        </w:rPr>
        <w:t>competitividad</w:t>
      </w:r>
      <w:r>
        <w:rPr>
          <w:color w:val="231F20"/>
          <w:spacing w:val="-6"/>
          <w:w w:val="110"/>
        </w:rPr>
        <w:t> </w:t>
      </w:r>
      <w:r>
        <w:rPr>
          <w:color w:val="231F20"/>
          <w:w w:val="110"/>
        </w:rPr>
        <w:t>internacional</w:t>
      </w:r>
      <w:r>
        <w:rPr>
          <w:color w:val="231F20"/>
          <w:spacing w:val="-6"/>
          <w:w w:val="110"/>
        </w:rPr>
        <w:t> </w:t>
      </w:r>
      <w:r>
        <w:rPr>
          <w:color w:val="231F20"/>
          <w:w w:val="110"/>
        </w:rPr>
        <w:t>de</w:t>
      </w:r>
      <w:r>
        <w:rPr>
          <w:color w:val="231F20"/>
          <w:spacing w:val="-6"/>
          <w:w w:val="110"/>
        </w:rPr>
        <w:t> </w:t>
      </w:r>
      <w:r>
        <w:rPr>
          <w:color w:val="231F20"/>
          <w:w w:val="110"/>
        </w:rPr>
        <w:t>las economías. Al respecto, el primer subdirector gerente y presidente interino del directorio ejecutivo, John Lipsky en un comunicado de prensa del fmi, del 9 de mayo de 2010,</w:t>
      </w:r>
      <w:r>
        <w:rPr>
          <w:color w:val="231F20"/>
          <w:spacing w:val="41"/>
          <w:w w:val="110"/>
        </w:rPr>
        <w:t> </w:t>
      </w:r>
      <w:r>
        <w:rPr>
          <w:color w:val="231F20"/>
          <w:w w:val="110"/>
        </w:rPr>
        <w:t>señaló:</w:t>
      </w:r>
    </w:p>
    <w:p>
      <w:pPr>
        <w:pStyle w:val="BodyText"/>
        <w:spacing w:before="4"/>
        <w:rPr>
          <w:sz w:val="23"/>
        </w:rPr>
      </w:pPr>
    </w:p>
    <w:p>
      <w:pPr>
        <w:spacing w:line="290" w:lineRule="auto" w:before="0"/>
        <w:ind w:left="100" w:right="115" w:firstLine="0"/>
        <w:jc w:val="right"/>
        <w:rPr>
          <w:sz w:val="18"/>
        </w:rPr>
      </w:pPr>
      <w:r>
        <w:rPr>
          <w:color w:val="231F20"/>
          <w:w w:val="110"/>
          <w:sz w:val="18"/>
        </w:rPr>
        <w:t>La economía griega se ha visto sacudida por una reacción adversa del</w:t>
      </w:r>
      <w:r>
        <w:rPr>
          <w:color w:val="231F20"/>
          <w:spacing w:val="4"/>
          <w:w w:val="110"/>
          <w:sz w:val="18"/>
        </w:rPr>
        <w:t> </w:t>
      </w:r>
      <w:r>
        <w:rPr>
          <w:color w:val="231F20"/>
          <w:w w:val="110"/>
          <w:sz w:val="18"/>
        </w:rPr>
        <w:t>mer-</w:t>
      </w:r>
      <w:r>
        <w:rPr>
          <w:color w:val="231F20"/>
          <w:w w:val="72"/>
          <w:sz w:val="18"/>
        </w:rPr>
        <w:t> </w:t>
      </w:r>
      <w:r>
        <w:rPr>
          <w:color w:val="231F20"/>
          <w:w w:val="110"/>
          <w:sz w:val="18"/>
        </w:rPr>
        <w:t>cado en los últimos meses. Estas presiones reflejan la</w:t>
      </w:r>
      <w:r>
        <w:rPr>
          <w:color w:val="231F20"/>
          <w:spacing w:val="34"/>
          <w:w w:val="110"/>
          <w:sz w:val="18"/>
        </w:rPr>
        <w:t> </w:t>
      </w:r>
      <w:r>
        <w:rPr>
          <w:color w:val="231F20"/>
          <w:w w:val="110"/>
          <w:sz w:val="18"/>
        </w:rPr>
        <w:t>preocupación</w:t>
      </w:r>
      <w:r>
        <w:rPr>
          <w:color w:val="231F20"/>
          <w:spacing w:val="9"/>
          <w:w w:val="110"/>
          <w:sz w:val="18"/>
        </w:rPr>
        <w:t> </w:t>
      </w:r>
      <w:r>
        <w:rPr>
          <w:color w:val="231F20"/>
          <w:w w:val="110"/>
          <w:sz w:val="18"/>
        </w:rPr>
        <w:t>acerca</w:t>
      </w:r>
      <w:r>
        <w:rPr>
          <w:color w:val="231F20"/>
          <w:w w:val="108"/>
          <w:sz w:val="18"/>
        </w:rPr>
        <w:t> </w:t>
      </w:r>
      <w:r>
        <w:rPr>
          <w:color w:val="231F20"/>
          <w:w w:val="110"/>
          <w:sz w:val="18"/>
        </w:rPr>
        <w:t>de</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sostenibilidad</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las</w:t>
      </w:r>
      <w:r>
        <w:rPr>
          <w:color w:val="231F20"/>
          <w:spacing w:val="18"/>
          <w:w w:val="110"/>
          <w:sz w:val="18"/>
        </w:rPr>
        <w:t> </w:t>
      </w:r>
      <w:r>
        <w:rPr>
          <w:color w:val="231F20"/>
          <w:w w:val="110"/>
          <w:sz w:val="18"/>
        </w:rPr>
        <w:t>finanzas</w:t>
      </w:r>
      <w:r>
        <w:rPr>
          <w:color w:val="231F20"/>
          <w:spacing w:val="18"/>
          <w:w w:val="110"/>
          <w:sz w:val="18"/>
        </w:rPr>
        <w:t> </w:t>
      </w:r>
      <w:r>
        <w:rPr>
          <w:color w:val="231F20"/>
          <w:w w:val="110"/>
          <w:sz w:val="18"/>
        </w:rPr>
        <w:t>públicas</w:t>
      </w:r>
      <w:r>
        <w:rPr>
          <w:color w:val="231F20"/>
          <w:spacing w:val="18"/>
          <w:w w:val="110"/>
          <w:sz w:val="18"/>
        </w:rPr>
        <w:t> </w:t>
      </w:r>
      <w:r>
        <w:rPr>
          <w:color w:val="231F20"/>
          <w:w w:val="110"/>
          <w:sz w:val="18"/>
        </w:rPr>
        <w:t>y</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baja</w:t>
      </w:r>
      <w:r>
        <w:rPr>
          <w:color w:val="231F20"/>
          <w:spacing w:val="18"/>
          <w:w w:val="110"/>
          <w:sz w:val="18"/>
        </w:rPr>
        <w:t> </w:t>
      </w:r>
      <w:r>
        <w:rPr>
          <w:color w:val="231F20"/>
          <w:w w:val="110"/>
          <w:sz w:val="18"/>
        </w:rPr>
        <w:t>competitividad.</w:t>
      </w:r>
      <w:r>
        <w:rPr>
          <w:color w:val="231F20"/>
          <w:spacing w:val="18"/>
          <w:w w:val="110"/>
          <w:sz w:val="18"/>
        </w:rPr>
        <w:t> </w:t>
      </w:r>
      <w:r>
        <w:rPr>
          <w:color w:val="231F20"/>
          <w:w w:val="110"/>
          <w:sz w:val="18"/>
        </w:rPr>
        <w:t>Las</w:t>
      </w:r>
      <w:r>
        <w:rPr>
          <w:color w:val="231F20"/>
          <w:w w:val="101"/>
          <w:sz w:val="18"/>
        </w:rPr>
        <w:t> </w:t>
      </w:r>
      <w:r>
        <w:rPr>
          <w:color w:val="231F20"/>
          <w:w w:val="110"/>
          <w:sz w:val="18"/>
        </w:rPr>
        <w:t>medidas adoptadas inicialmente para resolver estos problemas</w:t>
      </w:r>
      <w:r>
        <w:rPr>
          <w:color w:val="231F20"/>
          <w:spacing w:val="37"/>
          <w:w w:val="110"/>
          <w:sz w:val="18"/>
        </w:rPr>
        <w:t> </w:t>
      </w:r>
      <w:r>
        <w:rPr>
          <w:color w:val="231F20"/>
          <w:w w:val="110"/>
          <w:sz w:val="18"/>
        </w:rPr>
        <w:t>no</w:t>
      </w:r>
      <w:r>
        <w:rPr>
          <w:color w:val="231F20"/>
          <w:spacing w:val="12"/>
          <w:w w:val="110"/>
          <w:sz w:val="18"/>
        </w:rPr>
        <w:t> </w:t>
      </w:r>
      <w:r>
        <w:rPr>
          <w:color w:val="231F20"/>
          <w:w w:val="110"/>
          <w:sz w:val="18"/>
        </w:rPr>
        <w:t>lograron</w:t>
      </w:r>
      <w:r>
        <w:rPr>
          <w:color w:val="231F20"/>
          <w:w w:val="112"/>
          <w:sz w:val="18"/>
        </w:rPr>
        <w:t> </w:t>
      </w:r>
      <w:r>
        <w:rPr>
          <w:color w:val="231F20"/>
          <w:w w:val="110"/>
          <w:sz w:val="18"/>
        </w:rPr>
        <w:t>restablecer</w:t>
      </w:r>
      <w:r>
        <w:rPr>
          <w:color w:val="231F20"/>
          <w:spacing w:val="27"/>
          <w:w w:val="110"/>
          <w:sz w:val="18"/>
        </w:rPr>
        <w:t> </w:t>
      </w:r>
      <w:r>
        <w:rPr>
          <w:color w:val="231F20"/>
          <w:w w:val="110"/>
          <w:sz w:val="18"/>
        </w:rPr>
        <w:t>la</w:t>
      </w:r>
      <w:r>
        <w:rPr>
          <w:color w:val="231F20"/>
          <w:spacing w:val="27"/>
          <w:w w:val="110"/>
          <w:sz w:val="18"/>
        </w:rPr>
        <w:t> </w:t>
      </w:r>
      <w:r>
        <w:rPr>
          <w:color w:val="231F20"/>
          <w:w w:val="110"/>
          <w:sz w:val="18"/>
        </w:rPr>
        <w:t>confianza</w:t>
      </w:r>
      <w:r>
        <w:rPr>
          <w:color w:val="231F20"/>
          <w:spacing w:val="27"/>
          <w:w w:val="110"/>
          <w:sz w:val="18"/>
        </w:rPr>
        <w:t> </w:t>
      </w:r>
      <w:r>
        <w:rPr>
          <w:color w:val="231F20"/>
          <w:w w:val="110"/>
          <w:sz w:val="18"/>
        </w:rPr>
        <w:t>del</w:t>
      </w:r>
      <w:r>
        <w:rPr>
          <w:color w:val="231F20"/>
          <w:spacing w:val="27"/>
          <w:w w:val="110"/>
          <w:sz w:val="18"/>
        </w:rPr>
        <w:t> </w:t>
      </w:r>
      <w:r>
        <w:rPr>
          <w:color w:val="231F20"/>
          <w:w w:val="110"/>
          <w:sz w:val="18"/>
        </w:rPr>
        <w:t>mercado,</w:t>
      </w:r>
      <w:r>
        <w:rPr>
          <w:color w:val="231F20"/>
          <w:spacing w:val="27"/>
          <w:w w:val="110"/>
          <w:sz w:val="18"/>
        </w:rPr>
        <w:t> </w:t>
      </w:r>
      <w:r>
        <w:rPr>
          <w:color w:val="231F20"/>
          <w:w w:val="110"/>
          <w:sz w:val="18"/>
        </w:rPr>
        <w:t>lo</w:t>
      </w:r>
      <w:r>
        <w:rPr>
          <w:color w:val="231F20"/>
          <w:spacing w:val="27"/>
          <w:w w:val="110"/>
          <w:sz w:val="18"/>
        </w:rPr>
        <w:t> </w:t>
      </w:r>
      <w:r>
        <w:rPr>
          <w:color w:val="231F20"/>
          <w:w w:val="110"/>
          <w:sz w:val="18"/>
        </w:rPr>
        <w:t>que</w:t>
      </w:r>
      <w:r>
        <w:rPr>
          <w:color w:val="231F20"/>
          <w:spacing w:val="27"/>
          <w:w w:val="110"/>
          <w:sz w:val="18"/>
        </w:rPr>
        <w:t> </w:t>
      </w:r>
      <w:r>
        <w:rPr>
          <w:color w:val="231F20"/>
          <w:w w:val="110"/>
          <w:sz w:val="18"/>
        </w:rPr>
        <w:t>tuvo</w:t>
      </w:r>
      <w:r>
        <w:rPr>
          <w:color w:val="231F20"/>
          <w:spacing w:val="27"/>
          <w:w w:val="110"/>
          <w:sz w:val="18"/>
        </w:rPr>
        <w:t> </w:t>
      </w:r>
      <w:r>
        <w:rPr>
          <w:color w:val="231F20"/>
          <w:w w:val="110"/>
          <w:sz w:val="18"/>
        </w:rPr>
        <w:t>repercusiones</w:t>
      </w:r>
      <w:r>
        <w:rPr>
          <w:color w:val="231F20"/>
          <w:spacing w:val="27"/>
          <w:w w:val="110"/>
          <w:sz w:val="18"/>
        </w:rPr>
        <w:t> </w:t>
      </w:r>
      <w:r>
        <w:rPr>
          <w:color w:val="231F20"/>
          <w:w w:val="110"/>
          <w:sz w:val="18"/>
        </w:rPr>
        <w:t>adversas</w:t>
      </w:r>
      <w:r>
        <w:rPr>
          <w:color w:val="231F20"/>
          <w:w w:val="100"/>
          <w:sz w:val="18"/>
        </w:rPr>
        <w:t> </w:t>
      </w:r>
      <w:r>
        <w:rPr>
          <w:color w:val="231F20"/>
          <w:w w:val="110"/>
          <w:sz w:val="18"/>
        </w:rPr>
        <w:t>sobre el sector bancario […] Las autoridades griegas han</w:t>
      </w:r>
      <w:r>
        <w:rPr>
          <w:color w:val="231F20"/>
          <w:spacing w:val="3"/>
          <w:w w:val="110"/>
          <w:sz w:val="18"/>
        </w:rPr>
        <w:t> </w:t>
      </w:r>
      <w:r>
        <w:rPr>
          <w:color w:val="231F20"/>
          <w:w w:val="110"/>
          <w:sz w:val="18"/>
        </w:rPr>
        <w:t>elaborado</w:t>
      </w:r>
      <w:r>
        <w:rPr>
          <w:color w:val="231F20"/>
          <w:spacing w:val="16"/>
          <w:w w:val="110"/>
          <w:sz w:val="18"/>
        </w:rPr>
        <w:t> </w:t>
      </w:r>
      <w:r>
        <w:rPr>
          <w:color w:val="231F20"/>
          <w:w w:val="110"/>
          <w:sz w:val="18"/>
        </w:rPr>
        <w:t>ahora</w:t>
      </w:r>
      <w:r>
        <w:rPr>
          <w:color w:val="231F20"/>
          <w:w w:val="113"/>
          <w:sz w:val="18"/>
        </w:rPr>
        <w:t> </w:t>
      </w:r>
      <w:r>
        <w:rPr>
          <w:color w:val="231F20"/>
          <w:w w:val="110"/>
          <w:sz w:val="18"/>
        </w:rPr>
        <w:t>un</w:t>
      </w:r>
      <w:r>
        <w:rPr>
          <w:color w:val="231F20"/>
          <w:spacing w:val="33"/>
          <w:w w:val="110"/>
          <w:sz w:val="18"/>
        </w:rPr>
        <w:t> </w:t>
      </w:r>
      <w:r>
        <w:rPr>
          <w:color w:val="231F20"/>
          <w:w w:val="110"/>
          <w:sz w:val="18"/>
        </w:rPr>
        <w:t>audaz</w:t>
      </w:r>
      <w:r>
        <w:rPr>
          <w:color w:val="231F20"/>
          <w:spacing w:val="33"/>
          <w:w w:val="110"/>
          <w:sz w:val="18"/>
        </w:rPr>
        <w:t> </w:t>
      </w:r>
      <w:r>
        <w:rPr>
          <w:color w:val="231F20"/>
          <w:w w:val="110"/>
          <w:sz w:val="18"/>
        </w:rPr>
        <w:t>programa</w:t>
      </w:r>
      <w:r>
        <w:rPr>
          <w:color w:val="231F20"/>
          <w:spacing w:val="33"/>
          <w:w w:val="110"/>
          <w:sz w:val="18"/>
        </w:rPr>
        <w:t> </w:t>
      </w:r>
      <w:r>
        <w:rPr>
          <w:color w:val="231F20"/>
          <w:w w:val="110"/>
          <w:sz w:val="18"/>
        </w:rPr>
        <w:t>integrado</w:t>
      </w:r>
      <w:r>
        <w:rPr>
          <w:color w:val="231F20"/>
          <w:spacing w:val="33"/>
          <w:w w:val="110"/>
          <w:sz w:val="18"/>
        </w:rPr>
        <w:t> </w:t>
      </w:r>
      <w:r>
        <w:rPr>
          <w:color w:val="231F20"/>
          <w:w w:val="110"/>
          <w:sz w:val="18"/>
        </w:rPr>
        <w:t>por</w:t>
      </w:r>
      <w:r>
        <w:rPr>
          <w:color w:val="231F20"/>
          <w:spacing w:val="33"/>
          <w:w w:val="110"/>
          <w:sz w:val="18"/>
        </w:rPr>
        <w:t> </w:t>
      </w:r>
      <w:r>
        <w:rPr>
          <w:color w:val="231F20"/>
          <w:w w:val="110"/>
          <w:sz w:val="18"/>
        </w:rPr>
        <w:t>sólidas</w:t>
      </w:r>
      <w:r>
        <w:rPr>
          <w:color w:val="231F20"/>
          <w:spacing w:val="33"/>
          <w:w w:val="110"/>
          <w:sz w:val="18"/>
        </w:rPr>
        <w:t> </w:t>
      </w:r>
      <w:r>
        <w:rPr>
          <w:color w:val="231F20"/>
          <w:w w:val="110"/>
          <w:sz w:val="18"/>
        </w:rPr>
        <w:t>medidas</w:t>
      </w:r>
      <w:r>
        <w:rPr>
          <w:color w:val="231F20"/>
          <w:spacing w:val="33"/>
          <w:w w:val="110"/>
          <w:sz w:val="18"/>
        </w:rPr>
        <w:t> </w:t>
      </w:r>
      <w:r>
        <w:rPr>
          <w:color w:val="231F20"/>
          <w:w w:val="110"/>
          <w:sz w:val="18"/>
        </w:rPr>
        <w:t>iniciales</w:t>
      </w:r>
      <w:r>
        <w:rPr>
          <w:color w:val="231F20"/>
          <w:spacing w:val="33"/>
          <w:w w:val="110"/>
          <w:sz w:val="18"/>
        </w:rPr>
        <w:t> </w:t>
      </w:r>
      <w:r>
        <w:rPr>
          <w:color w:val="231F20"/>
          <w:w w:val="110"/>
          <w:sz w:val="18"/>
        </w:rPr>
        <w:t>orientadas</w:t>
      </w:r>
      <w:r>
        <w:rPr>
          <w:color w:val="231F20"/>
          <w:spacing w:val="33"/>
          <w:w w:val="110"/>
          <w:sz w:val="18"/>
        </w:rPr>
        <w:t> </w:t>
      </w:r>
      <w:r>
        <w:rPr>
          <w:color w:val="231F20"/>
          <w:w w:val="110"/>
          <w:sz w:val="18"/>
        </w:rPr>
        <w:t>a</w:t>
      </w:r>
      <w:r>
        <w:rPr>
          <w:color w:val="231F20"/>
          <w:w w:val="108"/>
          <w:sz w:val="18"/>
        </w:rPr>
        <w:t> </w:t>
      </w:r>
      <w:r>
        <w:rPr>
          <w:color w:val="231F20"/>
          <w:w w:val="110"/>
          <w:sz w:val="18"/>
        </w:rPr>
        <w:t>recobrar la credibilidad y recuperar la confianza del mercado.</w:t>
      </w:r>
      <w:r>
        <w:rPr>
          <w:color w:val="231F20"/>
          <w:spacing w:val="30"/>
          <w:w w:val="110"/>
          <w:sz w:val="18"/>
        </w:rPr>
        <w:t> </w:t>
      </w:r>
      <w:r>
        <w:rPr>
          <w:color w:val="231F20"/>
          <w:w w:val="110"/>
          <w:sz w:val="18"/>
        </w:rPr>
        <w:t>El</w:t>
      </w:r>
      <w:r>
        <w:rPr>
          <w:color w:val="231F20"/>
          <w:spacing w:val="8"/>
          <w:w w:val="110"/>
          <w:sz w:val="18"/>
        </w:rPr>
        <w:t> </w:t>
      </w:r>
      <w:r>
        <w:rPr>
          <w:color w:val="231F20"/>
          <w:w w:val="110"/>
          <w:sz w:val="18"/>
        </w:rPr>
        <w:t>programa</w:t>
      </w:r>
      <w:r>
        <w:rPr>
          <w:color w:val="231F20"/>
          <w:w w:val="111"/>
          <w:sz w:val="18"/>
        </w:rPr>
        <w:t> </w:t>
      </w:r>
      <w:r>
        <w:rPr>
          <w:color w:val="231F20"/>
          <w:w w:val="110"/>
          <w:sz w:val="18"/>
        </w:rPr>
        <w:t>se</w:t>
      </w:r>
      <w:r>
        <w:rPr>
          <w:color w:val="231F20"/>
          <w:spacing w:val="-4"/>
          <w:w w:val="110"/>
          <w:sz w:val="18"/>
        </w:rPr>
        <w:t> </w:t>
      </w:r>
      <w:r>
        <w:rPr>
          <w:color w:val="231F20"/>
          <w:w w:val="110"/>
          <w:sz w:val="18"/>
        </w:rPr>
        <w:t>centra</w:t>
      </w:r>
      <w:r>
        <w:rPr>
          <w:color w:val="231F20"/>
          <w:spacing w:val="-4"/>
          <w:w w:val="110"/>
          <w:sz w:val="18"/>
        </w:rPr>
        <w:t> </w:t>
      </w:r>
      <w:r>
        <w:rPr>
          <w:color w:val="231F20"/>
          <w:w w:val="110"/>
          <w:sz w:val="18"/>
        </w:rPr>
        <w:t>en</w:t>
      </w:r>
      <w:r>
        <w:rPr>
          <w:color w:val="231F20"/>
          <w:spacing w:val="-4"/>
          <w:w w:val="110"/>
          <w:sz w:val="18"/>
        </w:rPr>
        <w:t> </w:t>
      </w:r>
      <w:r>
        <w:rPr>
          <w:i/>
          <w:color w:val="231F20"/>
          <w:w w:val="110"/>
          <w:sz w:val="18"/>
        </w:rPr>
        <w:t>a</w:t>
      </w:r>
      <w:r>
        <w:rPr>
          <w:color w:val="231F20"/>
          <w:w w:val="110"/>
          <w:sz w:val="18"/>
        </w:rPr>
        <w:t>]</w:t>
      </w:r>
      <w:r>
        <w:rPr>
          <w:color w:val="231F20"/>
          <w:spacing w:val="-4"/>
          <w:w w:val="110"/>
          <w:sz w:val="18"/>
        </w:rPr>
        <w:t> </w:t>
      </w:r>
      <w:r>
        <w:rPr>
          <w:color w:val="231F20"/>
          <w:w w:val="110"/>
          <w:sz w:val="18"/>
        </w:rPr>
        <w:t>restablecer</w:t>
      </w:r>
      <w:r>
        <w:rPr>
          <w:color w:val="231F20"/>
          <w:spacing w:val="-4"/>
          <w:w w:val="110"/>
          <w:sz w:val="18"/>
        </w:rPr>
        <w:t> </w:t>
      </w:r>
      <w:r>
        <w:rPr>
          <w:color w:val="231F20"/>
          <w:w w:val="110"/>
          <w:sz w:val="18"/>
        </w:rPr>
        <w:t>la</w:t>
      </w:r>
      <w:r>
        <w:rPr>
          <w:color w:val="231F20"/>
          <w:spacing w:val="-4"/>
          <w:w w:val="110"/>
          <w:sz w:val="18"/>
        </w:rPr>
        <w:t> </w:t>
      </w:r>
      <w:r>
        <w:rPr>
          <w:color w:val="231F20"/>
          <w:w w:val="110"/>
          <w:sz w:val="18"/>
        </w:rPr>
        <w:t>sostenibilidad</w:t>
      </w:r>
      <w:r>
        <w:rPr>
          <w:color w:val="231F20"/>
          <w:spacing w:val="-4"/>
          <w:w w:val="110"/>
          <w:sz w:val="18"/>
        </w:rPr>
        <w:t> </w:t>
      </w:r>
      <w:r>
        <w:rPr>
          <w:color w:val="231F20"/>
          <w:w w:val="110"/>
          <w:sz w:val="18"/>
        </w:rPr>
        <w:t>fiscal,</w:t>
      </w:r>
      <w:r>
        <w:rPr>
          <w:color w:val="231F20"/>
          <w:spacing w:val="-4"/>
          <w:w w:val="110"/>
          <w:sz w:val="18"/>
        </w:rPr>
        <w:t> </w:t>
      </w:r>
      <w:r>
        <w:rPr>
          <w:i/>
          <w:color w:val="231F20"/>
          <w:w w:val="110"/>
          <w:sz w:val="18"/>
        </w:rPr>
        <w:t>b</w:t>
      </w:r>
      <w:r>
        <w:rPr>
          <w:color w:val="231F20"/>
          <w:w w:val="110"/>
          <w:sz w:val="18"/>
        </w:rPr>
        <w:t>]</w:t>
      </w:r>
      <w:r>
        <w:rPr>
          <w:color w:val="231F20"/>
          <w:spacing w:val="-4"/>
          <w:w w:val="110"/>
          <w:sz w:val="18"/>
        </w:rPr>
        <w:t> </w:t>
      </w:r>
      <w:r>
        <w:rPr>
          <w:color w:val="231F20"/>
          <w:w w:val="110"/>
          <w:sz w:val="18"/>
        </w:rPr>
        <w:t>incentivar</w:t>
      </w:r>
      <w:r>
        <w:rPr>
          <w:color w:val="231F20"/>
          <w:spacing w:val="-4"/>
          <w:w w:val="110"/>
          <w:sz w:val="18"/>
        </w:rPr>
        <w:t> </w:t>
      </w:r>
      <w:r>
        <w:rPr>
          <w:color w:val="231F20"/>
          <w:w w:val="110"/>
          <w:sz w:val="18"/>
        </w:rPr>
        <w:t>la</w:t>
      </w:r>
      <w:r>
        <w:rPr>
          <w:color w:val="231F20"/>
          <w:spacing w:val="-4"/>
          <w:w w:val="110"/>
          <w:sz w:val="18"/>
        </w:rPr>
        <w:t> </w:t>
      </w:r>
      <w:r>
        <w:rPr>
          <w:color w:val="231F20"/>
          <w:w w:val="110"/>
          <w:sz w:val="18"/>
        </w:rPr>
        <w:t>competiti-</w:t>
      </w:r>
      <w:r>
        <w:rPr>
          <w:color w:val="231F20"/>
          <w:w w:val="72"/>
          <w:sz w:val="18"/>
        </w:rPr>
        <w:t> </w:t>
      </w:r>
      <w:r>
        <w:rPr>
          <w:color w:val="231F20"/>
          <w:w w:val="110"/>
          <w:sz w:val="18"/>
        </w:rPr>
        <w:t>vidad</w:t>
      </w:r>
      <w:r>
        <w:rPr>
          <w:color w:val="231F20"/>
          <w:spacing w:val="-6"/>
          <w:w w:val="110"/>
          <w:sz w:val="18"/>
        </w:rPr>
        <w:t> </w:t>
      </w:r>
      <w:r>
        <w:rPr>
          <w:color w:val="231F20"/>
          <w:w w:val="110"/>
          <w:sz w:val="18"/>
        </w:rPr>
        <w:t>externa,</w:t>
      </w:r>
      <w:r>
        <w:rPr>
          <w:color w:val="231F20"/>
          <w:spacing w:val="-6"/>
          <w:w w:val="110"/>
          <w:sz w:val="18"/>
        </w:rPr>
        <w:t> </w:t>
      </w:r>
      <w:r>
        <w:rPr>
          <w:color w:val="231F20"/>
          <w:w w:val="110"/>
          <w:sz w:val="18"/>
        </w:rPr>
        <w:t>y</w:t>
      </w:r>
      <w:r>
        <w:rPr>
          <w:color w:val="231F20"/>
          <w:spacing w:val="-6"/>
          <w:w w:val="110"/>
          <w:sz w:val="18"/>
        </w:rPr>
        <w:t> </w:t>
      </w:r>
      <w:r>
        <w:rPr>
          <w:i/>
          <w:color w:val="231F20"/>
          <w:w w:val="110"/>
          <w:sz w:val="18"/>
        </w:rPr>
        <w:t>c</w:t>
      </w:r>
      <w:r>
        <w:rPr>
          <w:color w:val="231F20"/>
          <w:w w:val="110"/>
          <w:sz w:val="18"/>
        </w:rPr>
        <w:t>]</w:t>
      </w:r>
      <w:r>
        <w:rPr>
          <w:color w:val="231F20"/>
          <w:spacing w:val="-6"/>
          <w:w w:val="110"/>
          <w:sz w:val="18"/>
        </w:rPr>
        <w:t> </w:t>
      </w:r>
      <w:r>
        <w:rPr>
          <w:color w:val="231F20"/>
          <w:w w:val="110"/>
          <w:sz w:val="18"/>
        </w:rPr>
        <w:t>salvaguardar</w:t>
      </w:r>
      <w:r>
        <w:rPr>
          <w:color w:val="231F20"/>
          <w:spacing w:val="-6"/>
          <w:w w:val="110"/>
          <w:sz w:val="18"/>
        </w:rPr>
        <w:t> </w:t>
      </w:r>
      <w:r>
        <w:rPr>
          <w:color w:val="231F20"/>
          <w:w w:val="110"/>
          <w:sz w:val="18"/>
        </w:rPr>
        <w:t>la</w:t>
      </w:r>
      <w:r>
        <w:rPr>
          <w:color w:val="231F20"/>
          <w:spacing w:val="-5"/>
          <w:w w:val="110"/>
          <w:sz w:val="18"/>
        </w:rPr>
        <w:t> </w:t>
      </w:r>
      <w:r>
        <w:rPr>
          <w:color w:val="231F20"/>
          <w:w w:val="110"/>
          <w:sz w:val="18"/>
        </w:rPr>
        <w:t>estabilidad</w:t>
      </w:r>
      <w:r>
        <w:rPr>
          <w:color w:val="231F20"/>
          <w:spacing w:val="-6"/>
          <w:w w:val="110"/>
          <w:sz w:val="18"/>
        </w:rPr>
        <w:t> </w:t>
      </w:r>
      <w:r>
        <w:rPr>
          <w:color w:val="231F20"/>
          <w:w w:val="110"/>
          <w:sz w:val="18"/>
        </w:rPr>
        <w:t>del</w:t>
      </w:r>
      <w:r>
        <w:rPr>
          <w:color w:val="231F20"/>
          <w:spacing w:val="-6"/>
          <w:w w:val="110"/>
          <w:sz w:val="18"/>
        </w:rPr>
        <w:t> </w:t>
      </w:r>
      <w:r>
        <w:rPr>
          <w:color w:val="231F20"/>
          <w:w w:val="110"/>
          <w:sz w:val="18"/>
        </w:rPr>
        <w:t>sector</w:t>
      </w:r>
      <w:r>
        <w:rPr>
          <w:color w:val="231F20"/>
          <w:spacing w:val="-6"/>
          <w:w w:val="110"/>
          <w:sz w:val="18"/>
        </w:rPr>
        <w:t> </w:t>
      </w:r>
      <w:r>
        <w:rPr>
          <w:color w:val="231F20"/>
          <w:w w:val="110"/>
          <w:sz w:val="18"/>
        </w:rPr>
        <w:t>financiero.</w:t>
      </w:r>
      <w:r>
        <w:rPr>
          <w:color w:val="231F20"/>
          <w:spacing w:val="-6"/>
          <w:w w:val="110"/>
          <w:sz w:val="18"/>
        </w:rPr>
        <w:t> </w:t>
      </w:r>
      <w:r>
        <w:rPr>
          <w:color w:val="231F20"/>
          <w:w w:val="110"/>
          <w:sz w:val="18"/>
        </w:rPr>
        <w:t>Para</w:t>
      </w:r>
      <w:r>
        <w:rPr>
          <w:color w:val="231F20"/>
          <w:spacing w:val="-6"/>
          <w:w w:val="110"/>
          <w:sz w:val="18"/>
        </w:rPr>
        <w:t> </w:t>
      </w:r>
      <w:r>
        <w:rPr>
          <w:color w:val="231F20"/>
          <w:w w:val="110"/>
          <w:sz w:val="18"/>
        </w:rPr>
        <w:t>dar</w:t>
      </w:r>
      <w:r>
        <w:rPr>
          <w:color w:val="231F20"/>
          <w:w w:val="114"/>
          <w:sz w:val="18"/>
        </w:rPr>
        <w:t> </w:t>
      </w:r>
      <w:r>
        <w:rPr>
          <w:color w:val="231F20"/>
          <w:w w:val="110"/>
          <w:sz w:val="18"/>
        </w:rPr>
        <w:t>tiempo a Grecia a aplicar estas reformas y demostrar una</w:t>
      </w:r>
      <w:r>
        <w:rPr>
          <w:color w:val="231F20"/>
          <w:spacing w:val="6"/>
          <w:w w:val="110"/>
          <w:sz w:val="18"/>
        </w:rPr>
        <w:t> </w:t>
      </w:r>
      <w:r>
        <w:rPr>
          <w:color w:val="231F20"/>
          <w:w w:val="110"/>
          <w:sz w:val="18"/>
        </w:rPr>
        <w:t>trayectoria creíble</w:t>
      </w:r>
      <w:r>
        <w:rPr>
          <w:color w:val="231F20"/>
          <w:w w:val="110"/>
          <w:sz w:val="18"/>
        </w:rPr>
        <w:t> </w:t>
      </w:r>
      <w:r>
        <w:rPr>
          <w:color w:val="231F20"/>
          <w:w w:val="110"/>
          <w:sz w:val="18"/>
        </w:rPr>
        <w:t>de</w:t>
      </w:r>
      <w:r>
        <w:rPr>
          <w:color w:val="231F20"/>
          <w:spacing w:val="-9"/>
          <w:w w:val="110"/>
          <w:sz w:val="18"/>
        </w:rPr>
        <w:t> </w:t>
      </w:r>
      <w:r>
        <w:rPr>
          <w:color w:val="231F20"/>
          <w:w w:val="110"/>
          <w:sz w:val="18"/>
        </w:rPr>
        <w:t>aplicación</w:t>
      </w:r>
      <w:r>
        <w:rPr>
          <w:color w:val="231F20"/>
          <w:spacing w:val="-9"/>
          <w:w w:val="110"/>
          <w:sz w:val="18"/>
        </w:rPr>
        <w:t> </w:t>
      </w:r>
      <w:r>
        <w:rPr>
          <w:color w:val="231F20"/>
          <w:w w:val="110"/>
          <w:sz w:val="18"/>
        </w:rPr>
        <w:t>de</w:t>
      </w:r>
      <w:r>
        <w:rPr>
          <w:color w:val="231F20"/>
          <w:spacing w:val="-9"/>
          <w:w w:val="110"/>
          <w:sz w:val="18"/>
        </w:rPr>
        <w:t> </w:t>
      </w:r>
      <w:r>
        <w:rPr>
          <w:color w:val="231F20"/>
          <w:w w:val="110"/>
          <w:sz w:val="18"/>
        </w:rPr>
        <w:t>políticas</w:t>
      </w:r>
      <w:r>
        <w:rPr>
          <w:color w:val="231F20"/>
          <w:spacing w:val="-9"/>
          <w:w w:val="110"/>
          <w:sz w:val="18"/>
        </w:rPr>
        <w:t> </w:t>
      </w:r>
      <w:r>
        <w:rPr>
          <w:color w:val="231F20"/>
          <w:w w:val="110"/>
          <w:sz w:val="18"/>
        </w:rPr>
        <w:t>adecuadas,</w:t>
      </w:r>
      <w:r>
        <w:rPr>
          <w:color w:val="231F20"/>
          <w:spacing w:val="-9"/>
          <w:w w:val="110"/>
          <w:sz w:val="18"/>
        </w:rPr>
        <w:t> </w:t>
      </w:r>
      <w:r>
        <w:rPr>
          <w:color w:val="231F20"/>
          <w:w w:val="110"/>
          <w:sz w:val="18"/>
        </w:rPr>
        <w:t>así</w:t>
      </w:r>
      <w:r>
        <w:rPr>
          <w:color w:val="231F20"/>
          <w:spacing w:val="-9"/>
          <w:w w:val="110"/>
          <w:sz w:val="18"/>
        </w:rPr>
        <w:t> </w:t>
      </w:r>
      <w:r>
        <w:rPr>
          <w:color w:val="231F20"/>
          <w:w w:val="110"/>
          <w:sz w:val="18"/>
        </w:rPr>
        <w:t>como</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aliviar</w:t>
      </w:r>
      <w:r>
        <w:rPr>
          <w:color w:val="231F20"/>
          <w:spacing w:val="-9"/>
          <w:w w:val="110"/>
          <w:sz w:val="18"/>
        </w:rPr>
        <w:t> </w:t>
      </w:r>
      <w:r>
        <w:rPr>
          <w:color w:val="231F20"/>
          <w:w w:val="110"/>
          <w:sz w:val="18"/>
        </w:rPr>
        <w:t>la</w:t>
      </w:r>
      <w:r>
        <w:rPr>
          <w:color w:val="231F20"/>
          <w:spacing w:val="-9"/>
          <w:w w:val="110"/>
          <w:sz w:val="18"/>
        </w:rPr>
        <w:t> </w:t>
      </w:r>
      <w:r>
        <w:rPr>
          <w:color w:val="231F20"/>
          <w:w w:val="110"/>
          <w:sz w:val="18"/>
        </w:rPr>
        <w:t>carga</w:t>
      </w:r>
      <w:r>
        <w:rPr>
          <w:color w:val="231F20"/>
          <w:spacing w:val="-9"/>
          <w:w w:val="110"/>
          <w:sz w:val="18"/>
        </w:rPr>
        <w:t> </w:t>
      </w:r>
      <w:r>
        <w:rPr>
          <w:color w:val="231F20"/>
          <w:w w:val="110"/>
          <w:sz w:val="18"/>
        </w:rPr>
        <w:t>del</w:t>
      </w:r>
      <w:r>
        <w:rPr>
          <w:color w:val="231F20"/>
          <w:spacing w:val="-9"/>
          <w:w w:val="110"/>
          <w:sz w:val="18"/>
        </w:rPr>
        <w:t> </w:t>
      </w:r>
      <w:r>
        <w:rPr>
          <w:color w:val="231F20"/>
          <w:w w:val="110"/>
          <w:sz w:val="18"/>
        </w:rPr>
        <w:t>ajuste</w:t>
      </w:r>
      <w:r>
        <w:rPr>
          <w:color w:val="231F20"/>
          <w:w w:val="107"/>
          <w:sz w:val="18"/>
        </w:rPr>
        <w:t> </w:t>
      </w:r>
      <w:r>
        <w:rPr>
          <w:color w:val="231F20"/>
          <w:w w:val="110"/>
          <w:sz w:val="18"/>
        </w:rPr>
        <w:t>sobre</w:t>
      </w:r>
      <w:r>
        <w:rPr>
          <w:color w:val="231F20"/>
          <w:spacing w:val="30"/>
          <w:w w:val="110"/>
          <w:sz w:val="18"/>
        </w:rPr>
        <w:t> </w:t>
      </w:r>
      <w:r>
        <w:rPr>
          <w:color w:val="231F20"/>
          <w:w w:val="110"/>
          <w:sz w:val="18"/>
        </w:rPr>
        <w:t>el</w:t>
      </w:r>
      <w:r>
        <w:rPr>
          <w:color w:val="231F20"/>
          <w:spacing w:val="30"/>
          <w:w w:val="110"/>
          <w:sz w:val="18"/>
        </w:rPr>
        <w:t> </w:t>
      </w:r>
      <w:r>
        <w:rPr>
          <w:color w:val="231F20"/>
          <w:w w:val="110"/>
          <w:sz w:val="18"/>
        </w:rPr>
        <w:t>pueblo</w:t>
      </w:r>
      <w:r>
        <w:rPr>
          <w:color w:val="231F20"/>
          <w:spacing w:val="30"/>
          <w:w w:val="110"/>
          <w:sz w:val="18"/>
        </w:rPr>
        <w:t> </w:t>
      </w:r>
      <w:r>
        <w:rPr>
          <w:color w:val="231F20"/>
          <w:w w:val="110"/>
          <w:sz w:val="18"/>
        </w:rPr>
        <w:t>griego,</w:t>
      </w:r>
      <w:r>
        <w:rPr>
          <w:color w:val="231F20"/>
          <w:spacing w:val="30"/>
          <w:w w:val="110"/>
          <w:sz w:val="18"/>
        </w:rPr>
        <w:t> </w:t>
      </w:r>
      <w:r>
        <w:rPr>
          <w:color w:val="231F20"/>
          <w:w w:val="110"/>
          <w:sz w:val="18"/>
        </w:rPr>
        <w:t>la</w:t>
      </w:r>
      <w:r>
        <w:rPr>
          <w:color w:val="231F20"/>
          <w:spacing w:val="30"/>
          <w:w w:val="110"/>
          <w:sz w:val="18"/>
        </w:rPr>
        <w:t> </w:t>
      </w:r>
      <w:r>
        <w:rPr>
          <w:color w:val="231F20"/>
          <w:w w:val="110"/>
          <w:sz w:val="18"/>
        </w:rPr>
        <w:t>comunidad</w:t>
      </w:r>
      <w:r>
        <w:rPr>
          <w:color w:val="231F20"/>
          <w:spacing w:val="30"/>
          <w:w w:val="110"/>
          <w:sz w:val="18"/>
        </w:rPr>
        <w:t> </w:t>
      </w:r>
      <w:r>
        <w:rPr>
          <w:color w:val="231F20"/>
          <w:w w:val="110"/>
          <w:sz w:val="18"/>
        </w:rPr>
        <w:t>internacional</w:t>
      </w:r>
      <w:r>
        <w:rPr>
          <w:color w:val="231F20"/>
          <w:spacing w:val="30"/>
          <w:w w:val="110"/>
          <w:sz w:val="18"/>
        </w:rPr>
        <w:t> </w:t>
      </w:r>
      <w:r>
        <w:rPr>
          <w:color w:val="231F20"/>
          <w:w w:val="110"/>
          <w:sz w:val="18"/>
        </w:rPr>
        <w:t>ha</w:t>
      </w:r>
      <w:r>
        <w:rPr>
          <w:color w:val="231F20"/>
          <w:spacing w:val="30"/>
          <w:w w:val="110"/>
          <w:sz w:val="18"/>
        </w:rPr>
        <w:t> </w:t>
      </w:r>
      <w:r>
        <w:rPr>
          <w:color w:val="231F20"/>
          <w:w w:val="110"/>
          <w:sz w:val="18"/>
        </w:rPr>
        <w:t>puesto</w:t>
      </w:r>
      <w:r>
        <w:rPr>
          <w:color w:val="231F20"/>
          <w:spacing w:val="30"/>
          <w:w w:val="110"/>
          <w:sz w:val="18"/>
        </w:rPr>
        <w:t> </w:t>
      </w:r>
      <w:r>
        <w:rPr>
          <w:color w:val="231F20"/>
          <w:w w:val="110"/>
          <w:sz w:val="18"/>
        </w:rPr>
        <w:t>en</w:t>
      </w:r>
      <w:r>
        <w:rPr>
          <w:color w:val="231F20"/>
          <w:spacing w:val="30"/>
          <w:w w:val="110"/>
          <w:sz w:val="18"/>
        </w:rPr>
        <w:t> </w:t>
      </w:r>
      <w:r>
        <w:rPr>
          <w:color w:val="231F20"/>
          <w:w w:val="110"/>
          <w:sz w:val="18"/>
        </w:rPr>
        <w:t>marcha</w:t>
      </w:r>
      <w:r>
        <w:rPr>
          <w:color w:val="231F20"/>
          <w:w w:val="111"/>
          <w:sz w:val="18"/>
        </w:rPr>
        <w:t> </w:t>
      </w:r>
      <w:r>
        <w:rPr>
          <w:color w:val="231F20"/>
          <w:w w:val="110"/>
          <w:sz w:val="18"/>
        </w:rPr>
        <w:t>un programa de apoyo financiero sin precedentes. Las</w:t>
      </w:r>
      <w:r>
        <w:rPr>
          <w:color w:val="231F20"/>
          <w:spacing w:val="19"/>
          <w:w w:val="110"/>
          <w:sz w:val="18"/>
        </w:rPr>
        <w:t> </w:t>
      </w:r>
      <w:r>
        <w:rPr>
          <w:color w:val="231F20"/>
          <w:w w:val="110"/>
          <w:sz w:val="18"/>
        </w:rPr>
        <w:t>ambiciosas</w:t>
      </w:r>
      <w:r>
        <w:rPr>
          <w:color w:val="231F20"/>
          <w:spacing w:val="8"/>
          <w:w w:val="110"/>
          <w:sz w:val="18"/>
        </w:rPr>
        <w:t> </w:t>
      </w:r>
      <w:r>
        <w:rPr>
          <w:color w:val="231F20"/>
          <w:w w:val="110"/>
          <w:sz w:val="18"/>
        </w:rPr>
        <w:t>medidas</w:t>
      </w:r>
      <w:r>
        <w:rPr>
          <w:color w:val="231F20"/>
          <w:w w:val="109"/>
          <w:sz w:val="18"/>
        </w:rPr>
        <w:t> </w:t>
      </w:r>
      <w:r>
        <w:rPr>
          <w:color w:val="231F20"/>
          <w:w w:val="110"/>
          <w:sz w:val="18"/>
        </w:rPr>
        <w:t>que las autoridades griegas se han comprometido firmemente a aplicar</w:t>
      </w:r>
      <w:r>
        <w:rPr>
          <w:color w:val="231F20"/>
          <w:spacing w:val="-9"/>
          <w:w w:val="110"/>
          <w:sz w:val="18"/>
        </w:rPr>
        <w:t> </w:t>
      </w:r>
      <w:r>
        <w:rPr>
          <w:color w:val="231F20"/>
          <w:w w:val="110"/>
          <w:sz w:val="18"/>
        </w:rPr>
        <w:t>en</w:t>
      </w:r>
      <w:r>
        <w:rPr>
          <w:color w:val="231F20"/>
          <w:spacing w:val="-1"/>
          <w:w w:val="110"/>
          <w:sz w:val="18"/>
        </w:rPr>
        <w:t> </w:t>
      </w:r>
      <w:r>
        <w:rPr>
          <w:color w:val="231F20"/>
          <w:w w:val="110"/>
          <w:sz w:val="18"/>
        </w:rPr>
        <w:t>el</w:t>
      </w:r>
      <w:r>
        <w:rPr>
          <w:color w:val="231F20"/>
          <w:w w:val="108"/>
          <w:sz w:val="18"/>
        </w:rPr>
        <w:t> </w:t>
      </w:r>
      <w:r>
        <w:rPr>
          <w:color w:val="231F20"/>
          <w:w w:val="110"/>
          <w:sz w:val="18"/>
        </w:rPr>
        <w:t>marco</w:t>
      </w:r>
      <w:r>
        <w:rPr>
          <w:color w:val="231F20"/>
          <w:spacing w:val="17"/>
          <w:w w:val="110"/>
          <w:sz w:val="18"/>
        </w:rPr>
        <w:t> </w:t>
      </w:r>
      <w:r>
        <w:rPr>
          <w:color w:val="231F20"/>
          <w:w w:val="110"/>
          <w:sz w:val="18"/>
        </w:rPr>
        <w:t>del</w:t>
      </w:r>
      <w:r>
        <w:rPr>
          <w:color w:val="231F20"/>
          <w:spacing w:val="17"/>
          <w:w w:val="110"/>
          <w:sz w:val="18"/>
        </w:rPr>
        <w:t> </w:t>
      </w:r>
      <w:r>
        <w:rPr>
          <w:color w:val="231F20"/>
          <w:w w:val="110"/>
          <w:sz w:val="18"/>
        </w:rPr>
        <w:t>programa,</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un</w:t>
      </w:r>
      <w:r>
        <w:rPr>
          <w:color w:val="231F20"/>
          <w:spacing w:val="17"/>
          <w:w w:val="110"/>
          <w:sz w:val="18"/>
        </w:rPr>
        <w:t> </w:t>
      </w:r>
      <w:r>
        <w:rPr>
          <w:color w:val="231F20"/>
          <w:w w:val="110"/>
          <w:sz w:val="18"/>
        </w:rPr>
        <w:t>contexto</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importantes</w:t>
      </w:r>
      <w:r>
        <w:rPr>
          <w:color w:val="231F20"/>
          <w:spacing w:val="17"/>
          <w:w w:val="110"/>
          <w:sz w:val="18"/>
        </w:rPr>
        <w:t> </w:t>
      </w:r>
      <w:r>
        <w:rPr>
          <w:color w:val="231F20"/>
          <w:w w:val="110"/>
          <w:sz w:val="18"/>
        </w:rPr>
        <w:t>riesgos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contagio</w:t>
      </w:r>
      <w:r>
        <w:rPr>
          <w:color w:val="231F20"/>
          <w:spacing w:val="17"/>
          <w:w w:val="110"/>
          <w:sz w:val="18"/>
        </w:rPr>
        <w:t> </w:t>
      </w:r>
      <w:r>
        <w:rPr>
          <w:color w:val="231F20"/>
          <w:w w:val="110"/>
          <w:sz w:val="18"/>
        </w:rPr>
        <w:t>a</w:t>
      </w:r>
      <w:r>
        <w:rPr>
          <w:color w:val="231F20"/>
          <w:w w:val="108"/>
          <w:sz w:val="18"/>
        </w:rPr>
        <w:t> </w:t>
      </w:r>
      <w:r>
        <w:rPr>
          <w:color w:val="231F20"/>
          <w:w w:val="110"/>
          <w:sz w:val="18"/>
        </w:rPr>
        <w:t>otros países, merecen un nivel excepcional de acceso a los recursos del</w:t>
      </w:r>
      <w:r>
        <w:rPr>
          <w:color w:val="231F20"/>
          <w:spacing w:val="5"/>
          <w:w w:val="110"/>
          <w:sz w:val="18"/>
        </w:rPr>
        <w:t> </w:t>
      </w:r>
      <w:r>
        <w:rPr>
          <w:color w:val="231F20"/>
          <w:w w:val="110"/>
          <w:sz w:val="18"/>
        </w:rPr>
        <w:t>fmi.</w:t>
      </w:r>
    </w:p>
    <w:p>
      <w:pPr>
        <w:pStyle w:val="BodyText"/>
        <w:spacing w:before="2"/>
      </w:pPr>
    </w:p>
    <w:p>
      <w:pPr>
        <w:pStyle w:val="BodyText"/>
        <w:spacing w:line="261" w:lineRule="auto"/>
        <w:ind w:left="100" w:right="117" w:firstLine="240"/>
        <w:jc w:val="both"/>
      </w:pPr>
      <w:r>
        <w:rPr>
          <w:color w:val="231F20"/>
          <w:w w:val="110"/>
        </w:rPr>
        <w:t>Como complemento de lo anterior el representante del fmi aclara que</w:t>
      </w:r>
      <w:r>
        <w:rPr>
          <w:color w:val="231F20"/>
          <w:spacing w:val="-15"/>
          <w:w w:val="110"/>
        </w:rPr>
        <w:t> </w:t>
      </w:r>
      <w:r>
        <w:rPr>
          <w:color w:val="231F20"/>
          <w:w w:val="110"/>
        </w:rPr>
        <w:t>“la</w:t>
      </w:r>
      <w:r>
        <w:rPr>
          <w:color w:val="231F20"/>
          <w:spacing w:val="-15"/>
          <w:w w:val="110"/>
        </w:rPr>
        <w:t> </w:t>
      </w:r>
      <w:r>
        <w:rPr>
          <w:color w:val="231F20"/>
          <w:w w:val="110"/>
        </w:rPr>
        <w:t>sólida</w:t>
      </w:r>
      <w:r>
        <w:rPr>
          <w:color w:val="231F20"/>
          <w:spacing w:val="-15"/>
          <w:w w:val="110"/>
        </w:rPr>
        <w:t> </w:t>
      </w:r>
      <w:r>
        <w:rPr>
          <w:color w:val="231F20"/>
          <w:w w:val="110"/>
        </w:rPr>
        <w:t>implementación</w:t>
      </w:r>
      <w:r>
        <w:rPr>
          <w:color w:val="231F20"/>
          <w:spacing w:val="-15"/>
          <w:w w:val="110"/>
        </w:rPr>
        <w:t> </w:t>
      </w:r>
      <w:r>
        <w:rPr>
          <w:color w:val="231F20"/>
          <w:w w:val="110"/>
        </w:rPr>
        <w:t>de</w:t>
      </w:r>
      <w:r>
        <w:rPr>
          <w:color w:val="231F20"/>
          <w:spacing w:val="-15"/>
          <w:w w:val="110"/>
        </w:rPr>
        <w:t> </w:t>
      </w:r>
      <w:r>
        <w:rPr>
          <w:color w:val="231F20"/>
          <w:w w:val="110"/>
        </w:rPr>
        <w:t>reformas</w:t>
      </w:r>
      <w:r>
        <w:rPr>
          <w:color w:val="231F20"/>
          <w:spacing w:val="-15"/>
          <w:w w:val="110"/>
        </w:rPr>
        <w:t> </w:t>
      </w:r>
      <w:r>
        <w:rPr>
          <w:color w:val="231F20"/>
          <w:w w:val="110"/>
        </w:rPr>
        <w:t>orientadas</w:t>
      </w:r>
      <w:r>
        <w:rPr>
          <w:color w:val="231F20"/>
          <w:spacing w:val="-15"/>
          <w:w w:val="110"/>
        </w:rPr>
        <w:t> </w:t>
      </w:r>
      <w:r>
        <w:rPr>
          <w:color w:val="231F20"/>
          <w:w w:val="110"/>
        </w:rPr>
        <w:t>a</w:t>
      </w:r>
      <w:r>
        <w:rPr>
          <w:color w:val="231F20"/>
          <w:spacing w:val="-15"/>
          <w:w w:val="110"/>
        </w:rPr>
        <w:t> </w:t>
      </w:r>
      <w:r>
        <w:rPr>
          <w:color w:val="231F20"/>
          <w:w w:val="110"/>
        </w:rPr>
        <w:t>flexibilizar</w:t>
      </w:r>
      <w:r>
        <w:rPr>
          <w:color w:val="231F20"/>
          <w:spacing w:val="-15"/>
          <w:w w:val="110"/>
        </w:rPr>
        <w:t> </w:t>
      </w:r>
      <w:r>
        <w:rPr>
          <w:color w:val="231F20"/>
          <w:w w:val="110"/>
        </w:rPr>
        <w:t>el mercado de trabajo, mejorar la competencia interna y racionalizar la administración pública será esencial en la estrategia de</w:t>
      </w:r>
      <w:r>
        <w:rPr>
          <w:color w:val="231F20"/>
          <w:spacing w:val="-15"/>
          <w:w w:val="110"/>
        </w:rPr>
        <w:t> </w:t>
      </w:r>
      <w:r>
        <w:rPr>
          <w:color w:val="231F20"/>
          <w:w w:val="110"/>
        </w:rPr>
        <w:t>recuperación de la economía</w:t>
      </w:r>
      <w:r>
        <w:rPr>
          <w:color w:val="231F20"/>
          <w:spacing w:val="10"/>
          <w:w w:val="110"/>
        </w:rPr>
        <w:t> </w:t>
      </w:r>
      <w:r>
        <w:rPr>
          <w:color w:val="231F20"/>
          <w:w w:val="110"/>
        </w:rPr>
        <w:t>griega”.</w:t>
      </w:r>
    </w:p>
    <w:p>
      <w:pPr>
        <w:pStyle w:val="BodyText"/>
        <w:spacing w:line="261" w:lineRule="auto"/>
        <w:ind w:left="100" w:right="117" w:firstLine="240"/>
        <w:jc w:val="both"/>
      </w:pPr>
      <w:r>
        <w:rPr>
          <w:color w:val="231F20"/>
          <w:w w:val="110"/>
        </w:rPr>
        <w:t>Como se puede apreciar, el eje de la preocupación de gobiernos</w:t>
      </w:r>
      <w:r>
        <w:rPr>
          <w:color w:val="231F20"/>
          <w:spacing w:val="-7"/>
          <w:w w:val="110"/>
        </w:rPr>
        <w:t> </w:t>
      </w:r>
      <w:r>
        <w:rPr>
          <w:color w:val="231F20"/>
          <w:w w:val="110"/>
        </w:rPr>
        <w:t>y organismos internacionales radica en el problema del déficit</w:t>
      </w:r>
      <w:r>
        <w:rPr>
          <w:color w:val="231F20"/>
          <w:spacing w:val="-16"/>
          <w:w w:val="110"/>
        </w:rPr>
        <w:t> </w:t>
      </w:r>
      <w:r>
        <w:rPr>
          <w:color w:val="231F20"/>
          <w:w w:val="110"/>
        </w:rPr>
        <w:t>público y en el mercado, que proporcionan el rumbo y las “buenas </w:t>
      </w:r>
      <w:r>
        <w:rPr>
          <w:color w:val="231F20"/>
          <w:spacing w:val="25"/>
          <w:w w:val="110"/>
        </w:rPr>
        <w:t> </w:t>
      </w:r>
      <w:r>
        <w:rPr>
          <w:color w:val="231F20"/>
          <w:w w:val="110"/>
        </w:rPr>
        <w:t>señales”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para los empresarios para decidir invertir o contraer sus inversiones, como lo revela el siguiente diagnóstico del fmi:</w:t>
      </w:r>
    </w:p>
    <w:p>
      <w:pPr>
        <w:pStyle w:val="BodyText"/>
        <w:spacing w:before="4"/>
        <w:rPr>
          <w:sz w:val="23"/>
        </w:rPr>
      </w:pPr>
    </w:p>
    <w:p>
      <w:pPr>
        <w:spacing w:line="290" w:lineRule="auto" w:before="0"/>
        <w:ind w:left="100" w:right="115" w:firstLine="0"/>
        <w:jc w:val="both"/>
        <w:rPr>
          <w:sz w:val="18"/>
        </w:rPr>
      </w:pPr>
      <w:r>
        <w:rPr>
          <w:color w:val="231F20"/>
          <w:spacing w:val="-4"/>
          <w:w w:val="110"/>
          <w:sz w:val="18"/>
        </w:rPr>
        <w:t>Tras </w:t>
      </w:r>
      <w:r>
        <w:rPr>
          <w:color w:val="231F20"/>
          <w:w w:val="110"/>
          <w:sz w:val="18"/>
        </w:rPr>
        <w:t>amplias consultas con la Comisión Europea, las autoridades griegas anunciaron medidas fiscales adicionales en febrero y marzo de 2010, pero estas</w:t>
      </w:r>
      <w:r>
        <w:rPr>
          <w:color w:val="231F20"/>
          <w:spacing w:val="-33"/>
          <w:w w:val="110"/>
          <w:sz w:val="18"/>
        </w:rPr>
        <w:t> </w:t>
      </w:r>
      <w:r>
        <w:rPr>
          <w:color w:val="231F20"/>
          <w:w w:val="110"/>
          <w:sz w:val="18"/>
        </w:rPr>
        <w:t>medidas</w:t>
      </w:r>
      <w:r>
        <w:rPr>
          <w:color w:val="231F20"/>
          <w:spacing w:val="-33"/>
          <w:w w:val="110"/>
          <w:sz w:val="18"/>
        </w:rPr>
        <w:t> </w:t>
      </w:r>
      <w:r>
        <w:rPr>
          <w:color w:val="231F20"/>
          <w:w w:val="110"/>
          <w:sz w:val="18"/>
        </w:rPr>
        <w:t>tampoco</w:t>
      </w:r>
      <w:r>
        <w:rPr>
          <w:color w:val="231F20"/>
          <w:spacing w:val="-33"/>
          <w:w w:val="110"/>
          <w:sz w:val="18"/>
        </w:rPr>
        <w:t> </w:t>
      </w:r>
      <w:r>
        <w:rPr>
          <w:color w:val="231F20"/>
          <w:w w:val="110"/>
          <w:sz w:val="18"/>
        </w:rPr>
        <w:t>lograron</w:t>
      </w:r>
      <w:r>
        <w:rPr>
          <w:color w:val="231F20"/>
          <w:spacing w:val="-33"/>
          <w:w w:val="110"/>
          <w:sz w:val="18"/>
        </w:rPr>
        <w:t> </w:t>
      </w:r>
      <w:r>
        <w:rPr>
          <w:color w:val="231F20"/>
          <w:w w:val="110"/>
          <w:sz w:val="18"/>
        </w:rPr>
        <w:t>afianzar</w:t>
      </w:r>
      <w:r>
        <w:rPr>
          <w:color w:val="231F20"/>
          <w:spacing w:val="-33"/>
          <w:w w:val="110"/>
          <w:sz w:val="18"/>
        </w:rPr>
        <w:t> </w:t>
      </w:r>
      <w:r>
        <w:rPr>
          <w:color w:val="231F20"/>
          <w:w w:val="110"/>
          <w:sz w:val="18"/>
        </w:rPr>
        <w:t>plenamente</w:t>
      </w:r>
      <w:r>
        <w:rPr>
          <w:color w:val="231F20"/>
          <w:spacing w:val="-33"/>
          <w:w w:val="110"/>
          <w:sz w:val="18"/>
        </w:rPr>
        <w:t> </w:t>
      </w:r>
      <w:r>
        <w:rPr>
          <w:color w:val="231F20"/>
          <w:w w:val="110"/>
          <w:sz w:val="18"/>
        </w:rPr>
        <w:t>la</w:t>
      </w:r>
      <w:r>
        <w:rPr>
          <w:color w:val="231F20"/>
          <w:spacing w:val="-33"/>
          <w:w w:val="110"/>
          <w:sz w:val="18"/>
        </w:rPr>
        <w:t> </w:t>
      </w:r>
      <w:r>
        <w:rPr>
          <w:i/>
          <w:color w:val="231F20"/>
          <w:w w:val="110"/>
          <w:sz w:val="18"/>
        </w:rPr>
        <w:t>confianza</w:t>
      </w:r>
      <w:r>
        <w:rPr>
          <w:i/>
          <w:color w:val="231F20"/>
          <w:spacing w:val="-33"/>
          <w:w w:val="110"/>
          <w:sz w:val="18"/>
        </w:rPr>
        <w:t> </w:t>
      </w:r>
      <w:r>
        <w:rPr>
          <w:i/>
          <w:color w:val="231F20"/>
          <w:w w:val="110"/>
          <w:sz w:val="18"/>
        </w:rPr>
        <w:t>del</w:t>
      </w:r>
      <w:r>
        <w:rPr>
          <w:i/>
          <w:color w:val="231F20"/>
          <w:spacing w:val="-33"/>
          <w:w w:val="110"/>
          <w:sz w:val="18"/>
        </w:rPr>
        <w:t> </w:t>
      </w:r>
      <w:r>
        <w:rPr>
          <w:i/>
          <w:color w:val="231F20"/>
          <w:w w:val="110"/>
          <w:sz w:val="18"/>
        </w:rPr>
        <w:t>mercado</w:t>
      </w:r>
      <w:r>
        <w:rPr>
          <w:color w:val="231F20"/>
          <w:w w:val="110"/>
          <w:sz w:val="18"/>
        </w:rPr>
        <w:t>. Por último, la inestabilidad en los mercados se agudizó como consecuencia de lo que parecían seguridades de financiamiento insuficientemente claras por parte de los países socios de la zona del euro. Como resultado, la con- fianza</w:t>
      </w:r>
      <w:r>
        <w:rPr>
          <w:color w:val="231F20"/>
          <w:spacing w:val="-6"/>
          <w:w w:val="110"/>
          <w:sz w:val="18"/>
        </w:rPr>
        <w:t> </w:t>
      </w:r>
      <w:r>
        <w:rPr>
          <w:color w:val="231F20"/>
          <w:w w:val="110"/>
          <w:sz w:val="18"/>
        </w:rPr>
        <w:t>del</w:t>
      </w:r>
      <w:r>
        <w:rPr>
          <w:color w:val="231F20"/>
          <w:spacing w:val="-6"/>
          <w:w w:val="110"/>
          <w:sz w:val="18"/>
        </w:rPr>
        <w:t> </w:t>
      </w:r>
      <w:r>
        <w:rPr>
          <w:color w:val="231F20"/>
          <w:w w:val="110"/>
          <w:sz w:val="18"/>
        </w:rPr>
        <w:t>mercado</w:t>
      </w:r>
      <w:r>
        <w:rPr>
          <w:color w:val="231F20"/>
          <w:spacing w:val="-6"/>
          <w:w w:val="110"/>
          <w:sz w:val="18"/>
        </w:rPr>
        <w:t> </w:t>
      </w:r>
      <w:r>
        <w:rPr>
          <w:color w:val="231F20"/>
          <w:w w:val="110"/>
          <w:sz w:val="18"/>
        </w:rPr>
        <w:t>se</w:t>
      </w:r>
      <w:r>
        <w:rPr>
          <w:color w:val="231F20"/>
          <w:spacing w:val="-6"/>
          <w:w w:val="110"/>
          <w:sz w:val="18"/>
        </w:rPr>
        <w:t> </w:t>
      </w:r>
      <w:r>
        <w:rPr>
          <w:color w:val="231F20"/>
          <w:w w:val="110"/>
          <w:sz w:val="18"/>
        </w:rPr>
        <w:t>deterioró</w:t>
      </w:r>
      <w:r>
        <w:rPr>
          <w:color w:val="231F20"/>
          <w:spacing w:val="-6"/>
          <w:w w:val="110"/>
          <w:sz w:val="18"/>
        </w:rPr>
        <w:t> </w:t>
      </w:r>
      <w:r>
        <w:rPr>
          <w:color w:val="231F20"/>
          <w:w w:val="110"/>
          <w:sz w:val="18"/>
        </w:rPr>
        <w:t>aún</w:t>
      </w:r>
      <w:r>
        <w:rPr>
          <w:color w:val="231F20"/>
          <w:spacing w:val="-6"/>
          <w:w w:val="110"/>
          <w:sz w:val="18"/>
        </w:rPr>
        <w:t> </w:t>
      </w:r>
      <w:r>
        <w:rPr>
          <w:color w:val="231F20"/>
          <w:w w:val="110"/>
          <w:sz w:val="18"/>
        </w:rPr>
        <w:t>más,</w:t>
      </w:r>
      <w:r>
        <w:rPr>
          <w:color w:val="231F20"/>
          <w:spacing w:val="-6"/>
          <w:w w:val="110"/>
          <w:sz w:val="18"/>
        </w:rPr>
        <w:t> </w:t>
      </w:r>
      <w:r>
        <w:rPr>
          <w:color w:val="231F20"/>
          <w:w w:val="110"/>
          <w:sz w:val="18"/>
        </w:rPr>
        <w:t>y</w:t>
      </w:r>
      <w:r>
        <w:rPr>
          <w:color w:val="231F20"/>
          <w:spacing w:val="-6"/>
          <w:w w:val="110"/>
          <w:sz w:val="18"/>
        </w:rPr>
        <w:t> </w:t>
      </w:r>
      <w:r>
        <w:rPr>
          <w:color w:val="231F20"/>
          <w:w w:val="110"/>
          <w:sz w:val="18"/>
        </w:rPr>
        <w:t>la</w:t>
      </w:r>
      <w:r>
        <w:rPr>
          <w:color w:val="231F20"/>
          <w:spacing w:val="-6"/>
          <w:w w:val="110"/>
          <w:sz w:val="18"/>
        </w:rPr>
        <w:t> </w:t>
      </w:r>
      <w:r>
        <w:rPr>
          <w:color w:val="231F20"/>
          <w:w w:val="110"/>
          <w:sz w:val="18"/>
        </w:rPr>
        <w:t>preocupación</w:t>
      </w:r>
      <w:r>
        <w:rPr>
          <w:color w:val="231F20"/>
          <w:spacing w:val="-6"/>
          <w:w w:val="110"/>
          <w:sz w:val="18"/>
        </w:rPr>
        <w:t> </w:t>
      </w:r>
      <w:r>
        <w:rPr>
          <w:color w:val="231F20"/>
          <w:w w:val="110"/>
          <w:sz w:val="18"/>
        </w:rPr>
        <w:t>con</w:t>
      </w:r>
      <w:r>
        <w:rPr>
          <w:color w:val="231F20"/>
          <w:spacing w:val="-6"/>
          <w:w w:val="110"/>
          <w:sz w:val="18"/>
        </w:rPr>
        <w:t> </w:t>
      </w:r>
      <w:r>
        <w:rPr>
          <w:color w:val="231F20"/>
          <w:w w:val="110"/>
          <w:sz w:val="18"/>
        </w:rPr>
        <w:t>respecto</w:t>
      </w:r>
      <w:r>
        <w:rPr>
          <w:color w:val="231F20"/>
          <w:spacing w:val="-6"/>
          <w:w w:val="110"/>
          <w:sz w:val="18"/>
        </w:rPr>
        <w:t> </w:t>
      </w:r>
      <w:r>
        <w:rPr>
          <w:color w:val="231F20"/>
          <w:w w:val="110"/>
          <w:sz w:val="18"/>
        </w:rPr>
        <w:t>a</w:t>
      </w:r>
      <w:r>
        <w:rPr>
          <w:color w:val="231F20"/>
          <w:spacing w:val="-6"/>
          <w:w w:val="110"/>
          <w:sz w:val="18"/>
        </w:rPr>
        <w:t> </w:t>
      </w:r>
      <w:r>
        <w:rPr>
          <w:color w:val="231F20"/>
          <w:w w:val="110"/>
          <w:sz w:val="18"/>
        </w:rPr>
        <w:t>la sostenibilidad</w:t>
      </w:r>
      <w:r>
        <w:rPr>
          <w:color w:val="231F20"/>
          <w:spacing w:val="-15"/>
          <w:w w:val="110"/>
          <w:sz w:val="18"/>
        </w:rPr>
        <w:t> </w:t>
      </w:r>
      <w:r>
        <w:rPr>
          <w:color w:val="231F20"/>
          <w:w w:val="110"/>
          <w:sz w:val="18"/>
        </w:rPr>
        <w:t>fiscal</w:t>
      </w:r>
      <w:r>
        <w:rPr>
          <w:color w:val="231F20"/>
          <w:spacing w:val="-15"/>
          <w:w w:val="110"/>
          <w:sz w:val="18"/>
        </w:rPr>
        <w:t> </w:t>
      </w:r>
      <w:r>
        <w:rPr>
          <w:color w:val="231F20"/>
          <w:w w:val="110"/>
          <w:sz w:val="18"/>
        </w:rPr>
        <w:t>se</w:t>
      </w:r>
      <w:r>
        <w:rPr>
          <w:color w:val="231F20"/>
          <w:spacing w:val="-15"/>
          <w:w w:val="110"/>
          <w:sz w:val="18"/>
        </w:rPr>
        <w:t> </w:t>
      </w:r>
      <w:r>
        <w:rPr>
          <w:color w:val="231F20"/>
          <w:w w:val="110"/>
          <w:sz w:val="18"/>
        </w:rPr>
        <w:t>agudizó,</w:t>
      </w:r>
      <w:r>
        <w:rPr>
          <w:color w:val="231F20"/>
          <w:spacing w:val="-15"/>
          <w:w w:val="110"/>
          <w:sz w:val="18"/>
        </w:rPr>
        <w:t> </w:t>
      </w:r>
      <w:r>
        <w:rPr>
          <w:color w:val="231F20"/>
          <w:w w:val="110"/>
          <w:sz w:val="18"/>
        </w:rPr>
        <w:t>agravando</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crisis</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confianza.</w:t>
      </w:r>
      <w:r>
        <w:rPr>
          <w:color w:val="231F20"/>
          <w:spacing w:val="-15"/>
          <w:w w:val="110"/>
          <w:sz w:val="18"/>
        </w:rPr>
        <w:t> </w:t>
      </w:r>
      <w:r>
        <w:rPr>
          <w:color w:val="231F20"/>
          <w:w w:val="110"/>
          <w:sz w:val="18"/>
        </w:rPr>
        <w:t>El</w:t>
      </w:r>
      <w:r>
        <w:rPr>
          <w:color w:val="231F20"/>
          <w:spacing w:val="-15"/>
          <w:w w:val="110"/>
          <w:sz w:val="18"/>
        </w:rPr>
        <w:t> </w:t>
      </w:r>
      <w:r>
        <w:rPr>
          <w:color w:val="231F20"/>
          <w:w w:val="110"/>
          <w:sz w:val="18"/>
        </w:rPr>
        <w:t>acceso</w:t>
      </w:r>
      <w:r>
        <w:rPr>
          <w:color w:val="231F20"/>
          <w:spacing w:val="-15"/>
          <w:w w:val="110"/>
          <w:sz w:val="18"/>
        </w:rPr>
        <w:t> </w:t>
      </w:r>
      <w:r>
        <w:rPr>
          <w:color w:val="231F20"/>
          <w:w w:val="110"/>
          <w:sz w:val="18"/>
        </w:rPr>
        <w:t>al financiamiento</w:t>
      </w:r>
      <w:r>
        <w:rPr>
          <w:color w:val="231F20"/>
          <w:spacing w:val="-12"/>
          <w:w w:val="110"/>
          <w:sz w:val="18"/>
        </w:rPr>
        <w:t> </w:t>
      </w:r>
      <w:r>
        <w:rPr>
          <w:color w:val="231F20"/>
          <w:w w:val="110"/>
          <w:sz w:val="18"/>
        </w:rPr>
        <w:t>externo</w:t>
      </w:r>
      <w:r>
        <w:rPr>
          <w:color w:val="231F20"/>
          <w:spacing w:val="-12"/>
          <w:w w:val="110"/>
          <w:sz w:val="18"/>
        </w:rPr>
        <w:t> </w:t>
      </w:r>
      <w:r>
        <w:rPr>
          <w:color w:val="231F20"/>
          <w:w w:val="110"/>
          <w:sz w:val="18"/>
        </w:rPr>
        <w:t>se</w:t>
      </w:r>
      <w:r>
        <w:rPr>
          <w:color w:val="231F20"/>
          <w:spacing w:val="-12"/>
          <w:w w:val="110"/>
          <w:sz w:val="18"/>
        </w:rPr>
        <w:t> </w:t>
      </w:r>
      <w:r>
        <w:rPr>
          <w:color w:val="231F20"/>
          <w:w w:val="110"/>
          <w:sz w:val="18"/>
        </w:rPr>
        <w:t>agotó</w:t>
      </w:r>
      <w:r>
        <w:rPr>
          <w:color w:val="231F20"/>
          <w:spacing w:val="-12"/>
          <w:w w:val="110"/>
          <w:sz w:val="18"/>
        </w:rPr>
        <w:t> </w:t>
      </w:r>
      <w:r>
        <w:rPr>
          <w:color w:val="231F20"/>
          <w:w w:val="110"/>
          <w:sz w:val="18"/>
        </w:rPr>
        <w:t>y</w:t>
      </w:r>
      <w:r>
        <w:rPr>
          <w:color w:val="231F20"/>
          <w:spacing w:val="-12"/>
          <w:w w:val="110"/>
          <w:sz w:val="18"/>
        </w:rPr>
        <w:t> </w:t>
      </w:r>
      <w:r>
        <w:rPr>
          <w:color w:val="231F20"/>
          <w:w w:val="110"/>
          <w:sz w:val="18"/>
        </w:rPr>
        <w:t>los</w:t>
      </w:r>
      <w:r>
        <w:rPr>
          <w:color w:val="231F20"/>
          <w:spacing w:val="-12"/>
          <w:w w:val="110"/>
          <w:sz w:val="18"/>
        </w:rPr>
        <w:t> </w:t>
      </w:r>
      <w:r>
        <w:rPr>
          <w:color w:val="231F20"/>
          <w:w w:val="110"/>
          <w:sz w:val="18"/>
        </w:rPr>
        <w:t>diferenciales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los</w:t>
      </w:r>
      <w:r>
        <w:rPr>
          <w:color w:val="231F20"/>
          <w:spacing w:val="-12"/>
          <w:w w:val="110"/>
          <w:sz w:val="18"/>
        </w:rPr>
        <w:t> </w:t>
      </w:r>
      <w:r>
        <w:rPr>
          <w:color w:val="231F20"/>
          <w:w w:val="110"/>
          <w:sz w:val="18"/>
        </w:rPr>
        <w:t>títulos</w:t>
      </w:r>
      <w:r>
        <w:rPr>
          <w:color w:val="231F20"/>
          <w:spacing w:val="-12"/>
          <w:w w:val="110"/>
          <w:sz w:val="18"/>
        </w:rPr>
        <w:t> </w:t>
      </w:r>
      <w:r>
        <w:rPr>
          <w:color w:val="231F20"/>
          <w:w w:val="110"/>
          <w:sz w:val="18"/>
        </w:rPr>
        <w:t>del</w:t>
      </w:r>
      <w:r>
        <w:rPr>
          <w:color w:val="231F20"/>
          <w:spacing w:val="-12"/>
          <w:w w:val="110"/>
          <w:sz w:val="18"/>
        </w:rPr>
        <w:t> </w:t>
      </w:r>
      <w:r>
        <w:rPr>
          <w:color w:val="231F20"/>
          <w:w w:val="110"/>
          <w:sz w:val="18"/>
        </w:rPr>
        <w:t>gobierno se ampliaron drásticamente, lo que creó la amenaza de conducir a la econo- mía a una espiral descendente de nuevos riesgos (</w:t>
      </w:r>
      <w:r>
        <w:rPr>
          <w:i/>
          <w:color w:val="231F20"/>
          <w:w w:val="110"/>
          <w:sz w:val="18"/>
        </w:rPr>
        <w:t>ídem</w:t>
      </w:r>
      <w:r>
        <w:rPr>
          <w:color w:val="231F20"/>
          <w:w w:val="110"/>
          <w:sz w:val="18"/>
        </w:rPr>
        <w:t>., cursivas</w:t>
      </w:r>
      <w:r>
        <w:rPr>
          <w:color w:val="231F20"/>
          <w:spacing w:val="-12"/>
          <w:w w:val="110"/>
          <w:sz w:val="18"/>
        </w:rPr>
        <w:t> </w:t>
      </w:r>
      <w:r>
        <w:rPr>
          <w:color w:val="231F20"/>
          <w:w w:val="110"/>
          <w:sz w:val="18"/>
        </w:rPr>
        <w:t>nuestras).</w:t>
      </w:r>
    </w:p>
    <w:p>
      <w:pPr>
        <w:pStyle w:val="BodyText"/>
        <w:spacing w:before="2"/>
      </w:pPr>
    </w:p>
    <w:p>
      <w:pPr>
        <w:pStyle w:val="BodyText"/>
        <w:spacing w:line="261" w:lineRule="auto"/>
        <w:ind w:left="100" w:right="119" w:firstLine="252"/>
        <w:jc w:val="both"/>
      </w:pPr>
      <w:r>
        <w:rPr>
          <w:color w:val="231F20"/>
          <w:w w:val="110"/>
        </w:rPr>
        <w:t>Por ello el programa de austeridad del gobierno griego se resume</w:t>
      </w:r>
      <w:r>
        <w:rPr>
          <w:color w:val="231F20"/>
          <w:w w:val="110"/>
        </w:rPr>
        <w:t> </w:t>
      </w:r>
      <w:r>
        <w:rPr>
          <w:color w:val="231F20"/>
          <w:w w:val="110"/>
        </w:rPr>
        <w:t>en estos tres ejes:</w:t>
      </w:r>
    </w:p>
    <w:p>
      <w:pPr>
        <w:pStyle w:val="BodyText"/>
        <w:spacing w:before="3"/>
        <w:rPr>
          <w:sz w:val="22"/>
        </w:rPr>
      </w:pPr>
    </w:p>
    <w:p>
      <w:pPr>
        <w:pStyle w:val="BodyText"/>
        <w:ind w:left="100"/>
        <w:jc w:val="both"/>
      </w:pPr>
      <w:r>
        <w:rPr>
          <w:rFonts w:ascii="Calibri"/>
          <w:color w:val="231F20"/>
          <w:w w:val="110"/>
        </w:rPr>
        <w:t>1]  </w:t>
      </w:r>
      <w:r>
        <w:rPr>
          <w:color w:val="231F20"/>
          <w:w w:val="110"/>
        </w:rPr>
        <w:t>Restablecer la confianza y la sostenibilidad fiscal.</w:t>
      </w:r>
    </w:p>
    <w:p>
      <w:pPr>
        <w:pStyle w:val="BodyText"/>
        <w:spacing w:before="6"/>
        <w:ind w:left="100"/>
        <w:jc w:val="both"/>
      </w:pPr>
      <w:r>
        <w:rPr>
          <w:rFonts w:ascii="Calibri" w:hAnsi="Calibri"/>
          <w:color w:val="231F20"/>
          <w:w w:val="110"/>
        </w:rPr>
        <w:t>2]   </w:t>
      </w:r>
      <w:r>
        <w:rPr>
          <w:color w:val="231F20"/>
          <w:w w:val="110"/>
        </w:rPr>
        <w:t>Restablecer la competitividad de la economía.</w:t>
      </w:r>
    </w:p>
    <w:p>
      <w:pPr>
        <w:pStyle w:val="BodyText"/>
        <w:spacing w:line="254" w:lineRule="auto" w:before="6"/>
        <w:ind w:left="460" w:right="119" w:hanging="360"/>
        <w:jc w:val="both"/>
      </w:pPr>
      <w:r>
        <w:rPr>
          <w:rFonts w:ascii="Calibri" w:hAnsi="Calibri"/>
          <w:color w:val="231F20"/>
          <w:w w:val="105"/>
        </w:rPr>
        <w:t>3] </w:t>
      </w:r>
      <w:r>
        <w:rPr>
          <w:color w:val="231F20"/>
          <w:w w:val="105"/>
        </w:rPr>
        <w:t>Salvaguardar la estabilidad del sector financiero, es </w:t>
      </w:r>
      <w:r>
        <w:rPr>
          <w:color w:val="231F20"/>
          <w:spacing w:val="-3"/>
          <w:w w:val="105"/>
        </w:rPr>
        <w:t>decir, </w:t>
      </w:r>
      <w:r>
        <w:rPr>
          <w:color w:val="231F20"/>
          <w:w w:val="105"/>
        </w:rPr>
        <w:t>del ca- pital ficticio, que en buena parte es el responsable de la crisis en las últimas</w:t>
      </w:r>
      <w:r>
        <w:rPr>
          <w:color w:val="231F20"/>
          <w:spacing w:val="36"/>
          <w:w w:val="105"/>
        </w:rPr>
        <w:t> </w:t>
      </w:r>
      <w:r>
        <w:rPr>
          <w:color w:val="231F20"/>
          <w:w w:val="105"/>
        </w:rPr>
        <w:t>decenios.</w:t>
      </w:r>
    </w:p>
    <w:p>
      <w:pPr>
        <w:pStyle w:val="BodyText"/>
        <w:spacing w:before="3"/>
        <w:rPr>
          <w:sz w:val="22"/>
        </w:rPr>
      </w:pPr>
    </w:p>
    <w:p>
      <w:pPr>
        <w:pStyle w:val="BodyText"/>
        <w:spacing w:line="261" w:lineRule="auto"/>
        <w:ind w:left="100" w:right="117" w:firstLine="252"/>
        <w:jc w:val="both"/>
      </w:pPr>
      <w:r>
        <w:rPr>
          <w:color w:val="231F20"/>
          <w:w w:val="110"/>
        </w:rPr>
        <w:t>Por ello, el diagnóstico actual sobre la coyuntura europea no</w:t>
      </w:r>
      <w:r>
        <w:rPr>
          <w:color w:val="231F20"/>
          <w:spacing w:val="-21"/>
          <w:w w:val="110"/>
        </w:rPr>
        <w:t> </w:t>
      </w:r>
      <w:r>
        <w:rPr>
          <w:color w:val="231F20"/>
          <w:w w:val="110"/>
        </w:rPr>
        <w:t>pue- de ser más adverso para los trabajadores. De esta forma, se calcula que hay más de 23 millones de europeos sin trabajo, 7 millones más que hace 20 meses, y la desocupación seguirá creciendo según</w:t>
      </w:r>
      <w:r>
        <w:rPr>
          <w:color w:val="231F20"/>
          <w:spacing w:val="-25"/>
          <w:w w:val="110"/>
        </w:rPr>
        <w:t> </w:t>
      </w:r>
      <w:r>
        <w:rPr>
          <w:color w:val="231F20"/>
          <w:w w:val="110"/>
        </w:rPr>
        <w:t>todas las estimaciones. Ocho por ciento de la población europea tiene un empleo</w:t>
      </w:r>
      <w:r>
        <w:rPr>
          <w:color w:val="231F20"/>
          <w:spacing w:val="-15"/>
          <w:w w:val="110"/>
        </w:rPr>
        <w:t> </w:t>
      </w:r>
      <w:r>
        <w:rPr>
          <w:color w:val="231F20"/>
          <w:w w:val="110"/>
        </w:rPr>
        <w:t>que</w:t>
      </w:r>
      <w:r>
        <w:rPr>
          <w:color w:val="231F20"/>
          <w:spacing w:val="-15"/>
          <w:w w:val="110"/>
        </w:rPr>
        <w:t> </w:t>
      </w:r>
      <w:r>
        <w:rPr>
          <w:color w:val="231F20"/>
          <w:w w:val="110"/>
        </w:rPr>
        <w:t>no</w:t>
      </w:r>
      <w:r>
        <w:rPr>
          <w:color w:val="231F20"/>
          <w:spacing w:val="-15"/>
          <w:w w:val="110"/>
        </w:rPr>
        <w:t> </w:t>
      </w:r>
      <w:r>
        <w:rPr>
          <w:color w:val="231F20"/>
          <w:w w:val="110"/>
        </w:rPr>
        <w:t>le</w:t>
      </w:r>
      <w:r>
        <w:rPr>
          <w:color w:val="231F20"/>
          <w:spacing w:val="-15"/>
          <w:w w:val="110"/>
        </w:rPr>
        <w:t> </w:t>
      </w:r>
      <w:r>
        <w:rPr>
          <w:color w:val="231F20"/>
          <w:w w:val="110"/>
        </w:rPr>
        <w:t>permite</w:t>
      </w:r>
      <w:r>
        <w:rPr>
          <w:color w:val="231F20"/>
          <w:spacing w:val="-15"/>
          <w:w w:val="110"/>
        </w:rPr>
        <w:t> </w:t>
      </w:r>
      <w:r>
        <w:rPr>
          <w:color w:val="231F20"/>
          <w:w w:val="110"/>
        </w:rPr>
        <w:t>salir</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pobreza</w:t>
      </w:r>
      <w:r>
        <w:rPr>
          <w:color w:val="231F20"/>
          <w:spacing w:val="-15"/>
          <w:w w:val="110"/>
        </w:rPr>
        <w:t> </w:t>
      </w:r>
      <w:r>
        <w:rPr>
          <w:color w:val="231F20"/>
          <w:w w:val="110"/>
        </w:rPr>
        <w:t>y</w:t>
      </w:r>
      <w:r>
        <w:rPr>
          <w:color w:val="231F20"/>
          <w:spacing w:val="-15"/>
          <w:w w:val="110"/>
        </w:rPr>
        <w:t> </w:t>
      </w:r>
      <w:r>
        <w:rPr>
          <w:color w:val="231F20"/>
          <w:w w:val="110"/>
        </w:rPr>
        <w:t>ésta</w:t>
      </w:r>
      <w:r>
        <w:rPr>
          <w:color w:val="231F20"/>
          <w:spacing w:val="-15"/>
          <w:w w:val="110"/>
        </w:rPr>
        <w:t> </w:t>
      </w:r>
      <w:r>
        <w:rPr>
          <w:color w:val="231F20"/>
          <w:w w:val="110"/>
        </w:rPr>
        <w:t>marca</w:t>
      </w:r>
      <w:r>
        <w:rPr>
          <w:color w:val="231F20"/>
          <w:spacing w:val="-15"/>
          <w:w w:val="110"/>
        </w:rPr>
        <w:t> </w:t>
      </w:r>
      <w:r>
        <w:rPr>
          <w:color w:val="231F20"/>
          <w:w w:val="110"/>
        </w:rPr>
        <w:t>ya</w:t>
      </w:r>
      <w:r>
        <w:rPr>
          <w:color w:val="231F20"/>
          <w:spacing w:val="-15"/>
          <w:w w:val="110"/>
        </w:rPr>
        <w:t> </w:t>
      </w:r>
      <w:r>
        <w:rPr>
          <w:color w:val="231F20"/>
          <w:w w:val="110"/>
        </w:rPr>
        <w:t>el</w:t>
      </w:r>
      <w:r>
        <w:rPr>
          <w:color w:val="231F20"/>
          <w:spacing w:val="-15"/>
          <w:w w:val="110"/>
        </w:rPr>
        <w:t> </w:t>
      </w:r>
      <w:r>
        <w:rPr>
          <w:color w:val="231F20"/>
          <w:w w:val="110"/>
        </w:rPr>
        <w:t>umbral de 80 millones de personas en pobreza, que se está extendiendo con las nuevas políticas del gran capital por el aumento del desempleo, sobre todo entre la población juvenil y los recortes de salarios, pres- taciones y</w:t>
      </w:r>
      <w:r>
        <w:rPr>
          <w:color w:val="231F20"/>
          <w:spacing w:val="-18"/>
          <w:w w:val="110"/>
        </w:rPr>
        <w:t> </w:t>
      </w:r>
      <w:r>
        <w:rPr>
          <w:color w:val="231F20"/>
          <w:w w:val="110"/>
        </w:rPr>
        <w:t>pensiones.</w:t>
      </w:r>
    </w:p>
    <w:p>
      <w:pPr>
        <w:pStyle w:val="BodyText"/>
        <w:spacing w:line="261" w:lineRule="auto"/>
        <w:ind w:left="100" w:right="113" w:firstLine="240"/>
        <w:jc w:val="both"/>
      </w:pPr>
      <w:r>
        <w:rPr>
          <w:color w:val="231F20"/>
          <w:w w:val="110"/>
        </w:rPr>
        <w:t>A pesar de los optimistas anuncios de “recuperación” de la eco- nomía mundial por parte de los organismos internacionales y de    los gobiernos, la productividad económica es famélica y hace que   el crecimiento estructural europeo sea dos tercios menor que el de Estados</w:t>
      </w:r>
      <w:r>
        <w:rPr>
          <w:color w:val="231F20"/>
          <w:spacing w:val="-18"/>
          <w:w w:val="110"/>
        </w:rPr>
        <w:t> </w:t>
      </w:r>
      <w:r>
        <w:rPr>
          <w:color w:val="231F20"/>
          <w:w w:val="110"/>
        </w:rPr>
        <w:t>Unidos.</w:t>
      </w:r>
      <w:r>
        <w:rPr>
          <w:color w:val="231F20"/>
          <w:spacing w:val="-18"/>
          <w:w w:val="110"/>
        </w:rPr>
        <w:t> </w:t>
      </w:r>
      <w:r>
        <w:rPr>
          <w:color w:val="231F20"/>
          <w:w w:val="110"/>
        </w:rPr>
        <w:t>En</w:t>
      </w:r>
      <w:r>
        <w:rPr>
          <w:color w:val="231F20"/>
          <w:spacing w:val="-18"/>
          <w:w w:val="110"/>
        </w:rPr>
        <w:t> </w:t>
      </w:r>
      <w:r>
        <w:rPr>
          <w:color w:val="231F20"/>
          <w:w w:val="110"/>
        </w:rPr>
        <w:t>promedio</w:t>
      </w:r>
      <w:r>
        <w:rPr>
          <w:color w:val="231F20"/>
          <w:spacing w:val="-18"/>
          <w:w w:val="110"/>
        </w:rPr>
        <w:t> </w:t>
      </w:r>
      <w:r>
        <w:rPr>
          <w:color w:val="231F20"/>
          <w:w w:val="110"/>
        </w:rPr>
        <w:t>los</w:t>
      </w:r>
      <w:r>
        <w:rPr>
          <w:color w:val="231F20"/>
          <w:spacing w:val="-18"/>
          <w:w w:val="110"/>
        </w:rPr>
        <w:t> </w:t>
      </w:r>
      <w:r>
        <w:rPr>
          <w:color w:val="231F20"/>
          <w:w w:val="110"/>
        </w:rPr>
        <w:t>déficit</w:t>
      </w:r>
      <w:r>
        <w:rPr>
          <w:color w:val="231F20"/>
          <w:spacing w:val="-18"/>
          <w:w w:val="110"/>
        </w:rPr>
        <w:t> </w:t>
      </w:r>
      <w:r>
        <w:rPr>
          <w:color w:val="231F20"/>
          <w:w w:val="110"/>
        </w:rPr>
        <w:t>públicos</w:t>
      </w:r>
      <w:r>
        <w:rPr>
          <w:color w:val="231F20"/>
          <w:spacing w:val="-18"/>
          <w:w w:val="110"/>
        </w:rPr>
        <w:t> </w:t>
      </w:r>
      <w:r>
        <w:rPr>
          <w:color w:val="231F20"/>
          <w:w w:val="110"/>
        </w:rPr>
        <w:t>regionales</w:t>
      </w:r>
      <w:r>
        <w:rPr>
          <w:color w:val="231F20"/>
          <w:spacing w:val="-18"/>
          <w:w w:val="110"/>
        </w:rPr>
        <w:t> </w:t>
      </w:r>
      <w:r>
        <w:rPr>
          <w:color w:val="231F20"/>
          <w:w w:val="110"/>
        </w:rPr>
        <w:t>alcanzan</w:t>
      </w:r>
    </w:p>
    <w:p>
      <w:pPr>
        <w:spacing w:after="0" w:line="261" w:lineRule="auto"/>
        <w:jc w:val="both"/>
        <w:sectPr>
          <w:headerReference w:type="even" r:id="rId130"/>
          <w:headerReference w:type="default" r:id="rId131"/>
          <w:pgSz w:w="7640" w:h="11900"/>
          <w:pgMar w:header="672" w:footer="0" w:top="860" w:bottom="280" w:left="780" w:right="640"/>
          <w:pgNumType w:start="182"/>
        </w:sectPr>
      </w:pPr>
    </w:p>
    <w:p>
      <w:pPr>
        <w:pStyle w:val="BodyText"/>
        <w:spacing w:before="8"/>
        <w:rPr>
          <w:sz w:val="8"/>
        </w:rPr>
      </w:pPr>
    </w:p>
    <w:p>
      <w:pPr>
        <w:pStyle w:val="BodyText"/>
        <w:spacing w:line="261" w:lineRule="auto" w:before="67"/>
        <w:ind w:left="100" w:right="117"/>
        <w:jc w:val="both"/>
      </w:pPr>
      <w:r>
        <w:rPr>
          <w:color w:val="231F20"/>
          <w:w w:val="110"/>
        </w:rPr>
        <w:t>una media de 7% del pib, por encima del límite de 3% impuesto por el </w:t>
      </w:r>
      <w:r>
        <w:rPr>
          <w:color w:val="231F20"/>
          <w:spacing w:val="-3"/>
          <w:w w:val="110"/>
        </w:rPr>
        <w:t>Tratado </w:t>
      </w:r>
      <w:r>
        <w:rPr>
          <w:color w:val="231F20"/>
          <w:w w:val="110"/>
        </w:rPr>
        <w:t>de Maastrich, mientras que la deuda sube hasta 80%. Los bancos siguen sin prestar dinero como antes de la crisis e impiden  el</w:t>
      </w:r>
      <w:r>
        <w:rPr>
          <w:color w:val="231F20"/>
          <w:spacing w:val="-10"/>
          <w:w w:val="110"/>
        </w:rPr>
        <w:t> </w:t>
      </w:r>
      <w:r>
        <w:rPr>
          <w:color w:val="231F20"/>
          <w:w w:val="110"/>
        </w:rPr>
        <w:t>funcionamiento</w:t>
      </w:r>
      <w:r>
        <w:rPr>
          <w:color w:val="231F20"/>
          <w:spacing w:val="-10"/>
          <w:w w:val="110"/>
        </w:rPr>
        <w:t> </w:t>
      </w:r>
      <w:r>
        <w:rPr>
          <w:color w:val="231F20"/>
          <w:w w:val="110"/>
        </w:rPr>
        <w:t>“normal”</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empresas,</w:t>
      </w:r>
      <w:r>
        <w:rPr>
          <w:color w:val="231F20"/>
          <w:spacing w:val="-10"/>
          <w:w w:val="110"/>
        </w:rPr>
        <w:t> </w:t>
      </w:r>
      <w:r>
        <w:rPr>
          <w:color w:val="231F20"/>
          <w:w w:val="110"/>
        </w:rPr>
        <w:t>“estos</w:t>
      </w:r>
      <w:r>
        <w:rPr>
          <w:color w:val="231F20"/>
          <w:spacing w:val="-10"/>
          <w:w w:val="110"/>
        </w:rPr>
        <w:t> </w:t>
      </w:r>
      <w:r>
        <w:rPr>
          <w:color w:val="231F20"/>
          <w:w w:val="110"/>
        </w:rPr>
        <w:t>números</w:t>
      </w:r>
      <w:r>
        <w:rPr>
          <w:color w:val="231F20"/>
          <w:spacing w:val="-10"/>
          <w:w w:val="110"/>
        </w:rPr>
        <w:t> </w:t>
      </w:r>
      <w:r>
        <w:rPr>
          <w:color w:val="231F20"/>
          <w:w w:val="110"/>
        </w:rPr>
        <w:t>ilustran más que nada sobre el declive y el colapso generalizado en la que parece haber ingresado la Unión Europea” (Informe iar Noticias,   22 de julio de</w:t>
      </w:r>
      <w:r>
        <w:rPr>
          <w:color w:val="231F20"/>
          <w:spacing w:val="21"/>
          <w:w w:val="110"/>
        </w:rPr>
        <w:t> </w:t>
      </w:r>
      <w:r>
        <w:rPr>
          <w:color w:val="231F20"/>
          <w:w w:val="110"/>
        </w:rPr>
        <w:t>2010).</w:t>
      </w:r>
    </w:p>
    <w:p>
      <w:pPr>
        <w:pStyle w:val="BodyText"/>
      </w:pPr>
    </w:p>
    <w:p>
      <w:pPr>
        <w:pStyle w:val="BodyText"/>
      </w:pPr>
    </w:p>
    <w:p>
      <w:pPr>
        <w:pStyle w:val="BodyText"/>
        <w:spacing w:before="2"/>
        <w:rPr>
          <w:sz w:val="25"/>
        </w:rPr>
      </w:pPr>
    </w:p>
    <w:p>
      <w:pPr>
        <w:pStyle w:val="BodyText"/>
        <w:ind w:left="100"/>
        <w:jc w:val="both"/>
      </w:pPr>
      <w:r>
        <w:rPr>
          <w:color w:val="231F20"/>
          <w:w w:val="125"/>
        </w:rPr>
        <w:t>conclusión</w:t>
      </w:r>
    </w:p>
    <w:p>
      <w:pPr>
        <w:pStyle w:val="BodyText"/>
        <w:spacing w:before="5"/>
        <w:rPr>
          <w:sz w:val="23"/>
        </w:rPr>
      </w:pPr>
    </w:p>
    <w:p>
      <w:pPr>
        <w:pStyle w:val="BodyText"/>
        <w:spacing w:line="261" w:lineRule="auto"/>
        <w:ind w:left="100" w:right="117"/>
        <w:jc w:val="both"/>
      </w:pPr>
      <w:r>
        <w:rPr>
          <w:color w:val="231F20"/>
          <w:w w:val="110"/>
        </w:rPr>
        <w:t>En el pasado, el capitalismo se nutrió de dispositivos eficaces como el fordismo y el taylorismo que, al amparo de la consolidación y ex- pansión</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de</w:t>
      </w:r>
      <w:r>
        <w:rPr>
          <w:color w:val="231F20"/>
          <w:spacing w:val="-10"/>
          <w:w w:val="110"/>
        </w:rPr>
        <w:t> </w:t>
      </w:r>
      <w:r>
        <w:rPr>
          <w:color w:val="231F20"/>
          <w:w w:val="110"/>
        </w:rPr>
        <w:t>bienestar</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w w:val="110"/>
        </w:rPr>
        <w:t>“acuerdo</w:t>
      </w:r>
      <w:r>
        <w:rPr>
          <w:color w:val="231F20"/>
          <w:spacing w:val="-10"/>
          <w:w w:val="110"/>
        </w:rPr>
        <w:t> </w:t>
      </w:r>
      <w:r>
        <w:rPr>
          <w:color w:val="231F20"/>
          <w:w w:val="110"/>
        </w:rPr>
        <w:t>estratégico”</w:t>
      </w:r>
      <w:r>
        <w:rPr>
          <w:color w:val="231F20"/>
          <w:spacing w:val="-10"/>
          <w:w w:val="110"/>
        </w:rPr>
        <w:t> </w:t>
      </w:r>
      <w:r>
        <w:rPr>
          <w:color w:val="231F20"/>
          <w:w w:val="110"/>
        </w:rPr>
        <w:t>con</w:t>
      </w:r>
      <w:r>
        <w:rPr>
          <w:color w:val="231F20"/>
          <w:spacing w:val="-10"/>
          <w:w w:val="110"/>
        </w:rPr>
        <w:t> </w:t>
      </w:r>
      <w:r>
        <w:rPr>
          <w:color w:val="231F20"/>
          <w:w w:val="110"/>
        </w:rPr>
        <w:t>las dirigencias corporativas del sindicalismo europeo, consiguió</w:t>
      </w:r>
      <w:r>
        <w:rPr>
          <w:color w:val="231F20"/>
          <w:spacing w:val="-8"/>
          <w:w w:val="110"/>
        </w:rPr>
        <w:t> </w:t>
      </w:r>
      <w:r>
        <w:rPr>
          <w:color w:val="231F20"/>
          <w:w w:val="110"/>
        </w:rPr>
        <w:t>experi- mentar el periodo más exitoso de su historia durante los treinta años gloriosos luego de la gran depresión de los años treinta, como muy bien</w:t>
      </w:r>
      <w:r>
        <w:rPr>
          <w:color w:val="231F20"/>
          <w:spacing w:val="-4"/>
          <w:w w:val="110"/>
        </w:rPr>
        <w:t> </w:t>
      </w:r>
      <w:r>
        <w:rPr>
          <w:color w:val="231F20"/>
          <w:w w:val="110"/>
        </w:rPr>
        <w:t>nos</w:t>
      </w:r>
      <w:r>
        <w:rPr>
          <w:color w:val="231F20"/>
          <w:spacing w:val="-4"/>
          <w:w w:val="110"/>
        </w:rPr>
        <w:t> </w:t>
      </w:r>
      <w:r>
        <w:rPr>
          <w:color w:val="231F20"/>
          <w:w w:val="110"/>
        </w:rPr>
        <w:t>recuerda</w:t>
      </w:r>
      <w:r>
        <w:rPr>
          <w:color w:val="231F20"/>
          <w:spacing w:val="-4"/>
          <w:w w:val="110"/>
        </w:rPr>
        <w:t> </w:t>
      </w:r>
      <w:r>
        <w:rPr>
          <w:color w:val="231F20"/>
          <w:w w:val="110"/>
        </w:rPr>
        <w:t>el</w:t>
      </w:r>
      <w:r>
        <w:rPr>
          <w:color w:val="231F20"/>
          <w:spacing w:val="-4"/>
          <w:w w:val="110"/>
        </w:rPr>
        <w:t> </w:t>
      </w:r>
      <w:r>
        <w:rPr>
          <w:i/>
          <w:color w:val="231F20"/>
          <w:w w:val="110"/>
        </w:rPr>
        <w:t>film</w:t>
      </w:r>
      <w:r>
        <w:rPr>
          <w:i/>
          <w:color w:val="231F20"/>
          <w:spacing w:val="-4"/>
          <w:w w:val="110"/>
        </w:rPr>
        <w:t> </w:t>
      </w:r>
      <w:r>
        <w:rPr>
          <w:color w:val="231F20"/>
          <w:w w:val="110"/>
        </w:rPr>
        <w:t>de</w:t>
      </w:r>
      <w:r>
        <w:rPr>
          <w:color w:val="231F20"/>
          <w:spacing w:val="-4"/>
          <w:w w:val="110"/>
        </w:rPr>
        <w:t> </w:t>
      </w:r>
      <w:r>
        <w:rPr>
          <w:color w:val="231F20"/>
          <w:w w:val="110"/>
        </w:rPr>
        <w:t>Charles</w:t>
      </w:r>
      <w:r>
        <w:rPr>
          <w:color w:val="231F20"/>
          <w:spacing w:val="-4"/>
          <w:w w:val="110"/>
        </w:rPr>
        <w:t> </w:t>
      </w:r>
      <w:r>
        <w:rPr>
          <w:color w:val="231F20"/>
          <w:w w:val="110"/>
        </w:rPr>
        <w:t>Chaplin.</w:t>
      </w:r>
      <w:r>
        <w:rPr>
          <w:color w:val="231F20"/>
          <w:spacing w:val="-4"/>
          <w:w w:val="110"/>
        </w:rPr>
        <w:t> </w:t>
      </w:r>
      <w:r>
        <w:rPr>
          <w:color w:val="231F20"/>
          <w:w w:val="110"/>
        </w:rPr>
        <w:t>Pero</w:t>
      </w:r>
      <w:r>
        <w:rPr>
          <w:color w:val="231F20"/>
          <w:spacing w:val="-4"/>
          <w:w w:val="110"/>
        </w:rPr>
        <w:t> </w:t>
      </w:r>
      <w:r>
        <w:rPr>
          <w:color w:val="231F20"/>
          <w:w w:val="110"/>
        </w:rPr>
        <w:t>a</w:t>
      </w:r>
      <w:r>
        <w:rPr>
          <w:color w:val="231F20"/>
          <w:spacing w:val="-4"/>
          <w:w w:val="110"/>
        </w:rPr>
        <w:t> </w:t>
      </w:r>
      <w:r>
        <w:rPr>
          <w:color w:val="231F20"/>
          <w:w w:val="110"/>
        </w:rPr>
        <w:t>mediados</w:t>
      </w:r>
      <w:r>
        <w:rPr>
          <w:color w:val="231F20"/>
          <w:spacing w:val="-4"/>
          <w:w w:val="110"/>
        </w:rPr>
        <w:t> </w:t>
      </w:r>
      <w:r>
        <w:rPr>
          <w:color w:val="231F20"/>
          <w:w w:val="110"/>
        </w:rPr>
        <w:t>de</w:t>
      </w:r>
      <w:r>
        <w:rPr>
          <w:color w:val="231F20"/>
          <w:spacing w:val="-4"/>
          <w:w w:val="110"/>
        </w:rPr>
        <w:t> </w:t>
      </w:r>
      <w:r>
        <w:rPr>
          <w:color w:val="231F20"/>
          <w:w w:val="110"/>
        </w:rPr>
        <w:t>los años setenta, ese proceso entró en crisis y advino el neoliberalismo que, en la jerga </w:t>
      </w:r>
      <w:r>
        <w:rPr>
          <w:color w:val="231F20"/>
          <w:spacing w:val="-3"/>
          <w:w w:val="110"/>
        </w:rPr>
        <w:t>popular, </w:t>
      </w:r>
      <w:r>
        <w:rPr>
          <w:color w:val="231F20"/>
          <w:w w:val="110"/>
        </w:rPr>
        <w:t>significa un conjunto de políticas, normas  y</w:t>
      </w:r>
      <w:r>
        <w:rPr>
          <w:color w:val="231F20"/>
          <w:spacing w:val="-8"/>
          <w:w w:val="110"/>
        </w:rPr>
        <w:t> </w:t>
      </w:r>
      <w:r>
        <w:rPr>
          <w:color w:val="231F20"/>
          <w:w w:val="110"/>
        </w:rPr>
        <w:t>prácticas</w:t>
      </w:r>
      <w:r>
        <w:rPr>
          <w:color w:val="231F20"/>
          <w:spacing w:val="-8"/>
          <w:w w:val="110"/>
        </w:rPr>
        <w:t> </w:t>
      </w:r>
      <w:r>
        <w:rPr>
          <w:color w:val="231F20"/>
          <w:w w:val="110"/>
        </w:rPr>
        <w:t>empresariales</w:t>
      </w:r>
      <w:r>
        <w:rPr>
          <w:color w:val="231F20"/>
          <w:spacing w:val="-8"/>
          <w:w w:val="110"/>
        </w:rPr>
        <w:t> </w:t>
      </w:r>
      <w:r>
        <w:rPr>
          <w:color w:val="231F20"/>
          <w:w w:val="110"/>
        </w:rPr>
        <w:t>cimentadas</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fuerzas</w:t>
      </w:r>
      <w:r>
        <w:rPr>
          <w:color w:val="231F20"/>
          <w:spacing w:val="-8"/>
          <w:w w:val="110"/>
        </w:rPr>
        <w:t> </w:t>
      </w:r>
      <w:r>
        <w:rPr>
          <w:color w:val="231F20"/>
          <w:w w:val="110"/>
        </w:rPr>
        <w:t>del</w:t>
      </w:r>
      <w:r>
        <w:rPr>
          <w:color w:val="231F20"/>
          <w:spacing w:val="-8"/>
          <w:w w:val="110"/>
        </w:rPr>
        <w:t> </w:t>
      </w:r>
      <w:r>
        <w:rPr>
          <w:color w:val="231F20"/>
          <w:w w:val="110"/>
        </w:rPr>
        <w:t>mercado</w:t>
      </w:r>
      <w:r>
        <w:rPr>
          <w:color w:val="231F20"/>
          <w:spacing w:val="-8"/>
          <w:w w:val="110"/>
        </w:rPr>
        <w:t> </w:t>
      </w:r>
      <w:r>
        <w:rPr>
          <w:color w:val="231F20"/>
          <w:w w:val="110"/>
        </w:rPr>
        <w:t>y</w:t>
      </w:r>
      <w:r>
        <w:rPr>
          <w:color w:val="231F20"/>
          <w:spacing w:val="-8"/>
          <w:w w:val="110"/>
        </w:rPr>
        <w:t> </w:t>
      </w:r>
      <w:r>
        <w:rPr>
          <w:color w:val="231F20"/>
          <w:w w:val="110"/>
        </w:rPr>
        <w:t>en un individualismo exacerbado y encarnizado que sometió a la</w:t>
      </w:r>
      <w:r>
        <w:rPr>
          <w:color w:val="231F20"/>
          <w:spacing w:val="-10"/>
          <w:w w:val="110"/>
        </w:rPr>
        <w:t> </w:t>
      </w:r>
      <w:r>
        <w:rPr>
          <w:color w:val="231F20"/>
          <w:w w:val="110"/>
        </w:rPr>
        <w:t>socie- dad y a los trabajadores al imperio de la competencia desenfrenada, a</w:t>
      </w:r>
      <w:r>
        <w:rPr>
          <w:color w:val="231F20"/>
          <w:spacing w:val="-12"/>
          <w:w w:val="110"/>
        </w:rPr>
        <w:t> </w:t>
      </w:r>
      <w:r>
        <w:rPr>
          <w:color w:val="231F20"/>
          <w:w w:val="110"/>
        </w:rPr>
        <w:t>la</w:t>
      </w:r>
      <w:r>
        <w:rPr>
          <w:color w:val="231F20"/>
          <w:spacing w:val="-12"/>
          <w:w w:val="110"/>
        </w:rPr>
        <w:t> </w:t>
      </w:r>
      <w:r>
        <w:rPr>
          <w:color w:val="231F20"/>
          <w:w w:val="110"/>
        </w:rPr>
        <w:t>desigualdad</w:t>
      </w:r>
      <w:r>
        <w:rPr>
          <w:color w:val="231F20"/>
          <w:spacing w:val="-12"/>
          <w:w w:val="110"/>
        </w:rPr>
        <w:t> </w:t>
      </w:r>
      <w:r>
        <w:rPr>
          <w:color w:val="231F20"/>
          <w:w w:val="110"/>
        </w:rPr>
        <w:t>social</w:t>
      </w:r>
      <w:r>
        <w:rPr>
          <w:color w:val="231F20"/>
          <w:spacing w:val="-12"/>
          <w:w w:val="110"/>
        </w:rPr>
        <w:t> </w:t>
      </w:r>
      <w:r>
        <w:rPr>
          <w:color w:val="231F20"/>
          <w:w w:val="110"/>
        </w:rPr>
        <w:t>y</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derrota</w:t>
      </w:r>
      <w:r>
        <w:rPr>
          <w:color w:val="231F20"/>
          <w:spacing w:val="-12"/>
          <w:w w:val="110"/>
        </w:rPr>
        <w:t> </w:t>
      </w:r>
      <w:r>
        <w:rPr>
          <w:color w:val="231F20"/>
          <w:w w:val="110"/>
        </w:rPr>
        <w:t>política.</w:t>
      </w:r>
      <w:r>
        <w:rPr>
          <w:color w:val="231F20"/>
          <w:spacing w:val="-12"/>
          <w:w w:val="110"/>
        </w:rPr>
        <w:t> </w:t>
      </w:r>
      <w:r>
        <w:rPr>
          <w:color w:val="231F20"/>
          <w:w w:val="110"/>
        </w:rPr>
        <w:t>El</w:t>
      </w:r>
      <w:r>
        <w:rPr>
          <w:color w:val="231F20"/>
          <w:spacing w:val="-12"/>
          <w:w w:val="110"/>
        </w:rPr>
        <w:t> </w:t>
      </w:r>
      <w:r>
        <w:rPr>
          <w:color w:val="231F20"/>
          <w:w w:val="110"/>
        </w:rPr>
        <w:t>dispositivo</w:t>
      </w:r>
      <w:r>
        <w:rPr>
          <w:color w:val="231F20"/>
          <w:spacing w:val="-12"/>
          <w:w w:val="110"/>
        </w:rPr>
        <w:t> </w:t>
      </w:r>
      <w:r>
        <w:rPr>
          <w:color w:val="231F20"/>
          <w:w w:val="110"/>
        </w:rPr>
        <w:t>utilizado, entre</w:t>
      </w:r>
      <w:r>
        <w:rPr>
          <w:color w:val="231F20"/>
          <w:spacing w:val="-5"/>
          <w:w w:val="110"/>
        </w:rPr>
        <w:t> </w:t>
      </w:r>
      <w:r>
        <w:rPr>
          <w:color w:val="231F20"/>
          <w:w w:val="110"/>
        </w:rPr>
        <w:t>otros</w:t>
      </w:r>
      <w:r>
        <w:rPr>
          <w:color w:val="231F20"/>
          <w:spacing w:val="-5"/>
          <w:w w:val="110"/>
        </w:rPr>
        <w:t> </w:t>
      </w:r>
      <w:r>
        <w:rPr>
          <w:color w:val="231F20"/>
          <w:w w:val="110"/>
        </w:rPr>
        <w:t>como</w:t>
      </w:r>
      <w:r>
        <w:rPr>
          <w:color w:val="231F20"/>
          <w:spacing w:val="-5"/>
          <w:w w:val="110"/>
        </w:rPr>
        <w:t> </w:t>
      </w:r>
      <w:r>
        <w:rPr>
          <w:color w:val="231F20"/>
          <w:w w:val="110"/>
        </w:rPr>
        <w:t>la</w:t>
      </w:r>
      <w:r>
        <w:rPr>
          <w:color w:val="231F20"/>
          <w:spacing w:val="-5"/>
          <w:w w:val="110"/>
        </w:rPr>
        <w:t> </w:t>
      </w:r>
      <w:r>
        <w:rPr>
          <w:color w:val="231F20"/>
          <w:w w:val="110"/>
        </w:rPr>
        <w:t>desestructuración</w:t>
      </w:r>
      <w:r>
        <w:rPr>
          <w:color w:val="231F20"/>
          <w:spacing w:val="-5"/>
          <w:w w:val="110"/>
        </w:rPr>
        <w:t> </w:t>
      </w:r>
      <w:r>
        <w:rPr>
          <w:color w:val="231F20"/>
          <w:w w:val="110"/>
        </w:rPr>
        <w:t>de</w:t>
      </w:r>
      <w:r>
        <w:rPr>
          <w:color w:val="231F20"/>
          <w:spacing w:val="-5"/>
          <w:w w:val="110"/>
        </w:rPr>
        <w:t> </w:t>
      </w:r>
      <w:r>
        <w:rPr>
          <w:color w:val="231F20"/>
          <w:w w:val="110"/>
        </w:rPr>
        <w:t>ese</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bienestar,</w:t>
      </w:r>
      <w:r>
        <w:rPr>
          <w:color w:val="231F20"/>
          <w:spacing w:val="-5"/>
          <w:w w:val="110"/>
        </w:rPr>
        <w:t> </w:t>
      </w:r>
      <w:r>
        <w:rPr>
          <w:color w:val="231F20"/>
          <w:w w:val="110"/>
        </w:rPr>
        <w:t>fue la aplicación de la ciencia y la tecnología a los procesos</w:t>
      </w:r>
      <w:r>
        <w:rPr>
          <w:color w:val="231F20"/>
          <w:spacing w:val="-12"/>
          <w:w w:val="110"/>
        </w:rPr>
        <w:t> </w:t>
      </w:r>
      <w:r>
        <w:rPr>
          <w:color w:val="231F20"/>
          <w:w w:val="110"/>
        </w:rPr>
        <w:t>productivos y</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que</w:t>
      </w:r>
      <w:r>
        <w:rPr>
          <w:color w:val="231F20"/>
          <w:spacing w:val="-6"/>
          <w:w w:val="110"/>
        </w:rPr>
        <w:t> </w:t>
      </w:r>
      <w:r>
        <w:rPr>
          <w:color w:val="231F20"/>
          <w:w w:val="110"/>
        </w:rPr>
        <w:t>coadyuvó</w:t>
      </w:r>
      <w:r>
        <w:rPr>
          <w:color w:val="231F20"/>
          <w:spacing w:val="-6"/>
          <w:w w:val="110"/>
        </w:rPr>
        <w:t> </w:t>
      </w:r>
      <w:r>
        <w:rPr>
          <w:color w:val="231F20"/>
          <w:w w:val="110"/>
        </w:rPr>
        <w:t>a</w:t>
      </w:r>
      <w:r>
        <w:rPr>
          <w:color w:val="231F20"/>
          <w:spacing w:val="-6"/>
          <w:w w:val="110"/>
        </w:rPr>
        <w:t> </w:t>
      </w:r>
      <w:r>
        <w:rPr>
          <w:color w:val="231F20"/>
          <w:w w:val="110"/>
        </w:rPr>
        <w:t>consolidar</w:t>
      </w:r>
      <w:r>
        <w:rPr>
          <w:color w:val="231F20"/>
          <w:spacing w:val="-6"/>
          <w:w w:val="110"/>
        </w:rPr>
        <w:t> </w:t>
      </w:r>
      <w:r>
        <w:rPr>
          <w:color w:val="231F20"/>
          <w:w w:val="110"/>
        </w:rPr>
        <w:t>el</w:t>
      </w:r>
      <w:r>
        <w:rPr>
          <w:color w:val="231F20"/>
          <w:spacing w:val="-6"/>
          <w:w w:val="110"/>
        </w:rPr>
        <w:t> </w:t>
      </w:r>
      <w:r>
        <w:rPr>
          <w:color w:val="231F20"/>
          <w:w w:val="110"/>
        </w:rPr>
        <w:t>sistema</w:t>
      </w:r>
      <w:r>
        <w:rPr>
          <w:color w:val="231F20"/>
          <w:spacing w:val="-6"/>
          <w:w w:val="110"/>
        </w:rPr>
        <w:t> </w:t>
      </w:r>
      <w:r>
        <w:rPr>
          <w:color w:val="231F20"/>
          <w:w w:val="110"/>
        </w:rPr>
        <w:t>toyotista</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auto- matización flexible. Pero, de manera contradictoria, es</w:t>
      </w:r>
      <w:r>
        <w:rPr>
          <w:color w:val="231F20"/>
          <w:spacing w:val="-13"/>
          <w:w w:val="110"/>
        </w:rPr>
        <w:t> </w:t>
      </w:r>
      <w:r>
        <w:rPr>
          <w:color w:val="231F20"/>
          <w:w w:val="110"/>
        </w:rPr>
        <w:t>precisamente este</w:t>
      </w:r>
      <w:r>
        <w:rPr>
          <w:color w:val="231F20"/>
          <w:spacing w:val="-13"/>
          <w:w w:val="110"/>
        </w:rPr>
        <w:t> </w:t>
      </w:r>
      <w:r>
        <w:rPr>
          <w:color w:val="231F20"/>
          <w:w w:val="110"/>
        </w:rPr>
        <w:t>desarrollo</w:t>
      </w:r>
      <w:r>
        <w:rPr>
          <w:color w:val="231F20"/>
          <w:spacing w:val="-13"/>
          <w:w w:val="110"/>
        </w:rPr>
        <w:t> </w:t>
      </w:r>
      <w:r>
        <w:rPr>
          <w:color w:val="231F20"/>
          <w:w w:val="110"/>
        </w:rPr>
        <w:t>inusitado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ciencia</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tecnología,</w:t>
      </w:r>
      <w:r>
        <w:rPr>
          <w:color w:val="231F20"/>
          <w:spacing w:val="-13"/>
          <w:w w:val="110"/>
        </w:rPr>
        <w:t> </w:t>
      </w:r>
      <w:r>
        <w:rPr>
          <w:color w:val="231F20"/>
          <w:w w:val="110"/>
        </w:rPr>
        <w:t>como</w:t>
      </w:r>
      <w:r>
        <w:rPr>
          <w:color w:val="231F20"/>
          <w:spacing w:val="-13"/>
          <w:w w:val="110"/>
        </w:rPr>
        <w:t> </w:t>
      </w:r>
      <w:r>
        <w:rPr>
          <w:color w:val="231F20"/>
          <w:w w:val="110"/>
        </w:rPr>
        <w:t>demostró Marx</w:t>
      </w:r>
      <w:r>
        <w:rPr>
          <w:color w:val="231F20"/>
          <w:spacing w:val="-29"/>
          <w:w w:val="110"/>
        </w:rPr>
        <w:t> </w:t>
      </w:r>
      <w:r>
        <w:rPr>
          <w:color w:val="231F20"/>
          <w:w w:val="110"/>
        </w:rPr>
        <w:t>en</w:t>
      </w:r>
      <w:r>
        <w:rPr>
          <w:color w:val="231F20"/>
          <w:spacing w:val="-29"/>
          <w:w w:val="110"/>
        </w:rPr>
        <w:t> </w:t>
      </w:r>
      <w:r>
        <w:rPr>
          <w:color w:val="231F20"/>
          <w:w w:val="110"/>
        </w:rPr>
        <w:t>sus</w:t>
      </w:r>
      <w:r>
        <w:rPr>
          <w:color w:val="231F20"/>
          <w:spacing w:val="-30"/>
          <w:w w:val="110"/>
        </w:rPr>
        <w:t> </w:t>
      </w:r>
      <w:r>
        <w:rPr>
          <w:i/>
          <w:color w:val="231F20"/>
          <w:w w:val="110"/>
        </w:rPr>
        <w:t>Grudrisse</w:t>
      </w:r>
      <w:r>
        <w:rPr>
          <w:i/>
          <w:color w:val="231F20"/>
          <w:spacing w:val="-30"/>
          <w:w w:val="110"/>
        </w:rPr>
        <w:t> </w:t>
      </w:r>
      <w:r>
        <w:rPr>
          <w:color w:val="231F20"/>
          <w:w w:val="110"/>
        </w:rPr>
        <w:t>y</w:t>
      </w:r>
      <w:r>
        <w:rPr>
          <w:color w:val="231F20"/>
          <w:spacing w:val="-29"/>
          <w:w w:val="110"/>
        </w:rPr>
        <w:t> </w:t>
      </w:r>
      <w:r>
        <w:rPr>
          <w:color w:val="231F20"/>
          <w:w w:val="110"/>
        </w:rPr>
        <w:t>en</w:t>
      </w:r>
      <w:r>
        <w:rPr>
          <w:color w:val="231F20"/>
          <w:spacing w:val="-30"/>
          <w:w w:val="110"/>
        </w:rPr>
        <w:t> </w:t>
      </w:r>
      <w:r>
        <w:rPr>
          <w:i/>
          <w:color w:val="231F20"/>
          <w:w w:val="110"/>
        </w:rPr>
        <w:t>El</w:t>
      </w:r>
      <w:r>
        <w:rPr>
          <w:i/>
          <w:color w:val="231F20"/>
          <w:spacing w:val="-29"/>
          <w:w w:val="110"/>
        </w:rPr>
        <w:t> </w:t>
      </w:r>
      <w:r>
        <w:rPr>
          <w:i/>
          <w:color w:val="231F20"/>
          <w:w w:val="110"/>
        </w:rPr>
        <w:t>capital</w:t>
      </w:r>
      <w:r>
        <w:rPr>
          <w:color w:val="231F20"/>
          <w:w w:val="110"/>
        </w:rPr>
        <w:t>,</w:t>
      </w:r>
      <w:r>
        <w:rPr>
          <w:color w:val="231F20"/>
          <w:spacing w:val="-29"/>
          <w:w w:val="110"/>
        </w:rPr>
        <w:t> </w:t>
      </w:r>
      <w:r>
        <w:rPr>
          <w:color w:val="231F20"/>
          <w:w w:val="110"/>
        </w:rPr>
        <w:t>el</w:t>
      </w:r>
      <w:r>
        <w:rPr>
          <w:color w:val="231F20"/>
          <w:spacing w:val="-29"/>
          <w:w w:val="110"/>
        </w:rPr>
        <w:t> </w:t>
      </w:r>
      <w:r>
        <w:rPr>
          <w:color w:val="231F20"/>
          <w:w w:val="110"/>
        </w:rPr>
        <w:t>dispositivo</w:t>
      </w:r>
      <w:r>
        <w:rPr>
          <w:color w:val="231F20"/>
          <w:spacing w:val="-29"/>
          <w:w w:val="110"/>
        </w:rPr>
        <w:t> </w:t>
      </w:r>
      <w:r>
        <w:rPr>
          <w:color w:val="231F20"/>
          <w:w w:val="110"/>
        </w:rPr>
        <w:t>que</w:t>
      </w:r>
      <w:r>
        <w:rPr>
          <w:color w:val="231F20"/>
          <w:spacing w:val="-29"/>
          <w:w w:val="110"/>
        </w:rPr>
        <w:t> </w:t>
      </w:r>
      <w:r>
        <w:rPr>
          <w:color w:val="231F20"/>
          <w:w w:val="110"/>
        </w:rPr>
        <w:t>ha</w:t>
      </w:r>
      <w:r>
        <w:rPr>
          <w:color w:val="231F20"/>
          <w:spacing w:val="-29"/>
          <w:w w:val="110"/>
        </w:rPr>
        <w:t> </w:t>
      </w:r>
      <w:r>
        <w:rPr>
          <w:color w:val="231F20"/>
          <w:w w:val="110"/>
        </w:rPr>
        <w:t>contribuido a exacerbar la crisis estructural del régimen general del capital y de sus políticas neoliberales debido fundamentalmente a la reducción de la masa y la cuota de plusvalía que el proceso conlleva afectando gravemente la tasa de beneficios del</w:t>
      </w:r>
      <w:r>
        <w:rPr>
          <w:color w:val="231F20"/>
          <w:spacing w:val="11"/>
          <w:w w:val="110"/>
        </w:rPr>
        <w:t> </w:t>
      </w:r>
      <w:r>
        <w:rPr>
          <w:color w:val="231F20"/>
          <w:w w:val="110"/>
        </w:rPr>
        <w:t>capital.</w:t>
      </w:r>
    </w:p>
    <w:p>
      <w:pPr>
        <w:pStyle w:val="BodyText"/>
        <w:spacing w:line="261" w:lineRule="auto"/>
        <w:ind w:left="100" w:right="117" w:firstLine="240"/>
        <w:jc w:val="both"/>
      </w:pPr>
      <w:r>
        <w:rPr>
          <w:color w:val="231F20"/>
          <w:w w:val="110"/>
        </w:rPr>
        <w:t>Frente a las ficciones de ciertas corrientes de pensamiento do- minantes en la época del neoliberalismo (la teoría neoclásica en particular), que negaban no sólo la pérdida de perspectiva de lucha  y centralidad de los trabajadores sino, además, la existencia  </w:t>
      </w:r>
      <w:r>
        <w:rPr>
          <w:color w:val="231F20"/>
          <w:spacing w:val="4"/>
          <w:w w:val="110"/>
        </w:rPr>
        <w:t> </w:t>
      </w:r>
      <w:r>
        <w:rPr>
          <w:color w:val="231F20"/>
          <w:w w:val="110"/>
        </w:rPr>
        <w:t>misma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del mundo del trabajo y de su protagonista: el obrero colectivo,</w:t>
      </w:r>
      <w:r>
        <w:rPr>
          <w:color w:val="231F20"/>
          <w:spacing w:val="-17"/>
          <w:w w:val="110"/>
        </w:rPr>
        <w:t> </w:t>
      </w:r>
      <w:r>
        <w:rPr>
          <w:color w:val="231F20"/>
          <w:w w:val="110"/>
        </w:rPr>
        <w:t>con- sideramos que esta crisis marca el preludio del resurgimiento de un nuevo sujeto histórico, ciertamente renovado por la incorporación de sectores y clases sociales del mundo proletario, que va a dar la respuesta ante las embestidas del capital y del Estado en esta</w:t>
      </w:r>
      <w:r>
        <w:rPr>
          <w:color w:val="231F20"/>
          <w:spacing w:val="-10"/>
          <w:w w:val="110"/>
        </w:rPr>
        <w:t> </w:t>
      </w:r>
      <w:r>
        <w:rPr>
          <w:color w:val="231F20"/>
          <w:w w:val="110"/>
        </w:rPr>
        <w:t>coyun- tura histórica de la crisis capitalista caracterizada, como asentamos al principio, por la disminución relativa de la producción del valor   y de plusvalía debidas a las crecientes dificultades que encuentra el capital social global para seguir incrementando tanto la masa como la cuota de</w:t>
      </w:r>
      <w:r>
        <w:rPr>
          <w:color w:val="231F20"/>
          <w:spacing w:val="-11"/>
          <w:w w:val="110"/>
        </w:rPr>
        <w:t> </w:t>
      </w:r>
      <w:r>
        <w:rPr>
          <w:color w:val="231F20"/>
          <w:w w:val="110"/>
        </w:rPr>
        <w:t>plusvalía.</w:t>
      </w:r>
    </w:p>
    <w:p>
      <w:pPr>
        <w:pStyle w:val="BodyText"/>
        <w:spacing w:line="261" w:lineRule="auto"/>
        <w:ind w:left="100" w:right="117" w:firstLine="240"/>
        <w:jc w:val="both"/>
      </w:pPr>
      <w:r>
        <w:rPr>
          <w:color w:val="231F20"/>
          <w:w w:val="110"/>
        </w:rPr>
        <w:t>Por todo ello, al capital no le queda otra alternativa que hacerlo   a partir de la expropiación del fondo de consumo y de vida de la fuerza de trabajo y extendiendo la superexplotación del trabajo en</w:t>
      </w:r>
      <w:r>
        <w:rPr>
          <w:color w:val="231F20"/>
          <w:spacing w:val="-18"/>
          <w:w w:val="110"/>
        </w:rPr>
        <w:t> </w:t>
      </w:r>
      <w:r>
        <w:rPr>
          <w:color w:val="231F20"/>
          <w:w w:val="110"/>
        </w:rPr>
        <w:t>el seno mismo de los países del capitalismo desarrollado. Ha</w:t>
      </w:r>
      <w:r>
        <w:rPr>
          <w:color w:val="231F20"/>
          <w:spacing w:val="-16"/>
          <w:w w:val="110"/>
        </w:rPr>
        <w:t> </w:t>
      </w:r>
      <w:r>
        <w:rPr>
          <w:color w:val="231F20"/>
          <w:w w:val="110"/>
        </w:rPr>
        <w:t>avanzado ya en esa dirección por tres vertientes: </w:t>
      </w:r>
      <w:r>
        <w:rPr>
          <w:i/>
          <w:color w:val="231F20"/>
          <w:w w:val="110"/>
        </w:rPr>
        <w:t>a</w:t>
      </w:r>
      <w:r>
        <w:rPr>
          <w:color w:val="231F20"/>
          <w:w w:val="110"/>
        </w:rPr>
        <w:t>] ataques sistemáticos a los empleos, </w:t>
      </w:r>
      <w:r>
        <w:rPr>
          <w:i/>
          <w:color w:val="231F20"/>
          <w:w w:val="110"/>
        </w:rPr>
        <w:t>b</w:t>
      </w:r>
      <w:r>
        <w:rPr>
          <w:color w:val="231F20"/>
          <w:w w:val="110"/>
        </w:rPr>
        <w:t>] a los salarios y </w:t>
      </w:r>
      <w:r>
        <w:rPr>
          <w:i/>
          <w:color w:val="231F20"/>
          <w:w w:val="110"/>
        </w:rPr>
        <w:t>c</w:t>
      </w:r>
      <w:r>
        <w:rPr>
          <w:color w:val="231F20"/>
          <w:w w:val="110"/>
        </w:rPr>
        <w:t>] a las jubilaciones de los trabajadores, además de extender por todo el mundo la jornada de trabajo y el </w:t>
      </w:r>
      <w:r>
        <w:rPr>
          <w:i/>
          <w:color w:val="231F20"/>
          <w:w w:val="110"/>
        </w:rPr>
        <w:t>outsourcing</w:t>
      </w:r>
      <w:r>
        <w:rPr>
          <w:i/>
          <w:color w:val="231F20"/>
          <w:spacing w:val="-32"/>
          <w:w w:val="110"/>
        </w:rPr>
        <w:t> </w:t>
      </w:r>
      <w:r>
        <w:rPr>
          <w:color w:val="231F20"/>
          <w:w w:val="110"/>
        </w:rPr>
        <w:t>en</w:t>
      </w:r>
      <w:r>
        <w:rPr>
          <w:color w:val="231F20"/>
          <w:spacing w:val="-32"/>
          <w:w w:val="110"/>
        </w:rPr>
        <w:t> </w:t>
      </w:r>
      <w:r>
        <w:rPr>
          <w:color w:val="231F20"/>
          <w:w w:val="110"/>
        </w:rPr>
        <w:t>todas</w:t>
      </w:r>
      <w:r>
        <w:rPr>
          <w:color w:val="231F20"/>
          <w:spacing w:val="-32"/>
          <w:w w:val="110"/>
        </w:rPr>
        <w:t> </w:t>
      </w:r>
      <w:r>
        <w:rPr>
          <w:color w:val="231F20"/>
          <w:w w:val="110"/>
        </w:rPr>
        <w:t>sus</w:t>
      </w:r>
      <w:r>
        <w:rPr>
          <w:color w:val="231F20"/>
          <w:spacing w:val="-32"/>
          <w:w w:val="110"/>
        </w:rPr>
        <w:t> </w:t>
      </w:r>
      <w:r>
        <w:rPr>
          <w:color w:val="231F20"/>
          <w:w w:val="110"/>
        </w:rPr>
        <w:t>modalidades.</w:t>
      </w:r>
      <w:r>
        <w:rPr>
          <w:color w:val="231F20"/>
          <w:spacing w:val="-32"/>
          <w:w w:val="110"/>
        </w:rPr>
        <w:t> </w:t>
      </w:r>
      <w:r>
        <w:rPr>
          <w:color w:val="231F20"/>
          <w:w w:val="110"/>
        </w:rPr>
        <w:t>Por</w:t>
      </w:r>
      <w:r>
        <w:rPr>
          <w:color w:val="231F20"/>
          <w:spacing w:val="-32"/>
          <w:w w:val="110"/>
        </w:rPr>
        <w:t> </w:t>
      </w:r>
      <w:r>
        <w:rPr>
          <w:color w:val="231F20"/>
          <w:w w:val="110"/>
        </w:rPr>
        <w:t>eso</w:t>
      </w:r>
      <w:r>
        <w:rPr>
          <w:color w:val="231F20"/>
          <w:spacing w:val="-32"/>
          <w:w w:val="110"/>
        </w:rPr>
        <w:t> </w:t>
      </w:r>
      <w:r>
        <w:rPr>
          <w:color w:val="231F20"/>
          <w:w w:val="110"/>
        </w:rPr>
        <w:t>mismo,</w:t>
      </w:r>
      <w:r>
        <w:rPr>
          <w:color w:val="231F20"/>
          <w:spacing w:val="-32"/>
          <w:w w:val="110"/>
        </w:rPr>
        <w:t> </w:t>
      </w:r>
      <w:r>
        <w:rPr>
          <w:color w:val="231F20"/>
          <w:w w:val="110"/>
        </w:rPr>
        <w:t>hoy</w:t>
      </w:r>
      <w:r>
        <w:rPr>
          <w:color w:val="231F20"/>
          <w:spacing w:val="-32"/>
          <w:w w:val="110"/>
        </w:rPr>
        <w:t> </w:t>
      </w:r>
      <w:r>
        <w:rPr>
          <w:color w:val="231F20"/>
          <w:w w:val="110"/>
        </w:rPr>
        <w:t>en</w:t>
      </w:r>
      <w:r>
        <w:rPr>
          <w:color w:val="231F20"/>
          <w:spacing w:val="-32"/>
          <w:w w:val="110"/>
        </w:rPr>
        <w:t> </w:t>
      </w:r>
      <w:r>
        <w:rPr>
          <w:color w:val="231F20"/>
          <w:w w:val="110"/>
        </w:rPr>
        <w:t>día</w:t>
      </w:r>
      <w:r>
        <w:rPr>
          <w:color w:val="231F20"/>
          <w:spacing w:val="-32"/>
          <w:w w:val="110"/>
        </w:rPr>
        <w:t> </w:t>
      </w:r>
      <w:r>
        <w:rPr>
          <w:color w:val="231F20"/>
          <w:w w:val="110"/>
        </w:rPr>
        <w:t>la</w:t>
      </w:r>
      <w:r>
        <w:rPr>
          <w:color w:val="231F20"/>
          <w:spacing w:val="-32"/>
          <w:w w:val="110"/>
        </w:rPr>
        <w:t> </w:t>
      </w:r>
      <w:r>
        <w:rPr>
          <w:color w:val="231F20"/>
          <w:w w:val="110"/>
        </w:rPr>
        <w:t>res- puesta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crisis</w:t>
      </w:r>
      <w:r>
        <w:rPr>
          <w:color w:val="231F20"/>
          <w:spacing w:val="-8"/>
          <w:w w:val="110"/>
        </w:rPr>
        <w:t> </w:t>
      </w:r>
      <w:r>
        <w:rPr>
          <w:color w:val="231F20"/>
          <w:w w:val="110"/>
        </w:rPr>
        <w:t>del</w:t>
      </w:r>
      <w:r>
        <w:rPr>
          <w:color w:val="231F20"/>
          <w:spacing w:val="-8"/>
          <w:w w:val="110"/>
        </w:rPr>
        <w:t> </w:t>
      </w:r>
      <w:r>
        <w:rPr>
          <w:color w:val="231F20"/>
          <w:w w:val="110"/>
        </w:rPr>
        <w:t>régimen</w:t>
      </w:r>
      <w:r>
        <w:rPr>
          <w:color w:val="231F20"/>
          <w:spacing w:val="-8"/>
          <w:w w:val="110"/>
        </w:rPr>
        <w:t> </w:t>
      </w:r>
      <w:r>
        <w:rPr>
          <w:color w:val="231F20"/>
          <w:w w:val="110"/>
        </w:rPr>
        <w:t>del</w:t>
      </w:r>
      <w:r>
        <w:rPr>
          <w:color w:val="231F20"/>
          <w:spacing w:val="-8"/>
          <w:w w:val="110"/>
        </w:rPr>
        <w:t> </w:t>
      </w:r>
      <w:r>
        <w:rPr>
          <w:color w:val="231F20"/>
          <w:w w:val="110"/>
        </w:rPr>
        <w:t>capital</w:t>
      </w:r>
      <w:r>
        <w:rPr>
          <w:color w:val="231F20"/>
          <w:spacing w:val="-8"/>
          <w:w w:val="110"/>
        </w:rPr>
        <w:t> </w:t>
      </w:r>
      <w:r>
        <w:rPr>
          <w:color w:val="231F20"/>
          <w:w w:val="110"/>
        </w:rPr>
        <w:t>la</w:t>
      </w:r>
      <w:r>
        <w:rPr>
          <w:color w:val="231F20"/>
          <w:spacing w:val="-8"/>
          <w:w w:val="110"/>
        </w:rPr>
        <w:t> </w:t>
      </w:r>
      <w:r>
        <w:rPr>
          <w:color w:val="231F20"/>
          <w:w w:val="110"/>
        </w:rPr>
        <w:t>tiene</w:t>
      </w:r>
      <w:r>
        <w:rPr>
          <w:color w:val="231F20"/>
          <w:spacing w:val="-8"/>
          <w:w w:val="110"/>
        </w:rPr>
        <w:t> </w:t>
      </w:r>
      <w:r>
        <w:rPr>
          <w:color w:val="231F20"/>
          <w:w w:val="110"/>
        </w:rPr>
        <w:t>el</w:t>
      </w:r>
      <w:r>
        <w:rPr>
          <w:color w:val="231F20"/>
          <w:spacing w:val="-8"/>
          <w:w w:val="110"/>
        </w:rPr>
        <w:t> </w:t>
      </w:r>
      <w:r>
        <w:rPr>
          <w:color w:val="231F20"/>
          <w:w w:val="110"/>
        </w:rPr>
        <w:t>sujeto</w:t>
      </w:r>
      <w:r>
        <w:rPr>
          <w:color w:val="231F20"/>
          <w:spacing w:val="-8"/>
          <w:w w:val="110"/>
        </w:rPr>
        <w:t> </w:t>
      </w:r>
      <w:r>
        <w:rPr>
          <w:color w:val="231F20"/>
          <w:w w:val="110"/>
        </w:rPr>
        <w:t>histórico</w:t>
      </w:r>
      <w:r>
        <w:rPr>
          <w:color w:val="231F20"/>
          <w:spacing w:val="-8"/>
          <w:w w:val="110"/>
        </w:rPr>
        <w:t> </w:t>
      </w:r>
      <w:r>
        <w:rPr>
          <w:color w:val="231F20"/>
          <w:w w:val="110"/>
        </w:rPr>
        <w:t>de la</w:t>
      </w:r>
      <w:r>
        <w:rPr>
          <w:color w:val="231F20"/>
          <w:spacing w:val="-17"/>
          <w:w w:val="110"/>
        </w:rPr>
        <w:t> </w:t>
      </w:r>
      <w:r>
        <w:rPr>
          <w:color w:val="231F20"/>
          <w:w w:val="110"/>
        </w:rPr>
        <w:t>clase</w:t>
      </w:r>
      <w:r>
        <w:rPr>
          <w:color w:val="231F20"/>
          <w:spacing w:val="-17"/>
          <w:w w:val="110"/>
        </w:rPr>
        <w:t> </w:t>
      </w:r>
      <w:r>
        <w:rPr>
          <w:color w:val="231F20"/>
          <w:w w:val="110"/>
        </w:rPr>
        <w:t>obrera</w:t>
      </w:r>
      <w:r>
        <w:rPr>
          <w:color w:val="231F20"/>
          <w:spacing w:val="-17"/>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sectores</w:t>
      </w:r>
      <w:r>
        <w:rPr>
          <w:color w:val="231F20"/>
          <w:spacing w:val="-17"/>
          <w:w w:val="110"/>
        </w:rPr>
        <w:t> </w:t>
      </w:r>
      <w:r>
        <w:rPr>
          <w:color w:val="231F20"/>
          <w:w w:val="110"/>
        </w:rPr>
        <w:t>organizados</w:t>
      </w:r>
      <w:r>
        <w:rPr>
          <w:color w:val="231F20"/>
          <w:spacing w:val="-17"/>
          <w:w w:val="110"/>
        </w:rPr>
        <w:t> </w:t>
      </w:r>
      <w:r>
        <w:rPr>
          <w:color w:val="231F20"/>
          <w:w w:val="110"/>
        </w:rPr>
        <w:t>del</w:t>
      </w:r>
      <w:r>
        <w:rPr>
          <w:color w:val="231F20"/>
          <w:spacing w:val="-17"/>
          <w:w w:val="110"/>
        </w:rPr>
        <w:t> </w:t>
      </w:r>
      <w:r>
        <w:rPr>
          <w:color w:val="231F20"/>
          <w:w w:val="110"/>
        </w:rPr>
        <w:t>proletariado</w:t>
      </w:r>
      <w:r>
        <w:rPr>
          <w:color w:val="231F20"/>
          <w:spacing w:val="-17"/>
          <w:w w:val="110"/>
        </w:rPr>
        <w:t> </w:t>
      </w:r>
      <w:r>
        <w:rPr>
          <w:color w:val="231F20"/>
          <w:w w:val="110"/>
        </w:rPr>
        <w:t>mundial.</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05" w:hanging="240"/>
        <w:jc w:val="left"/>
        <w:rPr>
          <w:sz w:val="18"/>
        </w:rPr>
      </w:pPr>
      <w:r>
        <w:rPr>
          <w:color w:val="231F20"/>
          <w:sz w:val="18"/>
        </w:rPr>
        <w:t>Alves,</w:t>
      </w:r>
      <w:r>
        <w:rPr>
          <w:color w:val="231F20"/>
          <w:spacing w:val="-30"/>
          <w:sz w:val="18"/>
        </w:rPr>
        <w:t> </w:t>
      </w:r>
      <w:r>
        <w:rPr>
          <w:color w:val="231F20"/>
          <w:sz w:val="18"/>
        </w:rPr>
        <w:t>Giovanni,</w:t>
      </w:r>
      <w:r>
        <w:rPr>
          <w:color w:val="231F20"/>
          <w:spacing w:val="-30"/>
          <w:sz w:val="18"/>
        </w:rPr>
        <w:t> </w:t>
      </w:r>
      <w:r>
        <w:rPr>
          <w:color w:val="231F20"/>
          <w:sz w:val="18"/>
        </w:rPr>
        <w:t>2007,</w:t>
      </w:r>
      <w:r>
        <w:rPr>
          <w:color w:val="231F20"/>
          <w:spacing w:val="-30"/>
          <w:sz w:val="18"/>
        </w:rPr>
        <w:t> </w:t>
      </w:r>
      <w:r>
        <w:rPr>
          <w:i/>
          <w:color w:val="231F20"/>
          <w:sz w:val="18"/>
        </w:rPr>
        <w:t>Dimensões</w:t>
      </w:r>
      <w:r>
        <w:rPr>
          <w:i/>
          <w:color w:val="231F20"/>
          <w:spacing w:val="-30"/>
          <w:sz w:val="18"/>
        </w:rPr>
        <w:t> </w:t>
      </w:r>
      <w:r>
        <w:rPr>
          <w:i/>
          <w:color w:val="231F20"/>
          <w:sz w:val="18"/>
        </w:rPr>
        <w:t>da</w:t>
      </w:r>
      <w:r>
        <w:rPr>
          <w:i/>
          <w:color w:val="231F20"/>
          <w:spacing w:val="-30"/>
          <w:sz w:val="18"/>
        </w:rPr>
        <w:t> </w:t>
      </w:r>
      <w:r>
        <w:rPr>
          <w:i/>
          <w:color w:val="231F20"/>
          <w:sz w:val="18"/>
        </w:rPr>
        <w:t>reestruturação</w:t>
      </w:r>
      <w:r>
        <w:rPr>
          <w:i/>
          <w:color w:val="231F20"/>
          <w:spacing w:val="-30"/>
          <w:sz w:val="18"/>
        </w:rPr>
        <w:t> </w:t>
      </w:r>
      <w:r>
        <w:rPr>
          <w:i/>
          <w:color w:val="231F20"/>
          <w:sz w:val="18"/>
        </w:rPr>
        <w:t>produtiva.</w:t>
      </w:r>
      <w:r>
        <w:rPr>
          <w:i/>
          <w:color w:val="231F20"/>
          <w:spacing w:val="-30"/>
          <w:sz w:val="18"/>
        </w:rPr>
        <w:t> </w:t>
      </w:r>
      <w:r>
        <w:rPr>
          <w:i/>
          <w:color w:val="231F20"/>
          <w:sz w:val="18"/>
        </w:rPr>
        <w:t>Ensaios</w:t>
      </w:r>
      <w:r>
        <w:rPr>
          <w:i/>
          <w:color w:val="231F20"/>
          <w:spacing w:val="-30"/>
          <w:sz w:val="18"/>
        </w:rPr>
        <w:t> </w:t>
      </w:r>
      <w:r>
        <w:rPr>
          <w:i/>
          <w:color w:val="231F20"/>
          <w:sz w:val="18"/>
        </w:rPr>
        <w:t>de</w:t>
      </w:r>
      <w:r>
        <w:rPr>
          <w:i/>
          <w:color w:val="231F20"/>
          <w:spacing w:val="-30"/>
          <w:sz w:val="18"/>
        </w:rPr>
        <w:t> </w:t>
      </w:r>
      <w:r>
        <w:rPr>
          <w:i/>
          <w:color w:val="231F20"/>
          <w:sz w:val="18"/>
        </w:rPr>
        <w:t>sociologia </w:t>
      </w:r>
      <w:r>
        <w:rPr>
          <w:i/>
          <w:color w:val="231F20"/>
          <w:sz w:val="18"/>
        </w:rPr>
        <w:t>do  trabalho</w:t>
      </w:r>
      <w:r>
        <w:rPr>
          <w:color w:val="231F20"/>
          <w:sz w:val="18"/>
        </w:rPr>
        <w:t>,  Londrina,  Paraná,  Editora </w:t>
      </w:r>
      <w:r>
        <w:rPr>
          <w:color w:val="231F20"/>
          <w:spacing w:val="2"/>
          <w:sz w:val="18"/>
        </w:rPr>
        <w:t> </w:t>
      </w:r>
      <w:r>
        <w:rPr>
          <w:color w:val="231F20"/>
          <w:sz w:val="18"/>
        </w:rPr>
        <w:t>Praxis.</w:t>
      </w:r>
    </w:p>
    <w:p>
      <w:pPr>
        <w:spacing w:line="254" w:lineRule="auto" w:before="1"/>
        <w:ind w:left="340" w:right="99" w:hanging="240"/>
        <w:jc w:val="left"/>
        <w:rPr>
          <w:sz w:val="18"/>
        </w:rPr>
      </w:pPr>
      <w:r>
        <w:rPr>
          <w:color w:val="231F20"/>
          <w:w w:val="105"/>
          <w:sz w:val="18"/>
        </w:rPr>
        <w:t>Antunes, Ricardo, 2005, </w:t>
      </w:r>
      <w:r>
        <w:rPr>
          <w:i/>
          <w:color w:val="231F20"/>
          <w:w w:val="105"/>
          <w:sz w:val="18"/>
        </w:rPr>
        <w:t>Los sentidos del trabajo</w:t>
      </w:r>
      <w:r>
        <w:rPr>
          <w:color w:val="231F20"/>
          <w:w w:val="105"/>
          <w:sz w:val="18"/>
        </w:rPr>
        <w:t>, Buenos Aires, Ediciones He- rramienta.</w:t>
      </w:r>
    </w:p>
    <w:p>
      <w:pPr>
        <w:spacing w:line="254" w:lineRule="auto" w:before="1"/>
        <w:ind w:left="340" w:right="109" w:hanging="240"/>
        <w:jc w:val="left"/>
        <w:rPr>
          <w:sz w:val="18"/>
        </w:rPr>
      </w:pPr>
      <w:r>
        <w:rPr>
          <w:color w:val="231F20"/>
          <w:w w:val="110"/>
          <w:sz w:val="18"/>
        </w:rPr>
        <w:t>Balze,</w:t>
      </w:r>
      <w:r>
        <w:rPr>
          <w:color w:val="231F20"/>
          <w:spacing w:val="-24"/>
          <w:w w:val="110"/>
          <w:sz w:val="18"/>
        </w:rPr>
        <w:t> </w:t>
      </w:r>
      <w:r>
        <w:rPr>
          <w:color w:val="231F20"/>
          <w:w w:val="110"/>
          <w:sz w:val="18"/>
        </w:rPr>
        <w:t>Felipe,</w:t>
      </w:r>
      <w:r>
        <w:rPr>
          <w:color w:val="231F20"/>
          <w:spacing w:val="-24"/>
          <w:w w:val="110"/>
          <w:sz w:val="18"/>
        </w:rPr>
        <w:t> </w:t>
      </w:r>
      <w:r>
        <w:rPr>
          <w:color w:val="231F20"/>
          <w:w w:val="110"/>
          <w:sz w:val="18"/>
        </w:rPr>
        <w:t>“El</w:t>
      </w:r>
      <w:r>
        <w:rPr>
          <w:color w:val="231F20"/>
          <w:spacing w:val="-24"/>
          <w:w w:val="110"/>
          <w:sz w:val="18"/>
        </w:rPr>
        <w:t> </w:t>
      </w:r>
      <w:r>
        <w:rPr>
          <w:color w:val="231F20"/>
          <w:w w:val="110"/>
          <w:sz w:val="18"/>
        </w:rPr>
        <w:t>mundo</w:t>
      </w:r>
      <w:r>
        <w:rPr>
          <w:color w:val="231F20"/>
          <w:spacing w:val="-24"/>
          <w:w w:val="110"/>
          <w:sz w:val="18"/>
        </w:rPr>
        <w:t> </w:t>
      </w:r>
      <w:r>
        <w:rPr>
          <w:color w:val="231F20"/>
          <w:w w:val="110"/>
          <w:sz w:val="18"/>
        </w:rPr>
        <w:t>prefiere</w:t>
      </w:r>
      <w:r>
        <w:rPr>
          <w:color w:val="231F20"/>
          <w:spacing w:val="-24"/>
          <w:w w:val="110"/>
          <w:sz w:val="18"/>
        </w:rPr>
        <w:t> </w:t>
      </w:r>
      <w:r>
        <w:rPr>
          <w:color w:val="231F20"/>
          <w:w w:val="110"/>
          <w:sz w:val="18"/>
        </w:rPr>
        <w:t>no</w:t>
      </w:r>
      <w:r>
        <w:rPr>
          <w:color w:val="231F20"/>
          <w:spacing w:val="-24"/>
          <w:w w:val="110"/>
          <w:sz w:val="18"/>
        </w:rPr>
        <w:t> </w:t>
      </w:r>
      <w:r>
        <w:rPr>
          <w:color w:val="231F20"/>
          <w:w w:val="110"/>
          <w:sz w:val="18"/>
        </w:rPr>
        <w:t>ver</w:t>
      </w:r>
      <w:r>
        <w:rPr>
          <w:color w:val="231F20"/>
          <w:spacing w:val="-24"/>
          <w:w w:val="110"/>
          <w:sz w:val="18"/>
        </w:rPr>
        <w:t> </w:t>
      </w:r>
      <w:r>
        <w:rPr>
          <w:color w:val="231F20"/>
          <w:w w:val="110"/>
          <w:sz w:val="18"/>
        </w:rPr>
        <w:t>la</w:t>
      </w:r>
      <w:r>
        <w:rPr>
          <w:color w:val="231F20"/>
          <w:spacing w:val="-24"/>
          <w:w w:val="110"/>
          <w:sz w:val="18"/>
        </w:rPr>
        <w:t> </w:t>
      </w:r>
      <w:r>
        <w:rPr>
          <w:color w:val="231F20"/>
          <w:w w:val="110"/>
          <w:sz w:val="18"/>
        </w:rPr>
        <w:t>próxima</w:t>
      </w:r>
      <w:r>
        <w:rPr>
          <w:color w:val="231F20"/>
          <w:spacing w:val="-24"/>
          <w:w w:val="110"/>
          <w:sz w:val="18"/>
        </w:rPr>
        <w:t> </w:t>
      </w:r>
      <w:r>
        <w:rPr>
          <w:color w:val="231F20"/>
          <w:w w:val="110"/>
          <w:sz w:val="18"/>
        </w:rPr>
        <w:t>crisis</w:t>
      </w:r>
      <w:r>
        <w:rPr>
          <w:color w:val="231F20"/>
          <w:spacing w:val="-24"/>
          <w:w w:val="110"/>
          <w:sz w:val="18"/>
        </w:rPr>
        <w:t> </w:t>
      </w:r>
      <w:r>
        <w:rPr>
          <w:color w:val="231F20"/>
          <w:w w:val="110"/>
          <w:sz w:val="18"/>
        </w:rPr>
        <w:t>fiscal”,</w:t>
      </w:r>
      <w:r>
        <w:rPr>
          <w:color w:val="231F20"/>
          <w:spacing w:val="-23"/>
          <w:w w:val="110"/>
          <w:sz w:val="18"/>
        </w:rPr>
        <w:t> </w:t>
      </w:r>
      <w:r>
        <w:rPr>
          <w:color w:val="231F20"/>
          <w:w w:val="110"/>
          <w:sz w:val="18"/>
        </w:rPr>
        <w:t>&lt;www.rebe- lion.org/noticia.php?id=103300&gt;, 31 de marzo de</w:t>
      </w:r>
      <w:r>
        <w:rPr>
          <w:color w:val="231F20"/>
          <w:spacing w:val="-4"/>
          <w:w w:val="110"/>
          <w:sz w:val="18"/>
        </w:rPr>
        <w:t> </w:t>
      </w:r>
      <w:r>
        <w:rPr>
          <w:color w:val="231F20"/>
          <w:w w:val="110"/>
          <w:sz w:val="18"/>
        </w:rPr>
        <w:t>2010.</w:t>
      </w:r>
    </w:p>
    <w:p>
      <w:pPr>
        <w:spacing w:line="254" w:lineRule="auto" w:before="1"/>
        <w:ind w:left="340" w:right="25" w:hanging="240"/>
        <w:jc w:val="left"/>
        <w:rPr>
          <w:sz w:val="18"/>
        </w:rPr>
      </w:pPr>
      <w:r>
        <w:rPr>
          <w:color w:val="231F20"/>
          <w:w w:val="105"/>
          <w:sz w:val="18"/>
        </w:rPr>
        <w:t>Belu, Eleni, 2009-2010, “La crisis económica capitalista internacional”, </w:t>
      </w:r>
      <w:r>
        <w:rPr>
          <w:i/>
          <w:color w:val="231F20"/>
          <w:w w:val="105"/>
          <w:sz w:val="18"/>
        </w:rPr>
        <w:t>Revista </w:t>
      </w:r>
      <w:r>
        <w:rPr>
          <w:i/>
          <w:color w:val="231F20"/>
          <w:w w:val="105"/>
          <w:sz w:val="18"/>
        </w:rPr>
        <w:t>Comunista Internacional</w:t>
      </w:r>
      <w:r>
        <w:rPr>
          <w:color w:val="231F20"/>
          <w:w w:val="105"/>
          <w:sz w:val="18"/>
        </w:rPr>
        <w:t>, núm. 1, p. 15.</w:t>
      </w:r>
    </w:p>
    <w:p>
      <w:pPr>
        <w:spacing w:line="254" w:lineRule="auto" w:before="1"/>
        <w:ind w:left="340" w:right="117" w:hanging="240"/>
        <w:jc w:val="left"/>
        <w:rPr>
          <w:sz w:val="18"/>
        </w:rPr>
      </w:pPr>
      <w:r>
        <w:rPr>
          <w:color w:val="231F20"/>
          <w:sz w:val="18"/>
        </w:rPr>
        <w:t>cepal,</w:t>
      </w:r>
      <w:r>
        <w:rPr>
          <w:color w:val="231F20"/>
          <w:spacing w:val="-8"/>
          <w:sz w:val="18"/>
        </w:rPr>
        <w:t> </w:t>
      </w:r>
      <w:r>
        <w:rPr>
          <w:color w:val="231F20"/>
          <w:sz w:val="18"/>
        </w:rPr>
        <w:t>2009,</w:t>
      </w:r>
      <w:r>
        <w:rPr>
          <w:color w:val="231F20"/>
          <w:spacing w:val="-8"/>
          <w:sz w:val="18"/>
        </w:rPr>
        <w:t> </w:t>
      </w:r>
      <w:r>
        <w:rPr>
          <w:i/>
          <w:color w:val="231F20"/>
          <w:sz w:val="18"/>
        </w:rPr>
        <w:t>Panorama</w:t>
      </w:r>
      <w:r>
        <w:rPr>
          <w:i/>
          <w:color w:val="231F20"/>
          <w:spacing w:val="-8"/>
          <w:sz w:val="18"/>
        </w:rPr>
        <w:t> </w:t>
      </w:r>
      <w:r>
        <w:rPr>
          <w:i/>
          <w:color w:val="231F20"/>
          <w:sz w:val="18"/>
        </w:rPr>
        <w:t>de</w:t>
      </w:r>
      <w:r>
        <w:rPr>
          <w:i/>
          <w:color w:val="231F20"/>
          <w:spacing w:val="-8"/>
          <w:sz w:val="18"/>
        </w:rPr>
        <w:t> </w:t>
      </w:r>
      <w:r>
        <w:rPr>
          <w:i/>
          <w:color w:val="231F20"/>
          <w:sz w:val="18"/>
        </w:rPr>
        <w:t>la</w:t>
      </w:r>
      <w:r>
        <w:rPr>
          <w:i/>
          <w:color w:val="231F20"/>
          <w:spacing w:val="-8"/>
          <w:sz w:val="18"/>
        </w:rPr>
        <w:t> </w:t>
      </w:r>
      <w:r>
        <w:rPr>
          <w:i/>
          <w:color w:val="231F20"/>
          <w:sz w:val="18"/>
        </w:rPr>
        <w:t>inserción</w:t>
      </w:r>
      <w:r>
        <w:rPr>
          <w:i/>
          <w:color w:val="231F20"/>
          <w:spacing w:val="-8"/>
          <w:sz w:val="18"/>
        </w:rPr>
        <w:t> </w:t>
      </w:r>
      <w:r>
        <w:rPr>
          <w:i/>
          <w:color w:val="231F20"/>
          <w:sz w:val="18"/>
        </w:rPr>
        <w:t>internacional</w:t>
      </w:r>
      <w:r>
        <w:rPr>
          <w:i/>
          <w:color w:val="231F20"/>
          <w:spacing w:val="-8"/>
          <w:sz w:val="18"/>
        </w:rPr>
        <w:t> </w:t>
      </w:r>
      <w:r>
        <w:rPr>
          <w:i/>
          <w:color w:val="231F20"/>
          <w:sz w:val="18"/>
        </w:rPr>
        <w:t>de</w:t>
      </w:r>
      <w:r>
        <w:rPr>
          <w:i/>
          <w:color w:val="231F20"/>
          <w:spacing w:val="-8"/>
          <w:sz w:val="18"/>
        </w:rPr>
        <w:t> </w:t>
      </w:r>
      <w:r>
        <w:rPr>
          <w:i/>
          <w:color w:val="231F20"/>
          <w:sz w:val="18"/>
        </w:rPr>
        <w:t>América</w:t>
      </w:r>
      <w:r>
        <w:rPr>
          <w:i/>
          <w:color w:val="231F20"/>
          <w:spacing w:val="-8"/>
          <w:sz w:val="18"/>
        </w:rPr>
        <w:t> </w:t>
      </w:r>
      <w:r>
        <w:rPr>
          <w:i/>
          <w:color w:val="231F20"/>
          <w:sz w:val="18"/>
        </w:rPr>
        <w:t>Latina</w:t>
      </w:r>
      <w:r>
        <w:rPr>
          <w:i/>
          <w:color w:val="231F20"/>
          <w:spacing w:val="-8"/>
          <w:sz w:val="18"/>
        </w:rPr>
        <w:t> </w:t>
      </w:r>
      <w:r>
        <w:rPr>
          <w:i/>
          <w:color w:val="231F20"/>
          <w:sz w:val="18"/>
        </w:rPr>
        <w:t>y</w:t>
      </w:r>
      <w:r>
        <w:rPr>
          <w:i/>
          <w:color w:val="231F20"/>
          <w:spacing w:val="-8"/>
          <w:sz w:val="18"/>
        </w:rPr>
        <w:t> </w:t>
      </w:r>
      <w:r>
        <w:rPr>
          <w:i/>
          <w:color w:val="231F20"/>
          <w:sz w:val="18"/>
        </w:rPr>
        <w:t>el</w:t>
      </w:r>
      <w:r>
        <w:rPr>
          <w:i/>
          <w:color w:val="231F20"/>
          <w:spacing w:val="-8"/>
          <w:sz w:val="18"/>
        </w:rPr>
        <w:t> </w:t>
      </w:r>
      <w:r>
        <w:rPr>
          <w:i/>
          <w:color w:val="231F20"/>
          <w:sz w:val="18"/>
        </w:rPr>
        <w:t>Caribe</w:t>
      </w:r>
      <w:r>
        <w:rPr>
          <w:color w:val="231F20"/>
          <w:sz w:val="18"/>
        </w:rPr>
        <w:t>. </w:t>
      </w:r>
      <w:r>
        <w:rPr>
          <w:i/>
          <w:color w:val="231F20"/>
          <w:sz w:val="18"/>
        </w:rPr>
        <w:t>Crisis y espacios de cooperación regional</w:t>
      </w:r>
      <w:r>
        <w:rPr>
          <w:color w:val="231F20"/>
          <w:sz w:val="18"/>
        </w:rPr>
        <w:t>, Naciones Unidas, Santiago de</w:t>
      </w:r>
      <w:r>
        <w:rPr>
          <w:color w:val="231F20"/>
          <w:spacing w:val="-13"/>
          <w:sz w:val="18"/>
        </w:rPr>
        <w:t> </w:t>
      </w:r>
      <w:r>
        <w:rPr>
          <w:color w:val="231F20"/>
          <w:sz w:val="18"/>
        </w:rPr>
        <w:t>Chile, 2008-2009, octubre, </w:t>
      </w:r>
      <w:hyperlink r:id="rId132">
        <w:r>
          <w:rPr>
            <w:color w:val="231F20"/>
            <w:sz w:val="18"/>
          </w:rPr>
          <w:t>&lt;www.eclac.org/cgi–bin/getProd.asp?xml=/publica</w:t>
        </w:r>
      </w:hyperlink>
      <w:r>
        <w:rPr>
          <w:color w:val="231F20"/>
          <w:sz w:val="18"/>
        </w:rPr>
        <w:t>- ciones/xml/6/36906/P36906.xml&amp;xsl=/comercio/tpl/p9f.xsl&amp;base=/ comercio/tpl/top–bottom.xsl&gt;.</w:t>
      </w:r>
    </w:p>
    <w:p>
      <w:pPr>
        <w:spacing w:line="254" w:lineRule="auto" w:before="1"/>
        <w:ind w:left="340" w:right="106" w:hanging="240"/>
        <w:jc w:val="left"/>
        <w:rPr>
          <w:sz w:val="18"/>
        </w:rPr>
      </w:pPr>
      <w:r>
        <w:rPr>
          <w:color w:val="231F20"/>
          <w:w w:val="110"/>
          <w:sz w:val="18"/>
        </w:rPr>
        <w:t>Chesnais,</w:t>
      </w:r>
      <w:r>
        <w:rPr>
          <w:color w:val="231F20"/>
          <w:spacing w:val="-21"/>
          <w:w w:val="110"/>
          <w:sz w:val="18"/>
        </w:rPr>
        <w:t> </w:t>
      </w:r>
      <w:r>
        <w:rPr>
          <w:color w:val="231F20"/>
          <w:w w:val="110"/>
          <w:sz w:val="18"/>
        </w:rPr>
        <w:t>Françoise,</w:t>
      </w:r>
      <w:r>
        <w:rPr>
          <w:color w:val="231F20"/>
          <w:spacing w:val="-21"/>
          <w:w w:val="110"/>
          <w:sz w:val="18"/>
        </w:rPr>
        <w:t> </w:t>
      </w:r>
      <w:r>
        <w:rPr>
          <w:color w:val="231F20"/>
          <w:w w:val="110"/>
          <w:sz w:val="18"/>
        </w:rPr>
        <w:t>2002,</w:t>
      </w:r>
      <w:r>
        <w:rPr>
          <w:color w:val="231F20"/>
          <w:spacing w:val="-21"/>
          <w:w w:val="110"/>
          <w:sz w:val="18"/>
        </w:rPr>
        <w:t> </w:t>
      </w:r>
      <w:r>
        <w:rPr>
          <w:color w:val="231F20"/>
          <w:w w:val="110"/>
          <w:sz w:val="18"/>
        </w:rPr>
        <w:t>“La</w:t>
      </w:r>
      <w:r>
        <w:rPr>
          <w:color w:val="231F20"/>
          <w:spacing w:val="-21"/>
          <w:w w:val="110"/>
          <w:sz w:val="18"/>
        </w:rPr>
        <w:t> </w:t>
      </w:r>
      <w:r>
        <w:rPr>
          <w:color w:val="231F20"/>
          <w:w w:val="110"/>
          <w:sz w:val="18"/>
        </w:rPr>
        <w:t>‘Nueva</w:t>
      </w:r>
      <w:r>
        <w:rPr>
          <w:color w:val="231F20"/>
          <w:spacing w:val="-21"/>
          <w:w w:val="110"/>
          <w:sz w:val="18"/>
        </w:rPr>
        <w:t> </w:t>
      </w:r>
      <w:r>
        <w:rPr>
          <w:color w:val="231F20"/>
          <w:w w:val="110"/>
          <w:sz w:val="18"/>
        </w:rPr>
        <w:t>Economía’:</w:t>
      </w:r>
      <w:r>
        <w:rPr>
          <w:color w:val="231F20"/>
          <w:spacing w:val="-21"/>
          <w:w w:val="110"/>
          <w:sz w:val="18"/>
        </w:rPr>
        <w:t> </w:t>
      </w:r>
      <w:r>
        <w:rPr>
          <w:color w:val="231F20"/>
          <w:w w:val="110"/>
          <w:sz w:val="18"/>
        </w:rPr>
        <w:t>una</w:t>
      </w:r>
      <w:r>
        <w:rPr>
          <w:color w:val="231F20"/>
          <w:spacing w:val="-21"/>
          <w:w w:val="110"/>
          <w:sz w:val="18"/>
        </w:rPr>
        <w:t> </w:t>
      </w:r>
      <w:r>
        <w:rPr>
          <w:color w:val="231F20"/>
          <w:w w:val="110"/>
          <w:sz w:val="18"/>
        </w:rPr>
        <w:t>coyuntura</w:t>
      </w:r>
      <w:r>
        <w:rPr>
          <w:color w:val="231F20"/>
          <w:spacing w:val="-21"/>
          <w:w w:val="110"/>
          <w:sz w:val="18"/>
        </w:rPr>
        <w:t> </w:t>
      </w:r>
      <w:r>
        <w:rPr>
          <w:color w:val="231F20"/>
          <w:w w:val="110"/>
          <w:sz w:val="18"/>
        </w:rPr>
        <w:t>singular</w:t>
      </w:r>
      <w:r>
        <w:rPr>
          <w:color w:val="231F20"/>
          <w:spacing w:val="-21"/>
          <w:w w:val="110"/>
          <w:sz w:val="18"/>
        </w:rPr>
        <w:t> </w:t>
      </w:r>
      <w:r>
        <w:rPr>
          <w:color w:val="231F20"/>
          <w:w w:val="110"/>
          <w:sz w:val="18"/>
        </w:rPr>
        <w:t>de</w:t>
      </w:r>
      <w:r>
        <w:rPr>
          <w:color w:val="231F20"/>
          <w:w w:val="114"/>
          <w:sz w:val="18"/>
        </w:rPr>
        <w:t> </w:t>
      </w:r>
      <w:r>
        <w:rPr>
          <w:color w:val="231F20"/>
          <w:w w:val="110"/>
          <w:sz w:val="18"/>
        </w:rPr>
        <w:t>la</w:t>
      </w:r>
      <w:r>
        <w:rPr>
          <w:color w:val="231F20"/>
          <w:spacing w:val="-9"/>
          <w:w w:val="110"/>
          <w:sz w:val="18"/>
        </w:rPr>
        <w:t> </w:t>
      </w:r>
      <w:r>
        <w:rPr>
          <w:color w:val="231F20"/>
          <w:w w:val="110"/>
          <w:sz w:val="18"/>
        </w:rPr>
        <w:t>potencia</w:t>
      </w:r>
      <w:r>
        <w:rPr>
          <w:color w:val="231F20"/>
          <w:spacing w:val="-9"/>
          <w:w w:val="110"/>
          <w:sz w:val="18"/>
        </w:rPr>
        <w:t> </w:t>
      </w:r>
      <w:r>
        <w:rPr>
          <w:color w:val="231F20"/>
          <w:w w:val="110"/>
          <w:sz w:val="18"/>
        </w:rPr>
        <w:t>hegemónica</w:t>
      </w:r>
      <w:r>
        <w:rPr>
          <w:color w:val="231F20"/>
          <w:spacing w:val="-9"/>
          <w:w w:val="110"/>
          <w:sz w:val="18"/>
        </w:rPr>
        <w:t> </w:t>
      </w:r>
      <w:r>
        <w:rPr>
          <w:color w:val="231F20"/>
          <w:w w:val="110"/>
          <w:sz w:val="18"/>
        </w:rPr>
        <w:t>americana”,</w:t>
      </w:r>
      <w:r>
        <w:rPr>
          <w:color w:val="231F20"/>
          <w:spacing w:val="-9"/>
          <w:w w:val="110"/>
          <w:sz w:val="18"/>
        </w:rPr>
        <w:t> </w:t>
      </w:r>
      <w:r>
        <w:rPr>
          <w:color w:val="231F20"/>
          <w:w w:val="110"/>
          <w:sz w:val="18"/>
        </w:rPr>
        <w:t>en</w:t>
      </w:r>
      <w:r>
        <w:rPr>
          <w:color w:val="231F20"/>
          <w:spacing w:val="-9"/>
          <w:w w:val="110"/>
          <w:sz w:val="18"/>
        </w:rPr>
        <w:t> F. </w:t>
      </w:r>
      <w:r>
        <w:rPr>
          <w:color w:val="231F20"/>
          <w:w w:val="110"/>
          <w:sz w:val="18"/>
        </w:rPr>
        <w:t>Chesnais,</w:t>
      </w:r>
      <w:r>
        <w:rPr>
          <w:color w:val="231F20"/>
          <w:spacing w:val="-9"/>
          <w:w w:val="110"/>
          <w:sz w:val="18"/>
        </w:rPr>
        <w:t> </w:t>
      </w:r>
      <w:r>
        <w:rPr>
          <w:color w:val="231F20"/>
          <w:w w:val="110"/>
          <w:sz w:val="18"/>
        </w:rPr>
        <w:t>G.</w:t>
      </w:r>
      <w:r>
        <w:rPr>
          <w:color w:val="231F20"/>
          <w:spacing w:val="-9"/>
          <w:w w:val="110"/>
          <w:sz w:val="18"/>
        </w:rPr>
        <w:t> </w:t>
      </w:r>
      <w:r>
        <w:rPr>
          <w:color w:val="231F20"/>
          <w:w w:val="110"/>
          <w:sz w:val="18"/>
        </w:rPr>
        <w:t>Dumenil,</w:t>
      </w:r>
      <w:r>
        <w:rPr>
          <w:color w:val="231F20"/>
          <w:spacing w:val="-9"/>
          <w:w w:val="110"/>
          <w:sz w:val="18"/>
        </w:rPr>
        <w:t> </w:t>
      </w:r>
      <w:r>
        <w:rPr>
          <w:color w:val="231F20"/>
          <w:w w:val="110"/>
          <w:sz w:val="18"/>
        </w:rPr>
        <w:t>D.</w:t>
      </w:r>
      <w:r>
        <w:rPr>
          <w:color w:val="231F20"/>
          <w:spacing w:val="-9"/>
          <w:w w:val="110"/>
          <w:sz w:val="18"/>
        </w:rPr>
        <w:t> </w:t>
      </w:r>
      <w:r>
        <w:rPr>
          <w:color w:val="231F20"/>
          <w:w w:val="110"/>
          <w:sz w:val="18"/>
        </w:rPr>
        <w:t>Lévy</w:t>
      </w:r>
    </w:p>
    <w:p>
      <w:pPr>
        <w:spacing w:after="0" w:line="254" w:lineRule="auto"/>
        <w:jc w:val="left"/>
        <w:rPr>
          <w:sz w:val="18"/>
        </w:rPr>
        <w:sectPr>
          <w:pgSz w:w="7640" w:h="11900"/>
          <w:pgMar w:header="672" w:footer="0" w:top="860" w:bottom="280" w:left="780" w:right="640"/>
        </w:sectPr>
      </w:pPr>
    </w:p>
    <w:p>
      <w:pPr>
        <w:pStyle w:val="BodyText"/>
        <w:spacing w:before="8"/>
        <w:rPr>
          <w:sz w:val="8"/>
        </w:rPr>
      </w:pPr>
    </w:p>
    <w:p>
      <w:pPr>
        <w:spacing w:line="254" w:lineRule="auto" w:before="71"/>
        <w:ind w:left="340" w:right="25" w:firstLine="0"/>
        <w:jc w:val="left"/>
        <w:rPr>
          <w:sz w:val="18"/>
        </w:rPr>
      </w:pPr>
      <w:r>
        <w:rPr>
          <w:color w:val="231F20"/>
          <w:sz w:val="18"/>
        </w:rPr>
        <w:t>e I. Wallestein, </w:t>
      </w:r>
      <w:r>
        <w:rPr>
          <w:i/>
          <w:color w:val="231F20"/>
          <w:sz w:val="18"/>
        </w:rPr>
        <w:t>La globalización y su crisis</w:t>
      </w:r>
      <w:r>
        <w:rPr>
          <w:color w:val="231F20"/>
          <w:sz w:val="18"/>
        </w:rPr>
        <w:t>, </w:t>
      </w:r>
      <w:r>
        <w:rPr>
          <w:i/>
          <w:color w:val="231F20"/>
          <w:sz w:val="18"/>
        </w:rPr>
        <w:t>interpretaciones desde la economía </w:t>
      </w:r>
      <w:r>
        <w:rPr>
          <w:i/>
          <w:color w:val="231F20"/>
          <w:sz w:val="18"/>
        </w:rPr>
        <w:t>crítica</w:t>
      </w:r>
      <w:r>
        <w:rPr>
          <w:color w:val="231F20"/>
          <w:sz w:val="18"/>
        </w:rPr>
        <w:t>,  Madrid,  Catarata.</w:t>
      </w:r>
    </w:p>
    <w:p>
      <w:pPr>
        <w:spacing w:line="254" w:lineRule="auto" w:before="1"/>
        <w:ind w:left="340" w:right="108" w:hanging="240"/>
        <w:jc w:val="left"/>
        <w:rPr>
          <w:sz w:val="18"/>
        </w:rPr>
      </w:pPr>
      <w:r>
        <w:rPr>
          <w:i/>
          <w:color w:val="231F20"/>
          <w:w w:val="110"/>
          <w:sz w:val="18"/>
        </w:rPr>
        <w:t>El</w:t>
      </w:r>
      <w:r>
        <w:rPr>
          <w:i/>
          <w:color w:val="231F20"/>
          <w:spacing w:val="-35"/>
          <w:w w:val="110"/>
          <w:sz w:val="18"/>
        </w:rPr>
        <w:t> </w:t>
      </w:r>
      <w:r>
        <w:rPr>
          <w:i/>
          <w:color w:val="231F20"/>
          <w:w w:val="110"/>
          <w:sz w:val="18"/>
        </w:rPr>
        <w:t>país</w:t>
      </w:r>
      <w:r>
        <w:rPr>
          <w:i/>
          <w:color w:val="231F20"/>
          <w:spacing w:val="-35"/>
          <w:w w:val="110"/>
          <w:sz w:val="18"/>
        </w:rPr>
        <w:t> </w:t>
      </w:r>
      <w:r>
        <w:rPr>
          <w:i/>
          <w:color w:val="231F20"/>
          <w:w w:val="110"/>
          <w:sz w:val="18"/>
        </w:rPr>
        <w:t>en</w:t>
      </w:r>
      <w:r>
        <w:rPr>
          <w:i/>
          <w:color w:val="231F20"/>
          <w:spacing w:val="-35"/>
          <w:w w:val="110"/>
          <w:sz w:val="18"/>
        </w:rPr>
        <w:t> </w:t>
      </w:r>
      <w:r>
        <w:rPr>
          <w:i/>
          <w:color w:val="231F20"/>
          <w:w w:val="110"/>
          <w:sz w:val="18"/>
        </w:rPr>
        <w:t>línea</w:t>
      </w:r>
      <w:r>
        <w:rPr>
          <w:color w:val="231F20"/>
          <w:w w:val="110"/>
          <w:sz w:val="18"/>
        </w:rPr>
        <w:t>,</w:t>
      </w:r>
      <w:r>
        <w:rPr>
          <w:color w:val="231F20"/>
          <w:spacing w:val="-35"/>
          <w:w w:val="110"/>
          <w:sz w:val="18"/>
        </w:rPr>
        <w:t> </w:t>
      </w:r>
      <w:r>
        <w:rPr>
          <w:color w:val="231F20"/>
          <w:w w:val="110"/>
          <w:sz w:val="18"/>
        </w:rPr>
        <w:t>2010,</w:t>
      </w:r>
      <w:r>
        <w:rPr>
          <w:color w:val="231F20"/>
          <w:spacing w:val="-35"/>
          <w:w w:val="110"/>
          <w:sz w:val="18"/>
        </w:rPr>
        <w:t> </w:t>
      </w:r>
      <w:r>
        <w:rPr>
          <w:i/>
          <w:color w:val="231F20"/>
          <w:w w:val="110"/>
          <w:sz w:val="18"/>
        </w:rPr>
        <w:t>“</w:t>
      </w:r>
      <w:r>
        <w:rPr>
          <w:color w:val="231F20"/>
          <w:w w:val="110"/>
          <w:sz w:val="18"/>
        </w:rPr>
        <w:t>Plan</w:t>
      </w:r>
      <w:r>
        <w:rPr>
          <w:color w:val="231F20"/>
          <w:spacing w:val="-35"/>
          <w:w w:val="110"/>
          <w:sz w:val="18"/>
        </w:rPr>
        <w:t> </w:t>
      </w:r>
      <w:r>
        <w:rPr>
          <w:color w:val="231F20"/>
          <w:w w:val="110"/>
          <w:sz w:val="18"/>
        </w:rPr>
        <w:t>de</w:t>
      </w:r>
      <w:r>
        <w:rPr>
          <w:color w:val="231F20"/>
          <w:spacing w:val="-35"/>
          <w:w w:val="110"/>
          <w:sz w:val="18"/>
        </w:rPr>
        <w:t> </w:t>
      </w:r>
      <w:r>
        <w:rPr>
          <w:color w:val="231F20"/>
          <w:w w:val="110"/>
          <w:sz w:val="18"/>
        </w:rPr>
        <w:t>choque</w:t>
      </w:r>
      <w:r>
        <w:rPr>
          <w:color w:val="231F20"/>
          <w:spacing w:val="-35"/>
          <w:w w:val="110"/>
          <w:sz w:val="18"/>
        </w:rPr>
        <w:t> </w:t>
      </w:r>
      <w:r>
        <w:rPr>
          <w:color w:val="231F20"/>
          <w:w w:val="110"/>
          <w:sz w:val="18"/>
        </w:rPr>
        <w:t>de</w:t>
      </w:r>
      <w:r>
        <w:rPr>
          <w:color w:val="231F20"/>
          <w:spacing w:val="-35"/>
          <w:w w:val="110"/>
          <w:sz w:val="18"/>
        </w:rPr>
        <w:t> </w:t>
      </w:r>
      <w:r>
        <w:rPr>
          <w:color w:val="231F20"/>
          <w:w w:val="110"/>
          <w:sz w:val="18"/>
        </w:rPr>
        <w:t>Zapatero”,</w:t>
      </w:r>
      <w:r>
        <w:rPr>
          <w:color w:val="231F20"/>
          <w:spacing w:val="-35"/>
          <w:w w:val="110"/>
          <w:sz w:val="18"/>
        </w:rPr>
        <w:t> </w:t>
      </w:r>
      <w:hyperlink r:id="rId133">
        <w:r>
          <w:rPr>
            <w:color w:val="231F20"/>
            <w:w w:val="110"/>
            <w:sz w:val="18"/>
          </w:rPr>
          <w:t>&lt;www.elpais.com/articu</w:t>
        </w:r>
      </w:hyperlink>
      <w:r>
        <w:rPr>
          <w:color w:val="231F20"/>
          <w:w w:val="110"/>
          <w:sz w:val="18"/>
        </w:rPr>
        <w:t>- lo/espana/Zapatero/da/vuelco/estrategia/recorte/sueldos/publicos/ precedentes/elpepunac/20100513elpepinac_1/Tes&gt;,  13  de</w:t>
      </w:r>
      <w:r>
        <w:rPr>
          <w:color w:val="231F20"/>
          <w:spacing w:val="-18"/>
          <w:w w:val="110"/>
          <w:sz w:val="18"/>
        </w:rPr>
        <w:t> </w:t>
      </w:r>
      <w:r>
        <w:rPr>
          <w:color w:val="231F20"/>
          <w:w w:val="110"/>
          <w:sz w:val="18"/>
        </w:rPr>
        <w:t>mayo.</w:t>
      </w:r>
    </w:p>
    <w:p>
      <w:pPr>
        <w:spacing w:line="254" w:lineRule="auto" w:before="1"/>
        <w:ind w:left="340" w:right="108" w:hanging="240"/>
        <w:jc w:val="left"/>
        <w:rPr>
          <w:sz w:val="18"/>
        </w:rPr>
      </w:pPr>
      <w:r>
        <w:rPr>
          <w:color w:val="231F20"/>
          <w:w w:val="115"/>
          <w:sz w:val="18"/>
        </w:rPr>
        <w:t>fmi,</w:t>
      </w:r>
      <w:r>
        <w:rPr>
          <w:color w:val="231F20"/>
          <w:spacing w:val="-32"/>
          <w:w w:val="115"/>
          <w:sz w:val="18"/>
        </w:rPr>
        <w:t> </w:t>
      </w:r>
      <w:r>
        <w:rPr>
          <w:color w:val="231F20"/>
          <w:w w:val="115"/>
          <w:sz w:val="18"/>
        </w:rPr>
        <w:t>2010,</w:t>
      </w:r>
      <w:r>
        <w:rPr>
          <w:color w:val="231F20"/>
          <w:spacing w:val="-32"/>
          <w:w w:val="115"/>
          <w:sz w:val="18"/>
        </w:rPr>
        <w:t> </w:t>
      </w:r>
      <w:r>
        <w:rPr>
          <w:color w:val="231F20"/>
          <w:w w:val="115"/>
          <w:sz w:val="18"/>
        </w:rPr>
        <w:t>Comunicado</w:t>
      </w:r>
      <w:r>
        <w:rPr>
          <w:color w:val="231F20"/>
          <w:spacing w:val="-32"/>
          <w:w w:val="115"/>
          <w:sz w:val="18"/>
        </w:rPr>
        <w:t> </w:t>
      </w:r>
      <w:r>
        <w:rPr>
          <w:color w:val="231F20"/>
          <w:w w:val="115"/>
          <w:sz w:val="18"/>
        </w:rPr>
        <w:t>de</w:t>
      </w:r>
      <w:r>
        <w:rPr>
          <w:color w:val="231F20"/>
          <w:spacing w:val="-32"/>
          <w:w w:val="115"/>
          <w:sz w:val="18"/>
        </w:rPr>
        <w:t> </w:t>
      </w:r>
      <w:r>
        <w:rPr>
          <w:color w:val="231F20"/>
          <w:w w:val="115"/>
          <w:sz w:val="18"/>
        </w:rPr>
        <w:t>prensa,</w:t>
      </w:r>
      <w:r>
        <w:rPr>
          <w:color w:val="231F20"/>
          <w:spacing w:val="-32"/>
          <w:w w:val="115"/>
          <w:sz w:val="18"/>
        </w:rPr>
        <w:t> </w:t>
      </w:r>
      <w:r>
        <w:rPr>
          <w:color w:val="231F20"/>
          <w:w w:val="115"/>
          <w:sz w:val="18"/>
        </w:rPr>
        <w:t>núm.</w:t>
      </w:r>
      <w:r>
        <w:rPr>
          <w:color w:val="231F20"/>
          <w:spacing w:val="-32"/>
          <w:w w:val="115"/>
          <w:sz w:val="18"/>
        </w:rPr>
        <w:t> </w:t>
      </w:r>
      <w:r>
        <w:rPr>
          <w:color w:val="231F20"/>
          <w:w w:val="115"/>
          <w:sz w:val="18"/>
        </w:rPr>
        <w:t>10/87</w:t>
      </w:r>
      <w:r>
        <w:rPr>
          <w:color w:val="231F20"/>
          <w:spacing w:val="-32"/>
          <w:w w:val="115"/>
          <w:sz w:val="18"/>
        </w:rPr>
        <w:t> </w:t>
      </w:r>
      <w:r>
        <w:rPr>
          <w:color w:val="231F20"/>
          <w:w w:val="115"/>
          <w:sz w:val="18"/>
        </w:rPr>
        <w:t>(S),</w:t>
      </w:r>
      <w:r>
        <w:rPr>
          <w:color w:val="231F20"/>
          <w:spacing w:val="-32"/>
          <w:w w:val="115"/>
          <w:sz w:val="18"/>
        </w:rPr>
        <w:t> </w:t>
      </w:r>
      <w:r>
        <w:rPr>
          <w:color w:val="231F20"/>
          <w:w w:val="115"/>
          <w:sz w:val="18"/>
        </w:rPr>
        <w:t>en</w:t>
      </w:r>
      <w:r>
        <w:rPr>
          <w:color w:val="231F20"/>
          <w:spacing w:val="-32"/>
          <w:w w:val="115"/>
          <w:sz w:val="18"/>
        </w:rPr>
        <w:t> </w:t>
      </w:r>
      <w:hyperlink r:id="rId134">
        <w:r>
          <w:rPr>
            <w:color w:val="231F20"/>
            <w:w w:val="115"/>
            <w:sz w:val="18"/>
          </w:rPr>
          <w:t>&lt;www.imf.org/exter</w:t>
        </w:r>
      </w:hyperlink>
      <w:r>
        <w:rPr>
          <w:color w:val="231F20"/>
          <w:w w:val="115"/>
          <w:sz w:val="18"/>
        </w:rPr>
        <w:t>- nal/spanish/np/sec/pr/2010/pr10187s.htm&gt;, 9 de</w:t>
      </w:r>
      <w:r>
        <w:rPr>
          <w:color w:val="231F20"/>
          <w:spacing w:val="45"/>
          <w:w w:val="115"/>
          <w:sz w:val="18"/>
        </w:rPr>
        <w:t> </w:t>
      </w:r>
      <w:r>
        <w:rPr>
          <w:color w:val="231F20"/>
          <w:w w:val="115"/>
          <w:sz w:val="18"/>
        </w:rPr>
        <w:t>mayo.</w:t>
      </w:r>
    </w:p>
    <w:p>
      <w:pPr>
        <w:tabs>
          <w:tab w:pos="459" w:val="left" w:leader="none"/>
        </w:tabs>
        <w:spacing w:line="254" w:lineRule="auto" w:before="1"/>
        <w:ind w:left="340" w:right="119" w:hanging="240"/>
        <w:jc w:val="left"/>
        <w:rPr>
          <w:sz w:val="18"/>
        </w:rPr>
      </w:pPr>
      <w:r>
        <w:rPr>
          <w:color w:val="231F20"/>
          <w:w w:val="104"/>
          <w:sz w:val="18"/>
          <w:u w:val="single" w:color="221E1F"/>
        </w:rPr>
        <w:t> </w:t>
      </w:r>
      <w:r>
        <w:rPr>
          <w:color w:val="231F20"/>
          <w:sz w:val="18"/>
          <w:u w:val="single" w:color="221E1F"/>
        </w:rPr>
        <w:tab/>
        <w:tab/>
      </w:r>
      <w:r>
        <w:rPr>
          <w:color w:val="231F20"/>
          <w:w w:val="110"/>
          <w:sz w:val="18"/>
        </w:rPr>
        <w:t>,</w:t>
      </w:r>
      <w:r>
        <w:rPr>
          <w:color w:val="231F20"/>
          <w:spacing w:val="-11"/>
          <w:w w:val="110"/>
          <w:sz w:val="18"/>
        </w:rPr>
        <w:t> </w:t>
      </w:r>
      <w:r>
        <w:rPr>
          <w:color w:val="231F20"/>
          <w:w w:val="110"/>
          <w:sz w:val="18"/>
        </w:rPr>
        <w:t>2010,</w:t>
      </w:r>
      <w:r>
        <w:rPr>
          <w:color w:val="231F20"/>
          <w:spacing w:val="-11"/>
          <w:w w:val="110"/>
          <w:sz w:val="18"/>
        </w:rPr>
        <w:t> </w:t>
      </w:r>
      <w:r>
        <w:rPr>
          <w:color w:val="231F20"/>
          <w:w w:val="110"/>
          <w:sz w:val="18"/>
        </w:rPr>
        <w:t>Comunicado</w:t>
      </w:r>
      <w:r>
        <w:rPr>
          <w:color w:val="231F20"/>
          <w:spacing w:val="-12"/>
          <w:w w:val="110"/>
          <w:sz w:val="18"/>
        </w:rPr>
        <w:t> </w:t>
      </w:r>
      <w:r>
        <w:rPr>
          <w:color w:val="231F20"/>
          <w:w w:val="110"/>
          <w:sz w:val="18"/>
        </w:rPr>
        <w:t>de</w:t>
      </w:r>
      <w:r>
        <w:rPr>
          <w:color w:val="231F20"/>
          <w:spacing w:val="-11"/>
          <w:w w:val="110"/>
          <w:sz w:val="18"/>
        </w:rPr>
        <w:t> </w:t>
      </w:r>
      <w:r>
        <w:rPr>
          <w:color w:val="231F20"/>
          <w:w w:val="110"/>
          <w:sz w:val="18"/>
        </w:rPr>
        <w:t>prensa,</w:t>
      </w:r>
      <w:r>
        <w:rPr>
          <w:color w:val="231F20"/>
          <w:spacing w:val="-11"/>
          <w:w w:val="110"/>
          <w:sz w:val="18"/>
        </w:rPr>
        <w:t> </w:t>
      </w:r>
      <w:r>
        <w:rPr>
          <w:color w:val="231F20"/>
          <w:w w:val="110"/>
          <w:sz w:val="18"/>
        </w:rPr>
        <w:t>núm.</w:t>
      </w:r>
      <w:r>
        <w:rPr>
          <w:color w:val="231F20"/>
          <w:spacing w:val="-12"/>
          <w:w w:val="110"/>
          <w:sz w:val="18"/>
        </w:rPr>
        <w:t> </w:t>
      </w:r>
      <w:r>
        <w:rPr>
          <w:color w:val="231F20"/>
          <w:w w:val="110"/>
          <w:sz w:val="18"/>
        </w:rPr>
        <w:t>10/87</w:t>
      </w:r>
      <w:r>
        <w:rPr>
          <w:color w:val="231F20"/>
          <w:spacing w:val="-11"/>
          <w:w w:val="110"/>
          <w:sz w:val="18"/>
        </w:rPr>
        <w:t> </w:t>
      </w:r>
      <w:r>
        <w:rPr>
          <w:color w:val="231F20"/>
          <w:w w:val="110"/>
          <w:sz w:val="18"/>
        </w:rPr>
        <w:t>(S),</w:t>
      </w:r>
      <w:r>
        <w:rPr>
          <w:color w:val="231F20"/>
          <w:spacing w:val="-11"/>
          <w:w w:val="110"/>
          <w:sz w:val="18"/>
        </w:rPr>
        <w:t> </w:t>
      </w:r>
      <w:r>
        <w:rPr>
          <w:color w:val="231F20"/>
          <w:w w:val="110"/>
          <w:sz w:val="18"/>
        </w:rPr>
        <w:t>en</w:t>
      </w:r>
      <w:r>
        <w:rPr>
          <w:color w:val="231F20"/>
          <w:spacing w:val="-11"/>
          <w:w w:val="110"/>
          <w:sz w:val="18"/>
        </w:rPr>
        <w:t> </w:t>
      </w:r>
      <w:hyperlink r:id="rId134">
        <w:r>
          <w:rPr>
            <w:color w:val="231F20"/>
            <w:w w:val="110"/>
            <w:sz w:val="18"/>
          </w:rPr>
          <w:t>&lt;www.imf.org/exter</w:t>
        </w:r>
      </w:hyperlink>
      <w:r>
        <w:rPr>
          <w:color w:val="231F20"/>
          <w:w w:val="110"/>
          <w:sz w:val="18"/>
        </w:rPr>
        <w:t>-</w:t>
      </w:r>
      <w:r>
        <w:rPr>
          <w:color w:val="231F20"/>
          <w:w w:val="72"/>
          <w:sz w:val="18"/>
        </w:rPr>
        <w:t> </w:t>
      </w:r>
      <w:r>
        <w:rPr>
          <w:color w:val="231F20"/>
          <w:w w:val="115"/>
          <w:sz w:val="18"/>
        </w:rPr>
        <w:t>nal/spanish/np/sec/pr/2010/pr10187s.htm&gt;, 9 de</w:t>
      </w:r>
      <w:r>
        <w:rPr>
          <w:color w:val="231F20"/>
          <w:spacing w:val="46"/>
          <w:w w:val="115"/>
          <w:sz w:val="18"/>
        </w:rPr>
        <w:t> </w:t>
      </w:r>
      <w:r>
        <w:rPr>
          <w:color w:val="231F20"/>
          <w:w w:val="115"/>
          <w:sz w:val="18"/>
        </w:rPr>
        <w:t>mayo.</w:t>
      </w:r>
    </w:p>
    <w:p>
      <w:pPr>
        <w:spacing w:line="254" w:lineRule="auto" w:before="1"/>
        <w:ind w:left="340" w:right="25" w:hanging="240"/>
        <w:jc w:val="left"/>
        <w:rPr>
          <w:sz w:val="18"/>
        </w:rPr>
      </w:pPr>
      <w:r>
        <w:rPr>
          <w:color w:val="231F20"/>
          <w:w w:val="105"/>
          <w:sz w:val="18"/>
        </w:rPr>
        <w:t>Harman, Chris, “Los trabajadores en el mundo (Parte I)”, en </w:t>
      </w:r>
      <w:hyperlink r:id="rId135">
        <w:r>
          <w:rPr>
            <w:color w:val="231F20"/>
            <w:w w:val="105"/>
            <w:sz w:val="18"/>
          </w:rPr>
          <w:t>&lt;www.ft.org.</w:t>
        </w:r>
      </w:hyperlink>
      <w:r>
        <w:rPr>
          <w:color w:val="231F20"/>
          <w:w w:val="105"/>
          <w:sz w:val="18"/>
        </w:rPr>
        <w:t> ar/Notas.asp?ID=1597&gt;.</w:t>
      </w:r>
    </w:p>
    <w:p>
      <w:pPr>
        <w:spacing w:line="254" w:lineRule="auto" w:before="1"/>
        <w:ind w:left="340" w:right="103" w:hanging="240"/>
        <w:jc w:val="left"/>
        <w:rPr>
          <w:sz w:val="18"/>
        </w:rPr>
      </w:pPr>
      <w:r>
        <w:rPr>
          <w:color w:val="231F20"/>
          <w:sz w:val="18"/>
        </w:rPr>
        <w:t>Harvey, David, 2004, </w:t>
      </w:r>
      <w:r>
        <w:rPr>
          <w:i/>
          <w:color w:val="231F20"/>
          <w:sz w:val="18"/>
        </w:rPr>
        <w:t>La condición de la posmodernidad</w:t>
      </w:r>
      <w:r>
        <w:rPr>
          <w:color w:val="231F20"/>
          <w:sz w:val="18"/>
        </w:rPr>
        <w:t>, Buenos Aires, Amo- rrortu    Editores.</w:t>
      </w:r>
    </w:p>
    <w:p>
      <w:pPr>
        <w:spacing w:line="254" w:lineRule="auto" w:before="1"/>
        <w:ind w:left="340" w:right="24" w:hanging="240"/>
        <w:jc w:val="left"/>
        <w:rPr>
          <w:sz w:val="18"/>
        </w:rPr>
      </w:pPr>
      <w:r>
        <w:rPr>
          <w:color w:val="231F20"/>
          <w:w w:val="110"/>
          <w:sz w:val="18"/>
        </w:rPr>
        <w:t>Informe iar Noticias, 2010, “Se vislumbra la crisis social. “Pobreza y des- empleo en Europa: La UE planea profundizar los ajustes”, &lt;www.iarnoti- cias.com/2010/secciones/europa/0055_crisis_social_europa_21jul2010. html&gt; 22 de julio.</w:t>
      </w:r>
    </w:p>
    <w:p>
      <w:pPr>
        <w:spacing w:line="254" w:lineRule="auto" w:before="1"/>
        <w:ind w:left="340" w:right="25" w:hanging="240"/>
        <w:jc w:val="left"/>
        <w:rPr>
          <w:sz w:val="18"/>
        </w:rPr>
      </w:pPr>
      <w:r>
        <w:rPr>
          <w:i/>
          <w:color w:val="231F20"/>
          <w:w w:val="110"/>
          <w:sz w:val="18"/>
        </w:rPr>
        <w:t>La Jornada</w:t>
      </w:r>
      <w:r>
        <w:rPr>
          <w:color w:val="231F20"/>
          <w:w w:val="110"/>
          <w:sz w:val="18"/>
        </w:rPr>
        <w:t>, 2008, “Costará 100 mil mdd el rescate de gigantes hipotecarias en EU”, 15 de julio.</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10"/>
          <w:sz w:val="18"/>
        </w:rPr>
        <w:t>,</w:t>
      </w:r>
      <w:r>
        <w:rPr>
          <w:color w:val="231F20"/>
          <w:spacing w:val="-9"/>
          <w:w w:val="110"/>
          <w:sz w:val="18"/>
        </w:rPr>
        <w:t> </w:t>
      </w:r>
      <w:r>
        <w:rPr>
          <w:color w:val="231F20"/>
          <w:w w:val="110"/>
          <w:sz w:val="18"/>
        </w:rPr>
        <w:t>2010,</w:t>
      </w:r>
      <w:r>
        <w:rPr>
          <w:color w:val="231F20"/>
          <w:spacing w:val="-9"/>
          <w:w w:val="110"/>
          <w:sz w:val="18"/>
        </w:rPr>
        <w:t> </w:t>
      </w:r>
      <w:r>
        <w:rPr>
          <w:color w:val="231F20"/>
          <w:w w:val="110"/>
          <w:sz w:val="18"/>
        </w:rPr>
        <w:t>“</w:t>
      </w:r>
      <w:r>
        <w:rPr>
          <w:i/>
          <w:color w:val="231F20"/>
          <w:w w:val="110"/>
          <w:sz w:val="18"/>
        </w:rPr>
        <w:t>Salvavidas</w:t>
      </w:r>
      <w:r>
        <w:rPr>
          <w:i/>
          <w:color w:val="231F20"/>
          <w:spacing w:val="-9"/>
          <w:w w:val="110"/>
          <w:sz w:val="18"/>
        </w:rPr>
        <w:t> </w:t>
      </w:r>
      <w:r>
        <w:rPr>
          <w:color w:val="231F20"/>
          <w:w w:val="110"/>
          <w:sz w:val="18"/>
        </w:rPr>
        <w:t>a</w:t>
      </w:r>
      <w:r>
        <w:rPr>
          <w:color w:val="231F20"/>
          <w:spacing w:val="-9"/>
          <w:w w:val="110"/>
          <w:sz w:val="18"/>
        </w:rPr>
        <w:t> </w:t>
      </w:r>
      <w:r>
        <w:rPr>
          <w:color w:val="231F20"/>
          <w:w w:val="110"/>
          <w:sz w:val="18"/>
        </w:rPr>
        <w:t>Grecia</w:t>
      </w:r>
      <w:r>
        <w:rPr>
          <w:color w:val="231F20"/>
          <w:spacing w:val="-9"/>
          <w:w w:val="110"/>
          <w:sz w:val="18"/>
        </w:rPr>
        <w:t> </w:t>
      </w:r>
      <w:r>
        <w:rPr>
          <w:color w:val="231F20"/>
          <w:w w:val="110"/>
          <w:sz w:val="18"/>
        </w:rPr>
        <w:t>por</w:t>
      </w:r>
      <w:r>
        <w:rPr>
          <w:color w:val="231F20"/>
          <w:spacing w:val="-9"/>
          <w:w w:val="110"/>
          <w:sz w:val="18"/>
        </w:rPr>
        <w:t> </w:t>
      </w:r>
      <w:r>
        <w:rPr>
          <w:color w:val="231F20"/>
          <w:w w:val="110"/>
          <w:sz w:val="18"/>
        </w:rPr>
        <w:t>110</w:t>
      </w:r>
      <w:r>
        <w:rPr>
          <w:color w:val="231F20"/>
          <w:spacing w:val="-9"/>
          <w:w w:val="110"/>
          <w:sz w:val="18"/>
        </w:rPr>
        <w:t> </w:t>
      </w:r>
      <w:r>
        <w:rPr>
          <w:color w:val="231F20"/>
          <w:w w:val="110"/>
          <w:sz w:val="18"/>
        </w:rPr>
        <w:t>mil</w:t>
      </w:r>
      <w:r>
        <w:rPr>
          <w:color w:val="231F20"/>
          <w:spacing w:val="-9"/>
          <w:w w:val="110"/>
          <w:sz w:val="18"/>
        </w:rPr>
        <w:t> </w:t>
      </w:r>
      <w:r>
        <w:rPr>
          <w:color w:val="231F20"/>
          <w:w w:val="110"/>
          <w:sz w:val="18"/>
        </w:rPr>
        <w:t>millones</w:t>
      </w:r>
      <w:r>
        <w:rPr>
          <w:color w:val="231F20"/>
          <w:spacing w:val="-9"/>
          <w:w w:val="110"/>
          <w:sz w:val="18"/>
        </w:rPr>
        <w:t> </w:t>
      </w:r>
      <w:r>
        <w:rPr>
          <w:color w:val="231F20"/>
          <w:w w:val="110"/>
          <w:sz w:val="18"/>
        </w:rPr>
        <w:t>de</w:t>
      </w:r>
      <w:r>
        <w:rPr>
          <w:color w:val="231F20"/>
          <w:spacing w:val="-9"/>
          <w:w w:val="110"/>
          <w:sz w:val="18"/>
        </w:rPr>
        <w:t> </w:t>
      </w:r>
      <w:r>
        <w:rPr>
          <w:color w:val="231F20"/>
          <w:w w:val="110"/>
          <w:sz w:val="18"/>
        </w:rPr>
        <w:t>euros”,</w:t>
      </w:r>
      <w:r>
        <w:rPr>
          <w:color w:val="231F20"/>
          <w:spacing w:val="-9"/>
          <w:w w:val="110"/>
          <w:sz w:val="18"/>
        </w:rPr>
        <w:t> </w:t>
      </w:r>
      <w:r>
        <w:rPr>
          <w:color w:val="231F20"/>
          <w:w w:val="110"/>
          <w:sz w:val="18"/>
        </w:rPr>
        <w:t>8</w:t>
      </w:r>
      <w:r>
        <w:rPr>
          <w:color w:val="231F20"/>
          <w:spacing w:val="-9"/>
          <w:w w:val="110"/>
          <w:sz w:val="18"/>
        </w:rPr>
        <w:t> </w:t>
      </w:r>
      <w:r>
        <w:rPr>
          <w:color w:val="231F20"/>
          <w:w w:val="110"/>
          <w:sz w:val="18"/>
        </w:rPr>
        <w:t>de</w:t>
      </w:r>
      <w:r>
        <w:rPr>
          <w:color w:val="231F20"/>
          <w:spacing w:val="-9"/>
          <w:w w:val="110"/>
          <w:sz w:val="18"/>
        </w:rPr>
        <w:t> </w:t>
      </w:r>
      <w:r>
        <w:rPr>
          <w:color w:val="231F20"/>
          <w:w w:val="110"/>
          <w:sz w:val="18"/>
        </w:rPr>
        <w:t>mayo.</w:t>
      </w:r>
    </w:p>
    <w:p>
      <w:pPr>
        <w:tabs>
          <w:tab w:pos="459" w:val="left" w:leader="none"/>
        </w:tabs>
        <w:spacing w:line="254" w:lineRule="auto" w:before="13"/>
        <w:ind w:left="340" w:right="117" w:hanging="240"/>
        <w:jc w:val="left"/>
        <w:rPr>
          <w:sz w:val="18"/>
        </w:rPr>
      </w:pPr>
      <w:r>
        <w:rPr>
          <w:color w:val="231F20"/>
          <w:w w:val="104"/>
          <w:sz w:val="18"/>
          <w:u w:val="single" w:color="221E1F"/>
        </w:rPr>
        <w:t> </w:t>
      </w:r>
      <w:r>
        <w:rPr>
          <w:color w:val="231F20"/>
          <w:sz w:val="18"/>
          <w:u w:val="single" w:color="221E1F"/>
        </w:rPr>
        <w:tab/>
        <w:tab/>
      </w:r>
      <w:r>
        <w:rPr>
          <w:color w:val="231F20"/>
          <w:w w:val="110"/>
          <w:sz w:val="18"/>
        </w:rPr>
        <w:t>,</w:t>
      </w:r>
      <w:r>
        <w:rPr>
          <w:color w:val="231F20"/>
          <w:spacing w:val="-18"/>
          <w:w w:val="110"/>
          <w:sz w:val="18"/>
        </w:rPr>
        <w:t> </w:t>
      </w:r>
      <w:r>
        <w:rPr>
          <w:color w:val="231F20"/>
          <w:w w:val="110"/>
          <w:sz w:val="18"/>
        </w:rPr>
        <w:t>2010,</w:t>
      </w:r>
      <w:r>
        <w:rPr>
          <w:color w:val="231F20"/>
          <w:spacing w:val="-18"/>
          <w:w w:val="110"/>
          <w:sz w:val="18"/>
        </w:rPr>
        <w:t> </w:t>
      </w:r>
      <w:r>
        <w:rPr>
          <w:color w:val="231F20"/>
          <w:w w:val="110"/>
          <w:sz w:val="18"/>
        </w:rPr>
        <w:t>“Recibe</w:t>
      </w:r>
      <w:r>
        <w:rPr>
          <w:color w:val="231F20"/>
          <w:spacing w:val="-18"/>
          <w:w w:val="110"/>
          <w:sz w:val="18"/>
        </w:rPr>
        <w:t> </w:t>
      </w:r>
      <w:r>
        <w:rPr>
          <w:color w:val="231F20"/>
          <w:w w:val="110"/>
          <w:sz w:val="18"/>
        </w:rPr>
        <w:t>Grecia</w:t>
      </w:r>
      <w:r>
        <w:rPr>
          <w:color w:val="231F20"/>
          <w:spacing w:val="-18"/>
          <w:w w:val="110"/>
          <w:sz w:val="18"/>
        </w:rPr>
        <w:t> </w:t>
      </w:r>
      <w:r>
        <w:rPr>
          <w:color w:val="231F20"/>
          <w:w w:val="110"/>
          <w:sz w:val="18"/>
        </w:rPr>
        <w:t>fondos</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fmi–UE</w:t>
      </w:r>
      <w:r>
        <w:rPr>
          <w:color w:val="231F20"/>
          <w:spacing w:val="-18"/>
          <w:w w:val="110"/>
          <w:sz w:val="18"/>
        </w:rPr>
        <w:t> </w:t>
      </w:r>
      <w:r>
        <w:rPr>
          <w:color w:val="231F20"/>
          <w:w w:val="110"/>
          <w:sz w:val="18"/>
        </w:rPr>
        <w:t>para</w:t>
      </w:r>
      <w:r>
        <w:rPr>
          <w:color w:val="231F20"/>
          <w:spacing w:val="-18"/>
          <w:w w:val="110"/>
          <w:sz w:val="18"/>
        </w:rPr>
        <w:t> </w:t>
      </w:r>
      <w:r>
        <w:rPr>
          <w:color w:val="231F20"/>
          <w:w w:val="110"/>
          <w:sz w:val="18"/>
        </w:rPr>
        <w:t>salvarla</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bancarrota”,</w:t>
      </w:r>
      <w:r>
        <w:rPr>
          <w:color w:val="231F20"/>
          <w:w w:val="109"/>
          <w:sz w:val="18"/>
        </w:rPr>
        <w:t> </w:t>
      </w:r>
      <w:r>
        <w:rPr>
          <w:color w:val="231F20"/>
          <w:w w:val="110"/>
          <w:sz w:val="18"/>
        </w:rPr>
        <w:t>12 de</w:t>
      </w:r>
      <w:r>
        <w:rPr>
          <w:color w:val="231F20"/>
          <w:spacing w:val="-12"/>
          <w:w w:val="110"/>
          <w:sz w:val="18"/>
        </w:rPr>
        <w:t> </w:t>
      </w:r>
      <w:r>
        <w:rPr>
          <w:color w:val="231F20"/>
          <w:w w:val="110"/>
          <w:sz w:val="18"/>
        </w:rPr>
        <w:t>mayo.</w:t>
      </w:r>
    </w:p>
    <w:p>
      <w:pPr>
        <w:spacing w:before="1"/>
        <w:ind w:left="100" w:right="25" w:firstLine="0"/>
        <w:jc w:val="left"/>
        <w:rPr>
          <w:i/>
          <w:sz w:val="18"/>
        </w:rPr>
      </w:pPr>
      <w:r>
        <w:rPr>
          <w:color w:val="231F20"/>
          <w:sz w:val="18"/>
        </w:rPr>
        <w:t>Marx,</w:t>
      </w:r>
      <w:r>
        <w:rPr>
          <w:color w:val="231F20"/>
          <w:spacing w:val="-15"/>
          <w:sz w:val="18"/>
        </w:rPr>
        <w:t> </w:t>
      </w:r>
      <w:r>
        <w:rPr>
          <w:color w:val="231F20"/>
          <w:sz w:val="18"/>
        </w:rPr>
        <w:t>Carlos,</w:t>
      </w:r>
      <w:r>
        <w:rPr>
          <w:color w:val="231F20"/>
          <w:spacing w:val="-15"/>
          <w:sz w:val="18"/>
        </w:rPr>
        <w:t> </w:t>
      </w:r>
      <w:r>
        <w:rPr>
          <w:color w:val="231F20"/>
          <w:sz w:val="18"/>
        </w:rPr>
        <w:t>1980,</w:t>
      </w:r>
      <w:r>
        <w:rPr>
          <w:color w:val="231F20"/>
          <w:spacing w:val="-15"/>
          <w:sz w:val="18"/>
        </w:rPr>
        <w:t> </w:t>
      </w:r>
      <w:r>
        <w:rPr>
          <w:i/>
          <w:color w:val="231F20"/>
          <w:sz w:val="18"/>
        </w:rPr>
        <w:t>Elementos</w:t>
      </w:r>
      <w:r>
        <w:rPr>
          <w:i/>
          <w:color w:val="231F20"/>
          <w:spacing w:val="-15"/>
          <w:sz w:val="18"/>
        </w:rPr>
        <w:t> </w:t>
      </w:r>
      <w:r>
        <w:rPr>
          <w:i/>
          <w:color w:val="231F20"/>
          <w:sz w:val="18"/>
        </w:rPr>
        <w:t>fundamentales</w:t>
      </w:r>
      <w:r>
        <w:rPr>
          <w:i/>
          <w:color w:val="231F20"/>
          <w:spacing w:val="-15"/>
          <w:sz w:val="18"/>
        </w:rPr>
        <w:t> </w:t>
      </w:r>
      <w:r>
        <w:rPr>
          <w:i/>
          <w:color w:val="231F20"/>
          <w:sz w:val="18"/>
        </w:rPr>
        <w:t>para</w:t>
      </w:r>
      <w:r>
        <w:rPr>
          <w:i/>
          <w:color w:val="231F20"/>
          <w:spacing w:val="-15"/>
          <w:sz w:val="18"/>
        </w:rPr>
        <w:t> </w:t>
      </w:r>
      <w:r>
        <w:rPr>
          <w:i/>
          <w:color w:val="231F20"/>
          <w:sz w:val="18"/>
        </w:rPr>
        <w:t>la</w:t>
      </w:r>
      <w:r>
        <w:rPr>
          <w:i/>
          <w:color w:val="231F20"/>
          <w:spacing w:val="-15"/>
          <w:sz w:val="18"/>
        </w:rPr>
        <w:t> </w:t>
      </w:r>
      <w:r>
        <w:rPr>
          <w:i/>
          <w:color w:val="231F20"/>
          <w:sz w:val="18"/>
        </w:rPr>
        <w:t>crítica</w:t>
      </w:r>
      <w:r>
        <w:rPr>
          <w:i/>
          <w:color w:val="231F20"/>
          <w:spacing w:val="-15"/>
          <w:sz w:val="18"/>
        </w:rPr>
        <w:t> </w:t>
      </w:r>
      <w:r>
        <w:rPr>
          <w:i/>
          <w:color w:val="231F20"/>
          <w:sz w:val="18"/>
        </w:rPr>
        <w:t>de</w:t>
      </w:r>
      <w:r>
        <w:rPr>
          <w:i/>
          <w:color w:val="231F20"/>
          <w:spacing w:val="-15"/>
          <w:sz w:val="18"/>
        </w:rPr>
        <w:t> </w:t>
      </w:r>
      <w:r>
        <w:rPr>
          <w:i/>
          <w:color w:val="231F20"/>
          <w:sz w:val="18"/>
        </w:rPr>
        <w:t>la</w:t>
      </w:r>
      <w:r>
        <w:rPr>
          <w:i/>
          <w:color w:val="231F20"/>
          <w:spacing w:val="-15"/>
          <w:sz w:val="18"/>
        </w:rPr>
        <w:t> </w:t>
      </w:r>
      <w:r>
        <w:rPr>
          <w:i/>
          <w:color w:val="231F20"/>
          <w:sz w:val="18"/>
        </w:rPr>
        <w:t>economía</w:t>
      </w:r>
      <w:r>
        <w:rPr>
          <w:i/>
          <w:color w:val="231F20"/>
          <w:spacing w:val="-15"/>
          <w:sz w:val="18"/>
        </w:rPr>
        <w:t> </w:t>
      </w:r>
      <w:r>
        <w:rPr>
          <w:i/>
          <w:color w:val="231F20"/>
          <w:sz w:val="18"/>
        </w:rPr>
        <w:t>política</w:t>
      </w:r>
    </w:p>
    <w:p>
      <w:pPr>
        <w:spacing w:before="13"/>
        <w:ind w:left="340" w:right="25" w:firstLine="0"/>
        <w:jc w:val="left"/>
        <w:rPr>
          <w:sz w:val="18"/>
        </w:rPr>
      </w:pPr>
      <w:r>
        <w:rPr>
          <w:color w:val="231F20"/>
          <w:w w:val="105"/>
          <w:sz w:val="18"/>
        </w:rPr>
        <w:t>(</w:t>
      </w:r>
      <w:r>
        <w:rPr>
          <w:i/>
          <w:color w:val="231F20"/>
          <w:w w:val="105"/>
          <w:sz w:val="18"/>
        </w:rPr>
        <w:t>Grundrisse</w:t>
      </w:r>
      <w:r>
        <w:rPr>
          <w:color w:val="231F20"/>
          <w:w w:val="105"/>
          <w:sz w:val="18"/>
        </w:rPr>
        <w:t>) 1857-1858, Siglo XXI Editores, México.</w:t>
      </w:r>
    </w:p>
    <w:p>
      <w:pPr>
        <w:spacing w:line="254" w:lineRule="auto" w:before="13"/>
        <w:ind w:left="340" w:right="41" w:hanging="240"/>
        <w:jc w:val="left"/>
        <w:rPr>
          <w:sz w:val="18"/>
        </w:rPr>
      </w:pPr>
      <w:r>
        <w:rPr>
          <w:color w:val="231F20"/>
          <w:w w:val="110"/>
          <w:sz w:val="18"/>
        </w:rPr>
        <w:t>Nadal, Alejandro, 2010, </w:t>
      </w:r>
      <w:r>
        <w:rPr>
          <w:i/>
          <w:color w:val="231F20"/>
          <w:w w:val="110"/>
          <w:sz w:val="18"/>
        </w:rPr>
        <w:t>La Jornada</w:t>
      </w:r>
      <w:r>
        <w:rPr>
          <w:color w:val="231F20"/>
          <w:w w:val="110"/>
          <w:sz w:val="18"/>
        </w:rPr>
        <w:t>, “La Unión Europea rescata el proyecto neoliberal”, 12 de mayo.</w:t>
      </w:r>
    </w:p>
    <w:p>
      <w:pPr>
        <w:spacing w:line="254" w:lineRule="auto" w:before="1"/>
        <w:ind w:left="340" w:right="25" w:hanging="240"/>
        <w:jc w:val="left"/>
        <w:rPr>
          <w:sz w:val="18"/>
        </w:rPr>
      </w:pPr>
      <w:r>
        <w:rPr>
          <w:color w:val="231F20"/>
          <w:w w:val="105"/>
          <w:sz w:val="18"/>
        </w:rPr>
        <w:t>Samary, Catherine y Harari-Kermadec, Hugo, 2010, “Robo organizado contra Grecia”, en </w:t>
      </w:r>
      <w:hyperlink r:id="rId136">
        <w:r>
          <w:rPr>
            <w:color w:val="231F20"/>
            <w:w w:val="105"/>
            <w:sz w:val="18"/>
          </w:rPr>
          <w:t>&lt;www.rebelion.org/noticia.php?id=105573&gt;</w:t>
        </w:r>
      </w:hyperlink>
      <w:r>
        <w:rPr>
          <w:color w:val="231F20"/>
          <w:w w:val="105"/>
          <w:sz w:val="18"/>
        </w:rPr>
        <w:t>, 10 de   mayo.</w:t>
      </w:r>
    </w:p>
    <w:p>
      <w:pPr>
        <w:spacing w:line="254" w:lineRule="auto" w:before="1"/>
        <w:ind w:left="340" w:right="117" w:hanging="240"/>
        <w:jc w:val="both"/>
        <w:rPr>
          <w:sz w:val="18"/>
        </w:rPr>
      </w:pPr>
      <w:r>
        <w:rPr>
          <w:color w:val="231F20"/>
          <w:sz w:val="18"/>
        </w:rPr>
        <w:t>Sotelo, Adrián, 2003, </w:t>
      </w:r>
      <w:r>
        <w:rPr>
          <w:i/>
          <w:color w:val="231F20"/>
          <w:sz w:val="18"/>
        </w:rPr>
        <w:t>La reestructuración del mundo del trabajo, superexplotación </w:t>
      </w:r>
      <w:r>
        <w:rPr>
          <w:i/>
          <w:color w:val="231F20"/>
          <w:sz w:val="18"/>
        </w:rPr>
        <w:t>y nuevos paradigmas de la organización del trabajo</w:t>
      </w:r>
      <w:r>
        <w:rPr>
          <w:color w:val="231F20"/>
          <w:sz w:val="18"/>
        </w:rPr>
        <w:t>, </w:t>
      </w:r>
      <w:r>
        <w:rPr>
          <w:color w:val="231F20"/>
          <w:w w:val="105"/>
          <w:sz w:val="18"/>
        </w:rPr>
        <w:t>Itaca/uom/enat, </w:t>
      </w:r>
      <w:r>
        <w:rPr>
          <w:color w:val="231F20"/>
          <w:sz w:val="18"/>
        </w:rPr>
        <w:t>1a. ed., México.</w:t>
      </w:r>
    </w:p>
    <w:p>
      <w:pPr>
        <w:tabs>
          <w:tab w:pos="54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w:t>
      </w:r>
      <w:r>
        <w:rPr>
          <w:color w:val="231F20"/>
          <w:spacing w:val="-31"/>
          <w:sz w:val="18"/>
        </w:rPr>
        <w:t> </w:t>
      </w:r>
      <w:r>
        <w:rPr>
          <w:color w:val="231F20"/>
          <w:sz w:val="18"/>
        </w:rPr>
        <w:t>2010,</w:t>
      </w:r>
      <w:r>
        <w:rPr>
          <w:color w:val="231F20"/>
          <w:spacing w:val="-31"/>
          <w:sz w:val="18"/>
        </w:rPr>
        <w:t> </w:t>
      </w:r>
      <w:r>
        <w:rPr>
          <w:i/>
          <w:color w:val="231F20"/>
          <w:sz w:val="18"/>
        </w:rPr>
        <w:t>Crisis</w:t>
      </w:r>
      <w:r>
        <w:rPr>
          <w:i/>
          <w:color w:val="231F20"/>
          <w:spacing w:val="-31"/>
          <w:sz w:val="18"/>
        </w:rPr>
        <w:t> </w:t>
      </w:r>
      <w:r>
        <w:rPr>
          <w:i/>
          <w:color w:val="231F20"/>
          <w:sz w:val="18"/>
        </w:rPr>
        <w:t>capitalista</w:t>
      </w:r>
      <w:r>
        <w:rPr>
          <w:i/>
          <w:color w:val="231F20"/>
          <w:spacing w:val="-31"/>
          <w:sz w:val="18"/>
        </w:rPr>
        <w:t> </w:t>
      </w:r>
      <w:r>
        <w:rPr>
          <w:i/>
          <w:color w:val="231F20"/>
          <w:sz w:val="18"/>
        </w:rPr>
        <w:t>y</w:t>
      </w:r>
      <w:r>
        <w:rPr>
          <w:i/>
          <w:color w:val="231F20"/>
          <w:spacing w:val="-31"/>
          <w:sz w:val="18"/>
        </w:rPr>
        <w:t> </w:t>
      </w:r>
      <w:r>
        <w:rPr>
          <w:i/>
          <w:color w:val="231F20"/>
          <w:sz w:val="18"/>
        </w:rPr>
        <w:t>desmedida</w:t>
      </w:r>
      <w:r>
        <w:rPr>
          <w:i/>
          <w:color w:val="231F20"/>
          <w:spacing w:val="-31"/>
          <w:sz w:val="18"/>
        </w:rPr>
        <w:t> </w:t>
      </w:r>
      <w:r>
        <w:rPr>
          <w:i/>
          <w:color w:val="231F20"/>
          <w:sz w:val="18"/>
        </w:rPr>
        <w:t>del</w:t>
      </w:r>
      <w:r>
        <w:rPr>
          <w:i/>
          <w:color w:val="231F20"/>
          <w:spacing w:val="-31"/>
          <w:sz w:val="18"/>
        </w:rPr>
        <w:t> </w:t>
      </w:r>
      <w:r>
        <w:rPr>
          <w:i/>
          <w:color w:val="231F20"/>
          <w:sz w:val="18"/>
        </w:rPr>
        <w:t>valor:</w:t>
      </w:r>
      <w:r>
        <w:rPr>
          <w:i/>
          <w:color w:val="231F20"/>
          <w:spacing w:val="-31"/>
          <w:sz w:val="18"/>
        </w:rPr>
        <w:t> </w:t>
      </w:r>
      <w:r>
        <w:rPr>
          <w:i/>
          <w:color w:val="231F20"/>
          <w:sz w:val="18"/>
        </w:rPr>
        <w:t>un</w:t>
      </w:r>
      <w:r>
        <w:rPr>
          <w:i/>
          <w:color w:val="231F20"/>
          <w:spacing w:val="-31"/>
          <w:sz w:val="18"/>
        </w:rPr>
        <w:t> </w:t>
      </w:r>
      <w:r>
        <w:rPr>
          <w:i/>
          <w:color w:val="231F20"/>
          <w:sz w:val="18"/>
        </w:rPr>
        <w:t>enfoque</w:t>
      </w:r>
      <w:r>
        <w:rPr>
          <w:i/>
          <w:color w:val="231F20"/>
          <w:spacing w:val="-31"/>
          <w:sz w:val="18"/>
        </w:rPr>
        <w:t> </w:t>
      </w:r>
      <w:r>
        <w:rPr>
          <w:i/>
          <w:color w:val="231F20"/>
          <w:sz w:val="18"/>
        </w:rPr>
        <w:t>desde</w:t>
      </w:r>
      <w:r>
        <w:rPr>
          <w:i/>
          <w:color w:val="231F20"/>
          <w:spacing w:val="-31"/>
          <w:sz w:val="18"/>
        </w:rPr>
        <w:t> </w:t>
      </w:r>
      <w:r>
        <w:rPr>
          <w:i/>
          <w:color w:val="231F20"/>
          <w:sz w:val="18"/>
        </w:rPr>
        <w:t>los</w:t>
      </w:r>
      <w:r>
        <w:rPr>
          <w:i/>
          <w:color w:val="231F20"/>
          <w:spacing w:val="-31"/>
          <w:sz w:val="18"/>
        </w:rPr>
        <w:t> </w:t>
      </w:r>
      <w:r>
        <w:rPr>
          <w:i/>
          <w:color w:val="231F20"/>
          <w:sz w:val="18"/>
        </w:rPr>
        <w:t>Grundrisse</w:t>
      </w:r>
      <w:r>
        <w:rPr>
          <w:color w:val="231F20"/>
          <w:sz w:val="18"/>
        </w:rPr>
        <w:t>.</w:t>
      </w:r>
    </w:p>
    <w:p>
      <w:pPr>
        <w:spacing w:before="13"/>
        <w:ind w:left="340" w:right="25" w:firstLine="0"/>
        <w:jc w:val="left"/>
        <w:rPr>
          <w:sz w:val="18"/>
        </w:rPr>
      </w:pPr>
      <w:r>
        <w:rPr>
          <w:color w:val="231F20"/>
          <w:w w:val="115"/>
          <w:sz w:val="18"/>
        </w:rPr>
        <w:t>México, Itaca/uom/enat.</w:t>
      </w:r>
    </w:p>
    <w:p>
      <w:pPr>
        <w:spacing w:line="254" w:lineRule="auto" w:before="13"/>
        <w:ind w:left="73" w:right="117" w:firstLine="0"/>
        <w:jc w:val="right"/>
        <w:rPr>
          <w:sz w:val="18"/>
        </w:rPr>
      </w:pPr>
      <w:r>
        <w:rPr>
          <w:color w:val="231F20"/>
          <w:w w:val="105"/>
          <w:sz w:val="18"/>
        </w:rPr>
        <w:t>Stiglitz,</w:t>
      </w:r>
      <w:r>
        <w:rPr>
          <w:color w:val="231F20"/>
          <w:spacing w:val="-17"/>
          <w:w w:val="105"/>
          <w:sz w:val="18"/>
        </w:rPr>
        <w:t> </w:t>
      </w:r>
      <w:r>
        <w:rPr>
          <w:color w:val="231F20"/>
          <w:w w:val="105"/>
          <w:sz w:val="18"/>
        </w:rPr>
        <w:t>Joseph,</w:t>
      </w:r>
      <w:r>
        <w:rPr>
          <w:color w:val="231F20"/>
          <w:spacing w:val="-17"/>
          <w:w w:val="105"/>
          <w:sz w:val="18"/>
        </w:rPr>
        <w:t> </w:t>
      </w:r>
      <w:r>
        <w:rPr>
          <w:color w:val="231F20"/>
          <w:w w:val="105"/>
          <w:sz w:val="18"/>
        </w:rPr>
        <w:t>2008,</w:t>
      </w:r>
      <w:r>
        <w:rPr>
          <w:color w:val="231F20"/>
          <w:spacing w:val="-17"/>
          <w:w w:val="105"/>
          <w:sz w:val="18"/>
        </w:rPr>
        <w:t> </w:t>
      </w:r>
      <w:r>
        <w:rPr>
          <w:color w:val="231F20"/>
          <w:w w:val="105"/>
          <w:sz w:val="18"/>
        </w:rPr>
        <w:t>“Las</w:t>
      </w:r>
      <w:r>
        <w:rPr>
          <w:color w:val="231F20"/>
          <w:spacing w:val="-17"/>
          <w:w w:val="105"/>
          <w:sz w:val="18"/>
        </w:rPr>
        <w:t> </w:t>
      </w:r>
      <w:r>
        <w:rPr>
          <w:color w:val="231F20"/>
          <w:w w:val="105"/>
          <w:sz w:val="18"/>
        </w:rPr>
        <w:t>claves</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desastre”,</w:t>
      </w:r>
      <w:r>
        <w:rPr>
          <w:color w:val="231F20"/>
          <w:spacing w:val="-17"/>
          <w:w w:val="105"/>
          <w:sz w:val="18"/>
        </w:rPr>
        <w:t> </w:t>
      </w:r>
      <w:r>
        <w:rPr>
          <w:color w:val="231F20"/>
          <w:w w:val="105"/>
          <w:sz w:val="18"/>
        </w:rPr>
        <w:t>México,</w:t>
      </w:r>
      <w:r>
        <w:rPr>
          <w:color w:val="231F20"/>
          <w:spacing w:val="-17"/>
          <w:w w:val="105"/>
          <w:sz w:val="18"/>
        </w:rPr>
        <w:t> </w:t>
      </w:r>
      <w:r>
        <w:rPr>
          <w:i/>
          <w:color w:val="231F20"/>
          <w:w w:val="105"/>
          <w:sz w:val="18"/>
        </w:rPr>
        <w:t>Proceso</w:t>
      </w:r>
      <w:r>
        <w:rPr>
          <w:color w:val="231F20"/>
          <w:w w:val="105"/>
          <w:sz w:val="18"/>
        </w:rPr>
        <w:t>,</w:t>
      </w:r>
      <w:r>
        <w:rPr>
          <w:color w:val="231F20"/>
          <w:spacing w:val="-17"/>
          <w:w w:val="105"/>
          <w:sz w:val="18"/>
        </w:rPr>
        <w:t> </w:t>
      </w:r>
      <w:r>
        <w:rPr>
          <w:color w:val="231F20"/>
          <w:w w:val="105"/>
          <w:sz w:val="18"/>
        </w:rPr>
        <w:t>19</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octubre.</w:t>
      </w:r>
      <w:r>
        <w:rPr>
          <w:color w:val="231F20"/>
          <w:w w:val="112"/>
          <w:sz w:val="18"/>
        </w:rPr>
        <w:t> </w:t>
      </w:r>
      <w:r>
        <w:rPr>
          <w:color w:val="231F20"/>
          <w:w w:val="105"/>
          <w:sz w:val="18"/>
        </w:rPr>
        <w:t>Vasapollo, Luciano, 2007</w:t>
      </w:r>
      <w:r>
        <w:rPr>
          <w:i/>
          <w:color w:val="231F20"/>
          <w:w w:val="105"/>
          <w:sz w:val="18"/>
        </w:rPr>
        <w:t>, </w:t>
      </w:r>
      <w:r>
        <w:rPr>
          <w:color w:val="231F20"/>
          <w:w w:val="105"/>
          <w:sz w:val="18"/>
        </w:rPr>
        <w:t>“Mercado, crises financeiras e</w:t>
      </w:r>
      <w:r>
        <w:rPr>
          <w:color w:val="231F20"/>
          <w:spacing w:val="-18"/>
          <w:w w:val="105"/>
          <w:sz w:val="18"/>
        </w:rPr>
        <w:t> </w:t>
      </w:r>
      <w:r>
        <w:rPr>
          <w:color w:val="231F20"/>
          <w:w w:val="105"/>
          <w:sz w:val="18"/>
        </w:rPr>
        <w:t>competencia</w:t>
      </w:r>
      <w:r>
        <w:rPr>
          <w:color w:val="231F20"/>
          <w:spacing w:val="38"/>
          <w:w w:val="105"/>
          <w:sz w:val="18"/>
        </w:rPr>
        <w:t> </w:t>
      </w:r>
      <w:r>
        <w:rPr>
          <w:color w:val="231F20"/>
          <w:w w:val="105"/>
          <w:sz w:val="18"/>
        </w:rPr>
        <w:t>glo-</w:t>
      </w:r>
      <w:r>
        <w:rPr>
          <w:color w:val="231F20"/>
          <w:w w:val="72"/>
          <w:sz w:val="18"/>
        </w:rPr>
        <w:t> </w:t>
      </w:r>
      <w:r>
        <w:rPr>
          <w:color w:val="231F20"/>
          <w:w w:val="105"/>
          <w:sz w:val="18"/>
        </w:rPr>
        <w:t>bal”,</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Rita</w:t>
      </w:r>
      <w:r>
        <w:rPr>
          <w:color w:val="231F20"/>
          <w:spacing w:val="19"/>
          <w:w w:val="105"/>
          <w:sz w:val="18"/>
        </w:rPr>
        <w:t> </w:t>
      </w:r>
      <w:r>
        <w:rPr>
          <w:color w:val="231F20"/>
          <w:w w:val="105"/>
          <w:sz w:val="18"/>
        </w:rPr>
        <w:t>Martufi</w:t>
      </w:r>
      <w:r>
        <w:rPr>
          <w:color w:val="231F20"/>
          <w:spacing w:val="19"/>
          <w:w w:val="105"/>
          <w:sz w:val="18"/>
        </w:rPr>
        <w:t> </w:t>
      </w:r>
      <w:r>
        <w:rPr>
          <w:color w:val="231F20"/>
          <w:w w:val="105"/>
          <w:sz w:val="18"/>
        </w:rPr>
        <w:t>y</w:t>
      </w:r>
      <w:r>
        <w:rPr>
          <w:color w:val="231F20"/>
          <w:spacing w:val="19"/>
          <w:w w:val="105"/>
          <w:sz w:val="18"/>
        </w:rPr>
        <w:t> </w:t>
      </w:r>
      <w:r>
        <w:rPr>
          <w:color w:val="231F20"/>
          <w:w w:val="105"/>
          <w:sz w:val="18"/>
        </w:rPr>
        <w:t>Luciano</w:t>
      </w:r>
      <w:r>
        <w:rPr>
          <w:color w:val="231F20"/>
          <w:spacing w:val="19"/>
          <w:w w:val="105"/>
          <w:sz w:val="18"/>
        </w:rPr>
        <w:t> </w:t>
      </w:r>
      <w:r>
        <w:rPr>
          <w:color w:val="231F20"/>
          <w:w w:val="105"/>
          <w:sz w:val="18"/>
        </w:rPr>
        <w:t>Vasapollo,</w:t>
      </w:r>
      <w:r>
        <w:rPr>
          <w:color w:val="231F20"/>
          <w:spacing w:val="19"/>
          <w:w w:val="105"/>
          <w:sz w:val="18"/>
        </w:rPr>
        <w:t> </w:t>
      </w:r>
      <w:r>
        <w:rPr>
          <w:i/>
          <w:color w:val="231F20"/>
          <w:w w:val="105"/>
          <w:sz w:val="18"/>
        </w:rPr>
        <w:t>O</w:t>
      </w:r>
      <w:r>
        <w:rPr>
          <w:i/>
          <w:color w:val="231F20"/>
          <w:spacing w:val="19"/>
          <w:w w:val="105"/>
          <w:sz w:val="18"/>
        </w:rPr>
        <w:t> </w:t>
      </w:r>
      <w:r>
        <w:rPr>
          <w:i/>
          <w:color w:val="231F20"/>
          <w:w w:val="105"/>
          <w:sz w:val="18"/>
        </w:rPr>
        <w:t>mundo</w:t>
      </w:r>
      <w:r>
        <w:rPr>
          <w:i/>
          <w:color w:val="231F20"/>
          <w:spacing w:val="19"/>
          <w:w w:val="105"/>
          <w:sz w:val="18"/>
        </w:rPr>
        <w:t> </w:t>
      </w:r>
      <w:r>
        <w:rPr>
          <w:i/>
          <w:color w:val="231F20"/>
          <w:w w:val="105"/>
          <w:sz w:val="18"/>
        </w:rPr>
        <w:t>do</w:t>
      </w:r>
      <w:r>
        <w:rPr>
          <w:i/>
          <w:color w:val="231F20"/>
          <w:spacing w:val="19"/>
          <w:w w:val="105"/>
          <w:sz w:val="18"/>
        </w:rPr>
        <w:t> </w:t>
      </w:r>
      <w:r>
        <w:rPr>
          <w:i/>
          <w:color w:val="231F20"/>
          <w:w w:val="105"/>
          <w:sz w:val="18"/>
        </w:rPr>
        <w:t>traballo</w:t>
      </w:r>
      <w:r>
        <w:rPr>
          <w:i/>
          <w:color w:val="231F20"/>
          <w:spacing w:val="19"/>
          <w:w w:val="105"/>
          <w:sz w:val="18"/>
        </w:rPr>
        <w:t> </w:t>
      </w:r>
      <w:r>
        <w:rPr>
          <w:i/>
          <w:color w:val="231F20"/>
          <w:w w:val="105"/>
          <w:sz w:val="18"/>
        </w:rPr>
        <w:t>fronte</w:t>
      </w:r>
      <w:r>
        <w:rPr>
          <w:i/>
          <w:color w:val="231F20"/>
          <w:spacing w:val="19"/>
          <w:w w:val="105"/>
          <w:sz w:val="18"/>
        </w:rPr>
        <w:t> </w:t>
      </w:r>
      <w:r>
        <w:rPr>
          <w:i/>
          <w:color w:val="231F20"/>
          <w:w w:val="105"/>
          <w:sz w:val="18"/>
        </w:rPr>
        <w:t>á</w:t>
      </w:r>
      <w:r>
        <w:rPr>
          <w:i/>
          <w:color w:val="231F20"/>
          <w:sz w:val="18"/>
        </w:rPr>
        <w:t> globalización capitalista</w:t>
      </w:r>
      <w:r>
        <w:rPr>
          <w:color w:val="231F20"/>
          <w:sz w:val="18"/>
        </w:rPr>
        <w:t>, España, Promocións Culturais Galegas, </w:t>
      </w:r>
      <w:r>
        <w:rPr>
          <w:color w:val="231F20"/>
          <w:spacing w:val="11"/>
          <w:sz w:val="18"/>
        </w:rPr>
        <w:t> </w:t>
      </w:r>
      <w:r>
        <w:rPr>
          <w:color w:val="231F20"/>
          <w:sz w:val="18"/>
        </w:rPr>
        <w:t>Vigo-Galiza.</w:t>
      </w:r>
    </w:p>
    <w:p>
      <w:pPr>
        <w:spacing w:line="254" w:lineRule="auto" w:before="1"/>
        <w:ind w:left="340" w:right="117" w:hanging="240"/>
        <w:jc w:val="both"/>
        <w:rPr>
          <w:sz w:val="18"/>
        </w:rPr>
      </w:pPr>
      <w:r>
        <w:rPr>
          <w:color w:val="231F20"/>
          <w:sz w:val="18"/>
        </w:rPr>
        <w:t>Vence, X., 2008, </w:t>
      </w:r>
      <w:r>
        <w:rPr>
          <w:i/>
          <w:color w:val="231F20"/>
          <w:sz w:val="18"/>
        </w:rPr>
        <w:t>Da burbulla financiero</w:t>
      </w:r>
      <w:r>
        <w:rPr>
          <w:color w:val="231F20"/>
          <w:sz w:val="18"/>
        </w:rPr>
        <w:t>-</w:t>
      </w:r>
      <w:r>
        <w:rPr>
          <w:i/>
          <w:color w:val="231F20"/>
          <w:sz w:val="18"/>
        </w:rPr>
        <w:t>alimentaria ás novas burbullas especula- </w:t>
      </w:r>
      <w:r>
        <w:rPr>
          <w:i/>
          <w:color w:val="231F20"/>
          <w:sz w:val="18"/>
        </w:rPr>
        <w:t>tivas da enerxía e dos alimentos</w:t>
      </w:r>
      <w:r>
        <w:rPr>
          <w:color w:val="231F20"/>
          <w:sz w:val="18"/>
        </w:rPr>
        <w:t>, </w:t>
      </w:r>
      <w:r>
        <w:rPr>
          <w:i/>
          <w:color w:val="231F20"/>
          <w:sz w:val="18"/>
        </w:rPr>
        <w:t>Caderno de Formación</w:t>
      </w:r>
      <w:r>
        <w:rPr>
          <w:color w:val="231F20"/>
          <w:sz w:val="18"/>
        </w:rPr>
        <w:t>, cig-fesga, España, Galiza.</w:t>
      </w:r>
    </w:p>
    <w:p>
      <w:pPr>
        <w:spacing w:line="254" w:lineRule="auto" w:before="1"/>
        <w:ind w:left="340" w:right="25" w:hanging="240"/>
        <w:jc w:val="left"/>
        <w:rPr>
          <w:sz w:val="18"/>
        </w:rPr>
      </w:pPr>
      <w:r>
        <w:rPr>
          <w:color w:val="231F20"/>
          <w:sz w:val="18"/>
        </w:rPr>
        <w:t>Vergopoulos, Kostas, 2005, </w:t>
      </w:r>
      <w:r>
        <w:rPr>
          <w:i/>
          <w:color w:val="231F20"/>
          <w:sz w:val="18"/>
        </w:rPr>
        <w:t>Globalização</w:t>
      </w:r>
      <w:r>
        <w:rPr>
          <w:color w:val="231F20"/>
          <w:sz w:val="18"/>
        </w:rPr>
        <w:t>: </w:t>
      </w:r>
      <w:r>
        <w:rPr>
          <w:i/>
          <w:color w:val="231F20"/>
          <w:sz w:val="18"/>
        </w:rPr>
        <w:t>o fim de um ciclo</w:t>
      </w:r>
      <w:r>
        <w:rPr>
          <w:color w:val="231F20"/>
          <w:sz w:val="18"/>
        </w:rPr>
        <w:t>. </w:t>
      </w:r>
      <w:r>
        <w:rPr>
          <w:i/>
          <w:color w:val="231F20"/>
          <w:sz w:val="18"/>
        </w:rPr>
        <w:t>Ensayo sobre a insta- </w:t>
      </w:r>
      <w:r>
        <w:rPr>
          <w:i/>
          <w:color w:val="231F20"/>
          <w:sz w:val="18"/>
        </w:rPr>
        <w:t>bilidade  internacional</w:t>
      </w:r>
      <w:r>
        <w:rPr>
          <w:color w:val="231F20"/>
          <w:sz w:val="18"/>
        </w:rPr>
        <w:t>,  Río  de  Janeiro, Contraponto.</w:t>
      </w:r>
    </w:p>
    <w:p>
      <w:pPr>
        <w:spacing w:after="0" w:line="254" w:lineRule="auto"/>
        <w:jc w:val="left"/>
        <w:rPr>
          <w:sz w:val="18"/>
        </w:rPr>
        <w:sectPr>
          <w:pgSz w:w="7640" w:h="11900"/>
          <w:pgMar w:header="672" w:footer="0" w:top="860" w:bottom="280" w:left="660" w:right="760"/>
        </w:sectPr>
      </w:pPr>
    </w:p>
    <w:p>
      <w:pPr>
        <w:pStyle w:val="BodyText"/>
        <w:spacing w:line="261" w:lineRule="auto" w:before="39"/>
        <w:ind w:left="100" w:right="1339"/>
      </w:pPr>
      <w:r>
        <w:rPr>
          <w:color w:val="231F20"/>
        </w:rPr>
        <w:t>LA POSICIÓN DE ESTADOS UNIDOS EN EL ORDEN MONETARIO  Y  FINANCIERO INTERNACIONAL</w:t>
      </w:r>
    </w:p>
    <w:p>
      <w:pPr>
        <w:pStyle w:val="BodyText"/>
        <w:spacing w:before="8"/>
        <w:rPr>
          <w:sz w:val="21"/>
        </w:rPr>
      </w:pPr>
    </w:p>
    <w:p>
      <w:pPr>
        <w:pStyle w:val="BodyText"/>
        <w:ind w:left="3267" w:right="-2"/>
      </w:pPr>
      <w:r>
        <w:rPr>
          <w:color w:val="231F20"/>
          <w:w w:val="130"/>
        </w:rPr>
        <w:t>katia cobarrubias hernández</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9"/>
        <w:jc w:val="both"/>
      </w:pPr>
      <w:r>
        <w:rPr>
          <w:color w:val="231F20"/>
          <w:w w:val="110"/>
        </w:rPr>
        <w:t>En la actualidad, el escenario económico internacional, difiere radi- calmente del escenario que sucedió a la segunda guerra mundial. En aquel momento, Estados Unidos consolidó una hegemonía absoluta, a</w:t>
      </w:r>
      <w:r>
        <w:rPr>
          <w:color w:val="231F20"/>
          <w:spacing w:val="-15"/>
          <w:w w:val="110"/>
        </w:rPr>
        <w:t> </w:t>
      </w:r>
      <w:r>
        <w:rPr>
          <w:color w:val="231F20"/>
          <w:w w:val="110"/>
        </w:rPr>
        <w:t>costa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debilidad</w:t>
      </w:r>
      <w:r>
        <w:rPr>
          <w:color w:val="231F20"/>
          <w:spacing w:val="-15"/>
          <w:w w:val="110"/>
        </w:rPr>
        <w:t> </w:t>
      </w:r>
      <w:r>
        <w:rPr>
          <w:color w:val="231F20"/>
          <w:w w:val="110"/>
        </w:rPr>
        <w:t>con</w:t>
      </w:r>
      <w:r>
        <w:rPr>
          <w:color w:val="231F20"/>
          <w:spacing w:val="-15"/>
          <w:w w:val="110"/>
        </w:rPr>
        <w:t> </w:t>
      </w:r>
      <w:r>
        <w:rPr>
          <w:color w:val="231F20"/>
          <w:w w:val="110"/>
        </w:rPr>
        <w:t>que</w:t>
      </w:r>
      <w:r>
        <w:rPr>
          <w:color w:val="231F20"/>
          <w:spacing w:val="-15"/>
          <w:w w:val="110"/>
        </w:rPr>
        <w:t> </w:t>
      </w:r>
      <w:r>
        <w:rPr>
          <w:color w:val="231F20"/>
          <w:w w:val="110"/>
        </w:rPr>
        <w:t>el</w:t>
      </w:r>
      <w:r>
        <w:rPr>
          <w:color w:val="231F20"/>
          <w:spacing w:val="-15"/>
          <w:w w:val="110"/>
        </w:rPr>
        <w:t> </w:t>
      </w:r>
      <w:r>
        <w:rPr>
          <w:color w:val="231F20"/>
          <w:w w:val="110"/>
        </w:rPr>
        <w:t>resto</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economías</w:t>
      </w:r>
      <w:r>
        <w:rPr>
          <w:color w:val="231F20"/>
          <w:spacing w:val="-15"/>
          <w:w w:val="110"/>
        </w:rPr>
        <w:t> </w:t>
      </w:r>
      <w:r>
        <w:rPr>
          <w:color w:val="231F20"/>
          <w:w w:val="110"/>
        </w:rPr>
        <w:t>industrializa- das</w:t>
      </w:r>
      <w:r>
        <w:rPr>
          <w:color w:val="231F20"/>
          <w:spacing w:val="-9"/>
          <w:w w:val="110"/>
        </w:rPr>
        <w:t> </w:t>
      </w:r>
      <w:r>
        <w:rPr>
          <w:color w:val="231F20"/>
          <w:w w:val="110"/>
        </w:rPr>
        <w:t>emergió</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confrontación</w:t>
      </w:r>
      <w:r>
        <w:rPr>
          <w:color w:val="231F20"/>
          <w:spacing w:val="-9"/>
          <w:w w:val="110"/>
        </w:rPr>
        <w:t> </w:t>
      </w:r>
      <w:r>
        <w:rPr>
          <w:color w:val="231F20"/>
          <w:w w:val="110"/>
        </w:rPr>
        <w:t>y</w:t>
      </w:r>
      <w:r>
        <w:rPr>
          <w:color w:val="231F20"/>
          <w:spacing w:val="-9"/>
          <w:w w:val="110"/>
        </w:rPr>
        <w:t> </w:t>
      </w:r>
      <w:r>
        <w:rPr>
          <w:color w:val="231F20"/>
          <w:w w:val="110"/>
        </w:rPr>
        <w:t>apoyado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orden</w:t>
      </w:r>
      <w:r>
        <w:rPr>
          <w:color w:val="231F20"/>
          <w:spacing w:val="-9"/>
          <w:w w:val="110"/>
        </w:rPr>
        <w:t> </w:t>
      </w:r>
      <w:r>
        <w:rPr>
          <w:color w:val="231F20"/>
          <w:w w:val="110"/>
        </w:rPr>
        <w:t>internacional, que logró imponer con las instituciones de Bretton </w:t>
      </w:r>
      <w:r>
        <w:rPr>
          <w:color w:val="231F20"/>
          <w:spacing w:val="18"/>
          <w:w w:val="110"/>
        </w:rPr>
        <w:t> </w:t>
      </w:r>
      <w:r>
        <w:rPr>
          <w:color w:val="231F20"/>
          <w:spacing w:val="-3"/>
          <w:w w:val="110"/>
        </w:rPr>
        <w:t>Woods.</w:t>
      </w:r>
    </w:p>
    <w:p>
      <w:pPr>
        <w:pStyle w:val="BodyText"/>
        <w:spacing w:line="261" w:lineRule="auto"/>
        <w:ind w:left="100" w:right="115" w:firstLine="240"/>
        <w:jc w:val="both"/>
      </w:pPr>
      <w:r>
        <w:rPr>
          <w:color w:val="231F20"/>
          <w:w w:val="110"/>
        </w:rPr>
        <w:t>Sin embargo, en los últimos tiempos la posición hegemónica de Estados Unidos en la economía mundial, ha estado sometida a un constante escrutinio. El área de las relaciones monetarias y</w:t>
      </w:r>
      <w:r>
        <w:rPr>
          <w:color w:val="231F20"/>
          <w:spacing w:val="-12"/>
          <w:w w:val="110"/>
        </w:rPr>
        <w:t> </w:t>
      </w:r>
      <w:r>
        <w:rPr>
          <w:color w:val="231F20"/>
          <w:w w:val="110"/>
        </w:rPr>
        <w:t>financie- ras internacionales es una de las que centra la discusión, pues fue precisamente</w:t>
      </w:r>
      <w:r>
        <w:rPr>
          <w:color w:val="231F20"/>
          <w:spacing w:val="-8"/>
          <w:w w:val="110"/>
        </w:rPr>
        <w:t> </w:t>
      </w:r>
      <w:r>
        <w:rPr>
          <w:color w:val="231F20"/>
          <w:w w:val="110"/>
        </w:rPr>
        <w:t>una</w:t>
      </w:r>
      <w:r>
        <w:rPr>
          <w:color w:val="231F20"/>
          <w:spacing w:val="-8"/>
          <w:w w:val="110"/>
        </w:rPr>
        <w:t> </w:t>
      </w:r>
      <w:r>
        <w:rPr>
          <w:color w:val="231F20"/>
          <w:w w:val="110"/>
        </w:rPr>
        <w:t>crisis</w:t>
      </w:r>
      <w:r>
        <w:rPr>
          <w:color w:val="231F20"/>
          <w:spacing w:val="-8"/>
          <w:w w:val="110"/>
        </w:rPr>
        <w:t> </w:t>
      </w:r>
      <w:r>
        <w:rPr>
          <w:color w:val="231F20"/>
          <w:w w:val="110"/>
        </w:rPr>
        <w:t>financiera</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desencadenó</w:t>
      </w:r>
      <w:r>
        <w:rPr>
          <w:color w:val="231F20"/>
          <w:spacing w:val="-8"/>
          <w:w w:val="110"/>
        </w:rPr>
        <w:t> </w:t>
      </w:r>
      <w:r>
        <w:rPr>
          <w:color w:val="231F20"/>
          <w:w w:val="110"/>
        </w:rPr>
        <w:t>la</w:t>
      </w:r>
      <w:r>
        <w:rPr>
          <w:color w:val="231F20"/>
          <w:spacing w:val="-8"/>
          <w:w w:val="110"/>
        </w:rPr>
        <w:t> </w:t>
      </w:r>
      <w:r>
        <w:rPr>
          <w:color w:val="231F20"/>
          <w:w w:val="110"/>
        </w:rPr>
        <w:t>actual</w:t>
      </w:r>
      <w:r>
        <w:rPr>
          <w:color w:val="231F20"/>
          <w:spacing w:val="-8"/>
          <w:w w:val="110"/>
        </w:rPr>
        <w:t> </w:t>
      </w:r>
      <w:r>
        <w:rPr>
          <w:color w:val="231F20"/>
          <w:w w:val="110"/>
        </w:rPr>
        <w:t>crisis del sistema capitalista mundial. En este trabajo se argumenta que la hegemonía</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gozó</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relaciones</w:t>
      </w:r>
      <w:r>
        <w:rPr>
          <w:color w:val="231F20"/>
          <w:spacing w:val="-6"/>
          <w:w w:val="110"/>
        </w:rPr>
        <w:t> </w:t>
      </w:r>
      <w:r>
        <w:rPr>
          <w:color w:val="231F20"/>
          <w:w w:val="110"/>
        </w:rPr>
        <w:t>monetarias y financieras internacionales, principalmente después del estableci- miento de un puro patrón dólar en 1971, favoreció la configuración de un orden monetario y financiero internacional caracterizado por el desequilibrio, pero funcional a los intereses expansivos de la eco- nomía dominante. Sin embargo, tales desequilibrios han implicado necesariamente el debilitamiento a largo plazo del dominio econó- mico estadunidense, describiendo lo que se considera un “efecto búmeran”. Se analiza también la relación entre tales desequilibrios  y la crisis sistémica actual, argumentando que la misma refuerza   las debilidades y las tensiones de Estados Unidos como potencia hegemónica del sistema financiero</w:t>
      </w:r>
      <w:r>
        <w:rPr>
          <w:color w:val="231F20"/>
          <w:spacing w:val="11"/>
          <w:w w:val="110"/>
        </w:rPr>
        <w:t> </w:t>
      </w:r>
      <w:r>
        <w:rPr>
          <w:color w:val="231F20"/>
          <w:w w:val="110"/>
        </w:rPr>
        <w:t>global.</w:t>
      </w: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5"/>
        </w:rPr>
      </w:pPr>
    </w:p>
    <w:p>
      <w:pPr>
        <w:pStyle w:val="BodyText"/>
        <w:spacing w:before="68"/>
        <w:ind w:left="113" w:right="132"/>
        <w:jc w:val="center"/>
      </w:pPr>
      <w:r>
        <w:rPr>
          <w:color w:val="231F20"/>
          <w:w w:val="120"/>
        </w:rPr>
        <w:t>[186]</w:t>
      </w:r>
    </w:p>
    <w:p>
      <w:pPr>
        <w:spacing w:after="0"/>
        <w:jc w:val="center"/>
        <w:sectPr>
          <w:headerReference w:type="even" r:id="rId137"/>
          <w:pgSz w:w="7640" w:h="11900"/>
          <w:pgMar w:header="0" w:footer="0" w:top="1000" w:bottom="280" w:left="780" w:right="640"/>
        </w:sectPr>
      </w:pPr>
    </w:p>
    <w:p>
      <w:pPr>
        <w:pStyle w:val="BodyText"/>
        <w:spacing w:before="8"/>
        <w:rPr>
          <w:sz w:val="8"/>
        </w:rPr>
      </w:pPr>
    </w:p>
    <w:p>
      <w:pPr>
        <w:pStyle w:val="BodyText"/>
        <w:spacing w:line="261" w:lineRule="auto" w:before="67"/>
        <w:ind w:left="100" w:right="1933"/>
      </w:pPr>
      <w:r>
        <w:rPr>
          <w:color w:val="231F20"/>
          <w:w w:val="125"/>
        </w:rPr>
        <w:t>la hegemonía monetaria y financiera como sostén de los desbalances globales</w:t>
      </w:r>
    </w:p>
    <w:p>
      <w:pPr>
        <w:pStyle w:val="BodyText"/>
        <w:spacing w:before="8"/>
        <w:rPr>
          <w:sz w:val="21"/>
        </w:rPr>
      </w:pPr>
    </w:p>
    <w:p>
      <w:pPr>
        <w:pStyle w:val="BodyText"/>
        <w:spacing w:line="261" w:lineRule="auto"/>
        <w:ind w:left="73" w:right="117"/>
        <w:jc w:val="right"/>
      </w:pPr>
      <w:r>
        <w:rPr>
          <w:color w:val="231F20"/>
          <w:w w:val="110"/>
        </w:rPr>
        <w:t>Durante la conferencia celebrada en Bretton </w:t>
      </w:r>
      <w:r>
        <w:rPr>
          <w:color w:val="231F20"/>
          <w:spacing w:val="-3"/>
          <w:w w:val="110"/>
        </w:rPr>
        <w:t>Woods </w:t>
      </w:r>
      <w:r>
        <w:rPr>
          <w:color w:val="231F20"/>
          <w:w w:val="110"/>
        </w:rPr>
        <w:t>en el</w:t>
      </w:r>
      <w:r>
        <w:rPr>
          <w:color w:val="231F20"/>
          <w:spacing w:val="51"/>
          <w:w w:val="110"/>
        </w:rPr>
        <w:t> </w:t>
      </w:r>
      <w:r>
        <w:rPr>
          <w:color w:val="231F20"/>
          <w:w w:val="110"/>
        </w:rPr>
        <w:t>año</w:t>
      </w:r>
      <w:r>
        <w:rPr>
          <w:color w:val="231F20"/>
          <w:spacing w:val="5"/>
          <w:w w:val="110"/>
        </w:rPr>
        <w:t> </w:t>
      </w:r>
      <w:r>
        <w:rPr>
          <w:color w:val="231F20"/>
          <w:w w:val="110"/>
        </w:rPr>
        <w:t>1944,</w:t>
      </w:r>
      <w:r>
        <w:rPr>
          <w:color w:val="231F20"/>
          <w:w w:val="104"/>
        </w:rPr>
        <w:t> </w:t>
      </w:r>
      <w:r>
        <w:rPr>
          <w:color w:val="231F20"/>
          <w:w w:val="110"/>
        </w:rPr>
        <w:t>se institucionalizó un Sistema Monetario Internacional (smi)</w:t>
      </w:r>
      <w:r>
        <w:rPr>
          <w:color w:val="231F20"/>
          <w:spacing w:val="36"/>
          <w:w w:val="110"/>
        </w:rPr>
        <w:t> </w:t>
      </w:r>
      <w:r>
        <w:rPr>
          <w:color w:val="231F20"/>
          <w:w w:val="110"/>
        </w:rPr>
        <w:t>que</w:t>
      </w:r>
      <w:r>
        <w:rPr>
          <w:color w:val="231F20"/>
          <w:w w:val="113"/>
        </w:rPr>
        <w:t> </w:t>
      </w:r>
      <w:r>
        <w:rPr>
          <w:color w:val="231F20"/>
          <w:w w:val="110"/>
        </w:rPr>
        <w:t>reflejaba claramente, cómo había quedado conformada</w:t>
      </w:r>
      <w:r>
        <w:rPr>
          <w:color w:val="231F20"/>
          <w:spacing w:val="25"/>
          <w:w w:val="110"/>
        </w:rPr>
        <w:t> </w:t>
      </w:r>
      <w:r>
        <w:rPr>
          <w:color w:val="231F20"/>
          <w:w w:val="110"/>
        </w:rPr>
        <w:t>la</w:t>
      </w:r>
      <w:r>
        <w:rPr>
          <w:color w:val="231F20"/>
          <w:spacing w:val="22"/>
          <w:w w:val="110"/>
        </w:rPr>
        <w:t> </w:t>
      </w:r>
      <w:r>
        <w:rPr>
          <w:color w:val="231F20"/>
          <w:w w:val="110"/>
        </w:rPr>
        <w:t>distribu-</w:t>
      </w:r>
      <w:r>
        <w:rPr>
          <w:color w:val="231F20"/>
          <w:w w:val="72"/>
        </w:rPr>
        <w:t> </w:t>
      </w:r>
      <w:r>
        <w:rPr>
          <w:color w:val="231F20"/>
          <w:w w:val="110"/>
        </w:rPr>
        <w:t>ción internacional de poderes después de la guerra.</w:t>
      </w:r>
      <w:r>
        <w:rPr>
          <w:color w:val="231F20"/>
          <w:spacing w:val="20"/>
          <w:w w:val="110"/>
        </w:rPr>
        <w:t> </w:t>
      </w:r>
      <w:r>
        <w:rPr>
          <w:color w:val="231F20"/>
          <w:w w:val="110"/>
        </w:rPr>
        <w:t>Estados</w:t>
      </w:r>
      <w:r>
        <w:rPr>
          <w:color w:val="231F20"/>
          <w:spacing w:val="2"/>
          <w:w w:val="110"/>
        </w:rPr>
        <w:t> </w:t>
      </w:r>
      <w:r>
        <w:rPr>
          <w:color w:val="231F20"/>
          <w:w w:val="110"/>
        </w:rPr>
        <w:t>Unidos,</w:t>
      </w:r>
      <w:r>
        <w:rPr>
          <w:color w:val="231F20"/>
          <w:w w:val="108"/>
        </w:rPr>
        <w:t> </w:t>
      </w:r>
      <w:r>
        <w:rPr>
          <w:color w:val="231F20"/>
          <w:w w:val="110"/>
        </w:rPr>
        <w:t>devenido como potencia hegemónica absoluta, detentaba</w:t>
      </w:r>
      <w:r>
        <w:rPr>
          <w:color w:val="231F20"/>
          <w:spacing w:val="31"/>
          <w:w w:val="110"/>
        </w:rPr>
        <w:t> </w:t>
      </w:r>
      <w:r>
        <w:rPr>
          <w:color w:val="231F20"/>
          <w:w w:val="110"/>
        </w:rPr>
        <w:t>el</w:t>
      </w:r>
      <w:r>
        <w:rPr>
          <w:color w:val="231F20"/>
          <w:spacing w:val="32"/>
          <w:w w:val="110"/>
        </w:rPr>
        <w:t> </w:t>
      </w:r>
      <w:r>
        <w:rPr>
          <w:color w:val="231F20"/>
          <w:spacing w:val="-3"/>
          <w:w w:val="110"/>
        </w:rPr>
        <w:t>dólar,</w:t>
      </w:r>
      <w:r>
        <w:rPr>
          <w:color w:val="231F20"/>
          <w:w w:val="104"/>
        </w:rPr>
        <w:t> </w:t>
      </w:r>
      <w:r>
        <w:rPr>
          <w:color w:val="231F20"/>
          <w:w w:val="110"/>
        </w:rPr>
        <w:t>moneda centro del sistema y única convertible oficialmente</w:t>
      </w:r>
      <w:r>
        <w:rPr>
          <w:color w:val="231F20"/>
          <w:spacing w:val="25"/>
          <w:w w:val="110"/>
        </w:rPr>
        <w:t> </w:t>
      </w:r>
      <w:r>
        <w:rPr>
          <w:color w:val="231F20"/>
          <w:w w:val="110"/>
        </w:rPr>
        <w:t>con</w:t>
      </w:r>
      <w:r>
        <w:rPr>
          <w:color w:val="231F20"/>
          <w:spacing w:val="10"/>
          <w:w w:val="110"/>
        </w:rPr>
        <w:t> </w:t>
      </w:r>
      <w:r>
        <w:rPr>
          <w:color w:val="231F20"/>
          <w:w w:val="110"/>
        </w:rPr>
        <w:t>re-</w:t>
      </w:r>
      <w:r>
        <w:rPr>
          <w:color w:val="231F20"/>
          <w:w w:val="72"/>
        </w:rPr>
        <w:t> </w:t>
      </w:r>
      <w:r>
        <w:rPr>
          <w:color w:val="231F20"/>
          <w:w w:val="110"/>
        </w:rPr>
        <w:t>lación al oro a escala internacional. El resto de los países,</w:t>
      </w:r>
      <w:r>
        <w:rPr>
          <w:color w:val="231F20"/>
          <w:spacing w:val="44"/>
          <w:w w:val="110"/>
        </w:rPr>
        <w:t> </w:t>
      </w:r>
      <w:r>
        <w:rPr>
          <w:color w:val="231F20"/>
          <w:w w:val="110"/>
        </w:rPr>
        <w:t>en</w:t>
      </w:r>
      <w:r>
        <w:rPr>
          <w:color w:val="231F20"/>
          <w:spacing w:val="14"/>
          <w:w w:val="110"/>
        </w:rPr>
        <w:t> </w:t>
      </w:r>
      <w:r>
        <w:rPr>
          <w:color w:val="231F20"/>
          <w:w w:val="110"/>
        </w:rPr>
        <w:t>lugar</w:t>
      </w:r>
      <w:r>
        <w:rPr>
          <w:color w:val="231F20"/>
          <w:w w:val="109"/>
        </w:rPr>
        <w:t> </w:t>
      </w:r>
      <w:r>
        <w:rPr>
          <w:color w:val="231F20"/>
          <w:w w:val="110"/>
        </w:rPr>
        <w:t>de atesorar oro como activo de reserva, pasaron a</w:t>
      </w:r>
      <w:r>
        <w:rPr>
          <w:color w:val="231F20"/>
          <w:spacing w:val="48"/>
          <w:w w:val="110"/>
        </w:rPr>
        <w:t> </w:t>
      </w:r>
      <w:r>
        <w:rPr>
          <w:color w:val="231F20"/>
          <w:w w:val="110"/>
        </w:rPr>
        <w:t>mantener</w:t>
      </w:r>
      <w:r>
        <w:rPr>
          <w:color w:val="231F20"/>
          <w:spacing w:val="5"/>
          <w:w w:val="110"/>
        </w:rPr>
        <w:t> </w:t>
      </w:r>
      <w:r>
        <w:rPr>
          <w:color w:val="231F20"/>
          <w:w w:val="110"/>
        </w:rPr>
        <w:t>directa-</w:t>
      </w:r>
      <w:r>
        <w:rPr>
          <w:color w:val="231F20"/>
          <w:w w:val="72"/>
        </w:rPr>
        <w:t> </w:t>
      </w:r>
      <w:r>
        <w:rPr>
          <w:color w:val="231F20"/>
          <w:w w:val="110"/>
        </w:rPr>
        <w:t>mente la moneda estadunidense, lo cual aseguró la hegemonía</w:t>
      </w:r>
      <w:r>
        <w:rPr>
          <w:color w:val="231F20"/>
          <w:spacing w:val="45"/>
          <w:w w:val="110"/>
        </w:rPr>
        <w:t> </w:t>
      </w:r>
      <w:r>
        <w:rPr>
          <w:color w:val="231F20"/>
          <w:w w:val="110"/>
        </w:rPr>
        <w:t>en</w:t>
      </w:r>
      <w:r>
        <w:rPr>
          <w:color w:val="231F20"/>
          <w:spacing w:val="5"/>
          <w:w w:val="110"/>
        </w:rPr>
        <w:t> </w:t>
      </w:r>
      <w:r>
        <w:rPr>
          <w:color w:val="231F20"/>
          <w:w w:val="110"/>
        </w:rPr>
        <w:t>el</w:t>
      </w:r>
      <w:r>
        <w:rPr>
          <w:color w:val="231F20"/>
          <w:w w:val="108"/>
        </w:rPr>
        <w:t> </w:t>
      </w:r>
      <w:r>
        <w:rPr>
          <w:color w:val="231F20"/>
          <w:w w:val="110"/>
        </w:rPr>
        <w:t>campo</w:t>
      </w:r>
      <w:r>
        <w:rPr>
          <w:color w:val="231F20"/>
          <w:spacing w:val="-19"/>
          <w:w w:val="110"/>
        </w:rPr>
        <w:t> </w:t>
      </w:r>
      <w:r>
        <w:rPr>
          <w:color w:val="231F20"/>
          <w:w w:val="110"/>
        </w:rPr>
        <w:t>monetario-financiero.</w:t>
      </w:r>
      <w:r>
        <w:rPr>
          <w:color w:val="231F20"/>
          <w:spacing w:val="-19"/>
          <w:w w:val="110"/>
        </w:rPr>
        <w:t> </w:t>
      </w:r>
      <w:r>
        <w:rPr>
          <w:color w:val="231F20"/>
          <w:w w:val="110"/>
        </w:rPr>
        <w:t>Asimismo,</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contaba</w:t>
      </w:r>
      <w:r>
        <w:rPr>
          <w:color w:val="231F20"/>
          <w:spacing w:val="-19"/>
          <w:w w:val="110"/>
        </w:rPr>
        <w:t> </w:t>
      </w:r>
      <w:r>
        <w:rPr>
          <w:color w:val="231F20"/>
          <w:w w:val="110"/>
        </w:rPr>
        <w:t>con</w:t>
      </w:r>
      <w:r>
        <w:rPr>
          <w:color w:val="231F20"/>
          <w:w w:val="112"/>
        </w:rPr>
        <w:t> </w:t>
      </w:r>
      <w:r>
        <w:rPr>
          <w:color w:val="231F20"/>
          <w:w w:val="110"/>
        </w:rPr>
        <w:t>el Fondo Monetario Internacional (fmi) y el Banco</w:t>
      </w:r>
      <w:r>
        <w:rPr>
          <w:color w:val="231F20"/>
          <w:spacing w:val="7"/>
          <w:w w:val="110"/>
        </w:rPr>
        <w:t> </w:t>
      </w:r>
      <w:r>
        <w:rPr>
          <w:color w:val="231F20"/>
          <w:w w:val="110"/>
        </w:rPr>
        <w:t>Mundial</w:t>
      </w:r>
      <w:r>
        <w:rPr>
          <w:color w:val="231F20"/>
          <w:spacing w:val="21"/>
          <w:w w:val="110"/>
        </w:rPr>
        <w:t> </w:t>
      </w:r>
      <w:r>
        <w:rPr>
          <w:color w:val="231F20"/>
          <w:w w:val="110"/>
        </w:rPr>
        <w:t>(bm),</w:t>
      </w:r>
      <w:r>
        <w:rPr>
          <w:color w:val="231F20"/>
          <w:w w:val="120"/>
        </w:rPr>
        <w:t> </w:t>
      </w:r>
      <w:r>
        <w:rPr>
          <w:color w:val="231F20"/>
          <w:w w:val="110"/>
        </w:rPr>
        <w:t>instituciones que defenderían y administrarían el</w:t>
      </w:r>
      <w:r>
        <w:rPr>
          <w:color w:val="231F20"/>
          <w:spacing w:val="27"/>
          <w:w w:val="110"/>
        </w:rPr>
        <w:t> </w:t>
      </w:r>
      <w:r>
        <w:rPr>
          <w:color w:val="231F20"/>
          <w:w w:val="110"/>
        </w:rPr>
        <w:t>sistema,</w:t>
      </w:r>
      <w:r>
        <w:rPr>
          <w:color w:val="231F20"/>
          <w:spacing w:val="4"/>
          <w:w w:val="110"/>
        </w:rPr>
        <w:t> </w:t>
      </w:r>
      <w:r>
        <w:rPr>
          <w:color w:val="231F20"/>
          <w:w w:val="110"/>
        </w:rPr>
        <w:t>aseguran-</w:t>
      </w:r>
      <w:r>
        <w:rPr>
          <w:color w:val="231F20"/>
          <w:w w:val="72"/>
        </w:rPr>
        <w:t> </w:t>
      </w:r>
      <w:r>
        <w:rPr>
          <w:color w:val="231F20"/>
          <w:w w:val="110"/>
        </w:rPr>
        <w:t>do que sus políticas fueran funcionales a los intereses</w:t>
      </w:r>
      <w:r>
        <w:rPr>
          <w:color w:val="231F20"/>
          <w:spacing w:val="42"/>
          <w:w w:val="110"/>
        </w:rPr>
        <w:t> </w:t>
      </w:r>
      <w:r>
        <w:rPr>
          <w:color w:val="231F20"/>
          <w:w w:val="110"/>
        </w:rPr>
        <w:t>del</w:t>
      </w:r>
      <w:r>
        <w:rPr>
          <w:color w:val="231F20"/>
          <w:spacing w:val="4"/>
          <w:w w:val="110"/>
        </w:rPr>
        <w:t> </w:t>
      </w:r>
      <w:r>
        <w:rPr>
          <w:color w:val="231F20"/>
          <w:w w:val="110"/>
        </w:rPr>
        <w:t>hegemón.</w:t>
      </w:r>
      <w:r>
        <w:rPr>
          <w:color w:val="231F20"/>
          <w:w w:val="112"/>
        </w:rPr>
        <w:t> </w:t>
      </w:r>
      <w:r>
        <w:rPr>
          <w:color w:val="231F20"/>
          <w:w w:val="110"/>
        </w:rPr>
        <w:t>Cuando en 1971, el smi se hizo insostenible por</w:t>
      </w:r>
      <w:r>
        <w:rPr>
          <w:color w:val="231F20"/>
          <w:spacing w:val="13"/>
          <w:w w:val="110"/>
        </w:rPr>
        <w:t> </w:t>
      </w:r>
      <w:r>
        <w:rPr>
          <w:color w:val="231F20"/>
          <w:w w:val="110"/>
        </w:rPr>
        <w:t>la</w:t>
      </w:r>
      <w:r>
        <w:rPr>
          <w:color w:val="231F20"/>
          <w:spacing w:val="7"/>
          <w:w w:val="110"/>
        </w:rPr>
        <w:t> </w:t>
      </w:r>
      <w:r>
        <w:rPr>
          <w:color w:val="231F20"/>
          <w:w w:val="110"/>
        </w:rPr>
        <w:t>contradicción</w:t>
      </w:r>
      <w:r>
        <w:rPr>
          <w:color w:val="231F20"/>
          <w:w w:val="110"/>
        </w:rPr>
        <w:t> </w:t>
      </w:r>
      <w:r>
        <w:rPr>
          <w:color w:val="231F20"/>
          <w:w w:val="110"/>
        </w:rPr>
        <w:t>entre confianza y liquidez que su propia</w:t>
      </w:r>
      <w:r>
        <w:rPr>
          <w:color w:val="231F20"/>
          <w:spacing w:val="30"/>
          <w:w w:val="110"/>
        </w:rPr>
        <w:t> </w:t>
      </w:r>
      <w:r>
        <w:rPr>
          <w:color w:val="231F20"/>
          <w:w w:val="110"/>
        </w:rPr>
        <w:t>configuración</w:t>
      </w:r>
      <w:r>
        <w:rPr>
          <w:color w:val="231F20"/>
          <w:spacing w:val="28"/>
          <w:w w:val="110"/>
        </w:rPr>
        <w:t> </w:t>
      </w:r>
      <w:r>
        <w:rPr>
          <w:color w:val="231F20"/>
          <w:w w:val="110"/>
        </w:rPr>
        <w:t>generaba,</w:t>
      </w:r>
      <w:r>
        <w:rPr>
          <w:color w:val="231F20"/>
          <w:w w:val="110"/>
          <w:position w:val="6"/>
          <w:sz w:val="13"/>
        </w:rPr>
        <w:t>1</w:t>
      </w:r>
      <w:r>
        <w:rPr>
          <w:color w:val="231F20"/>
          <w:w w:val="104"/>
          <w:position w:val="6"/>
          <w:sz w:val="13"/>
        </w:rPr>
        <w:t> </w:t>
      </w:r>
      <w:r>
        <w:rPr>
          <w:color w:val="231F20"/>
          <w:w w:val="110"/>
        </w:rPr>
        <w:t>Estados Unidos canceló unilateralmente la convertibilidad</w:t>
      </w:r>
      <w:r>
        <w:rPr>
          <w:color w:val="231F20"/>
          <w:spacing w:val="37"/>
          <w:w w:val="110"/>
        </w:rPr>
        <w:t> </w:t>
      </w:r>
      <w:r>
        <w:rPr>
          <w:color w:val="231F20"/>
          <w:w w:val="110"/>
        </w:rPr>
        <w:t>del</w:t>
      </w:r>
      <w:r>
        <w:rPr>
          <w:color w:val="231F20"/>
          <w:spacing w:val="6"/>
          <w:w w:val="110"/>
        </w:rPr>
        <w:t> </w:t>
      </w:r>
      <w:r>
        <w:rPr>
          <w:color w:val="231F20"/>
          <w:w w:val="110"/>
        </w:rPr>
        <w:t>dólar</w:t>
      </w:r>
      <w:r>
        <w:rPr>
          <w:color w:val="231F20"/>
          <w:w w:val="111"/>
        </w:rPr>
        <w:t> </w:t>
      </w:r>
      <w:r>
        <w:rPr>
          <w:color w:val="231F20"/>
          <w:w w:val="110"/>
        </w:rPr>
        <w:t>en oro. El colapso del smi de Bretton </w:t>
      </w:r>
      <w:r>
        <w:rPr>
          <w:color w:val="231F20"/>
          <w:spacing w:val="-3"/>
          <w:w w:val="110"/>
        </w:rPr>
        <w:t>Woods </w:t>
      </w:r>
      <w:r>
        <w:rPr>
          <w:color w:val="231F20"/>
          <w:w w:val="110"/>
        </w:rPr>
        <w:t>y la declinación</w:t>
      </w:r>
      <w:r>
        <w:rPr>
          <w:color w:val="231F20"/>
          <w:spacing w:val="21"/>
          <w:w w:val="110"/>
        </w:rPr>
        <w:t> </w:t>
      </w:r>
      <w:r>
        <w:rPr>
          <w:color w:val="231F20"/>
          <w:w w:val="110"/>
        </w:rPr>
        <w:t>de</w:t>
      </w:r>
      <w:r>
        <w:rPr>
          <w:color w:val="231F20"/>
          <w:spacing w:val="10"/>
          <w:w w:val="110"/>
        </w:rPr>
        <w:t> </w:t>
      </w:r>
      <w:r>
        <w:rPr>
          <w:color w:val="231F20"/>
          <w:w w:val="110"/>
        </w:rPr>
        <w:t>la</w:t>
      </w:r>
      <w:r>
        <w:rPr>
          <w:color w:val="231F20"/>
          <w:w w:val="105"/>
        </w:rPr>
        <w:t> </w:t>
      </w:r>
      <w:r>
        <w:rPr>
          <w:color w:val="231F20"/>
          <w:w w:val="110"/>
        </w:rPr>
        <w:t>preponderancia del </w:t>
      </w:r>
      <w:r>
        <w:rPr>
          <w:color w:val="231F20"/>
          <w:spacing w:val="-3"/>
          <w:w w:val="110"/>
        </w:rPr>
        <w:t>dólar, </w:t>
      </w:r>
      <w:r>
        <w:rPr>
          <w:color w:val="231F20"/>
          <w:w w:val="110"/>
        </w:rPr>
        <w:t>reflejaban en última instancia, que</w:t>
      </w:r>
      <w:r>
        <w:rPr>
          <w:color w:val="231F20"/>
          <w:spacing w:val="7"/>
          <w:w w:val="110"/>
        </w:rPr>
        <w:t> </w:t>
      </w:r>
      <w:r>
        <w:rPr>
          <w:color w:val="231F20"/>
          <w:w w:val="110"/>
        </w:rPr>
        <w:t>el</w:t>
      </w:r>
      <w:r>
        <w:rPr>
          <w:color w:val="231F20"/>
          <w:spacing w:val="7"/>
          <w:w w:val="110"/>
        </w:rPr>
        <w:t> </w:t>
      </w:r>
      <w:r>
        <w:rPr>
          <w:color w:val="231F20"/>
          <w:w w:val="110"/>
        </w:rPr>
        <w:t>pre-</w:t>
      </w:r>
      <w:r>
        <w:rPr>
          <w:color w:val="231F20"/>
          <w:w w:val="72"/>
        </w:rPr>
        <w:t> </w:t>
      </w:r>
      <w:r>
        <w:rPr>
          <w:color w:val="231F20"/>
          <w:w w:val="110"/>
        </w:rPr>
        <w:t>dominio industrial de Estados Unidos había decaído   relativamente,</w:t>
      </w:r>
    </w:p>
    <w:p>
      <w:pPr>
        <w:pStyle w:val="BodyText"/>
        <w:ind w:left="100" w:right="25"/>
      </w:pPr>
      <w:r>
        <w:rPr>
          <w:color w:val="231F20"/>
          <w:w w:val="110"/>
        </w:rPr>
        <w:t>en comparación con el de Europa y  Japón.</w:t>
      </w:r>
    </w:p>
    <w:p>
      <w:pPr>
        <w:pStyle w:val="BodyText"/>
        <w:spacing w:line="261" w:lineRule="auto" w:before="20"/>
        <w:ind w:left="100" w:right="119" w:firstLine="240"/>
        <w:jc w:val="both"/>
      </w:pPr>
      <w:r>
        <w:rPr>
          <w:color w:val="231F20"/>
          <w:w w:val="110"/>
        </w:rPr>
        <w:t>Aunque</w:t>
      </w:r>
      <w:r>
        <w:rPr>
          <w:color w:val="231F20"/>
          <w:spacing w:val="-28"/>
          <w:w w:val="110"/>
        </w:rPr>
        <w:t> </w:t>
      </w:r>
      <w:r>
        <w:rPr>
          <w:color w:val="231F20"/>
          <w:w w:val="110"/>
        </w:rPr>
        <w:t>con</w:t>
      </w:r>
      <w:r>
        <w:rPr>
          <w:color w:val="231F20"/>
          <w:spacing w:val="-28"/>
          <w:w w:val="110"/>
        </w:rPr>
        <w:t> </w:t>
      </w:r>
      <w:r>
        <w:rPr>
          <w:color w:val="231F20"/>
          <w:w w:val="110"/>
        </w:rPr>
        <w:t>menos</w:t>
      </w:r>
      <w:r>
        <w:rPr>
          <w:color w:val="231F20"/>
          <w:spacing w:val="-28"/>
          <w:w w:val="110"/>
        </w:rPr>
        <w:t> </w:t>
      </w:r>
      <w:r>
        <w:rPr>
          <w:color w:val="231F20"/>
          <w:w w:val="110"/>
        </w:rPr>
        <w:t>ventajas</w:t>
      </w:r>
      <w:r>
        <w:rPr>
          <w:color w:val="231F20"/>
          <w:spacing w:val="-28"/>
          <w:w w:val="110"/>
        </w:rPr>
        <w:t> </w:t>
      </w:r>
      <w:r>
        <w:rPr>
          <w:color w:val="231F20"/>
          <w:w w:val="110"/>
        </w:rPr>
        <w:t>relativas,</w:t>
      </w:r>
      <w:r>
        <w:rPr>
          <w:color w:val="231F20"/>
          <w:spacing w:val="-28"/>
          <w:w w:val="110"/>
        </w:rPr>
        <w:t> </w:t>
      </w:r>
      <w:r>
        <w:rPr>
          <w:color w:val="231F20"/>
          <w:w w:val="110"/>
        </w:rPr>
        <w:t>Estados</w:t>
      </w:r>
      <w:r>
        <w:rPr>
          <w:color w:val="231F20"/>
          <w:spacing w:val="-28"/>
          <w:w w:val="110"/>
        </w:rPr>
        <w:t> </w:t>
      </w:r>
      <w:r>
        <w:rPr>
          <w:color w:val="231F20"/>
          <w:w w:val="110"/>
        </w:rPr>
        <w:t>Unidos</w:t>
      </w:r>
      <w:r>
        <w:rPr>
          <w:color w:val="231F20"/>
          <w:spacing w:val="-28"/>
          <w:w w:val="110"/>
        </w:rPr>
        <w:t> </w:t>
      </w:r>
      <w:r>
        <w:rPr>
          <w:color w:val="231F20"/>
          <w:w w:val="110"/>
        </w:rPr>
        <w:t>siguió</w:t>
      </w:r>
      <w:r>
        <w:rPr>
          <w:color w:val="231F20"/>
          <w:spacing w:val="-28"/>
          <w:w w:val="110"/>
        </w:rPr>
        <w:t> </w:t>
      </w:r>
      <w:r>
        <w:rPr>
          <w:color w:val="231F20"/>
          <w:w w:val="110"/>
        </w:rPr>
        <w:t>siendo</w:t>
      </w:r>
      <w:r>
        <w:rPr>
          <w:color w:val="231F20"/>
          <w:spacing w:val="-1"/>
          <w:w w:val="110"/>
        </w:rPr>
        <w:t> </w:t>
      </w:r>
      <w:r>
        <w:rPr>
          <w:color w:val="231F20"/>
          <w:w w:val="110"/>
        </w:rPr>
        <w:t>la</w:t>
      </w:r>
      <w:r>
        <w:rPr>
          <w:color w:val="231F20"/>
          <w:spacing w:val="-15"/>
          <w:w w:val="110"/>
        </w:rPr>
        <w:t> </w:t>
      </w:r>
      <w:r>
        <w:rPr>
          <w:color w:val="231F20"/>
          <w:w w:val="110"/>
        </w:rPr>
        <w:t>economía</w:t>
      </w:r>
      <w:r>
        <w:rPr>
          <w:color w:val="231F20"/>
          <w:spacing w:val="-15"/>
          <w:w w:val="110"/>
        </w:rPr>
        <w:t> </w:t>
      </w:r>
      <w:r>
        <w:rPr>
          <w:color w:val="231F20"/>
          <w:w w:val="110"/>
        </w:rPr>
        <w:t>industrializada</w:t>
      </w:r>
      <w:r>
        <w:rPr>
          <w:color w:val="231F20"/>
          <w:spacing w:val="-15"/>
          <w:w w:val="110"/>
        </w:rPr>
        <w:t> </w:t>
      </w:r>
      <w:r>
        <w:rPr>
          <w:color w:val="231F20"/>
          <w:w w:val="110"/>
        </w:rPr>
        <w:t>líder</w:t>
      </w:r>
      <w:r>
        <w:rPr>
          <w:color w:val="231F20"/>
          <w:spacing w:val="-15"/>
          <w:w w:val="110"/>
        </w:rPr>
        <w:t> </w:t>
      </w:r>
      <w:r>
        <w:rPr>
          <w:color w:val="231F20"/>
          <w:w w:val="110"/>
        </w:rPr>
        <w:t>y</w:t>
      </w:r>
      <w:r>
        <w:rPr>
          <w:color w:val="231F20"/>
          <w:spacing w:val="-15"/>
          <w:w w:val="110"/>
        </w:rPr>
        <w:t> </w:t>
      </w:r>
      <w:r>
        <w:rPr>
          <w:color w:val="231F20"/>
          <w:w w:val="110"/>
        </w:rPr>
        <w:t>Nueva</w:t>
      </w:r>
      <w:r>
        <w:rPr>
          <w:color w:val="231F20"/>
          <w:spacing w:val="-15"/>
          <w:w w:val="110"/>
        </w:rPr>
        <w:t> </w:t>
      </w:r>
      <w:r>
        <w:rPr>
          <w:color w:val="231F20"/>
          <w:spacing w:val="-3"/>
          <w:w w:val="110"/>
        </w:rPr>
        <w:t>York,</w:t>
      </w:r>
      <w:r>
        <w:rPr>
          <w:color w:val="231F20"/>
          <w:spacing w:val="-15"/>
          <w:w w:val="110"/>
        </w:rPr>
        <w:t> </w:t>
      </w:r>
      <w:r>
        <w:rPr>
          <w:color w:val="231F20"/>
          <w:w w:val="110"/>
        </w:rPr>
        <w:t>el</w:t>
      </w:r>
      <w:r>
        <w:rPr>
          <w:color w:val="231F20"/>
          <w:spacing w:val="-15"/>
          <w:w w:val="110"/>
        </w:rPr>
        <w:t> </w:t>
      </w:r>
      <w:r>
        <w:rPr>
          <w:color w:val="231F20"/>
          <w:w w:val="110"/>
        </w:rPr>
        <w:t>principal</w:t>
      </w:r>
      <w:r>
        <w:rPr>
          <w:color w:val="231F20"/>
          <w:spacing w:val="-15"/>
          <w:w w:val="110"/>
        </w:rPr>
        <w:t> </w:t>
      </w:r>
      <w:r>
        <w:rPr>
          <w:color w:val="231F20"/>
          <w:w w:val="110"/>
        </w:rPr>
        <w:t>centro</w:t>
      </w:r>
      <w:r>
        <w:rPr>
          <w:color w:val="231F20"/>
          <w:spacing w:val="-15"/>
          <w:w w:val="110"/>
        </w:rPr>
        <w:t> </w:t>
      </w:r>
      <w:r>
        <w:rPr>
          <w:color w:val="231F20"/>
          <w:w w:val="110"/>
        </w:rPr>
        <w:t>fi- nanciero,</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indujo</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países</w:t>
      </w:r>
      <w:r>
        <w:rPr>
          <w:color w:val="231F20"/>
          <w:spacing w:val="-13"/>
          <w:w w:val="110"/>
        </w:rPr>
        <w:t> </w:t>
      </w:r>
      <w:r>
        <w:rPr>
          <w:color w:val="231F20"/>
          <w:w w:val="110"/>
        </w:rPr>
        <w:t>a</w:t>
      </w:r>
      <w:r>
        <w:rPr>
          <w:color w:val="231F20"/>
          <w:spacing w:val="-13"/>
          <w:w w:val="110"/>
        </w:rPr>
        <w:t> </w:t>
      </w:r>
      <w:r>
        <w:rPr>
          <w:color w:val="231F20"/>
          <w:w w:val="110"/>
        </w:rPr>
        <w:t>mantener</w:t>
      </w:r>
      <w:r>
        <w:rPr>
          <w:color w:val="231F20"/>
          <w:spacing w:val="-13"/>
          <w:w w:val="110"/>
        </w:rPr>
        <w:t> </w:t>
      </w:r>
      <w:r>
        <w:rPr>
          <w:color w:val="231F20"/>
          <w:w w:val="110"/>
        </w:rPr>
        <w:t>una</w:t>
      </w:r>
      <w:r>
        <w:rPr>
          <w:color w:val="231F20"/>
          <w:spacing w:val="-13"/>
          <w:w w:val="110"/>
        </w:rPr>
        <w:t> </w:t>
      </w:r>
      <w:r>
        <w:rPr>
          <w:color w:val="231F20"/>
          <w:w w:val="110"/>
        </w:rPr>
        <w:t>porción</w:t>
      </w:r>
      <w:r>
        <w:rPr>
          <w:color w:val="231F20"/>
          <w:spacing w:val="-13"/>
          <w:w w:val="110"/>
        </w:rPr>
        <w:t> </w:t>
      </w:r>
      <w:r>
        <w:rPr>
          <w:color w:val="231F20"/>
          <w:w w:val="110"/>
        </w:rPr>
        <w:t>sustancial de</w:t>
      </w:r>
      <w:r>
        <w:rPr>
          <w:color w:val="231F20"/>
          <w:spacing w:val="-25"/>
          <w:w w:val="110"/>
        </w:rPr>
        <w:t> </w:t>
      </w:r>
      <w:r>
        <w:rPr>
          <w:color w:val="231F20"/>
          <w:w w:val="110"/>
        </w:rPr>
        <w:t>sus</w:t>
      </w:r>
      <w:r>
        <w:rPr>
          <w:color w:val="231F20"/>
          <w:spacing w:val="-25"/>
          <w:w w:val="110"/>
        </w:rPr>
        <w:t> </w:t>
      </w:r>
      <w:r>
        <w:rPr>
          <w:color w:val="231F20"/>
          <w:w w:val="110"/>
        </w:rPr>
        <w:t>reservas</w:t>
      </w:r>
      <w:r>
        <w:rPr>
          <w:color w:val="231F20"/>
          <w:spacing w:val="-25"/>
          <w:w w:val="110"/>
        </w:rPr>
        <w:t> </w:t>
      </w:r>
      <w:r>
        <w:rPr>
          <w:color w:val="231F20"/>
          <w:w w:val="110"/>
        </w:rPr>
        <w:t>en</w:t>
      </w:r>
      <w:r>
        <w:rPr>
          <w:color w:val="231F20"/>
          <w:spacing w:val="-25"/>
          <w:w w:val="110"/>
        </w:rPr>
        <w:t> </w:t>
      </w:r>
      <w:r>
        <w:rPr>
          <w:color w:val="231F20"/>
          <w:w w:val="110"/>
        </w:rPr>
        <w:t>dólares</w:t>
      </w:r>
      <w:r>
        <w:rPr>
          <w:color w:val="231F20"/>
          <w:spacing w:val="-25"/>
          <w:w w:val="110"/>
        </w:rPr>
        <w:t> </w:t>
      </w:r>
      <w:r>
        <w:rPr>
          <w:color w:val="231F20"/>
          <w:w w:val="110"/>
        </w:rPr>
        <w:t>(Eichengreen,</w:t>
      </w:r>
      <w:r>
        <w:rPr>
          <w:color w:val="231F20"/>
          <w:spacing w:val="-25"/>
          <w:w w:val="110"/>
        </w:rPr>
        <w:t> </w:t>
      </w:r>
      <w:r>
        <w:rPr>
          <w:color w:val="231F20"/>
          <w:w w:val="110"/>
        </w:rPr>
        <w:t>2000).</w:t>
      </w:r>
      <w:r>
        <w:rPr>
          <w:color w:val="231F20"/>
          <w:spacing w:val="-25"/>
          <w:w w:val="110"/>
        </w:rPr>
        <w:t> </w:t>
      </w:r>
      <w:r>
        <w:rPr>
          <w:color w:val="231F20"/>
          <w:w w:val="110"/>
        </w:rPr>
        <w:t>Así,</w:t>
      </w:r>
      <w:r>
        <w:rPr>
          <w:color w:val="231F20"/>
          <w:spacing w:val="-25"/>
          <w:w w:val="110"/>
        </w:rPr>
        <w:t> </w:t>
      </w:r>
      <w:r>
        <w:rPr>
          <w:color w:val="231F20"/>
          <w:w w:val="110"/>
        </w:rPr>
        <w:t>el</w:t>
      </w:r>
      <w:r>
        <w:rPr>
          <w:color w:val="231F20"/>
          <w:spacing w:val="-25"/>
          <w:w w:val="110"/>
        </w:rPr>
        <w:t> </w:t>
      </w:r>
      <w:r>
        <w:rPr>
          <w:color w:val="231F20"/>
          <w:w w:val="110"/>
        </w:rPr>
        <w:t>smi</w:t>
      </w:r>
      <w:r>
        <w:rPr>
          <w:color w:val="231F20"/>
          <w:spacing w:val="-25"/>
          <w:w w:val="110"/>
        </w:rPr>
        <w:t> </w:t>
      </w:r>
      <w:r>
        <w:rPr>
          <w:color w:val="231F20"/>
          <w:w w:val="110"/>
        </w:rPr>
        <w:t>se</w:t>
      </w:r>
      <w:r>
        <w:rPr>
          <w:color w:val="231F20"/>
          <w:spacing w:val="-25"/>
          <w:w w:val="110"/>
        </w:rPr>
        <w:t> </w:t>
      </w:r>
      <w:r>
        <w:rPr>
          <w:color w:val="231F20"/>
          <w:w w:val="110"/>
        </w:rPr>
        <w:t>convirtió en puro patrón </w:t>
      </w:r>
      <w:r>
        <w:rPr>
          <w:color w:val="231F20"/>
          <w:spacing w:val="-4"/>
          <w:w w:val="110"/>
        </w:rPr>
        <w:t>dólar, </w:t>
      </w:r>
      <w:r>
        <w:rPr>
          <w:color w:val="231F20"/>
          <w:w w:val="110"/>
        </w:rPr>
        <w:t>al sustituir al oro como principal activo de re- serva</w:t>
      </w:r>
      <w:r>
        <w:rPr>
          <w:color w:val="231F20"/>
          <w:spacing w:val="-18"/>
          <w:w w:val="110"/>
        </w:rPr>
        <w:t> </w:t>
      </w:r>
      <w:r>
        <w:rPr>
          <w:color w:val="231F20"/>
          <w:w w:val="110"/>
        </w:rPr>
        <w:t>internacional</w:t>
      </w:r>
      <w:r>
        <w:rPr>
          <w:color w:val="231F20"/>
          <w:spacing w:val="-18"/>
          <w:w w:val="110"/>
        </w:rPr>
        <w:t> </w:t>
      </w:r>
      <w:r>
        <w:rPr>
          <w:color w:val="231F20"/>
          <w:w w:val="110"/>
        </w:rPr>
        <w:t>con</w:t>
      </w:r>
      <w:r>
        <w:rPr>
          <w:color w:val="231F20"/>
          <w:spacing w:val="-18"/>
          <w:w w:val="110"/>
        </w:rPr>
        <w:t> </w:t>
      </w:r>
      <w:r>
        <w:rPr>
          <w:color w:val="231F20"/>
          <w:w w:val="110"/>
        </w:rPr>
        <w:t>esta</w:t>
      </w:r>
      <w:r>
        <w:rPr>
          <w:color w:val="231F20"/>
          <w:spacing w:val="-18"/>
          <w:w w:val="110"/>
        </w:rPr>
        <w:t> </w:t>
      </w:r>
      <w:r>
        <w:rPr>
          <w:color w:val="231F20"/>
          <w:w w:val="110"/>
        </w:rPr>
        <w:t>moneda,</w:t>
      </w:r>
      <w:r>
        <w:rPr>
          <w:color w:val="231F20"/>
          <w:spacing w:val="-18"/>
          <w:w w:val="110"/>
        </w:rPr>
        <w:t> </w:t>
      </w:r>
      <w:r>
        <w:rPr>
          <w:color w:val="231F20"/>
          <w:w w:val="110"/>
        </w:rPr>
        <w:t>devenir</w:t>
      </w:r>
      <w:r>
        <w:rPr>
          <w:color w:val="231F20"/>
          <w:spacing w:val="-18"/>
          <w:w w:val="110"/>
        </w:rPr>
        <w:t> </w:t>
      </w:r>
      <w:r>
        <w:rPr>
          <w:color w:val="231F20"/>
          <w:w w:val="110"/>
        </w:rPr>
        <w:t>principal</w:t>
      </w:r>
      <w:r>
        <w:rPr>
          <w:color w:val="231F20"/>
          <w:spacing w:val="-18"/>
          <w:w w:val="110"/>
        </w:rPr>
        <w:t> </w:t>
      </w:r>
      <w:r>
        <w:rPr>
          <w:color w:val="231F20"/>
          <w:w w:val="110"/>
        </w:rPr>
        <w:t>medio</w:t>
      </w:r>
      <w:r>
        <w:rPr>
          <w:color w:val="231F20"/>
          <w:spacing w:val="-18"/>
          <w:w w:val="110"/>
        </w:rPr>
        <w:t> </w:t>
      </w:r>
      <w:r>
        <w:rPr>
          <w:color w:val="231F20"/>
          <w:w w:val="110"/>
        </w:rPr>
        <w:t>de</w:t>
      </w:r>
      <w:r>
        <w:rPr>
          <w:color w:val="231F20"/>
          <w:spacing w:val="-18"/>
          <w:w w:val="110"/>
        </w:rPr>
        <w:t> </w:t>
      </w:r>
      <w:r>
        <w:rPr>
          <w:color w:val="231F20"/>
          <w:w w:val="110"/>
        </w:rPr>
        <w:t>pago y no existir otra moneda internacional que pudiera rivalizar con</w:t>
      </w:r>
      <w:r>
        <w:rPr>
          <w:color w:val="231F20"/>
          <w:spacing w:val="-23"/>
          <w:w w:val="110"/>
        </w:rPr>
        <w:t> </w:t>
      </w:r>
      <w:r>
        <w:rPr>
          <w:color w:val="231F20"/>
          <w:w w:val="110"/>
        </w:rPr>
        <w:t>ella.</w:t>
      </w:r>
    </w:p>
    <w:p>
      <w:pPr>
        <w:pStyle w:val="BodyText"/>
      </w:pPr>
    </w:p>
    <w:p>
      <w:pPr>
        <w:pStyle w:val="BodyText"/>
      </w:pPr>
    </w:p>
    <w:p>
      <w:pPr>
        <w:pStyle w:val="BodyText"/>
      </w:pPr>
    </w:p>
    <w:p>
      <w:pPr>
        <w:spacing w:line="261" w:lineRule="auto" w:before="141"/>
        <w:ind w:left="100" w:right="117" w:firstLine="240"/>
        <w:jc w:val="both"/>
        <w:rPr>
          <w:sz w:val="16"/>
        </w:rPr>
      </w:pPr>
      <w:r>
        <w:rPr>
          <w:color w:val="231F20"/>
          <w:w w:val="110"/>
          <w:position w:val="5"/>
          <w:sz w:val="10"/>
        </w:rPr>
        <w:t>1 </w:t>
      </w:r>
      <w:r>
        <w:rPr>
          <w:color w:val="231F20"/>
          <w:w w:val="110"/>
          <w:sz w:val="16"/>
        </w:rPr>
        <w:t>Para garantizar los niveles de liquidez internacional capaces de respaldar el crecimiento de la economía mundial, eran necesarios los déficit externos de Estados Unidos.</w:t>
      </w:r>
      <w:r>
        <w:rPr>
          <w:color w:val="231F20"/>
          <w:spacing w:val="-4"/>
          <w:w w:val="110"/>
          <w:sz w:val="16"/>
        </w:rPr>
        <w:t> </w:t>
      </w:r>
      <w:r>
        <w:rPr>
          <w:color w:val="231F20"/>
          <w:w w:val="110"/>
          <w:sz w:val="16"/>
        </w:rPr>
        <w:t>Pero,</w:t>
      </w:r>
      <w:r>
        <w:rPr>
          <w:color w:val="231F20"/>
          <w:spacing w:val="-4"/>
          <w:w w:val="110"/>
          <w:sz w:val="16"/>
        </w:rPr>
        <w:t> </w:t>
      </w:r>
      <w:r>
        <w:rPr>
          <w:color w:val="231F20"/>
          <w:w w:val="110"/>
          <w:sz w:val="16"/>
        </w:rPr>
        <w:t>al</w:t>
      </w:r>
      <w:r>
        <w:rPr>
          <w:color w:val="231F20"/>
          <w:spacing w:val="-4"/>
          <w:w w:val="110"/>
          <w:sz w:val="16"/>
        </w:rPr>
        <w:t> </w:t>
      </w:r>
      <w:r>
        <w:rPr>
          <w:color w:val="231F20"/>
          <w:w w:val="110"/>
          <w:sz w:val="16"/>
        </w:rPr>
        <w:t>mismo</w:t>
      </w:r>
      <w:r>
        <w:rPr>
          <w:color w:val="231F20"/>
          <w:spacing w:val="-4"/>
          <w:w w:val="110"/>
          <w:sz w:val="16"/>
        </w:rPr>
        <w:t> </w:t>
      </w:r>
      <w:r>
        <w:rPr>
          <w:color w:val="231F20"/>
          <w:w w:val="110"/>
          <w:sz w:val="16"/>
        </w:rPr>
        <w:t>tiempo,</w:t>
      </w:r>
      <w:r>
        <w:rPr>
          <w:color w:val="231F20"/>
          <w:spacing w:val="-4"/>
          <w:w w:val="110"/>
          <w:sz w:val="16"/>
        </w:rPr>
        <w:t> </w:t>
      </w:r>
      <w:r>
        <w:rPr>
          <w:color w:val="231F20"/>
          <w:w w:val="110"/>
          <w:sz w:val="16"/>
        </w:rPr>
        <w:t>la</w:t>
      </w:r>
      <w:r>
        <w:rPr>
          <w:color w:val="231F20"/>
          <w:spacing w:val="-4"/>
          <w:w w:val="110"/>
          <w:sz w:val="16"/>
        </w:rPr>
        <w:t> </w:t>
      </w:r>
      <w:r>
        <w:rPr>
          <w:color w:val="231F20"/>
          <w:w w:val="110"/>
          <w:sz w:val="16"/>
        </w:rPr>
        <w:t>sobreoferta</w:t>
      </w:r>
      <w:r>
        <w:rPr>
          <w:color w:val="231F20"/>
          <w:spacing w:val="-4"/>
          <w:w w:val="110"/>
          <w:sz w:val="16"/>
        </w:rPr>
        <w:t> </w:t>
      </w:r>
      <w:r>
        <w:rPr>
          <w:color w:val="231F20"/>
          <w:w w:val="110"/>
          <w:sz w:val="16"/>
        </w:rPr>
        <w:t>de</w:t>
      </w:r>
      <w:r>
        <w:rPr>
          <w:color w:val="231F20"/>
          <w:spacing w:val="-4"/>
          <w:w w:val="110"/>
          <w:sz w:val="16"/>
        </w:rPr>
        <w:t> </w:t>
      </w:r>
      <w:r>
        <w:rPr>
          <w:color w:val="231F20"/>
          <w:w w:val="110"/>
          <w:sz w:val="16"/>
        </w:rPr>
        <w:t>dólares</w:t>
      </w:r>
      <w:r>
        <w:rPr>
          <w:color w:val="231F20"/>
          <w:spacing w:val="-4"/>
          <w:w w:val="110"/>
          <w:sz w:val="16"/>
        </w:rPr>
        <w:t> </w:t>
      </w:r>
      <w:r>
        <w:rPr>
          <w:color w:val="231F20"/>
          <w:w w:val="110"/>
          <w:sz w:val="16"/>
        </w:rPr>
        <w:t>provocada</w:t>
      </w:r>
      <w:r>
        <w:rPr>
          <w:color w:val="231F20"/>
          <w:spacing w:val="-4"/>
          <w:w w:val="110"/>
          <w:sz w:val="16"/>
        </w:rPr>
        <w:t> </w:t>
      </w:r>
      <w:r>
        <w:rPr>
          <w:color w:val="231F20"/>
          <w:w w:val="110"/>
          <w:sz w:val="16"/>
        </w:rPr>
        <w:t>por</w:t>
      </w:r>
      <w:r>
        <w:rPr>
          <w:color w:val="231F20"/>
          <w:spacing w:val="-4"/>
          <w:w w:val="110"/>
          <w:sz w:val="16"/>
        </w:rPr>
        <w:t> </w:t>
      </w:r>
      <w:r>
        <w:rPr>
          <w:color w:val="231F20"/>
          <w:w w:val="110"/>
          <w:sz w:val="16"/>
        </w:rPr>
        <w:t>los</w:t>
      </w:r>
      <w:r>
        <w:rPr>
          <w:color w:val="231F20"/>
          <w:spacing w:val="-4"/>
          <w:w w:val="110"/>
          <w:sz w:val="16"/>
        </w:rPr>
        <w:t> </w:t>
      </w:r>
      <w:r>
        <w:rPr>
          <w:color w:val="231F20"/>
          <w:w w:val="110"/>
          <w:sz w:val="16"/>
        </w:rPr>
        <w:t>continuos déficit,</w:t>
      </w:r>
      <w:r>
        <w:rPr>
          <w:color w:val="231F20"/>
          <w:spacing w:val="-6"/>
          <w:w w:val="110"/>
          <w:sz w:val="16"/>
        </w:rPr>
        <w:t> </w:t>
      </w:r>
      <w:r>
        <w:rPr>
          <w:color w:val="231F20"/>
          <w:w w:val="110"/>
          <w:sz w:val="16"/>
        </w:rPr>
        <w:t>deterioraba</w:t>
      </w:r>
      <w:r>
        <w:rPr>
          <w:color w:val="231F20"/>
          <w:spacing w:val="-6"/>
          <w:w w:val="110"/>
          <w:sz w:val="16"/>
        </w:rPr>
        <w:t> </w:t>
      </w:r>
      <w:r>
        <w:rPr>
          <w:color w:val="231F20"/>
          <w:w w:val="110"/>
          <w:sz w:val="16"/>
        </w:rPr>
        <w:t>poco</w:t>
      </w:r>
      <w:r>
        <w:rPr>
          <w:color w:val="231F20"/>
          <w:spacing w:val="-6"/>
          <w:w w:val="110"/>
          <w:sz w:val="16"/>
        </w:rPr>
        <w:t> </w:t>
      </w:r>
      <w:r>
        <w:rPr>
          <w:color w:val="231F20"/>
          <w:w w:val="110"/>
          <w:sz w:val="16"/>
        </w:rPr>
        <w:t>a</w:t>
      </w:r>
      <w:r>
        <w:rPr>
          <w:color w:val="231F20"/>
          <w:spacing w:val="-6"/>
          <w:w w:val="110"/>
          <w:sz w:val="16"/>
        </w:rPr>
        <w:t> </w:t>
      </w:r>
      <w:r>
        <w:rPr>
          <w:color w:val="231F20"/>
          <w:w w:val="110"/>
          <w:sz w:val="16"/>
        </w:rPr>
        <w:t>poco</w:t>
      </w:r>
      <w:r>
        <w:rPr>
          <w:color w:val="231F20"/>
          <w:spacing w:val="-6"/>
          <w:w w:val="110"/>
          <w:sz w:val="16"/>
        </w:rPr>
        <w:t> </w:t>
      </w:r>
      <w:r>
        <w:rPr>
          <w:color w:val="231F20"/>
          <w:w w:val="110"/>
          <w:sz w:val="16"/>
        </w:rPr>
        <w:t>la</w:t>
      </w:r>
      <w:r>
        <w:rPr>
          <w:color w:val="231F20"/>
          <w:spacing w:val="-6"/>
          <w:w w:val="110"/>
          <w:sz w:val="16"/>
        </w:rPr>
        <w:t> </w:t>
      </w:r>
      <w:r>
        <w:rPr>
          <w:color w:val="231F20"/>
          <w:w w:val="110"/>
          <w:sz w:val="16"/>
        </w:rPr>
        <w:t>confianza</w:t>
      </w:r>
      <w:r>
        <w:rPr>
          <w:color w:val="231F20"/>
          <w:spacing w:val="-6"/>
          <w:w w:val="110"/>
          <w:sz w:val="16"/>
        </w:rPr>
        <w:t> </w:t>
      </w:r>
      <w:r>
        <w:rPr>
          <w:color w:val="231F20"/>
          <w:w w:val="110"/>
          <w:sz w:val="16"/>
        </w:rPr>
        <w:t>en</w:t>
      </w:r>
      <w:r>
        <w:rPr>
          <w:color w:val="231F20"/>
          <w:spacing w:val="-6"/>
          <w:w w:val="110"/>
          <w:sz w:val="16"/>
        </w:rPr>
        <w:t> </w:t>
      </w:r>
      <w:r>
        <w:rPr>
          <w:color w:val="231F20"/>
          <w:w w:val="110"/>
          <w:sz w:val="16"/>
        </w:rPr>
        <w:t>el</w:t>
      </w:r>
      <w:r>
        <w:rPr>
          <w:color w:val="231F20"/>
          <w:spacing w:val="-6"/>
          <w:w w:val="110"/>
          <w:sz w:val="16"/>
        </w:rPr>
        <w:t> </w:t>
      </w:r>
      <w:r>
        <w:rPr>
          <w:color w:val="231F20"/>
          <w:spacing w:val="-3"/>
          <w:w w:val="110"/>
          <w:sz w:val="16"/>
        </w:rPr>
        <w:t>dólar,</w:t>
      </w:r>
      <w:r>
        <w:rPr>
          <w:color w:val="231F20"/>
          <w:spacing w:val="-6"/>
          <w:w w:val="110"/>
          <w:sz w:val="16"/>
        </w:rPr>
        <w:t> </w:t>
      </w:r>
      <w:r>
        <w:rPr>
          <w:color w:val="231F20"/>
          <w:w w:val="110"/>
          <w:sz w:val="16"/>
        </w:rPr>
        <w:t>sin</w:t>
      </w:r>
      <w:r>
        <w:rPr>
          <w:color w:val="231F20"/>
          <w:spacing w:val="-6"/>
          <w:w w:val="110"/>
          <w:sz w:val="16"/>
        </w:rPr>
        <w:t> </w:t>
      </w:r>
      <w:r>
        <w:rPr>
          <w:color w:val="231F20"/>
          <w:w w:val="110"/>
          <w:sz w:val="16"/>
        </w:rPr>
        <w:t>que</w:t>
      </w:r>
      <w:r>
        <w:rPr>
          <w:color w:val="231F20"/>
          <w:spacing w:val="-6"/>
          <w:w w:val="110"/>
          <w:sz w:val="16"/>
        </w:rPr>
        <w:t> </w:t>
      </w:r>
      <w:r>
        <w:rPr>
          <w:color w:val="231F20"/>
          <w:w w:val="110"/>
          <w:sz w:val="16"/>
        </w:rPr>
        <w:t>se</w:t>
      </w:r>
      <w:r>
        <w:rPr>
          <w:color w:val="231F20"/>
          <w:spacing w:val="-6"/>
          <w:w w:val="110"/>
          <w:sz w:val="16"/>
        </w:rPr>
        <w:t> </w:t>
      </w:r>
      <w:r>
        <w:rPr>
          <w:color w:val="231F20"/>
          <w:w w:val="110"/>
          <w:sz w:val="16"/>
        </w:rPr>
        <w:t>modificaran</w:t>
      </w:r>
      <w:r>
        <w:rPr>
          <w:color w:val="231F20"/>
          <w:spacing w:val="-6"/>
          <w:w w:val="110"/>
          <w:sz w:val="16"/>
        </w:rPr>
        <w:t> </w:t>
      </w:r>
      <w:r>
        <w:rPr>
          <w:color w:val="231F20"/>
          <w:w w:val="110"/>
          <w:sz w:val="16"/>
        </w:rPr>
        <w:t>las</w:t>
      </w:r>
      <w:r>
        <w:rPr>
          <w:color w:val="231F20"/>
          <w:spacing w:val="-6"/>
          <w:w w:val="110"/>
          <w:sz w:val="16"/>
        </w:rPr>
        <w:t> </w:t>
      </w:r>
      <w:r>
        <w:rPr>
          <w:color w:val="231F20"/>
          <w:w w:val="110"/>
          <w:sz w:val="16"/>
        </w:rPr>
        <w:t>pa- ridades</w:t>
      </w:r>
      <w:r>
        <w:rPr>
          <w:color w:val="231F20"/>
          <w:spacing w:val="-9"/>
          <w:w w:val="110"/>
          <w:sz w:val="16"/>
        </w:rPr>
        <w:t> </w:t>
      </w:r>
      <w:r>
        <w:rPr>
          <w:color w:val="231F20"/>
          <w:w w:val="110"/>
          <w:sz w:val="16"/>
        </w:rPr>
        <w:t>oficiales</w:t>
      </w:r>
      <w:r>
        <w:rPr>
          <w:color w:val="231F20"/>
          <w:spacing w:val="-9"/>
          <w:w w:val="110"/>
          <w:sz w:val="16"/>
        </w:rPr>
        <w:t> </w:t>
      </w:r>
      <w:r>
        <w:rPr>
          <w:color w:val="231F20"/>
          <w:w w:val="110"/>
          <w:sz w:val="16"/>
        </w:rPr>
        <w:t>establecidas</w:t>
      </w:r>
      <w:r>
        <w:rPr>
          <w:color w:val="231F20"/>
          <w:spacing w:val="-9"/>
          <w:w w:val="110"/>
          <w:sz w:val="16"/>
        </w:rPr>
        <w:t> </w:t>
      </w:r>
      <w:r>
        <w:rPr>
          <w:color w:val="231F20"/>
          <w:w w:val="110"/>
          <w:sz w:val="16"/>
        </w:rPr>
        <w:t>por</w:t>
      </w:r>
      <w:r>
        <w:rPr>
          <w:color w:val="231F20"/>
          <w:spacing w:val="-9"/>
          <w:w w:val="110"/>
          <w:sz w:val="16"/>
        </w:rPr>
        <w:t> </w:t>
      </w:r>
      <w:r>
        <w:rPr>
          <w:color w:val="231F20"/>
          <w:w w:val="110"/>
          <w:sz w:val="16"/>
        </w:rPr>
        <w:t>el</w:t>
      </w:r>
      <w:r>
        <w:rPr>
          <w:color w:val="231F20"/>
          <w:spacing w:val="-9"/>
          <w:w w:val="110"/>
          <w:sz w:val="16"/>
        </w:rPr>
        <w:t> </w:t>
      </w:r>
      <w:r>
        <w:rPr>
          <w:color w:val="231F20"/>
          <w:w w:val="110"/>
          <w:sz w:val="16"/>
        </w:rPr>
        <w:t>sistema.</w:t>
      </w:r>
      <w:r>
        <w:rPr>
          <w:color w:val="231F20"/>
          <w:spacing w:val="-9"/>
          <w:w w:val="110"/>
          <w:sz w:val="16"/>
        </w:rPr>
        <w:t> </w:t>
      </w:r>
      <w:r>
        <w:rPr>
          <w:color w:val="231F20"/>
          <w:w w:val="110"/>
          <w:sz w:val="16"/>
        </w:rPr>
        <w:t>A</w:t>
      </w:r>
      <w:r>
        <w:rPr>
          <w:color w:val="231F20"/>
          <w:spacing w:val="-9"/>
          <w:w w:val="110"/>
          <w:sz w:val="16"/>
        </w:rPr>
        <w:t> </w:t>
      </w:r>
      <w:r>
        <w:rPr>
          <w:color w:val="231F20"/>
          <w:w w:val="110"/>
          <w:sz w:val="16"/>
        </w:rPr>
        <w:t>largo</w:t>
      </w:r>
      <w:r>
        <w:rPr>
          <w:color w:val="231F20"/>
          <w:spacing w:val="-9"/>
          <w:w w:val="110"/>
          <w:sz w:val="16"/>
        </w:rPr>
        <w:t> </w:t>
      </w:r>
      <w:r>
        <w:rPr>
          <w:color w:val="231F20"/>
          <w:w w:val="110"/>
          <w:sz w:val="16"/>
        </w:rPr>
        <w:t>plazo,</w:t>
      </w:r>
      <w:r>
        <w:rPr>
          <w:color w:val="231F20"/>
          <w:spacing w:val="-9"/>
          <w:w w:val="110"/>
          <w:sz w:val="16"/>
        </w:rPr>
        <w:t> </w:t>
      </w:r>
      <w:r>
        <w:rPr>
          <w:color w:val="231F20"/>
          <w:w w:val="110"/>
          <w:sz w:val="16"/>
        </w:rPr>
        <w:t>la</w:t>
      </w:r>
      <w:r>
        <w:rPr>
          <w:color w:val="231F20"/>
          <w:spacing w:val="-9"/>
          <w:w w:val="110"/>
          <w:sz w:val="16"/>
        </w:rPr>
        <w:t> </w:t>
      </w:r>
      <w:r>
        <w:rPr>
          <w:color w:val="231F20"/>
          <w:w w:val="110"/>
          <w:sz w:val="16"/>
        </w:rPr>
        <w:t>propia</w:t>
      </w:r>
      <w:r>
        <w:rPr>
          <w:color w:val="231F20"/>
          <w:spacing w:val="-9"/>
          <w:w w:val="110"/>
          <w:sz w:val="16"/>
        </w:rPr>
        <w:t> </w:t>
      </w:r>
      <w:r>
        <w:rPr>
          <w:color w:val="231F20"/>
          <w:w w:val="110"/>
          <w:sz w:val="16"/>
        </w:rPr>
        <w:t>configuración</w:t>
      </w:r>
      <w:r>
        <w:rPr>
          <w:color w:val="231F20"/>
          <w:spacing w:val="-9"/>
          <w:w w:val="110"/>
          <w:sz w:val="16"/>
        </w:rPr>
        <w:t> </w:t>
      </w:r>
      <w:r>
        <w:rPr>
          <w:color w:val="231F20"/>
          <w:w w:val="110"/>
          <w:sz w:val="16"/>
        </w:rPr>
        <w:t>del smi</w:t>
      </w:r>
      <w:r>
        <w:rPr>
          <w:color w:val="231F20"/>
          <w:spacing w:val="-11"/>
          <w:w w:val="110"/>
          <w:sz w:val="16"/>
        </w:rPr>
        <w:t> </w:t>
      </w:r>
      <w:r>
        <w:rPr>
          <w:color w:val="231F20"/>
          <w:w w:val="110"/>
          <w:sz w:val="16"/>
        </w:rPr>
        <w:t>conducía</w:t>
      </w:r>
      <w:r>
        <w:rPr>
          <w:color w:val="231F20"/>
          <w:spacing w:val="-11"/>
          <w:w w:val="110"/>
          <w:sz w:val="16"/>
        </w:rPr>
        <w:t> </w:t>
      </w:r>
      <w:r>
        <w:rPr>
          <w:color w:val="231F20"/>
          <w:w w:val="110"/>
          <w:sz w:val="16"/>
        </w:rPr>
        <w:t>irremediablemente</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pérdida</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confianza</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convertibilidad</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dó- lar en oro, erosionando la base del sistema, que era precisamente esa</w:t>
      </w:r>
      <w:r>
        <w:rPr>
          <w:color w:val="231F20"/>
          <w:spacing w:val="15"/>
          <w:w w:val="110"/>
          <w:sz w:val="16"/>
        </w:rPr>
        <w:t> </w:t>
      </w:r>
      <w:r>
        <w:rPr>
          <w:color w:val="231F20"/>
          <w:w w:val="110"/>
          <w:sz w:val="16"/>
        </w:rPr>
        <w:t>convertibilidad.</w:t>
      </w:r>
    </w:p>
    <w:p>
      <w:pPr>
        <w:spacing w:after="0" w:line="261" w:lineRule="auto"/>
        <w:jc w:val="both"/>
        <w:rPr>
          <w:sz w:val="16"/>
        </w:rPr>
        <w:sectPr>
          <w:headerReference w:type="default" r:id="rId138"/>
          <w:headerReference w:type="even" r:id="rId139"/>
          <w:pgSz w:w="7640" w:h="11900"/>
          <w:pgMar w:header="672" w:footer="0" w:top="860" w:bottom="280" w:left="660" w:right="760"/>
          <w:pgNumType w:start="187"/>
        </w:sectPr>
      </w:pPr>
    </w:p>
    <w:p>
      <w:pPr>
        <w:pStyle w:val="BodyText"/>
        <w:spacing w:before="8"/>
        <w:rPr>
          <w:sz w:val="8"/>
        </w:rPr>
      </w:pPr>
    </w:p>
    <w:p>
      <w:pPr>
        <w:pStyle w:val="BodyText"/>
        <w:spacing w:line="261" w:lineRule="auto" w:before="67"/>
        <w:ind w:left="100" w:right="117" w:firstLine="240"/>
        <w:jc w:val="both"/>
      </w:pPr>
      <w:r>
        <w:rPr>
          <w:color w:val="231F20"/>
          <w:w w:val="110"/>
        </w:rPr>
        <w:t>Al eliminarse la vinculación del dólar con el oro e instituirse un sistema de tipos de cambio flexibles desde 1976,</w:t>
      </w:r>
      <w:r>
        <w:rPr>
          <w:color w:val="231F20"/>
          <w:w w:val="110"/>
          <w:position w:val="6"/>
          <w:sz w:val="13"/>
        </w:rPr>
        <w:t>2 </w:t>
      </w:r>
      <w:r>
        <w:rPr>
          <w:color w:val="231F20"/>
          <w:w w:val="110"/>
        </w:rPr>
        <w:t>Estados Unidos  ya no tenía límites para su expansión monetaria, podría producir millones y millones de dólares, que serían aceptados como reservas por el resto del mundo. Así, “la Reserva Federal devino en un</w:t>
      </w:r>
      <w:r>
        <w:rPr>
          <w:color w:val="231F20"/>
          <w:spacing w:val="-16"/>
          <w:w w:val="110"/>
        </w:rPr>
        <w:t> </w:t>
      </w:r>
      <w:r>
        <w:rPr>
          <w:color w:val="231F20"/>
          <w:w w:val="110"/>
        </w:rPr>
        <w:t>banco central mundial no oficializado, proveyendo reservas, ofertando la unidad de cuenta </w:t>
      </w:r>
      <w:r>
        <w:rPr>
          <w:color w:val="231F20"/>
          <w:spacing w:val="-8"/>
          <w:w w:val="110"/>
        </w:rPr>
        <w:t>y, </w:t>
      </w:r>
      <w:r>
        <w:rPr>
          <w:color w:val="231F20"/>
          <w:w w:val="110"/>
        </w:rPr>
        <w:t>algunas veces, actuando como prestamista de última instancia” (Mundell, 2009). Esta característica del actual</w:t>
      </w:r>
      <w:r>
        <w:rPr>
          <w:color w:val="231F20"/>
          <w:spacing w:val="-30"/>
          <w:w w:val="110"/>
        </w:rPr>
        <w:t> </w:t>
      </w:r>
      <w:r>
        <w:rPr>
          <w:color w:val="231F20"/>
          <w:w w:val="110"/>
        </w:rPr>
        <w:t>smi, es uno de los factores que ha posibilitado que por alrededor de treinta años la economía estadunidense se haya expandido, gracias  a elevados niveles de consumo e inversión, que han sido</w:t>
      </w:r>
      <w:r>
        <w:rPr>
          <w:color w:val="231F20"/>
          <w:spacing w:val="-36"/>
          <w:w w:val="110"/>
        </w:rPr>
        <w:t> </w:t>
      </w:r>
      <w:r>
        <w:rPr>
          <w:color w:val="231F20"/>
          <w:w w:val="110"/>
        </w:rPr>
        <w:t>financiados sin dificultad por el resto del mundo, ávido por obtener cada vez más activos en</w:t>
      </w:r>
      <w:r>
        <w:rPr>
          <w:color w:val="231F20"/>
          <w:spacing w:val="-26"/>
          <w:w w:val="110"/>
        </w:rPr>
        <w:t> </w:t>
      </w:r>
      <w:r>
        <w:rPr>
          <w:color w:val="231F20"/>
          <w:w w:val="110"/>
        </w:rPr>
        <w:t>dólares.</w:t>
      </w:r>
    </w:p>
    <w:p>
      <w:pPr>
        <w:pStyle w:val="BodyText"/>
        <w:spacing w:line="261" w:lineRule="auto"/>
        <w:ind w:left="100" w:right="115" w:firstLine="240"/>
        <w:jc w:val="right"/>
      </w:pPr>
      <w:r>
        <w:rPr>
          <w:color w:val="231F20"/>
          <w:w w:val="110"/>
        </w:rPr>
        <w:t>Si bien en los sesenta, Estados Unidos era el</w:t>
      </w:r>
      <w:r>
        <w:rPr>
          <w:color w:val="231F20"/>
          <w:spacing w:val="12"/>
          <w:w w:val="110"/>
        </w:rPr>
        <w:t> </w:t>
      </w:r>
      <w:r>
        <w:rPr>
          <w:color w:val="231F20"/>
          <w:w w:val="110"/>
        </w:rPr>
        <w:t>principal</w:t>
      </w:r>
      <w:r>
        <w:rPr>
          <w:color w:val="231F20"/>
          <w:spacing w:val="19"/>
          <w:w w:val="110"/>
        </w:rPr>
        <w:t> </w:t>
      </w:r>
      <w:r>
        <w:rPr>
          <w:color w:val="231F20"/>
          <w:w w:val="110"/>
        </w:rPr>
        <w:t>acreedor</w:t>
      </w:r>
      <w:r>
        <w:rPr>
          <w:color w:val="231F20"/>
          <w:spacing w:val="-2"/>
          <w:w w:val="112"/>
        </w:rPr>
        <w:t> </w:t>
      </w:r>
      <w:r>
        <w:rPr>
          <w:color w:val="231F20"/>
          <w:w w:val="110"/>
        </w:rPr>
        <w:t>internacional,</w:t>
      </w:r>
      <w:r>
        <w:rPr>
          <w:color w:val="231F20"/>
          <w:spacing w:val="-11"/>
          <w:w w:val="110"/>
        </w:rPr>
        <w:t> </w:t>
      </w:r>
      <w:r>
        <w:rPr>
          <w:color w:val="231F20"/>
          <w:w w:val="110"/>
        </w:rPr>
        <w:t>esa</w:t>
      </w:r>
      <w:r>
        <w:rPr>
          <w:color w:val="231F20"/>
          <w:spacing w:val="-11"/>
          <w:w w:val="110"/>
        </w:rPr>
        <w:t> </w:t>
      </w:r>
      <w:r>
        <w:rPr>
          <w:color w:val="231F20"/>
          <w:w w:val="110"/>
        </w:rPr>
        <w:t>situación</w:t>
      </w:r>
      <w:r>
        <w:rPr>
          <w:color w:val="231F20"/>
          <w:spacing w:val="-11"/>
          <w:w w:val="110"/>
        </w:rPr>
        <w:t> </w:t>
      </w:r>
      <w:r>
        <w:rPr>
          <w:color w:val="231F20"/>
          <w:w w:val="110"/>
        </w:rPr>
        <w:t>se</w:t>
      </w:r>
      <w:r>
        <w:rPr>
          <w:color w:val="231F20"/>
          <w:spacing w:val="-11"/>
          <w:w w:val="110"/>
        </w:rPr>
        <w:t> </w:t>
      </w:r>
      <w:r>
        <w:rPr>
          <w:color w:val="231F20"/>
          <w:w w:val="110"/>
        </w:rPr>
        <w:t>ha</w:t>
      </w:r>
      <w:r>
        <w:rPr>
          <w:color w:val="231F20"/>
          <w:spacing w:val="-11"/>
          <w:w w:val="110"/>
        </w:rPr>
        <w:t> </w:t>
      </w:r>
      <w:r>
        <w:rPr>
          <w:color w:val="231F20"/>
          <w:w w:val="110"/>
        </w:rPr>
        <w:t>modificado</w:t>
      </w:r>
      <w:r>
        <w:rPr>
          <w:color w:val="231F20"/>
          <w:spacing w:val="-11"/>
          <w:w w:val="110"/>
        </w:rPr>
        <w:t> </w:t>
      </w:r>
      <w:r>
        <w:rPr>
          <w:color w:val="231F20"/>
          <w:w w:val="110"/>
        </w:rPr>
        <w:t>radicalmente.</w:t>
      </w:r>
      <w:r>
        <w:rPr>
          <w:color w:val="231F20"/>
          <w:spacing w:val="-11"/>
          <w:w w:val="110"/>
        </w:rPr>
        <w:t> </w:t>
      </w:r>
      <w:r>
        <w:rPr>
          <w:color w:val="231F20"/>
          <w:w w:val="110"/>
        </w:rPr>
        <w:t>Como</w:t>
      </w:r>
      <w:r>
        <w:rPr>
          <w:color w:val="231F20"/>
          <w:spacing w:val="-11"/>
          <w:w w:val="110"/>
        </w:rPr>
        <w:t> </w:t>
      </w:r>
      <w:r>
        <w:rPr>
          <w:color w:val="231F20"/>
          <w:w w:val="110"/>
        </w:rPr>
        <w:t>re-</w:t>
      </w:r>
      <w:r>
        <w:rPr>
          <w:color w:val="231F20"/>
          <w:w w:val="72"/>
        </w:rPr>
        <w:t> </w:t>
      </w:r>
      <w:r>
        <w:rPr>
          <w:color w:val="231F20"/>
          <w:w w:val="110"/>
        </w:rPr>
        <w:t>sultado de procesos internos y externos, que se han</w:t>
      </w:r>
      <w:r>
        <w:rPr>
          <w:color w:val="231F20"/>
          <w:spacing w:val="18"/>
          <w:w w:val="110"/>
        </w:rPr>
        <w:t> </w:t>
      </w:r>
      <w:r>
        <w:rPr>
          <w:color w:val="231F20"/>
          <w:w w:val="110"/>
        </w:rPr>
        <w:t>desarrollado</w:t>
      </w:r>
      <w:r>
        <w:rPr>
          <w:color w:val="231F20"/>
          <w:spacing w:val="2"/>
          <w:w w:val="110"/>
        </w:rPr>
        <w:t> </w:t>
      </w:r>
      <w:r>
        <w:rPr>
          <w:color w:val="231F20"/>
          <w:spacing w:val="-2"/>
          <w:w w:val="110"/>
        </w:rPr>
        <w:t>por</w:t>
      </w:r>
      <w:r>
        <w:rPr>
          <w:color w:val="231F20"/>
          <w:spacing w:val="-2"/>
          <w:w w:val="115"/>
        </w:rPr>
        <w:t> </w:t>
      </w:r>
      <w:r>
        <w:rPr>
          <w:color w:val="231F20"/>
          <w:w w:val="110"/>
        </w:rPr>
        <w:t>decenios,</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actualidad</w:t>
      </w:r>
      <w:r>
        <w:rPr>
          <w:color w:val="231F20"/>
          <w:spacing w:val="-21"/>
          <w:w w:val="110"/>
        </w:rPr>
        <w:t> </w:t>
      </w:r>
      <w:r>
        <w:rPr>
          <w:color w:val="231F20"/>
          <w:w w:val="110"/>
        </w:rPr>
        <w:t>es</w:t>
      </w:r>
      <w:r>
        <w:rPr>
          <w:color w:val="231F20"/>
          <w:spacing w:val="-21"/>
          <w:w w:val="110"/>
        </w:rPr>
        <w:t> </w:t>
      </w:r>
      <w:r>
        <w:rPr>
          <w:color w:val="231F20"/>
          <w:w w:val="110"/>
        </w:rPr>
        <w:t>la</w:t>
      </w:r>
      <w:r>
        <w:rPr>
          <w:color w:val="231F20"/>
          <w:spacing w:val="-21"/>
          <w:w w:val="110"/>
        </w:rPr>
        <w:t> </w:t>
      </w:r>
      <w:r>
        <w:rPr>
          <w:color w:val="231F20"/>
          <w:w w:val="110"/>
        </w:rPr>
        <w:t>economía</w:t>
      </w:r>
      <w:r>
        <w:rPr>
          <w:color w:val="231F20"/>
          <w:spacing w:val="-21"/>
          <w:w w:val="110"/>
        </w:rPr>
        <w:t> </w:t>
      </w:r>
      <w:r>
        <w:rPr>
          <w:color w:val="231F20"/>
          <w:w w:val="110"/>
        </w:rPr>
        <w:t>más</w:t>
      </w:r>
      <w:r>
        <w:rPr>
          <w:color w:val="231F20"/>
          <w:spacing w:val="-21"/>
          <w:w w:val="110"/>
        </w:rPr>
        <w:t> </w:t>
      </w:r>
      <w:r>
        <w:rPr>
          <w:color w:val="231F20"/>
          <w:w w:val="110"/>
        </w:rPr>
        <w:t>endeudada</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spacing w:val="-2"/>
          <w:w w:val="110"/>
        </w:rPr>
        <w:t>mundo.</w:t>
      </w:r>
      <w:r>
        <w:rPr>
          <w:color w:val="231F20"/>
          <w:spacing w:val="-2"/>
          <w:w w:val="113"/>
        </w:rPr>
        <w:t> </w:t>
      </w:r>
      <w:r>
        <w:rPr>
          <w:color w:val="231F20"/>
          <w:w w:val="110"/>
        </w:rPr>
        <w:t>Desde</w:t>
      </w:r>
      <w:r>
        <w:rPr>
          <w:color w:val="231F20"/>
          <w:spacing w:val="41"/>
          <w:w w:val="110"/>
        </w:rPr>
        <w:t> </w:t>
      </w:r>
      <w:r>
        <w:rPr>
          <w:color w:val="231F20"/>
          <w:w w:val="110"/>
        </w:rPr>
        <w:t>inicios</w:t>
      </w:r>
      <w:r>
        <w:rPr>
          <w:color w:val="231F20"/>
          <w:spacing w:val="41"/>
          <w:w w:val="110"/>
        </w:rPr>
        <w:t> </w:t>
      </w:r>
      <w:r>
        <w:rPr>
          <w:color w:val="231F20"/>
          <w:w w:val="110"/>
        </w:rPr>
        <w:t>de</w:t>
      </w:r>
      <w:r>
        <w:rPr>
          <w:color w:val="231F20"/>
          <w:spacing w:val="41"/>
          <w:w w:val="110"/>
        </w:rPr>
        <w:t> </w:t>
      </w:r>
      <w:r>
        <w:rPr>
          <w:color w:val="231F20"/>
          <w:w w:val="110"/>
        </w:rPr>
        <w:t>los</w:t>
      </w:r>
      <w:r>
        <w:rPr>
          <w:color w:val="231F20"/>
          <w:spacing w:val="41"/>
          <w:w w:val="110"/>
        </w:rPr>
        <w:t> </w:t>
      </w:r>
      <w:r>
        <w:rPr>
          <w:color w:val="231F20"/>
          <w:w w:val="110"/>
        </w:rPr>
        <w:t>años</w:t>
      </w:r>
      <w:r>
        <w:rPr>
          <w:color w:val="231F20"/>
          <w:spacing w:val="41"/>
          <w:w w:val="110"/>
        </w:rPr>
        <w:t> </w:t>
      </w:r>
      <w:r>
        <w:rPr>
          <w:color w:val="231F20"/>
          <w:w w:val="110"/>
        </w:rPr>
        <w:t>ochenta,</w:t>
      </w:r>
      <w:r>
        <w:rPr>
          <w:color w:val="231F20"/>
          <w:spacing w:val="41"/>
          <w:w w:val="110"/>
        </w:rPr>
        <w:t> </w:t>
      </w:r>
      <w:r>
        <w:rPr>
          <w:color w:val="231F20"/>
          <w:w w:val="110"/>
        </w:rPr>
        <w:t>se</w:t>
      </w:r>
      <w:r>
        <w:rPr>
          <w:color w:val="231F20"/>
          <w:spacing w:val="41"/>
          <w:w w:val="110"/>
        </w:rPr>
        <w:t> </w:t>
      </w:r>
      <w:r>
        <w:rPr>
          <w:color w:val="231F20"/>
          <w:w w:val="110"/>
        </w:rPr>
        <w:t>registró</w:t>
      </w:r>
      <w:r>
        <w:rPr>
          <w:color w:val="231F20"/>
          <w:spacing w:val="41"/>
          <w:w w:val="110"/>
        </w:rPr>
        <w:t> </w:t>
      </w:r>
      <w:r>
        <w:rPr>
          <w:color w:val="231F20"/>
          <w:w w:val="110"/>
        </w:rPr>
        <w:t>un</w:t>
      </w:r>
      <w:r>
        <w:rPr>
          <w:color w:val="231F20"/>
          <w:spacing w:val="41"/>
          <w:w w:val="110"/>
        </w:rPr>
        <w:t> </w:t>
      </w:r>
      <w:r>
        <w:rPr>
          <w:color w:val="231F20"/>
          <w:w w:val="110"/>
        </w:rPr>
        <w:t>crecimiento</w:t>
      </w:r>
      <w:r>
        <w:rPr>
          <w:color w:val="231F20"/>
          <w:spacing w:val="1"/>
          <w:w w:val="110"/>
        </w:rPr>
        <w:t> </w:t>
      </w:r>
      <w:r>
        <w:rPr>
          <w:color w:val="231F20"/>
          <w:w w:val="110"/>
        </w:rPr>
        <w:t>pujante de los niveles de consumo de la población</w:t>
      </w:r>
      <w:r>
        <w:rPr>
          <w:color w:val="231F20"/>
          <w:spacing w:val="4"/>
          <w:w w:val="110"/>
        </w:rPr>
        <w:t> </w:t>
      </w:r>
      <w:r>
        <w:rPr>
          <w:color w:val="231F20"/>
          <w:w w:val="110"/>
        </w:rPr>
        <w:t>estadunidense</w:t>
      </w:r>
      <w:r>
        <w:rPr>
          <w:color w:val="231F20"/>
          <w:spacing w:val="12"/>
          <w:w w:val="110"/>
        </w:rPr>
        <w:t> </w:t>
      </w:r>
      <w:r>
        <w:rPr>
          <w:color w:val="231F20"/>
          <w:w w:val="110"/>
        </w:rPr>
        <w:t>y</w:t>
      </w:r>
      <w:r>
        <w:rPr>
          <w:color w:val="231F20"/>
          <w:w w:val="84"/>
        </w:rPr>
        <w:t> </w:t>
      </w:r>
      <w:r>
        <w:rPr>
          <w:color w:val="231F20"/>
          <w:w w:val="110"/>
        </w:rPr>
        <w:t>con ello, el descenso de la tasa de ahorro privado. Esto</w:t>
      </w:r>
      <w:r>
        <w:rPr>
          <w:color w:val="231F20"/>
          <w:spacing w:val="4"/>
          <w:w w:val="110"/>
        </w:rPr>
        <w:t> </w:t>
      </w:r>
      <w:r>
        <w:rPr>
          <w:color w:val="231F20"/>
          <w:w w:val="110"/>
        </w:rPr>
        <w:t>estuvo estre-</w:t>
      </w:r>
      <w:r>
        <w:rPr>
          <w:color w:val="231F20"/>
          <w:w w:val="72"/>
        </w:rPr>
        <w:t> </w:t>
      </w:r>
      <w:r>
        <w:rPr>
          <w:color w:val="231F20"/>
          <w:w w:val="110"/>
        </w:rPr>
        <w:t>chamente</w:t>
      </w:r>
      <w:r>
        <w:rPr>
          <w:color w:val="231F20"/>
          <w:spacing w:val="-9"/>
          <w:w w:val="110"/>
        </w:rPr>
        <w:t> </w:t>
      </w:r>
      <w:r>
        <w:rPr>
          <w:color w:val="231F20"/>
          <w:w w:val="110"/>
        </w:rPr>
        <w:t>vinculado</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política</w:t>
      </w:r>
      <w:r>
        <w:rPr>
          <w:color w:val="231F20"/>
          <w:spacing w:val="-9"/>
          <w:w w:val="110"/>
        </w:rPr>
        <w:t> </w:t>
      </w:r>
      <w:r>
        <w:rPr>
          <w:color w:val="231F20"/>
          <w:w w:val="110"/>
        </w:rPr>
        <w:t>económica</w:t>
      </w:r>
      <w:r>
        <w:rPr>
          <w:color w:val="231F20"/>
          <w:spacing w:val="-9"/>
          <w:w w:val="110"/>
        </w:rPr>
        <w:t> </w:t>
      </w:r>
      <w:r>
        <w:rPr>
          <w:color w:val="231F20"/>
          <w:w w:val="110"/>
        </w:rPr>
        <w:t>aplicada</w:t>
      </w:r>
      <w:r>
        <w:rPr>
          <w:color w:val="231F20"/>
          <w:spacing w:val="-9"/>
          <w:w w:val="110"/>
        </w:rPr>
        <w:t> </w:t>
      </w:r>
      <w:r>
        <w:rPr>
          <w:color w:val="231F20"/>
          <w:w w:val="110"/>
        </w:rPr>
        <w:t>en</w:t>
      </w:r>
      <w:r>
        <w:rPr>
          <w:color w:val="231F20"/>
          <w:spacing w:val="-9"/>
          <w:w w:val="110"/>
        </w:rPr>
        <w:t> </w:t>
      </w:r>
      <w:r>
        <w:rPr>
          <w:color w:val="231F20"/>
          <w:w w:val="110"/>
        </w:rPr>
        <w:t>esos</w:t>
      </w:r>
      <w:r>
        <w:rPr>
          <w:color w:val="231F20"/>
          <w:spacing w:val="-9"/>
          <w:w w:val="110"/>
        </w:rPr>
        <w:t> </w:t>
      </w:r>
      <w:r>
        <w:rPr>
          <w:color w:val="231F20"/>
          <w:w w:val="110"/>
        </w:rPr>
        <w:t>años,</w:t>
      </w:r>
      <w:r>
        <w:rPr>
          <w:color w:val="231F20"/>
          <w:w w:val="108"/>
        </w:rPr>
        <w:t> </w:t>
      </w:r>
      <w:r>
        <w:rPr>
          <w:color w:val="231F20"/>
          <w:w w:val="110"/>
        </w:rPr>
        <w:t>que</w:t>
      </w:r>
      <w:r>
        <w:rPr>
          <w:color w:val="231F20"/>
          <w:spacing w:val="-5"/>
          <w:w w:val="110"/>
        </w:rPr>
        <w:t> </w:t>
      </w:r>
      <w:r>
        <w:rPr>
          <w:color w:val="231F20"/>
          <w:w w:val="110"/>
        </w:rPr>
        <w:t>respondía</w:t>
      </w:r>
      <w:r>
        <w:rPr>
          <w:color w:val="231F20"/>
          <w:spacing w:val="-5"/>
          <w:w w:val="110"/>
        </w:rPr>
        <w:t> </w:t>
      </w:r>
      <w:r>
        <w:rPr>
          <w:color w:val="231F20"/>
          <w:w w:val="110"/>
        </w:rPr>
        <w:t>a</w:t>
      </w:r>
      <w:r>
        <w:rPr>
          <w:color w:val="231F20"/>
          <w:spacing w:val="-5"/>
          <w:w w:val="110"/>
        </w:rPr>
        <w:t> </w:t>
      </w:r>
      <w:r>
        <w:rPr>
          <w:color w:val="231F20"/>
          <w:w w:val="110"/>
        </w:rPr>
        <w:t>un</w:t>
      </w:r>
      <w:r>
        <w:rPr>
          <w:color w:val="231F20"/>
          <w:spacing w:val="-5"/>
          <w:w w:val="110"/>
        </w:rPr>
        <w:t> </w:t>
      </w:r>
      <w:r>
        <w:rPr>
          <w:color w:val="231F20"/>
          <w:w w:val="110"/>
        </w:rPr>
        <w:t>nuevo</w:t>
      </w:r>
      <w:r>
        <w:rPr>
          <w:color w:val="231F20"/>
          <w:spacing w:val="-5"/>
          <w:w w:val="110"/>
        </w:rPr>
        <w:t> </w:t>
      </w:r>
      <w:r>
        <w:rPr>
          <w:color w:val="231F20"/>
          <w:w w:val="110"/>
        </w:rPr>
        <w:t>modelo</w:t>
      </w:r>
      <w:r>
        <w:rPr>
          <w:color w:val="231F20"/>
          <w:spacing w:val="-5"/>
          <w:w w:val="110"/>
        </w:rPr>
        <w:t> </w:t>
      </w:r>
      <w:r>
        <w:rPr>
          <w:color w:val="231F20"/>
          <w:w w:val="110"/>
        </w:rPr>
        <w:t>de</w:t>
      </w:r>
      <w:r>
        <w:rPr>
          <w:color w:val="231F20"/>
          <w:spacing w:val="-5"/>
          <w:w w:val="110"/>
        </w:rPr>
        <w:t> </w:t>
      </w:r>
      <w:r>
        <w:rPr>
          <w:color w:val="231F20"/>
          <w:w w:val="110"/>
        </w:rPr>
        <w:t>acumulación</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significó</w:t>
      </w:r>
      <w:r>
        <w:rPr>
          <w:color w:val="231F20"/>
          <w:spacing w:val="-5"/>
          <w:w w:val="110"/>
        </w:rPr>
        <w:t> </w:t>
      </w:r>
      <w:r>
        <w:rPr>
          <w:color w:val="231F20"/>
          <w:w w:val="110"/>
        </w:rPr>
        <w:t>un</w:t>
      </w:r>
      <w:r>
        <w:rPr>
          <w:color w:val="231F20"/>
          <w:w w:val="118"/>
        </w:rPr>
        <w:t> </w:t>
      </w:r>
      <w:r>
        <w:rPr>
          <w:color w:val="231F20"/>
          <w:w w:val="110"/>
        </w:rPr>
        <w:t>giro significativo con respecto a la política de base</w:t>
      </w:r>
      <w:r>
        <w:rPr>
          <w:color w:val="231F20"/>
          <w:spacing w:val="8"/>
          <w:w w:val="110"/>
        </w:rPr>
        <w:t> </w:t>
      </w:r>
      <w:r>
        <w:rPr>
          <w:color w:val="231F20"/>
          <w:w w:val="110"/>
        </w:rPr>
        <w:t>keynesiana</w:t>
      </w:r>
      <w:r>
        <w:rPr>
          <w:color w:val="231F20"/>
          <w:spacing w:val="13"/>
          <w:w w:val="110"/>
        </w:rPr>
        <w:t> </w:t>
      </w:r>
      <w:r>
        <w:rPr>
          <w:color w:val="231F20"/>
          <w:w w:val="110"/>
        </w:rPr>
        <w:t>que</w:t>
      </w:r>
      <w:r>
        <w:rPr>
          <w:color w:val="231F20"/>
          <w:w w:val="113"/>
        </w:rPr>
        <w:t> </w:t>
      </w:r>
      <w:r>
        <w:rPr>
          <w:color w:val="231F20"/>
          <w:w w:val="110"/>
        </w:rPr>
        <w:t>había imperado hasta ese momento. Este nuevo enfoque</w:t>
      </w:r>
      <w:r>
        <w:rPr>
          <w:color w:val="231F20"/>
          <w:spacing w:val="19"/>
          <w:w w:val="110"/>
        </w:rPr>
        <w:t> </w:t>
      </w:r>
      <w:r>
        <w:rPr>
          <w:color w:val="231F20"/>
          <w:w w:val="110"/>
        </w:rPr>
        <w:t>de</w:t>
      </w:r>
      <w:r>
        <w:rPr>
          <w:color w:val="231F20"/>
          <w:spacing w:val="9"/>
          <w:w w:val="110"/>
        </w:rPr>
        <w:t> </w:t>
      </w:r>
      <w:r>
        <w:rPr>
          <w:color w:val="231F20"/>
          <w:w w:val="110"/>
        </w:rPr>
        <w:t>política</w:t>
      </w:r>
      <w:r>
        <w:rPr>
          <w:color w:val="231F20"/>
          <w:w w:val="108"/>
        </w:rPr>
        <w:t> </w:t>
      </w:r>
      <w:r>
        <w:rPr>
          <w:color w:val="231F20"/>
          <w:w w:val="110"/>
        </w:rPr>
        <w:t>económica,</w:t>
      </w:r>
      <w:r>
        <w:rPr>
          <w:color w:val="231F20"/>
          <w:spacing w:val="-22"/>
          <w:w w:val="110"/>
        </w:rPr>
        <w:t> </w:t>
      </w:r>
      <w:r>
        <w:rPr>
          <w:color w:val="231F20"/>
          <w:w w:val="110"/>
        </w:rPr>
        <w:t>conocido</w:t>
      </w:r>
      <w:r>
        <w:rPr>
          <w:color w:val="231F20"/>
          <w:spacing w:val="-22"/>
          <w:w w:val="110"/>
        </w:rPr>
        <w:t> </w:t>
      </w:r>
      <w:r>
        <w:rPr>
          <w:color w:val="231F20"/>
          <w:w w:val="110"/>
        </w:rPr>
        <w:t>como</w:t>
      </w:r>
      <w:r>
        <w:rPr>
          <w:color w:val="231F20"/>
          <w:spacing w:val="-23"/>
          <w:w w:val="110"/>
        </w:rPr>
        <w:t> </w:t>
      </w:r>
      <w:r>
        <w:rPr>
          <w:i/>
          <w:color w:val="231F20"/>
          <w:w w:val="110"/>
        </w:rPr>
        <w:t>reaganomics</w:t>
      </w:r>
      <w:r>
        <w:rPr>
          <w:i/>
          <w:color w:val="231F20"/>
          <w:spacing w:val="-23"/>
          <w:w w:val="110"/>
        </w:rPr>
        <w:t> </w:t>
      </w:r>
      <w:r>
        <w:rPr>
          <w:color w:val="231F20"/>
          <w:w w:val="110"/>
        </w:rPr>
        <w:t>preveía,</w:t>
      </w:r>
      <w:r>
        <w:rPr>
          <w:color w:val="231F20"/>
          <w:spacing w:val="-22"/>
          <w:w w:val="110"/>
        </w:rPr>
        <w:t> </w:t>
      </w:r>
      <w:r>
        <w:rPr>
          <w:color w:val="231F20"/>
          <w:w w:val="110"/>
        </w:rPr>
        <w:t>además</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reduc-</w:t>
      </w:r>
      <w:r>
        <w:rPr>
          <w:color w:val="231F20"/>
          <w:w w:val="72"/>
        </w:rPr>
        <w:t> </w:t>
      </w:r>
      <w:r>
        <w:rPr>
          <w:color w:val="231F20"/>
          <w:w w:val="110"/>
        </w:rPr>
        <w:t>ción</w:t>
      </w:r>
      <w:r>
        <w:rPr>
          <w:color w:val="231F20"/>
          <w:spacing w:val="-19"/>
          <w:w w:val="110"/>
        </w:rPr>
        <w:t> </w:t>
      </w:r>
      <w:r>
        <w:rPr>
          <w:color w:val="231F20"/>
          <w:w w:val="110"/>
        </w:rPr>
        <w:t>impositiva,</w:t>
      </w:r>
      <w:r>
        <w:rPr>
          <w:color w:val="231F20"/>
          <w:spacing w:val="-19"/>
          <w:w w:val="110"/>
        </w:rPr>
        <w:t> </w:t>
      </w:r>
      <w:r>
        <w:rPr>
          <w:color w:val="231F20"/>
          <w:w w:val="110"/>
        </w:rPr>
        <w:t>una</w:t>
      </w:r>
      <w:r>
        <w:rPr>
          <w:color w:val="231F20"/>
          <w:spacing w:val="-19"/>
          <w:w w:val="110"/>
        </w:rPr>
        <w:t> </w:t>
      </w:r>
      <w:r>
        <w:rPr>
          <w:color w:val="231F20"/>
          <w:w w:val="110"/>
        </w:rPr>
        <w:t>política</w:t>
      </w:r>
      <w:r>
        <w:rPr>
          <w:color w:val="231F20"/>
          <w:spacing w:val="-19"/>
          <w:w w:val="110"/>
        </w:rPr>
        <w:t> </w:t>
      </w:r>
      <w:r>
        <w:rPr>
          <w:color w:val="231F20"/>
          <w:w w:val="110"/>
        </w:rPr>
        <w:t>de</w:t>
      </w:r>
      <w:r>
        <w:rPr>
          <w:color w:val="231F20"/>
          <w:spacing w:val="-19"/>
          <w:w w:val="110"/>
        </w:rPr>
        <w:t> </w:t>
      </w:r>
      <w:r>
        <w:rPr>
          <w:color w:val="231F20"/>
          <w:w w:val="110"/>
        </w:rPr>
        <w:t>restricción</w:t>
      </w:r>
      <w:r>
        <w:rPr>
          <w:color w:val="231F20"/>
          <w:spacing w:val="-19"/>
          <w:w w:val="110"/>
        </w:rPr>
        <w:t> </w:t>
      </w:r>
      <w:r>
        <w:rPr>
          <w:color w:val="231F20"/>
          <w:w w:val="110"/>
        </w:rPr>
        <w:t>monetaria</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eliminación</w:t>
      </w:r>
    </w:p>
    <w:p>
      <w:pPr>
        <w:pStyle w:val="BodyText"/>
        <w:ind w:left="100" w:right="25"/>
      </w:pPr>
      <w:r>
        <w:rPr>
          <w:color w:val="231F20"/>
          <w:w w:val="105"/>
        </w:rPr>
        <w:t>de los excesos del intervencionismo y la regulación estatal.</w:t>
      </w:r>
    </w:p>
    <w:p>
      <w:pPr>
        <w:pStyle w:val="BodyText"/>
        <w:spacing w:line="261" w:lineRule="auto" w:before="20"/>
        <w:ind w:left="100" w:right="119" w:firstLine="240"/>
        <w:jc w:val="both"/>
      </w:pPr>
      <w:r>
        <w:rPr>
          <w:color w:val="231F20"/>
          <w:w w:val="105"/>
        </w:rPr>
        <w:t>Las sucesivas rebajas impositivas en todo el</w:t>
      </w:r>
      <w:r>
        <w:rPr>
          <w:color w:val="231F20"/>
          <w:spacing w:val="12"/>
          <w:w w:val="105"/>
        </w:rPr>
        <w:t> </w:t>
      </w:r>
      <w:r>
        <w:rPr>
          <w:color w:val="231F20"/>
          <w:w w:val="105"/>
        </w:rPr>
        <w:t>periodo</w:t>
      </w:r>
      <w:r>
        <w:rPr>
          <w:color w:val="231F20"/>
          <w:spacing w:val="31"/>
          <w:w w:val="105"/>
        </w:rPr>
        <w:t> </w:t>
      </w:r>
      <w:r>
        <w:rPr>
          <w:color w:val="231F20"/>
          <w:w w:val="105"/>
        </w:rPr>
        <w:t>favorecieron</w:t>
      </w:r>
      <w:r>
        <w:rPr>
          <w:color w:val="231F20"/>
          <w:spacing w:val="-1"/>
          <w:w w:val="108"/>
        </w:rPr>
        <w:t> </w:t>
      </w:r>
      <w:r>
        <w:rPr>
          <w:color w:val="231F20"/>
          <w:w w:val="105"/>
        </w:rPr>
        <w:t>una espiral de consumo, que redujo significativamente el ahorro </w:t>
      </w:r>
      <w:r>
        <w:rPr>
          <w:color w:val="231F20"/>
          <w:spacing w:val="-3"/>
          <w:w w:val="105"/>
        </w:rPr>
        <w:t>per- </w:t>
      </w:r>
      <w:r>
        <w:rPr>
          <w:color w:val="231F20"/>
          <w:w w:val="105"/>
        </w:rPr>
        <w:t>sonal. Los avances tecnológicos también propiciaron el desarrollo de los mercados financieros mediante la creación de nuevos instrumen- tos de inversión y el surgimiento de nuevas instituciones financieras. Estos elementos, junto con la masificación del uso de Internet, en los años  noventa,  y  los  crecientes  niveles  de  desregulación,</w:t>
      </w:r>
      <w:r>
        <w:rPr>
          <w:color w:val="231F20"/>
          <w:spacing w:val="-8"/>
          <w:w w:val="105"/>
        </w:rPr>
        <w:t> </w:t>
      </w:r>
      <w:r>
        <w:rPr>
          <w:color w:val="231F20"/>
          <w:w w:val="105"/>
        </w:rPr>
        <w:t>implicaron</w:t>
      </w:r>
    </w:p>
    <w:p>
      <w:pPr>
        <w:pStyle w:val="BodyText"/>
      </w:pPr>
    </w:p>
    <w:p>
      <w:pPr>
        <w:pStyle w:val="BodyText"/>
        <w:spacing w:before="6"/>
        <w:rPr>
          <w:sz w:val="17"/>
        </w:rPr>
      </w:pPr>
    </w:p>
    <w:p>
      <w:pPr>
        <w:spacing w:line="261" w:lineRule="auto" w:before="0"/>
        <w:ind w:left="100" w:right="117" w:firstLine="240"/>
        <w:jc w:val="both"/>
        <w:rPr>
          <w:sz w:val="16"/>
        </w:rPr>
      </w:pPr>
      <w:r>
        <w:rPr>
          <w:color w:val="231F20"/>
          <w:w w:val="110"/>
          <w:position w:val="5"/>
          <w:sz w:val="10"/>
        </w:rPr>
        <w:t>2</w:t>
      </w:r>
      <w:r>
        <w:rPr>
          <w:color w:val="231F20"/>
          <w:spacing w:val="16"/>
          <w:w w:val="110"/>
          <w:position w:val="5"/>
          <w:sz w:val="10"/>
        </w:rPr>
        <w:t> </w:t>
      </w:r>
      <w:r>
        <w:rPr>
          <w:color w:val="231F20"/>
          <w:w w:val="110"/>
          <w:sz w:val="16"/>
        </w:rPr>
        <w:t>En</w:t>
      </w:r>
      <w:r>
        <w:rPr>
          <w:color w:val="231F20"/>
          <w:spacing w:val="-5"/>
          <w:w w:val="110"/>
          <w:sz w:val="16"/>
        </w:rPr>
        <w:t> </w:t>
      </w:r>
      <w:r>
        <w:rPr>
          <w:color w:val="231F20"/>
          <w:w w:val="110"/>
          <w:sz w:val="16"/>
        </w:rPr>
        <w:t>1976,</w:t>
      </w:r>
      <w:r>
        <w:rPr>
          <w:color w:val="231F20"/>
          <w:spacing w:val="-5"/>
          <w:w w:val="110"/>
          <w:sz w:val="16"/>
        </w:rPr>
        <w:t> </w:t>
      </w:r>
      <w:r>
        <w:rPr>
          <w:color w:val="231F20"/>
          <w:w w:val="110"/>
          <w:sz w:val="16"/>
        </w:rPr>
        <w:t>tuvo</w:t>
      </w:r>
      <w:r>
        <w:rPr>
          <w:color w:val="231F20"/>
          <w:spacing w:val="-5"/>
          <w:w w:val="110"/>
          <w:sz w:val="16"/>
        </w:rPr>
        <w:t> </w:t>
      </w:r>
      <w:r>
        <w:rPr>
          <w:color w:val="231F20"/>
          <w:w w:val="110"/>
          <w:sz w:val="16"/>
        </w:rPr>
        <w:t>lugar</w:t>
      </w:r>
      <w:r>
        <w:rPr>
          <w:color w:val="231F20"/>
          <w:spacing w:val="-5"/>
          <w:w w:val="110"/>
          <w:sz w:val="16"/>
        </w:rPr>
        <w:t> </w:t>
      </w:r>
      <w:r>
        <w:rPr>
          <w:color w:val="231F20"/>
          <w:w w:val="110"/>
          <w:sz w:val="16"/>
        </w:rPr>
        <w:t>la</w:t>
      </w:r>
      <w:r>
        <w:rPr>
          <w:color w:val="231F20"/>
          <w:spacing w:val="-5"/>
          <w:w w:val="110"/>
          <w:sz w:val="16"/>
        </w:rPr>
        <w:t> </w:t>
      </w:r>
      <w:r>
        <w:rPr>
          <w:color w:val="231F20"/>
          <w:w w:val="110"/>
          <w:sz w:val="16"/>
        </w:rPr>
        <w:t>Conferencia</w:t>
      </w:r>
      <w:r>
        <w:rPr>
          <w:color w:val="231F20"/>
          <w:spacing w:val="-5"/>
          <w:w w:val="110"/>
          <w:sz w:val="16"/>
        </w:rPr>
        <w:t> </w:t>
      </w:r>
      <w:r>
        <w:rPr>
          <w:color w:val="231F20"/>
          <w:w w:val="110"/>
          <w:sz w:val="16"/>
        </w:rPr>
        <w:t>de</w:t>
      </w:r>
      <w:r>
        <w:rPr>
          <w:color w:val="231F20"/>
          <w:spacing w:val="-5"/>
          <w:w w:val="110"/>
          <w:sz w:val="16"/>
        </w:rPr>
        <w:t> </w:t>
      </w:r>
      <w:r>
        <w:rPr>
          <w:color w:val="231F20"/>
          <w:w w:val="110"/>
          <w:sz w:val="16"/>
        </w:rPr>
        <w:t>Jamaica,</w:t>
      </w:r>
      <w:r>
        <w:rPr>
          <w:color w:val="231F20"/>
          <w:spacing w:val="-5"/>
          <w:w w:val="110"/>
          <w:sz w:val="16"/>
        </w:rPr>
        <w:t> </w:t>
      </w:r>
      <w:r>
        <w:rPr>
          <w:color w:val="231F20"/>
          <w:w w:val="110"/>
          <w:sz w:val="16"/>
        </w:rPr>
        <w:t>en</w:t>
      </w:r>
      <w:r>
        <w:rPr>
          <w:color w:val="231F20"/>
          <w:spacing w:val="-5"/>
          <w:w w:val="110"/>
          <w:sz w:val="16"/>
        </w:rPr>
        <w:t> </w:t>
      </w:r>
      <w:r>
        <w:rPr>
          <w:color w:val="231F20"/>
          <w:w w:val="110"/>
          <w:sz w:val="16"/>
        </w:rPr>
        <w:t>la</w:t>
      </w:r>
      <w:r>
        <w:rPr>
          <w:color w:val="231F20"/>
          <w:spacing w:val="-5"/>
          <w:w w:val="110"/>
          <w:sz w:val="16"/>
        </w:rPr>
        <w:t> </w:t>
      </w:r>
      <w:r>
        <w:rPr>
          <w:color w:val="231F20"/>
          <w:w w:val="110"/>
          <w:sz w:val="16"/>
        </w:rPr>
        <w:t>cual</w:t>
      </w:r>
      <w:r>
        <w:rPr>
          <w:color w:val="231F20"/>
          <w:spacing w:val="-5"/>
          <w:w w:val="110"/>
          <w:sz w:val="16"/>
        </w:rPr>
        <w:t> </w:t>
      </w:r>
      <w:r>
        <w:rPr>
          <w:color w:val="231F20"/>
          <w:w w:val="110"/>
          <w:sz w:val="16"/>
        </w:rPr>
        <w:t>se</w:t>
      </w:r>
      <w:r>
        <w:rPr>
          <w:color w:val="231F20"/>
          <w:spacing w:val="-5"/>
          <w:w w:val="110"/>
          <w:sz w:val="16"/>
        </w:rPr>
        <w:t> </w:t>
      </w:r>
      <w:r>
        <w:rPr>
          <w:color w:val="231F20"/>
          <w:w w:val="110"/>
          <w:sz w:val="16"/>
        </w:rPr>
        <w:t>dio</w:t>
      </w:r>
      <w:r>
        <w:rPr>
          <w:color w:val="231F20"/>
          <w:spacing w:val="-5"/>
          <w:w w:val="110"/>
          <w:sz w:val="16"/>
        </w:rPr>
        <w:t> </w:t>
      </w:r>
      <w:r>
        <w:rPr>
          <w:color w:val="231F20"/>
          <w:w w:val="110"/>
          <w:sz w:val="16"/>
        </w:rPr>
        <w:t>fin</w:t>
      </w:r>
      <w:r>
        <w:rPr>
          <w:color w:val="231F20"/>
          <w:spacing w:val="-5"/>
          <w:w w:val="110"/>
          <w:sz w:val="16"/>
        </w:rPr>
        <w:t> </w:t>
      </w:r>
      <w:r>
        <w:rPr>
          <w:color w:val="231F20"/>
          <w:w w:val="110"/>
          <w:sz w:val="16"/>
        </w:rPr>
        <w:t>oficialmente al</w:t>
      </w:r>
      <w:r>
        <w:rPr>
          <w:color w:val="231F20"/>
          <w:spacing w:val="-3"/>
          <w:w w:val="110"/>
          <w:sz w:val="16"/>
        </w:rPr>
        <w:t> </w:t>
      </w:r>
      <w:r>
        <w:rPr>
          <w:color w:val="231F20"/>
          <w:w w:val="110"/>
          <w:sz w:val="16"/>
        </w:rPr>
        <w:t>sistema</w:t>
      </w:r>
      <w:r>
        <w:rPr>
          <w:color w:val="231F20"/>
          <w:spacing w:val="-3"/>
          <w:w w:val="110"/>
          <w:sz w:val="16"/>
        </w:rPr>
        <w:t> </w:t>
      </w:r>
      <w:r>
        <w:rPr>
          <w:color w:val="231F20"/>
          <w:w w:val="110"/>
          <w:sz w:val="16"/>
        </w:rPr>
        <w:t>de</w:t>
      </w:r>
      <w:r>
        <w:rPr>
          <w:color w:val="231F20"/>
          <w:spacing w:val="-3"/>
          <w:w w:val="110"/>
          <w:sz w:val="16"/>
        </w:rPr>
        <w:t> </w:t>
      </w:r>
      <w:r>
        <w:rPr>
          <w:color w:val="231F20"/>
          <w:w w:val="110"/>
          <w:sz w:val="16"/>
        </w:rPr>
        <w:t>tipos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cambios</w:t>
      </w:r>
      <w:r>
        <w:rPr>
          <w:color w:val="231F20"/>
          <w:spacing w:val="-3"/>
          <w:w w:val="110"/>
          <w:sz w:val="16"/>
        </w:rPr>
        <w:t> </w:t>
      </w:r>
      <w:r>
        <w:rPr>
          <w:color w:val="231F20"/>
          <w:w w:val="110"/>
          <w:sz w:val="16"/>
        </w:rPr>
        <w:t>fijos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Bretton</w:t>
      </w:r>
      <w:r>
        <w:rPr>
          <w:color w:val="231F20"/>
          <w:spacing w:val="-3"/>
          <w:w w:val="110"/>
          <w:sz w:val="16"/>
        </w:rPr>
        <w:t> </w:t>
      </w:r>
      <w:r>
        <w:rPr>
          <w:color w:val="231F20"/>
          <w:w w:val="110"/>
          <w:sz w:val="16"/>
        </w:rPr>
        <w:t>Woods.</w:t>
      </w:r>
      <w:r>
        <w:rPr>
          <w:color w:val="231F20"/>
          <w:spacing w:val="-3"/>
          <w:w w:val="110"/>
          <w:sz w:val="16"/>
        </w:rPr>
        <w:t> </w:t>
      </w:r>
      <w:r>
        <w:rPr>
          <w:color w:val="231F20"/>
          <w:w w:val="110"/>
          <w:sz w:val="16"/>
        </w:rPr>
        <w:t>En</w:t>
      </w:r>
      <w:r>
        <w:rPr>
          <w:color w:val="231F20"/>
          <w:spacing w:val="-3"/>
          <w:w w:val="110"/>
          <w:sz w:val="16"/>
        </w:rPr>
        <w:t> </w:t>
      </w:r>
      <w:r>
        <w:rPr>
          <w:color w:val="231F20"/>
          <w:w w:val="110"/>
          <w:sz w:val="16"/>
        </w:rPr>
        <w:t>esta</w:t>
      </w:r>
      <w:r>
        <w:rPr>
          <w:color w:val="231F20"/>
          <w:spacing w:val="-3"/>
          <w:w w:val="110"/>
          <w:sz w:val="16"/>
        </w:rPr>
        <w:t> </w:t>
      </w:r>
      <w:r>
        <w:rPr>
          <w:color w:val="231F20"/>
          <w:w w:val="110"/>
          <w:sz w:val="16"/>
        </w:rPr>
        <w:t>conferencia</w:t>
      </w:r>
      <w:r>
        <w:rPr>
          <w:color w:val="231F20"/>
          <w:spacing w:val="-3"/>
          <w:w w:val="110"/>
          <w:sz w:val="16"/>
        </w:rPr>
        <w:t> </w:t>
      </w:r>
      <w:r>
        <w:rPr>
          <w:color w:val="231F20"/>
          <w:w w:val="110"/>
          <w:sz w:val="16"/>
        </w:rPr>
        <w:t>se</w:t>
      </w:r>
      <w:r>
        <w:rPr>
          <w:color w:val="231F20"/>
          <w:spacing w:val="-3"/>
          <w:w w:val="110"/>
          <w:sz w:val="16"/>
        </w:rPr>
        <w:t> </w:t>
      </w:r>
      <w:r>
        <w:rPr>
          <w:color w:val="231F20"/>
          <w:w w:val="110"/>
          <w:sz w:val="16"/>
        </w:rPr>
        <w:t>declaró que se legalizaban los tipos de cambios flotantes y que la determinación de la</w:t>
      </w:r>
      <w:r>
        <w:rPr>
          <w:color w:val="231F20"/>
          <w:spacing w:val="-25"/>
          <w:w w:val="110"/>
          <w:sz w:val="16"/>
        </w:rPr>
        <w:t> </w:t>
      </w:r>
      <w:r>
        <w:rPr>
          <w:color w:val="231F20"/>
          <w:w w:val="110"/>
          <w:sz w:val="16"/>
        </w:rPr>
        <w:t>paridad de una moneda era responsabilidad de su país de  </w:t>
      </w:r>
      <w:r>
        <w:rPr>
          <w:color w:val="231F20"/>
          <w:spacing w:val="24"/>
          <w:w w:val="110"/>
          <w:sz w:val="16"/>
        </w:rPr>
        <w:t> </w:t>
      </w:r>
      <w:r>
        <w:rPr>
          <w:color w:val="231F20"/>
          <w:w w:val="110"/>
          <w:sz w:val="16"/>
        </w:rPr>
        <w:t>origen.</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que</w:t>
      </w:r>
      <w:r>
        <w:rPr>
          <w:color w:val="231F20"/>
          <w:spacing w:val="-8"/>
          <w:w w:val="110"/>
        </w:rPr>
        <w:t> </w:t>
      </w:r>
      <w:r>
        <w:rPr>
          <w:color w:val="231F20"/>
          <w:w w:val="110"/>
        </w:rPr>
        <w:t>cada</w:t>
      </w:r>
      <w:r>
        <w:rPr>
          <w:color w:val="231F20"/>
          <w:spacing w:val="-8"/>
          <w:w w:val="110"/>
        </w:rPr>
        <w:t> </w:t>
      </w:r>
      <w:r>
        <w:rPr>
          <w:color w:val="231F20"/>
          <w:w w:val="110"/>
        </w:rPr>
        <w:t>vez</w:t>
      </w:r>
      <w:r>
        <w:rPr>
          <w:color w:val="231F20"/>
          <w:spacing w:val="-8"/>
          <w:w w:val="110"/>
        </w:rPr>
        <w:t> </w:t>
      </w:r>
      <w:r>
        <w:rPr>
          <w:color w:val="231F20"/>
          <w:w w:val="110"/>
        </w:rPr>
        <w:t>más</w:t>
      </w:r>
      <w:r>
        <w:rPr>
          <w:color w:val="231F20"/>
          <w:spacing w:val="-8"/>
          <w:w w:val="110"/>
        </w:rPr>
        <w:t> </w:t>
      </w:r>
      <w:r>
        <w:rPr>
          <w:color w:val="231F20"/>
          <w:w w:val="110"/>
        </w:rPr>
        <w:t>hogares</w:t>
      </w:r>
      <w:r>
        <w:rPr>
          <w:color w:val="231F20"/>
          <w:spacing w:val="-8"/>
          <w:w w:val="110"/>
        </w:rPr>
        <w:t> </w:t>
      </w:r>
      <w:r>
        <w:rPr>
          <w:color w:val="231F20"/>
          <w:w w:val="110"/>
        </w:rPr>
        <w:t>e</w:t>
      </w:r>
      <w:r>
        <w:rPr>
          <w:color w:val="231F20"/>
          <w:spacing w:val="-8"/>
          <w:w w:val="110"/>
        </w:rPr>
        <w:t> </w:t>
      </w:r>
      <w:r>
        <w:rPr>
          <w:color w:val="231F20"/>
          <w:w w:val="110"/>
        </w:rPr>
        <w:t>individuos</w:t>
      </w:r>
      <w:r>
        <w:rPr>
          <w:color w:val="231F20"/>
          <w:spacing w:val="-8"/>
          <w:w w:val="110"/>
        </w:rPr>
        <w:t> </w:t>
      </w:r>
      <w:r>
        <w:rPr>
          <w:color w:val="231F20"/>
          <w:w w:val="110"/>
        </w:rPr>
        <w:t>participaran</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mercado</w:t>
      </w:r>
      <w:r>
        <w:rPr>
          <w:color w:val="231F20"/>
          <w:spacing w:val="-8"/>
          <w:w w:val="110"/>
        </w:rPr>
        <w:t> </w:t>
      </w:r>
      <w:r>
        <w:rPr>
          <w:color w:val="231F20"/>
          <w:w w:val="110"/>
        </w:rPr>
        <w:t>de valores.</w:t>
      </w:r>
      <w:r>
        <w:rPr>
          <w:color w:val="231F20"/>
          <w:spacing w:val="-23"/>
          <w:w w:val="110"/>
        </w:rPr>
        <w:t> </w:t>
      </w:r>
      <w:r>
        <w:rPr>
          <w:color w:val="231F20"/>
          <w:w w:val="110"/>
        </w:rPr>
        <w:t>Las</w:t>
      </w:r>
      <w:r>
        <w:rPr>
          <w:color w:val="231F20"/>
          <w:spacing w:val="-23"/>
          <w:w w:val="110"/>
        </w:rPr>
        <w:t> </w:t>
      </w:r>
      <w:r>
        <w:rPr>
          <w:color w:val="231F20"/>
          <w:w w:val="110"/>
        </w:rPr>
        <w:t>ganancias</w:t>
      </w:r>
      <w:r>
        <w:rPr>
          <w:color w:val="231F20"/>
          <w:spacing w:val="-23"/>
          <w:w w:val="110"/>
        </w:rPr>
        <w:t> </w:t>
      </w:r>
      <w:r>
        <w:rPr>
          <w:color w:val="231F20"/>
          <w:w w:val="110"/>
        </w:rPr>
        <w:t>obtenidas</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mercado</w:t>
      </w:r>
      <w:r>
        <w:rPr>
          <w:color w:val="231F20"/>
          <w:spacing w:val="-23"/>
          <w:w w:val="110"/>
        </w:rPr>
        <w:t> </w:t>
      </w:r>
      <w:r>
        <w:rPr>
          <w:color w:val="231F20"/>
          <w:w w:val="110"/>
        </w:rPr>
        <w:t>bursátil</w:t>
      </w:r>
      <w:r>
        <w:rPr>
          <w:color w:val="231F20"/>
          <w:spacing w:val="-23"/>
          <w:w w:val="110"/>
        </w:rPr>
        <w:t> </w:t>
      </w:r>
      <w:r>
        <w:rPr>
          <w:color w:val="231F20"/>
          <w:w w:val="110"/>
        </w:rPr>
        <w:t>contribuyeron a la explosión del consumo </w:t>
      </w:r>
      <w:r>
        <w:rPr>
          <w:color w:val="231F20"/>
          <w:spacing w:val="-8"/>
          <w:w w:val="110"/>
        </w:rPr>
        <w:t>y, </w:t>
      </w:r>
      <w:r>
        <w:rPr>
          <w:color w:val="231F20"/>
          <w:w w:val="110"/>
        </w:rPr>
        <w:t>con ello, a una mayor contracción de la tasa de ahorro</w:t>
      </w:r>
      <w:r>
        <w:rPr>
          <w:color w:val="231F20"/>
          <w:spacing w:val="30"/>
          <w:w w:val="110"/>
        </w:rPr>
        <w:t> </w:t>
      </w:r>
      <w:r>
        <w:rPr>
          <w:color w:val="231F20"/>
          <w:w w:val="110"/>
        </w:rPr>
        <w:t>personal.</w:t>
      </w:r>
    </w:p>
    <w:p>
      <w:pPr>
        <w:pStyle w:val="BodyText"/>
        <w:spacing w:line="261" w:lineRule="auto"/>
        <w:ind w:left="100" w:right="114" w:firstLine="240"/>
        <w:jc w:val="right"/>
      </w:pPr>
      <w:r>
        <w:rPr>
          <w:color w:val="231F20"/>
          <w:w w:val="110"/>
        </w:rPr>
        <w:t>En los años más recientes, el auge del consumo</w:t>
      </w:r>
      <w:r>
        <w:rPr>
          <w:color w:val="231F20"/>
          <w:spacing w:val="10"/>
          <w:w w:val="110"/>
        </w:rPr>
        <w:t> </w:t>
      </w:r>
      <w:r>
        <w:rPr>
          <w:color w:val="231F20"/>
          <w:w w:val="110"/>
        </w:rPr>
        <w:t>fue</w:t>
      </w:r>
      <w:r>
        <w:rPr>
          <w:color w:val="231F20"/>
          <w:spacing w:val="19"/>
          <w:w w:val="110"/>
        </w:rPr>
        <w:t> </w:t>
      </w:r>
      <w:r>
        <w:rPr>
          <w:color w:val="231F20"/>
          <w:w w:val="110"/>
        </w:rPr>
        <w:t>favorecido,</w:t>
      </w:r>
      <w:r>
        <w:rPr>
          <w:color w:val="231F20"/>
          <w:w w:val="106"/>
        </w:rPr>
        <w:t> </w:t>
      </w:r>
      <w:r>
        <w:rPr>
          <w:color w:val="231F20"/>
          <w:w w:val="110"/>
        </w:rPr>
        <w:t>no sólo por las ganancias obtenidas en el mercado de</w:t>
      </w:r>
      <w:r>
        <w:rPr>
          <w:color w:val="231F20"/>
          <w:spacing w:val="37"/>
          <w:w w:val="110"/>
        </w:rPr>
        <w:t> </w:t>
      </w:r>
      <w:r>
        <w:rPr>
          <w:color w:val="231F20"/>
          <w:w w:val="110"/>
        </w:rPr>
        <w:t>valores,</w:t>
      </w:r>
      <w:r>
        <w:rPr>
          <w:color w:val="231F20"/>
          <w:spacing w:val="14"/>
          <w:w w:val="110"/>
        </w:rPr>
        <w:t> </w:t>
      </w:r>
      <w:r>
        <w:rPr>
          <w:color w:val="231F20"/>
          <w:w w:val="110"/>
        </w:rPr>
        <w:t>sino</w:t>
      </w:r>
      <w:r>
        <w:rPr>
          <w:color w:val="231F20"/>
          <w:w w:val="107"/>
        </w:rPr>
        <w:t> </w:t>
      </w:r>
      <w:r>
        <w:rPr>
          <w:color w:val="231F20"/>
          <w:w w:val="110"/>
        </w:rPr>
        <w:t>por nuevos elementos como el mantenimiento de bajas tasas</w:t>
      </w:r>
      <w:r>
        <w:rPr>
          <w:color w:val="231F20"/>
          <w:spacing w:val="9"/>
          <w:w w:val="110"/>
        </w:rPr>
        <w:t> </w:t>
      </w:r>
      <w:r>
        <w:rPr>
          <w:color w:val="231F20"/>
          <w:w w:val="110"/>
        </w:rPr>
        <w:t>de</w:t>
      </w:r>
      <w:r>
        <w:rPr>
          <w:color w:val="231F20"/>
          <w:spacing w:val="13"/>
          <w:w w:val="110"/>
        </w:rPr>
        <w:t> </w:t>
      </w:r>
      <w:r>
        <w:rPr>
          <w:color w:val="231F20"/>
          <w:w w:val="110"/>
        </w:rPr>
        <w:t>in-</w:t>
      </w:r>
      <w:r>
        <w:rPr>
          <w:color w:val="231F20"/>
          <w:w w:val="72"/>
        </w:rPr>
        <w:t> </w:t>
      </w:r>
      <w:r>
        <w:rPr>
          <w:color w:val="231F20"/>
          <w:w w:val="110"/>
        </w:rPr>
        <w:t>terés,</w:t>
      </w:r>
      <w:r>
        <w:rPr>
          <w:color w:val="231F20"/>
          <w:spacing w:val="-4"/>
          <w:w w:val="110"/>
        </w:rPr>
        <w:t> </w:t>
      </w:r>
      <w:r>
        <w:rPr>
          <w:color w:val="231F20"/>
          <w:w w:val="110"/>
        </w:rPr>
        <w:t>hasta</w:t>
      </w:r>
      <w:r>
        <w:rPr>
          <w:color w:val="231F20"/>
          <w:spacing w:val="-4"/>
          <w:w w:val="110"/>
        </w:rPr>
        <w:t> </w:t>
      </w:r>
      <w:r>
        <w:rPr>
          <w:color w:val="231F20"/>
          <w:w w:val="110"/>
        </w:rPr>
        <w:t>2004,</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alza</w:t>
      </w:r>
      <w:r>
        <w:rPr>
          <w:color w:val="231F20"/>
          <w:spacing w:val="-4"/>
          <w:w w:val="110"/>
        </w:rPr>
        <w:t> </w:t>
      </w:r>
      <w:r>
        <w:rPr>
          <w:color w:val="231F20"/>
          <w:w w:val="110"/>
        </w:rPr>
        <w:t>del</w:t>
      </w:r>
      <w:r>
        <w:rPr>
          <w:color w:val="231F20"/>
          <w:spacing w:val="-4"/>
          <w:w w:val="110"/>
        </w:rPr>
        <w:t> </w:t>
      </w:r>
      <w:r>
        <w:rPr>
          <w:color w:val="231F20"/>
          <w:w w:val="110"/>
        </w:rPr>
        <w:t>precio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viviendas.</w:t>
      </w:r>
      <w:r>
        <w:rPr>
          <w:color w:val="231F20"/>
          <w:spacing w:val="-4"/>
          <w:w w:val="110"/>
        </w:rPr>
        <w:t> </w:t>
      </w:r>
      <w:r>
        <w:rPr>
          <w:color w:val="231F20"/>
          <w:w w:val="110"/>
        </w:rPr>
        <w:t>Estos</w:t>
      </w:r>
      <w:r>
        <w:rPr>
          <w:color w:val="231F20"/>
          <w:spacing w:val="-4"/>
          <w:w w:val="110"/>
        </w:rPr>
        <w:t> </w:t>
      </w:r>
      <w:r>
        <w:rPr>
          <w:color w:val="231F20"/>
          <w:w w:val="110"/>
        </w:rPr>
        <w:t>factores</w:t>
      </w:r>
      <w:r>
        <w:rPr>
          <w:color w:val="231F20"/>
          <w:w w:val="107"/>
        </w:rPr>
        <w:t> </w:t>
      </w:r>
      <w:r>
        <w:rPr>
          <w:color w:val="231F20"/>
          <w:w w:val="110"/>
        </w:rPr>
        <w:t>propiciaron</w:t>
      </w:r>
      <w:r>
        <w:rPr>
          <w:color w:val="231F20"/>
          <w:spacing w:val="39"/>
          <w:w w:val="110"/>
        </w:rPr>
        <w:t> </w:t>
      </w:r>
      <w:r>
        <w:rPr>
          <w:color w:val="231F20"/>
          <w:w w:val="110"/>
        </w:rPr>
        <w:t>un</w:t>
      </w:r>
      <w:r>
        <w:rPr>
          <w:color w:val="231F20"/>
          <w:spacing w:val="39"/>
          <w:w w:val="110"/>
        </w:rPr>
        <w:t> </w:t>
      </w:r>
      <w:r>
        <w:rPr>
          <w:color w:val="231F20"/>
          <w:w w:val="110"/>
        </w:rPr>
        <w:t>mayor</w:t>
      </w:r>
      <w:r>
        <w:rPr>
          <w:color w:val="231F20"/>
          <w:spacing w:val="39"/>
          <w:w w:val="110"/>
        </w:rPr>
        <w:t> </w:t>
      </w:r>
      <w:r>
        <w:rPr>
          <w:color w:val="231F20"/>
          <w:w w:val="110"/>
        </w:rPr>
        <w:t>endeudamiento</w:t>
      </w:r>
      <w:r>
        <w:rPr>
          <w:color w:val="231F20"/>
          <w:spacing w:val="39"/>
          <w:w w:val="110"/>
        </w:rPr>
        <w:t> </w:t>
      </w:r>
      <w:r>
        <w:rPr>
          <w:color w:val="231F20"/>
          <w:w w:val="110"/>
        </w:rPr>
        <w:t>de</w:t>
      </w:r>
      <w:r>
        <w:rPr>
          <w:color w:val="231F20"/>
          <w:spacing w:val="39"/>
          <w:w w:val="110"/>
        </w:rPr>
        <w:t> </w:t>
      </w:r>
      <w:r>
        <w:rPr>
          <w:color w:val="231F20"/>
          <w:w w:val="110"/>
        </w:rPr>
        <w:t>las</w:t>
      </w:r>
      <w:r>
        <w:rPr>
          <w:color w:val="231F20"/>
          <w:spacing w:val="39"/>
          <w:w w:val="110"/>
        </w:rPr>
        <w:t> </w:t>
      </w:r>
      <w:r>
        <w:rPr>
          <w:color w:val="231F20"/>
          <w:w w:val="110"/>
        </w:rPr>
        <w:t>familias</w:t>
      </w:r>
      <w:r>
        <w:rPr>
          <w:color w:val="231F20"/>
          <w:spacing w:val="39"/>
          <w:w w:val="110"/>
        </w:rPr>
        <w:t> </w:t>
      </w:r>
      <w:r>
        <w:rPr>
          <w:color w:val="231F20"/>
          <w:w w:val="110"/>
        </w:rPr>
        <w:t>a</w:t>
      </w:r>
      <w:r>
        <w:rPr>
          <w:color w:val="231F20"/>
          <w:spacing w:val="39"/>
          <w:w w:val="110"/>
        </w:rPr>
        <w:t> </w:t>
      </w:r>
      <w:r>
        <w:rPr>
          <w:color w:val="231F20"/>
          <w:w w:val="110"/>
        </w:rPr>
        <w:t>partir</w:t>
      </w:r>
      <w:r>
        <w:rPr>
          <w:color w:val="231F20"/>
          <w:spacing w:val="39"/>
          <w:w w:val="110"/>
        </w:rPr>
        <w:t> </w:t>
      </w:r>
      <w:r>
        <w:rPr>
          <w:color w:val="231F20"/>
          <w:w w:val="110"/>
        </w:rPr>
        <w:t>del</w:t>
      </w:r>
      <w:r>
        <w:rPr>
          <w:color w:val="231F20"/>
          <w:w w:val="111"/>
        </w:rPr>
        <w:t> </w:t>
      </w:r>
      <w:r>
        <w:rPr>
          <w:color w:val="231F20"/>
          <w:w w:val="110"/>
        </w:rPr>
        <w:t>abaratamiento del refinanciamiento hipotecario </w:t>
      </w:r>
      <w:r>
        <w:rPr>
          <w:color w:val="231F20"/>
          <w:spacing w:val="-8"/>
          <w:w w:val="110"/>
        </w:rPr>
        <w:t>y, </w:t>
      </w:r>
      <w:r>
        <w:rPr>
          <w:color w:val="231F20"/>
          <w:w w:val="110"/>
        </w:rPr>
        <w:t>en el caso</w:t>
      </w:r>
      <w:r>
        <w:rPr>
          <w:color w:val="231F20"/>
          <w:spacing w:val="21"/>
          <w:w w:val="110"/>
        </w:rPr>
        <w:t> </w:t>
      </w:r>
      <w:r>
        <w:rPr>
          <w:color w:val="231F20"/>
          <w:w w:val="110"/>
        </w:rPr>
        <w:t>de</w:t>
      </w:r>
      <w:r>
        <w:rPr>
          <w:color w:val="231F20"/>
          <w:spacing w:val="15"/>
          <w:w w:val="110"/>
        </w:rPr>
        <w:t> </w:t>
      </w:r>
      <w:r>
        <w:rPr>
          <w:color w:val="231F20"/>
          <w:w w:val="110"/>
        </w:rPr>
        <w:t>los</w:t>
      </w:r>
      <w:r>
        <w:rPr>
          <w:color w:val="231F20"/>
          <w:w w:val="102"/>
        </w:rPr>
        <w:t> </w:t>
      </w:r>
      <w:r>
        <w:rPr>
          <w:color w:val="231F20"/>
          <w:w w:val="110"/>
        </w:rPr>
        <w:t>hogares con mayor poder adquisitivo, una tendencia creciente</w:t>
      </w:r>
      <w:r>
        <w:rPr>
          <w:color w:val="231F20"/>
          <w:spacing w:val="16"/>
          <w:w w:val="110"/>
        </w:rPr>
        <w:t> </w:t>
      </w:r>
      <w:r>
        <w:rPr>
          <w:color w:val="231F20"/>
          <w:w w:val="110"/>
        </w:rPr>
        <w:t>de</w:t>
      </w:r>
      <w:r>
        <w:rPr>
          <w:color w:val="231F20"/>
          <w:spacing w:val="8"/>
          <w:w w:val="110"/>
        </w:rPr>
        <w:t> </w:t>
      </w:r>
      <w:r>
        <w:rPr>
          <w:color w:val="231F20"/>
          <w:w w:val="110"/>
        </w:rPr>
        <w:t>la</w:t>
      </w:r>
      <w:r>
        <w:rPr>
          <w:color w:val="231F20"/>
          <w:w w:val="105"/>
        </w:rPr>
        <w:t> </w:t>
      </w:r>
      <w:r>
        <w:rPr>
          <w:color w:val="231F20"/>
          <w:w w:val="110"/>
        </w:rPr>
        <w:t>riqueza</w:t>
      </w:r>
      <w:r>
        <w:rPr>
          <w:color w:val="231F20"/>
          <w:spacing w:val="-18"/>
          <w:w w:val="110"/>
        </w:rPr>
        <w:t> </w:t>
      </w:r>
      <w:r>
        <w:rPr>
          <w:color w:val="231F20"/>
          <w:w w:val="110"/>
        </w:rPr>
        <w:t>derivada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burbuja</w:t>
      </w:r>
      <w:r>
        <w:rPr>
          <w:color w:val="231F20"/>
          <w:spacing w:val="-18"/>
          <w:w w:val="110"/>
        </w:rPr>
        <w:t> </w:t>
      </w:r>
      <w:r>
        <w:rPr>
          <w:color w:val="231F20"/>
          <w:w w:val="110"/>
        </w:rPr>
        <w:t>inmobiliaria.</w:t>
      </w:r>
      <w:r>
        <w:rPr>
          <w:color w:val="231F20"/>
          <w:spacing w:val="-18"/>
          <w:w w:val="110"/>
        </w:rPr>
        <w:t> </w:t>
      </w:r>
      <w:r>
        <w:rPr>
          <w:color w:val="231F20"/>
          <w:w w:val="110"/>
        </w:rPr>
        <w:t>En</w:t>
      </w:r>
      <w:r>
        <w:rPr>
          <w:color w:val="231F20"/>
          <w:spacing w:val="-18"/>
          <w:w w:val="110"/>
        </w:rPr>
        <w:t> </w:t>
      </w:r>
      <w:r>
        <w:rPr>
          <w:color w:val="231F20"/>
          <w:w w:val="110"/>
        </w:rPr>
        <w:t>definitiva,</w:t>
      </w:r>
      <w:r>
        <w:rPr>
          <w:color w:val="231F20"/>
          <w:spacing w:val="-18"/>
          <w:w w:val="110"/>
        </w:rPr>
        <w:t> </w:t>
      </w:r>
      <w:r>
        <w:rPr>
          <w:color w:val="231F20"/>
          <w:w w:val="110"/>
        </w:rPr>
        <w:t>por</w:t>
      </w:r>
      <w:r>
        <w:rPr>
          <w:color w:val="231F20"/>
          <w:spacing w:val="-18"/>
          <w:w w:val="110"/>
        </w:rPr>
        <w:t> </w:t>
      </w:r>
      <w:r>
        <w:rPr>
          <w:color w:val="231F20"/>
          <w:w w:val="110"/>
        </w:rPr>
        <w:t>la</w:t>
      </w:r>
      <w:r>
        <w:rPr>
          <w:color w:val="231F20"/>
          <w:spacing w:val="-18"/>
          <w:w w:val="110"/>
        </w:rPr>
        <w:t> </w:t>
      </w:r>
      <w:r>
        <w:rPr>
          <w:color w:val="231F20"/>
          <w:w w:val="110"/>
        </w:rPr>
        <w:t>com-</w:t>
      </w:r>
      <w:r>
        <w:rPr>
          <w:color w:val="231F20"/>
          <w:w w:val="72"/>
        </w:rPr>
        <w:t> </w:t>
      </w:r>
      <w:r>
        <w:rPr>
          <w:color w:val="231F20"/>
          <w:w w:val="110"/>
        </w:rPr>
        <w:t>binación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factores</w:t>
      </w:r>
      <w:r>
        <w:rPr>
          <w:color w:val="231F20"/>
          <w:spacing w:val="-5"/>
          <w:w w:val="110"/>
        </w:rPr>
        <w:t> </w:t>
      </w:r>
      <w:r>
        <w:rPr>
          <w:color w:val="231F20"/>
          <w:w w:val="110"/>
        </w:rPr>
        <w:t>antes</w:t>
      </w:r>
      <w:r>
        <w:rPr>
          <w:color w:val="231F20"/>
          <w:spacing w:val="-5"/>
          <w:w w:val="110"/>
        </w:rPr>
        <w:t> </w:t>
      </w:r>
      <w:r>
        <w:rPr>
          <w:color w:val="231F20"/>
          <w:w w:val="110"/>
        </w:rPr>
        <w:t>detallados,</w:t>
      </w:r>
      <w:r>
        <w:rPr>
          <w:color w:val="231F20"/>
          <w:spacing w:val="-5"/>
          <w:w w:val="110"/>
        </w:rPr>
        <w:t> </w:t>
      </w:r>
      <w:r>
        <w:rPr>
          <w:color w:val="231F20"/>
          <w:w w:val="110"/>
        </w:rPr>
        <w:t>durante</w:t>
      </w:r>
      <w:r>
        <w:rPr>
          <w:color w:val="231F20"/>
          <w:spacing w:val="-5"/>
          <w:w w:val="110"/>
        </w:rPr>
        <w:t> </w:t>
      </w:r>
      <w:r>
        <w:rPr>
          <w:color w:val="231F20"/>
          <w:w w:val="110"/>
        </w:rPr>
        <w:t>casi</w:t>
      </w:r>
      <w:r>
        <w:rPr>
          <w:color w:val="231F20"/>
          <w:spacing w:val="-5"/>
          <w:w w:val="110"/>
        </w:rPr>
        <w:t> </w:t>
      </w:r>
      <w:r>
        <w:rPr>
          <w:color w:val="231F20"/>
          <w:w w:val="110"/>
        </w:rPr>
        <w:t>treinta</w:t>
      </w:r>
      <w:r>
        <w:rPr>
          <w:color w:val="231F20"/>
          <w:spacing w:val="-5"/>
          <w:w w:val="110"/>
        </w:rPr>
        <w:t> </w:t>
      </w:r>
      <w:r>
        <w:rPr>
          <w:color w:val="231F20"/>
          <w:w w:val="110"/>
        </w:rPr>
        <w:t>años,</w:t>
      </w:r>
      <w:r>
        <w:rPr>
          <w:color w:val="231F20"/>
          <w:spacing w:val="-5"/>
          <w:w w:val="110"/>
        </w:rPr>
        <w:t> </w:t>
      </w:r>
      <w:r>
        <w:rPr>
          <w:color w:val="231F20"/>
          <w:w w:val="110"/>
        </w:rPr>
        <w:t>la</w:t>
      </w:r>
      <w:r>
        <w:rPr>
          <w:color w:val="231F20"/>
          <w:w w:val="105"/>
        </w:rPr>
        <w:t> </w:t>
      </w:r>
      <w:r>
        <w:rPr>
          <w:color w:val="231F20"/>
          <w:w w:val="110"/>
        </w:rPr>
        <w:t>economía estadunidense ha reproducido y acentuado un</w:t>
      </w:r>
      <w:r>
        <w:rPr>
          <w:color w:val="231F20"/>
          <w:spacing w:val="14"/>
          <w:w w:val="110"/>
        </w:rPr>
        <w:t> </w:t>
      </w:r>
      <w:r>
        <w:rPr>
          <w:color w:val="231F20"/>
          <w:w w:val="110"/>
        </w:rPr>
        <w:t>patrón</w:t>
      </w:r>
      <w:r>
        <w:rPr>
          <w:color w:val="231F20"/>
          <w:spacing w:val="25"/>
          <w:w w:val="110"/>
        </w:rPr>
        <w:t> </w:t>
      </w:r>
      <w:r>
        <w:rPr>
          <w:color w:val="231F20"/>
          <w:w w:val="110"/>
        </w:rPr>
        <w:t>de</w:t>
      </w:r>
      <w:r>
        <w:rPr>
          <w:color w:val="231F20"/>
          <w:w w:val="114"/>
        </w:rPr>
        <w:t> </w:t>
      </w:r>
      <w:r>
        <w:rPr>
          <w:color w:val="231F20"/>
          <w:w w:val="110"/>
        </w:rPr>
        <w:t>elevados niveles de consumo y mínimos niveles de</w:t>
      </w:r>
      <w:r>
        <w:rPr>
          <w:color w:val="231F20"/>
          <w:spacing w:val="1"/>
          <w:w w:val="110"/>
        </w:rPr>
        <w:t> </w:t>
      </w:r>
      <w:r>
        <w:rPr>
          <w:color w:val="231F20"/>
          <w:w w:val="110"/>
        </w:rPr>
        <w:t>ahorro personal.</w:t>
      </w:r>
      <w:r>
        <w:rPr>
          <w:color w:val="231F20"/>
          <w:w w:val="110"/>
        </w:rPr>
        <w:t> </w:t>
      </w:r>
      <w:r>
        <w:rPr>
          <w:color w:val="231F20"/>
          <w:w w:val="110"/>
        </w:rPr>
        <w:t>Asimismo,</w:t>
      </w:r>
      <w:r>
        <w:rPr>
          <w:color w:val="231F20"/>
          <w:spacing w:val="29"/>
          <w:w w:val="110"/>
        </w:rPr>
        <w:t> </w:t>
      </w:r>
      <w:r>
        <w:rPr>
          <w:color w:val="231F20"/>
          <w:w w:val="110"/>
        </w:rPr>
        <w:t>para</w:t>
      </w:r>
      <w:r>
        <w:rPr>
          <w:color w:val="231F20"/>
          <w:spacing w:val="29"/>
          <w:w w:val="110"/>
        </w:rPr>
        <w:t> </w:t>
      </w:r>
      <w:r>
        <w:rPr>
          <w:color w:val="231F20"/>
          <w:w w:val="110"/>
        </w:rPr>
        <w:t>esta</w:t>
      </w:r>
      <w:r>
        <w:rPr>
          <w:color w:val="231F20"/>
          <w:spacing w:val="29"/>
          <w:w w:val="110"/>
        </w:rPr>
        <w:t> </w:t>
      </w:r>
      <w:r>
        <w:rPr>
          <w:color w:val="231F20"/>
          <w:w w:val="110"/>
        </w:rPr>
        <w:t>economía</w:t>
      </w:r>
      <w:r>
        <w:rPr>
          <w:color w:val="231F20"/>
          <w:spacing w:val="29"/>
          <w:w w:val="110"/>
        </w:rPr>
        <w:t> </w:t>
      </w:r>
      <w:r>
        <w:rPr>
          <w:color w:val="231F20"/>
          <w:w w:val="110"/>
        </w:rPr>
        <w:t>ha</w:t>
      </w:r>
      <w:r>
        <w:rPr>
          <w:color w:val="231F20"/>
          <w:spacing w:val="29"/>
          <w:w w:val="110"/>
        </w:rPr>
        <w:t> </w:t>
      </w:r>
      <w:r>
        <w:rPr>
          <w:color w:val="231F20"/>
          <w:w w:val="110"/>
        </w:rPr>
        <w:t>sido</w:t>
      </w:r>
      <w:r>
        <w:rPr>
          <w:color w:val="231F20"/>
          <w:spacing w:val="29"/>
          <w:w w:val="110"/>
        </w:rPr>
        <w:t> </w:t>
      </w:r>
      <w:r>
        <w:rPr>
          <w:color w:val="231F20"/>
          <w:w w:val="110"/>
        </w:rPr>
        <w:t>una</w:t>
      </w:r>
      <w:r>
        <w:rPr>
          <w:color w:val="231F20"/>
          <w:spacing w:val="29"/>
          <w:w w:val="110"/>
        </w:rPr>
        <w:t> </w:t>
      </w:r>
      <w:r>
        <w:rPr>
          <w:color w:val="231F20"/>
          <w:w w:val="110"/>
        </w:rPr>
        <w:t>regla</w:t>
      </w:r>
      <w:r>
        <w:rPr>
          <w:color w:val="231F20"/>
          <w:spacing w:val="29"/>
          <w:w w:val="110"/>
        </w:rPr>
        <w:t> </w:t>
      </w:r>
      <w:r>
        <w:rPr>
          <w:color w:val="231F20"/>
          <w:w w:val="110"/>
        </w:rPr>
        <w:t>la</w:t>
      </w:r>
      <w:r>
        <w:rPr>
          <w:color w:val="231F20"/>
          <w:spacing w:val="29"/>
          <w:w w:val="110"/>
        </w:rPr>
        <w:t> </w:t>
      </w:r>
      <w:r>
        <w:rPr>
          <w:color w:val="231F20"/>
          <w:w w:val="110"/>
        </w:rPr>
        <w:t>generación</w:t>
      </w:r>
      <w:r>
        <w:rPr>
          <w:color w:val="231F20"/>
          <w:w w:val="111"/>
        </w:rPr>
        <w:t> </w:t>
      </w:r>
      <w:r>
        <w:rPr>
          <w:color w:val="231F20"/>
          <w:w w:val="110"/>
        </w:rPr>
        <w:t>de</w:t>
      </w:r>
      <w:r>
        <w:rPr>
          <w:color w:val="231F20"/>
          <w:spacing w:val="-10"/>
          <w:w w:val="110"/>
        </w:rPr>
        <w:t> </w:t>
      </w:r>
      <w:r>
        <w:rPr>
          <w:color w:val="231F20"/>
          <w:w w:val="110"/>
        </w:rPr>
        <w:t>déficit</w:t>
      </w:r>
      <w:r>
        <w:rPr>
          <w:color w:val="231F20"/>
          <w:spacing w:val="-10"/>
          <w:w w:val="110"/>
        </w:rPr>
        <w:t> </w:t>
      </w:r>
      <w:r>
        <w:rPr>
          <w:color w:val="231F20"/>
          <w:w w:val="110"/>
        </w:rPr>
        <w:t>fiscales,</w:t>
      </w:r>
      <w:r>
        <w:rPr>
          <w:color w:val="231F20"/>
          <w:spacing w:val="-10"/>
          <w:w w:val="110"/>
        </w:rPr>
        <w:t> </w:t>
      </w:r>
      <w:r>
        <w:rPr>
          <w:color w:val="231F20"/>
          <w:w w:val="110"/>
        </w:rPr>
        <w:t>vinculados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elevación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gastos</w:t>
      </w:r>
      <w:r>
        <w:rPr>
          <w:color w:val="231F20"/>
          <w:spacing w:val="-10"/>
          <w:w w:val="110"/>
        </w:rPr>
        <w:t> </w:t>
      </w:r>
      <w:r>
        <w:rPr>
          <w:color w:val="231F20"/>
          <w:w w:val="110"/>
        </w:rPr>
        <w:t>de</w:t>
      </w:r>
      <w:r>
        <w:rPr>
          <w:color w:val="231F20"/>
          <w:spacing w:val="-10"/>
          <w:w w:val="110"/>
        </w:rPr>
        <w:t> </w:t>
      </w:r>
      <w:r>
        <w:rPr>
          <w:color w:val="231F20"/>
          <w:w w:val="110"/>
        </w:rPr>
        <w:t>defensa,</w:t>
      </w:r>
      <w:r>
        <w:rPr>
          <w:color w:val="231F20"/>
          <w:w w:val="108"/>
        </w:rPr>
        <w:t> </w:t>
      </w:r>
      <w:r>
        <w:rPr>
          <w:color w:val="231F20"/>
          <w:w w:val="110"/>
        </w:rPr>
        <w:t>en correspondencia con la pretensión de mantener</w:t>
      </w:r>
      <w:r>
        <w:rPr>
          <w:color w:val="231F20"/>
          <w:spacing w:val="35"/>
          <w:w w:val="110"/>
        </w:rPr>
        <w:t> </w:t>
      </w:r>
      <w:r>
        <w:rPr>
          <w:color w:val="231F20"/>
          <w:w w:val="110"/>
        </w:rPr>
        <w:t>la</w:t>
      </w:r>
      <w:r>
        <w:rPr>
          <w:color w:val="231F20"/>
          <w:spacing w:val="28"/>
          <w:w w:val="110"/>
        </w:rPr>
        <w:t> </w:t>
      </w:r>
      <w:r>
        <w:rPr>
          <w:color w:val="231F20"/>
          <w:w w:val="110"/>
        </w:rPr>
        <w:t>superioridad</w:t>
      </w:r>
      <w:r>
        <w:rPr>
          <w:color w:val="231F20"/>
          <w:w w:val="111"/>
        </w:rPr>
        <w:t> </w:t>
      </w:r>
      <w:r>
        <w:rPr>
          <w:color w:val="231F20"/>
          <w:w w:val="110"/>
        </w:rPr>
        <w:t>militar</w:t>
      </w:r>
      <w:r>
        <w:rPr>
          <w:color w:val="231F20"/>
          <w:spacing w:val="19"/>
          <w:w w:val="110"/>
        </w:rPr>
        <w:t> </w:t>
      </w:r>
      <w:r>
        <w:rPr>
          <w:color w:val="231F20"/>
          <w:w w:val="110"/>
        </w:rPr>
        <w:t>como</w:t>
      </w:r>
      <w:r>
        <w:rPr>
          <w:color w:val="231F20"/>
          <w:spacing w:val="19"/>
          <w:w w:val="110"/>
        </w:rPr>
        <w:t> </w:t>
      </w:r>
      <w:r>
        <w:rPr>
          <w:color w:val="231F20"/>
          <w:w w:val="110"/>
        </w:rPr>
        <w:t>uno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pilares</w:t>
      </w:r>
      <w:r>
        <w:rPr>
          <w:color w:val="231F20"/>
          <w:spacing w:val="19"/>
          <w:w w:val="110"/>
        </w:rPr>
        <w:t> </w:t>
      </w:r>
      <w:r>
        <w:rPr>
          <w:color w:val="231F20"/>
          <w:w w:val="110"/>
        </w:rPr>
        <w:t>de</w:t>
      </w:r>
      <w:r>
        <w:rPr>
          <w:color w:val="231F20"/>
          <w:spacing w:val="19"/>
          <w:w w:val="110"/>
        </w:rPr>
        <w:t> </w:t>
      </w:r>
      <w:r>
        <w:rPr>
          <w:color w:val="231F20"/>
          <w:w w:val="110"/>
        </w:rPr>
        <w:t>su</w:t>
      </w:r>
      <w:r>
        <w:rPr>
          <w:color w:val="231F20"/>
          <w:spacing w:val="19"/>
          <w:w w:val="110"/>
        </w:rPr>
        <w:t> </w:t>
      </w:r>
      <w:r>
        <w:rPr>
          <w:color w:val="231F20"/>
          <w:w w:val="110"/>
        </w:rPr>
        <w:t>dominio</w:t>
      </w:r>
      <w:r>
        <w:rPr>
          <w:color w:val="231F20"/>
          <w:spacing w:val="19"/>
          <w:w w:val="110"/>
        </w:rPr>
        <w:t> </w:t>
      </w:r>
      <w:r>
        <w:rPr>
          <w:color w:val="231F20"/>
          <w:w w:val="110"/>
        </w:rPr>
        <w:t>global.</w:t>
      </w:r>
      <w:r>
        <w:rPr>
          <w:color w:val="231F20"/>
          <w:spacing w:val="19"/>
          <w:w w:val="110"/>
        </w:rPr>
        <w:t> </w:t>
      </w:r>
      <w:r>
        <w:rPr>
          <w:color w:val="231F20"/>
          <w:w w:val="110"/>
        </w:rPr>
        <w:t>En</w:t>
      </w:r>
      <w:r>
        <w:rPr>
          <w:color w:val="231F20"/>
          <w:spacing w:val="19"/>
          <w:w w:val="110"/>
        </w:rPr>
        <w:t> </w:t>
      </w:r>
      <w:r>
        <w:rPr>
          <w:color w:val="231F20"/>
          <w:w w:val="110"/>
        </w:rPr>
        <w:t>los</w:t>
      </w:r>
      <w:r>
        <w:rPr>
          <w:color w:val="231F20"/>
          <w:spacing w:val="19"/>
          <w:w w:val="110"/>
        </w:rPr>
        <w:t> </w:t>
      </w:r>
      <w:r>
        <w:rPr>
          <w:color w:val="231F20"/>
          <w:w w:val="110"/>
        </w:rPr>
        <w:t>años</w:t>
      </w:r>
      <w:r>
        <w:rPr>
          <w:color w:val="231F20"/>
          <w:w w:val="109"/>
        </w:rPr>
        <w:t> </w:t>
      </w:r>
      <w:r>
        <w:rPr>
          <w:color w:val="231F20"/>
          <w:w w:val="110"/>
        </w:rPr>
        <w:t>ochenta,</w:t>
      </w:r>
      <w:r>
        <w:rPr>
          <w:color w:val="231F20"/>
          <w:spacing w:val="-23"/>
          <w:w w:val="110"/>
        </w:rPr>
        <w:t> </w:t>
      </w:r>
      <w:r>
        <w:rPr>
          <w:color w:val="231F20"/>
          <w:w w:val="110"/>
        </w:rPr>
        <w:t>se</w:t>
      </w:r>
      <w:r>
        <w:rPr>
          <w:color w:val="231F20"/>
          <w:spacing w:val="-23"/>
          <w:w w:val="110"/>
        </w:rPr>
        <w:t> </w:t>
      </w:r>
      <w:r>
        <w:rPr>
          <w:color w:val="231F20"/>
          <w:w w:val="110"/>
        </w:rPr>
        <w:t>produjo</w:t>
      </w:r>
      <w:r>
        <w:rPr>
          <w:color w:val="231F20"/>
          <w:spacing w:val="-23"/>
          <w:w w:val="110"/>
        </w:rPr>
        <w:t> </w:t>
      </w:r>
      <w:r>
        <w:rPr>
          <w:color w:val="231F20"/>
          <w:w w:val="110"/>
        </w:rPr>
        <w:t>un</w:t>
      </w:r>
      <w:r>
        <w:rPr>
          <w:color w:val="231F20"/>
          <w:spacing w:val="-23"/>
          <w:w w:val="110"/>
        </w:rPr>
        <w:t> </w:t>
      </w:r>
      <w:r>
        <w:rPr>
          <w:color w:val="231F20"/>
          <w:w w:val="110"/>
        </w:rPr>
        <w:t>ascenso</w:t>
      </w:r>
      <w:r>
        <w:rPr>
          <w:color w:val="231F20"/>
          <w:spacing w:val="-23"/>
          <w:w w:val="110"/>
        </w:rPr>
        <w:t> </w:t>
      </w:r>
      <w:r>
        <w:rPr>
          <w:color w:val="231F20"/>
          <w:w w:val="110"/>
        </w:rPr>
        <w:t>acelerado</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gastos</w:t>
      </w:r>
      <w:r>
        <w:rPr>
          <w:color w:val="231F20"/>
          <w:spacing w:val="-23"/>
          <w:w w:val="110"/>
        </w:rPr>
        <w:t> </w:t>
      </w:r>
      <w:r>
        <w:rPr>
          <w:color w:val="231F20"/>
          <w:w w:val="110"/>
        </w:rPr>
        <w:t>fiscales,</w:t>
      </w:r>
      <w:r>
        <w:rPr>
          <w:color w:val="231F20"/>
          <w:spacing w:val="-23"/>
          <w:w w:val="110"/>
        </w:rPr>
        <w:t> </w:t>
      </w:r>
      <w:r>
        <w:rPr>
          <w:color w:val="231F20"/>
          <w:w w:val="110"/>
        </w:rPr>
        <w:t>princi-</w:t>
      </w:r>
      <w:r>
        <w:rPr>
          <w:color w:val="231F20"/>
          <w:w w:val="72"/>
        </w:rPr>
        <w:t> </w:t>
      </w:r>
      <w:r>
        <w:rPr>
          <w:color w:val="231F20"/>
          <w:w w:val="110"/>
        </w:rPr>
        <w:t>palmente</w:t>
      </w:r>
      <w:r>
        <w:rPr>
          <w:color w:val="231F20"/>
          <w:spacing w:val="-12"/>
          <w:w w:val="110"/>
        </w:rPr>
        <w:t> </w:t>
      </w:r>
      <w:r>
        <w:rPr>
          <w:color w:val="231F20"/>
          <w:w w:val="110"/>
        </w:rPr>
        <w:t>los</w:t>
      </w:r>
      <w:r>
        <w:rPr>
          <w:color w:val="231F20"/>
          <w:spacing w:val="-12"/>
          <w:w w:val="110"/>
        </w:rPr>
        <w:t> </w:t>
      </w:r>
      <w:r>
        <w:rPr>
          <w:color w:val="231F20"/>
          <w:w w:val="110"/>
        </w:rPr>
        <w:t>egresos</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asignaciones</w:t>
      </w:r>
      <w:r>
        <w:rPr>
          <w:color w:val="231F20"/>
          <w:spacing w:val="-12"/>
          <w:w w:val="110"/>
        </w:rPr>
        <w:t> </w:t>
      </w:r>
      <w:r>
        <w:rPr>
          <w:color w:val="231F20"/>
          <w:w w:val="110"/>
        </w:rPr>
        <w:t>militares,</w:t>
      </w:r>
      <w:r>
        <w:rPr>
          <w:color w:val="231F20"/>
          <w:spacing w:val="-12"/>
          <w:w w:val="110"/>
        </w:rPr>
        <w:t> </w:t>
      </w:r>
      <w:r>
        <w:rPr>
          <w:color w:val="231F20"/>
          <w:w w:val="110"/>
        </w:rPr>
        <w:t>cuando</w:t>
      </w:r>
      <w:r>
        <w:rPr>
          <w:color w:val="231F20"/>
          <w:spacing w:val="-12"/>
          <w:w w:val="110"/>
        </w:rPr>
        <w:t> </w:t>
      </w:r>
      <w:r>
        <w:rPr>
          <w:color w:val="231F20"/>
          <w:w w:val="110"/>
        </w:rPr>
        <w:t>el</w:t>
      </w:r>
      <w:r>
        <w:rPr>
          <w:color w:val="231F20"/>
          <w:spacing w:val="-12"/>
          <w:w w:val="110"/>
        </w:rPr>
        <w:t> </w:t>
      </w:r>
      <w:r>
        <w:rPr>
          <w:color w:val="231F20"/>
          <w:w w:val="110"/>
        </w:rPr>
        <w:t>gobierno</w:t>
      </w:r>
      <w:r>
        <w:rPr>
          <w:color w:val="231F20"/>
          <w:w w:val="111"/>
        </w:rPr>
        <w:t> </w:t>
      </w:r>
      <w:r>
        <w:rPr>
          <w:color w:val="231F20"/>
          <w:w w:val="110"/>
        </w:rPr>
        <w:t>de</w:t>
      </w:r>
      <w:r>
        <w:rPr>
          <w:color w:val="231F20"/>
          <w:spacing w:val="34"/>
          <w:w w:val="110"/>
        </w:rPr>
        <w:t> </w:t>
      </w:r>
      <w:r>
        <w:rPr>
          <w:color w:val="231F20"/>
          <w:w w:val="110"/>
        </w:rPr>
        <w:t>Ronald</w:t>
      </w:r>
      <w:r>
        <w:rPr>
          <w:color w:val="231F20"/>
          <w:spacing w:val="34"/>
          <w:w w:val="110"/>
        </w:rPr>
        <w:t> </w:t>
      </w:r>
      <w:r>
        <w:rPr>
          <w:color w:val="231F20"/>
          <w:w w:val="110"/>
        </w:rPr>
        <w:t>Reagan</w:t>
      </w:r>
      <w:r>
        <w:rPr>
          <w:color w:val="231F20"/>
          <w:spacing w:val="34"/>
          <w:w w:val="110"/>
        </w:rPr>
        <w:t> </w:t>
      </w:r>
      <w:r>
        <w:rPr>
          <w:color w:val="231F20"/>
          <w:w w:val="110"/>
        </w:rPr>
        <w:t>recurrió</w:t>
      </w:r>
      <w:r>
        <w:rPr>
          <w:color w:val="231F20"/>
          <w:spacing w:val="34"/>
          <w:w w:val="110"/>
        </w:rPr>
        <w:t> </w:t>
      </w:r>
      <w:r>
        <w:rPr>
          <w:color w:val="231F20"/>
          <w:w w:val="110"/>
        </w:rPr>
        <w:t>al</w:t>
      </w:r>
      <w:r>
        <w:rPr>
          <w:color w:val="231F20"/>
          <w:spacing w:val="34"/>
          <w:w w:val="110"/>
        </w:rPr>
        <w:t> </w:t>
      </w:r>
      <w:r>
        <w:rPr>
          <w:color w:val="231F20"/>
          <w:w w:val="110"/>
        </w:rPr>
        <w:t>uso</w:t>
      </w:r>
      <w:r>
        <w:rPr>
          <w:color w:val="231F20"/>
          <w:spacing w:val="34"/>
          <w:w w:val="110"/>
        </w:rPr>
        <w:t> </w:t>
      </w:r>
      <w:r>
        <w:rPr>
          <w:color w:val="231F20"/>
          <w:w w:val="110"/>
        </w:rPr>
        <w:t>internacional</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fuerza</w:t>
      </w:r>
      <w:r>
        <w:rPr>
          <w:color w:val="231F20"/>
          <w:spacing w:val="34"/>
          <w:w w:val="110"/>
        </w:rPr>
        <w:t> </w:t>
      </w:r>
      <w:r>
        <w:rPr>
          <w:color w:val="231F20"/>
          <w:w w:val="110"/>
        </w:rPr>
        <w:t>para</w:t>
      </w:r>
      <w:r>
        <w:rPr>
          <w:color w:val="231F20"/>
          <w:w w:val="112"/>
        </w:rPr>
        <w:t> </w:t>
      </w:r>
      <w:r>
        <w:rPr>
          <w:color w:val="231F20"/>
          <w:w w:val="110"/>
        </w:rPr>
        <w:t>reafirmar la supremacía estadunidense. Por ejemplo, la</w:t>
      </w:r>
      <w:r>
        <w:rPr>
          <w:color w:val="231F20"/>
          <w:spacing w:val="8"/>
          <w:w w:val="110"/>
        </w:rPr>
        <w:t> </w:t>
      </w:r>
      <w:r>
        <w:rPr>
          <w:color w:val="231F20"/>
          <w:w w:val="110"/>
        </w:rPr>
        <w:t>doctrina</w:t>
      </w:r>
      <w:r>
        <w:rPr>
          <w:color w:val="231F20"/>
          <w:spacing w:val="16"/>
          <w:w w:val="110"/>
        </w:rPr>
        <w:t> </w:t>
      </w:r>
      <w:r>
        <w:rPr>
          <w:color w:val="231F20"/>
          <w:w w:val="110"/>
        </w:rPr>
        <w:t>de</w:t>
      </w:r>
      <w:r>
        <w:rPr>
          <w:color w:val="231F20"/>
          <w:w w:val="114"/>
        </w:rPr>
        <w:t> </w:t>
      </w:r>
      <w:r>
        <w:rPr>
          <w:color w:val="231F20"/>
          <w:w w:val="110"/>
        </w:rPr>
        <w:t>la “reversión del comunismo” favoreció el desarrollo</w:t>
      </w:r>
      <w:r>
        <w:rPr>
          <w:color w:val="231F20"/>
          <w:spacing w:val="-10"/>
          <w:w w:val="110"/>
        </w:rPr>
        <w:t> </w:t>
      </w:r>
      <w:r>
        <w:rPr>
          <w:color w:val="231F20"/>
          <w:w w:val="110"/>
        </w:rPr>
        <w:t>y</w:t>
      </w:r>
      <w:r>
        <w:rPr>
          <w:color w:val="231F20"/>
          <w:spacing w:val="-2"/>
          <w:w w:val="110"/>
        </w:rPr>
        <w:t> </w:t>
      </w:r>
      <w:r>
        <w:rPr>
          <w:color w:val="231F20"/>
          <w:w w:val="110"/>
        </w:rPr>
        <w:t>construcción</w:t>
      </w:r>
      <w:r>
        <w:rPr>
          <w:color w:val="231F20"/>
          <w:w w:val="110"/>
        </w:rPr>
        <w:t> </w:t>
      </w:r>
      <w:r>
        <w:rPr>
          <w:color w:val="231F20"/>
          <w:w w:val="110"/>
        </w:rPr>
        <w:t>de</w:t>
      </w:r>
      <w:r>
        <w:rPr>
          <w:color w:val="231F20"/>
          <w:spacing w:val="-15"/>
          <w:w w:val="110"/>
        </w:rPr>
        <w:t> </w:t>
      </w:r>
      <w:r>
        <w:rPr>
          <w:color w:val="231F20"/>
          <w:w w:val="110"/>
        </w:rPr>
        <w:t>armamento</w:t>
      </w:r>
      <w:r>
        <w:rPr>
          <w:color w:val="231F20"/>
          <w:spacing w:val="-15"/>
          <w:w w:val="110"/>
        </w:rPr>
        <w:t> </w:t>
      </w:r>
      <w:r>
        <w:rPr>
          <w:color w:val="231F20"/>
          <w:w w:val="110"/>
        </w:rPr>
        <w:t>militar</w:t>
      </w:r>
      <w:r>
        <w:rPr>
          <w:color w:val="231F20"/>
          <w:spacing w:val="-15"/>
          <w:w w:val="110"/>
        </w:rPr>
        <w:t> </w:t>
      </w:r>
      <w:r>
        <w:rPr>
          <w:color w:val="231F20"/>
          <w:w w:val="110"/>
        </w:rPr>
        <w:t>y</w:t>
      </w:r>
      <w:r>
        <w:rPr>
          <w:color w:val="231F20"/>
          <w:spacing w:val="-15"/>
          <w:w w:val="110"/>
        </w:rPr>
        <w:t> </w:t>
      </w:r>
      <w:r>
        <w:rPr>
          <w:color w:val="231F20"/>
          <w:w w:val="110"/>
        </w:rPr>
        <w:t>nuevos</w:t>
      </w:r>
      <w:r>
        <w:rPr>
          <w:color w:val="231F20"/>
          <w:spacing w:val="-15"/>
          <w:w w:val="110"/>
        </w:rPr>
        <w:t> </w:t>
      </w:r>
      <w:r>
        <w:rPr>
          <w:color w:val="231F20"/>
          <w:w w:val="110"/>
        </w:rPr>
        <w:t>avances</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carrera</w:t>
      </w:r>
      <w:r>
        <w:rPr>
          <w:color w:val="231F20"/>
          <w:spacing w:val="-15"/>
          <w:w w:val="110"/>
        </w:rPr>
        <w:t> </w:t>
      </w:r>
      <w:r>
        <w:rPr>
          <w:color w:val="231F20"/>
          <w:w w:val="110"/>
        </w:rPr>
        <w:t>armamentista.</w:t>
      </w:r>
      <w:r>
        <w:rPr>
          <w:color w:val="231F20"/>
          <w:spacing w:val="-15"/>
          <w:w w:val="110"/>
        </w:rPr>
        <w:t> </w:t>
      </w:r>
      <w:r>
        <w:rPr>
          <w:color w:val="231F20"/>
          <w:w w:val="110"/>
        </w:rPr>
        <w:t>A</w:t>
      </w:r>
      <w:r>
        <w:rPr>
          <w:color w:val="231F20"/>
          <w:w w:val="91"/>
        </w:rPr>
        <w:t> </w:t>
      </w:r>
      <w:r>
        <w:rPr>
          <w:color w:val="231F20"/>
          <w:w w:val="110"/>
        </w:rPr>
        <w:t>finales</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años</w:t>
      </w:r>
      <w:r>
        <w:rPr>
          <w:color w:val="231F20"/>
          <w:spacing w:val="-19"/>
          <w:w w:val="110"/>
        </w:rPr>
        <w:t> </w:t>
      </w:r>
      <w:r>
        <w:rPr>
          <w:color w:val="231F20"/>
          <w:w w:val="110"/>
        </w:rPr>
        <w:t>noventa,</w:t>
      </w:r>
      <w:r>
        <w:rPr>
          <w:color w:val="231F20"/>
          <w:spacing w:val="-19"/>
          <w:w w:val="110"/>
        </w:rPr>
        <w:t> </w:t>
      </w:r>
      <w:r>
        <w:rPr>
          <w:color w:val="231F20"/>
          <w:w w:val="110"/>
        </w:rPr>
        <w:t>la</w:t>
      </w:r>
      <w:r>
        <w:rPr>
          <w:color w:val="231F20"/>
          <w:spacing w:val="-19"/>
          <w:w w:val="110"/>
        </w:rPr>
        <w:t> </w:t>
      </w:r>
      <w:r>
        <w:rPr>
          <w:color w:val="231F20"/>
          <w:w w:val="110"/>
        </w:rPr>
        <w:t>situación</w:t>
      </w:r>
      <w:r>
        <w:rPr>
          <w:color w:val="231F20"/>
          <w:spacing w:val="-19"/>
          <w:w w:val="110"/>
        </w:rPr>
        <w:t> </w:t>
      </w:r>
      <w:r>
        <w:rPr>
          <w:color w:val="231F20"/>
          <w:w w:val="110"/>
        </w:rPr>
        <w:t>fiscal</w:t>
      </w:r>
      <w:r>
        <w:rPr>
          <w:color w:val="231F20"/>
          <w:spacing w:val="-19"/>
          <w:w w:val="110"/>
        </w:rPr>
        <w:t> </w:t>
      </w:r>
      <w:r>
        <w:rPr>
          <w:color w:val="231F20"/>
          <w:w w:val="110"/>
        </w:rPr>
        <w:t>mejoró,</w:t>
      </w:r>
      <w:r>
        <w:rPr>
          <w:color w:val="231F20"/>
          <w:spacing w:val="-19"/>
          <w:w w:val="110"/>
        </w:rPr>
        <w:t> </w:t>
      </w:r>
      <w:r>
        <w:rPr>
          <w:color w:val="231F20"/>
          <w:w w:val="110"/>
        </w:rPr>
        <w:t>para</w:t>
      </w:r>
      <w:r>
        <w:rPr>
          <w:color w:val="231F20"/>
          <w:spacing w:val="-19"/>
          <w:w w:val="110"/>
        </w:rPr>
        <w:t> </w:t>
      </w:r>
      <w:r>
        <w:rPr>
          <w:color w:val="231F20"/>
          <w:w w:val="110"/>
        </w:rPr>
        <w:t>ser</w:t>
      </w:r>
      <w:r>
        <w:rPr>
          <w:color w:val="231F20"/>
          <w:spacing w:val="-19"/>
          <w:w w:val="110"/>
        </w:rPr>
        <w:t> </w:t>
      </w:r>
      <w:r>
        <w:rPr>
          <w:color w:val="231F20"/>
          <w:w w:val="110"/>
        </w:rPr>
        <w:t>reverti-</w:t>
      </w:r>
      <w:r>
        <w:rPr>
          <w:color w:val="231F20"/>
          <w:w w:val="72"/>
        </w:rPr>
        <w:t> </w:t>
      </w:r>
      <w:r>
        <w:rPr>
          <w:color w:val="231F20"/>
          <w:w w:val="110"/>
        </w:rPr>
        <w:t>da</w:t>
      </w:r>
      <w:r>
        <w:rPr>
          <w:color w:val="231F20"/>
          <w:spacing w:val="-18"/>
          <w:w w:val="110"/>
        </w:rPr>
        <w:t> </w:t>
      </w:r>
      <w:r>
        <w:rPr>
          <w:color w:val="231F20"/>
          <w:w w:val="110"/>
        </w:rPr>
        <w:t>rápidamente</w:t>
      </w:r>
      <w:r>
        <w:rPr>
          <w:color w:val="231F20"/>
          <w:spacing w:val="-18"/>
          <w:w w:val="110"/>
        </w:rPr>
        <w:t> </w:t>
      </w:r>
      <w:r>
        <w:rPr>
          <w:color w:val="231F20"/>
          <w:w w:val="110"/>
        </w:rPr>
        <w:t>por</w:t>
      </w:r>
      <w:r>
        <w:rPr>
          <w:color w:val="231F20"/>
          <w:spacing w:val="-18"/>
          <w:w w:val="110"/>
        </w:rPr>
        <w:t> </w:t>
      </w:r>
      <w:r>
        <w:rPr>
          <w:color w:val="231F20"/>
          <w:w w:val="110"/>
        </w:rPr>
        <w:t>los</w:t>
      </w:r>
      <w:r>
        <w:rPr>
          <w:color w:val="231F20"/>
          <w:spacing w:val="-18"/>
          <w:w w:val="110"/>
        </w:rPr>
        <w:t> </w:t>
      </w:r>
      <w:r>
        <w:rPr>
          <w:color w:val="231F20"/>
          <w:w w:val="110"/>
        </w:rPr>
        <w:t>sucesivos</w:t>
      </w:r>
      <w:r>
        <w:rPr>
          <w:color w:val="231F20"/>
          <w:spacing w:val="-18"/>
          <w:w w:val="110"/>
        </w:rPr>
        <w:t> </w:t>
      </w:r>
      <w:r>
        <w:rPr>
          <w:color w:val="231F20"/>
          <w:w w:val="110"/>
        </w:rPr>
        <w:t>recortes</w:t>
      </w:r>
      <w:r>
        <w:rPr>
          <w:color w:val="231F20"/>
          <w:spacing w:val="-18"/>
          <w:w w:val="110"/>
        </w:rPr>
        <w:t> </w:t>
      </w:r>
      <w:r>
        <w:rPr>
          <w:color w:val="231F20"/>
          <w:w w:val="110"/>
        </w:rPr>
        <w:t>impositivos</w:t>
      </w:r>
      <w:r>
        <w:rPr>
          <w:color w:val="231F20"/>
          <w:spacing w:val="-18"/>
          <w:w w:val="110"/>
        </w:rPr>
        <w:t> </w:t>
      </w:r>
      <w:r>
        <w:rPr>
          <w:color w:val="231F20"/>
          <w:w w:val="110"/>
        </w:rPr>
        <w:t>y</w:t>
      </w:r>
      <w:r>
        <w:rPr>
          <w:color w:val="231F20"/>
          <w:spacing w:val="-18"/>
          <w:w w:val="110"/>
        </w:rPr>
        <w:t> </w:t>
      </w:r>
      <w:r>
        <w:rPr>
          <w:color w:val="231F20"/>
          <w:w w:val="110"/>
        </w:rPr>
        <w:t>los</w:t>
      </w:r>
      <w:r>
        <w:rPr>
          <w:color w:val="231F20"/>
          <w:spacing w:val="-18"/>
          <w:w w:val="110"/>
        </w:rPr>
        <w:t> </w:t>
      </w:r>
      <w:r>
        <w:rPr>
          <w:color w:val="231F20"/>
          <w:w w:val="110"/>
        </w:rPr>
        <w:t>crecientes</w:t>
      </w:r>
      <w:r>
        <w:rPr>
          <w:color w:val="231F20"/>
          <w:w w:val="109"/>
        </w:rPr>
        <w:t> </w:t>
      </w:r>
      <w:r>
        <w:rPr>
          <w:color w:val="231F20"/>
          <w:w w:val="110"/>
        </w:rPr>
        <w:t>gastos militares del gobierno de George </w:t>
      </w:r>
      <w:r>
        <w:rPr>
          <w:color w:val="231F20"/>
          <w:spacing w:val="-6"/>
          <w:w w:val="110"/>
        </w:rPr>
        <w:t>W.  </w:t>
      </w:r>
      <w:r>
        <w:rPr>
          <w:color w:val="231F20"/>
          <w:w w:val="110"/>
        </w:rPr>
        <w:t>Bush para financiar  </w:t>
      </w:r>
      <w:r>
        <w:rPr>
          <w:color w:val="231F20"/>
          <w:spacing w:val="46"/>
          <w:w w:val="110"/>
        </w:rPr>
        <w:t> </w:t>
      </w:r>
      <w:r>
        <w:rPr>
          <w:color w:val="231F20"/>
          <w:w w:val="110"/>
        </w:rPr>
        <w:t>la</w:t>
      </w:r>
    </w:p>
    <w:p>
      <w:pPr>
        <w:pStyle w:val="BodyText"/>
        <w:ind w:left="100"/>
        <w:jc w:val="both"/>
      </w:pPr>
      <w:r>
        <w:rPr>
          <w:color w:val="231F20"/>
          <w:w w:val="110"/>
        </w:rPr>
        <w:t>“guerra contra el terrorismo”.</w:t>
      </w:r>
    </w:p>
    <w:p>
      <w:pPr>
        <w:pStyle w:val="BodyText"/>
        <w:spacing w:line="261" w:lineRule="auto" w:before="20"/>
        <w:ind w:left="100" w:right="113" w:firstLine="240"/>
        <w:jc w:val="both"/>
      </w:pPr>
      <w:r>
        <w:rPr>
          <w:color w:val="231F20"/>
          <w:w w:val="110"/>
        </w:rPr>
        <w:t>En</w:t>
      </w:r>
      <w:r>
        <w:rPr>
          <w:color w:val="231F20"/>
          <w:spacing w:val="-9"/>
          <w:w w:val="110"/>
        </w:rPr>
        <w:t> </w:t>
      </w:r>
      <w:r>
        <w:rPr>
          <w:color w:val="231F20"/>
          <w:w w:val="110"/>
        </w:rPr>
        <w:t>definitiva,</w:t>
      </w:r>
      <w:r>
        <w:rPr>
          <w:color w:val="231F20"/>
          <w:spacing w:val="-9"/>
          <w:w w:val="110"/>
        </w:rPr>
        <w:t> </w:t>
      </w:r>
      <w:r>
        <w:rPr>
          <w:color w:val="231F20"/>
          <w:w w:val="110"/>
        </w:rPr>
        <w:t>el</w:t>
      </w:r>
      <w:r>
        <w:rPr>
          <w:color w:val="231F20"/>
          <w:spacing w:val="-9"/>
          <w:w w:val="110"/>
        </w:rPr>
        <w:t> </w:t>
      </w:r>
      <w:r>
        <w:rPr>
          <w:color w:val="231F20"/>
          <w:w w:val="110"/>
        </w:rPr>
        <w:t>bajo</w:t>
      </w:r>
      <w:r>
        <w:rPr>
          <w:color w:val="231F20"/>
          <w:spacing w:val="-9"/>
          <w:w w:val="110"/>
        </w:rPr>
        <w:t> </w:t>
      </w:r>
      <w:r>
        <w:rPr>
          <w:color w:val="231F20"/>
          <w:w w:val="110"/>
        </w:rPr>
        <w:t>nivel</w:t>
      </w:r>
      <w:r>
        <w:rPr>
          <w:color w:val="231F20"/>
          <w:spacing w:val="-9"/>
          <w:w w:val="110"/>
        </w:rPr>
        <w:t> </w:t>
      </w:r>
      <w:r>
        <w:rPr>
          <w:color w:val="231F20"/>
          <w:w w:val="110"/>
        </w:rPr>
        <w:t>de</w:t>
      </w:r>
      <w:r>
        <w:rPr>
          <w:color w:val="231F20"/>
          <w:spacing w:val="-9"/>
          <w:w w:val="110"/>
        </w:rPr>
        <w:t> </w:t>
      </w:r>
      <w:r>
        <w:rPr>
          <w:color w:val="231F20"/>
          <w:w w:val="110"/>
        </w:rPr>
        <w:t>ahorro</w:t>
      </w:r>
      <w:r>
        <w:rPr>
          <w:color w:val="231F20"/>
          <w:spacing w:val="-9"/>
          <w:w w:val="110"/>
        </w:rPr>
        <w:t> </w:t>
      </w:r>
      <w:r>
        <w:rPr>
          <w:color w:val="231F20"/>
          <w:w w:val="110"/>
        </w:rPr>
        <w:t>privado,</w:t>
      </w:r>
      <w:r>
        <w:rPr>
          <w:color w:val="231F20"/>
          <w:spacing w:val="-9"/>
          <w:w w:val="110"/>
        </w:rPr>
        <w:t> </w:t>
      </w:r>
      <w:r>
        <w:rPr>
          <w:color w:val="231F20"/>
          <w:w w:val="110"/>
        </w:rPr>
        <w:t>en</w:t>
      </w:r>
      <w:r>
        <w:rPr>
          <w:color w:val="231F20"/>
          <w:spacing w:val="-9"/>
          <w:w w:val="110"/>
        </w:rPr>
        <w:t> </w:t>
      </w:r>
      <w:r>
        <w:rPr>
          <w:color w:val="231F20"/>
          <w:w w:val="110"/>
        </w:rPr>
        <w:t>combinación</w:t>
      </w:r>
      <w:r>
        <w:rPr>
          <w:color w:val="231F20"/>
          <w:spacing w:val="-9"/>
          <w:w w:val="110"/>
        </w:rPr>
        <w:t> </w:t>
      </w:r>
      <w:r>
        <w:rPr>
          <w:color w:val="231F20"/>
          <w:w w:val="110"/>
        </w:rPr>
        <w:t>con los</w:t>
      </w:r>
      <w:r>
        <w:rPr>
          <w:color w:val="231F20"/>
          <w:spacing w:val="-7"/>
          <w:w w:val="110"/>
        </w:rPr>
        <w:t> </w:t>
      </w:r>
      <w:r>
        <w:rPr>
          <w:color w:val="231F20"/>
          <w:w w:val="110"/>
        </w:rPr>
        <w:t>continuos</w:t>
      </w:r>
      <w:r>
        <w:rPr>
          <w:color w:val="231F20"/>
          <w:spacing w:val="-7"/>
          <w:w w:val="110"/>
        </w:rPr>
        <w:t> </w:t>
      </w:r>
      <w:r>
        <w:rPr>
          <w:color w:val="231F20"/>
          <w:w w:val="110"/>
        </w:rPr>
        <w:t>desahorros</w:t>
      </w:r>
      <w:r>
        <w:rPr>
          <w:color w:val="231F20"/>
          <w:spacing w:val="-7"/>
          <w:w w:val="110"/>
        </w:rPr>
        <w:t> </w:t>
      </w:r>
      <w:r>
        <w:rPr>
          <w:color w:val="231F20"/>
          <w:w w:val="110"/>
        </w:rPr>
        <w:t>del</w:t>
      </w:r>
      <w:r>
        <w:rPr>
          <w:color w:val="231F20"/>
          <w:spacing w:val="-7"/>
          <w:w w:val="110"/>
        </w:rPr>
        <w:t> </w:t>
      </w:r>
      <w:r>
        <w:rPr>
          <w:color w:val="231F20"/>
          <w:w w:val="110"/>
        </w:rPr>
        <w:t>gobierno</w:t>
      </w:r>
      <w:r>
        <w:rPr>
          <w:color w:val="231F20"/>
          <w:spacing w:val="-7"/>
          <w:w w:val="110"/>
        </w:rPr>
        <w:t> </w:t>
      </w:r>
      <w:r>
        <w:rPr>
          <w:color w:val="231F20"/>
          <w:w w:val="110"/>
        </w:rPr>
        <w:t>estadunidense,</w:t>
      </w:r>
      <w:r>
        <w:rPr>
          <w:color w:val="231F20"/>
          <w:spacing w:val="-7"/>
          <w:w w:val="110"/>
        </w:rPr>
        <w:t> </w:t>
      </w:r>
      <w:r>
        <w:rPr>
          <w:color w:val="231F20"/>
          <w:w w:val="110"/>
        </w:rPr>
        <w:t>han</w:t>
      </w:r>
      <w:r>
        <w:rPr>
          <w:color w:val="231F20"/>
          <w:spacing w:val="-7"/>
          <w:w w:val="110"/>
        </w:rPr>
        <w:t> </w:t>
      </w:r>
      <w:r>
        <w:rPr>
          <w:color w:val="231F20"/>
          <w:w w:val="110"/>
        </w:rPr>
        <w:t>dado</w:t>
      </w:r>
      <w:r>
        <w:rPr>
          <w:color w:val="231F20"/>
          <w:spacing w:val="-7"/>
          <w:w w:val="110"/>
        </w:rPr>
        <w:t> </w:t>
      </w:r>
      <w:r>
        <w:rPr>
          <w:color w:val="231F20"/>
          <w:w w:val="110"/>
        </w:rPr>
        <w:t>lugar a un desequilibrio fundamental: una amplia brecha entre la disponi- bilidad de recursos o ahorro nacional y los niveles de inversión de</w:t>
      </w:r>
      <w:r>
        <w:rPr>
          <w:color w:val="231F20"/>
          <w:spacing w:val="-32"/>
          <w:w w:val="110"/>
        </w:rPr>
        <w:t> </w:t>
      </w:r>
      <w:r>
        <w:rPr>
          <w:color w:val="231F20"/>
          <w:w w:val="110"/>
        </w:rPr>
        <w:t>la economía estadunidense. El déficit de cuenta corriente, indicador representativo por excelencia de esta brecha, ha manifestado un permanente aumento desde inicios de los años ochenta, aunque el deterioro</w:t>
      </w:r>
      <w:r>
        <w:rPr>
          <w:color w:val="231F20"/>
          <w:spacing w:val="-11"/>
          <w:w w:val="110"/>
        </w:rPr>
        <w:t> </w:t>
      </w:r>
      <w:r>
        <w:rPr>
          <w:color w:val="231F20"/>
          <w:w w:val="110"/>
        </w:rPr>
        <w:t>más</w:t>
      </w:r>
      <w:r>
        <w:rPr>
          <w:color w:val="231F20"/>
          <w:spacing w:val="-11"/>
          <w:w w:val="110"/>
        </w:rPr>
        <w:t> </w:t>
      </w:r>
      <w:r>
        <w:rPr>
          <w:color w:val="231F20"/>
          <w:w w:val="110"/>
        </w:rPr>
        <w:t>pronunciado</w:t>
      </w:r>
      <w:r>
        <w:rPr>
          <w:color w:val="231F20"/>
          <w:spacing w:val="-11"/>
          <w:w w:val="110"/>
        </w:rPr>
        <w:t> </w:t>
      </w:r>
      <w:r>
        <w:rPr>
          <w:color w:val="231F20"/>
          <w:w w:val="110"/>
        </w:rPr>
        <w:t>se</w:t>
      </w:r>
      <w:r>
        <w:rPr>
          <w:color w:val="231F20"/>
          <w:spacing w:val="-11"/>
          <w:w w:val="110"/>
        </w:rPr>
        <w:t> </w:t>
      </w:r>
      <w:r>
        <w:rPr>
          <w:color w:val="231F20"/>
          <w:w w:val="110"/>
        </w:rPr>
        <w:t>produjo</w:t>
      </w:r>
      <w:r>
        <w:rPr>
          <w:color w:val="231F20"/>
          <w:spacing w:val="-11"/>
          <w:w w:val="110"/>
        </w:rPr>
        <w:t> </w:t>
      </w:r>
      <w:r>
        <w:rPr>
          <w:color w:val="231F20"/>
          <w:w w:val="110"/>
        </w:rPr>
        <w:t>entre</w:t>
      </w:r>
      <w:r>
        <w:rPr>
          <w:color w:val="231F20"/>
          <w:spacing w:val="-11"/>
          <w:w w:val="110"/>
        </w:rPr>
        <w:t> </w:t>
      </w:r>
      <w:r>
        <w:rPr>
          <w:color w:val="231F20"/>
          <w:w w:val="110"/>
        </w:rPr>
        <w:t>los</w:t>
      </w:r>
      <w:r>
        <w:rPr>
          <w:color w:val="231F20"/>
          <w:spacing w:val="-11"/>
          <w:w w:val="110"/>
        </w:rPr>
        <w:t> </w:t>
      </w:r>
      <w:r>
        <w:rPr>
          <w:color w:val="231F20"/>
          <w:w w:val="110"/>
        </w:rPr>
        <w:t>años</w:t>
      </w:r>
      <w:r>
        <w:rPr>
          <w:color w:val="231F20"/>
          <w:spacing w:val="-11"/>
          <w:w w:val="110"/>
        </w:rPr>
        <w:t> </w:t>
      </w:r>
      <w:r>
        <w:rPr>
          <w:color w:val="231F20"/>
          <w:w w:val="110"/>
        </w:rPr>
        <w:t>2000</w:t>
      </w:r>
      <w:r>
        <w:rPr>
          <w:color w:val="231F20"/>
          <w:spacing w:val="-11"/>
          <w:w w:val="110"/>
        </w:rPr>
        <w:t> </w:t>
      </w:r>
      <w:r>
        <w:rPr>
          <w:color w:val="231F20"/>
          <w:w w:val="110"/>
        </w:rPr>
        <w:t>y</w:t>
      </w:r>
      <w:r>
        <w:rPr>
          <w:color w:val="231F20"/>
          <w:spacing w:val="-11"/>
          <w:w w:val="110"/>
        </w:rPr>
        <w:t> </w:t>
      </w:r>
      <w:r>
        <w:rPr>
          <w:color w:val="231F20"/>
          <w:w w:val="110"/>
        </w:rPr>
        <w:t>2006.</w:t>
      </w:r>
      <w:r>
        <w:rPr>
          <w:color w:val="231F20"/>
          <w:spacing w:val="-11"/>
          <w:w w:val="110"/>
        </w:rPr>
        <w:t> </w:t>
      </w:r>
      <w:r>
        <w:rPr>
          <w:color w:val="231F20"/>
          <w:w w:val="110"/>
        </w:rPr>
        <w:t>En la</w:t>
      </w:r>
      <w:r>
        <w:rPr>
          <w:color w:val="231F20"/>
          <w:spacing w:val="-14"/>
          <w:w w:val="110"/>
        </w:rPr>
        <w:t> </w:t>
      </w:r>
      <w:r>
        <w:rPr>
          <w:color w:val="231F20"/>
          <w:w w:val="110"/>
        </w:rPr>
        <w:t>gráfica</w:t>
      </w:r>
      <w:r>
        <w:rPr>
          <w:color w:val="231F20"/>
          <w:spacing w:val="-14"/>
          <w:w w:val="110"/>
        </w:rPr>
        <w:t> </w:t>
      </w:r>
      <w:r>
        <w:rPr>
          <w:color w:val="231F20"/>
          <w:w w:val="110"/>
        </w:rPr>
        <w:t>1</w:t>
      </w:r>
      <w:r>
        <w:rPr>
          <w:color w:val="231F20"/>
          <w:spacing w:val="-14"/>
          <w:w w:val="110"/>
        </w:rPr>
        <w:t> </w:t>
      </w:r>
      <w:r>
        <w:rPr>
          <w:color w:val="231F20"/>
          <w:w w:val="110"/>
        </w:rPr>
        <w:t>se</w:t>
      </w:r>
      <w:r>
        <w:rPr>
          <w:color w:val="231F20"/>
          <w:spacing w:val="-14"/>
          <w:w w:val="110"/>
        </w:rPr>
        <w:t> </w:t>
      </w:r>
      <w:r>
        <w:rPr>
          <w:color w:val="231F20"/>
          <w:w w:val="110"/>
        </w:rPr>
        <w:t>muestra</w:t>
      </w:r>
      <w:r>
        <w:rPr>
          <w:color w:val="231F20"/>
          <w:spacing w:val="-14"/>
          <w:w w:val="110"/>
        </w:rPr>
        <w:t> </w:t>
      </w:r>
      <w:r>
        <w:rPr>
          <w:color w:val="231F20"/>
          <w:w w:val="110"/>
        </w:rPr>
        <w:t>el</w:t>
      </w:r>
      <w:r>
        <w:rPr>
          <w:color w:val="231F20"/>
          <w:spacing w:val="-14"/>
          <w:w w:val="110"/>
        </w:rPr>
        <w:t> </w:t>
      </w:r>
      <w:r>
        <w:rPr>
          <w:color w:val="231F20"/>
          <w:w w:val="110"/>
        </w:rPr>
        <w:t>déficit</w:t>
      </w:r>
      <w:r>
        <w:rPr>
          <w:color w:val="231F20"/>
          <w:spacing w:val="-14"/>
          <w:w w:val="110"/>
        </w:rPr>
        <w:t> </w:t>
      </w:r>
      <w:r>
        <w:rPr>
          <w:color w:val="231F20"/>
          <w:w w:val="110"/>
        </w:rPr>
        <w:t>de</w:t>
      </w:r>
      <w:r>
        <w:rPr>
          <w:color w:val="231F20"/>
          <w:spacing w:val="-14"/>
          <w:w w:val="110"/>
        </w:rPr>
        <w:t> </w:t>
      </w:r>
      <w:r>
        <w:rPr>
          <w:color w:val="231F20"/>
          <w:w w:val="110"/>
        </w:rPr>
        <w:t>cuenta</w:t>
      </w:r>
      <w:r>
        <w:rPr>
          <w:color w:val="231F20"/>
          <w:spacing w:val="-14"/>
          <w:w w:val="110"/>
        </w:rPr>
        <w:t> </w:t>
      </w:r>
      <w:r>
        <w:rPr>
          <w:color w:val="231F20"/>
          <w:w w:val="110"/>
        </w:rPr>
        <w:t>corriente,</w:t>
      </w:r>
      <w:r>
        <w:rPr>
          <w:color w:val="231F20"/>
          <w:spacing w:val="-14"/>
          <w:w w:val="110"/>
        </w:rPr>
        <w:t> </w:t>
      </w:r>
      <w:r>
        <w:rPr>
          <w:color w:val="231F20"/>
          <w:w w:val="110"/>
        </w:rPr>
        <w:t>el</w:t>
      </w:r>
      <w:r>
        <w:rPr>
          <w:color w:val="231F20"/>
          <w:spacing w:val="-14"/>
          <w:w w:val="110"/>
        </w:rPr>
        <w:t> </w:t>
      </w:r>
      <w:r>
        <w:rPr>
          <w:color w:val="231F20"/>
          <w:w w:val="110"/>
        </w:rPr>
        <w:t>cual</w:t>
      </w:r>
      <w:r>
        <w:rPr>
          <w:color w:val="231F20"/>
          <w:spacing w:val="-14"/>
          <w:w w:val="110"/>
        </w:rPr>
        <w:t> </w:t>
      </w:r>
      <w:r>
        <w:rPr>
          <w:color w:val="231F20"/>
          <w:w w:val="110"/>
        </w:rPr>
        <w:t>alcanzó</w:t>
      </w:r>
      <w:r>
        <w:rPr>
          <w:color w:val="231F20"/>
          <w:spacing w:val="-14"/>
          <w:w w:val="110"/>
        </w:rPr>
        <w:t> </w:t>
      </w:r>
      <w:r>
        <w:rPr>
          <w:color w:val="231F20"/>
          <w:w w:val="110"/>
        </w:rPr>
        <w:t>la extraordinaria cifra de 788 mil millones de dólares en</w:t>
      </w:r>
      <w:r>
        <w:rPr>
          <w:color w:val="231F20"/>
          <w:spacing w:val="54"/>
          <w:w w:val="110"/>
        </w:rPr>
        <w:t> </w:t>
      </w:r>
      <w:r>
        <w:rPr>
          <w:color w:val="231F20"/>
          <w:w w:val="110"/>
        </w:rPr>
        <w:t>2006.</w:t>
      </w:r>
    </w:p>
    <w:p>
      <w:pPr>
        <w:spacing w:after="0" w:line="261" w:lineRule="auto"/>
        <w:jc w:val="both"/>
        <w:sectPr>
          <w:pgSz w:w="7640" w:h="11900"/>
          <w:pgMar w:header="672" w:footer="0" w:top="860" w:bottom="280" w:left="660" w:right="760"/>
        </w:sectPr>
      </w:pPr>
    </w:p>
    <w:p>
      <w:pPr>
        <w:pStyle w:val="BodyText"/>
        <w:spacing w:before="9"/>
        <w:rPr>
          <w:sz w:val="8"/>
        </w:rPr>
      </w:pPr>
    </w:p>
    <w:p>
      <w:pPr>
        <w:spacing w:line="290" w:lineRule="auto" w:before="70"/>
        <w:ind w:left="100" w:right="861" w:firstLine="0"/>
        <w:jc w:val="left"/>
        <w:rPr>
          <w:sz w:val="18"/>
        </w:rPr>
      </w:pPr>
      <w:r>
        <w:rPr>
          <w:color w:val="231F20"/>
          <w:w w:val="125"/>
          <w:sz w:val="18"/>
        </w:rPr>
        <w:t>gráfica 1. balance de cuenta corriente, estados unidos, 1980-2009 (en miles de millones de dólares)</w:t>
      </w:r>
    </w:p>
    <w:p>
      <w:pPr>
        <w:spacing w:before="90"/>
        <w:ind w:left="618" w:right="861" w:firstLine="0"/>
        <w:jc w:val="left"/>
        <w:rPr>
          <w:sz w:val="16"/>
        </w:rPr>
      </w:pPr>
      <w:r>
        <w:rPr/>
        <w:pict>
          <v:group style="position:absolute;margin-left:74.081299pt;margin-top:9.735236pt;width:254.65pt;height:154.1pt;mso-position-horizontal-relative:page;mso-position-vertical-relative:paragraph;z-index:-353176" coordorigin="1482,195" coordsize="5093,3082">
            <v:line style="position:absolute" from="1998,955" to="2252,966" stroked="true" strokeweight=".5pt" strokecolor="#231f20">
              <v:stroke dashstyle="dash"/>
            </v:line>
            <v:line style="position:absolute" from="2314,982" to="2405,1020" stroked="true" strokeweight=".5pt" strokecolor="#231f20">
              <v:stroke dashstyle="dash"/>
            </v:line>
            <v:line style="position:absolute" from="2457,1048" to="2566,1118" stroked="true" strokeweight=".5pt" strokecolor="#231f20">
              <v:stroke dashstyle="dash"/>
            </v:line>
            <v:line style="position:absolute" from="2622,1142" to="2717,1169" stroked="true" strokeweight=".5pt" strokecolor="#231f20">
              <v:stroke dashstyle="dash"/>
            </v:line>
            <v:line style="position:absolute" from="2776,1189" to="2860,1219" stroked="true" strokeweight=".5pt" strokecolor="#231f20">
              <v:stroke dashstyle="dash"/>
            </v:line>
            <v:line style="position:absolute" from="2922,1231" to="3023,1243" stroked="true" strokeweight=".5pt" strokecolor="#231f20">
              <v:stroke dashstyle="dash"/>
            </v:line>
            <v:line style="position:absolute" from="3078,1233" to="3189,1179" stroked="true" strokeweight=".5pt" strokecolor="#231f20">
              <v:stroke dashstyle="dash"/>
            </v:line>
            <v:line style="position:absolute" from="3243,1165" to="3329,1153" stroked="true" strokeweight=".5pt" strokecolor="#231f20">
              <v:stroke dashstyle="dash"/>
            </v:line>
            <v:line style="position:absolute" from="3382,1141" to="3500,1104" stroked="true" strokeweight=".5pt" strokecolor="#231f20">
              <v:stroke dashstyle="dash"/>
            </v:line>
            <v:line style="position:absolute" from="3546,1070" to="3647,963" stroked="true" strokeweight=".5pt" strokecolor="#231f20">
              <v:stroke dashstyle="dash"/>
            </v:line>
            <v:line style="position:absolute" from="3697,961" to="3959,1109" stroked="true" strokeweight=".5pt" strokecolor="#231f20">
              <v:stroke dashstyle="dash"/>
            </v:line>
            <v:line style="position:absolute" from="4019,1138" to="4114,1181" stroked="true" strokeweight=".5pt" strokecolor="#231f20">
              <v:stroke dashstyle="dash"/>
            </v:line>
            <v:line style="position:absolute" from="4174,1190" to="4260,1181" stroked="true" strokeweight=".5pt" strokecolor="#231f20">
              <v:stroke dashstyle="dash"/>
            </v:line>
            <v:line style="position:absolute" from="4323,1182" to="4420,1191" stroked="true" strokeweight=".5pt" strokecolor="#231f20">
              <v:stroke dashstyle="dash"/>
            </v:line>
            <v:line style="position:absolute" from="4485,1201" to="4580,1221" stroked="true" strokeweight=".5pt" strokecolor="#231f20">
              <v:stroke dashstyle="dash"/>
            </v:line>
            <v:line style="position:absolute" from="4638,1253" to="4718,1319" stroked="true" strokeweight=".5pt" strokecolor="#231f20">
              <v:stroke dashstyle="dash"/>
            </v:line>
            <v:line style="position:absolute" from="4768,1364" to="4879,1472" stroked="true" strokeweight=".5pt" strokecolor="#231f20">
              <v:stroke dashstyle="dash"/>
            </v:line>
            <v:line style="position:absolute" from="4919,1520" to="5057,1720" stroked="true" strokeweight=".5pt" strokecolor="#231f20">
              <v:stroke dashstyle="dash"/>
            </v:line>
            <v:line style="position:absolute" from="5110,1726" to="5208,1688" stroked="true" strokeweight=".5pt" strokecolor="#231f20">
              <v:stroke dashstyle="dash"/>
            </v:line>
            <v:line style="position:absolute" from="5258,1702" to="5352,1800" stroked="true" strokeweight=".5pt" strokecolor="#231f20">
              <v:stroke dashstyle="dash"/>
            </v:line>
            <v:line style="position:absolute" from="5396,1835" to="5504,1910" stroked="true" strokeweight=".5pt" strokecolor="#231f20">
              <v:stroke dashstyle="dash"/>
            </v:line>
            <v:line style="position:absolute" from="5545,1951" to="5819,2301" stroked="true" strokeweight=".5pt" strokecolor="#231f20">
              <v:stroke dashstyle="dash"/>
            </v:line>
            <v:line style="position:absolute" from="5864,2341" to="5982,2418" stroked="true" strokeweight=".5pt" strokecolor="#231f20">
              <v:stroke dashstyle="dash"/>
            </v:line>
            <v:line style="position:absolute" from="6030,2413" to="6137,2335" stroked="true" strokeweight=".5pt" strokecolor="#231f20">
              <v:stroke dashstyle="dash"/>
            </v:line>
            <v:line style="position:absolute" from="6190,2313" to="6276,2293" stroked="true" strokeweight=".5pt" strokecolor="#231f20">
              <v:stroke dashstyle="dash"/>
            </v:line>
            <v:line style="position:absolute" from="6311,2256" to="6475,1763" stroked="true" strokeweight=".5pt" strokecolor="#231f20">
              <v:stroke dashstyle="dash"/>
            </v:line>
            <v:shape style="position:absolute;left:0;top:10348;width:4522;height:1488" coordorigin="0,10348" coordsize="4522,1488" path="m1961,953l1977,954m2262,967l2278,968,2293,974m2415,1024l2430,1030,2442,1038m2573,1123l2585,1131,2601,1135m2728,1172l2744,1177,2758,1182m2869,1222l2883,1227,2899,1229m3034,1244l3051,1246,3063,1240m3197,1175l3209,1169,3224,1167m3339,1152l3353,1150,3366,1146m3508,1101l3521,1097,3532,1085m3654,955l3665,944,3679,951m3969,1114l3982,1121,3997,1128m4125,1186l4140,1193,4155,1192m4270,1180l4284,1179,4301,1180m4432,1192l4448,1193,4463,1197m4590,1224l4606,1227,4619,1238m4727,1326l4740,1337,4752,1348m4887,1480l4899,1491,4907,1503m5063,1728l5072,1740,5088,1734m5219,1684l5235,1678,5245,1689m5359,1806l5369,1817,5381,1825m5511,1915l5523,1923,5532,1935m5825,2309l5835,2321,5847,2330m5990,2423l6003,2432,6014,2423m6145,2330l6156,2321,6171,2318m6286,2291l6300,2288,6305,2274m6478,1754l6483,1740e" filled="false" stroked="true" strokeweight=".5pt" strokecolor="#231f20">
              <v:path arrowok="t"/>
            </v:shape>
            <v:line style="position:absolute" from="1860,951" to="6569,951" stroked="true" strokeweight=".5pt" strokecolor="#808285"/>
            <v:line style="position:absolute" from="1860,1702" to="6569,1702" stroked="true" strokeweight=".5pt" strokecolor="#808285"/>
            <v:line style="position:absolute" from="1860,2453" to="6569,2453" stroked="true" strokeweight=".5pt" strokecolor="#808285"/>
            <v:line style="position:absolute" from="1860,200" to="6569,200" stroked="true" strokeweight=".5pt" strokecolor="#808285"/>
            <v:line style="position:absolute" from="1860,3205" to="6569,3205" stroked="true" strokeweight=".5pt" strokecolor="#808285"/>
            <v:line style="position:absolute" from="1842,202" to="1842,3202" stroked="true" strokeweight=".5pt" strokecolor="#231f20"/>
            <v:shape style="position:absolute;left:1565;top:866;width:349;height:313" type="#_x0000_t202" filled="false" stroked="false">
              <v:textbox inset="0,0,0,0">
                <w:txbxContent>
                  <w:p>
                    <w:pPr>
                      <w:spacing w:line="305" w:lineRule="exact" w:before="0"/>
                      <w:ind w:left="0" w:right="0" w:firstLine="0"/>
                      <w:jc w:val="left"/>
                      <w:rPr>
                        <w:sz w:val="24"/>
                      </w:rPr>
                    </w:pPr>
                    <w:r>
                      <w:rPr>
                        <w:color w:val="231F20"/>
                        <w:sz w:val="16"/>
                      </w:rPr>
                      <w:t>0 —</w:t>
                    </w:r>
                    <w:r>
                      <w:rPr>
                        <w:color w:val="231F20"/>
                        <w:position w:val="-12"/>
                        <w:sz w:val="24"/>
                      </w:rPr>
                      <w:t>|</w:t>
                    </w:r>
                  </w:p>
                </w:txbxContent>
              </v:textbox>
              <w10:wrap type="none"/>
            </v:shape>
            <v:shape style="position:absolute;left:2020;top:939;width:4552;height:240" type="#_x0000_t202" filled="false" stroked="false">
              <v:textbox inset="0,0,0,0">
                <w:txbxContent>
                  <w:p>
                    <w:pPr>
                      <w:spacing w:line="232" w:lineRule="exact" w:before="0"/>
                      <w:ind w:left="0" w:right="0" w:firstLine="0"/>
                      <w:jc w:val="left"/>
                      <w:rPr>
                        <w:sz w:val="24"/>
                      </w:rPr>
                    </w:pPr>
                    <w:r>
                      <w:rPr>
                        <w:color w:val="231F20"/>
                        <w:sz w:val="24"/>
                      </w:rPr>
                      <w:t>| | | | | | | | | | | | | | | | | | | | | | | | | | | | | |</w:t>
                    </w:r>
                  </w:p>
                </w:txbxContent>
              </v:textbox>
              <w10:wrap type="none"/>
            </v:shape>
            <v:shape style="position:absolute;left:1482;top:1616;width:368;height:160" type="#_x0000_t202" filled="false" stroked="false">
              <v:textbox inset="0,0,0,0">
                <w:txbxContent>
                  <w:p>
                    <w:pPr>
                      <w:spacing w:line="158" w:lineRule="exact" w:before="0"/>
                      <w:ind w:left="0" w:right="-12" w:firstLine="0"/>
                      <w:jc w:val="left"/>
                      <w:rPr>
                        <w:sz w:val="16"/>
                      </w:rPr>
                    </w:pPr>
                    <w:r>
                      <w:rPr>
                        <w:color w:val="231F20"/>
                        <w:sz w:val="16"/>
                      </w:rPr>
                      <w:t>00 —</w:t>
                    </w:r>
                  </w:p>
                </w:txbxContent>
              </v:textbox>
              <w10:wrap type="none"/>
            </v:shape>
            <v:shape style="position:absolute;left:1482;top:2366;width:368;height:160" type="#_x0000_t202" filled="false" stroked="false">
              <v:textbox inset="0,0,0,0">
                <w:txbxContent>
                  <w:p>
                    <w:pPr>
                      <w:spacing w:line="158" w:lineRule="exact" w:before="0"/>
                      <w:ind w:left="0" w:right="-12" w:firstLine="0"/>
                      <w:jc w:val="left"/>
                      <w:rPr>
                        <w:sz w:val="16"/>
                      </w:rPr>
                    </w:pPr>
                    <w:r>
                      <w:rPr>
                        <w:color w:val="231F20"/>
                        <w:sz w:val="16"/>
                      </w:rPr>
                      <w:t>00 —</w:t>
                    </w:r>
                  </w:p>
                </w:txbxContent>
              </v:textbox>
              <w10:wrap type="none"/>
            </v:shape>
            <v:shape style="position:absolute;left:1482;top:3116;width:368;height:160" type="#_x0000_t202" filled="false" stroked="false">
              <v:textbox inset="0,0,0,0">
                <w:txbxContent>
                  <w:p>
                    <w:pPr>
                      <w:spacing w:line="158" w:lineRule="exact" w:before="0"/>
                      <w:ind w:left="0" w:right="-12" w:firstLine="0"/>
                      <w:jc w:val="left"/>
                      <w:rPr>
                        <w:sz w:val="16"/>
                      </w:rPr>
                    </w:pPr>
                    <w:r>
                      <w:rPr>
                        <w:color w:val="231F20"/>
                        <w:sz w:val="16"/>
                      </w:rPr>
                      <w:t>00 —</w:t>
                    </w:r>
                  </w:p>
                </w:txbxContent>
              </v:textbox>
              <w10:wrap type="none"/>
            </v:shape>
            <w10:wrap type="none"/>
          </v:group>
        </w:pict>
      </w:r>
      <w:r>
        <w:rPr>
          <w:color w:val="231F20"/>
          <w:sz w:val="16"/>
        </w:rPr>
        <w:t>400 —</w:t>
      </w:r>
    </w:p>
    <w:p>
      <w:pPr>
        <w:pStyle w:val="BodyText"/>
      </w:pPr>
    </w:p>
    <w:p>
      <w:pPr>
        <w:pStyle w:val="BodyText"/>
      </w:pPr>
    </w:p>
    <w:p>
      <w:pPr>
        <w:pStyle w:val="BodyText"/>
      </w:pPr>
    </w:p>
    <w:p>
      <w:pPr>
        <w:pStyle w:val="BodyText"/>
      </w:pPr>
    </w:p>
    <w:p>
      <w:pPr>
        <w:pStyle w:val="BodyText"/>
        <w:rPr>
          <w:sz w:val="28"/>
        </w:rPr>
      </w:pPr>
    </w:p>
    <w:p>
      <w:pPr>
        <w:spacing w:before="74"/>
        <w:ind w:left="538" w:right="861" w:firstLine="0"/>
        <w:jc w:val="left"/>
        <w:rPr>
          <w:sz w:val="16"/>
        </w:rPr>
      </w:pPr>
      <w:r>
        <w:rPr/>
        <w:pict>
          <v:shape style="position:absolute;margin-left:93.371201pt;margin-top:-22.407537pt;width:10pt;height:18.650pt;mso-position-horizontal-relative:page;mso-position-vertical-relative:paragraph;z-index:419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p>
              </w:txbxContent>
            </v:textbox>
            <w10:wrap type="none"/>
          </v:shape>
        </w:pict>
      </w:r>
      <w:r>
        <w:rPr/>
        <w:pict>
          <v:shape style="position:absolute;margin-left:116.875198pt;margin-top:-22.407537pt;width:10pt;height:18.650pt;mso-position-horizontal-relative:page;mso-position-vertical-relative:paragraph;z-index:42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1983</w:t>
                  </w:r>
                </w:p>
              </w:txbxContent>
            </v:textbox>
            <w10:wrap type="none"/>
          </v:shape>
        </w:pict>
      </w:r>
      <w:r>
        <w:rPr/>
        <w:pict>
          <v:shape style="position:absolute;margin-left:140.379196pt;margin-top:-22.407537pt;width:10pt;height:18.650pt;mso-position-horizontal-relative:page;mso-position-vertical-relative:paragraph;z-index:424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1986</w:t>
                  </w:r>
                </w:p>
              </w:txbxContent>
            </v:textbox>
            <w10:wrap type="none"/>
          </v:shape>
        </w:pict>
      </w:r>
      <w:r>
        <w:rPr/>
        <w:pict>
          <v:shape style="position:absolute;margin-left:163.883194pt;margin-top:-22.407537pt;width:10pt;height:18.650pt;mso-position-horizontal-relative:page;mso-position-vertical-relative:paragraph;z-index:426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1988</w:t>
                  </w:r>
                </w:p>
              </w:txbxContent>
            </v:textbox>
            <w10:wrap type="none"/>
          </v:shape>
        </w:pict>
      </w:r>
      <w:r>
        <w:rPr/>
        <w:pict>
          <v:shape style="position:absolute;margin-left:187.387192pt;margin-top:-22.407537pt;width:10pt;height:18.650pt;mso-position-horizontal-relative:page;mso-position-vertical-relative:paragraph;z-index:428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1992</w:t>
                  </w:r>
                </w:p>
              </w:txbxContent>
            </v:textbox>
            <w10:wrap type="none"/>
          </v:shape>
        </w:pict>
      </w:r>
      <w:r>
        <w:rPr/>
        <w:pict>
          <v:shape style="position:absolute;margin-left:210.891205pt;margin-top:-22.407537pt;width:10pt;height:18.650pt;mso-position-horizontal-relative:page;mso-position-vertical-relative:paragraph;z-index:431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1995</w:t>
                  </w:r>
                </w:p>
              </w:txbxContent>
            </v:textbox>
            <w10:wrap type="none"/>
          </v:shape>
        </w:pict>
      </w:r>
      <w:r>
        <w:rPr/>
        <w:pict>
          <v:shape style="position:absolute;margin-left:234.395203pt;margin-top:-22.407537pt;width:10pt;height:18.650pt;mso-position-horizontal-relative:page;mso-position-vertical-relative:paragraph;z-index:433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1998</w:t>
                  </w:r>
                </w:p>
              </w:txbxContent>
            </v:textbox>
            <w10:wrap type="none"/>
          </v:shape>
        </w:pict>
      </w:r>
      <w:r>
        <w:rPr/>
        <w:pict>
          <v:shape style="position:absolute;margin-left:257.8992pt;margin-top:-22.407537pt;width:10pt;height:18.650pt;mso-position-horizontal-relative:page;mso-position-vertical-relative:paragraph;z-index:436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2001</w:t>
                  </w:r>
                </w:p>
              </w:txbxContent>
            </v:textbox>
            <w10:wrap type="none"/>
          </v:shape>
        </w:pict>
      </w:r>
      <w:r>
        <w:rPr/>
        <w:pict>
          <v:shape style="position:absolute;margin-left:281.403198pt;margin-top:-22.407537pt;width:10pt;height:18.650pt;mso-position-horizontal-relative:page;mso-position-vertical-relative:paragraph;z-index:438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2004</w:t>
                  </w:r>
                </w:p>
              </w:txbxContent>
            </v:textbox>
            <w10:wrap type="none"/>
          </v:shape>
        </w:pict>
      </w:r>
      <w:r>
        <w:rPr/>
        <w:pict>
          <v:shape style="position:absolute;margin-left:304.907196pt;margin-top:-22.407537pt;width:10pt;height:18.650pt;mso-position-horizontal-relative:page;mso-position-vertical-relative:paragraph;z-index:440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2007</w:t>
                  </w:r>
                </w:p>
              </w:txbxContent>
            </v:textbox>
            <w10:wrap type="none"/>
          </v:shape>
        </w:pict>
      </w:r>
      <w:r>
        <w:rPr>
          <w:color w:val="231F20"/>
          <w:sz w:val="16"/>
        </w:rPr>
        <w:t>–4</w:t>
      </w:r>
    </w:p>
    <w:p>
      <w:pPr>
        <w:pStyle w:val="BodyText"/>
      </w:pPr>
    </w:p>
    <w:p>
      <w:pPr>
        <w:pStyle w:val="BodyText"/>
        <w:spacing w:before="9"/>
        <w:rPr>
          <w:sz w:val="22"/>
        </w:rPr>
      </w:pPr>
    </w:p>
    <w:p>
      <w:pPr>
        <w:spacing w:before="74"/>
        <w:ind w:left="538" w:right="861" w:firstLine="0"/>
        <w:jc w:val="left"/>
        <w:rPr>
          <w:sz w:val="16"/>
        </w:rPr>
      </w:pPr>
      <w:r>
        <w:rPr>
          <w:color w:val="231F20"/>
          <w:sz w:val="16"/>
        </w:rPr>
        <w:t>–8</w:t>
      </w:r>
    </w:p>
    <w:p>
      <w:pPr>
        <w:pStyle w:val="BodyText"/>
      </w:pPr>
    </w:p>
    <w:p>
      <w:pPr>
        <w:pStyle w:val="BodyText"/>
        <w:spacing w:before="9"/>
        <w:rPr>
          <w:sz w:val="22"/>
        </w:rPr>
      </w:pPr>
    </w:p>
    <w:p>
      <w:pPr>
        <w:spacing w:before="74"/>
        <w:ind w:left="413" w:right="861" w:firstLine="0"/>
        <w:jc w:val="left"/>
        <w:rPr>
          <w:sz w:val="16"/>
        </w:rPr>
      </w:pPr>
      <w:r>
        <w:rPr>
          <w:color w:val="231F20"/>
          <w:w w:val="105"/>
          <w:sz w:val="16"/>
        </w:rPr>
        <w:t>–1 2</w:t>
      </w:r>
    </w:p>
    <w:p>
      <w:pPr>
        <w:spacing w:before="130"/>
        <w:ind w:left="100" w:right="861" w:firstLine="0"/>
        <w:jc w:val="left"/>
        <w:rPr>
          <w:sz w:val="18"/>
        </w:rPr>
      </w:pPr>
      <w:r>
        <w:rPr>
          <w:rFonts w:ascii="Calibri"/>
          <w:color w:val="231F20"/>
          <w:w w:val="110"/>
          <w:sz w:val="18"/>
        </w:rPr>
        <w:t>fuente: </w:t>
      </w:r>
      <w:r>
        <w:rPr>
          <w:color w:val="231F20"/>
          <w:w w:val="110"/>
          <w:sz w:val="18"/>
        </w:rPr>
        <w:t>elaborado por la autora a partir de cea, 2009 y bea, 2010.</w:t>
      </w:r>
    </w:p>
    <w:p>
      <w:pPr>
        <w:pStyle w:val="BodyText"/>
        <w:rPr>
          <w:sz w:val="18"/>
        </w:rPr>
      </w:pPr>
    </w:p>
    <w:p>
      <w:pPr>
        <w:pStyle w:val="BodyText"/>
        <w:spacing w:line="261" w:lineRule="auto" w:before="158"/>
        <w:ind w:left="100" w:right="757" w:firstLine="240"/>
        <w:jc w:val="both"/>
      </w:pPr>
      <w:r>
        <w:rPr>
          <w:color w:val="231F20"/>
          <w:spacing w:val="-6"/>
          <w:w w:val="110"/>
        </w:rPr>
        <w:t>Tal </w:t>
      </w:r>
      <w:r>
        <w:rPr>
          <w:color w:val="231F20"/>
          <w:w w:val="110"/>
        </w:rPr>
        <w:t>insuficiencia de ahorro interno ha sido cubierta prácticamente sin dificultades con recursos financieros externos. Esto significa</w:t>
      </w:r>
      <w:r>
        <w:rPr>
          <w:color w:val="231F20"/>
          <w:spacing w:val="-18"/>
          <w:w w:val="110"/>
        </w:rPr>
        <w:t> </w:t>
      </w:r>
      <w:r>
        <w:rPr>
          <w:color w:val="231F20"/>
          <w:w w:val="110"/>
        </w:rPr>
        <w:t>que Estados Unidos ha sido capaz de sostener un elevado nivel de de- manda interna, gracias a que los inversores han estado dispuestos a proveerle el financiamiento externo necesario para cubrir su déficit de ahorro. Así, año tras año, ha acumulado obligaciones financieras con</w:t>
      </w:r>
      <w:r>
        <w:rPr>
          <w:color w:val="231F20"/>
          <w:spacing w:val="-6"/>
          <w:w w:val="110"/>
        </w:rPr>
        <w:t> </w:t>
      </w:r>
      <w:r>
        <w:rPr>
          <w:color w:val="231F20"/>
          <w:w w:val="110"/>
        </w:rPr>
        <w:t>el</w:t>
      </w:r>
      <w:r>
        <w:rPr>
          <w:color w:val="231F20"/>
          <w:spacing w:val="-6"/>
          <w:w w:val="110"/>
        </w:rPr>
        <w:t> </w:t>
      </w:r>
      <w:r>
        <w:rPr>
          <w:color w:val="231F20"/>
          <w:w w:val="110"/>
        </w:rPr>
        <w:t>exterior,</w:t>
      </w:r>
      <w:r>
        <w:rPr>
          <w:color w:val="231F20"/>
          <w:spacing w:val="-6"/>
          <w:w w:val="110"/>
        </w:rPr>
        <w:t> </w:t>
      </w:r>
      <w:r>
        <w:rPr>
          <w:color w:val="231F20"/>
          <w:w w:val="110"/>
        </w:rPr>
        <w:t>hasta</w:t>
      </w:r>
      <w:r>
        <w:rPr>
          <w:color w:val="231F20"/>
          <w:spacing w:val="-6"/>
          <w:w w:val="110"/>
        </w:rPr>
        <w:t> </w:t>
      </w:r>
      <w:r>
        <w:rPr>
          <w:color w:val="231F20"/>
          <w:w w:val="110"/>
        </w:rPr>
        <w:t>la</w:t>
      </w:r>
      <w:r>
        <w:rPr>
          <w:color w:val="231F20"/>
          <w:spacing w:val="-6"/>
          <w:w w:val="110"/>
        </w:rPr>
        <w:t> </w:t>
      </w:r>
      <w:r>
        <w:rPr>
          <w:color w:val="231F20"/>
          <w:w w:val="110"/>
        </w:rPr>
        <w:t>extraordinaria</w:t>
      </w:r>
      <w:r>
        <w:rPr>
          <w:color w:val="231F20"/>
          <w:spacing w:val="-6"/>
          <w:w w:val="110"/>
        </w:rPr>
        <w:t> </w:t>
      </w:r>
      <w:r>
        <w:rPr>
          <w:color w:val="231F20"/>
          <w:w w:val="110"/>
        </w:rPr>
        <w:t>cifra</w:t>
      </w:r>
      <w:r>
        <w:rPr>
          <w:color w:val="231F20"/>
          <w:spacing w:val="-6"/>
          <w:w w:val="110"/>
        </w:rPr>
        <w:t> </w:t>
      </w:r>
      <w:r>
        <w:rPr>
          <w:color w:val="231F20"/>
          <w:w w:val="110"/>
        </w:rPr>
        <w:t>de</w:t>
      </w:r>
      <w:r>
        <w:rPr>
          <w:color w:val="231F20"/>
          <w:spacing w:val="-6"/>
          <w:w w:val="110"/>
        </w:rPr>
        <w:t> </w:t>
      </w:r>
      <w:r>
        <w:rPr>
          <w:color w:val="231F20"/>
          <w:w w:val="110"/>
        </w:rPr>
        <w:t>2.4</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millo- nes</w:t>
      </w:r>
      <w:r>
        <w:rPr>
          <w:color w:val="231F20"/>
          <w:spacing w:val="-12"/>
          <w:w w:val="110"/>
        </w:rPr>
        <w:t> </w:t>
      </w:r>
      <w:r>
        <w:rPr>
          <w:color w:val="231F20"/>
          <w:w w:val="110"/>
        </w:rPr>
        <w:t>de</w:t>
      </w:r>
      <w:r>
        <w:rPr>
          <w:color w:val="231F20"/>
          <w:spacing w:val="-12"/>
          <w:w w:val="110"/>
        </w:rPr>
        <w:t> </w:t>
      </w:r>
      <w:r>
        <w:rPr>
          <w:color w:val="231F20"/>
          <w:w w:val="110"/>
        </w:rPr>
        <w:t>dólares,</w:t>
      </w:r>
      <w:r>
        <w:rPr>
          <w:color w:val="231F20"/>
          <w:spacing w:val="-12"/>
          <w:w w:val="110"/>
        </w:rPr>
        <w:t> </w:t>
      </w:r>
      <w:r>
        <w:rPr>
          <w:color w:val="231F20"/>
          <w:w w:val="110"/>
        </w:rPr>
        <w:t>equivalentes</w:t>
      </w:r>
      <w:r>
        <w:rPr>
          <w:color w:val="231F20"/>
          <w:spacing w:val="-12"/>
          <w:w w:val="110"/>
        </w:rPr>
        <w:t> </w:t>
      </w:r>
      <w:r>
        <w:rPr>
          <w:color w:val="231F20"/>
          <w:w w:val="110"/>
        </w:rPr>
        <w:t>al</w:t>
      </w:r>
      <w:r>
        <w:rPr>
          <w:color w:val="231F20"/>
          <w:spacing w:val="-12"/>
          <w:w w:val="110"/>
        </w:rPr>
        <w:t> </w:t>
      </w:r>
      <w:r>
        <w:rPr>
          <w:color w:val="231F20"/>
          <w:w w:val="110"/>
        </w:rPr>
        <w:t>19%</w:t>
      </w:r>
      <w:r>
        <w:rPr>
          <w:color w:val="231F20"/>
          <w:spacing w:val="-12"/>
          <w:w w:val="110"/>
        </w:rPr>
        <w:t> </w:t>
      </w:r>
      <w:r>
        <w:rPr>
          <w:color w:val="231F20"/>
          <w:w w:val="110"/>
        </w:rPr>
        <w:t>del</w:t>
      </w:r>
      <w:r>
        <w:rPr>
          <w:color w:val="231F20"/>
          <w:spacing w:val="-12"/>
          <w:w w:val="110"/>
        </w:rPr>
        <w:t> </w:t>
      </w:r>
      <w:r>
        <w:rPr>
          <w:color w:val="231F20"/>
          <w:w w:val="110"/>
        </w:rPr>
        <w:t>pib</w:t>
      </w:r>
      <w:r>
        <w:rPr>
          <w:color w:val="231F20"/>
          <w:spacing w:val="-12"/>
          <w:w w:val="110"/>
        </w:rPr>
        <w:t> </w:t>
      </w:r>
      <w:r>
        <w:rPr>
          <w:color w:val="231F20"/>
          <w:w w:val="110"/>
        </w:rPr>
        <w:t>en</w:t>
      </w:r>
      <w:r>
        <w:rPr>
          <w:color w:val="231F20"/>
          <w:spacing w:val="-12"/>
          <w:w w:val="110"/>
        </w:rPr>
        <w:t> </w:t>
      </w:r>
      <w:r>
        <w:rPr>
          <w:color w:val="231F20"/>
          <w:w w:val="110"/>
        </w:rPr>
        <w:t>2007</w:t>
      </w:r>
      <w:r>
        <w:rPr>
          <w:color w:val="231F20"/>
          <w:spacing w:val="-12"/>
          <w:w w:val="110"/>
        </w:rPr>
        <w:t> </w:t>
      </w:r>
      <w:r>
        <w:rPr>
          <w:color w:val="231F20"/>
          <w:w w:val="110"/>
        </w:rPr>
        <w:t>(Jackson,</w:t>
      </w:r>
      <w:r>
        <w:rPr>
          <w:color w:val="231F20"/>
          <w:spacing w:val="-12"/>
          <w:w w:val="110"/>
        </w:rPr>
        <w:t> </w:t>
      </w:r>
      <w:r>
        <w:rPr>
          <w:color w:val="231F20"/>
          <w:w w:val="110"/>
        </w:rPr>
        <w:t>2008).</w:t>
      </w:r>
      <w:r>
        <w:rPr>
          <w:color w:val="231F20"/>
          <w:w w:val="110"/>
          <w:position w:val="6"/>
          <w:sz w:val="13"/>
        </w:rPr>
        <w:t>3 </w:t>
      </w:r>
      <w:r>
        <w:rPr>
          <w:color w:val="231F20"/>
          <w:w w:val="110"/>
        </w:rPr>
        <w:t>Desde una perspectiva global esto significa un enorme desbalance, pues Estados Unidos absorbe con su déficit, alrededor del 70% de los superávit externos de China, Japón, Alemania y el resto de los países superavitarios (unctad, 2005). </w:t>
      </w:r>
      <w:r>
        <w:rPr>
          <w:color w:val="231F20"/>
          <w:spacing w:val="-6"/>
          <w:w w:val="110"/>
        </w:rPr>
        <w:t>Tal </w:t>
      </w:r>
      <w:r>
        <w:rPr>
          <w:color w:val="231F20"/>
          <w:w w:val="110"/>
        </w:rPr>
        <w:t>situación ha estado deter- minada por la posición hegemónica de Estados Unidos en el terreno monetario y financiero, que le ha permitido, al detentar la moneda de reserva predominante, tener la capacidad de vender casi ilimita- damente activos denominados en dólares, respaldando su</w:t>
      </w:r>
      <w:r>
        <w:rPr>
          <w:color w:val="231F20"/>
          <w:spacing w:val="20"/>
          <w:w w:val="110"/>
        </w:rPr>
        <w:t> </w:t>
      </w:r>
      <w:r>
        <w:rPr>
          <w:color w:val="231F20"/>
          <w:w w:val="110"/>
        </w:rPr>
        <w:t>expansión</w:t>
      </w:r>
    </w:p>
    <w:p>
      <w:pPr>
        <w:pStyle w:val="BodyText"/>
      </w:pPr>
    </w:p>
    <w:p>
      <w:pPr>
        <w:pStyle w:val="BodyText"/>
        <w:spacing w:before="2"/>
        <w:rPr>
          <w:sz w:val="18"/>
        </w:rPr>
      </w:pPr>
    </w:p>
    <w:p>
      <w:pPr>
        <w:spacing w:line="261" w:lineRule="auto" w:before="0"/>
        <w:ind w:left="100" w:right="759" w:firstLine="240"/>
        <w:jc w:val="both"/>
        <w:rPr>
          <w:sz w:val="16"/>
        </w:rPr>
      </w:pPr>
      <w:r>
        <w:rPr>
          <w:color w:val="231F20"/>
          <w:w w:val="110"/>
          <w:position w:val="5"/>
          <w:sz w:val="10"/>
        </w:rPr>
        <w:t>3</w:t>
      </w:r>
      <w:r>
        <w:rPr>
          <w:color w:val="231F20"/>
          <w:spacing w:val="4"/>
          <w:w w:val="110"/>
          <w:position w:val="5"/>
          <w:sz w:val="10"/>
        </w:rPr>
        <w:t> </w:t>
      </w:r>
      <w:r>
        <w:rPr>
          <w:color w:val="231F20"/>
          <w:w w:val="110"/>
          <w:sz w:val="16"/>
        </w:rPr>
        <w:t>Esta</w:t>
      </w:r>
      <w:r>
        <w:rPr>
          <w:color w:val="231F20"/>
          <w:spacing w:val="-27"/>
          <w:w w:val="110"/>
          <w:sz w:val="16"/>
        </w:rPr>
        <w:t> </w:t>
      </w:r>
      <w:r>
        <w:rPr>
          <w:color w:val="231F20"/>
          <w:w w:val="110"/>
          <w:sz w:val="16"/>
        </w:rPr>
        <w:t>cifra</w:t>
      </w:r>
      <w:r>
        <w:rPr>
          <w:color w:val="231F20"/>
          <w:spacing w:val="-27"/>
          <w:w w:val="110"/>
          <w:sz w:val="16"/>
        </w:rPr>
        <w:t> </w:t>
      </w:r>
      <w:r>
        <w:rPr>
          <w:color w:val="231F20"/>
          <w:w w:val="110"/>
          <w:sz w:val="16"/>
        </w:rPr>
        <w:t>corresponde</w:t>
      </w:r>
      <w:r>
        <w:rPr>
          <w:color w:val="231F20"/>
          <w:spacing w:val="-27"/>
          <w:w w:val="110"/>
          <w:sz w:val="16"/>
        </w:rPr>
        <w:t> </w:t>
      </w:r>
      <w:r>
        <w:rPr>
          <w:color w:val="231F20"/>
          <w:w w:val="110"/>
          <w:sz w:val="16"/>
        </w:rPr>
        <w:t>a</w:t>
      </w:r>
      <w:r>
        <w:rPr>
          <w:color w:val="231F20"/>
          <w:spacing w:val="-27"/>
          <w:w w:val="110"/>
          <w:sz w:val="16"/>
        </w:rPr>
        <w:t> </w:t>
      </w:r>
      <w:r>
        <w:rPr>
          <w:color w:val="231F20"/>
          <w:w w:val="110"/>
          <w:sz w:val="16"/>
        </w:rPr>
        <w:t>la</w:t>
      </w:r>
      <w:r>
        <w:rPr>
          <w:color w:val="231F20"/>
          <w:spacing w:val="-27"/>
          <w:w w:val="110"/>
          <w:sz w:val="16"/>
        </w:rPr>
        <w:t> </w:t>
      </w:r>
      <w:r>
        <w:rPr>
          <w:i/>
          <w:color w:val="231F20"/>
          <w:w w:val="110"/>
          <w:sz w:val="16"/>
        </w:rPr>
        <w:t>Posición</w:t>
      </w:r>
      <w:r>
        <w:rPr>
          <w:i/>
          <w:color w:val="231F20"/>
          <w:spacing w:val="-27"/>
          <w:w w:val="110"/>
          <w:sz w:val="16"/>
        </w:rPr>
        <w:t> </w:t>
      </w:r>
      <w:r>
        <w:rPr>
          <w:i/>
          <w:color w:val="231F20"/>
          <w:w w:val="110"/>
          <w:sz w:val="16"/>
        </w:rPr>
        <w:t>de</w:t>
      </w:r>
      <w:r>
        <w:rPr>
          <w:i/>
          <w:color w:val="231F20"/>
          <w:spacing w:val="-27"/>
          <w:w w:val="110"/>
          <w:sz w:val="16"/>
        </w:rPr>
        <w:t> </w:t>
      </w:r>
      <w:r>
        <w:rPr>
          <w:i/>
          <w:color w:val="231F20"/>
          <w:w w:val="110"/>
          <w:sz w:val="16"/>
        </w:rPr>
        <w:t>la</w:t>
      </w:r>
      <w:r>
        <w:rPr>
          <w:i/>
          <w:color w:val="231F20"/>
          <w:spacing w:val="-27"/>
          <w:w w:val="110"/>
          <w:sz w:val="16"/>
        </w:rPr>
        <w:t> </w:t>
      </w:r>
      <w:r>
        <w:rPr>
          <w:i/>
          <w:color w:val="231F20"/>
          <w:w w:val="110"/>
          <w:sz w:val="16"/>
        </w:rPr>
        <w:t>Inversión</w:t>
      </w:r>
      <w:r>
        <w:rPr>
          <w:i/>
          <w:color w:val="231F20"/>
          <w:spacing w:val="-27"/>
          <w:w w:val="110"/>
          <w:sz w:val="16"/>
        </w:rPr>
        <w:t> </w:t>
      </w:r>
      <w:r>
        <w:rPr>
          <w:i/>
          <w:color w:val="231F20"/>
          <w:w w:val="110"/>
          <w:sz w:val="16"/>
        </w:rPr>
        <w:t>Internacional</w:t>
      </w:r>
      <w:r>
        <w:rPr>
          <w:i/>
          <w:color w:val="231F20"/>
          <w:spacing w:val="-27"/>
          <w:w w:val="110"/>
          <w:sz w:val="16"/>
        </w:rPr>
        <w:t> </w:t>
      </w:r>
      <w:r>
        <w:rPr>
          <w:i/>
          <w:color w:val="231F20"/>
          <w:w w:val="110"/>
          <w:sz w:val="16"/>
        </w:rPr>
        <w:t>Neta</w:t>
      </w:r>
      <w:r>
        <w:rPr>
          <w:color w:val="231F20"/>
          <w:w w:val="110"/>
          <w:sz w:val="16"/>
        </w:rPr>
        <w:t>,</w:t>
      </w:r>
      <w:r>
        <w:rPr>
          <w:color w:val="231F20"/>
          <w:spacing w:val="-27"/>
          <w:w w:val="110"/>
          <w:sz w:val="16"/>
        </w:rPr>
        <w:t> </w:t>
      </w:r>
      <w:r>
        <w:rPr>
          <w:color w:val="231F20"/>
          <w:w w:val="110"/>
          <w:sz w:val="16"/>
        </w:rPr>
        <w:t>que</w:t>
      </w:r>
      <w:r>
        <w:rPr>
          <w:color w:val="231F20"/>
          <w:spacing w:val="-27"/>
          <w:w w:val="110"/>
          <w:sz w:val="16"/>
        </w:rPr>
        <w:t> </w:t>
      </w:r>
      <w:r>
        <w:rPr>
          <w:color w:val="231F20"/>
          <w:w w:val="110"/>
          <w:sz w:val="16"/>
        </w:rPr>
        <w:t>se</w:t>
      </w:r>
      <w:r>
        <w:rPr>
          <w:color w:val="231F20"/>
          <w:spacing w:val="-27"/>
          <w:w w:val="110"/>
          <w:sz w:val="16"/>
        </w:rPr>
        <w:t> </w:t>
      </w:r>
      <w:r>
        <w:rPr>
          <w:color w:val="231F20"/>
          <w:w w:val="110"/>
          <w:sz w:val="16"/>
        </w:rPr>
        <w:t>define como</w:t>
      </w:r>
      <w:r>
        <w:rPr>
          <w:color w:val="231F20"/>
          <w:spacing w:val="-6"/>
          <w:w w:val="110"/>
          <w:sz w:val="16"/>
        </w:rPr>
        <w:t> </w:t>
      </w:r>
      <w:r>
        <w:rPr>
          <w:color w:val="231F20"/>
          <w:w w:val="110"/>
          <w:sz w:val="16"/>
        </w:rPr>
        <w:t>la</w:t>
      </w:r>
      <w:r>
        <w:rPr>
          <w:color w:val="231F20"/>
          <w:spacing w:val="-6"/>
          <w:w w:val="110"/>
          <w:sz w:val="16"/>
        </w:rPr>
        <w:t> </w:t>
      </w:r>
      <w:r>
        <w:rPr>
          <w:color w:val="231F20"/>
          <w:w w:val="110"/>
          <w:sz w:val="16"/>
        </w:rPr>
        <w:t>diferencia</w:t>
      </w:r>
      <w:r>
        <w:rPr>
          <w:color w:val="231F20"/>
          <w:spacing w:val="-6"/>
          <w:w w:val="110"/>
          <w:sz w:val="16"/>
        </w:rPr>
        <w:t> </w:t>
      </w:r>
      <w:r>
        <w:rPr>
          <w:color w:val="231F20"/>
          <w:w w:val="110"/>
          <w:sz w:val="16"/>
        </w:rPr>
        <w:t>entre</w:t>
      </w:r>
      <w:r>
        <w:rPr>
          <w:color w:val="231F20"/>
          <w:spacing w:val="-6"/>
          <w:w w:val="110"/>
          <w:sz w:val="16"/>
        </w:rPr>
        <w:t> </w:t>
      </w:r>
      <w:r>
        <w:rPr>
          <w:color w:val="231F20"/>
          <w:w w:val="110"/>
          <w:sz w:val="16"/>
        </w:rPr>
        <w:t>el</w:t>
      </w:r>
      <w:r>
        <w:rPr>
          <w:color w:val="231F20"/>
          <w:spacing w:val="-6"/>
          <w:w w:val="110"/>
          <w:sz w:val="16"/>
        </w:rPr>
        <w:t> </w:t>
      </w:r>
      <w:r>
        <w:rPr>
          <w:color w:val="231F20"/>
          <w:w w:val="110"/>
          <w:sz w:val="16"/>
        </w:rPr>
        <w:t>stock</w:t>
      </w:r>
      <w:r>
        <w:rPr>
          <w:color w:val="231F20"/>
          <w:spacing w:val="-6"/>
          <w:w w:val="110"/>
          <w:sz w:val="16"/>
        </w:rPr>
        <w:t> </w:t>
      </w:r>
      <w:r>
        <w:rPr>
          <w:color w:val="231F20"/>
          <w:w w:val="110"/>
          <w:sz w:val="16"/>
        </w:rPr>
        <w:t>de</w:t>
      </w:r>
      <w:r>
        <w:rPr>
          <w:color w:val="231F20"/>
          <w:spacing w:val="-6"/>
          <w:w w:val="110"/>
          <w:sz w:val="16"/>
        </w:rPr>
        <w:t> </w:t>
      </w:r>
      <w:r>
        <w:rPr>
          <w:color w:val="231F20"/>
          <w:w w:val="110"/>
          <w:sz w:val="16"/>
        </w:rPr>
        <w:t>activos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Estados</w:t>
      </w:r>
      <w:r>
        <w:rPr>
          <w:color w:val="231F20"/>
          <w:spacing w:val="-6"/>
          <w:w w:val="110"/>
          <w:sz w:val="16"/>
        </w:rPr>
        <w:t> </w:t>
      </w:r>
      <w:r>
        <w:rPr>
          <w:color w:val="231F20"/>
          <w:w w:val="110"/>
          <w:sz w:val="16"/>
        </w:rPr>
        <w:t>Unidos</w:t>
      </w:r>
      <w:r>
        <w:rPr>
          <w:color w:val="231F20"/>
          <w:spacing w:val="-6"/>
          <w:w w:val="110"/>
          <w:sz w:val="16"/>
        </w:rPr>
        <w:t> </w:t>
      </w:r>
      <w:r>
        <w:rPr>
          <w:color w:val="231F20"/>
          <w:w w:val="110"/>
          <w:sz w:val="16"/>
        </w:rPr>
        <w:t>en</w:t>
      </w:r>
      <w:r>
        <w:rPr>
          <w:color w:val="231F20"/>
          <w:spacing w:val="-6"/>
          <w:w w:val="110"/>
          <w:sz w:val="16"/>
        </w:rPr>
        <w:t> </w:t>
      </w:r>
      <w:r>
        <w:rPr>
          <w:color w:val="231F20"/>
          <w:w w:val="110"/>
          <w:sz w:val="16"/>
        </w:rPr>
        <w:t>el</w:t>
      </w:r>
      <w:r>
        <w:rPr>
          <w:color w:val="231F20"/>
          <w:spacing w:val="-6"/>
          <w:w w:val="110"/>
          <w:sz w:val="16"/>
        </w:rPr>
        <w:t> </w:t>
      </w:r>
      <w:r>
        <w:rPr>
          <w:color w:val="231F20"/>
          <w:w w:val="110"/>
          <w:sz w:val="16"/>
        </w:rPr>
        <w:t>exterior</w:t>
      </w:r>
      <w:r>
        <w:rPr>
          <w:color w:val="231F20"/>
          <w:spacing w:val="-6"/>
          <w:w w:val="110"/>
          <w:sz w:val="16"/>
        </w:rPr>
        <w:t> </w:t>
      </w:r>
      <w:r>
        <w:rPr>
          <w:color w:val="231F20"/>
          <w:w w:val="110"/>
          <w:sz w:val="16"/>
        </w:rPr>
        <w:t>y</w:t>
      </w:r>
      <w:r>
        <w:rPr>
          <w:color w:val="231F20"/>
          <w:spacing w:val="-6"/>
          <w:w w:val="110"/>
          <w:sz w:val="16"/>
        </w:rPr>
        <w:t> </w:t>
      </w:r>
      <w:r>
        <w:rPr>
          <w:color w:val="231F20"/>
          <w:w w:val="110"/>
          <w:sz w:val="16"/>
        </w:rPr>
        <w:t>el</w:t>
      </w:r>
      <w:r>
        <w:rPr>
          <w:color w:val="231F20"/>
          <w:spacing w:val="-6"/>
          <w:w w:val="110"/>
          <w:sz w:val="16"/>
        </w:rPr>
        <w:t> </w:t>
      </w:r>
      <w:r>
        <w:rPr>
          <w:color w:val="231F20"/>
          <w:w w:val="110"/>
          <w:sz w:val="16"/>
        </w:rPr>
        <w:t>stock de</w:t>
      </w:r>
      <w:r>
        <w:rPr>
          <w:color w:val="231F20"/>
          <w:spacing w:val="-6"/>
          <w:w w:val="110"/>
          <w:sz w:val="16"/>
        </w:rPr>
        <w:t> </w:t>
      </w:r>
      <w:r>
        <w:rPr>
          <w:color w:val="231F20"/>
          <w:w w:val="110"/>
          <w:sz w:val="16"/>
        </w:rPr>
        <w:t>activos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extranjeros</w:t>
      </w:r>
      <w:r>
        <w:rPr>
          <w:color w:val="231F20"/>
          <w:spacing w:val="-6"/>
          <w:w w:val="110"/>
          <w:sz w:val="16"/>
        </w:rPr>
        <w:t> </w:t>
      </w:r>
      <w:r>
        <w:rPr>
          <w:color w:val="231F20"/>
          <w:w w:val="110"/>
          <w:sz w:val="16"/>
        </w:rPr>
        <w:t>en</w:t>
      </w:r>
      <w:r>
        <w:rPr>
          <w:color w:val="231F20"/>
          <w:spacing w:val="-6"/>
          <w:w w:val="110"/>
          <w:sz w:val="16"/>
        </w:rPr>
        <w:t> </w:t>
      </w:r>
      <w:r>
        <w:rPr>
          <w:color w:val="231F20"/>
          <w:w w:val="110"/>
          <w:sz w:val="16"/>
        </w:rPr>
        <w:t>Estados</w:t>
      </w:r>
      <w:r>
        <w:rPr>
          <w:color w:val="231F20"/>
          <w:spacing w:val="-6"/>
          <w:w w:val="110"/>
          <w:sz w:val="16"/>
        </w:rPr>
        <w:t> </w:t>
      </w:r>
      <w:r>
        <w:rPr>
          <w:color w:val="231F20"/>
          <w:w w:val="110"/>
          <w:sz w:val="16"/>
        </w:rPr>
        <w:t>Unidos.</w:t>
      </w:r>
      <w:r>
        <w:rPr>
          <w:color w:val="231F20"/>
          <w:spacing w:val="-6"/>
          <w:w w:val="110"/>
          <w:sz w:val="16"/>
        </w:rPr>
        <w:t> </w:t>
      </w:r>
      <w:r>
        <w:rPr>
          <w:color w:val="231F20"/>
          <w:w w:val="110"/>
          <w:sz w:val="16"/>
        </w:rPr>
        <w:t>Se</w:t>
      </w:r>
      <w:r>
        <w:rPr>
          <w:color w:val="231F20"/>
          <w:spacing w:val="-6"/>
          <w:w w:val="110"/>
          <w:sz w:val="16"/>
        </w:rPr>
        <w:t> </w:t>
      </w:r>
      <w:r>
        <w:rPr>
          <w:color w:val="231F20"/>
          <w:w w:val="110"/>
          <w:sz w:val="16"/>
        </w:rPr>
        <w:t>utiliza</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medida</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posición</w:t>
      </w:r>
      <w:r>
        <w:rPr>
          <w:color w:val="231F20"/>
          <w:spacing w:val="-6"/>
          <w:w w:val="110"/>
          <w:sz w:val="16"/>
        </w:rPr>
        <w:t> </w:t>
      </w:r>
      <w:r>
        <w:rPr>
          <w:color w:val="231F20"/>
          <w:w w:val="110"/>
          <w:sz w:val="16"/>
        </w:rPr>
        <w:t>de Estados Unidos en cuanto a sus obligaciones con el</w:t>
      </w:r>
      <w:r>
        <w:rPr>
          <w:color w:val="231F20"/>
          <w:spacing w:val="25"/>
          <w:w w:val="110"/>
          <w:sz w:val="16"/>
        </w:rPr>
        <w:t> </w:t>
      </w:r>
      <w:r>
        <w:rPr>
          <w:color w:val="231F20"/>
          <w:w w:val="110"/>
          <w:sz w:val="16"/>
        </w:rPr>
        <w:t>exterior.</w:t>
      </w:r>
    </w:p>
    <w:p>
      <w:pPr>
        <w:spacing w:after="0" w:line="261" w:lineRule="auto"/>
        <w:jc w:val="both"/>
        <w:rPr>
          <w:sz w:val="16"/>
        </w:rPr>
        <w:sectPr>
          <w:headerReference w:type="even" r:id="rId140"/>
          <w:headerReference w:type="default" r:id="rId141"/>
          <w:pgSz w:w="7640" w:h="11900"/>
          <w:pgMar w:header="672" w:footer="0" w:top="860" w:bottom="280" w:left="780" w:right="0"/>
        </w:sectPr>
      </w:pPr>
    </w:p>
    <w:p>
      <w:pPr>
        <w:pStyle w:val="BodyText"/>
        <w:spacing w:before="8"/>
        <w:rPr>
          <w:sz w:val="8"/>
        </w:rPr>
      </w:pPr>
    </w:p>
    <w:p>
      <w:pPr>
        <w:pStyle w:val="BodyText"/>
        <w:spacing w:line="261" w:lineRule="auto" w:before="67"/>
        <w:ind w:left="100" w:right="119"/>
        <w:jc w:val="both"/>
      </w:pPr>
      <w:r>
        <w:rPr>
          <w:color w:val="231F20"/>
          <w:w w:val="110"/>
        </w:rPr>
        <w:t>económica. Sin embargo, la hegemonía monetario-financiera opera</w:t>
      </w:r>
      <w:r>
        <w:rPr>
          <w:color w:val="231F20"/>
          <w:w w:val="113"/>
        </w:rPr>
        <w:t> </w:t>
      </w:r>
      <w:r>
        <w:rPr>
          <w:color w:val="231F20"/>
          <w:w w:val="110"/>
        </w:rPr>
        <w:t>también en otros niveles, que complementan al anterior y que han favorecido que Estados Unidos haya vivido más allá de sus posibili- dades en los últimos tres decenios.</w:t>
      </w:r>
    </w:p>
    <w:p>
      <w:pPr>
        <w:pStyle w:val="BodyText"/>
        <w:spacing w:line="261" w:lineRule="auto"/>
        <w:ind w:left="100" w:right="117" w:firstLine="240"/>
        <w:jc w:val="both"/>
      </w:pPr>
      <w:r>
        <w:rPr>
          <w:color w:val="231F20"/>
          <w:w w:val="110"/>
        </w:rPr>
        <w:t>Uno de esos niveles es el papel de liderazgo que ha desempeñado en el desarrollo del proceso de globalización financiera, referido a  la creciente interpenetración e integración de los distintos mercados financieros internacionales. Este proceso basado en los trascenden- tales progresos en las tecnologías de la información y las comunica- ciones, en la desregulación financiera, en particular la reducción de los controles gubernamentales sobre los más diversos ámbitos del funcionamiento de dichos mercados, y en la apertura de la cuenta  de capital, le ha conferido una extrema libertad de movimiento a los flujos financieros</w:t>
      </w:r>
      <w:r>
        <w:rPr>
          <w:color w:val="231F20"/>
          <w:spacing w:val="-10"/>
          <w:w w:val="110"/>
        </w:rPr>
        <w:t> </w:t>
      </w:r>
      <w:r>
        <w:rPr>
          <w:color w:val="231F20"/>
          <w:w w:val="110"/>
        </w:rPr>
        <w:t>internacionales.</w:t>
      </w:r>
    </w:p>
    <w:p>
      <w:pPr>
        <w:pStyle w:val="BodyText"/>
        <w:spacing w:line="261" w:lineRule="auto"/>
        <w:ind w:left="100" w:right="117" w:firstLine="240"/>
        <w:jc w:val="both"/>
      </w:pPr>
      <w:r>
        <w:rPr>
          <w:color w:val="231F20"/>
          <w:w w:val="110"/>
        </w:rPr>
        <w:t>Al mismo tiempo, el sistema financiero internacional ha pasado de un patrón de financiamiento fundamentalmente bancario, a otro fundamentalmente bursátil,</w:t>
      </w:r>
      <w:r>
        <w:rPr>
          <w:color w:val="231F20"/>
          <w:w w:val="110"/>
          <w:position w:val="6"/>
          <w:sz w:val="13"/>
        </w:rPr>
        <w:t>4 </w:t>
      </w:r>
      <w:r>
        <w:rPr>
          <w:color w:val="231F20"/>
          <w:w w:val="110"/>
        </w:rPr>
        <w:t>se ha introducido un número impor- tante y creciente de innovaciones financieras, con nuevos productos y también nuevas estrategias para la colocación y circulación de los mismos, y han emergido inversores institucionales (compañías de seguros, cajas de pensiones o fondos de inversión) con una</w:t>
      </w:r>
      <w:r>
        <w:rPr>
          <w:color w:val="231F20"/>
          <w:spacing w:val="-38"/>
          <w:w w:val="110"/>
        </w:rPr>
        <w:t> </w:t>
      </w:r>
      <w:r>
        <w:rPr>
          <w:color w:val="231F20"/>
          <w:w w:val="110"/>
        </w:rPr>
        <w:t>creciente participación en los mercados financieros. </w:t>
      </w:r>
      <w:r>
        <w:rPr>
          <w:color w:val="231F20"/>
          <w:spacing w:val="-4"/>
          <w:w w:val="110"/>
        </w:rPr>
        <w:t>Todos </w:t>
      </w:r>
      <w:r>
        <w:rPr>
          <w:color w:val="231F20"/>
          <w:w w:val="110"/>
        </w:rPr>
        <w:t>estos elementos, han propiciado la expansión financiera o financiarización, como</w:t>
      </w:r>
      <w:r>
        <w:rPr>
          <w:color w:val="231F20"/>
          <w:spacing w:val="-34"/>
          <w:w w:val="110"/>
        </w:rPr>
        <w:t> </w:t>
      </w:r>
      <w:r>
        <w:rPr>
          <w:color w:val="231F20"/>
          <w:w w:val="110"/>
        </w:rPr>
        <w:t>uno de los rasgos dominantes de la economía mundial contemporánea, expresada en el rápido crecimiento del crédito, de las actividades financieras y de la especulación </w:t>
      </w:r>
      <w:r>
        <w:rPr>
          <w:color w:val="231F20"/>
          <w:spacing w:val="-3"/>
          <w:w w:val="110"/>
        </w:rPr>
        <w:t>(Estay,</w:t>
      </w:r>
      <w:r>
        <w:rPr>
          <w:color w:val="231F20"/>
          <w:spacing w:val="-29"/>
          <w:w w:val="110"/>
        </w:rPr>
        <w:t> </w:t>
      </w:r>
      <w:r>
        <w:rPr>
          <w:color w:val="231F20"/>
          <w:w w:val="110"/>
        </w:rPr>
        <w:t>2001).</w:t>
      </w:r>
    </w:p>
    <w:p>
      <w:pPr>
        <w:pStyle w:val="BodyText"/>
        <w:spacing w:line="261" w:lineRule="auto"/>
        <w:ind w:left="100" w:right="119" w:firstLine="240"/>
        <w:jc w:val="both"/>
      </w:pPr>
      <w:r>
        <w:rPr>
          <w:color w:val="231F20"/>
          <w:w w:val="110"/>
        </w:rPr>
        <w:t>El hecho de que la economía estadunidense haya estado en el centro mismo de todas estas tendencias, le ha permitido no sólo</w:t>
      </w:r>
      <w:r>
        <w:rPr>
          <w:color w:val="231F20"/>
          <w:spacing w:val="-16"/>
          <w:w w:val="110"/>
        </w:rPr>
        <w:t> </w:t>
      </w:r>
      <w:r>
        <w:rPr>
          <w:color w:val="231F20"/>
          <w:w w:val="110"/>
        </w:rPr>
        <w:t>pro- moverlas,</w:t>
      </w:r>
      <w:r>
        <w:rPr>
          <w:color w:val="231F20"/>
          <w:spacing w:val="-11"/>
          <w:w w:val="110"/>
        </w:rPr>
        <w:t> </w:t>
      </w:r>
      <w:r>
        <w:rPr>
          <w:color w:val="231F20"/>
          <w:w w:val="110"/>
        </w:rPr>
        <w:t>sino</w:t>
      </w:r>
      <w:r>
        <w:rPr>
          <w:color w:val="231F20"/>
          <w:spacing w:val="-11"/>
          <w:w w:val="110"/>
        </w:rPr>
        <w:t> </w:t>
      </w:r>
      <w:r>
        <w:rPr>
          <w:color w:val="231F20"/>
          <w:w w:val="110"/>
        </w:rPr>
        <w:t>también</w:t>
      </w:r>
      <w:r>
        <w:rPr>
          <w:color w:val="231F20"/>
          <w:spacing w:val="-11"/>
          <w:w w:val="110"/>
        </w:rPr>
        <w:t> </w:t>
      </w:r>
      <w:r>
        <w:rPr>
          <w:color w:val="231F20"/>
          <w:w w:val="110"/>
        </w:rPr>
        <w:t>absorber</w:t>
      </w:r>
      <w:r>
        <w:rPr>
          <w:color w:val="231F20"/>
          <w:spacing w:val="-11"/>
          <w:w w:val="110"/>
        </w:rPr>
        <w:t> </w:t>
      </w:r>
      <w:r>
        <w:rPr>
          <w:color w:val="231F20"/>
          <w:w w:val="110"/>
        </w:rPr>
        <w:t>la</w:t>
      </w:r>
      <w:r>
        <w:rPr>
          <w:color w:val="231F20"/>
          <w:spacing w:val="-11"/>
          <w:w w:val="110"/>
        </w:rPr>
        <w:t> </w:t>
      </w:r>
      <w:r>
        <w:rPr>
          <w:color w:val="231F20"/>
          <w:w w:val="110"/>
        </w:rPr>
        <w:t>mayor</w:t>
      </w:r>
      <w:r>
        <w:rPr>
          <w:color w:val="231F20"/>
          <w:spacing w:val="-11"/>
          <w:w w:val="110"/>
        </w:rPr>
        <w:t> </w:t>
      </w:r>
      <w:r>
        <w:rPr>
          <w:color w:val="231F20"/>
          <w:w w:val="110"/>
        </w:rPr>
        <w:t>parte</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masa</w:t>
      </w:r>
      <w:r>
        <w:rPr>
          <w:color w:val="231F20"/>
          <w:spacing w:val="-11"/>
          <w:w w:val="110"/>
        </w:rPr>
        <w:t> </w:t>
      </w:r>
      <w:r>
        <w:rPr>
          <w:color w:val="231F20"/>
          <w:w w:val="110"/>
        </w:rPr>
        <w:t>financiera que se moviliza en los mercados internacionales, respaldando así su crecimiento.</w:t>
      </w:r>
      <w:r>
        <w:rPr>
          <w:color w:val="231F20"/>
          <w:spacing w:val="-16"/>
          <w:w w:val="110"/>
        </w:rPr>
        <w:t> </w:t>
      </w:r>
      <w:r>
        <w:rPr>
          <w:color w:val="231F20"/>
          <w:w w:val="110"/>
        </w:rPr>
        <w:t>Asimismo,</w:t>
      </w:r>
      <w:r>
        <w:rPr>
          <w:color w:val="231F20"/>
          <w:spacing w:val="-16"/>
          <w:w w:val="110"/>
        </w:rPr>
        <w:t> </w:t>
      </w:r>
      <w:r>
        <w:rPr>
          <w:color w:val="231F20"/>
          <w:w w:val="110"/>
        </w:rPr>
        <w:t>antes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actual</w:t>
      </w:r>
      <w:r>
        <w:rPr>
          <w:color w:val="231F20"/>
          <w:spacing w:val="-16"/>
          <w:w w:val="110"/>
        </w:rPr>
        <w:t> </w:t>
      </w:r>
      <w:r>
        <w:rPr>
          <w:color w:val="231F20"/>
          <w:w w:val="110"/>
        </w:rPr>
        <w:t>situación</w:t>
      </w:r>
      <w:r>
        <w:rPr>
          <w:color w:val="231F20"/>
          <w:spacing w:val="-16"/>
          <w:w w:val="110"/>
        </w:rPr>
        <w:t> </w:t>
      </w:r>
      <w:r>
        <w:rPr>
          <w:color w:val="231F20"/>
          <w:w w:val="110"/>
        </w:rPr>
        <w:t>de</w:t>
      </w:r>
      <w:r>
        <w:rPr>
          <w:color w:val="231F20"/>
          <w:spacing w:val="-16"/>
          <w:w w:val="110"/>
        </w:rPr>
        <w:t> </w:t>
      </w:r>
      <w:r>
        <w:rPr>
          <w:color w:val="231F20"/>
          <w:w w:val="110"/>
        </w:rPr>
        <w:t>crisis</w:t>
      </w:r>
      <w:r>
        <w:rPr>
          <w:color w:val="231F20"/>
          <w:spacing w:val="-16"/>
          <w:w w:val="110"/>
        </w:rPr>
        <w:t> </w:t>
      </w:r>
      <w:r>
        <w:rPr>
          <w:color w:val="231F20"/>
          <w:w w:val="110"/>
        </w:rPr>
        <w:t>financie- ra, los inversores internacionales se habían sentido atraídos </w:t>
      </w:r>
      <w:r>
        <w:rPr>
          <w:color w:val="231F20"/>
          <w:spacing w:val="25"/>
          <w:w w:val="110"/>
        </w:rPr>
        <w:t> </w:t>
      </w:r>
      <w:r>
        <w:rPr>
          <w:color w:val="231F20"/>
          <w:w w:val="110"/>
        </w:rPr>
        <w:t>durante</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4</w:t>
      </w:r>
      <w:r>
        <w:rPr>
          <w:color w:val="231F20"/>
          <w:spacing w:val="16"/>
          <w:w w:val="110"/>
          <w:position w:val="5"/>
          <w:sz w:val="10"/>
        </w:rPr>
        <w:t> </w:t>
      </w:r>
      <w:r>
        <w:rPr>
          <w:color w:val="231F20"/>
          <w:w w:val="110"/>
          <w:sz w:val="16"/>
        </w:rPr>
        <w:t>Desde</w:t>
      </w:r>
      <w:r>
        <w:rPr>
          <w:color w:val="231F20"/>
          <w:spacing w:val="-6"/>
          <w:w w:val="110"/>
          <w:sz w:val="16"/>
        </w:rPr>
        <w:t> </w:t>
      </w:r>
      <w:r>
        <w:rPr>
          <w:color w:val="231F20"/>
          <w:w w:val="110"/>
          <w:sz w:val="16"/>
        </w:rPr>
        <w:t>mediados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años</w:t>
      </w:r>
      <w:r>
        <w:rPr>
          <w:color w:val="231F20"/>
          <w:spacing w:val="-6"/>
          <w:w w:val="110"/>
          <w:sz w:val="16"/>
        </w:rPr>
        <w:t> </w:t>
      </w:r>
      <w:r>
        <w:rPr>
          <w:color w:val="231F20"/>
          <w:w w:val="110"/>
          <w:sz w:val="16"/>
        </w:rPr>
        <w:t>ochenta,</w:t>
      </w:r>
      <w:r>
        <w:rPr>
          <w:color w:val="231F20"/>
          <w:spacing w:val="-6"/>
          <w:w w:val="110"/>
          <w:sz w:val="16"/>
        </w:rPr>
        <w:t> </w:t>
      </w:r>
      <w:r>
        <w:rPr>
          <w:color w:val="231F20"/>
          <w:w w:val="110"/>
          <w:sz w:val="16"/>
        </w:rPr>
        <w:t>comienza</w:t>
      </w:r>
      <w:r>
        <w:rPr>
          <w:color w:val="231F20"/>
          <w:spacing w:val="-6"/>
          <w:w w:val="110"/>
          <w:sz w:val="16"/>
        </w:rPr>
        <w:t> </w:t>
      </w:r>
      <w:r>
        <w:rPr>
          <w:color w:val="231F20"/>
          <w:w w:val="110"/>
          <w:sz w:val="16"/>
        </w:rPr>
        <w:t>a</w:t>
      </w:r>
      <w:r>
        <w:rPr>
          <w:color w:val="231F20"/>
          <w:spacing w:val="-6"/>
          <w:w w:val="110"/>
          <w:sz w:val="16"/>
        </w:rPr>
        <w:t> </w:t>
      </w:r>
      <w:r>
        <w:rPr>
          <w:color w:val="231F20"/>
          <w:w w:val="110"/>
          <w:sz w:val="16"/>
        </w:rPr>
        <w:t>producirse</w:t>
      </w:r>
      <w:r>
        <w:rPr>
          <w:color w:val="231F20"/>
          <w:spacing w:val="-6"/>
          <w:w w:val="110"/>
          <w:sz w:val="16"/>
        </w:rPr>
        <w:t> </w:t>
      </w:r>
      <w:r>
        <w:rPr>
          <w:color w:val="231F20"/>
          <w:w w:val="110"/>
          <w:sz w:val="16"/>
        </w:rPr>
        <w:t>una</w:t>
      </w:r>
      <w:r>
        <w:rPr>
          <w:color w:val="231F20"/>
          <w:spacing w:val="-6"/>
          <w:w w:val="110"/>
          <w:sz w:val="16"/>
        </w:rPr>
        <w:t> </w:t>
      </w:r>
      <w:r>
        <w:rPr>
          <w:color w:val="231F20"/>
          <w:w w:val="110"/>
          <w:sz w:val="16"/>
        </w:rPr>
        <w:t>variación</w:t>
      </w:r>
      <w:r>
        <w:rPr>
          <w:color w:val="231F20"/>
          <w:spacing w:val="-6"/>
          <w:w w:val="110"/>
          <w:sz w:val="16"/>
        </w:rPr>
        <w:t> </w:t>
      </w:r>
      <w:r>
        <w:rPr>
          <w:color w:val="231F20"/>
          <w:w w:val="110"/>
          <w:sz w:val="16"/>
        </w:rPr>
        <w:t>signi- ficativa</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composición</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los</w:t>
      </w:r>
      <w:r>
        <w:rPr>
          <w:color w:val="231F20"/>
          <w:spacing w:val="-12"/>
          <w:w w:val="110"/>
          <w:sz w:val="16"/>
        </w:rPr>
        <w:t> </w:t>
      </w:r>
      <w:r>
        <w:rPr>
          <w:color w:val="231F20"/>
          <w:w w:val="110"/>
          <w:sz w:val="16"/>
        </w:rPr>
        <w:t>instrumentos</w:t>
      </w:r>
      <w:r>
        <w:rPr>
          <w:color w:val="231F20"/>
          <w:spacing w:val="-12"/>
          <w:w w:val="110"/>
          <w:sz w:val="16"/>
        </w:rPr>
        <w:t> </w:t>
      </w:r>
      <w:r>
        <w:rPr>
          <w:color w:val="231F20"/>
          <w:w w:val="110"/>
          <w:sz w:val="16"/>
        </w:rPr>
        <w:t>financieros</w:t>
      </w:r>
      <w:r>
        <w:rPr>
          <w:color w:val="231F20"/>
          <w:spacing w:val="-12"/>
          <w:w w:val="110"/>
          <w:sz w:val="16"/>
        </w:rPr>
        <w:t> </w:t>
      </w:r>
      <w:r>
        <w:rPr>
          <w:color w:val="231F20"/>
          <w:w w:val="110"/>
          <w:sz w:val="16"/>
        </w:rPr>
        <w:t>utilizados</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canalización de recursos al interior de cada economía y hacia los principales países prestatarios. El nuevo patrón de financiamiento está vinculado a la emisión de títulos valores (bo- nos, acciones, entre otros) en detrimento del tradicional financiamiento a través de préstamos</w:t>
      </w:r>
      <w:r>
        <w:rPr>
          <w:color w:val="231F20"/>
          <w:spacing w:val="-7"/>
          <w:w w:val="110"/>
          <w:sz w:val="16"/>
        </w:rPr>
        <w:t> </w:t>
      </w:r>
      <w:r>
        <w:rPr>
          <w:color w:val="231F20"/>
          <w:w w:val="110"/>
          <w:sz w:val="16"/>
        </w:rPr>
        <w:t>bancarios.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52"/>
      </w:pPr>
      <w:r>
        <w:rPr>
          <w:color w:val="231F20"/>
          <w:w w:val="110"/>
        </w:rPr>
        <w:t>mucho tiempo por una apariencia generalizada: el sistema financiero estadunidense era sofisticado, seguro y bien regulado.</w:t>
      </w:r>
    </w:p>
    <w:p>
      <w:pPr>
        <w:pStyle w:val="BodyText"/>
        <w:spacing w:line="261" w:lineRule="auto"/>
        <w:ind w:left="100" w:right="113" w:firstLine="240"/>
        <w:jc w:val="both"/>
      </w:pPr>
      <w:r>
        <w:rPr>
          <w:color w:val="231F20"/>
          <w:w w:val="110"/>
        </w:rPr>
        <w:t>Indudablemente, la preponderancia de  Estados  Unidos  dentro de las dos principales instituciones financieras internacionales, ha sido otro de los niveles en los que se ha manifestado su hegemonía financiera. En particular el fmi, establecido originalmente para ad- ministrar el sistema de tipos de cambio fijos de Bretton </w:t>
      </w:r>
      <w:r>
        <w:rPr>
          <w:color w:val="231F20"/>
          <w:spacing w:val="-3"/>
          <w:w w:val="110"/>
        </w:rPr>
        <w:t>Woods, </w:t>
      </w:r>
      <w:r>
        <w:rPr>
          <w:color w:val="231F20"/>
          <w:w w:val="110"/>
        </w:rPr>
        <w:t>se convirtió luego en el principal vehículo para </w:t>
      </w:r>
      <w:r>
        <w:rPr>
          <w:color w:val="231F20"/>
          <w:spacing w:val="-3"/>
          <w:w w:val="110"/>
        </w:rPr>
        <w:t>imponer, </w:t>
      </w:r>
      <w:r>
        <w:rPr>
          <w:color w:val="231F20"/>
          <w:w w:val="110"/>
        </w:rPr>
        <w:t>amparados por la crítica situación de endeudamiento de muchos países sub- desarrollados, los programas de ajuste estructural. Estos programas, alineados con lo que luego se esquematizaría en el decálogo del Consenso de Washington,</w:t>
      </w:r>
      <w:r>
        <w:rPr>
          <w:color w:val="231F20"/>
          <w:w w:val="110"/>
          <w:position w:val="6"/>
          <w:sz w:val="13"/>
        </w:rPr>
        <w:t>5 </w:t>
      </w:r>
      <w:r>
        <w:rPr>
          <w:color w:val="231F20"/>
          <w:w w:val="110"/>
        </w:rPr>
        <w:t>no eran sino una respuesta orgánica, co- herente y necesaria de los centros de </w:t>
      </w:r>
      <w:r>
        <w:rPr>
          <w:color w:val="231F20"/>
          <w:spacing w:val="-3"/>
          <w:w w:val="110"/>
        </w:rPr>
        <w:t>poder, </w:t>
      </w:r>
      <w:r>
        <w:rPr>
          <w:color w:val="231F20"/>
          <w:w w:val="110"/>
        </w:rPr>
        <w:t>al proceso objetivo de  la globalización (Quintela </w:t>
      </w:r>
      <w:r>
        <w:rPr>
          <w:i/>
          <w:color w:val="231F20"/>
          <w:w w:val="110"/>
        </w:rPr>
        <w:t>et al.</w:t>
      </w:r>
      <w:r>
        <w:rPr>
          <w:color w:val="231F20"/>
          <w:w w:val="110"/>
        </w:rPr>
        <w:t>,</w:t>
      </w:r>
      <w:r>
        <w:rPr>
          <w:color w:val="231F20"/>
          <w:spacing w:val="-34"/>
          <w:w w:val="110"/>
        </w:rPr>
        <w:t> </w:t>
      </w:r>
      <w:r>
        <w:rPr>
          <w:color w:val="231F20"/>
          <w:w w:val="110"/>
        </w:rPr>
        <w:t>2000).</w:t>
      </w:r>
    </w:p>
    <w:p>
      <w:pPr>
        <w:pStyle w:val="BodyText"/>
        <w:spacing w:line="261" w:lineRule="auto"/>
        <w:ind w:left="100" w:right="117" w:firstLine="240"/>
        <w:jc w:val="both"/>
      </w:pPr>
      <w:r>
        <w:rPr>
          <w:color w:val="231F20"/>
          <w:w w:val="110"/>
        </w:rPr>
        <w:t>Estas</w:t>
      </w:r>
      <w:r>
        <w:rPr>
          <w:color w:val="231F20"/>
          <w:spacing w:val="-14"/>
          <w:w w:val="110"/>
        </w:rPr>
        <w:t> </w:t>
      </w:r>
      <w:r>
        <w:rPr>
          <w:color w:val="231F20"/>
          <w:w w:val="110"/>
        </w:rPr>
        <w:t>políticas</w:t>
      </w:r>
      <w:r>
        <w:rPr>
          <w:color w:val="231F20"/>
          <w:spacing w:val="-14"/>
          <w:w w:val="110"/>
        </w:rPr>
        <w:t> </w:t>
      </w:r>
      <w:r>
        <w:rPr>
          <w:color w:val="231F20"/>
          <w:w w:val="110"/>
        </w:rPr>
        <w:t>de</w:t>
      </w:r>
      <w:r>
        <w:rPr>
          <w:color w:val="231F20"/>
          <w:spacing w:val="-14"/>
          <w:w w:val="110"/>
        </w:rPr>
        <w:t> </w:t>
      </w:r>
      <w:r>
        <w:rPr>
          <w:color w:val="231F20"/>
          <w:w w:val="110"/>
        </w:rPr>
        <w:t>liberalización,</w:t>
      </w:r>
      <w:r>
        <w:rPr>
          <w:color w:val="231F20"/>
          <w:spacing w:val="-14"/>
          <w:w w:val="110"/>
        </w:rPr>
        <w:t> </w:t>
      </w:r>
      <w:r>
        <w:rPr>
          <w:color w:val="231F20"/>
          <w:w w:val="110"/>
        </w:rPr>
        <w:t>desregulación</w:t>
      </w:r>
      <w:r>
        <w:rPr>
          <w:color w:val="231F20"/>
          <w:spacing w:val="-14"/>
          <w:w w:val="110"/>
        </w:rPr>
        <w:t> </w:t>
      </w:r>
      <w:r>
        <w:rPr>
          <w:color w:val="231F20"/>
          <w:w w:val="110"/>
        </w:rPr>
        <w:t>y</w:t>
      </w:r>
      <w:r>
        <w:rPr>
          <w:color w:val="231F20"/>
          <w:spacing w:val="-14"/>
          <w:w w:val="110"/>
        </w:rPr>
        <w:t> </w:t>
      </w:r>
      <w:r>
        <w:rPr>
          <w:color w:val="231F20"/>
          <w:w w:val="110"/>
        </w:rPr>
        <w:t>apertura</w:t>
      </w:r>
      <w:r>
        <w:rPr>
          <w:color w:val="231F20"/>
          <w:spacing w:val="-14"/>
          <w:w w:val="110"/>
        </w:rPr>
        <w:t> </w:t>
      </w:r>
      <w:r>
        <w:rPr>
          <w:color w:val="231F20"/>
          <w:w w:val="110"/>
        </w:rPr>
        <w:t>explican en parte el significativo papel que juegan muchos países</w:t>
      </w:r>
      <w:r>
        <w:rPr>
          <w:color w:val="231F20"/>
          <w:spacing w:val="-32"/>
          <w:w w:val="110"/>
        </w:rPr>
        <w:t> </w:t>
      </w:r>
      <w:r>
        <w:rPr>
          <w:color w:val="231F20"/>
          <w:w w:val="110"/>
        </w:rPr>
        <w:t>subdesarro- llados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financiamiento</w:t>
      </w:r>
      <w:r>
        <w:rPr>
          <w:color w:val="231F20"/>
          <w:spacing w:val="-5"/>
          <w:w w:val="110"/>
        </w:rPr>
        <w:t> </w:t>
      </w:r>
      <w:r>
        <w:rPr>
          <w:color w:val="231F20"/>
          <w:w w:val="110"/>
        </w:rPr>
        <w:t>del</w:t>
      </w:r>
      <w:r>
        <w:rPr>
          <w:color w:val="231F20"/>
          <w:spacing w:val="-5"/>
          <w:w w:val="110"/>
        </w:rPr>
        <w:t> </w:t>
      </w:r>
      <w:r>
        <w:rPr>
          <w:color w:val="231F20"/>
          <w:w w:val="110"/>
        </w:rPr>
        <w:t>déficit</w:t>
      </w:r>
      <w:r>
        <w:rPr>
          <w:color w:val="231F20"/>
          <w:spacing w:val="-5"/>
          <w:w w:val="110"/>
        </w:rPr>
        <w:t> </w:t>
      </w:r>
      <w:r>
        <w:rPr>
          <w:color w:val="231F20"/>
          <w:w w:val="110"/>
        </w:rPr>
        <w:t>de</w:t>
      </w:r>
      <w:r>
        <w:rPr>
          <w:color w:val="231F20"/>
          <w:spacing w:val="-5"/>
          <w:w w:val="110"/>
        </w:rPr>
        <w:t> </w:t>
      </w:r>
      <w:r>
        <w:rPr>
          <w:color w:val="231F20"/>
          <w:w w:val="110"/>
        </w:rPr>
        <w:t>cuenta</w:t>
      </w:r>
      <w:r>
        <w:rPr>
          <w:color w:val="231F20"/>
          <w:spacing w:val="-5"/>
          <w:w w:val="110"/>
        </w:rPr>
        <w:t> </w:t>
      </w:r>
      <w:r>
        <w:rPr>
          <w:color w:val="231F20"/>
          <w:w w:val="110"/>
        </w:rPr>
        <w:t>corriente</w:t>
      </w:r>
      <w:r>
        <w:rPr>
          <w:color w:val="231F20"/>
          <w:spacing w:val="-5"/>
          <w:w w:val="110"/>
        </w:rPr>
        <w:t> </w:t>
      </w:r>
      <w:r>
        <w:rPr>
          <w:color w:val="231F20"/>
          <w:w w:val="110"/>
        </w:rPr>
        <w:t>de</w:t>
      </w:r>
      <w:r>
        <w:rPr>
          <w:color w:val="231F20"/>
          <w:spacing w:val="-5"/>
          <w:w w:val="110"/>
        </w:rPr>
        <w:t> </w:t>
      </w:r>
      <w:r>
        <w:rPr>
          <w:color w:val="231F20"/>
          <w:w w:val="110"/>
        </w:rPr>
        <w:t>Estados Unidos. La liberalización financiera externa promovida amplificó la integración de los mercados emergentes a los mercados de divisas y de capital, facilitando la transferencia de ahorros desde el </w:t>
      </w:r>
      <w:r>
        <w:rPr>
          <w:color w:val="231F20"/>
          <w:spacing w:val="-5"/>
          <w:w w:val="110"/>
        </w:rPr>
        <w:t>Sur, </w:t>
      </w:r>
      <w:r>
        <w:rPr>
          <w:color w:val="231F20"/>
          <w:w w:val="110"/>
        </w:rPr>
        <w:t>hacia el</w:t>
      </w:r>
      <w:r>
        <w:rPr>
          <w:color w:val="231F20"/>
          <w:spacing w:val="-9"/>
          <w:w w:val="110"/>
        </w:rPr>
        <w:t> </w:t>
      </w:r>
      <w:r>
        <w:rPr>
          <w:color w:val="231F20"/>
          <w:w w:val="110"/>
        </w:rPr>
        <w:t>Norte,</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más</w:t>
      </w:r>
      <w:r>
        <w:rPr>
          <w:color w:val="231F20"/>
          <w:spacing w:val="-9"/>
          <w:w w:val="110"/>
        </w:rPr>
        <w:t> </w:t>
      </w:r>
      <w:r>
        <w:rPr>
          <w:color w:val="231F20"/>
          <w:w w:val="110"/>
        </w:rPr>
        <w:t>diversos</w:t>
      </w:r>
      <w:r>
        <w:rPr>
          <w:color w:val="231F20"/>
          <w:spacing w:val="-9"/>
          <w:w w:val="110"/>
        </w:rPr>
        <w:t> </w:t>
      </w:r>
      <w:r>
        <w:rPr>
          <w:color w:val="231F20"/>
          <w:w w:val="110"/>
        </w:rPr>
        <w:t>instrumentos:</w:t>
      </w:r>
      <w:r>
        <w:rPr>
          <w:color w:val="231F20"/>
          <w:spacing w:val="-9"/>
          <w:w w:val="110"/>
        </w:rPr>
        <w:t> </w:t>
      </w:r>
      <w:r>
        <w:rPr>
          <w:color w:val="231F20"/>
          <w:w w:val="110"/>
        </w:rPr>
        <w:t>compra</w:t>
      </w:r>
      <w:r>
        <w:rPr>
          <w:color w:val="231F20"/>
          <w:spacing w:val="-9"/>
          <w:w w:val="110"/>
        </w:rPr>
        <w:t> </w:t>
      </w:r>
      <w:r>
        <w:rPr>
          <w:color w:val="231F20"/>
          <w:w w:val="110"/>
        </w:rPr>
        <w:t>de</w:t>
      </w:r>
      <w:r>
        <w:rPr>
          <w:color w:val="231F20"/>
          <w:spacing w:val="-9"/>
          <w:w w:val="110"/>
        </w:rPr>
        <w:t> </w:t>
      </w:r>
      <w:r>
        <w:rPr>
          <w:color w:val="231F20"/>
          <w:w w:val="110"/>
        </w:rPr>
        <w:t>bonos del </w:t>
      </w:r>
      <w:r>
        <w:rPr>
          <w:color w:val="231F20"/>
          <w:spacing w:val="-4"/>
          <w:w w:val="110"/>
        </w:rPr>
        <w:t>Tesoro </w:t>
      </w:r>
      <w:r>
        <w:rPr>
          <w:color w:val="231F20"/>
          <w:w w:val="110"/>
        </w:rPr>
        <w:t>estadunidense por bancos centrales de países subdesarro- llados, inversiones de agentes privados en los mercados de capital estadunidenses, entre</w:t>
      </w:r>
      <w:r>
        <w:rPr>
          <w:color w:val="231F20"/>
          <w:spacing w:val="38"/>
          <w:w w:val="110"/>
        </w:rPr>
        <w:t> </w:t>
      </w:r>
      <w:r>
        <w:rPr>
          <w:color w:val="231F20"/>
          <w:w w:val="110"/>
        </w:rPr>
        <w:t>otros.</w:t>
      </w:r>
    </w:p>
    <w:p>
      <w:pPr>
        <w:pStyle w:val="BodyText"/>
        <w:spacing w:line="261" w:lineRule="auto"/>
        <w:ind w:left="100" w:right="114" w:firstLine="240"/>
        <w:jc w:val="both"/>
      </w:pPr>
      <w:r>
        <w:rPr>
          <w:color w:val="231F20"/>
          <w:w w:val="110"/>
        </w:rPr>
        <w:t>Asimismo, en el caso de muchos países de Asia Oriental, el fmi impulsó,</w:t>
      </w:r>
      <w:r>
        <w:rPr>
          <w:color w:val="231F20"/>
          <w:spacing w:val="-12"/>
          <w:w w:val="110"/>
        </w:rPr>
        <w:t> </w:t>
      </w:r>
      <w:r>
        <w:rPr>
          <w:color w:val="231F20"/>
          <w:w w:val="110"/>
        </w:rPr>
        <w:t>como</w:t>
      </w:r>
      <w:r>
        <w:rPr>
          <w:color w:val="231F20"/>
          <w:spacing w:val="-12"/>
          <w:w w:val="110"/>
        </w:rPr>
        <w:t> </w:t>
      </w:r>
      <w:r>
        <w:rPr>
          <w:color w:val="231F20"/>
          <w:w w:val="110"/>
        </w:rPr>
        <w:t>respuesta</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financiera</w:t>
      </w:r>
      <w:r>
        <w:rPr>
          <w:color w:val="231F20"/>
          <w:spacing w:val="-12"/>
          <w:w w:val="110"/>
        </w:rPr>
        <w:t> </w:t>
      </w:r>
      <w:r>
        <w:rPr>
          <w:color w:val="231F20"/>
          <w:w w:val="110"/>
        </w:rPr>
        <w:t>de</w:t>
      </w:r>
      <w:r>
        <w:rPr>
          <w:color w:val="231F20"/>
          <w:spacing w:val="-12"/>
          <w:w w:val="110"/>
        </w:rPr>
        <w:t> </w:t>
      </w:r>
      <w:r>
        <w:rPr>
          <w:color w:val="231F20"/>
          <w:w w:val="110"/>
        </w:rPr>
        <w:t>fines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noventa, una estrategia de desarrollo guiado por las exportaciones. El logro de ese objetivo y los consecuentes superávit de cuenta corriente, ocasionaron</w:t>
      </w:r>
      <w:r>
        <w:rPr>
          <w:color w:val="231F20"/>
          <w:spacing w:val="-7"/>
          <w:w w:val="110"/>
        </w:rPr>
        <w:t> </w:t>
      </w:r>
      <w:r>
        <w:rPr>
          <w:color w:val="231F20"/>
          <w:w w:val="110"/>
        </w:rPr>
        <w:t>que</w:t>
      </w:r>
      <w:r>
        <w:rPr>
          <w:color w:val="231F20"/>
          <w:spacing w:val="-7"/>
          <w:w w:val="110"/>
        </w:rPr>
        <w:t> </w:t>
      </w:r>
      <w:r>
        <w:rPr>
          <w:color w:val="231F20"/>
          <w:w w:val="110"/>
        </w:rPr>
        <w:t>estos</w:t>
      </w:r>
      <w:r>
        <w:rPr>
          <w:color w:val="231F20"/>
          <w:spacing w:val="-7"/>
          <w:w w:val="110"/>
        </w:rPr>
        <w:t> </w:t>
      </w:r>
      <w:r>
        <w:rPr>
          <w:color w:val="231F20"/>
          <w:w w:val="110"/>
        </w:rPr>
        <w:t>países</w:t>
      </w:r>
      <w:r>
        <w:rPr>
          <w:color w:val="231F20"/>
          <w:spacing w:val="-7"/>
          <w:w w:val="110"/>
        </w:rPr>
        <w:t> </w:t>
      </w:r>
      <w:r>
        <w:rPr>
          <w:color w:val="231F20"/>
          <w:w w:val="110"/>
        </w:rPr>
        <w:t>acumularan</w:t>
      </w:r>
      <w:r>
        <w:rPr>
          <w:color w:val="231F20"/>
          <w:spacing w:val="-7"/>
          <w:w w:val="110"/>
        </w:rPr>
        <w:t> </w:t>
      </w:r>
      <w:r>
        <w:rPr>
          <w:color w:val="231F20"/>
          <w:w w:val="110"/>
        </w:rPr>
        <w:t>altos</w:t>
      </w:r>
      <w:r>
        <w:rPr>
          <w:color w:val="231F20"/>
          <w:spacing w:val="-7"/>
          <w:w w:val="110"/>
        </w:rPr>
        <w:t> </w:t>
      </w:r>
      <w:r>
        <w:rPr>
          <w:color w:val="231F20"/>
          <w:w w:val="110"/>
        </w:rPr>
        <w:t>niveles</w:t>
      </w:r>
      <w:r>
        <w:rPr>
          <w:color w:val="231F20"/>
          <w:spacing w:val="-7"/>
          <w:w w:val="110"/>
        </w:rPr>
        <w:t> </w:t>
      </w:r>
      <w:r>
        <w:rPr>
          <w:color w:val="231F20"/>
          <w:w w:val="110"/>
        </w:rPr>
        <w:t>de</w:t>
      </w:r>
      <w:r>
        <w:rPr>
          <w:color w:val="231F20"/>
          <w:spacing w:val="-7"/>
          <w:w w:val="110"/>
        </w:rPr>
        <w:t> </w:t>
      </w:r>
      <w:r>
        <w:rPr>
          <w:color w:val="231F20"/>
          <w:w w:val="110"/>
        </w:rPr>
        <w:t>reservas</w:t>
      </w:r>
      <w:r>
        <w:rPr>
          <w:color w:val="231F20"/>
          <w:spacing w:val="-7"/>
          <w:w w:val="110"/>
        </w:rPr>
        <w:t> </w:t>
      </w:r>
      <w:r>
        <w:rPr>
          <w:color w:val="231F20"/>
          <w:w w:val="110"/>
        </w:rPr>
        <w:t>de divisas. Estas últimas, también se han visto incrementadas debido a que para promover las exportaciones, estos países debían</w:t>
      </w:r>
      <w:r>
        <w:rPr>
          <w:color w:val="231F20"/>
          <w:spacing w:val="43"/>
          <w:w w:val="110"/>
        </w:rPr>
        <w:t> </w:t>
      </w:r>
      <w:r>
        <w:rPr>
          <w:color w:val="231F20"/>
          <w:w w:val="110"/>
        </w:rPr>
        <w:t>garantizar</w:t>
      </w:r>
    </w:p>
    <w:p>
      <w:pPr>
        <w:pStyle w:val="BodyText"/>
      </w:pPr>
    </w:p>
    <w:p>
      <w:pPr>
        <w:pStyle w:val="BodyText"/>
      </w:pPr>
    </w:p>
    <w:p>
      <w:pPr>
        <w:spacing w:line="261" w:lineRule="auto" w:before="122"/>
        <w:ind w:left="100" w:right="117" w:firstLine="240"/>
        <w:jc w:val="both"/>
        <w:rPr>
          <w:sz w:val="16"/>
        </w:rPr>
      </w:pPr>
      <w:r>
        <w:rPr>
          <w:color w:val="231F20"/>
          <w:w w:val="105"/>
          <w:position w:val="5"/>
          <w:sz w:val="10"/>
        </w:rPr>
        <w:t>5 </w:t>
      </w:r>
      <w:r>
        <w:rPr>
          <w:color w:val="231F20"/>
          <w:w w:val="105"/>
          <w:sz w:val="16"/>
        </w:rPr>
        <w:t>Las políticas incluidas en el “Consenso de Washington” eran: 1] disciplina presu- puestaria; 2] cambios en las prioridades del gasto público; 3] reforma fiscal dirigida a buscar bases tributarias amplias y tasas impositivas marginales moderadas; 4] liberali- zación financiera, especialmente de los tipos de interés; 5] búsqueda y mantenimiento   de tipos de cambio competitivos; 6] liberalización comercial; 7] apertura a la entrada     de inversiones extranjeras directas; 8] privatizaciones; 9] desregulación; 10] garantía de los  derechos  de  propiedad  (Williamson,</w:t>
      </w:r>
      <w:r>
        <w:rPr>
          <w:color w:val="231F20"/>
          <w:spacing w:val="5"/>
          <w:w w:val="105"/>
          <w:sz w:val="16"/>
        </w:rPr>
        <w:t> </w:t>
      </w:r>
      <w:r>
        <w:rPr>
          <w:color w:val="231F20"/>
          <w:w w:val="105"/>
          <w:sz w:val="16"/>
        </w:rPr>
        <w:t>1990).</w:t>
      </w:r>
    </w:p>
    <w:p>
      <w:pPr>
        <w:spacing w:after="0" w:line="261" w:lineRule="auto"/>
        <w:jc w:val="both"/>
        <w:rPr>
          <w:sz w:val="16"/>
        </w:rPr>
        <w:sectPr>
          <w:headerReference w:type="even" r:id="rId142"/>
          <w:headerReference w:type="default" r:id="rId143"/>
          <w:pgSz w:w="7640" w:h="11900"/>
          <w:pgMar w:header="672" w:footer="0" w:top="860" w:bottom="280" w:left="780" w:right="640"/>
          <w:pgNumType w:start="192"/>
        </w:sectPr>
      </w:pPr>
    </w:p>
    <w:p>
      <w:pPr>
        <w:pStyle w:val="BodyText"/>
        <w:spacing w:before="8"/>
        <w:rPr>
          <w:sz w:val="8"/>
        </w:rPr>
      </w:pPr>
    </w:p>
    <w:p>
      <w:pPr>
        <w:pStyle w:val="BodyText"/>
        <w:spacing w:line="261" w:lineRule="auto" w:before="67"/>
        <w:ind w:left="100" w:right="25"/>
      </w:pPr>
      <w:r>
        <w:rPr>
          <w:color w:val="231F20"/>
          <w:w w:val="110"/>
        </w:rPr>
        <w:t>una de las recomendaciones del Consenso de Washington: tipos de </w:t>
      </w:r>
      <w:r>
        <w:rPr>
          <w:color w:val="231F20"/>
          <w:w w:val="105"/>
        </w:rPr>
        <w:t>cambios competitivos.</w:t>
      </w:r>
    </w:p>
    <w:p>
      <w:pPr>
        <w:pStyle w:val="BodyText"/>
        <w:spacing w:line="261" w:lineRule="auto"/>
        <w:ind w:left="100" w:right="117" w:firstLine="240"/>
        <w:jc w:val="both"/>
      </w:pPr>
      <w:r>
        <w:rPr>
          <w:color w:val="231F20"/>
          <w:w w:val="110"/>
        </w:rPr>
        <w:t>Inicialmente, estas economías fijaron la paridad de sus monedas implícita o explícitamente con el </w:t>
      </w:r>
      <w:r>
        <w:rPr>
          <w:color w:val="231F20"/>
          <w:spacing w:val="-2"/>
          <w:w w:val="110"/>
        </w:rPr>
        <w:t>dólar, </w:t>
      </w:r>
      <w:r>
        <w:rPr>
          <w:color w:val="231F20"/>
          <w:w w:val="110"/>
        </w:rPr>
        <w:t>a valores bastante bajos. Luego, han tratado de evitar la apreciación de sus tipos de cambio, mediante la intervención de las autoridades monetarias en los mer- cados cambiarios y la absorción de una porción significativa de las afluencias de capital externo, en forma de reservas de divisas inter- nacionales. China e India, han seguido una estrategia similar pero más</w:t>
      </w:r>
      <w:r>
        <w:rPr>
          <w:color w:val="231F20"/>
          <w:spacing w:val="-15"/>
          <w:w w:val="110"/>
        </w:rPr>
        <w:t> </w:t>
      </w:r>
      <w:r>
        <w:rPr>
          <w:color w:val="231F20"/>
          <w:w w:val="110"/>
        </w:rPr>
        <w:t>como</w:t>
      </w:r>
      <w:r>
        <w:rPr>
          <w:color w:val="231F20"/>
          <w:spacing w:val="-15"/>
          <w:w w:val="110"/>
        </w:rPr>
        <w:t> </w:t>
      </w:r>
      <w:r>
        <w:rPr>
          <w:color w:val="231F20"/>
          <w:w w:val="110"/>
        </w:rPr>
        <w:t>respuesta</w:t>
      </w:r>
      <w:r>
        <w:rPr>
          <w:color w:val="231F20"/>
          <w:spacing w:val="-15"/>
          <w:w w:val="110"/>
        </w:rPr>
        <w:t> </w:t>
      </w:r>
      <w:r>
        <w:rPr>
          <w:color w:val="231F20"/>
          <w:w w:val="110"/>
        </w:rPr>
        <w:t>a</w:t>
      </w:r>
      <w:r>
        <w:rPr>
          <w:color w:val="231F20"/>
          <w:spacing w:val="-15"/>
          <w:w w:val="110"/>
        </w:rPr>
        <w:t> </w:t>
      </w:r>
      <w:r>
        <w:rPr>
          <w:color w:val="231F20"/>
          <w:w w:val="110"/>
        </w:rPr>
        <w:t>sus</w:t>
      </w:r>
      <w:r>
        <w:rPr>
          <w:color w:val="231F20"/>
          <w:spacing w:val="-15"/>
          <w:w w:val="110"/>
        </w:rPr>
        <w:t> </w:t>
      </w:r>
      <w:r>
        <w:rPr>
          <w:color w:val="231F20"/>
          <w:w w:val="110"/>
        </w:rPr>
        <w:t>propias</w:t>
      </w:r>
      <w:r>
        <w:rPr>
          <w:color w:val="231F20"/>
          <w:spacing w:val="-15"/>
          <w:w w:val="110"/>
        </w:rPr>
        <w:t> </w:t>
      </w:r>
      <w:r>
        <w:rPr>
          <w:color w:val="231F20"/>
          <w:w w:val="110"/>
        </w:rPr>
        <w:t>definiciones</w:t>
      </w:r>
      <w:r>
        <w:rPr>
          <w:color w:val="231F20"/>
          <w:spacing w:val="-15"/>
          <w:w w:val="110"/>
        </w:rPr>
        <w:t> </w:t>
      </w:r>
      <w:r>
        <w:rPr>
          <w:color w:val="231F20"/>
          <w:w w:val="110"/>
        </w:rPr>
        <w:t>de</w:t>
      </w:r>
      <w:r>
        <w:rPr>
          <w:color w:val="231F20"/>
          <w:spacing w:val="-15"/>
          <w:w w:val="110"/>
        </w:rPr>
        <w:t> </w:t>
      </w:r>
      <w:r>
        <w:rPr>
          <w:color w:val="231F20"/>
          <w:w w:val="110"/>
        </w:rPr>
        <w:t>política</w:t>
      </w:r>
      <w:r>
        <w:rPr>
          <w:color w:val="231F20"/>
          <w:spacing w:val="-15"/>
          <w:w w:val="110"/>
        </w:rPr>
        <w:t> </w:t>
      </w:r>
      <w:r>
        <w:rPr>
          <w:color w:val="231F20"/>
          <w:w w:val="110"/>
        </w:rPr>
        <w:t>económica, que por presiones</w:t>
      </w:r>
      <w:r>
        <w:rPr>
          <w:color w:val="231F20"/>
          <w:spacing w:val="52"/>
          <w:w w:val="110"/>
        </w:rPr>
        <w:t> </w:t>
      </w:r>
      <w:r>
        <w:rPr>
          <w:color w:val="231F20"/>
          <w:w w:val="110"/>
        </w:rPr>
        <w:t>externas.</w:t>
      </w:r>
    </w:p>
    <w:p>
      <w:pPr>
        <w:pStyle w:val="BodyText"/>
        <w:spacing w:line="261" w:lineRule="auto"/>
        <w:ind w:left="100" w:right="117" w:firstLine="240"/>
        <w:jc w:val="both"/>
      </w:pPr>
      <w:r>
        <w:rPr>
          <w:color w:val="231F20"/>
          <w:w w:val="110"/>
        </w:rPr>
        <w:t>Es</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las</w:t>
      </w:r>
      <w:r>
        <w:rPr>
          <w:color w:val="231F20"/>
          <w:spacing w:val="-15"/>
          <w:w w:val="110"/>
        </w:rPr>
        <w:t> </w:t>
      </w:r>
      <w:r>
        <w:rPr>
          <w:color w:val="231F20"/>
          <w:w w:val="110"/>
        </w:rPr>
        <w:t>políticas</w:t>
      </w:r>
      <w:r>
        <w:rPr>
          <w:color w:val="231F20"/>
          <w:spacing w:val="-15"/>
          <w:w w:val="110"/>
        </w:rPr>
        <w:t> </w:t>
      </w:r>
      <w:r>
        <w:rPr>
          <w:color w:val="231F20"/>
          <w:w w:val="110"/>
        </w:rPr>
        <w:t>del</w:t>
      </w:r>
      <w:r>
        <w:rPr>
          <w:color w:val="231F20"/>
          <w:spacing w:val="-15"/>
          <w:w w:val="110"/>
        </w:rPr>
        <w:t> </w:t>
      </w:r>
      <w:r>
        <w:rPr>
          <w:color w:val="231F20"/>
          <w:w w:val="110"/>
        </w:rPr>
        <w:t>fmi,</w:t>
      </w:r>
      <w:r>
        <w:rPr>
          <w:color w:val="231F20"/>
          <w:spacing w:val="-15"/>
          <w:w w:val="110"/>
        </w:rPr>
        <w:t> </w:t>
      </w:r>
      <w:r>
        <w:rPr>
          <w:color w:val="231F20"/>
          <w:w w:val="110"/>
        </w:rPr>
        <w:t>en</w:t>
      </w:r>
      <w:r>
        <w:rPr>
          <w:color w:val="231F20"/>
          <w:spacing w:val="-15"/>
          <w:w w:val="110"/>
        </w:rPr>
        <w:t> </w:t>
      </w:r>
      <w:r>
        <w:rPr>
          <w:color w:val="231F20"/>
          <w:w w:val="110"/>
        </w:rPr>
        <w:t>algunos</w:t>
      </w:r>
      <w:r>
        <w:rPr>
          <w:color w:val="231F20"/>
          <w:spacing w:val="-15"/>
          <w:w w:val="110"/>
        </w:rPr>
        <w:t> </w:t>
      </w:r>
      <w:r>
        <w:rPr>
          <w:color w:val="231F20"/>
          <w:w w:val="110"/>
        </w:rPr>
        <w:t>casos,</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estrategias domésticas de desarrollo, en otros, han configurado una situación</w:t>
      </w:r>
      <w:r>
        <w:rPr>
          <w:color w:val="231F20"/>
          <w:spacing w:val="-26"/>
          <w:w w:val="110"/>
        </w:rPr>
        <w:t> </w:t>
      </w:r>
      <w:r>
        <w:rPr>
          <w:color w:val="231F20"/>
          <w:w w:val="110"/>
        </w:rPr>
        <w:t>en la</w:t>
      </w:r>
      <w:r>
        <w:rPr>
          <w:color w:val="231F20"/>
          <w:spacing w:val="-20"/>
          <w:w w:val="110"/>
        </w:rPr>
        <w:t> </w:t>
      </w:r>
      <w:r>
        <w:rPr>
          <w:color w:val="231F20"/>
          <w:w w:val="110"/>
        </w:rPr>
        <w:t>que</w:t>
      </w:r>
      <w:r>
        <w:rPr>
          <w:color w:val="231F20"/>
          <w:spacing w:val="-20"/>
          <w:w w:val="110"/>
        </w:rPr>
        <w:t> </w:t>
      </w:r>
      <w:r>
        <w:rPr>
          <w:color w:val="231F20"/>
          <w:w w:val="110"/>
        </w:rPr>
        <w:t>la</w:t>
      </w:r>
      <w:r>
        <w:rPr>
          <w:color w:val="231F20"/>
          <w:spacing w:val="-20"/>
          <w:w w:val="110"/>
        </w:rPr>
        <w:t> </w:t>
      </w:r>
      <w:r>
        <w:rPr>
          <w:color w:val="231F20"/>
          <w:w w:val="110"/>
        </w:rPr>
        <w:t>acumulación</w:t>
      </w:r>
      <w:r>
        <w:rPr>
          <w:color w:val="231F20"/>
          <w:spacing w:val="-20"/>
          <w:w w:val="110"/>
        </w:rPr>
        <w:t> </w:t>
      </w:r>
      <w:r>
        <w:rPr>
          <w:color w:val="231F20"/>
          <w:w w:val="110"/>
        </w:rPr>
        <w:t>de</w:t>
      </w:r>
      <w:r>
        <w:rPr>
          <w:color w:val="231F20"/>
          <w:spacing w:val="-20"/>
          <w:w w:val="110"/>
        </w:rPr>
        <w:t> </w:t>
      </w:r>
      <w:r>
        <w:rPr>
          <w:color w:val="231F20"/>
          <w:w w:val="110"/>
        </w:rPr>
        <w:t>reservas,</w:t>
      </w:r>
      <w:r>
        <w:rPr>
          <w:color w:val="231F20"/>
          <w:spacing w:val="-20"/>
          <w:w w:val="110"/>
        </w:rPr>
        <w:t> </w:t>
      </w:r>
      <w:r>
        <w:rPr>
          <w:color w:val="231F20"/>
          <w:w w:val="110"/>
        </w:rPr>
        <w:t>principalmente</w:t>
      </w:r>
      <w:r>
        <w:rPr>
          <w:color w:val="231F20"/>
          <w:spacing w:val="-20"/>
          <w:w w:val="110"/>
        </w:rPr>
        <w:t> </w:t>
      </w:r>
      <w:r>
        <w:rPr>
          <w:color w:val="231F20"/>
          <w:w w:val="110"/>
        </w:rPr>
        <w:t>mediante</w:t>
      </w:r>
      <w:r>
        <w:rPr>
          <w:color w:val="231F20"/>
          <w:spacing w:val="-20"/>
          <w:w w:val="110"/>
        </w:rPr>
        <w:t> </w:t>
      </w:r>
      <w:r>
        <w:rPr>
          <w:color w:val="231F20"/>
          <w:w w:val="110"/>
        </w:rPr>
        <w:t>la</w:t>
      </w:r>
      <w:r>
        <w:rPr>
          <w:color w:val="231F20"/>
          <w:spacing w:val="-20"/>
          <w:w w:val="110"/>
        </w:rPr>
        <w:t> </w:t>
      </w:r>
      <w:r>
        <w:rPr>
          <w:color w:val="231F20"/>
          <w:spacing w:val="-2"/>
          <w:w w:val="110"/>
        </w:rPr>
        <w:t>compra </w:t>
      </w:r>
      <w:r>
        <w:rPr>
          <w:color w:val="231F20"/>
          <w:w w:val="110"/>
        </w:rPr>
        <w:t>de activos financieros estadunidenses,</w:t>
      </w:r>
      <w:r>
        <w:rPr>
          <w:color w:val="231F20"/>
          <w:w w:val="110"/>
          <w:position w:val="6"/>
          <w:sz w:val="13"/>
        </w:rPr>
        <w:t>6 </w:t>
      </w:r>
      <w:r>
        <w:rPr>
          <w:color w:val="231F20"/>
          <w:w w:val="110"/>
        </w:rPr>
        <w:t>resulta clave para los</w:t>
      </w:r>
      <w:r>
        <w:rPr>
          <w:color w:val="231F20"/>
          <w:spacing w:val="-21"/>
          <w:w w:val="110"/>
        </w:rPr>
        <w:t> </w:t>
      </w:r>
      <w:r>
        <w:rPr>
          <w:color w:val="231F20"/>
          <w:w w:val="110"/>
        </w:rPr>
        <w:t>propios intereses de los países asiáticos: evitar la apreciación cambiaria</w:t>
      </w:r>
      <w:r>
        <w:rPr>
          <w:color w:val="231F20"/>
          <w:spacing w:val="-5"/>
          <w:w w:val="110"/>
        </w:rPr>
        <w:t> </w:t>
      </w:r>
      <w:r>
        <w:rPr>
          <w:color w:val="231F20"/>
          <w:w w:val="110"/>
        </w:rPr>
        <w:t>para impulsar las exportaciones y el crecimiento del producto. Pero, al mismo</w:t>
      </w:r>
      <w:r>
        <w:rPr>
          <w:color w:val="231F20"/>
          <w:spacing w:val="-9"/>
          <w:w w:val="110"/>
        </w:rPr>
        <w:t> </w:t>
      </w:r>
      <w:r>
        <w:rPr>
          <w:color w:val="231F20"/>
          <w:w w:val="110"/>
        </w:rPr>
        <w:t>tiempo,</w:t>
      </w:r>
      <w:r>
        <w:rPr>
          <w:color w:val="231F20"/>
          <w:spacing w:val="-9"/>
          <w:w w:val="110"/>
        </w:rPr>
        <w:t> </w:t>
      </w:r>
      <w:r>
        <w:rPr>
          <w:color w:val="231F20"/>
          <w:w w:val="110"/>
        </w:rPr>
        <w:t>esto</w:t>
      </w:r>
      <w:r>
        <w:rPr>
          <w:color w:val="231F20"/>
          <w:spacing w:val="-9"/>
          <w:w w:val="110"/>
        </w:rPr>
        <w:t> </w:t>
      </w:r>
      <w:r>
        <w:rPr>
          <w:color w:val="231F20"/>
          <w:w w:val="110"/>
        </w:rPr>
        <w:t>beneficia</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intereses</w:t>
      </w:r>
      <w:r>
        <w:rPr>
          <w:color w:val="231F20"/>
          <w:spacing w:val="-9"/>
          <w:w w:val="110"/>
        </w:rPr>
        <w:t> </w:t>
      </w:r>
      <w:r>
        <w:rPr>
          <w:color w:val="231F20"/>
          <w:w w:val="110"/>
        </w:rPr>
        <w:t>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pues se han convertido en sus principales acreedores, al proveerle finan- ciamiento barato, contribuyendo al sostén del desequilibrio mundial expuesto</w:t>
      </w:r>
      <w:r>
        <w:rPr>
          <w:color w:val="231F20"/>
          <w:spacing w:val="8"/>
          <w:w w:val="110"/>
        </w:rPr>
        <w:t> </w:t>
      </w:r>
      <w:r>
        <w:rPr>
          <w:color w:val="231F20"/>
          <w:w w:val="110"/>
        </w:rPr>
        <w:t>antes.</w:t>
      </w:r>
    </w:p>
    <w:p>
      <w:pPr>
        <w:pStyle w:val="BodyText"/>
        <w:spacing w:line="261" w:lineRule="auto"/>
        <w:ind w:left="100" w:right="117" w:firstLine="240"/>
        <w:jc w:val="both"/>
      </w:pPr>
      <w:r>
        <w:rPr>
          <w:color w:val="231F20"/>
          <w:w w:val="110"/>
        </w:rPr>
        <w:t>Por otra parte, la acumulación de un elevado volumen de</w:t>
      </w:r>
      <w:r>
        <w:rPr>
          <w:color w:val="231F20"/>
          <w:spacing w:val="-30"/>
          <w:w w:val="110"/>
        </w:rPr>
        <w:t> </w:t>
      </w:r>
      <w:r>
        <w:rPr>
          <w:color w:val="231F20"/>
          <w:w w:val="110"/>
        </w:rPr>
        <w:t>reservas se podría interpretar también como una respuesta defensiva a las intervenciones excesivas y la condicionalidad del fmi. Se considera que esta estrategia les permitiría a los países contrarrestar la</w:t>
      </w:r>
      <w:r>
        <w:rPr>
          <w:color w:val="231F20"/>
          <w:spacing w:val="-25"/>
          <w:w w:val="110"/>
        </w:rPr>
        <w:t> </w:t>
      </w:r>
      <w:r>
        <w:rPr>
          <w:color w:val="231F20"/>
          <w:w w:val="110"/>
        </w:rPr>
        <w:t>volatili- dad y la posibilidad de reversiones de los flujos de capital, sin tener que recurrir nuevamente a la asistencia del fmi (Buira </w:t>
      </w:r>
      <w:r>
        <w:rPr>
          <w:i/>
          <w:color w:val="231F20"/>
          <w:w w:val="110"/>
        </w:rPr>
        <w:t>et al.</w:t>
      </w:r>
      <w:r>
        <w:rPr>
          <w:color w:val="231F20"/>
          <w:w w:val="110"/>
        </w:rPr>
        <w:t>, 2007). Este proceso ha facilitado la canalización del ahorro externo hacia Estados Unidos, no sólo desde esta región, sino también desde otras regiones del</w:t>
      </w:r>
      <w:r>
        <w:rPr>
          <w:color w:val="231F20"/>
          <w:spacing w:val="43"/>
          <w:w w:val="110"/>
        </w:rPr>
        <w:t> </w:t>
      </w:r>
      <w:r>
        <w:rPr>
          <w:color w:val="231F20"/>
          <w:w w:val="110"/>
        </w:rPr>
        <w:t>mundo.</w:t>
      </w:r>
    </w:p>
    <w:p>
      <w:pPr>
        <w:pStyle w:val="BodyText"/>
        <w:spacing w:line="261" w:lineRule="auto"/>
        <w:ind w:left="100" w:right="117" w:firstLine="240"/>
        <w:jc w:val="both"/>
      </w:pPr>
      <w:r>
        <w:rPr>
          <w:color w:val="231F20"/>
          <w:w w:val="110"/>
        </w:rPr>
        <w:t>Otro de los niveles a través de los que ha operado la hegemonía monetaria y financiera de Estados Unidos es el de sus enormes</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6</w:t>
      </w:r>
      <w:r>
        <w:rPr>
          <w:color w:val="231F20"/>
          <w:spacing w:val="-6"/>
          <w:w w:val="110"/>
          <w:position w:val="5"/>
          <w:sz w:val="10"/>
        </w:rPr>
        <w:t> </w:t>
      </w:r>
      <w:r>
        <w:rPr>
          <w:color w:val="231F20"/>
          <w:w w:val="110"/>
          <w:sz w:val="16"/>
        </w:rPr>
        <w:t>En el informe </w:t>
      </w:r>
      <w:r>
        <w:rPr>
          <w:i/>
          <w:color w:val="231F20"/>
          <w:w w:val="110"/>
          <w:sz w:val="16"/>
        </w:rPr>
        <w:t>Global Development Finance 2005 </w:t>
      </w:r>
      <w:r>
        <w:rPr>
          <w:color w:val="231F20"/>
          <w:w w:val="110"/>
          <w:sz w:val="16"/>
        </w:rPr>
        <w:t>del Banco Mundial, se destaca que, aunque es muy difícil encontrar información detallada acerca de la composición monetaria de las reservas de cada país, es posible observar una fuerte correlación entre</w:t>
      </w:r>
      <w:r>
        <w:rPr>
          <w:color w:val="231F20"/>
          <w:spacing w:val="-4"/>
          <w:w w:val="110"/>
          <w:sz w:val="16"/>
        </w:rPr>
        <w:t> </w:t>
      </w:r>
      <w:r>
        <w:rPr>
          <w:color w:val="231F20"/>
          <w:w w:val="110"/>
          <w:sz w:val="16"/>
        </w:rPr>
        <w:t>las</w:t>
      </w:r>
      <w:r>
        <w:rPr>
          <w:color w:val="231F20"/>
          <w:spacing w:val="-4"/>
          <w:w w:val="110"/>
          <w:sz w:val="16"/>
        </w:rPr>
        <w:t> </w:t>
      </w:r>
      <w:r>
        <w:rPr>
          <w:color w:val="231F20"/>
          <w:w w:val="110"/>
          <w:sz w:val="16"/>
        </w:rPr>
        <w:t>reservas</w:t>
      </w:r>
      <w:r>
        <w:rPr>
          <w:color w:val="231F20"/>
          <w:spacing w:val="-4"/>
          <w:w w:val="110"/>
          <w:sz w:val="16"/>
        </w:rPr>
        <w:t> </w:t>
      </w:r>
      <w:r>
        <w:rPr>
          <w:color w:val="231F20"/>
          <w:w w:val="110"/>
          <w:sz w:val="16"/>
        </w:rPr>
        <w:t>totales</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países</w:t>
      </w:r>
      <w:r>
        <w:rPr>
          <w:color w:val="231F20"/>
          <w:spacing w:val="-4"/>
          <w:w w:val="110"/>
          <w:sz w:val="16"/>
        </w:rPr>
        <w:t> </w:t>
      </w:r>
      <w:r>
        <w:rPr>
          <w:color w:val="231F20"/>
          <w:w w:val="110"/>
          <w:sz w:val="16"/>
        </w:rPr>
        <w:t>“emergentes”</w:t>
      </w:r>
      <w:r>
        <w:rPr>
          <w:color w:val="231F20"/>
          <w:spacing w:val="-4"/>
          <w:w w:val="110"/>
          <w:sz w:val="16"/>
        </w:rPr>
        <w:t> </w:t>
      </w:r>
      <w:r>
        <w:rPr>
          <w:color w:val="231F20"/>
          <w:w w:val="110"/>
          <w:sz w:val="16"/>
        </w:rPr>
        <w:t>y</w:t>
      </w:r>
      <w:r>
        <w:rPr>
          <w:color w:val="231F20"/>
          <w:spacing w:val="-4"/>
          <w:w w:val="110"/>
          <w:sz w:val="16"/>
        </w:rPr>
        <w:t> </w:t>
      </w:r>
      <w:r>
        <w:rPr>
          <w:color w:val="231F20"/>
          <w:w w:val="110"/>
          <w:sz w:val="16"/>
        </w:rPr>
        <w:t>los</w:t>
      </w:r>
      <w:r>
        <w:rPr>
          <w:color w:val="231F20"/>
          <w:spacing w:val="-4"/>
          <w:w w:val="110"/>
          <w:sz w:val="16"/>
        </w:rPr>
        <w:t> </w:t>
      </w:r>
      <w:r>
        <w:rPr>
          <w:color w:val="231F20"/>
          <w:w w:val="110"/>
          <w:sz w:val="16"/>
        </w:rPr>
        <w:t>activos</w:t>
      </w:r>
      <w:r>
        <w:rPr>
          <w:color w:val="231F20"/>
          <w:spacing w:val="-4"/>
          <w:w w:val="110"/>
          <w:sz w:val="16"/>
        </w:rPr>
        <w:t> </w:t>
      </w:r>
      <w:r>
        <w:rPr>
          <w:color w:val="231F20"/>
          <w:w w:val="110"/>
          <w:sz w:val="16"/>
        </w:rPr>
        <w:t>oficiales</w:t>
      </w:r>
      <w:r>
        <w:rPr>
          <w:color w:val="231F20"/>
          <w:spacing w:val="-4"/>
          <w:w w:val="110"/>
          <w:sz w:val="16"/>
        </w:rPr>
        <w:t> </w:t>
      </w:r>
      <w:r>
        <w:rPr>
          <w:color w:val="231F20"/>
          <w:w w:val="110"/>
          <w:sz w:val="16"/>
        </w:rPr>
        <w:t>extranjeros en Estados Unidos. Esto sugiere que una porción sustancial de las reservas de dichos países se encuentran invertidas en activos denominados en </w:t>
      </w:r>
      <w:r>
        <w:rPr>
          <w:color w:val="231F20"/>
          <w:spacing w:val="1"/>
          <w:w w:val="110"/>
          <w:sz w:val="16"/>
        </w:rPr>
        <w:t> </w:t>
      </w:r>
      <w:r>
        <w:rPr>
          <w:color w:val="231F20"/>
          <w:w w:val="110"/>
          <w:sz w:val="16"/>
        </w:rPr>
        <w:t>dólares.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jc w:val="both"/>
      </w:pPr>
      <w:r>
        <w:rPr>
          <w:color w:val="231F20"/>
          <w:w w:val="110"/>
        </w:rPr>
        <w:t>capacidades políticas y militares. Según Kirshner (2003), el Siste- ma Monetario Internacional siempre  ha  descansado y dependido</w:t>
      </w:r>
      <w:r>
        <w:rPr>
          <w:color w:val="231F20"/>
          <w:w w:val="114"/>
        </w:rPr>
        <w:t> </w:t>
      </w:r>
      <w:r>
        <w:rPr>
          <w:color w:val="231F20"/>
          <w:w w:val="110"/>
        </w:rPr>
        <w:t>de fundamentos políticos y los Estados configuran el sistema para conseguir objetivos diversos como: asegurar su autonomía relativa, atender preocupaciones de seguridad nacional, perseguir determi- nados objetivos políticos, avanzar los intereses del sector financiero doméstico, entre otros. En el caso de Estados Unidos se da una relación en dos sentidos: determinadas características políticas han contribuido a favorecer el papel internacional del dólar como centro del sistema y, al mismo tiempo, el dólar ha elevado su influencia y sus capacidades políticas.</w:t>
      </w:r>
    </w:p>
    <w:p>
      <w:pPr>
        <w:pStyle w:val="BodyText"/>
        <w:spacing w:line="261" w:lineRule="auto"/>
        <w:ind w:left="100" w:right="117" w:firstLine="240"/>
        <w:jc w:val="both"/>
      </w:pPr>
      <w:r>
        <w:rPr>
          <w:color w:val="231F20"/>
          <w:w w:val="110"/>
        </w:rPr>
        <w:t>En el primer caso, se puede señalar que el poderío militar esta- dunidense y su fuerza en asuntos de seguridad internacional, se han combinado como fuentes de confianza en el </w:t>
      </w:r>
      <w:r>
        <w:rPr>
          <w:color w:val="231F20"/>
          <w:spacing w:val="-3"/>
          <w:w w:val="110"/>
        </w:rPr>
        <w:t>dólar, </w:t>
      </w:r>
      <w:r>
        <w:rPr>
          <w:color w:val="231F20"/>
          <w:w w:val="110"/>
        </w:rPr>
        <w:t>particularmente en momentos de inestabilidad política internacional, cuando esta moneda ha servido como refugio para los inversores internacionales (Helleiner,</w:t>
      </w:r>
      <w:r>
        <w:rPr>
          <w:color w:val="231F20"/>
          <w:spacing w:val="-14"/>
          <w:w w:val="110"/>
        </w:rPr>
        <w:t> </w:t>
      </w:r>
      <w:r>
        <w:rPr>
          <w:color w:val="231F20"/>
          <w:w w:val="110"/>
        </w:rPr>
        <w:t>2008).</w:t>
      </w:r>
      <w:r>
        <w:rPr>
          <w:color w:val="231F20"/>
          <w:spacing w:val="-14"/>
          <w:w w:val="110"/>
        </w:rPr>
        <w:t> </w:t>
      </w:r>
      <w:r>
        <w:rPr>
          <w:color w:val="231F20"/>
          <w:w w:val="110"/>
        </w:rPr>
        <w:t>Asimismo,</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ha</w:t>
      </w:r>
      <w:r>
        <w:rPr>
          <w:color w:val="231F20"/>
          <w:spacing w:val="-14"/>
          <w:w w:val="110"/>
        </w:rPr>
        <w:t> </w:t>
      </w:r>
      <w:r>
        <w:rPr>
          <w:color w:val="231F20"/>
          <w:w w:val="110"/>
        </w:rPr>
        <w:t>utilizado</w:t>
      </w:r>
      <w:r>
        <w:rPr>
          <w:color w:val="231F20"/>
          <w:spacing w:val="-14"/>
          <w:w w:val="110"/>
        </w:rPr>
        <w:t> </w:t>
      </w:r>
      <w:r>
        <w:rPr>
          <w:color w:val="231F20"/>
          <w:w w:val="110"/>
        </w:rPr>
        <w:t>su</w:t>
      </w:r>
      <w:r>
        <w:rPr>
          <w:color w:val="231F20"/>
          <w:spacing w:val="-14"/>
          <w:w w:val="110"/>
        </w:rPr>
        <w:t> </w:t>
      </w:r>
      <w:r>
        <w:rPr>
          <w:color w:val="231F20"/>
          <w:w w:val="110"/>
        </w:rPr>
        <w:t>influen- cia política para extender el uso mundial de la moneda, abriendo mercados a sus empresas, favoreciendo sistemas más eficientes de pago, promoviendo paquetes de ayuda internacional y asistencia técnica, así como a través del gasto militar (Helleiner,</w:t>
      </w:r>
      <w:r>
        <w:rPr>
          <w:color w:val="231F20"/>
          <w:spacing w:val="12"/>
          <w:w w:val="110"/>
        </w:rPr>
        <w:t> </w:t>
      </w:r>
      <w:r>
        <w:rPr>
          <w:color w:val="231F20"/>
          <w:w w:val="110"/>
        </w:rPr>
        <w:t>2008).</w:t>
      </w:r>
    </w:p>
    <w:p>
      <w:pPr>
        <w:pStyle w:val="BodyText"/>
        <w:spacing w:line="261" w:lineRule="auto"/>
        <w:ind w:left="100" w:right="117" w:firstLine="240"/>
        <w:jc w:val="both"/>
      </w:pPr>
      <w:r>
        <w:rPr>
          <w:color w:val="231F20"/>
          <w:w w:val="110"/>
        </w:rPr>
        <w:t>En el segundo caso, siguiendo la idea de Kirshner (2008), la fun- ción del dólar como moneda centro del sistema le ha reportado a Estados Unidos importantes beneficios estructurales,</w:t>
      </w:r>
      <w:r>
        <w:rPr>
          <w:color w:val="231F20"/>
          <w:spacing w:val="-15"/>
          <w:w w:val="110"/>
        </w:rPr>
        <w:t> </w:t>
      </w:r>
      <w:r>
        <w:rPr>
          <w:color w:val="231F20"/>
          <w:w w:val="110"/>
        </w:rPr>
        <w:t>incrementando su “poder duro” y su “poder blando”. Según este </w:t>
      </w:r>
      <w:r>
        <w:rPr>
          <w:color w:val="231F20"/>
          <w:spacing w:val="-3"/>
          <w:w w:val="110"/>
        </w:rPr>
        <w:t>autor, </w:t>
      </w:r>
      <w:r>
        <w:rPr>
          <w:color w:val="231F20"/>
          <w:w w:val="110"/>
        </w:rPr>
        <w:t>el “poder duro”,</w:t>
      </w:r>
      <w:r>
        <w:rPr>
          <w:color w:val="231F20"/>
          <w:spacing w:val="-9"/>
          <w:w w:val="110"/>
        </w:rPr>
        <w:t> </w:t>
      </w:r>
      <w:r>
        <w:rPr>
          <w:color w:val="231F20"/>
          <w:w w:val="110"/>
        </w:rPr>
        <w:t>se</w:t>
      </w:r>
      <w:r>
        <w:rPr>
          <w:color w:val="231F20"/>
          <w:spacing w:val="-9"/>
          <w:w w:val="110"/>
        </w:rPr>
        <w:t> </w:t>
      </w:r>
      <w:r>
        <w:rPr>
          <w:color w:val="231F20"/>
          <w:w w:val="110"/>
        </w:rPr>
        <w:t>manifiesta</w:t>
      </w:r>
      <w:r>
        <w:rPr>
          <w:color w:val="231F20"/>
          <w:spacing w:val="-9"/>
          <w:w w:val="110"/>
        </w:rPr>
        <w:t> </w:t>
      </w: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caso</w:t>
      </w:r>
      <w:r>
        <w:rPr>
          <w:color w:val="231F20"/>
          <w:spacing w:val="-9"/>
          <w:w w:val="110"/>
        </w:rPr>
        <w:t> </w:t>
      </w:r>
      <w:r>
        <w:rPr>
          <w:color w:val="231F20"/>
          <w:w w:val="110"/>
        </w:rPr>
        <w:t>con</w:t>
      </w:r>
      <w:r>
        <w:rPr>
          <w:color w:val="231F20"/>
          <w:spacing w:val="-9"/>
          <w:w w:val="110"/>
        </w:rPr>
        <w:t> </w:t>
      </w:r>
      <w:r>
        <w:rPr>
          <w:color w:val="231F20"/>
          <w:w w:val="110"/>
        </w:rPr>
        <w:t>una</w:t>
      </w:r>
      <w:r>
        <w:rPr>
          <w:color w:val="231F20"/>
          <w:spacing w:val="-9"/>
          <w:w w:val="110"/>
        </w:rPr>
        <w:t> </w:t>
      </w:r>
      <w:r>
        <w:rPr>
          <w:color w:val="231F20"/>
          <w:w w:val="110"/>
        </w:rPr>
        <w:t>mayor</w:t>
      </w:r>
      <w:r>
        <w:rPr>
          <w:color w:val="231F20"/>
          <w:spacing w:val="-9"/>
          <w:w w:val="110"/>
        </w:rPr>
        <w:t> </w:t>
      </w:r>
      <w:r>
        <w:rPr>
          <w:color w:val="231F20"/>
          <w:w w:val="110"/>
        </w:rPr>
        <w:t>capacidad</w:t>
      </w:r>
      <w:r>
        <w:rPr>
          <w:color w:val="231F20"/>
          <w:spacing w:val="-9"/>
          <w:w w:val="110"/>
        </w:rPr>
        <w:t> </w:t>
      </w:r>
      <w:r>
        <w:rPr>
          <w:color w:val="231F20"/>
          <w:w w:val="110"/>
        </w:rPr>
        <w:t>coercitiva al tener autonomía para generar déficit y seguir políticas que de</w:t>
      </w:r>
      <w:r>
        <w:rPr>
          <w:color w:val="231F20"/>
          <w:spacing w:val="-6"/>
          <w:w w:val="110"/>
        </w:rPr>
        <w:t> </w:t>
      </w:r>
      <w:r>
        <w:rPr>
          <w:color w:val="231F20"/>
          <w:w w:val="110"/>
        </w:rPr>
        <w:t>otro modo, generarían una reacción negativa del mercado, mientras que el</w:t>
      </w:r>
      <w:r>
        <w:rPr>
          <w:color w:val="231F20"/>
          <w:spacing w:val="-10"/>
          <w:w w:val="110"/>
        </w:rPr>
        <w:t> </w:t>
      </w:r>
      <w:r>
        <w:rPr>
          <w:color w:val="231F20"/>
          <w:w w:val="110"/>
        </w:rPr>
        <w:t>“poder</w:t>
      </w:r>
      <w:r>
        <w:rPr>
          <w:color w:val="231F20"/>
          <w:spacing w:val="-10"/>
          <w:w w:val="110"/>
        </w:rPr>
        <w:t> </w:t>
      </w:r>
      <w:r>
        <w:rPr>
          <w:color w:val="231F20"/>
          <w:w w:val="110"/>
        </w:rPr>
        <w:t>blando”</w:t>
      </w:r>
      <w:r>
        <w:rPr>
          <w:color w:val="231F20"/>
          <w:spacing w:val="-10"/>
          <w:w w:val="110"/>
        </w:rPr>
        <w:t> </w:t>
      </w:r>
      <w:r>
        <w:rPr>
          <w:color w:val="231F20"/>
          <w:w w:val="110"/>
        </w:rPr>
        <w:t>se</w:t>
      </w:r>
      <w:r>
        <w:rPr>
          <w:color w:val="231F20"/>
          <w:spacing w:val="-10"/>
          <w:w w:val="110"/>
        </w:rPr>
        <w:t> </w:t>
      </w:r>
      <w:r>
        <w:rPr>
          <w:color w:val="231F20"/>
          <w:w w:val="110"/>
        </w:rPr>
        <w:t>manifiesta</w:t>
      </w:r>
      <w:r>
        <w:rPr>
          <w:color w:val="231F20"/>
          <w:spacing w:val="-10"/>
          <w:w w:val="110"/>
        </w:rPr>
        <w:t> </w:t>
      </w:r>
      <w:r>
        <w:rPr>
          <w:color w:val="231F20"/>
          <w:w w:val="110"/>
        </w:rPr>
        <w:t>con</w:t>
      </w:r>
      <w:r>
        <w:rPr>
          <w:color w:val="231F20"/>
          <w:spacing w:val="-10"/>
          <w:w w:val="110"/>
        </w:rPr>
        <w:t> </w:t>
      </w:r>
      <w:r>
        <w:rPr>
          <w:color w:val="231F20"/>
          <w:w w:val="110"/>
        </w:rPr>
        <w:t>una</w:t>
      </w:r>
      <w:r>
        <w:rPr>
          <w:color w:val="231F20"/>
          <w:spacing w:val="-10"/>
          <w:w w:val="110"/>
        </w:rPr>
        <w:t> </w:t>
      </w:r>
      <w:r>
        <w:rPr>
          <w:color w:val="231F20"/>
          <w:w w:val="110"/>
        </w:rPr>
        <w:t>mayor</w:t>
      </w:r>
      <w:r>
        <w:rPr>
          <w:color w:val="231F20"/>
          <w:spacing w:val="-10"/>
          <w:w w:val="110"/>
        </w:rPr>
        <w:t> </w:t>
      </w:r>
      <w:r>
        <w:rPr>
          <w:color w:val="231F20"/>
          <w:w w:val="110"/>
        </w:rPr>
        <w:t>capacidad</w:t>
      </w:r>
      <w:r>
        <w:rPr>
          <w:color w:val="231F20"/>
          <w:spacing w:val="-10"/>
          <w:w w:val="110"/>
        </w:rPr>
        <w:t> </w:t>
      </w:r>
      <w:r>
        <w:rPr>
          <w:color w:val="231F20"/>
          <w:w w:val="110"/>
        </w:rPr>
        <w:t>para</w:t>
      </w:r>
      <w:r>
        <w:rPr>
          <w:color w:val="231F20"/>
          <w:spacing w:val="-10"/>
          <w:w w:val="110"/>
        </w:rPr>
        <w:t> </w:t>
      </w:r>
      <w:r>
        <w:rPr>
          <w:color w:val="231F20"/>
          <w:w w:val="110"/>
        </w:rPr>
        <w:t>lograr que otros estados defiendan sus intereses como propios, apoyando  el mantenimiento de la perversa situación que caracteriza el actual sistema</w:t>
      </w:r>
      <w:r>
        <w:rPr>
          <w:color w:val="231F20"/>
          <w:spacing w:val="-1"/>
          <w:w w:val="110"/>
        </w:rPr>
        <w:t> </w:t>
      </w:r>
      <w:r>
        <w:rPr>
          <w:color w:val="231F20"/>
          <w:w w:val="110"/>
        </w:rPr>
        <w:t>monetario.</w:t>
      </w:r>
    </w:p>
    <w:p>
      <w:pPr>
        <w:pStyle w:val="BodyText"/>
        <w:spacing w:line="261" w:lineRule="auto"/>
        <w:ind w:left="100" w:right="114" w:firstLine="240"/>
        <w:jc w:val="both"/>
      </w:pPr>
      <w:r>
        <w:rPr>
          <w:color w:val="231F20"/>
          <w:w w:val="110"/>
        </w:rPr>
        <w:t>En</w:t>
      </w:r>
      <w:r>
        <w:rPr>
          <w:color w:val="231F20"/>
          <w:spacing w:val="-15"/>
          <w:w w:val="110"/>
        </w:rPr>
        <w:t> </w:t>
      </w:r>
      <w:r>
        <w:rPr>
          <w:color w:val="231F20"/>
          <w:w w:val="110"/>
        </w:rPr>
        <w:t>definitiva,</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ha</w:t>
      </w:r>
      <w:r>
        <w:rPr>
          <w:color w:val="231F20"/>
          <w:spacing w:val="-15"/>
          <w:w w:val="110"/>
        </w:rPr>
        <w:t> </w:t>
      </w:r>
      <w:r>
        <w:rPr>
          <w:color w:val="231F20"/>
          <w:w w:val="110"/>
        </w:rPr>
        <w:t>tenido</w:t>
      </w:r>
      <w:r>
        <w:rPr>
          <w:color w:val="231F20"/>
          <w:spacing w:val="-15"/>
          <w:w w:val="110"/>
        </w:rPr>
        <w:t> </w:t>
      </w:r>
      <w:r>
        <w:rPr>
          <w:color w:val="231F20"/>
          <w:w w:val="110"/>
        </w:rPr>
        <w:t>la</w:t>
      </w:r>
      <w:r>
        <w:rPr>
          <w:color w:val="231F20"/>
          <w:spacing w:val="-15"/>
          <w:w w:val="110"/>
        </w:rPr>
        <w:t> </w:t>
      </w:r>
      <w:r>
        <w:rPr>
          <w:color w:val="231F20"/>
          <w:w w:val="110"/>
        </w:rPr>
        <w:t>capacidad</w:t>
      </w:r>
      <w:r>
        <w:rPr>
          <w:color w:val="231F20"/>
          <w:spacing w:val="-15"/>
          <w:w w:val="110"/>
        </w:rPr>
        <w:t> </w:t>
      </w:r>
      <w:r>
        <w:rPr>
          <w:color w:val="231F20"/>
          <w:w w:val="110"/>
        </w:rPr>
        <w:t>de</w:t>
      </w:r>
      <w:r>
        <w:rPr>
          <w:color w:val="231F20"/>
          <w:spacing w:val="-15"/>
          <w:w w:val="110"/>
        </w:rPr>
        <w:t> </w:t>
      </w:r>
      <w:r>
        <w:rPr>
          <w:color w:val="231F20"/>
          <w:w w:val="110"/>
        </w:rPr>
        <w:t>servirse</w:t>
      </w:r>
      <w:r>
        <w:rPr>
          <w:color w:val="231F20"/>
          <w:spacing w:val="-15"/>
          <w:w w:val="110"/>
        </w:rPr>
        <w:t> </w:t>
      </w:r>
      <w:r>
        <w:rPr>
          <w:color w:val="231F20"/>
          <w:w w:val="110"/>
        </w:rPr>
        <w:t>de las instituciones financieras supranacionales y de su preponderancia productiva, comercial, financiera, política y </w:t>
      </w:r>
      <w:r>
        <w:rPr>
          <w:color w:val="231F20"/>
          <w:spacing w:val="-3"/>
          <w:w w:val="110"/>
        </w:rPr>
        <w:t>militar, </w:t>
      </w:r>
      <w:r>
        <w:rPr>
          <w:color w:val="231F20"/>
          <w:w w:val="110"/>
        </w:rPr>
        <w:t>para configurar una situación de interdependencia global, en cuanto a las</w:t>
      </w:r>
      <w:r>
        <w:rPr>
          <w:color w:val="231F20"/>
          <w:spacing w:val="-17"/>
          <w:w w:val="110"/>
        </w:rPr>
        <w:t> </w:t>
      </w:r>
      <w:r>
        <w:rPr>
          <w:color w:val="231F20"/>
          <w:w w:val="110"/>
        </w:rPr>
        <w:t>estructuras económicas </w:t>
      </w:r>
      <w:r>
        <w:rPr>
          <w:color w:val="231F20"/>
          <w:spacing w:val="-8"/>
          <w:w w:val="110"/>
        </w:rPr>
        <w:t>y, </w:t>
      </w:r>
      <w:r>
        <w:rPr>
          <w:color w:val="231F20"/>
          <w:w w:val="110"/>
        </w:rPr>
        <w:t>con ello, en cuanto a las opciones de política. Esta configuración del smi actual ha recibido diversas denominaciones: “codependencia” (Mann, 2004), “Nuevo Sistema Bretton   </w:t>
      </w:r>
      <w:r>
        <w:rPr>
          <w:color w:val="231F20"/>
          <w:spacing w:val="33"/>
          <w:w w:val="110"/>
        </w:rPr>
        <w:t> </w:t>
      </w:r>
      <w:r>
        <w:rPr>
          <w:color w:val="231F20"/>
          <w:w w:val="110"/>
        </w:rPr>
        <w:t>Woods”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(Dooley, Folkerts-Landau y </w:t>
      </w:r>
      <w:r>
        <w:rPr>
          <w:color w:val="231F20"/>
          <w:spacing w:val="-3"/>
          <w:w w:val="105"/>
        </w:rPr>
        <w:t>Garber, </w:t>
      </w:r>
      <w:r>
        <w:rPr>
          <w:color w:val="231F20"/>
          <w:w w:val="105"/>
        </w:rPr>
        <w:t>2003), “balance del terror finan- ciero” (Summers, Lawrence, 2004). Se trata en definitiva de que al igual que Estados Unidos ha dependido de las importaciones para satisfacer sus necesidades de inversión y consumo, y del financia- miento externo de bajo costo para compensar sus niveles de ahorro deprimidos, las principales economías superavitarias, han basado su expansión en las exportaciones hacia ese mercado. Además, cada vez dependen más de la compra de activos estadunidenses para mantener  la competitividad de sus productos y el valor de los activos en dólares que ya están en su </w:t>
      </w:r>
      <w:r>
        <w:rPr>
          <w:color w:val="231F20"/>
          <w:spacing w:val="-5"/>
          <w:w w:val="105"/>
        </w:rPr>
        <w:t>poder. </w:t>
      </w:r>
      <w:r>
        <w:rPr>
          <w:color w:val="231F20"/>
          <w:w w:val="105"/>
        </w:rPr>
        <w:t>Esta mutua dependencia ha posibilitado </w:t>
      </w:r>
      <w:r>
        <w:rPr>
          <w:color w:val="231F20"/>
          <w:spacing w:val="-2"/>
          <w:w w:val="105"/>
        </w:rPr>
        <w:t>que </w:t>
      </w:r>
      <w:r>
        <w:rPr>
          <w:color w:val="231F20"/>
          <w:w w:val="105"/>
        </w:rPr>
        <w:t>se mantenga el desbalance externo, basado en las ventajas que cada parte  ha  estado </w:t>
      </w:r>
      <w:r>
        <w:rPr>
          <w:color w:val="231F20"/>
          <w:spacing w:val="25"/>
          <w:w w:val="105"/>
        </w:rPr>
        <w:t> </w:t>
      </w:r>
      <w:r>
        <w:rPr>
          <w:color w:val="231F20"/>
          <w:w w:val="105"/>
        </w:rPr>
        <w:t>percibiendo.</w:t>
      </w:r>
    </w:p>
    <w:p>
      <w:pPr>
        <w:pStyle w:val="BodyText"/>
        <w:spacing w:line="261" w:lineRule="auto"/>
        <w:ind w:left="100" w:right="112" w:firstLine="240"/>
        <w:jc w:val="both"/>
      </w:pPr>
      <w:r>
        <w:rPr>
          <w:color w:val="231F20"/>
          <w:w w:val="110"/>
        </w:rPr>
        <w:t>Según</w:t>
      </w:r>
      <w:r>
        <w:rPr>
          <w:color w:val="231F20"/>
          <w:spacing w:val="-7"/>
          <w:w w:val="110"/>
        </w:rPr>
        <w:t> </w:t>
      </w:r>
      <w:r>
        <w:rPr>
          <w:color w:val="231F20"/>
          <w:w w:val="110"/>
        </w:rPr>
        <w:t>Beinstein</w:t>
      </w:r>
      <w:r>
        <w:rPr>
          <w:color w:val="231F20"/>
          <w:spacing w:val="-7"/>
          <w:w w:val="110"/>
        </w:rPr>
        <w:t> </w:t>
      </w:r>
      <w:r>
        <w:rPr>
          <w:color w:val="231F20"/>
          <w:w w:val="110"/>
        </w:rPr>
        <w:t>(2008),</w:t>
      </w:r>
      <w:r>
        <w:rPr>
          <w:color w:val="231F20"/>
          <w:spacing w:val="-7"/>
          <w:w w:val="110"/>
        </w:rPr>
        <w:t> </w:t>
      </w:r>
      <w:r>
        <w:rPr>
          <w:color w:val="231F20"/>
          <w:w w:val="110"/>
        </w:rPr>
        <w:t>los</w:t>
      </w:r>
      <w:r>
        <w:rPr>
          <w:color w:val="231F20"/>
          <w:spacing w:val="-7"/>
          <w:w w:val="110"/>
        </w:rPr>
        <w:t> </w:t>
      </w:r>
      <w:r>
        <w:rPr>
          <w:color w:val="231F20"/>
          <w:w w:val="110"/>
        </w:rPr>
        <w:t>déficit</w:t>
      </w:r>
      <w:r>
        <w:rPr>
          <w:color w:val="231F20"/>
          <w:spacing w:val="-7"/>
          <w:w w:val="110"/>
        </w:rPr>
        <w:t> </w:t>
      </w:r>
      <w:r>
        <w:rPr>
          <w:color w:val="231F20"/>
          <w:w w:val="110"/>
        </w:rPr>
        <w:t>de</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y</w:t>
      </w:r>
      <w:r>
        <w:rPr>
          <w:color w:val="231F20"/>
          <w:spacing w:val="-7"/>
          <w:w w:val="110"/>
        </w:rPr>
        <w:t> </w:t>
      </w:r>
      <w:r>
        <w:rPr>
          <w:color w:val="231F20"/>
          <w:w w:val="110"/>
        </w:rPr>
        <w:t>su</w:t>
      </w:r>
      <w:r>
        <w:rPr>
          <w:color w:val="231F20"/>
          <w:spacing w:val="-7"/>
          <w:w w:val="110"/>
        </w:rPr>
        <w:t> </w:t>
      </w:r>
      <w:r>
        <w:rPr>
          <w:color w:val="231F20"/>
          <w:w w:val="110"/>
        </w:rPr>
        <w:t>endeu- damiento, han sido funcionales a una crisis crónica de sobreproduc- ción</w:t>
      </w:r>
      <w:r>
        <w:rPr>
          <w:color w:val="231F20"/>
          <w:spacing w:val="-13"/>
          <w:w w:val="110"/>
        </w:rPr>
        <w:t> </w:t>
      </w:r>
      <w:r>
        <w:rPr>
          <w:color w:val="231F20"/>
          <w:w w:val="110"/>
        </w:rPr>
        <w:t>de</w:t>
      </w:r>
      <w:r>
        <w:rPr>
          <w:color w:val="231F20"/>
          <w:spacing w:val="-13"/>
          <w:w w:val="110"/>
        </w:rPr>
        <w:t> </w:t>
      </w:r>
      <w:r>
        <w:rPr>
          <w:color w:val="231F20"/>
          <w:w w:val="110"/>
        </w:rPr>
        <w:t>carácter</w:t>
      </w:r>
      <w:r>
        <w:rPr>
          <w:color w:val="231F20"/>
          <w:spacing w:val="-13"/>
          <w:w w:val="110"/>
        </w:rPr>
        <w:t> </w:t>
      </w:r>
      <w:r>
        <w:rPr>
          <w:color w:val="231F20"/>
          <w:w w:val="110"/>
        </w:rPr>
        <w:t>global.</w:t>
      </w:r>
      <w:r>
        <w:rPr>
          <w:color w:val="231F20"/>
          <w:spacing w:val="-13"/>
          <w:w w:val="110"/>
        </w:rPr>
        <w:t> </w:t>
      </w:r>
      <w:r>
        <w:rPr>
          <w:color w:val="231F20"/>
          <w:w w:val="110"/>
        </w:rPr>
        <w:t>Las</w:t>
      </w:r>
      <w:r>
        <w:rPr>
          <w:color w:val="231F20"/>
          <w:spacing w:val="-13"/>
          <w:w w:val="110"/>
        </w:rPr>
        <w:t> </w:t>
      </w:r>
      <w:r>
        <w:rPr>
          <w:color w:val="231F20"/>
          <w:w w:val="110"/>
        </w:rPr>
        <w:t>grandes</w:t>
      </w:r>
      <w:r>
        <w:rPr>
          <w:color w:val="231F20"/>
          <w:spacing w:val="-13"/>
          <w:w w:val="110"/>
        </w:rPr>
        <w:t> </w:t>
      </w:r>
      <w:r>
        <w:rPr>
          <w:color w:val="231F20"/>
          <w:w w:val="110"/>
        </w:rPr>
        <w:t>economías</w:t>
      </w:r>
      <w:r>
        <w:rPr>
          <w:color w:val="231F20"/>
          <w:spacing w:val="-13"/>
          <w:w w:val="110"/>
        </w:rPr>
        <w:t> </w:t>
      </w:r>
      <w:r>
        <w:rPr>
          <w:color w:val="231F20"/>
          <w:w w:val="110"/>
        </w:rPr>
        <w:t>centrales</w:t>
      </w:r>
      <w:r>
        <w:rPr>
          <w:color w:val="231F20"/>
          <w:spacing w:val="-13"/>
          <w:w w:val="110"/>
        </w:rPr>
        <w:t> </w:t>
      </w:r>
      <w:r>
        <w:rPr>
          <w:color w:val="231F20"/>
          <w:w w:val="110"/>
        </w:rPr>
        <w:t>y</w:t>
      </w:r>
      <w:r>
        <w:rPr>
          <w:color w:val="231F20"/>
          <w:spacing w:val="-13"/>
          <w:w w:val="110"/>
        </w:rPr>
        <w:t> </w:t>
      </w:r>
      <w:r>
        <w:rPr>
          <w:color w:val="231F20"/>
          <w:w w:val="110"/>
        </w:rPr>
        <w:t>las</w:t>
      </w:r>
      <w:r>
        <w:rPr>
          <w:color w:val="231F20"/>
          <w:spacing w:val="-13"/>
          <w:w w:val="110"/>
        </w:rPr>
        <w:t> </w:t>
      </w:r>
      <w:r>
        <w:rPr>
          <w:color w:val="231F20"/>
          <w:w w:val="110"/>
        </w:rPr>
        <w:t>nuevas economías emergentes han podido crecer gracias a la capacidad de absorción de mercancías y capitales del mercado estadunidense. Puede afirmarse entonces que la situación de desbalances globales es un resultado lógico del funcionamiento deformado del sistema </w:t>
      </w:r>
      <w:r>
        <w:rPr>
          <w:color w:val="231F20"/>
          <w:w w:val="105"/>
        </w:rPr>
        <w:t>capitalista</w:t>
      </w:r>
      <w:r>
        <w:rPr>
          <w:color w:val="231F20"/>
          <w:spacing w:val="35"/>
          <w:w w:val="105"/>
        </w:rPr>
        <w:t> </w:t>
      </w:r>
      <w:r>
        <w:rPr>
          <w:color w:val="231F20"/>
          <w:w w:val="105"/>
        </w:rPr>
        <w:t>global.</w:t>
      </w:r>
    </w:p>
    <w:p>
      <w:pPr>
        <w:pStyle w:val="BodyText"/>
      </w:pPr>
    </w:p>
    <w:p>
      <w:pPr>
        <w:pStyle w:val="BodyText"/>
      </w:pPr>
    </w:p>
    <w:p>
      <w:pPr>
        <w:pStyle w:val="BodyText"/>
        <w:spacing w:before="2"/>
        <w:rPr>
          <w:sz w:val="25"/>
        </w:rPr>
      </w:pPr>
    </w:p>
    <w:p>
      <w:pPr>
        <w:pStyle w:val="BodyText"/>
        <w:ind w:left="100"/>
        <w:jc w:val="both"/>
      </w:pPr>
      <w:r>
        <w:rPr>
          <w:color w:val="231F20"/>
          <w:w w:val="120"/>
        </w:rPr>
        <w:t>el “efecto búmeran”:</w:t>
      </w:r>
    </w:p>
    <w:p>
      <w:pPr>
        <w:pStyle w:val="BodyText"/>
        <w:spacing w:before="20"/>
        <w:ind w:left="100"/>
        <w:jc w:val="both"/>
      </w:pPr>
      <w:r>
        <w:rPr>
          <w:color w:val="231F20"/>
          <w:w w:val="130"/>
        </w:rPr>
        <w:t>los desbalances y la erosión de la hegemonía</w:t>
      </w:r>
    </w:p>
    <w:p>
      <w:pPr>
        <w:pStyle w:val="BodyText"/>
        <w:spacing w:before="5"/>
        <w:rPr>
          <w:sz w:val="23"/>
        </w:rPr>
      </w:pPr>
    </w:p>
    <w:p>
      <w:pPr>
        <w:pStyle w:val="BodyText"/>
        <w:spacing w:line="261" w:lineRule="auto"/>
        <w:ind w:left="100" w:right="117"/>
        <w:jc w:val="both"/>
      </w:pPr>
      <w:r>
        <w:rPr>
          <w:color w:val="231F20"/>
          <w:w w:val="110"/>
        </w:rPr>
        <w:t>Como</w:t>
      </w:r>
      <w:r>
        <w:rPr>
          <w:color w:val="231F20"/>
          <w:spacing w:val="-10"/>
          <w:w w:val="110"/>
        </w:rPr>
        <w:t> </w:t>
      </w:r>
      <w:r>
        <w:rPr>
          <w:color w:val="231F20"/>
          <w:w w:val="110"/>
        </w:rPr>
        <w:t>se</w:t>
      </w:r>
      <w:r>
        <w:rPr>
          <w:color w:val="231F20"/>
          <w:spacing w:val="-10"/>
          <w:w w:val="110"/>
        </w:rPr>
        <w:t> </w:t>
      </w:r>
      <w:r>
        <w:rPr>
          <w:color w:val="231F20"/>
          <w:w w:val="110"/>
        </w:rPr>
        <w:t>ha</w:t>
      </w:r>
      <w:r>
        <w:rPr>
          <w:color w:val="231F20"/>
          <w:spacing w:val="-10"/>
          <w:w w:val="110"/>
        </w:rPr>
        <w:t> </w:t>
      </w:r>
      <w:r>
        <w:rPr>
          <w:color w:val="231F20"/>
          <w:w w:val="110"/>
        </w:rPr>
        <w:t>anotado,</w:t>
      </w:r>
      <w:r>
        <w:rPr>
          <w:color w:val="231F20"/>
          <w:spacing w:val="-10"/>
          <w:w w:val="110"/>
        </w:rPr>
        <w:t> </w:t>
      </w:r>
      <w:r>
        <w:rPr>
          <w:color w:val="231F20"/>
          <w:w w:val="110"/>
        </w:rPr>
        <w:t>la</w:t>
      </w:r>
      <w:r>
        <w:rPr>
          <w:color w:val="231F20"/>
          <w:spacing w:val="-10"/>
          <w:w w:val="110"/>
        </w:rPr>
        <w:t> </w:t>
      </w:r>
      <w:r>
        <w:rPr>
          <w:color w:val="231F20"/>
          <w:w w:val="110"/>
        </w:rPr>
        <w:t>economía</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ha</w:t>
      </w:r>
      <w:r>
        <w:rPr>
          <w:color w:val="231F20"/>
          <w:spacing w:val="-10"/>
          <w:w w:val="110"/>
        </w:rPr>
        <w:t> </w:t>
      </w:r>
      <w:r>
        <w:rPr>
          <w:color w:val="231F20"/>
          <w:w w:val="110"/>
        </w:rPr>
        <w:t>podido</w:t>
      </w:r>
      <w:r>
        <w:rPr>
          <w:color w:val="231F20"/>
          <w:spacing w:val="-10"/>
          <w:w w:val="110"/>
        </w:rPr>
        <w:t> </w:t>
      </w:r>
      <w:r>
        <w:rPr>
          <w:color w:val="231F20"/>
          <w:w w:val="110"/>
        </w:rPr>
        <w:t>man- tener un déficit de cuenta corriente significativo y creciente por tan largo</w:t>
      </w:r>
      <w:r>
        <w:rPr>
          <w:color w:val="231F20"/>
          <w:spacing w:val="-8"/>
          <w:w w:val="110"/>
        </w:rPr>
        <w:t> </w:t>
      </w:r>
      <w:r>
        <w:rPr>
          <w:color w:val="231F20"/>
          <w:w w:val="110"/>
        </w:rPr>
        <w:t>periodo</w:t>
      </w:r>
      <w:r>
        <w:rPr>
          <w:color w:val="231F20"/>
          <w:spacing w:val="-8"/>
          <w:w w:val="110"/>
        </w:rPr>
        <w:t> </w:t>
      </w:r>
      <w:r>
        <w:rPr>
          <w:color w:val="231F20"/>
          <w:w w:val="110"/>
        </w:rPr>
        <w:t>de</w:t>
      </w:r>
      <w:r>
        <w:rPr>
          <w:color w:val="231F20"/>
          <w:spacing w:val="-8"/>
          <w:w w:val="110"/>
        </w:rPr>
        <w:t> </w:t>
      </w:r>
      <w:r>
        <w:rPr>
          <w:color w:val="231F20"/>
          <w:w w:val="110"/>
        </w:rPr>
        <w:t>tiempo</w:t>
      </w:r>
      <w:r>
        <w:rPr>
          <w:color w:val="231F20"/>
          <w:spacing w:val="-8"/>
          <w:w w:val="110"/>
        </w:rPr>
        <w:t> </w:t>
      </w:r>
      <w:r>
        <w:rPr>
          <w:color w:val="231F20"/>
          <w:w w:val="110"/>
        </w:rPr>
        <w:t>debido,</w:t>
      </w:r>
      <w:r>
        <w:rPr>
          <w:color w:val="231F20"/>
          <w:spacing w:val="-8"/>
          <w:w w:val="110"/>
        </w:rPr>
        <w:t> </w:t>
      </w:r>
      <w:r>
        <w:rPr>
          <w:color w:val="231F20"/>
          <w:w w:val="110"/>
        </w:rPr>
        <w:t>entre</w:t>
      </w:r>
      <w:r>
        <w:rPr>
          <w:color w:val="231F20"/>
          <w:spacing w:val="-8"/>
          <w:w w:val="110"/>
        </w:rPr>
        <w:t> </w:t>
      </w:r>
      <w:r>
        <w:rPr>
          <w:color w:val="231F20"/>
          <w:w w:val="110"/>
        </w:rPr>
        <w:t>otros</w:t>
      </w:r>
      <w:r>
        <w:rPr>
          <w:color w:val="231F20"/>
          <w:spacing w:val="-8"/>
          <w:w w:val="110"/>
        </w:rPr>
        <w:t> </w:t>
      </w:r>
      <w:r>
        <w:rPr>
          <w:color w:val="231F20"/>
          <w:w w:val="110"/>
        </w:rPr>
        <w:t>factores,</w:t>
      </w:r>
      <w:r>
        <w:rPr>
          <w:color w:val="231F20"/>
          <w:spacing w:val="-8"/>
          <w:w w:val="110"/>
        </w:rPr>
        <w:t> </w:t>
      </w:r>
      <w:r>
        <w:rPr>
          <w:color w:val="231F20"/>
          <w:w w:val="110"/>
        </w:rPr>
        <w:t>a</w:t>
      </w:r>
      <w:r>
        <w:rPr>
          <w:color w:val="231F20"/>
          <w:spacing w:val="-8"/>
          <w:w w:val="110"/>
        </w:rPr>
        <w:t> </w:t>
      </w:r>
      <w:r>
        <w:rPr>
          <w:color w:val="231F20"/>
          <w:w w:val="110"/>
        </w:rPr>
        <w:t>su</w:t>
      </w:r>
      <w:r>
        <w:rPr>
          <w:color w:val="231F20"/>
          <w:spacing w:val="-8"/>
          <w:w w:val="110"/>
        </w:rPr>
        <w:t> </w:t>
      </w:r>
      <w:r>
        <w:rPr>
          <w:color w:val="231F20"/>
          <w:w w:val="110"/>
        </w:rPr>
        <w:t>posición</w:t>
      </w:r>
      <w:r>
        <w:rPr>
          <w:color w:val="231F20"/>
          <w:spacing w:val="-8"/>
          <w:w w:val="110"/>
        </w:rPr>
        <w:t> </w:t>
      </w:r>
      <w:r>
        <w:rPr>
          <w:color w:val="231F20"/>
          <w:w w:val="110"/>
        </w:rPr>
        <w:t>de hegemonía en las relaciones monetario-financieras internacionales. Sin embargo, la absorción continua de recursos externos y la tole- rancia de un creciente endeudamiento para mantener su dinámica expansiva, ha ido erosionando visiblemente esa posición</w:t>
      </w:r>
      <w:r>
        <w:rPr>
          <w:color w:val="231F20"/>
          <w:spacing w:val="-23"/>
          <w:w w:val="110"/>
        </w:rPr>
        <w:t> </w:t>
      </w:r>
      <w:r>
        <w:rPr>
          <w:color w:val="231F20"/>
          <w:w w:val="110"/>
        </w:rPr>
        <w:t>dominante, lo que podría describirse como un “efecto búmeran”. </w:t>
      </w:r>
      <w:r>
        <w:rPr>
          <w:color w:val="231F20"/>
          <w:spacing w:val="-6"/>
          <w:w w:val="110"/>
        </w:rPr>
        <w:t>Tal </w:t>
      </w:r>
      <w:r>
        <w:rPr>
          <w:color w:val="231F20"/>
          <w:w w:val="110"/>
        </w:rPr>
        <w:t>afirmación se basa no sólo en la evidente insostenibilidad de tal patrón de de- sarrollo,</w:t>
      </w:r>
      <w:r>
        <w:rPr>
          <w:color w:val="231F20"/>
          <w:spacing w:val="-10"/>
          <w:w w:val="110"/>
        </w:rPr>
        <w:t> </w:t>
      </w:r>
      <w:r>
        <w:rPr>
          <w:color w:val="231F20"/>
          <w:w w:val="110"/>
        </w:rPr>
        <w:t>sino</w:t>
      </w:r>
      <w:r>
        <w:rPr>
          <w:color w:val="231F20"/>
          <w:spacing w:val="-10"/>
          <w:w w:val="110"/>
        </w:rPr>
        <w:t> </w:t>
      </w:r>
      <w:r>
        <w:rPr>
          <w:color w:val="231F20"/>
          <w:w w:val="110"/>
        </w:rPr>
        <w:t>también</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costos</w:t>
      </w:r>
      <w:r>
        <w:rPr>
          <w:color w:val="231F20"/>
          <w:spacing w:val="-10"/>
          <w:w w:val="110"/>
        </w:rPr>
        <w:t> </w:t>
      </w:r>
      <w:r>
        <w:rPr>
          <w:color w:val="231F20"/>
          <w:w w:val="110"/>
        </w:rPr>
        <w:t>y</w:t>
      </w:r>
      <w:r>
        <w:rPr>
          <w:color w:val="231F20"/>
          <w:spacing w:val="-10"/>
          <w:w w:val="110"/>
        </w:rPr>
        <w:t> </w:t>
      </w:r>
      <w:r>
        <w:rPr>
          <w:color w:val="231F20"/>
          <w:w w:val="110"/>
        </w:rPr>
        <w:t>consecuencias</w:t>
      </w:r>
      <w:r>
        <w:rPr>
          <w:color w:val="231F20"/>
          <w:spacing w:val="-10"/>
          <w:w w:val="110"/>
        </w:rPr>
        <w:t> </w:t>
      </w:r>
      <w:r>
        <w:rPr>
          <w:color w:val="231F20"/>
          <w:w w:val="110"/>
        </w:rPr>
        <w:t>negativas</w:t>
      </w:r>
      <w:r>
        <w:rPr>
          <w:color w:val="231F20"/>
          <w:spacing w:val="-10"/>
          <w:w w:val="110"/>
        </w:rPr>
        <w:t> </w:t>
      </w:r>
      <w:r>
        <w:rPr>
          <w:color w:val="231F20"/>
          <w:w w:val="110"/>
        </w:rPr>
        <w:t>que</w:t>
      </w:r>
      <w:r>
        <w:rPr>
          <w:color w:val="231F20"/>
          <w:spacing w:val="-10"/>
          <w:w w:val="110"/>
        </w:rPr>
        <w:t> </w:t>
      </w:r>
      <w:r>
        <w:rPr>
          <w:color w:val="231F20"/>
          <w:w w:val="110"/>
        </w:rPr>
        <w:t>ya está teniendo y podría tener en el  </w:t>
      </w:r>
      <w:r>
        <w:rPr>
          <w:color w:val="231F20"/>
          <w:spacing w:val="17"/>
          <w:w w:val="110"/>
        </w:rPr>
        <w:t> </w:t>
      </w:r>
      <w:r>
        <w:rPr>
          <w:color w:val="231F20"/>
          <w:w w:val="110"/>
        </w:rPr>
        <w:t>futuro.</w:t>
      </w:r>
    </w:p>
    <w:p>
      <w:pPr>
        <w:pStyle w:val="BodyText"/>
        <w:spacing w:line="261" w:lineRule="auto"/>
        <w:ind w:left="100" w:right="117" w:firstLine="240"/>
        <w:jc w:val="both"/>
      </w:pPr>
      <w:r>
        <w:rPr>
          <w:color w:val="231F20"/>
          <w:w w:val="110"/>
        </w:rPr>
        <w:t>Uno de los elementos que ha despertado mayor incertidumbre entre los principales académicos y políticos estadunidenses es que</w:t>
      </w:r>
      <w:r>
        <w:rPr>
          <w:color w:val="231F20"/>
          <w:spacing w:val="-31"/>
          <w:w w:val="110"/>
        </w:rPr>
        <w:t> </w:t>
      </w:r>
      <w:r>
        <w:rPr>
          <w:color w:val="231F20"/>
          <w:w w:val="110"/>
        </w:rPr>
        <w:t>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crecimiento</w:t>
      </w:r>
      <w:r>
        <w:rPr>
          <w:color w:val="231F20"/>
          <w:spacing w:val="-11"/>
          <w:w w:val="110"/>
        </w:rPr>
        <w:t> </w:t>
      </w:r>
      <w:r>
        <w:rPr>
          <w:color w:val="231F20"/>
          <w:spacing w:val="-8"/>
          <w:w w:val="110"/>
        </w:rPr>
        <w:t>y,</w:t>
      </w:r>
      <w:r>
        <w:rPr>
          <w:color w:val="231F20"/>
          <w:spacing w:val="-11"/>
          <w:w w:val="110"/>
        </w:rPr>
        <w:t> </w:t>
      </w:r>
      <w:r>
        <w:rPr>
          <w:color w:val="231F20"/>
          <w:w w:val="110"/>
        </w:rPr>
        <w:t>el</w:t>
      </w:r>
      <w:r>
        <w:rPr>
          <w:color w:val="231F20"/>
          <w:spacing w:val="-11"/>
          <w:w w:val="110"/>
        </w:rPr>
        <w:t> </w:t>
      </w:r>
      <w:r>
        <w:rPr>
          <w:color w:val="231F20"/>
          <w:w w:val="110"/>
        </w:rPr>
        <w:t>estándar</w:t>
      </w:r>
      <w:r>
        <w:rPr>
          <w:color w:val="231F20"/>
          <w:spacing w:val="-11"/>
          <w:w w:val="110"/>
        </w:rPr>
        <w:t> </w:t>
      </w:r>
      <w:r>
        <w:rPr>
          <w:color w:val="231F20"/>
          <w:w w:val="110"/>
        </w:rPr>
        <w:t>de</w:t>
      </w:r>
      <w:r>
        <w:rPr>
          <w:color w:val="231F20"/>
          <w:spacing w:val="-11"/>
          <w:w w:val="110"/>
        </w:rPr>
        <w:t> </w:t>
      </w:r>
      <w:r>
        <w:rPr>
          <w:color w:val="231F20"/>
          <w:w w:val="110"/>
        </w:rPr>
        <w:t>vida</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estadunidenses,</w:t>
      </w:r>
      <w:r>
        <w:rPr>
          <w:color w:val="231F20"/>
          <w:spacing w:val="-11"/>
          <w:w w:val="110"/>
        </w:rPr>
        <w:t> </w:t>
      </w:r>
      <w:r>
        <w:rPr>
          <w:color w:val="231F20"/>
          <w:w w:val="110"/>
        </w:rPr>
        <w:t>es</w:t>
      </w:r>
      <w:r>
        <w:rPr>
          <w:color w:val="231F20"/>
          <w:spacing w:val="-11"/>
          <w:w w:val="110"/>
        </w:rPr>
        <w:t> </w:t>
      </w:r>
      <w:r>
        <w:rPr>
          <w:color w:val="231F20"/>
          <w:w w:val="110"/>
        </w:rPr>
        <w:t>altamente dependiente, entre otros factores, de la voluntad que manifiesten los acreedores extranjeros, principalmente bancos centrales, de seguir financiando sus déficit internos y externos. La magnitud de esa de- pendencia es claramente apreciable cuando se conoce que Estados Unidos necesita importar alrededor de 3 mil millones de dólares por día laboral (Roach,</w:t>
      </w:r>
      <w:r>
        <w:rPr>
          <w:color w:val="231F20"/>
          <w:spacing w:val="19"/>
          <w:w w:val="110"/>
        </w:rPr>
        <w:t> </w:t>
      </w:r>
      <w:r>
        <w:rPr>
          <w:color w:val="231F20"/>
          <w:w w:val="110"/>
        </w:rPr>
        <w:t>2007).</w:t>
      </w:r>
    </w:p>
    <w:p>
      <w:pPr>
        <w:pStyle w:val="BodyText"/>
        <w:spacing w:line="261" w:lineRule="auto"/>
        <w:ind w:left="100" w:right="117" w:firstLine="240"/>
        <w:jc w:val="both"/>
      </w:pPr>
      <w:r>
        <w:rPr>
          <w:color w:val="231F20"/>
          <w:w w:val="110"/>
        </w:rPr>
        <w:t>Esta situación ha sido percibida como una importante vulnerabi- lidad, incluso en términos de seguridad nacional. </w:t>
      </w:r>
      <w:r>
        <w:rPr>
          <w:color w:val="231F20"/>
          <w:spacing w:val="-3"/>
          <w:w w:val="110"/>
        </w:rPr>
        <w:t>Valga </w:t>
      </w:r>
      <w:r>
        <w:rPr>
          <w:color w:val="231F20"/>
          <w:w w:val="110"/>
        </w:rPr>
        <w:t>citar a</w:t>
      </w:r>
      <w:r>
        <w:rPr>
          <w:color w:val="231F20"/>
          <w:spacing w:val="-12"/>
          <w:w w:val="110"/>
        </w:rPr>
        <w:t> </w:t>
      </w:r>
      <w:r>
        <w:rPr>
          <w:color w:val="231F20"/>
          <w:w w:val="110"/>
        </w:rPr>
        <w:t>Larry Summers,</w:t>
      </w:r>
      <w:r>
        <w:rPr>
          <w:color w:val="231F20"/>
          <w:spacing w:val="-17"/>
          <w:w w:val="110"/>
        </w:rPr>
        <w:t> </w:t>
      </w:r>
      <w:r>
        <w:rPr>
          <w:color w:val="231F20"/>
          <w:w w:val="110"/>
        </w:rPr>
        <w:t>actual</w:t>
      </w:r>
      <w:r>
        <w:rPr>
          <w:color w:val="231F20"/>
          <w:spacing w:val="-17"/>
          <w:w w:val="110"/>
        </w:rPr>
        <w:t> </w:t>
      </w:r>
      <w:r>
        <w:rPr>
          <w:color w:val="231F20"/>
          <w:w w:val="110"/>
        </w:rPr>
        <w:t>asesor</w:t>
      </w:r>
      <w:r>
        <w:rPr>
          <w:color w:val="231F20"/>
          <w:spacing w:val="-17"/>
          <w:w w:val="110"/>
        </w:rPr>
        <w:t> </w:t>
      </w:r>
      <w:r>
        <w:rPr>
          <w:color w:val="231F20"/>
          <w:w w:val="110"/>
        </w:rPr>
        <w:t>económico</w:t>
      </w:r>
      <w:r>
        <w:rPr>
          <w:color w:val="231F20"/>
          <w:spacing w:val="-17"/>
          <w:w w:val="110"/>
        </w:rPr>
        <w:t> </w:t>
      </w:r>
      <w:r>
        <w:rPr>
          <w:color w:val="231F20"/>
          <w:w w:val="110"/>
        </w:rPr>
        <w:t>del</w:t>
      </w:r>
      <w:r>
        <w:rPr>
          <w:color w:val="231F20"/>
          <w:spacing w:val="-17"/>
          <w:w w:val="110"/>
        </w:rPr>
        <w:t> </w:t>
      </w:r>
      <w:r>
        <w:rPr>
          <w:color w:val="231F20"/>
          <w:w w:val="110"/>
        </w:rPr>
        <w:t>presidente</w:t>
      </w:r>
      <w:r>
        <w:rPr>
          <w:color w:val="231F20"/>
          <w:spacing w:val="-17"/>
          <w:w w:val="110"/>
        </w:rPr>
        <w:t> </w:t>
      </w:r>
      <w:r>
        <w:rPr>
          <w:color w:val="231F20"/>
          <w:w w:val="110"/>
        </w:rPr>
        <w:t>Barak</w:t>
      </w:r>
      <w:r>
        <w:rPr>
          <w:color w:val="231F20"/>
          <w:spacing w:val="-17"/>
          <w:w w:val="110"/>
        </w:rPr>
        <w:t> </w:t>
      </w:r>
      <w:r>
        <w:rPr>
          <w:color w:val="231F20"/>
          <w:w w:val="110"/>
        </w:rPr>
        <w:t>Obama:</w:t>
      </w:r>
      <w:r>
        <w:rPr>
          <w:color w:val="231F20"/>
          <w:spacing w:val="-17"/>
          <w:w w:val="110"/>
        </w:rPr>
        <w:t> </w:t>
      </w:r>
      <w:r>
        <w:rPr>
          <w:color w:val="231F20"/>
          <w:w w:val="110"/>
        </w:rPr>
        <w:t>“Un aspecto problemático de esta dependencia del capital extranjero es su</w:t>
      </w:r>
      <w:r>
        <w:rPr>
          <w:color w:val="231F20"/>
          <w:spacing w:val="-12"/>
          <w:w w:val="110"/>
        </w:rPr>
        <w:t> </w:t>
      </w:r>
      <w:r>
        <w:rPr>
          <w:color w:val="231F20"/>
          <w:w w:val="110"/>
        </w:rPr>
        <w:t>significación</w:t>
      </w:r>
      <w:r>
        <w:rPr>
          <w:color w:val="231F20"/>
          <w:spacing w:val="-12"/>
          <w:w w:val="110"/>
        </w:rPr>
        <w:t> </w:t>
      </w:r>
      <w:r>
        <w:rPr>
          <w:color w:val="231F20"/>
          <w:w w:val="110"/>
        </w:rPr>
        <w:t>geopolítica</w:t>
      </w:r>
      <w:r>
        <w:rPr>
          <w:color w:val="231F20"/>
          <w:spacing w:val="-12"/>
          <w:w w:val="110"/>
        </w:rPr>
        <w:t> </w:t>
      </w:r>
      <w:r>
        <w:rPr>
          <w:color w:val="231F20"/>
          <w:w w:val="110"/>
        </w:rPr>
        <w:t>[…]</w:t>
      </w:r>
      <w:r>
        <w:rPr>
          <w:color w:val="231F20"/>
          <w:spacing w:val="-12"/>
          <w:w w:val="110"/>
        </w:rPr>
        <w:t> </w:t>
      </w:r>
      <w:r>
        <w:rPr>
          <w:color w:val="231F20"/>
          <w:w w:val="110"/>
        </w:rPr>
        <w:t>Seguramente,</w:t>
      </w:r>
      <w:r>
        <w:rPr>
          <w:color w:val="231F20"/>
          <w:spacing w:val="-12"/>
          <w:w w:val="110"/>
        </w:rPr>
        <w:t> </w:t>
      </w:r>
      <w:r>
        <w:rPr>
          <w:color w:val="231F20"/>
          <w:w w:val="110"/>
        </w:rPr>
        <w:t>hay</w:t>
      </w:r>
      <w:r>
        <w:rPr>
          <w:color w:val="231F20"/>
          <w:spacing w:val="-12"/>
          <w:w w:val="110"/>
        </w:rPr>
        <w:t> </w:t>
      </w:r>
      <w:r>
        <w:rPr>
          <w:color w:val="231F20"/>
          <w:w w:val="110"/>
        </w:rPr>
        <w:t>algo</w:t>
      </w:r>
      <w:r>
        <w:rPr>
          <w:color w:val="231F20"/>
          <w:spacing w:val="-12"/>
          <w:w w:val="110"/>
        </w:rPr>
        <w:t> </w:t>
      </w:r>
      <w:r>
        <w:rPr>
          <w:color w:val="231F20"/>
          <w:w w:val="110"/>
        </w:rPr>
        <w:t>extraño</w:t>
      </w:r>
      <w:r>
        <w:rPr>
          <w:color w:val="231F20"/>
          <w:spacing w:val="-12"/>
          <w:w w:val="110"/>
        </w:rPr>
        <w:t> </w:t>
      </w:r>
      <w:r>
        <w:rPr>
          <w:color w:val="231F20"/>
          <w:w w:val="110"/>
        </w:rPr>
        <w:t>en</w:t>
      </w:r>
      <w:r>
        <w:rPr>
          <w:color w:val="231F20"/>
          <w:spacing w:val="-12"/>
          <w:w w:val="110"/>
        </w:rPr>
        <w:t> </w:t>
      </w:r>
      <w:r>
        <w:rPr>
          <w:color w:val="231F20"/>
          <w:w w:val="110"/>
        </w:rPr>
        <w:t>el hecho de que la mayor potencia mundial sea el mayor deudor mun- dial.</w:t>
      </w:r>
      <w:r>
        <w:rPr>
          <w:color w:val="231F20"/>
          <w:spacing w:val="-19"/>
          <w:w w:val="110"/>
        </w:rPr>
        <w:t> </w:t>
      </w:r>
      <w:r>
        <w:rPr>
          <w:color w:val="231F20"/>
          <w:w w:val="110"/>
        </w:rPr>
        <w:t>Para</w:t>
      </w:r>
      <w:r>
        <w:rPr>
          <w:color w:val="231F20"/>
          <w:spacing w:val="-19"/>
          <w:w w:val="110"/>
        </w:rPr>
        <w:t> </w:t>
      </w:r>
      <w:r>
        <w:rPr>
          <w:color w:val="231F20"/>
          <w:w w:val="110"/>
        </w:rPr>
        <w:t>financiar</w:t>
      </w:r>
      <w:r>
        <w:rPr>
          <w:color w:val="231F20"/>
          <w:spacing w:val="-19"/>
          <w:w w:val="110"/>
        </w:rPr>
        <w:t> </w:t>
      </w:r>
      <w:r>
        <w:rPr>
          <w:color w:val="231F20"/>
          <w:w w:val="110"/>
        </w:rPr>
        <w:t>los</w:t>
      </w:r>
      <w:r>
        <w:rPr>
          <w:color w:val="231F20"/>
          <w:spacing w:val="-19"/>
          <w:w w:val="110"/>
        </w:rPr>
        <w:t> </w:t>
      </w:r>
      <w:r>
        <w:rPr>
          <w:color w:val="231F20"/>
          <w:w w:val="110"/>
        </w:rPr>
        <w:t>niveles</w:t>
      </w:r>
      <w:r>
        <w:rPr>
          <w:color w:val="231F20"/>
          <w:spacing w:val="-19"/>
          <w:w w:val="110"/>
        </w:rPr>
        <w:t> </w:t>
      </w:r>
      <w:r>
        <w:rPr>
          <w:color w:val="231F20"/>
          <w:w w:val="110"/>
        </w:rPr>
        <w:t>prevalecientes</w:t>
      </w:r>
      <w:r>
        <w:rPr>
          <w:color w:val="231F20"/>
          <w:spacing w:val="-19"/>
          <w:w w:val="110"/>
        </w:rPr>
        <w:t> </w:t>
      </w:r>
      <w:r>
        <w:rPr>
          <w:color w:val="231F20"/>
          <w:w w:val="110"/>
        </w:rPr>
        <w:t>de</w:t>
      </w:r>
      <w:r>
        <w:rPr>
          <w:color w:val="231F20"/>
          <w:spacing w:val="-19"/>
          <w:w w:val="110"/>
        </w:rPr>
        <w:t> </w:t>
      </w:r>
      <w:r>
        <w:rPr>
          <w:color w:val="231F20"/>
          <w:w w:val="110"/>
        </w:rPr>
        <w:t>consumo</w:t>
      </w:r>
      <w:r>
        <w:rPr>
          <w:color w:val="231F20"/>
          <w:spacing w:val="-19"/>
          <w:w w:val="110"/>
        </w:rPr>
        <w:t> </w:t>
      </w:r>
      <w:r>
        <w:rPr>
          <w:color w:val="231F20"/>
          <w:w w:val="110"/>
        </w:rPr>
        <w:t>e</w:t>
      </w:r>
      <w:r>
        <w:rPr>
          <w:color w:val="231F20"/>
          <w:spacing w:val="-19"/>
          <w:w w:val="110"/>
        </w:rPr>
        <w:t> </w:t>
      </w:r>
      <w:r>
        <w:rPr>
          <w:color w:val="231F20"/>
          <w:w w:val="110"/>
        </w:rPr>
        <w:t>inversión,</w:t>
      </w:r>
    </w:p>
    <w:p>
      <w:pPr>
        <w:pStyle w:val="BodyText"/>
        <w:spacing w:line="261" w:lineRule="auto"/>
        <w:ind w:left="100" w:right="117"/>
        <w:jc w:val="both"/>
      </w:pPr>
      <w:r>
        <w:rPr>
          <w:color w:val="231F20"/>
          <w:w w:val="110"/>
        </w:rPr>
        <w:t>¿debe Estados Unidos ser tan dependiente como lo es, de los actos discrecionales de lo que son, inevitablemente, entidades políticas en otros</w:t>
      </w:r>
      <w:r>
        <w:rPr>
          <w:color w:val="231F20"/>
          <w:spacing w:val="-31"/>
          <w:w w:val="110"/>
        </w:rPr>
        <w:t> </w:t>
      </w:r>
      <w:r>
        <w:rPr>
          <w:color w:val="231F20"/>
          <w:w w:val="110"/>
        </w:rPr>
        <w:t>países?”</w:t>
      </w:r>
      <w:r>
        <w:rPr>
          <w:color w:val="231F20"/>
          <w:spacing w:val="-31"/>
          <w:w w:val="110"/>
        </w:rPr>
        <w:t> </w:t>
      </w:r>
      <w:r>
        <w:rPr>
          <w:color w:val="231F20"/>
          <w:w w:val="110"/>
        </w:rPr>
        <w:t>(Summers,</w:t>
      </w:r>
      <w:r>
        <w:rPr>
          <w:color w:val="231F20"/>
          <w:spacing w:val="-31"/>
          <w:w w:val="110"/>
        </w:rPr>
        <w:t> </w:t>
      </w:r>
      <w:r>
        <w:rPr>
          <w:color w:val="231F20"/>
          <w:w w:val="110"/>
        </w:rPr>
        <w:t>Larry,</w:t>
      </w:r>
      <w:r>
        <w:rPr>
          <w:color w:val="231F20"/>
          <w:spacing w:val="-31"/>
          <w:w w:val="110"/>
        </w:rPr>
        <w:t> </w:t>
      </w:r>
      <w:r>
        <w:rPr>
          <w:color w:val="231F20"/>
          <w:w w:val="110"/>
        </w:rPr>
        <w:t>2004).</w:t>
      </w:r>
      <w:r>
        <w:rPr>
          <w:color w:val="231F20"/>
          <w:spacing w:val="-31"/>
          <w:w w:val="110"/>
        </w:rPr>
        <w:t> </w:t>
      </w:r>
      <w:r>
        <w:rPr>
          <w:color w:val="231F20"/>
          <w:w w:val="110"/>
        </w:rPr>
        <w:t>Evidentemente,</w:t>
      </w:r>
      <w:r>
        <w:rPr>
          <w:color w:val="231F20"/>
          <w:spacing w:val="-31"/>
          <w:w w:val="110"/>
        </w:rPr>
        <w:t> </w:t>
      </w:r>
      <w:r>
        <w:rPr>
          <w:color w:val="231F20"/>
          <w:w w:val="110"/>
        </w:rPr>
        <w:t>a</w:t>
      </w:r>
      <w:r>
        <w:rPr>
          <w:color w:val="231F20"/>
          <w:spacing w:val="-31"/>
          <w:w w:val="110"/>
        </w:rPr>
        <w:t> </w:t>
      </w:r>
      <w:r>
        <w:rPr>
          <w:color w:val="231F20"/>
          <w:w w:val="110"/>
        </w:rPr>
        <w:t>Estados</w:t>
      </w:r>
      <w:r>
        <w:rPr>
          <w:color w:val="231F20"/>
          <w:spacing w:val="-31"/>
          <w:w w:val="110"/>
        </w:rPr>
        <w:t> </w:t>
      </w:r>
      <w:r>
        <w:rPr>
          <w:color w:val="231F20"/>
          <w:w w:val="110"/>
        </w:rPr>
        <w:t>Uni- dos no le conviene que otros gobiernos tengan, al menos en teoría, la posibilidad de utilizar su posición de acreedores para manipular   o incluso </w:t>
      </w:r>
      <w:r>
        <w:rPr>
          <w:color w:val="231F20"/>
          <w:spacing w:val="-3"/>
          <w:w w:val="110"/>
        </w:rPr>
        <w:t>dañar, </w:t>
      </w:r>
      <w:r>
        <w:rPr>
          <w:color w:val="231F20"/>
          <w:w w:val="110"/>
        </w:rPr>
        <w:t>sus privilegios</w:t>
      </w:r>
      <w:r>
        <w:rPr>
          <w:color w:val="231F20"/>
          <w:spacing w:val="-24"/>
          <w:w w:val="110"/>
        </w:rPr>
        <w:t> </w:t>
      </w:r>
      <w:r>
        <w:rPr>
          <w:color w:val="231F20"/>
          <w:w w:val="110"/>
        </w:rPr>
        <w:t>económicos.</w:t>
      </w:r>
    </w:p>
    <w:p>
      <w:pPr>
        <w:pStyle w:val="BodyText"/>
        <w:spacing w:line="261" w:lineRule="auto"/>
        <w:ind w:left="100" w:right="117" w:firstLine="240"/>
        <w:jc w:val="both"/>
      </w:pPr>
      <w:r>
        <w:rPr>
          <w:color w:val="231F20"/>
          <w:w w:val="110"/>
        </w:rPr>
        <w:t>Asimismo,</w:t>
      </w:r>
      <w:r>
        <w:rPr>
          <w:color w:val="231F20"/>
          <w:spacing w:val="-8"/>
          <w:w w:val="110"/>
        </w:rPr>
        <w:t> </w:t>
      </w:r>
      <w:r>
        <w:rPr>
          <w:color w:val="231F20"/>
          <w:w w:val="110"/>
        </w:rPr>
        <w:t>para</w:t>
      </w:r>
      <w:r>
        <w:rPr>
          <w:color w:val="231F20"/>
          <w:spacing w:val="-8"/>
          <w:w w:val="110"/>
        </w:rPr>
        <w:t> </w:t>
      </w:r>
      <w:r>
        <w:rPr>
          <w:color w:val="231F20"/>
          <w:w w:val="110"/>
        </w:rPr>
        <w:t>Posen</w:t>
      </w:r>
      <w:r>
        <w:rPr>
          <w:color w:val="231F20"/>
          <w:spacing w:val="-8"/>
          <w:w w:val="110"/>
        </w:rPr>
        <w:t> </w:t>
      </w:r>
      <w:r>
        <w:rPr>
          <w:color w:val="231F20"/>
          <w:w w:val="110"/>
        </w:rPr>
        <w:t>(2009),</w:t>
      </w:r>
      <w:r>
        <w:rPr>
          <w:color w:val="231F20"/>
          <w:spacing w:val="-8"/>
          <w:w w:val="110"/>
        </w:rPr>
        <w:t> </w:t>
      </w:r>
      <w:r>
        <w:rPr>
          <w:color w:val="231F20"/>
          <w:w w:val="110"/>
        </w:rPr>
        <w:t>muchas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ventajas</w:t>
      </w:r>
      <w:r>
        <w:rPr>
          <w:color w:val="231F20"/>
          <w:spacing w:val="-8"/>
          <w:w w:val="110"/>
        </w:rPr>
        <w:t> </w:t>
      </w:r>
      <w:r>
        <w:rPr>
          <w:color w:val="231F20"/>
          <w:w w:val="110"/>
        </w:rPr>
        <w:t>militares</w:t>
      </w:r>
      <w:r>
        <w:rPr>
          <w:color w:val="231F20"/>
          <w:spacing w:val="-8"/>
          <w:w w:val="110"/>
        </w:rPr>
        <w:t> </w:t>
      </w:r>
      <w:r>
        <w:rPr>
          <w:color w:val="231F20"/>
          <w:w w:val="110"/>
        </w:rPr>
        <w:t>de que goza Estados Unidos en cuanto a acceso a tecnología y a áreas geográficas claves, así como muchos de los atributos de su “poder blando” en el terreno cultural, político e ideológico, están</w:t>
      </w:r>
      <w:r>
        <w:rPr>
          <w:color w:val="231F20"/>
          <w:spacing w:val="-25"/>
          <w:w w:val="110"/>
        </w:rPr>
        <w:t> </w:t>
      </w:r>
      <w:r>
        <w:rPr>
          <w:color w:val="231F20"/>
          <w:w w:val="110"/>
        </w:rPr>
        <w:t>asentados, en</w:t>
      </w:r>
      <w:r>
        <w:rPr>
          <w:color w:val="231F20"/>
          <w:spacing w:val="-12"/>
          <w:w w:val="110"/>
        </w:rPr>
        <w:t> </w:t>
      </w:r>
      <w:r>
        <w:rPr>
          <w:color w:val="231F20"/>
          <w:w w:val="110"/>
        </w:rPr>
        <w:t>parte,</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fortaleza</w:t>
      </w:r>
      <w:r>
        <w:rPr>
          <w:color w:val="231F20"/>
          <w:spacing w:val="-12"/>
          <w:w w:val="110"/>
        </w:rPr>
        <w:t> </w:t>
      </w:r>
      <w:r>
        <w:rPr>
          <w:color w:val="231F20"/>
          <w:w w:val="110"/>
        </w:rPr>
        <w:t>económica</w:t>
      </w:r>
      <w:r>
        <w:rPr>
          <w:color w:val="231F20"/>
          <w:spacing w:val="-12"/>
          <w:w w:val="110"/>
        </w:rPr>
        <w:t> </w:t>
      </w:r>
      <w:r>
        <w:rPr>
          <w:color w:val="231F20"/>
          <w:w w:val="110"/>
        </w:rPr>
        <w:t>y</w:t>
      </w:r>
      <w:r>
        <w:rPr>
          <w:color w:val="231F20"/>
          <w:spacing w:val="-12"/>
          <w:w w:val="110"/>
        </w:rPr>
        <w:t> </w:t>
      </w:r>
      <w:r>
        <w:rPr>
          <w:color w:val="231F20"/>
          <w:w w:val="110"/>
        </w:rPr>
        <w:t>financiera</w:t>
      </w:r>
      <w:r>
        <w:rPr>
          <w:color w:val="231F20"/>
          <w:spacing w:val="-12"/>
          <w:w w:val="110"/>
        </w:rPr>
        <w:t> </w:t>
      </w:r>
      <w:r>
        <w:rPr>
          <w:color w:val="231F20"/>
          <w:w w:val="110"/>
        </w:rPr>
        <w:t>global</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nación. De ahí que este analista considere que un mayor endeudamiento ex- terno de Estados Unidos, a través de los déficit de cuenta corriente, erosionaría su credibilidad y la voluntad de otras economías para profundizar</w:t>
      </w:r>
      <w:r>
        <w:rPr>
          <w:color w:val="231F20"/>
          <w:spacing w:val="-14"/>
          <w:w w:val="110"/>
        </w:rPr>
        <w:t> </w:t>
      </w:r>
      <w:r>
        <w:rPr>
          <w:color w:val="231F20"/>
          <w:w w:val="110"/>
        </w:rPr>
        <w:t>sus</w:t>
      </w:r>
      <w:r>
        <w:rPr>
          <w:color w:val="231F20"/>
          <w:spacing w:val="-14"/>
          <w:w w:val="110"/>
        </w:rPr>
        <w:t> </w:t>
      </w:r>
      <w:r>
        <w:rPr>
          <w:color w:val="231F20"/>
          <w:w w:val="110"/>
        </w:rPr>
        <w:t>vínculos</w:t>
      </w:r>
      <w:r>
        <w:rPr>
          <w:color w:val="231F20"/>
          <w:spacing w:val="-14"/>
          <w:w w:val="110"/>
        </w:rPr>
        <w:t> </w:t>
      </w:r>
      <w:r>
        <w:rPr>
          <w:color w:val="231F20"/>
          <w:w w:val="110"/>
        </w:rPr>
        <w:t>con</w:t>
      </w:r>
      <w:r>
        <w:rPr>
          <w:color w:val="231F20"/>
          <w:spacing w:val="-14"/>
          <w:w w:val="110"/>
        </w:rPr>
        <w:t> </w:t>
      </w:r>
      <w:r>
        <w:rPr>
          <w:color w:val="231F20"/>
          <w:w w:val="110"/>
        </w:rPr>
        <w:t>este</w:t>
      </w:r>
      <w:r>
        <w:rPr>
          <w:color w:val="231F20"/>
          <w:spacing w:val="-14"/>
          <w:w w:val="110"/>
        </w:rPr>
        <w:t> </w:t>
      </w:r>
      <w:r>
        <w:rPr>
          <w:color w:val="231F20"/>
          <w:w w:val="110"/>
        </w:rPr>
        <w:t>país.</w:t>
      </w:r>
      <w:r>
        <w:rPr>
          <w:color w:val="231F20"/>
          <w:spacing w:val="-14"/>
          <w:w w:val="110"/>
        </w:rPr>
        <w:t> </w:t>
      </w:r>
      <w:r>
        <w:rPr>
          <w:color w:val="231F20"/>
          <w:w w:val="110"/>
        </w:rPr>
        <w:t>Esto</w:t>
      </w:r>
      <w:r>
        <w:rPr>
          <w:color w:val="231F20"/>
          <w:spacing w:val="-14"/>
          <w:w w:val="110"/>
        </w:rPr>
        <w:t> </w:t>
      </w:r>
      <w:r>
        <w:rPr>
          <w:color w:val="231F20"/>
          <w:w w:val="110"/>
        </w:rPr>
        <w:t>crearía</w:t>
      </w:r>
      <w:r>
        <w:rPr>
          <w:color w:val="231F20"/>
          <w:spacing w:val="-14"/>
          <w:w w:val="110"/>
        </w:rPr>
        <w:t> </w:t>
      </w:r>
      <w:r>
        <w:rPr>
          <w:color w:val="231F20"/>
          <w:w w:val="110"/>
        </w:rPr>
        <w:t>un</w:t>
      </w:r>
      <w:r>
        <w:rPr>
          <w:color w:val="231F20"/>
          <w:spacing w:val="-14"/>
          <w:w w:val="110"/>
        </w:rPr>
        <w:t> </w:t>
      </w:r>
      <w:r>
        <w:rPr>
          <w:color w:val="231F20"/>
          <w:w w:val="110"/>
        </w:rPr>
        <w:t>círculo</w:t>
      </w:r>
      <w:r>
        <w:rPr>
          <w:color w:val="231F20"/>
          <w:spacing w:val="-14"/>
          <w:w w:val="110"/>
        </w:rPr>
        <w:t> </w:t>
      </w:r>
      <w:r>
        <w:rPr>
          <w:color w:val="231F20"/>
          <w:w w:val="110"/>
        </w:rPr>
        <w:t>vicioso en el que una mayor debilidad económica, impulsaría una disminu- ción de su capacidad para mantener posiciones de fuerza en asuntos externos directamente vinculados a su seguridad</w:t>
      </w:r>
      <w:r>
        <w:rPr>
          <w:color w:val="231F20"/>
          <w:spacing w:val="48"/>
          <w:w w:val="110"/>
        </w:rPr>
        <w:t> </w:t>
      </w:r>
      <w:r>
        <w:rPr>
          <w:color w:val="231F20"/>
          <w:w w:val="110"/>
        </w:rPr>
        <w:t>nacional.</w:t>
      </w:r>
    </w:p>
    <w:p>
      <w:pPr>
        <w:pStyle w:val="BodyText"/>
        <w:spacing w:line="261" w:lineRule="auto"/>
        <w:ind w:left="100" w:right="117" w:firstLine="240"/>
        <w:jc w:val="both"/>
      </w:pPr>
      <w:r>
        <w:rPr>
          <w:color w:val="231F20"/>
          <w:w w:val="110"/>
        </w:rPr>
        <w:t>La proliferación de declaraciones y estudios académicos en este sentido</w:t>
      </w:r>
      <w:r>
        <w:rPr>
          <w:color w:val="231F20"/>
          <w:spacing w:val="-9"/>
          <w:w w:val="110"/>
        </w:rPr>
        <w:t> </w:t>
      </w:r>
      <w:r>
        <w:rPr>
          <w:color w:val="231F20"/>
          <w:w w:val="110"/>
        </w:rPr>
        <w:t>deben</w:t>
      </w:r>
      <w:r>
        <w:rPr>
          <w:color w:val="231F20"/>
          <w:spacing w:val="-9"/>
          <w:w w:val="110"/>
        </w:rPr>
        <w:t> </w:t>
      </w:r>
      <w:r>
        <w:rPr>
          <w:color w:val="231F20"/>
          <w:w w:val="110"/>
        </w:rPr>
        <w:t>ser</w:t>
      </w:r>
      <w:r>
        <w:rPr>
          <w:color w:val="231F20"/>
          <w:spacing w:val="-9"/>
          <w:w w:val="110"/>
        </w:rPr>
        <w:t> </w:t>
      </w:r>
      <w:r>
        <w:rPr>
          <w:color w:val="231F20"/>
          <w:w w:val="110"/>
        </w:rPr>
        <w:t>objeto</w:t>
      </w:r>
      <w:r>
        <w:rPr>
          <w:color w:val="231F20"/>
          <w:spacing w:val="-9"/>
          <w:w w:val="110"/>
        </w:rPr>
        <w:t> </w:t>
      </w:r>
      <w:r>
        <w:rPr>
          <w:color w:val="231F20"/>
          <w:w w:val="110"/>
        </w:rPr>
        <w:t>de</w:t>
      </w:r>
      <w:r>
        <w:rPr>
          <w:color w:val="231F20"/>
          <w:spacing w:val="-9"/>
          <w:w w:val="110"/>
        </w:rPr>
        <w:t> </w:t>
      </w:r>
      <w:r>
        <w:rPr>
          <w:color w:val="231F20"/>
          <w:w w:val="110"/>
        </w:rPr>
        <w:t>especial</w:t>
      </w:r>
      <w:r>
        <w:rPr>
          <w:color w:val="231F20"/>
          <w:spacing w:val="-9"/>
          <w:w w:val="110"/>
        </w:rPr>
        <w:t> </w:t>
      </w:r>
      <w:r>
        <w:rPr>
          <w:color w:val="231F20"/>
          <w:w w:val="110"/>
        </w:rPr>
        <w:t>atención</w:t>
      </w:r>
      <w:r>
        <w:rPr>
          <w:color w:val="231F20"/>
          <w:spacing w:val="-9"/>
          <w:w w:val="110"/>
        </w:rPr>
        <w:t> </w:t>
      </w:r>
      <w:r>
        <w:rPr>
          <w:color w:val="231F20"/>
          <w:w w:val="110"/>
        </w:rPr>
        <w:t>en</w:t>
      </w:r>
      <w:r>
        <w:rPr>
          <w:color w:val="231F20"/>
          <w:spacing w:val="-9"/>
          <w:w w:val="110"/>
        </w:rPr>
        <w:t> </w:t>
      </w:r>
      <w:r>
        <w:rPr>
          <w:color w:val="231F20"/>
          <w:w w:val="110"/>
        </w:rPr>
        <w:t>tanto</w:t>
      </w:r>
      <w:r>
        <w:rPr>
          <w:color w:val="231F20"/>
          <w:spacing w:val="-9"/>
          <w:w w:val="110"/>
        </w:rPr>
        <w:t> </w:t>
      </w:r>
      <w:r>
        <w:rPr>
          <w:color w:val="231F20"/>
          <w:w w:val="110"/>
        </w:rPr>
        <w:t>las</w:t>
      </w:r>
      <w:r>
        <w:rPr>
          <w:color w:val="231F20"/>
          <w:spacing w:val="-9"/>
          <w:w w:val="110"/>
        </w:rPr>
        <w:t> </w:t>
      </w:r>
      <w:r>
        <w:rPr>
          <w:color w:val="231F20"/>
          <w:w w:val="110"/>
        </w:rPr>
        <w:t>autoridades políticas estadunidenses se podrían servir del pretexto de que sus acreedores podrían amenazar potencialmente su seguridad nacional, para</w:t>
      </w:r>
      <w:r>
        <w:rPr>
          <w:color w:val="231F20"/>
          <w:spacing w:val="-20"/>
          <w:w w:val="110"/>
        </w:rPr>
        <w:t> </w:t>
      </w:r>
      <w:r>
        <w:rPr>
          <w:color w:val="231F20"/>
          <w:w w:val="110"/>
        </w:rPr>
        <w:t>justificar</w:t>
      </w:r>
      <w:r>
        <w:rPr>
          <w:color w:val="231F20"/>
          <w:spacing w:val="-20"/>
          <w:w w:val="110"/>
        </w:rPr>
        <w:t> </w:t>
      </w:r>
      <w:r>
        <w:rPr>
          <w:color w:val="231F20"/>
          <w:w w:val="110"/>
        </w:rPr>
        <w:t>represalias</w:t>
      </w:r>
      <w:r>
        <w:rPr>
          <w:color w:val="231F20"/>
          <w:spacing w:val="-20"/>
          <w:w w:val="110"/>
        </w:rPr>
        <w:t> </w:t>
      </w:r>
      <w:r>
        <w:rPr>
          <w:color w:val="231F20"/>
          <w:w w:val="110"/>
        </w:rPr>
        <w:t>económicas,</w:t>
      </w:r>
      <w:r>
        <w:rPr>
          <w:color w:val="231F20"/>
          <w:spacing w:val="-20"/>
          <w:w w:val="110"/>
        </w:rPr>
        <w:t> </w:t>
      </w:r>
      <w:r>
        <w:rPr>
          <w:color w:val="231F20"/>
          <w:w w:val="110"/>
        </w:rPr>
        <w:t>políticas</w:t>
      </w:r>
      <w:r>
        <w:rPr>
          <w:color w:val="231F20"/>
          <w:spacing w:val="-20"/>
          <w:w w:val="110"/>
        </w:rPr>
        <w:t> </w:t>
      </w:r>
      <w:r>
        <w:rPr>
          <w:color w:val="231F20"/>
          <w:w w:val="110"/>
        </w:rPr>
        <w:t>y</w:t>
      </w:r>
      <w:r>
        <w:rPr>
          <w:color w:val="231F20"/>
          <w:spacing w:val="-20"/>
          <w:w w:val="110"/>
        </w:rPr>
        <w:t> </w:t>
      </w:r>
      <w:r>
        <w:rPr>
          <w:color w:val="231F20"/>
          <w:w w:val="110"/>
        </w:rPr>
        <w:t>hasta</w:t>
      </w:r>
      <w:r>
        <w:rPr>
          <w:color w:val="231F20"/>
          <w:spacing w:val="-20"/>
          <w:w w:val="110"/>
        </w:rPr>
        <w:t> </w:t>
      </w:r>
      <w:r>
        <w:rPr>
          <w:color w:val="231F20"/>
          <w:w w:val="110"/>
        </w:rPr>
        <w:t>militares,</w:t>
      </w:r>
      <w:r>
        <w:rPr>
          <w:color w:val="231F20"/>
          <w:spacing w:val="-20"/>
          <w:w w:val="110"/>
        </w:rPr>
        <w:t> </w:t>
      </w:r>
      <w:r>
        <w:rPr>
          <w:color w:val="231F20"/>
          <w:w w:val="110"/>
        </w:rPr>
        <w:t>con- tra países específicos, tal y como ha sucedido con otros temas como el terrorismo y el</w:t>
      </w:r>
      <w:r>
        <w:rPr>
          <w:color w:val="231F20"/>
          <w:spacing w:val="18"/>
          <w:w w:val="110"/>
        </w:rPr>
        <w:t> </w:t>
      </w:r>
      <w:r>
        <w:rPr>
          <w:color w:val="231F20"/>
          <w:w w:val="110"/>
        </w:rPr>
        <w:t>narcotráfico.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6" w:firstLine="240"/>
        <w:jc w:val="both"/>
      </w:pPr>
      <w:r>
        <w:rPr>
          <w:color w:val="231F20"/>
          <w:w w:val="110"/>
        </w:rPr>
        <w:t>Por otra parte, una de las más claras evidencias de los efectos  que ha ido teniendo el desequilibrio externo de la economía esta- dunidense y de cómo se ha visto afectada la voluntad de sus princi- pales acreedores para mantener su financiamiento, es el gradual y prolongado proceso de depreciación que sufrió el dólar entre 2002  y mediados de 2008. Esta pérdida de valor estuvo directamente vin- culada con la excesiva oferta de activos financieros estadunidenses en los mercados internacionales, para cubrir el déficit de recursos internos. El hecho de que esta depreciación haya sido gradual y sin movimientos desordenados, respondió en parte a las intervenciones de</w:t>
      </w:r>
      <w:r>
        <w:rPr>
          <w:color w:val="231F20"/>
          <w:spacing w:val="-21"/>
          <w:w w:val="110"/>
        </w:rPr>
        <w:t> </w:t>
      </w:r>
      <w:r>
        <w:rPr>
          <w:color w:val="231F20"/>
          <w:w w:val="110"/>
        </w:rPr>
        <w:t>las</w:t>
      </w:r>
      <w:r>
        <w:rPr>
          <w:color w:val="231F20"/>
          <w:spacing w:val="-21"/>
          <w:w w:val="110"/>
        </w:rPr>
        <w:t> </w:t>
      </w:r>
      <w:r>
        <w:rPr>
          <w:color w:val="231F20"/>
          <w:w w:val="110"/>
        </w:rPr>
        <w:t>autoridades</w:t>
      </w:r>
      <w:r>
        <w:rPr>
          <w:color w:val="231F20"/>
          <w:spacing w:val="-21"/>
          <w:w w:val="110"/>
        </w:rPr>
        <w:t> </w:t>
      </w:r>
      <w:r>
        <w:rPr>
          <w:color w:val="231F20"/>
          <w:w w:val="110"/>
        </w:rPr>
        <w:t>monetarias</w:t>
      </w:r>
      <w:r>
        <w:rPr>
          <w:color w:val="231F20"/>
          <w:spacing w:val="-21"/>
          <w:w w:val="110"/>
        </w:rPr>
        <w:t> </w:t>
      </w:r>
      <w:r>
        <w:rPr>
          <w:color w:val="231F20"/>
          <w:w w:val="110"/>
        </w:rPr>
        <w:t>de</w:t>
      </w:r>
      <w:r>
        <w:rPr>
          <w:color w:val="231F20"/>
          <w:spacing w:val="-21"/>
          <w:w w:val="110"/>
        </w:rPr>
        <w:t> </w:t>
      </w:r>
      <w:r>
        <w:rPr>
          <w:color w:val="231F20"/>
          <w:w w:val="110"/>
        </w:rPr>
        <w:t>diversos</w:t>
      </w:r>
      <w:r>
        <w:rPr>
          <w:color w:val="231F20"/>
          <w:spacing w:val="-21"/>
          <w:w w:val="110"/>
        </w:rPr>
        <w:t> </w:t>
      </w:r>
      <w:r>
        <w:rPr>
          <w:color w:val="231F20"/>
          <w:w w:val="110"/>
        </w:rPr>
        <w:t>países</w:t>
      </w:r>
      <w:r>
        <w:rPr>
          <w:color w:val="231F20"/>
          <w:spacing w:val="-21"/>
          <w:w w:val="110"/>
        </w:rPr>
        <w:t> </w:t>
      </w:r>
      <w:r>
        <w:rPr>
          <w:color w:val="231F20"/>
          <w:w w:val="110"/>
        </w:rPr>
        <w:t>para</w:t>
      </w:r>
      <w:r>
        <w:rPr>
          <w:color w:val="231F20"/>
          <w:spacing w:val="-21"/>
          <w:w w:val="110"/>
        </w:rPr>
        <w:t> </w:t>
      </w:r>
      <w:r>
        <w:rPr>
          <w:color w:val="231F20"/>
          <w:w w:val="110"/>
        </w:rPr>
        <w:t>evitar</w:t>
      </w:r>
      <w:r>
        <w:rPr>
          <w:color w:val="231F20"/>
          <w:spacing w:val="-21"/>
          <w:w w:val="110"/>
        </w:rPr>
        <w:t> </w:t>
      </w:r>
      <w:r>
        <w:rPr>
          <w:color w:val="231F20"/>
          <w:w w:val="110"/>
        </w:rPr>
        <w:t>la</w:t>
      </w:r>
      <w:r>
        <w:rPr>
          <w:color w:val="231F20"/>
          <w:spacing w:val="-21"/>
          <w:w w:val="110"/>
        </w:rPr>
        <w:t> </w:t>
      </w:r>
      <w:r>
        <w:rPr>
          <w:color w:val="231F20"/>
          <w:w w:val="110"/>
        </w:rPr>
        <w:t>aprecia- ción de sus monedas, en línea con la relación de interdependencia descrita</w:t>
      </w:r>
      <w:r>
        <w:rPr>
          <w:color w:val="231F20"/>
          <w:spacing w:val="13"/>
          <w:w w:val="110"/>
        </w:rPr>
        <w:t> </w:t>
      </w:r>
      <w:r>
        <w:rPr>
          <w:color w:val="231F20"/>
          <w:w w:val="110"/>
        </w:rPr>
        <w:t>antes.</w:t>
      </w:r>
    </w:p>
    <w:p>
      <w:pPr>
        <w:pStyle w:val="BodyText"/>
        <w:spacing w:line="261" w:lineRule="auto"/>
        <w:ind w:left="100" w:right="117" w:firstLine="240"/>
        <w:jc w:val="both"/>
      </w:pPr>
      <w:r>
        <w:rPr>
          <w:color w:val="231F20"/>
          <w:w w:val="110"/>
        </w:rPr>
        <w:t>Sin embargo, más significativo resulta que, a partir de la</w:t>
      </w:r>
      <w:r>
        <w:rPr>
          <w:color w:val="231F20"/>
          <w:spacing w:val="-37"/>
          <w:w w:val="110"/>
        </w:rPr>
        <w:t> </w:t>
      </w:r>
      <w:r>
        <w:rPr>
          <w:color w:val="231F20"/>
          <w:w w:val="110"/>
        </w:rPr>
        <w:t>amenaza real que significó para la salud financiera de muchas economías</w:t>
      </w:r>
      <w:r>
        <w:rPr>
          <w:color w:val="231F20"/>
          <w:spacing w:val="-11"/>
          <w:w w:val="110"/>
        </w:rPr>
        <w:t> </w:t>
      </w:r>
      <w:r>
        <w:rPr>
          <w:color w:val="231F20"/>
          <w:w w:val="110"/>
        </w:rPr>
        <w:t>esta pérdida</w:t>
      </w:r>
      <w:r>
        <w:rPr>
          <w:color w:val="231F20"/>
          <w:spacing w:val="-9"/>
          <w:w w:val="110"/>
        </w:rPr>
        <w:t> </w:t>
      </w:r>
      <w:r>
        <w:rPr>
          <w:color w:val="231F20"/>
          <w:w w:val="110"/>
        </w:rPr>
        <w:t>de</w:t>
      </w:r>
      <w:r>
        <w:rPr>
          <w:color w:val="231F20"/>
          <w:spacing w:val="-9"/>
          <w:w w:val="110"/>
        </w:rPr>
        <w:t> </w:t>
      </w:r>
      <w:r>
        <w:rPr>
          <w:color w:val="231F20"/>
          <w:w w:val="110"/>
        </w:rPr>
        <w:t>valor</w:t>
      </w:r>
      <w:r>
        <w:rPr>
          <w:color w:val="231F20"/>
          <w:spacing w:val="-9"/>
          <w:w w:val="110"/>
        </w:rPr>
        <w:t> </w:t>
      </w:r>
      <w:r>
        <w:rPr>
          <w:color w:val="231F20"/>
          <w:w w:val="110"/>
        </w:rPr>
        <w:t>del</w:t>
      </w:r>
      <w:r>
        <w:rPr>
          <w:color w:val="231F20"/>
          <w:spacing w:val="-9"/>
          <w:w w:val="110"/>
        </w:rPr>
        <w:t> </w:t>
      </w:r>
      <w:r>
        <w:rPr>
          <w:color w:val="231F20"/>
          <w:spacing w:val="-3"/>
          <w:w w:val="110"/>
        </w:rPr>
        <w:t>dólar,</w:t>
      </w:r>
      <w:r>
        <w:rPr>
          <w:color w:val="231F20"/>
          <w:spacing w:val="-9"/>
          <w:w w:val="110"/>
        </w:rPr>
        <w:t> </w:t>
      </w:r>
      <w:r>
        <w:rPr>
          <w:color w:val="231F20"/>
          <w:w w:val="110"/>
        </w:rPr>
        <w:t>se</w:t>
      </w:r>
      <w:r>
        <w:rPr>
          <w:color w:val="231F20"/>
          <w:spacing w:val="-9"/>
          <w:w w:val="110"/>
        </w:rPr>
        <w:t> </w:t>
      </w:r>
      <w:r>
        <w:rPr>
          <w:color w:val="231F20"/>
          <w:w w:val="110"/>
        </w:rPr>
        <w:t>hicieron</w:t>
      </w:r>
      <w:r>
        <w:rPr>
          <w:color w:val="231F20"/>
          <w:spacing w:val="-9"/>
          <w:w w:val="110"/>
        </w:rPr>
        <w:t> </w:t>
      </w:r>
      <w:r>
        <w:rPr>
          <w:color w:val="231F20"/>
          <w:w w:val="110"/>
        </w:rPr>
        <w:t>frecuentes</w:t>
      </w:r>
      <w:r>
        <w:rPr>
          <w:color w:val="231F20"/>
          <w:spacing w:val="-9"/>
          <w:w w:val="110"/>
        </w:rPr>
        <w:t> </w:t>
      </w:r>
      <w:r>
        <w:rPr>
          <w:color w:val="231F20"/>
          <w:w w:val="110"/>
        </w:rPr>
        <w:t>las</w:t>
      </w:r>
      <w:r>
        <w:rPr>
          <w:color w:val="231F20"/>
          <w:spacing w:val="-9"/>
          <w:w w:val="110"/>
        </w:rPr>
        <w:t> </w:t>
      </w:r>
      <w:r>
        <w:rPr>
          <w:color w:val="231F20"/>
          <w:w w:val="110"/>
        </w:rPr>
        <w:t>declaraciones</w:t>
      </w:r>
      <w:r>
        <w:rPr>
          <w:color w:val="231F20"/>
          <w:spacing w:val="-9"/>
          <w:w w:val="110"/>
        </w:rPr>
        <w:t> </w:t>
      </w:r>
      <w:r>
        <w:rPr>
          <w:color w:val="231F20"/>
          <w:w w:val="110"/>
        </w:rPr>
        <w:t>de diversas</w:t>
      </w:r>
      <w:r>
        <w:rPr>
          <w:color w:val="231F20"/>
          <w:spacing w:val="-12"/>
          <w:w w:val="110"/>
        </w:rPr>
        <w:t> </w:t>
      </w:r>
      <w:r>
        <w:rPr>
          <w:color w:val="231F20"/>
          <w:w w:val="110"/>
        </w:rPr>
        <w:t>autoridades</w:t>
      </w:r>
      <w:r>
        <w:rPr>
          <w:color w:val="231F20"/>
          <w:spacing w:val="-12"/>
          <w:w w:val="110"/>
        </w:rPr>
        <w:t> </w:t>
      </w:r>
      <w:r>
        <w:rPr>
          <w:color w:val="231F20"/>
          <w:w w:val="110"/>
        </w:rPr>
        <w:t>monetarias</w:t>
      </w:r>
      <w:r>
        <w:rPr>
          <w:color w:val="231F20"/>
          <w:spacing w:val="-12"/>
          <w:w w:val="110"/>
        </w:rPr>
        <w:t> </w:t>
      </w:r>
      <w:r>
        <w:rPr>
          <w:color w:val="231F20"/>
          <w:w w:val="110"/>
        </w:rPr>
        <w:t>acerca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intención</w:t>
      </w:r>
      <w:r>
        <w:rPr>
          <w:color w:val="231F20"/>
          <w:spacing w:val="-12"/>
          <w:w w:val="110"/>
        </w:rPr>
        <w:t> </w:t>
      </w:r>
      <w:r>
        <w:rPr>
          <w:color w:val="231F20"/>
          <w:w w:val="110"/>
        </w:rPr>
        <w:t>de</w:t>
      </w:r>
      <w:r>
        <w:rPr>
          <w:color w:val="231F20"/>
          <w:spacing w:val="-12"/>
          <w:w w:val="110"/>
        </w:rPr>
        <w:t> </w:t>
      </w:r>
      <w:r>
        <w:rPr>
          <w:color w:val="231F20"/>
          <w:w w:val="110"/>
        </w:rPr>
        <w:t>diversificar sus reservas internacionales, aumentando la participación de otras divisas</w:t>
      </w:r>
      <w:r>
        <w:rPr>
          <w:color w:val="231F20"/>
          <w:spacing w:val="-5"/>
          <w:w w:val="110"/>
        </w:rPr>
        <w:t> </w:t>
      </w:r>
      <w:r>
        <w:rPr>
          <w:color w:val="231F20"/>
          <w:w w:val="110"/>
        </w:rPr>
        <w:t>e,</w:t>
      </w:r>
      <w:r>
        <w:rPr>
          <w:color w:val="231F20"/>
          <w:spacing w:val="-5"/>
          <w:w w:val="110"/>
        </w:rPr>
        <w:t> </w:t>
      </w:r>
      <w:r>
        <w:rPr>
          <w:color w:val="231F20"/>
          <w:w w:val="110"/>
        </w:rPr>
        <w:t>incluso,</w:t>
      </w:r>
      <w:r>
        <w:rPr>
          <w:color w:val="231F20"/>
          <w:spacing w:val="-5"/>
          <w:w w:val="110"/>
        </w:rPr>
        <w:t> </w:t>
      </w:r>
      <w:r>
        <w:rPr>
          <w:color w:val="231F20"/>
          <w:w w:val="110"/>
        </w:rPr>
        <w:t>el</w:t>
      </w:r>
      <w:r>
        <w:rPr>
          <w:color w:val="231F20"/>
          <w:spacing w:val="-5"/>
          <w:w w:val="110"/>
        </w:rPr>
        <w:t> </w:t>
      </w:r>
      <w:r>
        <w:rPr>
          <w:color w:val="231F20"/>
          <w:w w:val="110"/>
        </w:rPr>
        <w:t>oro.</w:t>
      </w:r>
      <w:r>
        <w:rPr>
          <w:color w:val="231F20"/>
          <w:spacing w:val="-5"/>
          <w:w w:val="110"/>
        </w:rPr>
        <w:t> </w:t>
      </w:r>
      <w:r>
        <w:rPr>
          <w:color w:val="231F20"/>
          <w:w w:val="110"/>
        </w:rPr>
        <w:t>Las</w:t>
      </w:r>
      <w:r>
        <w:rPr>
          <w:color w:val="231F20"/>
          <w:spacing w:val="-5"/>
          <w:w w:val="110"/>
        </w:rPr>
        <w:t> </w:t>
      </w:r>
      <w:r>
        <w:rPr>
          <w:color w:val="231F20"/>
          <w:w w:val="110"/>
        </w:rPr>
        <w:t>autoridades</w:t>
      </w:r>
      <w:r>
        <w:rPr>
          <w:color w:val="231F20"/>
          <w:spacing w:val="-5"/>
          <w:w w:val="110"/>
        </w:rPr>
        <w:t> </w:t>
      </w:r>
      <w:r>
        <w:rPr>
          <w:color w:val="231F20"/>
          <w:w w:val="110"/>
        </w:rPr>
        <w:t>monetarias</w:t>
      </w:r>
      <w:r>
        <w:rPr>
          <w:color w:val="231F20"/>
          <w:spacing w:val="-5"/>
          <w:w w:val="110"/>
        </w:rPr>
        <w:t> </w:t>
      </w:r>
      <w:r>
        <w:rPr>
          <w:color w:val="231F20"/>
          <w:w w:val="110"/>
        </w:rPr>
        <w:t>de</w:t>
      </w:r>
      <w:r>
        <w:rPr>
          <w:color w:val="231F20"/>
          <w:spacing w:val="-5"/>
          <w:w w:val="110"/>
        </w:rPr>
        <w:t> </w:t>
      </w:r>
      <w:r>
        <w:rPr>
          <w:color w:val="231F20"/>
          <w:w w:val="110"/>
        </w:rPr>
        <w:t>países</w:t>
      </w:r>
      <w:r>
        <w:rPr>
          <w:color w:val="231F20"/>
          <w:spacing w:val="-5"/>
          <w:w w:val="110"/>
        </w:rPr>
        <w:t> </w:t>
      </w:r>
      <w:r>
        <w:rPr>
          <w:color w:val="231F20"/>
          <w:w w:val="110"/>
        </w:rPr>
        <w:t>como China, Rusia, Venezuela, Suiza y Emiratos Árabes Unidos han</w:t>
      </w:r>
      <w:r>
        <w:rPr>
          <w:color w:val="231F20"/>
          <w:spacing w:val="-12"/>
          <w:w w:val="110"/>
        </w:rPr>
        <w:t> </w:t>
      </w:r>
      <w:r>
        <w:rPr>
          <w:color w:val="231F20"/>
          <w:w w:val="110"/>
        </w:rPr>
        <w:t>dado pasos en esa</w:t>
      </w:r>
      <w:r>
        <w:rPr>
          <w:color w:val="231F20"/>
          <w:spacing w:val="11"/>
          <w:w w:val="110"/>
        </w:rPr>
        <w:t> </w:t>
      </w:r>
      <w:r>
        <w:rPr>
          <w:color w:val="231F20"/>
          <w:w w:val="110"/>
        </w:rPr>
        <w:t>dirección.</w:t>
      </w:r>
    </w:p>
    <w:p>
      <w:pPr>
        <w:pStyle w:val="BodyText"/>
        <w:spacing w:line="261" w:lineRule="auto"/>
        <w:ind w:left="100" w:right="113" w:firstLine="240"/>
        <w:jc w:val="both"/>
      </w:pPr>
      <w:r>
        <w:rPr>
          <w:color w:val="231F20"/>
          <w:w w:val="110"/>
        </w:rPr>
        <w:t>A ello se le agrega la diversificación de las monedas utilizadas</w:t>
      </w:r>
      <w:r>
        <w:rPr>
          <w:color w:val="231F20"/>
          <w:spacing w:val="-17"/>
          <w:w w:val="110"/>
        </w:rPr>
        <w:t> </w:t>
      </w:r>
      <w:r>
        <w:rPr>
          <w:color w:val="231F20"/>
          <w:w w:val="110"/>
        </w:rPr>
        <w:t>en transacciones internacionales vitales como el comercio de petróleo. </w:t>
      </w:r>
      <w:r>
        <w:rPr>
          <w:color w:val="231F20"/>
          <w:spacing w:val="-3"/>
          <w:w w:val="110"/>
        </w:rPr>
        <w:t>Ya </w:t>
      </w:r>
      <w:r>
        <w:rPr>
          <w:color w:val="231F20"/>
          <w:w w:val="110"/>
        </w:rPr>
        <w:t>en el año 2000, Irak había convertido todas sus transacciones petroleras a euros, vulnerando la hegemonía que había mantenido   el dólar en el comercio mundial del crudo desde mediados de los setenta, cuando Estados Unidos logró que la opep aceptara comer- cializar el petróleo sólo en</w:t>
      </w:r>
      <w:r>
        <w:rPr>
          <w:color w:val="231F20"/>
          <w:spacing w:val="26"/>
          <w:w w:val="110"/>
        </w:rPr>
        <w:t> </w:t>
      </w:r>
      <w:r>
        <w:rPr>
          <w:color w:val="231F20"/>
          <w:w w:val="110"/>
        </w:rPr>
        <w:t>dólares.</w:t>
      </w:r>
    </w:p>
    <w:p>
      <w:pPr>
        <w:pStyle w:val="BodyText"/>
        <w:spacing w:line="261" w:lineRule="auto"/>
        <w:ind w:left="100" w:right="119" w:firstLine="240"/>
        <w:jc w:val="both"/>
      </w:pPr>
      <w:r>
        <w:rPr>
          <w:color w:val="231F20"/>
          <w:w w:val="110"/>
        </w:rPr>
        <w:t>Irán,</w:t>
      </w:r>
      <w:r>
        <w:rPr>
          <w:color w:val="231F20"/>
          <w:spacing w:val="24"/>
          <w:w w:val="110"/>
        </w:rPr>
        <w:t> </w:t>
      </w:r>
      <w:r>
        <w:rPr>
          <w:color w:val="231F20"/>
          <w:w w:val="110"/>
        </w:rPr>
        <w:t>que</w:t>
      </w:r>
      <w:r>
        <w:rPr>
          <w:color w:val="231F20"/>
          <w:spacing w:val="24"/>
          <w:w w:val="110"/>
        </w:rPr>
        <w:t> </w:t>
      </w:r>
      <w:r>
        <w:rPr>
          <w:color w:val="231F20"/>
          <w:w w:val="110"/>
        </w:rPr>
        <w:t>es</w:t>
      </w:r>
      <w:r>
        <w:rPr>
          <w:color w:val="231F20"/>
          <w:spacing w:val="24"/>
          <w:w w:val="110"/>
        </w:rPr>
        <w:t> </w:t>
      </w:r>
      <w:r>
        <w:rPr>
          <w:color w:val="231F20"/>
          <w:w w:val="110"/>
        </w:rPr>
        <w:t>el</w:t>
      </w:r>
      <w:r>
        <w:rPr>
          <w:color w:val="231F20"/>
          <w:spacing w:val="24"/>
          <w:w w:val="110"/>
        </w:rPr>
        <w:t> </w:t>
      </w:r>
      <w:r>
        <w:rPr>
          <w:color w:val="231F20"/>
          <w:w w:val="110"/>
        </w:rPr>
        <w:t>cuarto</w:t>
      </w:r>
      <w:r>
        <w:rPr>
          <w:color w:val="231F20"/>
          <w:spacing w:val="24"/>
          <w:w w:val="110"/>
        </w:rPr>
        <w:t> </w:t>
      </w:r>
      <w:r>
        <w:rPr>
          <w:color w:val="231F20"/>
          <w:w w:val="110"/>
        </w:rPr>
        <w:t>productor</w:t>
      </w:r>
      <w:r>
        <w:rPr>
          <w:color w:val="231F20"/>
          <w:spacing w:val="24"/>
          <w:w w:val="110"/>
        </w:rPr>
        <w:t> </w:t>
      </w:r>
      <w:r>
        <w:rPr>
          <w:color w:val="231F20"/>
          <w:w w:val="110"/>
        </w:rPr>
        <w:t>mundial</w:t>
      </w:r>
      <w:r>
        <w:rPr>
          <w:color w:val="231F20"/>
          <w:spacing w:val="24"/>
          <w:w w:val="110"/>
        </w:rPr>
        <w:t> </w:t>
      </w:r>
      <w:r>
        <w:rPr>
          <w:color w:val="231F20"/>
          <w:w w:val="110"/>
        </w:rPr>
        <w:t>de</w:t>
      </w:r>
      <w:r>
        <w:rPr>
          <w:color w:val="231F20"/>
          <w:spacing w:val="24"/>
          <w:w w:val="110"/>
        </w:rPr>
        <w:t> </w:t>
      </w:r>
      <w:r>
        <w:rPr>
          <w:color w:val="231F20"/>
          <w:w w:val="110"/>
        </w:rPr>
        <w:t>petróleo,</w:t>
      </w:r>
      <w:r>
        <w:rPr>
          <w:color w:val="231F20"/>
          <w:spacing w:val="24"/>
          <w:w w:val="110"/>
        </w:rPr>
        <w:t> </w:t>
      </w:r>
      <w:r>
        <w:rPr>
          <w:color w:val="231F20"/>
          <w:w w:val="110"/>
        </w:rPr>
        <w:t>ha</w:t>
      </w:r>
      <w:r>
        <w:rPr>
          <w:color w:val="231F20"/>
          <w:spacing w:val="24"/>
          <w:w w:val="110"/>
        </w:rPr>
        <w:t> </w:t>
      </w:r>
      <w:r>
        <w:rPr>
          <w:color w:val="231F20"/>
          <w:w w:val="110"/>
        </w:rPr>
        <w:t>puesto</w:t>
      </w:r>
      <w:r>
        <w:rPr>
          <w:color w:val="231F20"/>
          <w:w w:val="111"/>
        </w:rPr>
        <w:t> </w:t>
      </w:r>
      <w:r>
        <w:rPr>
          <w:color w:val="231F20"/>
          <w:w w:val="110"/>
        </w:rPr>
        <w:t>en marcha una bolsa internacional de petróleo (Iranian Oil</w:t>
      </w:r>
      <w:r>
        <w:rPr>
          <w:color w:val="231F20"/>
          <w:spacing w:val="6"/>
          <w:w w:val="110"/>
        </w:rPr>
        <w:t> </w:t>
      </w:r>
      <w:r>
        <w:rPr>
          <w:color w:val="231F20"/>
          <w:w w:val="110"/>
        </w:rPr>
        <w:t>Bourse),</w:t>
      </w:r>
      <w:r>
        <w:rPr>
          <w:color w:val="231F20"/>
          <w:w w:val="109"/>
        </w:rPr>
        <w:t> </w:t>
      </w:r>
      <w:r>
        <w:rPr>
          <w:color w:val="231F20"/>
          <w:w w:val="110"/>
        </w:rPr>
        <w:t>que</w:t>
      </w:r>
      <w:r>
        <w:rPr>
          <w:color w:val="231F20"/>
          <w:spacing w:val="-13"/>
          <w:w w:val="110"/>
        </w:rPr>
        <w:t> </w:t>
      </w:r>
      <w:r>
        <w:rPr>
          <w:color w:val="231F20"/>
          <w:w w:val="110"/>
        </w:rPr>
        <w:t>requerirá</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petróleo,</w:t>
      </w:r>
      <w:r>
        <w:rPr>
          <w:color w:val="231F20"/>
          <w:spacing w:val="-13"/>
          <w:w w:val="110"/>
        </w:rPr>
        <w:t> </w:t>
      </w:r>
      <w:r>
        <w:rPr>
          <w:color w:val="231F20"/>
          <w:w w:val="110"/>
        </w:rPr>
        <w:t>el</w:t>
      </w:r>
      <w:r>
        <w:rPr>
          <w:color w:val="231F20"/>
          <w:spacing w:val="-13"/>
          <w:w w:val="110"/>
        </w:rPr>
        <w:t> </w:t>
      </w:r>
      <w:r>
        <w:rPr>
          <w:color w:val="231F20"/>
          <w:w w:val="110"/>
        </w:rPr>
        <w:t>gas</w:t>
      </w:r>
      <w:r>
        <w:rPr>
          <w:color w:val="231F20"/>
          <w:spacing w:val="-13"/>
          <w:w w:val="110"/>
        </w:rPr>
        <w:t> </w:t>
      </w:r>
      <w:r>
        <w:rPr>
          <w:color w:val="231F20"/>
          <w:w w:val="110"/>
        </w:rPr>
        <w:t>y</w:t>
      </w:r>
      <w:r>
        <w:rPr>
          <w:color w:val="231F20"/>
          <w:spacing w:val="-13"/>
          <w:w w:val="110"/>
        </w:rPr>
        <w:t> </w:t>
      </w:r>
      <w:r>
        <w:rPr>
          <w:color w:val="231F20"/>
          <w:w w:val="110"/>
        </w:rPr>
        <w:t>los</w:t>
      </w:r>
      <w:r>
        <w:rPr>
          <w:color w:val="231F20"/>
          <w:spacing w:val="-13"/>
          <w:w w:val="110"/>
        </w:rPr>
        <w:t> </w:t>
      </w:r>
      <w:r>
        <w:rPr>
          <w:color w:val="231F20"/>
          <w:w w:val="110"/>
        </w:rPr>
        <w:t>petroquímicos</w:t>
      </w:r>
      <w:r>
        <w:rPr>
          <w:color w:val="231F20"/>
          <w:spacing w:val="-13"/>
          <w:w w:val="110"/>
        </w:rPr>
        <w:t> </w:t>
      </w:r>
      <w:r>
        <w:rPr>
          <w:color w:val="231F20"/>
          <w:w w:val="110"/>
        </w:rPr>
        <w:t>iraníes</w:t>
      </w:r>
      <w:r>
        <w:rPr>
          <w:color w:val="231F20"/>
          <w:spacing w:val="-13"/>
          <w:w w:val="110"/>
        </w:rPr>
        <w:t> </w:t>
      </w:r>
      <w:r>
        <w:rPr>
          <w:color w:val="231F20"/>
          <w:w w:val="110"/>
        </w:rPr>
        <w:t>se</w:t>
      </w:r>
      <w:r>
        <w:rPr>
          <w:color w:val="231F20"/>
          <w:spacing w:val="-13"/>
          <w:w w:val="110"/>
        </w:rPr>
        <w:t> </w:t>
      </w:r>
      <w:r>
        <w:rPr>
          <w:color w:val="231F20"/>
          <w:w w:val="110"/>
        </w:rPr>
        <w:t>co-</w:t>
      </w:r>
      <w:r>
        <w:rPr>
          <w:color w:val="231F20"/>
          <w:w w:val="72"/>
        </w:rPr>
        <w:t> </w:t>
      </w:r>
      <w:r>
        <w:rPr>
          <w:color w:val="231F20"/>
          <w:w w:val="110"/>
        </w:rPr>
        <w:t>mercialicen en monedas distintas al </w:t>
      </w:r>
      <w:r>
        <w:rPr>
          <w:color w:val="231F20"/>
          <w:spacing w:val="-3"/>
          <w:w w:val="110"/>
        </w:rPr>
        <w:t>dólar. </w:t>
      </w:r>
      <w:r>
        <w:rPr>
          <w:color w:val="231F20"/>
          <w:w w:val="110"/>
        </w:rPr>
        <w:t>A propósito de la</w:t>
      </w:r>
      <w:r>
        <w:rPr>
          <w:color w:val="231F20"/>
          <w:spacing w:val="-22"/>
          <w:w w:val="110"/>
        </w:rPr>
        <w:t> </w:t>
      </w:r>
      <w:r>
        <w:rPr>
          <w:color w:val="231F20"/>
          <w:w w:val="110"/>
        </w:rPr>
        <w:t>apertura de</w:t>
      </w:r>
      <w:r>
        <w:rPr>
          <w:color w:val="231F20"/>
          <w:spacing w:val="-14"/>
          <w:w w:val="110"/>
        </w:rPr>
        <w:t> </w:t>
      </w:r>
      <w:r>
        <w:rPr>
          <w:color w:val="231F20"/>
          <w:w w:val="110"/>
        </w:rPr>
        <w:t>la</w:t>
      </w:r>
      <w:r>
        <w:rPr>
          <w:color w:val="231F20"/>
          <w:spacing w:val="-14"/>
          <w:w w:val="110"/>
        </w:rPr>
        <w:t> </w:t>
      </w:r>
      <w:r>
        <w:rPr>
          <w:color w:val="231F20"/>
          <w:w w:val="110"/>
        </w:rPr>
        <w:t>bolsa</w:t>
      </w:r>
      <w:r>
        <w:rPr>
          <w:color w:val="231F20"/>
          <w:spacing w:val="-14"/>
          <w:w w:val="110"/>
        </w:rPr>
        <w:t> </w:t>
      </w:r>
      <w:r>
        <w:rPr>
          <w:color w:val="231F20"/>
          <w:w w:val="110"/>
        </w:rPr>
        <w:t>en</w:t>
      </w:r>
      <w:r>
        <w:rPr>
          <w:color w:val="231F20"/>
          <w:spacing w:val="-14"/>
          <w:w w:val="110"/>
        </w:rPr>
        <w:t> </w:t>
      </w:r>
      <w:r>
        <w:rPr>
          <w:color w:val="231F20"/>
          <w:w w:val="110"/>
        </w:rPr>
        <w:t>2008,</w:t>
      </w:r>
      <w:r>
        <w:rPr>
          <w:color w:val="231F20"/>
          <w:spacing w:val="-14"/>
          <w:w w:val="110"/>
        </w:rPr>
        <w:t> </w:t>
      </w:r>
      <w:r>
        <w:rPr>
          <w:color w:val="231F20"/>
          <w:w w:val="110"/>
        </w:rPr>
        <w:t>el</w:t>
      </w:r>
      <w:r>
        <w:rPr>
          <w:color w:val="231F20"/>
          <w:spacing w:val="-14"/>
          <w:w w:val="110"/>
        </w:rPr>
        <w:t> </w:t>
      </w:r>
      <w:r>
        <w:rPr>
          <w:color w:val="231F20"/>
          <w:w w:val="110"/>
        </w:rPr>
        <w:t>propio</w:t>
      </w:r>
      <w:r>
        <w:rPr>
          <w:color w:val="231F20"/>
          <w:spacing w:val="-14"/>
          <w:w w:val="110"/>
        </w:rPr>
        <w:t> </w:t>
      </w:r>
      <w:r>
        <w:rPr>
          <w:color w:val="231F20"/>
          <w:w w:val="110"/>
        </w:rPr>
        <w:t>Ministro</w:t>
      </w:r>
      <w:r>
        <w:rPr>
          <w:color w:val="231F20"/>
          <w:spacing w:val="-14"/>
          <w:w w:val="110"/>
        </w:rPr>
        <w:t> </w:t>
      </w:r>
      <w:r>
        <w:rPr>
          <w:color w:val="231F20"/>
          <w:w w:val="110"/>
        </w:rPr>
        <w:t>de</w:t>
      </w:r>
      <w:r>
        <w:rPr>
          <w:color w:val="231F20"/>
          <w:spacing w:val="-14"/>
          <w:w w:val="110"/>
        </w:rPr>
        <w:t> </w:t>
      </w:r>
      <w:r>
        <w:rPr>
          <w:color w:val="231F20"/>
          <w:w w:val="110"/>
        </w:rPr>
        <w:t>Finanzas</w:t>
      </w:r>
      <w:r>
        <w:rPr>
          <w:color w:val="231F20"/>
          <w:spacing w:val="-14"/>
          <w:w w:val="110"/>
        </w:rPr>
        <w:t> </w:t>
      </w:r>
      <w:r>
        <w:rPr>
          <w:color w:val="231F20"/>
          <w:w w:val="110"/>
        </w:rPr>
        <w:t>iraní</w:t>
      </w:r>
      <w:r>
        <w:rPr>
          <w:color w:val="231F20"/>
          <w:spacing w:val="-14"/>
          <w:w w:val="110"/>
        </w:rPr>
        <w:t> </w:t>
      </w:r>
      <w:r>
        <w:rPr>
          <w:color w:val="231F20"/>
          <w:w w:val="110"/>
        </w:rPr>
        <w:t>expresó:</w:t>
      </w:r>
      <w:r>
        <w:rPr>
          <w:color w:val="231F20"/>
          <w:spacing w:val="-14"/>
          <w:w w:val="110"/>
        </w:rPr>
        <w:t> </w:t>
      </w:r>
      <w:r>
        <w:rPr>
          <w:color w:val="231F20"/>
          <w:w w:val="110"/>
        </w:rPr>
        <w:t>“La bolsa se considera una amenaza directa al dominio global del dólar” (citado por Whitney,</w:t>
      </w:r>
      <w:r>
        <w:rPr>
          <w:color w:val="231F20"/>
          <w:spacing w:val="-6"/>
          <w:w w:val="110"/>
        </w:rPr>
        <w:t> </w:t>
      </w:r>
      <w:r>
        <w:rPr>
          <w:color w:val="231F20"/>
          <w:w w:val="110"/>
        </w:rPr>
        <w:t>2008).</w:t>
      </w:r>
    </w:p>
    <w:p>
      <w:pPr>
        <w:pStyle w:val="BodyText"/>
        <w:spacing w:line="261" w:lineRule="auto"/>
        <w:ind w:left="100" w:right="117" w:firstLine="240"/>
        <w:jc w:val="both"/>
      </w:pPr>
      <w:r>
        <w:rPr>
          <w:color w:val="231F20"/>
          <w:w w:val="110"/>
        </w:rPr>
        <w:t>Es</w:t>
      </w:r>
      <w:r>
        <w:rPr>
          <w:color w:val="231F20"/>
          <w:spacing w:val="-7"/>
          <w:w w:val="110"/>
        </w:rPr>
        <w:t> </w:t>
      </w:r>
      <w:r>
        <w:rPr>
          <w:color w:val="231F20"/>
          <w:w w:val="110"/>
        </w:rPr>
        <w:t>posible</w:t>
      </w:r>
      <w:r>
        <w:rPr>
          <w:color w:val="231F20"/>
          <w:spacing w:val="-7"/>
          <w:w w:val="110"/>
        </w:rPr>
        <w:t> </w:t>
      </w:r>
      <w:r>
        <w:rPr>
          <w:color w:val="231F20"/>
          <w:w w:val="110"/>
        </w:rPr>
        <w:t>afirmar</w:t>
      </w:r>
      <w:r>
        <w:rPr>
          <w:color w:val="231F20"/>
          <w:spacing w:val="-7"/>
          <w:w w:val="110"/>
        </w:rPr>
        <w:t> </w:t>
      </w:r>
      <w:r>
        <w:rPr>
          <w:color w:val="231F20"/>
          <w:w w:val="110"/>
        </w:rPr>
        <w:t>entonces</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tensiones</w:t>
      </w:r>
      <w:r>
        <w:rPr>
          <w:color w:val="231F20"/>
          <w:spacing w:val="-7"/>
          <w:w w:val="110"/>
        </w:rPr>
        <w:t> </w:t>
      </w:r>
      <w:r>
        <w:rPr>
          <w:color w:val="231F20"/>
          <w:w w:val="110"/>
        </w:rPr>
        <w:t>acumuladas</w:t>
      </w:r>
      <w:r>
        <w:rPr>
          <w:color w:val="231F20"/>
          <w:spacing w:val="-7"/>
          <w:w w:val="110"/>
        </w:rPr>
        <w:t> </w:t>
      </w:r>
      <w:r>
        <w:rPr>
          <w:color w:val="231F20"/>
          <w:w w:val="110"/>
        </w:rPr>
        <w:t>por</w:t>
      </w:r>
      <w:r>
        <w:rPr>
          <w:color w:val="231F20"/>
          <w:spacing w:val="-7"/>
          <w:w w:val="110"/>
        </w:rPr>
        <w:t> </w:t>
      </w:r>
      <w:r>
        <w:rPr>
          <w:color w:val="231F20"/>
          <w:w w:val="110"/>
        </w:rPr>
        <w:t>casi treinta años de endeudamiento externo han provocado un profundo cambio de actitud ante la divisa estadunidense. Evidentemente, el surgimiento del euro constituyó un estímulo para este tipo de  </w:t>
      </w:r>
      <w:r>
        <w:rPr>
          <w:color w:val="231F20"/>
          <w:spacing w:val="20"/>
          <w:w w:val="110"/>
        </w:rPr>
        <w:t> </w:t>
      </w:r>
      <w:r>
        <w:rPr>
          <w:color w:val="231F20"/>
          <w:w w:val="110"/>
        </w:rPr>
        <w:t>reac-</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ciones, al constituirse en una moneda que desafía la credibilidad del predominio del </w:t>
      </w:r>
      <w:r>
        <w:rPr>
          <w:color w:val="231F20"/>
          <w:spacing w:val="-3"/>
          <w:w w:val="110"/>
        </w:rPr>
        <w:t>dólar, </w:t>
      </w:r>
      <w:r>
        <w:rPr>
          <w:color w:val="231F20"/>
          <w:w w:val="110"/>
        </w:rPr>
        <w:t>principalmente en cuanto a la denominación de</w:t>
      </w:r>
      <w:r>
        <w:rPr>
          <w:color w:val="231F20"/>
          <w:spacing w:val="-9"/>
          <w:w w:val="110"/>
        </w:rPr>
        <w:t> </w:t>
      </w:r>
      <w:r>
        <w:rPr>
          <w:color w:val="231F20"/>
          <w:w w:val="110"/>
        </w:rPr>
        <w:t>productos</w:t>
      </w:r>
      <w:r>
        <w:rPr>
          <w:color w:val="231F20"/>
          <w:spacing w:val="-9"/>
          <w:w w:val="110"/>
        </w:rPr>
        <w:t> </w:t>
      </w:r>
      <w:r>
        <w:rPr>
          <w:color w:val="231F20"/>
          <w:w w:val="110"/>
        </w:rPr>
        <w:t>de</w:t>
      </w:r>
      <w:r>
        <w:rPr>
          <w:color w:val="231F20"/>
          <w:spacing w:val="-9"/>
          <w:w w:val="110"/>
        </w:rPr>
        <w:t> </w:t>
      </w:r>
      <w:r>
        <w:rPr>
          <w:color w:val="231F20"/>
          <w:w w:val="110"/>
        </w:rPr>
        <w:t>exportación,</w:t>
      </w:r>
      <w:r>
        <w:rPr>
          <w:color w:val="231F20"/>
          <w:spacing w:val="-9"/>
          <w:w w:val="110"/>
        </w:rPr>
        <w:t> </w:t>
      </w:r>
      <w:r>
        <w:rPr>
          <w:color w:val="231F20"/>
          <w:w w:val="110"/>
        </w:rPr>
        <w:t>la</w:t>
      </w:r>
      <w:r>
        <w:rPr>
          <w:color w:val="231F20"/>
          <w:spacing w:val="-9"/>
          <w:w w:val="110"/>
        </w:rPr>
        <w:t> </w:t>
      </w:r>
      <w:r>
        <w:rPr>
          <w:color w:val="231F20"/>
          <w:w w:val="110"/>
        </w:rPr>
        <w:t>emisión</w:t>
      </w:r>
      <w:r>
        <w:rPr>
          <w:color w:val="231F20"/>
          <w:spacing w:val="-9"/>
          <w:w w:val="110"/>
        </w:rPr>
        <w:t> </w:t>
      </w:r>
      <w:r>
        <w:rPr>
          <w:color w:val="231F20"/>
          <w:w w:val="110"/>
        </w:rPr>
        <w:t>de</w:t>
      </w:r>
      <w:r>
        <w:rPr>
          <w:color w:val="231F20"/>
          <w:spacing w:val="-9"/>
          <w:w w:val="110"/>
        </w:rPr>
        <w:t> </w:t>
      </w:r>
      <w:r>
        <w:rPr>
          <w:color w:val="231F20"/>
          <w:w w:val="110"/>
        </w:rPr>
        <w:t>bonos,</w:t>
      </w:r>
      <w:r>
        <w:rPr>
          <w:color w:val="231F20"/>
          <w:spacing w:val="-9"/>
          <w:w w:val="110"/>
        </w:rPr>
        <w:t> </w:t>
      </w:r>
      <w:r>
        <w:rPr>
          <w:color w:val="231F20"/>
          <w:w w:val="110"/>
        </w:rPr>
        <w:t>la</w:t>
      </w:r>
      <w:r>
        <w:rPr>
          <w:color w:val="231F20"/>
          <w:spacing w:val="-9"/>
          <w:w w:val="110"/>
        </w:rPr>
        <w:t> </w:t>
      </w:r>
      <w:r>
        <w:rPr>
          <w:color w:val="231F20"/>
          <w:w w:val="110"/>
        </w:rPr>
        <w:t>participación</w:t>
      </w:r>
      <w:r>
        <w:rPr>
          <w:color w:val="231F20"/>
          <w:spacing w:val="-9"/>
          <w:w w:val="110"/>
        </w:rPr>
        <w:t> </w:t>
      </w:r>
      <w:r>
        <w:rPr>
          <w:color w:val="231F20"/>
          <w:w w:val="110"/>
        </w:rPr>
        <w:t>en las</w:t>
      </w:r>
      <w:r>
        <w:rPr>
          <w:color w:val="231F20"/>
          <w:spacing w:val="-20"/>
          <w:w w:val="110"/>
        </w:rPr>
        <w:t> </w:t>
      </w:r>
      <w:r>
        <w:rPr>
          <w:color w:val="231F20"/>
          <w:w w:val="110"/>
        </w:rPr>
        <w:t>reservas</w:t>
      </w:r>
      <w:r>
        <w:rPr>
          <w:color w:val="231F20"/>
          <w:spacing w:val="-20"/>
          <w:w w:val="110"/>
        </w:rPr>
        <w:t> </w:t>
      </w:r>
      <w:r>
        <w:rPr>
          <w:color w:val="231F20"/>
          <w:w w:val="110"/>
        </w:rPr>
        <w:t>de</w:t>
      </w:r>
      <w:r>
        <w:rPr>
          <w:color w:val="231F20"/>
          <w:spacing w:val="-20"/>
          <w:w w:val="110"/>
        </w:rPr>
        <w:t> </w:t>
      </w:r>
      <w:r>
        <w:rPr>
          <w:color w:val="231F20"/>
          <w:w w:val="110"/>
        </w:rPr>
        <w:t>divisas,</w:t>
      </w:r>
      <w:r>
        <w:rPr>
          <w:color w:val="231F20"/>
          <w:spacing w:val="-20"/>
          <w:w w:val="110"/>
        </w:rPr>
        <w:t> </w:t>
      </w:r>
      <w:r>
        <w:rPr>
          <w:color w:val="231F20"/>
          <w:w w:val="110"/>
        </w:rPr>
        <w:t>entre</w:t>
      </w:r>
      <w:r>
        <w:rPr>
          <w:color w:val="231F20"/>
          <w:spacing w:val="-20"/>
          <w:w w:val="110"/>
        </w:rPr>
        <w:t> </w:t>
      </w:r>
      <w:r>
        <w:rPr>
          <w:color w:val="231F20"/>
          <w:w w:val="110"/>
        </w:rPr>
        <w:t>otras.</w:t>
      </w:r>
      <w:r>
        <w:rPr>
          <w:color w:val="231F20"/>
          <w:spacing w:val="-20"/>
          <w:w w:val="110"/>
        </w:rPr>
        <w:t> </w:t>
      </w:r>
      <w:r>
        <w:rPr>
          <w:color w:val="231F20"/>
          <w:w w:val="110"/>
        </w:rPr>
        <w:t>Por</w:t>
      </w:r>
      <w:r>
        <w:rPr>
          <w:color w:val="231F20"/>
          <w:spacing w:val="-19"/>
          <w:w w:val="110"/>
        </w:rPr>
        <w:t> </w:t>
      </w:r>
      <w:r>
        <w:rPr>
          <w:color w:val="231F20"/>
          <w:w w:val="110"/>
        </w:rPr>
        <w:t>ejemplo,</w:t>
      </w:r>
      <w:r>
        <w:rPr>
          <w:color w:val="231F20"/>
          <w:spacing w:val="-20"/>
          <w:w w:val="110"/>
        </w:rPr>
        <w:t> </w:t>
      </w:r>
      <w:r>
        <w:rPr>
          <w:color w:val="231F20"/>
          <w:w w:val="110"/>
        </w:rPr>
        <w:t>el</w:t>
      </w:r>
      <w:r>
        <w:rPr>
          <w:color w:val="231F20"/>
          <w:spacing w:val="-20"/>
          <w:w w:val="110"/>
        </w:rPr>
        <w:t> </w:t>
      </w:r>
      <w:r>
        <w:rPr>
          <w:color w:val="231F20"/>
          <w:w w:val="110"/>
        </w:rPr>
        <w:t>mercado</w:t>
      </w:r>
      <w:r>
        <w:rPr>
          <w:color w:val="231F20"/>
          <w:spacing w:val="-20"/>
          <w:w w:val="110"/>
        </w:rPr>
        <w:t> </w:t>
      </w:r>
      <w:r>
        <w:rPr>
          <w:color w:val="231F20"/>
          <w:w w:val="110"/>
        </w:rPr>
        <w:t>financiero de</w:t>
      </w:r>
      <w:r>
        <w:rPr>
          <w:color w:val="231F20"/>
          <w:spacing w:val="-14"/>
          <w:w w:val="110"/>
        </w:rPr>
        <w:t> </w:t>
      </w:r>
      <w:r>
        <w:rPr>
          <w:color w:val="231F20"/>
          <w:w w:val="110"/>
        </w:rPr>
        <w:t>la</w:t>
      </w:r>
      <w:r>
        <w:rPr>
          <w:color w:val="231F20"/>
          <w:spacing w:val="-14"/>
          <w:w w:val="110"/>
        </w:rPr>
        <w:t> </w:t>
      </w:r>
      <w:r>
        <w:rPr>
          <w:color w:val="231F20"/>
          <w:w w:val="110"/>
        </w:rPr>
        <w:t>Eurozona</w:t>
      </w:r>
      <w:r>
        <w:rPr>
          <w:color w:val="231F20"/>
          <w:spacing w:val="-14"/>
          <w:w w:val="110"/>
        </w:rPr>
        <w:t> </w:t>
      </w:r>
      <w:r>
        <w:rPr>
          <w:color w:val="231F20"/>
          <w:w w:val="110"/>
        </w:rPr>
        <w:t>se</w:t>
      </w:r>
      <w:r>
        <w:rPr>
          <w:color w:val="231F20"/>
          <w:spacing w:val="-14"/>
          <w:w w:val="110"/>
        </w:rPr>
        <w:t> </w:t>
      </w:r>
      <w:r>
        <w:rPr>
          <w:color w:val="231F20"/>
          <w:w w:val="110"/>
        </w:rPr>
        <w:t>expandió</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últimos</w:t>
      </w:r>
      <w:r>
        <w:rPr>
          <w:color w:val="231F20"/>
          <w:spacing w:val="-14"/>
          <w:w w:val="110"/>
        </w:rPr>
        <w:t> </w:t>
      </w:r>
      <w:r>
        <w:rPr>
          <w:color w:val="231F20"/>
          <w:w w:val="110"/>
        </w:rPr>
        <w:t>años,</w:t>
      </w:r>
      <w:r>
        <w:rPr>
          <w:color w:val="231F20"/>
          <w:spacing w:val="-14"/>
          <w:w w:val="110"/>
        </w:rPr>
        <w:t> </w:t>
      </w:r>
      <w:r>
        <w:rPr>
          <w:color w:val="231F20"/>
          <w:w w:val="110"/>
        </w:rPr>
        <w:t>dos</w:t>
      </w:r>
      <w:r>
        <w:rPr>
          <w:color w:val="231F20"/>
          <w:spacing w:val="-14"/>
          <w:w w:val="110"/>
        </w:rPr>
        <w:t> </w:t>
      </w:r>
      <w:r>
        <w:rPr>
          <w:color w:val="231F20"/>
          <w:w w:val="110"/>
        </w:rPr>
        <w:t>veces</w:t>
      </w:r>
      <w:r>
        <w:rPr>
          <w:color w:val="231F20"/>
          <w:spacing w:val="-14"/>
          <w:w w:val="110"/>
        </w:rPr>
        <w:t> </w:t>
      </w:r>
      <w:r>
        <w:rPr>
          <w:color w:val="231F20"/>
          <w:w w:val="110"/>
        </w:rPr>
        <w:t>más</w:t>
      </w:r>
      <w:r>
        <w:rPr>
          <w:color w:val="231F20"/>
          <w:spacing w:val="-14"/>
          <w:w w:val="110"/>
        </w:rPr>
        <w:t> </w:t>
      </w:r>
      <w:r>
        <w:rPr>
          <w:color w:val="231F20"/>
          <w:w w:val="110"/>
        </w:rPr>
        <w:t>rápido que el estadunidense, sobre todo porque la moneda única facilitó la eliminación de barreras entre los segmentos del mercado, así como su amplitud y</w:t>
      </w:r>
      <w:r>
        <w:rPr>
          <w:color w:val="231F20"/>
          <w:spacing w:val="-10"/>
          <w:w w:val="110"/>
        </w:rPr>
        <w:t> </w:t>
      </w:r>
      <w:r>
        <w:rPr>
          <w:color w:val="231F20"/>
          <w:w w:val="110"/>
        </w:rPr>
        <w:t>liquidez.</w:t>
      </w:r>
    </w:p>
    <w:p>
      <w:pPr>
        <w:pStyle w:val="BodyText"/>
        <w:spacing w:line="261" w:lineRule="auto"/>
        <w:ind w:left="100" w:right="117" w:firstLine="240"/>
        <w:jc w:val="both"/>
        <w:rPr>
          <w:sz w:val="13"/>
        </w:rPr>
      </w:pPr>
      <w:r>
        <w:rPr>
          <w:color w:val="231F20"/>
          <w:spacing w:val="-3"/>
          <w:w w:val="110"/>
        </w:rPr>
        <w:t>También </w:t>
      </w:r>
      <w:r>
        <w:rPr>
          <w:color w:val="231F20"/>
          <w:w w:val="110"/>
        </w:rPr>
        <w:t>impulsados por la actual situación de crisis económica mundial, han sido innumerables los reclamos para rediseñar el smi. Especialmente</w:t>
      </w:r>
      <w:r>
        <w:rPr>
          <w:color w:val="231F20"/>
          <w:spacing w:val="-9"/>
          <w:w w:val="110"/>
        </w:rPr>
        <w:t> </w:t>
      </w:r>
      <w:r>
        <w:rPr>
          <w:color w:val="231F20"/>
          <w:w w:val="110"/>
        </w:rPr>
        <w:t>significativa</w:t>
      </w:r>
      <w:r>
        <w:rPr>
          <w:color w:val="231F20"/>
          <w:spacing w:val="-9"/>
          <w:w w:val="110"/>
        </w:rPr>
        <w:t> </w:t>
      </w:r>
      <w:r>
        <w:rPr>
          <w:color w:val="231F20"/>
          <w:w w:val="110"/>
        </w:rPr>
        <w:t>ha</w:t>
      </w:r>
      <w:r>
        <w:rPr>
          <w:color w:val="231F20"/>
          <w:spacing w:val="-9"/>
          <w:w w:val="110"/>
        </w:rPr>
        <w:t> </w:t>
      </w:r>
      <w:r>
        <w:rPr>
          <w:color w:val="231F20"/>
          <w:w w:val="110"/>
        </w:rPr>
        <w:t>resultado</w:t>
      </w:r>
      <w:r>
        <w:rPr>
          <w:color w:val="231F20"/>
          <w:spacing w:val="-9"/>
          <w:w w:val="110"/>
        </w:rPr>
        <w:t> </w:t>
      </w:r>
      <w:r>
        <w:rPr>
          <w:color w:val="231F20"/>
          <w:w w:val="110"/>
        </w:rPr>
        <w:t>la</w:t>
      </w:r>
      <w:r>
        <w:rPr>
          <w:color w:val="231F20"/>
          <w:spacing w:val="-9"/>
          <w:w w:val="110"/>
        </w:rPr>
        <w:t> </w:t>
      </w:r>
      <w:r>
        <w:rPr>
          <w:color w:val="231F20"/>
          <w:w w:val="110"/>
        </w:rPr>
        <w:t>propuesta</w:t>
      </w:r>
      <w:r>
        <w:rPr>
          <w:color w:val="231F20"/>
          <w:spacing w:val="-9"/>
          <w:w w:val="110"/>
        </w:rPr>
        <w:t> </w:t>
      </w:r>
      <w:r>
        <w:rPr>
          <w:color w:val="231F20"/>
          <w:w w:val="110"/>
        </w:rPr>
        <w:t>del</w:t>
      </w:r>
      <w:r>
        <w:rPr>
          <w:color w:val="231F20"/>
          <w:spacing w:val="-9"/>
          <w:w w:val="110"/>
        </w:rPr>
        <w:t> </w:t>
      </w:r>
      <w:r>
        <w:rPr>
          <w:color w:val="231F20"/>
          <w:w w:val="110"/>
        </w:rPr>
        <w:t>gobernador del</w:t>
      </w:r>
      <w:r>
        <w:rPr>
          <w:color w:val="231F20"/>
          <w:spacing w:val="-10"/>
          <w:w w:val="110"/>
        </w:rPr>
        <w:t> </w:t>
      </w:r>
      <w:r>
        <w:rPr>
          <w:color w:val="231F20"/>
          <w:w w:val="110"/>
        </w:rPr>
        <w:t>banco</w:t>
      </w:r>
      <w:r>
        <w:rPr>
          <w:color w:val="231F20"/>
          <w:spacing w:val="-10"/>
          <w:w w:val="110"/>
        </w:rPr>
        <w:t> </w:t>
      </w:r>
      <w:r>
        <w:rPr>
          <w:color w:val="231F20"/>
          <w:w w:val="110"/>
        </w:rPr>
        <w:t>central</w:t>
      </w:r>
      <w:r>
        <w:rPr>
          <w:color w:val="231F20"/>
          <w:spacing w:val="-10"/>
          <w:w w:val="110"/>
        </w:rPr>
        <w:t> </w:t>
      </w:r>
      <w:r>
        <w:rPr>
          <w:color w:val="231F20"/>
          <w:w w:val="110"/>
        </w:rPr>
        <w:t>de</w:t>
      </w:r>
      <w:r>
        <w:rPr>
          <w:color w:val="231F20"/>
          <w:spacing w:val="-10"/>
          <w:w w:val="110"/>
        </w:rPr>
        <w:t> </w:t>
      </w:r>
      <w:r>
        <w:rPr>
          <w:color w:val="231F20"/>
          <w:w w:val="110"/>
        </w:rPr>
        <w:t>China,</w:t>
      </w:r>
      <w:r>
        <w:rPr>
          <w:color w:val="231F20"/>
          <w:spacing w:val="-10"/>
          <w:w w:val="110"/>
        </w:rPr>
        <w:t> </w:t>
      </w:r>
      <w:r>
        <w:rPr>
          <w:color w:val="231F20"/>
          <w:w w:val="110"/>
        </w:rPr>
        <w:t>acerca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creación</w:t>
      </w:r>
      <w:r>
        <w:rPr>
          <w:color w:val="231F20"/>
          <w:spacing w:val="-10"/>
          <w:w w:val="110"/>
        </w:rPr>
        <w:t> </w:t>
      </w:r>
      <w:r>
        <w:rPr>
          <w:color w:val="231F20"/>
          <w:w w:val="110"/>
        </w:rPr>
        <w:t>de</w:t>
      </w:r>
      <w:r>
        <w:rPr>
          <w:color w:val="231F20"/>
          <w:spacing w:val="-10"/>
          <w:w w:val="110"/>
        </w:rPr>
        <w:t> </w:t>
      </w:r>
      <w:r>
        <w:rPr>
          <w:color w:val="231F20"/>
          <w:w w:val="110"/>
        </w:rPr>
        <w:t>una</w:t>
      </w:r>
      <w:r>
        <w:rPr>
          <w:color w:val="231F20"/>
          <w:spacing w:val="-10"/>
          <w:w w:val="110"/>
        </w:rPr>
        <w:t> </w:t>
      </w:r>
      <w:r>
        <w:rPr>
          <w:color w:val="231F20"/>
          <w:w w:val="110"/>
        </w:rPr>
        <w:t>nueva</w:t>
      </w:r>
      <w:r>
        <w:rPr>
          <w:color w:val="231F20"/>
          <w:spacing w:val="-10"/>
          <w:w w:val="110"/>
        </w:rPr>
        <w:t> </w:t>
      </w:r>
      <w:r>
        <w:rPr>
          <w:i/>
          <w:color w:val="231F20"/>
          <w:w w:val="110"/>
        </w:rPr>
        <w:t>mone- </w:t>
      </w:r>
      <w:r>
        <w:rPr>
          <w:i/>
          <w:color w:val="231F20"/>
          <w:w w:val="105"/>
        </w:rPr>
        <w:t>da</w:t>
      </w:r>
      <w:r>
        <w:rPr>
          <w:i/>
          <w:color w:val="231F20"/>
          <w:spacing w:val="-30"/>
          <w:w w:val="105"/>
        </w:rPr>
        <w:t> </w:t>
      </w:r>
      <w:r>
        <w:rPr>
          <w:i/>
          <w:color w:val="231F20"/>
          <w:w w:val="105"/>
        </w:rPr>
        <w:t>supersoberana</w:t>
      </w:r>
      <w:r>
        <w:rPr>
          <w:i/>
          <w:color w:val="231F20"/>
          <w:spacing w:val="-30"/>
          <w:w w:val="105"/>
        </w:rPr>
        <w:t> </w:t>
      </w:r>
      <w:r>
        <w:rPr>
          <w:i/>
          <w:color w:val="231F20"/>
          <w:w w:val="105"/>
        </w:rPr>
        <w:t>de</w:t>
      </w:r>
      <w:r>
        <w:rPr>
          <w:i/>
          <w:color w:val="231F20"/>
          <w:spacing w:val="-30"/>
          <w:w w:val="105"/>
        </w:rPr>
        <w:t> </w:t>
      </w:r>
      <w:r>
        <w:rPr>
          <w:i/>
          <w:color w:val="231F20"/>
          <w:w w:val="105"/>
        </w:rPr>
        <w:t>reserva</w:t>
      </w:r>
      <w:r>
        <w:rPr>
          <w:i/>
          <w:color w:val="231F20"/>
          <w:spacing w:val="-30"/>
          <w:w w:val="105"/>
        </w:rPr>
        <w:t> </w:t>
      </w:r>
      <w:r>
        <w:rPr>
          <w:i/>
          <w:color w:val="231F20"/>
          <w:w w:val="105"/>
        </w:rPr>
        <w:t>internacional,</w:t>
      </w:r>
      <w:r>
        <w:rPr>
          <w:i/>
          <w:color w:val="231F20"/>
          <w:spacing w:val="-30"/>
          <w:w w:val="105"/>
        </w:rPr>
        <w:t> </w:t>
      </w:r>
      <w:r>
        <w:rPr>
          <w:color w:val="231F20"/>
          <w:w w:val="105"/>
        </w:rPr>
        <w:t>como</w:t>
      </w:r>
      <w:r>
        <w:rPr>
          <w:color w:val="231F20"/>
          <w:spacing w:val="-30"/>
          <w:w w:val="105"/>
        </w:rPr>
        <w:t> </w:t>
      </w:r>
      <w:r>
        <w:rPr>
          <w:color w:val="231F20"/>
          <w:w w:val="105"/>
        </w:rPr>
        <w:t>reemplazo</w:t>
      </w:r>
      <w:r>
        <w:rPr>
          <w:color w:val="231F20"/>
          <w:spacing w:val="-30"/>
          <w:w w:val="105"/>
        </w:rPr>
        <w:t> </w:t>
      </w:r>
      <w:r>
        <w:rPr>
          <w:color w:val="231F20"/>
          <w:w w:val="105"/>
        </w:rPr>
        <w:t>a</w:t>
      </w:r>
      <w:r>
        <w:rPr>
          <w:color w:val="231F20"/>
          <w:spacing w:val="-30"/>
          <w:w w:val="105"/>
        </w:rPr>
        <w:t> </w:t>
      </w:r>
      <w:r>
        <w:rPr>
          <w:color w:val="231F20"/>
          <w:w w:val="105"/>
        </w:rPr>
        <w:t>largo</w:t>
      </w:r>
      <w:r>
        <w:rPr>
          <w:color w:val="231F20"/>
          <w:spacing w:val="-30"/>
          <w:w w:val="105"/>
        </w:rPr>
        <w:t> </w:t>
      </w:r>
      <w:r>
        <w:rPr>
          <w:color w:val="231F20"/>
          <w:w w:val="105"/>
        </w:rPr>
        <w:t>plazo </w:t>
      </w:r>
      <w:r>
        <w:rPr>
          <w:color w:val="231F20"/>
          <w:w w:val="110"/>
        </w:rPr>
        <w:t>del </w:t>
      </w:r>
      <w:r>
        <w:rPr>
          <w:color w:val="231F20"/>
          <w:spacing w:val="-3"/>
          <w:w w:val="110"/>
        </w:rPr>
        <w:t>dólar. </w:t>
      </w:r>
      <w:r>
        <w:rPr>
          <w:color w:val="231F20"/>
          <w:w w:val="110"/>
        </w:rPr>
        <w:t>Esta iniciativa podría tener varias lecturas. Una de ellas es que las autoridades chinas, teniendo como activo el protagonismo de su economía en el actual entorno, desafían el dominio del </w:t>
      </w:r>
      <w:r>
        <w:rPr>
          <w:color w:val="231F20"/>
          <w:spacing w:val="-3"/>
          <w:w w:val="110"/>
        </w:rPr>
        <w:t>dólar, </w:t>
      </w:r>
      <w:r>
        <w:rPr>
          <w:color w:val="231F20"/>
          <w:w w:val="110"/>
        </w:rPr>
        <w:t>tratando de impulsar un orden monetario que refleje mejor el nuevo reparto de poderes en el orden mundial. Otra es, que tratan de im- pulsar una transformación del actual orden monetario, poniéndole fin a una situación de interdependencia que los ha beneficiado, pero que también los ha llevado a acumular cerca de dos trillones de dó- lares en bonos del </w:t>
      </w:r>
      <w:r>
        <w:rPr>
          <w:color w:val="231F20"/>
          <w:spacing w:val="-3"/>
          <w:w w:val="110"/>
        </w:rPr>
        <w:t>Tesoro, </w:t>
      </w:r>
      <w:r>
        <w:rPr>
          <w:color w:val="231F20"/>
          <w:w w:val="110"/>
        </w:rPr>
        <w:t>que podrían perder su valor si continuase la depreciación del</w:t>
      </w:r>
      <w:r>
        <w:rPr>
          <w:color w:val="231F20"/>
          <w:spacing w:val="42"/>
          <w:w w:val="110"/>
        </w:rPr>
        <w:t> </w:t>
      </w:r>
      <w:r>
        <w:rPr>
          <w:color w:val="231F20"/>
          <w:spacing w:val="-3"/>
          <w:w w:val="110"/>
        </w:rPr>
        <w:t>dólar.</w:t>
      </w:r>
      <w:r>
        <w:rPr>
          <w:color w:val="231F20"/>
          <w:spacing w:val="-3"/>
          <w:w w:val="110"/>
          <w:position w:val="6"/>
          <w:sz w:val="13"/>
        </w:rPr>
        <w:t>7</w:t>
      </w:r>
    </w:p>
    <w:p>
      <w:pPr>
        <w:pStyle w:val="BodyText"/>
        <w:spacing w:line="261" w:lineRule="auto"/>
        <w:ind w:left="100" w:right="119" w:firstLine="240"/>
        <w:jc w:val="both"/>
      </w:pPr>
      <w:r>
        <w:rPr>
          <w:color w:val="231F20"/>
          <w:w w:val="110"/>
        </w:rPr>
        <w:t>El</w:t>
      </w:r>
      <w:r>
        <w:rPr>
          <w:color w:val="231F20"/>
          <w:spacing w:val="-20"/>
          <w:w w:val="110"/>
        </w:rPr>
        <w:t> </w:t>
      </w:r>
      <w:r>
        <w:rPr>
          <w:color w:val="231F20"/>
          <w:w w:val="110"/>
        </w:rPr>
        <w:t>“efecto</w:t>
      </w:r>
      <w:r>
        <w:rPr>
          <w:color w:val="231F20"/>
          <w:spacing w:val="-20"/>
          <w:w w:val="110"/>
        </w:rPr>
        <w:t> </w:t>
      </w:r>
      <w:r>
        <w:rPr>
          <w:color w:val="231F20"/>
          <w:w w:val="110"/>
        </w:rPr>
        <w:t>búmeran”</w:t>
      </w:r>
      <w:r>
        <w:rPr>
          <w:color w:val="231F20"/>
          <w:spacing w:val="-20"/>
          <w:w w:val="110"/>
        </w:rPr>
        <w:t> </w:t>
      </w:r>
      <w:r>
        <w:rPr>
          <w:color w:val="231F20"/>
          <w:w w:val="110"/>
        </w:rPr>
        <w:t>descrito</w:t>
      </w:r>
      <w:r>
        <w:rPr>
          <w:color w:val="231F20"/>
          <w:spacing w:val="-20"/>
          <w:w w:val="110"/>
        </w:rPr>
        <w:t> </w:t>
      </w:r>
      <w:r>
        <w:rPr>
          <w:color w:val="231F20"/>
          <w:w w:val="110"/>
        </w:rPr>
        <w:t>antes,</w:t>
      </w:r>
      <w:r>
        <w:rPr>
          <w:color w:val="231F20"/>
          <w:spacing w:val="-20"/>
          <w:w w:val="110"/>
        </w:rPr>
        <w:t> </w:t>
      </w:r>
      <w:r>
        <w:rPr>
          <w:color w:val="231F20"/>
          <w:w w:val="110"/>
        </w:rPr>
        <w:t>según</w:t>
      </w:r>
      <w:r>
        <w:rPr>
          <w:color w:val="231F20"/>
          <w:spacing w:val="-20"/>
          <w:w w:val="110"/>
        </w:rPr>
        <w:t> </w:t>
      </w:r>
      <w:r>
        <w:rPr>
          <w:color w:val="231F20"/>
          <w:w w:val="110"/>
        </w:rPr>
        <w:t>el</w:t>
      </w:r>
      <w:r>
        <w:rPr>
          <w:color w:val="231F20"/>
          <w:spacing w:val="-20"/>
          <w:w w:val="110"/>
        </w:rPr>
        <w:t> </w:t>
      </w:r>
      <w:r>
        <w:rPr>
          <w:color w:val="231F20"/>
          <w:w w:val="110"/>
        </w:rPr>
        <w:t>cual</w:t>
      </w:r>
      <w:r>
        <w:rPr>
          <w:color w:val="231F20"/>
          <w:spacing w:val="-20"/>
          <w:w w:val="110"/>
        </w:rPr>
        <w:t> </w:t>
      </w:r>
      <w:r>
        <w:rPr>
          <w:color w:val="231F20"/>
          <w:w w:val="110"/>
        </w:rPr>
        <w:t>la</w:t>
      </w:r>
      <w:r>
        <w:rPr>
          <w:color w:val="231F20"/>
          <w:spacing w:val="-20"/>
          <w:w w:val="110"/>
        </w:rPr>
        <w:t> </w:t>
      </w:r>
      <w:r>
        <w:rPr>
          <w:color w:val="231F20"/>
          <w:w w:val="110"/>
        </w:rPr>
        <w:t>continuidad</w:t>
      </w:r>
      <w:r>
        <w:rPr>
          <w:color w:val="231F20"/>
          <w:spacing w:val="-20"/>
          <w:w w:val="110"/>
        </w:rPr>
        <w:t> </w:t>
      </w:r>
      <w:r>
        <w:rPr>
          <w:color w:val="231F20"/>
          <w:spacing w:val="-2"/>
          <w:w w:val="110"/>
        </w:rPr>
        <w:t>del </w:t>
      </w:r>
      <w:r>
        <w:rPr>
          <w:color w:val="231F20"/>
          <w:w w:val="110"/>
        </w:rPr>
        <w:t>desequilibrio</w:t>
      </w:r>
      <w:r>
        <w:rPr>
          <w:color w:val="231F20"/>
          <w:spacing w:val="-18"/>
          <w:w w:val="110"/>
        </w:rPr>
        <w:t> </w:t>
      </w:r>
      <w:r>
        <w:rPr>
          <w:color w:val="231F20"/>
          <w:w w:val="110"/>
        </w:rPr>
        <w:t>externo</w:t>
      </w:r>
      <w:r>
        <w:rPr>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erosiona</w:t>
      </w:r>
      <w:r>
        <w:rPr>
          <w:color w:val="231F20"/>
          <w:spacing w:val="-18"/>
          <w:w w:val="110"/>
        </w:rPr>
        <w:t> </w:t>
      </w:r>
      <w:r>
        <w:rPr>
          <w:color w:val="231F20"/>
          <w:w w:val="110"/>
        </w:rPr>
        <w:t>el</w:t>
      </w:r>
      <w:r>
        <w:rPr>
          <w:color w:val="231F20"/>
          <w:spacing w:val="-18"/>
          <w:w w:val="110"/>
        </w:rPr>
        <w:t> </w:t>
      </w:r>
      <w:r>
        <w:rPr>
          <w:color w:val="231F20"/>
          <w:w w:val="110"/>
        </w:rPr>
        <w:t>dominio</w:t>
      </w:r>
      <w:r>
        <w:rPr>
          <w:color w:val="231F20"/>
          <w:spacing w:val="-18"/>
          <w:w w:val="110"/>
        </w:rPr>
        <w:t> </w:t>
      </w:r>
      <w:r>
        <w:rPr>
          <w:color w:val="231F20"/>
          <w:w w:val="110"/>
        </w:rPr>
        <w:t>moneta- </w:t>
      </w:r>
      <w:r>
        <w:rPr>
          <w:color w:val="231F20"/>
          <w:w w:val="115"/>
        </w:rPr>
        <w:t>rio</w:t>
      </w:r>
      <w:r>
        <w:rPr>
          <w:color w:val="231F20"/>
          <w:spacing w:val="-44"/>
          <w:w w:val="115"/>
        </w:rPr>
        <w:t> </w:t>
      </w:r>
      <w:r>
        <w:rPr>
          <w:color w:val="231F20"/>
          <w:w w:val="115"/>
        </w:rPr>
        <w:t>y</w:t>
      </w:r>
      <w:r>
        <w:rPr>
          <w:color w:val="231F20"/>
          <w:spacing w:val="-44"/>
          <w:w w:val="115"/>
        </w:rPr>
        <w:t> </w:t>
      </w:r>
      <w:r>
        <w:rPr>
          <w:color w:val="231F20"/>
          <w:w w:val="115"/>
        </w:rPr>
        <w:t>financiero</w:t>
      </w:r>
      <w:r>
        <w:rPr>
          <w:color w:val="231F20"/>
          <w:spacing w:val="-44"/>
          <w:w w:val="115"/>
        </w:rPr>
        <w:t> </w:t>
      </w:r>
      <w:r>
        <w:rPr>
          <w:color w:val="231F20"/>
          <w:w w:val="115"/>
        </w:rPr>
        <w:t>que</w:t>
      </w:r>
      <w:r>
        <w:rPr>
          <w:color w:val="231F20"/>
          <w:spacing w:val="-44"/>
          <w:w w:val="115"/>
        </w:rPr>
        <w:t> </w:t>
      </w:r>
      <w:r>
        <w:rPr>
          <w:color w:val="231F20"/>
          <w:w w:val="115"/>
        </w:rPr>
        <w:t>lo</w:t>
      </w:r>
      <w:r>
        <w:rPr>
          <w:color w:val="231F20"/>
          <w:spacing w:val="-44"/>
          <w:w w:val="115"/>
        </w:rPr>
        <w:t> </w:t>
      </w:r>
      <w:r>
        <w:rPr>
          <w:color w:val="231F20"/>
          <w:w w:val="115"/>
        </w:rPr>
        <w:t>ha</w:t>
      </w:r>
      <w:r>
        <w:rPr>
          <w:color w:val="231F20"/>
          <w:spacing w:val="-44"/>
          <w:w w:val="115"/>
        </w:rPr>
        <w:t> </w:t>
      </w:r>
      <w:r>
        <w:rPr>
          <w:color w:val="231F20"/>
          <w:w w:val="115"/>
        </w:rPr>
        <w:t>sustentado,</w:t>
      </w:r>
      <w:r>
        <w:rPr>
          <w:color w:val="231F20"/>
          <w:spacing w:val="-44"/>
          <w:w w:val="115"/>
        </w:rPr>
        <w:t> </w:t>
      </w:r>
      <w:r>
        <w:rPr>
          <w:color w:val="231F20"/>
          <w:w w:val="115"/>
        </w:rPr>
        <w:t>también</w:t>
      </w:r>
      <w:r>
        <w:rPr>
          <w:color w:val="231F20"/>
          <w:spacing w:val="-44"/>
          <w:w w:val="115"/>
        </w:rPr>
        <w:t> </w:t>
      </w:r>
      <w:r>
        <w:rPr>
          <w:color w:val="231F20"/>
          <w:w w:val="115"/>
        </w:rPr>
        <w:t>puede</w:t>
      </w:r>
      <w:r>
        <w:rPr>
          <w:color w:val="231F20"/>
          <w:spacing w:val="-44"/>
          <w:w w:val="115"/>
        </w:rPr>
        <w:t> </w:t>
      </w:r>
      <w:r>
        <w:rPr>
          <w:color w:val="231F20"/>
          <w:w w:val="115"/>
        </w:rPr>
        <w:t>exponerse</w:t>
      </w:r>
      <w:r>
        <w:rPr>
          <w:color w:val="231F20"/>
          <w:spacing w:val="-44"/>
          <w:w w:val="115"/>
        </w:rPr>
        <w:t> </w:t>
      </w:r>
      <w:r>
        <w:rPr>
          <w:color w:val="231F20"/>
          <w:w w:val="115"/>
        </w:rPr>
        <w:t>con</w:t>
      </w:r>
      <w:r>
        <w:rPr>
          <w:color w:val="231F20"/>
          <w:spacing w:val="-44"/>
          <w:w w:val="115"/>
        </w:rPr>
        <w:t> </w:t>
      </w:r>
      <w:r>
        <w:rPr>
          <w:color w:val="231F20"/>
          <w:w w:val="115"/>
        </w:rPr>
        <w:t>un </w:t>
      </w:r>
      <w:r>
        <w:rPr>
          <w:color w:val="231F20"/>
          <w:w w:val="110"/>
        </w:rPr>
        <w:t>análisis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pagos</w:t>
      </w:r>
      <w:r>
        <w:rPr>
          <w:color w:val="231F20"/>
          <w:spacing w:val="-15"/>
          <w:w w:val="110"/>
        </w:rPr>
        <w:t> </w:t>
      </w:r>
      <w:r>
        <w:rPr>
          <w:color w:val="231F20"/>
          <w:w w:val="110"/>
        </w:rPr>
        <w:t>asociados</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pasivos</w:t>
      </w:r>
      <w:r>
        <w:rPr>
          <w:color w:val="231F20"/>
          <w:spacing w:val="-15"/>
          <w:w w:val="110"/>
        </w:rPr>
        <w:t> </w:t>
      </w:r>
      <w:r>
        <w:rPr>
          <w:color w:val="231F20"/>
          <w:w w:val="110"/>
        </w:rPr>
        <w:t>netos</w:t>
      </w:r>
      <w:r>
        <w:rPr>
          <w:color w:val="231F20"/>
          <w:spacing w:val="-15"/>
          <w:w w:val="110"/>
        </w:rPr>
        <w:t> </w:t>
      </w:r>
      <w:r>
        <w:rPr>
          <w:color w:val="231F20"/>
          <w:w w:val="110"/>
        </w:rPr>
        <w:t>de</w:t>
      </w:r>
      <w:r>
        <w:rPr>
          <w:color w:val="231F20"/>
          <w:spacing w:val="-15"/>
          <w:w w:val="110"/>
        </w:rPr>
        <w:t> </w:t>
      </w:r>
      <w:r>
        <w:rPr>
          <w:color w:val="231F20"/>
          <w:w w:val="110"/>
        </w:rPr>
        <w:t>Estados</w:t>
      </w:r>
      <w:r>
        <w:rPr>
          <w:color w:val="231F20"/>
          <w:spacing w:val="-15"/>
          <w:w w:val="110"/>
        </w:rPr>
        <w:t> </w:t>
      </w:r>
      <w:r>
        <w:rPr>
          <w:color w:val="231F20"/>
          <w:w w:val="110"/>
        </w:rPr>
        <w:t>Unidos. </w:t>
      </w:r>
      <w:r>
        <w:rPr>
          <w:color w:val="231F20"/>
          <w:w w:val="115"/>
        </w:rPr>
        <w:t>Hasta</w:t>
      </w:r>
      <w:r>
        <w:rPr>
          <w:color w:val="231F20"/>
          <w:spacing w:val="-42"/>
          <w:w w:val="115"/>
        </w:rPr>
        <w:t> </w:t>
      </w:r>
      <w:r>
        <w:rPr>
          <w:color w:val="231F20"/>
          <w:w w:val="115"/>
        </w:rPr>
        <w:t>el</w:t>
      </w:r>
      <w:r>
        <w:rPr>
          <w:color w:val="231F20"/>
          <w:spacing w:val="-42"/>
          <w:w w:val="115"/>
        </w:rPr>
        <w:t> </w:t>
      </w:r>
      <w:r>
        <w:rPr>
          <w:color w:val="231F20"/>
          <w:w w:val="115"/>
        </w:rPr>
        <w:t>momento,</w:t>
      </w:r>
      <w:r>
        <w:rPr>
          <w:color w:val="231F20"/>
          <w:spacing w:val="-42"/>
          <w:w w:val="115"/>
        </w:rPr>
        <w:t> </w:t>
      </w:r>
      <w:r>
        <w:rPr>
          <w:color w:val="231F20"/>
          <w:w w:val="115"/>
        </w:rPr>
        <w:t>esos</w:t>
      </w:r>
      <w:r>
        <w:rPr>
          <w:color w:val="231F20"/>
          <w:spacing w:val="-42"/>
          <w:w w:val="115"/>
        </w:rPr>
        <w:t> </w:t>
      </w:r>
      <w:r>
        <w:rPr>
          <w:color w:val="231F20"/>
          <w:w w:val="115"/>
        </w:rPr>
        <w:t>pagos,</w:t>
      </w:r>
      <w:r>
        <w:rPr>
          <w:color w:val="231F20"/>
          <w:spacing w:val="-42"/>
          <w:w w:val="115"/>
        </w:rPr>
        <w:t> </w:t>
      </w:r>
      <w:r>
        <w:rPr>
          <w:color w:val="231F20"/>
          <w:w w:val="115"/>
        </w:rPr>
        <w:t>o</w:t>
      </w:r>
      <w:r>
        <w:rPr>
          <w:color w:val="231F20"/>
          <w:spacing w:val="-42"/>
          <w:w w:val="115"/>
        </w:rPr>
        <w:t> </w:t>
      </w:r>
      <w:r>
        <w:rPr>
          <w:color w:val="231F20"/>
          <w:w w:val="115"/>
        </w:rPr>
        <w:t>lo</w:t>
      </w:r>
      <w:r>
        <w:rPr>
          <w:color w:val="231F20"/>
          <w:spacing w:val="-42"/>
          <w:w w:val="115"/>
        </w:rPr>
        <w:t> </w:t>
      </w:r>
      <w:r>
        <w:rPr>
          <w:color w:val="231F20"/>
          <w:w w:val="115"/>
        </w:rPr>
        <w:t>que</w:t>
      </w:r>
      <w:r>
        <w:rPr>
          <w:color w:val="231F20"/>
          <w:spacing w:val="-42"/>
          <w:w w:val="115"/>
        </w:rPr>
        <w:t> </w:t>
      </w:r>
      <w:r>
        <w:rPr>
          <w:color w:val="231F20"/>
          <w:w w:val="115"/>
        </w:rPr>
        <w:t>se</w:t>
      </w:r>
      <w:r>
        <w:rPr>
          <w:color w:val="231F20"/>
          <w:spacing w:val="-42"/>
          <w:w w:val="115"/>
        </w:rPr>
        <w:t> </w:t>
      </w:r>
      <w:r>
        <w:rPr>
          <w:color w:val="231F20"/>
          <w:w w:val="115"/>
        </w:rPr>
        <w:t>conoce</w:t>
      </w:r>
      <w:r>
        <w:rPr>
          <w:color w:val="231F20"/>
          <w:spacing w:val="-42"/>
          <w:w w:val="115"/>
        </w:rPr>
        <w:t> </w:t>
      </w:r>
      <w:r>
        <w:rPr>
          <w:color w:val="231F20"/>
          <w:w w:val="115"/>
        </w:rPr>
        <w:t>generalmente</w:t>
      </w:r>
      <w:r>
        <w:rPr>
          <w:color w:val="231F20"/>
          <w:spacing w:val="-42"/>
          <w:w w:val="115"/>
        </w:rPr>
        <w:t> </w:t>
      </w:r>
      <w:r>
        <w:rPr>
          <w:color w:val="231F20"/>
          <w:w w:val="115"/>
        </w:rPr>
        <w:t>como</w:t>
      </w:r>
      <w:r>
        <w:rPr>
          <w:color w:val="231F20"/>
          <w:spacing w:val="-2"/>
          <w:w w:val="109"/>
        </w:rPr>
        <w:t> </w:t>
      </w:r>
      <w:r>
        <w:rPr>
          <w:color w:val="231F20"/>
          <w:w w:val="110"/>
        </w:rPr>
        <w:t>los</w:t>
      </w:r>
      <w:r>
        <w:rPr>
          <w:color w:val="231F20"/>
          <w:spacing w:val="-23"/>
          <w:w w:val="110"/>
        </w:rPr>
        <w:t> </w:t>
      </w:r>
      <w:r>
        <w:rPr>
          <w:color w:val="231F20"/>
          <w:w w:val="110"/>
        </w:rPr>
        <w:t>costos</w:t>
      </w:r>
      <w:r>
        <w:rPr>
          <w:color w:val="231F20"/>
          <w:spacing w:val="-23"/>
          <w:w w:val="110"/>
        </w:rPr>
        <w:t> </w:t>
      </w:r>
      <w:r>
        <w:rPr>
          <w:color w:val="231F20"/>
          <w:w w:val="110"/>
        </w:rPr>
        <w:t>de</w:t>
      </w:r>
      <w:r>
        <w:rPr>
          <w:color w:val="231F20"/>
          <w:spacing w:val="-23"/>
          <w:w w:val="110"/>
        </w:rPr>
        <w:t> </w:t>
      </w:r>
      <w:r>
        <w:rPr>
          <w:color w:val="231F20"/>
          <w:w w:val="110"/>
        </w:rPr>
        <w:t>servicio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deuda,</w:t>
      </w:r>
      <w:r>
        <w:rPr>
          <w:color w:val="231F20"/>
          <w:spacing w:val="-23"/>
          <w:w w:val="110"/>
        </w:rPr>
        <w:t> </w:t>
      </w:r>
      <w:r>
        <w:rPr>
          <w:color w:val="231F20"/>
          <w:w w:val="110"/>
        </w:rPr>
        <w:t>no</w:t>
      </w:r>
      <w:r>
        <w:rPr>
          <w:color w:val="231F20"/>
          <w:spacing w:val="-23"/>
          <w:w w:val="110"/>
        </w:rPr>
        <w:t> </w:t>
      </w:r>
      <w:r>
        <w:rPr>
          <w:color w:val="231F20"/>
          <w:w w:val="110"/>
        </w:rPr>
        <w:t>han</w:t>
      </w:r>
      <w:r>
        <w:rPr>
          <w:color w:val="231F20"/>
          <w:spacing w:val="-23"/>
          <w:w w:val="110"/>
        </w:rPr>
        <w:t> </w:t>
      </w:r>
      <w:r>
        <w:rPr>
          <w:color w:val="231F20"/>
          <w:w w:val="110"/>
        </w:rPr>
        <w:t>constituido</w:t>
      </w:r>
      <w:r>
        <w:rPr>
          <w:color w:val="231F20"/>
          <w:spacing w:val="-23"/>
          <w:w w:val="110"/>
        </w:rPr>
        <w:t> </w:t>
      </w:r>
      <w:r>
        <w:rPr>
          <w:color w:val="231F20"/>
          <w:w w:val="110"/>
        </w:rPr>
        <w:t>un</w:t>
      </w:r>
      <w:r>
        <w:rPr>
          <w:color w:val="231F20"/>
          <w:spacing w:val="-23"/>
          <w:w w:val="110"/>
        </w:rPr>
        <w:t> </w:t>
      </w:r>
      <w:r>
        <w:rPr>
          <w:color w:val="231F20"/>
          <w:w w:val="110"/>
        </w:rPr>
        <w:t>problema</w:t>
      </w:r>
      <w:r>
        <w:rPr>
          <w:color w:val="231F20"/>
          <w:spacing w:val="-23"/>
          <w:w w:val="110"/>
        </w:rPr>
        <w:t> </w:t>
      </w:r>
      <w:r>
        <w:rPr>
          <w:color w:val="231F20"/>
          <w:w w:val="110"/>
        </w:rPr>
        <w:t>para </w:t>
      </w:r>
      <w:r>
        <w:rPr>
          <w:color w:val="231F20"/>
          <w:w w:val="115"/>
        </w:rPr>
        <w:t>la</w:t>
      </w:r>
      <w:r>
        <w:rPr>
          <w:color w:val="231F20"/>
          <w:spacing w:val="-19"/>
          <w:w w:val="115"/>
        </w:rPr>
        <w:t> </w:t>
      </w:r>
      <w:r>
        <w:rPr>
          <w:color w:val="231F20"/>
          <w:w w:val="115"/>
        </w:rPr>
        <w:t>economía.</w:t>
      </w:r>
      <w:r>
        <w:rPr>
          <w:color w:val="231F20"/>
          <w:spacing w:val="-19"/>
          <w:w w:val="115"/>
        </w:rPr>
        <w:t> </w:t>
      </w:r>
      <w:r>
        <w:rPr>
          <w:color w:val="231F20"/>
          <w:w w:val="115"/>
        </w:rPr>
        <w:t>Usualmente,</w:t>
      </w:r>
      <w:r>
        <w:rPr>
          <w:color w:val="231F20"/>
          <w:spacing w:val="-19"/>
          <w:w w:val="115"/>
        </w:rPr>
        <w:t> </w:t>
      </w:r>
      <w:r>
        <w:rPr>
          <w:color w:val="231F20"/>
          <w:w w:val="115"/>
        </w:rPr>
        <w:t>una</w:t>
      </w:r>
      <w:r>
        <w:rPr>
          <w:color w:val="231F20"/>
          <w:spacing w:val="-19"/>
          <w:w w:val="115"/>
        </w:rPr>
        <w:t> </w:t>
      </w:r>
      <w:r>
        <w:rPr>
          <w:color w:val="231F20"/>
          <w:w w:val="115"/>
        </w:rPr>
        <w:t>economía</w:t>
      </w:r>
      <w:r>
        <w:rPr>
          <w:color w:val="231F20"/>
          <w:spacing w:val="-19"/>
          <w:w w:val="115"/>
        </w:rPr>
        <w:t> </w:t>
      </w:r>
      <w:r>
        <w:rPr>
          <w:color w:val="231F20"/>
          <w:w w:val="115"/>
        </w:rPr>
        <w:t>con</w:t>
      </w:r>
      <w:r>
        <w:rPr>
          <w:color w:val="231F20"/>
          <w:spacing w:val="-19"/>
          <w:w w:val="115"/>
        </w:rPr>
        <w:t> </w:t>
      </w:r>
      <w:r>
        <w:rPr>
          <w:color w:val="231F20"/>
          <w:w w:val="115"/>
        </w:rPr>
        <w:t>una</w:t>
      </w:r>
      <w:r>
        <w:rPr>
          <w:color w:val="231F20"/>
          <w:spacing w:val="-19"/>
          <w:w w:val="115"/>
        </w:rPr>
        <w:t> </w:t>
      </w:r>
      <w:r>
        <w:rPr>
          <w:color w:val="231F20"/>
          <w:w w:val="115"/>
        </w:rPr>
        <w:t>posición</w:t>
      </w:r>
      <w:r>
        <w:rPr>
          <w:color w:val="231F20"/>
          <w:spacing w:val="-19"/>
          <w:w w:val="115"/>
        </w:rPr>
        <w:t> </w:t>
      </w:r>
      <w:r>
        <w:rPr>
          <w:color w:val="231F20"/>
          <w:w w:val="115"/>
        </w:rPr>
        <w:t>deudora con</w:t>
      </w:r>
      <w:r>
        <w:rPr>
          <w:color w:val="231F20"/>
          <w:spacing w:val="-17"/>
          <w:w w:val="115"/>
        </w:rPr>
        <w:t> </w:t>
      </w:r>
      <w:r>
        <w:rPr>
          <w:color w:val="231F20"/>
          <w:w w:val="115"/>
        </w:rPr>
        <w:t>el</w:t>
      </w:r>
      <w:r>
        <w:rPr>
          <w:color w:val="231F20"/>
          <w:spacing w:val="-17"/>
          <w:w w:val="115"/>
        </w:rPr>
        <w:t> </w:t>
      </w:r>
      <w:r>
        <w:rPr>
          <w:color w:val="231F20"/>
          <w:spacing w:val="-4"/>
          <w:w w:val="115"/>
        </w:rPr>
        <w:t>exterior,</w:t>
      </w:r>
      <w:r>
        <w:rPr>
          <w:color w:val="231F20"/>
          <w:spacing w:val="-17"/>
          <w:w w:val="115"/>
        </w:rPr>
        <w:t> </w:t>
      </w:r>
      <w:r>
        <w:rPr>
          <w:color w:val="231F20"/>
          <w:w w:val="115"/>
        </w:rPr>
        <w:t>registra</w:t>
      </w:r>
      <w:r>
        <w:rPr>
          <w:color w:val="231F20"/>
          <w:spacing w:val="-17"/>
          <w:w w:val="115"/>
        </w:rPr>
        <w:t> </w:t>
      </w:r>
      <w:r>
        <w:rPr>
          <w:color w:val="231F20"/>
          <w:w w:val="115"/>
        </w:rPr>
        <w:t>un</w:t>
      </w:r>
      <w:r>
        <w:rPr>
          <w:color w:val="231F20"/>
          <w:spacing w:val="-17"/>
          <w:w w:val="115"/>
        </w:rPr>
        <w:t> </w:t>
      </w:r>
      <w:r>
        <w:rPr>
          <w:color w:val="231F20"/>
          <w:w w:val="115"/>
        </w:rPr>
        <w:t>saldo</w:t>
      </w:r>
      <w:r>
        <w:rPr>
          <w:color w:val="231F20"/>
          <w:spacing w:val="-17"/>
          <w:w w:val="115"/>
        </w:rPr>
        <w:t> </w:t>
      </w:r>
      <w:r>
        <w:rPr>
          <w:color w:val="231F20"/>
          <w:w w:val="115"/>
        </w:rPr>
        <w:t>negativo</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balanza</w:t>
      </w:r>
      <w:r>
        <w:rPr>
          <w:color w:val="231F20"/>
          <w:spacing w:val="-17"/>
          <w:w w:val="115"/>
        </w:rPr>
        <w:t> </w:t>
      </w:r>
      <w:r>
        <w:rPr>
          <w:color w:val="231F20"/>
          <w:w w:val="115"/>
        </w:rPr>
        <w:t>de</w:t>
      </w:r>
      <w:r>
        <w:rPr>
          <w:color w:val="231F20"/>
          <w:spacing w:val="-17"/>
          <w:w w:val="115"/>
        </w:rPr>
        <w:t> </w:t>
      </w:r>
      <w:r>
        <w:rPr>
          <w:color w:val="231F20"/>
          <w:w w:val="115"/>
        </w:rPr>
        <w:t>rentas</w:t>
      </w:r>
      <w:r>
        <w:rPr>
          <w:color w:val="231F20"/>
          <w:spacing w:val="-17"/>
          <w:w w:val="115"/>
        </w:rPr>
        <w:t> </w:t>
      </w:r>
      <w:r>
        <w:rPr>
          <w:color w:val="231F20"/>
          <w:w w:val="115"/>
        </w:rPr>
        <w:t>de la</w:t>
      </w:r>
      <w:r>
        <w:rPr>
          <w:color w:val="231F20"/>
          <w:spacing w:val="-30"/>
          <w:w w:val="115"/>
        </w:rPr>
        <w:t> </w:t>
      </w:r>
      <w:r>
        <w:rPr>
          <w:color w:val="231F20"/>
          <w:w w:val="115"/>
        </w:rPr>
        <w:t>cuenta</w:t>
      </w:r>
      <w:r>
        <w:rPr>
          <w:color w:val="231F20"/>
          <w:spacing w:val="-30"/>
          <w:w w:val="115"/>
        </w:rPr>
        <w:t> </w:t>
      </w:r>
      <w:r>
        <w:rPr>
          <w:color w:val="231F20"/>
          <w:w w:val="115"/>
        </w:rPr>
        <w:t>corriente,</w:t>
      </w:r>
      <w:r>
        <w:rPr>
          <w:color w:val="231F20"/>
          <w:spacing w:val="-30"/>
          <w:w w:val="115"/>
        </w:rPr>
        <w:t> </w:t>
      </w:r>
      <w:r>
        <w:rPr>
          <w:color w:val="231F20"/>
          <w:w w:val="115"/>
        </w:rPr>
        <w:t>el</w:t>
      </w:r>
      <w:r>
        <w:rPr>
          <w:color w:val="231F20"/>
          <w:spacing w:val="-30"/>
          <w:w w:val="115"/>
        </w:rPr>
        <w:t> </w:t>
      </w:r>
      <w:r>
        <w:rPr>
          <w:color w:val="231F20"/>
          <w:w w:val="115"/>
        </w:rPr>
        <w:t>cual</w:t>
      </w:r>
      <w:r>
        <w:rPr>
          <w:color w:val="231F20"/>
          <w:spacing w:val="-30"/>
          <w:w w:val="115"/>
        </w:rPr>
        <w:t> </w:t>
      </w:r>
      <w:r>
        <w:rPr>
          <w:color w:val="231F20"/>
          <w:w w:val="115"/>
        </w:rPr>
        <w:t>significa</w:t>
      </w:r>
      <w:r>
        <w:rPr>
          <w:color w:val="231F20"/>
          <w:spacing w:val="-30"/>
          <w:w w:val="115"/>
        </w:rPr>
        <w:t> </w:t>
      </w:r>
      <w:r>
        <w:rPr>
          <w:color w:val="231F20"/>
          <w:w w:val="115"/>
        </w:rPr>
        <w:t>que</w:t>
      </w:r>
      <w:r>
        <w:rPr>
          <w:color w:val="231F20"/>
          <w:spacing w:val="-30"/>
          <w:w w:val="115"/>
        </w:rPr>
        <w:t> </w:t>
      </w:r>
      <w:r>
        <w:rPr>
          <w:color w:val="231F20"/>
          <w:w w:val="115"/>
        </w:rPr>
        <w:t>se</w:t>
      </w:r>
      <w:r>
        <w:rPr>
          <w:color w:val="231F20"/>
          <w:spacing w:val="-30"/>
          <w:w w:val="115"/>
        </w:rPr>
        <w:t> </w:t>
      </w:r>
      <w:r>
        <w:rPr>
          <w:color w:val="231F20"/>
          <w:w w:val="115"/>
        </w:rPr>
        <w:t>están</w:t>
      </w:r>
      <w:r>
        <w:rPr>
          <w:color w:val="231F20"/>
          <w:spacing w:val="-30"/>
          <w:w w:val="115"/>
        </w:rPr>
        <w:t> </w:t>
      </w:r>
      <w:r>
        <w:rPr>
          <w:color w:val="231F20"/>
          <w:w w:val="115"/>
        </w:rPr>
        <w:t>realizando</w:t>
      </w:r>
      <w:r>
        <w:rPr>
          <w:color w:val="231F20"/>
          <w:spacing w:val="-30"/>
          <w:w w:val="115"/>
        </w:rPr>
        <w:t> </w:t>
      </w:r>
      <w:r>
        <w:rPr>
          <w:color w:val="231F20"/>
          <w:w w:val="115"/>
        </w:rPr>
        <w:t>mayores pagos</w:t>
      </w:r>
      <w:r>
        <w:rPr>
          <w:color w:val="231F20"/>
          <w:spacing w:val="-39"/>
          <w:w w:val="115"/>
        </w:rPr>
        <w:t> </w:t>
      </w:r>
      <w:r>
        <w:rPr>
          <w:color w:val="231F20"/>
          <w:w w:val="115"/>
        </w:rPr>
        <w:t>al</w:t>
      </w:r>
      <w:r>
        <w:rPr>
          <w:color w:val="231F20"/>
          <w:spacing w:val="-39"/>
          <w:w w:val="115"/>
        </w:rPr>
        <w:t> </w:t>
      </w:r>
      <w:r>
        <w:rPr>
          <w:color w:val="231F20"/>
          <w:w w:val="115"/>
        </w:rPr>
        <w:t>exterior</w:t>
      </w:r>
      <w:r>
        <w:rPr>
          <w:color w:val="231F20"/>
          <w:spacing w:val="-39"/>
          <w:w w:val="115"/>
        </w:rPr>
        <w:t> </w:t>
      </w:r>
      <w:r>
        <w:rPr>
          <w:color w:val="231F20"/>
          <w:w w:val="115"/>
        </w:rPr>
        <w:t>en</w:t>
      </w:r>
      <w:r>
        <w:rPr>
          <w:color w:val="231F20"/>
          <w:spacing w:val="-39"/>
          <w:w w:val="115"/>
        </w:rPr>
        <w:t> </w:t>
      </w:r>
      <w:r>
        <w:rPr>
          <w:color w:val="231F20"/>
          <w:w w:val="115"/>
        </w:rPr>
        <w:t>la</w:t>
      </w:r>
      <w:r>
        <w:rPr>
          <w:color w:val="231F20"/>
          <w:spacing w:val="-39"/>
          <w:w w:val="115"/>
        </w:rPr>
        <w:t> </w:t>
      </w:r>
      <w:r>
        <w:rPr>
          <w:color w:val="231F20"/>
          <w:w w:val="115"/>
        </w:rPr>
        <w:t>forma</w:t>
      </w:r>
      <w:r>
        <w:rPr>
          <w:color w:val="231F20"/>
          <w:spacing w:val="-39"/>
          <w:w w:val="115"/>
        </w:rPr>
        <w:t> </w:t>
      </w:r>
      <w:r>
        <w:rPr>
          <w:color w:val="231F20"/>
          <w:w w:val="115"/>
        </w:rPr>
        <w:t>de</w:t>
      </w:r>
      <w:r>
        <w:rPr>
          <w:color w:val="231F20"/>
          <w:spacing w:val="-39"/>
          <w:w w:val="115"/>
        </w:rPr>
        <w:t> </w:t>
      </w:r>
      <w:r>
        <w:rPr>
          <w:color w:val="231F20"/>
          <w:w w:val="115"/>
        </w:rPr>
        <w:t>utilidades,</w:t>
      </w:r>
      <w:r>
        <w:rPr>
          <w:color w:val="231F20"/>
          <w:spacing w:val="-39"/>
          <w:w w:val="115"/>
        </w:rPr>
        <w:t> </w:t>
      </w:r>
      <w:r>
        <w:rPr>
          <w:color w:val="231F20"/>
          <w:w w:val="115"/>
        </w:rPr>
        <w:t>dividendos</w:t>
      </w:r>
      <w:r>
        <w:rPr>
          <w:color w:val="231F20"/>
          <w:spacing w:val="-39"/>
          <w:w w:val="115"/>
        </w:rPr>
        <w:t> </w:t>
      </w:r>
      <w:r>
        <w:rPr>
          <w:color w:val="231F20"/>
          <w:w w:val="115"/>
        </w:rPr>
        <w:t>e</w:t>
      </w:r>
      <w:r>
        <w:rPr>
          <w:color w:val="231F20"/>
          <w:spacing w:val="-39"/>
          <w:w w:val="115"/>
        </w:rPr>
        <w:t> </w:t>
      </w:r>
      <w:r>
        <w:rPr>
          <w:color w:val="231F20"/>
          <w:w w:val="115"/>
        </w:rPr>
        <w:t>intereses.</w:t>
      </w:r>
      <w:r>
        <w:rPr>
          <w:color w:val="231F20"/>
          <w:spacing w:val="-39"/>
          <w:w w:val="115"/>
        </w:rPr>
        <w:t> </w:t>
      </w:r>
      <w:r>
        <w:rPr>
          <w:color w:val="231F20"/>
          <w:spacing w:val="-2"/>
          <w:w w:val="115"/>
        </w:rPr>
        <w:t>Sin</w:t>
      </w:r>
      <w:r>
        <w:rPr>
          <w:color w:val="231F20"/>
          <w:spacing w:val="-2"/>
          <w:w w:val="104"/>
        </w:rPr>
        <w:t> </w:t>
      </w:r>
      <w:r>
        <w:rPr>
          <w:color w:val="231F20"/>
          <w:w w:val="115"/>
        </w:rPr>
        <w:t>embargo,</w:t>
      </w:r>
      <w:r>
        <w:rPr>
          <w:color w:val="231F20"/>
          <w:spacing w:val="-38"/>
          <w:w w:val="115"/>
        </w:rPr>
        <w:t> </w:t>
      </w:r>
      <w:r>
        <w:rPr>
          <w:color w:val="231F20"/>
          <w:w w:val="115"/>
        </w:rPr>
        <w:t>un</w:t>
      </w:r>
      <w:r>
        <w:rPr>
          <w:color w:val="231F20"/>
          <w:spacing w:val="-38"/>
          <w:w w:val="115"/>
        </w:rPr>
        <w:t> </w:t>
      </w:r>
      <w:r>
        <w:rPr>
          <w:color w:val="231F20"/>
          <w:w w:val="115"/>
        </w:rPr>
        <w:t>análisis</w:t>
      </w:r>
      <w:r>
        <w:rPr>
          <w:color w:val="231F20"/>
          <w:spacing w:val="-38"/>
          <w:w w:val="115"/>
        </w:rPr>
        <w:t> </w:t>
      </w:r>
      <w:r>
        <w:rPr>
          <w:color w:val="231F20"/>
          <w:w w:val="115"/>
        </w:rPr>
        <w:t>de</w:t>
      </w:r>
      <w:r>
        <w:rPr>
          <w:color w:val="231F20"/>
          <w:spacing w:val="-38"/>
          <w:w w:val="115"/>
        </w:rPr>
        <w:t> </w:t>
      </w:r>
      <w:r>
        <w:rPr>
          <w:color w:val="231F20"/>
          <w:w w:val="115"/>
        </w:rPr>
        <w:t>la</w:t>
      </w:r>
      <w:r>
        <w:rPr>
          <w:color w:val="231F20"/>
          <w:spacing w:val="-38"/>
          <w:w w:val="115"/>
        </w:rPr>
        <w:t> </w:t>
      </w:r>
      <w:r>
        <w:rPr>
          <w:color w:val="231F20"/>
          <w:w w:val="115"/>
        </w:rPr>
        <w:t>balanza</w:t>
      </w:r>
      <w:r>
        <w:rPr>
          <w:color w:val="231F20"/>
          <w:spacing w:val="-38"/>
          <w:w w:val="115"/>
        </w:rPr>
        <w:t> </w:t>
      </w:r>
      <w:r>
        <w:rPr>
          <w:color w:val="231F20"/>
          <w:w w:val="115"/>
        </w:rPr>
        <w:t>de</w:t>
      </w:r>
      <w:r>
        <w:rPr>
          <w:color w:val="231F20"/>
          <w:spacing w:val="-38"/>
          <w:w w:val="115"/>
        </w:rPr>
        <w:t> </w:t>
      </w:r>
      <w:r>
        <w:rPr>
          <w:color w:val="231F20"/>
          <w:w w:val="115"/>
        </w:rPr>
        <w:t>rentas</w:t>
      </w:r>
      <w:r>
        <w:rPr>
          <w:color w:val="231F20"/>
          <w:spacing w:val="-38"/>
          <w:w w:val="115"/>
        </w:rPr>
        <w:t> </w:t>
      </w:r>
      <w:r>
        <w:rPr>
          <w:color w:val="231F20"/>
          <w:w w:val="115"/>
        </w:rPr>
        <w:t>de</w:t>
      </w:r>
      <w:r>
        <w:rPr>
          <w:color w:val="231F20"/>
          <w:spacing w:val="-38"/>
          <w:w w:val="115"/>
        </w:rPr>
        <w:t> </w:t>
      </w:r>
      <w:r>
        <w:rPr>
          <w:color w:val="231F20"/>
          <w:w w:val="115"/>
        </w:rPr>
        <w:t>Estados</w:t>
      </w:r>
      <w:r>
        <w:rPr>
          <w:color w:val="231F20"/>
          <w:spacing w:val="-38"/>
          <w:w w:val="115"/>
        </w:rPr>
        <w:t> </w:t>
      </w:r>
      <w:r>
        <w:rPr>
          <w:color w:val="231F20"/>
          <w:w w:val="115"/>
        </w:rPr>
        <w:t>Unidos</w:t>
      </w:r>
      <w:r>
        <w:rPr>
          <w:color w:val="231F20"/>
          <w:spacing w:val="-38"/>
          <w:w w:val="115"/>
        </w:rPr>
        <w:t> </w:t>
      </w:r>
      <w:r>
        <w:rPr>
          <w:color w:val="231F20"/>
          <w:spacing w:val="-2"/>
          <w:w w:val="115"/>
        </w:rPr>
        <w:t>revela </w:t>
      </w:r>
      <w:r>
        <w:rPr>
          <w:color w:val="231F20"/>
          <w:w w:val="115"/>
        </w:rPr>
        <w:t>que</w:t>
      </w:r>
      <w:r>
        <w:rPr>
          <w:color w:val="231F20"/>
          <w:spacing w:val="-32"/>
          <w:w w:val="115"/>
        </w:rPr>
        <w:t> </w:t>
      </w:r>
      <w:r>
        <w:rPr>
          <w:color w:val="231F20"/>
          <w:w w:val="115"/>
        </w:rPr>
        <w:t>ésta</w:t>
      </w:r>
      <w:r>
        <w:rPr>
          <w:color w:val="231F20"/>
          <w:spacing w:val="-32"/>
          <w:w w:val="115"/>
        </w:rPr>
        <w:t> </w:t>
      </w:r>
      <w:r>
        <w:rPr>
          <w:color w:val="231F20"/>
          <w:w w:val="115"/>
        </w:rPr>
        <w:t>ha</w:t>
      </w:r>
      <w:r>
        <w:rPr>
          <w:color w:val="231F20"/>
          <w:spacing w:val="-32"/>
          <w:w w:val="115"/>
        </w:rPr>
        <w:t> </w:t>
      </w:r>
      <w:r>
        <w:rPr>
          <w:color w:val="231F20"/>
          <w:w w:val="115"/>
        </w:rPr>
        <w:t>mantenido</w:t>
      </w:r>
      <w:r>
        <w:rPr>
          <w:color w:val="231F20"/>
          <w:spacing w:val="-32"/>
          <w:w w:val="115"/>
        </w:rPr>
        <w:t> </w:t>
      </w:r>
      <w:r>
        <w:rPr>
          <w:color w:val="231F20"/>
          <w:w w:val="115"/>
        </w:rPr>
        <w:t>un</w:t>
      </w:r>
      <w:r>
        <w:rPr>
          <w:color w:val="231F20"/>
          <w:spacing w:val="-32"/>
          <w:w w:val="115"/>
        </w:rPr>
        <w:t> </w:t>
      </w:r>
      <w:r>
        <w:rPr>
          <w:color w:val="231F20"/>
          <w:w w:val="115"/>
        </w:rPr>
        <w:t>saldo</w:t>
      </w:r>
      <w:r>
        <w:rPr>
          <w:color w:val="231F20"/>
          <w:spacing w:val="-32"/>
          <w:w w:val="115"/>
        </w:rPr>
        <w:t> </w:t>
      </w:r>
      <w:r>
        <w:rPr>
          <w:color w:val="231F20"/>
          <w:w w:val="115"/>
        </w:rPr>
        <w:t>positivo</w:t>
      </w:r>
      <w:r>
        <w:rPr>
          <w:color w:val="231F20"/>
          <w:spacing w:val="-32"/>
          <w:w w:val="115"/>
        </w:rPr>
        <w:t> </w:t>
      </w:r>
      <w:r>
        <w:rPr>
          <w:color w:val="231F20"/>
          <w:w w:val="115"/>
        </w:rPr>
        <w:t>ininterrumpido.</w:t>
      </w:r>
    </w:p>
    <w:p>
      <w:pPr>
        <w:pStyle w:val="BodyText"/>
      </w:pPr>
    </w:p>
    <w:p>
      <w:pPr>
        <w:spacing w:line="261" w:lineRule="auto" w:before="152"/>
        <w:ind w:left="100" w:right="117" w:firstLine="240"/>
        <w:jc w:val="both"/>
        <w:rPr>
          <w:sz w:val="16"/>
        </w:rPr>
      </w:pPr>
      <w:r>
        <w:rPr>
          <w:color w:val="231F20"/>
          <w:w w:val="110"/>
          <w:position w:val="5"/>
          <w:sz w:val="10"/>
        </w:rPr>
        <w:t>7 </w:t>
      </w:r>
      <w:r>
        <w:rPr>
          <w:color w:val="231F20"/>
          <w:w w:val="110"/>
          <w:sz w:val="16"/>
        </w:rPr>
        <w:t>Se estima que una eventual depreciación del dólar y reequilibrio en el valor del yuan</w:t>
      </w:r>
      <w:r>
        <w:rPr>
          <w:color w:val="231F20"/>
          <w:spacing w:val="-5"/>
          <w:w w:val="110"/>
          <w:sz w:val="16"/>
        </w:rPr>
        <w:t> </w:t>
      </w:r>
      <w:r>
        <w:rPr>
          <w:color w:val="231F20"/>
          <w:w w:val="110"/>
          <w:sz w:val="16"/>
        </w:rPr>
        <w:t>que</w:t>
      </w:r>
      <w:r>
        <w:rPr>
          <w:color w:val="231F20"/>
          <w:spacing w:val="-5"/>
          <w:w w:val="110"/>
          <w:sz w:val="16"/>
        </w:rPr>
        <w:t> </w:t>
      </w:r>
      <w:r>
        <w:rPr>
          <w:color w:val="231F20"/>
          <w:w w:val="110"/>
          <w:sz w:val="16"/>
        </w:rPr>
        <w:t>implique</w:t>
      </w:r>
      <w:r>
        <w:rPr>
          <w:color w:val="231F20"/>
          <w:spacing w:val="-5"/>
          <w:w w:val="110"/>
          <w:sz w:val="16"/>
        </w:rPr>
        <w:t> </w:t>
      </w:r>
      <w:r>
        <w:rPr>
          <w:color w:val="231F20"/>
          <w:w w:val="110"/>
          <w:sz w:val="16"/>
        </w:rPr>
        <w:t>una</w:t>
      </w:r>
      <w:r>
        <w:rPr>
          <w:color w:val="231F20"/>
          <w:spacing w:val="-5"/>
          <w:w w:val="110"/>
          <w:sz w:val="16"/>
        </w:rPr>
        <w:t> </w:t>
      </w:r>
      <w:r>
        <w:rPr>
          <w:color w:val="231F20"/>
          <w:w w:val="110"/>
          <w:sz w:val="16"/>
        </w:rPr>
        <w:t>pérdida</w:t>
      </w:r>
      <w:r>
        <w:rPr>
          <w:color w:val="231F20"/>
          <w:spacing w:val="-5"/>
          <w:w w:val="110"/>
          <w:sz w:val="16"/>
        </w:rPr>
        <w:t> </w:t>
      </w:r>
      <w:r>
        <w:rPr>
          <w:color w:val="231F20"/>
          <w:w w:val="110"/>
          <w:sz w:val="16"/>
        </w:rPr>
        <w:t>de</w:t>
      </w:r>
      <w:r>
        <w:rPr>
          <w:color w:val="231F20"/>
          <w:spacing w:val="-5"/>
          <w:w w:val="110"/>
          <w:sz w:val="16"/>
        </w:rPr>
        <w:t> </w:t>
      </w:r>
      <w:r>
        <w:rPr>
          <w:color w:val="231F20"/>
          <w:w w:val="110"/>
          <w:sz w:val="16"/>
        </w:rPr>
        <w:t>capital</w:t>
      </w:r>
      <w:r>
        <w:rPr>
          <w:color w:val="231F20"/>
          <w:spacing w:val="-5"/>
          <w:w w:val="110"/>
          <w:sz w:val="16"/>
        </w:rPr>
        <w:t> </w:t>
      </w:r>
      <w:r>
        <w:rPr>
          <w:color w:val="231F20"/>
          <w:w w:val="110"/>
          <w:sz w:val="16"/>
        </w:rPr>
        <w:t>de</w:t>
      </w:r>
      <w:r>
        <w:rPr>
          <w:color w:val="231F20"/>
          <w:spacing w:val="-5"/>
          <w:w w:val="110"/>
          <w:sz w:val="16"/>
        </w:rPr>
        <w:t> </w:t>
      </w:r>
      <w:r>
        <w:rPr>
          <w:color w:val="231F20"/>
          <w:w w:val="110"/>
          <w:sz w:val="16"/>
        </w:rPr>
        <w:t>20%,</w:t>
      </w:r>
      <w:r>
        <w:rPr>
          <w:color w:val="231F20"/>
          <w:spacing w:val="-5"/>
          <w:w w:val="110"/>
          <w:sz w:val="16"/>
        </w:rPr>
        <w:t> </w:t>
      </w:r>
      <w:r>
        <w:rPr>
          <w:color w:val="231F20"/>
          <w:w w:val="110"/>
          <w:sz w:val="16"/>
        </w:rPr>
        <w:t>significaría</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China</w:t>
      </w:r>
      <w:r>
        <w:rPr>
          <w:color w:val="231F20"/>
          <w:spacing w:val="-5"/>
          <w:w w:val="110"/>
          <w:sz w:val="16"/>
        </w:rPr>
        <w:t> </w:t>
      </w:r>
      <w:r>
        <w:rPr>
          <w:color w:val="231F20"/>
          <w:w w:val="110"/>
          <w:sz w:val="16"/>
        </w:rPr>
        <w:t>una</w:t>
      </w:r>
      <w:r>
        <w:rPr>
          <w:color w:val="231F20"/>
          <w:spacing w:val="-5"/>
          <w:w w:val="110"/>
          <w:sz w:val="16"/>
        </w:rPr>
        <w:t> </w:t>
      </w:r>
      <w:r>
        <w:rPr>
          <w:color w:val="231F20"/>
          <w:w w:val="110"/>
          <w:sz w:val="16"/>
        </w:rPr>
        <w:t>pérdida de cerca de 400 mil millones de dólares o el 10% de su pib (Subramanian,  </w:t>
      </w:r>
      <w:r>
        <w:rPr>
          <w:color w:val="231F20"/>
          <w:spacing w:val="2"/>
          <w:w w:val="110"/>
          <w:sz w:val="16"/>
        </w:rPr>
        <w:t> </w:t>
      </w:r>
      <w:r>
        <w:rPr>
          <w:color w:val="231F20"/>
          <w:w w:val="110"/>
          <w:sz w:val="16"/>
        </w:rPr>
        <w:t>2009).</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2" w:firstLine="240"/>
        <w:jc w:val="both"/>
      </w:pPr>
      <w:r>
        <w:rPr>
          <w:color w:val="231F20"/>
          <w:w w:val="110"/>
        </w:rPr>
        <w:t>La interpretación de ese dato es que, en términos netos, Estados Unidos no asume costos por el servicio de su enorme deuda. </w:t>
      </w:r>
      <w:r>
        <w:rPr>
          <w:color w:val="231F20"/>
          <w:spacing w:val="-6"/>
          <w:w w:val="110"/>
        </w:rPr>
        <w:t>Tan </w:t>
      </w:r>
      <w:r>
        <w:rPr>
          <w:color w:val="231F20"/>
          <w:w w:val="110"/>
        </w:rPr>
        <w:t>inusual comportamiento responde a que, de manera general, las inversiones de Estados Unidos en el exterior, han sido más</w:t>
      </w:r>
      <w:r>
        <w:rPr>
          <w:color w:val="231F20"/>
          <w:spacing w:val="-22"/>
          <w:w w:val="110"/>
        </w:rPr>
        <w:t> </w:t>
      </w:r>
      <w:r>
        <w:rPr>
          <w:color w:val="231F20"/>
          <w:w w:val="110"/>
        </w:rPr>
        <w:t>rentables que</w:t>
      </w:r>
      <w:r>
        <w:rPr>
          <w:color w:val="231F20"/>
          <w:spacing w:val="-8"/>
          <w:w w:val="110"/>
        </w:rPr>
        <w:t> </w:t>
      </w:r>
      <w:r>
        <w:rPr>
          <w:color w:val="231F20"/>
          <w:w w:val="110"/>
        </w:rPr>
        <w:t>las</w:t>
      </w:r>
      <w:r>
        <w:rPr>
          <w:color w:val="231F20"/>
          <w:spacing w:val="-8"/>
          <w:w w:val="110"/>
        </w:rPr>
        <w:t> </w:t>
      </w:r>
      <w:r>
        <w:rPr>
          <w:color w:val="231F20"/>
          <w:w w:val="110"/>
        </w:rPr>
        <w:t>inversiones</w:t>
      </w:r>
      <w:r>
        <w:rPr>
          <w:color w:val="231F20"/>
          <w:spacing w:val="-8"/>
          <w:w w:val="110"/>
        </w:rPr>
        <w:t> </w:t>
      </w:r>
      <w:r>
        <w:rPr>
          <w:color w:val="231F20"/>
          <w:w w:val="110"/>
        </w:rPr>
        <w:t>de</w:t>
      </w:r>
      <w:r>
        <w:rPr>
          <w:color w:val="231F20"/>
          <w:spacing w:val="-8"/>
          <w:w w:val="110"/>
        </w:rPr>
        <w:t> </w:t>
      </w:r>
      <w:r>
        <w:rPr>
          <w:color w:val="231F20"/>
          <w:w w:val="110"/>
        </w:rPr>
        <w:t>extranjeros</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Por</w:t>
      </w:r>
      <w:r>
        <w:rPr>
          <w:color w:val="231F20"/>
          <w:spacing w:val="-8"/>
          <w:w w:val="110"/>
        </w:rPr>
        <w:t> </w:t>
      </w:r>
      <w:r>
        <w:rPr>
          <w:color w:val="231F20"/>
          <w:w w:val="110"/>
        </w:rPr>
        <w:t>esta</w:t>
      </w:r>
      <w:r>
        <w:rPr>
          <w:color w:val="231F20"/>
          <w:spacing w:val="-8"/>
          <w:w w:val="110"/>
        </w:rPr>
        <w:t> </w:t>
      </w:r>
      <w:r>
        <w:rPr>
          <w:color w:val="231F20"/>
          <w:w w:val="110"/>
        </w:rPr>
        <w:t>razón, los pagos que hace a sus acreedores han sido sistemáticamente me- nores que los que recibe del exterior. Por ejemplo, durante el año 2007, Estados Unidos recibió pagos cercanos a los 818 mil millones de dólares por sus activos en el exterior, mientras que pagó 736 mil millones a sus acreedores en el extranjero (cea, </w:t>
      </w:r>
      <w:r>
        <w:rPr>
          <w:color w:val="231F20"/>
          <w:spacing w:val="49"/>
          <w:w w:val="110"/>
        </w:rPr>
        <w:t> </w:t>
      </w:r>
      <w:r>
        <w:rPr>
          <w:color w:val="231F20"/>
          <w:w w:val="110"/>
        </w:rPr>
        <w:t>2009).</w:t>
      </w:r>
    </w:p>
    <w:p>
      <w:pPr>
        <w:pStyle w:val="BodyText"/>
        <w:spacing w:line="261" w:lineRule="auto"/>
        <w:ind w:left="100" w:right="119" w:firstLine="240"/>
        <w:jc w:val="both"/>
      </w:pPr>
      <w:r>
        <w:rPr>
          <w:color w:val="231F20"/>
          <w:w w:val="110"/>
        </w:rPr>
        <w:t>Esta ventaja de rendimientos que presenta Estados Unidos frente a sus acreedores, significa que ha desempeñado todo este tiempo el papel de banquero mundial (Frankel, 2006), emitiendo</w:t>
      </w:r>
      <w:r>
        <w:rPr>
          <w:color w:val="231F20"/>
          <w:spacing w:val="27"/>
          <w:w w:val="110"/>
        </w:rPr>
        <w:t> </w:t>
      </w:r>
      <w:r>
        <w:rPr>
          <w:color w:val="231F20"/>
          <w:w w:val="110"/>
        </w:rPr>
        <w:t>pasivos</w:t>
      </w:r>
      <w:r>
        <w:rPr>
          <w:color w:val="231F20"/>
          <w:spacing w:val="27"/>
          <w:w w:val="110"/>
        </w:rPr>
        <w:t> </w:t>
      </w:r>
      <w:r>
        <w:rPr>
          <w:color w:val="231F20"/>
          <w:w w:val="110"/>
        </w:rPr>
        <w:t>de</w:t>
      </w:r>
      <w:r>
        <w:rPr>
          <w:color w:val="231F20"/>
          <w:w w:val="114"/>
        </w:rPr>
        <w:t> </w:t>
      </w:r>
      <w:r>
        <w:rPr>
          <w:color w:val="231F20"/>
          <w:w w:val="110"/>
        </w:rPr>
        <w:t>corto</w:t>
      </w:r>
      <w:r>
        <w:rPr>
          <w:color w:val="231F20"/>
          <w:spacing w:val="-14"/>
          <w:w w:val="110"/>
        </w:rPr>
        <w:t> </w:t>
      </w:r>
      <w:r>
        <w:rPr>
          <w:color w:val="231F20"/>
          <w:w w:val="110"/>
        </w:rPr>
        <w:t>plazo</w:t>
      </w:r>
      <w:r>
        <w:rPr>
          <w:color w:val="231F20"/>
          <w:spacing w:val="-14"/>
          <w:w w:val="110"/>
        </w:rPr>
        <w:t> </w:t>
      </w:r>
      <w:r>
        <w:rPr>
          <w:color w:val="231F20"/>
          <w:w w:val="110"/>
        </w:rPr>
        <w:t>y</w:t>
      </w:r>
      <w:r>
        <w:rPr>
          <w:color w:val="231F20"/>
          <w:spacing w:val="-14"/>
          <w:w w:val="110"/>
        </w:rPr>
        <w:t> </w:t>
      </w:r>
      <w:r>
        <w:rPr>
          <w:color w:val="231F20"/>
          <w:w w:val="110"/>
        </w:rPr>
        <w:t>bajos</w:t>
      </w:r>
      <w:r>
        <w:rPr>
          <w:color w:val="231F20"/>
          <w:spacing w:val="-14"/>
          <w:w w:val="110"/>
        </w:rPr>
        <w:t> </w:t>
      </w:r>
      <w:r>
        <w:rPr>
          <w:color w:val="231F20"/>
          <w:w w:val="110"/>
        </w:rPr>
        <w:t>rendimientos</w:t>
      </w:r>
      <w:r>
        <w:rPr>
          <w:color w:val="231F20"/>
          <w:spacing w:val="-14"/>
          <w:w w:val="110"/>
        </w:rPr>
        <w:t> </w:t>
      </w:r>
      <w:r>
        <w:rPr>
          <w:color w:val="231F20"/>
          <w:w w:val="110"/>
        </w:rPr>
        <w:t>e</w:t>
      </w:r>
      <w:r>
        <w:rPr>
          <w:color w:val="231F20"/>
          <w:spacing w:val="-14"/>
          <w:w w:val="110"/>
        </w:rPr>
        <w:t> </w:t>
      </w:r>
      <w:r>
        <w:rPr>
          <w:color w:val="231F20"/>
          <w:w w:val="110"/>
        </w:rPr>
        <w:t>invirtiendo</w:t>
      </w:r>
      <w:r>
        <w:rPr>
          <w:color w:val="231F20"/>
          <w:spacing w:val="-14"/>
          <w:w w:val="110"/>
        </w:rPr>
        <w:t> </w:t>
      </w:r>
      <w:r>
        <w:rPr>
          <w:color w:val="231F20"/>
          <w:w w:val="110"/>
        </w:rPr>
        <w:t>en</w:t>
      </w:r>
      <w:r>
        <w:rPr>
          <w:color w:val="231F20"/>
          <w:spacing w:val="-14"/>
          <w:w w:val="110"/>
        </w:rPr>
        <w:t> </w:t>
      </w:r>
      <w:r>
        <w:rPr>
          <w:color w:val="231F20"/>
          <w:w w:val="110"/>
        </w:rPr>
        <w:t>activos</w:t>
      </w:r>
      <w:r>
        <w:rPr>
          <w:color w:val="231F20"/>
          <w:spacing w:val="-14"/>
          <w:w w:val="110"/>
        </w:rPr>
        <w:t> </w:t>
      </w:r>
      <w:r>
        <w:rPr>
          <w:color w:val="231F20"/>
          <w:w w:val="110"/>
        </w:rPr>
        <w:t>de</w:t>
      </w:r>
      <w:r>
        <w:rPr>
          <w:color w:val="231F20"/>
          <w:spacing w:val="-14"/>
          <w:w w:val="110"/>
        </w:rPr>
        <w:t> </w:t>
      </w:r>
      <w:r>
        <w:rPr>
          <w:color w:val="231F20"/>
          <w:w w:val="110"/>
        </w:rPr>
        <w:t>largo</w:t>
      </w:r>
      <w:r>
        <w:rPr>
          <w:color w:val="231F20"/>
          <w:spacing w:val="-14"/>
          <w:w w:val="110"/>
        </w:rPr>
        <w:t> </w:t>
      </w:r>
      <w:r>
        <w:rPr>
          <w:color w:val="231F20"/>
          <w:w w:val="110"/>
        </w:rPr>
        <w:t>pla-</w:t>
      </w:r>
      <w:r>
        <w:rPr>
          <w:color w:val="231F20"/>
          <w:w w:val="72"/>
        </w:rPr>
        <w:t> </w:t>
      </w:r>
      <w:r>
        <w:rPr>
          <w:color w:val="231F20"/>
          <w:w w:val="110"/>
        </w:rPr>
        <w:t>zo, principalmente inversión extranjera directa, que</w:t>
      </w:r>
      <w:r>
        <w:rPr>
          <w:color w:val="231F20"/>
          <w:spacing w:val="27"/>
          <w:w w:val="110"/>
        </w:rPr>
        <w:t> </w:t>
      </w:r>
      <w:r>
        <w:rPr>
          <w:color w:val="231F20"/>
          <w:w w:val="110"/>
        </w:rPr>
        <w:t>le</w:t>
      </w:r>
      <w:r>
        <w:rPr>
          <w:color w:val="231F20"/>
          <w:spacing w:val="4"/>
          <w:w w:val="110"/>
        </w:rPr>
        <w:t> </w:t>
      </w:r>
      <w:r>
        <w:rPr>
          <w:color w:val="231F20"/>
          <w:w w:val="110"/>
        </w:rPr>
        <w:t>proporcionan</w:t>
      </w:r>
      <w:r>
        <w:rPr>
          <w:color w:val="231F20"/>
          <w:w w:val="113"/>
        </w:rPr>
        <w:t> </w:t>
      </w:r>
      <w:r>
        <w:rPr>
          <w:color w:val="231F20"/>
          <w:w w:val="105"/>
        </w:rPr>
        <w:t>elevadas</w:t>
      </w:r>
      <w:r>
        <w:rPr>
          <w:color w:val="231F20"/>
          <w:spacing w:val="33"/>
          <w:w w:val="105"/>
        </w:rPr>
        <w:t> </w:t>
      </w:r>
      <w:r>
        <w:rPr>
          <w:color w:val="231F20"/>
          <w:w w:val="105"/>
        </w:rPr>
        <w:t>ganancias.</w:t>
      </w:r>
    </w:p>
    <w:p>
      <w:pPr>
        <w:pStyle w:val="BodyText"/>
        <w:spacing w:line="261" w:lineRule="auto"/>
        <w:ind w:left="100" w:right="112" w:firstLine="240"/>
        <w:jc w:val="both"/>
      </w:pPr>
      <w:r>
        <w:rPr>
          <w:color w:val="231F20"/>
          <w:w w:val="110"/>
        </w:rPr>
        <w:t>Sin embargo, de mantenerse las tendencias actuales, con </w:t>
      </w:r>
      <w:r>
        <w:rPr>
          <w:color w:val="231F20"/>
          <w:spacing w:val="2"/>
          <w:w w:val="110"/>
        </w:rPr>
        <w:t>una </w:t>
      </w:r>
      <w:r>
        <w:rPr>
          <w:color w:val="231F20"/>
          <w:w w:val="110"/>
        </w:rPr>
        <w:t>fuerte afluencia de financiamiento externo a Estados Unidos, resulta muy probable, que los pagos al exterior por concepto de intereses, utilidades, dividendos, se hagan cada vez mayores, provocando la canalización por esta vía del ya insuficiente ahorro interno hacia otras</w:t>
      </w:r>
      <w:r>
        <w:rPr>
          <w:color w:val="231F20"/>
          <w:spacing w:val="-9"/>
          <w:w w:val="110"/>
        </w:rPr>
        <w:t> </w:t>
      </w:r>
      <w:r>
        <w:rPr>
          <w:color w:val="231F20"/>
          <w:w w:val="110"/>
        </w:rPr>
        <w:t>economías.</w:t>
      </w:r>
      <w:r>
        <w:rPr>
          <w:color w:val="231F20"/>
          <w:spacing w:val="-9"/>
          <w:w w:val="110"/>
        </w:rPr>
        <w:t> </w:t>
      </w:r>
      <w:r>
        <w:rPr>
          <w:color w:val="231F20"/>
          <w:w w:val="110"/>
        </w:rPr>
        <w:t>Esto</w:t>
      </w:r>
      <w:r>
        <w:rPr>
          <w:color w:val="231F20"/>
          <w:spacing w:val="-9"/>
          <w:w w:val="110"/>
        </w:rPr>
        <w:t> </w:t>
      </w:r>
      <w:r>
        <w:rPr>
          <w:color w:val="231F20"/>
          <w:w w:val="110"/>
        </w:rPr>
        <w:t>crearía</w:t>
      </w:r>
      <w:r>
        <w:rPr>
          <w:color w:val="231F20"/>
          <w:spacing w:val="-9"/>
          <w:w w:val="110"/>
        </w:rPr>
        <w:t> </w:t>
      </w:r>
      <w:r>
        <w:rPr>
          <w:color w:val="231F20"/>
          <w:w w:val="110"/>
        </w:rPr>
        <w:t>un</w:t>
      </w:r>
      <w:r>
        <w:rPr>
          <w:color w:val="231F20"/>
          <w:spacing w:val="-9"/>
          <w:w w:val="110"/>
        </w:rPr>
        <w:t> </w:t>
      </w:r>
      <w:r>
        <w:rPr>
          <w:color w:val="231F20"/>
          <w:w w:val="110"/>
        </w:rPr>
        <w:t>círculo</w:t>
      </w:r>
      <w:r>
        <w:rPr>
          <w:color w:val="231F20"/>
          <w:spacing w:val="-9"/>
          <w:w w:val="110"/>
        </w:rPr>
        <w:t> </w:t>
      </w:r>
      <w:r>
        <w:rPr>
          <w:color w:val="231F20"/>
          <w:w w:val="110"/>
        </w:rPr>
        <w:t>vicioso,</w:t>
      </w:r>
      <w:r>
        <w:rPr>
          <w:color w:val="231F20"/>
          <w:spacing w:val="-9"/>
          <w:w w:val="110"/>
        </w:rPr>
        <w:t> </w:t>
      </w:r>
      <w:r>
        <w:rPr>
          <w:color w:val="231F20"/>
          <w:w w:val="110"/>
        </w:rPr>
        <w:t>pues</w:t>
      </w:r>
      <w:r>
        <w:rPr>
          <w:color w:val="231F20"/>
          <w:spacing w:val="-9"/>
          <w:w w:val="110"/>
        </w:rPr>
        <w:t> </w:t>
      </w:r>
      <w:r>
        <w:rPr>
          <w:color w:val="231F20"/>
          <w:w w:val="110"/>
        </w:rPr>
        <w:t>se</w:t>
      </w:r>
      <w:r>
        <w:rPr>
          <w:color w:val="231F20"/>
          <w:spacing w:val="-9"/>
          <w:w w:val="110"/>
        </w:rPr>
        <w:t> </w:t>
      </w:r>
      <w:r>
        <w:rPr>
          <w:color w:val="231F20"/>
          <w:w w:val="110"/>
        </w:rPr>
        <w:t>reforzaría</w:t>
      </w:r>
      <w:r>
        <w:rPr>
          <w:color w:val="231F20"/>
          <w:spacing w:val="-9"/>
          <w:w w:val="110"/>
        </w:rPr>
        <w:t> </w:t>
      </w:r>
      <w:r>
        <w:rPr>
          <w:color w:val="231F20"/>
          <w:w w:val="110"/>
        </w:rPr>
        <w:t>la insuficiencia del ahorro para cubrir los niveles de inversión, se</w:t>
      </w:r>
      <w:r>
        <w:rPr>
          <w:color w:val="231F20"/>
          <w:spacing w:val="-20"/>
          <w:w w:val="110"/>
        </w:rPr>
        <w:t> </w:t>
      </w:r>
      <w:r>
        <w:rPr>
          <w:color w:val="231F20"/>
          <w:w w:val="110"/>
        </w:rPr>
        <w:t>man- tendrían</w:t>
      </w:r>
      <w:r>
        <w:rPr>
          <w:color w:val="231F20"/>
          <w:spacing w:val="-12"/>
          <w:w w:val="110"/>
        </w:rPr>
        <w:t> </w:t>
      </w:r>
      <w:r>
        <w:rPr>
          <w:color w:val="231F20"/>
          <w:w w:val="110"/>
        </w:rPr>
        <w:t>los</w:t>
      </w:r>
      <w:r>
        <w:rPr>
          <w:color w:val="231F20"/>
          <w:spacing w:val="-12"/>
          <w:w w:val="110"/>
        </w:rPr>
        <w:t> </w:t>
      </w:r>
      <w:r>
        <w:rPr>
          <w:color w:val="231F20"/>
          <w:w w:val="110"/>
        </w:rPr>
        <w:t>resultados</w:t>
      </w:r>
      <w:r>
        <w:rPr>
          <w:color w:val="231F20"/>
          <w:spacing w:val="-12"/>
          <w:w w:val="110"/>
        </w:rPr>
        <w:t> </w:t>
      </w:r>
      <w:r>
        <w:rPr>
          <w:color w:val="231F20"/>
          <w:w w:val="110"/>
        </w:rPr>
        <w:t>negativos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cuenta</w:t>
      </w:r>
      <w:r>
        <w:rPr>
          <w:color w:val="231F20"/>
          <w:spacing w:val="-12"/>
          <w:w w:val="110"/>
        </w:rPr>
        <w:t> </w:t>
      </w:r>
      <w:r>
        <w:rPr>
          <w:color w:val="231F20"/>
          <w:w w:val="110"/>
        </w:rPr>
        <w:t>corriente</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economía sería más dependiente del financiamiento </w:t>
      </w:r>
      <w:r>
        <w:rPr>
          <w:color w:val="231F20"/>
          <w:spacing w:val="18"/>
          <w:w w:val="110"/>
        </w:rPr>
        <w:t> </w:t>
      </w:r>
      <w:r>
        <w:rPr>
          <w:color w:val="231F20"/>
          <w:w w:val="110"/>
        </w:rPr>
        <w:t>exterior.</w:t>
      </w:r>
    </w:p>
    <w:p>
      <w:pPr>
        <w:pStyle w:val="BodyText"/>
        <w:spacing w:line="261" w:lineRule="auto"/>
        <w:ind w:left="100" w:right="117" w:firstLine="240"/>
        <w:jc w:val="both"/>
      </w:pPr>
      <w:r>
        <w:rPr>
          <w:color w:val="231F20"/>
          <w:w w:val="110"/>
        </w:rPr>
        <w:t>Otra de las expresiones fundamentales del “efecto búmeran”, que ejercen los desbalances sobre el dominio monetario-financiero de la economía estadunidense, está asociada al destino del</w:t>
      </w:r>
      <w:r>
        <w:rPr>
          <w:color w:val="231F20"/>
          <w:spacing w:val="-14"/>
          <w:w w:val="110"/>
        </w:rPr>
        <w:t> </w:t>
      </w:r>
      <w:r>
        <w:rPr>
          <w:color w:val="231F20"/>
          <w:w w:val="110"/>
        </w:rPr>
        <w:t>financiamiento externo. Al utilizarse para el consumo y no para la inversión, no se garantiza el desarrollo de las capacidades productivas de la econo- mía, el crecimiento en el largo plazo </w:t>
      </w:r>
      <w:r>
        <w:rPr>
          <w:color w:val="231F20"/>
          <w:spacing w:val="-8"/>
          <w:w w:val="110"/>
        </w:rPr>
        <w:t>y, </w:t>
      </w:r>
      <w:r>
        <w:rPr>
          <w:color w:val="231F20"/>
          <w:w w:val="110"/>
        </w:rPr>
        <w:t>con ello, la creación de una base productiva lo suficientemente sólida como para hacerle frente al costo de servir la deuda en el futuro. Así, los ahorros del resto   del mundo se han dirigido a alimentar una “desenfrenada carrera consumista” </w:t>
      </w:r>
      <w:r>
        <w:rPr>
          <w:i/>
          <w:color w:val="231F20"/>
          <w:w w:val="110"/>
        </w:rPr>
        <w:t>(</w:t>
      </w:r>
      <w:r>
        <w:rPr>
          <w:color w:val="231F20"/>
          <w:w w:val="110"/>
        </w:rPr>
        <w:t>Beinstein, 2008), amenazando seriamente la capaci- dad productiva estadunidense. Para muchos, la declinación de su predominio industrial, implicaría la declinación definitiva del papel monetario internacional del </w:t>
      </w:r>
      <w:r>
        <w:rPr>
          <w:color w:val="231F20"/>
          <w:spacing w:val="23"/>
          <w:w w:val="110"/>
        </w:rPr>
        <w:t> </w:t>
      </w:r>
      <w:r>
        <w:rPr>
          <w:color w:val="231F20"/>
          <w:spacing w:val="-3"/>
          <w:w w:val="110"/>
        </w:rPr>
        <w:t>dólar.</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768"/>
      </w:pPr>
      <w:r>
        <w:rPr>
          <w:color w:val="231F20"/>
          <w:w w:val="125"/>
        </w:rPr>
        <w:t>los desbalances externos, la crisis económica actual  y</w:t>
      </w:r>
      <w:r>
        <w:rPr>
          <w:color w:val="231F20"/>
          <w:spacing w:val="-17"/>
          <w:w w:val="125"/>
        </w:rPr>
        <w:t> </w:t>
      </w:r>
      <w:r>
        <w:rPr>
          <w:color w:val="231F20"/>
          <w:w w:val="125"/>
        </w:rPr>
        <w:t>sus</w:t>
      </w:r>
      <w:r>
        <w:rPr>
          <w:color w:val="231F20"/>
          <w:spacing w:val="-17"/>
          <w:w w:val="125"/>
        </w:rPr>
        <w:t> </w:t>
      </w:r>
      <w:r>
        <w:rPr>
          <w:color w:val="231F20"/>
          <w:w w:val="125"/>
        </w:rPr>
        <w:t>impactos</w:t>
      </w:r>
      <w:r>
        <w:rPr>
          <w:color w:val="231F20"/>
          <w:spacing w:val="-17"/>
          <w:w w:val="125"/>
        </w:rPr>
        <w:t> </w:t>
      </w:r>
      <w:r>
        <w:rPr>
          <w:color w:val="231F20"/>
          <w:w w:val="125"/>
        </w:rPr>
        <w:t>en</w:t>
      </w:r>
      <w:r>
        <w:rPr>
          <w:color w:val="231F20"/>
          <w:spacing w:val="-17"/>
          <w:w w:val="125"/>
        </w:rPr>
        <w:t> </w:t>
      </w:r>
      <w:r>
        <w:rPr>
          <w:color w:val="231F20"/>
          <w:w w:val="125"/>
        </w:rPr>
        <w:t>la</w:t>
      </w:r>
      <w:r>
        <w:rPr>
          <w:color w:val="231F20"/>
          <w:spacing w:val="-17"/>
          <w:w w:val="125"/>
        </w:rPr>
        <w:t> </w:t>
      </w:r>
      <w:r>
        <w:rPr>
          <w:color w:val="231F20"/>
          <w:w w:val="125"/>
        </w:rPr>
        <w:t>hegemonía</w:t>
      </w:r>
      <w:r>
        <w:rPr>
          <w:color w:val="231F20"/>
          <w:spacing w:val="-17"/>
          <w:w w:val="125"/>
        </w:rPr>
        <w:t> </w:t>
      </w:r>
      <w:r>
        <w:rPr>
          <w:color w:val="231F20"/>
          <w:w w:val="125"/>
        </w:rPr>
        <w:t>monetaria</w:t>
      </w:r>
      <w:r>
        <w:rPr>
          <w:color w:val="231F20"/>
          <w:spacing w:val="-17"/>
          <w:w w:val="125"/>
        </w:rPr>
        <w:t> </w:t>
      </w:r>
      <w:r>
        <w:rPr>
          <w:color w:val="231F20"/>
          <w:w w:val="125"/>
        </w:rPr>
        <w:t>y</w:t>
      </w:r>
      <w:r>
        <w:rPr>
          <w:color w:val="231F20"/>
          <w:spacing w:val="-17"/>
          <w:w w:val="125"/>
        </w:rPr>
        <w:t> </w:t>
      </w:r>
      <w:r>
        <w:rPr>
          <w:color w:val="231F20"/>
          <w:w w:val="125"/>
        </w:rPr>
        <w:t>financiera de estados</w:t>
      </w:r>
      <w:r>
        <w:rPr>
          <w:color w:val="231F20"/>
          <w:spacing w:val="-27"/>
          <w:w w:val="125"/>
        </w:rPr>
        <w:t> </w:t>
      </w:r>
      <w:r>
        <w:rPr>
          <w:color w:val="231F20"/>
          <w:w w:val="125"/>
        </w:rPr>
        <w:t>unidos</w:t>
      </w:r>
    </w:p>
    <w:p>
      <w:pPr>
        <w:pStyle w:val="BodyText"/>
        <w:spacing w:before="8"/>
        <w:rPr>
          <w:sz w:val="21"/>
        </w:rPr>
      </w:pPr>
    </w:p>
    <w:p>
      <w:pPr>
        <w:pStyle w:val="BodyText"/>
        <w:spacing w:line="261" w:lineRule="auto"/>
        <w:ind w:left="100" w:right="117"/>
        <w:jc w:val="both"/>
      </w:pPr>
      <w:r>
        <w:rPr>
          <w:color w:val="231F20"/>
          <w:w w:val="110"/>
        </w:rPr>
        <w:t>Durante los primeros años del siglo xxi, Estados Unidos siguió</w:t>
      </w:r>
      <w:r>
        <w:rPr>
          <w:color w:val="231F20"/>
          <w:spacing w:val="-22"/>
          <w:w w:val="110"/>
        </w:rPr>
        <w:t> </w:t>
      </w:r>
      <w:r>
        <w:rPr>
          <w:color w:val="231F20"/>
          <w:w w:val="110"/>
        </w:rPr>
        <w:t>sien- do el centro de una dinámica global que combinaba una profunda liberalización</w:t>
      </w:r>
      <w:r>
        <w:rPr>
          <w:color w:val="231F20"/>
          <w:spacing w:val="-16"/>
          <w:w w:val="110"/>
        </w:rPr>
        <w:t> </w:t>
      </w:r>
      <w:r>
        <w:rPr>
          <w:color w:val="231F20"/>
          <w:w w:val="110"/>
        </w:rPr>
        <w:t>financiera,</w:t>
      </w:r>
      <w:r>
        <w:rPr>
          <w:color w:val="231F20"/>
          <w:spacing w:val="-16"/>
          <w:w w:val="110"/>
        </w:rPr>
        <w:t> </w:t>
      </w:r>
      <w:r>
        <w:rPr>
          <w:color w:val="231F20"/>
          <w:w w:val="110"/>
        </w:rPr>
        <w:t>la</w:t>
      </w:r>
      <w:r>
        <w:rPr>
          <w:color w:val="231F20"/>
          <w:spacing w:val="-16"/>
          <w:w w:val="110"/>
        </w:rPr>
        <w:t> </w:t>
      </w:r>
      <w:r>
        <w:rPr>
          <w:color w:val="231F20"/>
          <w:w w:val="110"/>
        </w:rPr>
        <w:t>aplicación</w:t>
      </w:r>
      <w:r>
        <w:rPr>
          <w:color w:val="231F20"/>
          <w:spacing w:val="-16"/>
          <w:w w:val="110"/>
        </w:rPr>
        <w:t> </w:t>
      </w:r>
      <w:r>
        <w:rPr>
          <w:color w:val="231F20"/>
          <w:w w:val="110"/>
        </w:rPr>
        <w:t>acelerada</w:t>
      </w:r>
      <w:r>
        <w:rPr>
          <w:color w:val="231F20"/>
          <w:spacing w:val="-16"/>
          <w:w w:val="110"/>
        </w:rPr>
        <w:t> </w:t>
      </w:r>
      <w:r>
        <w:rPr>
          <w:color w:val="231F20"/>
          <w:w w:val="110"/>
        </w:rPr>
        <w:t>de</w:t>
      </w:r>
      <w:r>
        <w:rPr>
          <w:color w:val="231F20"/>
          <w:spacing w:val="-16"/>
          <w:w w:val="110"/>
        </w:rPr>
        <w:t> </w:t>
      </w:r>
      <w:r>
        <w:rPr>
          <w:color w:val="231F20"/>
          <w:w w:val="110"/>
        </w:rPr>
        <w:t>innovaciones</w:t>
      </w:r>
      <w:r>
        <w:rPr>
          <w:color w:val="231F20"/>
          <w:spacing w:val="-16"/>
          <w:w w:val="110"/>
        </w:rPr>
        <w:t> </w:t>
      </w:r>
      <w:r>
        <w:rPr>
          <w:color w:val="231F20"/>
          <w:w w:val="110"/>
        </w:rPr>
        <w:t>tec- nológicas</w:t>
      </w:r>
      <w:r>
        <w:rPr>
          <w:color w:val="231F20"/>
          <w:spacing w:val="-5"/>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mercados</w:t>
      </w:r>
      <w:r>
        <w:rPr>
          <w:color w:val="231F20"/>
          <w:spacing w:val="-5"/>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aparición</w:t>
      </w:r>
      <w:r>
        <w:rPr>
          <w:color w:val="231F20"/>
          <w:spacing w:val="-5"/>
          <w:w w:val="110"/>
        </w:rPr>
        <w:t> </w:t>
      </w:r>
      <w:r>
        <w:rPr>
          <w:color w:val="231F20"/>
          <w:w w:val="110"/>
        </w:rPr>
        <w:t>de</w:t>
      </w:r>
      <w:r>
        <w:rPr>
          <w:color w:val="231F20"/>
          <w:spacing w:val="-4"/>
          <w:w w:val="110"/>
        </w:rPr>
        <w:t> </w:t>
      </w:r>
      <w:r>
        <w:rPr>
          <w:color w:val="231F20"/>
          <w:w w:val="110"/>
        </w:rPr>
        <w:t>nuevos</w:t>
      </w:r>
      <w:r>
        <w:rPr>
          <w:color w:val="231F20"/>
          <w:spacing w:val="-5"/>
          <w:w w:val="110"/>
        </w:rPr>
        <w:t> </w:t>
      </w:r>
      <w:r>
        <w:rPr>
          <w:color w:val="231F20"/>
          <w:w w:val="110"/>
        </w:rPr>
        <w:t>y</w:t>
      </w:r>
      <w:r>
        <w:rPr>
          <w:color w:val="231F20"/>
          <w:spacing w:val="-4"/>
          <w:w w:val="110"/>
        </w:rPr>
        <w:t> </w:t>
      </w:r>
      <w:r>
        <w:rPr>
          <w:color w:val="231F20"/>
          <w:w w:val="110"/>
        </w:rPr>
        <w:t>más</w:t>
      </w:r>
      <w:r>
        <w:rPr>
          <w:color w:val="231F20"/>
          <w:spacing w:val="-5"/>
          <w:w w:val="110"/>
        </w:rPr>
        <w:t> </w:t>
      </w:r>
      <w:r>
        <w:rPr>
          <w:color w:val="231F20"/>
          <w:w w:val="110"/>
        </w:rPr>
        <w:t>complejos productos</w:t>
      </w:r>
      <w:r>
        <w:rPr>
          <w:color w:val="231F20"/>
          <w:spacing w:val="-16"/>
          <w:w w:val="110"/>
        </w:rPr>
        <w:t> </w:t>
      </w:r>
      <w:r>
        <w:rPr>
          <w:color w:val="231F20"/>
          <w:w w:val="110"/>
        </w:rPr>
        <w:t>financieros,</w:t>
      </w:r>
      <w:r>
        <w:rPr>
          <w:color w:val="231F20"/>
          <w:spacing w:val="-16"/>
          <w:w w:val="110"/>
        </w:rPr>
        <w:t> </w:t>
      </w:r>
      <w:r>
        <w:rPr>
          <w:color w:val="231F20"/>
          <w:w w:val="110"/>
        </w:rPr>
        <w:t>entre</w:t>
      </w:r>
      <w:r>
        <w:rPr>
          <w:color w:val="231F20"/>
          <w:spacing w:val="-16"/>
          <w:w w:val="110"/>
        </w:rPr>
        <w:t> </w:t>
      </w:r>
      <w:r>
        <w:rPr>
          <w:color w:val="231F20"/>
          <w:w w:val="110"/>
        </w:rPr>
        <w:t>otras.</w:t>
      </w:r>
      <w:r>
        <w:rPr>
          <w:color w:val="231F20"/>
          <w:spacing w:val="-16"/>
          <w:w w:val="110"/>
        </w:rPr>
        <w:t> </w:t>
      </w:r>
      <w:r>
        <w:rPr>
          <w:color w:val="231F20"/>
          <w:w w:val="110"/>
        </w:rPr>
        <w:t>Las</w:t>
      </w:r>
      <w:r>
        <w:rPr>
          <w:color w:val="231F20"/>
          <w:spacing w:val="-16"/>
          <w:w w:val="110"/>
        </w:rPr>
        <w:t> </w:t>
      </w:r>
      <w:r>
        <w:rPr>
          <w:color w:val="231F20"/>
          <w:w w:val="110"/>
        </w:rPr>
        <w:t>presiones</w:t>
      </w:r>
      <w:r>
        <w:rPr>
          <w:color w:val="231F20"/>
          <w:spacing w:val="-16"/>
          <w:w w:val="110"/>
        </w:rPr>
        <w:t> </w:t>
      </w:r>
      <w:r>
        <w:rPr>
          <w:color w:val="231F20"/>
          <w:w w:val="110"/>
        </w:rPr>
        <w:t>competitivas</w:t>
      </w:r>
      <w:r>
        <w:rPr>
          <w:color w:val="231F20"/>
          <w:spacing w:val="-16"/>
          <w:w w:val="110"/>
        </w:rPr>
        <w:t> </w:t>
      </w:r>
      <w:r>
        <w:rPr>
          <w:color w:val="231F20"/>
          <w:w w:val="110"/>
        </w:rPr>
        <w:t>asocia- das a estas tendencias, impulsaron a los inversionistas a</w:t>
      </w:r>
      <w:r>
        <w:rPr>
          <w:color w:val="231F20"/>
          <w:spacing w:val="-36"/>
          <w:w w:val="110"/>
        </w:rPr>
        <w:t> </w:t>
      </w:r>
      <w:r>
        <w:rPr>
          <w:color w:val="231F20"/>
          <w:w w:val="110"/>
        </w:rPr>
        <w:t>involucrarse en</w:t>
      </w:r>
      <w:r>
        <w:rPr>
          <w:color w:val="231F20"/>
          <w:spacing w:val="-38"/>
          <w:w w:val="110"/>
        </w:rPr>
        <w:t> </w:t>
      </w:r>
      <w:r>
        <w:rPr>
          <w:color w:val="231F20"/>
          <w:w w:val="110"/>
        </w:rPr>
        <w:t>actividades</w:t>
      </w:r>
      <w:r>
        <w:rPr>
          <w:color w:val="231F20"/>
          <w:spacing w:val="-38"/>
          <w:w w:val="110"/>
        </w:rPr>
        <w:t> </w:t>
      </w:r>
      <w:r>
        <w:rPr>
          <w:color w:val="231F20"/>
          <w:w w:val="110"/>
        </w:rPr>
        <w:t>especulativas</w:t>
      </w:r>
      <w:r>
        <w:rPr>
          <w:color w:val="231F20"/>
          <w:spacing w:val="-38"/>
          <w:w w:val="110"/>
        </w:rPr>
        <w:t> </w:t>
      </w:r>
      <w:r>
        <w:rPr>
          <w:color w:val="231F20"/>
          <w:w w:val="110"/>
        </w:rPr>
        <w:t>más</w:t>
      </w:r>
      <w:r>
        <w:rPr>
          <w:color w:val="231F20"/>
          <w:spacing w:val="-38"/>
          <w:w w:val="110"/>
        </w:rPr>
        <w:t> </w:t>
      </w:r>
      <w:r>
        <w:rPr>
          <w:color w:val="231F20"/>
          <w:w w:val="110"/>
        </w:rPr>
        <w:t>riesgosas,</w:t>
      </w:r>
      <w:r>
        <w:rPr>
          <w:color w:val="231F20"/>
          <w:spacing w:val="-38"/>
          <w:w w:val="110"/>
        </w:rPr>
        <w:t> </w:t>
      </w:r>
      <w:r>
        <w:rPr>
          <w:color w:val="231F20"/>
          <w:w w:val="110"/>
        </w:rPr>
        <w:t>basados</w:t>
      </w:r>
      <w:r>
        <w:rPr>
          <w:color w:val="231F20"/>
          <w:spacing w:val="-38"/>
          <w:w w:val="110"/>
        </w:rPr>
        <w:t> </w:t>
      </w:r>
      <w:r>
        <w:rPr>
          <w:color w:val="231F20"/>
          <w:w w:val="110"/>
        </w:rPr>
        <w:t>en</w:t>
      </w:r>
      <w:r>
        <w:rPr>
          <w:color w:val="231F20"/>
          <w:spacing w:val="-38"/>
          <w:w w:val="110"/>
        </w:rPr>
        <w:t> </w:t>
      </w:r>
      <w:r>
        <w:rPr>
          <w:color w:val="231F20"/>
          <w:w w:val="110"/>
        </w:rPr>
        <w:t>expectativas</w:t>
      </w:r>
      <w:r>
        <w:rPr>
          <w:color w:val="231F20"/>
          <w:spacing w:val="-38"/>
          <w:w w:val="110"/>
        </w:rPr>
        <w:t> </w:t>
      </w:r>
      <w:r>
        <w:rPr>
          <w:color w:val="231F20"/>
          <w:w w:val="110"/>
        </w:rPr>
        <w:t>ex- cesivamente</w:t>
      </w:r>
      <w:r>
        <w:rPr>
          <w:color w:val="231F20"/>
          <w:spacing w:val="-16"/>
          <w:w w:val="110"/>
        </w:rPr>
        <w:t> </w:t>
      </w:r>
      <w:r>
        <w:rPr>
          <w:color w:val="231F20"/>
          <w:w w:val="110"/>
        </w:rPr>
        <w:t>optimistas.</w:t>
      </w:r>
      <w:r>
        <w:rPr>
          <w:color w:val="231F20"/>
          <w:spacing w:val="-16"/>
          <w:w w:val="110"/>
        </w:rPr>
        <w:t> </w:t>
      </w:r>
      <w:r>
        <w:rPr>
          <w:color w:val="231F20"/>
          <w:w w:val="110"/>
        </w:rPr>
        <w:t>La</w:t>
      </w:r>
      <w:r>
        <w:rPr>
          <w:color w:val="231F20"/>
          <w:spacing w:val="-16"/>
          <w:w w:val="110"/>
        </w:rPr>
        <w:t> </w:t>
      </w:r>
      <w:r>
        <w:rPr>
          <w:color w:val="231F20"/>
          <w:w w:val="110"/>
        </w:rPr>
        <w:t>afluencia</w:t>
      </w:r>
      <w:r>
        <w:rPr>
          <w:color w:val="231F20"/>
          <w:spacing w:val="-16"/>
          <w:w w:val="110"/>
        </w:rPr>
        <w:t> </w:t>
      </w:r>
      <w:r>
        <w:rPr>
          <w:color w:val="231F20"/>
          <w:w w:val="110"/>
        </w:rPr>
        <w:t>de</w:t>
      </w:r>
      <w:r>
        <w:rPr>
          <w:color w:val="231F20"/>
          <w:spacing w:val="-16"/>
          <w:w w:val="110"/>
        </w:rPr>
        <w:t> </w:t>
      </w:r>
      <w:r>
        <w:rPr>
          <w:color w:val="231F20"/>
          <w:w w:val="110"/>
        </w:rPr>
        <w:t>capital</w:t>
      </w:r>
      <w:r>
        <w:rPr>
          <w:color w:val="231F20"/>
          <w:spacing w:val="-16"/>
          <w:w w:val="110"/>
        </w:rPr>
        <w:t> </w:t>
      </w:r>
      <w:r>
        <w:rPr>
          <w:color w:val="231F20"/>
          <w:w w:val="110"/>
        </w:rPr>
        <w:t>extranjero</w:t>
      </w:r>
      <w:r>
        <w:rPr>
          <w:color w:val="231F20"/>
          <w:spacing w:val="-16"/>
          <w:w w:val="110"/>
        </w:rPr>
        <w:t> </w:t>
      </w:r>
      <w:r>
        <w:rPr>
          <w:color w:val="231F20"/>
          <w:w w:val="110"/>
        </w:rPr>
        <w:t>contribuyó a</w:t>
      </w:r>
      <w:r>
        <w:rPr>
          <w:color w:val="231F20"/>
          <w:spacing w:val="-6"/>
          <w:w w:val="110"/>
        </w:rPr>
        <w:t> </w:t>
      </w:r>
      <w:r>
        <w:rPr>
          <w:color w:val="231F20"/>
          <w:w w:val="110"/>
        </w:rPr>
        <w:t>impulsar</w:t>
      </w:r>
      <w:r>
        <w:rPr>
          <w:color w:val="231F20"/>
          <w:spacing w:val="-6"/>
          <w:w w:val="110"/>
        </w:rPr>
        <w:t> </w:t>
      </w:r>
      <w:r>
        <w:rPr>
          <w:color w:val="231F20"/>
          <w:w w:val="110"/>
        </w:rPr>
        <w:t>tales</w:t>
      </w:r>
      <w:r>
        <w:rPr>
          <w:color w:val="231F20"/>
          <w:spacing w:val="-6"/>
          <w:w w:val="110"/>
        </w:rPr>
        <w:t> </w:t>
      </w:r>
      <w:r>
        <w:rPr>
          <w:color w:val="231F20"/>
          <w:w w:val="110"/>
        </w:rPr>
        <w:t>tendencias,</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a</w:t>
      </w:r>
      <w:r>
        <w:rPr>
          <w:color w:val="231F20"/>
          <w:spacing w:val="-6"/>
          <w:w w:val="110"/>
        </w:rPr>
        <w:t> </w:t>
      </w:r>
      <w:r>
        <w:rPr>
          <w:color w:val="231F20"/>
          <w:w w:val="110"/>
        </w:rPr>
        <w:t>incrementar</w:t>
      </w:r>
      <w:r>
        <w:rPr>
          <w:color w:val="231F20"/>
          <w:spacing w:val="-6"/>
          <w:w w:val="110"/>
        </w:rPr>
        <w:t> </w:t>
      </w:r>
      <w:r>
        <w:rPr>
          <w:color w:val="231F20"/>
          <w:w w:val="110"/>
        </w:rPr>
        <w:t>la</w:t>
      </w:r>
      <w:r>
        <w:rPr>
          <w:color w:val="231F20"/>
          <w:spacing w:val="-6"/>
          <w:w w:val="110"/>
        </w:rPr>
        <w:t> </w:t>
      </w:r>
      <w:r>
        <w:rPr>
          <w:color w:val="231F20"/>
          <w:w w:val="110"/>
        </w:rPr>
        <w:t>disponibilidad de crédito barato, elevar el nivel de endeudamiento de los hogares, su</w:t>
      </w:r>
      <w:r>
        <w:rPr>
          <w:color w:val="231F20"/>
          <w:spacing w:val="-18"/>
          <w:w w:val="110"/>
        </w:rPr>
        <w:t> </w:t>
      </w:r>
      <w:r>
        <w:rPr>
          <w:color w:val="231F20"/>
          <w:w w:val="110"/>
        </w:rPr>
        <w:t>consumo</w:t>
      </w:r>
      <w:r>
        <w:rPr>
          <w:color w:val="231F20"/>
          <w:spacing w:val="-18"/>
          <w:w w:val="110"/>
        </w:rPr>
        <w:t> </w:t>
      </w:r>
      <w:r>
        <w:rPr>
          <w:color w:val="231F20"/>
          <w:w w:val="110"/>
        </w:rPr>
        <w:t>y</w:t>
      </w:r>
      <w:r>
        <w:rPr>
          <w:color w:val="231F20"/>
          <w:spacing w:val="-18"/>
          <w:w w:val="110"/>
        </w:rPr>
        <w:t> </w:t>
      </w:r>
      <w:r>
        <w:rPr>
          <w:color w:val="231F20"/>
          <w:w w:val="110"/>
        </w:rPr>
        <w:t>su</w:t>
      </w:r>
      <w:r>
        <w:rPr>
          <w:color w:val="231F20"/>
          <w:spacing w:val="-18"/>
          <w:w w:val="110"/>
        </w:rPr>
        <w:t> </w:t>
      </w:r>
      <w:r>
        <w:rPr>
          <w:color w:val="231F20"/>
          <w:w w:val="110"/>
        </w:rPr>
        <w:t>expresión</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crecimiento</w:t>
      </w:r>
      <w:r>
        <w:rPr>
          <w:color w:val="231F20"/>
          <w:spacing w:val="-18"/>
          <w:w w:val="110"/>
        </w:rPr>
        <w:t> </w:t>
      </w:r>
      <w:r>
        <w:rPr>
          <w:color w:val="231F20"/>
          <w:w w:val="110"/>
        </w:rPr>
        <w:t>del</w:t>
      </w:r>
      <w:r>
        <w:rPr>
          <w:color w:val="231F20"/>
          <w:spacing w:val="-18"/>
          <w:w w:val="110"/>
        </w:rPr>
        <w:t> </w:t>
      </w:r>
      <w:r>
        <w:rPr>
          <w:color w:val="231F20"/>
          <w:w w:val="110"/>
        </w:rPr>
        <w:t>producto.</w:t>
      </w:r>
      <w:r>
        <w:rPr>
          <w:color w:val="231F20"/>
          <w:spacing w:val="-18"/>
          <w:w w:val="110"/>
        </w:rPr>
        <w:t> </w:t>
      </w:r>
      <w:r>
        <w:rPr>
          <w:color w:val="231F20"/>
          <w:w w:val="110"/>
        </w:rPr>
        <w:t>Asimismo, esta</w:t>
      </w:r>
      <w:r>
        <w:rPr>
          <w:color w:val="231F20"/>
          <w:spacing w:val="-4"/>
          <w:w w:val="110"/>
        </w:rPr>
        <w:t> </w:t>
      </w:r>
      <w:r>
        <w:rPr>
          <w:color w:val="231F20"/>
          <w:w w:val="110"/>
        </w:rPr>
        <w:t>afluencia</w:t>
      </w:r>
      <w:r>
        <w:rPr>
          <w:color w:val="231F20"/>
          <w:spacing w:val="-4"/>
          <w:w w:val="110"/>
        </w:rPr>
        <w:t> </w:t>
      </w:r>
      <w:r>
        <w:rPr>
          <w:color w:val="231F20"/>
          <w:w w:val="110"/>
        </w:rPr>
        <w:t>fue</w:t>
      </w:r>
      <w:r>
        <w:rPr>
          <w:color w:val="231F20"/>
          <w:spacing w:val="-4"/>
          <w:w w:val="110"/>
        </w:rPr>
        <w:t> </w:t>
      </w:r>
      <w:r>
        <w:rPr>
          <w:color w:val="231F20"/>
          <w:w w:val="110"/>
        </w:rPr>
        <w:t>una</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fuentes</w:t>
      </w:r>
      <w:r>
        <w:rPr>
          <w:color w:val="231F20"/>
          <w:spacing w:val="-4"/>
          <w:w w:val="110"/>
        </w:rPr>
        <w:t> </w:t>
      </w:r>
      <w:r>
        <w:rPr>
          <w:color w:val="231F20"/>
          <w:w w:val="110"/>
        </w:rPr>
        <w:t>que</w:t>
      </w:r>
      <w:r>
        <w:rPr>
          <w:color w:val="231F20"/>
          <w:spacing w:val="-4"/>
          <w:w w:val="110"/>
        </w:rPr>
        <w:t> </w:t>
      </w:r>
      <w:r>
        <w:rPr>
          <w:color w:val="231F20"/>
          <w:w w:val="110"/>
        </w:rPr>
        <w:t>alimentó</w:t>
      </w:r>
      <w:r>
        <w:rPr>
          <w:color w:val="231F20"/>
          <w:spacing w:val="-4"/>
          <w:w w:val="110"/>
        </w:rPr>
        <w:t> </w:t>
      </w:r>
      <w:r>
        <w:rPr>
          <w:color w:val="231F20"/>
          <w:w w:val="110"/>
        </w:rPr>
        <w:t>el</w:t>
      </w:r>
      <w:r>
        <w:rPr>
          <w:color w:val="231F20"/>
          <w:spacing w:val="-4"/>
          <w:w w:val="110"/>
        </w:rPr>
        <w:t> </w:t>
      </w:r>
      <w:r>
        <w:rPr>
          <w:color w:val="231F20"/>
          <w:w w:val="110"/>
        </w:rPr>
        <w:t>auge</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espe- culación inmobiliaria, expresada en la titularización de los créditos hipotecarios y su difusión en el mercado financiero</w:t>
      </w:r>
      <w:r>
        <w:rPr>
          <w:color w:val="231F20"/>
          <w:spacing w:val="33"/>
          <w:w w:val="110"/>
        </w:rPr>
        <w:t> </w:t>
      </w:r>
      <w:r>
        <w:rPr>
          <w:color w:val="231F20"/>
          <w:w w:val="110"/>
        </w:rPr>
        <w:t>globalizado.</w:t>
      </w:r>
    </w:p>
    <w:p>
      <w:pPr>
        <w:pStyle w:val="BodyText"/>
        <w:spacing w:line="261" w:lineRule="auto"/>
        <w:ind w:left="100" w:right="111" w:firstLine="240"/>
        <w:jc w:val="both"/>
      </w:pPr>
      <w:r>
        <w:rPr>
          <w:color w:val="231F20"/>
          <w:w w:val="110"/>
        </w:rPr>
        <w:t>Durante el desarrollo de todo este proceso, la base productiva crecía a una tasa mucho más baja que las actividades especulativas. La especulación no fue controlada por el Estado, con lo que la bur- buja financiera estalló, cuando la cadena de operaciones se quebró al </w:t>
      </w:r>
      <w:r>
        <w:rPr>
          <w:color w:val="231F20"/>
          <w:spacing w:val="2"/>
          <w:w w:val="110"/>
        </w:rPr>
        <w:t>comenzar </w:t>
      </w:r>
      <w:r>
        <w:rPr>
          <w:color w:val="231F20"/>
          <w:w w:val="110"/>
        </w:rPr>
        <w:t>a </w:t>
      </w:r>
      <w:r>
        <w:rPr>
          <w:color w:val="231F20"/>
          <w:spacing w:val="2"/>
          <w:w w:val="110"/>
        </w:rPr>
        <w:t>acumularse impagos sobre </w:t>
      </w:r>
      <w:r>
        <w:rPr>
          <w:color w:val="231F20"/>
          <w:w w:val="110"/>
        </w:rPr>
        <w:t>las </w:t>
      </w:r>
      <w:r>
        <w:rPr>
          <w:color w:val="231F20"/>
          <w:spacing w:val="2"/>
          <w:w w:val="110"/>
        </w:rPr>
        <w:t>deudas </w:t>
      </w:r>
      <w:r>
        <w:rPr>
          <w:color w:val="231F20"/>
          <w:spacing w:val="3"/>
          <w:w w:val="110"/>
        </w:rPr>
        <w:t>(Martínez, </w:t>
      </w:r>
      <w:r>
        <w:rPr>
          <w:color w:val="231F20"/>
          <w:w w:val="110"/>
        </w:rPr>
        <w:t>2008).</w:t>
      </w:r>
      <w:r>
        <w:rPr>
          <w:color w:val="231F20"/>
          <w:spacing w:val="-14"/>
          <w:w w:val="110"/>
        </w:rPr>
        <w:t> </w:t>
      </w:r>
      <w:r>
        <w:rPr>
          <w:color w:val="231F20"/>
          <w:w w:val="110"/>
        </w:rPr>
        <w:t>Múltiples</w:t>
      </w:r>
      <w:r>
        <w:rPr>
          <w:color w:val="231F20"/>
          <w:spacing w:val="-14"/>
          <w:w w:val="110"/>
        </w:rPr>
        <w:t> </w:t>
      </w:r>
      <w:r>
        <w:rPr>
          <w:color w:val="231F20"/>
          <w:w w:val="110"/>
        </w:rPr>
        <w:t>instituciones</w:t>
      </w:r>
      <w:r>
        <w:rPr>
          <w:color w:val="231F20"/>
          <w:spacing w:val="-14"/>
          <w:w w:val="110"/>
        </w:rPr>
        <w:t> </w:t>
      </w:r>
      <w:r>
        <w:rPr>
          <w:color w:val="231F20"/>
          <w:w w:val="110"/>
        </w:rPr>
        <w:t>financieras</w:t>
      </w:r>
      <w:r>
        <w:rPr>
          <w:color w:val="231F20"/>
          <w:spacing w:val="-14"/>
          <w:w w:val="110"/>
        </w:rPr>
        <w:t> </w:t>
      </w:r>
      <w:r>
        <w:rPr>
          <w:color w:val="231F20"/>
          <w:w w:val="110"/>
        </w:rPr>
        <w:t>se</w:t>
      </w:r>
      <w:r>
        <w:rPr>
          <w:color w:val="231F20"/>
          <w:spacing w:val="-14"/>
          <w:w w:val="110"/>
        </w:rPr>
        <w:t> </w:t>
      </w:r>
      <w:r>
        <w:rPr>
          <w:color w:val="231F20"/>
          <w:w w:val="110"/>
        </w:rPr>
        <w:t>han</w:t>
      </w:r>
      <w:r>
        <w:rPr>
          <w:color w:val="231F20"/>
          <w:spacing w:val="-14"/>
          <w:w w:val="110"/>
        </w:rPr>
        <w:t> </w:t>
      </w:r>
      <w:r>
        <w:rPr>
          <w:color w:val="231F20"/>
          <w:w w:val="110"/>
        </w:rPr>
        <w:t>visto</w:t>
      </w:r>
      <w:r>
        <w:rPr>
          <w:color w:val="231F20"/>
          <w:spacing w:val="-14"/>
          <w:w w:val="110"/>
        </w:rPr>
        <w:t> </w:t>
      </w:r>
      <w:r>
        <w:rPr>
          <w:color w:val="231F20"/>
          <w:w w:val="110"/>
        </w:rPr>
        <w:t>arrastradas</w:t>
      </w:r>
      <w:r>
        <w:rPr>
          <w:color w:val="231F20"/>
          <w:spacing w:val="-14"/>
          <w:w w:val="110"/>
        </w:rPr>
        <w:t> </w:t>
      </w:r>
      <w:r>
        <w:rPr>
          <w:color w:val="231F20"/>
          <w:w w:val="110"/>
        </w:rPr>
        <w:t>a</w:t>
      </w:r>
      <w:r>
        <w:rPr>
          <w:color w:val="231F20"/>
          <w:spacing w:val="-14"/>
          <w:w w:val="110"/>
        </w:rPr>
        <w:t> </w:t>
      </w:r>
      <w:r>
        <w:rPr>
          <w:color w:val="231F20"/>
          <w:w w:val="110"/>
        </w:rPr>
        <w:t>la bancarrota, ocasionando la crisis financiera más grave desde la gran depresión de los años </w:t>
      </w:r>
      <w:r>
        <w:rPr>
          <w:color w:val="231F20"/>
          <w:spacing w:val="5"/>
          <w:w w:val="110"/>
        </w:rPr>
        <w:t> </w:t>
      </w:r>
      <w:r>
        <w:rPr>
          <w:color w:val="231F20"/>
          <w:w w:val="110"/>
        </w:rPr>
        <w:t>treinta.</w:t>
      </w:r>
    </w:p>
    <w:p>
      <w:pPr>
        <w:pStyle w:val="BodyText"/>
        <w:spacing w:line="261" w:lineRule="auto"/>
        <w:ind w:left="100" w:right="115" w:firstLine="240"/>
        <w:jc w:val="both"/>
      </w:pPr>
      <w:r>
        <w:rPr>
          <w:color w:val="231F20"/>
          <w:w w:val="110"/>
        </w:rPr>
        <w:t>Se </w:t>
      </w:r>
      <w:r>
        <w:rPr>
          <w:color w:val="231F20"/>
          <w:spacing w:val="2"/>
          <w:w w:val="110"/>
        </w:rPr>
        <w:t>observa </w:t>
      </w:r>
      <w:r>
        <w:rPr>
          <w:color w:val="231F20"/>
          <w:w w:val="110"/>
        </w:rPr>
        <w:t>aquí otra interesante expresión del llamado “efecto búmeran”: el sobredimensionamiento de su sistema financiero le permitió a Estados Unidos disponer de una fuente constante de recursos externos. Sin embargo, al dirigir éstos a financiar el con- sumo y las actividades especulativas, favorecieron el debilitamiento de la economía real y el desarrollo de un sistema financiero </w:t>
      </w:r>
      <w:r>
        <w:rPr>
          <w:color w:val="231F20"/>
          <w:spacing w:val="2"/>
          <w:w w:val="110"/>
        </w:rPr>
        <w:t>más</w:t>
      </w:r>
      <w:r>
        <w:rPr>
          <w:color w:val="231F20"/>
          <w:spacing w:val="59"/>
          <w:w w:val="110"/>
        </w:rPr>
        <w:t> </w:t>
      </w:r>
      <w:r>
        <w:rPr>
          <w:color w:val="231F20"/>
          <w:w w:val="110"/>
        </w:rPr>
        <w:t>complejo y opaco. Con esto, un estallido financiero como el ocurri- do tiende a tener impactos negativos mucho más profundos sobre   la actividad</w:t>
      </w:r>
      <w:r>
        <w:rPr>
          <w:color w:val="231F20"/>
          <w:spacing w:val="18"/>
          <w:w w:val="110"/>
        </w:rPr>
        <w:t> </w:t>
      </w:r>
      <w:r>
        <w:rPr>
          <w:color w:val="231F20"/>
          <w:w w:val="110"/>
        </w:rPr>
        <w:t>real.</w:t>
      </w:r>
    </w:p>
    <w:p>
      <w:pPr>
        <w:pStyle w:val="BodyText"/>
        <w:spacing w:line="261" w:lineRule="auto"/>
        <w:ind w:left="100" w:right="117" w:firstLine="240"/>
        <w:jc w:val="both"/>
      </w:pPr>
      <w:r>
        <w:rPr>
          <w:color w:val="231F20"/>
          <w:w w:val="110"/>
        </w:rPr>
        <w:t>La actual crisis que experimenta la economía estadunidense es una</w:t>
      </w:r>
      <w:r>
        <w:rPr>
          <w:color w:val="231F20"/>
          <w:spacing w:val="-13"/>
          <w:w w:val="110"/>
        </w:rPr>
        <w:t> </w:t>
      </w:r>
      <w:r>
        <w:rPr>
          <w:color w:val="231F20"/>
          <w:w w:val="110"/>
        </w:rPr>
        <w:t>expresión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acumulación</w:t>
      </w:r>
      <w:r>
        <w:rPr>
          <w:color w:val="231F20"/>
          <w:spacing w:val="-13"/>
          <w:w w:val="110"/>
        </w:rPr>
        <w:t> </w:t>
      </w:r>
      <w:r>
        <w:rPr>
          <w:color w:val="231F20"/>
          <w:w w:val="110"/>
        </w:rPr>
        <w:t>de</w:t>
      </w:r>
      <w:r>
        <w:rPr>
          <w:color w:val="231F20"/>
          <w:spacing w:val="-13"/>
          <w:w w:val="110"/>
        </w:rPr>
        <w:t> </w:t>
      </w:r>
      <w:r>
        <w:rPr>
          <w:color w:val="231F20"/>
          <w:w w:val="110"/>
        </w:rPr>
        <w:t>desajustes</w:t>
      </w:r>
      <w:r>
        <w:rPr>
          <w:color w:val="231F20"/>
          <w:spacing w:val="-13"/>
          <w:w w:val="110"/>
        </w:rPr>
        <w:t> </w:t>
      </w:r>
      <w:r>
        <w:rPr>
          <w:color w:val="231F20"/>
          <w:w w:val="110"/>
        </w:rPr>
        <w:t>internos</w:t>
      </w:r>
      <w:r>
        <w:rPr>
          <w:color w:val="231F20"/>
          <w:spacing w:val="-13"/>
          <w:w w:val="110"/>
        </w:rPr>
        <w:t> </w:t>
      </w:r>
      <w:r>
        <w:rPr>
          <w:color w:val="231F20"/>
          <w:w w:val="110"/>
        </w:rPr>
        <w:t>significativos en las áreas comercial, financiera, fiscal y distributiva. Sin</w:t>
      </w:r>
      <w:r>
        <w:rPr>
          <w:color w:val="231F20"/>
          <w:spacing w:val="-23"/>
          <w:w w:val="110"/>
        </w:rPr>
        <w:t> </w:t>
      </w:r>
      <w:r>
        <w:rPr>
          <w:color w:val="231F20"/>
          <w:w w:val="110"/>
        </w:rPr>
        <w:t>embargo, con</w:t>
      </w:r>
      <w:r>
        <w:rPr>
          <w:color w:val="231F20"/>
          <w:spacing w:val="28"/>
          <w:w w:val="110"/>
        </w:rPr>
        <w:t> </w:t>
      </w:r>
      <w:r>
        <w:rPr>
          <w:color w:val="231F20"/>
          <w:w w:val="110"/>
        </w:rPr>
        <w:t>su</w:t>
      </w:r>
      <w:r>
        <w:rPr>
          <w:color w:val="231F20"/>
          <w:spacing w:val="28"/>
          <w:w w:val="110"/>
        </w:rPr>
        <w:t> </w:t>
      </w:r>
      <w:r>
        <w:rPr>
          <w:color w:val="231F20"/>
          <w:w w:val="110"/>
        </w:rPr>
        <w:t>rápida</w:t>
      </w:r>
      <w:r>
        <w:rPr>
          <w:color w:val="231F20"/>
          <w:spacing w:val="28"/>
          <w:w w:val="110"/>
        </w:rPr>
        <w:t> </w:t>
      </w:r>
      <w:r>
        <w:rPr>
          <w:color w:val="231F20"/>
          <w:w w:val="110"/>
        </w:rPr>
        <w:t>extensión</w:t>
      </w:r>
      <w:r>
        <w:rPr>
          <w:color w:val="231F20"/>
          <w:spacing w:val="28"/>
          <w:w w:val="110"/>
        </w:rPr>
        <w:t> </w:t>
      </w:r>
      <w:r>
        <w:rPr>
          <w:color w:val="231F20"/>
          <w:w w:val="110"/>
        </w:rPr>
        <w:t>a</w:t>
      </w:r>
      <w:r>
        <w:rPr>
          <w:color w:val="231F20"/>
          <w:spacing w:val="28"/>
          <w:w w:val="110"/>
        </w:rPr>
        <w:t> </w:t>
      </w:r>
      <w:r>
        <w:rPr>
          <w:color w:val="231F20"/>
          <w:w w:val="110"/>
        </w:rPr>
        <w:t>la</w:t>
      </w:r>
      <w:r>
        <w:rPr>
          <w:color w:val="231F20"/>
          <w:spacing w:val="28"/>
          <w:w w:val="110"/>
        </w:rPr>
        <w:t> </w:t>
      </w:r>
      <w:r>
        <w:rPr>
          <w:color w:val="231F20"/>
          <w:w w:val="110"/>
        </w:rPr>
        <w:t>economía</w:t>
      </w:r>
      <w:r>
        <w:rPr>
          <w:color w:val="231F20"/>
          <w:spacing w:val="28"/>
          <w:w w:val="110"/>
        </w:rPr>
        <w:t> </w:t>
      </w:r>
      <w:r>
        <w:rPr>
          <w:color w:val="231F20"/>
          <w:w w:val="110"/>
        </w:rPr>
        <w:t>global,</w:t>
      </w:r>
      <w:r>
        <w:rPr>
          <w:color w:val="231F20"/>
          <w:spacing w:val="28"/>
          <w:w w:val="110"/>
        </w:rPr>
        <w:t> </w:t>
      </w:r>
      <w:r>
        <w:rPr>
          <w:color w:val="231F20"/>
          <w:w w:val="110"/>
        </w:rPr>
        <w:t>expresa</w:t>
      </w:r>
      <w:r>
        <w:rPr>
          <w:color w:val="231F20"/>
          <w:spacing w:val="28"/>
          <w:w w:val="110"/>
        </w:rPr>
        <w:t> </w:t>
      </w:r>
      <w:r>
        <w:rPr>
          <w:color w:val="231F20"/>
          <w:w w:val="110"/>
        </w:rPr>
        <w:t>también</w:t>
      </w:r>
      <w:r>
        <w:rPr>
          <w:color w:val="231F20"/>
          <w:spacing w:val="28"/>
          <w:w w:val="110"/>
        </w:rPr>
        <w:t> </w:t>
      </w:r>
      <w:r>
        <w:rPr>
          <w:color w:val="231F20"/>
          <w:w w:val="110"/>
        </w:rPr>
        <w:t>la</w:t>
      </w:r>
    </w:p>
    <w:p>
      <w:pPr>
        <w:spacing w:after="0" w:line="261" w:lineRule="auto"/>
        <w:jc w:val="both"/>
        <w:sectPr>
          <w:headerReference w:type="even" r:id="rId144"/>
          <w:headerReference w:type="default" r:id="rId145"/>
          <w:pgSz w:w="7640" w:h="11900"/>
          <w:pgMar w:header="672" w:footer="0" w:top="860" w:bottom="280" w:left="780" w:right="640"/>
        </w:sectPr>
      </w:pPr>
    </w:p>
    <w:p>
      <w:pPr>
        <w:pStyle w:val="BodyText"/>
        <w:spacing w:before="8"/>
        <w:rPr>
          <w:sz w:val="8"/>
        </w:rPr>
      </w:pPr>
    </w:p>
    <w:p>
      <w:pPr>
        <w:pStyle w:val="BodyText"/>
        <w:spacing w:line="261" w:lineRule="auto" w:before="67"/>
        <w:ind w:left="100" w:right="44"/>
      </w:pPr>
      <w:r>
        <w:rPr>
          <w:color w:val="231F20"/>
          <w:w w:val="110"/>
        </w:rPr>
        <w:t>insostenibilidad de los desequilibrios del funcionamiento del sistema capitalista mundial.</w:t>
      </w:r>
    </w:p>
    <w:p>
      <w:pPr>
        <w:pStyle w:val="BodyText"/>
        <w:spacing w:line="261" w:lineRule="auto"/>
        <w:ind w:left="100" w:right="117" w:firstLine="240"/>
        <w:jc w:val="both"/>
      </w:pPr>
      <w:r>
        <w:rPr>
          <w:color w:val="231F20"/>
          <w:w w:val="110"/>
        </w:rPr>
        <w:t>Asimismo,</w:t>
      </w:r>
      <w:r>
        <w:rPr>
          <w:color w:val="231F20"/>
          <w:spacing w:val="-19"/>
          <w:w w:val="110"/>
        </w:rPr>
        <w:t> </w:t>
      </w:r>
      <w:r>
        <w:rPr>
          <w:color w:val="231F20"/>
          <w:w w:val="110"/>
        </w:rPr>
        <w:t>la</w:t>
      </w:r>
      <w:r>
        <w:rPr>
          <w:color w:val="231F20"/>
          <w:spacing w:val="-19"/>
          <w:w w:val="110"/>
        </w:rPr>
        <w:t> </w:t>
      </w:r>
      <w:r>
        <w:rPr>
          <w:color w:val="231F20"/>
          <w:w w:val="110"/>
        </w:rPr>
        <w:t>crisis</w:t>
      </w:r>
      <w:r>
        <w:rPr>
          <w:color w:val="231F20"/>
          <w:spacing w:val="-19"/>
          <w:w w:val="110"/>
        </w:rPr>
        <w:t> </w:t>
      </w:r>
      <w:r>
        <w:rPr>
          <w:color w:val="231F20"/>
          <w:w w:val="110"/>
        </w:rPr>
        <w:t>ha</w:t>
      </w:r>
      <w:r>
        <w:rPr>
          <w:color w:val="231F20"/>
          <w:spacing w:val="-19"/>
          <w:w w:val="110"/>
        </w:rPr>
        <w:t> </w:t>
      </w:r>
      <w:r>
        <w:rPr>
          <w:color w:val="231F20"/>
          <w:w w:val="110"/>
        </w:rPr>
        <w:t>permitido</w:t>
      </w:r>
      <w:r>
        <w:rPr>
          <w:color w:val="231F20"/>
          <w:spacing w:val="-19"/>
          <w:w w:val="110"/>
        </w:rPr>
        <w:t> </w:t>
      </w:r>
      <w:r>
        <w:rPr>
          <w:color w:val="231F20"/>
          <w:w w:val="110"/>
        </w:rPr>
        <w:t>constatar</w:t>
      </w:r>
      <w:r>
        <w:rPr>
          <w:color w:val="231F20"/>
          <w:spacing w:val="-19"/>
          <w:w w:val="110"/>
        </w:rPr>
        <w:t> </w:t>
      </w:r>
      <w:r>
        <w:rPr>
          <w:color w:val="231F20"/>
          <w:w w:val="110"/>
        </w:rPr>
        <w:t>la</w:t>
      </w:r>
      <w:r>
        <w:rPr>
          <w:color w:val="231F20"/>
          <w:spacing w:val="-19"/>
          <w:w w:val="110"/>
        </w:rPr>
        <w:t> </w:t>
      </w:r>
      <w:r>
        <w:rPr>
          <w:color w:val="231F20"/>
          <w:w w:val="110"/>
        </w:rPr>
        <w:t>complejidad</w:t>
      </w:r>
      <w:r>
        <w:rPr>
          <w:color w:val="231F20"/>
          <w:spacing w:val="-19"/>
          <w:w w:val="110"/>
        </w:rPr>
        <w:t> </w:t>
      </w:r>
      <w:r>
        <w:rPr>
          <w:color w:val="231F20"/>
          <w:w w:val="110"/>
        </w:rPr>
        <w:t>que</w:t>
      </w:r>
      <w:r>
        <w:rPr>
          <w:color w:val="231F20"/>
          <w:spacing w:val="-19"/>
          <w:w w:val="110"/>
        </w:rPr>
        <w:t> </w:t>
      </w:r>
      <w:r>
        <w:rPr>
          <w:color w:val="231F20"/>
          <w:w w:val="110"/>
        </w:rPr>
        <w:t>tiene el análisis de la posición de Estados Unidos en el orden monetario y financiero internacional, reafirmando que no necesariamente ocurre lo que el análisis de los indicadores económicos indican como más probable. Así, por ejemplo, la crisis se desencadenó, no como se anunciaba por numerosos economistas, por una parada súbita de la entrada</w:t>
      </w:r>
      <w:r>
        <w:rPr>
          <w:color w:val="231F20"/>
          <w:spacing w:val="-5"/>
          <w:w w:val="110"/>
        </w:rPr>
        <w:t> </w:t>
      </w:r>
      <w:r>
        <w:rPr>
          <w:color w:val="231F20"/>
          <w:w w:val="110"/>
        </w:rPr>
        <w:t>de</w:t>
      </w:r>
      <w:r>
        <w:rPr>
          <w:color w:val="231F20"/>
          <w:spacing w:val="-5"/>
          <w:w w:val="110"/>
        </w:rPr>
        <w:t> </w:t>
      </w:r>
      <w:r>
        <w:rPr>
          <w:color w:val="231F20"/>
          <w:w w:val="110"/>
        </w:rPr>
        <w:t>capital</w:t>
      </w:r>
      <w:r>
        <w:rPr>
          <w:color w:val="231F20"/>
          <w:spacing w:val="-5"/>
          <w:w w:val="110"/>
        </w:rPr>
        <w:t> </w:t>
      </w:r>
      <w:r>
        <w:rPr>
          <w:color w:val="231F20"/>
          <w:w w:val="110"/>
        </w:rPr>
        <w:t>a</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ante</w:t>
      </w:r>
      <w:r>
        <w:rPr>
          <w:color w:val="231F20"/>
          <w:spacing w:val="-5"/>
          <w:w w:val="110"/>
        </w:rPr>
        <w:t> </w:t>
      </w:r>
      <w:r>
        <w:rPr>
          <w:color w:val="231F20"/>
          <w:w w:val="110"/>
        </w:rPr>
        <w:t>la</w:t>
      </w:r>
      <w:r>
        <w:rPr>
          <w:color w:val="231F20"/>
          <w:spacing w:val="-5"/>
          <w:w w:val="110"/>
        </w:rPr>
        <w:t> </w:t>
      </w:r>
      <w:r>
        <w:rPr>
          <w:color w:val="231F20"/>
          <w:w w:val="110"/>
        </w:rPr>
        <w:t>desconfianza</w:t>
      </w:r>
      <w:r>
        <w:rPr>
          <w:color w:val="231F20"/>
          <w:spacing w:val="-5"/>
          <w:w w:val="110"/>
        </w:rPr>
        <w:t> </w:t>
      </w:r>
      <w:r>
        <w:rPr>
          <w:color w:val="231F20"/>
          <w:w w:val="110"/>
        </w:rPr>
        <w:t>que</w:t>
      </w:r>
      <w:r>
        <w:rPr>
          <w:color w:val="231F20"/>
          <w:spacing w:val="-5"/>
          <w:w w:val="110"/>
        </w:rPr>
        <w:t> </w:t>
      </w:r>
      <w:r>
        <w:rPr>
          <w:color w:val="231F20"/>
          <w:w w:val="110"/>
        </w:rPr>
        <w:t>ocasio- naba el alto déficit de cuenta corriente, sino por todo lo contrario:   el resto del mundo estuvo tan dispuesto a financiar ese elevado dé- ficit, que contribuyó a crear las condiciones para inflar una burbuja inmobiliaria que terminó</w:t>
      </w:r>
      <w:r>
        <w:rPr>
          <w:color w:val="231F20"/>
          <w:spacing w:val="45"/>
          <w:w w:val="110"/>
        </w:rPr>
        <w:t> </w:t>
      </w:r>
      <w:r>
        <w:rPr>
          <w:color w:val="231F20"/>
          <w:w w:val="110"/>
        </w:rPr>
        <w:t>estallando.</w:t>
      </w:r>
    </w:p>
    <w:p>
      <w:pPr>
        <w:pStyle w:val="BodyText"/>
        <w:spacing w:line="261" w:lineRule="auto"/>
        <w:ind w:left="100" w:right="116" w:firstLine="240"/>
        <w:jc w:val="both"/>
      </w:pPr>
      <w:r>
        <w:rPr>
          <w:color w:val="231F20"/>
          <w:w w:val="110"/>
        </w:rPr>
        <w:t>De esta manera, cuando la inestabilidad financiera se hizo más intensa, el dólar, lejos de debilitarse, se fortaleció temporalmente porque los inversores vieron en los bonos del tesoro al activo de relativa mayor seguridad a nivel global.</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marzo</w:t>
      </w:r>
      <w:r>
        <w:rPr>
          <w:color w:val="231F20"/>
          <w:spacing w:val="-6"/>
          <w:w w:val="110"/>
        </w:rPr>
        <w:t> </w:t>
      </w:r>
      <w:r>
        <w:rPr>
          <w:color w:val="231F20"/>
          <w:w w:val="110"/>
        </w:rPr>
        <w:t>de</w:t>
      </w:r>
      <w:r>
        <w:rPr>
          <w:color w:val="231F20"/>
          <w:spacing w:val="-6"/>
          <w:w w:val="110"/>
        </w:rPr>
        <w:t> </w:t>
      </w:r>
      <w:r>
        <w:rPr>
          <w:color w:val="231F20"/>
          <w:w w:val="110"/>
        </w:rPr>
        <w:t>2009,</w:t>
      </w:r>
      <w:r>
        <w:rPr>
          <w:color w:val="231F20"/>
          <w:spacing w:val="-6"/>
          <w:w w:val="110"/>
        </w:rPr>
        <w:t> </w:t>
      </w:r>
      <w:r>
        <w:rPr>
          <w:color w:val="231F20"/>
          <w:w w:val="110"/>
        </w:rPr>
        <w:t>el</w:t>
      </w:r>
      <w:r>
        <w:rPr>
          <w:color w:val="231F20"/>
          <w:spacing w:val="-6"/>
          <w:w w:val="110"/>
        </w:rPr>
        <w:t> </w:t>
      </w:r>
      <w:r>
        <w:rPr>
          <w:color w:val="231F20"/>
          <w:w w:val="110"/>
        </w:rPr>
        <w:t>dólar</w:t>
      </w:r>
      <w:r>
        <w:rPr>
          <w:color w:val="231F20"/>
          <w:spacing w:val="-6"/>
          <w:w w:val="110"/>
        </w:rPr>
        <w:t> </w:t>
      </w:r>
      <w:r>
        <w:rPr>
          <w:color w:val="231F20"/>
          <w:w w:val="110"/>
        </w:rPr>
        <w:t>había</w:t>
      </w:r>
      <w:r>
        <w:rPr>
          <w:color w:val="231F20"/>
          <w:spacing w:val="-6"/>
          <w:w w:val="110"/>
        </w:rPr>
        <w:t> </w:t>
      </w:r>
      <w:r>
        <w:rPr>
          <w:color w:val="231F20"/>
          <w:w w:val="110"/>
        </w:rPr>
        <w:t>recuperado</w:t>
      </w:r>
      <w:r>
        <w:rPr>
          <w:color w:val="231F20"/>
          <w:spacing w:val="-6"/>
          <w:w w:val="110"/>
        </w:rPr>
        <w:t> </w:t>
      </w:r>
      <w:r>
        <w:rPr>
          <w:color w:val="231F20"/>
          <w:w w:val="110"/>
        </w:rPr>
        <w:t>el</w:t>
      </w:r>
      <w:r>
        <w:rPr>
          <w:color w:val="231F20"/>
          <w:spacing w:val="-6"/>
          <w:w w:val="110"/>
        </w:rPr>
        <w:t> </w:t>
      </w:r>
      <w:r>
        <w:rPr>
          <w:color w:val="231F20"/>
          <w:w w:val="110"/>
        </w:rPr>
        <w:t>valor</w:t>
      </w:r>
      <w:r>
        <w:rPr>
          <w:color w:val="231F20"/>
          <w:spacing w:val="-6"/>
          <w:w w:val="110"/>
        </w:rPr>
        <w:t> </w:t>
      </w:r>
      <w:r>
        <w:rPr>
          <w:color w:val="231F20"/>
          <w:w w:val="110"/>
        </w:rPr>
        <w:t>nominal</w:t>
      </w:r>
      <w:r>
        <w:rPr>
          <w:color w:val="231F20"/>
          <w:spacing w:val="-6"/>
          <w:w w:val="110"/>
        </w:rPr>
        <w:t> </w:t>
      </w:r>
      <w:r>
        <w:rPr>
          <w:color w:val="231F20"/>
          <w:w w:val="110"/>
        </w:rPr>
        <w:t>que registró cinco años antes, según el índice de tipo de cambio nominal ponderado por el comercio con los principales socios comerciales (gráfica</w:t>
      </w:r>
      <w:r>
        <w:rPr>
          <w:color w:val="231F20"/>
          <w:spacing w:val="7"/>
          <w:w w:val="110"/>
        </w:rPr>
        <w:t> </w:t>
      </w:r>
      <w:r>
        <w:rPr>
          <w:color w:val="231F20"/>
          <w:w w:val="110"/>
        </w:rPr>
        <w:t>2).</w:t>
      </w:r>
    </w:p>
    <w:p>
      <w:pPr>
        <w:pStyle w:val="BodyText"/>
        <w:spacing w:before="2"/>
        <w:rPr>
          <w:sz w:val="21"/>
        </w:rPr>
      </w:pPr>
    </w:p>
    <w:p>
      <w:pPr>
        <w:spacing w:before="0"/>
        <w:ind w:left="100" w:right="25" w:firstLine="0"/>
        <w:jc w:val="left"/>
        <w:rPr>
          <w:sz w:val="18"/>
        </w:rPr>
      </w:pPr>
      <w:r>
        <w:rPr>
          <w:color w:val="231F20"/>
          <w:w w:val="120"/>
          <w:sz w:val="18"/>
        </w:rPr>
        <w:t>gráfica 2. índices de tipo de cambio nominal y  real</w:t>
      </w:r>
    </w:p>
    <w:p>
      <w:pPr>
        <w:spacing w:before="148"/>
        <w:ind w:left="156" w:right="25" w:firstLine="0"/>
        <w:jc w:val="left"/>
        <w:rPr>
          <w:sz w:val="16"/>
        </w:rPr>
      </w:pPr>
      <w:r>
        <w:rPr/>
        <w:pict>
          <v:group style="position:absolute;margin-left:63.049999pt;margin-top:12.793847pt;width:258pt;height:95.65pt;mso-position-horizontal-relative:page;mso-position-vertical-relative:paragraph;z-index:-352912" coordorigin="1261,256" coordsize="5160,1913">
            <v:line style="position:absolute" from="1298,261" to="6416,261" stroked="true" strokeweight=".5pt" strokecolor="#808285"/>
            <v:line style="position:absolute" from="1298,532" to="6416,532" stroked="true" strokeweight=".5pt" strokecolor="#808285"/>
            <v:line style="position:absolute" from="1298,1075" to="6416,1075" stroked="true" strokeweight=".5pt" strokecolor="#808285"/>
            <v:line style="position:absolute" from="1298,1346" to="6416,1346" stroked="true" strokeweight=".5pt" strokecolor="#808285"/>
            <v:line style="position:absolute" from="1298,1889" to="6416,1889" stroked="true" strokeweight=".5pt" strokecolor="#808285"/>
            <v:line style="position:absolute" from="1403,1782" to="1530,1829" stroked="true" strokeweight=".5pt" strokecolor="#231f20">
              <v:stroke dashstyle="dash"/>
            </v:line>
            <v:line style="position:absolute" from="1581,1853" to="1699,1916" stroked="true" strokeweight=".5pt" strokecolor="#231f20">
              <v:stroke dashstyle="dash"/>
            </v:line>
            <v:line style="position:absolute" from="1758,1928" to="1855,1932" stroked="true" strokeweight=".5pt" strokecolor="#231f20">
              <v:stroke dashstyle="dash"/>
            </v:line>
            <v:line style="position:absolute" from="1922,1930" to="2022,1923" stroked="true" strokeweight=".5pt" strokecolor="#231f20">
              <v:stroke dashstyle="dash"/>
            </v:line>
            <v:line style="position:absolute" from="2087,1914" to="2182,1896" stroked="true" strokeweight=".5pt" strokecolor="#231f20">
              <v:stroke dashstyle="dash"/>
            </v:line>
            <v:line style="position:absolute" from="2246,1894" to="2341,1901" stroked="true" strokeweight=".5pt" strokecolor="#231f20">
              <v:stroke dashstyle="dash"/>
            </v:line>
            <v:line style="position:absolute" from="2398,1884" to="2520,1808" stroked="true" strokeweight=".5pt" strokecolor="#231f20">
              <v:stroke dashstyle="dash"/>
            </v:line>
            <v:line style="position:absolute" from="2571,1774" to="2689,1690" stroked="true" strokeweight=".5pt" strokecolor="#231f20">
              <v:stroke dashstyle="dash"/>
            </v:line>
            <v:line style="position:absolute" from="2728,1644" to="2853,1433" stroked="true" strokeweight=".5pt" strokecolor="#231f20">
              <v:stroke dashstyle="dash"/>
            </v:line>
            <v:line style="position:absolute" from="2906,1399" to="3006,1371" stroked="true" strokeweight=".5pt" strokecolor="#231f20">
              <v:stroke dashstyle="dash"/>
            </v:line>
            <v:line style="position:absolute" from="3062,1379" to="3176,1442" stroked="true" strokeweight=".5pt" strokecolor="#231f20">
              <v:stroke dashstyle="dash"/>
            </v:line>
            <v:line style="position:absolute" from="3226,1442" to="3347,1400" stroked="true" strokeweight=".5pt" strokecolor="#231f20">
              <v:stroke dashstyle="dash"/>
            </v:line>
            <v:line style="position:absolute" from="3397,1370" to="3512,1277" stroked="true" strokeweight=".5pt" strokecolor="#231f20">
              <v:stroke dashstyle="dash"/>
            </v:line>
            <v:line style="position:absolute" from="3569,1258" to="3662,1251" stroked="true" strokeweight=".5pt" strokecolor="#231f20">
              <v:stroke dashstyle="dash"/>
            </v:line>
            <v:line style="position:absolute" from="3719,1272" to="3840,1364" stroked="true" strokeweight=".5pt" strokecolor="#231f20">
              <v:stroke dashstyle="dash"/>
            </v:line>
            <v:line style="position:absolute" from="3888,1404" to="4029,1532" stroked="true" strokeweight=".5pt" strokecolor="#231f20">
              <v:stroke dashstyle="dash"/>
            </v:line>
            <v:line style="position:absolute" from="4088,1552" to="4188,1559" stroked="true" strokeweight=".5pt" strokecolor="#231f20">
              <v:stroke dashstyle="dash"/>
            </v:line>
            <v:line style="position:absolute" from="4252,1566" to="4343,1577" stroked="true" strokeweight=".5pt" strokecolor="#231f20">
              <v:stroke dashstyle="dash"/>
            </v:line>
            <v:line style="position:absolute" from="4406,1596" to="4501,1634" stroked="true" strokeweight=".5pt" strokecolor="#231f20">
              <v:stroke dashstyle="dash"/>
            </v:line>
            <v:line style="position:absolute" from="4568,1653" to="4668,1675" stroked="true" strokeweight=".5pt" strokecolor="#231f20">
              <v:stroke dashstyle="dash"/>
            </v:line>
            <v:line style="position:absolute" from="4724,1694" to="4838,1749" stroked="true" strokeweight=".5pt" strokecolor="#231f20">
              <v:stroke dashstyle="dash"/>
            </v:line>
            <v:line style="position:absolute" from="4898,1762" to="4998,1769" stroked="true" strokeweight=".5pt" strokecolor="#231f20">
              <v:stroke dashstyle="dash"/>
            </v:line>
            <v:line style="position:absolute" from="5059,1769" to="5332,1754" stroked="true" strokeweight=".5pt" strokecolor="#231f20">
              <v:stroke dashstyle="dash"/>
            </v:line>
            <v:line style="position:absolute" from="5393,1736" to="5486,1693" stroked="true" strokeweight=".5pt" strokecolor="#231f20">
              <v:stroke dashstyle="dash"/>
            </v:line>
            <v:line style="position:absolute" from="5543,1692" to="5666,1739" stroked="true" strokeweight=".5pt" strokecolor="#231f20">
              <v:stroke dashstyle="dash"/>
            </v:line>
            <v:line style="position:absolute" from="5726,1752" to="5821,1767" stroked="true" strokeweight=".5pt" strokecolor="#231f20">
              <v:stroke dashstyle="dash"/>
            </v:line>
            <v:line style="position:absolute" from="5877,1752" to="5995,1675" stroked="true" strokeweight=".5pt" strokecolor="#231f20">
              <v:stroke dashstyle="dash"/>
            </v:line>
            <v:line style="position:absolute" from="6053,1652" to="6146,1627" stroked="true" strokeweight=".5pt" strokecolor="#231f20">
              <v:stroke dashstyle="dash"/>
            </v:line>
            <v:line style="position:absolute" from="6201,1635" to="6319,1694" stroked="true" strokeweight=".5pt" strokecolor="#231f20">
              <v:stroke dashstyle="dash"/>
            </v:line>
            <v:shape style="position:absolute;left:0;top:4637;width:4968;height:685" coordorigin="0,4637" coordsize="4968,685" path="m1372,1771l1386,1776m1538,1832l1552,1837,1565,1844m1707,1920l1720,1927,1736,1927m1866,1932l1882,1933,1899,1932m2034,1922l2050,1921,2066,1918m2192,1894l2208,1891,2224,1892m2352,1902l2368,1903,2381,1895m2529,1803l2542,1795,2555,1786m2697,1684l2710,1675,2718,1662m2858,1424l2866,1411,2882,1406m3018,1368l3034,1363,3046,1370m3184,1446l3196,1453,3209,1448m3355,1397l3368,1393,3380,1383m3520,1271l3532,1261,3548,1260m3673,1250l3688,1249,3701,1259m3849,1371l3862,1381,3873,1391m4037,1539l4048,1549,4065,1550m4200,1560l4216,1561,4231,1563m4353,1579l4368,1581,4384,1587m4512,1639l4528,1645,4544,1648m4680,1677l4696,1681,4708,1687m4846,1753l4858,1759,4875,1760m5010,1770l5026,1771,5040,1770m5342,1754l5356,1753,5371,1746m5497,1688l5512,1681,5525,1686m5675,1742l5688,1747,5704,1749m5832,1769l5848,1771,5861,1763m6003,1669l6016,1661,6031,1657m6157,1625l6172,1621,6185,1627m6327,1699l6340,1705e" filled="false" stroked="true" strokeweight=".5pt" strokecolor="#231f20">
              <v:path arrowok="t"/>
            </v:shape>
            <v:line style="position:absolute" from="1430,1159" to="1517,1186" stroked="true" strokeweight="1pt" strokecolor="#231f20">
              <v:stroke dashstyle="dash"/>
            </v:line>
            <v:line style="position:absolute" from="1600,1227" to="1681,1275" stroked="true" strokeweight="1pt" strokecolor="#231f20">
              <v:stroke dashstyle="dash"/>
            </v:line>
            <v:line style="position:absolute" from="1764,1301" to="1848,1316" stroked="true" strokeweight="1pt" strokecolor="#231f20">
              <v:stroke dashstyle="dash"/>
            </v:line>
            <v:line style="position:absolute" from="1933,1309" to="2019,1291" stroked="true" strokeweight="1pt" strokecolor="#231f20">
              <v:stroke dashstyle="dash"/>
            </v:line>
            <v:line style="position:absolute" from="2101,1290" to="2181,1298" stroked="true" strokeweight="1.0pt" strokecolor="#231f20">
              <v:stroke dashstyle="dash"/>
            </v:line>
            <v:line style="position:absolute" from="2261,1309" to="2341,1322" stroked="true" strokeweight="1pt" strokecolor="#231f20">
              <v:stroke dashstyle="dash"/>
            </v:line>
            <v:line style="position:absolute" from="2410,1294" to="2515,1211" stroked="true" strokeweight="1pt" strokecolor="#231f20">
              <v:stroke dashstyle="dash"/>
            </v:line>
            <v:line style="position:absolute" from="2577,1159" to="2678,1069" stroked="true" strokeweight="1pt" strokecolor="#231f20">
              <v:stroke dashstyle="dash"/>
            </v:line>
            <v:line style="position:absolute" from="2724,993" to="2841,732" stroked="true" strokeweight="1pt" strokecolor="#231f20">
              <v:stroke dashstyle="dash"/>
            </v:line>
            <v:line style="position:absolute" from="2902,662" to="3024,561" stroked="true" strokeweight="1.0pt" strokecolor="#231f20">
              <v:stroke dashstyle="dash"/>
            </v:line>
            <v:line style="position:absolute" from="3097,563" to="3171,596" stroked="true" strokeweight="1.0pt" strokecolor="#231f20">
              <v:stroke dashstyle="dash"/>
            </v:line>
            <v:line style="position:absolute" from="3254,595" to="3341,577" stroked="true" strokeweight="1pt" strokecolor="#231f20">
              <v:stroke dashstyle="dash"/>
            </v:line>
            <v:line style="position:absolute" from="3420,523" to="3495,451" stroked="true" strokeweight="1pt" strokecolor="#231f20">
              <v:stroke dashstyle="dash"/>
            </v:line>
            <v:line style="position:absolute" from="3576,415" to="3660,397" stroked="true" strokeweight="1pt" strokecolor="#231f20">
              <v:stroke dashstyle="dash"/>
            </v:line>
            <v:line style="position:absolute" from="3732,428" to="3840,522" stroked="true" strokeweight="1pt" strokecolor="#231f20">
              <v:stroke dashstyle="dash"/>
            </v:line>
            <v:line style="position:absolute" from="3902,586" to="4004,698" stroked="true" strokeweight="1pt" strokecolor="#231f20">
              <v:stroke dashstyle="dash"/>
            </v:line>
            <v:line style="position:absolute" from="4080,749" to="4164,791" stroked="true" strokeweight="1pt" strokecolor="#231f20">
              <v:stroke dashstyle="dash"/>
            </v:line>
            <v:line style="position:absolute" from="4248,811" to="4332,820" stroked="true" strokeweight="1.0pt" strokecolor="#231f20">
              <v:stroke dashstyle="dash"/>
            </v:line>
            <v:line style="position:absolute" from="4414,847" to="4495,883" stroked="true" strokeweight="1pt" strokecolor="#231f20">
              <v:stroke dashstyle="dash"/>
            </v:line>
            <v:line style="position:absolute" from="4577,910" to="4660,933" stroked="true" strokeweight="1pt" strokecolor="#231f20">
              <v:stroke dashstyle="dash"/>
            </v:line>
            <v:line style="position:absolute" from="4743,967" to="4825,1007" stroked="true" strokeweight="1pt" strokecolor="#231f20">
              <v:stroke dashstyle="dash"/>
            </v:line>
            <v:line style="position:absolute" from="4910,1031" to="4997,1046" stroked="true" strokeweight="1pt" strokecolor="#231f20">
              <v:stroke dashstyle="dash"/>
            </v:line>
            <v:line style="position:absolute" from="5078,1041" to="5156,1026" stroked="true" strokeweight="1pt" strokecolor="#231f20">
              <v:stroke dashstyle="dash"/>
            </v:line>
            <v:line style="position:absolute" from="5242,1017" to="5332,1011" stroked="true" strokeweight="1pt" strokecolor="#231f20">
              <v:stroke dashstyle="dash"/>
            </v:line>
            <v:line style="position:absolute" from="5418,981" to="5502,939" stroked="true" strokeweight="1pt" strokecolor="#231f20">
              <v:stroke dashstyle="dash"/>
            </v:line>
            <v:line style="position:absolute" from="5602,943" to="5638,952" stroked="true" strokeweight="1pt" strokecolor="#231f20">
              <v:stroke dashstyle="dash"/>
            </v:line>
            <v:line style="position:absolute" from="5732,965" to="5819,971" stroked="true" strokeweight="1pt" strokecolor="#231f20">
              <v:stroke dashstyle="dash"/>
            </v:line>
            <v:line style="position:absolute" from="5891,937" to="6000,847" stroked="true" strokeweight="1pt" strokecolor="#231f20">
              <v:stroke dashstyle="dash"/>
            </v:line>
            <v:line style="position:absolute" from="6072,815" to="6147,794" stroked="true" strokeweight="1.0pt" strokecolor="#231f20">
              <v:stroke dashstyle="dash"/>
            </v:line>
            <v:line style="position:absolute" from="6230,825" to="6317,882" stroked="true" strokeweight="1pt" strokecolor="#231f20">
              <v:stroke dashstyle="dash"/>
            </v:line>
            <v:shape style="position:absolute;left:0;top:4409;width:4974;height:936" coordorigin="0,4409" coordsize="4974,936" path="m1372,1141l1372,1141m1546,1195l1546,1195m1708,1291l1708,1291m1876,1321l1876,1321m2048,1285l2048,1285m2208,1301l2208,1301m2368,1327l2368,1327m2536,1195l2536,1195m2698,1051l2698,1051m2854,703l2854,703m3048,541l3048,541m3196,607l3196,607m3370,571l3370,571m3520,427l3520,427m3688,391l3688,391m3862,541l3862,541m4024,721l4024,721m4192,805l4192,805m4360,823l4360,823m4522,895l4522,895m4688,941l4688,941m4852,1021l4852,1021m5026,1051l5026,1051m5182,1021l5182,1021m5362,1009l5362,1009m5530,925l5530,925m5674,961l5674,961m5848,973l5848,973m6022,829l6022,829m6172,787l6172,787m6346,901l6346,901e" filled="false" stroked="true" strokeweight="1pt" strokecolor="#231f20">
              <v:path arrowok="t"/>
            </v:shape>
            <v:line style="position:absolute" from="1298,2160" to="6416,2160" stroked="true" strokeweight=".5pt" strokecolor="#808285"/>
            <v:line style="position:absolute" from="1266,262" to="1266,2164" stroked="true" strokeweight=".5pt" strokecolor="#231f20"/>
            <w10:wrap type="none"/>
          </v:group>
        </w:pict>
      </w:r>
      <w:r>
        <w:rPr>
          <w:color w:val="231F20"/>
          <w:sz w:val="16"/>
        </w:rPr>
        <w:t>115 —</w:t>
      </w:r>
    </w:p>
    <w:p>
      <w:pPr>
        <w:spacing w:before="88"/>
        <w:ind w:left="156" w:right="25" w:firstLine="0"/>
        <w:jc w:val="left"/>
        <w:rPr>
          <w:sz w:val="16"/>
        </w:rPr>
      </w:pPr>
      <w:r>
        <w:rPr>
          <w:color w:val="231F20"/>
          <w:sz w:val="16"/>
        </w:rPr>
        <w:t>110 —</w:t>
      </w:r>
    </w:p>
    <w:p>
      <w:pPr>
        <w:tabs>
          <w:tab w:pos="3860" w:val="left" w:leader="none"/>
        </w:tabs>
        <w:spacing w:line="357" w:lineRule="auto" w:before="6"/>
        <w:ind w:left="156" w:right="586" w:firstLine="0"/>
        <w:jc w:val="left"/>
        <w:rPr>
          <w:sz w:val="16"/>
        </w:rPr>
      </w:pPr>
      <w:r>
        <w:rPr>
          <w:color w:val="231F20"/>
          <w:w w:val="110"/>
          <w:position w:val="-7"/>
          <w:sz w:val="16"/>
        </w:rPr>
        <w:t>105</w:t>
      </w:r>
      <w:r>
        <w:rPr>
          <w:color w:val="231F20"/>
          <w:spacing w:val="-11"/>
          <w:w w:val="110"/>
          <w:position w:val="-7"/>
          <w:sz w:val="16"/>
        </w:rPr>
        <w:t> </w:t>
      </w:r>
      <w:r>
        <w:rPr>
          <w:color w:val="231F20"/>
          <w:w w:val="110"/>
          <w:position w:val="-7"/>
          <w:sz w:val="16"/>
        </w:rPr>
        <w:t>—</w:t>
      </w:r>
      <w:r>
        <w:rPr>
          <w:color w:val="231F20"/>
          <w:w w:val="110"/>
          <w:sz w:val="16"/>
          <w:u w:val="single" w:color="808285"/>
        </w:rPr>
        <w:t> </w:t>
        <w:tab/>
        <w:t>Tipo de</w:t>
      </w:r>
      <w:r>
        <w:rPr>
          <w:color w:val="231F20"/>
          <w:spacing w:val="-1"/>
          <w:w w:val="110"/>
          <w:sz w:val="16"/>
          <w:u w:val="single" w:color="808285"/>
        </w:rPr>
        <w:t> </w:t>
      </w:r>
      <w:r>
        <w:rPr>
          <w:color w:val="231F20"/>
          <w:w w:val="110"/>
          <w:sz w:val="16"/>
          <w:u w:val="single" w:color="808285"/>
        </w:rPr>
        <w:t>cambio</w:t>
      </w:r>
      <w:r>
        <w:rPr>
          <w:color w:val="231F20"/>
          <w:spacing w:val="-1"/>
          <w:w w:val="110"/>
          <w:sz w:val="16"/>
          <w:u w:val="single" w:color="808285"/>
        </w:rPr>
        <w:t> </w:t>
      </w:r>
      <w:r>
        <w:rPr>
          <w:color w:val="231F20"/>
          <w:w w:val="110"/>
          <w:sz w:val="16"/>
          <w:u w:val="single" w:color="808285"/>
        </w:rPr>
        <w:t>nominal</w:t>
      </w:r>
      <w:r>
        <w:rPr>
          <w:color w:val="231F20"/>
          <w:spacing w:val="8"/>
          <w:sz w:val="16"/>
          <w:u w:val="single" w:color="808285"/>
        </w:rPr>
        <w:t> </w:t>
      </w:r>
      <w:r>
        <w:rPr>
          <w:color w:val="231F20"/>
          <w:spacing w:val="8"/>
          <w:sz w:val="16"/>
        </w:rPr>
        <w:t> </w:t>
      </w:r>
      <w:r>
        <w:rPr>
          <w:color w:val="231F20"/>
          <w:w w:val="105"/>
          <w:sz w:val="16"/>
        </w:rPr>
        <w:t>100</w:t>
      </w:r>
      <w:r>
        <w:rPr>
          <w:color w:val="231F20"/>
          <w:spacing w:val="-12"/>
          <w:w w:val="105"/>
          <w:sz w:val="16"/>
        </w:rPr>
        <w:t> </w:t>
      </w:r>
      <w:r>
        <w:rPr>
          <w:color w:val="231F20"/>
          <w:w w:val="105"/>
          <w:sz w:val="16"/>
        </w:rPr>
        <w:t>—</w:t>
      </w:r>
    </w:p>
    <w:p>
      <w:pPr>
        <w:spacing w:before="1"/>
        <w:ind w:left="239" w:right="25" w:firstLine="0"/>
        <w:jc w:val="left"/>
        <w:rPr>
          <w:sz w:val="16"/>
        </w:rPr>
      </w:pPr>
      <w:r>
        <w:rPr>
          <w:color w:val="231F20"/>
          <w:sz w:val="16"/>
        </w:rPr>
        <w:t>95 —</w:t>
      </w:r>
    </w:p>
    <w:p>
      <w:pPr>
        <w:tabs>
          <w:tab w:pos="4204" w:val="left" w:leader="none"/>
        </w:tabs>
        <w:spacing w:line="350" w:lineRule="auto" w:before="11"/>
        <w:ind w:left="239" w:right="463" w:firstLine="0"/>
        <w:jc w:val="left"/>
        <w:rPr>
          <w:sz w:val="16"/>
        </w:rPr>
      </w:pPr>
      <w:r>
        <w:rPr>
          <w:color w:val="231F20"/>
          <w:w w:val="110"/>
          <w:position w:val="-7"/>
          <w:sz w:val="16"/>
        </w:rPr>
        <w:t>90</w:t>
      </w:r>
      <w:r>
        <w:rPr>
          <w:color w:val="231F20"/>
          <w:spacing w:val="-10"/>
          <w:w w:val="110"/>
          <w:position w:val="-7"/>
          <w:sz w:val="16"/>
        </w:rPr>
        <w:t> </w:t>
      </w:r>
      <w:r>
        <w:rPr>
          <w:color w:val="231F20"/>
          <w:w w:val="110"/>
          <w:position w:val="-7"/>
          <w:sz w:val="16"/>
        </w:rPr>
        <w:t>—</w:t>
      </w:r>
      <w:r>
        <w:rPr>
          <w:color w:val="231F20"/>
          <w:w w:val="110"/>
          <w:sz w:val="16"/>
          <w:u w:val="single" w:color="808285"/>
        </w:rPr>
        <w:t> </w:t>
        <w:tab/>
        <w:t>Tipo de</w:t>
      </w:r>
      <w:r>
        <w:rPr>
          <w:color w:val="231F20"/>
          <w:spacing w:val="-5"/>
          <w:w w:val="110"/>
          <w:sz w:val="16"/>
          <w:u w:val="single" w:color="808285"/>
        </w:rPr>
        <w:t> </w:t>
      </w:r>
      <w:r>
        <w:rPr>
          <w:color w:val="231F20"/>
          <w:w w:val="110"/>
          <w:sz w:val="16"/>
          <w:u w:val="single" w:color="808285"/>
        </w:rPr>
        <w:t>cambio</w:t>
      </w:r>
      <w:r>
        <w:rPr>
          <w:color w:val="231F20"/>
          <w:spacing w:val="-3"/>
          <w:w w:val="110"/>
          <w:sz w:val="16"/>
          <w:u w:val="single" w:color="808285"/>
        </w:rPr>
        <w:t> </w:t>
      </w:r>
      <w:r>
        <w:rPr>
          <w:color w:val="231F20"/>
          <w:w w:val="110"/>
          <w:sz w:val="16"/>
          <w:u w:val="single" w:color="808285"/>
        </w:rPr>
        <w:t>real</w:t>
      </w:r>
      <w:r>
        <w:rPr>
          <w:color w:val="231F20"/>
          <w:spacing w:val="-16"/>
          <w:sz w:val="16"/>
          <w:u w:val="single" w:color="808285"/>
        </w:rPr>
        <w:t> </w:t>
      </w:r>
      <w:r>
        <w:rPr>
          <w:color w:val="231F20"/>
          <w:spacing w:val="-16"/>
          <w:sz w:val="16"/>
        </w:rPr>
        <w:t> </w:t>
      </w:r>
      <w:r>
        <w:rPr>
          <w:color w:val="231F20"/>
          <w:w w:val="110"/>
          <w:sz w:val="16"/>
        </w:rPr>
        <w:t>85</w:t>
      </w:r>
      <w:r>
        <w:rPr>
          <w:color w:val="231F20"/>
          <w:spacing w:val="-29"/>
          <w:w w:val="110"/>
          <w:sz w:val="16"/>
        </w:rPr>
        <w:t> </w:t>
      </w:r>
      <w:r>
        <w:rPr>
          <w:color w:val="231F20"/>
          <w:w w:val="110"/>
          <w:sz w:val="16"/>
        </w:rPr>
        <w:t>—</w:t>
      </w:r>
    </w:p>
    <w:p>
      <w:pPr>
        <w:spacing w:before="6"/>
        <w:ind w:left="239" w:right="25" w:firstLine="0"/>
        <w:jc w:val="left"/>
        <w:rPr>
          <w:sz w:val="16"/>
        </w:rPr>
      </w:pPr>
      <w:r>
        <w:rPr/>
        <w:pict>
          <v:shape style="position:absolute;margin-left:61.1945pt;margin-top:5.944749pt;width:264.3pt;height:21.7pt;mso-position-horizontal-relative:page;mso-position-vertical-relative:paragraph;z-index:-352888" type="#_x0000_t202" filled="false" stroked="false">
            <v:textbox inset="0,0,0,0" style="layout-flow:vertical;mso-layout-flow-alt:bottom-to-top">
              <w:txbxContent>
                <w:p>
                  <w:pPr>
                    <w:spacing w:line="99" w:lineRule="exact" w:before="3"/>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4"/>
                      <w:sz w:val="10"/>
                    </w:rPr>
                    <w:t>2008</w:t>
                  </w:r>
                  <w:r>
                    <w:rPr>
                      <w:color w:val="231F20"/>
                      <w:spacing w:val="1"/>
                      <w:sz w:val="10"/>
                    </w:rPr>
                    <w:t> </w:t>
                  </w:r>
                  <w:r>
                    <w:rPr>
                      <w:color w:val="231F20"/>
                      <w:w w:val="115"/>
                      <w:sz w:val="10"/>
                    </w:rPr>
                    <w:t>ene</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feb</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1"/>
                      <w:sz w:val="10"/>
                    </w:rPr>
                    <w:t>mar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abr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2"/>
                      <w:sz w:val="10"/>
                    </w:rPr>
                    <w:t>may</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jun</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6"/>
                      <w:sz w:val="10"/>
                    </w:rPr>
                    <w:t>jul</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ago</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sep</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9"/>
                      <w:sz w:val="10"/>
                    </w:rPr>
                    <w:t>oct</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5"/>
                      <w:sz w:val="10"/>
                    </w:rPr>
                    <w:t>nov</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dic</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4"/>
                      <w:sz w:val="10"/>
                    </w:rPr>
                    <w:t>2009</w:t>
                  </w:r>
                  <w:r>
                    <w:rPr>
                      <w:color w:val="231F20"/>
                      <w:spacing w:val="1"/>
                      <w:sz w:val="10"/>
                    </w:rPr>
                    <w:t> </w:t>
                  </w:r>
                  <w:r>
                    <w:rPr>
                      <w:color w:val="231F20"/>
                      <w:w w:val="115"/>
                      <w:sz w:val="10"/>
                    </w:rPr>
                    <w:t>ene</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feb</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1"/>
                      <w:sz w:val="10"/>
                    </w:rPr>
                    <w:t>mar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abr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2"/>
                      <w:sz w:val="10"/>
                    </w:rPr>
                    <w:t>may</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jun</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6"/>
                      <w:sz w:val="10"/>
                    </w:rPr>
                    <w:t>jul</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ago</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sep</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9"/>
                      <w:sz w:val="10"/>
                    </w:rPr>
                    <w:t>oct</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5"/>
                      <w:sz w:val="10"/>
                    </w:rPr>
                    <w:t>nov</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dic</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4"/>
                      <w:sz w:val="10"/>
                    </w:rPr>
                    <w:t>2010</w:t>
                  </w:r>
                  <w:r>
                    <w:rPr>
                      <w:color w:val="231F20"/>
                      <w:spacing w:val="1"/>
                      <w:sz w:val="10"/>
                    </w:rPr>
                    <w:t> </w:t>
                  </w:r>
                  <w:r>
                    <w:rPr>
                      <w:color w:val="231F20"/>
                      <w:w w:val="115"/>
                      <w:sz w:val="10"/>
                    </w:rPr>
                    <w:t>ene</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8"/>
                      <w:sz w:val="10"/>
                    </w:rPr>
                    <w:t>feb</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1"/>
                      <w:sz w:val="10"/>
                    </w:rPr>
                    <w:t>mar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abr</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2"/>
                      <w:sz w:val="10"/>
                    </w:rPr>
                    <w:t>may</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12"/>
                      <w:sz w:val="10"/>
                    </w:rPr>
                    <w:t>jun</w:t>
                  </w:r>
                </w:p>
                <w:p>
                  <w:pPr>
                    <w:spacing w:line="83" w:lineRule="exact" w:before="0"/>
                    <w:ind w:left="0" w:right="18" w:firstLine="0"/>
                    <w:jc w:val="right"/>
                    <w:rPr>
                      <w:sz w:val="10"/>
                    </w:rPr>
                  </w:pPr>
                  <w:r>
                    <w:rPr>
                      <w:color w:val="231F20"/>
                      <w:sz w:val="10"/>
                    </w:rPr>
                    <w:t>—</w:t>
                  </w:r>
                </w:p>
                <w:p>
                  <w:pPr>
                    <w:spacing w:line="83" w:lineRule="exact" w:before="0"/>
                    <w:ind w:left="0" w:right="18" w:firstLine="0"/>
                    <w:jc w:val="right"/>
                    <w:rPr>
                      <w:sz w:val="10"/>
                    </w:rPr>
                  </w:pPr>
                  <w:r>
                    <w:rPr>
                      <w:color w:val="231F20"/>
                      <w:w w:val="106"/>
                      <w:sz w:val="10"/>
                    </w:rPr>
                    <w:t>jul</w:t>
                  </w:r>
                </w:p>
                <w:p>
                  <w:pPr>
                    <w:spacing w:line="99" w:lineRule="exact" w:before="0"/>
                    <w:ind w:left="0" w:right="18" w:firstLine="0"/>
                    <w:jc w:val="right"/>
                    <w:rPr>
                      <w:sz w:val="10"/>
                    </w:rPr>
                  </w:pPr>
                  <w:r>
                    <w:rPr>
                      <w:color w:val="231F20"/>
                      <w:sz w:val="10"/>
                    </w:rPr>
                    <w:t>—</w:t>
                  </w:r>
                </w:p>
              </w:txbxContent>
            </v:textbox>
            <w10:wrap type="none"/>
          </v:shape>
        </w:pict>
      </w:r>
      <w:r>
        <w:rPr>
          <w:color w:val="231F20"/>
          <w:sz w:val="16"/>
        </w:rPr>
        <w:t>80 —</w:t>
      </w:r>
    </w:p>
    <w:p>
      <w:pPr>
        <w:pStyle w:val="BodyText"/>
      </w:pPr>
    </w:p>
    <w:p>
      <w:pPr>
        <w:pStyle w:val="BodyText"/>
        <w:spacing w:before="3"/>
        <w:rPr>
          <w:sz w:val="23"/>
        </w:rPr>
      </w:pPr>
    </w:p>
    <w:p>
      <w:pPr>
        <w:spacing w:line="283" w:lineRule="auto" w:before="67"/>
        <w:ind w:left="100" w:right="117" w:firstLine="0"/>
        <w:jc w:val="both"/>
        <w:rPr>
          <w:sz w:val="18"/>
        </w:rPr>
      </w:pPr>
      <w:r>
        <w:rPr>
          <w:rFonts w:ascii="Calibri" w:hAnsi="Calibri"/>
          <w:color w:val="231F20"/>
          <w:w w:val="110"/>
          <w:sz w:val="18"/>
        </w:rPr>
        <w:t>nota: </w:t>
      </w:r>
      <w:r>
        <w:rPr>
          <w:color w:val="231F20"/>
          <w:w w:val="110"/>
          <w:sz w:val="18"/>
        </w:rPr>
        <w:t>se refiere a los índices de tipo de cambio nominal y real ponderados por el comercio con un grupo amplio de socios comerciales de Estados </w:t>
      </w:r>
      <w:r>
        <w:rPr>
          <w:color w:val="231F20"/>
          <w:w w:val="105"/>
          <w:sz w:val="18"/>
        </w:rPr>
        <w:t>Unidos (</w:t>
      </w:r>
      <w:r>
        <w:rPr>
          <w:i/>
          <w:color w:val="231F20"/>
          <w:w w:val="105"/>
          <w:sz w:val="18"/>
        </w:rPr>
        <w:t>Broad Index</w:t>
      </w:r>
      <w:r>
        <w:rPr>
          <w:color w:val="231F20"/>
          <w:w w:val="105"/>
          <w:sz w:val="18"/>
        </w:rPr>
        <w:t>).</w:t>
      </w:r>
    </w:p>
    <w:p>
      <w:pPr>
        <w:spacing w:line="276" w:lineRule="auto" w:before="4"/>
        <w:ind w:left="100" w:right="117" w:firstLine="0"/>
        <w:jc w:val="both"/>
        <w:rPr>
          <w:sz w:val="18"/>
        </w:rPr>
      </w:pPr>
      <w:r>
        <w:rPr>
          <w:rFonts w:ascii="Calibri"/>
          <w:color w:val="231F20"/>
          <w:w w:val="110"/>
          <w:sz w:val="18"/>
        </w:rPr>
        <w:t>fuente: </w:t>
      </w:r>
      <w:r>
        <w:rPr>
          <w:color w:val="231F20"/>
          <w:w w:val="110"/>
          <w:sz w:val="18"/>
        </w:rPr>
        <w:t>elaborado a partir de </w:t>
      </w:r>
      <w:hyperlink r:id="rId146">
        <w:r>
          <w:rPr>
            <w:color w:val="231F20"/>
            <w:w w:val="110"/>
            <w:sz w:val="18"/>
          </w:rPr>
          <w:t>&lt;www.federalreserve.gov/releases/H10/Sum</w:t>
        </w:r>
      </w:hyperlink>
      <w:r>
        <w:rPr>
          <w:color w:val="231F20"/>
          <w:w w:val="110"/>
          <w:sz w:val="18"/>
        </w:rPr>
        <w:t>- mary/&gt;.</w:t>
      </w:r>
    </w:p>
    <w:p>
      <w:pPr>
        <w:spacing w:after="0" w:line="276" w:lineRule="auto"/>
        <w:jc w:val="both"/>
        <w:rPr>
          <w:sz w:val="18"/>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right"/>
      </w:pPr>
      <w:r>
        <w:rPr>
          <w:color w:val="231F20"/>
          <w:w w:val="105"/>
        </w:rPr>
        <w:t>Esta notable apreciación responde al “vuelo a  la </w:t>
      </w:r>
      <w:r>
        <w:rPr>
          <w:color w:val="231F20"/>
          <w:spacing w:val="46"/>
          <w:w w:val="105"/>
        </w:rPr>
        <w:t> </w:t>
      </w:r>
      <w:r>
        <w:rPr>
          <w:color w:val="231F20"/>
          <w:w w:val="105"/>
        </w:rPr>
        <w:t>calidad” </w:t>
      </w:r>
      <w:r>
        <w:rPr>
          <w:color w:val="231F20"/>
          <w:spacing w:val="12"/>
          <w:w w:val="105"/>
        </w:rPr>
        <w:t> </w:t>
      </w:r>
      <w:r>
        <w:rPr>
          <w:color w:val="231F20"/>
          <w:w w:val="105"/>
        </w:rPr>
        <w:t>que</w:t>
      </w:r>
      <w:r>
        <w:rPr>
          <w:color w:val="231F20"/>
          <w:spacing w:val="1"/>
          <w:w w:val="113"/>
        </w:rPr>
        <w:t> </w:t>
      </w:r>
      <w:r>
        <w:rPr>
          <w:color w:val="231F20"/>
          <w:w w:val="105"/>
        </w:rPr>
        <w:t>tuvo</w:t>
      </w:r>
      <w:r>
        <w:rPr>
          <w:color w:val="231F20"/>
          <w:spacing w:val="22"/>
          <w:w w:val="105"/>
        </w:rPr>
        <w:t> </w:t>
      </w:r>
      <w:r>
        <w:rPr>
          <w:color w:val="231F20"/>
          <w:w w:val="105"/>
        </w:rPr>
        <w:t>lugar</w:t>
      </w:r>
      <w:r>
        <w:rPr>
          <w:color w:val="231F20"/>
          <w:spacing w:val="22"/>
          <w:w w:val="105"/>
        </w:rPr>
        <w:t> </w:t>
      </w:r>
      <w:r>
        <w:rPr>
          <w:color w:val="231F20"/>
          <w:w w:val="105"/>
        </w:rPr>
        <w:t>debida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relativa</w:t>
      </w:r>
      <w:r>
        <w:rPr>
          <w:color w:val="231F20"/>
          <w:spacing w:val="22"/>
          <w:w w:val="105"/>
        </w:rPr>
        <w:t> </w:t>
      </w:r>
      <w:r>
        <w:rPr>
          <w:color w:val="231F20"/>
          <w:w w:val="105"/>
        </w:rPr>
        <w:t>seguridad</w:t>
      </w:r>
      <w:r>
        <w:rPr>
          <w:color w:val="231F20"/>
          <w:spacing w:val="22"/>
          <w:w w:val="105"/>
        </w:rPr>
        <w:t> </w:t>
      </w:r>
      <w:r>
        <w:rPr>
          <w:color w:val="231F20"/>
          <w:w w:val="105"/>
        </w:rPr>
        <w:t>que</w:t>
      </w:r>
      <w:r>
        <w:rPr>
          <w:color w:val="231F20"/>
          <w:spacing w:val="22"/>
          <w:w w:val="105"/>
        </w:rPr>
        <w:t> </w:t>
      </w:r>
      <w:r>
        <w:rPr>
          <w:color w:val="231F20"/>
          <w:w w:val="105"/>
        </w:rPr>
        <w:t>percibían</w:t>
      </w:r>
      <w:r>
        <w:rPr>
          <w:color w:val="231F20"/>
          <w:spacing w:val="22"/>
          <w:w w:val="105"/>
        </w:rPr>
        <w:t> </w:t>
      </w:r>
      <w:r>
        <w:rPr>
          <w:color w:val="231F20"/>
          <w:w w:val="105"/>
        </w:rPr>
        <w:t>los</w:t>
      </w:r>
      <w:r>
        <w:rPr>
          <w:color w:val="231F20"/>
          <w:spacing w:val="22"/>
          <w:w w:val="105"/>
        </w:rPr>
        <w:t> </w:t>
      </w:r>
      <w:r>
        <w:rPr>
          <w:color w:val="231F20"/>
          <w:w w:val="105"/>
        </w:rPr>
        <w:t>inversores</w:t>
      </w:r>
      <w:r>
        <w:rPr>
          <w:color w:val="231F20"/>
          <w:w w:val="106"/>
        </w:rPr>
        <w:t> </w:t>
      </w:r>
      <w:r>
        <w:rPr>
          <w:color w:val="231F20"/>
          <w:w w:val="105"/>
        </w:rPr>
        <w:t>extranjeros en los activos estadunidenses, principalmente los</w:t>
      </w:r>
      <w:r>
        <w:rPr>
          <w:color w:val="231F20"/>
          <w:spacing w:val="22"/>
          <w:w w:val="105"/>
        </w:rPr>
        <w:t> </w:t>
      </w:r>
      <w:r>
        <w:rPr>
          <w:color w:val="231F20"/>
          <w:w w:val="105"/>
        </w:rPr>
        <w:t>del</w:t>
      </w:r>
      <w:r>
        <w:rPr>
          <w:color w:val="231F20"/>
          <w:spacing w:val="33"/>
          <w:w w:val="105"/>
        </w:rPr>
        <w:t> </w:t>
      </w:r>
      <w:r>
        <w:rPr>
          <w:color w:val="231F20"/>
          <w:spacing w:val="-7"/>
          <w:w w:val="105"/>
        </w:rPr>
        <w:t>Te-</w:t>
      </w:r>
      <w:r>
        <w:rPr>
          <w:color w:val="231F20"/>
          <w:w w:val="72"/>
        </w:rPr>
        <w:t> </w:t>
      </w:r>
      <w:r>
        <w:rPr>
          <w:color w:val="231F20"/>
          <w:w w:val="105"/>
        </w:rPr>
        <w:t>soro, a pesar de las difíciles condiciones de los</w:t>
      </w:r>
      <w:r>
        <w:rPr>
          <w:color w:val="231F20"/>
          <w:spacing w:val="51"/>
          <w:w w:val="105"/>
        </w:rPr>
        <w:t> </w:t>
      </w:r>
      <w:r>
        <w:rPr>
          <w:color w:val="231F20"/>
          <w:w w:val="105"/>
        </w:rPr>
        <w:t>mercados</w:t>
      </w:r>
      <w:r>
        <w:rPr>
          <w:color w:val="231F20"/>
          <w:spacing w:val="17"/>
          <w:w w:val="105"/>
        </w:rPr>
        <w:t> </w:t>
      </w:r>
      <w:r>
        <w:rPr>
          <w:color w:val="231F20"/>
          <w:w w:val="105"/>
        </w:rPr>
        <w:t>financieros.</w:t>
      </w:r>
      <w:r>
        <w:rPr>
          <w:color w:val="231F20"/>
          <w:w w:val="108"/>
        </w:rPr>
        <w:t> </w:t>
      </w:r>
      <w:r>
        <w:rPr>
          <w:color w:val="231F20"/>
          <w:w w:val="105"/>
        </w:rPr>
        <w:t>Cuando</w:t>
      </w:r>
      <w:r>
        <w:rPr>
          <w:color w:val="231F20"/>
          <w:spacing w:val="23"/>
          <w:w w:val="105"/>
        </w:rPr>
        <w:t> </w:t>
      </w:r>
      <w:r>
        <w:rPr>
          <w:color w:val="231F20"/>
          <w:w w:val="105"/>
        </w:rPr>
        <w:t>a</w:t>
      </w:r>
      <w:r>
        <w:rPr>
          <w:color w:val="231F20"/>
          <w:spacing w:val="23"/>
          <w:w w:val="105"/>
        </w:rPr>
        <w:t> </w:t>
      </w:r>
      <w:r>
        <w:rPr>
          <w:color w:val="231F20"/>
          <w:w w:val="105"/>
        </w:rPr>
        <w:t>mediados</w:t>
      </w:r>
      <w:r>
        <w:rPr>
          <w:color w:val="231F20"/>
          <w:spacing w:val="23"/>
          <w:w w:val="105"/>
        </w:rPr>
        <w:t> </w:t>
      </w:r>
      <w:r>
        <w:rPr>
          <w:color w:val="231F20"/>
          <w:w w:val="105"/>
        </w:rPr>
        <w:t>del</w:t>
      </w:r>
      <w:r>
        <w:rPr>
          <w:color w:val="231F20"/>
          <w:spacing w:val="23"/>
          <w:w w:val="105"/>
        </w:rPr>
        <w:t> </w:t>
      </w:r>
      <w:r>
        <w:rPr>
          <w:color w:val="231F20"/>
          <w:w w:val="105"/>
        </w:rPr>
        <w:t>año</w:t>
      </w:r>
      <w:r>
        <w:rPr>
          <w:color w:val="231F20"/>
          <w:spacing w:val="23"/>
          <w:w w:val="105"/>
        </w:rPr>
        <w:t> </w:t>
      </w:r>
      <w:r>
        <w:rPr>
          <w:color w:val="231F20"/>
          <w:w w:val="105"/>
        </w:rPr>
        <w:t>se</w:t>
      </w:r>
      <w:r>
        <w:rPr>
          <w:color w:val="231F20"/>
          <w:spacing w:val="23"/>
          <w:w w:val="105"/>
        </w:rPr>
        <w:t> </w:t>
      </w:r>
      <w:r>
        <w:rPr>
          <w:color w:val="231F20"/>
          <w:w w:val="105"/>
        </w:rPr>
        <w:t>hizo</w:t>
      </w:r>
      <w:r>
        <w:rPr>
          <w:color w:val="231F20"/>
          <w:spacing w:val="23"/>
          <w:w w:val="105"/>
        </w:rPr>
        <w:t> </w:t>
      </w:r>
      <w:r>
        <w:rPr>
          <w:color w:val="231F20"/>
          <w:w w:val="105"/>
        </w:rPr>
        <w:t>evidente</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actividad</w:t>
      </w:r>
      <w:r>
        <w:rPr>
          <w:color w:val="231F20"/>
          <w:spacing w:val="23"/>
          <w:w w:val="105"/>
        </w:rPr>
        <w:t> </w:t>
      </w:r>
      <w:r>
        <w:rPr>
          <w:color w:val="231F20"/>
          <w:w w:val="105"/>
        </w:rPr>
        <w:t>econó-</w:t>
      </w:r>
      <w:r>
        <w:rPr>
          <w:color w:val="231F20"/>
          <w:w w:val="72"/>
        </w:rPr>
        <w:t> </w:t>
      </w:r>
      <w:r>
        <w:rPr>
          <w:color w:val="231F20"/>
          <w:w w:val="105"/>
        </w:rPr>
        <w:t>mica</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exterior</w:t>
      </w:r>
      <w:r>
        <w:rPr>
          <w:color w:val="231F20"/>
          <w:spacing w:val="31"/>
          <w:w w:val="105"/>
        </w:rPr>
        <w:t> </w:t>
      </w:r>
      <w:r>
        <w:rPr>
          <w:color w:val="231F20"/>
          <w:w w:val="105"/>
        </w:rPr>
        <w:t>se</w:t>
      </w:r>
      <w:r>
        <w:rPr>
          <w:color w:val="231F20"/>
          <w:spacing w:val="31"/>
          <w:w w:val="105"/>
        </w:rPr>
        <w:t> </w:t>
      </w:r>
      <w:r>
        <w:rPr>
          <w:color w:val="231F20"/>
          <w:w w:val="105"/>
        </w:rPr>
        <w:t>desaceleraría</w:t>
      </w:r>
      <w:r>
        <w:rPr>
          <w:color w:val="231F20"/>
          <w:spacing w:val="31"/>
          <w:w w:val="105"/>
        </w:rPr>
        <w:t> </w:t>
      </w:r>
      <w:r>
        <w:rPr>
          <w:color w:val="231F20"/>
          <w:w w:val="105"/>
        </w:rPr>
        <w:t>más</w:t>
      </w:r>
      <w:r>
        <w:rPr>
          <w:color w:val="231F20"/>
          <w:spacing w:val="31"/>
          <w:w w:val="105"/>
        </w:rPr>
        <w:t> </w:t>
      </w:r>
      <w:r>
        <w:rPr>
          <w:color w:val="231F20"/>
          <w:w w:val="105"/>
        </w:rPr>
        <w:t>de</w:t>
      </w:r>
      <w:r>
        <w:rPr>
          <w:color w:val="231F20"/>
          <w:spacing w:val="31"/>
          <w:w w:val="105"/>
        </w:rPr>
        <w:t> </w:t>
      </w:r>
      <w:r>
        <w:rPr>
          <w:color w:val="231F20"/>
          <w:w w:val="105"/>
        </w:rPr>
        <w:t>lo</w:t>
      </w:r>
      <w:r>
        <w:rPr>
          <w:color w:val="231F20"/>
          <w:spacing w:val="31"/>
          <w:w w:val="105"/>
        </w:rPr>
        <w:t> </w:t>
      </w:r>
      <w:r>
        <w:rPr>
          <w:color w:val="231F20"/>
          <w:w w:val="105"/>
        </w:rPr>
        <w:t>previsto</w:t>
      </w:r>
      <w:r>
        <w:rPr>
          <w:color w:val="231F20"/>
          <w:spacing w:val="31"/>
          <w:w w:val="105"/>
        </w:rPr>
        <w:t> </w:t>
      </w:r>
      <w:r>
        <w:rPr>
          <w:color w:val="231F20"/>
          <w:w w:val="105"/>
        </w:rPr>
        <w:t>inicialmente,</w:t>
      </w:r>
      <w:r>
        <w:rPr>
          <w:color w:val="231F20"/>
          <w:w w:val="109"/>
        </w:rPr>
        <w:t> </w:t>
      </w:r>
      <w:r>
        <w:rPr>
          <w:color w:val="231F20"/>
          <w:w w:val="105"/>
        </w:rPr>
        <w:t>aumentó</w:t>
      </w:r>
      <w:r>
        <w:rPr>
          <w:color w:val="231F20"/>
          <w:spacing w:val="33"/>
          <w:w w:val="105"/>
        </w:rPr>
        <w:t> </w:t>
      </w:r>
      <w:r>
        <w:rPr>
          <w:color w:val="231F20"/>
          <w:w w:val="105"/>
        </w:rPr>
        <w:t>la</w:t>
      </w:r>
      <w:r>
        <w:rPr>
          <w:color w:val="231F20"/>
          <w:spacing w:val="33"/>
          <w:w w:val="105"/>
        </w:rPr>
        <w:t> </w:t>
      </w:r>
      <w:r>
        <w:rPr>
          <w:color w:val="231F20"/>
          <w:w w:val="105"/>
        </w:rPr>
        <w:t>demanda</w:t>
      </w:r>
      <w:r>
        <w:rPr>
          <w:color w:val="231F20"/>
          <w:spacing w:val="33"/>
          <w:w w:val="105"/>
        </w:rPr>
        <w:t> </w:t>
      </w:r>
      <w:r>
        <w:rPr>
          <w:color w:val="231F20"/>
          <w:w w:val="105"/>
        </w:rPr>
        <w:t>de</w:t>
      </w:r>
      <w:r>
        <w:rPr>
          <w:color w:val="231F20"/>
          <w:spacing w:val="33"/>
          <w:w w:val="105"/>
        </w:rPr>
        <w:t> </w:t>
      </w:r>
      <w:r>
        <w:rPr>
          <w:color w:val="231F20"/>
          <w:w w:val="105"/>
        </w:rPr>
        <w:t>esos</w:t>
      </w:r>
      <w:r>
        <w:rPr>
          <w:color w:val="231F20"/>
          <w:spacing w:val="33"/>
          <w:w w:val="105"/>
        </w:rPr>
        <w:t> </w:t>
      </w:r>
      <w:r>
        <w:rPr>
          <w:color w:val="231F20"/>
          <w:w w:val="105"/>
        </w:rPr>
        <w:t>activos,</w:t>
      </w:r>
      <w:r>
        <w:rPr>
          <w:color w:val="231F20"/>
          <w:spacing w:val="33"/>
          <w:w w:val="105"/>
        </w:rPr>
        <w:t> </w:t>
      </w:r>
      <w:r>
        <w:rPr>
          <w:color w:val="231F20"/>
          <w:w w:val="105"/>
        </w:rPr>
        <w:t>impulsando</w:t>
      </w:r>
      <w:r>
        <w:rPr>
          <w:color w:val="231F20"/>
          <w:spacing w:val="33"/>
          <w:w w:val="105"/>
        </w:rPr>
        <w:t> </w:t>
      </w:r>
      <w:r>
        <w:rPr>
          <w:color w:val="231F20"/>
          <w:w w:val="105"/>
        </w:rPr>
        <w:t>el</w:t>
      </w:r>
      <w:r>
        <w:rPr>
          <w:color w:val="231F20"/>
          <w:spacing w:val="33"/>
          <w:w w:val="105"/>
        </w:rPr>
        <w:t> </w:t>
      </w:r>
      <w:r>
        <w:rPr>
          <w:color w:val="231F20"/>
          <w:w w:val="105"/>
        </w:rPr>
        <w:t>valor</w:t>
      </w:r>
      <w:r>
        <w:rPr>
          <w:color w:val="231F20"/>
          <w:spacing w:val="33"/>
          <w:w w:val="105"/>
        </w:rPr>
        <w:t> </w:t>
      </w:r>
      <w:r>
        <w:rPr>
          <w:color w:val="231F20"/>
          <w:w w:val="105"/>
        </w:rPr>
        <w:t>del</w:t>
      </w:r>
      <w:r>
        <w:rPr>
          <w:color w:val="231F20"/>
          <w:spacing w:val="33"/>
          <w:w w:val="105"/>
        </w:rPr>
        <w:t> </w:t>
      </w:r>
      <w:r>
        <w:rPr>
          <w:color w:val="231F20"/>
          <w:spacing w:val="-3"/>
          <w:w w:val="105"/>
        </w:rPr>
        <w:t>dólar.</w:t>
      </w:r>
      <w:r>
        <w:rPr>
          <w:color w:val="231F20"/>
          <w:w w:val="104"/>
        </w:rPr>
        <w:t> </w:t>
      </w:r>
      <w:r>
        <w:rPr>
          <w:color w:val="231F20"/>
          <w:w w:val="105"/>
        </w:rPr>
        <w:t>Luego,</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primera</w:t>
      </w:r>
      <w:r>
        <w:rPr>
          <w:color w:val="231F20"/>
          <w:spacing w:val="36"/>
          <w:w w:val="105"/>
        </w:rPr>
        <w:t> </w:t>
      </w:r>
      <w:r>
        <w:rPr>
          <w:color w:val="231F20"/>
          <w:w w:val="105"/>
        </w:rPr>
        <w:t>mitad</w:t>
      </w:r>
      <w:r>
        <w:rPr>
          <w:color w:val="231F20"/>
          <w:spacing w:val="36"/>
          <w:w w:val="105"/>
        </w:rPr>
        <w:t> </w:t>
      </w:r>
      <w:r>
        <w:rPr>
          <w:color w:val="231F20"/>
          <w:w w:val="105"/>
        </w:rPr>
        <w:t>de</w:t>
      </w:r>
      <w:r>
        <w:rPr>
          <w:color w:val="231F20"/>
          <w:spacing w:val="36"/>
          <w:w w:val="105"/>
        </w:rPr>
        <w:t> </w:t>
      </w:r>
      <w:r>
        <w:rPr>
          <w:color w:val="231F20"/>
          <w:w w:val="105"/>
        </w:rPr>
        <w:t>2010,</w:t>
      </w:r>
      <w:r>
        <w:rPr>
          <w:color w:val="231F20"/>
          <w:spacing w:val="36"/>
          <w:w w:val="105"/>
        </w:rPr>
        <w:t> </w:t>
      </w:r>
      <w:r>
        <w:rPr>
          <w:color w:val="231F20"/>
          <w:w w:val="105"/>
        </w:rPr>
        <w:t>la</w:t>
      </w:r>
      <w:r>
        <w:rPr>
          <w:color w:val="231F20"/>
          <w:spacing w:val="36"/>
          <w:w w:val="105"/>
        </w:rPr>
        <w:t> </w:t>
      </w:r>
      <w:r>
        <w:rPr>
          <w:color w:val="231F20"/>
          <w:w w:val="105"/>
        </w:rPr>
        <w:t>crisis</w:t>
      </w:r>
      <w:r>
        <w:rPr>
          <w:color w:val="231F20"/>
          <w:spacing w:val="36"/>
          <w:w w:val="105"/>
        </w:rPr>
        <w:t> </w:t>
      </w:r>
      <w:r>
        <w:rPr>
          <w:color w:val="231F20"/>
          <w:w w:val="105"/>
        </w:rPr>
        <w:t>de</w:t>
      </w:r>
      <w:r>
        <w:rPr>
          <w:color w:val="231F20"/>
          <w:spacing w:val="36"/>
          <w:w w:val="105"/>
        </w:rPr>
        <w:t> </w:t>
      </w:r>
      <w:r>
        <w:rPr>
          <w:color w:val="231F20"/>
          <w:w w:val="105"/>
        </w:rPr>
        <w:t>deuda</w:t>
      </w:r>
      <w:r>
        <w:rPr>
          <w:color w:val="231F20"/>
          <w:spacing w:val="36"/>
          <w:w w:val="105"/>
        </w:rPr>
        <w:t> </w:t>
      </w:r>
      <w:r>
        <w:rPr>
          <w:color w:val="231F20"/>
          <w:w w:val="105"/>
        </w:rPr>
        <w:t>soberana</w:t>
      </w:r>
      <w:r>
        <w:rPr>
          <w:color w:val="231F20"/>
          <w:w w:val="110"/>
        </w:rPr>
        <w:t> </w:t>
      </w:r>
      <w:r>
        <w:rPr>
          <w:color w:val="231F20"/>
          <w:w w:val="105"/>
        </w:rPr>
        <w:t>en</w:t>
      </w:r>
      <w:r>
        <w:rPr>
          <w:color w:val="231F20"/>
          <w:spacing w:val="19"/>
          <w:w w:val="105"/>
        </w:rPr>
        <w:t> </w:t>
      </w:r>
      <w:r>
        <w:rPr>
          <w:color w:val="231F20"/>
          <w:w w:val="105"/>
        </w:rPr>
        <w:t>países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Unión</w:t>
      </w:r>
      <w:r>
        <w:rPr>
          <w:color w:val="231F20"/>
          <w:spacing w:val="19"/>
          <w:w w:val="105"/>
        </w:rPr>
        <w:t> </w:t>
      </w:r>
      <w:r>
        <w:rPr>
          <w:color w:val="231F20"/>
          <w:w w:val="105"/>
        </w:rPr>
        <w:t>Europea,</w:t>
      </w:r>
      <w:r>
        <w:rPr>
          <w:color w:val="231F20"/>
          <w:spacing w:val="19"/>
          <w:w w:val="105"/>
        </w:rPr>
        <w:t> </w:t>
      </w:r>
      <w:r>
        <w:rPr>
          <w:color w:val="231F20"/>
          <w:w w:val="105"/>
        </w:rPr>
        <w:t>introdujo</w:t>
      </w:r>
      <w:r>
        <w:rPr>
          <w:color w:val="231F20"/>
          <w:spacing w:val="19"/>
          <w:w w:val="105"/>
        </w:rPr>
        <w:t> </w:t>
      </w:r>
      <w:r>
        <w:rPr>
          <w:color w:val="231F20"/>
          <w:w w:val="105"/>
        </w:rPr>
        <w:t>presiones</w:t>
      </w:r>
      <w:r>
        <w:rPr>
          <w:color w:val="231F20"/>
          <w:spacing w:val="19"/>
          <w:w w:val="105"/>
        </w:rPr>
        <w:t> </w:t>
      </w:r>
      <w:r>
        <w:rPr>
          <w:color w:val="231F20"/>
          <w:w w:val="105"/>
        </w:rPr>
        <w:t>sobre</w:t>
      </w:r>
      <w:r>
        <w:rPr>
          <w:color w:val="231F20"/>
          <w:spacing w:val="19"/>
          <w:w w:val="105"/>
        </w:rPr>
        <w:t> </w:t>
      </w:r>
      <w:r>
        <w:rPr>
          <w:color w:val="231F20"/>
          <w:w w:val="105"/>
        </w:rPr>
        <w:t>el</w:t>
      </w:r>
      <w:r>
        <w:rPr>
          <w:color w:val="231F20"/>
          <w:spacing w:val="19"/>
          <w:w w:val="105"/>
        </w:rPr>
        <w:t> </w:t>
      </w:r>
      <w:r>
        <w:rPr>
          <w:color w:val="231F20"/>
          <w:w w:val="105"/>
        </w:rPr>
        <w:t>euro,</w:t>
      </w:r>
      <w:r>
        <w:rPr>
          <w:color w:val="231F20"/>
          <w:spacing w:val="19"/>
          <w:w w:val="105"/>
        </w:rPr>
        <w:t> </w:t>
      </w:r>
      <w:r>
        <w:rPr>
          <w:color w:val="231F20"/>
          <w:w w:val="105"/>
        </w:rPr>
        <w:t>de-</w:t>
      </w:r>
      <w:r>
        <w:rPr>
          <w:color w:val="231F20"/>
          <w:w w:val="72"/>
        </w:rPr>
        <w:t> </w:t>
      </w:r>
      <w:r>
        <w:rPr>
          <w:color w:val="231F20"/>
          <w:w w:val="105"/>
        </w:rPr>
        <w:t>preciándolo</w:t>
      </w:r>
      <w:r>
        <w:rPr>
          <w:color w:val="231F20"/>
          <w:spacing w:val="37"/>
          <w:w w:val="105"/>
        </w:rPr>
        <w:t> </w:t>
      </w:r>
      <w:r>
        <w:rPr>
          <w:color w:val="231F20"/>
          <w:w w:val="105"/>
        </w:rPr>
        <w:t>y</w:t>
      </w:r>
      <w:r>
        <w:rPr>
          <w:color w:val="231F20"/>
          <w:spacing w:val="37"/>
          <w:w w:val="105"/>
        </w:rPr>
        <w:t> </w:t>
      </w:r>
      <w:r>
        <w:rPr>
          <w:color w:val="231F20"/>
          <w:w w:val="105"/>
        </w:rPr>
        <w:t>favoreciendo</w:t>
      </w:r>
      <w:r>
        <w:rPr>
          <w:color w:val="231F20"/>
          <w:spacing w:val="37"/>
          <w:w w:val="105"/>
        </w:rPr>
        <w:t> </w:t>
      </w:r>
      <w:r>
        <w:rPr>
          <w:color w:val="231F20"/>
          <w:w w:val="105"/>
        </w:rPr>
        <w:t>una</w:t>
      </w:r>
      <w:r>
        <w:rPr>
          <w:color w:val="231F20"/>
          <w:spacing w:val="37"/>
          <w:w w:val="105"/>
        </w:rPr>
        <w:t> </w:t>
      </w:r>
      <w:r>
        <w:rPr>
          <w:color w:val="231F20"/>
          <w:w w:val="105"/>
        </w:rPr>
        <w:t>nueva</w:t>
      </w:r>
      <w:r>
        <w:rPr>
          <w:color w:val="231F20"/>
          <w:spacing w:val="37"/>
          <w:w w:val="105"/>
        </w:rPr>
        <w:t> </w:t>
      </w:r>
      <w:r>
        <w:rPr>
          <w:color w:val="231F20"/>
          <w:w w:val="105"/>
        </w:rPr>
        <w:t>revalorización</w:t>
      </w:r>
      <w:r>
        <w:rPr>
          <w:color w:val="231F20"/>
          <w:spacing w:val="37"/>
          <w:w w:val="105"/>
        </w:rPr>
        <w:t> </w:t>
      </w:r>
      <w:r>
        <w:rPr>
          <w:color w:val="231F20"/>
          <w:w w:val="105"/>
        </w:rPr>
        <w:t>del</w:t>
      </w:r>
      <w:r>
        <w:rPr>
          <w:color w:val="231F20"/>
          <w:spacing w:val="37"/>
          <w:w w:val="105"/>
        </w:rPr>
        <w:t> </w:t>
      </w:r>
      <w:r>
        <w:rPr>
          <w:color w:val="231F20"/>
          <w:spacing w:val="-3"/>
          <w:w w:val="105"/>
        </w:rPr>
        <w:t>dólar.</w:t>
      </w:r>
      <w:r>
        <w:rPr>
          <w:color w:val="231F20"/>
          <w:spacing w:val="37"/>
          <w:w w:val="105"/>
        </w:rPr>
        <w:t> </w:t>
      </w:r>
      <w:r>
        <w:rPr>
          <w:color w:val="231F20"/>
          <w:w w:val="105"/>
        </w:rPr>
        <w:t>Este</w:t>
      </w:r>
      <w:r>
        <w:rPr>
          <w:color w:val="231F20"/>
          <w:w w:val="104"/>
        </w:rPr>
        <w:t> </w:t>
      </w:r>
      <w:r>
        <w:rPr>
          <w:color w:val="231F20"/>
          <w:w w:val="105"/>
        </w:rPr>
        <w:t>suceso ha  dado  lugar  a  especulaciones  sobre  un </w:t>
      </w:r>
      <w:r>
        <w:rPr>
          <w:color w:val="231F20"/>
          <w:spacing w:val="25"/>
          <w:w w:val="105"/>
        </w:rPr>
        <w:t> </w:t>
      </w:r>
      <w:r>
        <w:rPr>
          <w:color w:val="231F20"/>
          <w:w w:val="105"/>
        </w:rPr>
        <w:t>posible </w:t>
      </w:r>
      <w:r>
        <w:rPr>
          <w:color w:val="231F20"/>
          <w:spacing w:val="3"/>
          <w:w w:val="105"/>
        </w:rPr>
        <w:t> </w:t>
      </w:r>
      <w:r>
        <w:rPr>
          <w:color w:val="231F20"/>
          <w:w w:val="105"/>
        </w:rPr>
        <w:t>derrumbe</w:t>
      </w:r>
      <w:r>
        <w:rPr>
          <w:color w:val="231F20"/>
          <w:w w:val="114"/>
        </w:rPr>
        <w:t> </w:t>
      </w:r>
      <w:r>
        <w:rPr>
          <w:color w:val="231F20"/>
          <w:w w:val="105"/>
        </w:rPr>
        <w:t>y hasta desaparición de  la  moneda  única  europea.  Sin</w:t>
      </w:r>
      <w:r>
        <w:rPr>
          <w:color w:val="231F20"/>
          <w:spacing w:val="-17"/>
          <w:w w:val="105"/>
        </w:rPr>
        <w:t> </w:t>
      </w:r>
      <w:r>
        <w:rPr>
          <w:color w:val="231F20"/>
          <w:w w:val="105"/>
        </w:rPr>
        <w:t>embargo,</w:t>
      </w:r>
      <w:r>
        <w:rPr>
          <w:color w:val="231F20"/>
          <w:spacing w:val="44"/>
          <w:w w:val="105"/>
        </w:rPr>
        <w:t> </w:t>
      </w:r>
      <w:r>
        <w:rPr>
          <w:color w:val="231F20"/>
          <w:w w:val="105"/>
        </w:rPr>
        <w:t>es</w:t>
      </w:r>
      <w:r>
        <w:rPr>
          <w:color w:val="231F20"/>
          <w:w w:val="103"/>
        </w:rPr>
        <w:t> </w:t>
      </w:r>
      <w:r>
        <w:rPr>
          <w:color w:val="231F20"/>
          <w:w w:val="105"/>
        </w:rPr>
        <w:t>de esperar que tal acontecimiento sea evitado a toda costa</w:t>
      </w:r>
      <w:r>
        <w:rPr>
          <w:color w:val="231F20"/>
          <w:spacing w:val="14"/>
          <w:w w:val="105"/>
        </w:rPr>
        <w:t> </w:t>
      </w:r>
      <w:r>
        <w:rPr>
          <w:color w:val="231F20"/>
          <w:w w:val="105"/>
        </w:rPr>
        <w:t>por</w:t>
      </w:r>
      <w:r>
        <w:rPr>
          <w:color w:val="231F20"/>
          <w:spacing w:val="48"/>
          <w:w w:val="105"/>
        </w:rPr>
        <w:t> </w:t>
      </w:r>
      <w:r>
        <w:rPr>
          <w:color w:val="231F20"/>
          <w:w w:val="105"/>
        </w:rPr>
        <w:t>las</w:t>
      </w:r>
      <w:r>
        <w:rPr>
          <w:color w:val="231F20"/>
          <w:w w:val="100"/>
        </w:rPr>
        <w:t> </w:t>
      </w:r>
      <w:r>
        <w:rPr>
          <w:color w:val="231F20"/>
          <w:w w:val="105"/>
        </w:rPr>
        <w:t>principales potencias de la Unión por sus</w:t>
      </w:r>
      <w:r>
        <w:rPr>
          <w:color w:val="231F20"/>
          <w:spacing w:val="16"/>
          <w:w w:val="105"/>
        </w:rPr>
        <w:t> </w:t>
      </w:r>
      <w:r>
        <w:rPr>
          <w:color w:val="231F20"/>
          <w:w w:val="105"/>
        </w:rPr>
        <w:t>tremendas</w:t>
      </w:r>
      <w:r>
        <w:rPr>
          <w:color w:val="231F20"/>
          <w:spacing w:val="47"/>
          <w:w w:val="105"/>
        </w:rPr>
        <w:t> </w:t>
      </w:r>
      <w:r>
        <w:rPr>
          <w:color w:val="231F20"/>
          <w:w w:val="105"/>
        </w:rPr>
        <w:t>consecuencias</w:t>
      </w:r>
      <w:r>
        <w:rPr>
          <w:color w:val="231F20"/>
          <w:w w:val="108"/>
        </w:rPr>
        <w:t> </w:t>
      </w:r>
      <w:r>
        <w:rPr>
          <w:color w:val="231F20"/>
          <w:w w:val="105"/>
        </w:rPr>
        <w:t>socio-económicas y políticas. Asimismo, muchos</w:t>
      </w:r>
      <w:r>
        <w:rPr>
          <w:color w:val="231F20"/>
          <w:spacing w:val="-14"/>
          <w:w w:val="105"/>
        </w:rPr>
        <w:t> </w:t>
      </w:r>
      <w:r>
        <w:rPr>
          <w:color w:val="231F20"/>
          <w:w w:val="105"/>
        </w:rPr>
        <w:t>analistas</w:t>
      </w:r>
      <w:r>
        <w:rPr>
          <w:color w:val="231F20"/>
          <w:spacing w:val="39"/>
          <w:w w:val="105"/>
        </w:rPr>
        <w:t> </w:t>
      </w:r>
      <w:r>
        <w:rPr>
          <w:color w:val="231F20"/>
          <w:w w:val="105"/>
        </w:rPr>
        <w:t>sostienen</w:t>
      </w:r>
      <w:r>
        <w:rPr>
          <w:color w:val="231F20"/>
          <w:w w:val="109"/>
        </w:rPr>
        <w:t> </w:t>
      </w:r>
      <w:r>
        <w:rPr>
          <w:color w:val="231F20"/>
          <w:w w:val="105"/>
        </w:rPr>
        <w:t>que la debilidad europea,  al  aumentar  temporalmente </w:t>
      </w:r>
      <w:r>
        <w:rPr>
          <w:color w:val="231F20"/>
          <w:spacing w:val="40"/>
          <w:w w:val="105"/>
        </w:rPr>
        <w:t> </w:t>
      </w:r>
      <w:r>
        <w:rPr>
          <w:color w:val="231F20"/>
          <w:w w:val="105"/>
        </w:rPr>
        <w:t>la </w:t>
      </w:r>
      <w:r>
        <w:rPr>
          <w:color w:val="231F20"/>
          <w:spacing w:val="5"/>
          <w:w w:val="105"/>
        </w:rPr>
        <w:t> </w:t>
      </w:r>
      <w:r>
        <w:rPr>
          <w:color w:val="231F20"/>
          <w:w w:val="105"/>
        </w:rPr>
        <w:t>confianza</w:t>
      </w:r>
      <w:r>
        <w:rPr>
          <w:color w:val="231F20"/>
          <w:w w:val="108"/>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dólar</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afluencia</w:t>
      </w:r>
      <w:r>
        <w:rPr>
          <w:color w:val="231F20"/>
          <w:spacing w:val="16"/>
          <w:w w:val="105"/>
        </w:rPr>
        <w:t> </w:t>
      </w:r>
      <w:r>
        <w:rPr>
          <w:color w:val="231F20"/>
          <w:w w:val="105"/>
        </w:rPr>
        <w:t>de</w:t>
      </w:r>
      <w:r>
        <w:rPr>
          <w:color w:val="231F20"/>
          <w:spacing w:val="16"/>
          <w:w w:val="105"/>
        </w:rPr>
        <w:t> </w:t>
      </w:r>
      <w:r>
        <w:rPr>
          <w:color w:val="231F20"/>
          <w:w w:val="105"/>
        </w:rPr>
        <w:t>capital</w:t>
      </w:r>
      <w:r>
        <w:rPr>
          <w:color w:val="231F20"/>
          <w:spacing w:val="16"/>
          <w:w w:val="105"/>
        </w:rPr>
        <w:t> </w:t>
      </w:r>
      <w:r>
        <w:rPr>
          <w:color w:val="231F20"/>
          <w:w w:val="105"/>
        </w:rPr>
        <w:t>a</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podría</w:t>
      </w:r>
      <w:r>
        <w:rPr>
          <w:color w:val="231F20"/>
          <w:spacing w:val="16"/>
          <w:w w:val="105"/>
        </w:rPr>
        <w:t> </w:t>
      </w:r>
      <w:r>
        <w:rPr>
          <w:color w:val="231F20"/>
          <w:w w:val="105"/>
        </w:rPr>
        <w:t>retardar</w:t>
      </w:r>
      <w:r>
        <w:rPr>
          <w:color w:val="231F20"/>
          <w:w w:val="114"/>
        </w:rPr>
        <w:t> </w:t>
      </w:r>
      <w:r>
        <w:rPr>
          <w:color w:val="231F20"/>
          <w:w w:val="105"/>
        </w:rPr>
        <w:t>los necesarios ajustes en este país, prolongando la situación</w:t>
      </w:r>
      <w:r>
        <w:rPr>
          <w:color w:val="231F20"/>
          <w:spacing w:val="9"/>
          <w:w w:val="105"/>
        </w:rPr>
        <w:t> </w:t>
      </w:r>
      <w:r>
        <w:rPr>
          <w:color w:val="231F20"/>
          <w:w w:val="105"/>
        </w:rPr>
        <w:t>de</w:t>
      </w:r>
      <w:r>
        <w:rPr>
          <w:color w:val="231F20"/>
          <w:spacing w:val="12"/>
          <w:w w:val="105"/>
        </w:rPr>
        <w:t> </w:t>
      </w:r>
      <w:r>
        <w:rPr>
          <w:color w:val="231F20"/>
          <w:w w:val="105"/>
        </w:rPr>
        <w:t>endeu-</w:t>
      </w:r>
      <w:r>
        <w:rPr>
          <w:color w:val="231F20"/>
          <w:w w:val="72"/>
        </w:rPr>
        <w:t> </w:t>
      </w:r>
      <w:r>
        <w:rPr>
          <w:color w:val="231F20"/>
          <w:w w:val="105"/>
        </w:rPr>
        <w:t>damiento</w:t>
      </w:r>
      <w:r>
        <w:rPr>
          <w:color w:val="231F20"/>
          <w:spacing w:val="26"/>
          <w:w w:val="105"/>
        </w:rPr>
        <w:t> </w:t>
      </w:r>
      <w:r>
        <w:rPr>
          <w:color w:val="231F20"/>
          <w:w w:val="105"/>
        </w:rPr>
        <w:t>y</w:t>
      </w:r>
      <w:r>
        <w:rPr>
          <w:color w:val="231F20"/>
          <w:spacing w:val="26"/>
          <w:w w:val="105"/>
        </w:rPr>
        <w:t> </w:t>
      </w:r>
      <w:r>
        <w:rPr>
          <w:color w:val="231F20"/>
          <w:w w:val="105"/>
        </w:rPr>
        <w:t>agravando</w:t>
      </w:r>
      <w:r>
        <w:rPr>
          <w:color w:val="231F20"/>
          <w:spacing w:val="26"/>
          <w:w w:val="105"/>
        </w:rPr>
        <w:t> </w:t>
      </w:r>
      <w:r>
        <w:rPr>
          <w:color w:val="231F20"/>
          <w:w w:val="105"/>
        </w:rPr>
        <w:t>la</w:t>
      </w:r>
      <w:r>
        <w:rPr>
          <w:color w:val="231F20"/>
          <w:spacing w:val="26"/>
          <w:w w:val="105"/>
        </w:rPr>
        <w:t> </w:t>
      </w:r>
      <w:r>
        <w:rPr>
          <w:color w:val="231F20"/>
          <w:w w:val="105"/>
        </w:rPr>
        <w:t>erosión</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hegemonía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largo</w:t>
      </w:r>
      <w:r>
        <w:rPr>
          <w:color w:val="231F20"/>
          <w:spacing w:val="26"/>
          <w:w w:val="105"/>
        </w:rPr>
        <w:t> </w:t>
      </w:r>
      <w:r>
        <w:rPr>
          <w:color w:val="231F20"/>
          <w:w w:val="105"/>
        </w:rPr>
        <w:t>plazo.</w:t>
      </w:r>
      <w:r>
        <w:rPr>
          <w:color w:val="231F20"/>
          <w:w w:val="106"/>
        </w:rPr>
        <w:t> </w:t>
      </w:r>
      <w:r>
        <w:rPr>
          <w:color w:val="231F20"/>
          <w:w w:val="105"/>
        </w:rPr>
        <w:t>A</w:t>
      </w:r>
      <w:r>
        <w:rPr>
          <w:color w:val="231F20"/>
          <w:spacing w:val="37"/>
          <w:w w:val="105"/>
        </w:rPr>
        <w:t> </w:t>
      </w:r>
      <w:r>
        <w:rPr>
          <w:color w:val="231F20"/>
          <w:w w:val="105"/>
        </w:rPr>
        <w:t>pesar</w:t>
      </w:r>
      <w:r>
        <w:rPr>
          <w:color w:val="231F20"/>
          <w:spacing w:val="37"/>
          <w:w w:val="105"/>
        </w:rPr>
        <w:t> </w:t>
      </w:r>
      <w:r>
        <w:rPr>
          <w:color w:val="231F20"/>
          <w:w w:val="105"/>
        </w:rPr>
        <w:t>del</w:t>
      </w:r>
      <w:r>
        <w:rPr>
          <w:color w:val="231F20"/>
          <w:spacing w:val="37"/>
          <w:w w:val="105"/>
        </w:rPr>
        <w:t> </w:t>
      </w:r>
      <w:r>
        <w:rPr>
          <w:color w:val="231F20"/>
          <w:w w:val="105"/>
        </w:rPr>
        <w:t>comportamiento</w:t>
      </w:r>
      <w:r>
        <w:rPr>
          <w:color w:val="231F20"/>
          <w:spacing w:val="37"/>
          <w:w w:val="105"/>
        </w:rPr>
        <w:t> </w:t>
      </w:r>
      <w:r>
        <w:rPr>
          <w:color w:val="231F20"/>
          <w:w w:val="105"/>
        </w:rPr>
        <w:t>del</w:t>
      </w:r>
      <w:r>
        <w:rPr>
          <w:color w:val="231F20"/>
          <w:spacing w:val="37"/>
          <w:w w:val="105"/>
        </w:rPr>
        <w:t> </w:t>
      </w:r>
      <w:r>
        <w:rPr>
          <w:color w:val="231F20"/>
          <w:spacing w:val="-3"/>
          <w:w w:val="105"/>
        </w:rPr>
        <w:t>dólar,</w:t>
      </w:r>
      <w:r>
        <w:rPr>
          <w:color w:val="231F20"/>
          <w:spacing w:val="37"/>
          <w:w w:val="105"/>
        </w:rPr>
        <w:t> </w:t>
      </w:r>
      <w:r>
        <w:rPr>
          <w:color w:val="231F20"/>
          <w:w w:val="105"/>
        </w:rPr>
        <w:t>la</w:t>
      </w:r>
      <w:r>
        <w:rPr>
          <w:color w:val="231F20"/>
          <w:spacing w:val="37"/>
          <w:w w:val="105"/>
        </w:rPr>
        <w:t> </w:t>
      </w:r>
      <w:r>
        <w:rPr>
          <w:color w:val="231F20"/>
          <w:w w:val="105"/>
        </w:rPr>
        <w:t>crisis</w:t>
      </w:r>
      <w:r>
        <w:rPr>
          <w:color w:val="231F20"/>
          <w:spacing w:val="37"/>
          <w:w w:val="105"/>
        </w:rPr>
        <w:t> </w:t>
      </w:r>
      <w:r>
        <w:rPr>
          <w:color w:val="231F20"/>
          <w:w w:val="105"/>
        </w:rPr>
        <w:t>ha</w:t>
      </w:r>
      <w:r>
        <w:rPr>
          <w:color w:val="231F20"/>
          <w:spacing w:val="37"/>
          <w:w w:val="105"/>
        </w:rPr>
        <w:t> </w:t>
      </w:r>
      <w:r>
        <w:rPr>
          <w:color w:val="231F20"/>
          <w:w w:val="105"/>
        </w:rPr>
        <w:t>tenido</w:t>
      </w:r>
      <w:r>
        <w:rPr>
          <w:color w:val="231F20"/>
          <w:spacing w:val="37"/>
          <w:w w:val="105"/>
        </w:rPr>
        <w:t> </w:t>
      </w:r>
      <w:r>
        <w:rPr>
          <w:color w:val="231F20"/>
          <w:w w:val="105"/>
        </w:rPr>
        <w:t>y</w:t>
      </w:r>
      <w:r>
        <w:rPr>
          <w:color w:val="231F20"/>
          <w:spacing w:val="37"/>
          <w:w w:val="105"/>
        </w:rPr>
        <w:t> </w:t>
      </w:r>
      <w:r>
        <w:rPr>
          <w:color w:val="231F20"/>
          <w:w w:val="105"/>
        </w:rPr>
        <w:t>ten-</w:t>
      </w:r>
      <w:r>
        <w:rPr>
          <w:color w:val="231F20"/>
          <w:w w:val="72"/>
        </w:rPr>
        <w:t> </w:t>
      </w:r>
      <w:r>
        <w:rPr>
          <w:color w:val="231F20"/>
          <w:w w:val="105"/>
        </w:rPr>
        <w:t>drá importantes impactos para la posición hegemónica</w:t>
      </w:r>
      <w:r>
        <w:rPr>
          <w:color w:val="231F20"/>
          <w:spacing w:val="45"/>
          <w:w w:val="105"/>
        </w:rPr>
        <w:t> </w:t>
      </w:r>
      <w:r>
        <w:rPr>
          <w:color w:val="231F20"/>
          <w:w w:val="105"/>
        </w:rPr>
        <w:t>de</w:t>
      </w:r>
      <w:r>
        <w:rPr>
          <w:color w:val="231F20"/>
          <w:spacing w:val="6"/>
          <w:w w:val="105"/>
        </w:rPr>
        <w:t> </w:t>
      </w:r>
      <w:r>
        <w:rPr>
          <w:color w:val="231F20"/>
          <w:w w:val="105"/>
        </w:rPr>
        <w:t>Estados</w:t>
      </w:r>
      <w:r>
        <w:rPr>
          <w:color w:val="231F20"/>
          <w:w w:val="105"/>
        </w:rPr>
        <w:t> </w:t>
      </w:r>
      <w:r>
        <w:rPr>
          <w:color w:val="231F20"/>
          <w:w w:val="105"/>
        </w:rPr>
        <w:t>Unidos en el  sistema  monetario  y  financiero </w:t>
      </w:r>
      <w:r>
        <w:rPr>
          <w:color w:val="231F20"/>
          <w:spacing w:val="35"/>
          <w:w w:val="105"/>
        </w:rPr>
        <w:t> </w:t>
      </w:r>
      <w:r>
        <w:rPr>
          <w:color w:val="231F20"/>
          <w:w w:val="105"/>
        </w:rPr>
        <w:t>internacional. </w:t>
      </w:r>
      <w:r>
        <w:rPr>
          <w:color w:val="231F20"/>
          <w:spacing w:val="12"/>
          <w:w w:val="105"/>
        </w:rPr>
        <w:t> </w:t>
      </w:r>
      <w:r>
        <w:rPr>
          <w:color w:val="231F20"/>
          <w:w w:val="105"/>
        </w:rPr>
        <w:t>Como</w:t>
      </w:r>
      <w:r>
        <w:rPr>
          <w:color w:val="231F20"/>
          <w:w w:val="108"/>
        </w:rPr>
        <w:t> </w:t>
      </w:r>
      <w:r>
        <w:rPr>
          <w:color w:val="231F20"/>
          <w:w w:val="105"/>
        </w:rPr>
        <w:t>ha señalado Paul Kennedy  (2009),  la  economía  de</w:t>
      </w:r>
      <w:r>
        <w:rPr>
          <w:color w:val="231F20"/>
          <w:spacing w:val="7"/>
          <w:w w:val="105"/>
        </w:rPr>
        <w:t> </w:t>
      </w:r>
      <w:r>
        <w:rPr>
          <w:color w:val="231F20"/>
          <w:w w:val="105"/>
        </w:rPr>
        <w:t>Estados</w:t>
      </w:r>
      <w:r>
        <w:rPr>
          <w:color w:val="231F20"/>
          <w:spacing w:val="46"/>
          <w:w w:val="105"/>
        </w:rPr>
        <w:t> </w:t>
      </w:r>
      <w:r>
        <w:rPr>
          <w:color w:val="231F20"/>
          <w:w w:val="105"/>
        </w:rPr>
        <w:t>Unidos</w:t>
      </w:r>
      <w:r>
        <w:rPr>
          <w:color w:val="231F20"/>
          <w:w w:val="109"/>
        </w:rPr>
        <w:t> </w:t>
      </w:r>
      <w:r>
        <w:rPr>
          <w:color w:val="231F20"/>
          <w:w w:val="105"/>
        </w:rPr>
        <w:t>se</w:t>
      </w:r>
      <w:r>
        <w:rPr>
          <w:color w:val="231F20"/>
          <w:spacing w:val="28"/>
          <w:w w:val="105"/>
        </w:rPr>
        <w:t> </w:t>
      </w:r>
      <w:r>
        <w:rPr>
          <w:color w:val="231F20"/>
          <w:w w:val="105"/>
        </w:rPr>
        <w:t>ha</w:t>
      </w:r>
      <w:r>
        <w:rPr>
          <w:color w:val="231F20"/>
          <w:spacing w:val="28"/>
          <w:w w:val="105"/>
        </w:rPr>
        <w:t> </w:t>
      </w:r>
      <w:r>
        <w:rPr>
          <w:color w:val="231F20"/>
          <w:w w:val="105"/>
        </w:rPr>
        <w:t>afectado</w:t>
      </w:r>
      <w:r>
        <w:rPr>
          <w:color w:val="231F20"/>
          <w:spacing w:val="28"/>
          <w:w w:val="105"/>
        </w:rPr>
        <w:t> </w:t>
      </w:r>
      <w:r>
        <w:rPr>
          <w:color w:val="231F20"/>
          <w:w w:val="105"/>
        </w:rPr>
        <w:t>significativamente</w:t>
      </w:r>
      <w:r>
        <w:rPr>
          <w:color w:val="231F20"/>
          <w:spacing w:val="28"/>
          <w:w w:val="105"/>
        </w:rPr>
        <w:t> </w:t>
      </w:r>
      <w:r>
        <w:rPr>
          <w:color w:val="231F20"/>
          <w:w w:val="105"/>
        </w:rPr>
        <w:t>a</w:t>
      </w:r>
      <w:r>
        <w:rPr>
          <w:color w:val="231F20"/>
          <w:spacing w:val="28"/>
          <w:w w:val="105"/>
        </w:rPr>
        <w:t> </w:t>
      </w:r>
      <w:r>
        <w:rPr>
          <w:color w:val="231F20"/>
          <w:w w:val="105"/>
        </w:rPr>
        <w:t>causa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crisis,</w:t>
      </w:r>
      <w:r>
        <w:rPr>
          <w:color w:val="231F20"/>
          <w:spacing w:val="28"/>
          <w:w w:val="105"/>
        </w:rPr>
        <w:t> </w:t>
      </w:r>
      <w:r>
        <w:rPr>
          <w:color w:val="231F20"/>
          <w:w w:val="105"/>
        </w:rPr>
        <w:t>como</w:t>
      </w:r>
      <w:r>
        <w:rPr>
          <w:color w:val="231F20"/>
          <w:spacing w:val="28"/>
          <w:w w:val="105"/>
        </w:rPr>
        <w:t> </w:t>
      </w:r>
      <w:r>
        <w:rPr>
          <w:color w:val="231F20"/>
          <w:w w:val="105"/>
        </w:rPr>
        <w:t>también</w:t>
      </w:r>
      <w:r>
        <w:rPr>
          <w:color w:val="231F20"/>
          <w:w w:val="111"/>
        </w:rPr>
        <w:t> </w:t>
      </w:r>
      <w:r>
        <w:rPr>
          <w:color w:val="231F20"/>
          <w:w w:val="105"/>
        </w:rPr>
        <w:t>lo</w:t>
      </w:r>
      <w:r>
        <w:rPr>
          <w:color w:val="231F20"/>
          <w:spacing w:val="38"/>
          <w:w w:val="105"/>
        </w:rPr>
        <w:t> </w:t>
      </w:r>
      <w:r>
        <w:rPr>
          <w:color w:val="231F20"/>
          <w:w w:val="105"/>
        </w:rPr>
        <w:t>están</w:t>
      </w:r>
      <w:r>
        <w:rPr>
          <w:color w:val="231F20"/>
          <w:spacing w:val="38"/>
          <w:w w:val="105"/>
        </w:rPr>
        <w:t> </w:t>
      </w:r>
      <w:r>
        <w:rPr>
          <w:color w:val="231F20"/>
          <w:w w:val="105"/>
        </w:rPr>
        <w:t>haciendo</w:t>
      </w:r>
      <w:r>
        <w:rPr>
          <w:color w:val="231F20"/>
          <w:spacing w:val="38"/>
          <w:w w:val="105"/>
        </w:rPr>
        <w:t> </w:t>
      </w:r>
      <w:r>
        <w:rPr>
          <w:color w:val="231F20"/>
          <w:w w:val="105"/>
        </w:rPr>
        <w:t>las</w:t>
      </w:r>
      <w:r>
        <w:rPr>
          <w:color w:val="231F20"/>
          <w:spacing w:val="38"/>
          <w:w w:val="105"/>
        </w:rPr>
        <w:t> </w:t>
      </w:r>
      <w:r>
        <w:rPr>
          <w:color w:val="231F20"/>
          <w:w w:val="105"/>
        </w:rPr>
        <w:t>principales</w:t>
      </w:r>
      <w:r>
        <w:rPr>
          <w:color w:val="231F20"/>
          <w:spacing w:val="38"/>
          <w:w w:val="105"/>
        </w:rPr>
        <w:t> </w:t>
      </w:r>
      <w:r>
        <w:rPr>
          <w:color w:val="231F20"/>
          <w:w w:val="105"/>
        </w:rPr>
        <w:t>economías</w:t>
      </w:r>
      <w:r>
        <w:rPr>
          <w:color w:val="231F20"/>
          <w:spacing w:val="38"/>
          <w:w w:val="105"/>
        </w:rPr>
        <w:t> </w:t>
      </w:r>
      <w:r>
        <w:rPr>
          <w:color w:val="231F20"/>
          <w:w w:val="105"/>
        </w:rPr>
        <w:t>europeas.</w:t>
      </w:r>
      <w:r>
        <w:rPr>
          <w:color w:val="231F20"/>
          <w:spacing w:val="38"/>
          <w:w w:val="105"/>
        </w:rPr>
        <w:t> </w:t>
      </w:r>
      <w:r>
        <w:rPr>
          <w:color w:val="231F20"/>
          <w:w w:val="105"/>
        </w:rPr>
        <w:t>Sin</w:t>
      </w:r>
      <w:r>
        <w:rPr>
          <w:color w:val="231F20"/>
          <w:spacing w:val="38"/>
          <w:w w:val="105"/>
        </w:rPr>
        <w:t> </w:t>
      </w:r>
      <w:r>
        <w:rPr>
          <w:color w:val="231F20"/>
          <w:w w:val="105"/>
        </w:rPr>
        <w:t>embargo,</w:t>
      </w:r>
      <w:r>
        <w:rPr>
          <w:color w:val="231F20"/>
          <w:w w:val="110"/>
        </w:rPr>
        <w:t> </w:t>
      </w:r>
      <w:r>
        <w:rPr>
          <w:color w:val="231F20"/>
          <w:w w:val="105"/>
        </w:rPr>
        <w:t>China e India, mantienen su crecimiento, aunque  con</w:t>
      </w:r>
      <w:r>
        <w:rPr>
          <w:color w:val="231F20"/>
          <w:spacing w:val="34"/>
          <w:w w:val="105"/>
        </w:rPr>
        <w:t> </w:t>
      </w:r>
      <w:r>
        <w:rPr>
          <w:color w:val="231F20"/>
          <w:w w:val="105"/>
        </w:rPr>
        <w:t>tasas</w:t>
      </w:r>
      <w:r>
        <w:rPr>
          <w:color w:val="231F20"/>
          <w:spacing w:val="50"/>
          <w:w w:val="105"/>
        </w:rPr>
        <w:t> </w:t>
      </w:r>
      <w:r>
        <w:rPr>
          <w:color w:val="231F20"/>
          <w:w w:val="105"/>
        </w:rPr>
        <w:t>mucho</w:t>
      </w:r>
      <w:r>
        <w:rPr>
          <w:color w:val="231F20"/>
          <w:w w:val="112"/>
        </w:rPr>
        <w:t> </w:t>
      </w:r>
      <w:r>
        <w:rPr>
          <w:color w:val="231F20"/>
          <w:w w:val="105"/>
        </w:rPr>
        <w:t>más</w:t>
      </w:r>
      <w:r>
        <w:rPr>
          <w:color w:val="231F20"/>
          <w:spacing w:val="41"/>
          <w:w w:val="105"/>
        </w:rPr>
        <w:t> </w:t>
      </w:r>
      <w:r>
        <w:rPr>
          <w:color w:val="231F20"/>
          <w:w w:val="105"/>
        </w:rPr>
        <w:t>moderadas</w:t>
      </w:r>
      <w:r>
        <w:rPr>
          <w:color w:val="231F20"/>
          <w:spacing w:val="41"/>
          <w:w w:val="105"/>
        </w:rPr>
        <w:t> </w:t>
      </w:r>
      <w:r>
        <w:rPr>
          <w:color w:val="231F20"/>
          <w:w w:val="105"/>
        </w:rPr>
        <w:t>que</w:t>
      </w:r>
      <w:r>
        <w:rPr>
          <w:color w:val="231F20"/>
          <w:spacing w:val="41"/>
          <w:w w:val="105"/>
        </w:rPr>
        <w:t> </w:t>
      </w:r>
      <w:r>
        <w:rPr>
          <w:color w:val="231F20"/>
          <w:w w:val="105"/>
        </w:rPr>
        <w:t>antes.</w:t>
      </w:r>
      <w:r>
        <w:rPr>
          <w:color w:val="231F20"/>
          <w:spacing w:val="41"/>
          <w:w w:val="105"/>
        </w:rPr>
        <w:t> </w:t>
      </w:r>
      <w:r>
        <w:rPr>
          <w:color w:val="231F20"/>
          <w:w w:val="105"/>
        </w:rPr>
        <w:t>Podría</w:t>
      </w:r>
      <w:r>
        <w:rPr>
          <w:color w:val="231F20"/>
          <w:spacing w:val="41"/>
          <w:w w:val="105"/>
        </w:rPr>
        <w:t> </w:t>
      </w:r>
      <w:r>
        <w:rPr>
          <w:color w:val="231F20"/>
          <w:w w:val="105"/>
        </w:rPr>
        <w:t>preverse</w:t>
      </w:r>
      <w:r>
        <w:rPr>
          <w:color w:val="231F20"/>
          <w:spacing w:val="41"/>
          <w:w w:val="105"/>
        </w:rPr>
        <w:t> </w:t>
      </w:r>
      <w:r>
        <w:rPr>
          <w:color w:val="231F20"/>
          <w:w w:val="105"/>
        </w:rPr>
        <w:t>entonces</w:t>
      </w:r>
      <w:r>
        <w:rPr>
          <w:color w:val="231F20"/>
          <w:spacing w:val="41"/>
          <w:w w:val="105"/>
        </w:rPr>
        <w:t> </w:t>
      </w:r>
      <w:r>
        <w:rPr>
          <w:color w:val="231F20"/>
          <w:w w:val="105"/>
        </w:rPr>
        <w:t>que,</w:t>
      </w:r>
      <w:r>
        <w:rPr>
          <w:color w:val="231F20"/>
          <w:spacing w:val="41"/>
          <w:w w:val="105"/>
        </w:rPr>
        <w:t> </w:t>
      </w:r>
      <w:r>
        <w:rPr>
          <w:color w:val="231F20"/>
          <w:w w:val="105"/>
        </w:rPr>
        <w:t>cuando</w:t>
      </w:r>
      <w:r>
        <w:rPr>
          <w:color w:val="231F20"/>
          <w:spacing w:val="41"/>
          <w:w w:val="105"/>
        </w:rPr>
        <w:t> </w:t>
      </w:r>
      <w:r>
        <w:rPr>
          <w:color w:val="231F20"/>
          <w:w w:val="105"/>
        </w:rPr>
        <w:t>la</w:t>
      </w:r>
      <w:r>
        <w:rPr>
          <w:color w:val="231F20"/>
          <w:w w:val="105"/>
        </w:rPr>
        <w:t> </w:t>
      </w:r>
      <w:r>
        <w:rPr>
          <w:color w:val="231F20"/>
          <w:w w:val="105"/>
        </w:rPr>
        <w:t>depresión global culmine, las participaciones nacionales en</w:t>
      </w:r>
      <w:r>
        <w:rPr>
          <w:color w:val="231F20"/>
          <w:spacing w:val="52"/>
          <w:w w:val="105"/>
        </w:rPr>
        <w:t> </w:t>
      </w:r>
      <w:r>
        <w:rPr>
          <w:color w:val="231F20"/>
          <w:w w:val="105"/>
        </w:rPr>
        <w:t>la</w:t>
      </w:r>
      <w:r>
        <w:rPr>
          <w:color w:val="231F20"/>
          <w:spacing w:val="52"/>
          <w:w w:val="105"/>
        </w:rPr>
        <w:t> </w:t>
      </w:r>
      <w:r>
        <w:rPr>
          <w:color w:val="231F20"/>
          <w:w w:val="105"/>
        </w:rPr>
        <w:t>pro-</w:t>
      </w:r>
      <w:r>
        <w:rPr>
          <w:color w:val="231F20"/>
          <w:w w:val="72"/>
        </w:rPr>
        <w:t> </w:t>
      </w:r>
      <w:r>
        <w:rPr>
          <w:color w:val="231F20"/>
          <w:w w:val="105"/>
        </w:rPr>
        <w:t>ducción</w:t>
      </w:r>
      <w:r>
        <w:rPr>
          <w:color w:val="231F20"/>
          <w:spacing w:val="35"/>
          <w:w w:val="105"/>
        </w:rPr>
        <w:t> </w:t>
      </w:r>
      <w:r>
        <w:rPr>
          <w:color w:val="231F20"/>
          <w:w w:val="105"/>
        </w:rPr>
        <w:t>mundial</w:t>
      </w:r>
      <w:r>
        <w:rPr>
          <w:color w:val="231F20"/>
          <w:spacing w:val="35"/>
          <w:w w:val="105"/>
        </w:rPr>
        <w:t> </w:t>
      </w:r>
      <w:r>
        <w:rPr>
          <w:color w:val="231F20"/>
          <w:w w:val="105"/>
        </w:rPr>
        <w:t>hayan</w:t>
      </w:r>
      <w:r>
        <w:rPr>
          <w:color w:val="231F20"/>
          <w:spacing w:val="35"/>
          <w:w w:val="105"/>
        </w:rPr>
        <w:t> </w:t>
      </w:r>
      <w:r>
        <w:rPr>
          <w:color w:val="231F20"/>
          <w:w w:val="105"/>
        </w:rPr>
        <w:t>variado</w:t>
      </w:r>
      <w:r>
        <w:rPr>
          <w:color w:val="231F20"/>
          <w:spacing w:val="35"/>
          <w:w w:val="105"/>
        </w:rPr>
        <w:t> </w:t>
      </w:r>
      <w:r>
        <w:rPr>
          <w:color w:val="231F20"/>
          <w:w w:val="105"/>
        </w:rPr>
        <w:t>y</w:t>
      </w:r>
      <w:r>
        <w:rPr>
          <w:color w:val="231F20"/>
          <w:spacing w:val="35"/>
          <w:w w:val="105"/>
        </w:rPr>
        <w:t> </w:t>
      </w:r>
      <w:r>
        <w:rPr>
          <w:color w:val="231F20"/>
          <w:w w:val="105"/>
        </w:rPr>
        <w:t>Estados</w:t>
      </w:r>
      <w:r>
        <w:rPr>
          <w:color w:val="231F20"/>
          <w:spacing w:val="35"/>
          <w:w w:val="105"/>
        </w:rPr>
        <w:t> </w:t>
      </w:r>
      <w:r>
        <w:rPr>
          <w:color w:val="231F20"/>
          <w:w w:val="105"/>
        </w:rPr>
        <w:t>Unidos</w:t>
      </w:r>
      <w:r>
        <w:rPr>
          <w:color w:val="231F20"/>
          <w:spacing w:val="35"/>
          <w:w w:val="105"/>
        </w:rPr>
        <w:t> </w:t>
      </w:r>
      <w:r>
        <w:rPr>
          <w:color w:val="231F20"/>
          <w:w w:val="105"/>
        </w:rPr>
        <w:t>“podría</w:t>
      </w:r>
      <w:r>
        <w:rPr>
          <w:color w:val="231F20"/>
          <w:spacing w:val="35"/>
          <w:w w:val="105"/>
        </w:rPr>
        <w:t> </w:t>
      </w:r>
      <w:r>
        <w:rPr>
          <w:color w:val="231F20"/>
          <w:w w:val="105"/>
        </w:rPr>
        <w:t>tener</w:t>
      </w:r>
      <w:r>
        <w:rPr>
          <w:color w:val="231F20"/>
          <w:spacing w:val="35"/>
          <w:w w:val="105"/>
        </w:rPr>
        <w:t> </w:t>
      </w:r>
      <w:r>
        <w:rPr>
          <w:color w:val="231F20"/>
          <w:w w:val="105"/>
        </w:rPr>
        <w:t>que</w:t>
      </w:r>
    </w:p>
    <w:p>
      <w:pPr>
        <w:pStyle w:val="BodyText"/>
        <w:ind w:left="100" w:right="25"/>
      </w:pPr>
      <w:r>
        <w:rPr>
          <w:color w:val="231F20"/>
          <w:w w:val="110"/>
        </w:rPr>
        <w:t>bajar uno o dos peldaños”.</w:t>
      </w:r>
    </w:p>
    <w:p>
      <w:pPr>
        <w:pStyle w:val="BodyText"/>
        <w:spacing w:line="261" w:lineRule="auto" w:before="20"/>
        <w:ind w:left="100" w:right="117" w:firstLine="240"/>
        <w:jc w:val="right"/>
      </w:pPr>
      <w:r>
        <w:rPr>
          <w:color w:val="231F20"/>
          <w:w w:val="110"/>
        </w:rPr>
        <w:t>Asimismo,</w:t>
      </w:r>
      <w:r>
        <w:rPr>
          <w:color w:val="231F20"/>
          <w:spacing w:val="-28"/>
          <w:w w:val="110"/>
        </w:rPr>
        <w:t> </w:t>
      </w:r>
      <w:r>
        <w:rPr>
          <w:color w:val="231F20"/>
          <w:w w:val="110"/>
        </w:rPr>
        <w:t>la</w:t>
      </w:r>
      <w:r>
        <w:rPr>
          <w:color w:val="231F20"/>
          <w:spacing w:val="-28"/>
          <w:w w:val="110"/>
        </w:rPr>
        <w:t> </w:t>
      </w:r>
      <w:r>
        <w:rPr>
          <w:color w:val="231F20"/>
          <w:w w:val="110"/>
        </w:rPr>
        <w:t>crisis</w:t>
      </w:r>
      <w:r>
        <w:rPr>
          <w:color w:val="231F20"/>
          <w:spacing w:val="-28"/>
          <w:w w:val="110"/>
        </w:rPr>
        <w:t> </w:t>
      </w:r>
      <w:r>
        <w:rPr>
          <w:color w:val="231F20"/>
          <w:w w:val="110"/>
        </w:rPr>
        <w:t>ha</w:t>
      </w:r>
      <w:r>
        <w:rPr>
          <w:color w:val="231F20"/>
          <w:spacing w:val="-28"/>
          <w:w w:val="110"/>
        </w:rPr>
        <w:t> </w:t>
      </w:r>
      <w:r>
        <w:rPr>
          <w:color w:val="231F20"/>
          <w:w w:val="110"/>
        </w:rPr>
        <w:t>desdibujado</w:t>
      </w:r>
      <w:r>
        <w:rPr>
          <w:color w:val="231F20"/>
          <w:spacing w:val="-28"/>
          <w:w w:val="110"/>
        </w:rPr>
        <w:t> </w:t>
      </w:r>
      <w:r>
        <w:rPr>
          <w:color w:val="231F20"/>
          <w:w w:val="110"/>
        </w:rPr>
        <w:t>la</w:t>
      </w:r>
      <w:r>
        <w:rPr>
          <w:color w:val="231F20"/>
          <w:spacing w:val="-28"/>
          <w:w w:val="110"/>
        </w:rPr>
        <w:t> </w:t>
      </w:r>
      <w:r>
        <w:rPr>
          <w:color w:val="231F20"/>
          <w:w w:val="110"/>
        </w:rPr>
        <w:t>reputación</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w w:val="110"/>
        </w:rPr>
        <w:t>firmas</w:t>
      </w:r>
      <w:r>
        <w:rPr>
          <w:color w:val="231F20"/>
          <w:spacing w:val="-28"/>
          <w:w w:val="110"/>
        </w:rPr>
        <w:t> </w:t>
      </w:r>
      <w:r>
        <w:rPr>
          <w:color w:val="231F20"/>
          <w:w w:val="110"/>
        </w:rPr>
        <w:t>finan-</w:t>
      </w:r>
      <w:r>
        <w:rPr>
          <w:color w:val="231F20"/>
          <w:w w:val="72"/>
        </w:rPr>
        <w:t> </w:t>
      </w:r>
      <w:r>
        <w:rPr>
          <w:color w:val="231F20"/>
          <w:w w:val="110"/>
        </w:rPr>
        <w:t>cieras</w:t>
      </w:r>
      <w:r>
        <w:rPr>
          <w:color w:val="231F20"/>
          <w:spacing w:val="-28"/>
          <w:w w:val="110"/>
        </w:rPr>
        <w:t> </w:t>
      </w:r>
      <w:r>
        <w:rPr>
          <w:color w:val="231F20"/>
          <w:w w:val="110"/>
        </w:rPr>
        <w:t>estadunidenses</w:t>
      </w:r>
      <w:r>
        <w:rPr>
          <w:color w:val="231F20"/>
          <w:spacing w:val="-28"/>
          <w:w w:val="110"/>
        </w:rPr>
        <w:t> </w:t>
      </w:r>
      <w:r>
        <w:rPr>
          <w:color w:val="231F20"/>
          <w:w w:val="110"/>
        </w:rPr>
        <w:t>y</w:t>
      </w:r>
      <w:r>
        <w:rPr>
          <w:color w:val="231F20"/>
          <w:spacing w:val="-28"/>
          <w:w w:val="110"/>
        </w:rPr>
        <w:t> </w:t>
      </w:r>
      <w:r>
        <w:rPr>
          <w:color w:val="231F20"/>
          <w:w w:val="110"/>
        </w:rPr>
        <w:t>sus</w:t>
      </w:r>
      <w:r>
        <w:rPr>
          <w:color w:val="231F20"/>
          <w:spacing w:val="-28"/>
          <w:w w:val="110"/>
        </w:rPr>
        <w:t> </w:t>
      </w:r>
      <w:r>
        <w:rPr>
          <w:color w:val="231F20"/>
          <w:w w:val="110"/>
        </w:rPr>
        <w:t>mecanismos</w:t>
      </w:r>
      <w:r>
        <w:rPr>
          <w:color w:val="231F20"/>
          <w:spacing w:val="-28"/>
          <w:w w:val="110"/>
        </w:rPr>
        <w:t> </w:t>
      </w:r>
      <w:r>
        <w:rPr>
          <w:color w:val="231F20"/>
          <w:w w:val="110"/>
        </w:rPr>
        <w:t>de</w:t>
      </w:r>
      <w:r>
        <w:rPr>
          <w:color w:val="231F20"/>
          <w:spacing w:val="-28"/>
          <w:w w:val="110"/>
        </w:rPr>
        <w:t> </w:t>
      </w:r>
      <w:r>
        <w:rPr>
          <w:color w:val="231F20"/>
          <w:w w:val="110"/>
        </w:rPr>
        <w:t>regulación,</w:t>
      </w:r>
      <w:r>
        <w:rPr>
          <w:color w:val="231F20"/>
          <w:spacing w:val="-28"/>
          <w:w w:val="110"/>
        </w:rPr>
        <w:t> </w:t>
      </w:r>
      <w:r>
        <w:rPr>
          <w:color w:val="231F20"/>
          <w:w w:val="110"/>
        </w:rPr>
        <w:t>con</w:t>
      </w:r>
      <w:r>
        <w:rPr>
          <w:color w:val="231F20"/>
          <w:spacing w:val="-28"/>
          <w:w w:val="110"/>
        </w:rPr>
        <w:t> </w:t>
      </w:r>
      <w:r>
        <w:rPr>
          <w:color w:val="231F20"/>
          <w:w w:val="110"/>
        </w:rPr>
        <w:t>lo</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ha</w:t>
      </w:r>
      <w:r>
        <w:rPr>
          <w:color w:val="231F20"/>
          <w:spacing w:val="-2"/>
          <w:w w:val="114"/>
        </w:rPr>
        <w:t> </w:t>
      </w:r>
      <w:r>
        <w:rPr>
          <w:color w:val="231F20"/>
          <w:w w:val="110"/>
        </w:rPr>
        <w:t>deteriorado</w:t>
      </w:r>
      <w:r>
        <w:rPr>
          <w:color w:val="231F20"/>
          <w:spacing w:val="-6"/>
          <w:w w:val="110"/>
        </w:rPr>
        <w:t> </w:t>
      </w:r>
      <w:r>
        <w:rPr>
          <w:color w:val="231F20"/>
          <w:w w:val="110"/>
        </w:rPr>
        <w:t>en</w:t>
      </w:r>
      <w:r>
        <w:rPr>
          <w:color w:val="231F20"/>
          <w:spacing w:val="-6"/>
          <w:w w:val="110"/>
        </w:rPr>
        <w:t> </w:t>
      </w:r>
      <w:r>
        <w:rPr>
          <w:color w:val="231F20"/>
          <w:w w:val="110"/>
        </w:rPr>
        <w:t>alto</w:t>
      </w:r>
      <w:r>
        <w:rPr>
          <w:color w:val="231F20"/>
          <w:spacing w:val="-6"/>
          <w:w w:val="110"/>
        </w:rPr>
        <w:t> </w:t>
      </w:r>
      <w:r>
        <w:rPr>
          <w:color w:val="231F20"/>
          <w:w w:val="110"/>
        </w:rPr>
        <w:t>grado</w:t>
      </w:r>
      <w:r>
        <w:rPr>
          <w:color w:val="231F20"/>
          <w:spacing w:val="-6"/>
          <w:w w:val="110"/>
        </w:rPr>
        <w:t> </w:t>
      </w:r>
      <w:r>
        <w:rPr>
          <w:color w:val="231F20"/>
          <w:w w:val="110"/>
        </w:rPr>
        <w:t>la</w:t>
      </w:r>
      <w:r>
        <w:rPr>
          <w:color w:val="231F20"/>
          <w:spacing w:val="-6"/>
          <w:w w:val="110"/>
        </w:rPr>
        <w:t> </w:t>
      </w:r>
      <w:r>
        <w:rPr>
          <w:color w:val="231F20"/>
          <w:w w:val="110"/>
        </w:rPr>
        <w:t>confianza,</w:t>
      </w:r>
      <w:r>
        <w:rPr>
          <w:color w:val="231F20"/>
          <w:spacing w:val="-6"/>
          <w:w w:val="110"/>
        </w:rPr>
        <w:t> </w:t>
      </w:r>
      <w:r>
        <w:rPr>
          <w:color w:val="231F20"/>
          <w:w w:val="110"/>
        </w:rPr>
        <w:t>una</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elementos</w:t>
      </w:r>
      <w:r>
        <w:rPr>
          <w:color w:val="231F20"/>
          <w:spacing w:val="-6"/>
          <w:w w:val="110"/>
        </w:rPr>
        <w:t> </w:t>
      </w:r>
      <w:r>
        <w:rPr>
          <w:color w:val="231F20"/>
          <w:w w:val="110"/>
        </w:rPr>
        <w:t>que</w:t>
      </w:r>
      <w:r>
        <w:rPr>
          <w:color w:val="231F20"/>
          <w:spacing w:val="-6"/>
          <w:w w:val="110"/>
        </w:rPr>
        <w:t> </w:t>
      </w:r>
      <w:r>
        <w:rPr>
          <w:color w:val="231F20"/>
          <w:w w:val="110"/>
        </w:rPr>
        <w:t>ase-</w:t>
      </w:r>
      <w:r>
        <w:rPr>
          <w:color w:val="231F20"/>
          <w:w w:val="72"/>
        </w:rPr>
        <w:t> </w:t>
      </w:r>
      <w:r>
        <w:rPr>
          <w:color w:val="231F20"/>
          <w:w w:val="110"/>
        </w:rPr>
        <w:t>guraban</w:t>
      </w:r>
      <w:r>
        <w:rPr>
          <w:color w:val="231F20"/>
          <w:spacing w:val="-7"/>
          <w:w w:val="110"/>
        </w:rPr>
        <w:t> </w:t>
      </w:r>
      <w:r>
        <w:rPr>
          <w:color w:val="231F20"/>
          <w:w w:val="110"/>
        </w:rPr>
        <w:t>la</w:t>
      </w:r>
      <w:r>
        <w:rPr>
          <w:color w:val="231F20"/>
          <w:spacing w:val="-7"/>
          <w:w w:val="110"/>
        </w:rPr>
        <w:t> </w:t>
      </w:r>
      <w:r>
        <w:rPr>
          <w:color w:val="231F20"/>
          <w:w w:val="110"/>
        </w:rPr>
        <w:t>recepción</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w w:val="110"/>
        </w:rPr>
        <w:t>enorme</w:t>
      </w:r>
      <w:r>
        <w:rPr>
          <w:color w:val="231F20"/>
          <w:spacing w:val="-7"/>
          <w:w w:val="110"/>
        </w:rPr>
        <w:t> </w:t>
      </w:r>
      <w:r>
        <w:rPr>
          <w:color w:val="231F20"/>
          <w:w w:val="110"/>
        </w:rPr>
        <w:t>volumen</w:t>
      </w:r>
      <w:r>
        <w:rPr>
          <w:color w:val="231F20"/>
          <w:spacing w:val="-7"/>
          <w:w w:val="110"/>
        </w:rPr>
        <w:t> </w:t>
      </w:r>
      <w:r>
        <w:rPr>
          <w:color w:val="231F20"/>
          <w:w w:val="110"/>
        </w:rPr>
        <w:t>de</w:t>
      </w:r>
      <w:r>
        <w:rPr>
          <w:color w:val="231F20"/>
          <w:spacing w:val="-7"/>
          <w:w w:val="110"/>
        </w:rPr>
        <w:t> </w:t>
      </w:r>
      <w:r>
        <w:rPr>
          <w:color w:val="231F20"/>
          <w:w w:val="110"/>
        </w:rPr>
        <w:t>recursos</w:t>
      </w:r>
      <w:r>
        <w:rPr>
          <w:color w:val="231F20"/>
          <w:spacing w:val="-7"/>
          <w:w w:val="110"/>
        </w:rPr>
        <w:t> </w:t>
      </w:r>
      <w:r>
        <w:rPr>
          <w:color w:val="231F20"/>
          <w:w w:val="110"/>
        </w:rPr>
        <w:t>financieros.</w:t>
      </w:r>
      <w:r>
        <w:rPr>
          <w:color w:val="231F20"/>
          <w:spacing w:val="-2"/>
          <w:w w:val="110"/>
        </w:rPr>
        <w:t> </w:t>
      </w:r>
      <w:r>
        <w:rPr>
          <w:color w:val="231F20"/>
          <w:w w:val="110"/>
        </w:rPr>
        <w:t>Otro</w:t>
      </w:r>
      <w:r>
        <w:rPr>
          <w:color w:val="231F20"/>
          <w:spacing w:val="-17"/>
          <w:w w:val="110"/>
        </w:rPr>
        <w:t> </w:t>
      </w:r>
      <w:r>
        <w:rPr>
          <w:color w:val="231F20"/>
          <w:w w:val="110"/>
        </w:rPr>
        <w:t>elemento</w:t>
      </w:r>
      <w:r>
        <w:rPr>
          <w:color w:val="231F20"/>
          <w:spacing w:val="-17"/>
          <w:w w:val="110"/>
        </w:rPr>
        <w:t> </w:t>
      </w:r>
      <w:r>
        <w:rPr>
          <w:color w:val="231F20"/>
          <w:w w:val="110"/>
        </w:rPr>
        <w:t>interesante</w:t>
      </w:r>
      <w:r>
        <w:rPr>
          <w:color w:val="231F20"/>
          <w:spacing w:val="-18"/>
          <w:w w:val="110"/>
        </w:rPr>
        <w:t> </w:t>
      </w:r>
      <w:r>
        <w:rPr>
          <w:color w:val="231F20"/>
          <w:w w:val="110"/>
        </w:rPr>
        <w:t>es</w:t>
      </w:r>
      <w:r>
        <w:rPr>
          <w:color w:val="231F20"/>
          <w:spacing w:val="-17"/>
          <w:w w:val="110"/>
        </w:rPr>
        <w:t> </w:t>
      </w:r>
      <w:r>
        <w:rPr>
          <w:color w:val="231F20"/>
          <w:w w:val="110"/>
        </w:rPr>
        <w:t>que,</w:t>
      </w:r>
      <w:r>
        <w:rPr>
          <w:color w:val="231F20"/>
          <w:spacing w:val="-18"/>
          <w:w w:val="110"/>
        </w:rPr>
        <w:t> </w:t>
      </w:r>
      <w:r>
        <w:rPr>
          <w:color w:val="231F20"/>
          <w:w w:val="110"/>
        </w:rPr>
        <w:t>antes</w:t>
      </w:r>
      <w:r>
        <w:rPr>
          <w:color w:val="231F20"/>
          <w:spacing w:val="-17"/>
          <w:w w:val="110"/>
        </w:rPr>
        <w:t> </w:t>
      </w:r>
      <w:r>
        <w:rPr>
          <w:color w:val="231F20"/>
          <w:w w:val="110"/>
        </w:rPr>
        <w:t>de</w:t>
      </w:r>
      <w:r>
        <w:rPr>
          <w:color w:val="231F20"/>
          <w:spacing w:val="-18"/>
          <w:w w:val="110"/>
        </w:rPr>
        <w:t> </w:t>
      </w:r>
      <w:r>
        <w:rPr>
          <w:color w:val="231F20"/>
          <w:w w:val="110"/>
        </w:rPr>
        <w:t>la</w:t>
      </w:r>
      <w:r>
        <w:rPr>
          <w:color w:val="231F20"/>
          <w:spacing w:val="-17"/>
          <w:w w:val="110"/>
        </w:rPr>
        <w:t> </w:t>
      </w:r>
      <w:r>
        <w:rPr>
          <w:color w:val="231F20"/>
          <w:w w:val="110"/>
        </w:rPr>
        <w:t>crisis,</w:t>
      </w:r>
      <w:r>
        <w:rPr>
          <w:color w:val="231F20"/>
          <w:spacing w:val="-18"/>
          <w:w w:val="110"/>
        </w:rPr>
        <w:t> </w:t>
      </w:r>
      <w:r>
        <w:rPr>
          <w:color w:val="231F20"/>
          <w:w w:val="110"/>
        </w:rPr>
        <w:t>los</w:t>
      </w:r>
      <w:r>
        <w:rPr>
          <w:color w:val="231F20"/>
          <w:spacing w:val="-17"/>
          <w:w w:val="110"/>
        </w:rPr>
        <w:t> </w:t>
      </w:r>
      <w:r>
        <w:rPr>
          <w:color w:val="231F20"/>
          <w:w w:val="110"/>
        </w:rPr>
        <w:t>flujos</w:t>
      </w:r>
      <w:r>
        <w:rPr>
          <w:color w:val="231F20"/>
          <w:spacing w:val="-18"/>
          <w:w w:val="110"/>
        </w:rPr>
        <w:t> </w:t>
      </w:r>
      <w:r>
        <w:rPr>
          <w:color w:val="231F20"/>
          <w:w w:val="110"/>
        </w:rPr>
        <w:t>finan-</w:t>
      </w:r>
      <w:r>
        <w:rPr>
          <w:color w:val="231F20"/>
          <w:w w:val="72"/>
        </w:rPr>
        <w:t> </w:t>
      </w:r>
      <w:r>
        <w:rPr>
          <w:color w:val="231F20"/>
          <w:w w:val="110"/>
        </w:rPr>
        <w:t>cieros provenían esencialmente de inversores privados</w:t>
      </w:r>
      <w:r>
        <w:rPr>
          <w:color w:val="231F20"/>
          <w:spacing w:val="27"/>
          <w:w w:val="110"/>
        </w:rPr>
        <w:t> </w:t>
      </w:r>
      <w:r>
        <w:rPr>
          <w:color w:val="231F20"/>
          <w:w w:val="110"/>
        </w:rPr>
        <w:t>externos</w:t>
      </w:r>
      <w:r>
        <w:rPr>
          <w:color w:val="231F20"/>
          <w:spacing w:val="4"/>
          <w:w w:val="110"/>
        </w:rPr>
        <w:t> </w:t>
      </w:r>
      <w:r>
        <w:rPr>
          <w:color w:val="231F20"/>
          <w:w w:val="110"/>
        </w:rPr>
        <w:t>que</w:t>
      </w:r>
      <w:r>
        <w:rPr>
          <w:color w:val="231F20"/>
          <w:w w:val="113"/>
        </w:rPr>
        <w:t> </w:t>
      </w:r>
      <w:r>
        <w:rPr>
          <w:color w:val="231F20"/>
          <w:w w:val="110"/>
        </w:rPr>
        <w:t>adquirían valores del </w:t>
      </w:r>
      <w:r>
        <w:rPr>
          <w:color w:val="231F20"/>
          <w:spacing w:val="-4"/>
          <w:w w:val="110"/>
        </w:rPr>
        <w:t>Tesoro </w:t>
      </w:r>
      <w:r>
        <w:rPr>
          <w:color w:val="231F20"/>
          <w:w w:val="110"/>
        </w:rPr>
        <w:t>y se registraban</w:t>
      </w:r>
      <w:r>
        <w:rPr>
          <w:color w:val="231F20"/>
          <w:spacing w:val="-5"/>
          <w:w w:val="110"/>
        </w:rPr>
        <w:t> </w:t>
      </w:r>
      <w:r>
        <w:rPr>
          <w:color w:val="231F20"/>
          <w:w w:val="110"/>
        </w:rPr>
        <w:t>compras</w:t>
      </w:r>
      <w:r>
        <w:rPr>
          <w:color w:val="231F20"/>
          <w:spacing w:val="-2"/>
          <w:w w:val="110"/>
        </w:rPr>
        <w:t> </w:t>
      </w:r>
      <w:r>
        <w:rPr>
          <w:color w:val="231F20"/>
          <w:w w:val="110"/>
        </w:rPr>
        <w:t>significativas,</w:t>
      </w:r>
      <w:r>
        <w:rPr>
          <w:color w:val="231F20"/>
          <w:w w:val="102"/>
        </w:rPr>
        <w:t> </w:t>
      </w:r>
      <w:r>
        <w:rPr>
          <w:color w:val="231F20"/>
          <w:w w:val="110"/>
        </w:rPr>
        <w:t>pero comparativamente más pequeñas de instituciones</w:t>
      </w:r>
      <w:r>
        <w:rPr>
          <w:color w:val="231F20"/>
          <w:spacing w:val="11"/>
          <w:w w:val="110"/>
        </w:rPr>
        <w:t> </w:t>
      </w:r>
      <w:r>
        <w:rPr>
          <w:color w:val="231F20"/>
          <w:w w:val="110"/>
        </w:rPr>
        <w:t>oficiales.</w:t>
      </w:r>
      <w:r>
        <w:rPr>
          <w:color w:val="231F20"/>
          <w:spacing w:val="1"/>
          <w:w w:val="110"/>
        </w:rPr>
        <w:t> </w:t>
      </w:r>
      <w:r>
        <w:rPr>
          <w:color w:val="231F20"/>
          <w:w w:val="110"/>
        </w:rPr>
        <w:t>Sin</w:t>
      </w:r>
      <w:r>
        <w:rPr>
          <w:color w:val="231F20"/>
          <w:w w:val="104"/>
        </w:rPr>
        <w:t> </w:t>
      </w:r>
      <w:r>
        <w:rPr>
          <w:color w:val="231F20"/>
          <w:w w:val="110"/>
        </w:rPr>
        <w:t>embargo, desde finales de 2007, han disminuido </w:t>
      </w:r>
      <w:r>
        <w:rPr>
          <w:color w:val="231F20"/>
          <w:spacing w:val="9"/>
          <w:w w:val="110"/>
        </w:rPr>
        <w:t> </w:t>
      </w:r>
      <w:r>
        <w:rPr>
          <w:color w:val="231F20"/>
          <w:w w:val="110"/>
        </w:rPr>
        <w:t>pronunciadamente</w:t>
      </w:r>
    </w:p>
    <w:p>
      <w:pPr>
        <w:spacing w:after="0" w:line="261" w:lineRule="auto"/>
        <w:jc w:val="right"/>
        <w:sectPr>
          <w:headerReference w:type="even" r:id="rId147"/>
          <w:headerReference w:type="default" r:id="rId148"/>
          <w:pgSz w:w="7640" w:h="11900"/>
          <w:pgMar w:header="672" w:footer="0" w:top="860" w:bottom="280" w:left="780" w:right="640"/>
          <w:pgNumType w:start="202"/>
        </w:sectPr>
      </w:pPr>
    </w:p>
    <w:p>
      <w:pPr>
        <w:pStyle w:val="BodyText"/>
        <w:spacing w:before="8"/>
        <w:rPr>
          <w:sz w:val="8"/>
        </w:rPr>
      </w:pPr>
    </w:p>
    <w:p>
      <w:pPr>
        <w:pStyle w:val="BodyText"/>
        <w:spacing w:line="261" w:lineRule="auto" w:before="67"/>
        <w:ind w:left="100" w:right="119"/>
        <w:jc w:val="both"/>
      </w:pPr>
      <w:r>
        <w:rPr>
          <w:color w:val="231F20"/>
          <w:w w:val="110"/>
        </w:rPr>
        <w:t>las compras de valores del </w:t>
      </w:r>
      <w:r>
        <w:rPr>
          <w:color w:val="231F20"/>
          <w:spacing w:val="-4"/>
          <w:w w:val="110"/>
        </w:rPr>
        <w:t>Tesoro </w:t>
      </w:r>
      <w:r>
        <w:rPr>
          <w:color w:val="231F20"/>
          <w:w w:val="110"/>
        </w:rPr>
        <w:t>por inversores privados, mientras que</w:t>
      </w:r>
      <w:r>
        <w:rPr>
          <w:color w:val="231F20"/>
          <w:spacing w:val="-17"/>
          <w:w w:val="110"/>
        </w:rPr>
        <w:t> </w:t>
      </w:r>
      <w:r>
        <w:rPr>
          <w:color w:val="231F20"/>
          <w:w w:val="110"/>
        </w:rPr>
        <w:t>los</w:t>
      </w:r>
      <w:r>
        <w:rPr>
          <w:color w:val="231F20"/>
          <w:spacing w:val="-17"/>
          <w:w w:val="110"/>
        </w:rPr>
        <w:t> </w:t>
      </w:r>
      <w:r>
        <w:rPr>
          <w:color w:val="231F20"/>
          <w:w w:val="110"/>
        </w:rPr>
        <w:t>flujos</w:t>
      </w:r>
      <w:r>
        <w:rPr>
          <w:color w:val="231F20"/>
          <w:spacing w:val="-17"/>
          <w:w w:val="110"/>
        </w:rPr>
        <w:t> </w:t>
      </w:r>
      <w:r>
        <w:rPr>
          <w:color w:val="231F20"/>
          <w:w w:val="110"/>
        </w:rPr>
        <w:t>oficiales</w:t>
      </w:r>
      <w:r>
        <w:rPr>
          <w:color w:val="231F20"/>
          <w:spacing w:val="-17"/>
          <w:w w:val="110"/>
        </w:rPr>
        <w:t> </w:t>
      </w:r>
      <w:r>
        <w:rPr>
          <w:color w:val="231F20"/>
          <w:w w:val="110"/>
        </w:rPr>
        <w:t>comienzan</w:t>
      </w:r>
      <w:r>
        <w:rPr>
          <w:color w:val="231F20"/>
          <w:spacing w:val="-17"/>
          <w:w w:val="110"/>
        </w:rPr>
        <w:t> </w:t>
      </w:r>
      <w:r>
        <w:rPr>
          <w:color w:val="231F20"/>
          <w:w w:val="110"/>
        </w:rPr>
        <w:t>a</w:t>
      </w:r>
      <w:r>
        <w:rPr>
          <w:color w:val="231F20"/>
          <w:spacing w:val="-17"/>
          <w:w w:val="110"/>
        </w:rPr>
        <w:t> </w:t>
      </w:r>
      <w:r>
        <w:rPr>
          <w:color w:val="231F20"/>
          <w:w w:val="110"/>
        </w:rPr>
        <w:t>jugar</w:t>
      </w:r>
      <w:r>
        <w:rPr>
          <w:color w:val="231F20"/>
          <w:spacing w:val="-17"/>
          <w:w w:val="110"/>
        </w:rPr>
        <w:t> </w:t>
      </w:r>
      <w:r>
        <w:rPr>
          <w:color w:val="231F20"/>
          <w:w w:val="110"/>
        </w:rPr>
        <w:t>un</w:t>
      </w:r>
      <w:r>
        <w:rPr>
          <w:color w:val="231F20"/>
          <w:spacing w:val="-17"/>
          <w:w w:val="110"/>
        </w:rPr>
        <w:t> </w:t>
      </w:r>
      <w:r>
        <w:rPr>
          <w:color w:val="231F20"/>
          <w:w w:val="110"/>
        </w:rPr>
        <w:t>papel</w:t>
      </w:r>
      <w:r>
        <w:rPr>
          <w:color w:val="231F20"/>
          <w:spacing w:val="-17"/>
          <w:w w:val="110"/>
        </w:rPr>
        <w:t> </w:t>
      </w:r>
      <w:r>
        <w:rPr>
          <w:color w:val="231F20"/>
          <w:w w:val="110"/>
        </w:rPr>
        <w:t>mucho</w:t>
      </w:r>
      <w:r>
        <w:rPr>
          <w:color w:val="231F20"/>
          <w:spacing w:val="-17"/>
          <w:w w:val="110"/>
        </w:rPr>
        <w:t> </w:t>
      </w:r>
      <w:r>
        <w:rPr>
          <w:color w:val="231F20"/>
          <w:w w:val="110"/>
        </w:rPr>
        <w:t>más</w:t>
      </w:r>
      <w:r>
        <w:rPr>
          <w:color w:val="231F20"/>
          <w:spacing w:val="-17"/>
          <w:w w:val="110"/>
        </w:rPr>
        <w:t> </w:t>
      </w:r>
      <w:r>
        <w:rPr>
          <w:color w:val="231F20"/>
          <w:w w:val="110"/>
        </w:rPr>
        <w:t>impor-</w:t>
      </w:r>
      <w:r>
        <w:rPr>
          <w:color w:val="231F20"/>
          <w:w w:val="72"/>
        </w:rPr>
        <w:t> </w:t>
      </w:r>
      <w:r>
        <w:rPr>
          <w:color w:val="231F20"/>
          <w:w w:val="110"/>
        </w:rPr>
        <w:t>tante. Con esto se agrava la situación descrita antes de dependencia de entidades oficiales en el extranjero y la percepción de mayor vulnerabilidad, no sólo económica sino también</w:t>
      </w:r>
      <w:r>
        <w:rPr>
          <w:color w:val="231F20"/>
          <w:spacing w:val="34"/>
          <w:w w:val="110"/>
        </w:rPr>
        <w:t> </w:t>
      </w:r>
      <w:r>
        <w:rPr>
          <w:color w:val="231F20"/>
          <w:w w:val="110"/>
        </w:rPr>
        <w:t>geopolítica.</w:t>
      </w:r>
    </w:p>
    <w:p>
      <w:pPr>
        <w:pStyle w:val="BodyText"/>
        <w:spacing w:line="261" w:lineRule="auto"/>
        <w:ind w:left="100" w:right="117" w:firstLine="240"/>
        <w:jc w:val="right"/>
      </w:pPr>
      <w:r>
        <w:rPr>
          <w:color w:val="231F20"/>
          <w:w w:val="110"/>
        </w:rPr>
        <w:t>Por otra parte, la posibilidad con que cuenta la</w:t>
      </w:r>
      <w:r>
        <w:rPr>
          <w:color w:val="231F20"/>
          <w:spacing w:val="9"/>
          <w:w w:val="110"/>
        </w:rPr>
        <w:t> </w:t>
      </w:r>
      <w:r>
        <w:rPr>
          <w:color w:val="231F20"/>
          <w:w w:val="110"/>
        </w:rPr>
        <w:t>Reserva</w:t>
      </w:r>
      <w:r>
        <w:rPr>
          <w:color w:val="231F20"/>
          <w:spacing w:val="13"/>
          <w:w w:val="110"/>
        </w:rPr>
        <w:t> </w:t>
      </w:r>
      <w:r>
        <w:rPr>
          <w:color w:val="231F20"/>
          <w:w w:val="110"/>
        </w:rPr>
        <w:t>Federal,</w:t>
      </w:r>
      <w:r>
        <w:rPr>
          <w:color w:val="231F20"/>
          <w:w w:val="108"/>
        </w:rPr>
        <w:t> </w:t>
      </w:r>
      <w:r>
        <w:rPr>
          <w:color w:val="231F20"/>
          <w:w w:val="110"/>
        </w:rPr>
        <w:t>de</w:t>
      </w:r>
      <w:r>
        <w:rPr>
          <w:color w:val="231F20"/>
          <w:spacing w:val="29"/>
          <w:w w:val="110"/>
        </w:rPr>
        <w:t> </w:t>
      </w:r>
      <w:r>
        <w:rPr>
          <w:color w:val="231F20"/>
          <w:w w:val="110"/>
        </w:rPr>
        <w:t>emitir</w:t>
      </w:r>
      <w:r>
        <w:rPr>
          <w:color w:val="231F20"/>
          <w:spacing w:val="29"/>
          <w:w w:val="110"/>
        </w:rPr>
        <w:t> </w:t>
      </w:r>
      <w:r>
        <w:rPr>
          <w:color w:val="231F20"/>
          <w:w w:val="110"/>
        </w:rPr>
        <w:t>dólares,</w:t>
      </w:r>
      <w:r>
        <w:rPr>
          <w:color w:val="231F20"/>
          <w:spacing w:val="29"/>
          <w:w w:val="110"/>
        </w:rPr>
        <w:t> </w:t>
      </w:r>
      <w:r>
        <w:rPr>
          <w:color w:val="231F20"/>
          <w:w w:val="110"/>
        </w:rPr>
        <w:t>sin</w:t>
      </w:r>
      <w:r>
        <w:rPr>
          <w:color w:val="231F20"/>
          <w:spacing w:val="29"/>
          <w:w w:val="110"/>
        </w:rPr>
        <w:t> </w:t>
      </w:r>
      <w:r>
        <w:rPr>
          <w:color w:val="231F20"/>
          <w:w w:val="110"/>
        </w:rPr>
        <w:t>tener</w:t>
      </w:r>
      <w:r>
        <w:rPr>
          <w:color w:val="231F20"/>
          <w:spacing w:val="29"/>
          <w:w w:val="110"/>
        </w:rPr>
        <w:t> </w:t>
      </w:r>
      <w:r>
        <w:rPr>
          <w:color w:val="231F20"/>
          <w:w w:val="110"/>
        </w:rPr>
        <w:t>que</w:t>
      </w:r>
      <w:r>
        <w:rPr>
          <w:color w:val="231F20"/>
          <w:spacing w:val="29"/>
          <w:w w:val="110"/>
        </w:rPr>
        <w:t> </w:t>
      </w:r>
      <w:r>
        <w:rPr>
          <w:color w:val="231F20"/>
          <w:w w:val="110"/>
        </w:rPr>
        <w:t>responder</w:t>
      </w:r>
      <w:r>
        <w:rPr>
          <w:color w:val="231F20"/>
          <w:spacing w:val="29"/>
          <w:w w:val="110"/>
        </w:rPr>
        <w:t> </w:t>
      </w:r>
      <w:r>
        <w:rPr>
          <w:color w:val="231F20"/>
          <w:w w:val="110"/>
        </w:rPr>
        <w:t>a</w:t>
      </w:r>
      <w:r>
        <w:rPr>
          <w:color w:val="231F20"/>
          <w:spacing w:val="29"/>
          <w:w w:val="110"/>
        </w:rPr>
        <w:t> </w:t>
      </w:r>
      <w:r>
        <w:rPr>
          <w:color w:val="231F20"/>
          <w:w w:val="110"/>
        </w:rPr>
        <w:t>un</w:t>
      </w:r>
      <w:r>
        <w:rPr>
          <w:color w:val="231F20"/>
          <w:spacing w:val="29"/>
          <w:w w:val="110"/>
        </w:rPr>
        <w:t> </w:t>
      </w:r>
      <w:r>
        <w:rPr>
          <w:color w:val="231F20"/>
          <w:w w:val="110"/>
        </w:rPr>
        <w:t>respaldo</w:t>
      </w:r>
      <w:r>
        <w:rPr>
          <w:color w:val="231F20"/>
          <w:spacing w:val="29"/>
          <w:w w:val="110"/>
        </w:rPr>
        <w:t> </w:t>
      </w:r>
      <w:r>
        <w:rPr>
          <w:color w:val="231F20"/>
          <w:w w:val="110"/>
        </w:rPr>
        <w:t>en</w:t>
      </w:r>
      <w:r>
        <w:rPr>
          <w:color w:val="231F20"/>
          <w:spacing w:val="29"/>
          <w:w w:val="110"/>
        </w:rPr>
        <w:t> </w:t>
      </w:r>
      <w:r>
        <w:rPr>
          <w:color w:val="231F20"/>
          <w:w w:val="110"/>
        </w:rPr>
        <w:t>oro</w:t>
      </w:r>
      <w:r>
        <w:rPr>
          <w:color w:val="231F20"/>
          <w:spacing w:val="29"/>
          <w:w w:val="110"/>
        </w:rPr>
        <w:t> </w:t>
      </w:r>
      <w:r>
        <w:rPr>
          <w:color w:val="231F20"/>
          <w:w w:val="110"/>
        </w:rPr>
        <w:t>u</w:t>
      </w:r>
      <w:r>
        <w:rPr>
          <w:color w:val="231F20"/>
          <w:w w:val="116"/>
        </w:rPr>
        <w:t> </w:t>
      </w:r>
      <w:r>
        <w:rPr>
          <w:color w:val="231F20"/>
          <w:w w:val="110"/>
        </w:rPr>
        <w:t>otro</w:t>
      </w:r>
      <w:r>
        <w:rPr>
          <w:color w:val="231F20"/>
          <w:spacing w:val="-19"/>
          <w:w w:val="110"/>
        </w:rPr>
        <w:t> </w:t>
      </w:r>
      <w:r>
        <w:rPr>
          <w:color w:val="231F20"/>
          <w:w w:val="110"/>
        </w:rPr>
        <w:t>activo</w:t>
      </w:r>
      <w:r>
        <w:rPr>
          <w:color w:val="231F20"/>
          <w:spacing w:val="-19"/>
          <w:w w:val="110"/>
        </w:rPr>
        <w:t> </w:t>
      </w:r>
      <w:r>
        <w:rPr>
          <w:color w:val="231F20"/>
          <w:w w:val="110"/>
        </w:rPr>
        <w:t>de</w:t>
      </w:r>
      <w:r>
        <w:rPr>
          <w:color w:val="231F20"/>
          <w:spacing w:val="-19"/>
          <w:w w:val="110"/>
        </w:rPr>
        <w:t> </w:t>
      </w:r>
      <w:r>
        <w:rPr>
          <w:color w:val="231F20"/>
          <w:w w:val="110"/>
        </w:rPr>
        <w:t>reserva,</w:t>
      </w:r>
      <w:r>
        <w:rPr>
          <w:color w:val="231F20"/>
          <w:spacing w:val="-19"/>
          <w:w w:val="110"/>
        </w:rPr>
        <w:t> </w:t>
      </w:r>
      <w:r>
        <w:rPr>
          <w:color w:val="231F20"/>
          <w:w w:val="110"/>
        </w:rPr>
        <w:t>le</w:t>
      </w:r>
      <w:r>
        <w:rPr>
          <w:color w:val="231F20"/>
          <w:spacing w:val="-19"/>
          <w:w w:val="110"/>
        </w:rPr>
        <w:t> </w:t>
      </w:r>
      <w:r>
        <w:rPr>
          <w:color w:val="231F20"/>
          <w:w w:val="110"/>
        </w:rPr>
        <w:t>ha</w:t>
      </w:r>
      <w:r>
        <w:rPr>
          <w:color w:val="231F20"/>
          <w:spacing w:val="-19"/>
          <w:w w:val="110"/>
        </w:rPr>
        <w:t> </w:t>
      </w:r>
      <w:r>
        <w:rPr>
          <w:color w:val="231F20"/>
          <w:w w:val="110"/>
        </w:rPr>
        <w:t>permitido</w:t>
      </w:r>
      <w:r>
        <w:rPr>
          <w:color w:val="231F20"/>
          <w:spacing w:val="-19"/>
          <w:w w:val="110"/>
        </w:rPr>
        <w:t> </w:t>
      </w:r>
      <w:r>
        <w:rPr>
          <w:color w:val="231F20"/>
          <w:w w:val="110"/>
        </w:rPr>
        <w:t>realizar</w:t>
      </w:r>
      <w:r>
        <w:rPr>
          <w:color w:val="231F20"/>
          <w:spacing w:val="-19"/>
          <w:w w:val="110"/>
        </w:rPr>
        <w:t> </w:t>
      </w:r>
      <w:r>
        <w:rPr>
          <w:color w:val="231F20"/>
          <w:w w:val="110"/>
        </w:rPr>
        <w:t>inyecciones</w:t>
      </w:r>
      <w:r>
        <w:rPr>
          <w:color w:val="231F20"/>
          <w:spacing w:val="-19"/>
          <w:w w:val="110"/>
        </w:rPr>
        <w:t> </w:t>
      </w:r>
      <w:r>
        <w:rPr>
          <w:color w:val="231F20"/>
          <w:w w:val="110"/>
        </w:rPr>
        <w:t>de</w:t>
      </w:r>
      <w:r>
        <w:rPr>
          <w:color w:val="231F20"/>
          <w:spacing w:val="-19"/>
          <w:w w:val="110"/>
        </w:rPr>
        <w:t> </w:t>
      </w:r>
      <w:r>
        <w:rPr>
          <w:color w:val="231F20"/>
          <w:w w:val="110"/>
        </w:rPr>
        <w:t>liquidez</w:t>
      </w:r>
      <w:r>
        <w:rPr>
          <w:color w:val="231F20"/>
          <w:w w:val="108"/>
        </w:rPr>
        <w:t> </w:t>
      </w:r>
      <w:r>
        <w:rPr>
          <w:color w:val="231F20"/>
          <w:w w:val="110"/>
        </w:rPr>
        <w:t>de una magnitud sin precedentes, con el objetivo de</w:t>
      </w:r>
      <w:r>
        <w:rPr>
          <w:color w:val="231F20"/>
          <w:spacing w:val="37"/>
          <w:w w:val="110"/>
        </w:rPr>
        <w:t> </w:t>
      </w:r>
      <w:r>
        <w:rPr>
          <w:color w:val="231F20"/>
          <w:w w:val="110"/>
        </w:rPr>
        <w:t>restablecer</w:t>
      </w:r>
      <w:r>
        <w:rPr>
          <w:color w:val="231F20"/>
          <w:spacing w:val="22"/>
          <w:w w:val="110"/>
        </w:rPr>
        <w:t> </w:t>
      </w:r>
      <w:r>
        <w:rPr>
          <w:color w:val="231F20"/>
          <w:w w:val="110"/>
        </w:rPr>
        <w:t>el</w:t>
      </w:r>
      <w:r>
        <w:rPr>
          <w:color w:val="231F20"/>
          <w:w w:val="108"/>
        </w:rPr>
        <w:t> </w:t>
      </w:r>
      <w:r>
        <w:rPr>
          <w:color w:val="231F20"/>
          <w:w w:val="110"/>
        </w:rPr>
        <w:t>correcto</w:t>
      </w:r>
      <w:r>
        <w:rPr>
          <w:color w:val="231F20"/>
          <w:spacing w:val="-9"/>
          <w:w w:val="110"/>
        </w:rPr>
        <w:t> </w:t>
      </w:r>
      <w:r>
        <w:rPr>
          <w:color w:val="231F20"/>
          <w:w w:val="110"/>
        </w:rPr>
        <w:t>funcionamiento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mercados</w:t>
      </w:r>
      <w:r>
        <w:rPr>
          <w:color w:val="231F20"/>
          <w:spacing w:val="-9"/>
          <w:w w:val="110"/>
        </w:rPr>
        <w:t> </w:t>
      </w:r>
      <w:r>
        <w:rPr>
          <w:color w:val="231F20"/>
          <w:w w:val="110"/>
        </w:rPr>
        <w:t>financieros</w:t>
      </w:r>
      <w:r>
        <w:rPr>
          <w:color w:val="231F20"/>
          <w:spacing w:val="-9"/>
          <w:w w:val="110"/>
        </w:rPr>
        <w:t> </w:t>
      </w:r>
      <w:r>
        <w:rPr>
          <w:color w:val="231F20"/>
          <w:w w:val="110"/>
        </w:rPr>
        <w:t>y</w:t>
      </w:r>
      <w:r>
        <w:rPr>
          <w:color w:val="231F20"/>
          <w:spacing w:val="-9"/>
          <w:w w:val="110"/>
        </w:rPr>
        <w:t> </w:t>
      </w:r>
      <w:r>
        <w:rPr>
          <w:color w:val="231F20"/>
          <w:w w:val="110"/>
        </w:rPr>
        <w:t>con</w:t>
      </w:r>
      <w:r>
        <w:rPr>
          <w:color w:val="231F20"/>
          <w:spacing w:val="-9"/>
          <w:w w:val="110"/>
        </w:rPr>
        <w:t> </w:t>
      </w:r>
      <w:r>
        <w:rPr>
          <w:color w:val="231F20"/>
          <w:w w:val="110"/>
        </w:rPr>
        <w:t>ello,</w:t>
      </w:r>
      <w:r>
        <w:rPr>
          <w:color w:val="231F20"/>
          <w:spacing w:val="-9"/>
          <w:w w:val="110"/>
        </w:rPr>
        <w:t> </w:t>
      </w:r>
      <w:r>
        <w:rPr>
          <w:color w:val="231F20"/>
          <w:w w:val="110"/>
        </w:rPr>
        <w:t>esti-</w:t>
      </w:r>
      <w:r>
        <w:rPr>
          <w:color w:val="231F20"/>
          <w:w w:val="72"/>
        </w:rPr>
        <w:t> </w:t>
      </w:r>
      <w:r>
        <w:rPr>
          <w:color w:val="231F20"/>
          <w:w w:val="110"/>
        </w:rPr>
        <w:t>mular la economía. Asimismo, en términos fiscales, se</w:t>
      </w:r>
      <w:r>
        <w:rPr>
          <w:color w:val="231F20"/>
          <w:spacing w:val="-39"/>
          <w:w w:val="110"/>
        </w:rPr>
        <w:t> </w:t>
      </w:r>
      <w:r>
        <w:rPr>
          <w:color w:val="231F20"/>
          <w:w w:val="110"/>
        </w:rPr>
        <w:t>han</w:t>
      </w:r>
      <w:r>
        <w:rPr>
          <w:color w:val="231F20"/>
          <w:spacing w:val="-5"/>
          <w:w w:val="110"/>
        </w:rPr>
        <w:t> </w:t>
      </w:r>
      <w:r>
        <w:rPr>
          <w:color w:val="231F20"/>
          <w:w w:val="110"/>
        </w:rPr>
        <w:t>realizado</w:t>
      </w:r>
      <w:r>
        <w:rPr>
          <w:color w:val="231F20"/>
          <w:w w:val="108"/>
        </w:rPr>
        <w:t> </w:t>
      </w:r>
      <w:r>
        <w:rPr>
          <w:color w:val="231F20"/>
          <w:w w:val="110"/>
        </w:rPr>
        <w:t>gastos considerables, primero con la Ley de</w:t>
      </w:r>
      <w:r>
        <w:rPr>
          <w:color w:val="231F20"/>
          <w:spacing w:val="47"/>
          <w:w w:val="110"/>
        </w:rPr>
        <w:t> </w:t>
      </w:r>
      <w:r>
        <w:rPr>
          <w:color w:val="231F20"/>
          <w:w w:val="110"/>
        </w:rPr>
        <w:t>Estímulo</w:t>
      </w:r>
      <w:r>
        <w:rPr>
          <w:color w:val="231F20"/>
          <w:spacing w:val="22"/>
          <w:w w:val="110"/>
        </w:rPr>
        <w:t> </w:t>
      </w:r>
      <w:r>
        <w:rPr>
          <w:color w:val="231F20"/>
          <w:w w:val="110"/>
        </w:rPr>
        <w:t>Económico,</w:t>
      </w:r>
      <w:r>
        <w:rPr>
          <w:color w:val="231F20"/>
          <w:w w:val="108"/>
        </w:rPr>
        <w:t> </w:t>
      </w:r>
      <w:r>
        <w:rPr>
          <w:color w:val="231F20"/>
          <w:w w:val="110"/>
        </w:rPr>
        <w:t>promovida por el gobierno de Bush en 2008 </w:t>
      </w:r>
      <w:r>
        <w:rPr>
          <w:color w:val="231F20"/>
          <w:spacing w:val="-8"/>
          <w:w w:val="110"/>
        </w:rPr>
        <w:t>y, </w:t>
      </w:r>
      <w:r>
        <w:rPr>
          <w:color w:val="231F20"/>
          <w:w w:val="110"/>
        </w:rPr>
        <w:t>en 2009, con</w:t>
      </w:r>
      <w:r>
        <w:rPr>
          <w:color w:val="231F20"/>
          <w:spacing w:val="35"/>
          <w:w w:val="110"/>
        </w:rPr>
        <w:t> </w:t>
      </w:r>
      <w:r>
        <w:rPr>
          <w:color w:val="231F20"/>
          <w:w w:val="110"/>
        </w:rPr>
        <w:t>el</w:t>
      </w:r>
      <w:r>
        <w:rPr>
          <w:color w:val="231F20"/>
          <w:spacing w:val="6"/>
          <w:w w:val="110"/>
        </w:rPr>
        <w:t> </w:t>
      </w:r>
      <w:r>
        <w:rPr>
          <w:color w:val="231F20"/>
          <w:w w:val="110"/>
        </w:rPr>
        <w:t>pro-</w:t>
      </w:r>
      <w:r>
        <w:rPr>
          <w:color w:val="231F20"/>
          <w:w w:val="72"/>
        </w:rPr>
        <w:t> </w:t>
      </w:r>
      <w:r>
        <w:rPr>
          <w:color w:val="231F20"/>
          <w:w w:val="110"/>
        </w:rPr>
        <w:t>grama aprobado para rescatar activos tóxicos (Troubled</w:t>
      </w:r>
      <w:r>
        <w:rPr>
          <w:color w:val="231F20"/>
          <w:spacing w:val="-33"/>
          <w:w w:val="110"/>
        </w:rPr>
        <w:t> </w:t>
      </w:r>
      <w:r>
        <w:rPr>
          <w:color w:val="231F20"/>
          <w:w w:val="110"/>
        </w:rPr>
        <w:t>Asset</w:t>
      </w:r>
      <w:r>
        <w:rPr>
          <w:color w:val="231F20"/>
          <w:spacing w:val="-5"/>
          <w:w w:val="110"/>
        </w:rPr>
        <w:t> </w:t>
      </w:r>
      <w:r>
        <w:rPr>
          <w:color w:val="231F20"/>
          <w:w w:val="110"/>
        </w:rPr>
        <w:t>Relief</w:t>
      </w:r>
      <w:r>
        <w:rPr>
          <w:color w:val="231F20"/>
          <w:w w:val="103"/>
        </w:rPr>
        <w:t> </w:t>
      </w:r>
      <w:r>
        <w:rPr>
          <w:color w:val="231F20"/>
          <w:w w:val="110"/>
        </w:rPr>
        <w:t>Program) y el plan de recuperación implementado por</w:t>
      </w:r>
      <w:r>
        <w:rPr>
          <w:color w:val="231F20"/>
          <w:spacing w:val="-27"/>
          <w:w w:val="110"/>
        </w:rPr>
        <w:t> </w:t>
      </w:r>
      <w:r>
        <w:rPr>
          <w:color w:val="231F20"/>
          <w:w w:val="110"/>
        </w:rPr>
        <w:t>la</w:t>
      </w:r>
      <w:r>
        <w:rPr>
          <w:color w:val="231F20"/>
          <w:spacing w:val="-4"/>
          <w:w w:val="110"/>
        </w:rPr>
        <w:t> </w:t>
      </w:r>
      <w:r>
        <w:rPr>
          <w:color w:val="231F20"/>
          <w:w w:val="110"/>
        </w:rPr>
        <w:t>administra-</w:t>
      </w:r>
      <w:r>
        <w:rPr>
          <w:color w:val="231F20"/>
          <w:w w:val="72"/>
        </w:rPr>
        <w:t> </w:t>
      </w:r>
      <w:r>
        <w:rPr>
          <w:color w:val="231F20"/>
          <w:w w:val="110"/>
        </w:rPr>
        <w:t>ción</w:t>
      </w:r>
      <w:r>
        <w:rPr>
          <w:color w:val="231F20"/>
          <w:spacing w:val="-15"/>
          <w:w w:val="110"/>
        </w:rPr>
        <w:t> </w:t>
      </w:r>
      <w:r>
        <w:rPr>
          <w:color w:val="231F20"/>
          <w:w w:val="110"/>
        </w:rPr>
        <w:t>de</w:t>
      </w:r>
      <w:r>
        <w:rPr>
          <w:color w:val="231F20"/>
          <w:spacing w:val="-15"/>
          <w:w w:val="110"/>
        </w:rPr>
        <w:t> </w:t>
      </w:r>
      <w:r>
        <w:rPr>
          <w:color w:val="231F20"/>
          <w:w w:val="110"/>
        </w:rPr>
        <w:t>Barack</w:t>
      </w:r>
      <w:r>
        <w:rPr>
          <w:color w:val="231F20"/>
          <w:spacing w:val="-15"/>
          <w:w w:val="110"/>
        </w:rPr>
        <w:t> </w:t>
      </w:r>
      <w:r>
        <w:rPr>
          <w:color w:val="231F20"/>
          <w:w w:val="110"/>
        </w:rPr>
        <w:t>Obama</w:t>
      </w:r>
      <w:r>
        <w:rPr>
          <w:color w:val="231F20"/>
          <w:spacing w:val="-15"/>
          <w:w w:val="110"/>
        </w:rPr>
        <w:t> </w:t>
      </w:r>
      <w:r>
        <w:rPr>
          <w:color w:val="231F20"/>
          <w:w w:val="110"/>
        </w:rPr>
        <w:t>(American</w:t>
      </w:r>
      <w:r>
        <w:rPr>
          <w:color w:val="231F20"/>
          <w:spacing w:val="-15"/>
          <w:w w:val="110"/>
        </w:rPr>
        <w:t> </w:t>
      </w:r>
      <w:r>
        <w:rPr>
          <w:color w:val="231F20"/>
          <w:w w:val="110"/>
        </w:rPr>
        <w:t>Recovery</w:t>
      </w:r>
      <w:r>
        <w:rPr>
          <w:color w:val="231F20"/>
          <w:spacing w:val="-15"/>
          <w:w w:val="110"/>
        </w:rPr>
        <w:t> </w:t>
      </w:r>
      <w:r>
        <w:rPr>
          <w:color w:val="231F20"/>
          <w:w w:val="110"/>
        </w:rPr>
        <w:t>and</w:t>
      </w:r>
      <w:r>
        <w:rPr>
          <w:color w:val="231F20"/>
          <w:spacing w:val="-15"/>
          <w:w w:val="110"/>
        </w:rPr>
        <w:t> </w:t>
      </w:r>
      <w:r>
        <w:rPr>
          <w:color w:val="231F20"/>
          <w:w w:val="110"/>
        </w:rPr>
        <w:t>Reinvestment</w:t>
      </w:r>
      <w:r>
        <w:rPr>
          <w:color w:val="231F20"/>
          <w:spacing w:val="-15"/>
          <w:w w:val="110"/>
        </w:rPr>
        <w:t> </w:t>
      </w:r>
      <w:r>
        <w:rPr>
          <w:color w:val="231F20"/>
          <w:w w:val="110"/>
        </w:rPr>
        <w:t>Act).</w:t>
      </w:r>
      <w:r>
        <w:rPr>
          <w:color w:val="231F20"/>
          <w:w w:val="110"/>
          <w:position w:val="6"/>
          <w:sz w:val="13"/>
        </w:rPr>
        <w:t>8</w:t>
      </w:r>
      <w:r>
        <w:rPr>
          <w:color w:val="231F20"/>
          <w:w w:val="104"/>
          <w:position w:val="6"/>
          <w:sz w:val="13"/>
        </w:rPr>
        <w:t> </w:t>
      </w:r>
      <w:r>
        <w:rPr>
          <w:color w:val="231F20"/>
          <w:w w:val="110"/>
        </w:rPr>
        <w:t>Estos programas, unidos a los menores ingresos</w:t>
      </w:r>
      <w:r>
        <w:rPr>
          <w:color w:val="231F20"/>
          <w:spacing w:val="27"/>
          <w:w w:val="110"/>
        </w:rPr>
        <w:t> </w:t>
      </w:r>
      <w:r>
        <w:rPr>
          <w:color w:val="231F20"/>
          <w:w w:val="110"/>
        </w:rPr>
        <w:t>impositivos</w:t>
      </w:r>
      <w:r>
        <w:rPr>
          <w:color w:val="231F20"/>
          <w:spacing w:val="19"/>
          <w:w w:val="110"/>
        </w:rPr>
        <w:t> </w:t>
      </w:r>
      <w:r>
        <w:rPr>
          <w:color w:val="231F20"/>
          <w:w w:val="110"/>
        </w:rPr>
        <w:t>re-</w:t>
      </w:r>
      <w:r>
        <w:rPr>
          <w:color w:val="231F20"/>
          <w:w w:val="72"/>
        </w:rPr>
        <w:t> </w:t>
      </w:r>
      <w:r>
        <w:rPr>
          <w:color w:val="231F20"/>
          <w:w w:val="110"/>
        </w:rPr>
        <w:t>sultantes de la debilidad económica, provocaron, según</w:t>
      </w:r>
      <w:r>
        <w:rPr>
          <w:color w:val="231F20"/>
          <w:spacing w:val="23"/>
          <w:w w:val="110"/>
        </w:rPr>
        <w:t> </w:t>
      </w:r>
      <w:r>
        <w:rPr>
          <w:color w:val="231F20"/>
          <w:w w:val="110"/>
        </w:rPr>
        <w:t>datos</w:t>
      </w:r>
      <w:r>
        <w:rPr>
          <w:color w:val="231F20"/>
          <w:spacing w:val="34"/>
          <w:w w:val="110"/>
        </w:rPr>
        <w:t> </w:t>
      </w:r>
      <w:r>
        <w:rPr>
          <w:color w:val="231F20"/>
          <w:w w:val="110"/>
        </w:rPr>
        <w:t>del</w:t>
      </w:r>
      <w:r>
        <w:rPr>
          <w:color w:val="231F20"/>
          <w:w w:val="111"/>
        </w:rPr>
        <w:t> </w:t>
      </w:r>
      <w:r>
        <w:rPr>
          <w:color w:val="231F20"/>
          <w:spacing w:val="-3"/>
          <w:w w:val="110"/>
        </w:rPr>
        <w:t>Tesoro,</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año</w:t>
      </w:r>
      <w:r>
        <w:rPr>
          <w:color w:val="231F20"/>
          <w:spacing w:val="-8"/>
          <w:w w:val="110"/>
        </w:rPr>
        <w:t> </w:t>
      </w:r>
      <w:r>
        <w:rPr>
          <w:color w:val="231F20"/>
          <w:w w:val="110"/>
        </w:rPr>
        <w:t>fiscal</w:t>
      </w:r>
      <w:r>
        <w:rPr>
          <w:color w:val="231F20"/>
          <w:spacing w:val="-8"/>
          <w:w w:val="110"/>
        </w:rPr>
        <w:t> </w:t>
      </w:r>
      <w:r>
        <w:rPr>
          <w:color w:val="231F20"/>
          <w:w w:val="110"/>
        </w:rPr>
        <w:t>2009</w:t>
      </w:r>
      <w:r>
        <w:rPr>
          <w:color w:val="231F20"/>
          <w:spacing w:val="-8"/>
          <w:w w:val="110"/>
        </w:rPr>
        <w:t> </w:t>
      </w:r>
      <w:r>
        <w:rPr>
          <w:color w:val="231F20"/>
          <w:w w:val="110"/>
        </w:rPr>
        <w:t>finalizara</w:t>
      </w:r>
      <w:r>
        <w:rPr>
          <w:color w:val="231F20"/>
          <w:spacing w:val="-8"/>
          <w:w w:val="110"/>
        </w:rPr>
        <w:t> </w:t>
      </w:r>
      <w:r>
        <w:rPr>
          <w:color w:val="231F20"/>
          <w:w w:val="110"/>
        </w:rPr>
        <w:t>con</w:t>
      </w:r>
      <w:r>
        <w:rPr>
          <w:color w:val="231F20"/>
          <w:spacing w:val="-8"/>
          <w:w w:val="110"/>
        </w:rPr>
        <w:t> </w:t>
      </w:r>
      <w:r>
        <w:rPr>
          <w:color w:val="231F20"/>
          <w:w w:val="110"/>
        </w:rPr>
        <w:t>un</w:t>
      </w:r>
      <w:r>
        <w:rPr>
          <w:color w:val="231F20"/>
          <w:spacing w:val="-8"/>
          <w:w w:val="110"/>
        </w:rPr>
        <w:t> </w:t>
      </w:r>
      <w:r>
        <w:rPr>
          <w:color w:val="231F20"/>
          <w:w w:val="110"/>
        </w:rPr>
        <w:t>saldo</w:t>
      </w:r>
      <w:r>
        <w:rPr>
          <w:color w:val="231F20"/>
          <w:spacing w:val="-8"/>
          <w:w w:val="110"/>
        </w:rPr>
        <w:t> </w:t>
      </w:r>
      <w:r>
        <w:rPr>
          <w:color w:val="231F20"/>
          <w:w w:val="110"/>
        </w:rPr>
        <w:t>negativo</w:t>
      </w:r>
      <w:r>
        <w:rPr>
          <w:color w:val="231F20"/>
          <w:spacing w:val="-8"/>
          <w:w w:val="110"/>
        </w:rPr>
        <w:t> </w:t>
      </w:r>
      <w:r>
        <w:rPr>
          <w:color w:val="231F20"/>
          <w:w w:val="110"/>
        </w:rPr>
        <w:t>de</w:t>
      </w:r>
      <w:r>
        <w:rPr>
          <w:color w:val="231F20"/>
          <w:spacing w:val="-8"/>
          <w:w w:val="110"/>
        </w:rPr>
        <w:t> </w:t>
      </w:r>
      <w:r>
        <w:rPr>
          <w:color w:val="231F20"/>
          <w:w w:val="110"/>
        </w:rPr>
        <w:t>1.4</w:t>
      </w:r>
      <w:r>
        <w:rPr>
          <w:color w:val="231F20"/>
          <w:w w:val="104"/>
        </w:rPr>
        <w:t> </w:t>
      </w:r>
      <w:r>
        <w:rPr>
          <w:color w:val="231F20"/>
          <w:w w:val="110"/>
        </w:rPr>
        <w:t>billones</w:t>
      </w:r>
      <w:r>
        <w:rPr>
          <w:color w:val="231F20"/>
          <w:spacing w:val="-13"/>
          <w:w w:val="110"/>
        </w:rPr>
        <w:t> </w:t>
      </w:r>
      <w:r>
        <w:rPr>
          <w:color w:val="231F20"/>
          <w:w w:val="110"/>
        </w:rPr>
        <w:t>de</w:t>
      </w:r>
      <w:r>
        <w:rPr>
          <w:color w:val="231F20"/>
          <w:spacing w:val="-13"/>
          <w:w w:val="110"/>
        </w:rPr>
        <w:t> </w:t>
      </w:r>
      <w:r>
        <w:rPr>
          <w:color w:val="231F20"/>
          <w:w w:val="110"/>
        </w:rPr>
        <w:t>dólares,</w:t>
      </w:r>
      <w:r>
        <w:rPr>
          <w:color w:val="231F20"/>
          <w:spacing w:val="-13"/>
          <w:w w:val="110"/>
        </w:rPr>
        <w:t> </w:t>
      </w:r>
      <w:r>
        <w:rPr>
          <w:color w:val="231F20"/>
          <w:w w:val="110"/>
        </w:rPr>
        <w:t>equivalentes</w:t>
      </w:r>
      <w:r>
        <w:rPr>
          <w:color w:val="231F20"/>
          <w:spacing w:val="-13"/>
          <w:w w:val="110"/>
        </w:rPr>
        <w:t> </w:t>
      </w:r>
      <w:r>
        <w:rPr>
          <w:color w:val="231F20"/>
          <w:w w:val="110"/>
        </w:rPr>
        <w:t>a</w:t>
      </w:r>
      <w:r>
        <w:rPr>
          <w:color w:val="231F20"/>
          <w:spacing w:val="-13"/>
          <w:w w:val="110"/>
        </w:rPr>
        <w:t> </w:t>
      </w:r>
      <w:r>
        <w:rPr>
          <w:color w:val="231F20"/>
          <w:w w:val="110"/>
        </w:rPr>
        <w:t>cerca</w:t>
      </w:r>
      <w:r>
        <w:rPr>
          <w:color w:val="231F20"/>
          <w:spacing w:val="-13"/>
          <w:w w:val="110"/>
        </w:rPr>
        <w:t> </w:t>
      </w:r>
      <w:r>
        <w:rPr>
          <w:color w:val="231F20"/>
          <w:w w:val="110"/>
        </w:rPr>
        <w:t>de</w:t>
      </w:r>
      <w:r>
        <w:rPr>
          <w:color w:val="231F20"/>
          <w:spacing w:val="-13"/>
          <w:w w:val="110"/>
        </w:rPr>
        <w:t> </w:t>
      </w:r>
      <w:r>
        <w:rPr>
          <w:color w:val="231F20"/>
          <w:w w:val="110"/>
        </w:rPr>
        <w:t>13%</w:t>
      </w:r>
      <w:r>
        <w:rPr>
          <w:color w:val="231F20"/>
          <w:spacing w:val="-13"/>
          <w:w w:val="110"/>
        </w:rPr>
        <w:t> </w:t>
      </w:r>
      <w:r>
        <w:rPr>
          <w:color w:val="231F20"/>
          <w:w w:val="110"/>
        </w:rPr>
        <w:t>del</w:t>
      </w:r>
      <w:r>
        <w:rPr>
          <w:color w:val="231F20"/>
          <w:spacing w:val="-14"/>
          <w:w w:val="110"/>
        </w:rPr>
        <w:t> </w:t>
      </w:r>
      <w:r>
        <w:rPr>
          <w:color w:val="231F20"/>
          <w:w w:val="110"/>
        </w:rPr>
        <w:t>pib.</w:t>
      </w:r>
      <w:r>
        <w:rPr>
          <w:color w:val="231F20"/>
          <w:spacing w:val="-13"/>
          <w:w w:val="110"/>
        </w:rPr>
        <w:t> </w:t>
      </w:r>
      <w:r>
        <w:rPr>
          <w:color w:val="231F20"/>
          <w:w w:val="110"/>
        </w:rPr>
        <w:t>Las</w:t>
      </w:r>
      <w:r>
        <w:rPr>
          <w:color w:val="231F20"/>
          <w:spacing w:val="-13"/>
          <w:w w:val="110"/>
        </w:rPr>
        <w:t> </w:t>
      </w:r>
      <w:r>
        <w:rPr>
          <w:color w:val="231F20"/>
          <w:w w:val="110"/>
        </w:rPr>
        <w:t>perspec-</w:t>
      </w:r>
      <w:r>
        <w:rPr>
          <w:color w:val="231F20"/>
          <w:w w:val="72"/>
        </w:rPr>
        <w:t> </w:t>
      </w:r>
      <w:r>
        <w:rPr>
          <w:color w:val="231F20"/>
          <w:w w:val="110"/>
        </w:rPr>
        <w:t>tivas de largo plazo en este sentido no son tampoco</w:t>
      </w:r>
      <w:r>
        <w:rPr>
          <w:color w:val="231F20"/>
          <w:spacing w:val="38"/>
          <w:w w:val="110"/>
        </w:rPr>
        <w:t> </w:t>
      </w:r>
      <w:r>
        <w:rPr>
          <w:color w:val="231F20"/>
          <w:w w:val="110"/>
        </w:rPr>
        <w:t>halagüeñas.</w:t>
      </w:r>
      <w:r>
        <w:rPr>
          <w:color w:val="231F20"/>
          <w:spacing w:val="9"/>
          <w:w w:val="110"/>
        </w:rPr>
        <w:t> </w:t>
      </w:r>
      <w:r>
        <w:rPr>
          <w:color w:val="231F20"/>
          <w:w w:val="110"/>
        </w:rPr>
        <w:t>La</w:t>
      </w:r>
      <w:r>
        <w:rPr>
          <w:color w:val="231F20"/>
          <w:w w:val="104"/>
        </w:rPr>
        <w:t> </w:t>
      </w:r>
      <w:r>
        <w:rPr>
          <w:color w:val="231F20"/>
          <w:w w:val="110"/>
        </w:rPr>
        <w:t>Oficina del Presupuesto del Congreso, ha estimado que</w:t>
      </w:r>
      <w:r>
        <w:rPr>
          <w:color w:val="231F20"/>
          <w:spacing w:val="14"/>
          <w:w w:val="110"/>
        </w:rPr>
        <w:t> </w:t>
      </w:r>
      <w:r>
        <w:rPr>
          <w:color w:val="231F20"/>
          <w:w w:val="110"/>
        </w:rPr>
        <w:t>de</w:t>
      </w:r>
      <w:r>
        <w:rPr>
          <w:color w:val="231F20"/>
          <w:spacing w:val="22"/>
          <w:w w:val="110"/>
        </w:rPr>
        <w:t> </w:t>
      </w:r>
      <w:r>
        <w:rPr>
          <w:color w:val="231F20"/>
          <w:w w:val="110"/>
        </w:rPr>
        <w:t>mante-</w:t>
      </w:r>
      <w:r>
        <w:rPr>
          <w:color w:val="231F20"/>
          <w:w w:val="72"/>
        </w:rPr>
        <w:t> </w:t>
      </w:r>
      <w:r>
        <w:rPr>
          <w:color w:val="231F20"/>
          <w:w w:val="110"/>
        </w:rPr>
        <w:t>nerse las tendencias actuales, el déficit fiscal registraría 10%</w:t>
      </w:r>
      <w:r>
        <w:rPr>
          <w:color w:val="231F20"/>
          <w:spacing w:val="-1"/>
          <w:w w:val="110"/>
        </w:rPr>
        <w:t> </w:t>
      </w:r>
      <w:r>
        <w:rPr>
          <w:color w:val="231F20"/>
          <w:w w:val="110"/>
        </w:rPr>
        <w:t>del pib</w:t>
      </w:r>
      <w:r>
        <w:rPr>
          <w:color w:val="231F20"/>
          <w:w w:val="108"/>
        </w:rPr>
        <w:t> </w:t>
      </w:r>
      <w:r>
        <w:rPr>
          <w:color w:val="231F20"/>
          <w:w w:val="110"/>
        </w:rPr>
        <w:t>en</w:t>
      </w:r>
      <w:r>
        <w:rPr>
          <w:color w:val="231F20"/>
          <w:spacing w:val="19"/>
          <w:w w:val="110"/>
        </w:rPr>
        <w:t> </w:t>
      </w:r>
      <w:r>
        <w:rPr>
          <w:color w:val="231F20"/>
          <w:w w:val="110"/>
        </w:rPr>
        <w:t>2030,</w:t>
      </w:r>
      <w:r>
        <w:rPr>
          <w:color w:val="231F20"/>
          <w:spacing w:val="19"/>
          <w:w w:val="110"/>
        </w:rPr>
        <w:t> </w:t>
      </w:r>
      <w:r>
        <w:rPr>
          <w:color w:val="231F20"/>
          <w:w w:val="110"/>
        </w:rPr>
        <w:t>con</w:t>
      </w:r>
      <w:r>
        <w:rPr>
          <w:color w:val="231F20"/>
          <w:spacing w:val="19"/>
          <w:w w:val="110"/>
        </w:rPr>
        <w:t> </w:t>
      </w:r>
      <w:r>
        <w:rPr>
          <w:color w:val="231F20"/>
          <w:w w:val="110"/>
        </w:rPr>
        <w:t>lo</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déficit</w:t>
      </w:r>
      <w:r>
        <w:rPr>
          <w:color w:val="231F20"/>
          <w:spacing w:val="19"/>
          <w:w w:val="110"/>
        </w:rPr>
        <w:t> </w:t>
      </w:r>
      <w:r>
        <w:rPr>
          <w:color w:val="231F20"/>
          <w:w w:val="110"/>
        </w:rPr>
        <w:t>de</w:t>
      </w:r>
      <w:r>
        <w:rPr>
          <w:color w:val="231F20"/>
          <w:spacing w:val="19"/>
          <w:w w:val="110"/>
        </w:rPr>
        <w:t> </w:t>
      </w:r>
      <w:r>
        <w:rPr>
          <w:color w:val="231F20"/>
          <w:w w:val="110"/>
        </w:rPr>
        <w:t>cuenta</w:t>
      </w:r>
      <w:r>
        <w:rPr>
          <w:color w:val="231F20"/>
          <w:spacing w:val="19"/>
          <w:w w:val="110"/>
        </w:rPr>
        <w:t> </w:t>
      </w:r>
      <w:r>
        <w:rPr>
          <w:color w:val="231F20"/>
          <w:w w:val="110"/>
        </w:rPr>
        <w:t>corriente</w:t>
      </w:r>
      <w:r>
        <w:rPr>
          <w:color w:val="231F20"/>
          <w:spacing w:val="19"/>
          <w:w w:val="110"/>
        </w:rPr>
        <w:t> </w:t>
      </w:r>
      <w:r>
        <w:rPr>
          <w:color w:val="231F20"/>
          <w:w w:val="110"/>
        </w:rPr>
        <w:t>registraría</w:t>
      </w:r>
      <w:r>
        <w:rPr>
          <w:color w:val="231F20"/>
          <w:spacing w:val="19"/>
          <w:w w:val="110"/>
        </w:rPr>
        <w:t> </w:t>
      </w:r>
      <w:r>
        <w:rPr>
          <w:color w:val="231F20"/>
          <w:w w:val="110"/>
        </w:rPr>
        <w:t>cifras</w:t>
      </w:r>
      <w:r>
        <w:rPr>
          <w:color w:val="231F20"/>
          <w:w w:val="103"/>
        </w:rPr>
        <w:t> </w:t>
      </w:r>
      <w:r>
        <w:rPr>
          <w:color w:val="231F20"/>
          <w:w w:val="110"/>
        </w:rPr>
        <w:t>equivalentes a 25% del pib, mientras que la deuda con</w:t>
      </w:r>
      <w:r>
        <w:rPr>
          <w:color w:val="231F20"/>
          <w:spacing w:val="50"/>
          <w:w w:val="110"/>
        </w:rPr>
        <w:t> </w:t>
      </w:r>
      <w:r>
        <w:rPr>
          <w:color w:val="231F20"/>
          <w:w w:val="110"/>
        </w:rPr>
        <w:t>el</w:t>
      </w:r>
      <w:r>
        <w:rPr>
          <w:color w:val="231F20"/>
          <w:spacing w:val="5"/>
          <w:w w:val="110"/>
        </w:rPr>
        <w:t> </w:t>
      </w:r>
      <w:r>
        <w:rPr>
          <w:color w:val="231F20"/>
          <w:w w:val="110"/>
        </w:rPr>
        <w:t>extranjero</w:t>
      </w:r>
      <w:r>
        <w:rPr>
          <w:color w:val="231F20"/>
          <w:w w:val="112"/>
        </w:rPr>
        <w:t> </w:t>
      </w:r>
      <w:r>
        <w:rPr>
          <w:color w:val="231F20"/>
          <w:w w:val="110"/>
        </w:rPr>
        <w:t>alcanzaría registros de 140 a 175% del pib (Bergsten,</w:t>
      </w:r>
      <w:r>
        <w:rPr>
          <w:color w:val="231F20"/>
          <w:spacing w:val="17"/>
          <w:w w:val="110"/>
        </w:rPr>
        <w:t> </w:t>
      </w:r>
      <w:r>
        <w:rPr>
          <w:color w:val="231F20"/>
          <w:w w:val="110"/>
        </w:rPr>
        <w:t>2009).</w:t>
      </w:r>
      <w:r>
        <w:rPr>
          <w:color w:val="231F20"/>
          <w:spacing w:val="1"/>
          <w:w w:val="110"/>
        </w:rPr>
        <w:t> </w:t>
      </w:r>
      <w:r>
        <w:rPr>
          <w:color w:val="231F20"/>
          <w:w w:val="110"/>
        </w:rPr>
        <w:t>Habría</w:t>
      </w:r>
      <w:r>
        <w:rPr>
          <w:color w:val="231F20"/>
          <w:w w:val="111"/>
        </w:rPr>
        <w:t> </w:t>
      </w:r>
      <w:r>
        <w:rPr>
          <w:color w:val="231F20"/>
          <w:w w:val="110"/>
        </w:rPr>
        <w:t>que agregar que el cúmulo de compromisos y fuerzas</w:t>
      </w:r>
      <w:r>
        <w:rPr>
          <w:color w:val="231F20"/>
          <w:spacing w:val="41"/>
          <w:w w:val="110"/>
        </w:rPr>
        <w:t> </w:t>
      </w:r>
      <w:r>
        <w:rPr>
          <w:color w:val="231F20"/>
          <w:w w:val="110"/>
        </w:rPr>
        <w:t>militares</w:t>
      </w:r>
      <w:r>
        <w:rPr>
          <w:color w:val="231F20"/>
          <w:spacing w:val="10"/>
          <w:w w:val="110"/>
        </w:rPr>
        <w:t> </w:t>
      </w:r>
      <w:r>
        <w:rPr>
          <w:color w:val="231F20"/>
          <w:w w:val="110"/>
        </w:rPr>
        <w:t>que</w:t>
      </w:r>
      <w:r>
        <w:rPr>
          <w:color w:val="231F20"/>
          <w:w w:val="113"/>
        </w:rPr>
        <w:t> </w:t>
      </w:r>
      <w:r>
        <w:rPr>
          <w:color w:val="231F20"/>
          <w:w w:val="110"/>
        </w:rPr>
        <w:t>mantiene</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exterior</w:t>
      </w:r>
      <w:r>
        <w:rPr>
          <w:color w:val="231F20"/>
          <w:spacing w:val="-6"/>
          <w:w w:val="110"/>
        </w:rPr>
        <w:t> </w:t>
      </w:r>
      <w:r>
        <w:rPr>
          <w:color w:val="231F20"/>
          <w:w w:val="110"/>
        </w:rPr>
        <w:t>como</w:t>
      </w:r>
      <w:r>
        <w:rPr>
          <w:color w:val="231F20"/>
          <w:spacing w:val="-6"/>
          <w:w w:val="110"/>
        </w:rPr>
        <w:t> </w:t>
      </w:r>
      <w:r>
        <w:rPr>
          <w:color w:val="231F20"/>
          <w:w w:val="110"/>
        </w:rPr>
        <w:t>soporte</w:t>
      </w:r>
      <w:r>
        <w:rPr>
          <w:color w:val="231F20"/>
          <w:spacing w:val="-6"/>
          <w:w w:val="110"/>
        </w:rPr>
        <w:t> </w:t>
      </w:r>
      <w:r>
        <w:rPr>
          <w:color w:val="231F20"/>
          <w:w w:val="110"/>
        </w:rPr>
        <w:t>principal</w:t>
      </w:r>
      <w:r>
        <w:rPr>
          <w:color w:val="231F20"/>
          <w:spacing w:val="-6"/>
          <w:w w:val="110"/>
        </w:rPr>
        <w:t> </w:t>
      </w:r>
      <w:r>
        <w:rPr>
          <w:color w:val="231F20"/>
          <w:w w:val="110"/>
        </w:rPr>
        <w:t>de</w:t>
      </w:r>
      <w:r>
        <w:rPr>
          <w:color w:val="231F20"/>
          <w:spacing w:val="-6"/>
          <w:w w:val="110"/>
        </w:rPr>
        <w:t> </w:t>
      </w:r>
      <w:r>
        <w:rPr>
          <w:color w:val="231F20"/>
          <w:w w:val="110"/>
        </w:rPr>
        <w:t>su</w:t>
      </w:r>
      <w:r>
        <w:rPr>
          <w:color w:val="231F20"/>
          <w:w w:val="105"/>
        </w:rPr>
        <w:t> </w:t>
      </w:r>
      <w:r>
        <w:rPr>
          <w:color w:val="231F20"/>
          <w:w w:val="110"/>
        </w:rPr>
        <w:t>dominio, requieren multimillonarios gastos anuales, que  </w:t>
      </w:r>
      <w:r>
        <w:rPr>
          <w:color w:val="231F20"/>
          <w:spacing w:val="20"/>
          <w:w w:val="110"/>
        </w:rPr>
        <w:t> </w:t>
      </w:r>
      <w:r>
        <w:rPr>
          <w:color w:val="231F20"/>
          <w:w w:val="110"/>
        </w:rPr>
        <w:t>empeoran</w:t>
      </w:r>
    </w:p>
    <w:p>
      <w:pPr>
        <w:pStyle w:val="BodyText"/>
        <w:ind w:left="100"/>
        <w:jc w:val="both"/>
      </w:pPr>
      <w:r>
        <w:rPr>
          <w:color w:val="231F20"/>
          <w:w w:val="110"/>
        </w:rPr>
        <w:t>las restricciones presupuestarias del gobierno.</w:t>
      </w:r>
    </w:p>
    <w:p>
      <w:pPr>
        <w:pStyle w:val="BodyText"/>
        <w:spacing w:line="261" w:lineRule="auto" w:before="20"/>
        <w:ind w:left="100" w:right="117" w:firstLine="240"/>
        <w:jc w:val="both"/>
      </w:pPr>
      <w:r>
        <w:rPr>
          <w:color w:val="231F20"/>
          <w:w w:val="110"/>
        </w:rPr>
        <w:t>En </w:t>
      </w:r>
      <w:r>
        <w:rPr>
          <w:color w:val="231F20"/>
          <w:spacing w:val="-4"/>
          <w:w w:val="110"/>
        </w:rPr>
        <w:t>general, </w:t>
      </w:r>
      <w:r>
        <w:rPr>
          <w:color w:val="231F20"/>
          <w:w w:val="110"/>
        </w:rPr>
        <w:t>es </w:t>
      </w:r>
      <w:r>
        <w:rPr>
          <w:color w:val="231F20"/>
          <w:spacing w:val="-3"/>
          <w:w w:val="110"/>
        </w:rPr>
        <w:t>muy </w:t>
      </w:r>
      <w:r>
        <w:rPr>
          <w:color w:val="231F20"/>
          <w:spacing w:val="-4"/>
          <w:w w:val="110"/>
        </w:rPr>
        <w:t>probable </w:t>
      </w:r>
      <w:r>
        <w:rPr>
          <w:color w:val="231F20"/>
          <w:spacing w:val="-3"/>
          <w:w w:val="110"/>
        </w:rPr>
        <w:t>que </w:t>
      </w:r>
      <w:r>
        <w:rPr>
          <w:color w:val="231F20"/>
          <w:w w:val="110"/>
        </w:rPr>
        <w:t>el </w:t>
      </w:r>
      <w:r>
        <w:rPr>
          <w:color w:val="231F20"/>
          <w:spacing w:val="-4"/>
          <w:w w:val="110"/>
        </w:rPr>
        <w:t>conjunto </w:t>
      </w:r>
      <w:r>
        <w:rPr>
          <w:color w:val="231F20"/>
          <w:w w:val="110"/>
        </w:rPr>
        <w:t>de </w:t>
      </w:r>
      <w:r>
        <w:rPr>
          <w:color w:val="231F20"/>
          <w:spacing w:val="-4"/>
          <w:w w:val="110"/>
        </w:rPr>
        <w:t>políticas puestas en </w:t>
      </w:r>
      <w:r>
        <w:rPr>
          <w:color w:val="231F20"/>
          <w:w w:val="110"/>
        </w:rPr>
        <w:t>práctica para la recuperación, signifiquen un alivio temporal a las</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8 </w:t>
      </w:r>
      <w:r>
        <w:rPr>
          <w:color w:val="231F20"/>
          <w:w w:val="110"/>
          <w:sz w:val="16"/>
        </w:rPr>
        <w:t>El plan de recuperación implementado por la administración Obama (American Recovery and Reinvestment Act) incluye gastos para proyectos de construcción con carácter de emergencia y otras inversiones relacionadas con programas educativos y de distribución de alimentos. Asimismo, prevé incentivos fiscales y reducciones tem- porales de impuestos para los trabajadores. Parte del paquete tiene como objetivo también cubrir el costo de los seguros sanitarios de las personas con menos recursos.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consecuencias</w:t>
      </w:r>
      <w:r>
        <w:rPr>
          <w:color w:val="231F20"/>
          <w:spacing w:val="-12"/>
          <w:w w:val="110"/>
        </w:rPr>
        <w:t> </w:t>
      </w:r>
      <w:r>
        <w:rPr>
          <w:color w:val="231F20"/>
          <w:w w:val="110"/>
        </w:rPr>
        <w:t>más</w:t>
      </w:r>
      <w:r>
        <w:rPr>
          <w:color w:val="231F20"/>
          <w:spacing w:val="-12"/>
          <w:w w:val="110"/>
        </w:rPr>
        <w:t> </w:t>
      </w:r>
      <w:r>
        <w:rPr>
          <w:color w:val="231F20"/>
          <w:w w:val="110"/>
        </w:rPr>
        <w:t>inmediatas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Sin</w:t>
      </w:r>
      <w:r>
        <w:rPr>
          <w:color w:val="231F20"/>
          <w:spacing w:val="-12"/>
          <w:w w:val="110"/>
        </w:rPr>
        <w:t> </w:t>
      </w:r>
      <w:r>
        <w:rPr>
          <w:color w:val="231F20"/>
          <w:w w:val="110"/>
        </w:rPr>
        <w:t>embargo,</w:t>
      </w:r>
      <w:r>
        <w:rPr>
          <w:color w:val="231F20"/>
          <w:spacing w:val="-12"/>
          <w:w w:val="110"/>
        </w:rPr>
        <w:t> </w:t>
      </w:r>
      <w:r>
        <w:rPr>
          <w:color w:val="231F20"/>
          <w:w w:val="110"/>
        </w:rPr>
        <w:t>esas</w:t>
      </w:r>
      <w:r>
        <w:rPr>
          <w:color w:val="231F20"/>
          <w:spacing w:val="-12"/>
          <w:w w:val="110"/>
        </w:rPr>
        <w:t> </w:t>
      </w:r>
      <w:r>
        <w:rPr>
          <w:color w:val="231F20"/>
          <w:w w:val="110"/>
        </w:rPr>
        <w:t>mismas medidas fiscales y monetarias implementadas le agregan riesgos al futuro panorama económico. Los recortes de las tasas de interés y los masivos estímulos fiscales siguen la pauta de las medidas que se introdujeron para rebatir la recesión de 2001 y que condujeron a un ciclo de hipertrofia financiera y la grave crisis actual. La diferencia esencial</w:t>
      </w:r>
      <w:r>
        <w:rPr>
          <w:color w:val="231F20"/>
          <w:spacing w:val="-8"/>
          <w:w w:val="110"/>
        </w:rPr>
        <w:t> </w:t>
      </w:r>
      <w:r>
        <w:rPr>
          <w:color w:val="231F20"/>
          <w:w w:val="110"/>
        </w:rPr>
        <w:t>radica</w:t>
      </w:r>
      <w:r>
        <w:rPr>
          <w:color w:val="231F20"/>
          <w:spacing w:val="-8"/>
          <w:w w:val="110"/>
        </w:rPr>
        <w:t> </w:t>
      </w:r>
      <w:r>
        <w:rPr>
          <w:color w:val="231F20"/>
          <w:w w:val="110"/>
        </w:rPr>
        <w:t>en</w:t>
      </w:r>
      <w:r>
        <w:rPr>
          <w:color w:val="231F20"/>
          <w:spacing w:val="-8"/>
          <w:w w:val="110"/>
        </w:rPr>
        <w:t> </w:t>
      </w:r>
      <w:r>
        <w:rPr>
          <w:color w:val="231F20"/>
          <w:w w:val="110"/>
        </w:rPr>
        <w:t>que,</w:t>
      </w:r>
      <w:r>
        <w:rPr>
          <w:color w:val="231F20"/>
          <w:spacing w:val="-8"/>
          <w:w w:val="110"/>
        </w:rPr>
        <w:t> </w:t>
      </w:r>
      <w:r>
        <w:rPr>
          <w:color w:val="231F20"/>
          <w:w w:val="110"/>
        </w:rPr>
        <w:t>desde</w:t>
      </w:r>
      <w:r>
        <w:rPr>
          <w:color w:val="231F20"/>
          <w:spacing w:val="-8"/>
          <w:w w:val="110"/>
        </w:rPr>
        <w:t> </w:t>
      </w:r>
      <w:r>
        <w:rPr>
          <w:color w:val="231F20"/>
          <w:w w:val="110"/>
        </w:rPr>
        <w:t>esa</w:t>
      </w:r>
      <w:r>
        <w:rPr>
          <w:color w:val="231F20"/>
          <w:spacing w:val="-8"/>
          <w:w w:val="110"/>
        </w:rPr>
        <w:t> </w:t>
      </w:r>
      <w:r>
        <w:rPr>
          <w:color w:val="231F20"/>
          <w:w w:val="110"/>
        </w:rPr>
        <w:t>fecha,</w:t>
      </w:r>
      <w:r>
        <w:rPr>
          <w:color w:val="231F20"/>
          <w:spacing w:val="-8"/>
          <w:w w:val="110"/>
        </w:rPr>
        <w:t> </w:t>
      </w:r>
      <w:r>
        <w:rPr>
          <w:color w:val="231F20"/>
          <w:w w:val="110"/>
        </w:rPr>
        <w:t>muchos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desequilibrios que padecía la economía se han </w:t>
      </w:r>
      <w:r>
        <w:rPr>
          <w:color w:val="231F20"/>
          <w:spacing w:val="40"/>
          <w:w w:val="110"/>
        </w:rPr>
        <w:t> </w:t>
      </w:r>
      <w:r>
        <w:rPr>
          <w:color w:val="231F20"/>
          <w:w w:val="110"/>
        </w:rPr>
        <w:t>profundizado.</w:t>
      </w:r>
    </w:p>
    <w:p>
      <w:pPr>
        <w:pStyle w:val="BodyText"/>
        <w:spacing w:line="261" w:lineRule="auto"/>
        <w:ind w:left="100" w:right="114" w:firstLine="240"/>
        <w:jc w:val="both"/>
      </w:pPr>
      <w:r>
        <w:rPr>
          <w:color w:val="231F20"/>
          <w:w w:val="110"/>
        </w:rPr>
        <w:t>Las actuales tendencias del tipo de cambio del dólar no son su- ficientes como para olvidar estos graves problemas de deuda que padece Estados Unidos. Dado este escenario, en algún momento futuro, China y otros países acreedores de Estados Unidos, seguirán perdiendo la confianza en el dólar y limitarán su compra de bonos públicos, reiniciándose la depreciación. Algunos especialistas</w:t>
      </w:r>
      <w:r>
        <w:rPr>
          <w:color w:val="231F20"/>
          <w:spacing w:val="-25"/>
          <w:w w:val="110"/>
        </w:rPr>
        <w:t> </w:t>
      </w:r>
      <w:r>
        <w:rPr>
          <w:color w:val="231F20"/>
          <w:w w:val="110"/>
        </w:rPr>
        <w:t>consi- deran</w:t>
      </w:r>
      <w:r>
        <w:rPr>
          <w:color w:val="231F20"/>
          <w:spacing w:val="-5"/>
          <w:w w:val="110"/>
        </w:rPr>
        <w:t> </w:t>
      </w:r>
      <w:r>
        <w:rPr>
          <w:color w:val="231F20"/>
          <w:w w:val="110"/>
        </w:rPr>
        <w:t>que</w:t>
      </w:r>
      <w:r>
        <w:rPr>
          <w:color w:val="231F20"/>
          <w:spacing w:val="-5"/>
          <w:w w:val="110"/>
        </w:rPr>
        <w:t> </w:t>
      </w:r>
      <w:r>
        <w:rPr>
          <w:color w:val="231F20"/>
          <w:w w:val="110"/>
        </w:rPr>
        <w:t>a</w:t>
      </w:r>
      <w:r>
        <w:rPr>
          <w:color w:val="231F20"/>
          <w:spacing w:val="-5"/>
          <w:w w:val="110"/>
        </w:rPr>
        <w:t> </w:t>
      </w:r>
      <w:r>
        <w:rPr>
          <w:color w:val="231F20"/>
          <w:w w:val="110"/>
        </w:rPr>
        <w:t>partir</w:t>
      </w:r>
      <w:r>
        <w:rPr>
          <w:color w:val="231F20"/>
          <w:spacing w:val="-5"/>
          <w:w w:val="110"/>
        </w:rPr>
        <w:t> </w:t>
      </w:r>
      <w:r>
        <w:rPr>
          <w:color w:val="231F20"/>
          <w:w w:val="110"/>
        </w:rPr>
        <w:t>de</w:t>
      </w:r>
      <w:r>
        <w:rPr>
          <w:color w:val="231F20"/>
          <w:spacing w:val="-5"/>
          <w:w w:val="110"/>
        </w:rPr>
        <w:t> </w:t>
      </w:r>
      <w:r>
        <w:rPr>
          <w:color w:val="231F20"/>
          <w:w w:val="110"/>
        </w:rPr>
        <w:t>esos</w:t>
      </w:r>
      <w:r>
        <w:rPr>
          <w:color w:val="231F20"/>
          <w:spacing w:val="-5"/>
          <w:w w:val="110"/>
        </w:rPr>
        <w:t> </w:t>
      </w:r>
      <w:r>
        <w:rPr>
          <w:color w:val="231F20"/>
          <w:w w:val="110"/>
        </w:rPr>
        <w:t>elementos,</w:t>
      </w:r>
      <w:r>
        <w:rPr>
          <w:color w:val="231F20"/>
          <w:spacing w:val="-5"/>
          <w:w w:val="110"/>
        </w:rPr>
        <w:t> </w:t>
      </w:r>
      <w:r>
        <w:rPr>
          <w:color w:val="231F20"/>
          <w:w w:val="110"/>
        </w:rPr>
        <w:t>cabría</w:t>
      </w:r>
      <w:r>
        <w:rPr>
          <w:color w:val="231F20"/>
          <w:spacing w:val="-5"/>
          <w:w w:val="110"/>
        </w:rPr>
        <w:t> </w:t>
      </w:r>
      <w:r>
        <w:rPr>
          <w:color w:val="231F20"/>
          <w:w w:val="110"/>
        </w:rPr>
        <w:t>esperar</w:t>
      </w:r>
      <w:r>
        <w:rPr>
          <w:color w:val="231F20"/>
          <w:spacing w:val="-5"/>
          <w:w w:val="110"/>
        </w:rPr>
        <w:t> </w:t>
      </w:r>
      <w:r>
        <w:rPr>
          <w:color w:val="231F20"/>
          <w:w w:val="110"/>
        </w:rPr>
        <w:t>una</w:t>
      </w:r>
      <w:r>
        <w:rPr>
          <w:color w:val="231F20"/>
          <w:spacing w:val="-5"/>
          <w:w w:val="110"/>
        </w:rPr>
        <w:t> </w:t>
      </w:r>
      <w:r>
        <w:rPr>
          <w:color w:val="231F20"/>
          <w:w w:val="110"/>
        </w:rPr>
        <w:t>caída</w:t>
      </w:r>
      <w:r>
        <w:rPr>
          <w:color w:val="231F20"/>
          <w:spacing w:val="-5"/>
          <w:w w:val="110"/>
        </w:rPr>
        <w:t> </w:t>
      </w:r>
      <w:r>
        <w:rPr>
          <w:color w:val="231F20"/>
          <w:w w:val="110"/>
        </w:rPr>
        <w:t>brusca del</w:t>
      </w:r>
      <w:r>
        <w:rPr>
          <w:color w:val="231F20"/>
          <w:spacing w:val="-10"/>
          <w:w w:val="110"/>
        </w:rPr>
        <w:t> </w:t>
      </w:r>
      <w:r>
        <w:rPr>
          <w:color w:val="231F20"/>
          <w:w w:val="110"/>
        </w:rPr>
        <w:t>valor</w:t>
      </w:r>
      <w:r>
        <w:rPr>
          <w:color w:val="231F20"/>
          <w:spacing w:val="-10"/>
          <w:w w:val="110"/>
        </w:rPr>
        <w:t> </w:t>
      </w:r>
      <w:r>
        <w:rPr>
          <w:color w:val="231F20"/>
          <w:w w:val="110"/>
        </w:rPr>
        <w:t>del</w:t>
      </w:r>
      <w:r>
        <w:rPr>
          <w:color w:val="231F20"/>
          <w:spacing w:val="-10"/>
          <w:w w:val="110"/>
        </w:rPr>
        <w:t> </w:t>
      </w:r>
      <w:r>
        <w:rPr>
          <w:color w:val="231F20"/>
          <w:w w:val="110"/>
        </w:rPr>
        <w:t>dólar</w:t>
      </w:r>
      <w:r>
        <w:rPr>
          <w:color w:val="231F20"/>
          <w:spacing w:val="-10"/>
          <w:w w:val="110"/>
        </w:rPr>
        <w:t> </w:t>
      </w:r>
      <w:r>
        <w:rPr>
          <w:color w:val="231F20"/>
          <w:w w:val="110"/>
        </w:rPr>
        <w:t>y</w:t>
      </w:r>
      <w:r>
        <w:rPr>
          <w:color w:val="231F20"/>
          <w:spacing w:val="-10"/>
          <w:w w:val="110"/>
        </w:rPr>
        <w:t> </w:t>
      </w:r>
      <w:r>
        <w:rPr>
          <w:color w:val="231F20"/>
          <w:w w:val="110"/>
        </w:rPr>
        <w:t>una</w:t>
      </w:r>
      <w:r>
        <w:rPr>
          <w:color w:val="231F20"/>
          <w:spacing w:val="-10"/>
          <w:w w:val="110"/>
        </w:rPr>
        <w:t> </w:t>
      </w:r>
      <w:r>
        <w:rPr>
          <w:color w:val="231F20"/>
          <w:w w:val="110"/>
        </w:rPr>
        <w:t>crisis</w:t>
      </w:r>
      <w:r>
        <w:rPr>
          <w:color w:val="231F20"/>
          <w:spacing w:val="-10"/>
          <w:w w:val="110"/>
        </w:rPr>
        <w:t> </w:t>
      </w:r>
      <w:r>
        <w:rPr>
          <w:color w:val="231F20"/>
          <w:w w:val="110"/>
        </w:rPr>
        <w:t>económica,</w:t>
      </w:r>
      <w:r>
        <w:rPr>
          <w:color w:val="231F20"/>
          <w:spacing w:val="-10"/>
          <w:w w:val="110"/>
        </w:rPr>
        <w:t> </w:t>
      </w:r>
      <w:r>
        <w:rPr>
          <w:color w:val="231F20"/>
          <w:w w:val="110"/>
        </w:rPr>
        <w:t>incluso</w:t>
      </w:r>
      <w:r>
        <w:rPr>
          <w:color w:val="231F20"/>
          <w:spacing w:val="-10"/>
          <w:w w:val="110"/>
        </w:rPr>
        <w:t> </w:t>
      </w:r>
      <w:r>
        <w:rPr>
          <w:color w:val="231F20"/>
          <w:w w:val="110"/>
        </w:rPr>
        <w:t>antes</w:t>
      </w:r>
      <w:r>
        <w:rPr>
          <w:color w:val="231F20"/>
          <w:spacing w:val="-10"/>
          <w:w w:val="110"/>
        </w:rPr>
        <w:t> </w:t>
      </w:r>
      <w:r>
        <w:rPr>
          <w:color w:val="231F20"/>
          <w:w w:val="110"/>
        </w:rPr>
        <w:t>de</w:t>
      </w:r>
      <w:r>
        <w:rPr>
          <w:color w:val="231F20"/>
          <w:spacing w:val="-10"/>
          <w:w w:val="110"/>
        </w:rPr>
        <w:t> </w:t>
      </w:r>
      <w:r>
        <w:rPr>
          <w:color w:val="231F20"/>
          <w:w w:val="110"/>
        </w:rPr>
        <w:t>2030,</w:t>
      </w:r>
      <w:r>
        <w:rPr>
          <w:color w:val="231F20"/>
          <w:spacing w:val="-10"/>
          <w:w w:val="110"/>
        </w:rPr>
        <w:t> </w:t>
      </w:r>
      <w:r>
        <w:rPr>
          <w:color w:val="231F20"/>
          <w:w w:val="110"/>
        </w:rPr>
        <w:t>con consecuencias negativas para la posición de Estados Unidos en el sistema monetario y financiero global (Cline,</w:t>
      </w:r>
      <w:r>
        <w:rPr>
          <w:color w:val="231F20"/>
          <w:spacing w:val="7"/>
          <w:w w:val="110"/>
        </w:rPr>
        <w:t> </w:t>
      </w:r>
      <w:r>
        <w:rPr>
          <w:color w:val="231F20"/>
          <w:w w:val="110"/>
        </w:rPr>
        <w:t>2009).</w:t>
      </w:r>
    </w:p>
    <w:p>
      <w:pPr>
        <w:pStyle w:val="BodyText"/>
        <w:spacing w:line="261" w:lineRule="auto"/>
        <w:ind w:left="100" w:right="117" w:firstLine="240"/>
        <w:jc w:val="both"/>
      </w:pPr>
      <w:r>
        <w:rPr>
          <w:color w:val="231F20"/>
          <w:w w:val="110"/>
        </w:rPr>
        <w:t>Esto también significa que Estados Unidos tendría menor espa- cio para administrar la próxima crisis cíclica porque, si llega a ese momento con mayores desequilibrios, no podría aplicar las mismas medidas fiscales y monetarias pues sería menor la confianza en los compromisos financieros del gobierno y la Reserva Federal.</w:t>
      </w:r>
    </w:p>
    <w:p>
      <w:pPr>
        <w:pStyle w:val="BodyText"/>
        <w:spacing w:line="261" w:lineRule="auto"/>
        <w:ind w:left="100" w:right="117" w:firstLine="240"/>
        <w:jc w:val="both"/>
      </w:pPr>
      <w:r>
        <w:rPr>
          <w:color w:val="231F20"/>
          <w:w w:val="110"/>
        </w:rPr>
        <w:t>Por</w:t>
      </w:r>
      <w:r>
        <w:rPr>
          <w:color w:val="231F20"/>
          <w:spacing w:val="-14"/>
          <w:w w:val="110"/>
        </w:rPr>
        <w:t> </w:t>
      </w:r>
      <w:r>
        <w:rPr>
          <w:color w:val="231F20"/>
          <w:w w:val="110"/>
        </w:rPr>
        <w:t>otra</w:t>
      </w:r>
      <w:r>
        <w:rPr>
          <w:color w:val="231F20"/>
          <w:spacing w:val="-14"/>
          <w:w w:val="110"/>
        </w:rPr>
        <w:t> </w:t>
      </w:r>
      <w:r>
        <w:rPr>
          <w:color w:val="231F20"/>
          <w:w w:val="110"/>
        </w:rPr>
        <w:t>parte,</w:t>
      </w:r>
      <w:r>
        <w:rPr>
          <w:color w:val="231F20"/>
          <w:spacing w:val="-14"/>
          <w:w w:val="110"/>
        </w:rPr>
        <w:t> </w:t>
      </w:r>
      <w:r>
        <w:rPr>
          <w:color w:val="231F20"/>
          <w:w w:val="110"/>
        </w:rPr>
        <w:t>los</w:t>
      </w:r>
      <w:r>
        <w:rPr>
          <w:color w:val="231F20"/>
          <w:spacing w:val="-14"/>
          <w:w w:val="110"/>
        </w:rPr>
        <w:t> </w:t>
      </w:r>
      <w:r>
        <w:rPr>
          <w:color w:val="231F20"/>
          <w:w w:val="110"/>
        </w:rPr>
        <w:t>líderes</w:t>
      </w:r>
      <w:r>
        <w:rPr>
          <w:color w:val="231F20"/>
          <w:spacing w:val="-14"/>
          <w:w w:val="110"/>
        </w:rPr>
        <w:t> </w:t>
      </w:r>
      <w:r>
        <w:rPr>
          <w:color w:val="231F20"/>
          <w:w w:val="110"/>
        </w:rPr>
        <w:t>del</w:t>
      </w:r>
      <w:r>
        <w:rPr>
          <w:color w:val="231F20"/>
          <w:spacing w:val="-14"/>
          <w:w w:val="110"/>
        </w:rPr>
        <w:t> </w:t>
      </w:r>
      <w:r>
        <w:rPr>
          <w:color w:val="231F20"/>
          <w:w w:val="110"/>
        </w:rPr>
        <w:t>G-20,</w:t>
      </w:r>
      <w:r>
        <w:rPr>
          <w:color w:val="231F20"/>
          <w:w w:val="110"/>
          <w:position w:val="6"/>
          <w:sz w:val="13"/>
        </w:rPr>
        <w:t>9</w:t>
      </w:r>
      <w:r>
        <w:rPr>
          <w:color w:val="231F20"/>
          <w:spacing w:val="5"/>
          <w:w w:val="110"/>
          <w:position w:val="6"/>
          <w:sz w:val="13"/>
        </w:rPr>
        <w:t> </w:t>
      </w:r>
      <w:r>
        <w:rPr>
          <w:color w:val="231F20"/>
          <w:w w:val="110"/>
        </w:rPr>
        <w:t>han</w:t>
      </w:r>
      <w:r>
        <w:rPr>
          <w:color w:val="231F20"/>
          <w:spacing w:val="-14"/>
          <w:w w:val="110"/>
        </w:rPr>
        <w:t> </w:t>
      </w:r>
      <w:r>
        <w:rPr>
          <w:color w:val="231F20"/>
          <w:w w:val="110"/>
        </w:rPr>
        <w:t>realizado</w:t>
      </w:r>
      <w:r>
        <w:rPr>
          <w:color w:val="231F20"/>
          <w:spacing w:val="-14"/>
          <w:w w:val="110"/>
        </w:rPr>
        <w:t> </w:t>
      </w:r>
      <w:r>
        <w:rPr>
          <w:color w:val="231F20"/>
          <w:w w:val="110"/>
        </w:rPr>
        <w:t>hasta</w:t>
      </w:r>
      <w:r>
        <w:rPr>
          <w:color w:val="231F20"/>
          <w:spacing w:val="-14"/>
          <w:w w:val="110"/>
        </w:rPr>
        <w:t> </w:t>
      </w:r>
      <w:r>
        <w:rPr>
          <w:color w:val="231F20"/>
          <w:w w:val="110"/>
        </w:rPr>
        <w:t>el</w:t>
      </w:r>
      <w:r>
        <w:rPr>
          <w:color w:val="231F20"/>
          <w:spacing w:val="-14"/>
          <w:w w:val="110"/>
        </w:rPr>
        <w:t> </w:t>
      </w:r>
      <w:r>
        <w:rPr>
          <w:color w:val="231F20"/>
          <w:w w:val="110"/>
        </w:rPr>
        <w:t>momen- to cuatro cumbres para tratar de responder a los desafíos que repre- senta la crisis económica actual.</w:t>
      </w:r>
      <w:r>
        <w:rPr>
          <w:color w:val="231F20"/>
          <w:w w:val="110"/>
          <w:position w:val="6"/>
          <w:sz w:val="13"/>
        </w:rPr>
        <w:t>10 </w:t>
      </w:r>
      <w:r>
        <w:rPr>
          <w:color w:val="231F20"/>
          <w:w w:val="110"/>
        </w:rPr>
        <w:t>En la primera cumbre, los líderes de la Unión Europea (UE), presionaron para lograr una revisión de actual</w:t>
      </w:r>
      <w:r>
        <w:rPr>
          <w:color w:val="231F20"/>
          <w:spacing w:val="-8"/>
          <w:w w:val="110"/>
        </w:rPr>
        <w:t> </w:t>
      </w:r>
      <w:r>
        <w:rPr>
          <w:color w:val="231F20"/>
          <w:w w:val="110"/>
        </w:rPr>
        <w:t>sistema</w:t>
      </w:r>
      <w:r>
        <w:rPr>
          <w:color w:val="231F20"/>
          <w:spacing w:val="-8"/>
          <w:w w:val="110"/>
        </w:rPr>
        <w:t> </w:t>
      </w:r>
      <w:r>
        <w:rPr>
          <w:color w:val="231F20"/>
          <w:w w:val="110"/>
        </w:rPr>
        <w:t>financiero</w:t>
      </w:r>
      <w:r>
        <w:rPr>
          <w:color w:val="231F20"/>
          <w:spacing w:val="-8"/>
          <w:w w:val="110"/>
        </w:rPr>
        <w:t> </w:t>
      </w:r>
      <w:r>
        <w:rPr>
          <w:color w:val="231F20"/>
          <w:w w:val="110"/>
        </w:rPr>
        <w:t>global,</w:t>
      </w:r>
      <w:r>
        <w:rPr>
          <w:color w:val="231F20"/>
          <w:spacing w:val="-8"/>
          <w:w w:val="110"/>
        </w:rPr>
        <w:t> </w:t>
      </w:r>
      <w:r>
        <w:rPr>
          <w:color w:val="231F20"/>
          <w:w w:val="110"/>
        </w:rPr>
        <w:t>en</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interpretó</w:t>
      </w:r>
      <w:r>
        <w:rPr>
          <w:color w:val="231F20"/>
          <w:spacing w:val="-8"/>
          <w:w w:val="110"/>
        </w:rPr>
        <w:t> </w:t>
      </w:r>
      <w:r>
        <w:rPr>
          <w:color w:val="231F20"/>
          <w:w w:val="110"/>
        </w:rPr>
        <w:t>como</w:t>
      </w:r>
      <w:r>
        <w:rPr>
          <w:color w:val="231F20"/>
          <w:spacing w:val="-8"/>
          <w:w w:val="110"/>
        </w:rPr>
        <w:t> </w:t>
      </w:r>
      <w:r>
        <w:rPr>
          <w:color w:val="231F20"/>
          <w:w w:val="110"/>
        </w:rPr>
        <w:t>un</w:t>
      </w:r>
      <w:r>
        <w:rPr>
          <w:color w:val="231F20"/>
          <w:spacing w:val="-8"/>
          <w:w w:val="110"/>
        </w:rPr>
        <w:t> </w:t>
      </w:r>
      <w:r>
        <w:rPr>
          <w:color w:val="231F20"/>
          <w:w w:val="110"/>
        </w:rPr>
        <w:t>reto al modelo capitalista americano y al ilimitado poder financiero de Estados</w:t>
      </w:r>
      <w:r>
        <w:rPr>
          <w:color w:val="231F20"/>
          <w:spacing w:val="-12"/>
          <w:w w:val="110"/>
        </w:rPr>
        <w:t> </w:t>
      </w:r>
      <w:r>
        <w:rPr>
          <w:color w:val="231F20"/>
          <w:w w:val="110"/>
        </w:rPr>
        <w:t>Unidos.</w:t>
      </w:r>
      <w:r>
        <w:rPr>
          <w:color w:val="231F20"/>
          <w:spacing w:val="-12"/>
          <w:w w:val="110"/>
        </w:rPr>
        <w:t> </w:t>
      </w:r>
      <w:r>
        <w:rPr>
          <w:color w:val="231F20"/>
          <w:w w:val="110"/>
        </w:rPr>
        <w:t>Luego,</w:t>
      </w:r>
      <w:r>
        <w:rPr>
          <w:color w:val="231F20"/>
          <w:spacing w:val="-12"/>
          <w:w w:val="110"/>
        </w:rPr>
        <w:t> </w:t>
      </w:r>
      <w:r>
        <w:rPr>
          <w:color w:val="231F20"/>
          <w:w w:val="110"/>
        </w:rPr>
        <w:t>en</w:t>
      </w:r>
      <w:r>
        <w:rPr>
          <w:color w:val="231F20"/>
          <w:spacing w:val="-12"/>
          <w:w w:val="110"/>
        </w:rPr>
        <w:t> </w:t>
      </w:r>
      <w:r>
        <w:rPr>
          <w:color w:val="231F20"/>
          <w:w w:val="110"/>
        </w:rPr>
        <w:t>Londres,</w:t>
      </w:r>
      <w:r>
        <w:rPr>
          <w:color w:val="231F20"/>
          <w:spacing w:val="-12"/>
          <w:w w:val="110"/>
        </w:rPr>
        <w:t> </w:t>
      </w:r>
      <w:r>
        <w:rPr>
          <w:color w:val="231F20"/>
          <w:w w:val="110"/>
        </w:rPr>
        <w:t>China</w:t>
      </w:r>
      <w:r>
        <w:rPr>
          <w:color w:val="231F20"/>
          <w:spacing w:val="-12"/>
          <w:w w:val="110"/>
        </w:rPr>
        <w:t> </w:t>
      </w:r>
      <w:r>
        <w:rPr>
          <w:color w:val="231F20"/>
          <w:w w:val="110"/>
        </w:rPr>
        <w:t>y</w:t>
      </w:r>
      <w:r>
        <w:rPr>
          <w:color w:val="231F20"/>
          <w:spacing w:val="-12"/>
          <w:w w:val="110"/>
        </w:rPr>
        <w:t> </w:t>
      </w:r>
      <w:r>
        <w:rPr>
          <w:color w:val="231F20"/>
          <w:w w:val="110"/>
        </w:rPr>
        <w:t>Rusia</w:t>
      </w:r>
      <w:r>
        <w:rPr>
          <w:color w:val="231F20"/>
          <w:spacing w:val="-12"/>
          <w:w w:val="110"/>
        </w:rPr>
        <w:t> </w:t>
      </w:r>
      <w:r>
        <w:rPr>
          <w:color w:val="231F20"/>
          <w:w w:val="110"/>
        </w:rPr>
        <w:t>hicieron</w:t>
      </w:r>
      <w:r>
        <w:rPr>
          <w:color w:val="231F20"/>
          <w:spacing w:val="-12"/>
          <w:w w:val="110"/>
        </w:rPr>
        <w:t> </w:t>
      </w:r>
      <w:r>
        <w:rPr>
          <w:color w:val="231F20"/>
          <w:w w:val="110"/>
        </w:rPr>
        <w:t>propues- tas para cambiar al dólar como referencia del smi. Sin embargo,  </w:t>
      </w:r>
      <w:r>
        <w:rPr>
          <w:color w:val="231F20"/>
          <w:spacing w:val="7"/>
          <w:w w:val="110"/>
        </w:rPr>
        <w:t> </w:t>
      </w:r>
      <w:r>
        <w:rPr>
          <w:color w:val="231F20"/>
          <w:w w:val="110"/>
        </w:rPr>
        <w:t>en</w:t>
      </w:r>
    </w:p>
    <w:p>
      <w:pPr>
        <w:pStyle w:val="BodyText"/>
      </w:pPr>
    </w:p>
    <w:p>
      <w:pPr>
        <w:pStyle w:val="BodyText"/>
      </w:pPr>
    </w:p>
    <w:p>
      <w:pPr>
        <w:spacing w:line="261" w:lineRule="auto" w:before="122"/>
        <w:ind w:left="100" w:right="119" w:firstLine="240"/>
        <w:jc w:val="both"/>
        <w:rPr>
          <w:sz w:val="16"/>
        </w:rPr>
      </w:pPr>
      <w:r>
        <w:rPr>
          <w:color w:val="231F20"/>
          <w:w w:val="110"/>
          <w:position w:val="5"/>
          <w:sz w:val="10"/>
        </w:rPr>
        <w:t>9</w:t>
      </w:r>
      <w:r>
        <w:rPr>
          <w:color w:val="231F20"/>
          <w:spacing w:val="8"/>
          <w:w w:val="110"/>
          <w:position w:val="5"/>
          <w:sz w:val="10"/>
        </w:rPr>
        <w:t> </w:t>
      </w:r>
      <w:r>
        <w:rPr>
          <w:color w:val="231F20"/>
          <w:w w:val="110"/>
          <w:sz w:val="16"/>
        </w:rPr>
        <w:t>El</w:t>
      </w:r>
      <w:r>
        <w:rPr>
          <w:color w:val="231F20"/>
          <w:spacing w:val="-13"/>
          <w:w w:val="110"/>
          <w:sz w:val="16"/>
        </w:rPr>
        <w:t> </w:t>
      </w:r>
      <w:r>
        <w:rPr>
          <w:color w:val="231F20"/>
          <w:w w:val="110"/>
          <w:sz w:val="16"/>
        </w:rPr>
        <w:t>G-20,</w:t>
      </w:r>
      <w:r>
        <w:rPr>
          <w:color w:val="231F20"/>
          <w:spacing w:val="-13"/>
          <w:w w:val="110"/>
          <w:sz w:val="16"/>
        </w:rPr>
        <w:t> </w:t>
      </w:r>
      <w:r>
        <w:rPr>
          <w:color w:val="231F20"/>
          <w:w w:val="110"/>
          <w:sz w:val="16"/>
        </w:rPr>
        <w:t>es</w:t>
      </w:r>
      <w:r>
        <w:rPr>
          <w:color w:val="231F20"/>
          <w:spacing w:val="-13"/>
          <w:w w:val="110"/>
          <w:sz w:val="16"/>
        </w:rPr>
        <w:t> </w:t>
      </w:r>
      <w:r>
        <w:rPr>
          <w:color w:val="231F20"/>
          <w:w w:val="110"/>
          <w:sz w:val="16"/>
        </w:rPr>
        <w:t>un</w:t>
      </w:r>
      <w:r>
        <w:rPr>
          <w:color w:val="231F20"/>
          <w:spacing w:val="-13"/>
          <w:w w:val="110"/>
          <w:sz w:val="16"/>
        </w:rPr>
        <w:t> </w:t>
      </w:r>
      <w:r>
        <w:rPr>
          <w:color w:val="231F20"/>
          <w:w w:val="110"/>
          <w:sz w:val="16"/>
        </w:rPr>
        <w:t>foro</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cooperación</w:t>
      </w:r>
      <w:r>
        <w:rPr>
          <w:color w:val="231F20"/>
          <w:spacing w:val="-13"/>
          <w:w w:val="110"/>
          <w:sz w:val="16"/>
        </w:rPr>
        <w:t> </w:t>
      </w:r>
      <w:r>
        <w:rPr>
          <w:color w:val="231F20"/>
          <w:w w:val="110"/>
          <w:sz w:val="16"/>
        </w:rPr>
        <w:t>y</w:t>
      </w:r>
      <w:r>
        <w:rPr>
          <w:color w:val="231F20"/>
          <w:spacing w:val="-13"/>
          <w:w w:val="110"/>
          <w:sz w:val="16"/>
        </w:rPr>
        <w:t> </w:t>
      </w:r>
      <w:r>
        <w:rPr>
          <w:color w:val="231F20"/>
          <w:w w:val="110"/>
          <w:sz w:val="16"/>
        </w:rPr>
        <w:t>consultas</w:t>
      </w:r>
      <w:r>
        <w:rPr>
          <w:color w:val="231F20"/>
          <w:spacing w:val="-13"/>
          <w:w w:val="110"/>
          <w:sz w:val="16"/>
        </w:rPr>
        <w:t> </w:t>
      </w:r>
      <w:r>
        <w:rPr>
          <w:color w:val="231F20"/>
          <w:w w:val="110"/>
          <w:sz w:val="16"/>
        </w:rPr>
        <w:t>en</w:t>
      </w:r>
      <w:r>
        <w:rPr>
          <w:color w:val="231F20"/>
          <w:spacing w:val="-13"/>
          <w:w w:val="110"/>
          <w:sz w:val="16"/>
        </w:rPr>
        <w:t> </w:t>
      </w:r>
      <w:r>
        <w:rPr>
          <w:color w:val="231F20"/>
          <w:w w:val="110"/>
          <w:sz w:val="16"/>
        </w:rPr>
        <w:t>temas</w:t>
      </w:r>
      <w:r>
        <w:rPr>
          <w:color w:val="231F20"/>
          <w:spacing w:val="-13"/>
          <w:w w:val="110"/>
          <w:sz w:val="16"/>
        </w:rPr>
        <w:t> </w:t>
      </w:r>
      <w:r>
        <w:rPr>
          <w:color w:val="231F20"/>
          <w:w w:val="110"/>
          <w:sz w:val="16"/>
        </w:rPr>
        <w:t>relacionados</w:t>
      </w:r>
      <w:r>
        <w:rPr>
          <w:color w:val="231F20"/>
          <w:spacing w:val="-13"/>
          <w:w w:val="110"/>
          <w:sz w:val="16"/>
        </w:rPr>
        <w:t> </w:t>
      </w:r>
      <w:r>
        <w:rPr>
          <w:color w:val="231F20"/>
          <w:w w:val="110"/>
          <w:sz w:val="16"/>
        </w:rPr>
        <w:t>con</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Siste- ma</w:t>
      </w:r>
      <w:r>
        <w:rPr>
          <w:color w:val="231F20"/>
          <w:spacing w:val="-15"/>
          <w:w w:val="110"/>
          <w:sz w:val="16"/>
        </w:rPr>
        <w:t> </w:t>
      </w:r>
      <w:r>
        <w:rPr>
          <w:color w:val="231F20"/>
          <w:w w:val="110"/>
          <w:sz w:val="16"/>
        </w:rPr>
        <w:t>Financiero</w:t>
      </w:r>
      <w:r>
        <w:rPr>
          <w:color w:val="231F20"/>
          <w:spacing w:val="-15"/>
          <w:w w:val="110"/>
          <w:sz w:val="16"/>
        </w:rPr>
        <w:t> </w:t>
      </w:r>
      <w:r>
        <w:rPr>
          <w:color w:val="231F20"/>
          <w:w w:val="110"/>
          <w:sz w:val="16"/>
        </w:rPr>
        <w:t>Internacional.</w:t>
      </w:r>
      <w:r>
        <w:rPr>
          <w:color w:val="231F20"/>
          <w:spacing w:val="-15"/>
          <w:w w:val="110"/>
          <w:sz w:val="16"/>
        </w:rPr>
        <w:t> </w:t>
      </w:r>
      <w:r>
        <w:rPr>
          <w:color w:val="231F20"/>
          <w:w w:val="110"/>
          <w:sz w:val="16"/>
        </w:rPr>
        <w:t>Está</w:t>
      </w:r>
      <w:r>
        <w:rPr>
          <w:color w:val="231F20"/>
          <w:spacing w:val="-15"/>
          <w:w w:val="110"/>
          <w:sz w:val="16"/>
        </w:rPr>
        <w:t> </w:t>
      </w:r>
      <w:r>
        <w:rPr>
          <w:color w:val="231F20"/>
          <w:w w:val="110"/>
          <w:sz w:val="16"/>
        </w:rPr>
        <w:t>conformado</w:t>
      </w:r>
      <w:r>
        <w:rPr>
          <w:color w:val="231F20"/>
          <w:spacing w:val="-15"/>
          <w:w w:val="110"/>
          <w:sz w:val="16"/>
        </w:rPr>
        <w:t> </w:t>
      </w:r>
      <w:r>
        <w:rPr>
          <w:color w:val="231F20"/>
          <w:w w:val="110"/>
          <w:sz w:val="16"/>
        </w:rPr>
        <w:t>por</w:t>
      </w:r>
      <w:r>
        <w:rPr>
          <w:color w:val="231F20"/>
          <w:spacing w:val="-15"/>
          <w:w w:val="110"/>
          <w:sz w:val="16"/>
        </w:rPr>
        <w:t> </w:t>
      </w:r>
      <w:r>
        <w:rPr>
          <w:color w:val="231F20"/>
          <w:w w:val="110"/>
          <w:sz w:val="16"/>
        </w:rPr>
        <w:t>los</w:t>
      </w:r>
      <w:r>
        <w:rPr>
          <w:color w:val="231F20"/>
          <w:spacing w:val="-15"/>
          <w:w w:val="110"/>
          <w:sz w:val="16"/>
        </w:rPr>
        <w:t> </w:t>
      </w:r>
      <w:r>
        <w:rPr>
          <w:color w:val="231F20"/>
          <w:w w:val="110"/>
          <w:sz w:val="16"/>
        </w:rPr>
        <w:t>ocho</w:t>
      </w:r>
      <w:r>
        <w:rPr>
          <w:color w:val="231F20"/>
          <w:spacing w:val="-15"/>
          <w:w w:val="110"/>
          <w:sz w:val="16"/>
        </w:rPr>
        <w:t> </w:t>
      </w:r>
      <w:r>
        <w:rPr>
          <w:color w:val="231F20"/>
          <w:w w:val="110"/>
          <w:sz w:val="16"/>
        </w:rPr>
        <w:t>países</w:t>
      </w:r>
      <w:r>
        <w:rPr>
          <w:color w:val="231F20"/>
          <w:spacing w:val="-15"/>
          <w:w w:val="110"/>
          <w:sz w:val="16"/>
        </w:rPr>
        <w:t> </w:t>
      </w:r>
      <w:r>
        <w:rPr>
          <w:color w:val="231F20"/>
          <w:w w:val="110"/>
          <w:sz w:val="16"/>
        </w:rPr>
        <w:t>más</w:t>
      </w:r>
      <w:r>
        <w:rPr>
          <w:color w:val="231F20"/>
          <w:spacing w:val="-15"/>
          <w:w w:val="110"/>
          <w:sz w:val="16"/>
        </w:rPr>
        <w:t> </w:t>
      </w:r>
      <w:r>
        <w:rPr>
          <w:color w:val="231F20"/>
          <w:w w:val="110"/>
          <w:sz w:val="16"/>
        </w:rPr>
        <w:t>industrializados (G-8), once países recientemente industrializados o emergentes de todas las regiones del mundo, y la Unión Europea como </w:t>
      </w:r>
      <w:r>
        <w:rPr>
          <w:color w:val="231F20"/>
          <w:spacing w:val="30"/>
          <w:w w:val="110"/>
          <w:sz w:val="16"/>
        </w:rPr>
        <w:t> </w:t>
      </w:r>
      <w:r>
        <w:rPr>
          <w:color w:val="231F20"/>
          <w:w w:val="110"/>
          <w:sz w:val="16"/>
        </w:rPr>
        <w:t>bloque.</w:t>
      </w:r>
    </w:p>
    <w:p>
      <w:pPr>
        <w:spacing w:line="261" w:lineRule="auto" w:before="0"/>
        <w:ind w:left="100" w:right="119" w:firstLine="240"/>
        <w:jc w:val="both"/>
        <w:rPr>
          <w:sz w:val="16"/>
        </w:rPr>
      </w:pPr>
      <w:r>
        <w:rPr>
          <w:color w:val="231F20"/>
          <w:w w:val="110"/>
          <w:position w:val="5"/>
          <w:sz w:val="10"/>
        </w:rPr>
        <w:t>10</w:t>
      </w:r>
      <w:r>
        <w:rPr>
          <w:color w:val="231F20"/>
          <w:spacing w:val="7"/>
          <w:w w:val="110"/>
          <w:position w:val="5"/>
          <w:sz w:val="10"/>
        </w:rPr>
        <w:t> </w:t>
      </w:r>
      <w:r>
        <w:rPr>
          <w:color w:val="231F20"/>
          <w:w w:val="110"/>
          <w:sz w:val="16"/>
        </w:rPr>
        <w:t>Se</w:t>
      </w:r>
      <w:r>
        <w:rPr>
          <w:color w:val="231F20"/>
          <w:spacing w:val="-8"/>
          <w:w w:val="110"/>
          <w:sz w:val="16"/>
        </w:rPr>
        <w:t> </w:t>
      </w:r>
      <w:r>
        <w:rPr>
          <w:color w:val="231F20"/>
          <w:w w:val="110"/>
          <w:sz w:val="16"/>
        </w:rPr>
        <w:t>hace</w:t>
      </w:r>
      <w:r>
        <w:rPr>
          <w:color w:val="231F20"/>
          <w:spacing w:val="-8"/>
          <w:w w:val="110"/>
          <w:sz w:val="16"/>
        </w:rPr>
        <w:t> </w:t>
      </w:r>
      <w:r>
        <w:rPr>
          <w:color w:val="231F20"/>
          <w:w w:val="110"/>
          <w:sz w:val="16"/>
        </w:rPr>
        <w:t>referencia</w:t>
      </w:r>
      <w:r>
        <w:rPr>
          <w:color w:val="231F20"/>
          <w:spacing w:val="-8"/>
          <w:w w:val="110"/>
          <w:sz w:val="16"/>
        </w:rPr>
        <w:t> </w:t>
      </w:r>
      <w:r>
        <w:rPr>
          <w:color w:val="231F20"/>
          <w:w w:val="110"/>
          <w:sz w:val="16"/>
        </w:rPr>
        <w:t>a</w:t>
      </w:r>
      <w:r>
        <w:rPr>
          <w:color w:val="231F20"/>
          <w:spacing w:val="-8"/>
          <w:w w:val="110"/>
          <w:sz w:val="16"/>
        </w:rPr>
        <w:t> </w:t>
      </w:r>
      <w:r>
        <w:rPr>
          <w:color w:val="231F20"/>
          <w:w w:val="110"/>
          <w:sz w:val="16"/>
        </w:rPr>
        <w:t>las</w:t>
      </w:r>
      <w:r>
        <w:rPr>
          <w:color w:val="231F20"/>
          <w:spacing w:val="-8"/>
          <w:w w:val="110"/>
          <w:sz w:val="16"/>
        </w:rPr>
        <w:t> </w:t>
      </w:r>
      <w:r>
        <w:rPr>
          <w:color w:val="231F20"/>
          <w:w w:val="110"/>
          <w:sz w:val="16"/>
        </w:rPr>
        <w:t>Cumbres</w:t>
      </w:r>
      <w:r>
        <w:rPr>
          <w:color w:val="231F20"/>
          <w:spacing w:val="-8"/>
          <w:w w:val="110"/>
          <w:sz w:val="16"/>
        </w:rPr>
        <w:t> </w:t>
      </w:r>
      <w:r>
        <w:rPr>
          <w:color w:val="231F20"/>
          <w:w w:val="110"/>
          <w:sz w:val="16"/>
        </w:rPr>
        <w:t>realizadas</w:t>
      </w:r>
      <w:r>
        <w:rPr>
          <w:color w:val="231F20"/>
          <w:spacing w:val="-8"/>
          <w:w w:val="110"/>
          <w:sz w:val="16"/>
        </w:rPr>
        <w:t> </w:t>
      </w:r>
      <w:r>
        <w:rPr>
          <w:color w:val="231F20"/>
          <w:w w:val="110"/>
          <w:sz w:val="16"/>
        </w:rPr>
        <w:t>en</w:t>
      </w:r>
      <w:r>
        <w:rPr>
          <w:color w:val="231F20"/>
          <w:spacing w:val="-8"/>
          <w:w w:val="110"/>
          <w:sz w:val="16"/>
        </w:rPr>
        <w:t> </w:t>
      </w:r>
      <w:r>
        <w:rPr>
          <w:color w:val="231F20"/>
          <w:w w:val="110"/>
          <w:sz w:val="16"/>
        </w:rPr>
        <w:t>noviembre</w:t>
      </w:r>
      <w:r>
        <w:rPr>
          <w:color w:val="231F20"/>
          <w:spacing w:val="-8"/>
          <w:w w:val="110"/>
          <w:sz w:val="16"/>
        </w:rPr>
        <w:t> </w:t>
      </w:r>
      <w:r>
        <w:rPr>
          <w:color w:val="231F20"/>
          <w:w w:val="110"/>
          <w:sz w:val="16"/>
        </w:rPr>
        <w:t>de</w:t>
      </w:r>
      <w:r>
        <w:rPr>
          <w:color w:val="231F20"/>
          <w:spacing w:val="-8"/>
          <w:w w:val="110"/>
          <w:sz w:val="16"/>
        </w:rPr>
        <w:t> </w:t>
      </w:r>
      <w:r>
        <w:rPr>
          <w:color w:val="231F20"/>
          <w:w w:val="110"/>
          <w:sz w:val="16"/>
        </w:rPr>
        <w:t>2008,</w:t>
      </w:r>
      <w:r>
        <w:rPr>
          <w:color w:val="231F20"/>
          <w:spacing w:val="-8"/>
          <w:w w:val="110"/>
          <w:sz w:val="16"/>
        </w:rPr>
        <w:t> </w:t>
      </w:r>
      <w:r>
        <w:rPr>
          <w:color w:val="231F20"/>
          <w:w w:val="110"/>
          <w:sz w:val="16"/>
        </w:rPr>
        <w:t>en</w:t>
      </w:r>
      <w:r>
        <w:rPr>
          <w:color w:val="231F20"/>
          <w:spacing w:val="-8"/>
          <w:w w:val="110"/>
          <w:sz w:val="16"/>
        </w:rPr>
        <w:t> </w:t>
      </w:r>
      <w:r>
        <w:rPr>
          <w:color w:val="231F20"/>
          <w:w w:val="110"/>
          <w:sz w:val="16"/>
        </w:rPr>
        <w:t>Washing- ton, en abril de 2009, en Londres, en septiembre de 2009, en Pittsburg y en junio de 2010, en</w:t>
      </w:r>
      <w:r>
        <w:rPr>
          <w:color w:val="231F20"/>
          <w:spacing w:val="12"/>
          <w:w w:val="110"/>
          <w:sz w:val="16"/>
        </w:rPr>
        <w:t> </w:t>
      </w:r>
      <w:r>
        <w:rPr>
          <w:color w:val="231F20"/>
          <w:spacing w:val="-3"/>
          <w:w w:val="110"/>
          <w:sz w:val="16"/>
        </w:rPr>
        <w:t>Toronto.</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ninguno de los comunicados finales, se mencionan estos temas. </w:t>
      </w:r>
      <w:r>
        <w:rPr>
          <w:color w:val="231F20"/>
          <w:spacing w:val="-6"/>
          <w:w w:val="105"/>
        </w:rPr>
        <w:t>Tal   </w:t>
      </w:r>
      <w:r>
        <w:rPr>
          <w:color w:val="231F20"/>
          <w:w w:val="105"/>
        </w:rPr>
        <w:t>vez el logro más audaz fue un cambio de lenguaje entre los líderes     de las principales economías, cuando se enfatiza en la necesidad de establecer un marco regulatorio y de supervisión de las transacciones financieras más estricto y eficaz, con una mayor participación guber- namental. En la práctica han tratado de reformar, restaurar el mismo sistema, dándole legitimidad a las instituciones principales como el  fmi y el bm, proveyéndolas de recursos financieros y permitiendo una mayor</w:t>
      </w:r>
      <w:r>
        <w:rPr>
          <w:color w:val="231F20"/>
          <w:spacing w:val="32"/>
          <w:w w:val="105"/>
        </w:rPr>
        <w:t> </w:t>
      </w:r>
      <w:r>
        <w:rPr>
          <w:color w:val="231F20"/>
          <w:w w:val="105"/>
        </w:rPr>
        <w:t>participación</w:t>
      </w:r>
      <w:r>
        <w:rPr>
          <w:color w:val="231F20"/>
          <w:spacing w:val="32"/>
          <w:w w:val="105"/>
        </w:rPr>
        <w:t> </w:t>
      </w:r>
      <w:r>
        <w:rPr>
          <w:color w:val="231F20"/>
          <w:w w:val="105"/>
        </w:rPr>
        <w:t>en</w:t>
      </w:r>
      <w:r>
        <w:rPr>
          <w:color w:val="231F20"/>
          <w:spacing w:val="32"/>
          <w:w w:val="105"/>
        </w:rPr>
        <w:t> </w:t>
      </w:r>
      <w:r>
        <w:rPr>
          <w:color w:val="231F20"/>
          <w:w w:val="105"/>
        </w:rPr>
        <w:t>ellas</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países</w:t>
      </w:r>
      <w:r>
        <w:rPr>
          <w:color w:val="231F20"/>
          <w:spacing w:val="32"/>
          <w:w w:val="105"/>
        </w:rPr>
        <w:t> </w:t>
      </w:r>
      <w:r>
        <w:rPr>
          <w:color w:val="231F20"/>
          <w:w w:val="105"/>
        </w:rPr>
        <w:t>en</w:t>
      </w:r>
      <w:r>
        <w:rPr>
          <w:color w:val="231F20"/>
          <w:spacing w:val="32"/>
          <w:w w:val="105"/>
        </w:rPr>
        <w:t> </w:t>
      </w:r>
      <w:r>
        <w:rPr>
          <w:color w:val="231F20"/>
          <w:w w:val="105"/>
        </w:rPr>
        <w:t>desarrollo.</w:t>
      </w:r>
    </w:p>
    <w:p>
      <w:pPr>
        <w:pStyle w:val="BodyText"/>
        <w:spacing w:line="261" w:lineRule="auto"/>
        <w:ind w:left="100" w:right="115" w:firstLine="240"/>
        <w:jc w:val="right"/>
      </w:pPr>
      <w:r>
        <w:rPr>
          <w:color w:val="231F20"/>
          <w:w w:val="110"/>
        </w:rPr>
        <w:t>Asimismo,</w:t>
      </w:r>
      <w:r>
        <w:rPr>
          <w:color w:val="231F20"/>
          <w:spacing w:val="-21"/>
          <w:w w:val="110"/>
        </w:rPr>
        <w:t> </w:t>
      </w:r>
      <w:r>
        <w:rPr>
          <w:color w:val="231F20"/>
          <w:w w:val="110"/>
        </w:rPr>
        <w:t>reconociendo</w:t>
      </w:r>
      <w:r>
        <w:rPr>
          <w:color w:val="231F20"/>
          <w:spacing w:val="-21"/>
          <w:w w:val="110"/>
        </w:rPr>
        <w:t> </w:t>
      </w:r>
      <w:r>
        <w:rPr>
          <w:color w:val="231F20"/>
          <w:w w:val="110"/>
        </w:rPr>
        <w:t>que</w:t>
      </w:r>
      <w:r>
        <w:rPr>
          <w:color w:val="231F20"/>
          <w:spacing w:val="-21"/>
          <w:w w:val="110"/>
        </w:rPr>
        <w:t> </w:t>
      </w:r>
      <w:r>
        <w:rPr>
          <w:color w:val="231F20"/>
          <w:w w:val="110"/>
        </w:rPr>
        <w:t>desequilibrios</w:t>
      </w:r>
      <w:r>
        <w:rPr>
          <w:color w:val="231F20"/>
          <w:spacing w:val="-21"/>
          <w:w w:val="110"/>
        </w:rPr>
        <w:t> </w:t>
      </w:r>
      <w:r>
        <w:rPr>
          <w:color w:val="231F20"/>
          <w:w w:val="110"/>
        </w:rPr>
        <w:t>globales</w:t>
      </w:r>
      <w:r>
        <w:rPr>
          <w:color w:val="231F20"/>
          <w:spacing w:val="-21"/>
          <w:w w:val="110"/>
        </w:rPr>
        <w:t> </w:t>
      </w:r>
      <w:r>
        <w:rPr>
          <w:color w:val="231F20"/>
          <w:w w:val="110"/>
        </w:rPr>
        <w:t>de</w:t>
      </w:r>
      <w:r>
        <w:rPr>
          <w:color w:val="231F20"/>
          <w:spacing w:val="-21"/>
          <w:w w:val="110"/>
        </w:rPr>
        <w:t> </w:t>
      </w:r>
      <w:r>
        <w:rPr>
          <w:color w:val="231F20"/>
          <w:w w:val="110"/>
        </w:rPr>
        <w:t>balanza</w:t>
      </w:r>
      <w:r>
        <w:rPr>
          <w:color w:val="231F20"/>
          <w:spacing w:val="-21"/>
          <w:w w:val="110"/>
        </w:rPr>
        <w:t> </w:t>
      </w:r>
      <w:r>
        <w:rPr>
          <w:color w:val="231F20"/>
          <w:w w:val="110"/>
        </w:rPr>
        <w:t>de</w:t>
      </w:r>
      <w:r>
        <w:rPr>
          <w:color w:val="231F20"/>
          <w:w w:val="114"/>
        </w:rPr>
        <w:t> </w:t>
      </w:r>
      <w:r>
        <w:rPr>
          <w:color w:val="231F20"/>
          <w:w w:val="110"/>
        </w:rPr>
        <w:t>pagos han sido elementos determinantes de la crisis,</w:t>
      </w:r>
      <w:r>
        <w:rPr>
          <w:color w:val="231F20"/>
          <w:spacing w:val="38"/>
          <w:w w:val="110"/>
        </w:rPr>
        <w:t> </w:t>
      </w:r>
      <w:r>
        <w:rPr>
          <w:color w:val="231F20"/>
          <w:w w:val="110"/>
        </w:rPr>
        <w:t>el</w:t>
      </w:r>
      <w:r>
        <w:rPr>
          <w:color w:val="231F20"/>
          <w:spacing w:val="25"/>
          <w:w w:val="110"/>
        </w:rPr>
        <w:t> </w:t>
      </w:r>
      <w:r>
        <w:rPr>
          <w:color w:val="231F20"/>
          <w:w w:val="110"/>
        </w:rPr>
        <w:t>presidente</w:t>
      </w:r>
      <w:r>
        <w:rPr>
          <w:color w:val="231F20"/>
          <w:w w:val="112"/>
        </w:rPr>
        <w:t> </w:t>
      </w:r>
      <w:r>
        <w:rPr>
          <w:color w:val="231F20"/>
          <w:w w:val="110"/>
        </w:rPr>
        <w:t>Barack Obama hizo una declaración en la Cumbre de Londres,</w:t>
      </w:r>
      <w:r>
        <w:rPr>
          <w:color w:val="231F20"/>
          <w:spacing w:val="-7"/>
          <w:w w:val="110"/>
        </w:rPr>
        <w:t> </w:t>
      </w:r>
      <w:r>
        <w:rPr>
          <w:color w:val="231F20"/>
          <w:w w:val="110"/>
        </w:rPr>
        <w:t>en</w:t>
      </w:r>
      <w:r>
        <w:rPr>
          <w:color w:val="231F20"/>
          <w:spacing w:val="-1"/>
          <w:w w:val="110"/>
        </w:rPr>
        <w:t> </w:t>
      </w:r>
      <w:r>
        <w:rPr>
          <w:color w:val="231F20"/>
          <w:w w:val="110"/>
        </w:rPr>
        <w:t>la</w:t>
      </w:r>
      <w:r>
        <w:rPr>
          <w:color w:val="231F20"/>
          <w:w w:val="105"/>
        </w:rPr>
        <w:t> </w:t>
      </w:r>
      <w:r>
        <w:rPr>
          <w:color w:val="231F20"/>
          <w:w w:val="110"/>
        </w:rPr>
        <w:t>que afirmó que el crecimiento futuro de Estados Unidos</w:t>
      </w:r>
      <w:r>
        <w:rPr>
          <w:color w:val="231F20"/>
          <w:spacing w:val="49"/>
          <w:w w:val="110"/>
        </w:rPr>
        <w:t> </w:t>
      </w:r>
      <w:r>
        <w:rPr>
          <w:color w:val="231F20"/>
          <w:w w:val="110"/>
        </w:rPr>
        <w:t>no</w:t>
      </w:r>
      <w:r>
        <w:rPr>
          <w:color w:val="231F20"/>
          <w:spacing w:val="17"/>
          <w:w w:val="110"/>
        </w:rPr>
        <w:t> </w:t>
      </w:r>
      <w:r>
        <w:rPr>
          <w:color w:val="231F20"/>
          <w:w w:val="110"/>
        </w:rPr>
        <w:t>podría</w:t>
      </w:r>
      <w:r>
        <w:rPr>
          <w:color w:val="231F20"/>
          <w:w w:val="113"/>
        </w:rPr>
        <w:t> </w:t>
      </w:r>
      <w:r>
        <w:rPr>
          <w:color w:val="231F20"/>
          <w:w w:val="110"/>
        </w:rPr>
        <w:t>estar</w:t>
      </w:r>
      <w:r>
        <w:rPr>
          <w:color w:val="231F20"/>
          <w:spacing w:val="-14"/>
          <w:w w:val="110"/>
        </w:rPr>
        <w:t> </w:t>
      </w:r>
      <w:r>
        <w:rPr>
          <w:color w:val="231F20"/>
          <w:w w:val="110"/>
        </w:rPr>
        <w:t>orientado</w:t>
      </w:r>
      <w:r>
        <w:rPr>
          <w:color w:val="231F20"/>
          <w:spacing w:val="-14"/>
          <w:w w:val="110"/>
        </w:rPr>
        <w:t> </w:t>
      </w:r>
      <w:r>
        <w:rPr>
          <w:color w:val="231F20"/>
          <w:w w:val="110"/>
        </w:rPr>
        <w:t>principalmente</w:t>
      </w:r>
      <w:r>
        <w:rPr>
          <w:color w:val="231F20"/>
          <w:spacing w:val="-14"/>
          <w:w w:val="110"/>
        </w:rPr>
        <w:t> </w:t>
      </w:r>
      <w:r>
        <w:rPr>
          <w:color w:val="231F20"/>
          <w:w w:val="110"/>
        </w:rPr>
        <w:t>hacia</w:t>
      </w:r>
      <w:r>
        <w:rPr>
          <w:color w:val="231F20"/>
          <w:spacing w:val="-14"/>
          <w:w w:val="110"/>
        </w:rPr>
        <w:t> </w:t>
      </w:r>
      <w:r>
        <w:rPr>
          <w:color w:val="231F20"/>
          <w:w w:val="110"/>
        </w:rPr>
        <w:t>el</w:t>
      </w:r>
      <w:r>
        <w:rPr>
          <w:color w:val="231F20"/>
          <w:spacing w:val="-14"/>
          <w:w w:val="110"/>
        </w:rPr>
        <w:t> </w:t>
      </w:r>
      <w:r>
        <w:rPr>
          <w:color w:val="231F20"/>
          <w:w w:val="110"/>
        </w:rPr>
        <w:t>consumo,</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vez</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mun-</w:t>
      </w:r>
      <w:r>
        <w:rPr>
          <w:color w:val="231F20"/>
          <w:w w:val="72"/>
        </w:rPr>
        <w:t> </w:t>
      </w:r>
      <w:r>
        <w:rPr>
          <w:color w:val="231F20"/>
          <w:w w:val="110"/>
        </w:rPr>
        <w:t>do no podría seguir dependiendo de Estados Unidos</w:t>
      </w:r>
      <w:r>
        <w:rPr>
          <w:color w:val="231F20"/>
          <w:spacing w:val="35"/>
          <w:w w:val="110"/>
        </w:rPr>
        <w:t> </w:t>
      </w:r>
      <w:r>
        <w:rPr>
          <w:color w:val="231F20"/>
          <w:w w:val="110"/>
        </w:rPr>
        <w:t>para</w:t>
      </w:r>
      <w:r>
        <w:rPr>
          <w:color w:val="231F20"/>
          <w:spacing w:val="18"/>
          <w:w w:val="110"/>
        </w:rPr>
        <w:t> </w:t>
      </w:r>
      <w:r>
        <w:rPr>
          <w:color w:val="231F20"/>
          <w:w w:val="110"/>
        </w:rPr>
        <w:t>impulsar</w:t>
      </w:r>
      <w:r>
        <w:rPr>
          <w:color w:val="231F20"/>
          <w:w w:val="109"/>
        </w:rPr>
        <w:t> </w:t>
      </w:r>
      <w:r>
        <w:rPr>
          <w:color w:val="231F20"/>
          <w:w w:val="110"/>
        </w:rPr>
        <w:t>su</w:t>
      </w:r>
      <w:r>
        <w:rPr>
          <w:color w:val="231F20"/>
          <w:spacing w:val="-10"/>
          <w:w w:val="110"/>
        </w:rPr>
        <w:t> </w:t>
      </w:r>
      <w:r>
        <w:rPr>
          <w:color w:val="231F20"/>
          <w:w w:val="110"/>
        </w:rPr>
        <w:t>crecimiento.</w:t>
      </w:r>
      <w:r>
        <w:rPr>
          <w:color w:val="231F20"/>
          <w:spacing w:val="-10"/>
          <w:w w:val="110"/>
        </w:rPr>
        <w:t> </w:t>
      </w:r>
      <w:r>
        <w:rPr>
          <w:color w:val="231F20"/>
          <w:w w:val="110"/>
        </w:rPr>
        <w:t>Si</w:t>
      </w:r>
      <w:r>
        <w:rPr>
          <w:color w:val="231F20"/>
          <w:spacing w:val="-10"/>
          <w:w w:val="110"/>
        </w:rPr>
        <w:t> </w:t>
      </w:r>
      <w:r>
        <w:rPr>
          <w:color w:val="231F20"/>
          <w:w w:val="110"/>
        </w:rPr>
        <w:t>bien</w:t>
      </w:r>
      <w:r>
        <w:rPr>
          <w:color w:val="231F20"/>
          <w:spacing w:val="-10"/>
          <w:w w:val="110"/>
        </w:rPr>
        <w:t> </w:t>
      </w:r>
      <w:r>
        <w:rPr>
          <w:color w:val="231F20"/>
          <w:w w:val="110"/>
        </w:rPr>
        <w:t>la</w:t>
      </w:r>
      <w:r>
        <w:rPr>
          <w:color w:val="231F20"/>
          <w:spacing w:val="-10"/>
          <w:w w:val="110"/>
        </w:rPr>
        <w:t> </w:t>
      </w:r>
      <w:r>
        <w:rPr>
          <w:color w:val="231F20"/>
          <w:w w:val="110"/>
        </w:rPr>
        <w:t>insostenibilidad</w:t>
      </w:r>
      <w:r>
        <w:rPr>
          <w:color w:val="231F20"/>
          <w:spacing w:val="-10"/>
          <w:w w:val="110"/>
        </w:rPr>
        <w:t> </w:t>
      </w:r>
      <w:r>
        <w:rPr>
          <w:color w:val="231F20"/>
          <w:w w:val="110"/>
        </w:rPr>
        <w:t>de</w:t>
      </w:r>
      <w:r>
        <w:rPr>
          <w:color w:val="231F20"/>
          <w:spacing w:val="-10"/>
          <w:w w:val="110"/>
        </w:rPr>
        <w:t> </w:t>
      </w:r>
      <w:r>
        <w:rPr>
          <w:color w:val="231F20"/>
          <w:w w:val="110"/>
        </w:rPr>
        <w:t>ese</w:t>
      </w:r>
      <w:r>
        <w:rPr>
          <w:color w:val="231F20"/>
          <w:spacing w:val="-10"/>
          <w:w w:val="110"/>
        </w:rPr>
        <w:t> </w:t>
      </w:r>
      <w:r>
        <w:rPr>
          <w:color w:val="231F20"/>
          <w:w w:val="110"/>
        </w:rPr>
        <w:t>modelo</w:t>
      </w:r>
      <w:r>
        <w:rPr>
          <w:color w:val="231F20"/>
          <w:spacing w:val="-10"/>
          <w:w w:val="110"/>
        </w:rPr>
        <w:t> </w:t>
      </w:r>
      <w:r>
        <w:rPr>
          <w:color w:val="231F20"/>
          <w:w w:val="110"/>
        </w:rPr>
        <w:t>es</w:t>
      </w:r>
      <w:r>
        <w:rPr>
          <w:color w:val="231F20"/>
          <w:spacing w:val="-10"/>
          <w:w w:val="110"/>
        </w:rPr>
        <w:t> </w:t>
      </w:r>
      <w:r>
        <w:rPr>
          <w:color w:val="231F20"/>
          <w:w w:val="110"/>
        </w:rPr>
        <w:t>evidente,</w:t>
      </w:r>
      <w:r>
        <w:rPr>
          <w:color w:val="231F20"/>
          <w:w w:val="108"/>
        </w:rPr>
        <w:t> </w:t>
      </w:r>
      <w:r>
        <w:rPr>
          <w:color w:val="231F20"/>
          <w:w w:val="110"/>
        </w:rPr>
        <w:t>es todo un desafío para los principales actores del mismo,</w:t>
      </w:r>
      <w:r>
        <w:rPr>
          <w:color w:val="231F20"/>
          <w:spacing w:val="-28"/>
          <w:w w:val="110"/>
        </w:rPr>
        <w:t> </w:t>
      </w:r>
      <w:r>
        <w:rPr>
          <w:color w:val="231F20"/>
          <w:w w:val="110"/>
        </w:rPr>
        <w:t>lograr</w:t>
      </w:r>
      <w:r>
        <w:rPr>
          <w:color w:val="231F20"/>
          <w:spacing w:val="-3"/>
          <w:w w:val="110"/>
        </w:rPr>
        <w:t> </w:t>
      </w:r>
      <w:r>
        <w:rPr>
          <w:color w:val="231F20"/>
          <w:w w:val="110"/>
        </w:rPr>
        <w:t>que</w:t>
      </w:r>
      <w:r>
        <w:rPr>
          <w:color w:val="231F20"/>
          <w:w w:val="113"/>
        </w:rPr>
        <w:t> </w:t>
      </w:r>
      <w:r>
        <w:rPr>
          <w:color w:val="231F20"/>
          <w:w w:val="110"/>
        </w:rPr>
        <w:t>la reanimación global se construya sobre nuevas</w:t>
      </w:r>
      <w:r>
        <w:rPr>
          <w:color w:val="231F20"/>
          <w:spacing w:val="-12"/>
          <w:w w:val="110"/>
        </w:rPr>
        <w:t> </w:t>
      </w:r>
      <w:r>
        <w:rPr>
          <w:color w:val="231F20"/>
          <w:w w:val="110"/>
        </w:rPr>
        <w:t>bases</w:t>
      </w:r>
      <w:r>
        <w:rPr>
          <w:color w:val="231F20"/>
          <w:spacing w:val="-2"/>
          <w:w w:val="110"/>
        </w:rPr>
        <w:t> </w:t>
      </w:r>
      <w:r>
        <w:rPr>
          <w:color w:val="231F20"/>
          <w:w w:val="110"/>
        </w:rPr>
        <w:t>estructurales.</w:t>
      </w:r>
      <w:r>
        <w:rPr>
          <w:color w:val="231F20"/>
          <w:w w:val="109"/>
        </w:rPr>
        <w:t> </w:t>
      </w:r>
      <w:r>
        <w:rPr>
          <w:color w:val="231F20"/>
          <w:spacing w:val="-3"/>
          <w:w w:val="110"/>
        </w:rPr>
        <w:t>También </w:t>
      </w:r>
      <w:r>
        <w:rPr>
          <w:color w:val="231F20"/>
          <w:w w:val="110"/>
        </w:rPr>
        <w:t>ha quedado claro que Estados Unidos no</w:t>
      </w:r>
      <w:r>
        <w:rPr>
          <w:color w:val="231F20"/>
          <w:spacing w:val="16"/>
          <w:w w:val="110"/>
        </w:rPr>
        <w:t> </w:t>
      </w:r>
      <w:r>
        <w:rPr>
          <w:color w:val="231F20"/>
          <w:w w:val="110"/>
        </w:rPr>
        <w:t>estimulará</w:t>
      </w:r>
      <w:r>
        <w:rPr>
          <w:color w:val="231F20"/>
          <w:spacing w:val="1"/>
          <w:w w:val="110"/>
        </w:rPr>
        <w:t> </w:t>
      </w:r>
      <w:r>
        <w:rPr>
          <w:color w:val="231F20"/>
          <w:w w:val="110"/>
        </w:rPr>
        <w:t>una</w:t>
      </w:r>
      <w:r>
        <w:rPr>
          <w:color w:val="231F20"/>
          <w:w w:val="114"/>
        </w:rPr>
        <w:t> </w:t>
      </w:r>
      <w:r>
        <w:rPr>
          <w:color w:val="231F20"/>
          <w:w w:val="110"/>
        </w:rPr>
        <w:t>discusión sobre una reforma monetaria que sustituya al</w:t>
      </w:r>
      <w:r>
        <w:rPr>
          <w:color w:val="231F20"/>
          <w:spacing w:val="37"/>
          <w:w w:val="110"/>
        </w:rPr>
        <w:t> </w:t>
      </w:r>
      <w:r>
        <w:rPr>
          <w:color w:val="231F20"/>
          <w:w w:val="110"/>
        </w:rPr>
        <w:t>dólar</w:t>
      </w:r>
      <w:r>
        <w:rPr>
          <w:color w:val="231F20"/>
          <w:spacing w:val="11"/>
          <w:w w:val="110"/>
        </w:rPr>
        <w:t> </w:t>
      </w:r>
      <w:r>
        <w:rPr>
          <w:color w:val="231F20"/>
          <w:w w:val="110"/>
        </w:rPr>
        <w:t>como</w:t>
      </w:r>
      <w:r>
        <w:rPr>
          <w:color w:val="231F20"/>
          <w:w w:val="109"/>
        </w:rPr>
        <w:t> </w:t>
      </w:r>
      <w:r>
        <w:rPr>
          <w:color w:val="231F20"/>
          <w:w w:val="110"/>
        </w:rPr>
        <w:t>principal moneda de reserva internacional. Según</w:t>
      </w:r>
      <w:r>
        <w:rPr>
          <w:color w:val="231F20"/>
          <w:spacing w:val="17"/>
          <w:w w:val="110"/>
        </w:rPr>
        <w:t> </w:t>
      </w:r>
      <w:r>
        <w:rPr>
          <w:color w:val="231F20"/>
          <w:w w:val="110"/>
        </w:rPr>
        <w:t>Mundell</w:t>
      </w:r>
      <w:r>
        <w:rPr>
          <w:color w:val="231F20"/>
          <w:spacing w:val="21"/>
          <w:w w:val="110"/>
        </w:rPr>
        <w:t> </w:t>
      </w:r>
      <w:r>
        <w:rPr>
          <w:color w:val="231F20"/>
          <w:w w:val="110"/>
        </w:rPr>
        <w:t>(1997),</w:t>
      </w:r>
      <w:r>
        <w:rPr>
          <w:color w:val="231F20"/>
          <w:w w:val="110"/>
        </w:rPr>
        <w:t> </w:t>
      </w:r>
      <w:r>
        <w:rPr>
          <w:color w:val="231F20"/>
          <w:w w:val="110"/>
        </w:rPr>
        <w:t>históricamente, “el superpoder” ha sido un obstáculo a</w:t>
      </w:r>
      <w:r>
        <w:rPr>
          <w:color w:val="231F20"/>
          <w:spacing w:val="35"/>
          <w:w w:val="110"/>
        </w:rPr>
        <w:t> </w:t>
      </w:r>
      <w:r>
        <w:rPr>
          <w:color w:val="231F20"/>
          <w:w w:val="110"/>
        </w:rPr>
        <w:t>la</w:t>
      </w:r>
      <w:r>
        <w:rPr>
          <w:color w:val="231F20"/>
          <w:spacing w:val="25"/>
          <w:w w:val="110"/>
        </w:rPr>
        <w:t> </w:t>
      </w:r>
      <w:r>
        <w:rPr>
          <w:color w:val="231F20"/>
          <w:w w:val="110"/>
        </w:rPr>
        <w:t>reforma</w:t>
      </w:r>
      <w:r>
        <w:rPr>
          <w:color w:val="231F20"/>
          <w:w w:val="111"/>
        </w:rPr>
        <w:t> </w:t>
      </w:r>
      <w:r>
        <w:rPr>
          <w:color w:val="231F20"/>
          <w:w w:val="110"/>
        </w:rPr>
        <w:t>monetaria,</w:t>
      </w:r>
      <w:r>
        <w:rPr>
          <w:color w:val="231F20"/>
          <w:spacing w:val="42"/>
          <w:w w:val="110"/>
        </w:rPr>
        <w:t> </w:t>
      </w:r>
      <w:r>
        <w:rPr>
          <w:color w:val="231F20"/>
          <w:w w:val="110"/>
        </w:rPr>
        <w:t>porque</w:t>
      </w:r>
      <w:r>
        <w:rPr>
          <w:color w:val="231F20"/>
          <w:spacing w:val="42"/>
          <w:w w:val="110"/>
        </w:rPr>
        <w:t> </w:t>
      </w:r>
      <w:r>
        <w:rPr>
          <w:color w:val="231F20"/>
          <w:w w:val="110"/>
        </w:rPr>
        <w:t>tiene</w:t>
      </w:r>
      <w:r>
        <w:rPr>
          <w:color w:val="231F20"/>
          <w:spacing w:val="42"/>
          <w:w w:val="110"/>
        </w:rPr>
        <w:t> </w:t>
      </w:r>
      <w:r>
        <w:rPr>
          <w:color w:val="231F20"/>
          <w:w w:val="110"/>
        </w:rPr>
        <w:t>mucho</w:t>
      </w:r>
      <w:r>
        <w:rPr>
          <w:color w:val="231F20"/>
          <w:spacing w:val="42"/>
          <w:w w:val="110"/>
        </w:rPr>
        <w:t> </w:t>
      </w:r>
      <w:r>
        <w:rPr>
          <w:color w:val="231F20"/>
          <w:w w:val="110"/>
        </w:rPr>
        <w:t>que</w:t>
      </w:r>
      <w:r>
        <w:rPr>
          <w:color w:val="231F20"/>
          <w:spacing w:val="42"/>
          <w:w w:val="110"/>
        </w:rPr>
        <w:t> </w:t>
      </w:r>
      <w:r>
        <w:rPr>
          <w:color w:val="231F20"/>
          <w:w w:val="110"/>
        </w:rPr>
        <w:t>perder</w:t>
      </w:r>
      <w:r>
        <w:rPr>
          <w:color w:val="231F20"/>
          <w:spacing w:val="42"/>
          <w:w w:val="110"/>
        </w:rPr>
        <w:t> </w:t>
      </w:r>
      <w:r>
        <w:rPr>
          <w:color w:val="231F20"/>
          <w:w w:val="110"/>
        </w:rPr>
        <w:t>en</w:t>
      </w:r>
      <w:r>
        <w:rPr>
          <w:color w:val="231F20"/>
          <w:spacing w:val="42"/>
          <w:w w:val="110"/>
        </w:rPr>
        <w:t> </w:t>
      </w:r>
      <w:r>
        <w:rPr>
          <w:color w:val="231F20"/>
          <w:w w:val="110"/>
        </w:rPr>
        <w:t>términos</w:t>
      </w:r>
      <w:r>
        <w:rPr>
          <w:color w:val="231F20"/>
          <w:spacing w:val="42"/>
          <w:w w:val="110"/>
        </w:rPr>
        <w:t> </w:t>
      </w:r>
      <w:r>
        <w:rPr>
          <w:color w:val="231F20"/>
          <w:w w:val="110"/>
        </w:rPr>
        <w:t>de</w:t>
      </w:r>
      <w:r>
        <w:rPr>
          <w:color w:val="231F20"/>
          <w:spacing w:val="42"/>
          <w:w w:val="110"/>
        </w:rPr>
        <w:t> </w:t>
      </w:r>
      <w:r>
        <w:rPr>
          <w:color w:val="231F20"/>
          <w:w w:val="110"/>
        </w:rPr>
        <w:t>sobe-</w:t>
      </w:r>
      <w:r>
        <w:rPr>
          <w:color w:val="231F20"/>
          <w:w w:val="72"/>
        </w:rPr>
        <w:t> </w:t>
      </w:r>
      <w:r>
        <w:rPr>
          <w:color w:val="231F20"/>
          <w:w w:val="110"/>
        </w:rPr>
        <w:t>ranía. En el siglo xix, Inglaterra rechazó los esfuerzos de</w:t>
      </w:r>
      <w:r>
        <w:rPr>
          <w:color w:val="231F20"/>
          <w:spacing w:val="6"/>
          <w:w w:val="110"/>
        </w:rPr>
        <w:t> </w:t>
      </w:r>
      <w:r>
        <w:rPr>
          <w:color w:val="231F20"/>
          <w:w w:val="110"/>
        </w:rPr>
        <w:t>Francia</w:t>
      </w:r>
      <w:r>
        <w:rPr>
          <w:color w:val="231F20"/>
          <w:spacing w:val="11"/>
          <w:w w:val="110"/>
        </w:rPr>
        <w:t> </w:t>
      </w:r>
      <w:r>
        <w:rPr>
          <w:color w:val="231F20"/>
          <w:w w:val="110"/>
        </w:rPr>
        <w:t>y</w:t>
      </w:r>
      <w:r>
        <w:rPr>
          <w:color w:val="231F20"/>
          <w:w w:val="84"/>
        </w:rPr>
        <w:t> </w:t>
      </w:r>
      <w:r>
        <w:rPr>
          <w:color w:val="231F20"/>
          <w:w w:val="110"/>
        </w:rPr>
        <w:t>Estados</w:t>
      </w:r>
      <w:r>
        <w:rPr>
          <w:color w:val="231F20"/>
          <w:spacing w:val="23"/>
          <w:w w:val="110"/>
        </w:rPr>
        <w:t> </w:t>
      </w:r>
      <w:r>
        <w:rPr>
          <w:color w:val="231F20"/>
          <w:w w:val="110"/>
        </w:rPr>
        <w:t>Unidos</w:t>
      </w:r>
      <w:r>
        <w:rPr>
          <w:color w:val="231F20"/>
          <w:spacing w:val="23"/>
          <w:w w:val="110"/>
        </w:rPr>
        <w:t> </w:t>
      </w:r>
      <w:r>
        <w:rPr>
          <w:color w:val="231F20"/>
          <w:w w:val="110"/>
        </w:rPr>
        <w:t>para</w:t>
      </w:r>
      <w:r>
        <w:rPr>
          <w:color w:val="231F20"/>
          <w:spacing w:val="23"/>
          <w:w w:val="110"/>
        </w:rPr>
        <w:t> </w:t>
      </w:r>
      <w:r>
        <w:rPr>
          <w:color w:val="231F20"/>
          <w:w w:val="110"/>
        </w:rPr>
        <w:t>establecer</w:t>
      </w:r>
      <w:r>
        <w:rPr>
          <w:color w:val="231F20"/>
          <w:spacing w:val="23"/>
          <w:w w:val="110"/>
        </w:rPr>
        <w:t> </w:t>
      </w:r>
      <w:r>
        <w:rPr>
          <w:color w:val="231F20"/>
          <w:w w:val="110"/>
        </w:rPr>
        <w:t>una</w:t>
      </w:r>
      <w:r>
        <w:rPr>
          <w:color w:val="231F20"/>
          <w:spacing w:val="23"/>
          <w:w w:val="110"/>
        </w:rPr>
        <w:t> </w:t>
      </w:r>
      <w:r>
        <w:rPr>
          <w:color w:val="231F20"/>
          <w:w w:val="110"/>
        </w:rPr>
        <w:t>moneda</w:t>
      </w:r>
      <w:r>
        <w:rPr>
          <w:color w:val="231F20"/>
          <w:spacing w:val="23"/>
          <w:w w:val="110"/>
        </w:rPr>
        <w:t> </w:t>
      </w:r>
      <w:r>
        <w:rPr>
          <w:color w:val="231F20"/>
          <w:w w:val="110"/>
        </w:rPr>
        <w:t>mundial</w:t>
      </w:r>
      <w:r>
        <w:rPr>
          <w:color w:val="231F20"/>
          <w:spacing w:val="23"/>
          <w:w w:val="110"/>
        </w:rPr>
        <w:t> </w:t>
      </w:r>
      <w:r>
        <w:rPr>
          <w:color w:val="231F20"/>
          <w:w w:val="110"/>
        </w:rPr>
        <w:t>y</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siglo</w:t>
      </w:r>
      <w:r>
        <w:rPr>
          <w:color w:val="231F20"/>
          <w:w w:val="102"/>
        </w:rPr>
        <w:t> </w:t>
      </w:r>
      <w:r>
        <w:rPr>
          <w:color w:val="231F20"/>
          <w:w w:val="110"/>
        </w:rPr>
        <w:t>xx, Estados Unidos ha sido el obstáculo (Mundell, 2009).</w:t>
      </w:r>
      <w:r>
        <w:rPr>
          <w:color w:val="231F20"/>
          <w:spacing w:val="-6"/>
          <w:w w:val="110"/>
        </w:rPr>
        <w:t> </w:t>
      </w:r>
      <w:r>
        <w:rPr>
          <w:color w:val="231F20"/>
          <w:w w:val="110"/>
        </w:rPr>
        <w:t>De</w:t>
      </w:r>
      <w:r>
        <w:rPr>
          <w:color w:val="231F20"/>
          <w:spacing w:val="-1"/>
          <w:w w:val="110"/>
        </w:rPr>
        <w:t> </w:t>
      </w:r>
      <w:r>
        <w:rPr>
          <w:color w:val="231F20"/>
          <w:w w:val="110"/>
        </w:rPr>
        <w:t>hecho,</w:t>
      </w:r>
      <w:r>
        <w:rPr>
          <w:color w:val="231F20"/>
          <w:w w:val="112"/>
        </w:rPr>
        <w:t> </w:t>
      </w:r>
      <w:r>
        <w:rPr>
          <w:color w:val="231F20"/>
          <w:w w:val="110"/>
        </w:rPr>
        <w:t>Estados Unidos y muchos otros gobiernos</w:t>
      </w:r>
      <w:r>
        <w:rPr>
          <w:color w:val="231F20"/>
          <w:spacing w:val="10"/>
          <w:w w:val="110"/>
        </w:rPr>
        <w:t> </w:t>
      </w:r>
      <w:r>
        <w:rPr>
          <w:color w:val="231F20"/>
          <w:w w:val="110"/>
        </w:rPr>
        <w:t>rechazaron</w:t>
      </w:r>
      <w:r>
        <w:rPr>
          <w:color w:val="231F20"/>
          <w:spacing w:val="20"/>
          <w:w w:val="110"/>
        </w:rPr>
        <w:t> </w:t>
      </w:r>
      <w:r>
        <w:rPr>
          <w:color w:val="231F20"/>
          <w:w w:val="110"/>
        </w:rPr>
        <w:t>rápidamente</w:t>
      </w:r>
      <w:r>
        <w:rPr>
          <w:color w:val="231F20"/>
          <w:w w:val="112"/>
        </w:rPr>
        <w:t> </w:t>
      </w:r>
      <w:r>
        <w:rPr>
          <w:color w:val="231F20"/>
          <w:w w:val="110"/>
        </w:rPr>
        <w:t>la propuesta china antes  mencionada,  reafirmando </w:t>
      </w:r>
      <w:r>
        <w:rPr>
          <w:color w:val="231F20"/>
          <w:spacing w:val="15"/>
          <w:w w:val="110"/>
        </w:rPr>
        <w:t> </w:t>
      </w:r>
      <w:r>
        <w:rPr>
          <w:color w:val="231F20"/>
          <w:w w:val="110"/>
        </w:rPr>
        <w:t>su </w:t>
      </w:r>
      <w:r>
        <w:rPr>
          <w:color w:val="231F20"/>
          <w:spacing w:val="2"/>
          <w:w w:val="110"/>
        </w:rPr>
        <w:t> </w:t>
      </w:r>
      <w:r>
        <w:rPr>
          <w:color w:val="231F20"/>
          <w:w w:val="110"/>
        </w:rPr>
        <w:t>confianza</w:t>
      </w:r>
      <w:r>
        <w:rPr>
          <w:color w:val="231F20"/>
          <w:spacing w:val="2"/>
          <w:w w:val="108"/>
        </w:rPr>
        <w:t> </w:t>
      </w: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papel</w:t>
      </w:r>
      <w:r>
        <w:rPr>
          <w:color w:val="231F20"/>
          <w:spacing w:val="30"/>
          <w:w w:val="110"/>
        </w:rPr>
        <w:t> </w:t>
      </w:r>
      <w:r>
        <w:rPr>
          <w:color w:val="231F20"/>
          <w:w w:val="110"/>
        </w:rPr>
        <w:t>central</w:t>
      </w:r>
      <w:r>
        <w:rPr>
          <w:color w:val="231F20"/>
          <w:spacing w:val="30"/>
          <w:w w:val="110"/>
        </w:rPr>
        <w:t> </w:t>
      </w:r>
      <w:r>
        <w:rPr>
          <w:color w:val="231F20"/>
          <w:w w:val="110"/>
        </w:rPr>
        <w:t>del</w:t>
      </w:r>
      <w:r>
        <w:rPr>
          <w:color w:val="231F20"/>
          <w:spacing w:val="30"/>
          <w:w w:val="110"/>
        </w:rPr>
        <w:t> </w:t>
      </w:r>
      <w:r>
        <w:rPr>
          <w:color w:val="231F20"/>
          <w:w w:val="110"/>
        </w:rPr>
        <w:t>dólar</w:t>
      </w:r>
      <w:r>
        <w:rPr>
          <w:color w:val="231F20"/>
          <w:spacing w:val="30"/>
          <w:w w:val="110"/>
        </w:rPr>
        <w:t> </w:t>
      </w:r>
      <w:r>
        <w:rPr>
          <w:color w:val="231F20"/>
          <w:w w:val="110"/>
        </w:rPr>
        <w:t>a</w:t>
      </w:r>
      <w:r>
        <w:rPr>
          <w:color w:val="231F20"/>
          <w:spacing w:val="30"/>
          <w:w w:val="110"/>
        </w:rPr>
        <w:t> </w:t>
      </w:r>
      <w:r>
        <w:rPr>
          <w:color w:val="231F20"/>
          <w:w w:val="110"/>
        </w:rPr>
        <w:t>escala</w:t>
      </w:r>
      <w:r>
        <w:rPr>
          <w:color w:val="231F20"/>
          <w:spacing w:val="30"/>
          <w:w w:val="110"/>
        </w:rPr>
        <w:t> </w:t>
      </w:r>
      <w:r>
        <w:rPr>
          <w:color w:val="231F20"/>
          <w:w w:val="110"/>
        </w:rPr>
        <w:t>global.</w:t>
      </w:r>
      <w:r>
        <w:rPr>
          <w:color w:val="231F20"/>
          <w:spacing w:val="30"/>
          <w:w w:val="110"/>
        </w:rPr>
        <w:t> </w:t>
      </w:r>
      <w:r>
        <w:rPr>
          <w:color w:val="231F20"/>
          <w:w w:val="110"/>
        </w:rPr>
        <w:t>Estados</w:t>
      </w:r>
      <w:r>
        <w:rPr>
          <w:color w:val="231F20"/>
          <w:spacing w:val="30"/>
          <w:w w:val="110"/>
        </w:rPr>
        <w:t> </w:t>
      </w:r>
      <w:r>
        <w:rPr>
          <w:color w:val="231F20"/>
          <w:w w:val="110"/>
        </w:rPr>
        <w:t>Unidos,</w:t>
      </w:r>
      <w:r>
        <w:rPr>
          <w:color w:val="231F20"/>
          <w:spacing w:val="30"/>
          <w:w w:val="110"/>
        </w:rPr>
        <w:t> </w:t>
      </w:r>
      <w:r>
        <w:rPr>
          <w:color w:val="231F20"/>
          <w:w w:val="110"/>
        </w:rPr>
        <w:t>“el</w:t>
      </w:r>
      <w:r>
        <w:rPr>
          <w:color w:val="231F20"/>
          <w:w w:val="101"/>
        </w:rPr>
        <w:t> </w:t>
      </w:r>
      <w:r>
        <w:rPr>
          <w:color w:val="231F20"/>
          <w:w w:val="110"/>
        </w:rPr>
        <w:t>superpoder” actual, sólo impulsaría una reforma monetaria</w:t>
      </w:r>
      <w:r>
        <w:rPr>
          <w:color w:val="231F20"/>
          <w:spacing w:val="30"/>
          <w:w w:val="110"/>
        </w:rPr>
        <w:t> </w:t>
      </w:r>
      <w:r>
        <w:rPr>
          <w:color w:val="231F20"/>
          <w:w w:val="110"/>
        </w:rPr>
        <w:t>si</w:t>
      </w:r>
      <w:r>
        <w:rPr>
          <w:color w:val="231F20"/>
          <w:spacing w:val="27"/>
          <w:w w:val="110"/>
        </w:rPr>
        <w:t> </w:t>
      </w:r>
      <w:r>
        <w:rPr>
          <w:color w:val="231F20"/>
          <w:w w:val="110"/>
        </w:rPr>
        <w:t>ésta</w:t>
      </w:r>
      <w:r>
        <w:rPr>
          <w:color w:val="231F20"/>
          <w:w w:val="106"/>
        </w:rPr>
        <w:t> </w:t>
      </w:r>
      <w:r>
        <w:rPr>
          <w:color w:val="231F20"/>
          <w:w w:val="110"/>
        </w:rPr>
        <w:t>fuera una opción para eliminar una amenaza a su propia </w:t>
      </w:r>
      <w:r>
        <w:rPr>
          <w:color w:val="231F20"/>
          <w:spacing w:val="7"/>
          <w:w w:val="110"/>
        </w:rPr>
        <w:t> </w:t>
      </w:r>
      <w:r>
        <w:rPr>
          <w:color w:val="231F20"/>
          <w:w w:val="110"/>
        </w:rPr>
        <w:t>hegemonía</w:t>
      </w:r>
    </w:p>
    <w:p>
      <w:pPr>
        <w:pStyle w:val="BodyText"/>
        <w:ind w:left="100"/>
        <w:jc w:val="both"/>
      </w:pPr>
      <w:r>
        <w:rPr>
          <w:color w:val="231F20"/>
          <w:w w:val="110"/>
        </w:rPr>
        <w:t>(Mundell, 1997).</w:t>
      </w:r>
    </w:p>
    <w:p>
      <w:pPr>
        <w:pStyle w:val="BodyText"/>
        <w:spacing w:line="261" w:lineRule="auto" w:before="20"/>
        <w:ind w:left="100" w:right="117" w:firstLine="240"/>
        <w:jc w:val="both"/>
      </w:pPr>
      <w:r>
        <w:rPr>
          <w:color w:val="231F20"/>
          <w:w w:val="110"/>
        </w:rPr>
        <w:t>Una debilidad prolongada de la economía estadunidense, podría potenciar cambios de gran alcance en el sistema monetario en el largo</w:t>
      </w:r>
      <w:r>
        <w:rPr>
          <w:color w:val="231F20"/>
          <w:spacing w:val="-11"/>
          <w:w w:val="110"/>
        </w:rPr>
        <w:t> </w:t>
      </w:r>
      <w:r>
        <w:rPr>
          <w:color w:val="231F20"/>
          <w:w w:val="110"/>
        </w:rPr>
        <w:t>plazo.</w:t>
      </w:r>
      <w:r>
        <w:rPr>
          <w:color w:val="231F20"/>
          <w:spacing w:val="-11"/>
          <w:w w:val="110"/>
        </w:rPr>
        <w:t> </w:t>
      </w:r>
      <w:r>
        <w:rPr>
          <w:color w:val="231F20"/>
          <w:w w:val="110"/>
        </w:rPr>
        <w:t>Es</w:t>
      </w:r>
      <w:r>
        <w:rPr>
          <w:color w:val="231F20"/>
          <w:spacing w:val="-11"/>
          <w:w w:val="110"/>
        </w:rPr>
        <w:t> </w:t>
      </w:r>
      <w:r>
        <w:rPr>
          <w:color w:val="231F20"/>
          <w:w w:val="110"/>
        </w:rPr>
        <w:t>posible</w:t>
      </w:r>
      <w:r>
        <w:rPr>
          <w:color w:val="231F20"/>
          <w:spacing w:val="-11"/>
          <w:w w:val="110"/>
        </w:rPr>
        <w:t> </w:t>
      </w:r>
      <w:r>
        <w:rPr>
          <w:color w:val="231F20"/>
          <w:w w:val="110"/>
        </w:rPr>
        <w:t>identificar</w:t>
      </w:r>
      <w:r>
        <w:rPr>
          <w:color w:val="231F20"/>
          <w:spacing w:val="-11"/>
          <w:w w:val="110"/>
        </w:rPr>
        <w:t> </w:t>
      </w:r>
      <w:r>
        <w:rPr>
          <w:color w:val="231F20"/>
          <w:w w:val="110"/>
        </w:rPr>
        <w:t>dos</w:t>
      </w:r>
      <w:r>
        <w:rPr>
          <w:color w:val="231F20"/>
          <w:spacing w:val="-11"/>
          <w:w w:val="110"/>
        </w:rPr>
        <w:t> </w:t>
      </w:r>
      <w:r>
        <w:rPr>
          <w:color w:val="231F20"/>
          <w:w w:val="110"/>
        </w:rPr>
        <w:t>posibles</w:t>
      </w:r>
      <w:r>
        <w:rPr>
          <w:color w:val="231F20"/>
          <w:spacing w:val="-11"/>
          <w:w w:val="110"/>
        </w:rPr>
        <w:t> </w:t>
      </w:r>
      <w:r>
        <w:rPr>
          <w:color w:val="231F20"/>
          <w:w w:val="110"/>
        </w:rPr>
        <w:t>escenarios:</w:t>
      </w:r>
      <w:r>
        <w:rPr>
          <w:color w:val="231F20"/>
          <w:spacing w:val="-11"/>
          <w:w w:val="110"/>
        </w:rPr>
        <w:t> </w:t>
      </w:r>
      <w:r>
        <w:rPr>
          <w:color w:val="231F20"/>
          <w:w w:val="110"/>
        </w:rPr>
        <w:t>el</w:t>
      </w:r>
      <w:r>
        <w:rPr>
          <w:color w:val="231F20"/>
          <w:spacing w:val="-11"/>
          <w:w w:val="110"/>
        </w:rPr>
        <w:t> </w:t>
      </w:r>
      <w:r>
        <w:rPr>
          <w:color w:val="231F20"/>
          <w:w w:val="110"/>
        </w:rPr>
        <w:t>primero tiene que ver con intentos para establecer a escala global, nuevas re- glas que permitan repartir de forma más equilibrada y equitativa las responsabilidades monetarias, y evitar la acumulación de desequili- brios</w:t>
      </w:r>
      <w:r>
        <w:rPr>
          <w:color w:val="231F20"/>
          <w:spacing w:val="-17"/>
          <w:w w:val="110"/>
        </w:rPr>
        <w:t> </w:t>
      </w:r>
      <w:r>
        <w:rPr>
          <w:color w:val="231F20"/>
          <w:w w:val="110"/>
        </w:rPr>
        <w:t>financieros</w:t>
      </w:r>
      <w:r>
        <w:rPr>
          <w:color w:val="231F20"/>
          <w:spacing w:val="-17"/>
          <w:w w:val="110"/>
        </w:rPr>
        <w:t> </w:t>
      </w:r>
      <w:r>
        <w:rPr>
          <w:color w:val="231F20"/>
          <w:w w:val="110"/>
        </w:rPr>
        <w:t>que</w:t>
      </w:r>
      <w:r>
        <w:rPr>
          <w:color w:val="231F20"/>
          <w:spacing w:val="-17"/>
          <w:w w:val="110"/>
        </w:rPr>
        <w:t> </w:t>
      </w:r>
      <w:r>
        <w:rPr>
          <w:color w:val="231F20"/>
          <w:w w:val="110"/>
        </w:rPr>
        <w:t>puedan</w:t>
      </w:r>
      <w:r>
        <w:rPr>
          <w:color w:val="231F20"/>
          <w:spacing w:val="-17"/>
          <w:w w:val="110"/>
        </w:rPr>
        <w:t> </w:t>
      </w:r>
      <w:r>
        <w:rPr>
          <w:color w:val="231F20"/>
          <w:w w:val="110"/>
        </w:rPr>
        <w:t>conducir</w:t>
      </w:r>
      <w:r>
        <w:rPr>
          <w:color w:val="231F20"/>
          <w:spacing w:val="-17"/>
          <w:w w:val="110"/>
        </w:rPr>
        <w:t> </w:t>
      </w:r>
      <w:r>
        <w:rPr>
          <w:color w:val="231F20"/>
          <w:w w:val="110"/>
        </w:rPr>
        <w:t>a</w:t>
      </w:r>
      <w:r>
        <w:rPr>
          <w:color w:val="231F20"/>
          <w:spacing w:val="-17"/>
          <w:w w:val="110"/>
        </w:rPr>
        <w:t> </w:t>
      </w:r>
      <w:r>
        <w:rPr>
          <w:color w:val="231F20"/>
          <w:w w:val="110"/>
        </w:rPr>
        <w:t>nuevas</w:t>
      </w:r>
      <w:r>
        <w:rPr>
          <w:color w:val="231F20"/>
          <w:spacing w:val="-17"/>
          <w:w w:val="110"/>
        </w:rPr>
        <w:t> </w:t>
      </w:r>
      <w:r>
        <w:rPr>
          <w:color w:val="231F20"/>
          <w:w w:val="110"/>
        </w:rPr>
        <w:t>crisis</w:t>
      </w:r>
      <w:r>
        <w:rPr>
          <w:color w:val="231F20"/>
          <w:spacing w:val="-17"/>
          <w:w w:val="110"/>
        </w:rPr>
        <w:t> </w:t>
      </w:r>
      <w:r>
        <w:rPr>
          <w:color w:val="231F20"/>
          <w:w w:val="110"/>
        </w:rPr>
        <w:t>sistémicas.</w:t>
      </w:r>
      <w:r>
        <w:rPr>
          <w:color w:val="231F20"/>
          <w:spacing w:val="-17"/>
          <w:w w:val="110"/>
        </w:rPr>
        <w:t> </w:t>
      </w:r>
      <w:r>
        <w:rPr>
          <w:color w:val="231F20"/>
          <w:w w:val="110"/>
        </w:rPr>
        <w:t>Éste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ha sido impulsado principalmente desde las cumbres del G-20, con avances muy tímidos y condicionado por la falta real de voluntad de  las principales potencias para transferir capacidades de implemen- tación internacional de reglas y modificar el </w:t>
      </w:r>
      <w:r>
        <w:rPr>
          <w:i/>
          <w:color w:val="231F20"/>
          <w:w w:val="105"/>
        </w:rPr>
        <w:t>statu quo </w:t>
      </w:r>
      <w:r>
        <w:rPr>
          <w:color w:val="231F20"/>
          <w:w w:val="105"/>
        </w:rPr>
        <w:t>en el corto y mediano  plazo  (Cartapanis, </w:t>
      </w:r>
      <w:r>
        <w:rPr>
          <w:color w:val="231F20"/>
          <w:spacing w:val="3"/>
          <w:w w:val="105"/>
        </w:rPr>
        <w:t> </w:t>
      </w:r>
      <w:r>
        <w:rPr>
          <w:color w:val="231F20"/>
          <w:w w:val="105"/>
        </w:rPr>
        <w:t>2009).</w:t>
      </w:r>
    </w:p>
    <w:p>
      <w:pPr>
        <w:pStyle w:val="BodyText"/>
        <w:spacing w:line="261" w:lineRule="auto"/>
        <w:ind w:left="100" w:right="117" w:firstLine="240"/>
        <w:jc w:val="both"/>
      </w:pPr>
      <w:r>
        <w:rPr>
          <w:color w:val="231F20"/>
          <w:w w:val="110"/>
        </w:rPr>
        <w:t>Mientras, el segundo escenario posible se relaciona con la emer- gencia de una regionalización de reglas monetario-financieras alre- dedor</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principales</w:t>
      </w:r>
      <w:r>
        <w:rPr>
          <w:color w:val="231F20"/>
          <w:spacing w:val="-5"/>
          <w:w w:val="110"/>
        </w:rPr>
        <w:t> </w:t>
      </w:r>
      <w:r>
        <w:rPr>
          <w:color w:val="231F20"/>
          <w:w w:val="110"/>
        </w:rPr>
        <w:t>poderes</w:t>
      </w:r>
      <w:r>
        <w:rPr>
          <w:color w:val="231F20"/>
          <w:spacing w:val="-5"/>
          <w:w w:val="110"/>
        </w:rPr>
        <w:t> </w:t>
      </w:r>
      <w:r>
        <w:rPr>
          <w:color w:val="231F20"/>
          <w:w w:val="110"/>
        </w:rPr>
        <w:t>tradicionales</w:t>
      </w:r>
      <w:r>
        <w:rPr>
          <w:color w:val="231F20"/>
          <w:spacing w:val="-5"/>
          <w:w w:val="110"/>
        </w:rPr>
        <w:t> </w:t>
      </w:r>
      <w:r>
        <w:rPr>
          <w:color w:val="231F20"/>
          <w:w w:val="110"/>
        </w:rPr>
        <w:t>y</w:t>
      </w:r>
      <w:r>
        <w:rPr>
          <w:color w:val="231F20"/>
          <w:spacing w:val="-5"/>
          <w:w w:val="110"/>
        </w:rPr>
        <w:t> </w:t>
      </w:r>
      <w:r>
        <w:rPr>
          <w:color w:val="231F20"/>
          <w:w w:val="110"/>
        </w:rPr>
        <w:t>emergentes:</w:t>
      </w:r>
      <w:r>
        <w:rPr>
          <w:color w:val="231F20"/>
          <w:spacing w:val="-5"/>
          <w:w w:val="110"/>
        </w:rPr>
        <w:t> </w:t>
      </w:r>
      <w:r>
        <w:rPr>
          <w:color w:val="231F20"/>
          <w:w w:val="110"/>
        </w:rPr>
        <w:t>Estados Unidos, Europa, Asia, e incluso América Latina (Cartapanis, 2009). La debilidad hegemónica de Estados Unidos y la inestabilidad que caracteriza hoy al sistema monetario y financiero internacional fa- vorece la emergencia de numerosas propuestas de carácter regional como alternativa o respuesta al vacío de propuestas globales para la transformación del orden monetario y financiero </w:t>
      </w:r>
      <w:r>
        <w:rPr>
          <w:color w:val="231F20"/>
          <w:spacing w:val="33"/>
          <w:w w:val="110"/>
        </w:rPr>
        <w:t> </w:t>
      </w:r>
      <w:r>
        <w:rPr>
          <w:color w:val="231F20"/>
          <w:w w:val="110"/>
        </w:rPr>
        <w:t>existente.</w:t>
      </w:r>
    </w:p>
    <w:p>
      <w:pPr>
        <w:pStyle w:val="BodyText"/>
        <w:spacing w:line="261" w:lineRule="auto"/>
        <w:ind w:left="100" w:right="117" w:firstLine="240"/>
        <w:jc w:val="both"/>
      </w:pPr>
      <w:r>
        <w:rPr>
          <w:color w:val="231F20"/>
          <w:w w:val="110"/>
        </w:rPr>
        <w:t>Sin embargo, un ámbito de esta naturaleza no implica necesa- riamente la sustitución del dólar por otra moneda como principal divisa. Esto responde a que cualquier moneda alternativa al signo dominante, requeriría para romper la inercia del sistema, estar res- paldada por fuertes mercados monetarios y de capital, por una talla económica considerable y por un desempeño económico favorable  y sostenible en el largo plazo, todas estas, condiciones necesarias y bien difíciles de alcanzar por los principales actores internacionales: Unión Europea, Japón,</w:t>
      </w:r>
      <w:r>
        <w:rPr>
          <w:color w:val="231F20"/>
          <w:spacing w:val="47"/>
          <w:w w:val="110"/>
        </w:rPr>
        <w:t> </w:t>
      </w:r>
      <w:r>
        <w:rPr>
          <w:color w:val="231F20"/>
          <w:w w:val="110"/>
        </w:rPr>
        <w:t>China.</w:t>
      </w:r>
    </w:p>
    <w:p>
      <w:pPr>
        <w:pStyle w:val="BodyText"/>
      </w:pPr>
    </w:p>
    <w:p>
      <w:pPr>
        <w:pStyle w:val="BodyText"/>
      </w:pPr>
    </w:p>
    <w:p>
      <w:pPr>
        <w:pStyle w:val="BodyText"/>
        <w:spacing w:before="2"/>
        <w:rPr>
          <w:sz w:val="25"/>
        </w:rPr>
      </w:pPr>
    </w:p>
    <w:p>
      <w:pPr>
        <w:pStyle w:val="BodyText"/>
        <w:ind w:left="100"/>
        <w:jc w:val="both"/>
      </w:pPr>
      <w:r>
        <w:rPr>
          <w:color w:val="231F20"/>
          <w:w w:val="125"/>
        </w:rPr>
        <w:t>consideraciones finales</w:t>
      </w:r>
    </w:p>
    <w:p>
      <w:pPr>
        <w:pStyle w:val="BodyText"/>
        <w:spacing w:before="5"/>
        <w:rPr>
          <w:sz w:val="23"/>
        </w:rPr>
      </w:pPr>
    </w:p>
    <w:p>
      <w:pPr>
        <w:pStyle w:val="BodyText"/>
        <w:spacing w:line="261" w:lineRule="auto"/>
        <w:ind w:left="100" w:right="117"/>
        <w:jc w:val="both"/>
      </w:pPr>
      <w:r>
        <w:rPr>
          <w:color w:val="231F20"/>
          <w:w w:val="110"/>
        </w:rPr>
        <w:t>Se ha hecho evidente que si bien Estados Unidos, país emisor de la moneda de reserva predominante en el mundo, ha logrado expandir su economía con el aporte de otros actores, no ha cumplido con su responsabilidad de velar por la estabilidad del mercado monetario   y financiero. Los primeros años del actual siglo, marcados por las políticas conservadoras de la administración de George </w:t>
      </w:r>
      <w:r>
        <w:rPr>
          <w:color w:val="231F20"/>
          <w:spacing w:val="-5"/>
          <w:w w:val="110"/>
        </w:rPr>
        <w:t>W.  </w:t>
      </w:r>
      <w:r>
        <w:rPr>
          <w:color w:val="231F20"/>
          <w:w w:val="110"/>
        </w:rPr>
        <w:t>Bush,  se caracterizaron por una irresponsable administración económica, que favoreció la acumulación de mayores tensiones en torno a la hegemonía de Estados Unidos en el orden monetario y financiero internacional. Los mayores déficits de cuenta corriente y un volu- men</w:t>
      </w:r>
      <w:r>
        <w:rPr>
          <w:color w:val="231F20"/>
          <w:spacing w:val="21"/>
          <w:w w:val="110"/>
        </w:rPr>
        <w:t> </w:t>
      </w:r>
      <w:r>
        <w:rPr>
          <w:color w:val="231F20"/>
          <w:w w:val="110"/>
        </w:rPr>
        <w:t>de</w:t>
      </w:r>
      <w:r>
        <w:rPr>
          <w:color w:val="231F20"/>
          <w:spacing w:val="21"/>
          <w:w w:val="110"/>
        </w:rPr>
        <w:t> </w:t>
      </w:r>
      <w:r>
        <w:rPr>
          <w:color w:val="231F20"/>
          <w:w w:val="110"/>
        </w:rPr>
        <w:t>récord</w:t>
      </w:r>
      <w:r>
        <w:rPr>
          <w:color w:val="231F20"/>
          <w:spacing w:val="21"/>
          <w:w w:val="110"/>
        </w:rPr>
        <w:t> </w:t>
      </w:r>
      <w:r>
        <w:rPr>
          <w:color w:val="231F20"/>
          <w:w w:val="110"/>
        </w:rPr>
        <w:t>de</w:t>
      </w:r>
      <w:r>
        <w:rPr>
          <w:color w:val="231F20"/>
          <w:spacing w:val="21"/>
          <w:w w:val="110"/>
        </w:rPr>
        <w:t> </w:t>
      </w:r>
      <w:r>
        <w:rPr>
          <w:color w:val="231F20"/>
          <w:w w:val="110"/>
        </w:rPr>
        <w:t>obligaciones</w:t>
      </w:r>
      <w:r>
        <w:rPr>
          <w:color w:val="231F20"/>
          <w:spacing w:val="21"/>
          <w:w w:val="110"/>
        </w:rPr>
        <w:t> </w:t>
      </w:r>
      <w:r>
        <w:rPr>
          <w:color w:val="231F20"/>
          <w:w w:val="110"/>
        </w:rPr>
        <w:t>externas,</w:t>
      </w:r>
      <w:r>
        <w:rPr>
          <w:color w:val="231F20"/>
          <w:spacing w:val="21"/>
          <w:w w:val="110"/>
        </w:rPr>
        <w:t> </w:t>
      </w:r>
      <w:r>
        <w:rPr>
          <w:color w:val="231F20"/>
          <w:w w:val="110"/>
        </w:rPr>
        <w:t>para</w:t>
      </w:r>
      <w:r>
        <w:rPr>
          <w:color w:val="231F20"/>
          <w:spacing w:val="21"/>
          <w:w w:val="110"/>
        </w:rPr>
        <w:t> </w:t>
      </w:r>
      <w:r>
        <w:rPr>
          <w:color w:val="231F20"/>
          <w:w w:val="110"/>
        </w:rPr>
        <w:t>nada</w:t>
      </w:r>
      <w:r>
        <w:rPr>
          <w:color w:val="231F20"/>
          <w:spacing w:val="21"/>
          <w:w w:val="110"/>
        </w:rPr>
        <w:t> </w:t>
      </w:r>
      <w:r>
        <w:rPr>
          <w:color w:val="231F20"/>
          <w:w w:val="110"/>
        </w:rPr>
        <w:t>se</w:t>
      </w:r>
      <w:r>
        <w:rPr>
          <w:color w:val="231F20"/>
          <w:spacing w:val="21"/>
          <w:w w:val="110"/>
        </w:rPr>
        <w:t> </w:t>
      </w:r>
      <w:r>
        <w:rPr>
          <w:color w:val="231F20"/>
          <w:w w:val="110"/>
        </w:rPr>
        <w:t>revertían</w:t>
      </w:r>
      <w:r>
        <w:rPr>
          <w:color w:val="231F20"/>
          <w:spacing w:val="21"/>
          <w:w w:val="110"/>
        </w:rPr>
        <w:t> </w:t>
      </w:r>
      <w:r>
        <w:rPr>
          <w:color w:val="231F20"/>
          <w:w w:val="110"/>
        </w:rPr>
        <w:t>en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right"/>
      </w:pPr>
      <w:r>
        <w:rPr>
          <w:color w:val="231F20"/>
          <w:w w:val="110"/>
        </w:rPr>
        <w:t>inversiones que produjeran el desarrollo de</w:t>
      </w:r>
      <w:r>
        <w:rPr>
          <w:color w:val="231F20"/>
          <w:spacing w:val="4"/>
          <w:w w:val="110"/>
        </w:rPr>
        <w:t> </w:t>
      </w:r>
      <w:r>
        <w:rPr>
          <w:color w:val="231F20"/>
          <w:w w:val="110"/>
        </w:rPr>
        <w:t>capacidades productivas</w:t>
      </w:r>
      <w:r>
        <w:rPr>
          <w:color w:val="231F20"/>
          <w:w w:val="107"/>
        </w:rPr>
        <w:t> </w:t>
      </w:r>
      <w:r>
        <w:rPr>
          <w:color w:val="231F20"/>
          <w:w w:val="110"/>
        </w:rPr>
        <w:t>futuras,</w:t>
      </w:r>
      <w:r>
        <w:rPr>
          <w:color w:val="231F20"/>
          <w:spacing w:val="-10"/>
          <w:w w:val="110"/>
        </w:rPr>
        <w:t> </w:t>
      </w:r>
      <w:r>
        <w:rPr>
          <w:color w:val="231F20"/>
          <w:w w:val="110"/>
        </w:rPr>
        <w:t>sino</w:t>
      </w:r>
      <w:r>
        <w:rPr>
          <w:color w:val="231F20"/>
          <w:spacing w:val="-10"/>
          <w:w w:val="110"/>
        </w:rPr>
        <w:t> </w:t>
      </w:r>
      <w:r>
        <w:rPr>
          <w:color w:val="231F20"/>
          <w:w w:val="110"/>
        </w:rPr>
        <w:t>que</w:t>
      </w:r>
      <w:r>
        <w:rPr>
          <w:color w:val="231F20"/>
          <w:spacing w:val="-10"/>
          <w:w w:val="110"/>
        </w:rPr>
        <w:t> </w:t>
      </w:r>
      <w:r>
        <w:rPr>
          <w:color w:val="231F20"/>
          <w:w w:val="110"/>
        </w:rPr>
        <w:t>respaldaban</w:t>
      </w:r>
      <w:r>
        <w:rPr>
          <w:color w:val="231F20"/>
          <w:spacing w:val="-10"/>
          <w:w w:val="110"/>
        </w:rPr>
        <w:t> </w:t>
      </w:r>
      <w:r>
        <w:rPr>
          <w:color w:val="231F20"/>
          <w:w w:val="110"/>
        </w:rPr>
        <w:t>el</w:t>
      </w:r>
      <w:r>
        <w:rPr>
          <w:color w:val="231F20"/>
          <w:spacing w:val="-10"/>
          <w:w w:val="110"/>
        </w:rPr>
        <w:t> </w:t>
      </w:r>
      <w:r>
        <w:rPr>
          <w:color w:val="231F20"/>
          <w:w w:val="110"/>
        </w:rPr>
        <w:t>despilfarro</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consumo</w:t>
      </w:r>
      <w:r>
        <w:rPr>
          <w:color w:val="231F20"/>
          <w:spacing w:val="-10"/>
          <w:w w:val="110"/>
        </w:rPr>
        <w:t> </w:t>
      </w:r>
      <w:r>
        <w:rPr>
          <w:color w:val="231F20"/>
          <w:w w:val="110"/>
        </w:rPr>
        <w:t>desmedido.</w:t>
      </w:r>
      <w:r>
        <w:rPr>
          <w:color w:val="231F20"/>
          <w:w w:val="110"/>
        </w:rPr>
        <w:t> </w:t>
      </w:r>
      <w:r>
        <w:rPr>
          <w:color w:val="231F20"/>
          <w:w w:val="110"/>
        </w:rPr>
        <w:t>La actual crisis económica llega tras más de treinta años</w:t>
      </w:r>
      <w:r>
        <w:rPr>
          <w:color w:val="231F20"/>
          <w:spacing w:val="-37"/>
          <w:w w:val="110"/>
        </w:rPr>
        <w:t> </w:t>
      </w:r>
      <w:r>
        <w:rPr>
          <w:color w:val="231F20"/>
          <w:w w:val="110"/>
        </w:rPr>
        <w:t>de</w:t>
      </w:r>
      <w:r>
        <w:rPr>
          <w:color w:val="231F20"/>
          <w:spacing w:val="-4"/>
          <w:w w:val="110"/>
        </w:rPr>
        <w:t> </w:t>
      </w:r>
      <w:r>
        <w:rPr>
          <w:color w:val="231F20"/>
          <w:w w:val="110"/>
        </w:rPr>
        <w:t>políti-</w:t>
      </w:r>
      <w:r>
        <w:rPr>
          <w:color w:val="231F20"/>
          <w:w w:val="72"/>
        </w:rPr>
        <w:t> </w:t>
      </w:r>
      <w:r>
        <w:rPr>
          <w:color w:val="231F20"/>
          <w:w w:val="110"/>
        </w:rPr>
        <w:t>cas</w:t>
      </w:r>
      <w:r>
        <w:rPr>
          <w:color w:val="231F20"/>
          <w:spacing w:val="-8"/>
          <w:w w:val="110"/>
        </w:rPr>
        <w:t> </w:t>
      </w:r>
      <w:r>
        <w:rPr>
          <w:color w:val="231F20"/>
          <w:w w:val="110"/>
        </w:rPr>
        <w:t>neoliberales</w:t>
      </w:r>
      <w:r>
        <w:rPr>
          <w:color w:val="231F20"/>
          <w:spacing w:val="-8"/>
          <w:w w:val="110"/>
        </w:rPr>
        <w:t> </w:t>
      </w:r>
      <w:r>
        <w:rPr>
          <w:color w:val="231F20"/>
          <w:w w:val="110"/>
        </w:rPr>
        <w:t>que</w:t>
      </w:r>
      <w:r>
        <w:rPr>
          <w:color w:val="231F20"/>
          <w:spacing w:val="-8"/>
          <w:w w:val="110"/>
        </w:rPr>
        <w:t> </w:t>
      </w:r>
      <w:r>
        <w:rPr>
          <w:color w:val="231F20"/>
          <w:w w:val="110"/>
        </w:rPr>
        <w:t>impusieron</w:t>
      </w:r>
      <w:r>
        <w:rPr>
          <w:color w:val="231F20"/>
          <w:spacing w:val="-8"/>
          <w:w w:val="110"/>
        </w:rPr>
        <w:t> </w:t>
      </w:r>
      <w:r>
        <w:rPr>
          <w:color w:val="231F20"/>
          <w:w w:val="110"/>
        </w:rPr>
        <w:t>la</w:t>
      </w:r>
      <w:r>
        <w:rPr>
          <w:color w:val="231F20"/>
          <w:spacing w:val="-8"/>
          <w:w w:val="110"/>
        </w:rPr>
        <w:t> </w:t>
      </w:r>
      <w:r>
        <w:rPr>
          <w:color w:val="231F20"/>
          <w:w w:val="110"/>
        </w:rPr>
        <w:t>desregulación</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descontrol,</w:t>
      </w:r>
      <w:r>
        <w:rPr>
          <w:color w:val="231F20"/>
          <w:spacing w:val="-8"/>
          <w:w w:val="110"/>
        </w:rPr>
        <w:t> </w:t>
      </w:r>
      <w:r>
        <w:rPr>
          <w:color w:val="231F20"/>
          <w:w w:val="110"/>
        </w:rPr>
        <w:t>ali-</w:t>
      </w:r>
      <w:r>
        <w:rPr>
          <w:color w:val="231F20"/>
          <w:w w:val="72"/>
        </w:rPr>
        <w:t> </w:t>
      </w:r>
      <w:r>
        <w:rPr>
          <w:color w:val="231F20"/>
          <w:w w:val="110"/>
        </w:rPr>
        <w:t>mentando desequilibrios y burbujas financieras mundiales. </w:t>
      </w:r>
      <w:r>
        <w:rPr>
          <w:color w:val="231F20"/>
          <w:spacing w:val="-3"/>
          <w:w w:val="110"/>
        </w:rPr>
        <w:t>Ya</w:t>
      </w:r>
      <w:r>
        <w:rPr>
          <w:color w:val="231F20"/>
          <w:spacing w:val="5"/>
          <w:w w:val="110"/>
        </w:rPr>
        <w:t> </w:t>
      </w:r>
      <w:r>
        <w:rPr>
          <w:color w:val="231F20"/>
          <w:w w:val="110"/>
        </w:rPr>
        <w:t>es un</w:t>
      </w:r>
      <w:r>
        <w:rPr>
          <w:color w:val="231F20"/>
          <w:w w:val="118"/>
        </w:rPr>
        <w:t> </w:t>
      </w:r>
      <w:r>
        <w:rPr>
          <w:color w:val="231F20"/>
          <w:w w:val="110"/>
        </w:rPr>
        <w:t>hecho</w:t>
      </w:r>
      <w:r>
        <w:rPr>
          <w:color w:val="231F20"/>
          <w:spacing w:val="-13"/>
          <w:w w:val="110"/>
        </w:rPr>
        <w:t> </w:t>
      </w:r>
      <w:r>
        <w:rPr>
          <w:color w:val="231F20"/>
          <w:w w:val="110"/>
        </w:rPr>
        <w:t>verificable</w:t>
      </w:r>
      <w:r>
        <w:rPr>
          <w:color w:val="231F20"/>
          <w:spacing w:val="-13"/>
          <w:w w:val="110"/>
        </w:rPr>
        <w:t> </w:t>
      </w:r>
      <w:r>
        <w:rPr>
          <w:color w:val="231F20"/>
          <w:w w:val="110"/>
        </w:rPr>
        <w:t>que</w:t>
      </w:r>
      <w:r>
        <w:rPr>
          <w:color w:val="231F20"/>
          <w:spacing w:val="-13"/>
          <w:w w:val="110"/>
        </w:rPr>
        <w:t> </w:t>
      </w:r>
      <w:r>
        <w:rPr>
          <w:color w:val="231F20"/>
          <w:w w:val="110"/>
        </w:rPr>
        <w:t>las</w:t>
      </w:r>
      <w:r>
        <w:rPr>
          <w:color w:val="231F20"/>
          <w:spacing w:val="-13"/>
          <w:w w:val="110"/>
        </w:rPr>
        <w:t> </w:t>
      </w:r>
      <w:r>
        <w:rPr>
          <w:color w:val="231F20"/>
          <w:w w:val="110"/>
        </w:rPr>
        <w:t>manifestaciones</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misma</w:t>
      </w:r>
      <w:r>
        <w:rPr>
          <w:color w:val="231F20"/>
          <w:spacing w:val="-13"/>
          <w:w w:val="110"/>
        </w:rPr>
        <w:t> </w:t>
      </w:r>
      <w:r>
        <w:rPr>
          <w:color w:val="231F20"/>
          <w:w w:val="110"/>
        </w:rPr>
        <w:t>está</w:t>
      </w:r>
      <w:r>
        <w:rPr>
          <w:color w:val="231F20"/>
          <w:spacing w:val="-13"/>
          <w:w w:val="110"/>
        </w:rPr>
        <w:t> </w:t>
      </w:r>
      <w:r>
        <w:rPr>
          <w:color w:val="231F20"/>
          <w:w w:val="110"/>
        </w:rPr>
        <w:t>teniendo</w:t>
      </w:r>
      <w:r>
        <w:rPr>
          <w:color w:val="231F20"/>
          <w:w w:val="114"/>
        </w:rPr>
        <w:t> </w:t>
      </w:r>
      <w:r>
        <w:rPr>
          <w:color w:val="231F20"/>
          <w:w w:val="110"/>
        </w:rPr>
        <w:t>y</w:t>
      </w:r>
      <w:r>
        <w:rPr>
          <w:color w:val="231F20"/>
          <w:spacing w:val="-4"/>
          <w:w w:val="110"/>
        </w:rPr>
        <w:t> </w:t>
      </w:r>
      <w:r>
        <w:rPr>
          <w:color w:val="231F20"/>
          <w:w w:val="110"/>
        </w:rPr>
        <w:t>sus</w:t>
      </w:r>
      <w:r>
        <w:rPr>
          <w:color w:val="231F20"/>
          <w:spacing w:val="-4"/>
          <w:w w:val="110"/>
        </w:rPr>
        <w:t> </w:t>
      </w:r>
      <w:r>
        <w:rPr>
          <w:color w:val="231F20"/>
          <w:w w:val="110"/>
        </w:rPr>
        <w:t>posibles</w:t>
      </w:r>
      <w:r>
        <w:rPr>
          <w:color w:val="231F20"/>
          <w:spacing w:val="-4"/>
          <w:w w:val="110"/>
        </w:rPr>
        <w:t> </w:t>
      </w:r>
      <w:r>
        <w:rPr>
          <w:color w:val="231F20"/>
          <w:w w:val="110"/>
        </w:rPr>
        <w:t>salidas,</w:t>
      </w:r>
      <w:r>
        <w:rPr>
          <w:color w:val="231F20"/>
          <w:spacing w:val="-4"/>
          <w:w w:val="110"/>
        </w:rPr>
        <w:t> </w:t>
      </w:r>
      <w:r>
        <w:rPr>
          <w:color w:val="231F20"/>
          <w:w w:val="110"/>
        </w:rPr>
        <w:t>elevarán</w:t>
      </w:r>
      <w:r>
        <w:rPr>
          <w:color w:val="231F20"/>
          <w:spacing w:val="-4"/>
          <w:w w:val="110"/>
        </w:rPr>
        <w:t> </w:t>
      </w:r>
      <w:r>
        <w:rPr>
          <w:color w:val="231F20"/>
          <w:w w:val="110"/>
        </w:rPr>
        <w:t>las</w:t>
      </w:r>
      <w:r>
        <w:rPr>
          <w:color w:val="231F20"/>
          <w:spacing w:val="-4"/>
          <w:w w:val="110"/>
        </w:rPr>
        <w:t> </w:t>
      </w:r>
      <w:r>
        <w:rPr>
          <w:color w:val="231F20"/>
          <w:w w:val="110"/>
        </w:rPr>
        <w:t>tensiones</w:t>
      </w:r>
      <w:r>
        <w:rPr>
          <w:color w:val="231F20"/>
          <w:spacing w:val="-4"/>
          <w:w w:val="110"/>
        </w:rPr>
        <w:t> </w:t>
      </w:r>
      <w:r>
        <w:rPr>
          <w:color w:val="231F20"/>
          <w:w w:val="110"/>
        </w:rPr>
        <w:t>que</w:t>
      </w:r>
      <w:r>
        <w:rPr>
          <w:color w:val="231F20"/>
          <w:spacing w:val="-4"/>
          <w:w w:val="110"/>
        </w:rPr>
        <w:t> </w:t>
      </w:r>
      <w:r>
        <w:rPr>
          <w:color w:val="231F20"/>
          <w:w w:val="110"/>
        </w:rPr>
        <w:t>sufre</w:t>
      </w:r>
      <w:r>
        <w:rPr>
          <w:color w:val="231F20"/>
          <w:spacing w:val="-4"/>
          <w:w w:val="110"/>
        </w:rPr>
        <w:t> </w:t>
      </w:r>
      <w:r>
        <w:rPr>
          <w:color w:val="231F20"/>
          <w:w w:val="110"/>
        </w:rPr>
        <w:t>el</w:t>
      </w:r>
      <w:r>
        <w:rPr>
          <w:color w:val="231F20"/>
          <w:spacing w:val="-4"/>
          <w:w w:val="110"/>
        </w:rPr>
        <w:t> </w:t>
      </w:r>
      <w:r>
        <w:rPr>
          <w:color w:val="231F20"/>
          <w:w w:val="110"/>
        </w:rPr>
        <w:t>dominio</w:t>
      </w:r>
      <w:r>
        <w:rPr>
          <w:color w:val="231F20"/>
          <w:spacing w:val="-4"/>
          <w:w w:val="110"/>
        </w:rPr>
        <w:t> </w:t>
      </w:r>
      <w:r>
        <w:rPr>
          <w:color w:val="231F20"/>
          <w:w w:val="110"/>
        </w:rPr>
        <w:t>de</w:t>
      </w:r>
    </w:p>
    <w:p>
      <w:pPr>
        <w:pStyle w:val="BodyText"/>
        <w:ind w:left="100" w:right="25"/>
      </w:pPr>
      <w:r>
        <w:rPr>
          <w:color w:val="231F20"/>
          <w:w w:val="105"/>
        </w:rPr>
        <w:t>Estados Unidos en el sistema monetario y financiero internacional.</w:t>
      </w:r>
    </w:p>
    <w:p>
      <w:pPr>
        <w:pStyle w:val="BodyText"/>
        <w:spacing w:line="261" w:lineRule="auto" w:before="20"/>
        <w:ind w:left="100" w:right="114" w:firstLine="240"/>
        <w:jc w:val="both"/>
      </w:pPr>
      <w:r>
        <w:rPr>
          <w:color w:val="231F20"/>
          <w:w w:val="110"/>
        </w:rPr>
        <w:t>Es posible afirmar que en el corto plazo, se podrá constatar una elevación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tensiones</w:t>
      </w:r>
      <w:r>
        <w:rPr>
          <w:color w:val="231F20"/>
          <w:spacing w:val="-8"/>
          <w:w w:val="110"/>
        </w:rPr>
        <w:t> </w:t>
      </w:r>
      <w:r>
        <w:rPr>
          <w:color w:val="231F20"/>
          <w:w w:val="110"/>
        </w:rPr>
        <w:t>que</w:t>
      </w:r>
      <w:r>
        <w:rPr>
          <w:color w:val="231F20"/>
          <w:spacing w:val="-8"/>
          <w:w w:val="110"/>
        </w:rPr>
        <w:t> </w:t>
      </w:r>
      <w:r>
        <w:rPr>
          <w:color w:val="231F20"/>
          <w:w w:val="110"/>
        </w:rPr>
        <w:t>sufre</w:t>
      </w:r>
      <w:r>
        <w:rPr>
          <w:color w:val="231F20"/>
          <w:spacing w:val="-8"/>
          <w:w w:val="110"/>
        </w:rPr>
        <w:t> </w:t>
      </w:r>
      <w:r>
        <w:rPr>
          <w:color w:val="231F20"/>
          <w:w w:val="110"/>
        </w:rPr>
        <w:t>la</w:t>
      </w:r>
      <w:r>
        <w:rPr>
          <w:color w:val="231F20"/>
          <w:spacing w:val="-8"/>
          <w:w w:val="110"/>
        </w:rPr>
        <w:t> </w:t>
      </w:r>
      <w:r>
        <w:rPr>
          <w:color w:val="231F20"/>
          <w:w w:val="110"/>
        </w:rPr>
        <w:t>hegemonía</w:t>
      </w:r>
      <w:r>
        <w:rPr>
          <w:color w:val="231F20"/>
          <w:spacing w:val="-8"/>
          <w:w w:val="110"/>
        </w:rPr>
        <w:t> </w:t>
      </w:r>
      <w:r>
        <w:rPr>
          <w:color w:val="231F20"/>
          <w:w w:val="110"/>
        </w:rPr>
        <w:t>de</w:t>
      </w:r>
      <w:r>
        <w:rPr>
          <w:color w:val="231F20"/>
          <w:spacing w:val="-8"/>
          <w:w w:val="110"/>
        </w:rPr>
        <w:t> </w:t>
      </w:r>
      <w:r>
        <w:rPr>
          <w:color w:val="231F20"/>
          <w:w w:val="110"/>
        </w:rPr>
        <w:t>Estados</w:t>
      </w:r>
      <w:r>
        <w:rPr>
          <w:color w:val="231F20"/>
          <w:spacing w:val="-8"/>
          <w:w w:val="110"/>
        </w:rPr>
        <w:t> </w:t>
      </w:r>
      <w:r>
        <w:rPr>
          <w:color w:val="231F20"/>
          <w:w w:val="110"/>
        </w:rPr>
        <w:t>Unidos en el sistema, con un retroceso relativo de su influencia en todos  los niveles en los que ésta opera. En el largo plazo, aunque ningu- na moneda tendría capacidad para reemplazar al </w:t>
      </w:r>
      <w:r>
        <w:rPr>
          <w:color w:val="231F20"/>
          <w:spacing w:val="-3"/>
          <w:w w:val="110"/>
        </w:rPr>
        <w:t>dólar, </w:t>
      </w:r>
      <w:r>
        <w:rPr>
          <w:color w:val="231F20"/>
          <w:w w:val="110"/>
        </w:rPr>
        <w:t>uno de los instrumentos determinantes de la hegemonía de Estados Unidos,    se podrían </w:t>
      </w:r>
      <w:r>
        <w:rPr>
          <w:color w:val="231F20"/>
          <w:spacing w:val="2"/>
          <w:w w:val="110"/>
        </w:rPr>
        <w:t>observar </w:t>
      </w:r>
      <w:r>
        <w:rPr>
          <w:color w:val="231F20"/>
          <w:w w:val="110"/>
        </w:rPr>
        <w:t>modificaciones estructurales que reflejen la emergencia de un sistema monetario y financiero con una mayor regionalización de poderes, en un entorno de lucha por la defensa,  la renovación y la recomposición de la capacidad hegemónica por parte de Estados</w:t>
      </w:r>
      <w:r>
        <w:rPr>
          <w:color w:val="231F20"/>
          <w:spacing w:val="19"/>
          <w:w w:val="110"/>
        </w:rPr>
        <w:t> </w:t>
      </w:r>
      <w:r>
        <w:rPr>
          <w:color w:val="231F20"/>
          <w:w w:val="110"/>
        </w:rPr>
        <w:t>Unidos.</w:t>
      </w:r>
    </w:p>
    <w:p>
      <w:pPr>
        <w:pStyle w:val="BodyText"/>
        <w:spacing w:line="261" w:lineRule="auto"/>
        <w:ind w:left="100" w:right="117" w:firstLine="240"/>
        <w:jc w:val="both"/>
      </w:pPr>
      <w:r>
        <w:rPr>
          <w:color w:val="231F20"/>
          <w:w w:val="110"/>
        </w:rPr>
        <w:t>La</w:t>
      </w:r>
      <w:r>
        <w:rPr>
          <w:color w:val="231F20"/>
          <w:spacing w:val="-15"/>
          <w:w w:val="110"/>
        </w:rPr>
        <w:t> </w:t>
      </w:r>
      <w:r>
        <w:rPr>
          <w:color w:val="231F20"/>
          <w:w w:val="110"/>
        </w:rPr>
        <w:t>situación</w:t>
      </w:r>
      <w:r>
        <w:rPr>
          <w:color w:val="231F20"/>
          <w:spacing w:val="-15"/>
          <w:w w:val="110"/>
        </w:rPr>
        <w:t> </w:t>
      </w:r>
      <w:r>
        <w:rPr>
          <w:color w:val="231F20"/>
          <w:w w:val="110"/>
        </w:rPr>
        <w:t>actual</w:t>
      </w:r>
      <w:r>
        <w:rPr>
          <w:color w:val="231F20"/>
          <w:spacing w:val="-15"/>
          <w:w w:val="110"/>
        </w:rPr>
        <w:t> </w:t>
      </w:r>
      <w:r>
        <w:rPr>
          <w:color w:val="231F20"/>
          <w:w w:val="110"/>
        </w:rPr>
        <w:t>y</w:t>
      </w:r>
      <w:r>
        <w:rPr>
          <w:color w:val="231F20"/>
          <w:spacing w:val="-15"/>
          <w:w w:val="110"/>
        </w:rPr>
        <w:t> </w:t>
      </w:r>
      <w:r>
        <w:rPr>
          <w:color w:val="231F20"/>
          <w:w w:val="110"/>
        </w:rPr>
        <w:t>perspectiva</w:t>
      </w:r>
      <w:r>
        <w:rPr>
          <w:color w:val="231F20"/>
          <w:spacing w:val="-15"/>
          <w:w w:val="110"/>
        </w:rPr>
        <w:t> </w:t>
      </w:r>
      <w:r>
        <w:rPr>
          <w:color w:val="231F20"/>
          <w:w w:val="110"/>
        </w:rPr>
        <w:t>del</w:t>
      </w:r>
      <w:r>
        <w:rPr>
          <w:color w:val="231F20"/>
          <w:spacing w:val="-15"/>
          <w:w w:val="110"/>
        </w:rPr>
        <w:t> </w:t>
      </w:r>
      <w:r>
        <w:rPr>
          <w:color w:val="231F20"/>
          <w:w w:val="110"/>
        </w:rPr>
        <w:t>sistema</w:t>
      </w:r>
      <w:r>
        <w:rPr>
          <w:color w:val="231F20"/>
          <w:spacing w:val="-15"/>
          <w:w w:val="110"/>
        </w:rPr>
        <w:t> </w:t>
      </w:r>
      <w:r>
        <w:rPr>
          <w:color w:val="231F20"/>
          <w:w w:val="110"/>
        </w:rPr>
        <w:t>monetario</w:t>
      </w:r>
      <w:r>
        <w:rPr>
          <w:color w:val="231F20"/>
          <w:spacing w:val="-15"/>
          <w:w w:val="110"/>
        </w:rPr>
        <w:t> </w:t>
      </w:r>
      <w:r>
        <w:rPr>
          <w:color w:val="231F20"/>
          <w:w w:val="110"/>
        </w:rPr>
        <w:t>internacio- nal ofrece espacios para nuevas formas de articulación financiera en la</w:t>
      </w:r>
      <w:r>
        <w:rPr>
          <w:color w:val="231F20"/>
          <w:spacing w:val="-12"/>
          <w:w w:val="110"/>
        </w:rPr>
        <w:t> </w:t>
      </w:r>
      <w:r>
        <w:rPr>
          <w:color w:val="231F20"/>
          <w:w w:val="110"/>
        </w:rPr>
        <w:t>integración</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países</w:t>
      </w:r>
      <w:r>
        <w:rPr>
          <w:color w:val="231F20"/>
          <w:spacing w:val="-12"/>
          <w:w w:val="110"/>
        </w:rPr>
        <w:t> </w:t>
      </w:r>
      <w:r>
        <w:rPr>
          <w:color w:val="231F20"/>
          <w:w w:val="110"/>
        </w:rPr>
        <w:t>del</w:t>
      </w:r>
      <w:r>
        <w:rPr>
          <w:color w:val="231F20"/>
          <w:spacing w:val="-12"/>
          <w:w w:val="110"/>
        </w:rPr>
        <w:t> </w:t>
      </w:r>
      <w:r>
        <w:rPr>
          <w:color w:val="231F20"/>
          <w:w w:val="110"/>
        </w:rPr>
        <w:t>Sur</w:t>
      </w:r>
      <w:r>
        <w:rPr>
          <w:color w:val="231F20"/>
          <w:spacing w:val="-12"/>
          <w:w w:val="110"/>
        </w:rPr>
        <w:t> </w:t>
      </w:r>
      <w:r>
        <w:rPr>
          <w:color w:val="231F20"/>
          <w:w w:val="110"/>
        </w:rPr>
        <w:t>y</w:t>
      </w:r>
      <w:r>
        <w:rPr>
          <w:color w:val="231F20"/>
          <w:spacing w:val="-12"/>
          <w:w w:val="110"/>
        </w:rPr>
        <w:t> </w:t>
      </w:r>
      <w:r>
        <w:rPr>
          <w:color w:val="231F20"/>
          <w:w w:val="110"/>
        </w:rPr>
        <w:t>su</w:t>
      </w:r>
      <w:r>
        <w:rPr>
          <w:color w:val="231F20"/>
          <w:spacing w:val="-12"/>
          <w:w w:val="110"/>
        </w:rPr>
        <w:t> </w:t>
      </w:r>
      <w:r>
        <w:rPr>
          <w:color w:val="231F20"/>
          <w:w w:val="110"/>
        </w:rPr>
        <w:t>relación</w:t>
      </w:r>
      <w:r>
        <w:rPr>
          <w:color w:val="231F20"/>
          <w:spacing w:val="-12"/>
          <w:w w:val="110"/>
        </w:rPr>
        <w:t> </w:t>
      </w:r>
      <w:r>
        <w:rPr>
          <w:color w:val="231F20"/>
          <w:w w:val="110"/>
        </w:rPr>
        <w:t>con</w:t>
      </w:r>
      <w:r>
        <w:rPr>
          <w:color w:val="231F20"/>
          <w:spacing w:val="-12"/>
          <w:w w:val="110"/>
        </w:rPr>
        <w:t> </w:t>
      </w:r>
      <w:r>
        <w:rPr>
          <w:color w:val="231F20"/>
          <w:w w:val="110"/>
        </w:rPr>
        <w:t>el</w:t>
      </w:r>
      <w:r>
        <w:rPr>
          <w:color w:val="231F20"/>
          <w:spacing w:val="-12"/>
          <w:w w:val="110"/>
        </w:rPr>
        <w:t> </w:t>
      </w:r>
      <w:r>
        <w:rPr>
          <w:color w:val="231F20"/>
          <w:w w:val="110"/>
        </w:rPr>
        <w:t>sistema</w:t>
      </w:r>
      <w:r>
        <w:rPr>
          <w:color w:val="231F20"/>
          <w:spacing w:val="-12"/>
          <w:w w:val="110"/>
        </w:rPr>
        <w:t> </w:t>
      </w:r>
      <w:r>
        <w:rPr>
          <w:color w:val="231F20"/>
          <w:w w:val="110"/>
        </w:rPr>
        <w:t>global y es lo que han sabido captar los promotores latinoamericanos del Banco del alba, Banco del </w:t>
      </w:r>
      <w:r>
        <w:rPr>
          <w:color w:val="231F20"/>
          <w:spacing w:val="-5"/>
          <w:w w:val="110"/>
        </w:rPr>
        <w:t>Sur, </w:t>
      </w:r>
      <w:r>
        <w:rPr>
          <w:color w:val="231F20"/>
          <w:w w:val="110"/>
        </w:rPr>
        <w:t>el sucre, los acuerdos para nominar el comercio bilateral con monedas</w:t>
      </w:r>
      <w:r>
        <w:rPr>
          <w:color w:val="231F20"/>
          <w:spacing w:val="40"/>
          <w:w w:val="110"/>
        </w:rPr>
        <w:t> </w:t>
      </w:r>
      <w:r>
        <w:rPr>
          <w:color w:val="231F20"/>
          <w:w w:val="110"/>
        </w:rPr>
        <w:t>nacionales.</w:t>
      </w:r>
    </w:p>
    <w:p>
      <w:pPr>
        <w:pStyle w:val="BodyText"/>
        <w:spacing w:line="261" w:lineRule="auto"/>
        <w:ind w:left="100" w:right="118" w:firstLine="240"/>
        <w:jc w:val="both"/>
      </w:pPr>
      <w:r>
        <w:rPr>
          <w:color w:val="231F20"/>
          <w:w w:val="110"/>
        </w:rPr>
        <w:t>Para algunos autores como Emir Sader (2008), la crisis pone en evidencia</w:t>
      </w:r>
      <w:r>
        <w:rPr>
          <w:color w:val="231F20"/>
          <w:spacing w:val="-7"/>
          <w:w w:val="110"/>
        </w:rPr>
        <w:t> </w:t>
      </w:r>
      <w:r>
        <w:rPr>
          <w:color w:val="231F20"/>
          <w:w w:val="110"/>
        </w:rPr>
        <w:t>no</w:t>
      </w:r>
      <w:r>
        <w:rPr>
          <w:color w:val="231F20"/>
          <w:spacing w:val="-7"/>
          <w:w w:val="110"/>
        </w:rPr>
        <w:t> </w:t>
      </w:r>
      <w:r>
        <w:rPr>
          <w:color w:val="231F20"/>
          <w:w w:val="110"/>
        </w:rPr>
        <w:t>sólo</w:t>
      </w:r>
      <w:r>
        <w:rPr>
          <w:color w:val="231F20"/>
          <w:spacing w:val="-7"/>
          <w:w w:val="110"/>
        </w:rPr>
        <w:t> </w:t>
      </w:r>
      <w:r>
        <w:rPr>
          <w:color w:val="231F20"/>
          <w:w w:val="110"/>
        </w:rPr>
        <w:t>el</w:t>
      </w:r>
      <w:r>
        <w:rPr>
          <w:color w:val="231F20"/>
          <w:spacing w:val="-7"/>
          <w:w w:val="110"/>
        </w:rPr>
        <w:t> </w:t>
      </w:r>
      <w:r>
        <w:rPr>
          <w:color w:val="231F20"/>
          <w:w w:val="110"/>
        </w:rPr>
        <w:t>agotamiento</w:t>
      </w:r>
      <w:r>
        <w:rPr>
          <w:color w:val="231F20"/>
          <w:spacing w:val="-7"/>
          <w:w w:val="110"/>
        </w:rPr>
        <w:t> </w:t>
      </w:r>
      <w:r>
        <w:rPr>
          <w:color w:val="231F20"/>
          <w:w w:val="110"/>
        </w:rPr>
        <w:t>del</w:t>
      </w:r>
      <w:r>
        <w:rPr>
          <w:color w:val="231F20"/>
          <w:spacing w:val="-7"/>
          <w:w w:val="110"/>
        </w:rPr>
        <w:t> </w:t>
      </w:r>
      <w:r>
        <w:rPr>
          <w:color w:val="231F20"/>
          <w:w w:val="110"/>
        </w:rPr>
        <w:t>modelo</w:t>
      </w:r>
      <w:r>
        <w:rPr>
          <w:color w:val="231F20"/>
          <w:spacing w:val="-7"/>
          <w:w w:val="110"/>
        </w:rPr>
        <w:t> </w:t>
      </w:r>
      <w:r>
        <w:rPr>
          <w:color w:val="231F20"/>
          <w:w w:val="110"/>
        </w:rPr>
        <w:t>hegemónico</w:t>
      </w:r>
      <w:r>
        <w:rPr>
          <w:color w:val="231F20"/>
          <w:spacing w:val="-7"/>
          <w:w w:val="110"/>
        </w:rPr>
        <w:t> </w:t>
      </w:r>
      <w:r>
        <w:rPr>
          <w:color w:val="231F20"/>
          <w:w w:val="110"/>
        </w:rPr>
        <w:t>neoliberal,</w:t>
      </w:r>
      <w:r>
        <w:rPr>
          <w:color w:val="231F20"/>
          <w:w w:val="110"/>
        </w:rPr>
        <w:t> </w:t>
      </w:r>
      <w:r>
        <w:rPr>
          <w:color w:val="231F20"/>
          <w:w w:val="110"/>
        </w:rPr>
        <w:t>sino también el agotamiento de la hegemonía de Estados Unidos. Cabría entonces cuestionarse si esta potencia tendrá la capacidad para realizar los reajustes y reacomodos necesarios, en</w:t>
      </w:r>
      <w:r>
        <w:rPr>
          <w:color w:val="231F20"/>
          <w:spacing w:val="21"/>
          <w:w w:val="110"/>
        </w:rPr>
        <w:t> </w:t>
      </w:r>
      <w:r>
        <w:rPr>
          <w:color w:val="231F20"/>
          <w:w w:val="110"/>
        </w:rPr>
        <w:t>función</w:t>
      </w:r>
      <w:r>
        <w:rPr>
          <w:color w:val="231F20"/>
          <w:spacing w:val="23"/>
          <w:w w:val="110"/>
        </w:rPr>
        <w:t> </w:t>
      </w:r>
      <w:r>
        <w:rPr>
          <w:color w:val="231F20"/>
          <w:w w:val="110"/>
        </w:rPr>
        <w:t>de</w:t>
      </w:r>
      <w:r>
        <w:rPr>
          <w:color w:val="231F20"/>
          <w:w w:val="114"/>
        </w:rPr>
        <w:t> </w:t>
      </w:r>
      <w:r>
        <w:rPr>
          <w:color w:val="231F20"/>
          <w:w w:val="110"/>
        </w:rPr>
        <w:t>detener su decadencia hegemónica en las nuevas condiciones del sistema</w:t>
      </w:r>
      <w:r>
        <w:rPr>
          <w:color w:val="231F20"/>
          <w:spacing w:val="-27"/>
          <w:w w:val="110"/>
        </w:rPr>
        <w:t> </w:t>
      </w:r>
      <w:r>
        <w:rPr>
          <w:color w:val="231F20"/>
          <w:w w:val="110"/>
        </w:rPr>
        <w:t>capitalista</w:t>
      </w:r>
      <w:r>
        <w:rPr>
          <w:color w:val="231F20"/>
          <w:spacing w:val="-27"/>
          <w:w w:val="110"/>
        </w:rPr>
        <w:t> </w:t>
      </w:r>
      <w:r>
        <w:rPr>
          <w:color w:val="231F20"/>
          <w:w w:val="110"/>
        </w:rPr>
        <w:t>global.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before="67"/>
        <w:ind w:left="100" w:right="25"/>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sz w:val="18"/>
        </w:rPr>
        <w:t>Beinstein, Jorge, 2008, </w:t>
      </w:r>
      <w:r>
        <w:rPr>
          <w:i/>
          <w:color w:val="231F20"/>
          <w:sz w:val="18"/>
        </w:rPr>
        <w:t>Rostros de la crisis. Reflexiones sobre el colapso de la civi- </w:t>
      </w:r>
      <w:r>
        <w:rPr>
          <w:i/>
          <w:color w:val="231F20"/>
          <w:sz w:val="18"/>
        </w:rPr>
        <w:t>lización burguesa</w:t>
      </w:r>
      <w:r>
        <w:rPr>
          <w:color w:val="231F20"/>
          <w:sz w:val="18"/>
        </w:rPr>
        <w:t>, Seminario Internacional “Colapsos ecológico-sociales y económicos”,  29-31  de  octubre,  México,   unam.</w:t>
      </w:r>
    </w:p>
    <w:p>
      <w:pPr>
        <w:spacing w:line="254" w:lineRule="auto" w:before="1"/>
        <w:ind w:left="340" w:right="119" w:hanging="240"/>
        <w:jc w:val="both"/>
        <w:rPr>
          <w:sz w:val="18"/>
        </w:rPr>
      </w:pPr>
      <w:r>
        <w:rPr>
          <w:color w:val="231F20"/>
          <w:w w:val="105"/>
          <w:sz w:val="18"/>
        </w:rPr>
        <w:t>Bergsten, C. Fred, 2009, “Dollar and the Deficits: How Washington Can Prevent the Next Crisis?”, en </w:t>
      </w:r>
      <w:r>
        <w:rPr>
          <w:i/>
          <w:color w:val="231F20"/>
          <w:w w:val="105"/>
          <w:sz w:val="18"/>
        </w:rPr>
        <w:t>Foreign Affairs</w:t>
      </w:r>
      <w:r>
        <w:rPr>
          <w:color w:val="231F20"/>
          <w:w w:val="105"/>
          <w:sz w:val="18"/>
        </w:rPr>
        <w:t>, vol. 88, num. 6, nov.-dic.,</w:t>
      </w:r>
    </w:p>
    <w:p>
      <w:pPr>
        <w:spacing w:before="1"/>
        <w:ind w:left="340" w:right="25" w:firstLine="0"/>
        <w:jc w:val="left"/>
        <w:rPr>
          <w:sz w:val="18"/>
        </w:rPr>
      </w:pPr>
      <w:r>
        <w:rPr>
          <w:color w:val="231F20"/>
          <w:sz w:val="18"/>
        </w:rPr>
        <w:t>&lt;</w:t>
      </w:r>
      <w:hyperlink r:id="rId149">
        <w:r>
          <w:rPr>
            <w:color w:val="231F20"/>
            <w:sz w:val="18"/>
          </w:rPr>
          <w:t>www.iie.com</w:t>
        </w:r>
      </w:hyperlink>
      <w:r>
        <w:rPr>
          <w:color w:val="231F20"/>
          <w:sz w:val="18"/>
        </w:rPr>
        <w:t>&gt;.</w:t>
      </w:r>
    </w:p>
    <w:p>
      <w:pPr>
        <w:spacing w:line="254" w:lineRule="auto" w:before="13"/>
        <w:ind w:left="340" w:right="119" w:hanging="240"/>
        <w:jc w:val="both"/>
        <w:rPr>
          <w:sz w:val="18"/>
        </w:rPr>
      </w:pPr>
      <w:r>
        <w:rPr>
          <w:color w:val="231F20"/>
          <w:sz w:val="18"/>
        </w:rPr>
        <w:t>Buira, Ariel y Martín Abeles, 2007, “Global Imbalances and the Role of the   IMF”, en </w:t>
      </w:r>
      <w:r>
        <w:rPr>
          <w:i/>
          <w:color w:val="231F20"/>
          <w:sz w:val="18"/>
        </w:rPr>
        <w:t>Global Imbalances and Developing Countries: Remedies for</w:t>
      </w:r>
      <w:r>
        <w:rPr>
          <w:i/>
          <w:color w:val="231F20"/>
          <w:spacing w:val="-23"/>
          <w:sz w:val="18"/>
        </w:rPr>
        <w:t> </w:t>
      </w:r>
      <w:r>
        <w:rPr>
          <w:i/>
          <w:color w:val="231F20"/>
          <w:sz w:val="18"/>
        </w:rPr>
        <w:t>a</w:t>
      </w:r>
      <w:r>
        <w:rPr>
          <w:i/>
          <w:color w:val="231F20"/>
          <w:spacing w:val="-3"/>
          <w:sz w:val="18"/>
        </w:rPr>
        <w:t> </w:t>
      </w:r>
      <w:r>
        <w:rPr>
          <w:i/>
          <w:color w:val="231F20"/>
          <w:sz w:val="18"/>
        </w:rPr>
        <w:t>Failing</w:t>
      </w:r>
      <w:r>
        <w:rPr>
          <w:i/>
          <w:color w:val="231F20"/>
          <w:w w:val="95"/>
          <w:sz w:val="18"/>
        </w:rPr>
        <w:t> </w:t>
      </w:r>
      <w:r>
        <w:rPr>
          <w:i/>
          <w:color w:val="231F20"/>
          <w:sz w:val="18"/>
        </w:rPr>
        <w:t>International Financial System, Fondad, The Hague,</w:t>
      </w:r>
      <w:r>
        <w:rPr>
          <w:i/>
          <w:color w:val="231F20"/>
          <w:spacing w:val="3"/>
          <w:sz w:val="18"/>
        </w:rPr>
        <w:t> </w:t>
      </w:r>
      <w:r>
        <w:rPr>
          <w:color w:val="231F20"/>
          <w:sz w:val="18"/>
        </w:rPr>
        <w:t>&lt;</w:t>
      </w:r>
      <w:hyperlink r:id="rId150">
        <w:r>
          <w:rPr>
            <w:color w:val="231F20"/>
            <w:sz w:val="18"/>
          </w:rPr>
          <w:t>www.fondad.org</w:t>
        </w:r>
      </w:hyperlink>
      <w:r>
        <w:rPr>
          <w:color w:val="231F20"/>
          <w:sz w:val="18"/>
        </w:rPr>
        <w:t>&gt;</w:t>
      </w:r>
    </w:p>
    <w:p>
      <w:pPr>
        <w:spacing w:line="254" w:lineRule="auto" w:before="1"/>
        <w:ind w:left="340" w:right="119" w:hanging="240"/>
        <w:jc w:val="both"/>
        <w:rPr>
          <w:sz w:val="18"/>
        </w:rPr>
      </w:pPr>
      <w:r>
        <w:rPr>
          <w:color w:val="231F20"/>
          <w:sz w:val="18"/>
        </w:rPr>
        <w:t>Bureau of Economic Analysis, 2010, </w:t>
      </w:r>
      <w:r>
        <w:rPr>
          <w:i/>
          <w:color w:val="231F20"/>
          <w:sz w:val="18"/>
        </w:rPr>
        <w:t>US International Transactions: Fourth Quar- </w:t>
      </w:r>
      <w:r>
        <w:rPr>
          <w:i/>
          <w:color w:val="231F20"/>
          <w:sz w:val="18"/>
        </w:rPr>
        <w:t>ter  and  Year  2009,  </w:t>
      </w:r>
      <w:r>
        <w:rPr>
          <w:color w:val="231F20"/>
          <w:sz w:val="18"/>
        </w:rPr>
        <w:t>&lt;</w:t>
      </w:r>
      <w:hyperlink r:id="rId151">
        <w:r>
          <w:rPr>
            <w:color w:val="231F20"/>
            <w:sz w:val="18"/>
          </w:rPr>
          <w:t>www.bea.gov/newsreleases/rels.htm</w:t>
        </w:r>
      </w:hyperlink>
      <w:r>
        <w:rPr>
          <w:color w:val="231F20"/>
          <w:sz w:val="18"/>
        </w:rPr>
        <w:t>&gt;.</w:t>
      </w:r>
    </w:p>
    <w:p>
      <w:pPr>
        <w:spacing w:line="254" w:lineRule="auto" w:before="1"/>
        <w:ind w:left="73" w:right="116" w:firstLine="0"/>
        <w:jc w:val="right"/>
        <w:rPr>
          <w:sz w:val="18"/>
        </w:rPr>
      </w:pPr>
      <w:r>
        <w:rPr>
          <w:color w:val="231F20"/>
          <w:w w:val="105"/>
          <w:sz w:val="18"/>
        </w:rPr>
        <w:t>Cartapanis, André, 2009, “Le dollar incontesté ? Economie politique d’une</w:t>
      </w:r>
      <w:r>
        <w:rPr>
          <w:color w:val="231F20"/>
          <w:w w:val="112"/>
          <w:sz w:val="18"/>
        </w:rPr>
        <w:t> </w:t>
      </w:r>
      <w:r>
        <w:rPr>
          <w:color w:val="231F20"/>
          <w:w w:val="105"/>
          <w:sz w:val="18"/>
        </w:rPr>
        <w:t>monnaie internationale”, en </w:t>
      </w:r>
      <w:r>
        <w:rPr>
          <w:i/>
          <w:color w:val="231F20"/>
          <w:w w:val="105"/>
          <w:sz w:val="18"/>
        </w:rPr>
        <w:t>Revue d’Economie Financière</w:t>
      </w:r>
      <w:r>
        <w:rPr>
          <w:color w:val="231F20"/>
          <w:w w:val="105"/>
          <w:sz w:val="18"/>
        </w:rPr>
        <w:t>, núm. 94, marzo.</w:t>
      </w:r>
      <w:r>
        <w:rPr>
          <w:color w:val="231F20"/>
          <w:w w:val="108"/>
          <w:sz w:val="18"/>
        </w:rPr>
        <w:t> </w:t>
      </w:r>
      <w:r>
        <w:rPr>
          <w:color w:val="231F20"/>
          <w:w w:val="105"/>
          <w:sz w:val="18"/>
        </w:rPr>
        <w:t>Council of Economic Advisers, 2009, </w:t>
      </w:r>
      <w:r>
        <w:rPr>
          <w:i/>
          <w:color w:val="231F20"/>
          <w:w w:val="105"/>
          <w:sz w:val="18"/>
        </w:rPr>
        <w:t>Economic Report of the President</w:t>
      </w:r>
      <w:r>
        <w:rPr>
          <w:color w:val="231F20"/>
          <w:w w:val="105"/>
          <w:sz w:val="18"/>
        </w:rPr>
        <w:t>,   The</w:t>
      </w:r>
    </w:p>
    <w:p>
      <w:pPr>
        <w:spacing w:before="1"/>
        <w:ind w:left="340" w:right="25" w:firstLine="0"/>
        <w:jc w:val="left"/>
        <w:rPr>
          <w:sz w:val="18"/>
        </w:rPr>
      </w:pPr>
      <w:r>
        <w:rPr>
          <w:color w:val="231F20"/>
          <w:w w:val="110"/>
          <w:sz w:val="18"/>
        </w:rPr>
        <w:t>White House, Washington, DC.</w:t>
      </w:r>
    </w:p>
    <w:p>
      <w:pPr>
        <w:spacing w:line="254" w:lineRule="auto" w:before="13"/>
        <w:ind w:left="340" w:right="117" w:hanging="240"/>
        <w:jc w:val="both"/>
        <w:rPr>
          <w:sz w:val="18"/>
        </w:rPr>
      </w:pPr>
      <w:r>
        <w:rPr>
          <w:color w:val="231F20"/>
          <w:w w:val="105"/>
          <w:sz w:val="18"/>
        </w:rPr>
        <w:t>Cline, William R. 2009 “Long-term fiscal imbalances, US external liabilities, and future living standards”, en </w:t>
      </w:r>
      <w:r>
        <w:rPr>
          <w:i/>
          <w:color w:val="231F20"/>
          <w:w w:val="105"/>
          <w:sz w:val="18"/>
        </w:rPr>
        <w:t>The Long-Term International Economic</w:t>
      </w:r>
      <w:r>
        <w:rPr>
          <w:i/>
          <w:color w:val="231F20"/>
          <w:spacing w:val="-17"/>
          <w:w w:val="105"/>
          <w:sz w:val="18"/>
        </w:rPr>
        <w:t> </w:t>
      </w:r>
      <w:r>
        <w:rPr>
          <w:i/>
          <w:color w:val="231F20"/>
          <w:w w:val="105"/>
          <w:sz w:val="18"/>
        </w:rPr>
        <w:t>Po- </w:t>
      </w:r>
      <w:r>
        <w:rPr>
          <w:i/>
          <w:color w:val="231F20"/>
          <w:w w:val="105"/>
          <w:sz w:val="18"/>
        </w:rPr>
        <w:t>sition of the United States</w:t>
      </w:r>
      <w:r>
        <w:rPr>
          <w:color w:val="231F20"/>
          <w:w w:val="105"/>
          <w:sz w:val="18"/>
        </w:rPr>
        <w:t>, Special Report 20, C. Fred Bergsten (ed.), </w:t>
      </w:r>
      <w:r>
        <w:rPr>
          <w:color w:val="231F20"/>
          <w:spacing w:val="42"/>
          <w:w w:val="105"/>
          <w:sz w:val="18"/>
        </w:rPr>
        <w:t> </w:t>
      </w:r>
      <w:r>
        <w:rPr>
          <w:color w:val="231F20"/>
          <w:w w:val="105"/>
          <w:sz w:val="18"/>
        </w:rPr>
        <w:t>abril,</w:t>
      </w:r>
    </w:p>
    <w:p>
      <w:pPr>
        <w:spacing w:before="1"/>
        <w:ind w:left="340" w:right="25" w:firstLine="0"/>
        <w:jc w:val="left"/>
        <w:rPr>
          <w:sz w:val="18"/>
        </w:rPr>
      </w:pPr>
      <w:r>
        <w:rPr>
          <w:color w:val="231F20"/>
          <w:sz w:val="18"/>
        </w:rPr>
        <w:t>&lt;</w:t>
      </w:r>
      <w:hyperlink r:id="rId149">
        <w:r>
          <w:rPr>
            <w:color w:val="231F20"/>
            <w:sz w:val="18"/>
          </w:rPr>
          <w:t>www.iie.com</w:t>
        </w:r>
      </w:hyperlink>
      <w:r>
        <w:rPr>
          <w:color w:val="231F20"/>
          <w:sz w:val="18"/>
        </w:rPr>
        <w:t>&gt;.</w:t>
      </w:r>
    </w:p>
    <w:p>
      <w:pPr>
        <w:spacing w:line="254" w:lineRule="auto" w:before="13"/>
        <w:ind w:left="340" w:right="119" w:hanging="240"/>
        <w:jc w:val="both"/>
        <w:rPr>
          <w:sz w:val="18"/>
        </w:rPr>
      </w:pPr>
      <w:r>
        <w:rPr>
          <w:color w:val="231F20"/>
          <w:sz w:val="18"/>
        </w:rPr>
        <w:t>Dooley, Michael  </w:t>
      </w:r>
      <w:r>
        <w:rPr>
          <w:color w:val="231F20"/>
          <w:spacing w:val="-8"/>
          <w:sz w:val="18"/>
        </w:rPr>
        <w:t>P.,  </w:t>
      </w:r>
      <w:r>
        <w:rPr>
          <w:color w:val="231F20"/>
          <w:sz w:val="18"/>
        </w:rPr>
        <w:t>David  Folkerts-Landau  y  Peter  </w:t>
      </w:r>
      <w:r>
        <w:rPr>
          <w:color w:val="231F20"/>
          <w:spacing w:val="-3"/>
          <w:sz w:val="18"/>
        </w:rPr>
        <w:t>Garber,  </w:t>
      </w:r>
      <w:r>
        <w:rPr>
          <w:color w:val="231F20"/>
          <w:sz w:val="18"/>
        </w:rPr>
        <w:t>2003,  </w:t>
      </w:r>
      <w:r>
        <w:rPr>
          <w:i/>
          <w:color w:val="231F20"/>
          <w:sz w:val="18"/>
        </w:rPr>
        <w:t>An  Essay  </w:t>
      </w:r>
      <w:r>
        <w:rPr>
          <w:i/>
          <w:color w:val="231F20"/>
          <w:sz w:val="18"/>
        </w:rPr>
        <w:t>on the Revived Bretton Woods System, </w:t>
      </w:r>
      <w:r>
        <w:rPr>
          <w:color w:val="231F20"/>
          <w:sz w:val="18"/>
        </w:rPr>
        <w:t>nber Working Paper, núm. 9971</w:t>
      </w:r>
      <w:r>
        <w:rPr>
          <w:i/>
          <w:color w:val="231F20"/>
          <w:sz w:val="18"/>
        </w:rPr>
        <w:t>, </w:t>
      </w:r>
      <w:r>
        <w:rPr>
          <w:color w:val="231F20"/>
          <w:sz w:val="18"/>
        </w:rPr>
        <w:t>septiembre.</w:t>
      </w:r>
    </w:p>
    <w:p>
      <w:pPr>
        <w:spacing w:line="254" w:lineRule="auto" w:before="1"/>
        <w:ind w:left="340" w:right="119" w:hanging="240"/>
        <w:jc w:val="both"/>
        <w:rPr>
          <w:sz w:val="18"/>
        </w:rPr>
      </w:pPr>
      <w:r>
        <w:rPr>
          <w:color w:val="231F20"/>
          <w:w w:val="105"/>
          <w:sz w:val="18"/>
        </w:rPr>
        <w:t>Eichengreen, Barry, 2000, “US Foreign Financial Relations in the Twentieth Century”, en </w:t>
      </w:r>
      <w:r>
        <w:rPr>
          <w:i/>
          <w:color w:val="231F20"/>
          <w:w w:val="105"/>
          <w:sz w:val="18"/>
        </w:rPr>
        <w:t>The Cambridge Economic History of the United States</w:t>
      </w:r>
      <w:r>
        <w:rPr>
          <w:color w:val="231F20"/>
          <w:w w:val="105"/>
          <w:sz w:val="18"/>
        </w:rPr>
        <w:t>, vol.</w:t>
      </w:r>
      <w:r>
        <w:rPr>
          <w:color w:val="231F20"/>
          <w:spacing w:val="-25"/>
          <w:w w:val="105"/>
          <w:sz w:val="18"/>
        </w:rPr>
        <w:t> </w:t>
      </w:r>
      <w:r>
        <w:rPr>
          <w:color w:val="231F20"/>
          <w:w w:val="105"/>
          <w:sz w:val="18"/>
        </w:rPr>
        <w:t>iii, Cambridge,  Cambridge  University</w:t>
      </w:r>
      <w:r>
        <w:rPr>
          <w:color w:val="231F20"/>
          <w:spacing w:val="-10"/>
          <w:w w:val="105"/>
          <w:sz w:val="18"/>
        </w:rPr>
        <w:t> </w:t>
      </w:r>
      <w:r>
        <w:rPr>
          <w:color w:val="231F20"/>
          <w:w w:val="105"/>
          <w:sz w:val="18"/>
        </w:rPr>
        <w:t>Press.</w:t>
      </w:r>
    </w:p>
    <w:p>
      <w:pPr>
        <w:spacing w:line="254" w:lineRule="auto" w:before="1"/>
        <w:ind w:left="340" w:right="118" w:hanging="240"/>
        <w:jc w:val="both"/>
        <w:rPr>
          <w:sz w:val="18"/>
        </w:rPr>
      </w:pPr>
      <w:r>
        <w:rPr>
          <w:color w:val="231F20"/>
          <w:sz w:val="18"/>
        </w:rPr>
        <w:t>Estay, Jaime, 2001, </w:t>
      </w:r>
      <w:r>
        <w:rPr>
          <w:i/>
          <w:color w:val="231F20"/>
          <w:sz w:val="18"/>
        </w:rPr>
        <w:t>La globalización financiera. Una revisión de sus contenidos e </w:t>
      </w:r>
      <w:r>
        <w:rPr>
          <w:i/>
          <w:color w:val="231F20"/>
          <w:sz w:val="18"/>
        </w:rPr>
        <w:t>impactos, </w:t>
      </w:r>
      <w:hyperlink r:id="rId152">
        <w:r>
          <w:rPr>
            <w:color w:val="231F20"/>
            <w:sz w:val="18"/>
          </w:rPr>
          <w:t>&lt;www.redem.buap.mx&gt;</w:t>
        </w:r>
      </w:hyperlink>
      <w:r>
        <w:rPr>
          <w:color w:val="231F20"/>
          <w:sz w:val="18"/>
        </w:rPr>
        <w:t>.</w:t>
      </w:r>
    </w:p>
    <w:p>
      <w:pPr>
        <w:spacing w:line="254" w:lineRule="auto" w:before="1"/>
        <w:ind w:left="340" w:right="117" w:hanging="240"/>
        <w:jc w:val="both"/>
        <w:rPr>
          <w:sz w:val="18"/>
        </w:rPr>
      </w:pPr>
      <w:r>
        <w:rPr>
          <w:color w:val="231F20"/>
          <w:w w:val="105"/>
          <w:sz w:val="18"/>
        </w:rPr>
        <w:t>Frankel, Jeffrey, 2006, “Could the Twin Deficits Jeopardize US Hegemony?”, </w:t>
      </w:r>
      <w:r>
        <w:rPr>
          <w:i/>
          <w:color w:val="231F20"/>
          <w:w w:val="105"/>
          <w:sz w:val="18"/>
        </w:rPr>
        <w:t>Journal of Policy Modeling, </w:t>
      </w:r>
      <w:r>
        <w:rPr>
          <w:color w:val="231F20"/>
          <w:w w:val="105"/>
          <w:sz w:val="18"/>
        </w:rPr>
        <w:t>vol. 28, Issue 6, sep., </w:t>
      </w:r>
      <w:hyperlink r:id="rId153">
        <w:r>
          <w:rPr>
            <w:color w:val="231F20"/>
            <w:w w:val="105"/>
            <w:sz w:val="18"/>
          </w:rPr>
          <w:t>&lt;www.sciencedirect.cim/</w:t>
        </w:r>
      </w:hyperlink>
      <w:r>
        <w:rPr>
          <w:color w:val="231F20"/>
          <w:w w:val="105"/>
          <w:sz w:val="18"/>
        </w:rPr>
        <w:t> science/journal/01618938&gt;.</w:t>
      </w:r>
    </w:p>
    <w:p>
      <w:pPr>
        <w:spacing w:line="254" w:lineRule="auto" w:before="1"/>
        <w:ind w:left="340" w:right="113" w:hanging="240"/>
        <w:jc w:val="both"/>
        <w:rPr>
          <w:sz w:val="18"/>
        </w:rPr>
      </w:pPr>
      <w:r>
        <w:rPr>
          <w:color w:val="231F20"/>
          <w:w w:val="105"/>
          <w:sz w:val="18"/>
        </w:rPr>
        <w:t>Helleiner, Eric, 2008, “Political determinants of  international  currencies:</w:t>
      </w:r>
      <w:r>
        <w:rPr>
          <w:color w:val="231F20"/>
          <w:spacing w:val="47"/>
          <w:w w:val="105"/>
          <w:sz w:val="18"/>
        </w:rPr>
        <w:t> </w:t>
      </w:r>
      <w:r>
        <w:rPr>
          <w:color w:val="231F20"/>
          <w:w w:val="105"/>
          <w:sz w:val="18"/>
        </w:rPr>
        <w:t>What</w:t>
      </w:r>
      <w:r>
        <w:rPr>
          <w:color w:val="231F20"/>
          <w:spacing w:val="-22"/>
          <w:w w:val="105"/>
          <w:sz w:val="18"/>
        </w:rPr>
        <w:t> </w:t>
      </w:r>
      <w:r>
        <w:rPr>
          <w:color w:val="231F20"/>
          <w:w w:val="105"/>
          <w:sz w:val="18"/>
        </w:rPr>
        <w:t>future</w:t>
      </w:r>
      <w:r>
        <w:rPr>
          <w:color w:val="231F20"/>
          <w:spacing w:val="-22"/>
          <w:w w:val="105"/>
          <w:sz w:val="18"/>
        </w:rPr>
        <w:t> </w:t>
      </w:r>
      <w:r>
        <w:rPr>
          <w:color w:val="231F20"/>
          <w:w w:val="105"/>
          <w:sz w:val="18"/>
        </w:rPr>
        <w:t>for</w:t>
      </w:r>
      <w:r>
        <w:rPr>
          <w:color w:val="231F20"/>
          <w:spacing w:val="-22"/>
          <w:w w:val="105"/>
          <w:sz w:val="18"/>
        </w:rPr>
        <w:t> </w:t>
      </w:r>
      <w:r>
        <w:rPr>
          <w:color w:val="231F20"/>
          <w:w w:val="105"/>
          <w:sz w:val="18"/>
        </w:rPr>
        <w:t>the</w:t>
      </w:r>
      <w:r>
        <w:rPr>
          <w:color w:val="231F20"/>
          <w:spacing w:val="-22"/>
          <w:w w:val="105"/>
          <w:sz w:val="18"/>
        </w:rPr>
        <w:t> </w:t>
      </w:r>
      <w:r>
        <w:rPr>
          <w:color w:val="231F20"/>
          <w:w w:val="105"/>
          <w:sz w:val="18"/>
        </w:rPr>
        <w:t>US</w:t>
      </w:r>
      <w:r>
        <w:rPr>
          <w:color w:val="231F20"/>
          <w:spacing w:val="-22"/>
          <w:w w:val="105"/>
          <w:sz w:val="18"/>
        </w:rPr>
        <w:t> </w:t>
      </w:r>
      <w:r>
        <w:rPr>
          <w:color w:val="231F20"/>
          <w:w w:val="105"/>
          <w:sz w:val="18"/>
        </w:rPr>
        <w:t>dollar?”,</w:t>
      </w:r>
      <w:r>
        <w:rPr>
          <w:color w:val="231F20"/>
          <w:spacing w:val="-22"/>
          <w:w w:val="105"/>
          <w:sz w:val="18"/>
        </w:rPr>
        <w:t> </w:t>
      </w:r>
      <w:r>
        <w:rPr>
          <w:color w:val="231F20"/>
          <w:w w:val="105"/>
          <w:sz w:val="18"/>
        </w:rPr>
        <w:t>en</w:t>
      </w:r>
      <w:r>
        <w:rPr>
          <w:color w:val="231F20"/>
          <w:spacing w:val="-22"/>
          <w:w w:val="105"/>
          <w:sz w:val="18"/>
        </w:rPr>
        <w:t> </w:t>
      </w:r>
      <w:r>
        <w:rPr>
          <w:i/>
          <w:color w:val="231F20"/>
          <w:w w:val="105"/>
          <w:sz w:val="18"/>
        </w:rPr>
        <w:t>Review</w:t>
      </w:r>
      <w:r>
        <w:rPr>
          <w:i/>
          <w:color w:val="231F20"/>
          <w:spacing w:val="-22"/>
          <w:w w:val="105"/>
          <w:sz w:val="18"/>
        </w:rPr>
        <w:t> </w:t>
      </w:r>
      <w:r>
        <w:rPr>
          <w:i/>
          <w:color w:val="231F20"/>
          <w:w w:val="105"/>
          <w:sz w:val="18"/>
        </w:rPr>
        <w:t>of</w:t>
      </w:r>
      <w:r>
        <w:rPr>
          <w:i/>
          <w:color w:val="231F20"/>
          <w:spacing w:val="-22"/>
          <w:w w:val="105"/>
          <w:sz w:val="18"/>
        </w:rPr>
        <w:t> </w:t>
      </w:r>
      <w:r>
        <w:rPr>
          <w:i/>
          <w:color w:val="231F20"/>
          <w:w w:val="105"/>
          <w:sz w:val="18"/>
        </w:rPr>
        <w:t>International</w:t>
      </w:r>
      <w:r>
        <w:rPr>
          <w:i/>
          <w:color w:val="231F20"/>
          <w:spacing w:val="-22"/>
          <w:w w:val="105"/>
          <w:sz w:val="18"/>
        </w:rPr>
        <w:t> </w:t>
      </w:r>
      <w:r>
        <w:rPr>
          <w:i/>
          <w:color w:val="231F20"/>
          <w:w w:val="105"/>
          <w:sz w:val="18"/>
        </w:rPr>
        <w:t>Political</w:t>
      </w:r>
      <w:r>
        <w:rPr>
          <w:i/>
          <w:color w:val="231F20"/>
          <w:spacing w:val="-22"/>
          <w:w w:val="105"/>
          <w:sz w:val="18"/>
        </w:rPr>
        <w:t> </w:t>
      </w:r>
      <w:r>
        <w:rPr>
          <w:i/>
          <w:color w:val="231F20"/>
          <w:w w:val="105"/>
          <w:sz w:val="18"/>
        </w:rPr>
        <w:t>Economy</w:t>
      </w:r>
      <w:r>
        <w:rPr>
          <w:color w:val="231F20"/>
          <w:w w:val="105"/>
          <w:sz w:val="18"/>
        </w:rPr>
        <w:t>, núm. 15-3,</w:t>
      </w:r>
      <w:r>
        <w:rPr>
          <w:color w:val="231F20"/>
          <w:spacing w:val="39"/>
          <w:w w:val="105"/>
          <w:sz w:val="18"/>
        </w:rPr>
        <w:t> </w:t>
      </w:r>
      <w:r>
        <w:rPr>
          <w:color w:val="231F20"/>
          <w:w w:val="105"/>
          <w:sz w:val="18"/>
        </w:rPr>
        <w:t>agosto.</w:t>
      </w:r>
    </w:p>
    <w:p>
      <w:pPr>
        <w:spacing w:line="254" w:lineRule="auto" w:before="1"/>
        <w:ind w:left="340" w:right="118" w:hanging="240"/>
        <w:jc w:val="both"/>
        <w:rPr>
          <w:sz w:val="18"/>
        </w:rPr>
      </w:pPr>
      <w:r>
        <w:rPr>
          <w:color w:val="231F20"/>
          <w:w w:val="105"/>
          <w:sz w:val="18"/>
        </w:rPr>
        <w:t>Jackson,</w:t>
      </w:r>
      <w:r>
        <w:rPr>
          <w:color w:val="231F20"/>
          <w:spacing w:val="-30"/>
          <w:w w:val="105"/>
          <w:sz w:val="18"/>
        </w:rPr>
        <w:t> </w:t>
      </w:r>
      <w:r>
        <w:rPr>
          <w:color w:val="231F20"/>
          <w:w w:val="105"/>
          <w:sz w:val="18"/>
        </w:rPr>
        <w:t>James</w:t>
      </w:r>
      <w:r>
        <w:rPr>
          <w:color w:val="231F20"/>
          <w:spacing w:val="-30"/>
          <w:w w:val="105"/>
          <w:sz w:val="18"/>
        </w:rPr>
        <w:t> </w:t>
      </w:r>
      <w:r>
        <w:rPr>
          <w:color w:val="231F20"/>
          <w:w w:val="105"/>
          <w:sz w:val="18"/>
        </w:rPr>
        <w:t>K.,</w:t>
      </w:r>
      <w:r>
        <w:rPr>
          <w:color w:val="231F20"/>
          <w:spacing w:val="-30"/>
          <w:w w:val="105"/>
          <w:sz w:val="18"/>
        </w:rPr>
        <w:t> </w:t>
      </w:r>
      <w:r>
        <w:rPr>
          <w:color w:val="231F20"/>
          <w:w w:val="105"/>
          <w:sz w:val="18"/>
        </w:rPr>
        <w:t>2008,</w:t>
      </w:r>
      <w:r>
        <w:rPr>
          <w:color w:val="231F20"/>
          <w:spacing w:val="-30"/>
          <w:w w:val="105"/>
          <w:sz w:val="18"/>
        </w:rPr>
        <w:t> </w:t>
      </w:r>
      <w:r>
        <w:rPr>
          <w:i/>
          <w:color w:val="231F20"/>
          <w:w w:val="105"/>
          <w:sz w:val="18"/>
        </w:rPr>
        <w:t>The</w:t>
      </w:r>
      <w:r>
        <w:rPr>
          <w:i/>
          <w:color w:val="231F20"/>
          <w:spacing w:val="-30"/>
          <w:w w:val="105"/>
          <w:sz w:val="18"/>
        </w:rPr>
        <w:t> </w:t>
      </w:r>
      <w:r>
        <w:rPr>
          <w:i/>
          <w:color w:val="231F20"/>
          <w:w w:val="105"/>
          <w:sz w:val="18"/>
        </w:rPr>
        <w:t>United</w:t>
      </w:r>
      <w:r>
        <w:rPr>
          <w:i/>
          <w:color w:val="231F20"/>
          <w:spacing w:val="-30"/>
          <w:w w:val="105"/>
          <w:sz w:val="18"/>
        </w:rPr>
        <w:t> </w:t>
      </w:r>
      <w:r>
        <w:rPr>
          <w:i/>
          <w:color w:val="231F20"/>
          <w:w w:val="105"/>
          <w:sz w:val="18"/>
        </w:rPr>
        <w:t>States</w:t>
      </w:r>
      <w:r>
        <w:rPr>
          <w:i/>
          <w:color w:val="231F20"/>
          <w:spacing w:val="-30"/>
          <w:w w:val="105"/>
          <w:sz w:val="18"/>
        </w:rPr>
        <w:t> </w:t>
      </w:r>
      <w:r>
        <w:rPr>
          <w:i/>
          <w:color w:val="231F20"/>
          <w:w w:val="105"/>
          <w:sz w:val="18"/>
        </w:rPr>
        <w:t>as</w:t>
      </w:r>
      <w:r>
        <w:rPr>
          <w:i/>
          <w:color w:val="231F20"/>
          <w:spacing w:val="-30"/>
          <w:w w:val="105"/>
          <w:sz w:val="18"/>
        </w:rPr>
        <w:t> </w:t>
      </w:r>
      <w:r>
        <w:rPr>
          <w:i/>
          <w:color w:val="231F20"/>
          <w:w w:val="105"/>
          <w:sz w:val="18"/>
        </w:rPr>
        <w:t>a</w:t>
      </w:r>
      <w:r>
        <w:rPr>
          <w:i/>
          <w:color w:val="231F20"/>
          <w:spacing w:val="-30"/>
          <w:w w:val="105"/>
          <w:sz w:val="18"/>
        </w:rPr>
        <w:t> </w:t>
      </w:r>
      <w:r>
        <w:rPr>
          <w:i/>
          <w:color w:val="231F20"/>
          <w:w w:val="105"/>
          <w:sz w:val="18"/>
        </w:rPr>
        <w:t>Net</w:t>
      </w:r>
      <w:r>
        <w:rPr>
          <w:i/>
          <w:color w:val="231F20"/>
          <w:spacing w:val="-30"/>
          <w:w w:val="105"/>
          <w:sz w:val="18"/>
        </w:rPr>
        <w:t> </w:t>
      </w:r>
      <w:r>
        <w:rPr>
          <w:i/>
          <w:color w:val="231F20"/>
          <w:w w:val="105"/>
          <w:sz w:val="18"/>
        </w:rPr>
        <w:t>Debtor</w:t>
      </w:r>
      <w:r>
        <w:rPr>
          <w:i/>
          <w:color w:val="231F20"/>
          <w:spacing w:val="-30"/>
          <w:w w:val="105"/>
          <w:sz w:val="18"/>
        </w:rPr>
        <w:t> </w:t>
      </w:r>
      <w:r>
        <w:rPr>
          <w:i/>
          <w:color w:val="231F20"/>
          <w:w w:val="105"/>
          <w:sz w:val="18"/>
        </w:rPr>
        <w:t>Nation:</w:t>
      </w:r>
      <w:r>
        <w:rPr>
          <w:i/>
          <w:color w:val="231F20"/>
          <w:spacing w:val="-30"/>
          <w:w w:val="105"/>
          <w:sz w:val="18"/>
        </w:rPr>
        <w:t> </w:t>
      </w:r>
      <w:r>
        <w:rPr>
          <w:i/>
          <w:color w:val="231F20"/>
          <w:w w:val="105"/>
          <w:sz w:val="18"/>
        </w:rPr>
        <w:t>Overview</w:t>
      </w:r>
      <w:r>
        <w:rPr>
          <w:i/>
          <w:color w:val="231F20"/>
          <w:spacing w:val="-30"/>
          <w:w w:val="105"/>
          <w:sz w:val="18"/>
        </w:rPr>
        <w:t> </w:t>
      </w:r>
      <w:r>
        <w:rPr>
          <w:i/>
          <w:color w:val="231F20"/>
          <w:w w:val="105"/>
          <w:sz w:val="18"/>
        </w:rPr>
        <w:t>of</w:t>
      </w:r>
      <w:r>
        <w:rPr>
          <w:i/>
          <w:color w:val="231F20"/>
          <w:spacing w:val="-30"/>
          <w:w w:val="105"/>
          <w:sz w:val="18"/>
        </w:rPr>
        <w:t> </w:t>
      </w:r>
      <w:r>
        <w:rPr>
          <w:i/>
          <w:color w:val="231F20"/>
          <w:w w:val="105"/>
          <w:sz w:val="18"/>
        </w:rPr>
        <w:t>the </w:t>
      </w:r>
      <w:r>
        <w:rPr>
          <w:i/>
          <w:color w:val="231F20"/>
          <w:w w:val="105"/>
          <w:sz w:val="18"/>
        </w:rPr>
        <w:t>International Investment Position</w:t>
      </w:r>
      <w:r>
        <w:rPr>
          <w:color w:val="231F20"/>
          <w:w w:val="105"/>
          <w:sz w:val="18"/>
        </w:rPr>
        <w:t>, crs Report for Congress, </w:t>
      </w:r>
      <w:hyperlink r:id="rId154">
        <w:r>
          <w:rPr>
            <w:color w:val="231F20"/>
            <w:w w:val="105"/>
            <w:sz w:val="18"/>
          </w:rPr>
          <w:t>&lt;http://opencrs.</w:t>
        </w:r>
      </w:hyperlink>
      <w:r>
        <w:rPr>
          <w:color w:val="231F20"/>
          <w:w w:val="105"/>
          <w:sz w:val="18"/>
        </w:rPr>
        <w:t> com/document/RL32964/2008-07-22&gt;.</w:t>
      </w:r>
    </w:p>
    <w:p>
      <w:pPr>
        <w:spacing w:line="254" w:lineRule="auto" w:before="1"/>
        <w:ind w:left="340" w:right="117" w:hanging="240"/>
        <w:jc w:val="both"/>
        <w:rPr>
          <w:sz w:val="18"/>
        </w:rPr>
      </w:pPr>
      <w:r>
        <w:rPr>
          <w:color w:val="231F20"/>
          <w:w w:val="105"/>
          <w:sz w:val="18"/>
        </w:rPr>
        <w:t>Kennedy,</w:t>
      </w:r>
      <w:r>
        <w:rPr>
          <w:color w:val="231F20"/>
          <w:spacing w:val="-5"/>
          <w:w w:val="105"/>
          <w:sz w:val="18"/>
        </w:rPr>
        <w:t> </w:t>
      </w:r>
      <w:r>
        <w:rPr>
          <w:color w:val="231F20"/>
          <w:w w:val="105"/>
          <w:sz w:val="18"/>
        </w:rPr>
        <w:t>Paul,</w:t>
      </w:r>
      <w:r>
        <w:rPr>
          <w:color w:val="231F20"/>
          <w:spacing w:val="-6"/>
          <w:w w:val="105"/>
          <w:sz w:val="18"/>
        </w:rPr>
        <w:t> </w:t>
      </w:r>
      <w:r>
        <w:rPr>
          <w:color w:val="231F20"/>
          <w:w w:val="105"/>
          <w:sz w:val="18"/>
        </w:rPr>
        <w:t>2009,</w:t>
      </w:r>
      <w:r>
        <w:rPr>
          <w:color w:val="231F20"/>
          <w:spacing w:val="-5"/>
          <w:w w:val="105"/>
          <w:sz w:val="18"/>
        </w:rPr>
        <w:t> </w:t>
      </w:r>
      <w:r>
        <w:rPr>
          <w:color w:val="231F20"/>
          <w:w w:val="105"/>
          <w:sz w:val="18"/>
        </w:rPr>
        <w:t>“El</w:t>
      </w:r>
      <w:r>
        <w:rPr>
          <w:color w:val="231F20"/>
          <w:spacing w:val="-5"/>
          <w:w w:val="105"/>
          <w:sz w:val="18"/>
        </w:rPr>
        <w:t> </w:t>
      </w:r>
      <w:r>
        <w:rPr>
          <w:color w:val="231F20"/>
          <w:w w:val="105"/>
          <w:sz w:val="18"/>
        </w:rPr>
        <w:t>poder</w:t>
      </w:r>
      <w:r>
        <w:rPr>
          <w:color w:val="231F20"/>
          <w:spacing w:val="-6"/>
          <w:w w:val="105"/>
          <w:sz w:val="18"/>
        </w:rPr>
        <w:t> </w:t>
      </w:r>
      <w:r>
        <w:rPr>
          <w:color w:val="231F20"/>
          <w:w w:val="105"/>
          <w:sz w:val="18"/>
        </w:rPr>
        <w:t>de</w:t>
      </w:r>
      <w:r>
        <w:rPr>
          <w:color w:val="231F20"/>
          <w:spacing w:val="-5"/>
          <w:w w:val="105"/>
          <w:sz w:val="18"/>
        </w:rPr>
        <w:t> </w:t>
      </w:r>
      <w:r>
        <w:rPr>
          <w:color w:val="231F20"/>
          <w:w w:val="105"/>
          <w:sz w:val="18"/>
        </w:rPr>
        <w:t>EE.UU.</w:t>
      </w:r>
      <w:r>
        <w:rPr>
          <w:color w:val="231F20"/>
          <w:spacing w:val="-5"/>
          <w:w w:val="105"/>
          <w:sz w:val="18"/>
        </w:rPr>
        <w:t> </w:t>
      </w:r>
      <w:r>
        <w:rPr>
          <w:color w:val="231F20"/>
          <w:w w:val="105"/>
          <w:sz w:val="18"/>
        </w:rPr>
        <w:t>está</w:t>
      </w:r>
      <w:r>
        <w:rPr>
          <w:color w:val="231F20"/>
          <w:spacing w:val="-5"/>
          <w:w w:val="105"/>
          <w:sz w:val="18"/>
        </w:rPr>
        <w:t> </w:t>
      </w:r>
      <w:r>
        <w:rPr>
          <w:color w:val="231F20"/>
          <w:w w:val="105"/>
          <w:sz w:val="18"/>
        </w:rPr>
        <w:t>decayendo”,</w:t>
      </w:r>
      <w:r>
        <w:rPr>
          <w:color w:val="231F20"/>
          <w:spacing w:val="-6"/>
          <w:w w:val="105"/>
          <w:sz w:val="18"/>
        </w:rPr>
        <w:t> </w:t>
      </w:r>
      <w:r>
        <w:rPr>
          <w:color w:val="231F20"/>
          <w:w w:val="105"/>
          <w:sz w:val="18"/>
        </w:rPr>
        <w:t>en</w:t>
      </w:r>
      <w:r>
        <w:rPr>
          <w:color w:val="231F20"/>
          <w:spacing w:val="-6"/>
          <w:w w:val="105"/>
          <w:sz w:val="18"/>
        </w:rPr>
        <w:t> </w:t>
      </w:r>
      <w:r>
        <w:rPr>
          <w:i/>
          <w:color w:val="231F20"/>
          <w:w w:val="105"/>
          <w:sz w:val="18"/>
        </w:rPr>
        <w:t>The</w:t>
      </w:r>
      <w:r>
        <w:rPr>
          <w:i/>
          <w:color w:val="231F20"/>
          <w:spacing w:val="-5"/>
          <w:w w:val="105"/>
          <w:sz w:val="18"/>
        </w:rPr>
        <w:t> </w:t>
      </w:r>
      <w:r>
        <w:rPr>
          <w:i/>
          <w:color w:val="231F20"/>
          <w:w w:val="105"/>
          <w:sz w:val="18"/>
        </w:rPr>
        <w:t>Wall</w:t>
      </w:r>
      <w:r>
        <w:rPr>
          <w:i/>
          <w:color w:val="231F20"/>
          <w:spacing w:val="-5"/>
          <w:w w:val="105"/>
          <w:sz w:val="18"/>
        </w:rPr>
        <w:t> </w:t>
      </w:r>
      <w:r>
        <w:rPr>
          <w:i/>
          <w:color w:val="231F20"/>
          <w:w w:val="105"/>
          <w:sz w:val="18"/>
        </w:rPr>
        <w:t>Street </w:t>
      </w:r>
      <w:r>
        <w:rPr>
          <w:i/>
          <w:color w:val="231F20"/>
          <w:w w:val="105"/>
          <w:sz w:val="18"/>
        </w:rPr>
        <w:t>Journal</w:t>
      </w:r>
      <w:r>
        <w:rPr>
          <w:color w:val="231F20"/>
          <w:w w:val="105"/>
          <w:sz w:val="18"/>
        </w:rPr>
        <w:t>, 19 de</w:t>
      </w:r>
      <w:r>
        <w:rPr>
          <w:color w:val="231F20"/>
          <w:spacing w:val="28"/>
          <w:w w:val="105"/>
          <w:sz w:val="18"/>
        </w:rPr>
        <w:t> </w:t>
      </w:r>
      <w:r>
        <w:rPr>
          <w:color w:val="231F20"/>
          <w:w w:val="105"/>
          <w:sz w:val="18"/>
        </w:rPr>
        <w:t>enero.</w:t>
      </w:r>
    </w:p>
    <w:p>
      <w:pPr>
        <w:spacing w:line="254" w:lineRule="auto" w:before="1"/>
        <w:ind w:left="340" w:right="117" w:hanging="240"/>
        <w:jc w:val="both"/>
        <w:rPr>
          <w:sz w:val="18"/>
        </w:rPr>
      </w:pPr>
      <w:r>
        <w:rPr>
          <w:color w:val="231F20"/>
          <w:w w:val="105"/>
          <w:sz w:val="18"/>
        </w:rPr>
        <w:t>Kirshner, Jonathan, 2008, “Dollar primacy and American power: What’s at stake?”, en </w:t>
      </w:r>
      <w:r>
        <w:rPr>
          <w:i/>
          <w:color w:val="231F20"/>
          <w:w w:val="105"/>
          <w:sz w:val="18"/>
        </w:rPr>
        <w:t>Review of international Political Economy</w:t>
      </w:r>
      <w:r>
        <w:rPr>
          <w:color w:val="231F20"/>
          <w:w w:val="105"/>
          <w:sz w:val="18"/>
        </w:rPr>
        <w:t>, núm. 10-4, agosto.</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z w:val="18"/>
        </w:rPr>
        <w:t>, 2003, “Money is Politics”, en </w:t>
      </w:r>
      <w:r>
        <w:rPr>
          <w:i/>
          <w:color w:val="231F20"/>
          <w:sz w:val="18"/>
        </w:rPr>
        <w:t>Review of international Political Economy</w:t>
      </w:r>
      <w:r>
        <w:rPr>
          <w:color w:val="231F20"/>
          <w:sz w:val="18"/>
        </w:rPr>
        <w:t>, núm.   10-4,  noviembre.</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9" w:hanging="240"/>
        <w:jc w:val="both"/>
        <w:rPr>
          <w:sz w:val="18"/>
        </w:rPr>
      </w:pPr>
      <w:r>
        <w:rPr>
          <w:color w:val="231F20"/>
          <w:w w:val="105"/>
          <w:sz w:val="18"/>
        </w:rPr>
        <w:t>Mann, Catherine, 2004, “Managing Exchange Rates: Achievement of Global Re</w:t>
      </w:r>
      <w:r>
        <w:rPr>
          <w:color w:val="231F20"/>
          <w:spacing w:val="-5"/>
          <w:w w:val="105"/>
          <w:sz w:val="18"/>
        </w:rPr>
        <w:t> </w:t>
      </w:r>
      <w:r>
        <w:rPr>
          <w:color w:val="231F20"/>
          <w:w w:val="105"/>
          <w:sz w:val="18"/>
        </w:rPr>
        <w:t>balancing</w:t>
      </w:r>
      <w:r>
        <w:rPr>
          <w:color w:val="231F20"/>
          <w:spacing w:val="-5"/>
          <w:w w:val="105"/>
          <w:sz w:val="18"/>
        </w:rPr>
        <w:t> </w:t>
      </w:r>
      <w:r>
        <w:rPr>
          <w:color w:val="231F20"/>
          <w:w w:val="105"/>
          <w:sz w:val="18"/>
        </w:rPr>
        <w:t>or</w:t>
      </w:r>
      <w:r>
        <w:rPr>
          <w:color w:val="231F20"/>
          <w:spacing w:val="-5"/>
          <w:w w:val="105"/>
          <w:sz w:val="18"/>
        </w:rPr>
        <w:t> </w:t>
      </w:r>
      <w:r>
        <w:rPr>
          <w:color w:val="231F20"/>
          <w:w w:val="105"/>
          <w:sz w:val="18"/>
        </w:rPr>
        <w:t>Evidence</w:t>
      </w:r>
      <w:r>
        <w:rPr>
          <w:color w:val="231F20"/>
          <w:spacing w:val="-5"/>
          <w:w w:val="105"/>
          <w:sz w:val="18"/>
        </w:rPr>
        <w:t> </w:t>
      </w:r>
      <w:r>
        <w:rPr>
          <w:color w:val="231F20"/>
          <w:w w:val="105"/>
          <w:sz w:val="18"/>
        </w:rPr>
        <w:t>of</w:t>
      </w:r>
      <w:r>
        <w:rPr>
          <w:color w:val="231F20"/>
          <w:spacing w:val="-5"/>
          <w:w w:val="105"/>
          <w:sz w:val="18"/>
        </w:rPr>
        <w:t> </w:t>
      </w:r>
      <w:r>
        <w:rPr>
          <w:color w:val="231F20"/>
          <w:w w:val="105"/>
          <w:sz w:val="18"/>
        </w:rPr>
        <w:t>Global</w:t>
      </w:r>
      <w:r>
        <w:rPr>
          <w:color w:val="231F20"/>
          <w:spacing w:val="-5"/>
          <w:w w:val="105"/>
          <w:sz w:val="18"/>
        </w:rPr>
        <w:t> </w:t>
      </w:r>
      <w:r>
        <w:rPr>
          <w:color w:val="231F20"/>
          <w:w w:val="105"/>
          <w:sz w:val="18"/>
        </w:rPr>
        <w:t>Co-dependency?”,</w:t>
      </w:r>
      <w:r>
        <w:rPr>
          <w:color w:val="231F20"/>
          <w:spacing w:val="-5"/>
          <w:w w:val="105"/>
          <w:sz w:val="18"/>
        </w:rPr>
        <w:t> </w:t>
      </w:r>
      <w:r>
        <w:rPr>
          <w:i/>
          <w:color w:val="231F20"/>
          <w:w w:val="105"/>
          <w:sz w:val="18"/>
        </w:rPr>
        <w:t>Business</w:t>
      </w:r>
      <w:r>
        <w:rPr>
          <w:i/>
          <w:color w:val="231F20"/>
          <w:spacing w:val="-5"/>
          <w:w w:val="105"/>
          <w:sz w:val="18"/>
        </w:rPr>
        <w:t> </w:t>
      </w:r>
      <w:r>
        <w:rPr>
          <w:i/>
          <w:color w:val="231F20"/>
          <w:w w:val="105"/>
          <w:sz w:val="18"/>
        </w:rPr>
        <w:t>Economics</w:t>
      </w:r>
      <w:r>
        <w:rPr>
          <w:color w:val="231F20"/>
          <w:w w:val="105"/>
          <w:sz w:val="18"/>
        </w:rPr>
        <w:t>, julio.</w:t>
      </w:r>
    </w:p>
    <w:p>
      <w:pPr>
        <w:spacing w:line="254" w:lineRule="auto" w:before="1"/>
        <w:ind w:left="340" w:right="118" w:hanging="240"/>
        <w:jc w:val="both"/>
        <w:rPr>
          <w:sz w:val="18"/>
        </w:rPr>
      </w:pPr>
      <w:r>
        <w:rPr>
          <w:color w:val="231F20"/>
          <w:w w:val="105"/>
          <w:sz w:val="18"/>
        </w:rPr>
        <w:t>Martínez, Osvaldo, 2008, “La larga marcha de la crisis económica capitalista”, en </w:t>
      </w:r>
      <w:r>
        <w:rPr>
          <w:i/>
          <w:color w:val="231F20"/>
          <w:w w:val="105"/>
          <w:sz w:val="18"/>
        </w:rPr>
        <w:t>Granma</w:t>
      </w:r>
      <w:r>
        <w:rPr>
          <w:color w:val="231F20"/>
          <w:w w:val="105"/>
          <w:sz w:val="18"/>
        </w:rPr>
        <w:t>, La Habana, 17 de   octubre.</w:t>
      </w:r>
    </w:p>
    <w:p>
      <w:pPr>
        <w:spacing w:line="254" w:lineRule="auto" w:before="1"/>
        <w:ind w:left="340" w:right="119" w:hanging="240"/>
        <w:jc w:val="both"/>
        <w:rPr>
          <w:sz w:val="18"/>
        </w:rPr>
      </w:pPr>
      <w:r>
        <w:rPr>
          <w:color w:val="231F20"/>
          <w:sz w:val="18"/>
        </w:rPr>
        <w:t>Mundell, Robert A., 1997, </w:t>
      </w:r>
      <w:r>
        <w:rPr>
          <w:i/>
          <w:color w:val="231F20"/>
          <w:sz w:val="18"/>
        </w:rPr>
        <w:t>The IMS in the 21st Century: could gold make a co- </w:t>
      </w:r>
      <w:r>
        <w:rPr>
          <w:i/>
          <w:color w:val="231F20"/>
          <w:sz w:val="18"/>
        </w:rPr>
        <w:t>meback?</w:t>
      </w:r>
      <w:r>
        <w:rPr>
          <w:color w:val="231F20"/>
          <w:sz w:val="18"/>
        </w:rPr>
        <w:t>, Lecture delivered at  St.  Vincent  College,  Letrobe,  Pennsylvania, 12  de  marzo.</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w:t>
      </w:r>
      <w:r>
        <w:rPr>
          <w:color w:val="231F20"/>
          <w:spacing w:val="-20"/>
          <w:w w:val="105"/>
          <w:sz w:val="18"/>
        </w:rPr>
        <w:t> </w:t>
      </w:r>
      <w:r>
        <w:rPr>
          <w:color w:val="231F20"/>
          <w:w w:val="105"/>
          <w:sz w:val="18"/>
        </w:rPr>
        <w:t>2009,</w:t>
      </w:r>
      <w:r>
        <w:rPr>
          <w:color w:val="231F20"/>
          <w:spacing w:val="-20"/>
          <w:w w:val="105"/>
          <w:sz w:val="18"/>
        </w:rPr>
        <w:t> </w:t>
      </w:r>
      <w:r>
        <w:rPr>
          <w:i/>
          <w:color w:val="231F20"/>
          <w:w w:val="105"/>
          <w:sz w:val="18"/>
        </w:rPr>
        <w:t>Financial</w:t>
      </w:r>
      <w:r>
        <w:rPr>
          <w:i/>
          <w:color w:val="231F20"/>
          <w:spacing w:val="-20"/>
          <w:w w:val="105"/>
          <w:sz w:val="18"/>
        </w:rPr>
        <w:t> </w:t>
      </w:r>
      <w:r>
        <w:rPr>
          <w:i/>
          <w:color w:val="231F20"/>
          <w:w w:val="105"/>
          <w:sz w:val="18"/>
        </w:rPr>
        <w:t>Crises</w:t>
      </w:r>
      <w:r>
        <w:rPr>
          <w:i/>
          <w:color w:val="231F20"/>
          <w:spacing w:val="-20"/>
          <w:w w:val="105"/>
          <w:sz w:val="18"/>
        </w:rPr>
        <w:t> </w:t>
      </w:r>
      <w:r>
        <w:rPr>
          <w:i/>
          <w:color w:val="231F20"/>
          <w:w w:val="105"/>
          <w:sz w:val="18"/>
        </w:rPr>
        <w:t>and</w:t>
      </w:r>
      <w:r>
        <w:rPr>
          <w:i/>
          <w:color w:val="231F20"/>
          <w:spacing w:val="-20"/>
          <w:w w:val="105"/>
          <w:sz w:val="18"/>
        </w:rPr>
        <w:t> </w:t>
      </w:r>
      <w:r>
        <w:rPr>
          <w:i/>
          <w:color w:val="231F20"/>
          <w:w w:val="105"/>
          <w:sz w:val="18"/>
        </w:rPr>
        <w:t>the</w:t>
      </w:r>
      <w:r>
        <w:rPr>
          <w:i/>
          <w:color w:val="231F20"/>
          <w:spacing w:val="-20"/>
          <w:w w:val="105"/>
          <w:sz w:val="18"/>
        </w:rPr>
        <w:t> </w:t>
      </w:r>
      <w:r>
        <w:rPr>
          <w:i/>
          <w:color w:val="231F20"/>
          <w:w w:val="105"/>
          <w:sz w:val="18"/>
        </w:rPr>
        <w:t>International</w:t>
      </w:r>
      <w:r>
        <w:rPr>
          <w:i/>
          <w:color w:val="231F20"/>
          <w:spacing w:val="-20"/>
          <w:w w:val="105"/>
          <w:sz w:val="18"/>
        </w:rPr>
        <w:t> </w:t>
      </w:r>
      <w:r>
        <w:rPr>
          <w:i/>
          <w:color w:val="231F20"/>
          <w:w w:val="105"/>
          <w:sz w:val="18"/>
        </w:rPr>
        <w:t>Monetary</w:t>
      </w:r>
      <w:r>
        <w:rPr>
          <w:i/>
          <w:color w:val="231F20"/>
          <w:spacing w:val="-20"/>
          <w:w w:val="105"/>
          <w:sz w:val="18"/>
        </w:rPr>
        <w:t> </w:t>
      </w:r>
      <w:r>
        <w:rPr>
          <w:i/>
          <w:color w:val="231F20"/>
          <w:w w:val="105"/>
          <w:sz w:val="18"/>
        </w:rPr>
        <w:t>System</w:t>
      </w:r>
      <w:r>
        <w:rPr>
          <w:color w:val="231F20"/>
          <w:w w:val="105"/>
          <w:sz w:val="18"/>
        </w:rPr>
        <w:t>,</w:t>
      </w:r>
      <w:r>
        <w:rPr>
          <w:color w:val="231F20"/>
          <w:spacing w:val="-20"/>
          <w:w w:val="105"/>
          <w:sz w:val="18"/>
        </w:rPr>
        <w:t> </w:t>
      </w:r>
      <w:r>
        <w:rPr>
          <w:color w:val="231F20"/>
          <w:w w:val="105"/>
          <w:sz w:val="18"/>
        </w:rPr>
        <w:t>conferencia presentada en el “XI Encuentro Internacional de Economistas sobre Glo- balización</w:t>
      </w:r>
      <w:r>
        <w:rPr>
          <w:color w:val="231F20"/>
          <w:spacing w:val="23"/>
          <w:w w:val="105"/>
          <w:sz w:val="18"/>
        </w:rPr>
        <w:t> </w:t>
      </w:r>
      <w:r>
        <w:rPr>
          <w:color w:val="231F20"/>
          <w:w w:val="105"/>
          <w:sz w:val="18"/>
        </w:rPr>
        <w:t>y</w:t>
      </w:r>
      <w:r>
        <w:rPr>
          <w:color w:val="231F20"/>
          <w:spacing w:val="23"/>
          <w:w w:val="105"/>
          <w:sz w:val="18"/>
        </w:rPr>
        <w:t> </w:t>
      </w:r>
      <w:r>
        <w:rPr>
          <w:color w:val="231F20"/>
          <w:w w:val="105"/>
          <w:sz w:val="18"/>
        </w:rPr>
        <w:t>Problemas</w:t>
      </w:r>
      <w:r>
        <w:rPr>
          <w:color w:val="231F20"/>
          <w:spacing w:val="23"/>
          <w:w w:val="105"/>
          <w:sz w:val="18"/>
        </w:rPr>
        <w:t> </w:t>
      </w:r>
      <w:r>
        <w:rPr>
          <w:color w:val="231F20"/>
          <w:w w:val="105"/>
          <w:sz w:val="18"/>
        </w:rPr>
        <w:t>del</w:t>
      </w:r>
      <w:r>
        <w:rPr>
          <w:color w:val="231F20"/>
          <w:spacing w:val="23"/>
          <w:w w:val="105"/>
          <w:sz w:val="18"/>
        </w:rPr>
        <w:t> </w:t>
      </w:r>
      <w:r>
        <w:rPr>
          <w:color w:val="231F20"/>
          <w:w w:val="105"/>
          <w:sz w:val="18"/>
        </w:rPr>
        <w:t>Desarrollo”,</w:t>
      </w:r>
      <w:r>
        <w:rPr>
          <w:color w:val="231F20"/>
          <w:spacing w:val="23"/>
          <w:w w:val="105"/>
          <w:sz w:val="18"/>
        </w:rPr>
        <w:t> </w:t>
      </w:r>
      <w:r>
        <w:rPr>
          <w:color w:val="231F20"/>
          <w:w w:val="105"/>
          <w:sz w:val="18"/>
        </w:rPr>
        <w:t>La</w:t>
      </w:r>
      <w:r>
        <w:rPr>
          <w:color w:val="231F20"/>
          <w:spacing w:val="23"/>
          <w:w w:val="105"/>
          <w:sz w:val="18"/>
        </w:rPr>
        <w:t> </w:t>
      </w:r>
      <w:r>
        <w:rPr>
          <w:color w:val="231F20"/>
          <w:w w:val="105"/>
          <w:sz w:val="18"/>
        </w:rPr>
        <w:t>Habana,</w:t>
      </w:r>
      <w:r>
        <w:rPr>
          <w:color w:val="231F20"/>
          <w:spacing w:val="23"/>
          <w:w w:val="105"/>
          <w:sz w:val="18"/>
        </w:rPr>
        <w:t> </w:t>
      </w:r>
      <w:r>
        <w:rPr>
          <w:color w:val="231F20"/>
          <w:w w:val="105"/>
          <w:sz w:val="18"/>
        </w:rPr>
        <w:t>3</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marzo.</w:t>
      </w:r>
    </w:p>
    <w:p>
      <w:pPr>
        <w:spacing w:line="254" w:lineRule="auto" w:before="1"/>
        <w:ind w:left="340" w:right="119" w:hanging="240"/>
        <w:jc w:val="both"/>
        <w:rPr>
          <w:sz w:val="18"/>
        </w:rPr>
      </w:pPr>
      <w:r>
        <w:rPr>
          <w:color w:val="231F20"/>
          <w:w w:val="105"/>
          <w:sz w:val="18"/>
        </w:rPr>
        <w:t>Posen,</w:t>
      </w:r>
      <w:r>
        <w:rPr>
          <w:color w:val="231F20"/>
          <w:spacing w:val="-4"/>
          <w:w w:val="105"/>
          <w:sz w:val="18"/>
        </w:rPr>
        <w:t> </w:t>
      </w:r>
      <w:r>
        <w:rPr>
          <w:color w:val="231F20"/>
          <w:w w:val="105"/>
          <w:sz w:val="18"/>
        </w:rPr>
        <w:t>Adam</w:t>
      </w:r>
      <w:r>
        <w:rPr>
          <w:color w:val="231F20"/>
          <w:spacing w:val="-4"/>
          <w:w w:val="105"/>
          <w:sz w:val="18"/>
        </w:rPr>
        <w:t> </w:t>
      </w:r>
      <w:r>
        <w:rPr>
          <w:color w:val="231F20"/>
          <w:w w:val="105"/>
          <w:sz w:val="18"/>
        </w:rPr>
        <w:t>S.,</w:t>
      </w:r>
      <w:r>
        <w:rPr>
          <w:color w:val="231F20"/>
          <w:spacing w:val="-4"/>
          <w:w w:val="105"/>
          <w:sz w:val="18"/>
        </w:rPr>
        <w:t> </w:t>
      </w:r>
      <w:r>
        <w:rPr>
          <w:color w:val="231F20"/>
          <w:w w:val="105"/>
          <w:sz w:val="18"/>
        </w:rPr>
        <w:t>2009,</w:t>
      </w:r>
      <w:r>
        <w:rPr>
          <w:color w:val="231F20"/>
          <w:spacing w:val="-4"/>
          <w:w w:val="105"/>
          <w:sz w:val="18"/>
        </w:rPr>
        <w:t> </w:t>
      </w:r>
      <w:r>
        <w:rPr>
          <w:color w:val="231F20"/>
          <w:w w:val="105"/>
          <w:sz w:val="18"/>
        </w:rPr>
        <w:t>“National</w:t>
      </w:r>
      <w:r>
        <w:rPr>
          <w:color w:val="231F20"/>
          <w:spacing w:val="-4"/>
          <w:w w:val="105"/>
          <w:sz w:val="18"/>
        </w:rPr>
        <w:t> </w:t>
      </w:r>
      <w:r>
        <w:rPr>
          <w:color w:val="231F20"/>
          <w:w w:val="105"/>
          <w:sz w:val="18"/>
        </w:rPr>
        <w:t>Security</w:t>
      </w:r>
      <w:r>
        <w:rPr>
          <w:color w:val="231F20"/>
          <w:spacing w:val="-4"/>
          <w:w w:val="105"/>
          <w:sz w:val="18"/>
        </w:rPr>
        <w:t> </w:t>
      </w:r>
      <w:r>
        <w:rPr>
          <w:color w:val="231F20"/>
          <w:w w:val="105"/>
          <w:sz w:val="18"/>
        </w:rPr>
        <w:t>Risks</w:t>
      </w:r>
      <w:r>
        <w:rPr>
          <w:color w:val="231F20"/>
          <w:spacing w:val="-4"/>
          <w:w w:val="105"/>
          <w:sz w:val="18"/>
        </w:rPr>
        <w:t> </w:t>
      </w:r>
      <w:r>
        <w:rPr>
          <w:color w:val="231F20"/>
          <w:w w:val="105"/>
          <w:sz w:val="18"/>
        </w:rPr>
        <w:t>from</w:t>
      </w:r>
      <w:r>
        <w:rPr>
          <w:color w:val="231F20"/>
          <w:spacing w:val="-4"/>
          <w:w w:val="105"/>
          <w:sz w:val="18"/>
        </w:rPr>
        <w:t> </w:t>
      </w:r>
      <w:r>
        <w:rPr>
          <w:color w:val="231F20"/>
          <w:w w:val="105"/>
          <w:sz w:val="18"/>
        </w:rPr>
        <w:t>Accumulation</w:t>
      </w:r>
      <w:r>
        <w:rPr>
          <w:color w:val="231F20"/>
          <w:spacing w:val="-4"/>
          <w:w w:val="105"/>
          <w:sz w:val="18"/>
        </w:rPr>
        <w:t> </w:t>
      </w:r>
      <w:r>
        <w:rPr>
          <w:color w:val="231F20"/>
          <w:w w:val="105"/>
          <w:sz w:val="18"/>
        </w:rPr>
        <w:t>of</w:t>
      </w:r>
      <w:r>
        <w:rPr>
          <w:color w:val="231F20"/>
          <w:spacing w:val="-4"/>
          <w:w w:val="105"/>
          <w:sz w:val="18"/>
        </w:rPr>
        <w:t> </w:t>
      </w:r>
      <w:r>
        <w:rPr>
          <w:color w:val="231F20"/>
          <w:w w:val="105"/>
          <w:sz w:val="18"/>
        </w:rPr>
        <w:t>Foreign </w:t>
      </w:r>
      <w:r>
        <w:rPr>
          <w:color w:val="231F20"/>
          <w:sz w:val="18"/>
        </w:rPr>
        <w:t>Debt”, en </w:t>
      </w:r>
      <w:r>
        <w:rPr>
          <w:i/>
          <w:color w:val="231F20"/>
          <w:sz w:val="18"/>
        </w:rPr>
        <w:t>The Long-Term International Economic Position of the United</w:t>
      </w:r>
      <w:r>
        <w:rPr>
          <w:i/>
          <w:color w:val="231F20"/>
          <w:spacing w:val="-18"/>
          <w:sz w:val="18"/>
        </w:rPr>
        <w:t> </w:t>
      </w:r>
      <w:r>
        <w:rPr>
          <w:i/>
          <w:color w:val="231F20"/>
          <w:sz w:val="18"/>
        </w:rPr>
        <w:t>States</w:t>
      </w:r>
      <w:r>
        <w:rPr>
          <w:color w:val="231F20"/>
          <w:sz w:val="18"/>
        </w:rPr>
        <w:t>, </w:t>
      </w:r>
      <w:r>
        <w:rPr>
          <w:color w:val="231F20"/>
          <w:w w:val="105"/>
          <w:sz w:val="18"/>
        </w:rPr>
        <w:t>Special Report 20, C. Fred Bergsten (Edt.), April,  </w:t>
      </w:r>
      <w:r>
        <w:rPr>
          <w:color w:val="231F20"/>
          <w:spacing w:val="3"/>
          <w:w w:val="105"/>
          <w:sz w:val="18"/>
        </w:rPr>
        <w:t> </w:t>
      </w:r>
      <w:r>
        <w:rPr>
          <w:color w:val="231F20"/>
          <w:w w:val="105"/>
          <w:sz w:val="18"/>
        </w:rPr>
        <w:t>&lt;</w:t>
      </w:r>
      <w:hyperlink r:id="rId149">
        <w:r>
          <w:rPr>
            <w:color w:val="231F20"/>
            <w:w w:val="105"/>
            <w:sz w:val="18"/>
          </w:rPr>
          <w:t>www.iie.com</w:t>
        </w:r>
      </w:hyperlink>
      <w:r>
        <w:rPr>
          <w:color w:val="231F20"/>
          <w:w w:val="105"/>
          <w:sz w:val="18"/>
        </w:rPr>
        <w:t>&gt;</w:t>
      </w:r>
    </w:p>
    <w:p>
      <w:pPr>
        <w:spacing w:line="254" w:lineRule="auto" w:before="1"/>
        <w:ind w:left="340" w:right="117" w:hanging="240"/>
        <w:jc w:val="both"/>
        <w:rPr>
          <w:sz w:val="18"/>
        </w:rPr>
      </w:pPr>
      <w:r>
        <w:rPr>
          <w:color w:val="231F20"/>
          <w:w w:val="105"/>
          <w:sz w:val="18"/>
        </w:rPr>
        <w:t>Quintela, Ma. Carmen y Jorge Arias, 2000, “Las causas de la tendencia a         la crisis financiera global (Un enfoque desde la Economía Política y la Política Económica)”, en </w:t>
      </w:r>
      <w:r>
        <w:rPr>
          <w:i/>
          <w:color w:val="231F20"/>
          <w:w w:val="105"/>
          <w:sz w:val="18"/>
        </w:rPr>
        <w:t>Economía y Desarrollo, </w:t>
      </w:r>
      <w:r>
        <w:rPr>
          <w:color w:val="231F20"/>
          <w:w w:val="105"/>
          <w:sz w:val="18"/>
        </w:rPr>
        <w:t>La Habana, Facultad de Economía, núm. 2, vol. 127, </w:t>
      </w:r>
      <w:r>
        <w:rPr>
          <w:color w:val="231F20"/>
          <w:spacing w:val="38"/>
          <w:w w:val="105"/>
          <w:sz w:val="18"/>
        </w:rPr>
        <w:t> </w:t>
      </w:r>
      <w:r>
        <w:rPr>
          <w:color w:val="231F20"/>
          <w:w w:val="105"/>
          <w:sz w:val="18"/>
        </w:rPr>
        <w:t>jul.-dic.</w:t>
      </w:r>
    </w:p>
    <w:p>
      <w:pPr>
        <w:spacing w:line="254" w:lineRule="auto" w:before="1"/>
        <w:ind w:left="340" w:right="119" w:hanging="240"/>
        <w:jc w:val="both"/>
        <w:rPr>
          <w:sz w:val="18"/>
        </w:rPr>
      </w:pPr>
      <w:r>
        <w:rPr>
          <w:color w:val="231F20"/>
          <w:sz w:val="18"/>
        </w:rPr>
        <w:t>Roach, Stephen S., 2007, </w:t>
      </w:r>
      <w:r>
        <w:rPr>
          <w:i/>
          <w:color w:val="231F20"/>
          <w:sz w:val="18"/>
        </w:rPr>
        <w:t>La agonía del dólar. Salir del apuro, </w:t>
      </w:r>
      <w:r>
        <w:rPr>
          <w:color w:val="231F20"/>
          <w:sz w:val="18"/>
        </w:rPr>
        <w:t>Octubre, &lt;</w:t>
      </w:r>
      <w:hyperlink r:id="rId47">
        <w:r>
          <w:rPr>
            <w:color w:val="231F20"/>
            <w:sz w:val="18"/>
          </w:rPr>
          <w:t>www.</w:t>
        </w:r>
      </w:hyperlink>
      <w:r>
        <w:rPr>
          <w:color w:val="231F20"/>
          <w:sz w:val="18"/>
        </w:rPr>
        <w:t> rebelion.org&gt;</w:t>
      </w:r>
    </w:p>
    <w:p>
      <w:pPr>
        <w:spacing w:line="254" w:lineRule="auto" w:before="1"/>
        <w:ind w:left="340" w:right="116" w:hanging="240"/>
        <w:jc w:val="both"/>
        <w:rPr>
          <w:sz w:val="18"/>
        </w:rPr>
      </w:pPr>
      <w:r>
        <w:rPr>
          <w:color w:val="231F20"/>
          <w:w w:val="105"/>
          <w:sz w:val="18"/>
        </w:rPr>
        <w:t>Sader, Emir, 2008, “¿Se acabó el neoliberalismo?”</w:t>
      </w:r>
      <w:r>
        <w:rPr>
          <w:i/>
          <w:color w:val="231F20"/>
          <w:w w:val="105"/>
          <w:sz w:val="18"/>
        </w:rPr>
        <w:t>, </w:t>
      </w:r>
      <w:r>
        <w:rPr>
          <w:color w:val="231F20"/>
          <w:w w:val="105"/>
          <w:sz w:val="18"/>
        </w:rPr>
        <w:t>en </w:t>
      </w:r>
      <w:r>
        <w:rPr>
          <w:i/>
          <w:color w:val="231F20"/>
          <w:w w:val="105"/>
          <w:sz w:val="18"/>
        </w:rPr>
        <w:t>Página 12</w:t>
      </w:r>
      <w:r>
        <w:rPr>
          <w:color w:val="231F20"/>
          <w:w w:val="105"/>
          <w:sz w:val="18"/>
        </w:rPr>
        <w:t>, Buenos Aires,15  de octubre.</w:t>
      </w:r>
    </w:p>
    <w:p>
      <w:pPr>
        <w:spacing w:line="254" w:lineRule="auto" w:before="1"/>
        <w:ind w:left="340" w:right="117" w:hanging="240"/>
        <w:jc w:val="both"/>
        <w:rPr>
          <w:sz w:val="18"/>
        </w:rPr>
      </w:pPr>
      <w:r>
        <w:rPr>
          <w:color w:val="231F20"/>
          <w:w w:val="105"/>
          <w:sz w:val="18"/>
        </w:rPr>
        <w:t>Subramanian, Arvind, 2009, </w:t>
      </w:r>
      <w:r>
        <w:rPr>
          <w:i/>
          <w:color w:val="231F20"/>
          <w:w w:val="105"/>
          <w:sz w:val="18"/>
        </w:rPr>
        <w:t>Is China Having It Both Ways?</w:t>
      </w:r>
      <w:r>
        <w:rPr>
          <w:color w:val="231F20"/>
          <w:w w:val="105"/>
          <w:sz w:val="18"/>
        </w:rPr>
        <w:t>, Peterson Institute for International Economics, 25 de marzo,   </w:t>
      </w:r>
      <w:hyperlink r:id="rId149">
        <w:r>
          <w:rPr>
            <w:color w:val="231F20"/>
            <w:w w:val="105"/>
            <w:sz w:val="18"/>
          </w:rPr>
          <w:t>&lt;www.iie.com</w:t>
        </w:r>
      </w:hyperlink>
      <w:r>
        <w:rPr>
          <w:color w:val="231F20"/>
          <w:w w:val="105"/>
          <w:sz w:val="18"/>
        </w:rPr>
        <w:t>&gt;.</w:t>
      </w:r>
    </w:p>
    <w:p>
      <w:pPr>
        <w:spacing w:line="254" w:lineRule="auto" w:before="1"/>
        <w:ind w:left="340" w:right="118" w:hanging="240"/>
        <w:jc w:val="both"/>
        <w:rPr>
          <w:sz w:val="18"/>
        </w:rPr>
      </w:pPr>
      <w:r>
        <w:rPr>
          <w:color w:val="231F20"/>
          <w:sz w:val="18"/>
        </w:rPr>
        <w:t>Summers, Lawrence H., 2004, </w:t>
      </w:r>
      <w:r>
        <w:rPr>
          <w:i/>
          <w:color w:val="231F20"/>
          <w:sz w:val="18"/>
        </w:rPr>
        <w:t>The US Current Account Deficit and the Global </w:t>
      </w:r>
      <w:r>
        <w:rPr>
          <w:i/>
          <w:color w:val="231F20"/>
          <w:sz w:val="18"/>
        </w:rPr>
        <w:t>Economy</w:t>
      </w:r>
      <w:r>
        <w:rPr>
          <w:color w:val="231F20"/>
          <w:sz w:val="18"/>
        </w:rPr>
        <w:t>,  The  Per  Jacobsson  Foundation,  Washington,  DC.</w:t>
      </w:r>
    </w:p>
    <w:p>
      <w:pPr>
        <w:spacing w:line="254" w:lineRule="auto" w:before="1"/>
        <w:ind w:left="340" w:right="117" w:hanging="240"/>
        <w:jc w:val="both"/>
        <w:rPr>
          <w:sz w:val="18"/>
        </w:rPr>
      </w:pPr>
      <w:r>
        <w:rPr>
          <w:color w:val="231F20"/>
          <w:sz w:val="18"/>
        </w:rPr>
        <w:t>Summers,</w:t>
      </w:r>
      <w:r>
        <w:rPr>
          <w:color w:val="231F20"/>
          <w:spacing w:val="-7"/>
          <w:sz w:val="18"/>
        </w:rPr>
        <w:t> </w:t>
      </w:r>
      <w:r>
        <w:rPr>
          <w:color w:val="231F20"/>
          <w:sz w:val="18"/>
        </w:rPr>
        <w:t>Larry,</w:t>
      </w:r>
      <w:r>
        <w:rPr>
          <w:color w:val="231F20"/>
          <w:spacing w:val="-7"/>
          <w:sz w:val="18"/>
        </w:rPr>
        <w:t> </w:t>
      </w:r>
      <w:r>
        <w:rPr>
          <w:color w:val="231F20"/>
          <w:sz w:val="18"/>
        </w:rPr>
        <w:t>2004,</w:t>
      </w:r>
      <w:r>
        <w:rPr>
          <w:color w:val="231F20"/>
          <w:spacing w:val="-8"/>
          <w:sz w:val="18"/>
        </w:rPr>
        <w:t> </w:t>
      </w:r>
      <w:r>
        <w:rPr>
          <w:i/>
          <w:color w:val="231F20"/>
          <w:sz w:val="18"/>
        </w:rPr>
        <w:t>The</w:t>
      </w:r>
      <w:r>
        <w:rPr>
          <w:i/>
          <w:color w:val="231F20"/>
          <w:spacing w:val="-7"/>
          <w:sz w:val="18"/>
        </w:rPr>
        <w:t> </w:t>
      </w:r>
      <w:r>
        <w:rPr>
          <w:i/>
          <w:color w:val="231F20"/>
          <w:sz w:val="18"/>
        </w:rPr>
        <w:t>United</w:t>
      </w:r>
      <w:r>
        <w:rPr>
          <w:i/>
          <w:color w:val="231F20"/>
          <w:spacing w:val="-7"/>
          <w:sz w:val="18"/>
        </w:rPr>
        <w:t> </w:t>
      </w:r>
      <w:r>
        <w:rPr>
          <w:i/>
          <w:color w:val="231F20"/>
          <w:sz w:val="18"/>
        </w:rPr>
        <w:t>States</w:t>
      </w:r>
      <w:r>
        <w:rPr>
          <w:i/>
          <w:color w:val="231F20"/>
          <w:spacing w:val="-7"/>
          <w:sz w:val="18"/>
        </w:rPr>
        <w:t> </w:t>
      </w:r>
      <w:r>
        <w:rPr>
          <w:i/>
          <w:color w:val="231F20"/>
          <w:sz w:val="18"/>
        </w:rPr>
        <w:t>and</w:t>
      </w:r>
      <w:r>
        <w:rPr>
          <w:i/>
          <w:color w:val="231F20"/>
          <w:spacing w:val="-7"/>
          <w:sz w:val="18"/>
        </w:rPr>
        <w:t> </w:t>
      </w:r>
      <w:r>
        <w:rPr>
          <w:i/>
          <w:color w:val="231F20"/>
          <w:sz w:val="18"/>
        </w:rPr>
        <w:t>the</w:t>
      </w:r>
      <w:r>
        <w:rPr>
          <w:i/>
          <w:color w:val="231F20"/>
          <w:spacing w:val="-7"/>
          <w:sz w:val="18"/>
        </w:rPr>
        <w:t> </w:t>
      </w:r>
      <w:r>
        <w:rPr>
          <w:i/>
          <w:color w:val="231F20"/>
          <w:sz w:val="18"/>
        </w:rPr>
        <w:t>Global</w:t>
      </w:r>
      <w:r>
        <w:rPr>
          <w:i/>
          <w:color w:val="231F20"/>
          <w:spacing w:val="-7"/>
          <w:sz w:val="18"/>
        </w:rPr>
        <w:t> </w:t>
      </w:r>
      <w:r>
        <w:rPr>
          <w:i/>
          <w:color w:val="231F20"/>
          <w:sz w:val="18"/>
        </w:rPr>
        <w:t>Adjustment</w:t>
      </w:r>
      <w:r>
        <w:rPr>
          <w:i/>
          <w:color w:val="231F20"/>
          <w:spacing w:val="-7"/>
          <w:sz w:val="18"/>
        </w:rPr>
        <w:t> </w:t>
      </w:r>
      <w:r>
        <w:rPr>
          <w:i/>
          <w:color w:val="231F20"/>
          <w:sz w:val="18"/>
        </w:rPr>
        <w:t>Process</w:t>
      </w:r>
      <w:r>
        <w:rPr>
          <w:color w:val="231F20"/>
          <w:sz w:val="18"/>
        </w:rPr>
        <w:t>,</w:t>
      </w:r>
      <w:r>
        <w:rPr>
          <w:color w:val="231F20"/>
          <w:spacing w:val="-7"/>
          <w:sz w:val="18"/>
        </w:rPr>
        <w:t> </w:t>
      </w:r>
      <w:r>
        <w:rPr>
          <w:color w:val="231F20"/>
          <w:sz w:val="18"/>
        </w:rPr>
        <w:t>Third </w:t>
      </w:r>
      <w:r>
        <w:rPr>
          <w:color w:val="231F20"/>
          <w:w w:val="105"/>
          <w:sz w:val="18"/>
        </w:rPr>
        <w:t>Annual Stavros S. Niarchos Lecture, Institute for International Economics, Washington, DC, 23 de </w:t>
      </w:r>
      <w:r>
        <w:rPr>
          <w:color w:val="231F20"/>
          <w:spacing w:val="38"/>
          <w:w w:val="105"/>
          <w:sz w:val="18"/>
        </w:rPr>
        <w:t> </w:t>
      </w:r>
      <w:r>
        <w:rPr>
          <w:color w:val="231F20"/>
          <w:w w:val="105"/>
          <w:sz w:val="18"/>
        </w:rPr>
        <w:t>marzo.</w:t>
      </w:r>
    </w:p>
    <w:p>
      <w:pPr>
        <w:spacing w:line="254" w:lineRule="auto" w:before="1"/>
        <w:ind w:left="100" w:right="103" w:firstLine="0"/>
        <w:jc w:val="left"/>
        <w:rPr>
          <w:sz w:val="18"/>
        </w:rPr>
      </w:pPr>
      <w:r>
        <w:rPr>
          <w:color w:val="231F20"/>
          <w:w w:val="110"/>
          <w:sz w:val="18"/>
        </w:rPr>
        <w:t>unctad, </w:t>
      </w:r>
      <w:r>
        <w:rPr>
          <w:color w:val="231F20"/>
          <w:sz w:val="18"/>
        </w:rPr>
        <w:t>2005, </w:t>
      </w:r>
      <w:r>
        <w:rPr>
          <w:i/>
          <w:color w:val="231F20"/>
          <w:sz w:val="18"/>
        </w:rPr>
        <w:t>Informe sobre el Comercio y el Desarrollo</w:t>
      </w:r>
      <w:r>
        <w:rPr>
          <w:color w:val="231F20"/>
          <w:sz w:val="18"/>
        </w:rPr>
        <w:t>, Nueva York. Williamson,  John,  1990,  “What  Washington  Means  by  Policy  Reform”,      en</w:t>
      </w:r>
    </w:p>
    <w:p>
      <w:pPr>
        <w:spacing w:line="254" w:lineRule="auto" w:before="1"/>
        <w:ind w:left="340" w:right="25" w:firstLine="0"/>
        <w:jc w:val="left"/>
        <w:rPr>
          <w:sz w:val="18"/>
        </w:rPr>
      </w:pPr>
      <w:r>
        <w:rPr>
          <w:i/>
          <w:color w:val="231F20"/>
          <w:sz w:val="18"/>
        </w:rPr>
        <w:t>Latin American Adjustment: How Much Has Happened?, </w:t>
      </w:r>
      <w:r>
        <w:rPr>
          <w:color w:val="231F20"/>
          <w:sz w:val="18"/>
        </w:rPr>
        <w:t>Institute for Inter- national  Economics,  </w:t>
      </w:r>
      <w:hyperlink r:id="rId149">
        <w:r>
          <w:rPr>
            <w:color w:val="231F20"/>
            <w:sz w:val="18"/>
          </w:rPr>
          <w:t>&lt;www.iie.com&gt;.</w:t>
        </w:r>
      </w:hyperlink>
    </w:p>
    <w:p>
      <w:pPr>
        <w:spacing w:line="254" w:lineRule="auto" w:before="1"/>
        <w:ind w:left="340" w:right="116" w:hanging="240"/>
        <w:jc w:val="both"/>
        <w:rPr>
          <w:sz w:val="18"/>
        </w:rPr>
      </w:pPr>
      <w:r>
        <w:rPr>
          <w:color w:val="231F20"/>
          <w:w w:val="105"/>
          <w:sz w:val="18"/>
        </w:rPr>
        <w:t>Whitney, Mike, 2008, “Fragile Dollar Hegemony: Iran’s Oil Bourse could </w:t>
      </w:r>
      <w:r>
        <w:rPr>
          <w:color w:val="231F20"/>
          <w:spacing w:val="-5"/>
          <w:w w:val="105"/>
          <w:sz w:val="18"/>
        </w:rPr>
        <w:t>Topple </w:t>
      </w:r>
      <w:r>
        <w:rPr>
          <w:color w:val="231F20"/>
          <w:w w:val="105"/>
          <w:sz w:val="18"/>
        </w:rPr>
        <w:t>the Dollar”, en </w:t>
      </w:r>
      <w:r>
        <w:rPr>
          <w:i/>
          <w:color w:val="231F20"/>
          <w:w w:val="105"/>
          <w:sz w:val="18"/>
        </w:rPr>
        <w:t>Global </w:t>
      </w:r>
      <w:r>
        <w:rPr>
          <w:i/>
          <w:color w:val="231F20"/>
          <w:spacing w:val="-3"/>
          <w:w w:val="105"/>
          <w:sz w:val="18"/>
        </w:rPr>
        <w:t>Research</w:t>
      </w:r>
      <w:r>
        <w:rPr>
          <w:color w:val="231F20"/>
          <w:spacing w:val="-3"/>
          <w:w w:val="105"/>
          <w:sz w:val="18"/>
        </w:rPr>
        <w:t>, </w:t>
      </w:r>
      <w:r>
        <w:rPr>
          <w:color w:val="231F20"/>
          <w:w w:val="105"/>
          <w:sz w:val="18"/>
        </w:rPr>
        <w:t>4 de febrero, </w:t>
      </w:r>
      <w:r>
        <w:rPr>
          <w:color w:val="231F20"/>
          <w:spacing w:val="-3"/>
          <w:w w:val="105"/>
          <w:sz w:val="18"/>
        </w:rPr>
        <w:t>&lt;www.globalresearch. </w:t>
      </w:r>
      <w:r>
        <w:rPr>
          <w:color w:val="231F20"/>
          <w:w w:val="105"/>
          <w:sz w:val="18"/>
        </w:rPr>
        <w:t>ca/&gt;.</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2128"/>
      </w:pPr>
      <w:r>
        <w:rPr>
          <w:color w:val="231F20"/>
        </w:rPr>
        <w:t>EL DÉFICIT FISCAL DE ESTADOS UNIDOS Y EL FUTURO DEL  DÓLAR</w:t>
      </w:r>
    </w:p>
    <w:p>
      <w:pPr>
        <w:pStyle w:val="BodyText"/>
        <w:spacing w:before="10"/>
        <w:rPr>
          <w:sz w:val="15"/>
        </w:rPr>
      </w:pPr>
    </w:p>
    <w:p>
      <w:pPr>
        <w:pStyle w:val="BodyText"/>
        <w:spacing w:before="67"/>
        <w:ind w:left="73" w:right="117"/>
        <w:jc w:val="right"/>
      </w:pPr>
      <w:r>
        <w:rPr>
          <w:color w:val="231F20"/>
          <w:w w:val="120"/>
        </w:rPr>
        <w:t>daniel munevar</w:t>
      </w:r>
    </w:p>
    <w:p>
      <w:pPr>
        <w:pStyle w:val="BodyText"/>
      </w:pPr>
    </w:p>
    <w:p>
      <w:pPr>
        <w:pStyle w:val="BodyText"/>
      </w:pPr>
    </w:p>
    <w:p>
      <w:pPr>
        <w:pStyle w:val="BodyText"/>
        <w:spacing w:before="1"/>
        <w:rPr>
          <w:sz w:val="21"/>
        </w:rPr>
      </w:pPr>
    </w:p>
    <w:p>
      <w:pPr>
        <w:pStyle w:val="BodyText"/>
        <w:spacing w:before="67"/>
        <w:ind w:left="100"/>
        <w:jc w:val="both"/>
      </w:pPr>
      <w:r>
        <w:rPr>
          <w:color w:val="231F20"/>
          <w:w w:val="130"/>
        </w:rPr>
        <w:t>introducción</w:t>
      </w:r>
    </w:p>
    <w:p>
      <w:pPr>
        <w:pStyle w:val="BodyText"/>
        <w:spacing w:before="5"/>
        <w:rPr>
          <w:sz w:val="23"/>
        </w:rPr>
      </w:pPr>
    </w:p>
    <w:p>
      <w:pPr>
        <w:pStyle w:val="BodyText"/>
        <w:spacing w:line="261" w:lineRule="auto"/>
        <w:ind w:left="100" w:right="119"/>
        <w:jc w:val="both"/>
      </w:pPr>
      <w:r>
        <w:rPr>
          <w:color w:val="231F20"/>
          <w:w w:val="110"/>
        </w:rPr>
        <w:t>A</w:t>
      </w:r>
      <w:r>
        <w:rPr>
          <w:color w:val="231F20"/>
          <w:spacing w:val="-8"/>
          <w:w w:val="110"/>
        </w:rPr>
        <w:t> </w:t>
      </w:r>
      <w:r>
        <w:rPr>
          <w:color w:val="231F20"/>
          <w:w w:val="110"/>
        </w:rPr>
        <w:t>lo</w:t>
      </w:r>
      <w:r>
        <w:rPr>
          <w:color w:val="231F20"/>
          <w:spacing w:val="-8"/>
          <w:w w:val="110"/>
        </w:rPr>
        <w:t> </w:t>
      </w:r>
      <w:r>
        <w:rPr>
          <w:color w:val="231F20"/>
          <w:w w:val="110"/>
        </w:rPr>
        <w:t>largo</w:t>
      </w:r>
      <w:r>
        <w:rPr>
          <w:color w:val="231F20"/>
          <w:spacing w:val="-8"/>
          <w:w w:val="110"/>
        </w:rPr>
        <w:t> </w:t>
      </w:r>
      <w:r>
        <w:rPr>
          <w:color w:val="231F20"/>
          <w:w w:val="110"/>
        </w:rPr>
        <w:t>del</w:t>
      </w:r>
      <w:r>
        <w:rPr>
          <w:color w:val="231F20"/>
          <w:spacing w:val="-8"/>
          <w:w w:val="110"/>
        </w:rPr>
        <w:t> </w:t>
      </w:r>
      <w:r>
        <w:rPr>
          <w:color w:val="231F20"/>
          <w:w w:val="110"/>
        </w:rPr>
        <w:t>último</w:t>
      </w:r>
      <w:r>
        <w:rPr>
          <w:color w:val="231F20"/>
          <w:spacing w:val="-8"/>
          <w:w w:val="110"/>
        </w:rPr>
        <w:t> </w:t>
      </w:r>
      <w:r>
        <w:rPr>
          <w:color w:val="231F20"/>
          <w:w w:val="110"/>
        </w:rPr>
        <w:t>decenio,</w:t>
      </w:r>
      <w:r>
        <w:rPr>
          <w:color w:val="231F20"/>
          <w:spacing w:val="-8"/>
          <w:w w:val="110"/>
        </w:rPr>
        <w:t> </w:t>
      </w:r>
      <w:r>
        <w:rPr>
          <w:color w:val="231F20"/>
          <w:w w:val="110"/>
        </w:rPr>
        <w:t>una</w:t>
      </w:r>
      <w:r>
        <w:rPr>
          <w:color w:val="231F20"/>
          <w:spacing w:val="-8"/>
          <w:w w:val="110"/>
        </w:rPr>
        <w:t> </w:t>
      </w:r>
      <w:r>
        <w:rPr>
          <w:color w:val="231F20"/>
          <w:w w:val="110"/>
        </w:rPr>
        <w:t>buena</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discusión</w:t>
      </w:r>
      <w:r>
        <w:rPr>
          <w:color w:val="231F20"/>
          <w:spacing w:val="-8"/>
          <w:w w:val="110"/>
        </w:rPr>
        <w:t> </w:t>
      </w:r>
      <w:r>
        <w:rPr>
          <w:color w:val="231F20"/>
          <w:w w:val="110"/>
        </w:rPr>
        <w:t>acadé- mica en la arena económica se concentró en el tópico del creciente déficit</w:t>
      </w:r>
      <w:r>
        <w:rPr>
          <w:color w:val="231F20"/>
          <w:spacing w:val="-8"/>
          <w:w w:val="110"/>
        </w:rPr>
        <w:t> </w:t>
      </w:r>
      <w:r>
        <w:rPr>
          <w:color w:val="231F20"/>
          <w:w w:val="110"/>
        </w:rPr>
        <w:t>de</w:t>
      </w:r>
      <w:r>
        <w:rPr>
          <w:color w:val="231F20"/>
          <w:spacing w:val="-8"/>
          <w:w w:val="110"/>
        </w:rPr>
        <w:t> </w:t>
      </w:r>
      <w:r>
        <w:rPr>
          <w:color w:val="231F20"/>
          <w:w w:val="110"/>
        </w:rPr>
        <w:t>cuenta</w:t>
      </w:r>
      <w:r>
        <w:rPr>
          <w:color w:val="231F20"/>
          <w:spacing w:val="-8"/>
          <w:w w:val="110"/>
        </w:rPr>
        <w:t> </w:t>
      </w:r>
      <w:r>
        <w:rPr>
          <w:color w:val="231F20"/>
          <w:w w:val="110"/>
        </w:rPr>
        <w:t>corriente</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y</w:t>
      </w:r>
      <w:r>
        <w:rPr>
          <w:color w:val="231F20"/>
          <w:spacing w:val="-8"/>
          <w:w w:val="110"/>
        </w:rPr>
        <w:t> </w:t>
      </w:r>
      <w:r>
        <w:rPr>
          <w:color w:val="231F20"/>
          <w:w w:val="110"/>
        </w:rPr>
        <w:t>sus</w:t>
      </w:r>
      <w:r>
        <w:rPr>
          <w:color w:val="231F20"/>
          <w:spacing w:val="-8"/>
          <w:w w:val="110"/>
        </w:rPr>
        <w:t> </w:t>
      </w:r>
      <w:r>
        <w:rPr>
          <w:color w:val="231F20"/>
          <w:w w:val="110"/>
        </w:rPr>
        <w:t>implicaciones</w:t>
      </w:r>
      <w:r>
        <w:rPr>
          <w:color w:val="231F20"/>
          <w:w w:val="107"/>
        </w:rPr>
        <w:t> </w:t>
      </w:r>
      <w:r>
        <w:rPr>
          <w:color w:val="231F20"/>
          <w:w w:val="110"/>
        </w:rPr>
        <w:t>en la configuración global de excedentes comerciales y patrones de crecimiento económico. El entorno internacional durante este perio- do estuvo caracterizado por tres dinámicas</w:t>
      </w:r>
      <w:r>
        <w:rPr>
          <w:color w:val="231F20"/>
          <w:spacing w:val="39"/>
          <w:w w:val="110"/>
        </w:rPr>
        <w:t> </w:t>
      </w:r>
      <w:r>
        <w:rPr>
          <w:color w:val="231F20"/>
          <w:w w:val="110"/>
        </w:rPr>
        <w:t>interconectadas.</w:t>
      </w:r>
    </w:p>
    <w:p>
      <w:pPr>
        <w:pStyle w:val="BodyText"/>
        <w:spacing w:line="261" w:lineRule="auto"/>
        <w:ind w:left="100" w:right="117" w:firstLine="240"/>
        <w:jc w:val="right"/>
      </w:pPr>
      <w:r>
        <w:rPr>
          <w:color w:val="231F20"/>
          <w:w w:val="105"/>
        </w:rPr>
        <w:t>La primera fue la consistente expansión del déficit</w:t>
      </w:r>
      <w:r>
        <w:rPr>
          <w:color w:val="231F20"/>
          <w:spacing w:val="46"/>
          <w:w w:val="105"/>
        </w:rPr>
        <w:t> </w:t>
      </w:r>
      <w:r>
        <w:rPr>
          <w:color w:val="231F20"/>
          <w:w w:val="105"/>
        </w:rPr>
        <w:t>de</w:t>
      </w:r>
      <w:r>
        <w:rPr>
          <w:color w:val="231F20"/>
          <w:spacing w:val="18"/>
          <w:w w:val="105"/>
        </w:rPr>
        <w:t> </w:t>
      </w:r>
      <w:r>
        <w:rPr>
          <w:color w:val="231F20"/>
          <w:w w:val="105"/>
        </w:rPr>
        <w:t>cuenta</w:t>
      </w:r>
      <w:r>
        <w:rPr>
          <w:color w:val="231F20"/>
          <w:spacing w:val="1"/>
          <w:w w:val="112"/>
        </w:rPr>
        <w:t> </w:t>
      </w:r>
      <w:r>
        <w:rPr>
          <w:color w:val="231F20"/>
          <w:w w:val="105"/>
        </w:rPr>
        <w:t>corriente de Estados Unidos hasta alcanzar un record</w:t>
      </w:r>
      <w:r>
        <w:rPr>
          <w:color w:val="231F20"/>
          <w:spacing w:val="28"/>
          <w:w w:val="105"/>
        </w:rPr>
        <w:t> </w:t>
      </w:r>
      <w:r>
        <w:rPr>
          <w:color w:val="231F20"/>
          <w:w w:val="105"/>
        </w:rPr>
        <w:t>histórico </w:t>
      </w:r>
      <w:r>
        <w:rPr>
          <w:color w:val="231F20"/>
          <w:spacing w:val="3"/>
          <w:w w:val="105"/>
        </w:rPr>
        <w:t> </w:t>
      </w:r>
      <w:r>
        <w:rPr>
          <w:color w:val="231F20"/>
          <w:w w:val="105"/>
        </w:rPr>
        <w:t>de</w:t>
      </w:r>
      <w:r>
        <w:rPr>
          <w:color w:val="231F20"/>
          <w:w w:val="114"/>
        </w:rPr>
        <w:t> </w:t>
      </w:r>
      <w:r>
        <w:rPr>
          <w:color w:val="231F20"/>
          <w:w w:val="105"/>
        </w:rPr>
        <w:t>5.9%</w:t>
      </w:r>
      <w:r>
        <w:rPr>
          <w:color w:val="231F20"/>
          <w:spacing w:val="23"/>
          <w:w w:val="105"/>
        </w:rPr>
        <w:t> </w:t>
      </w:r>
      <w:r>
        <w:rPr>
          <w:color w:val="231F20"/>
          <w:w w:val="105"/>
        </w:rPr>
        <w:t>del</w:t>
      </w:r>
      <w:r>
        <w:rPr>
          <w:color w:val="231F20"/>
          <w:spacing w:val="23"/>
          <w:w w:val="105"/>
        </w:rPr>
        <w:t> </w:t>
      </w:r>
      <w:r>
        <w:rPr>
          <w:color w:val="231F20"/>
          <w:w w:val="105"/>
        </w:rPr>
        <w:t>pib</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último</w:t>
      </w:r>
      <w:r>
        <w:rPr>
          <w:color w:val="231F20"/>
          <w:spacing w:val="23"/>
          <w:w w:val="105"/>
        </w:rPr>
        <w:t> </w:t>
      </w:r>
      <w:r>
        <w:rPr>
          <w:color w:val="231F20"/>
          <w:w w:val="105"/>
        </w:rPr>
        <w:t>cuarto</w:t>
      </w:r>
      <w:r>
        <w:rPr>
          <w:color w:val="231F20"/>
          <w:spacing w:val="23"/>
          <w:w w:val="105"/>
        </w:rPr>
        <w:t> </w:t>
      </w:r>
      <w:r>
        <w:rPr>
          <w:color w:val="231F20"/>
          <w:w w:val="105"/>
        </w:rPr>
        <w:t>del</w:t>
      </w:r>
      <w:r>
        <w:rPr>
          <w:color w:val="231F20"/>
          <w:spacing w:val="23"/>
          <w:w w:val="105"/>
        </w:rPr>
        <w:t> </w:t>
      </w:r>
      <w:r>
        <w:rPr>
          <w:color w:val="231F20"/>
          <w:w w:val="105"/>
        </w:rPr>
        <w:t>año</w:t>
      </w:r>
      <w:r>
        <w:rPr>
          <w:color w:val="231F20"/>
          <w:spacing w:val="23"/>
          <w:w w:val="105"/>
        </w:rPr>
        <w:t> </w:t>
      </w:r>
      <w:r>
        <w:rPr>
          <w:color w:val="231F20"/>
          <w:w w:val="105"/>
        </w:rPr>
        <w:t>2006.</w:t>
      </w:r>
      <w:r>
        <w:rPr>
          <w:color w:val="231F20"/>
          <w:spacing w:val="23"/>
          <w:w w:val="105"/>
        </w:rPr>
        <w:t> </w:t>
      </w:r>
      <w:r>
        <w:rPr>
          <w:color w:val="231F20"/>
          <w:w w:val="105"/>
        </w:rPr>
        <w:t>En</w:t>
      </w:r>
      <w:r>
        <w:rPr>
          <w:color w:val="231F20"/>
          <w:spacing w:val="23"/>
          <w:w w:val="105"/>
        </w:rPr>
        <w:t> </w:t>
      </w:r>
      <w:r>
        <w:rPr>
          <w:color w:val="231F20"/>
          <w:w w:val="105"/>
        </w:rPr>
        <w:t>términos</w:t>
      </w:r>
      <w:r>
        <w:rPr>
          <w:color w:val="231F20"/>
          <w:spacing w:val="23"/>
          <w:w w:val="105"/>
        </w:rPr>
        <w:t> </w:t>
      </w:r>
      <w:r>
        <w:rPr>
          <w:color w:val="231F20"/>
          <w:w w:val="105"/>
        </w:rPr>
        <w:t>globales</w:t>
      </w:r>
      <w:r>
        <w:rPr>
          <w:color w:val="231F20"/>
          <w:w w:val="106"/>
        </w:rPr>
        <w:t> </w:t>
      </w:r>
      <w:r>
        <w:rPr>
          <w:color w:val="231F20"/>
          <w:w w:val="105"/>
        </w:rPr>
        <w:t>esto</w:t>
      </w:r>
      <w:r>
        <w:rPr>
          <w:color w:val="231F20"/>
          <w:spacing w:val="39"/>
          <w:w w:val="105"/>
        </w:rPr>
        <w:t> </w:t>
      </w:r>
      <w:r>
        <w:rPr>
          <w:color w:val="231F20"/>
          <w:w w:val="105"/>
        </w:rPr>
        <w:t>significo</w:t>
      </w:r>
      <w:r>
        <w:rPr>
          <w:color w:val="231F20"/>
          <w:spacing w:val="39"/>
          <w:w w:val="105"/>
        </w:rPr>
        <w:t> </w:t>
      </w:r>
      <w:r>
        <w:rPr>
          <w:color w:val="231F20"/>
          <w:w w:val="105"/>
        </w:rPr>
        <w:t>que</w:t>
      </w:r>
      <w:r>
        <w:rPr>
          <w:color w:val="231F20"/>
          <w:spacing w:val="39"/>
          <w:w w:val="105"/>
        </w:rPr>
        <w:t> </w:t>
      </w:r>
      <w:r>
        <w:rPr>
          <w:color w:val="231F20"/>
          <w:w w:val="105"/>
        </w:rPr>
        <w:t>para</w:t>
      </w:r>
      <w:r>
        <w:rPr>
          <w:color w:val="231F20"/>
          <w:spacing w:val="39"/>
          <w:w w:val="105"/>
        </w:rPr>
        <w:t> </w:t>
      </w:r>
      <w:r>
        <w:rPr>
          <w:color w:val="231F20"/>
          <w:w w:val="105"/>
        </w:rPr>
        <w:t>el</w:t>
      </w:r>
      <w:r>
        <w:rPr>
          <w:color w:val="231F20"/>
          <w:spacing w:val="39"/>
          <w:w w:val="105"/>
        </w:rPr>
        <w:t> </w:t>
      </w:r>
      <w:r>
        <w:rPr>
          <w:color w:val="231F20"/>
          <w:w w:val="105"/>
        </w:rPr>
        <w:t>año</w:t>
      </w:r>
      <w:r>
        <w:rPr>
          <w:color w:val="231F20"/>
          <w:spacing w:val="39"/>
          <w:w w:val="105"/>
        </w:rPr>
        <w:t> </w:t>
      </w:r>
      <w:r>
        <w:rPr>
          <w:color w:val="231F20"/>
          <w:w w:val="105"/>
        </w:rPr>
        <w:t>2008,</w:t>
      </w:r>
      <w:r>
        <w:rPr>
          <w:color w:val="231F20"/>
          <w:spacing w:val="39"/>
          <w:w w:val="105"/>
        </w:rPr>
        <w:t> </w:t>
      </w:r>
      <w:r>
        <w:rPr>
          <w:color w:val="231F20"/>
          <w:w w:val="105"/>
        </w:rPr>
        <w:t>Estados</w:t>
      </w:r>
      <w:r>
        <w:rPr>
          <w:color w:val="231F20"/>
          <w:spacing w:val="39"/>
          <w:w w:val="105"/>
        </w:rPr>
        <w:t> </w:t>
      </w:r>
      <w:r>
        <w:rPr>
          <w:color w:val="231F20"/>
          <w:w w:val="105"/>
        </w:rPr>
        <w:t>Unidos</w:t>
      </w:r>
      <w:r>
        <w:rPr>
          <w:color w:val="231F20"/>
          <w:spacing w:val="39"/>
          <w:w w:val="105"/>
        </w:rPr>
        <w:t> </w:t>
      </w:r>
      <w:r>
        <w:rPr>
          <w:color w:val="231F20"/>
          <w:w w:val="105"/>
        </w:rPr>
        <w:t>atrajo</w:t>
      </w:r>
      <w:r>
        <w:rPr>
          <w:color w:val="231F20"/>
          <w:spacing w:val="39"/>
          <w:w w:val="105"/>
        </w:rPr>
        <w:t> </w:t>
      </w:r>
      <w:r>
        <w:rPr>
          <w:color w:val="231F20"/>
          <w:w w:val="105"/>
        </w:rPr>
        <w:t>43%</w:t>
      </w:r>
      <w:r>
        <w:rPr>
          <w:color w:val="231F20"/>
          <w:spacing w:val="39"/>
          <w:w w:val="105"/>
        </w:rPr>
        <w:t> </w:t>
      </w:r>
      <w:r>
        <w:rPr>
          <w:color w:val="231F20"/>
          <w:w w:val="105"/>
        </w:rPr>
        <w:t>de</w:t>
      </w:r>
      <w:r>
        <w:rPr>
          <w:color w:val="231F20"/>
          <w:w w:val="114"/>
        </w:rPr>
        <w:t> </w:t>
      </w:r>
      <w:r>
        <w:rPr>
          <w:color w:val="231F20"/>
          <w:w w:val="105"/>
        </w:rPr>
        <w:t>los</w:t>
      </w:r>
      <w:r>
        <w:rPr>
          <w:color w:val="231F20"/>
          <w:spacing w:val="21"/>
          <w:w w:val="105"/>
        </w:rPr>
        <w:t> </w:t>
      </w:r>
      <w:r>
        <w:rPr>
          <w:color w:val="231F20"/>
          <w:w w:val="105"/>
        </w:rPr>
        <w:t>flujos</w:t>
      </w:r>
      <w:r>
        <w:rPr>
          <w:color w:val="231F20"/>
          <w:spacing w:val="21"/>
          <w:w w:val="105"/>
        </w:rPr>
        <w:t> </w:t>
      </w:r>
      <w:r>
        <w:rPr>
          <w:color w:val="231F20"/>
          <w:w w:val="105"/>
        </w:rPr>
        <w:t>globales</w:t>
      </w:r>
      <w:r>
        <w:rPr>
          <w:color w:val="231F20"/>
          <w:spacing w:val="20"/>
          <w:w w:val="105"/>
        </w:rPr>
        <w:t> </w:t>
      </w:r>
      <w:r>
        <w:rPr>
          <w:color w:val="231F20"/>
          <w:w w:val="105"/>
        </w:rPr>
        <w:t>de</w:t>
      </w:r>
      <w:r>
        <w:rPr>
          <w:color w:val="231F20"/>
          <w:spacing w:val="21"/>
          <w:w w:val="105"/>
        </w:rPr>
        <w:t> </w:t>
      </w:r>
      <w:r>
        <w:rPr>
          <w:color w:val="231F20"/>
          <w:w w:val="105"/>
        </w:rPr>
        <w:t>capital.</w:t>
      </w:r>
      <w:r>
        <w:rPr>
          <w:color w:val="231F20"/>
          <w:spacing w:val="20"/>
          <w:w w:val="105"/>
        </w:rPr>
        <w:t> </w:t>
      </w:r>
      <w:r>
        <w:rPr>
          <w:color w:val="231F20"/>
          <w:w w:val="105"/>
        </w:rPr>
        <w:t>La</w:t>
      </w:r>
      <w:r>
        <w:rPr>
          <w:color w:val="231F20"/>
          <w:spacing w:val="21"/>
          <w:w w:val="105"/>
        </w:rPr>
        <w:t> </w:t>
      </w:r>
      <w:r>
        <w:rPr>
          <w:color w:val="231F20"/>
          <w:w w:val="105"/>
        </w:rPr>
        <w:t>contraparte</w:t>
      </w:r>
      <w:r>
        <w:rPr>
          <w:color w:val="231F20"/>
          <w:spacing w:val="20"/>
          <w:w w:val="105"/>
        </w:rPr>
        <w:t> </w:t>
      </w:r>
      <w:r>
        <w:rPr>
          <w:color w:val="231F20"/>
          <w:w w:val="105"/>
        </w:rPr>
        <w:t>de</w:t>
      </w:r>
      <w:r>
        <w:rPr>
          <w:color w:val="231F20"/>
          <w:spacing w:val="21"/>
          <w:w w:val="105"/>
        </w:rPr>
        <w:t> </w:t>
      </w:r>
      <w:r>
        <w:rPr>
          <w:color w:val="231F20"/>
          <w:w w:val="105"/>
        </w:rPr>
        <w:t>este</w:t>
      </w:r>
      <w:r>
        <w:rPr>
          <w:color w:val="231F20"/>
          <w:spacing w:val="20"/>
          <w:w w:val="105"/>
        </w:rPr>
        <w:t> </w:t>
      </w:r>
      <w:r>
        <w:rPr>
          <w:color w:val="231F20"/>
          <w:w w:val="105"/>
        </w:rPr>
        <w:t>fenómeno</w:t>
      </w:r>
      <w:r>
        <w:rPr>
          <w:color w:val="231F20"/>
          <w:spacing w:val="21"/>
          <w:w w:val="105"/>
        </w:rPr>
        <w:t> </w:t>
      </w:r>
      <w:r>
        <w:rPr>
          <w:color w:val="231F20"/>
          <w:w w:val="105"/>
        </w:rPr>
        <w:t>fue</w:t>
      </w:r>
      <w:r>
        <w:rPr>
          <w:color w:val="231F20"/>
          <w:spacing w:val="21"/>
          <w:w w:val="105"/>
        </w:rPr>
        <w:t> </w:t>
      </w:r>
      <w:r>
        <w:rPr>
          <w:color w:val="231F20"/>
          <w:w w:val="105"/>
        </w:rPr>
        <w:t>el</w:t>
      </w:r>
      <w:r>
        <w:rPr>
          <w:color w:val="231F20"/>
          <w:w w:val="108"/>
        </w:rPr>
        <w:t> </w:t>
      </w:r>
      <w:r>
        <w:rPr>
          <w:color w:val="231F20"/>
          <w:w w:val="105"/>
        </w:rPr>
        <w:t>incremento</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superávit</w:t>
      </w:r>
      <w:r>
        <w:rPr>
          <w:color w:val="231F20"/>
          <w:spacing w:val="26"/>
          <w:w w:val="105"/>
        </w:rPr>
        <w:t> </w:t>
      </w:r>
      <w:r>
        <w:rPr>
          <w:color w:val="231F20"/>
          <w:w w:val="105"/>
        </w:rPr>
        <w:t>comerciales</w:t>
      </w:r>
      <w:r>
        <w:rPr>
          <w:color w:val="231F20"/>
          <w:spacing w:val="26"/>
          <w:w w:val="105"/>
        </w:rPr>
        <w:t> </w:t>
      </w:r>
      <w:r>
        <w:rPr>
          <w:color w:val="231F20"/>
          <w:w w:val="105"/>
        </w:rPr>
        <w:t>de</w:t>
      </w:r>
      <w:r>
        <w:rPr>
          <w:color w:val="231F20"/>
          <w:spacing w:val="26"/>
          <w:w w:val="105"/>
        </w:rPr>
        <w:t> </w:t>
      </w:r>
      <w:r>
        <w:rPr>
          <w:color w:val="231F20"/>
          <w:w w:val="105"/>
        </w:rPr>
        <w:t>China,</w:t>
      </w:r>
      <w:r>
        <w:rPr>
          <w:color w:val="231F20"/>
          <w:spacing w:val="26"/>
          <w:w w:val="105"/>
        </w:rPr>
        <w:t> </w:t>
      </w:r>
      <w:r>
        <w:rPr>
          <w:color w:val="231F20"/>
          <w:w w:val="105"/>
        </w:rPr>
        <w:t>por</w:t>
      </w:r>
      <w:r>
        <w:rPr>
          <w:color w:val="231F20"/>
          <w:spacing w:val="26"/>
          <w:w w:val="105"/>
        </w:rPr>
        <w:t> </w:t>
      </w:r>
      <w:r>
        <w:rPr>
          <w:color w:val="231F20"/>
          <w:w w:val="105"/>
        </w:rPr>
        <w:t>un</w:t>
      </w:r>
      <w:r>
        <w:rPr>
          <w:color w:val="231F20"/>
          <w:spacing w:val="26"/>
          <w:w w:val="105"/>
        </w:rPr>
        <w:t> </w:t>
      </w:r>
      <w:r>
        <w:rPr>
          <w:color w:val="231F20"/>
          <w:w w:val="105"/>
        </w:rPr>
        <w:t>lado,</w:t>
      </w:r>
      <w:r>
        <w:rPr>
          <w:color w:val="231F20"/>
          <w:spacing w:val="26"/>
          <w:w w:val="105"/>
        </w:rPr>
        <w:t> </w:t>
      </w:r>
      <w:r>
        <w:rPr>
          <w:color w:val="231F20"/>
          <w:w w:val="105"/>
        </w:rPr>
        <w:t>y</w:t>
      </w:r>
      <w:r>
        <w:rPr>
          <w:color w:val="231F20"/>
          <w:spacing w:val="26"/>
          <w:w w:val="105"/>
        </w:rPr>
        <w:t> </w:t>
      </w:r>
      <w:r>
        <w:rPr>
          <w:color w:val="231F20"/>
          <w:w w:val="105"/>
        </w:rPr>
        <w:t>de</w:t>
      </w:r>
      <w:r>
        <w:rPr>
          <w:color w:val="231F20"/>
          <w:w w:val="114"/>
        </w:rPr>
        <w:t> </w:t>
      </w:r>
      <w:r>
        <w:rPr>
          <w:color w:val="231F20"/>
          <w:w w:val="105"/>
        </w:rPr>
        <w:t>los</w:t>
      </w:r>
      <w:r>
        <w:rPr>
          <w:color w:val="231F20"/>
          <w:spacing w:val="26"/>
          <w:w w:val="105"/>
        </w:rPr>
        <w:t> </w:t>
      </w:r>
      <w:r>
        <w:rPr>
          <w:color w:val="231F20"/>
          <w:w w:val="105"/>
        </w:rPr>
        <w:t>países</w:t>
      </w:r>
      <w:r>
        <w:rPr>
          <w:color w:val="231F20"/>
          <w:spacing w:val="26"/>
          <w:w w:val="105"/>
        </w:rPr>
        <w:t> </w:t>
      </w:r>
      <w:r>
        <w:rPr>
          <w:color w:val="231F20"/>
          <w:w w:val="105"/>
        </w:rPr>
        <w:t>exportadores</w:t>
      </w:r>
      <w:r>
        <w:rPr>
          <w:color w:val="231F20"/>
          <w:spacing w:val="26"/>
          <w:w w:val="105"/>
        </w:rPr>
        <w:t> </w:t>
      </w:r>
      <w:r>
        <w:rPr>
          <w:color w:val="231F20"/>
          <w:w w:val="105"/>
        </w:rPr>
        <w:t>de</w:t>
      </w:r>
      <w:r>
        <w:rPr>
          <w:color w:val="231F20"/>
          <w:spacing w:val="26"/>
          <w:w w:val="105"/>
        </w:rPr>
        <w:t> </w:t>
      </w:r>
      <w:r>
        <w:rPr>
          <w:color w:val="231F20"/>
          <w:w w:val="105"/>
        </w:rPr>
        <w:t>petróleo</w:t>
      </w:r>
      <w:r>
        <w:rPr>
          <w:color w:val="231F20"/>
          <w:spacing w:val="26"/>
          <w:w w:val="105"/>
        </w:rPr>
        <w:t> </w:t>
      </w:r>
      <w:r>
        <w:rPr>
          <w:color w:val="231F20"/>
          <w:w w:val="105"/>
        </w:rPr>
        <w:t>por</w:t>
      </w:r>
      <w:r>
        <w:rPr>
          <w:color w:val="231F20"/>
          <w:spacing w:val="26"/>
          <w:w w:val="105"/>
        </w:rPr>
        <w:t> </w:t>
      </w:r>
      <w:r>
        <w:rPr>
          <w:color w:val="231F20"/>
          <w:w w:val="105"/>
        </w:rPr>
        <w:t>el</w:t>
      </w:r>
      <w:r>
        <w:rPr>
          <w:color w:val="231F20"/>
          <w:spacing w:val="26"/>
          <w:w w:val="105"/>
        </w:rPr>
        <w:t> </w:t>
      </w:r>
      <w:r>
        <w:rPr>
          <w:color w:val="231F20"/>
          <w:w w:val="105"/>
        </w:rPr>
        <w:t>otro.</w:t>
      </w:r>
      <w:r>
        <w:rPr>
          <w:color w:val="231F20"/>
          <w:spacing w:val="26"/>
          <w:w w:val="105"/>
        </w:rPr>
        <w:t> </w:t>
      </w:r>
      <w:r>
        <w:rPr>
          <w:color w:val="231F20"/>
          <w:w w:val="105"/>
        </w:rPr>
        <w:t>Dichos</w:t>
      </w:r>
      <w:r>
        <w:rPr>
          <w:color w:val="231F20"/>
          <w:spacing w:val="26"/>
          <w:w w:val="105"/>
        </w:rPr>
        <w:t> </w:t>
      </w:r>
      <w:r>
        <w:rPr>
          <w:color w:val="231F20"/>
          <w:w w:val="105"/>
        </w:rPr>
        <w:t>países</w:t>
      </w:r>
      <w:r>
        <w:rPr>
          <w:color w:val="231F20"/>
          <w:spacing w:val="26"/>
          <w:w w:val="105"/>
        </w:rPr>
        <w:t> </w:t>
      </w:r>
      <w:r>
        <w:rPr>
          <w:color w:val="231F20"/>
          <w:w w:val="105"/>
        </w:rPr>
        <w:t>expor-</w:t>
      </w:r>
      <w:r>
        <w:rPr>
          <w:color w:val="231F20"/>
          <w:w w:val="72"/>
        </w:rPr>
        <w:t> </w:t>
      </w:r>
      <w:r>
        <w:rPr>
          <w:color w:val="231F20"/>
          <w:w w:val="105"/>
        </w:rPr>
        <w:t>taron</w:t>
      </w:r>
      <w:r>
        <w:rPr>
          <w:color w:val="231F20"/>
          <w:spacing w:val="17"/>
          <w:w w:val="105"/>
        </w:rPr>
        <w:t> </w:t>
      </w:r>
      <w:r>
        <w:rPr>
          <w:color w:val="231F20"/>
          <w:w w:val="105"/>
        </w:rPr>
        <w:t>52.6%</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flujos</w:t>
      </w:r>
      <w:r>
        <w:rPr>
          <w:color w:val="231F20"/>
          <w:spacing w:val="17"/>
          <w:w w:val="105"/>
        </w:rPr>
        <w:t> </w:t>
      </w:r>
      <w:r>
        <w:rPr>
          <w:color w:val="231F20"/>
          <w:w w:val="105"/>
        </w:rPr>
        <w:t>totales</w:t>
      </w:r>
      <w:r>
        <w:rPr>
          <w:color w:val="231F20"/>
          <w:spacing w:val="17"/>
          <w:w w:val="105"/>
        </w:rPr>
        <w:t> </w:t>
      </w:r>
      <w:r>
        <w:rPr>
          <w:color w:val="231F20"/>
          <w:w w:val="105"/>
        </w:rPr>
        <w:t>de</w:t>
      </w:r>
      <w:r>
        <w:rPr>
          <w:color w:val="231F20"/>
          <w:spacing w:val="17"/>
          <w:w w:val="105"/>
        </w:rPr>
        <w:t> </w:t>
      </w:r>
      <w:r>
        <w:rPr>
          <w:color w:val="231F20"/>
          <w:w w:val="105"/>
        </w:rPr>
        <w:t>capital</w:t>
      </w:r>
      <w:r>
        <w:rPr>
          <w:color w:val="231F20"/>
          <w:spacing w:val="17"/>
          <w:w w:val="105"/>
        </w:rPr>
        <w:t> </w:t>
      </w:r>
      <w:r>
        <w:rPr>
          <w:color w:val="231F20"/>
          <w:w w:val="105"/>
        </w:rPr>
        <w:t>en</w:t>
      </w:r>
      <w:r>
        <w:rPr>
          <w:color w:val="231F20"/>
          <w:spacing w:val="17"/>
          <w:w w:val="105"/>
        </w:rPr>
        <w:t> </w:t>
      </w:r>
      <w:r>
        <w:rPr>
          <w:color w:val="231F20"/>
          <w:w w:val="105"/>
        </w:rPr>
        <w:t>2008</w:t>
      </w:r>
      <w:r>
        <w:rPr>
          <w:color w:val="231F20"/>
          <w:spacing w:val="17"/>
          <w:w w:val="105"/>
        </w:rPr>
        <w:t> </w:t>
      </w:r>
      <w:r>
        <w:rPr>
          <w:color w:val="231F20"/>
          <w:w w:val="105"/>
        </w:rPr>
        <w:t>(imf,</w:t>
      </w:r>
      <w:r>
        <w:rPr>
          <w:color w:val="231F20"/>
          <w:spacing w:val="17"/>
          <w:w w:val="105"/>
        </w:rPr>
        <w:t> </w:t>
      </w:r>
      <w:r>
        <w:rPr>
          <w:color w:val="231F20"/>
          <w:w w:val="105"/>
        </w:rPr>
        <w:t>2009:</w:t>
      </w:r>
      <w:r>
        <w:rPr>
          <w:color w:val="231F20"/>
          <w:spacing w:val="17"/>
          <w:w w:val="105"/>
        </w:rPr>
        <w:t> </w:t>
      </w:r>
      <w:r>
        <w:rPr>
          <w:color w:val="231F20"/>
          <w:w w:val="105"/>
        </w:rPr>
        <w:t>167).</w:t>
      </w:r>
      <w:r>
        <w:rPr>
          <w:color w:val="231F20"/>
          <w:w w:val="108"/>
        </w:rPr>
        <w:t> </w:t>
      </w:r>
      <w:r>
        <w:rPr>
          <w:color w:val="231F20"/>
          <w:w w:val="105"/>
        </w:rPr>
        <w:t>En segundo lugar está la acumulación masiva de</w:t>
      </w:r>
      <w:r>
        <w:rPr>
          <w:color w:val="231F20"/>
          <w:spacing w:val="-17"/>
          <w:w w:val="105"/>
        </w:rPr>
        <w:t> </w:t>
      </w:r>
      <w:r>
        <w:rPr>
          <w:color w:val="231F20"/>
          <w:w w:val="105"/>
        </w:rPr>
        <w:t>reservas</w:t>
      </w:r>
      <w:r>
        <w:rPr>
          <w:color w:val="231F20"/>
          <w:spacing w:val="-3"/>
          <w:w w:val="105"/>
        </w:rPr>
        <w:t> </w:t>
      </w:r>
      <w:r>
        <w:rPr>
          <w:color w:val="231F20"/>
          <w:w w:val="105"/>
        </w:rPr>
        <w:t>internacio-</w:t>
      </w:r>
      <w:r>
        <w:rPr>
          <w:color w:val="231F20"/>
          <w:w w:val="72"/>
        </w:rPr>
        <w:t> </w:t>
      </w:r>
      <w:r>
        <w:rPr>
          <w:color w:val="231F20"/>
          <w:w w:val="105"/>
        </w:rPr>
        <w:t>nales por parte de los países superavitarios. Así, las</w:t>
      </w:r>
      <w:r>
        <w:rPr>
          <w:color w:val="231F20"/>
          <w:spacing w:val="-20"/>
          <w:w w:val="105"/>
        </w:rPr>
        <w:t> </w:t>
      </w:r>
      <w:r>
        <w:rPr>
          <w:color w:val="231F20"/>
          <w:w w:val="105"/>
        </w:rPr>
        <w:t>reservas</w:t>
      </w:r>
      <w:r>
        <w:rPr>
          <w:color w:val="231F20"/>
          <w:spacing w:val="-3"/>
          <w:w w:val="105"/>
        </w:rPr>
        <w:t> </w:t>
      </w:r>
      <w:r>
        <w:rPr>
          <w:color w:val="231F20"/>
          <w:w w:val="105"/>
        </w:rPr>
        <w:t>internacio-</w:t>
      </w:r>
      <w:r>
        <w:rPr>
          <w:color w:val="231F20"/>
          <w:w w:val="72"/>
        </w:rPr>
        <w:t> </w:t>
      </w:r>
      <w:r>
        <w:rPr>
          <w:color w:val="231F20"/>
          <w:w w:val="105"/>
        </w:rPr>
        <w:t>nales de China se quintuplicaron durante los últimos 5</w:t>
      </w:r>
      <w:r>
        <w:rPr>
          <w:color w:val="231F20"/>
          <w:spacing w:val="21"/>
          <w:w w:val="105"/>
        </w:rPr>
        <w:t> </w:t>
      </w:r>
      <w:r>
        <w:rPr>
          <w:color w:val="231F20"/>
          <w:w w:val="105"/>
        </w:rPr>
        <w:t>años,</w:t>
      </w:r>
      <w:r>
        <w:rPr>
          <w:color w:val="231F20"/>
          <w:spacing w:val="19"/>
          <w:w w:val="105"/>
        </w:rPr>
        <w:t> </w:t>
      </w:r>
      <w:r>
        <w:rPr>
          <w:color w:val="231F20"/>
          <w:w w:val="105"/>
        </w:rPr>
        <w:t>pasando</w:t>
      </w:r>
      <w:r>
        <w:rPr>
          <w:color w:val="231F20"/>
          <w:spacing w:val="-2"/>
          <w:w w:val="111"/>
        </w:rPr>
        <w:t> </w:t>
      </w:r>
      <w:r>
        <w:rPr>
          <w:color w:val="231F20"/>
          <w:w w:val="105"/>
        </w:rPr>
        <w:t>de</w:t>
      </w:r>
      <w:r>
        <w:rPr>
          <w:color w:val="231F20"/>
          <w:spacing w:val="29"/>
          <w:w w:val="105"/>
        </w:rPr>
        <w:t> </w:t>
      </w:r>
      <w:r>
        <w:rPr>
          <w:color w:val="231F20"/>
          <w:w w:val="105"/>
        </w:rPr>
        <w:t>410</w:t>
      </w:r>
      <w:r>
        <w:rPr>
          <w:color w:val="231F20"/>
          <w:spacing w:val="29"/>
          <w:w w:val="105"/>
        </w:rPr>
        <w:t> </w:t>
      </w:r>
      <w:r>
        <w:rPr>
          <w:color w:val="231F20"/>
          <w:w w:val="105"/>
        </w:rPr>
        <w:t>millardos</w:t>
      </w:r>
      <w:r>
        <w:rPr>
          <w:color w:val="231F20"/>
          <w:spacing w:val="29"/>
          <w:w w:val="105"/>
        </w:rPr>
        <w:t> </w:t>
      </w:r>
      <w:r>
        <w:rPr>
          <w:color w:val="231F20"/>
          <w:w w:val="105"/>
        </w:rPr>
        <w:t>de</w:t>
      </w:r>
      <w:r>
        <w:rPr>
          <w:color w:val="231F20"/>
          <w:spacing w:val="29"/>
          <w:w w:val="105"/>
        </w:rPr>
        <w:t> </w:t>
      </w:r>
      <w:r>
        <w:rPr>
          <w:color w:val="231F20"/>
          <w:w w:val="105"/>
        </w:rPr>
        <w:t>dólares</w:t>
      </w:r>
      <w:r>
        <w:rPr>
          <w:color w:val="231F20"/>
          <w:spacing w:val="29"/>
          <w:w w:val="105"/>
        </w:rPr>
        <w:t> </w:t>
      </w:r>
      <w:r>
        <w:rPr>
          <w:color w:val="231F20"/>
          <w:w w:val="105"/>
        </w:rPr>
        <w:t>en</w:t>
      </w:r>
      <w:r>
        <w:rPr>
          <w:color w:val="231F20"/>
          <w:spacing w:val="29"/>
          <w:w w:val="105"/>
        </w:rPr>
        <w:t> </w:t>
      </w:r>
      <w:r>
        <w:rPr>
          <w:color w:val="231F20"/>
          <w:w w:val="105"/>
        </w:rPr>
        <w:t>2003</w:t>
      </w:r>
      <w:r>
        <w:rPr>
          <w:color w:val="231F20"/>
          <w:spacing w:val="29"/>
          <w:w w:val="105"/>
        </w:rPr>
        <w:t> </w:t>
      </w:r>
      <w:r>
        <w:rPr>
          <w:color w:val="231F20"/>
          <w:w w:val="105"/>
        </w:rPr>
        <w:t>a</w:t>
      </w:r>
      <w:r>
        <w:rPr>
          <w:color w:val="231F20"/>
          <w:spacing w:val="29"/>
          <w:w w:val="105"/>
        </w:rPr>
        <w:t> </w:t>
      </w:r>
      <w:r>
        <w:rPr>
          <w:color w:val="231F20"/>
          <w:w w:val="105"/>
        </w:rPr>
        <w:t>2</w:t>
      </w:r>
      <w:r>
        <w:rPr>
          <w:color w:val="231F20"/>
          <w:spacing w:val="29"/>
          <w:w w:val="105"/>
        </w:rPr>
        <w:t> </w:t>
      </w:r>
      <w:r>
        <w:rPr>
          <w:color w:val="231F20"/>
          <w:w w:val="105"/>
        </w:rPr>
        <w:t>134</w:t>
      </w:r>
      <w:r>
        <w:rPr>
          <w:color w:val="231F20"/>
          <w:spacing w:val="29"/>
          <w:w w:val="105"/>
        </w:rPr>
        <w:t> </w:t>
      </w:r>
      <w:r>
        <w:rPr>
          <w:color w:val="231F20"/>
          <w:w w:val="105"/>
        </w:rPr>
        <w:t>millardos</w:t>
      </w:r>
      <w:r>
        <w:rPr>
          <w:color w:val="231F20"/>
          <w:spacing w:val="29"/>
          <w:w w:val="105"/>
        </w:rPr>
        <w:t> </w:t>
      </w:r>
      <w:r>
        <w:rPr>
          <w:color w:val="231F20"/>
          <w:w w:val="105"/>
        </w:rPr>
        <w:t>de</w:t>
      </w:r>
      <w:r>
        <w:rPr>
          <w:color w:val="231F20"/>
          <w:spacing w:val="29"/>
          <w:w w:val="105"/>
        </w:rPr>
        <w:t> </w:t>
      </w:r>
      <w:r>
        <w:rPr>
          <w:color w:val="231F20"/>
          <w:w w:val="105"/>
        </w:rPr>
        <w:t>dólares</w:t>
      </w:r>
      <w:r>
        <w:rPr>
          <w:color w:val="231F20"/>
          <w:spacing w:val="29"/>
          <w:w w:val="105"/>
        </w:rPr>
        <w:t> </w:t>
      </w:r>
      <w:r>
        <w:rPr>
          <w:color w:val="231F20"/>
          <w:w w:val="105"/>
        </w:rPr>
        <w:t>a</w:t>
      </w:r>
      <w:r>
        <w:rPr>
          <w:color w:val="231F20"/>
          <w:w w:val="108"/>
        </w:rPr>
        <w:t> </w:t>
      </w:r>
      <w:r>
        <w:rPr>
          <w:color w:val="231F20"/>
          <w:w w:val="105"/>
        </w:rPr>
        <w:t>finales</w:t>
      </w:r>
      <w:r>
        <w:rPr>
          <w:color w:val="231F20"/>
          <w:spacing w:val="20"/>
          <w:w w:val="105"/>
        </w:rPr>
        <w:t> </w:t>
      </w:r>
      <w:r>
        <w:rPr>
          <w:color w:val="231F20"/>
          <w:w w:val="105"/>
        </w:rPr>
        <w:t>de</w:t>
      </w:r>
      <w:r>
        <w:rPr>
          <w:color w:val="231F20"/>
          <w:spacing w:val="20"/>
          <w:w w:val="105"/>
        </w:rPr>
        <w:t> </w:t>
      </w:r>
      <w:r>
        <w:rPr>
          <w:color w:val="231F20"/>
          <w:w w:val="105"/>
        </w:rPr>
        <w:t>2008.</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caso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países</w:t>
      </w:r>
      <w:r>
        <w:rPr>
          <w:color w:val="231F20"/>
          <w:spacing w:val="20"/>
          <w:w w:val="105"/>
        </w:rPr>
        <w:t> </w:t>
      </w:r>
      <w:r>
        <w:rPr>
          <w:color w:val="231F20"/>
          <w:w w:val="105"/>
        </w:rPr>
        <w:t>exportadores</w:t>
      </w:r>
      <w:r>
        <w:rPr>
          <w:color w:val="231F20"/>
          <w:spacing w:val="20"/>
          <w:w w:val="105"/>
        </w:rPr>
        <w:t> </w:t>
      </w:r>
      <w:r>
        <w:rPr>
          <w:color w:val="231F20"/>
          <w:w w:val="105"/>
        </w:rPr>
        <w:t>de</w:t>
      </w:r>
      <w:r>
        <w:rPr>
          <w:color w:val="231F20"/>
          <w:spacing w:val="20"/>
          <w:w w:val="105"/>
        </w:rPr>
        <w:t> </w:t>
      </w:r>
      <w:r>
        <w:rPr>
          <w:color w:val="231F20"/>
          <w:w w:val="105"/>
        </w:rPr>
        <w:t>petróleo,</w:t>
      </w:r>
      <w:r>
        <w:rPr>
          <w:color w:val="231F20"/>
          <w:spacing w:val="20"/>
          <w:w w:val="105"/>
        </w:rPr>
        <w:t> </w:t>
      </w:r>
      <w:r>
        <w:rPr>
          <w:color w:val="231F20"/>
          <w:w w:val="105"/>
        </w:rPr>
        <w:t>el</w:t>
      </w:r>
      <w:r>
        <w:rPr>
          <w:color w:val="231F20"/>
          <w:spacing w:val="-2"/>
          <w:w w:val="108"/>
        </w:rPr>
        <w:t> </w:t>
      </w:r>
      <w:r>
        <w:rPr>
          <w:color w:val="231F20"/>
          <w:w w:val="105"/>
        </w:rPr>
        <w:t>incremento</w:t>
      </w:r>
      <w:r>
        <w:rPr>
          <w:color w:val="231F20"/>
          <w:spacing w:val="35"/>
          <w:w w:val="105"/>
        </w:rPr>
        <w:t> </w:t>
      </w:r>
      <w:r>
        <w:rPr>
          <w:color w:val="231F20"/>
          <w:w w:val="105"/>
        </w:rPr>
        <w:t>fue</w:t>
      </w:r>
      <w:r>
        <w:rPr>
          <w:color w:val="231F20"/>
          <w:spacing w:val="35"/>
          <w:w w:val="105"/>
        </w:rPr>
        <w:t> </w:t>
      </w:r>
      <w:r>
        <w:rPr>
          <w:color w:val="231F20"/>
          <w:w w:val="105"/>
        </w:rPr>
        <w:t>de</w:t>
      </w:r>
      <w:r>
        <w:rPr>
          <w:color w:val="231F20"/>
          <w:spacing w:val="35"/>
          <w:w w:val="105"/>
        </w:rPr>
        <w:t> </w:t>
      </w:r>
      <w:r>
        <w:rPr>
          <w:color w:val="231F20"/>
          <w:w w:val="105"/>
        </w:rPr>
        <w:t>una</w:t>
      </w:r>
      <w:r>
        <w:rPr>
          <w:color w:val="231F20"/>
          <w:spacing w:val="35"/>
          <w:w w:val="105"/>
        </w:rPr>
        <w:t> </w:t>
      </w:r>
      <w:r>
        <w:rPr>
          <w:color w:val="231F20"/>
          <w:w w:val="105"/>
        </w:rPr>
        <w:t>cuantía</w:t>
      </w:r>
      <w:r>
        <w:rPr>
          <w:color w:val="231F20"/>
          <w:spacing w:val="35"/>
          <w:w w:val="105"/>
        </w:rPr>
        <w:t> </w:t>
      </w:r>
      <w:r>
        <w:rPr>
          <w:color w:val="231F20"/>
          <w:spacing w:val="-4"/>
          <w:w w:val="105"/>
        </w:rPr>
        <w:t>similar,</w:t>
      </w:r>
      <w:r>
        <w:rPr>
          <w:color w:val="231F20"/>
          <w:spacing w:val="35"/>
          <w:w w:val="105"/>
        </w:rPr>
        <w:t> </w:t>
      </w:r>
      <w:r>
        <w:rPr>
          <w:color w:val="231F20"/>
          <w:w w:val="105"/>
        </w:rPr>
        <w:t>al</w:t>
      </w:r>
      <w:r>
        <w:rPr>
          <w:color w:val="231F20"/>
          <w:spacing w:val="35"/>
          <w:w w:val="105"/>
        </w:rPr>
        <w:t> </w:t>
      </w:r>
      <w:r>
        <w:rPr>
          <w:color w:val="231F20"/>
          <w:w w:val="105"/>
        </w:rPr>
        <w:t>pasar</w:t>
      </w:r>
      <w:r>
        <w:rPr>
          <w:color w:val="231F20"/>
          <w:spacing w:val="35"/>
          <w:w w:val="105"/>
        </w:rPr>
        <w:t> </w:t>
      </w:r>
      <w:r>
        <w:rPr>
          <w:color w:val="231F20"/>
          <w:w w:val="105"/>
        </w:rPr>
        <w:t>de</w:t>
      </w:r>
      <w:r>
        <w:rPr>
          <w:color w:val="231F20"/>
          <w:spacing w:val="35"/>
          <w:w w:val="105"/>
        </w:rPr>
        <w:t> </w:t>
      </w:r>
      <w:r>
        <w:rPr>
          <w:color w:val="231F20"/>
          <w:w w:val="105"/>
        </w:rPr>
        <w:t>290</w:t>
      </w:r>
      <w:r>
        <w:rPr>
          <w:color w:val="231F20"/>
          <w:spacing w:val="35"/>
          <w:w w:val="105"/>
        </w:rPr>
        <w:t> </w:t>
      </w:r>
      <w:r>
        <w:rPr>
          <w:color w:val="231F20"/>
          <w:w w:val="105"/>
        </w:rPr>
        <w:t>millardos</w:t>
      </w:r>
      <w:r>
        <w:rPr>
          <w:color w:val="231F20"/>
          <w:spacing w:val="35"/>
          <w:w w:val="105"/>
        </w:rPr>
        <w:t> </w:t>
      </w:r>
      <w:r>
        <w:rPr>
          <w:color w:val="231F20"/>
          <w:w w:val="105"/>
        </w:rPr>
        <w:t>de</w:t>
      </w:r>
      <w:r>
        <w:rPr>
          <w:color w:val="231F20"/>
          <w:spacing w:val="-2"/>
          <w:w w:val="114"/>
        </w:rPr>
        <w:t> </w:t>
      </w:r>
      <w:r>
        <w:rPr>
          <w:color w:val="231F20"/>
          <w:w w:val="105"/>
        </w:rPr>
        <w:t>dólares a 1 480 millardos durante el mismo periodo (imf,</w:t>
      </w:r>
      <w:r>
        <w:rPr>
          <w:color w:val="231F20"/>
          <w:spacing w:val="10"/>
          <w:w w:val="105"/>
        </w:rPr>
        <w:t> </w:t>
      </w:r>
      <w:r>
        <w:rPr>
          <w:color w:val="231F20"/>
          <w:w w:val="105"/>
        </w:rPr>
        <w:t>2009b:</w:t>
      </w:r>
      <w:r>
        <w:rPr>
          <w:color w:val="231F20"/>
          <w:spacing w:val="6"/>
          <w:w w:val="105"/>
        </w:rPr>
        <w:t> </w:t>
      </w:r>
      <w:r>
        <w:rPr>
          <w:color w:val="231F20"/>
          <w:w w:val="105"/>
        </w:rPr>
        <w:t>214).</w:t>
      </w:r>
      <w:r>
        <w:rPr>
          <w:color w:val="231F20"/>
          <w:spacing w:val="-2"/>
          <w:w w:val="108"/>
        </w:rPr>
        <w:t> </w:t>
      </w:r>
      <w:r>
        <w:rPr>
          <w:color w:val="231F20"/>
          <w:w w:val="105"/>
        </w:rPr>
        <w:t>El</w:t>
      </w:r>
      <w:r>
        <w:rPr>
          <w:color w:val="231F20"/>
          <w:spacing w:val="20"/>
          <w:w w:val="105"/>
        </w:rPr>
        <w:t> </w:t>
      </w:r>
      <w:r>
        <w:rPr>
          <w:color w:val="231F20"/>
          <w:w w:val="105"/>
        </w:rPr>
        <w:t>tercer</w:t>
      </w:r>
      <w:r>
        <w:rPr>
          <w:color w:val="231F20"/>
          <w:spacing w:val="20"/>
          <w:w w:val="105"/>
        </w:rPr>
        <w:t> </w:t>
      </w:r>
      <w:r>
        <w:rPr>
          <w:color w:val="231F20"/>
          <w:w w:val="105"/>
        </w:rPr>
        <w:t>elemento</w:t>
      </w:r>
      <w:r>
        <w:rPr>
          <w:color w:val="231F20"/>
          <w:spacing w:val="20"/>
          <w:w w:val="105"/>
        </w:rPr>
        <w:t> </w:t>
      </w:r>
      <w:r>
        <w:rPr>
          <w:color w:val="231F20"/>
          <w:w w:val="105"/>
        </w:rPr>
        <w:t>fue</w:t>
      </w:r>
      <w:r>
        <w:rPr>
          <w:color w:val="231F20"/>
          <w:spacing w:val="20"/>
          <w:w w:val="105"/>
        </w:rPr>
        <w:t> </w:t>
      </w:r>
      <w:r>
        <w:rPr>
          <w:color w:val="231F20"/>
          <w:w w:val="105"/>
        </w:rPr>
        <w:t>el</w:t>
      </w:r>
      <w:r>
        <w:rPr>
          <w:color w:val="231F20"/>
          <w:spacing w:val="20"/>
          <w:w w:val="105"/>
        </w:rPr>
        <w:t> </w:t>
      </w:r>
      <w:r>
        <w:rPr>
          <w:color w:val="231F20"/>
          <w:w w:val="105"/>
        </w:rPr>
        <w:t>constante</w:t>
      </w:r>
      <w:r>
        <w:rPr>
          <w:color w:val="231F20"/>
          <w:spacing w:val="20"/>
          <w:w w:val="105"/>
        </w:rPr>
        <w:t> </w:t>
      </w:r>
      <w:r>
        <w:rPr>
          <w:color w:val="231F20"/>
          <w:w w:val="105"/>
        </w:rPr>
        <w:t>declive</w:t>
      </w:r>
      <w:r>
        <w:rPr>
          <w:color w:val="231F20"/>
          <w:spacing w:val="20"/>
          <w:w w:val="105"/>
        </w:rPr>
        <w:t> </w:t>
      </w:r>
      <w:r>
        <w:rPr>
          <w:color w:val="231F20"/>
          <w:w w:val="105"/>
        </w:rPr>
        <w:t>del</w:t>
      </w:r>
      <w:r>
        <w:rPr>
          <w:color w:val="231F20"/>
          <w:spacing w:val="20"/>
          <w:w w:val="105"/>
        </w:rPr>
        <w:t> </w:t>
      </w:r>
      <w:r>
        <w:rPr>
          <w:color w:val="231F20"/>
          <w:w w:val="105"/>
        </w:rPr>
        <w:t>valor</w:t>
      </w:r>
      <w:r>
        <w:rPr>
          <w:color w:val="231F20"/>
          <w:spacing w:val="20"/>
          <w:w w:val="105"/>
        </w:rPr>
        <w:t> </w:t>
      </w:r>
      <w:r>
        <w:rPr>
          <w:color w:val="231F20"/>
          <w:w w:val="105"/>
        </w:rPr>
        <w:t>del</w:t>
      </w:r>
      <w:r>
        <w:rPr>
          <w:color w:val="231F20"/>
          <w:spacing w:val="20"/>
          <w:w w:val="105"/>
        </w:rPr>
        <w:t> </w:t>
      </w:r>
      <w:r>
        <w:rPr>
          <w:color w:val="231F20"/>
          <w:w w:val="105"/>
        </w:rPr>
        <w:t>dólar</w:t>
      </w:r>
      <w:r>
        <w:rPr>
          <w:color w:val="231F20"/>
          <w:spacing w:val="20"/>
          <w:w w:val="105"/>
        </w:rPr>
        <w:t> </w:t>
      </w:r>
      <w:r>
        <w:rPr>
          <w:color w:val="231F20"/>
          <w:w w:val="105"/>
        </w:rPr>
        <w:t>a</w:t>
      </w:r>
      <w:r>
        <w:rPr>
          <w:color w:val="231F20"/>
          <w:spacing w:val="20"/>
          <w:w w:val="105"/>
        </w:rPr>
        <w:t> </w:t>
      </w:r>
      <w:r>
        <w:rPr>
          <w:color w:val="231F20"/>
          <w:w w:val="105"/>
        </w:rPr>
        <w:t>lo</w:t>
      </w:r>
      <w:r>
        <w:rPr>
          <w:color w:val="231F20"/>
          <w:w w:val="107"/>
        </w:rPr>
        <w:t> </w:t>
      </w:r>
      <w:r>
        <w:rPr>
          <w:color w:val="231F20"/>
          <w:w w:val="105"/>
        </w:rPr>
        <w:t>largo</w:t>
      </w:r>
      <w:r>
        <w:rPr>
          <w:color w:val="231F20"/>
          <w:spacing w:val="42"/>
          <w:w w:val="105"/>
        </w:rPr>
        <w:t> </w:t>
      </w:r>
      <w:r>
        <w:rPr>
          <w:color w:val="231F20"/>
          <w:w w:val="105"/>
        </w:rPr>
        <w:t>del</w:t>
      </w:r>
      <w:r>
        <w:rPr>
          <w:color w:val="231F20"/>
          <w:spacing w:val="42"/>
          <w:w w:val="105"/>
        </w:rPr>
        <w:t> </w:t>
      </w:r>
      <w:r>
        <w:rPr>
          <w:color w:val="231F20"/>
          <w:w w:val="105"/>
        </w:rPr>
        <w:t>decenio.</w:t>
      </w:r>
      <w:r>
        <w:rPr>
          <w:color w:val="231F20"/>
          <w:spacing w:val="42"/>
          <w:w w:val="105"/>
        </w:rPr>
        <w:t> </w:t>
      </w:r>
      <w:r>
        <w:rPr>
          <w:color w:val="231F20"/>
          <w:w w:val="105"/>
        </w:rPr>
        <w:t>En</w:t>
      </w:r>
      <w:r>
        <w:rPr>
          <w:color w:val="231F20"/>
          <w:spacing w:val="42"/>
          <w:w w:val="105"/>
        </w:rPr>
        <w:t> </w:t>
      </w:r>
      <w:r>
        <w:rPr>
          <w:color w:val="231F20"/>
          <w:w w:val="105"/>
        </w:rPr>
        <w:t>la</w:t>
      </w:r>
      <w:r>
        <w:rPr>
          <w:color w:val="231F20"/>
          <w:spacing w:val="42"/>
          <w:w w:val="105"/>
        </w:rPr>
        <w:t> </w:t>
      </w:r>
      <w:r>
        <w:rPr>
          <w:color w:val="231F20"/>
          <w:w w:val="105"/>
        </w:rPr>
        <w:t>medida</w:t>
      </w:r>
      <w:r>
        <w:rPr>
          <w:color w:val="231F20"/>
          <w:spacing w:val="42"/>
          <w:w w:val="105"/>
        </w:rPr>
        <w:t> </w:t>
      </w:r>
      <w:r>
        <w:rPr>
          <w:color w:val="231F20"/>
          <w:w w:val="105"/>
        </w:rPr>
        <w:t>en</w:t>
      </w:r>
      <w:r>
        <w:rPr>
          <w:color w:val="231F20"/>
          <w:spacing w:val="42"/>
          <w:w w:val="105"/>
        </w:rPr>
        <w:t> </w:t>
      </w:r>
      <w:r>
        <w:rPr>
          <w:color w:val="231F20"/>
          <w:w w:val="105"/>
        </w:rPr>
        <w:t>que</w:t>
      </w:r>
      <w:r>
        <w:rPr>
          <w:color w:val="231F20"/>
          <w:spacing w:val="42"/>
          <w:w w:val="105"/>
        </w:rPr>
        <w:t> </w:t>
      </w:r>
      <w:r>
        <w:rPr>
          <w:color w:val="231F20"/>
          <w:w w:val="105"/>
        </w:rPr>
        <w:t>la</w:t>
      </w:r>
      <w:r>
        <w:rPr>
          <w:color w:val="231F20"/>
          <w:spacing w:val="42"/>
          <w:w w:val="105"/>
        </w:rPr>
        <w:t> </w:t>
      </w:r>
      <w:r>
        <w:rPr>
          <w:color w:val="231F20"/>
          <w:w w:val="105"/>
        </w:rPr>
        <w:t>recuperación</w:t>
      </w:r>
      <w:r>
        <w:rPr>
          <w:color w:val="231F20"/>
          <w:spacing w:val="42"/>
          <w:w w:val="105"/>
        </w:rPr>
        <w:t> </w:t>
      </w:r>
      <w:r>
        <w:rPr>
          <w:color w:val="231F20"/>
          <w:w w:val="105"/>
        </w:rPr>
        <w:t>económica</w:t>
      </w:r>
      <w:r>
        <w:rPr>
          <w:color w:val="231F20"/>
          <w:w w:val="109"/>
        </w:rPr>
        <w:t> </w:t>
      </w:r>
      <w:r>
        <w:rPr>
          <w:color w:val="231F20"/>
          <w:w w:val="105"/>
        </w:rPr>
        <w:t>de la recesión del año 2001 tuvo lugar en los Estados Unidos,</w:t>
      </w:r>
      <w:r>
        <w:rPr>
          <w:color w:val="231F20"/>
          <w:spacing w:val="25"/>
          <w:w w:val="105"/>
        </w:rPr>
        <w:t> </w:t>
      </w:r>
      <w:r>
        <w:rPr>
          <w:color w:val="231F20"/>
          <w:w w:val="105"/>
        </w:rPr>
        <w:t>el</w:t>
      </w:r>
      <w:r>
        <w:rPr>
          <w:color w:val="231F20"/>
          <w:spacing w:val="10"/>
          <w:w w:val="105"/>
        </w:rPr>
        <w:t> </w:t>
      </w:r>
      <w:r>
        <w:rPr>
          <w:color w:val="231F20"/>
          <w:w w:val="105"/>
        </w:rPr>
        <w:t>dólar</w:t>
      </w:r>
      <w:r>
        <w:rPr>
          <w:color w:val="231F20"/>
          <w:w w:val="111"/>
        </w:rPr>
        <w:t> </w:t>
      </w:r>
      <w:r>
        <w:rPr>
          <w:color w:val="231F20"/>
          <w:w w:val="105"/>
        </w:rPr>
        <w:t>experimentó</w:t>
      </w:r>
      <w:r>
        <w:rPr>
          <w:color w:val="231F20"/>
          <w:spacing w:val="39"/>
          <w:w w:val="105"/>
        </w:rPr>
        <w:t> </w:t>
      </w:r>
      <w:r>
        <w:rPr>
          <w:color w:val="231F20"/>
          <w:w w:val="105"/>
        </w:rPr>
        <w:t>una</w:t>
      </w:r>
      <w:r>
        <w:rPr>
          <w:color w:val="231F20"/>
          <w:spacing w:val="39"/>
          <w:w w:val="105"/>
        </w:rPr>
        <w:t> </w:t>
      </w:r>
      <w:r>
        <w:rPr>
          <w:color w:val="231F20"/>
          <w:w w:val="105"/>
        </w:rPr>
        <w:t>depreciación</w:t>
      </w:r>
      <w:r>
        <w:rPr>
          <w:color w:val="231F20"/>
          <w:spacing w:val="39"/>
          <w:w w:val="105"/>
        </w:rPr>
        <w:t> </w:t>
      </w:r>
      <w:r>
        <w:rPr>
          <w:color w:val="231F20"/>
          <w:w w:val="105"/>
        </w:rPr>
        <w:t>nominal</w:t>
      </w:r>
      <w:r>
        <w:rPr>
          <w:color w:val="231F20"/>
          <w:spacing w:val="39"/>
          <w:w w:val="105"/>
        </w:rPr>
        <w:t> </w:t>
      </w:r>
      <w:r>
        <w:rPr>
          <w:color w:val="231F20"/>
          <w:w w:val="105"/>
        </w:rPr>
        <w:t>cercana</w:t>
      </w:r>
      <w:r>
        <w:rPr>
          <w:color w:val="231F20"/>
          <w:spacing w:val="39"/>
          <w:w w:val="105"/>
        </w:rPr>
        <w:t> </w:t>
      </w:r>
      <w:r>
        <w:rPr>
          <w:color w:val="231F20"/>
          <w:w w:val="105"/>
        </w:rPr>
        <w:t>al</w:t>
      </w:r>
      <w:r>
        <w:rPr>
          <w:color w:val="231F20"/>
          <w:spacing w:val="39"/>
          <w:w w:val="105"/>
        </w:rPr>
        <w:t> </w:t>
      </w:r>
      <w:r>
        <w:rPr>
          <w:color w:val="231F20"/>
          <w:w w:val="105"/>
        </w:rPr>
        <w:t>30%</w:t>
      </w:r>
      <w:r>
        <w:rPr>
          <w:color w:val="231F20"/>
          <w:spacing w:val="39"/>
          <w:w w:val="105"/>
        </w:rPr>
        <w:t> </w:t>
      </w:r>
      <w:r>
        <w:rPr>
          <w:color w:val="231F20"/>
          <w:w w:val="105"/>
        </w:rPr>
        <w:t>entre</w:t>
      </w:r>
      <w:r>
        <w:rPr>
          <w:color w:val="231F20"/>
          <w:spacing w:val="39"/>
          <w:w w:val="105"/>
        </w:rPr>
        <w:t> </w:t>
      </w:r>
      <w:r>
        <w:rPr>
          <w:color w:val="231F20"/>
          <w:w w:val="105"/>
        </w:rPr>
        <w:t>el</w:t>
      </w:r>
      <w:r>
        <w:rPr>
          <w:color w:val="231F20"/>
          <w:spacing w:val="39"/>
          <w:w w:val="105"/>
        </w:rPr>
        <w:t> </w:t>
      </w:r>
      <w:r>
        <w:rPr>
          <w:color w:val="231F20"/>
          <w:w w:val="105"/>
        </w:rPr>
        <w:t>año</w:t>
      </w:r>
    </w:p>
    <w:p>
      <w:pPr>
        <w:pStyle w:val="BodyText"/>
        <w:ind w:left="100"/>
        <w:jc w:val="both"/>
      </w:pPr>
      <w:r>
        <w:rPr>
          <w:color w:val="231F20"/>
          <w:w w:val="105"/>
        </w:rPr>
        <w:t>2002 y el segundo cuarto del 2008 (imf, 2009: 169).</w:t>
      </w:r>
    </w:p>
    <w:p>
      <w:pPr>
        <w:pStyle w:val="BodyText"/>
        <w:spacing w:line="261" w:lineRule="auto" w:before="20"/>
        <w:ind w:left="100" w:right="117" w:firstLine="240"/>
        <w:jc w:val="both"/>
      </w:pPr>
      <w:r>
        <w:rPr>
          <w:color w:val="231F20"/>
          <w:w w:val="110"/>
        </w:rPr>
        <w:t>Estos elementos, tomados en conjunto, llevaron a diferentes ob- servadores a apuntar que una crisis de financiamiento del déficit de cuenta corriente americano era cuestión de tiempo (Cline, 2005). El argumento clave de dicha posición se basaba en la percepción que</w:t>
      </w:r>
      <w:r>
        <w:rPr>
          <w:color w:val="231F20"/>
          <w:spacing w:val="-31"/>
          <w:w w:val="110"/>
        </w:rPr>
        <w:t> </w:t>
      </w:r>
      <w:r>
        <w:rPr>
          <w:color w:val="231F20"/>
          <w:w w:val="110"/>
        </w:rPr>
        <w:t>la</w:t>
      </w:r>
    </w:p>
    <w:p>
      <w:pPr>
        <w:pStyle w:val="BodyText"/>
        <w:rPr>
          <w:sz w:val="15"/>
        </w:rPr>
      </w:pPr>
    </w:p>
    <w:p>
      <w:pPr>
        <w:pStyle w:val="BodyText"/>
        <w:spacing w:before="67"/>
        <w:ind w:left="113" w:right="132"/>
        <w:jc w:val="center"/>
      </w:pPr>
      <w:r>
        <w:rPr>
          <w:color w:val="231F20"/>
          <w:w w:val="120"/>
        </w:rPr>
        <w:t>[210]</w:t>
      </w:r>
    </w:p>
    <w:p>
      <w:pPr>
        <w:spacing w:after="0"/>
        <w:jc w:val="center"/>
        <w:sectPr>
          <w:headerReference w:type="even" r:id="rId155"/>
          <w:pgSz w:w="7640" w:h="11900"/>
          <w:pgMar w:header="0" w:footer="0" w:top="1000" w:bottom="280" w:left="780" w:right="640"/>
        </w:sectPr>
      </w:pPr>
    </w:p>
    <w:p>
      <w:pPr>
        <w:pStyle w:val="BodyText"/>
        <w:spacing w:before="8"/>
        <w:rPr>
          <w:sz w:val="8"/>
        </w:rPr>
      </w:pPr>
    </w:p>
    <w:p>
      <w:pPr>
        <w:pStyle w:val="BodyText"/>
        <w:spacing w:line="261" w:lineRule="auto" w:before="67"/>
        <w:ind w:left="100" w:right="113"/>
        <w:jc w:val="both"/>
      </w:pPr>
      <w:r>
        <w:rPr>
          <w:color w:val="231F20"/>
          <w:w w:val="110"/>
        </w:rPr>
        <w:t>creciente</w:t>
      </w:r>
      <w:r>
        <w:rPr>
          <w:color w:val="231F20"/>
          <w:spacing w:val="-7"/>
          <w:w w:val="110"/>
        </w:rPr>
        <w:t> </w:t>
      </w:r>
      <w:r>
        <w:rPr>
          <w:color w:val="231F20"/>
          <w:w w:val="110"/>
        </w:rPr>
        <w:t>dependencia</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para</w:t>
      </w:r>
      <w:r>
        <w:rPr>
          <w:color w:val="231F20"/>
          <w:spacing w:val="-7"/>
          <w:w w:val="110"/>
        </w:rPr>
        <w:t> </w:t>
      </w:r>
      <w:r>
        <w:rPr>
          <w:color w:val="231F20"/>
          <w:w w:val="110"/>
        </w:rPr>
        <w:t>financiar</w:t>
      </w:r>
      <w:r>
        <w:rPr>
          <w:color w:val="231F20"/>
          <w:spacing w:val="-7"/>
          <w:w w:val="110"/>
        </w:rPr>
        <w:t> </w:t>
      </w:r>
      <w:r>
        <w:rPr>
          <w:color w:val="231F20"/>
          <w:w w:val="110"/>
        </w:rPr>
        <w:t>el</w:t>
      </w:r>
      <w:r>
        <w:rPr>
          <w:color w:val="231F20"/>
          <w:spacing w:val="-7"/>
          <w:w w:val="110"/>
        </w:rPr>
        <w:t> </w:t>
      </w:r>
      <w:r>
        <w:rPr>
          <w:color w:val="231F20"/>
          <w:w w:val="110"/>
        </w:rPr>
        <w:t>déficit en crecimiento de un grupo cada vez más reducido de acreedores forzaría</w:t>
      </w:r>
      <w:r>
        <w:rPr>
          <w:color w:val="231F20"/>
          <w:spacing w:val="-10"/>
          <w:w w:val="110"/>
        </w:rPr>
        <w:t> </w:t>
      </w:r>
      <w:r>
        <w:rPr>
          <w:color w:val="231F20"/>
          <w:w w:val="110"/>
        </w:rPr>
        <w:t>a</w:t>
      </w:r>
      <w:r>
        <w:rPr>
          <w:color w:val="231F20"/>
          <w:spacing w:val="-10"/>
          <w:w w:val="110"/>
        </w:rPr>
        <w:t> </w:t>
      </w:r>
      <w:r>
        <w:rPr>
          <w:color w:val="231F20"/>
          <w:w w:val="110"/>
        </w:rPr>
        <w:t>estos</w:t>
      </w:r>
      <w:r>
        <w:rPr>
          <w:color w:val="231F20"/>
          <w:spacing w:val="-10"/>
          <w:w w:val="110"/>
        </w:rPr>
        <w:t> </w:t>
      </w:r>
      <w:r>
        <w:rPr>
          <w:color w:val="231F20"/>
          <w:w w:val="110"/>
        </w:rPr>
        <w:t>últimos</w:t>
      </w:r>
      <w:r>
        <w:rPr>
          <w:color w:val="231F20"/>
          <w:spacing w:val="-10"/>
          <w:w w:val="110"/>
        </w:rPr>
        <w:t> </w:t>
      </w:r>
      <w:r>
        <w:rPr>
          <w:color w:val="231F20"/>
          <w:w w:val="110"/>
        </w:rPr>
        <w:t>a</w:t>
      </w:r>
      <w:r>
        <w:rPr>
          <w:color w:val="231F20"/>
          <w:spacing w:val="-10"/>
          <w:w w:val="110"/>
        </w:rPr>
        <w:t> </w:t>
      </w:r>
      <w:r>
        <w:rPr>
          <w:color w:val="231F20"/>
          <w:w w:val="110"/>
        </w:rPr>
        <w:t>emprender</w:t>
      </w:r>
      <w:r>
        <w:rPr>
          <w:color w:val="231F20"/>
          <w:spacing w:val="-10"/>
          <w:w w:val="110"/>
        </w:rPr>
        <w:t> </w:t>
      </w:r>
      <w:r>
        <w:rPr>
          <w:color w:val="231F20"/>
          <w:w w:val="110"/>
        </w:rPr>
        <w:t>un</w:t>
      </w:r>
      <w:r>
        <w:rPr>
          <w:color w:val="231F20"/>
          <w:spacing w:val="-10"/>
          <w:w w:val="110"/>
        </w:rPr>
        <w:t> </w:t>
      </w:r>
      <w:r>
        <w:rPr>
          <w:color w:val="231F20"/>
          <w:w w:val="110"/>
        </w:rPr>
        <w:t>proceso</w:t>
      </w:r>
      <w:r>
        <w:rPr>
          <w:color w:val="231F20"/>
          <w:spacing w:val="-10"/>
          <w:w w:val="110"/>
        </w:rPr>
        <w:t> </w:t>
      </w:r>
      <w:r>
        <w:rPr>
          <w:color w:val="231F20"/>
          <w:w w:val="110"/>
        </w:rPr>
        <w:t>de</w:t>
      </w:r>
      <w:r>
        <w:rPr>
          <w:color w:val="231F20"/>
          <w:spacing w:val="-10"/>
          <w:w w:val="110"/>
        </w:rPr>
        <w:t> </w:t>
      </w:r>
      <w:r>
        <w:rPr>
          <w:color w:val="231F20"/>
          <w:w w:val="110"/>
        </w:rPr>
        <w:t>diversificación</w:t>
      </w:r>
      <w:r>
        <w:rPr>
          <w:color w:val="231F20"/>
          <w:spacing w:val="-10"/>
          <w:w w:val="110"/>
        </w:rPr>
        <w:t> </w:t>
      </w:r>
      <w:r>
        <w:rPr>
          <w:color w:val="231F20"/>
          <w:w w:val="110"/>
        </w:rPr>
        <w:t>de su portafolio de inversiones con el objetivo de reducir su exposición al dólar estadunidense. En un escenario caracterizado por la caída del valor de dicha moneda, la reducción en la demanda de activos denominados en dólares causaría un incremento en las tasas de inte- rés requeridas por los inversores internacionales para compensar</w:t>
      </w:r>
      <w:r>
        <w:rPr>
          <w:color w:val="231F20"/>
          <w:spacing w:val="-24"/>
          <w:w w:val="110"/>
        </w:rPr>
        <w:t> </w:t>
      </w:r>
      <w:r>
        <w:rPr>
          <w:color w:val="231F20"/>
          <w:w w:val="110"/>
        </w:rPr>
        <w:t>por el incremento en el riesgo percibido. El alza en las tasas de interés tendría a su vez un efecto devastador sobre las necesidades de</w:t>
      </w:r>
      <w:r>
        <w:rPr>
          <w:color w:val="231F20"/>
          <w:spacing w:val="-33"/>
          <w:w w:val="110"/>
        </w:rPr>
        <w:t> </w:t>
      </w:r>
      <w:r>
        <w:rPr>
          <w:color w:val="231F20"/>
          <w:w w:val="110"/>
        </w:rPr>
        <w:t>finan- ciamiento estadunidenses, al incrementar los recursos requeridos para reembolsar los recursos recibidos del exterior dando lugar así  a un esquema ponzi internacional. En el mismo, la capacidad de Estados Unidos de refinanciar su deuda, manteniendo el dólar como moneda de referencia del sistema financiero internacional, pasaría   a depender de la voluntad de sus acreedores, fundamentalmente China, de seguir adquiriendo activos denominados en </w:t>
      </w:r>
      <w:r>
        <w:rPr>
          <w:color w:val="231F20"/>
          <w:spacing w:val="20"/>
          <w:w w:val="110"/>
        </w:rPr>
        <w:t> </w:t>
      </w:r>
      <w:r>
        <w:rPr>
          <w:color w:val="231F20"/>
          <w:w w:val="110"/>
        </w:rPr>
        <w:t>dólares.</w:t>
      </w:r>
    </w:p>
    <w:p>
      <w:pPr>
        <w:pStyle w:val="BodyText"/>
        <w:spacing w:line="261" w:lineRule="auto"/>
        <w:ind w:left="100" w:right="113" w:firstLine="240"/>
        <w:jc w:val="both"/>
        <w:rPr>
          <w:sz w:val="13"/>
        </w:rPr>
      </w:pPr>
      <w:r>
        <w:rPr>
          <w:color w:val="231F20"/>
          <w:w w:val="110"/>
        </w:rPr>
        <w:t>De esta forma, mientras la atención de los principales</w:t>
      </w:r>
      <w:r>
        <w:rPr>
          <w:color w:val="231F20"/>
          <w:spacing w:val="-20"/>
          <w:w w:val="110"/>
        </w:rPr>
        <w:t> </w:t>
      </w:r>
      <w:r>
        <w:rPr>
          <w:color w:val="231F20"/>
          <w:w w:val="110"/>
        </w:rPr>
        <w:t>organismos financieros internacionales se concentró en el seguimiento de la evolución de los balances de cuenta corriente globales, así como en los efectos inflacionarios del prolongado ciclo económico, como </w:t>
      </w:r>
      <w:r>
        <w:rPr>
          <w:color w:val="231F20"/>
          <w:spacing w:val="-2"/>
          <w:w w:val="110"/>
        </w:rPr>
        <w:t>las </w:t>
      </w:r>
      <w:r>
        <w:rPr>
          <w:color w:val="231F20"/>
          <w:w w:val="110"/>
        </w:rPr>
        <w:t>principales</w:t>
      </w:r>
      <w:r>
        <w:rPr>
          <w:color w:val="231F20"/>
          <w:spacing w:val="-23"/>
          <w:w w:val="110"/>
        </w:rPr>
        <w:t> </w:t>
      </w:r>
      <w:r>
        <w:rPr>
          <w:color w:val="231F20"/>
          <w:w w:val="110"/>
        </w:rPr>
        <w:t>amenazas</w:t>
      </w:r>
      <w:r>
        <w:rPr>
          <w:color w:val="231F20"/>
          <w:spacing w:val="-23"/>
          <w:w w:val="110"/>
        </w:rPr>
        <w:t> </w:t>
      </w:r>
      <w:r>
        <w:rPr>
          <w:color w:val="231F20"/>
          <w:w w:val="110"/>
        </w:rPr>
        <w:t>para</w:t>
      </w:r>
      <w:r>
        <w:rPr>
          <w:color w:val="231F20"/>
          <w:spacing w:val="-23"/>
          <w:w w:val="110"/>
        </w:rPr>
        <w:t> </w:t>
      </w:r>
      <w:r>
        <w:rPr>
          <w:color w:val="231F20"/>
          <w:w w:val="110"/>
        </w:rPr>
        <w:t>la</w:t>
      </w:r>
      <w:r>
        <w:rPr>
          <w:color w:val="231F20"/>
          <w:spacing w:val="-23"/>
          <w:w w:val="110"/>
        </w:rPr>
        <w:t> </w:t>
      </w:r>
      <w:r>
        <w:rPr>
          <w:color w:val="231F20"/>
          <w:w w:val="110"/>
        </w:rPr>
        <w:t>economía</w:t>
      </w:r>
      <w:r>
        <w:rPr>
          <w:color w:val="231F20"/>
          <w:spacing w:val="-23"/>
          <w:w w:val="110"/>
        </w:rPr>
        <w:t> </w:t>
      </w:r>
      <w:r>
        <w:rPr>
          <w:color w:val="231F20"/>
          <w:w w:val="110"/>
        </w:rPr>
        <w:t>global</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mediano</w:t>
      </w:r>
      <w:r>
        <w:rPr>
          <w:color w:val="231F20"/>
          <w:spacing w:val="-23"/>
          <w:w w:val="110"/>
        </w:rPr>
        <w:t> </w:t>
      </w:r>
      <w:r>
        <w:rPr>
          <w:color w:val="231F20"/>
          <w:w w:val="110"/>
        </w:rPr>
        <w:t>plazo,</w:t>
      </w:r>
      <w:r>
        <w:rPr>
          <w:color w:val="231F20"/>
          <w:spacing w:val="-23"/>
          <w:w w:val="110"/>
        </w:rPr>
        <w:t> </w:t>
      </w:r>
      <w:r>
        <w:rPr>
          <w:color w:val="231F20"/>
          <w:spacing w:val="-2"/>
          <w:w w:val="110"/>
        </w:rPr>
        <w:t>los </w:t>
      </w:r>
      <w:r>
        <w:rPr>
          <w:color w:val="231F20"/>
          <w:w w:val="110"/>
        </w:rPr>
        <w:t>peligros</w:t>
      </w:r>
      <w:r>
        <w:rPr>
          <w:color w:val="231F20"/>
          <w:spacing w:val="-33"/>
          <w:w w:val="110"/>
        </w:rPr>
        <w:t> </w:t>
      </w:r>
      <w:r>
        <w:rPr>
          <w:color w:val="231F20"/>
          <w:w w:val="110"/>
        </w:rPr>
        <w:t>asociados</w:t>
      </w:r>
      <w:r>
        <w:rPr>
          <w:color w:val="231F20"/>
          <w:spacing w:val="-33"/>
          <w:w w:val="110"/>
        </w:rPr>
        <w:t> </w:t>
      </w:r>
      <w:r>
        <w:rPr>
          <w:color w:val="231F20"/>
          <w:w w:val="110"/>
        </w:rPr>
        <w:t>con</w:t>
      </w:r>
      <w:r>
        <w:rPr>
          <w:color w:val="231F20"/>
          <w:spacing w:val="-33"/>
          <w:w w:val="110"/>
        </w:rPr>
        <w:t> </w:t>
      </w:r>
      <w:r>
        <w:rPr>
          <w:color w:val="231F20"/>
          <w:w w:val="110"/>
        </w:rPr>
        <w:t>la</w:t>
      </w:r>
      <w:r>
        <w:rPr>
          <w:color w:val="231F20"/>
          <w:spacing w:val="-33"/>
          <w:w w:val="110"/>
        </w:rPr>
        <w:t> </w:t>
      </w:r>
      <w:r>
        <w:rPr>
          <w:color w:val="231F20"/>
          <w:w w:val="110"/>
        </w:rPr>
        <w:t>masiva</w:t>
      </w:r>
      <w:r>
        <w:rPr>
          <w:color w:val="231F20"/>
          <w:spacing w:val="-33"/>
          <w:w w:val="110"/>
        </w:rPr>
        <w:t> </w:t>
      </w:r>
      <w:r>
        <w:rPr>
          <w:color w:val="231F20"/>
          <w:w w:val="110"/>
        </w:rPr>
        <w:t>expansión</w:t>
      </w:r>
      <w:r>
        <w:rPr>
          <w:color w:val="231F20"/>
          <w:spacing w:val="-33"/>
          <w:w w:val="110"/>
        </w:rPr>
        <w:t> </w:t>
      </w:r>
      <w:r>
        <w:rPr>
          <w:color w:val="231F20"/>
          <w:w w:val="110"/>
        </w:rPr>
        <w:t>de</w:t>
      </w:r>
      <w:r>
        <w:rPr>
          <w:color w:val="231F20"/>
          <w:spacing w:val="-33"/>
          <w:w w:val="110"/>
        </w:rPr>
        <w:t> </w:t>
      </w:r>
      <w:r>
        <w:rPr>
          <w:color w:val="231F20"/>
          <w:w w:val="110"/>
        </w:rPr>
        <w:t>derivados</w:t>
      </w:r>
      <w:r>
        <w:rPr>
          <w:color w:val="231F20"/>
          <w:spacing w:val="-33"/>
          <w:w w:val="110"/>
        </w:rPr>
        <w:t> </w:t>
      </w:r>
      <w:r>
        <w:rPr>
          <w:color w:val="231F20"/>
          <w:w w:val="110"/>
        </w:rPr>
        <w:t>financieros</w:t>
      </w:r>
      <w:r>
        <w:rPr>
          <w:color w:val="231F20"/>
          <w:spacing w:val="-33"/>
          <w:w w:val="110"/>
        </w:rPr>
        <w:t> </w:t>
      </w:r>
      <w:r>
        <w:rPr>
          <w:color w:val="231F20"/>
          <w:w w:val="110"/>
        </w:rPr>
        <w:t>en las</w:t>
      </w:r>
      <w:r>
        <w:rPr>
          <w:color w:val="231F20"/>
          <w:spacing w:val="-22"/>
          <w:w w:val="110"/>
        </w:rPr>
        <w:t> </w:t>
      </w:r>
      <w:r>
        <w:rPr>
          <w:color w:val="231F20"/>
          <w:w w:val="110"/>
        </w:rPr>
        <w:t>economías</w:t>
      </w:r>
      <w:r>
        <w:rPr>
          <w:color w:val="231F20"/>
          <w:spacing w:val="-22"/>
          <w:w w:val="110"/>
        </w:rPr>
        <w:t> </w:t>
      </w:r>
      <w:r>
        <w:rPr>
          <w:color w:val="231F20"/>
          <w:w w:val="110"/>
        </w:rPr>
        <w:t>desarrolladas</w:t>
      </w:r>
      <w:r>
        <w:rPr>
          <w:color w:val="231F20"/>
          <w:spacing w:val="-22"/>
          <w:w w:val="110"/>
        </w:rPr>
        <w:t> </w:t>
      </w:r>
      <w:r>
        <w:rPr>
          <w:color w:val="231F20"/>
          <w:w w:val="110"/>
        </w:rPr>
        <w:t>pasó</w:t>
      </w:r>
      <w:r>
        <w:rPr>
          <w:color w:val="231F20"/>
          <w:spacing w:val="-22"/>
          <w:w w:val="110"/>
        </w:rPr>
        <w:t> </w:t>
      </w:r>
      <w:r>
        <w:rPr>
          <w:color w:val="231F20"/>
          <w:w w:val="110"/>
        </w:rPr>
        <w:t>largamente</w:t>
      </w:r>
      <w:r>
        <w:rPr>
          <w:color w:val="231F20"/>
          <w:spacing w:val="-22"/>
          <w:w w:val="110"/>
        </w:rPr>
        <w:t> </w:t>
      </w:r>
      <w:r>
        <w:rPr>
          <w:color w:val="231F20"/>
          <w:w w:val="110"/>
        </w:rPr>
        <w:t>desapercibido.</w:t>
      </w:r>
      <w:r>
        <w:rPr>
          <w:color w:val="231F20"/>
          <w:w w:val="110"/>
          <w:position w:val="6"/>
          <w:sz w:val="13"/>
        </w:rPr>
        <w:t>1</w:t>
      </w:r>
    </w:p>
    <w:p>
      <w:pPr>
        <w:pStyle w:val="BodyText"/>
        <w:spacing w:line="261" w:lineRule="auto"/>
        <w:ind w:left="100" w:right="117" w:firstLine="240"/>
        <w:jc w:val="both"/>
      </w:pPr>
      <w:r>
        <w:rPr>
          <w:color w:val="231F20"/>
          <w:w w:val="110"/>
        </w:rPr>
        <w:t>A medida que la situación económica en Estados Unidos se de- terioraba, con el sucesivo colapso de diferentes instituciones finan- cieras, la atención rápidamente se desplazó al congelamiento de los mercados de crédito internacional dejando de lado el tema de los balances</w:t>
      </w:r>
      <w:r>
        <w:rPr>
          <w:color w:val="231F20"/>
          <w:spacing w:val="-7"/>
          <w:w w:val="110"/>
        </w:rPr>
        <w:t> </w:t>
      </w:r>
      <w:r>
        <w:rPr>
          <w:color w:val="231F20"/>
          <w:w w:val="110"/>
        </w:rPr>
        <w:t>macroeconómicos</w:t>
      </w:r>
      <w:r>
        <w:rPr>
          <w:color w:val="231F20"/>
          <w:spacing w:val="-7"/>
          <w:w w:val="110"/>
        </w:rPr>
        <w:t> </w:t>
      </w:r>
      <w:r>
        <w:rPr>
          <w:color w:val="231F20"/>
          <w:w w:val="110"/>
        </w:rPr>
        <w:t>globales.</w:t>
      </w:r>
      <w:r>
        <w:rPr>
          <w:color w:val="231F20"/>
          <w:spacing w:val="-7"/>
          <w:w w:val="110"/>
        </w:rPr>
        <w:t> </w:t>
      </w:r>
      <w:r>
        <w:rPr>
          <w:color w:val="231F20"/>
          <w:w w:val="110"/>
        </w:rPr>
        <w:t>Sólo</w:t>
      </w:r>
      <w:r>
        <w:rPr>
          <w:color w:val="231F20"/>
          <w:spacing w:val="-7"/>
          <w:w w:val="110"/>
        </w:rPr>
        <w:t> </w:t>
      </w:r>
      <w:r>
        <w:rPr>
          <w:color w:val="231F20"/>
          <w:w w:val="110"/>
        </w:rPr>
        <w:t>es</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entorno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apa- rente</w:t>
      </w:r>
      <w:r>
        <w:rPr>
          <w:color w:val="231F20"/>
          <w:spacing w:val="-22"/>
          <w:w w:val="110"/>
        </w:rPr>
        <w:t> </w:t>
      </w:r>
      <w:r>
        <w:rPr>
          <w:color w:val="231F20"/>
          <w:w w:val="110"/>
        </w:rPr>
        <w:t>estabilización</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mercados</w:t>
      </w:r>
      <w:r>
        <w:rPr>
          <w:color w:val="231F20"/>
          <w:spacing w:val="-22"/>
          <w:w w:val="110"/>
        </w:rPr>
        <w:t> </w:t>
      </w:r>
      <w:r>
        <w:rPr>
          <w:color w:val="231F20"/>
          <w:w w:val="110"/>
        </w:rPr>
        <w:t>financieros</w:t>
      </w:r>
      <w:r>
        <w:rPr>
          <w:color w:val="231F20"/>
          <w:spacing w:val="-22"/>
          <w:w w:val="110"/>
        </w:rPr>
        <w:t> </w:t>
      </w:r>
      <w:r>
        <w:rPr>
          <w:color w:val="231F20"/>
          <w:w w:val="110"/>
        </w:rPr>
        <w:t>y</w:t>
      </w:r>
      <w:r>
        <w:rPr>
          <w:color w:val="231F20"/>
          <w:spacing w:val="-22"/>
          <w:w w:val="110"/>
        </w:rPr>
        <w:t> </w:t>
      </w:r>
      <w:r>
        <w:rPr>
          <w:color w:val="231F20"/>
          <w:w w:val="110"/>
        </w:rPr>
        <w:t>las</w:t>
      </w:r>
      <w:r>
        <w:rPr>
          <w:color w:val="231F20"/>
          <w:spacing w:val="-22"/>
          <w:w w:val="110"/>
        </w:rPr>
        <w:t> </w:t>
      </w:r>
      <w:r>
        <w:rPr>
          <w:color w:val="231F20"/>
          <w:w w:val="110"/>
        </w:rPr>
        <w:t>primeras</w:t>
      </w:r>
      <w:r>
        <w:rPr>
          <w:color w:val="231F20"/>
          <w:spacing w:val="-22"/>
          <w:w w:val="110"/>
        </w:rPr>
        <w:t> </w:t>
      </w:r>
      <w:r>
        <w:rPr>
          <w:color w:val="231F20"/>
          <w:w w:val="110"/>
        </w:rPr>
        <w:t>señales de recuperación económica que en la reciente reunión del G-20 en Pittsburg, paralela a la Asamblea General de la onu, que dicho tema volvió a ser incluido en la agenda de discusión (Munchau,</w:t>
      </w:r>
      <w:r>
        <w:rPr>
          <w:color w:val="231F20"/>
          <w:spacing w:val="47"/>
          <w:w w:val="110"/>
        </w:rPr>
        <w:t> </w:t>
      </w:r>
      <w:r>
        <w:rPr>
          <w:color w:val="231F20"/>
          <w:w w:val="110"/>
        </w:rPr>
        <w:t>2009).</w:t>
      </w:r>
    </w:p>
    <w:p>
      <w:pPr>
        <w:pStyle w:val="BodyText"/>
      </w:pPr>
    </w:p>
    <w:p>
      <w:pPr>
        <w:pStyle w:val="BodyText"/>
        <w:spacing w:before="10"/>
        <w:rPr>
          <w:sz w:val="21"/>
        </w:rPr>
      </w:pPr>
    </w:p>
    <w:p>
      <w:pPr>
        <w:spacing w:line="261" w:lineRule="auto" w:before="0"/>
        <w:ind w:left="100" w:right="117" w:firstLine="240"/>
        <w:jc w:val="both"/>
        <w:rPr>
          <w:sz w:val="16"/>
        </w:rPr>
      </w:pPr>
      <w:r>
        <w:rPr>
          <w:color w:val="231F20"/>
          <w:w w:val="110"/>
          <w:position w:val="5"/>
          <w:sz w:val="10"/>
        </w:rPr>
        <w:t>1 </w:t>
      </w:r>
      <w:r>
        <w:rPr>
          <w:color w:val="231F20"/>
          <w:spacing w:val="-3"/>
          <w:w w:val="110"/>
          <w:sz w:val="16"/>
        </w:rPr>
        <w:t>Tanto </w:t>
      </w:r>
      <w:r>
        <w:rPr>
          <w:color w:val="231F20"/>
          <w:w w:val="110"/>
          <w:sz w:val="16"/>
        </w:rPr>
        <w:t>el fmi como el bm continuaron subestimando el impacto del colapso del sector</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vivienda</w:t>
      </w:r>
      <w:r>
        <w:rPr>
          <w:color w:val="231F20"/>
          <w:spacing w:val="-3"/>
          <w:w w:val="110"/>
          <w:sz w:val="16"/>
        </w:rPr>
        <w:t> </w:t>
      </w:r>
      <w:r>
        <w:rPr>
          <w:color w:val="231F20"/>
          <w:w w:val="110"/>
          <w:sz w:val="16"/>
        </w:rPr>
        <w:t>en</w:t>
      </w:r>
      <w:r>
        <w:rPr>
          <w:color w:val="231F20"/>
          <w:spacing w:val="-3"/>
          <w:w w:val="110"/>
          <w:sz w:val="16"/>
        </w:rPr>
        <w:t> </w:t>
      </w:r>
      <w:r>
        <w:rPr>
          <w:color w:val="231F20"/>
          <w:w w:val="110"/>
          <w:sz w:val="16"/>
        </w:rPr>
        <w:t>los</w:t>
      </w:r>
      <w:r>
        <w:rPr>
          <w:color w:val="231F20"/>
          <w:spacing w:val="-3"/>
          <w:w w:val="110"/>
          <w:sz w:val="16"/>
        </w:rPr>
        <w:t> </w:t>
      </w:r>
      <w:r>
        <w:rPr>
          <w:color w:val="231F20"/>
          <w:w w:val="110"/>
          <w:sz w:val="16"/>
        </w:rPr>
        <w:t>Estados</w:t>
      </w:r>
      <w:r>
        <w:rPr>
          <w:color w:val="231F20"/>
          <w:spacing w:val="-3"/>
          <w:w w:val="110"/>
          <w:sz w:val="16"/>
        </w:rPr>
        <w:t> </w:t>
      </w:r>
      <w:r>
        <w:rPr>
          <w:color w:val="231F20"/>
          <w:w w:val="110"/>
          <w:sz w:val="16"/>
        </w:rPr>
        <w:t>Unidos</w:t>
      </w:r>
      <w:r>
        <w:rPr>
          <w:color w:val="231F20"/>
          <w:spacing w:val="-3"/>
          <w:w w:val="110"/>
          <w:sz w:val="16"/>
        </w:rPr>
        <w:t> </w:t>
      </w:r>
      <w:r>
        <w:rPr>
          <w:color w:val="231F20"/>
          <w:w w:val="110"/>
          <w:sz w:val="16"/>
        </w:rPr>
        <w:t>como</w:t>
      </w:r>
      <w:r>
        <w:rPr>
          <w:color w:val="231F20"/>
          <w:spacing w:val="-3"/>
          <w:w w:val="110"/>
          <w:sz w:val="16"/>
        </w:rPr>
        <w:t> </w:t>
      </w:r>
      <w:r>
        <w:rPr>
          <w:color w:val="231F20"/>
          <w:w w:val="110"/>
          <w:sz w:val="16"/>
        </w:rPr>
        <w:t>una</w:t>
      </w:r>
      <w:r>
        <w:rPr>
          <w:color w:val="231F20"/>
          <w:spacing w:val="-3"/>
          <w:w w:val="110"/>
          <w:sz w:val="16"/>
        </w:rPr>
        <w:t> </w:t>
      </w:r>
      <w:r>
        <w:rPr>
          <w:color w:val="231F20"/>
          <w:w w:val="110"/>
          <w:sz w:val="16"/>
        </w:rPr>
        <w:t>amenaza</w:t>
      </w:r>
      <w:r>
        <w:rPr>
          <w:color w:val="231F20"/>
          <w:spacing w:val="-3"/>
          <w:w w:val="110"/>
          <w:sz w:val="16"/>
        </w:rPr>
        <w:t> </w:t>
      </w:r>
      <w:r>
        <w:rPr>
          <w:color w:val="231F20"/>
          <w:w w:val="110"/>
          <w:sz w:val="16"/>
        </w:rPr>
        <w:t>menor</w:t>
      </w:r>
      <w:r>
        <w:rPr>
          <w:color w:val="231F20"/>
          <w:spacing w:val="-3"/>
          <w:w w:val="110"/>
          <w:sz w:val="16"/>
        </w:rPr>
        <w:t> </w:t>
      </w:r>
      <w:r>
        <w:rPr>
          <w:color w:val="231F20"/>
          <w:w w:val="110"/>
          <w:sz w:val="16"/>
        </w:rPr>
        <w:t>en</w:t>
      </w:r>
      <w:r>
        <w:rPr>
          <w:color w:val="231F20"/>
          <w:spacing w:val="-3"/>
          <w:w w:val="110"/>
          <w:sz w:val="16"/>
        </w:rPr>
        <w:t> </w:t>
      </w:r>
      <w:r>
        <w:rPr>
          <w:color w:val="231F20"/>
          <w:w w:val="110"/>
          <w:sz w:val="16"/>
        </w:rPr>
        <w:t>sus</w:t>
      </w:r>
      <w:r>
        <w:rPr>
          <w:color w:val="231F20"/>
          <w:spacing w:val="-3"/>
          <w:w w:val="110"/>
          <w:sz w:val="16"/>
        </w:rPr>
        <w:t> </w:t>
      </w:r>
      <w:r>
        <w:rPr>
          <w:color w:val="231F20"/>
          <w:w w:val="110"/>
          <w:sz w:val="16"/>
        </w:rPr>
        <w:t>reportes anuales hasta el año 2007. Con la excepción del bis ningún otro organismo interna- cional prendió las alarmas respecto a los riesgos de la burbuja subprime (véase imf, 2007;</w:t>
      </w:r>
      <w:r>
        <w:rPr>
          <w:color w:val="231F20"/>
          <w:spacing w:val="-16"/>
          <w:w w:val="110"/>
          <w:sz w:val="16"/>
        </w:rPr>
        <w:t> </w:t>
      </w:r>
      <w:r>
        <w:rPr>
          <w:color w:val="231F20"/>
          <w:w w:val="110"/>
          <w:sz w:val="16"/>
        </w:rPr>
        <w:t>World</w:t>
      </w:r>
      <w:r>
        <w:rPr>
          <w:color w:val="231F20"/>
          <w:spacing w:val="-16"/>
          <w:w w:val="110"/>
          <w:sz w:val="16"/>
        </w:rPr>
        <w:t> </w:t>
      </w:r>
      <w:r>
        <w:rPr>
          <w:color w:val="231F20"/>
          <w:w w:val="110"/>
          <w:sz w:val="16"/>
        </w:rPr>
        <w:t>Bank,</w:t>
      </w:r>
      <w:r>
        <w:rPr>
          <w:color w:val="231F20"/>
          <w:spacing w:val="-16"/>
          <w:w w:val="110"/>
          <w:sz w:val="16"/>
        </w:rPr>
        <w:t> </w:t>
      </w:r>
      <w:r>
        <w:rPr>
          <w:color w:val="231F20"/>
          <w:w w:val="110"/>
          <w:sz w:val="16"/>
        </w:rPr>
        <w:t>2007:</w:t>
      </w:r>
      <w:r>
        <w:rPr>
          <w:color w:val="231F20"/>
          <w:spacing w:val="-16"/>
          <w:w w:val="110"/>
          <w:sz w:val="16"/>
        </w:rPr>
        <w:t> </w:t>
      </w:r>
      <w:r>
        <w:rPr>
          <w:color w:val="231F20"/>
          <w:w w:val="110"/>
          <w:sz w:val="16"/>
        </w:rPr>
        <w:t>8;</w:t>
      </w:r>
      <w:r>
        <w:rPr>
          <w:color w:val="231F20"/>
          <w:spacing w:val="-16"/>
          <w:w w:val="110"/>
          <w:sz w:val="16"/>
        </w:rPr>
        <w:t> </w:t>
      </w:r>
      <w:r>
        <w:rPr>
          <w:color w:val="231F20"/>
          <w:spacing w:val="-4"/>
          <w:w w:val="110"/>
          <w:sz w:val="16"/>
        </w:rPr>
        <w:t>Tett,</w:t>
      </w:r>
      <w:r>
        <w:rPr>
          <w:color w:val="231F20"/>
          <w:spacing w:val="-16"/>
          <w:w w:val="110"/>
          <w:sz w:val="16"/>
        </w:rPr>
        <w:t> </w:t>
      </w:r>
      <w:r>
        <w:rPr>
          <w:color w:val="231F20"/>
          <w:w w:val="110"/>
          <w:sz w:val="16"/>
        </w:rPr>
        <w:t>2009:</w:t>
      </w:r>
      <w:r>
        <w:rPr>
          <w:color w:val="231F20"/>
          <w:spacing w:val="-16"/>
          <w:w w:val="110"/>
          <w:sz w:val="16"/>
        </w:rPr>
        <w:t> </w:t>
      </w:r>
      <w:r>
        <w:rPr>
          <w:color w:val="231F20"/>
          <w:w w:val="110"/>
          <w:sz w:val="16"/>
        </w:rPr>
        <w:t>152-155)</w:t>
      </w:r>
    </w:p>
    <w:p>
      <w:pPr>
        <w:spacing w:after="0" w:line="261" w:lineRule="auto"/>
        <w:jc w:val="both"/>
        <w:rPr>
          <w:sz w:val="16"/>
        </w:rPr>
        <w:sectPr>
          <w:headerReference w:type="default" r:id="rId156"/>
          <w:headerReference w:type="even" r:id="rId157"/>
          <w:pgSz w:w="7640" w:h="11900"/>
          <w:pgMar w:header="672" w:footer="0" w:top="860" w:bottom="280" w:left="660" w:right="760"/>
          <w:pgNumType w:start="211"/>
        </w:sectPr>
      </w:pPr>
    </w:p>
    <w:p>
      <w:pPr>
        <w:pStyle w:val="BodyText"/>
        <w:spacing w:before="8"/>
        <w:rPr>
          <w:sz w:val="8"/>
        </w:rPr>
      </w:pPr>
    </w:p>
    <w:p>
      <w:pPr>
        <w:pStyle w:val="BodyText"/>
        <w:spacing w:line="261" w:lineRule="auto" w:before="67"/>
        <w:ind w:left="100" w:right="117" w:firstLine="240"/>
        <w:jc w:val="both"/>
      </w:pPr>
      <w:r>
        <w:rPr>
          <w:color w:val="231F20"/>
          <w:w w:val="110"/>
        </w:rPr>
        <w:t>Sin embargo, la discusión actual tiene un tono ligeramente dife- rente. Mientras que en el periodo previo a la crisis financiera el</w:t>
      </w:r>
      <w:r>
        <w:rPr>
          <w:color w:val="231F20"/>
          <w:spacing w:val="-5"/>
          <w:w w:val="110"/>
        </w:rPr>
        <w:t> </w:t>
      </w:r>
      <w:r>
        <w:rPr>
          <w:color w:val="231F20"/>
          <w:w w:val="110"/>
        </w:rPr>
        <w:t>foco de preocupación era el deterioro de la posición neta de inversiones de Estados Unidos, en la situación actual el centro de atención es el masivo</w:t>
      </w:r>
      <w:r>
        <w:rPr>
          <w:color w:val="231F20"/>
          <w:spacing w:val="-28"/>
          <w:w w:val="110"/>
        </w:rPr>
        <w:t> </w:t>
      </w:r>
      <w:r>
        <w:rPr>
          <w:color w:val="231F20"/>
          <w:w w:val="110"/>
        </w:rPr>
        <w:t>incremento</w:t>
      </w:r>
      <w:r>
        <w:rPr>
          <w:color w:val="231F20"/>
          <w:spacing w:val="-28"/>
          <w:w w:val="110"/>
        </w:rPr>
        <w:t> </w:t>
      </w:r>
      <w:r>
        <w:rPr>
          <w:color w:val="231F20"/>
          <w:w w:val="110"/>
        </w:rPr>
        <w:t>del</w:t>
      </w:r>
      <w:r>
        <w:rPr>
          <w:color w:val="231F20"/>
          <w:spacing w:val="-28"/>
          <w:w w:val="110"/>
        </w:rPr>
        <w:t> </w:t>
      </w:r>
      <w:r>
        <w:rPr>
          <w:color w:val="231F20"/>
          <w:w w:val="110"/>
        </w:rPr>
        <w:t>déficit</w:t>
      </w:r>
      <w:r>
        <w:rPr>
          <w:color w:val="231F20"/>
          <w:spacing w:val="-28"/>
          <w:w w:val="110"/>
        </w:rPr>
        <w:t> </w:t>
      </w:r>
      <w:r>
        <w:rPr>
          <w:color w:val="231F20"/>
          <w:w w:val="110"/>
        </w:rPr>
        <w:t>fiscal</w:t>
      </w:r>
      <w:r>
        <w:rPr>
          <w:color w:val="231F20"/>
          <w:spacing w:val="-28"/>
          <w:w w:val="110"/>
        </w:rPr>
        <w:t> </w:t>
      </w:r>
      <w:r>
        <w:rPr>
          <w:color w:val="231F20"/>
          <w:w w:val="110"/>
        </w:rPr>
        <w:t>estadunidense</w:t>
      </w:r>
      <w:r>
        <w:rPr>
          <w:color w:val="231F20"/>
          <w:spacing w:val="-28"/>
          <w:w w:val="110"/>
        </w:rPr>
        <w:t> </w:t>
      </w:r>
      <w:r>
        <w:rPr>
          <w:color w:val="231F20"/>
          <w:w w:val="110"/>
        </w:rPr>
        <w:t>y</w:t>
      </w:r>
      <w:r>
        <w:rPr>
          <w:color w:val="231F20"/>
          <w:spacing w:val="-28"/>
          <w:w w:val="110"/>
        </w:rPr>
        <w:t> </w:t>
      </w:r>
      <w:r>
        <w:rPr>
          <w:color w:val="231F20"/>
          <w:w w:val="110"/>
        </w:rPr>
        <w:t>sus</w:t>
      </w:r>
      <w:r>
        <w:rPr>
          <w:color w:val="231F20"/>
          <w:spacing w:val="-28"/>
          <w:w w:val="110"/>
        </w:rPr>
        <w:t> </w:t>
      </w:r>
      <w:r>
        <w:rPr>
          <w:color w:val="231F20"/>
          <w:w w:val="110"/>
        </w:rPr>
        <w:t>implicaciones para</w:t>
      </w:r>
      <w:r>
        <w:rPr>
          <w:color w:val="231F20"/>
          <w:spacing w:val="-15"/>
          <w:w w:val="110"/>
        </w:rPr>
        <w:t> </w:t>
      </w:r>
      <w:r>
        <w:rPr>
          <w:color w:val="231F20"/>
          <w:w w:val="110"/>
        </w:rPr>
        <w:t>la</w:t>
      </w:r>
      <w:r>
        <w:rPr>
          <w:color w:val="231F20"/>
          <w:spacing w:val="-15"/>
          <w:w w:val="110"/>
        </w:rPr>
        <w:t> </w:t>
      </w:r>
      <w:r>
        <w:rPr>
          <w:color w:val="231F20"/>
          <w:w w:val="110"/>
        </w:rPr>
        <w:t>sostenibilidad</w:t>
      </w:r>
      <w:r>
        <w:rPr>
          <w:color w:val="231F20"/>
          <w:spacing w:val="-15"/>
          <w:w w:val="110"/>
        </w:rPr>
        <w:t> </w:t>
      </w:r>
      <w:r>
        <w:rPr>
          <w:color w:val="231F20"/>
          <w:w w:val="110"/>
        </w:rPr>
        <w:t>fiscal</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mediano</w:t>
      </w:r>
      <w:r>
        <w:rPr>
          <w:color w:val="231F20"/>
          <w:spacing w:val="-15"/>
          <w:w w:val="110"/>
        </w:rPr>
        <w:t> </w:t>
      </w:r>
      <w:r>
        <w:rPr>
          <w:color w:val="231F20"/>
          <w:w w:val="110"/>
        </w:rPr>
        <w:t>y</w:t>
      </w:r>
      <w:r>
        <w:rPr>
          <w:color w:val="231F20"/>
          <w:spacing w:val="-15"/>
          <w:w w:val="110"/>
        </w:rPr>
        <w:t> </w:t>
      </w:r>
      <w:r>
        <w:rPr>
          <w:color w:val="231F20"/>
          <w:w w:val="110"/>
        </w:rPr>
        <w:t>largo</w:t>
      </w:r>
      <w:r>
        <w:rPr>
          <w:color w:val="231F20"/>
          <w:spacing w:val="-15"/>
          <w:w w:val="110"/>
        </w:rPr>
        <w:t> </w:t>
      </w:r>
      <w:r>
        <w:rPr>
          <w:color w:val="231F20"/>
          <w:w w:val="110"/>
        </w:rPr>
        <w:t>plazo</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para el valor del</w:t>
      </w:r>
      <w:r>
        <w:rPr>
          <w:color w:val="231F20"/>
          <w:spacing w:val="12"/>
          <w:w w:val="110"/>
        </w:rPr>
        <w:t> </w:t>
      </w:r>
      <w:r>
        <w:rPr>
          <w:color w:val="231F20"/>
          <w:spacing w:val="-3"/>
          <w:w w:val="110"/>
        </w:rPr>
        <w:t>dólar.</w:t>
      </w:r>
    </w:p>
    <w:p>
      <w:pPr>
        <w:pStyle w:val="BodyText"/>
        <w:spacing w:line="261" w:lineRule="auto"/>
        <w:ind w:left="100" w:right="117" w:firstLine="240"/>
        <w:jc w:val="right"/>
      </w:pPr>
      <w:r>
        <w:rPr>
          <w:color w:val="231F20"/>
          <w:w w:val="110"/>
        </w:rPr>
        <w:t>El argumento en este caso sigue líneas similares al</w:t>
      </w:r>
      <w:r>
        <w:rPr>
          <w:color w:val="231F20"/>
          <w:spacing w:val="10"/>
          <w:w w:val="110"/>
        </w:rPr>
        <w:t> </w:t>
      </w:r>
      <w:r>
        <w:rPr>
          <w:color w:val="231F20"/>
          <w:w w:val="110"/>
        </w:rPr>
        <w:t>expuesto</w:t>
      </w:r>
      <w:r>
        <w:rPr>
          <w:color w:val="231F20"/>
          <w:spacing w:val="13"/>
          <w:w w:val="110"/>
        </w:rPr>
        <w:t> </w:t>
      </w:r>
      <w:r>
        <w:rPr>
          <w:color w:val="231F20"/>
          <w:w w:val="110"/>
        </w:rPr>
        <w:t>an-</w:t>
      </w:r>
      <w:r>
        <w:rPr>
          <w:color w:val="231F20"/>
          <w:w w:val="72"/>
        </w:rPr>
        <w:t> </w:t>
      </w:r>
      <w:r>
        <w:rPr>
          <w:color w:val="231F20"/>
          <w:w w:val="110"/>
        </w:rPr>
        <w:t>teriormente. La masiva emisión de bonos del tesoro de</w:t>
      </w:r>
      <w:r>
        <w:rPr>
          <w:color w:val="231F20"/>
          <w:spacing w:val="9"/>
          <w:w w:val="110"/>
        </w:rPr>
        <w:t> </w:t>
      </w:r>
      <w:r>
        <w:rPr>
          <w:color w:val="231F20"/>
          <w:w w:val="110"/>
        </w:rPr>
        <w:t>los</w:t>
      </w:r>
      <w:r>
        <w:rPr>
          <w:color w:val="231F20"/>
          <w:spacing w:val="13"/>
          <w:w w:val="110"/>
        </w:rPr>
        <w:t> </w:t>
      </w:r>
      <w:r>
        <w:rPr>
          <w:color w:val="231F20"/>
          <w:w w:val="110"/>
        </w:rPr>
        <w:t>Estados</w:t>
      </w:r>
      <w:r>
        <w:rPr>
          <w:color w:val="231F20"/>
          <w:w w:val="105"/>
        </w:rPr>
        <w:t> </w:t>
      </w:r>
      <w:r>
        <w:rPr>
          <w:color w:val="231F20"/>
          <w:w w:val="110"/>
        </w:rPr>
        <w:t>Unidos requerida para financiar el déficit proyectado para</w:t>
      </w:r>
      <w:r>
        <w:rPr>
          <w:color w:val="231F20"/>
          <w:spacing w:val="39"/>
          <w:w w:val="110"/>
        </w:rPr>
        <w:t> </w:t>
      </w:r>
      <w:r>
        <w:rPr>
          <w:color w:val="231F20"/>
          <w:w w:val="110"/>
        </w:rPr>
        <w:t>el</w:t>
      </w:r>
      <w:r>
        <w:rPr>
          <w:color w:val="231F20"/>
          <w:spacing w:val="4"/>
          <w:w w:val="110"/>
        </w:rPr>
        <w:t> </w:t>
      </w:r>
      <w:r>
        <w:rPr>
          <w:color w:val="231F20"/>
          <w:w w:val="110"/>
        </w:rPr>
        <w:t>próxi-</w:t>
      </w:r>
      <w:r>
        <w:rPr>
          <w:color w:val="231F20"/>
          <w:w w:val="72"/>
        </w:rPr>
        <w:t> </w:t>
      </w:r>
      <w:r>
        <w:rPr>
          <w:color w:val="231F20"/>
          <w:w w:val="110"/>
        </w:rPr>
        <w:t>mo</w:t>
      </w:r>
      <w:r>
        <w:rPr>
          <w:color w:val="231F20"/>
          <w:spacing w:val="24"/>
          <w:w w:val="110"/>
        </w:rPr>
        <w:t> </w:t>
      </w:r>
      <w:r>
        <w:rPr>
          <w:color w:val="231F20"/>
          <w:w w:val="110"/>
        </w:rPr>
        <w:t>decenio,</w:t>
      </w:r>
      <w:r>
        <w:rPr>
          <w:color w:val="231F20"/>
          <w:spacing w:val="24"/>
          <w:w w:val="110"/>
        </w:rPr>
        <w:t> </w:t>
      </w:r>
      <w:r>
        <w:rPr>
          <w:color w:val="231F20"/>
          <w:w w:val="110"/>
        </w:rPr>
        <w:t>causaría</w:t>
      </w:r>
      <w:r>
        <w:rPr>
          <w:color w:val="231F20"/>
          <w:spacing w:val="24"/>
          <w:w w:val="110"/>
        </w:rPr>
        <w:t> </w:t>
      </w:r>
      <w:r>
        <w:rPr>
          <w:color w:val="231F20"/>
          <w:w w:val="110"/>
        </w:rPr>
        <w:t>una</w:t>
      </w:r>
      <w:r>
        <w:rPr>
          <w:color w:val="231F20"/>
          <w:spacing w:val="24"/>
          <w:w w:val="110"/>
        </w:rPr>
        <w:t> </w:t>
      </w:r>
      <w:r>
        <w:rPr>
          <w:color w:val="231F20"/>
          <w:w w:val="110"/>
        </w:rPr>
        <w:t>caída</w:t>
      </w:r>
      <w:r>
        <w:rPr>
          <w:color w:val="231F20"/>
          <w:spacing w:val="24"/>
          <w:w w:val="110"/>
        </w:rPr>
        <w:t> </w:t>
      </w:r>
      <w:r>
        <w:rPr>
          <w:color w:val="231F20"/>
          <w:w w:val="110"/>
        </w:rPr>
        <w:t>de</w:t>
      </w:r>
      <w:r>
        <w:rPr>
          <w:color w:val="231F20"/>
          <w:spacing w:val="24"/>
          <w:w w:val="110"/>
        </w:rPr>
        <w:t> </w:t>
      </w:r>
      <w:r>
        <w:rPr>
          <w:color w:val="231F20"/>
          <w:w w:val="110"/>
        </w:rPr>
        <w:t>sus</w:t>
      </w:r>
      <w:r>
        <w:rPr>
          <w:color w:val="231F20"/>
          <w:spacing w:val="24"/>
          <w:w w:val="110"/>
        </w:rPr>
        <w:t> </w:t>
      </w:r>
      <w:r>
        <w:rPr>
          <w:color w:val="231F20"/>
          <w:w w:val="110"/>
        </w:rPr>
        <w:t>precios</w:t>
      </w:r>
      <w:r>
        <w:rPr>
          <w:color w:val="231F20"/>
          <w:spacing w:val="24"/>
          <w:w w:val="110"/>
        </w:rPr>
        <w:t> </w:t>
      </w:r>
      <w:r>
        <w:rPr>
          <w:color w:val="231F20"/>
          <w:w w:val="110"/>
        </w:rPr>
        <w:t>y</w:t>
      </w:r>
      <w:r>
        <w:rPr>
          <w:color w:val="231F20"/>
          <w:spacing w:val="24"/>
          <w:w w:val="110"/>
        </w:rPr>
        <w:t> </w:t>
      </w:r>
      <w:r>
        <w:rPr>
          <w:color w:val="231F20"/>
          <w:w w:val="110"/>
        </w:rPr>
        <w:t>por</w:t>
      </w:r>
      <w:r>
        <w:rPr>
          <w:color w:val="231F20"/>
          <w:spacing w:val="24"/>
          <w:w w:val="110"/>
        </w:rPr>
        <w:t> </w:t>
      </w:r>
      <w:r>
        <w:rPr>
          <w:color w:val="231F20"/>
          <w:w w:val="110"/>
        </w:rPr>
        <w:t>ende</w:t>
      </w:r>
      <w:r>
        <w:rPr>
          <w:color w:val="231F20"/>
          <w:spacing w:val="24"/>
          <w:w w:val="110"/>
        </w:rPr>
        <w:t> </w:t>
      </w:r>
      <w:r>
        <w:rPr>
          <w:color w:val="231F20"/>
          <w:w w:val="110"/>
        </w:rPr>
        <w:t>un</w:t>
      </w:r>
      <w:r>
        <w:rPr>
          <w:color w:val="231F20"/>
          <w:spacing w:val="24"/>
          <w:w w:val="110"/>
        </w:rPr>
        <w:t> </w:t>
      </w:r>
      <w:r>
        <w:rPr>
          <w:color w:val="231F20"/>
          <w:w w:val="110"/>
        </w:rPr>
        <w:t>alza</w:t>
      </w:r>
      <w:r>
        <w:rPr>
          <w:color w:val="231F20"/>
          <w:w w:val="103"/>
        </w:rPr>
        <w:t> </w:t>
      </w:r>
      <w:r>
        <w:rPr>
          <w:color w:val="231F20"/>
          <w:w w:val="110"/>
        </w:rPr>
        <w:t>en sus rendimientos, en la medida en que</w:t>
      </w:r>
      <w:r>
        <w:rPr>
          <w:color w:val="231F20"/>
          <w:spacing w:val="29"/>
          <w:w w:val="110"/>
        </w:rPr>
        <w:t> </w:t>
      </w:r>
      <w:r>
        <w:rPr>
          <w:color w:val="231F20"/>
          <w:w w:val="110"/>
        </w:rPr>
        <w:t>inversores</w:t>
      </w:r>
      <w:r>
        <w:rPr>
          <w:color w:val="231F20"/>
          <w:spacing w:val="3"/>
          <w:w w:val="110"/>
        </w:rPr>
        <w:t> </w:t>
      </w:r>
      <w:r>
        <w:rPr>
          <w:color w:val="231F20"/>
          <w:w w:val="110"/>
        </w:rPr>
        <w:t>internacionales</w:t>
      </w:r>
      <w:r>
        <w:rPr>
          <w:color w:val="231F20"/>
          <w:w w:val="110"/>
        </w:rPr>
        <w:t> </w:t>
      </w:r>
      <w:r>
        <w:rPr>
          <w:color w:val="231F20"/>
          <w:w w:val="110"/>
        </w:rPr>
        <w:t>perciban</w:t>
      </w:r>
      <w:r>
        <w:rPr>
          <w:color w:val="231F20"/>
          <w:spacing w:val="28"/>
          <w:w w:val="110"/>
        </w:rPr>
        <w:t> </w:t>
      </w:r>
      <w:r>
        <w:rPr>
          <w:color w:val="231F20"/>
          <w:w w:val="110"/>
        </w:rPr>
        <w:t>que</w:t>
      </w:r>
      <w:r>
        <w:rPr>
          <w:color w:val="231F20"/>
          <w:spacing w:val="28"/>
          <w:w w:val="110"/>
        </w:rPr>
        <w:t> </w:t>
      </w:r>
      <w:r>
        <w:rPr>
          <w:color w:val="231F20"/>
          <w:w w:val="110"/>
        </w:rPr>
        <w:t>la</w:t>
      </w:r>
      <w:r>
        <w:rPr>
          <w:color w:val="231F20"/>
          <w:spacing w:val="28"/>
          <w:w w:val="110"/>
        </w:rPr>
        <w:t> </w:t>
      </w:r>
      <w:r>
        <w:rPr>
          <w:color w:val="231F20"/>
          <w:w w:val="110"/>
        </w:rPr>
        <w:t>solvencia</w:t>
      </w:r>
      <w:r>
        <w:rPr>
          <w:color w:val="231F20"/>
          <w:spacing w:val="28"/>
          <w:w w:val="110"/>
        </w:rPr>
        <w:t> </w:t>
      </w:r>
      <w:r>
        <w:rPr>
          <w:color w:val="231F20"/>
          <w:w w:val="110"/>
        </w:rPr>
        <w:t>del</w:t>
      </w:r>
      <w:r>
        <w:rPr>
          <w:color w:val="231F20"/>
          <w:spacing w:val="28"/>
          <w:w w:val="110"/>
        </w:rPr>
        <w:t> </w:t>
      </w:r>
      <w:r>
        <w:rPr>
          <w:color w:val="231F20"/>
          <w:w w:val="110"/>
        </w:rPr>
        <w:t>fisco</w:t>
      </w:r>
      <w:r>
        <w:rPr>
          <w:color w:val="231F20"/>
          <w:spacing w:val="28"/>
          <w:w w:val="110"/>
        </w:rPr>
        <w:t> </w:t>
      </w:r>
      <w:r>
        <w:rPr>
          <w:color w:val="231F20"/>
          <w:w w:val="110"/>
        </w:rPr>
        <w:t>estadunidense</w:t>
      </w:r>
      <w:r>
        <w:rPr>
          <w:color w:val="231F20"/>
          <w:spacing w:val="28"/>
          <w:w w:val="110"/>
        </w:rPr>
        <w:t> </w:t>
      </w:r>
      <w:r>
        <w:rPr>
          <w:color w:val="231F20"/>
          <w:w w:val="110"/>
        </w:rPr>
        <w:t>se</w:t>
      </w:r>
      <w:r>
        <w:rPr>
          <w:color w:val="231F20"/>
          <w:spacing w:val="28"/>
          <w:w w:val="110"/>
        </w:rPr>
        <w:t> </w:t>
      </w:r>
      <w:r>
        <w:rPr>
          <w:color w:val="231F20"/>
          <w:w w:val="110"/>
        </w:rPr>
        <w:t>encuentra</w:t>
      </w:r>
      <w:r>
        <w:rPr>
          <w:color w:val="231F20"/>
          <w:spacing w:val="28"/>
          <w:w w:val="110"/>
        </w:rPr>
        <w:t> </w:t>
      </w:r>
      <w:r>
        <w:rPr>
          <w:color w:val="231F20"/>
          <w:w w:val="110"/>
        </w:rPr>
        <w:t>en</w:t>
      </w:r>
      <w:r>
        <w:rPr>
          <w:color w:val="231F20"/>
          <w:w w:val="116"/>
        </w:rPr>
        <w:t> </w:t>
      </w:r>
      <w:r>
        <w:rPr>
          <w:color w:val="231F20"/>
          <w:w w:val="110"/>
        </w:rPr>
        <w:t>entredicho. A su vez, el alza en las tasas de interés</w:t>
      </w:r>
      <w:r>
        <w:rPr>
          <w:color w:val="231F20"/>
          <w:spacing w:val="50"/>
          <w:w w:val="110"/>
        </w:rPr>
        <w:t> </w:t>
      </w:r>
      <w:r>
        <w:rPr>
          <w:color w:val="231F20"/>
          <w:w w:val="110"/>
        </w:rPr>
        <w:t>deterioraría</w:t>
      </w:r>
      <w:r>
        <w:rPr>
          <w:color w:val="231F20"/>
          <w:spacing w:val="9"/>
          <w:w w:val="110"/>
        </w:rPr>
        <w:t> </w:t>
      </w:r>
      <w:r>
        <w:rPr>
          <w:color w:val="231F20"/>
          <w:w w:val="110"/>
        </w:rPr>
        <w:t>aún</w:t>
      </w:r>
      <w:r>
        <w:rPr>
          <w:color w:val="231F20"/>
          <w:w w:val="114"/>
        </w:rPr>
        <w:t> </w:t>
      </w:r>
      <w:r>
        <w:rPr>
          <w:color w:val="231F20"/>
          <w:w w:val="110"/>
        </w:rPr>
        <w:t>más la precaria situación fiscal creando un círculo vicioso</w:t>
      </w:r>
      <w:r>
        <w:rPr>
          <w:color w:val="231F20"/>
          <w:spacing w:val="-18"/>
          <w:w w:val="110"/>
        </w:rPr>
        <w:t> </w:t>
      </w:r>
      <w:r>
        <w:rPr>
          <w:color w:val="231F20"/>
          <w:w w:val="110"/>
        </w:rPr>
        <w:t>que</w:t>
      </w:r>
      <w:r>
        <w:rPr>
          <w:color w:val="231F20"/>
          <w:spacing w:val="-2"/>
          <w:w w:val="110"/>
        </w:rPr>
        <w:t> </w:t>
      </w:r>
      <w:r>
        <w:rPr>
          <w:color w:val="231F20"/>
          <w:w w:val="110"/>
        </w:rPr>
        <w:t>even-</w:t>
      </w:r>
      <w:r>
        <w:rPr>
          <w:color w:val="231F20"/>
          <w:w w:val="72"/>
        </w:rPr>
        <w:t> </w:t>
      </w:r>
      <w:r>
        <w:rPr>
          <w:color w:val="231F20"/>
          <w:w w:val="110"/>
        </w:rPr>
        <w:t>tualmente</w:t>
      </w:r>
      <w:r>
        <w:rPr>
          <w:color w:val="231F20"/>
          <w:spacing w:val="-14"/>
          <w:w w:val="110"/>
        </w:rPr>
        <w:t> </w:t>
      </w:r>
      <w:r>
        <w:rPr>
          <w:color w:val="231F20"/>
          <w:w w:val="110"/>
        </w:rPr>
        <w:t>terminaría</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declaración</w:t>
      </w:r>
      <w:r>
        <w:rPr>
          <w:color w:val="231F20"/>
          <w:spacing w:val="-14"/>
          <w:w w:val="110"/>
        </w:rPr>
        <w:t> </w:t>
      </w:r>
      <w:r>
        <w:rPr>
          <w:color w:val="231F20"/>
          <w:w w:val="110"/>
        </w:rPr>
        <w:t>de</w:t>
      </w:r>
      <w:r>
        <w:rPr>
          <w:color w:val="231F20"/>
          <w:spacing w:val="-14"/>
          <w:w w:val="110"/>
        </w:rPr>
        <w:t> </w:t>
      </w:r>
      <w:r>
        <w:rPr>
          <w:color w:val="231F20"/>
          <w:w w:val="110"/>
        </w:rPr>
        <w:t>insolvencia</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Estados</w:t>
      </w:r>
      <w:r>
        <w:rPr>
          <w:color w:val="231F20"/>
          <w:w w:val="105"/>
        </w:rPr>
        <w:t> </w:t>
      </w:r>
      <w:r>
        <w:rPr>
          <w:color w:val="231F20"/>
          <w:w w:val="110"/>
        </w:rPr>
        <w:t>Unidos y el fin del dominio del dólar en la</w:t>
      </w:r>
      <w:r>
        <w:rPr>
          <w:color w:val="231F20"/>
          <w:spacing w:val="32"/>
          <w:w w:val="110"/>
        </w:rPr>
        <w:t> </w:t>
      </w:r>
      <w:r>
        <w:rPr>
          <w:color w:val="231F20"/>
          <w:w w:val="110"/>
        </w:rPr>
        <w:t>economía</w:t>
      </w:r>
      <w:r>
        <w:rPr>
          <w:color w:val="231F20"/>
          <w:spacing w:val="8"/>
          <w:w w:val="110"/>
        </w:rPr>
        <w:t> </w:t>
      </w:r>
      <w:r>
        <w:rPr>
          <w:color w:val="231F20"/>
          <w:w w:val="110"/>
        </w:rPr>
        <w:t>internacional.</w:t>
      </w:r>
      <w:r>
        <w:rPr>
          <w:color w:val="231F20"/>
          <w:w w:val="111"/>
        </w:rPr>
        <w:t> </w:t>
      </w:r>
      <w:r>
        <w:rPr>
          <w:color w:val="231F20"/>
          <w:w w:val="110"/>
        </w:rPr>
        <w:t>Este</w:t>
      </w:r>
      <w:r>
        <w:rPr>
          <w:color w:val="231F20"/>
          <w:spacing w:val="-7"/>
          <w:w w:val="110"/>
        </w:rPr>
        <w:t> </w:t>
      </w:r>
      <w:r>
        <w:rPr>
          <w:color w:val="231F20"/>
          <w:w w:val="110"/>
        </w:rPr>
        <w:t>documento</w:t>
      </w:r>
      <w:r>
        <w:rPr>
          <w:color w:val="231F20"/>
          <w:spacing w:val="-7"/>
          <w:w w:val="110"/>
        </w:rPr>
        <w:t> </w:t>
      </w:r>
      <w:r>
        <w:rPr>
          <w:color w:val="231F20"/>
          <w:w w:val="110"/>
        </w:rPr>
        <w:t>tiene</w:t>
      </w:r>
      <w:r>
        <w:rPr>
          <w:color w:val="231F20"/>
          <w:spacing w:val="-7"/>
          <w:w w:val="110"/>
        </w:rPr>
        <w:t> </w:t>
      </w:r>
      <w:r>
        <w:rPr>
          <w:color w:val="231F20"/>
          <w:w w:val="110"/>
        </w:rPr>
        <w:t>como</w:t>
      </w:r>
      <w:r>
        <w:rPr>
          <w:color w:val="231F20"/>
          <w:spacing w:val="-7"/>
          <w:w w:val="110"/>
        </w:rPr>
        <w:t> </w:t>
      </w:r>
      <w:r>
        <w:rPr>
          <w:color w:val="231F20"/>
          <w:w w:val="110"/>
        </w:rPr>
        <w:t>objetivo</w:t>
      </w:r>
      <w:r>
        <w:rPr>
          <w:color w:val="231F20"/>
          <w:spacing w:val="-7"/>
          <w:w w:val="110"/>
        </w:rPr>
        <w:t> </w:t>
      </w:r>
      <w:r>
        <w:rPr>
          <w:color w:val="231F20"/>
          <w:w w:val="110"/>
        </w:rPr>
        <w:t>analizar</w:t>
      </w:r>
      <w:r>
        <w:rPr>
          <w:color w:val="231F20"/>
          <w:spacing w:val="-7"/>
          <w:w w:val="110"/>
        </w:rPr>
        <w:t> </w:t>
      </w:r>
      <w:r>
        <w:rPr>
          <w:color w:val="231F20"/>
          <w:w w:val="110"/>
        </w:rPr>
        <w:t>la</w:t>
      </w:r>
      <w:r>
        <w:rPr>
          <w:color w:val="231F20"/>
          <w:spacing w:val="-7"/>
          <w:w w:val="110"/>
        </w:rPr>
        <w:t> </w:t>
      </w:r>
      <w:r>
        <w:rPr>
          <w:color w:val="231F20"/>
          <w:w w:val="110"/>
        </w:rPr>
        <w:t>validez</w:t>
      </w:r>
      <w:r>
        <w:rPr>
          <w:color w:val="231F20"/>
          <w:spacing w:val="-7"/>
          <w:w w:val="110"/>
        </w:rPr>
        <w:t> </w:t>
      </w:r>
      <w:r>
        <w:rPr>
          <w:color w:val="231F20"/>
          <w:w w:val="110"/>
        </w:rPr>
        <w:t>de</w:t>
      </w:r>
      <w:r>
        <w:rPr>
          <w:color w:val="231F20"/>
          <w:spacing w:val="-7"/>
          <w:w w:val="110"/>
        </w:rPr>
        <w:t> </w:t>
      </w:r>
      <w:r>
        <w:rPr>
          <w:color w:val="231F20"/>
          <w:w w:val="110"/>
        </w:rPr>
        <w:t>este</w:t>
      </w:r>
      <w:r>
        <w:rPr>
          <w:color w:val="231F20"/>
          <w:spacing w:val="-7"/>
          <w:w w:val="110"/>
        </w:rPr>
        <w:t> </w:t>
      </w:r>
      <w:r>
        <w:rPr>
          <w:color w:val="231F20"/>
          <w:spacing w:val="-4"/>
          <w:w w:val="110"/>
        </w:rPr>
        <w:t>ar-</w:t>
      </w:r>
      <w:r>
        <w:rPr>
          <w:color w:val="231F20"/>
          <w:w w:val="72"/>
        </w:rPr>
        <w:t> </w:t>
      </w:r>
      <w:r>
        <w:rPr>
          <w:color w:val="231F20"/>
          <w:w w:val="110"/>
        </w:rPr>
        <w:t>gumento.</w:t>
      </w:r>
      <w:r>
        <w:rPr>
          <w:color w:val="231F20"/>
          <w:spacing w:val="-18"/>
          <w:w w:val="110"/>
        </w:rPr>
        <w:t> </w:t>
      </w:r>
      <w:r>
        <w:rPr>
          <w:color w:val="231F20"/>
          <w:w w:val="110"/>
        </w:rPr>
        <w:t>La</w:t>
      </w:r>
      <w:r>
        <w:rPr>
          <w:color w:val="231F20"/>
          <w:spacing w:val="-18"/>
          <w:w w:val="110"/>
        </w:rPr>
        <w:t> </w:t>
      </w:r>
      <w:r>
        <w:rPr>
          <w:color w:val="231F20"/>
          <w:w w:val="110"/>
        </w:rPr>
        <w:t>tesis</w:t>
      </w:r>
      <w:r>
        <w:rPr>
          <w:color w:val="231F20"/>
          <w:spacing w:val="-18"/>
          <w:w w:val="110"/>
        </w:rPr>
        <w:t> </w:t>
      </w:r>
      <w:r>
        <w:rPr>
          <w:color w:val="231F20"/>
          <w:w w:val="110"/>
        </w:rPr>
        <w:t>detrás</w:t>
      </w:r>
      <w:r>
        <w:rPr>
          <w:color w:val="231F20"/>
          <w:spacing w:val="-18"/>
          <w:w w:val="110"/>
        </w:rPr>
        <w:t> </w:t>
      </w:r>
      <w:r>
        <w:rPr>
          <w:color w:val="231F20"/>
          <w:w w:val="110"/>
        </w:rPr>
        <w:t>del</w:t>
      </w:r>
      <w:r>
        <w:rPr>
          <w:color w:val="231F20"/>
          <w:spacing w:val="-18"/>
          <w:w w:val="110"/>
        </w:rPr>
        <w:t> </w:t>
      </w:r>
      <w:r>
        <w:rPr>
          <w:color w:val="231F20"/>
          <w:w w:val="110"/>
        </w:rPr>
        <w:t>mismo</w:t>
      </w:r>
      <w:r>
        <w:rPr>
          <w:color w:val="231F20"/>
          <w:spacing w:val="-18"/>
          <w:w w:val="110"/>
        </w:rPr>
        <w:t> </w:t>
      </w:r>
      <w:r>
        <w:rPr>
          <w:color w:val="231F20"/>
          <w:w w:val="110"/>
        </w:rPr>
        <w:t>es</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temores</w:t>
      </w:r>
      <w:r>
        <w:rPr>
          <w:color w:val="231F20"/>
          <w:spacing w:val="-18"/>
          <w:w w:val="110"/>
        </w:rPr>
        <w:t> </w:t>
      </w:r>
      <w:r>
        <w:rPr>
          <w:color w:val="231F20"/>
          <w:w w:val="110"/>
        </w:rPr>
        <w:t>sobre</w:t>
      </w:r>
      <w:r>
        <w:rPr>
          <w:color w:val="231F20"/>
          <w:spacing w:val="-18"/>
          <w:w w:val="110"/>
        </w:rPr>
        <w:t> </w:t>
      </w:r>
      <w:r>
        <w:rPr>
          <w:color w:val="231F20"/>
          <w:w w:val="110"/>
        </w:rPr>
        <w:t>una</w:t>
      </w:r>
      <w:r>
        <w:rPr>
          <w:color w:val="231F20"/>
          <w:spacing w:val="-18"/>
          <w:w w:val="110"/>
        </w:rPr>
        <w:t> </w:t>
      </w:r>
      <w:r>
        <w:rPr>
          <w:color w:val="231F20"/>
          <w:spacing w:val="-2"/>
          <w:w w:val="110"/>
        </w:rPr>
        <w:t>crisis</w:t>
      </w:r>
      <w:r>
        <w:rPr>
          <w:color w:val="231F20"/>
          <w:spacing w:val="-2"/>
          <w:w w:val="101"/>
        </w:rPr>
        <w:t> </w:t>
      </w:r>
      <w:r>
        <w:rPr>
          <w:color w:val="231F20"/>
          <w:w w:val="110"/>
        </w:rPr>
        <w:t>fiscal</w:t>
      </w:r>
      <w:r>
        <w:rPr>
          <w:color w:val="231F20"/>
          <w:spacing w:val="-6"/>
          <w:w w:val="110"/>
        </w:rPr>
        <w:t> </w:t>
      </w:r>
      <w:r>
        <w:rPr>
          <w:color w:val="231F20"/>
          <w:w w:val="110"/>
        </w:rPr>
        <w:t>en</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mediano</w:t>
      </w:r>
      <w:r>
        <w:rPr>
          <w:color w:val="231F20"/>
          <w:spacing w:val="-6"/>
          <w:w w:val="110"/>
        </w:rPr>
        <w:t> </w:t>
      </w:r>
      <w:r>
        <w:rPr>
          <w:color w:val="231F20"/>
          <w:w w:val="110"/>
        </w:rPr>
        <w:t>y</w:t>
      </w:r>
      <w:r>
        <w:rPr>
          <w:color w:val="231F20"/>
          <w:spacing w:val="-6"/>
          <w:w w:val="110"/>
        </w:rPr>
        <w:t> </w:t>
      </w:r>
      <w:r>
        <w:rPr>
          <w:color w:val="231F20"/>
          <w:w w:val="110"/>
        </w:rPr>
        <w:t>largo</w:t>
      </w:r>
      <w:r>
        <w:rPr>
          <w:color w:val="231F20"/>
          <w:spacing w:val="-6"/>
          <w:w w:val="110"/>
        </w:rPr>
        <w:t> </w:t>
      </w:r>
      <w:r>
        <w:rPr>
          <w:color w:val="231F20"/>
          <w:w w:val="110"/>
        </w:rPr>
        <w:t>plazo</w:t>
      </w:r>
      <w:r>
        <w:rPr>
          <w:color w:val="231F20"/>
          <w:spacing w:val="-6"/>
          <w:w w:val="110"/>
        </w:rPr>
        <w:t> </w:t>
      </w:r>
      <w:r>
        <w:rPr>
          <w:color w:val="231F20"/>
          <w:w w:val="110"/>
        </w:rPr>
        <w:t>son</w:t>
      </w:r>
      <w:r>
        <w:rPr>
          <w:color w:val="231F20"/>
          <w:spacing w:val="-6"/>
          <w:w w:val="110"/>
        </w:rPr>
        <w:t> </w:t>
      </w:r>
      <w:r>
        <w:rPr>
          <w:color w:val="231F20"/>
          <w:w w:val="110"/>
        </w:rPr>
        <w:t>largamente</w:t>
      </w:r>
      <w:r>
        <w:rPr>
          <w:color w:val="231F20"/>
          <w:spacing w:val="-2"/>
          <w:w w:val="111"/>
        </w:rPr>
        <w:t> </w:t>
      </w:r>
      <w:r>
        <w:rPr>
          <w:color w:val="231F20"/>
          <w:w w:val="110"/>
        </w:rPr>
        <w:t>infundados. Si bien el incremento masivo del déficit fiscal</w:t>
      </w:r>
      <w:r>
        <w:rPr>
          <w:color w:val="231F20"/>
          <w:spacing w:val="-1"/>
          <w:w w:val="110"/>
        </w:rPr>
        <w:t> </w:t>
      </w:r>
      <w:r>
        <w:rPr>
          <w:color w:val="231F20"/>
          <w:w w:val="110"/>
        </w:rPr>
        <w:t>llevará</w:t>
      </w:r>
      <w:r>
        <w:rPr>
          <w:color w:val="231F20"/>
          <w:spacing w:val="-1"/>
          <w:w w:val="110"/>
        </w:rPr>
        <w:t> </w:t>
      </w:r>
      <w:r>
        <w:rPr>
          <w:color w:val="231F20"/>
          <w:w w:val="110"/>
        </w:rPr>
        <w:t>la</w:t>
      </w:r>
      <w:r>
        <w:rPr>
          <w:color w:val="231F20"/>
          <w:spacing w:val="-2"/>
          <w:w w:val="105"/>
        </w:rPr>
        <w:t> </w:t>
      </w:r>
      <w:r>
        <w:rPr>
          <w:color w:val="231F20"/>
          <w:w w:val="110"/>
        </w:rPr>
        <w:t>deuda pública nacional estadunidense a niveles no</w:t>
      </w:r>
      <w:r>
        <w:rPr>
          <w:color w:val="231F20"/>
          <w:spacing w:val="-27"/>
          <w:w w:val="110"/>
        </w:rPr>
        <w:t> </w:t>
      </w:r>
      <w:r>
        <w:rPr>
          <w:color w:val="231F20"/>
          <w:w w:val="110"/>
        </w:rPr>
        <w:t>observados</w:t>
      </w:r>
      <w:r>
        <w:rPr>
          <w:color w:val="231F20"/>
          <w:spacing w:val="-4"/>
          <w:w w:val="110"/>
        </w:rPr>
        <w:t> </w:t>
      </w:r>
      <w:r>
        <w:rPr>
          <w:color w:val="231F20"/>
          <w:w w:val="110"/>
        </w:rPr>
        <w:t>desde</w:t>
      </w:r>
      <w:r>
        <w:rPr>
          <w:color w:val="231F20"/>
          <w:spacing w:val="-2"/>
          <w:w w:val="110"/>
        </w:rPr>
        <w:t> </w:t>
      </w:r>
      <w:r>
        <w:rPr>
          <w:color w:val="231F20"/>
          <w:w w:val="110"/>
        </w:rPr>
        <w:t>la</w:t>
      </w:r>
      <w:r>
        <w:rPr>
          <w:color w:val="231F20"/>
          <w:spacing w:val="-14"/>
          <w:w w:val="110"/>
        </w:rPr>
        <w:t> </w:t>
      </w:r>
      <w:r>
        <w:rPr>
          <w:color w:val="231F20"/>
          <w:w w:val="110"/>
        </w:rPr>
        <w:t>segunda</w:t>
      </w:r>
      <w:r>
        <w:rPr>
          <w:color w:val="231F20"/>
          <w:spacing w:val="-14"/>
          <w:w w:val="110"/>
        </w:rPr>
        <w:t> </w:t>
      </w:r>
      <w:r>
        <w:rPr>
          <w:color w:val="231F20"/>
          <w:w w:val="110"/>
        </w:rPr>
        <w:t>guerra</w:t>
      </w:r>
      <w:r>
        <w:rPr>
          <w:color w:val="231F20"/>
          <w:spacing w:val="-14"/>
          <w:w w:val="110"/>
        </w:rPr>
        <w:t> </w:t>
      </w:r>
      <w:r>
        <w:rPr>
          <w:color w:val="231F20"/>
          <w:w w:val="110"/>
        </w:rPr>
        <w:t>mundial,</w:t>
      </w:r>
      <w:r>
        <w:rPr>
          <w:color w:val="231F20"/>
          <w:spacing w:val="-14"/>
          <w:w w:val="110"/>
        </w:rPr>
        <w:t> </w:t>
      </w:r>
      <w:r>
        <w:rPr>
          <w:color w:val="231F20"/>
          <w:w w:val="110"/>
        </w:rPr>
        <w:t>esto</w:t>
      </w:r>
      <w:r>
        <w:rPr>
          <w:color w:val="231F20"/>
          <w:spacing w:val="-14"/>
          <w:w w:val="110"/>
        </w:rPr>
        <w:t> </w:t>
      </w:r>
      <w:r>
        <w:rPr>
          <w:color w:val="231F20"/>
          <w:w w:val="110"/>
        </w:rPr>
        <w:t>ocurre</w:t>
      </w:r>
      <w:r>
        <w:rPr>
          <w:color w:val="231F20"/>
          <w:spacing w:val="-14"/>
          <w:w w:val="110"/>
        </w:rPr>
        <w:t> </w:t>
      </w:r>
      <w:r>
        <w:rPr>
          <w:color w:val="231F20"/>
          <w:w w:val="110"/>
        </w:rPr>
        <w:t>en</w:t>
      </w:r>
      <w:r>
        <w:rPr>
          <w:color w:val="231F20"/>
          <w:spacing w:val="-14"/>
          <w:w w:val="110"/>
        </w:rPr>
        <w:t> </w:t>
      </w:r>
      <w:r>
        <w:rPr>
          <w:color w:val="231F20"/>
          <w:w w:val="110"/>
        </w:rPr>
        <w:t>una</w:t>
      </w:r>
      <w:r>
        <w:rPr>
          <w:color w:val="231F20"/>
          <w:spacing w:val="-14"/>
          <w:w w:val="110"/>
        </w:rPr>
        <w:t> </w:t>
      </w:r>
      <w:r>
        <w:rPr>
          <w:color w:val="231F20"/>
          <w:w w:val="110"/>
        </w:rPr>
        <w:t>situación</w:t>
      </w:r>
      <w:r>
        <w:rPr>
          <w:color w:val="231F20"/>
          <w:spacing w:val="-14"/>
          <w:w w:val="110"/>
        </w:rPr>
        <w:t> </w:t>
      </w:r>
      <w:r>
        <w:rPr>
          <w:color w:val="231F20"/>
          <w:w w:val="110"/>
        </w:rPr>
        <w:t>caracterizado</w:t>
      </w:r>
      <w:r>
        <w:rPr>
          <w:color w:val="231F20"/>
          <w:spacing w:val="-2"/>
          <w:w w:val="109"/>
        </w:rPr>
        <w:t> </w:t>
      </w:r>
      <w:r>
        <w:rPr>
          <w:color w:val="231F20"/>
          <w:w w:val="110"/>
        </w:rPr>
        <w:t>por</w:t>
      </w:r>
      <w:r>
        <w:rPr>
          <w:color w:val="231F20"/>
          <w:spacing w:val="-26"/>
          <w:w w:val="110"/>
        </w:rPr>
        <w:t> </w:t>
      </w:r>
      <w:r>
        <w:rPr>
          <w:color w:val="231F20"/>
          <w:w w:val="110"/>
        </w:rPr>
        <w:t>la</w:t>
      </w:r>
      <w:r>
        <w:rPr>
          <w:color w:val="231F20"/>
          <w:spacing w:val="-26"/>
          <w:w w:val="110"/>
        </w:rPr>
        <w:t> </w:t>
      </w:r>
      <w:r>
        <w:rPr>
          <w:color w:val="231F20"/>
          <w:w w:val="110"/>
        </w:rPr>
        <w:t>caída</w:t>
      </w:r>
      <w:r>
        <w:rPr>
          <w:color w:val="231F20"/>
          <w:spacing w:val="-26"/>
          <w:w w:val="110"/>
        </w:rPr>
        <w:t> </w:t>
      </w:r>
      <w:r>
        <w:rPr>
          <w:color w:val="231F20"/>
          <w:w w:val="110"/>
        </w:rPr>
        <w:t>generalizada</w:t>
      </w:r>
      <w:r>
        <w:rPr>
          <w:color w:val="231F20"/>
          <w:spacing w:val="-26"/>
          <w:w w:val="110"/>
        </w:rPr>
        <w:t> </w:t>
      </w:r>
      <w:r>
        <w:rPr>
          <w:color w:val="231F20"/>
          <w:w w:val="110"/>
        </w:rPr>
        <w:t>del</w:t>
      </w:r>
      <w:r>
        <w:rPr>
          <w:color w:val="231F20"/>
          <w:spacing w:val="-26"/>
          <w:w w:val="110"/>
        </w:rPr>
        <w:t> </w:t>
      </w:r>
      <w:r>
        <w:rPr>
          <w:color w:val="231F20"/>
          <w:w w:val="110"/>
        </w:rPr>
        <w:t>consumo</w:t>
      </w:r>
      <w:r>
        <w:rPr>
          <w:color w:val="231F20"/>
          <w:spacing w:val="-26"/>
          <w:w w:val="110"/>
        </w:rPr>
        <w:t> </w:t>
      </w:r>
      <w:r>
        <w:rPr>
          <w:color w:val="231F20"/>
          <w:w w:val="110"/>
        </w:rPr>
        <w:t>e</w:t>
      </w:r>
      <w:r>
        <w:rPr>
          <w:color w:val="231F20"/>
          <w:spacing w:val="-26"/>
          <w:w w:val="110"/>
        </w:rPr>
        <w:t> </w:t>
      </w:r>
      <w:r>
        <w:rPr>
          <w:color w:val="231F20"/>
          <w:w w:val="110"/>
        </w:rPr>
        <w:t>inversión</w:t>
      </w:r>
      <w:r>
        <w:rPr>
          <w:color w:val="231F20"/>
          <w:spacing w:val="-26"/>
          <w:w w:val="110"/>
        </w:rPr>
        <w:t> </w:t>
      </w:r>
      <w:r>
        <w:rPr>
          <w:color w:val="231F20"/>
          <w:w w:val="110"/>
        </w:rPr>
        <w:t>privadas.</w:t>
      </w:r>
      <w:r>
        <w:rPr>
          <w:color w:val="231F20"/>
          <w:spacing w:val="-26"/>
          <w:w w:val="110"/>
        </w:rPr>
        <w:t> </w:t>
      </w:r>
      <w:r>
        <w:rPr>
          <w:color w:val="231F20"/>
          <w:spacing w:val="-8"/>
          <w:w w:val="110"/>
        </w:rPr>
        <w:t>Tal</w:t>
      </w:r>
      <w:r>
        <w:rPr>
          <w:color w:val="231F20"/>
          <w:spacing w:val="-26"/>
          <w:w w:val="110"/>
        </w:rPr>
        <w:t> </w:t>
      </w:r>
      <w:r>
        <w:rPr>
          <w:color w:val="231F20"/>
          <w:w w:val="110"/>
        </w:rPr>
        <w:t>y</w:t>
      </w:r>
      <w:r>
        <w:rPr>
          <w:color w:val="231F20"/>
          <w:spacing w:val="-26"/>
          <w:w w:val="110"/>
        </w:rPr>
        <w:t> </w:t>
      </w:r>
      <w:r>
        <w:rPr>
          <w:color w:val="231F20"/>
          <w:w w:val="110"/>
        </w:rPr>
        <w:t>como</w:t>
      </w:r>
      <w:r>
        <w:rPr>
          <w:color w:val="231F20"/>
          <w:spacing w:val="-2"/>
          <w:w w:val="109"/>
        </w:rPr>
        <w:t> </w:t>
      </w:r>
      <w:r>
        <w:rPr>
          <w:color w:val="231F20"/>
          <w:w w:val="110"/>
        </w:rPr>
        <w:t>lo</w:t>
      </w:r>
      <w:r>
        <w:rPr>
          <w:color w:val="231F20"/>
          <w:spacing w:val="-7"/>
          <w:w w:val="110"/>
        </w:rPr>
        <w:t> </w:t>
      </w:r>
      <w:r>
        <w:rPr>
          <w:color w:val="231F20"/>
          <w:w w:val="110"/>
        </w:rPr>
        <w:t>ha</w:t>
      </w:r>
      <w:r>
        <w:rPr>
          <w:color w:val="231F20"/>
          <w:spacing w:val="-7"/>
          <w:w w:val="110"/>
        </w:rPr>
        <w:t> </w:t>
      </w:r>
      <w:r>
        <w:rPr>
          <w:color w:val="231F20"/>
          <w:w w:val="110"/>
        </w:rPr>
        <w:t>demostrado</w:t>
      </w:r>
      <w:r>
        <w:rPr>
          <w:color w:val="231F20"/>
          <w:spacing w:val="-7"/>
          <w:w w:val="110"/>
        </w:rPr>
        <w:t> </w:t>
      </w:r>
      <w:r>
        <w:rPr>
          <w:color w:val="231F20"/>
          <w:w w:val="110"/>
        </w:rPr>
        <w:t>la</w:t>
      </w:r>
      <w:r>
        <w:rPr>
          <w:color w:val="231F20"/>
          <w:spacing w:val="-7"/>
          <w:w w:val="110"/>
        </w:rPr>
        <w:t> </w:t>
      </w:r>
      <w:r>
        <w:rPr>
          <w:color w:val="231F20"/>
          <w:w w:val="110"/>
        </w:rPr>
        <w:t>experiencia</w:t>
      </w:r>
      <w:r>
        <w:rPr>
          <w:color w:val="231F20"/>
          <w:spacing w:val="-7"/>
          <w:w w:val="110"/>
        </w:rPr>
        <w:t> </w:t>
      </w:r>
      <w:r>
        <w:rPr>
          <w:color w:val="231F20"/>
          <w:w w:val="110"/>
        </w:rPr>
        <w:t>japonesa</w:t>
      </w:r>
      <w:r>
        <w:rPr>
          <w:color w:val="231F20"/>
          <w:spacing w:val="-7"/>
          <w:w w:val="110"/>
        </w:rPr>
        <w:t> </w:t>
      </w:r>
      <w:r>
        <w:rPr>
          <w:color w:val="231F20"/>
          <w:w w:val="110"/>
        </w:rPr>
        <w:t>durante</w:t>
      </w:r>
      <w:r>
        <w:rPr>
          <w:color w:val="231F20"/>
          <w:spacing w:val="-7"/>
          <w:w w:val="110"/>
        </w:rPr>
        <w:t> </w:t>
      </w:r>
      <w:r>
        <w:rPr>
          <w:color w:val="231F20"/>
          <w:w w:val="110"/>
        </w:rPr>
        <w:t>los</w:t>
      </w:r>
      <w:r>
        <w:rPr>
          <w:color w:val="231F20"/>
          <w:spacing w:val="-7"/>
          <w:w w:val="110"/>
        </w:rPr>
        <w:t> </w:t>
      </w:r>
      <w:r>
        <w:rPr>
          <w:color w:val="231F20"/>
          <w:w w:val="110"/>
        </w:rPr>
        <w:t>dos</w:t>
      </w:r>
      <w:r>
        <w:rPr>
          <w:color w:val="231F20"/>
          <w:spacing w:val="-7"/>
          <w:w w:val="110"/>
        </w:rPr>
        <w:t> </w:t>
      </w:r>
      <w:r>
        <w:rPr>
          <w:color w:val="231F20"/>
          <w:w w:val="110"/>
        </w:rPr>
        <w:t>últimos</w:t>
      </w:r>
      <w:r>
        <w:rPr>
          <w:color w:val="231F20"/>
          <w:spacing w:val="-7"/>
          <w:w w:val="110"/>
        </w:rPr>
        <w:t> </w:t>
      </w:r>
      <w:r>
        <w:rPr>
          <w:color w:val="231F20"/>
          <w:w w:val="110"/>
        </w:rPr>
        <w:t>de-</w:t>
      </w:r>
      <w:r>
        <w:rPr>
          <w:color w:val="231F20"/>
          <w:w w:val="72"/>
        </w:rPr>
        <w:t> </w:t>
      </w:r>
      <w:r>
        <w:rPr>
          <w:color w:val="231F20"/>
          <w:w w:val="110"/>
        </w:rPr>
        <w:t>cenios,</w:t>
      </w:r>
      <w:r>
        <w:rPr>
          <w:color w:val="231F20"/>
          <w:spacing w:val="-16"/>
          <w:w w:val="110"/>
        </w:rPr>
        <w:t> </w:t>
      </w:r>
      <w:r>
        <w:rPr>
          <w:color w:val="231F20"/>
          <w:w w:val="110"/>
        </w:rPr>
        <w:t>un</w:t>
      </w:r>
      <w:r>
        <w:rPr>
          <w:color w:val="231F20"/>
          <w:spacing w:val="-16"/>
          <w:w w:val="110"/>
        </w:rPr>
        <w:t> </w:t>
      </w:r>
      <w:r>
        <w:rPr>
          <w:color w:val="231F20"/>
          <w:w w:val="110"/>
        </w:rPr>
        <w:t>incremento</w:t>
      </w:r>
      <w:r>
        <w:rPr>
          <w:color w:val="231F20"/>
          <w:spacing w:val="-16"/>
          <w:w w:val="110"/>
        </w:rPr>
        <w:t> </w:t>
      </w:r>
      <w:r>
        <w:rPr>
          <w:color w:val="231F20"/>
          <w:w w:val="110"/>
        </w:rPr>
        <w:t>significativo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deuda</w:t>
      </w:r>
      <w:r>
        <w:rPr>
          <w:color w:val="231F20"/>
          <w:spacing w:val="-16"/>
          <w:w w:val="110"/>
        </w:rPr>
        <w:t> </w:t>
      </w:r>
      <w:r>
        <w:rPr>
          <w:color w:val="231F20"/>
          <w:w w:val="110"/>
        </w:rPr>
        <w:t>pública</w:t>
      </w:r>
      <w:r>
        <w:rPr>
          <w:color w:val="231F20"/>
          <w:spacing w:val="-16"/>
          <w:w w:val="110"/>
        </w:rPr>
        <w:t> </w:t>
      </w: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tipo</w:t>
      </w:r>
      <w:r>
        <w:rPr>
          <w:color w:val="231F20"/>
          <w:spacing w:val="-16"/>
          <w:w w:val="110"/>
        </w:rPr>
        <w:t> </w:t>
      </w:r>
      <w:r>
        <w:rPr>
          <w:color w:val="231F20"/>
          <w:w w:val="110"/>
        </w:rPr>
        <w:t>de</w:t>
      </w:r>
      <w:r>
        <w:rPr>
          <w:color w:val="231F20"/>
          <w:spacing w:val="-2"/>
          <w:w w:val="114"/>
        </w:rPr>
        <w:t> </w:t>
      </w:r>
      <w:r>
        <w:rPr>
          <w:color w:val="231F20"/>
          <w:w w:val="110"/>
        </w:rPr>
        <w:t>contexto,</w:t>
      </w:r>
      <w:r>
        <w:rPr>
          <w:color w:val="231F20"/>
          <w:spacing w:val="-9"/>
          <w:w w:val="110"/>
        </w:rPr>
        <w:t> </w:t>
      </w:r>
      <w:r>
        <w:rPr>
          <w:color w:val="231F20"/>
          <w:w w:val="110"/>
        </w:rPr>
        <w:t>no</w:t>
      </w:r>
      <w:r>
        <w:rPr>
          <w:color w:val="231F20"/>
          <w:spacing w:val="-9"/>
          <w:w w:val="110"/>
        </w:rPr>
        <w:t> </w:t>
      </w:r>
      <w:r>
        <w:rPr>
          <w:color w:val="231F20"/>
          <w:w w:val="110"/>
        </w:rPr>
        <w:t>conlleva</w:t>
      </w:r>
      <w:r>
        <w:rPr>
          <w:color w:val="231F20"/>
          <w:spacing w:val="-9"/>
          <w:w w:val="110"/>
        </w:rPr>
        <w:t> </w:t>
      </w:r>
      <w:r>
        <w:rPr>
          <w:color w:val="231F20"/>
          <w:w w:val="110"/>
        </w:rPr>
        <w:t>necesariamente</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alza</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tasas</w:t>
      </w:r>
      <w:r>
        <w:rPr>
          <w:color w:val="231F20"/>
          <w:spacing w:val="-9"/>
          <w:w w:val="110"/>
        </w:rPr>
        <w:t> </w:t>
      </w:r>
      <w:r>
        <w:rPr>
          <w:color w:val="231F20"/>
          <w:w w:val="110"/>
        </w:rPr>
        <w:t>de</w:t>
      </w:r>
      <w:r>
        <w:rPr>
          <w:color w:val="231F20"/>
          <w:spacing w:val="-9"/>
          <w:w w:val="110"/>
        </w:rPr>
        <w:t> </w:t>
      </w:r>
      <w:r>
        <w:rPr>
          <w:color w:val="231F20"/>
          <w:w w:val="110"/>
        </w:rPr>
        <w:t>interés</w:t>
      </w:r>
      <w:r>
        <w:rPr>
          <w:color w:val="231F20"/>
          <w:spacing w:val="-2"/>
          <w:w w:val="111"/>
        </w:rPr>
        <w:t> </w:t>
      </w:r>
      <w:r>
        <w:rPr>
          <w:color w:val="231F20"/>
          <w:w w:val="110"/>
        </w:rPr>
        <w:t>o inflación, en la medida en que el gasto deficitario del</w:t>
      </w:r>
      <w:r>
        <w:rPr>
          <w:color w:val="231F20"/>
          <w:spacing w:val="24"/>
          <w:w w:val="110"/>
        </w:rPr>
        <w:t> </w:t>
      </w:r>
      <w:r>
        <w:rPr>
          <w:color w:val="231F20"/>
          <w:w w:val="110"/>
        </w:rPr>
        <w:t>gobierno</w:t>
      </w:r>
      <w:r>
        <w:rPr>
          <w:color w:val="231F20"/>
          <w:spacing w:val="7"/>
          <w:w w:val="110"/>
        </w:rPr>
        <w:t> </w:t>
      </w:r>
      <w:r>
        <w:rPr>
          <w:color w:val="231F20"/>
          <w:w w:val="110"/>
        </w:rPr>
        <w:t>es</w:t>
      </w:r>
      <w:r>
        <w:rPr>
          <w:color w:val="231F20"/>
          <w:spacing w:val="-2"/>
          <w:w w:val="103"/>
        </w:rPr>
        <w:t> </w:t>
      </w:r>
      <w:r>
        <w:rPr>
          <w:color w:val="231F20"/>
          <w:w w:val="110"/>
        </w:rPr>
        <w:t>el</w:t>
      </w:r>
      <w:r>
        <w:rPr>
          <w:color w:val="231F20"/>
          <w:spacing w:val="-13"/>
          <w:w w:val="110"/>
        </w:rPr>
        <w:t> </w:t>
      </w:r>
      <w:r>
        <w:rPr>
          <w:color w:val="231F20"/>
          <w:w w:val="110"/>
        </w:rPr>
        <w:t>elemento</w:t>
      </w:r>
      <w:r>
        <w:rPr>
          <w:color w:val="231F20"/>
          <w:spacing w:val="-13"/>
          <w:w w:val="110"/>
        </w:rPr>
        <w:t> </w:t>
      </w:r>
      <w:r>
        <w:rPr>
          <w:color w:val="231F20"/>
          <w:w w:val="110"/>
        </w:rPr>
        <w:t>clave</w:t>
      </w:r>
      <w:r>
        <w:rPr>
          <w:color w:val="231F20"/>
          <w:spacing w:val="-13"/>
          <w:w w:val="110"/>
        </w:rPr>
        <w:t> </w:t>
      </w:r>
      <w:r>
        <w:rPr>
          <w:color w:val="231F20"/>
          <w:w w:val="110"/>
        </w:rPr>
        <w:t>que</w:t>
      </w:r>
      <w:r>
        <w:rPr>
          <w:color w:val="231F20"/>
          <w:spacing w:val="-13"/>
          <w:w w:val="110"/>
        </w:rPr>
        <w:t> </w:t>
      </w:r>
      <w:r>
        <w:rPr>
          <w:color w:val="231F20"/>
          <w:w w:val="110"/>
        </w:rPr>
        <w:t>impide</w:t>
      </w:r>
      <w:r>
        <w:rPr>
          <w:color w:val="231F20"/>
          <w:spacing w:val="-13"/>
          <w:w w:val="110"/>
        </w:rPr>
        <w:t> </w:t>
      </w:r>
      <w:r>
        <w:rPr>
          <w:color w:val="231F20"/>
          <w:w w:val="110"/>
        </w:rPr>
        <w:t>un</w:t>
      </w:r>
      <w:r>
        <w:rPr>
          <w:color w:val="231F20"/>
          <w:spacing w:val="-13"/>
          <w:w w:val="110"/>
        </w:rPr>
        <w:t> </w:t>
      </w:r>
      <w:r>
        <w:rPr>
          <w:color w:val="231F20"/>
          <w:w w:val="110"/>
        </w:rPr>
        <w:t>escenario</w:t>
      </w:r>
      <w:r>
        <w:rPr>
          <w:color w:val="231F20"/>
          <w:spacing w:val="-13"/>
          <w:w w:val="110"/>
        </w:rPr>
        <w:t> </w:t>
      </w:r>
      <w:r>
        <w:rPr>
          <w:color w:val="231F20"/>
          <w:w w:val="110"/>
        </w:rPr>
        <w:t>recesivo</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economía</w:t>
      </w:r>
      <w:r>
        <w:rPr>
          <w:color w:val="231F20"/>
          <w:spacing w:val="-13"/>
          <w:w w:val="110"/>
        </w:rPr>
        <w:t> </w:t>
      </w:r>
      <w:r>
        <w:rPr>
          <w:color w:val="231F20"/>
          <w:w w:val="110"/>
        </w:rPr>
        <w:t>al</w:t>
      </w:r>
    </w:p>
    <w:p>
      <w:pPr>
        <w:pStyle w:val="BodyText"/>
        <w:ind w:left="100" w:right="25"/>
      </w:pPr>
      <w:r>
        <w:rPr>
          <w:color w:val="231F20"/>
          <w:w w:val="110"/>
        </w:rPr>
        <w:t>permitir la acumulación de excedentes en el sector privado.</w:t>
      </w:r>
    </w:p>
    <w:p>
      <w:pPr>
        <w:pStyle w:val="BodyText"/>
        <w:spacing w:line="261" w:lineRule="auto" w:before="20"/>
        <w:ind w:left="100" w:right="117" w:firstLine="240"/>
        <w:jc w:val="both"/>
      </w:pPr>
      <w:r>
        <w:rPr>
          <w:color w:val="231F20"/>
          <w:w w:val="110"/>
        </w:rPr>
        <w:t>El </w:t>
      </w:r>
      <w:r>
        <w:rPr>
          <w:color w:val="231F20"/>
          <w:spacing w:val="-4"/>
          <w:w w:val="110"/>
        </w:rPr>
        <w:t>trabajo </w:t>
      </w:r>
      <w:r>
        <w:rPr>
          <w:color w:val="231F20"/>
          <w:spacing w:val="-3"/>
          <w:w w:val="110"/>
        </w:rPr>
        <w:t>está </w:t>
      </w:r>
      <w:r>
        <w:rPr>
          <w:color w:val="231F20"/>
          <w:spacing w:val="-4"/>
          <w:w w:val="110"/>
        </w:rPr>
        <w:t>organizado </w:t>
      </w:r>
      <w:r>
        <w:rPr>
          <w:color w:val="231F20"/>
          <w:w w:val="110"/>
        </w:rPr>
        <w:t>de la </w:t>
      </w:r>
      <w:r>
        <w:rPr>
          <w:color w:val="231F20"/>
          <w:spacing w:val="-4"/>
          <w:w w:val="110"/>
        </w:rPr>
        <w:t>siguiente forma. </w:t>
      </w:r>
      <w:r>
        <w:rPr>
          <w:color w:val="231F20"/>
          <w:w w:val="110"/>
        </w:rPr>
        <w:t>En la </w:t>
      </w:r>
      <w:r>
        <w:rPr>
          <w:color w:val="231F20"/>
          <w:spacing w:val="-4"/>
          <w:w w:val="110"/>
        </w:rPr>
        <w:t>primera </w:t>
      </w:r>
      <w:r>
        <w:rPr>
          <w:color w:val="231F20"/>
          <w:spacing w:val="-3"/>
          <w:w w:val="110"/>
        </w:rPr>
        <w:t>sec- ción</w:t>
      </w:r>
      <w:r>
        <w:rPr>
          <w:color w:val="231F20"/>
          <w:spacing w:val="-26"/>
          <w:w w:val="110"/>
        </w:rPr>
        <w:t> </w:t>
      </w:r>
      <w:r>
        <w:rPr>
          <w:color w:val="231F20"/>
          <w:w w:val="110"/>
        </w:rPr>
        <w:t>se</w:t>
      </w:r>
      <w:r>
        <w:rPr>
          <w:color w:val="231F20"/>
          <w:spacing w:val="-26"/>
          <w:w w:val="110"/>
        </w:rPr>
        <w:t> </w:t>
      </w:r>
      <w:r>
        <w:rPr>
          <w:color w:val="231F20"/>
          <w:spacing w:val="-4"/>
          <w:w w:val="110"/>
        </w:rPr>
        <w:t>analiza</w:t>
      </w:r>
      <w:r>
        <w:rPr>
          <w:color w:val="231F20"/>
          <w:spacing w:val="-26"/>
          <w:w w:val="110"/>
        </w:rPr>
        <w:t> </w:t>
      </w:r>
      <w:r>
        <w:rPr>
          <w:color w:val="231F20"/>
          <w:w w:val="110"/>
        </w:rPr>
        <w:t>la</w:t>
      </w:r>
      <w:r>
        <w:rPr>
          <w:color w:val="231F20"/>
          <w:spacing w:val="-26"/>
          <w:w w:val="110"/>
        </w:rPr>
        <w:t> </w:t>
      </w:r>
      <w:r>
        <w:rPr>
          <w:color w:val="231F20"/>
          <w:spacing w:val="-4"/>
          <w:w w:val="110"/>
        </w:rPr>
        <w:t>evolución</w:t>
      </w:r>
      <w:r>
        <w:rPr>
          <w:color w:val="231F20"/>
          <w:spacing w:val="-26"/>
          <w:w w:val="110"/>
        </w:rPr>
        <w:t> </w:t>
      </w:r>
      <w:r>
        <w:rPr>
          <w:color w:val="231F20"/>
          <w:spacing w:val="-3"/>
          <w:w w:val="110"/>
        </w:rPr>
        <w:t>del</w:t>
      </w:r>
      <w:r>
        <w:rPr>
          <w:color w:val="231F20"/>
          <w:spacing w:val="-26"/>
          <w:w w:val="110"/>
        </w:rPr>
        <w:t> </w:t>
      </w:r>
      <w:r>
        <w:rPr>
          <w:color w:val="231F20"/>
          <w:spacing w:val="-3"/>
          <w:w w:val="110"/>
        </w:rPr>
        <w:t>déficit</w:t>
      </w:r>
      <w:r>
        <w:rPr>
          <w:color w:val="231F20"/>
          <w:spacing w:val="-26"/>
          <w:w w:val="110"/>
        </w:rPr>
        <w:t> </w:t>
      </w:r>
      <w:r>
        <w:rPr>
          <w:color w:val="231F20"/>
          <w:spacing w:val="-3"/>
          <w:w w:val="110"/>
        </w:rPr>
        <w:t>fiscal</w:t>
      </w:r>
      <w:r>
        <w:rPr>
          <w:color w:val="231F20"/>
          <w:spacing w:val="-26"/>
          <w:w w:val="110"/>
        </w:rPr>
        <w:t> </w:t>
      </w:r>
      <w:r>
        <w:rPr>
          <w:color w:val="231F20"/>
          <w:w w:val="110"/>
        </w:rPr>
        <w:t>de</w:t>
      </w:r>
      <w:r>
        <w:rPr>
          <w:color w:val="231F20"/>
          <w:spacing w:val="-26"/>
          <w:w w:val="110"/>
        </w:rPr>
        <w:t> </w:t>
      </w:r>
      <w:r>
        <w:rPr>
          <w:color w:val="231F20"/>
          <w:spacing w:val="-4"/>
          <w:w w:val="110"/>
        </w:rPr>
        <w:t>Estados</w:t>
      </w:r>
      <w:r>
        <w:rPr>
          <w:color w:val="231F20"/>
          <w:spacing w:val="-26"/>
          <w:w w:val="110"/>
        </w:rPr>
        <w:t> </w:t>
      </w:r>
      <w:r>
        <w:rPr>
          <w:color w:val="231F20"/>
          <w:spacing w:val="-4"/>
          <w:w w:val="110"/>
        </w:rPr>
        <w:t>Unidos,</w:t>
      </w:r>
      <w:r>
        <w:rPr>
          <w:color w:val="231F20"/>
          <w:spacing w:val="-26"/>
          <w:w w:val="110"/>
        </w:rPr>
        <w:t> </w:t>
      </w:r>
      <w:r>
        <w:rPr>
          <w:color w:val="231F20"/>
          <w:spacing w:val="-3"/>
          <w:w w:val="110"/>
        </w:rPr>
        <w:t>así</w:t>
      </w:r>
      <w:r>
        <w:rPr>
          <w:color w:val="231F20"/>
          <w:spacing w:val="-23"/>
          <w:w w:val="110"/>
        </w:rPr>
        <w:t> </w:t>
      </w:r>
      <w:r>
        <w:rPr>
          <w:color w:val="231F20"/>
          <w:w w:val="110"/>
        </w:rPr>
        <w:t>como</w:t>
      </w:r>
      <w:r>
        <w:rPr>
          <w:color w:val="231F20"/>
          <w:w w:val="112"/>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deuda</w:t>
      </w:r>
      <w:r>
        <w:rPr>
          <w:color w:val="231F20"/>
          <w:spacing w:val="-13"/>
          <w:w w:val="110"/>
        </w:rPr>
        <w:t> </w:t>
      </w:r>
      <w:r>
        <w:rPr>
          <w:color w:val="231F20"/>
          <w:w w:val="110"/>
        </w:rPr>
        <w:t>pública</w:t>
      </w:r>
      <w:r>
        <w:rPr>
          <w:color w:val="231F20"/>
          <w:spacing w:val="-13"/>
          <w:w w:val="110"/>
        </w:rPr>
        <w:t> </w:t>
      </w:r>
      <w:r>
        <w:rPr>
          <w:color w:val="231F20"/>
          <w:w w:val="110"/>
        </w:rPr>
        <w:t>de</w:t>
      </w:r>
      <w:r>
        <w:rPr>
          <w:color w:val="231F20"/>
          <w:spacing w:val="-13"/>
          <w:w w:val="110"/>
        </w:rPr>
        <w:t> </w:t>
      </w:r>
      <w:r>
        <w:rPr>
          <w:color w:val="231F20"/>
          <w:w w:val="110"/>
        </w:rPr>
        <w:t>dicho</w:t>
      </w:r>
      <w:r>
        <w:rPr>
          <w:color w:val="231F20"/>
          <w:spacing w:val="-13"/>
          <w:w w:val="110"/>
        </w:rPr>
        <w:t> </w:t>
      </w:r>
      <w:r>
        <w:rPr>
          <w:color w:val="231F20"/>
          <w:w w:val="110"/>
        </w:rPr>
        <w:t>país,</w:t>
      </w:r>
      <w:r>
        <w:rPr>
          <w:color w:val="231F20"/>
          <w:spacing w:val="-13"/>
          <w:w w:val="110"/>
        </w:rPr>
        <w:t> </w:t>
      </w:r>
      <w:r>
        <w:rPr>
          <w:color w:val="231F20"/>
          <w:w w:val="110"/>
        </w:rPr>
        <w:t>desde</w:t>
      </w:r>
      <w:r>
        <w:rPr>
          <w:color w:val="231F20"/>
          <w:spacing w:val="-13"/>
          <w:w w:val="110"/>
        </w:rPr>
        <w:t> </w:t>
      </w:r>
      <w:r>
        <w:rPr>
          <w:color w:val="231F20"/>
          <w:w w:val="110"/>
        </w:rPr>
        <w:t>una</w:t>
      </w:r>
      <w:r>
        <w:rPr>
          <w:color w:val="231F20"/>
          <w:spacing w:val="-13"/>
          <w:w w:val="110"/>
        </w:rPr>
        <w:t> </w:t>
      </w:r>
      <w:r>
        <w:rPr>
          <w:color w:val="231F20"/>
          <w:w w:val="110"/>
        </w:rPr>
        <w:t>perspectiva</w:t>
      </w:r>
      <w:r>
        <w:rPr>
          <w:color w:val="231F20"/>
          <w:spacing w:val="-13"/>
          <w:w w:val="110"/>
        </w:rPr>
        <w:t> </w:t>
      </w:r>
      <w:r>
        <w:rPr>
          <w:color w:val="231F20"/>
          <w:w w:val="110"/>
        </w:rPr>
        <w:t>histórica.</w:t>
      </w:r>
      <w:r>
        <w:rPr>
          <w:color w:val="231F20"/>
          <w:spacing w:val="-13"/>
          <w:w w:val="110"/>
        </w:rPr>
        <w:t> </w:t>
      </w:r>
      <w:r>
        <w:rPr>
          <w:color w:val="231F20"/>
          <w:w w:val="110"/>
        </w:rPr>
        <w:t>En la</w:t>
      </w:r>
      <w:r>
        <w:rPr>
          <w:color w:val="231F20"/>
          <w:spacing w:val="-9"/>
          <w:w w:val="110"/>
        </w:rPr>
        <w:t> </w:t>
      </w:r>
      <w:r>
        <w:rPr>
          <w:color w:val="231F20"/>
          <w:w w:val="110"/>
        </w:rPr>
        <w:t>segunda</w:t>
      </w:r>
      <w:r>
        <w:rPr>
          <w:color w:val="231F20"/>
          <w:spacing w:val="-9"/>
          <w:w w:val="110"/>
        </w:rPr>
        <w:t> </w:t>
      </w:r>
      <w:r>
        <w:rPr>
          <w:color w:val="231F20"/>
          <w:w w:val="110"/>
        </w:rPr>
        <w:t>sección</w:t>
      </w:r>
      <w:r>
        <w:rPr>
          <w:color w:val="231F20"/>
          <w:spacing w:val="-9"/>
          <w:w w:val="110"/>
        </w:rPr>
        <w:t> </w:t>
      </w:r>
      <w:r>
        <w:rPr>
          <w:color w:val="231F20"/>
          <w:w w:val="110"/>
        </w:rPr>
        <w:t>se</w:t>
      </w:r>
      <w:r>
        <w:rPr>
          <w:color w:val="231F20"/>
          <w:spacing w:val="-9"/>
          <w:w w:val="110"/>
        </w:rPr>
        <w:t> </w:t>
      </w:r>
      <w:r>
        <w:rPr>
          <w:color w:val="231F20"/>
          <w:w w:val="110"/>
        </w:rPr>
        <w:t>resaltan</w:t>
      </w:r>
      <w:r>
        <w:rPr>
          <w:color w:val="231F20"/>
          <w:spacing w:val="-9"/>
          <w:w w:val="110"/>
        </w:rPr>
        <w:t> </w:t>
      </w:r>
      <w:r>
        <w:rPr>
          <w:color w:val="231F20"/>
          <w:w w:val="110"/>
        </w:rPr>
        <w:t>las</w:t>
      </w:r>
      <w:r>
        <w:rPr>
          <w:color w:val="231F20"/>
          <w:spacing w:val="-9"/>
          <w:w w:val="110"/>
        </w:rPr>
        <w:t> </w:t>
      </w:r>
      <w:r>
        <w:rPr>
          <w:color w:val="231F20"/>
          <w:w w:val="110"/>
        </w:rPr>
        <w:t>similitudes</w:t>
      </w:r>
      <w:r>
        <w:rPr>
          <w:color w:val="231F20"/>
          <w:spacing w:val="-9"/>
          <w:w w:val="110"/>
        </w:rPr>
        <w:t> </w:t>
      </w:r>
      <w:r>
        <w:rPr>
          <w:color w:val="231F20"/>
          <w:w w:val="110"/>
        </w:rPr>
        <w:t>entre</w:t>
      </w:r>
      <w:r>
        <w:rPr>
          <w:color w:val="231F20"/>
          <w:spacing w:val="-9"/>
          <w:w w:val="110"/>
        </w:rPr>
        <w:t> </w:t>
      </w:r>
      <w:r>
        <w:rPr>
          <w:color w:val="231F20"/>
          <w:w w:val="110"/>
        </w:rPr>
        <w:t>la</w:t>
      </w:r>
      <w:r>
        <w:rPr>
          <w:color w:val="231F20"/>
          <w:spacing w:val="-9"/>
          <w:w w:val="110"/>
        </w:rPr>
        <w:t> </w:t>
      </w:r>
      <w:r>
        <w:rPr>
          <w:color w:val="231F20"/>
          <w:w w:val="110"/>
        </w:rPr>
        <w:t>situación</w:t>
      </w:r>
      <w:r>
        <w:rPr>
          <w:color w:val="231F20"/>
          <w:spacing w:val="-9"/>
          <w:w w:val="110"/>
        </w:rPr>
        <w:t> </w:t>
      </w:r>
      <w:r>
        <w:rPr>
          <w:color w:val="231F20"/>
          <w:w w:val="110"/>
        </w:rPr>
        <w:t>actual que enfrenta la economía de Estados Unidos y la economía</w:t>
      </w:r>
      <w:r>
        <w:rPr>
          <w:color w:val="231F20"/>
          <w:spacing w:val="-28"/>
          <w:w w:val="110"/>
        </w:rPr>
        <w:t> </w:t>
      </w:r>
      <w:r>
        <w:rPr>
          <w:color w:val="231F20"/>
          <w:w w:val="110"/>
        </w:rPr>
        <w:t>japonesa después del colapso de la burbuja inmobiliaria en esta economía a finales</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años</w:t>
      </w:r>
      <w:r>
        <w:rPr>
          <w:color w:val="231F20"/>
          <w:spacing w:val="-4"/>
          <w:w w:val="110"/>
        </w:rPr>
        <w:t> </w:t>
      </w:r>
      <w:r>
        <w:rPr>
          <w:color w:val="231F20"/>
          <w:w w:val="110"/>
        </w:rPr>
        <w:t>ochenta.</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tercera</w:t>
      </w:r>
      <w:r>
        <w:rPr>
          <w:color w:val="231F20"/>
          <w:spacing w:val="-4"/>
          <w:w w:val="110"/>
        </w:rPr>
        <w:t> </w:t>
      </w:r>
      <w:r>
        <w:rPr>
          <w:color w:val="231F20"/>
          <w:w w:val="110"/>
        </w:rPr>
        <w:t>y</w:t>
      </w:r>
      <w:r>
        <w:rPr>
          <w:color w:val="231F20"/>
          <w:spacing w:val="-4"/>
          <w:w w:val="110"/>
        </w:rPr>
        <w:t> </w:t>
      </w:r>
      <w:r>
        <w:rPr>
          <w:color w:val="231F20"/>
          <w:w w:val="110"/>
        </w:rPr>
        <w:t>ultima</w:t>
      </w:r>
      <w:r>
        <w:rPr>
          <w:color w:val="231F20"/>
          <w:spacing w:val="-4"/>
          <w:w w:val="110"/>
        </w:rPr>
        <w:t> </w:t>
      </w:r>
      <w:r>
        <w:rPr>
          <w:color w:val="231F20"/>
          <w:w w:val="110"/>
        </w:rPr>
        <w:t>sección,</w:t>
      </w:r>
      <w:r>
        <w:rPr>
          <w:color w:val="231F20"/>
          <w:spacing w:val="-4"/>
          <w:w w:val="110"/>
        </w:rPr>
        <w:t> </w:t>
      </w:r>
      <w:r>
        <w:rPr>
          <w:color w:val="231F20"/>
          <w:w w:val="110"/>
        </w:rPr>
        <w:t>se</w:t>
      </w:r>
      <w:r>
        <w:rPr>
          <w:color w:val="231F20"/>
          <w:spacing w:val="-4"/>
          <w:w w:val="110"/>
        </w:rPr>
        <w:t> </w:t>
      </w:r>
      <w:r>
        <w:rPr>
          <w:color w:val="231F20"/>
          <w:w w:val="110"/>
        </w:rPr>
        <w:t>estudia como los cambios estructurales que están teniendo lugar en la eco- nomía estadunidense producto de la crisis financiera transfiguran </w:t>
      </w:r>
      <w:r>
        <w:rPr>
          <w:color w:val="231F20"/>
          <w:spacing w:val="3"/>
          <w:w w:val="110"/>
        </w:rPr>
        <w:t> </w:t>
      </w:r>
      <w:r>
        <w:rPr>
          <w:color w:val="231F20"/>
          <w:w w:val="110"/>
        </w:rPr>
        <w:t>el</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20" w:right="25"/>
      </w:pPr>
      <w:r>
        <w:rPr>
          <w:color w:val="231F20"/>
          <w:w w:val="110"/>
        </w:rPr>
        <w:t>esquema de financiamiento del déficit fiscal, y las implicaciones de esta transformación para el dólar.</w:t>
      </w:r>
    </w:p>
    <w:p>
      <w:pPr>
        <w:pStyle w:val="BodyText"/>
      </w:pPr>
    </w:p>
    <w:p>
      <w:pPr>
        <w:pStyle w:val="BodyText"/>
      </w:pPr>
    </w:p>
    <w:p>
      <w:pPr>
        <w:pStyle w:val="BodyText"/>
        <w:spacing w:before="2"/>
        <w:rPr>
          <w:sz w:val="25"/>
        </w:rPr>
      </w:pPr>
    </w:p>
    <w:p>
      <w:pPr>
        <w:pStyle w:val="BodyText"/>
        <w:ind w:left="120" w:right="25"/>
      </w:pPr>
      <w:r>
        <w:rPr>
          <w:color w:val="231F20"/>
          <w:w w:val="130"/>
        </w:rPr>
        <w:t>el déficit fiscal de estados unidos en perspectiva</w:t>
      </w:r>
    </w:p>
    <w:p>
      <w:pPr>
        <w:pStyle w:val="BodyText"/>
        <w:spacing w:before="5"/>
        <w:rPr>
          <w:sz w:val="23"/>
        </w:rPr>
      </w:pPr>
    </w:p>
    <w:p>
      <w:pPr>
        <w:pStyle w:val="BodyText"/>
        <w:spacing w:line="261" w:lineRule="auto"/>
        <w:ind w:left="50" w:right="117"/>
        <w:jc w:val="right"/>
      </w:pPr>
      <w:r>
        <w:rPr>
          <w:color w:val="231F20"/>
          <w:w w:val="110"/>
        </w:rPr>
        <w:t>De </w:t>
      </w:r>
      <w:r>
        <w:rPr>
          <w:color w:val="231F20"/>
          <w:spacing w:val="2"/>
          <w:w w:val="110"/>
        </w:rPr>
        <w:t>acuerdo </w:t>
      </w:r>
      <w:r>
        <w:rPr>
          <w:color w:val="231F20"/>
          <w:w w:val="110"/>
        </w:rPr>
        <w:t>a las </w:t>
      </w:r>
      <w:r>
        <w:rPr>
          <w:color w:val="231F20"/>
          <w:spacing w:val="2"/>
          <w:w w:val="110"/>
        </w:rPr>
        <w:t>proyecciones </w:t>
      </w:r>
      <w:r>
        <w:rPr>
          <w:color w:val="231F20"/>
          <w:w w:val="110"/>
        </w:rPr>
        <w:t>del</w:t>
      </w:r>
      <w:r>
        <w:rPr>
          <w:color w:val="231F20"/>
          <w:spacing w:val="28"/>
          <w:w w:val="110"/>
        </w:rPr>
        <w:t> </w:t>
      </w:r>
      <w:r>
        <w:rPr>
          <w:color w:val="231F20"/>
          <w:spacing w:val="2"/>
          <w:w w:val="110"/>
        </w:rPr>
        <w:t>Congressional Budget</w:t>
      </w:r>
      <w:r>
        <w:rPr>
          <w:color w:val="231F20"/>
          <w:spacing w:val="36"/>
          <w:w w:val="110"/>
        </w:rPr>
        <w:t> </w:t>
      </w:r>
      <w:r>
        <w:rPr>
          <w:color w:val="231F20"/>
          <w:spacing w:val="2"/>
          <w:w w:val="110"/>
        </w:rPr>
        <w:t>Office</w:t>
      </w:r>
      <w:r>
        <w:rPr>
          <w:color w:val="231F20"/>
          <w:spacing w:val="3"/>
          <w:w w:val="108"/>
        </w:rPr>
        <w:t> </w:t>
      </w:r>
      <w:r>
        <w:rPr>
          <w:color w:val="231F20"/>
          <w:w w:val="110"/>
        </w:rPr>
        <w:t>(cbo), el déficit fiscal de los Estados Unidos para el año</w:t>
      </w:r>
      <w:r>
        <w:rPr>
          <w:color w:val="231F20"/>
          <w:spacing w:val="17"/>
          <w:w w:val="110"/>
        </w:rPr>
        <w:t> </w:t>
      </w:r>
      <w:r>
        <w:rPr>
          <w:color w:val="231F20"/>
          <w:w w:val="110"/>
        </w:rPr>
        <w:t>2009</w:t>
      </w:r>
      <w:r>
        <w:rPr>
          <w:color w:val="231F20"/>
          <w:spacing w:val="1"/>
          <w:w w:val="110"/>
        </w:rPr>
        <w:t> </w:t>
      </w:r>
      <w:r>
        <w:rPr>
          <w:color w:val="231F20"/>
          <w:w w:val="110"/>
        </w:rPr>
        <w:t>repre-</w:t>
      </w:r>
      <w:r>
        <w:rPr>
          <w:color w:val="231F20"/>
          <w:w w:val="72"/>
        </w:rPr>
        <w:t> </w:t>
      </w:r>
      <w:r>
        <w:rPr>
          <w:color w:val="231F20"/>
          <w:w w:val="110"/>
        </w:rPr>
        <w:t>sentará un récord histórico en el periodo de posguerra,</w:t>
      </w:r>
      <w:r>
        <w:rPr>
          <w:color w:val="231F20"/>
          <w:spacing w:val="-38"/>
          <w:w w:val="110"/>
        </w:rPr>
        <w:t> </w:t>
      </w:r>
      <w:r>
        <w:rPr>
          <w:color w:val="231F20"/>
          <w:w w:val="110"/>
        </w:rPr>
        <w:t>alcanzando</w:t>
      </w:r>
      <w:r>
        <w:rPr>
          <w:color w:val="231F20"/>
          <w:spacing w:val="-5"/>
          <w:w w:val="110"/>
        </w:rPr>
        <w:t> </w:t>
      </w:r>
      <w:r>
        <w:rPr>
          <w:color w:val="231F20"/>
          <w:w w:val="110"/>
        </w:rPr>
        <w:t>la</w:t>
      </w:r>
      <w:r>
        <w:rPr>
          <w:color w:val="231F20"/>
          <w:w w:val="105"/>
        </w:rPr>
        <w:t> </w:t>
      </w:r>
      <w:r>
        <w:rPr>
          <w:color w:val="231F20"/>
          <w:w w:val="110"/>
        </w:rPr>
        <w:t>marca</w:t>
      </w:r>
      <w:r>
        <w:rPr>
          <w:color w:val="231F20"/>
          <w:spacing w:val="-4"/>
          <w:w w:val="110"/>
        </w:rPr>
        <w:t> </w:t>
      </w:r>
      <w:r>
        <w:rPr>
          <w:color w:val="231F20"/>
          <w:w w:val="110"/>
        </w:rPr>
        <w:t>11.2%</w:t>
      </w:r>
      <w:r>
        <w:rPr>
          <w:color w:val="231F20"/>
          <w:spacing w:val="-4"/>
          <w:w w:val="110"/>
        </w:rPr>
        <w:t> </w:t>
      </w:r>
      <w:r>
        <w:rPr>
          <w:color w:val="231F20"/>
          <w:w w:val="110"/>
        </w:rPr>
        <w:t>del</w:t>
      </w:r>
      <w:r>
        <w:rPr>
          <w:color w:val="231F20"/>
          <w:spacing w:val="-4"/>
          <w:w w:val="110"/>
        </w:rPr>
        <w:t> </w:t>
      </w:r>
      <w:r>
        <w:rPr>
          <w:color w:val="231F20"/>
          <w:w w:val="110"/>
        </w:rPr>
        <w:t>pib</w:t>
      </w:r>
      <w:r>
        <w:rPr>
          <w:color w:val="231F20"/>
          <w:spacing w:val="-4"/>
          <w:w w:val="110"/>
        </w:rPr>
        <w:t> </w:t>
      </w:r>
      <w:r>
        <w:rPr>
          <w:color w:val="231F20"/>
          <w:w w:val="110"/>
        </w:rPr>
        <w:t>(cbo,</w:t>
      </w:r>
      <w:r>
        <w:rPr>
          <w:color w:val="231F20"/>
          <w:spacing w:val="-4"/>
          <w:w w:val="110"/>
        </w:rPr>
        <w:t> </w:t>
      </w:r>
      <w:r>
        <w:rPr>
          <w:color w:val="231F20"/>
          <w:w w:val="110"/>
        </w:rPr>
        <w:t>2009:</w:t>
      </w:r>
      <w:r>
        <w:rPr>
          <w:color w:val="231F20"/>
          <w:spacing w:val="-4"/>
          <w:w w:val="110"/>
        </w:rPr>
        <w:t> </w:t>
      </w:r>
      <w:r>
        <w:rPr>
          <w:color w:val="231F20"/>
          <w:w w:val="110"/>
        </w:rPr>
        <w:t>2).</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único</w:t>
      </w:r>
      <w:r>
        <w:rPr>
          <w:color w:val="231F20"/>
          <w:spacing w:val="-4"/>
          <w:w w:val="110"/>
        </w:rPr>
        <w:t> </w:t>
      </w:r>
      <w:r>
        <w:rPr>
          <w:color w:val="231F20"/>
          <w:w w:val="110"/>
        </w:rPr>
        <w:t>periodo</w:t>
      </w:r>
      <w:r>
        <w:rPr>
          <w:color w:val="231F20"/>
          <w:spacing w:val="-4"/>
          <w:w w:val="110"/>
        </w:rPr>
        <w:t> </w:t>
      </w:r>
      <w:r>
        <w:rPr>
          <w:color w:val="231F20"/>
          <w:w w:val="110"/>
        </w:rPr>
        <w:t>histórico</w:t>
      </w:r>
      <w:r>
        <w:rPr>
          <w:color w:val="231F20"/>
          <w:spacing w:val="-4"/>
          <w:w w:val="110"/>
        </w:rPr>
        <w:t> </w:t>
      </w:r>
      <w:r>
        <w:rPr>
          <w:color w:val="231F20"/>
          <w:w w:val="110"/>
        </w:rPr>
        <w:t>en</w:t>
      </w:r>
      <w:r>
        <w:rPr>
          <w:color w:val="231F20"/>
          <w:w w:val="116"/>
        </w:rPr>
        <w:t> </w:t>
      </w:r>
      <w:r>
        <w:rPr>
          <w:color w:val="231F20"/>
          <w:w w:val="110"/>
        </w:rPr>
        <w:t>el</w:t>
      </w:r>
      <w:r>
        <w:rPr>
          <w:color w:val="231F20"/>
          <w:spacing w:val="-4"/>
          <w:w w:val="110"/>
        </w:rPr>
        <w:t> </w:t>
      </w:r>
      <w:r>
        <w:rPr>
          <w:color w:val="231F20"/>
          <w:w w:val="110"/>
        </w:rPr>
        <w:t>cual</w:t>
      </w:r>
      <w:r>
        <w:rPr>
          <w:color w:val="231F20"/>
          <w:spacing w:val="-4"/>
          <w:w w:val="110"/>
        </w:rPr>
        <w:t> </w:t>
      </w:r>
      <w:r>
        <w:rPr>
          <w:color w:val="231F20"/>
          <w:w w:val="110"/>
        </w:rPr>
        <w:t>el</w:t>
      </w:r>
      <w:r>
        <w:rPr>
          <w:color w:val="231F20"/>
          <w:spacing w:val="-4"/>
          <w:w w:val="110"/>
        </w:rPr>
        <w:t> </w:t>
      </w:r>
      <w:r>
        <w:rPr>
          <w:color w:val="231F20"/>
          <w:w w:val="110"/>
        </w:rPr>
        <w:t>país</w:t>
      </w:r>
      <w:r>
        <w:rPr>
          <w:color w:val="231F20"/>
          <w:spacing w:val="-4"/>
          <w:w w:val="110"/>
        </w:rPr>
        <w:t> </w:t>
      </w:r>
      <w:r>
        <w:rPr>
          <w:color w:val="231F20"/>
          <w:w w:val="110"/>
        </w:rPr>
        <w:t>registró</w:t>
      </w:r>
      <w:r>
        <w:rPr>
          <w:color w:val="231F20"/>
          <w:spacing w:val="-4"/>
          <w:w w:val="110"/>
        </w:rPr>
        <w:t> </w:t>
      </w:r>
      <w:r>
        <w:rPr>
          <w:color w:val="231F20"/>
          <w:w w:val="110"/>
        </w:rPr>
        <w:t>déficit</w:t>
      </w:r>
      <w:r>
        <w:rPr>
          <w:color w:val="231F20"/>
          <w:spacing w:val="-4"/>
          <w:w w:val="110"/>
        </w:rPr>
        <w:t> </w:t>
      </w:r>
      <w:r>
        <w:rPr>
          <w:color w:val="231F20"/>
          <w:w w:val="110"/>
        </w:rPr>
        <w:t>mayores</w:t>
      </w:r>
      <w:r>
        <w:rPr>
          <w:color w:val="231F20"/>
          <w:spacing w:val="-4"/>
          <w:w w:val="110"/>
        </w:rPr>
        <w:t> </w:t>
      </w:r>
      <w:r>
        <w:rPr>
          <w:color w:val="231F20"/>
          <w:w w:val="110"/>
        </w:rPr>
        <w:t>a</w:t>
      </w:r>
      <w:r>
        <w:rPr>
          <w:color w:val="231F20"/>
          <w:spacing w:val="-4"/>
          <w:w w:val="110"/>
        </w:rPr>
        <w:t> </w:t>
      </w:r>
      <w:r>
        <w:rPr>
          <w:color w:val="231F20"/>
          <w:w w:val="110"/>
        </w:rPr>
        <w:t>esta</w:t>
      </w:r>
      <w:r>
        <w:rPr>
          <w:color w:val="231F20"/>
          <w:spacing w:val="-4"/>
          <w:w w:val="110"/>
        </w:rPr>
        <w:t> </w:t>
      </w:r>
      <w:r>
        <w:rPr>
          <w:color w:val="231F20"/>
          <w:w w:val="110"/>
        </w:rPr>
        <w:t>cifra,</w:t>
      </w:r>
      <w:r>
        <w:rPr>
          <w:color w:val="231F20"/>
          <w:spacing w:val="-4"/>
          <w:w w:val="110"/>
        </w:rPr>
        <w:t> </w:t>
      </w:r>
      <w:r>
        <w:rPr>
          <w:color w:val="231F20"/>
          <w:w w:val="110"/>
        </w:rPr>
        <w:t>fue</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contexto</w:t>
      </w:r>
      <w:r>
        <w:rPr>
          <w:color w:val="231F20"/>
          <w:w w:val="111"/>
        </w:rPr>
        <w:t> </w:t>
      </w:r>
      <w:r>
        <w:rPr>
          <w:color w:val="231F20"/>
          <w:w w:val="110"/>
        </w:rPr>
        <w:t>del esfuerzo bélico de la segunda guerra mundial, en el cual</w:t>
      </w:r>
      <w:r>
        <w:rPr>
          <w:color w:val="231F20"/>
          <w:spacing w:val="49"/>
          <w:w w:val="110"/>
        </w:rPr>
        <w:t> </w:t>
      </w:r>
      <w:r>
        <w:rPr>
          <w:color w:val="231F20"/>
          <w:w w:val="110"/>
        </w:rPr>
        <w:t>el</w:t>
      </w:r>
      <w:r>
        <w:rPr>
          <w:color w:val="231F20"/>
          <w:spacing w:val="9"/>
          <w:w w:val="110"/>
        </w:rPr>
        <w:t> </w:t>
      </w:r>
      <w:r>
        <w:rPr>
          <w:color w:val="231F20"/>
          <w:w w:val="110"/>
        </w:rPr>
        <w:t>país</w:t>
      </w:r>
      <w:r>
        <w:rPr>
          <w:color w:val="231F20"/>
          <w:w w:val="106"/>
        </w:rPr>
        <w:t> </w:t>
      </w:r>
      <w:r>
        <w:rPr>
          <w:color w:val="231F20"/>
          <w:w w:val="110"/>
        </w:rPr>
        <w:t>tuvo como promedio un déficit del 22% del pib, entre 1941</w:t>
      </w:r>
      <w:r>
        <w:rPr>
          <w:color w:val="231F20"/>
          <w:spacing w:val="53"/>
          <w:w w:val="110"/>
        </w:rPr>
        <w:t> </w:t>
      </w:r>
      <w:r>
        <w:rPr>
          <w:color w:val="231F20"/>
          <w:w w:val="110"/>
        </w:rPr>
        <w:t>y</w:t>
      </w:r>
      <w:r>
        <w:rPr>
          <w:color w:val="231F20"/>
          <w:spacing w:val="4"/>
          <w:w w:val="110"/>
        </w:rPr>
        <w:t> </w:t>
      </w:r>
      <w:r>
        <w:rPr>
          <w:color w:val="231F20"/>
          <w:w w:val="110"/>
        </w:rPr>
        <w:t>1945.</w:t>
      </w:r>
      <w:r>
        <w:rPr>
          <w:color w:val="231F20"/>
          <w:w w:val="104"/>
        </w:rPr>
        <w:t> </w:t>
      </w:r>
      <w:r>
        <w:rPr>
          <w:color w:val="231F20"/>
          <w:w w:val="110"/>
        </w:rPr>
        <w:t>El</w:t>
      </w:r>
      <w:r>
        <w:rPr>
          <w:color w:val="231F20"/>
          <w:spacing w:val="-10"/>
          <w:w w:val="110"/>
        </w:rPr>
        <w:t> </w:t>
      </w:r>
      <w:r>
        <w:rPr>
          <w:color w:val="231F20"/>
          <w:w w:val="110"/>
        </w:rPr>
        <w:t>cuadro</w:t>
      </w:r>
      <w:r>
        <w:rPr>
          <w:color w:val="231F20"/>
          <w:spacing w:val="-10"/>
          <w:w w:val="110"/>
        </w:rPr>
        <w:t> </w:t>
      </w:r>
      <w:r>
        <w:rPr>
          <w:color w:val="231F20"/>
          <w:w w:val="110"/>
        </w:rPr>
        <w:t>1</w:t>
      </w:r>
      <w:r>
        <w:rPr>
          <w:color w:val="231F20"/>
          <w:spacing w:val="-10"/>
          <w:w w:val="110"/>
        </w:rPr>
        <w:t> </w:t>
      </w:r>
      <w:r>
        <w:rPr>
          <w:color w:val="231F20"/>
          <w:w w:val="110"/>
        </w:rPr>
        <w:t>muestra</w:t>
      </w:r>
      <w:r>
        <w:rPr>
          <w:color w:val="231F20"/>
          <w:spacing w:val="-10"/>
          <w:w w:val="110"/>
        </w:rPr>
        <w:t> </w:t>
      </w:r>
      <w:r>
        <w:rPr>
          <w:color w:val="231F20"/>
          <w:w w:val="110"/>
        </w:rPr>
        <w:t>las</w:t>
      </w:r>
      <w:r>
        <w:rPr>
          <w:color w:val="231F20"/>
          <w:spacing w:val="-10"/>
          <w:w w:val="110"/>
        </w:rPr>
        <w:t> </w:t>
      </w:r>
      <w:r>
        <w:rPr>
          <w:color w:val="231F20"/>
          <w:w w:val="110"/>
        </w:rPr>
        <w:t>proyecciones</w:t>
      </w:r>
      <w:r>
        <w:rPr>
          <w:color w:val="231F20"/>
          <w:spacing w:val="-10"/>
          <w:w w:val="110"/>
        </w:rPr>
        <w:t> </w:t>
      </w:r>
      <w:r>
        <w:rPr>
          <w:color w:val="231F20"/>
          <w:w w:val="110"/>
        </w:rPr>
        <w:t>oficiales</w:t>
      </w:r>
      <w:r>
        <w:rPr>
          <w:color w:val="231F20"/>
          <w:spacing w:val="-10"/>
          <w:w w:val="110"/>
        </w:rPr>
        <w:t> </w:t>
      </w:r>
      <w:r>
        <w:rPr>
          <w:color w:val="231F20"/>
          <w:w w:val="110"/>
        </w:rPr>
        <w:t>para</w:t>
      </w:r>
      <w:r>
        <w:rPr>
          <w:color w:val="231F20"/>
          <w:spacing w:val="-10"/>
          <w:w w:val="110"/>
        </w:rPr>
        <w:t> </w:t>
      </w:r>
      <w:r>
        <w:rPr>
          <w:color w:val="231F20"/>
          <w:w w:val="110"/>
        </w:rPr>
        <w:t>el</w:t>
      </w:r>
      <w:r>
        <w:rPr>
          <w:color w:val="231F20"/>
          <w:spacing w:val="-10"/>
          <w:w w:val="110"/>
        </w:rPr>
        <w:t> </w:t>
      </w:r>
      <w:r>
        <w:rPr>
          <w:color w:val="231F20"/>
          <w:w w:val="110"/>
        </w:rPr>
        <w:t>presupuesto</w:t>
      </w:r>
      <w:r>
        <w:rPr>
          <w:color w:val="231F20"/>
          <w:spacing w:val="-2"/>
          <w:w w:val="111"/>
        </w:rPr>
        <w:t> </w:t>
      </w:r>
      <w:r>
        <w:rPr>
          <w:color w:val="231F20"/>
          <w:w w:val="110"/>
        </w:rPr>
        <w:t>fiscal</w:t>
      </w:r>
      <w:r>
        <w:rPr>
          <w:color w:val="231F20"/>
          <w:spacing w:val="-8"/>
          <w:w w:val="110"/>
        </w:rPr>
        <w:t> </w:t>
      </w:r>
      <w:r>
        <w:rPr>
          <w:color w:val="231F20"/>
          <w:w w:val="110"/>
        </w:rPr>
        <w:t>de</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durante</w:t>
      </w:r>
      <w:r>
        <w:rPr>
          <w:color w:val="231F20"/>
          <w:spacing w:val="-8"/>
          <w:w w:val="110"/>
        </w:rPr>
        <w:t> </w:t>
      </w:r>
      <w:r>
        <w:rPr>
          <w:color w:val="231F20"/>
          <w:w w:val="110"/>
        </w:rPr>
        <w:t>el</w:t>
      </w:r>
      <w:r>
        <w:rPr>
          <w:color w:val="231F20"/>
          <w:spacing w:val="-8"/>
          <w:w w:val="110"/>
        </w:rPr>
        <w:t> </w:t>
      </w:r>
      <w:r>
        <w:rPr>
          <w:color w:val="231F20"/>
          <w:w w:val="110"/>
        </w:rPr>
        <w:t>próximo</w:t>
      </w:r>
      <w:r>
        <w:rPr>
          <w:color w:val="231F20"/>
          <w:spacing w:val="-8"/>
          <w:w w:val="110"/>
        </w:rPr>
        <w:t> </w:t>
      </w:r>
      <w:r>
        <w:rPr>
          <w:color w:val="231F20"/>
          <w:w w:val="110"/>
        </w:rPr>
        <w:t>decenio.</w:t>
      </w:r>
      <w:r>
        <w:rPr>
          <w:color w:val="231F20"/>
          <w:spacing w:val="-8"/>
          <w:w w:val="110"/>
        </w:rPr>
        <w:t> </w:t>
      </w:r>
      <w:r>
        <w:rPr>
          <w:color w:val="231F20"/>
          <w:spacing w:val="-6"/>
          <w:w w:val="110"/>
        </w:rPr>
        <w:t>Tres</w:t>
      </w:r>
      <w:r>
        <w:rPr>
          <w:color w:val="231F20"/>
          <w:spacing w:val="-8"/>
          <w:w w:val="110"/>
        </w:rPr>
        <w:t> </w:t>
      </w:r>
      <w:r>
        <w:rPr>
          <w:color w:val="231F20"/>
          <w:w w:val="110"/>
        </w:rPr>
        <w:t>elementos</w:t>
      </w:r>
      <w:r>
        <w:rPr>
          <w:color w:val="231F20"/>
          <w:spacing w:val="-2"/>
          <w:w w:val="110"/>
        </w:rPr>
        <w:t> </w:t>
      </w:r>
      <w:r>
        <w:rPr>
          <w:color w:val="231F20"/>
          <w:w w:val="110"/>
        </w:rPr>
        <w:t>se</w:t>
      </w:r>
      <w:r>
        <w:rPr>
          <w:color w:val="231F20"/>
          <w:spacing w:val="-10"/>
          <w:w w:val="110"/>
        </w:rPr>
        <w:t> </w:t>
      </w:r>
      <w:r>
        <w:rPr>
          <w:color w:val="231F20"/>
          <w:w w:val="110"/>
        </w:rPr>
        <w:t>pueden</w:t>
      </w:r>
      <w:r>
        <w:rPr>
          <w:color w:val="231F20"/>
          <w:spacing w:val="-10"/>
          <w:w w:val="110"/>
        </w:rPr>
        <w:t> </w:t>
      </w:r>
      <w:r>
        <w:rPr>
          <w:color w:val="231F20"/>
          <w:w w:val="110"/>
        </w:rPr>
        <w:t>resaltar</w:t>
      </w:r>
      <w:r>
        <w:rPr>
          <w:color w:val="231F20"/>
          <w:spacing w:val="-10"/>
          <w:w w:val="110"/>
        </w:rPr>
        <w:t> </w:t>
      </w:r>
      <w:r>
        <w:rPr>
          <w:color w:val="231F20"/>
          <w:w w:val="110"/>
        </w:rPr>
        <w:t>de</w:t>
      </w:r>
      <w:r>
        <w:rPr>
          <w:color w:val="231F20"/>
          <w:spacing w:val="-10"/>
          <w:w w:val="110"/>
        </w:rPr>
        <w:t> </w:t>
      </w:r>
      <w:r>
        <w:rPr>
          <w:color w:val="231F20"/>
          <w:w w:val="110"/>
        </w:rPr>
        <w:t>dicha</w:t>
      </w:r>
      <w:r>
        <w:rPr>
          <w:color w:val="231F20"/>
          <w:spacing w:val="-10"/>
          <w:w w:val="110"/>
        </w:rPr>
        <w:t> </w:t>
      </w:r>
      <w:r>
        <w:rPr>
          <w:color w:val="231F20"/>
          <w:w w:val="110"/>
        </w:rPr>
        <w:t>tabla.</w:t>
      </w:r>
      <w:r>
        <w:rPr>
          <w:color w:val="231F20"/>
          <w:spacing w:val="-10"/>
          <w:w w:val="110"/>
        </w:rPr>
        <w:t> </w:t>
      </w:r>
      <w:r>
        <w:rPr>
          <w:color w:val="231F20"/>
          <w:w w:val="110"/>
        </w:rPr>
        <w:t>El</w:t>
      </w:r>
      <w:r>
        <w:rPr>
          <w:color w:val="231F20"/>
          <w:spacing w:val="-10"/>
          <w:w w:val="110"/>
        </w:rPr>
        <w:t> </w:t>
      </w:r>
      <w:r>
        <w:rPr>
          <w:color w:val="231F20"/>
          <w:w w:val="110"/>
        </w:rPr>
        <w:t>primero</w:t>
      </w:r>
      <w:r>
        <w:rPr>
          <w:color w:val="231F20"/>
          <w:spacing w:val="-10"/>
          <w:w w:val="110"/>
        </w:rPr>
        <w:t> </w:t>
      </w:r>
      <w:r>
        <w:rPr>
          <w:color w:val="231F20"/>
          <w:w w:val="110"/>
        </w:rPr>
        <w:t>es</w:t>
      </w:r>
      <w:r>
        <w:rPr>
          <w:color w:val="231F20"/>
          <w:spacing w:val="-10"/>
          <w:w w:val="110"/>
        </w:rPr>
        <w:t> </w:t>
      </w:r>
      <w:r>
        <w:rPr>
          <w:color w:val="231F20"/>
          <w:w w:val="110"/>
        </w:rPr>
        <w:t>el</w:t>
      </w:r>
      <w:r>
        <w:rPr>
          <w:color w:val="231F20"/>
          <w:spacing w:val="-10"/>
          <w:w w:val="110"/>
        </w:rPr>
        <w:t> </w:t>
      </w:r>
      <w:r>
        <w:rPr>
          <w:color w:val="231F20"/>
          <w:w w:val="110"/>
        </w:rPr>
        <w:t>incremento</w:t>
      </w:r>
      <w:r>
        <w:rPr>
          <w:color w:val="231F20"/>
          <w:spacing w:val="-10"/>
          <w:w w:val="110"/>
        </w:rPr>
        <w:t> </w:t>
      </w:r>
      <w:r>
        <w:rPr>
          <w:color w:val="231F20"/>
          <w:w w:val="110"/>
        </w:rPr>
        <w:t>signifi-</w:t>
      </w:r>
      <w:r>
        <w:rPr>
          <w:color w:val="231F20"/>
          <w:w w:val="72"/>
        </w:rPr>
        <w:t> </w:t>
      </w:r>
      <w:r>
        <w:rPr>
          <w:color w:val="231F20"/>
          <w:w w:val="110"/>
        </w:rPr>
        <w:t>cativo</w:t>
      </w:r>
      <w:r>
        <w:rPr>
          <w:color w:val="231F20"/>
          <w:spacing w:val="-21"/>
          <w:w w:val="110"/>
        </w:rPr>
        <w:t> </w:t>
      </w:r>
      <w:r>
        <w:rPr>
          <w:color w:val="231F20"/>
          <w:w w:val="110"/>
        </w:rPr>
        <w:t>que</w:t>
      </w:r>
      <w:r>
        <w:rPr>
          <w:color w:val="231F20"/>
          <w:spacing w:val="-21"/>
          <w:w w:val="110"/>
        </w:rPr>
        <w:t> </w:t>
      </w:r>
      <w:r>
        <w:rPr>
          <w:color w:val="231F20"/>
          <w:w w:val="110"/>
        </w:rPr>
        <w:t>registra</w:t>
      </w:r>
      <w:r>
        <w:rPr>
          <w:color w:val="231F20"/>
          <w:spacing w:val="-21"/>
          <w:w w:val="110"/>
        </w:rPr>
        <w:t> </w:t>
      </w:r>
      <w:r>
        <w:rPr>
          <w:color w:val="231F20"/>
          <w:w w:val="110"/>
        </w:rPr>
        <w:t>el</w:t>
      </w:r>
      <w:r>
        <w:rPr>
          <w:color w:val="231F20"/>
          <w:spacing w:val="-21"/>
          <w:w w:val="110"/>
        </w:rPr>
        <w:t> </w:t>
      </w:r>
      <w:r>
        <w:rPr>
          <w:color w:val="231F20"/>
          <w:w w:val="110"/>
        </w:rPr>
        <w:t>déficit</w:t>
      </w:r>
      <w:r>
        <w:rPr>
          <w:color w:val="231F20"/>
          <w:spacing w:val="-21"/>
          <w:w w:val="110"/>
        </w:rPr>
        <w:t> </w:t>
      </w:r>
      <w:r>
        <w:rPr>
          <w:color w:val="231F20"/>
          <w:w w:val="110"/>
        </w:rPr>
        <w:t>fiscal</w:t>
      </w:r>
      <w:r>
        <w:rPr>
          <w:color w:val="231F20"/>
          <w:spacing w:val="-21"/>
          <w:w w:val="110"/>
        </w:rPr>
        <w:t> </w:t>
      </w:r>
      <w:r>
        <w:rPr>
          <w:color w:val="231F20"/>
          <w:w w:val="110"/>
        </w:rPr>
        <w:t>en</w:t>
      </w:r>
      <w:r>
        <w:rPr>
          <w:color w:val="231F20"/>
          <w:spacing w:val="-21"/>
          <w:w w:val="110"/>
        </w:rPr>
        <w:t> </w:t>
      </w:r>
      <w:r>
        <w:rPr>
          <w:color w:val="231F20"/>
          <w:w w:val="110"/>
        </w:rPr>
        <w:t>términos</w:t>
      </w:r>
      <w:r>
        <w:rPr>
          <w:color w:val="231F20"/>
          <w:spacing w:val="-21"/>
          <w:w w:val="110"/>
        </w:rPr>
        <w:t> </w:t>
      </w:r>
      <w:r>
        <w:rPr>
          <w:color w:val="231F20"/>
          <w:w w:val="110"/>
        </w:rPr>
        <w:t>absolutos</w:t>
      </w:r>
      <w:r>
        <w:rPr>
          <w:color w:val="231F20"/>
          <w:spacing w:val="-21"/>
          <w:w w:val="110"/>
        </w:rPr>
        <w:t> </w:t>
      </w:r>
      <w:r>
        <w:rPr>
          <w:color w:val="231F20"/>
          <w:w w:val="110"/>
        </w:rPr>
        <w:t>entre</w:t>
      </w:r>
      <w:r>
        <w:rPr>
          <w:color w:val="231F20"/>
          <w:spacing w:val="-21"/>
          <w:w w:val="110"/>
        </w:rPr>
        <w:t> </w:t>
      </w:r>
      <w:r>
        <w:rPr>
          <w:color w:val="231F20"/>
          <w:w w:val="110"/>
        </w:rPr>
        <w:t>los</w:t>
      </w:r>
      <w:r>
        <w:rPr>
          <w:color w:val="231F20"/>
          <w:spacing w:val="-21"/>
          <w:w w:val="110"/>
        </w:rPr>
        <w:t> </w:t>
      </w:r>
      <w:r>
        <w:rPr>
          <w:color w:val="231F20"/>
          <w:w w:val="110"/>
        </w:rPr>
        <w:t>años</w:t>
      </w:r>
      <w:r>
        <w:rPr>
          <w:color w:val="231F20"/>
          <w:spacing w:val="-2"/>
          <w:w w:val="109"/>
        </w:rPr>
        <w:t> </w:t>
      </w:r>
      <w:r>
        <w:rPr>
          <w:color w:val="231F20"/>
          <w:w w:val="110"/>
        </w:rPr>
        <w:t>2008 y 2009, pasando de 459 millardos de dólares a 1</w:t>
      </w:r>
      <w:r>
        <w:rPr>
          <w:color w:val="231F20"/>
          <w:spacing w:val="-10"/>
          <w:w w:val="110"/>
        </w:rPr>
        <w:t> </w:t>
      </w:r>
      <w:r>
        <w:rPr>
          <w:color w:val="231F20"/>
          <w:w w:val="110"/>
        </w:rPr>
        <w:t>587</w:t>
      </w:r>
      <w:r>
        <w:rPr>
          <w:color w:val="231F20"/>
          <w:spacing w:val="-1"/>
          <w:w w:val="110"/>
        </w:rPr>
        <w:t> </w:t>
      </w:r>
      <w:r>
        <w:rPr>
          <w:color w:val="231F20"/>
          <w:w w:val="110"/>
        </w:rPr>
        <w:t>millardos</w:t>
      </w:r>
      <w:r>
        <w:rPr>
          <w:color w:val="231F20"/>
          <w:spacing w:val="-2"/>
          <w:w w:val="108"/>
        </w:rPr>
        <w:t> </w:t>
      </w:r>
      <w:r>
        <w:rPr>
          <w:color w:val="231F20"/>
          <w:w w:val="110"/>
        </w:rPr>
        <w:t>de</w:t>
      </w:r>
      <w:r>
        <w:rPr>
          <w:color w:val="231F20"/>
          <w:spacing w:val="-4"/>
          <w:w w:val="110"/>
        </w:rPr>
        <w:t> </w:t>
      </w:r>
      <w:r>
        <w:rPr>
          <w:color w:val="231F20"/>
          <w:w w:val="110"/>
        </w:rPr>
        <w:t>dólares.</w:t>
      </w:r>
      <w:r>
        <w:rPr>
          <w:color w:val="231F20"/>
          <w:spacing w:val="-4"/>
          <w:w w:val="110"/>
        </w:rPr>
        <w:t> </w:t>
      </w:r>
      <w:r>
        <w:rPr>
          <w:color w:val="231F20"/>
          <w:w w:val="110"/>
        </w:rPr>
        <w:t>Este</w:t>
      </w:r>
      <w:r>
        <w:rPr>
          <w:color w:val="231F20"/>
          <w:spacing w:val="-4"/>
          <w:w w:val="110"/>
        </w:rPr>
        <w:t> </w:t>
      </w:r>
      <w:r>
        <w:rPr>
          <w:color w:val="231F20"/>
          <w:w w:val="110"/>
        </w:rPr>
        <w:t>fenómeno</w:t>
      </w:r>
      <w:r>
        <w:rPr>
          <w:color w:val="231F20"/>
          <w:spacing w:val="-4"/>
          <w:w w:val="110"/>
        </w:rPr>
        <w:t> </w:t>
      </w:r>
      <w:r>
        <w:rPr>
          <w:color w:val="231F20"/>
          <w:w w:val="110"/>
        </w:rPr>
        <w:t>se</w:t>
      </w:r>
      <w:r>
        <w:rPr>
          <w:color w:val="231F20"/>
          <w:spacing w:val="-4"/>
          <w:w w:val="110"/>
        </w:rPr>
        <w:t> </w:t>
      </w:r>
      <w:r>
        <w:rPr>
          <w:color w:val="231F20"/>
          <w:w w:val="110"/>
        </w:rPr>
        <w:t>explica,</w:t>
      </w:r>
      <w:r>
        <w:rPr>
          <w:color w:val="231F20"/>
          <w:spacing w:val="-4"/>
          <w:w w:val="110"/>
        </w:rPr>
        <w:t> </w:t>
      </w:r>
      <w:r>
        <w:rPr>
          <w:color w:val="231F20"/>
          <w:w w:val="110"/>
        </w:rPr>
        <w:t>por</w:t>
      </w:r>
      <w:r>
        <w:rPr>
          <w:color w:val="231F20"/>
          <w:spacing w:val="-4"/>
          <w:w w:val="110"/>
        </w:rPr>
        <w:t> </w:t>
      </w:r>
      <w:r>
        <w:rPr>
          <w:color w:val="231F20"/>
          <w:w w:val="110"/>
        </w:rPr>
        <w:t>un</w:t>
      </w:r>
      <w:r>
        <w:rPr>
          <w:color w:val="231F20"/>
          <w:spacing w:val="-4"/>
          <w:w w:val="110"/>
        </w:rPr>
        <w:t> </w:t>
      </w:r>
      <w:r>
        <w:rPr>
          <w:color w:val="231F20"/>
          <w:w w:val="110"/>
        </w:rPr>
        <w:t>lado,</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caída</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2"/>
          <w:w w:val="118"/>
        </w:rPr>
        <w:t> </w:t>
      </w:r>
      <w:r>
        <w:rPr>
          <w:color w:val="231F20"/>
          <w:w w:val="110"/>
        </w:rPr>
        <w:t>17% de los ingresos (la mayor caída registrada desde 1932),</w:t>
      </w:r>
      <w:r>
        <w:rPr>
          <w:color w:val="231F20"/>
          <w:spacing w:val="51"/>
          <w:w w:val="110"/>
        </w:rPr>
        <w:t> </w:t>
      </w:r>
      <w:r>
        <w:rPr>
          <w:color w:val="231F20"/>
          <w:w w:val="110"/>
        </w:rPr>
        <w:t>esto</w:t>
      </w:r>
      <w:r>
        <w:rPr>
          <w:color w:val="231F20"/>
          <w:spacing w:val="5"/>
          <w:w w:val="110"/>
        </w:rPr>
        <w:t> </w:t>
      </w:r>
      <w:r>
        <w:rPr>
          <w:color w:val="231F20"/>
          <w:w w:val="110"/>
        </w:rPr>
        <w:t>es</w:t>
      </w:r>
      <w:r>
        <w:rPr>
          <w:color w:val="231F20"/>
          <w:spacing w:val="-2"/>
          <w:w w:val="103"/>
        </w:rPr>
        <w:t> </w:t>
      </w:r>
      <w:r>
        <w:rPr>
          <w:color w:val="231F20"/>
          <w:w w:val="110"/>
        </w:rPr>
        <w:t>unos 400 millardos de dólares, a consecuencia del menor</w:t>
      </w:r>
      <w:r>
        <w:rPr>
          <w:color w:val="231F20"/>
          <w:spacing w:val="-32"/>
          <w:w w:val="110"/>
        </w:rPr>
        <w:t> </w:t>
      </w:r>
      <w:r>
        <w:rPr>
          <w:color w:val="231F20"/>
          <w:w w:val="110"/>
        </w:rPr>
        <w:t>recaudo</w:t>
      </w:r>
      <w:r>
        <w:rPr>
          <w:color w:val="231F20"/>
          <w:spacing w:val="-4"/>
          <w:w w:val="110"/>
        </w:rPr>
        <w:t> </w:t>
      </w:r>
      <w:r>
        <w:rPr>
          <w:color w:val="231F20"/>
          <w:w w:val="110"/>
        </w:rPr>
        <w:t>de</w:t>
      </w:r>
      <w:r>
        <w:rPr>
          <w:color w:val="231F20"/>
          <w:spacing w:val="-2"/>
          <w:w w:val="114"/>
        </w:rPr>
        <w:t> </w:t>
      </w:r>
      <w:r>
        <w:rPr>
          <w:color w:val="231F20"/>
          <w:w w:val="110"/>
        </w:rPr>
        <w:t>impuestos</w:t>
      </w:r>
      <w:r>
        <w:rPr>
          <w:color w:val="231F20"/>
          <w:spacing w:val="-12"/>
          <w:w w:val="110"/>
        </w:rPr>
        <w:t> </w:t>
      </w:r>
      <w:r>
        <w:rPr>
          <w:color w:val="231F20"/>
          <w:w w:val="110"/>
        </w:rPr>
        <w:t>producto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Por</w:t>
      </w:r>
      <w:r>
        <w:rPr>
          <w:color w:val="231F20"/>
          <w:spacing w:val="-12"/>
          <w:w w:val="110"/>
        </w:rPr>
        <w:t> </w:t>
      </w:r>
      <w:r>
        <w:rPr>
          <w:color w:val="231F20"/>
          <w:w w:val="110"/>
        </w:rPr>
        <w:t>otro</w:t>
      </w:r>
      <w:r>
        <w:rPr>
          <w:color w:val="231F20"/>
          <w:spacing w:val="-12"/>
          <w:w w:val="110"/>
        </w:rPr>
        <w:t> </w:t>
      </w:r>
      <w:r>
        <w:rPr>
          <w:color w:val="231F20"/>
          <w:w w:val="110"/>
        </w:rPr>
        <w:t>lado</w:t>
      </w:r>
      <w:r>
        <w:rPr>
          <w:color w:val="231F20"/>
          <w:spacing w:val="-12"/>
          <w:w w:val="110"/>
        </w:rPr>
        <w:t> </w:t>
      </w:r>
      <w:r>
        <w:rPr>
          <w:color w:val="231F20"/>
          <w:w w:val="110"/>
        </w:rPr>
        <w:t>los</w:t>
      </w:r>
      <w:r>
        <w:rPr>
          <w:color w:val="231F20"/>
          <w:spacing w:val="-12"/>
          <w:w w:val="110"/>
        </w:rPr>
        <w:t> </w:t>
      </w:r>
      <w:r>
        <w:rPr>
          <w:color w:val="231F20"/>
          <w:w w:val="110"/>
        </w:rPr>
        <w:t>gastos</w:t>
      </w:r>
      <w:r>
        <w:rPr>
          <w:color w:val="231F20"/>
          <w:spacing w:val="-12"/>
          <w:w w:val="110"/>
        </w:rPr>
        <w:t> </w:t>
      </w:r>
      <w:r>
        <w:rPr>
          <w:color w:val="231F20"/>
          <w:w w:val="110"/>
        </w:rPr>
        <w:t>experimenta-</w:t>
      </w:r>
    </w:p>
    <w:p>
      <w:pPr>
        <w:pStyle w:val="BodyText"/>
        <w:ind w:left="120" w:right="25"/>
      </w:pPr>
      <w:r>
        <w:rPr>
          <w:color w:val="231F20"/>
          <w:w w:val="110"/>
        </w:rPr>
        <w:t>ron un crecimiento del 24% (el mayor incremento desde 1952).</w:t>
      </w:r>
    </w:p>
    <w:p>
      <w:pPr>
        <w:pStyle w:val="BodyText"/>
      </w:pPr>
    </w:p>
    <w:p>
      <w:pPr>
        <w:spacing w:line="290" w:lineRule="auto" w:before="134"/>
        <w:ind w:left="120" w:right="316" w:firstLine="0"/>
        <w:jc w:val="left"/>
        <w:rPr>
          <w:sz w:val="18"/>
        </w:rPr>
      </w:pPr>
      <w:r>
        <w:rPr/>
        <w:pict>
          <v:group style="position:absolute;margin-left:37.75pt;margin-top:37.802441pt;width:300.5pt;height:.5pt;mso-position-horizontal-relative:page;mso-position-vertical-relative:paragraph;z-index:4480;mso-wrap-distance-left:0;mso-wrap-distance-right:0" coordorigin="755,756" coordsize="6010,10">
            <v:line style="position:absolute" from="760,761" to="1420,761" stroked="true" strokeweight=".5pt" strokecolor="#231f20"/>
            <v:line style="position:absolute" from="1420,761" to="1830,761" stroked="true" strokeweight=".5pt" strokecolor="#231f20"/>
            <v:line style="position:absolute" from="1830,761" to="2240,761" stroked="true" strokeweight=".5pt" strokecolor="#231f20"/>
            <v:line style="position:absolute" from="2240,761" to="2650,761" stroked="true" strokeweight=".5pt" strokecolor="#231f20"/>
            <v:line style="position:absolute" from="2650,761" to="3060,761" stroked="true" strokeweight=".5pt" strokecolor="#231f20"/>
            <v:line style="position:absolute" from="3060,761" to="3470,761" stroked="true" strokeweight=".5pt" strokecolor="#231f20"/>
            <v:line style="position:absolute" from="3470,761" to="3880,761" stroked="true" strokeweight=".5pt" strokecolor="#231f20"/>
            <v:line style="position:absolute" from="3880,761" to="4290,761" stroked="true" strokeweight=".5pt" strokecolor="#231f20"/>
            <v:line style="position:absolute" from="4290,761" to="4700,761" stroked="true" strokeweight=".5pt" strokecolor="#231f20"/>
            <v:line style="position:absolute" from="4700,761" to="5110,761" stroked="true" strokeweight=".5pt" strokecolor="#231f20"/>
            <v:line style="position:absolute" from="5110,761" to="5520,761" stroked="true" strokeweight=".5pt" strokecolor="#231f20"/>
            <v:line style="position:absolute" from="5520,761" to="5930,761" stroked="true" strokeweight=".5pt" strokecolor="#231f20"/>
            <v:line style="position:absolute" from="5930,761" to="6340,761" stroked="true" strokeweight=".5pt" strokecolor="#231f20"/>
            <v:line style="position:absolute" from="6340,761" to="6760,761" stroked="true" strokeweight=".5pt" strokecolor="#231f20"/>
            <w10:wrap type="topAndBottom"/>
          </v:group>
        </w:pict>
      </w:r>
      <w:r>
        <w:rPr>
          <w:color w:val="231F20"/>
          <w:w w:val="120"/>
          <w:sz w:val="18"/>
        </w:rPr>
        <w:t>cuadro 1. proyecciones oficiales del presupuesto fiscal y deuda pública de estados  unidos</w:t>
      </w:r>
    </w:p>
    <w:p>
      <w:pPr>
        <w:spacing w:before="35" w:after="5"/>
        <w:ind w:left="833" w:right="169" w:firstLine="0"/>
        <w:jc w:val="center"/>
        <w:rPr>
          <w:sz w:val="14"/>
        </w:rPr>
      </w:pPr>
      <w:r>
        <w:rPr>
          <w:color w:val="231F20"/>
          <w:w w:val="105"/>
          <w:sz w:val="14"/>
        </w:rPr>
        <w:t>2008   2009   2010   2011   2012   2013   2014   2015   2016   2017   2018   2019    Total</w:t>
      </w:r>
    </w:p>
    <w:p>
      <w:pPr>
        <w:pStyle w:val="BodyText"/>
        <w:spacing w:line="20" w:lineRule="exact"/>
        <w:ind w:left="115"/>
        <w:rPr>
          <w:sz w:val="2"/>
        </w:rPr>
      </w:pPr>
      <w:r>
        <w:rPr>
          <w:sz w:val="2"/>
        </w:rPr>
        <w:pict>
          <v:group style="width:300.5pt;height:.5pt;mso-position-horizontal-relative:char;mso-position-vertical-relative:line" coordorigin="0,0" coordsize="6010,10">
            <v:line style="position:absolute" from="5,5" to="665,5" stroked="true" strokeweight=".5pt" strokecolor="#231f20"/>
            <v:line style="position:absolute" from="665,5" to="1075,5" stroked="true" strokeweight=".5pt" strokecolor="#231f20"/>
            <v:line style="position:absolute" from="1075,5" to="1485,5" stroked="true" strokeweight=".5pt" strokecolor="#231f20"/>
            <v:line style="position:absolute" from="1485,5" to="1895,5" stroked="true" strokeweight=".5pt" strokecolor="#231f20"/>
            <v:line style="position:absolute" from="1895,5" to="2305,5" stroked="true" strokeweight=".5pt" strokecolor="#231f20"/>
            <v:line style="position:absolute" from="2305,5" to="2715,5" stroked="true" strokeweight=".5pt" strokecolor="#231f20"/>
            <v:line style="position:absolute" from="2715,5" to="3125,5" stroked="true" strokeweight=".5pt" strokecolor="#231f20"/>
            <v:line style="position:absolute" from="3125,5" to="3535,5" stroked="true" strokeweight=".5pt" strokecolor="#231f20"/>
            <v:line style="position:absolute" from="3535,5" to="3945,5" stroked="true" strokeweight=".5pt" strokecolor="#231f20"/>
            <v:line style="position:absolute" from="3945,5" to="4355,5" stroked="true" strokeweight=".5pt" strokecolor="#231f20"/>
            <v:line style="position:absolute" from="4355,5" to="4765,5" stroked="true" strokeweight=".5pt" strokecolor="#231f20"/>
            <v:line style="position:absolute" from="4765,5" to="5175,5" stroked="true" strokeweight=".5pt" strokecolor="#231f20"/>
            <v:line style="position:absolute" from="5175,5" to="5585,5" stroked="true" strokeweight=".5pt" strokecolor="#231f20"/>
            <v:line style="position:absolute" from="5585,5" to="6005,5" stroked="true" strokeweight=".5pt" strokecolor="#231f20"/>
          </v:group>
        </w:pict>
      </w:r>
      <w:r>
        <w:rPr>
          <w:sz w:val="2"/>
        </w:rPr>
      </w:r>
    </w:p>
    <w:p>
      <w:pPr>
        <w:tabs>
          <w:tab w:pos="862" w:val="left" w:leader="none"/>
        </w:tabs>
        <w:spacing w:before="54"/>
        <w:ind w:left="120" w:right="25" w:firstLine="0"/>
        <w:jc w:val="left"/>
        <w:rPr>
          <w:sz w:val="14"/>
        </w:rPr>
      </w:pPr>
      <w:r>
        <w:rPr>
          <w:color w:val="231F20"/>
          <w:w w:val="105"/>
          <w:sz w:val="14"/>
        </w:rPr>
        <w:t>Ingresos</w:t>
        <w:tab/>
        <w:t>2 524  2 100  2 254  2 717  3 010  3 221  3 403  3 577  3 737  3 808  4 081  4 250 34</w:t>
      </w:r>
      <w:r>
        <w:rPr>
          <w:color w:val="231F20"/>
          <w:spacing w:val="28"/>
          <w:w w:val="105"/>
          <w:sz w:val="14"/>
        </w:rPr>
        <w:t> </w:t>
      </w:r>
      <w:r>
        <w:rPr>
          <w:color w:val="231F20"/>
          <w:w w:val="105"/>
          <w:sz w:val="14"/>
        </w:rPr>
        <w:t>177</w:t>
      </w:r>
    </w:p>
    <w:p>
      <w:pPr>
        <w:tabs>
          <w:tab w:pos="863" w:val="left" w:leader="none"/>
        </w:tabs>
        <w:spacing w:before="79"/>
        <w:ind w:left="121" w:right="25" w:firstLine="0"/>
        <w:jc w:val="left"/>
        <w:rPr>
          <w:sz w:val="14"/>
        </w:rPr>
      </w:pPr>
      <w:r>
        <w:rPr>
          <w:color w:val="231F20"/>
          <w:w w:val="105"/>
          <w:sz w:val="14"/>
        </w:rPr>
        <w:t>Gastos</w:t>
        <w:tab/>
        <w:t>2 983  3 688  3 644  3 638  3 600  3 759  3 961  4 135  4 358  4 534  4 703  4 982 41</w:t>
      </w:r>
      <w:r>
        <w:rPr>
          <w:color w:val="231F20"/>
          <w:spacing w:val="28"/>
          <w:w w:val="105"/>
          <w:sz w:val="14"/>
        </w:rPr>
        <w:t> </w:t>
      </w:r>
      <w:r>
        <w:rPr>
          <w:color w:val="231F20"/>
          <w:w w:val="105"/>
          <w:sz w:val="14"/>
        </w:rPr>
        <w:t>314</w:t>
      </w:r>
    </w:p>
    <w:p>
      <w:pPr>
        <w:spacing w:before="79"/>
        <w:ind w:left="833" w:right="169" w:firstLine="0"/>
        <w:jc w:val="center"/>
        <w:rPr>
          <w:sz w:val="14"/>
        </w:rPr>
      </w:pPr>
      <w:r>
        <w:rPr>
          <w:color w:val="231F20"/>
          <w:w w:val="105"/>
          <w:sz w:val="14"/>
        </w:rPr>
        <w:t>Déficit fiscal</w:t>
      </w:r>
    </w:p>
    <w:p>
      <w:pPr>
        <w:spacing w:line="161" w:lineRule="exact" w:before="39"/>
        <w:ind w:left="122" w:right="25" w:firstLine="0"/>
        <w:jc w:val="left"/>
        <w:rPr>
          <w:sz w:val="14"/>
        </w:rPr>
      </w:pPr>
      <w:r>
        <w:rPr>
          <w:color w:val="231F20"/>
          <w:w w:val="105"/>
          <w:sz w:val="14"/>
        </w:rPr>
        <w:t>Millardos</w:t>
      </w:r>
    </w:p>
    <w:p>
      <w:pPr>
        <w:spacing w:line="161" w:lineRule="exact" w:before="0"/>
        <w:ind w:left="122" w:right="25" w:firstLine="0"/>
        <w:jc w:val="left"/>
        <w:rPr>
          <w:sz w:val="14"/>
        </w:rPr>
      </w:pPr>
      <w:r>
        <w:rPr>
          <w:color w:val="231F20"/>
          <w:w w:val="105"/>
          <w:sz w:val="14"/>
        </w:rPr>
        <w:t>de dólares    –459–1 587–1 381   –921   –590   –538   –558   –558   –620   –626   –622   –722 –7  137</w:t>
      </w:r>
    </w:p>
    <w:p>
      <w:pPr>
        <w:tabs>
          <w:tab w:pos="940" w:val="left" w:leader="none"/>
        </w:tabs>
        <w:spacing w:before="79"/>
        <w:ind w:left="122" w:right="25" w:firstLine="0"/>
        <w:jc w:val="left"/>
        <w:rPr>
          <w:sz w:val="14"/>
        </w:rPr>
      </w:pPr>
      <w:r>
        <w:rPr>
          <w:color w:val="231F20"/>
          <w:w w:val="105"/>
          <w:sz w:val="14"/>
        </w:rPr>
        <w:t>%</w:t>
      </w:r>
      <w:r>
        <w:rPr>
          <w:color w:val="231F20"/>
          <w:spacing w:val="4"/>
          <w:w w:val="105"/>
          <w:sz w:val="14"/>
        </w:rPr>
        <w:t> </w:t>
      </w:r>
      <w:r>
        <w:rPr>
          <w:color w:val="231F20"/>
          <w:w w:val="105"/>
          <w:sz w:val="14"/>
        </w:rPr>
        <w:t>del</w:t>
      </w:r>
      <w:r>
        <w:rPr>
          <w:color w:val="231F20"/>
          <w:spacing w:val="4"/>
          <w:w w:val="105"/>
          <w:sz w:val="14"/>
        </w:rPr>
        <w:t> </w:t>
      </w:r>
      <w:r>
        <w:rPr>
          <w:color w:val="231F20"/>
          <w:w w:val="105"/>
          <w:sz w:val="14"/>
        </w:rPr>
        <w:t>pib</w:t>
        <w:tab/>
        <w:t>–3.2  –11.2    –9.6    –6.1    –3.7    –3.2    –3.2    –3.1    –3.3    –3.2    –3.1    –3.4  </w:t>
      </w:r>
      <w:r>
        <w:rPr>
          <w:color w:val="231F20"/>
          <w:spacing w:val="36"/>
          <w:w w:val="105"/>
          <w:sz w:val="14"/>
        </w:rPr>
        <w:t> </w:t>
      </w:r>
      <w:r>
        <w:rPr>
          <w:color w:val="231F20"/>
          <w:w w:val="105"/>
          <w:sz w:val="14"/>
        </w:rPr>
        <w:t>–4.00</w:t>
      </w:r>
    </w:p>
    <w:p>
      <w:pPr>
        <w:spacing w:before="79"/>
        <w:ind w:left="833" w:right="167" w:firstLine="0"/>
        <w:jc w:val="center"/>
        <w:rPr>
          <w:sz w:val="14"/>
        </w:rPr>
      </w:pPr>
      <w:r>
        <w:rPr>
          <w:color w:val="231F20"/>
          <w:w w:val="110"/>
          <w:sz w:val="14"/>
        </w:rPr>
        <w:t>Deuda pública</w:t>
      </w:r>
    </w:p>
    <w:p>
      <w:pPr>
        <w:spacing w:line="161" w:lineRule="exact" w:before="39"/>
        <w:ind w:left="123" w:right="25" w:firstLine="0"/>
        <w:jc w:val="left"/>
        <w:rPr>
          <w:sz w:val="14"/>
        </w:rPr>
      </w:pPr>
      <w:r>
        <w:rPr>
          <w:color w:val="231F20"/>
          <w:w w:val="105"/>
          <w:sz w:val="14"/>
        </w:rPr>
        <w:t>Millardos</w:t>
      </w:r>
    </w:p>
    <w:p>
      <w:pPr>
        <w:spacing w:line="161" w:lineRule="exact" w:before="0"/>
        <w:ind w:left="123" w:right="25" w:firstLine="0"/>
        <w:jc w:val="left"/>
        <w:rPr>
          <w:sz w:val="14"/>
        </w:rPr>
      </w:pPr>
      <w:r>
        <w:rPr>
          <w:color w:val="231F20"/>
          <w:w w:val="110"/>
          <w:sz w:val="14"/>
        </w:rPr>
        <w:t>de dólares  5 803 7 612 8 868 9 78210 38210 87011 43911 98612 58113 17413 61114 324  n. a.</w:t>
      </w:r>
    </w:p>
    <w:p>
      <w:pPr>
        <w:tabs>
          <w:tab w:pos="939" w:val="left" w:leader="none"/>
        </w:tabs>
        <w:spacing w:before="79"/>
        <w:ind w:left="124" w:right="25" w:firstLine="0"/>
        <w:jc w:val="left"/>
        <w:rPr>
          <w:sz w:val="14"/>
        </w:rPr>
      </w:pPr>
      <w:r>
        <w:rPr>
          <w:color w:val="231F20"/>
          <w:w w:val="105"/>
          <w:sz w:val="14"/>
          <w:u w:val="single" w:color="231F20"/>
        </w:rPr>
        <w:t>%</w:t>
      </w:r>
      <w:r>
        <w:rPr>
          <w:color w:val="231F20"/>
          <w:spacing w:val="4"/>
          <w:w w:val="105"/>
          <w:sz w:val="14"/>
          <w:u w:val="single" w:color="231F20"/>
        </w:rPr>
        <w:t> </w:t>
      </w:r>
      <w:r>
        <w:rPr>
          <w:color w:val="231F20"/>
          <w:w w:val="105"/>
          <w:sz w:val="14"/>
          <w:u w:val="single" w:color="231F20"/>
        </w:rPr>
        <w:t>del</w:t>
      </w:r>
      <w:r>
        <w:rPr>
          <w:color w:val="231F20"/>
          <w:spacing w:val="4"/>
          <w:w w:val="105"/>
          <w:sz w:val="14"/>
          <w:u w:val="single" w:color="231F20"/>
        </w:rPr>
        <w:t> </w:t>
      </w:r>
      <w:r>
        <w:rPr>
          <w:color w:val="231F20"/>
          <w:w w:val="105"/>
          <w:sz w:val="14"/>
          <w:u w:val="single" w:color="231F20"/>
        </w:rPr>
        <w:t>pib</w:t>
        <w:tab/>
        <w:t>40.8    53.8    61.4    65.2    65.9    65.5    66.0    66.5    67.1    67.5    67.0    67.8    n.  </w:t>
      </w:r>
      <w:r>
        <w:rPr>
          <w:color w:val="231F20"/>
          <w:spacing w:val="8"/>
          <w:w w:val="105"/>
          <w:sz w:val="14"/>
          <w:u w:val="single" w:color="231F20"/>
        </w:rPr>
        <w:t> </w:t>
      </w:r>
      <w:r>
        <w:rPr>
          <w:color w:val="231F20"/>
          <w:w w:val="105"/>
          <w:sz w:val="14"/>
          <w:u w:val="single" w:color="231F20"/>
        </w:rPr>
        <w:t>a</w:t>
      </w:r>
      <w:r>
        <w:rPr>
          <w:color w:val="231F20"/>
          <w:w w:val="105"/>
          <w:sz w:val="14"/>
        </w:rPr>
        <w:t>.</w:t>
      </w:r>
    </w:p>
    <w:p>
      <w:pPr>
        <w:pStyle w:val="BodyText"/>
        <w:spacing w:before="1"/>
        <w:rPr>
          <w:sz w:val="12"/>
        </w:rPr>
      </w:pPr>
    </w:p>
    <w:p>
      <w:pPr>
        <w:spacing w:before="0"/>
        <w:ind w:left="120" w:right="25" w:firstLine="0"/>
        <w:jc w:val="left"/>
        <w:rPr>
          <w:sz w:val="18"/>
        </w:rPr>
      </w:pPr>
      <w:r>
        <w:rPr>
          <w:rFonts w:ascii="Calibri"/>
          <w:color w:val="231F20"/>
          <w:w w:val="115"/>
          <w:sz w:val="18"/>
        </w:rPr>
        <w:t>fuente: </w:t>
      </w:r>
      <w:r>
        <w:rPr>
          <w:color w:val="231F20"/>
          <w:w w:val="115"/>
          <w:sz w:val="18"/>
        </w:rPr>
        <w:t>cbo, 2009.</w:t>
      </w:r>
    </w:p>
    <w:p>
      <w:pPr>
        <w:spacing w:after="0"/>
        <w:jc w:val="left"/>
        <w:rPr>
          <w:sz w:val="18"/>
        </w:rPr>
        <w:sectPr>
          <w:pgSz w:w="7640" w:h="11900"/>
          <w:pgMar w:header="672" w:footer="0" w:top="860" w:bottom="280" w:left="640" w:right="760"/>
        </w:sectPr>
      </w:pPr>
    </w:p>
    <w:p>
      <w:pPr>
        <w:pStyle w:val="BodyText"/>
        <w:spacing w:before="8"/>
        <w:rPr>
          <w:sz w:val="8"/>
        </w:rPr>
      </w:pPr>
    </w:p>
    <w:p>
      <w:pPr>
        <w:pStyle w:val="BodyText"/>
        <w:spacing w:line="261" w:lineRule="auto" w:before="67"/>
        <w:ind w:left="100" w:right="117" w:firstLine="240"/>
        <w:jc w:val="both"/>
      </w:pPr>
      <w:r>
        <w:rPr>
          <w:color w:val="231F20"/>
          <w:w w:val="110"/>
        </w:rPr>
        <w:t>El incremento de cerca de 700 millardos de dólares en el año se explica en gran parte por los programas asociados a los paquetes   de rescate implementados durante la crisis financiera de 2008. Así, la nacionalización de Fannie Mae y Freddie Mac, más los costos del programa </w:t>
      </w:r>
      <w:r>
        <w:rPr>
          <w:color w:val="231F20"/>
          <w:w w:val="115"/>
        </w:rPr>
        <w:t>tarp </w:t>
      </w:r>
      <w:r>
        <w:rPr>
          <w:color w:val="231F20"/>
          <w:w w:val="110"/>
        </w:rPr>
        <w:t>(Troubled Asset Relief Program) representaron un desembolso de 424 millardos de dólares (cbo, 2009: 8). A esto se suman 130 billones dólares destinados al programa de estímulo </w:t>
      </w:r>
      <w:r>
        <w:rPr>
          <w:color w:val="231F20"/>
          <w:w w:val="115"/>
        </w:rPr>
        <w:t>arra </w:t>
      </w:r>
      <w:r>
        <w:rPr>
          <w:color w:val="231F20"/>
          <w:w w:val="110"/>
        </w:rPr>
        <w:t>(American</w:t>
      </w:r>
      <w:r>
        <w:rPr>
          <w:color w:val="231F20"/>
          <w:spacing w:val="-28"/>
          <w:w w:val="110"/>
        </w:rPr>
        <w:t> </w:t>
      </w:r>
      <w:r>
        <w:rPr>
          <w:color w:val="231F20"/>
          <w:w w:val="110"/>
        </w:rPr>
        <w:t>Recovery</w:t>
      </w:r>
      <w:r>
        <w:rPr>
          <w:color w:val="231F20"/>
          <w:spacing w:val="-28"/>
          <w:w w:val="110"/>
        </w:rPr>
        <w:t> </w:t>
      </w:r>
      <w:r>
        <w:rPr>
          <w:color w:val="231F20"/>
          <w:w w:val="110"/>
        </w:rPr>
        <w:t>and</w:t>
      </w:r>
      <w:r>
        <w:rPr>
          <w:color w:val="231F20"/>
          <w:spacing w:val="-28"/>
          <w:w w:val="110"/>
        </w:rPr>
        <w:t> </w:t>
      </w:r>
      <w:r>
        <w:rPr>
          <w:color w:val="231F20"/>
          <w:w w:val="110"/>
        </w:rPr>
        <w:t>Reinvestment</w:t>
      </w:r>
      <w:r>
        <w:rPr>
          <w:color w:val="231F20"/>
          <w:spacing w:val="-28"/>
          <w:w w:val="110"/>
        </w:rPr>
        <w:t> </w:t>
      </w:r>
      <w:r>
        <w:rPr>
          <w:color w:val="231F20"/>
          <w:w w:val="110"/>
        </w:rPr>
        <w:t>Act).</w:t>
      </w:r>
      <w:r>
        <w:rPr>
          <w:color w:val="231F20"/>
          <w:spacing w:val="-28"/>
          <w:w w:val="110"/>
        </w:rPr>
        <w:t> </w:t>
      </w:r>
      <w:r>
        <w:rPr>
          <w:color w:val="231F20"/>
          <w:w w:val="110"/>
        </w:rPr>
        <w:t>Mientras</w:t>
      </w:r>
      <w:r>
        <w:rPr>
          <w:color w:val="231F20"/>
          <w:spacing w:val="-28"/>
          <w:w w:val="110"/>
        </w:rPr>
        <w:t> </w:t>
      </w:r>
      <w:r>
        <w:rPr>
          <w:color w:val="231F20"/>
          <w:w w:val="110"/>
        </w:rPr>
        <w:t>tanto,</w:t>
      </w:r>
      <w:r>
        <w:rPr>
          <w:color w:val="231F20"/>
          <w:spacing w:val="-28"/>
          <w:w w:val="110"/>
        </w:rPr>
        <w:t> </w:t>
      </w:r>
      <w:r>
        <w:rPr>
          <w:color w:val="231F20"/>
          <w:w w:val="110"/>
        </w:rPr>
        <w:t>los</w:t>
      </w:r>
      <w:r>
        <w:rPr>
          <w:color w:val="231F20"/>
          <w:spacing w:val="-28"/>
          <w:w w:val="110"/>
        </w:rPr>
        <w:t> </w:t>
      </w:r>
      <w:r>
        <w:rPr>
          <w:color w:val="231F20"/>
          <w:w w:val="110"/>
        </w:rPr>
        <w:t>bene- ficios</w:t>
      </w:r>
      <w:r>
        <w:rPr>
          <w:color w:val="231F20"/>
          <w:spacing w:val="-9"/>
          <w:w w:val="110"/>
        </w:rPr>
        <w:t> </w:t>
      </w:r>
      <w:r>
        <w:rPr>
          <w:color w:val="231F20"/>
          <w:w w:val="110"/>
        </w:rPr>
        <w:t>para</w:t>
      </w:r>
      <w:r>
        <w:rPr>
          <w:color w:val="231F20"/>
          <w:spacing w:val="-9"/>
          <w:w w:val="110"/>
        </w:rPr>
        <w:t> </w:t>
      </w:r>
      <w:r>
        <w:rPr>
          <w:color w:val="231F20"/>
          <w:w w:val="110"/>
        </w:rPr>
        <w:t>desempleo</w:t>
      </w:r>
      <w:r>
        <w:rPr>
          <w:color w:val="231F20"/>
          <w:spacing w:val="-9"/>
          <w:w w:val="110"/>
        </w:rPr>
        <w:t> </w:t>
      </w:r>
      <w:r>
        <w:rPr>
          <w:color w:val="231F20"/>
          <w:w w:val="110"/>
        </w:rPr>
        <w:t>crecieron</w:t>
      </w:r>
      <w:r>
        <w:rPr>
          <w:color w:val="231F20"/>
          <w:spacing w:val="-9"/>
          <w:w w:val="110"/>
        </w:rPr>
        <w:t> </w:t>
      </w:r>
      <w:r>
        <w:rPr>
          <w:color w:val="231F20"/>
          <w:w w:val="110"/>
        </w:rPr>
        <w:t>en</w:t>
      </w:r>
      <w:r>
        <w:rPr>
          <w:color w:val="231F20"/>
          <w:spacing w:val="-9"/>
          <w:w w:val="110"/>
        </w:rPr>
        <w:t> </w:t>
      </w:r>
      <w:r>
        <w:rPr>
          <w:color w:val="231F20"/>
          <w:w w:val="110"/>
        </w:rPr>
        <w:t>73</w:t>
      </w:r>
      <w:r>
        <w:rPr>
          <w:color w:val="231F20"/>
          <w:spacing w:val="-9"/>
          <w:w w:val="110"/>
        </w:rPr>
        <w:t> </w:t>
      </w:r>
      <w:r>
        <w:rPr>
          <w:color w:val="231F20"/>
          <w:w w:val="110"/>
        </w:rPr>
        <w:t>millardos</w:t>
      </w:r>
      <w:r>
        <w:rPr>
          <w:color w:val="231F20"/>
          <w:spacing w:val="-9"/>
          <w:w w:val="110"/>
        </w:rPr>
        <w:t> </w:t>
      </w:r>
      <w:r>
        <w:rPr>
          <w:color w:val="231F20"/>
          <w:w w:val="110"/>
        </w:rPr>
        <w:t>de</w:t>
      </w:r>
      <w:r>
        <w:rPr>
          <w:color w:val="231F20"/>
          <w:spacing w:val="-9"/>
          <w:w w:val="110"/>
        </w:rPr>
        <w:t> </w:t>
      </w:r>
      <w:r>
        <w:rPr>
          <w:color w:val="231F20"/>
          <w:w w:val="110"/>
        </w:rPr>
        <w:t>dólares,</w:t>
      </w:r>
      <w:r>
        <w:rPr>
          <w:color w:val="231F20"/>
          <w:spacing w:val="-9"/>
          <w:w w:val="110"/>
        </w:rPr>
        <w:t> </w:t>
      </w:r>
      <w:r>
        <w:rPr>
          <w:color w:val="231F20"/>
          <w:w w:val="110"/>
        </w:rPr>
        <w:t>a</w:t>
      </w:r>
      <w:r>
        <w:rPr>
          <w:color w:val="231F20"/>
          <w:spacing w:val="-9"/>
          <w:w w:val="110"/>
        </w:rPr>
        <w:t> </w:t>
      </w:r>
      <w:r>
        <w:rPr>
          <w:color w:val="231F20"/>
          <w:w w:val="110"/>
        </w:rPr>
        <w:t>medida que las filas de desempleados crecían hasta alcanzar casi el 10% de los trabajadores (cbo, 2009: 9). Si bien este incremento es sin duda una buena noticia para los trabajadores, es de notar que representa sólo alrededor de 10% del incremento total en los gastos y 15% del total destinado para los paquetes de rescate del sistema financiero y de estímulo de la</w:t>
      </w:r>
      <w:r>
        <w:rPr>
          <w:color w:val="231F20"/>
          <w:spacing w:val="50"/>
          <w:w w:val="110"/>
        </w:rPr>
        <w:t> </w:t>
      </w:r>
      <w:r>
        <w:rPr>
          <w:color w:val="231F20"/>
          <w:w w:val="110"/>
        </w:rPr>
        <w:t>economía.</w:t>
      </w:r>
    </w:p>
    <w:p>
      <w:pPr>
        <w:pStyle w:val="BodyText"/>
        <w:spacing w:line="261" w:lineRule="auto"/>
        <w:ind w:left="100" w:right="117" w:firstLine="240"/>
        <w:jc w:val="right"/>
      </w:pPr>
      <w:r>
        <w:rPr>
          <w:color w:val="231F20"/>
          <w:w w:val="110"/>
        </w:rPr>
        <w:t>El segundo elemento que resalta en el cuadro 1, es</w:t>
      </w:r>
      <w:r>
        <w:rPr>
          <w:color w:val="231F20"/>
          <w:spacing w:val="53"/>
          <w:w w:val="110"/>
        </w:rPr>
        <w:t> </w:t>
      </w:r>
      <w:r>
        <w:rPr>
          <w:color w:val="231F20"/>
          <w:w w:val="110"/>
        </w:rPr>
        <w:t>la</w:t>
      </w:r>
      <w:r>
        <w:rPr>
          <w:color w:val="231F20"/>
          <w:spacing w:val="10"/>
          <w:w w:val="110"/>
        </w:rPr>
        <w:t> </w:t>
      </w:r>
      <w:r>
        <w:rPr>
          <w:color w:val="231F20"/>
          <w:w w:val="110"/>
        </w:rPr>
        <w:t>progresiva</w:t>
      </w:r>
      <w:r>
        <w:rPr>
          <w:color w:val="231F20"/>
          <w:w w:val="106"/>
        </w:rPr>
        <w:t> </w:t>
      </w:r>
      <w:r>
        <w:rPr>
          <w:color w:val="231F20"/>
          <w:w w:val="110"/>
        </w:rPr>
        <w:t>reducción</w:t>
      </w:r>
      <w:r>
        <w:rPr>
          <w:color w:val="231F20"/>
          <w:spacing w:val="-21"/>
          <w:w w:val="110"/>
        </w:rPr>
        <w:t> </w:t>
      </w:r>
      <w:r>
        <w:rPr>
          <w:color w:val="231F20"/>
          <w:w w:val="110"/>
        </w:rPr>
        <w:t>del</w:t>
      </w:r>
      <w:r>
        <w:rPr>
          <w:color w:val="231F20"/>
          <w:spacing w:val="-21"/>
          <w:w w:val="110"/>
        </w:rPr>
        <w:t> </w:t>
      </w:r>
      <w:r>
        <w:rPr>
          <w:color w:val="231F20"/>
          <w:w w:val="110"/>
        </w:rPr>
        <w:t>déficit</w:t>
      </w:r>
      <w:r>
        <w:rPr>
          <w:color w:val="231F20"/>
          <w:spacing w:val="-21"/>
          <w:w w:val="110"/>
        </w:rPr>
        <w:t> </w:t>
      </w:r>
      <w:r>
        <w:rPr>
          <w:color w:val="231F20"/>
          <w:w w:val="110"/>
        </w:rPr>
        <w:t>fiscal</w:t>
      </w:r>
      <w:r>
        <w:rPr>
          <w:color w:val="231F20"/>
          <w:spacing w:val="-21"/>
          <w:w w:val="110"/>
        </w:rPr>
        <w:t> </w:t>
      </w:r>
      <w:r>
        <w:rPr>
          <w:color w:val="231F20"/>
          <w:w w:val="110"/>
        </w:rPr>
        <w:t>para</w:t>
      </w:r>
      <w:r>
        <w:rPr>
          <w:color w:val="231F20"/>
          <w:spacing w:val="-21"/>
          <w:w w:val="110"/>
        </w:rPr>
        <w:t> </w:t>
      </w:r>
      <w:r>
        <w:rPr>
          <w:color w:val="231F20"/>
          <w:w w:val="110"/>
        </w:rPr>
        <w:t>el</w:t>
      </w:r>
      <w:r>
        <w:rPr>
          <w:color w:val="231F20"/>
          <w:spacing w:val="-21"/>
          <w:w w:val="110"/>
        </w:rPr>
        <w:t> </w:t>
      </w:r>
      <w:r>
        <w:rPr>
          <w:color w:val="231F20"/>
          <w:w w:val="110"/>
        </w:rPr>
        <w:t>próximo</w:t>
      </w:r>
      <w:r>
        <w:rPr>
          <w:color w:val="231F20"/>
          <w:spacing w:val="-21"/>
          <w:w w:val="110"/>
        </w:rPr>
        <w:t> </w:t>
      </w:r>
      <w:r>
        <w:rPr>
          <w:color w:val="231F20"/>
          <w:w w:val="110"/>
        </w:rPr>
        <w:t>decenio</w:t>
      </w:r>
      <w:r>
        <w:rPr>
          <w:color w:val="231F20"/>
          <w:spacing w:val="-21"/>
          <w:w w:val="110"/>
        </w:rPr>
        <w:t> </w:t>
      </w:r>
      <w:r>
        <w:rPr>
          <w:color w:val="231F20"/>
          <w:w w:val="110"/>
        </w:rPr>
        <w:t>hasta</w:t>
      </w:r>
      <w:r>
        <w:rPr>
          <w:color w:val="231F20"/>
          <w:spacing w:val="-21"/>
          <w:w w:val="110"/>
        </w:rPr>
        <w:t> </w:t>
      </w:r>
      <w:r>
        <w:rPr>
          <w:color w:val="231F20"/>
          <w:w w:val="110"/>
        </w:rPr>
        <w:t>estabilizarse</w:t>
      </w:r>
      <w:r>
        <w:rPr>
          <w:color w:val="231F20"/>
          <w:w w:val="105"/>
        </w:rPr>
        <w:t> </w:t>
      </w:r>
      <w:r>
        <w:rPr>
          <w:color w:val="231F20"/>
          <w:w w:val="110"/>
        </w:rPr>
        <w:t>a partir del año 2012 en alrededor de un 3% del pib.</w:t>
      </w:r>
      <w:r>
        <w:rPr>
          <w:color w:val="231F20"/>
          <w:spacing w:val="-4"/>
          <w:w w:val="110"/>
        </w:rPr>
        <w:t> </w:t>
      </w:r>
      <w:r>
        <w:rPr>
          <w:color w:val="231F20"/>
          <w:w w:val="110"/>
        </w:rPr>
        <w:t>La</w:t>
      </w:r>
      <w:r>
        <w:rPr>
          <w:color w:val="231F20"/>
          <w:spacing w:val="-1"/>
          <w:w w:val="110"/>
        </w:rPr>
        <w:t> </w:t>
      </w:r>
      <w:r>
        <w:rPr>
          <w:color w:val="231F20"/>
          <w:w w:val="110"/>
        </w:rPr>
        <w:t>significativa</w:t>
      </w:r>
      <w:r>
        <w:rPr>
          <w:color w:val="231F20"/>
          <w:w w:val="102"/>
        </w:rPr>
        <w:t> </w:t>
      </w:r>
      <w:r>
        <w:rPr>
          <w:color w:val="231F20"/>
          <w:w w:val="110"/>
        </w:rPr>
        <w:t>reducción del déficit a partir del 2011 esta</w:t>
      </w:r>
      <w:r>
        <w:rPr>
          <w:color w:val="231F20"/>
          <w:spacing w:val="32"/>
          <w:w w:val="110"/>
        </w:rPr>
        <w:t> </w:t>
      </w:r>
      <w:r>
        <w:rPr>
          <w:color w:val="231F20"/>
          <w:w w:val="110"/>
        </w:rPr>
        <w:t>directamente</w:t>
      </w:r>
      <w:r>
        <w:rPr>
          <w:color w:val="231F20"/>
          <w:spacing w:val="17"/>
          <w:w w:val="110"/>
        </w:rPr>
        <w:t> </w:t>
      </w:r>
      <w:r>
        <w:rPr>
          <w:color w:val="231F20"/>
          <w:w w:val="110"/>
        </w:rPr>
        <w:t>relaciona-</w:t>
      </w:r>
      <w:r>
        <w:rPr>
          <w:color w:val="231F20"/>
          <w:w w:val="72"/>
        </w:rPr>
        <w:t> </w:t>
      </w:r>
      <w:r>
        <w:rPr>
          <w:color w:val="231F20"/>
          <w:w w:val="110"/>
        </w:rPr>
        <w:t>da</w:t>
      </w:r>
      <w:r>
        <w:rPr>
          <w:color w:val="231F20"/>
          <w:spacing w:val="31"/>
          <w:w w:val="110"/>
        </w:rPr>
        <w:t> </w:t>
      </w:r>
      <w:r>
        <w:rPr>
          <w:color w:val="231F20"/>
          <w:w w:val="110"/>
        </w:rPr>
        <w:t>con</w:t>
      </w:r>
      <w:r>
        <w:rPr>
          <w:color w:val="231F20"/>
          <w:spacing w:val="31"/>
          <w:w w:val="110"/>
        </w:rPr>
        <w:t> </w:t>
      </w:r>
      <w:r>
        <w:rPr>
          <w:color w:val="231F20"/>
          <w:w w:val="110"/>
        </w:rPr>
        <w:t>la</w:t>
      </w:r>
      <w:r>
        <w:rPr>
          <w:color w:val="231F20"/>
          <w:spacing w:val="31"/>
          <w:w w:val="110"/>
        </w:rPr>
        <w:t> </w:t>
      </w:r>
      <w:r>
        <w:rPr>
          <w:color w:val="231F20"/>
          <w:w w:val="110"/>
        </w:rPr>
        <w:t>expiración</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recortes</w:t>
      </w:r>
      <w:r>
        <w:rPr>
          <w:color w:val="231F20"/>
          <w:spacing w:val="31"/>
          <w:w w:val="110"/>
        </w:rPr>
        <w:t> </w:t>
      </w:r>
      <w:r>
        <w:rPr>
          <w:color w:val="231F20"/>
          <w:w w:val="110"/>
        </w:rPr>
        <w:t>de</w:t>
      </w:r>
      <w:r>
        <w:rPr>
          <w:color w:val="231F20"/>
          <w:spacing w:val="31"/>
          <w:w w:val="110"/>
        </w:rPr>
        <w:t> </w:t>
      </w:r>
      <w:r>
        <w:rPr>
          <w:color w:val="231F20"/>
          <w:w w:val="110"/>
        </w:rPr>
        <w:t>impuestos</w:t>
      </w:r>
      <w:r>
        <w:rPr>
          <w:color w:val="231F20"/>
          <w:spacing w:val="31"/>
          <w:w w:val="110"/>
        </w:rPr>
        <w:t> </w:t>
      </w:r>
      <w:r>
        <w:rPr>
          <w:color w:val="231F20"/>
          <w:w w:val="110"/>
        </w:rPr>
        <w:t>implementados</w:t>
      </w:r>
      <w:r>
        <w:rPr>
          <w:color w:val="231F20"/>
          <w:w w:val="110"/>
        </w:rPr>
        <w:t> </w:t>
      </w:r>
      <w:r>
        <w:rPr>
          <w:color w:val="231F20"/>
          <w:w w:val="110"/>
        </w:rPr>
        <w:t>por la administración Bush entre los años 2001 y 2003. En</w:t>
      </w:r>
      <w:r>
        <w:rPr>
          <w:color w:val="231F20"/>
          <w:spacing w:val="37"/>
          <w:w w:val="110"/>
        </w:rPr>
        <w:t> </w:t>
      </w:r>
      <w:r>
        <w:rPr>
          <w:color w:val="231F20"/>
          <w:w w:val="110"/>
        </w:rPr>
        <w:t>total</w:t>
      </w:r>
      <w:r>
        <w:rPr>
          <w:color w:val="231F20"/>
          <w:spacing w:val="13"/>
          <w:w w:val="110"/>
        </w:rPr>
        <w:t> </w:t>
      </w:r>
      <w:r>
        <w:rPr>
          <w:color w:val="231F20"/>
          <w:w w:val="110"/>
        </w:rPr>
        <w:t>se</w:t>
      </w:r>
      <w:r>
        <w:rPr>
          <w:color w:val="231F20"/>
          <w:w w:val="103"/>
        </w:rPr>
        <w:t> </w:t>
      </w:r>
      <w:r>
        <w:rPr>
          <w:color w:val="231F20"/>
          <w:w w:val="110"/>
        </w:rPr>
        <w:t>espera</w:t>
      </w:r>
      <w:r>
        <w:rPr>
          <w:color w:val="231F20"/>
          <w:spacing w:val="22"/>
          <w:w w:val="110"/>
        </w:rPr>
        <w:t> </w:t>
      </w:r>
      <w:r>
        <w:rPr>
          <w:color w:val="231F20"/>
          <w:w w:val="110"/>
        </w:rPr>
        <w:t>que</w:t>
      </w:r>
      <w:r>
        <w:rPr>
          <w:color w:val="231F20"/>
          <w:spacing w:val="22"/>
          <w:w w:val="110"/>
        </w:rPr>
        <w:t> </w:t>
      </w:r>
      <w:r>
        <w:rPr>
          <w:color w:val="231F20"/>
          <w:w w:val="110"/>
        </w:rPr>
        <w:t>de</w:t>
      </w:r>
      <w:r>
        <w:rPr>
          <w:color w:val="231F20"/>
          <w:spacing w:val="22"/>
          <w:w w:val="110"/>
        </w:rPr>
        <w:t> </w:t>
      </w:r>
      <w:r>
        <w:rPr>
          <w:color w:val="231F20"/>
          <w:w w:val="110"/>
        </w:rPr>
        <w:t>esta</w:t>
      </w:r>
      <w:r>
        <w:rPr>
          <w:color w:val="231F20"/>
          <w:spacing w:val="22"/>
          <w:w w:val="110"/>
        </w:rPr>
        <w:t> </w:t>
      </w:r>
      <w:r>
        <w:rPr>
          <w:color w:val="231F20"/>
          <w:w w:val="110"/>
        </w:rPr>
        <w:t>forma</w:t>
      </w:r>
      <w:r>
        <w:rPr>
          <w:color w:val="231F20"/>
          <w:spacing w:val="22"/>
          <w:w w:val="110"/>
        </w:rPr>
        <w:t> </w:t>
      </w:r>
      <w:r>
        <w:rPr>
          <w:color w:val="231F20"/>
          <w:w w:val="110"/>
        </w:rPr>
        <w:t>los</w:t>
      </w:r>
      <w:r>
        <w:rPr>
          <w:color w:val="231F20"/>
          <w:spacing w:val="22"/>
          <w:w w:val="110"/>
        </w:rPr>
        <w:t> </w:t>
      </w:r>
      <w:r>
        <w:rPr>
          <w:color w:val="231F20"/>
          <w:w w:val="110"/>
        </w:rPr>
        <w:t>impuestos</w:t>
      </w:r>
      <w:r>
        <w:rPr>
          <w:color w:val="231F20"/>
          <w:spacing w:val="22"/>
          <w:w w:val="110"/>
        </w:rPr>
        <w:t> </w:t>
      </w:r>
      <w:r>
        <w:rPr>
          <w:color w:val="231F20"/>
          <w:w w:val="110"/>
        </w:rPr>
        <w:t>sobre</w:t>
      </w:r>
      <w:r>
        <w:rPr>
          <w:color w:val="231F20"/>
          <w:spacing w:val="22"/>
          <w:w w:val="110"/>
        </w:rPr>
        <w:t> </w:t>
      </w:r>
      <w:r>
        <w:rPr>
          <w:color w:val="231F20"/>
          <w:w w:val="110"/>
        </w:rPr>
        <w:t>individuos</w:t>
      </w:r>
      <w:r>
        <w:rPr>
          <w:color w:val="231F20"/>
          <w:spacing w:val="22"/>
          <w:w w:val="110"/>
        </w:rPr>
        <w:t> </w:t>
      </w:r>
      <w:r>
        <w:rPr>
          <w:color w:val="231F20"/>
          <w:w w:val="110"/>
        </w:rPr>
        <w:t>pasen</w:t>
      </w:r>
      <w:r>
        <w:rPr>
          <w:color w:val="231F20"/>
          <w:spacing w:val="22"/>
          <w:w w:val="110"/>
        </w:rPr>
        <w:t> </w:t>
      </w:r>
      <w:r>
        <w:rPr>
          <w:color w:val="231F20"/>
          <w:w w:val="110"/>
        </w:rPr>
        <w:t>de</w:t>
      </w:r>
      <w:r>
        <w:rPr>
          <w:color w:val="231F20"/>
          <w:w w:val="114"/>
        </w:rPr>
        <w:t> </w:t>
      </w:r>
      <w:r>
        <w:rPr>
          <w:color w:val="231F20"/>
          <w:w w:val="110"/>
        </w:rPr>
        <w:t>representar un 6.5% del pib en el 2009 a un 10.8% en el</w:t>
      </w:r>
      <w:r>
        <w:rPr>
          <w:color w:val="231F20"/>
          <w:spacing w:val="30"/>
          <w:w w:val="110"/>
        </w:rPr>
        <w:t> </w:t>
      </w:r>
      <w:r>
        <w:rPr>
          <w:color w:val="231F20"/>
          <w:w w:val="110"/>
        </w:rPr>
        <w:t>año</w:t>
      </w:r>
      <w:r>
        <w:rPr>
          <w:color w:val="231F20"/>
          <w:spacing w:val="10"/>
          <w:w w:val="110"/>
        </w:rPr>
        <w:t> </w:t>
      </w:r>
      <w:r>
        <w:rPr>
          <w:color w:val="231F20"/>
          <w:w w:val="110"/>
        </w:rPr>
        <w:t>2019,</w:t>
      </w:r>
      <w:r>
        <w:rPr>
          <w:color w:val="231F20"/>
          <w:w w:val="104"/>
        </w:rPr>
        <w:t> </w:t>
      </w:r>
      <w:r>
        <w:rPr>
          <w:color w:val="231F20"/>
          <w:w w:val="110"/>
        </w:rPr>
        <w:t>contribuyendo</w:t>
      </w:r>
      <w:r>
        <w:rPr>
          <w:color w:val="231F20"/>
          <w:spacing w:val="-16"/>
          <w:w w:val="110"/>
        </w:rPr>
        <w:t> </w:t>
      </w:r>
      <w:r>
        <w:rPr>
          <w:color w:val="231F20"/>
          <w:w w:val="110"/>
        </w:rPr>
        <w:t>a</w:t>
      </w:r>
      <w:r>
        <w:rPr>
          <w:color w:val="231F20"/>
          <w:spacing w:val="-16"/>
          <w:w w:val="110"/>
        </w:rPr>
        <w:t> </w:t>
      </w:r>
      <w:r>
        <w:rPr>
          <w:color w:val="231F20"/>
          <w:w w:val="110"/>
        </w:rPr>
        <w:t>reducir</w:t>
      </w:r>
      <w:r>
        <w:rPr>
          <w:color w:val="231F20"/>
          <w:spacing w:val="-16"/>
          <w:w w:val="110"/>
        </w:rPr>
        <w:t> </w:t>
      </w:r>
      <w:r>
        <w:rPr>
          <w:color w:val="231F20"/>
          <w:w w:val="110"/>
        </w:rPr>
        <w:t>de</w:t>
      </w:r>
      <w:r>
        <w:rPr>
          <w:color w:val="231F20"/>
          <w:spacing w:val="-16"/>
          <w:w w:val="110"/>
        </w:rPr>
        <w:t> </w:t>
      </w:r>
      <w:r>
        <w:rPr>
          <w:color w:val="231F20"/>
          <w:w w:val="110"/>
        </w:rPr>
        <w:t>esta</w:t>
      </w:r>
      <w:r>
        <w:rPr>
          <w:color w:val="231F20"/>
          <w:spacing w:val="-16"/>
          <w:w w:val="110"/>
        </w:rPr>
        <w:t> </w:t>
      </w:r>
      <w:r>
        <w:rPr>
          <w:color w:val="231F20"/>
          <w:w w:val="110"/>
        </w:rPr>
        <w:t>forma</w:t>
      </w:r>
      <w:r>
        <w:rPr>
          <w:color w:val="231F20"/>
          <w:spacing w:val="-16"/>
          <w:w w:val="110"/>
        </w:rPr>
        <w:t> </w:t>
      </w:r>
      <w:r>
        <w:rPr>
          <w:color w:val="231F20"/>
          <w:w w:val="110"/>
        </w:rPr>
        <w:t>el</w:t>
      </w:r>
      <w:r>
        <w:rPr>
          <w:color w:val="231F20"/>
          <w:spacing w:val="-16"/>
          <w:w w:val="110"/>
        </w:rPr>
        <w:t> </w:t>
      </w:r>
      <w:r>
        <w:rPr>
          <w:color w:val="231F20"/>
          <w:w w:val="110"/>
        </w:rPr>
        <w:t>déficit</w:t>
      </w:r>
      <w:r>
        <w:rPr>
          <w:color w:val="231F20"/>
          <w:spacing w:val="-16"/>
          <w:w w:val="110"/>
        </w:rPr>
        <w:t> </w:t>
      </w:r>
      <w:r>
        <w:rPr>
          <w:color w:val="231F20"/>
          <w:w w:val="110"/>
        </w:rPr>
        <w:t>fiscal</w:t>
      </w:r>
      <w:r>
        <w:rPr>
          <w:color w:val="231F20"/>
          <w:spacing w:val="-16"/>
          <w:w w:val="110"/>
        </w:rPr>
        <w:t> </w:t>
      </w:r>
      <w:r>
        <w:rPr>
          <w:color w:val="231F20"/>
          <w:w w:val="110"/>
        </w:rPr>
        <w:t>(cbo,</w:t>
      </w:r>
      <w:r>
        <w:rPr>
          <w:color w:val="231F20"/>
          <w:spacing w:val="-16"/>
          <w:w w:val="110"/>
        </w:rPr>
        <w:t> </w:t>
      </w:r>
      <w:r>
        <w:rPr>
          <w:color w:val="231F20"/>
          <w:w w:val="110"/>
        </w:rPr>
        <w:t>2009:</w:t>
      </w:r>
      <w:r>
        <w:rPr>
          <w:color w:val="231F20"/>
          <w:spacing w:val="-16"/>
          <w:w w:val="110"/>
        </w:rPr>
        <w:t> </w:t>
      </w:r>
      <w:r>
        <w:rPr>
          <w:color w:val="231F20"/>
          <w:w w:val="110"/>
        </w:rPr>
        <w:t>14).</w:t>
      </w:r>
      <w:r>
        <w:rPr>
          <w:color w:val="231F20"/>
          <w:w w:val="109"/>
        </w:rPr>
        <w:t> </w:t>
      </w:r>
      <w:r>
        <w:rPr>
          <w:color w:val="231F20"/>
          <w:w w:val="110"/>
        </w:rPr>
        <w:t>Finalmente</w:t>
      </w:r>
      <w:r>
        <w:rPr>
          <w:color w:val="231F20"/>
          <w:spacing w:val="43"/>
          <w:w w:val="110"/>
        </w:rPr>
        <w:t> </w:t>
      </w:r>
      <w:r>
        <w:rPr>
          <w:color w:val="231F20"/>
          <w:w w:val="110"/>
        </w:rPr>
        <w:t>en</w:t>
      </w:r>
      <w:r>
        <w:rPr>
          <w:color w:val="231F20"/>
          <w:spacing w:val="43"/>
          <w:w w:val="110"/>
        </w:rPr>
        <w:t> </w:t>
      </w:r>
      <w:r>
        <w:rPr>
          <w:color w:val="231F20"/>
          <w:w w:val="110"/>
        </w:rPr>
        <w:t>tercer</w:t>
      </w:r>
      <w:r>
        <w:rPr>
          <w:color w:val="231F20"/>
          <w:spacing w:val="43"/>
          <w:w w:val="110"/>
        </w:rPr>
        <w:t> </w:t>
      </w:r>
      <w:r>
        <w:rPr>
          <w:color w:val="231F20"/>
          <w:w w:val="110"/>
        </w:rPr>
        <w:t>lugar</w:t>
      </w:r>
      <w:r>
        <w:rPr>
          <w:color w:val="231F20"/>
          <w:spacing w:val="43"/>
          <w:w w:val="110"/>
        </w:rPr>
        <w:t> </w:t>
      </w:r>
      <w:r>
        <w:rPr>
          <w:color w:val="231F20"/>
          <w:w w:val="110"/>
        </w:rPr>
        <w:t>está</w:t>
      </w:r>
      <w:r>
        <w:rPr>
          <w:color w:val="231F20"/>
          <w:spacing w:val="43"/>
          <w:w w:val="110"/>
        </w:rPr>
        <w:t> </w:t>
      </w:r>
      <w:r>
        <w:rPr>
          <w:color w:val="231F20"/>
          <w:w w:val="110"/>
        </w:rPr>
        <w:t>el</w:t>
      </w:r>
      <w:r>
        <w:rPr>
          <w:color w:val="231F20"/>
          <w:spacing w:val="43"/>
          <w:w w:val="110"/>
        </w:rPr>
        <w:t> </w:t>
      </w:r>
      <w:r>
        <w:rPr>
          <w:color w:val="231F20"/>
          <w:w w:val="110"/>
        </w:rPr>
        <w:t>constante</w:t>
      </w:r>
      <w:r>
        <w:rPr>
          <w:color w:val="231F20"/>
          <w:spacing w:val="43"/>
          <w:w w:val="110"/>
        </w:rPr>
        <w:t> </w:t>
      </w:r>
      <w:r>
        <w:rPr>
          <w:color w:val="231F20"/>
          <w:w w:val="110"/>
        </w:rPr>
        <w:t>incremento</w:t>
      </w:r>
      <w:r>
        <w:rPr>
          <w:color w:val="231F20"/>
          <w:spacing w:val="43"/>
          <w:w w:val="110"/>
        </w:rPr>
        <w:t> </w:t>
      </w:r>
      <w:r>
        <w:rPr>
          <w:color w:val="231F20"/>
          <w:w w:val="110"/>
        </w:rPr>
        <w:t>de</w:t>
      </w:r>
      <w:r>
        <w:rPr>
          <w:color w:val="231F20"/>
          <w:spacing w:val="43"/>
          <w:w w:val="110"/>
        </w:rPr>
        <w:t> </w:t>
      </w:r>
      <w:r>
        <w:rPr>
          <w:color w:val="231F20"/>
          <w:w w:val="110"/>
        </w:rPr>
        <w:t>la</w:t>
      </w:r>
      <w:r>
        <w:rPr>
          <w:color w:val="231F20"/>
          <w:w w:val="105"/>
        </w:rPr>
        <w:t> </w:t>
      </w:r>
      <w:r>
        <w:rPr>
          <w:color w:val="231F20"/>
          <w:w w:val="110"/>
        </w:rPr>
        <w:t>deuda</w:t>
      </w:r>
      <w:r>
        <w:rPr>
          <w:color w:val="231F20"/>
          <w:spacing w:val="-9"/>
          <w:w w:val="110"/>
        </w:rPr>
        <w:t> </w:t>
      </w:r>
      <w:r>
        <w:rPr>
          <w:color w:val="231F20"/>
          <w:w w:val="110"/>
        </w:rPr>
        <w:t>pública,</w:t>
      </w:r>
      <w:r>
        <w:rPr>
          <w:color w:val="231F20"/>
          <w:spacing w:val="-9"/>
          <w:w w:val="110"/>
        </w:rPr>
        <w:t> </w:t>
      </w:r>
      <w:r>
        <w:rPr>
          <w:color w:val="231F20"/>
          <w:w w:val="110"/>
        </w:rPr>
        <w:t>producto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déficit</w:t>
      </w:r>
      <w:r>
        <w:rPr>
          <w:color w:val="231F20"/>
          <w:spacing w:val="-9"/>
          <w:w w:val="110"/>
        </w:rPr>
        <w:t> </w:t>
      </w:r>
      <w:r>
        <w:rPr>
          <w:color w:val="231F20"/>
          <w:w w:val="110"/>
        </w:rPr>
        <w:t>fiscales</w:t>
      </w:r>
      <w:r>
        <w:rPr>
          <w:color w:val="231F20"/>
          <w:spacing w:val="-9"/>
          <w:w w:val="110"/>
        </w:rPr>
        <w:t> </w:t>
      </w:r>
      <w:r>
        <w:rPr>
          <w:color w:val="231F20"/>
          <w:w w:val="110"/>
        </w:rPr>
        <w:t>proyectados</w:t>
      </w:r>
      <w:r>
        <w:rPr>
          <w:color w:val="231F20"/>
          <w:spacing w:val="-9"/>
          <w:w w:val="110"/>
        </w:rPr>
        <w:t> </w:t>
      </w:r>
      <w:r>
        <w:rPr>
          <w:color w:val="231F20"/>
          <w:w w:val="110"/>
        </w:rPr>
        <w:t>durante</w:t>
      </w:r>
      <w:r>
        <w:rPr>
          <w:color w:val="231F20"/>
          <w:spacing w:val="-9"/>
          <w:w w:val="110"/>
        </w:rPr>
        <w:t> </w:t>
      </w:r>
      <w:r>
        <w:rPr>
          <w:color w:val="231F20"/>
          <w:w w:val="110"/>
        </w:rPr>
        <w:t>el</w:t>
      </w:r>
      <w:r>
        <w:rPr>
          <w:color w:val="231F20"/>
          <w:w w:val="108"/>
        </w:rPr>
        <w:t> </w:t>
      </w:r>
      <w:r>
        <w:rPr>
          <w:color w:val="231F20"/>
          <w:w w:val="110"/>
        </w:rPr>
        <w:t>próximo</w:t>
      </w:r>
      <w:r>
        <w:rPr>
          <w:color w:val="231F20"/>
          <w:spacing w:val="-10"/>
          <w:w w:val="110"/>
        </w:rPr>
        <w:t> </w:t>
      </w:r>
      <w:r>
        <w:rPr>
          <w:color w:val="231F20"/>
          <w:w w:val="110"/>
        </w:rPr>
        <w:t>decenio.</w:t>
      </w:r>
      <w:r>
        <w:rPr>
          <w:color w:val="231F20"/>
          <w:spacing w:val="-10"/>
          <w:w w:val="110"/>
        </w:rPr>
        <w:t> </w:t>
      </w:r>
      <w:r>
        <w:rPr>
          <w:color w:val="231F20"/>
          <w:w w:val="110"/>
        </w:rPr>
        <w:t>De</w:t>
      </w:r>
      <w:r>
        <w:rPr>
          <w:color w:val="231F20"/>
          <w:spacing w:val="-10"/>
          <w:w w:val="110"/>
        </w:rPr>
        <w:t> </w:t>
      </w:r>
      <w:r>
        <w:rPr>
          <w:color w:val="231F20"/>
          <w:w w:val="110"/>
        </w:rPr>
        <w:t>acuerdo</w:t>
      </w:r>
      <w:r>
        <w:rPr>
          <w:color w:val="231F20"/>
          <w:spacing w:val="-10"/>
          <w:w w:val="110"/>
        </w:rPr>
        <w:t> </w:t>
      </w:r>
      <w:r>
        <w:rPr>
          <w:color w:val="231F20"/>
          <w:w w:val="110"/>
        </w:rPr>
        <w:t>con</w:t>
      </w:r>
      <w:r>
        <w:rPr>
          <w:color w:val="231F20"/>
          <w:spacing w:val="-10"/>
          <w:w w:val="110"/>
        </w:rPr>
        <w:t> </w:t>
      </w:r>
      <w:r>
        <w:rPr>
          <w:color w:val="231F20"/>
          <w:w w:val="110"/>
        </w:rPr>
        <w:t>las</w:t>
      </w:r>
      <w:r>
        <w:rPr>
          <w:color w:val="231F20"/>
          <w:spacing w:val="-10"/>
          <w:w w:val="110"/>
        </w:rPr>
        <w:t> </w:t>
      </w:r>
      <w:r>
        <w:rPr>
          <w:color w:val="231F20"/>
          <w:w w:val="110"/>
        </w:rPr>
        <w:t>proyecciones</w:t>
      </w:r>
      <w:r>
        <w:rPr>
          <w:color w:val="231F20"/>
          <w:spacing w:val="-10"/>
          <w:w w:val="110"/>
        </w:rPr>
        <w:t> </w:t>
      </w:r>
      <w:r>
        <w:rPr>
          <w:color w:val="231F20"/>
          <w:w w:val="110"/>
        </w:rPr>
        <w:t>del</w:t>
      </w:r>
      <w:r>
        <w:rPr>
          <w:color w:val="231F20"/>
          <w:spacing w:val="-11"/>
          <w:w w:val="110"/>
        </w:rPr>
        <w:t> </w:t>
      </w:r>
      <w:r>
        <w:rPr>
          <w:color w:val="231F20"/>
          <w:w w:val="110"/>
        </w:rPr>
        <w:t>cbo,</w:t>
      </w:r>
      <w:r>
        <w:rPr>
          <w:color w:val="231F20"/>
          <w:spacing w:val="-10"/>
          <w:w w:val="110"/>
        </w:rPr>
        <w:t> </w:t>
      </w:r>
      <w:r>
        <w:rPr>
          <w:color w:val="231F20"/>
          <w:w w:val="110"/>
        </w:rPr>
        <w:t>se</w:t>
      </w:r>
      <w:r>
        <w:rPr>
          <w:color w:val="231F20"/>
          <w:spacing w:val="-10"/>
          <w:w w:val="110"/>
        </w:rPr>
        <w:t> </w:t>
      </w:r>
      <w:r>
        <w:rPr>
          <w:color w:val="231F20"/>
          <w:w w:val="110"/>
        </w:rPr>
        <w:t>espera</w:t>
      </w:r>
      <w:r>
        <w:rPr>
          <w:color w:val="231F20"/>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deuda</w:t>
      </w:r>
      <w:r>
        <w:rPr>
          <w:color w:val="231F20"/>
          <w:spacing w:val="17"/>
          <w:w w:val="110"/>
        </w:rPr>
        <w:t> </w:t>
      </w:r>
      <w:r>
        <w:rPr>
          <w:color w:val="231F20"/>
          <w:w w:val="110"/>
        </w:rPr>
        <w:t>en</w:t>
      </w:r>
      <w:r>
        <w:rPr>
          <w:color w:val="231F20"/>
          <w:spacing w:val="17"/>
          <w:w w:val="110"/>
        </w:rPr>
        <w:t> </w:t>
      </w:r>
      <w:r>
        <w:rPr>
          <w:color w:val="231F20"/>
          <w:w w:val="110"/>
        </w:rPr>
        <w:t>manos</w:t>
      </w:r>
      <w:r>
        <w:rPr>
          <w:color w:val="231F20"/>
          <w:spacing w:val="17"/>
          <w:w w:val="110"/>
        </w:rPr>
        <w:t> </w:t>
      </w:r>
      <w:r>
        <w:rPr>
          <w:color w:val="231F20"/>
          <w:w w:val="110"/>
        </w:rPr>
        <w:t>del</w:t>
      </w:r>
      <w:r>
        <w:rPr>
          <w:color w:val="231F20"/>
          <w:spacing w:val="17"/>
          <w:w w:val="110"/>
        </w:rPr>
        <w:t> </w:t>
      </w:r>
      <w:r>
        <w:rPr>
          <w:color w:val="231F20"/>
          <w:w w:val="110"/>
        </w:rPr>
        <w:t>público</w:t>
      </w:r>
      <w:r>
        <w:rPr>
          <w:color w:val="231F20"/>
          <w:spacing w:val="17"/>
          <w:w w:val="110"/>
        </w:rPr>
        <w:t> </w:t>
      </w:r>
      <w:r>
        <w:rPr>
          <w:color w:val="231F20"/>
          <w:w w:val="110"/>
        </w:rPr>
        <w:t>pase</w:t>
      </w:r>
      <w:r>
        <w:rPr>
          <w:color w:val="231F20"/>
          <w:spacing w:val="17"/>
          <w:w w:val="110"/>
        </w:rPr>
        <w:t> </w:t>
      </w:r>
      <w:r>
        <w:rPr>
          <w:color w:val="231F20"/>
          <w:w w:val="110"/>
        </w:rPr>
        <w:t>de</w:t>
      </w:r>
      <w:r>
        <w:rPr>
          <w:color w:val="231F20"/>
          <w:spacing w:val="17"/>
          <w:w w:val="110"/>
        </w:rPr>
        <w:t> </w:t>
      </w:r>
      <w:r>
        <w:rPr>
          <w:color w:val="231F20"/>
          <w:w w:val="110"/>
        </w:rPr>
        <w:t>5.8</w:t>
      </w:r>
      <w:r>
        <w:rPr>
          <w:color w:val="231F20"/>
          <w:spacing w:val="17"/>
          <w:w w:val="110"/>
        </w:rPr>
        <w:t> </w:t>
      </w:r>
      <w:r>
        <w:rPr>
          <w:color w:val="231F20"/>
          <w:w w:val="110"/>
        </w:rPr>
        <w:t>billones</w:t>
      </w:r>
      <w:r>
        <w:rPr>
          <w:color w:val="231F20"/>
          <w:spacing w:val="17"/>
          <w:w w:val="110"/>
        </w:rPr>
        <w:t> </w:t>
      </w:r>
      <w:r>
        <w:rPr>
          <w:color w:val="231F20"/>
          <w:w w:val="110"/>
        </w:rPr>
        <w:t>de</w:t>
      </w:r>
      <w:r>
        <w:rPr>
          <w:color w:val="231F20"/>
          <w:spacing w:val="17"/>
          <w:w w:val="110"/>
        </w:rPr>
        <w:t> </w:t>
      </w:r>
      <w:r>
        <w:rPr>
          <w:color w:val="231F20"/>
          <w:w w:val="110"/>
        </w:rPr>
        <w:t>dólares</w:t>
      </w:r>
      <w:r>
        <w:rPr>
          <w:color w:val="231F20"/>
          <w:w w:val="109"/>
        </w:rPr>
        <w:t> </w:t>
      </w:r>
      <w:r>
        <w:rPr>
          <w:color w:val="231F20"/>
          <w:w w:val="110"/>
        </w:rPr>
        <w:t>en</w:t>
      </w:r>
      <w:r>
        <w:rPr>
          <w:color w:val="231F20"/>
          <w:spacing w:val="-14"/>
          <w:w w:val="110"/>
        </w:rPr>
        <w:t> </w:t>
      </w:r>
      <w:r>
        <w:rPr>
          <w:color w:val="231F20"/>
          <w:w w:val="110"/>
        </w:rPr>
        <w:t>2008</w:t>
      </w:r>
      <w:r>
        <w:rPr>
          <w:color w:val="231F20"/>
          <w:spacing w:val="-14"/>
          <w:w w:val="110"/>
        </w:rPr>
        <w:t> </w:t>
      </w:r>
      <w:r>
        <w:rPr>
          <w:color w:val="231F20"/>
          <w:w w:val="110"/>
        </w:rPr>
        <w:t>a</w:t>
      </w:r>
      <w:r>
        <w:rPr>
          <w:color w:val="231F20"/>
          <w:spacing w:val="-14"/>
          <w:w w:val="110"/>
        </w:rPr>
        <w:t> </w:t>
      </w:r>
      <w:r>
        <w:rPr>
          <w:color w:val="231F20"/>
          <w:w w:val="110"/>
        </w:rPr>
        <w:t>14.3</w:t>
      </w:r>
      <w:r>
        <w:rPr>
          <w:color w:val="231F20"/>
          <w:spacing w:val="-14"/>
          <w:w w:val="110"/>
        </w:rPr>
        <w:t> </w:t>
      </w:r>
      <w:r>
        <w:rPr>
          <w:color w:val="231F20"/>
          <w:w w:val="110"/>
        </w:rPr>
        <w:t>billones</w:t>
      </w:r>
      <w:r>
        <w:rPr>
          <w:color w:val="231F20"/>
          <w:spacing w:val="-14"/>
          <w:w w:val="110"/>
        </w:rPr>
        <w:t> </w:t>
      </w:r>
      <w:r>
        <w:rPr>
          <w:color w:val="231F20"/>
          <w:w w:val="110"/>
        </w:rPr>
        <w:t>de</w:t>
      </w:r>
      <w:r>
        <w:rPr>
          <w:color w:val="231F20"/>
          <w:spacing w:val="-14"/>
          <w:w w:val="110"/>
        </w:rPr>
        <w:t> </w:t>
      </w:r>
      <w:r>
        <w:rPr>
          <w:color w:val="231F20"/>
          <w:w w:val="110"/>
        </w:rPr>
        <w:t>dólares</w:t>
      </w:r>
      <w:r>
        <w:rPr>
          <w:color w:val="231F20"/>
          <w:spacing w:val="-14"/>
          <w:w w:val="110"/>
        </w:rPr>
        <w:t> </w:t>
      </w:r>
      <w:r>
        <w:rPr>
          <w:color w:val="231F20"/>
          <w:w w:val="110"/>
        </w:rPr>
        <w:t>en</w:t>
      </w:r>
      <w:r>
        <w:rPr>
          <w:color w:val="231F20"/>
          <w:spacing w:val="-14"/>
          <w:w w:val="110"/>
        </w:rPr>
        <w:t> </w:t>
      </w:r>
      <w:r>
        <w:rPr>
          <w:color w:val="231F20"/>
          <w:w w:val="110"/>
        </w:rPr>
        <w:t>2019.</w:t>
      </w:r>
      <w:r>
        <w:rPr>
          <w:color w:val="231F20"/>
          <w:spacing w:val="-14"/>
          <w:w w:val="110"/>
        </w:rPr>
        <w:t> </w:t>
      </w:r>
      <w:r>
        <w:rPr>
          <w:color w:val="231F20"/>
          <w:w w:val="110"/>
        </w:rPr>
        <w:t>En</w:t>
      </w:r>
      <w:r>
        <w:rPr>
          <w:color w:val="231F20"/>
          <w:spacing w:val="-14"/>
          <w:w w:val="110"/>
        </w:rPr>
        <w:t> </w:t>
      </w:r>
      <w:r>
        <w:rPr>
          <w:color w:val="231F20"/>
          <w:w w:val="110"/>
        </w:rPr>
        <w:t>términos</w:t>
      </w:r>
      <w:r>
        <w:rPr>
          <w:color w:val="231F20"/>
          <w:spacing w:val="-14"/>
          <w:w w:val="110"/>
        </w:rPr>
        <w:t> </w:t>
      </w:r>
      <w:r>
        <w:rPr>
          <w:color w:val="231F20"/>
          <w:w w:val="110"/>
        </w:rPr>
        <w:t>relativos</w:t>
      </w:r>
      <w:r>
        <w:rPr>
          <w:color w:val="231F20"/>
          <w:spacing w:val="-14"/>
          <w:w w:val="110"/>
        </w:rPr>
        <w:t> </w:t>
      </w:r>
      <w:r>
        <w:rPr>
          <w:color w:val="231F20"/>
          <w:w w:val="110"/>
        </w:rPr>
        <w:t>esto</w:t>
      </w:r>
      <w:r>
        <w:rPr>
          <w:color w:val="231F20"/>
          <w:w w:val="108"/>
        </w:rPr>
        <w:t> </w:t>
      </w:r>
      <w:r>
        <w:rPr>
          <w:color w:val="231F20"/>
          <w:w w:val="110"/>
        </w:rPr>
        <w:t>implica que la deuda pública estadunidense equivaldrá a finales </w:t>
      </w:r>
      <w:r>
        <w:rPr>
          <w:color w:val="231F20"/>
          <w:spacing w:val="23"/>
          <w:w w:val="110"/>
        </w:rPr>
        <w:t> </w:t>
      </w:r>
      <w:r>
        <w:rPr>
          <w:color w:val="231F20"/>
          <w:w w:val="110"/>
        </w:rPr>
        <w:t>del</w:t>
      </w:r>
    </w:p>
    <w:p>
      <w:pPr>
        <w:pStyle w:val="BodyText"/>
        <w:ind w:left="100" w:right="25"/>
      </w:pPr>
      <w:r>
        <w:rPr>
          <w:color w:val="231F20"/>
          <w:w w:val="110"/>
        </w:rPr>
        <w:t>decenio, a 67.8% del pib.</w:t>
      </w:r>
    </w:p>
    <w:p>
      <w:pPr>
        <w:pStyle w:val="BodyText"/>
        <w:spacing w:line="261" w:lineRule="auto" w:before="20"/>
        <w:ind w:left="100" w:right="117" w:firstLine="240"/>
        <w:jc w:val="both"/>
      </w:pPr>
      <w:r>
        <w:rPr>
          <w:color w:val="231F20"/>
          <w:w w:val="110"/>
        </w:rPr>
        <w:t>A primera vista estos niveles de endeudamiento parecerían signi- ficativamente altos. Sin embargo sólo una perspectiva histórica de</w:t>
      </w:r>
      <w:r>
        <w:rPr>
          <w:color w:val="231F20"/>
          <w:spacing w:val="-38"/>
          <w:w w:val="110"/>
        </w:rPr>
        <w:t> </w:t>
      </w:r>
      <w:r>
        <w:rPr>
          <w:color w:val="231F20"/>
          <w:w w:val="110"/>
        </w:rPr>
        <w:t>la evolución de la deuda pública estadunidense permitiría poner estas proyecciones en contexto. Como se puede observar en la gráfica 1, el incremento proyectado en la deuda pública durante el próximo decenio es un acontecimiento sin precedentes en el periodo de pos- guerra, tanto en términos de velocidad de acumulación de deuda como</w:t>
      </w:r>
      <w:r>
        <w:rPr>
          <w:color w:val="231F20"/>
          <w:spacing w:val="38"/>
          <w:w w:val="110"/>
        </w:rPr>
        <w:t> </w:t>
      </w:r>
      <w:r>
        <w:rPr>
          <w:color w:val="231F20"/>
          <w:w w:val="110"/>
        </w:rPr>
        <w:t>en</w:t>
      </w:r>
      <w:r>
        <w:rPr>
          <w:color w:val="231F20"/>
          <w:spacing w:val="38"/>
          <w:w w:val="110"/>
        </w:rPr>
        <w:t> </w:t>
      </w:r>
      <w:r>
        <w:rPr>
          <w:color w:val="231F20"/>
          <w:w w:val="110"/>
        </w:rPr>
        <w:t>cuantías</w:t>
      </w:r>
      <w:r>
        <w:rPr>
          <w:color w:val="231F20"/>
          <w:spacing w:val="38"/>
          <w:w w:val="110"/>
        </w:rPr>
        <w:t> </w:t>
      </w:r>
      <w:r>
        <w:rPr>
          <w:color w:val="231F20"/>
          <w:w w:val="110"/>
        </w:rPr>
        <w:t>totales.</w:t>
      </w:r>
      <w:r>
        <w:rPr>
          <w:color w:val="231F20"/>
          <w:spacing w:val="38"/>
          <w:w w:val="110"/>
        </w:rPr>
        <w:t> </w:t>
      </w:r>
      <w:r>
        <w:rPr>
          <w:color w:val="231F20"/>
          <w:w w:val="110"/>
        </w:rPr>
        <w:t>Aun</w:t>
      </w:r>
      <w:r>
        <w:rPr>
          <w:color w:val="231F20"/>
          <w:spacing w:val="38"/>
          <w:w w:val="110"/>
        </w:rPr>
        <w:t> </w:t>
      </w:r>
      <w:r>
        <w:rPr>
          <w:color w:val="231F20"/>
          <w:w w:val="110"/>
        </w:rPr>
        <w:t>así,</w:t>
      </w:r>
      <w:r>
        <w:rPr>
          <w:color w:val="231F20"/>
          <w:spacing w:val="38"/>
          <w:w w:val="110"/>
        </w:rPr>
        <w:t> </w:t>
      </w:r>
      <w:r>
        <w:rPr>
          <w:color w:val="231F20"/>
          <w:w w:val="110"/>
        </w:rPr>
        <w:t>los</w:t>
      </w:r>
      <w:r>
        <w:rPr>
          <w:color w:val="231F20"/>
          <w:spacing w:val="38"/>
          <w:w w:val="110"/>
        </w:rPr>
        <w:t> </w:t>
      </w:r>
      <w:r>
        <w:rPr>
          <w:color w:val="231F20"/>
          <w:w w:val="110"/>
        </w:rPr>
        <w:t>niveles</w:t>
      </w:r>
      <w:r>
        <w:rPr>
          <w:color w:val="231F20"/>
          <w:spacing w:val="38"/>
          <w:w w:val="110"/>
        </w:rPr>
        <w:t> </w:t>
      </w:r>
      <w:r>
        <w:rPr>
          <w:color w:val="231F20"/>
          <w:w w:val="110"/>
        </w:rPr>
        <w:t>de</w:t>
      </w:r>
      <w:r>
        <w:rPr>
          <w:color w:val="231F20"/>
          <w:spacing w:val="38"/>
          <w:w w:val="110"/>
        </w:rPr>
        <w:t> </w:t>
      </w:r>
      <w:r>
        <w:rPr>
          <w:color w:val="231F20"/>
          <w:w w:val="110"/>
        </w:rPr>
        <w:t>endeudamiento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877"/>
        <w:jc w:val="both"/>
      </w:pPr>
      <w:r>
        <w:rPr>
          <w:color w:val="231F20"/>
          <w:w w:val="110"/>
        </w:rPr>
        <w:t>esperados a finales del decenio están lejos, en términos relativos,</w:t>
      </w:r>
      <w:r>
        <w:rPr>
          <w:color w:val="231F20"/>
          <w:spacing w:val="-38"/>
          <w:w w:val="110"/>
        </w:rPr>
        <w:t> </w:t>
      </w:r>
      <w:r>
        <w:rPr>
          <w:color w:val="231F20"/>
          <w:w w:val="110"/>
        </w:rPr>
        <w:t>del pico alcanzado en 1946, de 108.6% del pib. Es de resaltar entonces que esta situación no representó un obstáculo significativo para el establecimiento de la hegemonía política, económica y militar de Estados Unidos en occidente. Dos elementos permiten explicar esta aparente</w:t>
      </w:r>
      <w:r>
        <w:rPr>
          <w:color w:val="231F20"/>
          <w:spacing w:val="40"/>
          <w:w w:val="110"/>
        </w:rPr>
        <w:t> </w:t>
      </w:r>
      <w:r>
        <w:rPr>
          <w:color w:val="231F20"/>
          <w:w w:val="110"/>
        </w:rPr>
        <w:t>paradoja.</w:t>
      </w:r>
    </w:p>
    <w:p>
      <w:pPr>
        <w:pStyle w:val="BodyText"/>
        <w:spacing w:before="5"/>
        <w:rPr>
          <w:sz w:val="19"/>
        </w:rPr>
      </w:pPr>
    </w:p>
    <w:p>
      <w:pPr>
        <w:spacing w:before="0"/>
        <w:ind w:left="100" w:right="0" w:firstLine="0"/>
        <w:jc w:val="both"/>
        <w:rPr>
          <w:sz w:val="18"/>
        </w:rPr>
      </w:pPr>
      <w:r>
        <w:rPr>
          <w:color w:val="231F20"/>
          <w:w w:val="120"/>
          <w:sz w:val="18"/>
        </w:rPr>
        <w:t>gráfica 1. deuda pública de estados unidos, 1939-2019</w:t>
      </w:r>
    </w:p>
    <w:p>
      <w:pPr>
        <w:pStyle w:val="BodyText"/>
        <w:rPr>
          <w:sz w:val="18"/>
        </w:rPr>
      </w:pPr>
    </w:p>
    <w:p>
      <w:pPr>
        <w:pStyle w:val="BodyText"/>
        <w:rPr>
          <w:sz w:val="18"/>
        </w:rPr>
      </w:pPr>
    </w:p>
    <w:p>
      <w:pPr>
        <w:spacing w:before="1"/>
        <w:ind w:left="444" w:right="6048" w:firstLine="0"/>
        <w:jc w:val="center"/>
        <w:rPr>
          <w:sz w:val="16"/>
        </w:rPr>
      </w:pPr>
      <w:r>
        <w:rPr/>
        <w:pict>
          <v:group style="position:absolute;margin-left:78.349998pt;margin-top:4.995337pt;width:249.5pt;height:130.75pt;mso-position-horizontal-relative:page;mso-position-vertical-relative:paragraph;z-index:-352816" coordorigin="1567,100" coordsize="4990,2615">
            <v:line style="position:absolute" from="1638,969" to="6545,969" stroked="true" strokeweight=".5pt" strokecolor="#a7a9ac"/>
            <v:line style="position:absolute" from="1645,537" to="6552,537" stroked="true" strokeweight=".5pt" strokecolor="#a7a9ac"/>
            <v:line style="position:absolute" from="1638,1401" to="6545,1401" stroked="true" strokeweight=".5pt" strokecolor="#a7a9ac"/>
            <v:line style="position:absolute" from="1638,1833" to="6545,1833" stroked="true" strokeweight=".5pt" strokecolor="#a7a9ac"/>
            <v:shape style="position:absolute;left:1656;top:334;width:4842;height:1837" coordorigin="1656,334" coordsize="4842,1837" path="m1656,1690l1764,1770,1818,1660,1872,1250,1908,964,1956,700,1998,410,2058,334,2166,826,2256,982,2310,946,2364,1222,2448,1370,2502,1438,2556,1396,2610,1426,2652,1504,2742,1636,2808,1624,2874,1660,2940,1714,3024,1732,3132,1780,3228,1864,3294,1936,3348,1978,3414,1972,3468,2056,3534,2080,3618,2068,3702,2104,3768,2170,3816,2170,3888,2098,4014,2098,4084,2140,4204,2134,4248,2080,4308,1984,4374,1960,4446,1900,4506,1828,4548,1786,4674,1786,4854,1650,4914,1618,5058,1624,5208,1744,5284,1816,5352,1900,5418,1970,5478,1948,5598,1870,5688,1870,5724,1900,5796,1890,5850,1810,5884,1630,5904,1522,5958,1390,6006,1300,6108,1270,6150,1294,6222,1264,6306,1234,6468,1228,6498,1216e" filled="false" stroked="true" strokeweight="1.0pt" strokecolor="#231f20">
              <v:path arrowok="t"/>
            </v:shape>
            <v:line style="position:absolute" from="1645,105" to="6552,105" stroked="true" strokeweight=".5pt" strokecolor="#a7a9ac"/>
            <v:line style="position:absolute" from="1638,2265" to="6545,2265" stroked="true" strokeweight=".5pt" strokecolor="#a7a9ac"/>
            <v:line style="position:absolute" from="1608,2709" to="6515,2709" stroked="true" strokeweight=".5pt" strokecolor="#a7a9ac"/>
            <v:line style="position:absolute" from="1572,113" to="1572,2709" stroked="true" strokeweight=".5pt" strokecolor="#231f20"/>
            <w10:wrap type="none"/>
          </v:group>
        </w:pict>
      </w:r>
      <w:r>
        <w:rPr>
          <w:color w:val="231F20"/>
          <w:sz w:val="16"/>
        </w:rPr>
        <w:t>120 —</w:t>
      </w:r>
    </w:p>
    <w:p>
      <w:pPr>
        <w:pStyle w:val="BodyText"/>
        <w:spacing w:before="6"/>
        <w:rPr>
          <w:sz w:val="21"/>
        </w:rPr>
      </w:pPr>
    </w:p>
    <w:p>
      <w:pPr>
        <w:spacing w:before="0"/>
        <w:ind w:left="444" w:right="6048" w:firstLine="0"/>
        <w:jc w:val="center"/>
        <w:rPr>
          <w:sz w:val="16"/>
        </w:rPr>
      </w:pPr>
      <w:r>
        <w:rPr/>
        <w:pict>
          <v:shape style="position:absolute;margin-left:45.467098pt;margin-top:14.832259pt;width:10.050pt;height:65.45pt;mso-position-horizontal-relative:page;mso-position-vertical-relative:paragraph;z-index:4552" type="#_x0000_t202" filled="false" stroked="false">
            <v:textbox inset="0,0,0,0" style="layout-flow:vertical;mso-layout-flow-alt:bottom-to-top">
              <w:txbxContent>
                <w:p>
                  <w:pPr>
                    <w:spacing w:line="178" w:lineRule="exact" w:before="0"/>
                    <w:ind w:left="20" w:right="-565" w:firstLine="0"/>
                    <w:jc w:val="left"/>
                    <w:rPr>
                      <w:sz w:val="16"/>
                    </w:rPr>
                  </w:pPr>
                  <w:r>
                    <w:rPr>
                      <w:color w:val="231F20"/>
                      <w:w w:val="110"/>
                      <w:sz w:val="16"/>
                    </w:rPr>
                    <w:t>Porcentaje</w:t>
                  </w:r>
                  <w:r>
                    <w:rPr>
                      <w:color w:val="231F20"/>
                      <w:spacing w:val="1"/>
                      <w:sz w:val="16"/>
                    </w:rPr>
                    <w:t> </w:t>
                  </w:r>
                  <w:r>
                    <w:rPr>
                      <w:color w:val="231F20"/>
                      <w:w w:val="111"/>
                      <w:sz w:val="16"/>
                    </w:rPr>
                    <w:t>del</w:t>
                  </w:r>
                  <w:r>
                    <w:rPr>
                      <w:color w:val="231F20"/>
                      <w:spacing w:val="1"/>
                      <w:sz w:val="16"/>
                    </w:rPr>
                    <w:t> </w:t>
                  </w:r>
                  <w:r>
                    <w:rPr>
                      <w:color w:val="231F20"/>
                      <w:w w:val="108"/>
                      <w:sz w:val="16"/>
                    </w:rPr>
                    <w:t>pib</w:t>
                  </w:r>
                </w:p>
              </w:txbxContent>
            </v:textbox>
            <w10:wrap type="none"/>
          </v:shape>
        </w:pict>
      </w:r>
      <w:r>
        <w:rPr>
          <w:color w:val="231F20"/>
          <w:sz w:val="16"/>
        </w:rPr>
        <w:t>100 —</w:t>
      </w:r>
    </w:p>
    <w:p>
      <w:pPr>
        <w:pStyle w:val="BodyText"/>
        <w:spacing w:before="6"/>
        <w:rPr>
          <w:sz w:val="21"/>
        </w:rPr>
      </w:pPr>
    </w:p>
    <w:p>
      <w:pPr>
        <w:spacing w:before="0"/>
        <w:ind w:left="544" w:right="1138" w:firstLine="0"/>
        <w:jc w:val="left"/>
        <w:rPr>
          <w:sz w:val="16"/>
        </w:rPr>
      </w:pPr>
      <w:r>
        <w:rPr>
          <w:color w:val="231F20"/>
          <w:sz w:val="16"/>
        </w:rPr>
        <w:t>80 —</w:t>
      </w:r>
    </w:p>
    <w:p>
      <w:pPr>
        <w:pStyle w:val="BodyText"/>
        <w:spacing w:before="6"/>
        <w:rPr>
          <w:sz w:val="21"/>
        </w:rPr>
      </w:pPr>
    </w:p>
    <w:p>
      <w:pPr>
        <w:spacing w:before="0"/>
        <w:ind w:left="544" w:right="1138" w:firstLine="0"/>
        <w:jc w:val="left"/>
        <w:rPr>
          <w:sz w:val="16"/>
        </w:rPr>
      </w:pPr>
      <w:r>
        <w:rPr>
          <w:color w:val="231F20"/>
          <w:sz w:val="16"/>
        </w:rPr>
        <w:t>60 —</w:t>
      </w:r>
    </w:p>
    <w:p>
      <w:pPr>
        <w:pStyle w:val="BodyText"/>
        <w:spacing w:before="6"/>
        <w:rPr>
          <w:sz w:val="21"/>
        </w:rPr>
      </w:pPr>
    </w:p>
    <w:p>
      <w:pPr>
        <w:spacing w:before="0"/>
        <w:ind w:left="544" w:right="1138" w:firstLine="0"/>
        <w:jc w:val="left"/>
        <w:rPr>
          <w:sz w:val="16"/>
        </w:rPr>
      </w:pPr>
      <w:r>
        <w:rPr>
          <w:color w:val="231F20"/>
          <w:sz w:val="16"/>
        </w:rPr>
        <w:t>40 —</w:t>
      </w:r>
    </w:p>
    <w:p>
      <w:pPr>
        <w:pStyle w:val="BodyText"/>
        <w:spacing w:before="6"/>
        <w:rPr>
          <w:sz w:val="21"/>
        </w:rPr>
      </w:pPr>
    </w:p>
    <w:p>
      <w:pPr>
        <w:spacing w:before="0"/>
        <w:ind w:left="544" w:right="1138" w:firstLine="0"/>
        <w:jc w:val="left"/>
        <w:rPr>
          <w:sz w:val="16"/>
        </w:rPr>
      </w:pPr>
      <w:r>
        <w:rPr>
          <w:color w:val="231F20"/>
          <w:sz w:val="16"/>
        </w:rPr>
        <w:t>20 —</w:t>
      </w:r>
    </w:p>
    <w:p>
      <w:pPr>
        <w:pStyle w:val="BodyText"/>
        <w:spacing w:before="6"/>
        <w:rPr>
          <w:sz w:val="21"/>
        </w:rPr>
      </w:pPr>
    </w:p>
    <w:p>
      <w:pPr>
        <w:spacing w:before="0"/>
        <w:ind w:left="448" w:right="5885" w:firstLine="0"/>
        <w:jc w:val="center"/>
        <w:rPr>
          <w:sz w:val="16"/>
        </w:rPr>
      </w:pPr>
      <w:r>
        <w:rPr/>
        <w:pict>
          <v:shape style="position:absolute;margin-left:76.059097pt;margin-top:6.344262pt;width:10pt;height:28.75pt;mso-position-horizontal-relative:page;mso-position-vertical-relative:paragraph;z-index:-3527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1939</w:t>
                  </w:r>
                  <w:r>
                    <w:rPr>
                      <w:color w:val="231F20"/>
                      <w:spacing w:val="1"/>
                      <w:sz w:val="16"/>
                    </w:rPr>
                    <w:t> </w:t>
                  </w:r>
                  <w:r>
                    <w:rPr>
                      <w:color w:val="231F20"/>
                      <w:sz w:val="16"/>
                    </w:rPr>
                    <w:t>—</w:t>
                  </w:r>
                </w:p>
              </w:txbxContent>
            </v:textbox>
            <w10:wrap type="none"/>
          </v:shape>
        </w:pict>
      </w:r>
      <w:r>
        <w:rPr/>
        <w:pict>
          <v:shape style="position:absolute;margin-left:100.659096pt;margin-top:6.344262pt;width:10pt;height:28.75pt;mso-position-horizontal-relative:page;mso-position-vertical-relative:paragraph;z-index:460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1947</w:t>
                  </w:r>
                  <w:r>
                    <w:rPr>
                      <w:color w:val="231F20"/>
                      <w:spacing w:val="1"/>
                      <w:sz w:val="16"/>
                    </w:rPr>
                    <w:t> </w:t>
                  </w:r>
                  <w:r>
                    <w:rPr>
                      <w:color w:val="231F20"/>
                      <w:sz w:val="16"/>
                    </w:rPr>
                    <w:t>—</w:t>
                  </w:r>
                </w:p>
              </w:txbxContent>
            </v:textbox>
            <w10:wrap type="none"/>
          </v:shape>
        </w:pict>
      </w:r>
      <w:r>
        <w:rPr/>
        <w:pict>
          <v:shape style="position:absolute;margin-left:125.259102pt;margin-top:6.344262pt;width:10pt;height:28.75pt;mso-position-horizontal-relative:page;mso-position-vertical-relative:paragraph;z-index:462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1955</w:t>
                  </w:r>
                  <w:r>
                    <w:rPr>
                      <w:color w:val="231F20"/>
                      <w:spacing w:val="1"/>
                      <w:sz w:val="16"/>
                    </w:rPr>
                    <w:t> </w:t>
                  </w:r>
                  <w:r>
                    <w:rPr>
                      <w:color w:val="231F20"/>
                      <w:sz w:val="16"/>
                    </w:rPr>
                    <w:t>—</w:t>
                  </w:r>
                </w:p>
              </w:txbxContent>
            </v:textbox>
            <w10:wrap type="none"/>
          </v:shape>
        </w:pict>
      </w:r>
      <w:r>
        <w:rPr/>
        <w:pict>
          <v:shape style="position:absolute;margin-left:149.859100pt;margin-top:6.344262pt;width:10pt;height:28.75pt;mso-position-horizontal-relative:page;mso-position-vertical-relative:paragraph;z-index:464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1963</w:t>
                  </w:r>
                  <w:r>
                    <w:rPr>
                      <w:color w:val="231F20"/>
                      <w:spacing w:val="1"/>
                      <w:sz w:val="16"/>
                    </w:rPr>
                    <w:t> </w:t>
                  </w:r>
                  <w:r>
                    <w:rPr>
                      <w:color w:val="231F20"/>
                      <w:sz w:val="16"/>
                    </w:rPr>
                    <w:t>—</w:t>
                  </w:r>
                </w:p>
              </w:txbxContent>
            </v:textbox>
            <w10:wrap type="none"/>
          </v:shape>
        </w:pict>
      </w:r>
      <w:r>
        <w:rPr/>
        <w:pict>
          <v:shape style="position:absolute;margin-left:174.459091pt;margin-top:6.344262pt;width:10pt;height:28.75pt;mso-position-horizontal-relative:page;mso-position-vertical-relative:paragraph;z-index:467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1971</w:t>
                  </w:r>
                  <w:r>
                    <w:rPr>
                      <w:color w:val="231F20"/>
                      <w:spacing w:val="1"/>
                      <w:sz w:val="16"/>
                    </w:rPr>
                    <w:t> </w:t>
                  </w:r>
                  <w:r>
                    <w:rPr>
                      <w:color w:val="231F20"/>
                      <w:sz w:val="16"/>
                    </w:rPr>
                    <w:t>—</w:t>
                  </w:r>
                </w:p>
              </w:txbxContent>
            </v:textbox>
            <w10:wrap type="none"/>
          </v:shape>
        </w:pict>
      </w:r>
      <w:r>
        <w:rPr/>
        <w:pict>
          <v:shape style="position:absolute;margin-left:199.059097pt;margin-top:6.344262pt;width:10pt;height:28.75pt;mso-position-horizontal-relative:page;mso-position-vertical-relative:paragraph;z-index:469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1979</w:t>
                  </w:r>
                  <w:r>
                    <w:rPr>
                      <w:color w:val="231F20"/>
                      <w:spacing w:val="1"/>
                      <w:sz w:val="16"/>
                    </w:rPr>
                    <w:t> </w:t>
                  </w:r>
                  <w:r>
                    <w:rPr>
                      <w:color w:val="231F20"/>
                      <w:sz w:val="16"/>
                    </w:rPr>
                    <w:t>—</w:t>
                  </w:r>
                </w:p>
              </w:txbxContent>
            </v:textbox>
            <w10:wrap type="none"/>
          </v:shape>
        </w:pict>
      </w:r>
      <w:r>
        <w:rPr/>
        <w:pict>
          <v:shape style="position:absolute;margin-left:223.659103pt;margin-top:6.344262pt;width:10pt;height:28.75pt;mso-position-horizontal-relative:page;mso-position-vertical-relative:paragraph;z-index:472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1987</w:t>
                  </w:r>
                  <w:r>
                    <w:rPr>
                      <w:color w:val="231F20"/>
                      <w:spacing w:val="1"/>
                      <w:sz w:val="16"/>
                    </w:rPr>
                    <w:t> </w:t>
                  </w:r>
                  <w:r>
                    <w:rPr>
                      <w:color w:val="231F20"/>
                      <w:sz w:val="16"/>
                    </w:rPr>
                    <w:t>—</w:t>
                  </w:r>
                </w:p>
              </w:txbxContent>
            </v:textbox>
            <w10:wrap type="none"/>
          </v:shape>
        </w:pict>
      </w:r>
      <w:r>
        <w:rPr/>
        <w:pict>
          <v:shape style="position:absolute;margin-left:248.259094pt;margin-top:6.344262pt;width:10pt;height:28.75pt;mso-position-horizontal-relative:page;mso-position-vertical-relative:paragraph;z-index:474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1995</w:t>
                  </w:r>
                  <w:r>
                    <w:rPr>
                      <w:color w:val="231F20"/>
                      <w:spacing w:val="1"/>
                      <w:sz w:val="16"/>
                    </w:rPr>
                    <w:t> </w:t>
                  </w:r>
                  <w:r>
                    <w:rPr>
                      <w:color w:val="231F20"/>
                      <w:sz w:val="16"/>
                    </w:rPr>
                    <w:t>—</w:t>
                  </w:r>
                </w:p>
              </w:txbxContent>
            </v:textbox>
            <w10:wrap type="none"/>
          </v:shape>
        </w:pict>
      </w:r>
      <w:r>
        <w:rPr/>
        <w:pict>
          <v:shape style="position:absolute;margin-left:272.8591pt;margin-top:6.344261pt;width:10pt;height:28.75pt;mso-position-horizontal-relative:page;mso-position-vertical-relative:paragraph;z-index:47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2003</w:t>
                  </w:r>
                  <w:r>
                    <w:rPr>
                      <w:color w:val="231F20"/>
                      <w:spacing w:val="1"/>
                      <w:sz w:val="16"/>
                    </w:rPr>
                    <w:t> </w:t>
                  </w:r>
                  <w:r>
                    <w:rPr>
                      <w:color w:val="231F20"/>
                      <w:sz w:val="16"/>
                    </w:rPr>
                    <w:t>—</w:t>
                  </w:r>
                </w:p>
              </w:txbxContent>
            </v:textbox>
            <w10:wrap type="none"/>
          </v:shape>
        </w:pict>
      </w:r>
      <w:r>
        <w:rPr/>
        <w:pict>
          <v:shape style="position:absolute;margin-left:297.459106pt;margin-top:6.344261pt;width:10pt;height:28.75pt;mso-position-horizontal-relative:page;mso-position-vertical-relative:paragraph;z-index:479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2011</w:t>
                  </w:r>
                  <w:r>
                    <w:rPr>
                      <w:color w:val="231F20"/>
                      <w:spacing w:val="1"/>
                      <w:sz w:val="16"/>
                    </w:rPr>
                    <w:t> </w:t>
                  </w:r>
                  <w:r>
                    <w:rPr>
                      <w:color w:val="231F20"/>
                      <w:sz w:val="16"/>
                    </w:rPr>
                    <w:t>—</w:t>
                  </w:r>
                </w:p>
              </w:txbxContent>
            </v:textbox>
            <w10:wrap type="none"/>
          </v:shape>
        </w:pict>
      </w:r>
      <w:r>
        <w:rPr/>
        <w:pict>
          <v:shape style="position:absolute;margin-left:322.059113pt;margin-top:6.344261pt;width:10pt;height:28.75pt;mso-position-horizontal-relative:page;mso-position-vertical-relative:paragraph;z-index:48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2019</w:t>
                  </w:r>
                  <w:r>
                    <w:rPr>
                      <w:color w:val="231F20"/>
                      <w:spacing w:val="1"/>
                      <w:sz w:val="16"/>
                    </w:rPr>
                    <w:t> </w:t>
                  </w:r>
                  <w:r>
                    <w:rPr>
                      <w:color w:val="231F20"/>
                      <w:sz w:val="16"/>
                    </w:rPr>
                    <w:t>—</w:t>
                  </w:r>
                </w:p>
              </w:txbxContent>
            </v:textbox>
            <w10:wrap type="none"/>
          </v:shape>
        </w:pict>
      </w:r>
      <w:r>
        <w:rPr>
          <w:color w:val="231F20"/>
          <w:sz w:val="16"/>
        </w:rPr>
        <w:t>0 —</w:t>
      </w:r>
    </w:p>
    <w:p>
      <w:pPr>
        <w:pStyle w:val="BodyText"/>
      </w:pPr>
    </w:p>
    <w:p>
      <w:pPr>
        <w:pStyle w:val="BodyText"/>
      </w:pPr>
    </w:p>
    <w:p>
      <w:pPr>
        <w:pStyle w:val="BodyText"/>
        <w:rPr>
          <w:sz w:val="16"/>
        </w:rPr>
      </w:pPr>
    </w:p>
    <w:p>
      <w:pPr>
        <w:spacing w:line="283" w:lineRule="auto" w:before="1"/>
        <w:ind w:left="100" w:right="877" w:firstLine="0"/>
        <w:jc w:val="both"/>
        <w:rPr>
          <w:sz w:val="18"/>
        </w:rPr>
      </w:pPr>
      <w:r>
        <w:rPr>
          <w:rFonts w:ascii="Calibri"/>
          <w:color w:val="231F20"/>
          <w:w w:val="110"/>
          <w:sz w:val="18"/>
        </w:rPr>
        <w:t>nota: </w:t>
      </w:r>
      <w:r>
        <w:rPr>
          <w:color w:val="231F20"/>
          <w:w w:val="110"/>
          <w:sz w:val="18"/>
        </w:rPr>
        <w:t>Los datos al periodo 1939-2007 fueron obtenidos del Department of the Treasury and Office of Managment and Budget. Los datos del periodo 2008- 2019 corresponden a las proyecciones del cbo.</w:t>
      </w:r>
    </w:p>
    <w:p>
      <w:pPr>
        <w:spacing w:before="4"/>
        <w:ind w:left="100" w:right="0" w:firstLine="0"/>
        <w:jc w:val="both"/>
        <w:rPr>
          <w:sz w:val="18"/>
        </w:rPr>
      </w:pPr>
      <w:r>
        <w:rPr>
          <w:rFonts w:ascii="Calibri"/>
          <w:color w:val="231F20"/>
          <w:w w:val="115"/>
          <w:sz w:val="18"/>
        </w:rPr>
        <w:t>fuente: </w:t>
      </w:r>
      <w:r>
        <w:rPr>
          <w:color w:val="231F20"/>
          <w:w w:val="115"/>
          <w:sz w:val="18"/>
        </w:rPr>
        <w:t>Department of the Treasury, cbo, 2009.</w:t>
      </w:r>
    </w:p>
    <w:p>
      <w:pPr>
        <w:pStyle w:val="BodyText"/>
        <w:spacing w:before="10"/>
      </w:pPr>
    </w:p>
    <w:p>
      <w:pPr>
        <w:pStyle w:val="BodyText"/>
        <w:spacing w:line="261" w:lineRule="auto" w:before="1"/>
        <w:ind w:left="100" w:right="879" w:firstLine="240"/>
        <w:jc w:val="both"/>
      </w:pPr>
      <w:r>
        <w:rPr>
          <w:color w:val="231F20"/>
          <w:w w:val="105"/>
        </w:rPr>
        <w:t>El primero es el hecho que si bien los Estados Unidos redujeron progresivamente el porcentaje de deuda pública en términos de pib a   lo largo de los dos primeros decenios de posguerra, esto fue logrado por el incremento del gasto público y de la deuda en manos del pú- blico:</w:t>
      </w:r>
      <w:r>
        <w:rPr>
          <w:color w:val="231F20"/>
          <w:spacing w:val="24"/>
          <w:w w:val="105"/>
        </w:rPr>
        <w:t> </w:t>
      </w:r>
      <w:r>
        <w:rPr>
          <w:color w:val="231F20"/>
          <w:w w:val="105"/>
        </w:rPr>
        <w:t>ésta</w:t>
      </w:r>
      <w:r>
        <w:rPr>
          <w:color w:val="231F20"/>
          <w:spacing w:val="24"/>
          <w:w w:val="105"/>
        </w:rPr>
        <w:t> </w:t>
      </w:r>
      <w:r>
        <w:rPr>
          <w:color w:val="231F20"/>
          <w:w w:val="105"/>
        </w:rPr>
        <w:t>pasó</w:t>
      </w:r>
      <w:r>
        <w:rPr>
          <w:color w:val="231F20"/>
          <w:spacing w:val="24"/>
          <w:w w:val="105"/>
        </w:rPr>
        <w:t> </w:t>
      </w:r>
      <w:r>
        <w:rPr>
          <w:color w:val="231F20"/>
          <w:w w:val="105"/>
        </w:rPr>
        <w:t>de</w:t>
      </w:r>
      <w:r>
        <w:rPr>
          <w:color w:val="231F20"/>
          <w:spacing w:val="24"/>
          <w:w w:val="105"/>
        </w:rPr>
        <w:t> </w:t>
      </w:r>
      <w:r>
        <w:rPr>
          <w:color w:val="231F20"/>
          <w:w w:val="105"/>
        </w:rPr>
        <w:t>219</w:t>
      </w:r>
      <w:r>
        <w:rPr>
          <w:color w:val="231F20"/>
          <w:spacing w:val="24"/>
          <w:w w:val="105"/>
        </w:rPr>
        <w:t> </w:t>
      </w:r>
      <w:r>
        <w:rPr>
          <w:color w:val="231F20"/>
          <w:w w:val="105"/>
        </w:rPr>
        <w:t>millardos</w:t>
      </w:r>
      <w:r>
        <w:rPr>
          <w:color w:val="231F20"/>
          <w:spacing w:val="24"/>
          <w:w w:val="105"/>
        </w:rPr>
        <w:t> </w:t>
      </w:r>
      <w:r>
        <w:rPr>
          <w:color w:val="231F20"/>
          <w:w w:val="105"/>
        </w:rPr>
        <w:t>de</w:t>
      </w:r>
      <w:r>
        <w:rPr>
          <w:color w:val="231F20"/>
          <w:spacing w:val="24"/>
          <w:w w:val="105"/>
        </w:rPr>
        <w:t> </w:t>
      </w:r>
      <w:r>
        <w:rPr>
          <w:color w:val="231F20"/>
          <w:w w:val="105"/>
        </w:rPr>
        <w:t>dólares</w:t>
      </w:r>
      <w:r>
        <w:rPr>
          <w:color w:val="231F20"/>
          <w:spacing w:val="24"/>
          <w:w w:val="105"/>
        </w:rPr>
        <w:t> </w:t>
      </w:r>
      <w:r>
        <w:rPr>
          <w:color w:val="231F20"/>
          <w:w w:val="105"/>
        </w:rPr>
        <w:t>en</w:t>
      </w:r>
      <w:r>
        <w:rPr>
          <w:color w:val="231F20"/>
          <w:spacing w:val="24"/>
          <w:w w:val="105"/>
        </w:rPr>
        <w:t> </w:t>
      </w:r>
      <w:r>
        <w:rPr>
          <w:color w:val="231F20"/>
          <w:w w:val="105"/>
        </w:rPr>
        <w:t>1950</w:t>
      </w:r>
      <w:r>
        <w:rPr>
          <w:color w:val="231F20"/>
          <w:spacing w:val="24"/>
          <w:w w:val="105"/>
        </w:rPr>
        <w:t> </w:t>
      </w:r>
      <w:r>
        <w:rPr>
          <w:color w:val="231F20"/>
          <w:w w:val="105"/>
        </w:rPr>
        <w:t>a</w:t>
      </w:r>
      <w:r>
        <w:rPr>
          <w:color w:val="231F20"/>
          <w:spacing w:val="24"/>
          <w:w w:val="105"/>
        </w:rPr>
        <w:t> </w:t>
      </w:r>
      <w:r>
        <w:rPr>
          <w:color w:val="231F20"/>
          <w:w w:val="105"/>
        </w:rPr>
        <w:t>237</w:t>
      </w:r>
      <w:r>
        <w:rPr>
          <w:color w:val="231F20"/>
          <w:spacing w:val="24"/>
          <w:w w:val="105"/>
        </w:rPr>
        <w:t> </w:t>
      </w:r>
      <w:r>
        <w:rPr>
          <w:color w:val="231F20"/>
          <w:w w:val="105"/>
        </w:rPr>
        <w:t>en</w:t>
      </w:r>
      <w:r>
        <w:rPr>
          <w:color w:val="231F20"/>
          <w:spacing w:val="24"/>
          <w:w w:val="105"/>
        </w:rPr>
        <w:t> </w:t>
      </w:r>
      <w:r>
        <w:rPr>
          <w:color w:val="231F20"/>
          <w:w w:val="105"/>
        </w:rPr>
        <w:t>1960.</w:t>
      </w:r>
      <w:r>
        <w:rPr>
          <w:color w:val="231F20"/>
          <w:spacing w:val="-2"/>
          <w:w w:val="104"/>
        </w:rPr>
        <w:t> </w:t>
      </w:r>
      <w:r>
        <w:rPr>
          <w:color w:val="231F20"/>
          <w:w w:val="105"/>
        </w:rPr>
        <w:t>La clave entonces radica en que Estados Unidos nunca ha </w:t>
      </w:r>
      <w:r>
        <w:rPr>
          <w:color w:val="231F20"/>
          <w:spacing w:val="-2"/>
          <w:w w:val="105"/>
        </w:rPr>
        <w:t>pagado </w:t>
      </w:r>
      <w:r>
        <w:rPr>
          <w:color w:val="231F20"/>
          <w:w w:val="105"/>
        </w:rPr>
        <w:t>realmente su deuda. Gracias a un fuerte periodo de crecimiento, el  ratio de deuda pública respecto al pib se vio reducido y la situación fiscal mejoró significativamente (Krugman, </w:t>
      </w:r>
      <w:r>
        <w:rPr>
          <w:color w:val="231F20"/>
          <w:spacing w:val="9"/>
          <w:w w:val="105"/>
        </w:rPr>
        <w:t> </w:t>
      </w:r>
      <w:r>
        <w:rPr>
          <w:color w:val="231F20"/>
          <w:spacing w:val="-2"/>
          <w:w w:val="105"/>
        </w:rPr>
        <w:t>2009).</w:t>
      </w:r>
    </w:p>
    <w:p>
      <w:pPr>
        <w:pStyle w:val="BodyText"/>
        <w:spacing w:line="261" w:lineRule="auto"/>
        <w:ind w:left="100" w:right="877" w:firstLine="240"/>
        <w:jc w:val="both"/>
      </w:pPr>
      <w:r>
        <w:rPr>
          <w:color w:val="231F20"/>
          <w:w w:val="110"/>
        </w:rPr>
        <w:t>El</w:t>
      </w:r>
      <w:r>
        <w:rPr>
          <w:color w:val="231F20"/>
          <w:spacing w:val="-4"/>
          <w:w w:val="110"/>
        </w:rPr>
        <w:t> </w:t>
      </w:r>
      <w:r>
        <w:rPr>
          <w:color w:val="231F20"/>
          <w:w w:val="110"/>
        </w:rPr>
        <w:t>segundo</w:t>
      </w:r>
      <w:r>
        <w:rPr>
          <w:color w:val="231F20"/>
          <w:spacing w:val="-4"/>
          <w:w w:val="110"/>
        </w:rPr>
        <w:t> </w:t>
      </w:r>
      <w:r>
        <w:rPr>
          <w:color w:val="231F20"/>
          <w:w w:val="110"/>
        </w:rPr>
        <w:t>elemento</w:t>
      </w:r>
      <w:r>
        <w:rPr>
          <w:color w:val="231F20"/>
          <w:spacing w:val="-4"/>
          <w:w w:val="110"/>
        </w:rPr>
        <w:t> </w:t>
      </w:r>
      <w:r>
        <w:rPr>
          <w:color w:val="231F20"/>
          <w:w w:val="110"/>
        </w:rPr>
        <w:t>ha</w:t>
      </w:r>
      <w:r>
        <w:rPr>
          <w:color w:val="231F20"/>
          <w:spacing w:val="-4"/>
          <w:w w:val="110"/>
        </w:rPr>
        <w:t> </w:t>
      </w:r>
      <w:r>
        <w:rPr>
          <w:color w:val="231F20"/>
          <w:w w:val="110"/>
        </w:rPr>
        <w:t>sido</w:t>
      </w:r>
      <w:r>
        <w:rPr>
          <w:color w:val="231F20"/>
          <w:spacing w:val="-4"/>
          <w:w w:val="110"/>
        </w:rPr>
        <w:t> </w:t>
      </w:r>
      <w:r>
        <w:rPr>
          <w:color w:val="231F20"/>
          <w:w w:val="110"/>
        </w:rPr>
        <w:t>la</w:t>
      </w:r>
      <w:r>
        <w:rPr>
          <w:color w:val="231F20"/>
          <w:spacing w:val="-4"/>
          <w:w w:val="110"/>
        </w:rPr>
        <w:t> </w:t>
      </w:r>
      <w:r>
        <w:rPr>
          <w:color w:val="231F20"/>
          <w:w w:val="110"/>
        </w:rPr>
        <w:t>voluntad</w:t>
      </w:r>
      <w:r>
        <w:rPr>
          <w:color w:val="231F20"/>
          <w:spacing w:val="-4"/>
          <w:w w:val="110"/>
        </w:rPr>
        <w:t> </w:t>
      </w:r>
      <w:r>
        <w:rPr>
          <w:color w:val="231F20"/>
          <w:w w:val="110"/>
        </w:rPr>
        <w:t>del</w:t>
      </w:r>
      <w:r>
        <w:rPr>
          <w:color w:val="231F20"/>
          <w:spacing w:val="-4"/>
          <w:w w:val="110"/>
        </w:rPr>
        <w:t> </w:t>
      </w:r>
      <w:r>
        <w:rPr>
          <w:color w:val="231F20"/>
          <w:w w:val="110"/>
        </w:rPr>
        <w:t>resto</w:t>
      </w:r>
      <w:r>
        <w:rPr>
          <w:color w:val="231F20"/>
          <w:spacing w:val="-4"/>
          <w:w w:val="110"/>
        </w:rPr>
        <w:t> </w:t>
      </w:r>
      <w:r>
        <w:rPr>
          <w:color w:val="231F20"/>
          <w:w w:val="110"/>
        </w:rPr>
        <w:t>del</w:t>
      </w:r>
      <w:r>
        <w:rPr>
          <w:color w:val="231F20"/>
          <w:spacing w:val="-4"/>
          <w:w w:val="110"/>
        </w:rPr>
        <w:t> </w:t>
      </w:r>
      <w:r>
        <w:rPr>
          <w:color w:val="231F20"/>
          <w:w w:val="110"/>
        </w:rPr>
        <w:t>mundo</w:t>
      </w:r>
      <w:r>
        <w:rPr>
          <w:color w:val="231F20"/>
          <w:spacing w:val="-4"/>
          <w:w w:val="110"/>
        </w:rPr>
        <w:t> </w:t>
      </w:r>
      <w:r>
        <w:rPr>
          <w:color w:val="231F20"/>
          <w:w w:val="110"/>
        </w:rPr>
        <w:t>para financiar a Estados Unidos a lo largo de seis decenios de </w:t>
      </w:r>
      <w:r>
        <w:rPr>
          <w:color w:val="231F20"/>
          <w:spacing w:val="37"/>
          <w:w w:val="110"/>
        </w:rPr>
        <w:t> </w:t>
      </w:r>
      <w:r>
        <w:rPr>
          <w:color w:val="231F20"/>
          <w:w w:val="110"/>
        </w:rPr>
        <w:t>posguerra</w:t>
      </w:r>
    </w:p>
    <w:p>
      <w:pPr>
        <w:spacing w:after="0" w:line="261" w:lineRule="auto"/>
        <w:jc w:val="both"/>
        <w:sectPr>
          <w:pgSz w:w="7640" w:h="11900"/>
          <w:pgMar w:header="672" w:footer="0" w:top="860" w:bottom="280" w:left="660" w:right="0"/>
        </w:sectPr>
      </w:pPr>
    </w:p>
    <w:p>
      <w:pPr>
        <w:pStyle w:val="BodyText"/>
        <w:spacing w:before="8"/>
        <w:rPr>
          <w:sz w:val="8"/>
        </w:rPr>
      </w:pPr>
    </w:p>
    <w:p>
      <w:pPr>
        <w:pStyle w:val="BodyText"/>
        <w:spacing w:line="261" w:lineRule="auto" w:before="67"/>
        <w:ind w:left="100" w:right="115"/>
        <w:jc w:val="right"/>
      </w:pPr>
      <w:r>
        <w:rPr>
          <w:color w:val="231F20"/>
          <w:w w:val="110"/>
        </w:rPr>
        <w:t>basada</w:t>
      </w:r>
      <w:r>
        <w:rPr>
          <w:color w:val="231F20"/>
          <w:spacing w:val="-6"/>
          <w:w w:val="110"/>
        </w:rPr>
        <w:t> </w:t>
      </w:r>
      <w:r>
        <w:rPr>
          <w:color w:val="231F20"/>
          <w:w w:val="110"/>
        </w:rPr>
        <w:t>en</w:t>
      </w:r>
      <w:r>
        <w:rPr>
          <w:color w:val="231F20"/>
          <w:spacing w:val="-5"/>
          <w:w w:val="110"/>
        </w:rPr>
        <w:t> </w:t>
      </w:r>
      <w:r>
        <w:rPr>
          <w:color w:val="231F20"/>
          <w:w w:val="110"/>
        </w:rPr>
        <w:t>tres</w:t>
      </w:r>
      <w:r>
        <w:rPr>
          <w:color w:val="231F20"/>
          <w:spacing w:val="-5"/>
          <w:w w:val="110"/>
        </w:rPr>
        <w:t> </w:t>
      </w:r>
      <w:r>
        <w:rPr>
          <w:color w:val="231F20"/>
          <w:w w:val="110"/>
        </w:rPr>
        <w:t>factores.</w:t>
      </w:r>
      <w:r>
        <w:rPr>
          <w:color w:val="231F20"/>
          <w:spacing w:val="-6"/>
          <w:w w:val="110"/>
        </w:rPr>
        <w:t> </w:t>
      </w:r>
      <w:r>
        <w:rPr>
          <w:color w:val="231F20"/>
          <w:w w:val="110"/>
        </w:rPr>
        <w:t>El</w:t>
      </w:r>
      <w:r>
        <w:rPr>
          <w:color w:val="231F20"/>
          <w:spacing w:val="-5"/>
          <w:w w:val="110"/>
        </w:rPr>
        <w:t> </w:t>
      </w:r>
      <w:r>
        <w:rPr>
          <w:color w:val="231F20"/>
          <w:w w:val="110"/>
        </w:rPr>
        <w:t>primero</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6"/>
          <w:w w:val="110"/>
        </w:rPr>
        <w:t> </w:t>
      </w:r>
      <w:r>
        <w:rPr>
          <w:color w:val="231F20"/>
          <w:w w:val="110"/>
        </w:rPr>
        <w:t>percepción</w:t>
      </w:r>
      <w:r>
        <w:rPr>
          <w:color w:val="231F20"/>
          <w:spacing w:val="-5"/>
          <w:w w:val="110"/>
        </w:rPr>
        <w:t> </w:t>
      </w:r>
      <w:r>
        <w:rPr>
          <w:color w:val="231F20"/>
          <w:w w:val="110"/>
        </w:rPr>
        <w:t>de</w:t>
      </w:r>
      <w:r>
        <w:rPr>
          <w:color w:val="231F20"/>
          <w:spacing w:val="-6"/>
          <w:w w:val="110"/>
        </w:rPr>
        <w:t> </w:t>
      </w:r>
      <w:r>
        <w:rPr>
          <w:color w:val="231F20"/>
          <w:w w:val="110"/>
        </w:rPr>
        <w:t>países</w:t>
      </w:r>
      <w:r>
        <w:rPr>
          <w:color w:val="231F20"/>
          <w:spacing w:val="-6"/>
          <w:w w:val="110"/>
        </w:rPr>
        <w:t> </w:t>
      </w:r>
      <w:r>
        <w:rPr>
          <w:color w:val="231F20"/>
          <w:w w:val="110"/>
        </w:rPr>
        <w:t>aliados</w:t>
      </w:r>
      <w:r>
        <w:rPr>
          <w:color w:val="231F20"/>
          <w:w w:val="106"/>
        </w:rPr>
        <w:t> </w:t>
      </w:r>
      <w:r>
        <w:rPr>
          <w:color w:val="231F20"/>
          <w:w w:val="110"/>
        </w:rPr>
        <w:t>que</w:t>
      </w:r>
      <w:r>
        <w:rPr>
          <w:color w:val="231F20"/>
          <w:spacing w:val="-14"/>
          <w:w w:val="110"/>
        </w:rPr>
        <w:t> </w:t>
      </w:r>
      <w:r>
        <w:rPr>
          <w:color w:val="231F20"/>
          <w:w w:val="110"/>
        </w:rPr>
        <w:t>los</w:t>
      </w:r>
      <w:r>
        <w:rPr>
          <w:color w:val="231F20"/>
          <w:spacing w:val="-14"/>
          <w:w w:val="110"/>
        </w:rPr>
        <w:t> </w:t>
      </w:r>
      <w:r>
        <w:rPr>
          <w:color w:val="231F20"/>
          <w:w w:val="110"/>
        </w:rPr>
        <w:t>costos</w:t>
      </w:r>
      <w:r>
        <w:rPr>
          <w:color w:val="231F20"/>
          <w:spacing w:val="-14"/>
          <w:w w:val="110"/>
        </w:rPr>
        <w:t> </w:t>
      </w:r>
      <w:r>
        <w:rPr>
          <w:color w:val="231F20"/>
          <w:w w:val="110"/>
        </w:rPr>
        <w:t>de</w:t>
      </w:r>
      <w:r>
        <w:rPr>
          <w:color w:val="231F20"/>
          <w:spacing w:val="-14"/>
          <w:w w:val="110"/>
        </w:rPr>
        <w:t> </w:t>
      </w:r>
      <w:r>
        <w:rPr>
          <w:color w:val="231F20"/>
          <w:w w:val="110"/>
        </w:rPr>
        <w:t>dejar</w:t>
      </w:r>
      <w:r>
        <w:rPr>
          <w:color w:val="231F20"/>
          <w:spacing w:val="-14"/>
          <w:w w:val="110"/>
        </w:rPr>
        <w:t> </w:t>
      </w:r>
      <w:r>
        <w:rPr>
          <w:color w:val="231F20"/>
          <w:w w:val="110"/>
        </w:rPr>
        <w:t>de</w:t>
      </w:r>
      <w:r>
        <w:rPr>
          <w:color w:val="231F20"/>
          <w:spacing w:val="-14"/>
          <w:w w:val="110"/>
        </w:rPr>
        <w:t> </w:t>
      </w:r>
      <w:r>
        <w:rPr>
          <w:color w:val="231F20"/>
          <w:w w:val="110"/>
        </w:rPr>
        <w:t>sostener</w:t>
      </w:r>
      <w:r>
        <w:rPr>
          <w:color w:val="231F20"/>
          <w:spacing w:val="-14"/>
          <w:w w:val="110"/>
        </w:rPr>
        <w:t> </w:t>
      </w:r>
      <w:r>
        <w:rPr>
          <w:color w:val="231F20"/>
          <w:w w:val="110"/>
        </w:rPr>
        <w:t>la</w:t>
      </w:r>
      <w:r>
        <w:rPr>
          <w:color w:val="231F20"/>
          <w:spacing w:val="-14"/>
          <w:w w:val="110"/>
        </w:rPr>
        <w:t> </w:t>
      </w:r>
      <w:r>
        <w:rPr>
          <w:color w:val="231F20"/>
          <w:w w:val="110"/>
        </w:rPr>
        <w:t>posición</w:t>
      </w:r>
      <w:r>
        <w:rPr>
          <w:color w:val="231F20"/>
          <w:spacing w:val="-14"/>
          <w:w w:val="110"/>
        </w:rPr>
        <w:t> </w:t>
      </w:r>
      <w:r>
        <w:rPr>
          <w:color w:val="231F20"/>
          <w:w w:val="110"/>
        </w:rPr>
        <w:t>de</w:t>
      </w:r>
      <w:r>
        <w:rPr>
          <w:color w:val="231F20"/>
          <w:spacing w:val="-14"/>
          <w:w w:val="110"/>
        </w:rPr>
        <w:t> </w:t>
      </w:r>
      <w:r>
        <w:rPr>
          <w:color w:val="231F20"/>
          <w:w w:val="110"/>
        </w:rPr>
        <w:t>poder</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Estados</w:t>
      </w:r>
      <w:r>
        <w:rPr>
          <w:color w:val="231F20"/>
          <w:w w:val="105"/>
        </w:rPr>
        <w:t> </w:t>
      </w:r>
      <w:r>
        <w:rPr>
          <w:color w:val="231F20"/>
          <w:w w:val="110"/>
        </w:rPr>
        <w:t>Unidos en el escenario global, sobrepasa los costos de</w:t>
      </w:r>
      <w:r>
        <w:rPr>
          <w:color w:val="231F20"/>
          <w:spacing w:val="44"/>
          <w:w w:val="110"/>
        </w:rPr>
        <w:t> </w:t>
      </w:r>
      <w:r>
        <w:rPr>
          <w:color w:val="231F20"/>
          <w:w w:val="110"/>
        </w:rPr>
        <w:t>apoyar</w:t>
      </w:r>
      <w:r>
        <w:rPr>
          <w:color w:val="231F20"/>
          <w:spacing w:val="4"/>
          <w:w w:val="110"/>
        </w:rPr>
        <w:t> </w:t>
      </w:r>
      <w:r>
        <w:rPr>
          <w:color w:val="231F20"/>
          <w:w w:val="110"/>
        </w:rPr>
        <w:t>dicha</w:t>
      </w:r>
      <w:r>
        <w:rPr>
          <w:color w:val="231F20"/>
          <w:w w:val="110"/>
        </w:rPr>
        <w:t> </w:t>
      </w:r>
      <w:r>
        <w:rPr>
          <w:color w:val="231F20"/>
          <w:w w:val="110"/>
        </w:rPr>
        <w:t>posición. El segundo factor es la percepción que el poder</w:t>
      </w:r>
      <w:r>
        <w:rPr>
          <w:color w:val="231F20"/>
          <w:spacing w:val="11"/>
          <w:w w:val="110"/>
        </w:rPr>
        <w:t> </w:t>
      </w:r>
      <w:r>
        <w:rPr>
          <w:color w:val="231F20"/>
          <w:w w:val="110"/>
        </w:rPr>
        <w:t>militar</w:t>
      </w:r>
      <w:r>
        <w:rPr>
          <w:color w:val="231F20"/>
          <w:spacing w:val="6"/>
          <w:w w:val="110"/>
        </w:rPr>
        <w:t> </w:t>
      </w:r>
      <w:r>
        <w:rPr>
          <w:color w:val="231F20"/>
          <w:w w:val="110"/>
        </w:rPr>
        <w:t>de</w:t>
      </w:r>
      <w:r>
        <w:rPr>
          <w:color w:val="231F20"/>
          <w:w w:val="114"/>
        </w:rPr>
        <w:t> </w:t>
      </w:r>
      <w:r>
        <w:rPr>
          <w:color w:val="231F20"/>
          <w:w w:val="110"/>
        </w:rPr>
        <w:t>Estados Unidos no puede ser desafiado. El tercer factor es</w:t>
      </w:r>
      <w:r>
        <w:rPr>
          <w:color w:val="231F20"/>
          <w:spacing w:val="21"/>
          <w:w w:val="110"/>
        </w:rPr>
        <w:t> </w:t>
      </w:r>
      <w:r>
        <w:rPr>
          <w:color w:val="231F20"/>
          <w:w w:val="110"/>
        </w:rPr>
        <w:t>el</w:t>
      </w:r>
      <w:r>
        <w:rPr>
          <w:color w:val="231F20"/>
          <w:spacing w:val="13"/>
          <w:w w:val="110"/>
        </w:rPr>
        <w:t> </w:t>
      </w:r>
      <w:r>
        <w:rPr>
          <w:color w:val="231F20"/>
          <w:w w:val="110"/>
        </w:rPr>
        <w:t>papel</w:t>
      </w:r>
      <w:r>
        <w:rPr>
          <w:color w:val="231F20"/>
          <w:w w:val="111"/>
        </w:rPr>
        <w:t> </w:t>
      </w:r>
      <w:r>
        <w:rPr>
          <w:color w:val="231F20"/>
          <w:w w:val="110"/>
        </w:rPr>
        <w:t>de los mercados financieros americanos como refugio</w:t>
      </w:r>
      <w:r>
        <w:rPr>
          <w:color w:val="231F20"/>
          <w:spacing w:val="-5"/>
          <w:w w:val="110"/>
        </w:rPr>
        <w:t> </w:t>
      </w:r>
      <w:r>
        <w:rPr>
          <w:color w:val="231F20"/>
          <w:w w:val="110"/>
        </w:rPr>
        <w:t>de</w:t>
      </w:r>
      <w:r>
        <w:rPr>
          <w:color w:val="231F20"/>
          <w:spacing w:val="46"/>
          <w:w w:val="110"/>
        </w:rPr>
        <w:t> </w:t>
      </w:r>
      <w:r>
        <w:rPr>
          <w:color w:val="231F20"/>
          <w:spacing w:val="2"/>
          <w:w w:val="110"/>
        </w:rPr>
        <w:t>última</w:t>
      </w:r>
      <w:r>
        <w:rPr>
          <w:color w:val="231F20"/>
          <w:spacing w:val="2"/>
          <w:w w:val="109"/>
        </w:rPr>
        <w:t> </w:t>
      </w:r>
      <w:r>
        <w:rPr>
          <w:color w:val="231F20"/>
          <w:w w:val="110"/>
        </w:rPr>
        <w:t>instancia en tiempos de inestabilidad</w:t>
      </w:r>
      <w:r>
        <w:rPr>
          <w:color w:val="231F20"/>
          <w:w w:val="110"/>
          <w:position w:val="6"/>
          <w:sz w:val="13"/>
        </w:rPr>
        <w:t>2 </w:t>
      </w:r>
      <w:r>
        <w:rPr>
          <w:color w:val="231F20"/>
          <w:w w:val="110"/>
        </w:rPr>
        <w:t>(Galbraith y</w:t>
      </w:r>
      <w:r>
        <w:rPr>
          <w:color w:val="231F20"/>
          <w:spacing w:val="8"/>
          <w:w w:val="110"/>
        </w:rPr>
        <w:t> </w:t>
      </w:r>
      <w:r>
        <w:rPr>
          <w:color w:val="231F20"/>
          <w:spacing w:val="-3"/>
          <w:w w:val="110"/>
        </w:rPr>
        <w:t>Munevar,</w:t>
      </w:r>
      <w:r>
        <w:rPr>
          <w:color w:val="231F20"/>
          <w:spacing w:val="3"/>
          <w:w w:val="110"/>
        </w:rPr>
        <w:t> </w:t>
      </w:r>
      <w:r>
        <w:rPr>
          <w:color w:val="231F20"/>
          <w:w w:val="110"/>
        </w:rPr>
        <w:t>2009).</w:t>
      </w:r>
      <w:r>
        <w:rPr>
          <w:color w:val="231F20"/>
          <w:w w:val="107"/>
        </w:rPr>
        <w:t> </w:t>
      </w:r>
      <w:r>
        <w:rPr>
          <w:color w:val="231F20"/>
          <w:w w:val="110"/>
        </w:rPr>
        <w:t>Este papel de refugio en tiempos de crisis de los bonos</w:t>
      </w:r>
      <w:r>
        <w:rPr>
          <w:color w:val="231F20"/>
          <w:spacing w:val="-26"/>
          <w:w w:val="110"/>
        </w:rPr>
        <w:t> </w:t>
      </w:r>
      <w:r>
        <w:rPr>
          <w:color w:val="231F20"/>
          <w:w w:val="110"/>
        </w:rPr>
        <w:t>del</w:t>
      </w:r>
      <w:r>
        <w:rPr>
          <w:color w:val="231F20"/>
          <w:spacing w:val="-3"/>
          <w:w w:val="110"/>
        </w:rPr>
        <w:t> </w:t>
      </w:r>
      <w:r>
        <w:rPr>
          <w:color w:val="231F20"/>
          <w:spacing w:val="-4"/>
          <w:w w:val="110"/>
        </w:rPr>
        <w:t>Tesoro</w:t>
      </w:r>
      <w:r>
        <w:rPr>
          <w:color w:val="231F20"/>
          <w:w w:val="109"/>
        </w:rPr>
        <w:t> </w:t>
      </w:r>
      <w:r>
        <w:rPr>
          <w:color w:val="231F20"/>
          <w:w w:val="110"/>
        </w:rPr>
        <w:t>de Estados Unidos, se refleja en los gráficas 2 y 3. En la gráfica 2</w:t>
      </w:r>
      <w:r>
        <w:rPr>
          <w:color w:val="231F20"/>
          <w:spacing w:val="-12"/>
          <w:w w:val="110"/>
        </w:rPr>
        <w:t> </w:t>
      </w:r>
      <w:r>
        <w:rPr>
          <w:color w:val="231F20"/>
          <w:w w:val="110"/>
        </w:rPr>
        <w:t>se</w:t>
      </w:r>
    </w:p>
    <w:p>
      <w:pPr>
        <w:pStyle w:val="BodyText"/>
        <w:ind w:left="100" w:right="25"/>
      </w:pPr>
      <w:r>
        <w:rPr>
          <w:color w:val="231F20"/>
          <w:w w:val="110"/>
        </w:rPr>
        <w:t>muestra la renta de los bonos del Tesoro a 10  años.</w:t>
      </w:r>
    </w:p>
    <w:p>
      <w:pPr>
        <w:pStyle w:val="BodyText"/>
        <w:spacing w:before="11"/>
        <w:rPr>
          <w:sz w:val="25"/>
        </w:rPr>
      </w:pPr>
    </w:p>
    <w:p>
      <w:pPr>
        <w:spacing w:line="290" w:lineRule="auto" w:before="0"/>
        <w:ind w:left="100" w:right="239" w:firstLine="0"/>
        <w:jc w:val="left"/>
        <w:rPr>
          <w:sz w:val="18"/>
        </w:rPr>
      </w:pPr>
      <w:r>
        <w:rPr>
          <w:color w:val="231F20"/>
          <w:w w:val="125"/>
          <w:sz w:val="18"/>
        </w:rPr>
        <w:t>gráfica 2. tasa de rendimiento-bonos del tesoro de estados unidos </w:t>
      </w:r>
      <w:r>
        <w:rPr>
          <w:color w:val="231F20"/>
          <w:w w:val="120"/>
          <w:sz w:val="18"/>
        </w:rPr>
        <w:t>a 10 años, 1950-2009</w:t>
      </w:r>
    </w:p>
    <w:p>
      <w:pPr>
        <w:spacing w:before="10"/>
        <w:ind w:left="351" w:right="25" w:firstLine="0"/>
        <w:jc w:val="left"/>
        <w:rPr>
          <w:sz w:val="16"/>
        </w:rPr>
      </w:pPr>
      <w:r>
        <w:rPr/>
        <w:pict>
          <v:line style="position:absolute;mso-position-horizontal-relative:page;mso-position-vertical-relative:paragraph;z-index:-352480" from="81.100003pt,5.961542pt" to="80.800003pt,132.664542pt" stroked="true" strokeweight=".5pt" strokecolor="#231f20">
            <w10:wrap type="none"/>
          </v:line>
        </w:pict>
      </w:r>
      <w:r>
        <w:rPr/>
        <w:pict>
          <v:shape style="position:absolute;margin-left:84.537903pt;margin-top:6.047442pt;width:251.55pt;height:127.1pt;mso-position-horizontal-relative:page;mso-position-vertical-relative:paragraph;z-index:5080" type="#_x0000_t202" filled="false" stroked="false">
            <v:textbox inset="0,0,0,0">
              <w:txbxContent>
                <w:tbl>
                  <w:tblPr>
                    <w:tblW w:w="0" w:type="auto"/>
                    <w:jc w:val="left"/>
                    <w:tblBorders>
                      <w:top w:val="single" w:sz="4" w:space="0" w:color="A7A9AC"/>
                      <w:left w:val="single" w:sz="4" w:space="0" w:color="A7A9AC"/>
                      <w:bottom w:val="single" w:sz="4" w:space="0" w:color="A7A9AC"/>
                      <w:right w:val="single" w:sz="4" w:space="0" w:color="A7A9AC"/>
                      <w:insideH w:val="single" w:sz="4" w:space="0" w:color="A7A9AC"/>
                      <w:insideV w:val="single" w:sz="4" w:space="0" w:color="A7A9AC"/>
                    </w:tblBorders>
                    <w:tblLayout w:type="fixed"/>
                    <w:tblCellMar>
                      <w:top w:w="0" w:type="dxa"/>
                      <w:left w:w="0" w:type="dxa"/>
                      <w:bottom w:w="0" w:type="dxa"/>
                      <w:right w:w="0" w:type="dxa"/>
                    </w:tblCellMar>
                    <w:tblLook w:val="01E0"/>
                  </w:tblPr>
                  <w:tblGrid>
                    <w:gridCol w:w="275"/>
                    <w:gridCol w:w="351"/>
                    <w:gridCol w:w="226"/>
                    <w:gridCol w:w="822"/>
                    <w:gridCol w:w="300"/>
                    <w:gridCol w:w="114"/>
                    <w:gridCol w:w="423"/>
                    <w:gridCol w:w="105"/>
                    <w:gridCol w:w="114"/>
                    <w:gridCol w:w="684"/>
                    <w:gridCol w:w="900"/>
                    <w:gridCol w:w="544"/>
                    <w:gridCol w:w="158"/>
                  </w:tblGrid>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r>
                    <w:trPr>
                      <w:trHeight w:val="362" w:hRule="exact"/>
                    </w:trPr>
                    <w:tc>
                      <w:tcPr>
                        <w:tcW w:w="275" w:type="dxa"/>
                        <w:tcBorders>
                          <w:left w:val="nil"/>
                          <w:right w:val="single" w:sz="34" w:space="0" w:color="A7A9AC"/>
                        </w:tcBorders>
                      </w:tcPr>
                      <w:p>
                        <w:pPr/>
                      </w:p>
                    </w:tc>
                    <w:tc>
                      <w:tcPr>
                        <w:tcW w:w="351" w:type="dxa"/>
                        <w:tcBorders>
                          <w:left w:val="single" w:sz="34" w:space="0" w:color="A7A9AC"/>
                          <w:right w:val="single" w:sz="22" w:space="0" w:color="A7A9AC"/>
                        </w:tcBorders>
                      </w:tcPr>
                      <w:p>
                        <w:pPr/>
                      </w:p>
                    </w:tc>
                    <w:tc>
                      <w:tcPr>
                        <w:tcW w:w="226" w:type="dxa"/>
                        <w:tcBorders>
                          <w:left w:val="single" w:sz="22" w:space="0" w:color="A7A9AC"/>
                          <w:right w:val="single" w:sz="24" w:space="0" w:color="A7A9AC"/>
                        </w:tcBorders>
                      </w:tcPr>
                      <w:p>
                        <w:pPr/>
                      </w:p>
                    </w:tc>
                    <w:tc>
                      <w:tcPr>
                        <w:tcW w:w="822" w:type="dxa"/>
                        <w:tcBorders>
                          <w:left w:val="single" w:sz="24" w:space="0" w:color="A7A9AC"/>
                          <w:right w:val="single" w:sz="29" w:space="0" w:color="A7A9AC"/>
                        </w:tcBorders>
                      </w:tcPr>
                      <w:p>
                        <w:pPr/>
                      </w:p>
                    </w:tc>
                    <w:tc>
                      <w:tcPr>
                        <w:tcW w:w="300" w:type="dxa"/>
                        <w:tcBorders>
                          <w:left w:val="single" w:sz="29"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423" w:type="dxa"/>
                        <w:tcBorders>
                          <w:left w:val="single" w:sz="46" w:space="0" w:color="A7A9AC"/>
                          <w:right w:val="single" w:sz="17" w:space="0" w:color="A7A9AC"/>
                        </w:tcBorders>
                      </w:tcPr>
                      <w:p>
                        <w:pPr/>
                      </w:p>
                    </w:tc>
                    <w:tc>
                      <w:tcPr>
                        <w:tcW w:w="105" w:type="dxa"/>
                        <w:tcBorders>
                          <w:left w:val="single" w:sz="17" w:space="0" w:color="A7A9AC"/>
                          <w:right w:val="single" w:sz="46" w:space="0" w:color="A7A9AC"/>
                        </w:tcBorders>
                      </w:tcPr>
                      <w:p>
                        <w:pPr/>
                      </w:p>
                    </w:tc>
                    <w:tc>
                      <w:tcPr>
                        <w:tcW w:w="114" w:type="dxa"/>
                        <w:tcBorders>
                          <w:top w:val="nil"/>
                          <w:left w:val="nil"/>
                          <w:bottom w:val="nil"/>
                          <w:right w:val="nil"/>
                        </w:tcBorders>
                        <w:shd w:val="clear" w:color="auto" w:fill="A7A9AC"/>
                      </w:tcPr>
                      <w:p>
                        <w:pPr/>
                      </w:p>
                    </w:tc>
                    <w:tc>
                      <w:tcPr>
                        <w:tcW w:w="684" w:type="dxa"/>
                        <w:tcBorders>
                          <w:left w:val="single" w:sz="46" w:space="0" w:color="A7A9AC"/>
                          <w:right w:val="single" w:sz="24" w:space="0" w:color="A7A9AC"/>
                        </w:tcBorders>
                      </w:tcPr>
                      <w:p>
                        <w:pPr/>
                      </w:p>
                    </w:tc>
                    <w:tc>
                      <w:tcPr>
                        <w:tcW w:w="900" w:type="dxa"/>
                        <w:tcBorders>
                          <w:left w:val="single" w:sz="24" w:space="0" w:color="A7A9AC"/>
                          <w:right w:val="single" w:sz="24" w:space="0" w:color="A7A9AC"/>
                        </w:tcBorders>
                      </w:tcPr>
                      <w:p>
                        <w:pPr/>
                      </w:p>
                    </w:tc>
                    <w:tc>
                      <w:tcPr>
                        <w:tcW w:w="544" w:type="dxa"/>
                        <w:tcBorders>
                          <w:left w:val="single" w:sz="24" w:space="0" w:color="A7A9AC"/>
                          <w:right w:val="nil"/>
                        </w:tcBorders>
                      </w:tcPr>
                      <w:p>
                        <w:pPr/>
                      </w:p>
                    </w:tc>
                    <w:tc>
                      <w:tcPr>
                        <w:tcW w:w="158" w:type="dxa"/>
                        <w:tcBorders>
                          <w:top w:val="nil"/>
                          <w:left w:val="nil"/>
                          <w:bottom w:val="nil"/>
                          <w:right w:val="nil"/>
                        </w:tcBorders>
                        <w:shd w:val="clear" w:color="auto" w:fill="A7A9AC"/>
                      </w:tcPr>
                      <w:p>
                        <w:pPr/>
                      </w:p>
                    </w:tc>
                  </w:tr>
                </w:tbl>
                <w:p>
                  <w:pPr>
                    <w:pStyle w:val="BodyText"/>
                  </w:pPr>
                </w:p>
              </w:txbxContent>
            </v:textbox>
            <w10:wrap type="none"/>
          </v:shape>
        </w:pict>
      </w:r>
      <w:r>
        <w:rPr>
          <w:color w:val="231F20"/>
          <w:sz w:val="16"/>
        </w:rPr>
        <w:t>17.5 —</w:t>
      </w:r>
    </w:p>
    <w:p>
      <w:pPr>
        <w:pStyle w:val="BodyText"/>
        <w:spacing w:before="5"/>
        <w:rPr>
          <w:sz w:val="15"/>
        </w:rPr>
      </w:pPr>
    </w:p>
    <w:p>
      <w:pPr>
        <w:spacing w:before="0"/>
        <w:ind w:left="351" w:right="25" w:firstLine="0"/>
        <w:jc w:val="left"/>
        <w:rPr>
          <w:sz w:val="16"/>
        </w:rPr>
      </w:pPr>
      <w:r>
        <w:rPr/>
        <w:pict>
          <v:shape style="position:absolute;margin-left:95.587898pt;margin-top:3.224938pt;width:239.6pt;height:94.35pt;mso-position-horizontal-relative:page;mso-position-vertical-relative:paragraph;z-index:4840" coordorigin="1912,64" coordsize="4792,1887" path="m1912,1867l1934,1843,1960,1889,1996,1939,2038,1951,2086,1897,2128,1849,2164,1879,2174,1819,2194,1849,2230,1769,2254,1809,2284,1705,2308,1771,2320,1825,2344,1873,2362,1819,2374,1753,2404,1723,2428,1675,2458,1615,2494,1609,2494,1663,2520,1656,2544,1744,2563,1711,2580,1739,2607,1749,2619,1716,2645,1711,2655,1689,2681,1729,2707,1709,2734,1711,2744,1732,2760,1713,2851,1669,2868,1684,2890,1669,2947,1670,2979,1656,2979,1627,3014,1593,3031,1584,3041,1543,3055,1526,3070,1549,3094,1624,3118,1581,3127,1533,3156,1497,3154,1456,3174,1485,3204,1439,3214,1454,3216,1509,3235,1492,3228,1469,3245,1430,3255,1379,3267,1370,3279,1394,3288,1324,3307,1312,3304,1284,3319,1248,3324,1221,3339,1166,3346,1252,3353,1269,3364,1233,3364,1183,3370,1142,3382,1209,3399,1209,3399,1259,3408,1269,3406,1329,3420,1339,3415,1365,3430,1372,3427,1420,3437,1459,3451,1435,3449,1401,3459,1384,3459,1334,3463,1312,3475,1327,3478,1363,3487,1375,3485,1423,3495,1442,3514,1425,3514,1406,3528,1387,3538,1401,3554,1396,3564,1332,3574,1346,3581,1377,3588,1341,3610,1310,3622,1327,3619,1296,3634,1267,3639,1236,3648,1221,3648,1274,3658,1286,3653,1305,3675,1312,3674,1276,3684,1274,3684,1252,3699,1248,3699,1219,3708,1209,3701,1189,3714,1185,3713,1166,3725,1144,3735,1123,3744,1152,3754,1180,3759,1207,3773,1219,3785,1190,3780,1132,3790,1099,3797,1132,3799,1149,3809,1094,3824,1068,3828,1089,3823,1106,3838,1111,3835,1132,3845,1139,3845,1161,3857,1161,3867,1192,3876,1159,3876,1140,3893,1149,3894,1173,3905,1179,3900,1204,3915,1204,3919,1226,3924,1291,3934,1257,3936,1226,3953,1204,3970,1224,3991,1212,4003,1192,4008,1149,4020,1149,4011,1123,4035,1119,4035,1089,4047,1087,4049,1065,4064,1041,4073,1068,4080,1049,4085,1024,4095,1022,4095,972,4114,969,4133,943,4138,969,4140,1005,4162,955,4155,864,4169,861,4167,741,4188,741,4186,609,4204,592,4198,436,4214,539,4205,717,4217,732,4215,825,4227,864,4227,746,4246,734,4231,645,4241,643,4241,599,4254,592,4248,441,4274,427,4275,465,4284,359,4299,343,4294,285,4308,242,4313,331,4313,172,4327,163,4324,96,4330,64,4344,86,4337,340,4354,309,4354,232,4356,177,4368,189,4368,273,4385,283,4395,213,4397,326,4411,331,4404,439,4421,446,4416,583,4428,602,4424,756,4440,768,4450,732,4455,763,4462,779,4474,777,4474,674,4483,664,4479,604,4488,597,4491,566,4505,619,4524,576,4527,599,4529,537,4541,532,4539,472,4548,460,4548,400,4560,381,4558,324,4570,343,4567,389,4579,400,4575,456,4587,468,4584,559,4599,573,4594,609,4614,619,4613,631,4620,595,4625,569,4635,597,4634,669,4644,674,4644,816,4659,792,4671,782,4680,839,4680,892,4695,909,4690,949,4704,960,4695,1084,4711,1094,4704,1192,4719,1200,4719,1231,4728,1159,4740,1189,4740,1226,4750,1243,4757,1207,4771,1231,4781,1257,4800,1239,4795,1179,4810,1171,4805,1036,4815,1065,4827,1063,4834,1041,4834,914,4844,904,4844,939,4853,949,4853,991,4864,991,4865,1053,4870,1084,4887,1069,4884,1051,4894,1036,4894,972,4901,991,4908,967,4920,936,4920,989,4925,1012,4961,939,4975,943,4973,1034,4985,1046,4984,1089,4995,1123,5007,1104,5019,1119,5033,1149,5035,1079,5047,1070,5045,1049,5062,1008,5074,1056,5083,1056,5088,1000,5105,1010,5104,1034,5115,1046,5107,1087,5124,1092,5115,1123,5127,1129,5131,1149,5134,1111,5160,1082,5167,1149,5175,1161,5174,1183,5187,1192,5196,1233,5196,1252,5203,1267,5213,1239,5224,1185,5237,1224,5244,1252,5247,1267,5254,1334,5261,1351,5280,1296,5287,1351,5304,1356,5299,1384,5311,1416,5328,1416,5335,1440,5335,1488,5350,1512,5364,1479,5374,1437,5384,1428,5388,1389,5400,1382,5394,1262,5415,1245,5434,1221,5431,1183,5441,1154,5451,1132,5453,1169,5470,1180,5470,1250,5487,1262,5479,1289,5489,1291,5487,1356,5496,1389,5508,1365,5514,1339,5518,1369,5513,1389,5527,1394,5527,1439,5539,1464,5556,1444,5554,1365,5566,1356,5566,1341,5575,1322,5573,1303,5587,1281,5590,1324,5597,1291,5611,1322,5611,1394,5626,1370,5628,1341,5635,1324,5644,1351,5645,1303,5654,1284,5659,1299,5662,1322,5671,1334,5669,1384,5683,1368,5695,1384,5700,1401,5695,1437,5710,1444,5710,1459,5715,1485,5727,1464,5754,1459,5748,1476,5765,1502,5760,1533,5770,1548,5770,1622,5784,1581,5799,1605,5806,1589,5803,1545,5827,1509,5830,1425,5844,1444,5859,1416,5861,1394,5878,1394,5875,1346,5885,1349,5890,1320,5897,1360,5897,1384,5907,1423,5919,1359,5924,1406,5940,1442,5957,1459,5957,1485,5964,1521,5976,1531,5979,1552,5986,1581,5993,1549,5993,1526,6005,1504,6014,1526,6017,1543,6024,1564,6024,1574,6027,1629,6043,1612,6043,1574,6060,1550,6070,1521,6084,1533,6084,1560,6087,1579,6099,1586,6099,1624,6106,1639,6108,1723,6125,1692,6137,1689,6144,1716,6159,1735,6164,1716,6168,1773,6178,1799,6184,1754,6184,1677,6190,1634,6197,1663,6226,1663,6224,1684,6235,1696,6240,1735,6245,1687,6250,1599,6264,1596,6262,1610,6276,1612,6269,1649,6281,1653,6279,1687,6288,1694,6298,1670,6310,1675,6319,1689,6324,1663,6327,1632,6336,1649,6336,1684,6343,1704,6364,1672,6360,1656,6374,1634,6382,1622,6394,1646,6411,1612,6408,1552,6420,1536,6430,1539,6437,1581,6447,1596,6461,1603,6468,1632,6484,1608,6495,1610,6502,1629,6514,1603,6514,1543,6526,1552,6526,1612,6545,1627,6545,1646,6555,1651,6555,1716,6569,1723,6564,1740,6579,1744,6584,1783,6588,1732,6594,1706,6604,1689,6615,1704,6615,1735,6619,1749,6634,1729,6639,1749,6639,1929,6653,1912,6653,1879,6670,1862,6670,1833,6679,1831,6677,1779,6689,1744,6701,1769,6703,1797e" filled="false" stroked="true" strokeweight=".5pt" strokecolor="#231f20">
            <v:path arrowok="t"/>
            <w10:wrap type="none"/>
          </v:shape>
        </w:pict>
      </w:r>
      <w:r>
        <w:rPr>
          <w:color w:val="231F20"/>
          <w:sz w:val="16"/>
        </w:rPr>
        <w:t>15.0 —</w:t>
      </w:r>
    </w:p>
    <w:p>
      <w:pPr>
        <w:pStyle w:val="BodyText"/>
        <w:spacing w:before="5"/>
        <w:rPr>
          <w:sz w:val="15"/>
        </w:rPr>
      </w:pPr>
    </w:p>
    <w:p>
      <w:pPr>
        <w:spacing w:before="0"/>
        <w:ind w:left="351" w:right="25" w:firstLine="0"/>
        <w:jc w:val="left"/>
        <w:rPr>
          <w:sz w:val="16"/>
        </w:rPr>
      </w:pPr>
      <w:r>
        <w:rPr/>
        <w:pict>
          <v:shape style="position:absolute;margin-left:47.759098pt;margin-top:11.948363pt;width:10pt;height:39.3pt;mso-position-horizontal-relative:page;mso-position-vertical-relative:paragraph;z-index:-352456" type="#_x0000_t202" filled="false" stroked="false">
            <v:textbox inset="0,0,0,0" style="layout-flow:vertical;mso-layout-flow-alt:bottom-to-top">
              <w:txbxContent>
                <w:p>
                  <w:pPr>
                    <w:spacing w:line="178" w:lineRule="exact" w:before="0"/>
                    <w:ind w:left="20" w:right="-586" w:firstLine="0"/>
                    <w:jc w:val="left"/>
                    <w:rPr>
                      <w:sz w:val="16"/>
                    </w:rPr>
                  </w:pPr>
                  <w:r>
                    <w:rPr>
                      <w:color w:val="231F20"/>
                      <w:w w:val="110"/>
                      <w:sz w:val="16"/>
                    </w:rPr>
                    <w:t>Porcentaje</w:t>
                  </w:r>
                </w:p>
              </w:txbxContent>
            </v:textbox>
            <w10:wrap type="none"/>
          </v:shape>
        </w:pict>
      </w:r>
      <w:r>
        <w:rPr>
          <w:color w:val="231F20"/>
          <w:sz w:val="16"/>
        </w:rPr>
        <w:t>12.0 —</w:t>
      </w:r>
    </w:p>
    <w:p>
      <w:pPr>
        <w:pStyle w:val="BodyText"/>
        <w:spacing w:before="5"/>
        <w:rPr>
          <w:sz w:val="15"/>
        </w:rPr>
      </w:pPr>
    </w:p>
    <w:p>
      <w:pPr>
        <w:spacing w:before="0"/>
        <w:ind w:left="351" w:right="25" w:firstLine="0"/>
        <w:jc w:val="left"/>
        <w:rPr>
          <w:sz w:val="16"/>
        </w:rPr>
      </w:pPr>
      <w:r>
        <w:rPr>
          <w:color w:val="231F20"/>
          <w:sz w:val="16"/>
        </w:rPr>
        <w:t>10.0 —</w:t>
      </w:r>
    </w:p>
    <w:p>
      <w:pPr>
        <w:pStyle w:val="BodyText"/>
        <w:spacing w:before="5"/>
        <w:rPr>
          <w:sz w:val="15"/>
        </w:rPr>
      </w:pPr>
    </w:p>
    <w:p>
      <w:pPr>
        <w:spacing w:before="0"/>
        <w:ind w:left="434" w:right="25" w:firstLine="0"/>
        <w:jc w:val="left"/>
        <w:rPr>
          <w:sz w:val="16"/>
        </w:rPr>
      </w:pPr>
      <w:r>
        <w:rPr>
          <w:color w:val="231F20"/>
          <w:sz w:val="16"/>
        </w:rPr>
        <w:t>7.5 —</w:t>
      </w:r>
    </w:p>
    <w:p>
      <w:pPr>
        <w:pStyle w:val="BodyText"/>
        <w:spacing w:before="5"/>
        <w:rPr>
          <w:sz w:val="15"/>
        </w:rPr>
      </w:pPr>
    </w:p>
    <w:p>
      <w:pPr>
        <w:spacing w:before="0"/>
        <w:ind w:left="434" w:right="25" w:firstLine="0"/>
        <w:jc w:val="left"/>
        <w:rPr>
          <w:sz w:val="16"/>
        </w:rPr>
      </w:pPr>
      <w:r>
        <w:rPr>
          <w:color w:val="231F20"/>
          <w:sz w:val="16"/>
        </w:rPr>
        <w:t>5.0 —</w:t>
      </w:r>
    </w:p>
    <w:p>
      <w:pPr>
        <w:pStyle w:val="BodyText"/>
        <w:spacing w:before="5"/>
        <w:rPr>
          <w:sz w:val="15"/>
        </w:rPr>
      </w:pPr>
    </w:p>
    <w:p>
      <w:pPr>
        <w:spacing w:before="0"/>
        <w:ind w:left="434" w:right="25" w:firstLine="0"/>
        <w:jc w:val="left"/>
        <w:rPr>
          <w:sz w:val="16"/>
        </w:rPr>
      </w:pPr>
      <w:r>
        <w:rPr>
          <w:color w:val="231F20"/>
          <w:sz w:val="16"/>
        </w:rPr>
        <w:t>2.5 —</w:t>
      </w:r>
    </w:p>
    <w:p>
      <w:pPr>
        <w:pStyle w:val="BodyText"/>
        <w:spacing w:before="5"/>
        <w:rPr>
          <w:sz w:val="15"/>
        </w:rPr>
      </w:pPr>
    </w:p>
    <w:p>
      <w:pPr>
        <w:spacing w:before="0"/>
        <w:ind w:left="434" w:right="25" w:firstLine="0"/>
        <w:jc w:val="left"/>
        <w:rPr>
          <w:sz w:val="16"/>
        </w:rPr>
      </w:pPr>
      <w:r>
        <w:rPr/>
        <w:pict>
          <v:shape style="position:absolute;margin-left:77.3591pt;margin-top:6.516345pt;width:10pt;height:28.75pt;mso-position-horizontal-relative:page;mso-position-vertical-relative:paragraph;z-index:-3524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1950</w:t>
                  </w:r>
                  <w:r>
                    <w:rPr>
                      <w:color w:val="231F20"/>
                      <w:spacing w:val="1"/>
                      <w:sz w:val="16"/>
                    </w:rPr>
                    <w:t> </w:t>
                  </w:r>
                  <w:r>
                    <w:rPr>
                      <w:color w:val="231F20"/>
                      <w:sz w:val="16"/>
                    </w:rPr>
                    <w:t>—</w:t>
                  </w:r>
                </w:p>
              </w:txbxContent>
            </v:textbox>
            <w10:wrap type="none"/>
          </v:shape>
        </w:pict>
      </w:r>
      <w:r>
        <w:rPr/>
        <w:pict>
          <v:shape style="position:absolute;margin-left:119.759102pt;margin-top:6.516345pt;width:10pt;height:28.75pt;mso-position-horizontal-relative:page;mso-position-vertical-relative:paragraph;z-index:493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1960</w:t>
                  </w:r>
                  <w:r>
                    <w:rPr>
                      <w:color w:val="231F20"/>
                      <w:spacing w:val="1"/>
                      <w:sz w:val="16"/>
                    </w:rPr>
                    <w:t> </w:t>
                  </w:r>
                  <w:r>
                    <w:rPr>
                      <w:color w:val="231F20"/>
                      <w:sz w:val="16"/>
                    </w:rPr>
                    <w:t>—</w:t>
                  </w:r>
                </w:p>
              </w:txbxContent>
            </v:textbox>
            <w10:wrap type="none"/>
          </v:shape>
        </w:pict>
      </w:r>
      <w:r>
        <w:rPr/>
        <w:pict>
          <v:shape style="position:absolute;margin-left:162.159103pt;margin-top:6.516345pt;width:10pt;height:28.75pt;mso-position-horizontal-relative:page;mso-position-vertical-relative:paragraph;z-index:496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204.559097pt;margin-top:6.516345pt;width:10pt;height:28.75pt;mso-position-horizontal-relative:page;mso-position-vertical-relative:paragraph;z-index:498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246.959091pt;margin-top:6.516345pt;width:10pt;height:28.75pt;mso-position-horizontal-relative:page;mso-position-vertical-relative:paragraph;z-index:500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89.3591pt;margin-top:6.516345pt;width:10pt;height:28.75pt;mso-position-horizontal-relative:page;mso-position-vertical-relative:paragraph;z-index:50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331.759094pt;margin-top:6.516345pt;width:10pt;height:28.75pt;mso-position-horizontal-relative:page;mso-position-vertical-relative:paragraph;z-index:505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2010</w:t>
                  </w:r>
                  <w:r>
                    <w:rPr>
                      <w:color w:val="231F20"/>
                      <w:spacing w:val="1"/>
                      <w:sz w:val="16"/>
                    </w:rPr>
                    <w:t> </w:t>
                  </w:r>
                  <w:r>
                    <w:rPr>
                      <w:color w:val="231F20"/>
                      <w:sz w:val="16"/>
                    </w:rPr>
                    <w:t>—</w:t>
                  </w:r>
                </w:p>
              </w:txbxContent>
            </v:textbox>
            <w10:wrap type="none"/>
          </v:shape>
        </w:pict>
      </w:r>
      <w:r>
        <w:rPr>
          <w:color w:val="231F20"/>
          <w:sz w:val="16"/>
        </w:rPr>
        <w:t>0.0 —</w:t>
      </w:r>
    </w:p>
    <w:p>
      <w:pPr>
        <w:pStyle w:val="BodyText"/>
      </w:pPr>
    </w:p>
    <w:p>
      <w:pPr>
        <w:pStyle w:val="BodyText"/>
        <w:spacing w:before="5"/>
        <w:rPr>
          <w:sz w:val="28"/>
        </w:rPr>
      </w:pPr>
    </w:p>
    <w:p>
      <w:pPr>
        <w:spacing w:before="68"/>
        <w:ind w:left="100" w:right="25" w:firstLine="0"/>
        <w:jc w:val="left"/>
        <w:rPr>
          <w:sz w:val="18"/>
        </w:rPr>
      </w:pPr>
      <w:r>
        <w:rPr>
          <w:rFonts w:ascii="Calibri"/>
          <w:color w:val="231F20"/>
          <w:w w:val="110"/>
          <w:sz w:val="18"/>
        </w:rPr>
        <w:t>fuente: </w:t>
      </w:r>
      <w:r>
        <w:rPr>
          <w:color w:val="231F20"/>
          <w:w w:val="110"/>
          <w:sz w:val="18"/>
        </w:rPr>
        <w:t>Banco de la Reserva Federal de St. Louis.</w:t>
      </w:r>
    </w:p>
    <w:p>
      <w:pPr>
        <w:pStyle w:val="BodyText"/>
        <w:rPr>
          <w:sz w:val="18"/>
        </w:rPr>
      </w:pPr>
    </w:p>
    <w:p>
      <w:pPr>
        <w:pStyle w:val="BodyText"/>
        <w:spacing w:before="3"/>
        <w:rPr>
          <w:sz w:val="16"/>
        </w:rPr>
      </w:pPr>
    </w:p>
    <w:p>
      <w:pPr>
        <w:pStyle w:val="BodyText"/>
        <w:spacing w:line="261" w:lineRule="auto" w:before="1"/>
        <w:ind w:left="100" w:right="119" w:firstLine="240"/>
        <w:jc w:val="both"/>
      </w:pPr>
      <w:r>
        <w:rPr>
          <w:color w:val="231F20"/>
          <w:w w:val="105"/>
        </w:rPr>
        <w:t>Allí es posible ver que a pesar de todas las discusiones y comen- tarios de la prensa especializada, Estados Unidos emite, hoy en día, deuda en los mejores términos observados durante los ultimos de- cenios, con una tasa que a principios de octubre de 2009 promedia</w:t>
      </w:r>
    </w:p>
    <w:p>
      <w:pPr>
        <w:pStyle w:val="BodyText"/>
      </w:pPr>
    </w:p>
    <w:p>
      <w:pPr>
        <w:pStyle w:val="BodyText"/>
        <w:spacing w:before="2"/>
        <w:rPr>
          <w:sz w:val="22"/>
        </w:rPr>
      </w:pPr>
    </w:p>
    <w:p>
      <w:pPr>
        <w:spacing w:line="261" w:lineRule="auto" w:before="1"/>
        <w:ind w:left="100" w:right="117" w:firstLine="240"/>
        <w:jc w:val="both"/>
        <w:rPr>
          <w:sz w:val="16"/>
        </w:rPr>
      </w:pPr>
      <w:r>
        <w:rPr>
          <w:color w:val="231F20"/>
          <w:w w:val="110"/>
          <w:position w:val="5"/>
          <w:sz w:val="10"/>
        </w:rPr>
        <w:t>2 </w:t>
      </w:r>
      <w:r>
        <w:rPr>
          <w:color w:val="231F20"/>
          <w:w w:val="110"/>
          <w:sz w:val="16"/>
        </w:rPr>
        <w:t>Los conflictos en Irak y Afganistán han puesto en entredicho las dos primeras premisas. Mientras tanto, aunque la crisis puso en duda el carácter libre de riesgo de los mercados financieros estadunidenses, la marcada apreciación del dólar en lo más dramático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crisis,</w:t>
      </w:r>
      <w:r>
        <w:rPr>
          <w:color w:val="231F20"/>
          <w:spacing w:val="-10"/>
          <w:w w:val="110"/>
          <w:sz w:val="16"/>
        </w:rPr>
        <w:t> </w:t>
      </w:r>
      <w:r>
        <w:rPr>
          <w:color w:val="231F20"/>
          <w:w w:val="110"/>
          <w:sz w:val="16"/>
        </w:rPr>
        <w:t>pone</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relieve</w:t>
      </w:r>
      <w:r>
        <w:rPr>
          <w:color w:val="231F20"/>
          <w:spacing w:val="-10"/>
          <w:w w:val="110"/>
          <w:sz w:val="16"/>
        </w:rPr>
        <w:t> </w:t>
      </w:r>
      <w:r>
        <w:rPr>
          <w:color w:val="231F20"/>
          <w:w w:val="110"/>
          <w:sz w:val="16"/>
        </w:rPr>
        <w:t>que</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momentos</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estrés</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inversores</w:t>
      </w:r>
      <w:r>
        <w:rPr>
          <w:color w:val="231F20"/>
          <w:spacing w:val="-10"/>
          <w:w w:val="110"/>
          <w:sz w:val="16"/>
        </w:rPr>
        <w:t> </w:t>
      </w:r>
      <w:r>
        <w:rPr>
          <w:color w:val="231F20"/>
          <w:w w:val="110"/>
          <w:sz w:val="16"/>
        </w:rPr>
        <w:t>siguen recurriendo al dólar como refugio de última </w:t>
      </w:r>
      <w:r>
        <w:rPr>
          <w:color w:val="231F20"/>
          <w:spacing w:val="34"/>
          <w:w w:val="110"/>
          <w:sz w:val="16"/>
        </w:rPr>
        <w:t> </w:t>
      </w:r>
      <w:r>
        <w:rPr>
          <w:color w:val="231F20"/>
          <w:w w:val="110"/>
          <w:sz w:val="16"/>
        </w:rPr>
        <w:t>instancia.</w:t>
      </w:r>
    </w:p>
    <w:p>
      <w:pPr>
        <w:spacing w:after="0" w:line="261" w:lineRule="auto"/>
        <w:jc w:val="both"/>
        <w:rPr>
          <w:sz w:val="16"/>
        </w:rPr>
        <w:sectPr>
          <w:pgSz w:w="7640" w:h="11900"/>
          <w:pgMar w:header="672" w:footer="0" w:top="860" w:bottom="280" w:left="780" w:right="640"/>
        </w:sectPr>
      </w:pPr>
    </w:p>
    <w:p>
      <w:pPr>
        <w:pStyle w:val="BodyText"/>
        <w:spacing w:line="261" w:lineRule="auto" w:before="167"/>
        <w:ind w:left="100" w:right="25"/>
      </w:pPr>
      <w:r>
        <w:rPr>
          <w:color w:val="231F20"/>
          <w:w w:val="110"/>
        </w:rPr>
        <w:t>3.30%.</w:t>
      </w:r>
      <w:r>
        <w:rPr>
          <w:color w:val="231F20"/>
          <w:w w:val="110"/>
          <w:position w:val="6"/>
          <w:sz w:val="13"/>
        </w:rPr>
        <w:t>3 </w:t>
      </w:r>
      <w:r>
        <w:rPr>
          <w:color w:val="231F20"/>
          <w:w w:val="110"/>
        </w:rPr>
        <w:t>Si se observa bien, esto es equivalente a las tasas de finales de los años cincuenta.</w:t>
      </w:r>
    </w:p>
    <w:p>
      <w:pPr>
        <w:pStyle w:val="BodyText"/>
        <w:spacing w:line="261" w:lineRule="auto"/>
        <w:ind w:left="100" w:right="117" w:firstLine="240"/>
        <w:jc w:val="both"/>
      </w:pPr>
      <w:r>
        <w:rPr>
          <w:color w:val="231F20"/>
          <w:w w:val="110"/>
        </w:rPr>
        <w:t>Más</w:t>
      </w:r>
      <w:r>
        <w:rPr>
          <w:color w:val="231F20"/>
          <w:spacing w:val="-6"/>
          <w:w w:val="110"/>
        </w:rPr>
        <w:t> </w:t>
      </w:r>
      <w:r>
        <w:rPr>
          <w:color w:val="231F20"/>
          <w:w w:val="110"/>
        </w:rPr>
        <w:t>interesante</w:t>
      </w:r>
      <w:r>
        <w:rPr>
          <w:color w:val="231F20"/>
          <w:spacing w:val="-6"/>
          <w:w w:val="110"/>
        </w:rPr>
        <w:t> </w:t>
      </w:r>
      <w:r>
        <w:rPr>
          <w:color w:val="231F20"/>
          <w:w w:val="110"/>
        </w:rPr>
        <w:t>aún</w:t>
      </w:r>
      <w:r>
        <w:rPr>
          <w:color w:val="231F20"/>
          <w:spacing w:val="-6"/>
          <w:w w:val="110"/>
        </w:rPr>
        <w:t> </w:t>
      </w:r>
      <w:r>
        <w:rPr>
          <w:color w:val="231F20"/>
          <w:w w:val="110"/>
        </w:rPr>
        <w:t>es</w:t>
      </w:r>
      <w:r>
        <w:rPr>
          <w:color w:val="231F20"/>
          <w:spacing w:val="-7"/>
          <w:w w:val="110"/>
        </w:rPr>
        <w:t> </w:t>
      </w:r>
      <w:r>
        <w:rPr>
          <w:color w:val="231F20"/>
          <w:w w:val="110"/>
        </w:rPr>
        <w:t>observar</w:t>
      </w:r>
      <w:r>
        <w:rPr>
          <w:color w:val="231F20"/>
          <w:spacing w:val="-6"/>
          <w:w w:val="110"/>
        </w:rPr>
        <w:t> </w:t>
      </w:r>
      <w:r>
        <w:rPr>
          <w:color w:val="231F20"/>
          <w:w w:val="110"/>
        </w:rPr>
        <w:t>la</w:t>
      </w:r>
      <w:r>
        <w:rPr>
          <w:color w:val="231F20"/>
          <w:spacing w:val="-6"/>
          <w:w w:val="110"/>
        </w:rPr>
        <w:t> </w:t>
      </w:r>
      <w:r>
        <w:rPr>
          <w:color w:val="231F20"/>
          <w:w w:val="110"/>
        </w:rPr>
        <w:t>significativa</w:t>
      </w:r>
      <w:r>
        <w:rPr>
          <w:color w:val="231F20"/>
          <w:spacing w:val="-7"/>
          <w:w w:val="110"/>
        </w:rPr>
        <w:t> </w:t>
      </w:r>
      <w:r>
        <w:rPr>
          <w:color w:val="231F20"/>
          <w:w w:val="110"/>
        </w:rPr>
        <w:t>caída</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tasa</w:t>
      </w:r>
      <w:r>
        <w:rPr>
          <w:color w:val="231F20"/>
          <w:spacing w:val="-6"/>
          <w:w w:val="110"/>
        </w:rPr>
        <w:t> </w:t>
      </w:r>
      <w:r>
        <w:rPr>
          <w:color w:val="231F20"/>
          <w:w w:val="110"/>
        </w:rPr>
        <w:t>de rendimiento en los momentos de pánico de la crisis en las semanas posteriores al quiebre de Lehman Brothers. Así, en el último tercio de 2008, el rendimiento de los bonos del </w:t>
      </w:r>
      <w:r>
        <w:rPr>
          <w:color w:val="231F20"/>
          <w:spacing w:val="-4"/>
          <w:w w:val="110"/>
        </w:rPr>
        <w:t>Tesoro </w:t>
      </w:r>
      <w:r>
        <w:rPr>
          <w:color w:val="231F20"/>
          <w:w w:val="110"/>
        </w:rPr>
        <w:t>a 3 meses cayó 153 puntos y los bonos a 10 años cayeron 149 puntos. Lo que demuestra este</w:t>
      </w:r>
      <w:r>
        <w:rPr>
          <w:color w:val="231F20"/>
          <w:spacing w:val="-22"/>
          <w:w w:val="110"/>
        </w:rPr>
        <w:t> </w:t>
      </w:r>
      <w:r>
        <w:rPr>
          <w:color w:val="231F20"/>
          <w:w w:val="110"/>
        </w:rPr>
        <w:t>volátil</w:t>
      </w:r>
      <w:r>
        <w:rPr>
          <w:color w:val="231F20"/>
          <w:spacing w:val="-22"/>
          <w:w w:val="110"/>
        </w:rPr>
        <w:t> </w:t>
      </w:r>
      <w:r>
        <w:rPr>
          <w:color w:val="231F20"/>
          <w:w w:val="110"/>
        </w:rPr>
        <w:t>comportamiento</w:t>
      </w:r>
      <w:r>
        <w:rPr>
          <w:color w:val="231F20"/>
          <w:spacing w:val="-22"/>
          <w:w w:val="110"/>
        </w:rPr>
        <w:t> </w:t>
      </w:r>
      <w:r>
        <w:rPr>
          <w:color w:val="231F20"/>
          <w:w w:val="110"/>
        </w:rPr>
        <w:t>es</w:t>
      </w:r>
      <w:r>
        <w:rPr>
          <w:color w:val="231F20"/>
          <w:spacing w:val="-22"/>
          <w:w w:val="110"/>
        </w:rPr>
        <w:t> </w:t>
      </w:r>
      <w:r>
        <w:rPr>
          <w:color w:val="231F20"/>
          <w:w w:val="110"/>
        </w:rPr>
        <w:t>que</w:t>
      </w:r>
      <w:r>
        <w:rPr>
          <w:color w:val="231F20"/>
          <w:spacing w:val="-22"/>
          <w:w w:val="110"/>
        </w:rPr>
        <w:t> </w:t>
      </w:r>
      <w:r>
        <w:rPr>
          <w:color w:val="231F20"/>
          <w:w w:val="110"/>
        </w:rPr>
        <w:t>ante</w:t>
      </w:r>
      <w:r>
        <w:rPr>
          <w:color w:val="231F20"/>
          <w:spacing w:val="-22"/>
          <w:w w:val="110"/>
        </w:rPr>
        <w:t> </w:t>
      </w:r>
      <w:r>
        <w:rPr>
          <w:color w:val="231F20"/>
          <w:w w:val="110"/>
        </w:rPr>
        <w:t>la</w:t>
      </w:r>
      <w:r>
        <w:rPr>
          <w:color w:val="231F20"/>
          <w:spacing w:val="-22"/>
          <w:w w:val="110"/>
        </w:rPr>
        <w:t> </w:t>
      </w:r>
      <w:r>
        <w:rPr>
          <w:color w:val="231F20"/>
          <w:w w:val="110"/>
        </w:rPr>
        <w:t>falta</w:t>
      </w:r>
      <w:r>
        <w:rPr>
          <w:color w:val="231F20"/>
          <w:spacing w:val="-22"/>
          <w:w w:val="110"/>
        </w:rPr>
        <w:t> </w:t>
      </w:r>
      <w:r>
        <w:rPr>
          <w:color w:val="231F20"/>
          <w:w w:val="110"/>
        </w:rPr>
        <w:t>de</w:t>
      </w:r>
      <w:r>
        <w:rPr>
          <w:color w:val="231F20"/>
          <w:spacing w:val="-22"/>
          <w:w w:val="110"/>
        </w:rPr>
        <w:t> </w:t>
      </w:r>
      <w:r>
        <w:rPr>
          <w:color w:val="231F20"/>
          <w:w w:val="110"/>
        </w:rPr>
        <w:t>alternativas</w:t>
      </w:r>
      <w:r>
        <w:rPr>
          <w:color w:val="231F20"/>
          <w:spacing w:val="-22"/>
          <w:w w:val="110"/>
        </w:rPr>
        <w:t> </w:t>
      </w:r>
      <w:r>
        <w:rPr>
          <w:color w:val="231F20"/>
          <w:w w:val="110"/>
        </w:rPr>
        <w:t>viables, en</w:t>
      </w:r>
      <w:r>
        <w:rPr>
          <w:color w:val="231F20"/>
          <w:spacing w:val="-8"/>
          <w:w w:val="110"/>
        </w:rPr>
        <w:t> </w:t>
      </w:r>
      <w:r>
        <w:rPr>
          <w:color w:val="231F20"/>
          <w:w w:val="110"/>
        </w:rPr>
        <w:t>momentos</w:t>
      </w:r>
      <w:r>
        <w:rPr>
          <w:color w:val="231F20"/>
          <w:spacing w:val="-8"/>
          <w:w w:val="110"/>
        </w:rPr>
        <w:t> </w:t>
      </w:r>
      <w:r>
        <w:rPr>
          <w:color w:val="231F20"/>
          <w:w w:val="110"/>
        </w:rPr>
        <w:t>de</w:t>
      </w:r>
      <w:r>
        <w:rPr>
          <w:color w:val="231F20"/>
          <w:spacing w:val="-8"/>
          <w:w w:val="110"/>
        </w:rPr>
        <w:t> </w:t>
      </w:r>
      <w:r>
        <w:rPr>
          <w:color w:val="231F20"/>
          <w:w w:val="110"/>
        </w:rPr>
        <w:t>crisis</w:t>
      </w:r>
      <w:r>
        <w:rPr>
          <w:color w:val="231F20"/>
          <w:spacing w:val="-8"/>
          <w:w w:val="110"/>
        </w:rPr>
        <w:t> </w:t>
      </w:r>
      <w:r>
        <w:rPr>
          <w:color w:val="231F20"/>
          <w:w w:val="110"/>
        </w:rPr>
        <w:t>los</w:t>
      </w:r>
      <w:r>
        <w:rPr>
          <w:color w:val="231F20"/>
          <w:spacing w:val="-8"/>
          <w:w w:val="110"/>
        </w:rPr>
        <w:t> </w:t>
      </w:r>
      <w:r>
        <w:rPr>
          <w:color w:val="231F20"/>
          <w:w w:val="110"/>
        </w:rPr>
        <w:t>agentes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mercado</w:t>
      </w:r>
      <w:r>
        <w:rPr>
          <w:color w:val="231F20"/>
          <w:spacing w:val="-8"/>
          <w:w w:val="110"/>
        </w:rPr>
        <w:t> </w:t>
      </w:r>
      <w:r>
        <w:rPr>
          <w:color w:val="231F20"/>
          <w:w w:val="110"/>
        </w:rPr>
        <w:t>recurren</w:t>
      </w:r>
      <w:r>
        <w:rPr>
          <w:color w:val="231F20"/>
          <w:spacing w:val="-8"/>
          <w:w w:val="110"/>
        </w:rPr>
        <w:t> </w:t>
      </w:r>
      <w:r>
        <w:rPr>
          <w:color w:val="231F20"/>
          <w:w w:val="110"/>
        </w:rPr>
        <w:t>invariable- mente a los bonos del </w:t>
      </w:r>
      <w:r>
        <w:rPr>
          <w:color w:val="231F20"/>
          <w:spacing w:val="-4"/>
          <w:w w:val="110"/>
        </w:rPr>
        <w:t>Tesoro </w:t>
      </w:r>
      <w:r>
        <w:rPr>
          <w:color w:val="231F20"/>
          <w:w w:val="110"/>
        </w:rPr>
        <w:t>estadunidense para protegerse de la de profunda</w:t>
      </w:r>
      <w:r>
        <w:rPr>
          <w:color w:val="231F20"/>
          <w:spacing w:val="-15"/>
          <w:w w:val="110"/>
        </w:rPr>
        <w:t> </w:t>
      </w:r>
      <w:r>
        <w:rPr>
          <w:color w:val="231F20"/>
          <w:w w:val="110"/>
        </w:rPr>
        <w:t>inestabilidad</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mercados,</w:t>
      </w:r>
      <w:r>
        <w:rPr>
          <w:color w:val="231F20"/>
          <w:spacing w:val="-15"/>
          <w:w w:val="110"/>
        </w:rPr>
        <w:t> </w:t>
      </w:r>
      <w:r>
        <w:rPr>
          <w:color w:val="231F20"/>
          <w:w w:val="110"/>
        </w:rPr>
        <w:t>provocando</w:t>
      </w:r>
      <w:r>
        <w:rPr>
          <w:color w:val="231F20"/>
          <w:spacing w:val="-15"/>
          <w:w w:val="110"/>
        </w:rPr>
        <w:t> </w:t>
      </w:r>
      <w:r>
        <w:rPr>
          <w:color w:val="231F20"/>
          <w:w w:val="110"/>
        </w:rPr>
        <w:t>las</w:t>
      </w:r>
      <w:r>
        <w:rPr>
          <w:color w:val="231F20"/>
          <w:spacing w:val="-15"/>
          <w:w w:val="110"/>
        </w:rPr>
        <w:t> </w:t>
      </w:r>
      <w:r>
        <w:rPr>
          <w:color w:val="231F20"/>
          <w:w w:val="110"/>
        </w:rPr>
        <w:t>mencionadas caídas en los rendimientos de dichos instrumentos </w:t>
      </w:r>
      <w:r>
        <w:rPr>
          <w:color w:val="231F20"/>
          <w:spacing w:val="13"/>
          <w:w w:val="110"/>
        </w:rPr>
        <w:t> </w:t>
      </w:r>
      <w:r>
        <w:rPr>
          <w:color w:val="231F20"/>
          <w:w w:val="110"/>
        </w:rPr>
        <w:t>financieros.</w:t>
      </w:r>
    </w:p>
    <w:p>
      <w:pPr>
        <w:pStyle w:val="BodyText"/>
        <w:spacing w:line="261" w:lineRule="auto"/>
        <w:ind w:left="100" w:right="119" w:firstLine="240"/>
        <w:jc w:val="both"/>
      </w:pPr>
      <w:r>
        <w:rPr>
          <w:color w:val="231F20"/>
          <w:w w:val="110"/>
        </w:rPr>
        <w:t>La otra faceta de esta dinámica se ve reflejada en la gráfica 3, donde se muestra la tasa de cambio del dólar contra las monedas   de sus principales socios comerciales. En la gráfica se puede ver cómo la tendencia hacia la depreciación del dólar durante el último ciclo económico global se interrumpe abruptamente para  </w:t>
      </w:r>
      <w:r>
        <w:rPr>
          <w:color w:val="231F20"/>
          <w:spacing w:val="17"/>
          <w:w w:val="110"/>
        </w:rPr>
        <w:t> </w:t>
      </w:r>
      <w:r>
        <w:rPr>
          <w:color w:val="231F20"/>
          <w:w w:val="110"/>
        </w:rPr>
        <w:t>dar</w:t>
      </w:r>
      <w:r>
        <w:rPr>
          <w:color w:val="231F20"/>
          <w:spacing w:val="26"/>
          <w:w w:val="110"/>
        </w:rPr>
        <w:t> </w:t>
      </w:r>
      <w:r>
        <w:rPr>
          <w:color w:val="231F20"/>
          <w:w w:val="110"/>
        </w:rPr>
        <w:t>paso</w:t>
      </w:r>
      <w:r>
        <w:rPr>
          <w:color w:val="231F20"/>
          <w:w w:val="108"/>
        </w:rPr>
        <w:t> </w:t>
      </w:r>
      <w:r>
        <w:rPr>
          <w:color w:val="231F20"/>
          <w:w w:val="110"/>
        </w:rPr>
        <w:t>a</w:t>
      </w:r>
      <w:r>
        <w:rPr>
          <w:color w:val="231F20"/>
          <w:spacing w:val="17"/>
          <w:w w:val="110"/>
        </w:rPr>
        <w:t> </w:t>
      </w:r>
      <w:r>
        <w:rPr>
          <w:color w:val="231F20"/>
          <w:w w:val="110"/>
        </w:rPr>
        <w:t>una</w:t>
      </w:r>
      <w:r>
        <w:rPr>
          <w:color w:val="231F20"/>
          <w:spacing w:val="17"/>
          <w:w w:val="110"/>
        </w:rPr>
        <w:t> </w:t>
      </w:r>
      <w:r>
        <w:rPr>
          <w:color w:val="231F20"/>
          <w:w w:val="110"/>
        </w:rPr>
        <w:t>fuerte</w:t>
      </w:r>
      <w:r>
        <w:rPr>
          <w:color w:val="231F20"/>
          <w:spacing w:val="17"/>
          <w:w w:val="110"/>
        </w:rPr>
        <w:t> </w:t>
      </w:r>
      <w:r>
        <w:rPr>
          <w:color w:val="231F20"/>
          <w:w w:val="110"/>
        </w:rPr>
        <w:t>apreciación</w:t>
      </w:r>
      <w:r>
        <w:rPr>
          <w:color w:val="231F20"/>
          <w:spacing w:val="17"/>
          <w:w w:val="110"/>
        </w:rPr>
        <w:t> </w:t>
      </w:r>
      <w:r>
        <w:rPr>
          <w:color w:val="231F20"/>
          <w:w w:val="110"/>
        </w:rPr>
        <w:t>de</w:t>
      </w:r>
      <w:r>
        <w:rPr>
          <w:color w:val="231F20"/>
          <w:spacing w:val="17"/>
          <w:w w:val="110"/>
        </w:rPr>
        <w:t> </w:t>
      </w:r>
      <w:r>
        <w:rPr>
          <w:color w:val="231F20"/>
          <w:w w:val="110"/>
        </w:rPr>
        <w:t>20.9%</w:t>
      </w:r>
      <w:r>
        <w:rPr>
          <w:color w:val="231F20"/>
          <w:spacing w:val="17"/>
          <w:w w:val="110"/>
        </w:rPr>
        <w:t> </w:t>
      </w:r>
      <w:r>
        <w:rPr>
          <w:color w:val="231F20"/>
          <w:w w:val="110"/>
        </w:rPr>
        <w:t>entre</w:t>
      </w:r>
      <w:r>
        <w:rPr>
          <w:color w:val="231F20"/>
          <w:spacing w:val="17"/>
          <w:w w:val="110"/>
        </w:rPr>
        <w:t> </w:t>
      </w:r>
      <w:r>
        <w:rPr>
          <w:color w:val="231F20"/>
          <w:w w:val="110"/>
        </w:rPr>
        <w:t>el</w:t>
      </w:r>
      <w:r>
        <w:rPr>
          <w:color w:val="231F20"/>
          <w:spacing w:val="17"/>
          <w:w w:val="110"/>
        </w:rPr>
        <w:t> </w:t>
      </w:r>
      <w:r>
        <w:rPr>
          <w:color w:val="231F20"/>
          <w:w w:val="110"/>
        </w:rPr>
        <w:t>tercer</w:t>
      </w:r>
      <w:r>
        <w:rPr>
          <w:color w:val="231F20"/>
          <w:spacing w:val="17"/>
          <w:w w:val="110"/>
        </w:rPr>
        <w:t> </w:t>
      </w:r>
      <w:r>
        <w:rPr>
          <w:color w:val="231F20"/>
          <w:w w:val="110"/>
        </w:rPr>
        <w:t>cuarto</w:t>
      </w:r>
      <w:r>
        <w:rPr>
          <w:color w:val="231F20"/>
          <w:spacing w:val="17"/>
          <w:w w:val="110"/>
        </w:rPr>
        <w:t> </w:t>
      </w:r>
      <w:r>
        <w:rPr>
          <w:color w:val="231F20"/>
          <w:w w:val="110"/>
        </w:rPr>
        <w:t>de</w:t>
      </w:r>
      <w:r>
        <w:rPr>
          <w:color w:val="231F20"/>
          <w:spacing w:val="17"/>
          <w:w w:val="110"/>
        </w:rPr>
        <w:t> </w:t>
      </w:r>
      <w:r>
        <w:rPr>
          <w:color w:val="231F20"/>
          <w:w w:val="110"/>
        </w:rPr>
        <w:t>2008</w:t>
      </w:r>
      <w:r>
        <w:rPr>
          <w:color w:val="231F20"/>
          <w:spacing w:val="17"/>
          <w:w w:val="110"/>
        </w:rPr>
        <w:t> </w:t>
      </w:r>
      <w:r>
        <w:rPr>
          <w:color w:val="231F20"/>
          <w:w w:val="110"/>
        </w:rPr>
        <w:t>y</w:t>
      </w:r>
    </w:p>
    <w:p>
      <w:pPr>
        <w:spacing w:before="144"/>
        <w:ind w:left="100" w:right="25" w:firstLine="0"/>
        <w:jc w:val="left"/>
        <w:rPr>
          <w:sz w:val="18"/>
        </w:rPr>
      </w:pPr>
      <w:r>
        <w:rPr>
          <w:color w:val="231F20"/>
          <w:w w:val="125"/>
          <w:sz w:val="18"/>
        </w:rPr>
        <w:t>gráfica 3. tasa de cambio del dólar, 1973-2009</w:t>
      </w:r>
    </w:p>
    <w:p>
      <w:pPr>
        <w:spacing w:before="132"/>
        <w:ind w:left="373" w:right="25" w:firstLine="0"/>
        <w:jc w:val="left"/>
        <w:rPr>
          <w:sz w:val="16"/>
        </w:rPr>
      </w:pPr>
      <w:r>
        <w:rPr/>
        <w:pict>
          <v:group style="position:absolute;margin-left:94.337997pt;margin-top:12.440189pt;width:238.4pt;height:126.15pt;mso-position-horizontal-relative:page;mso-position-vertical-relative:paragraph;z-index:5104" coordorigin="1887,249" coordsize="4768,2523">
            <v:shape style="position:absolute;left:2000;top:249;width:4645;height:2523" coordorigin="2000,249" coordsize="4645,2523" path="m2167,249l2000,249,2000,2771,2167,2771,2167,249m3157,249l2996,249,2996,2771,3157,2771,3157,249m6644,249l6409,249,6409,2771,6644,2771,6644,249e" filled="true" fillcolor="#a7a9ac" stroked="false">
              <v:path arrowok="t"/>
              <v:fill type="solid"/>
            </v:shape>
            <v:shape style="position:absolute;left:1887;top:282;width:4767;height:2242" type="#_x0000_t75" stroked="false">
              <v:imagedata r:id="rId158" o:title=""/>
            </v:shape>
            <w10:wrap type="none"/>
          </v:group>
        </w:pict>
      </w:r>
      <w:r>
        <w:rPr/>
        <w:pict>
          <v:line style="position:absolute;mso-position-horizontal-relative:page;mso-position-vertical-relative:paragraph;z-index:-352216" from="73.5pt,11.901964pt" to="73.5pt,138.604964pt" stroked="true" strokeweight=".5pt" strokecolor="#231f20">
            <w10:wrap type="none"/>
          </v:line>
        </w:pict>
      </w:r>
      <w:r>
        <w:rPr/>
        <w:pict>
          <v:shape style="position:absolute;margin-left:38.627098pt;margin-top:14.680459pt;width:10pt;height:119.15pt;mso-position-horizontal-relative:page;mso-position-vertical-relative:paragraph;z-index:5152" type="#_x0000_t202" filled="false" stroked="false">
            <v:textbox inset="0,0,0,0" style="layout-flow:vertical;mso-layout-flow-alt:bottom-to-top">
              <w:txbxContent>
                <w:p>
                  <w:pPr>
                    <w:spacing w:line="178" w:lineRule="exact" w:before="0"/>
                    <w:ind w:left="20" w:right="-508" w:firstLine="0"/>
                    <w:jc w:val="left"/>
                    <w:rPr>
                      <w:sz w:val="16"/>
                    </w:rPr>
                  </w:pPr>
                  <w:r>
                    <w:rPr>
                      <w:color w:val="231F20"/>
                      <w:w w:val="112"/>
                      <w:sz w:val="16"/>
                    </w:rPr>
                    <w:t>Indicador</w:t>
                  </w:r>
                  <w:r>
                    <w:rPr>
                      <w:color w:val="231F20"/>
                      <w:spacing w:val="1"/>
                      <w:sz w:val="16"/>
                    </w:rPr>
                    <w:t> </w:t>
                  </w:r>
                  <w:r>
                    <w:rPr>
                      <w:color w:val="231F20"/>
                      <w:w w:val="114"/>
                      <w:sz w:val="16"/>
                    </w:rPr>
                    <w:t>de</w:t>
                  </w:r>
                  <w:r>
                    <w:rPr>
                      <w:color w:val="231F20"/>
                      <w:spacing w:val="1"/>
                      <w:sz w:val="16"/>
                    </w:rPr>
                    <w:t> </w:t>
                  </w:r>
                  <w:r>
                    <w:rPr>
                      <w:color w:val="231F20"/>
                      <w:w w:val="108"/>
                      <w:sz w:val="16"/>
                    </w:rPr>
                    <w:t>marzo</w:t>
                  </w:r>
                  <w:r>
                    <w:rPr>
                      <w:color w:val="231F20"/>
                      <w:spacing w:val="1"/>
                      <w:sz w:val="16"/>
                    </w:rPr>
                    <w:t> </w:t>
                  </w:r>
                  <w:r>
                    <w:rPr>
                      <w:color w:val="231F20"/>
                      <w:w w:val="114"/>
                      <w:sz w:val="16"/>
                    </w:rPr>
                    <w:t>de</w:t>
                  </w:r>
                  <w:r>
                    <w:rPr>
                      <w:color w:val="231F20"/>
                      <w:spacing w:val="1"/>
                      <w:sz w:val="16"/>
                    </w:rPr>
                    <w:t> </w:t>
                  </w:r>
                  <w:r>
                    <w:rPr>
                      <w:color w:val="231F20"/>
                      <w:w w:val="104"/>
                      <w:sz w:val="16"/>
                    </w:rPr>
                    <w:t>1973</w:t>
                  </w:r>
                  <w:r>
                    <w:rPr>
                      <w:color w:val="231F20"/>
                      <w:spacing w:val="1"/>
                      <w:sz w:val="16"/>
                    </w:rPr>
                    <w:t> </w:t>
                  </w:r>
                  <w:r>
                    <w:rPr>
                      <w:color w:val="231F20"/>
                      <w:w w:val="100"/>
                      <w:sz w:val="16"/>
                    </w:rPr>
                    <w:t>=100</w:t>
                  </w:r>
                </w:p>
              </w:txbxContent>
            </v:textbox>
            <w10:wrap type="none"/>
          </v:shape>
        </w:pict>
      </w:r>
      <w:r>
        <w:rPr/>
        <w:pict>
          <v:shape style="position:absolute;margin-left:75.388pt;margin-top:12.144164pt;width:262.5pt;height:128.85pt;mso-position-horizontal-relative:page;mso-position-vertical-relative:paragraph;z-index:5392" type="#_x0000_t202" filled="false" stroked="false">
            <v:textbox inset="0,0,0,0">
              <w:txbxContent>
                <w:tbl>
                  <w:tblPr>
                    <w:tblW w:w="0" w:type="auto"/>
                    <w:jc w:val="left"/>
                    <w:tblBorders>
                      <w:top w:val="single" w:sz="4" w:space="0" w:color="A7A9AC"/>
                      <w:left w:val="single" w:sz="4" w:space="0" w:color="A7A9AC"/>
                      <w:bottom w:val="single" w:sz="4" w:space="0" w:color="A7A9AC"/>
                      <w:right w:val="single" w:sz="4" w:space="0" w:color="A7A9AC"/>
                      <w:insideH w:val="single" w:sz="4" w:space="0" w:color="A7A9AC"/>
                      <w:insideV w:val="single" w:sz="4" w:space="0" w:color="A7A9AC"/>
                    </w:tblBorders>
                    <w:tblLayout w:type="fixed"/>
                    <w:tblCellMar>
                      <w:top w:w="0" w:type="dxa"/>
                      <w:left w:w="0" w:type="dxa"/>
                      <w:bottom w:w="0" w:type="dxa"/>
                      <w:right w:w="0" w:type="dxa"/>
                    </w:tblCellMar>
                    <w:tblLook w:val="01E0"/>
                  </w:tblPr>
                  <w:tblGrid>
                    <w:gridCol w:w="1270"/>
                    <w:gridCol w:w="1368"/>
                    <w:gridCol w:w="1384"/>
                    <w:gridCol w:w="1085"/>
                  </w:tblGrid>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81" w:hRule="exact"/>
                    </w:trPr>
                    <w:tc>
                      <w:tcPr>
                        <w:tcW w:w="1270" w:type="dxa"/>
                        <w:tcBorders>
                          <w:left w:val="single" w:sz="38" w:space="0" w:color="A7A9AC"/>
                          <w:right w:val="single" w:sz="24" w:space="0" w:color="A7A9AC"/>
                        </w:tcBorders>
                      </w:tcPr>
                      <w:p>
                        <w:pPr/>
                      </w:p>
                    </w:tc>
                    <w:tc>
                      <w:tcPr>
                        <w:tcW w:w="1368" w:type="dxa"/>
                        <w:tcBorders>
                          <w:left w:val="single" w:sz="24" w:space="0" w:color="A7A9AC"/>
                          <w:right w:val="single" w:sz="36" w:space="0" w:color="A7A9AC"/>
                        </w:tcBorders>
                      </w:tcPr>
                      <w:p>
                        <w:pPr/>
                      </w:p>
                    </w:tc>
                    <w:tc>
                      <w:tcPr>
                        <w:tcW w:w="1384" w:type="dxa"/>
                        <w:tcBorders>
                          <w:left w:val="single" w:sz="36" w:space="0" w:color="A7A9AC"/>
                          <w:right w:val="single" w:sz="33" w:space="0" w:color="A7A9AC"/>
                        </w:tcBorders>
                      </w:tcPr>
                      <w:p>
                        <w:pPr/>
                      </w:p>
                    </w:tc>
                    <w:tc>
                      <w:tcPr>
                        <w:tcW w:w="1085" w:type="dxa"/>
                        <w:tcBorders>
                          <w:left w:val="single" w:sz="33" w:space="0" w:color="A7A9AC"/>
                          <w:right w:val="nil"/>
                        </w:tcBorders>
                      </w:tcPr>
                      <w:p>
                        <w:pPr/>
                      </w:p>
                    </w:tc>
                  </w:tr>
                  <w:tr>
                    <w:trPr>
                      <w:trHeight w:val="272" w:hRule="exact"/>
                    </w:trPr>
                    <w:tc>
                      <w:tcPr>
                        <w:tcW w:w="1270" w:type="dxa"/>
                        <w:tcBorders>
                          <w:left w:val="single" w:sz="38" w:space="0" w:color="A7A9AC"/>
                          <w:bottom w:val="nil"/>
                          <w:right w:val="single" w:sz="24" w:space="0" w:color="A7A9AC"/>
                        </w:tcBorders>
                      </w:tcPr>
                      <w:p>
                        <w:pPr>
                          <w:pStyle w:val="TableParagraph"/>
                          <w:spacing w:before="10"/>
                          <w:rPr>
                            <w:sz w:val="12"/>
                          </w:rPr>
                        </w:pPr>
                      </w:p>
                      <w:p>
                        <w:pPr>
                          <w:pStyle w:val="TableParagraph"/>
                          <w:tabs>
                            <w:tab w:pos="5057" w:val="left" w:leader="none"/>
                          </w:tabs>
                          <w:spacing w:line="159" w:lineRule="exact"/>
                          <w:ind w:left="5" w:right="-3867"/>
                          <w:rPr>
                            <w:sz w:val="16"/>
                          </w:rPr>
                        </w:pPr>
                        <w:r>
                          <w:rPr>
                            <w:color w:val="231F20"/>
                            <w:w w:val="104"/>
                            <w:sz w:val="16"/>
                            <w:u w:val="single" w:color="A7A9AC"/>
                          </w:rPr>
                          <w:t> </w:t>
                        </w:r>
                        <w:r>
                          <w:rPr>
                            <w:color w:val="231F20"/>
                            <w:sz w:val="16"/>
                            <w:u w:val="single" w:color="A7A9AC"/>
                          </w:rPr>
                          <w:tab/>
                        </w:r>
                      </w:p>
                    </w:tc>
                    <w:tc>
                      <w:tcPr>
                        <w:tcW w:w="1368" w:type="dxa"/>
                        <w:tcBorders>
                          <w:left w:val="single" w:sz="24" w:space="0" w:color="A7A9AC"/>
                          <w:bottom w:val="nil"/>
                          <w:right w:val="single" w:sz="36" w:space="0" w:color="A7A9AC"/>
                        </w:tcBorders>
                      </w:tcPr>
                      <w:p>
                        <w:pPr/>
                      </w:p>
                    </w:tc>
                    <w:tc>
                      <w:tcPr>
                        <w:tcW w:w="1384" w:type="dxa"/>
                        <w:tcBorders>
                          <w:left w:val="single" w:sz="36" w:space="0" w:color="A7A9AC"/>
                          <w:bottom w:val="nil"/>
                          <w:right w:val="single" w:sz="33" w:space="0" w:color="A7A9AC"/>
                        </w:tcBorders>
                      </w:tcPr>
                      <w:p>
                        <w:pPr/>
                      </w:p>
                    </w:tc>
                    <w:tc>
                      <w:tcPr>
                        <w:tcW w:w="1085" w:type="dxa"/>
                        <w:tcBorders>
                          <w:left w:val="single" w:sz="33" w:space="0" w:color="A7A9AC"/>
                          <w:bottom w:val="nil"/>
                          <w:right w:val="nil"/>
                        </w:tcBorders>
                      </w:tcPr>
                      <w:p>
                        <w:pPr/>
                      </w:p>
                    </w:tc>
                  </w:tr>
                </w:tbl>
                <w:p>
                  <w:pPr>
                    <w:pStyle w:val="BodyText"/>
                  </w:pPr>
                </w:p>
              </w:txbxContent>
            </v:textbox>
            <w10:wrap type="none"/>
          </v:shape>
        </w:pict>
      </w:r>
      <w:r>
        <w:rPr>
          <w:color w:val="231F20"/>
          <w:sz w:val="16"/>
        </w:rPr>
        <w:t>150 —</w:t>
      </w:r>
    </w:p>
    <w:p>
      <w:pPr>
        <w:spacing w:before="96"/>
        <w:ind w:left="373" w:right="25" w:firstLine="0"/>
        <w:jc w:val="left"/>
        <w:rPr>
          <w:sz w:val="16"/>
        </w:rPr>
      </w:pPr>
      <w:r>
        <w:rPr>
          <w:color w:val="231F20"/>
          <w:sz w:val="16"/>
        </w:rPr>
        <w:t>140 —</w:t>
      </w:r>
    </w:p>
    <w:p>
      <w:pPr>
        <w:spacing w:before="96"/>
        <w:ind w:left="373" w:right="25" w:firstLine="0"/>
        <w:jc w:val="left"/>
        <w:rPr>
          <w:sz w:val="16"/>
        </w:rPr>
      </w:pPr>
      <w:r>
        <w:rPr>
          <w:color w:val="231F20"/>
          <w:sz w:val="16"/>
        </w:rPr>
        <w:t>130 —</w:t>
      </w:r>
    </w:p>
    <w:p>
      <w:pPr>
        <w:spacing w:before="96"/>
        <w:ind w:left="373" w:right="25" w:firstLine="0"/>
        <w:jc w:val="left"/>
        <w:rPr>
          <w:sz w:val="16"/>
        </w:rPr>
      </w:pPr>
      <w:r>
        <w:rPr>
          <w:color w:val="231F20"/>
          <w:sz w:val="16"/>
        </w:rPr>
        <w:t>120 —</w:t>
      </w:r>
    </w:p>
    <w:p>
      <w:pPr>
        <w:spacing w:before="96"/>
        <w:ind w:left="373" w:right="25" w:firstLine="0"/>
        <w:jc w:val="left"/>
        <w:rPr>
          <w:sz w:val="16"/>
        </w:rPr>
      </w:pPr>
      <w:r>
        <w:rPr>
          <w:color w:val="231F20"/>
          <w:sz w:val="16"/>
        </w:rPr>
        <w:t>110 —</w:t>
      </w:r>
    </w:p>
    <w:p>
      <w:pPr>
        <w:spacing w:before="96"/>
        <w:ind w:left="373" w:right="25" w:firstLine="0"/>
        <w:jc w:val="left"/>
        <w:rPr>
          <w:sz w:val="16"/>
        </w:rPr>
      </w:pPr>
      <w:r>
        <w:rPr>
          <w:color w:val="231F20"/>
          <w:sz w:val="16"/>
        </w:rPr>
        <w:t>100 —</w:t>
      </w:r>
    </w:p>
    <w:p>
      <w:pPr>
        <w:spacing w:before="96"/>
        <w:ind w:left="456" w:right="25" w:firstLine="0"/>
        <w:jc w:val="left"/>
        <w:rPr>
          <w:sz w:val="16"/>
        </w:rPr>
      </w:pPr>
      <w:r>
        <w:rPr>
          <w:color w:val="231F20"/>
          <w:sz w:val="16"/>
        </w:rPr>
        <w:t>90 —</w:t>
      </w:r>
    </w:p>
    <w:p>
      <w:pPr>
        <w:spacing w:before="96"/>
        <w:ind w:left="456" w:right="25" w:firstLine="0"/>
        <w:jc w:val="left"/>
        <w:rPr>
          <w:sz w:val="16"/>
        </w:rPr>
      </w:pPr>
      <w:r>
        <w:rPr>
          <w:color w:val="231F20"/>
          <w:sz w:val="16"/>
        </w:rPr>
        <w:t>80 —</w:t>
      </w:r>
    </w:p>
    <w:p>
      <w:pPr>
        <w:spacing w:before="96"/>
        <w:ind w:left="456" w:right="25" w:firstLine="0"/>
        <w:jc w:val="left"/>
        <w:rPr>
          <w:sz w:val="16"/>
        </w:rPr>
      </w:pPr>
      <w:r>
        <w:rPr>
          <w:color w:val="231F20"/>
          <w:sz w:val="16"/>
        </w:rPr>
        <w:t>70 —</w:t>
      </w:r>
    </w:p>
    <w:p>
      <w:pPr>
        <w:spacing w:before="96"/>
        <w:ind w:left="456" w:right="25" w:firstLine="0"/>
        <w:jc w:val="left"/>
        <w:rPr>
          <w:sz w:val="16"/>
        </w:rPr>
      </w:pPr>
      <w:r>
        <w:rPr/>
        <w:pict>
          <v:shape style="position:absolute;margin-left:70.459099pt;margin-top:11.744449pt;width:10pt;height:28.75pt;mso-position-horizontal-relative:page;mso-position-vertical-relative:paragraph;z-index:-3521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102.755096pt;margin-top:11.744449pt;width:10pt;height:28.75pt;mso-position-horizontal-relative:page;mso-position-vertical-relative:paragraph;z-index:520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1975</w:t>
                  </w:r>
                  <w:r>
                    <w:rPr>
                      <w:color w:val="231F20"/>
                      <w:spacing w:val="1"/>
                      <w:sz w:val="16"/>
                    </w:rPr>
                    <w:t> </w:t>
                  </w:r>
                  <w:r>
                    <w:rPr>
                      <w:color w:val="231F20"/>
                      <w:sz w:val="16"/>
                    </w:rPr>
                    <w:t>—</w:t>
                  </w:r>
                </w:p>
              </w:txbxContent>
            </v:textbox>
            <w10:wrap type="none"/>
          </v:shape>
        </w:pict>
      </w:r>
      <w:r>
        <w:rPr/>
        <w:pict>
          <v:shape style="position:absolute;margin-left:135.051102pt;margin-top:11.744449pt;width:10pt;height:28.75pt;mso-position-horizontal-relative:page;mso-position-vertical-relative:paragraph;z-index:522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167.347092pt;margin-top:11.744449pt;width:10pt;height:28.75pt;mso-position-horizontal-relative:page;mso-position-vertical-relative:paragraph;z-index:524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1985</w:t>
                  </w:r>
                  <w:r>
                    <w:rPr>
                      <w:color w:val="231F20"/>
                      <w:spacing w:val="1"/>
                      <w:sz w:val="16"/>
                    </w:rPr>
                    <w:t> </w:t>
                  </w:r>
                  <w:r>
                    <w:rPr>
                      <w:color w:val="231F20"/>
                      <w:sz w:val="16"/>
                    </w:rPr>
                    <w:t>—</w:t>
                  </w:r>
                </w:p>
              </w:txbxContent>
            </v:textbox>
            <w10:wrap type="none"/>
          </v:shape>
        </w:pict>
      </w:r>
      <w:r>
        <w:rPr/>
        <w:pict>
          <v:shape style="position:absolute;margin-left:199.643097pt;margin-top:11.744449pt;width:10pt;height:28.75pt;mso-position-horizontal-relative:page;mso-position-vertical-relative:paragraph;z-index:527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31.939102pt;margin-top:11.744449pt;width:10pt;height:28.75pt;mso-position-horizontal-relative:page;mso-position-vertical-relative:paragraph;z-index:529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1995</w:t>
                  </w:r>
                  <w:r>
                    <w:rPr>
                      <w:color w:val="231F20"/>
                      <w:spacing w:val="1"/>
                      <w:sz w:val="16"/>
                    </w:rPr>
                    <w:t> </w:t>
                  </w:r>
                  <w:r>
                    <w:rPr>
                      <w:color w:val="231F20"/>
                      <w:sz w:val="16"/>
                    </w:rPr>
                    <w:t>—</w:t>
                  </w:r>
                </w:p>
              </w:txbxContent>
            </v:textbox>
            <w10:wrap type="none"/>
          </v:shape>
        </w:pict>
      </w:r>
      <w:r>
        <w:rPr/>
        <w:pict>
          <v:shape style="position:absolute;margin-left:264.235107pt;margin-top:11.744449pt;width:10pt;height:28.75pt;mso-position-horizontal-relative:page;mso-position-vertical-relative:paragraph;z-index:532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296.531097pt;margin-top:11.744448pt;width:10pt;height:28.75pt;mso-position-horizontal-relative:page;mso-position-vertical-relative:paragraph;z-index:534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2005</w:t>
                  </w:r>
                  <w:r>
                    <w:rPr>
                      <w:color w:val="231F20"/>
                      <w:spacing w:val="1"/>
                      <w:sz w:val="16"/>
                    </w:rPr>
                    <w:t> </w:t>
                  </w:r>
                  <w:r>
                    <w:rPr>
                      <w:color w:val="231F20"/>
                      <w:sz w:val="16"/>
                    </w:rPr>
                    <w:t>—</w:t>
                  </w:r>
                </w:p>
              </w:txbxContent>
            </v:textbox>
            <w10:wrap type="none"/>
          </v:shape>
        </w:pict>
      </w:r>
      <w:r>
        <w:rPr/>
        <w:pict>
          <v:shape style="position:absolute;margin-left:328.827087pt;margin-top:11.744448pt;width:10pt;height:28.75pt;mso-position-horizontal-relative:page;mso-position-vertical-relative:paragraph;z-index:536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2010</w:t>
                  </w:r>
                  <w:r>
                    <w:rPr>
                      <w:color w:val="231F20"/>
                      <w:spacing w:val="1"/>
                      <w:sz w:val="16"/>
                    </w:rPr>
                    <w:t> </w:t>
                  </w:r>
                  <w:r>
                    <w:rPr>
                      <w:color w:val="231F20"/>
                      <w:sz w:val="16"/>
                    </w:rPr>
                    <w:t>—</w:t>
                  </w:r>
                </w:p>
              </w:txbxContent>
            </v:textbox>
            <w10:wrap type="none"/>
          </v:shape>
        </w:pict>
      </w:r>
      <w:r>
        <w:rPr>
          <w:color w:val="231F20"/>
          <w:sz w:val="16"/>
        </w:rPr>
        <w:t>60 —</w:t>
      </w:r>
    </w:p>
    <w:p>
      <w:pPr>
        <w:pStyle w:val="BodyText"/>
      </w:pPr>
    </w:p>
    <w:p>
      <w:pPr>
        <w:pStyle w:val="BodyText"/>
      </w:pPr>
    </w:p>
    <w:p>
      <w:pPr>
        <w:pStyle w:val="BodyText"/>
        <w:spacing w:before="6"/>
        <w:rPr>
          <w:sz w:val="18"/>
        </w:rPr>
      </w:pPr>
    </w:p>
    <w:p>
      <w:pPr>
        <w:spacing w:before="0"/>
        <w:ind w:left="100" w:right="25" w:firstLine="0"/>
        <w:jc w:val="left"/>
        <w:rPr>
          <w:sz w:val="18"/>
        </w:rPr>
      </w:pPr>
      <w:r>
        <w:rPr>
          <w:rFonts w:ascii="Calibri"/>
          <w:color w:val="231F20"/>
          <w:w w:val="110"/>
          <w:sz w:val="18"/>
        </w:rPr>
        <w:t>fuente: </w:t>
      </w:r>
      <w:r>
        <w:rPr>
          <w:color w:val="231F20"/>
          <w:w w:val="110"/>
          <w:sz w:val="18"/>
        </w:rPr>
        <w:t>Banco de la Reserva Federal de St. Louis.</w:t>
      </w:r>
    </w:p>
    <w:p>
      <w:pPr>
        <w:pStyle w:val="BodyText"/>
        <w:rPr>
          <w:sz w:val="18"/>
        </w:rPr>
      </w:pPr>
    </w:p>
    <w:p>
      <w:pPr>
        <w:pStyle w:val="BodyText"/>
        <w:rPr>
          <w:sz w:val="18"/>
        </w:rPr>
      </w:pPr>
    </w:p>
    <w:p>
      <w:pPr>
        <w:spacing w:line="261" w:lineRule="auto" w:before="137"/>
        <w:ind w:left="100" w:right="119" w:firstLine="240"/>
        <w:jc w:val="both"/>
        <w:rPr>
          <w:sz w:val="16"/>
        </w:rPr>
      </w:pPr>
      <w:r>
        <w:rPr>
          <w:color w:val="231F20"/>
          <w:w w:val="110"/>
          <w:position w:val="5"/>
          <w:sz w:val="10"/>
        </w:rPr>
        <w:t>3</w:t>
      </w:r>
      <w:r>
        <w:rPr>
          <w:color w:val="231F20"/>
          <w:spacing w:val="12"/>
          <w:w w:val="110"/>
          <w:position w:val="5"/>
          <w:sz w:val="10"/>
        </w:rPr>
        <w:t> </w:t>
      </w:r>
      <w:r>
        <w:rPr>
          <w:color w:val="231F20"/>
          <w:w w:val="110"/>
          <w:sz w:val="16"/>
        </w:rPr>
        <w:t>En</w:t>
      </w:r>
      <w:r>
        <w:rPr>
          <w:color w:val="231F20"/>
          <w:spacing w:val="-14"/>
          <w:w w:val="110"/>
          <w:sz w:val="16"/>
        </w:rPr>
        <w:t> </w:t>
      </w:r>
      <w:r>
        <w:rPr>
          <w:color w:val="231F20"/>
          <w:w w:val="110"/>
          <w:sz w:val="16"/>
        </w:rPr>
        <w:t>el</w:t>
      </w:r>
      <w:r>
        <w:rPr>
          <w:color w:val="231F20"/>
          <w:spacing w:val="-14"/>
          <w:w w:val="110"/>
          <w:sz w:val="16"/>
        </w:rPr>
        <w:t> </w:t>
      </w:r>
      <w:r>
        <w:rPr>
          <w:color w:val="231F20"/>
          <w:w w:val="110"/>
          <w:sz w:val="16"/>
        </w:rPr>
        <w:t>caso</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los</w:t>
      </w:r>
      <w:r>
        <w:rPr>
          <w:color w:val="231F20"/>
          <w:spacing w:val="-14"/>
          <w:w w:val="110"/>
          <w:sz w:val="16"/>
        </w:rPr>
        <w:t> </w:t>
      </w:r>
      <w:r>
        <w:rPr>
          <w:color w:val="231F20"/>
          <w:w w:val="110"/>
          <w:sz w:val="16"/>
        </w:rPr>
        <w:t>bonos</w:t>
      </w:r>
      <w:r>
        <w:rPr>
          <w:color w:val="231F20"/>
          <w:spacing w:val="-14"/>
          <w:w w:val="110"/>
          <w:sz w:val="16"/>
        </w:rPr>
        <w:t> </w:t>
      </w:r>
      <w:r>
        <w:rPr>
          <w:color w:val="231F20"/>
          <w:w w:val="110"/>
          <w:sz w:val="16"/>
        </w:rPr>
        <w:t>del</w:t>
      </w:r>
      <w:r>
        <w:rPr>
          <w:color w:val="231F20"/>
          <w:spacing w:val="-14"/>
          <w:w w:val="110"/>
          <w:sz w:val="16"/>
        </w:rPr>
        <w:t> </w:t>
      </w:r>
      <w:r>
        <w:rPr>
          <w:color w:val="231F20"/>
          <w:spacing w:val="-3"/>
          <w:w w:val="110"/>
          <w:sz w:val="16"/>
        </w:rPr>
        <w:t>Tesoro</w:t>
      </w:r>
      <w:r>
        <w:rPr>
          <w:color w:val="231F20"/>
          <w:spacing w:val="-14"/>
          <w:w w:val="110"/>
          <w:sz w:val="16"/>
        </w:rPr>
        <w:t> </w:t>
      </w:r>
      <w:r>
        <w:rPr>
          <w:color w:val="231F20"/>
          <w:w w:val="110"/>
          <w:sz w:val="16"/>
        </w:rPr>
        <w:t>a</w:t>
      </w:r>
      <w:r>
        <w:rPr>
          <w:color w:val="231F20"/>
          <w:spacing w:val="-14"/>
          <w:w w:val="110"/>
          <w:sz w:val="16"/>
        </w:rPr>
        <w:t> </w:t>
      </w:r>
      <w:r>
        <w:rPr>
          <w:color w:val="231F20"/>
          <w:w w:val="110"/>
          <w:sz w:val="16"/>
        </w:rPr>
        <w:t>3</w:t>
      </w:r>
      <w:r>
        <w:rPr>
          <w:color w:val="231F20"/>
          <w:spacing w:val="-14"/>
          <w:w w:val="110"/>
          <w:sz w:val="16"/>
        </w:rPr>
        <w:t> </w:t>
      </w:r>
      <w:r>
        <w:rPr>
          <w:color w:val="231F20"/>
          <w:w w:val="110"/>
          <w:sz w:val="16"/>
        </w:rPr>
        <w:t>meses,</w:t>
      </w:r>
      <w:r>
        <w:rPr>
          <w:color w:val="231F20"/>
          <w:spacing w:val="-14"/>
          <w:w w:val="110"/>
          <w:sz w:val="16"/>
        </w:rPr>
        <w:t> </w:t>
      </w:r>
      <w:r>
        <w:rPr>
          <w:color w:val="231F20"/>
          <w:w w:val="110"/>
          <w:sz w:val="16"/>
        </w:rPr>
        <w:t>las</w:t>
      </w:r>
      <w:r>
        <w:rPr>
          <w:color w:val="231F20"/>
          <w:spacing w:val="-14"/>
          <w:w w:val="110"/>
          <w:sz w:val="16"/>
        </w:rPr>
        <w:t> </w:t>
      </w:r>
      <w:r>
        <w:rPr>
          <w:color w:val="231F20"/>
          <w:w w:val="110"/>
          <w:sz w:val="16"/>
        </w:rPr>
        <w:t>tasa</w:t>
      </w:r>
      <w:r>
        <w:rPr>
          <w:color w:val="231F20"/>
          <w:spacing w:val="-14"/>
          <w:w w:val="110"/>
          <w:sz w:val="16"/>
        </w:rPr>
        <w:t> </w:t>
      </w:r>
      <w:r>
        <w:rPr>
          <w:color w:val="231F20"/>
          <w:w w:val="110"/>
          <w:sz w:val="16"/>
        </w:rPr>
        <w:t>en</w:t>
      </w:r>
      <w:r>
        <w:rPr>
          <w:color w:val="231F20"/>
          <w:spacing w:val="-14"/>
          <w:w w:val="110"/>
          <w:sz w:val="16"/>
        </w:rPr>
        <w:t> </w:t>
      </w:r>
      <w:r>
        <w:rPr>
          <w:color w:val="231F20"/>
          <w:w w:val="110"/>
          <w:sz w:val="16"/>
        </w:rPr>
        <w:t>octubre</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2009</w:t>
      </w:r>
      <w:r>
        <w:rPr>
          <w:color w:val="231F20"/>
          <w:spacing w:val="-14"/>
          <w:w w:val="110"/>
          <w:sz w:val="16"/>
        </w:rPr>
        <w:t> </w:t>
      </w:r>
      <w:r>
        <w:rPr>
          <w:color w:val="231F20"/>
          <w:w w:val="110"/>
          <w:sz w:val="16"/>
        </w:rPr>
        <w:t>promedió 0.05%,</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más</w:t>
      </w:r>
      <w:r>
        <w:rPr>
          <w:color w:val="231F20"/>
          <w:spacing w:val="-13"/>
          <w:w w:val="110"/>
          <w:sz w:val="16"/>
        </w:rPr>
        <w:t> </w:t>
      </w:r>
      <w:r>
        <w:rPr>
          <w:color w:val="231F20"/>
          <w:w w:val="110"/>
          <w:sz w:val="16"/>
        </w:rPr>
        <w:t>baja</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historia.</w:t>
      </w:r>
      <w:r>
        <w:rPr>
          <w:color w:val="231F20"/>
          <w:spacing w:val="-13"/>
          <w:w w:val="110"/>
          <w:sz w:val="16"/>
        </w:rPr>
        <w:t> </w:t>
      </w:r>
      <w:r>
        <w:rPr>
          <w:color w:val="231F20"/>
          <w:w w:val="110"/>
          <w:sz w:val="16"/>
        </w:rPr>
        <w:t>Dada</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tasa</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inflación</w:t>
      </w:r>
      <w:r>
        <w:rPr>
          <w:color w:val="231F20"/>
          <w:spacing w:val="-13"/>
          <w:w w:val="110"/>
          <w:sz w:val="16"/>
        </w:rPr>
        <w:t> </w:t>
      </w:r>
      <w:r>
        <w:rPr>
          <w:color w:val="231F20"/>
          <w:w w:val="110"/>
          <w:sz w:val="16"/>
        </w:rPr>
        <w:t>esto</w:t>
      </w:r>
      <w:r>
        <w:rPr>
          <w:color w:val="231F20"/>
          <w:spacing w:val="-13"/>
          <w:w w:val="110"/>
          <w:sz w:val="16"/>
        </w:rPr>
        <w:t> </w:t>
      </w:r>
      <w:r>
        <w:rPr>
          <w:color w:val="231F20"/>
          <w:w w:val="110"/>
          <w:sz w:val="16"/>
        </w:rPr>
        <w:t>representa</w:t>
      </w:r>
      <w:r>
        <w:rPr>
          <w:color w:val="231F20"/>
          <w:spacing w:val="-13"/>
          <w:w w:val="110"/>
          <w:sz w:val="16"/>
        </w:rPr>
        <w:t> </w:t>
      </w:r>
      <w:r>
        <w:rPr>
          <w:color w:val="231F20"/>
          <w:w w:val="110"/>
          <w:sz w:val="16"/>
        </w:rPr>
        <w:t>rendimientos reales negativos,</w:t>
      </w:r>
      <w:r>
        <w:rPr>
          <w:color w:val="231F20"/>
          <w:spacing w:val="40"/>
          <w:w w:val="110"/>
          <w:sz w:val="16"/>
        </w:rPr>
        <w:t> </w:t>
      </w:r>
      <w:hyperlink r:id="rId159">
        <w:r>
          <w:rPr>
            <w:color w:val="231F20"/>
            <w:w w:val="110"/>
            <w:sz w:val="16"/>
          </w:rPr>
          <w:t>&lt;http://research.stlouisfed.org/fred2/series/DGS3MO?cid=115&gt;.</w:t>
        </w:r>
      </w:hyperlink>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el primer cuarto de 2009, en la medida en que los inversores inter- nacionales redujeron su exposición al riesgo en medio de la crisis para regresar a la seguridad percibida de los activos denominados  en dólares</w:t>
      </w:r>
      <w:r>
        <w:rPr>
          <w:color w:val="231F20"/>
          <w:spacing w:val="26"/>
          <w:w w:val="110"/>
        </w:rPr>
        <w:t> </w:t>
      </w:r>
      <w:r>
        <w:rPr>
          <w:color w:val="231F20"/>
          <w:w w:val="110"/>
        </w:rPr>
        <w:t>estadunidenses.</w:t>
      </w:r>
    </w:p>
    <w:p>
      <w:pPr>
        <w:pStyle w:val="BodyText"/>
        <w:spacing w:line="261" w:lineRule="auto"/>
        <w:ind w:left="100" w:right="117" w:firstLine="240"/>
        <w:jc w:val="both"/>
      </w:pPr>
      <w:r>
        <w:rPr>
          <w:color w:val="231F20"/>
          <w:w w:val="110"/>
        </w:rPr>
        <w:t>Un escéptico de estos datos podría apuntar que, por un lado, en</w:t>
      </w:r>
      <w:r>
        <w:rPr>
          <w:color w:val="231F20"/>
          <w:spacing w:val="-8"/>
          <w:w w:val="110"/>
        </w:rPr>
        <w:t> </w:t>
      </w:r>
      <w:r>
        <w:rPr>
          <w:color w:val="231F20"/>
          <w:w w:val="110"/>
        </w:rPr>
        <w:t>la medida</w:t>
      </w:r>
      <w:r>
        <w:rPr>
          <w:color w:val="231F20"/>
          <w:spacing w:val="-4"/>
          <w:w w:val="110"/>
        </w:rPr>
        <w:t> </w:t>
      </w:r>
      <w:r>
        <w:rPr>
          <w:color w:val="231F20"/>
          <w:w w:val="110"/>
        </w:rPr>
        <w:t>en</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mercados</w:t>
      </w:r>
      <w:r>
        <w:rPr>
          <w:color w:val="231F20"/>
          <w:spacing w:val="-4"/>
          <w:w w:val="110"/>
        </w:rPr>
        <w:t> </w:t>
      </w:r>
      <w:r>
        <w:rPr>
          <w:color w:val="231F20"/>
          <w:w w:val="110"/>
        </w:rPr>
        <w:t>han</w:t>
      </w:r>
      <w:r>
        <w:rPr>
          <w:color w:val="231F20"/>
          <w:spacing w:val="-4"/>
          <w:w w:val="110"/>
        </w:rPr>
        <w:t> </w:t>
      </w:r>
      <w:r>
        <w:rPr>
          <w:color w:val="231F20"/>
          <w:w w:val="110"/>
        </w:rPr>
        <w:t>retornado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normalidad,</w:t>
      </w:r>
      <w:r>
        <w:rPr>
          <w:color w:val="231F20"/>
          <w:spacing w:val="-4"/>
          <w:w w:val="110"/>
        </w:rPr>
        <w:t> </w:t>
      </w:r>
      <w:r>
        <w:rPr>
          <w:color w:val="231F20"/>
          <w:w w:val="110"/>
        </w:rPr>
        <w:t>tanto</w:t>
      </w:r>
      <w:r>
        <w:rPr>
          <w:color w:val="231F20"/>
          <w:spacing w:val="-4"/>
          <w:w w:val="110"/>
        </w:rPr>
        <w:t> </w:t>
      </w:r>
      <w:r>
        <w:rPr>
          <w:color w:val="231F20"/>
          <w:w w:val="110"/>
        </w:rPr>
        <w:t>las tasas</w:t>
      </w:r>
      <w:r>
        <w:rPr>
          <w:color w:val="231F20"/>
          <w:spacing w:val="-10"/>
          <w:w w:val="110"/>
        </w:rPr>
        <w:t> </w:t>
      </w:r>
      <w:r>
        <w:rPr>
          <w:color w:val="231F20"/>
          <w:w w:val="110"/>
        </w:rPr>
        <w:t>de</w:t>
      </w:r>
      <w:r>
        <w:rPr>
          <w:color w:val="231F20"/>
          <w:spacing w:val="-10"/>
          <w:w w:val="110"/>
        </w:rPr>
        <w:t> </w:t>
      </w:r>
      <w:r>
        <w:rPr>
          <w:color w:val="231F20"/>
          <w:w w:val="110"/>
        </w:rPr>
        <w:t>interés</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bonos</w:t>
      </w:r>
      <w:r>
        <w:rPr>
          <w:color w:val="231F20"/>
          <w:spacing w:val="-10"/>
          <w:w w:val="110"/>
        </w:rPr>
        <w:t> </w:t>
      </w:r>
      <w:r>
        <w:rPr>
          <w:color w:val="231F20"/>
          <w:w w:val="110"/>
        </w:rPr>
        <w:t>del</w:t>
      </w:r>
      <w:r>
        <w:rPr>
          <w:color w:val="231F20"/>
          <w:spacing w:val="-10"/>
          <w:w w:val="110"/>
        </w:rPr>
        <w:t> </w:t>
      </w:r>
      <w:r>
        <w:rPr>
          <w:color w:val="231F20"/>
          <w:spacing w:val="-4"/>
          <w:w w:val="110"/>
        </w:rPr>
        <w:t>Tesoro</w:t>
      </w:r>
      <w:r>
        <w:rPr>
          <w:color w:val="231F20"/>
          <w:spacing w:val="-10"/>
          <w:w w:val="110"/>
        </w:rPr>
        <w:t> </w:t>
      </w:r>
      <w:r>
        <w:rPr>
          <w:color w:val="231F20"/>
          <w:w w:val="110"/>
        </w:rPr>
        <w:t>han</w:t>
      </w:r>
      <w:r>
        <w:rPr>
          <w:color w:val="231F20"/>
          <w:spacing w:val="-10"/>
          <w:w w:val="110"/>
        </w:rPr>
        <w:t> </w:t>
      </w:r>
      <w:r>
        <w:rPr>
          <w:color w:val="231F20"/>
          <w:w w:val="110"/>
        </w:rPr>
        <w:t>aumentado</w:t>
      </w:r>
      <w:r>
        <w:rPr>
          <w:color w:val="231F20"/>
          <w:spacing w:val="-10"/>
          <w:w w:val="110"/>
        </w:rPr>
        <w:t> </w:t>
      </w:r>
      <w:r>
        <w:rPr>
          <w:color w:val="231F20"/>
          <w:w w:val="110"/>
        </w:rPr>
        <w:t>como</w:t>
      </w:r>
      <w:r>
        <w:rPr>
          <w:color w:val="231F20"/>
          <w:spacing w:val="-10"/>
          <w:w w:val="110"/>
        </w:rPr>
        <w:t> </w:t>
      </w:r>
      <w:r>
        <w:rPr>
          <w:color w:val="231F20"/>
          <w:w w:val="110"/>
        </w:rPr>
        <w:t>el</w:t>
      </w:r>
      <w:r>
        <w:rPr>
          <w:color w:val="231F20"/>
          <w:spacing w:val="-10"/>
          <w:w w:val="110"/>
        </w:rPr>
        <w:t> </w:t>
      </w:r>
      <w:r>
        <w:rPr>
          <w:color w:val="231F20"/>
          <w:w w:val="110"/>
        </w:rPr>
        <w:t>dólar ha retornado a su tendencia de largo plazo hacia la depreciación. Por el otro, el hecho de que hasta el día de hoy países como Japón   o</w:t>
      </w:r>
      <w:r>
        <w:rPr>
          <w:color w:val="231F20"/>
          <w:spacing w:val="-5"/>
          <w:w w:val="110"/>
        </w:rPr>
        <w:t> </w:t>
      </w:r>
      <w:r>
        <w:rPr>
          <w:color w:val="231F20"/>
          <w:w w:val="110"/>
        </w:rPr>
        <w:t>China</w:t>
      </w:r>
      <w:r>
        <w:rPr>
          <w:color w:val="231F20"/>
          <w:spacing w:val="-5"/>
          <w:w w:val="110"/>
        </w:rPr>
        <w:t> </w:t>
      </w:r>
      <w:r>
        <w:rPr>
          <w:color w:val="231F20"/>
          <w:w w:val="110"/>
        </w:rPr>
        <w:t>han</w:t>
      </w:r>
      <w:r>
        <w:rPr>
          <w:color w:val="231F20"/>
          <w:spacing w:val="-5"/>
          <w:w w:val="110"/>
        </w:rPr>
        <w:t> </w:t>
      </w:r>
      <w:r>
        <w:rPr>
          <w:color w:val="231F20"/>
          <w:w w:val="110"/>
        </w:rPr>
        <w:t>estado</w:t>
      </w:r>
      <w:r>
        <w:rPr>
          <w:color w:val="231F20"/>
          <w:spacing w:val="-5"/>
          <w:w w:val="110"/>
        </w:rPr>
        <w:t> </w:t>
      </w:r>
      <w:r>
        <w:rPr>
          <w:color w:val="231F20"/>
          <w:w w:val="110"/>
        </w:rPr>
        <w:t>dispuestos</w:t>
      </w:r>
      <w:r>
        <w:rPr>
          <w:color w:val="231F20"/>
          <w:spacing w:val="-5"/>
          <w:w w:val="110"/>
        </w:rPr>
        <w:t> </w:t>
      </w:r>
      <w:r>
        <w:rPr>
          <w:color w:val="231F20"/>
          <w:w w:val="110"/>
        </w:rPr>
        <w:t>a</w:t>
      </w:r>
      <w:r>
        <w:rPr>
          <w:color w:val="231F20"/>
          <w:spacing w:val="-5"/>
          <w:w w:val="110"/>
        </w:rPr>
        <w:t> </w:t>
      </w:r>
      <w:r>
        <w:rPr>
          <w:color w:val="231F20"/>
          <w:w w:val="110"/>
        </w:rPr>
        <w:t>financiar</w:t>
      </w:r>
      <w:r>
        <w:rPr>
          <w:color w:val="231F20"/>
          <w:spacing w:val="-5"/>
          <w:w w:val="110"/>
        </w:rPr>
        <w:t> </w:t>
      </w:r>
      <w:r>
        <w:rPr>
          <w:color w:val="231F20"/>
          <w:w w:val="110"/>
        </w:rPr>
        <w:t>el</w:t>
      </w:r>
      <w:r>
        <w:rPr>
          <w:color w:val="231F20"/>
          <w:spacing w:val="-5"/>
          <w:w w:val="110"/>
        </w:rPr>
        <w:t> </w:t>
      </w:r>
      <w:r>
        <w:rPr>
          <w:color w:val="231F20"/>
          <w:w w:val="110"/>
        </w:rPr>
        <w:t>déficit</w:t>
      </w:r>
      <w:r>
        <w:rPr>
          <w:color w:val="231F20"/>
          <w:spacing w:val="-5"/>
          <w:w w:val="110"/>
        </w:rPr>
        <w:t> </w:t>
      </w:r>
      <w:r>
        <w:rPr>
          <w:color w:val="231F20"/>
          <w:w w:val="110"/>
        </w:rPr>
        <w:t>estadunidense</w:t>
      </w:r>
      <w:r>
        <w:rPr>
          <w:color w:val="231F20"/>
          <w:spacing w:val="-5"/>
          <w:w w:val="110"/>
        </w:rPr>
        <w:t> </w:t>
      </w:r>
      <w:r>
        <w:rPr>
          <w:color w:val="231F20"/>
          <w:w w:val="110"/>
        </w:rPr>
        <w:t>no implica que dicha voluntad persista en el </w:t>
      </w:r>
      <w:r>
        <w:rPr>
          <w:color w:val="231F20"/>
          <w:spacing w:val="12"/>
          <w:w w:val="110"/>
        </w:rPr>
        <w:t> </w:t>
      </w:r>
      <w:r>
        <w:rPr>
          <w:color w:val="231F20"/>
          <w:w w:val="110"/>
        </w:rPr>
        <w:t>futuro.</w:t>
      </w:r>
    </w:p>
    <w:p>
      <w:pPr>
        <w:pStyle w:val="BodyText"/>
        <w:rPr>
          <w:sz w:val="19"/>
        </w:rPr>
      </w:pPr>
    </w:p>
    <w:p>
      <w:pPr>
        <w:spacing w:line="290" w:lineRule="auto" w:before="0" w:after="44"/>
        <w:ind w:left="100" w:right="795" w:firstLine="0"/>
        <w:jc w:val="left"/>
        <w:rPr>
          <w:sz w:val="18"/>
        </w:rPr>
      </w:pPr>
      <w:r>
        <w:rPr>
          <w:color w:val="231F20"/>
          <w:w w:val="125"/>
          <w:sz w:val="18"/>
        </w:rPr>
        <w:t>cuadro</w:t>
      </w:r>
      <w:r>
        <w:rPr>
          <w:color w:val="231F20"/>
          <w:spacing w:val="-15"/>
          <w:w w:val="125"/>
          <w:sz w:val="18"/>
        </w:rPr>
        <w:t> </w:t>
      </w:r>
      <w:r>
        <w:rPr>
          <w:color w:val="231F20"/>
          <w:w w:val="125"/>
          <w:sz w:val="18"/>
        </w:rPr>
        <w:t>2.</w:t>
      </w:r>
      <w:r>
        <w:rPr>
          <w:color w:val="231F20"/>
          <w:spacing w:val="-15"/>
          <w:w w:val="125"/>
          <w:sz w:val="18"/>
        </w:rPr>
        <w:t> </w:t>
      </w:r>
      <w:r>
        <w:rPr>
          <w:color w:val="231F20"/>
          <w:w w:val="125"/>
          <w:sz w:val="18"/>
        </w:rPr>
        <w:t>porcentaje</w:t>
      </w:r>
      <w:r>
        <w:rPr>
          <w:color w:val="231F20"/>
          <w:spacing w:val="-15"/>
          <w:w w:val="125"/>
          <w:sz w:val="18"/>
        </w:rPr>
        <w:t> </w:t>
      </w:r>
      <w:r>
        <w:rPr>
          <w:color w:val="231F20"/>
          <w:w w:val="125"/>
          <w:sz w:val="18"/>
        </w:rPr>
        <w:t>de</w:t>
      </w:r>
      <w:r>
        <w:rPr>
          <w:color w:val="231F20"/>
          <w:spacing w:val="-15"/>
          <w:w w:val="125"/>
          <w:sz w:val="18"/>
        </w:rPr>
        <w:t> </w:t>
      </w:r>
      <w:r>
        <w:rPr>
          <w:color w:val="231F20"/>
          <w:w w:val="125"/>
          <w:sz w:val="18"/>
        </w:rPr>
        <w:t>bonos</w:t>
      </w:r>
      <w:r>
        <w:rPr>
          <w:color w:val="231F20"/>
          <w:spacing w:val="-15"/>
          <w:w w:val="125"/>
          <w:sz w:val="18"/>
        </w:rPr>
        <w:t> </w:t>
      </w:r>
      <w:r>
        <w:rPr>
          <w:color w:val="231F20"/>
          <w:w w:val="125"/>
          <w:sz w:val="18"/>
        </w:rPr>
        <w:t>de</w:t>
      </w:r>
      <w:r>
        <w:rPr>
          <w:color w:val="231F20"/>
          <w:spacing w:val="-15"/>
          <w:w w:val="125"/>
          <w:sz w:val="18"/>
        </w:rPr>
        <w:t> </w:t>
      </w:r>
      <w:r>
        <w:rPr>
          <w:color w:val="231F20"/>
          <w:w w:val="125"/>
          <w:sz w:val="18"/>
        </w:rPr>
        <w:t>deuda</w:t>
      </w:r>
      <w:r>
        <w:rPr>
          <w:color w:val="231F20"/>
          <w:spacing w:val="-15"/>
          <w:w w:val="125"/>
          <w:sz w:val="18"/>
        </w:rPr>
        <w:t> </w:t>
      </w:r>
      <w:r>
        <w:rPr>
          <w:color w:val="231F20"/>
          <w:w w:val="125"/>
          <w:sz w:val="18"/>
        </w:rPr>
        <w:t>pública</w:t>
      </w:r>
      <w:r>
        <w:rPr>
          <w:color w:val="231F20"/>
          <w:spacing w:val="-15"/>
          <w:w w:val="125"/>
          <w:sz w:val="18"/>
        </w:rPr>
        <w:t> </w:t>
      </w:r>
      <w:r>
        <w:rPr>
          <w:color w:val="231F20"/>
          <w:w w:val="125"/>
          <w:sz w:val="18"/>
        </w:rPr>
        <w:t>en</w:t>
      </w:r>
      <w:r>
        <w:rPr>
          <w:color w:val="231F20"/>
          <w:spacing w:val="-15"/>
          <w:w w:val="125"/>
          <w:sz w:val="18"/>
        </w:rPr>
        <w:t> </w:t>
      </w:r>
      <w:r>
        <w:rPr>
          <w:color w:val="231F20"/>
          <w:w w:val="125"/>
          <w:sz w:val="18"/>
        </w:rPr>
        <w:t>manos</w:t>
      </w:r>
      <w:r>
        <w:rPr>
          <w:color w:val="231F20"/>
          <w:spacing w:val="-15"/>
          <w:w w:val="125"/>
          <w:sz w:val="18"/>
        </w:rPr>
        <w:t> </w:t>
      </w:r>
      <w:r>
        <w:rPr>
          <w:color w:val="231F20"/>
          <w:w w:val="125"/>
          <w:sz w:val="18"/>
        </w:rPr>
        <w:t>de extranjeros</w:t>
      </w:r>
    </w:p>
    <w:tbl>
      <w:tblPr>
        <w:tblW w:w="0" w:type="auto"/>
        <w:jc w:val="left"/>
        <w:tblInd w:w="11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73"/>
        <w:gridCol w:w="1867"/>
      </w:tblGrid>
      <w:tr>
        <w:trPr>
          <w:trHeight w:val="240" w:hRule="exact"/>
        </w:trPr>
        <w:tc>
          <w:tcPr>
            <w:tcW w:w="1973" w:type="dxa"/>
            <w:tcBorders>
              <w:top w:val="single" w:sz="4" w:space="0" w:color="231F20"/>
              <w:bottom w:val="single" w:sz="4" w:space="0" w:color="231F20"/>
            </w:tcBorders>
          </w:tcPr>
          <w:p>
            <w:pPr>
              <w:pStyle w:val="TableParagraph"/>
              <w:spacing w:before="24"/>
              <w:ind w:left="792" w:right="843"/>
              <w:jc w:val="center"/>
              <w:rPr>
                <w:sz w:val="16"/>
              </w:rPr>
            </w:pPr>
            <w:r>
              <w:rPr>
                <w:color w:val="231F20"/>
                <w:w w:val="115"/>
                <w:sz w:val="16"/>
              </w:rPr>
              <w:t>país</w:t>
            </w:r>
          </w:p>
        </w:tc>
        <w:tc>
          <w:tcPr>
            <w:tcW w:w="1867" w:type="dxa"/>
            <w:tcBorders>
              <w:top w:val="single" w:sz="4" w:space="0" w:color="231F20"/>
              <w:bottom w:val="single" w:sz="4" w:space="0" w:color="231F20"/>
            </w:tcBorders>
          </w:tcPr>
          <w:p>
            <w:pPr>
              <w:pStyle w:val="TableParagraph"/>
              <w:spacing w:before="24"/>
              <w:ind w:right="51"/>
              <w:jc w:val="center"/>
              <w:rPr>
                <w:sz w:val="16"/>
              </w:rPr>
            </w:pPr>
            <w:r>
              <w:rPr>
                <w:color w:val="231F20"/>
                <w:w w:val="108"/>
                <w:sz w:val="16"/>
              </w:rPr>
              <w:t>%</w:t>
            </w:r>
          </w:p>
        </w:tc>
      </w:tr>
      <w:tr>
        <w:trPr>
          <w:trHeight w:val="277" w:hRule="exact"/>
        </w:trPr>
        <w:tc>
          <w:tcPr>
            <w:tcW w:w="1973" w:type="dxa"/>
            <w:tcBorders>
              <w:top w:val="single" w:sz="4" w:space="0" w:color="231F20"/>
            </w:tcBorders>
          </w:tcPr>
          <w:p>
            <w:pPr>
              <w:pStyle w:val="TableParagraph"/>
              <w:spacing w:before="45"/>
              <w:ind w:left="120"/>
              <w:rPr>
                <w:sz w:val="16"/>
              </w:rPr>
            </w:pPr>
            <w:r>
              <w:rPr>
                <w:color w:val="231F20"/>
                <w:w w:val="105"/>
                <w:sz w:val="16"/>
              </w:rPr>
              <w:t>Estados Unidos</w:t>
            </w:r>
          </w:p>
        </w:tc>
        <w:tc>
          <w:tcPr>
            <w:tcW w:w="1867" w:type="dxa"/>
            <w:tcBorders>
              <w:top w:val="single" w:sz="4" w:space="0" w:color="231F20"/>
            </w:tcBorders>
          </w:tcPr>
          <w:p>
            <w:pPr>
              <w:pStyle w:val="TableParagraph"/>
              <w:spacing w:before="45"/>
              <w:ind w:left="760" w:right="771"/>
              <w:jc w:val="center"/>
              <w:rPr>
                <w:sz w:val="16"/>
              </w:rPr>
            </w:pPr>
            <w:r>
              <w:rPr>
                <w:color w:val="231F20"/>
                <w:w w:val="105"/>
                <w:sz w:val="16"/>
              </w:rPr>
              <w:t>61.1</w:t>
            </w:r>
          </w:p>
        </w:tc>
      </w:tr>
      <w:tr>
        <w:trPr>
          <w:trHeight w:val="240" w:hRule="exact"/>
        </w:trPr>
        <w:tc>
          <w:tcPr>
            <w:tcW w:w="1973" w:type="dxa"/>
          </w:tcPr>
          <w:p>
            <w:pPr>
              <w:pStyle w:val="TableParagraph"/>
              <w:spacing w:before="13"/>
              <w:ind w:left="120"/>
              <w:rPr>
                <w:sz w:val="16"/>
              </w:rPr>
            </w:pPr>
            <w:r>
              <w:rPr>
                <w:color w:val="231F20"/>
                <w:w w:val="110"/>
                <w:sz w:val="16"/>
              </w:rPr>
              <w:t>Japón</w:t>
            </w:r>
          </w:p>
        </w:tc>
        <w:tc>
          <w:tcPr>
            <w:tcW w:w="1867" w:type="dxa"/>
          </w:tcPr>
          <w:p>
            <w:pPr>
              <w:pStyle w:val="TableParagraph"/>
              <w:spacing w:before="13"/>
              <w:ind w:left="760" w:right="694"/>
              <w:jc w:val="center"/>
              <w:rPr>
                <w:sz w:val="16"/>
              </w:rPr>
            </w:pPr>
            <w:r>
              <w:rPr>
                <w:color w:val="231F20"/>
                <w:w w:val="105"/>
                <w:sz w:val="16"/>
              </w:rPr>
              <w:t>6.6</w:t>
            </w:r>
          </w:p>
        </w:tc>
      </w:tr>
      <w:tr>
        <w:trPr>
          <w:trHeight w:val="240" w:hRule="exact"/>
        </w:trPr>
        <w:tc>
          <w:tcPr>
            <w:tcW w:w="1973" w:type="dxa"/>
          </w:tcPr>
          <w:p>
            <w:pPr>
              <w:pStyle w:val="TableParagraph"/>
              <w:spacing w:before="13"/>
              <w:ind w:left="120"/>
              <w:rPr>
                <w:sz w:val="16"/>
              </w:rPr>
            </w:pPr>
            <w:r>
              <w:rPr>
                <w:color w:val="231F20"/>
                <w:w w:val="105"/>
                <w:sz w:val="16"/>
              </w:rPr>
              <w:t>Alemania</w:t>
            </w:r>
          </w:p>
        </w:tc>
        <w:tc>
          <w:tcPr>
            <w:tcW w:w="1867" w:type="dxa"/>
          </w:tcPr>
          <w:p>
            <w:pPr>
              <w:pStyle w:val="TableParagraph"/>
              <w:spacing w:before="13"/>
              <w:ind w:left="760" w:right="771"/>
              <w:jc w:val="center"/>
              <w:rPr>
                <w:sz w:val="16"/>
              </w:rPr>
            </w:pPr>
            <w:r>
              <w:rPr>
                <w:color w:val="231F20"/>
                <w:w w:val="105"/>
                <w:sz w:val="16"/>
              </w:rPr>
              <w:t>55.3</w:t>
            </w:r>
          </w:p>
        </w:tc>
      </w:tr>
      <w:tr>
        <w:trPr>
          <w:trHeight w:val="240" w:hRule="exact"/>
        </w:trPr>
        <w:tc>
          <w:tcPr>
            <w:tcW w:w="1973" w:type="dxa"/>
          </w:tcPr>
          <w:p>
            <w:pPr>
              <w:pStyle w:val="TableParagraph"/>
              <w:spacing w:before="13"/>
              <w:ind w:left="120"/>
              <w:rPr>
                <w:sz w:val="16"/>
              </w:rPr>
            </w:pPr>
            <w:r>
              <w:rPr>
                <w:color w:val="231F20"/>
                <w:w w:val="110"/>
                <w:sz w:val="16"/>
              </w:rPr>
              <w:t>Francia</w:t>
            </w:r>
          </w:p>
        </w:tc>
        <w:tc>
          <w:tcPr>
            <w:tcW w:w="1867" w:type="dxa"/>
          </w:tcPr>
          <w:p>
            <w:pPr>
              <w:pStyle w:val="TableParagraph"/>
              <w:spacing w:before="13"/>
              <w:ind w:left="760" w:right="771"/>
              <w:jc w:val="center"/>
              <w:rPr>
                <w:sz w:val="16"/>
              </w:rPr>
            </w:pPr>
            <w:r>
              <w:rPr>
                <w:color w:val="231F20"/>
                <w:w w:val="105"/>
                <w:sz w:val="16"/>
              </w:rPr>
              <w:t>65.7</w:t>
            </w:r>
          </w:p>
        </w:tc>
      </w:tr>
      <w:tr>
        <w:trPr>
          <w:trHeight w:val="240" w:hRule="exact"/>
        </w:trPr>
        <w:tc>
          <w:tcPr>
            <w:tcW w:w="1973" w:type="dxa"/>
          </w:tcPr>
          <w:p>
            <w:pPr>
              <w:pStyle w:val="TableParagraph"/>
              <w:spacing w:before="13"/>
              <w:ind w:left="120"/>
              <w:rPr>
                <w:sz w:val="16"/>
              </w:rPr>
            </w:pPr>
            <w:r>
              <w:rPr>
                <w:color w:val="231F20"/>
                <w:w w:val="105"/>
                <w:sz w:val="16"/>
              </w:rPr>
              <w:t>Italia</w:t>
            </w:r>
          </w:p>
        </w:tc>
        <w:tc>
          <w:tcPr>
            <w:tcW w:w="1867" w:type="dxa"/>
          </w:tcPr>
          <w:p>
            <w:pPr>
              <w:pStyle w:val="TableParagraph"/>
              <w:spacing w:before="13"/>
              <w:ind w:left="760" w:right="771"/>
              <w:jc w:val="center"/>
              <w:rPr>
                <w:sz w:val="16"/>
              </w:rPr>
            </w:pPr>
            <w:r>
              <w:rPr>
                <w:color w:val="231F20"/>
                <w:w w:val="105"/>
                <w:sz w:val="16"/>
              </w:rPr>
              <w:t>54.0</w:t>
            </w:r>
          </w:p>
        </w:tc>
      </w:tr>
      <w:tr>
        <w:trPr>
          <w:trHeight w:val="240" w:hRule="exact"/>
        </w:trPr>
        <w:tc>
          <w:tcPr>
            <w:tcW w:w="1973" w:type="dxa"/>
          </w:tcPr>
          <w:p>
            <w:pPr>
              <w:pStyle w:val="TableParagraph"/>
              <w:spacing w:before="13"/>
              <w:ind w:left="120"/>
              <w:rPr>
                <w:sz w:val="16"/>
              </w:rPr>
            </w:pPr>
            <w:r>
              <w:rPr>
                <w:color w:val="231F20"/>
                <w:w w:val="110"/>
                <w:sz w:val="16"/>
              </w:rPr>
              <w:t>Reino Unido</w:t>
            </w:r>
          </w:p>
        </w:tc>
        <w:tc>
          <w:tcPr>
            <w:tcW w:w="1867" w:type="dxa"/>
          </w:tcPr>
          <w:p>
            <w:pPr>
              <w:pStyle w:val="TableParagraph"/>
              <w:spacing w:before="13"/>
              <w:ind w:left="760" w:right="771"/>
              <w:jc w:val="center"/>
              <w:rPr>
                <w:sz w:val="16"/>
              </w:rPr>
            </w:pPr>
            <w:r>
              <w:rPr>
                <w:color w:val="231F20"/>
                <w:w w:val="105"/>
                <w:sz w:val="16"/>
              </w:rPr>
              <w:t>36.3</w:t>
            </w:r>
          </w:p>
        </w:tc>
      </w:tr>
      <w:tr>
        <w:trPr>
          <w:trHeight w:val="203" w:hRule="exact"/>
        </w:trPr>
        <w:tc>
          <w:tcPr>
            <w:tcW w:w="1973" w:type="dxa"/>
            <w:tcBorders>
              <w:bottom w:val="single" w:sz="4" w:space="0" w:color="231F20"/>
            </w:tcBorders>
          </w:tcPr>
          <w:p>
            <w:pPr>
              <w:pStyle w:val="TableParagraph"/>
              <w:spacing w:before="13"/>
              <w:ind w:left="120"/>
              <w:rPr>
                <w:sz w:val="16"/>
              </w:rPr>
            </w:pPr>
            <w:r>
              <w:rPr>
                <w:color w:val="231F20"/>
                <w:w w:val="110"/>
                <w:sz w:val="16"/>
              </w:rPr>
              <w:t>Canadá</w:t>
            </w:r>
          </w:p>
        </w:tc>
        <w:tc>
          <w:tcPr>
            <w:tcW w:w="1867" w:type="dxa"/>
            <w:tcBorders>
              <w:bottom w:val="single" w:sz="4" w:space="0" w:color="231F20"/>
            </w:tcBorders>
          </w:tcPr>
          <w:p>
            <w:pPr>
              <w:pStyle w:val="TableParagraph"/>
              <w:spacing w:before="13"/>
              <w:ind w:left="760" w:right="771"/>
              <w:jc w:val="center"/>
              <w:rPr>
                <w:sz w:val="16"/>
              </w:rPr>
            </w:pPr>
            <w:r>
              <w:rPr>
                <w:color w:val="231F20"/>
                <w:w w:val="105"/>
                <w:sz w:val="16"/>
              </w:rPr>
              <w:t>14.0</w:t>
            </w:r>
          </w:p>
        </w:tc>
      </w:tr>
    </w:tbl>
    <w:p>
      <w:pPr>
        <w:spacing w:before="73"/>
        <w:ind w:left="100" w:right="25" w:firstLine="0"/>
        <w:jc w:val="left"/>
        <w:rPr>
          <w:sz w:val="18"/>
        </w:rPr>
      </w:pPr>
      <w:r>
        <w:rPr>
          <w:rFonts w:ascii="Calibri"/>
          <w:color w:val="231F20"/>
          <w:w w:val="115"/>
          <w:sz w:val="18"/>
        </w:rPr>
        <w:t>fuente: </w:t>
      </w:r>
      <w:r>
        <w:rPr>
          <w:color w:val="231F20"/>
          <w:w w:val="115"/>
          <w:sz w:val="18"/>
        </w:rPr>
        <w:t>hsbc, 2009.</w:t>
      </w:r>
    </w:p>
    <w:p>
      <w:pPr>
        <w:pStyle w:val="BodyText"/>
        <w:rPr>
          <w:sz w:val="23"/>
        </w:rPr>
      </w:pPr>
    </w:p>
    <w:p>
      <w:pPr>
        <w:pStyle w:val="BodyText"/>
        <w:spacing w:line="261" w:lineRule="auto"/>
        <w:ind w:left="100" w:right="117" w:firstLine="240"/>
        <w:jc w:val="both"/>
      </w:pPr>
      <w:r>
        <w:rPr>
          <w:color w:val="231F20"/>
          <w:spacing w:val="-3"/>
          <w:w w:val="110"/>
        </w:rPr>
        <w:t>Teniendo </w:t>
      </w:r>
      <w:r>
        <w:rPr>
          <w:color w:val="231F20"/>
          <w:w w:val="110"/>
        </w:rPr>
        <w:t>en cuenta el alto porcentaje de bonos del </w:t>
      </w:r>
      <w:r>
        <w:rPr>
          <w:color w:val="231F20"/>
          <w:spacing w:val="-4"/>
          <w:w w:val="110"/>
        </w:rPr>
        <w:t>Tesoro </w:t>
      </w:r>
      <w:r>
        <w:rPr>
          <w:color w:val="231F20"/>
          <w:w w:val="110"/>
        </w:rPr>
        <w:t>de Es- 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manos</w:t>
      </w:r>
      <w:r>
        <w:rPr>
          <w:color w:val="231F20"/>
          <w:spacing w:val="-6"/>
          <w:w w:val="110"/>
        </w:rPr>
        <w:t> </w:t>
      </w:r>
      <w:r>
        <w:rPr>
          <w:color w:val="231F20"/>
          <w:w w:val="110"/>
        </w:rPr>
        <w:t>de</w:t>
      </w:r>
      <w:r>
        <w:rPr>
          <w:color w:val="231F20"/>
          <w:spacing w:val="-6"/>
          <w:w w:val="110"/>
        </w:rPr>
        <w:t> </w:t>
      </w:r>
      <w:r>
        <w:rPr>
          <w:color w:val="231F20"/>
          <w:w w:val="110"/>
        </w:rPr>
        <w:t>extranjeros,</w:t>
      </w:r>
      <w:r>
        <w:rPr>
          <w:color w:val="231F20"/>
          <w:spacing w:val="-6"/>
          <w:w w:val="110"/>
        </w:rPr>
        <w:t> </w:t>
      </w:r>
      <w:r>
        <w:rPr>
          <w:color w:val="231F20"/>
          <w:w w:val="110"/>
        </w:rPr>
        <w:t>como</w:t>
      </w:r>
      <w:r>
        <w:rPr>
          <w:color w:val="231F20"/>
          <w:spacing w:val="-6"/>
          <w:w w:val="110"/>
        </w:rPr>
        <w:t> </w:t>
      </w:r>
      <w:r>
        <w:rPr>
          <w:color w:val="231F20"/>
          <w:w w:val="110"/>
        </w:rPr>
        <w:t>se</w:t>
      </w:r>
      <w:r>
        <w:rPr>
          <w:color w:val="231F20"/>
          <w:spacing w:val="-6"/>
          <w:w w:val="110"/>
        </w:rPr>
        <w:t> </w:t>
      </w:r>
      <w:r>
        <w:rPr>
          <w:color w:val="231F20"/>
          <w:w w:val="110"/>
        </w:rPr>
        <w:t>muestra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cuadro 2,</w:t>
      </w:r>
      <w:r>
        <w:rPr>
          <w:color w:val="231F20"/>
          <w:spacing w:val="-5"/>
          <w:w w:val="110"/>
        </w:rPr>
        <w:t> </w:t>
      </w:r>
      <w:r>
        <w:rPr>
          <w:color w:val="231F20"/>
          <w:w w:val="110"/>
        </w:rPr>
        <w:t>parecería</w:t>
      </w:r>
      <w:r>
        <w:rPr>
          <w:color w:val="231F20"/>
          <w:spacing w:val="-5"/>
          <w:w w:val="110"/>
        </w:rPr>
        <w:t> </w:t>
      </w:r>
      <w:r>
        <w:rPr>
          <w:color w:val="231F20"/>
          <w:w w:val="110"/>
        </w:rPr>
        <w:t>claro</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buena</w:t>
      </w:r>
      <w:r>
        <w:rPr>
          <w:color w:val="231F20"/>
          <w:spacing w:val="-5"/>
          <w:w w:val="110"/>
        </w:rPr>
        <w:t> </w:t>
      </w:r>
      <w:r>
        <w:rPr>
          <w:color w:val="231F20"/>
          <w:w w:val="110"/>
        </w:rPr>
        <w:t>voluntad</w:t>
      </w:r>
      <w:r>
        <w:rPr>
          <w:color w:val="231F20"/>
          <w:spacing w:val="-5"/>
          <w:w w:val="110"/>
        </w:rPr>
        <w:t> </w:t>
      </w:r>
      <w:r>
        <w:rPr>
          <w:color w:val="231F20"/>
          <w:w w:val="110"/>
        </w:rPr>
        <w:t>tanto</w:t>
      </w:r>
      <w:r>
        <w:rPr>
          <w:color w:val="231F20"/>
          <w:spacing w:val="-5"/>
          <w:w w:val="110"/>
        </w:rPr>
        <w:t> </w:t>
      </w:r>
      <w:r>
        <w:rPr>
          <w:color w:val="231F20"/>
          <w:w w:val="110"/>
        </w:rPr>
        <w:t>de</w:t>
      </w:r>
      <w:r>
        <w:rPr>
          <w:color w:val="231F20"/>
          <w:spacing w:val="-5"/>
          <w:w w:val="110"/>
        </w:rPr>
        <w:t> </w:t>
      </w:r>
      <w:r>
        <w:rPr>
          <w:color w:val="231F20"/>
          <w:w w:val="110"/>
        </w:rPr>
        <w:t>inversores</w:t>
      </w:r>
      <w:r>
        <w:rPr>
          <w:color w:val="231F20"/>
          <w:spacing w:val="-5"/>
          <w:w w:val="110"/>
        </w:rPr>
        <w:t> </w:t>
      </w:r>
      <w:r>
        <w:rPr>
          <w:color w:val="231F20"/>
          <w:w w:val="110"/>
        </w:rPr>
        <w:t>privados como de bancos centrales extranjeros representa un elemento clave de cara al futuro a la hora de financiar el creciente déficit fiscal es- tadunidense. Más importante aún, dada la alta participación de estos bonos en los portafolios de los principales bancos centrales, es que existen pocos incentivos para seguir incrementando su exposición a esta moneda, tal y como ya lo han dejado entrever funcionarios de diversos países tales como China, Rusia o Brasil durante los</w:t>
      </w:r>
      <w:r>
        <w:rPr>
          <w:color w:val="231F20"/>
          <w:spacing w:val="-10"/>
          <w:w w:val="110"/>
        </w:rPr>
        <w:t> </w:t>
      </w:r>
      <w:r>
        <w:rPr>
          <w:color w:val="231F20"/>
          <w:w w:val="110"/>
        </w:rPr>
        <w:t>últimos meses.</w:t>
      </w:r>
    </w:p>
    <w:p>
      <w:pPr>
        <w:pStyle w:val="BodyText"/>
        <w:spacing w:line="261" w:lineRule="auto"/>
        <w:ind w:left="100" w:right="117" w:firstLine="240"/>
        <w:jc w:val="both"/>
      </w:pPr>
      <w:r>
        <w:rPr>
          <w:color w:val="231F20"/>
          <w:w w:val="105"/>
        </w:rPr>
        <w:t>A pesar de este oscuro panorama, existen elementos que permiten vislumbrar un escenario en el cual Estados Unidos podrá expandir      su déficit fiscal para el próximo decenio sin que esto implique ni un alza</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tasas</w:t>
      </w:r>
      <w:r>
        <w:rPr>
          <w:color w:val="231F20"/>
          <w:spacing w:val="16"/>
          <w:w w:val="105"/>
        </w:rPr>
        <w:t> </w:t>
      </w:r>
      <w:r>
        <w:rPr>
          <w:color w:val="231F20"/>
          <w:w w:val="105"/>
        </w:rPr>
        <w:t>de</w:t>
      </w:r>
      <w:r>
        <w:rPr>
          <w:color w:val="231F20"/>
          <w:spacing w:val="16"/>
          <w:w w:val="105"/>
        </w:rPr>
        <w:t> </w:t>
      </w:r>
      <w:r>
        <w:rPr>
          <w:color w:val="231F20"/>
          <w:w w:val="105"/>
        </w:rPr>
        <w:t>interés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bonos</w:t>
      </w:r>
      <w:r>
        <w:rPr>
          <w:color w:val="231F20"/>
          <w:spacing w:val="16"/>
          <w:w w:val="105"/>
        </w:rPr>
        <w:t> </w:t>
      </w:r>
      <w:r>
        <w:rPr>
          <w:color w:val="231F20"/>
          <w:w w:val="105"/>
        </w:rPr>
        <w:t>del</w:t>
      </w:r>
      <w:r>
        <w:rPr>
          <w:color w:val="231F20"/>
          <w:spacing w:val="16"/>
          <w:w w:val="105"/>
        </w:rPr>
        <w:t> </w:t>
      </w:r>
      <w:r>
        <w:rPr>
          <w:color w:val="231F20"/>
          <w:spacing w:val="-4"/>
          <w:w w:val="105"/>
        </w:rPr>
        <w:t>Tesoro</w:t>
      </w:r>
      <w:r>
        <w:rPr>
          <w:color w:val="231F20"/>
          <w:spacing w:val="16"/>
          <w:w w:val="105"/>
        </w:rPr>
        <w:t> </w:t>
      </w:r>
      <w:r>
        <w:rPr>
          <w:color w:val="231F20"/>
          <w:w w:val="105"/>
        </w:rPr>
        <w:t>ni</w:t>
      </w:r>
      <w:r>
        <w:rPr>
          <w:color w:val="231F20"/>
          <w:spacing w:val="16"/>
          <w:w w:val="105"/>
        </w:rPr>
        <w:t> </w:t>
      </w:r>
      <w:r>
        <w:rPr>
          <w:color w:val="231F20"/>
          <w:w w:val="105"/>
        </w:rPr>
        <w:t>un</w:t>
      </w:r>
      <w:r>
        <w:rPr>
          <w:color w:val="231F20"/>
          <w:spacing w:val="16"/>
          <w:w w:val="105"/>
        </w:rPr>
        <w:t> </w:t>
      </w:r>
      <w:r>
        <w:rPr>
          <w:color w:val="231F20"/>
          <w:w w:val="105"/>
        </w:rPr>
        <w:t>masivo</w:t>
      </w:r>
      <w:r>
        <w:rPr>
          <w:color w:val="231F20"/>
          <w:spacing w:val="16"/>
          <w:w w:val="105"/>
        </w:rPr>
        <w:t> </w:t>
      </w:r>
      <w:r>
        <w:rPr>
          <w:color w:val="231F20"/>
          <w:w w:val="105"/>
        </w:rPr>
        <w:t>bro-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te inflacionario. Para entender esta aparente paradoja, es necesario analizar lo que sucedió en Japón en el periodo posterior al colapso de la burbuja financiera de finales de los años  ochenta.</w:t>
      </w:r>
    </w:p>
    <w:p>
      <w:pPr>
        <w:pStyle w:val="BodyText"/>
      </w:pPr>
    </w:p>
    <w:p>
      <w:pPr>
        <w:pStyle w:val="BodyText"/>
      </w:pPr>
    </w:p>
    <w:p>
      <w:pPr>
        <w:pStyle w:val="BodyText"/>
        <w:spacing w:before="2"/>
        <w:rPr>
          <w:sz w:val="25"/>
        </w:rPr>
      </w:pPr>
    </w:p>
    <w:p>
      <w:pPr>
        <w:pStyle w:val="BodyText"/>
        <w:ind w:left="100"/>
        <w:jc w:val="both"/>
      </w:pPr>
      <w:r>
        <w:rPr>
          <w:color w:val="231F20"/>
          <w:w w:val="130"/>
        </w:rPr>
        <w:t>la historia reciente de japón</w:t>
      </w:r>
    </w:p>
    <w:p>
      <w:pPr>
        <w:pStyle w:val="BodyText"/>
      </w:pPr>
    </w:p>
    <w:p>
      <w:pPr>
        <w:pStyle w:val="BodyText"/>
        <w:spacing w:before="9"/>
        <w:rPr>
          <w:sz w:val="26"/>
        </w:rPr>
      </w:pPr>
    </w:p>
    <w:p>
      <w:pPr>
        <w:spacing w:line="288" w:lineRule="auto" w:before="0"/>
        <w:ind w:left="100" w:right="117" w:firstLine="0"/>
        <w:jc w:val="both"/>
        <w:rPr>
          <w:sz w:val="13"/>
        </w:rPr>
      </w:pPr>
      <w:r>
        <w:rPr>
          <w:color w:val="231F20"/>
          <w:w w:val="110"/>
          <w:sz w:val="18"/>
        </w:rPr>
        <w:t>Miremos en retrospectiva hacia los orígenes y deflación de la burbuja</w:t>
      </w:r>
      <w:r>
        <w:rPr>
          <w:color w:val="231F20"/>
          <w:spacing w:val="-16"/>
          <w:w w:val="110"/>
          <w:sz w:val="18"/>
        </w:rPr>
        <w:t> </w:t>
      </w:r>
      <w:r>
        <w:rPr>
          <w:color w:val="231F20"/>
          <w:w w:val="110"/>
          <w:sz w:val="18"/>
        </w:rPr>
        <w:t>desde el punto de vista del sector financiero. En una etapa caracterizada por un proceso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liberalización</w:t>
      </w:r>
      <w:r>
        <w:rPr>
          <w:color w:val="231F20"/>
          <w:spacing w:val="-10"/>
          <w:w w:val="110"/>
          <w:sz w:val="18"/>
        </w:rPr>
        <w:t> </w:t>
      </w:r>
      <w:r>
        <w:rPr>
          <w:color w:val="231F20"/>
          <w:w w:val="110"/>
          <w:sz w:val="18"/>
        </w:rPr>
        <w:t>financiera,</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financiamiento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las</w:t>
      </w:r>
      <w:r>
        <w:rPr>
          <w:color w:val="231F20"/>
          <w:spacing w:val="-10"/>
          <w:w w:val="110"/>
          <w:sz w:val="18"/>
        </w:rPr>
        <w:t> </w:t>
      </w:r>
      <w:r>
        <w:rPr>
          <w:color w:val="231F20"/>
          <w:w w:val="110"/>
          <w:sz w:val="18"/>
        </w:rPr>
        <w:t>firmas</w:t>
      </w:r>
      <w:r>
        <w:rPr>
          <w:color w:val="231F20"/>
          <w:spacing w:val="-10"/>
          <w:w w:val="110"/>
          <w:sz w:val="18"/>
        </w:rPr>
        <w:t> </w:t>
      </w:r>
      <w:r>
        <w:rPr>
          <w:color w:val="231F20"/>
          <w:w w:val="110"/>
          <w:sz w:val="18"/>
        </w:rPr>
        <w:t>fue</w:t>
      </w:r>
      <w:r>
        <w:rPr>
          <w:color w:val="231F20"/>
          <w:spacing w:val="-10"/>
          <w:w w:val="110"/>
          <w:sz w:val="18"/>
        </w:rPr>
        <w:t> </w:t>
      </w:r>
      <w:r>
        <w:rPr>
          <w:color w:val="231F20"/>
          <w:w w:val="110"/>
          <w:sz w:val="18"/>
        </w:rPr>
        <w:t>rápi- damente liberalizado […] como lo demuestra el cambio de un esquema de financiamiento basado en los bancos a un esquema basado en los mercados financieros</w:t>
      </w:r>
      <w:r>
        <w:rPr>
          <w:color w:val="231F20"/>
          <w:spacing w:val="-13"/>
          <w:w w:val="110"/>
          <w:sz w:val="18"/>
        </w:rPr>
        <w:t> </w:t>
      </w:r>
      <w:r>
        <w:rPr>
          <w:color w:val="231F20"/>
          <w:w w:val="110"/>
          <w:sz w:val="18"/>
        </w:rPr>
        <w:t>[…]</w:t>
      </w:r>
      <w:r>
        <w:rPr>
          <w:color w:val="231F20"/>
          <w:spacing w:val="-13"/>
          <w:w w:val="110"/>
          <w:sz w:val="18"/>
        </w:rPr>
        <w:t> </w:t>
      </w:r>
      <w:r>
        <w:rPr>
          <w:color w:val="231F20"/>
          <w:w w:val="110"/>
          <w:sz w:val="18"/>
        </w:rPr>
        <w:t>Los</w:t>
      </w:r>
      <w:r>
        <w:rPr>
          <w:color w:val="231F20"/>
          <w:spacing w:val="-13"/>
          <w:w w:val="110"/>
          <w:sz w:val="18"/>
        </w:rPr>
        <w:t> </w:t>
      </w:r>
      <w:r>
        <w:rPr>
          <w:color w:val="231F20"/>
          <w:w w:val="110"/>
          <w:sz w:val="18"/>
        </w:rPr>
        <w:t>bancos</w:t>
      </w:r>
      <w:r>
        <w:rPr>
          <w:color w:val="231F20"/>
          <w:spacing w:val="-13"/>
          <w:w w:val="110"/>
          <w:sz w:val="18"/>
        </w:rPr>
        <w:t> </w:t>
      </w:r>
      <w:r>
        <w:rPr>
          <w:color w:val="231F20"/>
          <w:w w:val="110"/>
          <w:sz w:val="18"/>
        </w:rPr>
        <w:t>se</w:t>
      </w:r>
      <w:r>
        <w:rPr>
          <w:color w:val="231F20"/>
          <w:spacing w:val="-13"/>
          <w:w w:val="110"/>
          <w:sz w:val="18"/>
        </w:rPr>
        <w:t> </w:t>
      </w:r>
      <w:r>
        <w:rPr>
          <w:color w:val="231F20"/>
          <w:w w:val="110"/>
          <w:sz w:val="18"/>
        </w:rPr>
        <w:t>inclinaron</w:t>
      </w:r>
      <w:r>
        <w:rPr>
          <w:color w:val="231F20"/>
          <w:spacing w:val="-13"/>
          <w:w w:val="110"/>
          <w:sz w:val="18"/>
        </w:rPr>
        <w:t> </w:t>
      </w:r>
      <w:r>
        <w:rPr>
          <w:color w:val="231F20"/>
          <w:w w:val="110"/>
          <w:sz w:val="18"/>
        </w:rPr>
        <w:t>a</w:t>
      </w:r>
      <w:r>
        <w:rPr>
          <w:color w:val="231F20"/>
          <w:spacing w:val="-13"/>
          <w:w w:val="110"/>
          <w:sz w:val="18"/>
        </w:rPr>
        <w:t> </w:t>
      </w:r>
      <w:r>
        <w:rPr>
          <w:color w:val="231F20"/>
          <w:w w:val="110"/>
          <w:sz w:val="18"/>
        </w:rPr>
        <w:t>prestar</w:t>
      </w:r>
      <w:r>
        <w:rPr>
          <w:color w:val="231F20"/>
          <w:spacing w:val="-13"/>
          <w:w w:val="110"/>
          <w:sz w:val="18"/>
        </w:rPr>
        <w:t> </w:t>
      </w:r>
      <w:r>
        <w:rPr>
          <w:color w:val="231F20"/>
          <w:w w:val="110"/>
          <w:sz w:val="18"/>
        </w:rPr>
        <w:t>agresivamente</w:t>
      </w:r>
      <w:r>
        <w:rPr>
          <w:color w:val="231F20"/>
          <w:spacing w:val="-13"/>
          <w:w w:val="110"/>
          <w:sz w:val="18"/>
        </w:rPr>
        <w:t> </w:t>
      </w:r>
      <w:r>
        <w:rPr>
          <w:color w:val="231F20"/>
          <w:w w:val="110"/>
          <w:sz w:val="18"/>
        </w:rPr>
        <w:t>a</w:t>
      </w:r>
      <w:r>
        <w:rPr>
          <w:color w:val="231F20"/>
          <w:spacing w:val="-13"/>
          <w:w w:val="110"/>
          <w:sz w:val="18"/>
        </w:rPr>
        <w:t> </w:t>
      </w:r>
      <w:r>
        <w:rPr>
          <w:color w:val="231F20"/>
          <w:w w:val="110"/>
          <w:sz w:val="18"/>
        </w:rPr>
        <w:t>medianas y</w:t>
      </w:r>
      <w:r>
        <w:rPr>
          <w:color w:val="231F20"/>
          <w:spacing w:val="-19"/>
          <w:w w:val="110"/>
          <w:sz w:val="18"/>
        </w:rPr>
        <w:t> </w:t>
      </w:r>
      <w:r>
        <w:rPr>
          <w:color w:val="231F20"/>
          <w:w w:val="110"/>
          <w:sz w:val="18"/>
        </w:rPr>
        <w:t>pequeñas</w:t>
      </w:r>
      <w:r>
        <w:rPr>
          <w:color w:val="231F20"/>
          <w:spacing w:val="-19"/>
          <w:w w:val="110"/>
          <w:sz w:val="18"/>
        </w:rPr>
        <w:t> </w:t>
      </w:r>
      <w:r>
        <w:rPr>
          <w:color w:val="231F20"/>
          <w:w w:val="110"/>
          <w:sz w:val="18"/>
        </w:rPr>
        <w:t>empresas</w:t>
      </w:r>
      <w:r>
        <w:rPr>
          <w:color w:val="231F20"/>
          <w:spacing w:val="-19"/>
          <w:w w:val="110"/>
          <w:sz w:val="18"/>
        </w:rPr>
        <w:t> </w:t>
      </w:r>
      <w:r>
        <w:rPr>
          <w:color w:val="231F20"/>
          <w:w w:val="110"/>
          <w:sz w:val="18"/>
        </w:rPr>
        <w:t>utilizando</w:t>
      </w:r>
      <w:r>
        <w:rPr>
          <w:color w:val="231F20"/>
          <w:spacing w:val="-19"/>
          <w:w w:val="110"/>
          <w:sz w:val="18"/>
        </w:rPr>
        <w:t> </w:t>
      </w:r>
      <w:r>
        <w:rPr>
          <w:color w:val="231F20"/>
          <w:w w:val="110"/>
          <w:sz w:val="18"/>
        </w:rPr>
        <w:t>como</w:t>
      </w:r>
      <w:r>
        <w:rPr>
          <w:color w:val="231F20"/>
          <w:spacing w:val="-19"/>
          <w:w w:val="110"/>
          <w:sz w:val="18"/>
        </w:rPr>
        <w:t> </w:t>
      </w:r>
      <w:r>
        <w:rPr>
          <w:color w:val="231F20"/>
          <w:w w:val="110"/>
          <w:sz w:val="18"/>
        </w:rPr>
        <w:t>colateral</w:t>
      </w:r>
      <w:r>
        <w:rPr>
          <w:color w:val="231F20"/>
          <w:spacing w:val="-19"/>
          <w:w w:val="110"/>
          <w:sz w:val="18"/>
        </w:rPr>
        <w:t> </w:t>
      </w:r>
      <w:r>
        <w:rPr>
          <w:color w:val="231F20"/>
          <w:w w:val="110"/>
          <w:sz w:val="18"/>
        </w:rPr>
        <w:t>tanto</w:t>
      </w:r>
      <w:r>
        <w:rPr>
          <w:color w:val="231F20"/>
          <w:spacing w:val="-19"/>
          <w:w w:val="110"/>
          <w:sz w:val="18"/>
        </w:rPr>
        <w:t> </w:t>
      </w:r>
      <w:r>
        <w:rPr>
          <w:color w:val="231F20"/>
          <w:w w:val="110"/>
          <w:sz w:val="18"/>
        </w:rPr>
        <w:t>bienes</w:t>
      </w:r>
      <w:r>
        <w:rPr>
          <w:color w:val="231F20"/>
          <w:spacing w:val="-19"/>
          <w:w w:val="110"/>
          <w:sz w:val="18"/>
        </w:rPr>
        <w:t> </w:t>
      </w:r>
      <w:r>
        <w:rPr>
          <w:color w:val="231F20"/>
          <w:w w:val="110"/>
          <w:sz w:val="18"/>
        </w:rPr>
        <w:t>raíces</w:t>
      </w:r>
      <w:r>
        <w:rPr>
          <w:color w:val="231F20"/>
          <w:spacing w:val="-19"/>
          <w:w w:val="110"/>
          <w:sz w:val="18"/>
        </w:rPr>
        <w:t> </w:t>
      </w:r>
      <w:r>
        <w:rPr>
          <w:color w:val="231F20"/>
          <w:w w:val="110"/>
          <w:sz w:val="18"/>
        </w:rPr>
        <w:t>como</w:t>
      </w:r>
      <w:r>
        <w:rPr>
          <w:color w:val="231F20"/>
          <w:spacing w:val="-19"/>
          <w:w w:val="110"/>
          <w:sz w:val="18"/>
        </w:rPr>
        <w:t> </w:t>
      </w:r>
      <w:r>
        <w:rPr>
          <w:color w:val="231F20"/>
          <w:w w:val="110"/>
          <w:sz w:val="18"/>
        </w:rPr>
        <w:t>prés- tamos</w:t>
      </w:r>
      <w:r>
        <w:rPr>
          <w:color w:val="231F20"/>
          <w:spacing w:val="-7"/>
          <w:w w:val="110"/>
          <w:sz w:val="18"/>
        </w:rPr>
        <w:t> </w:t>
      </w:r>
      <w:r>
        <w:rPr>
          <w:color w:val="231F20"/>
          <w:w w:val="110"/>
          <w:sz w:val="18"/>
        </w:rPr>
        <w:t>relacionados</w:t>
      </w:r>
      <w:r>
        <w:rPr>
          <w:color w:val="231F20"/>
          <w:spacing w:val="-7"/>
          <w:w w:val="110"/>
          <w:sz w:val="18"/>
        </w:rPr>
        <w:t> </w:t>
      </w:r>
      <w:r>
        <w:rPr>
          <w:color w:val="231F20"/>
          <w:w w:val="110"/>
          <w:sz w:val="18"/>
        </w:rPr>
        <w:t>con</w:t>
      </w:r>
      <w:r>
        <w:rPr>
          <w:color w:val="231F20"/>
          <w:spacing w:val="-7"/>
          <w:w w:val="110"/>
          <w:sz w:val="18"/>
        </w:rPr>
        <w:t> </w:t>
      </w:r>
      <w:r>
        <w:rPr>
          <w:color w:val="231F20"/>
          <w:w w:val="110"/>
          <w:sz w:val="18"/>
        </w:rPr>
        <w:t>este</w:t>
      </w:r>
      <w:r>
        <w:rPr>
          <w:color w:val="231F20"/>
          <w:spacing w:val="-7"/>
          <w:w w:val="110"/>
          <w:sz w:val="18"/>
        </w:rPr>
        <w:t> </w:t>
      </w:r>
      <w:r>
        <w:rPr>
          <w:color w:val="231F20"/>
          <w:w w:val="110"/>
          <w:sz w:val="18"/>
        </w:rPr>
        <w:t>tipo</w:t>
      </w:r>
      <w:r>
        <w:rPr>
          <w:color w:val="231F20"/>
          <w:spacing w:val="-7"/>
          <w:w w:val="110"/>
          <w:sz w:val="18"/>
        </w:rPr>
        <w:t> </w:t>
      </w:r>
      <w:r>
        <w:rPr>
          <w:color w:val="231F20"/>
          <w:w w:val="110"/>
          <w:sz w:val="18"/>
        </w:rPr>
        <w:t>de</w:t>
      </w:r>
      <w:r>
        <w:rPr>
          <w:color w:val="231F20"/>
          <w:spacing w:val="-7"/>
          <w:w w:val="110"/>
          <w:sz w:val="18"/>
        </w:rPr>
        <w:t> </w:t>
      </w:r>
      <w:r>
        <w:rPr>
          <w:color w:val="231F20"/>
          <w:w w:val="110"/>
          <w:sz w:val="18"/>
        </w:rPr>
        <w:t>actividad</w:t>
      </w:r>
      <w:r>
        <w:rPr>
          <w:color w:val="231F20"/>
          <w:spacing w:val="-7"/>
          <w:w w:val="110"/>
          <w:sz w:val="18"/>
        </w:rPr>
        <w:t> </w:t>
      </w:r>
      <w:r>
        <w:rPr>
          <w:color w:val="231F20"/>
          <w:w w:val="110"/>
          <w:sz w:val="18"/>
        </w:rPr>
        <w:t>a</w:t>
      </w:r>
      <w:r>
        <w:rPr>
          <w:color w:val="231F20"/>
          <w:spacing w:val="-7"/>
          <w:w w:val="110"/>
          <w:sz w:val="18"/>
        </w:rPr>
        <w:t> </w:t>
      </w:r>
      <w:r>
        <w:rPr>
          <w:color w:val="231F20"/>
          <w:w w:val="110"/>
          <w:sz w:val="18"/>
        </w:rPr>
        <w:t>bajas</w:t>
      </w:r>
      <w:r>
        <w:rPr>
          <w:color w:val="231F20"/>
          <w:spacing w:val="-7"/>
          <w:w w:val="110"/>
          <w:sz w:val="18"/>
        </w:rPr>
        <w:t> </w:t>
      </w:r>
      <w:r>
        <w:rPr>
          <w:color w:val="231F20"/>
          <w:w w:val="110"/>
          <w:sz w:val="18"/>
        </w:rPr>
        <w:t>tasas</w:t>
      </w:r>
      <w:r>
        <w:rPr>
          <w:color w:val="231F20"/>
          <w:spacing w:val="-7"/>
          <w:w w:val="110"/>
          <w:sz w:val="18"/>
        </w:rPr>
        <w:t> </w:t>
      </w:r>
      <w:r>
        <w:rPr>
          <w:color w:val="231F20"/>
          <w:w w:val="110"/>
          <w:sz w:val="18"/>
        </w:rPr>
        <w:t>de</w:t>
      </w:r>
      <w:r>
        <w:rPr>
          <w:color w:val="231F20"/>
          <w:spacing w:val="-7"/>
          <w:w w:val="110"/>
          <w:sz w:val="18"/>
        </w:rPr>
        <w:t> </w:t>
      </w:r>
      <w:r>
        <w:rPr>
          <w:color w:val="231F20"/>
          <w:w w:val="110"/>
          <w:sz w:val="18"/>
        </w:rPr>
        <w:t>interés</w:t>
      </w:r>
      <w:r>
        <w:rPr>
          <w:color w:val="231F20"/>
          <w:spacing w:val="-7"/>
          <w:w w:val="110"/>
          <w:sz w:val="18"/>
        </w:rPr>
        <w:t> </w:t>
      </w:r>
      <w:r>
        <w:rPr>
          <w:color w:val="231F20"/>
          <w:w w:val="110"/>
          <w:sz w:val="18"/>
        </w:rPr>
        <w:t>[…]</w:t>
      </w:r>
      <w:r>
        <w:rPr>
          <w:color w:val="231F20"/>
          <w:spacing w:val="-7"/>
          <w:w w:val="110"/>
          <w:sz w:val="18"/>
        </w:rPr>
        <w:t> </w:t>
      </w:r>
      <w:r>
        <w:rPr>
          <w:color w:val="231F20"/>
          <w:w w:val="110"/>
          <w:sz w:val="18"/>
        </w:rPr>
        <w:t>En retrospectiva,</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extensión</w:t>
      </w:r>
      <w:r>
        <w:rPr>
          <w:color w:val="231F20"/>
          <w:spacing w:val="-11"/>
          <w:w w:val="110"/>
          <w:sz w:val="18"/>
        </w:rPr>
        <w:t> </w:t>
      </w:r>
      <w:r>
        <w:rPr>
          <w:color w:val="231F20"/>
          <w:w w:val="110"/>
          <w:sz w:val="18"/>
        </w:rPr>
        <w:t>agresiva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créditos</w:t>
      </w:r>
      <w:r>
        <w:rPr>
          <w:color w:val="231F20"/>
          <w:spacing w:val="-11"/>
          <w:w w:val="110"/>
          <w:sz w:val="18"/>
        </w:rPr>
        <w:t> </w:t>
      </w:r>
      <w:r>
        <w:rPr>
          <w:color w:val="231F20"/>
          <w:w w:val="110"/>
          <w:sz w:val="18"/>
        </w:rPr>
        <w:t>a</w:t>
      </w:r>
      <w:r>
        <w:rPr>
          <w:color w:val="231F20"/>
          <w:spacing w:val="-11"/>
          <w:w w:val="110"/>
          <w:sz w:val="18"/>
        </w:rPr>
        <w:t> </w:t>
      </w:r>
      <w:r>
        <w:rPr>
          <w:color w:val="231F20"/>
          <w:w w:val="110"/>
          <w:sz w:val="18"/>
        </w:rPr>
        <w:t>bajas</w:t>
      </w:r>
      <w:r>
        <w:rPr>
          <w:color w:val="231F20"/>
          <w:spacing w:val="-11"/>
          <w:w w:val="110"/>
          <w:sz w:val="18"/>
        </w:rPr>
        <w:t> </w:t>
      </w:r>
      <w:r>
        <w:rPr>
          <w:color w:val="231F20"/>
          <w:w w:val="110"/>
          <w:sz w:val="18"/>
        </w:rPr>
        <w:t>tasas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interés</w:t>
      </w:r>
      <w:r>
        <w:rPr>
          <w:color w:val="231F20"/>
          <w:spacing w:val="-11"/>
          <w:w w:val="110"/>
          <w:sz w:val="18"/>
        </w:rPr>
        <w:t> </w:t>
      </w:r>
      <w:r>
        <w:rPr>
          <w:color w:val="231F20"/>
          <w:w w:val="110"/>
          <w:sz w:val="18"/>
        </w:rPr>
        <w:t>parece haber sido llevada a cabo por las instituciones financieras tomando riesgos excesivos,</w:t>
      </w:r>
      <w:r>
        <w:rPr>
          <w:color w:val="231F20"/>
          <w:spacing w:val="-6"/>
          <w:w w:val="110"/>
          <w:sz w:val="18"/>
        </w:rPr>
        <w:t> </w:t>
      </w:r>
      <w:r>
        <w:rPr>
          <w:color w:val="231F20"/>
          <w:w w:val="110"/>
          <w:sz w:val="18"/>
        </w:rPr>
        <w:t>si</w:t>
      </w:r>
      <w:r>
        <w:rPr>
          <w:color w:val="231F20"/>
          <w:spacing w:val="-6"/>
          <w:w w:val="110"/>
          <w:sz w:val="18"/>
        </w:rPr>
        <w:t> </w:t>
      </w:r>
      <w:r>
        <w:rPr>
          <w:color w:val="231F20"/>
          <w:w w:val="110"/>
          <w:sz w:val="18"/>
        </w:rPr>
        <w:t>éstos</w:t>
      </w:r>
      <w:r>
        <w:rPr>
          <w:color w:val="231F20"/>
          <w:spacing w:val="-6"/>
          <w:w w:val="110"/>
          <w:sz w:val="18"/>
        </w:rPr>
        <w:t> </w:t>
      </w:r>
      <w:r>
        <w:rPr>
          <w:color w:val="231F20"/>
          <w:w w:val="110"/>
          <w:sz w:val="18"/>
        </w:rPr>
        <w:t>se</w:t>
      </w:r>
      <w:r>
        <w:rPr>
          <w:color w:val="231F20"/>
          <w:spacing w:val="-6"/>
          <w:w w:val="110"/>
          <w:sz w:val="18"/>
        </w:rPr>
        <w:t> </w:t>
      </w:r>
      <w:r>
        <w:rPr>
          <w:color w:val="231F20"/>
          <w:w w:val="110"/>
          <w:sz w:val="18"/>
        </w:rPr>
        <w:t>comparan</w:t>
      </w:r>
      <w:r>
        <w:rPr>
          <w:color w:val="231F20"/>
          <w:spacing w:val="-6"/>
          <w:w w:val="110"/>
          <w:sz w:val="18"/>
        </w:rPr>
        <w:t> </w:t>
      </w:r>
      <w:r>
        <w:rPr>
          <w:color w:val="231F20"/>
          <w:w w:val="110"/>
          <w:sz w:val="18"/>
        </w:rPr>
        <w:t>con</w:t>
      </w:r>
      <w:r>
        <w:rPr>
          <w:color w:val="231F20"/>
          <w:spacing w:val="-6"/>
          <w:w w:val="110"/>
          <w:sz w:val="18"/>
        </w:rPr>
        <w:t> </w:t>
      </w:r>
      <w:r>
        <w:rPr>
          <w:color w:val="231F20"/>
          <w:w w:val="110"/>
          <w:sz w:val="18"/>
        </w:rPr>
        <w:t>los</w:t>
      </w:r>
      <w:r>
        <w:rPr>
          <w:color w:val="231F20"/>
          <w:spacing w:val="-6"/>
          <w:w w:val="110"/>
          <w:sz w:val="18"/>
        </w:rPr>
        <w:t> </w:t>
      </w:r>
      <w:r>
        <w:rPr>
          <w:color w:val="231F20"/>
          <w:w w:val="110"/>
          <w:sz w:val="18"/>
        </w:rPr>
        <w:t>beneficios</w:t>
      </w:r>
      <w:r>
        <w:rPr>
          <w:color w:val="231F20"/>
          <w:spacing w:val="-6"/>
          <w:w w:val="110"/>
          <w:sz w:val="18"/>
        </w:rPr>
        <w:t> </w:t>
      </w:r>
      <w:r>
        <w:rPr>
          <w:color w:val="231F20"/>
          <w:w w:val="110"/>
          <w:sz w:val="18"/>
        </w:rPr>
        <w:t>potenciales.</w:t>
      </w:r>
      <w:r>
        <w:rPr>
          <w:color w:val="231F20"/>
          <w:spacing w:val="-6"/>
          <w:w w:val="110"/>
          <w:sz w:val="18"/>
        </w:rPr>
        <w:t> </w:t>
      </w:r>
      <w:r>
        <w:rPr>
          <w:color w:val="231F20"/>
          <w:w w:val="110"/>
          <w:sz w:val="18"/>
        </w:rPr>
        <w:t>En</w:t>
      </w:r>
      <w:r>
        <w:rPr>
          <w:color w:val="231F20"/>
          <w:spacing w:val="-6"/>
          <w:w w:val="110"/>
          <w:sz w:val="18"/>
        </w:rPr>
        <w:t> </w:t>
      </w:r>
      <w:r>
        <w:rPr>
          <w:color w:val="231F20"/>
          <w:spacing w:val="-3"/>
          <w:w w:val="110"/>
          <w:sz w:val="18"/>
        </w:rPr>
        <w:t>particular, </w:t>
      </w:r>
      <w:r>
        <w:rPr>
          <w:color w:val="231F20"/>
          <w:w w:val="110"/>
          <w:sz w:val="18"/>
        </w:rPr>
        <w:t>debido</w:t>
      </w:r>
      <w:r>
        <w:rPr>
          <w:color w:val="231F20"/>
          <w:spacing w:val="-9"/>
          <w:w w:val="110"/>
          <w:sz w:val="18"/>
        </w:rPr>
        <w:t> </w:t>
      </w:r>
      <w:r>
        <w:rPr>
          <w:color w:val="231F20"/>
          <w:w w:val="110"/>
          <w:sz w:val="18"/>
        </w:rPr>
        <w:t>a</w:t>
      </w:r>
      <w:r>
        <w:rPr>
          <w:color w:val="231F20"/>
          <w:spacing w:val="-9"/>
          <w:w w:val="110"/>
          <w:sz w:val="18"/>
        </w:rPr>
        <w:t> </w:t>
      </w:r>
      <w:r>
        <w:rPr>
          <w:color w:val="231F20"/>
          <w:w w:val="110"/>
          <w:sz w:val="18"/>
        </w:rPr>
        <w:t>que</w:t>
      </w:r>
      <w:r>
        <w:rPr>
          <w:color w:val="231F20"/>
          <w:spacing w:val="-9"/>
          <w:w w:val="110"/>
          <w:sz w:val="18"/>
        </w:rPr>
        <w:t> </w:t>
      </w:r>
      <w:r>
        <w:rPr>
          <w:color w:val="231F20"/>
          <w:w w:val="110"/>
          <w:sz w:val="18"/>
        </w:rPr>
        <w:t>las</w:t>
      </w:r>
      <w:r>
        <w:rPr>
          <w:color w:val="231F20"/>
          <w:spacing w:val="-9"/>
          <w:w w:val="110"/>
          <w:sz w:val="18"/>
        </w:rPr>
        <w:t> </w:t>
      </w:r>
      <w:r>
        <w:rPr>
          <w:color w:val="231F20"/>
          <w:w w:val="110"/>
          <w:sz w:val="18"/>
        </w:rPr>
        <w:t>instituciones</w:t>
      </w:r>
      <w:r>
        <w:rPr>
          <w:color w:val="231F20"/>
          <w:spacing w:val="-9"/>
          <w:w w:val="110"/>
          <w:sz w:val="18"/>
        </w:rPr>
        <w:t> </w:t>
      </w:r>
      <w:r>
        <w:rPr>
          <w:color w:val="231F20"/>
          <w:w w:val="110"/>
          <w:sz w:val="18"/>
        </w:rPr>
        <w:t>financieras</w:t>
      </w:r>
      <w:r>
        <w:rPr>
          <w:color w:val="231F20"/>
          <w:spacing w:val="-9"/>
          <w:w w:val="110"/>
          <w:sz w:val="18"/>
        </w:rPr>
        <w:t> </w:t>
      </w:r>
      <w:r>
        <w:rPr>
          <w:color w:val="231F20"/>
          <w:w w:val="110"/>
          <w:sz w:val="18"/>
        </w:rPr>
        <w:t>no</w:t>
      </w:r>
      <w:r>
        <w:rPr>
          <w:color w:val="231F20"/>
          <w:spacing w:val="-9"/>
          <w:w w:val="110"/>
          <w:sz w:val="18"/>
        </w:rPr>
        <w:t> </w:t>
      </w:r>
      <w:r>
        <w:rPr>
          <w:color w:val="231F20"/>
          <w:w w:val="110"/>
          <w:sz w:val="18"/>
        </w:rPr>
        <w:t>reconocieron</w:t>
      </w:r>
      <w:r>
        <w:rPr>
          <w:color w:val="231F20"/>
          <w:spacing w:val="-9"/>
          <w:w w:val="110"/>
          <w:sz w:val="18"/>
        </w:rPr>
        <w:t> </w:t>
      </w:r>
      <w:r>
        <w:rPr>
          <w:color w:val="231F20"/>
          <w:w w:val="110"/>
          <w:sz w:val="18"/>
        </w:rPr>
        <w:t>los</w:t>
      </w:r>
      <w:r>
        <w:rPr>
          <w:color w:val="231F20"/>
          <w:spacing w:val="-9"/>
          <w:w w:val="110"/>
          <w:sz w:val="18"/>
        </w:rPr>
        <w:t> </w:t>
      </w:r>
      <w:r>
        <w:rPr>
          <w:color w:val="231F20"/>
          <w:w w:val="110"/>
          <w:sz w:val="18"/>
        </w:rPr>
        <w:t>riesgos</w:t>
      </w:r>
      <w:r>
        <w:rPr>
          <w:color w:val="231F20"/>
          <w:spacing w:val="-9"/>
          <w:w w:val="110"/>
          <w:sz w:val="18"/>
        </w:rPr>
        <w:t> </w:t>
      </w:r>
      <w:r>
        <w:rPr>
          <w:color w:val="231F20"/>
          <w:w w:val="110"/>
          <w:sz w:val="18"/>
        </w:rPr>
        <w:t>asocia- dos con la concentración e interacciones de los créditos, éstas tendieron a concentrar sus préstamos en industrias especificas tales como compañías de construcción, el sector de bienes raíces y entidades no</w:t>
      </w:r>
      <w:r>
        <w:rPr>
          <w:color w:val="231F20"/>
          <w:spacing w:val="-23"/>
          <w:w w:val="110"/>
          <w:sz w:val="18"/>
        </w:rPr>
        <w:t> </w:t>
      </w:r>
      <w:r>
        <w:rPr>
          <w:color w:val="231F20"/>
          <w:w w:val="110"/>
          <w:sz w:val="18"/>
        </w:rPr>
        <w:t>bancarias.</w:t>
      </w:r>
      <w:r>
        <w:rPr>
          <w:color w:val="231F20"/>
          <w:w w:val="110"/>
          <w:position w:val="6"/>
          <w:sz w:val="13"/>
        </w:rPr>
        <w:t>4</w:t>
      </w:r>
    </w:p>
    <w:p>
      <w:pPr>
        <w:pStyle w:val="BodyText"/>
        <w:spacing w:before="1"/>
      </w:pPr>
    </w:p>
    <w:p>
      <w:pPr>
        <w:pStyle w:val="BodyText"/>
        <w:spacing w:line="261" w:lineRule="auto"/>
        <w:ind w:left="100" w:right="116" w:firstLine="240"/>
        <w:jc w:val="both"/>
      </w:pPr>
      <w:r>
        <w:rPr>
          <w:color w:val="231F20"/>
          <w:w w:val="110"/>
        </w:rPr>
        <w:t>Esta historia suena familiar en el entorno de la actual crisis. Des- regulación financiera, bajas tasas de interés, burbujas financieras, aumento y concentración del riesgo en las carteras de los bancos en actividades relacionadas con finca raíz. </w:t>
      </w:r>
      <w:r>
        <w:rPr>
          <w:color w:val="231F20"/>
          <w:spacing w:val="-4"/>
          <w:w w:val="110"/>
        </w:rPr>
        <w:t>Todos </w:t>
      </w:r>
      <w:r>
        <w:rPr>
          <w:color w:val="231F20"/>
          <w:w w:val="110"/>
        </w:rPr>
        <w:t>estos elementos están en el centro de la explicaciones de la actual crisis financiera. Sin embargo, el párrafo anterior no corresponde a una descripción de los</w:t>
      </w:r>
      <w:r>
        <w:rPr>
          <w:color w:val="231F20"/>
          <w:spacing w:val="-9"/>
          <w:w w:val="110"/>
        </w:rPr>
        <w:t> </w:t>
      </w:r>
      <w:r>
        <w:rPr>
          <w:color w:val="231F20"/>
          <w:w w:val="110"/>
        </w:rPr>
        <w:t>orígenes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gran</w:t>
      </w:r>
      <w:r>
        <w:rPr>
          <w:color w:val="231F20"/>
          <w:spacing w:val="-9"/>
          <w:w w:val="110"/>
        </w:rPr>
        <w:t> </w:t>
      </w:r>
      <w:r>
        <w:rPr>
          <w:color w:val="231F20"/>
          <w:w w:val="110"/>
        </w:rPr>
        <w:t>recesión,</w:t>
      </w:r>
      <w:r>
        <w:rPr>
          <w:color w:val="231F20"/>
          <w:spacing w:val="-9"/>
          <w:w w:val="110"/>
        </w:rPr>
        <w:t> </w:t>
      </w:r>
      <w:r>
        <w:rPr>
          <w:color w:val="231F20"/>
          <w:w w:val="110"/>
        </w:rPr>
        <w:t>sino</w:t>
      </w:r>
      <w:r>
        <w:rPr>
          <w:color w:val="231F20"/>
          <w:spacing w:val="-9"/>
          <w:w w:val="110"/>
        </w:rPr>
        <w:t> </w:t>
      </w:r>
      <w:r>
        <w:rPr>
          <w:color w:val="231F20"/>
          <w:w w:val="110"/>
        </w:rPr>
        <w:t>al</w:t>
      </w:r>
      <w:r>
        <w:rPr>
          <w:color w:val="231F20"/>
          <w:spacing w:val="-9"/>
          <w:w w:val="110"/>
        </w:rPr>
        <w:t> </w:t>
      </w:r>
      <w:r>
        <w:rPr>
          <w:color w:val="231F20"/>
          <w:w w:val="110"/>
        </w:rPr>
        <w:t>análisis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financiera del</w:t>
      </w:r>
      <w:r>
        <w:rPr>
          <w:color w:val="231F20"/>
          <w:spacing w:val="-7"/>
          <w:w w:val="110"/>
        </w:rPr>
        <w:t> </w:t>
      </w:r>
      <w:r>
        <w:rPr>
          <w:color w:val="231F20"/>
          <w:w w:val="110"/>
        </w:rPr>
        <w:t>Japón</w:t>
      </w:r>
      <w:r>
        <w:rPr>
          <w:color w:val="231F20"/>
          <w:spacing w:val="-7"/>
          <w:w w:val="110"/>
        </w:rPr>
        <w:t> </w:t>
      </w:r>
      <w:r>
        <w:rPr>
          <w:color w:val="231F20"/>
          <w:w w:val="110"/>
        </w:rPr>
        <w:t>a</w:t>
      </w:r>
      <w:r>
        <w:rPr>
          <w:color w:val="231F20"/>
          <w:spacing w:val="-7"/>
          <w:w w:val="110"/>
        </w:rPr>
        <w:t> </w:t>
      </w:r>
      <w:r>
        <w:rPr>
          <w:color w:val="231F20"/>
          <w:w w:val="110"/>
        </w:rPr>
        <w:t>principios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años</w:t>
      </w:r>
      <w:r>
        <w:rPr>
          <w:color w:val="231F20"/>
          <w:spacing w:val="-7"/>
          <w:w w:val="110"/>
        </w:rPr>
        <w:t> </w:t>
      </w:r>
      <w:r>
        <w:rPr>
          <w:color w:val="231F20"/>
          <w:w w:val="110"/>
        </w:rPr>
        <w:t>noventa,</w:t>
      </w:r>
      <w:r>
        <w:rPr>
          <w:color w:val="231F20"/>
          <w:spacing w:val="-7"/>
          <w:w w:val="110"/>
        </w:rPr>
        <w:t> </w:t>
      </w:r>
      <w:r>
        <w:rPr>
          <w:color w:val="231F20"/>
          <w:w w:val="110"/>
        </w:rPr>
        <w:t>realizado</w:t>
      </w:r>
      <w:r>
        <w:rPr>
          <w:color w:val="231F20"/>
          <w:spacing w:val="-7"/>
          <w:w w:val="110"/>
        </w:rPr>
        <w:t> </w:t>
      </w:r>
      <w:r>
        <w:rPr>
          <w:color w:val="231F20"/>
          <w:w w:val="110"/>
        </w:rPr>
        <w:t>por</w:t>
      </w:r>
      <w:r>
        <w:rPr>
          <w:color w:val="231F20"/>
          <w:spacing w:val="-7"/>
          <w:w w:val="110"/>
        </w:rPr>
        <w:t> </w:t>
      </w:r>
      <w:r>
        <w:rPr>
          <w:color w:val="231F20"/>
          <w:w w:val="110"/>
        </w:rPr>
        <w:t>nada</w:t>
      </w:r>
      <w:r>
        <w:rPr>
          <w:color w:val="231F20"/>
          <w:spacing w:val="-7"/>
          <w:w w:val="110"/>
        </w:rPr>
        <w:t> </w:t>
      </w:r>
      <w:r>
        <w:rPr>
          <w:color w:val="231F20"/>
          <w:w w:val="110"/>
        </w:rPr>
        <w:t>menos que el director del Instituto de Estudios Monetarios y Económicos del Banco de</w:t>
      </w:r>
      <w:r>
        <w:rPr>
          <w:color w:val="231F20"/>
          <w:spacing w:val="23"/>
          <w:w w:val="110"/>
        </w:rPr>
        <w:t> </w:t>
      </w:r>
      <w:r>
        <w:rPr>
          <w:color w:val="231F20"/>
          <w:w w:val="110"/>
        </w:rPr>
        <w:t>Japón.</w:t>
      </w:r>
    </w:p>
    <w:p>
      <w:pPr>
        <w:pStyle w:val="BodyText"/>
      </w:pPr>
    </w:p>
    <w:p>
      <w:pPr>
        <w:spacing w:line="261" w:lineRule="auto" w:before="152"/>
        <w:ind w:left="100" w:right="117" w:firstLine="240"/>
        <w:jc w:val="both"/>
        <w:rPr>
          <w:sz w:val="16"/>
        </w:rPr>
      </w:pPr>
      <w:r>
        <w:rPr>
          <w:color w:val="231F20"/>
          <w:w w:val="105"/>
          <w:position w:val="5"/>
          <w:sz w:val="10"/>
        </w:rPr>
        <w:t>4</w:t>
      </w:r>
      <w:r>
        <w:rPr>
          <w:color w:val="231F20"/>
          <w:spacing w:val="18"/>
          <w:w w:val="105"/>
          <w:position w:val="5"/>
          <w:sz w:val="10"/>
        </w:rPr>
        <w:t> </w:t>
      </w:r>
      <w:r>
        <w:rPr>
          <w:color w:val="231F20"/>
          <w:w w:val="105"/>
          <w:sz w:val="16"/>
        </w:rPr>
        <w:t>Okina,</w:t>
      </w:r>
      <w:r>
        <w:rPr>
          <w:color w:val="231F20"/>
          <w:spacing w:val="-14"/>
          <w:w w:val="105"/>
          <w:sz w:val="16"/>
        </w:rPr>
        <w:t> </w:t>
      </w:r>
      <w:r>
        <w:rPr>
          <w:color w:val="231F20"/>
          <w:w w:val="105"/>
          <w:sz w:val="16"/>
        </w:rPr>
        <w:t>K.</w:t>
      </w:r>
      <w:r>
        <w:rPr>
          <w:color w:val="231F20"/>
          <w:spacing w:val="-14"/>
          <w:w w:val="105"/>
          <w:sz w:val="16"/>
        </w:rPr>
        <w:t> </w:t>
      </w:r>
      <w:r>
        <w:rPr>
          <w:color w:val="231F20"/>
          <w:w w:val="105"/>
          <w:sz w:val="16"/>
        </w:rPr>
        <w:t>and</w:t>
      </w:r>
      <w:r>
        <w:rPr>
          <w:color w:val="231F20"/>
          <w:spacing w:val="-14"/>
          <w:w w:val="105"/>
          <w:sz w:val="16"/>
        </w:rPr>
        <w:t> </w:t>
      </w:r>
      <w:r>
        <w:rPr>
          <w:color w:val="231F20"/>
          <w:w w:val="105"/>
          <w:sz w:val="16"/>
        </w:rPr>
        <w:t>Shiratsuka</w:t>
      </w:r>
      <w:r>
        <w:rPr>
          <w:color w:val="231F20"/>
          <w:spacing w:val="-14"/>
          <w:w w:val="105"/>
          <w:sz w:val="16"/>
        </w:rPr>
        <w:t> </w:t>
      </w:r>
      <w:r>
        <w:rPr>
          <w:color w:val="231F20"/>
          <w:w w:val="105"/>
          <w:sz w:val="16"/>
        </w:rPr>
        <w:t>S.</w:t>
      </w:r>
      <w:r>
        <w:rPr>
          <w:color w:val="231F20"/>
          <w:spacing w:val="-14"/>
          <w:w w:val="105"/>
          <w:sz w:val="16"/>
        </w:rPr>
        <w:t> </w:t>
      </w:r>
      <w:r>
        <w:rPr>
          <w:i/>
          <w:color w:val="231F20"/>
          <w:w w:val="105"/>
          <w:sz w:val="16"/>
        </w:rPr>
        <w:t>Asset</w:t>
      </w:r>
      <w:r>
        <w:rPr>
          <w:i/>
          <w:color w:val="231F20"/>
          <w:spacing w:val="-14"/>
          <w:w w:val="105"/>
          <w:sz w:val="16"/>
        </w:rPr>
        <w:t> </w:t>
      </w:r>
      <w:r>
        <w:rPr>
          <w:i/>
          <w:color w:val="231F20"/>
          <w:w w:val="105"/>
          <w:sz w:val="16"/>
        </w:rPr>
        <w:t>Price</w:t>
      </w:r>
      <w:r>
        <w:rPr>
          <w:i/>
          <w:color w:val="231F20"/>
          <w:spacing w:val="-14"/>
          <w:w w:val="105"/>
          <w:sz w:val="16"/>
        </w:rPr>
        <w:t> </w:t>
      </w:r>
      <w:r>
        <w:rPr>
          <w:i/>
          <w:color w:val="231F20"/>
          <w:w w:val="105"/>
          <w:sz w:val="16"/>
        </w:rPr>
        <w:t>Bubbles,</w:t>
      </w:r>
      <w:r>
        <w:rPr>
          <w:i/>
          <w:color w:val="231F20"/>
          <w:spacing w:val="-14"/>
          <w:w w:val="105"/>
          <w:sz w:val="16"/>
        </w:rPr>
        <w:t> </w:t>
      </w:r>
      <w:r>
        <w:rPr>
          <w:i/>
          <w:color w:val="231F20"/>
          <w:w w:val="105"/>
          <w:sz w:val="16"/>
        </w:rPr>
        <w:t>Price</w:t>
      </w:r>
      <w:r>
        <w:rPr>
          <w:i/>
          <w:color w:val="231F20"/>
          <w:spacing w:val="-14"/>
          <w:w w:val="105"/>
          <w:sz w:val="16"/>
        </w:rPr>
        <w:t> </w:t>
      </w:r>
      <w:r>
        <w:rPr>
          <w:i/>
          <w:color w:val="231F20"/>
          <w:w w:val="105"/>
          <w:sz w:val="16"/>
        </w:rPr>
        <w:t>Stability</w:t>
      </w:r>
      <w:r>
        <w:rPr>
          <w:i/>
          <w:color w:val="231F20"/>
          <w:spacing w:val="-14"/>
          <w:w w:val="105"/>
          <w:sz w:val="16"/>
        </w:rPr>
        <w:t> </w:t>
      </w:r>
      <w:r>
        <w:rPr>
          <w:i/>
          <w:color w:val="231F20"/>
          <w:w w:val="105"/>
          <w:sz w:val="16"/>
        </w:rPr>
        <w:t>and</w:t>
      </w:r>
      <w:r>
        <w:rPr>
          <w:i/>
          <w:color w:val="231F20"/>
          <w:spacing w:val="-14"/>
          <w:w w:val="105"/>
          <w:sz w:val="16"/>
        </w:rPr>
        <w:t> </w:t>
      </w:r>
      <w:r>
        <w:rPr>
          <w:i/>
          <w:color w:val="231F20"/>
          <w:w w:val="105"/>
          <w:sz w:val="16"/>
        </w:rPr>
        <w:t>Monetary</w:t>
      </w:r>
      <w:r>
        <w:rPr>
          <w:i/>
          <w:color w:val="231F20"/>
          <w:spacing w:val="-14"/>
          <w:w w:val="105"/>
          <w:sz w:val="16"/>
        </w:rPr>
        <w:t> </w:t>
      </w:r>
      <w:r>
        <w:rPr>
          <w:i/>
          <w:color w:val="231F20"/>
          <w:w w:val="105"/>
          <w:sz w:val="16"/>
        </w:rPr>
        <w:t>Policy: </w:t>
      </w:r>
      <w:r>
        <w:rPr>
          <w:i/>
          <w:color w:val="231F20"/>
          <w:w w:val="105"/>
          <w:sz w:val="16"/>
        </w:rPr>
        <w:t>Japan’s Experience</w:t>
      </w:r>
      <w:r>
        <w:rPr>
          <w:color w:val="231F20"/>
          <w:w w:val="105"/>
          <w:sz w:val="16"/>
        </w:rPr>
        <w:t>, Monetary and Economic Studies, Bank of Japan, octubre de 2002,  p.</w:t>
      </w:r>
      <w:r>
        <w:rPr>
          <w:color w:val="231F20"/>
          <w:spacing w:val="16"/>
          <w:w w:val="105"/>
          <w:sz w:val="16"/>
        </w:rPr>
        <w:t> </w:t>
      </w:r>
      <w:r>
        <w:rPr>
          <w:color w:val="231F20"/>
          <w:w w:val="105"/>
          <w:sz w:val="16"/>
        </w:rPr>
        <w:t>55.</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Estudiar el caso de la crisis en Japón en la situación actual, es</w:t>
      </w:r>
      <w:r>
        <w:rPr>
          <w:color w:val="231F20"/>
          <w:spacing w:val="-29"/>
          <w:w w:val="110"/>
        </w:rPr>
        <w:t> </w:t>
      </w:r>
      <w:r>
        <w:rPr>
          <w:color w:val="231F20"/>
          <w:w w:val="110"/>
        </w:rPr>
        <w:t>im- portante, no sólo por los paralelos entre el proceso de desarrollo e implosión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burbuja</w:t>
      </w:r>
      <w:r>
        <w:rPr>
          <w:color w:val="231F20"/>
          <w:spacing w:val="-13"/>
          <w:w w:val="110"/>
        </w:rPr>
        <w:t> </w:t>
      </w:r>
      <w:r>
        <w:rPr>
          <w:color w:val="231F20"/>
          <w:w w:val="110"/>
        </w:rPr>
        <w:t>en</w:t>
      </w:r>
      <w:r>
        <w:rPr>
          <w:color w:val="231F20"/>
          <w:spacing w:val="-13"/>
          <w:w w:val="110"/>
        </w:rPr>
        <w:t> </w:t>
      </w:r>
      <w:r>
        <w:rPr>
          <w:color w:val="231F20"/>
          <w:w w:val="110"/>
        </w:rPr>
        <w:t>dicho</w:t>
      </w:r>
      <w:r>
        <w:rPr>
          <w:color w:val="231F20"/>
          <w:spacing w:val="-13"/>
          <w:w w:val="110"/>
        </w:rPr>
        <w:t> </w:t>
      </w:r>
      <w:r>
        <w:rPr>
          <w:color w:val="231F20"/>
          <w:w w:val="110"/>
        </w:rPr>
        <w:t>país</w:t>
      </w:r>
      <w:r>
        <w:rPr>
          <w:color w:val="231F20"/>
          <w:spacing w:val="-13"/>
          <w:w w:val="110"/>
        </w:rPr>
        <w:t> </w:t>
      </w:r>
      <w:r>
        <w:rPr>
          <w:color w:val="231F20"/>
          <w:w w:val="110"/>
        </w:rPr>
        <w:t>y</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sino</w:t>
      </w:r>
      <w:r>
        <w:rPr>
          <w:color w:val="231F20"/>
          <w:spacing w:val="-13"/>
          <w:w w:val="110"/>
        </w:rPr>
        <w:t> </w:t>
      </w:r>
      <w:r>
        <w:rPr>
          <w:color w:val="231F20"/>
          <w:w w:val="110"/>
        </w:rPr>
        <w:t>también porque lo sucedido allí puede suministrar pistas sobre la evolución futura de la situación fiscal del país del </w:t>
      </w:r>
      <w:r>
        <w:rPr>
          <w:color w:val="231F20"/>
          <w:spacing w:val="3"/>
          <w:w w:val="110"/>
        </w:rPr>
        <w:t> </w:t>
      </w:r>
      <w:r>
        <w:rPr>
          <w:color w:val="231F20"/>
          <w:w w:val="110"/>
        </w:rPr>
        <w:t>norte.</w:t>
      </w:r>
    </w:p>
    <w:p>
      <w:pPr>
        <w:pStyle w:val="BodyText"/>
        <w:spacing w:line="261" w:lineRule="auto"/>
        <w:ind w:left="100" w:right="117" w:firstLine="240"/>
        <w:jc w:val="both"/>
      </w:pPr>
      <w:r>
        <w:rPr>
          <w:color w:val="231F20"/>
          <w:w w:val="110"/>
        </w:rPr>
        <w:t>En líneas generales, el colapso financiero en Japón siguió un patrón “Minskyano”. Ante cambios en el sistema regulatorio, </w:t>
      </w:r>
      <w:r>
        <w:rPr>
          <w:color w:val="231F20"/>
          <w:spacing w:val="2"/>
          <w:w w:val="110"/>
        </w:rPr>
        <w:t>los </w:t>
      </w:r>
      <w:r>
        <w:rPr>
          <w:color w:val="231F20"/>
          <w:w w:val="110"/>
        </w:rPr>
        <w:t>bancos</w:t>
      </w:r>
      <w:r>
        <w:rPr>
          <w:color w:val="231F20"/>
          <w:spacing w:val="-7"/>
          <w:w w:val="110"/>
        </w:rPr>
        <w:t> </w:t>
      </w:r>
      <w:r>
        <w:rPr>
          <w:color w:val="231F20"/>
          <w:w w:val="110"/>
        </w:rPr>
        <w:t>procedieron</w:t>
      </w:r>
      <w:r>
        <w:rPr>
          <w:color w:val="231F20"/>
          <w:spacing w:val="-7"/>
          <w:w w:val="110"/>
        </w:rPr>
        <w:t> </w:t>
      </w:r>
      <w:r>
        <w:rPr>
          <w:color w:val="231F20"/>
          <w:w w:val="110"/>
        </w:rPr>
        <w:t>a</w:t>
      </w:r>
      <w:r>
        <w:rPr>
          <w:color w:val="231F20"/>
          <w:spacing w:val="-7"/>
          <w:w w:val="110"/>
        </w:rPr>
        <w:t> </w:t>
      </w:r>
      <w:r>
        <w:rPr>
          <w:color w:val="231F20"/>
          <w:w w:val="110"/>
        </w:rPr>
        <w:t>incursionar</w:t>
      </w:r>
      <w:r>
        <w:rPr>
          <w:color w:val="231F20"/>
          <w:spacing w:val="-7"/>
          <w:w w:val="110"/>
        </w:rPr>
        <w:t> </w:t>
      </w:r>
      <w:r>
        <w:rPr>
          <w:color w:val="231F20"/>
          <w:w w:val="110"/>
        </w:rPr>
        <w:t>en</w:t>
      </w:r>
      <w:r>
        <w:rPr>
          <w:color w:val="231F20"/>
          <w:spacing w:val="-7"/>
          <w:w w:val="110"/>
        </w:rPr>
        <w:t> </w:t>
      </w:r>
      <w:r>
        <w:rPr>
          <w:color w:val="231F20"/>
          <w:w w:val="110"/>
        </w:rPr>
        <w:t>nuevos</w:t>
      </w:r>
      <w:r>
        <w:rPr>
          <w:color w:val="231F20"/>
          <w:spacing w:val="-7"/>
          <w:w w:val="110"/>
        </w:rPr>
        <w:t> </w:t>
      </w:r>
      <w:r>
        <w:rPr>
          <w:color w:val="231F20"/>
          <w:w w:val="110"/>
        </w:rPr>
        <w:t>sectores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economía, principalmente créditos al sector de bienes raíces . El crecimiento</w:t>
      </w:r>
      <w:r>
        <w:rPr>
          <w:color w:val="231F20"/>
          <w:spacing w:val="-34"/>
          <w:w w:val="110"/>
        </w:rPr>
        <w:t> </w:t>
      </w:r>
      <w:r>
        <w:rPr>
          <w:color w:val="231F20"/>
          <w:w w:val="110"/>
        </w:rPr>
        <w:t>de la rentabilidad en estas nuevas líneas de crédito, indujo a un incre- mento en el volumen de préstamos que a su vez reforzó la espiral alcista</w:t>
      </w:r>
      <w:r>
        <w:rPr>
          <w:color w:val="231F20"/>
          <w:spacing w:val="-23"/>
          <w:w w:val="110"/>
        </w:rPr>
        <w:t> </w:t>
      </w:r>
      <w:r>
        <w:rPr>
          <w:color w:val="231F20"/>
          <w:w w:val="110"/>
        </w:rPr>
        <w:t>en</w:t>
      </w:r>
      <w:r>
        <w:rPr>
          <w:color w:val="231F20"/>
          <w:spacing w:val="-23"/>
          <w:w w:val="110"/>
        </w:rPr>
        <w:t> </w:t>
      </w:r>
      <w:r>
        <w:rPr>
          <w:color w:val="231F20"/>
          <w:w w:val="110"/>
        </w:rPr>
        <w:t>los</w:t>
      </w:r>
      <w:r>
        <w:rPr>
          <w:color w:val="231F20"/>
          <w:spacing w:val="-23"/>
          <w:w w:val="110"/>
        </w:rPr>
        <w:t> </w:t>
      </w:r>
      <w:r>
        <w:rPr>
          <w:color w:val="231F20"/>
          <w:w w:val="110"/>
        </w:rPr>
        <w:t>precios</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propiedades.</w:t>
      </w:r>
      <w:r>
        <w:rPr>
          <w:color w:val="231F20"/>
          <w:spacing w:val="-23"/>
          <w:w w:val="110"/>
        </w:rPr>
        <w:t> </w:t>
      </w:r>
      <w:r>
        <w:rPr>
          <w:color w:val="231F20"/>
          <w:w w:val="110"/>
        </w:rPr>
        <w:t>Progresivamente</w:t>
      </w:r>
      <w:r>
        <w:rPr>
          <w:color w:val="231F20"/>
          <w:spacing w:val="-23"/>
          <w:w w:val="110"/>
        </w:rPr>
        <w:t> </w:t>
      </w:r>
      <w:r>
        <w:rPr>
          <w:color w:val="231F20"/>
          <w:w w:val="110"/>
        </w:rPr>
        <w:t>la</w:t>
      </w:r>
      <w:r>
        <w:rPr>
          <w:color w:val="231F20"/>
          <w:spacing w:val="-23"/>
          <w:w w:val="110"/>
        </w:rPr>
        <w:t> </w:t>
      </w:r>
      <w:r>
        <w:rPr>
          <w:color w:val="231F20"/>
          <w:w w:val="110"/>
        </w:rPr>
        <w:t>solvencia de los créditos pasó a depender de ulteriores incrementos en los precios de los activos utilizados como colateral. </w:t>
      </w:r>
      <w:r>
        <w:rPr>
          <w:color w:val="231F20"/>
          <w:spacing w:val="-6"/>
          <w:w w:val="110"/>
        </w:rPr>
        <w:t>Tal </w:t>
      </w:r>
      <w:r>
        <w:rPr>
          <w:color w:val="231F20"/>
          <w:w w:val="110"/>
        </w:rPr>
        <w:t>y como predice </w:t>
      </w:r>
      <w:r>
        <w:rPr>
          <w:color w:val="231F20"/>
          <w:spacing w:val="-3"/>
          <w:w w:val="110"/>
        </w:rPr>
        <w:t>Minsky,</w:t>
      </w:r>
      <w:r>
        <w:rPr>
          <w:color w:val="231F20"/>
          <w:spacing w:val="-9"/>
          <w:w w:val="110"/>
        </w:rPr>
        <w:t> </w:t>
      </w:r>
      <w:r>
        <w:rPr>
          <w:color w:val="231F20"/>
          <w:w w:val="110"/>
        </w:rPr>
        <w:t>el</w:t>
      </w:r>
      <w:r>
        <w:rPr>
          <w:color w:val="231F20"/>
          <w:spacing w:val="-9"/>
          <w:w w:val="110"/>
        </w:rPr>
        <w:t> </w:t>
      </w:r>
      <w:r>
        <w:rPr>
          <w:color w:val="231F20"/>
          <w:w w:val="110"/>
        </w:rPr>
        <w:t>incremento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fragilidad</w:t>
      </w:r>
      <w:r>
        <w:rPr>
          <w:color w:val="231F20"/>
          <w:spacing w:val="-9"/>
          <w:w w:val="110"/>
        </w:rPr>
        <w:t> </w:t>
      </w:r>
      <w:r>
        <w:rPr>
          <w:color w:val="231F20"/>
          <w:w w:val="110"/>
        </w:rPr>
        <w:t>financiera</w:t>
      </w:r>
      <w:r>
        <w:rPr>
          <w:color w:val="231F20"/>
          <w:spacing w:val="-9"/>
          <w:w w:val="110"/>
        </w:rPr>
        <w:t> </w:t>
      </w:r>
      <w:r>
        <w:rPr>
          <w:color w:val="231F20"/>
          <w:w w:val="110"/>
        </w:rPr>
        <w:t>llevó</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implosión de la burbuja. En este caso en específico, los detonantes de la crisis fueron el alza en las tasas de intereses llevado a cabo por el Banco de Japón, así como la postura fiscal restrictiva del gobierno japonés en la segunda mitad de los años ochenta (Pigeon, </w:t>
      </w:r>
      <w:r>
        <w:rPr>
          <w:color w:val="231F20"/>
          <w:spacing w:val="51"/>
          <w:w w:val="110"/>
        </w:rPr>
        <w:t> </w:t>
      </w:r>
      <w:r>
        <w:rPr>
          <w:color w:val="231F20"/>
          <w:w w:val="110"/>
        </w:rPr>
        <w:t>2000).</w:t>
      </w:r>
    </w:p>
    <w:p>
      <w:pPr>
        <w:pStyle w:val="BodyText"/>
        <w:spacing w:line="261" w:lineRule="auto"/>
        <w:ind w:left="100" w:right="117" w:firstLine="240"/>
        <w:jc w:val="both"/>
      </w:pPr>
      <w:r>
        <w:rPr>
          <w:color w:val="231F20"/>
          <w:w w:val="110"/>
        </w:rPr>
        <w:t>La</w:t>
      </w:r>
      <w:r>
        <w:rPr>
          <w:color w:val="231F20"/>
          <w:spacing w:val="-17"/>
          <w:w w:val="110"/>
        </w:rPr>
        <w:t> </w:t>
      </w:r>
      <w:r>
        <w:rPr>
          <w:color w:val="231F20"/>
          <w:w w:val="110"/>
        </w:rPr>
        <w:t>gráfica</w:t>
      </w:r>
      <w:r>
        <w:rPr>
          <w:color w:val="231F20"/>
          <w:spacing w:val="-17"/>
          <w:w w:val="110"/>
        </w:rPr>
        <w:t> </w:t>
      </w:r>
      <w:r>
        <w:rPr>
          <w:color w:val="231F20"/>
          <w:w w:val="110"/>
        </w:rPr>
        <w:t>4</w:t>
      </w:r>
      <w:r>
        <w:rPr>
          <w:color w:val="231F20"/>
          <w:spacing w:val="-17"/>
          <w:w w:val="110"/>
        </w:rPr>
        <w:t> </w:t>
      </w:r>
      <w:r>
        <w:rPr>
          <w:color w:val="231F20"/>
          <w:w w:val="110"/>
        </w:rPr>
        <w:t>muestra</w:t>
      </w:r>
      <w:r>
        <w:rPr>
          <w:color w:val="231F20"/>
          <w:spacing w:val="-18"/>
          <w:w w:val="110"/>
        </w:rPr>
        <w:t> </w:t>
      </w:r>
      <w:r>
        <w:rPr>
          <w:color w:val="231F20"/>
          <w:w w:val="110"/>
        </w:rPr>
        <w:t>el</w:t>
      </w:r>
      <w:r>
        <w:rPr>
          <w:color w:val="231F20"/>
          <w:spacing w:val="-17"/>
          <w:w w:val="110"/>
        </w:rPr>
        <w:t> </w:t>
      </w:r>
      <w:r>
        <w:rPr>
          <w:color w:val="231F20"/>
          <w:w w:val="110"/>
        </w:rPr>
        <w:t>proceso</w:t>
      </w:r>
      <w:r>
        <w:rPr>
          <w:color w:val="231F20"/>
          <w:spacing w:val="-17"/>
          <w:w w:val="110"/>
        </w:rPr>
        <w:t> </w:t>
      </w:r>
      <w:r>
        <w:rPr>
          <w:color w:val="231F20"/>
          <w:w w:val="110"/>
        </w:rPr>
        <w:t>de</w:t>
      </w:r>
      <w:r>
        <w:rPr>
          <w:color w:val="231F20"/>
          <w:spacing w:val="-18"/>
          <w:w w:val="110"/>
        </w:rPr>
        <w:t> </w:t>
      </w:r>
      <w:r>
        <w:rPr>
          <w:color w:val="231F20"/>
          <w:w w:val="110"/>
        </w:rPr>
        <w:t>deflación</w:t>
      </w:r>
      <w:r>
        <w:rPr>
          <w:color w:val="231F20"/>
          <w:spacing w:val="-17"/>
          <w:w w:val="110"/>
        </w:rPr>
        <w:t> </w:t>
      </w:r>
      <w:r>
        <w:rPr>
          <w:color w:val="231F20"/>
          <w:w w:val="110"/>
        </w:rPr>
        <w:t>de</w:t>
      </w:r>
      <w:r>
        <w:rPr>
          <w:color w:val="231F20"/>
          <w:spacing w:val="-18"/>
          <w:w w:val="110"/>
        </w:rPr>
        <w:t> </w:t>
      </w:r>
      <w:r>
        <w:rPr>
          <w:color w:val="231F20"/>
          <w:w w:val="110"/>
        </w:rPr>
        <w:t>la</w:t>
      </w:r>
      <w:r>
        <w:rPr>
          <w:color w:val="231F20"/>
          <w:spacing w:val="-17"/>
          <w:w w:val="110"/>
        </w:rPr>
        <w:t> </w:t>
      </w:r>
      <w:r>
        <w:rPr>
          <w:color w:val="231F20"/>
          <w:w w:val="110"/>
        </w:rPr>
        <w:t>burbuja</w:t>
      </w:r>
      <w:r>
        <w:rPr>
          <w:color w:val="231F20"/>
          <w:spacing w:val="-17"/>
          <w:w w:val="110"/>
        </w:rPr>
        <w:t> </w:t>
      </w:r>
      <w:r>
        <w:rPr>
          <w:color w:val="231F20"/>
          <w:w w:val="110"/>
        </w:rPr>
        <w:t>financie- ra en Japón a lo largo de los últimos dos decenios; se puede</w:t>
      </w:r>
      <w:r>
        <w:rPr>
          <w:color w:val="231F20"/>
          <w:spacing w:val="-11"/>
          <w:w w:val="110"/>
        </w:rPr>
        <w:t> </w:t>
      </w:r>
      <w:r>
        <w:rPr>
          <w:color w:val="231F20"/>
          <w:w w:val="110"/>
        </w:rPr>
        <w:t>apreciar la significativa caída tanto del índice principal de la bolsa de </w:t>
      </w:r>
      <w:r>
        <w:rPr>
          <w:color w:val="231F20"/>
          <w:spacing w:val="-4"/>
          <w:w w:val="110"/>
        </w:rPr>
        <w:t>Tokio </w:t>
      </w:r>
      <w:r>
        <w:rPr>
          <w:color w:val="231F20"/>
          <w:w w:val="110"/>
        </w:rPr>
        <w:t>como del valor de las propiedades en Japón, los cuales hoy en día representan tan sólo un cuarto del valor alcanzado durante el pico  de la burbuja. La caída masiva de los precios de los activos tuvo un efecto devastador sobre las hojas de balance del sector privado. Por un lado los bancos vieron cómo los préstamos insolventes crecieron dentro de su portafolio a lo largo del decenio hasta alcanzar un</w:t>
      </w:r>
      <w:r>
        <w:rPr>
          <w:color w:val="231F20"/>
          <w:spacing w:val="-24"/>
          <w:w w:val="110"/>
        </w:rPr>
        <w:t> </w:t>
      </w:r>
      <w:r>
        <w:rPr>
          <w:color w:val="231F20"/>
          <w:w w:val="110"/>
        </w:rPr>
        <w:t>valor equivalente a 12% del pib japonés (Okina y Shiratsuka, 2002). Este fenómeno</w:t>
      </w:r>
      <w:r>
        <w:rPr>
          <w:color w:val="231F20"/>
          <w:spacing w:val="-13"/>
          <w:w w:val="110"/>
        </w:rPr>
        <w:t> </w:t>
      </w:r>
      <w:r>
        <w:rPr>
          <w:color w:val="231F20"/>
          <w:w w:val="110"/>
        </w:rPr>
        <w:t>a</w:t>
      </w:r>
      <w:r>
        <w:rPr>
          <w:color w:val="231F20"/>
          <w:spacing w:val="-13"/>
          <w:w w:val="110"/>
        </w:rPr>
        <w:t> </w:t>
      </w:r>
      <w:r>
        <w:rPr>
          <w:color w:val="231F20"/>
          <w:w w:val="110"/>
        </w:rPr>
        <w:t>su</w:t>
      </w:r>
      <w:r>
        <w:rPr>
          <w:color w:val="231F20"/>
          <w:spacing w:val="-13"/>
          <w:w w:val="110"/>
        </w:rPr>
        <w:t> </w:t>
      </w:r>
      <w:r>
        <w:rPr>
          <w:color w:val="231F20"/>
          <w:w w:val="110"/>
        </w:rPr>
        <w:t>vez</w:t>
      </w:r>
      <w:r>
        <w:rPr>
          <w:color w:val="231F20"/>
          <w:spacing w:val="-13"/>
          <w:w w:val="110"/>
        </w:rPr>
        <w:t> </w:t>
      </w:r>
      <w:r>
        <w:rPr>
          <w:color w:val="231F20"/>
          <w:w w:val="110"/>
        </w:rPr>
        <w:t>incapacitó</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bancos</w:t>
      </w:r>
      <w:r>
        <w:rPr>
          <w:color w:val="231F20"/>
          <w:spacing w:val="-13"/>
          <w:w w:val="110"/>
        </w:rPr>
        <w:t> </w:t>
      </w:r>
      <w:r>
        <w:rPr>
          <w:color w:val="231F20"/>
          <w:w w:val="110"/>
        </w:rPr>
        <w:t>para</w:t>
      </w:r>
      <w:r>
        <w:rPr>
          <w:color w:val="231F20"/>
          <w:spacing w:val="-13"/>
          <w:w w:val="110"/>
        </w:rPr>
        <w:t> </w:t>
      </w:r>
      <w:r>
        <w:rPr>
          <w:color w:val="231F20"/>
          <w:w w:val="110"/>
        </w:rPr>
        <w:t>reactivar</w:t>
      </w:r>
      <w:r>
        <w:rPr>
          <w:color w:val="231F20"/>
          <w:spacing w:val="-13"/>
          <w:w w:val="110"/>
        </w:rPr>
        <w:t> </w:t>
      </w:r>
      <w:r>
        <w:rPr>
          <w:color w:val="231F20"/>
          <w:w w:val="110"/>
        </w:rPr>
        <w:t>el</w:t>
      </w:r>
      <w:r>
        <w:rPr>
          <w:color w:val="231F20"/>
          <w:spacing w:val="-13"/>
          <w:w w:val="110"/>
        </w:rPr>
        <w:t> </w:t>
      </w:r>
      <w:r>
        <w:rPr>
          <w:color w:val="231F20"/>
          <w:w w:val="110"/>
        </w:rPr>
        <w:t>crédito,</w:t>
      </w:r>
      <w:r>
        <w:rPr>
          <w:color w:val="231F20"/>
          <w:spacing w:val="-13"/>
          <w:w w:val="110"/>
        </w:rPr>
        <w:t> </w:t>
      </w:r>
      <w:r>
        <w:rPr>
          <w:color w:val="231F20"/>
          <w:w w:val="110"/>
        </w:rPr>
        <w:t>lo que</w:t>
      </w:r>
      <w:r>
        <w:rPr>
          <w:color w:val="231F20"/>
          <w:spacing w:val="-15"/>
          <w:w w:val="110"/>
        </w:rPr>
        <w:t> </w:t>
      </w:r>
      <w:r>
        <w:rPr>
          <w:color w:val="231F20"/>
          <w:w w:val="110"/>
        </w:rPr>
        <w:t>aceleró</w:t>
      </w:r>
      <w:r>
        <w:rPr>
          <w:color w:val="231F20"/>
          <w:spacing w:val="-15"/>
          <w:w w:val="110"/>
        </w:rPr>
        <w:t> </w:t>
      </w:r>
      <w:r>
        <w:rPr>
          <w:color w:val="231F20"/>
          <w:w w:val="110"/>
        </w:rPr>
        <w:t>la</w:t>
      </w:r>
      <w:r>
        <w:rPr>
          <w:color w:val="231F20"/>
          <w:spacing w:val="-15"/>
          <w:w w:val="110"/>
        </w:rPr>
        <w:t> </w:t>
      </w:r>
      <w:r>
        <w:rPr>
          <w:color w:val="231F20"/>
          <w:w w:val="110"/>
        </w:rPr>
        <w:t>caída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precios.</w:t>
      </w:r>
      <w:r>
        <w:rPr>
          <w:color w:val="231F20"/>
          <w:spacing w:val="-15"/>
          <w:w w:val="110"/>
        </w:rPr>
        <w:t> </w:t>
      </w:r>
      <w:r>
        <w:rPr>
          <w:color w:val="231F20"/>
          <w:w w:val="110"/>
        </w:rPr>
        <w:t>Por</w:t>
      </w:r>
      <w:r>
        <w:rPr>
          <w:color w:val="231F20"/>
          <w:spacing w:val="-15"/>
          <w:w w:val="110"/>
        </w:rPr>
        <w:t> </w:t>
      </w:r>
      <w:r>
        <w:rPr>
          <w:color w:val="231F20"/>
          <w:w w:val="110"/>
        </w:rPr>
        <w:t>otro</w:t>
      </w:r>
      <w:r>
        <w:rPr>
          <w:color w:val="231F20"/>
          <w:spacing w:val="-15"/>
          <w:w w:val="110"/>
        </w:rPr>
        <w:t> </w:t>
      </w:r>
      <w:r>
        <w:rPr>
          <w:color w:val="231F20"/>
          <w:w w:val="110"/>
        </w:rPr>
        <w:t>lado,</w:t>
      </w:r>
      <w:r>
        <w:rPr>
          <w:color w:val="231F20"/>
          <w:spacing w:val="-15"/>
          <w:w w:val="110"/>
        </w:rPr>
        <w:t> </w:t>
      </w:r>
      <w:r>
        <w:rPr>
          <w:color w:val="231F20"/>
          <w:w w:val="110"/>
        </w:rPr>
        <w:t>la</w:t>
      </w:r>
      <w:r>
        <w:rPr>
          <w:color w:val="231F20"/>
          <w:spacing w:val="-15"/>
          <w:w w:val="110"/>
        </w:rPr>
        <w:t> </w:t>
      </w:r>
      <w:r>
        <w:rPr>
          <w:color w:val="231F20"/>
          <w:w w:val="110"/>
        </w:rPr>
        <w:t>riqueza</w:t>
      </w:r>
      <w:r>
        <w:rPr>
          <w:color w:val="231F20"/>
          <w:spacing w:val="-15"/>
          <w:w w:val="110"/>
        </w:rPr>
        <w:t> </w:t>
      </w:r>
      <w:r>
        <w:rPr>
          <w:color w:val="231F20"/>
          <w:w w:val="110"/>
        </w:rPr>
        <w:t>financiera de los hogares japoneses sufrió un fuerte golpe, al caer alrededor de 50% desde el inicio de la crisis hasta la fecha (Artus,</w:t>
      </w:r>
      <w:r>
        <w:rPr>
          <w:color w:val="231F20"/>
          <w:spacing w:val="10"/>
          <w:w w:val="110"/>
        </w:rPr>
        <w:t> </w:t>
      </w:r>
      <w:r>
        <w:rPr>
          <w:color w:val="231F20"/>
          <w:w w:val="110"/>
        </w:rPr>
        <w:t>2009).</w:t>
      </w:r>
    </w:p>
    <w:p>
      <w:pPr>
        <w:spacing w:after="0" w:line="261" w:lineRule="auto"/>
        <w:jc w:val="both"/>
        <w:sectPr>
          <w:headerReference w:type="even" r:id="rId160"/>
          <w:headerReference w:type="default" r:id="rId161"/>
          <w:pgSz w:w="7640" w:h="11900"/>
          <w:pgMar w:header="672" w:footer="0" w:top="860" w:bottom="280" w:left="780" w:right="640"/>
        </w:sectPr>
      </w:pPr>
    </w:p>
    <w:p>
      <w:pPr>
        <w:pStyle w:val="BodyText"/>
        <w:spacing w:before="9"/>
        <w:rPr>
          <w:sz w:val="8"/>
        </w:rPr>
      </w:pPr>
    </w:p>
    <w:p>
      <w:pPr>
        <w:spacing w:line="290" w:lineRule="auto" w:before="70"/>
        <w:ind w:left="100" w:right="1138" w:firstLine="0"/>
        <w:jc w:val="left"/>
        <w:rPr>
          <w:sz w:val="18"/>
        </w:rPr>
      </w:pPr>
      <w:r>
        <w:rPr>
          <w:color w:val="231F20"/>
          <w:w w:val="120"/>
          <w:sz w:val="18"/>
        </w:rPr>
        <w:t>gráfica 4. evolución de índices nikkei 225-precios de propiedades, </w:t>
      </w:r>
      <w:r>
        <w:rPr>
          <w:color w:val="231F20"/>
          <w:w w:val="115"/>
          <w:sz w:val="18"/>
        </w:rPr>
        <w:t>japón, 1989-2008</w:t>
      </w:r>
    </w:p>
    <w:p>
      <w:pPr>
        <w:spacing w:after="0" w:line="290" w:lineRule="auto"/>
        <w:jc w:val="left"/>
        <w:rPr>
          <w:sz w:val="18"/>
        </w:rPr>
        <w:sectPr>
          <w:pgSz w:w="7640" w:h="11900"/>
          <w:pgMar w:header="672" w:footer="0" w:top="860" w:bottom="280" w:left="660" w:right="0"/>
        </w:sectPr>
      </w:pPr>
    </w:p>
    <w:p>
      <w:pPr>
        <w:spacing w:before="96"/>
        <w:ind w:left="595" w:right="-18" w:firstLine="0"/>
        <w:jc w:val="left"/>
        <w:rPr>
          <w:sz w:val="16"/>
        </w:rPr>
      </w:pPr>
      <w:r>
        <w:rPr>
          <w:color w:val="231F20"/>
          <w:w w:val="105"/>
          <w:sz w:val="16"/>
        </w:rPr>
        <w:t>45 000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40 000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35 000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pict>
          <v:shape style="position:absolute;margin-left:52.471199pt;margin-top:-1.507758pt;width:10pt;height:63.3pt;mso-position-horizontal-relative:page;mso-position-vertical-relative:paragraph;z-index:5488" type="#_x0000_t202" filled="false" stroked="false">
            <v:textbox inset="0,0,0,0" style="layout-flow:vertical;mso-layout-flow-alt:bottom-to-top">
              <w:txbxContent>
                <w:p>
                  <w:pPr>
                    <w:spacing w:line="178" w:lineRule="exact" w:before="0"/>
                    <w:ind w:left="20" w:right="-298" w:firstLine="0"/>
                    <w:jc w:val="left"/>
                    <w:rPr>
                      <w:sz w:val="16"/>
                    </w:rPr>
                  </w:pPr>
                  <w:r>
                    <w:rPr>
                      <w:color w:val="231F20"/>
                      <w:w w:val="111"/>
                      <w:sz w:val="16"/>
                    </w:rPr>
                    <w:t>índice</w:t>
                  </w:r>
                  <w:r>
                    <w:rPr>
                      <w:color w:val="231F20"/>
                      <w:spacing w:val="1"/>
                      <w:sz w:val="16"/>
                    </w:rPr>
                    <w:t> </w:t>
                  </w:r>
                  <w:r>
                    <w:rPr>
                      <w:color w:val="231F20"/>
                      <w:w w:val="105"/>
                      <w:sz w:val="16"/>
                    </w:rPr>
                    <w:t>Nikkei</w:t>
                  </w:r>
                  <w:r>
                    <w:rPr>
                      <w:color w:val="231F20"/>
                      <w:spacing w:val="1"/>
                      <w:sz w:val="16"/>
                    </w:rPr>
                    <w:t> </w:t>
                  </w:r>
                  <w:r>
                    <w:rPr>
                      <w:color w:val="231F20"/>
                      <w:w w:val="104"/>
                      <w:sz w:val="16"/>
                    </w:rPr>
                    <w:t>225</w:t>
                  </w:r>
                </w:p>
              </w:txbxContent>
            </v:textbox>
            <w10:wrap type="none"/>
          </v:shape>
        </w:pict>
      </w:r>
      <w:r>
        <w:rPr>
          <w:color w:val="231F20"/>
          <w:w w:val="105"/>
          <w:sz w:val="16"/>
        </w:rPr>
        <w:t>30 000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25 000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20 000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15 000</w:t>
      </w:r>
      <w:r>
        <w:rPr>
          <w:color w:val="231F20"/>
          <w:spacing w:val="-14"/>
          <w:w w:val="105"/>
          <w:sz w:val="16"/>
        </w:rPr>
        <w:t> </w:t>
      </w:r>
      <w:r>
        <w:rPr>
          <w:color w:val="231F20"/>
          <w:w w:val="105"/>
          <w:sz w:val="16"/>
        </w:rPr>
        <w:t>—</w:t>
      </w:r>
    </w:p>
    <w:p>
      <w:pPr>
        <w:pStyle w:val="BodyText"/>
        <w:spacing w:before="8"/>
        <w:rPr>
          <w:sz w:val="13"/>
        </w:rPr>
      </w:pPr>
    </w:p>
    <w:p>
      <w:pPr>
        <w:spacing w:before="0"/>
        <w:ind w:left="595" w:right="-18" w:firstLine="0"/>
        <w:jc w:val="left"/>
        <w:rPr>
          <w:sz w:val="16"/>
        </w:rPr>
      </w:pPr>
      <w:r>
        <w:rPr>
          <w:color w:val="231F20"/>
          <w:w w:val="105"/>
          <w:sz w:val="16"/>
        </w:rPr>
        <w:t>10 000</w:t>
      </w:r>
      <w:r>
        <w:rPr>
          <w:color w:val="231F20"/>
          <w:spacing w:val="-14"/>
          <w:w w:val="105"/>
          <w:sz w:val="16"/>
        </w:rPr>
        <w:t> </w:t>
      </w:r>
      <w:r>
        <w:rPr>
          <w:color w:val="231F20"/>
          <w:w w:val="105"/>
          <w:sz w:val="16"/>
        </w:rPr>
        <w:t>—</w:t>
      </w:r>
    </w:p>
    <w:p>
      <w:pPr>
        <w:pStyle w:val="BodyText"/>
        <w:spacing w:before="8"/>
        <w:rPr>
          <w:sz w:val="13"/>
        </w:rPr>
      </w:pPr>
    </w:p>
    <w:p>
      <w:pPr>
        <w:spacing w:before="0"/>
        <w:ind w:left="678" w:right="-17" w:firstLine="0"/>
        <w:jc w:val="left"/>
        <w:rPr>
          <w:sz w:val="16"/>
        </w:rPr>
      </w:pPr>
      <w:r>
        <w:rPr>
          <w:color w:val="231F20"/>
          <w:w w:val="105"/>
          <w:sz w:val="16"/>
        </w:rPr>
        <w:t>5 000</w:t>
      </w:r>
      <w:r>
        <w:rPr>
          <w:color w:val="231F20"/>
          <w:spacing w:val="-14"/>
          <w:w w:val="105"/>
          <w:sz w:val="16"/>
        </w:rPr>
        <w:t> </w:t>
      </w:r>
      <w:r>
        <w:rPr>
          <w:color w:val="231F20"/>
          <w:w w:val="105"/>
          <w:sz w:val="16"/>
        </w:rPr>
        <w:t>—</w:t>
      </w:r>
    </w:p>
    <w:p>
      <w:pPr>
        <w:pStyle w:val="BodyText"/>
        <w:spacing w:before="8"/>
        <w:rPr>
          <w:sz w:val="13"/>
        </w:rPr>
      </w:pPr>
    </w:p>
    <w:p>
      <w:pPr>
        <w:spacing w:before="0"/>
        <w:ind w:left="0" w:right="0" w:firstLine="0"/>
        <w:jc w:val="right"/>
        <w:rPr>
          <w:sz w:val="16"/>
        </w:rPr>
      </w:pPr>
      <w:r>
        <w:rPr/>
        <w:pict>
          <v:shape style="position:absolute;margin-left:91.971199pt;margin-top:7.408352pt;width:10pt;height:28.75pt;mso-position-horizontal-relative:page;mso-position-vertical-relative:paragraph;z-index:-3518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1989</w:t>
                  </w:r>
                  <w:r>
                    <w:rPr>
                      <w:color w:val="231F20"/>
                      <w:spacing w:val="1"/>
                      <w:sz w:val="16"/>
                    </w:rPr>
                    <w:t> </w:t>
                  </w:r>
                  <w:r>
                    <w:rPr>
                      <w:color w:val="231F20"/>
                      <w:sz w:val="16"/>
                    </w:rPr>
                    <w:t>—</w:t>
                  </w:r>
                </w:p>
              </w:txbxContent>
            </v:textbox>
            <w10:wrap type="none"/>
          </v:shape>
        </w:pict>
      </w:r>
      <w:r>
        <w:rPr>
          <w:color w:val="231F20"/>
          <w:sz w:val="16"/>
        </w:rPr>
        <w:t>0 —</w:t>
      </w:r>
    </w:p>
    <w:p>
      <w:pPr>
        <w:spacing w:before="101"/>
        <w:ind w:left="595" w:right="0" w:firstLine="0"/>
        <w:jc w:val="left"/>
        <w:rPr>
          <w:sz w:val="16"/>
        </w:rPr>
      </w:pPr>
      <w:r>
        <w:rPr/>
        <w:br w:type="column"/>
      </w:r>
      <w:r>
        <w:rPr>
          <w:color w:val="231F20"/>
          <w:sz w:val="16"/>
        </w:rPr>
        <w:t>— 160</w:t>
      </w:r>
    </w:p>
    <w:p>
      <w:pPr>
        <w:pStyle w:val="BodyText"/>
        <w:spacing w:before="4"/>
        <w:rPr>
          <w:sz w:val="17"/>
        </w:rPr>
      </w:pPr>
    </w:p>
    <w:p>
      <w:pPr>
        <w:spacing w:before="0"/>
        <w:ind w:left="595" w:right="0" w:firstLine="0"/>
        <w:jc w:val="left"/>
        <w:rPr>
          <w:sz w:val="16"/>
        </w:rPr>
      </w:pPr>
      <w:r>
        <w:rPr/>
        <w:pict>
          <v:group style="position:absolute;margin-left:96.299896pt;margin-top:-13.643545pt;width:192.05pt;height:153.950pt;mso-position-horizontal-relative:page;mso-position-vertical-relative:paragraph;z-index:5464" coordorigin="1926,-273" coordsize="3841,3079">
            <v:shape style="position:absolute;left:1931;top:-268;width:3831;height:3069" coordorigin="1931,-268" coordsize="3831,3069" path="m1931,-268l1931,2801,5762,2800,5762,-268e" filled="false" stroked="true" strokeweight=".5pt" strokecolor="#231f20">
              <v:path arrowok="t"/>
            </v:shape>
            <v:shape style="position:absolute;left:2034;top:104;width:3624;height:2125" coordorigin="2034,104" coordsize="3624,2125" path="m2034,104l2214,1158,2418,1208,2598,1640,2796,1622,2982,1448,3168,1442,3372,1484,3546,1760,3744,1868,3936,1518,4128,1868,4314,2096,4518,2228,4698,2078,4896,2038,5084,1706,5286,1628,5478,1772,5658,2198e" filled="false" stroked="true" strokeweight=".5pt" strokecolor="#231f20">
              <v:path arrowok="t"/>
            </v:shape>
            <v:line style="position:absolute" from="2063,294" to="2201,240" stroked="true" strokeweight=".5pt" strokecolor="#231f20">
              <v:stroke dashstyle="dash"/>
            </v:line>
            <v:line style="position:absolute" from="2241,261" to="2593,1006" stroked="true" strokeweight=".5pt" strokecolor="#231f20">
              <v:stroke dashstyle="dash"/>
            </v:line>
            <v:line style="position:absolute" from="2627,1052" to="2987,1425" stroked="true" strokeweight=".5pt" strokecolor="#231f20">
              <v:stroke dashstyle="dash"/>
            </v:line>
            <v:line style="position:absolute" from="3033,1469" to="3148,1573" stroked="true" strokeweight=".5pt" strokecolor="#231f20">
              <v:stroke dashstyle="dash"/>
            </v:line>
            <v:line style="position:absolute" from="3203,1608" to="3341,1671" stroked="true" strokeweight=".5pt" strokecolor="#231f20">
              <v:stroke dashstyle="dash"/>
            </v:line>
            <v:line style="position:absolute" from="3400,1691" to="3534,1724" stroked="true" strokeweight=".5pt" strokecolor="#231f20">
              <v:stroke dashstyle="dash"/>
            </v:line>
            <v:line style="position:absolute" from="3590,1743" to="4213,1997" stroked="true" strokeweight=".5pt" strokecolor="#231f20">
              <v:stroke dashstyle="dash"/>
            </v:line>
            <v:line style="position:absolute" from="4270,2017" to="4644,2136" stroked="true" strokeweight=".5pt" strokecolor="#231f20">
              <v:stroke dashstyle="dash"/>
            </v:line>
            <v:line style="position:absolute" from="4706,2153" to="4857,2186" stroked="true" strokeweight=".5pt" strokecolor="#231f20">
              <v:stroke dashstyle="dash"/>
            </v:line>
            <v:line style="position:absolute" from="4920,2186" to="5063,2162" stroked="true" strokeweight=".5pt" strokecolor="#231f20">
              <v:stroke dashstyle="dash"/>
            </v:line>
            <v:line style="position:absolute" from="5118,2147" to="5282,2086" stroked="true" strokeweight=".5pt" strokecolor="#231f20">
              <v:stroke dashstyle="dash"/>
            </v:line>
            <v:line style="position:absolute" from="5334,2069" to="5456,2031" stroked="true" strokeweight=".5pt" strokecolor="#231f20">
              <v:stroke dashstyle="dash"/>
            </v:line>
            <v:line style="position:absolute" from="5508,2039" to="5630,2098" stroked="true" strokeweight=".5pt" strokecolor="#231f20">
              <v:stroke dashstyle="dash"/>
            </v:line>
            <v:shape style="position:absolute;left:0;top:9795;width:3624;height:1962" coordorigin="0,9795" coordsize="3624,1962" path="m2028,308l2043,302m2211,236l2226,230,2232,244m2598,1015l2604,1028,2614,1039m2994,1432l3004,1442,3016,1453m3156,1581l3168,1592,3183,1599m3351,1676l3366,1682,3380,1686m3544,1727l3558,1730,3572,1736m4222,2001l4236,2006,4250,2011m4654,2140l4668,2144,4684,2148m4868,2189l4884,2192,4899,2190m5073,2161l5088,2158,5101,2153m5291,2083l5304,2078,5317,2074m5465,2028l5478,2024,5491,2031m5639,2102l5652,2108e" filled="false" stroked="true" strokeweight=".5pt" strokecolor="#231f20">
              <v:path arrowok="t"/>
            </v:shape>
            <v:shape style="position:absolute;left:2436;top:500;width:1618;height:161" type="#_x0000_t202" filled="false" stroked="false">
              <v:textbox inset="0,0,0,0">
                <w:txbxContent>
                  <w:p>
                    <w:pPr>
                      <w:spacing w:line="158" w:lineRule="exact" w:before="0"/>
                      <w:ind w:left="0" w:right="-17" w:firstLine="0"/>
                      <w:jc w:val="left"/>
                      <w:rPr>
                        <w:sz w:val="16"/>
                      </w:rPr>
                    </w:pPr>
                    <w:r>
                      <w:rPr>
                        <w:color w:val="231F20"/>
                        <w:w w:val="115"/>
                        <w:sz w:val="16"/>
                      </w:rPr>
                      <w:t>Valor de la tierra</w:t>
                    </w:r>
                    <w:r>
                      <w:rPr>
                        <w:color w:val="231F20"/>
                        <w:spacing w:val="-30"/>
                        <w:w w:val="115"/>
                        <w:sz w:val="16"/>
                      </w:rPr>
                      <w:t> </w:t>
                    </w:r>
                    <w:r>
                      <w:rPr>
                        <w:color w:val="231F20"/>
                        <w:w w:val="115"/>
                        <w:sz w:val="16"/>
                      </w:rPr>
                      <w:t>(rhs)</w:t>
                    </w:r>
                  </w:p>
                </w:txbxContent>
              </v:textbox>
              <w10:wrap type="none"/>
            </v:shape>
            <v:shape style="position:absolute;left:1992;top:1724;width:1385;height:161" type="#_x0000_t202" filled="false" stroked="false">
              <v:textbox inset="0,0,0,0">
                <w:txbxContent>
                  <w:p>
                    <w:pPr>
                      <w:spacing w:line="158" w:lineRule="exact" w:before="0"/>
                      <w:ind w:left="0" w:right="-18" w:firstLine="0"/>
                      <w:jc w:val="left"/>
                      <w:rPr>
                        <w:sz w:val="16"/>
                      </w:rPr>
                    </w:pPr>
                    <w:r>
                      <w:rPr>
                        <w:color w:val="231F20"/>
                        <w:w w:val="115"/>
                        <w:sz w:val="16"/>
                      </w:rPr>
                      <w:t>Ìndice Nikkei</w:t>
                    </w:r>
                    <w:r>
                      <w:rPr>
                        <w:color w:val="231F20"/>
                        <w:spacing w:val="-7"/>
                        <w:w w:val="115"/>
                        <w:sz w:val="16"/>
                      </w:rPr>
                      <w:t> </w:t>
                    </w:r>
                    <w:r>
                      <w:rPr>
                        <w:color w:val="231F20"/>
                        <w:w w:val="115"/>
                        <w:sz w:val="16"/>
                      </w:rPr>
                      <w:t>(lhs)</w:t>
                    </w:r>
                  </w:p>
                </w:txbxContent>
              </v:textbox>
              <w10:wrap type="none"/>
            </v:shape>
            <w10:wrap type="none"/>
          </v:group>
        </w:pict>
      </w:r>
      <w:r>
        <w:rPr/>
        <w:pict>
          <v:shape style="position:absolute;margin-left:312.471191pt;margin-top:-5.739752pt;width:10pt;height:136.1pt;mso-position-horizontal-relative:page;mso-position-vertical-relative:paragraph;z-index:5752"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11"/>
                      <w:sz w:val="16"/>
                    </w:rPr>
                    <w:t>índice</w:t>
                  </w:r>
                  <w:r>
                    <w:rPr>
                      <w:color w:val="231F20"/>
                      <w:spacing w:val="1"/>
                      <w:sz w:val="16"/>
                    </w:rPr>
                    <w:t> </w:t>
                  </w:r>
                  <w:r>
                    <w:rPr>
                      <w:color w:val="231F20"/>
                      <w:w w:val="114"/>
                      <w:sz w:val="16"/>
                    </w:rPr>
                    <w:t>de</w:t>
                  </w:r>
                  <w:r>
                    <w:rPr>
                      <w:color w:val="231F20"/>
                      <w:spacing w:val="1"/>
                      <w:sz w:val="16"/>
                    </w:rPr>
                    <w:t> </w:t>
                  </w:r>
                  <w:r>
                    <w:rPr>
                      <w:color w:val="231F20"/>
                      <w:w w:val="104"/>
                      <w:sz w:val="16"/>
                    </w:rPr>
                    <w:t>valor</w:t>
                  </w:r>
                  <w:r>
                    <w:rPr>
                      <w:color w:val="231F20"/>
                      <w:spacing w:val="1"/>
                      <w:sz w:val="16"/>
                    </w:rPr>
                    <w:t> </w:t>
                  </w:r>
                  <w:r>
                    <w:rPr>
                      <w:color w:val="231F20"/>
                      <w:w w:val="114"/>
                      <w:sz w:val="16"/>
                    </w:rPr>
                    <w:t>de</w:t>
                  </w:r>
                  <w:r>
                    <w:rPr>
                      <w:color w:val="231F20"/>
                      <w:spacing w:val="1"/>
                      <w:sz w:val="16"/>
                    </w:rPr>
                    <w:t> </w:t>
                  </w:r>
                  <w:r>
                    <w:rPr>
                      <w:color w:val="231F20"/>
                      <w:w w:val="105"/>
                      <w:sz w:val="16"/>
                    </w:rPr>
                    <w:t>la</w:t>
                  </w:r>
                  <w:r>
                    <w:rPr>
                      <w:color w:val="231F20"/>
                      <w:spacing w:val="1"/>
                      <w:sz w:val="16"/>
                    </w:rPr>
                    <w:t> </w:t>
                  </w:r>
                  <w:r>
                    <w:rPr>
                      <w:color w:val="231F20"/>
                      <w:w w:val="112"/>
                      <w:sz w:val="16"/>
                    </w:rPr>
                    <w:t>tierra</w:t>
                  </w:r>
                  <w:r>
                    <w:rPr>
                      <w:color w:val="231F20"/>
                      <w:spacing w:val="1"/>
                      <w:sz w:val="16"/>
                    </w:rPr>
                    <w:t> </w:t>
                  </w:r>
                  <w:r>
                    <w:rPr>
                      <w:color w:val="231F20"/>
                      <w:w w:val="106"/>
                      <w:sz w:val="16"/>
                    </w:rPr>
                    <w:t>(1998=100)</w:t>
                  </w:r>
                </w:p>
              </w:txbxContent>
            </v:textbox>
            <w10:wrap type="none"/>
          </v:shape>
        </w:pict>
      </w:r>
      <w:r>
        <w:rPr>
          <w:color w:val="231F20"/>
          <w:sz w:val="16"/>
        </w:rPr>
        <w:t>—140</w:t>
      </w:r>
    </w:p>
    <w:p>
      <w:pPr>
        <w:pStyle w:val="BodyText"/>
        <w:spacing w:before="4"/>
        <w:rPr>
          <w:sz w:val="17"/>
        </w:rPr>
      </w:pPr>
    </w:p>
    <w:p>
      <w:pPr>
        <w:spacing w:before="0"/>
        <w:ind w:left="595" w:right="0" w:firstLine="0"/>
        <w:jc w:val="left"/>
        <w:rPr>
          <w:sz w:val="16"/>
        </w:rPr>
      </w:pPr>
      <w:r>
        <w:rPr>
          <w:color w:val="231F20"/>
          <w:sz w:val="16"/>
        </w:rPr>
        <w:t>— 120</w:t>
      </w:r>
    </w:p>
    <w:p>
      <w:pPr>
        <w:pStyle w:val="BodyText"/>
        <w:spacing w:before="4"/>
        <w:rPr>
          <w:sz w:val="17"/>
        </w:rPr>
      </w:pPr>
    </w:p>
    <w:p>
      <w:pPr>
        <w:spacing w:before="0"/>
        <w:ind w:left="595" w:right="0" w:firstLine="0"/>
        <w:jc w:val="left"/>
        <w:rPr>
          <w:sz w:val="16"/>
        </w:rPr>
      </w:pPr>
      <w:r>
        <w:rPr>
          <w:color w:val="231F20"/>
          <w:sz w:val="16"/>
        </w:rPr>
        <w:t>— 100</w:t>
      </w:r>
    </w:p>
    <w:p>
      <w:pPr>
        <w:pStyle w:val="BodyText"/>
        <w:spacing w:before="4"/>
        <w:rPr>
          <w:sz w:val="17"/>
        </w:rPr>
      </w:pPr>
    </w:p>
    <w:p>
      <w:pPr>
        <w:spacing w:before="0"/>
        <w:ind w:left="595" w:right="0" w:firstLine="0"/>
        <w:jc w:val="left"/>
        <w:rPr>
          <w:sz w:val="16"/>
        </w:rPr>
      </w:pPr>
      <w:r>
        <w:rPr>
          <w:color w:val="231F20"/>
          <w:sz w:val="16"/>
        </w:rPr>
        <w:t>— 80</w:t>
      </w:r>
    </w:p>
    <w:p>
      <w:pPr>
        <w:pStyle w:val="BodyText"/>
        <w:spacing w:before="4"/>
        <w:rPr>
          <w:sz w:val="17"/>
        </w:rPr>
      </w:pPr>
    </w:p>
    <w:p>
      <w:pPr>
        <w:spacing w:before="0"/>
        <w:ind w:left="595" w:right="0" w:firstLine="0"/>
        <w:jc w:val="left"/>
        <w:rPr>
          <w:sz w:val="16"/>
        </w:rPr>
      </w:pPr>
      <w:r>
        <w:rPr>
          <w:color w:val="231F20"/>
          <w:sz w:val="16"/>
        </w:rPr>
        <w:t>— 60</w:t>
      </w:r>
    </w:p>
    <w:p>
      <w:pPr>
        <w:pStyle w:val="BodyText"/>
        <w:spacing w:before="4"/>
        <w:rPr>
          <w:sz w:val="17"/>
        </w:rPr>
      </w:pPr>
    </w:p>
    <w:p>
      <w:pPr>
        <w:spacing w:before="0"/>
        <w:ind w:left="595" w:right="0" w:firstLine="0"/>
        <w:jc w:val="left"/>
        <w:rPr>
          <w:sz w:val="16"/>
        </w:rPr>
      </w:pPr>
      <w:r>
        <w:rPr>
          <w:color w:val="231F20"/>
          <w:sz w:val="16"/>
        </w:rPr>
        <w:t>— 40</w:t>
      </w:r>
    </w:p>
    <w:p>
      <w:pPr>
        <w:pStyle w:val="BodyText"/>
        <w:spacing w:before="4"/>
        <w:rPr>
          <w:sz w:val="17"/>
        </w:rPr>
      </w:pPr>
    </w:p>
    <w:p>
      <w:pPr>
        <w:spacing w:before="0"/>
        <w:ind w:left="595" w:right="0" w:firstLine="0"/>
        <w:jc w:val="left"/>
        <w:rPr>
          <w:sz w:val="16"/>
        </w:rPr>
      </w:pPr>
      <w:r>
        <w:rPr>
          <w:color w:val="231F20"/>
          <w:sz w:val="16"/>
        </w:rPr>
        <w:t>— 20</w:t>
      </w:r>
    </w:p>
    <w:p>
      <w:pPr>
        <w:pStyle w:val="BodyText"/>
        <w:spacing w:before="4"/>
        <w:rPr>
          <w:sz w:val="17"/>
        </w:rPr>
      </w:pPr>
    </w:p>
    <w:p>
      <w:pPr>
        <w:spacing w:before="0"/>
        <w:ind w:left="595" w:right="0" w:firstLine="0"/>
        <w:jc w:val="left"/>
        <w:rPr>
          <w:sz w:val="16"/>
        </w:rPr>
      </w:pPr>
      <w:r>
        <w:rPr/>
        <w:pict>
          <v:shape style="position:absolute;margin-left:263.907196pt;margin-top:7.50436pt;width:10pt;height:28.75pt;mso-position-horizontal-relative:page;mso-position-vertical-relative:paragraph;z-index:572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2007</w:t>
                  </w:r>
                  <w:r>
                    <w:rPr>
                      <w:color w:val="231F20"/>
                      <w:spacing w:val="1"/>
                      <w:sz w:val="16"/>
                    </w:rPr>
                    <w:t> </w:t>
                  </w:r>
                  <w:r>
                    <w:rPr>
                      <w:color w:val="231F20"/>
                      <w:sz w:val="16"/>
                    </w:rPr>
                    <w:t>—</w:t>
                  </w:r>
                </w:p>
              </w:txbxContent>
            </v:textbox>
            <w10:wrap type="none"/>
          </v:shape>
        </w:pict>
      </w:r>
      <w:r>
        <w:rPr>
          <w:color w:val="231F20"/>
          <w:sz w:val="16"/>
        </w:rPr>
        <w:t>— 0</w:t>
      </w:r>
    </w:p>
    <w:p>
      <w:pPr>
        <w:spacing w:after="0"/>
        <w:jc w:val="left"/>
        <w:rPr>
          <w:sz w:val="16"/>
        </w:rPr>
        <w:sectPr>
          <w:type w:val="continuous"/>
          <w:pgSz w:w="7640" w:h="11900"/>
          <w:pgMar w:top="980" w:bottom="280" w:left="660" w:right="0"/>
          <w:cols w:num="2" w:equalWidth="0">
            <w:col w:w="1255" w:space="3279"/>
            <w:col w:w="2446"/>
          </w:cols>
        </w:sectPr>
      </w:pPr>
    </w:p>
    <w:p>
      <w:pPr>
        <w:pStyle w:val="BodyText"/>
      </w:pPr>
    </w:p>
    <w:p>
      <w:pPr>
        <w:pStyle w:val="BodyText"/>
      </w:pPr>
    </w:p>
    <w:p>
      <w:pPr>
        <w:pStyle w:val="BodyText"/>
        <w:spacing w:before="4"/>
        <w:rPr>
          <w:sz w:val="19"/>
        </w:rPr>
      </w:pPr>
    </w:p>
    <w:p>
      <w:pPr>
        <w:spacing w:before="0"/>
        <w:ind w:left="100" w:right="0" w:firstLine="0"/>
        <w:jc w:val="left"/>
        <w:rPr>
          <w:sz w:val="18"/>
        </w:rPr>
      </w:pPr>
      <w:r>
        <w:rPr/>
        <w:pict>
          <v:shape style="position:absolute;margin-left:111.075195pt;margin-top:-35.930851pt;width:10pt;height:28.75pt;mso-position-horizontal-relative:page;mso-position-vertical-relative:paragraph;z-index:553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1991</w:t>
                  </w:r>
                  <w:r>
                    <w:rPr>
                      <w:color w:val="231F20"/>
                      <w:spacing w:val="1"/>
                      <w:sz w:val="16"/>
                    </w:rPr>
                    <w:t> </w:t>
                  </w:r>
                  <w:r>
                    <w:rPr>
                      <w:color w:val="231F20"/>
                      <w:sz w:val="16"/>
                    </w:rPr>
                    <w:t>—</w:t>
                  </w:r>
                </w:p>
              </w:txbxContent>
            </v:textbox>
            <w10:wrap type="none"/>
          </v:shape>
        </w:pict>
      </w:r>
      <w:r>
        <w:rPr/>
        <w:pict>
          <v:shape style="position:absolute;margin-left:130.179199pt;margin-top:-35.930851pt;width:10pt;height:28.75pt;mso-position-horizontal-relative:page;mso-position-vertical-relative:paragraph;z-index:556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1993</w:t>
                  </w:r>
                  <w:r>
                    <w:rPr>
                      <w:color w:val="231F20"/>
                      <w:spacing w:val="1"/>
                      <w:sz w:val="16"/>
                    </w:rPr>
                    <w:t> </w:t>
                  </w:r>
                  <w:r>
                    <w:rPr>
                      <w:color w:val="231F20"/>
                      <w:sz w:val="16"/>
                    </w:rPr>
                    <w:t>—</w:t>
                  </w:r>
                </w:p>
              </w:txbxContent>
            </v:textbox>
            <w10:wrap type="none"/>
          </v:shape>
        </w:pict>
      </w:r>
      <w:r>
        <w:rPr/>
        <w:pict>
          <v:shape style="position:absolute;margin-left:149.283203pt;margin-top:-35.930851pt;width:10pt;height:28.75pt;mso-position-horizontal-relative:page;mso-position-vertical-relative:paragraph;z-index:558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1995</w:t>
                  </w:r>
                  <w:r>
                    <w:rPr>
                      <w:color w:val="231F20"/>
                      <w:spacing w:val="1"/>
                      <w:sz w:val="16"/>
                    </w:rPr>
                    <w:t> </w:t>
                  </w:r>
                  <w:r>
                    <w:rPr>
                      <w:color w:val="231F20"/>
                      <w:sz w:val="16"/>
                    </w:rPr>
                    <w:t>—</w:t>
                  </w:r>
                </w:p>
              </w:txbxContent>
            </v:textbox>
            <w10:wrap type="none"/>
          </v:shape>
        </w:pict>
      </w:r>
      <w:r>
        <w:rPr/>
        <w:pict>
          <v:shape style="position:absolute;margin-left:168.387192pt;margin-top:-35.930851pt;width:10pt;height:28.75pt;mso-position-horizontal-relative:page;mso-position-vertical-relative:paragraph;z-index:560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1997</w:t>
                  </w:r>
                  <w:r>
                    <w:rPr>
                      <w:color w:val="231F20"/>
                      <w:spacing w:val="1"/>
                      <w:sz w:val="16"/>
                    </w:rPr>
                    <w:t> </w:t>
                  </w:r>
                  <w:r>
                    <w:rPr>
                      <w:color w:val="231F20"/>
                      <w:sz w:val="16"/>
                    </w:rPr>
                    <w:t>—</w:t>
                  </w:r>
                </w:p>
              </w:txbxContent>
            </v:textbox>
            <w10:wrap type="none"/>
          </v:shape>
        </w:pict>
      </w:r>
      <w:r>
        <w:rPr/>
        <w:pict>
          <v:shape style="position:absolute;margin-left:187.491196pt;margin-top:-35.930851pt;width:10pt;height:28.75pt;mso-position-horizontal-relative:page;mso-position-vertical-relative:paragraph;z-index:56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1999</w:t>
                  </w:r>
                  <w:r>
                    <w:rPr>
                      <w:color w:val="231F20"/>
                      <w:spacing w:val="1"/>
                      <w:sz w:val="16"/>
                    </w:rPr>
                    <w:t> </w:t>
                  </w:r>
                  <w:r>
                    <w:rPr>
                      <w:color w:val="231F20"/>
                      <w:sz w:val="16"/>
                    </w:rPr>
                    <w:t>—</w:t>
                  </w:r>
                </w:p>
              </w:txbxContent>
            </v:textbox>
            <w10:wrap type="none"/>
          </v:shape>
        </w:pict>
      </w:r>
      <w:r>
        <w:rPr/>
        <w:pict>
          <v:shape style="position:absolute;margin-left:206.5952pt;margin-top:-35.930851pt;width:10pt;height:28.75pt;mso-position-horizontal-relative:page;mso-position-vertical-relative:paragraph;z-index:565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2001</w:t>
                  </w:r>
                  <w:r>
                    <w:rPr>
                      <w:color w:val="231F20"/>
                      <w:spacing w:val="1"/>
                      <w:sz w:val="16"/>
                    </w:rPr>
                    <w:t> </w:t>
                  </w:r>
                  <w:r>
                    <w:rPr>
                      <w:color w:val="231F20"/>
                      <w:sz w:val="16"/>
                    </w:rPr>
                    <w:t>—</w:t>
                  </w:r>
                </w:p>
              </w:txbxContent>
            </v:textbox>
            <w10:wrap type="none"/>
          </v:shape>
        </w:pict>
      </w:r>
      <w:r>
        <w:rPr/>
        <w:pict>
          <v:shape style="position:absolute;margin-left:225.699203pt;margin-top:-35.930851pt;width:10pt;height:28.75pt;mso-position-horizontal-relative:page;mso-position-vertical-relative:paragraph;z-index:568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2003</w:t>
                  </w:r>
                  <w:r>
                    <w:rPr>
                      <w:color w:val="231F20"/>
                      <w:spacing w:val="1"/>
                      <w:sz w:val="16"/>
                    </w:rPr>
                    <w:t> </w:t>
                  </w:r>
                  <w:r>
                    <w:rPr>
                      <w:color w:val="231F20"/>
                      <w:sz w:val="16"/>
                    </w:rPr>
                    <w:t>—</w:t>
                  </w:r>
                </w:p>
              </w:txbxContent>
            </v:textbox>
            <w10:wrap type="none"/>
          </v:shape>
        </w:pict>
      </w:r>
      <w:r>
        <w:rPr/>
        <w:pict>
          <v:shape style="position:absolute;margin-left:244.803192pt;margin-top:-35.930851pt;width:10pt;height:28.75pt;mso-position-horizontal-relative:page;mso-position-vertical-relative:paragraph;z-index:570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2005</w:t>
                  </w:r>
                  <w:r>
                    <w:rPr>
                      <w:color w:val="231F20"/>
                      <w:spacing w:val="1"/>
                      <w:sz w:val="16"/>
                    </w:rPr>
                    <w:t> </w:t>
                  </w:r>
                  <w:r>
                    <w:rPr>
                      <w:color w:val="231F20"/>
                      <w:sz w:val="16"/>
                    </w:rPr>
                    <w:t>—</w:t>
                  </w:r>
                </w:p>
              </w:txbxContent>
            </v:textbox>
            <w10:wrap type="none"/>
          </v:shape>
        </w:pict>
      </w:r>
      <w:r>
        <w:rPr>
          <w:rFonts w:ascii="Calibri"/>
          <w:color w:val="231F20"/>
          <w:w w:val="110"/>
          <w:sz w:val="18"/>
        </w:rPr>
        <w:t>fuente: </w:t>
      </w:r>
      <w:r>
        <w:rPr>
          <w:color w:val="231F20"/>
          <w:w w:val="110"/>
          <w:sz w:val="18"/>
        </w:rPr>
        <w:t>Central Bank of Japan Financial and Economic Statistics Monthly.</w:t>
      </w:r>
    </w:p>
    <w:p>
      <w:pPr>
        <w:pStyle w:val="BodyText"/>
        <w:rPr>
          <w:sz w:val="18"/>
        </w:rPr>
      </w:pPr>
    </w:p>
    <w:p>
      <w:pPr>
        <w:pStyle w:val="BodyText"/>
        <w:spacing w:before="3"/>
        <w:rPr>
          <w:sz w:val="23"/>
        </w:rPr>
      </w:pPr>
    </w:p>
    <w:p>
      <w:pPr>
        <w:pStyle w:val="BodyText"/>
        <w:spacing w:line="261" w:lineRule="auto"/>
        <w:ind w:left="100" w:right="877" w:firstLine="240"/>
        <w:jc w:val="both"/>
      </w:pPr>
      <w:r>
        <w:rPr>
          <w:color w:val="231F20"/>
          <w:w w:val="110"/>
        </w:rPr>
        <w:t>Los efectos de este proceso de desapalancamiento financiero se dejaron sentir con fuerza en la economía real. La gráfica 5 muestra la</w:t>
      </w:r>
      <w:r>
        <w:rPr>
          <w:color w:val="231F20"/>
          <w:spacing w:val="-4"/>
          <w:w w:val="110"/>
        </w:rPr>
        <w:t> </w:t>
      </w:r>
      <w:r>
        <w:rPr>
          <w:color w:val="231F20"/>
          <w:w w:val="110"/>
        </w:rPr>
        <w:t>evolución</w:t>
      </w:r>
      <w:r>
        <w:rPr>
          <w:color w:val="231F20"/>
          <w:spacing w:val="-4"/>
          <w:w w:val="110"/>
        </w:rPr>
        <w:t> </w:t>
      </w:r>
      <w:r>
        <w:rPr>
          <w:color w:val="231F20"/>
          <w:w w:val="110"/>
        </w:rPr>
        <w:t>del</w:t>
      </w:r>
      <w:r>
        <w:rPr>
          <w:color w:val="231F20"/>
          <w:spacing w:val="-4"/>
          <w:w w:val="110"/>
        </w:rPr>
        <w:t> </w:t>
      </w:r>
      <w:r>
        <w:rPr>
          <w:color w:val="231F20"/>
          <w:w w:val="110"/>
        </w:rPr>
        <w:t>pib</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tasa</w:t>
      </w:r>
      <w:r>
        <w:rPr>
          <w:color w:val="231F20"/>
          <w:spacing w:val="-4"/>
          <w:w w:val="110"/>
        </w:rPr>
        <w:t> </w:t>
      </w:r>
      <w:r>
        <w:rPr>
          <w:color w:val="231F20"/>
          <w:w w:val="110"/>
        </w:rPr>
        <w:t>de</w:t>
      </w:r>
      <w:r>
        <w:rPr>
          <w:color w:val="231F20"/>
          <w:spacing w:val="-4"/>
          <w:w w:val="110"/>
        </w:rPr>
        <w:t> </w:t>
      </w:r>
      <w:r>
        <w:rPr>
          <w:color w:val="231F20"/>
          <w:w w:val="110"/>
        </w:rPr>
        <w:t>desempleo</w:t>
      </w:r>
      <w:r>
        <w:rPr>
          <w:color w:val="231F20"/>
          <w:spacing w:val="-4"/>
          <w:w w:val="110"/>
        </w:rPr>
        <w:t> </w:t>
      </w:r>
      <w:r>
        <w:rPr>
          <w:color w:val="231F20"/>
          <w:w w:val="110"/>
        </w:rPr>
        <w:t>durante</w:t>
      </w:r>
      <w:r>
        <w:rPr>
          <w:color w:val="231F20"/>
          <w:spacing w:val="-4"/>
          <w:w w:val="110"/>
        </w:rPr>
        <w:t> </w:t>
      </w:r>
      <w:r>
        <w:rPr>
          <w:color w:val="231F20"/>
          <w:w w:val="110"/>
        </w:rPr>
        <w:t>los</w:t>
      </w:r>
      <w:r>
        <w:rPr>
          <w:color w:val="231F20"/>
          <w:spacing w:val="-4"/>
          <w:w w:val="110"/>
        </w:rPr>
        <w:t> </w:t>
      </w:r>
      <w:r>
        <w:rPr>
          <w:color w:val="231F20"/>
          <w:w w:val="110"/>
        </w:rPr>
        <w:t>últimos</w:t>
      </w:r>
      <w:r>
        <w:rPr>
          <w:color w:val="231F20"/>
          <w:spacing w:val="-4"/>
          <w:w w:val="110"/>
        </w:rPr>
        <w:t> </w:t>
      </w:r>
      <w:r>
        <w:rPr>
          <w:color w:val="231F20"/>
          <w:w w:val="110"/>
        </w:rPr>
        <w:t>años. Grosso</w:t>
      </w:r>
      <w:r>
        <w:rPr>
          <w:color w:val="231F20"/>
          <w:spacing w:val="-6"/>
          <w:w w:val="110"/>
        </w:rPr>
        <w:t> </w:t>
      </w:r>
      <w:r>
        <w:rPr>
          <w:color w:val="231F20"/>
          <w:w w:val="110"/>
        </w:rPr>
        <w:t>modo</w:t>
      </w:r>
      <w:r>
        <w:rPr>
          <w:color w:val="231F20"/>
          <w:spacing w:val="-6"/>
          <w:w w:val="110"/>
        </w:rPr>
        <w:t> </w:t>
      </w:r>
      <w:r>
        <w:rPr>
          <w:color w:val="231F20"/>
          <w:w w:val="110"/>
        </w:rPr>
        <w:t>este</w:t>
      </w:r>
      <w:r>
        <w:rPr>
          <w:color w:val="231F20"/>
          <w:spacing w:val="-6"/>
          <w:w w:val="110"/>
        </w:rPr>
        <w:t> </w:t>
      </w:r>
      <w:r>
        <w:rPr>
          <w:color w:val="231F20"/>
          <w:w w:val="110"/>
        </w:rPr>
        <w:t>periodo</w:t>
      </w:r>
      <w:r>
        <w:rPr>
          <w:color w:val="231F20"/>
          <w:spacing w:val="-6"/>
          <w:w w:val="110"/>
        </w:rPr>
        <w:t> </w:t>
      </w:r>
      <w:r>
        <w:rPr>
          <w:color w:val="231F20"/>
          <w:w w:val="110"/>
        </w:rPr>
        <w:t>se</w:t>
      </w:r>
      <w:r>
        <w:rPr>
          <w:color w:val="231F20"/>
          <w:spacing w:val="-6"/>
          <w:w w:val="110"/>
        </w:rPr>
        <w:t> </w:t>
      </w:r>
      <w:r>
        <w:rPr>
          <w:color w:val="231F20"/>
          <w:w w:val="110"/>
        </w:rPr>
        <w:t>puede</w:t>
      </w:r>
      <w:r>
        <w:rPr>
          <w:color w:val="231F20"/>
          <w:spacing w:val="-6"/>
          <w:w w:val="110"/>
        </w:rPr>
        <w:t> </w:t>
      </w:r>
      <w:r>
        <w:rPr>
          <w:color w:val="231F20"/>
          <w:w w:val="110"/>
        </w:rPr>
        <w:t>subdividir</w:t>
      </w:r>
      <w:r>
        <w:rPr>
          <w:color w:val="231F20"/>
          <w:spacing w:val="-6"/>
          <w:w w:val="110"/>
        </w:rPr>
        <w:t> </w:t>
      </w:r>
      <w:r>
        <w:rPr>
          <w:color w:val="231F20"/>
          <w:w w:val="110"/>
        </w:rPr>
        <w:t>en</w:t>
      </w:r>
      <w:r>
        <w:rPr>
          <w:color w:val="231F20"/>
          <w:spacing w:val="-6"/>
          <w:w w:val="110"/>
        </w:rPr>
        <w:t> </w:t>
      </w:r>
      <w:r>
        <w:rPr>
          <w:color w:val="231F20"/>
          <w:w w:val="110"/>
        </w:rPr>
        <w:t>dos</w:t>
      </w:r>
      <w:r>
        <w:rPr>
          <w:color w:val="231F20"/>
          <w:spacing w:val="-6"/>
          <w:w w:val="110"/>
        </w:rPr>
        <w:t> </w:t>
      </w:r>
      <w:r>
        <w:rPr>
          <w:color w:val="231F20"/>
          <w:w w:val="110"/>
        </w:rPr>
        <w:t>etapas</w:t>
      </w:r>
      <w:r>
        <w:rPr>
          <w:color w:val="231F20"/>
          <w:spacing w:val="-6"/>
          <w:w w:val="110"/>
        </w:rPr>
        <w:t> </w:t>
      </w:r>
      <w:r>
        <w:rPr>
          <w:color w:val="231F20"/>
          <w:w w:val="110"/>
        </w:rPr>
        <w:t>diferen- tes. La primera es el periodo posterior a la implosión de la burbuja financiera, comprendido entre 1990 y el 2001. Durante esta década perdida, Japón se sumió en un periodo de estancamiento crónico asociado con una tasa de desempleo al alza. La segunda etapa, es   el periodo de recuperación económica entre los años 2002 y 2007. En esta etapa, el país registró una tasa positiva de crecimiento en el orden de 2% del pib, al mismo tiempo que se logró una reducción importante en la tasa de </w:t>
      </w:r>
      <w:r>
        <w:rPr>
          <w:color w:val="231F20"/>
          <w:spacing w:val="22"/>
          <w:w w:val="110"/>
        </w:rPr>
        <w:t> </w:t>
      </w:r>
      <w:r>
        <w:rPr>
          <w:color w:val="231F20"/>
          <w:w w:val="110"/>
        </w:rPr>
        <w:t>desempleo.</w:t>
      </w:r>
    </w:p>
    <w:p>
      <w:pPr>
        <w:pStyle w:val="BodyText"/>
        <w:spacing w:line="261" w:lineRule="auto"/>
        <w:ind w:left="100" w:right="876" w:firstLine="240"/>
        <w:jc w:val="both"/>
      </w:pPr>
      <w:r>
        <w:rPr>
          <w:color w:val="231F20"/>
          <w:w w:val="110"/>
        </w:rPr>
        <w:t>Los factores que determinaron este patrón de crecimiento eco- nómico son desagregados en la gráfica 6. En el caso del periodo 1991-2001, el primer factor que resalta es el colapso de la inversión </w:t>
      </w:r>
      <w:r>
        <w:rPr>
          <w:color w:val="231F20"/>
          <w:spacing w:val="-4"/>
          <w:w w:val="110"/>
        </w:rPr>
        <w:t>privada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spacing w:val="-4"/>
          <w:w w:val="110"/>
        </w:rPr>
        <w:t>ámbito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spacing w:val="-4"/>
          <w:w w:val="110"/>
        </w:rPr>
        <w:t>crisis</w:t>
      </w:r>
      <w:r>
        <w:rPr>
          <w:color w:val="231F20"/>
          <w:spacing w:val="-5"/>
          <w:w w:val="110"/>
        </w:rPr>
        <w:t> </w:t>
      </w:r>
      <w:r>
        <w:rPr>
          <w:color w:val="231F20"/>
          <w:spacing w:val="-4"/>
          <w:w w:val="110"/>
        </w:rPr>
        <w:t>financiera</w:t>
      </w:r>
      <w:r>
        <w:rPr>
          <w:color w:val="231F20"/>
          <w:spacing w:val="-5"/>
          <w:w w:val="110"/>
        </w:rPr>
        <w:t> </w:t>
      </w:r>
      <w:r>
        <w:rPr>
          <w:color w:val="231F20"/>
          <w:w w:val="110"/>
        </w:rPr>
        <w:t>y</w:t>
      </w:r>
      <w:r>
        <w:rPr>
          <w:color w:val="231F20"/>
          <w:spacing w:val="-5"/>
          <w:w w:val="110"/>
        </w:rPr>
        <w:t> </w:t>
      </w:r>
      <w:r>
        <w:rPr>
          <w:color w:val="231F20"/>
          <w:spacing w:val="-3"/>
          <w:w w:val="110"/>
        </w:rPr>
        <w:t>que</w:t>
      </w:r>
      <w:r>
        <w:rPr>
          <w:color w:val="231F20"/>
          <w:spacing w:val="-5"/>
          <w:w w:val="110"/>
        </w:rPr>
        <w:t> </w:t>
      </w:r>
      <w:r>
        <w:rPr>
          <w:color w:val="231F20"/>
          <w:w w:val="110"/>
        </w:rPr>
        <w:t>se</w:t>
      </w:r>
      <w:r>
        <w:rPr>
          <w:color w:val="231F20"/>
          <w:spacing w:val="-5"/>
          <w:w w:val="110"/>
        </w:rPr>
        <w:t> </w:t>
      </w:r>
      <w:r>
        <w:rPr>
          <w:color w:val="231F20"/>
          <w:spacing w:val="-4"/>
          <w:w w:val="110"/>
        </w:rPr>
        <w:t>prolongó</w:t>
      </w:r>
      <w:r>
        <w:rPr>
          <w:color w:val="231F20"/>
          <w:spacing w:val="-5"/>
          <w:w w:val="110"/>
        </w:rPr>
        <w:t> </w:t>
      </w:r>
      <w:r>
        <w:rPr>
          <w:color w:val="231F20"/>
          <w:w w:val="110"/>
        </w:rPr>
        <w:t>a</w:t>
      </w:r>
      <w:r>
        <w:rPr>
          <w:color w:val="231F20"/>
          <w:spacing w:val="-5"/>
          <w:w w:val="110"/>
        </w:rPr>
        <w:t> </w:t>
      </w:r>
      <w:r>
        <w:rPr>
          <w:color w:val="231F20"/>
          <w:w w:val="110"/>
        </w:rPr>
        <w:t>lo</w:t>
      </w:r>
      <w:r>
        <w:rPr>
          <w:color w:val="231F20"/>
          <w:spacing w:val="-5"/>
          <w:w w:val="110"/>
        </w:rPr>
        <w:t> </w:t>
      </w:r>
      <w:r>
        <w:rPr>
          <w:color w:val="231F20"/>
          <w:spacing w:val="-4"/>
          <w:w w:val="110"/>
        </w:rPr>
        <w:t>largo </w:t>
      </w:r>
      <w:r>
        <w:rPr>
          <w:color w:val="231F20"/>
          <w:spacing w:val="-3"/>
          <w:w w:val="110"/>
        </w:rPr>
        <w:t>del </w:t>
      </w:r>
      <w:r>
        <w:rPr>
          <w:color w:val="231F20"/>
          <w:spacing w:val="-4"/>
          <w:w w:val="110"/>
        </w:rPr>
        <w:t>decenio. </w:t>
      </w:r>
      <w:r>
        <w:rPr>
          <w:color w:val="231F20"/>
          <w:w w:val="110"/>
        </w:rPr>
        <w:t>El </w:t>
      </w:r>
      <w:r>
        <w:rPr>
          <w:color w:val="231F20"/>
          <w:spacing w:val="-4"/>
          <w:w w:val="110"/>
        </w:rPr>
        <w:t>segundo factor </w:t>
      </w:r>
      <w:r>
        <w:rPr>
          <w:color w:val="231F20"/>
          <w:w w:val="110"/>
        </w:rPr>
        <w:t>es el </w:t>
      </w:r>
      <w:r>
        <w:rPr>
          <w:color w:val="231F20"/>
          <w:spacing w:val="-4"/>
          <w:w w:val="110"/>
        </w:rPr>
        <w:t>carácter anticíclico </w:t>
      </w:r>
      <w:r>
        <w:rPr>
          <w:color w:val="231F20"/>
          <w:w w:val="110"/>
        </w:rPr>
        <w:t>de la </w:t>
      </w:r>
      <w:r>
        <w:rPr>
          <w:color w:val="231F20"/>
          <w:spacing w:val="-4"/>
          <w:w w:val="110"/>
        </w:rPr>
        <w:t>política </w:t>
      </w:r>
      <w:r>
        <w:rPr>
          <w:color w:val="231F20"/>
          <w:spacing w:val="-3"/>
          <w:w w:val="105"/>
        </w:rPr>
        <w:t>fiscal</w:t>
      </w:r>
      <w:r>
        <w:rPr>
          <w:color w:val="231F20"/>
          <w:spacing w:val="16"/>
          <w:w w:val="105"/>
        </w:rPr>
        <w:t> </w:t>
      </w:r>
      <w:r>
        <w:rPr>
          <w:color w:val="231F20"/>
          <w:spacing w:val="-4"/>
          <w:w w:val="105"/>
        </w:rPr>
        <w:t>japonesa.</w:t>
      </w:r>
    </w:p>
    <w:p>
      <w:pPr>
        <w:spacing w:after="0" w:line="261" w:lineRule="auto"/>
        <w:jc w:val="both"/>
        <w:sectPr>
          <w:type w:val="continuous"/>
          <w:pgSz w:w="7640" w:h="11900"/>
          <w:pgMar w:top="980" w:bottom="280" w:left="660" w:right="0"/>
        </w:sectPr>
      </w:pPr>
    </w:p>
    <w:p>
      <w:pPr>
        <w:pStyle w:val="BodyText"/>
        <w:spacing w:before="1"/>
        <w:rPr>
          <w:sz w:val="9"/>
        </w:rPr>
      </w:pPr>
    </w:p>
    <w:p>
      <w:pPr>
        <w:spacing w:before="71"/>
        <w:ind w:left="100" w:right="861" w:firstLine="0"/>
        <w:jc w:val="left"/>
        <w:rPr>
          <w:sz w:val="18"/>
        </w:rPr>
      </w:pPr>
      <w:r>
        <w:rPr>
          <w:color w:val="231F20"/>
          <w:w w:val="115"/>
          <w:sz w:val="18"/>
        </w:rPr>
        <w:t>gráfica 5. evolución de pib y desempleo, japón,   1989-2008</w:t>
      </w:r>
    </w:p>
    <w:p>
      <w:pPr>
        <w:tabs>
          <w:tab w:pos="5416" w:val="left" w:leader="none"/>
        </w:tabs>
        <w:spacing w:before="134"/>
        <w:ind w:left="601" w:right="861" w:firstLine="0"/>
        <w:jc w:val="left"/>
        <w:rPr>
          <w:sz w:val="16"/>
        </w:rPr>
      </w:pPr>
      <w:r>
        <w:rPr/>
        <w:pict>
          <v:group style="position:absolute;margin-left:82.699997pt;margin-top:12.197536pt;width:227.25pt;height:161.15pt;mso-position-horizontal-relative:page;mso-position-vertical-relative:paragraph;z-index:-351520" coordorigin="1654,244" coordsize="4545,3223">
            <v:line style="position:absolute" from="1665,249" to="1665,3443" stroked="true" strokeweight=".5pt" strokecolor="#231f20"/>
            <v:line style="position:absolute" from="6194,267" to="6194,3461" stroked="true" strokeweight=".5pt" strokecolor="#231f20"/>
            <v:line style="position:absolute" from="1659,2385" to="6189,2385" stroked="true" strokeweight=".5pt" strokecolor="#231f20"/>
            <v:shape style="position:absolute;left:1785;top:741;width:4290;height:2503" coordorigin="1785,741" coordsize="4290,2503" path="m1785,1161l2013,741,2229,1791,2457,2217,2689,2529,2913,1983,3369,1617,3585,2403,3813,2811,4041,2217,4263,1707,4503,2601,4713,2117,4947,1837,5175,1857,5397,1785,5619,1773,5853,1917,6075,3243e" filled="false" stroked="true" strokeweight=".5pt" strokecolor="#231f20">
              <v:path arrowok="t"/>
            </v:shape>
            <v:line style="position:absolute" from="1817,2290" to="1990,2331" stroked="true" strokeweight=".5pt" strokecolor="#231f20">
              <v:stroke dashstyle="dash"/>
            </v:line>
            <v:line style="position:absolute" from="2045,2336" to="2218,2331" stroked="true" strokeweight=".5pt" strokecolor="#231f20">
              <v:stroke dashstyle="dash"/>
            </v:line>
            <v:line style="position:absolute" from="2280,2325" to="2435,2299" stroked="true" strokeweight=".5pt" strokecolor="#231f20">
              <v:stroke dashstyle="dash"/>
            </v:line>
            <v:line style="position:absolute" from="2488,2270" to="2656,2097" stroked="true" strokeweight=".5pt" strokecolor="#231f20">
              <v:stroke dashstyle="dash"/>
            </v:line>
            <v:line style="position:absolute" from="2700,2059" to="3121,1751" stroked="true" strokeweight=".5pt" strokecolor="#231f20">
              <v:stroke dashstyle="dash"/>
            </v:line>
            <v:line style="position:absolute" from="3177,1732" to="3319,1711" stroked="true" strokeweight=".5pt" strokecolor="#231f20">
              <v:stroke dashstyle="dash"/>
            </v:line>
            <v:line style="position:absolute" from="3379,1690" to="3561,1599" stroked="true" strokeweight=".5pt" strokecolor="#231f20">
              <v:stroke dashstyle="dash"/>
            </v:line>
            <v:line style="position:absolute" from="3601,1557" to="3802,1182" stroked="true" strokeweight=".5pt" strokecolor="#231f20">
              <v:stroke dashstyle="dash"/>
            </v:line>
            <v:line style="position:absolute" from="3840,1136" to="4022,963" stroked="true" strokeweight=".5pt" strokecolor="#231f20">
              <v:stroke dashstyle="dash"/>
            </v:line>
            <v:line style="position:absolute" from="4080,946" to="4235,950" stroked="true" strokeweight=".5pt" strokecolor="#231f20">
              <v:stroke dashstyle="dash"/>
            </v:line>
            <v:line style="position:absolute" from="4286,923" to="4480,696" stroked="true" strokeweight=".5pt" strokecolor="#231f20">
              <v:stroke dashstyle="dash"/>
            </v:line>
            <v:line style="position:absolute" from="4530,662" to="4706,583" stroked="true" strokeweight=".5pt" strokecolor="#231f20">
              <v:stroke dashstyle="dash"/>
            </v:line>
            <v:line style="position:absolute" from="4755,592" to="4934,727" stroked="true" strokeweight=".5pt" strokecolor="#231f20">
              <v:stroke dashstyle="dash"/>
            </v:line>
            <v:line style="position:absolute" from="4976,768" to="5170,992" stroked="true" strokeweight=".5pt" strokecolor="#231f20">
              <v:stroke dashstyle="dash"/>
            </v:line>
            <v:line style="position:absolute" from="5217,1024" to="5381,1097" stroked="true" strokeweight=".5pt" strokecolor="#231f20">
              <v:stroke dashstyle="dash"/>
            </v:line>
            <v:line style="position:absolute" from="5432,1128" to="5833,1422" stroked="true" strokeweight=".5pt" strokecolor="#231f20">
              <v:stroke dashstyle="dash"/>
            </v:line>
            <v:line style="position:absolute" from="5884,1414" to="6053,1293" stroked="true" strokeweight=".5pt" strokecolor="#231f20">
              <v:stroke dashstyle="dash"/>
            </v:line>
            <v:shape style="position:absolute;left:0;top:8936;width:4290;height:1765" coordorigin="0,8936" coordsize="4290,1765" path="m1785,2283l1799,2286m1999,2334l2013,2337,2027,2336m2227,2331l2241,2331,2257,2328m2447,2298l2463,2295,2474,2284m2663,2090l2673,2079,2685,2070m3129,1746l3141,1737,3156,1735m3330,1709l3345,1707,3359,1700m3571,1594l3585,1587,3592,1574m3806,1174l3813,1161,3824,1150m4030,956l4041,945,4057,945m4247,951l4263,951,4273,939m4487,689l4497,677,4511,671m4715,579l4729,573,4740,581m4942,732l4953,741,4963,752m5177,999l5187,1011,5200,1017m5390,1101l5403,1107,5415,1116m5841,1428l5853,1437,5866,1427m6062,1286l6075,1277e" filled="false" stroked="true" strokeweight=".5pt" strokecolor="#231f20">
              <v:path arrowok="t"/>
            </v:shape>
            <v:shape style="position:absolute;left:2067;top:750;width:1593;height:161" type="#_x0000_t202" filled="false" stroked="false">
              <v:textbox inset="0,0,0,0">
                <w:txbxContent>
                  <w:p>
                    <w:pPr>
                      <w:spacing w:line="158" w:lineRule="exact" w:before="0"/>
                      <w:ind w:left="0" w:right="-18" w:firstLine="0"/>
                      <w:jc w:val="left"/>
                      <w:rPr>
                        <w:sz w:val="16"/>
                      </w:rPr>
                    </w:pPr>
                    <w:r>
                      <w:rPr>
                        <w:color w:val="231F20"/>
                        <w:w w:val="120"/>
                        <w:sz w:val="16"/>
                      </w:rPr>
                      <w:t>gdp</w:t>
                    </w:r>
                    <w:r>
                      <w:rPr>
                        <w:color w:val="231F20"/>
                        <w:spacing w:val="-26"/>
                        <w:w w:val="120"/>
                        <w:sz w:val="16"/>
                      </w:rPr>
                      <w:t> </w:t>
                    </w:r>
                    <w:r>
                      <w:rPr>
                        <w:color w:val="231F20"/>
                        <w:w w:val="120"/>
                        <w:sz w:val="16"/>
                      </w:rPr>
                      <w:t>crecimiento</w:t>
                    </w:r>
                    <w:r>
                      <w:rPr>
                        <w:color w:val="231F20"/>
                        <w:spacing w:val="-26"/>
                        <w:w w:val="120"/>
                        <w:sz w:val="16"/>
                      </w:rPr>
                      <w:t> </w:t>
                    </w:r>
                    <w:r>
                      <w:rPr>
                        <w:color w:val="231F20"/>
                        <w:w w:val="120"/>
                        <w:sz w:val="16"/>
                      </w:rPr>
                      <w:t>(lhs)</w:t>
                    </w:r>
                  </w:p>
                </w:txbxContent>
              </v:textbox>
              <w10:wrap type="none"/>
            </v:shape>
            <v:shape style="position:absolute;left:3939;top:1459;width:1950;height:161" type="#_x0000_t202" filled="false" stroked="false">
              <v:textbox inset="0,0,0,0">
                <w:txbxContent>
                  <w:p>
                    <w:pPr>
                      <w:spacing w:line="158" w:lineRule="exact" w:before="0"/>
                      <w:ind w:left="0" w:right="-18" w:firstLine="0"/>
                      <w:jc w:val="left"/>
                      <w:rPr>
                        <w:sz w:val="16"/>
                      </w:rPr>
                    </w:pPr>
                    <w:r>
                      <w:rPr>
                        <w:color w:val="231F20"/>
                        <w:w w:val="115"/>
                        <w:sz w:val="16"/>
                      </w:rPr>
                      <w:t>Precio del desempleo</w:t>
                    </w:r>
                    <w:r>
                      <w:rPr>
                        <w:color w:val="231F20"/>
                        <w:spacing w:val="-20"/>
                        <w:w w:val="115"/>
                        <w:sz w:val="16"/>
                      </w:rPr>
                      <w:t> </w:t>
                    </w:r>
                    <w:r>
                      <w:rPr>
                        <w:color w:val="231F20"/>
                        <w:w w:val="115"/>
                        <w:sz w:val="16"/>
                      </w:rPr>
                      <w:t>(rhs)</w:t>
                    </w:r>
                  </w:p>
                </w:txbxContent>
              </v:textbox>
              <w10:wrap type="none"/>
            </v:shape>
            <w10:wrap type="none"/>
          </v:group>
        </w:pict>
      </w:r>
      <w:r>
        <w:rPr>
          <w:color w:val="231F20"/>
          <w:sz w:val="16"/>
        </w:rPr>
        <w:t>8</w:t>
      </w:r>
      <w:r>
        <w:rPr>
          <w:color w:val="231F20"/>
          <w:spacing w:val="1"/>
          <w:sz w:val="16"/>
        </w:rPr>
        <w:t> </w:t>
      </w:r>
      <w:r>
        <w:rPr>
          <w:color w:val="231F20"/>
          <w:sz w:val="16"/>
        </w:rPr>
        <w:t>—</w:t>
        <w:tab/>
      </w:r>
      <w:r>
        <w:rPr>
          <w:color w:val="231F20"/>
          <w:position w:val="1"/>
          <w:sz w:val="16"/>
        </w:rPr>
        <w:t>—</w:t>
      </w:r>
      <w:r>
        <w:rPr>
          <w:color w:val="231F20"/>
          <w:spacing w:val="4"/>
          <w:position w:val="1"/>
          <w:sz w:val="16"/>
        </w:rPr>
        <w:t> </w:t>
      </w:r>
      <w:r>
        <w:rPr>
          <w:color w:val="231F20"/>
          <w:position w:val="1"/>
          <w:sz w:val="16"/>
        </w:rPr>
        <w:t>6</w:t>
      </w:r>
    </w:p>
    <w:p>
      <w:pPr>
        <w:pStyle w:val="BodyText"/>
        <w:rPr>
          <w:sz w:val="16"/>
        </w:rPr>
      </w:pPr>
    </w:p>
    <w:p>
      <w:pPr>
        <w:pStyle w:val="BodyText"/>
        <w:spacing w:before="4"/>
        <w:rPr>
          <w:sz w:val="13"/>
        </w:rPr>
      </w:pPr>
    </w:p>
    <w:p>
      <w:pPr>
        <w:tabs>
          <w:tab w:pos="5416" w:val="left" w:leader="none"/>
        </w:tabs>
        <w:spacing w:before="0"/>
        <w:ind w:left="601" w:right="861" w:firstLine="0"/>
        <w:jc w:val="left"/>
        <w:rPr>
          <w:sz w:val="16"/>
        </w:rPr>
      </w:pPr>
      <w:r>
        <w:rPr/>
        <w:pict>
          <v:shape style="position:absolute;margin-left:53.4692pt;margin-top:.852354pt;width:10.050pt;height:115pt;mso-position-horizontal-relative:page;mso-position-vertical-relative:paragraph;z-index:5872" type="#_x0000_t202" filled="false" stroked="false">
            <v:textbox inset="0,0,0,0" style="layout-flow:vertical;mso-layout-flow-alt:bottom-to-top">
              <w:txbxContent>
                <w:p>
                  <w:pPr>
                    <w:spacing w:line="178" w:lineRule="exact" w:before="0"/>
                    <w:ind w:left="20" w:right="-565" w:firstLine="0"/>
                    <w:jc w:val="left"/>
                    <w:rPr>
                      <w:sz w:val="16"/>
                    </w:rPr>
                  </w:pPr>
                  <w:r>
                    <w:rPr>
                      <w:color w:val="231F20"/>
                      <w:w w:val="111"/>
                      <w:sz w:val="16"/>
                    </w:rPr>
                    <w:t>porcentaje</w:t>
                  </w:r>
                  <w:r>
                    <w:rPr>
                      <w:color w:val="231F20"/>
                      <w:spacing w:val="1"/>
                      <w:sz w:val="16"/>
                    </w:rPr>
                    <w:t> </w:t>
                  </w:r>
                  <w:r>
                    <w:rPr>
                      <w:color w:val="231F20"/>
                      <w:w w:val="114"/>
                      <w:sz w:val="16"/>
                    </w:rPr>
                    <w:t>de</w:t>
                  </w:r>
                  <w:r>
                    <w:rPr>
                      <w:color w:val="231F20"/>
                      <w:spacing w:val="1"/>
                      <w:sz w:val="16"/>
                    </w:rPr>
                    <w:t> </w:t>
                  </w:r>
                  <w:r>
                    <w:rPr>
                      <w:color w:val="231F20"/>
                      <w:w w:val="108"/>
                      <w:sz w:val="16"/>
                    </w:rPr>
                    <w:t>cambio</w:t>
                  </w:r>
                  <w:r>
                    <w:rPr>
                      <w:color w:val="231F20"/>
                      <w:spacing w:val="1"/>
                      <w:sz w:val="16"/>
                    </w:rPr>
                    <w:t> </w:t>
                  </w:r>
                  <w:r>
                    <w:rPr>
                      <w:color w:val="231F20"/>
                      <w:w w:val="111"/>
                      <w:sz w:val="16"/>
                    </w:rPr>
                    <w:t>anual</w:t>
                  </w:r>
                  <w:r>
                    <w:rPr>
                      <w:color w:val="231F20"/>
                      <w:spacing w:val="1"/>
                      <w:sz w:val="16"/>
                    </w:rPr>
                    <w:t> </w:t>
                  </w:r>
                  <w:r>
                    <w:rPr>
                      <w:color w:val="231F20"/>
                      <w:w w:val="114"/>
                      <w:sz w:val="16"/>
                    </w:rPr>
                    <w:t>gdp</w:t>
                  </w:r>
                </w:p>
              </w:txbxContent>
            </v:textbox>
            <w10:wrap type="none"/>
          </v:shape>
        </w:pict>
      </w:r>
      <w:r>
        <w:rPr/>
        <w:pict>
          <v:shape style="position:absolute;margin-left:323.55719pt;margin-top:9.924356pt;width:10pt;height:89.85pt;mso-position-horizontal-relative:page;mso-position-vertical-relative:paragraph;z-index:-351424" type="#_x0000_t202" filled="false" stroked="false">
            <v:textbox inset="0,0,0,0" style="layout-flow:vertical;mso-layout-flow-alt:bottom-to-top">
              <w:txbxContent>
                <w:p>
                  <w:pPr>
                    <w:spacing w:line="178" w:lineRule="exact" w:before="0"/>
                    <w:ind w:left="20" w:right="-596" w:firstLine="0"/>
                    <w:jc w:val="left"/>
                    <w:rPr>
                      <w:sz w:val="16"/>
                    </w:rPr>
                  </w:pPr>
                  <w:r>
                    <w:rPr>
                      <w:color w:val="231F20"/>
                      <w:w w:val="111"/>
                      <w:sz w:val="16"/>
                    </w:rPr>
                    <w:t>porcentaje</w:t>
                  </w:r>
                  <w:r>
                    <w:rPr>
                      <w:color w:val="231F20"/>
                      <w:spacing w:val="1"/>
                      <w:sz w:val="16"/>
                    </w:rPr>
                    <w:t> </w:t>
                  </w:r>
                  <w:r>
                    <w:rPr>
                      <w:color w:val="231F20"/>
                      <w:w w:val="114"/>
                      <w:sz w:val="16"/>
                    </w:rPr>
                    <w:t>de</w:t>
                  </w:r>
                  <w:r>
                    <w:rPr>
                      <w:color w:val="231F20"/>
                      <w:spacing w:val="1"/>
                      <w:sz w:val="16"/>
                    </w:rPr>
                    <w:t> </w:t>
                  </w:r>
                  <w:r>
                    <w:rPr>
                      <w:color w:val="231F20"/>
                      <w:w w:val="110"/>
                      <w:sz w:val="16"/>
                    </w:rPr>
                    <w:t>desempleo</w:t>
                  </w:r>
                </w:p>
              </w:txbxContent>
            </v:textbox>
            <w10:wrap type="none"/>
          </v:shape>
        </w:pict>
      </w:r>
      <w:r>
        <w:rPr>
          <w:color w:val="231F20"/>
          <w:sz w:val="16"/>
        </w:rPr>
        <w:t>6</w:t>
      </w:r>
      <w:r>
        <w:rPr>
          <w:color w:val="231F20"/>
          <w:spacing w:val="1"/>
          <w:sz w:val="16"/>
        </w:rPr>
        <w:t> </w:t>
      </w:r>
      <w:r>
        <w:rPr>
          <w:color w:val="231F20"/>
          <w:sz w:val="16"/>
        </w:rPr>
        <w:t>—</w:t>
        <w:tab/>
      </w:r>
      <w:r>
        <w:rPr>
          <w:color w:val="231F20"/>
          <w:position w:val="1"/>
          <w:sz w:val="16"/>
        </w:rPr>
        <w:t>—</w:t>
      </w:r>
      <w:r>
        <w:rPr>
          <w:color w:val="231F20"/>
          <w:spacing w:val="4"/>
          <w:position w:val="1"/>
          <w:sz w:val="16"/>
        </w:rPr>
        <w:t> </w:t>
      </w:r>
      <w:r>
        <w:rPr>
          <w:color w:val="231F20"/>
          <w:position w:val="1"/>
          <w:sz w:val="16"/>
        </w:rPr>
        <w:t>5</w:t>
      </w:r>
    </w:p>
    <w:p>
      <w:pPr>
        <w:pStyle w:val="BodyText"/>
        <w:rPr>
          <w:sz w:val="16"/>
        </w:rPr>
      </w:pPr>
    </w:p>
    <w:p>
      <w:pPr>
        <w:pStyle w:val="BodyText"/>
        <w:spacing w:before="3"/>
        <w:rPr>
          <w:sz w:val="14"/>
        </w:rPr>
      </w:pPr>
    </w:p>
    <w:p>
      <w:pPr>
        <w:tabs>
          <w:tab w:pos="5416" w:val="left" w:leader="none"/>
        </w:tabs>
        <w:spacing w:before="0"/>
        <w:ind w:left="601" w:right="861" w:firstLine="0"/>
        <w:jc w:val="left"/>
        <w:rPr>
          <w:sz w:val="16"/>
        </w:rPr>
      </w:pPr>
      <w:r>
        <w:rPr>
          <w:color w:val="231F20"/>
          <w:sz w:val="16"/>
        </w:rPr>
        <w:t>4</w:t>
      </w:r>
      <w:r>
        <w:rPr>
          <w:color w:val="231F20"/>
          <w:spacing w:val="2"/>
          <w:sz w:val="16"/>
        </w:rPr>
        <w:t> </w:t>
      </w:r>
      <w:r>
        <w:rPr>
          <w:color w:val="231F20"/>
          <w:sz w:val="16"/>
        </w:rPr>
        <w:t>—</w:t>
        <w:tab/>
        <w:t>—</w:t>
      </w:r>
      <w:r>
        <w:rPr>
          <w:color w:val="231F20"/>
          <w:spacing w:val="4"/>
          <w:sz w:val="16"/>
        </w:rPr>
        <w:t> </w:t>
      </w:r>
      <w:r>
        <w:rPr>
          <w:color w:val="231F20"/>
          <w:sz w:val="16"/>
        </w:rPr>
        <w:t>4</w:t>
      </w:r>
    </w:p>
    <w:p>
      <w:pPr>
        <w:pStyle w:val="BodyText"/>
        <w:rPr>
          <w:sz w:val="16"/>
        </w:rPr>
      </w:pPr>
    </w:p>
    <w:p>
      <w:pPr>
        <w:pStyle w:val="BodyText"/>
        <w:spacing w:before="3"/>
        <w:rPr>
          <w:sz w:val="14"/>
        </w:rPr>
      </w:pPr>
    </w:p>
    <w:p>
      <w:pPr>
        <w:tabs>
          <w:tab w:pos="5416" w:val="left" w:leader="none"/>
        </w:tabs>
        <w:spacing w:before="0"/>
        <w:ind w:left="601" w:right="861" w:firstLine="0"/>
        <w:jc w:val="left"/>
        <w:rPr>
          <w:sz w:val="16"/>
        </w:rPr>
      </w:pPr>
      <w:r>
        <w:rPr>
          <w:color w:val="231F20"/>
          <w:sz w:val="16"/>
        </w:rPr>
        <w:t>2</w:t>
      </w:r>
      <w:r>
        <w:rPr>
          <w:color w:val="231F20"/>
          <w:spacing w:val="2"/>
          <w:sz w:val="16"/>
        </w:rPr>
        <w:t> </w:t>
      </w:r>
      <w:r>
        <w:rPr>
          <w:color w:val="231F20"/>
          <w:sz w:val="16"/>
        </w:rPr>
        <w:t>—</w:t>
        <w:tab/>
        <w:t>—</w:t>
      </w:r>
      <w:r>
        <w:rPr>
          <w:color w:val="231F20"/>
          <w:spacing w:val="4"/>
          <w:sz w:val="16"/>
        </w:rPr>
        <w:t> </w:t>
      </w:r>
      <w:r>
        <w:rPr>
          <w:color w:val="231F20"/>
          <w:sz w:val="16"/>
        </w:rPr>
        <w:t>3</w:t>
      </w:r>
    </w:p>
    <w:p>
      <w:pPr>
        <w:pStyle w:val="BodyText"/>
        <w:rPr>
          <w:sz w:val="16"/>
        </w:rPr>
      </w:pPr>
    </w:p>
    <w:p>
      <w:pPr>
        <w:pStyle w:val="BodyText"/>
        <w:spacing w:before="3"/>
        <w:rPr>
          <w:sz w:val="14"/>
        </w:rPr>
      </w:pPr>
    </w:p>
    <w:p>
      <w:pPr>
        <w:tabs>
          <w:tab w:pos="5416" w:val="left" w:leader="none"/>
        </w:tabs>
        <w:spacing w:before="0"/>
        <w:ind w:left="601" w:right="861" w:firstLine="0"/>
        <w:jc w:val="left"/>
        <w:rPr>
          <w:sz w:val="16"/>
        </w:rPr>
      </w:pPr>
      <w:r>
        <w:rPr/>
        <w:pict>
          <v:shape style="position:absolute;margin-left:78.621201pt;margin-top:7.94434pt;width:225.7pt;height:28.75pt;mso-position-horizontal-relative:page;mso-position-vertical-relative:paragraph;z-index:-351448"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1989</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1991</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1992</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1993</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1994</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1995</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1996</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1997</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1998</w:t>
                  </w:r>
                  <w:r>
                    <w:rPr>
                      <w:color w:val="231F20"/>
                      <w:spacing w:val="1"/>
                      <w:sz w:val="16"/>
                    </w:rPr>
                    <w:t> </w:t>
                  </w:r>
                  <w:r>
                    <w:rPr>
                      <w:color w:val="231F20"/>
                      <w:sz w:val="16"/>
                    </w:rPr>
                    <w:t>—</w:t>
                  </w:r>
                </w:p>
                <w:p>
                  <w:pPr>
                    <w:spacing w:before="43"/>
                    <w:ind w:left="20" w:right="0" w:firstLine="0"/>
                    <w:jc w:val="left"/>
                    <w:rPr>
                      <w:sz w:val="16"/>
                    </w:rPr>
                  </w:pPr>
                  <w:r>
                    <w:rPr>
                      <w:color w:val="231F20"/>
                      <w:w w:val="104"/>
                      <w:sz w:val="16"/>
                    </w:rPr>
                    <w:t>1999</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2000</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2001</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2002</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2003</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2004</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2006</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2007</w:t>
                  </w:r>
                  <w:r>
                    <w:rPr>
                      <w:color w:val="231F20"/>
                      <w:spacing w:val="1"/>
                      <w:sz w:val="16"/>
                    </w:rPr>
                    <w:t> </w:t>
                  </w:r>
                  <w:r>
                    <w:rPr>
                      <w:color w:val="231F20"/>
                      <w:sz w:val="16"/>
                    </w:rPr>
                    <w:t>—</w:t>
                  </w:r>
                </w:p>
                <w:p>
                  <w:pPr>
                    <w:spacing w:before="43"/>
                    <w:ind w:left="20" w:right="0" w:firstLine="0"/>
                    <w:jc w:val="left"/>
                    <w:rPr>
                      <w:sz w:val="16"/>
                    </w:rPr>
                  </w:pPr>
                  <w:r>
                    <w:rPr>
                      <w:color w:val="231F20"/>
                      <w:w w:val="104"/>
                      <w:sz w:val="16"/>
                    </w:rPr>
                    <w:t>2008</w:t>
                  </w:r>
                  <w:r>
                    <w:rPr>
                      <w:color w:val="231F20"/>
                      <w:spacing w:val="1"/>
                      <w:sz w:val="16"/>
                    </w:rPr>
                    <w:t> </w:t>
                  </w:r>
                  <w:r>
                    <w:rPr>
                      <w:color w:val="231F20"/>
                      <w:sz w:val="16"/>
                    </w:rPr>
                    <w:t>—</w:t>
                  </w:r>
                </w:p>
              </w:txbxContent>
            </v:textbox>
            <w10:wrap type="none"/>
          </v:shape>
        </w:pict>
      </w:r>
      <w:r>
        <w:rPr>
          <w:color w:val="231F20"/>
          <w:sz w:val="16"/>
        </w:rPr>
        <w:t>0</w:t>
      </w:r>
      <w:r>
        <w:rPr>
          <w:color w:val="231F20"/>
          <w:spacing w:val="2"/>
          <w:sz w:val="16"/>
        </w:rPr>
        <w:t> </w:t>
      </w:r>
      <w:r>
        <w:rPr>
          <w:color w:val="231F20"/>
          <w:sz w:val="16"/>
        </w:rPr>
        <w:t>—</w:t>
        <w:tab/>
        <w:t>—</w:t>
      </w:r>
      <w:r>
        <w:rPr>
          <w:color w:val="231F20"/>
          <w:spacing w:val="4"/>
          <w:sz w:val="16"/>
        </w:rPr>
        <w:t> </w:t>
      </w:r>
      <w:r>
        <w:rPr>
          <w:color w:val="231F20"/>
          <w:sz w:val="16"/>
        </w:rPr>
        <w:t>2</w:t>
      </w:r>
    </w:p>
    <w:p>
      <w:pPr>
        <w:pStyle w:val="BodyText"/>
        <w:rPr>
          <w:sz w:val="16"/>
        </w:rPr>
      </w:pPr>
    </w:p>
    <w:p>
      <w:pPr>
        <w:pStyle w:val="BodyText"/>
        <w:spacing w:before="4"/>
        <w:rPr>
          <w:sz w:val="14"/>
        </w:rPr>
      </w:pPr>
    </w:p>
    <w:p>
      <w:pPr>
        <w:tabs>
          <w:tab w:pos="5416" w:val="left" w:leader="none"/>
        </w:tabs>
        <w:spacing w:before="1"/>
        <w:ind w:left="521" w:right="861" w:firstLine="0"/>
        <w:jc w:val="left"/>
        <w:rPr>
          <w:sz w:val="16"/>
        </w:rPr>
      </w:pPr>
      <w:r>
        <w:rPr>
          <w:color w:val="231F20"/>
          <w:sz w:val="16"/>
        </w:rPr>
        <w:t>–2</w:t>
      </w:r>
      <w:r>
        <w:rPr>
          <w:color w:val="231F20"/>
          <w:spacing w:val="2"/>
          <w:sz w:val="16"/>
        </w:rPr>
        <w:t> </w:t>
      </w:r>
      <w:r>
        <w:rPr>
          <w:color w:val="231F20"/>
          <w:sz w:val="16"/>
        </w:rPr>
        <w:t>—</w:t>
        <w:tab/>
        <w:t>—</w:t>
      </w:r>
      <w:r>
        <w:rPr>
          <w:color w:val="231F20"/>
          <w:spacing w:val="4"/>
          <w:sz w:val="16"/>
        </w:rPr>
        <w:t> </w:t>
      </w:r>
      <w:r>
        <w:rPr>
          <w:color w:val="231F20"/>
          <w:sz w:val="16"/>
        </w:rPr>
        <w:t>1</w:t>
      </w:r>
    </w:p>
    <w:p>
      <w:pPr>
        <w:pStyle w:val="BodyText"/>
        <w:rPr>
          <w:sz w:val="16"/>
        </w:rPr>
      </w:pPr>
    </w:p>
    <w:p>
      <w:pPr>
        <w:pStyle w:val="BodyText"/>
        <w:spacing w:before="5"/>
        <w:rPr>
          <w:sz w:val="14"/>
        </w:rPr>
      </w:pPr>
    </w:p>
    <w:p>
      <w:pPr>
        <w:tabs>
          <w:tab w:pos="5416" w:val="left" w:leader="none"/>
        </w:tabs>
        <w:spacing w:before="0"/>
        <w:ind w:left="521" w:right="861" w:firstLine="0"/>
        <w:jc w:val="left"/>
        <w:rPr>
          <w:sz w:val="16"/>
        </w:rPr>
      </w:pPr>
      <w:r>
        <w:rPr>
          <w:color w:val="231F20"/>
          <w:sz w:val="16"/>
        </w:rPr>
        <w:t>–4</w:t>
      </w:r>
      <w:r>
        <w:rPr>
          <w:color w:val="231F20"/>
          <w:spacing w:val="2"/>
          <w:sz w:val="16"/>
        </w:rPr>
        <w:t> </w:t>
      </w:r>
      <w:r>
        <w:rPr>
          <w:color w:val="231F20"/>
          <w:sz w:val="16"/>
        </w:rPr>
        <w:t>—</w:t>
        <w:tab/>
        <w:t>—</w:t>
      </w:r>
      <w:r>
        <w:rPr>
          <w:color w:val="231F20"/>
          <w:spacing w:val="4"/>
          <w:sz w:val="16"/>
        </w:rPr>
        <w:t> </w:t>
      </w:r>
      <w:r>
        <w:rPr>
          <w:color w:val="231F20"/>
          <w:sz w:val="16"/>
        </w:rPr>
        <w:t>0</w:t>
      </w:r>
    </w:p>
    <w:p>
      <w:pPr>
        <w:spacing w:before="89"/>
        <w:ind w:left="100" w:right="622" w:firstLine="0"/>
        <w:jc w:val="left"/>
        <w:rPr>
          <w:sz w:val="18"/>
        </w:rPr>
      </w:pPr>
      <w:r>
        <w:rPr>
          <w:rFonts w:ascii="Calibri"/>
          <w:color w:val="231F20"/>
          <w:w w:val="110"/>
          <w:sz w:val="18"/>
        </w:rPr>
        <w:t>fuente: </w:t>
      </w:r>
      <w:r>
        <w:rPr>
          <w:color w:val="231F20"/>
          <w:w w:val="110"/>
          <w:sz w:val="18"/>
        </w:rPr>
        <w:t>Central Bank of Japan Financial and Economic Statistics Monthly.</w:t>
      </w:r>
    </w:p>
    <w:p>
      <w:pPr>
        <w:pStyle w:val="BodyText"/>
        <w:rPr>
          <w:sz w:val="18"/>
        </w:rPr>
      </w:pPr>
    </w:p>
    <w:p>
      <w:pPr>
        <w:spacing w:line="290" w:lineRule="auto" w:before="138"/>
        <w:ind w:left="100" w:right="1193" w:firstLine="0"/>
        <w:jc w:val="left"/>
        <w:rPr>
          <w:sz w:val="18"/>
        </w:rPr>
      </w:pPr>
      <w:r>
        <w:rPr>
          <w:color w:val="231F20"/>
          <w:w w:val="120"/>
          <w:sz w:val="18"/>
        </w:rPr>
        <w:t>gráfica 6. contribución componentes demanda agregada, japón, 1991-2007</w:t>
      </w:r>
    </w:p>
    <w:p>
      <w:pPr>
        <w:spacing w:before="90"/>
        <w:ind w:left="507" w:right="861" w:firstLine="0"/>
        <w:jc w:val="left"/>
        <w:rPr>
          <w:sz w:val="16"/>
        </w:rPr>
      </w:pPr>
      <w:r>
        <w:rPr/>
        <w:pict>
          <v:group style="position:absolute;margin-left:83.809998pt;margin-top:9.145155pt;width:245.25pt;height:181pt;mso-position-horizontal-relative:page;mso-position-vertical-relative:paragraph;z-index:-351496" coordorigin="1676,183" coordsize="4905,3620">
            <v:line style="position:absolute" from="1686,193" to="1686,3793" stroked="true" strokeweight="1pt" strokecolor="#231f20"/>
            <v:line style="position:absolute" from="1687,2773" to="6571,2773" stroked="true" strokeweight="1pt" strokecolor="#231f20"/>
            <v:rect style="position:absolute;left:2407;top:2043;width:360;height:716" filled="true" fillcolor="#c7c8ca" stroked="false">
              <v:fill type="solid"/>
            </v:rect>
            <v:rect style="position:absolute;left:2767;top:2785;width:360;height:420" filled="true" fillcolor="#b1b3b6" stroked="false">
              <v:fill type="solid"/>
            </v:rect>
            <v:rect style="position:absolute;left:2047;top:1819;width:360;height:940" filled="true" fillcolor="#dcddde" stroked="false">
              <v:fill type="solid"/>
            </v:rect>
            <v:rect style="position:absolute;left:3127;top:2191;width:360;height:568" filled="true" fillcolor="#9d9fa2" stroked="false">
              <v:fill type="solid"/>
            </v:rect>
            <v:line style="position:absolute" from="3487,2729" to="3847,2729" stroked="true" strokeweight="3pt" strokecolor="#8a8c8e"/>
            <v:rect style="position:absolute;left:4909;top:2100;width:360;height:657" filled="true" fillcolor="#c7c8ca" stroked="false">
              <v:fill type="solid"/>
            </v:rect>
            <v:rect style="position:absolute;left:5269;top:2143;width:360;height:613" filled="true" fillcolor="#b1b3b6" stroked="false">
              <v:fill type="solid"/>
            </v:rect>
            <v:rect style="position:absolute;left:4549;top:787;width:360;height:1970" filled="true" fillcolor="#dcddde" stroked="false">
              <v:fill type="solid"/>
            </v:rect>
            <v:rect style="position:absolute;left:5629;top:2785;width:360;height:102" filled="true" fillcolor="#9d9fa2" stroked="false">
              <v:fill type="solid"/>
            </v:rect>
            <v:rect style="position:absolute;left:5989;top:2001;width:360;height:756" filled="true" fillcolor="#8a8c8e" stroked="false">
              <v:fill type="solid"/>
            </v:rect>
            <w10:wrap type="none"/>
          </v:group>
        </w:pict>
      </w:r>
      <w:r>
        <w:rPr>
          <w:color w:val="231F20"/>
          <w:sz w:val="16"/>
        </w:rPr>
        <w:t>2.5 —</w:t>
      </w:r>
    </w:p>
    <w:p>
      <w:pPr>
        <w:pStyle w:val="BodyText"/>
        <w:spacing w:before="5"/>
        <w:rPr>
          <w:sz w:val="14"/>
        </w:rPr>
      </w:pPr>
    </w:p>
    <w:p>
      <w:pPr>
        <w:spacing w:after="0"/>
        <w:rPr>
          <w:sz w:val="14"/>
        </w:rPr>
        <w:sectPr>
          <w:headerReference w:type="even" r:id="rId162"/>
          <w:headerReference w:type="default" r:id="rId163"/>
          <w:pgSz w:w="7640" w:h="11900"/>
          <w:pgMar w:header="672" w:footer="0" w:top="860" w:bottom="280" w:left="780" w:right="0"/>
          <w:pgNumType w:start="222"/>
        </w:sectPr>
      </w:pPr>
    </w:p>
    <w:p>
      <w:pPr>
        <w:pStyle w:val="BodyText"/>
        <w:spacing w:before="1"/>
        <w:rPr>
          <w:sz w:val="14"/>
        </w:rPr>
      </w:pPr>
    </w:p>
    <w:p>
      <w:pPr>
        <w:spacing w:before="0"/>
        <w:ind w:left="0" w:right="0" w:firstLine="0"/>
        <w:jc w:val="right"/>
        <w:rPr>
          <w:sz w:val="16"/>
        </w:rPr>
      </w:pPr>
      <w:r>
        <w:rPr>
          <w:color w:val="231F20"/>
          <w:sz w:val="16"/>
        </w:rPr>
        <w:t>2 —</w:t>
      </w:r>
    </w:p>
    <w:p>
      <w:pPr>
        <w:pStyle w:val="BodyText"/>
        <w:rPr>
          <w:sz w:val="16"/>
        </w:rPr>
      </w:pPr>
    </w:p>
    <w:p>
      <w:pPr>
        <w:pStyle w:val="BodyText"/>
        <w:spacing w:before="6"/>
        <w:rPr>
          <w:sz w:val="12"/>
        </w:rPr>
      </w:pPr>
    </w:p>
    <w:p>
      <w:pPr>
        <w:spacing w:line="667" w:lineRule="auto" w:before="0"/>
        <w:ind w:left="631" w:right="0" w:hanging="125"/>
        <w:jc w:val="right"/>
        <w:rPr>
          <w:sz w:val="16"/>
        </w:rPr>
      </w:pPr>
      <w:r>
        <w:rPr>
          <w:color w:val="231F20"/>
          <w:sz w:val="16"/>
        </w:rPr>
        <w:t>1.5 — 1 —</w:t>
      </w:r>
    </w:p>
    <w:p>
      <w:pPr>
        <w:spacing w:line="667" w:lineRule="auto" w:before="12"/>
        <w:ind w:left="631" w:right="0" w:hanging="125"/>
        <w:jc w:val="right"/>
        <w:rPr>
          <w:sz w:val="16"/>
        </w:rPr>
      </w:pPr>
      <w:r>
        <w:rPr>
          <w:color w:val="231F20"/>
          <w:sz w:val="16"/>
        </w:rPr>
        <w:t>0.5 — 0 —</w:t>
      </w:r>
    </w:p>
    <w:p>
      <w:pPr>
        <w:spacing w:before="12"/>
        <w:ind w:left="0" w:right="0" w:firstLine="0"/>
        <w:jc w:val="right"/>
        <w:rPr>
          <w:sz w:val="16"/>
        </w:rPr>
      </w:pPr>
      <w:r>
        <w:rPr>
          <w:color w:val="231F20"/>
          <w:sz w:val="16"/>
        </w:rPr>
        <w:t>–0.5 —</w:t>
      </w:r>
    </w:p>
    <w:p>
      <w:pPr>
        <w:pStyle w:val="BodyText"/>
        <w:rPr>
          <w:sz w:val="16"/>
        </w:rPr>
      </w:pPr>
    </w:p>
    <w:p>
      <w:pPr>
        <w:pStyle w:val="BodyText"/>
        <w:spacing w:before="6"/>
        <w:rPr>
          <w:sz w:val="12"/>
        </w:rPr>
      </w:pPr>
    </w:p>
    <w:p>
      <w:pPr>
        <w:spacing w:before="0"/>
        <w:ind w:left="0" w:right="0" w:firstLine="0"/>
        <w:jc w:val="right"/>
        <w:rPr>
          <w:sz w:val="16"/>
        </w:rPr>
      </w:pPr>
      <w:r>
        <w:rPr>
          <w:color w:val="231F20"/>
          <w:sz w:val="16"/>
        </w:rPr>
        <w:t>–1 —</w:t>
      </w:r>
    </w:p>
    <w:p>
      <w:pPr>
        <w:tabs>
          <w:tab w:pos="547" w:val="left" w:leader="none"/>
          <w:tab w:pos="1799" w:val="left" w:leader="none"/>
          <w:tab w:pos="2501" w:val="left" w:leader="none"/>
          <w:tab w:pos="3049" w:val="left" w:leader="none"/>
          <w:tab w:pos="4301" w:val="left" w:leader="none"/>
        </w:tabs>
        <w:spacing w:before="74"/>
        <w:ind w:left="0" w:right="978" w:firstLine="0"/>
        <w:jc w:val="center"/>
        <w:rPr>
          <w:sz w:val="16"/>
        </w:rPr>
      </w:pPr>
      <w:r>
        <w:rPr/>
        <w:br w:type="column"/>
      </w:r>
      <w:r>
        <w:rPr>
          <w:color w:val="231F20"/>
          <w:w w:val="104"/>
          <w:sz w:val="16"/>
          <w:u w:val="single" w:color="231F20"/>
        </w:rPr>
        <w:t> </w:t>
      </w:r>
      <w:r>
        <w:rPr>
          <w:color w:val="231F20"/>
          <w:sz w:val="16"/>
          <w:u w:val="single" w:color="231F20"/>
        </w:rPr>
        <w:tab/>
        <w:t>1991-2001</w:t>
        <w:tab/>
      </w:r>
      <w:r>
        <w:rPr>
          <w:color w:val="231F20"/>
          <w:sz w:val="16"/>
        </w:rPr>
        <w:tab/>
      </w:r>
      <w:r>
        <w:rPr>
          <w:color w:val="231F20"/>
          <w:sz w:val="16"/>
          <w:u w:val="single" w:color="231F20"/>
        </w:rPr>
        <w:t> </w:t>
        <w:tab/>
        <w:t>1991-2001</w:t>
        <w:tab/>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8"/>
        </w:rPr>
      </w:pPr>
    </w:p>
    <w:p>
      <w:pPr>
        <w:spacing w:before="0"/>
        <w:ind w:left="0" w:right="1152" w:firstLine="0"/>
        <w:jc w:val="center"/>
        <w:rPr>
          <w:sz w:val="17"/>
        </w:rPr>
      </w:pPr>
      <w:r>
        <w:rPr>
          <w:color w:val="231F20"/>
          <w:w w:val="104"/>
          <w:sz w:val="16"/>
          <w:shd w:fill="DCDDDE" w:color="auto" w:val="clear"/>
        </w:rPr>
        <w:t> </w:t>
      </w:r>
      <w:r>
        <w:rPr>
          <w:color w:val="231F20"/>
          <w:w w:val="115"/>
          <w:sz w:val="16"/>
          <w:shd w:fill="DCDDDE" w:color="auto" w:val="clear"/>
        </w:rPr>
        <w:t>gdp    </w:t>
      </w:r>
      <w:r>
        <w:rPr>
          <w:color w:val="231F20"/>
          <w:w w:val="115"/>
          <w:sz w:val="17"/>
          <w:shd w:fill="DCDDDE" w:color="auto" w:val="clear"/>
        </w:rPr>
        <w:t>c      i      g   nx</w:t>
      </w:r>
      <w:r>
        <w:rPr>
          <w:color w:val="231F20"/>
          <w:sz w:val="17"/>
          <w:shd w:fill="DCDDDE" w:color="auto" w:val="clear"/>
        </w:rPr>
        <w:t> </w:t>
      </w:r>
    </w:p>
    <w:p>
      <w:pPr>
        <w:spacing w:after="0"/>
        <w:jc w:val="center"/>
        <w:rPr>
          <w:sz w:val="17"/>
        </w:rPr>
        <w:sectPr>
          <w:type w:val="continuous"/>
          <w:pgSz w:w="7640" w:h="11900"/>
          <w:pgMar w:top="980" w:bottom="280" w:left="780" w:right="0"/>
          <w:cols w:num="2" w:equalWidth="0">
            <w:col w:w="917" w:space="40"/>
            <w:col w:w="5903"/>
          </w:cols>
        </w:sectPr>
      </w:pPr>
    </w:p>
    <w:p>
      <w:pPr>
        <w:spacing w:before="90"/>
        <w:ind w:left="100" w:right="622" w:firstLine="0"/>
        <w:jc w:val="left"/>
        <w:rPr>
          <w:sz w:val="18"/>
        </w:rPr>
      </w:pPr>
      <w:r>
        <w:rPr>
          <w:rFonts w:ascii="Calibri"/>
          <w:color w:val="231F20"/>
          <w:w w:val="110"/>
          <w:sz w:val="18"/>
        </w:rPr>
        <w:t>fuente: </w:t>
      </w:r>
      <w:r>
        <w:rPr>
          <w:color w:val="231F20"/>
          <w:w w:val="110"/>
          <w:sz w:val="18"/>
        </w:rPr>
        <w:t>Central Bank of Japan Financial and Economic Statistics Monthly.</w:t>
      </w:r>
    </w:p>
    <w:p>
      <w:pPr>
        <w:spacing w:after="0"/>
        <w:jc w:val="left"/>
        <w:rPr>
          <w:sz w:val="18"/>
        </w:rPr>
        <w:sectPr>
          <w:type w:val="continuous"/>
          <w:pgSz w:w="7640" w:h="11900"/>
          <w:pgMar w:top="980" w:bottom="280" w:left="780" w:right="0"/>
        </w:sectPr>
      </w:pPr>
    </w:p>
    <w:p>
      <w:pPr>
        <w:pStyle w:val="BodyText"/>
        <w:spacing w:before="8"/>
        <w:rPr>
          <w:sz w:val="8"/>
        </w:rPr>
      </w:pPr>
    </w:p>
    <w:p>
      <w:pPr>
        <w:pStyle w:val="BodyText"/>
        <w:spacing w:line="261" w:lineRule="auto" w:before="67"/>
        <w:ind w:left="100" w:right="119" w:firstLine="240"/>
        <w:jc w:val="both"/>
      </w:pPr>
      <w:r>
        <w:rPr>
          <w:color w:val="231F20"/>
          <w:w w:val="110"/>
        </w:rPr>
        <w:t>En </w:t>
      </w:r>
      <w:r>
        <w:rPr>
          <w:color w:val="231F20"/>
          <w:spacing w:val="-3"/>
          <w:w w:val="110"/>
        </w:rPr>
        <w:t>los tres </w:t>
      </w:r>
      <w:r>
        <w:rPr>
          <w:color w:val="231F20"/>
          <w:spacing w:val="-4"/>
          <w:w w:val="110"/>
        </w:rPr>
        <w:t>episodios </w:t>
      </w:r>
      <w:r>
        <w:rPr>
          <w:color w:val="231F20"/>
          <w:w w:val="110"/>
        </w:rPr>
        <w:t>de </w:t>
      </w:r>
      <w:r>
        <w:rPr>
          <w:color w:val="231F20"/>
          <w:spacing w:val="-4"/>
          <w:w w:val="110"/>
        </w:rPr>
        <w:t>caída significativa </w:t>
      </w:r>
      <w:r>
        <w:rPr>
          <w:color w:val="231F20"/>
          <w:spacing w:val="-3"/>
          <w:w w:val="110"/>
        </w:rPr>
        <w:t>del </w:t>
      </w:r>
      <w:r>
        <w:rPr>
          <w:color w:val="231F20"/>
          <w:spacing w:val="-4"/>
          <w:w w:val="110"/>
        </w:rPr>
        <w:t>producto </w:t>
      </w:r>
      <w:r>
        <w:rPr>
          <w:color w:val="231F20"/>
          <w:w w:val="110"/>
        </w:rPr>
        <w:t>en el </w:t>
      </w:r>
      <w:r>
        <w:rPr>
          <w:color w:val="231F20"/>
          <w:spacing w:val="-3"/>
          <w:w w:val="110"/>
        </w:rPr>
        <w:t>mis- </w:t>
      </w:r>
      <w:r>
        <w:rPr>
          <w:color w:val="231F20"/>
          <w:w w:val="110"/>
        </w:rPr>
        <w:t>mo </w:t>
      </w:r>
      <w:r>
        <w:rPr>
          <w:color w:val="231F20"/>
          <w:spacing w:val="-4"/>
          <w:w w:val="110"/>
        </w:rPr>
        <w:t>periodo, </w:t>
      </w:r>
      <w:r>
        <w:rPr>
          <w:color w:val="231F20"/>
          <w:w w:val="110"/>
        </w:rPr>
        <w:t>el </w:t>
      </w:r>
      <w:r>
        <w:rPr>
          <w:color w:val="231F20"/>
          <w:spacing w:val="-4"/>
          <w:w w:val="110"/>
        </w:rPr>
        <w:t>gasto deficitario </w:t>
      </w:r>
      <w:r>
        <w:rPr>
          <w:color w:val="231F20"/>
          <w:spacing w:val="-3"/>
          <w:w w:val="110"/>
        </w:rPr>
        <w:t>del </w:t>
      </w:r>
      <w:r>
        <w:rPr>
          <w:color w:val="231F20"/>
          <w:spacing w:val="-4"/>
          <w:w w:val="110"/>
        </w:rPr>
        <w:t>gobierno procedió </w:t>
      </w:r>
      <w:r>
        <w:rPr>
          <w:color w:val="231F20"/>
          <w:w w:val="110"/>
        </w:rPr>
        <w:t>a </w:t>
      </w:r>
      <w:r>
        <w:rPr>
          <w:color w:val="231F20"/>
          <w:spacing w:val="-4"/>
          <w:w w:val="110"/>
        </w:rPr>
        <w:t>apuntalar la demanda agregada </w:t>
      </w:r>
      <w:r>
        <w:rPr>
          <w:color w:val="231F20"/>
          <w:spacing w:val="-3"/>
          <w:w w:val="110"/>
        </w:rPr>
        <w:t>con </w:t>
      </w:r>
      <w:r>
        <w:rPr>
          <w:color w:val="231F20"/>
          <w:w w:val="110"/>
        </w:rPr>
        <w:t>el </w:t>
      </w:r>
      <w:r>
        <w:rPr>
          <w:color w:val="231F20"/>
          <w:spacing w:val="-4"/>
          <w:w w:val="110"/>
        </w:rPr>
        <w:t>objetivo </w:t>
      </w:r>
      <w:r>
        <w:rPr>
          <w:color w:val="231F20"/>
          <w:w w:val="110"/>
        </w:rPr>
        <w:t>de </w:t>
      </w:r>
      <w:r>
        <w:rPr>
          <w:color w:val="231F20"/>
          <w:spacing w:val="-4"/>
          <w:w w:val="110"/>
        </w:rPr>
        <w:t>evitar </w:t>
      </w:r>
      <w:r>
        <w:rPr>
          <w:color w:val="231F20"/>
          <w:spacing w:val="-3"/>
          <w:w w:val="110"/>
        </w:rPr>
        <w:t>que </w:t>
      </w:r>
      <w:r>
        <w:rPr>
          <w:color w:val="231F20"/>
          <w:w w:val="110"/>
        </w:rPr>
        <w:t>el </w:t>
      </w:r>
      <w:r>
        <w:rPr>
          <w:color w:val="231F20"/>
          <w:spacing w:val="-4"/>
          <w:w w:val="110"/>
        </w:rPr>
        <w:t>escenario recesivo </w:t>
      </w:r>
      <w:r>
        <w:rPr>
          <w:color w:val="231F20"/>
          <w:w w:val="110"/>
        </w:rPr>
        <w:t>se </w:t>
      </w:r>
      <w:r>
        <w:rPr>
          <w:color w:val="231F20"/>
          <w:spacing w:val="-4"/>
          <w:w w:val="110"/>
        </w:rPr>
        <w:t>convirtiera </w:t>
      </w:r>
      <w:r>
        <w:rPr>
          <w:color w:val="231F20"/>
          <w:w w:val="110"/>
        </w:rPr>
        <w:t>en </w:t>
      </w:r>
      <w:r>
        <w:rPr>
          <w:color w:val="231F20"/>
          <w:spacing w:val="-3"/>
          <w:w w:val="110"/>
        </w:rPr>
        <w:t>una </w:t>
      </w:r>
      <w:r>
        <w:rPr>
          <w:color w:val="231F20"/>
          <w:spacing w:val="-4"/>
          <w:w w:val="110"/>
        </w:rPr>
        <w:t>depresión generalizada </w:t>
      </w:r>
      <w:r>
        <w:rPr>
          <w:color w:val="231F20"/>
          <w:w w:val="110"/>
        </w:rPr>
        <w:t>de la </w:t>
      </w:r>
      <w:r>
        <w:rPr>
          <w:color w:val="231F20"/>
          <w:spacing w:val="-4"/>
          <w:w w:val="110"/>
        </w:rPr>
        <w:t>economía. </w:t>
      </w:r>
      <w:r>
        <w:rPr>
          <w:color w:val="231F20"/>
          <w:w w:val="110"/>
        </w:rPr>
        <w:t>Es </w:t>
      </w:r>
      <w:r>
        <w:rPr>
          <w:color w:val="231F20"/>
          <w:spacing w:val="-4"/>
          <w:w w:val="110"/>
        </w:rPr>
        <w:t>de resaltar </w:t>
      </w:r>
      <w:r>
        <w:rPr>
          <w:color w:val="231F20"/>
          <w:spacing w:val="-3"/>
          <w:w w:val="110"/>
        </w:rPr>
        <w:t>que </w:t>
      </w:r>
      <w:r>
        <w:rPr>
          <w:color w:val="231F20"/>
          <w:w w:val="110"/>
        </w:rPr>
        <w:t>a </w:t>
      </w:r>
      <w:r>
        <w:rPr>
          <w:color w:val="231F20"/>
          <w:spacing w:val="-4"/>
          <w:w w:val="110"/>
        </w:rPr>
        <w:t>pesar </w:t>
      </w:r>
      <w:r>
        <w:rPr>
          <w:color w:val="231F20"/>
          <w:spacing w:val="-3"/>
          <w:w w:val="110"/>
        </w:rPr>
        <w:t>del </w:t>
      </w:r>
      <w:r>
        <w:rPr>
          <w:color w:val="231F20"/>
          <w:spacing w:val="-4"/>
          <w:w w:val="110"/>
        </w:rPr>
        <w:t>esfuerzo </w:t>
      </w:r>
      <w:r>
        <w:rPr>
          <w:color w:val="231F20"/>
          <w:spacing w:val="-3"/>
          <w:w w:val="110"/>
        </w:rPr>
        <w:t>fiscal </w:t>
      </w:r>
      <w:r>
        <w:rPr>
          <w:color w:val="231F20"/>
          <w:spacing w:val="-4"/>
          <w:w w:val="110"/>
        </w:rPr>
        <w:t>realizado </w:t>
      </w:r>
      <w:r>
        <w:rPr>
          <w:color w:val="231F20"/>
          <w:spacing w:val="-3"/>
          <w:w w:val="110"/>
        </w:rPr>
        <w:t>por </w:t>
      </w:r>
      <w:r>
        <w:rPr>
          <w:color w:val="231F20"/>
          <w:w w:val="110"/>
        </w:rPr>
        <w:t>el </w:t>
      </w:r>
      <w:r>
        <w:rPr>
          <w:color w:val="231F20"/>
          <w:spacing w:val="-4"/>
          <w:w w:val="110"/>
        </w:rPr>
        <w:t>gobierno, </w:t>
      </w:r>
      <w:r>
        <w:rPr>
          <w:color w:val="231F20"/>
          <w:w w:val="110"/>
        </w:rPr>
        <w:t>la</w:t>
      </w:r>
      <w:r>
        <w:rPr>
          <w:color w:val="231F20"/>
          <w:spacing w:val="-31"/>
          <w:w w:val="110"/>
        </w:rPr>
        <w:t> </w:t>
      </w:r>
      <w:r>
        <w:rPr>
          <w:color w:val="231F20"/>
          <w:spacing w:val="-4"/>
          <w:w w:val="110"/>
        </w:rPr>
        <w:t>tasa </w:t>
      </w:r>
      <w:r>
        <w:rPr>
          <w:color w:val="231F20"/>
          <w:w w:val="110"/>
        </w:rPr>
        <w:t>de </w:t>
      </w:r>
      <w:r>
        <w:rPr>
          <w:color w:val="231F20"/>
          <w:spacing w:val="-4"/>
          <w:w w:val="110"/>
        </w:rPr>
        <w:t>desempleo continuó creciendo </w:t>
      </w:r>
      <w:r>
        <w:rPr>
          <w:color w:val="231F20"/>
          <w:w w:val="110"/>
        </w:rPr>
        <w:t>a lo </w:t>
      </w:r>
      <w:r>
        <w:rPr>
          <w:color w:val="231F20"/>
          <w:spacing w:val="-4"/>
          <w:w w:val="110"/>
        </w:rPr>
        <w:t>largo </w:t>
      </w:r>
      <w:r>
        <w:rPr>
          <w:color w:val="231F20"/>
          <w:spacing w:val="-3"/>
          <w:w w:val="110"/>
        </w:rPr>
        <w:t>del </w:t>
      </w:r>
      <w:r>
        <w:rPr>
          <w:color w:val="231F20"/>
          <w:spacing w:val="-4"/>
          <w:w w:val="110"/>
        </w:rPr>
        <w:t>decenio. </w:t>
      </w:r>
      <w:r>
        <w:rPr>
          <w:color w:val="231F20"/>
          <w:w w:val="110"/>
        </w:rPr>
        <w:t>Si </w:t>
      </w:r>
      <w:r>
        <w:rPr>
          <w:color w:val="231F20"/>
          <w:spacing w:val="-3"/>
          <w:w w:val="110"/>
        </w:rPr>
        <w:t>bien </w:t>
      </w:r>
      <w:r>
        <w:rPr>
          <w:color w:val="231F20"/>
          <w:spacing w:val="-4"/>
          <w:w w:val="110"/>
        </w:rPr>
        <w:t>para </w:t>
      </w:r>
      <w:r>
        <w:rPr>
          <w:color w:val="231F20"/>
          <w:spacing w:val="-3"/>
          <w:w w:val="110"/>
        </w:rPr>
        <w:t>los </w:t>
      </w:r>
      <w:r>
        <w:rPr>
          <w:color w:val="231F20"/>
          <w:spacing w:val="-4"/>
          <w:w w:val="110"/>
        </w:rPr>
        <w:t>estándares </w:t>
      </w:r>
      <w:r>
        <w:rPr>
          <w:color w:val="231F20"/>
          <w:w w:val="110"/>
        </w:rPr>
        <w:t>de </w:t>
      </w:r>
      <w:r>
        <w:rPr>
          <w:color w:val="231F20"/>
          <w:spacing w:val="-3"/>
          <w:w w:val="110"/>
        </w:rPr>
        <w:t>las </w:t>
      </w:r>
      <w:r>
        <w:rPr>
          <w:color w:val="231F20"/>
          <w:spacing w:val="-4"/>
          <w:w w:val="110"/>
        </w:rPr>
        <w:t>economías occidentales </w:t>
      </w:r>
      <w:r>
        <w:rPr>
          <w:color w:val="231F20"/>
          <w:w w:val="110"/>
        </w:rPr>
        <w:t>el </w:t>
      </w:r>
      <w:r>
        <w:rPr>
          <w:color w:val="231F20"/>
          <w:spacing w:val="-4"/>
          <w:w w:val="110"/>
        </w:rPr>
        <w:t>máximo </w:t>
      </w:r>
      <w:r>
        <w:rPr>
          <w:color w:val="231F20"/>
          <w:w w:val="110"/>
        </w:rPr>
        <w:t>de </w:t>
      </w:r>
      <w:r>
        <w:rPr>
          <w:color w:val="231F20"/>
          <w:spacing w:val="-4"/>
          <w:w w:val="110"/>
        </w:rPr>
        <w:t>desempleo alcanzado </w:t>
      </w:r>
      <w:r>
        <w:rPr>
          <w:color w:val="231F20"/>
          <w:w w:val="110"/>
        </w:rPr>
        <w:t>en </w:t>
      </w:r>
      <w:r>
        <w:rPr>
          <w:color w:val="231F20"/>
          <w:spacing w:val="-4"/>
          <w:w w:val="110"/>
        </w:rPr>
        <w:t>Japón </w:t>
      </w:r>
      <w:r>
        <w:rPr>
          <w:color w:val="231F20"/>
          <w:spacing w:val="-3"/>
          <w:w w:val="110"/>
        </w:rPr>
        <w:t>fue </w:t>
      </w:r>
      <w:r>
        <w:rPr>
          <w:color w:val="231F20"/>
          <w:w w:val="110"/>
        </w:rPr>
        <w:t>de </w:t>
      </w:r>
      <w:r>
        <w:rPr>
          <w:color w:val="231F20"/>
          <w:spacing w:val="-4"/>
          <w:w w:val="110"/>
        </w:rPr>
        <w:t>5.5%, </w:t>
      </w:r>
      <w:r>
        <w:rPr>
          <w:color w:val="231F20"/>
          <w:w w:val="110"/>
        </w:rPr>
        <w:t>es </w:t>
      </w:r>
      <w:r>
        <w:rPr>
          <w:color w:val="231F20"/>
          <w:spacing w:val="-4"/>
          <w:w w:val="110"/>
        </w:rPr>
        <w:t>relativamente bajo, </w:t>
      </w:r>
      <w:r>
        <w:rPr>
          <w:color w:val="231F20"/>
          <w:w w:val="110"/>
        </w:rPr>
        <w:t>en el </w:t>
      </w:r>
      <w:r>
        <w:rPr>
          <w:color w:val="231F20"/>
          <w:spacing w:val="-3"/>
          <w:w w:val="110"/>
        </w:rPr>
        <w:t>caso </w:t>
      </w:r>
      <w:r>
        <w:rPr>
          <w:color w:val="231F20"/>
          <w:spacing w:val="-4"/>
          <w:w w:val="110"/>
        </w:rPr>
        <w:t>de </w:t>
      </w:r>
      <w:r>
        <w:rPr>
          <w:color w:val="231F20"/>
          <w:w w:val="110"/>
        </w:rPr>
        <w:t>un </w:t>
      </w:r>
      <w:r>
        <w:rPr>
          <w:color w:val="231F20"/>
          <w:spacing w:val="-3"/>
          <w:w w:val="110"/>
        </w:rPr>
        <w:t>país con </w:t>
      </w:r>
      <w:r>
        <w:rPr>
          <w:color w:val="231F20"/>
          <w:w w:val="110"/>
        </w:rPr>
        <w:t>un </w:t>
      </w:r>
      <w:r>
        <w:rPr>
          <w:color w:val="231F20"/>
          <w:spacing w:val="-4"/>
          <w:w w:val="110"/>
        </w:rPr>
        <w:t>rígido mercado laboral </w:t>
      </w:r>
      <w:r>
        <w:rPr>
          <w:color w:val="231F20"/>
          <w:w w:val="110"/>
        </w:rPr>
        <w:t>y </w:t>
      </w:r>
      <w:r>
        <w:rPr>
          <w:color w:val="231F20"/>
          <w:spacing w:val="-4"/>
          <w:w w:val="110"/>
        </w:rPr>
        <w:t>caracterizado </w:t>
      </w:r>
      <w:r>
        <w:rPr>
          <w:color w:val="231F20"/>
          <w:spacing w:val="-3"/>
          <w:w w:val="110"/>
        </w:rPr>
        <w:t>por </w:t>
      </w:r>
      <w:r>
        <w:rPr>
          <w:color w:val="231F20"/>
          <w:spacing w:val="-4"/>
          <w:w w:val="110"/>
        </w:rPr>
        <w:t>políticas de empleos </w:t>
      </w:r>
      <w:r>
        <w:rPr>
          <w:color w:val="231F20"/>
          <w:w w:val="110"/>
        </w:rPr>
        <w:t>de </w:t>
      </w:r>
      <w:r>
        <w:rPr>
          <w:color w:val="231F20"/>
          <w:spacing w:val="-3"/>
          <w:w w:val="110"/>
        </w:rPr>
        <w:t>por </w:t>
      </w:r>
      <w:r>
        <w:rPr>
          <w:color w:val="231F20"/>
          <w:spacing w:val="-4"/>
          <w:w w:val="110"/>
        </w:rPr>
        <w:t>vida, </w:t>
      </w:r>
      <w:r>
        <w:rPr>
          <w:color w:val="231F20"/>
          <w:spacing w:val="-3"/>
          <w:w w:val="110"/>
        </w:rPr>
        <w:t>este </w:t>
      </w:r>
      <w:r>
        <w:rPr>
          <w:color w:val="231F20"/>
          <w:spacing w:val="-4"/>
          <w:w w:val="110"/>
        </w:rPr>
        <w:t>hecho implicó </w:t>
      </w:r>
      <w:r>
        <w:rPr>
          <w:color w:val="231F20"/>
          <w:w w:val="110"/>
        </w:rPr>
        <w:t>un </w:t>
      </w:r>
      <w:r>
        <w:rPr>
          <w:color w:val="231F20"/>
          <w:spacing w:val="-4"/>
          <w:w w:val="110"/>
        </w:rPr>
        <w:t>fuerte shock</w:t>
      </w:r>
      <w:r>
        <w:rPr>
          <w:color w:val="231F20"/>
          <w:spacing w:val="33"/>
          <w:w w:val="110"/>
        </w:rPr>
        <w:t> </w:t>
      </w:r>
      <w:r>
        <w:rPr>
          <w:color w:val="231F20"/>
          <w:spacing w:val="-4"/>
          <w:w w:val="110"/>
        </w:rPr>
        <w:t>social.</w:t>
      </w:r>
    </w:p>
    <w:p>
      <w:pPr>
        <w:pStyle w:val="BodyText"/>
        <w:spacing w:line="261" w:lineRule="auto"/>
        <w:ind w:left="100" w:right="113" w:firstLine="240"/>
        <w:jc w:val="both"/>
      </w:pPr>
      <w:r>
        <w:rPr>
          <w:color w:val="231F20"/>
          <w:w w:val="110"/>
        </w:rPr>
        <w:t>Prosiguiendo con el análisis, el periodo de recuperación de la economía entre el 2002 y 2007, se caracteriza por una dinámica ra- dicalmente diferente. Mientras en el decenio anterior el elemento de la demanda agregada que mantuvo a la economía a flote fue el</w:t>
      </w:r>
      <w:r>
        <w:rPr>
          <w:color w:val="231F20"/>
          <w:spacing w:val="-19"/>
          <w:w w:val="110"/>
        </w:rPr>
        <w:t> </w:t>
      </w:r>
      <w:r>
        <w:rPr>
          <w:color w:val="231F20"/>
          <w:w w:val="110"/>
        </w:rPr>
        <w:t>gasto público, durante este periodo las exportaciones netas se</w:t>
      </w:r>
      <w:r>
        <w:rPr>
          <w:color w:val="231F20"/>
          <w:spacing w:val="-10"/>
          <w:w w:val="110"/>
        </w:rPr>
        <w:t> </w:t>
      </w:r>
      <w:r>
        <w:rPr>
          <w:color w:val="231F20"/>
          <w:w w:val="110"/>
        </w:rPr>
        <w:t>convirtieron en el motor principal del crecimiento económico. Gracias al favora- ble ciclo económico internacional, el superávit de cuenta corriente japonés se expandió gradualmente hasta alcanzar 4.8 % del pib en</w:t>
      </w:r>
      <w:r>
        <w:rPr>
          <w:color w:val="231F20"/>
          <w:spacing w:val="-27"/>
          <w:w w:val="110"/>
        </w:rPr>
        <w:t> </w:t>
      </w:r>
      <w:r>
        <w:rPr>
          <w:color w:val="231F20"/>
          <w:w w:val="110"/>
        </w:rPr>
        <w:t>el 2007.</w:t>
      </w:r>
      <w:r>
        <w:rPr>
          <w:color w:val="231F20"/>
          <w:spacing w:val="-15"/>
          <w:w w:val="110"/>
        </w:rPr>
        <w:t> </w:t>
      </w:r>
      <w:r>
        <w:rPr>
          <w:color w:val="231F20"/>
          <w:w w:val="110"/>
        </w:rPr>
        <w:t>La</w:t>
      </w:r>
      <w:r>
        <w:rPr>
          <w:color w:val="231F20"/>
          <w:spacing w:val="-15"/>
          <w:w w:val="110"/>
        </w:rPr>
        <w:t> </w:t>
      </w:r>
      <w:r>
        <w:rPr>
          <w:color w:val="231F20"/>
          <w:w w:val="110"/>
        </w:rPr>
        <w:t>creciente</w:t>
      </w:r>
      <w:r>
        <w:rPr>
          <w:color w:val="231F20"/>
          <w:spacing w:val="-15"/>
          <w:w w:val="110"/>
        </w:rPr>
        <w:t> </w:t>
      </w:r>
      <w:r>
        <w:rPr>
          <w:color w:val="231F20"/>
          <w:w w:val="110"/>
        </w:rPr>
        <w:t>demanda</w:t>
      </w:r>
      <w:r>
        <w:rPr>
          <w:color w:val="231F20"/>
          <w:spacing w:val="-15"/>
          <w:w w:val="110"/>
        </w:rPr>
        <w:t> </w:t>
      </w:r>
      <w:r>
        <w:rPr>
          <w:color w:val="231F20"/>
          <w:w w:val="110"/>
        </w:rPr>
        <w:t>de</w:t>
      </w:r>
      <w:r>
        <w:rPr>
          <w:color w:val="231F20"/>
          <w:spacing w:val="-15"/>
          <w:w w:val="110"/>
        </w:rPr>
        <w:t> </w:t>
      </w:r>
      <w:r>
        <w:rPr>
          <w:color w:val="231F20"/>
          <w:w w:val="110"/>
        </w:rPr>
        <w:t>productos</w:t>
      </w:r>
      <w:r>
        <w:rPr>
          <w:color w:val="231F20"/>
          <w:spacing w:val="-15"/>
          <w:w w:val="110"/>
        </w:rPr>
        <w:t> </w:t>
      </w:r>
      <w:r>
        <w:rPr>
          <w:color w:val="231F20"/>
          <w:w w:val="110"/>
        </w:rPr>
        <w:t>japoneses</w:t>
      </w:r>
      <w:r>
        <w:rPr>
          <w:color w:val="231F20"/>
          <w:spacing w:val="-15"/>
          <w:w w:val="110"/>
        </w:rPr>
        <w:t> </w:t>
      </w:r>
      <w:r>
        <w:rPr>
          <w:color w:val="231F20"/>
          <w:w w:val="110"/>
        </w:rPr>
        <w:t>permitió</w:t>
      </w:r>
      <w:r>
        <w:rPr>
          <w:color w:val="231F20"/>
          <w:spacing w:val="-15"/>
          <w:w w:val="110"/>
        </w:rPr>
        <w:t> </w:t>
      </w:r>
      <w:r>
        <w:rPr>
          <w:color w:val="231F20"/>
          <w:w w:val="110"/>
        </w:rPr>
        <w:t>a</w:t>
      </w:r>
      <w:r>
        <w:rPr>
          <w:color w:val="231F20"/>
          <w:spacing w:val="-15"/>
          <w:w w:val="110"/>
        </w:rPr>
        <w:t> </w:t>
      </w:r>
      <w:r>
        <w:rPr>
          <w:color w:val="231F20"/>
          <w:w w:val="110"/>
        </w:rPr>
        <w:t>su</w:t>
      </w:r>
      <w:r>
        <w:rPr>
          <w:color w:val="231F20"/>
          <w:spacing w:val="-15"/>
          <w:w w:val="110"/>
        </w:rPr>
        <w:t> </w:t>
      </w:r>
      <w:r>
        <w:rPr>
          <w:color w:val="231F20"/>
          <w:w w:val="110"/>
        </w:rPr>
        <w:t>vez la</w:t>
      </w:r>
      <w:r>
        <w:rPr>
          <w:color w:val="231F20"/>
          <w:spacing w:val="-11"/>
          <w:w w:val="110"/>
        </w:rPr>
        <w:t> </w:t>
      </w:r>
      <w:r>
        <w:rPr>
          <w:color w:val="231F20"/>
          <w:w w:val="110"/>
        </w:rPr>
        <w:t>reactivación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inversión</w:t>
      </w:r>
      <w:r>
        <w:rPr>
          <w:color w:val="231F20"/>
          <w:spacing w:val="-11"/>
          <w:w w:val="110"/>
        </w:rPr>
        <w:t> </w:t>
      </w:r>
      <w:r>
        <w:rPr>
          <w:color w:val="231F20"/>
          <w:w w:val="110"/>
        </w:rPr>
        <w:t>privada</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producción</w:t>
      </w:r>
      <w:r>
        <w:rPr>
          <w:color w:val="231F20"/>
          <w:spacing w:val="-11"/>
          <w:w w:val="110"/>
        </w:rPr>
        <w:t> </w:t>
      </w:r>
      <w:r>
        <w:rPr>
          <w:color w:val="231F20"/>
          <w:w w:val="110"/>
        </w:rPr>
        <w:t>con</w:t>
      </w:r>
      <w:r>
        <w:rPr>
          <w:color w:val="231F20"/>
          <w:spacing w:val="-11"/>
          <w:w w:val="110"/>
        </w:rPr>
        <w:t> </w:t>
      </w:r>
      <w:r>
        <w:rPr>
          <w:color w:val="231F20"/>
          <w:w w:val="110"/>
        </w:rPr>
        <w:t>destino a los mercados internacionales, al mismo tiempo que le permitió al gobierno retirar las medidas de estímulo fiscal implementadas en el decenio</w:t>
      </w:r>
      <w:r>
        <w:rPr>
          <w:color w:val="231F20"/>
          <w:spacing w:val="25"/>
          <w:w w:val="110"/>
        </w:rPr>
        <w:t> </w:t>
      </w:r>
      <w:r>
        <w:rPr>
          <w:color w:val="231F20"/>
          <w:w w:val="110"/>
        </w:rPr>
        <w:t>anterior.</w:t>
      </w:r>
    </w:p>
    <w:p>
      <w:pPr>
        <w:pStyle w:val="BodyText"/>
        <w:spacing w:line="261" w:lineRule="auto"/>
        <w:ind w:left="100" w:right="119" w:firstLine="240"/>
        <w:jc w:val="both"/>
      </w:pPr>
      <w:r>
        <w:rPr>
          <w:color w:val="231F20"/>
          <w:w w:val="105"/>
        </w:rPr>
        <w:t>A medida que la dinámica de la economía japonesa fue progre- sando, de la misma forma las políticas del gobierno cambiaron para hacerle frente a las circunstancias. Las gráficas 7 y 8 muestran</w:t>
      </w:r>
      <w:r>
        <w:rPr>
          <w:color w:val="231F20"/>
          <w:spacing w:val="12"/>
          <w:w w:val="105"/>
        </w:rPr>
        <w:t> </w:t>
      </w:r>
      <w:r>
        <w:rPr>
          <w:color w:val="231F20"/>
          <w:w w:val="105"/>
        </w:rPr>
        <w:t>la</w:t>
      </w:r>
      <w:r>
        <w:rPr>
          <w:color w:val="231F20"/>
          <w:spacing w:val="10"/>
          <w:w w:val="105"/>
        </w:rPr>
        <w:t> </w:t>
      </w:r>
      <w:r>
        <w:rPr>
          <w:color w:val="231F20"/>
          <w:w w:val="105"/>
        </w:rPr>
        <w:t>evo-</w:t>
      </w:r>
      <w:r>
        <w:rPr>
          <w:color w:val="231F20"/>
          <w:w w:val="72"/>
        </w:rPr>
        <w:t> </w:t>
      </w:r>
      <w:r>
        <w:rPr>
          <w:color w:val="231F20"/>
          <w:w w:val="105"/>
        </w:rPr>
        <w:t>lución de las respuestas del gobierno. Así mientras el primer periodo, entre 1991 y 2001, se caracterizó por el énfasis en la política fiscal</w:t>
      </w:r>
      <w:r>
        <w:rPr>
          <w:color w:val="231F20"/>
          <w:spacing w:val="-14"/>
          <w:w w:val="105"/>
        </w:rPr>
        <w:t> </w:t>
      </w:r>
      <w:r>
        <w:rPr>
          <w:color w:val="231F20"/>
          <w:w w:val="105"/>
        </w:rPr>
        <w:t>para estimular la economía, en el segundo periodo, entre 2002 y 2007, se recurrió  fundamentalmente  a  la  política </w:t>
      </w:r>
      <w:r>
        <w:rPr>
          <w:color w:val="231F20"/>
          <w:spacing w:val="46"/>
          <w:w w:val="105"/>
        </w:rPr>
        <w:t> </w:t>
      </w:r>
      <w:r>
        <w:rPr>
          <w:color w:val="231F20"/>
          <w:w w:val="105"/>
        </w:rPr>
        <w:t>monetaria.</w:t>
      </w:r>
    </w:p>
    <w:p>
      <w:pPr>
        <w:pStyle w:val="BodyText"/>
        <w:spacing w:line="261" w:lineRule="auto"/>
        <w:ind w:left="100" w:right="115" w:firstLine="240"/>
        <w:jc w:val="right"/>
      </w:pPr>
      <w:r>
        <w:rPr>
          <w:color w:val="231F20"/>
          <w:w w:val="110"/>
        </w:rPr>
        <w:t>En el caso de la década perdida, el uso del gasto deficitario para</w:t>
      </w:r>
      <w:r>
        <w:rPr>
          <w:color w:val="231F20"/>
          <w:spacing w:val="2"/>
          <w:w w:val="112"/>
        </w:rPr>
        <w:t> </w:t>
      </w:r>
      <w:r>
        <w:rPr>
          <w:color w:val="231F20"/>
          <w:w w:val="110"/>
        </w:rPr>
        <w:t>evitar una depresión en la economía, se tradujo en un</w:t>
      </w:r>
      <w:r>
        <w:rPr>
          <w:color w:val="231F20"/>
          <w:spacing w:val="50"/>
          <w:w w:val="110"/>
        </w:rPr>
        <w:t> </w:t>
      </w:r>
      <w:r>
        <w:rPr>
          <w:color w:val="231F20"/>
          <w:w w:val="110"/>
        </w:rPr>
        <w:t>aumento</w:t>
      </w:r>
      <w:r>
        <w:rPr>
          <w:color w:val="231F20"/>
          <w:spacing w:val="2"/>
          <w:w w:val="113"/>
        </w:rPr>
        <w:t> </w:t>
      </w:r>
      <w:r>
        <w:rPr>
          <w:color w:val="231F20"/>
          <w:w w:val="110"/>
        </w:rPr>
        <w:t>masivo del endeudamiento público. Como se </w:t>
      </w:r>
      <w:r>
        <w:rPr>
          <w:color w:val="231F20"/>
          <w:spacing w:val="2"/>
          <w:w w:val="110"/>
        </w:rPr>
        <w:t>observa </w:t>
      </w:r>
      <w:r>
        <w:rPr>
          <w:color w:val="231F20"/>
          <w:w w:val="110"/>
        </w:rPr>
        <w:t>en la gráfi-</w:t>
      </w:r>
      <w:r>
        <w:rPr>
          <w:color w:val="231F20"/>
          <w:w w:val="72"/>
        </w:rPr>
        <w:t> </w:t>
      </w:r>
      <w:r>
        <w:rPr>
          <w:color w:val="231F20"/>
          <w:w w:val="110"/>
        </w:rPr>
        <w:t>ca 7, la deuda pública pasó de representar 48% del pib en 1990,</w:t>
      </w:r>
      <w:r>
        <w:rPr>
          <w:color w:val="231F20"/>
          <w:spacing w:val="2"/>
          <w:w w:val="104"/>
        </w:rPr>
        <w:t> </w:t>
      </w:r>
      <w:r>
        <w:rPr>
          <w:color w:val="231F20"/>
          <w:w w:val="110"/>
        </w:rPr>
        <w:t>momento en que comienza la deflación de la burbuja financiera, a</w:t>
      </w:r>
      <w:r>
        <w:rPr>
          <w:color w:val="231F20"/>
          <w:w w:val="108"/>
        </w:rPr>
        <w:t> </w:t>
      </w:r>
      <w:r>
        <w:rPr>
          <w:color w:val="231F20"/>
          <w:w w:val="110"/>
        </w:rPr>
        <w:t>estabilizarse en alrededor de 160% del pib durante el periodo 2004-</w:t>
      </w:r>
      <w:r>
        <w:rPr>
          <w:color w:val="231F20"/>
          <w:spacing w:val="2"/>
          <w:w w:val="99"/>
        </w:rPr>
        <w:t> </w:t>
      </w:r>
      <w:r>
        <w:rPr>
          <w:color w:val="231F20"/>
          <w:w w:val="110"/>
        </w:rPr>
        <w:t>2007, lapso en el cual se le retira el estímulo fiscal a</w:t>
      </w:r>
      <w:r>
        <w:rPr>
          <w:color w:val="231F20"/>
          <w:spacing w:val="52"/>
          <w:w w:val="110"/>
        </w:rPr>
        <w:t> </w:t>
      </w:r>
      <w:r>
        <w:rPr>
          <w:color w:val="231F20"/>
          <w:w w:val="110"/>
        </w:rPr>
        <w:t>la economía.</w:t>
      </w:r>
      <w:r>
        <w:rPr>
          <w:color w:val="231F20"/>
          <w:spacing w:val="2"/>
          <w:w w:val="110"/>
        </w:rPr>
        <w:t> </w:t>
      </w:r>
      <w:r>
        <w:rPr>
          <w:color w:val="231F20"/>
          <w:w w:val="110"/>
        </w:rPr>
        <w:t>Sin embargo el aspecto más interesante de esta situación, es que a</w:t>
      </w:r>
      <w:r>
        <w:rPr>
          <w:color w:val="231F20"/>
          <w:w w:val="108"/>
        </w:rPr>
        <w:t> </w:t>
      </w:r>
      <w:r>
        <w:rPr>
          <w:color w:val="231F20"/>
          <w:w w:val="110"/>
        </w:rPr>
        <w:t>pesar del masivo incremento del endeudamiento y en  contrasentido</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757"/>
        <w:jc w:val="both"/>
      </w:pPr>
      <w:r>
        <w:rPr>
          <w:color w:val="231F20"/>
          <w:w w:val="110"/>
        </w:rPr>
        <w:t>de lo que predice la teoría económica neoclásica, las tasas de interés sobre los bonos de deuda del gobierno japonés no sólo no crecieron, sino</w:t>
      </w:r>
      <w:r>
        <w:rPr>
          <w:color w:val="231F20"/>
          <w:spacing w:val="-18"/>
          <w:w w:val="110"/>
        </w:rPr>
        <w:t> </w:t>
      </w:r>
      <w:r>
        <w:rPr>
          <w:color w:val="231F20"/>
          <w:w w:val="110"/>
        </w:rPr>
        <w:t>que</w:t>
      </w:r>
      <w:r>
        <w:rPr>
          <w:color w:val="231F20"/>
          <w:spacing w:val="-18"/>
          <w:w w:val="110"/>
        </w:rPr>
        <w:t> </w:t>
      </w:r>
      <w:r>
        <w:rPr>
          <w:color w:val="231F20"/>
          <w:w w:val="110"/>
        </w:rPr>
        <w:t>de</w:t>
      </w:r>
      <w:r>
        <w:rPr>
          <w:color w:val="231F20"/>
          <w:spacing w:val="-18"/>
          <w:w w:val="110"/>
        </w:rPr>
        <w:t> </w:t>
      </w:r>
      <w:r>
        <w:rPr>
          <w:color w:val="231F20"/>
          <w:w w:val="110"/>
        </w:rPr>
        <w:t>hecho</w:t>
      </w:r>
      <w:r>
        <w:rPr>
          <w:color w:val="231F20"/>
          <w:spacing w:val="-18"/>
          <w:w w:val="110"/>
        </w:rPr>
        <w:t> </w:t>
      </w:r>
      <w:r>
        <w:rPr>
          <w:color w:val="231F20"/>
          <w:w w:val="110"/>
        </w:rPr>
        <w:t>cayeron</w:t>
      </w:r>
      <w:r>
        <w:rPr>
          <w:color w:val="231F20"/>
          <w:spacing w:val="-18"/>
          <w:w w:val="110"/>
        </w:rPr>
        <w:t> </w:t>
      </w:r>
      <w:r>
        <w:rPr>
          <w:color w:val="231F20"/>
          <w:w w:val="110"/>
        </w:rPr>
        <w:t>por</w:t>
      </w:r>
      <w:r>
        <w:rPr>
          <w:color w:val="231F20"/>
          <w:spacing w:val="-18"/>
          <w:w w:val="110"/>
        </w:rPr>
        <w:t> </w:t>
      </w:r>
      <w:r>
        <w:rPr>
          <w:color w:val="231F20"/>
          <w:w w:val="110"/>
        </w:rPr>
        <w:t>debajo</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niveles</w:t>
      </w:r>
      <w:r>
        <w:rPr>
          <w:color w:val="231F20"/>
          <w:spacing w:val="-18"/>
          <w:w w:val="110"/>
        </w:rPr>
        <w:t> </w:t>
      </w:r>
      <w:r>
        <w:rPr>
          <w:color w:val="231F20"/>
          <w:w w:val="110"/>
        </w:rPr>
        <w:t>previos</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crisis.</w:t>
      </w:r>
    </w:p>
    <w:p>
      <w:pPr>
        <w:pStyle w:val="BodyText"/>
        <w:spacing w:before="2"/>
        <w:rPr>
          <w:sz w:val="24"/>
        </w:rPr>
      </w:pPr>
    </w:p>
    <w:p>
      <w:pPr>
        <w:spacing w:line="290" w:lineRule="auto" w:before="0"/>
        <w:ind w:left="100" w:right="1193" w:firstLine="0"/>
        <w:jc w:val="left"/>
        <w:rPr>
          <w:sz w:val="18"/>
        </w:rPr>
      </w:pPr>
      <w:r>
        <w:rPr>
          <w:color w:val="231F20"/>
          <w:w w:val="120"/>
          <w:sz w:val="18"/>
        </w:rPr>
        <w:t>gráfica 7. evolución de la deuda pública y tasas de interés de bonos a 10 años, japón, 1989-2008</w:t>
      </w:r>
    </w:p>
    <w:p>
      <w:pPr>
        <w:tabs>
          <w:tab w:pos="5475" w:val="left" w:leader="none"/>
        </w:tabs>
        <w:spacing w:before="90"/>
        <w:ind w:left="447" w:right="861" w:firstLine="0"/>
        <w:jc w:val="left"/>
        <w:rPr>
          <w:sz w:val="16"/>
        </w:rPr>
      </w:pPr>
      <w:r>
        <w:rPr/>
        <w:pict>
          <v:group style="position:absolute;margin-left:85.400002pt;margin-top:9.141242pt;width:226.8pt;height:166.8pt;mso-position-horizontal-relative:page;mso-position-vertical-relative:paragraph;z-index:-351352" coordorigin="1708,183" coordsize="4536,3336">
            <v:shape style="position:absolute;left:1713;top:188;width:4526;height:3326" coordorigin="1713,188" coordsize="4526,3326" path="m1713,188l1713,3514,6239,3514,6239,188e" filled="false" stroked="true" strokeweight=".5pt" strokecolor="#231f20">
              <v:path arrowok="t"/>
            </v:shape>
            <v:shape style="position:absolute;left:1840;top:375;width:4050;height:2256" coordorigin="1840,375" coordsize="4050,2256" path="m1840,2619l2050,2631,2266,2595,2446,2523,2656,2457,2876,2361,3118,2265,3236,2205,3436,2105,3646,1929,3850,1705,4096,1557,4318,1251,4540,993,4768,905,4996,627,5212,495,5422,495,5668,489,5890,375e" filled="false" stroked="true" strokeweight=".5pt" strokecolor="#231f20">
              <v:path arrowok="t"/>
            </v:shape>
            <v:line style="position:absolute" from="1852,1278" to="2053,728" stroked="true" strokeweight=".5pt" strokecolor="#231f20">
              <v:stroke dashstyle="dash"/>
            </v:line>
            <v:line style="position:absolute" from="2078,736" to="2488,1523" stroked="true" strokeweight=".5pt" strokecolor="#231f20">
              <v:stroke dashstyle="dash"/>
            </v:line>
            <v:line style="position:absolute" from="2514,1576" to="2730,2062" stroked="true" strokeweight=".5pt" strokecolor="#231f20">
              <v:stroke dashstyle="dash"/>
            </v:line>
            <v:line style="position:absolute" from="2756,2055" to="2957,1674" stroked="true" strokeweight=".5pt" strokecolor="#231f20">
              <v:stroke dashstyle="dash"/>
            </v:line>
            <v:line style="position:absolute" from="2979,1686" to="3182,2301" stroked="true" strokeweight=".5pt" strokecolor="#231f20">
              <v:stroke dashstyle="dash"/>
            </v:line>
            <v:line style="position:absolute" from="3227,2338" to="3374,2388" stroked="true" strokeweight=".5pt" strokecolor="#231f20">
              <v:stroke dashstyle="dash"/>
            </v:line>
            <v:line style="position:absolute" from="3423,2426" to="3612,2664" stroked="true" strokeweight=".5pt" strokecolor="#231f20">
              <v:stroke dashstyle="dash"/>
            </v:line>
            <v:line style="position:absolute" from="3644,2715" to="3845,3101" stroked="true" strokeweight=".5pt" strokecolor="#231f20">
              <v:stroke dashstyle="dash"/>
            </v:line>
            <v:line style="position:absolute" from="3877,3092" to="4075,2791" stroked="true" strokeweight=".5pt" strokecolor="#231f20">
              <v:stroke dashstyle="dash"/>
            </v:line>
            <v:line style="position:absolute" from="4122,2778" to="4295,2828" stroked="true" strokeweight=".5pt" strokecolor="#231f20">
              <v:stroke dashstyle="dash"/>
            </v:line>
            <v:line style="position:absolute" from="4347,2852" to="4748,3098" stroked="true" strokeweight=".5pt" strokecolor="#231f20">
              <v:stroke dashstyle="dash"/>
            </v:line>
            <v:line style="position:absolute" from="4794,3093" to="4977,2968" stroked="true" strokeweight=".5pt" strokecolor="#231f20">
              <v:stroke dashstyle="dash"/>
            </v:line>
            <v:line style="position:absolute" from="5031,2951" to="5223,2933" stroked="true" strokeweight=".5pt" strokecolor="#231f20">
              <v:stroke dashstyle="dash"/>
            </v:line>
            <v:line style="position:absolute" from="5281,2931" to="5412,2931" stroked="true" strokeweight=".5pt" strokecolor="#231f20">
              <v:stroke dashstyle="dash"/>
            </v:line>
            <v:line style="position:absolute" from="5468,2920" to="5639,2861" stroked="true" strokeweight=".5pt" strokecolor="#231f20">
              <v:stroke dashstyle="dash"/>
            </v:line>
            <v:line style="position:absolute" from="5694,2861" to="5867,2907" stroked="true" strokeweight=".5pt" strokecolor="#231f20">
              <v:stroke dashstyle="dash"/>
            </v:line>
            <v:line style="position:absolute" from="5922,2919" to="6095,2951" stroked="true" strokeweight=".5pt" strokecolor="#231f20">
              <v:stroke dashstyle="dash"/>
            </v:line>
            <v:shape style="position:absolute;left:0;top:8727;width:4278;height:2418" coordorigin="0,8727" coordsize="4278,2418" path="m1840,1311l1845,1297m2057,719l2062,705,2069,718m2493,1532l2500,1545,2506,1558m2734,2071l2740,2085,2747,2072m2961,1666l2968,1653,2973,1667m3185,2310l3190,2325,3206,2330m3385,2392l3400,2397,3410,2409m3618,2673l3628,2685,3635,2698m3849,3110l3856,3123,3865,3110m4081,2782l4090,2769,4104,2773m4304,2831l4318,2835,4330,2842m4756,3103l4768,3111,4780,3103m4984,2963l4996,2955,5011,2953m5233,2932l5248,2931,5262,2931m5422,2931l5436,2931,5450,2926m5648,2858l5662,2853,5676,2856m5876,2909l5890,2913,5904,2915m6104,2952l6118,2955e" filled="false" stroked="true" strokeweight=".5pt" strokecolor="#231f20">
              <v:path arrowok="t"/>
            </v:shape>
            <v:shape style="position:absolute;left:3017;top:416;width:2063;height:161" type="#_x0000_t202" filled="false" stroked="false">
              <v:textbox inset="0,0,0,0">
                <w:txbxContent>
                  <w:p>
                    <w:pPr>
                      <w:spacing w:line="158" w:lineRule="exact" w:before="0"/>
                      <w:ind w:left="0" w:right="-17" w:firstLine="0"/>
                      <w:jc w:val="left"/>
                      <w:rPr>
                        <w:sz w:val="16"/>
                      </w:rPr>
                    </w:pPr>
                    <w:r>
                      <w:rPr>
                        <w:color w:val="231F20"/>
                        <w:w w:val="115"/>
                        <w:sz w:val="16"/>
                      </w:rPr>
                      <w:t>Débito como % de gdp</w:t>
                    </w:r>
                    <w:r>
                      <w:rPr>
                        <w:color w:val="231F20"/>
                        <w:spacing w:val="-20"/>
                        <w:w w:val="115"/>
                        <w:sz w:val="16"/>
                      </w:rPr>
                      <w:t> </w:t>
                    </w:r>
                    <w:r>
                      <w:rPr>
                        <w:color w:val="231F20"/>
                        <w:w w:val="115"/>
                        <w:sz w:val="16"/>
                      </w:rPr>
                      <w:t>(lhs)</w:t>
                    </w:r>
                  </w:p>
                </w:txbxContent>
              </v:textbox>
              <w10:wrap type="none"/>
            </v:shape>
            <v:shape style="position:absolute;left:2424;top:3128;width:3643;height:161" type="#_x0000_t202" filled="false" stroked="false">
              <v:textbox inset="0,0,0,0">
                <w:txbxContent>
                  <w:p>
                    <w:pPr>
                      <w:spacing w:line="158" w:lineRule="exact" w:before="0"/>
                      <w:ind w:left="0" w:right="-12" w:firstLine="0"/>
                      <w:jc w:val="left"/>
                      <w:rPr>
                        <w:sz w:val="16"/>
                      </w:rPr>
                    </w:pPr>
                    <w:r>
                      <w:rPr>
                        <w:color w:val="231F20"/>
                        <w:w w:val="115"/>
                        <w:sz w:val="16"/>
                      </w:rPr>
                      <w:t>Bonos</w:t>
                    </w:r>
                    <w:r>
                      <w:rPr>
                        <w:color w:val="231F20"/>
                        <w:spacing w:val="-12"/>
                        <w:w w:val="115"/>
                        <w:sz w:val="16"/>
                      </w:rPr>
                      <w:t> </w:t>
                    </w:r>
                    <w:r>
                      <w:rPr>
                        <w:color w:val="231F20"/>
                        <w:w w:val="115"/>
                        <w:sz w:val="16"/>
                      </w:rPr>
                      <w:t>de</w:t>
                    </w:r>
                    <w:r>
                      <w:rPr>
                        <w:color w:val="231F20"/>
                        <w:spacing w:val="-12"/>
                        <w:w w:val="115"/>
                        <w:sz w:val="16"/>
                      </w:rPr>
                      <w:t> </w:t>
                    </w:r>
                    <w:r>
                      <w:rPr>
                        <w:color w:val="231F20"/>
                        <w:w w:val="115"/>
                        <w:sz w:val="16"/>
                      </w:rPr>
                      <w:t>rendimiento</w:t>
                    </w:r>
                    <w:r>
                      <w:rPr>
                        <w:color w:val="231F20"/>
                        <w:spacing w:val="-12"/>
                        <w:w w:val="115"/>
                        <w:sz w:val="16"/>
                      </w:rPr>
                      <w:t> </w:t>
                    </w:r>
                    <w:r>
                      <w:rPr>
                        <w:color w:val="231F20"/>
                        <w:w w:val="115"/>
                        <w:sz w:val="16"/>
                      </w:rPr>
                      <w:t>del</w:t>
                    </w:r>
                    <w:r>
                      <w:rPr>
                        <w:color w:val="231F20"/>
                        <w:spacing w:val="-12"/>
                        <w:w w:val="115"/>
                        <w:sz w:val="16"/>
                      </w:rPr>
                      <w:t> </w:t>
                    </w:r>
                    <w:r>
                      <w:rPr>
                        <w:color w:val="231F20"/>
                        <w:w w:val="115"/>
                        <w:sz w:val="16"/>
                      </w:rPr>
                      <w:t>gobierno</w:t>
                    </w:r>
                    <w:r>
                      <w:rPr>
                        <w:color w:val="231F20"/>
                        <w:spacing w:val="-12"/>
                        <w:w w:val="115"/>
                        <w:sz w:val="16"/>
                      </w:rPr>
                      <w:t> </w:t>
                    </w:r>
                    <w:r>
                      <w:rPr>
                        <w:color w:val="231F20"/>
                        <w:w w:val="115"/>
                        <w:sz w:val="16"/>
                      </w:rPr>
                      <w:t>a</w:t>
                    </w:r>
                    <w:r>
                      <w:rPr>
                        <w:color w:val="231F20"/>
                        <w:spacing w:val="-12"/>
                        <w:w w:val="115"/>
                        <w:sz w:val="16"/>
                      </w:rPr>
                      <w:t> </w:t>
                    </w:r>
                    <w:r>
                      <w:rPr>
                        <w:color w:val="231F20"/>
                        <w:w w:val="115"/>
                        <w:sz w:val="16"/>
                      </w:rPr>
                      <w:t>10</w:t>
                    </w:r>
                    <w:r>
                      <w:rPr>
                        <w:color w:val="231F20"/>
                        <w:spacing w:val="-12"/>
                        <w:w w:val="115"/>
                        <w:sz w:val="16"/>
                      </w:rPr>
                      <w:t> </w:t>
                    </w:r>
                    <w:r>
                      <w:rPr>
                        <w:color w:val="231F20"/>
                        <w:w w:val="115"/>
                        <w:sz w:val="16"/>
                      </w:rPr>
                      <w:t>años</w:t>
                    </w:r>
                    <w:r>
                      <w:rPr>
                        <w:color w:val="231F20"/>
                        <w:spacing w:val="-12"/>
                        <w:w w:val="115"/>
                        <w:sz w:val="16"/>
                      </w:rPr>
                      <w:t> </w:t>
                    </w:r>
                    <w:r>
                      <w:rPr>
                        <w:color w:val="231F20"/>
                        <w:w w:val="115"/>
                        <w:sz w:val="16"/>
                      </w:rPr>
                      <w:t>(rhs)</w:t>
                    </w:r>
                  </w:p>
                </w:txbxContent>
              </v:textbox>
              <w10:wrap type="none"/>
            </v:shape>
            <w10:wrap type="none"/>
          </v:group>
        </w:pict>
      </w:r>
      <w:r>
        <w:rPr>
          <w:color w:val="231F20"/>
          <w:sz w:val="16"/>
        </w:rPr>
        <w:t>180</w:t>
      </w:r>
      <w:r>
        <w:rPr>
          <w:color w:val="231F20"/>
          <w:spacing w:val="3"/>
          <w:sz w:val="16"/>
        </w:rPr>
        <w:t> </w:t>
      </w:r>
      <w:r>
        <w:rPr>
          <w:color w:val="231F20"/>
          <w:sz w:val="16"/>
        </w:rPr>
        <w:t>—</w:t>
        <w:tab/>
        <w:t>—</w:t>
      </w:r>
      <w:r>
        <w:rPr>
          <w:color w:val="231F20"/>
          <w:spacing w:val="4"/>
          <w:sz w:val="16"/>
        </w:rPr>
        <w:t> </w:t>
      </w:r>
      <w:r>
        <w:rPr>
          <w:color w:val="231F20"/>
          <w:sz w:val="16"/>
        </w:rPr>
        <w:t>8</w:t>
      </w:r>
    </w:p>
    <w:p>
      <w:pPr>
        <w:pStyle w:val="BodyText"/>
        <w:rPr>
          <w:sz w:val="16"/>
        </w:rPr>
      </w:pPr>
    </w:p>
    <w:p>
      <w:pPr>
        <w:tabs>
          <w:tab w:pos="5475" w:val="left" w:leader="none"/>
        </w:tabs>
        <w:spacing w:before="0"/>
        <w:ind w:left="447" w:right="861" w:firstLine="0"/>
        <w:jc w:val="left"/>
        <w:rPr>
          <w:sz w:val="16"/>
        </w:rPr>
      </w:pPr>
      <w:r>
        <w:rPr>
          <w:color w:val="231F20"/>
          <w:sz w:val="16"/>
        </w:rPr>
        <w:t>160</w:t>
      </w:r>
      <w:r>
        <w:rPr>
          <w:color w:val="231F20"/>
          <w:spacing w:val="3"/>
          <w:sz w:val="16"/>
        </w:rPr>
        <w:t> </w:t>
      </w:r>
      <w:r>
        <w:rPr>
          <w:color w:val="231F20"/>
          <w:sz w:val="16"/>
        </w:rPr>
        <w:t>—</w:t>
        <w:tab/>
      </w:r>
      <w:r>
        <w:rPr>
          <w:color w:val="231F20"/>
          <w:position w:val="-4"/>
          <w:sz w:val="16"/>
        </w:rPr>
        <w:t>—</w:t>
      </w:r>
      <w:r>
        <w:rPr>
          <w:color w:val="231F20"/>
          <w:spacing w:val="4"/>
          <w:position w:val="-4"/>
          <w:sz w:val="16"/>
        </w:rPr>
        <w:t> </w:t>
      </w:r>
      <w:r>
        <w:rPr>
          <w:color w:val="231F20"/>
          <w:position w:val="-4"/>
          <w:sz w:val="16"/>
        </w:rPr>
        <w:t>7</w:t>
      </w:r>
    </w:p>
    <w:p>
      <w:pPr>
        <w:tabs>
          <w:tab w:pos="5475" w:val="left" w:leader="none"/>
        </w:tabs>
        <w:spacing w:before="134"/>
        <w:ind w:left="447" w:right="861" w:firstLine="0"/>
        <w:jc w:val="left"/>
        <w:rPr>
          <w:sz w:val="16"/>
        </w:rPr>
      </w:pPr>
      <w:r>
        <w:rPr>
          <w:color w:val="231F20"/>
          <w:sz w:val="16"/>
        </w:rPr>
        <w:t>140</w:t>
      </w:r>
      <w:r>
        <w:rPr>
          <w:color w:val="231F20"/>
          <w:spacing w:val="3"/>
          <w:sz w:val="16"/>
        </w:rPr>
        <w:t> </w:t>
      </w:r>
      <w:r>
        <w:rPr>
          <w:color w:val="231F20"/>
          <w:sz w:val="16"/>
        </w:rPr>
        <w:t>—</w:t>
        <w:tab/>
      </w:r>
      <w:r>
        <w:rPr>
          <w:color w:val="231F20"/>
          <w:position w:val="-8"/>
          <w:sz w:val="16"/>
        </w:rPr>
        <w:t>—</w:t>
      </w:r>
      <w:r>
        <w:rPr>
          <w:color w:val="231F20"/>
          <w:spacing w:val="4"/>
          <w:position w:val="-8"/>
          <w:sz w:val="16"/>
        </w:rPr>
        <w:t> </w:t>
      </w:r>
      <w:r>
        <w:rPr>
          <w:color w:val="231F20"/>
          <w:position w:val="-8"/>
          <w:sz w:val="16"/>
        </w:rPr>
        <w:t>6</w:t>
      </w:r>
    </w:p>
    <w:p>
      <w:pPr>
        <w:spacing w:line="161" w:lineRule="exact" w:before="94"/>
        <w:ind w:left="447" w:right="861" w:firstLine="0"/>
        <w:jc w:val="left"/>
        <w:rPr>
          <w:sz w:val="16"/>
        </w:rPr>
      </w:pPr>
      <w:r>
        <w:rPr/>
        <w:pict>
          <v:shape style="position:absolute;margin-left:48.151199pt;margin-top:3.968358pt;width:10.050pt;height:65.9pt;mso-position-horizontal-relative:page;mso-position-vertical-relative:paragraph;z-index:6016" type="#_x0000_t202" filled="false" stroked="false">
            <v:textbox inset="0,0,0,0" style="layout-flow:vertical;mso-layout-flow-alt:bottom-to-top">
              <w:txbxContent>
                <w:p>
                  <w:pPr>
                    <w:spacing w:line="178" w:lineRule="exact" w:before="0"/>
                    <w:ind w:left="20" w:right="-565" w:firstLine="0"/>
                    <w:jc w:val="left"/>
                    <w:rPr>
                      <w:sz w:val="16"/>
                    </w:rPr>
                  </w:pPr>
                  <w:r>
                    <w:rPr>
                      <w:color w:val="231F20"/>
                      <w:w w:val="111"/>
                      <w:sz w:val="16"/>
                    </w:rPr>
                    <w:t>porcentaje</w:t>
                  </w:r>
                  <w:r>
                    <w:rPr>
                      <w:color w:val="231F20"/>
                      <w:spacing w:val="1"/>
                      <w:sz w:val="16"/>
                    </w:rPr>
                    <w:t> </w:t>
                  </w:r>
                  <w:r>
                    <w:rPr>
                      <w:color w:val="231F20"/>
                      <w:w w:val="114"/>
                      <w:sz w:val="16"/>
                    </w:rPr>
                    <w:t>de</w:t>
                  </w:r>
                  <w:r>
                    <w:rPr>
                      <w:color w:val="231F20"/>
                      <w:spacing w:val="1"/>
                      <w:sz w:val="16"/>
                    </w:rPr>
                    <w:t> </w:t>
                  </w:r>
                  <w:r>
                    <w:rPr>
                      <w:color w:val="231F20"/>
                      <w:w w:val="114"/>
                      <w:sz w:val="16"/>
                    </w:rPr>
                    <w:t>gdp</w:t>
                  </w:r>
                </w:p>
              </w:txbxContent>
            </v:textbox>
            <w10:wrap type="none"/>
          </v:shape>
        </w:pict>
      </w:r>
      <w:r>
        <w:rPr>
          <w:color w:val="231F20"/>
          <w:sz w:val="16"/>
        </w:rPr>
        <w:t>120 —</w:t>
      </w:r>
    </w:p>
    <w:p>
      <w:pPr>
        <w:spacing w:line="161" w:lineRule="exact" w:before="0"/>
        <w:ind w:left="0" w:right="1097" w:firstLine="0"/>
        <w:jc w:val="right"/>
        <w:rPr>
          <w:sz w:val="16"/>
        </w:rPr>
      </w:pPr>
      <w:r>
        <w:rPr/>
        <w:pict>
          <v:shape style="position:absolute;margin-left:328.943207pt;margin-top:1.37274pt;width:10pt;height:45.85pt;mso-position-horizontal-relative:page;mso-position-vertical-relative:paragraph;z-index:6064" type="#_x0000_t202" filled="false" stroked="false">
            <v:textbox inset="0,0,0,0" style="layout-flow:vertical;mso-layout-flow-alt:bottom-to-top">
              <w:txbxContent>
                <w:p>
                  <w:pPr>
                    <w:spacing w:line="178" w:lineRule="exact" w:before="0"/>
                    <w:ind w:left="20" w:right="-717" w:firstLine="0"/>
                    <w:jc w:val="left"/>
                    <w:rPr>
                      <w:sz w:val="16"/>
                    </w:rPr>
                  </w:pPr>
                  <w:r>
                    <w:rPr>
                      <w:color w:val="231F20"/>
                      <w:w w:val="113"/>
                      <w:sz w:val="16"/>
                    </w:rPr>
                    <w:t>rendimiento</w:t>
                  </w:r>
                </w:p>
              </w:txbxContent>
            </v:textbox>
            <w10:wrap type="none"/>
          </v:shape>
        </w:pict>
      </w:r>
      <w:r>
        <w:rPr>
          <w:color w:val="231F20"/>
          <w:sz w:val="16"/>
        </w:rPr>
        <w:t>— 5</w:t>
      </w:r>
    </w:p>
    <w:p>
      <w:pPr>
        <w:spacing w:before="45"/>
        <w:ind w:left="447" w:right="861" w:firstLine="0"/>
        <w:jc w:val="left"/>
        <w:rPr>
          <w:sz w:val="16"/>
        </w:rPr>
      </w:pPr>
      <w:r>
        <w:rPr>
          <w:color w:val="231F20"/>
          <w:sz w:val="16"/>
        </w:rPr>
        <w:t>100 —</w:t>
      </w:r>
    </w:p>
    <w:p>
      <w:pPr>
        <w:spacing w:line="184" w:lineRule="exact" w:before="0"/>
        <w:ind w:left="0" w:right="1097" w:firstLine="0"/>
        <w:jc w:val="right"/>
        <w:rPr>
          <w:sz w:val="16"/>
        </w:rPr>
      </w:pPr>
      <w:r>
        <w:rPr>
          <w:color w:val="231F20"/>
          <w:sz w:val="16"/>
        </w:rPr>
        <w:t>— 4</w:t>
      </w:r>
    </w:p>
    <w:p>
      <w:pPr>
        <w:spacing w:before="0"/>
        <w:ind w:left="530" w:right="861" w:firstLine="0"/>
        <w:jc w:val="left"/>
        <w:rPr>
          <w:sz w:val="16"/>
        </w:rPr>
      </w:pPr>
      <w:r>
        <w:rPr>
          <w:color w:val="231F20"/>
          <w:sz w:val="16"/>
        </w:rPr>
        <w:t>80 —</w:t>
      </w:r>
    </w:p>
    <w:p>
      <w:pPr>
        <w:spacing w:line="161" w:lineRule="exact" w:before="46"/>
        <w:ind w:left="0" w:right="1097" w:firstLine="0"/>
        <w:jc w:val="right"/>
        <w:rPr>
          <w:sz w:val="16"/>
        </w:rPr>
      </w:pPr>
      <w:r>
        <w:rPr>
          <w:color w:val="231F20"/>
          <w:sz w:val="16"/>
        </w:rPr>
        <w:t>— 3</w:t>
      </w:r>
    </w:p>
    <w:p>
      <w:pPr>
        <w:spacing w:line="161" w:lineRule="exact" w:before="0"/>
        <w:ind w:left="530" w:right="861" w:firstLine="0"/>
        <w:jc w:val="left"/>
        <w:rPr>
          <w:sz w:val="16"/>
        </w:rPr>
      </w:pPr>
      <w:r>
        <w:rPr>
          <w:color w:val="231F20"/>
          <w:sz w:val="16"/>
        </w:rPr>
        <w:t>60 —</w:t>
      </w:r>
    </w:p>
    <w:p>
      <w:pPr>
        <w:tabs>
          <w:tab w:pos="5475" w:val="left" w:leader="none"/>
        </w:tabs>
        <w:spacing w:before="94"/>
        <w:ind w:left="530" w:right="861" w:firstLine="0"/>
        <w:jc w:val="left"/>
        <w:rPr>
          <w:sz w:val="16"/>
        </w:rPr>
      </w:pPr>
      <w:r>
        <w:rPr>
          <w:color w:val="231F20"/>
          <w:sz w:val="16"/>
        </w:rPr>
        <w:t>40</w:t>
      </w:r>
      <w:r>
        <w:rPr>
          <w:color w:val="231F20"/>
          <w:spacing w:val="2"/>
          <w:sz w:val="16"/>
        </w:rPr>
        <w:t> </w:t>
      </w:r>
      <w:r>
        <w:rPr>
          <w:color w:val="231F20"/>
          <w:sz w:val="16"/>
        </w:rPr>
        <w:t>—</w:t>
        <w:tab/>
      </w:r>
      <w:r>
        <w:rPr>
          <w:color w:val="231F20"/>
          <w:position w:val="9"/>
          <w:sz w:val="16"/>
        </w:rPr>
        <w:t>—</w:t>
      </w:r>
      <w:r>
        <w:rPr>
          <w:color w:val="231F20"/>
          <w:spacing w:val="4"/>
          <w:position w:val="9"/>
          <w:sz w:val="16"/>
        </w:rPr>
        <w:t> </w:t>
      </w:r>
      <w:r>
        <w:rPr>
          <w:color w:val="231F20"/>
          <w:position w:val="9"/>
          <w:sz w:val="16"/>
        </w:rPr>
        <w:t>2</w:t>
      </w:r>
    </w:p>
    <w:p>
      <w:pPr>
        <w:tabs>
          <w:tab w:pos="5475" w:val="left" w:leader="none"/>
        </w:tabs>
        <w:spacing w:before="134"/>
        <w:ind w:left="530" w:right="861" w:firstLine="0"/>
        <w:jc w:val="left"/>
        <w:rPr>
          <w:sz w:val="16"/>
        </w:rPr>
      </w:pPr>
      <w:r>
        <w:rPr>
          <w:color w:val="231F20"/>
          <w:sz w:val="16"/>
        </w:rPr>
        <w:t>20</w:t>
      </w:r>
      <w:r>
        <w:rPr>
          <w:color w:val="231F20"/>
          <w:spacing w:val="2"/>
          <w:sz w:val="16"/>
        </w:rPr>
        <w:t> </w:t>
      </w:r>
      <w:r>
        <w:rPr>
          <w:color w:val="231F20"/>
          <w:sz w:val="16"/>
        </w:rPr>
        <w:t>—</w:t>
        <w:tab/>
      </w:r>
      <w:r>
        <w:rPr>
          <w:color w:val="231F20"/>
          <w:position w:val="5"/>
          <w:sz w:val="16"/>
        </w:rPr>
        <w:t>—</w:t>
      </w:r>
      <w:r>
        <w:rPr>
          <w:color w:val="231F20"/>
          <w:spacing w:val="4"/>
          <w:position w:val="5"/>
          <w:sz w:val="16"/>
        </w:rPr>
        <w:t> </w:t>
      </w:r>
      <w:r>
        <w:rPr>
          <w:color w:val="231F20"/>
          <w:position w:val="5"/>
          <w:sz w:val="16"/>
        </w:rPr>
        <w:t>1</w:t>
      </w:r>
    </w:p>
    <w:p>
      <w:pPr>
        <w:pStyle w:val="BodyText"/>
        <w:rPr>
          <w:sz w:val="16"/>
        </w:rPr>
      </w:pPr>
    </w:p>
    <w:p>
      <w:pPr>
        <w:tabs>
          <w:tab w:pos="4861" w:val="left" w:leader="none"/>
        </w:tabs>
        <w:spacing w:before="0"/>
        <w:ind w:left="0" w:right="1097" w:firstLine="0"/>
        <w:jc w:val="right"/>
        <w:rPr>
          <w:sz w:val="16"/>
        </w:rPr>
      </w:pPr>
      <w:r>
        <w:rPr/>
        <w:pict>
          <v:shape style="position:absolute;margin-left:86.471199pt;margin-top:6.612352pt;width:224.8pt;height:28.75pt;mso-position-horizontal-relative:page;mso-position-vertical-relative:paragraph;z-index:-351304"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1989</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1991</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1992</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1993</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1994</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1995</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1996</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1997</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1998</w:t>
                  </w:r>
                  <w:r>
                    <w:rPr>
                      <w:color w:val="231F20"/>
                      <w:spacing w:val="1"/>
                      <w:sz w:val="16"/>
                    </w:rPr>
                    <w:t> </w:t>
                  </w:r>
                  <w:r>
                    <w:rPr>
                      <w:color w:val="231F20"/>
                      <w:sz w:val="16"/>
                    </w:rPr>
                    <w:t>—</w:t>
                  </w:r>
                </w:p>
                <w:p>
                  <w:pPr>
                    <w:spacing w:before="42"/>
                    <w:ind w:left="20" w:right="0" w:firstLine="0"/>
                    <w:jc w:val="left"/>
                    <w:rPr>
                      <w:sz w:val="16"/>
                    </w:rPr>
                  </w:pPr>
                  <w:r>
                    <w:rPr>
                      <w:color w:val="231F20"/>
                      <w:w w:val="104"/>
                      <w:sz w:val="16"/>
                    </w:rPr>
                    <w:t>1999</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2000</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2001</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2002</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2003</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2004</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2005</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2006</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2007</w:t>
                  </w:r>
                  <w:r>
                    <w:rPr>
                      <w:color w:val="231F20"/>
                      <w:spacing w:val="1"/>
                      <w:sz w:val="16"/>
                    </w:rPr>
                    <w:t> </w:t>
                  </w:r>
                  <w:r>
                    <w:rPr>
                      <w:color w:val="231F20"/>
                      <w:sz w:val="16"/>
                    </w:rPr>
                    <w:t>—</w:t>
                  </w:r>
                </w:p>
                <w:p>
                  <w:pPr>
                    <w:spacing w:before="42"/>
                    <w:ind w:left="20" w:right="0" w:firstLine="0"/>
                    <w:jc w:val="left"/>
                    <w:rPr>
                      <w:sz w:val="16"/>
                    </w:rPr>
                  </w:pPr>
                  <w:r>
                    <w:rPr>
                      <w:color w:val="231F20"/>
                      <w:w w:val="104"/>
                      <w:sz w:val="16"/>
                    </w:rPr>
                    <w:t>2008</w:t>
                  </w:r>
                  <w:r>
                    <w:rPr>
                      <w:color w:val="231F20"/>
                      <w:spacing w:val="1"/>
                      <w:sz w:val="16"/>
                    </w:rPr>
                    <w:t> </w:t>
                  </w:r>
                  <w:r>
                    <w:rPr>
                      <w:color w:val="231F20"/>
                      <w:sz w:val="16"/>
                    </w:rPr>
                    <w:t>—</w:t>
                  </w:r>
                </w:p>
              </w:txbxContent>
            </v:textbox>
            <w10:wrap type="none"/>
          </v:shape>
        </w:pict>
      </w:r>
      <w:r>
        <w:rPr>
          <w:color w:val="231F20"/>
          <w:sz w:val="16"/>
        </w:rPr>
        <w:t>0</w:t>
      </w:r>
      <w:r>
        <w:rPr>
          <w:color w:val="231F20"/>
          <w:spacing w:val="2"/>
          <w:sz w:val="16"/>
        </w:rPr>
        <w:t> </w:t>
      </w:r>
      <w:r>
        <w:rPr>
          <w:color w:val="231F20"/>
          <w:sz w:val="16"/>
        </w:rPr>
        <w:t>—</w:t>
        <w:tab/>
        <w:t>—</w:t>
      </w:r>
      <w:r>
        <w:rPr>
          <w:color w:val="231F20"/>
          <w:spacing w:val="4"/>
          <w:sz w:val="16"/>
        </w:rPr>
        <w:t> </w:t>
      </w:r>
      <w:r>
        <w:rPr>
          <w:color w:val="231F20"/>
          <w:sz w:val="16"/>
        </w:rPr>
        <w:t>0</w:t>
      </w:r>
    </w:p>
    <w:p>
      <w:pPr>
        <w:pStyle w:val="BodyText"/>
      </w:pPr>
    </w:p>
    <w:p>
      <w:pPr>
        <w:pStyle w:val="BodyText"/>
      </w:pPr>
    </w:p>
    <w:p>
      <w:pPr>
        <w:pStyle w:val="BodyText"/>
        <w:spacing w:before="11"/>
        <w:rPr>
          <w:sz w:val="17"/>
        </w:rPr>
      </w:pPr>
    </w:p>
    <w:p>
      <w:pPr>
        <w:spacing w:before="0"/>
        <w:ind w:left="100" w:right="622" w:firstLine="0"/>
        <w:jc w:val="left"/>
        <w:rPr>
          <w:sz w:val="18"/>
        </w:rPr>
      </w:pPr>
      <w:r>
        <w:rPr>
          <w:rFonts w:ascii="Calibri"/>
          <w:color w:val="231F20"/>
          <w:w w:val="110"/>
          <w:sz w:val="18"/>
        </w:rPr>
        <w:t>fuente: </w:t>
      </w:r>
      <w:r>
        <w:rPr>
          <w:color w:val="231F20"/>
          <w:w w:val="110"/>
          <w:sz w:val="18"/>
        </w:rPr>
        <w:t>Central Bank of Japan Financial and Economic Statistics Monthly.</w:t>
      </w:r>
    </w:p>
    <w:p>
      <w:pPr>
        <w:pStyle w:val="BodyText"/>
        <w:rPr>
          <w:sz w:val="18"/>
        </w:rPr>
      </w:pPr>
    </w:p>
    <w:p>
      <w:pPr>
        <w:pStyle w:val="BodyText"/>
        <w:rPr>
          <w:sz w:val="25"/>
        </w:rPr>
      </w:pPr>
    </w:p>
    <w:p>
      <w:pPr>
        <w:pStyle w:val="BodyText"/>
        <w:spacing w:line="261" w:lineRule="auto"/>
        <w:ind w:left="100" w:right="757" w:firstLine="240"/>
        <w:jc w:val="both"/>
      </w:pPr>
      <w:r>
        <w:rPr>
          <w:color w:val="231F20"/>
          <w:w w:val="110"/>
        </w:rPr>
        <w:t>Esta aparente paradoja nos conduce al análisis de la política mo- netaria. Como se puede observar en la gráfica 8, al mismo tiempo que se daba la explosión en la deuda pública, también aumentaba  de forma significativa la base monetaria. Este incremento de la base monetaria se acelera a partir del año 2002, momento en el cual, ante la falta de éxito de las medidas tomadas para reactivar el crédito, el Banco Central de Japón inició su programa de Quantitave Easing. Con éste, el Banco Central procedió a inflar las reservas de los ban- cos en las cuentas del Banco Central con el objeto de incentivar de forma alternativa el crédito, ante la imposibilidad técnica de reducir las tasas de interés por debajo de </w:t>
      </w:r>
      <w:r>
        <w:rPr>
          <w:color w:val="231F20"/>
          <w:spacing w:val="8"/>
          <w:w w:val="110"/>
        </w:rPr>
        <w:t> </w:t>
      </w:r>
      <w:r>
        <w:rPr>
          <w:color w:val="231F20"/>
          <w:w w:val="110"/>
        </w:rPr>
        <w:t>cero.</w:t>
      </w:r>
    </w:p>
    <w:p>
      <w:pPr>
        <w:pStyle w:val="BodyText"/>
        <w:spacing w:line="261" w:lineRule="auto"/>
        <w:ind w:left="100" w:right="758" w:firstLine="240"/>
        <w:jc w:val="both"/>
      </w:pPr>
      <w:r>
        <w:rPr>
          <w:color w:val="231F20"/>
          <w:w w:val="110"/>
        </w:rPr>
        <w:t>Pero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misma</w:t>
      </w:r>
      <w:r>
        <w:rPr>
          <w:color w:val="231F20"/>
          <w:spacing w:val="-17"/>
          <w:w w:val="110"/>
        </w:rPr>
        <w:t> </w:t>
      </w:r>
      <w:r>
        <w:rPr>
          <w:color w:val="231F20"/>
          <w:w w:val="110"/>
        </w:rPr>
        <w:t>forma</w:t>
      </w:r>
      <w:r>
        <w:rPr>
          <w:color w:val="231F20"/>
          <w:spacing w:val="-17"/>
          <w:w w:val="110"/>
        </w:rPr>
        <w:t> </w:t>
      </w:r>
      <w:r>
        <w:rPr>
          <w:color w:val="231F20"/>
          <w:w w:val="110"/>
        </w:rPr>
        <w:t>que</w:t>
      </w:r>
      <w:r>
        <w:rPr>
          <w:color w:val="231F20"/>
          <w:spacing w:val="-17"/>
          <w:w w:val="110"/>
        </w:rPr>
        <w:t> </w:t>
      </w:r>
      <w:r>
        <w:rPr>
          <w:color w:val="231F20"/>
          <w:w w:val="110"/>
        </w:rPr>
        <w:t>el</w:t>
      </w:r>
      <w:r>
        <w:rPr>
          <w:color w:val="231F20"/>
          <w:spacing w:val="-17"/>
          <w:w w:val="110"/>
        </w:rPr>
        <w:t> </w:t>
      </w:r>
      <w:r>
        <w:rPr>
          <w:color w:val="231F20"/>
          <w:w w:val="110"/>
        </w:rPr>
        <w:t>aumento</w:t>
      </w:r>
      <w:r>
        <w:rPr>
          <w:color w:val="231F20"/>
          <w:spacing w:val="-17"/>
          <w:w w:val="110"/>
        </w:rPr>
        <w:t> </w:t>
      </w:r>
      <w:r>
        <w:rPr>
          <w:color w:val="231F20"/>
          <w:w w:val="110"/>
        </w:rPr>
        <w:t>masivo</w:t>
      </w:r>
      <w:r>
        <w:rPr>
          <w:color w:val="231F20"/>
          <w:spacing w:val="-17"/>
          <w:w w:val="110"/>
        </w:rPr>
        <w:t> </w:t>
      </w:r>
      <w:r>
        <w:rPr>
          <w:color w:val="231F20"/>
          <w:w w:val="110"/>
        </w:rPr>
        <w:t>del</w:t>
      </w:r>
      <w:r>
        <w:rPr>
          <w:color w:val="231F20"/>
          <w:spacing w:val="-17"/>
          <w:w w:val="110"/>
        </w:rPr>
        <w:t> </w:t>
      </w:r>
      <w:r>
        <w:rPr>
          <w:color w:val="231F20"/>
          <w:w w:val="110"/>
        </w:rPr>
        <w:t>endeudamiento público</w:t>
      </w:r>
      <w:r>
        <w:rPr>
          <w:color w:val="231F20"/>
          <w:spacing w:val="23"/>
          <w:w w:val="110"/>
        </w:rPr>
        <w:t> </w:t>
      </w:r>
      <w:r>
        <w:rPr>
          <w:color w:val="231F20"/>
          <w:w w:val="110"/>
        </w:rPr>
        <w:t>no</w:t>
      </w:r>
      <w:r>
        <w:rPr>
          <w:color w:val="231F20"/>
          <w:spacing w:val="23"/>
          <w:w w:val="110"/>
        </w:rPr>
        <w:t> </w:t>
      </w:r>
      <w:r>
        <w:rPr>
          <w:color w:val="231F20"/>
          <w:w w:val="110"/>
        </w:rPr>
        <w:t>tuvo</w:t>
      </w:r>
      <w:r>
        <w:rPr>
          <w:color w:val="231F20"/>
          <w:spacing w:val="23"/>
          <w:w w:val="110"/>
        </w:rPr>
        <w:t> </w:t>
      </w:r>
      <w:r>
        <w:rPr>
          <w:color w:val="231F20"/>
          <w:w w:val="110"/>
        </w:rPr>
        <w:t>ningún</w:t>
      </w:r>
      <w:r>
        <w:rPr>
          <w:color w:val="231F20"/>
          <w:spacing w:val="23"/>
          <w:w w:val="110"/>
        </w:rPr>
        <w:t> </w:t>
      </w:r>
      <w:r>
        <w:rPr>
          <w:color w:val="231F20"/>
          <w:w w:val="110"/>
        </w:rPr>
        <w:t>efecto</w:t>
      </w:r>
      <w:r>
        <w:rPr>
          <w:color w:val="231F20"/>
          <w:spacing w:val="23"/>
          <w:w w:val="110"/>
        </w:rPr>
        <w:t> </w:t>
      </w:r>
      <w:r>
        <w:rPr>
          <w:color w:val="231F20"/>
          <w:w w:val="110"/>
        </w:rPr>
        <w:t>sobre</w:t>
      </w:r>
      <w:r>
        <w:rPr>
          <w:color w:val="231F20"/>
          <w:spacing w:val="23"/>
          <w:w w:val="110"/>
        </w:rPr>
        <w:t> </w:t>
      </w:r>
      <w:r>
        <w:rPr>
          <w:color w:val="231F20"/>
          <w:w w:val="110"/>
        </w:rPr>
        <w:t>las</w:t>
      </w:r>
      <w:r>
        <w:rPr>
          <w:color w:val="231F20"/>
          <w:spacing w:val="23"/>
          <w:w w:val="110"/>
        </w:rPr>
        <w:t> </w:t>
      </w:r>
      <w:r>
        <w:rPr>
          <w:color w:val="231F20"/>
          <w:w w:val="110"/>
        </w:rPr>
        <w:t>tasas</w:t>
      </w:r>
      <w:r>
        <w:rPr>
          <w:color w:val="231F20"/>
          <w:spacing w:val="23"/>
          <w:w w:val="110"/>
        </w:rPr>
        <w:t> </w:t>
      </w:r>
      <w:r>
        <w:rPr>
          <w:color w:val="231F20"/>
          <w:w w:val="110"/>
        </w:rPr>
        <w:t>de</w:t>
      </w:r>
      <w:r>
        <w:rPr>
          <w:color w:val="231F20"/>
          <w:spacing w:val="23"/>
          <w:w w:val="110"/>
        </w:rPr>
        <w:t> </w:t>
      </w:r>
      <w:r>
        <w:rPr>
          <w:color w:val="231F20"/>
          <w:w w:val="110"/>
        </w:rPr>
        <w:t>interés,</w:t>
      </w:r>
      <w:r>
        <w:rPr>
          <w:color w:val="231F20"/>
          <w:spacing w:val="23"/>
          <w:w w:val="110"/>
        </w:rPr>
        <w:t> </w:t>
      </w:r>
      <w:r>
        <w:rPr>
          <w:color w:val="231F20"/>
          <w:w w:val="110"/>
        </w:rPr>
        <w:t>el</w:t>
      </w:r>
      <w:r>
        <w:rPr>
          <w:color w:val="231F20"/>
          <w:spacing w:val="23"/>
          <w:w w:val="110"/>
        </w:rPr>
        <w:t> </w:t>
      </w:r>
      <w:r>
        <w:rPr>
          <w:color w:val="231F20"/>
          <w:w w:val="110"/>
        </w:rPr>
        <w:t>rápido</w:t>
      </w:r>
    </w:p>
    <w:p>
      <w:pPr>
        <w:spacing w:after="0" w:line="261" w:lineRule="auto"/>
        <w:jc w:val="both"/>
        <w:sectPr>
          <w:pgSz w:w="7640" w:h="11900"/>
          <w:pgMar w:header="672" w:footer="0" w:top="860" w:bottom="280" w:left="780" w:right="0"/>
        </w:sectPr>
      </w:pPr>
    </w:p>
    <w:p>
      <w:pPr>
        <w:pStyle w:val="BodyText"/>
        <w:spacing w:before="8"/>
        <w:rPr>
          <w:sz w:val="8"/>
        </w:rPr>
      </w:pPr>
    </w:p>
    <w:p>
      <w:pPr>
        <w:pStyle w:val="BodyText"/>
        <w:spacing w:line="261" w:lineRule="auto" w:before="67"/>
        <w:ind w:left="100" w:right="878"/>
        <w:jc w:val="both"/>
      </w:pPr>
      <w:r>
        <w:rPr>
          <w:color w:val="231F20"/>
          <w:w w:val="110"/>
        </w:rPr>
        <w:t>crecimiento de la base monetaria no tuvo ningún efecto sobre la</w:t>
      </w:r>
      <w:r>
        <w:rPr>
          <w:color w:val="231F20"/>
          <w:spacing w:val="-27"/>
          <w:w w:val="110"/>
        </w:rPr>
        <w:t> </w:t>
      </w:r>
      <w:r>
        <w:rPr>
          <w:color w:val="231F20"/>
          <w:w w:val="110"/>
        </w:rPr>
        <w:t>tasa de</w:t>
      </w:r>
      <w:r>
        <w:rPr>
          <w:color w:val="231F20"/>
          <w:spacing w:val="-13"/>
          <w:w w:val="110"/>
        </w:rPr>
        <w:t> </w:t>
      </w:r>
      <w:r>
        <w:rPr>
          <w:color w:val="231F20"/>
          <w:w w:val="110"/>
        </w:rPr>
        <w:t>inflación,</w:t>
      </w:r>
      <w:r>
        <w:rPr>
          <w:color w:val="231F20"/>
          <w:spacing w:val="-13"/>
          <w:w w:val="110"/>
        </w:rPr>
        <w:t> </w:t>
      </w:r>
      <w:r>
        <w:rPr>
          <w:color w:val="231F20"/>
          <w:w w:val="110"/>
        </w:rPr>
        <w:t>como</w:t>
      </w:r>
      <w:r>
        <w:rPr>
          <w:color w:val="231F20"/>
          <w:spacing w:val="-13"/>
          <w:w w:val="110"/>
        </w:rPr>
        <w:t> </w:t>
      </w:r>
      <w:r>
        <w:rPr>
          <w:color w:val="231F20"/>
          <w:w w:val="110"/>
        </w:rPr>
        <w:t>se</w:t>
      </w:r>
      <w:r>
        <w:rPr>
          <w:color w:val="231F20"/>
          <w:spacing w:val="-13"/>
          <w:w w:val="110"/>
        </w:rPr>
        <w:t> </w:t>
      </w:r>
      <w:r>
        <w:rPr>
          <w:color w:val="231F20"/>
          <w:w w:val="110"/>
        </w:rPr>
        <w:t>muestra</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gráfica</w:t>
      </w:r>
      <w:r>
        <w:rPr>
          <w:color w:val="231F20"/>
          <w:spacing w:val="-13"/>
          <w:w w:val="110"/>
        </w:rPr>
        <w:t> </w:t>
      </w:r>
      <w:r>
        <w:rPr>
          <w:color w:val="231F20"/>
          <w:w w:val="110"/>
        </w:rPr>
        <w:t>8.</w:t>
      </w:r>
      <w:r>
        <w:rPr>
          <w:color w:val="231F20"/>
          <w:spacing w:val="-13"/>
          <w:w w:val="110"/>
        </w:rPr>
        <w:t> </w:t>
      </w:r>
      <w:r>
        <w:rPr>
          <w:color w:val="231F20"/>
          <w:w w:val="110"/>
        </w:rPr>
        <w:t>De</w:t>
      </w:r>
      <w:r>
        <w:rPr>
          <w:color w:val="231F20"/>
          <w:spacing w:val="-13"/>
          <w:w w:val="110"/>
        </w:rPr>
        <w:t> </w:t>
      </w:r>
      <w:r>
        <w:rPr>
          <w:color w:val="231F20"/>
          <w:w w:val="110"/>
        </w:rPr>
        <w:t>hecho,</w:t>
      </w:r>
      <w:r>
        <w:rPr>
          <w:color w:val="231F20"/>
          <w:spacing w:val="-13"/>
          <w:w w:val="110"/>
        </w:rPr>
        <w:t> </w:t>
      </w:r>
      <w:r>
        <w:rPr>
          <w:color w:val="231F20"/>
          <w:w w:val="110"/>
        </w:rPr>
        <w:t>como</w:t>
      </w:r>
      <w:r>
        <w:rPr>
          <w:color w:val="231F20"/>
          <w:spacing w:val="-13"/>
          <w:w w:val="110"/>
        </w:rPr>
        <w:t> </w:t>
      </w:r>
      <w:r>
        <w:rPr>
          <w:color w:val="231F20"/>
          <w:w w:val="110"/>
        </w:rPr>
        <w:t>es</w:t>
      </w:r>
      <w:r>
        <w:rPr>
          <w:color w:val="231F20"/>
          <w:spacing w:val="-13"/>
          <w:w w:val="110"/>
        </w:rPr>
        <w:t> </w:t>
      </w:r>
      <w:r>
        <w:rPr>
          <w:color w:val="231F20"/>
          <w:w w:val="110"/>
        </w:rPr>
        <w:t>bien conocido, Japón ha luchado de forma denodada para evitar caer en una</w:t>
      </w:r>
      <w:r>
        <w:rPr>
          <w:color w:val="231F20"/>
          <w:spacing w:val="-5"/>
          <w:w w:val="110"/>
        </w:rPr>
        <w:t> </w:t>
      </w:r>
      <w:r>
        <w:rPr>
          <w:color w:val="231F20"/>
          <w:w w:val="110"/>
        </w:rPr>
        <w:t>espiral</w:t>
      </w:r>
      <w:r>
        <w:rPr>
          <w:color w:val="231F20"/>
          <w:spacing w:val="-5"/>
          <w:w w:val="110"/>
        </w:rPr>
        <w:t> </w:t>
      </w:r>
      <w:r>
        <w:rPr>
          <w:color w:val="231F20"/>
          <w:w w:val="110"/>
        </w:rPr>
        <w:t>deflacionista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índice</w:t>
      </w:r>
      <w:r>
        <w:rPr>
          <w:color w:val="231F20"/>
          <w:spacing w:val="-5"/>
          <w:w w:val="110"/>
        </w:rPr>
        <w:t> </w:t>
      </w:r>
      <w:r>
        <w:rPr>
          <w:color w:val="231F20"/>
          <w:w w:val="110"/>
        </w:rPr>
        <w:t>de</w:t>
      </w:r>
      <w:r>
        <w:rPr>
          <w:color w:val="231F20"/>
          <w:spacing w:val="-5"/>
          <w:w w:val="110"/>
        </w:rPr>
        <w:t> </w:t>
      </w:r>
      <w:r>
        <w:rPr>
          <w:color w:val="231F20"/>
          <w:w w:val="110"/>
        </w:rPr>
        <w:t>precios</w:t>
      </w:r>
      <w:r>
        <w:rPr>
          <w:color w:val="231F20"/>
          <w:spacing w:val="-5"/>
          <w:w w:val="110"/>
        </w:rPr>
        <w:t> </w:t>
      </w:r>
      <w:r>
        <w:rPr>
          <w:color w:val="231F20"/>
          <w:w w:val="110"/>
        </w:rPr>
        <w:t>al</w:t>
      </w:r>
      <w:r>
        <w:rPr>
          <w:color w:val="231F20"/>
          <w:spacing w:val="-5"/>
          <w:w w:val="110"/>
        </w:rPr>
        <w:t> </w:t>
      </w:r>
      <w:r>
        <w:rPr>
          <w:color w:val="231F20"/>
          <w:w w:val="110"/>
        </w:rPr>
        <w:t>consumidor</w:t>
      </w:r>
      <w:r>
        <w:rPr>
          <w:color w:val="231F20"/>
          <w:spacing w:val="-5"/>
          <w:w w:val="110"/>
        </w:rPr>
        <w:t> </w:t>
      </w:r>
      <w:r>
        <w:rPr>
          <w:color w:val="231F20"/>
          <w:w w:val="110"/>
        </w:rPr>
        <w:t>en</w:t>
      </w:r>
      <w:r>
        <w:rPr>
          <w:color w:val="231F20"/>
          <w:spacing w:val="-5"/>
          <w:w w:val="110"/>
        </w:rPr>
        <w:t> </w:t>
      </w:r>
      <w:r>
        <w:rPr>
          <w:color w:val="231F20"/>
          <w:w w:val="110"/>
        </w:rPr>
        <w:t>los últimos</w:t>
      </w:r>
      <w:r>
        <w:rPr>
          <w:color w:val="231F20"/>
          <w:spacing w:val="-24"/>
          <w:w w:val="110"/>
        </w:rPr>
        <w:t> </w:t>
      </w:r>
      <w:r>
        <w:rPr>
          <w:color w:val="231F20"/>
          <w:w w:val="110"/>
        </w:rPr>
        <w:t>decenios.</w:t>
      </w:r>
    </w:p>
    <w:p>
      <w:pPr>
        <w:pStyle w:val="BodyText"/>
        <w:spacing w:before="4"/>
        <w:rPr>
          <w:sz w:val="13"/>
        </w:rPr>
      </w:pPr>
    </w:p>
    <w:p>
      <w:pPr>
        <w:spacing w:after="0"/>
        <w:rPr>
          <w:sz w:val="13"/>
        </w:rPr>
        <w:sectPr>
          <w:pgSz w:w="7640" w:h="11900"/>
          <w:pgMar w:header="672" w:footer="0" w:top="860" w:bottom="280" w:left="660" w:right="0"/>
        </w:sectPr>
      </w:pPr>
    </w:p>
    <w:p>
      <w:pPr>
        <w:spacing w:before="70"/>
        <w:ind w:left="100" w:right="0" w:firstLine="0"/>
        <w:jc w:val="left"/>
        <w:rPr>
          <w:sz w:val="18"/>
        </w:rPr>
      </w:pPr>
      <w:r>
        <w:rPr>
          <w:color w:val="231F20"/>
          <w:w w:val="120"/>
          <w:sz w:val="18"/>
        </w:rPr>
        <w:t>gráfica 8. base monetaria e inflación, 1989-2008</w:t>
      </w:r>
    </w:p>
    <w:p>
      <w:pPr>
        <w:spacing w:before="99"/>
        <w:ind w:left="544" w:right="3304" w:firstLine="0"/>
        <w:jc w:val="center"/>
        <w:rPr>
          <w:sz w:val="15"/>
        </w:rPr>
      </w:pPr>
      <w:r>
        <w:rPr/>
        <w:pict>
          <v:group style="position:absolute;margin-left:83.918999pt;margin-top:9.425153pt;width:205.05pt;height:158.1pt;mso-position-horizontal-relative:page;mso-position-vertical-relative:paragraph;z-index:6136" coordorigin="1678,189" coordsize="4101,3162">
            <v:shape style="position:absolute;left:1683;top:194;width:4091;height:3152" coordorigin="1683,194" coordsize="4091,3152" path="m1683,194l1683,3345,5774,3345,5774,194e" filled="false" stroked="true" strokeweight=".49pt" strokecolor="#231f20">
              <v:path arrowok="t"/>
            </v:shape>
            <v:shape style="position:absolute;left:1784;top:534;width:3870;height:2041" coordorigin="1784,534" coordsize="3870,2041" path="m1784,2575l2008,2546,2196,2546,2625,2457,2819,2428,3013,2393,3201,2310,3401,2157,3813,1951,4036,1793,4436,1546,4642,1034,4842,846,5054,740,5259,617,5459,546,5653,534e" filled="false" stroked="true" strokeweight=".49pt" strokecolor="#231f20">
              <v:path arrowok="t"/>
            </v:shape>
            <v:line style="position:absolute" from="1819,2690" to="2553,2641" stroked="true" strokeweight=".49pt" strokecolor="#231f20">
              <v:stroke dashstyle="dash"/>
            </v:line>
            <v:line style="position:absolute" from="2612,2640" to="3128,2645" stroked="true" strokeweight=".49pt" strokecolor="#231f20">
              <v:stroke dashstyle="dash"/>
            </v:line>
            <v:line style="position:absolute" from="3187,2643" to="3424,2624" stroked="true" strokeweight=".49pt" strokecolor="#231f20">
              <v:stroke dashstyle="dash"/>
            </v:line>
            <v:line style="position:absolute" from="3482,2622" to="5370,2651" stroked="true" strokeweight=".49pt" strokecolor="#231f20">
              <v:stroke dashstyle="dash"/>
            </v:line>
            <v:line style="position:absolute" from="5432,2649" to="5635,2635" stroked="true" strokeweight=".49pt" strokecolor="#231f20">
              <v:stroke dashstyle="dash"/>
            </v:line>
            <v:shape style="position:absolute;left:0;top:9110;width:3877;height:71" coordorigin="0,9110" coordsize="3877,71" path="m1784,2692l1799,2691m2563,2641l2578,2639,2593,2640m3138,2645l3152,2646,3167,2644m3434,2623l3448,2622,3463,2622m5380,2651l5395,2651,5410,2650m5645,2635l5661,2634e" filled="false" stroked="true" strokeweight=".49pt" strokecolor="#231f20">
              <v:path arrowok="t"/>
            </v:shape>
            <v:shape style="position:absolute;left:3325;top:375;width:2347;height:157" type="#_x0000_t202" filled="false" stroked="false">
              <v:textbox inset="0,0,0,0">
                <w:txbxContent>
                  <w:p>
                    <w:pPr>
                      <w:spacing w:line="153" w:lineRule="exact" w:before="0"/>
                      <w:ind w:left="0" w:right="-1" w:firstLine="0"/>
                      <w:jc w:val="left"/>
                      <w:rPr>
                        <w:sz w:val="15"/>
                      </w:rPr>
                    </w:pPr>
                    <w:r>
                      <w:rPr>
                        <w:color w:val="231F20"/>
                        <w:w w:val="110"/>
                        <w:sz w:val="15"/>
                      </w:rPr>
                      <w:t>m1 crecimiento anual  acumulativo</w:t>
                    </w:r>
                  </w:p>
                </w:txbxContent>
              </v:textbox>
              <w10:wrap type="none"/>
            </v:shape>
            <v:shape style="position:absolute;left:5453;top:2445;width:218;height:157" type="#_x0000_t202" filled="false" stroked="false">
              <v:textbox inset="0,0,0,0">
                <w:txbxContent>
                  <w:p>
                    <w:pPr>
                      <w:spacing w:line="153" w:lineRule="exact" w:before="0"/>
                      <w:ind w:left="0" w:right="-13" w:firstLine="0"/>
                      <w:jc w:val="left"/>
                      <w:rPr>
                        <w:sz w:val="15"/>
                      </w:rPr>
                    </w:pPr>
                    <w:r>
                      <w:rPr>
                        <w:color w:val="231F20"/>
                        <w:w w:val="115"/>
                        <w:sz w:val="15"/>
                      </w:rPr>
                      <w:t>cpi</w:t>
                    </w:r>
                  </w:p>
                </w:txbxContent>
              </v:textbox>
              <w10:wrap type="none"/>
            </v:shape>
            <w10:wrap type="none"/>
          </v:group>
        </w:pict>
      </w:r>
      <w:r>
        <w:rPr>
          <w:color w:val="231F20"/>
          <w:w w:val="105"/>
          <w:sz w:val="15"/>
        </w:rPr>
        <w:t>450 —</w:t>
      </w:r>
    </w:p>
    <w:p>
      <w:pPr>
        <w:pStyle w:val="BodyText"/>
        <w:spacing w:before="3"/>
        <w:rPr>
          <w:sz w:val="15"/>
        </w:rPr>
      </w:pPr>
    </w:p>
    <w:p>
      <w:pPr>
        <w:spacing w:before="1"/>
        <w:ind w:left="544" w:right="3304" w:firstLine="0"/>
        <w:jc w:val="center"/>
        <w:rPr>
          <w:sz w:val="15"/>
        </w:rPr>
      </w:pPr>
      <w:r>
        <w:rPr>
          <w:color w:val="231F20"/>
          <w:w w:val="105"/>
          <w:sz w:val="15"/>
        </w:rPr>
        <w:t>400 —</w:t>
      </w:r>
    </w:p>
    <w:p>
      <w:pPr>
        <w:pStyle w:val="BodyText"/>
        <w:spacing w:before="3"/>
        <w:rPr>
          <w:sz w:val="15"/>
        </w:rPr>
      </w:pPr>
    </w:p>
    <w:p>
      <w:pPr>
        <w:spacing w:before="1"/>
        <w:ind w:left="544" w:right="3304" w:firstLine="0"/>
        <w:jc w:val="center"/>
        <w:rPr>
          <w:sz w:val="15"/>
        </w:rPr>
      </w:pPr>
      <w:r>
        <w:rPr>
          <w:color w:val="231F20"/>
          <w:w w:val="105"/>
          <w:sz w:val="15"/>
        </w:rPr>
        <w:t>350 —</w:t>
      </w:r>
    </w:p>
    <w:p>
      <w:pPr>
        <w:pStyle w:val="BodyText"/>
        <w:spacing w:before="3"/>
        <w:rPr>
          <w:sz w:val="15"/>
        </w:rPr>
      </w:pPr>
    </w:p>
    <w:p>
      <w:pPr>
        <w:spacing w:before="1"/>
        <w:ind w:left="544" w:right="3304" w:firstLine="0"/>
        <w:jc w:val="center"/>
        <w:rPr>
          <w:sz w:val="15"/>
        </w:rPr>
      </w:pPr>
      <w:r>
        <w:rPr/>
        <w:pict>
          <v:shape style="position:absolute;margin-left:50.822414pt;margin-top:2.013969pt;width:9.85pt;height:57.4pt;mso-position-horizontal-relative:page;mso-position-vertical-relative:paragraph;z-index:6160" type="#_x0000_t202" filled="false" stroked="false">
            <v:textbox inset="0,0,0,0" style="layout-flow:vertical;mso-layout-flow-alt:bottom-to-top">
              <w:txbxContent>
                <w:p>
                  <w:pPr>
                    <w:spacing w:before="0"/>
                    <w:ind w:left="20" w:right="-219" w:firstLine="0"/>
                    <w:jc w:val="left"/>
                    <w:rPr>
                      <w:sz w:val="15"/>
                    </w:rPr>
                  </w:pPr>
                  <w:r>
                    <w:rPr>
                      <w:color w:val="231F20"/>
                      <w:w w:val="97"/>
                      <w:sz w:val="15"/>
                    </w:rPr>
                    <w:t>m</w:t>
                  </w:r>
                  <w:r>
                    <w:rPr>
                      <w:color w:val="231F20"/>
                      <w:w w:val="108"/>
                      <w:sz w:val="15"/>
                    </w:rPr>
                    <w:t>1</w:t>
                  </w:r>
                  <w:r>
                    <w:rPr>
                      <w:color w:val="231F20"/>
                      <w:spacing w:val="3"/>
                      <w:sz w:val="15"/>
                    </w:rPr>
                    <w:t> </w:t>
                  </w:r>
                  <w:r>
                    <w:rPr>
                      <w:color w:val="231F20"/>
                      <w:w w:val="112"/>
                      <w:sz w:val="15"/>
                    </w:rPr>
                    <w:t>(1998</w:t>
                  </w:r>
                  <w:r>
                    <w:rPr>
                      <w:color w:val="231F20"/>
                      <w:spacing w:val="3"/>
                      <w:sz w:val="15"/>
                    </w:rPr>
                    <w:t> </w:t>
                  </w:r>
                  <w:r>
                    <w:rPr>
                      <w:color w:val="231F20"/>
                      <w:w w:val="96"/>
                      <w:sz w:val="15"/>
                    </w:rPr>
                    <w:t>=</w:t>
                  </w:r>
                  <w:r>
                    <w:rPr>
                      <w:color w:val="231F20"/>
                      <w:spacing w:val="3"/>
                      <w:sz w:val="15"/>
                    </w:rPr>
                    <w:t> </w:t>
                  </w:r>
                  <w:r>
                    <w:rPr>
                      <w:color w:val="231F20"/>
                      <w:w w:val="114"/>
                      <w:sz w:val="15"/>
                    </w:rPr>
                    <w:t>100)</w:t>
                  </w:r>
                </w:p>
              </w:txbxContent>
            </v:textbox>
            <w10:wrap type="none"/>
          </v:shape>
        </w:pict>
      </w:r>
      <w:r>
        <w:rPr>
          <w:color w:val="231F20"/>
          <w:w w:val="105"/>
          <w:sz w:val="15"/>
        </w:rPr>
        <w:t>300 —</w:t>
      </w:r>
    </w:p>
    <w:p>
      <w:pPr>
        <w:pStyle w:val="BodyText"/>
        <w:spacing w:before="3"/>
        <w:rPr>
          <w:sz w:val="15"/>
        </w:rPr>
      </w:pPr>
    </w:p>
    <w:p>
      <w:pPr>
        <w:spacing w:before="1"/>
        <w:ind w:left="544" w:right="3304" w:firstLine="0"/>
        <w:jc w:val="center"/>
        <w:rPr>
          <w:sz w:val="15"/>
        </w:rPr>
      </w:pPr>
      <w:r>
        <w:rPr>
          <w:color w:val="231F20"/>
          <w:w w:val="105"/>
          <w:sz w:val="15"/>
        </w:rPr>
        <w:t>250 —</w:t>
      </w:r>
    </w:p>
    <w:p>
      <w:pPr>
        <w:pStyle w:val="BodyText"/>
        <w:spacing w:before="3"/>
        <w:rPr>
          <w:sz w:val="15"/>
        </w:rPr>
      </w:pPr>
    </w:p>
    <w:p>
      <w:pPr>
        <w:spacing w:before="1"/>
        <w:ind w:left="544" w:right="3304" w:firstLine="0"/>
        <w:jc w:val="center"/>
        <w:rPr>
          <w:sz w:val="15"/>
        </w:rPr>
      </w:pPr>
      <w:r>
        <w:rPr>
          <w:color w:val="231F20"/>
          <w:w w:val="105"/>
          <w:sz w:val="15"/>
        </w:rPr>
        <w:t>200 —</w:t>
      </w:r>
    </w:p>
    <w:p>
      <w:pPr>
        <w:pStyle w:val="BodyText"/>
        <w:spacing w:before="3"/>
        <w:rPr>
          <w:sz w:val="15"/>
        </w:rPr>
      </w:pPr>
    </w:p>
    <w:p>
      <w:pPr>
        <w:spacing w:before="1"/>
        <w:ind w:left="544" w:right="3304" w:firstLine="0"/>
        <w:jc w:val="center"/>
        <w:rPr>
          <w:sz w:val="15"/>
        </w:rPr>
      </w:pPr>
      <w:r>
        <w:rPr>
          <w:color w:val="231F20"/>
          <w:w w:val="105"/>
          <w:sz w:val="15"/>
        </w:rPr>
        <w:t>150 —</w:t>
      </w:r>
    </w:p>
    <w:p>
      <w:pPr>
        <w:pStyle w:val="BodyText"/>
        <w:spacing w:before="3"/>
        <w:rPr>
          <w:sz w:val="15"/>
        </w:rPr>
      </w:pPr>
    </w:p>
    <w:p>
      <w:pPr>
        <w:spacing w:before="1"/>
        <w:ind w:left="544" w:right="3304" w:firstLine="0"/>
        <w:jc w:val="center"/>
        <w:rPr>
          <w:sz w:val="15"/>
        </w:rPr>
      </w:pPr>
      <w:r>
        <w:rPr>
          <w:color w:val="231F20"/>
          <w:w w:val="105"/>
          <w:sz w:val="15"/>
        </w:rPr>
        <w:t>100 —</w:t>
      </w:r>
    </w:p>
    <w:p>
      <w:pPr>
        <w:pStyle w:val="BodyText"/>
        <w:spacing w:before="3"/>
        <w:rPr>
          <w:sz w:val="15"/>
        </w:rPr>
      </w:pPr>
    </w:p>
    <w:p>
      <w:pPr>
        <w:spacing w:before="1"/>
        <w:ind w:left="642" w:right="0" w:firstLine="0"/>
        <w:jc w:val="left"/>
        <w:rPr>
          <w:sz w:val="15"/>
        </w:rPr>
      </w:pPr>
      <w:r>
        <w:rPr>
          <w:color w:val="231F20"/>
          <w:w w:val="105"/>
          <w:sz w:val="15"/>
        </w:rPr>
        <w:t>50 —</w:t>
      </w:r>
    </w:p>
    <w:p>
      <w:pPr>
        <w:pStyle w:val="BodyText"/>
        <w:spacing w:before="3"/>
        <w:rPr>
          <w:sz w:val="15"/>
        </w:rPr>
      </w:pPr>
    </w:p>
    <w:p>
      <w:pPr>
        <w:spacing w:before="1"/>
        <w:ind w:left="546" w:right="3143" w:firstLine="0"/>
        <w:jc w:val="center"/>
        <w:rPr>
          <w:sz w:val="15"/>
        </w:rPr>
      </w:pPr>
      <w:r>
        <w:rPr/>
        <w:pict>
          <v:shape style="position:absolute;margin-left:84.267853pt;margin-top:7.20405pt;width:204.4pt;height:28.2pt;mso-position-horizontal-relative:page;mso-position-vertical-relative:paragraph;z-index:6184" type="#_x0000_t202" filled="false" stroked="false">
            <v:textbox inset="0,0,0,0" style="layout-flow:vertical;mso-layout-flow-alt:bottom-to-top">
              <w:txbxContent>
                <w:p>
                  <w:pPr>
                    <w:spacing w:before="0"/>
                    <w:ind w:left="20" w:right="0" w:firstLine="0"/>
                    <w:jc w:val="left"/>
                    <w:rPr>
                      <w:sz w:val="15"/>
                    </w:rPr>
                  </w:pPr>
                  <w:r>
                    <w:rPr>
                      <w:color w:val="231F20"/>
                      <w:w w:val="108"/>
                      <w:sz w:val="15"/>
                    </w:rPr>
                    <w:t>1989</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1990</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1991</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1992</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1993</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1994</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1995</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1996</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1997</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1998</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1999</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2000</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2001</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2002</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2003</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2004</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2005</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2006</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2007</w:t>
                  </w:r>
                  <w:r>
                    <w:rPr>
                      <w:color w:val="231F20"/>
                      <w:spacing w:val="3"/>
                      <w:sz w:val="15"/>
                    </w:rPr>
                    <w:t> </w:t>
                  </w:r>
                  <w:r>
                    <w:rPr>
                      <w:color w:val="231F20"/>
                      <w:w w:val="104"/>
                      <w:sz w:val="15"/>
                    </w:rPr>
                    <w:t>—</w:t>
                  </w:r>
                </w:p>
                <w:p>
                  <w:pPr>
                    <w:spacing w:before="32"/>
                    <w:ind w:left="20" w:right="0" w:firstLine="0"/>
                    <w:jc w:val="left"/>
                    <w:rPr>
                      <w:sz w:val="15"/>
                    </w:rPr>
                  </w:pPr>
                  <w:r>
                    <w:rPr>
                      <w:color w:val="231F20"/>
                      <w:w w:val="108"/>
                      <w:sz w:val="15"/>
                    </w:rPr>
                    <w:t>2008</w:t>
                  </w:r>
                  <w:r>
                    <w:rPr>
                      <w:color w:val="231F20"/>
                      <w:spacing w:val="3"/>
                      <w:sz w:val="15"/>
                    </w:rPr>
                    <w:t> </w:t>
                  </w:r>
                  <w:r>
                    <w:rPr>
                      <w:color w:val="231F20"/>
                      <w:w w:val="104"/>
                      <w:sz w:val="15"/>
                    </w:rPr>
                    <w:t>—</w:t>
                  </w:r>
                </w:p>
              </w:txbxContent>
            </v:textbox>
            <w10:wrap type="none"/>
          </v:shape>
        </w:pict>
      </w:r>
      <w:r>
        <w:rPr>
          <w:color w:val="231F20"/>
          <w:w w:val="105"/>
          <w:sz w:val="15"/>
        </w:rPr>
        <w:t>0 —</w:t>
      </w:r>
    </w:p>
    <w:p>
      <w:pPr>
        <w:pStyle w:val="BodyText"/>
        <w:rPr>
          <w:sz w:val="16"/>
        </w:rPr>
      </w:pPr>
      <w:r>
        <w:rPr/>
        <w:br w:type="column"/>
      </w:r>
      <w:r>
        <w:rPr>
          <w:sz w:val="16"/>
        </w:rPr>
      </w:r>
    </w:p>
    <w:p>
      <w:pPr>
        <w:pStyle w:val="BodyText"/>
        <w:spacing w:before="8"/>
        <w:rPr>
          <w:sz w:val="16"/>
        </w:rPr>
      </w:pPr>
    </w:p>
    <w:p>
      <w:pPr>
        <w:spacing w:before="0"/>
        <w:ind w:left="100" w:right="0" w:firstLine="0"/>
        <w:jc w:val="left"/>
        <w:rPr>
          <w:sz w:val="15"/>
        </w:rPr>
      </w:pPr>
      <w:r>
        <w:rPr>
          <w:color w:val="231F20"/>
          <w:w w:val="105"/>
          <w:sz w:val="15"/>
        </w:rPr>
        <w:t>— 450</w:t>
      </w:r>
    </w:p>
    <w:p>
      <w:pPr>
        <w:pStyle w:val="BodyText"/>
        <w:spacing w:before="3"/>
        <w:rPr>
          <w:sz w:val="15"/>
        </w:rPr>
      </w:pPr>
    </w:p>
    <w:p>
      <w:pPr>
        <w:spacing w:before="1"/>
        <w:ind w:left="100" w:right="0" w:firstLine="0"/>
        <w:jc w:val="left"/>
        <w:rPr>
          <w:sz w:val="15"/>
        </w:rPr>
      </w:pPr>
      <w:r>
        <w:rPr>
          <w:color w:val="231F20"/>
          <w:w w:val="105"/>
          <w:sz w:val="15"/>
        </w:rPr>
        <w:t>— 400</w:t>
      </w:r>
    </w:p>
    <w:p>
      <w:pPr>
        <w:pStyle w:val="BodyText"/>
        <w:spacing w:before="3"/>
        <w:rPr>
          <w:sz w:val="15"/>
        </w:rPr>
      </w:pPr>
    </w:p>
    <w:p>
      <w:pPr>
        <w:spacing w:before="1"/>
        <w:ind w:left="100" w:right="0" w:firstLine="0"/>
        <w:jc w:val="left"/>
        <w:rPr>
          <w:sz w:val="15"/>
        </w:rPr>
      </w:pPr>
      <w:r>
        <w:rPr>
          <w:color w:val="231F20"/>
          <w:w w:val="105"/>
          <w:sz w:val="15"/>
        </w:rPr>
        <w:t>— 350</w:t>
      </w:r>
    </w:p>
    <w:p>
      <w:pPr>
        <w:pStyle w:val="BodyText"/>
        <w:spacing w:before="3"/>
        <w:rPr>
          <w:sz w:val="15"/>
        </w:rPr>
      </w:pPr>
    </w:p>
    <w:p>
      <w:pPr>
        <w:spacing w:before="1"/>
        <w:ind w:left="100" w:right="0" w:firstLine="0"/>
        <w:jc w:val="left"/>
        <w:rPr>
          <w:sz w:val="15"/>
        </w:rPr>
      </w:pPr>
      <w:r>
        <w:rPr/>
        <w:pict>
          <v:shape style="position:absolute;margin-left:316.763062pt;margin-top:1.143729pt;width:9.85pt;height:58.55pt;mso-position-horizontal-relative:page;mso-position-vertical-relative:paragraph;z-index:6208" type="#_x0000_t202" filled="false" stroked="false">
            <v:textbox inset="0,0,0,0" style="layout-flow:vertical;mso-layout-flow-alt:bottom-to-top">
              <w:txbxContent>
                <w:p>
                  <w:pPr>
                    <w:spacing w:before="0"/>
                    <w:ind w:left="20" w:right="-219" w:firstLine="0"/>
                    <w:jc w:val="left"/>
                    <w:rPr>
                      <w:sz w:val="15"/>
                    </w:rPr>
                  </w:pPr>
                  <w:r>
                    <w:rPr>
                      <w:color w:val="231F20"/>
                      <w:w w:val="118"/>
                      <w:sz w:val="15"/>
                    </w:rPr>
                    <w:t>cpi</w:t>
                  </w:r>
                  <w:r>
                    <w:rPr>
                      <w:color w:val="231F20"/>
                      <w:spacing w:val="3"/>
                      <w:sz w:val="15"/>
                    </w:rPr>
                    <w:t> </w:t>
                  </w:r>
                  <w:r>
                    <w:rPr>
                      <w:color w:val="231F20"/>
                      <w:w w:val="112"/>
                      <w:sz w:val="15"/>
                    </w:rPr>
                    <w:t>(2005</w:t>
                  </w:r>
                  <w:r>
                    <w:rPr>
                      <w:color w:val="231F20"/>
                      <w:spacing w:val="3"/>
                      <w:sz w:val="15"/>
                    </w:rPr>
                    <w:t> </w:t>
                  </w:r>
                  <w:r>
                    <w:rPr>
                      <w:color w:val="231F20"/>
                      <w:w w:val="96"/>
                      <w:sz w:val="15"/>
                    </w:rPr>
                    <w:t>=</w:t>
                  </w:r>
                  <w:r>
                    <w:rPr>
                      <w:color w:val="231F20"/>
                      <w:spacing w:val="3"/>
                      <w:sz w:val="15"/>
                    </w:rPr>
                    <w:t> </w:t>
                  </w:r>
                  <w:r>
                    <w:rPr>
                      <w:color w:val="231F20"/>
                      <w:w w:val="114"/>
                      <w:sz w:val="15"/>
                    </w:rPr>
                    <w:t>100)</w:t>
                  </w:r>
                </w:p>
              </w:txbxContent>
            </v:textbox>
            <w10:wrap type="none"/>
          </v:shape>
        </w:pict>
      </w:r>
      <w:r>
        <w:rPr>
          <w:color w:val="231F20"/>
          <w:w w:val="105"/>
          <w:sz w:val="15"/>
        </w:rPr>
        <w:t>— 300</w:t>
      </w:r>
    </w:p>
    <w:p>
      <w:pPr>
        <w:pStyle w:val="BodyText"/>
        <w:spacing w:before="3"/>
        <w:rPr>
          <w:sz w:val="15"/>
        </w:rPr>
      </w:pPr>
    </w:p>
    <w:p>
      <w:pPr>
        <w:spacing w:before="1"/>
        <w:ind w:left="100" w:right="0" w:firstLine="0"/>
        <w:jc w:val="left"/>
        <w:rPr>
          <w:sz w:val="15"/>
        </w:rPr>
      </w:pPr>
      <w:r>
        <w:rPr>
          <w:color w:val="231F20"/>
          <w:w w:val="105"/>
          <w:sz w:val="15"/>
        </w:rPr>
        <w:t>— 250</w:t>
      </w:r>
    </w:p>
    <w:p>
      <w:pPr>
        <w:pStyle w:val="BodyText"/>
        <w:spacing w:before="3"/>
        <w:rPr>
          <w:sz w:val="15"/>
        </w:rPr>
      </w:pPr>
    </w:p>
    <w:p>
      <w:pPr>
        <w:spacing w:before="1"/>
        <w:ind w:left="100" w:right="0" w:firstLine="0"/>
        <w:jc w:val="left"/>
        <w:rPr>
          <w:sz w:val="15"/>
        </w:rPr>
      </w:pPr>
      <w:r>
        <w:rPr>
          <w:color w:val="231F20"/>
          <w:w w:val="105"/>
          <w:sz w:val="15"/>
        </w:rPr>
        <w:t>— 200</w:t>
      </w:r>
    </w:p>
    <w:p>
      <w:pPr>
        <w:pStyle w:val="BodyText"/>
        <w:spacing w:before="3"/>
        <w:rPr>
          <w:sz w:val="15"/>
        </w:rPr>
      </w:pPr>
    </w:p>
    <w:p>
      <w:pPr>
        <w:spacing w:before="1"/>
        <w:ind w:left="100" w:right="0" w:firstLine="0"/>
        <w:jc w:val="left"/>
        <w:rPr>
          <w:sz w:val="15"/>
        </w:rPr>
      </w:pPr>
      <w:r>
        <w:rPr>
          <w:color w:val="231F20"/>
          <w:w w:val="105"/>
          <w:sz w:val="15"/>
        </w:rPr>
        <w:t>— 150</w:t>
      </w:r>
    </w:p>
    <w:p>
      <w:pPr>
        <w:pStyle w:val="BodyText"/>
        <w:spacing w:before="3"/>
        <w:rPr>
          <w:sz w:val="15"/>
        </w:rPr>
      </w:pPr>
    </w:p>
    <w:p>
      <w:pPr>
        <w:spacing w:before="1"/>
        <w:ind w:left="100" w:right="0" w:firstLine="0"/>
        <w:jc w:val="left"/>
        <w:rPr>
          <w:sz w:val="15"/>
        </w:rPr>
      </w:pPr>
      <w:r>
        <w:rPr>
          <w:color w:val="231F20"/>
          <w:w w:val="105"/>
          <w:sz w:val="15"/>
        </w:rPr>
        <w:t>— 100</w:t>
      </w:r>
    </w:p>
    <w:p>
      <w:pPr>
        <w:pStyle w:val="BodyText"/>
        <w:spacing w:before="3"/>
        <w:rPr>
          <w:sz w:val="15"/>
        </w:rPr>
      </w:pPr>
    </w:p>
    <w:p>
      <w:pPr>
        <w:spacing w:before="1"/>
        <w:ind w:left="100" w:right="0" w:firstLine="0"/>
        <w:jc w:val="left"/>
        <w:rPr>
          <w:sz w:val="15"/>
        </w:rPr>
      </w:pPr>
      <w:r>
        <w:rPr>
          <w:color w:val="231F20"/>
          <w:w w:val="105"/>
          <w:sz w:val="15"/>
        </w:rPr>
        <w:t>— 50</w:t>
      </w:r>
    </w:p>
    <w:p>
      <w:pPr>
        <w:pStyle w:val="BodyText"/>
        <w:spacing w:before="3"/>
        <w:rPr>
          <w:sz w:val="15"/>
        </w:rPr>
      </w:pPr>
    </w:p>
    <w:p>
      <w:pPr>
        <w:spacing w:before="1"/>
        <w:ind w:left="100" w:right="0" w:firstLine="0"/>
        <w:jc w:val="left"/>
        <w:rPr>
          <w:sz w:val="15"/>
        </w:rPr>
      </w:pPr>
      <w:r>
        <w:rPr>
          <w:color w:val="231F20"/>
          <w:w w:val="105"/>
          <w:sz w:val="15"/>
        </w:rPr>
        <w:t>— 0</w:t>
      </w:r>
    </w:p>
    <w:p>
      <w:pPr>
        <w:spacing w:after="0"/>
        <w:jc w:val="left"/>
        <w:rPr>
          <w:sz w:val="15"/>
        </w:rPr>
        <w:sectPr>
          <w:type w:val="continuous"/>
          <w:pgSz w:w="7640" w:h="11900"/>
          <w:pgMar w:top="980" w:bottom="280" w:left="660" w:right="0"/>
          <w:cols w:num="2" w:equalWidth="0">
            <w:col w:w="4327" w:space="708"/>
            <w:col w:w="1945"/>
          </w:cols>
        </w:sectPr>
      </w:pPr>
    </w:p>
    <w:p>
      <w:pPr>
        <w:pStyle w:val="BodyText"/>
      </w:pPr>
    </w:p>
    <w:p>
      <w:pPr>
        <w:pStyle w:val="BodyText"/>
      </w:pPr>
    </w:p>
    <w:p>
      <w:pPr>
        <w:pStyle w:val="BodyText"/>
      </w:pPr>
    </w:p>
    <w:p>
      <w:pPr>
        <w:spacing w:before="67"/>
        <w:ind w:left="100" w:right="0" w:firstLine="0"/>
        <w:jc w:val="left"/>
        <w:rPr>
          <w:sz w:val="18"/>
        </w:rPr>
      </w:pPr>
      <w:r>
        <w:rPr>
          <w:rFonts w:ascii="Calibri"/>
          <w:color w:val="231F20"/>
          <w:w w:val="110"/>
          <w:sz w:val="18"/>
        </w:rPr>
        <w:t>fuente: </w:t>
      </w:r>
      <w:r>
        <w:rPr>
          <w:color w:val="231F20"/>
          <w:w w:val="110"/>
          <w:sz w:val="18"/>
        </w:rPr>
        <w:t>Central Bank of Japan Financial and Economic Statistics Monthly.</w:t>
      </w:r>
    </w:p>
    <w:p>
      <w:pPr>
        <w:pStyle w:val="BodyText"/>
        <w:rPr>
          <w:sz w:val="18"/>
        </w:rPr>
      </w:pPr>
    </w:p>
    <w:p>
      <w:pPr>
        <w:pStyle w:val="BodyText"/>
        <w:spacing w:before="7"/>
        <w:rPr>
          <w:sz w:val="18"/>
        </w:rPr>
      </w:pPr>
    </w:p>
    <w:p>
      <w:pPr>
        <w:pStyle w:val="BodyText"/>
        <w:spacing w:line="261" w:lineRule="auto"/>
        <w:ind w:left="100" w:right="877" w:firstLine="240"/>
        <w:jc w:val="both"/>
        <w:rPr>
          <w:sz w:val="13"/>
        </w:rPr>
      </w:pPr>
      <w:r>
        <w:rPr>
          <w:color w:val="231F20"/>
          <w:w w:val="110"/>
        </w:rPr>
        <w:t>Mientras</w:t>
      </w:r>
      <w:r>
        <w:rPr>
          <w:color w:val="231F20"/>
          <w:spacing w:val="-12"/>
          <w:w w:val="110"/>
        </w:rPr>
        <w:t> </w:t>
      </w:r>
      <w:r>
        <w:rPr>
          <w:color w:val="231F20"/>
          <w:w w:val="110"/>
        </w:rPr>
        <w:t>la</w:t>
      </w:r>
      <w:r>
        <w:rPr>
          <w:color w:val="231F20"/>
          <w:spacing w:val="-12"/>
          <w:w w:val="110"/>
        </w:rPr>
        <w:t> </w:t>
      </w:r>
      <w:r>
        <w:rPr>
          <w:color w:val="231F20"/>
          <w:w w:val="110"/>
        </w:rPr>
        <w:t>teoría</w:t>
      </w:r>
      <w:r>
        <w:rPr>
          <w:color w:val="231F20"/>
          <w:spacing w:val="-12"/>
          <w:w w:val="110"/>
        </w:rPr>
        <w:t> </w:t>
      </w:r>
      <w:r>
        <w:rPr>
          <w:color w:val="231F20"/>
          <w:w w:val="110"/>
        </w:rPr>
        <w:t>económica</w:t>
      </w:r>
      <w:r>
        <w:rPr>
          <w:color w:val="231F20"/>
          <w:spacing w:val="-12"/>
          <w:w w:val="110"/>
        </w:rPr>
        <w:t> </w:t>
      </w:r>
      <w:r>
        <w:rPr>
          <w:color w:val="231F20"/>
          <w:w w:val="110"/>
        </w:rPr>
        <w:t>neoclásica</w:t>
      </w:r>
      <w:r>
        <w:rPr>
          <w:color w:val="231F20"/>
          <w:spacing w:val="-12"/>
          <w:w w:val="110"/>
        </w:rPr>
        <w:t> </w:t>
      </w:r>
      <w:r>
        <w:rPr>
          <w:color w:val="231F20"/>
          <w:w w:val="110"/>
        </w:rPr>
        <w:t>carece</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explicación coherente para esta serie, aparente, de contradicciones, el uso de un marco teórico alternativo permite entender de forma clara las diná- micas</w:t>
      </w:r>
      <w:r>
        <w:rPr>
          <w:color w:val="231F20"/>
          <w:spacing w:val="-16"/>
          <w:w w:val="110"/>
        </w:rPr>
        <w:t> </w:t>
      </w:r>
      <w:r>
        <w:rPr>
          <w:color w:val="231F20"/>
          <w:w w:val="110"/>
        </w:rPr>
        <w:t>subyacentes</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evolución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economía</w:t>
      </w:r>
      <w:r>
        <w:rPr>
          <w:color w:val="231F20"/>
          <w:spacing w:val="-16"/>
          <w:w w:val="110"/>
        </w:rPr>
        <w:t> </w:t>
      </w:r>
      <w:r>
        <w:rPr>
          <w:color w:val="231F20"/>
          <w:w w:val="110"/>
        </w:rPr>
        <w:t>japonesa</w:t>
      </w:r>
      <w:r>
        <w:rPr>
          <w:color w:val="231F20"/>
          <w:spacing w:val="-16"/>
          <w:w w:val="110"/>
        </w:rPr>
        <w:t> </w:t>
      </w:r>
      <w:r>
        <w:rPr>
          <w:color w:val="231F20"/>
          <w:w w:val="110"/>
        </w:rPr>
        <w:t>durante</w:t>
      </w:r>
      <w:r>
        <w:rPr>
          <w:color w:val="231F20"/>
          <w:spacing w:val="-16"/>
          <w:w w:val="110"/>
        </w:rPr>
        <w:t> </w:t>
      </w:r>
      <w:r>
        <w:rPr>
          <w:color w:val="231F20"/>
          <w:w w:val="110"/>
        </w:rPr>
        <w:t>los últimos decenios, así como de la posible evolución de la economía estadunidense en el mediano plazo. Este marco alternativo de refe- rencia</w:t>
      </w:r>
      <w:r>
        <w:rPr>
          <w:color w:val="231F20"/>
          <w:spacing w:val="-14"/>
          <w:w w:val="110"/>
        </w:rPr>
        <w:t> </w:t>
      </w:r>
      <w:r>
        <w:rPr>
          <w:color w:val="231F20"/>
          <w:w w:val="110"/>
        </w:rPr>
        <w:t>es</w:t>
      </w:r>
      <w:r>
        <w:rPr>
          <w:color w:val="231F20"/>
          <w:spacing w:val="-14"/>
          <w:w w:val="110"/>
        </w:rPr>
        <w:t> </w:t>
      </w:r>
      <w:r>
        <w:rPr>
          <w:color w:val="231F20"/>
          <w:w w:val="110"/>
        </w:rPr>
        <w:t>el</w:t>
      </w:r>
      <w:r>
        <w:rPr>
          <w:color w:val="231F20"/>
          <w:spacing w:val="-14"/>
          <w:w w:val="110"/>
        </w:rPr>
        <w:t> </w:t>
      </w:r>
      <w:r>
        <w:rPr>
          <w:color w:val="231F20"/>
          <w:w w:val="110"/>
        </w:rPr>
        <w:t>desarrollado</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Levy</w:t>
      </w:r>
      <w:r>
        <w:rPr>
          <w:color w:val="231F20"/>
          <w:spacing w:val="-14"/>
          <w:w w:val="110"/>
        </w:rPr>
        <w:t> </w:t>
      </w:r>
      <w:r>
        <w:rPr>
          <w:color w:val="231F20"/>
          <w:w w:val="110"/>
        </w:rPr>
        <w:t>Institute</w:t>
      </w:r>
      <w:r>
        <w:rPr>
          <w:color w:val="231F20"/>
          <w:spacing w:val="-14"/>
          <w:w w:val="110"/>
        </w:rPr>
        <w:t> </w:t>
      </w:r>
      <w:r>
        <w:rPr>
          <w:color w:val="231F20"/>
          <w:w w:val="110"/>
        </w:rPr>
        <w:t>of</w:t>
      </w:r>
      <w:r>
        <w:rPr>
          <w:color w:val="231F20"/>
          <w:spacing w:val="-14"/>
          <w:w w:val="110"/>
        </w:rPr>
        <w:t> </w:t>
      </w:r>
      <w:r>
        <w:rPr>
          <w:color w:val="231F20"/>
          <w:w w:val="110"/>
        </w:rPr>
        <w:t>Economics,</w:t>
      </w:r>
      <w:r>
        <w:rPr>
          <w:color w:val="231F20"/>
          <w:spacing w:val="-14"/>
          <w:w w:val="110"/>
        </w:rPr>
        <w:t> </w:t>
      </w:r>
      <w:r>
        <w:rPr>
          <w:color w:val="231F20"/>
          <w:w w:val="110"/>
        </w:rPr>
        <w:t>basado</w:t>
      </w:r>
      <w:r>
        <w:rPr>
          <w:color w:val="231F20"/>
          <w:spacing w:val="-14"/>
          <w:w w:val="110"/>
        </w:rPr>
        <w:t> </w:t>
      </w:r>
      <w:r>
        <w:rPr>
          <w:color w:val="231F20"/>
          <w:w w:val="110"/>
        </w:rPr>
        <w:t>en la</w:t>
      </w:r>
      <w:r>
        <w:rPr>
          <w:color w:val="231F20"/>
          <w:spacing w:val="-24"/>
          <w:w w:val="110"/>
        </w:rPr>
        <w:t> </w:t>
      </w:r>
      <w:r>
        <w:rPr>
          <w:color w:val="231F20"/>
          <w:w w:val="110"/>
        </w:rPr>
        <w:t>tradición</w:t>
      </w:r>
      <w:r>
        <w:rPr>
          <w:color w:val="231F20"/>
          <w:spacing w:val="-24"/>
          <w:w w:val="110"/>
        </w:rPr>
        <w:t> </w:t>
      </w:r>
      <w:r>
        <w:rPr>
          <w:color w:val="231F20"/>
          <w:w w:val="110"/>
        </w:rPr>
        <w:t>económica</w:t>
      </w:r>
      <w:r>
        <w:rPr>
          <w:color w:val="231F20"/>
          <w:spacing w:val="-24"/>
          <w:w w:val="110"/>
        </w:rPr>
        <w:t> </w:t>
      </w:r>
      <w:r>
        <w:rPr>
          <w:color w:val="231F20"/>
          <w:w w:val="110"/>
        </w:rPr>
        <w:t>poskeynesiana</w:t>
      </w:r>
      <w:r>
        <w:rPr>
          <w:color w:val="231F20"/>
          <w:spacing w:val="-24"/>
          <w:w w:val="110"/>
        </w:rPr>
        <w:t> </w:t>
      </w:r>
      <w:r>
        <w:rPr>
          <w:color w:val="231F20"/>
          <w:w w:val="110"/>
        </w:rPr>
        <w:t>y</w:t>
      </w:r>
      <w:r>
        <w:rPr>
          <w:color w:val="231F20"/>
          <w:spacing w:val="-24"/>
          <w:w w:val="110"/>
        </w:rPr>
        <w:t> </w:t>
      </w:r>
      <w:r>
        <w:rPr>
          <w:color w:val="231F20"/>
          <w:w w:val="110"/>
        </w:rPr>
        <w:t>el</w:t>
      </w:r>
      <w:r>
        <w:rPr>
          <w:color w:val="231F20"/>
          <w:spacing w:val="-24"/>
          <w:w w:val="110"/>
        </w:rPr>
        <w:t> </w:t>
      </w:r>
      <w:r>
        <w:rPr>
          <w:color w:val="231F20"/>
          <w:w w:val="110"/>
        </w:rPr>
        <w:t>trabajo</w:t>
      </w:r>
      <w:r>
        <w:rPr>
          <w:color w:val="231F20"/>
          <w:spacing w:val="-24"/>
          <w:w w:val="110"/>
        </w:rPr>
        <w:t> </w:t>
      </w:r>
      <w:r>
        <w:rPr>
          <w:color w:val="231F20"/>
          <w:w w:val="110"/>
        </w:rPr>
        <w:t>de</w:t>
      </w:r>
      <w:r>
        <w:rPr>
          <w:color w:val="231F20"/>
          <w:spacing w:val="-24"/>
          <w:w w:val="110"/>
        </w:rPr>
        <w:t> </w:t>
      </w:r>
      <w:r>
        <w:rPr>
          <w:color w:val="231F20"/>
          <w:w w:val="110"/>
        </w:rPr>
        <w:t>Hyman</w:t>
      </w:r>
      <w:r>
        <w:rPr>
          <w:color w:val="231F20"/>
          <w:spacing w:val="-24"/>
          <w:w w:val="110"/>
        </w:rPr>
        <w:t> </w:t>
      </w:r>
      <w:r>
        <w:rPr>
          <w:color w:val="231F20"/>
          <w:w w:val="110"/>
        </w:rPr>
        <w:t>Minsky.</w:t>
      </w:r>
      <w:r>
        <w:rPr>
          <w:color w:val="231F20"/>
          <w:w w:val="110"/>
          <w:position w:val="6"/>
          <w:sz w:val="13"/>
        </w:rPr>
        <w:t>5</w:t>
      </w:r>
    </w:p>
    <w:p>
      <w:pPr>
        <w:pStyle w:val="BodyText"/>
      </w:pPr>
    </w:p>
    <w:p>
      <w:pPr>
        <w:pStyle w:val="BodyText"/>
        <w:spacing w:before="3"/>
        <w:rPr>
          <w:sz w:val="18"/>
        </w:rPr>
      </w:pPr>
    </w:p>
    <w:p>
      <w:pPr>
        <w:spacing w:line="261" w:lineRule="auto" w:before="1"/>
        <w:ind w:left="100" w:right="877" w:firstLine="240"/>
        <w:jc w:val="both"/>
        <w:rPr>
          <w:i/>
          <w:sz w:val="16"/>
        </w:rPr>
      </w:pPr>
      <w:r>
        <w:rPr>
          <w:color w:val="231F20"/>
          <w:position w:val="5"/>
          <w:sz w:val="10"/>
        </w:rPr>
        <w:t>5    </w:t>
      </w:r>
      <w:r>
        <w:rPr>
          <w:color w:val="231F20"/>
          <w:sz w:val="16"/>
        </w:rPr>
        <w:t>Para  una  explicación  general  del  modelo  véase,  entre  otros,  a  Papadimitrou     and </w:t>
      </w:r>
      <w:r>
        <w:rPr>
          <w:color w:val="231F20"/>
          <w:spacing w:val="-4"/>
          <w:sz w:val="16"/>
        </w:rPr>
        <w:t>Wray, </w:t>
      </w:r>
      <w:r>
        <w:rPr>
          <w:color w:val="231F20"/>
          <w:sz w:val="16"/>
        </w:rPr>
        <w:t>1999, </w:t>
      </w:r>
      <w:r>
        <w:rPr>
          <w:i/>
          <w:color w:val="231F20"/>
          <w:sz w:val="16"/>
        </w:rPr>
        <w:t>Minsky’s Analysis of Financial Capitalism; </w:t>
      </w:r>
      <w:r>
        <w:rPr>
          <w:color w:val="231F20"/>
          <w:sz w:val="16"/>
        </w:rPr>
        <w:t>Zezza, 2009, </w:t>
      </w:r>
      <w:r>
        <w:rPr>
          <w:i/>
          <w:color w:val="231F20"/>
          <w:sz w:val="16"/>
        </w:rPr>
        <w:t>Fiscal Policy and </w:t>
      </w:r>
      <w:r>
        <w:rPr>
          <w:i/>
          <w:color w:val="231F20"/>
          <w:sz w:val="16"/>
        </w:rPr>
        <w:t>the Economics of Financial Balances</w:t>
      </w:r>
      <w:r>
        <w:rPr>
          <w:color w:val="231F20"/>
          <w:sz w:val="16"/>
        </w:rPr>
        <w:t>; </w:t>
      </w:r>
      <w:r>
        <w:rPr>
          <w:color w:val="231F20"/>
          <w:spacing w:val="-4"/>
          <w:sz w:val="16"/>
        </w:rPr>
        <w:t>Wray, </w:t>
      </w:r>
      <w:r>
        <w:rPr>
          <w:color w:val="231F20"/>
          <w:sz w:val="16"/>
        </w:rPr>
        <w:t>2009, </w:t>
      </w:r>
      <w:r>
        <w:rPr>
          <w:i/>
          <w:color w:val="231F20"/>
          <w:sz w:val="16"/>
        </w:rPr>
        <w:t>An Alternative View of Finance, Saving, </w:t>
      </w:r>
      <w:r>
        <w:rPr>
          <w:i/>
          <w:color w:val="231F20"/>
          <w:sz w:val="16"/>
        </w:rPr>
        <w:t>Deficits, and</w:t>
      </w:r>
      <w:r>
        <w:rPr>
          <w:i/>
          <w:color w:val="231F20"/>
          <w:spacing w:val="-14"/>
          <w:sz w:val="16"/>
        </w:rPr>
        <w:t> </w:t>
      </w:r>
      <w:r>
        <w:rPr>
          <w:i/>
          <w:color w:val="231F20"/>
          <w:sz w:val="16"/>
        </w:rPr>
        <w:t>Liquidity.</w:t>
      </w:r>
    </w:p>
    <w:p>
      <w:pPr>
        <w:spacing w:after="0" w:line="261" w:lineRule="auto"/>
        <w:jc w:val="both"/>
        <w:rPr>
          <w:sz w:val="16"/>
        </w:rPr>
        <w:sectPr>
          <w:type w:val="continuous"/>
          <w:pgSz w:w="7640" w:h="11900"/>
          <w:pgMar w:top="980" w:bottom="280" w:left="660" w:right="0"/>
        </w:sectPr>
      </w:pPr>
    </w:p>
    <w:p>
      <w:pPr>
        <w:pStyle w:val="BodyText"/>
        <w:spacing w:before="8"/>
        <w:rPr>
          <w:i/>
          <w:sz w:val="8"/>
        </w:rPr>
      </w:pPr>
    </w:p>
    <w:p>
      <w:pPr>
        <w:pStyle w:val="BodyText"/>
        <w:spacing w:line="261" w:lineRule="auto" w:before="67"/>
        <w:ind w:left="100" w:right="117" w:firstLine="240"/>
        <w:jc w:val="both"/>
      </w:pPr>
      <w:r>
        <w:rPr>
          <w:color w:val="231F20"/>
          <w:w w:val="110"/>
        </w:rPr>
        <w:t>La</w:t>
      </w:r>
      <w:r>
        <w:rPr>
          <w:color w:val="231F20"/>
          <w:spacing w:val="-4"/>
          <w:w w:val="110"/>
        </w:rPr>
        <w:t> </w:t>
      </w:r>
      <w:r>
        <w:rPr>
          <w:color w:val="231F20"/>
          <w:w w:val="110"/>
        </w:rPr>
        <w:t>base</w:t>
      </w:r>
      <w:r>
        <w:rPr>
          <w:color w:val="231F20"/>
          <w:spacing w:val="-4"/>
          <w:w w:val="110"/>
        </w:rPr>
        <w:t> </w:t>
      </w:r>
      <w:r>
        <w:rPr>
          <w:color w:val="231F20"/>
          <w:w w:val="110"/>
        </w:rPr>
        <w:t>del</w:t>
      </w:r>
      <w:r>
        <w:rPr>
          <w:color w:val="231F20"/>
          <w:spacing w:val="-4"/>
          <w:w w:val="110"/>
        </w:rPr>
        <w:t> </w:t>
      </w:r>
      <w:r>
        <w:rPr>
          <w:color w:val="231F20"/>
          <w:w w:val="110"/>
        </w:rPr>
        <w:t>modelo</w:t>
      </w:r>
      <w:r>
        <w:rPr>
          <w:color w:val="231F20"/>
          <w:spacing w:val="-4"/>
          <w:w w:val="110"/>
        </w:rPr>
        <w:t> </w:t>
      </w:r>
      <w:r>
        <w:rPr>
          <w:color w:val="231F20"/>
          <w:w w:val="110"/>
        </w:rPr>
        <w:t>económico</w:t>
      </w:r>
      <w:r>
        <w:rPr>
          <w:color w:val="231F20"/>
          <w:spacing w:val="-4"/>
          <w:w w:val="110"/>
        </w:rPr>
        <w:t> </w:t>
      </w:r>
      <w:r>
        <w:rPr>
          <w:color w:val="231F20"/>
          <w:w w:val="110"/>
        </w:rPr>
        <w:t>alternativo</w:t>
      </w:r>
      <w:r>
        <w:rPr>
          <w:color w:val="231F20"/>
          <w:spacing w:val="-4"/>
          <w:w w:val="110"/>
        </w:rPr>
        <w:t> </w:t>
      </w:r>
      <w:r>
        <w:rPr>
          <w:color w:val="231F20"/>
          <w:w w:val="110"/>
        </w:rPr>
        <w:t>se</w:t>
      </w:r>
      <w:r>
        <w:rPr>
          <w:color w:val="231F20"/>
          <w:spacing w:val="-4"/>
          <w:w w:val="110"/>
        </w:rPr>
        <w:t> </w:t>
      </w:r>
      <w:r>
        <w:rPr>
          <w:color w:val="231F20"/>
          <w:w w:val="110"/>
        </w:rPr>
        <w:t>encuentra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aná- lisis</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hojas</w:t>
      </w:r>
      <w:r>
        <w:rPr>
          <w:color w:val="231F20"/>
          <w:spacing w:val="-7"/>
          <w:w w:val="110"/>
        </w:rPr>
        <w:t> </w:t>
      </w:r>
      <w:r>
        <w:rPr>
          <w:color w:val="231F20"/>
          <w:w w:val="110"/>
        </w:rPr>
        <w:t>de</w:t>
      </w:r>
      <w:r>
        <w:rPr>
          <w:color w:val="231F20"/>
          <w:spacing w:val="-7"/>
          <w:w w:val="110"/>
        </w:rPr>
        <w:t> </w:t>
      </w:r>
      <w:r>
        <w:rPr>
          <w:color w:val="231F20"/>
          <w:w w:val="110"/>
        </w:rPr>
        <w:t>balance</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diferentes</w:t>
      </w:r>
      <w:r>
        <w:rPr>
          <w:color w:val="231F20"/>
          <w:spacing w:val="-7"/>
          <w:w w:val="110"/>
        </w:rPr>
        <w:t> </w:t>
      </w:r>
      <w:r>
        <w:rPr>
          <w:color w:val="231F20"/>
          <w:w w:val="110"/>
        </w:rPr>
        <w:t>sectores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economía a través del estudio de los flujos financieros. De esta forma, para la identidad macroeconómica: “el flujo de gastos de un sector debe ser igual a su flujo de ingresos más cambios en su balance financiero. Se entiende entonces </w:t>
      </w:r>
      <w:r>
        <w:rPr>
          <w:color w:val="231F20"/>
          <w:spacing w:val="-5"/>
          <w:w w:val="110"/>
        </w:rPr>
        <w:t>por, </w:t>
      </w:r>
      <w:r>
        <w:rPr>
          <w:color w:val="231F20"/>
          <w:w w:val="110"/>
        </w:rPr>
        <w:t>ejemplo, que un sector puede gastar por encima</w:t>
      </w:r>
      <w:r>
        <w:rPr>
          <w:color w:val="231F20"/>
          <w:spacing w:val="-5"/>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ingresos</w:t>
      </w:r>
      <w:r>
        <w:rPr>
          <w:color w:val="231F20"/>
          <w:spacing w:val="-5"/>
          <w:w w:val="110"/>
        </w:rPr>
        <w:t> </w:t>
      </w:r>
      <w:r>
        <w:rPr>
          <w:color w:val="231F20"/>
          <w:w w:val="110"/>
        </w:rPr>
        <w:t>pero</w:t>
      </w:r>
      <w:r>
        <w:rPr>
          <w:color w:val="231F20"/>
          <w:spacing w:val="-5"/>
          <w:w w:val="110"/>
        </w:rPr>
        <w:t> </w:t>
      </w:r>
      <w:r>
        <w:rPr>
          <w:color w:val="231F20"/>
          <w:w w:val="110"/>
        </w:rPr>
        <w:t>esto</w:t>
      </w:r>
      <w:r>
        <w:rPr>
          <w:color w:val="231F20"/>
          <w:spacing w:val="-5"/>
          <w:w w:val="110"/>
        </w:rPr>
        <w:t> </w:t>
      </w:r>
      <w:r>
        <w:rPr>
          <w:color w:val="231F20"/>
          <w:w w:val="110"/>
        </w:rPr>
        <w:t>implicaría</w:t>
      </w:r>
      <w:r>
        <w:rPr>
          <w:color w:val="231F20"/>
          <w:spacing w:val="-5"/>
          <w:w w:val="110"/>
        </w:rPr>
        <w:t> </w:t>
      </w:r>
      <w:r>
        <w:rPr>
          <w:color w:val="231F20"/>
          <w:w w:val="110"/>
        </w:rPr>
        <w:t>una</w:t>
      </w:r>
      <w:r>
        <w:rPr>
          <w:color w:val="231F20"/>
          <w:spacing w:val="-5"/>
          <w:w w:val="110"/>
        </w:rPr>
        <w:t> </w:t>
      </w:r>
      <w:r>
        <w:rPr>
          <w:color w:val="231F20"/>
          <w:w w:val="110"/>
        </w:rPr>
        <w:t>reducción</w:t>
      </w:r>
      <w:r>
        <w:rPr>
          <w:color w:val="231F20"/>
          <w:spacing w:val="-5"/>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ac- tivos</w:t>
      </w:r>
      <w:r>
        <w:rPr>
          <w:color w:val="231F20"/>
          <w:spacing w:val="-10"/>
          <w:w w:val="110"/>
        </w:rPr>
        <w:t> </w:t>
      </w:r>
      <w:r>
        <w:rPr>
          <w:color w:val="231F20"/>
          <w:w w:val="110"/>
        </w:rPr>
        <w:t>financieros.</w:t>
      </w:r>
      <w:r>
        <w:rPr>
          <w:color w:val="231F20"/>
          <w:spacing w:val="-10"/>
          <w:w w:val="110"/>
        </w:rPr>
        <w:t> </w:t>
      </w:r>
      <w:r>
        <w:rPr>
          <w:color w:val="231F20"/>
          <w:w w:val="110"/>
        </w:rPr>
        <w:t>Al</w:t>
      </w:r>
      <w:r>
        <w:rPr>
          <w:color w:val="231F20"/>
          <w:spacing w:val="-10"/>
          <w:w w:val="110"/>
        </w:rPr>
        <w:t> </w:t>
      </w:r>
      <w:r>
        <w:rPr>
          <w:color w:val="231F20"/>
          <w:w w:val="110"/>
        </w:rPr>
        <w:t>mismo</w:t>
      </w:r>
      <w:r>
        <w:rPr>
          <w:color w:val="231F20"/>
          <w:spacing w:val="-10"/>
          <w:w w:val="110"/>
        </w:rPr>
        <w:t> </w:t>
      </w:r>
      <w:r>
        <w:rPr>
          <w:color w:val="231F20"/>
          <w:w w:val="110"/>
        </w:rPr>
        <w:t>tiempo,</w:t>
      </w:r>
      <w:r>
        <w:rPr>
          <w:color w:val="231F20"/>
          <w:spacing w:val="-10"/>
          <w:w w:val="110"/>
        </w:rPr>
        <w:t> </w:t>
      </w:r>
      <w:r>
        <w:rPr>
          <w:color w:val="231F20"/>
          <w:w w:val="110"/>
        </w:rPr>
        <w:t>el</w:t>
      </w:r>
      <w:r>
        <w:rPr>
          <w:color w:val="231F20"/>
          <w:spacing w:val="-10"/>
          <w:w w:val="110"/>
        </w:rPr>
        <w:t> </w:t>
      </w:r>
      <w:r>
        <w:rPr>
          <w:color w:val="231F20"/>
          <w:w w:val="110"/>
        </w:rPr>
        <w:t>gasto</w:t>
      </w:r>
      <w:r>
        <w:rPr>
          <w:color w:val="231F20"/>
          <w:spacing w:val="-10"/>
          <w:w w:val="110"/>
        </w:rPr>
        <w:t> </w:t>
      </w:r>
      <w:r>
        <w:rPr>
          <w:color w:val="231F20"/>
          <w:w w:val="110"/>
        </w:rPr>
        <w:t>deficitario</w:t>
      </w:r>
      <w:r>
        <w:rPr>
          <w:color w:val="231F20"/>
          <w:spacing w:val="-10"/>
          <w:w w:val="110"/>
        </w:rPr>
        <w:t> </w:t>
      </w:r>
      <w:r>
        <w:rPr>
          <w:color w:val="231F20"/>
          <w:w w:val="110"/>
        </w:rPr>
        <w:t>de</w:t>
      </w:r>
      <w:r>
        <w:rPr>
          <w:color w:val="231F20"/>
          <w:spacing w:val="-10"/>
          <w:w w:val="110"/>
        </w:rPr>
        <w:t> </w:t>
      </w:r>
      <w:r>
        <w:rPr>
          <w:color w:val="231F20"/>
          <w:w w:val="110"/>
        </w:rPr>
        <w:t>este</w:t>
      </w:r>
      <w:r>
        <w:rPr>
          <w:color w:val="231F20"/>
          <w:spacing w:val="-10"/>
          <w:w w:val="110"/>
        </w:rPr>
        <w:t> </w:t>
      </w:r>
      <w:r>
        <w:rPr>
          <w:color w:val="231F20"/>
          <w:w w:val="110"/>
        </w:rPr>
        <w:t>sector implica que otro sector de la economía está gastando por debajo de sus ingresos, acumulando de esta forma activos financieros” </w:t>
      </w:r>
      <w:r>
        <w:rPr>
          <w:color w:val="231F20"/>
          <w:spacing w:val="-4"/>
          <w:w w:val="110"/>
        </w:rPr>
        <w:t>(Wray, </w:t>
      </w:r>
      <w:r>
        <w:rPr>
          <w:color w:val="231F20"/>
          <w:w w:val="110"/>
        </w:rPr>
        <w:t>2009:</w:t>
      </w:r>
      <w:r>
        <w:rPr>
          <w:color w:val="231F20"/>
          <w:spacing w:val="-18"/>
          <w:w w:val="110"/>
        </w:rPr>
        <w:t> </w:t>
      </w:r>
      <w:r>
        <w:rPr>
          <w:color w:val="231F20"/>
          <w:w w:val="110"/>
        </w:rPr>
        <w:t>6).</w:t>
      </w:r>
    </w:p>
    <w:p>
      <w:pPr>
        <w:pStyle w:val="BodyText"/>
        <w:spacing w:line="261" w:lineRule="auto"/>
        <w:ind w:left="100" w:right="116" w:firstLine="240"/>
        <w:jc w:val="both"/>
      </w:pPr>
      <w:r>
        <w:rPr>
          <w:color w:val="231F20"/>
          <w:w w:val="105"/>
        </w:rPr>
        <w:t>A su vez esta identidad implica un proceso causal, en el sentido     de que el gasto deficitario de un sector es el que permite la creación   del ingreso y por ende del ahorro de otro sector. Como señala la tradición keynesiana, son los gastos los que generan el ingreso y es     la inversión la que genera el ahorro. En un ejemplo práctico esta relación apunta a que en una economía cerrada es el gasto defici-    tario del sector del gobierno el que genera los superávit y por ende ahorros</w:t>
      </w:r>
      <w:r>
        <w:rPr>
          <w:color w:val="231F20"/>
          <w:spacing w:val="39"/>
          <w:w w:val="105"/>
        </w:rPr>
        <w:t> </w:t>
      </w:r>
      <w:r>
        <w:rPr>
          <w:color w:val="231F20"/>
          <w:w w:val="105"/>
        </w:rPr>
        <w:t>del</w:t>
      </w:r>
      <w:r>
        <w:rPr>
          <w:color w:val="231F20"/>
          <w:spacing w:val="39"/>
          <w:w w:val="105"/>
        </w:rPr>
        <w:t> </w:t>
      </w:r>
      <w:r>
        <w:rPr>
          <w:color w:val="231F20"/>
          <w:w w:val="105"/>
        </w:rPr>
        <w:t>sector</w:t>
      </w:r>
      <w:r>
        <w:rPr>
          <w:color w:val="231F20"/>
          <w:spacing w:val="39"/>
          <w:w w:val="105"/>
        </w:rPr>
        <w:t> </w:t>
      </w:r>
      <w:r>
        <w:rPr>
          <w:color w:val="231F20"/>
          <w:w w:val="105"/>
        </w:rPr>
        <w:t>privado</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economía</w:t>
      </w:r>
      <w:r>
        <w:rPr>
          <w:color w:val="231F20"/>
          <w:spacing w:val="39"/>
          <w:w w:val="105"/>
        </w:rPr>
        <w:t> </w:t>
      </w:r>
      <w:r>
        <w:rPr>
          <w:color w:val="231F20"/>
          <w:spacing w:val="-3"/>
          <w:w w:val="105"/>
        </w:rPr>
        <w:t>(Wray,</w:t>
      </w:r>
      <w:r>
        <w:rPr>
          <w:color w:val="231F20"/>
          <w:spacing w:val="39"/>
          <w:w w:val="105"/>
        </w:rPr>
        <w:t> </w:t>
      </w:r>
      <w:r>
        <w:rPr>
          <w:color w:val="231F20"/>
          <w:w w:val="105"/>
        </w:rPr>
        <w:t>2009).</w:t>
      </w:r>
    </w:p>
    <w:p>
      <w:pPr>
        <w:pStyle w:val="BodyText"/>
        <w:spacing w:line="261" w:lineRule="auto"/>
        <w:ind w:left="100" w:right="114" w:firstLine="240"/>
        <w:jc w:val="both"/>
      </w:pPr>
      <w:r>
        <w:rPr>
          <w:color w:val="231F20"/>
          <w:spacing w:val="2"/>
          <w:w w:val="110"/>
        </w:rPr>
        <w:t>Aplicado </w:t>
      </w:r>
      <w:r>
        <w:rPr>
          <w:color w:val="231F20"/>
          <w:w w:val="110"/>
        </w:rPr>
        <w:t>al </w:t>
      </w:r>
      <w:r>
        <w:rPr>
          <w:color w:val="231F20"/>
          <w:spacing w:val="2"/>
          <w:w w:val="110"/>
        </w:rPr>
        <w:t>análisis </w:t>
      </w:r>
      <w:r>
        <w:rPr>
          <w:color w:val="231F20"/>
          <w:w w:val="110"/>
        </w:rPr>
        <w:t>de la </w:t>
      </w:r>
      <w:r>
        <w:rPr>
          <w:color w:val="231F20"/>
          <w:spacing w:val="2"/>
          <w:w w:val="110"/>
        </w:rPr>
        <w:t>economía japonesa, tendríamos </w:t>
      </w:r>
      <w:r>
        <w:rPr>
          <w:color w:val="231F20"/>
          <w:w w:val="110"/>
        </w:rPr>
        <w:t>un cuadro en el cual ante la reducción en el gasto privado (gráfica 7), asociada</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caída</w:t>
      </w:r>
      <w:r>
        <w:rPr>
          <w:color w:val="231F20"/>
          <w:spacing w:val="-11"/>
          <w:w w:val="110"/>
        </w:rPr>
        <w:t> </w:t>
      </w:r>
      <w:r>
        <w:rPr>
          <w:color w:val="231F20"/>
          <w:w w:val="110"/>
        </w:rPr>
        <w:t>del</w:t>
      </w:r>
      <w:r>
        <w:rPr>
          <w:color w:val="231F20"/>
          <w:spacing w:val="-11"/>
          <w:w w:val="110"/>
        </w:rPr>
        <w:t> </w:t>
      </w:r>
      <w:r>
        <w:rPr>
          <w:color w:val="231F20"/>
          <w:w w:val="110"/>
        </w:rPr>
        <w:t>valor</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activos</w:t>
      </w:r>
      <w:r>
        <w:rPr>
          <w:color w:val="231F20"/>
          <w:spacing w:val="-11"/>
          <w:w w:val="110"/>
        </w:rPr>
        <w:t> </w:t>
      </w:r>
      <w:r>
        <w:rPr>
          <w:color w:val="231F20"/>
          <w:w w:val="110"/>
        </w:rPr>
        <w:t>en</w:t>
      </w:r>
      <w:r>
        <w:rPr>
          <w:color w:val="231F20"/>
          <w:spacing w:val="-11"/>
          <w:w w:val="110"/>
        </w:rPr>
        <w:t> </w:t>
      </w:r>
      <w:r>
        <w:rPr>
          <w:color w:val="231F20"/>
          <w:w w:val="110"/>
        </w:rPr>
        <w:t>su</w:t>
      </w:r>
      <w:r>
        <w:rPr>
          <w:color w:val="231F20"/>
          <w:spacing w:val="-11"/>
          <w:w w:val="110"/>
        </w:rPr>
        <w:t> </w:t>
      </w:r>
      <w:r>
        <w:rPr>
          <w:color w:val="231F20"/>
          <w:w w:val="110"/>
        </w:rPr>
        <w:t>portafolio</w:t>
      </w:r>
      <w:r>
        <w:rPr>
          <w:color w:val="231F20"/>
          <w:spacing w:val="-11"/>
          <w:w w:val="110"/>
        </w:rPr>
        <w:t> </w:t>
      </w:r>
      <w:r>
        <w:rPr>
          <w:color w:val="231F20"/>
          <w:w w:val="110"/>
        </w:rPr>
        <w:t>(gráfica 5), reduce por un lado la demanda de crédito para inversión y por el otro obliga al gobierno a incurrir en déficit para mantener un nivel agregado de gasto en la economía (gráficas 7 y 8). Desde la pers- pectiva del sector privado, el déficit del gobierno implica entonces una acumulación neta de activos financieros. Más importante aun,  el déficit fiscal genera no sólo los ingresos del sector privado sino que también generan los activos, a través de la emisión de bonos de deuda, en los cuales el sector privado deposita sus</w:t>
      </w:r>
      <w:r>
        <w:rPr>
          <w:color w:val="231F20"/>
          <w:spacing w:val="50"/>
          <w:w w:val="110"/>
        </w:rPr>
        <w:t> </w:t>
      </w:r>
      <w:r>
        <w:rPr>
          <w:color w:val="231F20"/>
          <w:w w:val="110"/>
        </w:rPr>
        <w:t>ahorros.</w:t>
      </w:r>
    </w:p>
    <w:p>
      <w:pPr>
        <w:pStyle w:val="BodyText"/>
        <w:spacing w:line="261" w:lineRule="auto"/>
        <w:ind w:left="100" w:right="113" w:firstLine="240"/>
        <w:jc w:val="both"/>
      </w:pPr>
      <w:r>
        <w:rPr>
          <w:color w:val="231F20"/>
          <w:w w:val="110"/>
        </w:rPr>
        <w:t>La evidencia de este tipo de patrón de ajuste se encuentra en     las hojas de balance de los diferentes sectores. Así, la deuda total   de Japón se mantuvo constante entre 1990 y 2007 en alrededor de 300% del pib. Lo que cambió fue la estructura interna de este en- deudamiento. Mientras que en 1990, la deuda privada representaba 240% del pib y la deuda pública 50% del pib, el proceso de des- apalancamiento forzado del sector privado redujo progresivamente la deuda de este sector hasta llegar a 160% del pib en 2007 (Artus, 2009).</w:t>
      </w:r>
      <w:r>
        <w:rPr>
          <w:color w:val="231F20"/>
          <w:spacing w:val="22"/>
          <w:w w:val="110"/>
        </w:rPr>
        <w:t> </w:t>
      </w:r>
      <w:r>
        <w:rPr>
          <w:color w:val="231F20"/>
          <w:w w:val="110"/>
        </w:rPr>
        <w:t>Ante</w:t>
      </w:r>
      <w:r>
        <w:rPr>
          <w:color w:val="231F20"/>
          <w:spacing w:val="22"/>
          <w:w w:val="110"/>
        </w:rPr>
        <w:t> </w:t>
      </w:r>
      <w:r>
        <w:rPr>
          <w:color w:val="231F20"/>
          <w:w w:val="110"/>
        </w:rPr>
        <w:t>la</w:t>
      </w:r>
      <w:r>
        <w:rPr>
          <w:color w:val="231F20"/>
          <w:spacing w:val="22"/>
          <w:w w:val="110"/>
        </w:rPr>
        <w:t> </w:t>
      </w:r>
      <w:r>
        <w:rPr>
          <w:color w:val="231F20"/>
          <w:w w:val="110"/>
        </w:rPr>
        <w:t>falta</w:t>
      </w:r>
      <w:r>
        <w:rPr>
          <w:color w:val="231F20"/>
          <w:spacing w:val="22"/>
          <w:w w:val="110"/>
        </w:rPr>
        <w:t> </w:t>
      </w:r>
      <w:r>
        <w:rPr>
          <w:color w:val="231F20"/>
          <w:w w:val="110"/>
        </w:rPr>
        <w:t>de</w:t>
      </w:r>
      <w:r>
        <w:rPr>
          <w:color w:val="231F20"/>
          <w:spacing w:val="22"/>
          <w:w w:val="110"/>
        </w:rPr>
        <w:t> </w:t>
      </w:r>
      <w:r>
        <w:rPr>
          <w:color w:val="231F20"/>
          <w:w w:val="110"/>
        </w:rPr>
        <w:t>confianza</w:t>
      </w:r>
      <w:r>
        <w:rPr>
          <w:color w:val="231F20"/>
          <w:spacing w:val="22"/>
          <w:w w:val="110"/>
        </w:rPr>
        <w:t> </w:t>
      </w:r>
      <w:r>
        <w:rPr>
          <w:color w:val="231F20"/>
          <w:w w:val="110"/>
        </w:rPr>
        <w:t>tanto</w:t>
      </w:r>
      <w:r>
        <w:rPr>
          <w:color w:val="231F20"/>
          <w:spacing w:val="22"/>
          <w:w w:val="110"/>
        </w:rPr>
        <w:t> </w:t>
      </w:r>
      <w:r>
        <w:rPr>
          <w:color w:val="231F20"/>
          <w:w w:val="110"/>
        </w:rPr>
        <w:t>de</w:t>
      </w:r>
      <w:r>
        <w:rPr>
          <w:color w:val="231F20"/>
          <w:spacing w:val="22"/>
          <w:w w:val="110"/>
        </w:rPr>
        <w:t> </w:t>
      </w:r>
      <w:r>
        <w:rPr>
          <w:color w:val="231F20"/>
          <w:w w:val="110"/>
        </w:rPr>
        <w:t>consumidores</w:t>
      </w:r>
      <w:r>
        <w:rPr>
          <w:color w:val="231F20"/>
          <w:spacing w:val="22"/>
          <w:w w:val="110"/>
        </w:rPr>
        <w:t> </w:t>
      </w:r>
      <w:r>
        <w:rPr>
          <w:color w:val="231F20"/>
          <w:w w:val="110"/>
        </w:rPr>
        <w:t>para</w:t>
      </w:r>
      <w:r>
        <w:rPr>
          <w:color w:val="231F20"/>
          <w:spacing w:val="22"/>
          <w:w w:val="110"/>
        </w:rPr>
        <w:t> </w:t>
      </w:r>
      <w:r>
        <w:rPr>
          <w:color w:val="231F20"/>
          <w:w w:val="110"/>
        </w:rPr>
        <w:t>gas-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tar como de compañías para invertir, los excedentes resultantes se canalizaron de forma creciente hacia bonos de deuda del gobierno japonés. Evidencia de este proceso es el gradual incremento de la participación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bonos</w:t>
      </w:r>
      <w:r>
        <w:rPr>
          <w:color w:val="231F20"/>
          <w:spacing w:val="-13"/>
          <w:w w:val="110"/>
        </w:rPr>
        <w:t> </w:t>
      </w:r>
      <w:r>
        <w:rPr>
          <w:color w:val="231F20"/>
          <w:w w:val="110"/>
        </w:rPr>
        <w:t>de</w:t>
      </w:r>
      <w:r>
        <w:rPr>
          <w:color w:val="231F20"/>
          <w:spacing w:val="-13"/>
          <w:w w:val="110"/>
        </w:rPr>
        <w:t> </w:t>
      </w:r>
      <w:r>
        <w:rPr>
          <w:color w:val="231F20"/>
          <w:w w:val="110"/>
        </w:rPr>
        <w:t>deuda</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hojas</w:t>
      </w:r>
      <w:r>
        <w:rPr>
          <w:color w:val="231F20"/>
          <w:spacing w:val="-13"/>
          <w:w w:val="110"/>
        </w:rPr>
        <w:t> </w:t>
      </w:r>
      <w:r>
        <w:rPr>
          <w:color w:val="231F20"/>
          <w:w w:val="110"/>
        </w:rPr>
        <w:t>de</w:t>
      </w:r>
      <w:r>
        <w:rPr>
          <w:color w:val="231F20"/>
          <w:spacing w:val="-13"/>
          <w:w w:val="110"/>
        </w:rPr>
        <w:t> </w:t>
      </w:r>
      <w:r>
        <w:rPr>
          <w:color w:val="231F20"/>
          <w:w w:val="110"/>
        </w:rPr>
        <w:t>balance</w:t>
      </w:r>
      <w:r>
        <w:rPr>
          <w:color w:val="231F20"/>
          <w:spacing w:val="-13"/>
          <w:w w:val="110"/>
        </w:rPr>
        <w:t> </w:t>
      </w:r>
      <w:r>
        <w:rPr>
          <w:color w:val="231F20"/>
          <w:w w:val="110"/>
        </w:rPr>
        <w:t>de</w:t>
      </w:r>
      <w:r>
        <w:rPr>
          <w:color w:val="231F20"/>
          <w:spacing w:val="-13"/>
          <w:w w:val="110"/>
        </w:rPr>
        <w:t> </w:t>
      </w:r>
      <w:r>
        <w:rPr>
          <w:color w:val="231F20"/>
          <w:w w:val="110"/>
        </w:rPr>
        <w:t>bancos y otras instituciones financieras. En el caso de los bancos, mientras que el crédito registró decrecimiento de 1% entre 1990 y 2008, los bonos de deuda del gobierno se multiplicaron por un factor de 3, incrementando su participación en el portafolio de los bancos en  8% (Central Bank of Japan, 2009:</w:t>
      </w:r>
      <w:r>
        <w:rPr>
          <w:color w:val="231F20"/>
          <w:spacing w:val="5"/>
          <w:w w:val="110"/>
        </w:rPr>
        <w:t> </w:t>
      </w:r>
      <w:r>
        <w:rPr>
          <w:color w:val="231F20"/>
          <w:w w:val="110"/>
        </w:rPr>
        <w:t>25).</w:t>
      </w:r>
    </w:p>
    <w:p>
      <w:pPr>
        <w:pStyle w:val="BodyText"/>
        <w:spacing w:line="261" w:lineRule="auto"/>
        <w:ind w:left="100" w:right="117" w:firstLine="240"/>
        <w:jc w:val="both"/>
      </w:pPr>
      <w:r>
        <w:rPr>
          <w:color w:val="231F20"/>
          <w:w w:val="110"/>
        </w:rPr>
        <w:t>Es específicamente este hecho el que permite explicar tanto el permanente riesgo de deflación, ante la incapacidad de transformar las</w:t>
      </w:r>
      <w:r>
        <w:rPr>
          <w:color w:val="231F20"/>
          <w:spacing w:val="-18"/>
          <w:w w:val="110"/>
        </w:rPr>
        <w:t> </w:t>
      </w:r>
      <w:r>
        <w:rPr>
          <w:color w:val="231F20"/>
          <w:w w:val="110"/>
        </w:rPr>
        <w:t>reservas</w:t>
      </w:r>
      <w:r>
        <w:rPr>
          <w:color w:val="231F20"/>
          <w:spacing w:val="-18"/>
          <w:w w:val="110"/>
        </w:rPr>
        <w:t> </w:t>
      </w:r>
      <w:r>
        <w:rPr>
          <w:color w:val="231F20"/>
          <w:w w:val="110"/>
        </w:rPr>
        <w:t>bancarias</w:t>
      </w:r>
      <w:r>
        <w:rPr>
          <w:color w:val="231F20"/>
          <w:spacing w:val="-18"/>
          <w:w w:val="110"/>
        </w:rPr>
        <w:t> </w:t>
      </w:r>
      <w:r>
        <w:rPr>
          <w:color w:val="231F20"/>
          <w:w w:val="110"/>
        </w:rPr>
        <w:t>en</w:t>
      </w:r>
      <w:r>
        <w:rPr>
          <w:color w:val="231F20"/>
          <w:spacing w:val="-18"/>
          <w:w w:val="110"/>
        </w:rPr>
        <w:t> </w:t>
      </w:r>
      <w:r>
        <w:rPr>
          <w:color w:val="231F20"/>
          <w:w w:val="110"/>
        </w:rPr>
        <w:t>demanda</w:t>
      </w:r>
      <w:r>
        <w:rPr>
          <w:color w:val="231F20"/>
          <w:spacing w:val="-18"/>
          <w:w w:val="110"/>
        </w:rPr>
        <w:t> </w:t>
      </w:r>
      <w:r>
        <w:rPr>
          <w:color w:val="231F20"/>
          <w:w w:val="110"/>
        </w:rPr>
        <w:t>efectiva,</w:t>
      </w:r>
      <w:r>
        <w:rPr>
          <w:color w:val="231F20"/>
          <w:spacing w:val="-18"/>
          <w:w w:val="110"/>
        </w:rPr>
        <w:t> </w:t>
      </w:r>
      <w:r>
        <w:rPr>
          <w:color w:val="231F20"/>
          <w:w w:val="110"/>
        </w:rPr>
        <w:t>debida</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débil</w:t>
      </w:r>
      <w:r>
        <w:rPr>
          <w:color w:val="231F20"/>
          <w:spacing w:val="-18"/>
          <w:w w:val="110"/>
        </w:rPr>
        <w:t> </w:t>
      </w:r>
      <w:r>
        <w:rPr>
          <w:color w:val="231F20"/>
          <w:w w:val="110"/>
        </w:rPr>
        <w:t>demanda de crédito, como de las bajas tasas de rendimiento de los bonos de deuda de Japón, en la medida en que la recomposición de las hojas de balance del sector privado se basó en la adquisición masiva del tipo más seguro de activo</w:t>
      </w:r>
      <w:r>
        <w:rPr>
          <w:color w:val="231F20"/>
          <w:spacing w:val="10"/>
          <w:w w:val="110"/>
        </w:rPr>
        <w:t> </w:t>
      </w:r>
      <w:r>
        <w:rPr>
          <w:color w:val="231F20"/>
          <w:w w:val="110"/>
        </w:rPr>
        <w:t>disponible.</w:t>
      </w:r>
    </w:p>
    <w:p>
      <w:pPr>
        <w:pStyle w:val="BodyText"/>
        <w:spacing w:line="261" w:lineRule="auto"/>
        <w:ind w:left="100" w:right="115" w:firstLine="240"/>
        <w:jc w:val="both"/>
      </w:pPr>
      <w:r>
        <w:rPr>
          <w:color w:val="231F20"/>
          <w:w w:val="110"/>
        </w:rPr>
        <w:t>Dos análisis se pueden hacer de esta situación. Por un lado, este esquema representa un sistema de transferencia de excedentes del sector público hacia el sector privado. Esto es básicamente un reem- plazo de deuda privada por deuda pública. En la medida en que esta transferencia sirve para apuntalar una elite corporativa a pesar de su responsabilidad en los excesos que condujeron a la crisis, este tipo de política sustentada en la expansión masiva del endeudamiento público es inaceptable. Por otro lado, dentro de la lógica y racio- nalidad de una económica capitalista moderna, el único escenario alternativo disponible ante la falta de intervención estatal en la forma de gasto deficitario y transferencia de excedentes, hubiera sido una caída en espiral de la demanda agregada y el ingreso, con los consecuentes efectos en términos de empleo y bienestar social.</w:t>
      </w:r>
    </w:p>
    <w:p>
      <w:pPr>
        <w:pStyle w:val="BodyText"/>
        <w:spacing w:line="261" w:lineRule="auto"/>
        <w:ind w:left="100" w:right="115" w:firstLine="240"/>
        <w:jc w:val="both"/>
      </w:pPr>
      <w:r>
        <w:rPr>
          <w:color w:val="231F20"/>
          <w:w w:val="110"/>
        </w:rPr>
        <w:t>Es</w:t>
      </w:r>
      <w:r>
        <w:rPr>
          <w:color w:val="231F20"/>
          <w:spacing w:val="-14"/>
          <w:w w:val="110"/>
        </w:rPr>
        <w:t> </w:t>
      </w:r>
      <w:r>
        <w:rPr>
          <w:color w:val="231F20"/>
          <w:w w:val="110"/>
        </w:rPr>
        <w:t>importante</w:t>
      </w:r>
      <w:r>
        <w:rPr>
          <w:color w:val="231F20"/>
          <w:spacing w:val="-14"/>
          <w:w w:val="110"/>
        </w:rPr>
        <w:t> </w:t>
      </w:r>
      <w:r>
        <w:rPr>
          <w:color w:val="231F20"/>
          <w:w w:val="110"/>
        </w:rPr>
        <w:t>señalar</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hecho</w:t>
      </w:r>
      <w:r>
        <w:rPr>
          <w:color w:val="231F20"/>
          <w:spacing w:val="-14"/>
          <w:w w:val="110"/>
        </w:rPr>
        <w:t> </w:t>
      </w:r>
      <w:r>
        <w:rPr>
          <w:color w:val="231F20"/>
          <w:w w:val="110"/>
        </w:rPr>
        <w:t>de</w:t>
      </w:r>
      <w:r>
        <w:rPr>
          <w:color w:val="231F20"/>
          <w:spacing w:val="-14"/>
          <w:w w:val="110"/>
        </w:rPr>
        <w:t> </w:t>
      </w:r>
      <w:r>
        <w:rPr>
          <w:color w:val="231F20"/>
          <w:w w:val="110"/>
        </w:rPr>
        <w:t>que</w:t>
      </w:r>
      <w:r>
        <w:rPr>
          <w:color w:val="231F20"/>
          <w:spacing w:val="-14"/>
          <w:w w:val="110"/>
        </w:rPr>
        <w:t> </w:t>
      </w:r>
      <w:r>
        <w:rPr>
          <w:color w:val="231F20"/>
          <w:w w:val="110"/>
        </w:rPr>
        <w:t>esta</w:t>
      </w:r>
      <w:r>
        <w:rPr>
          <w:color w:val="231F20"/>
          <w:spacing w:val="-14"/>
          <w:w w:val="110"/>
        </w:rPr>
        <w:t> </w:t>
      </w:r>
      <w:r>
        <w:rPr>
          <w:color w:val="231F20"/>
          <w:w w:val="110"/>
        </w:rPr>
        <w:t>situación</w:t>
      </w:r>
      <w:r>
        <w:rPr>
          <w:color w:val="231F20"/>
          <w:spacing w:val="-14"/>
          <w:w w:val="110"/>
        </w:rPr>
        <w:t> </w:t>
      </w:r>
      <w:r>
        <w:rPr>
          <w:color w:val="231F20"/>
          <w:w w:val="110"/>
        </w:rPr>
        <w:t>específica se haya presentado en Japón, no implica que este tipo de escenario con todas sus características, a </w:t>
      </w:r>
      <w:r>
        <w:rPr>
          <w:color w:val="231F20"/>
          <w:spacing w:val="-3"/>
          <w:w w:val="110"/>
        </w:rPr>
        <w:t>saber, </w:t>
      </w:r>
      <w:r>
        <w:rPr>
          <w:color w:val="231F20"/>
          <w:w w:val="110"/>
        </w:rPr>
        <w:t>masiva expansión de la deuda pública, desapalancamiento del sector privado en un entorno de bajas tasas de interés y cercano a la deflación, se repita en Estados Unidos. Sin embargo, la reciente evolución de varios indicadores macroeconómicos apuntan de forma creciente a que éste sea posi- blemente el caso. En la tercera y última sección de este artículo se estudia cómo los cambios estructurales que están teniendo lugar en la</w:t>
      </w:r>
      <w:r>
        <w:rPr>
          <w:color w:val="231F20"/>
          <w:spacing w:val="32"/>
          <w:w w:val="110"/>
        </w:rPr>
        <w:t> </w:t>
      </w:r>
      <w:r>
        <w:rPr>
          <w:color w:val="231F20"/>
          <w:w w:val="110"/>
        </w:rPr>
        <w:t>economía</w:t>
      </w:r>
      <w:r>
        <w:rPr>
          <w:color w:val="231F20"/>
          <w:spacing w:val="32"/>
          <w:w w:val="110"/>
        </w:rPr>
        <w:t> </w:t>
      </w:r>
      <w:r>
        <w:rPr>
          <w:color w:val="231F20"/>
          <w:w w:val="110"/>
        </w:rPr>
        <w:t>estadunidense,</w:t>
      </w:r>
      <w:r>
        <w:rPr>
          <w:color w:val="231F20"/>
          <w:spacing w:val="32"/>
          <w:w w:val="110"/>
        </w:rPr>
        <w:t> </w:t>
      </w:r>
      <w:r>
        <w:rPr>
          <w:color w:val="231F20"/>
          <w:w w:val="110"/>
        </w:rPr>
        <w:t>producto</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crisis</w:t>
      </w:r>
      <w:r>
        <w:rPr>
          <w:color w:val="231F20"/>
          <w:spacing w:val="32"/>
          <w:w w:val="110"/>
        </w:rPr>
        <w:t> </w:t>
      </w:r>
      <w:r>
        <w:rPr>
          <w:color w:val="231F20"/>
          <w:w w:val="110"/>
        </w:rPr>
        <w:t>financiera,</w:t>
      </w:r>
      <w:r>
        <w:rPr>
          <w:color w:val="231F20"/>
          <w:spacing w:val="32"/>
          <w:w w:val="110"/>
        </w:rPr>
        <w:t> </w:t>
      </w:r>
      <w:r>
        <w:rPr>
          <w:color w:val="231F20"/>
          <w:w w:val="110"/>
        </w:rPr>
        <w:t>están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transfigurando el esquema de financiamiento del déficit fiscal esta- dunidense, y las implicaciones de esta transformación para el</w:t>
      </w:r>
      <w:r>
        <w:rPr>
          <w:color w:val="231F20"/>
          <w:spacing w:val="54"/>
          <w:w w:val="110"/>
        </w:rPr>
        <w:t> </w:t>
      </w:r>
      <w:r>
        <w:rPr>
          <w:color w:val="231F20"/>
          <w:spacing w:val="-3"/>
          <w:w w:val="110"/>
        </w:rPr>
        <w:t>dólar.</w:t>
      </w:r>
    </w:p>
    <w:p>
      <w:pPr>
        <w:pStyle w:val="BodyText"/>
      </w:pPr>
    </w:p>
    <w:p>
      <w:pPr>
        <w:pStyle w:val="BodyText"/>
      </w:pPr>
    </w:p>
    <w:p>
      <w:pPr>
        <w:pStyle w:val="BodyText"/>
        <w:spacing w:before="2"/>
        <w:rPr>
          <w:sz w:val="25"/>
        </w:rPr>
      </w:pPr>
    </w:p>
    <w:p>
      <w:pPr>
        <w:pStyle w:val="BodyText"/>
        <w:ind w:left="100"/>
        <w:jc w:val="both"/>
      </w:pPr>
      <w:r>
        <w:rPr>
          <w:color w:val="231F20"/>
          <w:w w:val="125"/>
        </w:rPr>
        <w:t>hojas de balance, déficit y el  dólar</w:t>
      </w:r>
    </w:p>
    <w:p>
      <w:pPr>
        <w:pStyle w:val="BodyText"/>
        <w:spacing w:before="5"/>
        <w:rPr>
          <w:sz w:val="23"/>
        </w:rPr>
      </w:pPr>
    </w:p>
    <w:p>
      <w:pPr>
        <w:pStyle w:val="BodyText"/>
        <w:spacing w:line="261" w:lineRule="auto"/>
        <w:ind w:left="100" w:right="117"/>
        <w:jc w:val="both"/>
      </w:pPr>
      <w:r>
        <w:rPr>
          <w:color w:val="231F20"/>
          <w:w w:val="110"/>
        </w:rPr>
        <w:t>La</w:t>
      </w:r>
      <w:r>
        <w:rPr>
          <w:color w:val="231F20"/>
          <w:spacing w:val="-9"/>
          <w:w w:val="110"/>
        </w:rPr>
        <w:t> </w:t>
      </w:r>
      <w:r>
        <w:rPr>
          <w:color w:val="231F20"/>
          <w:w w:val="110"/>
        </w:rPr>
        <w:t>reciente</w:t>
      </w:r>
      <w:r>
        <w:rPr>
          <w:color w:val="231F20"/>
          <w:spacing w:val="-9"/>
          <w:w w:val="110"/>
        </w:rPr>
        <w:t> </w:t>
      </w:r>
      <w:r>
        <w:rPr>
          <w:color w:val="231F20"/>
          <w:w w:val="110"/>
        </w:rPr>
        <w:t>crisis</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puede</w:t>
      </w:r>
      <w:r>
        <w:rPr>
          <w:color w:val="231F20"/>
          <w:spacing w:val="-9"/>
          <w:w w:val="110"/>
        </w:rPr>
        <w:t> </w:t>
      </w:r>
      <w:r>
        <w:rPr>
          <w:color w:val="231F20"/>
          <w:w w:val="110"/>
        </w:rPr>
        <w:t>ser</w:t>
      </w:r>
      <w:r>
        <w:rPr>
          <w:color w:val="231F20"/>
          <w:spacing w:val="-9"/>
          <w:w w:val="110"/>
        </w:rPr>
        <w:t> </w:t>
      </w:r>
      <w:r>
        <w:rPr>
          <w:color w:val="231F20"/>
          <w:w w:val="110"/>
        </w:rPr>
        <w:t>definida</w:t>
      </w:r>
      <w:r>
        <w:rPr>
          <w:color w:val="231F20"/>
          <w:spacing w:val="-9"/>
          <w:w w:val="110"/>
        </w:rPr>
        <w:t> </w:t>
      </w:r>
      <w:r>
        <w:rPr>
          <w:color w:val="231F20"/>
          <w:w w:val="110"/>
        </w:rPr>
        <w:t>como</w:t>
      </w:r>
      <w:r>
        <w:rPr>
          <w:color w:val="231F20"/>
          <w:spacing w:val="-9"/>
          <w:w w:val="110"/>
        </w:rPr>
        <w:t> </w:t>
      </w:r>
      <w:r>
        <w:rPr>
          <w:color w:val="231F20"/>
          <w:w w:val="110"/>
        </w:rPr>
        <w:t>una típica recesión de hoja de balance. </w:t>
      </w:r>
      <w:r>
        <w:rPr>
          <w:color w:val="231F20"/>
          <w:spacing w:val="-5"/>
          <w:w w:val="110"/>
        </w:rPr>
        <w:t>Tras </w:t>
      </w:r>
      <w:r>
        <w:rPr>
          <w:color w:val="231F20"/>
          <w:w w:val="110"/>
        </w:rPr>
        <w:t>una época de bonanza, en la cual la acelerada acumulación de deuda se veía validada por un alza similar</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precios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activos</w:t>
      </w:r>
      <w:r>
        <w:rPr>
          <w:color w:val="231F20"/>
          <w:spacing w:val="-5"/>
          <w:w w:val="110"/>
        </w:rPr>
        <w:t> </w:t>
      </w:r>
      <w:r>
        <w:rPr>
          <w:color w:val="231F20"/>
          <w:w w:val="110"/>
        </w:rPr>
        <w:t>financieros,</w:t>
      </w:r>
      <w:r>
        <w:rPr>
          <w:color w:val="231F20"/>
          <w:spacing w:val="-5"/>
          <w:w w:val="110"/>
        </w:rPr>
        <w:t> </w:t>
      </w:r>
      <w:r>
        <w:rPr>
          <w:color w:val="231F20"/>
          <w:w w:val="110"/>
        </w:rPr>
        <w:t>el</w:t>
      </w:r>
      <w:r>
        <w:rPr>
          <w:color w:val="231F20"/>
          <w:spacing w:val="-5"/>
          <w:w w:val="110"/>
        </w:rPr>
        <w:t> </w:t>
      </w:r>
      <w:r>
        <w:rPr>
          <w:color w:val="231F20"/>
          <w:w w:val="110"/>
        </w:rPr>
        <w:t>sector</w:t>
      </w:r>
      <w:r>
        <w:rPr>
          <w:color w:val="231F20"/>
          <w:spacing w:val="-5"/>
          <w:w w:val="110"/>
        </w:rPr>
        <w:t> </w:t>
      </w:r>
      <w:r>
        <w:rPr>
          <w:color w:val="231F20"/>
          <w:w w:val="110"/>
        </w:rPr>
        <w:t>privado</w:t>
      </w:r>
      <w:r>
        <w:rPr>
          <w:color w:val="231F20"/>
          <w:spacing w:val="-5"/>
          <w:w w:val="110"/>
        </w:rPr>
        <w:t> </w:t>
      </w:r>
      <w:r>
        <w:rPr>
          <w:color w:val="231F20"/>
          <w:w w:val="110"/>
        </w:rPr>
        <w:t>es- tadunidense ha quedado en una situación altamente comprometida tras el colapso de la burbuja. La capacidad de hogares y corporacio- nes de refinanciar sus posiciones se ha visto erosionada tanto por    la caída de sus ingresos, asociada al alto desempleo en el caso de hogares y contracción del consumo final en el caso de corporacio- nes, como por la caída del valor de los activos financieros. En total se estima que las pérdidas de activos financieros y valor de hogares en Estados Unidos entre 2008 y 2009 se acerca a los 9 millones de millones</w:t>
      </w:r>
      <w:r>
        <w:rPr>
          <w:color w:val="231F20"/>
          <w:spacing w:val="-18"/>
          <w:w w:val="110"/>
        </w:rPr>
        <w:t> </w:t>
      </w:r>
      <w:r>
        <w:rPr>
          <w:color w:val="231F20"/>
          <w:w w:val="110"/>
        </w:rPr>
        <w:t>de</w:t>
      </w:r>
      <w:r>
        <w:rPr>
          <w:color w:val="231F20"/>
          <w:spacing w:val="-18"/>
          <w:w w:val="110"/>
        </w:rPr>
        <w:t> </w:t>
      </w:r>
      <w:r>
        <w:rPr>
          <w:color w:val="231F20"/>
          <w:w w:val="110"/>
        </w:rPr>
        <w:t>dólares</w:t>
      </w:r>
      <w:r>
        <w:rPr>
          <w:color w:val="231F20"/>
          <w:spacing w:val="-18"/>
          <w:w w:val="110"/>
        </w:rPr>
        <w:t> </w:t>
      </w:r>
      <w:r>
        <w:rPr>
          <w:color w:val="231F20"/>
          <w:w w:val="110"/>
        </w:rPr>
        <w:t>(McKinsey,</w:t>
      </w:r>
      <w:r>
        <w:rPr>
          <w:color w:val="231F20"/>
          <w:spacing w:val="-18"/>
          <w:w w:val="110"/>
        </w:rPr>
        <w:t> </w:t>
      </w:r>
      <w:r>
        <w:rPr>
          <w:color w:val="231F20"/>
          <w:w w:val="110"/>
        </w:rPr>
        <w:t>2009).</w:t>
      </w:r>
    </w:p>
    <w:p>
      <w:pPr>
        <w:pStyle w:val="BodyText"/>
        <w:spacing w:line="261" w:lineRule="auto"/>
        <w:ind w:left="100" w:right="117" w:firstLine="240"/>
        <w:jc w:val="both"/>
      </w:pP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a</w:t>
      </w:r>
      <w:r>
        <w:rPr>
          <w:color w:val="231F20"/>
          <w:spacing w:val="-8"/>
          <w:w w:val="110"/>
        </w:rPr>
        <w:t> </w:t>
      </w:r>
      <w:r>
        <w:rPr>
          <w:color w:val="231F20"/>
          <w:w w:val="110"/>
        </w:rPr>
        <w:t>pesar</w:t>
      </w:r>
      <w:r>
        <w:rPr>
          <w:color w:val="231F20"/>
          <w:spacing w:val="-8"/>
          <w:w w:val="110"/>
        </w:rPr>
        <w:t> </w:t>
      </w:r>
      <w:r>
        <w:rPr>
          <w:color w:val="231F20"/>
          <w:w w:val="110"/>
        </w:rPr>
        <w:t>del</w:t>
      </w:r>
      <w:r>
        <w:rPr>
          <w:color w:val="231F20"/>
          <w:spacing w:val="-8"/>
          <w:w w:val="110"/>
        </w:rPr>
        <w:t> </w:t>
      </w:r>
      <w:r>
        <w:rPr>
          <w:color w:val="231F20"/>
          <w:w w:val="110"/>
        </w:rPr>
        <w:t>colapso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riqueza</w:t>
      </w:r>
      <w:r>
        <w:rPr>
          <w:color w:val="231F20"/>
          <w:spacing w:val="-8"/>
          <w:w w:val="110"/>
        </w:rPr>
        <w:t> </w:t>
      </w:r>
      <w:r>
        <w:rPr>
          <w:color w:val="231F20"/>
          <w:w w:val="110"/>
        </w:rPr>
        <w:t>financiera,</w:t>
      </w:r>
      <w:r>
        <w:rPr>
          <w:color w:val="231F20"/>
          <w:spacing w:val="-8"/>
          <w:w w:val="110"/>
        </w:rPr>
        <w:t> </w:t>
      </w:r>
      <w:r>
        <w:rPr>
          <w:color w:val="231F20"/>
          <w:w w:val="110"/>
        </w:rPr>
        <w:t>las</w:t>
      </w:r>
      <w:r>
        <w:rPr>
          <w:color w:val="231F20"/>
          <w:spacing w:val="-8"/>
          <w:w w:val="110"/>
        </w:rPr>
        <w:t> </w:t>
      </w:r>
      <w:r>
        <w:rPr>
          <w:color w:val="231F20"/>
          <w:w w:val="110"/>
        </w:rPr>
        <w:t>obli- gaciones</w:t>
      </w:r>
      <w:r>
        <w:rPr>
          <w:color w:val="231F20"/>
          <w:spacing w:val="-8"/>
          <w:w w:val="110"/>
        </w:rPr>
        <w:t> </w:t>
      </w:r>
      <w:r>
        <w:rPr>
          <w:color w:val="231F20"/>
          <w:w w:val="110"/>
        </w:rPr>
        <w:t>derivadas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compromisos</w:t>
      </w:r>
      <w:r>
        <w:rPr>
          <w:color w:val="231F20"/>
          <w:spacing w:val="-8"/>
          <w:w w:val="110"/>
        </w:rPr>
        <w:t> </w:t>
      </w:r>
      <w:r>
        <w:rPr>
          <w:color w:val="231F20"/>
          <w:w w:val="110"/>
        </w:rPr>
        <w:t>financieros</w:t>
      </w:r>
      <w:r>
        <w:rPr>
          <w:color w:val="231F20"/>
          <w:spacing w:val="-8"/>
          <w:w w:val="110"/>
        </w:rPr>
        <w:t> </w:t>
      </w:r>
      <w:r>
        <w:rPr>
          <w:color w:val="231F20"/>
          <w:w w:val="110"/>
        </w:rPr>
        <w:t>adquiridos</w:t>
      </w:r>
      <w:r>
        <w:rPr>
          <w:color w:val="231F20"/>
          <w:spacing w:val="-8"/>
          <w:w w:val="110"/>
        </w:rPr>
        <w:t> </w:t>
      </w:r>
      <w:r>
        <w:rPr>
          <w:color w:val="231F20"/>
          <w:w w:val="110"/>
        </w:rPr>
        <w:t>por</w:t>
      </w:r>
      <w:r>
        <w:rPr>
          <w:color w:val="231F20"/>
          <w:spacing w:val="-8"/>
          <w:w w:val="110"/>
        </w:rPr>
        <w:t> </w:t>
      </w:r>
      <w:r>
        <w:rPr>
          <w:color w:val="231F20"/>
          <w:w w:val="110"/>
        </w:rPr>
        <w:t>el sector privado durante los últimos tiempos, permanecen invariables. A lo largo del último decenio, la deuda como porcentaje del ingreso disponible de los hogares creció de forma sostenida hasta alcanzar 128% en el pico de la crisis de 2008. Por otra parte, la distribución de esta deuda no es similar entre los diferentes grupos de ingreso de la sociedad estadunidense. Si se analiza esta distribución por quinti- les de ingreso, los 3 grupos con mayores niveles de deuda respecto  a su ingreso son los que representan la llamada clase media que comprende a los grupos de 40 a 90% del ingreso. En este grupo la deuda como porcentaje del ingreso alcanza el 150%. Esto en térmi- nos prácticos implica que un hogar promedio allí incluido, destina alrededor de 20% de sus ingresos al servicio de sus obligaciones </w:t>
      </w:r>
      <w:r>
        <w:rPr>
          <w:color w:val="231F20"/>
          <w:w w:val="105"/>
        </w:rPr>
        <w:t>financieras (McKinsey,</w:t>
      </w:r>
      <w:r>
        <w:rPr>
          <w:color w:val="231F20"/>
          <w:spacing w:val="29"/>
          <w:w w:val="105"/>
        </w:rPr>
        <w:t> </w:t>
      </w:r>
      <w:r>
        <w:rPr>
          <w:color w:val="231F20"/>
          <w:w w:val="105"/>
        </w:rPr>
        <w:t>2010).</w:t>
      </w:r>
    </w:p>
    <w:p>
      <w:pPr>
        <w:pStyle w:val="BodyText"/>
        <w:spacing w:line="261" w:lineRule="auto"/>
        <w:ind w:left="100" w:right="119" w:firstLine="240"/>
        <w:jc w:val="both"/>
      </w:pPr>
      <w:r>
        <w:rPr>
          <w:color w:val="231F20"/>
          <w:w w:val="110"/>
        </w:rPr>
        <w:t>Este</w:t>
      </w:r>
      <w:r>
        <w:rPr>
          <w:color w:val="231F20"/>
          <w:spacing w:val="-7"/>
          <w:w w:val="110"/>
        </w:rPr>
        <w:t> </w:t>
      </w:r>
      <w:r>
        <w:rPr>
          <w:color w:val="231F20"/>
          <w:w w:val="110"/>
        </w:rPr>
        <w:t>no</w:t>
      </w:r>
      <w:r>
        <w:rPr>
          <w:color w:val="231F20"/>
          <w:spacing w:val="-7"/>
          <w:w w:val="110"/>
        </w:rPr>
        <w:t> </w:t>
      </w:r>
      <w:r>
        <w:rPr>
          <w:color w:val="231F20"/>
          <w:w w:val="110"/>
        </w:rPr>
        <w:t>es</w:t>
      </w:r>
      <w:r>
        <w:rPr>
          <w:color w:val="231F20"/>
          <w:spacing w:val="-7"/>
          <w:w w:val="110"/>
        </w:rPr>
        <w:t> </w:t>
      </w:r>
      <w:r>
        <w:rPr>
          <w:color w:val="231F20"/>
          <w:w w:val="110"/>
        </w:rPr>
        <w:t>un</w:t>
      </w:r>
      <w:r>
        <w:rPr>
          <w:color w:val="231F20"/>
          <w:spacing w:val="-7"/>
          <w:w w:val="110"/>
        </w:rPr>
        <w:t> </w:t>
      </w:r>
      <w:r>
        <w:rPr>
          <w:color w:val="231F20"/>
          <w:w w:val="110"/>
        </w:rPr>
        <w:t>dato</w:t>
      </w:r>
      <w:r>
        <w:rPr>
          <w:color w:val="231F20"/>
          <w:spacing w:val="-7"/>
          <w:w w:val="110"/>
        </w:rPr>
        <w:t> </w:t>
      </w:r>
      <w:r>
        <w:rPr>
          <w:color w:val="231F20"/>
          <w:w w:val="110"/>
        </w:rPr>
        <w:t>menor</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sentido</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como</w:t>
      </w:r>
      <w:r>
        <w:rPr>
          <w:color w:val="231F20"/>
          <w:spacing w:val="-7"/>
          <w:w w:val="110"/>
        </w:rPr>
        <w:t> </w:t>
      </w:r>
      <w:r>
        <w:rPr>
          <w:color w:val="231F20"/>
          <w:w w:val="110"/>
        </w:rPr>
        <w:t>es</w:t>
      </w:r>
      <w:r>
        <w:rPr>
          <w:color w:val="231F20"/>
          <w:spacing w:val="-7"/>
          <w:w w:val="110"/>
        </w:rPr>
        <w:t> </w:t>
      </w:r>
      <w:r>
        <w:rPr>
          <w:color w:val="231F20"/>
          <w:w w:val="110"/>
        </w:rPr>
        <w:t>bien</w:t>
      </w:r>
      <w:r>
        <w:rPr>
          <w:color w:val="231F20"/>
          <w:spacing w:val="-7"/>
          <w:w w:val="110"/>
        </w:rPr>
        <w:t> </w:t>
      </w:r>
      <w:r>
        <w:rPr>
          <w:color w:val="231F20"/>
          <w:w w:val="110"/>
        </w:rPr>
        <w:t>cono- cido, el consumo privado representa 85% de la economía de</w:t>
      </w:r>
      <w:r>
        <w:rPr>
          <w:color w:val="231F20"/>
          <w:spacing w:val="-38"/>
          <w:w w:val="110"/>
        </w:rPr>
        <w:t> </w:t>
      </w:r>
      <w:r>
        <w:rPr>
          <w:color w:val="231F20"/>
          <w:w w:val="110"/>
        </w:rPr>
        <w:t>Estados Unidos. En la medida en que el principal grupo de consumidores</w:t>
      </w:r>
      <w:r>
        <w:rPr>
          <w:color w:val="231F20"/>
          <w:spacing w:val="-33"/>
          <w:w w:val="110"/>
        </w:rPr>
        <w:t> </w:t>
      </w:r>
      <w:r>
        <w:rPr>
          <w:color w:val="231F20"/>
          <w:spacing w:val="-2"/>
          <w:w w:val="110"/>
        </w:rPr>
        <w:t>sea </w:t>
      </w:r>
      <w:r>
        <w:rPr>
          <w:color w:val="231F20"/>
          <w:w w:val="110"/>
        </w:rPr>
        <w:t>incapaz de mantener los actuales niveles de consumo, acechados</w:t>
      </w:r>
      <w:r>
        <w:rPr>
          <w:color w:val="231F20"/>
          <w:spacing w:val="-34"/>
          <w:w w:val="110"/>
        </w:rPr>
        <w:t> </w:t>
      </w:r>
      <w:r>
        <w:rPr>
          <w:color w:val="231F20"/>
          <w:spacing w:val="-2"/>
          <w:w w:val="110"/>
        </w:rPr>
        <w:t>por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un</w:t>
      </w:r>
      <w:r>
        <w:rPr>
          <w:color w:val="231F20"/>
          <w:spacing w:val="-9"/>
          <w:w w:val="110"/>
        </w:rPr>
        <w:t> </w:t>
      </w:r>
      <w:r>
        <w:rPr>
          <w:color w:val="231F20"/>
          <w:w w:val="110"/>
        </w:rPr>
        <w:t>lado</w:t>
      </w:r>
      <w:r>
        <w:rPr>
          <w:color w:val="231F20"/>
          <w:spacing w:val="-9"/>
          <w:w w:val="110"/>
        </w:rPr>
        <w:t> </w:t>
      </w:r>
      <w:r>
        <w:rPr>
          <w:color w:val="231F20"/>
          <w:w w:val="110"/>
        </w:rPr>
        <w:t>por</w:t>
      </w:r>
      <w:r>
        <w:rPr>
          <w:color w:val="231F20"/>
          <w:spacing w:val="-9"/>
          <w:w w:val="110"/>
        </w:rPr>
        <w:t> </w:t>
      </w:r>
      <w:r>
        <w:rPr>
          <w:color w:val="231F20"/>
          <w:w w:val="110"/>
        </w:rPr>
        <w:t>los</w:t>
      </w:r>
      <w:r>
        <w:rPr>
          <w:color w:val="231F20"/>
          <w:spacing w:val="-9"/>
          <w:w w:val="110"/>
        </w:rPr>
        <w:t> </w:t>
      </w:r>
      <w:r>
        <w:rPr>
          <w:color w:val="231F20"/>
          <w:w w:val="110"/>
        </w:rPr>
        <w:t>altos</w:t>
      </w:r>
      <w:r>
        <w:rPr>
          <w:color w:val="231F20"/>
          <w:spacing w:val="-9"/>
          <w:w w:val="110"/>
        </w:rPr>
        <w:t> </w:t>
      </w:r>
      <w:r>
        <w:rPr>
          <w:color w:val="231F20"/>
          <w:w w:val="110"/>
        </w:rPr>
        <w:t>niveles</w:t>
      </w:r>
      <w:r>
        <w:rPr>
          <w:color w:val="231F20"/>
          <w:spacing w:val="-9"/>
          <w:w w:val="110"/>
        </w:rPr>
        <w:t> </w:t>
      </w:r>
      <w:r>
        <w:rPr>
          <w:color w:val="231F20"/>
          <w:w w:val="110"/>
        </w:rPr>
        <w:t>de</w:t>
      </w:r>
      <w:r>
        <w:rPr>
          <w:color w:val="231F20"/>
          <w:spacing w:val="-9"/>
          <w:w w:val="110"/>
        </w:rPr>
        <w:t> </w:t>
      </w:r>
      <w:r>
        <w:rPr>
          <w:color w:val="231F20"/>
          <w:w w:val="110"/>
        </w:rPr>
        <w:t>desempleo</w:t>
      </w:r>
      <w:r>
        <w:rPr>
          <w:color w:val="231F20"/>
          <w:spacing w:val="-9"/>
          <w:w w:val="110"/>
        </w:rPr>
        <w:t> </w:t>
      </w:r>
      <w:r>
        <w:rPr>
          <w:color w:val="231F20"/>
          <w:w w:val="110"/>
        </w:rPr>
        <w:t>y</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otro</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incapa- cidad de acceder al crédito, la economía estadunidense enfrenta </w:t>
      </w:r>
      <w:r>
        <w:rPr>
          <w:color w:val="231F20"/>
          <w:spacing w:val="-2"/>
          <w:w w:val="110"/>
        </w:rPr>
        <w:t>una </w:t>
      </w:r>
      <w:r>
        <w:rPr>
          <w:color w:val="231F20"/>
          <w:w w:val="110"/>
        </w:rPr>
        <w:t>disyuntiva</w:t>
      </w:r>
      <w:r>
        <w:rPr>
          <w:color w:val="231F20"/>
          <w:spacing w:val="-16"/>
          <w:w w:val="110"/>
        </w:rPr>
        <w:t> </w:t>
      </w:r>
      <w:r>
        <w:rPr>
          <w:color w:val="231F20"/>
          <w:w w:val="110"/>
        </w:rPr>
        <w:t>similar</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economía</w:t>
      </w:r>
      <w:r>
        <w:rPr>
          <w:color w:val="231F20"/>
          <w:spacing w:val="-16"/>
          <w:w w:val="110"/>
        </w:rPr>
        <w:t> </w:t>
      </w:r>
      <w:r>
        <w:rPr>
          <w:color w:val="231F20"/>
          <w:w w:val="110"/>
        </w:rPr>
        <w:t>japonesa</w:t>
      </w:r>
      <w:r>
        <w:rPr>
          <w:color w:val="231F20"/>
          <w:spacing w:val="-16"/>
          <w:w w:val="110"/>
        </w:rPr>
        <w:t> </w:t>
      </w:r>
      <w:r>
        <w:rPr>
          <w:color w:val="231F20"/>
          <w:w w:val="110"/>
        </w:rPr>
        <w:t>al</w:t>
      </w:r>
      <w:r>
        <w:rPr>
          <w:color w:val="231F20"/>
          <w:spacing w:val="-16"/>
          <w:w w:val="110"/>
        </w:rPr>
        <w:t> </w:t>
      </w:r>
      <w:r>
        <w:rPr>
          <w:color w:val="231F20"/>
          <w:w w:val="110"/>
        </w:rPr>
        <w:t>carecer</w:t>
      </w:r>
      <w:r>
        <w:rPr>
          <w:color w:val="231F20"/>
          <w:spacing w:val="-16"/>
          <w:w w:val="110"/>
        </w:rPr>
        <w:t> </w:t>
      </w:r>
      <w:r>
        <w:rPr>
          <w:color w:val="231F20"/>
          <w:w w:val="110"/>
        </w:rPr>
        <w:t>de</w:t>
      </w:r>
      <w:r>
        <w:rPr>
          <w:color w:val="231F20"/>
          <w:spacing w:val="-16"/>
          <w:w w:val="110"/>
        </w:rPr>
        <w:t> </w:t>
      </w:r>
      <w:r>
        <w:rPr>
          <w:color w:val="231F20"/>
          <w:w w:val="110"/>
        </w:rPr>
        <w:t>un</w:t>
      </w:r>
      <w:r>
        <w:rPr>
          <w:color w:val="231F20"/>
          <w:spacing w:val="-16"/>
          <w:w w:val="110"/>
        </w:rPr>
        <w:t> </w:t>
      </w:r>
      <w:r>
        <w:rPr>
          <w:color w:val="231F20"/>
          <w:w w:val="110"/>
        </w:rPr>
        <w:t>motor endógeno de crecimiento. El problema no sólo consiste en el gran número de créditos irredimibles que aún se encuentran en las hojas de</w:t>
      </w:r>
      <w:r>
        <w:rPr>
          <w:color w:val="231F20"/>
          <w:spacing w:val="-17"/>
          <w:w w:val="110"/>
        </w:rPr>
        <w:t> </w:t>
      </w:r>
      <w:r>
        <w:rPr>
          <w:color w:val="231F20"/>
          <w:w w:val="110"/>
        </w:rPr>
        <w:t>balance</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bancos,</w:t>
      </w:r>
      <w:r>
        <w:rPr>
          <w:color w:val="231F20"/>
          <w:spacing w:val="-17"/>
          <w:w w:val="110"/>
        </w:rPr>
        <w:t> </w:t>
      </w:r>
      <w:r>
        <w:rPr>
          <w:color w:val="231F20"/>
          <w:w w:val="110"/>
        </w:rPr>
        <w:t>sino</w:t>
      </w:r>
      <w:r>
        <w:rPr>
          <w:color w:val="231F20"/>
          <w:spacing w:val="-17"/>
          <w:w w:val="110"/>
        </w:rPr>
        <w:t> </w:t>
      </w:r>
      <w:r>
        <w:rPr>
          <w:color w:val="231F20"/>
          <w:w w:val="110"/>
        </w:rPr>
        <w:t>también</w:t>
      </w:r>
      <w:r>
        <w:rPr>
          <w:color w:val="231F20"/>
          <w:spacing w:val="-17"/>
          <w:w w:val="110"/>
        </w:rPr>
        <w:t> </w:t>
      </w:r>
      <w:r>
        <w:rPr>
          <w:color w:val="231F20"/>
          <w:w w:val="110"/>
        </w:rPr>
        <w:t>en</w:t>
      </w:r>
      <w:r>
        <w:rPr>
          <w:color w:val="231F20"/>
          <w:spacing w:val="-17"/>
          <w:w w:val="110"/>
        </w:rPr>
        <w:t> </w:t>
      </w:r>
      <w:r>
        <w:rPr>
          <w:color w:val="231F20"/>
          <w:w w:val="110"/>
        </w:rPr>
        <w:t>que</w:t>
      </w:r>
      <w:r>
        <w:rPr>
          <w:color w:val="231F20"/>
          <w:spacing w:val="-17"/>
          <w:w w:val="110"/>
        </w:rPr>
        <w:t> </w:t>
      </w:r>
      <w:r>
        <w:rPr>
          <w:color w:val="231F20"/>
          <w:w w:val="110"/>
        </w:rPr>
        <w:t>los</w:t>
      </w:r>
      <w:r>
        <w:rPr>
          <w:color w:val="231F20"/>
          <w:spacing w:val="-17"/>
          <w:w w:val="110"/>
        </w:rPr>
        <w:t> </w:t>
      </w:r>
      <w:r>
        <w:rPr>
          <w:color w:val="231F20"/>
          <w:w w:val="110"/>
        </w:rPr>
        <w:t>hogares</w:t>
      </w:r>
      <w:r>
        <w:rPr>
          <w:color w:val="231F20"/>
          <w:spacing w:val="-17"/>
          <w:w w:val="110"/>
        </w:rPr>
        <w:t> </w:t>
      </w:r>
      <w:r>
        <w:rPr>
          <w:color w:val="231F20"/>
          <w:w w:val="110"/>
        </w:rPr>
        <w:t>representan la mayor fuente de riqueza financiera de la población de los Estados Unidos.</w:t>
      </w:r>
      <w:r>
        <w:rPr>
          <w:color w:val="231F20"/>
          <w:spacing w:val="-23"/>
          <w:w w:val="110"/>
        </w:rPr>
        <w:t> </w:t>
      </w:r>
      <w:r>
        <w:rPr>
          <w:color w:val="231F20"/>
          <w:w w:val="110"/>
        </w:rPr>
        <w:t>De</w:t>
      </w:r>
      <w:r>
        <w:rPr>
          <w:color w:val="231F20"/>
          <w:spacing w:val="-23"/>
          <w:w w:val="110"/>
        </w:rPr>
        <w:t> </w:t>
      </w:r>
      <w:r>
        <w:rPr>
          <w:color w:val="231F20"/>
          <w:w w:val="110"/>
        </w:rPr>
        <w:t>esta</w:t>
      </w:r>
      <w:r>
        <w:rPr>
          <w:color w:val="231F20"/>
          <w:spacing w:val="-23"/>
          <w:w w:val="110"/>
        </w:rPr>
        <w:t> </w:t>
      </w:r>
      <w:r>
        <w:rPr>
          <w:color w:val="231F20"/>
          <w:w w:val="110"/>
        </w:rPr>
        <w:t>forma,</w:t>
      </w:r>
      <w:r>
        <w:rPr>
          <w:color w:val="231F20"/>
          <w:spacing w:val="-23"/>
          <w:w w:val="110"/>
        </w:rPr>
        <w:t> </w:t>
      </w:r>
      <w:r>
        <w:rPr>
          <w:color w:val="231F20"/>
          <w:w w:val="110"/>
        </w:rPr>
        <w:t>la</w:t>
      </w:r>
      <w:r>
        <w:rPr>
          <w:color w:val="231F20"/>
          <w:spacing w:val="-23"/>
          <w:w w:val="110"/>
        </w:rPr>
        <w:t> </w:t>
      </w:r>
      <w:r>
        <w:rPr>
          <w:color w:val="231F20"/>
          <w:w w:val="110"/>
        </w:rPr>
        <w:t>caída</w:t>
      </w:r>
      <w:r>
        <w:rPr>
          <w:color w:val="231F20"/>
          <w:spacing w:val="-23"/>
          <w:w w:val="110"/>
        </w:rPr>
        <w:t> </w:t>
      </w:r>
      <w:r>
        <w:rPr>
          <w:color w:val="231F20"/>
          <w:w w:val="110"/>
        </w:rPr>
        <w:t>nacional</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precios</w:t>
      </w:r>
      <w:r>
        <w:rPr>
          <w:color w:val="231F20"/>
          <w:spacing w:val="-23"/>
          <w:w w:val="110"/>
        </w:rPr>
        <w:t> </w:t>
      </w:r>
      <w:r>
        <w:rPr>
          <w:color w:val="231F20"/>
          <w:w w:val="110"/>
        </w:rPr>
        <w:t>de</w:t>
      </w:r>
      <w:r>
        <w:rPr>
          <w:color w:val="231F20"/>
          <w:spacing w:val="-23"/>
          <w:w w:val="110"/>
        </w:rPr>
        <w:t> </w:t>
      </w:r>
      <w:r>
        <w:rPr>
          <w:color w:val="231F20"/>
          <w:w w:val="110"/>
        </w:rPr>
        <w:t>bienes</w:t>
      </w:r>
      <w:r>
        <w:rPr>
          <w:color w:val="231F20"/>
          <w:spacing w:val="-23"/>
          <w:w w:val="110"/>
        </w:rPr>
        <w:t> </w:t>
      </w:r>
      <w:r>
        <w:rPr>
          <w:color w:val="231F20"/>
          <w:spacing w:val="-2"/>
          <w:w w:val="110"/>
        </w:rPr>
        <w:t>raíces </w:t>
      </w:r>
      <w:r>
        <w:rPr>
          <w:color w:val="231F20"/>
          <w:w w:val="110"/>
        </w:rPr>
        <w:t>reduce</w:t>
      </w:r>
      <w:r>
        <w:rPr>
          <w:color w:val="231F20"/>
          <w:spacing w:val="-31"/>
          <w:w w:val="110"/>
        </w:rPr>
        <w:t> </w:t>
      </w:r>
      <w:r>
        <w:rPr>
          <w:color w:val="231F20"/>
          <w:w w:val="110"/>
        </w:rPr>
        <w:t>de</w:t>
      </w:r>
      <w:r>
        <w:rPr>
          <w:color w:val="231F20"/>
          <w:spacing w:val="-31"/>
          <w:w w:val="110"/>
        </w:rPr>
        <w:t> </w:t>
      </w:r>
      <w:r>
        <w:rPr>
          <w:color w:val="231F20"/>
          <w:w w:val="110"/>
        </w:rPr>
        <w:t>forma</w:t>
      </w:r>
      <w:r>
        <w:rPr>
          <w:color w:val="231F20"/>
          <w:spacing w:val="-31"/>
          <w:w w:val="110"/>
        </w:rPr>
        <w:t> </w:t>
      </w:r>
      <w:r>
        <w:rPr>
          <w:color w:val="231F20"/>
          <w:w w:val="110"/>
        </w:rPr>
        <w:t>significativa</w:t>
      </w:r>
      <w:r>
        <w:rPr>
          <w:color w:val="231F20"/>
          <w:spacing w:val="-31"/>
          <w:w w:val="110"/>
        </w:rPr>
        <w:t> </w:t>
      </w:r>
      <w:r>
        <w:rPr>
          <w:color w:val="231F20"/>
          <w:w w:val="110"/>
        </w:rPr>
        <w:t>la</w:t>
      </w:r>
      <w:r>
        <w:rPr>
          <w:color w:val="231F20"/>
          <w:spacing w:val="-31"/>
          <w:w w:val="110"/>
        </w:rPr>
        <w:t> </w:t>
      </w:r>
      <w:r>
        <w:rPr>
          <w:color w:val="231F20"/>
          <w:w w:val="110"/>
        </w:rPr>
        <w:t>capacidad</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hogares</w:t>
      </w:r>
      <w:r>
        <w:rPr>
          <w:color w:val="231F20"/>
          <w:spacing w:val="-31"/>
          <w:w w:val="110"/>
        </w:rPr>
        <w:t> </w:t>
      </w:r>
      <w:r>
        <w:rPr>
          <w:color w:val="231F20"/>
          <w:w w:val="110"/>
        </w:rPr>
        <w:t>de</w:t>
      </w:r>
      <w:r>
        <w:rPr>
          <w:color w:val="231F20"/>
          <w:spacing w:val="-31"/>
          <w:w w:val="110"/>
        </w:rPr>
        <w:t> </w:t>
      </w:r>
      <w:r>
        <w:rPr>
          <w:color w:val="231F20"/>
          <w:w w:val="110"/>
        </w:rPr>
        <w:t>refinanciar su</w:t>
      </w:r>
      <w:r>
        <w:rPr>
          <w:color w:val="231F20"/>
          <w:spacing w:val="-30"/>
          <w:w w:val="110"/>
        </w:rPr>
        <w:t> </w:t>
      </w:r>
      <w:r>
        <w:rPr>
          <w:color w:val="231F20"/>
          <w:w w:val="110"/>
        </w:rPr>
        <w:t>posición</w:t>
      </w:r>
      <w:r>
        <w:rPr>
          <w:color w:val="231F20"/>
          <w:spacing w:val="-30"/>
          <w:w w:val="110"/>
        </w:rPr>
        <w:t> </w:t>
      </w:r>
      <w:r>
        <w:rPr>
          <w:color w:val="231F20"/>
          <w:w w:val="110"/>
        </w:rPr>
        <w:t>o</w:t>
      </w:r>
      <w:r>
        <w:rPr>
          <w:color w:val="231F20"/>
          <w:spacing w:val="-30"/>
          <w:w w:val="110"/>
        </w:rPr>
        <w:t> </w:t>
      </w:r>
      <w:r>
        <w:rPr>
          <w:color w:val="231F20"/>
          <w:w w:val="110"/>
        </w:rPr>
        <w:t>acceder</w:t>
      </w:r>
      <w:r>
        <w:rPr>
          <w:color w:val="231F20"/>
          <w:spacing w:val="-30"/>
          <w:w w:val="110"/>
        </w:rPr>
        <w:t> </w:t>
      </w:r>
      <w:r>
        <w:rPr>
          <w:color w:val="231F20"/>
          <w:w w:val="110"/>
        </w:rPr>
        <w:t>a</w:t>
      </w:r>
      <w:r>
        <w:rPr>
          <w:color w:val="231F20"/>
          <w:spacing w:val="-30"/>
          <w:w w:val="110"/>
        </w:rPr>
        <w:t> </w:t>
      </w:r>
      <w:r>
        <w:rPr>
          <w:color w:val="231F20"/>
          <w:w w:val="110"/>
        </w:rPr>
        <w:t>nuevos</w:t>
      </w:r>
      <w:r>
        <w:rPr>
          <w:color w:val="231F20"/>
          <w:spacing w:val="-30"/>
          <w:w w:val="110"/>
        </w:rPr>
        <w:t> </w:t>
      </w:r>
      <w:r>
        <w:rPr>
          <w:color w:val="231F20"/>
          <w:w w:val="110"/>
        </w:rPr>
        <w:t>créditos.</w:t>
      </w:r>
      <w:r>
        <w:rPr>
          <w:color w:val="231F20"/>
          <w:spacing w:val="-30"/>
          <w:w w:val="110"/>
        </w:rPr>
        <w:t> </w:t>
      </w:r>
      <w:r>
        <w:rPr>
          <w:color w:val="231F20"/>
          <w:w w:val="110"/>
        </w:rPr>
        <w:t>Los</w:t>
      </w:r>
      <w:r>
        <w:rPr>
          <w:color w:val="231F20"/>
          <w:spacing w:val="-30"/>
          <w:w w:val="110"/>
        </w:rPr>
        <w:t> </w:t>
      </w:r>
      <w:r>
        <w:rPr>
          <w:color w:val="231F20"/>
          <w:w w:val="110"/>
        </w:rPr>
        <w:t>hogares</w:t>
      </w:r>
      <w:r>
        <w:rPr>
          <w:color w:val="231F20"/>
          <w:spacing w:val="-30"/>
          <w:w w:val="110"/>
        </w:rPr>
        <w:t> </w:t>
      </w:r>
      <w:r>
        <w:rPr>
          <w:color w:val="231F20"/>
          <w:w w:val="110"/>
        </w:rPr>
        <w:t>estadunidenses,</w:t>
      </w:r>
      <w:r>
        <w:rPr>
          <w:color w:val="231F20"/>
          <w:spacing w:val="-30"/>
          <w:w w:val="110"/>
        </w:rPr>
        <w:t> </w:t>
      </w:r>
      <w:r>
        <w:rPr>
          <w:color w:val="231F20"/>
          <w:w w:val="110"/>
        </w:rPr>
        <w:t>al ver</w:t>
      </w:r>
      <w:r>
        <w:rPr>
          <w:color w:val="231F20"/>
          <w:spacing w:val="-12"/>
          <w:w w:val="110"/>
        </w:rPr>
        <w:t> </w:t>
      </w:r>
      <w:r>
        <w:rPr>
          <w:color w:val="231F20"/>
          <w:w w:val="110"/>
        </w:rPr>
        <w:t>reducido</w:t>
      </w:r>
      <w:r>
        <w:rPr>
          <w:color w:val="231F20"/>
          <w:spacing w:val="-12"/>
          <w:w w:val="110"/>
        </w:rPr>
        <w:t> </w:t>
      </w:r>
      <w:r>
        <w:rPr>
          <w:color w:val="231F20"/>
          <w:w w:val="110"/>
        </w:rPr>
        <w:t>su</w:t>
      </w:r>
      <w:r>
        <w:rPr>
          <w:color w:val="231F20"/>
          <w:spacing w:val="-12"/>
          <w:w w:val="110"/>
        </w:rPr>
        <w:t> </w:t>
      </w:r>
      <w:r>
        <w:rPr>
          <w:color w:val="231F20"/>
          <w:w w:val="110"/>
        </w:rPr>
        <w:t>acceso</w:t>
      </w:r>
      <w:r>
        <w:rPr>
          <w:color w:val="231F20"/>
          <w:spacing w:val="-12"/>
          <w:w w:val="110"/>
        </w:rPr>
        <w:t> </w:t>
      </w:r>
      <w:r>
        <w:rPr>
          <w:color w:val="231F20"/>
          <w:w w:val="110"/>
        </w:rPr>
        <w:t>al</w:t>
      </w:r>
      <w:r>
        <w:rPr>
          <w:color w:val="231F20"/>
          <w:spacing w:val="-12"/>
          <w:w w:val="110"/>
        </w:rPr>
        <w:t> </w:t>
      </w:r>
      <w:r>
        <w:rPr>
          <w:color w:val="231F20"/>
          <w:w w:val="110"/>
        </w:rPr>
        <w:t>crédito</w:t>
      </w:r>
      <w:r>
        <w:rPr>
          <w:color w:val="231F20"/>
          <w:spacing w:val="-12"/>
          <w:w w:val="110"/>
        </w:rPr>
        <w:t> </w:t>
      </w:r>
      <w:r>
        <w:rPr>
          <w:color w:val="231F20"/>
          <w:w w:val="110"/>
        </w:rPr>
        <w:t>y</w:t>
      </w:r>
      <w:r>
        <w:rPr>
          <w:color w:val="231F20"/>
          <w:spacing w:val="-12"/>
          <w:w w:val="110"/>
        </w:rPr>
        <w:t> </w:t>
      </w:r>
      <w:r>
        <w:rPr>
          <w:color w:val="231F20"/>
          <w:w w:val="110"/>
        </w:rPr>
        <w:t>tener</w:t>
      </w:r>
      <w:r>
        <w:rPr>
          <w:color w:val="231F20"/>
          <w:spacing w:val="-12"/>
          <w:w w:val="110"/>
        </w:rPr>
        <w:t> </w:t>
      </w:r>
      <w:r>
        <w:rPr>
          <w:color w:val="231F20"/>
          <w:w w:val="110"/>
        </w:rPr>
        <w:t>una</w:t>
      </w:r>
      <w:r>
        <w:rPr>
          <w:color w:val="231F20"/>
          <w:spacing w:val="-12"/>
          <w:w w:val="110"/>
        </w:rPr>
        <w:t> </w:t>
      </w:r>
      <w:r>
        <w:rPr>
          <w:color w:val="231F20"/>
          <w:w w:val="110"/>
        </w:rPr>
        <w:t>parte</w:t>
      </w:r>
      <w:r>
        <w:rPr>
          <w:color w:val="231F20"/>
          <w:spacing w:val="-12"/>
          <w:w w:val="110"/>
        </w:rPr>
        <w:t> </w:t>
      </w:r>
      <w:r>
        <w:rPr>
          <w:color w:val="231F20"/>
          <w:w w:val="110"/>
        </w:rPr>
        <w:t>significativa</w:t>
      </w:r>
      <w:r>
        <w:rPr>
          <w:color w:val="231F20"/>
          <w:spacing w:val="-12"/>
          <w:w w:val="110"/>
        </w:rPr>
        <w:t> </w:t>
      </w:r>
      <w:r>
        <w:rPr>
          <w:color w:val="231F20"/>
          <w:w w:val="110"/>
        </w:rPr>
        <w:t>de</w:t>
      </w:r>
      <w:r>
        <w:rPr>
          <w:color w:val="231F20"/>
          <w:spacing w:val="-12"/>
          <w:w w:val="110"/>
        </w:rPr>
        <w:t> </w:t>
      </w:r>
      <w:r>
        <w:rPr>
          <w:color w:val="231F20"/>
          <w:spacing w:val="-2"/>
          <w:w w:val="110"/>
        </w:rPr>
        <w:t>sus </w:t>
      </w:r>
      <w:r>
        <w:rPr>
          <w:color w:val="231F20"/>
          <w:w w:val="110"/>
        </w:rPr>
        <w:t>ingresos comprometida en el pago de obligaciones financieras, y</w:t>
      </w:r>
      <w:r>
        <w:rPr>
          <w:color w:val="231F20"/>
          <w:spacing w:val="-32"/>
          <w:w w:val="110"/>
        </w:rPr>
        <w:t> </w:t>
      </w:r>
      <w:r>
        <w:rPr>
          <w:color w:val="231F20"/>
          <w:spacing w:val="-2"/>
          <w:w w:val="110"/>
        </w:rPr>
        <w:t>por </w:t>
      </w:r>
      <w:r>
        <w:rPr>
          <w:color w:val="231F20"/>
          <w:w w:val="110"/>
        </w:rPr>
        <w:t>ende</w:t>
      </w:r>
      <w:r>
        <w:rPr>
          <w:color w:val="231F20"/>
          <w:spacing w:val="-13"/>
          <w:w w:val="110"/>
        </w:rPr>
        <w:t> </w:t>
      </w:r>
      <w:r>
        <w:rPr>
          <w:color w:val="231F20"/>
          <w:w w:val="110"/>
        </w:rPr>
        <w:t>por</w:t>
      </w:r>
      <w:r>
        <w:rPr>
          <w:color w:val="231F20"/>
          <w:spacing w:val="-13"/>
          <w:w w:val="110"/>
        </w:rPr>
        <w:t> </w:t>
      </w:r>
      <w:r>
        <w:rPr>
          <w:color w:val="231F20"/>
          <w:w w:val="110"/>
        </w:rPr>
        <w:t>fuera</w:t>
      </w:r>
      <w:r>
        <w:rPr>
          <w:color w:val="231F20"/>
          <w:spacing w:val="-13"/>
          <w:w w:val="110"/>
        </w:rPr>
        <w:t> </w:t>
      </w:r>
      <w:r>
        <w:rPr>
          <w:color w:val="231F20"/>
          <w:w w:val="110"/>
        </w:rPr>
        <w:t>del</w:t>
      </w:r>
      <w:r>
        <w:rPr>
          <w:color w:val="231F20"/>
          <w:spacing w:val="-13"/>
          <w:w w:val="110"/>
        </w:rPr>
        <w:t> </w:t>
      </w:r>
      <w:r>
        <w:rPr>
          <w:color w:val="231F20"/>
          <w:w w:val="110"/>
        </w:rPr>
        <w:t>flujo</w:t>
      </w:r>
      <w:r>
        <w:rPr>
          <w:color w:val="231F20"/>
          <w:spacing w:val="-13"/>
          <w:w w:val="110"/>
        </w:rPr>
        <w:t> </w:t>
      </w:r>
      <w:r>
        <w:rPr>
          <w:color w:val="231F20"/>
          <w:w w:val="110"/>
        </w:rPr>
        <w:t>de</w:t>
      </w:r>
      <w:r>
        <w:rPr>
          <w:color w:val="231F20"/>
          <w:spacing w:val="-13"/>
          <w:w w:val="110"/>
        </w:rPr>
        <w:t> </w:t>
      </w:r>
      <w:r>
        <w:rPr>
          <w:color w:val="231F20"/>
          <w:w w:val="110"/>
        </w:rPr>
        <w:t>demanda</w:t>
      </w:r>
      <w:r>
        <w:rPr>
          <w:color w:val="231F20"/>
          <w:spacing w:val="-13"/>
          <w:w w:val="110"/>
        </w:rPr>
        <w:t> </w:t>
      </w:r>
      <w:r>
        <w:rPr>
          <w:color w:val="231F20"/>
          <w:w w:val="110"/>
        </w:rPr>
        <w:t>de</w:t>
      </w:r>
      <w:r>
        <w:rPr>
          <w:color w:val="231F20"/>
          <w:spacing w:val="-13"/>
          <w:w w:val="110"/>
        </w:rPr>
        <w:t> </w:t>
      </w:r>
      <w:r>
        <w:rPr>
          <w:color w:val="231F20"/>
          <w:w w:val="110"/>
        </w:rPr>
        <w:t>bienes</w:t>
      </w:r>
      <w:r>
        <w:rPr>
          <w:color w:val="231F20"/>
          <w:spacing w:val="-13"/>
          <w:w w:val="110"/>
        </w:rPr>
        <w:t> </w:t>
      </w:r>
      <w:r>
        <w:rPr>
          <w:color w:val="231F20"/>
          <w:w w:val="110"/>
        </w:rPr>
        <w:t>y</w:t>
      </w:r>
      <w:r>
        <w:rPr>
          <w:color w:val="231F20"/>
          <w:spacing w:val="-13"/>
          <w:w w:val="110"/>
        </w:rPr>
        <w:t> </w:t>
      </w:r>
      <w:r>
        <w:rPr>
          <w:color w:val="231F20"/>
          <w:w w:val="110"/>
        </w:rPr>
        <w:t>servicios,</w:t>
      </w:r>
      <w:r>
        <w:rPr>
          <w:color w:val="231F20"/>
          <w:spacing w:val="-13"/>
          <w:w w:val="110"/>
        </w:rPr>
        <w:t> </w:t>
      </w:r>
      <w:r>
        <w:rPr>
          <w:color w:val="231F20"/>
          <w:w w:val="110"/>
        </w:rPr>
        <w:t>recortan</w:t>
      </w:r>
      <w:r>
        <w:rPr>
          <w:color w:val="231F20"/>
          <w:spacing w:val="-13"/>
          <w:w w:val="110"/>
        </w:rPr>
        <w:t> </w:t>
      </w:r>
      <w:r>
        <w:rPr>
          <w:color w:val="231F20"/>
          <w:w w:val="110"/>
        </w:rPr>
        <w:t>su gasto,</w:t>
      </w:r>
      <w:r>
        <w:rPr>
          <w:color w:val="231F20"/>
          <w:spacing w:val="-15"/>
          <w:w w:val="110"/>
        </w:rPr>
        <w:t> </w:t>
      </w:r>
      <w:r>
        <w:rPr>
          <w:color w:val="231F20"/>
          <w:w w:val="110"/>
        </w:rPr>
        <w:t>convierte</w:t>
      </w:r>
      <w:r>
        <w:rPr>
          <w:color w:val="231F20"/>
          <w:spacing w:val="-15"/>
          <w:w w:val="110"/>
        </w:rPr>
        <w:t> </w:t>
      </w:r>
      <w:r>
        <w:rPr>
          <w:color w:val="231F20"/>
          <w:w w:val="110"/>
        </w:rPr>
        <w:t>esta</w:t>
      </w:r>
      <w:r>
        <w:rPr>
          <w:color w:val="231F20"/>
          <w:spacing w:val="-15"/>
          <w:w w:val="110"/>
        </w:rPr>
        <w:t> </w:t>
      </w:r>
      <w:r>
        <w:rPr>
          <w:color w:val="231F20"/>
          <w:w w:val="110"/>
        </w:rPr>
        <w:t>dinámica</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principal</w:t>
      </w:r>
      <w:r>
        <w:rPr>
          <w:color w:val="231F20"/>
          <w:spacing w:val="-15"/>
          <w:w w:val="110"/>
        </w:rPr>
        <w:t> </w:t>
      </w:r>
      <w:r>
        <w:rPr>
          <w:color w:val="231F20"/>
          <w:w w:val="110"/>
        </w:rPr>
        <w:t>factor</w:t>
      </w:r>
      <w:r>
        <w:rPr>
          <w:color w:val="231F20"/>
          <w:spacing w:val="-15"/>
          <w:w w:val="110"/>
        </w:rPr>
        <w:t> </w:t>
      </w:r>
      <w:r>
        <w:rPr>
          <w:color w:val="231F20"/>
          <w:w w:val="110"/>
        </w:rPr>
        <w:t>de</w:t>
      </w:r>
      <w:r>
        <w:rPr>
          <w:color w:val="231F20"/>
          <w:spacing w:val="-15"/>
          <w:w w:val="110"/>
        </w:rPr>
        <w:t> </w:t>
      </w:r>
      <w:r>
        <w:rPr>
          <w:color w:val="231F20"/>
          <w:w w:val="110"/>
        </w:rPr>
        <w:t>debilitamiento de la demanda</w:t>
      </w:r>
      <w:r>
        <w:rPr>
          <w:color w:val="231F20"/>
          <w:spacing w:val="2"/>
          <w:w w:val="110"/>
        </w:rPr>
        <w:t> </w:t>
      </w:r>
      <w:r>
        <w:rPr>
          <w:color w:val="231F20"/>
          <w:w w:val="110"/>
        </w:rPr>
        <w:t>agregada.</w:t>
      </w:r>
    </w:p>
    <w:p>
      <w:pPr>
        <w:pStyle w:val="BodyText"/>
        <w:spacing w:line="261" w:lineRule="auto"/>
        <w:ind w:left="100" w:right="115" w:firstLine="240"/>
        <w:jc w:val="both"/>
      </w:pPr>
      <w:r>
        <w:rPr>
          <w:color w:val="231F20"/>
          <w:w w:val="110"/>
        </w:rPr>
        <w:t>Así,</w:t>
      </w:r>
      <w:r>
        <w:rPr>
          <w:color w:val="231F20"/>
          <w:spacing w:val="-4"/>
          <w:w w:val="110"/>
        </w:rPr>
        <w:t> </w:t>
      </w:r>
      <w:r>
        <w:rPr>
          <w:color w:val="231F20"/>
          <w:w w:val="110"/>
        </w:rPr>
        <w:t>es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contexto</w:t>
      </w:r>
      <w:r>
        <w:rPr>
          <w:color w:val="231F20"/>
          <w:spacing w:val="-4"/>
          <w:w w:val="110"/>
        </w:rPr>
        <w:t> </w:t>
      </w:r>
      <w:r>
        <w:rPr>
          <w:color w:val="231F20"/>
          <w:w w:val="110"/>
        </w:rPr>
        <w:t>del</w:t>
      </w:r>
      <w:r>
        <w:rPr>
          <w:color w:val="231F20"/>
          <w:spacing w:val="-4"/>
          <w:w w:val="110"/>
        </w:rPr>
        <w:t> </w:t>
      </w:r>
      <w:r>
        <w:rPr>
          <w:color w:val="231F20"/>
          <w:w w:val="110"/>
        </w:rPr>
        <w:t>colapso</w:t>
      </w:r>
      <w:r>
        <w:rPr>
          <w:color w:val="231F20"/>
          <w:spacing w:val="-4"/>
          <w:w w:val="110"/>
        </w:rPr>
        <w:t> </w:t>
      </w:r>
      <w:r>
        <w:rPr>
          <w:color w:val="231F20"/>
          <w:w w:val="110"/>
        </w:rPr>
        <w:t>del</w:t>
      </w:r>
      <w:r>
        <w:rPr>
          <w:color w:val="231F20"/>
          <w:spacing w:val="-4"/>
          <w:w w:val="110"/>
        </w:rPr>
        <w:t> </w:t>
      </w:r>
      <w:r>
        <w:rPr>
          <w:color w:val="231F20"/>
          <w:w w:val="110"/>
        </w:rPr>
        <w:t>crédito</w:t>
      </w:r>
      <w:r>
        <w:rPr>
          <w:color w:val="231F20"/>
          <w:spacing w:val="-4"/>
          <w:w w:val="110"/>
        </w:rPr>
        <w:t> </w:t>
      </w:r>
      <w:r>
        <w:rPr>
          <w:color w:val="231F20"/>
          <w:w w:val="110"/>
        </w:rPr>
        <w:t>privado</w:t>
      </w:r>
      <w:r>
        <w:rPr>
          <w:color w:val="231F20"/>
          <w:spacing w:val="-4"/>
          <w:w w:val="110"/>
        </w:rPr>
        <w:t> </w:t>
      </w:r>
      <w:r>
        <w:rPr>
          <w:color w:val="231F20"/>
          <w:w w:val="110"/>
        </w:rPr>
        <w:t>que</w:t>
      </w:r>
      <w:r>
        <w:rPr>
          <w:color w:val="231F20"/>
          <w:spacing w:val="-4"/>
          <w:w w:val="110"/>
        </w:rPr>
        <w:t> </w:t>
      </w:r>
      <w:r>
        <w:rPr>
          <w:color w:val="231F20"/>
          <w:w w:val="110"/>
        </w:rPr>
        <w:t>es</w:t>
      </w:r>
      <w:r>
        <w:rPr>
          <w:color w:val="231F20"/>
          <w:spacing w:val="-4"/>
          <w:w w:val="110"/>
        </w:rPr>
        <w:t> </w:t>
      </w:r>
      <w:r>
        <w:rPr>
          <w:color w:val="231F20"/>
          <w:w w:val="110"/>
        </w:rPr>
        <w:t>nece- sario entender el crecimiento del déficit público. En el momento en que</w:t>
      </w:r>
      <w:r>
        <w:rPr>
          <w:color w:val="231F20"/>
          <w:spacing w:val="-12"/>
          <w:w w:val="110"/>
        </w:rPr>
        <w:t> </w:t>
      </w:r>
      <w:r>
        <w:rPr>
          <w:color w:val="231F20"/>
          <w:w w:val="110"/>
        </w:rPr>
        <w:t>inicia</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el</w:t>
      </w:r>
      <w:r>
        <w:rPr>
          <w:color w:val="231F20"/>
          <w:spacing w:val="-12"/>
          <w:w w:val="110"/>
        </w:rPr>
        <w:t> </w:t>
      </w:r>
      <w:r>
        <w:rPr>
          <w:color w:val="231F20"/>
          <w:w w:val="110"/>
        </w:rPr>
        <w:t>crédito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hogares</w:t>
      </w:r>
      <w:r>
        <w:rPr>
          <w:color w:val="231F20"/>
          <w:spacing w:val="-12"/>
          <w:w w:val="110"/>
        </w:rPr>
        <w:t> </w:t>
      </w:r>
      <w:r>
        <w:rPr>
          <w:color w:val="231F20"/>
          <w:w w:val="110"/>
        </w:rPr>
        <w:t>y</w:t>
      </w:r>
      <w:r>
        <w:rPr>
          <w:color w:val="231F20"/>
          <w:spacing w:val="-12"/>
          <w:w w:val="110"/>
        </w:rPr>
        <w:t> </w:t>
      </w:r>
      <w:r>
        <w:rPr>
          <w:color w:val="231F20"/>
          <w:w w:val="110"/>
        </w:rPr>
        <w:t>firmas</w:t>
      </w:r>
      <w:r>
        <w:rPr>
          <w:color w:val="231F20"/>
          <w:spacing w:val="-12"/>
          <w:w w:val="110"/>
        </w:rPr>
        <w:t> </w:t>
      </w:r>
      <w:r>
        <w:rPr>
          <w:color w:val="231F20"/>
          <w:w w:val="110"/>
        </w:rPr>
        <w:t>cae</w:t>
      </w:r>
      <w:r>
        <w:rPr>
          <w:color w:val="231F20"/>
          <w:spacing w:val="-12"/>
          <w:w w:val="110"/>
        </w:rPr>
        <w:t> </w:t>
      </w:r>
      <w:r>
        <w:rPr>
          <w:color w:val="231F20"/>
          <w:w w:val="110"/>
        </w:rPr>
        <w:t>10%</w:t>
      </w:r>
      <w:r>
        <w:rPr>
          <w:color w:val="231F20"/>
          <w:spacing w:val="-12"/>
          <w:w w:val="110"/>
        </w:rPr>
        <w:t> </w:t>
      </w:r>
      <w:r>
        <w:rPr>
          <w:color w:val="231F20"/>
          <w:w w:val="110"/>
        </w:rPr>
        <w:t>del</w:t>
      </w:r>
      <w:r>
        <w:rPr>
          <w:color w:val="231F20"/>
          <w:spacing w:val="-12"/>
          <w:w w:val="110"/>
        </w:rPr>
        <w:t> </w:t>
      </w:r>
      <w:r>
        <w:rPr>
          <w:color w:val="231F20"/>
          <w:w w:val="110"/>
        </w:rPr>
        <w:t>pib; esta caída se vio contrarrestada por un incremento casi idéntico del déficit público del gobierno federal. La relación entre ambos saldos financieros</w:t>
      </w:r>
      <w:r>
        <w:rPr>
          <w:color w:val="231F20"/>
          <w:spacing w:val="-15"/>
          <w:w w:val="110"/>
        </w:rPr>
        <w:t> </w:t>
      </w:r>
      <w:r>
        <w:rPr>
          <w:color w:val="231F20"/>
          <w:w w:val="110"/>
        </w:rPr>
        <w:t>del</w:t>
      </w:r>
      <w:r>
        <w:rPr>
          <w:color w:val="231F20"/>
          <w:spacing w:val="-15"/>
          <w:w w:val="110"/>
        </w:rPr>
        <w:t> </w:t>
      </w:r>
      <w:r>
        <w:rPr>
          <w:color w:val="231F20"/>
          <w:w w:val="110"/>
        </w:rPr>
        <w:t>sector</w:t>
      </w:r>
      <w:r>
        <w:rPr>
          <w:color w:val="231F20"/>
          <w:spacing w:val="-15"/>
          <w:w w:val="110"/>
        </w:rPr>
        <w:t> </w:t>
      </w:r>
      <w:r>
        <w:rPr>
          <w:color w:val="231F20"/>
          <w:w w:val="110"/>
        </w:rPr>
        <w:t>público</w:t>
      </w:r>
      <w:r>
        <w:rPr>
          <w:color w:val="231F20"/>
          <w:spacing w:val="-15"/>
          <w:w w:val="110"/>
        </w:rPr>
        <w:t> </w:t>
      </w:r>
      <w:r>
        <w:rPr>
          <w:color w:val="231F20"/>
          <w:w w:val="110"/>
        </w:rPr>
        <w:t>y</w:t>
      </w:r>
      <w:r>
        <w:rPr>
          <w:color w:val="231F20"/>
          <w:spacing w:val="-15"/>
          <w:w w:val="110"/>
        </w:rPr>
        <w:t> </w:t>
      </w:r>
      <w:r>
        <w:rPr>
          <w:color w:val="231F20"/>
          <w:w w:val="110"/>
        </w:rPr>
        <w:t>privado</w:t>
      </w:r>
      <w:r>
        <w:rPr>
          <w:color w:val="231F20"/>
          <w:spacing w:val="-15"/>
          <w:w w:val="110"/>
        </w:rPr>
        <w:t> </w:t>
      </w:r>
      <w:r>
        <w:rPr>
          <w:color w:val="231F20"/>
          <w:w w:val="110"/>
        </w:rPr>
        <w:t>se</w:t>
      </w:r>
      <w:r>
        <w:rPr>
          <w:color w:val="231F20"/>
          <w:spacing w:val="-15"/>
          <w:w w:val="110"/>
        </w:rPr>
        <w:t> </w:t>
      </w:r>
      <w:r>
        <w:rPr>
          <w:color w:val="231F20"/>
          <w:w w:val="110"/>
        </w:rPr>
        <w:t>explicó</w:t>
      </w:r>
      <w:r>
        <w:rPr>
          <w:color w:val="231F20"/>
          <w:spacing w:val="-15"/>
          <w:w w:val="110"/>
        </w:rPr>
        <w:t> </w:t>
      </w:r>
      <w:r>
        <w:rPr>
          <w:color w:val="231F20"/>
          <w:w w:val="110"/>
        </w:rPr>
        <w:t>anteriormente.</w:t>
      </w:r>
      <w:r>
        <w:rPr>
          <w:color w:val="231F20"/>
          <w:spacing w:val="-15"/>
          <w:w w:val="110"/>
        </w:rPr>
        <w:t> </w:t>
      </w:r>
      <w:r>
        <w:rPr>
          <w:color w:val="231F20"/>
          <w:w w:val="110"/>
        </w:rPr>
        <w:t>Por definición en la situación actual, el aumento de ahorros del sector privado asociado con el proceso de desapalancamiento requerido para estabilizar sus hojas de balance, debe tener como contraparte, por definición, ya sea un déficit del gobierno o un superávit</w:t>
      </w:r>
      <w:r>
        <w:rPr>
          <w:color w:val="231F20"/>
          <w:spacing w:val="-19"/>
          <w:w w:val="110"/>
        </w:rPr>
        <w:t> </w:t>
      </w:r>
      <w:r>
        <w:rPr>
          <w:color w:val="231F20"/>
          <w:w w:val="110"/>
        </w:rPr>
        <w:t>externo. En este sentido el déficit fiscal juega un papel clave en la resolución de los problemas de hoja de balance del sector privado por dos vías. En primer </w:t>
      </w:r>
      <w:r>
        <w:rPr>
          <w:color w:val="231F20"/>
          <w:spacing w:val="-3"/>
          <w:w w:val="110"/>
        </w:rPr>
        <w:t>lugar, </w:t>
      </w:r>
      <w:r>
        <w:rPr>
          <w:color w:val="231F20"/>
          <w:w w:val="110"/>
        </w:rPr>
        <w:t>el gasto deficitario genera flujos de ingreso que le permite al sector privado cumplir con sus obligaciones financieras. En segundo </w:t>
      </w:r>
      <w:r>
        <w:rPr>
          <w:color w:val="231F20"/>
          <w:spacing w:val="-3"/>
          <w:w w:val="110"/>
        </w:rPr>
        <w:t>lugar, </w:t>
      </w:r>
      <w:r>
        <w:rPr>
          <w:color w:val="231F20"/>
          <w:w w:val="110"/>
        </w:rPr>
        <w:t>la emisión de bonos de deuda que acompaña el déficit,</w:t>
      </w:r>
      <w:r>
        <w:rPr>
          <w:color w:val="231F20"/>
          <w:spacing w:val="-18"/>
          <w:w w:val="110"/>
        </w:rPr>
        <w:t> </w:t>
      </w:r>
      <w:r>
        <w:rPr>
          <w:color w:val="231F20"/>
          <w:w w:val="110"/>
        </w:rPr>
        <w:t>crea</w:t>
      </w:r>
      <w:r>
        <w:rPr>
          <w:color w:val="231F20"/>
          <w:spacing w:val="-18"/>
          <w:w w:val="110"/>
        </w:rPr>
        <w:t> </w:t>
      </w:r>
      <w:r>
        <w:rPr>
          <w:color w:val="231F20"/>
          <w:w w:val="110"/>
        </w:rPr>
        <w:t>activos</w:t>
      </w:r>
      <w:r>
        <w:rPr>
          <w:color w:val="231F20"/>
          <w:spacing w:val="-18"/>
          <w:w w:val="110"/>
        </w:rPr>
        <w:t> </w:t>
      </w:r>
      <w:r>
        <w:rPr>
          <w:color w:val="231F20"/>
          <w:w w:val="110"/>
        </w:rPr>
        <w:t>líquidos</w:t>
      </w:r>
      <w:r>
        <w:rPr>
          <w:color w:val="231F20"/>
          <w:spacing w:val="-18"/>
          <w:w w:val="110"/>
        </w:rPr>
        <w:t> </w:t>
      </w:r>
      <w:r>
        <w:rPr>
          <w:color w:val="231F20"/>
          <w:w w:val="110"/>
        </w:rPr>
        <w:t>y</w:t>
      </w:r>
      <w:r>
        <w:rPr>
          <w:color w:val="231F20"/>
          <w:spacing w:val="-18"/>
          <w:w w:val="110"/>
        </w:rPr>
        <w:t> </w:t>
      </w:r>
      <w:r>
        <w:rPr>
          <w:color w:val="231F20"/>
          <w:w w:val="110"/>
        </w:rPr>
        <w:t>seguros</w:t>
      </w:r>
      <w:r>
        <w:rPr>
          <w:color w:val="231F20"/>
          <w:spacing w:val="-18"/>
          <w:w w:val="110"/>
        </w:rPr>
        <w:t> </w:t>
      </w:r>
      <w:r>
        <w:rPr>
          <w:color w:val="231F20"/>
          <w:w w:val="110"/>
        </w:rPr>
        <w:t>sobre</w:t>
      </w:r>
      <w:r>
        <w:rPr>
          <w:color w:val="231F20"/>
          <w:spacing w:val="-18"/>
          <w:w w:val="110"/>
        </w:rPr>
        <w:t> </w:t>
      </w:r>
      <w:r>
        <w:rPr>
          <w:color w:val="231F20"/>
          <w:w w:val="110"/>
        </w:rPr>
        <w:t>los</w:t>
      </w:r>
      <w:r>
        <w:rPr>
          <w:color w:val="231F20"/>
          <w:spacing w:val="-18"/>
          <w:w w:val="110"/>
        </w:rPr>
        <w:t> </w:t>
      </w:r>
      <w:r>
        <w:rPr>
          <w:color w:val="231F20"/>
          <w:w w:val="110"/>
        </w:rPr>
        <w:t>cuales</w:t>
      </w:r>
      <w:r>
        <w:rPr>
          <w:color w:val="231F20"/>
          <w:spacing w:val="-18"/>
          <w:w w:val="110"/>
        </w:rPr>
        <w:t> </w:t>
      </w:r>
      <w:r>
        <w:rPr>
          <w:color w:val="231F20"/>
          <w:w w:val="110"/>
        </w:rPr>
        <w:t>el</w:t>
      </w:r>
      <w:r>
        <w:rPr>
          <w:color w:val="231F20"/>
          <w:spacing w:val="-18"/>
          <w:w w:val="110"/>
        </w:rPr>
        <w:t> </w:t>
      </w:r>
      <w:r>
        <w:rPr>
          <w:color w:val="231F20"/>
          <w:w w:val="110"/>
        </w:rPr>
        <w:t>sector</w:t>
      </w:r>
      <w:r>
        <w:rPr>
          <w:color w:val="231F20"/>
          <w:spacing w:val="-18"/>
          <w:w w:val="110"/>
        </w:rPr>
        <w:t> </w:t>
      </w:r>
      <w:r>
        <w:rPr>
          <w:color w:val="231F20"/>
          <w:w w:val="110"/>
        </w:rPr>
        <w:t>priva- do puede reconstruir sus hojas de balance al ir purgando lentamente los activos cuyo valor fue comprometido por la crisis</w:t>
      </w:r>
      <w:r>
        <w:rPr>
          <w:color w:val="231F20"/>
          <w:spacing w:val="-33"/>
          <w:w w:val="110"/>
        </w:rPr>
        <w:t> </w:t>
      </w:r>
      <w:r>
        <w:rPr>
          <w:color w:val="231F20"/>
          <w:w w:val="110"/>
        </w:rPr>
        <w:t>financiera.</w:t>
      </w:r>
    </w:p>
    <w:p>
      <w:pPr>
        <w:pStyle w:val="BodyText"/>
        <w:spacing w:line="261" w:lineRule="auto"/>
        <w:ind w:left="100" w:right="117" w:firstLine="240"/>
        <w:jc w:val="both"/>
      </w:pPr>
      <w:r>
        <w:rPr>
          <w:color w:val="231F20"/>
          <w:w w:val="110"/>
        </w:rPr>
        <w:t>El</w:t>
      </w:r>
      <w:r>
        <w:rPr>
          <w:color w:val="231F20"/>
          <w:spacing w:val="-13"/>
          <w:w w:val="110"/>
        </w:rPr>
        <w:t> </w:t>
      </w:r>
      <w:r>
        <w:rPr>
          <w:color w:val="231F20"/>
          <w:w w:val="110"/>
        </w:rPr>
        <w:t>sector</w:t>
      </w:r>
      <w:r>
        <w:rPr>
          <w:color w:val="231F20"/>
          <w:spacing w:val="-13"/>
          <w:w w:val="110"/>
        </w:rPr>
        <w:t> </w:t>
      </w:r>
      <w:r>
        <w:rPr>
          <w:color w:val="231F20"/>
          <w:w w:val="110"/>
        </w:rPr>
        <w:t>público</w:t>
      </w:r>
      <w:r>
        <w:rPr>
          <w:color w:val="231F20"/>
          <w:spacing w:val="-13"/>
          <w:w w:val="110"/>
        </w:rPr>
        <w:t> </w:t>
      </w:r>
      <w:r>
        <w:rPr>
          <w:color w:val="231F20"/>
          <w:w w:val="110"/>
        </w:rPr>
        <w:t>está</w:t>
      </w:r>
      <w:r>
        <w:rPr>
          <w:color w:val="231F20"/>
          <w:spacing w:val="-13"/>
          <w:w w:val="110"/>
        </w:rPr>
        <w:t> </w:t>
      </w:r>
      <w:r>
        <w:rPr>
          <w:color w:val="231F20"/>
          <w:w w:val="110"/>
        </w:rPr>
        <w:t>en</w:t>
      </w:r>
      <w:r>
        <w:rPr>
          <w:color w:val="231F20"/>
          <w:spacing w:val="-13"/>
          <w:w w:val="110"/>
        </w:rPr>
        <w:t> </w:t>
      </w:r>
      <w:r>
        <w:rPr>
          <w:color w:val="231F20"/>
          <w:w w:val="110"/>
        </w:rPr>
        <w:t>capacidad</w:t>
      </w:r>
      <w:r>
        <w:rPr>
          <w:color w:val="231F20"/>
          <w:spacing w:val="-13"/>
          <w:w w:val="110"/>
        </w:rPr>
        <w:t> </w:t>
      </w:r>
      <w:r>
        <w:rPr>
          <w:color w:val="231F20"/>
          <w:w w:val="110"/>
        </w:rPr>
        <w:t>de</w:t>
      </w:r>
      <w:r>
        <w:rPr>
          <w:color w:val="231F20"/>
          <w:spacing w:val="-13"/>
          <w:w w:val="110"/>
        </w:rPr>
        <w:t> </w:t>
      </w:r>
      <w:r>
        <w:rPr>
          <w:color w:val="231F20"/>
          <w:w w:val="110"/>
        </w:rPr>
        <w:t>ejercer</w:t>
      </w:r>
      <w:r>
        <w:rPr>
          <w:color w:val="231F20"/>
          <w:spacing w:val="-13"/>
          <w:w w:val="110"/>
        </w:rPr>
        <w:t> </w:t>
      </w:r>
      <w:r>
        <w:rPr>
          <w:color w:val="231F20"/>
          <w:w w:val="110"/>
        </w:rPr>
        <w:t>este</w:t>
      </w:r>
      <w:r>
        <w:rPr>
          <w:color w:val="231F20"/>
          <w:spacing w:val="-13"/>
          <w:w w:val="110"/>
        </w:rPr>
        <w:t> </w:t>
      </w:r>
      <w:r>
        <w:rPr>
          <w:color w:val="231F20"/>
          <w:w w:val="110"/>
        </w:rPr>
        <w:t>papel</w:t>
      </w:r>
      <w:r>
        <w:rPr>
          <w:color w:val="231F20"/>
          <w:spacing w:val="-13"/>
          <w:w w:val="110"/>
        </w:rPr>
        <w:t> </w:t>
      </w:r>
      <w:r>
        <w:rPr>
          <w:color w:val="231F20"/>
          <w:w w:val="110"/>
        </w:rPr>
        <w:t>estabiliza- dor de la demanda agregada y las hojas de balance de los diferentes sectores de la economía por dos razones. Primero, a diferencia del sector privado, no se ve afectado por restricciones intertemporales. Esto es, el sector público no tiene obligación de cerrar sus hojas de balance en un periodo determinado de tiempo, por lo cual la  </w:t>
      </w:r>
      <w:r>
        <w:rPr>
          <w:color w:val="231F20"/>
          <w:spacing w:val="24"/>
          <w:w w:val="110"/>
        </w:rPr>
        <w:t> </w:t>
      </w:r>
      <w:r>
        <w:rPr>
          <w:color w:val="231F20"/>
          <w:w w:val="110"/>
        </w:rPr>
        <w:t>deuda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pública nunca necesita ser pagada en su totalidad solo refinanciada</w:t>
      </w:r>
      <w:r>
        <w:rPr>
          <w:color w:val="231F20"/>
          <w:spacing w:val="-38"/>
          <w:w w:val="110"/>
        </w:rPr>
        <w:t> </w:t>
      </w:r>
      <w:r>
        <w:rPr>
          <w:color w:val="231F20"/>
          <w:w w:val="110"/>
        </w:rPr>
        <w:t>a lo largo del tiempo. En segundo </w:t>
      </w:r>
      <w:r>
        <w:rPr>
          <w:color w:val="231F20"/>
          <w:spacing w:val="-3"/>
          <w:w w:val="110"/>
        </w:rPr>
        <w:t>lugar, </w:t>
      </w:r>
      <w:r>
        <w:rPr>
          <w:color w:val="231F20"/>
          <w:w w:val="110"/>
        </w:rPr>
        <w:t>Estados Unidos, al tener una moneda soberana, no se ve obligado a emitir directamente deuda pública</w:t>
      </w:r>
      <w:r>
        <w:rPr>
          <w:color w:val="231F20"/>
          <w:spacing w:val="-17"/>
          <w:w w:val="110"/>
        </w:rPr>
        <w:t> </w:t>
      </w:r>
      <w:r>
        <w:rPr>
          <w:color w:val="231F20"/>
          <w:w w:val="110"/>
        </w:rPr>
        <w:t>para</w:t>
      </w:r>
      <w:r>
        <w:rPr>
          <w:color w:val="231F20"/>
          <w:spacing w:val="-17"/>
          <w:w w:val="110"/>
        </w:rPr>
        <w:t> </w:t>
      </w:r>
      <w:r>
        <w:rPr>
          <w:color w:val="231F20"/>
          <w:w w:val="110"/>
        </w:rPr>
        <w:t>financiar</w:t>
      </w:r>
      <w:r>
        <w:rPr>
          <w:color w:val="231F20"/>
          <w:spacing w:val="-17"/>
          <w:w w:val="110"/>
        </w:rPr>
        <w:t> </w:t>
      </w:r>
      <w:r>
        <w:rPr>
          <w:color w:val="231F20"/>
          <w:w w:val="110"/>
        </w:rPr>
        <w:t>su</w:t>
      </w:r>
      <w:r>
        <w:rPr>
          <w:color w:val="231F20"/>
          <w:spacing w:val="-17"/>
          <w:w w:val="110"/>
        </w:rPr>
        <w:t> </w:t>
      </w:r>
      <w:r>
        <w:rPr>
          <w:color w:val="231F20"/>
          <w:w w:val="110"/>
        </w:rPr>
        <w:t>gasto;</w:t>
      </w:r>
      <w:r>
        <w:rPr>
          <w:color w:val="231F20"/>
          <w:spacing w:val="-17"/>
          <w:w w:val="110"/>
        </w:rPr>
        <w:t> </w:t>
      </w:r>
      <w:r>
        <w:rPr>
          <w:color w:val="231F20"/>
          <w:w w:val="110"/>
        </w:rPr>
        <w:t>la</w:t>
      </w:r>
      <w:r>
        <w:rPr>
          <w:color w:val="231F20"/>
          <w:spacing w:val="-17"/>
          <w:w w:val="110"/>
        </w:rPr>
        <w:t> </w:t>
      </w:r>
      <w:r>
        <w:rPr>
          <w:color w:val="231F20"/>
          <w:w w:val="110"/>
        </w:rPr>
        <w:t>función</w:t>
      </w:r>
      <w:r>
        <w:rPr>
          <w:color w:val="231F20"/>
          <w:spacing w:val="-17"/>
          <w:w w:val="110"/>
        </w:rPr>
        <w:t> </w:t>
      </w:r>
      <w:r>
        <w:rPr>
          <w:color w:val="231F20"/>
          <w:w w:val="110"/>
        </w:rPr>
        <w:t>especial</w:t>
      </w:r>
      <w:r>
        <w:rPr>
          <w:color w:val="231F20"/>
          <w:spacing w:val="-17"/>
          <w:w w:val="110"/>
        </w:rPr>
        <w:t> </w:t>
      </w:r>
      <w:r>
        <w:rPr>
          <w:color w:val="231F20"/>
          <w:w w:val="110"/>
        </w:rPr>
        <w:t>del</w:t>
      </w:r>
      <w:r>
        <w:rPr>
          <w:color w:val="231F20"/>
          <w:spacing w:val="-17"/>
          <w:w w:val="110"/>
        </w:rPr>
        <w:t> </w:t>
      </w:r>
      <w:r>
        <w:rPr>
          <w:color w:val="231F20"/>
          <w:w w:val="110"/>
        </w:rPr>
        <w:t>dólar</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eco- nomía</w:t>
      </w:r>
      <w:r>
        <w:rPr>
          <w:color w:val="231F20"/>
          <w:spacing w:val="-10"/>
          <w:w w:val="110"/>
        </w:rPr>
        <w:t> </w:t>
      </w:r>
      <w:r>
        <w:rPr>
          <w:color w:val="231F20"/>
          <w:w w:val="110"/>
        </w:rPr>
        <w:t>global</w:t>
      </w:r>
      <w:r>
        <w:rPr>
          <w:color w:val="231F20"/>
          <w:spacing w:val="-10"/>
          <w:w w:val="110"/>
        </w:rPr>
        <w:t> </w:t>
      </w:r>
      <w:r>
        <w:rPr>
          <w:color w:val="231F20"/>
          <w:w w:val="110"/>
        </w:rPr>
        <w:t>le</w:t>
      </w:r>
      <w:r>
        <w:rPr>
          <w:color w:val="231F20"/>
          <w:spacing w:val="-10"/>
          <w:w w:val="110"/>
        </w:rPr>
        <w:t> </w:t>
      </w:r>
      <w:r>
        <w:rPr>
          <w:color w:val="231F20"/>
          <w:w w:val="110"/>
        </w:rPr>
        <w:t>permite</w:t>
      </w:r>
      <w:r>
        <w:rPr>
          <w:color w:val="231F20"/>
          <w:spacing w:val="-10"/>
          <w:w w:val="110"/>
        </w:rPr>
        <w:t> </w:t>
      </w:r>
      <w:r>
        <w:rPr>
          <w:color w:val="231F20"/>
          <w:w w:val="110"/>
        </w:rPr>
        <w:t>emitir</w:t>
      </w:r>
      <w:r>
        <w:rPr>
          <w:color w:val="231F20"/>
          <w:spacing w:val="-10"/>
          <w:w w:val="110"/>
        </w:rPr>
        <w:t> </w:t>
      </w:r>
      <w:r>
        <w:rPr>
          <w:color w:val="231F20"/>
          <w:w w:val="110"/>
        </w:rPr>
        <w:t>dólares</w:t>
      </w:r>
      <w:r>
        <w:rPr>
          <w:color w:val="231F20"/>
          <w:spacing w:val="-10"/>
          <w:w w:val="110"/>
        </w:rPr>
        <w:t> </w:t>
      </w:r>
      <w:r>
        <w:rPr>
          <w:color w:val="231F20"/>
          <w:w w:val="110"/>
        </w:rPr>
        <w:t>para</w:t>
      </w:r>
      <w:r>
        <w:rPr>
          <w:color w:val="231F20"/>
          <w:spacing w:val="-10"/>
          <w:w w:val="110"/>
        </w:rPr>
        <w:t> </w:t>
      </w:r>
      <w:r>
        <w:rPr>
          <w:color w:val="231F20"/>
          <w:w w:val="110"/>
        </w:rPr>
        <w:t>financiar</w:t>
      </w:r>
      <w:r>
        <w:rPr>
          <w:color w:val="231F20"/>
          <w:spacing w:val="-10"/>
          <w:w w:val="110"/>
        </w:rPr>
        <w:t> </w:t>
      </w:r>
      <w:r>
        <w:rPr>
          <w:color w:val="231F20"/>
          <w:w w:val="110"/>
        </w:rPr>
        <w:t>directamente</w:t>
      </w:r>
      <w:r>
        <w:rPr>
          <w:color w:val="231F20"/>
          <w:spacing w:val="-10"/>
          <w:w w:val="110"/>
        </w:rPr>
        <w:t> </w:t>
      </w:r>
      <w:r>
        <w:rPr>
          <w:color w:val="231F20"/>
          <w:w w:val="110"/>
        </w:rPr>
        <w:t>su gasto deficitario. En este esquema, entonces, la emisión de bonos</w:t>
      </w:r>
      <w:r>
        <w:rPr>
          <w:color w:val="231F20"/>
          <w:spacing w:val="-12"/>
          <w:w w:val="110"/>
        </w:rPr>
        <w:t> </w:t>
      </w:r>
      <w:r>
        <w:rPr>
          <w:color w:val="231F20"/>
          <w:w w:val="110"/>
        </w:rPr>
        <w:t>de deuda del </w:t>
      </w:r>
      <w:r>
        <w:rPr>
          <w:color w:val="231F20"/>
          <w:spacing w:val="-4"/>
          <w:w w:val="110"/>
        </w:rPr>
        <w:t>Tesoro </w:t>
      </w:r>
      <w:r>
        <w:rPr>
          <w:color w:val="231F20"/>
          <w:w w:val="110"/>
        </w:rPr>
        <w:t>de Estados Unidos juega el papel de instrumento de</w:t>
      </w:r>
      <w:r>
        <w:rPr>
          <w:color w:val="231F20"/>
          <w:spacing w:val="-9"/>
          <w:w w:val="110"/>
        </w:rPr>
        <w:t> </w:t>
      </w:r>
      <w:r>
        <w:rPr>
          <w:color w:val="231F20"/>
          <w:w w:val="110"/>
        </w:rPr>
        <w:t>control</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liquidez</w:t>
      </w:r>
      <w:r>
        <w:rPr>
          <w:color w:val="231F20"/>
          <w:spacing w:val="-9"/>
          <w:w w:val="110"/>
        </w:rPr>
        <w:t> </w:t>
      </w:r>
      <w:r>
        <w:rPr>
          <w:color w:val="231F20"/>
          <w:w w:val="110"/>
        </w:rPr>
        <w:t>y</w:t>
      </w:r>
      <w:r>
        <w:rPr>
          <w:color w:val="231F20"/>
          <w:spacing w:val="-9"/>
          <w:w w:val="110"/>
        </w:rPr>
        <w:t> </w:t>
      </w:r>
      <w:r>
        <w:rPr>
          <w:color w:val="231F20"/>
          <w:w w:val="110"/>
        </w:rPr>
        <w:t>las</w:t>
      </w:r>
      <w:r>
        <w:rPr>
          <w:color w:val="231F20"/>
          <w:spacing w:val="-9"/>
          <w:w w:val="110"/>
        </w:rPr>
        <w:t> </w:t>
      </w:r>
      <w:r>
        <w:rPr>
          <w:color w:val="231F20"/>
          <w:w w:val="110"/>
        </w:rPr>
        <w:t>tasas</w:t>
      </w:r>
      <w:r>
        <w:rPr>
          <w:color w:val="231F20"/>
          <w:spacing w:val="-9"/>
          <w:w w:val="110"/>
        </w:rPr>
        <w:t> </w:t>
      </w:r>
      <w:r>
        <w:rPr>
          <w:color w:val="231F20"/>
          <w:w w:val="110"/>
        </w:rPr>
        <w:t>de</w:t>
      </w:r>
      <w:r>
        <w:rPr>
          <w:color w:val="231F20"/>
          <w:spacing w:val="-9"/>
          <w:w w:val="110"/>
        </w:rPr>
        <w:t> </w:t>
      </w:r>
      <w:r>
        <w:rPr>
          <w:color w:val="231F20"/>
          <w:w w:val="110"/>
        </w:rPr>
        <w:t>interés</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sistema</w:t>
      </w:r>
      <w:r>
        <w:rPr>
          <w:color w:val="231F20"/>
          <w:spacing w:val="-9"/>
          <w:w w:val="110"/>
        </w:rPr>
        <w:t> </w:t>
      </w:r>
      <w:r>
        <w:rPr>
          <w:color w:val="231F20"/>
          <w:w w:val="110"/>
        </w:rPr>
        <w:t>financiero americano </w:t>
      </w:r>
      <w:r>
        <w:rPr>
          <w:color w:val="231F20"/>
          <w:spacing w:val="-4"/>
          <w:w w:val="110"/>
        </w:rPr>
        <w:t>(Wray,</w:t>
      </w:r>
      <w:r>
        <w:rPr>
          <w:color w:val="231F20"/>
          <w:spacing w:val="-21"/>
          <w:w w:val="110"/>
        </w:rPr>
        <w:t> </w:t>
      </w:r>
      <w:r>
        <w:rPr>
          <w:color w:val="231F20"/>
          <w:w w:val="110"/>
        </w:rPr>
        <w:t>2009).</w:t>
      </w:r>
    </w:p>
    <w:p>
      <w:pPr>
        <w:pStyle w:val="BodyText"/>
        <w:spacing w:line="261" w:lineRule="auto"/>
        <w:ind w:left="100" w:right="117" w:firstLine="240"/>
        <w:jc w:val="right"/>
      </w:pPr>
      <w:r>
        <w:rPr>
          <w:color w:val="231F20"/>
          <w:w w:val="110"/>
        </w:rPr>
        <w:t>La</w:t>
      </w:r>
      <w:r>
        <w:rPr>
          <w:color w:val="231F20"/>
          <w:spacing w:val="20"/>
          <w:w w:val="110"/>
        </w:rPr>
        <w:t> </w:t>
      </w:r>
      <w:r>
        <w:rPr>
          <w:color w:val="231F20"/>
          <w:w w:val="110"/>
        </w:rPr>
        <w:t>relación</w:t>
      </w:r>
      <w:r>
        <w:rPr>
          <w:color w:val="231F20"/>
          <w:spacing w:val="20"/>
          <w:w w:val="110"/>
        </w:rPr>
        <w:t> </w:t>
      </w:r>
      <w:r>
        <w:rPr>
          <w:color w:val="231F20"/>
          <w:w w:val="110"/>
        </w:rPr>
        <w:t>entre</w:t>
      </w:r>
      <w:r>
        <w:rPr>
          <w:color w:val="231F20"/>
          <w:spacing w:val="20"/>
          <w:w w:val="110"/>
        </w:rPr>
        <w:t> </w:t>
      </w:r>
      <w:r>
        <w:rPr>
          <w:color w:val="231F20"/>
          <w:w w:val="110"/>
        </w:rPr>
        <w:t>las</w:t>
      </w:r>
      <w:r>
        <w:rPr>
          <w:color w:val="231F20"/>
          <w:spacing w:val="20"/>
          <w:w w:val="110"/>
        </w:rPr>
        <w:t> </w:t>
      </w:r>
      <w:r>
        <w:rPr>
          <w:color w:val="231F20"/>
          <w:w w:val="110"/>
        </w:rPr>
        <w:t>hojas</w:t>
      </w:r>
      <w:r>
        <w:rPr>
          <w:color w:val="231F20"/>
          <w:spacing w:val="20"/>
          <w:w w:val="110"/>
        </w:rPr>
        <w:t> </w:t>
      </w:r>
      <w:r>
        <w:rPr>
          <w:color w:val="231F20"/>
          <w:w w:val="110"/>
        </w:rPr>
        <w:t>de</w:t>
      </w:r>
      <w:r>
        <w:rPr>
          <w:color w:val="231F20"/>
          <w:spacing w:val="20"/>
          <w:w w:val="110"/>
        </w:rPr>
        <w:t> </w:t>
      </w:r>
      <w:r>
        <w:rPr>
          <w:color w:val="231F20"/>
          <w:w w:val="110"/>
        </w:rPr>
        <w:t>balance</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sectores</w:t>
      </w:r>
      <w:r>
        <w:rPr>
          <w:color w:val="231F20"/>
          <w:spacing w:val="20"/>
          <w:w w:val="110"/>
        </w:rPr>
        <w:t> </w:t>
      </w:r>
      <w:r>
        <w:rPr>
          <w:color w:val="231F20"/>
          <w:w w:val="110"/>
        </w:rPr>
        <w:t>privado</w:t>
      </w:r>
      <w:r>
        <w:rPr>
          <w:color w:val="231F20"/>
          <w:spacing w:val="20"/>
          <w:w w:val="110"/>
        </w:rPr>
        <w:t> </w:t>
      </w:r>
      <w:r>
        <w:rPr>
          <w:color w:val="231F20"/>
          <w:w w:val="110"/>
        </w:rPr>
        <w:t>y</w:t>
      </w:r>
      <w:r>
        <w:rPr>
          <w:color w:val="231F20"/>
          <w:w w:val="84"/>
        </w:rPr>
        <w:t> </w:t>
      </w:r>
      <w:r>
        <w:rPr>
          <w:color w:val="231F20"/>
          <w:w w:val="110"/>
        </w:rPr>
        <w:t>público permite apuntar a una situación en la cual el</w:t>
      </w:r>
      <w:r>
        <w:rPr>
          <w:color w:val="231F20"/>
          <w:spacing w:val="11"/>
          <w:w w:val="110"/>
        </w:rPr>
        <w:t> </w:t>
      </w:r>
      <w:r>
        <w:rPr>
          <w:color w:val="231F20"/>
          <w:w w:val="110"/>
        </w:rPr>
        <w:t>déficit</w:t>
      </w:r>
      <w:r>
        <w:rPr>
          <w:color w:val="231F20"/>
          <w:spacing w:val="6"/>
          <w:w w:val="110"/>
        </w:rPr>
        <w:t> </w:t>
      </w:r>
      <w:r>
        <w:rPr>
          <w:color w:val="231F20"/>
          <w:w w:val="110"/>
        </w:rPr>
        <w:t>público</w:t>
      </w:r>
      <w:r>
        <w:rPr>
          <w:color w:val="231F20"/>
          <w:w w:val="110"/>
        </w:rPr>
        <w:t> </w:t>
      </w:r>
      <w:r>
        <w:rPr>
          <w:color w:val="231F20"/>
          <w:w w:val="110"/>
        </w:rPr>
        <w:t>lentamente ayudará al sector privado a recomponer sus hojas</w:t>
      </w:r>
      <w:r>
        <w:rPr>
          <w:color w:val="231F20"/>
          <w:spacing w:val="37"/>
          <w:w w:val="110"/>
        </w:rPr>
        <w:t> </w:t>
      </w:r>
      <w:r>
        <w:rPr>
          <w:color w:val="231F20"/>
          <w:w w:val="110"/>
        </w:rPr>
        <w:t>de</w:t>
      </w:r>
      <w:r>
        <w:rPr>
          <w:color w:val="231F20"/>
          <w:spacing w:val="4"/>
          <w:w w:val="110"/>
        </w:rPr>
        <w:t> </w:t>
      </w:r>
      <w:r>
        <w:rPr>
          <w:color w:val="231F20"/>
          <w:w w:val="110"/>
        </w:rPr>
        <w:t>ba-</w:t>
      </w:r>
      <w:r>
        <w:rPr>
          <w:color w:val="231F20"/>
          <w:w w:val="72"/>
        </w:rPr>
        <w:t> </w:t>
      </w:r>
      <w:r>
        <w:rPr>
          <w:color w:val="231F20"/>
          <w:w w:val="110"/>
        </w:rPr>
        <w:t>lance.</w:t>
      </w:r>
      <w:r>
        <w:rPr>
          <w:color w:val="231F20"/>
          <w:spacing w:val="-15"/>
          <w:w w:val="110"/>
        </w:rPr>
        <w:t> </w:t>
      </w:r>
      <w:r>
        <w:rPr>
          <w:color w:val="231F20"/>
          <w:w w:val="110"/>
        </w:rPr>
        <w:t>Los</w:t>
      </w:r>
      <w:r>
        <w:rPr>
          <w:color w:val="231F20"/>
          <w:spacing w:val="-15"/>
          <w:w w:val="110"/>
        </w:rPr>
        <w:t> </w:t>
      </w:r>
      <w:r>
        <w:rPr>
          <w:color w:val="231F20"/>
          <w:w w:val="110"/>
        </w:rPr>
        <w:t>mayores</w:t>
      </w:r>
      <w:r>
        <w:rPr>
          <w:color w:val="231F20"/>
          <w:spacing w:val="-15"/>
          <w:w w:val="110"/>
        </w:rPr>
        <w:t> </w:t>
      </w:r>
      <w:r>
        <w:rPr>
          <w:color w:val="231F20"/>
          <w:w w:val="110"/>
        </w:rPr>
        <w:t>ahorros</w:t>
      </w:r>
      <w:r>
        <w:rPr>
          <w:color w:val="231F20"/>
          <w:spacing w:val="-15"/>
          <w:w w:val="110"/>
        </w:rPr>
        <w:t> </w:t>
      </w:r>
      <w:r>
        <w:rPr>
          <w:color w:val="231F20"/>
          <w:w w:val="110"/>
        </w:rPr>
        <w:t>generados</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sector</w:t>
      </w:r>
      <w:r>
        <w:rPr>
          <w:color w:val="231F20"/>
          <w:spacing w:val="-15"/>
          <w:w w:val="110"/>
        </w:rPr>
        <w:t> </w:t>
      </w:r>
      <w:r>
        <w:rPr>
          <w:color w:val="231F20"/>
          <w:w w:val="110"/>
        </w:rPr>
        <w:t>privado,</w:t>
      </w:r>
      <w:r>
        <w:rPr>
          <w:color w:val="231F20"/>
          <w:spacing w:val="-15"/>
          <w:w w:val="110"/>
        </w:rPr>
        <w:t> </w:t>
      </w:r>
      <w:r>
        <w:rPr>
          <w:color w:val="231F20"/>
          <w:w w:val="110"/>
        </w:rPr>
        <w:t>producto</w:t>
      </w:r>
      <w:r>
        <w:rPr>
          <w:color w:val="231F20"/>
          <w:w w:val="113"/>
        </w:rPr>
        <w:t> </w:t>
      </w:r>
      <w:r>
        <w:rPr>
          <w:color w:val="231F20"/>
          <w:w w:val="110"/>
        </w:rPr>
        <w:t>del gasto deficitario del sector público, son canalizados a</w:t>
      </w:r>
      <w:r>
        <w:rPr>
          <w:color w:val="231F20"/>
          <w:spacing w:val="43"/>
          <w:w w:val="110"/>
        </w:rPr>
        <w:t> </w:t>
      </w:r>
      <w:r>
        <w:rPr>
          <w:color w:val="231F20"/>
          <w:w w:val="110"/>
        </w:rPr>
        <w:t>la</w:t>
      </w:r>
      <w:r>
        <w:rPr>
          <w:color w:val="231F20"/>
          <w:spacing w:val="4"/>
          <w:w w:val="110"/>
        </w:rPr>
        <w:t> </w:t>
      </w:r>
      <w:r>
        <w:rPr>
          <w:color w:val="231F20"/>
          <w:w w:val="110"/>
        </w:rPr>
        <w:t>compra</w:t>
      </w:r>
      <w:r>
        <w:rPr>
          <w:color w:val="231F20"/>
          <w:w w:val="111"/>
        </w:rPr>
        <w:t> </w:t>
      </w:r>
      <w:r>
        <w:rPr>
          <w:color w:val="231F20"/>
          <w:w w:val="110"/>
        </w:rPr>
        <w:t>de</w:t>
      </w:r>
      <w:r>
        <w:rPr>
          <w:color w:val="231F20"/>
          <w:spacing w:val="-5"/>
          <w:w w:val="110"/>
        </w:rPr>
        <w:t> </w:t>
      </w:r>
      <w:r>
        <w:rPr>
          <w:color w:val="231F20"/>
          <w:w w:val="110"/>
        </w:rPr>
        <w:t>bonos</w:t>
      </w:r>
      <w:r>
        <w:rPr>
          <w:color w:val="231F20"/>
          <w:spacing w:val="-5"/>
          <w:w w:val="110"/>
        </w:rPr>
        <w:t> </w:t>
      </w:r>
      <w:r>
        <w:rPr>
          <w:color w:val="231F20"/>
          <w:w w:val="110"/>
        </w:rPr>
        <w:t>del</w:t>
      </w:r>
      <w:r>
        <w:rPr>
          <w:color w:val="231F20"/>
          <w:spacing w:val="-5"/>
          <w:w w:val="110"/>
        </w:rPr>
        <w:t> </w:t>
      </w:r>
      <w:r>
        <w:rPr>
          <w:color w:val="231F20"/>
          <w:spacing w:val="-4"/>
          <w:w w:val="110"/>
        </w:rPr>
        <w:t>Tesoro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medida</w:t>
      </w:r>
      <w:r>
        <w:rPr>
          <w:color w:val="231F20"/>
          <w:spacing w:val="-5"/>
          <w:w w:val="110"/>
        </w:rPr>
        <w:t> </w:t>
      </w:r>
      <w:r>
        <w:rPr>
          <w:color w:val="231F20"/>
          <w:w w:val="110"/>
        </w:rPr>
        <w:t>en</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grueso</w:t>
      </w:r>
      <w:r>
        <w:rPr>
          <w:color w:val="231F20"/>
          <w:spacing w:val="-5"/>
          <w:w w:val="110"/>
        </w:rPr>
        <w:t> </w:t>
      </w:r>
      <w:r>
        <w:rPr>
          <w:color w:val="231F20"/>
          <w:w w:val="110"/>
        </w:rPr>
        <w:t>del</w:t>
      </w:r>
      <w:r>
        <w:rPr>
          <w:color w:val="231F20"/>
          <w:spacing w:val="-5"/>
          <w:w w:val="110"/>
        </w:rPr>
        <w:t> </w:t>
      </w:r>
      <w:r>
        <w:rPr>
          <w:color w:val="231F20"/>
          <w:w w:val="110"/>
        </w:rPr>
        <w:t>sector</w:t>
      </w:r>
      <w:r>
        <w:rPr>
          <w:color w:val="231F20"/>
          <w:spacing w:val="-5"/>
          <w:w w:val="110"/>
        </w:rPr>
        <w:t> </w:t>
      </w:r>
      <w:r>
        <w:rPr>
          <w:color w:val="231F20"/>
          <w:w w:val="110"/>
        </w:rPr>
        <w:t>privado</w:t>
      </w:r>
      <w:r>
        <w:rPr>
          <w:color w:val="231F20"/>
          <w:w w:val="108"/>
        </w:rPr>
        <w:t> </w:t>
      </w:r>
      <w:r>
        <w:rPr>
          <w:color w:val="231F20"/>
          <w:w w:val="110"/>
        </w:rPr>
        <w:t>tenga</w:t>
      </w:r>
      <w:r>
        <w:rPr>
          <w:color w:val="231F20"/>
          <w:spacing w:val="-19"/>
          <w:w w:val="110"/>
        </w:rPr>
        <w:t> </w:t>
      </w:r>
      <w:r>
        <w:rPr>
          <w:color w:val="231F20"/>
          <w:w w:val="110"/>
        </w:rPr>
        <w:t>problemas</w:t>
      </w:r>
      <w:r>
        <w:rPr>
          <w:color w:val="231F20"/>
          <w:spacing w:val="-19"/>
          <w:w w:val="110"/>
        </w:rPr>
        <w:t> </w:t>
      </w:r>
      <w:r>
        <w:rPr>
          <w:color w:val="231F20"/>
          <w:w w:val="110"/>
        </w:rPr>
        <w:t>de</w:t>
      </w:r>
      <w:r>
        <w:rPr>
          <w:color w:val="231F20"/>
          <w:spacing w:val="-19"/>
          <w:w w:val="110"/>
        </w:rPr>
        <w:t> </w:t>
      </w:r>
      <w:r>
        <w:rPr>
          <w:color w:val="231F20"/>
          <w:w w:val="110"/>
        </w:rPr>
        <w:t>solvencia.</w:t>
      </w:r>
      <w:r>
        <w:rPr>
          <w:color w:val="231F20"/>
          <w:spacing w:val="-19"/>
          <w:w w:val="110"/>
        </w:rPr>
        <w:t> </w:t>
      </w:r>
      <w:r>
        <w:rPr>
          <w:color w:val="231F20"/>
          <w:w w:val="110"/>
        </w:rPr>
        <w:t>Este</w:t>
      </w:r>
      <w:r>
        <w:rPr>
          <w:color w:val="231F20"/>
          <w:spacing w:val="-19"/>
          <w:w w:val="110"/>
        </w:rPr>
        <w:t> </w:t>
      </w:r>
      <w:r>
        <w:rPr>
          <w:color w:val="231F20"/>
          <w:w w:val="110"/>
        </w:rPr>
        <w:t>tipo</w:t>
      </w:r>
      <w:r>
        <w:rPr>
          <w:color w:val="231F20"/>
          <w:spacing w:val="-19"/>
          <w:w w:val="110"/>
        </w:rPr>
        <w:t> </w:t>
      </w:r>
      <w:r>
        <w:rPr>
          <w:color w:val="231F20"/>
          <w:w w:val="110"/>
        </w:rPr>
        <w:t>de</w:t>
      </w:r>
      <w:r>
        <w:rPr>
          <w:color w:val="231F20"/>
          <w:spacing w:val="-19"/>
          <w:w w:val="110"/>
        </w:rPr>
        <w:t> </w:t>
      </w:r>
      <w:r>
        <w:rPr>
          <w:color w:val="231F20"/>
          <w:w w:val="110"/>
        </w:rPr>
        <w:t>recomposición</w:t>
      </w:r>
      <w:r>
        <w:rPr>
          <w:color w:val="231F20"/>
          <w:spacing w:val="-19"/>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hojas</w:t>
      </w:r>
      <w:r>
        <w:rPr>
          <w:color w:val="231F20"/>
          <w:w w:val="107"/>
        </w:rPr>
        <w:t> </w:t>
      </w:r>
      <w:r>
        <w:rPr>
          <w:color w:val="231F20"/>
          <w:w w:val="110"/>
        </w:rPr>
        <w:t>de</w:t>
      </w:r>
      <w:r>
        <w:rPr>
          <w:color w:val="231F20"/>
          <w:spacing w:val="-13"/>
          <w:w w:val="110"/>
        </w:rPr>
        <w:t> </w:t>
      </w:r>
      <w:r>
        <w:rPr>
          <w:color w:val="231F20"/>
          <w:w w:val="110"/>
        </w:rPr>
        <w:t>balance,</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cual</w:t>
      </w:r>
      <w:r>
        <w:rPr>
          <w:color w:val="231F20"/>
          <w:spacing w:val="-13"/>
          <w:w w:val="110"/>
        </w:rPr>
        <w:t> </w:t>
      </w:r>
      <w:r>
        <w:rPr>
          <w:color w:val="231F20"/>
          <w:w w:val="110"/>
        </w:rPr>
        <w:t>se</w:t>
      </w:r>
      <w:r>
        <w:rPr>
          <w:color w:val="231F20"/>
          <w:spacing w:val="-13"/>
          <w:w w:val="110"/>
        </w:rPr>
        <w:t> </w:t>
      </w:r>
      <w:r>
        <w:rPr>
          <w:color w:val="231F20"/>
          <w:w w:val="110"/>
        </w:rPr>
        <w:t>incrementó</w:t>
      </w:r>
      <w:r>
        <w:rPr>
          <w:color w:val="231F20"/>
          <w:spacing w:val="-13"/>
          <w:w w:val="110"/>
        </w:rPr>
        <w:t> </w:t>
      </w:r>
      <w:r>
        <w:rPr>
          <w:color w:val="231F20"/>
          <w:w w:val="110"/>
        </w:rPr>
        <w:t>progresivamente</w:t>
      </w:r>
      <w:r>
        <w:rPr>
          <w:color w:val="231F20"/>
          <w:spacing w:val="-13"/>
          <w:w w:val="110"/>
        </w:rPr>
        <w:t> </w:t>
      </w:r>
      <w:r>
        <w:rPr>
          <w:color w:val="231F20"/>
          <w:w w:val="110"/>
        </w:rPr>
        <w:t>la</w:t>
      </w:r>
      <w:r>
        <w:rPr>
          <w:color w:val="231F20"/>
          <w:spacing w:val="-13"/>
          <w:w w:val="110"/>
        </w:rPr>
        <w:t> </w:t>
      </w:r>
      <w:r>
        <w:rPr>
          <w:color w:val="231F20"/>
          <w:w w:val="110"/>
        </w:rPr>
        <w:t>participación</w:t>
      </w:r>
      <w:r>
        <w:rPr>
          <w:color w:val="231F20"/>
          <w:w w:val="110"/>
        </w:rPr>
        <w:t> </w:t>
      </w:r>
      <w:r>
        <w:rPr>
          <w:color w:val="231F20"/>
          <w:w w:val="110"/>
        </w:rPr>
        <w:t>de la deuda pública en las hojas de balance del sector</w:t>
      </w:r>
      <w:r>
        <w:rPr>
          <w:color w:val="231F20"/>
          <w:spacing w:val="30"/>
          <w:w w:val="110"/>
        </w:rPr>
        <w:t> </w:t>
      </w:r>
      <w:r>
        <w:rPr>
          <w:color w:val="231F20"/>
          <w:w w:val="110"/>
        </w:rPr>
        <w:t>privado,</w:t>
      </w:r>
      <w:r>
        <w:rPr>
          <w:color w:val="231F20"/>
          <w:spacing w:val="7"/>
          <w:w w:val="110"/>
        </w:rPr>
        <w:t> </w:t>
      </w:r>
      <w:r>
        <w:rPr>
          <w:color w:val="231F20"/>
          <w:w w:val="110"/>
        </w:rPr>
        <w:t>tuvo</w:t>
      </w:r>
      <w:r>
        <w:rPr>
          <w:color w:val="231F20"/>
          <w:w w:val="105"/>
        </w:rPr>
        <w:t> </w:t>
      </w:r>
      <w:r>
        <w:rPr>
          <w:color w:val="231F20"/>
          <w:w w:val="110"/>
        </w:rPr>
        <w:t>lugar en Estados Unidos durante la gran depresión. En</w:t>
      </w:r>
      <w:r>
        <w:rPr>
          <w:color w:val="231F20"/>
          <w:spacing w:val="4"/>
          <w:w w:val="110"/>
        </w:rPr>
        <w:t> </w:t>
      </w:r>
      <w:r>
        <w:rPr>
          <w:color w:val="231F20"/>
          <w:w w:val="110"/>
        </w:rPr>
        <w:t>este</w:t>
      </w:r>
      <w:r>
        <w:rPr>
          <w:color w:val="231F20"/>
          <w:spacing w:val="12"/>
          <w:w w:val="110"/>
        </w:rPr>
        <w:t> </w:t>
      </w:r>
      <w:r>
        <w:rPr>
          <w:color w:val="231F20"/>
          <w:w w:val="110"/>
        </w:rPr>
        <w:t>sentido</w:t>
      </w:r>
      <w:r>
        <w:rPr>
          <w:color w:val="231F20"/>
          <w:w w:val="110"/>
        </w:rPr>
        <w:t> </w:t>
      </w:r>
      <w:r>
        <w:rPr>
          <w:color w:val="231F20"/>
          <w:w w:val="110"/>
        </w:rPr>
        <w:t>las perspectivas no son muy buenas. </w:t>
      </w:r>
      <w:r>
        <w:rPr>
          <w:color w:val="231F20"/>
          <w:spacing w:val="-5"/>
          <w:w w:val="110"/>
        </w:rPr>
        <w:t>Tomó </w:t>
      </w:r>
      <w:r>
        <w:rPr>
          <w:color w:val="231F20"/>
          <w:w w:val="110"/>
        </w:rPr>
        <w:t>cerca de 20 años</w:t>
      </w:r>
      <w:r>
        <w:rPr>
          <w:color w:val="231F20"/>
          <w:spacing w:val="15"/>
          <w:w w:val="110"/>
        </w:rPr>
        <w:t> </w:t>
      </w:r>
      <w:r>
        <w:rPr>
          <w:color w:val="231F20"/>
          <w:w w:val="110"/>
        </w:rPr>
        <w:t>y</w:t>
      </w:r>
      <w:r>
        <w:rPr>
          <w:color w:val="231F20"/>
          <w:spacing w:val="16"/>
          <w:w w:val="110"/>
        </w:rPr>
        <w:t> </w:t>
      </w:r>
      <w:r>
        <w:rPr>
          <w:color w:val="231F20"/>
          <w:w w:val="110"/>
        </w:rPr>
        <w:t>una</w:t>
      </w:r>
      <w:r>
        <w:rPr>
          <w:color w:val="231F20"/>
          <w:w w:val="114"/>
        </w:rPr>
        <w:t> </w:t>
      </w:r>
      <w:r>
        <w:rPr>
          <w:color w:val="231F20"/>
          <w:w w:val="110"/>
        </w:rPr>
        <w:t>expansión</w:t>
      </w:r>
      <w:r>
        <w:rPr>
          <w:color w:val="231F20"/>
          <w:spacing w:val="-7"/>
          <w:w w:val="110"/>
        </w:rPr>
        <w:t> </w:t>
      </w:r>
      <w:r>
        <w:rPr>
          <w:color w:val="231F20"/>
          <w:w w:val="110"/>
        </w:rPr>
        <w:t>masiva</w:t>
      </w:r>
      <w:r>
        <w:rPr>
          <w:color w:val="231F20"/>
          <w:spacing w:val="-7"/>
          <w:w w:val="110"/>
        </w:rPr>
        <w:t> </w:t>
      </w:r>
      <w:r>
        <w:rPr>
          <w:color w:val="231F20"/>
          <w:w w:val="110"/>
        </w:rPr>
        <w:t>del</w:t>
      </w:r>
      <w:r>
        <w:rPr>
          <w:color w:val="231F20"/>
          <w:spacing w:val="-7"/>
          <w:w w:val="110"/>
        </w:rPr>
        <w:t> </w:t>
      </w:r>
      <w:r>
        <w:rPr>
          <w:color w:val="231F20"/>
          <w:w w:val="110"/>
        </w:rPr>
        <w:t>gasto</w:t>
      </w:r>
      <w:r>
        <w:rPr>
          <w:color w:val="231F20"/>
          <w:spacing w:val="-7"/>
          <w:w w:val="110"/>
        </w:rPr>
        <w:t> </w:t>
      </w:r>
      <w:r>
        <w:rPr>
          <w:color w:val="231F20"/>
          <w:w w:val="110"/>
        </w:rPr>
        <w:t>público</w:t>
      </w:r>
      <w:r>
        <w:rPr>
          <w:color w:val="231F20"/>
          <w:spacing w:val="-7"/>
          <w:w w:val="110"/>
        </w:rPr>
        <w:t> </w:t>
      </w:r>
      <w:r>
        <w:rPr>
          <w:color w:val="231F20"/>
          <w:w w:val="110"/>
        </w:rPr>
        <w:t>generar</w:t>
      </w:r>
      <w:r>
        <w:rPr>
          <w:color w:val="231F20"/>
          <w:spacing w:val="-7"/>
          <w:w w:val="110"/>
        </w:rPr>
        <w:t> </w:t>
      </w:r>
      <w:r>
        <w:rPr>
          <w:color w:val="231F20"/>
          <w:w w:val="110"/>
        </w:rPr>
        <w:t>el</w:t>
      </w:r>
      <w:r>
        <w:rPr>
          <w:color w:val="231F20"/>
          <w:spacing w:val="-7"/>
          <w:w w:val="110"/>
        </w:rPr>
        <w:t> </w:t>
      </w:r>
      <w:r>
        <w:rPr>
          <w:color w:val="231F20"/>
          <w:w w:val="110"/>
        </w:rPr>
        <w:t>volumen</w:t>
      </w:r>
      <w:r>
        <w:rPr>
          <w:color w:val="231F20"/>
          <w:spacing w:val="-7"/>
          <w:w w:val="110"/>
        </w:rPr>
        <w:t> </w:t>
      </w:r>
      <w:r>
        <w:rPr>
          <w:color w:val="231F20"/>
          <w:w w:val="110"/>
        </w:rPr>
        <w:t>suficiente</w:t>
      </w:r>
      <w:r>
        <w:rPr>
          <w:color w:val="231F20"/>
          <w:spacing w:val="-7"/>
          <w:w w:val="110"/>
        </w:rPr>
        <w:t> </w:t>
      </w:r>
      <w:r>
        <w:rPr>
          <w:color w:val="231F20"/>
          <w:w w:val="110"/>
        </w:rPr>
        <w:t>de</w:t>
      </w:r>
      <w:r>
        <w:rPr>
          <w:color w:val="231F20"/>
          <w:w w:val="114"/>
        </w:rPr>
        <w:t> </w:t>
      </w:r>
      <w:r>
        <w:rPr>
          <w:color w:val="231F20"/>
          <w:w w:val="110"/>
        </w:rPr>
        <w:t>activos</w:t>
      </w:r>
      <w:r>
        <w:rPr>
          <w:color w:val="231F20"/>
          <w:spacing w:val="-15"/>
          <w:w w:val="110"/>
        </w:rPr>
        <w:t> </w:t>
      </w:r>
      <w:r>
        <w:rPr>
          <w:color w:val="231F20"/>
          <w:w w:val="110"/>
        </w:rPr>
        <w:t>e</w:t>
      </w:r>
      <w:r>
        <w:rPr>
          <w:color w:val="231F20"/>
          <w:spacing w:val="-15"/>
          <w:w w:val="110"/>
        </w:rPr>
        <w:t> </w:t>
      </w:r>
      <w:r>
        <w:rPr>
          <w:color w:val="231F20"/>
          <w:w w:val="110"/>
        </w:rPr>
        <w:t>ingreso</w:t>
      </w:r>
      <w:r>
        <w:rPr>
          <w:color w:val="231F20"/>
          <w:spacing w:val="-15"/>
          <w:w w:val="110"/>
        </w:rPr>
        <w:t> </w:t>
      </w:r>
      <w:r>
        <w:rPr>
          <w:color w:val="231F20"/>
          <w:w w:val="110"/>
        </w:rPr>
        <w:t>requeridos</w:t>
      </w:r>
      <w:r>
        <w:rPr>
          <w:color w:val="231F20"/>
          <w:spacing w:val="-15"/>
          <w:w w:val="110"/>
        </w:rPr>
        <w:t> </w:t>
      </w:r>
      <w:r>
        <w:rPr>
          <w:color w:val="231F20"/>
          <w:w w:val="110"/>
        </w:rPr>
        <w:t>para</w:t>
      </w:r>
      <w:r>
        <w:rPr>
          <w:color w:val="231F20"/>
          <w:spacing w:val="-15"/>
          <w:w w:val="110"/>
        </w:rPr>
        <w:t> </w:t>
      </w:r>
      <w:r>
        <w:rPr>
          <w:color w:val="231F20"/>
          <w:w w:val="110"/>
        </w:rPr>
        <w:t>volver</w:t>
      </w:r>
      <w:r>
        <w:rPr>
          <w:color w:val="231F20"/>
          <w:spacing w:val="-15"/>
          <w:w w:val="110"/>
        </w:rPr>
        <w:t> </w:t>
      </w:r>
      <w:r>
        <w:rPr>
          <w:color w:val="231F20"/>
          <w:w w:val="110"/>
        </w:rPr>
        <w:t>a</w:t>
      </w:r>
      <w:r>
        <w:rPr>
          <w:color w:val="231F20"/>
          <w:spacing w:val="-15"/>
          <w:w w:val="110"/>
        </w:rPr>
        <w:t> </w:t>
      </w:r>
      <w:r>
        <w:rPr>
          <w:color w:val="231F20"/>
          <w:w w:val="110"/>
        </w:rPr>
        <w:t>colocar</w:t>
      </w:r>
      <w:r>
        <w:rPr>
          <w:color w:val="231F20"/>
          <w:spacing w:val="-15"/>
          <w:w w:val="110"/>
        </w:rPr>
        <w:t> </w:t>
      </w:r>
      <w:r>
        <w:rPr>
          <w:color w:val="231F20"/>
          <w:w w:val="110"/>
        </w:rPr>
        <w:t>al</w:t>
      </w:r>
      <w:r>
        <w:rPr>
          <w:color w:val="231F20"/>
          <w:spacing w:val="-15"/>
          <w:w w:val="110"/>
        </w:rPr>
        <w:t> </w:t>
      </w:r>
      <w:r>
        <w:rPr>
          <w:color w:val="231F20"/>
          <w:w w:val="110"/>
        </w:rPr>
        <w:t>sector</w:t>
      </w:r>
      <w:r>
        <w:rPr>
          <w:color w:val="231F20"/>
          <w:spacing w:val="-15"/>
          <w:w w:val="110"/>
        </w:rPr>
        <w:t> </w:t>
      </w:r>
      <w:r>
        <w:rPr>
          <w:color w:val="231F20"/>
          <w:w w:val="110"/>
        </w:rPr>
        <w:t>privado</w:t>
      </w:r>
      <w:r>
        <w:rPr>
          <w:color w:val="231F20"/>
          <w:spacing w:val="-15"/>
          <w:w w:val="110"/>
        </w:rPr>
        <w:t> </w:t>
      </w:r>
      <w:r>
        <w:rPr>
          <w:color w:val="231F20"/>
          <w:w w:val="110"/>
        </w:rPr>
        <w:t>en</w:t>
      </w:r>
      <w:r>
        <w:rPr>
          <w:color w:val="231F20"/>
          <w:w w:val="116"/>
        </w:rPr>
        <w:t> </w:t>
      </w:r>
      <w:r>
        <w:rPr>
          <w:color w:val="231F20"/>
          <w:w w:val="110"/>
        </w:rPr>
        <w:t>una</w:t>
      </w:r>
      <w:r>
        <w:rPr>
          <w:color w:val="231F20"/>
          <w:spacing w:val="-12"/>
          <w:w w:val="110"/>
        </w:rPr>
        <w:t> </w:t>
      </w:r>
      <w:r>
        <w:rPr>
          <w:color w:val="231F20"/>
          <w:w w:val="110"/>
        </w:rPr>
        <w:t>situación</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cual</w:t>
      </w:r>
      <w:r>
        <w:rPr>
          <w:color w:val="231F20"/>
          <w:spacing w:val="-12"/>
          <w:w w:val="110"/>
        </w:rPr>
        <w:t> </w:t>
      </w:r>
      <w:r>
        <w:rPr>
          <w:color w:val="231F20"/>
          <w:w w:val="110"/>
        </w:rPr>
        <w:t>sus</w:t>
      </w:r>
      <w:r>
        <w:rPr>
          <w:color w:val="231F20"/>
          <w:spacing w:val="-12"/>
          <w:w w:val="110"/>
        </w:rPr>
        <w:t> </w:t>
      </w:r>
      <w:r>
        <w:rPr>
          <w:color w:val="231F20"/>
          <w:w w:val="110"/>
        </w:rPr>
        <w:t>hojas</w:t>
      </w:r>
      <w:r>
        <w:rPr>
          <w:color w:val="231F20"/>
          <w:spacing w:val="-12"/>
          <w:w w:val="110"/>
        </w:rPr>
        <w:t> </w:t>
      </w:r>
      <w:r>
        <w:rPr>
          <w:color w:val="231F20"/>
          <w:w w:val="110"/>
        </w:rPr>
        <w:t>de</w:t>
      </w:r>
      <w:r>
        <w:rPr>
          <w:color w:val="231F20"/>
          <w:spacing w:val="-12"/>
          <w:w w:val="110"/>
        </w:rPr>
        <w:t> </w:t>
      </w:r>
      <w:r>
        <w:rPr>
          <w:color w:val="231F20"/>
          <w:w w:val="110"/>
        </w:rPr>
        <w:t>balance</w:t>
      </w:r>
      <w:r>
        <w:rPr>
          <w:color w:val="231F20"/>
          <w:spacing w:val="-12"/>
          <w:w w:val="110"/>
        </w:rPr>
        <w:t> </w:t>
      </w:r>
      <w:r>
        <w:rPr>
          <w:color w:val="231F20"/>
          <w:w w:val="110"/>
        </w:rPr>
        <w:t>fuesen</w:t>
      </w:r>
      <w:r>
        <w:rPr>
          <w:color w:val="231F20"/>
          <w:spacing w:val="-12"/>
          <w:w w:val="110"/>
        </w:rPr>
        <w:t> </w:t>
      </w:r>
      <w:r>
        <w:rPr>
          <w:color w:val="231F20"/>
          <w:w w:val="110"/>
        </w:rPr>
        <w:t>lo</w:t>
      </w:r>
      <w:r>
        <w:rPr>
          <w:color w:val="231F20"/>
          <w:spacing w:val="-12"/>
          <w:w w:val="110"/>
        </w:rPr>
        <w:t> </w:t>
      </w:r>
      <w:r>
        <w:rPr>
          <w:color w:val="231F20"/>
          <w:w w:val="110"/>
        </w:rPr>
        <w:t>suficientemen-</w:t>
      </w:r>
      <w:r>
        <w:rPr>
          <w:color w:val="231F20"/>
          <w:w w:val="72"/>
        </w:rPr>
        <w:t> </w:t>
      </w:r>
      <w:r>
        <w:rPr>
          <w:color w:val="231F20"/>
          <w:w w:val="110"/>
        </w:rPr>
        <w:t>te</w:t>
      </w:r>
      <w:r>
        <w:rPr>
          <w:color w:val="231F20"/>
          <w:spacing w:val="-14"/>
          <w:w w:val="110"/>
        </w:rPr>
        <w:t> </w:t>
      </w:r>
      <w:r>
        <w:rPr>
          <w:color w:val="231F20"/>
          <w:w w:val="110"/>
        </w:rPr>
        <w:t>sólidas</w:t>
      </w:r>
      <w:r>
        <w:rPr>
          <w:color w:val="231F20"/>
          <w:spacing w:val="-14"/>
          <w:w w:val="110"/>
        </w:rPr>
        <w:t> </w:t>
      </w:r>
      <w:r>
        <w:rPr>
          <w:color w:val="231F20"/>
          <w:w w:val="110"/>
        </w:rPr>
        <w:t>para</w:t>
      </w:r>
      <w:r>
        <w:rPr>
          <w:color w:val="231F20"/>
          <w:spacing w:val="-14"/>
          <w:w w:val="110"/>
        </w:rPr>
        <w:t> </w:t>
      </w:r>
      <w:r>
        <w:rPr>
          <w:color w:val="231F20"/>
          <w:w w:val="110"/>
        </w:rPr>
        <w:t>impulsar</w:t>
      </w:r>
      <w:r>
        <w:rPr>
          <w:color w:val="231F20"/>
          <w:spacing w:val="-14"/>
          <w:w w:val="110"/>
        </w:rPr>
        <w:t> </w:t>
      </w:r>
      <w:r>
        <w:rPr>
          <w:color w:val="231F20"/>
          <w:w w:val="110"/>
        </w:rPr>
        <w:t>un</w:t>
      </w:r>
      <w:r>
        <w:rPr>
          <w:color w:val="231F20"/>
          <w:spacing w:val="-14"/>
          <w:w w:val="110"/>
        </w:rPr>
        <w:t> </w:t>
      </w:r>
      <w:r>
        <w:rPr>
          <w:color w:val="231F20"/>
          <w:w w:val="110"/>
        </w:rPr>
        <w:t>nuevo</w:t>
      </w:r>
      <w:r>
        <w:rPr>
          <w:color w:val="231F20"/>
          <w:spacing w:val="-14"/>
          <w:w w:val="110"/>
        </w:rPr>
        <w:t> </w:t>
      </w:r>
      <w:r>
        <w:rPr>
          <w:color w:val="231F20"/>
          <w:w w:val="110"/>
        </w:rPr>
        <w:t>ciclo</w:t>
      </w:r>
      <w:r>
        <w:rPr>
          <w:color w:val="231F20"/>
          <w:spacing w:val="-14"/>
          <w:w w:val="110"/>
        </w:rPr>
        <w:t> </w:t>
      </w:r>
      <w:r>
        <w:rPr>
          <w:color w:val="231F20"/>
          <w:w w:val="110"/>
        </w:rPr>
        <w:t>de</w:t>
      </w:r>
      <w:r>
        <w:rPr>
          <w:color w:val="231F20"/>
          <w:spacing w:val="-14"/>
          <w:w w:val="110"/>
        </w:rPr>
        <w:t> </w:t>
      </w:r>
      <w:r>
        <w:rPr>
          <w:color w:val="231F20"/>
          <w:w w:val="110"/>
        </w:rPr>
        <w:t>crecimiento</w:t>
      </w:r>
      <w:r>
        <w:rPr>
          <w:color w:val="231F20"/>
          <w:spacing w:val="-14"/>
          <w:w w:val="110"/>
        </w:rPr>
        <w:t> </w:t>
      </w:r>
      <w:r>
        <w:rPr>
          <w:color w:val="231F20"/>
          <w:w w:val="110"/>
        </w:rPr>
        <w:t>de</w:t>
      </w:r>
      <w:r>
        <w:rPr>
          <w:color w:val="231F20"/>
          <w:spacing w:val="-14"/>
          <w:w w:val="110"/>
        </w:rPr>
        <w:t> </w:t>
      </w:r>
      <w:r>
        <w:rPr>
          <w:color w:val="231F20"/>
          <w:w w:val="110"/>
        </w:rPr>
        <w:t>largo</w:t>
      </w:r>
      <w:r>
        <w:rPr>
          <w:color w:val="231F20"/>
          <w:spacing w:val="-14"/>
          <w:w w:val="110"/>
        </w:rPr>
        <w:t> </w:t>
      </w:r>
      <w:r>
        <w:rPr>
          <w:color w:val="231F20"/>
          <w:w w:val="110"/>
        </w:rPr>
        <w:t>plazo.</w:t>
      </w:r>
      <w:r>
        <w:rPr>
          <w:color w:val="231F20"/>
          <w:w w:val="106"/>
        </w:rPr>
        <w:t> </w:t>
      </w:r>
      <w:r>
        <w:rPr>
          <w:color w:val="231F20"/>
          <w:w w:val="110"/>
        </w:rPr>
        <w:t>Por</w:t>
      </w:r>
      <w:r>
        <w:rPr>
          <w:color w:val="231F20"/>
          <w:spacing w:val="24"/>
          <w:w w:val="110"/>
        </w:rPr>
        <w:t> </w:t>
      </w:r>
      <w:r>
        <w:rPr>
          <w:color w:val="231F20"/>
          <w:w w:val="110"/>
        </w:rPr>
        <w:t>otra</w:t>
      </w:r>
      <w:r>
        <w:rPr>
          <w:color w:val="231F20"/>
          <w:spacing w:val="24"/>
          <w:w w:val="110"/>
        </w:rPr>
        <w:t> </w:t>
      </w:r>
      <w:r>
        <w:rPr>
          <w:color w:val="231F20"/>
          <w:w w:val="110"/>
        </w:rPr>
        <w:t>parte,</w:t>
      </w:r>
      <w:r>
        <w:rPr>
          <w:color w:val="231F20"/>
          <w:spacing w:val="24"/>
          <w:w w:val="110"/>
        </w:rPr>
        <w:t> </w:t>
      </w:r>
      <w:r>
        <w:rPr>
          <w:color w:val="231F20"/>
          <w:w w:val="110"/>
        </w:rPr>
        <w:t>cualquier</w:t>
      </w:r>
      <w:r>
        <w:rPr>
          <w:color w:val="231F20"/>
          <w:spacing w:val="24"/>
          <w:w w:val="110"/>
        </w:rPr>
        <w:t> </w:t>
      </w:r>
      <w:r>
        <w:rPr>
          <w:color w:val="231F20"/>
          <w:w w:val="110"/>
        </w:rPr>
        <w:t>intento</w:t>
      </w:r>
      <w:r>
        <w:rPr>
          <w:color w:val="231F20"/>
          <w:spacing w:val="24"/>
          <w:w w:val="110"/>
        </w:rPr>
        <w:t> </w:t>
      </w:r>
      <w:r>
        <w:rPr>
          <w:color w:val="231F20"/>
          <w:w w:val="110"/>
        </w:rPr>
        <w:t>por</w:t>
      </w:r>
      <w:r>
        <w:rPr>
          <w:color w:val="231F20"/>
          <w:spacing w:val="24"/>
          <w:w w:val="110"/>
        </w:rPr>
        <w:t> </w:t>
      </w:r>
      <w:r>
        <w:rPr>
          <w:color w:val="231F20"/>
          <w:w w:val="110"/>
        </w:rPr>
        <w:t>parte</w:t>
      </w:r>
      <w:r>
        <w:rPr>
          <w:color w:val="231F20"/>
          <w:spacing w:val="24"/>
          <w:w w:val="110"/>
        </w:rPr>
        <w:t> </w:t>
      </w:r>
      <w:r>
        <w:rPr>
          <w:color w:val="231F20"/>
          <w:w w:val="110"/>
        </w:rPr>
        <w:t>del</w:t>
      </w:r>
      <w:r>
        <w:rPr>
          <w:color w:val="231F20"/>
          <w:spacing w:val="24"/>
          <w:w w:val="110"/>
        </w:rPr>
        <w:t> </w:t>
      </w:r>
      <w:r>
        <w:rPr>
          <w:color w:val="231F20"/>
          <w:w w:val="110"/>
        </w:rPr>
        <w:t>sector</w:t>
      </w:r>
      <w:r>
        <w:rPr>
          <w:color w:val="231F20"/>
          <w:spacing w:val="24"/>
          <w:w w:val="110"/>
        </w:rPr>
        <w:t> </w:t>
      </w:r>
      <w:r>
        <w:rPr>
          <w:color w:val="231F20"/>
          <w:w w:val="110"/>
        </w:rPr>
        <w:t>público</w:t>
      </w:r>
      <w:r>
        <w:rPr>
          <w:color w:val="231F20"/>
          <w:spacing w:val="24"/>
          <w:w w:val="110"/>
        </w:rPr>
        <w:t> </w:t>
      </w:r>
      <w:r>
        <w:rPr>
          <w:color w:val="231F20"/>
          <w:w w:val="110"/>
        </w:rPr>
        <w:t>de</w:t>
      </w:r>
      <w:r>
        <w:rPr>
          <w:color w:val="231F20"/>
          <w:w w:val="114"/>
        </w:rPr>
        <w:t> </w:t>
      </w:r>
      <w:r>
        <w:rPr>
          <w:color w:val="231F20"/>
          <w:w w:val="110"/>
        </w:rPr>
        <w:t>reducir</w:t>
      </w:r>
      <w:r>
        <w:rPr>
          <w:color w:val="231F20"/>
          <w:spacing w:val="33"/>
          <w:w w:val="110"/>
        </w:rPr>
        <w:t> </w:t>
      </w:r>
      <w:r>
        <w:rPr>
          <w:color w:val="231F20"/>
          <w:w w:val="110"/>
        </w:rPr>
        <w:t>su</w:t>
      </w:r>
      <w:r>
        <w:rPr>
          <w:color w:val="231F20"/>
          <w:spacing w:val="33"/>
          <w:w w:val="110"/>
        </w:rPr>
        <w:t> </w:t>
      </w:r>
      <w:r>
        <w:rPr>
          <w:color w:val="231F20"/>
          <w:w w:val="110"/>
        </w:rPr>
        <w:t>déficit,</w:t>
      </w:r>
      <w:r>
        <w:rPr>
          <w:color w:val="231F20"/>
          <w:spacing w:val="33"/>
          <w:w w:val="110"/>
        </w:rPr>
        <w:t> </w:t>
      </w:r>
      <w:r>
        <w:rPr>
          <w:color w:val="231F20"/>
          <w:w w:val="110"/>
        </w:rPr>
        <w:t>afectará</w:t>
      </w:r>
      <w:r>
        <w:rPr>
          <w:color w:val="231F20"/>
          <w:spacing w:val="33"/>
          <w:w w:val="110"/>
        </w:rPr>
        <w:t> </w:t>
      </w:r>
      <w:r>
        <w:rPr>
          <w:color w:val="231F20"/>
          <w:w w:val="110"/>
        </w:rPr>
        <w:t>de</w:t>
      </w:r>
      <w:r>
        <w:rPr>
          <w:color w:val="231F20"/>
          <w:spacing w:val="33"/>
          <w:w w:val="110"/>
        </w:rPr>
        <w:t> </w:t>
      </w:r>
      <w:r>
        <w:rPr>
          <w:color w:val="231F20"/>
          <w:w w:val="110"/>
        </w:rPr>
        <w:t>forma</w:t>
      </w:r>
      <w:r>
        <w:rPr>
          <w:color w:val="231F20"/>
          <w:spacing w:val="33"/>
          <w:w w:val="110"/>
        </w:rPr>
        <w:t> </w:t>
      </w:r>
      <w:r>
        <w:rPr>
          <w:color w:val="231F20"/>
          <w:w w:val="110"/>
        </w:rPr>
        <w:t>negativa</w:t>
      </w:r>
      <w:r>
        <w:rPr>
          <w:color w:val="231F20"/>
          <w:spacing w:val="33"/>
          <w:w w:val="110"/>
        </w:rPr>
        <w:t> </w:t>
      </w:r>
      <w:r>
        <w:rPr>
          <w:color w:val="231F20"/>
          <w:w w:val="110"/>
        </w:rPr>
        <w:t>el</w:t>
      </w:r>
      <w:r>
        <w:rPr>
          <w:color w:val="231F20"/>
          <w:spacing w:val="33"/>
          <w:w w:val="110"/>
        </w:rPr>
        <w:t> </w:t>
      </w:r>
      <w:r>
        <w:rPr>
          <w:color w:val="231F20"/>
          <w:w w:val="110"/>
        </w:rPr>
        <w:t>intento</w:t>
      </w:r>
      <w:r>
        <w:rPr>
          <w:color w:val="231F20"/>
          <w:spacing w:val="33"/>
          <w:w w:val="110"/>
        </w:rPr>
        <w:t> </w:t>
      </w:r>
      <w:r>
        <w:rPr>
          <w:color w:val="231F20"/>
          <w:w w:val="110"/>
        </w:rPr>
        <w:t>por</w:t>
      </w:r>
      <w:r>
        <w:rPr>
          <w:color w:val="231F20"/>
          <w:spacing w:val="33"/>
          <w:w w:val="110"/>
        </w:rPr>
        <w:t> </w:t>
      </w:r>
      <w:r>
        <w:rPr>
          <w:color w:val="231F20"/>
          <w:w w:val="110"/>
        </w:rPr>
        <w:t>parte</w:t>
      </w:r>
      <w:r>
        <w:rPr>
          <w:color w:val="231F20"/>
          <w:w w:val="114"/>
        </w:rPr>
        <w:t> </w:t>
      </w:r>
      <w:r>
        <w:rPr>
          <w:color w:val="231F20"/>
          <w:w w:val="110"/>
        </w:rPr>
        <w:t>del</w:t>
      </w:r>
      <w:r>
        <w:rPr>
          <w:color w:val="231F20"/>
          <w:spacing w:val="31"/>
          <w:w w:val="110"/>
        </w:rPr>
        <w:t> </w:t>
      </w:r>
      <w:r>
        <w:rPr>
          <w:color w:val="231F20"/>
          <w:w w:val="110"/>
        </w:rPr>
        <w:t>sector</w:t>
      </w:r>
      <w:r>
        <w:rPr>
          <w:color w:val="231F20"/>
          <w:spacing w:val="31"/>
          <w:w w:val="110"/>
        </w:rPr>
        <w:t> </w:t>
      </w:r>
      <w:r>
        <w:rPr>
          <w:color w:val="231F20"/>
          <w:w w:val="110"/>
        </w:rPr>
        <w:t>privado</w:t>
      </w:r>
      <w:r>
        <w:rPr>
          <w:color w:val="231F20"/>
          <w:spacing w:val="31"/>
          <w:w w:val="110"/>
        </w:rPr>
        <w:t> </w:t>
      </w:r>
      <w:r>
        <w:rPr>
          <w:color w:val="231F20"/>
          <w:w w:val="110"/>
        </w:rPr>
        <w:t>de</w:t>
      </w:r>
      <w:r>
        <w:rPr>
          <w:color w:val="231F20"/>
          <w:spacing w:val="31"/>
          <w:w w:val="110"/>
        </w:rPr>
        <w:t> </w:t>
      </w:r>
      <w:r>
        <w:rPr>
          <w:color w:val="231F20"/>
          <w:w w:val="110"/>
        </w:rPr>
        <w:t>generar</w:t>
      </w:r>
      <w:r>
        <w:rPr>
          <w:color w:val="231F20"/>
          <w:spacing w:val="31"/>
          <w:w w:val="110"/>
        </w:rPr>
        <w:t> </w:t>
      </w:r>
      <w:r>
        <w:rPr>
          <w:color w:val="231F20"/>
          <w:w w:val="110"/>
        </w:rPr>
        <w:t>un</w:t>
      </w:r>
      <w:r>
        <w:rPr>
          <w:color w:val="231F20"/>
          <w:spacing w:val="31"/>
          <w:w w:val="110"/>
        </w:rPr>
        <w:t> </w:t>
      </w:r>
      <w:r>
        <w:rPr>
          <w:color w:val="231F20"/>
          <w:w w:val="110"/>
        </w:rPr>
        <w:t>superávit</w:t>
      </w:r>
      <w:r>
        <w:rPr>
          <w:color w:val="231F20"/>
          <w:spacing w:val="31"/>
          <w:w w:val="110"/>
        </w:rPr>
        <w:t> </w:t>
      </w:r>
      <w:r>
        <w:rPr>
          <w:color w:val="231F20"/>
          <w:w w:val="110"/>
        </w:rPr>
        <w:t>que</w:t>
      </w:r>
      <w:r>
        <w:rPr>
          <w:color w:val="231F20"/>
          <w:spacing w:val="31"/>
          <w:w w:val="110"/>
        </w:rPr>
        <w:t> </w:t>
      </w:r>
      <w:r>
        <w:rPr>
          <w:color w:val="231F20"/>
          <w:w w:val="110"/>
        </w:rPr>
        <w:t>le</w:t>
      </w:r>
      <w:r>
        <w:rPr>
          <w:color w:val="231F20"/>
          <w:spacing w:val="31"/>
          <w:w w:val="110"/>
        </w:rPr>
        <w:t> </w:t>
      </w:r>
      <w:r>
        <w:rPr>
          <w:color w:val="231F20"/>
          <w:w w:val="110"/>
        </w:rPr>
        <w:t>permita</w:t>
      </w:r>
      <w:r>
        <w:rPr>
          <w:color w:val="231F20"/>
          <w:spacing w:val="31"/>
          <w:w w:val="110"/>
        </w:rPr>
        <w:t> </w:t>
      </w:r>
      <w:r>
        <w:rPr>
          <w:color w:val="231F20"/>
          <w:w w:val="110"/>
        </w:rPr>
        <w:t>reducir</w:t>
      </w:r>
      <w:r>
        <w:rPr>
          <w:color w:val="231F20"/>
          <w:w w:val="113"/>
        </w:rPr>
        <w:t> </w:t>
      </w:r>
      <w:r>
        <w:rPr>
          <w:color w:val="231F20"/>
          <w:w w:val="110"/>
        </w:rPr>
        <w:t>de forma progresiva sus niveles de endeudamiento. Esto, a</w:t>
      </w:r>
      <w:r>
        <w:rPr>
          <w:color w:val="231F20"/>
          <w:spacing w:val="42"/>
          <w:w w:val="110"/>
        </w:rPr>
        <w:t> </w:t>
      </w:r>
      <w:r>
        <w:rPr>
          <w:color w:val="231F20"/>
          <w:w w:val="110"/>
        </w:rPr>
        <w:t>su</w:t>
      </w:r>
      <w:r>
        <w:rPr>
          <w:color w:val="231F20"/>
          <w:spacing w:val="17"/>
          <w:w w:val="110"/>
        </w:rPr>
        <w:t> </w:t>
      </w:r>
      <w:r>
        <w:rPr>
          <w:color w:val="231F20"/>
          <w:w w:val="110"/>
        </w:rPr>
        <w:t>vez,</w:t>
      </w:r>
      <w:r>
        <w:rPr>
          <w:color w:val="231F20"/>
          <w:w w:val="97"/>
        </w:rPr>
        <w:t> </w:t>
      </w:r>
      <w:r>
        <w:rPr>
          <w:color w:val="231F20"/>
          <w:w w:val="110"/>
        </w:rPr>
        <w:t>se traducirá en una débil recuperación de la demanda </w:t>
      </w:r>
      <w:r>
        <w:rPr>
          <w:color w:val="231F20"/>
          <w:spacing w:val="31"/>
          <w:w w:val="110"/>
        </w:rPr>
        <w:t> </w:t>
      </w:r>
      <w:r>
        <w:rPr>
          <w:color w:val="231F20"/>
          <w:w w:val="110"/>
        </w:rPr>
        <w:t>agregada</w:t>
      </w:r>
      <w:r>
        <w:rPr>
          <w:color w:val="231F20"/>
          <w:spacing w:val="21"/>
          <w:w w:val="110"/>
        </w:rPr>
        <w:t> </w:t>
      </w:r>
      <w:r>
        <w:rPr>
          <w:color w:val="231F20"/>
          <w:w w:val="110"/>
        </w:rPr>
        <w:t>en</w:t>
      </w:r>
      <w:r>
        <w:rPr>
          <w:color w:val="231F20"/>
          <w:w w:val="116"/>
        </w:rPr>
        <w:t> </w:t>
      </w:r>
      <w:r>
        <w:rPr>
          <w:color w:val="231F20"/>
          <w:w w:val="110"/>
        </w:rPr>
        <w:t>la</w:t>
      </w:r>
      <w:r>
        <w:rPr>
          <w:color w:val="231F20"/>
          <w:spacing w:val="26"/>
          <w:w w:val="110"/>
        </w:rPr>
        <w:t> </w:t>
      </w:r>
      <w:r>
        <w:rPr>
          <w:color w:val="231F20"/>
          <w:w w:val="110"/>
        </w:rPr>
        <w:t>medida</w:t>
      </w:r>
      <w:r>
        <w:rPr>
          <w:color w:val="231F20"/>
          <w:spacing w:val="26"/>
          <w:w w:val="110"/>
        </w:rPr>
        <w:t> </w:t>
      </w:r>
      <w:r>
        <w:rPr>
          <w:color w:val="231F20"/>
          <w:w w:val="110"/>
        </w:rPr>
        <w:t>en</w:t>
      </w:r>
      <w:r>
        <w:rPr>
          <w:color w:val="231F20"/>
          <w:spacing w:val="26"/>
          <w:w w:val="110"/>
        </w:rPr>
        <w:t> </w:t>
      </w:r>
      <w:r>
        <w:rPr>
          <w:color w:val="231F20"/>
          <w:w w:val="110"/>
        </w:rPr>
        <w:t>que</w:t>
      </w:r>
      <w:r>
        <w:rPr>
          <w:color w:val="231F20"/>
          <w:spacing w:val="26"/>
          <w:w w:val="110"/>
        </w:rPr>
        <w:t> </w:t>
      </w:r>
      <w:r>
        <w:rPr>
          <w:color w:val="231F20"/>
          <w:w w:val="110"/>
        </w:rPr>
        <w:t>el</w:t>
      </w:r>
      <w:r>
        <w:rPr>
          <w:color w:val="231F20"/>
          <w:spacing w:val="26"/>
          <w:w w:val="110"/>
        </w:rPr>
        <w:t> </w:t>
      </w:r>
      <w:r>
        <w:rPr>
          <w:color w:val="231F20"/>
          <w:w w:val="110"/>
        </w:rPr>
        <w:t>sector</w:t>
      </w:r>
      <w:r>
        <w:rPr>
          <w:color w:val="231F20"/>
          <w:spacing w:val="26"/>
          <w:w w:val="110"/>
        </w:rPr>
        <w:t> </w:t>
      </w:r>
      <w:r>
        <w:rPr>
          <w:color w:val="231F20"/>
          <w:w w:val="110"/>
        </w:rPr>
        <w:t>privado</w:t>
      </w:r>
      <w:r>
        <w:rPr>
          <w:color w:val="231F20"/>
          <w:spacing w:val="26"/>
          <w:w w:val="110"/>
        </w:rPr>
        <w:t> </w:t>
      </w:r>
      <w:r>
        <w:rPr>
          <w:color w:val="231F20"/>
          <w:w w:val="110"/>
        </w:rPr>
        <w:t>no</w:t>
      </w:r>
      <w:r>
        <w:rPr>
          <w:color w:val="231F20"/>
          <w:spacing w:val="26"/>
          <w:w w:val="110"/>
        </w:rPr>
        <w:t> </w:t>
      </w:r>
      <w:r>
        <w:rPr>
          <w:color w:val="231F20"/>
          <w:w w:val="110"/>
        </w:rPr>
        <w:t>restablezca</w:t>
      </w:r>
      <w:r>
        <w:rPr>
          <w:color w:val="231F20"/>
          <w:spacing w:val="26"/>
          <w:w w:val="110"/>
        </w:rPr>
        <w:t> </w:t>
      </w:r>
      <w:r>
        <w:rPr>
          <w:color w:val="231F20"/>
          <w:w w:val="110"/>
        </w:rPr>
        <w:t>los</w:t>
      </w:r>
      <w:r>
        <w:rPr>
          <w:color w:val="231F20"/>
          <w:spacing w:val="26"/>
          <w:w w:val="110"/>
        </w:rPr>
        <w:t> </w:t>
      </w:r>
      <w:r>
        <w:rPr>
          <w:color w:val="231F20"/>
          <w:w w:val="110"/>
        </w:rPr>
        <w:t>patrones</w:t>
      </w:r>
      <w:r>
        <w:rPr>
          <w:color w:val="231F20"/>
          <w:spacing w:val="26"/>
          <w:w w:val="110"/>
        </w:rPr>
        <w:t> </w:t>
      </w:r>
      <w:r>
        <w:rPr>
          <w:color w:val="231F20"/>
          <w:w w:val="110"/>
        </w:rPr>
        <w:t>de</w:t>
      </w:r>
      <w:r>
        <w:rPr>
          <w:color w:val="231F20"/>
          <w:w w:val="114"/>
        </w:rPr>
        <w:t> </w:t>
      </w:r>
      <w:r>
        <w:rPr>
          <w:color w:val="231F20"/>
          <w:w w:val="110"/>
        </w:rPr>
        <w:t>consumo</w:t>
      </w:r>
      <w:r>
        <w:rPr>
          <w:color w:val="231F20"/>
          <w:spacing w:val="29"/>
          <w:w w:val="110"/>
        </w:rPr>
        <w:t> </w:t>
      </w:r>
      <w:r>
        <w:rPr>
          <w:color w:val="231F20"/>
          <w:w w:val="110"/>
        </w:rPr>
        <w:t>previos</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w w:val="110"/>
        </w:rPr>
        <w:t>crisis.</w:t>
      </w:r>
      <w:r>
        <w:rPr>
          <w:color w:val="231F20"/>
          <w:spacing w:val="29"/>
          <w:w w:val="110"/>
        </w:rPr>
        <w:t> </w:t>
      </w:r>
      <w:r>
        <w:rPr>
          <w:color w:val="231F20"/>
          <w:w w:val="110"/>
        </w:rPr>
        <w:t>Peor</w:t>
      </w:r>
      <w:r>
        <w:rPr>
          <w:color w:val="231F20"/>
          <w:spacing w:val="29"/>
          <w:w w:val="110"/>
        </w:rPr>
        <w:t> </w:t>
      </w:r>
      <w:r>
        <w:rPr>
          <w:color w:val="231F20"/>
          <w:w w:val="110"/>
        </w:rPr>
        <w:t>aún,</w:t>
      </w:r>
      <w:r>
        <w:rPr>
          <w:color w:val="231F20"/>
          <w:spacing w:val="29"/>
          <w:w w:val="110"/>
        </w:rPr>
        <w:t> </w:t>
      </w:r>
      <w:r>
        <w:rPr>
          <w:color w:val="231F20"/>
          <w:w w:val="110"/>
        </w:rPr>
        <w:t>una</w:t>
      </w:r>
      <w:r>
        <w:rPr>
          <w:color w:val="231F20"/>
          <w:spacing w:val="29"/>
          <w:w w:val="110"/>
        </w:rPr>
        <w:t> </w:t>
      </w:r>
      <w:r>
        <w:rPr>
          <w:color w:val="231F20"/>
          <w:w w:val="110"/>
        </w:rPr>
        <w:t>rápida</w:t>
      </w:r>
      <w:r>
        <w:rPr>
          <w:color w:val="231F20"/>
          <w:spacing w:val="29"/>
          <w:w w:val="110"/>
        </w:rPr>
        <w:t> </w:t>
      </w:r>
      <w:r>
        <w:rPr>
          <w:color w:val="231F20"/>
          <w:w w:val="110"/>
        </w:rPr>
        <w:t>contracción</w:t>
      </w:r>
      <w:r>
        <w:rPr>
          <w:color w:val="231F20"/>
          <w:spacing w:val="29"/>
          <w:w w:val="110"/>
        </w:rPr>
        <w:t> </w:t>
      </w:r>
      <w:r>
        <w:rPr>
          <w:color w:val="231F20"/>
          <w:w w:val="110"/>
        </w:rPr>
        <w:t>del</w:t>
      </w:r>
      <w:r>
        <w:rPr>
          <w:color w:val="231F20"/>
          <w:w w:val="111"/>
        </w:rPr>
        <w:t> </w:t>
      </w:r>
      <w:r>
        <w:rPr>
          <w:color w:val="231F20"/>
          <w:w w:val="110"/>
        </w:rPr>
        <w:t>déficit podría inducir una espiral deflacionaria y recesiva,</w:t>
      </w:r>
      <w:r>
        <w:rPr>
          <w:color w:val="231F20"/>
          <w:spacing w:val="44"/>
          <w:w w:val="110"/>
        </w:rPr>
        <w:t> </w:t>
      </w:r>
      <w:r>
        <w:rPr>
          <w:color w:val="231F20"/>
          <w:w w:val="110"/>
        </w:rPr>
        <w:t>similar</w:t>
      </w:r>
      <w:r>
        <w:rPr>
          <w:color w:val="231F20"/>
          <w:spacing w:val="12"/>
          <w:w w:val="110"/>
        </w:rPr>
        <w:t> </w:t>
      </w:r>
      <w:r>
        <w:rPr>
          <w:color w:val="231F20"/>
          <w:w w:val="110"/>
        </w:rPr>
        <w:t>a</w:t>
      </w:r>
      <w:r>
        <w:rPr>
          <w:color w:val="231F20"/>
          <w:w w:val="108"/>
        </w:rPr>
        <w:t> </w:t>
      </w:r>
      <w:r>
        <w:rPr>
          <w:color w:val="231F20"/>
          <w:w w:val="110"/>
        </w:rPr>
        <w:t>la experimentada por Japón, la cual agravaría los problemas</w:t>
      </w:r>
      <w:r>
        <w:rPr>
          <w:color w:val="231F20"/>
          <w:spacing w:val="4"/>
          <w:w w:val="110"/>
        </w:rPr>
        <w:t> </w:t>
      </w:r>
      <w:r>
        <w:rPr>
          <w:color w:val="231F20"/>
          <w:w w:val="110"/>
        </w:rPr>
        <w:t>de</w:t>
      </w:r>
      <w:r>
        <w:rPr>
          <w:color w:val="231F20"/>
          <w:spacing w:val="12"/>
          <w:w w:val="110"/>
        </w:rPr>
        <w:t> </w:t>
      </w:r>
      <w:r>
        <w:rPr>
          <w:color w:val="231F20"/>
          <w:w w:val="110"/>
        </w:rPr>
        <w:t>en-</w:t>
      </w:r>
      <w:r>
        <w:rPr>
          <w:color w:val="231F20"/>
          <w:w w:val="72"/>
        </w:rPr>
        <w:t> </w:t>
      </w:r>
      <w:r>
        <w:rPr>
          <w:color w:val="231F20"/>
          <w:w w:val="110"/>
        </w:rPr>
        <w:t>deudamiento del sector privado al incrementar la carga en </w:t>
      </w:r>
      <w:r>
        <w:rPr>
          <w:color w:val="231F20"/>
          <w:spacing w:val="24"/>
          <w:w w:val="110"/>
        </w:rPr>
        <w:t> </w:t>
      </w:r>
      <w:r>
        <w:rPr>
          <w:color w:val="231F20"/>
          <w:w w:val="110"/>
        </w:rPr>
        <w:t>términos</w:t>
      </w:r>
    </w:p>
    <w:p>
      <w:pPr>
        <w:pStyle w:val="BodyText"/>
        <w:ind w:left="100"/>
        <w:jc w:val="both"/>
      </w:pPr>
      <w:r>
        <w:rPr>
          <w:color w:val="231F20"/>
          <w:w w:val="110"/>
        </w:rPr>
        <w:t>nominales del pago de sus obligaciones financieras.</w:t>
      </w:r>
    </w:p>
    <w:p>
      <w:pPr>
        <w:pStyle w:val="BodyText"/>
        <w:spacing w:line="261" w:lineRule="auto" w:before="20"/>
        <w:ind w:left="100" w:right="117" w:firstLine="240"/>
        <w:jc w:val="both"/>
      </w:pPr>
      <w:r>
        <w:rPr>
          <w:color w:val="231F20"/>
          <w:w w:val="110"/>
        </w:rPr>
        <w:t>De este análisis se deriva entonces que las preocupaciones acerca del financiamiento del déficit público son erróneas. Por definición, la solución de los problemas de sobreendeudamiento del sector pri- vado requiere la generación de un superávit cuya contraparte es   un</w:t>
      </w:r>
    </w:p>
    <w:p>
      <w:pPr>
        <w:spacing w:after="0" w:line="261" w:lineRule="auto"/>
        <w:jc w:val="both"/>
        <w:sectPr>
          <w:headerReference w:type="even" r:id="rId164"/>
          <w:headerReference w:type="default" r:id="rId165"/>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déficit del sector público. La demanda por parte del sector privado de activos líquidos y seguros en la forma de bonos del tesoro,</w:t>
      </w:r>
      <w:r>
        <w:rPr>
          <w:color w:val="231F20"/>
          <w:spacing w:val="-10"/>
          <w:w w:val="110"/>
        </w:rPr>
        <w:t> </w:t>
      </w:r>
      <w:r>
        <w:rPr>
          <w:color w:val="231F20"/>
          <w:w w:val="110"/>
        </w:rPr>
        <w:t>impli- ca que progresivamente el déficit público será financiado de forma creciente de forma interna. Sin embargo esta transición no será algo fácil. Este tipo de rebalance requiere de una reducción simultánea del déficit de cuenta corriente. Dicha reducción se enfrenta al obs- táculo no sólo de los problemas de la estructura productiva de Esta- dos Unidos sino también a la demanda de dólares, por parte de agentes internacionales. En un sistema financiero internacional que carezca de alternativas viables al </w:t>
      </w:r>
      <w:r>
        <w:rPr>
          <w:color w:val="231F20"/>
          <w:spacing w:val="-3"/>
          <w:w w:val="110"/>
        </w:rPr>
        <w:t>dólar, </w:t>
      </w:r>
      <w:r>
        <w:rPr>
          <w:color w:val="231F20"/>
          <w:w w:val="110"/>
        </w:rPr>
        <w:t>periodos de alta volatilidad, incrementan la demanda de esta moneda dada la necesidad de di- versos agentes de acceder a activos altamente</w:t>
      </w:r>
      <w:r>
        <w:rPr>
          <w:color w:val="231F20"/>
          <w:spacing w:val="-11"/>
          <w:w w:val="110"/>
        </w:rPr>
        <w:t> </w:t>
      </w:r>
      <w:r>
        <w:rPr>
          <w:color w:val="231F20"/>
          <w:w w:val="110"/>
        </w:rPr>
        <w:t>líquidos.</w:t>
      </w:r>
    </w:p>
    <w:p>
      <w:pPr>
        <w:pStyle w:val="BodyText"/>
        <w:spacing w:line="261" w:lineRule="auto"/>
        <w:ind w:left="100" w:right="117" w:firstLine="240"/>
        <w:jc w:val="both"/>
      </w:pPr>
      <w:r>
        <w:rPr>
          <w:color w:val="231F20"/>
          <w:w w:val="110"/>
        </w:rPr>
        <w:t>Así, la necesidad de rebalancear los desajustes internos de la eco- nomía estadunidense se ve enfrentada a la demanda de agentes in- ternacionales de acceder a activos líquidos denominados en dólares. En caso de que triunfe la primera fuerza la economía global experi- mentará un largo periodo de lento crecimiento mientras se produce el proceso de reajuste de las hojas de balance del sector privado. En caso de que triunfe la segunda fuerza se producirá un escenario ca- racterizado por la volatilidad y la especulación en la medida en que el</w:t>
      </w:r>
      <w:r>
        <w:rPr>
          <w:color w:val="231F20"/>
          <w:spacing w:val="-11"/>
          <w:w w:val="110"/>
        </w:rPr>
        <w:t> </w:t>
      </w:r>
      <w:r>
        <w:rPr>
          <w:color w:val="231F20"/>
          <w:w w:val="110"/>
        </w:rPr>
        <w:t>sector</w:t>
      </w:r>
      <w:r>
        <w:rPr>
          <w:color w:val="231F20"/>
          <w:spacing w:val="-11"/>
          <w:w w:val="110"/>
        </w:rPr>
        <w:t> </w:t>
      </w:r>
      <w:r>
        <w:rPr>
          <w:color w:val="231F20"/>
          <w:w w:val="110"/>
        </w:rPr>
        <w:t>privado</w:t>
      </w:r>
      <w:r>
        <w:rPr>
          <w:color w:val="231F20"/>
          <w:spacing w:val="-11"/>
          <w:w w:val="110"/>
        </w:rPr>
        <w:t> </w:t>
      </w:r>
      <w:r>
        <w:rPr>
          <w:color w:val="231F20"/>
          <w:w w:val="110"/>
        </w:rPr>
        <w:t>se</w:t>
      </w:r>
      <w:r>
        <w:rPr>
          <w:color w:val="231F20"/>
          <w:spacing w:val="-11"/>
          <w:w w:val="110"/>
        </w:rPr>
        <w:t> </w:t>
      </w:r>
      <w:r>
        <w:rPr>
          <w:color w:val="231F20"/>
          <w:w w:val="110"/>
        </w:rPr>
        <w:t>vea</w:t>
      </w:r>
      <w:r>
        <w:rPr>
          <w:color w:val="231F20"/>
          <w:spacing w:val="-11"/>
          <w:w w:val="110"/>
        </w:rPr>
        <w:t> </w:t>
      </w:r>
      <w:r>
        <w:rPr>
          <w:color w:val="231F20"/>
          <w:w w:val="110"/>
        </w:rPr>
        <w:t>forzado</w:t>
      </w:r>
      <w:r>
        <w:rPr>
          <w:color w:val="231F20"/>
          <w:spacing w:val="-11"/>
          <w:w w:val="110"/>
        </w:rPr>
        <w:t> </w:t>
      </w:r>
      <w:r>
        <w:rPr>
          <w:color w:val="231F20"/>
          <w:w w:val="110"/>
        </w:rPr>
        <w:t>a</w:t>
      </w:r>
      <w:r>
        <w:rPr>
          <w:color w:val="231F20"/>
          <w:spacing w:val="-11"/>
          <w:w w:val="110"/>
        </w:rPr>
        <w:t> </w:t>
      </w:r>
      <w:r>
        <w:rPr>
          <w:color w:val="231F20"/>
          <w:spacing w:val="-3"/>
          <w:w w:val="110"/>
        </w:rPr>
        <w:t>proveer,</w:t>
      </w:r>
      <w:r>
        <w:rPr>
          <w:color w:val="231F20"/>
          <w:spacing w:val="-11"/>
          <w:w w:val="110"/>
        </w:rPr>
        <w:t> </w:t>
      </w:r>
      <w:r>
        <w:rPr>
          <w:color w:val="231F20"/>
          <w:w w:val="110"/>
        </w:rPr>
        <w:t>al</w:t>
      </w:r>
      <w:r>
        <w:rPr>
          <w:color w:val="231F20"/>
          <w:spacing w:val="-11"/>
          <w:w w:val="110"/>
        </w:rPr>
        <w:t> </w:t>
      </w:r>
      <w:r>
        <w:rPr>
          <w:color w:val="231F20"/>
          <w:w w:val="110"/>
        </w:rPr>
        <w:t>resto</w:t>
      </w:r>
      <w:r>
        <w:rPr>
          <w:color w:val="231F20"/>
          <w:spacing w:val="-11"/>
          <w:w w:val="110"/>
        </w:rPr>
        <w:t> </w:t>
      </w:r>
      <w:r>
        <w:rPr>
          <w:color w:val="231F20"/>
          <w:w w:val="110"/>
        </w:rPr>
        <w:t>del</w:t>
      </w:r>
      <w:r>
        <w:rPr>
          <w:color w:val="231F20"/>
          <w:spacing w:val="-11"/>
          <w:w w:val="110"/>
        </w:rPr>
        <w:t> </w:t>
      </w:r>
      <w:r>
        <w:rPr>
          <w:color w:val="231F20"/>
          <w:w w:val="110"/>
        </w:rPr>
        <w:t>mundo,</w:t>
      </w:r>
      <w:r>
        <w:rPr>
          <w:color w:val="231F20"/>
          <w:spacing w:val="-11"/>
          <w:w w:val="110"/>
        </w:rPr>
        <w:t> </w:t>
      </w:r>
      <w:r>
        <w:rPr>
          <w:color w:val="231F20"/>
          <w:w w:val="110"/>
        </w:rPr>
        <w:t>activos de</w:t>
      </w:r>
      <w:r>
        <w:rPr>
          <w:color w:val="231F20"/>
          <w:spacing w:val="-13"/>
          <w:w w:val="110"/>
        </w:rPr>
        <w:t> </w:t>
      </w:r>
      <w:r>
        <w:rPr>
          <w:color w:val="231F20"/>
          <w:w w:val="110"/>
        </w:rPr>
        <w:t>dudosa</w:t>
      </w:r>
      <w:r>
        <w:rPr>
          <w:color w:val="231F20"/>
          <w:spacing w:val="-13"/>
          <w:w w:val="110"/>
        </w:rPr>
        <w:t> </w:t>
      </w:r>
      <w:r>
        <w:rPr>
          <w:color w:val="231F20"/>
          <w:w w:val="110"/>
        </w:rPr>
        <w:t>calidad</w:t>
      </w:r>
      <w:r>
        <w:rPr>
          <w:color w:val="231F20"/>
          <w:spacing w:val="-13"/>
          <w:w w:val="110"/>
        </w:rPr>
        <w:t> </w:t>
      </w:r>
      <w:r>
        <w:rPr>
          <w:color w:val="231F20"/>
          <w:w w:val="110"/>
        </w:rPr>
        <w:t>dado</w:t>
      </w:r>
      <w:r>
        <w:rPr>
          <w:color w:val="231F20"/>
          <w:spacing w:val="-13"/>
          <w:w w:val="110"/>
        </w:rPr>
        <w:t> </w:t>
      </w:r>
      <w:r>
        <w:rPr>
          <w:color w:val="231F20"/>
          <w:w w:val="110"/>
        </w:rPr>
        <w:t>sus</w:t>
      </w:r>
      <w:r>
        <w:rPr>
          <w:color w:val="231F20"/>
          <w:spacing w:val="-13"/>
          <w:w w:val="110"/>
        </w:rPr>
        <w:t> </w:t>
      </w:r>
      <w:r>
        <w:rPr>
          <w:color w:val="231F20"/>
          <w:w w:val="110"/>
        </w:rPr>
        <w:t>altos</w:t>
      </w:r>
      <w:r>
        <w:rPr>
          <w:color w:val="231F20"/>
          <w:spacing w:val="-13"/>
          <w:w w:val="110"/>
        </w:rPr>
        <w:t> </w:t>
      </w:r>
      <w:r>
        <w:rPr>
          <w:color w:val="231F20"/>
          <w:w w:val="110"/>
        </w:rPr>
        <w:t>niveles</w:t>
      </w:r>
      <w:r>
        <w:rPr>
          <w:color w:val="231F20"/>
          <w:spacing w:val="-13"/>
          <w:w w:val="110"/>
        </w:rPr>
        <w:t> </w:t>
      </w:r>
      <w:r>
        <w:rPr>
          <w:color w:val="231F20"/>
          <w:w w:val="110"/>
        </w:rPr>
        <w:t>de</w:t>
      </w:r>
      <w:r>
        <w:rPr>
          <w:color w:val="231F20"/>
          <w:spacing w:val="-13"/>
          <w:w w:val="110"/>
        </w:rPr>
        <w:t> </w:t>
      </w:r>
      <w:r>
        <w:rPr>
          <w:color w:val="231F20"/>
          <w:w w:val="110"/>
        </w:rPr>
        <w:t>endeudamiento.</w:t>
      </w:r>
      <w:r>
        <w:rPr>
          <w:color w:val="231F20"/>
          <w:spacing w:val="-13"/>
          <w:w w:val="110"/>
        </w:rPr>
        <w:t> </w:t>
      </w:r>
      <w:r>
        <w:rPr>
          <w:color w:val="231F20"/>
          <w:w w:val="110"/>
        </w:rPr>
        <w:t>Es</w:t>
      </w:r>
      <w:r>
        <w:rPr>
          <w:color w:val="231F20"/>
          <w:spacing w:val="-13"/>
          <w:w w:val="110"/>
        </w:rPr>
        <w:t> </w:t>
      </w:r>
      <w:r>
        <w:rPr>
          <w:color w:val="231F20"/>
          <w:w w:val="110"/>
        </w:rPr>
        <w:t>difícil prever cual será el camino de ajuste, sin embargo, lo que está claro es que mientras el dólar disfrute el carácter de moneda soberana los temores respecto al déficit público están sobredimensionados. En la situación</w:t>
      </w:r>
      <w:r>
        <w:rPr>
          <w:color w:val="231F20"/>
          <w:spacing w:val="-5"/>
          <w:w w:val="110"/>
        </w:rPr>
        <w:t> </w:t>
      </w:r>
      <w:r>
        <w:rPr>
          <w:color w:val="231F20"/>
          <w:w w:val="110"/>
        </w:rPr>
        <w:t>actual,</w:t>
      </w:r>
      <w:r>
        <w:rPr>
          <w:color w:val="231F20"/>
          <w:spacing w:val="-5"/>
          <w:w w:val="110"/>
        </w:rPr>
        <w:t> </w:t>
      </w:r>
      <w:r>
        <w:rPr>
          <w:color w:val="231F20"/>
          <w:w w:val="110"/>
        </w:rPr>
        <w:t>el</w:t>
      </w:r>
      <w:r>
        <w:rPr>
          <w:color w:val="231F20"/>
          <w:spacing w:val="-5"/>
          <w:w w:val="110"/>
        </w:rPr>
        <w:t> </w:t>
      </w:r>
      <w:r>
        <w:rPr>
          <w:color w:val="231F20"/>
          <w:w w:val="110"/>
        </w:rPr>
        <w:t>déficit</w:t>
      </w:r>
      <w:r>
        <w:rPr>
          <w:color w:val="231F20"/>
          <w:spacing w:val="-5"/>
          <w:w w:val="110"/>
        </w:rPr>
        <w:t> </w:t>
      </w:r>
      <w:r>
        <w:rPr>
          <w:color w:val="231F20"/>
          <w:w w:val="110"/>
        </w:rPr>
        <w:t>público</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5"/>
          <w:w w:val="110"/>
        </w:rPr>
        <w:t> </w:t>
      </w:r>
      <w:r>
        <w:rPr>
          <w:color w:val="231F20"/>
          <w:w w:val="110"/>
        </w:rPr>
        <w:t>única</w:t>
      </w:r>
      <w:r>
        <w:rPr>
          <w:color w:val="231F20"/>
          <w:spacing w:val="-5"/>
          <w:w w:val="110"/>
        </w:rPr>
        <w:t> </w:t>
      </w:r>
      <w:r>
        <w:rPr>
          <w:color w:val="231F20"/>
          <w:w w:val="110"/>
        </w:rPr>
        <w:t>herramienta</w:t>
      </w:r>
      <w:r>
        <w:rPr>
          <w:color w:val="231F20"/>
          <w:spacing w:val="-5"/>
          <w:w w:val="110"/>
        </w:rPr>
        <w:t> </w:t>
      </w:r>
      <w:r>
        <w:rPr>
          <w:color w:val="231F20"/>
          <w:w w:val="110"/>
        </w:rPr>
        <w:t>disponible para prevenir una nueva recesión económica global. No utilizarlo bajo preceptos dogmáticos sería repetir los mismos errores de los años</w:t>
      </w:r>
      <w:r>
        <w:rPr>
          <w:color w:val="231F20"/>
          <w:spacing w:val="21"/>
          <w:w w:val="110"/>
        </w:rPr>
        <w:t> </w:t>
      </w:r>
      <w:r>
        <w:rPr>
          <w:color w:val="231F20"/>
          <w:w w:val="110"/>
        </w:rPr>
        <w:t>treinta.</w:t>
      </w:r>
    </w:p>
    <w:p>
      <w:pPr>
        <w:pStyle w:val="BodyText"/>
      </w:pPr>
    </w:p>
    <w:p>
      <w:pPr>
        <w:pStyle w:val="BodyText"/>
      </w:pPr>
    </w:p>
    <w:p>
      <w:pPr>
        <w:pStyle w:val="BodyText"/>
        <w:spacing w:before="2"/>
        <w:rPr>
          <w:sz w:val="25"/>
        </w:rPr>
      </w:pPr>
    </w:p>
    <w:p>
      <w:pPr>
        <w:pStyle w:val="BodyText"/>
        <w:ind w:left="100"/>
        <w:jc w:val="both"/>
      </w:pPr>
      <w:r>
        <w:rPr>
          <w:color w:val="231F20"/>
          <w:w w:val="125"/>
        </w:rPr>
        <w:t>bibliografía</w:t>
      </w:r>
    </w:p>
    <w:p>
      <w:pPr>
        <w:pStyle w:val="BodyText"/>
        <w:spacing w:before="5"/>
        <w:rPr>
          <w:sz w:val="22"/>
        </w:rPr>
      </w:pPr>
    </w:p>
    <w:p>
      <w:pPr>
        <w:spacing w:line="254" w:lineRule="auto" w:before="0"/>
        <w:ind w:left="100" w:right="117" w:firstLine="0"/>
        <w:jc w:val="right"/>
        <w:rPr>
          <w:i/>
          <w:sz w:val="18"/>
        </w:rPr>
      </w:pPr>
      <w:r>
        <w:rPr>
          <w:color w:val="231F20"/>
          <w:sz w:val="18"/>
        </w:rPr>
        <w:t>Artus, Patrick, 2009, </w:t>
      </w:r>
      <w:r>
        <w:rPr>
          <w:i/>
          <w:color w:val="231F20"/>
          <w:sz w:val="18"/>
        </w:rPr>
        <w:t>What happens when public debt repllaces private</w:t>
      </w:r>
      <w:r>
        <w:rPr>
          <w:i/>
          <w:color w:val="231F20"/>
          <w:spacing w:val="1"/>
          <w:sz w:val="18"/>
        </w:rPr>
        <w:t> </w:t>
      </w:r>
      <w:r>
        <w:rPr>
          <w:i/>
          <w:color w:val="231F20"/>
          <w:sz w:val="18"/>
        </w:rPr>
        <w:t>sector</w:t>
      </w:r>
      <w:r>
        <w:rPr>
          <w:i/>
          <w:color w:val="231F20"/>
          <w:spacing w:val="4"/>
          <w:sz w:val="18"/>
        </w:rPr>
        <w:t> </w:t>
      </w:r>
      <w:r>
        <w:rPr>
          <w:i/>
          <w:color w:val="231F20"/>
          <w:sz w:val="18"/>
        </w:rPr>
        <w:t>debt</w:t>
      </w:r>
      <w:r>
        <w:rPr>
          <w:i/>
          <w:color w:val="231F20"/>
          <w:w w:val="89"/>
          <w:sz w:val="18"/>
        </w:rPr>
        <w:t> </w:t>
      </w:r>
      <w:r>
        <w:rPr>
          <w:i/>
          <w:color w:val="231F20"/>
          <w:sz w:val="18"/>
        </w:rPr>
        <w:t>and assests in portafolios?</w:t>
      </w:r>
      <w:r>
        <w:rPr>
          <w:color w:val="231F20"/>
          <w:sz w:val="18"/>
        </w:rPr>
        <w:t>, Natixis Economic Research, september,</w:t>
      </w:r>
      <w:r>
        <w:rPr>
          <w:color w:val="231F20"/>
          <w:spacing w:val="41"/>
          <w:sz w:val="18"/>
        </w:rPr>
        <w:t> </w:t>
      </w:r>
      <w:r>
        <w:rPr>
          <w:color w:val="231F20"/>
          <w:sz w:val="18"/>
        </w:rPr>
        <w:t>No.</w:t>
      </w:r>
      <w:r>
        <w:rPr>
          <w:color w:val="231F20"/>
          <w:spacing w:val="22"/>
          <w:sz w:val="18"/>
        </w:rPr>
        <w:t> </w:t>
      </w:r>
      <w:r>
        <w:rPr>
          <w:color w:val="231F20"/>
          <w:sz w:val="18"/>
        </w:rPr>
        <w:t>385.</w:t>
      </w:r>
      <w:r>
        <w:rPr>
          <w:color w:val="231F20"/>
          <w:w w:val="104"/>
          <w:sz w:val="18"/>
        </w:rPr>
        <w:t> </w:t>
      </w:r>
      <w:r>
        <w:rPr>
          <w:color w:val="231F20"/>
          <w:sz w:val="18"/>
        </w:rPr>
        <w:t>CBO</w:t>
      </w:r>
      <w:r>
        <w:rPr>
          <w:color w:val="231F20"/>
          <w:spacing w:val="15"/>
          <w:sz w:val="18"/>
        </w:rPr>
        <w:t> </w:t>
      </w:r>
      <w:r>
        <w:rPr>
          <w:color w:val="231F20"/>
          <w:sz w:val="18"/>
        </w:rPr>
        <w:t>2009,</w:t>
      </w:r>
      <w:r>
        <w:rPr>
          <w:color w:val="231F20"/>
          <w:spacing w:val="15"/>
          <w:sz w:val="18"/>
        </w:rPr>
        <w:t> </w:t>
      </w:r>
      <w:r>
        <w:rPr>
          <w:i/>
          <w:color w:val="231F20"/>
          <w:sz w:val="18"/>
        </w:rPr>
        <w:t>The</w:t>
      </w:r>
      <w:r>
        <w:rPr>
          <w:i/>
          <w:color w:val="231F20"/>
          <w:spacing w:val="15"/>
          <w:sz w:val="18"/>
        </w:rPr>
        <w:t> </w:t>
      </w:r>
      <w:r>
        <w:rPr>
          <w:i/>
          <w:color w:val="231F20"/>
          <w:sz w:val="18"/>
        </w:rPr>
        <w:t>Budget</w:t>
      </w:r>
      <w:r>
        <w:rPr>
          <w:i/>
          <w:color w:val="231F20"/>
          <w:spacing w:val="15"/>
          <w:sz w:val="18"/>
        </w:rPr>
        <w:t> </w:t>
      </w:r>
      <w:r>
        <w:rPr>
          <w:i/>
          <w:color w:val="231F20"/>
          <w:sz w:val="18"/>
        </w:rPr>
        <w:t>and</w:t>
      </w:r>
      <w:r>
        <w:rPr>
          <w:i/>
          <w:color w:val="231F20"/>
          <w:spacing w:val="15"/>
          <w:sz w:val="18"/>
        </w:rPr>
        <w:t> </w:t>
      </w:r>
      <w:r>
        <w:rPr>
          <w:i/>
          <w:color w:val="231F20"/>
          <w:sz w:val="18"/>
        </w:rPr>
        <w:t>Economic</w:t>
      </w:r>
      <w:r>
        <w:rPr>
          <w:i/>
          <w:color w:val="231F20"/>
          <w:spacing w:val="15"/>
          <w:sz w:val="18"/>
        </w:rPr>
        <w:t> </w:t>
      </w:r>
      <w:r>
        <w:rPr>
          <w:i/>
          <w:color w:val="231F20"/>
          <w:sz w:val="18"/>
        </w:rPr>
        <w:t>Outlook:</w:t>
      </w:r>
      <w:r>
        <w:rPr>
          <w:i/>
          <w:color w:val="231F20"/>
          <w:spacing w:val="15"/>
          <w:sz w:val="18"/>
        </w:rPr>
        <w:t> </w:t>
      </w:r>
      <w:r>
        <w:rPr>
          <w:i/>
          <w:color w:val="231F20"/>
          <w:sz w:val="18"/>
        </w:rPr>
        <w:t>An</w:t>
      </w:r>
      <w:r>
        <w:rPr>
          <w:i/>
          <w:color w:val="231F20"/>
          <w:spacing w:val="15"/>
          <w:sz w:val="18"/>
        </w:rPr>
        <w:t> </w:t>
      </w:r>
      <w:r>
        <w:rPr>
          <w:i/>
          <w:color w:val="231F20"/>
          <w:sz w:val="18"/>
        </w:rPr>
        <w:t>Update,</w:t>
      </w:r>
      <w:r>
        <w:rPr>
          <w:i/>
          <w:color w:val="231F20"/>
          <w:spacing w:val="15"/>
          <w:sz w:val="18"/>
        </w:rPr>
        <w:t> </w:t>
      </w:r>
      <w:r>
        <w:rPr>
          <w:i/>
          <w:color w:val="231F20"/>
          <w:sz w:val="18"/>
        </w:rPr>
        <w:t>The</w:t>
      </w:r>
      <w:r>
        <w:rPr>
          <w:i/>
          <w:color w:val="231F20"/>
          <w:spacing w:val="15"/>
          <w:sz w:val="18"/>
        </w:rPr>
        <w:t> </w:t>
      </w:r>
      <w:r>
        <w:rPr>
          <w:i/>
          <w:color w:val="231F20"/>
          <w:sz w:val="18"/>
        </w:rPr>
        <w:t>Congress</w:t>
      </w:r>
      <w:r>
        <w:rPr>
          <w:i/>
          <w:color w:val="231F20"/>
          <w:spacing w:val="15"/>
          <w:sz w:val="18"/>
        </w:rPr>
        <w:t> </w:t>
      </w:r>
      <w:r>
        <w:rPr>
          <w:i/>
          <w:color w:val="231F20"/>
          <w:sz w:val="18"/>
        </w:rPr>
        <w:t>of</w:t>
      </w:r>
      <w:r>
        <w:rPr>
          <w:i/>
          <w:color w:val="231F20"/>
          <w:spacing w:val="15"/>
          <w:sz w:val="18"/>
        </w:rPr>
        <w:t> </w:t>
      </w:r>
      <w:r>
        <w:rPr>
          <w:i/>
          <w:color w:val="231F20"/>
          <w:sz w:val="18"/>
        </w:rPr>
        <w:t>the</w:t>
      </w:r>
    </w:p>
    <w:p>
      <w:pPr>
        <w:spacing w:line="204" w:lineRule="exact" w:before="1"/>
        <w:ind w:left="340" w:right="25" w:firstLine="0"/>
        <w:jc w:val="left"/>
        <w:rPr>
          <w:sz w:val="18"/>
        </w:rPr>
      </w:pPr>
      <w:r>
        <w:rPr>
          <w:i/>
          <w:color w:val="231F20"/>
          <w:w w:val="105"/>
          <w:sz w:val="18"/>
        </w:rPr>
        <w:t>Unites Status</w:t>
      </w:r>
      <w:r>
        <w:rPr>
          <w:color w:val="231F20"/>
          <w:w w:val="105"/>
          <w:sz w:val="18"/>
        </w:rPr>
        <w:t>, Washington, DC.</w:t>
      </w:r>
    </w:p>
    <w:p>
      <w:pPr>
        <w:spacing w:line="220" w:lineRule="exact" w:before="8"/>
        <w:ind w:left="340" w:right="107" w:hanging="240"/>
        <w:jc w:val="left"/>
        <w:rPr>
          <w:sz w:val="18"/>
        </w:rPr>
      </w:pPr>
      <w:r>
        <w:rPr>
          <w:color w:val="231F20"/>
          <w:w w:val="105"/>
          <w:sz w:val="18"/>
        </w:rPr>
        <w:t>Central</w:t>
      </w:r>
      <w:r>
        <w:rPr>
          <w:color w:val="231F20"/>
          <w:spacing w:val="-24"/>
          <w:w w:val="105"/>
          <w:sz w:val="18"/>
        </w:rPr>
        <w:t> </w:t>
      </w:r>
      <w:r>
        <w:rPr>
          <w:color w:val="231F20"/>
          <w:w w:val="105"/>
          <w:sz w:val="18"/>
        </w:rPr>
        <w:t>Bank</w:t>
      </w:r>
      <w:r>
        <w:rPr>
          <w:color w:val="231F20"/>
          <w:spacing w:val="-24"/>
          <w:w w:val="105"/>
          <w:sz w:val="18"/>
        </w:rPr>
        <w:t> </w:t>
      </w:r>
      <w:r>
        <w:rPr>
          <w:color w:val="231F20"/>
          <w:w w:val="105"/>
          <w:sz w:val="18"/>
        </w:rPr>
        <w:t>of</w:t>
      </w:r>
      <w:r>
        <w:rPr>
          <w:color w:val="231F20"/>
          <w:spacing w:val="-24"/>
          <w:w w:val="105"/>
          <w:sz w:val="18"/>
        </w:rPr>
        <w:t> </w:t>
      </w:r>
      <w:r>
        <w:rPr>
          <w:color w:val="231F20"/>
          <w:w w:val="105"/>
          <w:sz w:val="18"/>
        </w:rPr>
        <w:t>Japan,</w:t>
      </w:r>
      <w:r>
        <w:rPr>
          <w:color w:val="231F20"/>
          <w:spacing w:val="-24"/>
          <w:w w:val="105"/>
          <w:sz w:val="18"/>
        </w:rPr>
        <w:t> </w:t>
      </w:r>
      <w:r>
        <w:rPr>
          <w:color w:val="231F20"/>
          <w:w w:val="105"/>
          <w:sz w:val="18"/>
        </w:rPr>
        <w:t>2009,</w:t>
      </w:r>
      <w:r>
        <w:rPr>
          <w:color w:val="231F20"/>
          <w:spacing w:val="-24"/>
          <w:w w:val="105"/>
          <w:sz w:val="18"/>
        </w:rPr>
        <w:t> </w:t>
      </w:r>
      <w:r>
        <w:rPr>
          <w:i/>
          <w:color w:val="231F20"/>
          <w:w w:val="105"/>
          <w:sz w:val="18"/>
        </w:rPr>
        <w:t>Financial</w:t>
      </w:r>
      <w:r>
        <w:rPr>
          <w:i/>
          <w:color w:val="231F20"/>
          <w:spacing w:val="-24"/>
          <w:w w:val="105"/>
          <w:sz w:val="18"/>
        </w:rPr>
        <w:t> </w:t>
      </w:r>
      <w:r>
        <w:rPr>
          <w:i/>
          <w:color w:val="231F20"/>
          <w:w w:val="105"/>
          <w:sz w:val="18"/>
        </w:rPr>
        <w:t>and</w:t>
      </w:r>
      <w:r>
        <w:rPr>
          <w:i/>
          <w:color w:val="231F20"/>
          <w:spacing w:val="-24"/>
          <w:w w:val="105"/>
          <w:sz w:val="18"/>
        </w:rPr>
        <w:t> </w:t>
      </w:r>
      <w:r>
        <w:rPr>
          <w:i/>
          <w:color w:val="231F20"/>
          <w:w w:val="105"/>
          <w:sz w:val="18"/>
        </w:rPr>
        <w:t>Economic</w:t>
      </w:r>
      <w:r>
        <w:rPr>
          <w:i/>
          <w:color w:val="231F20"/>
          <w:spacing w:val="-24"/>
          <w:w w:val="105"/>
          <w:sz w:val="18"/>
        </w:rPr>
        <w:t> </w:t>
      </w:r>
      <w:r>
        <w:rPr>
          <w:i/>
          <w:color w:val="231F20"/>
          <w:w w:val="105"/>
          <w:sz w:val="18"/>
        </w:rPr>
        <w:t>Statistics</w:t>
      </w:r>
      <w:r>
        <w:rPr>
          <w:i/>
          <w:color w:val="231F20"/>
          <w:spacing w:val="-24"/>
          <w:w w:val="105"/>
          <w:sz w:val="18"/>
        </w:rPr>
        <w:t> </w:t>
      </w:r>
      <w:r>
        <w:rPr>
          <w:i/>
          <w:color w:val="231F20"/>
          <w:w w:val="105"/>
          <w:sz w:val="18"/>
        </w:rPr>
        <w:t>Monthly</w:t>
      </w:r>
      <w:r>
        <w:rPr>
          <w:color w:val="231F20"/>
          <w:w w:val="105"/>
          <w:sz w:val="18"/>
        </w:rPr>
        <w:t>,</w:t>
      </w:r>
      <w:r>
        <w:rPr>
          <w:color w:val="231F20"/>
          <w:spacing w:val="-24"/>
          <w:w w:val="105"/>
          <w:sz w:val="18"/>
        </w:rPr>
        <w:t> </w:t>
      </w:r>
      <w:hyperlink r:id="rId47">
        <w:r>
          <w:rPr>
            <w:color w:val="231F20"/>
            <w:spacing w:val="-3"/>
            <w:w w:val="105"/>
            <w:sz w:val="20"/>
          </w:rPr>
          <w:t>&lt;www</w:t>
        </w:r>
      </w:hyperlink>
      <w:r>
        <w:rPr>
          <w:color w:val="231F20"/>
          <w:spacing w:val="-3"/>
          <w:w w:val="105"/>
          <w:sz w:val="20"/>
        </w:rPr>
        <w:t>. </w:t>
      </w:r>
      <w:r>
        <w:rPr>
          <w:color w:val="231F20"/>
          <w:w w:val="105"/>
          <w:sz w:val="20"/>
        </w:rPr>
        <w:t>boj.or.jp/en/type/release/teiki/sk/ske.htm</w:t>
      </w:r>
      <w:r>
        <w:rPr>
          <w:color w:val="231F20"/>
          <w:w w:val="105"/>
          <w:sz w:val="18"/>
        </w:rPr>
        <w:t>&gt;,     25     de  </w:t>
      </w:r>
      <w:r>
        <w:rPr>
          <w:color w:val="231F20"/>
          <w:spacing w:val="24"/>
          <w:w w:val="105"/>
          <w:sz w:val="18"/>
        </w:rPr>
        <w:t> </w:t>
      </w:r>
      <w:r>
        <w:rPr>
          <w:color w:val="231F20"/>
          <w:w w:val="105"/>
          <w:sz w:val="18"/>
        </w:rPr>
        <w:t>octubre.</w:t>
      </w:r>
    </w:p>
    <w:p>
      <w:pPr>
        <w:spacing w:after="0" w:line="220" w:lineRule="exact"/>
        <w:jc w:val="left"/>
        <w:rPr>
          <w:sz w:val="18"/>
        </w:rPr>
        <w:sectPr>
          <w:pgSz w:w="7640" w:h="11900"/>
          <w:pgMar w:header="672" w:footer="0" w:top="860" w:bottom="280" w:left="660" w:right="760"/>
        </w:sectPr>
      </w:pPr>
    </w:p>
    <w:p>
      <w:pPr>
        <w:pStyle w:val="BodyText"/>
        <w:spacing w:before="8"/>
        <w:rPr>
          <w:sz w:val="8"/>
        </w:rPr>
      </w:pPr>
    </w:p>
    <w:p>
      <w:pPr>
        <w:spacing w:line="254" w:lineRule="auto" w:before="71"/>
        <w:ind w:left="340" w:right="118" w:hanging="240"/>
        <w:jc w:val="both"/>
        <w:rPr>
          <w:sz w:val="18"/>
        </w:rPr>
      </w:pPr>
      <w:r>
        <w:rPr>
          <w:color w:val="231F20"/>
          <w:w w:val="105"/>
          <w:sz w:val="18"/>
        </w:rPr>
        <w:t>Cline, William, 2005, </w:t>
      </w:r>
      <w:r>
        <w:rPr>
          <w:i/>
          <w:color w:val="231F20"/>
          <w:w w:val="105"/>
          <w:sz w:val="18"/>
        </w:rPr>
        <w:t>The United Status as a Debtor Nation</w:t>
      </w:r>
      <w:r>
        <w:rPr>
          <w:color w:val="231F20"/>
          <w:w w:val="105"/>
          <w:sz w:val="18"/>
        </w:rPr>
        <w:t>, Peterson Institute for  Internacional  Economics,  Washington, DC.</w:t>
      </w:r>
    </w:p>
    <w:p>
      <w:pPr>
        <w:spacing w:before="1"/>
        <w:ind w:left="100" w:right="25" w:firstLine="0"/>
        <w:jc w:val="left"/>
        <w:rPr>
          <w:sz w:val="18"/>
        </w:rPr>
      </w:pPr>
      <w:r>
        <w:rPr>
          <w:color w:val="231F20"/>
          <w:sz w:val="18"/>
        </w:rPr>
        <w:t>Galbraith, James K. y Daniel Munevar, 2009, </w:t>
      </w:r>
      <w:r>
        <w:rPr>
          <w:i/>
          <w:color w:val="231F20"/>
          <w:sz w:val="18"/>
        </w:rPr>
        <w:t>The Generalizad Minsky Moment</w:t>
      </w:r>
      <w:r>
        <w:rPr>
          <w:color w:val="231F20"/>
          <w:sz w:val="18"/>
        </w:rPr>
        <w:t>,</w:t>
      </w:r>
    </w:p>
    <w:p>
      <w:pPr>
        <w:spacing w:before="13"/>
        <w:ind w:left="340" w:right="25" w:firstLine="0"/>
        <w:jc w:val="left"/>
        <w:rPr>
          <w:sz w:val="18"/>
        </w:rPr>
      </w:pPr>
      <w:r>
        <w:rPr>
          <w:color w:val="231F20"/>
          <w:w w:val="110"/>
          <w:sz w:val="18"/>
        </w:rPr>
        <w:t>utip Working Paper, núm. 56, Austin, University of Texas.</w:t>
      </w:r>
    </w:p>
    <w:p>
      <w:pPr>
        <w:spacing w:line="254" w:lineRule="auto" w:before="13"/>
        <w:ind w:left="340" w:right="117" w:hanging="240"/>
        <w:jc w:val="both"/>
        <w:rPr>
          <w:sz w:val="18"/>
        </w:rPr>
      </w:pPr>
      <w:r>
        <w:rPr>
          <w:color w:val="231F20"/>
          <w:sz w:val="18"/>
        </w:rPr>
        <w:t>hsbc,</w:t>
      </w:r>
      <w:r>
        <w:rPr>
          <w:color w:val="231F20"/>
          <w:spacing w:val="-27"/>
          <w:sz w:val="18"/>
        </w:rPr>
        <w:t> </w:t>
      </w:r>
      <w:r>
        <w:rPr>
          <w:color w:val="231F20"/>
          <w:sz w:val="18"/>
        </w:rPr>
        <w:t>2009,</w:t>
      </w:r>
      <w:r>
        <w:rPr>
          <w:color w:val="231F20"/>
          <w:spacing w:val="-27"/>
          <w:sz w:val="18"/>
        </w:rPr>
        <w:t> </w:t>
      </w:r>
      <w:r>
        <w:rPr>
          <w:i/>
          <w:color w:val="231F20"/>
          <w:sz w:val="18"/>
        </w:rPr>
        <w:t>Second</w:t>
      </w:r>
      <w:r>
        <w:rPr>
          <w:i/>
          <w:color w:val="231F20"/>
          <w:spacing w:val="-27"/>
          <w:sz w:val="18"/>
        </w:rPr>
        <w:t> </w:t>
      </w:r>
      <w:r>
        <w:rPr>
          <w:i/>
          <w:color w:val="231F20"/>
          <w:sz w:val="18"/>
        </w:rPr>
        <w:t>half</w:t>
      </w:r>
      <w:r>
        <w:rPr>
          <w:i/>
          <w:color w:val="231F20"/>
          <w:spacing w:val="-27"/>
          <w:sz w:val="18"/>
        </w:rPr>
        <w:t> </w:t>
      </w:r>
      <w:r>
        <w:rPr>
          <w:i/>
          <w:color w:val="231F20"/>
          <w:sz w:val="18"/>
        </w:rPr>
        <w:t>bull-market</w:t>
      </w:r>
      <w:r>
        <w:rPr>
          <w:i/>
          <w:color w:val="231F20"/>
          <w:spacing w:val="-27"/>
          <w:sz w:val="18"/>
        </w:rPr>
        <w:t> </w:t>
      </w:r>
      <w:r>
        <w:rPr>
          <w:i/>
          <w:color w:val="231F20"/>
          <w:sz w:val="18"/>
        </w:rPr>
        <w:t>for</w:t>
      </w:r>
      <w:r>
        <w:rPr>
          <w:i/>
          <w:color w:val="231F20"/>
          <w:spacing w:val="-27"/>
          <w:sz w:val="18"/>
        </w:rPr>
        <w:t> </w:t>
      </w:r>
      <w:r>
        <w:rPr>
          <w:i/>
          <w:color w:val="231F20"/>
          <w:sz w:val="18"/>
        </w:rPr>
        <w:t>bonds:</w:t>
      </w:r>
      <w:r>
        <w:rPr>
          <w:i/>
          <w:color w:val="231F20"/>
          <w:spacing w:val="-27"/>
          <w:sz w:val="18"/>
        </w:rPr>
        <w:t> </w:t>
      </w:r>
      <w:r>
        <w:rPr>
          <w:i/>
          <w:color w:val="231F20"/>
          <w:sz w:val="18"/>
        </w:rPr>
        <w:t>Long</w:t>
      </w:r>
      <w:r>
        <w:rPr>
          <w:i/>
          <w:color w:val="231F20"/>
          <w:spacing w:val="-27"/>
          <w:sz w:val="18"/>
        </w:rPr>
        <w:t> </w:t>
      </w:r>
      <w:r>
        <w:rPr>
          <w:i/>
          <w:color w:val="231F20"/>
          <w:sz w:val="18"/>
        </w:rPr>
        <w:t>Dated</w:t>
      </w:r>
      <w:r>
        <w:rPr>
          <w:i/>
          <w:color w:val="231F20"/>
          <w:spacing w:val="-27"/>
          <w:sz w:val="18"/>
        </w:rPr>
        <w:t> </w:t>
      </w:r>
      <w:r>
        <w:rPr>
          <w:i/>
          <w:color w:val="231F20"/>
          <w:sz w:val="18"/>
        </w:rPr>
        <w:t>governments</w:t>
      </w:r>
      <w:r>
        <w:rPr>
          <w:i/>
          <w:color w:val="231F20"/>
          <w:spacing w:val="-27"/>
          <w:sz w:val="18"/>
        </w:rPr>
        <w:t> </w:t>
      </w:r>
      <w:r>
        <w:rPr>
          <w:i/>
          <w:color w:val="231F20"/>
          <w:sz w:val="18"/>
        </w:rPr>
        <w:t>to</w:t>
      </w:r>
      <w:r>
        <w:rPr>
          <w:i/>
          <w:color w:val="231F20"/>
          <w:spacing w:val="-27"/>
          <w:sz w:val="18"/>
        </w:rPr>
        <w:t> </w:t>
      </w:r>
      <w:r>
        <w:rPr>
          <w:i/>
          <w:color w:val="231F20"/>
          <w:sz w:val="18"/>
        </w:rPr>
        <w:t>outperform </w:t>
      </w:r>
      <w:r>
        <w:rPr>
          <w:i/>
          <w:color w:val="231F20"/>
          <w:sz w:val="18"/>
        </w:rPr>
        <w:t>through  H2  09</w:t>
      </w:r>
      <w:r>
        <w:rPr>
          <w:color w:val="231F20"/>
          <w:sz w:val="18"/>
        </w:rPr>
        <w:t>,  Global  Fixed  Income  Research  Group, </w:t>
      </w:r>
      <w:r>
        <w:rPr>
          <w:color w:val="231F20"/>
          <w:spacing w:val="11"/>
          <w:sz w:val="18"/>
        </w:rPr>
        <w:t> </w:t>
      </w:r>
      <w:r>
        <w:rPr>
          <w:color w:val="231F20"/>
          <w:sz w:val="18"/>
        </w:rPr>
        <w:t>junio.</w:t>
      </w:r>
    </w:p>
    <w:p>
      <w:pPr>
        <w:spacing w:line="254" w:lineRule="auto" w:before="1"/>
        <w:ind w:left="340" w:right="118" w:hanging="240"/>
        <w:jc w:val="both"/>
        <w:rPr>
          <w:sz w:val="18"/>
        </w:rPr>
      </w:pPr>
      <w:r>
        <w:rPr>
          <w:color w:val="231F20"/>
          <w:sz w:val="18"/>
        </w:rPr>
        <w:t>imf,</w:t>
      </w:r>
      <w:r>
        <w:rPr>
          <w:color w:val="231F20"/>
          <w:spacing w:val="-15"/>
          <w:sz w:val="18"/>
        </w:rPr>
        <w:t> </w:t>
      </w:r>
      <w:r>
        <w:rPr>
          <w:color w:val="231F20"/>
          <w:sz w:val="18"/>
        </w:rPr>
        <w:t>2009,</w:t>
      </w:r>
      <w:r>
        <w:rPr>
          <w:color w:val="231F20"/>
          <w:spacing w:val="-15"/>
          <w:sz w:val="18"/>
        </w:rPr>
        <w:t> </w:t>
      </w:r>
      <w:r>
        <w:rPr>
          <w:i/>
          <w:color w:val="231F20"/>
          <w:sz w:val="18"/>
        </w:rPr>
        <w:t>Global</w:t>
      </w:r>
      <w:r>
        <w:rPr>
          <w:i/>
          <w:color w:val="231F20"/>
          <w:spacing w:val="-15"/>
          <w:sz w:val="18"/>
        </w:rPr>
        <w:t> </w:t>
      </w:r>
      <w:r>
        <w:rPr>
          <w:i/>
          <w:color w:val="231F20"/>
          <w:sz w:val="18"/>
        </w:rPr>
        <w:t>Financial</w:t>
      </w:r>
      <w:r>
        <w:rPr>
          <w:i/>
          <w:color w:val="231F20"/>
          <w:spacing w:val="-15"/>
          <w:sz w:val="18"/>
        </w:rPr>
        <w:t> </w:t>
      </w:r>
      <w:r>
        <w:rPr>
          <w:i/>
          <w:color w:val="231F20"/>
          <w:sz w:val="18"/>
        </w:rPr>
        <w:t>Stability</w:t>
      </w:r>
      <w:r>
        <w:rPr>
          <w:i/>
          <w:color w:val="231F20"/>
          <w:spacing w:val="-15"/>
          <w:sz w:val="18"/>
        </w:rPr>
        <w:t> </w:t>
      </w:r>
      <w:r>
        <w:rPr>
          <w:i/>
          <w:color w:val="231F20"/>
          <w:sz w:val="18"/>
        </w:rPr>
        <w:t>Report:</w:t>
      </w:r>
      <w:r>
        <w:rPr>
          <w:i/>
          <w:color w:val="231F20"/>
          <w:spacing w:val="-15"/>
          <w:sz w:val="18"/>
        </w:rPr>
        <w:t> </w:t>
      </w:r>
      <w:r>
        <w:rPr>
          <w:i/>
          <w:color w:val="231F20"/>
          <w:sz w:val="18"/>
        </w:rPr>
        <w:t>Responding</w:t>
      </w:r>
      <w:r>
        <w:rPr>
          <w:i/>
          <w:color w:val="231F20"/>
          <w:spacing w:val="-15"/>
          <w:sz w:val="18"/>
        </w:rPr>
        <w:t> </w:t>
      </w:r>
      <w:r>
        <w:rPr>
          <w:i/>
          <w:color w:val="231F20"/>
          <w:sz w:val="18"/>
        </w:rPr>
        <w:t>to</w:t>
      </w:r>
      <w:r>
        <w:rPr>
          <w:i/>
          <w:color w:val="231F20"/>
          <w:spacing w:val="-15"/>
          <w:sz w:val="18"/>
        </w:rPr>
        <w:t> </w:t>
      </w:r>
      <w:r>
        <w:rPr>
          <w:i/>
          <w:color w:val="231F20"/>
          <w:sz w:val="18"/>
        </w:rPr>
        <w:t>the</w:t>
      </w:r>
      <w:r>
        <w:rPr>
          <w:i/>
          <w:color w:val="231F20"/>
          <w:spacing w:val="-15"/>
          <w:sz w:val="18"/>
        </w:rPr>
        <w:t> </w:t>
      </w:r>
      <w:r>
        <w:rPr>
          <w:i/>
          <w:color w:val="231F20"/>
          <w:sz w:val="18"/>
        </w:rPr>
        <w:t>Financial</w:t>
      </w:r>
      <w:r>
        <w:rPr>
          <w:i/>
          <w:color w:val="231F20"/>
          <w:spacing w:val="-15"/>
          <w:sz w:val="18"/>
        </w:rPr>
        <w:t> </w:t>
      </w:r>
      <w:r>
        <w:rPr>
          <w:i/>
          <w:color w:val="231F20"/>
          <w:sz w:val="18"/>
        </w:rPr>
        <w:t>Crisis</w:t>
      </w:r>
      <w:r>
        <w:rPr>
          <w:i/>
          <w:color w:val="231F20"/>
          <w:spacing w:val="-15"/>
          <w:sz w:val="18"/>
        </w:rPr>
        <w:t> </w:t>
      </w:r>
      <w:r>
        <w:rPr>
          <w:i/>
          <w:color w:val="231F20"/>
          <w:sz w:val="18"/>
        </w:rPr>
        <w:t>and </w:t>
      </w:r>
      <w:r>
        <w:rPr>
          <w:i/>
          <w:color w:val="231F20"/>
          <w:sz w:val="18"/>
        </w:rPr>
        <w:t>Measuring Systemic Risks</w:t>
      </w:r>
      <w:r>
        <w:rPr>
          <w:color w:val="231F20"/>
          <w:sz w:val="18"/>
        </w:rPr>
        <w:t>, imf, Washington, </w:t>
      </w:r>
      <w:r>
        <w:rPr>
          <w:color w:val="231F20"/>
          <w:spacing w:val="27"/>
          <w:sz w:val="18"/>
        </w:rPr>
        <w:t> </w:t>
      </w:r>
      <w:r>
        <w:rPr>
          <w:color w:val="231F20"/>
          <w:sz w:val="18"/>
        </w:rPr>
        <w:t>DC.</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w:t>
      </w:r>
      <w:r>
        <w:rPr>
          <w:color w:val="231F20"/>
          <w:spacing w:val="-16"/>
          <w:sz w:val="18"/>
        </w:rPr>
        <w:t> </w:t>
      </w:r>
      <w:r>
        <w:rPr>
          <w:color w:val="231F20"/>
          <w:sz w:val="18"/>
        </w:rPr>
        <w:t>2009b,</w:t>
      </w:r>
      <w:r>
        <w:rPr>
          <w:color w:val="231F20"/>
          <w:spacing w:val="-16"/>
          <w:sz w:val="18"/>
        </w:rPr>
        <w:t> </w:t>
      </w:r>
      <w:r>
        <w:rPr>
          <w:i/>
          <w:color w:val="231F20"/>
          <w:sz w:val="18"/>
        </w:rPr>
        <w:t>World</w:t>
      </w:r>
      <w:r>
        <w:rPr>
          <w:i/>
          <w:color w:val="231F20"/>
          <w:spacing w:val="-16"/>
          <w:sz w:val="18"/>
        </w:rPr>
        <w:t> </w:t>
      </w:r>
      <w:r>
        <w:rPr>
          <w:i/>
          <w:color w:val="231F20"/>
          <w:sz w:val="18"/>
        </w:rPr>
        <w:t>Economic</w:t>
      </w:r>
      <w:r>
        <w:rPr>
          <w:i/>
          <w:color w:val="231F20"/>
          <w:spacing w:val="-16"/>
          <w:sz w:val="18"/>
        </w:rPr>
        <w:t> </w:t>
      </w:r>
      <w:r>
        <w:rPr>
          <w:i/>
          <w:color w:val="231F20"/>
          <w:sz w:val="18"/>
        </w:rPr>
        <w:t>Outlook</w:t>
      </w:r>
      <w:r>
        <w:rPr>
          <w:i/>
          <w:color w:val="231F20"/>
          <w:spacing w:val="-16"/>
          <w:sz w:val="18"/>
        </w:rPr>
        <w:t> </w:t>
      </w:r>
      <w:r>
        <w:rPr>
          <w:i/>
          <w:color w:val="231F20"/>
          <w:sz w:val="18"/>
        </w:rPr>
        <w:t>2009:</w:t>
      </w:r>
      <w:r>
        <w:rPr>
          <w:i/>
          <w:color w:val="231F20"/>
          <w:spacing w:val="-16"/>
          <w:sz w:val="18"/>
        </w:rPr>
        <w:t> </w:t>
      </w:r>
      <w:r>
        <w:rPr>
          <w:i/>
          <w:color w:val="231F20"/>
          <w:sz w:val="18"/>
        </w:rPr>
        <w:t>Crisis</w:t>
      </w:r>
      <w:r>
        <w:rPr>
          <w:i/>
          <w:color w:val="231F20"/>
          <w:spacing w:val="-16"/>
          <w:sz w:val="18"/>
        </w:rPr>
        <w:t> </w:t>
      </w:r>
      <w:r>
        <w:rPr>
          <w:i/>
          <w:color w:val="231F20"/>
          <w:sz w:val="18"/>
        </w:rPr>
        <w:t>and</w:t>
      </w:r>
      <w:r>
        <w:rPr>
          <w:i/>
          <w:color w:val="231F20"/>
          <w:spacing w:val="-16"/>
          <w:sz w:val="18"/>
        </w:rPr>
        <w:t> </w:t>
      </w:r>
      <w:r>
        <w:rPr>
          <w:i/>
          <w:color w:val="231F20"/>
          <w:sz w:val="18"/>
        </w:rPr>
        <w:t>Recovery</w:t>
      </w:r>
      <w:r>
        <w:rPr>
          <w:color w:val="231F20"/>
          <w:sz w:val="18"/>
        </w:rPr>
        <w:t>,</w:t>
      </w:r>
      <w:r>
        <w:rPr>
          <w:color w:val="231F20"/>
          <w:spacing w:val="-16"/>
          <w:sz w:val="18"/>
        </w:rPr>
        <w:t> </w:t>
      </w:r>
      <w:r>
        <w:rPr>
          <w:color w:val="231F20"/>
          <w:sz w:val="18"/>
        </w:rPr>
        <w:t>Washington,</w:t>
      </w:r>
      <w:r>
        <w:rPr>
          <w:color w:val="231F20"/>
          <w:spacing w:val="-16"/>
          <w:sz w:val="18"/>
        </w:rPr>
        <w:t> </w:t>
      </w:r>
      <w:r>
        <w:rPr>
          <w:color w:val="231F20"/>
          <w:sz w:val="18"/>
        </w:rPr>
        <w:t>DC.</w:t>
      </w:r>
    </w:p>
    <w:p>
      <w:pPr>
        <w:tabs>
          <w:tab w:pos="45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w:t>
      </w:r>
      <w:r>
        <w:rPr>
          <w:color w:val="231F20"/>
          <w:spacing w:val="-14"/>
          <w:sz w:val="18"/>
        </w:rPr>
        <w:t> </w:t>
      </w:r>
      <w:r>
        <w:rPr>
          <w:color w:val="231F20"/>
          <w:sz w:val="18"/>
        </w:rPr>
        <w:t>2007,</w:t>
      </w:r>
      <w:r>
        <w:rPr>
          <w:color w:val="231F20"/>
          <w:spacing w:val="-14"/>
          <w:sz w:val="18"/>
        </w:rPr>
        <w:t> </w:t>
      </w:r>
      <w:r>
        <w:rPr>
          <w:i/>
          <w:color w:val="231F20"/>
          <w:sz w:val="18"/>
        </w:rPr>
        <w:t>World</w:t>
      </w:r>
      <w:r>
        <w:rPr>
          <w:i/>
          <w:color w:val="231F20"/>
          <w:spacing w:val="-14"/>
          <w:sz w:val="18"/>
        </w:rPr>
        <w:t> </w:t>
      </w:r>
      <w:r>
        <w:rPr>
          <w:i/>
          <w:color w:val="231F20"/>
          <w:sz w:val="18"/>
        </w:rPr>
        <w:t>Economic</w:t>
      </w:r>
      <w:r>
        <w:rPr>
          <w:i/>
          <w:color w:val="231F20"/>
          <w:spacing w:val="-14"/>
          <w:sz w:val="18"/>
        </w:rPr>
        <w:t> </w:t>
      </w:r>
      <w:r>
        <w:rPr>
          <w:i/>
          <w:color w:val="231F20"/>
          <w:sz w:val="18"/>
        </w:rPr>
        <w:t>Outlook</w:t>
      </w:r>
      <w:r>
        <w:rPr>
          <w:i/>
          <w:color w:val="231F20"/>
          <w:spacing w:val="-14"/>
          <w:sz w:val="18"/>
        </w:rPr>
        <w:t> </w:t>
      </w:r>
      <w:r>
        <w:rPr>
          <w:i/>
          <w:color w:val="231F20"/>
          <w:sz w:val="18"/>
        </w:rPr>
        <w:t>Update:</w:t>
      </w:r>
      <w:r>
        <w:rPr>
          <w:i/>
          <w:color w:val="231F20"/>
          <w:spacing w:val="-14"/>
          <w:sz w:val="18"/>
        </w:rPr>
        <w:t> </w:t>
      </w:r>
      <w:r>
        <w:rPr>
          <w:i/>
          <w:color w:val="231F20"/>
          <w:sz w:val="18"/>
        </w:rPr>
        <w:t>An</w:t>
      </w:r>
      <w:r>
        <w:rPr>
          <w:i/>
          <w:color w:val="231F20"/>
          <w:spacing w:val="-14"/>
          <w:sz w:val="18"/>
        </w:rPr>
        <w:t> </w:t>
      </w:r>
      <w:r>
        <w:rPr>
          <w:i/>
          <w:color w:val="231F20"/>
          <w:sz w:val="18"/>
        </w:rPr>
        <w:t>Update</w:t>
      </w:r>
      <w:r>
        <w:rPr>
          <w:i/>
          <w:color w:val="231F20"/>
          <w:spacing w:val="-14"/>
          <w:sz w:val="18"/>
        </w:rPr>
        <w:t> </w:t>
      </w:r>
      <w:r>
        <w:rPr>
          <w:i/>
          <w:color w:val="231F20"/>
          <w:sz w:val="18"/>
        </w:rPr>
        <w:t>of</w:t>
      </w:r>
      <w:r>
        <w:rPr>
          <w:i/>
          <w:color w:val="231F20"/>
          <w:spacing w:val="-14"/>
          <w:sz w:val="18"/>
        </w:rPr>
        <w:t> </w:t>
      </w:r>
      <w:r>
        <w:rPr>
          <w:i/>
          <w:color w:val="231F20"/>
          <w:sz w:val="18"/>
        </w:rPr>
        <w:t>the</w:t>
      </w:r>
      <w:r>
        <w:rPr>
          <w:i/>
          <w:color w:val="231F20"/>
          <w:spacing w:val="-14"/>
          <w:sz w:val="18"/>
        </w:rPr>
        <w:t> </w:t>
      </w:r>
      <w:r>
        <w:rPr>
          <w:i/>
          <w:color w:val="231F20"/>
          <w:sz w:val="18"/>
        </w:rPr>
        <w:t>Key</w:t>
      </w:r>
      <w:r>
        <w:rPr>
          <w:i/>
          <w:color w:val="231F20"/>
          <w:spacing w:val="-14"/>
          <w:sz w:val="18"/>
        </w:rPr>
        <w:t> </w:t>
      </w:r>
      <w:r>
        <w:rPr>
          <w:i/>
          <w:color w:val="231F20"/>
          <w:w w:val="105"/>
          <w:sz w:val="13"/>
        </w:rPr>
        <w:t>weo</w:t>
      </w:r>
      <w:r>
        <w:rPr>
          <w:i/>
          <w:color w:val="231F20"/>
          <w:spacing w:val="-3"/>
          <w:w w:val="105"/>
          <w:sz w:val="13"/>
        </w:rPr>
        <w:t> </w:t>
      </w:r>
      <w:r>
        <w:rPr>
          <w:i/>
          <w:color w:val="231F20"/>
          <w:sz w:val="18"/>
        </w:rPr>
        <w:t>Projections</w:t>
      </w:r>
      <w:r>
        <w:rPr>
          <w:color w:val="231F20"/>
          <w:sz w:val="18"/>
        </w:rPr>
        <w:t>,</w:t>
      </w:r>
    </w:p>
    <w:p>
      <w:pPr>
        <w:spacing w:line="254" w:lineRule="auto" w:before="13"/>
        <w:ind w:left="340" w:right="25" w:firstLine="0"/>
        <w:jc w:val="left"/>
        <w:rPr>
          <w:sz w:val="18"/>
        </w:rPr>
      </w:pPr>
      <w:hyperlink r:id="rId167">
        <w:r>
          <w:rPr>
            <w:color w:val="231F20"/>
            <w:w w:val="115"/>
            <w:sz w:val="18"/>
          </w:rPr>
          <w:t>&lt;www.imf.org/external/pubs/ft/weo/2007/update/01/pdf/eng/0707.</w:t>
        </w:r>
      </w:hyperlink>
      <w:r>
        <w:rPr>
          <w:color w:val="231F20"/>
          <w:w w:val="115"/>
          <w:sz w:val="18"/>
        </w:rPr>
        <w:t> pdf&gt;, 5 de octubre de 2009.</w:t>
      </w:r>
    </w:p>
    <w:p>
      <w:pPr>
        <w:spacing w:line="254" w:lineRule="auto" w:before="1"/>
        <w:ind w:left="340" w:right="113" w:hanging="240"/>
        <w:jc w:val="both"/>
        <w:rPr>
          <w:sz w:val="18"/>
        </w:rPr>
      </w:pPr>
      <w:r>
        <w:rPr>
          <w:color w:val="231F20"/>
          <w:w w:val="105"/>
          <w:sz w:val="18"/>
        </w:rPr>
        <w:t>Krugman, Paul, 2009, </w:t>
      </w:r>
      <w:r>
        <w:rPr>
          <w:i/>
          <w:color w:val="231F20"/>
          <w:w w:val="105"/>
          <w:sz w:val="18"/>
        </w:rPr>
        <w:t>The Burden of Debt. The Concience of a Liberal Blog</w:t>
      </w:r>
      <w:r>
        <w:rPr>
          <w:color w:val="231F20"/>
          <w:w w:val="105"/>
          <w:sz w:val="18"/>
        </w:rPr>
        <w:t>, The New York Times, 28 de agosto, &lt;</w:t>
      </w:r>
      <w:hyperlink r:id="rId168">
        <w:r>
          <w:rPr>
            <w:color w:val="231F20"/>
            <w:w w:val="105"/>
            <w:sz w:val="18"/>
          </w:rPr>
          <w:t>http://krugman.blogs.nytimes.</w:t>
        </w:r>
      </w:hyperlink>
      <w:r>
        <w:rPr>
          <w:color w:val="231F20"/>
          <w:w w:val="105"/>
          <w:sz w:val="18"/>
        </w:rPr>
        <w:t> com/2009/08/28/the-burden-of-debt/&gt;,   6   de   octubre   de 2009.</w:t>
      </w:r>
    </w:p>
    <w:p>
      <w:pPr>
        <w:spacing w:line="254" w:lineRule="auto" w:before="1"/>
        <w:ind w:left="340" w:right="119" w:hanging="240"/>
        <w:jc w:val="both"/>
        <w:rPr>
          <w:sz w:val="18"/>
        </w:rPr>
      </w:pPr>
      <w:r>
        <w:rPr>
          <w:color w:val="231F20"/>
          <w:sz w:val="18"/>
        </w:rPr>
        <w:t>McKinsey Global Institute, 2009, </w:t>
      </w:r>
      <w:r>
        <w:rPr>
          <w:i/>
          <w:color w:val="231F20"/>
          <w:sz w:val="18"/>
        </w:rPr>
        <w:t>Global Capital Markets: Entering a New Era. </w:t>
      </w:r>
      <w:r>
        <w:rPr>
          <w:i/>
          <w:color w:val="231F20"/>
          <w:sz w:val="18"/>
        </w:rPr>
        <w:t>2010,</w:t>
      </w:r>
      <w:r>
        <w:rPr>
          <w:i/>
          <w:color w:val="231F20"/>
          <w:spacing w:val="-4"/>
          <w:sz w:val="18"/>
        </w:rPr>
        <w:t> </w:t>
      </w:r>
      <w:r>
        <w:rPr>
          <w:i/>
          <w:color w:val="231F20"/>
          <w:sz w:val="18"/>
        </w:rPr>
        <w:t>Debt</w:t>
      </w:r>
      <w:r>
        <w:rPr>
          <w:i/>
          <w:color w:val="231F20"/>
          <w:spacing w:val="-4"/>
          <w:sz w:val="18"/>
        </w:rPr>
        <w:t> </w:t>
      </w:r>
      <w:r>
        <w:rPr>
          <w:i/>
          <w:color w:val="231F20"/>
          <w:sz w:val="18"/>
        </w:rPr>
        <w:t>and</w:t>
      </w:r>
      <w:r>
        <w:rPr>
          <w:i/>
          <w:color w:val="231F20"/>
          <w:spacing w:val="-4"/>
          <w:sz w:val="18"/>
        </w:rPr>
        <w:t> </w:t>
      </w:r>
      <w:r>
        <w:rPr>
          <w:i/>
          <w:color w:val="231F20"/>
          <w:sz w:val="18"/>
        </w:rPr>
        <w:t>Deleveraging:</w:t>
      </w:r>
      <w:r>
        <w:rPr>
          <w:i/>
          <w:color w:val="231F20"/>
          <w:spacing w:val="-4"/>
          <w:sz w:val="18"/>
        </w:rPr>
        <w:t> </w:t>
      </w:r>
      <w:r>
        <w:rPr>
          <w:i/>
          <w:color w:val="231F20"/>
          <w:sz w:val="18"/>
        </w:rPr>
        <w:t>The</w:t>
      </w:r>
      <w:r>
        <w:rPr>
          <w:i/>
          <w:color w:val="231F20"/>
          <w:spacing w:val="-4"/>
          <w:sz w:val="18"/>
        </w:rPr>
        <w:t> </w:t>
      </w:r>
      <w:r>
        <w:rPr>
          <w:i/>
          <w:color w:val="231F20"/>
          <w:sz w:val="18"/>
        </w:rPr>
        <w:t>global</w:t>
      </w:r>
      <w:r>
        <w:rPr>
          <w:i/>
          <w:color w:val="231F20"/>
          <w:spacing w:val="-4"/>
          <w:sz w:val="18"/>
        </w:rPr>
        <w:t> </w:t>
      </w:r>
      <w:r>
        <w:rPr>
          <w:i/>
          <w:color w:val="231F20"/>
          <w:sz w:val="18"/>
        </w:rPr>
        <w:t>credit</w:t>
      </w:r>
      <w:r>
        <w:rPr>
          <w:i/>
          <w:color w:val="231F20"/>
          <w:spacing w:val="-4"/>
          <w:sz w:val="18"/>
        </w:rPr>
        <w:t> </w:t>
      </w:r>
      <w:r>
        <w:rPr>
          <w:i/>
          <w:color w:val="231F20"/>
          <w:sz w:val="18"/>
        </w:rPr>
        <w:t>bubble</w:t>
      </w:r>
      <w:r>
        <w:rPr>
          <w:i/>
          <w:color w:val="231F20"/>
          <w:spacing w:val="-4"/>
          <w:sz w:val="18"/>
        </w:rPr>
        <w:t> </w:t>
      </w:r>
      <w:r>
        <w:rPr>
          <w:i/>
          <w:color w:val="231F20"/>
          <w:sz w:val="18"/>
        </w:rPr>
        <w:t>and</w:t>
      </w:r>
      <w:r>
        <w:rPr>
          <w:i/>
          <w:color w:val="231F20"/>
          <w:spacing w:val="-4"/>
          <w:sz w:val="18"/>
        </w:rPr>
        <w:t> </w:t>
      </w:r>
      <w:r>
        <w:rPr>
          <w:i/>
          <w:color w:val="231F20"/>
          <w:sz w:val="18"/>
        </w:rPr>
        <w:t>its</w:t>
      </w:r>
      <w:r>
        <w:rPr>
          <w:i/>
          <w:color w:val="231F20"/>
          <w:spacing w:val="-4"/>
          <w:sz w:val="18"/>
        </w:rPr>
        <w:t> </w:t>
      </w:r>
      <w:r>
        <w:rPr>
          <w:i/>
          <w:color w:val="231F20"/>
          <w:sz w:val="18"/>
        </w:rPr>
        <w:t>economic</w:t>
      </w:r>
      <w:r>
        <w:rPr>
          <w:i/>
          <w:color w:val="231F20"/>
          <w:spacing w:val="-4"/>
          <w:sz w:val="18"/>
        </w:rPr>
        <w:t> </w:t>
      </w:r>
      <w:r>
        <w:rPr>
          <w:i/>
          <w:color w:val="231F20"/>
          <w:sz w:val="18"/>
        </w:rPr>
        <w:t>conse- quences</w:t>
      </w:r>
      <w:r>
        <w:rPr>
          <w:color w:val="231F20"/>
          <w:sz w:val="18"/>
        </w:rPr>
        <w:t>.</w:t>
      </w:r>
    </w:p>
    <w:p>
      <w:pPr>
        <w:spacing w:line="254" w:lineRule="auto" w:before="1"/>
        <w:ind w:left="340" w:right="119" w:hanging="240"/>
        <w:jc w:val="both"/>
        <w:rPr>
          <w:sz w:val="18"/>
        </w:rPr>
      </w:pPr>
      <w:r>
        <w:rPr>
          <w:color w:val="231F20"/>
          <w:w w:val="105"/>
          <w:sz w:val="18"/>
        </w:rPr>
        <w:t>Munchau Wolfgang 2009, “A recognition of the deep root of the crisis”, </w:t>
      </w:r>
      <w:r>
        <w:rPr>
          <w:i/>
          <w:color w:val="231F20"/>
          <w:w w:val="105"/>
          <w:sz w:val="18"/>
        </w:rPr>
        <w:t>The </w:t>
      </w:r>
      <w:r>
        <w:rPr>
          <w:i/>
          <w:color w:val="231F20"/>
          <w:w w:val="105"/>
          <w:sz w:val="18"/>
        </w:rPr>
        <w:t>Financial Times</w:t>
      </w:r>
      <w:r>
        <w:rPr>
          <w:color w:val="231F20"/>
          <w:w w:val="105"/>
          <w:sz w:val="18"/>
        </w:rPr>
        <w:t>, 27 de septiembre.</w:t>
      </w:r>
    </w:p>
    <w:p>
      <w:pPr>
        <w:spacing w:line="254" w:lineRule="auto" w:before="1"/>
        <w:ind w:left="340" w:right="118" w:hanging="240"/>
        <w:jc w:val="both"/>
        <w:rPr>
          <w:sz w:val="18"/>
        </w:rPr>
      </w:pPr>
      <w:r>
        <w:rPr>
          <w:color w:val="231F20"/>
          <w:w w:val="105"/>
          <w:sz w:val="18"/>
        </w:rPr>
        <w:t>Okina,</w:t>
      </w:r>
      <w:r>
        <w:rPr>
          <w:color w:val="231F20"/>
          <w:spacing w:val="-6"/>
          <w:w w:val="105"/>
          <w:sz w:val="18"/>
        </w:rPr>
        <w:t> </w:t>
      </w:r>
      <w:r>
        <w:rPr>
          <w:color w:val="231F20"/>
          <w:w w:val="105"/>
          <w:sz w:val="18"/>
        </w:rPr>
        <w:t>Kunio</w:t>
      </w:r>
      <w:r>
        <w:rPr>
          <w:color w:val="231F20"/>
          <w:spacing w:val="-6"/>
          <w:w w:val="105"/>
          <w:sz w:val="18"/>
        </w:rPr>
        <w:t> </w:t>
      </w:r>
      <w:r>
        <w:rPr>
          <w:color w:val="231F20"/>
          <w:w w:val="105"/>
          <w:sz w:val="18"/>
        </w:rPr>
        <w:t>y</w:t>
      </w:r>
      <w:r>
        <w:rPr>
          <w:color w:val="231F20"/>
          <w:spacing w:val="-6"/>
          <w:w w:val="105"/>
          <w:sz w:val="18"/>
        </w:rPr>
        <w:t> </w:t>
      </w:r>
      <w:r>
        <w:rPr>
          <w:color w:val="231F20"/>
          <w:w w:val="105"/>
          <w:sz w:val="18"/>
        </w:rPr>
        <w:t>Shigenori</w:t>
      </w:r>
      <w:r>
        <w:rPr>
          <w:color w:val="231F20"/>
          <w:spacing w:val="-6"/>
          <w:w w:val="105"/>
          <w:sz w:val="18"/>
        </w:rPr>
        <w:t> </w:t>
      </w:r>
      <w:r>
        <w:rPr>
          <w:color w:val="231F20"/>
          <w:w w:val="105"/>
          <w:sz w:val="18"/>
        </w:rPr>
        <w:t>Shiratsuka,</w:t>
      </w:r>
      <w:r>
        <w:rPr>
          <w:color w:val="231F20"/>
          <w:spacing w:val="-6"/>
          <w:w w:val="105"/>
          <w:sz w:val="18"/>
        </w:rPr>
        <w:t> </w:t>
      </w:r>
      <w:r>
        <w:rPr>
          <w:color w:val="231F20"/>
          <w:w w:val="105"/>
          <w:sz w:val="18"/>
        </w:rPr>
        <w:t>2002,</w:t>
      </w:r>
      <w:r>
        <w:rPr>
          <w:color w:val="231F20"/>
          <w:spacing w:val="-6"/>
          <w:w w:val="105"/>
          <w:sz w:val="18"/>
        </w:rPr>
        <w:t> </w:t>
      </w:r>
      <w:r>
        <w:rPr>
          <w:i/>
          <w:color w:val="231F20"/>
          <w:w w:val="105"/>
          <w:sz w:val="18"/>
        </w:rPr>
        <w:t>Asset</w:t>
      </w:r>
      <w:r>
        <w:rPr>
          <w:i/>
          <w:color w:val="231F20"/>
          <w:spacing w:val="-6"/>
          <w:w w:val="105"/>
          <w:sz w:val="18"/>
        </w:rPr>
        <w:t> </w:t>
      </w:r>
      <w:r>
        <w:rPr>
          <w:i/>
          <w:color w:val="231F20"/>
          <w:w w:val="105"/>
          <w:sz w:val="18"/>
        </w:rPr>
        <w:t>Price</w:t>
      </w:r>
      <w:r>
        <w:rPr>
          <w:i/>
          <w:color w:val="231F20"/>
          <w:spacing w:val="-6"/>
          <w:w w:val="105"/>
          <w:sz w:val="18"/>
        </w:rPr>
        <w:t> </w:t>
      </w:r>
      <w:r>
        <w:rPr>
          <w:i/>
          <w:color w:val="231F20"/>
          <w:w w:val="105"/>
          <w:sz w:val="18"/>
        </w:rPr>
        <w:t>Bubbles,</w:t>
      </w:r>
      <w:r>
        <w:rPr>
          <w:i/>
          <w:color w:val="231F20"/>
          <w:spacing w:val="-6"/>
          <w:w w:val="105"/>
          <w:sz w:val="18"/>
        </w:rPr>
        <w:t> </w:t>
      </w:r>
      <w:r>
        <w:rPr>
          <w:i/>
          <w:color w:val="231F20"/>
          <w:w w:val="105"/>
          <w:sz w:val="18"/>
        </w:rPr>
        <w:t>Price</w:t>
      </w:r>
      <w:r>
        <w:rPr>
          <w:i/>
          <w:color w:val="231F20"/>
          <w:spacing w:val="-6"/>
          <w:w w:val="105"/>
          <w:sz w:val="18"/>
        </w:rPr>
        <w:t> </w:t>
      </w:r>
      <w:r>
        <w:rPr>
          <w:i/>
          <w:color w:val="231F20"/>
          <w:w w:val="105"/>
          <w:sz w:val="18"/>
        </w:rPr>
        <w:t>Stability </w:t>
      </w:r>
      <w:r>
        <w:rPr>
          <w:i/>
          <w:color w:val="231F20"/>
          <w:w w:val="105"/>
          <w:sz w:val="18"/>
        </w:rPr>
        <w:t>and</w:t>
      </w:r>
      <w:r>
        <w:rPr>
          <w:i/>
          <w:color w:val="231F20"/>
          <w:spacing w:val="-7"/>
          <w:w w:val="105"/>
          <w:sz w:val="18"/>
        </w:rPr>
        <w:t> </w:t>
      </w:r>
      <w:r>
        <w:rPr>
          <w:i/>
          <w:color w:val="231F20"/>
          <w:w w:val="105"/>
          <w:sz w:val="18"/>
        </w:rPr>
        <w:t>Monetary</w:t>
      </w:r>
      <w:r>
        <w:rPr>
          <w:i/>
          <w:color w:val="231F20"/>
          <w:spacing w:val="-7"/>
          <w:w w:val="105"/>
          <w:sz w:val="18"/>
        </w:rPr>
        <w:t> </w:t>
      </w:r>
      <w:r>
        <w:rPr>
          <w:i/>
          <w:color w:val="231F20"/>
          <w:w w:val="105"/>
          <w:sz w:val="18"/>
        </w:rPr>
        <w:t>Policy:</w:t>
      </w:r>
      <w:r>
        <w:rPr>
          <w:i/>
          <w:color w:val="231F20"/>
          <w:spacing w:val="-7"/>
          <w:w w:val="105"/>
          <w:sz w:val="18"/>
        </w:rPr>
        <w:t> </w:t>
      </w:r>
      <w:r>
        <w:rPr>
          <w:i/>
          <w:color w:val="231F20"/>
          <w:w w:val="105"/>
          <w:sz w:val="18"/>
        </w:rPr>
        <w:t>Japan’s</w:t>
      </w:r>
      <w:r>
        <w:rPr>
          <w:i/>
          <w:color w:val="231F20"/>
          <w:spacing w:val="-7"/>
          <w:w w:val="105"/>
          <w:sz w:val="18"/>
        </w:rPr>
        <w:t> </w:t>
      </w:r>
      <w:r>
        <w:rPr>
          <w:i/>
          <w:color w:val="231F20"/>
          <w:w w:val="105"/>
          <w:sz w:val="18"/>
        </w:rPr>
        <w:t>Experience</w:t>
      </w:r>
      <w:r>
        <w:rPr>
          <w:color w:val="231F20"/>
          <w:w w:val="105"/>
          <w:sz w:val="18"/>
        </w:rPr>
        <w:t>,</w:t>
      </w:r>
      <w:r>
        <w:rPr>
          <w:color w:val="231F20"/>
          <w:spacing w:val="-7"/>
          <w:w w:val="105"/>
          <w:sz w:val="18"/>
        </w:rPr>
        <w:t> </w:t>
      </w:r>
      <w:r>
        <w:rPr>
          <w:color w:val="231F20"/>
          <w:w w:val="105"/>
          <w:sz w:val="18"/>
        </w:rPr>
        <w:t>Monetary</w:t>
      </w:r>
      <w:r>
        <w:rPr>
          <w:color w:val="231F20"/>
          <w:spacing w:val="-7"/>
          <w:w w:val="105"/>
          <w:sz w:val="18"/>
        </w:rPr>
        <w:t> </w:t>
      </w:r>
      <w:r>
        <w:rPr>
          <w:color w:val="231F20"/>
          <w:w w:val="105"/>
          <w:sz w:val="18"/>
        </w:rPr>
        <w:t>and</w:t>
      </w:r>
      <w:r>
        <w:rPr>
          <w:color w:val="231F20"/>
          <w:spacing w:val="-7"/>
          <w:w w:val="105"/>
          <w:sz w:val="18"/>
        </w:rPr>
        <w:t> </w:t>
      </w:r>
      <w:r>
        <w:rPr>
          <w:color w:val="231F20"/>
          <w:w w:val="105"/>
          <w:sz w:val="18"/>
        </w:rPr>
        <w:t>Economic</w:t>
      </w:r>
      <w:r>
        <w:rPr>
          <w:color w:val="231F20"/>
          <w:spacing w:val="-7"/>
          <w:w w:val="105"/>
          <w:sz w:val="18"/>
        </w:rPr>
        <w:t> </w:t>
      </w:r>
      <w:r>
        <w:rPr>
          <w:color w:val="231F20"/>
          <w:w w:val="105"/>
          <w:sz w:val="18"/>
        </w:rPr>
        <w:t>Studies, octubre, Bank of Japan, p.  </w:t>
      </w:r>
      <w:r>
        <w:rPr>
          <w:color w:val="231F20"/>
          <w:spacing w:val="28"/>
          <w:w w:val="105"/>
          <w:sz w:val="18"/>
        </w:rPr>
        <w:t> </w:t>
      </w:r>
      <w:r>
        <w:rPr>
          <w:color w:val="231F20"/>
          <w:w w:val="105"/>
          <w:sz w:val="18"/>
        </w:rPr>
        <w:t>55.</w:t>
      </w:r>
    </w:p>
    <w:p>
      <w:pPr>
        <w:spacing w:line="254" w:lineRule="auto" w:before="1"/>
        <w:ind w:left="340" w:right="117" w:hanging="240"/>
        <w:jc w:val="both"/>
        <w:rPr>
          <w:sz w:val="18"/>
        </w:rPr>
      </w:pPr>
      <w:r>
        <w:rPr>
          <w:color w:val="231F20"/>
          <w:w w:val="105"/>
          <w:sz w:val="18"/>
        </w:rPr>
        <w:t>Papadimitrou, Dimitri y Randall Wray, 1999, </w:t>
      </w:r>
      <w:r>
        <w:rPr>
          <w:i/>
          <w:color w:val="231F20"/>
          <w:w w:val="105"/>
          <w:sz w:val="18"/>
        </w:rPr>
        <w:t>Minsky’s Analysis of Financial </w:t>
      </w:r>
      <w:r>
        <w:rPr>
          <w:i/>
          <w:color w:val="231F20"/>
          <w:w w:val="105"/>
          <w:sz w:val="18"/>
        </w:rPr>
        <w:t>Capitalism</w:t>
      </w:r>
      <w:r>
        <w:rPr>
          <w:color w:val="231F20"/>
          <w:w w:val="105"/>
          <w:sz w:val="18"/>
        </w:rPr>
        <w:t>, The Levy Economics Institute, Working Paper, núm.   275.</w:t>
      </w:r>
    </w:p>
    <w:p>
      <w:pPr>
        <w:spacing w:line="254" w:lineRule="auto" w:before="1"/>
        <w:ind w:left="340" w:right="118" w:hanging="240"/>
        <w:jc w:val="both"/>
        <w:rPr>
          <w:sz w:val="18"/>
        </w:rPr>
      </w:pPr>
      <w:r>
        <w:rPr>
          <w:color w:val="231F20"/>
          <w:sz w:val="18"/>
        </w:rPr>
        <w:t>Pigeoon, Marc-Andre, 2000, </w:t>
      </w:r>
      <w:r>
        <w:rPr>
          <w:i/>
          <w:color w:val="231F20"/>
          <w:sz w:val="18"/>
        </w:rPr>
        <w:t>‘It’ Happened, but not Again: A minskian analisis     </w:t>
      </w:r>
      <w:r>
        <w:rPr>
          <w:i/>
          <w:color w:val="231F20"/>
          <w:sz w:val="18"/>
        </w:rPr>
        <w:t>of Japan’s Los Decade</w:t>
      </w:r>
      <w:r>
        <w:rPr>
          <w:color w:val="231F20"/>
          <w:sz w:val="18"/>
        </w:rPr>
        <w:t>, The Levy Economics Institute, Working </w:t>
      </w:r>
      <w:r>
        <w:rPr>
          <w:color w:val="231F20"/>
          <w:spacing w:val="-3"/>
          <w:sz w:val="18"/>
        </w:rPr>
        <w:t>Paper, </w:t>
      </w:r>
      <w:r>
        <w:rPr>
          <w:color w:val="231F20"/>
          <w:sz w:val="18"/>
        </w:rPr>
        <w:t>núm. 303.</w:t>
      </w:r>
    </w:p>
    <w:p>
      <w:pPr>
        <w:spacing w:line="254" w:lineRule="auto" w:before="1"/>
        <w:ind w:left="340" w:right="117" w:hanging="240"/>
        <w:jc w:val="both"/>
        <w:rPr>
          <w:sz w:val="18"/>
        </w:rPr>
      </w:pPr>
      <w:r>
        <w:rPr>
          <w:color w:val="231F20"/>
          <w:spacing w:val="-4"/>
          <w:sz w:val="18"/>
        </w:rPr>
        <w:t>Tett, </w:t>
      </w:r>
      <w:r>
        <w:rPr>
          <w:color w:val="231F20"/>
          <w:sz w:val="18"/>
        </w:rPr>
        <w:t>Gillian, 2009, </w:t>
      </w:r>
      <w:r>
        <w:rPr>
          <w:i/>
          <w:color w:val="231F20"/>
          <w:sz w:val="18"/>
        </w:rPr>
        <w:t>Fool’s Gold: How the Bold Dream of a Small </w:t>
      </w:r>
      <w:r>
        <w:rPr>
          <w:i/>
          <w:color w:val="231F20"/>
          <w:spacing w:val="-3"/>
          <w:sz w:val="18"/>
        </w:rPr>
        <w:t>Tribe </w:t>
      </w:r>
      <w:r>
        <w:rPr>
          <w:i/>
          <w:color w:val="231F20"/>
          <w:sz w:val="18"/>
        </w:rPr>
        <w:t>at J. </w:t>
      </w:r>
      <w:r>
        <w:rPr>
          <w:i/>
          <w:color w:val="231F20"/>
          <w:spacing w:val="-10"/>
          <w:sz w:val="18"/>
        </w:rPr>
        <w:t>P. </w:t>
      </w:r>
      <w:r>
        <w:rPr>
          <w:i/>
          <w:color w:val="231F20"/>
          <w:sz w:val="18"/>
        </w:rPr>
        <w:t>Morgan</w:t>
      </w:r>
      <w:r>
        <w:rPr>
          <w:i/>
          <w:color w:val="231F20"/>
          <w:spacing w:val="-8"/>
          <w:sz w:val="18"/>
        </w:rPr>
        <w:t> </w:t>
      </w:r>
      <w:r>
        <w:rPr>
          <w:i/>
          <w:color w:val="231F20"/>
          <w:sz w:val="18"/>
        </w:rPr>
        <w:t>was</w:t>
      </w:r>
      <w:r>
        <w:rPr>
          <w:i/>
          <w:color w:val="231F20"/>
          <w:spacing w:val="-8"/>
          <w:sz w:val="18"/>
        </w:rPr>
        <w:t> </w:t>
      </w:r>
      <w:r>
        <w:rPr>
          <w:i/>
          <w:color w:val="231F20"/>
          <w:sz w:val="18"/>
        </w:rPr>
        <w:t>Corrupted</w:t>
      </w:r>
      <w:r>
        <w:rPr>
          <w:i/>
          <w:color w:val="231F20"/>
          <w:spacing w:val="-8"/>
          <w:sz w:val="18"/>
        </w:rPr>
        <w:t> </w:t>
      </w:r>
      <w:r>
        <w:rPr>
          <w:i/>
          <w:color w:val="231F20"/>
          <w:sz w:val="18"/>
        </w:rPr>
        <w:t>by</w:t>
      </w:r>
      <w:r>
        <w:rPr>
          <w:i/>
          <w:color w:val="231F20"/>
          <w:spacing w:val="-8"/>
          <w:sz w:val="18"/>
        </w:rPr>
        <w:t> </w:t>
      </w:r>
      <w:r>
        <w:rPr>
          <w:i/>
          <w:color w:val="231F20"/>
          <w:sz w:val="18"/>
        </w:rPr>
        <w:t>Wall</w:t>
      </w:r>
      <w:r>
        <w:rPr>
          <w:i/>
          <w:color w:val="231F20"/>
          <w:spacing w:val="-8"/>
          <w:sz w:val="18"/>
        </w:rPr>
        <w:t> </w:t>
      </w:r>
      <w:r>
        <w:rPr>
          <w:i/>
          <w:color w:val="231F20"/>
          <w:sz w:val="18"/>
        </w:rPr>
        <w:t>Strett</w:t>
      </w:r>
      <w:r>
        <w:rPr>
          <w:i/>
          <w:color w:val="231F20"/>
          <w:spacing w:val="-8"/>
          <w:sz w:val="18"/>
        </w:rPr>
        <w:t> </w:t>
      </w:r>
      <w:r>
        <w:rPr>
          <w:i/>
          <w:color w:val="231F20"/>
          <w:sz w:val="18"/>
        </w:rPr>
        <w:t>Greed</w:t>
      </w:r>
      <w:r>
        <w:rPr>
          <w:i/>
          <w:color w:val="231F20"/>
          <w:spacing w:val="-8"/>
          <w:sz w:val="18"/>
        </w:rPr>
        <w:t> </w:t>
      </w:r>
      <w:r>
        <w:rPr>
          <w:i/>
          <w:color w:val="231F20"/>
          <w:sz w:val="18"/>
        </w:rPr>
        <w:t>and</w:t>
      </w:r>
      <w:r>
        <w:rPr>
          <w:i/>
          <w:color w:val="231F20"/>
          <w:spacing w:val="-8"/>
          <w:sz w:val="18"/>
        </w:rPr>
        <w:t> </w:t>
      </w:r>
      <w:r>
        <w:rPr>
          <w:i/>
          <w:color w:val="231F20"/>
          <w:sz w:val="18"/>
        </w:rPr>
        <w:t>Unleashed</w:t>
      </w:r>
      <w:r>
        <w:rPr>
          <w:i/>
          <w:color w:val="231F20"/>
          <w:spacing w:val="-8"/>
          <w:sz w:val="18"/>
        </w:rPr>
        <w:t> </w:t>
      </w:r>
      <w:r>
        <w:rPr>
          <w:i/>
          <w:color w:val="231F20"/>
          <w:sz w:val="18"/>
        </w:rPr>
        <w:t>a</w:t>
      </w:r>
      <w:r>
        <w:rPr>
          <w:i/>
          <w:color w:val="231F20"/>
          <w:spacing w:val="-8"/>
          <w:sz w:val="18"/>
        </w:rPr>
        <w:t> </w:t>
      </w:r>
      <w:r>
        <w:rPr>
          <w:i/>
          <w:color w:val="231F20"/>
          <w:sz w:val="18"/>
        </w:rPr>
        <w:t>Catastrophe</w:t>
      </w:r>
      <w:r>
        <w:rPr>
          <w:color w:val="231F20"/>
          <w:sz w:val="18"/>
        </w:rPr>
        <w:t>,</w:t>
      </w:r>
      <w:r>
        <w:rPr>
          <w:color w:val="231F20"/>
          <w:spacing w:val="-8"/>
          <w:sz w:val="18"/>
        </w:rPr>
        <w:t> </w:t>
      </w:r>
      <w:r>
        <w:rPr>
          <w:color w:val="231F20"/>
          <w:sz w:val="18"/>
        </w:rPr>
        <w:t>Free Press,  Nueva</w:t>
      </w:r>
      <w:r>
        <w:rPr>
          <w:color w:val="231F20"/>
          <w:spacing w:val="5"/>
          <w:sz w:val="18"/>
        </w:rPr>
        <w:t> </w:t>
      </w:r>
      <w:r>
        <w:rPr>
          <w:color w:val="231F20"/>
          <w:sz w:val="18"/>
        </w:rPr>
        <w:t>York.</w:t>
      </w:r>
    </w:p>
    <w:p>
      <w:pPr>
        <w:spacing w:before="1"/>
        <w:ind w:left="100" w:right="25" w:firstLine="0"/>
        <w:jc w:val="left"/>
        <w:rPr>
          <w:sz w:val="18"/>
        </w:rPr>
      </w:pPr>
      <w:r>
        <w:rPr>
          <w:color w:val="231F20"/>
          <w:sz w:val="18"/>
        </w:rPr>
        <w:t>World Bank, 2007, </w:t>
      </w:r>
      <w:r>
        <w:rPr>
          <w:i/>
          <w:color w:val="231F20"/>
          <w:sz w:val="18"/>
        </w:rPr>
        <w:t>Global Development Finance 2007</w:t>
      </w:r>
      <w:r>
        <w:rPr>
          <w:color w:val="231F20"/>
          <w:sz w:val="18"/>
        </w:rPr>
        <w:t>, Washington,   DC.</w:t>
      </w:r>
    </w:p>
    <w:p>
      <w:pPr>
        <w:spacing w:line="254" w:lineRule="auto" w:before="13"/>
        <w:ind w:left="340" w:right="119" w:hanging="240"/>
        <w:jc w:val="both"/>
        <w:rPr>
          <w:sz w:val="18"/>
        </w:rPr>
      </w:pPr>
      <w:r>
        <w:rPr>
          <w:color w:val="231F20"/>
          <w:sz w:val="18"/>
        </w:rPr>
        <w:t>Wray, Randall, 2009, </w:t>
      </w:r>
      <w:r>
        <w:rPr>
          <w:i/>
          <w:color w:val="231F20"/>
          <w:sz w:val="18"/>
        </w:rPr>
        <w:t>An Alternative View of Finance, Saving, Deficits, and Liqui- </w:t>
      </w:r>
      <w:r>
        <w:rPr>
          <w:i/>
          <w:color w:val="231F20"/>
          <w:sz w:val="18"/>
        </w:rPr>
        <w:t>dity</w:t>
      </w:r>
      <w:r>
        <w:rPr>
          <w:color w:val="231F20"/>
          <w:sz w:val="18"/>
        </w:rPr>
        <w:t>,  The  Levy  Economics  Institute,  Working  Paper,  núm.  569.</w:t>
      </w:r>
    </w:p>
    <w:p>
      <w:pPr>
        <w:spacing w:line="254" w:lineRule="auto" w:before="1"/>
        <w:ind w:left="340" w:right="117" w:hanging="240"/>
        <w:jc w:val="both"/>
        <w:rPr>
          <w:sz w:val="18"/>
        </w:rPr>
      </w:pPr>
      <w:r>
        <w:rPr>
          <w:color w:val="231F20"/>
          <w:sz w:val="18"/>
        </w:rPr>
        <w:t>Zezza,</w:t>
      </w:r>
      <w:r>
        <w:rPr>
          <w:color w:val="231F20"/>
          <w:spacing w:val="-6"/>
          <w:sz w:val="18"/>
        </w:rPr>
        <w:t> </w:t>
      </w:r>
      <w:r>
        <w:rPr>
          <w:color w:val="231F20"/>
          <w:sz w:val="18"/>
        </w:rPr>
        <w:t>Gennaro,</w:t>
      </w:r>
      <w:r>
        <w:rPr>
          <w:color w:val="231F20"/>
          <w:spacing w:val="-6"/>
          <w:sz w:val="18"/>
        </w:rPr>
        <w:t> </w:t>
      </w:r>
      <w:r>
        <w:rPr>
          <w:color w:val="231F20"/>
          <w:sz w:val="18"/>
        </w:rPr>
        <w:t>2009,</w:t>
      </w:r>
      <w:r>
        <w:rPr>
          <w:color w:val="231F20"/>
          <w:spacing w:val="-6"/>
          <w:sz w:val="18"/>
        </w:rPr>
        <w:t> </w:t>
      </w:r>
      <w:r>
        <w:rPr>
          <w:i/>
          <w:color w:val="231F20"/>
          <w:sz w:val="18"/>
        </w:rPr>
        <w:t>Fiscal</w:t>
      </w:r>
      <w:r>
        <w:rPr>
          <w:i/>
          <w:color w:val="231F20"/>
          <w:spacing w:val="-6"/>
          <w:sz w:val="18"/>
        </w:rPr>
        <w:t> </w:t>
      </w:r>
      <w:r>
        <w:rPr>
          <w:i/>
          <w:color w:val="231F20"/>
          <w:sz w:val="18"/>
        </w:rPr>
        <w:t>Policy</w:t>
      </w:r>
      <w:r>
        <w:rPr>
          <w:i/>
          <w:color w:val="231F20"/>
          <w:spacing w:val="-6"/>
          <w:sz w:val="18"/>
        </w:rPr>
        <w:t> </w:t>
      </w:r>
      <w:r>
        <w:rPr>
          <w:i/>
          <w:color w:val="231F20"/>
          <w:sz w:val="18"/>
        </w:rPr>
        <w:t>and</w:t>
      </w:r>
      <w:r>
        <w:rPr>
          <w:i/>
          <w:color w:val="231F20"/>
          <w:spacing w:val="-6"/>
          <w:sz w:val="18"/>
        </w:rPr>
        <w:t> </w:t>
      </w:r>
      <w:r>
        <w:rPr>
          <w:i/>
          <w:color w:val="231F20"/>
          <w:sz w:val="18"/>
        </w:rPr>
        <w:t>the</w:t>
      </w:r>
      <w:r>
        <w:rPr>
          <w:i/>
          <w:color w:val="231F20"/>
          <w:spacing w:val="-6"/>
          <w:sz w:val="18"/>
        </w:rPr>
        <w:t> </w:t>
      </w:r>
      <w:r>
        <w:rPr>
          <w:i/>
          <w:color w:val="231F20"/>
          <w:sz w:val="18"/>
        </w:rPr>
        <w:t>Economics</w:t>
      </w:r>
      <w:r>
        <w:rPr>
          <w:i/>
          <w:color w:val="231F20"/>
          <w:spacing w:val="-6"/>
          <w:sz w:val="18"/>
        </w:rPr>
        <w:t> </w:t>
      </w:r>
      <w:r>
        <w:rPr>
          <w:i/>
          <w:color w:val="231F20"/>
          <w:sz w:val="18"/>
        </w:rPr>
        <w:t>of</w:t>
      </w:r>
      <w:r>
        <w:rPr>
          <w:i/>
          <w:color w:val="231F20"/>
          <w:spacing w:val="-6"/>
          <w:sz w:val="18"/>
        </w:rPr>
        <w:t> </w:t>
      </w:r>
      <w:r>
        <w:rPr>
          <w:i/>
          <w:color w:val="231F20"/>
          <w:sz w:val="18"/>
        </w:rPr>
        <w:t>Financial</w:t>
      </w:r>
      <w:r>
        <w:rPr>
          <w:i/>
          <w:color w:val="231F20"/>
          <w:spacing w:val="-6"/>
          <w:sz w:val="18"/>
        </w:rPr>
        <w:t> </w:t>
      </w:r>
      <w:r>
        <w:rPr>
          <w:i/>
          <w:color w:val="231F20"/>
          <w:sz w:val="18"/>
        </w:rPr>
        <w:t>Balances</w:t>
      </w:r>
      <w:r>
        <w:rPr>
          <w:color w:val="231F20"/>
          <w:sz w:val="18"/>
        </w:rPr>
        <w:t>,</w:t>
      </w:r>
      <w:r>
        <w:rPr>
          <w:color w:val="231F20"/>
          <w:spacing w:val="-6"/>
          <w:sz w:val="18"/>
        </w:rPr>
        <w:t> </w:t>
      </w:r>
      <w:r>
        <w:rPr>
          <w:color w:val="231F20"/>
          <w:sz w:val="18"/>
        </w:rPr>
        <w:t>The </w:t>
      </w:r>
      <w:r>
        <w:rPr>
          <w:color w:val="231F20"/>
          <w:w w:val="105"/>
          <w:sz w:val="18"/>
        </w:rPr>
        <w:t>Levy Economics Institute, Working </w:t>
      </w:r>
      <w:r>
        <w:rPr>
          <w:color w:val="231F20"/>
          <w:spacing w:val="-3"/>
          <w:w w:val="105"/>
          <w:sz w:val="18"/>
        </w:rPr>
        <w:t>Paper,  </w:t>
      </w:r>
      <w:r>
        <w:rPr>
          <w:color w:val="231F20"/>
          <w:w w:val="105"/>
          <w:sz w:val="18"/>
        </w:rPr>
        <w:t>núm. </w:t>
      </w:r>
      <w:r>
        <w:rPr>
          <w:color w:val="231F20"/>
          <w:spacing w:val="46"/>
          <w:w w:val="105"/>
          <w:sz w:val="18"/>
        </w:rPr>
        <w:t> </w:t>
      </w:r>
      <w:r>
        <w:rPr>
          <w:color w:val="231F20"/>
          <w:w w:val="105"/>
          <w:sz w:val="18"/>
        </w:rPr>
        <w:t>580.</w:t>
      </w:r>
    </w:p>
    <w:p>
      <w:pPr>
        <w:spacing w:after="0" w:line="254" w:lineRule="auto"/>
        <w:jc w:val="both"/>
        <w:rPr>
          <w:sz w:val="18"/>
        </w:rPr>
        <w:sectPr>
          <w:headerReference w:type="even" r:id="rId166"/>
          <w:pgSz w:w="7640" w:h="11900"/>
          <w:pgMar w:header="672" w:footer="0" w:top="860" w:bottom="280" w:left="780" w:right="640"/>
        </w:sectPr>
      </w:pPr>
    </w:p>
    <w:p>
      <w:pPr>
        <w:pStyle w:val="BodyText"/>
        <w:spacing w:line="261" w:lineRule="auto" w:before="39"/>
        <w:ind w:left="100" w:right="713"/>
      </w:pPr>
      <w:r>
        <w:rPr>
          <w:color w:val="231F20"/>
        </w:rPr>
        <w:t>CRISIS SISTÉMICA ESTRUCTURAL DE ESTADOS UNIDOS: LA AGENDA SOBRE CIENCIA Y  TECNOLOGÍA</w:t>
      </w:r>
    </w:p>
    <w:p>
      <w:pPr>
        <w:pStyle w:val="BodyText"/>
        <w:spacing w:before="8"/>
        <w:rPr>
          <w:sz w:val="21"/>
        </w:rPr>
      </w:pPr>
    </w:p>
    <w:p>
      <w:pPr>
        <w:pStyle w:val="BodyText"/>
        <w:ind w:left="3835" w:right="25"/>
      </w:pPr>
      <w:r>
        <w:rPr>
          <w:color w:val="231F20"/>
          <w:w w:val="125"/>
        </w:rPr>
        <w:t>fabio grobart sunshine</w:t>
      </w:r>
    </w:p>
    <w:p>
      <w:pPr>
        <w:pStyle w:val="BodyText"/>
      </w:pPr>
    </w:p>
    <w:p>
      <w:pPr>
        <w:pStyle w:val="BodyText"/>
      </w:pPr>
    </w:p>
    <w:p>
      <w:pPr>
        <w:pStyle w:val="BodyText"/>
        <w:spacing w:before="11"/>
        <w:rPr>
          <w:sz w:val="26"/>
        </w:rPr>
      </w:pPr>
    </w:p>
    <w:p>
      <w:pPr>
        <w:pStyle w:val="BodyText"/>
        <w:spacing w:line="261" w:lineRule="auto"/>
        <w:ind w:left="100" w:right="1680"/>
      </w:pPr>
      <w:r>
        <w:rPr>
          <w:color w:val="231F20"/>
          <w:w w:val="125"/>
        </w:rPr>
        <w:t>auge y crisis del modelo reproductivo basado en el conocimiento</w:t>
      </w:r>
    </w:p>
    <w:p>
      <w:pPr>
        <w:pStyle w:val="BodyText"/>
        <w:spacing w:before="8"/>
        <w:rPr>
          <w:sz w:val="21"/>
        </w:rPr>
      </w:pPr>
    </w:p>
    <w:p>
      <w:pPr>
        <w:pStyle w:val="BodyText"/>
        <w:spacing w:line="261" w:lineRule="auto"/>
        <w:ind w:left="100" w:right="115"/>
        <w:jc w:val="both"/>
        <w:rPr>
          <w:i/>
        </w:rPr>
      </w:pPr>
      <w:r>
        <w:rPr>
          <w:color w:val="231F20"/>
          <w:w w:val="105"/>
        </w:rPr>
        <w:t>Es conocido que en los albores de la segunda guerra mundial en Estados Unidos se integrarían los intereses del Estado con los de las flamantes corporaciones transnacionales y los de la institucionalidad científico-tecnológica y universitaria, conformando así el llamado complejo militar industrial bajo la égida del Pentágono, el cual  trazaría, coordinaría e, incluso, administraría las principales líneas políticas y programáticas relacionadas con la producción bélica para   la victoria sobre el Eje </w:t>
      </w:r>
      <w:r>
        <w:rPr>
          <w:color w:val="231F20"/>
          <w:spacing w:val="16"/>
          <w:w w:val="105"/>
        </w:rPr>
        <w:t> </w:t>
      </w:r>
      <w:r>
        <w:rPr>
          <w:color w:val="231F20"/>
          <w:w w:val="105"/>
        </w:rPr>
        <w:t>Berlín-Roma-Tokio</w:t>
      </w:r>
      <w:r>
        <w:rPr>
          <w:i/>
          <w:color w:val="231F20"/>
          <w:w w:val="105"/>
        </w:rPr>
        <w:t>.</w:t>
      </w:r>
    </w:p>
    <w:p>
      <w:pPr>
        <w:pStyle w:val="BodyText"/>
        <w:spacing w:line="261" w:lineRule="auto"/>
        <w:ind w:left="100" w:right="112" w:firstLine="240"/>
        <w:jc w:val="both"/>
      </w:pPr>
      <w:r>
        <w:rPr>
          <w:color w:val="231F20"/>
          <w:w w:val="105"/>
        </w:rPr>
        <w:t>Ello permitiría lograr significativas sinergias mediante la concen- tración de </w:t>
      </w:r>
      <w:r>
        <w:rPr>
          <w:i/>
          <w:color w:val="231F20"/>
          <w:w w:val="105"/>
        </w:rPr>
        <w:t>masa crítica </w:t>
      </w:r>
      <w:r>
        <w:rPr>
          <w:color w:val="231F20"/>
          <w:w w:val="105"/>
        </w:rPr>
        <w:t>intelectual, financiera y material en plazos extremadamente cortos y la creación de armamentos radicalmente nuevos, basados en los más recientes adelantos de la ciencia y la ingeniería. El más renombrado ejemplo de ello sería el Proyecto Manhattan</w:t>
      </w:r>
      <w:r>
        <w:rPr>
          <w:i/>
          <w:color w:val="231F20"/>
          <w:w w:val="105"/>
        </w:rPr>
        <w:t>, </w:t>
      </w:r>
      <w:r>
        <w:rPr>
          <w:color w:val="231F20"/>
          <w:w w:val="105"/>
        </w:rPr>
        <w:t>para la creación del arma nuclear. Es así como Estados Unidos irrumpiría en la revolución científico-tecnológica, inauguran- do una nueva era de oportunidades y peligros para la humanidad.</w:t>
      </w:r>
    </w:p>
    <w:p>
      <w:pPr>
        <w:pStyle w:val="BodyText"/>
        <w:spacing w:line="261" w:lineRule="auto"/>
        <w:ind w:left="100" w:right="117" w:firstLine="240"/>
        <w:jc w:val="both"/>
      </w:pPr>
      <w:r>
        <w:rPr>
          <w:color w:val="231F20"/>
          <w:w w:val="110"/>
        </w:rPr>
        <w:t>Una vez terminada la segunda guerra mundial, la economía esta- dunidense</w:t>
      </w:r>
      <w:r>
        <w:rPr>
          <w:color w:val="231F20"/>
          <w:spacing w:val="-30"/>
          <w:w w:val="110"/>
        </w:rPr>
        <w:t> </w:t>
      </w:r>
      <w:r>
        <w:rPr>
          <w:color w:val="231F20"/>
          <w:w w:val="110"/>
        </w:rPr>
        <w:t>—lejos</w:t>
      </w:r>
      <w:r>
        <w:rPr>
          <w:color w:val="231F20"/>
          <w:spacing w:val="-29"/>
          <w:w w:val="110"/>
        </w:rPr>
        <w:t> </w:t>
      </w:r>
      <w:r>
        <w:rPr>
          <w:color w:val="231F20"/>
          <w:w w:val="110"/>
        </w:rPr>
        <w:t>de</w:t>
      </w:r>
      <w:r>
        <w:rPr>
          <w:color w:val="231F20"/>
          <w:spacing w:val="-29"/>
          <w:w w:val="110"/>
        </w:rPr>
        <w:t> </w:t>
      </w:r>
      <w:r>
        <w:rPr>
          <w:color w:val="231F20"/>
          <w:w w:val="110"/>
        </w:rPr>
        <w:t>volver</w:t>
      </w:r>
      <w:r>
        <w:rPr>
          <w:color w:val="231F20"/>
          <w:spacing w:val="-29"/>
          <w:w w:val="110"/>
        </w:rPr>
        <w:t> </w:t>
      </w:r>
      <w:r>
        <w:rPr>
          <w:color w:val="231F20"/>
          <w:w w:val="110"/>
        </w:rPr>
        <w:t>a</w:t>
      </w:r>
      <w:r>
        <w:rPr>
          <w:color w:val="231F20"/>
          <w:spacing w:val="-29"/>
          <w:w w:val="110"/>
        </w:rPr>
        <w:t> </w:t>
      </w:r>
      <w:r>
        <w:rPr>
          <w:color w:val="231F20"/>
          <w:w w:val="110"/>
        </w:rPr>
        <w:t>cauces</w:t>
      </w:r>
      <w:r>
        <w:rPr>
          <w:color w:val="231F20"/>
          <w:spacing w:val="-29"/>
          <w:w w:val="110"/>
        </w:rPr>
        <w:t> </w:t>
      </w:r>
      <w:r>
        <w:rPr>
          <w:color w:val="231F20"/>
          <w:w w:val="110"/>
        </w:rPr>
        <w:t>pacíficos—</w:t>
      </w:r>
      <w:r>
        <w:rPr>
          <w:color w:val="231F20"/>
          <w:spacing w:val="-29"/>
          <w:w w:val="110"/>
        </w:rPr>
        <w:t> </w:t>
      </w:r>
      <w:r>
        <w:rPr>
          <w:color w:val="231F20"/>
          <w:w w:val="110"/>
        </w:rPr>
        <w:t>institucionalizaría</w:t>
      </w:r>
      <w:r>
        <w:rPr>
          <w:color w:val="231F20"/>
          <w:spacing w:val="-30"/>
          <w:w w:val="110"/>
        </w:rPr>
        <w:t> </w:t>
      </w:r>
      <w:r>
        <w:rPr>
          <w:i/>
          <w:color w:val="231F20"/>
          <w:w w:val="110"/>
        </w:rPr>
        <w:t>ad </w:t>
      </w:r>
      <w:r>
        <w:rPr>
          <w:i/>
          <w:color w:val="231F20"/>
          <w:w w:val="110"/>
        </w:rPr>
        <w:t>aeternum </w:t>
      </w:r>
      <w:r>
        <w:rPr>
          <w:color w:val="231F20"/>
          <w:w w:val="110"/>
        </w:rPr>
        <w:t>el pacto que condujera a la creación del complejo militar industrial. Se observaría que durante su funcionamiento en los años bélicos el financiamiento otorgado a las corporaciones transnacio- nales mediante el encargo militar-estatal no sólo les proporcionaría pingües</w:t>
      </w:r>
      <w:r>
        <w:rPr>
          <w:color w:val="231F20"/>
          <w:spacing w:val="35"/>
          <w:w w:val="110"/>
        </w:rPr>
        <w:t> </w:t>
      </w:r>
      <w:r>
        <w:rPr>
          <w:color w:val="231F20"/>
          <w:w w:val="110"/>
        </w:rPr>
        <w:t>ingresos</w:t>
      </w:r>
      <w:r>
        <w:rPr>
          <w:color w:val="231F20"/>
          <w:spacing w:val="35"/>
          <w:w w:val="110"/>
        </w:rPr>
        <w:t> </w:t>
      </w:r>
      <w:r>
        <w:rPr>
          <w:color w:val="231F20"/>
          <w:w w:val="110"/>
        </w:rPr>
        <w:t>por</w:t>
      </w:r>
      <w:r>
        <w:rPr>
          <w:color w:val="231F20"/>
          <w:spacing w:val="35"/>
          <w:w w:val="110"/>
        </w:rPr>
        <w:t> </w:t>
      </w:r>
      <w:r>
        <w:rPr>
          <w:color w:val="231F20"/>
          <w:w w:val="110"/>
        </w:rPr>
        <w:t>la</w:t>
      </w:r>
      <w:r>
        <w:rPr>
          <w:color w:val="231F20"/>
          <w:spacing w:val="35"/>
          <w:w w:val="110"/>
        </w:rPr>
        <w:t> </w:t>
      </w:r>
      <w:r>
        <w:rPr>
          <w:color w:val="231F20"/>
          <w:w w:val="110"/>
        </w:rPr>
        <w:t>producción</w:t>
      </w:r>
      <w:r>
        <w:rPr>
          <w:color w:val="231F20"/>
          <w:spacing w:val="35"/>
          <w:w w:val="110"/>
        </w:rPr>
        <w:t> </w:t>
      </w:r>
      <w:r>
        <w:rPr>
          <w:color w:val="231F20"/>
          <w:w w:val="110"/>
        </w:rPr>
        <w:t>del</w:t>
      </w:r>
      <w:r>
        <w:rPr>
          <w:color w:val="231F20"/>
          <w:spacing w:val="35"/>
          <w:w w:val="110"/>
        </w:rPr>
        <w:t> </w:t>
      </w:r>
      <w:r>
        <w:rPr>
          <w:color w:val="231F20"/>
          <w:w w:val="110"/>
        </w:rPr>
        <w:t>novedoso</w:t>
      </w:r>
      <w:r>
        <w:rPr>
          <w:color w:val="231F20"/>
          <w:spacing w:val="35"/>
          <w:w w:val="110"/>
        </w:rPr>
        <w:t> </w:t>
      </w:r>
      <w:r>
        <w:rPr>
          <w:color w:val="231F20"/>
          <w:w w:val="110"/>
        </w:rPr>
        <w:t>material</w:t>
      </w:r>
      <w:r>
        <w:rPr>
          <w:color w:val="231F20"/>
          <w:spacing w:val="35"/>
          <w:w w:val="110"/>
        </w:rPr>
        <w:t> </w:t>
      </w:r>
      <w:r>
        <w:rPr>
          <w:color w:val="231F20"/>
          <w:w w:val="110"/>
        </w:rPr>
        <w:t>bélico</w:t>
      </w:r>
    </w:p>
    <w:p>
      <w:pPr>
        <w:pStyle w:val="BodyText"/>
        <w:spacing w:line="261" w:lineRule="auto"/>
        <w:ind w:left="100" w:right="119"/>
        <w:jc w:val="both"/>
      </w:pPr>
      <w:r>
        <w:rPr>
          <w:color w:val="231F20"/>
          <w:w w:val="110"/>
        </w:rPr>
        <w:t>—logrado mediante investigación y desarrollo (i+d)—</w:t>
      </w:r>
      <w:r>
        <w:rPr>
          <w:color w:val="231F20"/>
          <w:spacing w:val="14"/>
          <w:w w:val="110"/>
        </w:rPr>
        <w:t> </w:t>
      </w:r>
      <w:r>
        <w:rPr>
          <w:color w:val="231F20"/>
          <w:w w:val="110"/>
        </w:rPr>
        <w:t>sino</w:t>
      </w:r>
      <w:r>
        <w:rPr>
          <w:color w:val="231F20"/>
          <w:spacing w:val="2"/>
          <w:w w:val="110"/>
        </w:rPr>
        <w:t> </w:t>
      </w:r>
      <w:r>
        <w:rPr>
          <w:color w:val="231F20"/>
          <w:w w:val="110"/>
        </w:rPr>
        <w:t>también</w:t>
      </w:r>
      <w:r>
        <w:rPr>
          <w:color w:val="231F20"/>
          <w:w w:val="111"/>
        </w:rPr>
        <w:t> </w:t>
      </w:r>
      <w:r>
        <w:rPr>
          <w:color w:val="231F20"/>
          <w:w w:val="110"/>
        </w:rPr>
        <w:t>por la apropiación-privatización de dichos conocimientos y su apli- cación colateral en la producción civil para el mercado, los</w:t>
      </w:r>
      <w:r>
        <w:rPr>
          <w:color w:val="231F20"/>
          <w:spacing w:val="-31"/>
          <w:w w:val="110"/>
        </w:rPr>
        <w:t> </w:t>
      </w:r>
      <w:r>
        <w:rPr>
          <w:color w:val="231F20"/>
          <w:w w:val="110"/>
        </w:rPr>
        <w:t>llamados </w:t>
      </w:r>
      <w:r>
        <w:rPr>
          <w:i/>
          <w:color w:val="231F20"/>
          <w:w w:val="105"/>
        </w:rPr>
        <w:t>spillovers</w:t>
      </w:r>
      <w:r>
        <w:rPr>
          <w:i/>
          <w:color w:val="231F20"/>
          <w:spacing w:val="-29"/>
          <w:w w:val="105"/>
        </w:rPr>
        <w:t> </w:t>
      </w:r>
      <w:r>
        <w:rPr>
          <w:color w:val="231F20"/>
          <w:w w:val="105"/>
        </w:rPr>
        <w:t>o</w:t>
      </w:r>
      <w:r>
        <w:rPr>
          <w:color w:val="231F20"/>
          <w:spacing w:val="-29"/>
          <w:w w:val="105"/>
        </w:rPr>
        <w:t> </w:t>
      </w:r>
      <w:r>
        <w:rPr>
          <w:color w:val="231F20"/>
          <w:w w:val="105"/>
        </w:rPr>
        <w:t>“derrames”.</w:t>
      </w:r>
    </w:p>
    <w:p>
      <w:pPr>
        <w:pStyle w:val="BodyText"/>
        <w:spacing w:line="261" w:lineRule="auto"/>
        <w:ind w:left="100" w:right="119" w:firstLine="240"/>
        <w:jc w:val="both"/>
      </w:pPr>
      <w:r>
        <w:rPr>
          <w:color w:val="231F20"/>
          <w:w w:val="105"/>
        </w:rPr>
        <w:t>La </w:t>
      </w:r>
      <w:r>
        <w:rPr>
          <w:i/>
          <w:color w:val="231F20"/>
          <w:w w:val="105"/>
        </w:rPr>
        <w:t>pentagonización </w:t>
      </w:r>
      <w:r>
        <w:rPr>
          <w:color w:val="231F20"/>
          <w:w w:val="105"/>
        </w:rPr>
        <w:t>de la economía se justificaría así para las cor- poraciones  transnacionales  como  mecanismo  propulsor  y   legitima-</w:t>
      </w:r>
    </w:p>
    <w:p>
      <w:pPr>
        <w:pStyle w:val="BodyText"/>
        <w:rPr>
          <w:sz w:val="15"/>
        </w:rPr>
      </w:pPr>
    </w:p>
    <w:p>
      <w:pPr>
        <w:pStyle w:val="BodyText"/>
        <w:spacing w:before="67"/>
        <w:ind w:left="113" w:right="132"/>
        <w:jc w:val="center"/>
      </w:pPr>
      <w:r>
        <w:rPr>
          <w:color w:val="231F20"/>
          <w:w w:val="120"/>
        </w:rPr>
        <w:t>[233]</w:t>
      </w:r>
    </w:p>
    <w:p>
      <w:pPr>
        <w:spacing w:after="0"/>
        <w:jc w:val="center"/>
        <w:sectPr>
          <w:headerReference w:type="default" r:id="rId169"/>
          <w:pgSz w:w="7640" w:h="11900"/>
          <w:pgMar w:header="0" w:footer="0" w:top="1000" w:bottom="280" w:left="660" w:right="760"/>
        </w:sectPr>
      </w:pPr>
    </w:p>
    <w:p>
      <w:pPr>
        <w:pStyle w:val="BodyText"/>
        <w:spacing w:before="8"/>
        <w:rPr>
          <w:sz w:val="8"/>
        </w:rPr>
      </w:pPr>
    </w:p>
    <w:p>
      <w:pPr>
        <w:pStyle w:val="BodyText"/>
        <w:spacing w:line="261" w:lineRule="auto" w:before="67"/>
        <w:ind w:left="100" w:right="115"/>
        <w:jc w:val="both"/>
      </w:pPr>
      <w:r>
        <w:rPr>
          <w:color w:val="231F20"/>
          <w:w w:val="110"/>
        </w:rPr>
        <w:t>dor de cuotas de ganancia extraordinarias, gracias a la asegurada demanda con precios sobredimensionados, las exenciones oficiales de su contribución al fisco, el financiamiento de los procesos de</w:t>
      </w:r>
      <w:r>
        <w:rPr>
          <w:color w:val="231F20"/>
          <w:spacing w:val="-38"/>
          <w:w w:val="110"/>
        </w:rPr>
        <w:t> </w:t>
      </w:r>
      <w:r>
        <w:rPr>
          <w:color w:val="231F20"/>
          <w:w w:val="110"/>
        </w:rPr>
        <w:t>i+d, el lucro —con frecuencia abusivo— con la propiedad intelectual así usurpada y el efecto multiplicador de los</w:t>
      </w:r>
      <w:r>
        <w:rPr>
          <w:color w:val="231F20"/>
          <w:spacing w:val="50"/>
          <w:w w:val="110"/>
        </w:rPr>
        <w:t> </w:t>
      </w:r>
      <w:r>
        <w:rPr>
          <w:color w:val="231F20"/>
          <w:w w:val="110"/>
        </w:rPr>
        <w:t>derrames.</w:t>
      </w:r>
    </w:p>
    <w:p>
      <w:pPr>
        <w:pStyle w:val="BodyText"/>
        <w:spacing w:line="261" w:lineRule="auto"/>
        <w:ind w:left="100" w:right="117" w:firstLine="240"/>
        <w:jc w:val="both"/>
        <w:rPr>
          <w:sz w:val="13"/>
        </w:rPr>
      </w:pP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vez</w:t>
      </w:r>
      <w:r>
        <w:rPr>
          <w:color w:val="231F20"/>
          <w:spacing w:val="-12"/>
          <w:w w:val="110"/>
        </w:rPr>
        <w:t> </w:t>
      </w:r>
      <w:r>
        <w:rPr>
          <w:color w:val="231F20"/>
          <w:w w:val="110"/>
        </w:rPr>
        <w:t>—como</w:t>
      </w:r>
      <w:r>
        <w:rPr>
          <w:color w:val="231F20"/>
          <w:spacing w:val="-12"/>
          <w:w w:val="110"/>
        </w:rPr>
        <w:t> </w:t>
      </w:r>
      <w:r>
        <w:rPr>
          <w:i/>
          <w:color w:val="231F20"/>
          <w:w w:val="110"/>
        </w:rPr>
        <w:t>derrame</w:t>
      </w:r>
      <w:r>
        <w:rPr>
          <w:i/>
          <w:color w:val="231F20"/>
          <w:spacing w:val="-12"/>
          <w:w w:val="110"/>
        </w:rPr>
        <w:t> </w:t>
      </w:r>
      <w:r>
        <w:rPr>
          <w:color w:val="231F20"/>
          <w:w w:val="110"/>
        </w:rPr>
        <w:t>político—</w:t>
      </w:r>
      <w:r>
        <w:rPr>
          <w:color w:val="231F20"/>
          <w:spacing w:val="-12"/>
          <w:w w:val="110"/>
        </w:rPr>
        <w:t> </w:t>
      </w:r>
      <w:r>
        <w:rPr>
          <w:color w:val="231F20"/>
          <w:w w:val="110"/>
        </w:rPr>
        <w:t>en</w:t>
      </w:r>
      <w:r>
        <w:rPr>
          <w:color w:val="231F20"/>
          <w:spacing w:val="-12"/>
          <w:w w:val="110"/>
        </w:rPr>
        <w:t> </w:t>
      </w:r>
      <w:r>
        <w:rPr>
          <w:color w:val="231F20"/>
          <w:w w:val="110"/>
        </w:rPr>
        <w:t>un</w:t>
      </w:r>
      <w:r>
        <w:rPr>
          <w:color w:val="231F20"/>
          <w:spacing w:val="-12"/>
          <w:w w:val="110"/>
        </w:rPr>
        <w:t> </w:t>
      </w:r>
      <w:r>
        <w:rPr>
          <w:color w:val="231F20"/>
          <w:w w:val="110"/>
        </w:rPr>
        <w:t>inicio</w:t>
      </w:r>
      <w:r>
        <w:rPr>
          <w:color w:val="231F20"/>
          <w:spacing w:val="-12"/>
          <w:w w:val="110"/>
        </w:rPr>
        <w:t> </w:t>
      </w:r>
      <w:r>
        <w:rPr>
          <w:color w:val="231F20"/>
          <w:w w:val="110"/>
        </w:rPr>
        <w:t>se</w:t>
      </w:r>
      <w:r>
        <w:rPr>
          <w:color w:val="231F20"/>
          <w:spacing w:val="-12"/>
          <w:w w:val="110"/>
        </w:rPr>
        <w:t> </w:t>
      </w:r>
      <w:r>
        <w:rPr>
          <w:color w:val="231F20"/>
          <w:w w:val="110"/>
        </w:rPr>
        <w:t>garantizaría</w:t>
      </w:r>
      <w:r>
        <w:rPr>
          <w:color w:val="231F20"/>
          <w:spacing w:val="-12"/>
          <w:w w:val="110"/>
        </w:rPr>
        <w:t> </w:t>
      </w:r>
      <w:r>
        <w:rPr>
          <w:color w:val="231F20"/>
          <w:w w:val="110"/>
        </w:rPr>
        <w:t>la paz social interna del llamado Estado benefactor en amplias capas de la población laboral, superando el alto grado de desocupación, marginación e indigencia económica y social heredado del “gran crack del 29”. A este modelo, soportado de forma artificial por la eternización de la economía de guerra, se le denominaría keynesia- nismo militar</w:t>
      </w:r>
      <w:r>
        <w:rPr>
          <w:i/>
          <w:color w:val="231F20"/>
          <w:w w:val="110"/>
        </w:rPr>
        <w:t>. </w:t>
      </w:r>
      <w:r>
        <w:rPr>
          <w:color w:val="231F20"/>
          <w:w w:val="110"/>
        </w:rPr>
        <w:t>Éste, más recientemente, transitaría hacia las reglas de juego neoliberales facilitadoras del desentendimiento, por parte de las corporaciones transnacionales, de los intereses vitales de “su” clase trabajadora,</w:t>
      </w:r>
      <w:r>
        <w:rPr>
          <w:color w:val="231F20"/>
          <w:w w:val="110"/>
          <w:position w:val="6"/>
          <w:sz w:val="13"/>
        </w:rPr>
        <w:t>1 </w:t>
      </w:r>
      <w:r>
        <w:rPr>
          <w:color w:val="231F20"/>
          <w:w w:val="110"/>
        </w:rPr>
        <w:t>en primer </w:t>
      </w:r>
      <w:r>
        <w:rPr>
          <w:color w:val="231F20"/>
          <w:spacing w:val="-3"/>
          <w:w w:val="110"/>
        </w:rPr>
        <w:t>lugar, </w:t>
      </w:r>
      <w:r>
        <w:rPr>
          <w:color w:val="231F20"/>
          <w:w w:val="110"/>
        </w:rPr>
        <w:t>de los llamados cuellos azules y también de los crecientes cuellos</w:t>
      </w:r>
      <w:r>
        <w:rPr>
          <w:color w:val="231F20"/>
          <w:spacing w:val="14"/>
          <w:w w:val="110"/>
        </w:rPr>
        <w:t> </w:t>
      </w:r>
      <w:r>
        <w:rPr>
          <w:color w:val="231F20"/>
          <w:w w:val="110"/>
        </w:rPr>
        <w:t>blancos</w:t>
      </w:r>
      <w:r>
        <w:rPr>
          <w:i/>
          <w:color w:val="231F20"/>
          <w:w w:val="110"/>
        </w:rPr>
        <w:t>.</w:t>
      </w:r>
      <w:r>
        <w:rPr>
          <w:color w:val="231F20"/>
          <w:w w:val="110"/>
          <w:position w:val="6"/>
          <w:sz w:val="13"/>
        </w:rPr>
        <w:t>2</w:t>
      </w:r>
    </w:p>
    <w:p>
      <w:pPr>
        <w:pStyle w:val="BodyText"/>
        <w:spacing w:line="261" w:lineRule="auto"/>
        <w:ind w:left="100" w:right="114" w:firstLine="240"/>
        <w:jc w:val="both"/>
      </w:pPr>
      <w:r>
        <w:rPr>
          <w:color w:val="231F20"/>
          <w:w w:val="105"/>
        </w:rPr>
        <w:t>Ese mecanismo condicionaría una hiperbólica distorsión, sistémica- mente especulativa y corrupta en el plano ético-político y económico, para la legitimación de cualquier enemigo a </w:t>
      </w:r>
      <w:r>
        <w:rPr>
          <w:color w:val="231F20"/>
          <w:spacing w:val="-4"/>
          <w:w w:val="105"/>
        </w:rPr>
        <w:t>vencer, </w:t>
      </w:r>
      <w:r>
        <w:rPr>
          <w:color w:val="231F20"/>
          <w:w w:val="105"/>
        </w:rPr>
        <w:t>fuera éste real, potencial o inventado, que se instalaría hasta el presente como la con- trovertida fuerza motriz del ciclo reproductivo de la primera potencia económica, militar y científico-tecnológica. En consecuencia, con esta máxima</w:t>
      </w:r>
      <w:r>
        <w:rPr>
          <w:i/>
          <w:color w:val="231F20"/>
          <w:w w:val="105"/>
        </w:rPr>
        <w:t>, </w:t>
      </w:r>
      <w:r>
        <w:rPr>
          <w:color w:val="231F20"/>
          <w:w w:val="105"/>
        </w:rPr>
        <w:t>Estados Unidos asumiría una política de expansión econó- mica global en </w:t>
      </w:r>
      <w:r>
        <w:rPr>
          <w:i/>
          <w:color w:val="231F20"/>
          <w:w w:val="105"/>
        </w:rPr>
        <w:t>cuasi </w:t>
      </w:r>
      <w:r>
        <w:rPr>
          <w:color w:val="231F20"/>
          <w:w w:val="105"/>
        </w:rPr>
        <w:t>solitario y —donde encontrara resistencia— de chantaje y terrorismo de estado con el uso de sus  más  modernas  armas de destrucción masiva, comenzando por la bomba </w:t>
      </w:r>
      <w:r>
        <w:rPr>
          <w:color w:val="231F20"/>
          <w:spacing w:val="-3"/>
          <w:w w:val="105"/>
        </w:rPr>
        <w:t>nuclear, </w:t>
      </w:r>
      <w:r>
        <w:rPr>
          <w:color w:val="231F20"/>
          <w:w w:val="105"/>
        </w:rPr>
        <w:t>trascendente</w:t>
      </w:r>
      <w:r>
        <w:rPr>
          <w:color w:val="231F20"/>
          <w:spacing w:val="-11"/>
          <w:w w:val="105"/>
        </w:rPr>
        <w:t> </w:t>
      </w:r>
      <w:r>
        <w:rPr>
          <w:color w:val="231F20"/>
          <w:w w:val="105"/>
        </w:rPr>
        <w:t>logro</w:t>
      </w:r>
      <w:r>
        <w:rPr>
          <w:color w:val="231F20"/>
          <w:spacing w:val="-11"/>
          <w:w w:val="105"/>
        </w:rPr>
        <w:t> </w:t>
      </w:r>
      <w:r>
        <w:rPr>
          <w:color w:val="231F20"/>
          <w:w w:val="105"/>
        </w:rPr>
        <w:t>con</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iniciaría</w:t>
      </w:r>
      <w:r>
        <w:rPr>
          <w:color w:val="231F20"/>
          <w:spacing w:val="-11"/>
          <w:w w:val="105"/>
        </w:rPr>
        <w:t> </w:t>
      </w:r>
      <w:r>
        <w:rPr>
          <w:color w:val="231F20"/>
          <w:w w:val="105"/>
        </w:rPr>
        <w:t>la</w:t>
      </w:r>
      <w:r>
        <w:rPr>
          <w:color w:val="231F20"/>
          <w:spacing w:val="-11"/>
          <w:w w:val="105"/>
        </w:rPr>
        <w:t> </w:t>
      </w:r>
      <w:r>
        <w:rPr>
          <w:i/>
          <w:color w:val="231F20"/>
          <w:w w:val="105"/>
        </w:rPr>
        <w:t>era</w:t>
      </w:r>
      <w:r>
        <w:rPr>
          <w:i/>
          <w:color w:val="231F20"/>
          <w:spacing w:val="-11"/>
          <w:w w:val="105"/>
        </w:rPr>
        <w:t> </w:t>
      </w:r>
      <w:r>
        <w:rPr>
          <w:i/>
          <w:color w:val="231F20"/>
          <w:w w:val="105"/>
        </w:rPr>
        <w:t>basada</w:t>
      </w:r>
      <w:r>
        <w:rPr>
          <w:i/>
          <w:color w:val="231F20"/>
          <w:spacing w:val="-11"/>
          <w:w w:val="105"/>
        </w:rPr>
        <w:t> </w:t>
      </w:r>
      <w:r>
        <w:rPr>
          <w:i/>
          <w:color w:val="231F20"/>
          <w:w w:val="105"/>
        </w:rPr>
        <w:t>en</w:t>
      </w:r>
      <w:r>
        <w:rPr>
          <w:i/>
          <w:color w:val="231F20"/>
          <w:spacing w:val="-11"/>
          <w:w w:val="105"/>
        </w:rPr>
        <w:t> </w:t>
      </w:r>
      <w:r>
        <w:rPr>
          <w:i/>
          <w:color w:val="231F20"/>
          <w:w w:val="105"/>
        </w:rPr>
        <w:t>el</w:t>
      </w:r>
      <w:r>
        <w:rPr>
          <w:i/>
          <w:color w:val="231F20"/>
          <w:spacing w:val="-11"/>
          <w:w w:val="105"/>
        </w:rPr>
        <w:t> </w:t>
      </w:r>
      <w:r>
        <w:rPr>
          <w:i/>
          <w:color w:val="231F20"/>
          <w:w w:val="105"/>
        </w:rPr>
        <w:t>conocimiento</w:t>
      </w:r>
      <w:r>
        <w:rPr>
          <w:color w:val="231F20"/>
          <w:w w:val="105"/>
        </w:rPr>
        <w:t>. Razones de espacio impiden referir aquí las dignas respuestas de múl- tiples países que edificando sistemas de ciencia y tecnología lograrían desgajarle crecientes cuotas de hegemonía, mercado y competitividad altec, a la vez que, entre múltiples resultados, imponerle la paridad     en la vulnerabilidad estratégica y la conquista del   </w:t>
      </w:r>
      <w:r>
        <w:rPr>
          <w:color w:val="231F20"/>
          <w:spacing w:val="10"/>
          <w:w w:val="105"/>
        </w:rPr>
        <w:t> </w:t>
      </w:r>
      <w:r>
        <w:rPr>
          <w:color w:val="231F20"/>
          <w:w w:val="105"/>
        </w:rPr>
        <w:t>cosmos.</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1 </w:t>
      </w:r>
      <w:r>
        <w:rPr>
          <w:color w:val="231F20"/>
          <w:w w:val="110"/>
          <w:sz w:val="16"/>
        </w:rPr>
        <w:t>Los actuales enfrentamientos en torno a restricciones a la legislación laboral en Wisconsin y otros estados atestiguan acerca de la creciente lucha de clases frente al desgaste del modelo descrito en la propia  metrópoli.</w:t>
      </w:r>
    </w:p>
    <w:p>
      <w:pPr>
        <w:spacing w:line="261" w:lineRule="auto" w:before="0"/>
        <w:ind w:left="100" w:right="117" w:firstLine="240"/>
        <w:jc w:val="both"/>
        <w:rPr>
          <w:sz w:val="16"/>
        </w:rPr>
      </w:pPr>
      <w:r>
        <w:rPr>
          <w:color w:val="231F20"/>
          <w:w w:val="110"/>
          <w:position w:val="5"/>
          <w:sz w:val="10"/>
        </w:rPr>
        <w:t>2 </w:t>
      </w:r>
      <w:r>
        <w:rPr>
          <w:color w:val="231F20"/>
          <w:w w:val="110"/>
          <w:sz w:val="16"/>
        </w:rPr>
        <w:t>Eufemismos utilizados en Estados Unidos para los asalariados, respectivamente, manuales e intelectuales (entre estos últimos, los científicos, profesores, ingenieros, médicos, especialistas en tic, directivos, ejecutivos, ceo, funcionarios públicos, etc.).</w:t>
      </w:r>
    </w:p>
    <w:p>
      <w:pPr>
        <w:spacing w:after="0" w:line="261" w:lineRule="auto"/>
        <w:jc w:val="both"/>
        <w:rPr>
          <w:sz w:val="16"/>
        </w:rPr>
        <w:sectPr>
          <w:headerReference w:type="even" r:id="rId170"/>
          <w:headerReference w:type="default" r:id="rId171"/>
          <w:pgSz w:w="7640" w:h="11900"/>
          <w:pgMar w:header="672" w:footer="0" w:top="860" w:bottom="280" w:left="780" w:right="640"/>
          <w:pgNumType w:start="234"/>
        </w:sectPr>
      </w:pPr>
    </w:p>
    <w:p>
      <w:pPr>
        <w:pStyle w:val="BodyText"/>
        <w:spacing w:before="8"/>
        <w:rPr>
          <w:sz w:val="8"/>
        </w:rPr>
      </w:pPr>
    </w:p>
    <w:p>
      <w:pPr>
        <w:pStyle w:val="BodyText"/>
        <w:spacing w:line="261" w:lineRule="auto" w:before="67"/>
        <w:ind w:left="100" w:right="117" w:firstLine="240"/>
        <w:jc w:val="both"/>
      </w:pPr>
      <w:r>
        <w:rPr>
          <w:color w:val="231F20"/>
          <w:w w:val="105"/>
        </w:rPr>
        <w:t>Entre los factores para la obtención multiplicada de la plusvalía extraordinaria, se destacaría la política de Estados Unidos y sus corpo- raciones transnacionales junto a los demás países de la tríada Estados Unidos, Unión Europea y Japón, con relación al Sur, fomentando un “orden” basado en la globalización por vías neoliberales, que privile- giara sus ventajas comparativas dinámicas, agudizando así la brecha científico-tecnológica e informática y las inequidades    norte-sur.</w:t>
      </w:r>
    </w:p>
    <w:p>
      <w:pPr>
        <w:pStyle w:val="BodyText"/>
        <w:spacing w:line="261" w:lineRule="auto"/>
        <w:ind w:left="100" w:right="111" w:firstLine="240"/>
        <w:jc w:val="both"/>
        <w:rPr>
          <w:i/>
        </w:rPr>
      </w:pPr>
      <w:r>
        <w:rPr>
          <w:color w:val="231F20"/>
          <w:w w:val="105"/>
        </w:rPr>
        <w:t>Por ejemplo, mediante el cobro exacerbado por la novedad e in- vención presentes en sus productos, servicios y diversas modalidades de </w:t>
      </w:r>
      <w:r>
        <w:rPr>
          <w:i/>
          <w:color w:val="231F20"/>
          <w:w w:val="105"/>
        </w:rPr>
        <w:t>know how </w:t>
      </w:r>
      <w:r>
        <w:rPr>
          <w:color w:val="231F20"/>
          <w:w w:val="105"/>
        </w:rPr>
        <w:t>y transferencia de tecnologías, así como —más reciente- mente— por la apropiación de ciertas categorías de descubrimientos    y de procedimientos de i+d que no eran objeto  de  patente  lícita.  Éstos se refrendan, en su versión mínima, en el Acuerdo sobre los Aspectos de los  Derechos  de  Propiedad  Intelectual  </w:t>
      </w:r>
      <w:r>
        <w:rPr>
          <w:color w:val="231F20"/>
          <w:spacing w:val="2"/>
          <w:w w:val="105"/>
        </w:rPr>
        <w:t>relacionados  </w:t>
      </w:r>
      <w:r>
        <w:rPr>
          <w:color w:val="231F20"/>
          <w:w w:val="105"/>
        </w:rPr>
        <w:t>con el Comercio (adpic) de la Organización Mundial del Comercio (omc), referencia obligada para su reflejo maximizado en los tratados de libre comercio </w:t>
      </w:r>
      <w:r>
        <w:rPr>
          <w:color w:val="231F20"/>
          <w:w w:val="120"/>
        </w:rPr>
        <w:t>(tlc) </w:t>
      </w:r>
      <w:r>
        <w:rPr>
          <w:color w:val="231F20"/>
          <w:w w:val="105"/>
        </w:rPr>
        <w:t>bi y multilaterales de Estados Unidos con los países de América Latina y el Caribe, los llamados  </w:t>
      </w:r>
      <w:r>
        <w:rPr>
          <w:color w:val="231F20"/>
          <w:spacing w:val="52"/>
          <w:w w:val="105"/>
        </w:rPr>
        <w:t> </w:t>
      </w:r>
      <w:r>
        <w:rPr>
          <w:color w:val="231F20"/>
          <w:w w:val="105"/>
        </w:rPr>
        <w:t>adpic</w:t>
      </w:r>
      <w:r>
        <w:rPr>
          <w:i/>
          <w:color w:val="231F20"/>
          <w:w w:val="105"/>
        </w:rPr>
        <w:t>++.</w:t>
      </w:r>
    </w:p>
    <w:p>
      <w:pPr>
        <w:pStyle w:val="BodyText"/>
        <w:spacing w:line="261" w:lineRule="auto"/>
        <w:ind w:left="100" w:right="114" w:firstLine="240"/>
        <w:jc w:val="both"/>
      </w:pPr>
      <w:r>
        <w:rPr>
          <w:color w:val="231F20"/>
          <w:w w:val="105"/>
        </w:rPr>
        <w:t>A pesar del alto potencial disponible, para el periodo analizado (1945-2011) se ha evidenciado que el referido modelo no ha dado respuesta a los principales retos científico-tecnológicos planteados programáticamente ante la propia sociedad estadunidense </w:t>
      </w:r>
      <w:r>
        <w:rPr>
          <w:color w:val="231F20"/>
          <w:spacing w:val="-8"/>
          <w:w w:val="105"/>
        </w:rPr>
        <w:t>y,  </w:t>
      </w:r>
      <w:r>
        <w:rPr>
          <w:color w:val="231F20"/>
          <w:w w:val="105"/>
        </w:rPr>
        <w:t>menos aún, ante la humanidad: el paradigmático desarrollo sostenible  ba- sado en el conocimiento, que resuelva las necesidades de energía, alimentación, salud, educación, equilibrio ecológico, trabajo, bien- estar económico, seguridad social, cultura, vivienda etc.; además de  los compromisos internacionales contraídos para contribuir al logro    de las Metas del </w:t>
      </w:r>
      <w:r>
        <w:rPr>
          <w:color w:val="231F20"/>
          <w:spacing w:val="26"/>
          <w:w w:val="105"/>
        </w:rPr>
        <w:t> </w:t>
      </w:r>
      <w:r>
        <w:rPr>
          <w:color w:val="231F20"/>
          <w:w w:val="105"/>
        </w:rPr>
        <w:t>Milenio.</w:t>
      </w:r>
    </w:p>
    <w:p>
      <w:pPr>
        <w:pStyle w:val="BodyText"/>
        <w:spacing w:line="261" w:lineRule="auto"/>
        <w:ind w:left="100" w:right="119" w:firstLine="240"/>
        <w:jc w:val="both"/>
      </w:pPr>
      <w:r>
        <w:rPr>
          <w:color w:val="231F20"/>
          <w:w w:val="110"/>
        </w:rPr>
        <w:t>Aumentaría</w:t>
      </w:r>
      <w:r>
        <w:rPr>
          <w:color w:val="231F20"/>
          <w:spacing w:val="-34"/>
          <w:w w:val="110"/>
        </w:rPr>
        <w:t> </w:t>
      </w:r>
      <w:r>
        <w:rPr>
          <w:color w:val="231F20"/>
          <w:w w:val="110"/>
        </w:rPr>
        <w:t>así</w:t>
      </w:r>
      <w:r>
        <w:rPr>
          <w:color w:val="231F20"/>
          <w:spacing w:val="-34"/>
          <w:w w:val="110"/>
        </w:rPr>
        <w:t> </w:t>
      </w:r>
      <w:r>
        <w:rPr>
          <w:color w:val="231F20"/>
          <w:w w:val="110"/>
        </w:rPr>
        <w:t>la</w:t>
      </w:r>
      <w:r>
        <w:rPr>
          <w:color w:val="231F20"/>
          <w:spacing w:val="-34"/>
          <w:w w:val="110"/>
        </w:rPr>
        <w:t> </w:t>
      </w:r>
      <w:r>
        <w:rPr>
          <w:color w:val="231F20"/>
          <w:w w:val="110"/>
        </w:rPr>
        <w:t>percepción</w:t>
      </w:r>
      <w:r>
        <w:rPr>
          <w:color w:val="231F20"/>
          <w:spacing w:val="-34"/>
          <w:w w:val="110"/>
        </w:rPr>
        <w:t> </w:t>
      </w:r>
      <w:r>
        <w:rPr>
          <w:color w:val="231F20"/>
          <w:w w:val="110"/>
        </w:rPr>
        <w:t>de</w:t>
      </w:r>
      <w:r>
        <w:rPr>
          <w:color w:val="231F20"/>
          <w:spacing w:val="-34"/>
          <w:w w:val="110"/>
        </w:rPr>
        <w:t> </w:t>
      </w:r>
      <w:r>
        <w:rPr>
          <w:color w:val="231F20"/>
          <w:w w:val="110"/>
        </w:rPr>
        <w:t>insatisfacción</w:t>
      </w:r>
      <w:r>
        <w:rPr>
          <w:color w:val="231F20"/>
          <w:spacing w:val="-34"/>
          <w:w w:val="110"/>
        </w:rPr>
        <w:t> </w:t>
      </w:r>
      <w:r>
        <w:rPr>
          <w:color w:val="231F20"/>
          <w:w w:val="110"/>
        </w:rPr>
        <w:t>en</w:t>
      </w:r>
      <w:r>
        <w:rPr>
          <w:color w:val="231F20"/>
          <w:spacing w:val="-34"/>
          <w:w w:val="110"/>
        </w:rPr>
        <w:t> </w:t>
      </w:r>
      <w:r>
        <w:rPr>
          <w:color w:val="231F20"/>
          <w:w w:val="110"/>
        </w:rPr>
        <w:t>crecientes</w:t>
      </w:r>
      <w:r>
        <w:rPr>
          <w:color w:val="231F20"/>
          <w:spacing w:val="-34"/>
          <w:w w:val="110"/>
        </w:rPr>
        <w:t> </w:t>
      </w:r>
      <w:r>
        <w:rPr>
          <w:color w:val="231F20"/>
          <w:w w:val="110"/>
        </w:rPr>
        <w:t>estratos sociales</w:t>
      </w:r>
      <w:r>
        <w:rPr>
          <w:color w:val="231F20"/>
          <w:spacing w:val="-35"/>
          <w:w w:val="110"/>
        </w:rPr>
        <w:t> </w:t>
      </w:r>
      <w:r>
        <w:rPr>
          <w:color w:val="231F20"/>
          <w:w w:val="110"/>
        </w:rPr>
        <w:t>e,</w:t>
      </w:r>
      <w:r>
        <w:rPr>
          <w:color w:val="231F20"/>
          <w:spacing w:val="-35"/>
          <w:w w:val="110"/>
        </w:rPr>
        <w:t> </w:t>
      </w:r>
      <w:r>
        <w:rPr>
          <w:color w:val="231F20"/>
          <w:w w:val="110"/>
        </w:rPr>
        <w:t>incluso,</w:t>
      </w:r>
      <w:r>
        <w:rPr>
          <w:color w:val="231F20"/>
          <w:spacing w:val="-35"/>
          <w:w w:val="110"/>
        </w:rPr>
        <w:t> </w:t>
      </w:r>
      <w:r>
        <w:rPr>
          <w:color w:val="231F20"/>
          <w:w w:val="110"/>
        </w:rPr>
        <w:t>importantes</w:t>
      </w:r>
      <w:r>
        <w:rPr>
          <w:color w:val="231F20"/>
          <w:spacing w:val="-35"/>
          <w:w w:val="110"/>
        </w:rPr>
        <w:t> </w:t>
      </w:r>
      <w:r>
        <w:rPr>
          <w:color w:val="231F20"/>
          <w:w w:val="110"/>
        </w:rPr>
        <w:t>personeros</w:t>
      </w:r>
      <w:r>
        <w:rPr>
          <w:color w:val="231F20"/>
          <w:spacing w:val="-35"/>
          <w:w w:val="110"/>
        </w:rPr>
        <w:t> </w:t>
      </w:r>
      <w:r>
        <w:rPr>
          <w:color w:val="231F20"/>
          <w:w w:val="110"/>
        </w:rPr>
        <w:t>del</w:t>
      </w:r>
      <w:r>
        <w:rPr>
          <w:color w:val="231F20"/>
          <w:spacing w:val="-35"/>
          <w:w w:val="110"/>
        </w:rPr>
        <w:t> </w:t>
      </w:r>
      <w:r>
        <w:rPr>
          <w:i/>
          <w:color w:val="231F20"/>
          <w:w w:val="110"/>
        </w:rPr>
        <w:t>establishment</w:t>
      </w:r>
      <w:r>
        <w:rPr>
          <w:i/>
          <w:color w:val="231F20"/>
          <w:spacing w:val="-35"/>
          <w:w w:val="110"/>
        </w:rPr>
        <w:t> </w:t>
      </w:r>
      <w:r>
        <w:rPr>
          <w:color w:val="231F20"/>
          <w:w w:val="110"/>
        </w:rPr>
        <w:t>acerca</w:t>
      </w:r>
      <w:r>
        <w:rPr>
          <w:color w:val="231F20"/>
          <w:spacing w:val="-35"/>
          <w:w w:val="110"/>
        </w:rPr>
        <w:t> </w:t>
      </w:r>
      <w:r>
        <w:rPr>
          <w:color w:val="231F20"/>
          <w:spacing w:val="-2"/>
          <w:w w:val="110"/>
        </w:rPr>
        <w:t>del </w:t>
      </w:r>
      <w:r>
        <w:rPr>
          <w:color w:val="231F20"/>
          <w:w w:val="110"/>
        </w:rPr>
        <w:t>desempeño unilateral e irracional en esta esfera, causante de contro- vertidas</w:t>
      </w:r>
      <w:r>
        <w:rPr>
          <w:color w:val="231F20"/>
          <w:spacing w:val="-25"/>
          <w:w w:val="110"/>
        </w:rPr>
        <w:t> </w:t>
      </w:r>
      <w:r>
        <w:rPr>
          <w:color w:val="231F20"/>
          <w:w w:val="110"/>
        </w:rPr>
        <w:t>consecuencias,</w:t>
      </w:r>
      <w:r>
        <w:rPr>
          <w:color w:val="231F20"/>
          <w:spacing w:val="-25"/>
          <w:w w:val="110"/>
        </w:rPr>
        <w:t> </w:t>
      </w:r>
      <w:r>
        <w:rPr>
          <w:color w:val="231F20"/>
          <w:w w:val="110"/>
        </w:rPr>
        <w:t>si</w:t>
      </w:r>
      <w:r>
        <w:rPr>
          <w:color w:val="231F20"/>
          <w:spacing w:val="-25"/>
          <w:w w:val="110"/>
        </w:rPr>
        <w:t> </w:t>
      </w:r>
      <w:r>
        <w:rPr>
          <w:color w:val="231F20"/>
          <w:w w:val="110"/>
        </w:rPr>
        <w:t>bien</w:t>
      </w:r>
      <w:r>
        <w:rPr>
          <w:color w:val="231F20"/>
          <w:spacing w:val="-25"/>
          <w:w w:val="110"/>
        </w:rPr>
        <w:t> </w:t>
      </w:r>
      <w:r>
        <w:rPr>
          <w:color w:val="231F20"/>
          <w:w w:val="110"/>
        </w:rPr>
        <w:t>a</w:t>
      </w:r>
      <w:r>
        <w:rPr>
          <w:color w:val="231F20"/>
          <w:spacing w:val="-25"/>
          <w:w w:val="110"/>
        </w:rPr>
        <w:t> </w:t>
      </w:r>
      <w:r>
        <w:rPr>
          <w:color w:val="231F20"/>
          <w:w w:val="110"/>
        </w:rPr>
        <w:t>favor</w:t>
      </w:r>
      <w:r>
        <w:rPr>
          <w:color w:val="231F20"/>
          <w:spacing w:val="-25"/>
          <w:w w:val="110"/>
        </w:rPr>
        <w:t> </w:t>
      </w:r>
      <w:r>
        <w:rPr>
          <w:color w:val="231F20"/>
          <w:w w:val="110"/>
        </w:rPr>
        <w:t>del</w:t>
      </w:r>
      <w:r>
        <w:rPr>
          <w:color w:val="231F20"/>
          <w:spacing w:val="-25"/>
          <w:w w:val="110"/>
        </w:rPr>
        <w:t> </w:t>
      </w:r>
      <w:r>
        <w:rPr>
          <w:color w:val="231F20"/>
          <w:w w:val="110"/>
        </w:rPr>
        <w:t>rendimiento</w:t>
      </w:r>
      <w:r>
        <w:rPr>
          <w:color w:val="231F20"/>
          <w:spacing w:val="-25"/>
          <w:w w:val="110"/>
        </w:rPr>
        <w:t> </w:t>
      </w:r>
      <w:r>
        <w:rPr>
          <w:color w:val="231F20"/>
          <w:w w:val="110"/>
        </w:rPr>
        <w:t>corporativo,</w:t>
      </w:r>
      <w:r>
        <w:rPr>
          <w:color w:val="231F20"/>
          <w:spacing w:val="-25"/>
          <w:w w:val="110"/>
        </w:rPr>
        <w:t> </w:t>
      </w:r>
      <w:r>
        <w:rPr>
          <w:color w:val="231F20"/>
          <w:w w:val="110"/>
        </w:rPr>
        <w:t>no obstante,</w:t>
      </w:r>
      <w:r>
        <w:rPr>
          <w:color w:val="231F20"/>
          <w:spacing w:val="-12"/>
          <w:w w:val="110"/>
        </w:rPr>
        <w:t> </w:t>
      </w:r>
      <w:r>
        <w:rPr>
          <w:color w:val="231F20"/>
          <w:w w:val="110"/>
        </w:rPr>
        <w:t>en</w:t>
      </w:r>
      <w:r>
        <w:rPr>
          <w:color w:val="231F20"/>
          <w:spacing w:val="-12"/>
          <w:w w:val="110"/>
        </w:rPr>
        <w:t> </w:t>
      </w:r>
      <w:r>
        <w:rPr>
          <w:color w:val="231F20"/>
          <w:w w:val="110"/>
        </w:rPr>
        <w:t>detrimento</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expectativas</w:t>
      </w:r>
      <w:r>
        <w:rPr>
          <w:color w:val="231F20"/>
          <w:spacing w:val="-12"/>
          <w:w w:val="110"/>
        </w:rPr>
        <w:t> </w:t>
      </w:r>
      <w:r>
        <w:rPr>
          <w:color w:val="231F20"/>
          <w:w w:val="110"/>
        </w:rPr>
        <w:t>societales</w:t>
      </w:r>
      <w:r>
        <w:rPr>
          <w:color w:val="231F20"/>
          <w:spacing w:val="-12"/>
          <w:w w:val="110"/>
        </w:rPr>
        <w:t> </w:t>
      </w:r>
      <w:r>
        <w:rPr>
          <w:color w:val="231F20"/>
          <w:spacing w:val="-2"/>
          <w:w w:val="110"/>
        </w:rPr>
        <w:t>mencionadas.</w:t>
      </w:r>
    </w:p>
    <w:p>
      <w:pPr>
        <w:pStyle w:val="BodyText"/>
        <w:spacing w:line="261" w:lineRule="auto"/>
        <w:ind w:left="100" w:right="119" w:firstLine="240"/>
        <w:jc w:val="both"/>
      </w:pPr>
      <w:r>
        <w:rPr>
          <w:color w:val="231F20"/>
          <w:w w:val="110"/>
        </w:rPr>
        <w:t>En consecuencia, cada vez más estadunidenses meditan</w:t>
      </w:r>
      <w:r>
        <w:rPr>
          <w:color w:val="231F20"/>
          <w:spacing w:val="-11"/>
          <w:w w:val="110"/>
        </w:rPr>
        <w:t> </w:t>
      </w:r>
      <w:r>
        <w:rPr>
          <w:color w:val="231F20"/>
          <w:w w:val="110"/>
        </w:rPr>
        <w:t>acerca</w:t>
      </w:r>
      <w:r>
        <w:rPr>
          <w:color w:val="231F20"/>
          <w:spacing w:val="-2"/>
          <w:w w:val="110"/>
        </w:rPr>
        <w:t> </w:t>
      </w:r>
      <w:r>
        <w:rPr>
          <w:color w:val="231F20"/>
          <w:w w:val="110"/>
        </w:rPr>
        <w:t>de</w:t>
      </w:r>
      <w:r>
        <w:rPr>
          <w:color w:val="231F20"/>
          <w:w w:val="114"/>
        </w:rPr>
        <w:t> </w:t>
      </w:r>
      <w:r>
        <w:rPr>
          <w:color w:val="231F20"/>
          <w:w w:val="110"/>
        </w:rPr>
        <w:t>las causales esenciales de tal situación y su posibilidad de solución satisfactoria bajo el modelo</w:t>
      </w:r>
      <w:r>
        <w:rPr>
          <w:color w:val="231F20"/>
          <w:spacing w:val="-27"/>
          <w:w w:val="110"/>
        </w:rPr>
        <w:t> </w:t>
      </w:r>
      <w:r>
        <w:rPr>
          <w:color w:val="231F20"/>
          <w:w w:val="110"/>
        </w:rPr>
        <w:t>vigente.</w:t>
      </w:r>
    </w:p>
    <w:p>
      <w:pPr>
        <w:pStyle w:val="BodyText"/>
        <w:spacing w:before="8"/>
        <w:rPr>
          <w:sz w:val="21"/>
        </w:rPr>
      </w:pPr>
    </w:p>
    <w:p>
      <w:pPr>
        <w:pStyle w:val="ListParagraph"/>
        <w:numPr>
          <w:ilvl w:val="0"/>
          <w:numId w:val="4"/>
        </w:numPr>
        <w:tabs>
          <w:tab w:pos="460" w:val="left" w:leader="none"/>
        </w:tabs>
        <w:spacing w:line="261" w:lineRule="auto" w:before="0" w:after="0"/>
        <w:ind w:left="460" w:right="113" w:hanging="160"/>
        <w:jc w:val="left"/>
        <w:rPr>
          <w:sz w:val="20"/>
        </w:rPr>
      </w:pPr>
      <w:r>
        <w:rPr>
          <w:color w:val="231F20"/>
          <w:w w:val="110"/>
          <w:sz w:val="20"/>
        </w:rPr>
        <w:t>El</w:t>
      </w:r>
      <w:r>
        <w:rPr>
          <w:color w:val="231F20"/>
          <w:spacing w:val="-13"/>
          <w:w w:val="110"/>
          <w:sz w:val="20"/>
        </w:rPr>
        <w:t> </w:t>
      </w:r>
      <w:r>
        <w:rPr>
          <w:color w:val="231F20"/>
          <w:w w:val="110"/>
          <w:sz w:val="20"/>
        </w:rPr>
        <w:t>afán</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corporatividad</w:t>
      </w:r>
      <w:r>
        <w:rPr>
          <w:color w:val="231F20"/>
          <w:spacing w:val="-13"/>
          <w:w w:val="110"/>
          <w:sz w:val="20"/>
        </w:rPr>
        <w:t> </w:t>
      </w:r>
      <w:r>
        <w:rPr>
          <w:color w:val="231F20"/>
          <w:w w:val="110"/>
          <w:sz w:val="20"/>
        </w:rPr>
        <w:t>agroalimentaria</w:t>
      </w:r>
      <w:r>
        <w:rPr>
          <w:color w:val="231F20"/>
          <w:spacing w:val="-13"/>
          <w:w w:val="110"/>
          <w:sz w:val="20"/>
        </w:rPr>
        <w:t> </w:t>
      </w:r>
      <w:r>
        <w:rPr>
          <w:color w:val="231F20"/>
          <w:w w:val="110"/>
          <w:sz w:val="20"/>
        </w:rPr>
        <w:t>al</w:t>
      </w:r>
      <w:r>
        <w:rPr>
          <w:color w:val="231F20"/>
          <w:spacing w:val="-13"/>
          <w:w w:val="110"/>
          <w:sz w:val="20"/>
        </w:rPr>
        <w:t> </w:t>
      </w:r>
      <w:r>
        <w:rPr>
          <w:color w:val="231F20"/>
          <w:w w:val="110"/>
          <w:sz w:val="20"/>
        </w:rPr>
        <w:t>empleo</w:t>
      </w:r>
      <w:r>
        <w:rPr>
          <w:color w:val="231F20"/>
          <w:spacing w:val="-13"/>
          <w:w w:val="110"/>
          <w:sz w:val="20"/>
        </w:rPr>
        <w:t> </w:t>
      </w:r>
      <w:r>
        <w:rPr>
          <w:color w:val="231F20"/>
          <w:w w:val="110"/>
          <w:sz w:val="20"/>
        </w:rPr>
        <w:t>masivo</w:t>
      </w:r>
      <w:r>
        <w:rPr>
          <w:color w:val="231F20"/>
          <w:spacing w:val="-13"/>
          <w:w w:val="110"/>
          <w:sz w:val="20"/>
        </w:rPr>
        <w:t> </w:t>
      </w:r>
      <w:r>
        <w:rPr>
          <w:color w:val="231F20"/>
          <w:w w:val="110"/>
          <w:sz w:val="20"/>
        </w:rPr>
        <w:t>de agroquímicos  sintéticos,  enzimático-hormonales,</w:t>
      </w:r>
      <w:r>
        <w:rPr>
          <w:color w:val="231F20"/>
          <w:spacing w:val="-22"/>
          <w:w w:val="110"/>
          <w:sz w:val="20"/>
        </w:rPr>
        <w:t> </w:t>
      </w:r>
      <w:r>
        <w:rPr>
          <w:color w:val="231F20"/>
          <w:w w:val="110"/>
          <w:sz w:val="20"/>
        </w:rPr>
        <w:t>transgénicos,</w:t>
      </w:r>
    </w:p>
    <w:p>
      <w:pPr>
        <w:spacing w:after="0" w:line="261" w:lineRule="auto"/>
        <w:jc w:val="left"/>
        <w:rPr>
          <w:sz w:val="20"/>
        </w:rPr>
        <w:sectPr>
          <w:pgSz w:w="7640" w:h="11900"/>
          <w:pgMar w:header="672" w:footer="0" w:top="860" w:bottom="280" w:left="660" w:right="760"/>
        </w:sectPr>
      </w:pPr>
    </w:p>
    <w:p>
      <w:pPr>
        <w:pStyle w:val="BodyText"/>
        <w:spacing w:before="8"/>
        <w:rPr>
          <w:sz w:val="8"/>
        </w:rPr>
      </w:pPr>
    </w:p>
    <w:p>
      <w:pPr>
        <w:pStyle w:val="BodyText"/>
        <w:spacing w:line="261" w:lineRule="auto" w:before="67"/>
        <w:ind w:left="460" w:right="117"/>
        <w:jc w:val="both"/>
      </w:pPr>
      <w:r>
        <w:rPr>
          <w:color w:val="231F20"/>
          <w:w w:val="110"/>
        </w:rPr>
        <w:t>simientes encapsuladas, etc. destinados a incrementar la</w:t>
      </w:r>
      <w:r>
        <w:rPr>
          <w:color w:val="231F20"/>
          <w:spacing w:val="-26"/>
          <w:w w:val="110"/>
        </w:rPr>
        <w:t> </w:t>
      </w:r>
      <w:r>
        <w:rPr>
          <w:color w:val="231F20"/>
          <w:w w:val="110"/>
        </w:rPr>
        <w:t>produc- tividad, pero que, a la vez, afectan inescrupulosamente la salud humana, el entorno, la biodiversidad y la economía </w:t>
      </w:r>
      <w:r>
        <w:rPr>
          <w:color w:val="231F20"/>
          <w:spacing w:val="43"/>
          <w:w w:val="110"/>
        </w:rPr>
        <w:t> </w:t>
      </w:r>
      <w:r>
        <w:rPr>
          <w:color w:val="231F20"/>
          <w:spacing w:val="-3"/>
          <w:w w:val="110"/>
        </w:rPr>
        <w:t>popular.</w:t>
      </w:r>
    </w:p>
    <w:p>
      <w:pPr>
        <w:pStyle w:val="ListParagraph"/>
        <w:numPr>
          <w:ilvl w:val="0"/>
          <w:numId w:val="4"/>
        </w:numPr>
        <w:tabs>
          <w:tab w:pos="460" w:val="left" w:leader="none"/>
        </w:tabs>
        <w:spacing w:line="261" w:lineRule="auto" w:before="0" w:after="0"/>
        <w:ind w:left="460" w:right="114" w:hanging="160"/>
        <w:jc w:val="both"/>
        <w:rPr>
          <w:sz w:val="20"/>
        </w:rPr>
      </w:pPr>
      <w:r>
        <w:rPr>
          <w:color w:val="231F20"/>
          <w:w w:val="110"/>
          <w:sz w:val="20"/>
        </w:rPr>
        <w:t>El conservadurismo de las corporaciones transnacionales ener- géticas y de los combustibles, priorizadoras del </w:t>
      </w:r>
      <w:r>
        <w:rPr>
          <w:i/>
          <w:color w:val="231F20"/>
          <w:w w:val="110"/>
          <w:sz w:val="20"/>
        </w:rPr>
        <w:t>modus operandi </w:t>
      </w:r>
      <w:r>
        <w:rPr>
          <w:color w:val="231F20"/>
          <w:w w:val="110"/>
          <w:sz w:val="20"/>
        </w:rPr>
        <w:t>tecnológico instalado, del posesionamiento sobre sus reservas mundiales </w:t>
      </w:r>
      <w:r>
        <w:rPr>
          <w:color w:val="231F20"/>
          <w:spacing w:val="-8"/>
          <w:w w:val="110"/>
          <w:sz w:val="20"/>
        </w:rPr>
        <w:t>y, </w:t>
      </w:r>
      <w:r>
        <w:rPr>
          <w:color w:val="231F20"/>
          <w:w w:val="110"/>
          <w:sz w:val="20"/>
        </w:rPr>
        <w:t>más recientemente, del degradable recurso </w:t>
      </w:r>
      <w:r>
        <w:rPr>
          <w:i/>
          <w:color w:val="231F20"/>
          <w:w w:val="110"/>
          <w:sz w:val="20"/>
        </w:rPr>
        <w:t>tierra </w:t>
      </w:r>
      <w:r>
        <w:rPr>
          <w:color w:val="231F20"/>
          <w:w w:val="110"/>
          <w:sz w:val="20"/>
        </w:rPr>
        <w:t>para los agrocombustibles, promoviendo el alza de los precios y la crisis alimentaria a escala planetaria; todo ello muy a pesar</w:t>
      </w:r>
      <w:r>
        <w:rPr>
          <w:color w:val="231F20"/>
          <w:spacing w:val="-25"/>
          <w:w w:val="110"/>
          <w:sz w:val="20"/>
        </w:rPr>
        <w:t> </w:t>
      </w:r>
      <w:r>
        <w:rPr>
          <w:color w:val="231F20"/>
          <w:w w:val="110"/>
          <w:sz w:val="20"/>
        </w:rPr>
        <w:t>de los promisorios logros científicos ya disponibles en pos de una seguridad energética basada en fuentes renovables y limpias</w:t>
      </w:r>
      <w:r>
        <w:rPr>
          <w:color w:val="231F20"/>
          <w:spacing w:val="-32"/>
          <w:w w:val="110"/>
          <w:sz w:val="20"/>
        </w:rPr>
        <w:t> </w:t>
      </w:r>
      <w:r>
        <w:rPr>
          <w:color w:val="231F20"/>
          <w:w w:val="110"/>
          <w:sz w:val="20"/>
        </w:rPr>
        <w:t>que garanticen la sostenibilidad integral, sin emular con la</w:t>
      </w:r>
      <w:r>
        <w:rPr>
          <w:color w:val="231F20"/>
          <w:spacing w:val="-28"/>
          <w:w w:val="110"/>
          <w:sz w:val="20"/>
        </w:rPr>
        <w:t> </w:t>
      </w:r>
      <w:r>
        <w:rPr>
          <w:color w:val="231F20"/>
          <w:w w:val="110"/>
          <w:sz w:val="20"/>
        </w:rPr>
        <w:t>seguridad alimentaria</w:t>
      </w:r>
      <w:r>
        <w:rPr>
          <w:color w:val="231F20"/>
          <w:spacing w:val="-13"/>
          <w:w w:val="110"/>
          <w:sz w:val="20"/>
        </w:rPr>
        <w:t> </w:t>
      </w:r>
      <w:r>
        <w:rPr>
          <w:color w:val="231F20"/>
          <w:w w:val="110"/>
          <w:sz w:val="20"/>
        </w:rPr>
        <w:t>y</w:t>
      </w:r>
      <w:r>
        <w:rPr>
          <w:color w:val="231F20"/>
          <w:spacing w:val="-13"/>
          <w:w w:val="110"/>
          <w:sz w:val="20"/>
        </w:rPr>
        <w:t> </w:t>
      </w:r>
      <w:r>
        <w:rPr>
          <w:color w:val="231F20"/>
          <w:w w:val="110"/>
          <w:sz w:val="20"/>
        </w:rPr>
        <w:t>otras</w:t>
      </w:r>
      <w:r>
        <w:rPr>
          <w:color w:val="231F20"/>
          <w:spacing w:val="-13"/>
          <w:w w:val="110"/>
          <w:sz w:val="20"/>
        </w:rPr>
        <w:t> </w:t>
      </w:r>
      <w:r>
        <w:rPr>
          <w:color w:val="231F20"/>
          <w:w w:val="110"/>
          <w:sz w:val="20"/>
        </w:rPr>
        <w:t>requisitos</w:t>
      </w:r>
      <w:r>
        <w:rPr>
          <w:color w:val="231F20"/>
          <w:spacing w:val="-13"/>
          <w:w w:val="110"/>
          <w:sz w:val="20"/>
        </w:rPr>
        <w:t> </w:t>
      </w:r>
      <w:r>
        <w:rPr>
          <w:color w:val="231F20"/>
          <w:w w:val="110"/>
          <w:sz w:val="20"/>
        </w:rPr>
        <w:t>del</w:t>
      </w:r>
      <w:r>
        <w:rPr>
          <w:color w:val="231F20"/>
          <w:spacing w:val="-13"/>
          <w:w w:val="110"/>
          <w:sz w:val="20"/>
        </w:rPr>
        <w:t> </w:t>
      </w:r>
      <w:r>
        <w:rPr>
          <w:color w:val="231F20"/>
          <w:w w:val="110"/>
          <w:sz w:val="20"/>
        </w:rPr>
        <w:t>ser</w:t>
      </w:r>
      <w:r>
        <w:rPr>
          <w:color w:val="231F20"/>
          <w:spacing w:val="-13"/>
          <w:w w:val="110"/>
          <w:sz w:val="20"/>
        </w:rPr>
        <w:t> </w:t>
      </w:r>
      <w:r>
        <w:rPr>
          <w:color w:val="231F20"/>
          <w:w w:val="110"/>
          <w:sz w:val="20"/>
        </w:rPr>
        <w:t>humano</w:t>
      </w:r>
      <w:r>
        <w:rPr>
          <w:color w:val="231F20"/>
          <w:spacing w:val="-13"/>
          <w:w w:val="110"/>
          <w:sz w:val="20"/>
        </w:rPr>
        <w:t> </w:t>
      </w:r>
      <w:r>
        <w:rPr>
          <w:color w:val="231F20"/>
          <w:w w:val="110"/>
          <w:sz w:val="20"/>
        </w:rPr>
        <w:t>y</w:t>
      </w:r>
      <w:r>
        <w:rPr>
          <w:color w:val="231F20"/>
          <w:spacing w:val="-13"/>
          <w:w w:val="110"/>
          <w:sz w:val="20"/>
        </w:rPr>
        <w:t> </w:t>
      </w:r>
      <w:r>
        <w:rPr>
          <w:color w:val="231F20"/>
          <w:w w:val="110"/>
          <w:sz w:val="20"/>
        </w:rPr>
        <w:t>del</w:t>
      </w:r>
      <w:r>
        <w:rPr>
          <w:color w:val="231F20"/>
          <w:spacing w:val="-13"/>
          <w:w w:val="110"/>
          <w:sz w:val="20"/>
        </w:rPr>
        <w:t> </w:t>
      </w:r>
      <w:r>
        <w:rPr>
          <w:color w:val="231F20"/>
          <w:w w:val="110"/>
          <w:sz w:val="20"/>
        </w:rPr>
        <w:t>medio</w:t>
      </w:r>
      <w:r>
        <w:rPr>
          <w:color w:val="231F20"/>
          <w:spacing w:val="-13"/>
          <w:w w:val="110"/>
          <w:sz w:val="20"/>
        </w:rPr>
        <w:t> </w:t>
      </w:r>
      <w:r>
        <w:rPr>
          <w:color w:val="231F20"/>
          <w:w w:val="110"/>
          <w:sz w:val="20"/>
        </w:rPr>
        <w:t>natural.</w:t>
      </w:r>
    </w:p>
    <w:p>
      <w:pPr>
        <w:pStyle w:val="ListParagraph"/>
        <w:numPr>
          <w:ilvl w:val="0"/>
          <w:numId w:val="4"/>
        </w:numPr>
        <w:tabs>
          <w:tab w:pos="460" w:val="left" w:leader="none"/>
        </w:tabs>
        <w:spacing w:line="261" w:lineRule="auto" w:before="0" w:after="0"/>
        <w:ind w:left="460" w:right="117" w:hanging="160"/>
        <w:jc w:val="both"/>
        <w:rPr>
          <w:sz w:val="20"/>
        </w:rPr>
      </w:pPr>
      <w:r>
        <w:rPr>
          <w:color w:val="231F20"/>
          <w:w w:val="110"/>
          <w:sz w:val="20"/>
        </w:rPr>
        <w:t>Desde</w:t>
      </w:r>
      <w:r>
        <w:rPr>
          <w:color w:val="231F20"/>
          <w:spacing w:val="-15"/>
          <w:w w:val="110"/>
          <w:sz w:val="20"/>
        </w:rPr>
        <w:t> </w:t>
      </w:r>
      <w:r>
        <w:rPr>
          <w:color w:val="231F20"/>
          <w:w w:val="110"/>
          <w:sz w:val="20"/>
        </w:rPr>
        <w:t>el</w:t>
      </w:r>
      <w:r>
        <w:rPr>
          <w:color w:val="231F20"/>
          <w:spacing w:val="-15"/>
          <w:w w:val="110"/>
          <w:sz w:val="20"/>
        </w:rPr>
        <w:t> </w:t>
      </w:r>
      <w:r>
        <w:rPr>
          <w:color w:val="231F20"/>
          <w:w w:val="110"/>
          <w:sz w:val="20"/>
        </w:rPr>
        <w:t>ángulo</w:t>
      </w:r>
      <w:r>
        <w:rPr>
          <w:color w:val="231F20"/>
          <w:spacing w:val="-15"/>
          <w:w w:val="110"/>
          <w:sz w:val="20"/>
        </w:rPr>
        <w:t> </w:t>
      </w:r>
      <w:r>
        <w:rPr>
          <w:color w:val="231F20"/>
          <w:w w:val="110"/>
          <w:sz w:val="20"/>
        </w:rPr>
        <w:t>ecológico,</w:t>
      </w:r>
      <w:r>
        <w:rPr>
          <w:color w:val="231F20"/>
          <w:spacing w:val="-15"/>
          <w:w w:val="110"/>
          <w:sz w:val="20"/>
        </w:rPr>
        <w:t> </w:t>
      </w:r>
      <w:r>
        <w:rPr>
          <w:color w:val="231F20"/>
          <w:w w:val="110"/>
          <w:sz w:val="20"/>
        </w:rPr>
        <w:t>con</w:t>
      </w:r>
      <w:r>
        <w:rPr>
          <w:color w:val="231F20"/>
          <w:spacing w:val="-15"/>
          <w:w w:val="110"/>
          <w:sz w:val="20"/>
        </w:rPr>
        <w:t> </w:t>
      </w:r>
      <w:r>
        <w:rPr>
          <w:color w:val="231F20"/>
          <w:w w:val="110"/>
          <w:sz w:val="20"/>
        </w:rPr>
        <w:t>esta</w:t>
      </w:r>
      <w:r>
        <w:rPr>
          <w:color w:val="231F20"/>
          <w:spacing w:val="-15"/>
          <w:w w:val="110"/>
          <w:sz w:val="20"/>
        </w:rPr>
        <w:t> </w:t>
      </w:r>
      <w:r>
        <w:rPr>
          <w:color w:val="231F20"/>
          <w:w w:val="110"/>
          <w:sz w:val="20"/>
        </w:rPr>
        <w:t>concepción</w:t>
      </w:r>
      <w:r>
        <w:rPr>
          <w:color w:val="231F20"/>
          <w:spacing w:val="-15"/>
          <w:w w:val="110"/>
          <w:sz w:val="20"/>
        </w:rPr>
        <w:t> </w:t>
      </w:r>
      <w:r>
        <w:rPr>
          <w:color w:val="231F20"/>
          <w:w w:val="110"/>
          <w:sz w:val="20"/>
        </w:rPr>
        <w:t>energética,</w:t>
      </w:r>
      <w:r>
        <w:rPr>
          <w:color w:val="231F20"/>
          <w:spacing w:val="-15"/>
          <w:w w:val="110"/>
          <w:sz w:val="20"/>
        </w:rPr>
        <w:t> </w:t>
      </w:r>
      <w:r>
        <w:rPr>
          <w:color w:val="231F20"/>
          <w:w w:val="110"/>
          <w:sz w:val="20"/>
        </w:rPr>
        <w:t>inefi- ciente, depredadora de las menguadas reservas de combustibles fósiles, se generan desproporcionadas exhalaciones de gases de efecto invernadero —causa científica demostrada del calenta- miento global (ipcc, 2002) que obtuviera el Premio Nobel de 2007— con nefastas consecuencias para los equilibrios ecológi- cos y la sobrevivencia misma de la vida planetaria; no obstante, persiste una obstinada reticencia oficial a reconocer tal relación de causa-efecto y se posterga de forma indefinida la firma del Protocolo</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Kyoto,</w:t>
      </w:r>
      <w:r>
        <w:rPr>
          <w:color w:val="231F20"/>
          <w:spacing w:val="-12"/>
          <w:w w:val="110"/>
          <w:sz w:val="20"/>
        </w:rPr>
        <w:t> </w:t>
      </w:r>
      <w:r>
        <w:rPr>
          <w:color w:val="231F20"/>
          <w:w w:val="110"/>
          <w:sz w:val="20"/>
        </w:rPr>
        <w:t>para</w:t>
      </w:r>
      <w:r>
        <w:rPr>
          <w:color w:val="231F20"/>
          <w:spacing w:val="-12"/>
          <w:w w:val="110"/>
          <w:sz w:val="20"/>
        </w:rPr>
        <w:t> </w:t>
      </w:r>
      <w:r>
        <w:rPr>
          <w:color w:val="231F20"/>
          <w:w w:val="110"/>
          <w:sz w:val="20"/>
        </w:rPr>
        <w:t>no</w:t>
      </w:r>
      <w:r>
        <w:rPr>
          <w:color w:val="231F20"/>
          <w:spacing w:val="-12"/>
          <w:w w:val="110"/>
          <w:sz w:val="20"/>
        </w:rPr>
        <w:t> </w:t>
      </w:r>
      <w:r>
        <w:rPr>
          <w:color w:val="231F20"/>
          <w:w w:val="110"/>
          <w:sz w:val="20"/>
        </w:rPr>
        <w:t>afectar</w:t>
      </w:r>
      <w:r>
        <w:rPr>
          <w:color w:val="231F20"/>
          <w:spacing w:val="-12"/>
          <w:w w:val="110"/>
          <w:sz w:val="20"/>
        </w:rPr>
        <w:t> </w:t>
      </w:r>
      <w:r>
        <w:rPr>
          <w:color w:val="231F20"/>
          <w:w w:val="110"/>
          <w:sz w:val="20"/>
        </w:rPr>
        <w:t>su</w:t>
      </w:r>
      <w:r>
        <w:rPr>
          <w:color w:val="231F20"/>
          <w:spacing w:val="-12"/>
          <w:w w:val="110"/>
          <w:sz w:val="20"/>
        </w:rPr>
        <w:t> </w:t>
      </w:r>
      <w:r>
        <w:rPr>
          <w:color w:val="231F20"/>
          <w:w w:val="110"/>
          <w:sz w:val="20"/>
        </w:rPr>
        <w:t>estancada</w:t>
      </w:r>
      <w:r>
        <w:rPr>
          <w:color w:val="231F20"/>
          <w:spacing w:val="-12"/>
          <w:w w:val="110"/>
          <w:sz w:val="20"/>
        </w:rPr>
        <w:t> </w:t>
      </w:r>
      <w:r>
        <w:rPr>
          <w:color w:val="231F20"/>
          <w:w w:val="110"/>
          <w:sz w:val="20"/>
        </w:rPr>
        <w:t>competitividad.</w:t>
      </w:r>
    </w:p>
    <w:p>
      <w:pPr>
        <w:pStyle w:val="ListParagraph"/>
        <w:numPr>
          <w:ilvl w:val="0"/>
          <w:numId w:val="4"/>
        </w:numPr>
        <w:tabs>
          <w:tab w:pos="460" w:val="left" w:leader="none"/>
        </w:tabs>
        <w:spacing w:line="261" w:lineRule="auto" w:before="0" w:after="0"/>
        <w:ind w:left="460" w:right="117" w:hanging="160"/>
        <w:jc w:val="both"/>
        <w:rPr>
          <w:sz w:val="20"/>
        </w:rPr>
      </w:pPr>
      <w:r>
        <w:rPr>
          <w:color w:val="231F20"/>
          <w:w w:val="110"/>
          <w:sz w:val="20"/>
        </w:rPr>
        <w:t>La reducción o anulación del financiamiento corporativo y pú- blico</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estratégica</w:t>
      </w:r>
      <w:r>
        <w:rPr>
          <w:color w:val="231F20"/>
          <w:spacing w:val="-21"/>
          <w:w w:val="110"/>
          <w:sz w:val="20"/>
        </w:rPr>
        <w:t> </w:t>
      </w:r>
      <w:r>
        <w:rPr>
          <w:color w:val="231F20"/>
          <w:w w:val="110"/>
          <w:sz w:val="20"/>
        </w:rPr>
        <w:t>investigación</w:t>
      </w:r>
      <w:r>
        <w:rPr>
          <w:color w:val="231F20"/>
          <w:spacing w:val="-21"/>
          <w:w w:val="110"/>
          <w:sz w:val="20"/>
        </w:rPr>
        <w:t> </w:t>
      </w:r>
      <w:r>
        <w:rPr>
          <w:color w:val="231F20"/>
          <w:w w:val="110"/>
          <w:sz w:val="20"/>
        </w:rPr>
        <w:t>fundamental</w:t>
      </w:r>
      <w:r>
        <w:rPr>
          <w:color w:val="231F20"/>
          <w:spacing w:val="-21"/>
          <w:w w:val="110"/>
          <w:sz w:val="20"/>
        </w:rPr>
        <w:t> </w:t>
      </w:r>
      <w:r>
        <w:rPr>
          <w:color w:val="231F20"/>
          <w:w w:val="110"/>
          <w:sz w:val="20"/>
        </w:rPr>
        <w:t>(supercolisiona- </w:t>
      </w:r>
      <w:r>
        <w:rPr>
          <w:color w:val="231F20"/>
          <w:spacing w:val="-5"/>
          <w:w w:val="110"/>
          <w:sz w:val="20"/>
        </w:rPr>
        <w:t>dor, </w:t>
      </w:r>
      <w:r>
        <w:rPr>
          <w:color w:val="231F20"/>
          <w:w w:val="110"/>
          <w:sz w:val="20"/>
        </w:rPr>
        <w:t>células troncales, proyectos de la nasa, etc.), dispersándose la </w:t>
      </w:r>
      <w:r>
        <w:rPr>
          <w:i/>
          <w:color w:val="231F20"/>
          <w:w w:val="110"/>
          <w:sz w:val="20"/>
        </w:rPr>
        <w:t>masa crítica </w:t>
      </w:r>
      <w:r>
        <w:rPr>
          <w:color w:val="231F20"/>
          <w:w w:val="110"/>
          <w:sz w:val="20"/>
        </w:rPr>
        <w:t>de capital humano y tecnológico </w:t>
      </w:r>
      <w:r>
        <w:rPr>
          <w:color w:val="231F20"/>
          <w:spacing w:val="-8"/>
          <w:w w:val="110"/>
          <w:sz w:val="20"/>
        </w:rPr>
        <w:t>y, </w:t>
      </w:r>
      <w:r>
        <w:rPr>
          <w:color w:val="231F20"/>
          <w:w w:val="110"/>
          <w:sz w:val="20"/>
        </w:rPr>
        <w:t>con ello, su capacidad de recuperación vanguardista a futuro, es previsible en un mediano-largo</w:t>
      </w:r>
      <w:r>
        <w:rPr>
          <w:color w:val="231F20"/>
          <w:spacing w:val="28"/>
          <w:w w:val="110"/>
          <w:sz w:val="20"/>
        </w:rPr>
        <w:t> </w:t>
      </w:r>
      <w:r>
        <w:rPr>
          <w:color w:val="231F20"/>
          <w:w w:val="110"/>
          <w:sz w:val="20"/>
        </w:rPr>
        <w:t>plazo.</w:t>
      </w:r>
    </w:p>
    <w:p>
      <w:pPr>
        <w:pStyle w:val="ListParagraph"/>
        <w:numPr>
          <w:ilvl w:val="0"/>
          <w:numId w:val="4"/>
        </w:numPr>
        <w:tabs>
          <w:tab w:pos="460" w:val="left" w:leader="none"/>
        </w:tabs>
        <w:spacing w:line="261" w:lineRule="auto" w:before="0" w:after="0"/>
        <w:ind w:left="460" w:right="117" w:hanging="160"/>
        <w:jc w:val="both"/>
        <w:rPr>
          <w:sz w:val="20"/>
        </w:rPr>
      </w:pPr>
      <w:r>
        <w:rPr>
          <w:color w:val="231F20"/>
          <w:w w:val="110"/>
          <w:sz w:val="20"/>
        </w:rPr>
        <w:t>La</w:t>
      </w:r>
      <w:r>
        <w:rPr>
          <w:color w:val="231F20"/>
          <w:spacing w:val="-17"/>
          <w:w w:val="110"/>
          <w:sz w:val="20"/>
        </w:rPr>
        <w:t> </w:t>
      </w:r>
      <w:r>
        <w:rPr>
          <w:color w:val="231F20"/>
          <w:w w:val="110"/>
          <w:sz w:val="20"/>
        </w:rPr>
        <w:t>deslocalización</w:t>
      </w:r>
      <w:r>
        <w:rPr>
          <w:color w:val="231F20"/>
          <w:spacing w:val="-17"/>
          <w:w w:val="110"/>
          <w:sz w:val="20"/>
        </w:rPr>
        <w:t> </w:t>
      </w:r>
      <w:r>
        <w:rPr>
          <w:i/>
          <w:color w:val="231F20"/>
          <w:w w:val="110"/>
          <w:sz w:val="20"/>
        </w:rPr>
        <w:t>off</w:t>
      </w:r>
      <w:r>
        <w:rPr>
          <w:i/>
          <w:color w:val="231F20"/>
          <w:spacing w:val="-17"/>
          <w:w w:val="110"/>
          <w:sz w:val="20"/>
        </w:rPr>
        <w:t> </w:t>
      </w:r>
      <w:r>
        <w:rPr>
          <w:i/>
          <w:color w:val="231F20"/>
          <w:w w:val="110"/>
          <w:sz w:val="20"/>
        </w:rPr>
        <w:t>shore</w:t>
      </w:r>
      <w:r>
        <w:rPr>
          <w:i/>
          <w:color w:val="231F20"/>
          <w:spacing w:val="-17"/>
          <w:w w:val="110"/>
          <w:sz w:val="20"/>
        </w:rPr>
        <w:t> </w:t>
      </w:r>
      <w:r>
        <w:rPr>
          <w:color w:val="231F20"/>
          <w:w w:val="110"/>
          <w:sz w:val="20"/>
        </w:rPr>
        <w:t>(fuera</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fronteras)</w:t>
      </w:r>
      <w:r>
        <w:rPr>
          <w:i/>
          <w:color w:val="231F20"/>
          <w:w w:val="110"/>
          <w:sz w:val="20"/>
        </w:rPr>
        <w:t>,</w:t>
      </w:r>
      <w:r>
        <w:rPr>
          <w:i/>
          <w:color w:val="231F20"/>
          <w:spacing w:val="-17"/>
          <w:w w:val="110"/>
          <w:sz w:val="20"/>
        </w:rPr>
        <w:t> </w:t>
      </w:r>
      <w:r>
        <w:rPr>
          <w:color w:val="231F20"/>
          <w:w w:val="110"/>
          <w:sz w:val="20"/>
        </w:rPr>
        <w:t>buscando</w:t>
      </w:r>
      <w:r>
        <w:rPr>
          <w:color w:val="231F20"/>
          <w:spacing w:val="-17"/>
          <w:w w:val="110"/>
          <w:sz w:val="20"/>
        </w:rPr>
        <w:t> </w:t>
      </w:r>
      <w:r>
        <w:rPr>
          <w:color w:val="231F20"/>
          <w:w w:val="110"/>
          <w:sz w:val="20"/>
        </w:rPr>
        <w:t>fuerza laboral barata para importantes cadenas productivas, incluidos, como fenómeno novedoso, sus eslabones </w:t>
      </w:r>
      <w:r>
        <w:rPr>
          <w:color w:val="231F20"/>
          <w:w w:val="115"/>
          <w:sz w:val="20"/>
        </w:rPr>
        <w:t>altec </w:t>
      </w:r>
      <w:r>
        <w:rPr>
          <w:color w:val="231F20"/>
          <w:w w:val="110"/>
          <w:sz w:val="20"/>
        </w:rPr>
        <w:t>y de generación de conocimiento, conducente al desmembramiento del núcleo duro de la fuerza laboral en la metrópoli y a la sistematización del robo de cerebros (inmigración selectiva de cuellos blancos desde</w:t>
      </w:r>
      <w:r>
        <w:rPr>
          <w:color w:val="231F20"/>
          <w:spacing w:val="-15"/>
          <w:w w:val="110"/>
          <w:sz w:val="20"/>
        </w:rPr>
        <w:t> </w:t>
      </w:r>
      <w:r>
        <w:rPr>
          <w:color w:val="231F20"/>
          <w:w w:val="110"/>
          <w:sz w:val="20"/>
        </w:rPr>
        <w:t>países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menor</w:t>
      </w:r>
      <w:r>
        <w:rPr>
          <w:color w:val="231F20"/>
          <w:spacing w:val="-15"/>
          <w:w w:val="110"/>
          <w:sz w:val="20"/>
        </w:rPr>
        <w:t> </w:t>
      </w:r>
      <w:r>
        <w:rPr>
          <w:color w:val="231F20"/>
          <w:w w:val="110"/>
          <w:sz w:val="20"/>
        </w:rPr>
        <w:t>nivel</w:t>
      </w:r>
      <w:r>
        <w:rPr>
          <w:color w:val="231F20"/>
          <w:spacing w:val="-15"/>
          <w:w w:val="110"/>
          <w:sz w:val="20"/>
        </w:rPr>
        <w:t> </w:t>
      </w:r>
      <w:r>
        <w:rPr>
          <w:color w:val="231F20"/>
          <w:w w:val="110"/>
          <w:sz w:val="20"/>
        </w:rPr>
        <w:t>salarial).</w:t>
      </w:r>
      <w:r>
        <w:rPr>
          <w:color w:val="231F20"/>
          <w:spacing w:val="-15"/>
          <w:w w:val="110"/>
          <w:sz w:val="20"/>
        </w:rPr>
        <w:t> </w:t>
      </w:r>
      <w:r>
        <w:rPr>
          <w:color w:val="231F20"/>
          <w:w w:val="110"/>
          <w:sz w:val="20"/>
        </w:rPr>
        <w:t>Ambos</w:t>
      </w:r>
      <w:r>
        <w:rPr>
          <w:color w:val="231F20"/>
          <w:spacing w:val="-15"/>
          <w:w w:val="110"/>
          <w:sz w:val="20"/>
        </w:rPr>
        <w:t> </w:t>
      </w:r>
      <w:r>
        <w:rPr>
          <w:color w:val="231F20"/>
          <w:w w:val="110"/>
          <w:sz w:val="20"/>
        </w:rPr>
        <w:t>procesos,</w:t>
      </w:r>
      <w:r>
        <w:rPr>
          <w:color w:val="231F20"/>
          <w:spacing w:val="-15"/>
          <w:w w:val="110"/>
          <w:sz w:val="20"/>
        </w:rPr>
        <w:t> </w:t>
      </w:r>
      <w:r>
        <w:rPr>
          <w:color w:val="231F20"/>
          <w:w w:val="110"/>
          <w:sz w:val="20"/>
        </w:rPr>
        <w:t>causantes de desocupación creciente, pérdida de incentivos para ingresar al</w:t>
      </w:r>
      <w:r>
        <w:rPr>
          <w:color w:val="231F20"/>
          <w:spacing w:val="-12"/>
          <w:w w:val="110"/>
          <w:sz w:val="20"/>
        </w:rPr>
        <w:t> </w:t>
      </w:r>
      <w:r>
        <w:rPr>
          <w:color w:val="231F20"/>
          <w:w w:val="110"/>
          <w:sz w:val="20"/>
        </w:rPr>
        <w:t>sector</w:t>
      </w:r>
      <w:r>
        <w:rPr>
          <w:color w:val="231F20"/>
          <w:spacing w:val="-12"/>
          <w:w w:val="110"/>
          <w:sz w:val="20"/>
        </w:rPr>
        <w:t> </w:t>
      </w:r>
      <w:r>
        <w:rPr>
          <w:color w:val="231F20"/>
          <w:w w:val="110"/>
          <w:sz w:val="20"/>
        </w:rPr>
        <w:t>científico-tecnológico</w:t>
      </w:r>
      <w:r>
        <w:rPr>
          <w:color w:val="231F20"/>
          <w:spacing w:val="-12"/>
          <w:w w:val="110"/>
          <w:sz w:val="20"/>
        </w:rPr>
        <w:t> </w:t>
      </w:r>
      <w:r>
        <w:rPr>
          <w:color w:val="231F20"/>
          <w:w w:val="110"/>
          <w:sz w:val="20"/>
        </w:rPr>
        <w:t>por</w:t>
      </w:r>
      <w:r>
        <w:rPr>
          <w:color w:val="231F20"/>
          <w:spacing w:val="-12"/>
          <w:w w:val="110"/>
          <w:sz w:val="20"/>
        </w:rPr>
        <w:t> </w:t>
      </w:r>
      <w:r>
        <w:rPr>
          <w:color w:val="231F20"/>
          <w:w w:val="110"/>
          <w:sz w:val="20"/>
        </w:rPr>
        <w:t>los</w:t>
      </w:r>
      <w:r>
        <w:rPr>
          <w:color w:val="231F20"/>
          <w:spacing w:val="-12"/>
          <w:w w:val="110"/>
          <w:sz w:val="20"/>
        </w:rPr>
        <w:t> </w:t>
      </w:r>
      <w:r>
        <w:rPr>
          <w:color w:val="231F20"/>
          <w:w w:val="110"/>
          <w:sz w:val="20"/>
        </w:rPr>
        <w:t>jóvenes</w:t>
      </w:r>
      <w:r>
        <w:rPr>
          <w:color w:val="231F20"/>
          <w:spacing w:val="-12"/>
          <w:w w:val="110"/>
          <w:sz w:val="20"/>
        </w:rPr>
        <w:t> </w:t>
      </w:r>
      <w:r>
        <w:rPr>
          <w:color w:val="231F20"/>
          <w:w w:val="110"/>
          <w:sz w:val="20"/>
        </w:rPr>
        <w:t>y</w:t>
      </w:r>
      <w:r>
        <w:rPr>
          <w:color w:val="231F20"/>
          <w:spacing w:val="-12"/>
          <w:w w:val="110"/>
          <w:sz w:val="20"/>
        </w:rPr>
        <w:t> </w:t>
      </w:r>
      <w:r>
        <w:rPr>
          <w:color w:val="231F20"/>
          <w:w w:val="110"/>
          <w:sz w:val="20"/>
        </w:rPr>
        <w:t>del</w:t>
      </w:r>
      <w:r>
        <w:rPr>
          <w:color w:val="231F20"/>
          <w:spacing w:val="-12"/>
          <w:w w:val="110"/>
          <w:sz w:val="20"/>
        </w:rPr>
        <w:t> </w:t>
      </w:r>
      <w:r>
        <w:rPr>
          <w:color w:val="231F20"/>
          <w:w w:val="110"/>
          <w:sz w:val="20"/>
        </w:rPr>
        <w:t>consecuente envejecimiento de los cuellos blancos</w:t>
      </w:r>
      <w:r>
        <w:rPr>
          <w:color w:val="231F20"/>
          <w:spacing w:val="-9"/>
          <w:w w:val="110"/>
          <w:sz w:val="20"/>
        </w:rPr>
        <w:t> </w:t>
      </w:r>
      <w:r>
        <w:rPr>
          <w:color w:val="231F20"/>
          <w:w w:val="110"/>
          <w:sz w:val="20"/>
        </w:rPr>
        <w:t>estadunidenses.</w:t>
      </w:r>
    </w:p>
    <w:p>
      <w:pPr>
        <w:spacing w:after="0" w:line="261" w:lineRule="auto"/>
        <w:jc w:val="both"/>
        <w:rPr>
          <w:sz w:val="20"/>
        </w:rPr>
        <w:sectPr>
          <w:pgSz w:w="7640" w:h="11900"/>
          <w:pgMar w:header="672" w:footer="0" w:top="860" w:bottom="280" w:left="780" w:right="640"/>
        </w:sectPr>
      </w:pPr>
    </w:p>
    <w:p>
      <w:pPr>
        <w:pStyle w:val="BodyText"/>
        <w:spacing w:before="8"/>
        <w:rPr>
          <w:sz w:val="8"/>
        </w:rPr>
      </w:pPr>
    </w:p>
    <w:p>
      <w:pPr>
        <w:pStyle w:val="ListParagraph"/>
        <w:numPr>
          <w:ilvl w:val="0"/>
          <w:numId w:val="4"/>
        </w:numPr>
        <w:tabs>
          <w:tab w:pos="460" w:val="left" w:leader="none"/>
        </w:tabs>
        <w:spacing w:line="261" w:lineRule="auto" w:before="67" w:after="0"/>
        <w:ind w:left="460" w:right="119" w:hanging="160"/>
        <w:jc w:val="both"/>
        <w:rPr>
          <w:sz w:val="20"/>
        </w:rPr>
      </w:pPr>
      <w:r>
        <w:rPr>
          <w:color w:val="231F20"/>
          <w:w w:val="110"/>
          <w:sz w:val="20"/>
        </w:rPr>
        <w:t>La</w:t>
      </w:r>
      <w:r>
        <w:rPr>
          <w:color w:val="231F20"/>
          <w:spacing w:val="-19"/>
          <w:w w:val="110"/>
          <w:sz w:val="20"/>
        </w:rPr>
        <w:t> </w:t>
      </w:r>
      <w:r>
        <w:rPr>
          <w:color w:val="231F20"/>
          <w:w w:val="110"/>
          <w:sz w:val="20"/>
        </w:rPr>
        <w:t>afectación,</w:t>
      </w:r>
      <w:r>
        <w:rPr>
          <w:color w:val="231F20"/>
          <w:spacing w:val="-19"/>
          <w:w w:val="110"/>
          <w:sz w:val="20"/>
        </w:rPr>
        <w:t> </w:t>
      </w:r>
      <w:r>
        <w:rPr>
          <w:color w:val="231F20"/>
          <w:w w:val="110"/>
          <w:sz w:val="20"/>
        </w:rPr>
        <w:t>por</w:t>
      </w:r>
      <w:r>
        <w:rPr>
          <w:color w:val="231F20"/>
          <w:spacing w:val="-19"/>
          <w:w w:val="110"/>
          <w:sz w:val="20"/>
        </w:rPr>
        <w:t> </w:t>
      </w:r>
      <w:r>
        <w:rPr>
          <w:color w:val="231F20"/>
          <w:w w:val="110"/>
          <w:sz w:val="20"/>
        </w:rPr>
        <w:t>la</w:t>
      </w:r>
      <w:r>
        <w:rPr>
          <w:color w:val="231F20"/>
          <w:spacing w:val="-19"/>
          <w:w w:val="110"/>
          <w:sz w:val="20"/>
        </w:rPr>
        <w:t> </w:t>
      </w:r>
      <w:r>
        <w:rPr>
          <w:color w:val="231F20"/>
          <w:w w:val="110"/>
          <w:sz w:val="20"/>
        </w:rPr>
        <w:t>deslocalización,</w:t>
      </w:r>
      <w:r>
        <w:rPr>
          <w:color w:val="231F20"/>
          <w:spacing w:val="-19"/>
          <w:w w:val="110"/>
          <w:sz w:val="20"/>
        </w:rPr>
        <w:t> </w:t>
      </w:r>
      <w:r>
        <w:rPr>
          <w:color w:val="231F20"/>
          <w:w w:val="110"/>
          <w:sz w:val="20"/>
        </w:rPr>
        <w:t>a</w:t>
      </w:r>
      <w:r>
        <w:rPr>
          <w:color w:val="231F20"/>
          <w:spacing w:val="-19"/>
          <w:w w:val="110"/>
          <w:sz w:val="20"/>
        </w:rPr>
        <w:t> </w:t>
      </w:r>
      <w:r>
        <w:rPr>
          <w:color w:val="231F20"/>
          <w:w w:val="110"/>
          <w:sz w:val="20"/>
        </w:rPr>
        <w:t>la</w:t>
      </w:r>
      <w:r>
        <w:rPr>
          <w:color w:val="231F20"/>
          <w:spacing w:val="-19"/>
          <w:w w:val="110"/>
          <w:sz w:val="20"/>
        </w:rPr>
        <w:t> </w:t>
      </w:r>
      <w:r>
        <w:rPr>
          <w:color w:val="231F20"/>
          <w:w w:val="110"/>
          <w:sz w:val="20"/>
        </w:rPr>
        <w:t>fiabilidad</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las</w:t>
      </w:r>
      <w:r>
        <w:rPr>
          <w:color w:val="231F20"/>
          <w:spacing w:val="-19"/>
          <w:w w:val="110"/>
          <w:sz w:val="20"/>
        </w:rPr>
        <w:t> </w:t>
      </w:r>
      <w:r>
        <w:rPr>
          <w:color w:val="231F20"/>
          <w:w w:val="110"/>
          <w:sz w:val="20"/>
        </w:rPr>
        <w:t>estadís- ticas económicas estadunidenses comprometedoras de cálculos manipulados entre los reportes para el pnb y el pib,</w:t>
      </w:r>
      <w:r>
        <w:rPr>
          <w:color w:val="231F20"/>
          <w:spacing w:val="-32"/>
          <w:w w:val="110"/>
          <w:sz w:val="20"/>
        </w:rPr>
        <w:t> </w:t>
      </w:r>
      <w:r>
        <w:rPr>
          <w:color w:val="231F20"/>
          <w:w w:val="110"/>
          <w:sz w:val="20"/>
        </w:rPr>
        <w:t>consistentes, entre</w:t>
      </w:r>
      <w:r>
        <w:rPr>
          <w:color w:val="231F20"/>
          <w:spacing w:val="-5"/>
          <w:w w:val="110"/>
          <w:sz w:val="20"/>
        </w:rPr>
        <w:t> </w:t>
      </w:r>
      <w:r>
        <w:rPr>
          <w:color w:val="231F20"/>
          <w:w w:val="110"/>
          <w:sz w:val="20"/>
        </w:rPr>
        <w:t>otros,</w:t>
      </w:r>
      <w:r>
        <w:rPr>
          <w:color w:val="231F20"/>
          <w:spacing w:val="-5"/>
          <w:w w:val="110"/>
          <w:sz w:val="20"/>
        </w:rPr>
        <w:t> </w:t>
      </w:r>
      <w:r>
        <w:rPr>
          <w:color w:val="231F20"/>
          <w:w w:val="110"/>
          <w:sz w:val="20"/>
        </w:rPr>
        <w:t>en</w:t>
      </w:r>
      <w:r>
        <w:rPr>
          <w:color w:val="231F20"/>
          <w:spacing w:val="-5"/>
          <w:w w:val="110"/>
          <w:sz w:val="20"/>
        </w:rPr>
        <w:t> </w:t>
      </w:r>
      <w:r>
        <w:rPr>
          <w:color w:val="231F20"/>
          <w:w w:val="110"/>
          <w:sz w:val="20"/>
        </w:rPr>
        <w:t>que</w:t>
      </w:r>
      <w:r>
        <w:rPr>
          <w:color w:val="231F20"/>
          <w:spacing w:val="-5"/>
          <w:w w:val="110"/>
          <w:sz w:val="20"/>
        </w:rPr>
        <w:t> </w:t>
      </w:r>
      <w:r>
        <w:rPr>
          <w:color w:val="231F20"/>
          <w:w w:val="110"/>
          <w:sz w:val="20"/>
        </w:rPr>
        <w:t>“la</w:t>
      </w:r>
      <w:r>
        <w:rPr>
          <w:color w:val="231F20"/>
          <w:spacing w:val="-5"/>
          <w:w w:val="110"/>
          <w:sz w:val="20"/>
        </w:rPr>
        <w:t> </w:t>
      </w:r>
      <w:r>
        <w:rPr>
          <w:color w:val="231F20"/>
          <w:w w:val="110"/>
          <w:sz w:val="20"/>
        </w:rPr>
        <w:t>reducción</w:t>
      </w:r>
      <w:r>
        <w:rPr>
          <w:color w:val="231F20"/>
          <w:spacing w:val="-5"/>
          <w:w w:val="110"/>
          <w:sz w:val="20"/>
        </w:rPr>
        <w:t> </w:t>
      </w:r>
      <w:r>
        <w:rPr>
          <w:color w:val="231F20"/>
          <w:w w:val="110"/>
          <w:sz w:val="20"/>
        </w:rPr>
        <w:t>de</w:t>
      </w:r>
      <w:r>
        <w:rPr>
          <w:color w:val="231F20"/>
          <w:spacing w:val="-5"/>
          <w:w w:val="110"/>
          <w:sz w:val="20"/>
        </w:rPr>
        <w:t> </w:t>
      </w:r>
      <w:r>
        <w:rPr>
          <w:color w:val="231F20"/>
          <w:w w:val="110"/>
          <w:sz w:val="20"/>
        </w:rPr>
        <w:t>costos</w:t>
      </w:r>
      <w:r>
        <w:rPr>
          <w:color w:val="231F20"/>
          <w:spacing w:val="-5"/>
          <w:w w:val="110"/>
          <w:sz w:val="20"/>
        </w:rPr>
        <w:t> </w:t>
      </w:r>
      <w:r>
        <w:rPr>
          <w:color w:val="231F20"/>
          <w:w w:val="110"/>
          <w:sz w:val="20"/>
        </w:rPr>
        <w:t>llevada</w:t>
      </w:r>
      <w:r>
        <w:rPr>
          <w:color w:val="231F20"/>
          <w:spacing w:val="-5"/>
          <w:w w:val="110"/>
          <w:sz w:val="20"/>
        </w:rPr>
        <w:t> </w:t>
      </w:r>
      <w:r>
        <w:rPr>
          <w:color w:val="231F20"/>
          <w:w w:val="110"/>
          <w:sz w:val="20"/>
        </w:rPr>
        <w:t>a</w:t>
      </w:r>
      <w:r>
        <w:rPr>
          <w:color w:val="231F20"/>
          <w:spacing w:val="-5"/>
          <w:w w:val="110"/>
          <w:sz w:val="20"/>
        </w:rPr>
        <w:t> </w:t>
      </w:r>
      <w:r>
        <w:rPr>
          <w:color w:val="231F20"/>
          <w:w w:val="110"/>
          <w:sz w:val="20"/>
        </w:rPr>
        <w:t>cabo</w:t>
      </w:r>
      <w:r>
        <w:rPr>
          <w:color w:val="231F20"/>
          <w:spacing w:val="-5"/>
          <w:w w:val="110"/>
          <w:sz w:val="20"/>
        </w:rPr>
        <w:t> </w:t>
      </w:r>
      <w:r>
        <w:rPr>
          <w:color w:val="231F20"/>
          <w:w w:val="110"/>
          <w:sz w:val="20"/>
        </w:rPr>
        <w:t>por</w:t>
      </w:r>
      <w:r>
        <w:rPr>
          <w:color w:val="231F20"/>
          <w:spacing w:val="-5"/>
          <w:w w:val="110"/>
          <w:sz w:val="20"/>
        </w:rPr>
        <w:t> </w:t>
      </w:r>
      <w:r>
        <w:rPr>
          <w:color w:val="231F20"/>
          <w:spacing w:val="-2"/>
          <w:w w:val="110"/>
          <w:sz w:val="20"/>
        </w:rPr>
        <w:t>las </w:t>
      </w:r>
      <w:r>
        <w:rPr>
          <w:color w:val="231F20"/>
          <w:w w:val="110"/>
          <w:sz w:val="20"/>
        </w:rPr>
        <w:t>empresas</w:t>
      </w:r>
      <w:r>
        <w:rPr>
          <w:color w:val="231F20"/>
          <w:spacing w:val="-10"/>
          <w:w w:val="110"/>
          <w:sz w:val="20"/>
        </w:rPr>
        <w:t> </w:t>
      </w:r>
      <w:r>
        <w:rPr>
          <w:color w:val="231F20"/>
          <w:w w:val="110"/>
          <w:sz w:val="20"/>
        </w:rPr>
        <w:t>estadunidenses</w:t>
      </w:r>
      <w:r>
        <w:rPr>
          <w:color w:val="231F20"/>
          <w:spacing w:val="-10"/>
          <w:w w:val="110"/>
          <w:sz w:val="20"/>
        </w:rPr>
        <w:t> </w:t>
      </w:r>
      <w:r>
        <w:rPr>
          <w:color w:val="231F20"/>
          <w:w w:val="110"/>
          <w:sz w:val="20"/>
        </w:rPr>
        <w:t>que</w:t>
      </w:r>
      <w:r>
        <w:rPr>
          <w:color w:val="231F20"/>
          <w:spacing w:val="-10"/>
          <w:w w:val="110"/>
          <w:sz w:val="20"/>
        </w:rPr>
        <w:t> </w:t>
      </w:r>
      <w:r>
        <w:rPr>
          <w:color w:val="231F20"/>
          <w:w w:val="110"/>
          <w:sz w:val="20"/>
        </w:rPr>
        <w:t>producen</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el</w:t>
      </w:r>
      <w:r>
        <w:rPr>
          <w:color w:val="231F20"/>
          <w:spacing w:val="-10"/>
          <w:w w:val="110"/>
          <w:sz w:val="20"/>
        </w:rPr>
        <w:t> </w:t>
      </w:r>
      <w:r>
        <w:rPr>
          <w:color w:val="231F20"/>
          <w:w w:val="110"/>
          <w:sz w:val="20"/>
        </w:rPr>
        <w:t>exterior</w:t>
      </w:r>
      <w:r>
        <w:rPr>
          <w:color w:val="231F20"/>
          <w:spacing w:val="-10"/>
          <w:w w:val="110"/>
          <w:sz w:val="20"/>
        </w:rPr>
        <w:t> </w:t>
      </w:r>
      <w:r>
        <w:rPr>
          <w:color w:val="231F20"/>
          <w:w w:val="110"/>
          <w:sz w:val="20"/>
        </w:rPr>
        <w:t>no</w:t>
      </w:r>
      <w:r>
        <w:rPr>
          <w:color w:val="231F20"/>
          <w:spacing w:val="-10"/>
          <w:w w:val="110"/>
          <w:sz w:val="20"/>
        </w:rPr>
        <w:t> </w:t>
      </w:r>
      <w:r>
        <w:rPr>
          <w:color w:val="231F20"/>
          <w:w w:val="110"/>
          <w:sz w:val="20"/>
        </w:rPr>
        <w:t>se</w:t>
      </w:r>
      <w:r>
        <w:rPr>
          <w:color w:val="231F20"/>
          <w:spacing w:val="-10"/>
          <w:w w:val="110"/>
          <w:sz w:val="20"/>
        </w:rPr>
        <w:t> </w:t>
      </w:r>
      <w:r>
        <w:rPr>
          <w:color w:val="231F20"/>
          <w:w w:val="110"/>
          <w:sz w:val="20"/>
        </w:rPr>
        <w:t>regis-</w:t>
      </w:r>
      <w:r>
        <w:rPr>
          <w:color w:val="231F20"/>
          <w:w w:val="72"/>
          <w:sz w:val="20"/>
        </w:rPr>
        <w:t> </w:t>
      </w:r>
      <w:r>
        <w:rPr>
          <w:color w:val="231F20"/>
          <w:w w:val="110"/>
          <w:sz w:val="20"/>
        </w:rPr>
        <w:t>tre</w:t>
      </w:r>
      <w:r>
        <w:rPr>
          <w:color w:val="231F20"/>
          <w:spacing w:val="-19"/>
          <w:w w:val="110"/>
          <w:sz w:val="20"/>
        </w:rPr>
        <w:t> </w:t>
      </w:r>
      <w:r>
        <w:rPr>
          <w:color w:val="231F20"/>
          <w:w w:val="110"/>
          <w:sz w:val="20"/>
        </w:rPr>
        <w:t>en</w:t>
      </w:r>
      <w:r>
        <w:rPr>
          <w:color w:val="231F20"/>
          <w:spacing w:val="-19"/>
          <w:w w:val="110"/>
          <w:sz w:val="20"/>
        </w:rPr>
        <w:t> </w:t>
      </w:r>
      <w:r>
        <w:rPr>
          <w:color w:val="231F20"/>
          <w:w w:val="110"/>
          <w:sz w:val="20"/>
        </w:rPr>
        <w:t>el</w:t>
      </w:r>
      <w:r>
        <w:rPr>
          <w:color w:val="231F20"/>
          <w:spacing w:val="-19"/>
          <w:w w:val="110"/>
          <w:sz w:val="20"/>
        </w:rPr>
        <w:t> </w:t>
      </w:r>
      <w:r>
        <w:rPr>
          <w:color w:val="231F20"/>
          <w:w w:val="110"/>
          <w:sz w:val="20"/>
        </w:rPr>
        <w:t>crecimiento</w:t>
      </w:r>
      <w:r>
        <w:rPr>
          <w:color w:val="231F20"/>
          <w:spacing w:val="-19"/>
          <w:w w:val="110"/>
          <w:sz w:val="20"/>
        </w:rPr>
        <w:t> </w:t>
      </w:r>
      <w:r>
        <w:rPr>
          <w:color w:val="231F20"/>
          <w:w w:val="110"/>
          <w:sz w:val="20"/>
        </w:rPr>
        <w:t>del</w:t>
      </w:r>
      <w:r>
        <w:rPr>
          <w:color w:val="231F20"/>
          <w:spacing w:val="-19"/>
          <w:w w:val="110"/>
          <w:sz w:val="20"/>
        </w:rPr>
        <w:t> </w:t>
      </w:r>
      <w:r>
        <w:rPr>
          <w:color w:val="231F20"/>
          <w:w w:val="110"/>
          <w:sz w:val="20"/>
        </w:rPr>
        <w:t>pib</w:t>
      </w:r>
      <w:r>
        <w:rPr>
          <w:color w:val="231F20"/>
          <w:spacing w:val="-19"/>
          <w:w w:val="110"/>
          <w:sz w:val="20"/>
        </w:rPr>
        <w:t> </w:t>
      </w:r>
      <w:r>
        <w:rPr>
          <w:color w:val="231F20"/>
          <w:w w:val="110"/>
          <w:sz w:val="20"/>
        </w:rPr>
        <w:t>americano,</w:t>
      </w:r>
      <w:r>
        <w:rPr>
          <w:color w:val="231F20"/>
          <w:spacing w:val="-19"/>
          <w:w w:val="110"/>
          <w:sz w:val="20"/>
        </w:rPr>
        <w:t> </w:t>
      </w:r>
      <w:r>
        <w:rPr>
          <w:color w:val="231F20"/>
          <w:w w:val="110"/>
          <w:sz w:val="20"/>
        </w:rPr>
        <w:t>a</w:t>
      </w:r>
      <w:r>
        <w:rPr>
          <w:color w:val="231F20"/>
          <w:spacing w:val="-19"/>
          <w:w w:val="110"/>
          <w:sz w:val="20"/>
        </w:rPr>
        <w:t> </w:t>
      </w:r>
      <w:r>
        <w:rPr>
          <w:color w:val="231F20"/>
          <w:w w:val="110"/>
          <w:sz w:val="20"/>
        </w:rPr>
        <w:t>la</w:t>
      </w:r>
      <w:r>
        <w:rPr>
          <w:color w:val="231F20"/>
          <w:spacing w:val="-19"/>
          <w:w w:val="110"/>
          <w:sz w:val="20"/>
        </w:rPr>
        <w:t> </w:t>
      </w:r>
      <w:r>
        <w:rPr>
          <w:color w:val="231F20"/>
          <w:w w:val="110"/>
          <w:sz w:val="20"/>
        </w:rPr>
        <w:t>vez</w:t>
      </w:r>
      <w:r>
        <w:rPr>
          <w:color w:val="231F20"/>
          <w:spacing w:val="-19"/>
          <w:w w:val="110"/>
          <w:sz w:val="20"/>
        </w:rPr>
        <w:t> </w:t>
      </w:r>
      <w:r>
        <w:rPr>
          <w:color w:val="231F20"/>
          <w:w w:val="110"/>
          <w:sz w:val="20"/>
        </w:rPr>
        <w:t>que</w:t>
      </w:r>
      <w:r>
        <w:rPr>
          <w:color w:val="231F20"/>
          <w:spacing w:val="-19"/>
          <w:w w:val="110"/>
          <w:sz w:val="20"/>
        </w:rPr>
        <w:t> </w:t>
      </w:r>
      <w:r>
        <w:rPr>
          <w:color w:val="231F20"/>
          <w:w w:val="110"/>
          <w:sz w:val="20"/>
        </w:rPr>
        <w:t>los</w:t>
      </w:r>
      <w:r>
        <w:rPr>
          <w:color w:val="231F20"/>
          <w:spacing w:val="-19"/>
          <w:w w:val="110"/>
          <w:sz w:val="20"/>
        </w:rPr>
        <w:t> </w:t>
      </w:r>
      <w:r>
        <w:rPr>
          <w:color w:val="231F20"/>
          <w:w w:val="110"/>
          <w:sz w:val="20"/>
        </w:rPr>
        <w:t>beneficios productivos</w:t>
      </w:r>
      <w:r>
        <w:rPr>
          <w:color w:val="231F20"/>
          <w:spacing w:val="-9"/>
          <w:w w:val="110"/>
          <w:sz w:val="20"/>
        </w:rPr>
        <w:t> </w:t>
      </w:r>
      <w:r>
        <w:rPr>
          <w:color w:val="231F20"/>
          <w:w w:val="110"/>
          <w:sz w:val="20"/>
        </w:rPr>
        <w:t>obtenidos</w:t>
      </w:r>
      <w:r>
        <w:rPr>
          <w:color w:val="231F20"/>
          <w:spacing w:val="-9"/>
          <w:w w:val="110"/>
          <w:sz w:val="20"/>
        </w:rPr>
        <w:t> </w:t>
      </w:r>
      <w:r>
        <w:rPr>
          <w:color w:val="231F20"/>
          <w:w w:val="110"/>
          <w:sz w:val="20"/>
        </w:rPr>
        <w:t>por</w:t>
      </w:r>
      <w:r>
        <w:rPr>
          <w:color w:val="231F20"/>
          <w:spacing w:val="-9"/>
          <w:w w:val="110"/>
          <w:sz w:val="20"/>
        </w:rPr>
        <w:t> </w:t>
      </w:r>
      <w:r>
        <w:rPr>
          <w:color w:val="231F20"/>
          <w:w w:val="110"/>
          <w:sz w:val="20"/>
        </w:rPr>
        <w:t>las</w:t>
      </w:r>
      <w:r>
        <w:rPr>
          <w:color w:val="231F20"/>
          <w:spacing w:val="-9"/>
          <w:w w:val="110"/>
          <w:sz w:val="20"/>
        </w:rPr>
        <w:t> </w:t>
      </w:r>
      <w:r>
        <w:rPr>
          <w:color w:val="231F20"/>
          <w:w w:val="110"/>
          <w:sz w:val="20"/>
        </w:rPr>
        <w:t>empresas</w:t>
      </w:r>
      <w:r>
        <w:rPr>
          <w:color w:val="231F20"/>
          <w:spacing w:val="-9"/>
          <w:w w:val="110"/>
          <w:sz w:val="20"/>
        </w:rPr>
        <w:t> </w:t>
      </w:r>
      <w:r>
        <w:rPr>
          <w:color w:val="231F20"/>
          <w:w w:val="110"/>
          <w:sz w:val="20"/>
        </w:rPr>
        <w:t>cuando</w:t>
      </w:r>
      <w:r>
        <w:rPr>
          <w:color w:val="231F20"/>
          <w:spacing w:val="-9"/>
          <w:w w:val="110"/>
          <w:sz w:val="20"/>
        </w:rPr>
        <w:t> </w:t>
      </w:r>
      <w:r>
        <w:rPr>
          <w:color w:val="231F20"/>
          <w:w w:val="110"/>
          <w:sz w:val="20"/>
        </w:rPr>
        <w:t>trasladan</w:t>
      </w:r>
      <w:r>
        <w:rPr>
          <w:color w:val="231F20"/>
          <w:spacing w:val="-9"/>
          <w:w w:val="110"/>
          <w:sz w:val="20"/>
        </w:rPr>
        <w:t> </w:t>
      </w:r>
      <w:r>
        <w:rPr>
          <w:color w:val="231F20"/>
          <w:w w:val="110"/>
          <w:sz w:val="20"/>
        </w:rPr>
        <w:t>diseño, investigación y desarrollo fuera del país se registre como creci- miento en la productividad estadunidense”(Houseman,</w:t>
      </w:r>
      <w:r>
        <w:rPr>
          <w:color w:val="231F20"/>
          <w:spacing w:val="-31"/>
          <w:w w:val="110"/>
          <w:sz w:val="20"/>
        </w:rPr>
        <w:t> </w:t>
      </w:r>
      <w:r>
        <w:rPr>
          <w:color w:val="231F20"/>
          <w:spacing w:val="-2"/>
          <w:w w:val="110"/>
          <w:sz w:val="20"/>
        </w:rPr>
        <w:t>2007).</w:t>
      </w:r>
    </w:p>
    <w:p>
      <w:pPr>
        <w:pStyle w:val="ListParagraph"/>
        <w:numPr>
          <w:ilvl w:val="0"/>
          <w:numId w:val="4"/>
        </w:numPr>
        <w:tabs>
          <w:tab w:pos="460" w:val="left" w:leader="none"/>
        </w:tabs>
        <w:spacing w:line="261" w:lineRule="auto" w:before="0" w:after="0"/>
        <w:ind w:left="460" w:right="117" w:hanging="160"/>
        <w:jc w:val="both"/>
        <w:rPr>
          <w:sz w:val="20"/>
        </w:rPr>
      </w:pPr>
      <w:r>
        <w:rPr>
          <w:color w:val="231F20"/>
          <w:w w:val="110"/>
          <w:sz w:val="20"/>
        </w:rPr>
        <w:t>El sobrecomprometimiento de la profesión económica con los hipotéticos beneficios de la deslocalización, el globalismo y la inexistente </w:t>
      </w:r>
      <w:r>
        <w:rPr>
          <w:i/>
          <w:color w:val="231F20"/>
          <w:w w:val="110"/>
          <w:sz w:val="20"/>
        </w:rPr>
        <w:t>nueva economía</w:t>
      </w:r>
      <w:r>
        <w:rPr>
          <w:color w:val="231F20"/>
          <w:w w:val="110"/>
          <w:sz w:val="20"/>
        </w:rPr>
        <w:t>: “el descubrimiento de Susan Hou- seman” —según Paul Craig Roberts, asesor del ex presidente Reagan— “representa una gran amenaza para la ideología eco- nómica del libre mercado, el capital humano y los subsidios a la investigación</w:t>
      </w:r>
      <w:r>
        <w:rPr>
          <w:color w:val="231F20"/>
          <w:spacing w:val="-17"/>
          <w:w w:val="110"/>
          <w:sz w:val="20"/>
        </w:rPr>
        <w:t> </w:t>
      </w:r>
      <w:r>
        <w:rPr>
          <w:color w:val="231F20"/>
          <w:w w:val="110"/>
          <w:sz w:val="20"/>
        </w:rPr>
        <w:t>[…]</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justificación</w:t>
      </w:r>
      <w:r>
        <w:rPr>
          <w:color w:val="231F20"/>
          <w:spacing w:val="-17"/>
          <w:w w:val="110"/>
          <w:sz w:val="20"/>
        </w:rPr>
        <w:t> </w:t>
      </w:r>
      <w:r>
        <w:rPr>
          <w:color w:val="231F20"/>
          <w:w w:val="110"/>
          <w:sz w:val="20"/>
        </w:rPr>
        <w:t>marxista</w:t>
      </w:r>
      <w:r>
        <w:rPr>
          <w:color w:val="231F20"/>
          <w:spacing w:val="-17"/>
          <w:w w:val="110"/>
          <w:sz w:val="20"/>
        </w:rPr>
        <w:t> </w:t>
      </w:r>
      <w:r>
        <w:rPr>
          <w:color w:val="231F20"/>
          <w:w w:val="110"/>
          <w:sz w:val="20"/>
        </w:rPr>
        <w:t>es</w:t>
      </w:r>
      <w:r>
        <w:rPr>
          <w:color w:val="231F20"/>
          <w:spacing w:val="-17"/>
          <w:w w:val="110"/>
          <w:sz w:val="20"/>
        </w:rPr>
        <w:t> </w:t>
      </w:r>
      <w:r>
        <w:rPr>
          <w:color w:val="231F20"/>
          <w:w w:val="110"/>
          <w:sz w:val="20"/>
        </w:rPr>
        <w:t>que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deslocaliza- ción inflaría las ganancias reduciendo los costos laborales, y de ese modo concentraría el incremento de los beneficios en</w:t>
      </w:r>
      <w:r>
        <w:rPr>
          <w:color w:val="231F20"/>
          <w:spacing w:val="-32"/>
          <w:w w:val="110"/>
          <w:sz w:val="20"/>
        </w:rPr>
        <w:t> </w:t>
      </w:r>
      <w:r>
        <w:rPr>
          <w:color w:val="231F20"/>
          <w:w w:val="110"/>
          <w:sz w:val="20"/>
        </w:rPr>
        <w:t>manos de los propietarios y administradores del capital” (Craig,</w:t>
      </w:r>
      <w:r>
        <w:rPr>
          <w:color w:val="231F20"/>
          <w:spacing w:val="15"/>
          <w:w w:val="110"/>
          <w:sz w:val="20"/>
        </w:rPr>
        <w:t> </w:t>
      </w:r>
      <w:r>
        <w:rPr>
          <w:color w:val="231F20"/>
          <w:w w:val="110"/>
          <w:sz w:val="20"/>
        </w:rPr>
        <w:t>2007).</w:t>
      </w:r>
    </w:p>
    <w:p>
      <w:pPr>
        <w:pStyle w:val="ListParagraph"/>
        <w:numPr>
          <w:ilvl w:val="0"/>
          <w:numId w:val="4"/>
        </w:numPr>
        <w:tabs>
          <w:tab w:pos="460" w:val="left" w:leader="none"/>
        </w:tabs>
        <w:spacing w:line="261" w:lineRule="auto" w:before="0" w:after="0"/>
        <w:ind w:left="460" w:right="116" w:hanging="160"/>
        <w:jc w:val="both"/>
        <w:rPr>
          <w:sz w:val="20"/>
        </w:rPr>
      </w:pPr>
      <w:r>
        <w:rPr>
          <w:color w:val="231F20"/>
          <w:w w:val="105"/>
          <w:sz w:val="20"/>
        </w:rPr>
        <w:t>En el discurso electoral y en las decisiones de política de los personeros del </w:t>
      </w:r>
      <w:r>
        <w:rPr>
          <w:i/>
          <w:color w:val="231F20"/>
          <w:w w:val="105"/>
          <w:sz w:val="20"/>
        </w:rPr>
        <w:t>establishment </w:t>
      </w:r>
      <w:r>
        <w:rPr>
          <w:color w:val="231F20"/>
          <w:w w:val="105"/>
          <w:sz w:val="20"/>
        </w:rPr>
        <w:t>con frecuencia se acude a posiciones anticientíficas, por ejemplo, de carácter </w:t>
      </w:r>
      <w:r>
        <w:rPr>
          <w:i/>
          <w:color w:val="231F20"/>
          <w:w w:val="105"/>
          <w:sz w:val="20"/>
        </w:rPr>
        <w:t>creacionista, fundamenta- </w:t>
      </w:r>
      <w:r>
        <w:rPr>
          <w:i/>
          <w:color w:val="231F20"/>
          <w:w w:val="105"/>
          <w:sz w:val="20"/>
        </w:rPr>
        <w:t>lista </w:t>
      </w:r>
      <w:r>
        <w:rPr>
          <w:color w:val="231F20"/>
          <w:w w:val="105"/>
          <w:sz w:val="20"/>
        </w:rPr>
        <w:t>o de </w:t>
      </w:r>
      <w:r>
        <w:rPr>
          <w:i/>
          <w:color w:val="231F20"/>
          <w:w w:val="105"/>
          <w:sz w:val="20"/>
        </w:rPr>
        <w:t>diseño inteligente </w:t>
      </w:r>
      <w:r>
        <w:rPr>
          <w:color w:val="231F20"/>
          <w:w w:val="105"/>
          <w:sz w:val="20"/>
        </w:rPr>
        <w:t>retrotrayendo a significativos sectores de la población hacia niveles superados por la cultura mundial y las  propias  vanguardias</w:t>
      </w:r>
      <w:r>
        <w:rPr>
          <w:color w:val="231F20"/>
          <w:spacing w:val="34"/>
          <w:w w:val="105"/>
          <w:sz w:val="20"/>
        </w:rPr>
        <w:t> </w:t>
      </w:r>
      <w:r>
        <w:rPr>
          <w:color w:val="231F20"/>
          <w:w w:val="105"/>
          <w:sz w:val="20"/>
        </w:rPr>
        <w:t>estadunidenses.</w:t>
      </w:r>
    </w:p>
    <w:p>
      <w:pPr>
        <w:pStyle w:val="ListParagraph"/>
        <w:numPr>
          <w:ilvl w:val="0"/>
          <w:numId w:val="4"/>
        </w:numPr>
        <w:tabs>
          <w:tab w:pos="460" w:val="left" w:leader="none"/>
        </w:tabs>
        <w:spacing w:line="261" w:lineRule="auto" w:before="0" w:after="0"/>
        <w:ind w:left="460" w:right="114" w:hanging="160"/>
        <w:jc w:val="both"/>
        <w:rPr>
          <w:sz w:val="20"/>
        </w:rPr>
      </w:pPr>
      <w:r>
        <w:rPr>
          <w:color w:val="231F20"/>
          <w:w w:val="105"/>
          <w:sz w:val="20"/>
        </w:rPr>
        <w:t>La ética de la vida avanza muy rezagada tras la masificación social incontrolada de los adelantos científico-tecnológicos, viéndose subyugada a los intereses avalados por la llamada, eufemística- mente,  “ética  del</w:t>
      </w:r>
      <w:r>
        <w:rPr>
          <w:color w:val="231F20"/>
          <w:spacing w:val="20"/>
          <w:w w:val="105"/>
          <w:sz w:val="20"/>
        </w:rPr>
        <w:t> </w:t>
      </w:r>
      <w:r>
        <w:rPr>
          <w:color w:val="231F20"/>
          <w:w w:val="105"/>
          <w:sz w:val="20"/>
        </w:rPr>
        <w:t>mercado”.</w:t>
      </w:r>
    </w:p>
    <w:p>
      <w:pPr>
        <w:pStyle w:val="ListParagraph"/>
        <w:numPr>
          <w:ilvl w:val="0"/>
          <w:numId w:val="4"/>
        </w:numPr>
        <w:tabs>
          <w:tab w:pos="460" w:val="left" w:leader="none"/>
        </w:tabs>
        <w:spacing w:line="261" w:lineRule="auto" w:before="0" w:after="0"/>
        <w:ind w:left="460" w:right="116" w:hanging="160"/>
        <w:jc w:val="both"/>
        <w:rPr>
          <w:sz w:val="20"/>
        </w:rPr>
      </w:pPr>
      <w:r>
        <w:rPr>
          <w:color w:val="231F20"/>
          <w:w w:val="110"/>
          <w:sz w:val="20"/>
        </w:rPr>
        <w:t>La posición científicamente fundamentada y éticamente com- prometida, ha tenido que enfrentar enormes</w:t>
      </w:r>
      <w:r>
        <w:rPr>
          <w:color w:val="231F20"/>
          <w:spacing w:val="3"/>
          <w:w w:val="110"/>
          <w:sz w:val="20"/>
        </w:rPr>
        <w:t> </w:t>
      </w:r>
      <w:r>
        <w:rPr>
          <w:color w:val="231F20"/>
          <w:w w:val="110"/>
          <w:sz w:val="20"/>
        </w:rPr>
        <w:t>obstáculos para</w:t>
      </w:r>
      <w:r>
        <w:rPr>
          <w:color w:val="231F20"/>
          <w:spacing w:val="1"/>
          <w:w w:val="112"/>
          <w:sz w:val="20"/>
        </w:rPr>
        <w:t> </w:t>
      </w:r>
      <w:r>
        <w:rPr>
          <w:color w:val="231F20"/>
          <w:w w:val="110"/>
          <w:sz w:val="20"/>
        </w:rPr>
        <w:t>abrirse algún espacio tras prolongados bregares por el triunfo del sentido común, ante cada innovación comercial, frente a los poderosos intereses corporativos respaldados por los </w:t>
      </w:r>
      <w:r>
        <w:rPr>
          <w:i/>
          <w:color w:val="231F20"/>
          <w:w w:val="110"/>
          <w:sz w:val="20"/>
        </w:rPr>
        <w:t>media </w:t>
      </w:r>
      <w:r>
        <w:rPr>
          <w:color w:val="231F20"/>
          <w:w w:val="110"/>
          <w:sz w:val="20"/>
        </w:rPr>
        <w:t>y la agnóstica tolerancia</w:t>
      </w:r>
      <w:r>
        <w:rPr>
          <w:color w:val="231F20"/>
          <w:spacing w:val="-27"/>
          <w:w w:val="110"/>
          <w:sz w:val="20"/>
        </w:rPr>
        <w:t> </w:t>
      </w:r>
      <w:r>
        <w:rPr>
          <w:color w:val="231F20"/>
          <w:w w:val="110"/>
          <w:sz w:val="20"/>
        </w:rPr>
        <w:t>oficial.</w:t>
      </w:r>
    </w:p>
    <w:p>
      <w:pPr>
        <w:pStyle w:val="ListParagraph"/>
        <w:numPr>
          <w:ilvl w:val="0"/>
          <w:numId w:val="4"/>
        </w:numPr>
        <w:tabs>
          <w:tab w:pos="460" w:val="left" w:leader="none"/>
        </w:tabs>
        <w:spacing w:line="261" w:lineRule="auto" w:before="0" w:after="0"/>
        <w:ind w:left="460" w:right="119" w:hanging="160"/>
        <w:jc w:val="both"/>
        <w:rPr>
          <w:sz w:val="20"/>
        </w:rPr>
      </w:pPr>
      <w:r>
        <w:rPr>
          <w:color w:val="231F20"/>
          <w:w w:val="110"/>
          <w:sz w:val="20"/>
        </w:rPr>
        <w:t>Sobre el hipertrófico y creciente presupuesto militar (el mayor del</w:t>
      </w:r>
      <w:r>
        <w:rPr>
          <w:color w:val="231F20"/>
          <w:spacing w:val="-8"/>
          <w:w w:val="110"/>
          <w:sz w:val="20"/>
        </w:rPr>
        <w:t> </w:t>
      </w:r>
      <w:r>
        <w:rPr>
          <w:color w:val="231F20"/>
          <w:w w:val="110"/>
          <w:sz w:val="20"/>
        </w:rPr>
        <w:t>planeta,</w:t>
      </w:r>
      <w:r>
        <w:rPr>
          <w:color w:val="231F20"/>
          <w:spacing w:val="-8"/>
          <w:w w:val="110"/>
          <w:sz w:val="20"/>
        </w:rPr>
        <w:t> </w:t>
      </w:r>
      <w:r>
        <w:rPr>
          <w:color w:val="231F20"/>
          <w:w w:val="110"/>
          <w:sz w:val="20"/>
        </w:rPr>
        <w:t>usurpador</w:t>
      </w:r>
      <w:r>
        <w:rPr>
          <w:color w:val="231F20"/>
          <w:spacing w:val="-8"/>
          <w:w w:val="110"/>
          <w:sz w:val="20"/>
        </w:rPr>
        <w:t> </w:t>
      </w:r>
      <w:r>
        <w:rPr>
          <w:color w:val="231F20"/>
          <w:w w:val="110"/>
          <w:sz w:val="20"/>
        </w:rPr>
        <w:t>del</w:t>
      </w:r>
      <w:r>
        <w:rPr>
          <w:color w:val="231F20"/>
          <w:spacing w:val="-8"/>
          <w:w w:val="110"/>
          <w:sz w:val="20"/>
        </w:rPr>
        <w:t> </w:t>
      </w:r>
      <w:r>
        <w:rPr>
          <w:color w:val="231F20"/>
          <w:w w:val="110"/>
          <w:sz w:val="20"/>
        </w:rPr>
        <w:t>contribuyente</w:t>
      </w:r>
      <w:r>
        <w:rPr>
          <w:color w:val="231F20"/>
          <w:spacing w:val="-8"/>
          <w:w w:val="110"/>
          <w:sz w:val="20"/>
        </w:rPr>
        <w:t> </w:t>
      </w:r>
      <w:r>
        <w:rPr>
          <w:color w:val="231F20"/>
          <w:w w:val="110"/>
          <w:sz w:val="20"/>
        </w:rPr>
        <w:t>y</w:t>
      </w:r>
      <w:r>
        <w:rPr>
          <w:color w:val="231F20"/>
          <w:spacing w:val="-8"/>
          <w:w w:val="110"/>
          <w:sz w:val="20"/>
        </w:rPr>
        <w:t> </w:t>
      </w:r>
      <w:r>
        <w:rPr>
          <w:color w:val="231F20"/>
          <w:w w:val="110"/>
          <w:sz w:val="20"/>
        </w:rPr>
        <w:t>del</w:t>
      </w:r>
      <w:r>
        <w:rPr>
          <w:color w:val="231F20"/>
          <w:spacing w:val="-8"/>
          <w:w w:val="110"/>
          <w:sz w:val="20"/>
        </w:rPr>
        <w:t> </w:t>
      </w:r>
      <w:r>
        <w:rPr>
          <w:color w:val="231F20"/>
          <w:w w:val="110"/>
          <w:sz w:val="20"/>
        </w:rPr>
        <w:t>bienestar</w:t>
      </w:r>
      <w:r>
        <w:rPr>
          <w:color w:val="231F20"/>
          <w:spacing w:val="-8"/>
          <w:w w:val="110"/>
          <w:sz w:val="20"/>
        </w:rPr>
        <w:t> </w:t>
      </w:r>
      <w:r>
        <w:rPr>
          <w:color w:val="231F20"/>
          <w:w w:val="110"/>
          <w:sz w:val="20"/>
        </w:rPr>
        <w:t>social</w:t>
      </w:r>
      <w:r>
        <w:rPr>
          <w:color w:val="231F20"/>
          <w:spacing w:val="-8"/>
          <w:w w:val="110"/>
          <w:sz w:val="20"/>
        </w:rPr>
        <w:t> </w:t>
      </w:r>
      <w:r>
        <w:rPr>
          <w:color w:val="231F20"/>
          <w:w w:val="110"/>
          <w:sz w:val="20"/>
        </w:rPr>
        <w:t>de la nación estadunidense, poseedora además de la mayor deuda interna</w:t>
      </w:r>
      <w:r>
        <w:rPr>
          <w:color w:val="231F20"/>
          <w:spacing w:val="-17"/>
          <w:w w:val="110"/>
          <w:sz w:val="20"/>
        </w:rPr>
        <w:t> </w:t>
      </w:r>
      <w:r>
        <w:rPr>
          <w:color w:val="231F20"/>
          <w:w w:val="110"/>
          <w:sz w:val="20"/>
        </w:rPr>
        <w:t>y</w:t>
      </w:r>
      <w:r>
        <w:rPr>
          <w:color w:val="231F20"/>
          <w:spacing w:val="-17"/>
          <w:w w:val="110"/>
          <w:sz w:val="20"/>
        </w:rPr>
        <w:t> </w:t>
      </w:r>
      <w:r>
        <w:rPr>
          <w:color w:val="231F20"/>
          <w:w w:val="110"/>
          <w:sz w:val="20"/>
        </w:rPr>
        <w:t>externa</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historia),</w:t>
      </w:r>
      <w:r>
        <w:rPr>
          <w:color w:val="231F20"/>
          <w:spacing w:val="-17"/>
          <w:w w:val="110"/>
          <w:sz w:val="20"/>
        </w:rPr>
        <w:t> </w:t>
      </w:r>
      <w:r>
        <w:rPr>
          <w:color w:val="231F20"/>
          <w:w w:val="110"/>
          <w:sz w:val="20"/>
        </w:rPr>
        <w:t>por</w:t>
      </w:r>
      <w:r>
        <w:rPr>
          <w:color w:val="231F20"/>
          <w:spacing w:val="-17"/>
          <w:w w:val="110"/>
          <w:sz w:val="20"/>
        </w:rPr>
        <w:t> </w:t>
      </w:r>
      <w:r>
        <w:rPr>
          <w:color w:val="231F20"/>
          <w:w w:val="110"/>
          <w:sz w:val="20"/>
        </w:rPr>
        <w:t>un</w:t>
      </w:r>
      <w:r>
        <w:rPr>
          <w:color w:val="231F20"/>
          <w:spacing w:val="-17"/>
          <w:w w:val="110"/>
          <w:sz w:val="20"/>
        </w:rPr>
        <w:t> </w:t>
      </w:r>
      <w:r>
        <w:rPr>
          <w:color w:val="231F20"/>
          <w:w w:val="110"/>
          <w:sz w:val="20"/>
        </w:rPr>
        <w:t>lado,</w:t>
      </w:r>
      <w:r>
        <w:rPr>
          <w:color w:val="231F20"/>
          <w:spacing w:val="-17"/>
          <w:w w:val="110"/>
          <w:sz w:val="20"/>
        </w:rPr>
        <w:t> </w:t>
      </w:r>
      <w:r>
        <w:rPr>
          <w:color w:val="231F20"/>
          <w:w w:val="110"/>
          <w:sz w:val="20"/>
        </w:rPr>
        <w:t>y</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las</w:t>
      </w:r>
      <w:r>
        <w:rPr>
          <w:color w:val="231F20"/>
          <w:spacing w:val="-17"/>
          <w:w w:val="110"/>
          <w:sz w:val="20"/>
        </w:rPr>
        <w:t> </w:t>
      </w:r>
      <w:r>
        <w:rPr>
          <w:color w:val="231F20"/>
          <w:w w:val="110"/>
          <w:sz w:val="20"/>
        </w:rPr>
        <w:t>insostenibles</w:t>
      </w:r>
    </w:p>
    <w:p>
      <w:pPr>
        <w:spacing w:after="0" w:line="261" w:lineRule="auto"/>
        <w:jc w:val="both"/>
        <w:rPr>
          <w:sz w:val="20"/>
        </w:rPr>
        <w:sectPr>
          <w:pgSz w:w="7640" w:h="11900"/>
          <w:pgMar w:header="672" w:footer="0" w:top="860" w:bottom="280" w:left="660" w:right="760"/>
        </w:sectPr>
      </w:pPr>
    </w:p>
    <w:p>
      <w:pPr>
        <w:pStyle w:val="BodyText"/>
        <w:spacing w:before="8"/>
        <w:rPr>
          <w:sz w:val="8"/>
        </w:rPr>
      </w:pPr>
    </w:p>
    <w:p>
      <w:pPr>
        <w:pStyle w:val="BodyText"/>
        <w:spacing w:line="261" w:lineRule="auto" w:before="67"/>
        <w:ind w:left="460" w:right="116"/>
        <w:jc w:val="both"/>
      </w:pPr>
      <w:r>
        <w:rPr>
          <w:color w:val="231F20"/>
          <w:w w:val="105"/>
        </w:rPr>
        <w:t>inequidades en las relaciones </w:t>
      </w:r>
      <w:r>
        <w:rPr>
          <w:color w:val="231F20"/>
          <w:spacing w:val="-4"/>
          <w:w w:val="105"/>
        </w:rPr>
        <w:t>norte-sur, </w:t>
      </w:r>
      <w:r>
        <w:rPr>
          <w:color w:val="231F20"/>
          <w:w w:val="105"/>
        </w:rPr>
        <w:t>por el otro, existe </w:t>
      </w:r>
      <w:r>
        <w:rPr>
          <w:color w:val="231F20"/>
          <w:spacing w:val="-2"/>
          <w:w w:val="105"/>
        </w:rPr>
        <w:t>una </w:t>
      </w:r>
      <w:r>
        <w:rPr>
          <w:color w:val="231F20"/>
          <w:w w:val="105"/>
        </w:rPr>
        <w:t>prolífera literatura que apunta hacia  el  inminente  agotamiento  del referido modelo reproductivo, movido por su única función- objetivo, la plusvalía extraordinaria. Ello, sustentándose en la aberrante</w:t>
      </w:r>
      <w:r>
        <w:rPr>
          <w:color w:val="231F20"/>
          <w:spacing w:val="-27"/>
          <w:w w:val="105"/>
        </w:rPr>
        <w:t> </w:t>
      </w:r>
      <w:r>
        <w:rPr>
          <w:color w:val="231F20"/>
          <w:w w:val="105"/>
        </w:rPr>
        <w:t>inventiva</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i/>
          <w:color w:val="231F20"/>
          <w:w w:val="105"/>
        </w:rPr>
        <w:t>enemigos</w:t>
      </w:r>
      <w:r>
        <w:rPr>
          <w:i/>
          <w:color w:val="231F20"/>
          <w:spacing w:val="-27"/>
          <w:w w:val="105"/>
        </w:rPr>
        <w:t> </w:t>
      </w:r>
      <w:r>
        <w:rPr>
          <w:i/>
          <w:color w:val="231F20"/>
          <w:w w:val="105"/>
        </w:rPr>
        <w:t>en</w:t>
      </w:r>
      <w:r>
        <w:rPr>
          <w:i/>
          <w:color w:val="231F20"/>
          <w:spacing w:val="-27"/>
          <w:w w:val="105"/>
        </w:rPr>
        <w:t> </w:t>
      </w:r>
      <w:r>
        <w:rPr>
          <w:i/>
          <w:color w:val="231F20"/>
          <w:w w:val="105"/>
        </w:rPr>
        <w:t>60</w:t>
      </w:r>
      <w:r>
        <w:rPr>
          <w:i/>
          <w:color w:val="231F20"/>
          <w:spacing w:val="-27"/>
          <w:w w:val="105"/>
        </w:rPr>
        <w:t> </w:t>
      </w:r>
      <w:r>
        <w:rPr>
          <w:i/>
          <w:color w:val="231F20"/>
          <w:w w:val="105"/>
        </w:rPr>
        <w:t>o</w:t>
      </w:r>
      <w:r>
        <w:rPr>
          <w:i/>
          <w:color w:val="231F20"/>
          <w:spacing w:val="-27"/>
          <w:w w:val="105"/>
        </w:rPr>
        <w:t> </w:t>
      </w:r>
      <w:r>
        <w:rPr>
          <w:i/>
          <w:color w:val="231F20"/>
          <w:w w:val="105"/>
        </w:rPr>
        <w:t>más</w:t>
      </w:r>
      <w:r>
        <w:rPr>
          <w:i/>
          <w:color w:val="231F20"/>
          <w:spacing w:val="-27"/>
          <w:w w:val="105"/>
        </w:rPr>
        <w:t> </w:t>
      </w:r>
      <w:r>
        <w:rPr>
          <w:i/>
          <w:color w:val="231F20"/>
          <w:w w:val="105"/>
        </w:rPr>
        <w:t>rincones</w:t>
      </w:r>
      <w:r>
        <w:rPr>
          <w:i/>
          <w:color w:val="231F20"/>
          <w:spacing w:val="-27"/>
          <w:w w:val="105"/>
        </w:rPr>
        <w:t> </w:t>
      </w:r>
      <w:r>
        <w:rPr>
          <w:i/>
          <w:color w:val="231F20"/>
          <w:spacing w:val="-3"/>
          <w:w w:val="105"/>
        </w:rPr>
        <w:t>oscuros,</w:t>
      </w:r>
      <w:r>
        <w:rPr>
          <w:i/>
          <w:color w:val="231F20"/>
          <w:spacing w:val="-27"/>
          <w:w w:val="105"/>
        </w:rPr>
        <w:t> </w:t>
      </w:r>
      <w:r>
        <w:rPr>
          <w:color w:val="231F20"/>
          <w:spacing w:val="-2"/>
          <w:w w:val="105"/>
        </w:rPr>
        <w:t>con </w:t>
      </w:r>
      <w:r>
        <w:rPr>
          <w:color w:val="231F20"/>
          <w:w w:val="105"/>
        </w:rPr>
        <w:t>las consecuentes intervenciones y guerras de rapiña alrededor de todo el </w:t>
      </w:r>
      <w:r>
        <w:rPr>
          <w:color w:val="231F20"/>
          <w:spacing w:val="-2"/>
          <w:w w:val="105"/>
        </w:rPr>
        <w:t>mundo, </w:t>
      </w:r>
      <w:r>
        <w:rPr>
          <w:color w:val="231F20"/>
          <w:w w:val="105"/>
        </w:rPr>
        <w:t>en las que, por cierto, nunca logran </w:t>
      </w:r>
      <w:r>
        <w:rPr>
          <w:color w:val="231F20"/>
          <w:spacing w:val="-5"/>
          <w:w w:val="105"/>
        </w:rPr>
        <w:t>vencer, </w:t>
      </w:r>
      <w:r>
        <w:rPr>
          <w:color w:val="231F20"/>
          <w:w w:val="105"/>
        </w:rPr>
        <w:t>a pesar de todas sus supremacías, incluida la </w:t>
      </w:r>
      <w:r>
        <w:rPr>
          <w:color w:val="231F20"/>
          <w:spacing w:val="31"/>
          <w:w w:val="105"/>
        </w:rPr>
        <w:t> </w:t>
      </w:r>
      <w:r>
        <w:rPr>
          <w:color w:val="231F20"/>
          <w:w w:val="105"/>
        </w:rPr>
        <w:t>científico-tecnológica.</w:t>
      </w:r>
    </w:p>
    <w:p>
      <w:pPr>
        <w:pStyle w:val="BodyText"/>
        <w:spacing w:before="8"/>
        <w:rPr>
          <w:sz w:val="21"/>
        </w:rPr>
      </w:pPr>
    </w:p>
    <w:p>
      <w:pPr>
        <w:pStyle w:val="BodyText"/>
        <w:spacing w:line="261" w:lineRule="auto"/>
        <w:ind w:left="100" w:right="117" w:firstLine="240"/>
        <w:jc w:val="both"/>
      </w:pPr>
      <w:r>
        <w:rPr>
          <w:color w:val="231F20"/>
          <w:w w:val="110"/>
        </w:rPr>
        <w:t>Como resultado, surgen fuerzas, fuera y dentro del</w:t>
      </w:r>
      <w:r>
        <w:rPr>
          <w:color w:val="231F20"/>
          <w:spacing w:val="-13"/>
          <w:w w:val="110"/>
        </w:rPr>
        <w:t> </w:t>
      </w:r>
      <w:r>
        <w:rPr>
          <w:i/>
          <w:color w:val="231F20"/>
          <w:w w:val="110"/>
        </w:rPr>
        <w:t>establishment, </w:t>
      </w:r>
      <w:r>
        <w:rPr>
          <w:color w:val="231F20"/>
          <w:w w:val="110"/>
        </w:rPr>
        <w:t>que reclaman una función sostenida de cambio, de abrirle paso a un modelo inteligente con voluntad política, que extraiga al sistema de su prolongado atolladero ético y estructural, no solo ante la crisis de hegemonía exterior, sino, principalmente, ante su propia población, por su incompatibilidad con un proyecto societal sostenible a</w:t>
      </w:r>
      <w:r>
        <w:rPr>
          <w:color w:val="231F20"/>
          <w:spacing w:val="-28"/>
          <w:w w:val="110"/>
        </w:rPr>
        <w:t> </w:t>
      </w:r>
      <w:r>
        <w:rPr>
          <w:color w:val="231F20"/>
          <w:w w:val="110"/>
        </w:rPr>
        <w:t>futuro, centrado en la vida y basado en el conocimiento de la nación y de la humanidad. Por primera vez en una campaña electoral, el candidato Barack</w:t>
      </w:r>
      <w:r>
        <w:rPr>
          <w:color w:val="231F20"/>
          <w:spacing w:val="-12"/>
          <w:w w:val="110"/>
        </w:rPr>
        <w:t> </w:t>
      </w:r>
      <w:r>
        <w:rPr>
          <w:color w:val="231F20"/>
          <w:w w:val="110"/>
        </w:rPr>
        <w:t>Obama</w:t>
      </w:r>
      <w:r>
        <w:rPr>
          <w:color w:val="231F20"/>
          <w:spacing w:val="-12"/>
          <w:w w:val="110"/>
        </w:rPr>
        <w:t> </w:t>
      </w:r>
      <w:r>
        <w:rPr>
          <w:color w:val="231F20"/>
          <w:w w:val="110"/>
        </w:rPr>
        <w:t>traería</w:t>
      </w:r>
      <w:r>
        <w:rPr>
          <w:color w:val="231F20"/>
          <w:spacing w:val="-12"/>
          <w:w w:val="110"/>
        </w:rPr>
        <w:t> </w:t>
      </w:r>
      <w:r>
        <w:rPr>
          <w:color w:val="231F20"/>
          <w:w w:val="110"/>
        </w:rPr>
        <w:t>al</w:t>
      </w:r>
      <w:r>
        <w:rPr>
          <w:color w:val="231F20"/>
          <w:spacing w:val="-12"/>
          <w:w w:val="110"/>
        </w:rPr>
        <w:t> </w:t>
      </w:r>
      <w:r>
        <w:rPr>
          <w:color w:val="231F20"/>
          <w:w w:val="110"/>
        </w:rPr>
        <w:t>debate</w:t>
      </w:r>
      <w:r>
        <w:rPr>
          <w:color w:val="231F20"/>
          <w:spacing w:val="-12"/>
          <w:w w:val="110"/>
        </w:rPr>
        <w:t> </w:t>
      </w:r>
      <w:r>
        <w:rPr>
          <w:color w:val="231F20"/>
          <w:w w:val="110"/>
        </w:rPr>
        <w:t>temas</w:t>
      </w:r>
      <w:r>
        <w:rPr>
          <w:color w:val="231F20"/>
          <w:spacing w:val="-12"/>
          <w:w w:val="110"/>
        </w:rPr>
        <w:t> </w:t>
      </w:r>
      <w:r>
        <w:rPr>
          <w:color w:val="231F20"/>
          <w:w w:val="110"/>
        </w:rPr>
        <w:t>científicos</w:t>
      </w:r>
      <w:r>
        <w:rPr>
          <w:color w:val="231F20"/>
          <w:spacing w:val="-12"/>
          <w:w w:val="110"/>
        </w:rPr>
        <w:t> </w:t>
      </w:r>
      <w:r>
        <w:rPr>
          <w:color w:val="231F20"/>
          <w:w w:val="110"/>
        </w:rPr>
        <w:t>de</w:t>
      </w:r>
      <w:r>
        <w:rPr>
          <w:color w:val="231F20"/>
          <w:spacing w:val="-12"/>
          <w:w w:val="110"/>
        </w:rPr>
        <w:t> </w:t>
      </w:r>
      <w:r>
        <w:rPr>
          <w:color w:val="231F20"/>
          <w:w w:val="110"/>
        </w:rPr>
        <w:t>tal</w:t>
      </w:r>
      <w:r>
        <w:rPr>
          <w:color w:val="231F20"/>
          <w:spacing w:val="-12"/>
          <w:w w:val="110"/>
        </w:rPr>
        <w:t> </w:t>
      </w:r>
      <w:r>
        <w:rPr>
          <w:color w:val="231F20"/>
          <w:w w:val="110"/>
        </w:rPr>
        <w:t>trascendencia estratégica (Nature,</w:t>
      </w:r>
      <w:r>
        <w:rPr>
          <w:color w:val="231F20"/>
          <w:spacing w:val="12"/>
          <w:w w:val="110"/>
        </w:rPr>
        <w:t> </w:t>
      </w:r>
      <w:r>
        <w:rPr>
          <w:color w:val="231F20"/>
          <w:w w:val="110"/>
        </w:rPr>
        <w:t>2008).</w:t>
      </w:r>
    </w:p>
    <w:p>
      <w:pPr>
        <w:pStyle w:val="BodyText"/>
        <w:spacing w:line="261" w:lineRule="auto"/>
        <w:ind w:left="100" w:right="117" w:firstLine="240"/>
        <w:jc w:val="both"/>
        <w:rPr>
          <w:i/>
        </w:rPr>
      </w:pPr>
      <w:r>
        <w:rPr>
          <w:color w:val="231F20"/>
          <w:w w:val="105"/>
        </w:rPr>
        <w:t>De las vías de solución de este complejo problema —al borde del colapso— dependerán no sólo la sobrevivencia o metamorfosis del imperio, sino la de la propia vida planetaria. Es en esta situación que   se conceptualiza la crisis sistémico-estructural de Estados Unidos en la esfera esencial de sus fuerzas productivas y relaciones de producción, </w:t>
      </w:r>
      <w:r>
        <w:rPr>
          <w:color w:val="231F20"/>
        </w:rPr>
        <w:t>la</w:t>
      </w:r>
      <w:r>
        <w:rPr>
          <w:color w:val="231F20"/>
          <w:spacing w:val="-7"/>
        </w:rPr>
        <w:t> </w:t>
      </w:r>
      <w:r>
        <w:rPr>
          <w:color w:val="231F20"/>
        </w:rPr>
        <w:t>llamada</w:t>
      </w:r>
      <w:r>
        <w:rPr>
          <w:color w:val="231F20"/>
          <w:spacing w:val="-7"/>
        </w:rPr>
        <w:t> </w:t>
      </w:r>
      <w:r>
        <w:rPr>
          <w:i/>
          <w:color w:val="231F20"/>
        </w:rPr>
        <w:t>sociedad</w:t>
      </w:r>
      <w:r>
        <w:rPr>
          <w:i/>
          <w:color w:val="231F20"/>
          <w:spacing w:val="-7"/>
        </w:rPr>
        <w:t> </w:t>
      </w:r>
      <w:r>
        <w:rPr>
          <w:i/>
          <w:color w:val="231F20"/>
        </w:rPr>
        <w:t>basada</w:t>
      </w:r>
      <w:r>
        <w:rPr>
          <w:i/>
          <w:color w:val="231F20"/>
          <w:spacing w:val="-7"/>
        </w:rPr>
        <w:t> </w:t>
      </w:r>
      <w:r>
        <w:rPr>
          <w:i/>
          <w:color w:val="231F20"/>
        </w:rPr>
        <w:t>en</w:t>
      </w:r>
      <w:r>
        <w:rPr>
          <w:i/>
          <w:color w:val="231F20"/>
          <w:spacing w:val="-7"/>
        </w:rPr>
        <w:t> </w:t>
      </w:r>
      <w:r>
        <w:rPr>
          <w:i/>
          <w:color w:val="231F20"/>
        </w:rPr>
        <w:t>el</w:t>
      </w:r>
      <w:r>
        <w:rPr>
          <w:i/>
          <w:color w:val="231F20"/>
          <w:spacing w:val="-7"/>
        </w:rPr>
        <w:t> </w:t>
      </w:r>
      <w:r>
        <w:rPr>
          <w:i/>
          <w:color w:val="231F20"/>
        </w:rPr>
        <w:t>conocimiento.</w:t>
      </w:r>
    </w:p>
    <w:p>
      <w:pPr>
        <w:pStyle w:val="BodyText"/>
        <w:rPr>
          <w:i/>
        </w:rPr>
      </w:pPr>
    </w:p>
    <w:p>
      <w:pPr>
        <w:pStyle w:val="BodyText"/>
        <w:rPr>
          <w:i/>
        </w:rPr>
      </w:pPr>
    </w:p>
    <w:p>
      <w:pPr>
        <w:pStyle w:val="BodyText"/>
        <w:spacing w:before="2"/>
        <w:rPr>
          <w:i/>
          <w:sz w:val="25"/>
        </w:rPr>
      </w:pPr>
    </w:p>
    <w:p>
      <w:pPr>
        <w:pStyle w:val="BodyText"/>
        <w:spacing w:line="261" w:lineRule="auto"/>
        <w:ind w:left="100" w:right="713"/>
      </w:pPr>
      <w:r>
        <w:rPr>
          <w:color w:val="231F20"/>
          <w:w w:val="125"/>
        </w:rPr>
        <w:t>controvertida competitividad altec de estados unidos en el cambio de milenios</w:t>
      </w:r>
    </w:p>
    <w:p>
      <w:pPr>
        <w:pStyle w:val="BodyText"/>
        <w:spacing w:before="8"/>
        <w:rPr>
          <w:sz w:val="21"/>
        </w:rPr>
      </w:pPr>
    </w:p>
    <w:p>
      <w:pPr>
        <w:pStyle w:val="BodyText"/>
        <w:spacing w:line="261" w:lineRule="auto"/>
        <w:ind w:left="100" w:right="116"/>
        <w:jc w:val="both"/>
      </w:pPr>
      <w:r>
        <w:rPr>
          <w:color w:val="231F20"/>
          <w:w w:val="110"/>
        </w:rPr>
        <w:t>Razones de espacio impiden profundizar aquí en la transición, a</w:t>
      </w:r>
      <w:r>
        <w:rPr>
          <w:color w:val="231F20"/>
          <w:spacing w:val="-35"/>
          <w:w w:val="110"/>
        </w:rPr>
        <w:t> </w:t>
      </w:r>
      <w:r>
        <w:rPr>
          <w:color w:val="231F20"/>
          <w:w w:val="110"/>
        </w:rPr>
        <w:t>par- tir</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setenta,</w:t>
      </w:r>
      <w:r>
        <w:rPr>
          <w:color w:val="231F20"/>
          <w:spacing w:val="-5"/>
          <w:w w:val="110"/>
        </w:rPr>
        <w:t> </w:t>
      </w:r>
      <w:r>
        <w:rPr>
          <w:color w:val="231F20"/>
          <w:w w:val="110"/>
        </w:rPr>
        <w:t>de</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y</w:t>
      </w:r>
      <w:r>
        <w:rPr>
          <w:color w:val="231F20"/>
          <w:spacing w:val="-5"/>
          <w:w w:val="110"/>
        </w:rPr>
        <w:t> </w:t>
      </w:r>
      <w:r>
        <w:rPr>
          <w:color w:val="231F20"/>
          <w:w w:val="110"/>
        </w:rPr>
        <w:t>demás</w:t>
      </w:r>
      <w:r>
        <w:rPr>
          <w:color w:val="231F20"/>
          <w:spacing w:val="-5"/>
          <w:w w:val="110"/>
        </w:rPr>
        <w:t> </w:t>
      </w:r>
      <w:r>
        <w:rPr>
          <w:color w:val="231F20"/>
          <w:w w:val="110"/>
        </w:rPr>
        <w:t>países</w:t>
      </w:r>
      <w:r>
        <w:rPr>
          <w:color w:val="231F20"/>
          <w:spacing w:val="-5"/>
          <w:w w:val="110"/>
        </w:rPr>
        <w:t> </w:t>
      </w:r>
      <w:r>
        <w:rPr>
          <w:color w:val="231F20"/>
          <w:w w:val="110"/>
        </w:rPr>
        <w:t>capitalistas desarrollados, hacia un nuevo largo ciclo kondratiev, caracterizado por el fin del funcionamiento eficiente del modelo reproductivo fordista y el inicio del llamado nuevo paradigma tecno-económico</w:t>
      </w:r>
      <w:r>
        <w:rPr>
          <w:i/>
          <w:color w:val="231F20"/>
          <w:w w:val="110"/>
        </w:rPr>
        <w:t>, </w:t>
      </w:r>
      <w:r>
        <w:rPr>
          <w:color w:val="231F20"/>
          <w:w w:val="110"/>
        </w:rPr>
        <w:t>basado en el crecimiento mediante los últimos adelantos de la revo- lución científico tecnológica en un impetuoso proceso de sucesivas reconversiones tecnológicas e industriales, de profundas     transfor-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05"/>
        </w:rPr>
        <w:t>maciones estructurales y de globalización de la reproducción social ampliada.</w:t>
      </w:r>
    </w:p>
    <w:p>
      <w:pPr>
        <w:pStyle w:val="BodyText"/>
        <w:spacing w:line="261" w:lineRule="auto"/>
        <w:ind w:left="100" w:right="111" w:firstLine="240"/>
        <w:jc w:val="both"/>
      </w:pPr>
      <w:r>
        <w:rPr>
          <w:color w:val="231F20"/>
          <w:w w:val="110"/>
        </w:rPr>
        <w:t>Si</w:t>
      </w:r>
      <w:r>
        <w:rPr>
          <w:color w:val="231F20"/>
          <w:spacing w:val="-17"/>
          <w:w w:val="110"/>
        </w:rPr>
        <w:t> </w:t>
      </w:r>
      <w:r>
        <w:rPr>
          <w:color w:val="231F20"/>
          <w:w w:val="110"/>
        </w:rPr>
        <w:t>bien</w:t>
      </w:r>
      <w:r>
        <w:rPr>
          <w:color w:val="231F20"/>
          <w:spacing w:val="-17"/>
          <w:w w:val="110"/>
        </w:rPr>
        <w:t> </w:t>
      </w:r>
      <w:r>
        <w:rPr>
          <w:color w:val="231F20"/>
          <w:w w:val="110"/>
        </w:rPr>
        <w:t>este</w:t>
      </w:r>
      <w:r>
        <w:rPr>
          <w:color w:val="231F20"/>
          <w:spacing w:val="-17"/>
          <w:w w:val="110"/>
        </w:rPr>
        <w:t> </w:t>
      </w:r>
      <w:r>
        <w:rPr>
          <w:color w:val="231F20"/>
          <w:w w:val="110"/>
        </w:rPr>
        <w:t>nuevo</w:t>
      </w:r>
      <w:r>
        <w:rPr>
          <w:color w:val="231F20"/>
          <w:spacing w:val="-17"/>
          <w:w w:val="110"/>
        </w:rPr>
        <w:t> </w:t>
      </w:r>
      <w:r>
        <w:rPr>
          <w:color w:val="231F20"/>
          <w:w w:val="110"/>
        </w:rPr>
        <w:t>paradigma</w:t>
      </w:r>
      <w:r>
        <w:rPr>
          <w:color w:val="231F20"/>
          <w:spacing w:val="-17"/>
          <w:w w:val="110"/>
        </w:rPr>
        <w:t> </w:t>
      </w:r>
      <w:r>
        <w:rPr>
          <w:color w:val="231F20"/>
          <w:w w:val="110"/>
        </w:rPr>
        <w:t>se</w:t>
      </w:r>
      <w:r>
        <w:rPr>
          <w:color w:val="231F20"/>
          <w:spacing w:val="-17"/>
          <w:w w:val="110"/>
        </w:rPr>
        <w:t> </w:t>
      </w:r>
      <w:r>
        <w:rPr>
          <w:color w:val="231F20"/>
          <w:w w:val="110"/>
        </w:rPr>
        <w:t>había</w:t>
      </w:r>
      <w:r>
        <w:rPr>
          <w:color w:val="231F20"/>
          <w:spacing w:val="-17"/>
          <w:w w:val="110"/>
        </w:rPr>
        <w:t> </w:t>
      </w:r>
      <w:r>
        <w:rPr>
          <w:color w:val="231F20"/>
          <w:w w:val="110"/>
        </w:rPr>
        <w:t>manifestado</w:t>
      </w:r>
      <w:r>
        <w:rPr>
          <w:color w:val="231F20"/>
          <w:spacing w:val="-17"/>
          <w:w w:val="110"/>
        </w:rPr>
        <w:t> </w:t>
      </w:r>
      <w:r>
        <w:rPr>
          <w:color w:val="231F20"/>
          <w:w w:val="110"/>
        </w:rPr>
        <w:t>—desde</w:t>
      </w:r>
      <w:r>
        <w:rPr>
          <w:color w:val="231F20"/>
          <w:spacing w:val="-17"/>
          <w:w w:val="110"/>
        </w:rPr>
        <w:t> </w:t>
      </w:r>
      <w:r>
        <w:rPr>
          <w:color w:val="231F20"/>
          <w:w w:val="110"/>
        </w:rPr>
        <w:t>inicios de los años ochenta— como exitoso a nivel micro y su madurez y expansión fueron corroborados por las fuerzas productivas primer- mundistas, no obstante, hasta el presente, a más de tres decenios    no ha podido sustraer al sistema capitalista mundial de las crisis económicas recurrentes. O sea, no lograría definir la trayectoria del proclamado auge sostenido, con un incremento de la productividad social y ganancias incrementadas, como tendencia general de la lla- mada nueva economía</w:t>
      </w:r>
      <w:r>
        <w:rPr>
          <w:i/>
          <w:color w:val="231F20"/>
          <w:w w:val="110"/>
        </w:rPr>
        <w:t>. </w:t>
      </w:r>
      <w:r>
        <w:rPr>
          <w:color w:val="231F20"/>
          <w:w w:val="110"/>
        </w:rPr>
        <w:t>Por lo contrario, ya desde la primera mitad de los años noventa, hacen presencia los síntomas de recesión y de crisis en diferentes regiones del planeta, comenzando por Japón y arribando a inicios del milenio también a Estados </w:t>
      </w:r>
      <w:r>
        <w:rPr>
          <w:color w:val="231F20"/>
          <w:spacing w:val="3"/>
          <w:w w:val="110"/>
        </w:rPr>
        <w:t> </w:t>
      </w:r>
      <w:r>
        <w:rPr>
          <w:color w:val="231F20"/>
          <w:w w:val="110"/>
        </w:rPr>
        <w:t>Unidos.</w:t>
      </w:r>
    </w:p>
    <w:p>
      <w:pPr>
        <w:pStyle w:val="BodyText"/>
        <w:spacing w:line="261" w:lineRule="auto"/>
        <w:ind w:left="100" w:right="112" w:firstLine="240"/>
        <w:jc w:val="both"/>
      </w:pPr>
      <w:r>
        <w:rPr>
          <w:color w:val="231F20"/>
          <w:w w:val="105"/>
        </w:rPr>
        <w:t>En el entorno  contradictorio,  lleno  de  retos  e  incertidumbres,  que caracteriza el desarrollo de las fuerzas productivas en  la  fase actual del capitalismo monopolista transnacionalizado, éste  incor-  pora como factor decisivo de su competitividad, seguridad integral       y “continuidad histórica” como sistema-mundo, la capacidad de ge- neración científica e innovación tecnológica a su estrategia global. Conjúganse así el desarrollo intensivo del nuevo paradigma en las metrópolis con la explotación extensiva de la periferia del sistema.    En este escenario, Estados Unidos ejercería el liderazgo para extraer    a su favor significativas ventajas a la revolución científico tecnológica ascendente. Proceso que, sin embargo, ya antes del nuevo milenio       lo conduciría a la pérdida de “racionalidad” basada en la lógica del capital, y la consecuente decadencia de su ciclo reproductivo —in- cluidos importantes desgajes de competitividad— </w:t>
      </w:r>
      <w:r>
        <w:rPr>
          <w:color w:val="231F20"/>
          <w:spacing w:val="-8"/>
          <w:w w:val="105"/>
        </w:rPr>
        <w:t>y, </w:t>
      </w:r>
      <w:r>
        <w:rPr>
          <w:color w:val="231F20"/>
          <w:w w:val="105"/>
        </w:rPr>
        <w:t>con ello, a una multifacética  crisis</w:t>
      </w:r>
      <w:r>
        <w:rPr>
          <w:color w:val="231F20"/>
          <w:spacing w:val="15"/>
          <w:w w:val="105"/>
        </w:rPr>
        <w:t> </w:t>
      </w:r>
      <w:r>
        <w:rPr>
          <w:color w:val="231F20"/>
          <w:w w:val="105"/>
        </w:rPr>
        <w:t>sistémico-estructural.</w:t>
      </w:r>
    </w:p>
    <w:p>
      <w:pPr>
        <w:pStyle w:val="BodyText"/>
        <w:spacing w:line="261" w:lineRule="auto"/>
        <w:ind w:left="100" w:right="119" w:firstLine="240"/>
        <w:jc w:val="both"/>
      </w:pPr>
      <w:r>
        <w:rPr>
          <w:color w:val="231F20"/>
          <w:w w:val="115"/>
        </w:rPr>
        <w:t>Constituyen</w:t>
      </w:r>
      <w:r>
        <w:rPr>
          <w:color w:val="231F20"/>
          <w:spacing w:val="-25"/>
          <w:w w:val="115"/>
        </w:rPr>
        <w:t> </w:t>
      </w:r>
      <w:r>
        <w:rPr>
          <w:color w:val="231F20"/>
          <w:w w:val="115"/>
        </w:rPr>
        <w:t>interés</w:t>
      </w:r>
      <w:r>
        <w:rPr>
          <w:color w:val="231F20"/>
          <w:spacing w:val="-25"/>
          <w:w w:val="115"/>
        </w:rPr>
        <w:t> </w:t>
      </w:r>
      <w:r>
        <w:rPr>
          <w:color w:val="231F20"/>
          <w:w w:val="115"/>
        </w:rPr>
        <w:t>el</w:t>
      </w:r>
      <w:r>
        <w:rPr>
          <w:color w:val="231F20"/>
          <w:spacing w:val="-25"/>
          <w:w w:val="115"/>
        </w:rPr>
        <w:t> </w:t>
      </w:r>
      <w:r>
        <w:rPr>
          <w:color w:val="231F20"/>
          <w:w w:val="115"/>
        </w:rPr>
        <w:t>advenimiento</w:t>
      </w:r>
      <w:r>
        <w:rPr>
          <w:color w:val="231F20"/>
          <w:spacing w:val="-25"/>
          <w:w w:val="115"/>
        </w:rPr>
        <w:t> </w:t>
      </w:r>
      <w:r>
        <w:rPr>
          <w:color w:val="231F20"/>
          <w:w w:val="115"/>
        </w:rPr>
        <w:t>de</w:t>
      </w:r>
      <w:r>
        <w:rPr>
          <w:color w:val="231F20"/>
          <w:spacing w:val="-25"/>
          <w:w w:val="115"/>
        </w:rPr>
        <w:t> </w:t>
      </w:r>
      <w:r>
        <w:rPr>
          <w:color w:val="231F20"/>
          <w:w w:val="115"/>
        </w:rPr>
        <w:t>marcados</w:t>
      </w:r>
      <w:r>
        <w:rPr>
          <w:color w:val="231F20"/>
          <w:spacing w:val="-25"/>
          <w:w w:val="115"/>
        </w:rPr>
        <w:t> </w:t>
      </w:r>
      <w:r>
        <w:rPr>
          <w:color w:val="231F20"/>
          <w:w w:val="115"/>
        </w:rPr>
        <w:t>síntomas,</w:t>
      </w:r>
      <w:r>
        <w:rPr>
          <w:color w:val="231F20"/>
          <w:spacing w:val="-25"/>
          <w:w w:val="115"/>
        </w:rPr>
        <w:t> </w:t>
      </w:r>
      <w:r>
        <w:rPr>
          <w:color w:val="231F20"/>
          <w:w w:val="115"/>
        </w:rPr>
        <w:t>con-</w:t>
      </w:r>
      <w:r>
        <w:rPr>
          <w:color w:val="231F20"/>
          <w:w w:val="72"/>
        </w:rPr>
        <w:t> </w:t>
      </w:r>
      <w:r>
        <w:rPr>
          <w:color w:val="231F20"/>
          <w:w w:val="115"/>
        </w:rPr>
        <w:t>ducentes</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rPr>
        <w:t>controvertida</w:t>
      </w:r>
      <w:r>
        <w:rPr>
          <w:color w:val="231F20"/>
          <w:spacing w:val="-26"/>
          <w:w w:val="115"/>
        </w:rPr>
        <w:t> </w:t>
      </w:r>
      <w:r>
        <w:rPr>
          <w:color w:val="231F20"/>
          <w:w w:val="115"/>
        </w:rPr>
        <w:t>valoración</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rPr>
        <w:t>baja</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competitividad</w:t>
      </w:r>
      <w:r>
        <w:rPr>
          <w:color w:val="231F20"/>
          <w:w w:val="108"/>
        </w:rPr>
        <w:t> </w:t>
      </w:r>
      <w:r>
        <w:rPr>
          <w:color w:val="231F20"/>
          <w:w w:val="120"/>
        </w:rPr>
        <w:t>altec</w:t>
      </w:r>
      <w:r>
        <w:rPr>
          <w:color w:val="231F20"/>
          <w:spacing w:val="-26"/>
          <w:w w:val="120"/>
        </w:rPr>
        <w:t> </w:t>
      </w:r>
      <w:r>
        <w:rPr>
          <w:color w:val="231F20"/>
          <w:w w:val="120"/>
        </w:rPr>
        <w:t>de</w:t>
      </w:r>
      <w:r>
        <w:rPr>
          <w:color w:val="231F20"/>
          <w:spacing w:val="-26"/>
          <w:w w:val="120"/>
        </w:rPr>
        <w:t> </w:t>
      </w:r>
      <w:r>
        <w:rPr>
          <w:color w:val="231F20"/>
          <w:w w:val="120"/>
        </w:rPr>
        <w:t>Estados</w:t>
      </w:r>
      <w:r>
        <w:rPr>
          <w:color w:val="231F20"/>
          <w:spacing w:val="-26"/>
          <w:w w:val="120"/>
        </w:rPr>
        <w:t> </w:t>
      </w:r>
      <w:r>
        <w:rPr>
          <w:color w:val="231F20"/>
          <w:w w:val="120"/>
        </w:rPr>
        <w:t>Unidos.</w:t>
      </w:r>
    </w:p>
    <w:p>
      <w:pPr>
        <w:pStyle w:val="BodyText"/>
        <w:spacing w:line="261" w:lineRule="auto"/>
        <w:ind w:left="100" w:right="117" w:firstLine="240"/>
        <w:jc w:val="both"/>
      </w:pP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fase</w:t>
      </w:r>
      <w:r>
        <w:rPr>
          <w:color w:val="231F20"/>
          <w:spacing w:val="-16"/>
          <w:w w:val="110"/>
        </w:rPr>
        <w:t> </w:t>
      </w:r>
      <w:r>
        <w:rPr>
          <w:color w:val="231F20"/>
          <w:w w:val="110"/>
        </w:rPr>
        <w:t>de</w:t>
      </w:r>
      <w:r>
        <w:rPr>
          <w:color w:val="231F20"/>
          <w:spacing w:val="-16"/>
          <w:w w:val="110"/>
        </w:rPr>
        <w:t> </w:t>
      </w:r>
      <w:r>
        <w:rPr>
          <w:color w:val="231F20"/>
          <w:w w:val="110"/>
        </w:rPr>
        <w:t>auge,</w:t>
      </w:r>
      <w:r>
        <w:rPr>
          <w:color w:val="231F20"/>
          <w:spacing w:val="-16"/>
          <w:w w:val="110"/>
        </w:rPr>
        <w:t> </w:t>
      </w:r>
      <w:r>
        <w:rPr>
          <w:color w:val="231F20"/>
          <w:w w:val="110"/>
        </w:rPr>
        <w:t>hasta</w:t>
      </w:r>
      <w:r>
        <w:rPr>
          <w:color w:val="231F20"/>
          <w:spacing w:val="-16"/>
          <w:w w:val="110"/>
        </w:rPr>
        <w:t> </w:t>
      </w:r>
      <w:r>
        <w:rPr>
          <w:color w:val="231F20"/>
          <w:w w:val="110"/>
        </w:rPr>
        <w:t>finales</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años</w:t>
      </w:r>
      <w:r>
        <w:rPr>
          <w:color w:val="231F20"/>
          <w:spacing w:val="-16"/>
          <w:w w:val="110"/>
        </w:rPr>
        <w:t> </w:t>
      </w:r>
      <w:r>
        <w:rPr>
          <w:color w:val="231F20"/>
          <w:w w:val="110"/>
        </w:rPr>
        <w:t>noventa,</w:t>
      </w:r>
      <w:r>
        <w:rPr>
          <w:color w:val="231F20"/>
          <w:spacing w:val="-16"/>
          <w:w w:val="110"/>
        </w:rPr>
        <w:t> </w:t>
      </w:r>
      <w:r>
        <w:rPr>
          <w:color w:val="231F20"/>
          <w:w w:val="110"/>
        </w:rPr>
        <w:t>la</w:t>
      </w:r>
      <w:r>
        <w:rPr>
          <w:color w:val="231F20"/>
          <w:spacing w:val="-16"/>
          <w:w w:val="110"/>
        </w:rPr>
        <w:t> </w:t>
      </w:r>
      <w:r>
        <w:rPr>
          <w:color w:val="231F20"/>
          <w:w w:val="110"/>
        </w:rPr>
        <w:t>exportación de</w:t>
      </w:r>
      <w:r>
        <w:rPr>
          <w:color w:val="231F20"/>
          <w:spacing w:val="-16"/>
          <w:w w:val="110"/>
        </w:rPr>
        <w:t> </w:t>
      </w:r>
      <w:r>
        <w:rPr>
          <w:color w:val="231F20"/>
          <w:w w:val="110"/>
        </w:rPr>
        <w:t>productos</w:t>
      </w:r>
      <w:r>
        <w:rPr>
          <w:color w:val="231F20"/>
          <w:spacing w:val="-16"/>
          <w:w w:val="110"/>
        </w:rPr>
        <w:t> </w:t>
      </w:r>
      <w:r>
        <w:rPr>
          <w:color w:val="231F20"/>
          <w:w w:val="110"/>
        </w:rPr>
        <w:t>y</w:t>
      </w:r>
      <w:r>
        <w:rPr>
          <w:color w:val="231F20"/>
          <w:spacing w:val="-16"/>
          <w:w w:val="110"/>
        </w:rPr>
        <w:t> </w:t>
      </w:r>
      <w:r>
        <w:rPr>
          <w:color w:val="231F20"/>
          <w:w w:val="110"/>
        </w:rPr>
        <w:t>servicios</w:t>
      </w:r>
      <w:r>
        <w:rPr>
          <w:color w:val="231F20"/>
          <w:spacing w:val="-15"/>
          <w:w w:val="110"/>
        </w:rPr>
        <w:t> </w:t>
      </w:r>
      <w:r>
        <w:rPr>
          <w:color w:val="231F20"/>
          <w:spacing w:val="-2"/>
          <w:w w:val="110"/>
        </w:rPr>
        <w:t>altec,</w:t>
      </w:r>
      <w:r>
        <w:rPr>
          <w:color w:val="231F20"/>
          <w:spacing w:val="-16"/>
          <w:w w:val="110"/>
        </w:rPr>
        <w:t> </w:t>
      </w:r>
      <w:r>
        <w:rPr>
          <w:color w:val="231F20"/>
          <w:w w:val="110"/>
        </w:rPr>
        <w:t>de</w:t>
      </w:r>
      <w:r>
        <w:rPr>
          <w:color w:val="231F20"/>
          <w:spacing w:val="-16"/>
          <w:w w:val="110"/>
        </w:rPr>
        <w:t> </w:t>
      </w:r>
      <w:r>
        <w:rPr>
          <w:color w:val="231F20"/>
          <w:w w:val="110"/>
        </w:rPr>
        <w:t>capitales</w:t>
      </w:r>
      <w:r>
        <w:rPr>
          <w:color w:val="231F20"/>
          <w:spacing w:val="-16"/>
          <w:w w:val="110"/>
        </w:rPr>
        <w:t> </w:t>
      </w:r>
      <w:r>
        <w:rPr>
          <w:color w:val="231F20"/>
          <w:w w:val="110"/>
        </w:rPr>
        <w:t>de</w:t>
      </w:r>
      <w:r>
        <w:rPr>
          <w:color w:val="231F20"/>
          <w:spacing w:val="-15"/>
          <w:w w:val="110"/>
        </w:rPr>
        <w:t> </w:t>
      </w:r>
      <w:r>
        <w:rPr>
          <w:color w:val="231F20"/>
          <w:w w:val="110"/>
        </w:rPr>
        <w:t>i+d</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transferencia</w:t>
      </w:r>
      <w:r>
        <w:rPr>
          <w:color w:val="231F20"/>
          <w:spacing w:val="-16"/>
          <w:w w:val="110"/>
        </w:rPr>
        <w:t> </w:t>
      </w:r>
      <w:r>
        <w:rPr>
          <w:color w:val="231F20"/>
          <w:w w:val="110"/>
        </w:rPr>
        <w:t>de tecnología, lograrían la más dinámica tasa de crecimiento en el</w:t>
      </w:r>
      <w:r>
        <w:rPr>
          <w:color w:val="231F20"/>
          <w:spacing w:val="-9"/>
          <w:w w:val="110"/>
        </w:rPr>
        <w:t> </w:t>
      </w:r>
      <w:r>
        <w:rPr>
          <w:color w:val="231F20"/>
          <w:w w:val="110"/>
        </w:rPr>
        <w:t>mer- cado</w:t>
      </w:r>
      <w:r>
        <w:rPr>
          <w:color w:val="231F20"/>
          <w:spacing w:val="-7"/>
          <w:w w:val="110"/>
        </w:rPr>
        <w:t> </w:t>
      </w:r>
      <w:r>
        <w:rPr>
          <w:color w:val="231F20"/>
          <w:w w:val="110"/>
        </w:rPr>
        <w:t>mundial</w:t>
      </w:r>
      <w:r>
        <w:rPr>
          <w:color w:val="231F20"/>
          <w:spacing w:val="-7"/>
          <w:w w:val="110"/>
        </w:rPr>
        <w:t> </w:t>
      </w:r>
      <w:r>
        <w:rPr>
          <w:color w:val="231F20"/>
          <w:w w:val="110"/>
        </w:rPr>
        <w:t>y</w:t>
      </w:r>
      <w:r>
        <w:rPr>
          <w:color w:val="231F20"/>
          <w:spacing w:val="-7"/>
          <w:w w:val="110"/>
        </w:rPr>
        <w:t> </w:t>
      </w:r>
      <w:r>
        <w:rPr>
          <w:color w:val="231F20"/>
          <w:w w:val="110"/>
        </w:rPr>
        <w:t>se</w:t>
      </w:r>
      <w:r>
        <w:rPr>
          <w:color w:val="231F20"/>
          <w:spacing w:val="-7"/>
          <w:w w:val="110"/>
        </w:rPr>
        <w:t> </w:t>
      </w:r>
      <w:r>
        <w:rPr>
          <w:color w:val="231F20"/>
          <w:w w:val="110"/>
        </w:rPr>
        <w:t>concentrarían</w:t>
      </w:r>
      <w:r>
        <w:rPr>
          <w:color w:val="231F20"/>
          <w:spacing w:val="-7"/>
          <w:w w:val="110"/>
        </w:rPr>
        <w:t> </w:t>
      </w:r>
      <w:r>
        <w:rPr>
          <w:color w:val="231F20"/>
          <w:w w:val="110"/>
        </w:rPr>
        <w:t>predominantemente</w:t>
      </w:r>
      <w:r>
        <w:rPr>
          <w:color w:val="231F20"/>
          <w:spacing w:val="-7"/>
          <w:w w:val="110"/>
        </w:rPr>
        <w:t> </w:t>
      </w:r>
      <w:r>
        <w:rPr>
          <w:color w:val="231F20"/>
          <w:w w:val="110"/>
        </w:rPr>
        <w:t>entre</w:t>
      </w:r>
      <w:r>
        <w:rPr>
          <w:color w:val="231F20"/>
          <w:spacing w:val="-7"/>
          <w:w w:val="110"/>
        </w:rPr>
        <w:t> </w:t>
      </w:r>
      <w:r>
        <w:rPr>
          <w:color w:val="231F20"/>
          <w:w w:val="110"/>
        </w:rPr>
        <w:t>los</w:t>
      </w:r>
      <w:r>
        <w:rPr>
          <w:color w:val="231F20"/>
          <w:spacing w:val="-7"/>
          <w:w w:val="110"/>
        </w:rPr>
        <w:t> </w:t>
      </w:r>
      <w:r>
        <w:rPr>
          <w:color w:val="231F20"/>
          <w:w w:val="110"/>
        </w:rPr>
        <w:t>países del norte, controlando más de 75% por el G-7, grupo que además poseería 46 de las 50 macrotecnologías determinantes. Por lo tanto, el aseguramiento y la eternización de esa posición privilegiada</w:t>
      </w:r>
      <w:r>
        <w:rPr>
          <w:color w:val="231F20"/>
          <w:spacing w:val="-1"/>
          <w:w w:val="110"/>
        </w:rPr>
        <w:t> </w:t>
      </w:r>
      <w:r>
        <w:rPr>
          <w:color w:val="231F20"/>
          <w:w w:val="110"/>
        </w:rPr>
        <w:t>—en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usufructo </w:t>
      </w:r>
      <w:r>
        <w:rPr>
          <w:i/>
          <w:color w:val="231F20"/>
          <w:w w:val="110"/>
        </w:rPr>
        <w:t>cuasi </w:t>
      </w:r>
      <w:r>
        <w:rPr>
          <w:color w:val="231F20"/>
          <w:w w:val="110"/>
        </w:rPr>
        <w:t>monopólico— constituiría una de las primerísimas prioridades políticas, económicas e ideológicas para los fines estra- tégicos</w:t>
      </w:r>
      <w:r>
        <w:rPr>
          <w:color w:val="231F20"/>
          <w:spacing w:val="-4"/>
          <w:w w:val="110"/>
        </w:rPr>
        <w:t> </w:t>
      </w:r>
      <w:r>
        <w:rPr>
          <w:color w:val="231F20"/>
          <w:w w:val="110"/>
        </w:rPr>
        <w:t>y</w:t>
      </w:r>
      <w:r>
        <w:rPr>
          <w:color w:val="231F20"/>
          <w:spacing w:val="-4"/>
          <w:w w:val="110"/>
        </w:rPr>
        <w:t> </w:t>
      </w:r>
      <w:r>
        <w:rPr>
          <w:color w:val="231F20"/>
          <w:w w:val="110"/>
        </w:rPr>
        <w:t>hegemónicos</w:t>
      </w:r>
      <w:r>
        <w:rPr>
          <w:color w:val="231F20"/>
          <w:spacing w:val="-4"/>
          <w:w w:val="110"/>
        </w:rPr>
        <w:t> </w:t>
      </w:r>
      <w:r>
        <w:rPr>
          <w:color w:val="231F20"/>
          <w:w w:val="110"/>
        </w:rPr>
        <w:t>de</w:t>
      </w:r>
      <w:r>
        <w:rPr>
          <w:color w:val="231F20"/>
          <w:spacing w:val="-4"/>
          <w:w w:val="110"/>
        </w:rPr>
        <w:t> </w:t>
      </w:r>
      <w:r>
        <w:rPr>
          <w:color w:val="231F20"/>
          <w:w w:val="110"/>
        </w:rPr>
        <w:t>Estados</w:t>
      </w:r>
      <w:r>
        <w:rPr>
          <w:color w:val="231F20"/>
          <w:spacing w:val="-4"/>
          <w:w w:val="110"/>
        </w:rPr>
        <w:t> </w:t>
      </w:r>
      <w:r>
        <w:rPr>
          <w:color w:val="231F20"/>
          <w:w w:val="110"/>
        </w:rPr>
        <w:t>Unidos,</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vez</w:t>
      </w:r>
      <w:r>
        <w:rPr>
          <w:color w:val="231F20"/>
          <w:spacing w:val="-4"/>
          <w:w w:val="110"/>
        </w:rPr>
        <w:t> </w:t>
      </w:r>
      <w:r>
        <w:rPr>
          <w:color w:val="231F20"/>
          <w:w w:val="110"/>
        </w:rPr>
        <w:t>que</w:t>
      </w:r>
      <w:r>
        <w:rPr>
          <w:color w:val="231F20"/>
          <w:spacing w:val="-4"/>
          <w:w w:val="110"/>
        </w:rPr>
        <w:t> </w:t>
      </w:r>
      <w:r>
        <w:rPr>
          <w:color w:val="231F20"/>
          <w:w w:val="110"/>
        </w:rPr>
        <w:t>devendría</w:t>
      </w:r>
      <w:r>
        <w:rPr>
          <w:color w:val="231F20"/>
          <w:spacing w:val="-4"/>
          <w:w w:val="110"/>
        </w:rPr>
        <w:t> </w:t>
      </w:r>
      <w:r>
        <w:rPr>
          <w:color w:val="231F20"/>
          <w:w w:val="110"/>
        </w:rPr>
        <w:t>en objeto de una desenfrenada competencia en la  </w:t>
      </w:r>
      <w:r>
        <w:rPr>
          <w:color w:val="231F20"/>
          <w:spacing w:val="26"/>
          <w:w w:val="110"/>
        </w:rPr>
        <w:t> </w:t>
      </w:r>
      <w:r>
        <w:rPr>
          <w:color w:val="231F20"/>
          <w:w w:val="110"/>
        </w:rPr>
        <w:t>tríada.</w:t>
      </w:r>
    </w:p>
    <w:p>
      <w:pPr>
        <w:pStyle w:val="BodyText"/>
        <w:spacing w:line="261" w:lineRule="auto"/>
        <w:ind w:left="100" w:right="117" w:firstLine="240"/>
        <w:jc w:val="both"/>
        <w:rPr>
          <w:i/>
        </w:rPr>
      </w:pPr>
      <w:r>
        <w:rPr>
          <w:color w:val="231F20"/>
          <w:w w:val="105"/>
        </w:rPr>
        <w:t>Estados Unidos y Japón procurarían acaparar el máximo de posi- ciones de liderazgo innovador, y aprovechar en su favor el potencial científico-tecnológico del resto  del  planeta  y  afianzándose  en  todo el mercado mundial. Japón incrementaría su posición altec, des- plazando a Alemania y penetrando las estructuras innovativas y em- presariales de Estados Unidos, superándolo en múltiples indicadores intensivos y de </w:t>
      </w:r>
      <w:r>
        <w:rPr>
          <w:i/>
          <w:color w:val="231F20"/>
          <w:w w:val="105"/>
        </w:rPr>
        <w:t>performance.</w:t>
      </w:r>
    </w:p>
    <w:p>
      <w:pPr>
        <w:pStyle w:val="BodyText"/>
        <w:spacing w:line="261" w:lineRule="auto"/>
        <w:ind w:left="100" w:right="117" w:firstLine="240"/>
        <w:jc w:val="both"/>
      </w:pPr>
      <w:r>
        <w:rPr>
          <w:color w:val="231F20"/>
          <w:w w:val="105"/>
        </w:rPr>
        <w:t>A su vez, los concurrentes más cercanos (Alemania, Francia, Gran Bretaña, Canadá, Italia, Suecia y los nic) tratarían de apoderarse y de mantenerse en esferas selectivas del progreso científico-tecnológico     e innovativo ejecutando estrategias de </w:t>
      </w:r>
      <w:r>
        <w:rPr>
          <w:i/>
          <w:color w:val="231F20"/>
          <w:w w:val="105"/>
        </w:rPr>
        <w:t>adaptadores tempranos </w:t>
      </w:r>
      <w:r>
        <w:rPr>
          <w:color w:val="231F20"/>
          <w:w w:val="105"/>
        </w:rPr>
        <w:t>que les promovieran  al  liderazgo  en  segmentos</w:t>
      </w:r>
      <w:r>
        <w:rPr>
          <w:color w:val="231F20"/>
          <w:spacing w:val="-16"/>
          <w:w w:val="105"/>
        </w:rPr>
        <w:t> </w:t>
      </w:r>
      <w:r>
        <w:rPr>
          <w:color w:val="231F20"/>
          <w:w w:val="105"/>
        </w:rPr>
        <w:t>específicos.</w:t>
      </w:r>
    </w:p>
    <w:p>
      <w:pPr>
        <w:pStyle w:val="BodyText"/>
        <w:spacing w:line="261" w:lineRule="auto"/>
        <w:ind w:left="100" w:right="115" w:firstLine="240"/>
        <w:jc w:val="both"/>
      </w:pPr>
      <w:r>
        <w:rPr>
          <w:color w:val="231F20"/>
          <w:w w:val="110"/>
        </w:rPr>
        <w:t>La concertación integracionista de los países que componían la Unión Europea, entre los cuales había pocos </w:t>
      </w:r>
      <w:r>
        <w:rPr>
          <w:i/>
          <w:color w:val="231F20"/>
          <w:w w:val="110"/>
        </w:rPr>
        <w:t>innovadores </w:t>
      </w:r>
      <w:r>
        <w:rPr>
          <w:color w:val="231F20"/>
          <w:w w:val="110"/>
        </w:rPr>
        <w:t>y </w:t>
      </w:r>
      <w:r>
        <w:rPr>
          <w:color w:val="231F20"/>
          <w:spacing w:val="2"/>
          <w:w w:val="110"/>
        </w:rPr>
        <w:t>muchos </w:t>
      </w:r>
      <w:r>
        <w:rPr>
          <w:i/>
          <w:color w:val="231F20"/>
          <w:w w:val="105"/>
        </w:rPr>
        <w:t>adaptadores</w:t>
      </w:r>
      <w:r>
        <w:rPr>
          <w:i/>
          <w:color w:val="231F20"/>
          <w:spacing w:val="-15"/>
          <w:w w:val="105"/>
        </w:rPr>
        <w:t> </w:t>
      </w:r>
      <w:r>
        <w:rPr>
          <w:i/>
          <w:color w:val="231F20"/>
          <w:w w:val="105"/>
        </w:rPr>
        <w:t>tempranos</w:t>
      </w:r>
      <w:r>
        <w:rPr>
          <w:i/>
          <w:color w:val="231F20"/>
          <w:spacing w:val="-15"/>
          <w:w w:val="105"/>
        </w:rPr>
        <w:t> </w:t>
      </w:r>
      <w:r>
        <w:rPr>
          <w:i/>
          <w:color w:val="231F20"/>
          <w:w w:val="105"/>
        </w:rPr>
        <w:t>y</w:t>
      </w:r>
      <w:r>
        <w:rPr>
          <w:i/>
          <w:color w:val="231F20"/>
          <w:spacing w:val="-15"/>
          <w:w w:val="105"/>
        </w:rPr>
        <w:t> </w:t>
      </w:r>
      <w:r>
        <w:rPr>
          <w:i/>
          <w:color w:val="231F20"/>
          <w:w w:val="105"/>
        </w:rPr>
        <w:t>tardíos</w:t>
      </w:r>
      <w:r>
        <w:rPr>
          <w:color w:val="231F20"/>
          <w:w w:val="105"/>
        </w:rPr>
        <w:t>,</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más</w:t>
      </w:r>
      <w:r>
        <w:rPr>
          <w:color w:val="231F20"/>
          <w:spacing w:val="-15"/>
          <w:w w:val="105"/>
        </w:rPr>
        <w:t> </w:t>
      </w:r>
      <w:r>
        <w:rPr>
          <w:color w:val="231F20"/>
          <w:w w:val="105"/>
        </w:rPr>
        <w:t>elocuente</w:t>
      </w:r>
      <w:r>
        <w:rPr>
          <w:color w:val="231F20"/>
          <w:spacing w:val="-15"/>
          <w:w w:val="105"/>
        </w:rPr>
        <w:t> </w:t>
      </w:r>
      <w:r>
        <w:rPr>
          <w:color w:val="231F20"/>
          <w:w w:val="105"/>
        </w:rPr>
        <w:t>ejemplo</w:t>
      </w:r>
      <w:r>
        <w:rPr>
          <w:color w:val="231F20"/>
          <w:spacing w:val="-15"/>
          <w:w w:val="105"/>
        </w:rPr>
        <w:t> </w:t>
      </w:r>
      <w:r>
        <w:rPr>
          <w:color w:val="231F20"/>
          <w:w w:val="105"/>
        </w:rPr>
        <w:t>de</w:t>
      </w:r>
      <w:r>
        <w:rPr>
          <w:color w:val="231F20"/>
          <w:spacing w:val="-15"/>
          <w:w w:val="105"/>
        </w:rPr>
        <w:t> </w:t>
      </w:r>
      <w:r>
        <w:rPr>
          <w:color w:val="231F20"/>
          <w:w w:val="105"/>
        </w:rPr>
        <w:t>alianza </w:t>
      </w:r>
      <w:r>
        <w:rPr>
          <w:color w:val="231F20"/>
          <w:w w:val="110"/>
        </w:rPr>
        <w:t>estratégica, en respuesta al imperioso reclamo de potencialidades sinérgicas. La Unión Europea desplazaría así a Estados Unidos, en los años noventa, de ocho macrotecnologías de entre la veintena  que aquél poseía en dominio absoluto. Se trataría de trascenden-   tes desgajes de la arraigada competitividad estadunidense en </w:t>
      </w:r>
      <w:r>
        <w:rPr>
          <w:i/>
          <w:color w:val="231F20"/>
          <w:w w:val="110"/>
        </w:rPr>
        <w:t>cuasi </w:t>
      </w:r>
      <w:r>
        <w:rPr>
          <w:color w:val="231F20"/>
          <w:w w:val="110"/>
        </w:rPr>
        <w:t>solitario.</w:t>
      </w:r>
    </w:p>
    <w:p>
      <w:pPr>
        <w:pStyle w:val="BodyText"/>
        <w:spacing w:line="261" w:lineRule="auto"/>
        <w:ind w:left="100" w:right="119" w:firstLine="240"/>
        <w:jc w:val="both"/>
      </w:pPr>
      <w:r>
        <w:rPr>
          <w:color w:val="231F20"/>
          <w:spacing w:val="-3"/>
          <w:w w:val="110"/>
        </w:rPr>
        <w:t>Ya</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albores</w:t>
      </w:r>
      <w:r>
        <w:rPr>
          <w:color w:val="231F20"/>
          <w:spacing w:val="-12"/>
          <w:w w:val="110"/>
        </w:rPr>
        <w:t> </w:t>
      </w:r>
      <w:r>
        <w:rPr>
          <w:color w:val="231F20"/>
          <w:w w:val="110"/>
        </w:rPr>
        <w:t>del</w:t>
      </w:r>
      <w:r>
        <w:rPr>
          <w:color w:val="231F20"/>
          <w:spacing w:val="-12"/>
          <w:w w:val="110"/>
        </w:rPr>
        <w:t> </w:t>
      </w:r>
      <w:r>
        <w:rPr>
          <w:color w:val="231F20"/>
          <w:w w:val="110"/>
        </w:rPr>
        <w:t>siglo</w:t>
      </w:r>
      <w:r>
        <w:rPr>
          <w:color w:val="231F20"/>
          <w:spacing w:val="-12"/>
          <w:w w:val="110"/>
        </w:rPr>
        <w:t> </w:t>
      </w:r>
      <w:r>
        <w:rPr>
          <w:color w:val="231F20"/>
          <w:w w:val="110"/>
        </w:rPr>
        <w:t>xxi,</w:t>
      </w:r>
      <w:r>
        <w:rPr>
          <w:color w:val="231F20"/>
          <w:spacing w:val="-12"/>
          <w:w w:val="110"/>
        </w:rPr>
        <w:t> </w:t>
      </w:r>
      <w:r>
        <w:rPr>
          <w:color w:val="231F20"/>
          <w:w w:val="110"/>
        </w:rPr>
        <w:t>además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nic,</w:t>
      </w:r>
      <w:r>
        <w:rPr>
          <w:color w:val="231F20"/>
          <w:spacing w:val="-12"/>
          <w:w w:val="110"/>
        </w:rPr>
        <w:t> </w:t>
      </w:r>
      <w:r>
        <w:rPr>
          <w:color w:val="231F20"/>
          <w:w w:val="110"/>
        </w:rPr>
        <w:t>irrumpen</w:t>
      </w:r>
      <w:r>
        <w:rPr>
          <w:color w:val="231F20"/>
          <w:spacing w:val="-12"/>
          <w:w w:val="110"/>
        </w:rPr>
        <w:t> </w:t>
      </w:r>
      <w:r>
        <w:rPr>
          <w:color w:val="231F20"/>
          <w:w w:val="110"/>
        </w:rPr>
        <w:t>en</w:t>
      </w:r>
      <w:r>
        <w:rPr>
          <w:color w:val="231F20"/>
          <w:spacing w:val="-12"/>
          <w:w w:val="110"/>
        </w:rPr>
        <w:t> </w:t>
      </w:r>
      <w:r>
        <w:rPr>
          <w:color w:val="231F20"/>
          <w:w w:val="110"/>
        </w:rPr>
        <w:t>este club</w:t>
      </w:r>
      <w:r>
        <w:rPr>
          <w:color w:val="231F20"/>
          <w:spacing w:val="-13"/>
          <w:w w:val="110"/>
        </w:rPr>
        <w:t> </w:t>
      </w:r>
      <w:r>
        <w:rPr>
          <w:color w:val="231F20"/>
          <w:w w:val="110"/>
        </w:rPr>
        <w:t>de</w:t>
      </w:r>
      <w:r>
        <w:rPr>
          <w:color w:val="231F20"/>
          <w:spacing w:val="-13"/>
          <w:w w:val="110"/>
        </w:rPr>
        <w:t> </w:t>
      </w:r>
      <w:r>
        <w:rPr>
          <w:color w:val="231F20"/>
          <w:w w:val="110"/>
        </w:rPr>
        <w:t>selectos,</w:t>
      </w:r>
      <w:r>
        <w:rPr>
          <w:color w:val="231F20"/>
          <w:spacing w:val="-13"/>
          <w:w w:val="110"/>
        </w:rPr>
        <w:t> </w:t>
      </w:r>
      <w:r>
        <w:rPr>
          <w:color w:val="231F20"/>
          <w:w w:val="110"/>
        </w:rPr>
        <w:t>poderosos</w:t>
      </w:r>
      <w:r>
        <w:rPr>
          <w:color w:val="231F20"/>
          <w:spacing w:val="-13"/>
          <w:w w:val="110"/>
        </w:rPr>
        <w:t> </w:t>
      </w:r>
      <w:r>
        <w:rPr>
          <w:color w:val="231F20"/>
          <w:w w:val="110"/>
        </w:rPr>
        <w:t>países</w:t>
      </w:r>
      <w:r>
        <w:rPr>
          <w:color w:val="231F20"/>
          <w:spacing w:val="-13"/>
          <w:w w:val="110"/>
        </w:rPr>
        <w:t> </w:t>
      </w:r>
      <w:r>
        <w:rPr>
          <w:color w:val="231F20"/>
          <w:w w:val="110"/>
        </w:rPr>
        <w:t>asiáticos</w:t>
      </w:r>
      <w:r>
        <w:rPr>
          <w:color w:val="231F20"/>
          <w:spacing w:val="-13"/>
          <w:w w:val="110"/>
        </w:rPr>
        <w:t> </w:t>
      </w:r>
      <w:r>
        <w:rPr>
          <w:color w:val="231F20"/>
          <w:w w:val="110"/>
        </w:rPr>
        <w:t>(China,</w:t>
      </w:r>
      <w:r>
        <w:rPr>
          <w:color w:val="231F20"/>
          <w:spacing w:val="-13"/>
          <w:w w:val="110"/>
        </w:rPr>
        <w:t> </w:t>
      </w:r>
      <w:r>
        <w:rPr>
          <w:color w:val="231F20"/>
          <w:w w:val="110"/>
        </w:rPr>
        <w:t>India</w:t>
      </w:r>
      <w:r>
        <w:rPr>
          <w:color w:val="231F20"/>
          <w:spacing w:val="-13"/>
          <w:w w:val="110"/>
        </w:rPr>
        <w:t> </w:t>
      </w:r>
      <w:r>
        <w:rPr>
          <w:color w:val="231F20"/>
          <w:w w:val="110"/>
        </w:rPr>
        <w:t>y</w:t>
      </w:r>
      <w:r>
        <w:rPr>
          <w:color w:val="231F20"/>
          <w:spacing w:val="-13"/>
          <w:w w:val="110"/>
        </w:rPr>
        <w:t> </w:t>
      </w:r>
      <w:r>
        <w:rPr>
          <w:color w:val="231F20"/>
          <w:w w:val="110"/>
        </w:rPr>
        <w:t>otros)</w:t>
      </w:r>
      <w:r>
        <w:rPr>
          <w:color w:val="231F20"/>
          <w:spacing w:val="-13"/>
          <w:w w:val="110"/>
        </w:rPr>
        <w:t> </w:t>
      </w:r>
      <w:r>
        <w:rPr>
          <w:color w:val="231F20"/>
          <w:w w:val="110"/>
        </w:rPr>
        <w:t>que</w:t>
      </w:r>
    </w:p>
    <w:p>
      <w:pPr>
        <w:pStyle w:val="BodyText"/>
        <w:spacing w:line="261" w:lineRule="auto"/>
        <w:ind w:left="100" w:right="117"/>
        <w:jc w:val="both"/>
      </w:pPr>
      <w:r>
        <w:rPr>
          <w:color w:val="231F20"/>
          <w:w w:val="105"/>
        </w:rPr>
        <w:t>—mediante impetuosas políticas de inserción competitiva, estrategias de educación, i+d y el </w:t>
      </w:r>
      <w:r>
        <w:rPr>
          <w:i/>
          <w:color w:val="231F20"/>
          <w:w w:val="105"/>
        </w:rPr>
        <w:t>upgrading </w:t>
      </w:r>
      <w:r>
        <w:rPr>
          <w:color w:val="231F20"/>
          <w:w w:val="105"/>
        </w:rPr>
        <w:t>en redes globales— conjugarían la modernización innovativa con una fuerza laboral educada y más ba- rata, resistiéndose a los preceptos neoliberales del Consenso de Wash- ington</w:t>
      </w:r>
      <w:r>
        <w:rPr>
          <w:i/>
          <w:color w:val="231F20"/>
          <w:w w:val="105"/>
        </w:rPr>
        <w:t>. </w:t>
      </w:r>
      <w:r>
        <w:rPr>
          <w:color w:val="231F20"/>
          <w:w w:val="105"/>
        </w:rPr>
        <w:t>Desprenderían notables cuotas de mercado a Estados Unidos    y</w:t>
      </w:r>
      <w:r>
        <w:rPr>
          <w:color w:val="231F20"/>
          <w:spacing w:val="30"/>
          <w:w w:val="105"/>
        </w:rPr>
        <w:t> </w:t>
      </w:r>
      <w:r>
        <w:rPr>
          <w:color w:val="231F20"/>
          <w:w w:val="105"/>
        </w:rPr>
        <w:t>sus</w:t>
      </w:r>
      <w:r>
        <w:rPr>
          <w:color w:val="231F20"/>
          <w:spacing w:val="30"/>
          <w:w w:val="105"/>
        </w:rPr>
        <w:t> </w:t>
      </w:r>
      <w:r>
        <w:rPr>
          <w:color w:val="231F20"/>
          <w:w w:val="105"/>
        </w:rPr>
        <w:t>compañeros</w:t>
      </w:r>
      <w:r>
        <w:rPr>
          <w:color w:val="231F20"/>
          <w:spacing w:val="30"/>
          <w:w w:val="105"/>
        </w:rPr>
        <w:t> </w:t>
      </w:r>
      <w:r>
        <w:rPr>
          <w:color w:val="231F20"/>
          <w:w w:val="105"/>
        </w:rPr>
        <w:t>del</w:t>
      </w:r>
      <w:r>
        <w:rPr>
          <w:color w:val="231F20"/>
          <w:spacing w:val="30"/>
          <w:w w:val="105"/>
        </w:rPr>
        <w:t> </w:t>
      </w:r>
      <w:r>
        <w:rPr>
          <w:color w:val="231F20"/>
          <w:w w:val="105"/>
        </w:rPr>
        <w:t>G-7</w:t>
      </w:r>
      <w:r>
        <w:rPr>
          <w:color w:val="231F20"/>
          <w:spacing w:val="30"/>
          <w:w w:val="105"/>
        </w:rPr>
        <w:t> </w:t>
      </w:r>
      <w:r>
        <w:rPr>
          <w:color w:val="231F20"/>
          <w:w w:val="105"/>
        </w:rPr>
        <w:t>y</w:t>
      </w:r>
      <w:r>
        <w:rPr>
          <w:color w:val="231F20"/>
          <w:spacing w:val="30"/>
          <w:w w:val="105"/>
        </w:rPr>
        <w:t> </w:t>
      </w:r>
      <w:r>
        <w:rPr>
          <w:color w:val="231F20"/>
          <w:w w:val="105"/>
        </w:rPr>
        <w:t>asumirían</w:t>
      </w:r>
      <w:r>
        <w:rPr>
          <w:color w:val="231F20"/>
          <w:spacing w:val="30"/>
          <w:w w:val="105"/>
        </w:rPr>
        <w:t> </w:t>
      </w:r>
      <w:r>
        <w:rPr>
          <w:color w:val="231F20"/>
          <w:w w:val="105"/>
        </w:rPr>
        <w:t>enfoques</w:t>
      </w:r>
      <w:r>
        <w:rPr>
          <w:color w:val="231F20"/>
          <w:spacing w:val="30"/>
          <w:w w:val="105"/>
        </w:rPr>
        <w:t> </w:t>
      </w:r>
      <w:r>
        <w:rPr>
          <w:color w:val="231F20"/>
          <w:w w:val="105"/>
        </w:rPr>
        <w:t>de</w:t>
      </w:r>
      <w:r>
        <w:rPr>
          <w:color w:val="231F20"/>
          <w:spacing w:val="30"/>
          <w:w w:val="105"/>
        </w:rPr>
        <w:t> </w:t>
      </w:r>
      <w:r>
        <w:rPr>
          <w:color w:val="231F20"/>
          <w:w w:val="105"/>
        </w:rPr>
        <w:t>multipolaridad.</w:t>
      </w:r>
    </w:p>
    <w:p>
      <w:pPr>
        <w:pStyle w:val="BodyText"/>
        <w:spacing w:line="261" w:lineRule="auto"/>
        <w:ind w:left="100" w:right="117" w:firstLine="240"/>
        <w:jc w:val="both"/>
      </w:pPr>
      <w:r>
        <w:rPr>
          <w:color w:val="231F20"/>
          <w:w w:val="105"/>
        </w:rPr>
        <w:t>No obstante, la posición de los países industrializados en progreso científico-tecnológico e innovativo sería aún dominante: de todos los gastos anuales en i+d realizados en el mundo, 42% corresponde a Estados Unidos y Canadá; 24% a la Unión Europea y 18% a Japón;    en lo concerniente al </w:t>
      </w:r>
      <w:r>
        <w:rPr>
          <w:i/>
          <w:color w:val="231F20"/>
          <w:w w:val="105"/>
        </w:rPr>
        <w:t>performance </w:t>
      </w:r>
      <w:r>
        <w:rPr>
          <w:color w:val="231F20"/>
          <w:w w:val="105"/>
        </w:rPr>
        <w:t>tecnológico, expresado en patentes otorgadas, pertenecería a la triada 93-97% y de ésta, a Estados</w:t>
      </w:r>
      <w:r>
        <w:rPr>
          <w:color w:val="231F20"/>
          <w:spacing w:val="46"/>
          <w:w w:val="105"/>
        </w:rPr>
        <w:t> </w:t>
      </w:r>
      <w:r>
        <w:rPr>
          <w:color w:val="231F20"/>
          <w:w w:val="105"/>
        </w:rPr>
        <w:t>Unidos,</w:t>
      </w:r>
    </w:p>
    <w:p>
      <w:pPr>
        <w:spacing w:after="0" w:line="261" w:lineRule="auto"/>
        <w:jc w:val="both"/>
        <w:sectPr>
          <w:headerReference w:type="even" r:id="rId172"/>
          <w:headerReference w:type="default" r:id="rId173"/>
          <w:pgSz w:w="7640" w:h="11900"/>
          <w:pgMar w:header="672" w:footer="0" w:top="860" w:bottom="280" w:left="780" w:right="640"/>
        </w:sectPr>
      </w:pPr>
    </w:p>
    <w:p>
      <w:pPr>
        <w:pStyle w:val="BodyText"/>
        <w:spacing w:before="8"/>
        <w:rPr>
          <w:sz w:val="8"/>
        </w:rPr>
      </w:pPr>
    </w:p>
    <w:p>
      <w:pPr>
        <w:pStyle w:val="BodyText"/>
        <w:spacing w:line="261" w:lineRule="auto" w:before="67"/>
        <w:ind w:left="100" w:right="111"/>
      </w:pPr>
      <w:r>
        <w:rPr>
          <w:color w:val="231F20"/>
          <w:w w:val="110"/>
        </w:rPr>
        <w:t>el</w:t>
      </w:r>
      <w:r>
        <w:rPr>
          <w:color w:val="231F20"/>
          <w:spacing w:val="-20"/>
          <w:w w:val="110"/>
        </w:rPr>
        <w:t> </w:t>
      </w:r>
      <w:r>
        <w:rPr>
          <w:color w:val="231F20"/>
          <w:w w:val="110"/>
        </w:rPr>
        <w:t>primer</w:t>
      </w:r>
      <w:r>
        <w:rPr>
          <w:color w:val="231F20"/>
          <w:spacing w:val="-20"/>
          <w:w w:val="110"/>
        </w:rPr>
        <w:t> </w:t>
      </w:r>
      <w:r>
        <w:rPr>
          <w:color w:val="231F20"/>
          <w:w w:val="110"/>
        </w:rPr>
        <w:t>lugar</w:t>
      </w:r>
      <w:r>
        <w:rPr>
          <w:color w:val="231F20"/>
          <w:spacing w:val="-20"/>
          <w:w w:val="110"/>
        </w:rPr>
        <w:t> </w:t>
      </w:r>
      <w:r>
        <w:rPr>
          <w:color w:val="231F20"/>
          <w:w w:val="110"/>
        </w:rPr>
        <w:t>con</w:t>
      </w:r>
      <w:r>
        <w:rPr>
          <w:color w:val="231F20"/>
          <w:spacing w:val="-20"/>
          <w:w w:val="110"/>
        </w:rPr>
        <w:t> </w:t>
      </w:r>
      <w:r>
        <w:rPr>
          <w:color w:val="231F20"/>
          <w:w w:val="110"/>
        </w:rPr>
        <w:t>35-52%,</w:t>
      </w:r>
      <w:r>
        <w:rPr>
          <w:color w:val="231F20"/>
          <w:spacing w:val="-20"/>
          <w:w w:val="110"/>
        </w:rPr>
        <w:t> </w:t>
      </w:r>
      <w:r>
        <w:rPr>
          <w:color w:val="231F20"/>
          <w:w w:val="110"/>
        </w:rPr>
        <w:t>según</w:t>
      </w:r>
      <w:r>
        <w:rPr>
          <w:color w:val="231F20"/>
          <w:spacing w:val="-20"/>
          <w:w w:val="110"/>
        </w:rPr>
        <w:t> </w:t>
      </w:r>
      <w:r>
        <w:rPr>
          <w:color w:val="231F20"/>
          <w:w w:val="110"/>
        </w:rPr>
        <w:t>el</w:t>
      </w:r>
      <w:r>
        <w:rPr>
          <w:color w:val="231F20"/>
          <w:spacing w:val="-20"/>
          <w:w w:val="110"/>
        </w:rPr>
        <w:t> </w:t>
      </w:r>
      <w:r>
        <w:rPr>
          <w:color w:val="231F20"/>
          <w:w w:val="110"/>
        </w:rPr>
        <w:t>sistema</w:t>
      </w:r>
      <w:r>
        <w:rPr>
          <w:color w:val="231F20"/>
          <w:spacing w:val="-20"/>
          <w:w w:val="110"/>
        </w:rPr>
        <w:t> </w:t>
      </w:r>
      <w:r>
        <w:rPr>
          <w:color w:val="231F20"/>
          <w:w w:val="110"/>
        </w:rPr>
        <w:t>de</w:t>
      </w:r>
      <w:r>
        <w:rPr>
          <w:color w:val="231F20"/>
          <w:spacing w:val="-20"/>
          <w:w w:val="110"/>
        </w:rPr>
        <w:t> </w:t>
      </w:r>
      <w:r>
        <w:rPr>
          <w:color w:val="231F20"/>
          <w:w w:val="110"/>
        </w:rPr>
        <w:t>atestación</w:t>
      </w:r>
      <w:r>
        <w:rPr>
          <w:color w:val="231F20"/>
          <w:spacing w:val="-20"/>
          <w:w w:val="110"/>
        </w:rPr>
        <w:t> </w:t>
      </w:r>
      <w:r>
        <w:rPr>
          <w:color w:val="231F20"/>
          <w:w w:val="110"/>
        </w:rPr>
        <w:t>consultado (oecd, 2004a:</w:t>
      </w:r>
      <w:r>
        <w:rPr>
          <w:color w:val="231F20"/>
          <w:spacing w:val="-1"/>
          <w:w w:val="110"/>
        </w:rPr>
        <w:t> </w:t>
      </w:r>
      <w:r>
        <w:rPr>
          <w:color w:val="231F20"/>
          <w:w w:val="110"/>
        </w:rPr>
        <w:t>34-37).</w:t>
      </w:r>
    </w:p>
    <w:p>
      <w:pPr>
        <w:pStyle w:val="BodyText"/>
        <w:spacing w:line="261" w:lineRule="auto"/>
        <w:ind w:left="100" w:right="117" w:firstLine="240"/>
        <w:jc w:val="right"/>
      </w:pPr>
      <w:r>
        <w:rPr>
          <w:color w:val="231F20"/>
          <w:w w:val="110"/>
        </w:rPr>
        <w:t>Lo</w:t>
      </w:r>
      <w:r>
        <w:rPr>
          <w:color w:val="231F20"/>
          <w:spacing w:val="-5"/>
          <w:w w:val="110"/>
        </w:rPr>
        <w:t> </w:t>
      </w:r>
      <w:r>
        <w:rPr>
          <w:color w:val="231F20"/>
          <w:w w:val="110"/>
        </w:rPr>
        <w:t>anterior</w:t>
      </w:r>
      <w:r>
        <w:rPr>
          <w:color w:val="231F20"/>
          <w:spacing w:val="-5"/>
          <w:w w:val="110"/>
        </w:rPr>
        <w:t> </w:t>
      </w:r>
      <w:r>
        <w:rPr>
          <w:color w:val="231F20"/>
          <w:w w:val="110"/>
        </w:rPr>
        <w:t>sería</w:t>
      </w:r>
      <w:r>
        <w:rPr>
          <w:color w:val="231F20"/>
          <w:spacing w:val="-5"/>
          <w:w w:val="110"/>
        </w:rPr>
        <w:t> </w:t>
      </w:r>
      <w:r>
        <w:rPr>
          <w:color w:val="231F20"/>
          <w:w w:val="110"/>
        </w:rPr>
        <w:t>válido,</w:t>
      </w:r>
      <w:r>
        <w:rPr>
          <w:color w:val="231F20"/>
          <w:spacing w:val="-5"/>
          <w:w w:val="110"/>
        </w:rPr>
        <w:t> </w:t>
      </w:r>
      <w:r>
        <w:rPr>
          <w:color w:val="231F20"/>
          <w:w w:val="110"/>
        </w:rPr>
        <w:t>de</w:t>
      </w:r>
      <w:r>
        <w:rPr>
          <w:color w:val="231F20"/>
          <w:spacing w:val="-5"/>
          <w:w w:val="110"/>
        </w:rPr>
        <w:t> </w:t>
      </w:r>
      <w:r>
        <w:rPr>
          <w:color w:val="231F20"/>
          <w:w w:val="110"/>
        </w:rPr>
        <w:t>llevarse</w:t>
      </w:r>
      <w:r>
        <w:rPr>
          <w:color w:val="231F20"/>
          <w:spacing w:val="-5"/>
          <w:w w:val="110"/>
        </w:rPr>
        <w:t> </w:t>
      </w:r>
      <w:r>
        <w:rPr>
          <w:color w:val="231F20"/>
          <w:w w:val="110"/>
        </w:rPr>
        <w:t>el</w:t>
      </w:r>
      <w:r>
        <w:rPr>
          <w:color w:val="231F20"/>
          <w:spacing w:val="-5"/>
          <w:w w:val="110"/>
        </w:rPr>
        <w:t> </w:t>
      </w:r>
      <w:r>
        <w:rPr>
          <w:color w:val="231F20"/>
          <w:w w:val="110"/>
        </w:rPr>
        <w:t>análisis</w:t>
      </w:r>
      <w:r>
        <w:rPr>
          <w:color w:val="231F20"/>
          <w:spacing w:val="-5"/>
          <w:w w:val="110"/>
        </w:rPr>
        <w:t> </w:t>
      </w:r>
      <w:r>
        <w:rPr>
          <w:color w:val="231F20"/>
          <w:w w:val="110"/>
        </w:rPr>
        <w:t>solo</w:t>
      </w:r>
      <w:r>
        <w:rPr>
          <w:color w:val="231F20"/>
          <w:spacing w:val="-5"/>
          <w:w w:val="110"/>
        </w:rPr>
        <w:t> </w:t>
      </w:r>
      <w:r>
        <w:rPr>
          <w:color w:val="231F20"/>
          <w:w w:val="110"/>
        </w:rPr>
        <w:t>en</w:t>
      </w:r>
      <w:r>
        <w:rPr>
          <w:color w:val="231F20"/>
          <w:spacing w:val="-5"/>
          <w:w w:val="110"/>
        </w:rPr>
        <w:t> </w:t>
      </w:r>
      <w:r>
        <w:rPr>
          <w:color w:val="231F20"/>
          <w:w w:val="110"/>
        </w:rPr>
        <w:t>cifras</w:t>
      </w:r>
      <w:r>
        <w:rPr>
          <w:color w:val="231F20"/>
          <w:spacing w:val="-5"/>
          <w:w w:val="110"/>
        </w:rPr>
        <w:t> </w:t>
      </w:r>
      <w:r>
        <w:rPr>
          <w:color w:val="231F20"/>
          <w:w w:val="110"/>
        </w:rPr>
        <w:t>abso-</w:t>
      </w:r>
      <w:r>
        <w:rPr>
          <w:color w:val="231F20"/>
          <w:w w:val="72"/>
        </w:rPr>
        <w:t> </w:t>
      </w:r>
      <w:r>
        <w:rPr>
          <w:color w:val="231F20"/>
          <w:w w:val="110"/>
        </w:rPr>
        <w:t>lutas.</w:t>
      </w:r>
      <w:r>
        <w:rPr>
          <w:color w:val="231F20"/>
          <w:spacing w:val="-14"/>
          <w:w w:val="110"/>
        </w:rPr>
        <w:t> </w:t>
      </w:r>
      <w:r>
        <w:rPr>
          <w:color w:val="231F20"/>
          <w:w w:val="110"/>
        </w:rPr>
        <w:t>Ahora</w:t>
      </w:r>
      <w:r>
        <w:rPr>
          <w:color w:val="231F20"/>
          <w:spacing w:val="-14"/>
          <w:w w:val="110"/>
        </w:rPr>
        <w:t> </w:t>
      </w:r>
      <w:r>
        <w:rPr>
          <w:color w:val="231F20"/>
          <w:w w:val="110"/>
        </w:rPr>
        <w:t>bien,</w:t>
      </w:r>
      <w:r>
        <w:rPr>
          <w:color w:val="231F20"/>
          <w:spacing w:val="-14"/>
          <w:w w:val="110"/>
        </w:rPr>
        <w:t> </w:t>
      </w:r>
      <w:r>
        <w:rPr>
          <w:color w:val="231F20"/>
          <w:w w:val="110"/>
        </w:rPr>
        <w:t>si</w:t>
      </w:r>
      <w:r>
        <w:rPr>
          <w:color w:val="231F20"/>
          <w:spacing w:val="-14"/>
          <w:w w:val="110"/>
        </w:rPr>
        <w:t> </w:t>
      </w:r>
      <w:r>
        <w:rPr>
          <w:color w:val="231F20"/>
          <w:w w:val="110"/>
        </w:rPr>
        <w:t>analizáramos</w:t>
      </w:r>
      <w:r>
        <w:rPr>
          <w:color w:val="231F20"/>
          <w:spacing w:val="-14"/>
          <w:w w:val="110"/>
        </w:rPr>
        <w:t> </w:t>
      </w:r>
      <w:r>
        <w:rPr>
          <w:color w:val="231F20"/>
          <w:w w:val="110"/>
        </w:rPr>
        <w:t>el</w:t>
      </w:r>
      <w:r>
        <w:rPr>
          <w:color w:val="231F20"/>
          <w:spacing w:val="-14"/>
          <w:w w:val="110"/>
        </w:rPr>
        <w:t> </w:t>
      </w:r>
      <w:r>
        <w:rPr>
          <w:color w:val="231F20"/>
          <w:w w:val="110"/>
        </w:rPr>
        <w:t>registro</w:t>
      </w:r>
      <w:r>
        <w:rPr>
          <w:color w:val="231F20"/>
          <w:spacing w:val="-14"/>
          <w:w w:val="110"/>
        </w:rPr>
        <w:t> </w:t>
      </w:r>
      <w:r>
        <w:rPr>
          <w:color w:val="231F20"/>
          <w:w w:val="110"/>
        </w:rPr>
        <w:t>por</w:t>
      </w:r>
      <w:r>
        <w:rPr>
          <w:color w:val="231F20"/>
          <w:spacing w:val="-14"/>
          <w:w w:val="110"/>
        </w:rPr>
        <w:t> </w:t>
      </w:r>
      <w:r>
        <w:rPr>
          <w:i/>
          <w:color w:val="231F20"/>
          <w:w w:val="110"/>
        </w:rPr>
        <w:t>familias</w:t>
      </w:r>
      <w:r>
        <w:rPr>
          <w:i/>
          <w:color w:val="231F20"/>
          <w:spacing w:val="-14"/>
          <w:w w:val="110"/>
        </w:rPr>
        <w:t> </w:t>
      </w:r>
      <w:r>
        <w:rPr>
          <w:i/>
          <w:color w:val="231F20"/>
          <w:w w:val="110"/>
        </w:rPr>
        <w:t>triádicas</w:t>
      </w:r>
      <w:r>
        <w:rPr>
          <w:i/>
          <w:color w:val="231F20"/>
          <w:spacing w:val="-14"/>
          <w:w w:val="110"/>
        </w:rPr>
        <w:t> </w:t>
      </w:r>
      <w:r>
        <w:rPr>
          <w:i/>
          <w:color w:val="231F20"/>
          <w:w w:val="110"/>
        </w:rPr>
        <w:t>de</w:t>
      </w:r>
      <w:r>
        <w:rPr>
          <w:i/>
          <w:color w:val="231F20"/>
          <w:w w:val="88"/>
        </w:rPr>
        <w:t> </w:t>
      </w:r>
      <w:r>
        <w:rPr>
          <w:i/>
          <w:color w:val="231F20"/>
          <w:w w:val="110"/>
        </w:rPr>
        <w:t>patentes</w:t>
      </w:r>
      <w:r>
        <w:rPr>
          <w:color w:val="231F20"/>
          <w:w w:val="110"/>
          <w:position w:val="6"/>
          <w:sz w:val="13"/>
        </w:rPr>
        <w:t>3 </w:t>
      </w:r>
      <w:r>
        <w:rPr>
          <w:color w:val="231F20"/>
          <w:w w:val="110"/>
        </w:rPr>
        <w:t>—en términos relativos o de intensidad—</w:t>
      </w:r>
      <w:r>
        <w:rPr>
          <w:color w:val="231F20"/>
          <w:spacing w:val="-33"/>
          <w:w w:val="110"/>
        </w:rPr>
        <w:t> </w:t>
      </w:r>
      <w:r>
        <w:rPr>
          <w:color w:val="231F20"/>
          <w:w w:val="110"/>
        </w:rPr>
        <w:t>obtendríamos</w:t>
      </w:r>
      <w:r>
        <w:rPr>
          <w:color w:val="231F20"/>
          <w:spacing w:val="-8"/>
          <w:w w:val="110"/>
        </w:rPr>
        <w:t> </w:t>
      </w:r>
      <w:r>
        <w:rPr>
          <w:color w:val="231F20"/>
          <w:w w:val="110"/>
        </w:rPr>
        <w:t>un</w:t>
      </w:r>
      <w:r>
        <w:rPr>
          <w:color w:val="231F20"/>
          <w:w w:val="118"/>
        </w:rPr>
        <w:t> </w:t>
      </w:r>
      <w:r>
        <w:rPr>
          <w:color w:val="231F20"/>
          <w:w w:val="110"/>
        </w:rPr>
        <w:t>significativo declive de Estados Unidos hacia una novena</w:t>
      </w:r>
      <w:r>
        <w:rPr>
          <w:color w:val="231F20"/>
          <w:spacing w:val="13"/>
          <w:w w:val="110"/>
        </w:rPr>
        <w:t> </w:t>
      </w:r>
      <w:r>
        <w:rPr>
          <w:color w:val="231F20"/>
          <w:w w:val="110"/>
        </w:rPr>
        <w:t>u</w:t>
      </w:r>
      <w:r>
        <w:rPr>
          <w:color w:val="231F20"/>
          <w:spacing w:val="15"/>
          <w:w w:val="110"/>
        </w:rPr>
        <w:t> </w:t>
      </w:r>
      <w:r>
        <w:rPr>
          <w:color w:val="231F20"/>
          <w:w w:val="110"/>
        </w:rPr>
        <w:t>octava</w:t>
      </w:r>
      <w:r>
        <w:rPr>
          <w:color w:val="231F20"/>
          <w:w w:val="104"/>
        </w:rPr>
        <w:t> </w:t>
      </w:r>
      <w:r>
        <w:rPr>
          <w:color w:val="231F20"/>
          <w:w w:val="110"/>
        </w:rPr>
        <w:t>posición, en cuanto a la cantidad de patentes</w:t>
      </w:r>
      <w:r>
        <w:rPr>
          <w:color w:val="231F20"/>
          <w:spacing w:val="31"/>
          <w:w w:val="110"/>
        </w:rPr>
        <w:t> </w:t>
      </w:r>
      <w:r>
        <w:rPr>
          <w:color w:val="231F20"/>
          <w:w w:val="110"/>
        </w:rPr>
        <w:t>otorgadas,</w:t>
      </w:r>
      <w:r>
        <w:rPr>
          <w:color w:val="231F20"/>
          <w:spacing w:val="10"/>
          <w:w w:val="110"/>
        </w:rPr>
        <w:t> </w:t>
      </w:r>
      <w:r>
        <w:rPr>
          <w:color w:val="231F20"/>
          <w:w w:val="110"/>
        </w:rPr>
        <w:t>respectiva-</w:t>
      </w:r>
      <w:r>
        <w:rPr>
          <w:color w:val="231F20"/>
          <w:w w:val="72"/>
        </w:rPr>
        <w:t> </w:t>
      </w:r>
      <w:r>
        <w:rPr>
          <w:color w:val="231F20"/>
          <w:w w:val="110"/>
        </w:rPr>
        <w:t>mente, por unidad del pnb, o por un millón de habitantes</w:t>
      </w:r>
      <w:r>
        <w:rPr>
          <w:color w:val="231F20"/>
          <w:spacing w:val="-34"/>
          <w:w w:val="110"/>
        </w:rPr>
        <w:t> </w:t>
      </w:r>
      <w:r>
        <w:rPr>
          <w:color w:val="231F20"/>
          <w:w w:val="110"/>
        </w:rPr>
        <w:t>(nsb,</w:t>
      </w:r>
      <w:r>
        <w:rPr>
          <w:color w:val="231F20"/>
          <w:spacing w:val="-3"/>
          <w:w w:val="110"/>
        </w:rPr>
        <w:t> </w:t>
      </w:r>
      <w:r>
        <w:rPr>
          <w:color w:val="231F20"/>
          <w:w w:val="110"/>
        </w:rPr>
        <w:t>2006:</w:t>
      </w:r>
      <w:r>
        <w:rPr>
          <w:color w:val="231F20"/>
          <w:w w:val="102"/>
        </w:rPr>
        <w:t> </w:t>
      </w:r>
      <w:r>
        <w:rPr>
          <w:color w:val="231F20"/>
          <w:w w:val="110"/>
        </w:rPr>
        <w:t>6-37).</w:t>
      </w:r>
      <w:r>
        <w:rPr>
          <w:color w:val="231F20"/>
          <w:spacing w:val="-9"/>
          <w:w w:val="110"/>
        </w:rPr>
        <w:t> </w:t>
      </w:r>
      <w:r>
        <w:rPr>
          <w:color w:val="231F20"/>
          <w:w w:val="110"/>
        </w:rPr>
        <w:t>Otros</w:t>
      </w:r>
      <w:r>
        <w:rPr>
          <w:color w:val="231F20"/>
          <w:spacing w:val="-9"/>
          <w:w w:val="110"/>
        </w:rPr>
        <w:t> </w:t>
      </w:r>
      <w:r>
        <w:rPr>
          <w:color w:val="231F20"/>
          <w:w w:val="110"/>
        </w:rPr>
        <w:t>países</w:t>
      </w:r>
      <w:r>
        <w:rPr>
          <w:color w:val="231F20"/>
          <w:spacing w:val="-9"/>
          <w:w w:val="110"/>
        </w:rPr>
        <w:t> </w:t>
      </w:r>
      <w:r>
        <w:rPr>
          <w:color w:val="231F20"/>
          <w:w w:val="110"/>
        </w:rPr>
        <w:t>superarían</w:t>
      </w:r>
      <w:r>
        <w:rPr>
          <w:color w:val="231F20"/>
          <w:spacing w:val="-9"/>
          <w:w w:val="110"/>
        </w:rPr>
        <w:t> </w:t>
      </w:r>
      <w:r>
        <w:rPr>
          <w:color w:val="231F20"/>
          <w:w w:val="110"/>
        </w:rPr>
        <w:t>a</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mediante</w:t>
      </w:r>
      <w:r>
        <w:rPr>
          <w:color w:val="231F20"/>
          <w:spacing w:val="-9"/>
          <w:w w:val="110"/>
        </w:rPr>
        <w:t> </w:t>
      </w:r>
      <w:r>
        <w:rPr>
          <w:color w:val="231F20"/>
          <w:w w:val="110"/>
        </w:rPr>
        <w:t>una</w:t>
      </w:r>
      <w:r>
        <w:rPr>
          <w:color w:val="231F20"/>
          <w:spacing w:val="-9"/>
          <w:w w:val="110"/>
        </w:rPr>
        <w:t> </w:t>
      </w:r>
      <w:r>
        <w:rPr>
          <w:color w:val="231F20"/>
          <w:w w:val="110"/>
        </w:rPr>
        <w:t>mayor</w:t>
      </w:r>
      <w:r>
        <w:rPr>
          <w:color w:val="231F20"/>
          <w:w w:val="106"/>
        </w:rPr>
        <w:t> </w:t>
      </w:r>
      <w:r>
        <w:rPr>
          <w:color w:val="231F20"/>
          <w:w w:val="110"/>
        </w:rPr>
        <w:t>intensidad o productividad social del conocimiento</w:t>
      </w:r>
      <w:r>
        <w:rPr>
          <w:color w:val="231F20"/>
          <w:spacing w:val="-24"/>
          <w:w w:val="110"/>
        </w:rPr>
        <w:t> </w:t>
      </w:r>
      <w:r>
        <w:rPr>
          <w:color w:val="231F20"/>
          <w:w w:val="110"/>
        </w:rPr>
        <w:t>más</w:t>
      </w:r>
      <w:r>
        <w:rPr>
          <w:color w:val="231F20"/>
          <w:spacing w:val="-4"/>
          <w:w w:val="110"/>
        </w:rPr>
        <w:t> </w:t>
      </w:r>
      <w:r>
        <w:rPr>
          <w:color w:val="231F20"/>
          <w:w w:val="110"/>
        </w:rPr>
        <w:t>homogénea.</w:t>
      </w:r>
      <w:r>
        <w:rPr>
          <w:color w:val="231F20"/>
          <w:w w:val="111"/>
        </w:rPr>
        <w:t> </w:t>
      </w:r>
      <w:r>
        <w:rPr>
          <w:color w:val="231F20"/>
          <w:w w:val="110"/>
        </w:rPr>
        <w:t>Como resultado de la creciente competencia en la tríada y</w:t>
      </w:r>
      <w:r>
        <w:rPr>
          <w:color w:val="231F20"/>
          <w:spacing w:val="6"/>
          <w:w w:val="110"/>
        </w:rPr>
        <w:t> </w:t>
      </w:r>
      <w:r>
        <w:rPr>
          <w:color w:val="231F20"/>
          <w:w w:val="110"/>
        </w:rPr>
        <w:t>de</w:t>
      </w:r>
      <w:r>
        <w:rPr>
          <w:color w:val="231F20"/>
          <w:spacing w:val="17"/>
          <w:w w:val="110"/>
        </w:rPr>
        <w:t> </w:t>
      </w:r>
      <w:r>
        <w:rPr>
          <w:color w:val="231F20"/>
          <w:w w:val="110"/>
        </w:rPr>
        <w:t>la</w:t>
      </w:r>
      <w:r>
        <w:rPr>
          <w:color w:val="231F20"/>
          <w:w w:val="105"/>
        </w:rPr>
        <w:t> </w:t>
      </w:r>
      <w:r>
        <w:rPr>
          <w:color w:val="231F20"/>
          <w:w w:val="110"/>
        </w:rPr>
        <w:t>inserción</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países</w:t>
      </w:r>
      <w:r>
        <w:rPr>
          <w:color w:val="231F20"/>
          <w:spacing w:val="-18"/>
          <w:w w:val="110"/>
        </w:rPr>
        <w:t> </w:t>
      </w:r>
      <w:r>
        <w:rPr>
          <w:color w:val="231F20"/>
          <w:w w:val="110"/>
        </w:rPr>
        <w:t>asiáticos</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mercado</w:t>
      </w:r>
      <w:r>
        <w:rPr>
          <w:color w:val="231F20"/>
          <w:spacing w:val="-18"/>
          <w:w w:val="110"/>
        </w:rPr>
        <w:t> </w:t>
      </w:r>
      <w:r>
        <w:rPr>
          <w:color w:val="231F20"/>
          <w:w w:val="110"/>
        </w:rPr>
        <w:t>mundial</w:t>
      </w:r>
      <w:r>
        <w:rPr>
          <w:color w:val="231F20"/>
          <w:spacing w:val="-18"/>
          <w:w w:val="110"/>
        </w:rPr>
        <w:t> </w:t>
      </w:r>
      <w:r>
        <w:rPr>
          <w:color w:val="231F20"/>
          <w:w w:val="110"/>
        </w:rPr>
        <w:t>de</w:t>
      </w:r>
      <w:r>
        <w:rPr>
          <w:color w:val="231F20"/>
          <w:spacing w:val="-18"/>
          <w:w w:val="110"/>
        </w:rPr>
        <w:t> </w:t>
      </w:r>
      <w:r>
        <w:rPr>
          <w:color w:val="231F20"/>
          <w:w w:val="110"/>
        </w:rPr>
        <w:t>exportacio-</w:t>
      </w:r>
      <w:r>
        <w:rPr>
          <w:color w:val="231F20"/>
          <w:w w:val="72"/>
        </w:rPr>
        <w:t> </w:t>
      </w:r>
      <w:r>
        <w:rPr>
          <w:color w:val="231F20"/>
          <w:w w:val="110"/>
        </w:rPr>
        <w:t>nes altec, se evidenciaría la tendencia hacia la</w:t>
      </w:r>
      <w:r>
        <w:rPr>
          <w:color w:val="231F20"/>
          <w:spacing w:val="51"/>
          <w:w w:val="110"/>
        </w:rPr>
        <w:t> </w:t>
      </w:r>
      <w:r>
        <w:rPr>
          <w:color w:val="231F20"/>
          <w:w w:val="110"/>
        </w:rPr>
        <w:t>desconcentración</w:t>
      </w:r>
      <w:r>
        <w:rPr>
          <w:color w:val="231F20"/>
          <w:spacing w:val="13"/>
          <w:w w:val="110"/>
        </w:rPr>
        <w:t> </w:t>
      </w:r>
      <w:r>
        <w:rPr>
          <w:color w:val="231F20"/>
          <w:w w:val="110"/>
        </w:rPr>
        <w:t>de</w:t>
      </w:r>
      <w:r>
        <w:rPr>
          <w:color w:val="231F20"/>
          <w:w w:val="114"/>
        </w:rPr>
        <w:t> </w:t>
      </w:r>
      <w:r>
        <w:rPr>
          <w:color w:val="231F20"/>
          <w:w w:val="110"/>
        </w:rPr>
        <w:t>indicadores,</w:t>
      </w:r>
      <w:r>
        <w:rPr>
          <w:color w:val="231F20"/>
          <w:spacing w:val="-16"/>
          <w:w w:val="110"/>
        </w:rPr>
        <w:t> </w:t>
      </w:r>
      <w:r>
        <w:rPr>
          <w:color w:val="231F20"/>
          <w:w w:val="110"/>
        </w:rPr>
        <w:t>y</w:t>
      </w:r>
      <w:r>
        <w:rPr>
          <w:color w:val="231F20"/>
          <w:spacing w:val="-16"/>
          <w:w w:val="110"/>
        </w:rPr>
        <w:t> </w:t>
      </w:r>
      <w:r>
        <w:rPr>
          <w:color w:val="231F20"/>
          <w:w w:val="110"/>
        </w:rPr>
        <w:t>al</w:t>
      </w:r>
      <w:r>
        <w:rPr>
          <w:color w:val="231F20"/>
          <w:spacing w:val="-16"/>
          <w:w w:val="110"/>
        </w:rPr>
        <w:t> </w:t>
      </w:r>
      <w:r>
        <w:rPr>
          <w:color w:val="231F20"/>
          <w:w w:val="110"/>
        </w:rPr>
        <w:t>significativo</w:t>
      </w:r>
      <w:r>
        <w:rPr>
          <w:color w:val="231F20"/>
          <w:spacing w:val="-16"/>
          <w:w w:val="110"/>
        </w:rPr>
        <w:t> </w:t>
      </w:r>
      <w:r>
        <w:rPr>
          <w:color w:val="231F20"/>
          <w:w w:val="110"/>
        </w:rPr>
        <w:t>descenso</w:t>
      </w:r>
      <w:r>
        <w:rPr>
          <w:color w:val="231F20"/>
          <w:spacing w:val="-16"/>
          <w:w w:val="110"/>
        </w:rPr>
        <w:t> </w:t>
      </w:r>
      <w:r>
        <w:rPr>
          <w:color w:val="231F20"/>
          <w:w w:val="110"/>
        </w:rPr>
        <w:t>relativo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otrora</w:t>
      </w:r>
      <w:r>
        <w:rPr>
          <w:color w:val="231F20"/>
          <w:spacing w:val="-16"/>
          <w:w w:val="110"/>
        </w:rPr>
        <w:t> </w:t>
      </w:r>
      <w:r>
        <w:rPr>
          <w:color w:val="231F20"/>
          <w:w w:val="110"/>
        </w:rPr>
        <w:t>participa-</w:t>
      </w:r>
      <w:r>
        <w:rPr>
          <w:color w:val="231F20"/>
          <w:w w:val="72"/>
        </w:rPr>
        <w:t> </w:t>
      </w:r>
      <w:r>
        <w:rPr>
          <w:color w:val="231F20"/>
          <w:w w:val="110"/>
        </w:rPr>
        <w:t>ción prioritaria de Estados Unidos, en sus exportaciones</w:t>
      </w:r>
      <w:r>
        <w:rPr>
          <w:color w:val="231F20"/>
          <w:spacing w:val="-18"/>
          <w:w w:val="110"/>
        </w:rPr>
        <w:t> </w:t>
      </w:r>
      <w:r>
        <w:rPr>
          <w:color w:val="231F20"/>
          <w:w w:val="110"/>
        </w:rPr>
        <w:t>altec,</w:t>
      </w:r>
      <w:r>
        <w:rPr>
          <w:color w:val="231F20"/>
          <w:spacing w:val="-3"/>
          <w:w w:val="110"/>
        </w:rPr>
        <w:t> </w:t>
      </w:r>
      <w:r>
        <w:rPr>
          <w:color w:val="231F20"/>
          <w:w w:val="110"/>
        </w:rPr>
        <w:t>desde</w:t>
      </w:r>
      <w:r>
        <w:rPr>
          <w:color w:val="231F20"/>
          <w:w w:val="110"/>
        </w:rPr>
        <w:t> </w:t>
      </w:r>
      <w:r>
        <w:rPr>
          <w:color w:val="231F20"/>
          <w:w w:val="110"/>
        </w:rPr>
        <w:t>23.0%</w:t>
      </w:r>
      <w:r>
        <w:rPr>
          <w:color w:val="231F20"/>
          <w:spacing w:val="-6"/>
          <w:w w:val="110"/>
        </w:rPr>
        <w:t> </w:t>
      </w:r>
      <w:r>
        <w:rPr>
          <w:color w:val="231F20"/>
          <w:w w:val="110"/>
        </w:rPr>
        <w:t>a</w:t>
      </w:r>
      <w:r>
        <w:rPr>
          <w:color w:val="231F20"/>
          <w:spacing w:val="-6"/>
          <w:w w:val="110"/>
        </w:rPr>
        <w:t> </w:t>
      </w:r>
      <w:r>
        <w:rPr>
          <w:color w:val="231F20"/>
          <w:w w:val="110"/>
        </w:rPr>
        <w:t>12.0%,</w:t>
      </w:r>
      <w:r>
        <w:rPr>
          <w:color w:val="231F20"/>
          <w:spacing w:val="-6"/>
          <w:w w:val="110"/>
        </w:rPr>
        <w:t> </w:t>
      </w:r>
      <w:r>
        <w:rPr>
          <w:color w:val="231F20"/>
          <w:w w:val="110"/>
        </w:rPr>
        <w:t>para</w:t>
      </w:r>
      <w:r>
        <w:rPr>
          <w:color w:val="231F20"/>
          <w:spacing w:val="-6"/>
          <w:w w:val="110"/>
        </w:rPr>
        <w:t> </w:t>
      </w:r>
      <w:r>
        <w:rPr>
          <w:color w:val="231F20"/>
          <w:w w:val="110"/>
        </w:rPr>
        <w:t>1990</w:t>
      </w:r>
      <w:r>
        <w:rPr>
          <w:color w:val="231F20"/>
          <w:spacing w:val="-6"/>
          <w:w w:val="110"/>
        </w:rPr>
        <w:t> </w:t>
      </w:r>
      <w:r>
        <w:rPr>
          <w:color w:val="231F20"/>
          <w:w w:val="110"/>
        </w:rPr>
        <w:t>y</w:t>
      </w:r>
      <w:r>
        <w:rPr>
          <w:color w:val="231F20"/>
          <w:spacing w:val="-6"/>
          <w:w w:val="110"/>
        </w:rPr>
        <w:t> </w:t>
      </w:r>
      <w:r>
        <w:rPr>
          <w:color w:val="231F20"/>
          <w:w w:val="110"/>
        </w:rPr>
        <w:t>2005</w:t>
      </w:r>
      <w:r>
        <w:rPr>
          <w:color w:val="231F20"/>
          <w:spacing w:val="-6"/>
          <w:w w:val="110"/>
        </w:rPr>
        <w:t> </w:t>
      </w:r>
      <w:r>
        <w:rPr>
          <w:color w:val="231F20"/>
          <w:w w:val="110"/>
        </w:rPr>
        <w:t>(nsb,</w:t>
      </w:r>
      <w:r>
        <w:rPr>
          <w:color w:val="231F20"/>
          <w:spacing w:val="-6"/>
          <w:w w:val="110"/>
        </w:rPr>
        <w:t> </w:t>
      </w:r>
      <w:r>
        <w:rPr>
          <w:color w:val="231F20"/>
          <w:w w:val="110"/>
        </w:rPr>
        <w:t>2008:</w:t>
      </w:r>
      <w:r>
        <w:rPr>
          <w:color w:val="231F20"/>
          <w:spacing w:val="-6"/>
          <w:w w:val="110"/>
        </w:rPr>
        <w:t> </w:t>
      </w:r>
      <w:r>
        <w:rPr>
          <w:color w:val="231F20"/>
          <w:w w:val="110"/>
        </w:rPr>
        <w:t>6-5).</w:t>
      </w:r>
      <w:r>
        <w:rPr>
          <w:color w:val="231F20"/>
          <w:spacing w:val="-6"/>
          <w:w w:val="110"/>
        </w:rPr>
        <w:t> </w:t>
      </w:r>
      <w:r>
        <w:rPr>
          <w:color w:val="231F20"/>
          <w:w w:val="110"/>
        </w:rPr>
        <w:t>En</w:t>
      </w:r>
      <w:r>
        <w:rPr>
          <w:color w:val="231F20"/>
          <w:spacing w:val="-6"/>
          <w:w w:val="110"/>
        </w:rPr>
        <w:t> </w:t>
      </w:r>
      <w:r>
        <w:rPr>
          <w:color w:val="231F20"/>
          <w:w w:val="110"/>
        </w:rPr>
        <w:t>comparación,</w:t>
      </w:r>
      <w:r>
        <w:rPr>
          <w:color w:val="231F20"/>
          <w:w w:val="110"/>
        </w:rPr>
        <w:t> </w:t>
      </w:r>
      <w:r>
        <w:rPr>
          <w:color w:val="231F20"/>
          <w:w w:val="110"/>
        </w:rPr>
        <w:t>en 2003, la Unión Europea los superaría con 32.2%,</w:t>
      </w:r>
      <w:r>
        <w:rPr>
          <w:color w:val="231F20"/>
          <w:spacing w:val="31"/>
          <w:w w:val="110"/>
        </w:rPr>
        <w:t> </w:t>
      </w:r>
      <w:r>
        <w:rPr>
          <w:color w:val="231F20"/>
          <w:w w:val="110"/>
        </w:rPr>
        <w:t>mientras</w:t>
      </w:r>
      <w:r>
        <w:rPr>
          <w:color w:val="231F20"/>
          <w:spacing w:val="21"/>
          <w:w w:val="110"/>
        </w:rPr>
        <w:t> </w:t>
      </w:r>
      <w:r>
        <w:rPr>
          <w:color w:val="231F20"/>
          <w:w w:val="110"/>
        </w:rPr>
        <w:t>que</w:t>
      </w:r>
      <w:r>
        <w:rPr>
          <w:color w:val="231F20"/>
          <w:w w:val="113"/>
        </w:rPr>
        <w:t> </w:t>
      </w:r>
      <w:r>
        <w:rPr>
          <w:color w:val="231F20"/>
          <w:w w:val="110"/>
        </w:rPr>
        <w:t>Japón, Alemania y China participarían con 8.6%, 7.6% y</w:t>
      </w:r>
      <w:r>
        <w:rPr>
          <w:color w:val="231F20"/>
          <w:spacing w:val="38"/>
          <w:w w:val="110"/>
        </w:rPr>
        <w:t> </w:t>
      </w:r>
      <w:r>
        <w:rPr>
          <w:color w:val="231F20"/>
          <w:w w:val="110"/>
        </w:rPr>
        <w:t>7.0%,</w:t>
      </w:r>
      <w:r>
        <w:rPr>
          <w:color w:val="231F20"/>
          <w:spacing w:val="10"/>
          <w:w w:val="110"/>
        </w:rPr>
        <w:t> </w:t>
      </w:r>
      <w:r>
        <w:rPr>
          <w:color w:val="231F20"/>
          <w:w w:val="110"/>
        </w:rPr>
        <w:t>los</w:t>
      </w:r>
      <w:r>
        <w:rPr>
          <w:color w:val="231F20"/>
          <w:w w:val="102"/>
        </w:rPr>
        <w:t> </w:t>
      </w:r>
      <w:r>
        <w:rPr>
          <w:color w:val="231F20"/>
          <w:w w:val="110"/>
        </w:rPr>
        <w:t>primeros a la baja, la última al alza acelerada (nsb, 2006:</w:t>
      </w:r>
      <w:r>
        <w:rPr>
          <w:color w:val="231F20"/>
          <w:spacing w:val="20"/>
          <w:w w:val="110"/>
        </w:rPr>
        <w:t> </w:t>
      </w:r>
      <w:r>
        <w:rPr>
          <w:color w:val="231F20"/>
          <w:w w:val="110"/>
        </w:rPr>
        <w:t>tabla</w:t>
      </w:r>
      <w:r>
        <w:rPr>
          <w:color w:val="231F20"/>
          <w:spacing w:val="1"/>
          <w:w w:val="110"/>
        </w:rPr>
        <w:t> </w:t>
      </w:r>
      <w:r>
        <w:rPr>
          <w:color w:val="231F20"/>
          <w:w w:val="110"/>
        </w:rPr>
        <w:t>6-2).</w:t>
      </w:r>
      <w:r>
        <w:rPr>
          <w:color w:val="231F20"/>
          <w:w w:val="103"/>
        </w:rPr>
        <w:t> </w:t>
      </w:r>
      <w:r>
        <w:rPr>
          <w:color w:val="231F20"/>
          <w:w w:val="110"/>
        </w:rPr>
        <w:t>En 2005 ya China ocuparía el primer lugar en exportaciones   </w:t>
      </w:r>
      <w:r>
        <w:rPr>
          <w:color w:val="231F20"/>
          <w:spacing w:val="8"/>
          <w:w w:val="110"/>
        </w:rPr>
        <w:t> </w:t>
      </w:r>
      <w:r>
        <w:rPr>
          <w:color w:val="231F20"/>
          <w:w w:val="110"/>
        </w:rPr>
        <w:t>altec,</w:t>
      </w:r>
    </w:p>
    <w:p>
      <w:pPr>
        <w:pStyle w:val="BodyText"/>
        <w:ind w:left="100" w:right="25"/>
      </w:pPr>
      <w:r>
        <w:rPr>
          <w:color w:val="231F20"/>
          <w:w w:val="110"/>
        </w:rPr>
        <w:t>con 19% (nsb, 2008: 6-27).</w:t>
      </w:r>
    </w:p>
    <w:p>
      <w:pPr>
        <w:pStyle w:val="BodyText"/>
        <w:spacing w:line="261" w:lineRule="auto" w:before="20"/>
        <w:ind w:left="100" w:right="117" w:firstLine="240"/>
        <w:jc w:val="both"/>
      </w:pPr>
      <w:r>
        <w:rPr>
          <w:color w:val="231F20"/>
          <w:w w:val="110"/>
        </w:rPr>
        <w:t>Sorprendería</w:t>
      </w:r>
      <w:r>
        <w:rPr>
          <w:color w:val="231F20"/>
          <w:spacing w:val="-12"/>
          <w:w w:val="110"/>
        </w:rPr>
        <w:t> </w:t>
      </w:r>
      <w:r>
        <w:rPr>
          <w:color w:val="231F20"/>
          <w:w w:val="110"/>
        </w:rPr>
        <w:t>no</w:t>
      </w:r>
      <w:r>
        <w:rPr>
          <w:color w:val="231F20"/>
          <w:spacing w:val="-12"/>
          <w:w w:val="110"/>
        </w:rPr>
        <w:t> </w:t>
      </w:r>
      <w:r>
        <w:rPr>
          <w:color w:val="231F20"/>
          <w:w w:val="110"/>
        </w:rPr>
        <w:t>solo</w:t>
      </w:r>
      <w:r>
        <w:rPr>
          <w:color w:val="231F20"/>
          <w:spacing w:val="-12"/>
          <w:w w:val="110"/>
        </w:rPr>
        <w:t> </w:t>
      </w:r>
      <w:r>
        <w:rPr>
          <w:color w:val="231F20"/>
          <w:w w:val="110"/>
        </w:rPr>
        <w:t>el</w:t>
      </w:r>
      <w:r>
        <w:rPr>
          <w:color w:val="231F20"/>
          <w:spacing w:val="-12"/>
          <w:w w:val="110"/>
        </w:rPr>
        <w:t> </w:t>
      </w:r>
      <w:r>
        <w:rPr>
          <w:color w:val="231F20"/>
          <w:w w:val="110"/>
        </w:rPr>
        <w:t>recordista</w:t>
      </w:r>
      <w:r>
        <w:rPr>
          <w:color w:val="231F20"/>
          <w:spacing w:val="-12"/>
          <w:w w:val="110"/>
        </w:rPr>
        <w:t> </w:t>
      </w:r>
      <w:r>
        <w:rPr>
          <w:color w:val="231F20"/>
          <w:w w:val="110"/>
        </w:rPr>
        <w:t>balance</w:t>
      </w:r>
      <w:r>
        <w:rPr>
          <w:color w:val="231F20"/>
          <w:spacing w:val="-12"/>
          <w:w w:val="110"/>
        </w:rPr>
        <w:t> </w:t>
      </w:r>
      <w:r>
        <w:rPr>
          <w:color w:val="231F20"/>
          <w:w w:val="110"/>
        </w:rPr>
        <w:t>deficitario</w:t>
      </w:r>
      <w:r>
        <w:rPr>
          <w:color w:val="231F20"/>
          <w:spacing w:val="-12"/>
          <w:w w:val="110"/>
        </w:rPr>
        <w:t> </w:t>
      </w:r>
      <w:r>
        <w:rPr>
          <w:color w:val="231F20"/>
          <w:w w:val="110"/>
        </w:rPr>
        <w:t>del</w:t>
      </w:r>
      <w:r>
        <w:rPr>
          <w:color w:val="231F20"/>
          <w:spacing w:val="-12"/>
          <w:w w:val="110"/>
        </w:rPr>
        <w:t> </w:t>
      </w:r>
      <w:r>
        <w:rPr>
          <w:color w:val="231F20"/>
          <w:w w:val="110"/>
        </w:rPr>
        <w:t>comercio </w:t>
      </w:r>
      <w:r>
        <w:rPr>
          <w:color w:val="231F20"/>
          <w:w w:val="115"/>
        </w:rPr>
        <w:t>exterior</w:t>
      </w:r>
      <w:r>
        <w:rPr>
          <w:color w:val="231F20"/>
          <w:spacing w:val="-15"/>
          <w:w w:val="115"/>
        </w:rPr>
        <w:t> </w:t>
      </w:r>
      <w:r>
        <w:rPr>
          <w:color w:val="231F20"/>
          <w:w w:val="115"/>
        </w:rPr>
        <w:t>general</w:t>
      </w:r>
      <w:r>
        <w:rPr>
          <w:color w:val="231F20"/>
          <w:spacing w:val="-15"/>
          <w:w w:val="115"/>
        </w:rPr>
        <w:t> </w:t>
      </w:r>
      <w:r>
        <w:rPr>
          <w:color w:val="231F20"/>
          <w:w w:val="115"/>
        </w:rPr>
        <w:t>estadunidense</w:t>
      </w:r>
      <w:r>
        <w:rPr>
          <w:color w:val="231F20"/>
          <w:spacing w:val="-15"/>
          <w:w w:val="115"/>
        </w:rPr>
        <w:t> </w:t>
      </w:r>
      <w:r>
        <w:rPr>
          <w:color w:val="231F20"/>
          <w:w w:val="115"/>
        </w:rPr>
        <w:t>de</w:t>
      </w:r>
      <w:r>
        <w:rPr>
          <w:color w:val="231F20"/>
          <w:spacing w:val="-15"/>
          <w:w w:val="115"/>
        </w:rPr>
        <w:t> </w:t>
      </w:r>
      <w:r>
        <w:rPr>
          <w:color w:val="231F20"/>
          <w:w w:val="115"/>
        </w:rPr>
        <w:t>–838</w:t>
      </w:r>
      <w:r>
        <w:rPr>
          <w:color w:val="231F20"/>
          <w:spacing w:val="-15"/>
          <w:w w:val="115"/>
        </w:rPr>
        <w:t> </w:t>
      </w:r>
      <w:r>
        <w:rPr>
          <w:color w:val="231F20"/>
          <w:w w:val="115"/>
        </w:rPr>
        <w:t>mil</w:t>
      </w:r>
      <w:r>
        <w:rPr>
          <w:color w:val="231F20"/>
          <w:spacing w:val="-15"/>
          <w:w w:val="115"/>
        </w:rPr>
        <w:t> </w:t>
      </w:r>
      <w:r>
        <w:rPr>
          <w:color w:val="231F20"/>
          <w:w w:val="115"/>
        </w:rPr>
        <w:t>millones</w:t>
      </w:r>
      <w:r>
        <w:rPr>
          <w:color w:val="231F20"/>
          <w:spacing w:val="-15"/>
          <w:w w:val="115"/>
        </w:rPr>
        <w:t> </w:t>
      </w:r>
      <w:r>
        <w:rPr>
          <w:color w:val="231F20"/>
          <w:w w:val="115"/>
        </w:rPr>
        <w:t>de</w:t>
      </w:r>
      <w:r>
        <w:rPr>
          <w:color w:val="231F20"/>
          <w:spacing w:val="-15"/>
          <w:w w:val="115"/>
        </w:rPr>
        <w:t> </w:t>
      </w:r>
      <w:r>
        <w:rPr>
          <w:color w:val="231F20"/>
          <w:w w:val="115"/>
        </w:rPr>
        <w:t>dólares,</w:t>
      </w:r>
      <w:r>
        <w:rPr>
          <w:color w:val="231F20"/>
          <w:spacing w:val="-15"/>
          <w:w w:val="115"/>
        </w:rPr>
        <w:t> </w:t>
      </w:r>
      <w:r>
        <w:rPr>
          <w:color w:val="231F20"/>
          <w:w w:val="115"/>
        </w:rPr>
        <w:t>en 2006</w:t>
      </w:r>
      <w:r>
        <w:rPr>
          <w:color w:val="231F20"/>
          <w:spacing w:val="-5"/>
          <w:w w:val="115"/>
        </w:rPr>
        <w:t> </w:t>
      </w:r>
      <w:r>
        <w:rPr>
          <w:color w:val="231F20"/>
          <w:w w:val="115"/>
        </w:rPr>
        <w:t>(Craig,</w:t>
      </w:r>
      <w:r>
        <w:rPr>
          <w:color w:val="231F20"/>
          <w:spacing w:val="-5"/>
          <w:w w:val="115"/>
        </w:rPr>
        <w:t> </w:t>
      </w:r>
      <w:r>
        <w:rPr>
          <w:color w:val="231F20"/>
          <w:w w:val="115"/>
        </w:rPr>
        <w:t>2007),</w:t>
      </w:r>
      <w:r>
        <w:rPr>
          <w:color w:val="231F20"/>
          <w:spacing w:val="-5"/>
          <w:w w:val="115"/>
        </w:rPr>
        <w:t> </w:t>
      </w:r>
      <w:r>
        <w:rPr>
          <w:color w:val="231F20"/>
          <w:w w:val="115"/>
        </w:rPr>
        <w:t>sino</w:t>
      </w:r>
      <w:r>
        <w:rPr>
          <w:color w:val="231F20"/>
          <w:spacing w:val="-5"/>
          <w:w w:val="115"/>
        </w:rPr>
        <w:t> </w:t>
      </w:r>
      <w:r>
        <w:rPr>
          <w:color w:val="231F20"/>
          <w:w w:val="115"/>
        </w:rPr>
        <w:t>el</w:t>
      </w:r>
      <w:r>
        <w:rPr>
          <w:color w:val="231F20"/>
          <w:spacing w:val="-5"/>
          <w:w w:val="115"/>
        </w:rPr>
        <w:t> </w:t>
      </w:r>
      <w:r>
        <w:rPr>
          <w:color w:val="231F20"/>
          <w:w w:val="115"/>
        </w:rPr>
        <w:t>del</w:t>
      </w:r>
      <w:r>
        <w:rPr>
          <w:color w:val="231F20"/>
          <w:spacing w:val="-5"/>
          <w:w w:val="115"/>
        </w:rPr>
        <w:t> </w:t>
      </w:r>
      <w:r>
        <w:rPr>
          <w:color w:val="231F20"/>
          <w:w w:val="115"/>
        </w:rPr>
        <w:t>sector</w:t>
      </w:r>
      <w:r>
        <w:rPr>
          <w:color w:val="231F20"/>
          <w:spacing w:val="-5"/>
          <w:w w:val="115"/>
        </w:rPr>
        <w:t> </w:t>
      </w:r>
      <w:r>
        <w:rPr>
          <w:color w:val="231F20"/>
          <w:w w:val="115"/>
        </w:rPr>
        <w:t>de</w:t>
      </w:r>
      <w:r>
        <w:rPr>
          <w:color w:val="231F20"/>
          <w:spacing w:val="-5"/>
          <w:w w:val="115"/>
        </w:rPr>
        <w:t> </w:t>
      </w:r>
      <w:r>
        <w:rPr>
          <w:color w:val="231F20"/>
          <w:w w:val="115"/>
        </w:rPr>
        <w:t>sus</w:t>
      </w:r>
      <w:r>
        <w:rPr>
          <w:color w:val="231F20"/>
          <w:spacing w:val="-5"/>
          <w:w w:val="115"/>
        </w:rPr>
        <w:t> </w:t>
      </w:r>
      <w:r>
        <w:rPr>
          <w:color w:val="231F20"/>
          <w:w w:val="115"/>
        </w:rPr>
        <w:t>estratégicas</w:t>
      </w:r>
      <w:r>
        <w:rPr>
          <w:color w:val="231F20"/>
          <w:spacing w:val="-5"/>
          <w:w w:val="115"/>
        </w:rPr>
        <w:t> </w:t>
      </w:r>
      <w:r>
        <w:rPr>
          <w:color w:val="231F20"/>
          <w:w w:val="115"/>
        </w:rPr>
        <w:t>líneas</w:t>
      </w:r>
      <w:r>
        <w:rPr>
          <w:color w:val="231F20"/>
          <w:spacing w:val="-5"/>
          <w:w w:val="115"/>
        </w:rPr>
        <w:t> </w:t>
      </w:r>
      <w:r>
        <w:rPr>
          <w:color w:val="231F20"/>
          <w:w w:val="115"/>
        </w:rPr>
        <w:t>de productos</w:t>
      </w:r>
      <w:r>
        <w:rPr>
          <w:color w:val="231F20"/>
          <w:spacing w:val="-12"/>
          <w:w w:val="115"/>
        </w:rPr>
        <w:t> </w:t>
      </w:r>
      <w:r>
        <w:rPr>
          <w:color w:val="231F20"/>
          <w:w w:val="115"/>
        </w:rPr>
        <w:t>altec,</w:t>
      </w:r>
      <w:r>
        <w:rPr>
          <w:color w:val="231F20"/>
          <w:spacing w:val="-12"/>
          <w:w w:val="115"/>
        </w:rPr>
        <w:t> </w:t>
      </w:r>
      <w:r>
        <w:rPr>
          <w:color w:val="231F20"/>
          <w:w w:val="115"/>
        </w:rPr>
        <w:t>tradicionalmente</w:t>
      </w:r>
      <w:r>
        <w:rPr>
          <w:color w:val="231F20"/>
          <w:spacing w:val="-12"/>
          <w:w w:val="115"/>
        </w:rPr>
        <w:t> </w:t>
      </w:r>
      <w:r>
        <w:rPr>
          <w:color w:val="231F20"/>
          <w:w w:val="115"/>
        </w:rPr>
        <w:t>con</w:t>
      </w:r>
      <w:r>
        <w:rPr>
          <w:color w:val="231F20"/>
          <w:spacing w:val="-12"/>
          <w:w w:val="115"/>
        </w:rPr>
        <w:t> </w:t>
      </w:r>
      <w:r>
        <w:rPr>
          <w:color w:val="231F20"/>
          <w:w w:val="115"/>
        </w:rPr>
        <w:t>balance</w:t>
      </w:r>
      <w:r>
        <w:rPr>
          <w:color w:val="231F20"/>
          <w:spacing w:val="-12"/>
          <w:w w:val="115"/>
        </w:rPr>
        <w:t> </w:t>
      </w:r>
      <w:r>
        <w:rPr>
          <w:color w:val="231F20"/>
          <w:w w:val="115"/>
        </w:rPr>
        <w:t>positivo,</w:t>
      </w:r>
      <w:r>
        <w:rPr>
          <w:color w:val="231F20"/>
          <w:spacing w:val="-12"/>
          <w:w w:val="115"/>
        </w:rPr>
        <w:t> </w:t>
      </w:r>
      <w:r>
        <w:rPr>
          <w:color w:val="231F20"/>
          <w:w w:val="115"/>
        </w:rPr>
        <w:t>exponente </w:t>
      </w:r>
      <w:r>
        <w:rPr>
          <w:color w:val="231F20"/>
          <w:w w:val="110"/>
        </w:rPr>
        <w:t>de una sobresaliente competitividad </w:t>
      </w:r>
      <w:r>
        <w:rPr>
          <w:i/>
          <w:color w:val="231F20"/>
          <w:w w:val="110"/>
        </w:rPr>
        <w:t>cuasi</w:t>
      </w:r>
      <w:r>
        <w:rPr>
          <w:i/>
          <w:color w:val="231F20"/>
          <w:spacing w:val="-11"/>
          <w:w w:val="110"/>
        </w:rPr>
        <w:t> </w:t>
      </w:r>
      <w:r>
        <w:rPr>
          <w:color w:val="231F20"/>
          <w:w w:val="110"/>
        </w:rPr>
        <w:t>monopólica.</w:t>
      </w:r>
    </w:p>
    <w:p>
      <w:pPr>
        <w:pStyle w:val="BodyText"/>
        <w:spacing w:line="261" w:lineRule="auto"/>
        <w:ind w:left="100" w:right="117" w:firstLine="240"/>
        <w:jc w:val="both"/>
      </w:pPr>
      <w:r>
        <w:rPr>
          <w:color w:val="231F20"/>
          <w:w w:val="115"/>
        </w:rPr>
        <w:t>En los años noventa, de los once principales segmentos altec registrados,</w:t>
      </w:r>
      <w:r>
        <w:rPr>
          <w:color w:val="231F20"/>
          <w:spacing w:val="-12"/>
          <w:w w:val="115"/>
        </w:rPr>
        <w:t> </w:t>
      </w:r>
      <w:r>
        <w:rPr>
          <w:color w:val="231F20"/>
          <w:w w:val="115"/>
        </w:rPr>
        <w:t>nueve</w:t>
      </w:r>
      <w:r>
        <w:rPr>
          <w:color w:val="231F20"/>
          <w:spacing w:val="-12"/>
          <w:w w:val="115"/>
        </w:rPr>
        <w:t> </w:t>
      </w:r>
      <w:r>
        <w:rPr>
          <w:color w:val="231F20"/>
          <w:w w:val="115"/>
        </w:rPr>
        <w:t>habían</w:t>
      </w:r>
      <w:r>
        <w:rPr>
          <w:color w:val="231F20"/>
          <w:spacing w:val="-12"/>
          <w:w w:val="115"/>
        </w:rPr>
        <w:t> </w:t>
      </w:r>
      <w:r>
        <w:rPr>
          <w:color w:val="231F20"/>
          <w:w w:val="115"/>
        </w:rPr>
        <w:t>sido</w:t>
      </w:r>
      <w:r>
        <w:rPr>
          <w:color w:val="231F20"/>
          <w:spacing w:val="-12"/>
          <w:w w:val="115"/>
        </w:rPr>
        <w:t> </w:t>
      </w:r>
      <w:r>
        <w:rPr>
          <w:color w:val="231F20"/>
          <w:w w:val="115"/>
        </w:rPr>
        <w:t>generadores</w:t>
      </w:r>
      <w:r>
        <w:rPr>
          <w:color w:val="231F20"/>
          <w:spacing w:val="-12"/>
          <w:w w:val="115"/>
        </w:rPr>
        <w:t> </w:t>
      </w:r>
      <w:r>
        <w:rPr>
          <w:color w:val="231F20"/>
          <w:w w:val="115"/>
        </w:rPr>
        <w:t>permanentes</w:t>
      </w:r>
      <w:r>
        <w:rPr>
          <w:color w:val="231F20"/>
          <w:spacing w:val="-12"/>
          <w:w w:val="115"/>
        </w:rPr>
        <w:t> </w:t>
      </w:r>
      <w:r>
        <w:rPr>
          <w:color w:val="231F20"/>
          <w:w w:val="115"/>
        </w:rPr>
        <w:t>de</w:t>
      </w:r>
      <w:r>
        <w:rPr>
          <w:color w:val="231F20"/>
          <w:spacing w:val="-12"/>
          <w:w w:val="115"/>
        </w:rPr>
        <w:t> </w:t>
      </w:r>
      <w:r>
        <w:rPr>
          <w:color w:val="231F20"/>
          <w:w w:val="115"/>
        </w:rPr>
        <w:t>balan- ce</w:t>
      </w:r>
      <w:r>
        <w:rPr>
          <w:color w:val="231F20"/>
          <w:spacing w:val="-16"/>
          <w:w w:val="115"/>
        </w:rPr>
        <w:t> </w:t>
      </w:r>
      <w:r>
        <w:rPr>
          <w:color w:val="231F20"/>
          <w:w w:val="115"/>
        </w:rPr>
        <w:t>positivo</w:t>
      </w:r>
      <w:r>
        <w:rPr>
          <w:color w:val="231F20"/>
          <w:spacing w:val="-16"/>
          <w:w w:val="115"/>
        </w:rPr>
        <w:t> </w:t>
      </w:r>
      <w:r>
        <w:rPr>
          <w:color w:val="231F20"/>
          <w:w w:val="115"/>
        </w:rPr>
        <w:t>exportación-importación.</w:t>
      </w:r>
      <w:r>
        <w:rPr>
          <w:color w:val="231F20"/>
          <w:spacing w:val="-16"/>
          <w:w w:val="115"/>
        </w:rPr>
        <w:t> </w:t>
      </w:r>
      <w:r>
        <w:rPr>
          <w:color w:val="231F20"/>
          <w:w w:val="115"/>
        </w:rPr>
        <w:t>Pero</w:t>
      </w:r>
      <w:r>
        <w:rPr>
          <w:color w:val="231F20"/>
          <w:spacing w:val="-16"/>
          <w:w w:val="115"/>
        </w:rPr>
        <w:t> </w:t>
      </w:r>
      <w:r>
        <w:rPr>
          <w:color w:val="231F20"/>
          <w:w w:val="115"/>
        </w:rPr>
        <w:t>a</w:t>
      </w:r>
      <w:r>
        <w:rPr>
          <w:color w:val="231F20"/>
          <w:spacing w:val="-16"/>
          <w:w w:val="115"/>
        </w:rPr>
        <w:t> </w:t>
      </w:r>
      <w:r>
        <w:rPr>
          <w:color w:val="231F20"/>
          <w:w w:val="115"/>
        </w:rPr>
        <w:t>partir</w:t>
      </w:r>
      <w:r>
        <w:rPr>
          <w:color w:val="231F20"/>
          <w:spacing w:val="-16"/>
          <w:w w:val="115"/>
        </w:rPr>
        <w:t> </w:t>
      </w:r>
      <w:r>
        <w:rPr>
          <w:color w:val="231F20"/>
          <w:w w:val="115"/>
        </w:rPr>
        <w:t>del</w:t>
      </w:r>
      <w:r>
        <w:rPr>
          <w:color w:val="231F20"/>
          <w:spacing w:val="-16"/>
          <w:w w:val="115"/>
        </w:rPr>
        <w:t> </w:t>
      </w:r>
      <w:r>
        <w:rPr>
          <w:color w:val="231F20"/>
          <w:w w:val="115"/>
        </w:rPr>
        <w:t>año</w:t>
      </w:r>
      <w:r>
        <w:rPr>
          <w:color w:val="231F20"/>
          <w:spacing w:val="-16"/>
          <w:w w:val="115"/>
        </w:rPr>
        <w:t> </w:t>
      </w:r>
      <w:r>
        <w:rPr>
          <w:color w:val="231F20"/>
          <w:w w:val="115"/>
        </w:rPr>
        <w:t>2000,</w:t>
      </w:r>
      <w:r>
        <w:rPr>
          <w:color w:val="231F20"/>
          <w:spacing w:val="-16"/>
          <w:w w:val="115"/>
        </w:rPr>
        <w:t> </w:t>
      </w:r>
      <w:r>
        <w:rPr>
          <w:color w:val="231F20"/>
          <w:w w:val="115"/>
        </w:rPr>
        <w:t>se produciría la erosión general del balance comercial de productos altec, desde principios de los años noventa iniciado en dos seg- mentos</w:t>
      </w:r>
      <w:r>
        <w:rPr>
          <w:color w:val="231F20"/>
          <w:spacing w:val="-13"/>
          <w:w w:val="115"/>
        </w:rPr>
        <w:t> </w:t>
      </w:r>
      <w:r>
        <w:rPr>
          <w:color w:val="231F20"/>
          <w:w w:val="115"/>
        </w:rPr>
        <w:t>(información</w:t>
      </w:r>
      <w:r>
        <w:rPr>
          <w:color w:val="231F20"/>
          <w:spacing w:val="-13"/>
          <w:w w:val="115"/>
        </w:rPr>
        <w:t> </w:t>
      </w:r>
      <w:r>
        <w:rPr>
          <w:color w:val="231F20"/>
          <w:w w:val="110"/>
        </w:rPr>
        <w:t>y</w:t>
      </w:r>
      <w:r>
        <w:rPr>
          <w:color w:val="231F20"/>
          <w:spacing w:val="-10"/>
          <w:w w:val="110"/>
        </w:rPr>
        <w:t> </w:t>
      </w:r>
      <w:r>
        <w:rPr>
          <w:color w:val="231F20"/>
          <w:w w:val="115"/>
        </w:rPr>
        <w:t>comunicaciones,</w:t>
      </w:r>
      <w:r>
        <w:rPr>
          <w:color w:val="231F20"/>
          <w:spacing w:val="-13"/>
          <w:w w:val="115"/>
        </w:rPr>
        <w:t> </w:t>
      </w:r>
      <w:r>
        <w:rPr>
          <w:color w:val="231F20"/>
          <w:w w:val="110"/>
        </w:rPr>
        <w:t>y</w:t>
      </w:r>
      <w:r>
        <w:rPr>
          <w:color w:val="231F20"/>
          <w:spacing w:val="-10"/>
          <w:w w:val="110"/>
        </w:rPr>
        <w:t> </w:t>
      </w:r>
      <w:r>
        <w:rPr>
          <w:color w:val="231F20"/>
          <w:w w:val="115"/>
        </w:rPr>
        <w:t>optoelectrónica)</w:t>
      </w:r>
      <w:r>
        <w:rPr>
          <w:color w:val="231F20"/>
          <w:spacing w:val="-13"/>
          <w:w w:val="115"/>
        </w:rPr>
        <w:t> </w:t>
      </w:r>
      <w:r>
        <w:rPr>
          <w:color w:val="231F20"/>
          <w:w w:val="115"/>
        </w:rPr>
        <w:t>con</w:t>
      </w:r>
      <w:r>
        <w:rPr>
          <w:color w:val="231F20"/>
          <w:spacing w:val="-13"/>
          <w:w w:val="115"/>
        </w:rPr>
        <w:t> </w:t>
      </w:r>
      <w:r>
        <w:rPr>
          <w:color w:val="231F20"/>
          <w:w w:val="115"/>
        </w:rPr>
        <w:t>un balance</w:t>
      </w:r>
      <w:r>
        <w:rPr>
          <w:color w:val="231F20"/>
          <w:spacing w:val="-40"/>
          <w:w w:val="115"/>
        </w:rPr>
        <w:t> </w:t>
      </w:r>
      <w:r>
        <w:rPr>
          <w:color w:val="231F20"/>
          <w:w w:val="115"/>
        </w:rPr>
        <w:t>altamente</w:t>
      </w:r>
      <w:r>
        <w:rPr>
          <w:color w:val="231F20"/>
          <w:spacing w:val="-40"/>
          <w:w w:val="115"/>
        </w:rPr>
        <w:t> </w:t>
      </w:r>
      <w:r>
        <w:rPr>
          <w:color w:val="231F20"/>
          <w:w w:val="115"/>
        </w:rPr>
        <w:t>deficitario</w:t>
      </w:r>
      <w:r>
        <w:rPr>
          <w:color w:val="231F20"/>
          <w:spacing w:val="-40"/>
          <w:w w:val="115"/>
        </w:rPr>
        <w:t> </w:t>
      </w:r>
      <w:r>
        <w:rPr>
          <w:color w:val="231F20"/>
          <w:w w:val="115"/>
        </w:rPr>
        <w:t>causado</w:t>
      </w:r>
      <w:r>
        <w:rPr>
          <w:color w:val="231F20"/>
          <w:spacing w:val="-40"/>
          <w:w w:val="115"/>
        </w:rPr>
        <w:t> </w:t>
      </w:r>
      <w:r>
        <w:rPr>
          <w:color w:val="231F20"/>
          <w:w w:val="115"/>
        </w:rPr>
        <w:t>por</w:t>
      </w:r>
      <w:r>
        <w:rPr>
          <w:color w:val="231F20"/>
          <w:spacing w:val="-40"/>
          <w:w w:val="115"/>
        </w:rPr>
        <w:t> </w:t>
      </w:r>
      <w:r>
        <w:rPr>
          <w:color w:val="231F20"/>
          <w:w w:val="115"/>
        </w:rPr>
        <w:t>la</w:t>
      </w:r>
      <w:r>
        <w:rPr>
          <w:color w:val="231F20"/>
          <w:spacing w:val="-40"/>
          <w:w w:val="115"/>
        </w:rPr>
        <w:t> </w:t>
      </w:r>
      <w:r>
        <w:rPr>
          <w:color w:val="231F20"/>
          <w:w w:val="115"/>
        </w:rPr>
        <w:t>pujanza</w:t>
      </w:r>
      <w:r>
        <w:rPr>
          <w:color w:val="231F20"/>
          <w:spacing w:val="-40"/>
          <w:w w:val="115"/>
        </w:rPr>
        <w:t> </w:t>
      </w:r>
      <w:r>
        <w:rPr>
          <w:color w:val="231F20"/>
          <w:w w:val="115"/>
        </w:rPr>
        <w:t>asiática.</w:t>
      </w:r>
      <w:r>
        <w:rPr>
          <w:color w:val="231F20"/>
          <w:spacing w:val="-40"/>
          <w:w w:val="115"/>
        </w:rPr>
        <w:t> </w:t>
      </w:r>
      <w:r>
        <w:rPr>
          <w:color w:val="231F20"/>
          <w:w w:val="110"/>
        </w:rPr>
        <w:t>A</w:t>
      </w:r>
      <w:r>
        <w:rPr>
          <w:color w:val="231F20"/>
          <w:spacing w:val="-37"/>
          <w:w w:val="110"/>
        </w:rPr>
        <w:t> </w:t>
      </w:r>
      <w:r>
        <w:rPr>
          <w:color w:val="231F20"/>
          <w:w w:val="115"/>
        </w:rPr>
        <w:t>éstos</w:t>
      </w:r>
      <w:r>
        <w:rPr>
          <w:color w:val="231F20"/>
          <w:w w:val="105"/>
        </w:rPr>
        <w:t> </w:t>
      </w:r>
      <w:r>
        <w:rPr>
          <w:color w:val="231F20"/>
          <w:w w:val="115"/>
        </w:rPr>
        <w:t>se</w:t>
      </w:r>
      <w:r>
        <w:rPr>
          <w:color w:val="231F20"/>
          <w:spacing w:val="-23"/>
          <w:w w:val="115"/>
        </w:rPr>
        <w:t> </w:t>
      </w:r>
      <w:r>
        <w:rPr>
          <w:color w:val="231F20"/>
          <w:w w:val="115"/>
        </w:rPr>
        <w:t>le</w:t>
      </w:r>
      <w:r>
        <w:rPr>
          <w:color w:val="231F20"/>
          <w:spacing w:val="-23"/>
          <w:w w:val="115"/>
        </w:rPr>
        <w:t> </w:t>
      </w:r>
      <w:r>
        <w:rPr>
          <w:color w:val="231F20"/>
          <w:w w:val="115"/>
        </w:rPr>
        <w:t>sumarían</w:t>
      </w:r>
      <w:r>
        <w:rPr>
          <w:color w:val="231F20"/>
          <w:spacing w:val="-23"/>
          <w:w w:val="115"/>
        </w:rPr>
        <w:t> </w:t>
      </w:r>
      <w:r>
        <w:rPr>
          <w:color w:val="231F20"/>
          <w:w w:val="115"/>
        </w:rPr>
        <w:t>ahora</w:t>
      </w:r>
      <w:r>
        <w:rPr>
          <w:color w:val="231F20"/>
          <w:spacing w:val="-23"/>
          <w:w w:val="115"/>
        </w:rPr>
        <w:t> </w:t>
      </w:r>
      <w:r>
        <w:rPr>
          <w:color w:val="231F20"/>
          <w:w w:val="115"/>
        </w:rPr>
        <w:t>los</w:t>
      </w:r>
      <w:r>
        <w:rPr>
          <w:color w:val="231F20"/>
          <w:spacing w:val="-23"/>
          <w:w w:val="115"/>
        </w:rPr>
        <w:t> </w:t>
      </w:r>
      <w:r>
        <w:rPr>
          <w:color w:val="231F20"/>
          <w:w w:val="115"/>
        </w:rPr>
        <w:t>segmentos</w:t>
      </w:r>
      <w:r>
        <w:rPr>
          <w:color w:val="231F20"/>
          <w:spacing w:val="-23"/>
          <w:w w:val="115"/>
        </w:rPr>
        <w:t> </w:t>
      </w:r>
      <w:r>
        <w:rPr>
          <w:color w:val="231F20"/>
          <w:w w:val="115"/>
        </w:rPr>
        <w:t>de</w:t>
      </w:r>
      <w:r>
        <w:rPr>
          <w:color w:val="231F20"/>
          <w:spacing w:val="-23"/>
          <w:w w:val="115"/>
        </w:rPr>
        <w:t> </w:t>
      </w:r>
      <w:r>
        <w:rPr>
          <w:color w:val="231F20"/>
          <w:w w:val="115"/>
        </w:rPr>
        <w:t>ciencias</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vida,</w:t>
      </w:r>
      <w:r>
        <w:rPr>
          <w:color w:val="231F20"/>
          <w:spacing w:val="-23"/>
          <w:w w:val="115"/>
        </w:rPr>
        <w:t> </w:t>
      </w:r>
      <w:r>
        <w:rPr>
          <w:color w:val="231F20"/>
          <w:w w:val="115"/>
        </w:rPr>
        <w:t>nucleares </w:t>
      </w:r>
      <w:r>
        <w:rPr>
          <w:color w:val="231F20"/>
          <w:w w:val="110"/>
        </w:rPr>
        <w:t>y</w:t>
      </w:r>
      <w:r>
        <w:rPr>
          <w:color w:val="231F20"/>
          <w:spacing w:val="-37"/>
          <w:w w:val="110"/>
        </w:rPr>
        <w:t> </w:t>
      </w:r>
      <w:r>
        <w:rPr>
          <w:color w:val="231F20"/>
          <w:w w:val="115"/>
        </w:rPr>
        <w:t>materiales</w:t>
      </w:r>
      <w:r>
        <w:rPr>
          <w:color w:val="231F20"/>
          <w:spacing w:val="-39"/>
          <w:w w:val="115"/>
        </w:rPr>
        <w:t> </w:t>
      </w:r>
      <w:r>
        <w:rPr>
          <w:color w:val="231F20"/>
          <w:w w:val="115"/>
        </w:rPr>
        <w:t>avanzados.</w:t>
      </w:r>
      <w:r>
        <w:rPr>
          <w:color w:val="231F20"/>
          <w:spacing w:val="-39"/>
          <w:w w:val="115"/>
        </w:rPr>
        <w:t> </w:t>
      </w:r>
      <w:r>
        <w:rPr>
          <w:color w:val="231F20"/>
          <w:w w:val="110"/>
        </w:rPr>
        <w:t>A</w:t>
      </w:r>
      <w:r>
        <w:rPr>
          <w:color w:val="231F20"/>
          <w:spacing w:val="-37"/>
          <w:w w:val="110"/>
        </w:rPr>
        <w:t> </w:t>
      </w:r>
      <w:r>
        <w:rPr>
          <w:color w:val="231F20"/>
          <w:w w:val="115"/>
        </w:rPr>
        <w:t>partir</w:t>
      </w:r>
      <w:r>
        <w:rPr>
          <w:color w:val="231F20"/>
          <w:spacing w:val="-39"/>
          <w:w w:val="115"/>
        </w:rPr>
        <w:t> </w:t>
      </w:r>
      <w:r>
        <w:rPr>
          <w:color w:val="231F20"/>
          <w:w w:val="115"/>
        </w:rPr>
        <w:t>de</w:t>
      </w:r>
      <w:r>
        <w:rPr>
          <w:color w:val="231F20"/>
          <w:spacing w:val="-39"/>
          <w:w w:val="115"/>
        </w:rPr>
        <w:t> </w:t>
      </w:r>
      <w:r>
        <w:rPr>
          <w:color w:val="231F20"/>
          <w:w w:val="115"/>
        </w:rPr>
        <w:t>2002</w:t>
      </w:r>
      <w:r>
        <w:rPr>
          <w:color w:val="231F20"/>
          <w:spacing w:val="-39"/>
          <w:w w:val="115"/>
        </w:rPr>
        <w:t> </w:t>
      </w:r>
      <w:r>
        <w:rPr>
          <w:color w:val="231F20"/>
          <w:w w:val="115"/>
        </w:rPr>
        <w:t>la</w:t>
      </w:r>
      <w:r>
        <w:rPr>
          <w:color w:val="231F20"/>
          <w:spacing w:val="-39"/>
          <w:w w:val="115"/>
        </w:rPr>
        <w:t> </w:t>
      </w:r>
      <w:r>
        <w:rPr>
          <w:color w:val="231F20"/>
          <w:w w:val="115"/>
        </w:rPr>
        <w:t>importación</w:t>
      </w:r>
      <w:r>
        <w:rPr>
          <w:color w:val="231F20"/>
          <w:spacing w:val="-39"/>
          <w:w w:val="115"/>
        </w:rPr>
        <w:t> </w:t>
      </w:r>
      <w:r>
        <w:rPr>
          <w:color w:val="231F20"/>
          <w:w w:val="115"/>
        </w:rPr>
        <w:t>de</w:t>
      </w:r>
      <w:r>
        <w:rPr>
          <w:color w:val="231F20"/>
          <w:spacing w:val="-39"/>
          <w:w w:val="115"/>
        </w:rPr>
        <w:t> </w:t>
      </w:r>
      <w:r>
        <w:rPr>
          <w:color w:val="231F20"/>
          <w:w w:val="115"/>
        </w:rPr>
        <w:t>productos</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3 </w:t>
      </w:r>
      <w:r>
        <w:rPr>
          <w:color w:val="231F20"/>
          <w:w w:val="110"/>
          <w:sz w:val="16"/>
        </w:rPr>
        <w:t>Suma de aquellas patentes que fuesen registradas simultáneamente en los tres sistemas de atestación de la tríada.</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20"/>
        </w:rPr>
        <w:t>altec </w:t>
      </w:r>
      <w:r>
        <w:rPr>
          <w:color w:val="231F20"/>
          <w:w w:val="110"/>
        </w:rPr>
        <w:t>superaría a la exportación, trascendiendo como el primer défi- cit</w:t>
      </w:r>
      <w:r>
        <w:rPr>
          <w:color w:val="231F20"/>
          <w:spacing w:val="-8"/>
          <w:w w:val="110"/>
        </w:rPr>
        <w:t> </w:t>
      </w:r>
      <w:r>
        <w:rPr>
          <w:color w:val="231F20"/>
          <w:w w:val="110"/>
        </w:rPr>
        <w:t>comercial</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importante</w:t>
      </w:r>
      <w:r>
        <w:rPr>
          <w:color w:val="231F20"/>
          <w:spacing w:val="-8"/>
          <w:w w:val="110"/>
        </w:rPr>
        <w:t> </w:t>
      </w:r>
      <w:r>
        <w:rPr>
          <w:color w:val="231F20"/>
          <w:spacing w:val="-3"/>
          <w:w w:val="110"/>
        </w:rPr>
        <w:t>sector.</w:t>
      </w:r>
      <w:r>
        <w:rPr>
          <w:color w:val="231F20"/>
          <w:spacing w:val="-8"/>
          <w:w w:val="110"/>
        </w:rPr>
        <w:t> </w:t>
      </w:r>
      <w:r>
        <w:rPr>
          <w:color w:val="231F20"/>
          <w:w w:val="110"/>
        </w:rPr>
        <w:t>Desde</w:t>
      </w:r>
      <w:r>
        <w:rPr>
          <w:color w:val="231F20"/>
          <w:spacing w:val="-8"/>
          <w:w w:val="110"/>
        </w:rPr>
        <w:t> </w:t>
      </w:r>
      <w:r>
        <w:rPr>
          <w:color w:val="231F20"/>
          <w:w w:val="110"/>
        </w:rPr>
        <w:t>entonces</w:t>
      </w:r>
      <w:r>
        <w:rPr>
          <w:color w:val="231F20"/>
          <w:spacing w:val="-8"/>
          <w:w w:val="110"/>
        </w:rPr>
        <w:t> </w:t>
      </w:r>
      <w:r>
        <w:rPr>
          <w:color w:val="231F20"/>
          <w:w w:val="110"/>
        </w:rPr>
        <w:t>crecería</w:t>
      </w:r>
      <w:r>
        <w:rPr>
          <w:color w:val="231F20"/>
          <w:spacing w:val="-8"/>
          <w:w w:val="110"/>
        </w:rPr>
        <w:t> </w:t>
      </w:r>
      <w:r>
        <w:rPr>
          <w:color w:val="231F20"/>
          <w:w w:val="110"/>
        </w:rPr>
        <w:t>cada año para: –15.5 mil millones dólares, en 2002; y –135</w:t>
      </w:r>
      <w:r>
        <w:rPr>
          <w:color w:val="231F20"/>
          <w:spacing w:val="33"/>
          <w:w w:val="110"/>
        </w:rPr>
        <w:t> </w:t>
      </w:r>
      <w:r>
        <w:rPr>
          <w:color w:val="231F20"/>
          <w:w w:val="110"/>
        </w:rPr>
        <w:t>mil</w:t>
      </w:r>
      <w:r>
        <w:rPr>
          <w:color w:val="231F20"/>
          <w:spacing w:val="3"/>
          <w:w w:val="110"/>
        </w:rPr>
        <w:t> </w:t>
      </w:r>
      <w:r>
        <w:rPr>
          <w:color w:val="231F20"/>
          <w:w w:val="110"/>
        </w:rPr>
        <w:t>millones,</w:t>
      </w:r>
      <w:r>
        <w:rPr>
          <w:color w:val="231F20"/>
          <w:w w:val="107"/>
        </w:rPr>
        <w:t> </w:t>
      </w:r>
      <w:r>
        <w:rPr>
          <w:color w:val="231F20"/>
          <w:w w:val="110"/>
        </w:rPr>
        <w:t>en</w:t>
      </w:r>
      <w:r>
        <w:rPr>
          <w:color w:val="231F20"/>
          <w:spacing w:val="-8"/>
          <w:w w:val="110"/>
        </w:rPr>
        <w:t> </w:t>
      </w:r>
      <w:r>
        <w:rPr>
          <w:color w:val="231F20"/>
          <w:w w:val="110"/>
        </w:rPr>
        <w:t>2005,</w:t>
      </w:r>
      <w:r>
        <w:rPr>
          <w:color w:val="231F20"/>
          <w:spacing w:val="-8"/>
          <w:w w:val="110"/>
        </w:rPr>
        <w:t> </w:t>
      </w:r>
      <w:r>
        <w:rPr>
          <w:color w:val="231F20"/>
          <w:w w:val="110"/>
        </w:rPr>
        <w:t>con</w:t>
      </w:r>
      <w:r>
        <w:rPr>
          <w:color w:val="231F20"/>
          <w:spacing w:val="-8"/>
          <w:w w:val="110"/>
        </w:rPr>
        <w:t> </w:t>
      </w:r>
      <w:r>
        <w:rPr>
          <w:color w:val="231F20"/>
          <w:w w:val="110"/>
        </w:rPr>
        <w:t>balances</w:t>
      </w:r>
      <w:r>
        <w:rPr>
          <w:color w:val="231F20"/>
          <w:spacing w:val="-8"/>
          <w:w w:val="110"/>
        </w:rPr>
        <w:t> </w:t>
      </w:r>
      <w:r>
        <w:rPr>
          <w:color w:val="231F20"/>
          <w:w w:val="110"/>
        </w:rPr>
        <w:t>positivos</w:t>
      </w:r>
      <w:r>
        <w:rPr>
          <w:color w:val="231F20"/>
          <w:spacing w:val="-8"/>
          <w:w w:val="110"/>
        </w:rPr>
        <w:t> </w:t>
      </w:r>
      <w:r>
        <w:rPr>
          <w:color w:val="231F20"/>
          <w:w w:val="110"/>
        </w:rPr>
        <w:t>ya</w:t>
      </w:r>
      <w:r>
        <w:rPr>
          <w:color w:val="231F20"/>
          <w:spacing w:val="-8"/>
          <w:w w:val="110"/>
        </w:rPr>
        <w:t> </w:t>
      </w:r>
      <w:r>
        <w:rPr>
          <w:color w:val="231F20"/>
          <w:w w:val="110"/>
        </w:rPr>
        <w:t>sólo</w:t>
      </w:r>
      <w:r>
        <w:rPr>
          <w:color w:val="231F20"/>
          <w:spacing w:val="-8"/>
          <w:w w:val="110"/>
        </w:rPr>
        <w:t> </w:t>
      </w:r>
      <w:r>
        <w:rPr>
          <w:color w:val="231F20"/>
          <w:w w:val="110"/>
        </w:rPr>
        <w:t>en</w:t>
      </w:r>
      <w:r>
        <w:rPr>
          <w:color w:val="231F20"/>
          <w:spacing w:val="-8"/>
          <w:w w:val="110"/>
        </w:rPr>
        <w:t> </w:t>
      </w:r>
      <w:r>
        <w:rPr>
          <w:color w:val="231F20"/>
          <w:w w:val="110"/>
        </w:rPr>
        <w:t>instrumentos</w:t>
      </w:r>
      <w:r>
        <w:rPr>
          <w:color w:val="231F20"/>
          <w:spacing w:val="-8"/>
          <w:w w:val="110"/>
        </w:rPr>
        <w:t> </w:t>
      </w:r>
      <w:r>
        <w:rPr>
          <w:color w:val="231F20"/>
          <w:w w:val="110"/>
        </w:rPr>
        <w:t>científicos</w:t>
      </w:r>
      <w:r>
        <w:rPr>
          <w:color w:val="231F20"/>
          <w:spacing w:val="-8"/>
          <w:w w:val="110"/>
        </w:rPr>
        <w:t> </w:t>
      </w:r>
      <w:r>
        <w:rPr>
          <w:color w:val="231F20"/>
          <w:w w:val="110"/>
        </w:rPr>
        <w:t>y aeroespaciales (nsb, 2008:</w:t>
      </w:r>
      <w:r>
        <w:rPr>
          <w:color w:val="231F20"/>
          <w:spacing w:val="-33"/>
          <w:w w:val="110"/>
        </w:rPr>
        <w:t> </w:t>
      </w:r>
      <w:r>
        <w:rPr>
          <w:color w:val="231F20"/>
          <w:w w:val="110"/>
        </w:rPr>
        <w:t>6-27).</w:t>
      </w:r>
    </w:p>
    <w:p>
      <w:pPr>
        <w:pStyle w:val="BodyText"/>
        <w:spacing w:line="261" w:lineRule="auto"/>
        <w:ind w:left="100" w:right="117" w:firstLine="240"/>
        <w:jc w:val="both"/>
      </w:pPr>
      <w:r>
        <w:rPr>
          <w:color w:val="231F20"/>
          <w:w w:val="110"/>
        </w:rPr>
        <w:t>En lo concerniente a los gastos en i+d, si bien nueve países</w:t>
      </w:r>
      <w:r>
        <w:rPr>
          <w:color w:val="231F20"/>
          <w:spacing w:val="-18"/>
          <w:w w:val="110"/>
        </w:rPr>
        <w:t> </w:t>
      </w:r>
      <w:r>
        <w:rPr>
          <w:color w:val="231F20"/>
          <w:w w:val="110"/>
        </w:rPr>
        <w:t>logra- rían superar o empatar a Estados Unidos en el indicador relativo al pnb (2.6%), pero Estados Unidos mantendría la supremacía</w:t>
      </w:r>
      <w:r>
        <w:rPr>
          <w:color w:val="231F20"/>
          <w:spacing w:val="-27"/>
          <w:w w:val="110"/>
        </w:rPr>
        <w:t> </w:t>
      </w:r>
      <w:r>
        <w:rPr>
          <w:color w:val="231F20"/>
          <w:w w:val="110"/>
        </w:rPr>
        <w:t>absoluta equiparando su monto a la suma de los gastos en i+d de sus seis</w:t>
      </w:r>
      <w:r>
        <w:rPr>
          <w:color w:val="231F20"/>
          <w:spacing w:val="-32"/>
          <w:w w:val="110"/>
        </w:rPr>
        <w:t> </w:t>
      </w:r>
      <w:r>
        <w:rPr>
          <w:color w:val="231F20"/>
          <w:w w:val="110"/>
        </w:rPr>
        <w:t>más cercanos competidores del G-7, junto a los de Corea del </w:t>
      </w:r>
      <w:r>
        <w:rPr>
          <w:color w:val="231F20"/>
          <w:spacing w:val="2"/>
          <w:w w:val="110"/>
        </w:rPr>
        <w:t> </w:t>
      </w:r>
      <w:r>
        <w:rPr>
          <w:color w:val="231F20"/>
          <w:spacing w:val="-5"/>
          <w:w w:val="110"/>
        </w:rPr>
        <w:t>Sur.</w:t>
      </w:r>
    </w:p>
    <w:p>
      <w:pPr>
        <w:pStyle w:val="BodyText"/>
        <w:spacing w:line="261" w:lineRule="auto"/>
        <w:ind w:left="100" w:right="117" w:firstLine="240"/>
        <w:jc w:val="both"/>
      </w:pPr>
      <w:r>
        <w:rPr>
          <w:color w:val="231F20"/>
          <w:w w:val="110"/>
        </w:rPr>
        <w:t>Si bien en algunas ramas y nichos la Unión Europea, Japón y los nic se abrirían cuotas de mercado en esferas estadunidenses gracias a agresivas estrategias de competitividad, notables incrementos del ritmo de desempeño en i+d industrial y de crecientes inversiones   de capital de i+d en Estados Unidos, no obstante, este país seguiría poseyendo en términos absolutos de desempeño del i+d industrial aproximadamente lo mismo que la Unión Europea y Japón juntos (Estados Unidos, 45%; Unión Europea, 27%; Japón,</w:t>
      </w:r>
      <w:r>
        <w:rPr>
          <w:color w:val="231F20"/>
          <w:spacing w:val="15"/>
          <w:w w:val="110"/>
        </w:rPr>
        <w:t> </w:t>
      </w:r>
      <w:r>
        <w:rPr>
          <w:color w:val="231F20"/>
          <w:w w:val="110"/>
        </w:rPr>
        <w:t>18%).</w:t>
      </w:r>
    </w:p>
    <w:p>
      <w:pPr>
        <w:pStyle w:val="BodyText"/>
        <w:spacing w:line="261" w:lineRule="auto"/>
        <w:ind w:left="100" w:right="117" w:firstLine="240"/>
        <w:jc w:val="both"/>
      </w:pPr>
      <w:r>
        <w:rPr>
          <w:color w:val="231F20"/>
          <w:w w:val="110"/>
        </w:rPr>
        <w:t>Ello le permitiría concentrar sistémicamente mayor nivel de re- cursos para la solución de cada problema, además de ampliar e in- tervincular sinérgicamente el cúmulo de problemas acometidos. Las fusiones</w:t>
      </w:r>
      <w:r>
        <w:rPr>
          <w:color w:val="231F20"/>
          <w:spacing w:val="-14"/>
          <w:w w:val="110"/>
        </w:rPr>
        <w:t> </w:t>
      </w:r>
      <w:r>
        <w:rPr>
          <w:color w:val="231F20"/>
          <w:w w:val="110"/>
        </w:rPr>
        <w:t>y</w:t>
      </w:r>
      <w:r>
        <w:rPr>
          <w:color w:val="231F20"/>
          <w:spacing w:val="-14"/>
          <w:w w:val="110"/>
        </w:rPr>
        <w:t> </w:t>
      </w:r>
      <w:r>
        <w:rPr>
          <w:color w:val="231F20"/>
          <w:w w:val="110"/>
        </w:rPr>
        <w:t>megafusiones</w:t>
      </w:r>
      <w:r>
        <w:rPr>
          <w:color w:val="231F20"/>
          <w:spacing w:val="-14"/>
          <w:w w:val="110"/>
        </w:rPr>
        <w:t> </w:t>
      </w:r>
      <w:r>
        <w:rPr>
          <w:color w:val="231F20"/>
          <w:w w:val="110"/>
        </w:rPr>
        <w:t>entre</w:t>
      </w:r>
      <w:r>
        <w:rPr>
          <w:color w:val="231F20"/>
          <w:spacing w:val="-14"/>
          <w:w w:val="110"/>
        </w:rPr>
        <w:t> </w:t>
      </w:r>
      <w:r>
        <w:rPr>
          <w:color w:val="231F20"/>
          <w:w w:val="110"/>
        </w:rPr>
        <w:t>empresas</w:t>
      </w:r>
      <w:r>
        <w:rPr>
          <w:color w:val="231F20"/>
          <w:spacing w:val="-14"/>
          <w:w w:val="110"/>
        </w:rPr>
        <w:t> </w:t>
      </w:r>
      <w:r>
        <w:rPr>
          <w:color w:val="231F20"/>
          <w:w w:val="110"/>
        </w:rPr>
        <w:t>estadunidenses</w:t>
      </w:r>
      <w:r>
        <w:rPr>
          <w:color w:val="231F20"/>
          <w:spacing w:val="-14"/>
          <w:w w:val="110"/>
        </w:rPr>
        <w:t> </w:t>
      </w:r>
      <w:r>
        <w:rPr>
          <w:color w:val="231F20"/>
          <w:w w:val="110"/>
        </w:rPr>
        <w:t>y</w:t>
      </w:r>
      <w:r>
        <w:rPr>
          <w:color w:val="231F20"/>
          <w:spacing w:val="-14"/>
          <w:w w:val="110"/>
        </w:rPr>
        <w:t> </w:t>
      </w:r>
      <w:r>
        <w:rPr>
          <w:color w:val="231F20"/>
          <w:w w:val="110"/>
        </w:rPr>
        <w:t>extranjeras </w:t>
      </w:r>
      <w:r>
        <w:rPr>
          <w:color w:val="231F20"/>
          <w:w w:val="120"/>
        </w:rPr>
        <w:t>altec</w:t>
      </w:r>
      <w:r>
        <w:rPr>
          <w:color w:val="231F20"/>
          <w:spacing w:val="-42"/>
          <w:w w:val="120"/>
        </w:rPr>
        <w:t> </w:t>
      </w:r>
      <w:r>
        <w:rPr>
          <w:color w:val="231F20"/>
          <w:w w:val="110"/>
        </w:rPr>
        <w:t>propiciarían asimilaciones directas del </w:t>
      </w:r>
      <w:r>
        <w:rPr>
          <w:i/>
          <w:color w:val="231F20"/>
          <w:w w:val="110"/>
        </w:rPr>
        <w:t>know-how</w:t>
      </w:r>
      <w:r>
        <w:rPr>
          <w:color w:val="231F20"/>
          <w:w w:val="110"/>
        </w:rPr>
        <w:t>.</w:t>
      </w:r>
    </w:p>
    <w:p>
      <w:pPr>
        <w:pStyle w:val="BodyText"/>
        <w:spacing w:line="261" w:lineRule="auto"/>
        <w:ind w:left="100" w:right="119" w:firstLine="240"/>
        <w:jc w:val="both"/>
      </w:pPr>
      <w:r>
        <w:rPr>
          <w:color w:val="231F20"/>
          <w:w w:val="110"/>
        </w:rPr>
        <w:t>Hasta</w:t>
      </w:r>
      <w:r>
        <w:rPr>
          <w:color w:val="231F20"/>
          <w:spacing w:val="-14"/>
          <w:w w:val="110"/>
        </w:rPr>
        <w:t> </w:t>
      </w:r>
      <w:r>
        <w:rPr>
          <w:color w:val="231F20"/>
          <w:w w:val="110"/>
        </w:rPr>
        <w:t>finales</w:t>
      </w:r>
      <w:r>
        <w:rPr>
          <w:color w:val="231F20"/>
          <w:spacing w:val="-13"/>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años</w:t>
      </w:r>
      <w:r>
        <w:rPr>
          <w:color w:val="231F20"/>
          <w:spacing w:val="-13"/>
          <w:w w:val="110"/>
        </w:rPr>
        <w:t> </w:t>
      </w:r>
      <w:r>
        <w:rPr>
          <w:color w:val="231F20"/>
          <w:w w:val="110"/>
        </w:rPr>
        <w:t>noventa</w:t>
      </w:r>
      <w:r>
        <w:rPr>
          <w:color w:val="231F20"/>
          <w:spacing w:val="-14"/>
          <w:w w:val="110"/>
        </w:rPr>
        <w:t> </w:t>
      </w:r>
      <w:r>
        <w:rPr>
          <w:color w:val="231F20"/>
          <w:w w:val="110"/>
        </w:rPr>
        <w:t>era</w:t>
      </w:r>
      <w:r>
        <w:rPr>
          <w:color w:val="231F20"/>
          <w:spacing w:val="-13"/>
          <w:w w:val="110"/>
        </w:rPr>
        <w:t> </w:t>
      </w:r>
      <w:r>
        <w:rPr>
          <w:color w:val="231F20"/>
          <w:w w:val="110"/>
        </w:rPr>
        <w:t>proclamado</w:t>
      </w:r>
      <w:r>
        <w:rPr>
          <w:color w:val="231F20"/>
          <w:spacing w:val="-13"/>
          <w:w w:val="110"/>
        </w:rPr>
        <w:t> </w:t>
      </w:r>
      <w:r>
        <w:rPr>
          <w:color w:val="231F20"/>
          <w:w w:val="110"/>
        </w:rPr>
        <w:t>que</w:t>
      </w:r>
      <w:r>
        <w:rPr>
          <w:color w:val="231F20"/>
          <w:spacing w:val="-14"/>
          <w:w w:val="110"/>
        </w:rPr>
        <w:t> </w:t>
      </w:r>
      <w:r>
        <w:rPr>
          <w:color w:val="231F20"/>
          <w:w w:val="110"/>
        </w:rPr>
        <w:t>para</w:t>
      </w:r>
      <w:r>
        <w:rPr>
          <w:color w:val="231F20"/>
          <w:spacing w:val="-13"/>
          <w:w w:val="110"/>
        </w:rPr>
        <w:t> </w:t>
      </w:r>
      <w:r>
        <w:rPr>
          <w:color w:val="231F20"/>
          <w:w w:val="110"/>
        </w:rPr>
        <w:t>Estados Unidos</w:t>
      </w:r>
      <w:r>
        <w:rPr>
          <w:color w:val="231F20"/>
          <w:spacing w:val="-33"/>
          <w:w w:val="110"/>
        </w:rPr>
        <w:t> </w:t>
      </w:r>
      <w:r>
        <w:rPr>
          <w:color w:val="231F20"/>
          <w:w w:val="110"/>
        </w:rPr>
        <w:t>—país</w:t>
      </w:r>
      <w:r>
        <w:rPr>
          <w:color w:val="231F20"/>
          <w:spacing w:val="-33"/>
          <w:w w:val="110"/>
        </w:rPr>
        <w:t> </w:t>
      </w:r>
      <w:r>
        <w:rPr>
          <w:color w:val="231F20"/>
          <w:w w:val="110"/>
        </w:rPr>
        <w:t>de</w:t>
      </w:r>
      <w:r>
        <w:rPr>
          <w:color w:val="231F20"/>
          <w:spacing w:val="-33"/>
          <w:w w:val="110"/>
        </w:rPr>
        <w:t> </w:t>
      </w:r>
      <w:r>
        <w:rPr>
          <w:color w:val="231F20"/>
          <w:w w:val="110"/>
        </w:rPr>
        <w:t>alto</w:t>
      </w:r>
      <w:r>
        <w:rPr>
          <w:color w:val="231F20"/>
          <w:spacing w:val="-33"/>
          <w:w w:val="110"/>
        </w:rPr>
        <w:t> </w:t>
      </w:r>
      <w:r>
        <w:rPr>
          <w:color w:val="231F20"/>
          <w:w w:val="110"/>
        </w:rPr>
        <w:t>nivel</w:t>
      </w:r>
      <w:r>
        <w:rPr>
          <w:color w:val="231F20"/>
          <w:spacing w:val="-33"/>
          <w:w w:val="110"/>
        </w:rPr>
        <w:t> </w:t>
      </w:r>
      <w:r>
        <w:rPr>
          <w:color w:val="231F20"/>
          <w:w w:val="110"/>
        </w:rPr>
        <w:t>salarial—</w:t>
      </w:r>
      <w:r>
        <w:rPr>
          <w:color w:val="231F20"/>
          <w:spacing w:val="-33"/>
          <w:w w:val="110"/>
        </w:rPr>
        <w:t> </w:t>
      </w:r>
      <w:r>
        <w:rPr>
          <w:color w:val="231F20"/>
          <w:w w:val="110"/>
        </w:rPr>
        <w:t>la</w:t>
      </w:r>
      <w:r>
        <w:rPr>
          <w:color w:val="231F20"/>
          <w:spacing w:val="-33"/>
          <w:w w:val="110"/>
        </w:rPr>
        <w:t> </w:t>
      </w:r>
      <w:r>
        <w:rPr>
          <w:color w:val="231F20"/>
          <w:w w:val="110"/>
        </w:rPr>
        <w:t>innovación</w:t>
      </w:r>
      <w:r>
        <w:rPr>
          <w:color w:val="231F20"/>
          <w:spacing w:val="-33"/>
          <w:w w:val="110"/>
        </w:rPr>
        <w:t> </w:t>
      </w:r>
      <w:r>
        <w:rPr>
          <w:color w:val="231F20"/>
          <w:w w:val="110"/>
        </w:rPr>
        <w:t>tecnológica</w:t>
      </w:r>
      <w:r>
        <w:rPr>
          <w:color w:val="231F20"/>
          <w:spacing w:val="-33"/>
          <w:w w:val="110"/>
        </w:rPr>
        <w:t> </w:t>
      </w:r>
      <w:r>
        <w:rPr>
          <w:color w:val="231F20"/>
          <w:w w:val="110"/>
        </w:rPr>
        <w:t>basada en</w:t>
      </w:r>
      <w:r>
        <w:rPr>
          <w:color w:val="231F20"/>
          <w:spacing w:val="-22"/>
          <w:w w:val="110"/>
        </w:rPr>
        <w:t> </w:t>
      </w:r>
      <w:r>
        <w:rPr>
          <w:color w:val="231F20"/>
          <w:w w:val="110"/>
        </w:rPr>
        <w:t>i+d</w:t>
      </w:r>
      <w:r>
        <w:rPr>
          <w:color w:val="231F20"/>
          <w:spacing w:val="-22"/>
          <w:w w:val="110"/>
        </w:rPr>
        <w:t> </w:t>
      </w:r>
      <w:r>
        <w:rPr>
          <w:color w:val="231F20"/>
          <w:w w:val="110"/>
        </w:rPr>
        <w:t>constituía</w:t>
      </w:r>
      <w:r>
        <w:rPr>
          <w:color w:val="231F20"/>
          <w:spacing w:val="-22"/>
          <w:w w:val="110"/>
        </w:rPr>
        <w:t> </w:t>
      </w:r>
      <w:r>
        <w:rPr>
          <w:color w:val="231F20"/>
          <w:w w:val="110"/>
        </w:rPr>
        <w:t>la</w:t>
      </w:r>
      <w:r>
        <w:rPr>
          <w:color w:val="231F20"/>
          <w:spacing w:val="-22"/>
          <w:w w:val="110"/>
        </w:rPr>
        <w:t> </w:t>
      </w:r>
      <w:r>
        <w:rPr>
          <w:color w:val="231F20"/>
          <w:w w:val="110"/>
        </w:rPr>
        <w:t>fuente</w:t>
      </w:r>
      <w:r>
        <w:rPr>
          <w:color w:val="231F20"/>
          <w:spacing w:val="-22"/>
          <w:w w:val="110"/>
        </w:rPr>
        <w:t> </w:t>
      </w:r>
      <w:r>
        <w:rPr>
          <w:color w:val="231F20"/>
          <w:w w:val="110"/>
        </w:rPr>
        <w:t>fundamental</w:t>
      </w:r>
      <w:r>
        <w:rPr>
          <w:color w:val="231F20"/>
          <w:spacing w:val="-22"/>
          <w:w w:val="110"/>
        </w:rPr>
        <w:t> </w:t>
      </w:r>
      <w:r>
        <w:rPr>
          <w:color w:val="231F20"/>
          <w:w w:val="110"/>
        </w:rPr>
        <w:t>para</w:t>
      </w:r>
      <w:r>
        <w:rPr>
          <w:color w:val="231F20"/>
          <w:spacing w:val="-22"/>
          <w:w w:val="110"/>
        </w:rPr>
        <w:t> </w:t>
      </w:r>
      <w:r>
        <w:rPr>
          <w:color w:val="231F20"/>
          <w:w w:val="110"/>
        </w:rPr>
        <w:t>garantizar</w:t>
      </w:r>
      <w:r>
        <w:rPr>
          <w:color w:val="231F20"/>
          <w:spacing w:val="-22"/>
          <w:w w:val="110"/>
        </w:rPr>
        <w:t> </w:t>
      </w:r>
      <w:r>
        <w:rPr>
          <w:color w:val="231F20"/>
          <w:w w:val="110"/>
        </w:rPr>
        <w:t>su</w:t>
      </w:r>
      <w:r>
        <w:rPr>
          <w:color w:val="231F20"/>
          <w:spacing w:val="-22"/>
          <w:w w:val="110"/>
        </w:rPr>
        <w:t> </w:t>
      </w:r>
      <w:r>
        <w:rPr>
          <w:color w:val="231F20"/>
          <w:w w:val="110"/>
        </w:rPr>
        <w:t>competitivi- dad</w:t>
      </w:r>
      <w:r>
        <w:rPr>
          <w:color w:val="231F20"/>
          <w:spacing w:val="-16"/>
          <w:w w:val="110"/>
        </w:rPr>
        <w:t> </w:t>
      </w:r>
      <w:r>
        <w:rPr>
          <w:color w:val="231F20"/>
          <w:w w:val="110"/>
        </w:rPr>
        <w:t>frente</w:t>
      </w:r>
      <w:r>
        <w:rPr>
          <w:color w:val="231F20"/>
          <w:spacing w:val="-16"/>
          <w:w w:val="110"/>
        </w:rPr>
        <w:t> </w:t>
      </w:r>
      <w:r>
        <w:rPr>
          <w:color w:val="231F20"/>
          <w:w w:val="110"/>
        </w:rPr>
        <w:t>a</w:t>
      </w:r>
      <w:r>
        <w:rPr>
          <w:color w:val="231F20"/>
          <w:spacing w:val="-16"/>
          <w:w w:val="110"/>
        </w:rPr>
        <w:t> </w:t>
      </w:r>
      <w:r>
        <w:rPr>
          <w:color w:val="231F20"/>
          <w:w w:val="110"/>
        </w:rPr>
        <w:t>países</w:t>
      </w:r>
      <w:r>
        <w:rPr>
          <w:color w:val="231F20"/>
          <w:spacing w:val="-16"/>
          <w:w w:val="110"/>
        </w:rPr>
        <w:t> </w:t>
      </w:r>
      <w:r>
        <w:rPr>
          <w:color w:val="231F20"/>
          <w:w w:val="110"/>
        </w:rPr>
        <w:t>de</w:t>
      </w:r>
      <w:r>
        <w:rPr>
          <w:color w:val="231F20"/>
          <w:spacing w:val="-16"/>
          <w:w w:val="110"/>
        </w:rPr>
        <w:t> </w:t>
      </w:r>
      <w:r>
        <w:rPr>
          <w:color w:val="231F20"/>
          <w:w w:val="110"/>
        </w:rPr>
        <w:t>inferior</w:t>
      </w:r>
      <w:r>
        <w:rPr>
          <w:color w:val="231F20"/>
          <w:spacing w:val="-16"/>
          <w:w w:val="110"/>
        </w:rPr>
        <w:t> </w:t>
      </w:r>
      <w:r>
        <w:rPr>
          <w:color w:val="231F20"/>
          <w:w w:val="110"/>
        </w:rPr>
        <w:t>desarrollo</w:t>
      </w:r>
      <w:r>
        <w:rPr>
          <w:color w:val="231F20"/>
          <w:spacing w:val="-16"/>
          <w:w w:val="110"/>
        </w:rPr>
        <w:t> </w:t>
      </w:r>
      <w:r>
        <w:rPr>
          <w:color w:val="231F20"/>
          <w:w w:val="110"/>
        </w:rPr>
        <w:t>y</w:t>
      </w:r>
      <w:r>
        <w:rPr>
          <w:color w:val="231F20"/>
          <w:spacing w:val="-16"/>
          <w:w w:val="110"/>
        </w:rPr>
        <w:t> </w:t>
      </w:r>
      <w:r>
        <w:rPr>
          <w:color w:val="231F20"/>
          <w:w w:val="110"/>
        </w:rPr>
        <w:t>niveles</w:t>
      </w:r>
      <w:r>
        <w:rPr>
          <w:color w:val="231F20"/>
          <w:spacing w:val="-16"/>
          <w:w w:val="110"/>
        </w:rPr>
        <w:t> </w:t>
      </w:r>
      <w:r>
        <w:rPr>
          <w:color w:val="231F20"/>
          <w:w w:val="110"/>
        </w:rPr>
        <w:t>salariales.</w:t>
      </w:r>
      <w:r>
        <w:rPr>
          <w:color w:val="231F20"/>
          <w:spacing w:val="-16"/>
          <w:w w:val="110"/>
        </w:rPr>
        <w:t> </w:t>
      </w:r>
      <w:r>
        <w:rPr>
          <w:color w:val="231F20"/>
          <w:w w:val="110"/>
        </w:rPr>
        <w:t>Aquellas industrias estadunidenses que vendrían realizando un alto volumen de i+d resultarían más exitosas en el mercado exterior</w:t>
      </w:r>
      <w:r>
        <w:rPr>
          <w:color w:val="231F20"/>
          <w:spacing w:val="-21"/>
          <w:w w:val="110"/>
        </w:rPr>
        <w:t> </w:t>
      </w:r>
      <w:r>
        <w:rPr>
          <w:color w:val="231F20"/>
          <w:w w:val="110"/>
        </w:rPr>
        <w:t>haciéndoseles más</w:t>
      </w:r>
      <w:r>
        <w:rPr>
          <w:color w:val="231F20"/>
          <w:spacing w:val="-7"/>
          <w:w w:val="110"/>
        </w:rPr>
        <w:t> </w:t>
      </w:r>
      <w:r>
        <w:rPr>
          <w:color w:val="231F20"/>
          <w:w w:val="110"/>
        </w:rPr>
        <w:t>soportables</w:t>
      </w:r>
      <w:r>
        <w:rPr>
          <w:color w:val="231F20"/>
          <w:spacing w:val="-7"/>
          <w:w w:val="110"/>
        </w:rPr>
        <w:t> </w:t>
      </w:r>
      <w:r>
        <w:rPr>
          <w:color w:val="231F20"/>
          <w:w w:val="110"/>
        </w:rPr>
        <w:t>los</w:t>
      </w:r>
      <w:r>
        <w:rPr>
          <w:color w:val="231F20"/>
          <w:spacing w:val="-7"/>
          <w:w w:val="110"/>
        </w:rPr>
        <w:t> </w:t>
      </w:r>
      <w:r>
        <w:rPr>
          <w:color w:val="231F20"/>
          <w:w w:val="110"/>
        </w:rPr>
        <w:t>altos</w:t>
      </w:r>
      <w:r>
        <w:rPr>
          <w:color w:val="231F20"/>
          <w:spacing w:val="-7"/>
          <w:w w:val="110"/>
        </w:rPr>
        <w:t> </w:t>
      </w:r>
      <w:r>
        <w:rPr>
          <w:color w:val="231F20"/>
          <w:w w:val="110"/>
        </w:rPr>
        <w:t>salarios</w:t>
      </w:r>
      <w:r>
        <w:rPr>
          <w:color w:val="231F20"/>
          <w:spacing w:val="-7"/>
          <w:w w:val="110"/>
        </w:rPr>
        <w:t> </w:t>
      </w:r>
      <w:r>
        <w:rPr>
          <w:color w:val="231F20"/>
          <w:w w:val="110"/>
        </w:rPr>
        <w:t>de</w:t>
      </w:r>
      <w:r>
        <w:rPr>
          <w:color w:val="231F20"/>
          <w:spacing w:val="-7"/>
          <w:w w:val="110"/>
        </w:rPr>
        <w:t> </w:t>
      </w:r>
      <w:r>
        <w:rPr>
          <w:color w:val="231F20"/>
          <w:w w:val="110"/>
        </w:rPr>
        <w:t>sus</w:t>
      </w:r>
      <w:r>
        <w:rPr>
          <w:color w:val="231F20"/>
          <w:spacing w:val="-7"/>
          <w:w w:val="110"/>
        </w:rPr>
        <w:t> </w:t>
      </w:r>
      <w:r>
        <w:rPr>
          <w:color w:val="231F20"/>
          <w:w w:val="110"/>
        </w:rPr>
        <w:t>empleados</w:t>
      </w:r>
      <w:r>
        <w:rPr>
          <w:color w:val="231F20"/>
          <w:spacing w:val="-7"/>
          <w:w w:val="110"/>
        </w:rPr>
        <w:t> </w:t>
      </w:r>
      <w:r>
        <w:rPr>
          <w:color w:val="231F20"/>
          <w:w w:val="110"/>
        </w:rPr>
        <w:t>(nsb,</w:t>
      </w:r>
      <w:r>
        <w:rPr>
          <w:color w:val="231F20"/>
          <w:spacing w:val="-7"/>
          <w:w w:val="110"/>
        </w:rPr>
        <w:t> </w:t>
      </w:r>
      <w:r>
        <w:rPr>
          <w:color w:val="231F20"/>
          <w:w w:val="110"/>
        </w:rPr>
        <w:t>2004).</w:t>
      </w:r>
    </w:p>
    <w:p>
      <w:pPr>
        <w:pStyle w:val="BodyText"/>
        <w:spacing w:line="261" w:lineRule="auto"/>
        <w:ind w:left="100" w:right="117" w:firstLine="240"/>
        <w:jc w:val="both"/>
      </w:pPr>
      <w:r>
        <w:rPr>
          <w:color w:val="231F20"/>
          <w:w w:val="105"/>
        </w:rPr>
        <w:t>No obstante, ya en el siglo xxi este factor se evidenciaría como limitante crítica: la inversión pretérita en progreso científico-tecno- lógico e innovativo y en los cuellos blancos se tornaría cada vez más onerosa en comparación con los desplazados cuellos azules, emer- giendo</w:t>
      </w:r>
      <w:r>
        <w:rPr>
          <w:color w:val="231F20"/>
          <w:spacing w:val="-22"/>
          <w:w w:val="105"/>
        </w:rPr>
        <w:t> </w:t>
      </w:r>
      <w:r>
        <w:rPr>
          <w:color w:val="231F20"/>
          <w:w w:val="105"/>
        </w:rPr>
        <w:t>así</w:t>
      </w:r>
      <w:r>
        <w:rPr>
          <w:color w:val="231F20"/>
          <w:spacing w:val="-22"/>
          <w:w w:val="105"/>
        </w:rPr>
        <w:t> </w:t>
      </w:r>
      <w:r>
        <w:rPr>
          <w:color w:val="231F20"/>
          <w:w w:val="105"/>
        </w:rPr>
        <w:t>la</w:t>
      </w:r>
      <w:r>
        <w:rPr>
          <w:color w:val="231F20"/>
          <w:spacing w:val="-22"/>
          <w:w w:val="105"/>
        </w:rPr>
        <w:t> </w:t>
      </w:r>
      <w:r>
        <w:rPr>
          <w:color w:val="231F20"/>
          <w:w w:val="105"/>
        </w:rPr>
        <w:t>llamada</w:t>
      </w:r>
      <w:r>
        <w:rPr>
          <w:color w:val="231F20"/>
          <w:spacing w:val="-22"/>
          <w:w w:val="105"/>
        </w:rPr>
        <w:t> </w:t>
      </w:r>
      <w:r>
        <w:rPr>
          <w:i/>
          <w:color w:val="231F20"/>
          <w:w w:val="105"/>
        </w:rPr>
        <w:t>paradoja</w:t>
      </w:r>
      <w:r>
        <w:rPr>
          <w:i/>
          <w:color w:val="231F20"/>
          <w:spacing w:val="-22"/>
          <w:w w:val="105"/>
        </w:rPr>
        <w:t> </w:t>
      </w:r>
      <w:r>
        <w:rPr>
          <w:i/>
          <w:color w:val="231F20"/>
          <w:w w:val="105"/>
        </w:rPr>
        <w:t>de</w:t>
      </w:r>
      <w:r>
        <w:rPr>
          <w:i/>
          <w:color w:val="231F20"/>
          <w:spacing w:val="-22"/>
          <w:w w:val="105"/>
        </w:rPr>
        <w:t> </w:t>
      </w:r>
      <w:r>
        <w:rPr>
          <w:i/>
          <w:color w:val="231F20"/>
          <w:w w:val="105"/>
        </w:rPr>
        <w:t>la</w:t>
      </w:r>
      <w:r>
        <w:rPr>
          <w:i/>
          <w:color w:val="231F20"/>
          <w:spacing w:val="-22"/>
          <w:w w:val="105"/>
        </w:rPr>
        <w:t> </w:t>
      </w:r>
      <w:r>
        <w:rPr>
          <w:i/>
          <w:color w:val="231F20"/>
          <w:w w:val="105"/>
        </w:rPr>
        <w:t>productividad</w:t>
      </w:r>
      <w:r>
        <w:rPr>
          <w:i/>
          <w:color w:val="231F20"/>
          <w:spacing w:val="-22"/>
          <w:w w:val="105"/>
        </w:rPr>
        <w:t> </w:t>
      </w:r>
      <w:r>
        <w:rPr>
          <w:i/>
          <w:color w:val="231F20"/>
          <w:w w:val="105"/>
        </w:rPr>
        <w:t>perdida.</w:t>
      </w:r>
      <w:r>
        <w:rPr>
          <w:i/>
          <w:color w:val="231F20"/>
          <w:spacing w:val="-22"/>
          <w:w w:val="105"/>
        </w:rPr>
        <w:t> </w:t>
      </w:r>
      <w:r>
        <w:rPr>
          <w:color w:val="231F20"/>
          <w:w w:val="105"/>
        </w:rPr>
        <w:t>He</w:t>
      </w:r>
      <w:r>
        <w:rPr>
          <w:color w:val="231F20"/>
          <w:spacing w:val="-22"/>
          <w:w w:val="105"/>
        </w:rPr>
        <w:t> </w:t>
      </w:r>
      <w:r>
        <w:rPr>
          <w:color w:val="231F20"/>
          <w:w w:val="105"/>
        </w:rPr>
        <w:t>allí</w:t>
      </w:r>
      <w:r>
        <w:rPr>
          <w:color w:val="231F20"/>
          <w:spacing w:val="-22"/>
          <w:w w:val="105"/>
        </w:rPr>
        <w:t> </w:t>
      </w:r>
      <w:r>
        <w:rPr>
          <w:color w:val="231F20"/>
          <w:w w:val="105"/>
        </w:rPr>
        <w:t>donde el ciclo reproductivo capitalista se toparía con los límites esenciales   de  su</w:t>
      </w:r>
      <w:r>
        <w:rPr>
          <w:color w:val="231F20"/>
          <w:spacing w:val="45"/>
          <w:w w:val="105"/>
        </w:rPr>
        <w:t> </w:t>
      </w:r>
      <w:r>
        <w:rPr>
          <w:color w:val="231F20"/>
          <w:w w:val="105"/>
        </w:rPr>
        <w:t>racionalidad.</w:t>
      </w:r>
    </w:p>
    <w:p>
      <w:pPr>
        <w:pStyle w:val="BodyText"/>
        <w:spacing w:line="261" w:lineRule="auto"/>
        <w:ind w:left="100" w:right="119" w:firstLine="240"/>
        <w:jc w:val="both"/>
      </w:pPr>
      <w:r>
        <w:rPr>
          <w:color w:val="231F20"/>
          <w:w w:val="110"/>
        </w:rPr>
        <w:t>Estados Unidos con sus corporaciones transnacionales manten- drían la más integral y balanceada de las estructuras y el más alto</w:t>
      </w:r>
    </w:p>
    <w:p>
      <w:pPr>
        <w:spacing w:after="0" w:line="261" w:lineRule="auto"/>
        <w:jc w:val="both"/>
        <w:sectPr>
          <w:headerReference w:type="even" r:id="rId174"/>
          <w:headerReference w:type="default" r:id="rId175"/>
          <w:pgSz w:w="7640" w:h="11900"/>
          <w:pgMar w:header="672" w:footer="0" w:top="860" w:bottom="280" w:left="780" w:right="640"/>
          <w:pgNumType w:start="242"/>
        </w:sectPr>
      </w:pPr>
    </w:p>
    <w:p>
      <w:pPr>
        <w:pStyle w:val="BodyText"/>
        <w:spacing w:before="8"/>
        <w:rPr>
          <w:sz w:val="8"/>
        </w:rPr>
      </w:pPr>
    </w:p>
    <w:p>
      <w:pPr>
        <w:pStyle w:val="BodyText"/>
        <w:spacing w:line="261" w:lineRule="auto" w:before="67"/>
        <w:ind w:left="100" w:right="117"/>
        <w:jc w:val="both"/>
        <w:rPr>
          <w:i/>
        </w:rPr>
      </w:pPr>
      <w:r>
        <w:rPr>
          <w:color w:val="231F20"/>
          <w:w w:val="110"/>
        </w:rPr>
        <w:t>nivel</w:t>
      </w:r>
      <w:r>
        <w:rPr>
          <w:color w:val="231F20"/>
          <w:spacing w:val="-21"/>
          <w:w w:val="110"/>
        </w:rPr>
        <w:t> </w:t>
      </w:r>
      <w:r>
        <w:rPr>
          <w:color w:val="231F20"/>
          <w:w w:val="110"/>
        </w:rPr>
        <w:t>de</w:t>
      </w:r>
      <w:r>
        <w:rPr>
          <w:color w:val="231F20"/>
          <w:spacing w:val="-21"/>
          <w:w w:val="110"/>
        </w:rPr>
        <w:t> </w:t>
      </w:r>
      <w:r>
        <w:rPr>
          <w:color w:val="231F20"/>
          <w:w w:val="110"/>
        </w:rPr>
        <w:t>desarrollo</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nuevas</w:t>
      </w:r>
      <w:r>
        <w:rPr>
          <w:color w:val="231F20"/>
          <w:spacing w:val="-21"/>
          <w:w w:val="110"/>
        </w:rPr>
        <w:t> </w:t>
      </w:r>
      <w:r>
        <w:rPr>
          <w:color w:val="231F20"/>
          <w:w w:val="110"/>
        </w:rPr>
        <w:t>ramas</w:t>
      </w:r>
      <w:r>
        <w:rPr>
          <w:color w:val="231F20"/>
          <w:spacing w:val="-21"/>
          <w:w w:val="110"/>
        </w:rPr>
        <w:t> </w:t>
      </w:r>
      <w:r>
        <w:rPr>
          <w:color w:val="231F20"/>
          <w:w w:val="110"/>
        </w:rPr>
        <w:t>y</w:t>
      </w:r>
      <w:r>
        <w:rPr>
          <w:color w:val="231F20"/>
          <w:spacing w:val="-21"/>
          <w:w w:val="110"/>
        </w:rPr>
        <w:t> </w:t>
      </w:r>
      <w:r>
        <w:rPr>
          <w:color w:val="231F20"/>
          <w:w w:val="110"/>
        </w:rPr>
        <w:t>servicios,</w:t>
      </w:r>
      <w:r>
        <w:rPr>
          <w:color w:val="231F20"/>
          <w:spacing w:val="-21"/>
          <w:w w:val="110"/>
        </w:rPr>
        <w:t> </w:t>
      </w:r>
      <w:r>
        <w:rPr>
          <w:color w:val="231F20"/>
          <w:w w:val="110"/>
        </w:rPr>
        <w:t>con</w:t>
      </w:r>
      <w:r>
        <w:rPr>
          <w:color w:val="231F20"/>
          <w:spacing w:val="-21"/>
          <w:w w:val="110"/>
        </w:rPr>
        <w:t> </w:t>
      </w:r>
      <w:r>
        <w:rPr>
          <w:color w:val="231F20"/>
          <w:w w:val="110"/>
        </w:rPr>
        <w:t>poderosos</w:t>
      </w:r>
      <w:r>
        <w:rPr>
          <w:color w:val="231F20"/>
          <w:spacing w:val="-21"/>
          <w:w w:val="110"/>
        </w:rPr>
        <w:t> </w:t>
      </w:r>
      <w:r>
        <w:rPr>
          <w:color w:val="231F20"/>
          <w:w w:val="110"/>
        </w:rPr>
        <w:t>ten- táculos</w:t>
      </w:r>
      <w:r>
        <w:rPr>
          <w:color w:val="231F20"/>
          <w:spacing w:val="-7"/>
          <w:w w:val="110"/>
        </w:rPr>
        <w:t> </w:t>
      </w:r>
      <w:r>
        <w:rPr>
          <w:color w:val="231F20"/>
          <w:w w:val="110"/>
        </w:rPr>
        <w:t>transnacionalizados.</w:t>
      </w:r>
      <w:r>
        <w:rPr>
          <w:color w:val="231F20"/>
          <w:spacing w:val="-7"/>
          <w:w w:val="110"/>
        </w:rPr>
        <w:t> </w:t>
      </w:r>
      <w:r>
        <w:rPr>
          <w:color w:val="231F20"/>
          <w:w w:val="110"/>
        </w:rPr>
        <w:t>En</w:t>
      </w:r>
      <w:r>
        <w:rPr>
          <w:color w:val="231F20"/>
          <w:spacing w:val="-7"/>
          <w:w w:val="110"/>
        </w:rPr>
        <w:t> </w:t>
      </w:r>
      <w:r>
        <w:rPr>
          <w:color w:val="231F20"/>
          <w:w w:val="110"/>
        </w:rPr>
        <w:t>contraposición,</w:t>
      </w:r>
      <w:r>
        <w:rPr>
          <w:color w:val="231F20"/>
          <w:spacing w:val="-7"/>
          <w:w w:val="110"/>
        </w:rPr>
        <w:t> </w:t>
      </w:r>
      <w:r>
        <w:rPr>
          <w:color w:val="231F20"/>
          <w:w w:val="110"/>
        </w:rPr>
        <w:t>dejarían</w:t>
      </w:r>
      <w:r>
        <w:rPr>
          <w:color w:val="231F20"/>
          <w:spacing w:val="-7"/>
          <w:w w:val="110"/>
        </w:rPr>
        <w:t> </w:t>
      </w:r>
      <w:r>
        <w:rPr>
          <w:color w:val="231F20"/>
          <w:w w:val="110"/>
        </w:rPr>
        <w:t>de</w:t>
      </w:r>
      <w:r>
        <w:rPr>
          <w:color w:val="231F20"/>
          <w:spacing w:val="-7"/>
          <w:w w:val="110"/>
        </w:rPr>
        <w:t> </w:t>
      </w:r>
      <w:r>
        <w:rPr>
          <w:color w:val="231F20"/>
          <w:w w:val="110"/>
        </w:rPr>
        <w:t>poseer</w:t>
      </w:r>
      <w:r>
        <w:rPr>
          <w:color w:val="231F20"/>
          <w:spacing w:val="-7"/>
          <w:w w:val="110"/>
        </w:rPr>
        <w:t> </w:t>
      </w:r>
      <w:r>
        <w:rPr>
          <w:color w:val="231F20"/>
          <w:w w:val="110"/>
        </w:rPr>
        <w:t>la supremacía en el mercado mundial altec, al ceder importantes posi- ciones de su estructura ramal integral y dejarse penetrar por empre- sas de Unión Europea, Japón y los nic en su producción y mercado interno y transnacionalizado. Si en términos absolutos conservarían casi siempre la primera posición, en los indicadores relativos o de intensidad pasarían a un plano subalterno. Por primera vez en la historia aparecen síntomas que apuntan al desgaste extracoyuntural del modelo: entre otros, la significativa reducción en la tradicional- mente alta y prestigiosa cuota de exportación mundial en segmentos de</w:t>
      </w:r>
      <w:r>
        <w:rPr>
          <w:color w:val="231F20"/>
          <w:spacing w:val="-9"/>
          <w:w w:val="110"/>
        </w:rPr>
        <w:t> </w:t>
      </w:r>
      <w:r>
        <w:rPr>
          <w:color w:val="231F20"/>
          <w:w w:val="110"/>
        </w:rPr>
        <w:t>productos</w:t>
      </w:r>
      <w:r>
        <w:rPr>
          <w:color w:val="231F20"/>
          <w:spacing w:val="-9"/>
          <w:w w:val="110"/>
        </w:rPr>
        <w:t> </w:t>
      </w:r>
      <w:r>
        <w:rPr>
          <w:color w:val="231F20"/>
          <w:w w:val="110"/>
        </w:rPr>
        <w:t>altec;</w:t>
      </w:r>
      <w:r>
        <w:rPr>
          <w:color w:val="231F20"/>
          <w:spacing w:val="-9"/>
          <w:w w:val="110"/>
        </w:rPr>
        <w:t> </w:t>
      </w:r>
      <w:r>
        <w:rPr>
          <w:color w:val="231F20"/>
          <w:w w:val="110"/>
        </w:rPr>
        <w:t>el</w:t>
      </w:r>
      <w:r>
        <w:rPr>
          <w:color w:val="231F20"/>
          <w:spacing w:val="-9"/>
          <w:w w:val="110"/>
        </w:rPr>
        <w:t> </w:t>
      </w:r>
      <w:r>
        <w:rPr>
          <w:color w:val="231F20"/>
          <w:w w:val="110"/>
        </w:rPr>
        <w:t>prolongado</w:t>
      </w:r>
      <w:r>
        <w:rPr>
          <w:color w:val="231F20"/>
          <w:spacing w:val="-9"/>
          <w:w w:val="110"/>
        </w:rPr>
        <w:t> </w:t>
      </w:r>
      <w:r>
        <w:rPr>
          <w:color w:val="231F20"/>
          <w:w w:val="110"/>
        </w:rPr>
        <w:t>y</w:t>
      </w:r>
      <w:r>
        <w:rPr>
          <w:color w:val="231F20"/>
          <w:spacing w:val="-9"/>
          <w:w w:val="110"/>
        </w:rPr>
        <w:t> </w:t>
      </w:r>
      <w:r>
        <w:rPr>
          <w:color w:val="231F20"/>
          <w:w w:val="110"/>
        </w:rPr>
        <w:t>significativo</w:t>
      </w:r>
      <w:r>
        <w:rPr>
          <w:color w:val="231F20"/>
          <w:spacing w:val="-9"/>
          <w:w w:val="110"/>
        </w:rPr>
        <w:t> </w:t>
      </w:r>
      <w:r>
        <w:rPr>
          <w:color w:val="231F20"/>
          <w:w w:val="110"/>
        </w:rPr>
        <w:t>déficit</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balance exportación/importación de crecientes segmentos y de todo el</w:t>
      </w:r>
      <w:r>
        <w:rPr>
          <w:color w:val="231F20"/>
          <w:spacing w:val="-12"/>
          <w:w w:val="110"/>
        </w:rPr>
        <w:t> </w:t>
      </w:r>
      <w:r>
        <w:rPr>
          <w:color w:val="231F20"/>
          <w:w w:val="110"/>
        </w:rPr>
        <w:t>sector altec; el balance negativo en las inversiones recíprocas de capital de i+d,</w:t>
      </w:r>
      <w:r>
        <w:rPr>
          <w:color w:val="231F20"/>
          <w:spacing w:val="-8"/>
          <w:w w:val="110"/>
        </w:rPr>
        <w:t> </w:t>
      </w:r>
      <w:r>
        <w:rPr>
          <w:color w:val="231F20"/>
          <w:w w:val="110"/>
        </w:rPr>
        <w:t>antaño</w:t>
      </w:r>
      <w:r>
        <w:rPr>
          <w:color w:val="231F20"/>
          <w:spacing w:val="-8"/>
          <w:w w:val="110"/>
        </w:rPr>
        <w:t> </w:t>
      </w:r>
      <w:r>
        <w:rPr>
          <w:color w:val="231F20"/>
          <w:w w:val="110"/>
        </w:rPr>
        <w:t>campo</w:t>
      </w:r>
      <w:r>
        <w:rPr>
          <w:color w:val="231F20"/>
          <w:spacing w:val="-8"/>
          <w:w w:val="110"/>
        </w:rPr>
        <w:t> </w:t>
      </w:r>
      <w:r>
        <w:rPr>
          <w:color w:val="231F20"/>
          <w:w w:val="110"/>
        </w:rPr>
        <w:t>exclusivo</w:t>
      </w:r>
      <w:r>
        <w:rPr>
          <w:color w:val="231F20"/>
          <w:spacing w:val="-8"/>
          <w:w w:val="110"/>
        </w:rPr>
        <w:t> </w:t>
      </w:r>
      <w:r>
        <w:rPr>
          <w:color w:val="231F20"/>
          <w:w w:val="110"/>
        </w:rPr>
        <w:t>de</w:t>
      </w:r>
      <w:r>
        <w:rPr>
          <w:color w:val="231F20"/>
          <w:spacing w:val="-8"/>
          <w:w w:val="110"/>
        </w:rPr>
        <w:t> </w:t>
      </w:r>
      <w:r>
        <w:rPr>
          <w:color w:val="231F20"/>
          <w:w w:val="110"/>
        </w:rPr>
        <w:t>expansión</w:t>
      </w:r>
      <w:r>
        <w:rPr>
          <w:color w:val="231F20"/>
          <w:spacing w:val="-8"/>
          <w:w w:val="110"/>
        </w:rPr>
        <w:t> </w:t>
      </w:r>
      <w:r>
        <w:rPr>
          <w:color w:val="231F20"/>
          <w:w w:val="110"/>
        </w:rPr>
        <w:t>estadunidense</w:t>
      </w:r>
      <w:r>
        <w:rPr>
          <w:color w:val="231F20"/>
          <w:spacing w:val="-8"/>
          <w:w w:val="110"/>
        </w:rPr>
        <w:t> </w:t>
      </w:r>
      <w:r>
        <w:rPr>
          <w:color w:val="231F20"/>
          <w:w w:val="110"/>
        </w:rPr>
        <w:t>para</w:t>
      </w:r>
      <w:r>
        <w:rPr>
          <w:color w:val="231F20"/>
          <w:spacing w:val="-8"/>
          <w:w w:val="110"/>
        </w:rPr>
        <w:t> </w:t>
      </w:r>
      <w:r>
        <w:rPr>
          <w:color w:val="231F20"/>
          <w:w w:val="110"/>
        </w:rPr>
        <w:t>fungir como el mayor exportador a la vez que el mayor receptor de capita- les foráneos; la notable reducción del balance positivo anual por la transferencia de tecnología, se mantiene en el primer del </w:t>
      </w:r>
      <w:r>
        <w:rPr>
          <w:color w:val="231F20"/>
          <w:spacing w:val="24"/>
          <w:w w:val="110"/>
        </w:rPr>
        <w:t> </w:t>
      </w:r>
      <w:r>
        <w:rPr>
          <w:i/>
          <w:color w:val="231F20"/>
          <w:w w:val="110"/>
        </w:rPr>
        <w:t>ranking.</w:t>
      </w:r>
    </w:p>
    <w:p>
      <w:pPr>
        <w:pStyle w:val="BodyText"/>
        <w:spacing w:line="261" w:lineRule="auto"/>
        <w:ind w:left="100" w:right="117" w:firstLine="240"/>
        <w:jc w:val="both"/>
      </w:pPr>
      <w:r>
        <w:rPr>
          <w:color w:val="231F20"/>
          <w:w w:val="105"/>
        </w:rPr>
        <w:t>Inquiriendo sobre tal inaudita fenomenología, algunos, bajo la in- fluencia del pensamiento único, alegan que se trataría de una simple manifestación coyuntural, cuya evolución habría que dilucidar con sentido pro o contracíclico relativo a la  economía  mundial.  Otros, más proclives al advenimiento de una época de cambios, preconizan causas sistémico-estructurales que implicarían un evidente retroceso relativo  en  la  competitividad  </w:t>
      </w:r>
      <w:r>
        <w:rPr>
          <w:color w:val="231F20"/>
          <w:w w:val="115"/>
        </w:rPr>
        <w:t>altec </w:t>
      </w:r>
      <w:r>
        <w:rPr>
          <w:color w:val="231F20"/>
          <w:w w:val="105"/>
        </w:rPr>
        <w:t>de  Estados Unidos.</w:t>
      </w:r>
    </w:p>
    <w:p>
      <w:pPr>
        <w:pStyle w:val="BodyText"/>
        <w:spacing w:line="261" w:lineRule="auto"/>
        <w:ind w:left="100" w:right="113" w:firstLine="240"/>
        <w:jc w:val="both"/>
      </w:pPr>
      <w:r>
        <w:rPr>
          <w:color w:val="231F20"/>
          <w:w w:val="115"/>
        </w:rPr>
        <w:t>Según</w:t>
      </w:r>
      <w:r>
        <w:rPr>
          <w:color w:val="231F20"/>
          <w:spacing w:val="-23"/>
          <w:w w:val="115"/>
        </w:rPr>
        <w:t> </w:t>
      </w:r>
      <w:r>
        <w:rPr>
          <w:color w:val="231F20"/>
          <w:w w:val="115"/>
        </w:rPr>
        <w:t>el</w:t>
      </w:r>
      <w:r>
        <w:rPr>
          <w:color w:val="231F20"/>
          <w:spacing w:val="-23"/>
          <w:w w:val="115"/>
        </w:rPr>
        <w:t> </w:t>
      </w:r>
      <w:r>
        <w:rPr>
          <w:color w:val="231F20"/>
          <w:spacing w:val="-3"/>
          <w:w w:val="115"/>
        </w:rPr>
        <w:t>autor,</w:t>
      </w:r>
      <w:r>
        <w:rPr>
          <w:color w:val="231F20"/>
          <w:spacing w:val="-23"/>
          <w:w w:val="115"/>
        </w:rPr>
        <w:t> </w:t>
      </w:r>
      <w:r>
        <w:rPr>
          <w:color w:val="231F20"/>
          <w:w w:val="115"/>
        </w:rPr>
        <w:t>de</w:t>
      </w:r>
      <w:r>
        <w:rPr>
          <w:color w:val="231F20"/>
          <w:spacing w:val="-23"/>
          <w:w w:val="115"/>
        </w:rPr>
        <w:t> </w:t>
      </w:r>
      <w:r>
        <w:rPr>
          <w:color w:val="231F20"/>
          <w:w w:val="115"/>
        </w:rPr>
        <w:t>conjunto</w:t>
      </w:r>
      <w:r>
        <w:rPr>
          <w:color w:val="231F20"/>
          <w:spacing w:val="-23"/>
          <w:w w:val="115"/>
        </w:rPr>
        <w:t> </w:t>
      </w:r>
      <w:r>
        <w:rPr>
          <w:color w:val="231F20"/>
          <w:w w:val="110"/>
        </w:rPr>
        <w:t>y</w:t>
      </w:r>
      <w:r>
        <w:rPr>
          <w:color w:val="231F20"/>
          <w:spacing w:val="-20"/>
          <w:w w:val="110"/>
        </w:rPr>
        <w:t> </w:t>
      </w:r>
      <w:r>
        <w:rPr>
          <w:color w:val="231F20"/>
          <w:w w:val="115"/>
        </w:rPr>
        <w:t>pronosticando</w:t>
      </w:r>
      <w:r>
        <w:rPr>
          <w:color w:val="231F20"/>
          <w:spacing w:val="-23"/>
          <w:w w:val="115"/>
        </w:rPr>
        <w:t> </w:t>
      </w:r>
      <w:r>
        <w:rPr>
          <w:color w:val="231F20"/>
          <w:w w:val="115"/>
        </w:rPr>
        <w:t>a</w:t>
      </w:r>
      <w:r>
        <w:rPr>
          <w:color w:val="231F20"/>
          <w:spacing w:val="-23"/>
          <w:w w:val="115"/>
        </w:rPr>
        <w:t> </w:t>
      </w:r>
      <w:r>
        <w:rPr>
          <w:color w:val="231F20"/>
          <w:w w:val="115"/>
        </w:rPr>
        <w:t>cercano</w:t>
      </w:r>
      <w:r>
        <w:rPr>
          <w:color w:val="231F20"/>
          <w:spacing w:val="-23"/>
          <w:w w:val="115"/>
        </w:rPr>
        <w:t> </w:t>
      </w:r>
      <w:r>
        <w:rPr>
          <w:color w:val="231F20"/>
          <w:w w:val="110"/>
        </w:rPr>
        <w:t>y</w:t>
      </w:r>
      <w:r>
        <w:rPr>
          <w:color w:val="231F20"/>
          <w:spacing w:val="-20"/>
          <w:w w:val="110"/>
        </w:rPr>
        <w:t> </w:t>
      </w:r>
      <w:r>
        <w:rPr>
          <w:color w:val="231F20"/>
          <w:w w:val="115"/>
        </w:rPr>
        <w:t>mediano plazo,</w:t>
      </w:r>
      <w:r>
        <w:rPr>
          <w:color w:val="231F20"/>
          <w:spacing w:val="-32"/>
          <w:w w:val="115"/>
        </w:rPr>
        <w:t> </w:t>
      </w:r>
      <w:r>
        <w:rPr>
          <w:color w:val="231F20"/>
          <w:w w:val="115"/>
        </w:rPr>
        <w:t>la</w:t>
      </w:r>
      <w:r>
        <w:rPr>
          <w:color w:val="231F20"/>
          <w:spacing w:val="-32"/>
          <w:w w:val="115"/>
        </w:rPr>
        <w:t> </w:t>
      </w:r>
      <w:r>
        <w:rPr>
          <w:color w:val="231F20"/>
          <w:w w:val="115"/>
        </w:rPr>
        <w:t>metrópoli</w:t>
      </w:r>
      <w:r>
        <w:rPr>
          <w:color w:val="231F20"/>
          <w:spacing w:val="-32"/>
          <w:w w:val="115"/>
        </w:rPr>
        <w:t> </w:t>
      </w:r>
      <w:r>
        <w:rPr>
          <w:color w:val="231F20"/>
          <w:w w:val="115"/>
        </w:rPr>
        <w:t>enfrenta</w:t>
      </w:r>
      <w:r>
        <w:rPr>
          <w:color w:val="231F20"/>
          <w:spacing w:val="-32"/>
          <w:w w:val="115"/>
        </w:rPr>
        <w:t> </w:t>
      </w:r>
      <w:r>
        <w:rPr>
          <w:color w:val="231F20"/>
          <w:w w:val="115"/>
        </w:rPr>
        <w:t>una</w:t>
      </w:r>
      <w:r>
        <w:rPr>
          <w:color w:val="231F20"/>
          <w:spacing w:val="-32"/>
          <w:w w:val="115"/>
        </w:rPr>
        <w:t> </w:t>
      </w:r>
      <w:r>
        <w:rPr>
          <w:color w:val="231F20"/>
          <w:w w:val="115"/>
        </w:rPr>
        <w:t>seria</w:t>
      </w:r>
      <w:r>
        <w:rPr>
          <w:color w:val="231F20"/>
          <w:spacing w:val="-32"/>
          <w:w w:val="115"/>
        </w:rPr>
        <w:t> </w:t>
      </w:r>
      <w:r>
        <w:rPr>
          <w:color w:val="231F20"/>
          <w:w w:val="115"/>
        </w:rPr>
        <w:t>alerta</w:t>
      </w:r>
      <w:r>
        <w:rPr>
          <w:color w:val="231F20"/>
          <w:spacing w:val="-32"/>
          <w:w w:val="115"/>
        </w:rPr>
        <w:t> </w:t>
      </w:r>
      <w:r>
        <w:rPr>
          <w:color w:val="231F20"/>
          <w:w w:val="115"/>
        </w:rPr>
        <w:t>acerca</w:t>
      </w:r>
      <w:r>
        <w:rPr>
          <w:color w:val="231F20"/>
          <w:spacing w:val="-32"/>
          <w:w w:val="115"/>
        </w:rPr>
        <w:t> </w:t>
      </w:r>
      <w:r>
        <w:rPr>
          <w:color w:val="231F20"/>
          <w:w w:val="115"/>
        </w:rPr>
        <w:t>del</w:t>
      </w:r>
      <w:r>
        <w:rPr>
          <w:color w:val="231F20"/>
          <w:spacing w:val="-32"/>
          <w:w w:val="115"/>
        </w:rPr>
        <w:t> </w:t>
      </w:r>
      <w:r>
        <w:rPr>
          <w:color w:val="231F20"/>
          <w:w w:val="115"/>
        </w:rPr>
        <w:t>advenimiento </w:t>
      </w:r>
      <w:r>
        <w:rPr>
          <w:color w:val="231F20"/>
          <w:w w:val="110"/>
        </w:rPr>
        <w:t>de</w:t>
      </w:r>
      <w:r>
        <w:rPr>
          <w:color w:val="231F20"/>
          <w:spacing w:val="-8"/>
          <w:w w:val="110"/>
        </w:rPr>
        <w:t> </w:t>
      </w:r>
      <w:r>
        <w:rPr>
          <w:color w:val="231F20"/>
          <w:w w:val="110"/>
        </w:rPr>
        <w:t>sucesivos</w:t>
      </w:r>
      <w:r>
        <w:rPr>
          <w:color w:val="231F20"/>
          <w:spacing w:val="-8"/>
          <w:w w:val="110"/>
        </w:rPr>
        <w:t> </w:t>
      </w:r>
      <w:r>
        <w:rPr>
          <w:color w:val="231F20"/>
          <w:w w:val="110"/>
        </w:rPr>
        <w:t>cambios</w:t>
      </w:r>
      <w:r>
        <w:rPr>
          <w:color w:val="231F20"/>
          <w:spacing w:val="-8"/>
          <w:w w:val="110"/>
        </w:rPr>
        <w:t> </w:t>
      </w:r>
      <w:r>
        <w:rPr>
          <w:color w:val="231F20"/>
          <w:w w:val="110"/>
        </w:rPr>
        <w:t>cuantitativos</w:t>
      </w:r>
      <w:r>
        <w:rPr>
          <w:color w:val="231F20"/>
          <w:spacing w:val="-8"/>
          <w:w w:val="110"/>
        </w:rPr>
        <w:t> </w:t>
      </w:r>
      <w:r>
        <w:rPr>
          <w:color w:val="231F20"/>
          <w:w w:val="110"/>
        </w:rPr>
        <w:t>—mediante</w:t>
      </w:r>
      <w:r>
        <w:rPr>
          <w:color w:val="231F20"/>
          <w:spacing w:val="-8"/>
          <w:w w:val="110"/>
        </w:rPr>
        <w:t> </w:t>
      </w:r>
      <w:r>
        <w:rPr>
          <w:color w:val="231F20"/>
          <w:w w:val="110"/>
        </w:rPr>
        <w:t>la</w:t>
      </w:r>
      <w:r>
        <w:rPr>
          <w:color w:val="231F20"/>
          <w:spacing w:val="-8"/>
          <w:w w:val="110"/>
        </w:rPr>
        <w:t> </w:t>
      </w:r>
      <w:r>
        <w:rPr>
          <w:color w:val="231F20"/>
          <w:w w:val="110"/>
        </w:rPr>
        <w:t>continuada</w:t>
      </w:r>
      <w:r>
        <w:rPr>
          <w:color w:val="231F20"/>
          <w:spacing w:val="-8"/>
          <w:w w:val="110"/>
        </w:rPr>
        <w:t> </w:t>
      </w:r>
      <w:r>
        <w:rPr>
          <w:color w:val="231F20"/>
          <w:w w:val="110"/>
        </w:rPr>
        <w:t>merma </w:t>
      </w:r>
      <w:r>
        <w:rPr>
          <w:color w:val="231F20"/>
          <w:w w:val="115"/>
        </w:rPr>
        <w:t>de intensidad en estratégicos segmentos altec simultánea al forta- lecimiento de poderosos competidores— que ineludiblemente la arrastran</w:t>
      </w:r>
      <w:r>
        <w:rPr>
          <w:color w:val="231F20"/>
          <w:spacing w:val="-42"/>
          <w:w w:val="115"/>
        </w:rPr>
        <w:t> </w:t>
      </w:r>
      <w:r>
        <w:rPr>
          <w:color w:val="231F20"/>
          <w:w w:val="115"/>
        </w:rPr>
        <w:t>hacia</w:t>
      </w:r>
      <w:r>
        <w:rPr>
          <w:color w:val="231F20"/>
          <w:spacing w:val="-42"/>
          <w:w w:val="115"/>
        </w:rPr>
        <w:t> </w:t>
      </w:r>
      <w:r>
        <w:rPr>
          <w:color w:val="231F20"/>
          <w:w w:val="115"/>
        </w:rPr>
        <w:t>una</w:t>
      </w:r>
      <w:r>
        <w:rPr>
          <w:color w:val="231F20"/>
          <w:spacing w:val="-42"/>
          <w:w w:val="115"/>
        </w:rPr>
        <w:t> </w:t>
      </w:r>
      <w:r>
        <w:rPr>
          <w:color w:val="231F20"/>
          <w:w w:val="115"/>
        </w:rPr>
        <w:t>nueva</w:t>
      </w:r>
      <w:r>
        <w:rPr>
          <w:color w:val="231F20"/>
          <w:spacing w:val="-42"/>
          <w:w w:val="115"/>
        </w:rPr>
        <w:t> </w:t>
      </w:r>
      <w:r>
        <w:rPr>
          <w:color w:val="231F20"/>
          <w:w w:val="115"/>
        </w:rPr>
        <w:t>cualidad</w:t>
      </w:r>
      <w:r>
        <w:rPr>
          <w:color w:val="231F20"/>
          <w:spacing w:val="-42"/>
          <w:w w:val="115"/>
        </w:rPr>
        <w:t> </w:t>
      </w:r>
      <w:r>
        <w:rPr>
          <w:color w:val="231F20"/>
          <w:w w:val="115"/>
        </w:rPr>
        <w:t>estructural</w:t>
      </w:r>
      <w:r>
        <w:rPr>
          <w:color w:val="231F20"/>
          <w:spacing w:val="-42"/>
          <w:w w:val="115"/>
        </w:rPr>
        <w:t> </w:t>
      </w:r>
      <w:r>
        <w:rPr>
          <w:color w:val="231F20"/>
          <w:w w:val="115"/>
        </w:rPr>
        <w:t>en</w:t>
      </w:r>
      <w:r>
        <w:rPr>
          <w:color w:val="231F20"/>
          <w:spacing w:val="-42"/>
          <w:w w:val="115"/>
        </w:rPr>
        <w:t> </w:t>
      </w:r>
      <w:r>
        <w:rPr>
          <w:color w:val="231F20"/>
          <w:w w:val="115"/>
        </w:rPr>
        <w:t>términos</w:t>
      </w:r>
      <w:r>
        <w:rPr>
          <w:color w:val="231F20"/>
          <w:spacing w:val="-42"/>
          <w:w w:val="115"/>
        </w:rPr>
        <w:t> </w:t>
      </w:r>
      <w:r>
        <w:rPr>
          <w:color w:val="231F20"/>
          <w:w w:val="115"/>
        </w:rPr>
        <w:t>absolutos:</w:t>
      </w:r>
    </w:p>
    <w:p>
      <w:pPr>
        <w:pStyle w:val="BodyText"/>
        <w:spacing w:before="4"/>
        <w:rPr>
          <w:sz w:val="23"/>
        </w:rPr>
      </w:pPr>
    </w:p>
    <w:p>
      <w:pPr>
        <w:spacing w:line="290" w:lineRule="auto" w:before="0"/>
        <w:ind w:left="100" w:right="117" w:firstLine="0"/>
        <w:jc w:val="both"/>
        <w:rPr>
          <w:sz w:val="18"/>
        </w:rPr>
      </w:pPr>
      <w:r>
        <w:rPr>
          <w:color w:val="231F20"/>
          <w:w w:val="110"/>
          <w:sz w:val="18"/>
        </w:rPr>
        <w:t>Ésta se evidencia ya, por ejemplo, con la continuada tendencia hacia la cre- ciente profundización del déficit exportación/importación en cada vez más segmentos </w:t>
      </w:r>
      <w:r>
        <w:rPr>
          <w:color w:val="231F20"/>
          <w:w w:val="115"/>
          <w:sz w:val="18"/>
        </w:rPr>
        <w:t>altec </w:t>
      </w:r>
      <w:r>
        <w:rPr>
          <w:color w:val="231F20"/>
          <w:w w:val="110"/>
          <w:sz w:val="18"/>
        </w:rPr>
        <w:t>y hacia el incremento de su monto total, probablemente mucho mayor aún de no haberse producido la devaluación del   dólar.</w:t>
      </w:r>
    </w:p>
    <w:p>
      <w:pPr>
        <w:spacing w:line="290" w:lineRule="auto" w:before="1"/>
        <w:ind w:left="100" w:right="119" w:firstLine="250"/>
        <w:jc w:val="both"/>
        <w:rPr>
          <w:sz w:val="18"/>
        </w:rPr>
      </w:pPr>
      <w:r>
        <w:rPr>
          <w:color w:val="231F20"/>
          <w:w w:val="115"/>
          <w:sz w:val="18"/>
        </w:rPr>
        <w:t>Se</w:t>
      </w:r>
      <w:r>
        <w:rPr>
          <w:color w:val="231F20"/>
          <w:spacing w:val="-40"/>
          <w:w w:val="115"/>
          <w:sz w:val="18"/>
        </w:rPr>
        <w:t> </w:t>
      </w:r>
      <w:r>
        <w:rPr>
          <w:color w:val="231F20"/>
          <w:w w:val="115"/>
          <w:sz w:val="18"/>
        </w:rPr>
        <w:t>complementaría</w:t>
      </w:r>
      <w:r>
        <w:rPr>
          <w:color w:val="231F20"/>
          <w:spacing w:val="-40"/>
          <w:w w:val="115"/>
          <w:sz w:val="18"/>
        </w:rPr>
        <w:t> </w:t>
      </w:r>
      <w:r>
        <w:rPr>
          <w:color w:val="231F20"/>
          <w:w w:val="115"/>
          <w:sz w:val="18"/>
        </w:rPr>
        <w:t>lo</w:t>
      </w:r>
      <w:r>
        <w:rPr>
          <w:color w:val="231F20"/>
          <w:spacing w:val="-40"/>
          <w:w w:val="115"/>
          <w:sz w:val="18"/>
        </w:rPr>
        <w:t> </w:t>
      </w:r>
      <w:r>
        <w:rPr>
          <w:color w:val="231F20"/>
          <w:w w:val="115"/>
          <w:sz w:val="18"/>
        </w:rPr>
        <w:t>anterior</w:t>
      </w:r>
      <w:r>
        <w:rPr>
          <w:color w:val="231F20"/>
          <w:spacing w:val="-40"/>
          <w:w w:val="115"/>
          <w:sz w:val="18"/>
        </w:rPr>
        <w:t> </w:t>
      </w:r>
      <w:r>
        <w:rPr>
          <w:color w:val="231F20"/>
          <w:w w:val="115"/>
          <w:sz w:val="18"/>
        </w:rPr>
        <w:t>—en</w:t>
      </w:r>
      <w:r>
        <w:rPr>
          <w:color w:val="231F20"/>
          <w:spacing w:val="-40"/>
          <w:w w:val="115"/>
          <w:sz w:val="18"/>
        </w:rPr>
        <w:t> </w:t>
      </w:r>
      <w:r>
        <w:rPr>
          <w:color w:val="231F20"/>
          <w:w w:val="115"/>
          <w:sz w:val="18"/>
        </w:rPr>
        <w:t>lo</w:t>
      </w:r>
      <w:r>
        <w:rPr>
          <w:color w:val="231F20"/>
          <w:spacing w:val="-40"/>
          <w:w w:val="115"/>
          <w:sz w:val="18"/>
        </w:rPr>
        <w:t> </w:t>
      </w:r>
      <w:r>
        <w:rPr>
          <w:color w:val="231F20"/>
          <w:w w:val="115"/>
          <w:sz w:val="18"/>
        </w:rPr>
        <w:t>que</w:t>
      </w:r>
      <w:r>
        <w:rPr>
          <w:color w:val="231F20"/>
          <w:spacing w:val="-40"/>
          <w:w w:val="115"/>
          <w:sz w:val="18"/>
        </w:rPr>
        <w:t> </w:t>
      </w:r>
      <w:r>
        <w:rPr>
          <w:color w:val="231F20"/>
          <w:w w:val="115"/>
          <w:sz w:val="18"/>
        </w:rPr>
        <w:t>a</w:t>
      </w:r>
      <w:r>
        <w:rPr>
          <w:color w:val="231F20"/>
          <w:spacing w:val="-40"/>
          <w:w w:val="115"/>
          <w:sz w:val="18"/>
        </w:rPr>
        <w:t> </w:t>
      </w:r>
      <w:r>
        <w:rPr>
          <w:color w:val="231F20"/>
          <w:w w:val="115"/>
          <w:sz w:val="18"/>
        </w:rPr>
        <w:t>consecuencias</w:t>
      </w:r>
      <w:r>
        <w:rPr>
          <w:color w:val="231F20"/>
          <w:spacing w:val="-40"/>
          <w:w w:val="115"/>
          <w:sz w:val="18"/>
        </w:rPr>
        <w:t> </w:t>
      </w:r>
      <w:r>
        <w:rPr>
          <w:color w:val="231F20"/>
          <w:w w:val="115"/>
          <w:sz w:val="18"/>
        </w:rPr>
        <w:t>en</w:t>
      </w:r>
      <w:r>
        <w:rPr>
          <w:color w:val="231F20"/>
          <w:spacing w:val="-40"/>
          <w:w w:val="115"/>
          <w:sz w:val="18"/>
        </w:rPr>
        <w:t> </w:t>
      </w:r>
      <w:r>
        <w:rPr>
          <w:color w:val="231F20"/>
          <w:w w:val="115"/>
          <w:sz w:val="18"/>
        </w:rPr>
        <w:t>exportacio- nes</w:t>
      </w:r>
      <w:r>
        <w:rPr>
          <w:color w:val="231F20"/>
          <w:spacing w:val="-19"/>
          <w:w w:val="115"/>
          <w:sz w:val="18"/>
        </w:rPr>
        <w:t> </w:t>
      </w:r>
      <w:r>
        <w:rPr>
          <w:color w:val="231F20"/>
          <w:w w:val="115"/>
          <w:sz w:val="18"/>
        </w:rPr>
        <w:t>estadunidenses</w:t>
      </w:r>
      <w:r>
        <w:rPr>
          <w:color w:val="231F20"/>
          <w:spacing w:val="-19"/>
          <w:w w:val="115"/>
          <w:sz w:val="18"/>
        </w:rPr>
        <w:t> </w:t>
      </w:r>
      <w:r>
        <w:rPr>
          <w:color w:val="231F20"/>
          <w:w w:val="115"/>
          <w:sz w:val="18"/>
        </w:rPr>
        <w:t>de</w:t>
      </w:r>
      <w:r>
        <w:rPr>
          <w:color w:val="231F20"/>
          <w:spacing w:val="-19"/>
          <w:w w:val="115"/>
          <w:sz w:val="18"/>
        </w:rPr>
        <w:t> </w:t>
      </w:r>
      <w:r>
        <w:rPr>
          <w:color w:val="231F20"/>
          <w:w w:val="115"/>
          <w:sz w:val="18"/>
        </w:rPr>
        <w:t>manufacturas</w:t>
      </w:r>
      <w:r>
        <w:rPr>
          <w:color w:val="231F20"/>
          <w:spacing w:val="-19"/>
          <w:w w:val="115"/>
          <w:sz w:val="18"/>
        </w:rPr>
        <w:t> </w:t>
      </w:r>
      <w:r>
        <w:rPr>
          <w:color w:val="231F20"/>
          <w:w w:val="115"/>
          <w:sz w:val="18"/>
        </w:rPr>
        <w:t>en</w:t>
      </w:r>
      <w:r>
        <w:rPr>
          <w:color w:val="231F20"/>
          <w:spacing w:val="-19"/>
          <w:w w:val="115"/>
          <w:sz w:val="18"/>
        </w:rPr>
        <w:t> </w:t>
      </w:r>
      <w:r>
        <w:rPr>
          <w:color w:val="231F20"/>
          <w:w w:val="115"/>
          <w:sz w:val="18"/>
        </w:rPr>
        <w:t>general</w:t>
      </w:r>
      <w:r>
        <w:rPr>
          <w:color w:val="231F20"/>
          <w:spacing w:val="-19"/>
          <w:w w:val="115"/>
          <w:sz w:val="18"/>
        </w:rPr>
        <w:t> </w:t>
      </w:r>
      <w:r>
        <w:rPr>
          <w:color w:val="231F20"/>
          <w:w w:val="110"/>
          <w:sz w:val="18"/>
        </w:rPr>
        <w:t>y</w:t>
      </w:r>
      <w:r>
        <w:rPr>
          <w:color w:val="231F20"/>
          <w:spacing w:val="-16"/>
          <w:w w:val="110"/>
          <w:sz w:val="18"/>
        </w:rPr>
        <w:t> </w:t>
      </w:r>
      <w:r>
        <w:rPr>
          <w:color w:val="231F20"/>
          <w:w w:val="115"/>
          <w:sz w:val="18"/>
        </w:rPr>
        <w:t>de</w:t>
      </w:r>
      <w:r>
        <w:rPr>
          <w:color w:val="231F20"/>
          <w:spacing w:val="-19"/>
          <w:w w:val="115"/>
          <w:sz w:val="18"/>
        </w:rPr>
        <w:t> </w:t>
      </w:r>
      <w:r>
        <w:rPr>
          <w:color w:val="231F20"/>
          <w:w w:val="115"/>
          <w:sz w:val="18"/>
        </w:rPr>
        <w:t>exportaciones</w:t>
      </w:r>
      <w:r>
        <w:rPr>
          <w:color w:val="231F20"/>
          <w:spacing w:val="-19"/>
          <w:w w:val="115"/>
          <w:sz w:val="18"/>
        </w:rPr>
        <w:t> </w:t>
      </w:r>
      <w:r>
        <w:rPr>
          <w:color w:val="231F20"/>
          <w:w w:val="115"/>
          <w:sz w:val="18"/>
        </w:rPr>
        <w:t>altec</w:t>
      </w:r>
      <w:r>
        <w:rPr>
          <w:color w:val="231F20"/>
          <w:spacing w:val="-19"/>
          <w:w w:val="115"/>
          <w:sz w:val="18"/>
        </w:rPr>
        <w:t> </w:t>
      </w:r>
      <w:r>
        <w:rPr>
          <w:color w:val="231F20"/>
          <w:w w:val="115"/>
          <w:sz w:val="18"/>
        </w:rPr>
        <w:t>en específico</w:t>
      </w:r>
      <w:r>
        <w:rPr>
          <w:color w:val="231F20"/>
          <w:spacing w:val="-37"/>
          <w:w w:val="115"/>
          <w:sz w:val="18"/>
        </w:rPr>
        <w:t> </w:t>
      </w:r>
      <w:r>
        <w:rPr>
          <w:color w:val="231F20"/>
          <w:w w:val="115"/>
          <w:sz w:val="18"/>
        </w:rPr>
        <w:t>se</w:t>
      </w:r>
      <w:r>
        <w:rPr>
          <w:color w:val="231F20"/>
          <w:spacing w:val="-37"/>
          <w:w w:val="115"/>
          <w:sz w:val="18"/>
        </w:rPr>
        <w:t> </w:t>
      </w:r>
      <w:r>
        <w:rPr>
          <w:color w:val="231F20"/>
          <w:w w:val="115"/>
          <w:sz w:val="18"/>
        </w:rPr>
        <w:t>refiere—</w:t>
      </w:r>
      <w:r>
        <w:rPr>
          <w:color w:val="231F20"/>
          <w:spacing w:val="-37"/>
          <w:w w:val="115"/>
          <w:sz w:val="18"/>
        </w:rPr>
        <w:t> </w:t>
      </w:r>
      <w:r>
        <w:rPr>
          <w:color w:val="231F20"/>
          <w:w w:val="115"/>
          <w:sz w:val="18"/>
        </w:rPr>
        <w:t>con</w:t>
      </w:r>
      <w:r>
        <w:rPr>
          <w:color w:val="231F20"/>
          <w:spacing w:val="-37"/>
          <w:w w:val="115"/>
          <w:sz w:val="18"/>
        </w:rPr>
        <w:t> </w:t>
      </w:r>
      <w:r>
        <w:rPr>
          <w:color w:val="231F20"/>
          <w:w w:val="115"/>
          <w:sz w:val="18"/>
        </w:rPr>
        <w:t>el</w:t>
      </w:r>
      <w:r>
        <w:rPr>
          <w:color w:val="231F20"/>
          <w:spacing w:val="-37"/>
          <w:w w:val="115"/>
          <w:sz w:val="18"/>
        </w:rPr>
        <w:t> </w:t>
      </w:r>
      <w:r>
        <w:rPr>
          <w:color w:val="231F20"/>
          <w:w w:val="115"/>
          <w:sz w:val="18"/>
        </w:rPr>
        <w:t>reciente</w:t>
      </w:r>
      <w:r>
        <w:rPr>
          <w:color w:val="231F20"/>
          <w:spacing w:val="-37"/>
          <w:w w:val="115"/>
          <w:sz w:val="18"/>
        </w:rPr>
        <w:t> </w:t>
      </w:r>
      <w:r>
        <w:rPr>
          <w:color w:val="231F20"/>
          <w:w w:val="115"/>
          <w:sz w:val="18"/>
        </w:rPr>
        <w:t>pronóstico</w:t>
      </w:r>
      <w:r>
        <w:rPr>
          <w:color w:val="231F20"/>
          <w:spacing w:val="-37"/>
          <w:w w:val="115"/>
          <w:sz w:val="18"/>
        </w:rPr>
        <w:t> </w:t>
      </w:r>
      <w:r>
        <w:rPr>
          <w:color w:val="231F20"/>
          <w:w w:val="115"/>
          <w:sz w:val="18"/>
        </w:rPr>
        <w:t>emitido</w:t>
      </w:r>
      <w:r>
        <w:rPr>
          <w:color w:val="231F20"/>
          <w:spacing w:val="-37"/>
          <w:w w:val="115"/>
          <w:sz w:val="18"/>
        </w:rPr>
        <w:t> </w:t>
      </w:r>
      <w:r>
        <w:rPr>
          <w:color w:val="231F20"/>
          <w:w w:val="115"/>
          <w:sz w:val="18"/>
        </w:rPr>
        <w:t>por</w:t>
      </w:r>
      <w:r>
        <w:rPr>
          <w:color w:val="231F20"/>
          <w:spacing w:val="-37"/>
          <w:w w:val="115"/>
          <w:sz w:val="18"/>
        </w:rPr>
        <w:t> </w:t>
      </w:r>
      <w:r>
        <w:rPr>
          <w:color w:val="231F20"/>
          <w:w w:val="115"/>
          <w:sz w:val="18"/>
        </w:rPr>
        <w:t>Global</w:t>
      </w:r>
      <w:r>
        <w:rPr>
          <w:color w:val="231F20"/>
          <w:spacing w:val="-37"/>
          <w:w w:val="115"/>
          <w:sz w:val="18"/>
        </w:rPr>
        <w:t> </w:t>
      </w:r>
      <w:r>
        <w:rPr>
          <w:color w:val="231F20"/>
          <w:w w:val="115"/>
          <w:sz w:val="18"/>
        </w:rPr>
        <w:t>Insight,</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spacing w:line="290" w:lineRule="auto" w:before="71"/>
        <w:ind w:left="120" w:right="117" w:firstLine="0"/>
        <w:jc w:val="both"/>
        <w:rPr>
          <w:sz w:val="18"/>
        </w:rPr>
      </w:pPr>
      <w:r>
        <w:rPr>
          <w:color w:val="231F20"/>
          <w:w w:val="110"/>
          <w:sz w:val="18"/>
        </w:rPr>
        <w:t>una</w:t>
      </w:r>
      <w:r>
        <w:rPr>
          <w:color w:val="231F20"/>
          <w:spacing w:val="-9"/>
          <w:w w:val="110"/>
          <w:sz w:val="18"/>
        </w:rPr>
        <w:t> </w:t>
      </w:r>
      <w:r>
        <w:rPr>
          <w:color w:val="231F20"/>
          <w:w w:val="110"/>
          <w:sz w:val="18"/>
        </w:rPr>
        <w:t>consultoría</w:t>
      </w:r>
      <w:r>
        <w:rPr>
          <w:color w:val="231F20"/>
          <w:spacing w:val="-9"/>
          <w:w w:val="110"/>
          <w:sz w:val="18"/>
        </w:rPr>
        <w:t> </w:t>
      </w:r>
      <w:r>
        <w:rPr>
          <w:color w:val="231F20"/>
          <w:w w:val="110"/>
          <w:sz w:val="18"/>
        </w:rPr>
        <w:t>económica</w:t>
      </w:r>
      <w:r>
        <w:rPr>
          <w:color w:val="231F20"/>
          <w:spacing w:val="-9"/>
          <w:w w:val="110"/>
          <w:sz w:val="18"/>
        </w:rPr>
        <w:t> </w:t>
      </w:r>
      <w:r>
        <w:rPr>
          <w:color w:val="231F20"/>
          <w:w w:val="110"/>
          <w:sz w:val="18"/>
        </w:rPr>
        <w:t>contratada</w:t>
      </w:r>
      <w:r>
        <w:rPr>
          <w:color w:val="231F20"/>
          <w:spacing w:val="-9"/>
          <w:w w:val="110"/>
          <w:sz w:val="18"/>
        </w:rPr>
        <w:t> </w:t>
      </w:r>
      <w:r>
        <w:rPr>
          <w:color w:val="231F20"/>
          <w:w w:val="110"/>
          <w:sz w:val="18"/>
        </w:rPr>
        <w:t>por</w:t>
      </w:r>
      <w:r>
        <w:rPr>
          <w:color w:val="231F20"/>
          <w:spacing w:val="-9"/>
          <w:w w:val="110"/>
          <w:sz w:val="18"/>
        </w:rPr>
        <w:t> </w:t>
      </w:r>
      <w:r>
        <w:rPr>
          <w:color w:val="231F20"/>
          <w:w w:val="110"/>
          <w:sz w:val="18"/>
        </w:rPr>
        <w:t>el</w:t>
      </w:r>
      <w:r>
        <w:rPr>
          <w:color w:val="231F20"/>
          <w:spacing w:val="-9"/>
          <w:w w:val="110"/>
          <w:sz w:val="18"/>
        </w:rPr>
        <w:t> </w:t>
      </w:r>
      <w:r>
        <w:rPr>
          <w:i/>
          <w:color w:val="231F20"/>
          <w:w w:val="110"/>
          <w:sz w:val="18"/>
        </w:rPr>
        <w:t>Financial</w:t>
      </w:r>
      <w:r>
        <w:rPr>
          <w:i/>
          <w:color w:val="231F20"/>
          <w:spacing w:val="-9"/>
          <w:w w:val="110"/>
          <w:sz w:val="18"/>
        </w:rPr>
        <w:t> </w:t>
      </w:r>
      <w:r>
        <w:rPr>
          <w:i/>
          <w:color w:val="231F20"/>
          <w:w w:val="110"/>
          <w:sz w:val="18"/>
        </w:rPr>
        <w:t>Times</w:t>
      </w:r>
      <w:r>
        <w:rPr>
          <w:i/>
          <w:color w:val="231F20"/>
          <w:spacing w:val="-9"/>
          <w:w w:val="110"/>
          <w:sz w:val="18"/>
        </w:rPr>
        <w:t> </w:t>
      </w:r>
      <w:r>
        <w:rPr>
          <w:color w:val="231F20"/>
          <w:w w:val="110"/>
          <w:sz w:val="18"/>
        </w:rPr>
        <w:t>(Marsh,</w:t>
      </w:r>
      <w:r>
        <w:rPr>
          <w:color w:val="231F20"/>
          <w:spacing w:val="-9"/>
          <w:w w:val="110"/>
          <w:sz w:val="18"/>
        </w:rPr>
        <w:t> </w:t>
      </w:r>
      <w:r>
        <w:rPr>
          <w:color w:val="231F20"/>
          <w:w w:val="110"/>
          <w:sz w:val="18"/>
        </w:rPr>
        <w:t>2008), acerca de la superación en 2010, con tres años de antelación a lo previsto</w:t>
      </w:r>
      <w:r>
        <w:rPr>
          <w:color w:val="231F20"/>
          <w:spacing w:val="-31"/>
          <w:w w:val="110"/>
          <w:sz w:val="18"/>
        </w:rPr>
        <w:t> </w:t>
      </w:r>
      <w:r>
        <w:rPr>
          <w:color w:val="231F20"/>
          <w:w w:val="110"/>
          <w:sz w:val="18"/>
        </w:rPr>
        <w:t>en pronósticos anteriores, de Estados Unidos por China, en términos</w:t>
      </w:r>
      <w:r>
        <w:rPr>
          <w:color w:val="231F20"/>
          <w:spacing w:val="-32"/>
          <w:w w:val="110"/>
          <w:sz w:val="18"/>
        </w:rPr>
        <w:t> </w:t>
      </w:r>
      <w:r>
        <w:rPr>
          <w:color w:val="231F20"/>
          <w:w w:val="110"/>
          <w:sz w:val="18"/>
        </w:rPr>
        <w:t>absolutos, en el primer lugar mundial de bienes manufacturados, ocupando cada cual el 16% y el 17% del valor agregado producido. Finalizaría así la centenaria dominación absoluta de Estados Unidos en este importante indicador. Ello conducirá</w:t>
      </w:r>
      <w:r>
        <w:rPr>
          <w:color w:val="231F20"/>
          <w:spacing w:val="-13"/>
          <w:w w:val="110"/>
          <w:sz w:val="18"/>
        </w:rPr>
        <w:t> </w:t>
      </w:r>
      <w:r>
        <w:rPr>
          <w:color w:val="231F20"/>
          <w:w w:val="110"/>
          <w:sz w:val="18"/>
        </w:rPr>
        <w:t>a</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reducción</w:t>
      </w:r>
      <w:r>
        <w:rPr>
          <w:color w:val="231F20"/>
          <w:spacing w:val="-13"/>
          <w:w w:val="110"/>
          <w:sz w:val="18"/>
        </w:rPr>
        <w:t> </w:t>
      </w:r>
      <w:r>
        <w:rPr>
          <w:color w:val="231F20"/>
          <w:w w:val="110"/>
          <w:sz w:val="18"/>
        </w:rPr>
        <w:t>participativa</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Estados</w:t>
      </w:r>
      <w:r>
        <w:rPr>
          <w:color w:val="231F20"/>
          <w:spacing w:val="-13"/>
          <w:w w:val="110"/>
          <w:sz w:val="18"/>
        </w:rPr>
        <w:t> </w:t>
      </w:r>
      <w:r>
        <w:rPr>
          <w:color w:val="231F20"/>
          <w:w w:val="110"/>
          <w:sz w:val="18"/>
        </w:rPr>
        <w:t>Unidos</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mercado</w:t>
      </w:r>
      <w:r>
        <w:rPr>
          <w:color w:val="231F20"/>
          <w:spacing w:val="-13"/>
          <w:w w:val="110"/>
          <w:sz w:val="18"/>
        </w:rPr>
        <w:t> </w:t>
      </w:r>
      <w:r>
        <w:rPr>
          <w:color w:val="231F20"/>
          <w:w w:val="110"/>
          <w:sz w:val="18"/>
        </w:rPr>
        <w:t>mun- dial </w:t>
      </w:r>
      <w:r>
        <w:rPr>
          <w:color w:val="231F20"/>
          <w:w w:val="120"/>
          <w:sz w:val="18"/>
        </w:rPr>
        <w:t>altec, </w:t>
      </w:r>
      <w:r>
        <w:rPr>
          <w:color w:val="231F20"/>
          <w:w w:val="110"/>
          <w:sz w:val="18"/>
        </w:rPr>
        <w:t>de considerarse referencialmente el impetuoso incremento de   las exportaciones </w:t>
      </w:r>
      <w:r>
        <w:rPr>
          <w:color w:val="231F20"/>
          <w:w w:val="120"/>
          <w:sz w:val="18"/>
        </w:rPr>
        <w:t>altec </w:t>
      </w:r>
      <w:r>
        <w:rPr>
          <w:color w:val="231F20"/>
          <w:w w:val="110"/>
          <w:sz w:val="18"/>
        </w:rPr>
        <w:t>de China, desde 6% de todos los productos fabriles en</w:t>
      </w:r>
      <w:r>
        <w:rPr>
          <w:color w:val="231F20"/>
          <w:spacing w:val="-7"/>
          <w:w w:val="110"/>
          <w:sz w:val="18"/>
        </w:rPr>
        <w:t> </w:t>
      </w:r>
      <w:r>
        <w:rPr>
          <w:color w:val="231F20"/>
          <w:w w:val="110"/>
          <w:sz w:val="18"/>
        </w:rPr>
        <w:t>1992</w:t>
      </w:r>
      <w:r>
        <w:rPr>
          <w:color w:val="231F20"/>
          <w:spacing w:val="-7"/>
          <w:w w:val="110"/>
          <w:sz w:val="18"/>
        </w:rPr>
        <w:t> </w:t>
      </w:r>
      <w:r>
        <w:rPr>
          <w:color w:val="231F20"/>
          <w:w w:val="110"/>
          <w:sz w:val="18"/>
        </w:rPr>
        <w:t>a</w:t>
      </w:r>
      <w:r>
        <w:rPr>
          <w:color w:val="231F20"/>
          <w:spacing w:val="-7"/>
          <w:w w:val="110"/>
          <w:sz w:val="18"/>
        </w:rPr>
        <w:t> </w:t>
      </w:r>
      <w:r>
        <w:rPr>
          <w:color w:val="231F20"/>
          <w:w w:val="110"/>
          <w:sz w:val="18"/>
        </w:rPr>
        <w:t>30%</w:t>
      </w:r>
      <w:r>
        <w:rPr>
          <w:color w:val="231F20"/>
          <w:spacing w:val="-7"/>
          <w:w w:val="110"/>
          <w:sz w:val="18"/>
        </w:rPr>
        <w:t> </w:t>
      </w:r>
      <w:r>
        <w:rPr>
          <w:color w:val="231F20"/>
          <w:w w:val="110"/>
          <w:sz w:val="18"/>
        </w:rPr>
        <w:t>en</w:t>
      </w:r>
      <w:r>
        <w:rPr>
          <w:color w:val="231F20"/>
          <w:spacing w:val="-7"/>
          <w:w w:val="110"/>
          <w:sz w:val="18"/>
        </w:rPr>
        <w:t> </w:t>
      </w:r>
      <w:r>
        <w:rPr>
          <w:color w:val="231F20"/>
          <w:w w:val="110"/>
          <w:sz w:val="18"/>
        </w:rPr>
        <w:t>2006</w:t>
      </w:r>
      <w:r>
        <w:rPr>
          <w:color w:val="231F20"/>
          <w:spacing w:val="-7"/>
          <w:w w:val="110"/>
          <w:sz w:val="18"/>
        </w:rPr>
        <w:t> </w:t>
      </w:r>
      <w:r>
        <w:rPr>
          <w:color w:val="231F20"/>
          <w:w w:val="110"/>
          <w:sz w:val="18"/>
        </w:rPr>
        <w:t>(Butler,</w:t>
      </w:r>
      <w:r>
        <w:rPr>
          <w:color w:val="231F20"/>
          <w:spacing w:val="-7"/>
          <w:w w:val="110"/>
          <w:sz w:val="18"/>
        </w:rPr>
        <w:t> </w:t>
      </w:r>
      <w:r>
        <w:rPr>
          <w:color w:val="231F20"/>
          <w:w w:val="110"/>
          <w:sz w:val="18"/>
        </w:rPr>
        <w:t>2008:</w:t>
      </w:r>
      <w:r>
        <w:rPr>
          <w:color w:val="231F20"/>
          <w:spacing w:val="-7"/>
          <w:w w:val="110"/>
          <w:sz w:val="18"/>
        </w:rPr>
        <w:t> </w:t>
      </w:r>
      <w:r>
        <w:rPr>
          <w:color w:val="231F20"/>
          <w:w w:val="110"/>
          <w:sz w:val="18"/>
        </w:rPr>
        <w:t>382-383).</w:t>
      </w:r>
    </w:p>
    <w:p>
      <w:pPr>
        <w:pStyle w:val="BodyText"/>
        <w:spacing w:before="2"/>
      </w:pPr>
    </w:p>
    <w:p>
      <w:pPr>
        <w:pStyle w:val="BodyText"/>
        <w:spacing w:line="261" w:lineRule="auto"/>
        <w:ind w:left="120" w:right="115" w:firstLine="240"/>
        <w:jc w:val="both"/>
      </w:pPr>
      <w:r>
        <w:rPr>
          <w:color w:val="231F20"/>
          <w:w w:val="105"/>
        </w:rPr>
        <w:t>Ante el controvertido deterioro de la otrora incólume competi- tividad de los productos </w:t>
      </w:r>
      <w:r>
        <w:rPr>
          <w:color w:val="231F20"/>
          <w:w w:val="120"/>
        </w:rPr>
        <w:t>altec </w:t>
      </w:r>
      <w:r>
        <w:rPr>
          <w:color w:val="231F20"/>
          <w:w w:val="105"/>
        </w:rPr>
        <w:t>estadunidenses así como de otros indicadores intensivos de su </w:t>
      </w:r>
      <w:r>
        <w:rPr>
          <w:i/>
          <w:color w:val="231F20"/>
          <w:w w:val="105"/>
        </w:rPr>
        <w:t>performance </w:t>
      </w:r>
      <w:r>
        <w:rPr>
          <w:color w:val="231F20"/>
          <w:w w:val="105"/>
        </w:rPr>
        <w:t>en i+d, la National Scien-   ce Board (nsb, 2006) intentaría ofrecer una imagen inmutable y vanguardista del tradicional estatus competitivo de Estados Unidos, ideando el llamado </w:t>
      </w:r>
      <w:r>
        <w:rPr>
          <w:i/>
          <w:color w:val="231F20"/>
          <w:w w:val="105"/>
        </w:rPr>
        <w:t>índice de competitividad sistémica</w:t>
      </w:r>
      <w:r>
        <w:rPr>
          <w:color w:val="231F20"/>
          <w:w w:val="105"/>
        </w:rPr>
        <w:t>. Sin entrar en detalles, esta entelequia se caracterizó por la falta de transparencia llamada a encubrir el subjetivismo de conveniencia y un  marcado sesgo político en la selección de los indicadores y de los especialistas, así como el de éstos al aportar sus puntuaciones o </w:t>
      </w:r>
      <w:r>
        <w:rPr>
          <w:i/>
          <w:color w:val="231F20"/>
          <w:w w:val="105"/>
        </w:rPr>
        <w:t>scores</w:t>
      </w:r>
      <w:r>
        <w:rPr>
          <w:color w:val="231F20"/>
          <w:w w:val="105"/>
        </w:rPr>
        <w:t>. No debería pues asombrarnos que el objetivo “se lograría” con el máximo de puntuaciones para Estados Unidos, haciendo mutis de su deteriorada competitividad  </w:t>
      </w:r>
      <w:r>
        <w:rPr>
          <w:color w:val="231F20"/>
          <w:spacing w:val="17"/>
          <w:w w:val="105"/>
        </w:rPr>
        <w:t> </w:t>
      </w:r>
      <w:r>
        <w:rPr>
          <w:color w:val="231F20"/>
          <w:w w:val="120"/>
        </w:rPr>
        <w:t>altec.</w:t>
      </w:r>
    </w:p>
    <w:p>
      <w:pPr>
        <w:pStyle w:val="BodyText"/>
        <w:spacing w:line="261" w:lineRule="auto"/>
        <w:ind w:left="119" w:right="119" w:firstLine="240"/>
        <w:jc w:val="both"/>
      </w:pPr>
      <w:r>
        <w:rPr>
          <w:color w:val="231F20"/>
          <w:w w:val="110"/>
        </w:rPr>
        <w:t>No</w:t>
      </w:r>
      <w:r>
        <w:rPr>
          <w:color w:val="231F20"/>
          <w:spacing w:val="-7"/>
          <w:w w:val="110"/>
        </w:rPr>
        <w:t> </w:t>
      </w:r>
      <w:r>
        <w:rPr>
          <w:color w:val="231F20"/>
          <w:spacing w:val="-3"/>
          <w:w w:val="110"/>
        </w:rPr>
        <w:t>obstante,</w:t>
      </w:r>
      <w:r>
        <w:rPr>
          <w:color w:val="231F20"/>
          <w:spacing w:val="-7"/>
          <w:w w:val="110"/>
        </w:rPr>
        <w:t> </w:t>
      </w:r>
      <w:r>
        <w:rPr>
          <w:color w:val="231F20"/>
          <w:w w:val="110"/>
        </w:rPr>
        <w:t>ya</w:t>
      </w:r>
      <w:r>
        <w:rPr>
          <w:color w:val="231F20"/>
          <w:spacing w:val="-7"/>
          <w:w w:val="110"/>
        </w:rPr>
        <w:t> </w:t>
      </w:r>
      <w:r>
        <w:rPr>
          <w:color w:val="231F20"/>
          <w:w w:val="110"/>
        </w:rPr>
        <w:t>en</w:t>
      </w:r>
      <w:r>
        <w:rPr>
          <w:color w:val="231F20"/>
          <w:spacing w:val="-7"/>
          <w:w w:val="110"/>
        </w:rPr>
        <w:t> </w:t>
      </w:r>
      <w:r>
        <w:rPr>
          <w:color w:val="231F20"/>
          <w:spacing w:val="-3"/>
          <w:w w:val="110"/>
        </w:rPr>
        <w:t>2008</w:t>
      </w:r>
      <w:r>
        <w:rPr>
          <w:color w:val="231F20"/>
          <w:spacing w:val="-7"/>
          <w:w w:val="110"/>
        </w:rPr>
        <w:t> </w:t>
      </w:r>
      <w:r>
        <w:rPr>
          <w:color w:val="231F20"/>
          <w:w w:val="110"/>
        </w:rPr>
        <w:t>se</w:t>
      </w:r>
      <w:r>
        <w:rPr>
          <w:color w:val="231F20"/>
          <w:spacing w:val="-7"/>
          <w:w w:val="110"/>
        </w:rPr>
        <w:t> </w:t>
      </w:r>
      <w:r>
        <w:rPr>
          <w:color w:val="231F20"/>
          <w:spacing w:val="-3"/>
          <w:w w:val="110"/>
        </w:rPr>
        <w:t>rectificaría,</w:t>
      </w:r>
      <w:r>
        <w:rPr>
          <w:color w:val="231F20"/>
          <w:spacing w:val="-7"/>
          <w:w w:val="110"/>
        </w:rPr>
        <w:t> </w:t>
      </w:r>
      <w:r>
        <w:rPr>
          <w:color w:val="231F20"/>
          <w:spacing w:val="-3"/>
          <w:w w:val="110"/>
        </w:rPr>
        <w:t>reconociendo</w:t>
      </w:r>
      <w:r>
        <w:rPr>
          <w:color w:val="231F20"/>
          <w:spacing w:val="-7"/>
          <w:w w:val="110"/>
        </w:rPr>
        <w:t> </w:t>
      </w:r>
      <w:r>
        <w:rPr>
          <w:color w:val="231F20"/>
          <w:w w:val="110"/>
        </w:rPr>
        <w:t>la</w:t>
      </w:r>
      <w:r>
        <w:rPr>
          <w:color w:val="231F20"/>
          <w:spacing w:val="-7"/>
          <w:w w:val="110"/>
        </w:rPr>
        <w:t> </w:t>
      </w:r>
      <w:r>
        <w:rPr>
          <w:color w:val="231F20"/>
          <w:spacing w:val="-3"/>
          <w:w w:val="110"/>
        </w:rPr>
        <w:t>ausencia</w:t>
      </w:r>
      <w:r>
        <w:rPr>
          <w:color w:val="231F20"/>
          <w:spacing w:val="-7"/>
          <w:w w:val="110"/>
        </w:rPr>
        <w:t> </w:t>
      </w:r>
      <w:r>
        <w:rPr>
          <w:color w:val="231F20"/>
          <w:spacing w:val="-3"/>
          <w:w w:val="110"/>
        </w:rPr>
        <w:t>de </w:t>
      </w:r>
      <w:r>
        <w:rPr>
          <w:color w:val="231F20"/>
          <w:w w:val="110"/>
        </w:rPr>
        <w:t>una</w:t>
      </w:r>
      <w:r>
        <w:rPr>
          <w:color w:val="231F20"/>
          <w:spacing w:val="-28"/>
          <w:w w:val="110"/>
        </w:rPr>
        <w:t> </w:t>
      </w:r>
      <w:r>
        <w:rPr>
          <w:i/>
          <w:color w:val="231F20"/>
          <w:spacing w:val="-3"/>
          <w:w w:val="110"/>
        </w:rPr>
        <w:t>métrica</w:t>
      </w:r>
      <w:r>
        <w:rPr>
          <w:i/>
          <w:color w:val="231F20"/>
          <w:spacing w:val="-28"/>
          <w:w w:val="110"/>
        </w:rPr>
        <w:t> </w:t>
      </w:r>
      <w:r>
        <w:rPr>
          <w:i/>
          <w:color w:val="231F20"/>
          <w:spacing w:val="-3"/>
          <w:w w:val="110"/>
        </w:rPr>
        <w:t>adecuada</w:t>
      </w:r>
      <w:r>
        <w:rPr>
          <w:i/>
          <w:color w:val="231F20"/>
          <w:spacing w:val="-28"/>
          <w:w w:val="110"/>
        </w:rPr>
        <w:t> </w:t>
      </w:r>
      <w:r>
        <w:rPr>
          <w:color w:val="231F20"/>
          <w:spacing w:val="-3"/>
          <w:w w:val="110"/>
        </w:rPr>
        <w:t>contentiva</w:t>
      </w:r>
      <w:r>
        <w:rPr>
          <w:color w:val="231F20"/>
          <w:spacing w:val="-28"/>
          <w:w w:val="110"/>
        </w:rPr>
        <w:t> </w:t>
      </w:r>
      <w:r>
        <w:rPr>
          <w:color w:val="231F20"/>
          <w:w w:val="110"/>
        </w:rPr>
        <w:t>de</w:t>
      </w:r>
      <w:r>
        <w:rPr>
          <w:color w:val="231F20"/>
          <w:spacing w:val="-28"/>
          <w:w w:val="110"/>
        </w:rPr>
        <w:t> </w:t>
      </w:r>
      <w:r>
        <w:rPr>
          <w:color w:val="231F20"/>
          <w:spacing w:val="-3"/>
          <w:w w:val="110"/>
        </w:rPr>
        <w:t>datos</w:t>
      </w:r>
      <w:r>
        <w:rPr>
          <w:color w:val="231F20"/>
          <w:spacing w:val="-28"/>
          <w:w w:val="110"/>
        </w:rPr>
        <w:t> </w:t>
      </w:r>
      <w:r>
        <w:rPr>
          <w:color w:val="231F20"/>
          <w:w w:val="110"/>
        </w:rPr>
        <w:t>que</w:t>
      </w:r>
      <w:r>
        <w:rPr>
          <w:color w:val="231F20"/>
          <w:spacing w:val="-28"/>
          <w:w w:val="110"/>
        </w:rPr>
        <w:t> </w:t>
      </w:r>
      <w:r>
        <w:rPr>
          <w:color w:val="231F20"/>
          <w:spacing w:val="-3"/>
          <w:w w:val="110"/>
        </w:rPr>
        <w:t>reflejen</w:t>
      </w:r>
      <w:r>
        <w:rPr>
          <w:color w:val="231F20"/>
          <w:spacing w:val="-28"/>
          <w:w w:val="110"/>
        </w:rPr>
        <w:t> </w:t>
      </w:r>
      <w:r>
        <w:rPr>
          <w:color w:val="231F20"/>
          <w:w w:val="110"/>
        </w:rPr>
        <w:t>los</w:t>
      </w:r>
      <w:r>
        <w:rPr>
          <w:color w:val="231F20"/>
          <w:spacing w:val="-28"/>
          <w:w w:val="110"/>
        </w:rPr>
        <w:t> </w:t>
      </w:r>
      <w:r>
        <w:rPr>
          <w:color w:val="231F20"/>
          <w:spacing w:val="-3"/>
          <w:w w:val="110"/>
        </w:rPr>
        <w:t>cambios</w:t>
      </w:r>
      <w:r>
        <w:rPr>
          <w:color w:val="231F20"/>
          <w:spacing w:val="-28"/>
          <w:w w:val="110"/>
        </w:rPr>
        <w:t> </w:t>
      </w:r>
      <w:r>
        <w:rPr>
          <w:color w:val="231F20"/>
          <w:spacing w:val="-3"/>
          <w:w w:val="110"/>
        </w:rPr>
        <w:t>acae- cidos </w:t>
      </w:r>
      <w:r>
        <w:rPr>
          <w:color w:val="231F20"/>
          <w:w w:val="110"/>
        </w:rPr>
        <w:t>en el </w:t>
      </w:r>
      <w:r>
        <w:rPr>
          <w:color w:val="231F20"/>
          <w:spacing w:val="-3"/>
          <w:w w:val="110"/>
        </w:rPr>
        <w:t>ciclo reproductivo complejizado </w:t>
      </w:r>
      <w:r>
        <w:rPr>
          <w:color w:val="231F20"/>
          <w:w w:val="110"/>
        </w:rPr>
        <w:t>por la </w:t>
      </w:r>
      <w:r>
        <w:rPr>
          <w:color w:val="231F20"/>
          <w:spacing w:val="-3"/>
          <w:w w:val="110"/>
        </w:rPr>
        <w:t>globalización, con </w:t>
      </w:r>
      <w:r>
        <w:rPr>
          <w:color w:val="231F20"/>
          <w:w w:val="110"/>
        </w:rPr>
        <w:t>tal de </w:t>
      </w:r>
      <w:r>
        <w:rPr>
          <w:color w:val="231F20"/>
          <w:spacing w:val="-3"/>
          <w:w w:val="110"/>
        </w:rPr>
        <w:t>considerar </w:t>
      </w:r>
      <w:r>
        <w:rPr>
          <w:color w:val="231F20"/>
          <w:w w:val="110"/>
        </w:rPr>
        <w:t>en las </w:t>
      </w:r>
      <w:r>
        <w:rPr>
          <w:color w:val="231F20"/>
          <w:spacing w:val="-3"/>
          <w:w w:val="110"/>
        </w:rPr>
        <w:t>cadenas globales </w:t>
      </w:r>
      <w:r>
        <w:rPr>
          <w:color w:val="231F20"/>
          <w:w w:val="110"/>
        </w:rPr>
        <w:t>no </w:t>
      </w:r>
      <w:r>
        <w:rPr>
          <w:color w:val="231F20"/>
          <w:spacing w:val="-3"/>
          <w:w w:val="110"/>
        </w:rPr>
        <w:t>sólo </w:t>
      </w:r>
      <w:r>
        <w:rPr>
          <w:color w:val="231F20"/>
          <w:w w:val="110"/>
        </w:rPr>
        <w:t>los </w:t>
      </w:r>
      <w:r>
        <w:rPr>
          <w:color w:val="231F20"/>
          <w:spacing w:val="-3"/>
          <w:w w:val="110"/>
        </w:rPr>
        <w:t>valores añadidos </w:t>
      </w:r>
      <w:r>
        <w:rPr>
          <w:color w:val="231F20"/>
          <w:w w:val="110"/>
        </w:rPr>
        <w:t>en</w:t>
      </w:r>
      <w:r>
        <w:rPr>
          <w:color w:val="231F20"/>
          <w:spacing w:val="-11"/>
          <w:w w:val="110"/>
        </w:rPr>
        <w:t> </w:t>
      </w:r>
      <w:r>
        <w:rPr>
          <w:color w:val="231F20"/>
          <w:w w:val="110"/>
        </w:rPr>
        <w:t>las</w:t>
      </w:r>
      <w:r>
        <w:rPr>
          <w:color w:val="231F20"/>
          <w:spacing w:val="-11"/>
          <w:w w:val="110"/>
        </w:rPr>
        <w:t> </w:t>
      </w:r>
      <w:r>
        <w:rPr>
          <w:color w:val="231F20"/>
          <w:spacing w:val="-3"/>
          <w:w w:val="110"/>
        </w:rPr>
        <w:t>diversas</w:t>
      </w:r>
      <w:r>
        <w:rPr>
          <w:color w:val="231F20"/>
          <w:spacing w:val="-11"/>
          <w:w w:val="110"/>
        </w:rPr>
        <w:t> </w:t>
      </w:r>
      <w:r>
        <w:rPr>
          <w:color w:val="231F20"/>
          <w:spacing w:val="-3"/>
          <w:w w:val="110"/>
        </w:rPr>
        <w:t>etapas</w:t>
      </w:r>
      <w:r>
        <w:rPr>
          <w:color w:val="231F20"/>
          <w:spacing w:val="-11"/>
          <w:w w:val="110"/>
        </w:rPr>
        <w:t> </w:t>
      </w:r>
      <w:r>
        <w:rPr>
          <w:color w:val="231F20"/>
          <w:w w:val="110"/>
        </w:rPr>
        <w:t>de</w:t>
      </w:r>
      <w:r>
        <w:rPr>
          <w:color w:val="231F20"/>
          <w:spacing w:val="-11"/>
          <w:w w:val="110"/>
        </w:rPr>
        <w:t> </w:t>
      </w:r>
      <w:r>
        <w:rPr>
          <w:color w:val="231F20"/>
          <w:spacing w:val="-3"/>
          <w:w w:val="110"/>
        </w:rPr>
        <w:t>producción,</w:t>
      </w:r>
      <w:r>
        <w:rPr>
          <w:color w:val="231F20"/>
          <w:spacing w:val="-11"/>
          <w:w w:val="110"/>
        </w:rPr>
        <w:t> </w:t>
      </w:r>
      <w:r>
        <w:rPr>
          <w:color w:val="231F20"/>
          <w:spacing w:val="-3"/>
          <w:w w:val="110"/>
        </w:rPr>
        <w:t>sino</w:t>
      </w:r>
      <w:r>
        <w:rPr>
          <w:color w:val="231F20"/>
          <w:spacing w:val="-11"/>
          <w:w w:val="110"/>
        </w:rPr>
        <w:t> </w:t>
      </w:r>
      <w:r>
        <w:rPr>
          <w:color w:val="231F20"/>
          <w:spacing w:val="-3"/>
          <w:w w:val="110"/>
        </w:rPr>
        <w:t>también</w:t>
      </w:r>
      <w:r>
        <w:rPr>
          <w:color w:val="231F20"/>
          <w:spacing w:val="-11"/>
          <w:w w:val="110"/>
        </w:rPr>
        <w:t> </w:t>
      </w:r>
      <w:r>
        <w:rPr>
          <w:color w:val="231F20"/>
          <w:w w:val="110"/>
        </w:rPr>
        <w:t>los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generación </w:t>
      </w:r>
      <w:r>
        <w:rPr>
          <w:color w:val="231F20"/>
          <w:w w:val="110"/>
        </w:rPr>
        <w:t>del</w:t>
      </w:r>
      <w:r>
        <w:rPr>
          <w:color w:val="231F20"/>
          <w:spacing w:val="-19"/>
          <w:w w:val="110"/>
        </w:rPr>
        <w:t> </w:t>
      </w:r>
      <w:r>
        <w:rPr>
          <w:color w:val="231F20"/>
          <w:spacing w:val="-3"/>
          <w:w w:val="110"/>
        </w:rPr>
        <w:t>capital</w:t>
      </w:r>
      <w:r>
        <w:rPr>
          <w:color w:val="231F20"/>
          <w:spacing w:val="-19"/>
          <w:w w:val="110"/>
        </w:rPr>
        <w:t> </w:t>
      </w:r>
      <w:r>
        <w:rPr>
          <w:color w:val="231F20"/>
          <w:spacing w:val="-3"/>
          <w:w w:val="110"/>
        </w:rPr>
        <w:t>intelectual.</w:t>
      </w:r>
      <w:r>
        <w:rPr>
          <w:color w:val="231F20"/>
          <w:spacing w:val="-19"/>
          <w:w w:val="110"/>
        </w:rPr>
        <w:t> </w:t>
      </w:r>
      <w:r>
        <w:rPr>
          <w:color w:val="231F20"/>
          <w:w w:val="110"/>
        </w:rPr>
        <w:t>Se</w:t>
      </w:r>
      <w:r>
        <w:rPr>
          <w:color w:val="231F20"/>
          <w:spacing w:val="-19"/>
          <w:w w:val="110"/>
        </w:rPr>
        <w:t> </w:t>
      </w:r>
      <w:r>
        <w:rPr>
          <w:color w:val="231F20"/>
          <w:spacing w:val="-3"/>
          <w:w w:val="110"/>
        </w:rPr>
        <w:t>constató</w:t>
      </w:r>
      <w:r>
        <w:rPr>
          <w:color w:val="231F20"/>
          <w:spacing w:val="-19"/>
          <w:w w:val="110"/>
        </w:rPr>
        <w:t> </w:t>
      </w:r>
      <w:r>
        <w:rPr>
          <w:color w:val="231F20"/>
          <w:w w:val="110"/>
        </w:rPr>
        <w:t>con</w:t>
      </w:r>
      <w:r>
        <w:rPr>
          <w:color w:val="231F20"/>
          <w:spacing w:val="-19"/>
          <w:w w:val="110"/>
        </w:rPr>
        <w:t> </w:t>
      </w:r>
      <w:r>
        <w:rPr>
          <w:color w:val="231F20"/>
          <w:spacing w:val="-3"/>
          <w:w w:val="110"/>
        </w:rPr>
        <w:t>preocupación,</w:t>
      </w:r>
      <w:r>
        <w:rPr>
          <w:color w:val="231F20"/>
          <w:spacing w:val="-19"/>
          <w:w w:val="110"/>
        </w:rPr>
        <w:t> </w:t>
      </w:r>
      <w:r>
        <w:rPr>
          <w:color w:val="231F20"/>
          <w:w w:val="110"/>
        </w:rPr>
        <w:t>la</w:t>
      </w:r>
      <w:r>
        <w:rPr>
          <w:color w:val="231F20"/>
          <w:spacing w:val="-19"/>
          <w:w w:val="110"/>
        </w:rPr>
        <w:t> </w:t>
      </w:r>
      <w:r>
        <w:rPr>
          <w:color w:val="231F20"/>
          <w:spacing w:val="-3"/>
          <w:w w:val="110"/>
        </w:rPr>
        <w:t>significativa</w:t>
      </w:r>
      <w:r>
        <w:rPr>
          <w:color w:val="231F20"/>
          <w:spacing w:val="-19"/>
          <w:w w:val="110"/>
        </w:rPr>
        <w:t> </w:t>
      </w:r>
      <w:r>
        <w:rPr>
          <w:color w:val="231F20"/>
          <w:w w:val="110"/>
        </w:rPr>
        <w:t>re- </w:t>
      </w:r>
      <w:r>
        <w:rPr>
          <w:color w:val="231F20"/>
          <w:spacing w:val="-3"/>
          <w:w w:val="110"/>
        </w:rPr>
        <w:t>ducción </w:t>
      </w:r>
      <w:r>
        <w:rPr>
          <w:color w:val="231F20"/>
          <w:w w:val="110"/>
        </w:rPr>
        <w:t>del </w:t>
      </w:r>
      <w:r>
        <w:rPr>
          <w:color w:val="231F20"/>
          <w:spacing w:val="-3"/>
          <w:w w:val="110"/>
        </w:rPr>
        <w:t>financiamiento federal </w:t>
      </w:r>
      <w:r>
        <w:rPr>
          <w:color w:val="231F20"/>
          <w:w w:val="110"/>
        </w:rPr>
        <w:t>y el </w:t>
      </w:r>
      <w:r>
        <w:rPr>
          <w:color w:val="231F20"/>
          <w:spacing w:val="-3"/>
          <w:w w:val="110"/>
        </w:rPr>
        <w:t>desentendimiento </w:t>
      </w:r>
      <w:r>
        <w:rPr>
          <w:color w:val="231F20"/>
          <w:w w:val="110"/>
        </w:rPr>
        <w:t>por el</w:t>
      </w:r>
      <w:r>
        <w:rPr>
          <w:color w:val="231F20"/>
          <w:spacing w:val="-33"/>
          <w:w w:val="110"/>
        </w:rPr>
        <w:t> </w:t>
      </w:r>
      <w:r>
        <w:rPr>
          <w:color w:val="231F20"/>
          <w:spacing w:val="-3"/>
          <w:w w:val="110"/>
        </w:rPr>
        <w:t>sector industrial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3"/>
          <w:w w:val="110"/>
        </w:rPr>
        <w:t>investigación</w:t>
      </w:r>
      <w:r>
        <w:rPr>
          <w:color w:val="231F20"/>
          <w:spacing w:val="-10"/>
          <w:w w:val="110"/>
        </w:rPr>
        <w:t> </w:t>
      </w:r>
      <w:r>
        <w:rPr>
          <w:color w:val="231F20"/>
          <w:spacing w:val="-3"/>
          <w:w w:val="110"/>
        </w:rPr>
        <w:t>fundamental.</w:t>
      </w:r>
      <w:r>
        <w:rPr>
          <w:color w:val="231F20"/>
          <w:spacing w:val="-10"/>
          <w:w w:val="110"/>
        </w:rPr>
        <w:t> </w:t>
      </w:r>
      <w:r>
        <w:rPr>
          <w:color w:val="231F20"/>
          <w:spacing w:val="-3"/>
          <w:w w:val="110"/>
        </w:rPr>
        <w:t>Ello</w:t>
      </w:r>
      <w:r>
        <w:rPr>
          <w:color w:val="231F20"/>
          <w:spacing w:val="-10"/>
          <w:w w:val="110"/>
        </w:rPr>
        <w:t> </w:t>
      </w:r>
      <w:r>
        <w:rPr>
          <w:color w:val="231F20"/>
          <w:spacing w:val="-3"/>
          <w:w w:val="110"/>
        </w:rPr>
        <w:t>acarrea</w:t>
      </w:r>
      <w:r>
        <w:rPr>
          <w:color w:val="231F20"/>
          <w:spacing w:val="-10"/>
          <w:w w:val="110"/>
        </w:rPr>
        <w:t> </w:t>
      </w:r>
      <w:r>
        <w:rPr>
          <w:color w:val="231F20"/>
          <w:spacing w:val="-3"/>
          <w:w w:val="110"/>
        </w:rPr>
        <w:t>nefastas</w:t>
      </w:r>
      <w:r>
        <w:rPr>
          <w:color w:val="231F20"/>
          <w:spacing w:val="-10"/>
          <w:w w:val="110"/>
        </w:rPr>
        <w:t> </w:t>
      </w:r>
      <w:r>
        <w:rPr>
          <w:color w:val="231F20"/>
          <w:spacing w:val="-3"/>
          <w:w w:val="110"/>
        </w:rPr>
        <w:t>conse- cuencias, </w:t>
      </w:r>
      <w:r>
        <w:rPr>
          <w:color w:val="231F20"/>
          <w:w w:val="110"/>
        </w:rPr>
        <w:t>no </w:t>
      </w:r>
      <w:r>
        <w:rPr>
          <w:color w:val="231F20"/>
          <w:spacing w:val="-3"/>
          <w:w w:val="110"/>
        </w:rPr>
        <w:t>necesariamente recuperables, tanto para </w:t>
      </w:r>
      <w:r>
        <w:rPr>
          <w:color w:val="231F20"/>
          <w:w w:val="110"/>
        </w:rPr>
        <w:t>la </w:t>
      </w:r>
      <w:r>
        <w:rPr>
          <w:color w:val="231F20"/>
          <w:spacing w:val="-3"/>
          <w:w w:val="110"/>
        </w:rPr>
        <w:t>esfera laboral cualificada</w:t>
      </w:r>
      <w:r>
        <w:rPr>
          <w:color w:val="231F20"/>
          <w:spacing w:val="-15"/>
          <w:w w:val="110"/>
        </w:rPr>
        <w:t> </w:t>
      </w:r>
      <w:r>
        <w:rPr>
          <w:color w:val="231F20"/>
          <w:spacing w:val="-3"/>
          <w:w w:val="110"/>
        </w:rPr>
        <w:t>como,</w:t>
      </w:r>
      <w:r>
        <w:rPr>
          <w:color w:val="231F20"/>
          <w:spacing w:val="-15"/>
          <w:w w:val="110"/>
        </w:rPr>
        <w:t> </w:t>
      </w:r>
      <w:r>
        <w:rPr>
          <w:color w:val="231F20"/>
          <w:w w:val="110"/>
        </w:rPr>
        <w:t>en</w:t>
      </w:r>
      <w:r>
        <w:rPr>
          <w:color w:val="231F20"/>
          <w:spacing w:val="-15"/>
          <w:w w:val="110"/>
        </w:rPr>
        <w:t> </w:t>
      </w:r>
      <w:r>
        <w:rPr>
          <w:color w:val="231F20"/>
          <w:spacing w:val="-3"/>
          <w:w w:val="110"/>
        </w:rPr>
        <w:t>esencia,</w:t>
      </w:r>
      <w:r>
        <w:rPr>
          <w:color w:val="231F20"/>
          <w:spacing w:val="-15"/>
          <w:w w:val="110"/>
        </w:rPr>
        <w:t> </w:t>
      </w:r>
      <w:r>
        <w:rPr>
          <w:color w:val="231F20"/>
          <w:spacing w:val="-3"/>
          <w:w w:val="110"/>
        </w:rPr>
        <w:t>para</w:t>
      </w:r>
      <w:r>
        <w:rPr>
          <w:color w:val="231F20"/>
          <w:spacing w:val="-15"/>
          <w:w w:val="110"/>
        </w:rPr>
        <w:t> </w:t>
      </w:r>
      <w:r>
        <w:rPr>
          <w:color w:val="231F20"/>
          <w:w w:val="110"/>
        </w:rPr>
        <w:t>la</w:t>
      </w:r>
      <w:r>
        <w:rPr>
          <w:color w:val="231F20"/>
          <w:spacing w:val="-15"/>
          <w:w w:val="110"/>
        </w:rPr>
        <w:t> </w:t>
      </w:r>
      <w:r>
        <w:rPr>
          <w:color w:val="231F20"/>
          <w:spacing w:val="-3"/>
          <w:w w:val="110"/>
        </w:rPr>
        <w:t>competitividad</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spacing w:val="-3"/>
          <w:w w:val="110"/>
        </w:rPr>
        <w:t>vanguardismo </w:t>
      </w:r>
      <w:r>
        <w:rPr>
          <w:color w:val="231F20"/>
          <w:w w:val="110"/>
        </w:rPr>
        <w:t>a</w:t>
      </w:r>
      <w:r>
        <w:rPr>
          <w:color w:val="231F20"/>
          <w:spacing w:val="-20"/>
          <w:w w:val="110"/>
        </w:rPr>
        <w:t> </w:t>
      </w:r>
      <w:r>
        <w:rPr>
          <w:color w:val="231F20"/>
          <w:spacing w:val="-3"/>
          <w:w w:val="110"/>
        </w:rPr>
        <w:t>futuro,</w:t>
      </w:r>
      <w:r>
        <w:rPr>
          <w:color w:val="231F20"/>
          <w:spacing w:val="-20"/>
          <w:w w:val="110"/>
        </w:rPr>
        <w:t> </w:t>
      </w:r>
      <w:r>
        <w:rPr>
          <w:color w:val="231F20"/>
          <w:spacing w:val="-3"/>
          <w:w w:val="110"/>
        </w:rPr>
        <w:t>acaecidas</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spacing w:val="-3"/>
          <w:w w:val="110"/>
        </w:rPr>
        <w:t>dispersión</w:t>
      </w:r>
      <w:r>
        <w:rPr>
          <w:color w:val="231F20"/>
          <w:spacing w:val="-20"/>
          <w:w w:val="110"/>
        </w:rPr>
        <w:t> </w:t>
      </w:r>
      <w:r>
        <w:rPr>
          <w:color w:val="231F20"/>
          <w:w w:val="110"/>
        </w:rPr>
        <w:t>del</w:t>
      </w:r>
      <w:r>
        <w:rPr>
          <w:color w:val="231F20"/>
          <w:spacing w:val="-20"/>
          <w:w w:val="110"/>
        </w:rPr>
        <w:t> </w:t>
      </w:r>
      <w:r>
        <w:rPr>
          <w:color w:val="231F20"/>
          <w:spacing w:val="-3"/>
          <w:w w:val="110"/>
        </w:rPr>
        <w:t>núcleo</w:t>
      </w:r>
      <w:r>
        <w:rPr>
          <w:color w:val="231F20"/>
          <w:spacing w:val="-20"/>
          <w:w w:val="110"/>
        </w:rPr>
        <w:t> </w:t>
      </w:r>
      <w:r>
        <w:rPr>
          <w:color w:val="231F20"/>
          <w:spacing w:val="-3"/>
          <w:w w:val="110"/>
        </w:rPr>
        <w:t>duro</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spacing w:val="-3"/>
          <w:w w:val="110"/>
        </w:rPr>
        <w:t>cuellos</w:t>
      </w:r>
      <w:r>
        <w:rPr>
          <w:color w:val="231F20"/>
          <w:spacing w:val="-20"/>
          <w:w w:val="110"/>
        </w:rPr>
        <w:t> </w:t>
      </w:r>
      <w:r>
        <w:rPr>
          <w:color w:val="231F20"/>
          <w:spacing w:val="-3"/>
          <w:w w:val="110"/>
        </w:rPr>
        <w:t>blan- cos. Referirían también, como consecuencia preocupante, </w:t>
      </w:r>
      <w:r>
        <w:rPr>
          <w:color w:val="231F20"/>
          <w:w w:val="110"/>
        </w:rPr>
        <w:t>la </w:t>
      </w:r>
      <w:r>
        <w:rPr>
          <w:color w:val="231F20"/>
          <w:spacing w:val="-3"/>
          <w:w w:val="110"/>
        </w:rPr>
        <w:t>drástica reducción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producción</w:t>
      </w:r>
      <w:r>
        <w:rPr>
          <w:color w:val="231F20"/>
          <w:spacing w:val="-16"/>
          <w:w w:val="110"/>
        </w:rPr>
        <w:t> </w:t>
      </w:r>
      <w:r>
        <w:rPr>
          <w:color w:val="231F20"/>
          <w:w w:val="110"/>
        </w:rPr>
        <w:t>de</w:t>
      </w:r>
      <w:r>
        <w:rPr>
          <w:color w:val="231F20"/>
          <w:spacing w:val="-16"/>
          <w:w w:val="110"/>
        </w:rPr>
        <w:t> </w:t>
      </w:r>
      <w:r>
        <w:rPr>
          <w:color w:val="231F20"/>
          <w:spacing w:val="-3"/>
          <w:w w:val="110"/>
        </w:rPr>
        <w:t>artículos</w:t>
      </w:r>
      <w:r>
        <w:rPr>
          <w:color w:val="231F20"/>
          <w:spacing w:val="-16"/>
          <w:w w:val="110"/>
        </w:rPr>
        <w:t> </w:t>
      </w:r>
      <w:r>
        <w:rPr>
          <w:color w:val="231F20"/>
          <w:spacing w:val="-3"/>
          <w:w w:val="110"/>
        </w:rPr>
        <w:t>científicos</w:t>
      </w:r>
      <w:r>
        <w:rPr>
          <w:color w:val="231F20"/>
          <w:spacing w:val="-16"/>
          <w:w w:val="110"/>
        </w:rPr>
        <w:t> </w:t>
      </w:r>
      <w:r>
        <w:rPr>
          <w:color w:val="231F20"/>
          <w:w w:val="110"/>
        </w:rPr>
        <w:t>en</w:t>
      </w:r>
      <w:r>
        <w:rPr>
          <w:color w:val="231F20"/>
          <w:spacing w:val="-16"/>
          <w:w w:val="110"/>
        </w:rPr>
        <w:t> </w:t>
      </w:r>
      <w:r>
        <w:rPr>
          <w:color w:val="231F20"/>
          <w:spacing w:val="-3"/>
          <w:w w:val="110"/>
        </w:rPr>
        <w:t>revistas</w:t>
      </w:r>
      <w:r>
        <w:rPr>
          <w:color w:val="231F20"/>
          <w:spacing w:val="-16"/>
          <w:w w:val="110"/>
        </w:rPr>
        <w:t> </w:t>
      </w:r>
      <w:r>
        <w:rPr>
          <w:color w:val="231F20"/>
          <w:spacing w:val="-3"/>
          <w:w w:val="110"/>
        </w:rPr>
        <w:t>revisadas </w:t>
      </w:r>
      <w:r>
        <w:rPr>
          <w:color w:val="231F20"/>
          <w:w w:val="110"/>
        </w:rPr>
        <w:t>del </w:t>
      </w:r>
      <w:r>
        <w:rPr>
          <w:color w:val="231F20"/>
          <w:spacing w:val="-3"/>
          <w:w w:val="110"/>
        </w:rPr>
        <w:t>sector industrial (para –30% </w:t>
      </w:r>
      <w:r>
        <w:rPr>
          <w:color w:val="231F20"/>
          <w:w w:val="110"/>
        </w:rPr>
        <w:t>en </w:t>
      </w:r>
      <w:r>
        <w:rPr>
          <w:color w:val="231F20"/>
          <w:spacing w:val="-3"/>
          <w:w w:val="110"/>
        </w:rPr>
        <w:t>general, entre 1995 </w:t>
      </w:r>
      <w:r>
        <w:rPr>
          <w:color w:val="231F20"/>
          <w:w w:val="110"/>
        </w:rPr>
        <w:t>y </w:t>
      </w:r>
      <w:r>
        <w:rPr>
          <w:color w:val="231F20"/>
          <w:spacing w:val="-3"/>
          <w:w w:val="110"/>
        </w:rPr>
        <w:t>2005, </w:t>
      </w:r>
      <w:r>
        <w:rPr>
          <w:color w:val="231F20"/>
          <w:spacing w:val="-9"/>
          <w:w w:val="110"/>
        </w:rPr>
        <w:t>y, </w:t>
      </w:r>
      <w:r>
        <w:rPr>
          <w:color w:val="231F20"/>
          <w:spacing w:val="-3"/>
          <w:w w:val="110"/>
        </w:rPr>
        <w:t>en especial</w:t>
      </w:r>
      <w:r>
        <w:rPr>
          <w:color w:val="231F20"/>
          <w:spacing w:val="-10"/>
          <w:w w:val="110"/>
        </w:rPr>
        <w:t> </w:t>
      </w:r>
      <w:r>
        <w:rPr>
          <w:color w:val="231F20"/>
          <w:w w:val="110"/>
        </w:rPr>
        <w:t>en</w:t>
      </w:r>
      <w:r>
        <w:rPr>
          <w:color w:val="231F20"/>
          <w:spacing w:val="-10"/>
          <w:w w:val="110"/>
        </w:rPr>
        <w:t> </w:t>
      </w:r>
      <w:r>
        <w:rPr>
          <w:color w:val="231F20"/>
          <w:spacing w:val="-3"/>
          <w:w w:val="110"/>
        </w:rPr>
        <w:t>física,</w:t>
      </w:r>
      <w:r>
        <w:rPr>
          <w:color w:val="231F20"/>
          <w:spacing w:val="-10"/>
          <w:w w:val="110"/>
        </w:rPr>
        <w:t> </w:t>
      </w:r>
      <w:r>
        <w:rPr>
          <w:color w:val="231F20"/>
          <w:w w:val="110"/>
        </w:rPr>
        <w:t>de</w:t>
      </w:r>
      <w:r>
        <w:rPr>
          <w:color w:val="231F20"/>
          <w:spacing w:val="-10"/>
          <w:w w:val="110"/>
        </w:rPr>
        <w:t> </w:t>
      </w:r>
      <w:r>
        <w:rPr>
          <w:color w:val="231F20"/>
          <w:w w:val="110"/>
        </w:rPr>
        <w:t>1</w:t>
      </w:r>
      <w:r>
        <w:rPr>
          <w:color w:val="231F20"/>
          <w:spacing w:val="-10"/>
          <w:w w:val="110"/>
        </w:rPr>
        <w:t> </w:t>
      </w:r>
      <w:r>
        <w:rPr>
          <w:color w:val="231F20"/>
          <w:w w:val="110"/>
        </w:rPr>
        <w:t>000</w:t>
      </w:r>
      <w:r>
        <w:rPr>
          <w:color w:val="231F20"/>
          <w:spacing w:val="-10"/>
          <w:w w:val="110"/>
        </w:rPr>
        <w:t> </w:t>
      </w:r>
      <w:r>
        <w:rPr>
          <w:color w:val="231F20"/>
          <w:spacing w:val="-3"/>
          <w:w w:val="110"/>
        </w:rPr>
        <w:t>publicaciones</w:t>
      </w:r>
      <w:r>
        <w:rPr>
          <w:color w:val="231F20"/>
          <w:spacing w:val="-10"/>
          <w:w w:val="110"/>
        </w:rPr>
        <w:t> </w:t>
      </w:r>
      <w:r>
        <w:rPr>
          <w:color w:val="231F20"/>
          <w:w w:val="110"/>
        </w:rPr>
        <w:t>en</w:t>
      </w:r>
      <w:r>
        <w:rPr>
          <w:color w:val="231F20"/>
          <w:spacing w:val="-10"/>
          <w:w w:val="110"/>
        </w:rPr>
        <w:t> </w:t>
      </w:r>
      <w:r>
        <w:rPr>
          <w:color w:val="231F20"/>
          <w:spacing w:val="-3"/>
          <w:w w:val="110"/>
        </w:rPr>
        <w:t>1988</w:t>
      </w:r>
      <w:r>
        <w:rPr>
          <w:color w:val="231F20"/>
          <w:spacing w:val="-10"/>
          <w:w w:val="110"/>
        </w:rPr>
        <w:t> </w:t>
      </w:r>
      <w:r>
        <w:rPr>
          <w:color w:val="231F20"/>
          <w:w w:val="110"/>
        </w:rPr>
        <w:t>a</w:t>
      </w:r>
      <w:r>
        <w:rPr>
          <w:color w:val="231F20"/>
          <w:spacing w:val="-10"/>
          <w:w w:val="110"/>
        </w:rPr>
        <w:t> </w:t>
      </w:r>
      <w:r>
        <w:rPr>
          <w:color w:val="231F20"/>
          <w:spacing w:val="-3"/>
          <w:w w:val="110"/>
        </w:rPr>
        <w:t>sólo</w:t>
      </w:r>
      <w:r>
        <w:rPr>
          <w:color w:val="231F20"/>
          <w:spacing w:val="-10"/>
          <w:w w:val="110"/>
        </w:rPr>
        <w:t> </w:t>
      </w:r>
      <w:r>
        <w:rPr>
          <w:color w:val="231F20"/>
          <w:w w:val="110"/>
        </w:rPr>
        <w:t>300</w:t>
      </w:r>
      <w:r>
        <w:rPr>
          <w:color w:val="231F20"/>
          <w:spacing w:val="-10"/>
          <w:w w:val="110"/>
        </w:rPr>
        <w:t> </w:t>
      </w:r>
      <w:r>
        <w:rPr>
          <w:color w:val="231F20"/>
          <w:w w:val="110"/>
        </w:rPr>
        <w:t>en</w:t>
      </w:r>
      <w:r>
        <w:rPr>
          <w:color w:val="231F20"/>
          <w:spacing w:val="-10"/>
          <w:w w:val="110"/>
        </w:rPr>
        <w:t> </w:t>
      </w:r>
      <w:r>
        <w:rPr>
          <w:color w:val="231F20"/>
          <w:spacing w:val="-3"/>
          <w:w w:val="110"/>
        </w:rPr>
        <w:t>2005).</w:t>
      </w:r>
    </w:p>
    <w:p>
      <w:pPr>
        <w:spacing w:after="0" w:line="261" w:lineRule="auto"/>
        <w:jc w:val="both"/>
        <w:sectPr>
          <w:pgSz w:w="7640" w:h="11900"/>
          <w:pgMar w:header="672" w:footer="0" w:top="860" w:bottom="280" w:left="760" w:right="640"/>
        </w:sectPr>
      </w:pPr>
    </w:p>
    <w:p>
      <w:pPr>
        <w:pStyle w:val="BodyText"/>
        <w:spacing w:before="8"/>
        <w:rPr>
          <w:sz w:val="8"/>
        </w:rPr>
      </w:pPr>
    </w:p>
    <w:p>
      <w:pPr>
        <w:pStyle w:val="BodyText"/>
        <w:spacing w:line="261" w:lineRule="auto" w:before="67"/>
        <w:ind w:left="100" w:right="699"/>
      </w:pPr>
      <w:r>
        <w:rPr>
          <w:color w:val="231F20"/>
          <w:w w:val="130"/>
        </w:rPr>
        <w:t>límites de racionalidad del actual ciclo reproductivo estadunidense</w:t>
      </w:r>
    </w:p>
    <w:p>
      <w:pPr>
        <w:pStyle w:val="BodyText"/>
        <w:spacing w:before="8"/>
        <w:rPr>
          <w:sz w:val="21"/>
        </w:rPr>
      </w:pPr>
    </w:p>
    <w:p>
      <w:pPr>
        <w:pStyle w:val="BodyText"/>
        <w:spacing w:line="261" w:lineRule="auto"/>
        <w:ind w:left="100" w:right="117"/>
        <w:jc w:val="both"/>
      </w:pPr>
      <w:r>
        <w:rPr>
          <w:color w:val="231F20"/>
          <w:w w:val="110"/>
        </w:rPr>
        <w:t>El proceso de advenimiento del nuevo paradigma tecno-económico transcurriría a partir de los años setenta en un escenario contradic- torio,</w:t>
      </w:r>
      <w:r>
        <w:rPr>
          <w:color w:val="231F20"/>
          <w:spacing w:val="-19"/>
          <w:w w:val="110"/>
        </w:rPr>
        <w:t> </w:t>
      </w:r>
      <w:r>
        <w:rPr>
          <w:color w:val="231F20"/>
          <w:w w:val="110"/>
        </w:rPr>
        <w:t>la</w:t>
      </w:r>
      <w:r>
        <w:rPr>
          <w:color w:val="231F20"/>
          <w:spacing w:val="-19"/>
          <w:w w:val="110"/>
        </w:rPr>
        <w:t> </w:t>
      </w:r>
      <w:r>
        <w:rPr>
          <w:color w:val="231F20"/>
          <w:w w:val="110"/>
        </w:rPr>
        <w:t>llamada</w:t>
      </w:r>
      <w:r>
        <w:rPr>
          <w:color w:val="231F20"/>
          <w:spacing w:val="-19"/>
          <w:w w:val="110"/>
        </w:rPr>
        <w:t> </w:t>
      </w:r>
      <w:r>
        <w:rPr>
          <w:i/>
          <w:color w:val="231F20"/>
          <w:w w:val="110"/>
        </w:rPr>
        <w:t>paradoja</w:t>
      </w:r>
      <w:r>
        <w:rPr>
          <w:i/>
          <w:color w:val="231F20"/>
          <w:spacing w:val="-19"/>
          <w:w w:val="110"/>
        </w:rPr>
        <w:t> </w:t>
      </w:r>
      <w:r>
        <w:rPr>
          <w:i/>
          <w:color w:val="231F20"/>
          <w:w w:val="110"/>
        </w:rPr>
        <w:t>de</w:t>
      </w:r>
      <w:r>
        <w:rPr>
          <w:i/>
          <w:color w:val="231F20"/>
          <w:spacing w:val="-19"/>
          <w:w w:val="110"/>
        </w:rPr>
        <w:t> </w:t>
      </w:r>
      <w:r>
        <w:rPr>
          <w:i/>
          <w:color w:val="231F20"/>
          <w:w w:val="110"/>
        </w:rPr>
        <w:t>la</w:t>
      </w:r>
      <w:r>
        <w:rPr>
          <w:i/>
          <w:color w:val="231F20"/>
          <w:spacing w:val="-19"/>
          <w:w w:val="110"/>
        </w:rPr>
        <w:t> </w:t>
      </w:r>
      <w:r>
        <w:rPr>
          <w:i/>
          <w:color w:val="231F20"/>
          <w:w w:val="110"/>
        </w:rPr>
        <w:t>productividad</w:t>
      </w:r>
      <w:r>
        <w:rPr>
          <w:color w:val="231F20"/>
          <w:w w:val="110"/>
        </w:rPr>
        <w:t>.</w:t>
      </w:r>
      <w:r>
        <w:rPr>
          <w:color w:val="231F20"/>
          <w:spacing w:val="-19"/>
          <w:w w:val="110"/>
        </w:rPr>
        <w:t> </w:t>
      </w:r>
      <w:r>
        <w:rPr>
          <w:color w:val="231F20"/>
          <w:w w:val="110"/>
        </w:rPr>
        <w:t>Concepto</w:t>
      </w:r>
      <w:r>
        <w:rPr>
          <w:color w:val="231F20"/>
          <w:spacing w:val="-19"/>
          <w:w w:val="110"/>
        </w:rPr>
        <w:t> </w:t>
      </w:r>
      <w:r>
        <w:rPr>
          <w:color w:val="231F20"/>
          <w:w w:val="110"/>
        </w:rPr>
        <w:t>acuñado</w:t>
      </w:r>
      <w:r>
        <w:rPr>
          <w:color w:val="231F20"/>
          <w:spacing w:val="-19"/>
          <w:w w:val="110"/>
        </w:rPr>
        <w:t> </w:t>
      </w:r>
      <w:r>
        <w:rPr>
          <w:color w:val="231F20"/>
          <w:w w:val="110"/>
        </w:rPr>
        <w:t>por el Premio Nobel Robert </w:t>
      </w:r>
      <w:r>
        <w:rPr>
          <w:color w:val="231F20"/>
          <w:spacing w:val="-3"/>
          <w:w w:val="110"/>
        </w:rPr>
        <w:t>Solow, </w:t>
      </w:r>
      <w:r>
        <w:rPr>
          <w:color w:val="231F20"/>
          <w:w w:val="110"/>
        </w:rPr>
        <w:t>que se caracterizaría por la ínfima correlación observada en un periodo de más de veinte años, entre  las</w:t>
      </w:r>
      <w:r>
        <w:rPr>
          <w:color w:val="231F20"/>
          <w:spacing w:val="-5"/>
          <w:w w:val="110"/>
        </w:rPr>
        <w:t> </w:t>
      </w:r>
      <w:r>
        <w:rPr>
          <w:color w:val="231F20"/>
          <w:w w:val="110"/>
        </w:rPr>
        <w:t>enormes</w:t>
      </w:r>
      <w:r>
        <w:rPr>
          <w:color w:val="231F20"/>
          <w:spacing w:val="-5"/>
          <w:w w:val="110"/>
        </w:rPr>
        <w:t> </w:t>
      </w:r>
      <w:r>
        <w:rPr>
          <w:color w:val="231F20"/>
          <w:w w:val="110"/>
        </w:rPr>
        <w:t>inversiones</w:t>
      </w:r>
      <w:r>
        <w:rPr>
          <w:color w:val="231F20"/>
          <w:spacing w:val="-5"/>
          <w:w w:val="110"/>
        </w:rPr>
        <w:t> </w:t>
      </w:r>
      <w:r>
        <w:rPr>
          <w:color w:val="231F20"/>
          <w:w w:val="110"/>
        </w:rPr>
        <w:t>realizadas</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reconversión</w:t>
      </w:r>
      <w:r>
        <w:rPr>
          <w:color w:val="231F20"/>
          <w:spacing w:val="-5"/>
          <w:w w:val="110"/>
        </w:rPr>
        <w:t> </w:t>
      </w:r>
      <w:r>
        <w:rPr>
          <w:color w:val="231F20"/>
          <w:w w:val="110"/>
        </w:rPr>
        <w:t>tecnológica</w:t>
      </w:r>
      <w:r>
        <w:rPr>
          <w:color w:val="231F20"/>
          <w:spacing w:val="-5"/>
          <w:w w:val="110"/>
        </w:rPr>
        <w:t> </w:t>
      </w:r>
      <w:r>
        <w:rPr>
          <w:color w:val="231F20"/>
          <w:w w:val="110"/>
        </w:rPr>
        <w:t>de avanzada con un notable incremento de la productividad </w:t>
      </w:r>
      <w:r>
        <w:rPr>
          <w:i/>
          <w:color w:val="231F20"/>
          <w:w w:val="110"/>
        </w:rPr>
        <w:t>in situ</w:t>
      </w:r>
      <w:r>
        <w:rPr>
          <w:color w:val="231F20"/>
          <w:w w:val="110"/>
        </w:rPr>
        <w:t>, por un lado, y por el otro el lento y mínimo crecimiento de la produc- tividad social a niveles macroeconómicos en ese prolongado lapso, hasta</w:t>
      </w:r>
      <w:r>
        <w:rPr>
          <w:color w:val="231F20"/>
          <w:spacing w:val="-9"/>
          <w:w w:val="110"/>
        </w:rPr>
        <w:t> </w:t>
      </w:r>
      <w:r>
        <w:rPr>
          <w:color w:val="231F20"/>
          <w:w w:val="110"/>
        </w:rPr>
        <w:t>1995</w:t>
      </w:r>
      <w:r>
        <w:rPr>
          <w:color w:val="231F20"/>
          <w:spacing w:val="-9"/>
          <w:w w:val="110"/>
        </w:rPr>
        <w:t> </w:t>
      </w:r>
      <w:r>
        <w:rPr>
          <w:color w:val="231F20"/>
          <w:w w:val="110"/>
        </w:rPr>
        <w:t>en</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(Solow,</w:t>
      </w:r>
      <w:r>
        <w:rPr>
          <w:color w:val="231F20"/>
          <w:spacing w:val="-9"/>
          <w:w w:val="110"/>
        </w:rPr>
        <w:t> </w:t>
      </w:r>
      <w:r>
        <w:rPr>
          <w:color w:val="231F20"/>
          <w:w w:val="110"/>
        </w:rPr>
        <w:t>1987).</w:t>
      </w:r>
    </w:p>
    <w:p>
      <w:pPr>
        <w:pStyle w:val="BodyText"/>
        <w:spacing w:line="261" w:lineRule="auto"/>
        <w:ind w:left="100" w:right="117" w:firstLine="240"/>
        <w:jc w:val="both"/>
      </w:pPr>
      <w:r>
        <w:rPr>
          <w:color w:val="231F20"/>
          <w:w w:val="110"/>
        </w:rPr>
        <w:t>Entre sus diversas causas algunos, le adjudican limitaciones in- herentes al modo capitalista de producción, las reducen en su ex- plicación a los aspectos organizativos y de deficiente planificación perfectamente superables dentro del sistema, lo que en particular se manifestaría, por ejemplo, en las desproporciones estructurales ge- neradas por el desbalance en el intervalo temporal entre la dinámica de la nueva base técnica de la producción y la de los cambios en la estructura profesional y cualificativa de la fuerza laboral.</w:t>
      </w:r>
    </w:p>
    <w:p>
      <w:pPr>
        <w:pStyle w:val="BodyText"/>
        <w:spacing w:line="261" w:lineRule="auto"/>
        <w:ind w:left="100" w:right="117" w:firstLine="240"/>
        <w:jc w:val="both"/>
      </w:pPr>
      <w:r>
        <w:rPr>
          <w:color w:val="231F20"/>
          <w:w w:val="105"/>
        </w:rPr>
        <w:t>El </w:t>
      </w:r>
      <w:r>
        <w:rPr>
          <w:i/>
          <w:color w:val="231F20"/>
          <w:w w:val="105"/>
        </w:rPr>
        <w:t>quid</w:t>
      </w:r>
      <w:r>
        <w:rPr>
          <w:color w:val="231F20"/>
          <w:w w:val="105"/>
        </w:rPr>
        <w:t>, sin embargo, consiste en abordar el tema en toda su pro- fundidad, llegando al mismo grano de los límites de la racionalidad   del proceso reproductivo capitalista en la </w:t>
      </w:r>
      <w:r>
        <w:rPr>
          <w:i/>
          <w:color w:val="231F20"/>
          <w:w w:val="105"/>
        </w:rPr>
        <w:t>era del nuevo paradigma </w:t>
      </w:r>
      <w:r>
        <w:rPr>
          <w:i/>
          <w:color w:val="231F20"/>
          <w:w w:val="105"/>
        </w:rPr>
        <w:t>tecnoeconómico</w:t>
      </w:r>
      <w:r>
        <w:rPr>
          <w:color w:val="231F20"/>
          <w:w w:val="105"/>
        </w:rPr>
        <w:t>. Así, </w:t>
      </w:r>
      <w:r>
        <w:rPr>
          <w:color w:val="231F20"/>
          <w:spacing w:val="-3"/>
          <w:w w:val="105"/>
        </w:rPr>
        <w:t>Tablada </w:t>
      </w:r>
      <w:r>
        <w:rPr>
          <w:color w:val="231F20"/>
          <w:w w:val="105"/>
        </w:rPr>
        <w:t>y Dierckxsens (2002), refieren que bajo la racionalidad capitalista el crecimiento económico se desenvuelve partiendo de la maximización de la ganancia, para lo cual incrementa en su entorno competitivo la productividad mediante la permanente innovación tecnológica. Si bien disponer de tecnología de punta sig- nificaría acceder a ventajas competitivas dinámicas </w:t>
      </w:r>
      <w:r>
        <w:rPr>
          <w:color w:val="231F20"/>
          <w:spacing w:val="-8"/>
          <w:w w:val="105"/>
        </w:rPr>
        <w:t>y, </w:t>
      </w:r>
      <w:r>
        <w:rPr>
          <w:color w:val="231F20"/>
          <w:w w:val="105"/>
        </w:rPr>
        <w:t>por lo tanto, a mejores oportunidades para la ganancia, no obstante, la innovación tecnológica </w:t>
      </w:r>
      <w:r>
        <w:rPr>
          <w:i/>
          <w:color w:val="231F20"/>
          <w:w w:val="105"/>
        </w:rPr>
        <w:t>per sé </w:t>
      </w:r>
      <w:r>
        <w:rPr>
          <w:color w:val="231F20"/>
          <w:w w:val="105"/>
        </w:rPr>
        <w:t>no garantizaría una mayor tasa de ganancia ya que  la rentabilidad de la innovación tecnológica dependerá a su vez del costo de su reposición en un ámbito competitivo, donde, en la me-   dida que ésta se estimule, más corta se hará su vida moralmente útil      y más crecerá su costo de    reposición.</w:t>
      </w:r>
    </w:p>
    <w:p>
      <w:pPr>
        <w:pStyle w:val="BodyText"/>
        <w:spacing w:line="261" w:lineRule="auto"/>
        <w:ind w:left="100" w:right="119" w:firstLine="240"/>
        <w:jc w:val="both"/>
      </w:pPr>
      <w:r>
        <w:rPr>
          <w:color w:val="231F20"/>
          <w:w w:val="110"/>
        </w:rPr>
        <w:t>Tras la segunda guerra mundial en los países industriales y, en especial, en Estados Unidos se observó un periodo de crecimiento económico con una reconversión tecnológica crecientemente  veloz.</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Al incrementarse la sustitución de tecnología, se evidenció la dismi- nución de su vida media, aumentando cada vez más ese ritmo. Así, en</w:t>
      </w:r>
      <w:r>
        <w:rPr>
          <w:color w:val="231F20"/>
          <w:spacing w:val="-20"/>
          <w:w w:val="110"/>
        </w:rPr>
        <w:t> </w:t>
      </w:r>
      <w:r>
        <w:rPr>
          <w:color w:val="231F20"/>
          <w:w w:val="110"/>
        </w:rPr>
        <w:t>Estados</w:t>
      </w:r>
      <w:r>
        <w:rPr>
          <w:color w:val="231F20"/>
          <w:spacing w:val="-20"/>
          <w:w w:val="110"/>
        </w:rPr>
        <w:t> </w:t>
      </w:r>
      <w:r>
        <w:rPr>
          <w:color w:val="231F20"/>
          <w:w w:val="110"/>
        </w:rPr>
        <w:t>Unidos</w:t>
      </w:r>
      <w:r>
        <w:rPr>
          <w:color w:val="231F20"/>
          <w:spacing w:val="-20"/>
          <w:w w:val="110"/>
        </w:rPr>
        <w:t> </w:t>
      </w:r>
      <w:r>
        <w:rPr>
          <w:color w:val="231F20"/>
          <w:w w:val="110"/>
        </w:rPr>
        <w:t>la</w:t>
      </w:r>
      <w:r>
        <w:rPr>
          <w:color w:val="231F20"/>
          <w:spacing w:val="-20"/>
          <w:w w:val="110"/>
        </w:rPr>
        <w:t> </w:t>
      </w:r>
      <w:r>
        <w:rPr>
          <w:color w:val="231F20"/>
          <w:w w:val="110"/>
        </w:rPr>
        <w:t>vida</w:t>
      </w:r>
      <w:r>
        <w:rPr>
          <w:color w:val="231F20"/>
          <w:spacing w:val="-20"/>
          <w:w w:val="110"/>
        </w:rPr>
        <w:t> </w:t>
      </w:r>
      <w:r>
        <w:rPr>
          <w:color w:val="231F20"/>
          <w:w w:val="110"/>
        </w:rPr>
        <w:t>media</w:t>
      </w:r>
      <w:r>
        <w:rPr>
          <w:color w:val="231F20"/>
          <w:spacing w:val="-20"/>
          <w:w w:val="110"/>
        </w:rPr>
        <w:t> </w:t>
      </w:r>
      <w:r>
        <w:rPr>
          <w:color w:val="231F20"/>
          <w:w w:val="110"/>
        </w:rPr>
        <w:t>del</w:t>
      </w:r>
      <w:r>
        <w:rPr>
          <w:color w:val="231F20"/>
          <w:spacing w:val="-20"/>
          <w:w w:val="110"/>
        </w:rPr>
        <w:t> </w:t>
      </w:r>
      <w:r>
        <w:rPr>
          <w:color w:val="231F20"/>
          <w:w w:val="110"/>
        </w:rPr>
        <w:t>capital</w:t>
      </w:r>
      <w:r>
        <w:rPr>
          <w:color w:val="231F20"/>
          <w:spacing w:val="-20"/>
          <w:w w:val="110"/>
        </w:rPr>
        <w:t> </w:t>
      </w:r>
      <w:r>
        <w:rPr>
          <w:color w:val="231F20"/>
          <w:w w:val="110"/>
        </w:rPr>
        <w:t>fijo</w:t>
      </w:r>
      <w:r>
        <w:rPr>
          <w:color w:val="231F20"/>
          <w:spacing w:val="-20"/>
          <w:w w:val="110"/>
        </w:rPr>
        <w:t> </w:t>
      </w:r>
      <w:r>
        <w:rPr>
          <w:color w:val="231F20"/>
          <w:w w:val="110"/>
        </w:rPr>
        <w:t>(incluyendo</w:t>
      </w:r>
      <w:r>
        <w:rPr>
          <w:color w:val="231F20"/>
          <w:spacing w:val="-20"/>
          <w:w w:val="110"/>
        </w:rPr>
        <w:t> </w:t>
      </w:r>
      <w:r>
        <w:rPr>
          <w:color w:val="231F20"/>
          <w:w w:val="110"/>
        </w:rPr>
        <w:t>edificios) se acortó, desde 1987 hasta finales de los años noventa, de 14 a 7 años</w:t>
      </w:r>
      <w:r>
        <w:rPr>
          <w:color w:val="231F20"/>
          <w:spacing w:val="-11"/>
          <w:w w:val="110"/>
        </w:rPr>
        <w:t> </w:t>
      </w:r>
      <w:r>
        <w:rPr>
          <w:color w:val="231F20"/>
          <w:spacing w:val="-8"/>
          <w:w w:val="110"/>
        </w:rPr>
        <w:t>y,</w:t>
      </w:r>
      <w:r>
        <w:rPr>
          <w:color w:val="231F20"/>
          <w:spacing w:val="-11"/>
          <w:w w:val="110"/>
        </w:rPr>
        <w:t> </w:t>
      </w:r>
      <w:r>
        <w:rPr>
          <w:color w:val="231F20"/>
          <w:w w:val="110"/>
        </w:rPr>
        <w:t>a</w:t>
      </w:r>
      <w:r>
        <w:rPr>
          <w:color w:val="231F20"/>
          <w:spacing w:val="-11"/>
          <w:w w:val="110"/>
        </w:rPr>
        <w:t> </w:t>
      </w:r>
      <w:r>
        <w:rPr>
          <w:color w:val="231F20"/>
          <w:w w:val="110"/>
        </w:rPr>
        <w:t>su</w:t>
      </w:r>
      <w:r>
        <w:rPr>
          <w:color w:val="231F20"/>
          <w:spacing w:val="-11"/>
          <w:w w:val="110"/>
        </w:rPr>
        <w:t> </w:t>
      </w:r>
      <w:r>
        <w:rPr>
          <w:color w:val="231F20"/>
          <w:w w:val="110"/>
        </w:rPr>
        <w:t>vez,</w:t>
      </w:r>
      <w:r>
        <w:rPr>
          <w:color w:val="231F20"/>
          <w:spacing w:val="-11"/>
          <w:w w:val="110"/>
        </w:rPr>
        <w:t> </w:t>
      </w:r>
      <w:r>
        <w:rPr>
          <w:color w:val="231F20"/>
          <w:w w:val="110"/>
        </w:rPr>
        <w:t>en</w:t>
      </w:r>
      <w:r>
        <w:rPr>
          <w:color w:val="231F20"/>
          <w:spacing w:val="-11"/>
          <w:w w:val="110"/>
        </w:rPr>
        <w:t> </w:t>
      </w:r>
      <w:r>
        <w:rPr>
          <w:color w:val="231F20"/>
          <w:w w:val="110"/>
        </w:rPr>
        <w:t>Japón,</w:t>
      </w:r>
      <w:r>
        <w:rPr>
          <w:color w:val="231F20"/>
          <w:spacing w:val="-11"/>
          <w:w w:val="110"/>
        </w:rPr>
        <w:t> </w:t>
      </w:r>
      <w:r>
        <w:rPr>
          <w:color w:val="231F20"/>
          <w:w w:val="110"/>
        </w:rPr>
        <w:t>ésta</w:t>
      </w:r>
      <w:r>
        <w:rPr>
          <w:color w:val="231F20"/>
          <w:spacing w:val="-11"/>
          <w:w w:val="110"/>
        </w:rPr>
        <w:t> </w:t>
      </w:r>
      <w:r>
        <w:rPr>
          <w:color w:val="231F20"/>
          <w:w w:val="110"/>
        </w:rPr>
        <w:t>se</w:t>
      </w:r>
      <w:r>
        <w:rPr>
          <w:color w:val="231F20"/>
          <w:spacing w:val="-11"/>
          <w:w w:val="110"/>
        </w:rPr>
        <w:t> </w:t>
      </w:r>
      <w:r>
        <w:rPr>
          <w:color w:val="231F20"/>
          <w:w w:val="110"/>
        </w:rPr>
        <w:t>redujo</w:t>
      </w:r>
      <w:r>
        <w:rPr>
          <w:color w:val="231F20"/>
          <w:spacing w:val="-11"/>
          <w:w w:val="110"/>
        </w:rPr>
        <w:t> </w:t>
      </w:r>
      <w:r>
        <w:rPr>
          <w:color w:val="231F20"/>
          <w:w w:val="110"/>
        </w:rPr>
        <w:t>de</w:t>
      </w:r>
      <w:r>
        <w:rPr>
          <w:color w:val="231F20"/>
          <w:spacing w:val="-11"/>
          <w:w w:val="110"/>
        </w:rPr>
        <w:t> </w:t>
      </w:r>
      <w:r>
        <w:rPr>
          <w:color w:val="231F20"/>
          <w:w w:val="110"/>
        </w:rPr>
        <w:t>11</w:t>
      </w:r>
      <w:r>
        <w:rPr>
          <w:color w:val="231F20"/>
          <w:spacing w:val="-11"/>
          <w:w w:val="110"/>
        </w:rPr>
        <w:t> </w:t>
      </w:r>
      <w:r>
        <w:rPr>
          <w:color w:val="231F20"/>
          <w:w w:val="110"/>
        </w:rPr>
        <w:t>a</w:t>
      </w:r>
      <w:r>
        <w:rPr>
          <w:color w:val="231F20"/>
          <w:spacing w:val="-11"/>
          <w:w w:val="110"/>
        </w:rPr>
        <w:t> </w:t>
      </w:r>
      <w:r>
        <w:rPr>
          <w:color w:val="231F20"/>
          <w:w w:val="110"/>
        </w:rPr>
        <w:t>5</w:t>
      </w:r>
      <w:r>
        <w:rPr>
          <w:color w:val="231F20"/>
          <w:spacing w:val="-11"/>
          <w:w w:val="110"/>
        </w:rPr>
        <w:t> </w:t>
      </w:r>
      <w:r>
        <w:rPr>
          <w:color w:val="231F20"/>
          <w:w w:val="110"/>
        </w:rPr>
        <w:t>años</w:t>
      </w:r>
      <w:r>
        <w:rPr>
          <w:color w:val="231F20"/>
          <w:spacing w:val="-11"/>
          <w:w w:val="110"/>
        </w:rPr>
        <w:t> </w:t>
      </w:r>
      <w:r>
        <w:rPr>
          <w:color w:val="231F20"/>
          <w:w w:val="110"/>
        </w:rPr>
        <w:t>(Passet,</w:t>
      </w:r>
      <w:r>
        <w:rPr>
          <w:color w:val="231F20"/>
          <w:spacing w:val="-11"/>
          <w:w w:val="110"/>
        </w:rPr>
        <w:t> </w:t>
      </w:r>
      <w:r>
        <w:rPr>
          <w:color w:val="231F20"/>
          <w:w w:val="110"/>
        </w:rPr>
        <w:t>2000: 255). Con ello, la sustitución tecnológica alcanzaría los límites de</w:t>
      </w:r>
      <w:r>
        <w:rPr>
          <w:color w:val="231F20"/>
          <w:spacing w:val="-19"/>
          <w:w w:val="110"/>
        </w:rPr>
        <w:t> </w:t>
      </w:r>
      <w:r>
        <w:rPr>
          <w:color w:val="231F20"/>
          <w:w w:val="110"/>
        </w:rPr>
        <w:t>lo </w:t>
      </w:r>
      <w:r>
        <w:rPr>
          <w:color w:val="231F20"/>
          <w:w w:val="105"/>
        </w:rPr>
        <w:t>posible (</w:t>
      </w:r>
      <w:r>
        <w:rPr>
          <w:i/>
          <w:color w:val="231F20"/>
          <w:w w:val="105"/>
        </w:rPr>
        <w:t>The Economist</w:t>
      </w:r>
      <w:r>
        <w:rPr>
          <w:color w:val="231F20"/>
          <w:w w:val="105"/>
        </w:rPr>
        <w:t>, 2001:</w:t>
      </w:r>
      <w:r>
        <w:rPr>
          <w:color w:val="231F20"/>
          <w:spacing w:val="-28"/>
          <w:w w:val="105"/>
        </w:rPr>
        <w:t> </w:t>
      </w:r>
      <w:r>
        <w:rPr>
          <w:color w:val="231F20"/>
          <w:w w:val="105"/>
        </w:rPr>
        <w:t>90).</w:t>
      </w:r>
    </w:p>
    <w:p>
      <w:pPr>
        <w:pStyle w:val="BodyText"/>
        <w:spacing w:line="261" w:lineRule="auto"/>
        <w:ind w:left="100" w:right="116" w:firstLine="240"/>
        <w:jc w:val="both"/>
      </w:pPr>
      <w:r>
        <w:rPr>
          <w:color w:val="231F20"/>
          <w:w w:val="105"/>
        </w:rPr>
        <w:t>Por otro lado, prosigue esta tesis, si el costo de la innovación tecnológica creciera a igual velocidad que la reducción en el costo laboral debido al incremento de la productividad del trabajo, el re- sultado final sería como si esa productividad no hubiese aumentado.  El alza de la productividad del trabajo lograda con la innovación, se neutralizaría. En tal caso, la tasa de ganancia sólo pudiera aumentarse al incrementar la  tasa  de  explotación  de  los  trabajadores  mediante la llamada flexibilización del trabajo y la socialización del costo de     la innovación, al tiempo que se privatiza el beneficio obtenido. Sin embargo, en tanto se ha evidenciado que el costo de la sustitución tecnológica crece aún más de prisa, la tasa de beneficio ha tendido     de manera definitiva a la baja, perdiéndose así la atracción para el capital</w:t>
      </w:r>
      <w:r>
        <w:rPr>
          <w:color w:val="231F20"/>
          <w:spacing w:val="31"/>
          <w:w w:val="105"/>
        </w:rPr>
        <w:t> </w:t>
      </w:r>
      <w:r>
        <w:rPr>
          <w:color w:val="231F20"/>
          <w:w w:val="105"/>
        </w:rPr>
        <w:t>de</w:t>
      </w:r>
      <w:r>
        <w:rPr>
          <w:color w:val="231F20"/>
          <w:spacing w:val="31"/>
          <w:w w:val="105"/>
        </w:rPr>
        <w:t> </w:t>
      </w:r>
      <w:r>
        <w:rPr>
          <w:color w:val="231F20"/>
          <w:w w:val="105"/>
        </w:rPr>
        <w:t>invertir</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sector</w:t>
      </w:r>
      <w:r>
        <w:rPr>
          <w:color w:val="231F20"/>
          <w:spacing w:val="31"/>
          <w:w w:val="105"/>
        </w:rPr>
        <w:t> </w:t>
      </w:r>
      <w:r>
        <w:rPr>
          <w:color w:val="231F20"/>
          <w:w w:val="105"/>
        </w:rPr>
        <w:t>productivo</w:t>
      </w:r>
      <w:r>
        <w:rPr>
          <w:color w:val="231F20"/>
          <w:spacing w:val="31"/>
          <w:w w:val="105"/>
        </w:rPr>
        <w:t> </w:t>
      </w:r>
      <w:r>
        <w:rPr>
          <w:color w:val="231F20"/>
          <w:w w:val="105"/>
        </w:rPr>
        <w:t>(Brenner,</w:t>
      </w:r>
      <w:r>
        <w:rPr>
          <w:color w:val="231F20"/>
          <w:spacing w:val="31"/>
          <w:w w:val="105"/>
        </w:rPr>
        <w:t> </w:t>
      </w:r>
      <w:r>
        <w:rPr>
          <w:color w:val="231F20"/>
          <w:w w:val="105"/>
        </w:rPr>
        <w:t>2000:</w:t>
      </w:r>
      <w:r>
        <w:rPr>
          <w:color w:val="231F20"/>
          <w:spacing w:val="31"/>
          <w:w w:val="105"/>
        </w:rPr>
        <w:t> </w:t>
      </w:r>
      <w:r>
        <w:rPr>
          <w:color w:val="231F20"/>
          <w:w w:val="105"/>
        </w:rPr>
        <w:t>45-52).</w:t>
      </w:r>
    </w:p>
    <w:p>
      <w:pPr>
        <w:pStyle w:val="BodyText"/>
        <w:spacing w:line="261" w:lineRule="auto"/>
        <w:ind w:left="100" w:right="117" w:firstLine="252"/>
        <w:jc w:val="both"/>
      </w:pPr>
      <w:r>
        <w:rPr>
          <w:color w:val="231F20"/>
          <w:w w:val="110"/>
        </w:rPr>
        <w:t>La respuesta del gran capital a la tendencia a la baja de la tasa de ganancia ha sido múltiple:</w:t>
      </w:r>
    </w:p>
    <w:p>
      <w:pPr>
        <w:pStyle w:val="BodyText"/>
        <w:spacing w:before="10"/>
      </w:pPr>
    </w:p>
    <w:p>
      <w:pPr>
        <w:pStyle w:val="ListParagraph"/>
        <w:numPr>
          <w:ilvl w:val="0"/>
          <w:numId w:val="5"/>
        </w:numPr>
        <w:tabs>
          <w:tab w:pos="460" w:val="left" w:leader="none"/>
        </w:tabs>
        <w:spacing w:line="261" w:lineRule="auto" w:before="0" w:after="0"/>
        <w:ind w:left="460" w:right="119" w:hanging="160"/>
        <w:jc w:val="both"/>
        <w:rPr>
          <w:sz w:val="20"/>
        </w:rPr>
      </w:pPr>
      <w:r>
        <w:rPr>
          <w:color w:val="231F20"/>
          <w:w w:val="110"/>
          <w:sz w:val="20"/>
        </w:rPr>
        <w:t>En principio se ha dado un abandono paulatino de las inversio- nes en el sector productivo y su traslado hacia el redistributivo, financiero y</w:t>
      </w:r>
      <w:r>
        <w:rPr>
          <w:color w:val="231F20"/>
          <w:spacing w:val="-41"/>
          <w:w w:val="110"/>
          <w:sz w:val="20"/>
        </w:rPr>
        <w:t> </w:t>
      </w:r>
      <w:r>
        <w:rPr>
          <w:color w:val="231F20"/>
          <w:w w:val="110"/>
          <w:sz w:val="20"/>
        </w:rPr>
        <w:t>especulativo.</w:t>
      </w:r>
    </w:p>
    <w:p>
      <w:pPr>
        <w:pStyle w:val="ListParagraph"/>
        <w:numPr>
          <w:ilvl w:val="0"/>
          <w:numId w:val="5"/>
        </w:numPr>
        <w:tabs>
          <w:tab w:pos="460" w:val="left" w:leader="none"/>
        </w:tabs>
        <w:spacing w:line="261" w:lineRule="auto" w:before="0" w:after="0"/>
        <w:ind w:left="460" w:right="119" w:hanging="160"/>
        <w:jc w:val="both"/>
        <w:rPr>
          <w:sz w:val="20"/>
        </w:rPr>
      </w:pPr>
      <w:r>
        <w:rPr>
          <w:color w:val="231F20"/>
          <w:w w:val="110"/>
          <w:sz w:val="20"/>
        </w:rPr>
        <w:t>Para asegurar, no la justa remuneración del trabajo en i+d, sino las superganancias por la apropiación monopólica del conoci- miento, las corporaciones transnacionales protegen</w:t>
      </w:r>
      <w:r>
        <w:rPr>
          <w:color w:val="231F20"/>
          <w:spacing w:val="48"/>
          <w:w w:val="110"/>
          <w:sz w:val="20"/>
        </w:rPr>
        <w:t> </w:t>
      </w:r>
      <w:r>
        <w:rPr>
          <w:color w:val="231F20"/>
          <w:w w:val="110"/>
          <w:sz w:val="20"/>
        </w:rPr>
        <w:t>las</w:t>
      </w:r>
      <w:r>
        <w:rPr>
          <w:color w:val="231F20"/>
          <w:spacing w:val="20"/>
          <w:w w:val="110"/>
          <w:sz w:val="20"/>
        </w:rPr>
        <w:t> </w:t>
      </w:r>
      <w:r>
        <w:rPr>
          <w:color w:val="231F20"/>
          <w:w w:val="110"/>
          <w:sz w:val="20"/>
        </w:rPr>
        <w:t>innova-</w:t>
      </w:r>
      <w:r>
        <w:rPr>
          <w:color w:val="231F20"/>
          <w:w w:val="72"/>
          <w:sz w:val="20"/>
        </w:rPr>
        <w:t> </w:t>
      </w:r>
      <w:r>
        <w:rPr>
          <w:color w:val="231F20"/>
          <w:w w:val="110"/>
          <w:sz w:val="20"/>
        </w:rPr>
        <w:t>ciones con un sistema de propiedad intelectual cada vez más amplio,</w:t>
      </w:r>
      <w:r>
        <w:rPr>
          <w:color w:val="231F20"/>
          <w:spacing w:val="-8"/>
          <w:w w:val="110"/>
          <w:sz w:val="20"/>
        </w:rPr>
        <w:t> </w:t>
      </w:r>
      <w:r>
        <w:rPr>
          <w:color w:val="231F20"/>
          <w:w w:val="110"/>
          <w:sz w:val="20"/>
        </w:rPr>
        <w:t>severo,</w:t>
      </w:r>
      <w:r>
        <w:rPr>
          <w:color w:val="231F20"/>
          <w:spacing w:val="-8"/>
          <w:w w:val="110"/>
          <w:sz w:val="20"/>
        </w:rPr>
        <w:t> </w:t>
      </w:r>
      <w:r>
        <w:rPr>
          <w:color w:val="231F20"/>
          <w:w w:val="110"/>
          <w:sz w:val="20"/>
        </w:rPr>
        <w:t>prolongado</w:t>
      </w:r>
      <w:r>
        <w:rPr>
          <w:color w:val="231F20"/>
          <w:spacing w:val="-8"/>
          <w:w w:val="110"/>
          <w:sz w:val="20"/>
        </w:rPr>
        <w:t> </w:t>
      </w:r>
      <w:r>
        <w:rPr>
          <w:color w:val="231F20"/>
          <w:w w:val="110"/>
          <w:sz w:val="20"/>
        </w:rPr>
        <w:t>en</w:t>
      </w:r>
      <w:r>
        <w:rPr>
          <w:color w:val="231F20"/>
          <w:spacing w:val="-8"/>
          <w:w w:val="110"/>
          <w:sz w:val="20"/>
        </w:rPr>
        <w:t> </w:t>
      </w:r>
      <w:r>
        <w:rPr>
          <w:color w:val="231F20"/>
          <w:w w:val="110"/>
          <w:sz w:val="20"/>
        </w:rPr>
        <w:t>los</w:t>
      </w:r>
      <w:r>
        <w:rPr>
          <w:color w:val="231F20"/>
          <w:spacing w:val="-8"/>
          <w:w w:val="110"/>
          <w:sz w:val="20"/>
        </w:rPr>
        <w:t> </w:t>
      </w:r>
      <w:r>
        <w:rPr>
          <w:color w:val="231F20"/>
          <w:w w:val="110"/>
          <w:sz w:val="20"/>
        </w:rPr>
        <w:t>plazos</w:t>
      </w:r>
      <w:r>
        <w:rPr>
          <w:color w:val="231F20"/>
          <w:spacing w:val="-8"/>
          <w:w w:val="110"/>
          <w:sz w:val="20"/>
        </w:rPr>
        <w:t> </w:t>
      </w:r>
      <w:r>
        <w:rPr>
          <w:color w:val="231F20"/>
          <w:w w:val="110"/>
          <w:sz w:val="20"/>
        </w:rPr>
        <w:t>y</w:t>
      </w:r>
      <w:r>
        <w:rPr>
          <w:color w:val="231F20"/>
          <w:spacing w:val="-8"/>
          <w:w w:val="110"/>
          <w:sz w:val="20"/>
        </w:rPr>
        <w:t> </w:t>
      </w:r>
      <w:r>
        <w:rPr>
          <w:color w:val="231F20"/>
          <w:w w:val="110"/>
          <w:sz w:val="20"/>
        </w:rPr>
        <w:t>oneroso</w:t>
      </w:r>
      <w:r>
        <w:rPr>
          <w:color w:val="231F20"/>
          <w:spacing w:val="-8"/>
          <w:w w:val="110"/>
          <w:sz w:val="20"/>
        </w:rPr>
        <w:t> </w:t>
      </w:r>
      <w:r>
        <w:rPr>
          <w:color w:val="231F20"/>
          <w:w w:val="110"/>
          <w:sz w:val="20"/>
        </w:rPr>
        <w:t>en</w:t>
      </w:r>
      <w:r>
        <w:rPr>
          <w:color w:val="231F20"/>
          <w:spacing w:val="-8"/>
          <w:w w:val="110"/>
          <w:sz w:val="20"/>
        </w:rPr>
        <w:t> </w:t>
      </w:r>
      <w:r>
        <w:rPr>
          <w:color w:val="231F20"/>
          <w:w w:val="110"/>
          <w:sz w:val="20"/>
        </w:rPr>
        <w:t>los</w:t>
      </w:r>
      <w:r>
        <w:rPr>
          <w:color w:val="231F20"/>
          <w:spacing w:val="-8"/>
          <w:w w:val="110"/>
          <w:sz w:val="20"/>
        </w:rPr>
        <w:t> </w:t>
      </w:r>
      <w:r>
        <w:rPr>
          <w:color w:val="231F20"/>
          <w:w w:val="110"/>
          <w:sz w:val="20"/>
        </w:rPr>
        <w:t>pagos.</w:t>
      </w:r>
    </w:p>
    <w:p>
      <w:pPr>
        <w:pStyle w:val="ListParagraph"/>
        <w:numPr>
          <w:ilvl w:val="0"/>
          <w:numId w:val="5"/>
        </w:numPr>
        <w:tabs>
          <w:tab w:pos="460" w:val="left" w:leader="none"/>
        </w:tabs>
        <w:spacing w:line="261" w:lineRule="auto" w:before="0" w:after="0"/>
        <w:ind w:left="460" w:right="113" w:hanging="160"/>
        <w:jc w:val="both"/>
        <w:rPr>
          <w:sz w:val="20"/>
        </w:rPr>
      </w:pPr>
      <w:r>
        <w:rPr>
          <w:color w:val="231F20"/>
          <w:w w:val="110"/>
          <w:sz w:val="20"/>
        </w:rPr>
        <w:t>Se reduce el costo laboral al flexibilizar el mercado de trabajo  o, en última opción, acuden en busca de la mano de obra más barata, ya sea mediante el robo de cerebros desde países menos desarrollados,</w:t>
      </w:r>
      <w:r>
        <w:rPr>
          <w:color w:val="231F20"/>
          <w:spacing w:val="-5"/>
          <w:w w:val="110"/>
          <w:sz w:val="20"/>
        </w:rPr>
        <w:t> </w:t>
      </w:r>
      <w:r>
        <w:rPr>
          <w:color w:val="231F20"/>
          <w:w w:val="110"/>
          <w:sz w:val="20"/>
        </w:rPr>
        <w:t>o</w:t>
      </w:r>
      <w:r>
        <w:rPr>
          <w:color w:val="231F20"/>
          <w:spacing w:val="-5"/>
          <w:w w:val="110"/>
          <w:sz w:val="20"/>
        </w:rPr>
        <w:t> </w:t>
      </w:r>
      <w:r>
        <w:rPr>
          <w:color w:val="231F20"/>
          <w:w w:val="110"/>
          <w:sz w:val="20"/>
        </w:rPr>
        <w:t>deslocalizando</w:t>
      </w:r>
      <w:r>
        <w:rPr>
          <w:color w:val="231F20"/>
          <w:spacing w:val="-5"/>
          <w:w w:val="110"/>
          <w:sz w:val="20"/>
        </w:rPr>
        <w:t> </w:t>
      </w:r>
      <w:r>
        <w:rPr>
          <w:color w:val="231F20"/>
          <w:w w:val="110"/>
          <w:sz w:val="20"/>
        </w:rPr>
        <w:t>el</w:t>
      </w:r>
      <w:r>
        <w:rPr>
          <w:color w:val="231F20"/>
          <w:spacing w:val="-5"/>
          <w:w w:val="110"/>
          <w:sz w:val="20"/>
        </w:rPr>
        <w:t> </w:t>
      </w:r>
      <w:r>
        <w:rPr>
          <w:color w:val="231F20"/>
          <w:w w:val="110"/>
          <w:sz w:val="20"/>
        </w:rPr>
        <w:t>sector</w:t>
      </w:r>
      <w:r>
        <w:rPr>
          <w:color w:val="231F20"/>
          <w:spacing w:val="-5"/>
          <w:w w:val="110"/>
          <w:sz w:val="20"/>
        </w:rPr>
        <w:t> </w:t>
      </w:r>
      <w:r>
        <w:rPr>
          <w:color w:val="231F20"/>
          <w:w w:val="110"/>
          <w:sz w:val="20"/>
        </w:rPr>
        <w:t>productivo</w:t>
      </w:r>
      <w:r>
        <w:rPr>
          <w:color w:val="231F20"/>
          <w:spacing w:val="-5"/>
          <w:w w:val="110"/>
          <w:sz w:val="20"/>
        </w:rPr>
        <w:t> </w:t>
      </w:r>
      <w:r>
        <w:rPr>
          <w:color w:val="231F20"/>
          <w:w w:val="110"/>
          <w:sz w:val="20"/>
        </w:rPr>
        <w:t>y</w:t>
      </w:r>
      <w:r>
        <w:rPr>
          <w:color w:val="231F20"/>
          <w:spacing w:val="-5"/>
          <w:w w:val="110"/>
          <w:sz w:val="20"/>
        </w:rPr>
        <w:t> </w:t>
      </w:r>
      <w:r>
        <w:rPr>
          <w:color w:val="231F20"/>
          <w:w w:val="110"/>
          <w:sz w:val="20"/>
        </w:rPr>
        <w:t>de</w:t>
      </w:r>
      <w:r>
        <w:rPr>
          <w:color w:val="231F20"/>
          <w:spacing w:val="-5"/>
          <w:w w:val="110"/>
          <w:sz w:val="20"/>
        </w:rPr>
        <w:t> </w:t>
      </w:r>
      <w:r>
        <w:rPr>
          <w:color w:val="231F20"/>
          <w:w w:val="110"/>
          <w:sz w:val="20"/>
        </w:rPr>
        <w:t>los</w:t>
      </w:r>
      <w:r>
        <w:rPr>
          <w:color w:val="231F20"/>
          <w:spacing w:val="-5"/>
          <w:w w:val="110"/>
          <w:sz w:val="20"/>
        </w:rPr>
        <w:t> </w:t>
      </w:r>
      <w:r>
        <w:rPr>
          <w:color w:val="231F20"/>
          <w:w w:val="110"/>
          <w:sz w:val="20"/>
        </w:rPr>
        <w:t>ser- vicios</w:t>
      </w:r>
      <w:r>
        <w:rPr>
          <w:color w:val="231F20"/>
          <w:spacing w:val="-14"/>
          <w:w w:val="110"/>
          <w:sz w:val="20"/>
        </w:rPr>
        <w:t> </w:t>
      </w:r>
      <w:r>
        <w:rPr>
          <w:color w:val="231F20"/>
          <w:w w:val="110"/>
          <w:sz w:val="20"/>
        </w:rPr>
        <w:t>especializados</w:t>
      </w:r>
      <w:r>
        <w:rPr>
          <w:color w:val="231F20"/>
          <w:spacing w:val="-14"/>
          <w:w w:val="110"/>
          <w:sz w:val="20"/>
        </w:rPr>
        <w:t> </w:t>
      </w:r>
      <w:r>
        <w:rPr>
          <w:color w:val="231F20"/>
          <w:w w:val="110"/>
          <w:sz w:val="20"/>
        </w:rPr>
        <w:t>desde</w:t>
      </w:r>
      <w:r>
        <w:rPr>
          <w:color w:val="231F20"/>
          <w:spacing w:val="-14"/>
          <w:w w:val="110"/>
          <w:sz w:val="20"/>
        </w:rPr>
        <w:t> </w:t>
      </w:r>
      <w:r>
        <w:rPr>
          <w:color w:val="231F20"/>
          <w:w w:val="110"/>
          <w:sz w:val="20"/>
        </w:rPr>
        <w:t>las</w:t>
      </w:r>
      <w:r>
        <w:rPr>
          <w:color w:val="231F20"/>
          <w:spacing w:val="-14"/>
          <w:w w:val="110"/>
          <w:sz w:val="20"/>
        </w:rPr>
        <w:t> </w:t>
      </w:r>
      <w:r>
        <w:rPr>
          <w:color w:val="231F20"/>
          <w:w w:val="110"/>
          <w:sz w:val="20"/>
        </w:rPr>
        <w:t>metrópolis</w:t>
      </w:r>
      <w:r>
        <w:rPr>
          <w:color w:val="231F20"/>
          <w:spacing w:val="-14"/>
          <w:w w:val="110"/>
          <w:sz w:val="20"/>
        </w:rPr>
        <w:t> </w:t>
      </w:r>
      <w:r>
        <w:rPr>
          <w:color w:val="231F20"/>
          <w:w w:val="110"/>
          <w:sz w:val="20"/>
        </w:rPr>
        <w:t>hacia</w:t>
      </w:r>
      <w:r>
        <w:rPr>
          <w:color w:val="231F20"/>
          <w:spacing w:val="-14"/>
          <w:w w:val="110"/>
          <w:sz w:val="20"/>
        </w:rPr>
        <w:t> </w:t>
      </w:r>
      <w:r>
        <w:rPr>
          <w:color w:val="231F20"/>
          <w:w w:val="110"/>
          <w:sz w:val="20"/>
        </w:rPr>
        <w:t>países</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la</w:t>
      </w:r>
      <w:r>
        <w:rPr>
          <w:color w:val="231F20"/>
          <w:spacing w:val="-14"/>
          <w:w w:val="110"/>
          <w:sz w:val="20"/>
        </w:rPr>
        <w:t> </w:t>
      </w:r>
      <w:r>
        <w:rPr>
          <w:color w:val="231F20"/>
          <w:w w:val="110"/>
          <w:sz w:val="20"/>
        </w:rPr>
        <w:t>peri- feria que —aunque subdesarrollados— dispongan de</w:t>
      </w:r>
      <w:r>
        <w:rPr>
          <w:color w:val="231F20"/>
          <w:spacing w:val="-21"/>
          <w:w w:val="110"/>
          <w:sz w:val="20"/>
        </w:rPr>
        <w:t> </w:t>
      </w:r>
      <w:r>
        <w:rPr>
          <w:color w:val="231F20"/>
          <w:w w:val="110"/>
          <w:sz w:val="20"/>
        </w:rPr>
        <w:t>suficientes condiciones sistémicas para su eficiente implementación. Ello conduce  al  desentendimiento,  por  parte  de  las</w:t>
      </w:r>
      <w:r>
        <w:rPr>
          <w:color w:val="231F20"/>
          <w:spacing w:val="-12"/>
          <w:w w:val="110"/>
          <w:sz w:val="20"/>
        </w:rPr>
        <w:t> </w:t>
      </w:r>
      <w:r>
        <w:rPr>
          <w:color w:val="231F20"/>
          <w:w w:val="110"/>
          <w:sz w:val="20"/>
        </w:rPr>
        <w:t>corporaciones</w:t>
      </w:r>
    </w:p>
    <w:p>
      <w:pPr>
        <w:spacing w:after="0" w:line="261" w:lineRule="auto"/>
        <w:jc w:val="both"/>
        <w:rPr>
          <w:sz w:val="20"/>
        </w:rPr>
        <w:sectPr>
          <w:pgSz w:w="7640" w:h="11900"/>
          <w:pgMar w:header="672" w:footer="0" w:top="860" w:bottom="280" w:left="780" w:right="640"/>
        </w:sectPr>
      </w:pPr>
    </w:p>
    <w:p>
      <w:pPr>
        <w:pStyle w:val="BodyText"/>
        <w:spacing w:before="8"/>
        <w:rPr>
          <w:sz w:val="8"/>
        </w:rPr>
      </w:pPr>
    </w:p>
    <w:p>
      <w:pPr>
        <w:pStyle w:val="BodyText"/>
        <w:spacing w:line="261" w:lineRule="auto" w:before="67"/>
        <w:ind w:left="460" w:right="25"/>
      </w:pPr>
      <w:r>
        <w:rPr>
          <w:color w:val="231F20"/>
          <w:w w:val="110"/>
        </w:rPr>
        <w:t>transnacionales, del destino de su fuerza laboral en la metrópoli, fuesen cuellos azules o, inclusive cada vez más, cuellos blancos.</w:t>
      </w:r>
    </w:p>
    <w:p>
      <w:pPr>
        <w:pStyle w:val="ListParagraph"/>
        <w:numPr>
          <w:ilvl w:val="0"/>
          <w:numId w:val="5"/>
        </w:numPr>
        <w:tabs>
          <w:tab w:pos="460" w:val="left" w:leader="none"/>
        </w:tabs>
        <w:spacing w:line="261" w:lineRule="auto" w:before="0" w:after="0"/>
        <w:ind w:left="460" w:right="117" w:hanging="160"/>
        <w:jc w:val="both"/>
        <w:rPr>
          <w:sz w:val="20"/>
        </w:rPr>
      </w:pPr>
      <w:r>
        <w:rPr>
          <w:color w:val="231F20"/>
          <w:w w:val="110"/>
          <w:sz w:val="20"/>
        </w:rPr>
        <w:t>Se</w:t>
      </w:r>
      <w:r>
        <w:rPr>
          <w:color w:val="231F20"/>
          <w:spacing w:val="-8"/>
          <w:w w:val="110"/>
          <w:sz w:val="20"/>
        </w:rPr>
        <w:t> </w:t>
      </w:r>
      <w:r>
        <w:rPr>
          <w:color w:val="231F20"/>
          <w:w w:val="110"/>
          <w:sz w:val="20"/>
        </w:rPr>
        <w:t>procura,</w:t>
      </w:r>
      <w:r>
        <w:rPr>
          <w:color w:val="231F20"/>
          <w:spacing w:val="-8"/>
          <w:w w:val="110"/>
          <w:sz w:val="20"/>
        </w:rPr>
        <w:t> </w:t>
      </w:r>
      <w:r>
        <w:rPr>
          <w:color w:val="231F20"/>
          <w:w w:val="110"/>
          <w:sz w:val="20"/>
        </w:rPr>
        <w:t>a</w:t>
      </w:r>
      <w:r>
        <w:rPr>
          <w:color w:val="231F20"/>
          <w:spacing w:val="-8"/>
          <w:w w:val="110"/>
          <w:sz w:val="20"/>
        </w:rPr>
        <w:t> </w:t>
      </w:r>
      <w:r>
        <w:rPr>
          <w:color w:val="231F20"/>
          <w:w w:val="110"/>
          <w:sz w:val="20"/>
        </w:rPr>
        <w:t>través</w:t>
      </w:r>
      <w:r>
        <w:rPr>
          <w:color w:val="231F20"/>
          <w:spacing w:val="-8"/>
          <w:w w:val="110"/>
          <w:sz w:val="20"/>
        </w:rPr>
        <w:t> </w:t>
      </w:r>
      <w:r>
        <w:rPr>
          <w:color w:val="231F20"/>
          <w:w w:val="110"/>
          <w:sz w:val="20"/>
        </w:rPr>
        <w:t>de</w:t>
      </w:r>
      <w:r>
        <w:rPr>
          <w:color w:val="231F20"/>
          <w:spacing w:val="-8"/>
          <w:w w:val="110"/>
          <w:sz w:val="20"/>
        </w:rPr>
        <w:t> </w:t>
      </w:r>
      <w:r>
        <w:rPr>
          <w:color w:val="231F20"/>
          <w:w w:val="110"/>
          <w:sz w:val="20"/>
        </w:rPr>
        <w:t>los</w:t>
      </w:r>
      <w:r>
        <w:rPr>
          <w:color w:val="231F20"/>
          <w:spacing w:val="-8"/>
          <w:w w:val="110"/>
          <w:sz w:val="20"/>
        </w:rPr>
        <w:t> </w:t>
      </w:r>
      <w:r>
        <w:rPr>
          <w:color w:val="231F20"/>
          <w:w w:val="110"/>
          <w:sz w:val="20"/>
        </w:rPr>
        <w:t>organismos</w:t>
      </w:r>
      <w:r>
        <w:rPr>
          <w:color w:val="231F20"/>
          <w:spacing w:val="-8"/>
          <w:w w:val="110"/>
          <w:sz w:val="20"/>
        </w:rPr>
        <w:t> </w:t>
      </w:r>
      <w:r>
        <w:rPr>
          <w:color w:val="231F20"/>
          <w:w w:val="110"/>
          <w:sz w:val="20"/>
        </w:rPr>
        <w:t>económicos</w:t>
      </w:r>
      <w:r>
        <w:rPr>
          <w:color w:val="231F20"/>
          <w:spacing w:val="-8"/>
          <w:w w:val="110"/>
          <w:sz w:val="20"/>
        </w:rPr>
        <w:t> </w:t>
      </w:r>
      <w:r>
        <w:rPr>
          <w:color w:val="231F20"/>
          <w:w w:val="110"/>
          <w:sz w:val="20"/>
        </w:rPr>
        <w:t>internaciona- les o mediante tratados de libre comercio bi y multilaterales, el </w:t>
      </w:r>
      <w:r>
        <w:rPr>
          <w:color w:val="231F20"/>
          <w:w w:val="105"/>
          <w:sz w:val="20"/>
        </w:rPr>
        <w:t>establecimiento de las llamadas </w:t>
      </w:r>
      <w:r>
        <w:rPr>
          <w:i/>
          <w:color w:val="231F20"/>
          <w:w w:val="105"/>
          <w:sz w:val="20"/>
        </w:rPr>
        <w:t>canchas de juego aplanadas, </w:t>
      </w:r>
      <w:r>
        <w:rPr>
          <w:color w:val="231F20"/>
          <w:w w:val="105"/>
          <w:sz w:val="20"/>
        </w:rPr>
        <w:t>siste- </w:t>
      </w:r>
      <w:r>
        <w:rPr>
          <w:color w:val="231F20"/>
          <w:w w:val="110"/>
          <w:sz w:val="20"/>
        </w:rPr>
        <w:t>mas</w:t>
      </w:r>
      <w:r>
        <w:rPr>
          <w:color w:val="231F20"/>
          <w:spacing w:val="-10"/>
          <w:w w:val="110"/>
          <w:sz w:val="20"/>
        </w:rPr>
        <w:t> </w:t>
      </w:r>
      <w:r>
        <w:rPr>
          <w:color w:val="231F20"/>
          <w:w w:val="110"/>
          <w:sz w:val="20"/>
        </w:rPr>
        <w:t>unificados</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regulaciones</w:t>
      </w:r>
      <w:r>
        <w:rPr>
          <w:color w:val="231F20"/>
          <w:spacing w:val="-10"/>
          <w:w w:val="110"/>
          <w:sz w:val="20"/>
        </w:rPr>
        <w:t> </w:t>
      </w:r>
      <w:r>
        <w:rPr>
          <w:color w:val="231F20"/>
          <w:w w:val="110"/>
          <w:sz w:val="20"/>
        </w:rPr>
        <w:t>internacionales</w:t>
      </w:r>
      <w:r>
        <w:rPr>
          <w:color w:val="231F20"/>
          <w:spacing w:val="-10"/>
          <w:w w:val="110"/>
          <w:sz w:val="20"/>
        </w:rPr>
        <w:t> </w:t>
      </w:r>
      <w:r>
        <w:rPr>
          <w:color w:val="231F20"/>
          <w:w w:val="110"/>
          <w:sz w:val="20"/>
        </w:rPr>
        <w:t>que</w:t>
      </w:r>
      <w:r>
        <w:rPr>
          <w:color w:val="231F20"/>
          <w:spacing w:val="-10"/>
          <w:w w:val="110"/>
          <w:sz w:val="20"/>
        </w:rPr>
        <w:t> </w:t>
      </w:r>
      <w:r>
        <w:rPr>
          <w:color w:val="231F20"/>
          <w:w w:val="110"/>
          <w:sz w:val="20"/>
        </w:rPr>
        <w:t>le</w:t>
      </w:r>
      <w:r>
        <w:rPr>
          <w:color w:val="231F20"/>
          <w:spacing w:val="-10"/>
          <w:w w:val="110"/>
          <w:sz w:val="20"/>
        </w:rPr>
        <w:t> </w:t>
      </w:r>
      <w:r>
        <w:rPr>
          <w:color w:val="231F20"/>
          <w:w w:val="110"/>
          <w:sz w:val="20"/>
        </w:rPr>
        <w:t>garanticen al gran capital transnacional estadunidense, en condiciones de inequidad, las mejores condiciones de reproducción y seguridad para</w:t>
      </w:r>
      <w:r>
        <w:rPr>
          <w:color w:val="231F20"/>
          <w:spacing w:val="-22"/>
          <w:w w:val="110"/>
          <w:sz w:val="20"/>
        </w:rPr>
        <w:t> </w:t>
      </w:r>
      <w:r>
        <w:rPr>
          <w:color w:val="231F20"/>
          <w:w w:val="110"/>
          <w:sz w:val="20"/>
        </w:rPr>
        <w:t>el</w:t>
      </w:r>
      <w:r>
        <w:rPr>
          <w:color w:val="231F20"/>
          <w:spacing w:val="-22"/>
          <w:w w:val="110"/>
          <w:sz w:val="20"/>
        </w:rPr>
        <w:t> </w:t>
      </w:r>
      <w:r>
        <w:rPr>
          <w:color w:val="231F20"/>
          <w:w w:val="110"/>
          <w:sz w:val="20"/>
        </w:rPr>
        <w:t>largo</w:t>
      </w:r>
      <w:r>
        <w:rPr>
          <w:color w:val="231F20"/>
          <w:spacing w:val="-22"/>
          <w:w w:val="110"/>
          <w:sz w:val="20"/>
        </w:rPr>
        <w:t> </w:t>
      </w:r>
      <w:r>
        <w:rPr>
          <w:color w:val="231F20"/>
          <w:w w:val="110"/>
          <w:sz w:val="20"/>
        </w:rPr>
        <w:t>plazo</w:t>
      </w:r>
      <w:r>
        <w:rPr>
          <w:color w:val="231F20"/>
          <w:spacing w:val="-22"/>
          <w:w w:val="110"/>
          <w:sz w:val="20"/>
        </w:rPr>
        <w:t> </w:t>
      </w:r>
      <w:r>
        <w:rPr>
          <w:color w:val="231F20"/>
          <w:w w:val="110"/>
          <w:sz w:val="20"/>
        </w:rPr>
        <w:t>en</w:t>
      </w:r>
      <w:r>
        <w:rPr>
          <w:color w:val="231F20"/>
          <w:spacing w:val="-22"/>
          <w:w w:val="110"/>
          <w:sz w:val="20"/>
        </w:rPr>
        <w:t> </w:t>
      </w:r>
      <w:r>
        <w:rPr>
          <w:color w:val="231F20"/>
          <w:w w:val="110"/>
          <w:sz w:val="20"/>
        </w:rPr>
        <w:t>sus</w:t>
      </w:r>
      <w:r>
        <w:rPr>
          <w:color w:val="231F20"/>
          <w:spacing w:val="-22"/>
          <w:w w:val="110"/>
          <w:sz w:val="20"/>
        </w:rPr>
        <w:t> </w:t>
      </w:r>
      <w:r>
        <w:rPr>
          <w:color w:val="231F20"/>
          <w:w w:val="110"/>
          <w:sz w:val="20"/>
        </w:rPr>
        <w:t>transacciones</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inversión,</w:t>
      </w:r>
      <w:r>
        <w:rPr>
          <w:color w:val="231F20"/>
          <w:spacing w:val="-22"/>
          <w:w w:val="110"/>
          <w:sz w:val="20"/>
        </w:rPr>
        <w:t> </w:t>
      </w:r>
      <w:r>
        <w:rPr>
          <w:color w:val="231F20"/>
          <w:w w:val="110"/>
          <w:sz w:val="20"/>
        </w:rPr>
        <w:t>financieras</w:t>
      </w:r>
      <w:r>
        <w:rPr>
          <w:color w:val="231F20"/>
          <w:spacing w:val="-22"/>
          <w:w w:val="110"/>
          <w:sz w:val="20"/>
        </w:rPr>
        <w:t> </w:t>
      </w:r>
      <w:r>
        <w:rPr>
          <w:color w:val="231F20"/>
          <w:w w:val="110"/>
          <w:sz w:val="20"/>
        </w:rPr>
        <w:t>y comerciales</w:t>
      </w:r>
      <w:r>
        <w:rPr>
          <w:color w:val="231F20"/>
          <w:spacing w:val="-16"/>
          <w:w w:val="110"/>
          <w:sz w:val="20"/>
        </w:rPr>
        <w:t> </w:t>
      </w:r>
      <w:r>
        <w:rPr>
          <w:color w:val="231F20"/>
          <w:w w:val="110"/>
          <w:sz w:val="20"/>
        </w:rPr>
        <w:t>con</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países</w:t>
      </w:r>
      <w:r>
        <w:rPr>
          <w:color w:val="231F20"/>
          <w:spacing w:val="-16"/>
          <w:w w:val="110"/>
          <w:sz w:val="20"/>
        </w:rPr>
        <w:t> </w:t>
      </w:r>
      <w:r>
        <w:rPr>
          <w:color w:val="231F20"/>
          <w:w w:val="110"/>
          <w:sz w:val="20"/>
        </w:rPr>
        <w:t>subdesarrollados</w:t>
      </w:r>
      <w:r>
        <w:rPr>
          <w:color w:val="231F20"/>
          <w:spacing w:val="-16"/>
          <w:w w:val="110"/>
          <w:sz w:val="20"/>
        </w:rPr>
        <w:t> </w:t>
      </w:r>
      <w:r>
        <w:rPr>
          <w:color w:val="231F20"/>
          <w:w w:val="110"/>
          <w:sz w:val="20"/>
        </w:rPr>
        <w:t>(recuérdese</w:t>
      </w:r>
      <w:r>
        <w:rPr>
          <w:color w:val="231F20"/>
          <w:spacing w:val="-16"/>
          <w:w w:val="110"/>
          <w:sz w:val="20"/>
        </w:rPr>
        <w:t> </w:t>
      </w:r>
      <w:r>
        <w:rPr>
          <w:color w:val="231F20"/>
          <w:w w:val="110"/>
          <w:sz w:val="20"/>
        </w:rPr>
        <w:t>el</w:t>
      </w:r>
      <w:r>
        <w:rPr>
          <w:color w:val="231F20"/>
          <w:spacing w:val="-16"/>
          <w:w w:val="110"/>
          <w:sz w:val="20"/>
        </w:rPr>
        <w:t> </w:t>
      </w:r>
      <w:r>
        <w:rPr>
          <w:color w:val="231F20"/>
          <w:w w:val="110"/>
          <w:sz w:val="20"/>
        </w:rPr>
        <w:t>recha- zo al alca en Mar del Plata, 2005, gran golpe contrahegemónico latinoamericano).</w:t>
      </w:r>
    </w:p>
    <w:p>
      <w:pPr>
        <w:pStyle w:val="BodyText"/>
        <w:spacing w:before="8"/>
        <w:rPr>
          <w:sz w:val="21"/>
        </w:rPr>
      </w:pPr>
    </w:p>
    <w:p>
      <w:pPr>
        <w:pStyle w:val="BodyText"/>
        <w:spacing w:line="261" w:lineRule="auto"/>
        <w:ind w:left="100" w:right="117" w:firstLine="252"/>
        <w:jc w:val="right"/>
      </w:pPr>
      <w:r>
        <w:rPr>
          <w:color w:val="231F20"/>
          <w:w w:val="105"/>
        </w:rPr>
        <w:t>En</w:t>
      </w:r>
      <w:r>
        <w:rPr>
          <w:color w:val="231F20"/>
          <w:spacing w:val="37"/>
          <w:w w:val="105"/>
        </w:rPr>
        <w:t> </w:t>
      </w:r>
      <w:r>
        <w:rPr>
          <w:color w:val="231F20"/>
          <w:w w:val="105"/>
        </w:rPr>
        <w:t>la</w:t>
      </w:r>
      <w:r>
        <w:rPr>
          <w:color w:val="231F20"/>
          <w:spacing w:val="37"/>
          <w:w w:val="105"/>
        </w:rPr>
        <w:t> </w:t>
      </w:r>
      <w:r>
        <w:rPr>
          <w:color w:val="231F20"/>
          <w:w w:val="105"/>
        </w:rPr>
        <w:t>mayoría</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sectores</w:t>
      </w:r>
      <w:r>
        <w:rPr>
          <w:color w:val="231F20"/>
          <w:spacing w:val="37"/>
          <w:w w:val="105"/>
        </w:rPr>
        <w:t> </w:t>
      </w:r>
      <w:r>
        <w:rPr>
          <w:color w:val="231F20"/>
          <w:w w:val="105"/>
        </w:rPr>
        <w:t>económicos</w:t>
      </w:r>
      <w:r>
        <w:rPr>
          <w:color w:val="231F20"/>
          <w:spacing w:val="37"/>
          <w:w w:val="105"/>
        </w:rPr>
        <w:t> </w:t>
      </w:r>
      <w:r>
        <w:rPr>
          <w:color w:val="231F20"/>
          <w:w w:val="105"/>
        </w:rPr>
        <w:t>se</w:t>
      </w:r>
      <w:r>
        <w:rPr>
          <w:color w:val="231F20"/>
          <w:spacing w:val="37"/>
          <w:w w:val="105"/>
        </w:rPr>
        <w:t> </w:t>
      </w:r>
      <w:r>
        <w:rPr>
          <w:color w:val="231F20"/>
          <w:w w:val="105"/>
        </w:rPr>
        <w:t>vuelve</w:t>
      </w:r>
      <w:r>
        <w:rPr>
          <w:color w:val="231F20"/>
          <w:spacing w:val="37"/>
          <w:w w:val="105"/>
        </w:rPr>
        <w:t> </w:t>
      </w:r>
      <w:r>
        <w:rPr>
          <w:color w:val="231F20"/>
          <w:w w:val="105"/>
        </w:rPr>
        <w:t>a</w:t>
      </w:r>
      <w:r>
        <w:rPr>
          <w:color w:val="231F20"/>
          <w:spacing w:val="37"/>
          <w:w w:val="105"/>
        </w:rPr>
        <w:t> </w:t>
      </w:r>
      <w:r>
        <w:rPr>
          <w:color w:val="231F20"/>
          <w:w w:val="105"/>
        </w:rPr>
        <w:t>presentar,</w:t>
      </w:r>
      <w:r>
        <w:rPr>
          <w:color w:val="231F20"/>
          <w:w w:val="104"/>
        </w:rPr>
        <w:t> </w:t>
      </w:r>
      <w:r>
        <w:rPr>
          <w:color w:val="231F20"/>
          <w:w w:val="105"/>
        </w:rPr>
        <w:t>con</w:t>
      </w:r>
      <w:r>
        <w:rPr>
          <w:color w:val="231F20"/>
          <w:spacing w:val="16"/>
          <w:w w:val="105"/>
        </w:rPr>
        <w:t> </w:t>
      </w:r>
      <w:r>
        <w:rPr>
          <w:color w:val="231F20"/>
          <w:w w:val="105"/>
        </w:rPr>
        <w:t>más</w:t>
      </w:r>
      <w:r>
        <w:rPr>
          <w:color w:val="231F20"/>
          <w:spacing w:val="16"/>
          <w:w w:val="105"/>
        </w:rPr>
        <w:t> </w:t>
      </w:r>
      <w:r>
        <w:rPr>
          <w:color w:val="231F20"/>
          <w:w w:val="105"/>
        </w:rPr>
        <w:t>fuerza</w:t>
      </w:r>
      <w:r>
        <w:rPr>
          <w:color w:val="231F20"/>
          <w:spacing w:val="16"/>
          <w:w w:val="105"/>
        </w:rPr>
        <w:t> </w:t>
      </w:r>
      <w:r>
        <w:rPr>
          <w:color w:val="231F20"/>
          <w:w w:val="105"/>
        </w:rPr>
        <w:t>que</w:t>
      </w:r>
      <w:r>
        <w:rPr>
          <w:color w:val="231F20"/>
          <w:spacing w:val="16"/>
          <w:w w:val="105"/>
        </w:rPr>
        <w:t> </w:t>
      </w:r>
      <w:r>
        <w:rPr>
          <w:color w:val="231F20"/>
          <w:w w:val="105"/>
        </w:rPr>
        <w:t>nunca,</w:t>
      </w:r>
      <w:r>
        <w:rPr>
          <w:color w:val="231F20"/>
          <w:spacing w:val="16"/>
          <w:w w:val="105"/>
        </w:rPr>
        <w:t> </w:t>
      </w:r>
      <w:r>
        <w:rPr>
          <w:color w:val="231F20"/>
          <w:w w:val="105"/>
        </w:rPr>
        <w:t>el</w:t>
      </w:r>
      <w:r>
        <w:rPr>
          <w:color w:val="231F20"/>
          <w:spacing w:val="16"/>
          <w:w w:val="105"/>
        </w:rPr>
        <w:t> </w:t>
      </w:r>
      <w:r>
        <w:rPr>
          <w:color w:val="231F20"/>
          <w:w w:val="105"/>
        </w:rPr>
        <w:t>dilema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rentabilidad</w:t>
      </w:r>
      <w:r>
        <w:rPr>
          <w:color w:val="231F20"/>
          <w:spacing w:val="16"/>
          <w:w w:val="105"/>
        </w:rPr>
        <w:t> </w:t>
      </w:r>
      <w:r>
        <w:rPr>
          <w:color w:val="231F20"/>
          <w:w w:val="105"/>
        </w:rPr>
        <w:t>negativa</w:t>
      </w:r>
      <w:r>
        <w:rPr>
          <w:color w:val="231F20"/>
          <w:spacing w:val="16"/>
          <w:w w:val="105"/>
        </w:rPr>
        <w:t> </w:t>
      </w:r>
      <w:r>
        <w:rPr>
          <w:color w:val="231F20"/>
          <w:w w:val="105"/>
        </w:rPr>
        <w:t>de</w:t>
      </w:r>
      <w:r>
        <w:rPr>
          <w:color w:val="231F20"/>
          <w:spacing w:val="16"/>
          <w:w w:val="105"/>
        </w:rPr>
        <w:t> </w:t>
      </w:r>
      <w:r>
        <w:rPr>
          <w:color w:val="231F20"/>
          <w:w w:val="105"/>
        </w:rPr>
        <w:t>la</w:t>
      </w:r>
      <w:r>
        <w:rPr>
          <w:color w:val="231F20"/>
          <w:w w:val="105"/>
        </w:rPr>
        <w:t> </w:t>
      </w:r>
      <w:r>
        <w:rPr>
          <w:color w:val="231F20"/>
          <w:w w:val="105"/>
        </w:rPr>
        <w:t>sustitución tecnológica. Al aumentar con más rapidez los costos</w:t>
      </w:r>
      <w:r>
        <w:rPr>
          <w:color w:val="231F20"/>
          <w:spacing w:val="44"/>
          <w:w w:val="105"/>
        </w:rPr>
        <w:t> </w:t>
      </w:r>
      <w:r>
        <w:rPr>
          <w:color w:val="231F20"/>
          <w:w w:val="105"/>
        </w:rPr>
        <w:t>de</w:t>
      </w:r>
      <w:r>
        <w:rPr>
          <w:color w:val="231F20"/>
          <w:spacing w:val="16"/>
          <w:w w:val="105"/>
        </w:rPr>
        <w:t> </w:t>
      </w:r>
      <w:r>
        <w:rPr>
          <w:color w:val="231F20"/>
          <w:w w:val="105"/>
        </w:rPr>
        <w:t>la</w:t>
      </w:r>
      <w:r>
        <w:rPr>
          <w:color w:val="231F20"/>
          <w:w w:val="105"/>
        </w:rPr>
        <w:t> </w:t>
      </w:r>
      <w:r>
        <w:rPr>
          <w:color w:val="231F20"/>
          <w:w w:val="105"/>
        </w:rPr>
        <w:t>sustitución tecnológica que el ahorro en el costo de trabajo,</w:t>
      </w:r>
      <w:r>
        <w:rPr>
          <w:color w:val="231F20"/>
          <w:spacing w:val="23"/>
          <w:w w:val="105"/>
        </w:rPr>
        <w:t> </w:t>
      </w:r>
      <w:r>
        <w:rPr>
          <w:color w:val="231F20"/>
          <w:w w:val="105"/>
        </w:rPr>
        <w:t>los</w:t>
      </w:r>
      <w:r>
        <w:rPr>
          <w:color w:val="231F20"/>
          <w:spacing w:val="18"/>
          <w:w w:val="105"/>
        </w:rPr>
        <w:t> </w:t>
      </w:r>
      <w:r>
        <w:rPr>
          <w:color w:val="231F20"/>
          <w:w w:val="105"/>
        </w:rPr>
        <w:t>bene-</w:t>
      </w:r>
      <w:r>
        <w:rPr>
          <w:color w:val="231F20"/>
          <w:w w:val="72"/>
        </w:rPr>
        <w:t> </w:t>
      </w:r>
      <w:r>
        <w:rPr>
          <w:color w:val="231F20"/>
          <w:w w:val="105"/>
        </w:rPr>
        <w:t>ficios</w:t>
      </w:r>
      <w:r>
        <w:rPr>
          <w:color w:val="231F20"/>
          <w:spacing w:val="-9"/>
          <w:w w:val="105"/>
        </w:rPr>
        <w:t> </w:t>
      </w:r>
      <w:r>
        <w:rPr>
          <w:color w:val="231F20"/>
          <w:w w:val="105"/>
        </w:rPr>
        <w:t>se</w:t>
      </w:r>
      <w:r>
        <w:rPr>
          <w:color w:val="231F20"/>
          <w:spacing w:val="-9"/>
          <w:w w:val="105"/>
        </w:rPr>
        <w:t> </w:t>
      </w:r>
      <w:r>
        <w:rPr>
          <w:color w:val="231F20"/>
          <w:w w:val="105"/>
        </w:rPr>
        <w:t>esfuman.</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manera</w:t>
      </w:r>
      <w:r>
        <w:rPr>
          <w:color w:val="231F20"/>
          <w:spacing w:val="-9"/>
          <w:w w:val="105"/>
        </w:rPr>
        <w:t> </w:t>
      </w:r>
      <w:r>
        <w:rPr>
          <w:color w:val="231F20"/>
          <w:w w:val="105"/>
        </w:rPr>
        <w:t>surge</w:t>
      </w:r>
      <w:r>
        <w:rPr>
          <w:color w:val="231F20"/>
          <w:spacing w:val="-9"/>
          <w:w w:val="105"/>
        </w:rPr>
        <w:t> </w:t>
      </w:r>
      <w:r>
        <w:rPr>
          <w:color w:val="231F20"/>
          <w:w w:val="105"/>
        </w:rPr>
        <w:t>la</w:t>
      </w:r>
      <w:r>
        <w:rPr>
          <w:color w:val="231F20"/>
          <w:spacing w:val="-9"/>
          <w:w w:val="105"/>
        </w:rPr>
        <w:t> </w:t>
      </w:r>
      <w:r>
        <w:rPr>
          <w:i/>
          <w:color w:val="231F20"/>
          <w:w w:val="105"/>
        </w:rPr>
        <w:t>paradoja</w:t>
      </w:r>
      <w:r>
        <w:rPr>
          <w:i/>
          <w:color w:val="231F20"/>
          <w:spacing w:val="-9"/>
          <w:w w:val="105"/>
        </w:rPr>
        <w:t> </w:t>
      </w:r>
      <w:r>
        <w:rPr>
          <w:i/>
          <w:color w:val="231F20"/>
          <w:w w:val="105"/>
        </w:rPr>
        <w:t>de</w:t>
      </w:r>
      <w:r>
        <w:rPr>
          <w:i/>
          <w:color w:val="231F20"/>
          <w:spacing w:val="-9"/>
          <w:w w:val="105"/>
        </w:rPr>
        <w:t> </w:t>
      </w:r>
      <w:r>
        <w:rPr>
          <w:i/>
          <w:color w:val="231F20"/>
          <w:w w:val="105"/>
        </w:rPr>
        <w:t>la</w:t>
      </w:r>
      <w:r>
        <w:rPr>
          <w:i/>
          <w:color w:val="231F20"/>
          <w:spacing w:val="-9"/>
          <w:w w:val="105"/>
        </w:rPr>
        <w:t> </w:t>
      </w:r>
      <w:r>
        <w:rPr>
          <w:i/>
          <w:color w:val="231F20"/>
          <w:w w:val="105"/>
        </w:rPr>
        <w:t>productividad</w:t>
      </w:r>
      <w:r>
        <w:rPr>
          <w:i/>
          <w:color w:val="231F20"/>
          <w:w w:val="98"/>
        </w:rPr>
        <w:t> </w:t>
      </w:r>
      <w:r>
        <w:rPr>
          <w:i/>
          <w:color w:val="231F20"/>
          <w:w w:val="105"/>
        </w:rPr>
        <w:t>perdida</w:t>
      </w:r>
      <w:r>
        <w:rPr>
          <w:i/>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era</w:t>
      </w:r>
      <w:r>
        <w:rPr>
          <w:color w:val="231F20"/>
          <w:spacing w:val="27"/>
          <w:w w:val="105"/>
        </w:rPr>
        <w:t> </w:t>
      </w:r>
      <w:r>
        <w:rPr>
          <w:color w:val="231F20"/>
          <w:w w:val="105"/>
        </w:rPr>
        <w:t>del</w:t>
      </w:r>
      <w:r>
        <w:rPr>
          <w:color w:val="231F20"/>
          <w:spacing w:val="27"/>
          <w:w w:val="105"/>
        </w:rPr>
        <w:t> </w:t>
      </w:r>
      <w:r>
        <w:rPr>
          <w:color w:val="231F20"/>
          <w:w w:val="105"/>
        </w:rPr>
        <w:t>nuevo</w:t>
      </w:r>
      <w:r>
        <w:rPr>
          <w:color w:val="231F20"/>
          <w:spacing w:val="27"/>
          <w:w w:val="105"/>
        </w:rPr>
        <w:t> </w:t>
      </w:r>
      <w:r>
        <w:rPr>
          <w:color w:val="231F20"/>
          <w:w w:val="105"/>
        </w:rPr>
        <w:t>paradigma</w:t>
      </w:r>
      <w:r>
        <w:rPr>
          <w:color w:val="231F20"/>
          <w:spacing w:val="27"/>
          <w:w w:val="105"/>
        </w:rPr>
        <w:t> </w:t>
      </w:r>
      <w:r>
        <w:rPr>
          <w:color w:val="231F20"/>
          <w:w w:val="105"/>
        </w:rPr>
        <w:t>tecnoeconómico</w:t>
      </w:r>
      <w:r>
        <w:rPr>
          <w:color w:val="231F20"/>
          <w:spacing w:val="27"/>
          <w:w w:val="105"/>
        </w:rPr>
        <w:t> </w:t>
      </w:r>
      <w:r>
        <w:rPr>
          <w:color w:val="231F20"/>
          <w:w w:val="105"/>
        </w:rPr>
        <w:t>(wlo,</w:t>
      </w:r>
      <w:r>
        <w:rPr>
          <w:color w:val="231F20"/>
          <w:spacing w:val="27"/>
          <w:w w:val="105"/>
        </w:rPr>
        <w:t> </w:t>
      </w:r>
      <w:r>
        <w:rPr>
          <w:color w:val="231F20"/>
          <w:w w:val="105"/>
        </w:rPr>
        <w:t>1996).</w:t>
      </w:r>
      <w:r>
        <w:rPr>
          <w:color w:val="231F20"/>
          <w:w w:val="107"/>
        </w:rPr>
        <w:t> </w:t>
      </w:r>
      <w:r>
        <w:rPr>
          <w:color w:val="231F20"/>
          <w:w w:val="105"/>
        </w:rPr>
        <w:t>Así, en el G-7, entre 1960 y 1967, la productividad</w:t>
      </w:r>
      <w:r>
        <w:rPr>
          <w:color w:val="231F20"/>
          <w:spacing w:val="-11"/>
          <w:w w:val="105"/>
        </w:rPr>
        <w:t> </w:t>
      </w:r>
      <w:r>
        <w:rPr>
          <w:color w:val="231F20"/>
          <w:w w:val="105"/>
        </w:rPr>
        <w:t>del</w:t>
      </w:r>
      <w:r>
        <w:rPr>
          <w:color w:val="231F20"/>
          <w:spacing w:val="46"/>
          <w:w w:val="105"/>
        </w:rPr>
        <w:t> </w:t>
      </w:r>
      <w:r>
        <w:rPr>
          <w:color w:val="231F20"/>
          <w:w w:val="105"/>
        </w:rPr>
        <w:t>trabajo</w:t>
      </w:r>
      <w:r>
        <w:rPr>
          <w:color w:val="231F20"/>
          <w:w w:val="110"/>
        </w:rPr>
        <w:t> </w:t>
      </w:r>
      <w:r>
        <w:rPr>
          <w:color w:val="231F20"/>
          <w:w w:val="105"/>
        </w:rPr>
        <w:t>creció</w:t>
      </w:r>
      <w:r>
        <w:rPr>
          <w:color w:val="231F20"/>
          <w:spacing w:val="35"/>
          <w:w w:val="105"/>
        </w:rPr>
        <w:t> </w:t>
      </w:r>
      <w:r>
        <w:rPr>
          <w:color w:val="231F20"/>
          <w:w w:val="105"/>
        </w:rPr>
        <w:t>a</w:t>
      </w:r>
      <w:r>
        <w:rPr>
          <w:color w:val="231F20"/>
          <w:spacing w:val="35"/>
          <w:w w:val="105"/>
        </w:rPr>
        <w:t> </w:t>
      </w:r>
      <w:r>
        <w:rPr>
          <w:color w:val="231F20"/>
          <w:w w:val="105"/>
        </w:rPr>
        <w:t>una</w:t>
      </w:r>
      <w:r>
        <w:rPr>
          <w:color w:val="231F20"/>
          <w:spacing w:val="35"/>
          <w:w w:val="105"/>
        </w:rPr>
        <w:t> </w:t>
      </w:r>
      <w:r>
        <w:rPr>
          <w:color w:val="231F20"/>
          <w:w w:val="105"/>
        </w:rPr>
        <w:t>tasa</w:t>
      </w:r>
      <w:r>
        <w:rPr>
          <w:color w:val="231F20"/>
          <w:spacing w:val="35"/>
          <w:w w:val="105"/>
        </w:rPr>
        <w:t> </w:t>
      </w:r>
      <w:r>
        <w:rPr>
          <w:color w:val="231F20"/>
          <w:w w:val="105"/>
        </w:rPr>
        <w:t>anual</w:t>
      </w:r>
      <w:r>
        <w:rPr>
          <w:color w:val="231F20"/>
          <w:spacing w:val="35"/>
          <w:w w:val="105"/>
        </w:rPr>
        <w:t> </w:t>
      </w:r>
      <w:r>
        <w:rPr>
          <w:color w:val="231F20"/>
          <w:w w:val="105"/>
        </w:rPr>
        <w:t>media</w:t>
      </w:r>
      <w:r>
        <w:rPr>
          <w:color w:val="231F20"/>
          <w:spacing w:val="35"/>
          <w:w w:val="105"/>
        </w:rPr>
        <w:t> </w:t>
      </w:r>
      <w:r>
        <w:rPr>
          <w:color w:val="231F20"/>
          <w:w w:val="105"/>
        </w:rPr>
        <w:t>de</w:t>
      </w:r>
      <w:r>
        <w:rPr>
          <w:color w:val="231F20"/>
          <w:spacing w:val="35"/>
          <w:w w:val="105"/>
        </w:rPr>
        <w:t> </w:t>
      </w:r>
      <w:r>
        <w:rPr>
          <w:color w:val="231F20"/>
          <w:w w:val="105"/>
        </w:rPr>
        <w:t>4.3%,</w:t>
      </w:r>
      <w:r>
        <w:rPr>
          <w:color w:val="231F20"/>
          <w:spacing w:val="35"/>
          <w:w w:val="105"/>
        </w:rPr>
        <w:t> </w:t>
      </w:r>
      <w:r>
        <w:rPr>
          <w:color w:val="231F20"/>
          <w:w w:val="105"/>
        </w:rPr>
        <w:t>entre</w:t>
      </w:r>
      <w:r>
        <w:rPr>
          <w:color w:val="231F20"/>
          <w:spacing w:val="35"/>
          <w:w w:val="105"/>
        </w:rPr>
        <w:t> </w:t>
      </w:r>
      <w:r>
        <w:rPr>
          <w:color w:val="231F20"/>
          <w:w w:val="105"/>
        </w:rPr>
        <w:t>1973</w:t>
      </w:r>
      <w:r>
        <w:rPr>
          <w:color w:val="231F20"/>
          <w:spacing w:val="35"/>
          <w:w w:val="105"/>
        </w:rPr>
        <w:t> </w:t>
      </w:r>
      <w:r>
        <w:rPr>
          <w:color w:val="231F20"/>
          <w:w w:val="105"/>
        </w:rPr>
        <w:t>y</w:t>
      </w:r>
      <w:r>
        <w:rPr>
          <w:color w:val="231F20"/>
          <w:spacing w:val="35"/>
          <w:w w:val="105"/>
        </w:rPr>
        <w:t> </w:t>
      </w:r>
      <w:r>
        <w:rPr>
          <w:color w:val="231F20"/>
          <w:w w:val="105"/>
        </w:rPr>
        <w:t>1979</w:t>
      </w:r>
      <w:r>
        <w:rPr>
          <w:color w:val="231F20"/>
          <w:spacing w:val="35"/>
          <w:w w:val="105"/>
        </w:rPr>
        <w:t> </w:t>
      </w:r>
      <w:r>
        <w:rPr>
          <w:color w:val="231F20"/>
          <w:w w:val="105"/>
        </w:rPr>
        <w:t>esa</w:t>
      </w:r>
      <w:r>
        <w:rPr>
          <w:color w:val="231F20"/>
          <w:spacing w:val="35"/>
          <w:w w:val="105"/>
        </w:rPr>
        <w:t> </w:t>
      </w:r>
      <w:r>
        <w:rPr>
          <w:color w:val="231F20"/>
          <w:w w:val="105"/>
        </w:rPr>
        <w:t>tasa</w:t>
      </w:r>
      <w:r>
        <w:rPr>
          <w:color w:val="231F20"/>
          <w:w w:val="105"/>
        </w:rPr>
        <w:t> </w:t>
      </w:r>
      <w:r>
        <w:rPr>
          <w:color w:val="231F20"/>
          <w:w w:val="105"/>
        </w:rPr>
        <w:t>bajó</w:t>
      </w:r>
      <w:r>
        <w:rPr>
          <w:color w:val="231F20"/>
          <w:spacing w:val="40"/>
          <w:w w:val="105"/>
        </w:rPr>
        <w:t> </w:t>
      </w:r>
      <w:r>
        <w:rPr>
          <w:color w:val="231F20"/>
          <w:w w:val="105"/>
        </w:rPr>
        <w:t>a</w:t>
      </w:r>
      <w:r>
        <w:rPr>
          <w:color w:val="231F20"/>
          <w:spacing w:val="40"/>
          <w:w w:val="105"/>
        </w:rPr>
        <w:t> </w:t>
      </w:r>
      <w:r>
        <w:rPr>
          <w:color w:val="231F20"/>
          <w:w w:val="105"/>
        </w:rPr>
        <w:t>1.9%,</w:t>
      </w:r>
      <w:r>
        <w:rPr>
          <w:color w:val="231F20"/>
          <w:spacing w:val="40"/>
          <w:w w:val="105"/>
        </w:rPr>
        <w:t> </w:t>
      </w:r>
      <w:r>
        <w:rPr>
          <w:color w:val="231F20"/>
          <w:w w:val="105"/>
        </w:rPr>
        <w:t>entre</w:t>
      </w:r>
      <w:r>
        <w:rPr>
          <w:color w:val="231F20"/>
          <w:spacing w:val="40"/>
          <w:w w:val="105"/>
        </w:rPr>
        <w:t> </w:t>
      </w:r>
      <w:r>
        <w:rPr>
          <w:color w:val="231F20"/>
          <w:w w:val="105"/>
        </w:rPr>
        <w:t>1979</w:t>
      </w:r>
      <w:r>
        <w:rPr>
          <w:color w:val="231F20"/>
          <w:spacing w:val="40"/>
          <w:w w:val="105"/>
        </w:rPr>
        <w:t> </w:t>
      </w:r>
      <w:r>
        <w:rPr>
          <w:color w:val="231F20"/>
          <w:w w:val="105"/>
        </w:rPr>
        <w:t>y</w:t>
      </w:r>
      <w:r>
        <w:rPr>
          <w:color w:val="231F20"/>
          <w:spacing w:val="40"/>
          <w:w w:val="105"/>
        </w:rPr>
        <w:t> </w:t>
      </w:r>
      <w:r>
        <w:rPr>
          <w:color w:val="231F20"/>
          <w:w w:val="105"/>
        </w:rPr>
        <w:t>1989</w:t>
      </w:r>
      <w:r>
        <w:rPr>
          <w:color w:val="231F20"/>
          <w:spacing w:val="40"/>
          <w:w w:val="105"/>
        </w:rPr>
        <w:t> </w:t>
      </w:r>
      <w:r>
        <w:rPr>
          <w:color w:val="231F20"/>
          <w:w w:val="105"/>
        </w:rPr>
        <w:t>descendió</w:t>
      </w:r>
      <w:r>
        <w:rPr>
          <w:color w:val="231F20"/>
          <w:spacing w:val="40"/>
          <w:w w:val="105"/>
        </w:rPr>
        <w:t> </w:t>
      </w:r>
      <w:r>
        <w:rPr>
          <w:color w:val="231F20"/>
          <w:w w:val="105"/>
        </w:rPr>
        <w:t>al</w:t>
      </w:r>
      <w:r>
        <w:rPr>
          <w:color w:val="231F20"/>
          <w:spacing w:val="40"/>
          <w:w w:val="105"/>
        </w:rPr>
        <w:t> </w:t>
      </w:r>
      <w:r>
        <w:rPr>
          <w:color w:val="231F20"/>
          <w:w w:val="105"/>
        </w:rPr>
        <w:t>1.7%</w:t>
      </w:r>
      <w:r>
        <w:rPr>
          <w:color w:val="231F20"/>
          <w:spacing w:val="40"/>
          <w:w w:val="105"/>
        </w:rPr>
        <w:t> </w:t>
      </w:r>
      <w:r>
        <w:rPr>
          <w:color w:val="231F20"/>
          <w:w w:val="105"/>
        </w:rPr>
        <w:t>y</w:t>
      </w:r>
      <w:r>
        <w:rPr>
          <w:color w:val="231F20"/>
          <w:spacing w:val="40"/>
          <w:w w:val="105"/>
        </w:rPr>
        <w:t> </w:t>
      </w:r>
      <w:r>
        <w:rPr>
          <w:color w:val="231F20"/>
          <w:w w:val="105"/>
        </w:rPr>
        <w:t>entre</w:t>
      </w:r>
      <w:r>
        <w:rPr>
          <w:color w:val="231F20"/>
          <w:spacing w:val="40"/>
          <w:w w:val="105"/>
        </w:rPr>
        <w:t> </w:t>
      </w:r>
      <w:r>
        <w:rPr>
          <w:color w:val="231F20"/>
          <w:w w:val="105"/>
        </w:rPr>
        <w:t>1989</w:t>
      </w:r>
      <w:r>
        <w:rPr>
          <w:color w:val="231F20"/>
          <w:spacing w:val="40"/>
          <w:w w:val="105"/>
        </w:rPr>
        <w:t> </w:t>
      </w:r>
      <w:r>
        <w:rPr>
          <w:color w:val="231F20"/>
          <w:w w:val="105"/>
        </w:rPr>
        <w:t>y</w:t>
      </w:r>
      <w:r>
        <w:rPr>
          <w:color w:val="231F20"/>
          <w:w w:val="84"/>
        </w:rPr>
        <w:t> </w:t>
      </w:r>
      <w:r>
        <w:rPr>
          <w:color w:val="231F20"/>
          <w:w w:val="105"/>
        </w:rPr>
        <w:t>1994</w:t>
      </w:r>
      <w:r>
        <w:rPr>
          <w:color w:val="231F20"/>
          <w:spacing w:val="25"/>
          <w:w w:val="105"/>
        </w:rPr>
        <w:t> </w:t>
      </w:r>
      <w:r>
        <w:rPr>
          <w:color w:val="231F20"/>
          <w:w w:val="105"/>
        </w:rPr>
        <w:t>se</w:t>
      </w:r>
      <w:r>
        <w:rPr>
          <w:color w:val="231F20"/>
          <w:spacing w:val="25"/>
          <w:w w:val="105"/>
        </w:rPr>
        <w:t> </w:t>
      </w:r>
      <w:r>
        <w:rPr>
          <w:color w:val="231F20"/>
          <w:w w:val="105"/>
        </w:rPr>
        <w:t>redujo</w:t>
      </w:r>
      <w:r>
        <w:rPr>
          <w:color w:val="231F20"/>
          <w:spacing w:val="25"/>
          <w:w w:val="105"/>
        </w:rPr>
        <w:t> </w:t>
      </w:r>
      <w:r>
        <w:rPr>
          <w:color w:val="231F20"/>
          <w:w w:val="105"/>
        </w:rPr>
        <w:t>a</w:t>
      </w:r>
      <w:r>
        <w:rPr>
          <w:color w:val="231F20"/>
          <w:spacing w:val="25"/>
          <w:w w:val="105"/>
        </w:rPr>
        <w:t> </w:t>
      </w:r>
      <w:r>
        <w:rPr>
          <w:color w:val="231F20"/>
          <w:w w:val="105"/>
        </w:rPr>
        <w:t>1.2%.</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segunda</w:t>
      </w:r>
      <w:r>
        <w:rPr>
          <w:color w:val="231F20"/>
          <w:spacing w:val="25"/>
          <w:w w:val="105"/>
        </w:rPr>
        <w:t> </w:t>
      </w:r>
      <w:r>
        <w:rPr>
          <w:color w:val="231F20"/>
          <w:w w:val="105"/>
        </w:rPr>
        <w:t>mitad</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años</w:t>
      </w:r>
      <w:r>
        <w:rPr>
          <w:color w:val="231F20"/>
          <w:spacing w:val="25"/>
          <w:w w:val="105"/>
        </w:rPr>
        <w:t> </w:t>
      </w:r>
      <w:r>
        <w:rPr>
          <w:color w:val="231F20"/>
          <w:w w:val="105"/>
        </w:rPr>
        <w:t>noventa,</w:t>
      </w:r>
      <w:r>
        <w:rPr>
          <w:color w:val="231F20"/>
          <w:spacing w:val="25"/>
          <w:w w:val="105"/>
        </w:rPr>
        <w:t> </w:t>
      </w:r>
      <w:r>
        <w:rPr>
          <w:color w:val="231F20"/>
          <w:w w:val="105"/>
        </w:rPr>
        <w:t>se</w:t>
      </w:r>
      <w:r>
        <w:rPr>
          <w:color w:val="231F20"/>
          <w:w w:val="103"/>
        </w:rPr>
        <w:t> </w:t>
      </w:r>
      <w:r>
        <w:rPr>
          <w:color w:val="231F20"/>
          <w:w w:val="105"/>
        </w:rPr>
        <w:t>esfumó (Wolman y Colamosca, 2007: 87; </w:t>
      </w:r>
      <w:r>
        <w:rPr>
          <w:i/>
          <w:color w:val="231F20"/>
          <w:w w:val="105"/>
        </w:rPr>
        <w:t>The Economist</w:t>
      </w:r>
      <w:r>
        <w:rPr>
          <w:color w:val="231F20"/>
          <w:w w:val="105"/>
        </w:rPr>
        <w:t>,</w:t>
      </w:r>
      <w:r>
        <w:rPr>
          <w:color w:val="231F20"/>
          <w:spacing w:val="32"/>
          <w:w w:val="105"/>
        </w:rPr>
        <w:t> </w:t>
      </w:r>
      <w:r>
        <w:rPr>
          <w:color w:val="231F20"/>
          <w:w w:val="105"/>
        </w:rPr>
        <w:t>2001:</w:t>
      </w:r>
      <w:r>
        <w:rPr>
          <w:color w:val="231F20"/>
          <w:spacing w:val="23"/>
          <w:w w:val="105"/>
        </w:rPr>
        <w:t> </w:t>
      </w:r>
      <w:r>
        <w:rPr>
          <w:color w:val="231F20"/>
          <w:w w:val="105"/>
        </w:rPr>
        <w:t>90).</w:t>
      </w:r>
      <w:r>
        <w:rPr>
          <w:color w:val="231F20"/>
          <w:w w:val="109"/>
        </w:rPr>
        <w:t> </w:t>
      </w:r>
      <w:r>
        <w:rPr>
          <w:color w:val="231F20"/>
          <w:w w:val="105"/>
        </w:rPr>
        <w:t>Esta</w:t>
      </w:r>
      <w:r>
        <w:rPr>
          <w:color w:val="231F20"/>
          <w:spacing w:val="39"/>
          <w:w w:val="105"/>
        </w:rPr>
        <w:t> </w:t>
      </w:r>
      <w:r>
        <w:rPr>
          <w:color w:val="231F20"/>
          <w:w w:val="105"/>
        </w:rPr>
        <w:t>tendencia</w:t>
      </w:r>
      <w:r>
        <w:rPr>
          <w:color w:val="231F20"/>
          <w:spacing w:val="39"/>
          <w:w w:val="105"/>
        </w:rPr>
        <w:t> </w:t>
      </w:r>
      <w:r>
        <w:rPr>
          <w:color w:val="231F20"/>
          <w:w w:val="105"/>
        </w:rPr>
        <w:t>(con</w:t>
      </w:r>
      <w:r>
        <w:rPr>
          <w:color w:val="231F20"/>
          <w:spacing w:val="39"/>
          <w:w w:val="105"/>
        </w:rPr>
        <w:t> </w:t>
      </w:r>
      <w:r>
        <w:rPr>
          <w:color w:val="231F20"/>
          <w:w w:val="105"/>
        </w:rPr>
        <w:t>excepción</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segunda</w:t>
      </w:r>
      <w:r>
        <w:rPr>
          <w:color w:val="231F20"/>
          <w:spacing w:val="39"/>
          <w:w w:val="105"/>
        </w:rPr>
        <w:t> </w:t>
      </w:r>
      <w:r>
        <w:rPr>
          <w:color w:val="231F20"/>
          <w:w w:val="105"/>
        </w:rPr>
        <w:t>mitad</w:t>
      </w:r>
      <w:r>
        <w:rPr>
          <w:color w:val="231F20"/>
          <w:spacing w:val="39"/>
          <w:w w:val="105"/>
        </w:rPr>
        <w:t> </w:t>
      </w:r>
      <w:r>
        <w:rPr>
          <w:color w:val="231F20"/>
          <w:w w:val="105"/>
        </w:rPr>
        <w:t>de</w:t>
      </w:r>
      <w:r>
        <w:rPr>
          <w:color w:val="231F20"/>
          <w:spacing w:val="39"/>
          <w:w w:val="105"/>
        </w:rPr>
        <w:t> </w:t>
      </w:r>
      <w:r>
        <w:rPr>
          <w:color w:val="231F20"/>
          <w:w w:val="105"/>
        </w:rPr>
        <w:t>los</w:t>
      </w:r>
      <w:r>
        <w:rPr>
          <w:color w:val="231F20"/>
          <w:spacing w:val="39"/>
          <w:w w:val="105"/>
        </w:rPr>
        <w:t> </w:t>
      </w:r>
      <w:r>
        <w:rPr>
          <w:color w:val="231F20"/>
          <w:w w:val="105"/>
        </w:rPr>
        <w:t>noventa)</w:t>
      </w:r>
      <w:r>
        <w:rPr>
          <w:color w:val="231F20"/>
          <w:w w:val="112"/>
        </w:rPr>
        <w:t> </w:t>
      </w:r>
      <w:r>
        <w:rPr>
          <w:color w:val="231F20"/>
          <w:w w:val="105"/>
        </w:rPr>
        <w:t>fue mayor en Estados  Unidos,  resultando  todavía  más</w:t>
      </w:r>
      <w:r>
        <w:rPr>
          <w:color w:val="231F20"/>
          <w:spacing w:val="-1"/>
          <w:w w:val="105"/>
        </w:rPr>
        <w:t> </w:t>
      </w:r>
      <w:r>
        <w:rPr>
          <w:color w:val="231F20"/>
          <w:w w:val="105"/>
        </w:rPr>
        <w:t>dramática</w:t>
      </w:r>
      <w:r>
        <w:rPr>
          <w:color w:val="231F20"/>
          <w:spacing w:val="45"/>
          <w:w w:val="105"/>
        </w:rPr>
        <w:t> </w:t>
      </w:r>
      <w:r>
        <w:rPr>
          <w:color w:val="231F20"/>
          <w:w w:val="105"/>
        </w:rPr>
        <w:t>si</w:t>
      </w:r>
      <w:r>
        <w:rPr>
          <w:color w:val="231F20"/>
          <w:w w:val="95"/>
        </w:rPr>
        <w:t> </w:t>
      </w:r>
      <w:r>
        <w:rPr>
          <w:color w:val="231F20"/>
          <w:w w:val="105"/>
        </w:rPr>
        <w:t>se  toma  en  cuenta  que  la  depreciación  contable  fue  superior  a  </w:t>
      </w:r>
      <w:r>
        <w:rPr>
          <w:color w:val="231F20"/>
          <w:spacing w:val="9"/>
          <w:w w:val="105"/>
        </w:rPr>
        <w:t> </w:t>
      </w:r>
      <w:r>
        <w:rPr>
          <w:color w:val="231F20"/>
          <w:w w:val="105"/>
        </w:rPr>
        <w:t>la</w:t>
      </w:r>
    </w:p>
    <w:p>
      <w:pPr>
        <w:pStyle w:val="BodyText"/>
        <w:ind w:left="100" w:right="25"/>
      </w:pPr>
      <w:r>
        <w:rPr>
          <w:color w:val="231F20"/>
          <w:w w:val="110"/>
        </w:rPr>
        <w:t>sustitución física de tecnología.</w:t>
      </w:r>
    </w:p>
    <w:p>
      <w:pPr>
        <w:pStyle w:val="BodyText"/>
        <w:spacing w:line="261" w:lineRule="auto" w:before="20"/>
        <w:ind w:left="100" w:right="118" w:firstLine="240"/>
        <w:jc w:val="both"/>
      </w:pPr>
      <w:r>
        <w:rPr>
          <w:color w:val="231F20"/>
          <w:w w:val="105"/>
        </w:rPr>
        <w:t>Se llegó así, según la referida tesis, a los límites de lo posible para acortar la vida útil de la tecnología, y con ello a los límites de la propia “racionalidad” capitalista en la esfera productiva. Se observaría, como consecuencia, en el plano interno de la economía estadunidense, una controvertida tendencia hacia la especialización internacional del tra- bajo y la concentración cada vez mayor de las inversiones de capital   en las primeras fases del ciclo reproductivo, o sea, en las esferas de i+d, así como en las de los servicios, y en especial los cuaternarios, a escala  del  control</w:t>
      </w:r>
      <w:r>
        <w:rPr>
          <w:color w:val="231F20"/>
          <w:spacing w:val="44"/>
          <w:w w:val="105"/>
        </w:rPr>
        <w:t> </w:t>
      </w:r>
      <w:r>
        <w:rPr>
          <w:color w:val="231F20"/>
          <w:w w:val="105"/>
        </w:rPr>
        <w:t>planetario.</w:t>
      </w:r>
    </w:p>
    <w:p>
      <w:pPr>
        <w:pStyle w:val="BodyText"/>
        <w:spacing w:line="261" w:lineRule="auto"/>
        <w:ind w:left="100" w:right="119" w:firstLine="240"/>
        <w:jc w:val="both"/>
      </w:pPr>
      <w:r>
        <w:rPr>
          <w:color w:val="231F20"/>
          <w:w w:val="105"/>
        </w:rPr>
        <w:t>Esta especialización, sin embargo, se produciría en un entorno su- mamente contradictorio con relación a la fuerza laboral calificada 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ingenieros,</w:t>
      </w:r>
      <w:r>
        <w:rPr>
          <w:color w:val="231F20"/>
          <w:spacing w:val="-21"/>
          <w:w w:val="110"/>
        </w:rPr>
        <w:t> </w:t>
      </w:r>
      <w:r>
        <w:rPr>
          <w:color w:val="231F20"/>
          <w:w w:val="110"/>
        </w:rPr>
        <w:t>científicos</w:t>
      </w:r>
      <w:r>
        <w:rPr>
          <w:color w:val="231F20"/>
          <w:spacing w:val="-21"/>
          <w:w w:val="110"/>
        </w:rPr>
        <w:t> </w:t>
      </w:r>
      <w:r>
        <w:rPr>
          <w:color w:val="231F20"/>
          <w:w w:val="110"/>
        </w:rPr>
        <w:t>y</w:t>
      </w:r>
      <w:r>
        <w:rPr>
          <w:color w:val="231F20"/>
          <w:spacing w:val="-21"/>
          <w:w w:val="110"/>
        </w:rPr>
        <w:t> </w:t>
      </w:r>
      <w:r>
        <w:rPr>
          <w:color w:val="231F20"/>
          <w:w w:val="110"/>
        </w:rPr>
        <w:t>personal</w:t>
      </w:r>
      <w:r>
        <w:rPr>
          <w:color w:val="231F20"/>
          <w:spacing w:val="-21"/>
          <w:w w:val="110"/>
        </w:rPr>
        <w:t> </w:t>
      </w:r>
      <w:r>
        <w:rPr>
          <w:color w:val="231F20"/>
          <w:w w:val="110"/>
        </w:rPr>
        <w:t>docente</w:t>
      </w:r>
      <w:r>
        <w:rPr>
          <w:color w:val="231F20"/>
          <w:spacing w:val="-21"/>
          <w:w w:val="110"/>
        </w:rPr>
        <w:t> </w:t>
      </w:r>
      <w:r>
        <w:rPr>
          <w:color w:val="231F20"/>
          <w:w w:val="110"/>
        </w:rPr>
        <w:t>universitario,</w:t>
      </w:r>
      <w:r>
        <w:rPr>
          <w:color w:val="231F20"/>
          <w:spacing w:val="-21"/>
          <w:w w:val="110"/>
        </w:rPr>
        <w:t> </w:t>
      </w:r>
      <w:r>
        <w:rPr>
          <w:color w:val="231F20"/>
          <w:w w:val="110"/>
        </w:rPr>
        <w:t>observándose una fuerte tendencia hacia la pérdida del atractivo de las</w:t>
      </w:r>
      <w:r>
        <w:rPr>
          <w:color w:val="231F20"/>
          <w:spacing w:val="-19"/>
          <w:w w:val="110"/>
        </w:rPr>
        <w:t> </w:t>
      </w:r>
      <w:r>
        <w:rPr>
          <w:color w:val="231F20"/>
          <w:w w:val="110"/>
        </w:rPr>
        <w:t>profesiones de</w:t>
      </w:r>
      <w:r>
        <w:rPr>
          <w:color w:val="231F20"/>
          <w:spacing w:val="-11"/>
          <w:w w:val="110"/>
        </w:rPr>
        <w:t> </w:t>
      </w:r>
      <w:r>
        <w:rPr>
          <w:color w:val="231F20"/>
          <w:w w:val="110"/>
        </w:rPr>
        <w:t>cuello</w:t>
      </w:r>
      <w:r>
        <w:rPr>
          <w:color w:val="231F20"/>
          <w:spacing w:val="-11"/>
          <w:w w:val="110"/>
        </w:rPr>
        <w:t> </w:t>
      </w:r>
      <w:r>
        <w:rPr>
          <w:color w:val="231F20"/>
          <w:w w:val="110"/>
        </w:rPr>
        <w:t>blanco</w:t>
      </w:r>
      <w:r>
        <w:rPr>
          <w:color w:val="231F20"/>
          <w:spacing w:val="-11"/>
          <w:w w:val="110"/>
        </w:rPr>
        <w:t> </w:t>
      </w:r>
      <w:r>
        <w:rPr>
          <w:color w:val="231F20"/>
          <w:w w:val="110"/>
        </w:rPr>
        <w:t>por</w:t>
      </w:r>
      <w:r>
        <w:rPr>
          <w:color w:val="231F20"/>
          <w:spacing w:val="-11"/>
          <w:w w:val="110"/>
        </w:rPr>
        <w:t> </w:t>
      </w:r>
      <w:r>
        <w:rPr>
          <w:color w:val="231F20"/>
          <w:w w:val="110"/>
        </w:rPr>
        <w:t>parte</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nuevas</w:t>
      </w:r>
      <w:r>
        <w:rPr>
          <w:color w:val="231F20"/>
          <w:spacing w:val="-11"/>
          <w:w w:val="110"/>
        </w:rPr>
        <w:t> </w:t>
      </w:r>
      <w:r>
        <w:rPr>
          <w:color w:val="231F20"/>
          <w:w w:val="110"/>
        </w:rPr>
        <w:t>generaciones</w:t>
      </w:r>
      <w:r>
        <w:rPr>
          <w:color w:val="231F20"/>
          <w:spacing w:val="-11"/>
          <w:w w:val="110"/>
        </w:rPr>
        <w:t> </w:t>
      </w:r>
      <w:r>
        <w:rPr>
          <w:color w:val="231F20"/>
          <w:w w:val="110"/>
        </w:rPr>
        <w:t>estadunidenses </w:t>
      </w:r>
      <w:r>
        <w:rPr>
          <w:color w:val="231F20"/>
          <w:spacing w:val="-8"/>
          <w:w w:val="110"/>
        </w:rPr>
        <w:t>y, </w:t>
      </w:r>
      <w:r>
        <w:rPr>
          <w:color w:val="231F20"/>
          <w:w w:val="110"/>
        </w:rPr>
        <w:t>por lo tanto, el drástico envejecimiento de la composición etárea para</w:t>
      </w:r>
      <w:r>
        <w:rPr>
          <w:color w:val="231F20"/>
          <w:spacing w:val="-20"/>
          <w:w w:val="110"/>
        </w:rPr>
        <w:t> </w:t>
      </w:r>
      <w:r>
        <w:rPr>
          <w:color w:val="231F20"/>
          <w:w w:val="110"/>
        </w:rPr>
        <w:t>las</w:t>
      </w:r>
      <w:r>
        <w:rPr>
          <w:color w:val="231F20"/>
          <w:spacing w:val="-20"/>
          <w:w w:val="110"/>
        </w:rPr>
        <w:t> </w:t>
      </w:r>
      <w:r>
        <w:rPr>
          <w:color w:val="231F20"/>
          <w:w w:val="110"/>
        </w:rPr>
        <w:t>más</w:t>
      </w:r>
      <w:r>
        <w:rPr>
          <w:color w:val="231F20"/>
          <w:spacing w:val="-20"/>
          <w:w w:val="110"/>
        </w:rPr>
        <w:t> </w:t>
      </w:r>
      <w:r>
        <w:rPr>
          <w:color w:val="231F20"/>
          <w:w w:val="110"/>
        </w:rPr>
        <w:t>variadas</w:t>
      </w:r>
      <w:r>
        <w:rPr>
          <w:color w:val="231F20"/>
          <w:spacing w:val="-20"/>
          <w:w w:val="110"/>
        </w:rPr>
        <w:t> </w:t>
      </w:r>
      <w:r>
        <w:rPr>
          <w:color w:val="231F20"/>
          <w:w w:val="110"/>
        </w:rPr>
        <w:t>especialidades</w:t>
      </w:r>
      <w:r>
        <w:rPr>
          <w:color w:val="231F20"/>
          <w:spacing w:val="-20"/>
          <w:w w:val="110"/>
        </w:rPr>
        <w:t> </w:t>
      </w:r>
      <w:r>
        <w:rPr>
          <w:color w:val="231F20"/>
          <w:w w:val="110"/>
        </w:rPr>
        <w:t>académicas.</w:t>
      </w:r>
      <w:r>
        <w:rPr>
          <w:color w:val="231F20"/>
          <w:spacing w:val="-20"/>
          <w:w w:val="110"/>
        </w:rPr>
        <w:t> </w:t>
      </w:r>
      <w:r>
        <w:rPr>
          <w:color w:val="231F20"/>
          <w:w w:val="110"/>
        </w:rPr>
        <w:t>En</w:t>
      </w:r>
      <w:r>
        <w:rPr>
          <w:color w:val="231F20"/>
          <w:spacing w:val="-20"/>
          <w:w w:val="110"/>
        </w:rPr>
        <w:t> </w:t>
      </w:r>
      <w:r>
        <w:rPr>
          <w:color w:val="231F20"/>
          <w:w w:val="110"/>
        </w:rPr>
        <w:t>consecuencia,</w:t>
      </w:r>
      <w:r>
        <w:rPr>
          <w:color w:val="231F20"/>
          <w:spacing w:val="-20"/>
          <w:w w:val="110"/>
        </w:rPr>
        <w:t> </w:t>
      </w:r>
      <w:r>
        <w:rPr>
          <w:color w:val="231F20"/>
          <w:w w:val="110"/>
        </w:rPr>
        <w:t>su creciente sustitución por extranjeros, ya fueran éstos graduados en Estados</w:t>
      </w:r>
      <w:r>
        <w:rPr>
          <w:color w:val="231F20"/>
          <w:spacing w:val="-12"/>
          <w:w w:val="110"/>
        </w:rPr>
        <w:t> </w:t>
      </w:r>
      <w:r>
        <w:rPr>
          <w:color w:val="231F20"/>
          <w:w w:val="110"/>
        </w:rPr>
        <w:t>Unidos</w:t>
      </w:r>
      <w:r>
        <w:rPr>
          <w:color w:val="231F20"/>
          <w:spacing w:val="-12"/>
          <w:w w:val="110"/>
        </w:rPr>
        <w:t> </w:t>
      </w:r>
      <w:r>
        <w:rPr>
          <w:color w:val="231F20"/>
          <w:w w:val="110"/>
        </w:rPr>
        <w:t>que</w:t>
      </w:r>
      <w:r>
        <w:rPr>
          <w:color w:val="231F20"/>
          <w:spacing w:val="-12"/>
          <w:w w:val="110"/>
        </w:rPr>
        <w:t> </w:t>
      </w:r>
      <w:r>
        <w:rPr>
          <w:color w:val="231F20"/>
          <w:w w:val="110"/>
        </w:rPr>
        <w:t>decidieran</w:t>
      </w:r>
      <w:r>
        <w:rPr>
          <w:color w:val="231F20"/>
          <w:spacing w:val="-12"/>
          <w:w w:val="110"/>
        </w:rPr>
        <w:t> </w:t>
      </w:r>
      <w:r>
        <w:rPr>
          <w:color w:val="231F20"/>
          <w:w w:val="110"/>
        </w:rPr>
        <w:t>quedarse</w:t>
      </w:r>
      <w:r>
        <w:rPr>
          <w:color w:val="231F20"/>
          <w:spacing w:val="-12"/>
          <w:w w:val="110"/>
        </w:rPr>
        <w:t> </w:t>
      </w:r>
      <w:r>
        <w:rPr>
          <w:color w:val="231F20"/>
          <w:w w:val="110"/>
        </w:rPr>
        <w:t>(según</w:t>
      </w:r>
      <w:r>
        <w:rPr>
          <w:color w:val="231F20"/>
          <w:spacing w:val="-12"/>
          <w:w w:val="110"/>
        </w:rPr>
        <w:t> </w:t>
      </w:r>
      <w:r>
        <w:rPr>
          <w:color w:val="231F20"/>
          <w:w w:val="110"/>
        </w:rPr>
        <w:t>especialidades,</w:t>
      </w:r>
      <w:r>
        <w:rPr>
          <w:color w:val="231F20"/>
          <w:spacing w:val="-12"/>
          <w:w w:val="110"/>
        </w:rPr>
        <w:t> </w:t>
      </w:r>
      <w:r>
        <w:rPr>
          <w:color w:val="231F20"/>
          <w:w w:val="110"/>
        </w:rPr>
        <w:t>entre 40</w:t>
      </w:r>
      <w:r>
        <w:rPr>
          <w:color w:val="231F20"/>
          <w:spacing w:val="-9"/>
          <w:w w:val="110"/>
        </w:rPr>
        <w:t> </w:t>
      </w:r>
      <w:r>
        <w:rPr>
          <w:color w:val="231F20"/>
          <w:w w:val="110"/>
        </w:rPr>
        <w:t>y</w:t>
      </w:r>
      <w:r>
        <w:rPr>
          <w:color w:val="231F20"/>
          <w:spacing w:val="-9"/>
          <w:w w:val="110"/>
        </w:rPr>
        <w:t> </w:t>
      </w:r>
      <w:r>
        <w:rPr>
          <w:color w:val="231F20"/>
          <w:w w:val="110"/>
        </w:rPr>
        <w:t>70%)</w:t>
      </w:r>
      <w:r>
        <w:rPr>
          <w:color w:val="231F20"/>
          <w:spacing w:val="-9"/>
          <w:w w:val="110"/>
        </w:rPr>
        <w:t> </w:t>
      </w:r>
      <w:r>
        <w:rPr>
          <w:color w:val="231F20"/>
          <w:w w:val="110"/>
        </w:rPr>
        <w:t>o</w:t>
      </w:r>
      <w:r>
        <w:rPr>
          <w:color w:val="231F20"/>
          <w:spacing w:val="-9"/>
          <w:w w:val="110"/>
        </w:rPr>
        <w:t> </w:t>
      </w:r>
      <w:r>
        <w:rPr>
          <w:color w:val="231F20"/>
          <w:w w:val="110"/>
        </w:rPr>
        <w:t>inmigrantes.</w:t>
      </w:r>
      <w:r>
        <w:rPr>
          <w:color w:val="231F20"/>
          <w:spacing w:val="-9"/>
          <w:w w:val="110"/>
        </w:rPr>
        <w:t> </w:t>
      </w:r>
      <w:r>
        <w:rPr>
          <w:color w:val="231F20"/>
          <w:w w:val="110"/>
        </w:rPr>
        <w:t>Al</w:t>
      </w:r>
      <w:r>
        <w:rPr>
          <w:color w:val="231F20"/>
          <w:spacing w:val="-9"/>
          <w:w w:val="110"/>
        </w:rPr>
        <w:t> </w:t>
      </w:r>
      <w:r>
        <w:rPr>
          <w:color w:val="231F20"/>
          <w:w w:val="110"/>
        </w:rPr>
        <w:t>respecto</w:t>
      </w:r>
      <w:r>
        <w:rPr>
          <w:color w:val="231F20"/>
          <w:spacing w:val="-9"/>
          <w:w w:val="110"/>
        </w:rPr>
        <w:t> </w:t>
      </w:r>
      <w:r>
        <w:rPr>
          <w:color w:val="231F20"/>
          <w:w w:val="110"/>
        </w:rPr>
        <w:t>son</w:t>
      </w:r>
      <w:r>
        <w:rPr>
          <w:color w:val="231F20"/>
          <w:spacing w:val="-9"/>
          <w:w w:val="110"/>
        </w:rPr>
        <w:t> </w:t>
      </w:r>
      <w:r>
        <w:rPr>
          <w:color w:val="231F20"/>
          <w:w w:val="110"/>
        </w:rPr>
        <w:t>reveladoras</w:t>
      </w:r>
      <w:r>
        <w:rPr>
          <w:color w:val="231F20"/>
          <w:spacing w:val="-9"/>
          <w:w w:val="110"/>
        </w:rPr>
        <w:t> </w:t>
      </w:r>
      <w:r>
        <w:rPr>
          <w:color w:val="231F20"/>
          <w:w w:val="110"/>
        </w:rPr>
        <w:t>las</w:t>
      </w:r>
      <w:r>
        <w:rPr>
          <w:color w:val="231F20"/>
          <w:spacing w:val="-9"/>
          <w:w w:val="110"/>
        </w:rPr>
        <w:t> </w:t>
      </w:r>
      <w:r>
        <w:rPr>
          <w:color w:val="231F20"/>
          <w:w w:val="110"/>
        </w:rPr>
        <w:t>estadísticas que testimonian acerca de la extranjerización de las élites</w:t>
      </w:r>
      <w:r>
        <w:rPr>
          <w:color w:val="231F20"/>
          <w:spacing w:val="-8"/>
          <w:w w:val="110"/>
        </w:rPr>
        <w:t> </w:t>
      </w:r>
      <w:r>
        <w:rPr>
          <w:color w:val="231F20"/>
          <w:w w:val="110"/>
        </w:rPr>
        <w:t>científicas y docentes durante el decenio 1990-2000 a nivel de doctorado, a saber: en plazas ingenieriles, de 40 a 53%; en ciencias físicas, de 27 a 45%; en ciencias matemáticas y de computación, de 29 a 45%; en ciencias de la vida, de 25 a 45% </w:t>
      </w:r>
      <w:r>
        <w:rPr>
          <w:color w:val="231F20"/>
          <w:spacing w:val="-8"/>
          <w:w w:val="110"/>
        </w:rPr>
        <w:t>y, </w:t>
      </w:r>
      <w:r>
        <w:rPr>
          <w:color w:val="231F20"/>
          <w:w w:val="110"/>
        </w:rPr>
        <w:t>en términos generales, de 23 a 35% (nsb,</w:t>
      </w:r>
      <w:r>
        <w:rPr>
          <w:color w:val="231F20"/>
          <w:spacing w:val="20"/>
          <w:w w:val="110"/>
        </w:rPr>
        <w:t> </w:t>
      </w:r>
      <w:r>
        <w:rPr>
          <w:color w:val="231F20"/>
          <w:w w:val="110"/>
        </w:rPr>
        <w:t>2004).</w:t>
      </w:r>
    </w:p>
    <w:p>
      <w:pPr>
        <w:pStyle w:val="BodyText"/>
        <w:spacing w:line="261" w:lineRule="auto"/>
        <w:ind w:left="100" w:right="117" w:firstLine="240"/>
        <w:jc w:val="both"/>
      </w:pPr>
      <w:r>
        <w:rPr>
          <w:color w:val="231F20"/>
          <w:w w:val="110"/>
        </w:rPr>
        <w:t>Refiriéndose a las carreras universitarias de tecnología de infor- mación y comunicaciones (tic), es reveladora la preocupación de Bill Gates, ex presidente de Microsoft, acerca del abandono de su popularidad</w:t>
      </w:r>
      <w:r>
        <w:rPr>
          <w:color w:val="231F20"/>
          <w:spacing w:val="-11"/>
          <w:w w:val="110"/>
        </w:rPr>
        <w:t> </w:t>
      </w:r>
      <w:r>
        <w:rPr>
          <w:color w:val="231F20"/>
          <w:w w:val="110"/>
        </w:rPr>
        <w:t>en</w:t>
      </w:r>
      <w:r>
        <w:rPr>
          <w:color w:val="231F20"/>
          <w:spacing w:val="-11"/>
          <w:w w:val="110"/>
        </w:rPr>
        <w:t> </w:t>
      </w:r>
      <w:r>
        <w:rPr>
          <w:color w:val="231F20"/>
          <w:w w:val="110"/>
        </w:rPr>
        <w:t>más</w:t>
      </w:r>
      <w:r>
        <w:rPr>
          <w:color w:val="231F20"/>
          <w:spacing w:val="-11"/>
          <w:w w:val="110"/>
        </w:rPr>
        <w:t> </w:t>
      </w:r>
      <w:r>
        <w:rPr>
          <w:color w:val="231F20"/>
          <w:w w:val="110"/>
        </w:rPr>
        <w:t>de</w:t>
      </w:r>
      <w:r>
        <w:rPr>
          <w:color w:val="231F20"/>
          <w:spacing w:val="-11"/>
          <w:w w:val="110"/>
        </w:rPr>
        <w:t> </w:t>
      </w:r>
      <w:r>
        <w:rPr>
          <w:color w:val="231F20"/>
          <w:w w:val="110"/>
        </w:rPr>
        <w:t>60%,</w:t>
      </w:r>
      <w:r>
        <w:rPr>
          <w:color w:val="231F20"/>
          <w:spacing w:val="-11"/>
          <w:w w:val="110"/>
        </w:rPr>
        <w:t> </w:t>
      </w:r>
      <w:r>
        <w:rPr>
          <w:color w:val="231F20"/>
          <w:w w:val="110"/>
        </w:rPr>
        <w:t>entre</w:t>
      </w:r>
      <w:r>
        <w:rPr>
          <w:color w:val="231F20"/>
          <w:spacing w:val="-11"/>
          <w:w w:val="110"/>
        </w:rPr>
        <w:t> </w:t>
      </w:r>
      <w:r>
        <w:rPr>
          <w:color w:val="231F20"/>
          <w:w w:val="110"/>
        </w:rPr>
        <w:t>el</w:t>
      </w:r>
      <w:r>
        <w:rPr>
          <w:color w:val="231F20"/>
          <w:spacing w:val="-11"/>
          <w:w w:val="110"/>
        </w:rPr>
        <w:t> </w:t>
      </w:r>
      <w:r>
        <w:rPr>
          <w:color w:val="231F20"/>
          <w:w w:val="110"/>
        </w:rPr>
        <w:t>año</w:t>
      </w:r>
      <w:r>
        <w:rPr>
          <w:color w:val="231F20"/>
          <w:spacing w:val="-11"/>
          <w:w w:val="110"/>
        </w:rPr>
        <w:t> </w:t>
      </w:r>
      <w:r>
        <w:rPr>
          <w:color w:val="231F20"/>
          <w:w w:val="110"/>
        </w:rPr>
        <w:t>2000</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2004,</w:t>
      </w:r>
      <w:r>
        <w:rPr>
          <w:color w:val="231F20"/>
          <w:spacing w:val="-11"/>
          <w:w w:val="110"/>
        </w:rPr>
        <w:t> </w:t>
      </w:r>
      <w:r>
        <w:rPr>
          <w:color w:val="231F20"/>
          <w:w w:val="110"/>
        </w:rPr>
        <w:t>las</w:t>
      </w:r>
      <w:r>
        <w:rPr>
          <w:color w:val="231F20"/>
          <w:spacing w:val="-11"/>
          <w:w w:val="110"/>
        </w:rPr>
        <w:t> </w:t>
      </w:r>
      <w:r>
        <w:rPr>
          <w:color w:val="231F20"/>
          <w:w w:val="110"/>
        </w:rPr>
        <w:t>que</w:t>
      </w:r>
      <w:r>
        <w:rPr>
          <w:color w:val="231F20"/>
          <w:spacing w:val="-11"/>
          <w:w w:val="110"/>
        </w:rPr>
        <w:t> </w:t>
      </w:r>
      <w:r>
        <w:rPr>
          <w:color w:val="231F20"/>
          <w:w w:val="110"/>
        </w:rPr>
        <w:t>lide- raban</w:t>
      </w:r>
      <w:r>
        <w:rPr>
          <w:color w:val="231F20"/>
          <w:spacing w:val="-10"/>
          <w:w w:val="110"/>
        </w:rPr>
        <w:t> </w:t>
      </w:r>
      <w:r>
        <w:rPr>
          <w:color w:val="231F20"/>
          <w:w w:val="110"/>
        </w:rPr>
        <w:t>hasta</w:t>
      </w:r>
      <w:r>
        <w:rPr>
          <w:color w:val="231F20"/>
          <w:spacing w:val="-10"/>
          <w:w w:val="110"/>
        </w:rPr>
        <w:t> </w:t>
      </w:r>
      <w:r>
        <w:rPr>
          <w:color w:val="231F20"/>
          <w:w w:val="110"/>
        </w:rPr>
        <w:t>entonces</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expectativas</w:t>
      </w:r>
      <w:r>
        <w:rPr>
          <w:color w:val="231F20"/>
          <w:spacing w:val="-10"/>
          <w:w w:val="110"/>
        </w:rPr>
        <w:t> </w:t>
      </w:r>
      <w:r>
        <w:rPr>
          <w:color w:val="231F20"/>
          <w:w w:val="110"/>
        </w:rPr>
        <w:t>estudiantiles</w:t>
      </w:r>
      <w:r>
        <w:rPr>
          <w:color w:val="231F20"/>
          <w:spacing w:val="-10"/>
          <w:w w:val="110"/>
        </w:rPr>
        <w:t> </w:t>
      </w:r>
      <w:r>
        <w:rPr>
          <w:color w:val="231F20"/>
          <w:w w:val="110"/>
        </w:rPr>
        <w:t>y</w:t>
      </w:r>
      <w:r>
        <w:rPr>
          <w:color w:val="231F20"/>
          <w:spacing w:val="-10"/>
          <w:w w:val="110"/>
        </w:rPr>
        <w:t> </w:t>
      </w:r>
      <w:r>
        <w:rPr>
          <w:color w:val="231F20"/>
          <w:w w:val="110"/>
        </w:rPr>
        <w:t>concentraban los</w:t>
      </w:r>
      <w:r>
        <w:rPr>
          <w:color w:val="231F20"/>
          <w:spacing w:val="-20"/>
          <w:w w:val="110"/>
        </w:rPr>
        <w:t> </w:t>
      </w:r>
      <w:r>
        <w:rPr>
          <w:color w:val="231F20"/>
          <w:w w:val="110"/>
        </w:rPr>
        <w:t>mayores</w:t>
      </w:r>
      <w:r>
        <w:rPr>
          <w:color w:val="231F20"/>
          <w:spacing w:val="-20"/>
          <w:w w:val="110"/>
        </w:rPr>
        <w:t> </w:t>
      </w:r>
      <w:r>
        <w:rPr>
          <w:color w:val="231F20"/>
          <w:w w:val="110"/>
        </w:rPr>
        <w:t>índices</w:t>
      </w:r>
      <w:r>
        <w:rPr>
          <w:color w:val="231F20"/>
          <w:spacing w:val="-20"/>
          <w:w w:val="110"/>
        </w:rPr>
        <w:t> </w:t>
      </w:r>
      <w:r>
        <w:rPr>
          <w:color w:val="231F20"/>
          <w:w w:val="110"/>
        </w:rPr>
        <w:t>matriculares;</w:t>
      </w:r>
      <w:r>
        <w:rPr>
          <w:color w:val="231F20"/>
          <w:spacing w:val="-20"/>
          <w:w w:val="110"/>
        </w:rPr>
        <w:t> </w:t>
      </w:r>
      <w:r>
        <w:rPr>
          <w:color w:val="231F20"/>
          <w:spacing w:val="-9"/>
          <w:w w:val="110"/>
        </w:rPr>
        <w:t>y,</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vez,</w:t>
      </w:r>
      <w:r>
        <w:rPr>
          <w:color w:val="231F20"/>
          <w:spacing w:val="-20"/>
          <w:w w:val="110"/>
        </w:rPr>
        <w:t> </w:t>
      </w:r>
      <w:r>
        <w:rPr>
          <w:color w:val="231F20"/>
          <w:w w:val="110"/>
        </w:rPr>
        <w:t>su</w:t>
      </w:r>
      <w:r>
        <w:rPr>
          <w:color w:val="231F20"/>
          <w:spacing w:val="-20"/>
          <w:w w:val="110"/>
        </w:rPr>
        <w:t> </w:t>
      </w:r>
      <w:r>
        <w:rPr>
          <w:color w:val="231F20"/>
          <w:w w:val="110"/>
        </w:rPr>
        <w:t>reiterado</w:t>
      </w:r>
      <w:r>
        <w:rPr>
          <w:color w:val="231F20"/>
          <w:spacing w:val="-20"/>
          <w:w w:val="110"/>
        </w:rPr>
        <w:t> </w:t>
      </w:r>
      <w:r>
        <w:rPr>
          <w:color w:val="231F20"/>
          <w:w w:val="110"/>
        </w:rPr>
        <w:t>llamado</w:t>
      </w:r>
      <w:r>
        <w:rPr>
          <w:color w:val="231F20"/>
          <w:spacing w:val="-20"/>
          <w:w w:val="110"/>
        </w:rPr>
        <w:t> </w:t>
      </w:r>
      <w:r>
        <w:rPr>
          <w:color w:val="231F20"/>
          <w:w w:val="110"/>
        </w:rPr>
        <w:t>a</w:t>
      </w:r>
      <w:r>
        <w:rPr>
          <w:color w:val="231F20"/>
          <w:spacing w:val="-20"/>
          <w:w w:val="110"/>
        </w:rPr>
        <w:t> </w:t>
      </w:r>
      <w:r>
        <w:rPr>
          <w:color w:val="231F20"/>
          <w:spacing w:val="-2"/>
          <w:w w:val="110"/>
        </w:rPr>
        <w:t>los </w:t>
      </w:r>
      <w:r>
        <w:rPr>
          <w:color w:val="231F20"/>
          <w:w w:val="110"/>
        </w:rPr>
        <w:t>legisladores</w:t>
      </w:r>
      <w:r>
        <w:rPr>
          <w:color w:val="231F20"/>
          <w:spacing w:val="-9"/>
          <w:w w:val="110"/>
        </w:rPr>
        <w:t> </w:t>
      </w:r>
      <w:r>
        <w:rPr>
          <w:color w:val="231F20"/>
          <w:w w:val="110"/>
        </w:rPr>
        <w:t>estadunidenses</w:t>
      </w:r>
      <w:r>
        <w:rPr>
          <w:color w:val="231F20"/>
          <w:spacing w:val="-9"/>
          <w:w w:val="110"/>
        </w:rPr>
        <w:t> </w:t>
      </w:r>
      <w:r>
        <w:rPr>
          <w:color w:val="231F20"/>
          <w:w w:val="110"/>
        </w:rPr>
        <w:t>para</w:t>
      </w:r>
      <w:r>
        <w:rPr>
          <w:color w:val="231F20"/>
          <w:spacing w:val="-9"/>
          <w:w w:val="110"/>
        </w:rPr>
        <w:t> </w:t>
      </w:r>
      <w:r>
        <w:rPr>
          <w:color w:val="231F20"/>
          <w:w w:val="110"/>
        </w:rPr>
        <w:t>facilitar</w:t>
      </w:r>
      <w:r>
        <w:rPr>
          <w:color w:val="231F20"/>
          <w:spacing w:val="-9"/>
          <w:w w:val="110"/>
        </w:rPr>
        <w:t> </w:t>
      </w:r>
      <w:r>
        <w:rPr>
          <w:color w:val="231F20"/>
          <w:w w:val="110"/>
        </w:rPr>
        <w:t>los</w:t>
      </w:r>
      <w:r>
        <w:rPr>
          <w:color w:val="231F20"/>
          <w:spacing w:val="-9"/>
          <w:w w:val="110"/>
        </w:rPr>
        <w:t> </w:t>
      </w:r>
      <w:r>
        <w:rPr>
          <w:color w:val="231F20"/>
          <w:w w:val="110"/>
        </w:rPr>
        <w:t>trámites</w:t>
      </w:r>
      <w:r>
        <w:rPr>
          <w:color w:val="231F20"/>
          <w:spacing w:val="-9"/>
          <w:w w:val="110"/>
        </w:rPr>
        <w:t> </w:t>
      </w:r>
      <w:r>
        <w:rPr>
          <w:color w:val="231F20"/>
          <w:w w:val="110"/>
        </w:rPr>
        <w:t>de</w:t>
      </w:r>
      <w:r>
        <w:rPr>
          <w:color w:val="231F20"/>
          <w:spacing w:val="-9"/>
          <w:w w:val="110"/>
        </w:rPr>
        <w:t> </w:t>
      </w:r>
      <w:r>
        <w:rPr>
          <w:color w:val="231F20"/>
          <w:w w:val="110"/>
        </w:rPr>
        <w:t>inmigración a los especialistas extranjeros que desearan trabajar en esta esfera,</w:t>
      </w:r>
      <w:r>
        <w:rPr>
          <w:color w:val="231F20"/>
          <w:spacing w:val="-37"/>
          <w:w w:val="110"/>
        </w:rPr>
        <w:t> </w:t>
      </w:r>
      <w:r>
        <w:rPr>
          <w:color w:val="231F20"/>
          <w:w w:val="110"/>
        </w:rPr>
        <w:t>o, de</w:t>
      </w:r>
      <w:r>
        <w:rPr>
          <w:color w:val="231F20"/>
          <w:spacing w:val="-11"/>
          <w:w w:val="110"/>
        </w:rPr>
        <w:t> </w:t>
      </w:r>
      <w:r>
        <w:rPr>
          <w:color w:val="231F20"/>
          <w:w w:val="110"/>
        </w:rPr>
        <w:t>lo</w:t>
      </w:r>
      <w:r>
        <w:rPr>
          <w:color w:val="231F20"/>
          <w:spacing w:val="-11"/>
          <w:w w:val="110"/>
        </w:rPr>
        <w:t> </w:t>
      </w:r>
      <w:r>
        <w:rPr>
          <w:color w:val="231F20"/>
          <w:w w:val="110"/>
        </w:rPr>
        <w:t>contrario,</w:t>
      </w:r>
      <w:r>
        <w:rPr>
          <w:color w:val="231F20"/>
          <w:spacing w:val="-11"/>
          <w:w w:val="110"/>
        </w:rPr>
        <w:t> </w:t>
      </w:r>
      <w:r>
        <w:rPr>
          <w:color w:val="231F20"/>
          <w:w w:val="110"/>
        </w:rPr>
        <w:t>instalarse</w:t>
      </w:r>
      <w:r>
        <w:rPr>
          <w:color w:val="231F20"/>
          <w:spacing w:val="-11"/>
          <w:w w:val="110"/>
        </w:rPr>
        <w:t> </w:t>
      </w:r>
      <w:r>
        <w:rPr>
          <w:color w:val="231F20"/>
          <w:w w:val="110"/>
        </w:rPr>
        <w:t>con</w:t>
      </w:r>
      <w:r>
        <w:rPr>
          <w:color w:val="231F20"/>
          <w:spacing w:val="-11"/>
          <w:w w:val="110"/>
        </w:rPr>
        <w:t> </w:t>
      </w:r>
      <w:r>
        <w:rPr>
          <w:color w:val="231F20"/>
          <w:w w:val="110"/>
        </w:rPr>
        <w:t>sus</w:t>
      </w:r>
      <w:r>
        <w:rPr>
          <w:color w:val="231F20"/>
          <w:spacing w:val="-11"/>
          <w:w w:val="110"/>
        </w:rPr>
        <w:t> </w:t>
      </w:r>
      <w:r>
        <w:rPr>
          <w:color w:val="231F20"/>
          <w:w w:val="110"/>
        </w:rPr>
        <w:t>empresas</w:t>
      </w:r>
      <w:r>
        <w:rPr>
          <w:color w:val="231F20"/>
          <w:spacing w:val="-12"/>
          <w:w w:val="110"/>
        </w:rPr>
        <w:t> </w:t>
      </w:r>
      <w:r>
        <w:rPr>
          <w:i/>
          <w:color w:val="231F20"/>
          <w:w w:val="110"/>
        </w:rPr>
        <w:t>off</w:t>
      </w:r>
      <w:r>
        <w:rPr>
          <w:i/>
          <w:color w:val="231F20"/>
          <w:spacing w:val="-11"/>
          <w:w w:val="110"/>
        </w:rPr>
        <w:t> </w:t>
      </w:r>
      <w:r>
        <w:rPr>
          <w:i/>
          <w:color w:val="231F20"/>
          <w:w w:val="110"/>
        </w:rPr>
        <w:t>shore</w:t>
      </w:r>
      <w:r>
        <w:rPr>
          <w:color w:val="231F20"/>
          <w:w w:val="110"/>
        </w:rPr>
        <w:t>.</w:t>
      </w:r>
    </w:p>
    <w:p>
      <w:pPr>
        <w:pStyle w:val="BodyText"/>
        <w:spacing w:line="261" w:lineRule="auto"/>
        <w:ind w:left="100" w:right="117" w:firstLine="240"/>
        <w:jc w:val="both"/>
      </w:pPr>
      <w:r>
        <w:rPr>
          <w:color w:val="231F20"/>
          <w:w w:val="110"/>
        </w:rPr>
        <w:t>El advenimiento de la recesión estadunidense, en 2001, puso fin al idilio entre un sostenido crecimiento y la supuesta desaparición   o atenuación regulada del ciclo económico capitalista, confirmando una vez más la naturaleza cíclica de ese modo de producción, ahora a</w:t>
      </w:r>
      <w:r>
        <w:rPr>
          <w:color w:val="231F20"/>
          <w:spacing w:val="-6"/>
          <w:w w:val="110"/>
        </w:rPr>
        <w:t> </w:t>
      </w:r>
      <w:r>
        <w:rPr>
          <w:color w:val="231F20"/>
          <w:w w:val="110"/>
        </w:rPr>
        <w:t>niveles</w:t>
      </w:r>
      <w:r>
        <w:rPr>
          <w:color w:val="231F20"/>
          <w:spacing w:val="-6"/>
          <w:w w:val="110"/>
        </w:rPr>
        <w:t> </w:t>
      </w:r>
      <w:r>
        <w:rPr>
          <w:color w:val="231F20"/>
          <w:w w:val="110"/>
        </w:rPr>
        <w:t>sincrónicos</w:t>
      </w:r>
      <w:r>
        <w:rPr>
          <w:color w:val="231F20"/>
          <w:spacing w:val="-6"/>
          <w:w w:val="110"/>
        </w:rPr>
        <w:t> </w:t>
      </w:r>
      <w:r>
        <w:rPr>
          <w:color w:val="231F20"/>
          <w:w w:val="110"/>
        </w:rPr>
        <w:t>planetarios;</w:t>
      </w:r>
      <w:r>
        <w:rPr>
          <w:color w:val="231F20"/>
          <w:spacing w:val="-6"/>
          <w:w w:val="110"/>
        </w:rPr>
        <w:t> </w:t>
      </w:r>
      <w:r>
        <w:rPr>
          <w:color w:val="231F20"/>
          <w:w w:val="110"/>
        </w:rPr>
        <w:t>y</w:t>
      </w:r>
      <w:r>
        <w:rPr>
          <w:color w:val="231F20"/>
          <w:spacing w:val="-6"/>
          <w:w w:val="110"/>
        </w:rPr>
        <w:t> </w:t>
      </w:r>
      <w:r>
        <w:rPr>
          <w:color w:val="231F20"/>
          <w:w w:val="110"/>
        </w:rPr>
        <w:t>también</w:t>
      </w:r>
      <w:r>
        <w:rPr>
          <w:color w:val="231F20"/>
          <w:spacing w:val="-6"/>
          <w:w w:val="110"/>
        </w:rPr>
        <w:t> </w:t>
      </w:r>
      <w:r>
        <w:rPr>
          <w:color w:val="231F20"/>
          <w:w w:val="110"/>
        </w:rPr>
        <w:t>puso</w:t>
      </w:r>
      <w:r>
        <w:rPr>
          <w:color w:val="231F20"/>
          <w:spacing w:val="-6"/>
          <w:w w:val="110"/>
        </w:rPr>
        <w:t> </w:t>
      </w:r>
      <w:r>
        <w:rPr>
          <w:color w:val="231F20"/>
          <w:w w:val="110"/>
        </w:rPr>
        <w:t>en</w:t>
      </w:r>
      <w:r>
        <w:rPr>
          <w:color w:val="231F20"/>
          <w:spacing w:val="-6"/>
          <w:w w:val="110"/>
        </w:rPr>
        <w:t> </w:t>
      </w:r>
      <w:r>
        <w:rPr>
          <w:color w:val="231F20"/>
          <w:w w:val="110"/>
        </w:rPr>
        <w:t>evidencia</w:t>
      </w:r>
      <w:r>
        <w:rPr>
          <w:color w:val="231F20"/>
          <w:spacing w:val="-6"/>
          <w:w w:val="110"/>
        </w:rPr>
        <w:t> </w:t>
      </w:r>
      <w:r>
        <w:rPr>
          <w:color w:val="231F20"/>
          <w:w w:val="110"/>
        </w:rPr>
        <w:t>la</w:t>
      </w:r>
      <w:r>
        <w:rPr>
          <w:color w:val="231F20"/>
          <w:spacing w:val="-6"/>
          <w:w w:val="110"/>
        </w:rPr>
        <w:t> </w:t>
      </w:r>
      <w:r>
        <w:rPr>
          <w:color w:val="231F20"/>
          <w:w w:val="110"/>
        </w:rPr>
        <w:t>im- potencia de los instrumentos tecnocráticos globalizados (entre</w:t>
      </w:r>
      <w:r>
        <w:rPr>
          <w:color w:val="231F20"/>
          <w:spacing w:val="-13"/>
          <w:w w:val="110"/>
        </w:rPr>
        <w:t> </w:t>
      </w:r>
      <w:r>
        <w:rPr>
          <w:color w:val="231F20"/>
          <w:w w:val="110"/>
        </w:rPr>
        <w:t>otros, los de la ingeniería financiera) para regular la economía planetaria capitalista, aunque fuese solamente en función del predominio es- tadunidense.</w:t>
      </w:r>
    </w:p>
    <w:p>
      <w:pPr>
        <w:pStyle w:val="BodyText"/>
        <w:spacing w:line="261" w:lineRule="auto"/>
        <w:ind w:left="100" w:right="117" w:firstLine="240"/>
        <w:jc w:val="both"/>
      </w:pPr>
      <w:r>
        <w:rPr>
          <w:color w:val="231F20"/>
          <w:w w:val="105"/>
        </w:rPr>
        <w:t>En consonancia, centenares de  empresas  —en  primer  lugar  las  de los sectores más avanzados en capital científico-tecnológico (ae- roespacial, electrónico, </w:t>
      </w:r>
      <w:r>
        <w:rPr>
          <w:color w:val="231F20"/>
          <w:w w:val="115"/>
        </w:rPr>
        <w:t>tic </w:t>
      </w:r>
      <w:r>
        <w:rPr>
          <w:color w:val="231F20"/>
          <w:w w:val="105"/>
        </w:rPr>
        <w:t>e Internet, energético, automovilístico, farmacéutico, bancario, etc.)— debieron disminuir producciones, servicios y su otrora muy superior correlación exportación/impor- tación tanto de bienes como de capitales para, desde mediados de  2001, incrementar significativamente sus recortes de plantillas.    </w:t>
      </w:r>
      <w:r>
        <w:rPr>
          <w:color w:val="231F20"/>
          <w:spacing w:val="6"/>
          <w:w w:val="105"/>
        </w:rPr>
        <w:t> </w:t>
      </w:r>
      <w:r>
        <w:rPr>
          <w:color w:val="231F20"/>
          <w:w w:val="105"/>
        </w:rPr>
        <w:t>Esta-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dos</w:t>
      </w:r>
      <w:r>
        <w:rPr>
          <w:color w:val="231F20"/>
          <w:spacing w:val="-8"/>
          <w:w w:val="110"/>
        </w:rPr>
        <w:t> </w:t>
      </w:r>
      <w:r>
        <w:rPr>
          <w:color w:val="231F20"/>
          <w:w w:val="110"/>
        </w:rPr>
        <w:t>Unidos</w:t>
      </w:r>
      <w:r>
        <w:rPr>
          <w:color w:val="231F20"/>
          <w:spacing w:val="-8"/>
          <w:w w:val="110"/>
        </w:rPr>
        <w:t> </w:t>
      </w:r>
      <w:r>
        <w:rPr>
          <w:color w:val="231F20"/>
          <w:w w:val="110"/>
        </w:rPr>
        <w:t>alcanzaría</w:t>
      </w:r>
      <w:r>
        <w:rPr>
          <w:color w:val="231F20"/>
          <w:spacing w:val="-8"/>
          <w:w w:val="110"/>
        </w:rPr>
        <w:t> </w:t>
      </w:r>
      <w:r>
        <w:rPr>
          <w:color w:val="231F20"/>
          <w:w w:val="110"/>
        </w:rPr>
        <w:t>así</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w w:val="110"/>
        </w:rPr>
        <w:t>brevísimo</w:t>
      </w:r>
      <w:r>
        <w:rPr>
          <w:color w:val="231F20"/>
          <w:spacing w:val="-8"/>
          <w:w w:val="110"/>
        </w:rPr>
        <w:t> </w:t>
      </w:r>
      <w:r>
        <w:rPr>
          <w:color w:val="231F20"/>
          <w:w w:val="110"/>
        </w:rPr>
        <w:t>periodo</w:t>
      </w:r>
      <w:r>
        <w:rPr>
          <w:color w:val="231F20"/>
          <w:spacing w:val="-8"/>
          <w:w w:val="110"/>
        </w:rPr>
        <w:t> </w:t>
      </w:r>
      <w:r>
        <w:rPr>
          <w:color w:val="231F20"/>
          <w:w w:val="110"/>
        </w:rPr>
        <w:t>la</w:t>
      </w:r>
      <w:r>
        <w:rPr>
          <w:color w:val="231F20"/>
          <w:spacing w:val="-8"/>
          <w:w w:val="110"/>
        </w:rPr>
        <w:t> </w:t>
      </w:r>
      <w:r>
        <w:rPr>
          <w:color w:val="231F20"/>
          <w:w w:val="110"/>
        </w:rPr>
        <w:t>cifras</w:t>
      </w:r>
      <w:r>
        <w:rPr>
          <w:color w:val="231F20"/>
          <w:spacing w:val="-8"/>
          <w:w w:val="110"/>
        </w:rPr>
        <w:t> </w:t>
      </w:r>
      <w:r>
        <w:rPr>
          <w:color w:val="231F20"/>
          <w:w w:val="110"/>
        </w:rPr>
        <w:t>récord</w:t>
      </w:r>
      <w:r>
        <w:rPr>
          <w:color w:val="231F20"/>
          <w:spacing w:val="-8"/>
          <w:w w:val="110"/>
        </w:rPr>
        <w:t> </w:t>
      </w:r>
      <w:r>
        <w:rPr>
          <w:color w:val="231F20"/>
          <w:w w:val="110"/>
        </w:rPr>
        <w:t>de desocupación</w:t>
      </w:r>
      <w:r>
        <w:rPr>
          <w:color w:val="231F20"/>
          <w:spacing w:val="-26"/>
          <w:w w:val="110"/>
        </w:rPr>
        <w:t> </w:t>
      </w:r>
      <w:r>
        <w:rPr>
          <w:color w:val="231F20"/>
          <w:w w:val="110"/>
        </w:rPr>
        <w:t>general</w:t>
      </w:r>
      <w:r>
        <w:rPr>
          <w:color w:val="231F20"/>
          <w:spacing w:val="4"/>
          <w:w w:val="110"/>
        </w:rPr>
        <w:t> </w:t>
      </w:r>
      <w:r>
        <w:rPr>
          <w:color w:val="231F20"/>
          <w:w w:val="110"/>
        </w:rPr>
        <w:t>—en</w:t>
      </w:r>
      <w:r>
        <w:rPr>
          <w:color w:val="231F20"/>
          <w:spacing w:val="-26"/>
          <w:w w:val="110"/>
        </w:rPr>
        <w:t> </w:t>
      </w:r>
      <w:r>
        <w:rPr>
          <w:color w:val="231F20"/>
          <w:w w:val="110"/>
        </w:rPr>
        <w:t>2010</w:t>
      </w:r>
      <w:r>
        <w:rPr>
          <w:color w:val="231F20"/>
          <w:spacing w:val="-26"/>
          <w:w w:val="110"/>
        </w:rPr>
        <w:t> </w:t>
      </w:r>
      <w:r>
        <w:rPr>
          <w:color w:val="231F20"/>
          <w:w w:val="110"/>
        </w:rPr>
        <w:t>de</w:t>
      </w:r>
      <w:r>
        <w:rPr>
          <w:color w:val="231F20"/>
          <w:spacing w:val="-26"/>
          <w:w w:val="110"/>
        </w:rPr>
        <w:t> </w:t>
      </w:r>
      <w:r>
        <w:rPr>
          <w:color w:val="231F20"/>
          <w:w w:val="110"/>
        </w:rPr>
        <w:t>9.5%</w:t>
      </w:r>
      <w:r>
        <w:rPr>
          <w:color w:val="231F20"/>
          <w:spacing w:val="-26"/>
          <w:w w:val="110"/>
        </w:rPr>
        <w:t> </w:t>
      </w:r>
      <w:r>
        <w:rPr>
          <w:color w:val="231F20"/>
          <w:w w:val="110"/>
        </w:rPr>
        <w:t>(</w:t>
      </w:r>
      <w:r>
        <w:rPr>
          <w:i/>
          <w:color w:val="231F20"/>
          <w:w w:val="110"/>
        </w:rPr>
        <w:t>Granma</w:t>
      </w:r>
      <w:r>
        <w:rPr>
          <w:color w:val="231F20"/>
          <w:w w:val="110"/>
        </w:rPr>
        <w:t>,</w:t>
      </w:r>
      <w:r>
        <w:rPr>
          <w:color w:val="231F20"/>
          <w:spacing w:val="-26"/>
          <w:w w:val="110"/>
        </w:rPr>
        <w:t> </w:t>
      </w:r>
      <w:r>
        <w:rPr>
          <w:color w:val="231F20"/>
          <w:w w:val="110"/>
        </w:rPr>
        <w:t>2010)—</w:t>
      </w:r>
      <w:r>
        <w:rPr>
          <w:color w:val="231F20"/>
          <w:spacing w:val="-26"/>
          <w:w w:val="110"/>
        </w:rPr>
        <w:t> </w:t>
      </w:r>
      <w:r>
        <w:rPr>
          <w:color w:val="231F20"/>
          <w:w w:val="110"/>
        </w:rPr>
        <w:t>mientras que a nivel de la tríada se producirían millones de despidos de alta calificación. En Estados Unidos, los llamados cuellos blancos en las ocupaciones de ciencia e ingeniería llegarían a 4% de desocupación </w:t>
      </w:r>
      <w:r>
        <w:rPr>
          <w:color w:val="231F20"/>
          <w:spacing w:val="-8"/>
          <w:w w:val="110"/>
        </w:rPr>
        <w:t>y, </w:t>
      </w:r>
      <w:r>
        <w:rPr>
          <w:color w:val="231F20"/>
          <w:w w:val="110"/>
        </w:rPr>
        <w:t>de entre ellos, los programadores de computadoras sobrepasarían 6.5%,</w:t>
      </w:r>
      <w:r>
        <w:rPr>
          <w:color w:val="231F20"/>
          <w:spacing w:val="-25"/>
          <w:w w:val="110"/>
        </w:rPr>
        <w:t> </w:t>
      </w:r>
      <w:r>
        <w:rPr>
          <w:color w:val="231F20"/>
          <w:w w:val="110"/>
        </w:rPr>
        <w:t>ya</w:t>
      </w:r>
      <w:r>
        <w:rPr>
          <w:color w:val="231F20"/>
          <w:spacing w:val="-25"/>
          <w:w w:val="110"/>
        </w:rPr>
        <w:t> </w:t>
      </w:r>
      <w:r>
        <w:rPr>
          <w:color w:val="231F20"/>
          <w:w w:val="110"/>
        </w:rPr>
        <w:t>en</w:t>
      </w:r>
      <w:r>
        <w:rPr>
          <w:color w:val="231F20"/>
          <w:spacing w:val="-25"/>
          <w:w w:val="110"/>
        </w:rPr>
        <w:t> </w:t>
      </w:r>
      <w:r>
        <w:rPr>
          <w:color w:val="231F20"/>
          <w:w w:val="110"/>
        </w:rPr>
        <w:t>2002</w:t>
      </w:r>
      <w:r>
        <w:rPr>
          <w:color w:val="231F20"/>
          <w:spacing w:val="-25"/>
          <w:w w:val="110"/>
        </w:rPr>
        <w:t> </w:t>
      </w:r>
      <w:r>
        <w:rPr>
          <w:color w:val="231F20"/>
          <w:w w:val="110"/>
        </w:rPr>
        <w:t>(nsb,</w:t>
      </w:r>
      <w:r>
        <w:rPr>
          <w:color w:val="231F20"/>
          <w:spacing w:val="-25"/>
          <w:w w:val="110"/>
        </w:rPr>
        <w:t> </w:t>
      </w:r>
      <w:r>
        <w:rPr>
          <w:color w:val="231F20"/>
          <w:w w:val="110"/>
        </w:rPr>
        <w:t>2004:</w:t>
      </w:r>
      <w:r>
        <w:rPr>
          <w:color w:val="231F20"/>
          <w:spacing w:val="-25"/>
          <w:w w:val="110"/>
        </w:rPr>
        <w:t> </w:t>
      </w:r>
      <w:r>
        <w:rPr>
          <w:color w:val="231F20"/>
          <w:w w:val="110"/>
        </w:rPr>
        <w:t>diapositivas).</w:t>
      </w:r>
      <w:r>
        <w:rPr>
          <w:color w:val="231F20"/>
          <w:spacing w:val="-25"/>
          <w:w w:val="110"/>
        </w:rPr>
        <w:t> </w:t>
      </w:r>
      <w:r>
        <w:rPr>
          <w:color w:val="231F20"/>
          <w:w w:val="110"/>
        </w:rPr>
        <w:t>Esta</w:t>
      </w:r>
      <w:r>
        <w:rPr>
          <w:color w:val="231F20"/>
          <w:spacing w:val="-25"/>
          <w:w w:val="110"/>
        </w:rPr>
        <w:t> </w:t>
      </w:r>
      <w:r>
        <w:rPr>
          <w:color w:val="231F20"/>
          <w:w w:val="110"/>
        </w:rPr>
        <w:t>tendencia</w:t>
      </w:r>
      <w:r>
        <w:rPr>
          <w:color w:val="231F20"/>
          <w:spacing w:val="-25"/>
          <w:w w:val="110"/>
        </w:rPr>
        <w:t> </w:t>
      </w:r>
      <w:r>
        <w:rPr>
          <w:color w:val="231F20"/>
          <w:w w:val="110"/>
        </w:rPr>
        <w:t>se</w:t>
      </w:r>
      <w:r>
        <w:rPr>
          <w:color w:val="231F20"/>
          <w:spacing w:val="-25"/>
          <w:w w:val="110"/>
        </w:rPr>
        <w:t> </w:t>
      </w:r>
      <w:r>
        <w:rPr>
          <w:color w:val="231F20"/>
          <w:w w:val="110"/>
        </w:rPr>
        <w:t>instalaría con altibajos hasta la</w:t>
      </w:r>
      <w:r>
        <w:rPr>
          <w:color w:val="231F20"/>
          <w:spacing w:val="3"/>
          <w:w w:val="110"/>
        </w:rPr>
        <w:t> </w:t>
      </w:r>
      <w:r>
        <w:rPr>
          <w:color w:val="231F20"/>
          <w:w w:val="110"/>
        </w:rPr>
        <w:t>actualidad.</w:t>
      </w:r>
    </w:p>
    <w:p>
      <w:pPr>
        <w:pStyle w:val="BodyText"/>
        <w:spacing w:line="261" w:lineRule="auto"/>
        <w:ind w:left="100" w:right="117" w:firstLine="240"/>
        <w:jc w:val="both"/>
      </w:pPr>
      <w:r>
        <w:rPr>
          <w:color w:val="231F20"/>
          <w:spacing w:val="-4"/>
          <w:w w:val="110"/>
        </w:rPr>
        <w:t>Todo, </w:t>
      </w:r>
      <w:r>
        <w:rPr>
          <w:color w:val="231F20"/>
          <w:w w:val="110"/>
        </w:rPr>
        <w:t>en medio de una crisis agravada por irregularidades finan- cieras</w:t>
      </w:r>
      <w:r>
        <w:rPr>
          <w:color w:val="231F20"/>
          <w:spacing w:val="-13"/>
          <w:w w:val="110"/>
        </w:rPr>
        <w:t> </w:t>
      </w:r>
      <w:r>
        <w:rPr>
          <w:color w:val="231F20"/>
          <w:w w:val="110"/>
        </w:rPr>
        <w:t>sin</w:t>
      </w:r>
      <w:r>
        <w:rPr>
          <w:color w:val="231F20"/>
          <w:spacing w:val="-13"/>
          <w:w w:val="110"/>
        </w:rPr>
        <w:t> </w:t>
      </w:r>
      <w:r>
        <w:rPr>
          <w:color w:val="231F20"/>
          <w:w w:val="110"/>
        </w:rPr>
        <w:t>precedentes</w:t>
      </w:r>
      <w:r>
        <w:rPr>
          <w:color w:val="231F20"/>
          <w:spacing w:val="-13"/>
          <w:w w:val="110"/>
        </w:rPr>
        <w:t> </w:t>
      </w:r>
      <w:r>
        <w:rPr>
          <w:color w:val="231F20"/>
          <w:w w:val="110"/>
        </w:rPr>
        <w:t>(las</w:t>
      </w:r>
      <w:r>
        <w:rPr>
          <w:color w:val="231F20"/>
          <w:spacing w:val="-13"/>
          <w:w w:val="110"/>
        </w:rPr>
        <w:t> </w:t>
      </w:r>
      <w:r>
        <w:rPr>
          <w:color w:val="231F20"/>
          <w:w w:val="110"/>
        </w:rPr>
        <w:t>superpuestas</w:t>
      </w:r>
      <w:r>
        <w:rPr>
          <w:color w:val="231F20"/>
          <w:spacing w:val="-13"/>
          <w:w w:val="110"/>
        </w:rPr>
        <w:t> </w:t>
      </w:r>
      <w:r>
        <w:rPr>
          <w:color w:val="231F20"/>
          <w:w w:val="110"/>
        </w:rPr>
        <w:t>turbulencias</w:t>
      </w:r>
      <w:r>
        <w:rPr>
          <w:color w:val="231F20"/>
          <w:spacing w:val="-13"/>
          <w:w w:val="110"/>
        </w:rPr>
        <w:t> </w:t>
      </w:r>
      <w:r>
        <w:rPr>
          <w:color w:val="231F20"/>
          <w:w w:val="110"/>
        </w:rPr>
        <w:t>y</w:t>
      </w:r>
      <w:r>
        <w:rPr>
          <w:color w:val="231F20"/>
          <w:spacing w:val="-13"/>
          <w:w w:val="110"/>
        </w:rPr>
        <w:t> </w:t>
      </w:r>
      <w:r>
        <w:rPr>
          <w:color w:val="231F20"/>
          <w:w w:val="110"/>
        </w:rPr>
        <w:t>burbujas</w:t>
      </w:r>
      <w:r>
        <w:rPr>
          <w:color w:val="231F20"/>
          <w:spacing w:val="-13"/>
          <w:w w:val="110"/>
        </w:rPr>
        <w:t> </w:t>
      </w:r>
      <w:r>
        <w:rPr>
          <w:color w:val="231F20"/>
          <w:w w:val="110"/>
        </w:rPr>
        <w:t>espe- culativas</w:t>
      </w:r>
      <w:r>
        <w:rPr>
          <w:color w:val="231F20"/>
          <w:spacing w:val="-15"/>
          <w:w w:val="110"/>
        </w:rPr>
        <w:t> </w:t>
      </w:r>
      <w:r>
        <w:rPr>
          <w:color w:val="231F20"/>
          <w:w w:val="110"/>
        </w:rPr>
        <w:t>con</w:t>
      </w:r>
      <w:r>
        <w:rPr>
          <w:color w:val="231F20"/>
          <w:spacing w:val="-15"/>
          <w:w w:val="110"/>
        </w:rPr>
        <w:t> </w:t>
      </w:r>
      <w:r>
        <w:rPr>
          <w:color w:val="231F20"/>
          <w:w w:val="110"/>
        </w:rPr>
        <w:t>efecto</w:t>
      </w:r>
      <w:r>
        <w:rPr>
          <w:color w:val="231F20"/>
          <w:spacing w:val="-15"/>
          <w:w w:val="110"/>
        </w:rPr>
        <w:t> </w:t>
      </w:r>
      <w:r>
        <w:rPr>
          <w:color w:val="231F20"/>
          <w:w w:val="110"/>
        </w:rPr>
        <w:t>dominó</w:t>
      </w:r>
      <w:r>
        <w:rPr>
          <w:color w:val="231F20"/>
          <w:spacing w:val="-15"/>
          <w:w w:val="110"/>
        </w:rPr>
        <w:t> </w:t>
      </w:r>
      <w:r>
        <w:rPr>
          <w:color w:val="231F20"/>
          <w:w w:val="110"/>
        </w:rPr>
        <w:t>a</w:t>
      </w:r>
      <w:r>
        <w:rPr>
          <w:color w:val="231F20"/>
          <w:spacing w:val="-15"/>
          <w:w w:val="110"/>
        </w:rPr>
        <w:t> </w:t>
      </w:r>
      <w:r>
        <w:rPr>
          <w:color w:val="231F20"/>
          <w:w w:val="110"/>
        </w:rPr>
        <w:t>escala</w:t>
      </w:r>
      <w:r>
        <w:rPr>
          <w:color w:val="231F20"/>
          <w:spacing w:val="-15"/>
          <w:w w:val="110"/>
        </w:rPr>
        <w:t> </w:t>
      </w:r>
      <w:r>
        <w:rPr>
          <w:color w:val="231F20"/>
          <w:w w:val="110"/>
        </w:rPr>
        <w:t>planetaria),</w:t>
      </w:r>
      <w:r>
        <w:rPr>
          <w:color w:val="231F20"/>
          <w:spacing w:val="-15"/>
          <w:w w:val="110"/>
        </w:rPr>
        <w:t> </w:t>
      </w:r>
      <w:r>
        <w:rPr>
          <w:color w:val="231F20"/>
          <w:w w:val="110"/>
        </w:rPr>
        <w:t>el</w:t>
      </w:r>
      <w:r>
        <w:rPr>
          <w:color w:val="231F20"/>
          <w:spacing w:val="-15"/>
          <w:w w:val="110"/>
        </w:rPr>
        <w:t> </w:t>
      </w:r>
      <w:r>
        <w:rPr>
          <w:color w:val="231F20"/>
          <w:w w:val="110"/>
        </w:rPr>
        <w:t>destape</w:t>
      </w:r>
      <w:r>
        <w:rPr>
          <w:color w:val="231F20"/>
          <w:spacing w:val="-15"/>
          <w:w w:val="110"/>
        </w:rPr>
        <w:t> </w:t>
      </w:r>
      <w:r>
        <w:rPr>
          <w:color w:val="231F20"/>
          <w:w w:val="110"/>
        </w:rPr>
        <w:t>del</w:t>
      </w:r>
      <w:r>
        <w:rPr>
          <w:color w:val="231F20"/>
          <w:spacing w:val="-15"/>
          <w:w w:val="110"/>
        </w:rPr>
        <w:t> </w:t>
      </w:r>
      <w:r>
        <w:rPr>
          <w:color w:val="231F20"/>
          <w:w w:val="110"/>
        </w:rPr>
        <w:t>fraude corporativo</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quiebra</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w w:val="110"/>
        </w:rPr>
        <w:t>creciente</w:t>
      </w:r>
      <w:r>
        <w:rPr>
          <w:color w:val="231F20"/>
          <w:spacing w:val="-10"/>
          <w:w w:val="110"/>
        </w:rPr>
        <w:t> </w:t>
      </w:r>
      <w:r>
        <w:rPr>
          <w:color w:val="231F20"/>
          <w:w w:val="110"/>
        </w:rPr>
        <w:t>número</w:t>
      </w:r>
      <w:r>
        <w:rPr>
          <w:color w:val="231F20"/>
          <w:spacing w:val="-10"/>
          <w:w w:val="110"/>
        </w:rPr>
        <w:t> </w:t>
      </w:r>
      <w:r>
        <w:rPr>
          <w:color w:val="231F20"/>
          <w:w w:val="110"/>
        </w:rPr>
        <w:t>de</w:t>
      </w:r>
      <w:r>
        <w:rPr>
          <w:color w:val="231F20"/>
          <w:spacing w:val="-10"/>
          <w:w w:val="110"/>
        </w:rPr>
        <w:t> </w:t>
      </w:r>
      <w:r>
        <w:rPr>
          <w:color w:val="231F20"/>
          <w:w w:val="110"/>
        </w:rPr>
        <w:t>grandes</w:t>
      </w:r>
      <w:r>
        <w:rPr>
          <w:color w:val="231F20"/>
          <w:spacing w:val="-10"/>
          <w:w w:val="110"/>
        </w:rPr>
        <w:t> </w:t>
      </w:r>
      <w:r>
        <w:rPr>
          <w:color w:val="231F20"/>
          <w:w w:val="110"/>
        </w:rPr>
        <w:t>empresas estadunidenses (incluidas las resultantes de las llamadas megafusio- nes)</w:t>
      </w:r>
      <w:r>
        <w:rPr>
          <w:color w:val="231F20"/>
          <w:spacing w:val="36"/>
          <w:w w:val="110"/>
        </w:rPr>
        <w:t> </w:t>
      </w:r>
      <w:r>
        <w:rPr>
          <w:color w:val="231F20"/>
          <w:w w:val="110"/>
        </w:rPr>
        <w:t>con</w:t>
      </w:r>
      <w:r>
        <w:rPr>
          <w:color w:val="231F20"/>
          <w:spacing w:val="36"/>
          <w:w w:val="110"/>
        </w:rPr>
        <w:t> </w:t>
      </w:r>
      <w:r>
        <w:rPr>
          <w:color w:val="231F20"/>
          <w:w w:val="110"/>
        </w:rPr>
        <w:t>implicaciones</w:t>
      </w:r>
      <w:r>
        <w:rPr>
          <w:color w:val="231F20"/>
          <w:spacing w:val="36"/>
          <w:w w:val="110"/>
        </w:rPr>
        <w:t> </w:t>
      </w:r>
      <w:r>
        <w:rPr>
          <w:color w:val="231F20"/>
          <w:w w:val="110"/>
        </w:rPr>
        <w:t>de</w:t>
      </w:r>
      <w:r>
        <w:rPr>
          <w:color w:val="231F20"/>
          <w:spacing w:val="36"/>
          <w:w w:val="110"/>
        </w:rPr>
        <w:t> </w:t>
      </w:r>
      <w:r>
        <w:rPr>
          <w:color w:val="231F20"/>
          <w:w w:val="110"/>
        </w:rPr>
        <w:t>corrupción</w:t>
      </w:r>
      <w:r>
        <w:rPr>
          <w:color w:val="231F20"/>
          <w:spacing w:val="36"/>
          <w:w w:val="110"/>
        </w:rPr>
        <w:t> </w:t>
      </w:r>
      <w:r>
        <w:rPr>
          <w:color w:val="231F20"/>
          <w:w w:val="110"/>
        </w:rPr>
        <w:t>a</w:t>
      </w:r>
      <w:r>
        <w:rPr>
          <w:color w:val="231F20"/>
          <w:spacing w:val="36"/>
          <w:w w:val="110"/>
        </w:rPr>
        <w:t> </w:t>
      </w:r>
      <w:r>
        <w:rPr>
          <w:color w:val="231F20"/>
          <w:w w:val="110"/>
        </w:rPr>
        <w:t>los</w:t>
      </w:r>
      <w:r>
        <w:rPr>
          <w:color w:val="231F20"/>
          <w:spacing w:val="36"/>
          <w:w w:val="110"/>
        </w:rPr>
        <w:t> </w:t>
      </w:r>
      <w:r>
        <w:rPr>
          <w:color w:val="231F20"/>
          <w:w w:val="110"/>
        </w:rPr>
        <w:t>más</w:t>
      </w:r>
      <w:r>
        <w:rPr>
          <w:color w:val="231F20"/>
          <w:spacing w:val="36"/>
          <w:w w:val="110"/>
        </w:rPr>
        <w:t> </w:t>
      </w:r>
      <w:r>
        <w:rPr>
          <w:color w:val="231F20"/>
          <w:w w:val="110"/>
        </w:rPr>
        <w:t>altos</w:t>
      </w:r>
      <w:r>
        <w:rPr>
          <w:color w:val="231F20"/>
          <w:spacing w:val="36"/>
          <w:w w:val="110"/>
        </w:rPr>
        <w:t> </w:t>
      </w:r>
      <w:r>
        <w:rPr>
          <w:color w:val="231F20"/>
          <w:w w:val="110"/>
        </w:rPr>
        <w:t>niveles</w:t>
      </w:r>
      <w:r>
        <w:rPr>
          <w:color w:val="231F20"/>
          <w:spacing w:val="36"/>
          <w:w w:val="110"/>
        </w:rPr>
        <w:t> </w:t>
      </w:r>
      <w:r>
        <w:rPr>
          <w:color w:val="231F20"/>
          <w:w w:val="110"/>
        </w:rPr>
        <w:t>del</w:t>
      </w:r>
      <w:r>
        <w:rPr>
          <w:color w:val="231F20"/>
          <w:spacing w:val="1"/>
          <w:w w:val="111"/>
        </w:rPr>
        <w:t> </w:t>
      </w:r>
      <w:r>
        <w:rPr>
          <w:i/>
          <w:color w:val="231F20"/>
          <w:w w:val="110"/>
        </w:rPr>
        <w:t>establishment </w:t>
      </w:r>
      <w:r>
        <w:rPr>
          <w:color w:val="231F20"/>
          <w:w w:val="110"/>
        </w:rPr>
        <w:t>gubernamental. Incidiría lo expuesto en la pérdida de credibilidad en el sistema, la creciente estampida de capitales de las bolsas de valores, la crisis inmobiliaria, la desvaloración del dólares como referente internacional, el alza de los precios de los combus- tibles,</w:t>
      </w:r>
      <w:r>
        <w:rPr>
          <w:color w:val="231F20"/>
          <w:spacing w:val="-17"/>
          <w:w w:val="110"/>
        </w:rPr>
        <w:t> </w:t>
      </w:r>
      <w:r>
        <w:rPr>
          <w:color w:val="231F20"/>
          <w:w w:val="110"/>
        </w:rPr>
        <w:t>alimentos</w:t>
      </w:r>
      <w:r>
        <w:rPr>
          <w:color w:val="231F20"/>
          <w:spacing w:val="-17"/>
          <w:w w:val="110"/>
        </w:rPr>
        <w:t> </w:t>
      </w:r>
      <w:r>
        <w:rPr>
          <w:color w:val="231F20"/>
          <w:w w:val="110"/>
        </w:rPr>
        <w:t>y</w:t>
      </w:r>
      <w:r>
        <w:rPr>
          <w:color w:val="231F20"/>
          <w:spacing w:val="-17"/>
          <w:w w:val="110"/>
        </w:rPr>
        <w:t> </w:t>
      </w:r>
      <w:r>
        <w:rPr>
          <w:color w:val="231F20"/>
          <w:w w:val="110"/>
        </w:rPr>
        <w:t>demás</w:t>
      </w:r>
      <w:r>
        <w:rPr>
          <w:color w:val="231F20"/>
          <w:spacing w:val="-17"/>
          <w:w w:val="110"/>
        </w:rPr>
        <w:t> </w:t>
      </w:r>
      <w:r>
        <w:rPr>
          <w:i/>
          <w:color w:val="231F20"/>
          <w:w w:val="110"/>
        </w:rPr>
        <w:t>commodities</w:t>
      </w:r>
      <w:r>
        <w:rPr>
          <w:color w:val="231F20"/>
          <w:w w:val="110"/>
        </w:rPr>
        <w:t>,</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consecuente</w:t>
      </w:r>
      <w:r>
        <w:rPr>
          <w:color w:val="231F20"/>
          <w:spacing w:val="-17"/>
          <w:w w:val="110"/>
        </w:rPr>
        <w:t> </w:t>
      </w:r>
      <w:r>
        <w:rPr>
          <w:color w:val="231F20"/>
          <w:w w:val="110"/>
        </w:rPr>
        <w:t>inestabilidad</w:t>
      </w:r>
      <w:r>
        <w:rPr>
          <w:color w:val="231F20"/>
          <w:w w:val="109"/>
        </w:rPr>
        <w:t> </w:t>
      </w:r>
      <w:r>
        <w:rPr>
          <w:color w:val="231F20"/>
          <w:w w:val="110"/>
        </w:rPr>
        <w:t>generalizada</w:t>
      </w:r>
      <w:r>
        <w:rPr>
          <w:color w:val="231F20"/>
          <w:spacing w:val="-8"/>
          <w:w w:val="110"/>
        </w:rPr>
        <w:t> </w:t>
      </w:r>
      <w:r>
        <w:rPr>
          <w:color w:val="231F20"/>
          <w:w w:val="110"/>
        </w:rPr>
        <w:t>con</w:t>
      </w:r>
      <w:r>
        <w:rPr>
          <w:color w:val="231F20"/>
          <w:spacing w:val="-8"/>
          <w:w w:val="110"/>
        </w:rPr>
        <w:t> </w:t>
      </w:r>
      <w:r>
        <w:rPr>
          <w:color w:val="231F20"/>
          <w:w w:val="110"/>
        </w:rPr>
        <w:t>efecto</w:t>
      </w:r>
      <w:r>
        <w:rPr>
          <w:color w:val="231F20"/>
          <w:spacing w:val="-8"/>
          <w:w w:val="110"/>
        </w:rPr>
        <w:t> </w:t>
      </w:r>
      <w:r>
        <w:rPr>
          <w:color w:val="231F20"/>
          <w:w w:val="110"/>
        </w:rPr>
        <w:t>de</w:t>
      </w:r>
      <w:r>
        <w:rPr>
          <w:color w:val="231F20"/>
          <w:spacing w:val="-8"/>
          <w:w w:val="110"/>
        </w:rPr>
        <w:t> </w:t>
      </w:r>
      <w:r>
        <w:rPr>
          <w:color w:val="231F20"/>
          <w:w w:val="110"/>
        </w:rPr>
        <w:t>contagio</w:t>
      </w:r>
      <w:r>
        <w:rPr>
          <w:color w:val="231F20"/>
          <w:spacing w:val="-8"/>
          <w:w w:val="110"/>
        </w:rPr>
        <w:t> </w:t>
      </w:r>
      <w:r>
        <w:rPr>
          <w:color w:val="231F20"/>
          <w:w w:val="110"/>
        </w:rPr>
        <w:t>hacia</w:t>
      </w:r>
      <w:r>
        <w:rPr>
          <w:color w:val="231F20"/>
          <w:spacing w:val="-8"/>
          <w:w w:val="110"/>
        </w:rPr>
        <w:t> </w:t>
      </w:r>
      <w:r>
        <w:rPr>
          <w:color w:val="231F20"/>
          <w:w w:val="110"/>
        </w:rPr>
        <w:t>toda</w:t>
      </w:r>
      <w:r>
        <w:rPr>
          <w:color w:val="231F20"/>
          <w:spacing w:val="-8"/>
          <w:w w:val="110"/>
        </w:rPr>
        <w:t> </w:t>
      </w:r>
      <w:r>
        <w:rPr>
          <w:color w:val="231F20"/>
          <w:w w:val="110"/>
        </w:rPr>
        <w:t>la</w:t>
      </w:r>
      <w:r>
        <w:rPr>
          <w:color w:val="231F20"/>
          <w:spacing w:val="-8"/>
          <w:w w:val="110"/>
        </w:rPr>
        <w:t> </w:t>
      </w:r>
      <w:r>
        <w:rPr>
          <w:color w:val="231F20"/>
          <w:w w:val="110"/>
        </w:rPr>
        <w:t>economía</w:t>
      </w:r>
      <w:r>
        <w:rPr>
          <w:color w:val="231F20"/>
          <w:spacing w:val="-8"/>
          <w:w w:val="110"/>
        </w:rPr>
        <w:t> </w:t>
      </w:r>
      <w:r>
        <w:rPr>
          <w:color w:val="231F20"/>
          <w:w w:val="110"/>
        </w:rPr>
        <w:t>mundial.</w:t>
      </w:r>
    </w:p>
    <w:p>
      <w:pPr>
        <w:pStyle w:val="BodyText"/>
      </w:pPr>
    </w:p>
    <w:p>
      <w:pPr>
        <w:pStyle w:val="BodyText"/>
      </w:pPr>
    </w:p>
    <w:p>
      <w:pPr>
        <w:pStyle w:val="BodyText"/>
        <w:spacing w:before="2"/>
        <w:rPr>
          <w:sz w:val="25"/>
        </w:rPr>
      </w:pPr>
    </w:p>
    <w:p>
      <w:pPr>
        <w:pStyle w:val="BodyText"/>
        <w:ind w:left="100"/>
        <w:jc w:val="both"/>
      </w:pPr>
      <w:r>
        <w:rPr>
          <w:color w:val="231F20"/>
          <w:w w:val="125"/>
        </w:rPr>
        <w:t>la gestión de obama ¿función de cambio o continuidades?</w:t>
      </w:r>
    </w:p>
    <w:p>
      <w:pPr>
        <w:pStyle w:val="BodyText"/>
        <w:spacing w:before="5"/>
        <w:rPr>
          <w:sz w:val="23"/>
        </w:rPr>
      </w:pPr>
    </w:p>
    <w:p>
      <w:pPr>
        <w:pStyle w:val="BodyText"/>
        <w:spacing w:line="261" w:lineRule="auto"/>
        <w:ind w:left="100" w:right="117"/>
        <w:jc w:val="both"/>
      </w:pPr>
      <w:r>
        <w:rPr>
          <w:color w:val="231F20"/>
          <w:w w:val="105"/>
        </w:rPr>
        <w:t>En un trabajo anterior (Grobart, 2009: 139) se expresaría la hipótesis  de pronóstico que, dado el advenimiento de la crisis financiera, con independencia de las prioridades que proclamara el presidente que resultara electo en pos del rescate de la hegemonía, la competitivi-   dad y el ciclo reproductivo estadunidense mediante inversiones en ciencia-tecnología-innovación, toda esperanza al respecto resultaría minimizada si no totalmente frustrada tras el controvertido billona-   rio desembolso para el rescate de la gran banca privada, la industria automovilística y el extremado descalabro social (desempleo, educa- ción, salud) y energético-ambiental  heredados  de  la  administración de George </w:t>
      </w:r>
      <w:r>
        <w:rPr>
          <w:color w:val="231F20"/>
          <w:spacing w:val="-6"/>
          <w:w w:val="105"/>
        </w:rPr>
        <w:t>W. </w:t>
      </w:r>
      <w:r>
        <w:rPr>
          <w:color w:val="231F20"/>
          <w:spacing w:val="20"/>
          <w:w w:val="105"/>
        </w:rPr>
        <w:t> </w:t>
      </w:r>
      <w:r>
        <w:rPr>
          <w:color w:val="231F20"/>
          <w:w w:val="105"/>
        </w:rPr>
        <w:t>Bush.</w:t>
      </w:r>
    </w:p>
    <w:p>
      <w:pPr>
        <w:pStyle w:val="BodyText"/>
        <w:spacing w:line="261" w:lineRule="auto"/>
        <w:ind w:left="100" w:right="117" w:firstLine="240"/>
        <w:jc w:val="both"/>
      </w:pPr>
      <w:r>
        <w:rPr>
          <w:color w:val="231F20"/>
          <w:w w:val="110"/>
        </w:rPr>
        <w:t>La capacidad innovadora del candidato Barack Obama para in- tegrar en su campaña electoral las funciones políticas, sociológicas, económicas</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informatización</w:t>
      </w:r>
      <w:r>
        <w:rPr>
          <w:color w:val="231F20"/>
          <w:spacing w:val="-11"/>
          <w:w w:val="110"/>
        </w:rPr>
        <w:t> </w:t>
      </w:r>
      <w:r>
        <w:rPr>
          <w:color w:val="231F20"/>
          <w:w w:val="110"/>
        </w:rPr>
        <w:t>—hasta</w:t>
      </w:r>
      <w:r>
        <w:rPr>
          <w:color w:val="231F20"/>
          <w:spacing w:val="-11"/>
          <w:w w:val="110"/>
        </w:rPr>
        <w:t> </w:t>
      </w:r>
      <w:r>
        <w:rPr>
          <w:color w:val="231F20"/>
          <w:w w:val="110"/>
        </w:rPr>
        <w:t>entonces</w:t>
      </w:r>
      <w:r>
        <w:rPr>
          <w:color w:val="231F20"/>
          <w:spacing w:val="-11"/>
          <w:w w:val="110"/>
        </w:rPr>
        <w:t> </w:t>
      </w:r>
      <w:r>
        <w:rPr>
          <w:color w:val="231F20"/>
          <w:w w:val="110"/>
        </w:rPr>
        <w:t>independientes—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en un sistema único, le proporcionó ventajas para llegar a conocer     las demandas de amplios estratos sociales hasta niveles grupales a lo largo y ancho de todo el país, afinar con éstos diálogos específicos que respondieran a sus intereses </w:t>
      </w:r>
      <w:r>
        <w:rPr>
          <w:color w:val="231F20"/>
          <w:spacing w:val="-8"/>
          <w:w w:val="105"/>
        </w:rPr>
        <w:t>y, </w:t>
      </w:r>
      <w:r>
        <w:rPr>
          <w:color w:val="231F20"/>
          <w:w w:val="105"/>
        </w:rPr>
        <w:t>mediante el uso eficaz de Internet y la creación de clubs de amigos de Obama, lograr no sólo la ampliación  del electorado, sino también un sustancial apoyo financiero a la cam- paña. Esto le permitió no sólo vencer a sus adversarios en sus propios territorios sino también superar el </w:t>
      </w:r>
      <w:r>
        <w:rPr>
          <w:i/>
          <w:color w:val="231F20"/>
          <w:w w:val="105"/>
        </w:rPr>
        <w:t>handicap </w:t>
      </w:r>
      <w:r>
        <w:rPr>
          <w:color w:val="231F20"/>
          <w:w w:val="105"/>
        </w:rPr>
        <w:t>que su figura presuponía en la sociedad. El rotundo éxito en la batalla electoral, hizo pensar a muchos que acometería con esta misma </w:t>
      </w:r>
      <w:r>
        <w:rPr>
          <w:i/>
          <w:color w:val="231F20"/>
          <w:w w:val="105"/>
        </w:rPr>
        <w:t>tecnología </w:t>
      </w:r>
      <w:r>
        <w:rPr>
          <w:color w:val="231F20"/>
          <w:w w:val="105"/>
        </w:rPr>
        <w:t>su administración, en función del discurso de cambios. ¿Podría hacerlo? Las adversas condiciones heredadas y su inmediata toma de partida prioritaria a favor de los intereses del gran capital y del complejo militar industrial, determinarían el cauce central de su política, de “retórica y más de      lo mismo”, generando desilusión sobre la sinceridad del empeño proclamado y una reducción sensible  de  su  índice  de  popularidad. No obstante, analicemos algunos intentos puntuales en materia de política </w:t>
      </w:r>
      <w:r>
        <w:rPr>
          <w:color w:val="231F20"/>
          <w:spacing w:val="18"/>
          <w:w w:val="105"/>
        </w:rPr>
        <w:t> </w:t>
      </w:r>
      <w:r>
        <w:rPr>
          <w:color w:val="231F20"/>
          <w:w w:val="105"/>
        </w:rPr>
        <w:t>científico-tecnológica.</w:t>
      </w:r>
    </w:p>
    <w:p>
      <w:pPr>
        <w:pStyle w:val="BodyText"/>
        <w:spacing w:line="261" w:lineRule="auto"/>
        <w:ind w:left="100" w:right="113" w:firstLine="240"/>
        <w:jc w:val="both"/>
      </w:pPr>
      <w:r>
        <w:rPr>
          <w:color w:val="231F20"/>
          <w:w w:val="110"/>
        </w:rPr>
        <w:t>El temprano nombramiento de un calificado académico al frente de la Agencia Nacional de Energía, generó expectativas optimistas en la comunidad científica. </w:t>
      </w:r>
      <w:r>
        <w:rPr>
          <w:color w:val="231F20"/>
          <w:spacing w:val="-9"/>
          <w:w w:val="110"/>
        </w:rPr>
        <w:t>Y, </w:t>
      </w:r>
      <w:r>
        <w:rPr>
          <w:color w:val="231F20"/>
          <w:w w:val="110"/>
        </w:rPr>
        <w:t>si bien se diseñaron proyectos que presuntamente suplirían el tránsito hacia la autosuficiencia de la energía doméstica por vías alternativas, no obstante, su línea princi- pal transitaría, como otrora, por los intereses de las grandes</w:t>
      </w:r>
      <w:r>
        <w:rPr>
          <w:color w:val="231F20"/>
          <w:spacing w:val="-30"/>
          <w:w w:val="110"/>
        </w:rPr>
        <w:t> </w:t>
      </w:r>
      <w:r>
        <w:rPr>
          <w:color w:val="231F20"/>
          <w:w w:val="110"/>
        </w:rPr>
        <w:t>corpora- ciones</w:t>
      </w:r>
      <w:r>
        <w:rPr>
          <w:color w:val="231F20"/>
          <w:spacing w:val="-15"/>
          <w:w w:val="110"/>
        </w:rPr>
        <w:t> </w:t>
      </w:r>
      <w:r>
        <w:rPr>
          <w:color w:val="231F20"/>
          <w:w w:val="110"/>
        </w:rPr>
        <w:t>transnacionales</w:t>
      </w:r>
      <w:r>
        <w:rPr>
          <w:color w:val="231F20"/>
          <w:spacing w:val="-15"/>
          <w:w w:val="110"/>
        </w:rPr>
        <w:t> </w:t>
      </w:r>
      <w:r>
        <w:rPr>
          <w:color w:val="231F20"/>
          <w:w w:val="110"/>
        </w:rPr>
        <w:t>petroleras</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afán</w:t>
      </w:r>
      <w:r>
        <w:rPr>
          <w:color w:val="231F20"/>
          <w:spacing w:val="-15"/>
          <w:w w:val="110"/>
        </w:rPr>
        <w:t> </w:t>
      </w:r>
      <w:r>
        <w:rPr>
          <w:color w:val="231F20"/>
          <w:w w:val="110"/>
        </w:rPr>
        <w:t>de</w:t>
      </w:r>
      <w:r>
        <w:rPr>
          <w:color w:val="231F20"/>
          <w:spacing w:val="-15"/>
          <w:w w:val="110"/>
        </w:rPr>
        <w:t> </w:t>
      </w:r>
      <w:r>
        <w:rPr>
          <w:color w:val="231F20"/>
          <w:w w:val="110"/>
        </w:rPr>
        <w:t>conquista</w:t>
      </w:r>
      <w:r>
        <w:rPr>
          <w:color w:val="231F20"/>
          <w:spacing w:val="-14"/>
          <w:w w:val="110"/>
        </w:rPr>
        <w:t> </w:t>
      </w:r>
      <w:r>
        <w:rPr>
          <w:i/>
          <w:color w:val="231F20"/>
          <w:w w:val="110"/>
        </w:rPr>
        <w:t>manu</w:t>
      </w:r>
      <w:r>
        <w:rPr>
          <w:i/>
          <w:color w:val="231F20"/>
          <w:spacing w:val="-15"/>
          <w:w w:val="110"/>
        </w:rPr>
        <w:t> </w:t>
      </w:r>
      <w:r>
        <w:rPr>
          <w:i/>
          <w:color w:val="231F20"/>
          <w:w w:val="110"/>
        </w:rPr>
        <w:t>militari </w:t>
      </w:r>
      <w:r>
        <w:rPr>
          <w:color w:val="231F20"/>
          <w:w w:val="110"/>
        </w:rPr>
        <w:t>de las reservas foráneas. El logro de hasta 25% del balance interno energético mediante agrocombustibles suscitaría dudas acerca de su eficacia económica, sostenibilidad medioambiental y competencia con la alimentación humana, tanto dentro como fuera del país. En las condiciones específicas de la metrópoli, la energía generada por vías eólica y </w:t>
      </w:r>
      <w:r>
        <w:rPr>
          <w:color w:val="231F20"/>
          <w:spacing w:val="-3"/>
          <w:w w:val="110"/>
        </w:rPr>
        <w:t>solar, </w:t>
      </w:r>
      <w:r>
        <w:rPr>
          <w:color w:val="231F20"/>
          <w:w w:val="110"/>
        </w:rPr>
        <w:t>a pesar del vanguardismo científico-tecnológico disponible, por las razones expuestas, no lograría superar la prueba de la</w:t>
      </w:r>
      <w:r>
        <w:rPr>
          <w:color w:val="231F20"/>
          <w:spacing w:val="-2"/>
          <w:w w:val="110"/>
        </w:rPr>
        <w:t> </w:t>
      </w:r>
      <w:r>
        <w:rPr>
          <w:color w:val="231F20"/>
          <w:w w:val="110"/>
        </w:rPr>
        <w:t>competitividad.</w:t>
      </w:r>
    </w:p>
    <w:p>
      <w:pPr>
        <w:pStyle w:val="BodyText"/>
        <w:spacing w:line="261" w:lineRule="auto"/>
        <w:ind w:left="100" w:right="115" w:firstLine="240"/>
        <w:jc w:val="both"/>
      </w:pPr>
      <w:r>
        <w:rPr>
          <w:color w:val="231F20"/>
          <w:w w:val="110"/>
        </w:rPr>
        <w:t>Por otro lado, la energía nuclear, recibiría la autorización </w:t>
      </w:r>
      <w:r>
        <w:rPr>
          <w:color w:val="231F20"/>
          <w:spacing w:val="2"/>
          <w:w w:val="110"/>
        </w:rPr>
        <w:t>del </w:t>
      </w:r>
      <w:r>
        <w:rPr>
          <w:color w:val="231F20"/>
          <w:w w:val="110"/>
        </w:rPr>
        <w:t>presidente para la construcción de una primera planta —tras 30 años de parálisis inversionista— pero, la decisión por una tecno- </w:t>
      </w:r>
      <w:r>
        <w:rPr>
          <w:color w:val="231F20"/>
          <w:spacing w:val="2"/>
          <w:w w:val="110"/>
        </w:rPr>
        <w:t>logía obsoleta, </w:t>
      </w:r>
      <w:r>
        <w:rPr>
          <w:color w:val="231F20"/>
          <w:w w:val="110"/>
        </w:rPr>
        <w:t>de </w:t>
      </w:r>
      <w:r>
        <w:rPr>
          <w:color w:val="231F20"/>
          <w:spacing w:val="2"/>
          <w:w w:val="110"/>
        </w:rPr>
        <w:t>bajo aprovechamiento </w:t>
      </w:r>
      <w:r>
        <w:rPr>
          <w:color w:val="231F20"/>
          <w:w w:val="110"/>
        </w:rPr>
        <w:t>del </w:t>
      </w:r>
      <w:r>
        <w:rPr>
          <w:color w:val="231F20"/>
          <w:spacing w:val="2"/>
          <w:w w:val="110"/>
        </w:rPr>
        <w:t>combustible </w:t>
      </w:r>
      <w:r>
        <w:rPr>
          <w:color w:val="231F20"/>
          <w:w w:val="110"/>
        </w:rPr>
        <w:t>y </w:t>
      </w:r>
      <w:r>
        <w:rPr>
          <w:color w:val="231F20"/>
          <w:spacing w:val="3"/>
          <w:w w:val="110"/>
        </w:rPr>
        <w:t>baja </w:t>
      </w:r>
      <w:r>
        <w:rPr>
          <w:color w:val="231F20"/>
          <w:spacing w:val="2"/>
          <w:w w:val="110"/>
        </w:rPr>
        <w:t>seguridad operacional </w:t>
      </w:r>
      <w:r>
        <w:rPr>
          <w:color w:val="231F20"/>
          <w:w w:val="110"/>
        </w:rPr>
        <w:t>de los </w:t>
      </w:r>
      <w:r>
        <w:rPr>
          <w:color w:val="231F20"/>
          <w:spacing w:val="2"/>
          <w:w w:val="110"/>
        </w:rPr>
        <w:t>residuales radioactivos </w:t>
      </w:r>
      <w:r>
        <w:rPr>
          <w:color w:val="231F20"/>
          <w:w w:val="110"/>
        </w:rPr>
        <w:t>en </w:t>
      </w:r>
      <w:r>
        <w:rPr>
          <w:color w:val="231F20"/>
          <w:spacing w:val="2"/>
          <w:w w:val="110"/>
        </w:rPr>
        <w:t>repletos     </w:t>
      </w:r>
      <w:r>
        <w:rPr>
          <w:color w:val="231F20"/>
          <w:w w:val="110"/>
        </w:rPr>
        <w:t>y</w:t>
      </w:r>
      <w:r>
        <w:rPr>
          <w:color w:val="231F20"/>
          <w:spacing w:val="36"/>
          <w:w w:val="110"/>
        </w:rPr>
        <w:t> </w:t>
      </w:r>
      <w:r>
        <w:rPr>
          <w:color w:val="231F20"/>
          <w:w w:val="110"/>
        </w:rPr>
        <w:t>desgastados</w:t>
      </w:r>
      <w:r>
        <w:rPr>
          <w:color w:val="231F20"/>
          <w:spacing w:val="36"/>
          <w:w w:val="110"/>
        </w:rPr>
        <w:t> </w:t>
      </w:r>
      <w:r>
        <w:rPr>
          <w:color w:val="231F20"/>
          <w:w w:val="110"/>
        </w:rPr>
        <w:t>depósitos,</w:t>
      </w:r>
      <w:r>
        <w:rPr>
          <w:color w:val="231F20"/>
          <w:spacing w:val="36"/>
          <w:w w:val="110"/>
        </w:rPr>
        <w:t> </w:t>
      </w:r>
      <w:r>
        <w:rPr>
          <w:color w:val="231F20"/>
          <w:w w:val="110"/>
        </w:rPr>
        <w:t>superados</w:t>
      </w:r>
      <w:r>
        <w:rPr>
          <w:color w:val="231F20"/>
          <w:spacing w:val="36"/>
          <w:w w:val="110"/>
        </w:rPr>
        <w:t> </w:t>
      </w:r>
      <w:r>
        <w:rPr>
          <w:color w:val="231F20"/>
          <w:w w:val="110"/>
        </w:rPr>
        <w:t>por</w:t>
      </w:r>
      <w:r>
        <w:rPr>
          <w:color w:val="231F20"/>
          <w:spacing w:val="36"/>
          <w:w w:val="110"/>
        </w:rPr>
        <w:t> </w:t>
      </w:r>
      <w:r>
        <w:rPr>
          <w:color w:val="231F20"/>
          <w:w w:val="110"/>
        </w:rPr>
        <w:t>los</w:t>
      </w:r>
      <w:r>
        <w:rPr>
          <w:color w:val="231F20"/>
          <w:spacing w:val="36"/>
          <w:w w:val="110"/>
        </w:rPr>
        <w:t> </w:t>
      </w:r>
      <w:r>
        <w:rPr>
          <w:color w:val="231F20"/>
          <w:w w:val="110"/>
        </w:rPr>
        <w:t>parámetros</w:t>
      </w:r>
      <w:r>
        <w:rPr>
          <w:color w:val="231F20"/>
          <w:spacing w:val="36"/>
          <w:w w:val="110"/>
        </w:rPr>
        <w:t> </w:t>
      </w:r>
      <w:r>
        <w:rPr>
          <w:color w:val="231F20"/>
          <w:w w:val="110"/>
        </w:rPr>
        <w:t>mundiales</w:t>
      </w:r>
    </w:p>
    <w:p>
      <w:pPr>
        <w:spacing w:after="0" w:line="261" w:lineRule="auto"/>
        <w:jc w:val="both"/>
        <w:sectPr>
          <w:headerReference w:type="even" r:id="rId176"/>
          <w:headerReference w:type="default" r:id="rId177"/>
          <w:pgSz w:w="7640" w:h="11900"/>
          <w:pgMar w:header="672" w:footer="0" w:top="860" w:bottom="280" w:left="780" w:right="640"/>
        </w:sectPr>
      </w:pPr>
    </w:p>
    <w:p>
      <w:pPr>
        <w:pStyle w:val="BodyText"/>
        <w:spacing w:before="8"/>
        <w:rPr>
          <w:sz w:val="8"/>
        </w:rPr>
      </w:pPr>
    </w:p>
    <w:p>
      <w:pPr>
        <w:pStyle w:val="BodyText"/>
        <w:spacing w:line="261" w:lineRule="auto" w:before="67"/>
        <w:ind w:left="100" w:right="116"/>
        <w:jc w:val="both"/>
      </w:pPr>
      <w:r>
        <w:rPr>
          <w:color w:val="231F20"/>
          <w:w w:val="110"/>
        </w:rPr>
        <w:t>vigentes, motivaría controversias públicas e internacionales. La re- ciente catástrofe en Fukushima y otras plantas atómicas de Japón, usufructuarias de tecnología estadunidense, exacerbaría las tenden- cias a su descrédito.</w:t>
      </w:r>
    </w:p>
    <w:p>
      <w:pPr>
        <w:pStyle w:val="BodyText"/>
        <w:spacing w:line="261" w:lineRule="auto"/>
        <w:ind w:left="100" w:right="117" w:firstLine="240"/>
        <w:jc w:val="both"/>
      </w:pPr>
      <w:r>
        <w:rPr>
          <w:color w:val="231F20"/>
          <w:w w:val="110"/>
        </w:rPr>
        <w:t>En el plano energético, el debate sobre la reincorporación a la energía </w:t>
      </w:r>
      <w:r>
        <w:rPr>
          <w:color w:val="231F20"/>
          <w:spacing w:val="-3"/>
          <w:w w:val="110"/>
        </w:rPr>
        <w:t>nuclear, </w:t>
      </w:r>
      <w:r>
        <w:rPr>
          <w:color w:val="231F20"/>
          <w:w w:val="110"/>
        </w:rPr>
        <w:t>pone de manifiesto el factor distorsionante a futuro de</w:t>
      </w:r>
      <w:r>
        <w:rPr>
          <w:color w:val="231F20"/>
          <w:spacing w:val="-17"/>
          <w:w w:val="110"/>
        </w:rPr>
        <w:t> </w:t>
      </w:r>
      <w:r>
        <w:rPr>
          <w:color w:val="231F20"/>
          <w:w w:val="110"/>
        </w:rPr>
        <w:t>la</w:t>
      </w:r>
      <w:r>
        <w:rPr>
          <w:color w:val="231F20"/>
          <w:spacing w:val="-17"/>
          <w:w w:val="110"/>
        </w:rPr>
        <w:t> </w:t>
      </w:r>
      <w:r>
        <w:rPr>
          <w:color w:val="231F20"/>
          <w:w w:val="110"/>
        </w:rPr>
        <w:t>actual</w:t>
      </w:r>
      <w:r>
        <w:rPr>
          <w:color w:val="231F20"/>
          <w:spacing w:val="-17"/>
          <w:w w:val="110"/>
        </w:rPr>
        <w:t> </w:t>
      </w:r>
      <w:r>
        <w:rPr>
          <w:color w:val="231F20"/>
          <w:w w:val="110"/>
        </w:rPr>
        <w:t>lógica</w:t>
      </w:r>
      <w:r>
        <w:rPr>
          <w:color w:val="231F20"/>
          <w:spacing w:val="-17"/>
          <w:w w:val="110"/>
        </w:rPr>
        <w:t> </w:t>
      </w:r>
      <w:r>
        <w:rPr>
          <w:color w:val="231F20"/>
          <w:w w:val="110"/>
        </w:rPr>
        <w:t>del</w:t>
      </w:r>
      <w:r>
        <w:rPr>
          <w:color w:val="231F20"/>
          <w:spacing w:val="-17"/>
          <w:w w:val="110"/>
        </w:rPr>
        <w:t> </w:t>
      </w:r>
      <w:r>
        <w:rPr>
          <w:color w:val="231F20"/>
          <w:w w:val="110"/>
        </w:rPr>
        <w:t>capital,</w:t>
      </w:r>
      <w:r>
        <w:rPr>
          <w:color w:val="231F20"/>
          <w:spacing w:val="-17"/>
          <w:w w:val="110"/>
        </w:rPr>
        <w:t> </w:t>
      </w:r>
      <w:r>
        <w:rPr>
          <w:color w:val="231F20"/>
          <w:w w:val="110"/>
        </w:rPr>
        <w:t>con</w:t>
      </w:r>
      <w:r>
        <w:rPr>
          <w:color w:val="231F20"/>
          <w:spacing w:val="-17"/>
          <w:w w:val="110"/>
        </w:rPr>
        <w:t> </w:t>
      </w:r>
      <w:r>
        <w:rPr>
          <w:color w:val="231F20"/>
          <w:w w:val="110"/>
        </w:rPr>
        <w:t>sus</w:t>
      </w:r>
      <w:r>
        <w:rPr>
          <w:color w:val="231F20"/>
          <w:spacing w:val="-17"/>
          <w:w w:val="110"/>
        </w:rPr>
        <w:t> </w:t>
      </w:r>
      <w:r>
        <w:rPr>
          <w:color w:val="231F20"/>
          <w:w w:val="110"/>
        </w:rPr>
        <w:t>correspondientes</w:t>
      </w:r>
      <w:r>
        <w:rPr>
          <w:color w:val="231F20"/>
          <w:spacing w:val="-17"/>
          <w:w w:val="110"/>
        </w:rPr>
        <w:t> </w:t>
      </w:r>
      <w:r>
        <w:rPr>
          <w:color w:val="231F20"/>
          <w:w w:val="110"/>
        </w:rPr>
        <w:t>rendimientos- beneficios para las compañías beneficiarias que reciban las</w:t>
      </w:r>
      <w:r>
        <w:rPr>
          <w:color w:val="231F20"/>
          <w:spacing w:val="-35"/>
          <w:w w:val="110"/>
        </w:rPr>
        <w:t> </w:t>
      </w:r>
      <w:r>
        <w:rPr>
          <w:color w:val="231F20"/>
          <w:w w:val="110"/>
        </w:rPr>
        <w:t>garantías de crédito a partir del endeudamiento aún mayor de los contribu- yentes; su incompatibilidad, aun aplicando instrumentos de manipu- lación monetarista, con relación a las reales causas y consecuencias del</w:t>
      </w:r>
      <w:r>
        <w:rPr>
          <w:color w:val="231F20"/>
          <w:spacing w:val="-12"/>
          <w:w w:val="110"/>
        </w:rPr>
        <w:t> </w:t>
      </w:r>
      <w:r>
        <w:rPr>
          <w:color w:val="231F20"/>
          <w:w w:val="110"/>
        </w:rPr>
        <w:t>cambio</w:t>
      </w:r>
      <w:r>
        <w:rPr>
          <w:color w:val="231F20"/>
          <w:spacing w:val="-12"/>
          <w:w w:val="110"/>
        </w:rPr>
        <w:t> </w:t>
      </w:r>
      <w:r>
        <w:rPr>
          <w:color w:val="231F20"/>
          <w:w w:val="110"/>
        </w:rPr>
        <w:t>climático;</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irreversibilidad</w:t>
      </w:r>
      <w:r>
        <w:rPr>
          <w:color w:val="231F20"/>
          <w:spacing w:val="-12"/>
          <w:w w:val="110"/>
        </w:rPr>
        <w:t> </w:t>
      </w:r>
      <w:r>
        <w:rPr>
          <w:color w:val="231F20"/>
          <w:w w:val="110"/>
        </w:rPr>
        <w:t>de</w:t>
      </w:r>
      <w:r>
        <w:rPr>
          <w:color w:val="231F20"/>
          <w:spacing w:val="-12"/>
          <w:w w:val="110"/>
        </w:rPr>
        <w:t> </w:t>
      </w:r>
      <w:r>
        <w:rPr>
          <w:color w:val="231F20"/>
          <w:w w:val="110"/>
        </w:rPr>
        <w:t>restablecer</w:t>
      </w:r>
      <w:r>
        <w:rPr>
          <w:color w:val="231F20"/>
          <w:spacing w:val="-12"/>
          <w:w w:val="110"/>
        </w:rPr>
        <w:t> </w:t>
      </w:r>
      <w:r>
        <w:rPr>
          <w:color w:val="231F20"/>
          <w:w w:val="110"/>
        </w:rPr>
        <w:t>el</w:t>
      </w:r>
      <w:r>
        <w:rPr>
          <w:color w:val="231F20"/>
          <w:spacing w:val="-12"/>
          <w:w w:val="110"/>
        </w:rPr>
        <w:t> </w:t>
      </w:r>
      <w:r>
        <w:rPr>
          <w:color w:val="231F20"/>
          <w:w w:val="110"/>
        </w:rPr>
        <w:t>desarrollo con pleno</w:t>
      </w:r>
      <w:r>
        <w:rPr>
          <w:color w:val="231F20"/>
          <w:spacing w:val="47"/>
          <w:w w:val="110"/>
        </w:rPr>
        <w:t> </w:t>
      </w:r>
      <w:r>
        <w:rPr>
          <w:color w:val="231F20"/>
          <w:w w:val="110"/>
        </w:rPr>
        <w:t>empleo.</w:t>
      </w:r>
    </w:p>
    <w:p>
      <w:pPr>
        <w:pStyle w:val="BodyText"/>
        <w:spacing w:line="261" w:lineRule="auto"/>
        <w:ind w:left="100" w:right="115" w:firstLine="240"/>
        <w:jc w:val="both"/>
      </w:pPr>
      <w:r>
        <w:rPr>
          <w:color w:val="231F20"/>
          <w:w w:val="110"/>
        </w:rPr>
        <w:t>Los que abogan por la energía solar como la gran solución, </w:t>
      </w:r>
      <w:r>
        <w:rPr>
          <w:color w:val="231F20"/>
          <w:spacing w:val="2"/>
          <w:w w:val="110"/>
        </w:rPr>
        <w:t>sin </w:t>
      </w:r>
      <w:r>
        <w:rPr>
          <w:color w:val="231F20"/>
          <w:w w:val="110"/>
        </w:rPr>
        <w:t>por ello abandonar otras formas clásicas y alternativas de ir incre- mentando la eficacia del empleo de los combustibles fósiles aún</w:t>
      </w:r>
      <w:r>
        <w:rPr>
          <w:color w:val="231F20"/>
          <w:spacing w:val="-33"/>
          <w:w w:val="110"/>
        </w:rPr>
        <w:t> </w:t>
      </w:r>
      <w:r>
        <w:rPr>
          <w:color w:val="231F20"/>
          <w:w w:val="110"/>
        </w:rPr>
        <w:t>dis- ponibles, tampoco pueden golpear en su </w:t>
      </w:r>
      <w:r>
        <w:rPr>
          <w:i/>
          <w:color w:val="231F20"/>
          <w:w w:val="110"/>
        </w:rPr>
        <w:t>quid</w:t>
      </w:r>
      <w:r>
        <w:rPr>
          <w:color w:val="231F20"/>
          <w:w w:val="110"/>
        </w:rPr>
        <w:t>, por estar inmersos en la lógica dominante del capitalismo monopolista transnacionalizado en su metrópoli. Este </w:t>
      </w:r>
      <w:r>
        <w:rPr>
          <w:i/>
          <w:color w:val="231F20"/>
          <w:w w:val="110"/>
        </w:rPr>
        <w:t>quid </w:t>
      </w:r>
      <w:r>
        <w:rPr>
          <w:color w:val="231F20"/>
          <w:w w:val="110"/>
        </w:rPr>
        <w:t>habría que buscarlo en la elaboración de estrategias de tránsito hacia fuentes abundantes, renovables y lim- pias, por excelencia la infinita energía solar (disponible totalmente gratis por varios miles de millones de años más). Sin embargo, su asimilación para sustituir el nivel de consumo energético actual y futuro, requeriría de voluntad política para encarar las enormes inversiones y los cuantiosos gastos energéticos que la lógica del mercado capitalista no está dispuesta a suplir todavía en Estados Unidos. No obstante, de no emprenderse esas estrategias hoy (como ya lo hacen Europa, China y otros países asiáticos, con relación a la energía hidráulica, eólica y solar) más adelante, con la disminución y el correspondiente encarecimiento del combustible fósil y</w:t>
      </w:r>
      <w:r>
        <w:rPr>
          <w:color w:val="231F20"/>
          <w:spacing w:val="-14"/>
          <w:w w:val="110"/>
        </w:rPr>
        <w:t> </w:t>
      </w:r>
      <w:r>
        <w:rPr>
          <w:color w:val="231F20"/>
          <w:w w:val="110"/>
        </w:rPr>
        <w:t>nuclear, se haría mucho más onerosa, sino totalmente imposible, la creación de su base </w:t>
      </w:r>
      <w:r>
        <w:rPr>
          <w:color w:val="231F20"/>
          <w:spacing w:val="25"/>
          <w:w w:val="110"/>
        </w:rPr>
        <w:t> </w:t>
      </w:r>
      <w:r>
        <w:rPr>
          <w:color w:val="231F20"/>
          <w:w w:val="110"/>
        </w:rPr>
        <w:t>infraestructural.</w:t>
      </w:r>
    </w:p>
    <w:p>
      <w:pPr>
        <w:pStyle w:val="BodyText"/>
        <w:spacing w:line="261" w:lineRule="auto"/>
        <w:ind w:left="100" w:right="115" w:firstLine="240"/>
        <w:jc w:val="both"/>
      </w:pPr>
      <w:r>
        <w:rPr>
          <w:color w:val="231F20"/>
          <w:w w:val="110"/>
        </w:rPr>
        <w:t>Cada vez más, entre los académicos estadunidenses, se propug- na el llamado </w:t>
      </w:r>
      <w:r>
        <w:rPr>
          <w:i/>
          <w:color w:val="231F20"/>
          <w:w w:val="110"/>
        </w:rPr>
        <w:t>comunismo solar</w:t>
      </w:r>
      <w:r>
        <w:rPr>
          <w:color w:val="231F20"/>
          <w:w w:val="110"/>
        </w:rPr>
        <w:t>, con cuya abundancia energética se podría garantizar todas las necesidades del desarrollo sostenible a escala planetaria y, con ello, la solución del cúmulo de necesidades del </w:t>
      </w:r>
      <w:r>
        <w:rPr>
          <w:i/>
          <w:color w:val="231F20"/>
          <w:w w:val="110"/>
        </w:rPr>
        <w:t>buen vivir </w:t>
      </w:r>
      <w:r>
        <w:rPr>
          <w:color w:val="231F20"/>
          <w:w w:val="110"/>
        </w:rPr>
        <w:t>de la humanidad. Pero, evidentemente, aún las más intrépidas funciones de cambio propugnadas por Obama en su campaña electoral, no llegarían tan lejos. Se evidencia la    ausencia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03"/>
        <w:rPr>
          <w:sz w:val="13"/>
        </w:rPr>
      </w:pPr>
      <w:r>
        <w:rPr>
          <w:color w:val="231F20"/>
          <w:w w:val="105"/>
        </w:rPr>
        <w:t>de una proyección estratégica integral y de la correspondiente vo- luntad   política.</w:t>
      </w:r>
      <w:r>
        <w:rPr>
          <w:color w:val="231F20"/>
          <w:w w:val="105"/>
          <w:position w:val="6"/>
          <w:sz w:val="13"/>
        </w:rPr>
        <w:t>4</w:t>
      </w:r>
    </w:p>
    <w:p>
      <w:pPr>
        <w:pStyle w:val="BodyText"/>
        <w:spacing w:line="261" w:lineRule="auto"/>
        <w:ind w:left="100" w:right="117" w:firstLine="240"/>
        <w:jc w:val="right"/>
      </w:pPr>
      <w:r>
        <w:rPr>
          <w:color w:val="231F20"/>
          <w:w w:val="105"/>
        </w:rPr>
        <w:t>Contrastan con ello los grandiosos ritmos logrados por China</w:t>
      </w:r>
      <w:r>
        <w:rPr>
          <w:color w:val="231F20"/>
          <w:spacing w:val="39"/>
          <w:w w:val="105"/>
        </w:rPr>
        <w:t> </w:t>
      </w:r>
      <w:r>
        <w:rPr>
          <w:color w:val="231F20"/>
          <w:w w:val="105"/>
        </w:rPr>
        <w:t>en</w:t>
      </w:r>
      <w:r>
        <w:rPr>
          <w:color w:val="231F20"/>
          <w:spacing w:val="16"/>
          <w:w w:val="105"/>
        </w:rPr>
        <w:t> </w:t>
      </w:r>
      <w:r>
        <w:rPr>
          <w:color w:val="231F20"/>
          <w:w w:val="105"/>
        </w:rPr>
        <w:t>la</w:t>
      </w:r>
      <w:r>
        <w:rPr>
          <w:color w:val="231F20"/>
          <w:w w:val="105"/>
        </w:rPr>
        <w:t> </w:t>
      </w:r>
      <w:r>
        <w:rPr>
          <w:color w:val="231F20"/>
          <w:w w:val="105"/>
        </w:rPr>
        <w:t>eficiente</w:t>
      </w:r>
      <w:r>
        <w:rPr>
          <w:color w:val="231F20"/>
          <w:spacing w:val="26"/>
          <w:w w:val="105"/>
        </w:rPr>
        <w:t> </w:t>
      </w:r>
      <w:r>
        <w:rPr>
          <w:color w:val="231F20"/>
          <w:w w:val="105"/>
        </w:rPr>
        <w:t>conversión</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anticuada</w:t>
      </w:r>
      <w:r>
        <w:rPr>
          <w:color w:val="231F20"/>
          <w:spacing w:val="26"/>
          <w:w w:val="105"/>
        </w:rPr>
        <w:t> </w:t>
      </w:r>
      <w:r>
        <w:rPr>
          <w:color w:val="231F20"/>
          <w:w w:val="105"/>
        </w:rPr>
        <w:t>base</w:t>
      </w:r>
      <w:r>
        <w:rPr>
          <w:color w:val="231F20"/>
          <w:spacing w:val="26"/>
          <w:w w:val="105"/>
        </w:rPr>
        <w:t> </w:t>
      </w:r>
      <w:r>
        <w:rPr>
          <w:color w:val="231F20"/>
          <w:w w:val="105"/>
        </w:rPr>
        <w:t>energética</w:t>
      </w:r>
      <w:r>
        <w:rPr>
          <w:color w:val="231F20"/>
          <w:spacing w:val="26"/>
          <w:w w:val="105"/>
        </w:rPr>
        <w:t> </w:t>
      </w:r>
      <w:r>
        <w:rPr>
          <w:color w:val="231F20"/>
          <w:w w:val="105"/>
        </w:rPr>
        <w:t>de</w:t>
      </w:r>
      <w:r>
        <w:rPr>
          <w:color w:val="231F20"/>
          <w:spacing w:val="26"/>
          <w:w w:val="105"/>
        </w:rPr>
        <w:t> </w:t>
      </w:r>
      <w:r>
        <w:rPr>
          <w:color w:val="231F20"/>
          <w:w w:val="105"/>
        </w:rPr>
        <w:t>carbón</w:t>
      </w:r>
      <w:r>
        <w:rPr>
          <w:color w:val="231F20"/>
          <w:spacing w:val="26"/>
          <w:w w:val="105"/>
        </w:rPr>
        <w:t> </w:t>
      </w:r>
      <w:r>
        <w:rPr>
          <w:color w:val="231F20"/>
          <w:w w:val="105"/>
        </w:rPr>
        <w:t>hacia</w:t>
      </w:r>
      <w:r>
        <w:rPr>
          <w:color w:val="231F20"/>
          <w:w w:val="109"/>
        </w:rPr>
        <w:t> </w:t>
      </w:r>
      <w:r>
        <w:rPr>
          <w:color w:val="231F20"/>
          <w:w w:val="105"/>
        </w:rPr>
        <w:t>fuentes alternativas limpias, y su disposición a la</w:t>
      </w:r>
      <w:r>
        <w:rPr>
          <w:color w:val="231F20"/>
          <w:spacing w:val="45"/>
          <w:w w:val="105"/>
        </w:rPr>
        <w:t> </w:t>
      </w:r>
      <w:r>
        <w:rPr>
          <w:color w:val="231F20"/>
          <w:w w:val="105"/>
        </w:rPr>
        <w:t>cooperación</w:t>
      </w:r>
      <w:r>
        <w:rPr>
          <w:color w:val="231F20"/>
          <w:spacing w:val="12"/>
          <w:w w:val="105"/>
        </w:rPr>
        <w:t> </w:t>
      </w:r>
      <w:r>
        <w:rPr>
          <w:color w:val="231F20"/>
          <w:w w:val="105"/>
        </w:rPr>
        <w:t>interna-</w:t>
      </w:r>
      <w:r>
        <w:rPr>
          <w:color w:val="231F20"/>
          <w:w w:val="72"/>
        </w:rPr>
        <w:t> </w:t>
      </w:r>
      <w:r>
        <w:rPr>
          <w:color w:val="231F20"/>
          <w:w w:val="105"/>
        </w:rPr>
        <w:t>cional </w:t>
      </w:r>
      <w:r>
        <w:rPr>
          <w:color w:val="231F20"/>
          <w:w w:val="115"/>
        </w:rPr>
        <w:t>altec </w:t>
      </w:r>
      <w:r>
        <w:rPr>
          <w:color w:val="231F20"/>
          <w:w w:val="105"/>
        </w:rPr>
        <w:t>en interés mutuo.  Este  enfoque,  sin  duda</w:t>
      </w:r>
      <w:r>
        <w:rPr>
          <w:color w:val="231F20"/>
          <w:spacing w:val="-12"/>
          <w:w w:val="105"/>
        </w:rPr>
        <w:t> </w:t>
      </w:r>
      <w:r>
        <w:rPr>
          <w:color w:val="231F20"/>
          <w:w w:val="105"/>
        </w:rPr>
        <w:t>interesaría</w:t>
      </w:r>
      <w:r>
        <w:rPr>
          <w:color w:val="231F20"/>
          <w:spacing w:val="46"/>
          <w:w w:val="105"/>
        </w:rPr>
        <w:t> </w:t>
      </w:r>
      <w:r>
        <w:rPr>
          <w:color w:val="231F20"/>
          <w:w w:val="105"/>
        </w:rPr>
        <w:t>a</w:t>
      </w:r>
      <w:r>
        <w:rPr>
          <w:color w:val="231F20"/>
          <w:w w:val="108"/>
        </w:rPr>
        <w:t> </w:t>
      </w:r>
      <w:r>
        <w:rPr>
          <w:color w:val="231F20"/>
          <w:w w:val="105"/>
        </w:rPr>
        <w:t>las compañías especializadas estadunidenses, no  obstante</w:t>
      </w:r>
      <w:r>
        <w:rPr>
          <w:color w:val="231F20"/>
          <w:spacing w:val="-22"/>
          <w:w w:val="105"/>
        </w:rPr>
        <w:t> </w:t>
      </w:r>
      <w:r>
        <w:rPr>
          <w:color w:val="231F20"/>
          <w:w w:val="105"/>
        </w:rPr>
        <w:t>choca</w:t>
      </w:r>
      <w:r>
        <w:rPr>
          <w:color w:val="231F20"/>
          <w:spacing w:val="40"/>
          <w:w w:val="105"/>
        </w:rPr>
        <w:t> </w:t>
      </w:r>
      <w:r>
        <w:rPr>
          <w:color w:val="231F20"/>
          <w:w w:val="105"/>
        </w:rPr>
        <w:t>con</w:t>
      </w:r>
      <w:r>
        <w:rPr>
          <w:color w:val="231F20"/>
          <w:w w:val="112"/>
        </w:rPr>
        <w:t> </w:t>
      </w:r>
      <w:r>
        <w:rPr>
          <w:color w:val="231F20"/>
          <w:w w:val="105"/>
        </w:rPr>
        <w:t>los intereses conservadores de las corporaciones transnacionales</w:t>
      </w:r>
      <w:r>
        <w:rPr>
          <w:color w:val="231F20"/>
          <w:spacing w:val="17"/>
          <w:w w:val="105"/>
        </w:rPr>
        <w:t> </w:t>
      </w:r>
      <w:r>
        <w:rPr>
          <w:color w:val="231F20"/>
          <w:w w:val="105"/>
        </w:rPr>
        <w:t>y</w:t>
      </w:r>
      <w:r>
        <w:rPr>
          <w:color w:val="231F20"/>
          <w:spacing w:val="24"/>
          <w:w w:val="105"/>
        </w:rPr>
        <w:t> </w:t>
      </w:r>
      <w:r>
        <w:rPr>
          <w:color w:val="231F20"/>
          <w:w w:val="105"/>
        </w:rPr>
        <w:t>su</w:t>
      </w:r>
      <w:r>
        <w:rPr>
          <w:color w:val="231F20"/>
          <w:w w:val="105"/>
        </w:rPr>
        <w:t> </w:t>
      </w:r>
      <w:r>
        <w:rPr>
          <w:i/>
          <w:color w:val="231F20"/>
          <w:w w:val="105"/>
        </w:rPr>
        <w:t>lobby </w:t>
      </w:r>
      <w:r>
        <w:rPr>
          <w:color w:val="231F20"/>
          <w:w w:val="105"/>
        </w:rPr>
        <w:t>del complejo militar industrial. Aunque Estados</w:t>
      </w:r>
      <w:r>
        <w:rPr>
          <w:color w:val="231F20"/>
          <w:spacing w:val="48"/>
          <w:w w:val="105"/>
        </w:rPr>
        <w:t> </w:t>
      </w:r>
      <w:r>
        <w:rPr>
          <w:color w:val="231F20"/>
          <w:w w:val="105"/>
        </w:rPr>
        <w:t>Unidos</w:t>
      </w:r>
      <w:r>
        <w:rPr>
          <w:color w:val="231F20"/>
          <w:spacing w:val="14"/>
          <w:w w:val="105"/>
        </w:rPr>
        <w:t> </w:t>
      </w:r>
      <w:r>
        <w:rPr>
          <w:color w:val="231F20"/>
          <w:w w:val="105"/>
        </w:rPr>
        <w:t>domina</w:t>
      </w:r>
      <w:r>
        <w:rPr>
          <w:color w:val="231F20"/>
          <w:w w:val="112"/>
        </w:rPr>
        <w:t> </w:t>
      </w:r>
      <w:r>
        <w:rPr>
          <w:color w:val="231F20"/>
          <w:w w:val="105"/>
        </w:rPr>
        <w:t>la</w:t>
      </w:r>
      <w:r>
        <w:rPr>
          <w:color w:val="231F20"/>
          <w:spacing w:val="38"/>
          <w:w w:val="105"/>
        </w:rPr>
        <w:t> </w:t>
      </w:r>
      <w:r>
        <w:rPr>
          <w:color w:val="231F20"/>
          <w:w w:val="105"/>
        </w:rPr>
        <w:t>innovación</w:t>
      </w:r>
      <w:r>
        <w:rPr>
          <w:color w:val="231F20"/>
          <w:spacing w:val="38"/>
          <w:w w:val="105"/>
        </w:rPr>
        <w:t> </w:t>
      </w:r>
      <w:r>
        <w:rPr>
          <w:color w:val="231F20"/>
          <w:w w:val="105"/>
        </w:rPr>
        <w:t>tecnológica,</w:t>
      </w:r>
      <w:r>
        <w:rPr>
          <w:color w:val="231F20"/>
          <w:spacing w:val="38"/>
          <w:w w:val="105"/>
        </w:rPr>
        <w:t> </w:t>
      </w:r>
      <w:r>
        <w:rPr>
          <w:color w:val="231F20"/>
          <w:w w:val="105"/>
        </w:rPr>
        <w:t>su</w:t>
      </w:r>
      <w:r>
        <w:rPr>
          <w:color w:val="231F20"/>
          <w:spacing w:val="38"/>
          <w:w w:val="105"/>
        </w:rPr>
        <w:t> </w:t>
      </w:r>
      <w:r>
        <w:rPr>
          <w:color w:val="231F20"/>
          <w:w w:val="105"/>
        </w:rPr>
        <w:t>inversión</w:t>
      </w:r>
      <w:r>
        <w:rPr>
          <w:color w:val="231F20"/>
          <w:spacing w:val="38"/>
          <w:w w:val="105"/>
        </w:rPr>
        <w:t> </w:t>
      </w:r>
      <w:r>
        <w:rPr>
          <w:color w:val="231F20"/>
          <w:w w:val="105"/>
        </w:rPr>
        <w:t>en</w:t>
      </w:r>
      <w:r>
        <w:rPr>
          <w:color w:val="231F20"/>
          <w:spacing w:val="38"/>
          <w:w w:val="105"/>
        </w:rPr>
        <w:t> </w:t>
      </w:r>
      <w:r>
        <w:rPr>
          <w:color w:val="231F20"/>
          <w:w w:val="105"/>
        </w:rPr>
        <w:t>energía</w:t>
      </w:r>
      <w:r>
        <w:rPr>
          <w:color w:val="231F20"/>
          <w:spacing w:val="38"/>
          <w:w w:val="105"/>
        </w:rPr>
        <w:t> </w:t>
      </w:r>
      <w:r>
        <w:rPr>
          <w:color w:val="231F20"/>
          <w:w w:val="105"/>
        </w:rPr>
        <w:t>limpia</w:t>
      </w:r>
      <w:r>
        <w:rPr>
          <w:color w:val="231F20"/>
          <w:spacing w:val="38"/>
          <w:w w:val="105"/>
        </w:rPr>
        <w:t> </w:t>
      </w:r>
      <w:r>
        <w:rPr>
          <w:color w:val="231F20"/>
          <w:w w:val="105"/>
        </w:rPr>
        <w:t>bajó</w:t>
      </w:r>
      <w:r>
        <w:rPr>
          <w:color w:val="231F20"/>
          <w:spacing w:val="38"/>
          <w:w w:val="105"/>
        </w:rPr>
        <w:t> </w:t>
      </w:r>
      <w:r>
        <w:rPr>
          <w:color w:val="231F20"/>
          <w:w w:val="105"/>
        </w:rPr>
        <w:t>42%</w:t>
      </w:r>
      <w:r>
        <w:rPr>
          <w:color w:val="231F20"/>
          <w:w w:val="105"/>
        </w:rPr>
        <w:t> </w:t>
      </w:r>
      <w:r>
        <w:rPr>
          <w:color w:val="231F20"/>
          <w:w w:val="105"/>
        </w:rPr>
        <w:t>en 2009, en comparación con 2008. China ha superado</w:t>
      </w:r>
      <w:r>
        <w:rPr>
          <w:color w:val="231F20"/>
          <w:spacing w:val="13"/>
          <w:w w:val="105"/>
        </w:rPr>
        <w:t> </w:t>
      </w:r>
      <w:r>
        <w:rPr>
          <w:color w:val="231F20"/>
          <w:w w:val="105"/>
        </w:rPr>
        <w:t>a</w:t>
      </w:r>
      <w:r>
        <w:rPr>
          <w:color w:val="231F20"/>
          <w:spacing w:val="1"/>
          <w:w w:val="105"/>
        </w:rPr>
        <w:t> </w:t>
      </w:r>
      <w:r>
        <w:rPr>
          <w:color w:val="231F20"/>
          <w:w w:val="105"/>
        </w:rPr>
        <w:t>Estados</w:t>
      </w:r>
      <w:r>
        <w:rPr>
          <w:color w:val="231F20"/>
          <w:w w:val="105"/>
        </w:rPr>
        <w:t> </w:t>
      </w:r>
      <w:r>
        <w:rPr>
          <w:color w:val="231F20"/>
          <w:w w:val="105"/>
        </w:rPr>
        <w:t>Unidos como primer inversor en energía limpia, situándose</w:t>
      </w:r>
      <w:r>
        <w:rPr>
          <w:color w:val="231F20"/>
          <w:spacing w:val="41"/>
          <w:w w:val="105"/>
        </w:rPr>
        <w:t> </w:t>
      </w:r>
      <w:r>
        <w:rPr>
          <w:color w:val="231F20"/>
          <w:w w:val="105"/>
        </w:rPr>
        <w:t>con</w:t>
      </w:r>
      <w:r>
        <w:rPr>
          <w:color w:val="231F20"/>
          <w:spacing w:val="24"/>
          <w:w w:val="105"/>
        </w:rPr>
        <w:t> </w:t>
      </w:r>
      <w:r>
        <w:rPr>
          <w:color w:val="231F20"/>
          <w:w w:val="105"/>
        </w:rPr>
        <w:t>19%</w:t>
      </w:r>
      <w:r>
        <w:rPr>
          <w:color w:val="231F20"/>
          <w:w w:val="105"/>
        </w:rPr>
        <w:t> </w:t>
      </w:r>
      <w:r>
        <w:rPr>
          <w:color w:val="231F20"/>
          <w:w w:val="105"/>
        </w:rPr>
        <w:t>en este campo emergente,  determinado  a  ubicarse  a </w:t>
      </w:r>
      <w:r>
        <w:rPr>
          <w:color w:val="231F20"/>
          <w:spacing w:val="14"/>
          <w:w w:val="105"/>
        </w:rPr>
        <w:t> </w:t>
      </w:r>
      <w:r>
        <w:rPr>
          <w:color w:val="231F20"/>
          <w:w w:val="105"/>
        </w:rPr>
        <w:t>la </w:t>
      </w:r>
      <w:r>
        <w:rPr>
          <w:color w:val="231F20"/>
          <w:spacing w:val="1"/>
          <w:w w:val="105"/>
        </w:rPr>
        <w:t> </w:t>
      </w:r>
      <w:r>
        <w:rPr>
          <w:color w:val="231F20"/>
          <w:w w:val="105"/>
        </w:rPr>
        <w:t>vanguardia</w:t>
      </w:r>
      <w:r>
        <w:rPr>
          <w:color w:val="231F20"/>
          <w:w w:val="108"/>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tecnología</w:t>
      </w:r>
      <w:r>
        <w:rPr>
          <w:color w:val="231F20"/>
          <w:spacing w:val="21"/>
          <w:w w:val="105"/>
        </w:rPr>
        <w:t> </w:t>
      </w:r>
      <w:r>
        <w:rPr>
          <w:color w:val="231F20"/>
          <w:w w:val="105"/>
        </w:rPr>
        <w:t>verde.</w:t>
      </w:r>
      <w:r>
        <w:rPr>
          <w:color w:val="231F20"/>
          <w:spacing w:val="21"/>
          <w:w w:val="105"/>
        </w:rPr>
        <w:t> </w:t>
      </w:r>
      <w:r>
        <w:rPr>
          <w:color w:val="231F20"/>
          <w:w w:val="105"/>
        </w:rPr>
        <w:t>La</w:t>
      </w:r>
      <w:r>
        <w:rPr>
          <w:color w:val="231F20"/>
          <w:spacing w:val="21"/>
          <w:w w:val="105"/>
        </w:rPr>
        <w:t> </w:t>
      </w:r>
      <w:r>
        <w:rPr>
          <w:color w:val="231F20"/>
          <w:w w:val="105"/>
        </w:rPr>
        <w:t>inversión</w:t>
      </w:r>
      <w:r>
        <w:rPr>
          <w:color w:val="231F20"/>
          <w:spacing w:val="21"/>
          <w:w w:val="105"/>
        </w:rPr>
        <w:t> </w:t>
      </w:r>
      <w:r>
        <w:rPr>
          <w:color w:val="231F20"/>
          <w:w w:val="105"/>
        </w:rPr>
        <w:t>china</w:t>
      </w:r>
      <w:r>
        <w:rPr>
          <w:color w:val="231F20"/>
          <w:spacing w:val="21"/>
          <w:w w:val="105"/>
        </w:rPr>
        <w:t> </w:t>
      </w:r>
      <w:r>
        <w:rPr>
          <w:color w:val="231F20"/>
          <w:w w:val="105"/>
        </w:rPr>
        <w:t>en</w:t>
      </w:r>
      <w:r>
        <w:rPr>
          <w:color w:val="231F20"/>
          <w:spacing w:val="21"/>
          <w:w w:val="105"/>
        </w:rPr>
        <w:t> </w:t>
      </w:r>
      <w:r>
        <w:rPr>
          <w:color w:val="231F20"/>
          <w:w w:val="105"/>
        </w:rPr>
        <w:t>energía</w:t>
      </w:r>
      <w:r>
        <w:rPr>
          <w:color w:val="231F20"/>
          <w:spacing w:val="21"/>
          <w:w w:val="105"/>
        </w:rPr>
        <w:t> </w:t>
      </w:r>
      <w:r>
        <w:rPr>
          <w:color w:val="231F20"/>
          <w:w w:val="105"/>
        </w:rPr>
        <w:t>limpia</w:t>
      </w:r>
      <w:r>
        <w:rPr>
          <w:color w:val="231F20"/>
          <w:spacing w:val="21"/>
          <w:w w:val="105"/>
        </w:rPr>
        <w:t> </w:t>
      </w:r>
      <w:r>
        <w:rPr>
          <w:color w:val="231F20"/>
          <w:w w:val="105"/>
        </w:rPr>
        <w:t>se</w:t>
      </w:r>
      <w:r>
        <w:rPr>
          <w:color w:val="231F20"/>
          <w:spacing w:val="21"/>
          <w:w w:val="105"/>
        </w:rPr>
        <w:t> </w:t>
      </w:r>
      <w:r>
        <w:rPr>
          <w:color w:val="231F20"/>
          <w:w w:val="105"/>
        </w:rPr>
        <w:t>elevó</w:t>
      </w:r>
      <w:r>
        <w:rPr>
          <w:color w:val="231F20"/>
          <w:w w:val="104"/>
        </w:rPr>
        <w:t> </w:t>
      </w:r>
      <w:r>
        <w:rPr>
          <w:color w:val="231F20"/>
          <w:w w:val="105"/>
        </w:rPr>
        <w:t>en</w:t>
      </w:r>
      <w:r>
        <w:rPr>
          <w:color w:val="231F20"/>
          <w:spacing w:val="18"/>
          <w:w w:val="105"/>
        </w:rPr>
        <w:t> </w:t>
      </w:r>
      <w:r>
        <w:rPr>
          <w:color w:val="231F20"/>
          <w:w w:val="105"/>
        </w:rPr>
        <w:t>más</w:t>
      </w:r>
      <w:r>
        <w:rPr>
          <w:color w:val="231F20"/>
          <w:spacing w:val="18"/>
          <w:w w:val="105"/>
        </w:rPr>
        <w:t> </w:t>
      </w:r>
      <w:r>
        <w:rPr>
          <w:color w:val="231F20"/>
          <w:w w:val="105"/>
        </w:rPr>
        <w:t>de</w:t>
      </w:r>
      <w:r>
        <w:rPr>
          <w:color w:val="231F20"/>
          <w:spacing w:val="18"/>
          <w:w w:val="105"/>
        </w:rPr>
        <w:t> </w:t>
      </w:r>
      <w:r>
        <w:rPr>
          <w:color w:val="231F20"/>
          <w:w w:val="105"/>
        </w:rPr>
        <w:t>50%</w:t>
      </w:r>
      <w:r>
        <w:rPr>
          <w:color w:val="231F20"/>
          <w:spacing w:val="18"/>
          <w:w w:val="105"/>
        </w:rPr>
        <w:t> </w:t>
      </w:r>
      <w:r>
        <w:rPr>
          <w:color w:val="231F20"/>
          <w:w w:val="105"/>
        </w:rPr>
        <w:t>en</w:t>
      </w:r>
      <w:r>
        <w:rPr>
          <w:color w:val="231F20"/>
          <w:spacing w:val="18"/>
          <w:w w:val="105"/>
        </w:rPr>
        <w:t> </w:t>
      </w:r>
      <w:r>
        <w:rPr>
          <w:color w:val="231F20"/>
          <w:w w:val="105"/>
        </w:rPr>
        <w:t>2009,</w:t>
      </w:r>
      <w:r>
        <w:rPr>
          <w:color w:val="231F20"/>
          <w:spacing w:val="18"/>
          <w:w w:val="105"/>
        </w:rPr>
        <w:t> </w:t>
      </w:r>
      <w:r>
        <w:rPr>
          <w:color w:val="231F20"/>
          <w:w w:val="105"/>
        </w:rPr>
        <w:t>para</w:t>
      </w:r>
      <w:r>
        <w:rPr>
          <w:color w:val="231F20"/>
          <w:spacing w:val="18"/>
          <w:w w:val="105"/>
        </w:rPr>
        <w:t> </w:t>
      </w:r>
      <w:r>
        <w:rPr>
          <w:color w:val="231F20"/>
          <w:w w:val="105"/>
        </w:rPr>
        <w:t>alcanzar</w:t>
      </w:r>
      <w:r>
        <w:rPr>
          <w:color w:val="231F20"/>
          <w:spacing w:val="18"/>
          <w:w w:val="105"/>
        </w:rPr>
        <w:t> </w:t>
      </w:r>
      <w:r>
        <w:rPr>
          <w:color w:val="231F20"/>
          <w:w w:val="105"/>
        </w:rPr>
        <w:t>34</w:t>
      </w:r>
      <w:r>
        <w:rPr>
          <w:color w:val="231F20"/>
          <w:spacing w:val="18"/>
          <w:w w:val="105"/>
        </w:rPr>
        <w:t> </w:t>
      </w:r>
      <w:r>
        <w:rPr>
          <w:color w:val="231F20"/>
          <w:w w:val="105"/>
        </w:rPr>
        <w:t>600</w:t>
      </w:r>
      <w:r>
        <w:rPr>
          <w:color w:val="231F20"/>
          <w:spacing w:val="18"/>
          <w:w w:val="105"/>
        </w:rPr>
        <w:t> </w:t>
      </w:r>
      <w:r>
        <w:rPr>
          <w:color w:val="231F20"/>
          <w:w w:val="105"/>
        </w:rPr>
        <w:t>millones</w:t>
      </w:r>
      <w:r>
        <w:rPr>
          <w:color w:val="231F20"/>
          <w:spacing w:val="18"/>
          <w:w w:val="105"/>
        </w:rPr>
        <w:t> </w:t>
      </w:r>
      <w:r>
        <w:rPr>
          <w:color w:val="231F20"/>
          <w:w w:val="105"/>
        </w:rPr>
        <w:t>dólares,</w:t>
      </w:r>
      <w:r>
        <w:rPr>
          <w:color w:val="231F20"/>
          <w:spacing w:val="18"/>
          <w:w w:val="105"/>
        </w:rPr>
        <w:t> </w:t>
      </w:r>
      <w:r>
        <w:rPr>
          <w:color w:val="231F20"/>
          <w:w w:val="105"/>
        </w:rPr>
        <w:t>cifra</w:t>
      </w:r>
      <w:r>
        <w:rPr>
          <w:color w:val="231F20"/>
          <w:w w:val="105"/>
        </w:rPr>
        <w:t> </w:t>
      </w:r>
      <w:r>
        <w:rPr>
          <w:color w:val="231F20"/>
          <w:w w:val="105"/>
        </w:rPr>
        <w:t>superior</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de</w:t>
      </w:r>
      <w:r>
        <w:rPr>
          <w:color w:val="231F20"/>
          <w:spacing w:val="38"/>
          <w:w w:val="105"/>
        </w:rPr>
        <w:t> </w:t>
      </w:r>
      <w:r>
        <w:rPr>
          <w:color w:val="231F20"/>
          <w:w w:val="105"/>
        </w:rPr>
        <w:t>cualquier</w:t>
      </w:r>
      <w:r>
        <w:rPr>
          <w:color w:val="231F20"/>
          <w:spacing w:val="38"/>
          <w:w w:val="105"/>
        </w:rPr>
        <w:t> </w:t>
      </w:r>
      <w:r>
        <w:rPr>
          <w:color w:val="231F20"/>
          <w:w w:val="105"/>
        </w:rPr>
        <w:t>otro</w:t>
      </w:r>
      <w:r>
        <w:rPr>
          <w:color w:val="231F20"/>
          <w:spacing w:val="38"/>
          <w:w w:val="105"/>
        </w:rPr>
        <w:t> </w:t>
      </w:r>
      <w:r>
        <w:rPr>
          <w:color w:val="231F20"/>
          <w:w w:val="105"/>
        </w:rPr>
        <w:t>país</w:t>
      </w:r>
      <w:r>
        <w:rPr>
          <w:color w:val="231F20"/>
          <w:spacing w:val="38"/>
          <w:w w:val="105"/>
        </w:rPr>
        <w:t> </w:t>
      </w:r>
      <w:r>
        <w:rPr>
          <w:color w:val="231F20"/>
          <w:w w:val="105"/>
        </w:rPr>
        <w:t>del</w:t>
      </w:r>
      <w:r>
        <w:rPr>
          <w:color w:val="231F20"/>
          <w:spacing w:val="38"/>
          <w:w w:val="105"/>
        </w:rPr>
        <w:t> </w:t>
      </w:r>
      <w:r>
        <w:rPr>
          <w:color w:val="231F20"/>
          <w:w w:val="105"/>
        </w:rPr>
        <w:t>G20.</w:t>
      </w:r>
      <w:r>
        <w:rPr>
          <w:color w:val="231F20"/>
          <w:spacing w:val="38"/>
          <w:w w:val="105"/>
        </w:rPr>
        <w:t> </w:t>
      </w:r>
      <w:r>
        <w:rPr>
          <w:color w:val="231F20"/>
          <w:w w:val="105"/>
        </w:rPr>
        <w:t>Mientras,</w:t>
      </w:r>
      <w:r>
        <w:rPr>
          <w:color w:val="231F20"/>
          <w:spacing w:val="38"/>
          <w:w w:val="105"/>
        </w:rPr>
        <w:t> </w:t>
      </w:r>
      <w:r>
        <w:rPr>
          <w:color w:val="231F20"/>
          <w:w w:val="105"/>
        </w:rPr>
        <w:t>la</w:t>
      </w:r>
      <w:r>
        <w:rPr>
          <w:color w:val="231F20"/>
          <w:spacing w:val="38"/>
          <w:w w:val="105"/>
        </w:rPr>
        <w:t> </w:t>
      </w:r>
      <w:r>
        <w:rPr>
          <w:color w:val="231F20"/>
          <w:w w:val="105"/>
        </w:rPr>
        <w:t>inversión</w:t>
      </w:r>
      <w:r>
        <w:rPr>
          <w:color w:val="231F20"/>
          <w:w w:val="107"/>
        </w:rPr>
        <w:t> </w:t>
      </w:r>
      <w:r>
        <w:rPr>
          <w:color w:val="231F20"/>
          <w:w w:val="105"/>
        </w:rPr>
        <w:t>total de Estados Unidos quedó en 18 600 millones perdiendo</w:t>
      </w:r>
      <w:r>
        <w:rPr>
          <w:color w:val="231F20"/>
          <w:spacing w:val="24"/>
          <w:w w:val="105"/>
        </w:rPr>
        <w:t> </w:t>
      </w:r>
      <w:r>
        <w:rPr>
          <w:color w:val="231F20"/>
          <w:w w:val="105"/>
        </w:rPr>
        <w:t>su</w:t>
      </w:r>
      <w:r>
        <w:rPr>
          <w:color w:val="231F20"/>
          <w:spacing w:val="12"/>
          <w:w w:val="105"/>
        </w:rPr>
        <w:t> </w:t>
      </w:r>
      <w:r>
        <w:rPr>
          <w:color w:val="231F20"/>
          <w:w w:val="105"/>
        </w:rPr>
        <w:t>sitial.</w:t>
      </w:r>
      <w:r>
        <w:rPr>
          <w:color w:val="231F20"/>
          <w:w w:val="102"/>
        </w:rPr>
        <w:t> </w:t>
      </w:r>
      <w:r>
        <w:rPr>
          <w:color w:val="231F20"/>
          <w:w w:val="105"/>
        </w:rPr>
        <w:t>En lo concerniente al fenómeno del cambio climático,</w:t>
      </w:r>
      <w:r>
        <w:rPr>
          <w:color w:val="231F20"/>
          <w:spacing w:val="12"/>
          <w:w w:val="105"/>
        </w:rPr>
        <w:t> </w:t>
      </w:r>
      <w:r>
        <w:rPr>
          <w:color w:val="231F20"/>
          <w:w w:val="105"/>
        </w:rPr>
        <w:t>la</w:t>
      </w:r>
      <w:r>
        <w:rPr>
          <w:color w:val="231F20"/>
          <w:spacing w:val="14"/>
          <w:w w:val="105"/>
        </w:rPr>
        <w:t> </w:t>
      </w:r>
      <w:r>
        <w:rPr>
          <w:color w:val="231F20"/>
          <w:w w:val="105"/>
        </w:rPr>
        <w:t>tris-</w:t>
      </w:r>
      <w:r>
        <w:rPr>
          <w:color w:val="231F20"/>
          <w:w w:val="72"/>
        </w:rPr>
        <w:t> </w:t>
      </w:r>
      <w:r>
        <w:rPr>
          <w:color w:val="231F20"/>
          <w:w w:val="105"/>
        </w:rPr>
        <w:t>temente célebre intervención de Obama en la conferencia</w:t>
      </w:r>
      <w:r>
        <w:rPr>
          <w:color w:val="231F20"/>
          <w:spacing w:val="21"/>
          <w:w w:val="105"/>
        </w:rPr>
        <w:t> </w:t>
      </w:r>
      <w:r>
        <w:rPr>
          <w:color w:val="231F20"/>
          <w:w w:val="105"/>
        </w:rPr>
        <w:t>de</w:t>
      </w:r>
      <w:r>
        <w:rPr>
          <w:color w:val="231F20"/>
          <w:spacing w:val="9"/>
          <w:w w:val="105"/>
        </w:rPr>
        <w:t> </w:t>
      </w:r>
      <w:r>
        <w:rPr>
          <w:color w:val="231F20"/>
          <w:w w:val="105"/>
        </w:rPr>
        <w:t>Co-</w:t>
      </w:r>
      <w:r>
        <w:rPr>
          <w:color w:val="231F20"/>
          <w:w w:val="72"/>
        </w:rPr>
        <w:t> </w:t>
      </w:r>
      <w:r>
        <w:rPr>
          <w:color w:val="231F20"/>
          <w:w w:val="105"/>
        </w:rPr>
        <w:t>penhague (diciembre de 2009), dilatando, como su</w:t>
      </w:r>
      <w:r>
        <w:rPr>
          <w:color w:val="231F20"/>
          <w:spacing w:val="39"/>
          <w:w w:val="105"/>
        </w:rPr>
        <w:t> </w:t>
      </w:r>
      <w:r>
        <w:rPr>
          <w:color w:val="231F20"/>
          <w:w w:val="105"/>
        </w:rPr>
        <w:t>predecesor,</w:t>
      </w:r>
      <w:r>
        <w:rPr>
          <w:color w:val="231F20"/>
          <w:spacing w:val="5"/>
          <w:w w:val="105"/>
        </w:rPr>
        <w:t> </w:t>
      </w:r>
      <w:r>
        <w:rPr>
          <w:color w:val="231F20"/>
          <w:w w:val="105"/>
        </w:rPr>
        <w:t>un</w:t>
      </w:r>
      <w:r>
        <w:rPr>
          <w:color w:val="231F20"/>
          <w:w w:val="118"/>
        </w:rPr>
        <w:t> </w:t>
      </w:r>
      <w:r>
        <w:rPr>
          <w:color w:val="231F20"/>
          <w:w w:val="105"/>
        </w:rPr>
        <w:t>acuerdo vinculante sobre la limitación general de la emisión</w:t>
      </w:r>
      <w:r>
        <w:rPr>
          <w:color w:val="231F20"/>
          <w:spacing w:val="11"/>
          <w:w w:val="105"/>
        </w:rPr>
        <w:t> </w:t>
      </w:r>
      <w:r>
        <w:rPr>
          <w:color w:val="231F20"/>
          <w:w w:val="105"/>
        </w:rPr>
        <w:t>de</w:t>
      </w:r>
      <w:r>
        <w:rPr>
          <w:color w:val="231F20"/>
          <w:spacing w:val="18"/>
          <w:w w:val="105"/>
        </w:rPr>
        <w:t> </w:t>
      </w:r>
      <w:r>
        <w:rPr>
          <w:color w:val="231F20"/>
          <w:w w:val="105"/>
        </w:rPr>
        <w:t>gases</w:t>
      </w:r>
      <w:r>
        <w:rPr>
          <w:color w:val="231F20"/>
          <w:w w:val="102"/>
        </w:rPr>
        <w:t> </w:t>
      </w:r>
      <w:r>
        <w:rPr>
          <w:color w:val="231F20"/>
          <w:w w:val="105"/>
        </w:rPr>
        <w:t>de efecto invernadero, decepcionaría. Había  despertado</w:t>
      </w:r>
      <w:r>
        <w:rPr>
          <w:color w:val="231F20"/>
          <w:spacing w:val="-13"/>
          <w:w w:val="105"/>
        </w:rPr>
        <w:t> </w:t>
      </w:r>
      <w:r>
        <w:rPr>
          <w:color w:val="231F20"/>
          <w:w w:val="105"/>
        </w:rPr>
        <w:t>las</w:t>
      </w:r>
      <w:r>
        <w:rPr>
          <w:color w:val="231F20"/>
          <w:spacing w:val="41"/>
          <w:w w:val="105"/>
        </w:rPr>
        <w:t> </w:t>
      </w:r>
      <w:r>
        <w:rPr>
          <w:color w:val="231F20"/>
          <w:w w:val="105"/>
        </w:rPr>
        <w:t>esperan-</w:t>
      </w:r>
      <w:r>
        <w:rPr>
          <w:color w:val="231F20"/>
          <w:w w:val="72"/>
        </w:rPr>
        <w:t> </w:t>
      </w:r>
      <w:r>
        <w:rPr>
          <w:color w:val="231F20"/>
          <w:w w:val="105"/>
        </w:rPr>
        <w:t>zas de que Estados Unidos se sumara al consenso mundial</w:t>
      </w:r>
      <w:r>
        <w:rPr>
          <w:color w:val="231F20"/>
          <w:spacing w:val="38"/>
          <w:w w:val="105"/>
        </w:rPr>
        <w:t> </w:t>
      </w:r>
      <w:r>
        <w:rPr>
          <w:color w:val="231F20"/>
          <w:w w:val="105"/>
        </w:rPr>
        <w:t>para</w:t>
      </w:r>
      <w:r>
        <w:rPr>
          <w:color w:val="231F20"/>
          <w:spacing w:val="15"/>
          <w:w w:val="105"/>
        </w:rPr>
        <w:t> </w:t>
      </w:r>
      <w:r>
        <w:rPr>
          <w:color w:val="231F20"/>
          <w:w w:val="105"/>
        </w:rPr>
        <w:t>evitar</w:t>
      </w:r>
      <w:r>
        <w:rPr>
          <w:color w:val="231F20"/>
          <w:w w:val="105"/>
        </w:rPr>
        <w:t> </w:t>
      </w:r>
      <w:r>
        <w:rPr>
          <w:color w:val="231F20"/>
          <w:w w:val="105"/>
        </w:rPr>
        <w:t>la</w:t>
      </w:r>
      <w:r>
        <w:rPr>
          <w:color w:val="231F20"/>
          <w:spacing w:val="41"/>
          <w:w w:val="105"/>
        </w:rPr>
        <w:t> </w:t>
      </w:r>
      <w:r>
        <w:rPr>
          <w:color w:val="231F20"/>
          <w:w w:val="105"/>
        </w:rPr>
        <w:t>catástrofe</w:t>
      </w:r>
      <w:r>
        <w:rPr>
          <w:color w:val="231F20"/>
          <w:spacing w:val="41"/>
          <w:w w:val="105"/>
        </w:rPr>
        <w:t> </w:t>
      </w:r>
      <w:r>
        <w:rPr>
          <w:color w:val="231F20"/>
          <w:w w:val="105"/>
        </w:rPr>
        <w:t>ecológica</w:t>
      </w:r>
      <w:r>
        <w:rPr>
          <w:color w:val="231F20"/>
          <w:spacing w:val="41"/>
          <w:w w:val="105"/>
        </w:rPr>
        <w:t> </w:t>
      </w:r>
      <w:r>
        <w:rPr>
          <w:color w:val="231F20"/>
          <w:w w:val="105"/>
        </w:rPr>
        <w:t>que</w:t>
      </w:r>
      <w:r>
        <w:rPr>
          <w:color w:val="231F20"/>
          <w:spacing w:val="41"/>
          <w:w w:val="105"/>
        </w:rPr>
        <w:t> </w:t>
      </w:r>
      <w:r>
        <w:rPr>
          <w:color w:val="231F20"/>
          <w:w w:val="105"/>
        </w:rPr>
        <w:t>amenaza</w:t>
      </w:r>
      <w:r>
        <w:rPr>
          <w:color w:val="231F20"/>
          <w:spacing w:val="41"/>
          <w:w w:val="105"/>
        </w:rPr>
        <w:t> </w:t>
      </w:r>
      <w:r>
        <w:rPr>
          <w:color w:val="231F20"/>
          <w:w w:val="105"/>
        </w:rPr>
        <w:t>la</w:t>
      </w:r>
      <w:r>
        <w:rPr>
          <w:color w:val="231F20"/>
          <w:spacing w:val="41"/>
          <w:w w:val="105"/>
        </w:rPr>
        <w:t> </w:t>
      </w:r>
      <w:r>
        <w:rPr>
          <w:color w:val="231F20"/>
          <w:w w:val="105"/>
        </w:rPr>
        <w:t>especie</w:t>
      </w:r>
      <w:r>
        <w:rPr>
          <w:color w:val="231F20"/>
          <w:spacing w:val="41"/>
          <w:w w:val="105"/>
        </w:rPr>
        <w:t> </w:t>
      </w:r>
      <w:r>
        <w:rPr>
          <w:color w:val="231F20"/>
          <w:w w:val="105"/>
        </w:rPr>
        <w:t>humana.</w:t>
      </w:r>
      <w:r>
        <w:rPr>
          <w:color w:val="231F20"/>
          <w:spacing w:val="41"/>
          <w:w w:val="105"/>
        </w:rPr>
        <w:t> </w:t>
      </w:r>
      <w:r>
        <w:rPr>
          <w:color w:val="231F20"/>
          <w:w w:val="105"/>
        </w:rPr>
        <w:t>La</w:t>
      </w:r>
      <w:r>
        <w:rPr>
          <w:color w:val="231F20"/>
          <w:spacing w:val="41"/>
          <w:w w:val="105"/>
        </w:rPr>
        <w:t> </w:t>
      </w:r>
      <w:r>
        <w:rPr>
          <w:color w:val="231F20"/>
          <w:w w:val="105"/>
        </w:rPr>
        <w:t>política</w:t>
      </w:r>
      <w:r>
        <w:rPr>
          <w:color w:val="231F20"/>
          <w:w w:val="108"/>
        </w:rPr>
        <w:t> </w:t>
      </w:r>
      <w:r>
        <w:rPr>
          <w:color w:val="231F20"/>
          <w:w w:val="105"/>
        </w:rPr>
        <w:t>climática exterior de Obama está limitada por  el</w:t>
      </w:r>
      <w:r>
        <w:rPr>
          <w:color w:val="231F20"/>
          <w:spacing w:val="35"/>
          <w:w w:val="105"/>
        </w:rPr>
        <w:t> </w:t>
      </w:r>
      <w:r>
        <w:rPr>
          <w:color w:val="231F20"/>
          <w:w w:val="105"/>
        </w:rPr>
        <w:t>controvertido</w:t>
      </w:r>
      <w:r>
        <w:rPr>
          <w:color w:val="231F20"/>
          <w:spacing w:val="50"/>
          <w:w w:val="105"/>
        </w:rPr>
        <w:t> </w:t>
      </w:r>
      <w:r>
        <w:rPr>
          <w:color w:val="231F20"/>
          <w:w w:val="105"/>
        </w:rPr>
        <w:t>de-</w:t>
      </w:r>
      <w:r>
        <w:rPr>
          <w:color w:val="231F20"/>
          <w:w w:val="72"/>
        </w:rPr>
        <w:t> </w:t>
      </w:r>
      <w:r>
        <w:rPr>
          <w:color w:val="231F20"/>
          <w:w w:val="105"/>
        </w:rPr>
        <w:t>bate</w:t>
      </w:r>
      <w:r>
        <w:rPr>
          <w:color w:val="231F20"/>
          <w:spacing w:val="26"/>
          <w:w w:val="105"/>
        </w:rPr>
        <w:t> </w:t>
      </w:r>
      <w:r>
        <w:rPr>
          <w:color w:val="231F20"/>
          <w:w w:val="105"/>
        </w:rPr>
        <w:t>interno</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Congreso</w:t>
      </w:r>
      <w:r>
        <w:rPr>
          <w:color w:val="231F20"/>
          <w:spacing w:val="26"/>
          <w:w w:val="105"/>
        </w:rPr>
        <w:t> </w:t>
      </w:r>
      <w:r>
        <w:rPr>
          <w:color w:val="231F20"/>
          <w:w w:val="105"/>
        </w:rPr>
        <w:t>de</w:t>
      </w:r>
      <w:r>
        <w:rPr>
          <w:color w:val="231F20"/>
          <w:spacing w:val="26"/>
          <w:w w:val="105"/>
        </w:rPr>
        <w:t> </w:t>
      </w:r>
      <w:r>
        <w:rPr>
          <w:color w:val="231F20"/>
          <w:w w:val="105"/>
        </w:rPr>
        <w:t>Estados</w:t>
      </w:r>
      <w:r>
        <w:rPr>
          <w:color w:val="231F20"/>
          <w:spacing w:val="26"/>
          <w:w w:val="105"/>
        </w:rPr>
        <w:t> </w:t>
      </w:r>
      <w:r>
        <w:rPr>
          <w:color w:val="231F20"/>
          <w:w w:val="105"/>
        </w:rPr>
        <w:t>Unidos</w:t>
      </w:r>
      <w:r>
        <w:rPr>
          <w:color w:val="231F20"/>
          <w:spacing w:val="26"/>
          <w:w w:val="105"/>
        </w:rPr>
        <w:t> </w:t>
      </w:r>
      <w:r>
        <w:rPr>
          <w:color w:val="231F20"/>
          <w:w w:val="105"/>
        </w:rPr>
        <w:t>sobre</w:t>
      </w:r>
      <w:r>
        <w:rPr>
          <w:color w:val="231F20"/>
          <w:spacing w:val="26"/>
          <w:w w:val="105"/>
        </w:rPr>
        <w:t> </w:t>
      </w:r>
      <w:r>
        <w:rPr>
          <w:color w:val="231F20"/>
          <w:w w:val="105"/>
        </w:rPr>
        <w:t>el</w:t>
      </w:r>
      <w:r>
        <w:rPr>
          <w:color w:val="231F20"/>
          <w:spacing w:val="26"/>
          <w:w w:val="105"/>
        </w:rPr>
        <w:t> </w:t>
      </w:r>
      <w:r>
        <w:rPr>
          <w:i/>
          <w:color w:val="231F20"/>
          <w:w w:val="105"/>
        </w:rPr>
        <w:t>Proyecto</w:t>
      </w:r>
      <w:r>
        <w:rPr>
          <w:i/>
          <w:color w:val="231F20"/>
          <w:spacing w:val="26"/>
          <w:w w:val="105"/>
        </w:rPr>
        <w:t> </w:t>
      </w:r>
      <w:r>
        <w:rPr>
          <w:i/>
          <w:color w:val="231F20"/>
          <w:w w:val="105"/>
        </w:rPr>
        <w:t>de</w:t>
      </w:r>
      <w:r>
        <w:rPr>
          <w:i/>
          <w:color w:val="231F20"/>
          <w:w w:val="88"/>
        </w:rPr>
        <w:t> </w:t>
      </w:r>
      <w:r>
        <w:rPr>
          <w:i/>
          <w:color w:val="231F20"/>
          <w:w w:val="105"/>
        </w:rPr>
        <w:t>ley</w:t>
      </w:r>
      <w:r>
        <w:rPr>
          <w:i/>
          <w:color w:val="231F20"/>
          <w:spacing w:val="-25"/>
          <w:w w:val="105"/>
        </w:rPr>
        <w:t> </w:t>
      </w:r>
      <w:r>
        <w:rPr>
          <w:i/>
          <w:color w:val="231F20"/>
          <w:w w:val="105"/>
        </w:rPr>
        <w:t>estadunidense</w:t>
      </w:r>
      <w:r>
        <w:rPr>
          <w:i/>
          <w:color w:val="231F20"/>
          <w:spacing w:val="-25"/>
          <w:w w:val="105"/>
        </w:rPr>
        <w:t> </w:t>
      </w:r>
      <w:r>
        <w:rPr>
          <w:i/>
          <w:color w:val="231F20"/>
          <w:w w:val="105"/>
        </w:rPr>
        <w:t>sobre</w:t>
      </w:r>
      <w:r>
        <w:rPr>
          <w:i/>
          <w:color w:val="231F20"/>
          <w:spacing w:val="-25"/>
          <w:w w:val="105"/>
        </w:rPr>
        <w:t> </w:t>
      </w:r>
      <w:r>
        <w:rPr>
          <w:i/>
          <w:color w:val="231F20"/>
          <w:w w:val="105"/>
        </w:rPr>
        <w:t>energía</w:t>
      </w:r>
      <w:r>
        <w:rPr>
          <w:i/>
          <w:color w:val="231F20"/>
          <w:spacing w:val="-25"/>
          <w:w w:val="105"/>
        </w:rPr>
        <w:t> </w:t>
      </w:r>
      <w:r>
        <w:rPr>
          <w:i/>
          <w:color w:val="231F20"/>
          <w:w w:val="105"/>
        </w:rPr>
        <w:t>limpia</w:t>
      </w:r>
      <w:r>
        <w:rPr>
          <w:i/>
          <w:color w:val="231F20"/>
          <w:spacing w:val="-25"/>
          <w:w w:val="105"/>
        </w:rPr>
        <w:t> </w:t>
      </w:r>
      <w:r>
        <w:rPr>
          <w:i/>
          <w:color w:val="231F20"/>
          <w:w w:val="105"/>
        </w:rPr>
        <w:t>y</w:t>
      </w:r>
      <w:r>
        <w:rPr>
          <w:i/>
          <w:color w:val="231F20"/>
          <w:spacing w:val="-25"/>
          <w:w w:val="105"/>
        </w:rPr>
        <w:t> </w:t>
      </w:r>
      <w:r>
        <w:rPr>
          <w:i/>
          <w:color w:val="231F20"/>
          <w:w w:val="105"/>
        </w:rPr>
        <w:t>seguridad,</w:t>
      </w:r>
      <w:r>
        <w:rPr>
          <w:i/>
          <w:color w:val="231F20"/>
          <w:spacing w:val="-25"/>
          <w:w w:val="105"/>
        </w:rPr>
        <w:t> </w:t>
      </w:r>
      <w:r>
        <w:rPr>
          <w:color w:val="231F20"/>
          <w:w w:val="105"/>
        </w:rPr>
        <w:t>de</w:t>
      </w:r>
      <w:r>
        <w:rPr>
          <w:color w:val="231F20"/>
          <w:spacing w:val="-25"/>
          <w:w w:val="105"/>
        </w:rPr>
        <w:t> </w:t>
      </w:r>
      <w:r>
        <w:rPr>
          <w:color w:val="231F20"/>
          <w:w w:val="105"/>
        </w:rPr>
        <w:t>difícil</w:t>
      </w:r>
      <w:r>
        <w:rPr>
          <w:color w:val="231F20"/>
          <w:spacing w:val="-25"/>
          <w:w w:val="105"/>
        </w:rPr>
        <w:t> </w:t>
      </w:r>
      <w:r>
        <w:rPr>
          <w:color w:val="231F20"/>
          <w:w w:val="105"/>
        </w:rPr>
        <w:t>aprobación.</w:t>
      </w:r>
      <w:r>
        <w:rPr>
          <w:color w:val="231F20"/>
          <w:w w:val="111"/>
        </w:rPr>
        <w:t> </w:t>
      </w:r>
      <w:r>
        <w:rPr>
          <w:color w:val="231F20"/>
          <w:w w:val="105"/>
        </w:rPr>
        <w:t>Enfrenta así el aislamiento y numerosas oposiciones. Los</w:t>
      </w:r>
      <w:r>
        <w:rPr>
          <w:color w:val="231F20"/>
          <w:spacing w:val="29"/>
          <w:w w:val="105"/>
        </w:rPr>
        <w:t> </w:t>
      </w:r>
      <w:r>
        <w:rPr>
          <w:color w:val="231F20"/>
          <w:w w:val="105"/>
        </w:rPr>
        <w:t>países</w:t>
      </w:r>
      <w:r>
        <w:rPr>
          <w:color w:val="231F20"/>
          <w:spacing w:val="23"/>
          <w:w w:val="105"/>
        </w:rPr>
        <w:t> </w:t>
      </w:r>
      <w:r>
        <w:rPr>
          <w:color w:val="231F20"/>
          <w:w w:val="105"/>
        </w:rPr>
        <w:t>sub-</w:t>
      </w:r>
      <w:r>
        <w:rPr>
          <w:color w:val="231F20"/>
          <w:w w:val="72"/>
        </w:rPr>
        <w:t> </w:t>
      </w:r>
      <w:r>
        <w:rPr>
          <w:color w:val="231F20"/>
          <w:w w:val="105"/>
        </w:rPr>
        <w:t>desarrollados demandan que los  desarrollados  reduzcan </w:t>
      </w:r>
      <w:r>
        <w:rPr>
          <w:color w:val="231F20"/>
          <w:spacing w:val="12"/>
          <w:w w:val="105"/>
        </w:rPr>
        <w:t> </w:t>
      </w:r>
      <w:r>
        <w:rPr>
          <w:color w:val="231F20"/>
          <w:w w:val="105"/>
        </w:rPr>
        <w:t>para </w:t>
      </w:r>
      <w:r>
        <w:rPr>
          <w:color w:val="231F20"/>
          <w:spacing w:val="10"/>
          <w:w w:val="105"/>
        </w:rPr>
        <w:t> </w:t>
      </w:r>
      <w:r>
        <w:rPr>
          <w:color w:val="231F20"/>
          <w:w w:val="105"/>
        </w:rPr>
        <w:t>2020</w:t>
      </w:r>
      <w:r>
        <w:rPr>
          <w:color w:val="231F20"/>
          <w:w w:val="104"/>
        </w:rPr>
        <w:t> </w:t>
      </w:r>
      <w:r>
        <w:rPr>
          <w:color w:val="231F20"/>
          <w:w w:val="105"/>
        </w:rPr>
        <w:t>sus</w:t>
      </w:r>
      <w:r>
        <w:rPr>
          <w:color w:val="231F20"/>
          <w:spacing w:val="29"/>
          <w:w w:val="105"/>
        </w:rPr>
        <w:t> </w:t>
      </w:r>
      <w:r>
        <w:rPr>
          <w:color w:val="231F20"/>
          <w:w w:val="105"/>
        </w:rPr>
        <w:t>emisiones,</w:t>
      </w:r>
      <w:r>
        <w:rPr>
          <w:color w:val="231F20"/>
          <w:spacing w:val="29"/>
          <w:w w:val="105"/>
        </w:rPr>
        <w:t> </w:t>
      </w:r>
      <w:r>
        <w:rPr>
          <w:color w:val="231F20"/>
          <w:w w:val="105"/>
        </w:rPr>
        <w:t>por</w:t>
      </w:r>
      <w:r>
        <w:rPr>
          <w:color w:val="231F20"/>
          <w:spacing w:val="29"/>
          <w:w w:val="105"/>
        </w:rPr>
        <w:t> </w:t>
      </w:r>
      <w:r>
        <w:rPr>
          <w:color w:val="231F20"/>
          <w:w w:val="105"/>
        </w:rPr>
        <w:t>lo</w:t>
      </w:r>
      <w:r>
        <w:rPr>
          <w:color w:val="231F20"/>
          <w:spacing w:val="29"/>
          <w:w w:val="105"/>
        </w:rPr>
        <w:t> </w:t>
      </w:r>
      <w:r>
        <w:rPr>
          <w:color w:val="231F20"/>
          <w:w w:val="105"/>
        </w:rPr>
        <w:t>menos,</w:t>
      </w:r>
      <w:r>
        <w:rPr>
          <w:color w:val="231F20"/>
          <w:spacing w:val="29"/>
          <w:w w:val="105"/>
        </w:rPr>
        <w:t> </w:t>
      </w:r>
      <w:r>
        <w:rPr>
          <w:color w:val="231F20"/>
          <w:w w:val="105"/>
        </w:rPr>
        <w:t>en</w:t>
      </w:r>
      <w:r>
        <w:rPr>
          <w:color w:val="231F20"/>
          <w:spacing w:val="29"/>
          <w:w w:val="105"/>
        </w:rPr>
        <w:t> </w:t>
      </w:r>
      <w:r>
        <w:rPr>
          <w:color w:val="231F20"/>
          <w:w w:val="105"/>
        </w:rPr>
        <w:t>40%</w:t>
      </w:r>
      <w:r>
        <w:rPr>
          <w:color w:val="231F20"/>
          <w:spacing w:val="29"/>
          <w:w w:val="105"/>
        </w:rPr>
        <w:t> </w:t>
      </w:r>
      <w:r>
        <w:rPr>
          <w:color w:val="231F20"/>
          <w:w w:val="105"/>
        </w:rPr>
        <w:t>con</w:t>
      </w:r>
      <w:r>
        <w:rPr>
          <w:color w:val="231F20"/>
          <w:spacing w:val="29"/>
          <w:w w:val="105"/>
        </w:rPr>
        <w:t> </w:t>
      </w:r>
      <w:r>
        <w:rPr>
          <w:color w:val="231F20"/>
          <w:w w:val="105"/>
        </w:rPr>
        <w:t>relación</w:t>
      </w:r>
      <w:r>
        <w:rPr>
          <w:color w:val="231F20"/>
          <w:spacing w:val="29"/>
          <w:w w:val="105"/>
        </w:rPr>
        <w:t> </w:t>
      </w:r>
      <w:r>
        <w:rPr>
          <w:color w:val="231F20"/>
          <w:w w:val="105"/>
        </w:rPr>
        <w:t>al</w:t>
      </w:r>
      <w:r>
        <w:rPr>
          <w:color w:val="231F20"/>
          <w:spacing w:val="29"/>
          <w:w w:val="105"/>
        </w:rPr>
        <w:t> </w:t>
      </w:r>
      <w:r>
        <w:rPr>
          <w:color w:val="231F20"/>
          <w:w w:val="105"/>
        </w:rPr>
        <w:t>nivel</w:t>
      </w:r>
      <w:r>
        <w:rPr>
          <w:color w:val="231F20"/>
          <w:spacing w:val="29"/>
          <w:w w:val="105"/>
        </w:rPr>
        <w:t> </w:t>
      </w:r>
      <w:r>
        <w:rPr>
          <w:color w:val="231F20"/>
          <w:w w:val="105"/>
        </w:rPr>
        <w:t>de</w:t>
      </w:r>
      <w:r>
        <w:rPr>
          <w:color w:val="231F20"/>
          <w:spacing w:val="29"/>
          <w:w w:val="105"/>
        </w:rPr>
        <w:t> </w:t>
      </w:r>
      <w:r>
        <w:rPr>
          <w:color w:val="231F20"/>
          <w:w w:val="105"/>
        </w:rPr>
        <w:t>1990;</w:t>
      </w:r>
      <w:r>
        <w:rPr>
          <w:color w:val="231F20"/>
          <w:w w:val="102"/>
        </w:rPr>
        <w:t> </w:t>
      </w:r>
      <w:r>
        <w:rPr>
          <w:color w:val="231F20"/>
          <w:w w:val="105"/>
        </w:rPr>
        <w:t>mientras,  Estados  Unidos,  estaría  dispuesto  a  reducir  sus</w:t>
      </w:r>
      <w:r>
        <w:rPr>
          <w:color w:val="231F20"/>
          <w:spacing w:val="-14"/>
          <w:w w:val="105"/>
        </w:rPr>
        <w:t> </w:t>
      </w:r>
      <w:r>
        <w:rPr>
          <w:color w:val="231F20"/>
          <w:w w:val="105"/>
        </w:rPr>
        <w:t>emisiones</w:t>
      </w:r>
    </w:p>
    <w:p>
      <w:pPr>
        <w:pStyle w:val="BodyText"/>
      </w:pPr>
    </w:p>
    <w:p>
      <w:pPr>
        <w:spacing w:line="261" w:lineRule="auto" w:before="152"/>
        <w:ind w:left="100" w:right="113" w:firstLine="240"/>
        <w:jc w:val="both"/>
        <w:rPr>
          <w:sz w:val="16"/>
        </w:rPr>
      </w:pPr>
      <w:r>
        <w:rPr>
          <w:color w:val="231F20"/>
          <w:w w:val="110"/>
          <w:position w:val="5"/>
          <w:sz w:val="10"/>
        </w:rPr>
        <w:t>4 </w:t>
      </w:r>
      <w:r>
        <w:rPr>
          <w:color w:val="231F20"/>
          <w:w w:val="110"/>
          <w:sz w:val="16"/>
        </w:rPr>
        <w:t>Polemizando con la propuesta republicana de abatir drásticamente el déficit federal de 14 billones de dólares, entre otros, con una reducción de 70% del progra- ma de garantía de préstamos del Departamento de Energía que incentiva energías renovables,</w:t>
      </w:r>
      <w:r>
        <w:rPr>
          <w:color w:val="231F20"/>
          <w:spacing w:val="-9"/>
          <w:w w:val="110"/>
          <w:sz w:val="16"/>
        </w:rPr>
        <w:t> </w:t>
      </w:r>
      <w:r>
        <w:rPr>
          <w:color w:val="231F20"/>
          <w:w w:val="110"/>
          <w:sz w:val="16"/>
        </w:rPr>
        <w:t>como</w:t>
      </w:r>
      <w:r>
        <w:rPr>
          <w:color w:val="231F20"/>
          <w:spacing w:val="-9"/>
          <w:w w:val="110"/>
          <w:sz w:val="16"/>
        </w:rPr>
        <w:t> </w:t>
      </w:r>
      <w:r>
        <w:rPr>
          <w:color w:val="231F20"/>
          <w:w w:val="110"/>
          <w:sz w:val="16"/>
        </w:rPr>
        <w:t>la</w:t>
      </w:r>
      <w:r>
        <w:rPr>
          <w:color w:val="231F20"/>
          <w:spacing w:val="-9"/>
          <w:w w:val="110"/>
          <w:sz w:val="16"/>
        </w:rPr>
        <w:t> </w:t>
      </w:r>
      <w:r>
        <w:rPr>
          <w:color w:val="231F20"/>
          <w:w w:val="110"/>
          <w:sz w:val="16"/>
        </w:rPr>
        <w:t>eólica</w:t>
      </w:r>
      <w:r>
        <w:rPr>
          <w:color w:val="231F20"/>
          <w:spacing w:val="-9"/>
          <w:w w:val="110"/>
          <w:sz w:val="16"/>
        </w:rPr>
        <w:t> </w:t>
      </w:r>
      <w:r>
        <w:rPr>
          <w:color w:val="231F20"/>
          <w:w w:val="110"/>
          <w:sz w:val="16"/>
        </w:rPr>
        <w:t>y</w:t>
      </w:r>
      <w:r>
        <w:rPr>
          <w:color w:val="231F20"/>
          <w:spacing w:val="-9"/>
          <w:w w:val="110"/>
          <w:sz w:val="16"/>
        </w:rPr>
        <w:t> </w:t>
      </w:r>
      <w:r>
        <w:rPr>
          <w:color w:val="231F20"/>
          <w:w w:val="110"/>
          <w:sz w:val="16"/>
        </w:rPr>
        <w:t>la</w:t>
      </w:r>
      <w:r>
        <w:rPr>
          <w:color w:val="231F20"/>
          <w:spacing w:val="-9"/>
          <w:w w:val="110"/>
          <w:sz w:val="16"/>
        </w:rPr>
        <w:t> </w:t>
      </w:r>
      <w:r>
        <w:rPr>
          <w:color w:val="231F20"/>
          <w:spacing w:val="-3"/>
          <w:w w:val="110"/>
          <w:sz w:val="16"/>
        </w:rPr>
        <w:t>solar,</w:t>
      </w:r>
      <w:r>
        <w:rPr>
          <w:color w:val="231F20"/>
          <w:spacing w:val="-9"/>
          <w:w w:val="110"/>
          <w:sz w:val="16"/>
        </w:rPr>
        <w:t> </w:t>
      </w:r>
      <w:r>
        <w:rPr>
          <w:color w:val="231F20"/>
          <w:w w:val="110"/>
          <w:sz w:val="16"/>
        </w:rPr>
        <w:t>el</w:t>
      </w:r>
      <w:r>
        <w:rPr>
          <w:color w:val="231F20"/>
          <w:spacing w:val="-9"/>
          <w:w w:val="110"/>
          <w:sz w:val="16"/>
        </w:rPr>
        <w:t> </w:t>
      </w:r>
      <w:r>
        <w:rPr>
          <w:color w:val="231F20"/>
          <w:w w:val="110"/>
          <w:sz w:val="16"/>
        </w:rPr>
        <w:t>presidente</w:t>
      </w:r>
      <w:r>
        <w:rPr>
          <w:color w:val="231F20"/>
          <w:spacing w:val="-9"/>
          <w:w w:val="110"/>
          <w:sz w:val="16"/>
        </w:rPr>
        <w:t> </w:t>
      </w:r>
      <w:r>
        <w:rPr>
          <w:color w:val="231F20"/>
          <w:w w:val="110"/>
          <w:sz w:val="16"/>
        </w:rPr>
        <w:t>Obama</w:t>
      </w:r>
      <w:r>
        <w:rPr>
          <w:color w:val="231F20"/>
          <w:spacing w:val="-9"/>
          <w:w w:val="110"/>
          <w:sz w:val="16"/>
        </w:rPr>
        <w:t> </w:t>
      </w:r>
      <w:r>
        <w:rPr>
          <w:color w:val="231F20"/>
          <w:w w:val="110"/>
          <w:sz w:val="16"/>
        </w:rPr>
        <w:t>expresó</w:t>
      </w:r>
      <w:r>
        <w:rPr>
          <w:color w:val="231F20"/>
          <w:spacing w:val="-9"/>
          <w:w w:val="110"/>
          <w:sz w:val="16"/>
        </w:rPr>
        <w:t> </w:t>
      </w:r>
      <w:r>
        <w:rPr>
          <w:color w:val="231F20"/>
          <w:w w:val="110"/>
          <w:sz w:val="16"/>
        </w:rPr>
        <w:t>que,</w:t>
      </w:r>
      <w:r>
        <w:rPr>
          <w:color w:val="231F20"/>
          <w:spacing w:val="-9"/>
          <w:w w:val="110"/>
          <w:sz w:val="16"/>
        </w:rPr>
        <w:t> </w:t>
      </w:r>
      <w:r>
        <w:rPr>
          <w:color w:val="231F20"/>
          <w:w w:val="110"/>
          <w:sz w:val="16"/>
        </w:rPr>
        <w:t>frente</w:t>
      </w:r>
      <w:r>
        <w:rPr>
          <w:color w:val="231F20"/>
          <w:spacing w:val="-9"/>
          <w:w w:val="110"/>
          <w:sz w:val="16"/>
        </w:rPr>
        <w:t> </w:t>
      </w:r>
      <w:r>
        <w:rPr>
          <w:color w:val="231F20"/>
          <w:w w:val="110"/>
          <w:sz w:val="16"/>
        </w:rPr>
        <w:t>al</w:t>
      </w:r>
      <w:r>
        <w:rPr>
          <w:color w:val="231F20"/>
          <w:spacing w:val="-9"/>
          <w:w w:val="110"/>
          <w:sz w:val="16"/>
        </w:rPr>
        <w:t> </w:t>
      </w:r>
      <w:r>
        <w:rPr>
          <w:color w:val="231F20"/>
          <w:w w:val="110"/>
          <w:sz w:val="16"/>
        </w:rPr>
        <w:t>actual alza de los precios del petróleo, debería ponerse fin al incentivo fiscal que recibe la industria</w:t>
      </w:r>
      <w:r>
        <w:rPr>
          <w:color w:val="231F20"/>
          <w:spacing w:val="-7"/>
          <w:w w:val="110"/>
          <w:sz w:val="16"/>
        </w:rPr>
        <w:t> </w:t>
      </w:r>
      <w:r>
        <w:rPr>
          <w:color w:val="231F20"/>
          <w:w w:val="110"/>
          <w:sz w:val="16"/>
        </w:rPr>
        <w:t>petrolera</w:t>
      </w:r>
      <w:r>
        <w:rPr>
          <w:color w:val="231F20"/>
          <w:spacing w:val="-7"/>
          <w:w w:val="110"/>
          <w:sz w:val="16"/>
        </w:rPr>
        <w:t> </w:t>
      </w:r>
      <w:r>
        <w:rPr>
          <w:color w:val="231F20"/>
          <w:w w:val="110"/>
          <w:sz w:val="16"/>
        </w:rPr>
        <w:t>y</w:t>
      </w:r>
      <w:r>
        <w:rPr>
          <w:color w:val="231F20"/>
          <w:spacing w:val="-7"/>
          <w:w w:val="110"/>
          <w:sz w:val="16"/>
        </w:rPr>
        <w:t> </w:t>
      </w:r>
      <w:r>
        <w:rPr>
          <w:color w:val="231F20"/>
          <w:w w:val="110"/>
          <w:sz w:val="16"/>
        </w:rPr>
        <w:t>gasera</w:t>
      </w:r>
      <w:r>
        <w:rPr>
          <w:color w:val="231F20"/>
          <w:spacing w:val="-7"/>
          <w:w w:val="110"/>
          <w:sz w:val="16"/>
        </w:rPr>
        <w:t> </w:t>
      </w:r>
      <w:r>
        <w:rPr>
          <w:color w:val="231F20"/>
          <w:spacing w:val="-6"/>
          <w:w w:val="110"/>
          <w:sz w:val="16"/>
        </w:rPr>
        <w:t>y,</w:t>
      </w:r>
      <w:r>
        <w:rPr>
          <w:color w:val="231F20"/>
          <w:spacing w:val="-7"/>
          <w:w w:val="110"/>
          <w:sz w:val="16"/>
        </w:rPr>
        <w:t> </w:t>
      </w:r>
      <w:r>
        <w:rPr>
          <w:color w:val="231F20"/>
          <w:w w:val="110"/>
          <w:sz w:val="16"/>
        </w:rPr>
        <w:t>en</w:t>
      </w:r>
      <w:r>
        <w:rPr>
          <w:color w:val="231F20"/>
          <w:spacing w:val="-7"/>
          <w:w w:val="110"/>
          <w:sz w:val="16"/>
        </w:rPr>
        <w:t> </w:t>
      </w:r>
      <w:r>
        <w:rPr>
          <w:color w:val="231F20"/>
          <w:w w:val="110"/>
          <w:sz w:val="16"/>
        </w:rPr>
        <w:t>su</w:t>
      </w:r>
      <w:r>
        <w:rPr>
          <w:color w:val="231F20"/>
          <w:spacing w:val="-7"/>
          <w:w w:val="110"/>
          <w:sz w:val="16"/>
        </w:rPr>
        <w:t> </w:t>
      </w:r>
      <w:r>
        <w:rPr>
          <w:color w:val="231F20"/>
          <w:spacing w:val="-3"/>
          <w:w w:val="110"/>
          <w:sz w:val="16"/>
        </w:rPr>
        <w:t>lugar,</w:t>
      </w:r>
      <w:r>
        <w:rPr>
          <w:color w:val="231F20"/>
          <w:spacing w:val="-7"/>
          <w:w w:val="110"/>
          <w:sz w:val="16"/>
        </w:rPr>
        <w:t> </w:t>
      </w:r>
      <w:r>
        <w:rPr>
          <w:color w:val="231F20"/>
          <w:w w:val="110"/>
          <w:sz w:val="16"/>
        </w:rPr>
        <w:t>dedicarlo</w:t>
      </w:r>
      <w:r>
        <w:rPr>
          <w:color w:val="231F20"/>
          <w:spacing w:val="-7"/>
          <w:w w:val="110"/>
          <w:sz w:val="16"/>
        </w:rPr>
        <w:t> </w:t>
      </w:r>
      <w:r>
        <w:rPr>
          <w:color w:val="231F20"/>
          <w:w w:val="110"/>
          <w:sz w:val="16"/>
        </w:rPr>
        <w:t>a</w:t>
      </w:r>
      <w:r>
        <w:rPr>
          <w:color w:val="231F20"/>
          <w:spacing w:val="-7"/>
          <w:w w:val="110"/>
          <w:sz w:val="16"/>
        </w:rPr>
        <w:t> </w:t>
      </w:r>
      <w:r>
        <w:rPr>
          <w:color w:val="231F20"/>
          <w:w w:val="110"/>
          <w:sz w:val="16"/>
        </w:rPr>
        <w:t>la</w:t>
      </w:r>
      <w:r>
        <w:rPr>
          <w:color w:val="231F20"/>
          <w:spacing w:val="-7"/>
          <w:w w:val="110"/>
          <w:sz w:val="16"/>
        </w:rPr>
        <w:t> </w:t>
      </w:r>
      <w:r>
        <w:rPr>
          <w:color w:val="231F20"/>
          <w:w w:val="110"/>
          <w:sz w:val="16"/>
        </w:rPr>
        <w:t>inversión</w:t>
      </w:r>
      <w:r>
        <w:rPr>
          <w:color w:val="231F20"/>
          <w:spacing w:val="-7"/>
          <w:w w:val="110"/>
          <w:sz w:val="16"/>
        </w:rPr>
        <w:t> </w:t>
      </w:r>
      <w:r>
        <w:rPr>
          <w:color w:val="231F20"/>
          <w:w w:val="110"/>
          <w:sz w:val="16"/>
        </w:rPr>
        <w:t>para</w:t>
      </w:r>
      <w:r>
        <w:rPr>
          <w:color w:val="231F20"/>
          <w:spacing w:val="-7"/>
          <w:w w:val="110"/>
          <w:sz w:val="16"/>
        </w:rPr>
        <w:t> </w:t>
      </w:r>
      <w:r>
        <w:rPr>
          <w:color w:val="231F20"/>
          <w:w w:val="110"/>
          <w:sz w:val="16"/>
        </w:rPr>
        <w:t>el</w:t>
      </w:r>
      <w:r>
        <w:rPr>
          <w:color w:val="231F20"/>
          <w:spacing w:val="-7"/>
          <w:w w:val="110"/>
          <w:sz w:val="16"/>
        </w:rPr>
        <w:t> </w:t>
      </w:r>
      <w:r>
        <w:rPr>
          <w:color w:val="231F20"/>
          <w:w w:val="110"/>
          <w:sz w:val="16"/>
        </w:rPr>
        <w:t>desarrollo</w:t>
      </w:r>
      <w:r>
        <w:rPr>
          <w:color w:val="231F20"/>
          <w:spacing w:val="-7"/>
          <w:w w:val="110"/>
          <w:sz w:val="16"/>
        </w:rPr>
        <w:t> </w:t>
      </w:r>
      <w:r>
        <w:rPr>
          <w:color w:val="231F20"/>
          <w:w w:val="110"/>
          <w:sz w:val="16"/>
        </w:rPr>
        <w:t>de las</w:t>
      </w:r>
      <w:r>
        <w:rPr>
          <w:color w:val="231F20"/>
          <w:spacing w:val="-8"/>
          <w:w w:val="110"/>
          <w:sz w:val="16"/>
        </w:rPr>
        <w:t> </w:t>
      </w:r>
      <w:r>
        <w:rPr>
          <w:color w:val="231F20"/>
          <w:w w:val="110"/>
          <w:sz w:val="16"/>
        </w:rPr>
        <w:t>energías</w:t>
      </w:r>
      <w:r>
        <w:rPr>
          <w:color w:val="231F20"/>
          <w:spacing w:val="-8"/>
          <w:w w:val="110"/>
          <w:sz w:val="16"/>
        </w:rPr>
        <w:t> </w:t>
      </w:r>
      <w:r>
        <w:rPr>
          <w:color w:val="231F20"/>
          <w:w w:val="110"/>
          <w:sz w:val="16"/>
        </w:rPr>
        <w:t>renovables</w:t>
      </w:r>
      <w:r>
        <w:rPr>
          <w:color w:val="231F20"/>
          <w:spacing w:val="-8"/>
          <w:w w:val="110"/>
          <w:sz w:val="16"/>
        </w:rPr>
        <w:t> </w:t>
      </w:r>
      <w:r>
        <w:rPr>
          <w:color w:val="231F20"/>
          <w:w w:val="110"/>
          <w:sz w:val="16"/>
        </w:rPr>
        <w:t>y</w:t>
      </w:r>
      <w:r>
        <w:rPr>
          <w:color w:val="231F20"/>
          <w:spacing w:val="-8"/>
          <w:w w:val="110"/>
          <w:sz w:val="16"/>
        </w:rPr>
        <w:t> </w:t>
      </w:r>
      <w:r>
        <w:rPr>
          <w:color w:val="231F20"/>
          <w:w w:val="110"/>
          <w:sz w:val="16"/>
        </w:rPr>
        <w:t>limpias,</w:t>
      </w:r>
      <w:r>
        <w:rPr>
          <w:color w:val="231F20"/>
          <w:spacing w:val="-8"/>
          <w:w w:val="110"/>
          <w:sz w:val="16"/>
        </w:rPr>
        <w:t> </w:t>
      </w:r>
      <w:r>
        <w:rPr>
          <w:color w:val="231F20"/>
          <w:w w:val="110"/>
          <w:sz w:val="16"/>
        </w:rPr>
        <w:t>las</w:t>
      </w:r>
      <w:r>
        <w:rPr>
          <w:color w:val="231F20"/>
          <w:spacing w:val="-8"/>
          <w:w w:val="110"/>
          <w:sz w:val="16"/>
        </w:rPr>
        <w:t> </w:t>
      </w:r>
      <w:r>
        <w:rPr>
          <w:color w:val="231F20"/>
          <w:w w:val="110"/>
          <w:sz w:val="16"/>
        </w:rPr>
        <w:t>del</w:t>
      </w:r>
      <w:r>
        <w:rPr>
          <w:color w:val="231F20"/>
          <w:spacing w:val="-8"/>
          <w:w w:val="110"/>
          <w:sz w:val="16"/>
        </w:rPr>
        <w:t> </w:t>
      </w:r>
      <w:r>
        <w:rPr>
          <w:color w:val="231F20"/>
          <w:w w:val="110"/>
          <w:sz w:val="16"/>
        </w:rPr>
        <w:t>futuro</w:t>
      </w:r>
      <w:r>
        <w:rPr>
          <w:color w:val="231F20"/>
          <w:spacing w:val="-8"/>
          <w:w w:val="110"/>
          <w:sz w:val="16"/>
        </w:rPr>
        <w:t> </w:t>
      </w:r>
      <w:r>
        <w:rPr>
          <w:color w:val="231F20"/>
          <w:w w:val="110"/>
          <w:sz w:val="16"/>
        </w:rPr>
        <w:t>en</w:t>
      </w:r>
      <w:r>
        <w:rPr>
          <w:color w:val="231F20"/>
          <w:spacing w:val="-8"/>
          <w:w w:val="110"/>
          <w:sz w:val="16"/>
        </w:rPr>
        <w:t> </w:t>
      </w:r>
      <w:r>
        <w:rPr>
          <w:color w:val="231F20"/>
          <w:w w:val="110"/>
          <w:sz w:val="16"/>
        </w:rPr>
        <w:t>el</w:t>
      </w:r>
      <w:r>
        <w:rPr>
          <w:color w:val="231F20"/>
          <w:spacing w:val="-8"/>
          <w:w w:val="110"/>
          <w:sz w:val="16"/>
        </w:rPr>
        <w:t> </w:t>
      </w:r>
      <w:r>
        <w:rPr>
          <w:color w:val="231F20"/>
          <w:w w:val="110"/>
          <w:sz w:val="16"/>
        </w:rPr>
        <w:t>largo</w:t>
      </w:r>
      <w:r>
        <w:rPr>
          <w:color w:val="231F20"/>
          <w:spacing w:val="-8"/>
          <w:w w:val="110"/>
          <w:sz w:val="16"/>
        </w:rPr>
        <w:t> </w:t>
      </w:r>
      <w:r>
        <w:rPr>
          <w:color w:val="231F20"/>
          <w:w w:val="110"/>
          <w:sz w:val="16"/>
        </w:rPr>
        <w:t>plazo.</w:t>
      </w:r>
      <w:r>
        <w:rPr>
          <w:color w:val="231F20"/>
          <w:spacing w:val="-8"/>
          <w:w w:val="110"/>
          <w:sz w:val="16"/>
        </w:rPr>
        <w:t> </w:t>
      </w:r>
      <w:r>
        <w:rPr>
          <w:color w:val="231F20"/>
          <w:w w:val="110"/>
          <w:sz w:val="16"/>
        </w:rPr>
        <w:t>En</w:t>
      </w:r>
      <w:r>
        <w:rPr>
          <w:color w:val="231F20"/>
          <w:spacing w:val="-8"/>
          <w:w w:val="110"/>
          <w:sz w:val="16"/>
        </w:rPr>
        <w:t> </w:t>
      </w:r>
      <w:r>
        <w:rPr>
          <w:color w:val="231F20"/>
          <w:w w:val="110"/>
          <w:sz w:val="16"/>
        </w:rPr>
        <w:t>ello,</w:t>
      </w:r>
      <w:r>
        <w:rPr>
          <w:color w:val="231F20"/>
          <w:spacing w:val="-8"/>
          <w:w w:val="110"/>
          <w:sz w:val="16"/>
        </w:rPr>
        <w:t> </w:t>
      </w:r>
      <w:r>
        <w:rPr>
          <w:color w:val="231F20"/>
          <w:w w:val="110"/>
          <w:sz w:val="16"/>
        </w:rPr>
        <w:t>ciertamente, se insiste ya en su nueva campaña de reelección (efe, </w:t>
      </w:r>
      <w:r>
        <w:rPr>
          <w:color w:val="231F20"/>
          <w:spacing w:val="13"/>
          <w:w w:val="110"/>
          <w:sz w:val="16"/>
        </w:rPr>
        <w:t> </w:t>
      </w:r>
      <w:r>
        <w:rPr>
          <w:color w:val="231F20"/>
          <w:w w:val="110"/>
          <w:sz w:val="16"/>
        </w:rPr>
        <w:t>2011).</w:t>
      </w:r>
    </w:p>
    <w:p>
      <w:pPr>
        <w:spacing w:after="0" w:line="261" w:lineRule="auto"/>
        <w:jc w:val="both"/>
        <w:rPr>
          <w:sz w:val="16"/>
        </w:rPr>
        <w:sectPr>
          <w:headerReference w:type="even" r:id="rId178"/>
          <w:headerReference w:type="default" r:id="rId179"/>
          <w:pgSz w:w="7640" w:h="11900"/>
          <w:pgMar w:header="672" w:footer="0" w:top="860" w:bottom="280" w:left="780" w:right="640"/>
          <w:pgNumType w:start="252"/>
        </w:sectPr>
      </w:pPr>
    </w:p>
    <w:p>
      <w:pPr>
        <w:pStyle w:val="BodyText"/>
        <w:spacing w:before="8"/>
        <w:rPr>
          <w:sz w:val="8"/>
        </w:rPr>
      </w:pPr>
    </w:p>
    <w:p>
      <w:pPr>
        <w:pStyle w:val="BodyText"/>
        <w:spacing w:line="261" w:lineRule="auto" w:before="67"/>
        <w:ind w:left="100" w:right="103"/>
      </w:pPr>
      <w:r>
        <w:rPr>
          <w:color w:val="231F20"/>
          <w:w w:val="110"/>
        </w:rPr>
        <w:t>sólo en 4%. La opinión pública internacional, una vez más, había</w:t>
      </w:r>
      <w:r>
        <w:rPr>
          <w:color w:val="231F20"/>
          <w:w w:val="111"/>
        </w:rPr>
        <w:t> </w:t>
      </w:r>
      <w:r>
        <w:rPr>
          <w:color w:val="231F20"/>
          <w:w w:val="110"/>
        </w:rPr>
        <w:t>sido víctima de un doloroso engaño.</w:t>
      </w:r>
    </w:p>
    <w:p>
      <w:pPr>
        <w:pStyle w:val="BodyText"/>
        <w:spacing w:line="261" w:lineRule="auto"/>
        <w:ind w:left="100" w:right="112" w:firstLine="240"/>
        <w:jc w:val="right"/>
      </w:pPr>
      <w:r>
        <w:rPr>
          <w:color w:val="231F20"/>
          <w:w w:val="110"/>
        </w:rPr>
        <w:t>Con</w:t>
      </w:r>
      <w:r>
        <w:rPr>
          <w:color w:val="231F20"/>
          <w:spacing w:val="-12"/>
          <w:w w:val="110"/>
        </w:rPr>
        <w:t> </w:t>
      </w:r>
      <w:r>
        <w:rPr>
          <w:color w:val="231F20"/>
          <w:w w:val="110"/>
        </w:rPr>
        <w:t>respecto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investigación</w:t>
      </w:r>
      <w:r>
        <w:rPr>
          <w:color w:val="231F20"/>
          <w:spacing w:val="-12"/>
          <w:w w:val="110"/>
        </w:rPr>
        <w:t> </w:t>
      </w:r>
      <w:r>
        <w:rPr>
          <w:color w:val="231F20"/>
          <w:w w:val="110"/>
        </w:rPr>
        <w:t>fundamental,</w:t>
      </w:r>
      <w:r>
        <w:rPr>
          <w:color w:val="231F20"/>
          <w:spacing w:val="-12"/>
          <w:w w:val="110"/>
        </w:rPr>
        <w:t> </w:t>
      </w:r>
      <w:r>
        <w:rPr>
          <w:color w:val="231F20"/>
          <w:w w:val="110"/>
        </w:rPr>
        <w:t>sin</w:t>
      </w:r>
      <w:r>
        <w:rPr>
          <w:color w:val="231F20"/>
          <w:spacing w:val="-12"/>
          <w:w w:val="110"/>
        </w:rPr>
        <w:t> </w:t>
      </w:r>
      <w:r>
        <w:rPr>
          <w:color w:val="231F20"/>
          <w:w w:val="110"/>
        </w:rPr>
        <w:t>dispo-</w:t>
      </w:r>
      <w:r>
        <w:rPr>
          <w:color w:val="231F20"/>
          <w:w w:val="72"/>
        </w:rPr>
        <w:t> </w:t>
      </w:r>
      <w:r>
        <w:rPr>
          <w:color w:val="231F20"/>
          <w:w w:val="110"/>
        </w:rPr>
        <w:t>ner de mayores recursos para su financiamiento, estimula</w:t>
      </w:r>
      <w:r>
        <w:rPr>
          <w:color w:val="231F20"/>
          <w:spacing w:val="-17"/>
          <w:w w:val="110"/>
        </w:rPr>
        <w:t> </w:t>
      </w:r>
      <w:r>
        <w:rPr>
          <w:color w:val="231F20"/>
          <w:w w:val="110"/>
        </w:rPr>
        <w:t>la</w:t>
      </w:r>
      <w:r>
        <w:rPr>
          <w:color w:val="231F20"/>
          <w:spacing w:val="-3"/>
          <w:w w:val="110"/>
        </w:rPr>
        <w:t> </w:t>
      </w:r>
      <w:r>
        <w:rPr>
          <w:color w:val="231F20"/>
          <w:w w:val="110"/>
        </w:rPr>
        <w:t>liberali-</w:t>
      </w:r>
      <w:r>
        <w:rPr>
          <w:color w:val="231F20"/>
          <w:w w:val="72"/>
        </w:rPr>
        <w:t> </w:t>
      </w:r>
      <w:r>
        <w:rPr>
          <w:color w:val="231F20"/>
          <w:w w:val="110"/>
        </w:rPr>
        <w:t>zación de proyectos avanzados, igual que en la época de</w:t>
      </w:r>
      <w:r>
        <w:rPr>
          <w:color w:val="231F20"/>
          <w:spacing w:val="49"/>
          <w:w w:val="110"/>
        </w:rPr>
        <w:t> </w:t>
      </w:r>
      <w:r>
        <w:rPr>
          <w:color w:val="231F20"/>
          <w:w w:val="110"/>
        </w:rPr>
        <w:t>Bush,</w:t>
      </w:r>
      <w:r>
        <w:rPr>
          <w:color w:val="231F20"/>
          <w:spacing w:val="4"/>
          <w:w w:val="110"/>
        </w:rPr>
        <w:t> </w:t>
      </w:r>
      <w:r>
        <w:rPr>
          <w:color w:val="231F20"/>
          <w:w w:val="110"/>
        </w:rPr>
        <w:t>para</w:t>
      </w:r>
      <w:r>
        <w:rPr>
          <w:color w:val="231F20"/>
          <w:w w:val="112"/>
        </w:rPr>
        <w:t> </w:t>
      </w:r>
      <w:r>
        <w:rPr>
          <w:color w:val="231F20"/>
          <w:w w:val="110"/>
        </w:rPr>
        <w:t>que las empresas privadas adquieran los</w:t>
      </w:r>
      <w:r>
        <w:rPr>
          <w:color w:val="231F20"/>
          <w:spacing w:val="18"/>
          <w:w w:val="110"/>
        </w:rPr>
        <w:t> </w:t>
      </w:r>
      <w:r>
        <w:rPr>
          <w:color w:val="231F20"/>
          <w:w w:val="110"/>
        </w:rPr>
        <w:t>conocimientos</w:t>
      </w:r>
      <w:r>
        <w:rPr>
          <w:color w:val="231F20"/>
          <w:spacing w:val="3"/>
          <w:w w:val="110"/>
        </w:rPr>
        <w:t> </w:t>
      </w:r>
      <w:r>
        <w:rPr>
          <w:color w:val="231F20"/>
          <w:w w:val="110"/>
        </w:rPr>
        <w:t>disponibles,</w:t>
      </w:r>
      <w:r>
        <w:rPr>
          <w:color w:val="231F20"/>
          <w:w w:val="108"/>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realicen</w:t>
      </w:r>
      <w:r>
        <w:rPr>
          <w:color w:val="231F20"/>
          <w:spacing w:val="-9"/>
          <w:w w:val="110"/>
        </w:rPr>
        <w:t> </w:t>
      </w:r>
      <w:r>
        <w:rPr>
          <w:color w:val="231F20"/>
          <w:w w:val="110"/>
        </w:rPr>
        <w:t>en</w:t>
      </w:r>
      <w:r>
        <w:rPr>
          <w:color w:val="231F20"/>
          <w:spacing w:val="-9"/>
          <w:w w:val="110"/>
        </w:rPr>
        <w:t> </w:t>
      </w:r>
      <w:r>
        <w:rPr>
          <w:color w:val="231F20"/>
          <w:w w:val="110"/>
        </w:rPr>
        <w:t>negocios</w:t>
      </w:r>
      <w:r>
        <w:rPr>
          <w:color w:val="231F20"/>
          <w:spacing w:val="-9"/>
          <w:w w:val="110"/>
        </w:rPr>
        <w:t> </w:t>
      </w:r>
      <w:r>
        <w:rPr>
          <w:color w:val="231F20"/>
          <w:w w:val="110"/>
        </w:rPr>
        <w:t>lucrativos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más</w:t>
      </w:r>
      <w:r>
        <w:rPr>
          <w:color w:val="231F20"/>
          <w:spacing w:val="-9"/>
          <w:w w:val="110"/>
        </w:rPr>
        <w:t> </w:t>
      </w:r>
      <w:r>
        <w:rPr>
          <w:color w:val="231F20"/>
          <w:w w:val="110"/>
        </w:rPr>
        <w:t>diversas</w:t>
      </w:r>
      <w:r>
        <w:rPr>
          <w:color w:val="231F20"/>
          <w:spacing w:val="-9"/>
          <w:w w:val="110"/>
        </w:rPr>
        <w:t> </w:t>
      </w:r>
      <w:r>
        <w:rPr>
          <w:color w:val="231F20"/>
          <w:w w:val="110"/>
        </w:rPr>
        <w:t>esferas</w:t>
      </w:r>
      <w:r>
        <w:rPr>
          <w:color w:val="231F20"/>
          <w:spacing w:val="-9"/>
          <w:w w:val="110"/>
        </w:rPr>
        <w:t> </w:t>
      </w:r>
      <w:r>
        <w:rPr>
          <w:color w:val="231F20"/>
          <w:w w:val="110"/>
        </w:rPr>
        <w:t>(bio-</w:t>
      </w:r>
      <w:r>
        <w:rPr>
          <w:color w:val="231F20"/>
          <w:w w:val="72"/>
        </w:rPr>
        <w:t> </w:t>
      </w:r>
      <w:r>
        <w:rPr>
          <w:color w:val="231F20"/>
          <w:w w:val="110"/>
        </w:rPr>
        <w:t>médicos, espaciales, etc.). No se dispone de</w:t>
      </w:r>
      <w:r>
        <w:rPr>
          <w:color w:val="231F20"/>
          <w:spacing w:val="9"/>
          <w:w w:val="110"/>
        </w:rPr>
        <w:t> </w:t>
      </w:r>
      <w:r>
        <w:rPr>
          <w:color w:val="231F20"/>
          <w:w w:val="110"/>
        </w:rPr>
        <w:t>información</w:t>
      </w:r>
      <w:r>
        <w:rPr>
          <w:color w:val="231F20"/>
          <w:spacing w:val="32"/>
          <w:w w:val="110"/>
        </w:rPr>
        <w:t> </w:t>
      </w:r>
      <w:r>
        <w:rPr>
          <w:color w:val="231F20"/>
          <w:w w:val="110"/>
        </w:rPr>
        <w:t>reciente</w:t>
      </w:r>
      <w:r>
        <w:rPr>
          <w:color w:val="231F20"/>
          <w:w w:val="112"/>
        </w:rPr>
        <w:t> </w:t>
      </w:r>
      <w:r>
        <w:rPr>
          <w:color w:val="231F20"/>
          <w:w w:val="110"/>
        </w:rPr>
        <w:t>acerca</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advertencias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6"/>
          <w:w w:val="110"/>
        </w:rPr>
        <w:t> </w:t>
      </w:r>
      <w:r>
        <w:rPr>
          <w:color w:val="231F20"/>
          <w:w w:val="110"/>
        </w:rPr>
        <w:t>nsb</w:t>
      </w:r>
      <w:r>
        <w:rPr>
          <w:color w:val="231F20"/>
          <w:spacing w:val="-7"/>
          <w:w w:val="110"/>
        </w:rPr>
        <w:t> </w:t>
      </w:r>
      <w:r>
        <w:rPr>
          <w:color w:val="231F20"/>
          <w:w w:val="110"/>
        </w:rPr>
        <w:t>hayan</w:t>
      </w:r>
      <w:r>
        <w:rPr>
          <w:color w:val="231F20"/>
          <w:spacing w:val="-7"/>
          <w:w w:val="110"/>
        </w:rPr>
        <w:t> </w:t>
      </w:r>
      <w:r>
        <w:rPr>
          <w:color w:val="231F20"/>
          <w:w w:val="110"/>
        </w:rPr>
        <w:t>caído</w:t>
      </w:r>
      <w:r>
        <w:rPr>
          <w:color w:val="231F20"/>
          <w:spacing w:val="-7"/>
          <w:w w:val="110"/>
        </w:rPr>
        <w:t> </w:t>
      </w:r>
      <w:r>
        <w:rPr>
          <w:color w:val="231F20"/>
          <w:w w:val="110"/>
        </w:rPr>
        <w:t>en</w:t>
      </w:r>
      <w:r>
        <w:rPr>
          <w:color w:val="231F20"/>
          <w:spacing w:val="-7"/>
          <w:w w:val="110"/>
        </w:rPr>
        <w:t> </w:t>
      </w:r>
      <w:r>
        <w:rPr>
          <w:color w:val="231F20"/>
          <w:w w:val="110"/>
        </w:rPr>
        <w:t>terreno</w:t>
      </w:r>
      <w:r>
        <w:rPr>
          <w:color w:val="231F20"/>
          <w:spacing w:val="-7"/>
          <w:w w:val="110"/>
        </w:rPr>
        <w:t> </w:t>
      </w:r>
      <w:r>
        <w:rPr>
          <w:color w:val="231F20"/>
          <w:w w:val="110"/>
        </w:rPr>
        <w:t>fértil.</w:t>
      </w:r>
      <w:r>
        <w:rPr>
          <w:color w:val="231F20"/>
          <w:w w:val="107"/>
        </w:rPr>
        <w:t> </w:t>
      </w:r>
      <w:r>
        <w:rPr>
          <w:color w:val="231F20"/>
          <w:w w:val="110"/>
        </w:rPr>
        <w:t>Sólo quedaría mencionar que el más privilegiado de</w:t>
      </w:r>
      <w:r>
        <w:rPr>
          <w:color w:val="231F20"/>
          <w:spacing w:val="47"/>
          <w:w w:val="110"/>
        </w:rPr>
        <w:t> </w:t>
      </w:r>
      <w:r>
        <w:rPr>
          <w:color w:val="231F20"/>
          <w:w w:val="110"/>
        </w:rPr>
        <w:t>los</w:t>
      </w:r>
      <w:r>
        <w:rPr>
          <w:color w:val="231F20"/>
          <w:spacing w:val="5"/>
          <w:w w:val="110"/>
        </w:rPr>
        <w:t> </w:t>
      </w:r>
      <w:r>
        <w:rPr>
          <w:color w:val="231F20"/>
          <w:w w:val="110"/>
        </w:rPr>
        <w:t>sectores,</w:t>
      </w:r>
      <w:r>
        <w:rPr>
          <w:color w:val="231F20"/>
          <w:spacing w:val="2"/>
          <w:w w:val="107"/>
        </w:rPr>
        <w:t> </w:t>
      </w:r>
      <w:r>
        <w:rPr>
          <w:color w:val="231F20"/>
          <w:w w:val="110"/>
        </w:rPr>
        <w:t>para</w:t>
      </w:r>
      <w:r>
        <w:rPr>
          <w:color w:val="231F20"/>
          <w:spacing w:val="39"/>
          <w:w w:val="110"/>
        </w:rPr>
        <w:t> </w:t>
      </w:r>
      <w:r>
        <w:rPr>
          <w:color w:val="231F20"/>
          <w:w w:val="110"/>
        </w:rPr>
        <w:t>el</w:t>
      </w:r>
      <w:r>
        <w:rPr>
          <w:color w:val="231F20"/>
          <w:spacing w:val="39"/>
          <w:w w:val="110"/>
        </w:rPr>
        <w:t> </w:t>
      </w:r>
      <w:r>
        <w:rPr>
          <w:color w:val="231F20"/>
          <w:w w:val="110"/>
        </w:rPr>
        <w:t>cual</w:t>
      </w:r>
      <w:r>
        <w:rPr>
          <w:color w:val="231F20"/>
          <w:spacing w:val="39"/>
          <w:w w:val="110"/>
        </w:rPr>
        <w:t> </w:t>
      </w:r>
      <w:r>
        <w:rPr>
          <w:color w:val="231F20"/>
          <w:w w:val="110"/>
        </w:rPr>
        <w:t>no</w:t>
      </w:r>
      <w:r>
        <w:rPr>
          <w:color w:val="231F20"/>
          <w:spacing w:val="39"/>
          <w:w w:val="110"/>
        </w:rPr>
        <w:t> </w:t>
      </w:r>
      <w:r>
        <w:rPr>
          <w:color w:val="231F20"/>
          <w:w w:val="110"/>
        </w:rPr>
        <w:t>se</w:t>
      </w:r>
      <w:r>
        <w:rPr>
          <w:color w:val="231F20"/>
          <w:spacing w:val="39"/>
          <w:w w:val="110"/>
        </w:rPr>
        <w:t> </w:t>
      </w:r>
      <w:r>
        <w:rPr>
          <w:color w:val="231F20"/>
          <w:w w:val="110"/>
        </w:rPr>
        <w:t>escatiman</w:t>
      </w:r>
      <w:r>
        <w:rPr>
          <w:color w:val="231F20"/>
          <w:spacing w:val="39"/>
          <w:w w:val="110"/>
        </w:rPr>
        <w:t> </w:t>
      </w:r>
      <w:r>
        <w:rPr>
          <w:color w:val="231F20"/>
          <w:w w:val="110"/>
        </w:rPr>
        <w:t>recursos,</w:t>
      </w:r>
      <w:r>
        <w:rPr>
          <w:color w:val="231F20"/>
          <w:spacing w:val="39"/>
          <w:w w:val="110"/>
        </w:rPr>
        <w:t> </w:t>
      </w:r>
      <w:r>
        <w:rPr>
          <w:color w:val="231F20"/>
          <w:w w:val="110"/>
        </w:rPr>
        <w:t>seguiría</w:t>
      </w:r>
      <w:r>
        <w:rPr>
          <w:color w:val="231F20"/>
          <w:spacing w:val="39"/>
          <w:w w:val="110"/>
        </w:rPr>
        <w:t> </w:t>
      </w:r>
      <w:r>
        <w:rPr>
          <w:color w:val="231F20"/>
          <w:w w:val="110"/>
        </w:rPr>
        <w:t>siendo</w:t>
      </w:r>
      <w:r>
        <w:rPr>
          <w:color w:val="231F20"/>
          <w:spacing w:val="39"/>
          <w:w w:val="110"/>
        </w:rPr>
        <w:t> </w:t>
      </w:r>
      <w:r>
        <w:rPr>
          <w:color w:val="231F20"/>
          <w:w w:val="110"/>
        </w:rPr>
        <w:t>el</w:t>
      </w:r>
      <w:r>
        <w:rPr>
          <w:color w:val="231F20"/>
          <w:spacing w:val="39"/>
          <w:w w:val="110"/>
        </w:rPr>
        <w:t> </w:t>
      </w:r>
      <w:r>
        <w:rPr>
          <w:color w:val="231F20"/>
          <w:w w:val="110"/>
        </w:rPr>
        <w:t>militar.</w:t>
      </w:r>
      <w:r>
        <w:rPr>
          <w:color w:val="231F20"/>
          <w:w w:val="104"/>
        </w:rPr>
        <w:t> </w:t>
      </w:r>
      <w:r>
        <w:rPr>
          <w:color w:val="231F20"/>
          <w:w w:val="110"/>
        </w:rPr>
        <w:t>Su</w:t>
      </w:r>
      <w:r>
        <w:rPr>
          <w:color w:val="231F20"/>
          <w:spacing w:val="29"/>
          <w:w w:val="110"/>
        </w:rPr>
        <w:t> </w:t>
      </w:r>
      <w:r>
        <w:rPr>
          <w:color w:val="231F20"/>
          <w:w w:val="110"/>
        </w:rPr>
        <w:t>presupuesto</w:t>
      </w:r>
      <w:r>
        <w:rPr>
          <w:color w:val="231F20"/>
          <w:spacing w:val="29"/>
          <w:w w:val="110"/>
        </w:rPr>
        <w:t> </w:t>
      </w:r>
      <w:r>
        <w:rPr>
          <w:color w:val="231F20"/>
          <w:w w:val="110"/>
        </w:rPr>
        <w:t>de</w:t>
      </w:r>
      <w:r>
        <w:rPr>
          <w:color w:val="231F20"/>
          <w:spacing w:val="29"/>
          <w:w w:val="110"/>
        </w:rPr>
        <w:t> </w:t>
      </w:r>
      <w:r>
        <w:rPr>
          <w:color w:val="231F20"/>
          <w:w w:val="110"/>
        </w:rPr>
        <w:t>661</w:t>
      </w:r>
      <w:r>
        <w:rPr>
          <w:color w:val="231F20"/>
          <w:spacing w:val="29"/>
          <w:w w:val="110"/>
        </w:rPr>
        <w:t> </w:t>
      </w:r>
      <w:r>
        <w:rPr>
          <w:color w:val="231F20"/>
          <w:w w:val="110"/>
        </w:rPr>
        <w:t>mil</w:t>
      </w:r>
      <w:r>
        <w:rPr>
          <w:color w:val="231F20"/>
          <w:spacing w:val="29"/>
          <w:w w:val="110"/>
        </w:rPr>
        <w:t> </w:t>
      </w:r>
      <w:r>
        <w:rPr>
          <w:color w:val="231F20"/>
          <w:w w:val="110"/>
        </w:rPr>
        <w:t>millones</w:t>
      </w:r>
      <w:r>
        <w:rPr>
          <w:color w:val="231F20"/>
          <w:spacing w:val="29"/>
          <w:w w:val="110"/>
        </w:rPr>
        <w:t> </w:t>
      </w:r>
      <w:r>
        <w:rPr>
          <w:color w:val="231F20"/>
          <w:w w:val="110"/>
        </w:rPr>
        <w:t>de</w:t>
      </w:r>
      <w:r>
        <w:rPr>
          <w:color w:val="231F20"/>
          <w:spacing w:val="29"/>
          <w:w w:val="110"/>
        </w:rPr>
        <w:t> </w:t>
      </w:r>
      <w:r>
        <w:rPr>
          <w:color w:val="231F20"/>
          <w:w w:val="110"/>
        </w:rPr>
        <w:t>dólares,</w:t>
      </w:r>
      <w:r>
        <w:rPr>
          <w:color w:val="231F20"/>
          <w:spacing w:val="29"/>
          <w:w w:val="110"/>
        </w:rPr>
        <w:t> </w:t>
      </w:r>
      <w:r>
        <w:rPr>
          <w:color w:val="231F20"/>
          <w:w w:val="110"/>
        </w:rPr>
        <w:t>el</w:t>
      </w:r>
      <w:r>
        <w:rPr>
          <w:color w:val="231F20"/>
          <w:spacing w:val="29"/>
          <w:w w:val="110"/>
        </w:rPr>
        <w:t> </w:t>
      </w:r>
      <w:r>
        <w:rPr>
          <w:color w:val="231F20"/>
          <w:w w:val="110"/>
        </w:rPr>
        <w:t>más</w:t>
      </w:r>
      <w:r>
        <w:rPr>
          <w:color w:val="231F20"/>
          <w:spacing w:val="29"/>
          <w:w w:val="110"/>
        </w:rPr>
        <w:t> </w:t>
      </w:r>
      <w:r>
        <w:rPr>
          <w:color w:val="231F20"/>
          <w:w w:val="110"/>
        </w:rPr>
        <w:t>alto</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
          <w:w w:val="105"/>
        </w:rPr>
        <w:t> </w:t>
      </w:r>
      <w:r>
        <w:rPr>
          <w:color w:val="231F20"/>
          <w:w w:val="110"/>
        </w:rPr>
        <w:t>historia</w:t>
      </w:r>
      <w:r>
        <w:rPr>
          <w:color w:val="231F20"/>
          <w:spacing w:val="29"/>
          <w:w w:val="110"/>
        </w:rPr>
        <w:t> </w:t>
      </w:r>
      <w:r>
        <w:rPr>
          <w:color w:val="231F20"/>
          <w:w w:val="110"/>
        </w:rPr>
        <w:t>mundial,</w:t>
      </w:r>
      <w:r>
        <w:rPr>
          <w:color w:val="231F20"/>
          <w:spacing w:val="29"/>
          <w:w w:val="110"/>
        </w:rPr>
        <w:t> </w:t>
      </w:r>
      <w:r>
        <w:rPr>
          <w:color w:val="231F20"/>
          <w:w w:val="110"/>
        </w:rPr>
        <w:t>absorbe</w:t>
      </w:r>
      <w:r>
        <w:rPr>
          <w:color w:val="231F20"/>
          <w:spacing w:val="29"/>
          <w:w w:val="110"/>
        </w:rPr>
        <w:t> </w:t>
      </w:r>
      <w:r>
        <w:rPr>
          <w:color w:val="231F20"/>
          <w:w w:val="110"/>
        </w:rPr>
        <w:t>43%</w:t>
      </w:r>
      <w:r>
        <w:rPr>
          <w:color w:val="231F20"/>
          <w:spacing w:val="29"/>
          <w:w w:val="110"/>
        </w:rPr>
        <w:t> </w:t>
      </w:r>
      <w:r>
        <w:rPr>
          <w:color w:val="231F20"/>
          <w:w w:val="110"/>
        </w:rPr>
        <w:t>del</w:t>
      </w:r>
      <w:r>
        <w:rPr>
          <w:color w:val="231F20"/>
          <w:spacing w:val="29"/>
          <w:w w:val="110"/>
        </w:rPr>
        <w:t> </w:t>
      </w:r>
      <w:r>
        <w:rPr>
          <w:color w:val="231F20"/>
          <w:w w:val="110"/>
        </w:rPr>
        <w:t>gasto</w:t>
      </w:r>
      <w:r>
        <w:rPr>
          <w:color w:val="231F20"/>
          <w:spacing w:val="29"/>
          <w:w w:val="110"/>
        </w:rPr>
        <w:t> </w:t>
      </w:r>
      <w:r>
        <w:rPr>
          <w:color w:val="231F20"/>
          <w:w w:val="110"/>
        </w:rPr>
        <w:t>total</w:t>
      </w:r>
      <w:r>
        <w:rPr>
          <w:color w:val="231F20"/>
          <w:spacing w:val="29"/>
          <w:w w:val="110"/>
        </w:rPr>
        <w:t> </w:t>
      </w:r>
      <w:r>
        <w:rPr>
          <w:color w:val="231F20"/>
          <w:w w:val="110"/>
        </w:rPr>
        <w:t>del</w:t>
      </w:r>
      <w:r>
        <w:rPr>
          <w:color w:val="231F20"/>
          <w:spacing w:val="29"/>
          <w:w w:val="110"/>
        </w:rPr>
        <w:t> </w:t>
      </w:r>
      <w:r>
        <w:rPr>
          <w:color w:val="231F20"/>
          <w:w w:val="110"/>
        </w:rPr>
        <w:t>mundo.</w:t>
      </w:r>
      <w:r>
        <w:rPr>
          <w:color w:val="231F20"/>
          <w:spacing w:val="29"/>
          <w:w w:val="110"/>
        </w:rPr>
        <w:t> </w:t>
      </w:r>
      <w:r>
        <w:rPr>
          <w:color w:val="231F20"/>
          <w:spacing w:val="2"/>
          <w:w w:val="110"/>
        </w:rPr>
        <w:t>Acorde</w:t>
      </w:r>
      <w:r>
        <w:rPr>
          <w:color w:val="231F20"/>
          <w:spacing w:val="2"/>
          <w:w w:val="107"/>
        </w:rPr>
        <w:t> </w:t>
      </w:r>
      <w:r>
        <w:rPr>
          <w:color w:val="231F20"/>
          <w:w w:val="110"/>
        </w:rPr>
        <w:t>a</w:t>
      </w:r>
      <w:r>
        <w:rPr>
          <w:color w:val="231F20"/>
          <w:spacing w:val="35"/>
          <w:w w:val="110"/>
        </w:rPr>
        <w:t> </w:t>
      </w:r>
      <w:r>
        <w:rPr>
          <w:color w:val="231F20"/>
          <w:w w:val="110"/>
        </w:rPr>
        <w:t>los</w:t>
      </w:r>
      <w:r>
        <w:rPr>
          <w:color w:val="231F20"/>
          <w:spacing w:val="35"/>
          <w:w w:val="110"/>
        </w:rPr>
        <w:t> </w:t>
      </w:r>
      <w:r>
        <w:rPr>
          <w:color w:val="231F20"/>
          <w:w w:val="110"/>
        </w:rPr>
        <w:t>más</w:t>
      </w:r>
      <w:r>
        <w:rPr>
          <w:color w:val="231F20"/>
          <w:spacing w:val="35"/>
          <w:w w:val="110"/>
        </w:rPr>
        <w:t> </w:t>
      </w:r>
      <w:r>
        <w:rPr>
          <w:color w:val="231F20"/>
          <w:w w:val="110"/>
        </w:rPr>
        <w:t>recientes</w:t>
      </w:r>
      <w:r>
        <w:rPr>
          <w:color w:val="231F20"/>
          <w:spacing w:val="35"/>
          <w:w w:val="110"/>
        </w:rPr>
        <w:t> </w:t>
      </w:r>
      <w:r>
        <w:rPr>
          <w:color w:val="231F20"/>
          <w:w w:val="110"/>
        </w:rPr>
        <w:t>datos</w:t>
      </w:r>
      <w:r>
        <w:rPr>
          <w:color w:val="231F20"/>
          <w:spacing w:val="35"/>
          <w:w w:val="110"/>
        </w:rPr>
        <w:t> </w:t>
      </w:r>
      <w:r>
        <w:rPr>
          <w:color w:val="231F20"/>
          <w:w w:val="110"/>
        </w:rPr>
        <w:t>estadísticos</w:t>
      </w:r>
      <w:r>
        <w:rPr>
          <w:color w:val="231F20"/>
          <w:spacing w:val="35"/>
          <w:w w:val="110"/>
        </w:rPr>
        <w:t> </w:t>
      </w:r>
      <w:r>
        <w:rPr>
          <w:color w:val="231F20"/>
          <w:w w:val="110"/>
        </w:rPr>
        <w:t>disponibles</w:t>
      </w:r>
      <w:r>
        <w:rPr>
          <w:color w:val="231F20"/>
          <w:spacing w:val="35"/>
          <w:w w:val="110"/>
        </w:rPr>
        <w:t> </w:t>
      </w:r>
      <w:r>
        <w:rPr>
          <w:color w:val="231F20"/>
          <w:w w:val="110"/>
        </w:rPr>
        <w:t>(nsb,</w:t>
      </w:r>
      <w:r>
        <w:rPr>
          <w:color w:val="231F20"/>
          <w:spacing w:val="35"/>
          <w:w w:val="110"/>
        </w:rPr>
        <w:t> </w:t>
      </w:r>
      <w:r>
        <w:rPr>
          <w:color w:val="231F20"/>
          <w:w w:val="110"/>
        </w:rPr>
        <w:t>2008),</w:t>
      </w:r>
      <w:r>
        <w:rPr>
          <w:color w:val="231F20"/>
          <w:spacing w:val="35"/>
          <w:w w:val="110"/>
        </w:rPr>
        <w:t> </w:t>
      </w:r>
      <w:r>
        <w:rPr>
          <w:color w:val="231F20"/>
          <w:w w:val="110"/>
        </w:rPr>
        <w:t>en</w:t>
      </w:r>
      <w:r>
        <w:rPr>
          <w:color w:val="231F20"/>
          <w:spacing w:val="2"/>
          <w:w w:val="116"/>
        </w:rPr>
        <w:t> </w:t>
      </w:r>
      <w:r>
        <w:rPr>
          <w:color w:val="231F20"/>
          <w:w w:val="110"/>
        </w:rPr>
        <w:t>2007, para el total de obligaciones federales en i+d,</w:t>
      </w:r>
      <w:r>
        <w:rPr>
          <w:color w:val="231F20"/>
          <w:spacing w:val="38"/>
          <w:w w:val="110"/>
        </w:rPr>
        <w:t> </w:t>
      </w:r>
      <w:r>
        <w:rPr>
          <w:color w:val="231F20"/>
          <w:w w:val="110"/>
        </w:rPr>
        <w:t>el</w:t>
      </w:r>
      <w:r>
        <w:rPr>
          <w:color w:val="231F20"/>
          <w:spacing w:val="4"/>
          <w:w w:val="110"/>
        </w:rPr>
        <w:t> </w:t>
      </w:r>
      <w:r>
        <w:rPr>
          <w:color w:val="231F20"/>
          <w:w w:val="110"/>
        </w:rPr>
        <w:t>Departamen-</w:t>
      </w:r>
      <w:r>
        <w:rPr>
          <w:color w:val="231F20"/>
          <w:w w:val="72"/>
        </w:rPr>
        <w:t> </w:t>
      </w:r>
      <w:r>
        <w:rPr>
          <w:color w:val="231F20"/>
          <w:w w:val="110"/>
        </w:rPr>
        <w:t>to</w:t>
      </w:r>
      <w:r>
        <w:rPr>
          <w:color w:val="231F20"/>
          <w:spacing w:val="33"/>
          <w:w w:val="110"/>
        </w:rPr>
        <w:t> </w:t>
      </w:r>
      <w:r>
        <w:rPr>
          <w:color w:val="231F20"/>
          <w:w w:val="110"/>
        </w:rPr>
        <w:t>de</w:t>
      </w:r>
      <w:r>
        <w:rPr>
          <w:color w:val="231F20"/>
          <w:spacing w:val="33"/>
          <w:w w:val="110"/>
        </w:rPr>
        <w:t> </w:t>
      </w:r>
      <w:r>
        <w:rPr>
          <w:color w:val="231F20"/>
          <w:w w:val="110"/>
        </w:rPr>
        <w:t>Defensa</w:t>
      </w:r>
      <w:r>
        <w:rPr>
          <w:color w:val="231F20"/>
          <w:spacing w:val="33"/>
          <w:w w:val="110"/>
        </w:rPr>
        <w:t> </w:t>
      </w:r>
      <w:r>
        <w:rPr>
          <w:color w:val="231F20"/>
          <w:w w:val="110"/>
        </w:rPr>
        <w:t>aportaría</w:t>
      </w:r>
      <w:r>
        <w:rPr>
          <w:color w:val="231F20"/>
          <w:spacing w:val="33"/>
          <w:w w:val="110"/>
        </w:rPr>
        <w:t> </w:t>
      </w:r>
      <w:r>
        <w:rPr>
          <w:color w:val="231F20"/>
          <w:w w:val="110"/>
        </w:rPr>
        <w:t>50%</w:t>
      </w:r>
      <w:r>
        <w:rPr>
          <w:color w:val="231F20"/>
          <w:spacing w:val="32"/>
          <w:w w:val="110"/>
        </w:rPr>
        <w:t> </w:t>
      </w:r>
      <w:r>
        <w:rPr>
          <w:color w:val="231F20"/>
          <w:w w:val="110"/>
        </w:rPr>
        <w:t>con</w:t>
      </w:r>
      <w:r>
        <w:rPr>
          <w:color w:val="231F20"/>
          <w:spacing w:val="33"/>
          <w:w w:val="110"/>
        </w:rPr>
        <w:t> </w:t>
      </w:r>
      <w:r>
        <w:rPr>
          <w:color w:val="231F20"/>
          <w:w w:val="110"/>
        </w:rPr>
        <w:t>56</w:t>
      </w:r>
      <w:r>
        <w:rPr>
          <w:color w:val="231F20"/>
          <w:spacing w:val="33"/>
          <w:w w:val="110"/>
        </w:rPr>
        <w:t> </w:t>
      </w:r>
      <w:r>
        <w:rPr>
          <w:color w:val="231F20"/>
          <w:w w:val="110"/>
        </w:rPr>
        <w:t>mil</w:t>
      </w:r>
      <w:r>
        <w:rPr>
          <w:color w:val="231F20"/>
          <w:spacing w:val="33"/>
          <w:w w:val="110"/>
        </w:rPr>
        <w:t> </w:t>
      </w:r>
      <w:r>
        <w:rPr>
          <w:color w:val="231F20"/>
          <w:w w:val="110"/>
        </w:rPr>
        <w:t>millones</w:t>
      </w:r>
      <w:r>
        <w:rPr>
          <w:color w:val="231F20"/>
          <w:spacing w:val="32"/>
          <w:w w:val="110"/>
        </w:rPr>
        <w:t> </w:t>
      </w:r>
      <w:r>
        <w:rPr>
          <w:color w:val="231F20"/>
          <w:w w:val="110"/>
        </w:rPr>
        <w:t>de</w:t>
      </w:r>
      <w:r>
        <w:rPr>
          <w:color w:val="231F20"/>
          <w:spacing w:val="33"/>
          <w:w w:val="110"/>
        </w:rPr>
        <w:t> </w:t>
      </w:r>
      <w:r>
        <w:rPr>
          <w:color w:val="231F20"/>
          <w:w w:val="110"/>
        </w:rPr>
        <w:t>dólares.</w:t>
      </w:r>
      <w:r>
        <w:rPr>
          <w:color w:val="231F20"/>
          <w:spacing w:val="33"/>
          <w:w w:val="110"/>
        </w:rPr>
        <w:t> </w:t>
      </w:r>
      <w:r>
        <w:rPr>
          <w:color w:val="231F20"/>
          <w:w w:val="110"/>
        </w:rPr>
        <w:t>De</w:t>
      </w:r>
      <w:r>
        <w:rPr>
          <w:color w:val="231F20"/>
          <w:spacing w:val="2"/>
          <w:w w:val="106"/>
        </w:rPr>
        <w:t> </w:t>
      </w:r>
      <w:r>
        <w:rPr>
          <w:color w:val="231F20"/>
          <w:w w:val="110"/>
        </w:rPr>
        <w:t>este</w:t>
      </w:r>
      <w:r>
        <w:rPr>
          <w:color w:val="231F20"/>
          <w:spacing w:val="22"/>
          <w:w w:val="110"/>
        </w:rPr>
        <w:t> </w:t>
      </w:r>
      <w:r>
        <w:rPr>
          <w:color w:val="231F20"/>
          <w:w w:val="110"/>
        </w:rPr>
        <w:t>monto,</w:t>
      </w:r>
      <w:r>
        <w:rPr>
          <w:color w:val="231F20"/>
          <w:spacing w:val="22"/>
          <w:w w:val="110"/>
        </w:rPr>
        <w:t> </w:t>
      </w:r>
      <w:r>
        <w:rPr>
          <w:color w:val="231F20"/>
          <w:w w:val="110"/>
        </w:rPr>
        <w:t>89%</w:t>
      </w:r>
      <w:r>
        <w:rPr>
          <w:color w:val="231F20"/>
          <w:spacing w:val="22"/>
          <w:w w:val="110"/>
        </w:rPr>
        <w:t> </w:t>
      </w:r>
      <w:r>
        <w:rPr>
          <w:color w:val="231F20"/>
          <w:w w:val="110"/>
        </w:rPr>
        <w:t>(50</w:t>
      </w:r>
      <w:r>
        <w:rPr>
          <w:color w:val="231F20"/>
          <w:spacing w:val="22"/>
          <w:w w:val="110"/>
        </w:rPr>
        <w:t> </w:t>
      </w:r>
      <w:r>
        <w:rPr>
          <w:color w:val="231F20"/>
          <w:w w:val="110"/>
        </w:rPr>
        <w:t>mil</w:t>
      </w:r>
      <w:r>
        <w:rPr>
          <w:color w:val="231F20"/>
          <w:spacing w:val="22"/>
          <w:w w:val="110"/>
        </w:rPr>
        <w:t> </w:t>
      </w:r>
      <w:r>
        <w:rPr>
          <w:color w:val="231F20"/>
          <w:w w:val="110"/>
        </w:rPr>
        <w:t>millones)</w:t>
      </w:r>
      <w:r>
        <w:rPr>
          <w:color w:val="231F20"/>
          <w:spacing w:val="22"/>
          <w:w w:val="110"/>
        </w:rPr>
        <w:t> </w:t>
      </w:r>
      <w:r>
        <w:rPr>
          <w:color w:val="231F20"/>
          <w:w w:val="110"/>
        </w:rPr>
        <w:t>se</w:t>
      </w:r>
      <w:r>
        <w:rPr>
          <w:color w:val="231F20"/>
          <w:spacing w:val="22"/>
          <w:w w:val="110"/>
        </w:rPr>
        <w:t> </w:t>
      </w:r>
      <w:r>
        <w:rPr>
          <w:color w:val="231F20"/>
          <w:w w:val="110"/>
        </w:rPr>
        <w:t>dedicaría</w:t>
      </w:r>
      <w:r>
        <w:rPr>
          <w:color w:val="231F20"/>
          <w:spacing w:val="22"/>
          <w:w w:val="110"/>
        </w:rPr>
        <w:t> </w:t>
      </w:r>
      <w:r>
        <w:rPr>
          <w:color w:val="231F20"/>
          <w:w w:val="110"/>
        </w:rPr>
        <w:t>al</w:t>
      </w:r>
      <w:r>
        <w:rPr>
          <w:color w:val="231F20"/>
          <w:spacing w:val="22"/>
          <w:w w:val="110"/>
        </w:rPr>
        <w:t> </w:t>
      </w:r>
      <w:r>
        <w:rPr>
          <w:color w:val="231F20"/>
          <w:w w:val="110"/>
        </w:rPr>
        <w:t>desarrollo</w:t>
      </w:r>
      <w:r>
        <w:rPr>
          <w:color w:val="231F20"/>
          <w:spacing w:val="22"/>
          <w:w w:val="110"/>
        </w:rPr>
        <w:t> </w:t>
      </w:r>
      <w:r>
        <w:rPr>
          <w:color w:val="231F20"/>
          <w:w w:val="110"/>
        </w:rPr>
        <w:t>cuya</w:t>
      </w:r>
      <w:r>
        <w:rPr>
          <w:color w:val="231F20"/>
          <w:spacing w:val="2"/>
          <w:w w:val="102"/>
        </w:rPr>
        <w:t> </w:t>
      </w:r>
      <w:r>
        <w:rPr>
          <w:color w:val="231F20"/>
          <w:w w:val="110"/>
        </w:rPr>
        <w:t>mayor parte, 79% (44 mil millones), clasifica como</w:t>
      </w:r>
      <w:r>
        <w:rPr>
          <w:color w:val="231F20"/>
          <w:spacing w:val="34"/>
          <w:w w:val="110"/>
        </w:rPr>
        <w:t> </w:t>
      </w:r>
      <w:r>
        <w:rPr>
          <w:color w:val="231F20"/>
          <w:w w:val="110"/>
        </w:rPr>
        <w:t>“desarrollo</w:t>
      </w:r>
      <w:r>
        <w:rPr>
          <w:color w:val="231F20"/>
          <w:spacing w:val="18"/>
          <w:w w:val="110"/>
        </w:rPr>
        <w:t> </w:t>
      </w:r>
      <w:r>
        <w:rPr>
          <w:color w:val="231F20"/>
          <w:w w:val="110"/>
        </w:rPr>
        <w:t>de</w:t>
      </w:r>
      <w:r>
        <w:rPr>
          <w:color w:val="231F20"/>
          <w:spacing w:val="2"/>
          <w:w w:val="114"/>
        </w:rPr>
        <w:t> </w:t>
      </w:r>
      <w:r>
        <w:rPr>
          <w:color w:val="231F20"/>
          <w:w w:val="110"/>
        </w:rPr>
        <w:t>sistemas mayores”, representando el costo del desarrollo,</w:t>
      </w:r>
      <w:r>
        <w:rPr>
          <w:color w:val="231F20"/>
          <w:spacing w:val="50"/>
          <w:w w:val="110"/>
        </w:rPr>
        <w:t> </w:t>
      </w:r>
      <w:r>
        <w:rPr>
          <w:color w:val="231F20"/>
          <w:w w:val="110"/>
        </w:rPr>
        <w:t>pruebas</w:t>
      </w:r>
      <w:r>
        <w:rPr>
          <w:color w:val="231F20"/>
          <w:spacing w:val="7"/>
          <w:w w:val="110"/>
        </w:rPr>
        <w:t> </w:t>
      </w:r>
      <w:r>
        <w:rPr>
          <w:color w:val="231F20"/>
          <w:w w:val="110"/>
        </w:rPr>
        <w:t>y</w:t>
      </w:r>
      <w:r>
        <w:rPr>
          <w:color w:val="231F20"/>
          <w:w w:val="84"/>
        </w:rPr>
        <w:t> </w:t>
      </w:r>
      <w:r>
        <w:rPr>
          <w:color w:val="231F20"/>
          <w:w w:val="110"/>
        </w:rPr>
        <w:t>evaluación de sistemas de combate, y 10%, al desarrollo</w:t>
      </w:r>
      <w:r>
        <w:rPr>
          <w:color w:val="231F20"/>
          <w:spacing w:val="44"/>
          <w:w w:val="110"/>
        </w:rPr>
        <w:t> </w:t>
      </w:r>
      <w:r>
        <w:rPr>
          <w:color w:val="231F20"/>
          <w:w w:val="110"/>
        </w:rPr>
        <w:t>de</w:t>
      </w:r>
      <w:r>
        <w:rPr>
          <w:color w:val="231F20"/>
          <w:spacing w:val="17"/>
          <w:w w:val="110"/>
        </w:rPr>
        <w:t> </w:t>
      </w:r>
      <w:r>
        <w:rPr>
          <w:color w:val="231F20"/>
          <w:w w:val="110"/>
        </w:rPr>
        <w:t>tecno-</w:t>
      </w:r>
      <w:r>
        <w:rPr>
          <w:color w:val="231F20"/>
          <w:w w:val="72"/>
        </w:rPr>
        <w:t> </w:t>
      </w:r>
      <w:r>
        <w:rPr>
          <w:color w:val="231F20"/>
          <w:w w:val="110"/>
        </w:rPr>
        <w:t>logía de avanzada. De los restantes 11%, se contabilizaba</w:t>
      </w:r>
      <w:r>
        <w:rPr>
          <w:color w:val="231F20"/>
          <w:spacing w:val="30"/>
          <w:w w:val="110"/>
        </w:rPr>
        <w:t> </w:t>
      </w:r>
      <w:r>
        <w:rPr>
          <w:color w:val="231F20"/>
          <w:w w:val="110"/>
        </w:rPr>
        <w:t>2%</w:t>
      </w:r>
      <w:r>
        <w:rPr>
          <w:color w:val="231F20"/>
          <w:spacing w:val="15"/>
          <w:w w:val="110"/>
        </w:rPr>
        <w:t> </w:t>
      </w:r>
      <w:r>
        <w:rPr>
          <w:color w:val="231F20"/>
          <w:w w:val="110"/>
        </w:rPr>
        <w:t>para</w:t>
      </w:r>
      <w:r>
        <w:rPr>
          <w:color w:val="231F20"/>
          <w:spacing w:val="2"/>
          <w:w w:val="112"/>
        </w:rPr>
        <w:t> </w:t>
      </w:r>
      <w:r>
        <w:rPr>
          <w:color w:val="231F20"/>
          <w:w w:val="110"/>
        </w:rPr>
        <w:t>la</w:t>
      </w:r>
      <w:r>
        <w:rPr>
          <w:color w:val="231F20"/>
          <w:spacing w:val="32"/>
          <w:w w:val="110"/>
        </w:rPr>
        <w:t> </w:t>
      </w:r>
      <w:r>
        <w:rPr>
          <w:color w:val="231F20"/>
          <w:w w:val="110"/>
        </w:rPr>
        <w:t>investigación</w:t>
      </w:r>
      <w:r>
        <w:rPr>
          <w:color w:val="231F20"/>
          <w:spacing w:val="32"/>
          <w:w w:val="110"/>
        </w:rPr>
        <w:t> </w:t>
      </w:r>
      <w:r>
        <w:rPr>
          <w:color w:val="231F20"/>
          <w:w w:val="110"/>
        </w:rPr>
        <w:t>fundamental</w:t>
      </w:r>
      <w:r>
        <w:rPr>
          <w:color w:val="231F20"/>
          <w:spacing w:val="32"/>
          <w:w w:val="110"/>
        </w:rPr>
        <w:t> </w:t>
      </w:r>
      <w:r>
        <w:rPr>
          <w:color w:val="231F20"/>
          <w:w w:val="110"/>
        </w:rPr>
        <w:t>y</w:t>
      </w:r>
      <w:r>
        <w:rPr>
          <w:color w:val="231F20"/>
          <w:spacing w:val="32"/>
          <w:w w:val="110"/>
        </w:rPr>
        <w:t> </w:t>
      </w:r>
      <w:r>
        <w:rPr>
          <w:color w:val="231F20"/>
          <w:w w:val="110"/>
        </w:rPr>
        <w:t>9</w:t>
      </w:r>
      <w:r>
        <w:rPr>
          <w:color w:val="231F20"/>
          <w:spacing w:val="32"/>
          <w:w w:val="110"/>
        </w:rPr>
        <w:t> </w:t>
      </w:r>
      <w:r>
        <w:rPr>
          <w:color w:val="231F20"/>
          <w:w w:val="110"/>
        </w:rPr>
        <w:t>%</w:t>
      </w:r>
      <w:r>
        <w:rPr>
          <w:color w:val="231F20"/>
          <w:spacing w:val="32"/>
          <w:w w:val="110"/>
        </w:rPr>
        <w:t> </w:t>
      </w:r>
      <w:r>
        <w:rPr>
          <w:color w:val="231F20"/>
          <w:w w:val="110"/>
        </w:rPr>
        <w:t>para</w:t>
      </w:r>
      <w:r>
        <w:rPr>
          <w:color w:val="231F20"/>
          <w:spacing w:val="32"/>
          <w:w w:val="110"/>
        </w:rPr>
        <w:t> </w:t>
      </w:r>
      <w:r>
        <w:rPr>
          <w:color w:val="231F20"/>
          <w:w w:val="110"/>
        </w:rPr>
        <w:t>la</w:t>
      </w:r>
      <w:r>
        <w:rPr>
          <w:color w:val="231F20"/>
          <w:spacing w:val="32"/>
          <w:w w:val="110"/>
        </w:rPr>
        <w:t> </w:t>
      </w:r>
      <w:r>
        <w:rPr>
          <w:color w:val="231F20"/>
          <w:w w:val="110"/>
        </w:rPr>
        <w:t>aplicada.</w:t>
      </w:r>
      <w:r>
        <w:rPr>
          <w:color w:val="231F20"/>
          <w:spacing w:val="32"/>
          <w:w w:val="110"/>
        </w:rPr>
        <w:t> </w:t>
      </w:r>
      <w:r>
        <w:rPr>
          <w:color w:val="231F20"/>
          <w:w w:val="110"/>
        </w:rPr>
        <w:t>El</w:t>
      </w:r>
      <w:r>
        <w:rPr>
          <w:color w:val="231F20"/>
          <w:spacing w:val="32"/>
          <w:w w:val="110"/>
        </w:rPr>
        <w:t> </w:t>
      </w:r>
      <w:r>
        <w:rPr>
          <w:color w:val="231F20"/>
          <w:w w:val="110"/>
        </w:rPr>
        <w:t>74%</w:t>
      </w:r>
      <w:r>
        <w:rPr>
          <w:color w:val="231F20"/>
          <w:spacing w:val="32"/>
          <w:w w:val="110"/>
        </w:rPr>
        <w:t> </w:t>
      </w:r>
      <w:r>
        <w:rPr>
          <w:color w:val="231F20"/>
          <w:spacing w:val="2"/>
          <w:w w:val="110"/>
        </w:rPr>
        <w:t>del</w:t>
      </w:r>
      <w:r>
        <w:rPr>
          <w:color w:val="231F20"/>
          <w:spacing w:val="2"/>
          <w:w w:val="111"/>
        </w:rPr>
        <w:t> </w:t>
      </w:r>
      <w:r>
        <w:rPr>
          <w:color w:val="231F20"/>
          <w:w w:val="110"/>
        </w:rPr>
        <w:t>i+d</w:t>
      </w:r>
      <w:r>
        <w:rPr>
          <w:color w:val="231F20"/>
          <w:spacing w:val="33"/>
          <w:w w:val="110"/>
        </w:rPr>
        <w:t> </w:t>
      </w:r>
      <w:r>
        <w:rPr>
          <w:color w:val="231F20"/>
          <w:w w:val="110"/>
        </w:rPr>
        <w:t>financiado</w:t>
      </w:r>
      <w:r>
        <w:rPr>
          <w:color w:val="231F20"/>
          <w:spacing w:val="33"/>
          <w:w w:val="110"/>
        </w:rPr>
        <w:t> </w:t>
      </w:r>
      <w:r>
        <w:rPr>
          <w:color w:val="231F20"/>
          <w:w w:val="110"/>
        </w:rPr>
        <w:t>por</w:t>
      </w:r>
      <w:r>
        <w:rPr>
          <w:color w:val="231F20"/>
          <w:spacing w:val="33"/>
          <w:w w:val="110"/>
        </w:rPr>
        <w:t> </w:t>
      </w:r>
      <w:r>
        <w:rPr>
          <w:color w:val="231F20"/>
          <w:w w:val="110"/>
        </w:rPr>
        <w:t>el</w:t>
      </w:r>
      <w:r>
        <w:rPr>
          <w:color w:val="231F20"/>
          <w:spacing w:val="33"/>
          <w:w w:val="110"/>
        </w:rPr>
        <w:t> </w:t>
      </w:r>
      <w:r>
        <w:rPr>
          <w:color w:val="231F20"/>
          <w:w w:val="110"/>
        </w:rPr>
        <w:t>Departamento</w:t>
      </w:r>
      <w:r>
        <w:rPr>
          <w:color w:val="231F20"/>
          <w:spacing w:val="33"/>
          <w:w w:val="110"/>
        </w:rPr>
        <w:t> </w:t>
      </w:r>
      <w:r>
        <w:rPr>
          <w:color w:val="231F20"/>
          <w:w w:val="110"/>
        </w:rPr>
        <w:t>de</w:t>
      </w:r>
      <w:r>
        <w:rPr>
          <w:color w:val="231F20"/>
          <w:spacing w:val="33"/>
          <w:w w:val="110"/>
        </w:rPr>
        <w:t> </w:t>
      </w:r>
      <w:r>
        <w:rPr>
          <w:color w:val="231F20"/>
          <w:w w:val="110"/>
        </w:rPr>
        <w:t>Defensa</w:t>
      </w:r>
      <w:r>
        <w:rPr>
          <w:color w:val="231F20"/>
          <w:spacing w:val="33"/>
          <w:w w:val="110"/>
        </w:rPr>
        <w:t> </w:t>
      </w:r>
      <w:r>
        <w:rPr>
          <w:color w:val="231F20"/>
          <w:w w:val="110"/>
        </w:rPr>
        <w:t>se</w:t>
      </w:r>
      <w:r>
        <w:rPr>
          <w:color w:val="231F20"/>
          <w:spacing w:val="33"/>
          <w:w w:val="110"/>
        </w:rPr>
        <w:t> </w:t>
      </w:r>
      <w:r>
        <w:rPr>
          <w:color w:val="231F20"/>
          <w:w w:val="110"/>
        </w:rPr>
        <w:t>ejecuta</w:t>
      </w:r>
      <w:r>
        <w:rPr>
          <w:color w:val="231F20"/>
          <w:spacing w:val="33"/>
          <w:w w:val="110"/>
        </w:rPr>
        <w:t> </w:t>
      </w:r>
      <w:r>
        <w:rPr>
          <w:color w:val="231F20"/>
          <w:w w:val="110"/>
        </w:rPr>
        <w:t>en</w:t>
      </w:r>
      <w:r>
        <w:rPr>
          <w:color w:val="231F20"/>
          <w:spacing w:val="33"/>
          <w:w w:val="110"/>
        </w:rPr>
        <w:t> </w:t>
      </w:r>
      <w:r>
        <w:rPr>
          <w:color w:val="231F20"/>
          <w:spacing w:val="2"/>
          <w:w w:val="110"/>
        </w:rPr>
        <w:t>las</w:t>
      </w:r>
      <w:r>
        <w:rPr>
          <w:color w:val="231F20"/>
          <w:spacing w:val="2"/>
          <w:w w:val="100"/>
        </w:rPr>
        <w:t> </w:t>
      </w:r>
      <w:r>
        <w:rPr>
          <w:color w:val="231F20"/>
          <w:w w:val="110"/>
        </w:rPr>
        <w:t>empresas industriales. Por otro lado, el Departamento</w:t>
      </w:r>
      <w:r>
        <w:rPr>
          <w:color w:val="231F20"/>
          <w:spacing w:val="49"/>
          <w:w w:val="110"/>
        </w:rPr>
        <w:t> </w:t>
      </w:r>
      <w:r>
        <w:rPr>
          <w:color w:val="231F20"/>
          <w:w w:val="110"/>
        </w:rPr>
        <w:t>de</w:t>
      </w:r>
      <w:r>
        <w:rPr>
          <w:color w:val="231F20"/>
          <w:spacing w:val="30"/>
          <w:w w:val="110"/>
        </w:rPr>
        <w:t> </w:t>
      </w:r>
      <w:r>
        <w:rPr>
          <w:color w:val="231F20"/>
          <w:w w:val="110"/>
        </w:rPr>
        <w:t>Defensa</w:t>
      </w:r>
      <w:r>
        <w:rPr>
          <w:color w:val="231F20"/>
          <w:spacing w:val="2"/>
          <w:w w:val="106"/>
        </w:rPr>
        <w:t> </w:t>
      </w:r>
      <w:r>
        <w:rPr>
          <w:color w:val="231F20"/>
          <w:w w:val="110"/>
        </w:rPr>
        <w:t>contribuye con más de 84% de todas las obligaciones</w:t>
      </w:r>
      <w:r>
        <w:rPr>
          <w:color w:val="231F20"/>
          <w:spacing w:val="18"/>
          <w:w w:val="110"/>
        </w:rPr>
        <w:t> </w:t>
      </w:r>
      <w:r>
        <w:rPr>
          <w:color w:val="231F20"/>
          <w:w w:val="110"/>
        </w:rPr>
        <w:t>federales</w:t>
      </w:r>
      <w:r>
        <w:rPr>
          <w:color w:val="231F20"/>
          <w:spacing w:val="2"/>
          <w:w w:val="110"/>
        </w:rPr>
        <w:t> </w:t>
      </w:r>
      <w:r>
        <w:rPr>
          <w:color w:val="231F20"/>
          <w:w w:val="110"/>
        </w:rPr>
        <w:t>para</w:t>
      </w:r>
      <w:r>
        <w:rPr>
          <w:color w:val="231F20"/>
          <w:spacing w:val="2"/>
          <w:w w:val="112"/>
        </w:rPr>
        <w:t> </w:t>
      </w:r>
      <w:r>
        <w:rPr>
          <w:color w:val="231F20"/>
          <w:w w:val="110"/>
        </w:rPr>
        <w:t>la</w:t>
      </w:r>
      <w:r>
        <w:rPr>
          <w:color w:val="231F20"/>
          <w:spacing w:val="22"/>
          <w:w w:val="110"/>
        </w:rPr>
        <w:t> </w:t>
      </w:r>
      <w:r>
        <w:rPr>
          <w:color w:val="231F20"/>
          <w:w w:val="110"/>
        </w:rPr>
        <w:t>industria.</w:t>
      </w:r>
      <w:r>
        <w:rPr>
          <w:color w:val="231F20"/>
          <w:spacing w:val="22"/>
          <w:w w:val="110"/>
        </w:rPr>
        <w:t> </w:t>
      </w:r>
      <w:r>
        <w:rPr>
          <w:color w:val="231F20"/>
          <w:w w:val="110"/>
        </w:rPr>
        <w:t>Son</w:t>
      </w:r>
      <w:r>
        <w:rPr>
          <w:color w:val="231F20"/>
          <w:spacing w:val="22"/>
          <w:w w:val="110"/>
        </w:rPr>
        <w:t> </w:t>
      </w:r>
      <w:r>
        <w:rPr>
          <w:color w:val="231F20"/>
          <w:w w:val="110"/>
        </w:rPr>
        <w:t>elocuentes</w:t>
      </w:r>
      <w:r>
        <w:rPr>
          <w:color w:val="231F20"/>
          <w:spacing w:val="22"/>
          <w:w w:val="110"/>
        </w:rPr>
        <w:t> </w:t>
      </w:r>
      <w:r>
        <w:rPr>
          <w:color w:val="231F20"/>
          <w:w w:val="110"/>
        </w:rPr>
        <w:t>dos</w:t>
      </w:r>
      <w:r>
        <w:rPr>
          <w:color w:val="231F20"/>
          <w:spacing w:val="22"/>
          <w:w w:val="110"/>
        </w:rPr>
        <w:t> </w:t>
      </w:r>
      <w:r>
        <w:rPr>
          <w:color w:val="231F20"/>
          <w:w w:val="110"/>
        </w:rPr>
        <w:t>ejemplos</w:t>
      </w:r>
      <w:r>
        <w:rPr>
          <w:color w:val="231F20"/>
          <w:spacing w:val="22"/>
          <w:w w:val="110"/>
        </w:rPr>
        <w:t> </w:t>
      </w:r>
      <w:r>
        <w:rPr>
          <w:color w:val="231F20"/>
          <w:w w:val="110"/>
        </w:rPr>
        <w:t>del</w:t>
      </w:r>
      <w:r>
        <w:rPr>
          <w:color w:val="231F20"/>
          <w:spacing w:val="22"/>
          <w:w w:val="110"/>
        </w:rPr>
        <w:t> </w:t>
      </w:r>
      <w:r>
        <w:rPr>
          <w:color w:val="231F20"/>
          <w:w w:val="110"/>
        </w:rPr>
        <w:t>colosal</w:t>
      </w:r>
      <w:r>
        <w:rPr>
          <w:color w:val="231F20"/>
          <w:spacing w:val="22"/>
          <w:w w:val="110"/>
        </w:rPr>
        <w:t> </w:t>
      </w:r>
      <w:r>
        <w:rPr>
          <w:color w:val="231F20"/>
          <w:w w:val="110"/>
        </w:rPr>
        <w:t>gasto</w:t>
      </w:r>
      <w:r>
        <w:rPr>
          <w:color w:val="231F20"/>
          <w:spacing w:val="22"/>
          <w:w w:val="110"/>
        </w:rPr>
        <w:t> </w:t>
      </w:r>
      <w:r>
        <w:rPr>
          <w:color w:val="231F20"/>
          <w:w w:val="110"/>
        </w:rPr>
        <w:t>en</w:t>
      </w:r>
      <w:r>
        <w:rPr>
          <w:color w:val="231F20"/>
          <w:spacing w:val="21"/>
          <w:w w:val="110"/>
        </w:rPr>
        <w:t> </w:t>
      </w:r>
      <w:r>
        <w:rPr>
          <w:color w:val="231F20"/>
          <w:spacing w:val="2"/>
          <w:w w:val="110"/>
        </w:rPr>
        <w:t>i+d</w:t>
      </w:r>
      <w:r>
        <w:rPr>
          <w:color w:val="231F20"/>
          <w:spacing w:val="2"/>
          <w:w w:val="109"/>
        </w:rPr>
        <w:t> </w:t>
      </w:r>
      <w:r>
        <w:rPr>
          <w:color w:val="231F20"/>
          <w:w w:val="110"/>
        </w:rPr>
        <w:t>militar destinado al nuevo armamento de destrucción</w:t>
      </w:r>
      <w:r>
        <w:rPr>
          <w:color w:val="231F20"/>
          <w:spacing w:val="20"/>
          <w:w w:val="110"/>
        </w:rPr>
        <w:t> </w:t>
      </w:r>
      <w:r>
        <w:rPr>
          <w:color w:val="231F20"/>
          <w:w w:val="110"/>
        </w:rPr>
        <w:t>masiva.</w:t>
      </w:r>
      <w:r>
        <w:rPr>
          <w:color w:val="231F20"/>
          <w:spacing w:val="18"/>
          <w:w w:val="110"/>
        </w:rPr>
        <w:t> </w:t>
      </w:r>
      <w:r>
        <w:rPr>
          <w:color w:val="231F20"/>
          <w:w w:val="110"/>
        </w:rPr>
        <w:t>Para</w:t>
      </w:r>
      <w:r>
        <w:rPr>
          <w:color w:val="231F20"/>
          <w:spacing w:val="2"/>
          <w:w w:val="109"/>
        </w:rPr>
        <w:t> </w:t>
      </w:r>
      <w:r>
        <w:rPr>
          <w:color w:val="231F20"/>
          <w:w w:val="110"/>
        </w:rPr>
        <w:t>el año fiscal 2011 se proponía el gobierno solicitar más de</w:t>
      </w:r>
      <w:r>
        <w:rPr>
          <w:color w:val="231F20"/>
          <w:spacing w:val="15"/>
          <w:w w:val="110"/>
        </w:rPr>
        <w:t> </w:t>
      </w:r>
      <w:r>
        <w:rPr>
          <w:color w:val="231F20"/>
          <w:w w:val="110"/>
        </w:rPr>
        <w:t>200</w:t>
      </w:r>
      <w:r>
        <w:rPr>
          <w:color w:val="231F20"/>
          <w:spacing w:val="11"/>
          <w:w w:val="110"/>
        </w:rPr>
        <w:t> </w:t>
      </w:r>
      <w:r>
        <w:rPr>
          <w:color w:val="231F20"/>
          <w:spacing w:val="2"/>
          <w:w w:val="110"/>
        </w:rPr>
        <w:t>mil</w:t>
      </w:r>
      <w:r>
        <w:rPr>
          <w:color w:val="231F20"/>
          <w:spacing w:val="2"/>
          <w:w w:val="106"/>
        </w:rPr>
        <w:t> </w:t>
      </w:r>
      <w:r>
        <w:rPr>
          <w:color w:val="231F20"/>
          <w:w w:val="110"/>
        </w:rPr>
        <w:t>millones</w:t>
      </w:r>
      <w:r>
        <w:rPr>
          <w:color w:val="231F20"/>
          <w:spacing w:val="-28"/>
          <w:w w:val="110"/>
        </w:rPr>
        <w:t> </w:t>
      </w:r>
      <w:r>
        <w:rPr>
          <w:color w:val="231F20"/>
          <w:w w:val="110"/>
        </w:rPr>
        <w:t>de</w:t>
      </w:r>
      <w:r>
        <w:rPr>
          <w:color w:val="231F20"/>
          <w:spacing w:val="-28"/>
          <w:w w:val="110"/>
        </w:rPr>
        <w:t> </w:t>
      </w:r>
      <w:r>
        <w:rPr>
          <w:color w:val="231F20"/>
          <w:w w:val="110"/>
        </w:rPr>
        <w:t>dólares</w:t>
      </w:r>
      <w:r>
        <w:rPr>
          <w:color w:val="231F20"/>
          <w:spacing w:val="-28"/>
          <w:w w:val="110"/>
        </w:rPr>
        <w:t> </w:t>
      </w:r>
      <w:r>
        <w:rPr>
          <w:color w:val="231F20"/>
          <w:w w:val="110"/>
        </w:rPr>
        <w:t>para:</w:t>
      </w:r>
      <w:r>
        <w:rPr>
          <w:color w:val="231F20"/>
          <w:spacing w:val="-29"/>
          <w:w w:val="110"/>
        </w:rPr>
        <w:t> </w:t>
      </w:r>
      <w:r>
        <w:rPr>
          <w:color w:val="231F20"/>
          <w:w w:val="110"/>
        </w:rPr>
        <w:t>i+d</w:t>
      </w:r>
      <w:r>
        <w:rPr>
          <w:color w:val="231F20"/>
          <w:spacing w:val="-28"/>
          <w:w w:val="110"/>
        </w:rPr>
        <w:t> </w:t>
      </w:r>
      <w:r>
        <w:rPr>
          <w:color w:val="231F20"/>
          <w:w w:val="110"/>
        </w:rPr>
        <w:t>en</w:t>
      </w:r>
      <w:r>
        <w:rPr>
          <w:color w:val="231F20"/>
          <w:spacing w:val="-29"/>
          <w:w w:val="110"/>
        </w:rPr>
        <w:t> </w:t>
      </w:r>
      <w:r>
        <w:rPr>
          <w:i/>
          <w:color w:val="231F20"/>
          <w:w w:val="110"/>
        </w:rPr>
        <w:t>ataque</w:t>
      </w:r>
      <w:r>
        <w:rPr>
          <w:i/>
          <w:color w:val="231F20"/>
          <w:spacing w:val="-28"/>
          <w:w w:val="110"/>
        </w:rPr>
        <w:t> </w:t>
      </w:r>
      <w:r>
        <w:rPr>
          <w:i/>
          <w:color w:val="231F20"/>
          <w:w w:val="110"/>
        </w:rPr>
        <w:t>global</w:t>
      </w:r>
      <w:r>
        <w:rPr>
          <w:i/>
          <w:color w:val="231F20"/>
          <w:spacing w:val="-28"/>
          <w:w w:val="110"/>
        </w:rPr>
        <w:t> </w:t>
      </w:r>
      <w:r>
        <w:rPr>
          <w:i/>
          <w:color w:val="231F20"/>
          <w:w w:val="110"/>
        </w:rPr>
        <w:t>inmediato</w:t>
      </w:r>
      <w:r>
        <w:rPr>
          <w:i/>
          <w:color w:val="231F20"/>
          <w:spacing w:val="-29"/>
          <w:w w:val="110"/>
        </w:rPr>
        <w:t> </w:t>
      </w:r>
      <w:r>
        <w:rPr>
          <w:color w:val="231F20"/>
          <w:spacing w:val="2"/>
          <w:w w:val="110"/>
        </w:rPr>
        <w:t>(lanzamiento</w:t>
      </w:r>
      <w:r>
        <w:rPr>
          <w:color w:val="231F20"/>
          <w:spacing w:val="2"/>
          <w:w w:val="111"/>
        </w:rPr>
        <w:t> </w:t>
      </w:r>
      <w:r>
        <w:rPr>
          <w:color w:val="231F20"/>
          <w:w w:val="110"/>
        </w:rPr>
        <w:t>a</w:t>
      </w:r>
      <w:r>
        <w:rPr>
          <w:color w:val="231F20"/>
          <w:spacing w:val="21"/>
          <w:w w:val="110"/>
        </w:rPr>
        <w:t> </w:t>
      </w:r>
      <w:r>
        <w:rPr>
          <w:color w:val="231F20"/>
          <w:w w:val="110"/>
        </w:rPr>
        <w:t>25</w:t>
      </w:r>
      <w:r>
        <w:rPr>
          <w:color w:val="231F20"/>
          <w:spacing w:val="21"/>
          <w:w w:val="110"/>
        </w:rPr>
        <w:t> </w:t>
      </w:r>
      <w:r>
        <w:rPr>
          <w:color w:val="231F20"/>
          <w:w w:val="110"/>
        </w:rPr>
        <w:t>mil</w:t>
      </w:r>
      <w:r>
        <w:rPr>
          <w:color w:val="231F20"/>
          <w:spacing w:val="21"/>
          <w:w w:val="110"/>
        </w:rPr>
        <w:t> </w:t>
      </w:r>
      <w:r>
        <w:rPr>
          <w:color w:val="231F20"/>
          <w:w w:val="110"/>
        </w:rPr>
        <w:t>km/h</w:t>
      </w:r>
      <w:r>
        <w:rPr>
          <w:color w:val="231F20"/>
          <w:spacing w:val="21"/>
          <w:w w:val="110"/>
        </w:rPr>
        <w:t> </w:t>
      </w:r>
      <w:r>
        <w:rPr>
          <w:color w:val="231F20"/>
          <w:w w:val="110"/>
        </w:rPr>
        <w:t>de</w:t>
      </w:r>
      <w:r>
        <w:rPr>
          <w:color w:val="231F20"/>
          <w:spacing w:val="21"/>
          <w:w w:val="110"/>
        </w:rPr>
        <w:t> </w:t>
      </w:r>
      <w:r>
        <w:rPr>
          <w:color w:val="231F20"/>
          <w:w w:val="110"/>
        </w:rPr>
        <w:t>barras</w:t>
      </w:r>
      <w:r>
        <w:rPr>
          <w:color w:val="231F20"/>
          <w:spacing w:val="21"/>
          <w:w w:val="110"/>
        </w:rPr>
        <w:t> </w:t>
      </w:r>
      <w:r>
        <w:rPr>
          <w:color w:val="231F20"/>
          <w:w w:val="110"/>
        </w:rPr>
        <w:t>de</w:t>
      </w:r>
      <w:r>
        <w:rPr>
          <w:color w:val="231F20"/>
          <w:spacing w:val="21"/>
          <w:w w:val="110"/>
        </w:rPr>
        <w:t> </w:t>
      </w:r>
      <w:r>
        <w:rPr>
          <w:color w:val="231F20"/>
          <w:w w:val="110"/>
        </w:rPr>
        <w:t>tungsteno);</w:t>
      </w:r>
      <w:r>
        <w:rPr>
          <w:color w:val="231F20"/>
          <w:spacing w:val="21"/>
          <w:w w:val="110"/>
        </w:rPr>
        <w:t> </w:t>
      </w:r>
      <w:r>
        <w:rPr>
          <w:color w:val="231F20"/>
          <w:w w:val="110"/>
        </w:rPr>
        <w:t>los</w:t>
      </w:r>
      <w:r>
        <w:rPr>
          <w:color w:val="231F20"/>
          <w:spacing w:val="21"/>
          <w:w w:val="110"/>
        </w:rPr>
        <w:t> </w:t>
      </w:r>
      <w:r>
        <w:rPr>
          <w:color w:val="231F20"/>
          <w:w w:val="110"/>
        </w:rPr>
        <w:t>sistemas</w:t>
      </w:r>
      <w:r>
        <w:rPr>
          <w:color w:val="231F20"/>
          <w:spacing w:val="21"/>
          <w:w w:val="110"/>
        </w:rPr>
        <w:t> </w:t>
      </w:r>
      <w:r>
        <w:rPr>
          <w:color w:val="231F20"/>
          <w:w w:val="110"/>
        </w:rPr>
        <w:t>de</w:t>
      </w:r>
      <w:r>
        <w:rPr>
          <w:color w:val="231F20"/>
          <w:spacing w:val="21"/>
          <w:w w:val="110"/>
        </w:rPr>
        <w:t> </w:t>
      </w:r>
      <w:r>
        <w:rPr>
          <w:color w:val="231F20"/>
          <w:w w:val="110"/>
        </w:rPr>
        <w:t>antenas</w:t>
      </w:r>
      <w:r>
        <w:rPr>
          <w:color w:val="231F20"/>
          <w:spacing w:val="21"/>
          <w:w w:val="110"/>
        </w:rPr>
        <w:t> </w:t>
      </w:r>
      <w:r>
        <w:rPr>
          <w:color w:val="231F20"/>
          <w:w w:val="110"/>
        </w:rPr>
        <w:t>en</w:t>
      </w:r>
      <w:r>
        <w:rPr>
          <w:color w:val="231F20"/>
          <w:spacing w:val="2"/>
          <w:w w:val="116"/>
        </w:rPr>
        <w:t> </w:t>
      </w:r>
      <w:r>
        <w:rPr>
          <w:color w:val="231F20"/>
          <w:w w:val="110"/>
        </w:rPr>
        <w:t>Alaska del Programa de Aurora Activa de Alta</w:t>
      </w:r>
      <w:r>
        <w:rPr>
          <w:color w:val="231F20"/>
          <w:spacing w:val="41"/>
          <w:w w:val="110"/>
        </w:rPr>
        <w:t> </w:t>
      </w:r>
      <w:r>
        <w:rPr>
          <w:color w:val="231F20"/>
          <w:w w:val="110"/>
        </w:rPr>
        <w:t>Frecuencia</w:t>
      </w:r>
      <w:r>
        <w:rPr>
          <w:color w:val="231F20"/>
          <w:spacing w:val="12"/>
          <w:w w:val="110"/>
        </w:rPr>
        <w:t> </w:t>
      </w:r>
      <w:r>
        <w:rPr>
          <w:color w:val="231F20"/>
          <w:w w:val="110"/>
        </w:rPr>
        <w:t>(haarp),</w:t>
      </w:r>
      <w:r>
        <w:rPr>
          <w:color w:val="231F20"/>
          <w:w w:val="104"/>
        </w:rPr>
        <w:t> </w:t>
      </w:r>
      <w:r>
        <w:rPr>
          <w:color w:val="231F20"/>
          <w:spacing w:val="2"/>
          <w:w w:val="110"/>
        </w:rPr>
        <w:t>arma climatológica destinada </w:t>
      </w:r>
      <w:r>
        <w:rPr>
          <w:color w:val="231F20"/>
          <w:w w:val="110"/>
        </w:rPr>
        <w:t>a </w:t>
      </w:r>
      <w:r>
        <w:rPr>
          <w:color w:val="231F20"/>
          <w:spacing w:val="2"/>
          <w:w w:val="110"/>
        </w:rPr>
        <w:t>desestabilizar</w:t>
      </w:r>
      <w:r>
        <w:rPr>
          <w:color w:val="231F20"/>
          <w:spacing w:val="34"/>
          <w:w w:val="110"/>
        </w:rPr>
        <w:t> </w:t>
      </w:r>
      <w:r>
        <w:rPr>
          <w:color w:val="231F20"/>
          <w:spacing w:val="2"/>
          <w:w w:val="110"/>
        </w:rPr>
        <w:t>selectivamente</w:t>
      </w:r>
      <w:r>
        <w:rPr>
          <w:color w:val="231F20"/>
          <w:spacing w:val="31"/>
          <w:w w:val="110"/>
        </w:rPr>
        <w:t> </w:t>
      </w:r>
      <w:r>
        <w:rPr>
          <w:color w:val="231F20"/>
          <w:spacing w:val="3"/>
          <w:w w:val="110"/>
        </w:rPr>
        <w:t>los</w:t>
      </w:r>
      <w:r>
        <w:rPr>
          <w:color w:val="231F20"/>
          <w:spacing w:val="3"/>
          <w:w w:val="102"/>
        </w:rPr>
        <w:t> </w:t>
      </w:r>
      <w:r>
        <w:rPr>
          <w:color w:val="231F20"/>
          <w:w w:val="110"/>
        </w:rPr>
        <w:t>sistemas de medio-ambiente y agrícolas de países-objetivo, </w:t>
      </w:r>
      <w:r>
        <w:rPr>
          <w:color w:val="231F20"/>
          <w:spacing w:val="6"/>
          <w:w w:val="110"/>
        </w:rPr>
        <w:t> </w:t>
      </w:r>
      <w:r>
        <w:rPr>
          <w:color w:val="231F20"/>
          <w:w w:val="110"/>
        </w:rPr>
        <w:t>proyec-</w:t>
      </w:r>
    </w:p>
    <w:p>
      <w:pPr>
        <w:pStyle w:val="BodyText"/>
        <w:ind w:left="100" w:right="25"/>
      </w:pPr>
      <w:r>
        <w:rPr>
          <w:color w:val="231F20"/>
          <w:w w:val="110"/>
        </w:rPr>
        <w:t>tando  sequías,  huracanes,  inundaciones, etcétera.</w:t>
      </w:r>
    </w:p>
    <w:p>
      <w:pPr>
        <w:pStyle w:val="BodyText"/>
        <w:spacing w:line="261" w:lineRule="auto" w:before="20"/>
        <w:ind w:left="100" w:right="117" w:firstLine="240"/>
        <w:jc w:val="both"/>
      </w:pPr>
      <w:r>
        <w:rPr>
          <w:color w:val="231F20"/>
          <w:w w:val="105"/>
        </w:rPr>
        <w:t>Si</w:t>
      </w:r>
      <w:r>
        <w:rPr>
          <w:color w:val="231F20"/>
          <w:spacing w:val="-7"/>
          <w:w w:val="105"/>
        </w:rPr>
        <w:t> </w:t>
      </w:r>
      <w:r>
        <w:rPr>
          <w:color w:val="231F20"/>
          <w:w w:val="105"/>
        </w:rPr>
        <w:t>bien</w:t>
      </w:r>
      <w:r>
        <w:rPr>
          <w:color w:val="231F20"/>
          <w:spacing w:val="-7"/>
          <w:w w:val="105"/>
        </w:rPr>
        <w:t> </w:t>
      </w:r>
      <w:r>
        <w:rPr>
          <w:color w:val="231F20"/>
          <w:w w:val="105"/>
        </w:rPr>
        <w:t>el</w:t>
      </w:r>
      <w:r>
        <w:rPr>
          <w:color w:val="231F20"/>
          <w:spacing w:val="-7"/>
          <w:w w:val="105"/>
        </w:rPr>
        <w:t> </w:t>
      </w:r>
      <w:r>
        <w:rPr>
          <w:color w:val="231F20"/>
          <w:w w:val="105"/>
        </w:rPr>
        <w:t>inicialmente</w:t>
      </w:r>
      <w:r>
        <w:rPr>
          <w:color w:val="231F20"/>
          <w:spacing w:val="-7"/>
          <w:w w:val="105"/>
        </w:rPr>
        <w:t> </w:t>
      </w:r>
      <w:r>
        <w:rPr>
          <w:color w:val="231F20"/>
          <w:w w:val="105"/>
        </w:rPr>
        <w:t>llamado</w:t>
      </w:r>
      <w:r>
        <w:rPr>
          <w:color w:val="231F20"/>
          <w:spacing w:val="-7"/>
          <w:w w:val="105"/>
        </w:rPr>
        <w:t> </w:t>
      </w:r>
      <w:r>
        <w:rPr>
          <w:i/>
          <w:color w:val="231F20"/>
          <w:w w:val="105"/>
        </w:rPr>
        <w:t>keynesianismo</w:t>
      </w:r>
      <w:r>
        <w:rPr>
          <w:i/>
          <w:color w:val="231F20"/>
          <w:spacing w:val="-7"/>
          <w:w w:val="105"/>
        </w:rPr>
        <w:t> </w:t>
      </w:r>
      <w:r>
        <w:rPr>
          <w:i/>
          <w:color w:val="231F20"/>
          <w:w w:val="105"/>
        </w:rPr>
        <w:t>militar</w:t>
      </w:r>
      <w:r>
        <w:rPr>
          <w:i/>
          <w:color w:val="231F20"/>
          <w:spacing w:val="-7"/>
          <w:w w:val="105"/>
        </w:rPr>
        <w:t> </w:t>
      </w:r>
      <w:r>
        <w:rPr>
          <w:color w:val="231F20"/>
          <w:w w:val="105"/>
        </w:rPr>
        <w:t>prosigue</w:t>
      </w:r>
      <w:r>
        <w:rPr>
          <w:color w:val="231F20"/>
          <w:spacing w:val="-7"/>
          <w:w w:val="105"/>
        </w:rPr>
        <w:t> </w:t>
      </w:r>
      <w:r>
        <w:rPr>
          <w:color w:val="231F20"/>
          <w:w w:val="105"/>
        </w:rPr>
        <w:t>como </w:t>
      </w:r>
      <w:r>
        <w:rPr>
          <w:color w:val="231F20"/>
          <w:w w:val="110"/>
        </w:rPr>
        <w:t>fuerza</w:t>
      </w:r>
      <w:r>
        <w:rPr>
          <w:color w:val="231F20"/>
          <w:spacing w:val="-8"/>
          <w:w w:val="110"/>
        </w:rPr>
        <w:t> </w:t>
      </w:r>
      <w:r>
        <w:rPr>
          <w:color w:val="231F20"/>
          <w:w w:val="110"/>
        </w:rPr>
        <w:t>motriz</w:t>
      </w:r>
      <w:r>
        <w:rPr>
          <w:color w:val="231F20"/>
          <w:spacing w:val="-8"/>
          <w:w w:val="110"/>
        </w:rPr>
        <w:t> </w:t>
      </w:r>
      <w:r>
        <w:rPr>
          <w:color w:val="231F20"/>
          <w:w w:val="110"/>
        </w:rPr>
        <w:t>del</w:t>
      </w:r>
      <w:r>
        <w:rPr>
          <w:color w:val="231F20"/>
          <w:spacing w:val="-8"/>
          <w:w w:val="110"/>
        </w:rPr>
        <w:t> </w:t>
      </w:r>
      <w:r>
        <w:rPr>
          <w:color w:val="231F20"/>
          <w:w w:val="110"/>
        </w:rPr>
        <w:t>ciclo</w:t>
      </w:r>
      <w:r>
        <w:rPr>
          <w:color w:val="231F20"/>
          <w:spacing w:val="-8"/>
          <w:w w:val="110"/>
        </w:rPr>
        <w:t> </w:t>
      </w:r>
      <w:r>
        <w:rPr>
          <w:color w:val="231F20"/>
          <w:w w:val="110"/>
        </w:rPr>
        <w:t>reproductivo</w:t>
      </w:r>
      <w:r>
        <w:rPr>
          <w:color w:val="231F20"/>
          <w:spacing w:val="-8"/>
          <w:w w:val="110"/>
        </w:rPr>
        <w:t> </w:t>
      </w:r>
      <w:r>
        <w:rPr>
          <w:color w:val="231F20"/>
          <w:w w:val="110"/>
        </w:rPr>
        <w:t>estadunidense</w:t>
      </w:r>
      <w:r>
        <w:rPr>
          <w:color w:val="231F20"/>
          <w:spacing w:val="-8"/>
          <w:w w:val="110"/>
        </w:rPr>
        <w:t> </w:t>
      </w:r>
      <w:r>
        <w:rPr>
          <w:color w:val="231F20"/>
          <w:w w:val="110"/>
        </w:rPr>
        <w:t>concentrado</w:t>
      </w:r>
      <w:r>
        <w:rPr>
          <w:color w:val="231F20"/>
          <w:spacing w:val="-8"/>
          <w:w w:val="110"/>
        </w:rPr>
        <w:t> </w:t>
      </w:r>
      <w:r>
        <w:rPr>
          <w:color w:val="231F20"/>
          <w:w w:val="110"/>
        </w:rPr>
        <w:t>en</w:t>
      </w:r>
      <w:r>
        <w:rPr>
          <w:color w:val="231F20"/>
          <w:spacing w:val="-8"/>
          <w:w w:val="110"/>
        </w:rPr>
        <w:t> </w:t>
      </w:r>
      <w:r>
        <w:rPr>
          <w:color w:val="231F20"/>
          <w:w w:val="110"/>
        </w:rPr>
        <w:t>el complejo militar industrial, no obstante, en su actual variante neoli- beral,</w:t>
      </w:r>
      <w:r>
        <w:rPr>
          <w:color w:val="231F20"/>
          <w:spacing w:val="-10"/>
          <w:w w:val="110"/>
        </w:rPr>
        <w:t> </w:t>
      </w:r>
      <w:r>
        <w:rPr>
          <w:color w:val="231F20"/>
          <w:w w:val="110"/>
        </w:rPr>
        <w:t>al</w:t>
      </w:r>
      <w:r>
        <w:rPr>
          <w:color w:val="231F20"/>
          <w:spacing w:val="-10"/>
          <w:w w:val="110"/>
        </w:rPr>
        <w:t> </w:t>
      </w:r>
      <w:r>
        <w:rPr>
          <w:color w:val="231F20"/>
          <w:w w:val="110"/>
        </w:rPr>
        <w:t>no</w:t>
      </w:r>
      <w:r>
        <w:rPr>
          <w:color w:val="231F20"/>
          <w:spacing w:val="-10"/>
          <w:w w:val="110"/>
        </w:rPr>
        <w:t> </w:t>
      </w:r>
      <w:r>
        <w:rPr>
          <w:color w:val="231F20"/>
          <w:w w:val="110"/>
        </w:rPr>
        <w:t>pretender</w:t>
      </w:r>
      <w:r>
        <w:rPr>
          <w:color w:val="231F20"/>
          <w:spacing w:val="-10"/>
          <w:w w:val="110"/>
        </w:rPr>
        <w:t> </w:t>
      </w:r>
      <w:r>
        <w:rPr>
          <w:color w:val="231F20"/>
          <w:w w:val="110"/>
        </w:rPr>
        <w:t>más</w:t>
      </w:r>
      <w:r>
        <w:rPr>
          <w:color w:val="231F20"/>
          <w:spacing w:val="-10"/>
          <w:w w:val="110"/>
        </w:rPr>
        <w:t> </w:t>
      </w:r>
      <w:r>
        <w:rPr>
          <w:color w:val="231F20"/>
          <w:w w:val="110"/>
        </w:rPr>
        <w:t>el</w:t>
      </w:r>
      <w:r>
        <w:rPr>
          <w:color w:val="231F20"/>
          <w:spacing w:val="-10"/>
          <w:w w:val="110"/>
        </w:rPr>
        <w:t> </w:t>
      </w:r>
      <w:r>
        <w:rPr>
          <w:color w:val="231F20"/>
          <w:w w:val="110"/>
        </w:rPr>
        <w:t>bienestar</w:t>
      </w:r>
      <w:r>
        <w:rPr>
          <w:color w:val="231F20"/>
          <w:spacing w:val="-10"/>
          <w:w w:val="110"/>
        </w:rPr>
        <w:t> </w:t>
      </w:r>
      <w:r>
        <w:rPr>
          <w:color w:val="231F20"/>
          <w:w w:val="110"/>
        </w:rPr>
        <w:t>general</w:t>
      </w:r>
      <w:r>
        <w:rPr>
          <w:color w:val="231F20"/>
          <w:spacing w:val="-10"/>
          <w:w w:val="110"/>
        </w:rPr>
        <w:t> </w:t>
      </w:r>
      <w:r>
        <w:rPr>
          <w:color w:val="231F20"/>
          <w:w w:val="110"/>
        </w:rPr>
        <w:t>y</w:t>
      </w:r>
      <w:r>
        <w:rPr>
          <w:color w:val="231F20"/>
          <w:spacing w:val="-10"/>
          <w:w w:val="110"/>
        </w:rPr>
        <w:t> </w:t>
      </w:r>
      <w:r>
        <w:rPr>
          <w:color w:val="231F20"/>
          <w:w w:val="110"/>
        </w:rPr>
        <w:t>ser</w:t>
      </w:r>
      <w:r>
        <w:rPr>
          <w:color w:val="231F20"/>
          <w:spacing w:val="-10"/>
          <w:w w:val="110"/>
        </w:rPr>
        <w:t> </w:t>
      </w:r>
      <w:r>
        <w:rPr>
          <w:color w:val="231F20"/>
          <w:w w:val="110"/>
        </w:rPr>
        <w:t>pragmáticamente dominado por las corporaciones transnacionales, lejos de   </w:t>
      </w:r>
      <w:r>
        <w:rPr>
          <w:color w:val="231F20"/>
          <w:spacing w:val="25"/>
          <w:w w:val="110"/>
        </w:rPr>
        <w:t> </w:t>
      </w:r>
      <w:r>
        <w:rPr>
          <w:color w:val="231F20"/>
          <w:w w:val="110"/>
        </w:rPr>
        <w:t>integrar,</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25"/>
      </w:pPr>
      <w:r>
        <w:rPr>
          <w:color w:val="231F20"/>
          <w:w w:val="110"/>
        </w:rPr>
        <w:t>margina a la propia población sobrante, profundiza el atolladero guerrerista sin perspectivas vitales.</w:t>
      </w:r>
    </w:p>
    <w:p>
      <w:pPr>
        <w:pStyle w:val="BodyText"/>
        <w:spacing w:line="261" w:lineRule="auto"/>
        <w:ind w:left="100" w:right="117" w:firstLine="240"/>
        <w:jc w:val="both"/>
      </w:pPr>
      <w:r>
        <w:rPr>
          <w:color w:val="231F20"/>
          <w:w w:val="105"/>
        </w:rPr>
        <w:t>En relación con América Latina y el Caribe, el mensaje de Obama   a la Cumbre de las Américas, respecto al ámbito del conocimiento, emitió el deseo de “crear una Alianza de las Américas para la Energía  y el Clima que nos ayudara a aprender a unos de otros, compartir tecnología, potenciar la inversión y sacar el provecho máximo a  nuestra ventaja comparativa” (Obama, 2009). En reciente visita a tres países latinoamericanos (Brasil, Chile y El Salvador) en marzo  de 2011, las ofertas de cooperación en la esfera científico-tecnológica       y de sostenibilidad energética, alimentaria y ecológica brillaron por    su ausencia. Hoy por </w:t>
      </w:r>
      <w:r>
        <w:rPr>
          <w:color w:val="231F20"/>
          <w:spacing w:val="-4"/>
          <w:w w:val="105"/>
        </w:rPr>
        <w:t>hoy, </w:t>
      </w:r>
      <w:r>
        <w:rPr>
          <w:color w:val="231F20"/>
          <w:w w:val="105"/>
        </w:rPr>
        <w:t>aquel buen deseo de hace dos años ha quedado en el olvido: no hay recursos </w:t>
      </w:r>
      <w:r>
        <w:rPr>
          <w:color w:val="231F20"/>
          <w:spacing w:val="-8"/>
          <w:w w:val="105"/>
        </w:rPr>
        <w:t>y,  </w:t>
      </w:r>
      <w:r>
        <w:rPr>
          <w:color w:val="231F20"/>
          <w:w w:val="105"/>
        </w:rPr>
        <w:t>probablemente, ni interés.   En su </w:t>
      </w:r>
      <w:r>
        <w:rPr>
          <w:color w:val="231F20"/>
          <w:spacing w:val="-3"/>
          <w:w w:val="105"/>
        </w:rPr>
        <w:t>lugar, </w:t>
      </w:r>
      <w:r>
        <w:rPr>
          <w:color w:val="231F20"/>
          <w:w w:val="105"/>
        </w:rPr>
        <w:t>somos testigos de una cada vez mayor expansión militar estadunidense en Nuestra América, continuista de la doctrina Mon-  roe en </w:t>
      </w:r>
      <w:r>
        <w:rPr>
          <w:i/>
          <w:color w:val="231F20"/>
          <w:w w:val="105"/>
        </w:rPr>
        <w:t>su patio trasero</w:t>
      </w:r>
      <w:r>
        <w:rPr>
          <w:color w:val="231F20"/>
          <w:w w:val="105"/>
        </w:rPr>
        <w:t>, reservorio de innumerables recursos naturales, acuíferos y de la biosfera. ¿Estarán los pueblos de América Latina y    el Caribe dispuestos, en el 200 aniversario de su Independencia, a aceptar esta visión retrógrada de la   </w:t>
      </w:r>
      <w:r>
        <w:rPr>
          <w:color w:val="231F20"/>
          <w:spacing w:val="43"/>
          <w:w w:val="105"/>
        </w:rPr>
        <w:t> </w:t>
      </w:r>
      <w:r>
        <w:rPr>
          <w:color w:val="231F20"/>
          <w:w w:val="105"/>
        </w:rPr>
        <w:t>historia?</w:t>
      </w:r>
    </w:p>
    <w:p>
      <w:pPr>
        <w:pStyle w:val="BodyText"/>
        <w:spacing w:line="261" w:lineRule="auto"/>
        <w:ind w:left="100" w:right="117" w:firstLine="240"/>
        <w:jc w:val="both"/>
      </w:pPr>
      <w:r>
        <w:rPr>
          <w:color w:val="231F20"/>
          <w:spacing w:val="-5"/>
          <w:w w:val="110"/>
        </w:rPr>
        <w:t>Tras </w:t>
      </w:r>
      <w:r>
        <w:rPr>
          <w:color w:val="231F20"/>
          <w:w w:val="110"/>
        </w:rPr>
        <w:t>dos años de su presidencia, la visión de cambio proclamada por Obama en su campaña electoral para la esfera científico-tec- nológica, en los hechos ha sufrido un considerable retroceso, con excepción de lo relacionado con el complejo militar industrial. En su reciente discurso sobre el Estado de la Unión (Obama, 2011), el presidente reconoce explícitamente el deplorable estado actual en tres</w:t>
      </w:r>
      <w:r>
        <w:rPr>
          <w:color w:val="231F20"/>
          <w:spacing w:val="-7"/>
          <w:w w:val="110"/>
        </w:rPr>
        <w:t> </w:t>
      </w:r>
      <w:r>
        <w:rPr>
          <w:color w:val="231F20"/>
          <w:w w:val="110"/>
        </w:rPr>
        <w:t>esferas</w:t>
      </w:r>
      <w:r>
        <w:rPr>
          <w:color w:val="231F20"/>
          <w:spacing w:val="-7"/>
          <w:w w:val="110"/>
        </w:rPr>
        <w:t> </w:t>
      </w:r>
      <w:r>
        <w:rPr>
          <w:color w:val="231F20"/>
          <w:w w:val="110"/>
        </w:rPr>
        <w:t>fundamentales</w:t>
      </w:r>
      <w:r>
        <w:rPr>
          <w:color w:val="231F20"/>
          <w:spacing w:val="-7"/>
          <w:w w:val="110"/>
        </w:rPr>
        <w:t> </w:t>
      </w:r>
      <w:r>
        <w:rPr>
          <w:color w:val="231F20"/>
          <w:w w:val="110"/>
        </w:rPr>
        <w:t>para</w:t>
      </w:r>
      <w:r>
        <w:rPr>
          <w:color w:val="231F20"/>
          <w:spacing w:val="-7"/>
          <w:w w:val="110"/>
        </w:rPr>
        <w:t> </w:t>
      </w:r>
      <w:r>
        <w:rPr>
          <w:color w:val="231F20"/>
          <w:w w:val="110"/>
        </w:rPr>
        <w:t>el</w:t>
      </w:r>
      <w:r>
        <w:rPr>
          <w:color w:val="231F20"/>
          <w:spacing w:val="-7"/>
          <w:w w:val="110"/>
        </w:rPr>
        <w:t> </w:t>
      </w:r>
      <w:r>
        <w:rPr>
          <w:color w:val="231F20"/>
          <w:w w:val="110"/>
        </w:rPr>
        <w:t>desempeño</w:t>
      </w:r>
      <w:r>
        <w:rPr>
          <w:color w:val="231F20"/>
          <w:spacing w:val="-7"/>
          <w:w w:val="110"/>
        </w:rPr>
        <w:t> </w:t>
      </w:r>
      <w:r>
        <w:rPr>
          <w:color w:val="231F20"/>
          <w:w w:val="110"/>
        </w:rPr>
        <w:t>por</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de su liderazgo a futuro, como son la educación, ciencia y tecnología,  e</w:t>
      </w:r>
      <w:r>
        <w:rPr>
          <w:color w:val="231F20"/>
          <w:spacing w:val="22"/>
          <w:w w:val="110"/>
        </w:rPr>
        <w:t> </w:t>
      </w:r>
      <w:r>
        <w:rPr>
          <w:color w:val="231F20"/>
          <w:w w:val="110"/>
        </w:rPr>
        <w:t>infraestructura.</w:t>
      </w:r>
    </w:p>
    <w:p>
      <w:pPr>
        <w:pStyle w:val="BodyText"/>
        <w:spacing w:line="261" w:lineRule="auto"/>
        <w:ind w:left="100" w:right="117" w:firstLine="240"/>
        <w:jc w:val="both"/>
      </w:pPr>
      <w:r>
        <w:rPr>
          <w:color w:val="231F20"/>
          <w:spacing w:val="-9"/>
          <w:w w:val="110"/>
        </w:rPr>
        <w:t>Y,</w:t>
      </w:r>
      <w:r>
        <w:rPr>
          <w:color w:val="231F20"/>
          <w:spacing w:val="-8"/>
          <w:w w:val="110"/>
        </w:rPr>
        <w:t> </w:t>
      </w:r>
      <w:r>
        <w:rPr>
          <w:color w:val="231F20"/>
          <w:w w:val="110"/>
        </w:rPr>
        <w:t>si</w:t>
      </w:r>
      <w:r>
        <w:rPr>
          <w:color w:val="231F20"/>
          <w:spacing w:val="-8"/>
          <w:w w:val="110"/>
        </w:rPr>
        <w:t> </w:t>
      </w:r>
      <w:r>
        <w:rPr>
          <w:color w:val="231F20"/>
          <w:w w:val="110"/>
        </w:rPr>
        <w:t>bien</w:t>
      </w:r>
      <w:r>
        <w:rPr>
          <w:color w:val="231F20"/>
          <w:spacing w:val="-8"/>
          <w:w w:val="110"/>
        </w:rPr>
        <w:t> </w:t>
      </w:r>
      <w:r>
        <w:rPr>
          <w:color w:val="231F20"/>
          <w:w w:val="110"/>
        </w:rPr>
        <w:t>este</w:t>
      </w:r>
      <w:r>
        <w:rPr>
          <w:color w:val="231F20"/>
          <w:spacing w:val="-8"/>
          <w:w w:val="110"/>
        </w:rPr>
        <w:t> </w:t>
      </w:r>
      <w:r>
        <w:rPr>
          <w:color w:val="231F20"/>
          <w:w w:val="110"/>
        </w:rPr>
        <w:t>autor</w:t>
      </w:r>
      <w:r>
        <w:rPr>
          <w:color w:val="231F20"/>
          <w:spacing w:val="-8"/>
          <w:w w:val="110"/>
        </w:rPr>
        <w:t> </w:t>
      </w:r>
      <w:r>
        <w:rPr>
          <w:color w:val="231F20"/>
          <w:w w:val="110"/>
        </w:rPr>
        <w:t>saluda</w:t>
      </w:r>
      <w:r>
        <w:rPr>
          <w:color w:val="231F20"/>
          <w:spacing w:val="-8"/>
          <w:w w:val="110"/>
        </w:rPr>
        <w:t> </w:t>
      </w:r>
      <w:r>
        <w:rPr>
          <w:color w:val="231F20"/>
          <w:w w:val="110"/>
        </w:rPr>
        <w:t>la</w:t>
      </w:r>
      <w:r>
        <w:rPr>
          <w:color w:val="231F20"/>
          <w:spacing w:val="-8"/>
          <w:w w:val="110"/>
        </w:rPr>
        <w:t> </w:t>
      </w:r>
      <w:r>
        <w:rPr>
          <w:color w:val="231F20"/>
          <w:w w:val="110"/>
        </w:rPr>
        <w:t>coincidencia</w:t>
      </w:r>
      <w:r>
        <w:rPr>
          <w:color w:val="231F20"/>
          <w:spacing w:val="-8"/>
          <w:w w:val="110"/>
        </w:rPr>
        <w:t> </w:t>
      </w:r>
      <w:r>
        <w:rPr>
          <w:color w:val="231F20"/>
          <w:w w:val="110"/>
        </w:rPr>
        <w:t>“en</w:t>
      </w:r>
      <w:r>
        <w:rPr>
          <w:color w:val="231F20"/>
          <w:spacing w:val="-8"/>
          <w:w w:val="110"/>
        </w:rPr>
        <w:t> </w:t>
      </w:r>
      <w:r>
        <w:rPr>
          <w:color w:val="231F20"/>
          <w:w w:val="110"/>
        </w:rPr>
        <w:t>sus</w:t>
      </w:r>
      <w:r>
        <w:rPr>
          <w:color w:val="231F20"/>
          <w:spacing w:val="-8"/>
          <w:w w:val="110"/>
        </w:rPr>
        <w:t> </w:t>
      </w:r>
      <w:r>
        <w:rPr>
          <w:color w:val="231F20"/>
          <w:w w:val="110"/>
        </w:rPr>
        <w:t>consecuencias” entre lo pronosticado por él antes de las elecciones presidenciales (véase el inicio del capítulo) y el actual análisis del presidente en materia de ciencia y tecnología, no obstante no puede compartir    su optimismo (evidentemente orientado hacia la próxima campaña electoral) acerca de la capacidad del país de recuperarse bajo su ad- ministración, con el propósito de impedir un retroceso</w:t>
      </w:r>
      <w:r>
        <w:rPr>
          <w:color w:val="231F20"/>
          <w:spacing w:val="-18"/>
          <w:w w:val="110"/>
        </w:rPr>
        <w:t> </w:t>
      </w:r>
      <w:r>
        <w:rPr>
          <w:color w:val="231F20"/>
          <w:w w:val="110"/>
        </w:rPr>
        <w:t>multifactorial hacia un segundo plano mundial, también en esta  </w:t>
      </w:r>
      <w:r>
        <w:rPr>
          <w:color w:val="231F20"/>
          <w:spacing w:val="5"/>
          <w:w w:val="110"/>
        </w:rPr>
        <w:t> </w:t>
      </w:r>
      <w:r>
        <w:rPr>
          <w:color w:val="231F20"/>
          <w:w w:val="110"/>
        </w:rPr>
        <w:t>esfera.</w:t>
      </w:r>
    </w:p>
    <w:p>
      <w:pPr>
        <w:pStyle w:val="BodyText"/>
        <w:spacing w:line="261" w:lineRule="auto"/>
        <w:ind w:left="100" w:right="111" w:firstLine="240"/>
        <w:jc w:val="both"/>
      </w:pPr>
      <w:r>
        <w:rPr>
          <w:color w:val="231F20"/>
          <w:w w:val="110"/>
        </w:rPr>
        <w:t>Abordándolo como si se tratara de un asunto coyuntural, el presidente subvalora los aspectos </w:t>
      </w:r>
      <w:r>
        <w:rPr>
          <w:i/>
          <w:color w:val="231F20"/>
          <w:w w:val="110"/>
        </w:rPr>
        <w:t>cuasi </w:t>
      </w:r>
      <w:r>
        <w:rPr>
          <w:color w:val="231F20"/>
          <w:w w:val="110"/>
        </w:rPr>
        <w:t>irreversibles de esencia sis- témico-estructural  que  marcan  la  crisis  del  modelo reproductivo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estadunidense, tanto en el plano de la deteriorada masa crítica en ciencia-tecnología-innovación</w:t>
      </w:r>
      <w:r>
        <w:rPr>
          <w:color w:val="231F20"/>
          <w:spacing w:val="-26"/>
          <w:w w:val="110"/>
        </w:rPr>
        <w:t> </w:t>
      </w:r>
      <w:r>
        <w:rPr>
          <w:color w:val="231F20"/>
          <w:w w:val="110"/>
        </w:rPr>
        <w:t>en</w:t>
      </w:r>
      <w:r>
        <w:rPr>
          <w:color w:val="231F20"/>
          <w:spacing w:val="-26"/>
          <w:w w:val="110"/>
        </w:rPr>
        <w:t> </w:t>
      </w:r>
      <w:r>
        <w:rPr>
          <w:color w:val="231F20"/>
          <w:w w:val="110"/>
        </w:rPr>
        <w:t>los</w:t>
      </w:r>
      <w:r>
        <w:rPr>
          <w:color w:val="231F20"/>
          <w:spacing w:val="-26"/>
          <w:w w:val="110"/>
        </w:rPr>
        <w:t> </w:t>
      </w:r>
      <w:r>
        <w:rPr>
          <w:color w:val="231F20"/>
          <w:w w:val="110"/>
        </w:rPr>
        <w:t>mismos</w:t>
      </w:r>
      <w:r>
        <w:rPr>
          <w:color w:val="231F20"/>
          <w:spacing w:val="-26"/>
          <w:w w:val="110"/>
        </w:rPr>
        <w:t> </w:t>
      </w:r>
      <w:r>
        <w:rPr>
          <w:color w:val="231F20"/>
          <w:w w:val="110"/>
        </w:rPr>
        <w:t>cimientos</w:t>
      </w:r>
      <w:r>
        <w:rPr>
          <w:color w:val="231F20"/>
          <w:spacing w:val="-26"/>
          <w:w w:val="110"/>
        </w:rPr>
        <w:t> </w:t>
      </w:r>
      <w:r>
        <w:rPr>
          <w:color w:val="231F20"/>
          <w:w w:val="110"/>
        </w:rPr>
        <w:t>de</w:t>
      </w:r>
      <w:r>
        <w:rPr>
          <w:color w:val="231F20"/>
          <w:spacing w:val="-26"/>
          <w:w w:val="110"/>
        </w:rPr>
        <w:t> </w:t>
      </w:r>
      <w:r>
        <w:rPr>
          <w:color w:val="231F20"/>
          <w:w w:val="110"/>
        </w:rPr>
        <w:t>sus</w:t>
      </w:r>
      <w:r>
        <w:rPr>
          <w:color w:val="231F20"/>
          <w:spacing w:val="-26"/>
          <w:w w:val="110"/>
        </w:rPr>
        <w:t> </w:t>
      </w:r>
      <w:r>
        <w:rPr>
          <w:color w:val="231F20"/>
          <w:w w:val="110"/>
        </w:rPr>
        <w:t>fuerzas productivas, como en el de la compleja arena económica internacio- nal en pujante proceso de reconfiguración a favor de nuevas poten- cias</w:t>
      </w:r>
      <w:r>
        <w:rPr>
          <w:color w:val="231F20"/>
          <w:spacing w:val="-15"/>
          <w:w w:val="110"/>
        </w:rPr>
        <w:t> </w:t>
      </w:r>
      <w:r>
        <w:rPr>
          <w:color w:val="231F20"/>
          <w:w w:val="110"/>
        </w:rPr>
        <w:t>emergentes.</w:t>
      </w:r>
      <w:r>
        <w:rPr>
          <w:color w:val="231F20"/>
          <w:spacing w:val="-15"/>
          <w:w w:val="110"/>
        </w:rPr>
        <w:t> </w:t>
      </w:r>
      <w:r>
        <w:rPr>
          <w:color w:val="231F20"/>
          <w:w w:val="110"/>
        </w:rPr>
        <w:t>Ambos</w:t>
      </w:r>
      <w:r>
        <w:rPr>
          <w:color w:val="231F20"/>
          <w:spacing w:val="-15"/>
          <w:w w:val="110"/>
        </w:rPr>
        <w:t> </w:t>
      </w:r>
      <w:r>
        <w:rPr>
          <w:color w:val="231F20"/>
          <w:w w:val="110"/>
        </w:rPr>
        <w:t>aspectos,</w:t>
      </w:r>
      <w:r>
        <w:rPr>
          <w:color w:val="231F20"/>
          <w:spacing w:val="-15"/>
          <w:w w:val="110"/>
        </w:rPr>
        <w:t> </w:t>
      </w:r>
      <w:r>
        <w:rPr>
          <w:color w:val="231F20"/>
          <w:w w:val="110"/>
        </w:rPr>
        <w:t>según</w:t>
      </w:r>
      <w:r>
        <w:rPr>
          <w:color w:val="231F20"/>
          <w:spacing w:val="-15"/>
          <w:w w:val="110"/>
        </w:rPr>
        <w:t> </w:t>
      </w:r>
      <w:r>
        <w:rPr>
          <w:color w:val="231F20"/>
          <w:w w:val="110"/>
        </w:rPr>
        <w:t>afirma</w:t>
      </w:r>
      <w:r>
        <w:rPr>
          <w:color w:val="231F20"/>
          <w:spacing w:val="-15"/>
          <w:w w:val="110"/>
        </w:rPr>
        <w:t> </w:t>
      </w:r>
      <w:r>
        <w:rPr>
          <w:color w:val="231F20"/>
          <w:w w:val="110"/>
        </w:rPr>
        <w:t>el</w:t>
      </w:r>
      <w:r>
        <w:rPr>
          <w:color w:val="231F20"/>
          <w:spacing w:val="-15"/>
          <w:w w:val="110"/>
        </w:rPr>
        <w:t> </w:t>
      </w:r>
      <w:r>
        <w:rPr>
          <w:color w:val="231F20"/>
          <w:spacing w:val="-3"/>
          <w:w w:val="110"/>
        </w:rPr>
        <w:t>autor,</w:t>
      </w:r>
      <w:r>
        <w:rPr>
          <w:color w:val="231F20"/>
          <w:spacing w:val="-15"/>
          <w:w w:val="110"/>
        </w:rPr>
        <w:t> </w:t>
      </w:r>
      <w:r>
        <w:rPr>
          <w:color w:val="231F20"/>
          <w:w w:val="110"/>
        </w:rPr>
        <w:t>disociadores de la “lógica” del capital estadunidense en su metrópoli, para más allá del mediano-largo</w:t>
      </w:r>
      <w:r>
        <w:rPr>
          <w:color w:val="231F20"/>
          <w:spacing w:val="-11"/>
          <w:w w:val="110"/>
        </w:rPr>
        <w:t> </w:t>
      </w:r>
      <w:r>
        <w:rPr>
          <w:color w:val="231F20"/>
          <w:w w:val="110"/>
        </w:rPr>
        <w:t>plazo.</w:t>
      </w:r>
    </w:p>
    <w:p>
      <w:pPr>
        <w:pStyle w:val="BodyText"/>
        <w:spacing w:line="261" w:lineRule="auto"/>
        <w:ind w:left="100" w:right="118" w:firstLine="240"/>
        <w:jc w:val="both"/>
      </w:pPr>
      <w:r>
        <w:rPr>
          <w:color w:val="231F20"/>
          <w:w w:val="105"/>
        </w:rPr>
        <w:t>Brillan por su ausencia visiones estratégicas de reinserción en el sistema-mundo, fundadas en los principios de coexistencia pacífica    en un  mundo  multipolar,  de  cara  al  desarrollo  sostenible  humano  y </w:t>
      </w:r>
      <w:r>
        <w:rPr>
          <w:color w:val="231F20"/>
          <w:spacing w:val="3"/>
          <w:w w:val="105"/>
        </w:rPr>
        <w:t>planetario, incorporando </w:t>
      </w:r>
      <w:r>
        <w:rPr>
          <w:color w:val="231F20"/>
          <w:w w:val="105"/>
        </w:rPr>
        <w:t>lo </w:t>
      </w:r>
      <w:r>
        <w:rPr>
          <w:color w:val="231F20"/>
          <w:spacing w:val="2"/>
          <w:w w:val="105"/>
        </w:rPr>
        <w:t>más </w:t>
      </w:r>
      <w:r>
        <w:rPr>
          <w:color w:val="231F20"/>
          <w:spacing w:val="3"/>
          <w:w w:val="105"/>
        </w:rPr>
        <w:t>avanzado </w:t>
      </w:r>
      <w:r>
        <w:rPr>
          <w:color w:val="231F20"/>
          <w:spacing w:val="2"/>
          <w:w w:val="105"/>
        </w:rPr>
        <w:t>del </w:t>
      </w:r>
      <w:r>
        <w:rPr>
          <w:color w:val="231F20"/>
          <w:spacing w:val="4"/>
          <w:w w:val="105"/>
        </w:rPr>
        <w:t>conocimiento, </w:t>
      </w:r>
      <w:r>
        <w:rPr>
          <w:color w:val="231F20"/>
          <w:w w:val="105"/>
        </w:rPr>
        <w:t>mancomunadamente, en justicia y equidad. Con el ataque a Libia,       la administración de Obama reafirma el curso y continuidad guerre- rista impuesto por el complejo militar industrial a sus antecesores, secuestrando las potencialidades socioeconómicas y de creatividad científico-tecnológica de la  nación,  y  empujando  peligrosamente  a  la humanidad al borde de su    </w:t>
      </w:r>
      <w:r>
        <w:rPr>
          <w:color w:val="231F20"/>
          <w:spacing w:val="21"/>
          <w:w w:val="105"/>
        </w:rPr>
        <w:t> </w:t>
      </w:r>
      <w:r>
        <w:rPr>
          <w:color w:val="231F20"/>
          <w:w w:val="105"/>
        </w:rPr>
        <w:t>existencia.</w:t>
      </w:r>
    </w:p>
    <w:p>
      <w:pPr>
        <w:pStyle w:val="BodyText"/>
      </w:pPr>
    </w:p>
    <w:p>
      <w:pPr>
        <w:pStyle w:val="BodyText"/>
      </w:pPr>
    </w:p>
    <w:p>
      <w:pPr>
        <w:pStyle w:val="BodyText"/>
        <w:spacing w:before="2"/>
        <w:rPr>
          <w:sz w:val="25"/>
        </w:rPr>
      </w:pPr>
    </w:p>
    <w:p>
      <w:pPr>
        <w:pStyle w:val="BodyText"/>
        <w:ind w:left="100"/>
        <w:jc w:val="both"/>
      </w:pPr>
      <w:r>
        <w:rPr>
          <w:color w:val="231F20"/>
          <w:w w:val="125"/>
        </w:rPr>
        <w:t>conclusiones</w:t>
      </w:r>
    </w:p>
    <w:p>
      <w:pPr>
        <w:pStyle w:val="BodyText"/>
        <w:spacing w:before="5"/>
        <w:rPr>
          <w:sz w:val="23"/>
        </w:rPr>
      </w:pPr>
    </w:p>
    <w:p>
      <w:pPr>
        <w:pStyle w:val="BodyText"/>
        <w:spacing w:line="261" w:lineRule="auto"/>
        <w:ind w:left="100" w:right="117"/>
        <w:jc w:val="both"/>
      </w:pPr>
      <w:r>
        <w:rPr>
          <w:color w:val="231F20"/>
          <w:w w:val="105"/>
        </w:rPr>
        <w:t>Se agrava la pérdida de racionalidad del ciclo reproductivo capitalista en la era de la </w:t>
      </w:r>
      <w:r>
        <w:rPr>
          <w:i/>
          <w:color w:val="231F20"/>
          <w:w w:val="105"/>
        </w:rPr>
        <w:t>sociedad basada en el conocimiento </w:t>
      </w:r>
      <w:r>
        <w:rPr>
          <w:color w:val="231F20"/>
          <w:w w:val="105"/>
        </w:rPr>
        <w:t>en relación con el agotamiento de la propia razón de ser del capitalismo, la obtención     de  la  plusvalía</w:t>
      </w:r>
      <w:r>
        <w:rPr>
          <w:color w:val="231F20"/>
          <w:spacing w:val="22"/>
          <w:w w:val="105"/>
        </w:rPr>
        <w:t> </w:t>
      </w:r>
      <w:r>
        <w:rPr>
          <w:color w:val="231F20"/>
          <w:w w:val="105"/>
        </w:rPr>
        <w:t>extraordinaria.</w:t>
      </w:r>
    </w:p>
    <w:p>
      <w:pPr>
        <w:pStyle w:val="BodyText"/>
        <w:spacing w:line="261" w:lineRule="auto"/>
        <w:ind w:left="100" w:right="117" w:firstLine="240"/>
        <w:jc w:val="both"/>
      </w:pPr>
      <w:r>
        <w:rPr>
          <w:color w:val="231F20"/>
          <w:w w:val="105"/>
        </w:rPr>
        <w:t>Se manifiestan causas sistémico-estructurales que implican un marcado retroceso en la competitividad </w:t>
      </w:r>
      <w:r>
        <w:rPr>
          <w:color w:val="231F20"/>
          <w:w w:val="115"/>
        </w:rPr>
        <w:t>altec </w:t>
      </w:r>
      <w:r>
        <w:rPr>
          <w:color w:val="231F20"/>
          <w:w w:val="105"/>
        </w:rPr>
        <w:t>estadunidense </w:t>
      </w:r>
      <w:r>
        <w:rPr>
          <w:color w:val="231F20"/>
          <w:spacing w:val="-8"/>
          <w:w w:val="105"/>
        </w:rPr>
        <w:t>y, </w:t>
      </w:r>
      <w:r>
        <w:rPr>
          <w:color w:val="231F20"/>
          <w:w w:val="105"/>
        </w:rPr>
        <w:t>en consecuencia también, el cuestionamiento de su hegemonía para este sector en el importante </w:t>
      </w:r>
      <w:r>
        <w:rPr>
          <w:i/>
          <w:color w:val="231F20"/>
          <w:w w:val="105"/>
        </w:rPr>
        <w:t>market</w:t>
      </w:r>
      <w:r>
        <w:rPr>
          <w:i/>
          <w:color w:val="231F20"/>
          <w:spacing w:val="50"/>
          <w:w w:val="105"/>
        </w:rPr>
        <w:t> </w:t>
      </w:r>
      <w:r>
        <w:rPr>
          <w:i/>
          <w:color w:val="231F20"/>
          <w:w w:val="105"/>
        </w:rPr>
        <w:t>place</w:t>
      </w:r>
      <w:r>
        <w:rPr>
          <w:color w:val="231F20"/>
          <w:w w:val="105"/>
        </w:rPr>
        <w:t>.</w:t>
      </w:r>
    </w:p>
    <w:p>
      <w:pPr>
        <w:pStyle w:val="BodyText"/>
        <w:spacing w:line="261" w:lineRule="auto"/>
        <w:ind w:left="100" w:right="119" w:firstLine="240"/>
        <w:jc w:val="both"/>
      </w:pPr>
      <w:r>
        <w:rPr>
          <w:color w:val="231F20"/>
          <w:w w:val="105"/>
        </w:rPr>
        <w:t>El estallido de la burbuja financiera ha desencadenado la necesi-  dad de estudios prospectivos y de una </w:t>
      </w:r>
      <w:r>
        <w:rPr>
          <w:i/>
          <w:color w:val="231F20"/>
          <w:w w:val="105"/>
        </w:rPr>
        <w:t>métrica </w:t>
      </w:r>
      <w:r>
        <w:rPr>
          <w:color w:val="231F20"/>
          <w:w w:val="105"/>
        </w:rPr>
        <w:t>que, más allá de lo co- yuntural, desentrañen, con un  enfoque  de  complejidad,</w:t>
      </w:r>
      <w:r>
        <w:rPr>
          <w:color w:val="231F20"/>
          <w:spacing w:val="40"/>
          <w:w w:val="105"/>
        </w:rPr>
        <w:t> </w:t>
      </w:r>
      <w:r>
        <w:rPr>
          <w:color w:val="231F20"/>
          <w:w w:val="105"/>
        </w:rPr>
        <w:t>el</w:t>
      </w:r>
      <w:r>
        <w:rPr>
          <w:color w:val="231F20"/>
          <w:spacing w:val="50"/>
          <w:w w:val="105"/>
        </w:rPr>
        <w:t> </w:t>
      </w:r>
      <w:r>
        <w:rPr>
          <w:color w:val="231F20"/>
          <w:w w:val="105"/>
        </w:rPr>
        <w:t>conjunto</w:t>
      </w:r>
      <w:r>
        <w:rPr>
          <w:color w:val="231F20"/>
          <w:w w:val="112"/>
        </w:rPr>
        <w:t> </w:t>
      </w:r>
      <w:r>
        <w:rPr>
          <w:color w:val="231F20"/>
          <w:w w:val="105"/>
        </w:rPr>
        <w:t>de síntomas e interrelaciones de causa-efecto que afirman “la crisis sistémico-estructural en los mismos cimientos del   </w:t>
      </w:r>
      <w:r>
        <w:rPr>
          <w:color w:val="231F20"/>
          <w:spacing w:val="16"/>
          <w:w w:val="105"/>
        </w:rPr>
        <w:t> </w:t>
      </w:r>
      <w:r>
        <w:rPr>
          <w:color w:val="231F20"/>
          <w:w w:val="105"/>
        </w:rPr>
        <w:t>capitalismo”.</w:t>
      </w:r>
    </w:p>
    <w:p>
      <w:pPr>
        <w:pStyle w:val="BodyText"/>
        <w:spacing w:line="261" w:lineRule="auto"/>
        <w:ind w:left="100" w:right="119" w:firstLine="240"/>
        <w:jc w:val="both"/>
      </w:pPr>
      <w:r>
        <w:rPr>
          <w:color w:val="231F20"/>
          <w:w w:val="105"/>
        </w:rPr>
        <w:t>Se</w:t>
      </w:r>
      <w:r>
        <w:rPr>
          <w:color w:val="231F20"/>
          <w:spacing w:val="-5"/>
          <w:w w:val="105"/>
        </w:rPr>
        <w:t> </w:t>
      </w:r>
      <w:r>
        <w:rPr>
          <w:color w:val="231F20"/>
          <w:w w:val="105"/>
        </w:rPr>
        <w:t>evidencia</w:t>
      </w:r>
      <w:r>
        <w:rPr>
          <w:color w:val="231F20"/>
          <w:spacing w:val="-5"/>
          <w:w w:val="105"/>
        </w:rPr>
        <w:t> </w:t>
      </w:r>
      <w:r>
        <w:rPr>
          <w:color w:val="231F20"/>
          <w:w w:val="105"/>
        </w:rPr>
        <w:t>la</w:t>
      </w:r>
      <w:r>
        <w:rPr>
          <w:color w:val="231F20"/>
          <w:spacing w:val="-5"/>
          <w:w w:val="105"/>
        </w:rPr>
        <w:t> </w:t>
      </w:r>
      <w:r>
        <w:rPr>
          <w:color w:val="231F20"/>
          <w:w w:val="105"/>
        </w:rPr>
        <w:t>caducidad</w:t>
      </w:r>
      <w:r>
        <w:rPr>
          <w:color w:val="231F20"/>
          <w:spacing w:val="-5"/>
          <w:w w:val="105"/>
        </w:rPr>
        <w:t> </w:t>
      </w:r>
      <w:r>
        <w:rPr>
          <w:color w:val="231F20"/>
          <w:w w:val="105"/>
        </w:rPr>
        <w:t>del</w:t>
      </w:r>
      <w:r>
        <w:rPr>
          <w:color w:val="231F20"/>
          <w:spacing w:val="-5"/>
          <w:w w:val="105"/>
        </w:rPr>
        <w:t> </w:t>
      </w:r>
      <w:r>
        <w:rPr>
          <w:color w:val="231F20"/>
          <w:w w:val="105"/>
        </w:rPr>
        <w:t>modelo</w:t>
      </w:r>
      <w:r>
        <w:rPr>
          <w:color w:val="231F20"/>
          <w:spacing w:val="-5"/>
          <w:w w:val="105"/>
        </w:rPr>
        <w:t> </w:t>
      </w:r>
      <w:r>
        <w:rPr>
          <w:color w:val="231F20"/>
          <w:w w:val="105"/>
        </w:rPr>
        <w:t>de</w:t>
      </w:r>
      <w:r>
        <w:rPr>
          <w:color w:val="231F20"/>
          <w:spacing w:val="-5"/>
          <w:w w:val="105"/>
        </w:rPr>
        <w:t> </w:t>
      </w:r>
      <w:r>
        <w:rPr>
          <w:i/>
          <w:color w:val="231F20"/>
          <w:w w:val="105"/>
        </w:rPr>
        <w:t>keynesianismo</w:t>
      </w:r>
      <w:r>
        <w:rPr>
          <w:i/>
          <w:color w:val="231F20"/>
          <w:spacing w:val="-5"/>
          <w:w w:val="105"/>
        </w:rPr>
        <w:t> </w:t>
      </w:r>
      <w:r>
        <w:rPr>
          <w:i/>
          <w:color w:val="231F20"/>
          <w:w w:val="105"/>
        </w:rPr>
        <w:t>militar</w:t>
      </w:r>
      <w:r>
        <w:rPr>
          <w:i/>
          <w:color w:val="231F20"/>
          <w:spacing w:val="-5"/>
          <w:w w:val="105"/>
        </w:rPr>
        <w:t> </w:t>
      </w:r>
      <w:r>
        <w:rPr>
          <w:color w:val="231F20"/>
          <w:w w:val="105"/>
        </w:rPr>
        <w:t>en</w:t>
      </w:r>
      <w:r>
        <w:rPr>
          <w:color w:val="231F20"/>
          <w:spacing w:val="-5"/>
          <w:w w:val="105"/>
        </w:rPr>
        <w:t> </w:t>
      </w:r>
      <w:r>
        <w:rPr>
          <w:color w:val="231F20"/>
          <w:w w:val="105"/>
        </w:rPr>
        <w:t>su actual mutación neoliberal, en pos de la hegemonía y dominio pla- netario. Se incrementa el debate —fuera y dentro del </w:t>
      </w:r>
      <w:r>
        <w:rPr>
          <w:i/>
          <w:color w:val="231F20"/>
          <w:w w:val="105"/>
        </w:rPr>
        <w:t>establishment</w:t>
      </w:r>
      <w:r>
        <w:rPr>
          <w:color w:val="231F20"/>
          <w:w w:val="105"/>
        </w:rPr>
        <w:t>— acerca  de  favorecer  el  tránsito  hacia  un  “modelo  inteligente”, </w:t>
      </w:r>
      <w:r>
        <w:rPr>
          <w:color w:val="231F20"/>
          <w:spacing w:val="31"/>
          <w:w w:val="105"/>
        </w:rPr>
        <w:t> </w:t>
      </w:r>
      <w:r>
        <w:rPr>
          <w:color w:val="231F20"/>
          <w:w w:val="105"/>
        </w:rPr>
        <w:t>con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08"/>
      </w:pPr>
      <w:r>
        <w:rPr>
          <w:color w:val="231F20"/>
          <w:w w:val="110"/>
        </w:rPr>
        <w:t>voluntad</w:t>
      </w:r>
      <w:r>
        <w:rPr>
          <w:color w:val="231F20"/>
          <w:spacing w:val="-10"/>
          <w:w w:val="110"/>
        </w:rPr>
        <w:t> </w:t>
      </w:r>
      <w:r>
        <w:rPr>
          <w:color w:val="231F20"/>
          <w:w w:val="110"/>
        </w:rPr>
        <w:t>política</w:t>
      </w:r>
      <w:r>
        <w:rPr>
          <w:color w:val="231F20"/>
          <w:spacing w:val="-10"/>
          <w:w w:val="110"/>
        </w:rPr>
        <w:t> </w:t>
      </w:r>
      <w:r>
        <w:rPr>
          <w:color w:val="231F20"/>
          <w:w w:val="110"/>
        </w:rPr>
        <w:t>al</w:t>
      </w:r>
      <w:r>
        <w:rPr>
          <w:color w:val="231F20"/>
          <w:spacing w:val="-10"/>
          <w:w w:val="110"/>
        </w:rPr>
        <w:t> </w:t>
      </w:r>
      <w:r>
        <w:rPr>
          <w:color w:val="231F20"/>
          <w:w w:val="110"/>
        </w:rPr>
        <w:t>cambio,</w:t>
      </w:r>
      <w:r>
        <w:rPr>
          <w:color w:val="231F20"/>
          <w:spacing w:val="-10"/>
          <w:w w:val="110"/>
        </w:rPr>
        <w:t> </w:t>
      </w:r>
      <w:r>
        <w:rPr>
          <w:color w:val="231F20"/>
          <w:w w:val="110"/>
        </w:rPr>
        <w:t>que</w:t>
      </w:r>
      <w:r>
        <w:rPr>
          <w:color w:val="231F20"/>
          <w:spacing w:val="-10"/>
          <w:w w:val="110"/>
        </w:rPr>
        <w:t> </w:t>
      </w:r>
      <w:r>
        <w:rPr>
          <w:color w:val="231F20"/>
          <w:w w:val="110"/>
        </w:rPr>
        <w:t>extraiga</w:t>
      </w:r>
      <w:r>
        <w:rPr>
          <w:color w:val="231F20"/>
          <w:spacing w:val="-10"/>
          <w:w w:val="110"/>
        </w:rPr>
        <w:t> </w:t>
      </w:r>
      <w:r>
        <w:rPr>
          <w:color w:val="231F20"/>
          <w:w w:val="110"/>
        </w:rPr>
        <w:t>al</w:t>
      </w:r>
      <w:r>
        <w:rPr>
          <w:color w:val="231F20"/>
          <w:spacing w:val="-10"/>
          <w:w w:val="110"/>
        </w:rPr>
        <w:t> </w:t>
      </w:r>
      <w:r>
        <w:rPr>
          <w:color w:val="231F20"/>
          <w:w w:val="110"/>
        </w:rPr>
        <w:t>sistema</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prolongado</w:t>
      </w:r>
      <w:r>
        <w:rPr>
          <w:color w:val="231F20"/>
          <w:w w:val="112"/>
        </w:rPr>
        <w:t> </w:t>
      </w:r>
      <w:r>
        <w:rPr>
          <w:color w:val="231F20"/>
          <w:w w:val="110"/>
        </w:rPr>
        <w:t>atolladero</w:t>
      </w:r>
      <w:r>
        <w:rPr>
          <w:color w:val="231F20"/>
          <w:spacing w:val="22"/>
          <w:w w:val="110"/>
        </w:rPr>
        <w:t> </w:t>
      </w:r>
      <w:r>
        <w:rPr>
          <w:color w:val="231F20"/>
          <w:w w:val="110"/>
        </w:rPr>
        <w:t>guerrerista.</w:t>
      </w:r>
    </w:p>
    <w:p>
      <w:pPr>
        <w:pStyle w:val="BodyText"/>
        <w:spacing w:line="261" w:lineRule="auto"/>
        <w:ind w:left="100" w:right="119" w:firstLine="240"/>
        <w:jc w:val="both"/>
      </w:pPr>
      <w:r>
        <w:rPr>
          <w:color w:val="231F20"/>
          <w:w w:val="110"/>
        </w:rPr>
        <w:t>Sin duda de las vías de solución de este complejo problema, al borde del colapso, dependerán no sólo la sobrevivencia y metamor- fosis del imperio, sino la de la propia vida planetaria. Está echado  el reto de cara al futuro planetario, al fin del dominio unipolar y a   la reconfiguración de las relaciones internacionales en pos del desa- rrollo</w:t>
      </w:r>
      <w:r>
        <w:rPr>
          <w:color w:val="231F20"/>
          <w:spacing w:val="-2"/>
          <w:w w:val="110"/>
        </w:rPr>
        <w:t> </w:t>
      </w:r>
      <w:r>
        <w:rPr>
          <w:color w:val="231F20"/>
          <w:w w:val="110"/>
        </w:rPr>
        <w:t>sostenible.</w:t>
      </w:r>
    </w:p>
    <w:p>
      <w:pPr>
        <w:pStyle w:val="BodyText"/>
        <w:spacing w:line="261" w:lineRule="auto"/>
        <w:ind w:left="100" w:right="117" w:firstLine="240"/>
        <w:jc w:val="right"/>
      </w:pPr>
      <w:r>
        <w:rPr>
          <w:color w:val="231F20"/>
          <w:w w:val="105"/>
        </w:rPr>
        <w:t>Para Nuestra América la  situación  descrita  solo </w:t>
      </w:r>
      <w:r>
        <w:rPr>
          <w:color w:val="231F20"/>
          <w:spacing w:val="4"/>
          <w:w w:val="105"/>
        </w:rPr>
        <w:t> </w:t>
      </w:r>
      <w:r>
        <w:rPr>
          <w:color w:val="231F20"/>
          <w:w w:val="105"/>
        </w:rPr>
        <w:t>permite </w:t>
      </w:r>
      <w:r>
        <w:rPr>
          <w:color w:val="231F20"/>
          <w:spacing w:val="8"/>
          <w:w w:val="105"/>
        </w:rPr>
        <w:t> </w:t>
      </w:r>
      <w:r>
        <w:rPr>
          <w:color w:val="231F20"/>
          <w:w w:val="105"/>
        </w:rPr>
        <w:t>inferir</w:t>
      </w:r>
      <w:r>
        <w:rPr>
          <w:color w:val="231F20"/>
          <w:w w:val="111"/>
        </w:rPr>
        <w:t> </w:t>
      </w:r>
      <w:r>
        <w:rPr>
          <w:color w:val="231F20"/>
          <w:w w:val="105"/>
        </w:rPr>
        <w:t>las siguientes consecuencias en sus</w:t>
      </w:r>
      <w:r>
        <w:rPr>
          <w:color w:val="231F20"/>
          <w:spacing w:val="45"/>
          <w:w w:val="105"/>
        </w:rPr>
        <w:t> </w:t>
      </w:r>
      <w:r>
        <w:rPr>
          <w:color w:val="231F20"/>
          <w:w w:val="105"/>
        </w:rPr>
        <w:t>relaciones</w:t>
      </w:r>
      <w:r>
        <w:rPr>
          <w:color w:val="231F20"/>
          <w:spacing w:val="30"/>
          <w:w w:val="105"/>
        </w:rPr>
        <w:t> </w:t>
      </w:r>
      <w:r>
        <w:rPr>
          <w:color w:val="231F20"/>
          <w:w w:val="105"/>
        </w:rPr>
        <w:t>científico-tecnológicas</w:t>
      </w:r>
      <w:r>
        <w:rPr>
          <w:color w:val="231F20"/>
          <w:w w:val="106"/>
        </w:rPr>
        <w:t> </w:t>
      </w:r>
      <w:r>
        <w:rPr>
          <w:color w:val="231F20"/>
          <w:w w:val="105"/>
        </w:rPr>
        <w:t>con Estados Unidos: por  un  lado,  el  incremento  de </w:t>
      </w:r>
      <w:r>
        <w:rPr>
          <w:color w:val="231F20"/>
          <w:spacing w:val="4"/>
          <w:w w:val="105"/>
        </w:rPr>
        <w:t> </w:t>
      </w:r>
      <w:r>
        <w:rPr>
          <w:color w:val="231F20"/>
          <w:w w:val="105"/>
        </w:rPr>
        <w:t>la  adquisición</w:t>
      </w:r>
      <w:r>
        <w:rPr>
          <w:color w:val="231F20"/>
          <w:w w:val="108"/>
        </w:rPr>
        <w:t> </w:t>
      </w:r>
      <w:r>
        <w:rPr>
          <w:color w:val="231F20"/>
          <w:w w:val="105"/>
        </w:rPr>
        <w:t>de propiedad intelectual estadunidense; </w:t>
      </w:r>
      <w:r>
        <w:rPr>
          <w:color w:val="231F20"/>
          <w:spacing w:val="-8"/>
          <w:w w:val="105"/>
        </w:rPr>
        <w:t>y, </w:t>
      </w:r>
      <w:r>
        <w:rPr>
          <w:color w:val="231F20"/>
          <w:w w:val="105"/>
        </w:rPr>
        <w:t>en </w:t>
      </w:r>
      <w:r>
        <w:rPr>
          <w:color w:val="231F20"/>
          <w:spacing w:val="29"/>
          <w:w w:val="105"/>
        </w:rPr>
        <w:t> </w:t>
      </w:r>
      <w:r>
        <w:rPr>
          <w:color w:val="231F20"/>
          <w:w w:val="105"/>
        </w:rPr>
        <w:t>recompensa, </w:t>
      </w:r>
      <w:r>
        <w:rPr>
          <w:color w:val="231F20"/>
          <w:spacing w:val="2"/>
          <w:w w:val="105"/>
        </w:rPr>
        <w:t> </w:t>
      </w:r>
      <w:r>
        <w:rPr>
          <w:color w:val="231F20"/>
          <w:w w:val="105"/>
        </w:rPr>
        <w:t>facilida-</w:t>
      </w:r>
      <w:r>
        <w:rPr>
          <w:color w:val="231F20"/>
          <w:w w:val="72"/>
        </w:rPr>
        <w:t> </w:t>
      </w:r>
      <w:r>
        <w:rPr>
          <w:color w:val="231F20"/>
          <w:w w:val="105"/>
        </w:rPr>
        <w:t>des</w:t>
      </w:r>
      <w:r>
        <w:rPr>
          <w:color w:val="231F20"/>
          <w:spacing w:val="37"/>
          <w:w w:val="105"/>
        </w:rPr>
        <w:t> </w:t>
      </w:r>
      <w:r>
        <w:rPr>
          <w:color w:val="231F20"/>
          <w:w w:val="105"/>
        </w:rPr>
        <w:t>para</w:t>
      </w:r>
      <w:r>
        <w:rPr>
          <w:color w:val="231F20"/>
          <w:spacing w:val="37"/>
          <w:w w:val="105"/>
        </w:rPr>
        <w:t> </w:t>
      </w:r>
      <w:r>
        <w:rPr>
          <w:color w:val="231F20"/>
          <w:w w:val="105"/>
        </w:rPr>
        <w:t>la</w:t>
      </w:r>
      <w:r>
        <w:rPr>
          <w:color w:val="231F20"/>
          <w:spacing w:val="37"/>
          <w:w w:val="105"/>
        </w:rPr>
        <w:t> </w:t>
      </w:r>
      <w:r>
        <w:rPr>
          <w:color w:val="231F20"/>
          <w:w w:val="105"/>
        </w:rPr>
        <w:t>emigración</w:t>
      </w:r>
      <w:r>
        <w:rPr>
          <w:color w:val="231F20"/>
          <w:spacing w:val="37"/>
          <w:w w:val="105"/>
        </w:rPr>
        <w:t> </w:t>
      </w:r>
      <w:r>
        <w:rPr>
          <w:color w:val="231F20"/>
          <w:w w:val="105"/>
        </w:rPr>
        <w:t>selectiva</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más</w:t>
      </w:r>
      <w:r>
        <w:rPr>
          <w:color w:val="231F20"/>
          <w:spacing w:val="37"/>
          <w:w w:val="105"/>
        </w:rPr>
        <w:t> </w:t>
      </w:r>
      <w:r>
        <w:rPr>
          <w:color w:val="231F20"/>
          <w:w w:val="105"/>
        </w:rPr>
        <w:t>baratos</w:t>
      </w:r>
      <w:r>
        <w:rPr>
          <w:color w:val="231F20"/>
          <w:spacing w:val="37"/>
          <w:w w:val="105"/>
        </w:rPr>
        <w:t> </w:t>
      </w:r>
      <w:r>
        <w:rPr>
          <w:color w:val="231F20"/>
          <w:w w:val="105"/>
        </w:rPr>
        <w:t>cuellos</w:t>
      </w:r>
      <w:r>
        <w:rPr>
          <w:color w:val="231F20"/>
          <w:spacing w:val="37"/>
          <w:w w:val="105"/>
        </w:rPr>
        <w:t> </w:t>
      </w:r>
      <w:r>
        <w:rPr>
          <w:color w:val="231F20"/>
          <w:w w:val="105"/>
        </w:rPr>
        <w:t>blancos</w:t>
      </w:r>
      <w:r>
        <w:rPr>
          <w:color w:val="231F20"/>
          <w:w w:val="108"/>
        </w:rPr>
        <w:t> </w:t>
      </w:r>
      <w:r>
        <w:rPr>
          <w:color w:val="231F20"/>
          <w:w w:val="105"/>
        </w:rPr>
        <w:t>latinoamericanos</w:t>
      </w:r>
      <w:r>
        <w:rPr>
          <w:color w:val="231F20"/>
          <w:spacing w:val="27"/>
          <w:w w:val="105"/>
        </w:rPr>
        <w:t> </w:t>
      </w:r>
      <w:r>
        <w:rPr>
          <w:color w:val="231F20"/>
          <w:w w:val="105"/>
        </w:rPr>
        <w:t>y</w:t>
      </w:r>
      <w:r>
        <w:rPr>
          <w:color w:val="231F20"/>
          <w:spacing w:val="27"/>
          <w:w w:val="105"/>
        </w:rPr>
        <w:t> </w:t>
      </w:r>
      <w:r>
        <w:rPr>
          <w:color w:val="231F20"/>
          <w:w w:val="105"/>
        </w:rPr>
        <w:t>caribeños.</w:t>
      </w:r>
      <w:r>
        <w:rPr>
          <w:color w:val="231F20"/>
          <w:spacing w:val="27"/>
          <w:w w:val="105"/>
        </w:rPr>
        <w:t> </w:t>
      </w:r>
      <w:r>
        <w:rPr>
          <w:color w:val="231F20"/>
          <w:w w:val="105"/>
        </w:rPr>
        <w:t>O</w:t>
      </w:r>
      <w:r>
        <w:rPr>
          <w:color w:val="231F20"/>
          <w:spacing w:val="27"/>
          <w:w w:val="105"/>
        </w:rPr>
        <w:t> </w:t>
      </w:r>
      <w:r>
        <w:rPr>
          <w:color w:val="231F20"/>
          <w:w w:val="105"/>
        </w:rPr>
        <w:t>sea,</w:t>
      </w:r>
      <w:r>
        <w:rPr>
          <w:color w:val="231F20"/>
          <w:spacing w:val="27"/>
          <w:w w:val="105"/>
        </w:rPr>
        <w:t> </w:t>
      </w:r>
      <w:r>
        <w:rPr>
          <w:color w:val="231F20"/>
          <w:w w:val="105"/>
        </w:rPr>
        <w:t>más</w:t>
      </w:r>
      <w:r>
        <w:rPr>
          <w:color w:val="231F20"/>
          <w:spacing w:val="27"/>
          <w:w w:val="105"/>
        </w:rPr>
        <w:t> </w:t>
      </w:r>
      <w:r>
        <w:rPr>
          <w:color w:val="231F20"/>
          <w:w w:val="105"/>
        </w:rPr>
        <w:t>de</w:t>
      </w:r>
      <w:r>
        <w:rPr>
          <w:color w:val="231F20"/>
          <w:spacing w:val="27"/>
          <w:w w:val="105"/>
        </w:rPr>
        <w:t> </w:t>
      </w:r>
      <w:r>
        <w:rPr>
          <w:color w:val="231F20"/>
          <w:w w:val="105"/>
        </w:rPr>
        <w:t>lo</w:t>
      </w:r>
      <w:r>
        <w:rPr>
          <w:color w:val="231F20"/>
          <w:spacing w:val="27"/>
          <w:w w:val="105"/>
        </w:rPr>
        <w:t> </w:t>
      </w:r>
      <w:r>
        <w:rPr>
          <w:color w:val="231F20"/>
          <w:w w:val="105"/>
        </w:rPr>
        <w:t>mismo.</w:t>
      </w:r>
      <w:r>
        <w:rPr>
          <w:color w:val="231F20"/>
          <w:spacing w:val="27"/>
          <w:w w:val="105"/>
        </w:rPr>
        <w:t> </w:t>
      </w:r>
      <w:r>
        <w:rPr>
          <w:color w:val="231F20"/>
          <w:w w:val="105"/>
        </w:rPr>
        <w:t>La</w:t>
      </w:r>
      <w:r>
        <w:rPr>
          <w:color w:val="231F20"/>
          <w:spacing w:val="27"/>
          <w:w w:val="105"/>
        </w:rPr>
        <w:t> </w:t>
      </w:r>
      <w:r>
        <w:rPr>
          <w:color w:val="231F20"/>
          <w:w w:val="105"/>
        </w:rPr>
        <w:t>respuesta</w:t>
      </w:r>
      <w:r>
        <w:rPr>
          <w:color w:val="231F20"/>
          <w:w w:val="109"/>
        </w:rPr>
        <w:t> </w:t>
      </w:r>
      <w:r>
        <w:rPr>
          <w:color w:val="231F20"/>
          <w:w w:val="105"/>
        </w:rPr>
        <w:t>más probable de los pueblos será el creciente rompimiento</w:t>
      </w:r>
      <w:r>
        <w:rPr>
          <w:color w:val="231F20"/>
          <w:spacing w:val="39"/>
          <w:w w:val="105"/>
        </w:rPr>
        <w:t> </w:t>
      </w:r>
      <w:r>
        <w:rPr>
          <w:color w:val="231F20"/>
          <w:w w:val="105"/>
        </w:rPr>
        <w:t>con</w:t>
      </w:r>
      <w:r>
        <w:rPr>
          <w:color w:val="231F20"/>
          <w:spacing w:val="51"/>
          <w:w w:val="105"/>
        </w:rPr>
        <w:t> </w:t>
      </w:r>
      <w:r>
        <w:rPr>
          <w:color w:val="231F20"/>
          <w:w w:val="105"/>
        </w:rPr>
        <w:t>el</w:t>
      </w:r>
      <w:r>
        <w:rPr>
          <w:color w:val="231F20"/>
          <w:w w:val="108"/>
        </w:rPr>
        <w:t> </w:t>
      </w:r>
      <w:r>
        <w:rPr>
          <w:color w:val="231F20"/>
          <w:w w:val="105"/>
        </w:rPr>
        <w:t>Consenso de Washington y edificación de modelos</w:t>
      </w:r>
      <w:r>
        <w:rPr>
          <w:color w:val="231F20"/>
          <w:spacing w:val="4"/>
          <w:w w:val="105"/>
        </w:rPr>
        <w:t> </w:t>
      </w:r>
      <w:r>
        <w:rPr>
          <w:color w:val="231F20"/>
          <w:w w:val="105"/>
        </w:rPr>
        <w:t>alternativos de</w:t>
      </w:r>
      <w:r>
        <w:rPr>
          <w:color w:val="231F20"/>
          <w:w w:val="114"/>
        </w:rPr>
        <w:t> </w:t>
      </w:r>
      <w:r>
        <w:rPr>
          <w:color w:val="231F20"/>
          <w:w w:val="105"/>
        </w:rPr>
        <w:t>integración para el desarrollo sostenible solidario y del </w:t>
      </w:r>
      <w:r>
        <w:rPr>
          <w:i/>
          <w:color w:val="231F20"/>
          <w:w w:val="105"/>
        </w:rPr>
        <w:t>buen</w:t>
      </w:r>
      <w:r>
        <w:rPr>
          <w:i/>
          <w:color w:val="231F20"/>
          <w:spacing w:val="25"/>
          <w:w w:val="105"/>
        </w:rPr>
        <w:t> </w:t>
      </w:r>
      <w:r>
        <w:rPr>
          <w:i/>
          <w:color w:val="231F20"/>
          <w:w w:val="105"/>
        </w:rPr>
        <w:t>vivir</w:t>
      </w:r>
      <w:r>
        <w:rPr>
          <w:color w:val="231F20"/>
          <w:w w:val="105"/>
        </w:rPr>
        <w:t>,</w:t>
      </w:r>
      <w:r>
        <w:rPr>
          <w:color w:val="231F20"/>
          <w:spacing w:val="8"/>
          <w:w w:val="105"/>
        </w:rPr>
        <w:t> </w:t>
      </w:r>
      <w:r>
        <w:rPr>
          <w:color w:val="231F20"/>
          <w:w w:val="105"/>
        </w:rPr>
        <w:t>con</w:t>
      </w:r>
      <w:r>
        <w:rPr>
          <w:color w:val="231F20"/>
          <w:w w:val="112"/>
        </w:rPr>
        <w:t> </w:t>
      </w:r>
      <w:r>
        <w:rPr>
          <w:color w:val="231F20"/>
          <w:w w:val="105"/>
        </w:rPr>
        <w:t>justicia social y equidad, necesariamente basados en</w:t>
      </w:r>
      <w:r>
        <w:rPr>
          <w:color w:val="231F20"/>
          <w:spacing w:val="32"/>
          <w:w w:val="105"/>
        </w:rPr>
        <w:t> </w:t>
      </w:r>
      <w:r>
        <w:rPr>
          <w:color w:val="231F20"/>
          <w:w w:val="105"/>
        </w:rPr>
        <w:t>el</w:t>
      </w:r>
      <w:r>
        <w:rPr>
          <w:color w:val="231F20"/>
          <w:spacing w:val="19"/>
          <w:w w:val="105"/>
        </w:rPr>
        <w:t> </w:t>
      </w:r>
      <w:r>
        <w:rPr>
          <w:color w:val="231F20"/>
          <w:w w:val="105"/>
        </w:rPr>
        <w:t>conocimiento.</w:t>
      </w:r>
      <w:r>
        <w:rPr>
          <w:color w:val="231F20"/>
          <w:w w:val="110"/>
        </w:rPr>
        <w:t> </w:t>
      </w:r>
      <w:r>
        <w:rPr>
          <w:color w:val="231F20"/>
          <w:spacing w:val="-4"/>
          <w:w w:val="105"/>
        </w:rPr>
        <w:t>Total </w:t>
      </w:r>
      <w:r>
        <w:rPr>
          <w:color w:val="231F20"/>
          <w:w w:val="105"/>
        </w:rPr>
        <w:t>incongruencia entre el discurso electoral basado  en</w:t>
      </w:r>
      <w:r>
        <w:rPr>
          <w:color w:val="231F20"/>
          <w:spacing w:val="-13"/>
          <w:w w:val="105"/>
        </w:rPr>
        <w:t> </w:t>
      </w:r>
      <w:r>
        <w:rPr>
          <w:color w:val="231F20"/>
          <w:w w:val="105"/>
        </w:rPr>
        <w:t>la</w:t>
      </w:r>
      <w:r>
        <w:rPr>
          <w:color w:val="231F20"/>
          <w:spacing w:val="43"/>
          <w:w w:val="105"/>
        </w:rPr>
        <w:t> </w:t>
      </w:r>
      <w:r>
        <w:rPr>
          <w:color w:val="231F20"/>
          <w:w w:val="105"/>
        </w:rPr>
        <w:t>fun-</w:t>
      </w:r>
      <w:r>
        <w:rPr>
          <w:color w:val="231F20"/>
          <w:w w:val="72"/>
        </w:rPr>
        <w:t> </w:t>
      </w:r>
      <w:r>
        <w:rPr>
          <w:color w:val="231F20"/>
          <w:w w:val="105"/>
        </w:rPr>
        <w:t>ción</w:t>
      </w:r>
      <w:r>
        <w:rPr>
          <w:color w:val="231F20"/>
          <w:spacing w:val="31"/>
          <w:w w:val="105"/>
        </w:rPr>
        <w:t> </w:t>
      </w:r>
      <w:r>
        <w:rPr>
          <w:color w:val="231F20"/>
          <w:w w:val="105"/>
        </w:rPr>
        <w:t>de</w:t>
      </w:r>
      <w:r>
        <w:rPr>
          <w:color w:val="231F20"/>
          <w:spacing w:val="31"/>
          <w:w w:val="105"/>
        </w:rPr>
        <w:t> </w:t>
      </w:r>
      <w:r>
        <w:rPr>
          <w:color w:val="231F20"/>
          <w:w w:val="105"/>
        </w:rPr>
        <w:t>cambios,</w:t>
      </w:r>
      <w:r>
        <w:rPr>
          <w:color w:val="231F20"/>
          <w:spacing w:val="31"/>
          <w:w w:val="105"/>
        </w:rPr>
        <w:t> </w:t>
      </w:r>
      <w:r>
        <w:rPr>
          <w:color w:val="231F20"/>
          <w:w w:val="105"/>
        </w:rPr>
        <w:t>y</w:t>
      </w:r>
      <w:r>
        <w:rPr>
          <w:color w:val="231F20"/>
          <w:spacing w:val="31"/>
          <w:w w:val="105"/>
        </w:rPr>
        <w:t> </w:t>
      </w:r>
      <w:r>
        <w:rPr>
          <w:color w:val="231F20"/>
          <w:w w:val="105"/>
        </w:rPr>
        <w:t>la</w:t>
      </w:r>
      <w:r>
        <w:rPr>
          <w:color w:val="231F20"/>
          <w:spacing w:val="31"/>
          <w:w w:val="105"/>
        </w:rPr>
        <w:t> </w:t>
      </w:r>
      <w:r>
        <w:rPr>
          <w:color w:val="231F20"/>
          <w:w w:val="105"/>
        </w:rPr>
        <w:t>continuidad</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actuar</w:t>
      </w:r>
      <w:r>
        <w:rPr>
          <w:color w:val="231F20"/>
          <w:spacing w:val="31"/>
          <w:w w:val="105"/>
        </w:rPr>
        <w:t> </w:t>
      </w:r>
      <w:r>
        <w:rPr>
          <w:color w:val="231F20"/>
          <w:w w:val="105"/>
        </w:rPr>
        <w:t>del</w:t>
      </w:r>
      <w:r>
        <w:rPr>
          <w:color w:val="231F20"/>
          <w:spacing w:val="31"/>
          <w:w w:val="105"/>
        </w:rPr>
        <w:t> </w:t>
      </w:r>
      <w:r>
        <w:rPr>
          <w:color w:val="231F20"/>
          <w:w w:val="105"/>
        </w:rPr>
        <w:t>predecesor,</w:t>
      </w:r>
      <w:r>
        <w:rPr>
          <w:color w:val="231F20"/>
          <w:spacing w:val="31"/>
          <w:w w:val="105"/>
        </w:rPr>
        <w:t> </w:t>
      </w:r>
      <w:r>
        <w:rPr>
          <w:color w:val="231F20"/>
          <w:w w:val="105"/>
        </w:rPr>
        <w:t>entre</w:t>
      </w:r>
    </w:p>
    <w:p>
      <w:pPr>
        <w:pStyle w:val="BodyText"/>
        <w:ind w:left="100" w:right="25"/>
      </w:pPr>
      <w:r>
        <w:rPr>
          <w:color w:val="231F20"/>
          <w:w w:val="105"/>
        </w:rPr>
        <w:t>otros aspectos, también en ciencia y   </w:t>
      </w:r>
      <w:r>
        <w:rPr>
          <w:color w:val="231F20"/>
          <w:spacing w:val="52"/>
          <w:w w:val="105"/>
        </w:rPr>
        <w:t> </w:t>
      </w:r>
      <w:r>
        <w:rPr>
          <w:color w:val="231F20"/>
          <w:w w:val="105"/>
        </w:rPr>
        <w:t>tecnología.</w:t>
      </w:r>
    </w:p>
    <w:p>
      <w:pPr>
        <w:pStyle w:val="BodyText"/>
      </w:pPr>
    </w:p>
    <w:p>
      <w:pPr>
        <w:pStyle w:val="BodyText"/>
      </w:pPr>
    </w:p>
    <w:p>
      <w:pPr>
        <w:pStyle w:val="BodyText"/>
        <w:spacing w:before="11"/>
        <w:rPr>
          <w:sz w:val="26"/>
        </w:rPr>
      </w:pPr>
    </w:p>
    <w:p>
      <w:pPr>
        <w:pStyle w:val="BodyText"/>
        <w:ind w:left="100" w:right="25"/>
      </w:pPr>
      <w:r>
        <w:rPr>
          <w:color w:val="231F20"/>
          <w:w w:val="125"/>
        </w:rPr>
        <w:t>bibliografía</w:t>
      </w:r>
    </w:p>
    <w:p>
      <w:pPr>
        <w:pStyle w:val="BodyText"/>
        <w:spacing w:before="5"/>
        <w:rPr>
          <w:sz w:val="22"/>
        </w:rPr>
      </w:pPr>
    </w:p>
    <w:p>
      <w:pPr>
        <w:spacing w:line="254" w:lineRule="auto" w:before="0"/>
        <w:ind w:left="73" w:right="119" w:firstLine="0"/>
        <w:jc w:val="right"/>
        <w:rPr>
          <w:sz w:val="18"/>
        </w:rPr>
      </w:pPr>
      <w:r>
        <w:rPr>
          <w:color w:val="231F20"/>
          <w:w w:val="105"/>
          <w:sz w:val="18"/>
        </w:rPr>
        <w:t>Brenner,</w:t>
      </w:r>
      <w:r>
        <w:rPr>
          <w:color w:val="231F20"/>
          <w:spacing w:val="-16"/>
          <w:w w:val="105"/>
          <w:sz w:val="18"/>
        </w:rPr>
        <w:t> </w:t>
      </w:r>
      <w:r>
        <w:rPr>
          <w:color w:val="231F20"/>
          <w:w w:val="105"/>
          <w:sz w:val="18"/>
        </w:rPr>
        <w:t>R.,</w:t>
      </w:r>
      <w:r>
        <w:rPr>
          <w:color w:val="231F20"/>
          <w:spacing w:val="-16"/>
          <w:w w:val="105"/>
          <w:sz w:val="18"/>
        </w:rPr>
        <w:t> </w:t>
      </w:r>
      <w:r>
        <w:rPr>
          <w:color w:val="231F20"/>
          <w:w w:val="105"/>
          <w:sz w:val="18"/>
        </w:rPr>
        <w:t>2000,</w:t>
      </w:r>
      <w:r>
        <w:rPr>
          <w:color w:val="231F20"/>
          <w:spacing w:val="-16"/>
          <w:w w:val="105"/>
          <w:sz w:val="18"/>
        </w:rPr>
        <w:t> </w:t>
      </w:r>
      <w:r>
        <w:rPr>
          <w:i/>
          <w:color w:val="231F20"/>
          <w:w w:val="105"/>
          <w:sz w:val="18"/>
        </w:rPr>
        <w:t>La</w:t>
      </w:r>
      <w:r>
        <w:rPr>
          <w:i/>
          <w:color w:val="231F20"/>
          <w:spacing w:val="-16"/>
          <w:w w:val="105"/>
          <w:sz w:val="18"/>
        </w:rPr>
        <w:t> </w:t>
      </w:r>
      <w:r>
        <w:rPr>
          <w:i/>
          <w:color w:val="231F20"/>
          <w:w w:val="105"/>
          <w:sz w:val="18"/>
        </w:rPr>
        <w:t>expansión</w:t>
      </w:r>
      <w:r>
        <w:rPr>
          <w:i/>
          <w:color w:val="231F20"/>
          <w:spacing w:val="-16"/>
          <w:w w:val="105"/>
          <w:sz w:val="18"/>
        </w:rPr>
        <w:t> </w:t>
      </w:r>
      <w:r>
        <w:rPr>
          <w:i/>
          <w:color w:val="231F20"/>
          <w:w w:val="105"/>
          <w:sz w:val="18"/>
        </w:rPr>
        <w:t>económica</w:t>
      </w:r>
      <w:r>
        <w:rPr>
          <w:i/>
          <w:color w:val="231F20"/>
          <w:spacing w:val="-16"/>
          <w:w w:val="105"/>
          <w:sz w:val="18"/>
        </w:rPr>
        <w:t> </w:t>
      </w:r>
      <w:r>
        <w:rPr>
          <w:i/>
          <w:color w:val="231F20"/>
          <w:w w:val="105"/>
          <w:sz w:val="18"/>
        </w:rPr>
        <w:t>y</w:t>
      </w:r>
      <w:r>
        <w:rPr>
          <w:i/>
          <w:color w:val="231F20"/>
          <w:spacing w:val="-16"/>
          <w:w w:val="105"/>
          <w:sz w:val="18"/>
        </w:rPr>
        <w:t> </w:t>
      </w:r>
      <w:r>
        <w:rPr>
          <w:i/>
          <w:color w:val="231F20"/>
          <w:w w:val="105"/>
          <w:sz w:val="18"/>
        </w:rPr>
        <w:t>la</w:t>
      </w:r>
      <w:r>
        <w:rPr>
          <w:i/>
          <w:color w:val="231F20"/>
          <w:spacing w:val="-16"/>
          <w:w w:val="105"/>
          <w:sz w:val="18"/>
        </w:rPr>
        <w:t> </w:t>
      </w:r>
      <w:r>
        <w:rPr>
          <w:i/>
          <w:color w:val="231F20"/>
          <w:w w:val="105"/>
          <w:sz w:val="18"/>
        </w:rPr>
        <w:t>burbuja</w:t>
      </w:r>
      <w:r>
        <w:rPr>
          <w:i/>
          <w:color w:val="231F20"/>
          <w:spacing w:val="-16"/>
          <w:w w:val="105"/>
          <w:sz w:val="18"/>
        </w:rPr>
        <w:t> </w:t>
      </w:r>
      <w:r>
        <w:rPr>
          <w:i/>
          <w:color w:val="231F20"/>
          <w:w w:val="105"/>
          <w:sz w:val="18"/>
        </w:rPr>
        <w:t>bursátil</w:t>
      </w:r>
      <w:r>
        <w:rPr>
          <w:color w:val="231F20"/>
          <w:w w:val="105"/>
          <w:sz w:val="18"/>
        </w:rPr>
        <w:t>,</w:t>
      </w:r>
      <w:r>
        <w:rPr>
          <w:color w:val="231F20"/>
          <w:spacing w:val="-16"/>
          <w:w w:val="105"/>
          <w:sz w:val="18"/>
        </w:rPr>
        <w:t> </w:t>
      </w:r>
      <w:r>
        <w:rPr>
          <w:color w:val="231F20"/>
          <w:w w:val="105"/>
          <w:sz w:val="18"/>
        </w:rPr>
        <w:t>Madrid,</w:t>
      </w:r>
      <w:r>
        <w:rPr>
          <w:color w:val="231F20"/>
          <w:spacing w:val="-16"/>
          <w:w w:val="105"/>
          <w:sz w:val="18"/>
        </w:rPr>
        <w:t> </w:t>
      </w:r>
      <w:r>
        <w:rPr>
          <w:color w:val="231F20"/>
          <w:w w:val="105"/>
          <w:sz w:val="18"/>
        </w:rPr>
        <w:t>Asnal.</w:t>
      </w:r>
      <w:r>
        <w:rPr>
          <w:color w:val="231F20"/>
          <w:w w:val="102"/>
          <w:sz w:val="18"/>
        </w:rPr>
        <w:t> </w:t>
      </w:r>
      <w:r>
        <w:rPr>
          <w:color w:val="231F20"/>
          <w:spacing w:val="-3"/>
          <w:w w:val="105"/>
          <w:sz w:val="18"/>
        </w:rPr>
        <w:t>Butler, </w:t>
      </w:r>
      <w:r>
        <w:rPr>
          <w:color w:val="231F20"/>
          <w:w w:val="105"/>
          <w:sz w:val="18"/>
        </w:rPr>
        <w:t>Declan, 2008, “China, el gran contendiente” en </w:t>
      </w:r>
      <w:r>
        <w:rPr>
          <w:i/>
          <w:color w:val="231F20"/>
          <w:w w:val="105"/>
          <w:sz w:val="18"/>
        </w:rPr>
        <w:t>Nature</w:t>
      </w:r>
      <w:r>
        <w:rPr>
          <w:color w:val="231F20"/>
          <w:w w:val="105"/>
          <w:sz w:val="18"/>
        </w:rPr>
        <w:t>, Londres,  </w:t>
      </w:r>
      <w:r>
        <w:rPr>
          <w:color w:val="231F20"/>
          <w:spacing w:val="19"/>
          <w:w w:val="105"/>
          <w:sz w:val="18"/>
        </w:rPr>
        <w:t> </w:t>
      </w:r>
      <w:r>
        <w:rPr>
          <w:color w:val="231F20"/>
          <w:w w:val="105"/>
          <w:sz w:val="18"/>
        </w:rPr>
        <w:t>núm.</w:t>
      </w:r>
    </w:p>
    <w:p>
      <w:pPr>
        <w:spacing w:before="1"/>
        <w:ind w:left="113" w:right="105" w:firstLine="0"/>
        <w:jc w:val="center"/>
        <w:rPr>
          <w:sz w:val="18"/>
        </w:rPr>
      </w:pPr>
      <w:r>
        <w:rPr>
          <w:color w:val="231F20"/>
          <w:w w:val="110"/>
          <w:sz w:val="18"/>
        </w:rPr>
        <w:t>454, publicado en línea el 23 de julio, traducido en nco, 9 de   agosto.</w:t>
      </w:r>
    </w:p>
    <w:p>
      <w:pPr>
        <w:spacing w:line="254" w:lineRule="auto" w:before="13"/>
        <w:ind w:left="340" w:right="25" w:hanging="240"/>
        <w:jc w:val="left"/>
        <w:rPr>
          <w:sz w:val="18"/>
        </w:rPr>
      </w:pPr>
      <w:r>
        <w:rPr>
          <w:color w:val="231F20"/>
          <w:w w:val="105"/>
          <w:sz w:val="18"/>
        </w:rPr>
        <w:t>Craig Roberts, Paul, 2007, </w:t>
      </w:r>
      <w:r>
        <w:rPr>
          <w:i/>
          <w:color w:val="231F20"/>
          <w:w w:val="105"/>
          <w:sz w:val="18"/>
        </w:rPr>
        <w:t>“</w:t>
      </w:r>
      <w:r>
        <w:rPr>
          <w:color w:val="231F20"/>
          <w:w w:val="105"/>
          <w:sz w:val="18"/>
        </w:rPr>
        <w:t>Economía de Estados Unidos: rip” en </w:t>
      </w:r>
      <w:r>
        <w:rPr>
          <w:i/>
          <w:color w:val="231F20"/>
          <w:w w:val="105"/>
          <w:sz w:val="18"/>
        </w:rPr>
        <w:t>&lt;</w:t>
      </w:r>
      <w:hyperlink r:id="rId47">
        <w:r>
          <w:rPr>
            <w:color w:val="231F20"/>
            <w:w w:val="105"/>
            <w:sz w:val="18"/>
          </w:rPr>
          <w:t>www.</w:t>
        </w:r>
      </w:hyperlink>
      <w:r>
        <w:rPr>
          <w:color w:val="231F20"/>
          <w:w w:val="105"/>
          <w:sz w:val="18"/>
        </w:rPr>
        <w:t> sinpermiso.info&gt;,  17  de septiembre.</w:t>
      </w:r>
    </w:p>
    <w:p>
      <w:pPr>
        <w:spacing w:line="254" w:lineRule="auto" w:before="1"/>
        <w:ind w:left="73" w:right="117" w:firstLine="0"/>
        <w:jc w:val="right"/>
        <w:rPr>
          <w:sz w:val="18"/>
        </w:rPr>
      </w:pPr>
      <w:r>
        <w:rPr>
          <w:color w:val="231F20"/>
          <w:w w:val="105"/>
          <w:sz w:val="18"/>
        </w:rPr>
        <w:t>efe, 2011, “Obama favorece energía renovable frente al alza del petróleo”,</w:t>
      </w:r>
      <w:r>
        <w:rPr>
          <w:color w:val="231F20"/>
          <w:w w:val="109"/>
          <w:sz w:val="18"/>
        </w:rPr>
        <w:t> </w:t>
      </w:r>
      <w:r>
        <w:rPr>
          <w:color w:val="231F20"/>
          <w:w w:val="105"/>
          <w:sz w:val="18"/>
        </w:rPr>
        <w:t>en </w:t>
      </w:r>
      <w:r>
        <w:rPr>
          <w:i/>
          <w:color w:val="231F20"/>
          <w:w w:val="105"/>
          <w:sz w:val="18"/>
        </w:rPr>
        <w:t>Boletín de Noticias Económicas</w:t>
      </w:r>
      <w:r>
        <w:rPr>
          <w:color w:val="231F20"/>
          <w:w w:val="105"/>
          <w:sz w:val="18"/>
        </w:rPr>
        <w:t>, La Habana, mep, núm. 1479, 24 de abril.</w:t>
      </w:r>
    </w:p>
    <w:p>
      <w:pPr>
        <w:spacing w:line="254" w:lineRule="auto" w:before="1"/>
        <w:ind w:left="340" w:right="25" w:hanging="240"/>
        <w:jc w:val="left"/>
        <w:rPr>
          <w:sz w:val="18"/>
        </w:rPr>
      </w:pPr>
      <w:r>
        <w:rPr>
          <w:i/>
          <w:color w:val="231F20"/>
          <w:w w:val="110"/>
          <w:sz w:val="18"/>
        </w:rPr>
        <w:t>Granma</w:t>
      </w:r>
      <w:r>
        <w:rPr>
          <w:color w:val="231F20"/>
          <w:w w:val="110"/>
          <w:sz w:val="18"/>
        </w:rPr>
        <w:t>, 2010, La Habana, “EE.UU. ha perdido 8.4 millones de puestos de trabajo desde 2007 hasta la fecha”, 7 de agosto.</w:t>
      </w:r>
    </w:p>
    <w:p>
      <w:pPr>
        <w:spacing w:line="254" w:lineRule="auto" w:before="1"/>
        <w:ind w:left="340" w:right="117" w:hanging="240"/>
        <w:jc w:val="both"/>
        <w:rPr>
          <w:sz w:val="18"/>
        </w:rPr>
      </w:pPr>
      <w:r>
        <w:rPr>
          <w:color w:val="231F20"/>
          <w:w w:val="105"/>
          <w:sz w:val="18"/>
        </w:rPr>
        <w:t>Grobart, Fabio, 2009, “Ciencia y tecnología en Estados Unidos: hegemonía bajo</w:t>
      </w:r>
      <w:r>
        <w:rPr>
          <w:color w:val="231F20"/>
          <w:spacing w:val="-15"/>
          <w:w w:val="105"/>
          <w:sz w:val="18"/>
        </w:rPr>
        <w:t> </w:t>
      </w:r>
      <w:r>
        <w:rPr>
          <w:color w:val="231F20"/>
          <w:w w:val="105"/>
          <w:sz w:val="18"/>
        </w:rPr>
        <w:t>creciente</w:t>
      </w:r>
      <w:r>
        <w:rPr>
          <w:color w:val="231F20"/>
          <w:spacing w:val="-15"/>
          <w:w w:val="105"/>
          <w:sz w:val="18"/>
        </w:rPr>
        <w:t> </w:t>
      </w:r>
      <w:r>
        <w:rPr>
          <w:color w:val="231F20"/>
          <w:w w:val="105"/>
          <w:sz w:val="18"/>
        </w:rPr>
        <w:t>cuestionamiento”,</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Habana,</w:t>
      </w:r>
      <w:r>
        <w:rPr>
          <w:color w:val="231F20"/>
          <w:spacing w:val="-15"/>
          <w:w w:val="105"/>
          <w:sz w:val="18"/>
        </w:rPr>
        <w:t> </w:t>
      </w:r>
      <w:r>
        <w:rPr>
          <w:i/>
          <w:color w:val="231F20"/>
          <w:w w:val="105"/>
          <w:sz w:val="18"/>
        </w:rPr>
        <w:t>Cuadernos</w:t>
      </w:r>
      <w:r>
        <w:rPr>
          <w:i/>
          <w:color w:val="231F20"/>
          <w:spacing w:val="-15"/>
          <w:w w:val="105"/>
          <w:sz w:val="18"/>
        </w:rPr>
        <w:t> </w:t>
      </w:r>
      <w:r>
        <w:rPr>
          <w:i/>
          <w:color w:val="231F20"/>
          <w:w w:val="105"/>
          <w:sz w:val="18"/>
        </w:rPr>
        <w:t>de</w:t>
      </w:r>
      <w:r>
        <w:rPr>
          <w:i/>
          <w:color w:val="231F20"/>
          <w:spacing w:val="-15"/>
          <w:w w:val="105"/>
          <w:sz w:val="18"/>
        </w:rPr>
        <w:t> </w:t>
      </w:r>
      <w:r>
        <w:rPr>
          <w:i/>
          <w:color w:val="231F20"/>
          <w:w w:val="105"/>
          <w:sz w:val="18"/>
        </w:rPr>
        <w:t>Nuestra</w:t>
      </w:r>
      <w:r>
        <w:rPr>
          <w:i/>
          <w:color w:val="231F20"/>
          <w:spacing w:val="-15"/>
          <w:w w:val="105"/>
          <w:sz w:val="18"/>
        </w:rPr>
        <w:t> </w:t>
      </w:r>
      <w:r>
        <w:rPr>
          <w:i/>
          <w:color w:val="231F20"/>
          <w:w w:val="105"/>
          <w:sz w:val="18"/>
        </w:rPr>
        <w:t>América</w:t>
      </w:r>
      <w:r>
        <w:rPr>
          <w:color w:val="231F20"/>
          <w:w w:val="105"/>
          <w:sz w:val="18"/>
        </w:rPr>
        <w:t>, vol. XXII, núms.</w:t>
      </w:r>
      <w:r>
        <w:rPr>
          <w:color w:val="231F20"/>
          <w:spacing w:val="11"/>
          <w:w w:val="105"/>
          <w:sz w:val="18"/>
        </w:rPr>
        <w:t> </w:t>
      </w:r>
      <w:r>
        <w:rPr>
          <w:color w:val="231F20"/>
          <w:w w:val="105"/>
          <w:sz w:val="18"/>
        </w:rPr>
        <w:t>43-44.</w:t>
      </w:r>
    </w:p>
    <w:p>
      <w:pPr>
        <w:spacing w:before="1"/>
        <w:ind w:left="100" w:right="25" w:firstLine="0"/>
        <w:jc w:val="left"/>
        <w:rPr>
          <w:sz w:val="18"/>
        </w:rPr>
      </w:pPr>
      <w:r>
        <w:rPr>
          <w:color w:val="231F20"/>
          <w:w w:val="105"/>
          <w:sz w:val="18"/>
        </w:rPr>
        <w:t>Houseman, Susan, 2007, </w:t>
      </w:r>
      <w:r>
        <w:rPr>
          <w:i/>
          <w:color w:val="231F20"/>
          <w:w w:val="105"/>
          <w:sz w:val="18"/>
        </w:rPr>
        <w:t>Business Week, </w:t>
      </w:r>
      <w:r>
        <w:rPr>
          <w:color w:val="231F20"/>
          <w:w w:val="105"/>
          <w:sz w:val="18"/>
        </w:rPr>
        <w:t>New York, June,18.</w:t>
      </w:r>
    </w:p>
    <w:p>
      <w:pPr>
        <w:spacing w:after="0"/>
        <w:jc w:val="left"/>
        <w:rPr>
          <w:sz w:val="18"/>
        </w:rPr>
        <w:sectPr>
          <w:pgSz w:w="7640" w:h="11900"/>
          <w:pgMar w:header="672" w:footer="0" w:top="860" w:bottom="280" w:left="780" w:right="640"/>
        </w:sectPr>
      </w:pPr>
    </w:p>
    <w:p>
      <w:pPr>
        <w:pStyle w:val="BodyText"/>
        <w:spacing w:before="9"/>
        <w:rPr>
          <w:sz w:val="8"/>
        </w:rPr>
      </w:pPr>
    </w:p>
    <w:p>
      <w:pPr>
        <w:spacing w:line="254" w:lineRule="auto" w:before="70"/>
        <w:ind w:left="340" w:right="118" w:hanging="240"/>
        <w:jc w:val="both"/>
        <w:rPr>
          <w:sz w:val="18"/>
        </w:rPr>
      </w:pPr>
      <w:r>
        <w:rPr>
          <w:color w:val="231F20"/>
          <w:sz w:val="18"/>
        </w:rPr>
        <w:t>ipcc,</w:t>
      </w:r>
      <w:r>
        <w:rPr>
          <w:color w:val="231F20"/>
          <w:spacing w:val="-18"/>
          <w:sz w:val="18"/>
        </w:rPr>
        <w:t> </w:t>
      </w:r>
      <w:r>
        <w:rPr>
          <w:color w:val="231F20"/>
          <w:sz w:val="18"/>
        </w:rPr>
        <w:t>2002,</w:t>
      </w:r>
      <w:r>
        <w:rPr>
          <w:color w:val="231F20"/>
          <w:spacing w:val="-18"/>
          <w:sz w:val="18"/>
        </w:rPr>
        <w:t> </w:t>
      </w:r>
      <w:r>
        <w:rPr>
          <w:i/>
          <w:color w:val="231F20"/>
          <w:sz w:val="18"/>
        </w:rPr>
        <w:t>Climate</w:t>
      </w:r>
      <w:r>
        <w:rPr>
          <w:i/>
          <w:color w:val="231F20"/>
          <w:spacing w:val="-18"/>
          <w:sz w:val="18"/>
        </w:rPr>
        <w:t> </w:t>
      </w:r>
      <w:r>
        <w:rPr>
          <w:i/>
          <w:color w:val="231F20"/>
          <w:sz w:val="18"/>
        </w:rPr>
        <w:t>Change</w:t>
      </w:r>
      <w:r>
        <w:rPr>
          <w:i/>
          <w:color w:val="231F20"/>
          <w:spacing w:val="-18"/>
          <w:sz w:val="18"/>
        </w:rPr>
        <w:t> </w:t>
      </w:r>
      <w:r>
        <w:rPr>
          <w:i/>
          <w:color w:val="231F20"/>
          <w:sz w:val="18"/>
        </w:rPr>
        <w:t>2001.</w:t>
      </w:r>
      <w:r>
        <w:rPr>
          <w:i/>
          <w:color w:val="231F20"/>
          <w:spacing w:val="-18"/>
          <w:sz w:val="18"/>
        </w:rPr>
        <w:t> </w:t>
      </w:r>
      <w:r>
        <w:rPr>
          <w:i/>
          <w:color w:val="231F20"/>
          <w:sz w:val="18"/>
        </w:rPr>
        <w:t>Synthesis</w:t>
      </w:r>
      <w:r>
        <w:rPr>
          <w:i/>
          <w:color w:val="231F20"/>
          <w:spacing w:val="-18"/>
          <w:sz w:val="18"/>
        </w:rPr>
        <w:t> </w:t>
      </w:r>
      <w:r>
        <w:rPr>
          <w:i/>
          <w:color w:val="231F20"/>
          <w:sz w:val="18"/>
        </w:rPr>
        <w:t>Report.</w:t>
      </w:r>
      <w:r>
        <w:rPr>
          <w:i/>
          <w:color w:val="231F20"/>
          <w:spacing w:val="-18"/>
          <w:sz w:val="18"/>
        </w:rPr>
        <w:t> </w:t>
      </w:r>
      <w:r>
        <w:rPr>
          <w:i/>
          <w:color w:val="231F20"/>
          <w:sz w:val="18"/>
        </w:rPr>
        <w:t>Contribution</w:t>
      </w:r>
      <w:r>
        <w:rPr>
          <w:i/>
          <w:color w:val="231F20"/>
          <w:spacing w:val="-18"/>
          <w:sz w:val="18"/>
        </w:rPr>
        <w:t> </w:t>
      </w:r>
      <w:r>
        <w:rPr>
          <w:i/>
          <w:color w:val="231F20"/>
          <w:sz w:val="18"/>
        </w:rPr>
        <w:t>of</w:t>
      </w:r>
      <w:r>
        <w:rPr>
          <w:i/>
          <w:color w:val="231F20"/>
          <w:spacing w:val="-18"/>
          <w:sz w:val="18"/>
        </w:rPr>
        <w:t> </w:t>
      </w:r>
      <w:r>
        <w:rPr>
          <w:i/>
          <w:color w:val="231F20"/>
          <w:sz w:val="18"/>
        </w:rPr>
        <w:t>Working</w:t>
      </w:r>
      <w:r>
        <w:rPr>
          <w:i/>
          <w:color w:val="231F20"/>
          <w:spacing w:val="-18"/>
          <w:sz w:val="18"/>
        </w:rPr>
        <w:t> </w:t>
      </w:r>
      <w:r>
        <w:rPr>
          <w:i/>
          <w:color w:val="231F20"/>
          <w:sz w:val="18"/>
        </w:rPr>
        <w:t>Groups </w:t>
      </w:r>
      <w:r>
        <w:rPr>
          <w:i/>
          <w:color w:val="231F20"/>
          <w:sz w:val="18"/>
        </w:rPr>
        <w:t>I, II and III to the Third Assessment Report of the Intergovernmental Panel on Climate Change, </w:t>
      </w:r>
      <w:r>
        <w:rPr>
          <w:color w:val="231F20"/>
          <w:sz w:val="18"/>
        </w:rPr>
        <w:t>Geneva, omm, </w:t>
      </w:r>
      <w:r>
        <w:rPr>
          <w:color w:val="231F20"/>
          <w:spacing w:val="44"/>
          <w:sz w:val="18"/>
        </w:rPr>
        <w:t> </w:t>
      </w:r>
      <w:r>
        <w:rPr>
          <w:color w:val="231F20"/>
          <w:sz w:val="18"/>
        </w:rPr>
        <w:t>unep.</w:t>
      </w:r>
    </w:p>
    <w:p>
      <w:pPr>
        <w:spacing w:before="1"/>
        <w:ind w:left="100" w:right="25" w:firstLine="0"/>
        <w:jc w:val="left"/>
        <w:rPr>
          <w:sz w:val="18"/>
        </w:rPr>
      </w:pPr>
      <w:r>
        <w:rPr>
          <w:color w:val="231F20"/>
          <w:w w:val="110"/>
          <w:sz w:val="18"/>
        </w:rPr>
        <w:t>Marsh, Peter,  2008, “China to overtake U.S. as largest manufacturer”,    en</w:t>
      </w:r>
    </w:p>
    <w:p>
      <w:pPr>
        <w:spacing w:before="13"/>
        <w:ind w:left="340" w:right="25" w:firstLine="0"/>
        <w:jc w:val="left"/>
        <w:rPr>
          <w:sz w:val="18"/>
        </w:rPr>
      </w:pPr>
      <w:r>
        <w:rPr>
          <w:i/>
          <w:color w:val="231F20"/>
          <w:w w:val="105"/>
          <w:sz w:val="18"/>
        </w:rPr>
        <w:t>Financial Times</w:t>
      </w:r>
      <w:r>
        <w:rPr>
          <w:color w:val="231F20"/>
          <w:w w:val="105"/>
          <w:sz w:val="18"/>
        </w:rPr>
        <w:t>, Londres, 10 de agosto.</w:t>
      </w:r>
    </w:p>
    <w:p>
      <w:pPr>
        <w:spacing w:line="254" w:lineRule="auto" w:before="13"/>
        <w:ind w:left="340" w:right="113" w:hanging="240"/>
        <w:jc w:val="both"/>
        <w:rPr>
          <w:sz w:val="18"/>
        </w:rPr>
      </w:pPr>
      <w:r>
        <w:rPr>
          <w:i/>
          <w:color w:val="231F20"/>
          <w:w w:val="110"/>
          <w:sz w:val="18"/>
        </w:rPr>
        <w:t>Nature </w:t>
      </w:r>
      <w:r>
        <w:rPr>
          <w:color w:val="231F20"/>
          <w:w w:val="110"/>
          <w:sz w:val="18"/>
        </w:rPr>
        <w:t>(London), 2008, “America’s fresh start”, 25 de septiembre, doi: 10.1038/455431a, en línea, 24 de septiembre.</w:t>
      </w:r>
    </w:p>
    <w:p>
      <w:pPr>
        <w:spacing w:line="254" w:lineRule="auto" w:before="1"/>
        <w:ind w:left="73" w:right="117" w:firstLine="0"/>
        <w:jc w:val="right"/>
        <w:rPr>
          <w:i/>
          <w:sz w:val="18"/>
        </w:rPr>
      </w:pPr>
      <w:r>
        <w:rPr>
          <w:color w:val="231F20"/>
          <w:w w:val="105"/>
          <w:sz w:val="18"/>
        </w:rPr>
        <w:t>National Science Board (nsb), 2004, </w:t>
      </w:r>
      <w:r>
        <w:rPr>
          <w:i/>
          <w:color w:val="231F20"/>
          <w:w w:val="105"/>
          <w:sz w:val="18"/>
        </w:rPr>
        <w:t>Science and Engineering Indicators 2004</w:t>
      </w:r>
      <w:r>
        <w:rPr>
          <w:color w:val="231F20"/>
          <w:w w:val="105"/>
          <w:sz w:val="18"/>
        </w:rPr>
        <w:t>,</w:t>
      </w:r>
      <w:r>
        <w:rPr>
          <w:color w:val="231F20"/>
          <w:w w:val="104"/>
          <w:sz w:val="18"/>
        </w:rPr>
        <w:t> </w:t>
      </w:r>
      <w:r>
        <w:rPr>
          <w:color w:val="231F20"/>
          <w:w w:val="105"/>
          <w:sz w:val="18"/>
        </w:rPr>
        <w:t>2 vols., Washington, DC, U.S. Government Print Office, vol. 1, nsb 04-01</w:t>
      </w:r>
      <w:r>
        <w:rPr>
          <w:color w:val="231F20"/>
          <w:w w:val="99"/>
          <w:sz w:val="18"/>
        </w:rPr>
        <w:t> </w:t>
      </w:r>
      <w:r>
        <w:rPr>
          <w:color w:val="231F20"/>
          <w:w w:val="105"/>
          <w:sz w:val="18"/>
        </w:rPr>
        <w:t>National Science Board (nsb), 2006, </w:t>
      </w:r>
      <w:r>
        <w:rPr>
          <w:i/>
          <w:color w:val="231F20"/>
          <w:w w:val="105"/>
          <w:sz w:val="18"/>
        </w:rPr>
        <w:t>Science and Engineering Indicators 2006.</w:t>
      </w:r>
    </w:p>
    <w:p>
      <w:pPr>
        <w:spacing w:before="1"/>
        <w:ind w:left="340" w:right="25" w:firstLine="0"/>
        <w:jc w:val="left"/>
        <w:rPr>
          <w:sz w:val="18"/>
        </w:rPr>
      </w:pPr>
      <w:r>
        <w:rPr>
          <w:color w:val="231F20"/>
          <w:w w:val="105"/>
          <w:sz w:val="18"/>
        </w:rPr>
        <w:t>2 vols., Arlington, VA, National Science Foundation, vol. 1, nsb    06-01.</w:t>
      </w:r>
    </w:p>
    <w:p>
      <w:pPr>
        <w:spacing w:before="13"/>
        <w:ind w:left="100" w:right="25" w:firstLine="0"/>
        <w:jc w:val="left"/>
        <w:rPr>
          <w:i/>
          <w:sz w:val="18"/>
        </w:rPr>
      </w:pPr>
      <w:r>
        <w:rPr>
          <w:color w:val="231F20"/>
          <w:sz w:val="18"/>
        </w:rPr>
        <w:t>Obama, B., 2009, </w:t>
      </w:r>
      <w:r>
        <w:rPr>
          <w:i/>
          <w:color w:val="231F20"/>
          <w:sz w:val="18"/>
        </w:rPr>
        <w:t>Discurso íntegro de Obama en 5ta. Cumbre de las Américas,</w:t>
      </w:r>
    </w:p>
    <w:p>
      <w:pPr>
        <w:spacing w:before="13"/>
        <w:ind w:left="340" w:right="25" w:firstLine="0"/>
        <w:jc w:val="left"/>
        <w:rPr>
          <w:sz w:val="18"/>
        </w:rPr>
      </w:pPr>
      <w:r>
        <w:rPr>
          <w:color w:val="231F20"/>
          <w:w w:val="110"/>
          <w:sz w:val="18"/>
        </w:rPr>
        <w:t>Trinidad y Tobago, 18 de abril.</w:t>
      </w:r>
    </w:p>
    <w:p>
      <w:pPr>
        <w:spacing w:line="254" w:lineRule="auto" w:before="13"/>
        <w:ind w:left="340" w:right="116" w:hanging="240"/>
        <w:jc w:val="both"/>
        <w:rPr>
          <w:sz w:val="18"/>
        </w:rPr>
      </w:pPr>
      <w:r>
        <w:rPr>
          <w:color w:val="231F20"/>
          <w:w w:val="104"/>
          <w:sz w:val="18"/>
          <w:u w:val="single" w:color="221E1F"/>
        </w:rPr>
        <w:t> </w:t>
      </w:r>
      <w:r>
        <w:rPr>
          <w:color w:val="231F20"/>
          <w:sz w:val="18"/>
          <w:u w:val="single" w:color="221E1F"/>
        </w:rPr>
        <w:t>       </w:t>
      </w:r>
      <w:r>
        <w:rPr>
          <w:color w:val="231F20"/>
          <w:sz w:val="18"/>
        </w:rPr>
        <w:t>, 2011, </w:t>
      </w:r>
      <w:r>
        <w:rPr>
          <w:i/>
          <w:color w:val="231F20"/>
          <w:sz w:val="18"/>
        </w:rPr>
        <w:t>Transcript: Obama`s State Of The Union Adress: </w:t>
      </w:r>
      <w:r>
        <w:rPr>
          <w:i/>
          <w:color w:val="231F20"/>
          <w:w w:val="115"/>
          <w:sz w:val="13"/>
        </w:rPr>
        <w:t>npr</w:t>
      </w:r>
      <w:r>
        <w:rPr>
          <w:i/>
          <w:color w:val="231F20"/>
          <w:w w:val="115"/>
          <w:sz w:val="18"/>
        </w:rPr>
        <w:t>. </w:t>
      </w:r>
      <w:r>
        <w:rPr>
          <w:i/>
          <w:color w:val="231F20"/>
          <w:sz w:val="18"/>
        </w:rPr>
        <w:t>The text of </w:t>
      </w:r>
      <w:r>
        <w:rPr>
          <w:i/>
          <w:color w:val="231F20"/>
          <w:sz w:val="18"/>
        </w:rPr>
        <w:t>Presidents Obama`s State of the Union Adress as released by The White House</w:t>
      </w:r>
      <w:r>
        <w:rPr>
          <w:color w:val="231F20"/>
          <w:sz w:val="18"/>
        </w:rPr>
        <w:t>,</w:t>
      </w:r>
    </w:p>
    <w:p>
      <w:pPr>
        <w:spacing w:line="254" w:lineRule="auto" w:before="1"/>
        <w:ind w:left="340" w:right="73" w:firstLine="0"/>
        <w:jc w:val="left"/>
        <w:rPr>
          <w:sz w:val="18"/>
        </w:rPr>
      </w:pPr>
      <w:hyperlink r:id="rId180">
        <w:r>
          <w:rPr>
            <w:color w:val="231F20"/>
            <w:w w:val="110"/>
            <w:sz w:val="18"/>
          </w:rPr>
          <w:t>&lt;www.npr.org/2011/01/26/133224933/transcript-obamas-state-of-union-</w:t>
        </w:r>
      </w:hyperlink>
      <w:r>
        <w:rPr>
          <w:color w:val="231F20"/>
          <w:w w:val="110"/>
          <w:sz w:val="18"/>
        </w:rPr>
        <w:t> address&gt;</w:t>
      </w:r>
      <w:r>
        <w:rPr>
          <w:i/>
          <w:color w:val="231F20"/>
          <w:w w:val="110"/>
          <w:sz w:val="18"/>
        </w:rPr>
        <w:t>, </w:t>
      </w:r>
      <w:r>
        <w:rPr>
          <w:color w:val="231F20"/>
          <w:w w:val="110"/>
          <w:sz w:val="18"/>
        </w:rPr>
        <w:t>25 de enero de 2011.</w:t>
      </w:r>
    </w:p>
    <w:p>
      <w:pPr>
        <w:spacing w:line="254" w:lineRule="auto" w:before="1"/>
        <w:ind w:left="340" w:right="118" w:hanging="240"/>
        <w:jc w:val="both"/>
        <w:rPr>
          <w:sz w:val="18"/>
        </w:rPr>
      </w:pPr>
      <w:r>
        <w:rPr>
          <w:color w:val="231F20"/>
          <w:w w:val="105"/>
          <w:sz w:val="18"/>
        </w:rPr>
        <w:t>oecd,</w:t>
      </w:r>
      <w:r>
        <w:rPr>
          <w:color w:val="231F20"/>
          <w:spacing w:val="-5"/>
          <w:w w:val="105"/>
          <w:sz w:val="18"/>
        </w:rPr>
        <w:t> </w:t>
      </w:r>
      <w:r>
        <w:rPr>
          <w:color w:val="231F20"/>
          <w:w w:val="105"/>
          <w:sz w:val="18"/>
        </w:rPr>
        <w:t>2004,</w:t>
      </w:r>
      <w:r>
        <w:rPr>
          <w:color w:val="231F20"/>
          <w:spacing w:val="-5"/>
          <w:w w:val="105"/>
          <w:sz w:val="18"/>
        </w:rPr>
        <w:t> </w:t>
      </w:r>
      <w:r>
        <w:rPr>
          <w:color w:val="231F20"/>
          <w:w w:val="105"/>
          <w:sz w:val="18"/>
        </w:rPr>
        <w:t>“oecd</w:t>
      </w:r>
      <w:r>
        <w:rPr>
          <w:color w:val="231F20"/>
          <w:spacing w:val="-5"/>
          <w:w w:val="105"/>
          <w:sz w:val="18"/>
        </w:rPr>
        <w:t> </w:t>
      </w:r>
      <w:r>
        <w:rPr>
          <w:color w:val="231F20"/>
          <w:w w:val="105"/>
          <w:sz w:val="18"/>
        </w:rPr>
        <w:t>Statistics</w:t>
      </w:r>
      <w:r>
        <w:rPr>
          <w:color w:val="231F20"/>
          <w:spacing w:val="-5"/>
          <w:w w:val="105"/>
          <w:sz w:val="18"/>
        </w:rPr>
        <w:t> </w:t>
      </w:r>
      <w:r>
        <w:rPr>
          <w:color w:val="231F20"/>
          <w:w w:val="105"/>
          <w:sz w:val="18"/>
        </w:rPr>
        <w:t>Main”,</w:t>
      </w:r>
      <w:r>
        <w:rPr>
          <w:color w:val="231F20"/>
          <w:spacing w:val="-5"/>
          <w:w w:val="105"/>
          <w:sz w:val="18"/>
        </w:rPr>
        <w:t> </w:t>
      </w:r>
      <w:r>
        <w:rPr>
          <w:i/>
          <w:color w:val="231F20"/>
          <w:w w:val="105"/>
          <w:sz w:val="18"/>
        </w:rPr>
        <w:t>Science</w:t>
      </w:r>
      <w:r>
        <w:rPr>
          <w:i/>
          <w:color w:val="231F20"/>
          <w:spacing w:val="-5"/>
          <w:w w:val="105"/>
          <w:sz w:val="18"/>
        </w:rPr>
        <w:t> </w:t>
      </w:r>
      <w:r>
        <w:rPr>
          <w:i/>
          <w:color w:val="231F20"/>
          <w:w w:val="105"/>
          <w:sz w:val="18"/>
        </w:rPr>
        <w:t>and</w:t>
      </w:r>
      <w:r>
        <w:rPr>
          <w:i/>
          <w:color w:val="231F20"/>
          <w:spacing w:val="-5"/>
          <w:w w:val="105"/>
          <w:sz w:val="18"/>
        </w:rPr>
        <w:t> </w:t>
      </w:r>
      <w:r>
        <w:rPr>
          <w:i/>
          <w:color w:val="231F20"/>
          <w:w w:val="105"/>
          <w:sz w:val="18"/>
        </w:rPr>
        <w:t>Technology</w:t>
      </w:r>
      <w:r>
        <w:rPr>
          <w:i/>
          <w:color w:val="231F20"/>
          <w:spacing w:val="-5"/>
          <w:w w:val="105"/>
          <w:sz w:val="18"/>
        </w:rPr>
        <w:t> </w:t>
      </w:r>
      <w:r>
        <w:rPr>
          <w:i/>
          <w:color w:val="231F20"/>
          <w:w w:val="105"/>
          <w:sz w:val="18"/>
        </w:rPr>
        <w:t>Indicators</w:t>
      </w:r>
      <w:r>
        <w:rPr>
          <w:color w:val="231F20"/>
          <w:w w:val="105"/>
          <w:sz w:val="18"/>
        </w:rPr>
        <w:t>,</w:t>
      </w:r>
      <w:r>
        <w:rPr>
          <w:color w:val="231F20"/>
          <w:spacing w:val="-5"/>
          <w:w w:val="105"/>
          <w:sz w:val="18"/>
        </w:rPr>
        <w:t> </w:t>
      </w:r>
      <w:r>
        <w:rPr>
          <w:color w:val="231F20"/>
          <w:w w:val="105"/>
          <w:sz w:val="18"/>
        </w:rPr>
        <w:t>núm.</w:t>
      </w:r>
      <w:r>
        <w:rPr>
          <w:color w:val="231F20"/>
          <w:spacing w:val="-5"/>
          <w:w w:val="105"/>
          <w:sz w:val="18"/>
        </w:rPr>
        <w:t> </w:t>
      </w:r>
      <w:r>
        <w:rPr>
          <w:color w:val="231F20"/>
          <w:w w:val="105"/>
          <w:sz w:val="18"/>
        </w:rPr>
        <w:t>2, París.</w:t>
      </w:r>
    </w:p>
    <w:p>
      <w:pPr>
        <w:spacing w:line="254" w:lineRule="auto" w:before="1"/>
        <w:ind w:left="340" w:right="119" w:hanging="240"/>
        <w:jc w:val="both"/>
        <w:rPr>
          <w:sz w:val="18"/>
        </w:rPr>
      </w:pPr>
      <w:r>
        <w:rPr>
          <w:color w:val="231F20"/>
          <w:w w:val="105"/>
          <w:sz w:val="18"/>
        </w:rPr>
        <w:t>oecd, 2004a, “Meeting of the oecd Committee for Scientific and </w:t>
      </w:r>
      <w:r>
        <w:rPr>
          <w:color w:val="231F20"/>
          <w:spacing w:val="-3"/>
          <w:w w:val="105"/>
          <w:sz w:val="18"/>
        </w:rPr>
        <w:t>Techno- </w:t>
      </w:r>
      <w:r>
        <w:rPr>
          <w:color w:val="231F20"/>
          <w:w w:val="105"/>
          <w:sz w:val="18"/>
        </w:rPr>
        <w:t>logical</w:t>
      </w:r>
      <w:r>
        <w:rPr>
          <w:color w:val="231F20"/>
          <w:spacing w:val="-7"/>
          <w:w w:val="105"/>
          <w:sz w:val="18"/>
        </w:rPr>
        <w:t> </w:t>
      </w:r>
      <w:r>
        <w:rPr>
          <w:color w:val="231F20"/>
          <w:w w:val="105"/>
          <w:sz w:val="18"/>
        </w:rPr>
        <w:t>Policy</w:t>
      </w:r>
      <w:r>
        <w:rPr>
          <w:color w:val="231F20"/>
          <w:spacing w:val="-7"/>
          <w:w w:val="105"/>
          <w:sz w:val="18"/>
        </w:rPr>
        <w:t> </w:t>
      </w:r>
      <w:r>
        <w:rPr>
          <w:color w:val="231F20"/>
          <w:w w:val="105"/>
          <w:sz w:val="18"/>
        </w:rPr>
        <w:t>at</w:t>
      </w:r>
      <w:r>
        <w:rPr>
          <w:color w:val="231F20"/>
          <w:spacing w:val="-7"/>
          <w:w w:val="105"/>
          <w:sz w:val="18"/>
        </w:rPr>
        <w:t> </w:t>
      </w:r>
      <w:r>
        <w:rPr>
          <w:color w:val="231F20"/>
          <w:w w:val="105"/>
          <w:sz w:val="18"/>
        </w:rPr>
        <w:t>Ministerial</w:t>
      </w:r>
      <w:r>
        <w:rPr>
          <w:color w:val="231F20"/>
          <w:spacing w:val="-7"/>
          <w:w w:val="105"/>
          <w:sz w:val="18"/>
        </w:rPr>
        <w:t> </w:t>
      </w:r>
      <w:r>
        <w:rPr>
          <w:color w:val="231F20"/>
          <w:w w:val="105"/>
          <w:sz w:val="18"/>
        </w:rPr>
        <w:t>Level”,</w:t>
      </w:r>
      <w:r>
        <w:rPr>
          <w:color w:val="231F20"/>
          <w:spacing w:val="-7"/>
          <w:w w:val="105"/>
          <w:sz w:val="18"/>
        </w:rPr>
        <w:t> </w:t>
      </w:r>
      <w:r>
        <w:rPr>
          <w:color w:val="231F20"/>
          <w:w w:val="105"/>
          <w:sz w:val="18"/>
        </w:rPr>
        <w:t>29-30</w:t>
      </w:r>
      <w:r>
        <w:rPr>
          <w:color w:val="231F20"/>
          <w:spacing w:val="-7"/>
          <w:w w:val="105"/>
          <w:sz w:val="18"/>
        </w:rPr>
        <w:t> </w:t>
      </w:r>
      <w:r>
        <w:rPr>
          <w:color w:val="231F20"/>
          <w:w w:val="105"/>
          <w:sz w:val="18"/>
        </w:rPr>
        <w:t>de</w:t>
      </w:r>
      <w:r>
        <w:rPr>
          <w:color w:val="231F20"/>
          <w:spacing w:val="-7"/>
          <w:w w:val="105"/>
          <w:sz w:val="18"/>
        </w:rPr>
        <w:t> </w:t>
      </w:r>
      <w:r>
        <w:rPr>
          <w:color w:val="231F20"/>
          <w:w w:val="105"/>
          <w:sz w:val="18"/>
        </w:rPr>
        <w:t>enero,</w:t>
      </w:r>
      <w:r>
        <w:rPr>
          <w:color w:val="231F20"/>
          <w:spacing w:val="-7"/>
          <w:w w:val="105"/>
          <w:sz w:val="18"/>
        </w:rPr>
        <w:t> </w:t>
      </w:r>
      <w:r>
        <w:rPr>
          <w:i/>
          <w:color w:val="231F20"/>
          <w:w w:val="105"/>
          <w:sz w:val="18"/>
        </w:rPr>
        <w:t>Science</w:t>
      </w:r>
      <w:r>
        <w:rPr>
          <w:i/>
          <w:color w:val="231F20"/>
          <w:spacing w:val="-7"/>
          <w:w w:val="105"/>
          <w:sz w:val="18"/>
        </w:rPr>
        <w:t> </w:t>
      </w:r>
      <w:r>
        <w:rPr>
          <w:i/>
          <w:color w:val="231F20"/>
          <w:w w:val="105"/>
          <w:sz w:val="18"/>
        </w:rPr>
        <w:t>and</w:t>
      </w:r>
      <w:r>
        <w:rPr>
          <w:i/>
          <w:color w:val="231F20"/>
          <w:spacing w:val="-7"/>
          <w:w w:val="105"/>
          <w:sz w:val="18"/>
        </w:rPr>
        <w:t> </w:t>
      </w:r>
      <w:r>
        <w:rPr>
          <w:i/>
          <w:color w:val="231F20"/>
          <w:w w:val="105"/>
          <w:sz w:val="18"/>
        </w:rPr>
        <w:t>Technology </w:t>
      </w:r>
      <w:r>
        <w:rPr>
          <w:i/>
          <w:color w:val="231F20"/>
          <w:sz w:val="18"/>
        </w:rPr>
        <w:t>Statistical Compendium,</w:t>
      </w:r>
      <w:r>
        <w:rPr>
          <w:i/>
          <w:color w:val="231F20"/>
          <w:spacing w:val="2"/>
          <w:sz w:val="18"/>
        </w:rPr>
        <w:t> </w:t>
      </w:r>
      <w:r>
        <w:rPr>
          <w:color w:val="231F20"/>
          <w:sz w:val="18"/>
        </w:rPr>
        <w:t>París.</w:t>
      </w:r>
    </w:p>
    <w:p>
      <w:pPr>
        <w:spacing w:before="1"/>
        <w:ind w:left="100" w:right="25" w:firstLine="0"/>
        <w:jc w:val="left"/>
        <w:rPr>
          <w:i/>
          <w:sz w:val="18"/>
        </w:rPr>
      </w:pPr>
      <w:r>
        <w:rPr>
          <w:color w:val="231F20"/>
          <w:sz w:val="18"/>
        </w:rPr>
        <w:t>Solow, Robert, 1987, “We’d Better Watch out” en </w:t>
      </w:r>
      <w:r>
        <w:rPr>
          <w:i/>
          <w:color w:val="231F20"/>
          <w:sz w:val="18"/>
        </w:rPr>
        <w:t>New York Times Book Review,</w:t>
      </w:r>
    </w:p>
    <w:p>
      <w:pPr>
        <w:spacing w:before="13"/>
        <w:ind w:left="340" w:right="25" w:firstLine="0"/>
        <w:jc w:val="left"/>
        <w:rPr>
          <w:sz w:val="18"/>
        </w:rPr>
      </w:pPr>
      <w:r>
        <w:rPr>
          <w:color w:val="231F20"/>
          <w:w w:val="105"/>
          <w:sz w:val="18"/>
        </w:rPr>
        <w:t>Nueva York, núm. 36, 12 de  julio.</w:t>
      </w:r>
    </w:p>
    <w:p>
      <w:pPr>
        <w:spacing w:before="13"/>
        <w:ind w:left="100" w:right="25" w:firstLine="0"/>
        <w:jc w:val="left"/>
        <w:rPr>
          <w:sz w:val="18"/>
        </w:rPr>
      </w:pPr>
      <w:r>
        <w:rPr>
          <w:i/>
          <w:color w:val="231F20"/>
          <w:w w:val="105"/>
          <w:sz w:val="18"/>
        </w:rPr>
        <w:t>The Economist, </w:t>
      </w:r>
      <w:r>
        <w:rPr>
          <w:color w:val="231F20"/>
          <w:w w:val="105"/>
          <w:sz w:val="18"/>
        </w:rPr>
        <w:t>2001, Londres, 8 de  septiembre.</w:t>
      </w:r>
    </w:p>
    <w:p>
      <w:pPr>
        <w:spacing w:line="254" w:lineRule="auto" w:before="13"/>
        <w:ind w:left="340" w:right="117" w:hanging="240"/>
        <w:jc w:val="both"/>
        <w:rPr>
          <w:sz w:val="18"/>
        </w:rPr>
      </w:pPr>
      <w:r>
        <w:rPr>
          <w:color w:val="231F20"/>
          <w:spacing w:val="-3"/>
          <w:w w:val="105"/>
          <w:sz w:val="18"/>
        </w:rPr>
        <w:t>Tablada,  </w:t>
      </w:r>
      <w:r>
        <w:rPr>
          <w:color w:val="231F20"/>
          <w:w w:val="105"/>
          <w:sz w:val="18"/>
        </w:rPr>
        <w:t>Carlos y Wim Dierckxsens, 2002, “Baja productividad en la era de   la</w:t>
      </w:r>
      <w:r>
        <w:rPr>
          <w:color w:val="231F20"/>
          <w:spacing w:val="-24"/>
          <w:w w:val="105"/>
          <w:sz w:val="18"/>
        </w:rPr>
        <w:t> </w:t>
      </w:r>
      <w:r>
        <w:rPr>
          <w:color w:val="231F20"/>
          <w:w w:val="105"/>
          <w:sz w:val="18"/>
        </w:rPr>
        <w:t>nueva</w:t>
      </w:r>
      <w:r>
        <w:rPr>
          <w:color w:val="231F20"/>
          <w:spacing w:val="-24"/>
          <w:w w:val="105"/>
          <w:sz w:val="18"/>
        </w:rPr>
        <w:t> </w:t>
      </w:r>
      <w:r>
        <w:rPr>
          <w:color w:val="231F20"/>
          <w:w w:val="105"/>
          <w:sz w:val="18"/>
        </w:rPr>
        <w:t>tecnología”</w:t>
      </w:r>
      <w:r>
        <w:rPr>
          <w:color w:val="231F20"/>
          <w:spacing w:val="-24"/>
          <w:w w:val="105"/>
          <w:sz w:val="18"/>
        </w:rPr>
        <w:t> </w:t>
      </w:r>
      <w:r>
        <w:rPr>
          <w:color w:val="231F20"/>
          <w:w w:val="105"/>
          <w:sz w:val="18"/>
        </w:rPr>
        <w:t>en</w:t>
      </w:r>
      <w:r>
        <w:rPr>
          <w:color w:val="231F20"/>
          <w:spacing w:val="-24"/>
          <w:w w:val="105"/>
          <w:sz w:val="18"/>
        </w:rPr>
        <w:t> </w:t>
      </w:r>
      <w:r>
        <w:rPr>
          <w:i/>
          <w:color w:val="231F20"/>
          <w:w w:val="105"/>
          <w:sz w:val="18"/>
        </w:rPr>
        <w:t>Guerra</w:t>
      </w:r>
      <w:r>
        <w:rPr>
          <w:i/>
          <w:color w:val="231F20"/>
          <w:spacing w:val="-24"/>
          <w:w w:val="105"/>
          <w:sz w:val="18"/>
        </w:rPr>
        <w:t> </w:t>
      </w:r>
      <w:r>
        <w:rPr>
          <w:i/>
          <w:color w:val="231F20"/>
          <w:w w:val="105"/>
          <w:sz w:val="18"/>
        </w:rPr>
        <w:t>Global,</w:t>
      </w:r>
      <w:r>
        <w:rPr>
          <w:i/>
          <w:color w:val="231F20"/>
          <w:spacing w:val="-24"/>
          <w:w w:val="105"/>
          <w:sz w:val="18"/>
        </w:rPr>
        <w:t> </w:t>
      </w:r>
      <w:r>
        <w:rPr>
          <w:i/>
          <w:color w:val="231F20"/>
          <w:w w:val="105"/>
          <w:sz w:val="18"/>
        </w:rPr>
        <w:t>Resistencia</w:t>
      </w:r>
      <w:r>
        <w:rPr>
          <w:i/>
          <w:color w:val="231F20"/>
          <w:spacing w:val="-24"/>
          <w:w w:val="105"/>
          <w:sz w:val="18"/>
        </w:rPr>
        <w:t> </w:t>
      </w:r>
      <w:r>
        <w:rPr>
          <w:i/>
          <w:color w:val="231F20"/>
          <w:w w:val="105"/>
          <w:sz w:val="18"/>
        </w:rPr>
        <w:t>Mundial</w:t>
      </w:r>
      <w:r>
        <w:rPr>
          <w:i/>
          <w:color w:val="231F20"/>
          <w:spacing w:val="-24"/>
          <w:w w:val="105"/>
          <w:sz w:val="18"/>
        </w:rPr>
        <w:t> </w:t>
      </w:r>
      <w:r>
        <w:rPr>
          <w:i/>
          <w:color w:val="231F20"/>
          <w:w w:val="105"/>
          <w:sz w:val="18"/>
        </w:rPr>
        <w:t>y</w:t>
      </w:r>
      <w:r>
        <w:rPr>
          <w:i/>
          <w:color w:val="231F20"/>
          <w:spacing w:val="-24"/>
          <w:w w:val="105"/>
          <w:sz w:val="18"/>
        </w:rPr>
        <w:t> </w:t>
      </w:r>
      <w:r>
        <w:rPr>
          <w:i/>
          <w:color w:val="231F20"/>
          <w:w w:val="105"/>
          <w:sz w:val="18"/>
        </w:rPr>
        <w:t>Alternativas</w:t>
      </w:r>
      <w:r>
        <w:rPr>
          <w:color w:val="231F20"/>
          <w:w w:val="105"/>
          <w:sz w:val="18"/>
        </w:rPr>
        <w:t>,</w:t>
      </w:r>
      <w:r>
        <w:rPr>
          <w:color w:val="231F20"/>
          <w:spacing w:val="-24"/>
          <w:w w:val="105"/>
          <w:sz w:val="18"/>
        </w:rPr>
        <w:t> </w:t>
      </w:r>
      <w:r>
        <w:rPr>
          <w:color w:val="231F20"/>
          <w:w w:val="105"/>
          <w:sz w:val="18"/>
        </w:rPr>
        <w:t>La Habana,  Ciencias</w:t>
      </w:r>
      <w:r>
        <w:rPr>
          <w:color w:val="231F20"/>
          <w:spacing w:val="5"/>
          <w:w w:val="105"/>
          <w:sz w:val="18"/>
        </w:rPr>
        <w:t> </w:t>
      </w:r>
      <w:r>
        <w:rPr>
          <w:color w:val="231F20"/>
          <w:w w:val="105"/>
          <w:sz w:val="18"/>
        </w:rPr>
        <w:t>Sociales.</w:t>
      </w:r>
    </w:p>
    <w:p>
      <w:pPr>
        <w:spacing w:before="1"/>
        <w:ind w:left="100" w:right="25" w:firstLine="0"/>
        <w:jc w:val="left"/>
        <w:rPr>
          <w:sz w:val="18"/>
        </w:rPr>
      </w:pPr>
      <w:r>
        <w:rPr>
          <w:color w:val="231F20"/>
          <w:sz w:val="18"/>
        </w:rPr>
        <w:t>Passet, R., 2000, </w:t>
      </w:r>
      <w:r>
        <w:rPr>
          <w:i/>
          <w:color w:val="231F20"/>
          <w:sz w:val="18"/>
        </w:rPr>
        <w:t>L´illusion néo-liberal</w:t>
      </w:r>
      <w:r>
        <w:rPr>
          <w:color w:val="231F20"/>
          <w:sz w:val="18"/>
        </w:rPr>
        <w:t>, París,  Fayard.</w:t>
      </w:r>
    </w:p>
    <w:p>
      <w:pPr>
        <w:spacing w:before="13"/>
        <w:ind w:left="100" w:right="25" w:firstLine="0"/>
        <w:jc w:val="left"/>
        <w:rPr>
          <w:i/>
          <w:sz w:val="18"/>
        </w:rPr>
      </w:pPr>
      <w:r>
        <w:rPr>
          <w:color w:val="231F20"/>
          <w:sz w:val="18"/>
        </w:rPr>
        <w:t>World Bank (wb), 1998, </w:t>
      </w:r>
      <w:r>
        <w:rPr>
          <w:i/>
          <w:color w:val="231F20"/>
          <w:sz w:val="18"/>
        </w:rPr>
        <w:t>Word Development Report: Knowledge for  Development,</w:t>
      </w:r>
    </w:p>
    <w:p>
      <w:pPr>
        <w:spacing w:before="13"/>
        <w:ind w:left="340" w:right="25" w:firstLine="0"/>
        <w:jc w:val="left"/>
        <w:rPr>
          <w:sz w:val="18"/>
        </w:rPr>
      </w:pPr>
      <w:r>
        <w:rPr>
          <w:color w:val="231F20"/>
          <w:w w:val="105"/>
          <w:sz w:val="18"/>
        </w:rPr>
        <w:t>Nueva York, Oxford University Press.</w:t>
      </w:r>
    </w:p>
    <w:p>
      <w:pPr>
        <w:spacing w:before="13"/>
        <w:ind w:left="100" w:right="25" w:firstLine="0"/>
        <w:jc w:val="left"/>
        <w:rPr>
          <w:i/>
          <w:sz w:val="18"/>
        </w:rPr>
      </w:pPr>
      <w:r>
        <w:rPr>
          <w:color w:val="231F20"/>
          <w:w w:val="105"/>
          <w:sz w:val="18"/>
        </w:rPr>
        <w:t>World  Labour  Organization  (wlo),  1996,  </w:t>
      </w:r>
      <w:r>
        <w:rPr>
          <w:i/>
          <w:color w:val="231F20"/>
          <w:w w:val="105"/>
          <w:sz w:val="18"/>
        </w:rPr>
        <w:t>World  Employment  Report 1996,</w:t>
      </w:r>
    </w:p>
    <w:p>
      <w:pPr>
        <w:spacing w:before="13"/>
        <w:ind w:left="340" w:right="25" w:firstLine="0"/>
        <w:jc w:val="left"/>
        <w:rPr>
          <w:sz w:val="18"/>
        </w:rPr>
      </w:pPr>
      <w:r>
        <w:rPr>
          <w:color w:val="231F20"/>
          <w:w w:val="105"/>
          <w:sz w:val="18"/>
        </w:rPr>
        <w:t>Génova.</w:t>
      </w:r>
    </w:p>
    <w:p>
      <w:pPr>
        <w:spacing w:line="254" w:lineRule="auto" w:before="13"/>
        <w:ind w:left="340" w:right="117" w:hanging="240"/>
        <w:jc w:val="both"/>
        <w:rPr>
          <w:sz w:val="18"/>
        </w:rPr>
      </w:pPr>
      <w:r>
        <w:rPr>
          <w:color w:val="231F20"/>
          <w:sz w:val="18"/>
        </w:rPr>
        <w:t>Wolman, W. y A. Colamosca, 1997, </w:t>
      </w:r>
      <w:r>
        <w:rPr>
          <w:i/>
          <w:color w:val="231F20"/>
          <w:sz w:val="18"/>
        </w:rPr>
        <w:t>The Judas Economy</w:t>
      </w:r>
      <w:r>
        <w:rPr>
          <w:color w:val="231F20"/>
          <w:sz w:val="18"/>
        </w:rPr>
        <w:t>, Nueva York, Addison- Wesley.</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1339"/>
      </w:pPr>
      <w:r>
        <w:rPr>
          <w:color w:val="231F20"/>
        </w:rPr>
        <w:t>ESTADOS UNIDOS: CRISIS ECONÓMICA, REESTRUCTURACIÓN  PRODUCTIVA</w:t>
      </w:r>
    </w:p>
    <w:p>
      <w:pPr>
        <w:pStyle w:val="BodyText"/>
        <w:ind w:left="100"/>
        <w:jc w:val="both"/>
      </w:pPr>
      <w:r>
        <w:rPr>
          <w:color w:val="231F20"/>
        </w:rPr>
        <w:t>Y NUEVA PRECARIEDAD LABORAL</w:t>
      </w:r>
    </w:p>
    <w:p>
      <w:pPr>
        <w:pStyle w:val="BodyText"/>
        <w:spacing w:before="5"/>
        <w:rPr>
          <w:sz w:val="23"/>
        </w:rPr>
      </w:pPr>
    </w:p>
    <w:p>
      <w:pPr>
        <w:pStyle w:val="BodyText"/>
        <w:ind w:left="3534" w:right="25"/>
      </w:pPr>
      <w:r>
        <w:rPr>
          <w:color w:val="231F20"/>
          <w:w w:val="125"/>
        </w:rPr>
        <w:t>dídimo castillo fernández</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6"/>
        <w:jc w:val="both"/>
      </w:pP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atraviesa</w:t>
      </w:r>
      <w:r>
        <w:rPr>
          <w:color w:val="231F20"/>
          <w:spacing w:val="-12"/>
          <w:w w:val="110"/>
        </w:rPr>
        <w:t> </w:t>
      </w:r>
      <w:r>
        <w:rPr>
          <w:color w:val="231F20"/>
          <w:w w:val="110"/>
        </w:rPr>
        <w:t>actualmente</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más</w:t>
      </w:r>
      <w:r>
        <w:rPr>
          <w:color w:val="231F20"/>
          <w:spacing w:val="-12"/>
          <w:w w:val="110"/>
        </w:rPr>
        <w:t> </w:t>
      </w:r>
      <w:r>
        <w:rPr>
          <w:color w:val="231F20"/>
          <w:w w:val="110"/>
        </w:rPr>
        <w:t>profunda</w:t>
      </w:r>
      <w:r>
        <w:rPr>
          <w:color w:val="231F20"/>
          <w:spacing w:val="-12"/>
          <w:w w:val="110"/>
        </w:rPr>
        <w:t> </w:t>
      </w:r>
      <w:r>
        <w:rPr>
          <w:color w:val="231F20"/>
          <w:w w:val="110"/>
        </w:rPr>
        <w:t>crisis</w:t>
      </w:r>
      <w:r>
        <w:rPr>
          <w:color w:val="231F20"/>
          <w:spacing w:val="-12"/>
          <w:w w:val="110"/>
        </w:rPr>
        <w:t> </w:t>
      </w:r>
      <w:r>
        <w:rPr>
          <w:color w:val="231F20"/>
          <w:w w:val="110"/>
        </w:rPr>
        <w:t>eco- nómica, desde la gran depresión, a comienzos de los años treinta.   El</w:t>
      </w:r>
      <w:r>
        <w:rPr>
          <w:color w:val="231F20"/>
          <w:spacing w:val="-7"/>
          <w:w w:val="110"/>
        </w:rPr>
        <w:t> </w:t>
      </w:r>
      <w:r>
        <w:rPr>
          <w:color w:val="231F20"/>
          <w:w w:val="110"/>
        </w:rPr>
        <w:t>capitalismo</w:t>
      </w:r>
      <w:r>
        <w:rPr>
          <w:color w:val="231F20"/>
          <w:spacing w:val="-7"/>
          <w:w w:val="110"/>
        </w:rPr>
        <w:t> </w:t>
      </w:r>
      <w:r>
        <w:rPr>
          <w:color w:val="231F20"/>
          <w:w w:val="110"/>
        </w:rPr>
        <w:t>y</w:t>
      </w:r>
      <w:r>
        <w:rPr>
          <w:color w:val="231F20"/>
          <w:spacing w:val="-7"/>
          <w:w w:val="110"/>
        </w:rPr>
        <w:t> </w:t>
      </w:r>
      <w:r>
        <w:rPr>
          <w:color w:val="231F20"/>
          <w:w w:val="110"/>
        </w:rPr>
        <w:t>las</w:t>
      </w:r>
      <w:r>
        <w:rPr>
          <w:color w:val="231F20"/>
          <w:spacing w:val="-7"/>
          <w:w w:val="110"/>
        </w:rPr>
        <w:t> </w:t>
      </w:r>
      <w:r>
        <w:rPr>
          <w:color w:val="231F20"/>
          <w:w w:val="110"/>
        </w:rPr>
        <w:t>crisis</w:t>
      </w:r>
      <w:r>
        <w:rPr>
          <w:color w:val="231F20"/>
          <w:spacing w:val="-7"/>
          <w:w w:val="110"/>
        </w:rPr>
        <w:t> </w:t>
      </w:r>
      <w:r>
        <w:rPr>
          <w:color w:val="231F20"/>
          <w:w w:val="110"/>
        </w:rPr>
        <w:t>no</w:t>
      </w:r>
      <w:r>
        <w:rPr>
          <w:color w:val="231F20"/>
          <w:spacing w:val="-7"/>
          <w:w w:val="110"/>
        </w:rPr>
        <w:t> </w:t>
      </w:r>
      <w:r>
        <w:rPr>
          <w:color w:val="231F20"/>
          <w:w w:val="110"/>
        </w:rPr>
        <w:t>son</w:t>
      </w:r>
      <w:r>
        <w:rPr>
          <w:color w:val="231F20"/>
          <w:spacing w:val="-7"/>
          <w:w w:val="110"/>
        </w:rPr>
        <w:t> </w:t>
      </w:r>
      <w:r>
        <w:rPr>
          <w:color w:val="231F20"/>
          <w:w w:val="110"/>
        </w:rPr>
        <w:t>incompatibles.</w:t>
      </w:r>
      <w:r>
        <w:rPr>
          <w:color w:val="231F20"/>
          <w:spacing w:val="-7"/>
          <w:w w:val="110"/>
        </w:rPr>
        <w:t> </w:t>
      </w:r>
      <w:r>
        <w:rPr>
          <w:color w:val="231F20"/>
          <w:w w:val="110"/>
        </w:rPr>
        <w:t>La</w:t>
      </w:r>
      <w:r>
        <w:rPr>
          <w:color w:val="231F20"/>
          <w:spacing w:val="-7"/>
          <w:w w:val="110"/>
        </w:rPr>
        <w:t> </w:t>
      </w:r>
      <w:r>
        <w:rPr>
          <w:color w:val="231F20"/>
          <w:w w:val="110"/>
        </w:rPr>
        <w:t>lógica</w:t>
      </w:r>
      <w:r>
        <w:rPr>
          <w:color w:val="231F20"/>
          <w:spacing w:val="-7"/>
          <w:w w:val="110"/>
        </w:rPr>
        <w:t> </w:t>
      </w:r>
      <w:r>
        <w:rPr>
          <w:color w:val="231F20"/>
          <w:w w:val="110"/>
        </w:rPr>
        <w:t>del</w:t>
      </w:r>
      <w:r>
        <w:rPr>
          <w:color w:val="231F20"/>
          <w:spacing w:val="-7"/>
          <w:w w:val="110"/>
        </w:rPr>
        <w:t> </w:t>
      </w:r>
      <w:r>
        <w:rPr>
          <w:color w:val="231F20"/>
          <w:w w:val="110"/>
        </w:rPr>
        <w:t>capital genera</w:t>
      </w:r>
      <w:r>
        <w:rPr>
          <w:color w:val="231F20"/>
          <w:spacing w:val="-35"/>
          <w:w w:val="110"/>
        </w:rPr>
        <w:t> </w:t>
      </w:r>
      <w:r>
        <w:rPr>
          <w:color w:val="231F20"/>
          <w:w w:val="110"/>
        </w:rPr>
        <w:t>inexorablemente</w:t>
      </w:r>
      <w:r>
        <w:rPr>
          <w:color w:val="231F20"/>
          <w:spacing w:val="-35"/>
          <w:w w:val="110"/>
        </w:rPr>
        <w:t> </w:t>
      </w:r>
      <w:r>
        <w:rPr>
          <w:color w:val="231F20"/>
          <w:w w:val="110"/>
        </w:rPr>
        <w:t>inestabilidades</w:t>
      </w:r>
      <w:r>
        <w:rPr>
          <w:color w:val="231F20"/>
          <w:spacing w:val="-35"/>
          <w:w w:val="110"/>
        </w:rPr>
        <w:t> </w:t>
      </w:r>
      <w:r>
        <w:rPr>
          <w:color w:val="231F20"/>
          <w:w w:val="110"/>
        </w:rPr>
        <w:t>y</w:t>
      </w:r>
      <w:r>
        <w:rPr>
          <w:color w:val="231F20"/>
          <w:spacing w:val="-35"/>
          <w:w w:val="110"/>
        </w:rPr>
        <w:t> </w:t>
      </w:r>
      <w:r>
        <w:rPr>
          <w:color w:val="231F20"/>
          <w:w w:val="110"/>
        </w:rPr>
        <w:t>crisis</w:t>
      </w:r>
      <w:r>
        <w:rPr>
          <w:color w:val="231F20"/>
          <w:spacing w:val="-35"/>
          <w:w w:val="110"/>
        </w:rPr>
        <w:t> </w:t>
      </w:r>
      <w:r>
        <w:rPr>
          <w:color w:val="231F20"/>
          <w:w w:val="110"/>
        </w:rPr>
        <w:t>económicas</w:t>
      </w:r>
      <w:r>
        <w:rPr>
          <w:color w:val="231F20"/>
          <w:spacing w:val="-35"/>
          <w:w w:val="110"/>
        </w:rPr>
        <w:t> </w:t>
      </w:r>
      <w:r>
        <w:rPr>
          <w:color w:val="231F20"/>
          <w:w w:val="110"/>
        </w:rPr>
        <w:t>periódicas (Castillo,</w:t>
      </w:r>
      <w:r>
        <w:rPr>
          <w:color w:val="231F20"/>
          <w:spacing w:val="-23"/>
          <w:w w:val="110"/>
        </w:rPr>
        <w:t> </w:t>
      </w:r>
      <w:r>
        <w:rPr>
          <w:color w:val="231F20"/>
          <w:w w:val="110"/>
        </w:rPr>
        <w:t>2007).</w:t>
      </w:r>
      <w:r>
        <w:rPr>
          <w:color w:val="231F20"/>
          <w:spacing w:val="-23"/>
          <w:w w:val="110"/>
        </w:rPr>
        <w:t> </w:t>
      </w:r>
      <w:r>
        <w:rPr>
          <w:color w:val="231F20"/>
          <w:w w:val="110"/>
        </w:rPr>
        <w:t>La</w:t>
      </w:r>
      <w:r>
        <w:rPr>
          <w:color w:val="231F20"/>
          <w:spacing w:val="-23"/>
          <w:w w:val="110"/>
        </w:rPr>
        <w:t> </w:t>
      </w:r>
      <w:r>
        <w:rPr>
          <w:color w:val="231F20"/>
          <w:w w:val="110"/>
        </w:rPr>
        <w:t>crisis</w:t>
      </w:r>
      <w:r>
        <w:rPr>
          <w:color w:val="231F20"/>
          <w:spacing w:val="-23"/>
          <w:w w:val="110"/>
        </w:rPr>
        <w:t> </w:t>
      </w:r>
      <w:r>
        <w:rPr>
          <w:color w:val="231F20"/>
          <w:w w:val="110"/>
        </w:rPr>
        <w:t>actual</w:t>
      </w:r>
      <w:r>
        <w:rPr>
          <w:color w:val="231F20"/>
          <w:spacing w:val="-23"/>
          <w:w w:val="110"/>
        </w:rPr>
        <w:t> </w:t>
      </w:r>
      <w:r>
        <w:rPr>
          <w:color w:val="231F20"/>
          <w:w w:val="110"/>
        </w:rPr>
        <w:t>tiene</w:t>
      </w:r>
      <w:r>
        <w:rPr>
          <w:color w:val="231F20"/>
          <w:spacing w:val="-23"/>
          <w:w w:val="110"/>
        </w:rPr>
        <w:t> </w:t>
      </w:r>
      <w:r>
        <w:rPr>
          <w:color w:val="231F20"/>
          <w:w w:val="110"/>
        </w:rPr>
        <w:t>características</w:t>
      </w:r>
      <w:r>
        <w:rPr>
          <w:color w:val="231F20"/>
          <w:spacing w:val="-23"/>
          <w:w w:val="110"/>
        </w:rPr>
        <w:t> </w:t>
      </w:r>
      <w:r>
        <w:rPr>
          <w:color w:val="231F20"/>
          <w:w w:val="110"/>
        </w:rPr>
        <w:t>propias</w:t>
      </w:r>
      <w:r>
        <w:rPr>
          <w:color w:val="231F20"/>
          <w:spacing w:val="-23"/>
          <w:w w:val="110"/>
        </w:rPr>
        <w:t> </w:t>
      </w:r>
      <w:r>
        <w:rPr>
          <w:color w:val="231F20"/>
          <w:w w:val="110"/>
        </w:rPr>
        <w:t>en</w:t>
      </w:r>
      <w:r>
        <w:rPr>
          <w:color w:val="231F20"/>
          <w:spacing w:val="-23"/>
          <w:w w:val="110"/>
        </w:rPr>
        <w:t> </w:t>
      </w:r>
      <w:r>
        <w:rPr>
          <w:color w:val="231F20"/>
          <w:spacing w:val="-2"/>
          <w:w w:val="110"/>
        </w:rPr>
        <w:t>cuanto </w:t>
      </w:r>
      <w:r>
        <w:rPr>
          <w:color w:val="231F20"/>
          <w:w w:val="110"/>
        </w:rPr>
        <w:t>a</w:t>
      </w:r>
      <w:r>
        <w:rPr>
          <w:color w:val="231F20"/>
          <w:spacing w:val="-25"/>
          <w:w w:val="110"/>
        </w:rPr>
        <w:t> </w:t>
      </w:r>
      <w:r>
        <w:rPr>
          <w:color w:val="231F20"/>
          <w:w w:val="110"/>
        </w:rPr>
        <w:t>su</w:t>
      </w:r>
      <w:r>
        <w:rPr>
          <w:color w:val="231F20"/>
          <w:spacing w:val="-25"/>
          <w:w w:val="110"/>
        </w:rPr>
        <w:t> </w:t>
      </w:r>
      <w:r>
        <w:rPr>
          <w:color w:val="231F20"/>
          <w:w w:val="110"/>
        </w:rPr>
        <w:t>origen</w:t>
      </w:r>
      <w:r>
        <w:rPr>
          <w:color w:val="231F20"/>
          <w:spacing w:val="-25"/>
          <w:w w:val="110"/>
        </w:rPr>
        <w:t> </w:t>
      </w:r>
      <w:r>
        <w:rPr>
          <w:color w:val="231F20"/>
          <w:w w:val="110"/>
        </w:rPr>
        <w:t>y</w:t>
      </w:r>
      <w:r>
        <w:rPr>
          <w:color w:val="231F20"/>
          <w:spacing w:val="-25"/>
          <w:w w:val="110"/>
        </w:rPr>
        <w:t> </w:t>
      </w:r>
      <w:r>
        <w:rPr>
          <w:color w:val="231F20"/>
          <w:w w:val="110"/>
        </w:rPr>
        <w:t>consecuencias</w:t>
      </w:r>
      <w:r>
        <w:rPr>
          <w:color w:val="231F20"/>
          <w:spacing w:val="-25"/>
          <w:w w:val="110"/>
        </w:rPr>
        <w:t> </w:t>
      </w:r>
      <w:r>
        <w:rPr>
          <w:color w:val="231F20"/>
          <w:w w:val="110"/>
        </w:rPr>
        <w:t>nacionales</w:t>
      </w:r>
      <w:r>
        <w:rPr>
          <w:color w:val="231F20"/>
          <w:spacing w:val="-25"/>
          <w:w w:val="110"/>
        </w:rPr>
        <w:t> </w:t>
      </w:r>
      <w:r>
        <w:rPr>
          <w:color w:val="231F20"/>
          <w:w w:val="110"/>
        </w:rPr>
        <w:t>y</w:t>
      </w:r>
      <w:r>
        <w:rPr>
          <w:color w:val="231F20"/>
          <w:spacing w:val="-25"/>
          <w:w w:val="110"/>
        </w:rPr>
        <w:t> </w:t>
      </w:r>
      <w:r>
        <w:rPr>
          <w:color w:val="231F20"/>
          <w:w w:val="110"/>
        </w:rPr>
        <w:t>mundiales</w:t>
      </w:r>
      <w:r>
        <w:rPr>
          <w:color w:val="231F20"/>
          <w:spacing w:val="-25"/>
          <w:w w:val="110"/>
        </w:rPr>
        <w:t> </w:t>
      </w:r>
      <w:r>
        <w:rPr>
          <w:color w:val="231F20"/>
          <w:w w:val="110"/>
        </w:rPr>
        <w:t>aún</w:t>
      </w:r>
      <w:r>
        <w:rPr>
          <w:color w:val="231F20"/>
          <w:spacing w:val="-25"/>
          <w:w w:val="110"/>
        </w:rPr>
        <w:t> </w:t>
      </w:r>
      <w:r>
        <w:rPr>
          <w:color w:val="231F20"/>
          <w:w w:val="110"/>
        </w:rPr>
        <w:t>imprevisibles. El contexto del modelo neoliberal en el que se produce, marcado  por</w:t>
      </w:r>
      <w:r>
        <w:rPr>
          <w:color w:val="231F20"/>
          <w:spacing w:val="-11"/>
          <w:w w:val="110"/>
        </w:rPr>
        <w:t> </w:t>
      </w:r>
      <w:r>
        <w:rPr>
          <w:color w:val="231F20"/>
          <w:w w:val="110"/>
        </w:rPr>
        <w:t>inestabilidades</w:t>
      </w:r>
      <w:r>
        <w:rPr>
          <w:color w:val="231F20"/>
          <w:spacing w:val="-11"/>
          <w:w w:val="110"/>
        </w:rPr>
        <w:t> </w:t>
      </w:r>
      <w:r>
        <w:rPr>
          <w:color w:val="231F20"/>
          <w:w w:val="110"/>
        </w:rPr>
        <w:t>recurrentes,</w:t>
      </w:r>
      <w:r>
        <w:rPr>
          <w:color w:val="231F20"/>
          <w:spacing w:val="-11"/>
          <w:w w:val="110"/>
        </w:rPr>
        <w:t> </w:t>
      </w:r>
      <w:r>
        <w:rPr>
          <w:color w:val="231F20"/>
          <w:w w:val="110"/>
        </w:rPr>
        <w:t>podría</w:t>
      </w:r>
      <w:r>
        <w:rPr>
          <w:color w:val="231F20"/>
          <w:spacing w:val="-11"/>
          <w:w w:val="110"/>
        </w:rPr>
        <w:t> </w:t>
      </w:r>
      <w:r>
        <w:rPr>
          <w:color w:val="231F20"/>
          <w:w w:val="110"/>
        </w:rPr>
        <w:t>conllevar</w:t>
      </w:r>
      <w:r>
        <w:rPr>
          <w:color w:val="231F20"/>
          <w:spacing w:val="-11"/>
          <w:w w:val="110"/>
        </w:rPr>
        <w:t> </w:t>
      </w:r>
      <w:r>
        <w:rPr>
          <w:color w:val="231F20"/>
          <w:w w:val="110"/>
        </w:rPr>
        <w:t>a</w:t>
      </w:r>
      <w:r>
        <w:rPr>
          <w:color w:val="231F20"/>
          <w:spacing w:val="-11"/>
          <w:w w:val="110"/>
        </w:rPr>
        <w:t> </w:t>
      </w:r>
      <w:r>
        <w:rPr>
          <w:color w:val="231F20"/>
          <w:w w:val="110"/>
        </w:rPr>
        <w:t>pensarla</w:t>
      </w:r>
      <w:r>
        <w:rPr>
          <w:color w:val="231F20"/>
          <w:spacing w:val="-11"/>
          <w:w w:val="110"/>
        </w:rPr>
        <w:t> </w:t>
      </w:r>
      <w:r>
        <w:rPr>
          <w:color w:val="231F20"/>
          <w:w w:val="110"/>
        </w:rPr>
        <w:t>como</w:t>
      </w:r>
      <w:r>
        <w:rPr>
          <w:color w:val="231F20"/>
          <w:spacing w:val="-11"/>
          <w:w w:val="110"/>
        </w:rPr>
        <w:t> </w:t>
      </w:r>
      <w:r>
        <w:rPr>
          <w:color w:val="231F20"/>
          <w:spacing w:val="-2"/>
          <w:w w:val="110"/>
        </w:rPr>
        <w:t>una </w:t>
      </w:r>
      <w:r>
        <w:rPr>
          <w:color w:val="231F20"/>
          <w:w w:val="110"/>
        </w:rPr>
        <w:t>crisis</w:t>
      </w:r>
      <w:r>
        <w:rPr>
          <w:color w:val="231F20"/>
          <w:spacing w:val="-23"/>
          <w:w w:val="110"/>
        </w:rPr>
        <w:t> </w:t>
      </w:r>
      <w:r>
        <w:rPr>
          <w:color w:val="231F20"/>
          <w:w w:val="110"/>
        </w:rPr>
        <w:t>estructural</w:t>
      </w:r>
      <w:r>
        <w:rPr>
          <w:color w:val="231F20"/>
          <w:spacing w:val="-23"/>
          <w:w w:val="110"/>
        </w:rPr>
        <w:t> </w:t>
      </w:r>
      <w:r>
        <w:rPr>
          <w:color w:val="231F20"/>
          <w:w w:val="110"/>
        </w:rPr>
        <w:t>sistémica</w:t>
      </w:r>
      <w:r>
        <w:rPr>
          <w:color w:val="231F20"/>
          <w:spacing w:val="-23"/>
          <w:w w:val="110"/>
        </w:rPr>
        <w:t> </w:t>
      </w:r>
      <w:r>
        <w:rPr>
          <w:color w:val="231F20"/>
          <w:w w:val="110"/>
        </w:rPr>
        <w:t>del</w:t>
      </w:r>
      <w:r>
        <w:rPr>
          <w:color w:val="231F20"/>
          <w:spacing w:val="-23"/>
          <w:w w:val="110"/>
        </w:rPr>
        <w:t> </w:t>
      </w:r>
      <w:r>
        <w:rPr>
          <w:color w:val="231F20"/>
          <w:w w:val="110"/>
        </w:rPr>
        <w:t>capitalismo</w:t>
      </w:r>
      <w:r>
        <w:rPr>
          <w:color w:val="231F20"/>
          <w:spacing w:val="-23"/>
          <w:w w:val="110"/>
        </w:rPr>
        <w:t> </w:t>
      </w:r>
      <w:r>
        <w:rPr>
          <w:color w:val="231F20"/>
          <w:w w:val="110"/>
        </w:rPr>
        <w:t>globalizado.</w:t>
      </w:r>
      <w:r>
        <w:rPr>
          <w:color w:val="231F20"/>
          <w:spacing w:val="-23"/>
          <w:w w:val="110"/>
        </w:rPr>
        <w:t> </w:t>
      </w:r>
      <w:r>
        <w:rPr>
          <w:color w:val="231F20"/>
          <w:w w:val="110"/>
        </w:rPr>
        <w:t>Cabría</w:t>
      </w:r>
      <w:r>
        <w:rPr>
          <w:color w:val="231F20"/>
          <w:spacing w:val="-23"/>
          <w:w w:val="110"/>
        </w:rPr>
        <w:t> </w:t>
      </w:r>
      <w:r>
        <w:rPr>
          <w:color w:val="231F20"/>
          <w:w w:val="110"/>
        </w:rPr>
        <w:t>indicar que</w:t>
      </w:r>
      <w:r>
        <w:rPr>
          <w:color w:val="231F20"/>
          <w:spacing w:val="-4"/>
          <w:w w:val="110"/>
        </w:rPr>
        <w:t> </w:t>
      </w:r>
      <w:r>
        <w:rPr>
          <w:color w:val="231F20"/>
          <w:w w:val="110"/>
        </w:rPr>
        <w:t>“la</w:t>
      </w:r>
      <w:r>
        <w:rPr>
          <w:color w:val="231F20"/>
          <w:spacing w:val="-4"/>
          <w:w w:val="110"/>
        </w:rPr>
        <w:t> </w:t>
      </w:r>
      <w:r>
        <w:rPr>
          <w:color w:val="231F20"/>
          <w:w w:val="110"/>
        </w:rPr>
        <w:t>economía</w:t>
      </w:r>
      <w:r>
        <w:rPr>
          <w:color w:val="231F20"/>
          <w:spacing w:val="-4"/>
          <w:w w:val="110"/>
        </w:rPr>
        <w:t> </w:t>
      </w:r>
      <w:r>
        <w:rPr>
          <w:color w:val="231F20"/>
          <w:w w:val="110"/>
        </w:rPr>
        <w:t>mundial</w:t>
      </w:r>
      <w:r>
        <w:rPr>
          <w:color w:val="231F20"/>
          <w:spacing w:val="-4"/>
          <w:w w:val="110"/>
        </w:rPr>
        <w:t> </w:t>
      </w:r>
      <w:r>
        <w:rPr>
          <w:color w:val="231F20"/>
          <w:w w:val="110"/>
        </w:rPr>
        <w:t>en</w:t>
      </w:r>
      <w:r>
        <w:rPr>
          <w:color w:val="231F20"/>
          <w:spacing w:val="-4"/>
          <w:w w:val="110"/>
        </w:rPr>
        <w:t> </w:t>
      </w:r>
      <w:r>
        <w:rPr>
          <w:color w:val="231F20"/>
          <w:w w:val="110"/>
        </w:rPr>
        <w:t>1929</w:t>
      </w:r>
      <w:r>
        <w:rPr>
          <w:color w:val="231F20"/>
          <w:spacing w:val="-4"/>
          <w:w w:val="110"/>
        </w:rPr>
        <w:t> </w:t>
      </w:r>
      <w:r>
        <w:rPr>
          <w:color w:val="231F20"/>
          <w:w w:val="110"/>
        </w:rPr>
        <w:t>no</w:t>
      </w:r>
      <w:r>
        <w:rPr>
          <w:color w:val="231F20"/>
          <w:spacing w:val="-4"/>
          <w:w w:val="110"/>
        </w:rPr>
        <w:t> </w:t>
      </w:r>
      <w:r>
        <w:rPr>
          <w:color w:val="231F20"/>
          <w:w w:val="110"/>
        </w:rPr>
        <w:t>era</w:t>
      </w:r>
      <w:r>
        <w:rPr>
          <w:color w:val="231F20"/>
          <w:spacing w:val="-4"/>
          <w:w w:val="110"/>
        </w:rPr>
        <w:t> </w:t>
      </w:r>
      <w:r>
        <w:rPr>
          <w:color w:val="231F20"/>
          <w:w w:val="110"/>
        </w:rPr>
        <w:t>tan</w:t>
      </w:r>
      <w:r>
        <w:rPr>
          <w:color w:val="231F20"/>
          <w:spacing w:val="-4"/>
          <w:w w:val="110"/>
        </w:rPr>
        <w:t> </w:t>
      </w:r>
      <w:r>
        <w:rPr>
          <w:color w:val="231F20"/>
          <w:w w:val="110"/>
        </w:rPr>
        <w:t>global</w:t>
      </w:r>
      <w:r>
        <w:rPr>
          <w:color w:val="231F20"/>
          <w:spacing w:val="-4"/>
          <w:w w:val="110"/>
        </w:rPr>
        <w:t> </w:t>
      </w:r>
      <w:r>
        <w:rPr>
          <w:color w:val="231F20"/>
          <w:w w:val="110"/>
        </w:rPr>
        <w:t>como</w:t>
      </w:r>
      <w:r>
        <w:rPr>
          <w:color w:val="231F20"/>
          <w:spacing w:val="-4"/>
          <w:w w:val="110"/>
        </w:rPr>
        <w:t> </w:t>
      </w:r>
      <w:r>
        <w:rPr>
          <w:color w:val="231F20"/>
          <w:w w:val="110"/>
        </w:rPr>
        <w:t>la</w:t>
      </w:r>
      <w:r>
        <w:rPr>
          <w:color w:val="231F20"/>
          <w:spacing w:val="-4"/>
          <w:w w:val="110"/>
        </w:rPr>
        <w:t> </w:t>
      </w:r>
      <w:r>
        <w:rPr>
          <w:color w:val="231F20"/>
          <w:w w:val="110"/>
        </w:rPr>
        <w:t>actual” (Hobsbawm, 2010), que el neoliberalismo revirtió la centralidad </w:t>
      </w:r>
      <w:r>
        <w:rPr>
          <w:color w:val="231F20"/>
          <w:spacing w:val="-2"/>
          <w:w w:val="110"/>
        </w:rPr>
        <w:t>del </w:t>
      </w:r>
      <w:r>
        <w:rPr>
          <w:color w:val="231F20"/>
          <w:w w:val="110"/>
        </w:rPr>
        <w:t>papel</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Estados</w:t>
      </w:r>
      <w:r>
        <w:rPr>
          <w:color w:val="231F20"/>
          <w:spacing w:val="-15"/>
          <w:w w:val="110"/>
        </w:rPr>
        <w:t> </w:t>
      </w:r>
      <w:r>
        <w:rPr>
          <w:color w:val="231F20"/>
          <w:w w:val="110"/>
        </w:rPr>
        <w:t>nacionales</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política</w:t>
      </w:r>
      <w:r>
        <w:rPr>
          <w:color w:val="231F20"/>
          <w:spacing w:val="-15"/>
          <w:w w:val="110"/>
        </w:rPr>
        <w:t> </w:t>
      </w:r>
      <w:r>
        <w:rPr>
          <w:color w:val="231F20"/>
          <w:w w:val="110"/>
        </w:rPr>
        <w:t>económica</w:t>
      </w:r>
      <w:r>
        <w:rPr>
          <w:color w:val="231F20"/>
          <w:spacing w:val="-15"/>
          <w:w w:val="110"/>
        </w:rPr>
        <w:t> </w:t>
      </w:r>
      <w:r>
        <w:rPr>
          <w:color w:val="231F20"/>
          <w:w w:val="110"/>
        </w:rPr>
        <w:t>y</w:t>
      </w:r>
      <w:r>
        <w:rPr>
          <w:color w:val="231F20"/>
          <w:spacing w:val="-15"/>
          <w:w w:val="110"/>
        </w:rPr>
        <w:t> </w:t>
      </w:r>
      <w:r>
        <w:rPr>
          <w:color w:val="231F20"/>
          <w:w w:val="110"/>
        </w:rPr>
        <w:t>clausuró</w:t>
      </w:r>
      <w:r>
        <w:rPr>
          <w:color w:val="231F20"/>
          <w:spacing w:val="-15"/>
          <w:w w:val="110"/>
        </w:rPr>
        <w:t> </w:t>
      </w:r>
      <w:r>
        <w:rPr>
          <w:color w:val="231F20"/>
          <w:w w:val="110"/>
        </w:rPr>
        <w:t>el largo periodo de relativa estabilidad económica iniciado después de la segunda guerra mundial. Las interpretaciones sobre su naturaleza pueden</w:t>
      </w:r>
      <w:r>
        <w:rPr>
          <w:color w:val="231F20"/>
          <w:spacing w:val="-8"/>
          <w:w w:val="110"/>
        </w:rPr>
        <w:t> </w:t>
      </w:r>
      <w:r>
        <w:rPr>
          <w:color w:val="231F20"/>
          <w:spacing w:val="-5"/>
          <w:w w:val="110"/>
        </w:rPr>
        <w:t>variar,</w:t>
      </w:r>
      <w:r>
        <w:rPr>
          <w:color w:val="231F20"/>
          <w:spacing w:val="-8"/>
          <w:w w:val="110"/>
        </w:rPr>
        <w:t> </w:t>
      </w:r>
      <w:r>
        <w:rPr>
          <w:color w:val="231F20"/>
          <w:w w:val="110"/>
        </w:rPr>
        <w:t>desde</w:t>
      </w:r>
      <w:r>
        <w:rPr>
          <w:color w:val="231F20"/>
          <w:spacing w:val="-8"/>
          <w:w w:val="110"/>
        </w:rPr>
        <w:t> </w:t>
      </w:r>
      <w:r>
        <w:rPr>
          <w:color w:val="231F20"/>
          <w:w w:val="110"/>
        </w:rPr>
        <w:t>las</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consideran</w:t>
      </w:r>
      <w:r>
        <w:rPr>
          <w:color w:val="231F20"/>
          <w:spacing w:val="-8"/>
          <w:w w:val="110"/>
        </w:rPr>
        <w:t> </w:t>
      </w:r>
      <w:r>
        <w:rPr>
          <w:color w:val="231F20"/>
          <w:w w:val="110"/>
        </w:rPr>
        <w:t>como</w:t>
      </w:r>
      <w:r>
        <w:rPr>
          <w:color w:val="231F20"/>
          <w:spacing w:val="-8"/>
          <w:w w:val="110"/>
        </w:rPr>
        <w:t> </w:t>
      </w:r>
      <w:r>
        <w:rPr>
          <w:color w:val="231F20"/>
          <w:w w:val="110"/>
        </w:rPr>
        <w:t>una</w:t>
      </w:r>
      <w:r>
        <w:rPr>
          <w:color w:val="231F20"/>
          <w:spacing w:val="-8"/>
          <w:w w:val="110"/>
        </w:rPr>
        <w:t> </w:t>
      </w:r>
      <w:r>
        <w:rPr>
          <w:color w:val="231F20"/>
          <w:w w:val="110"/>
        </w:rPr>
        <w:t>crisis</w:t>
      </w:r>
      <w:r>
        <w:rPr>
          <w:color w:val="231F20"/>
          <w:spacing w:val="-8"/>
          <w:w w:val="110"/>
        </w:rPr>
        <w:t> </w:t>
      </w:r>
      <w:r>
        <w:rPr>
          <w:color w:val="231F20"/>
          <w:w w:val="110"/>
        </w:rPr>
        <w:t>del</w:t>
      </w:r>
      <w:r>
        <w:rPr>
          <w:color w:val="231F20"/>
          <w:spacing w:val="-8"/>
          <w:w w:val="110"/>
        </w:rPr>
        <w:t> </w:t>
      </w:r>
      <w:r>
        <w:rPr>
          <w:color w:val="231F20"/>
          <w:w w:val="110"/>
        </w:rPr>
        <w:t>capita- lismo</w:t>
      </w:r>
      <w:r>
        <w:rPr>
          <w:color w:val="231F20"/>
          <w:spacing w:val="-18"/>
          <w:w w:val="110"/>
        </w:rPr>
        <w:t> </w:t>
      </w:r>
      <w:r>
        <w:rPr>
          <w:color w:val="231F20"/>
          <w:w w:val="110"/>
        </w:rPr>
        <w:t>mundial,</w:t>
      </w:r>
      <w:r>
        <w:rPr>
          <w:color w:val="231F20"/>
          <w:spacing w:val="-18"/>
          <w:w w:val="110"/>
        </w:rPr>
        <w:t> </w:t>
      </w:r>
      <w:r>
        <w:rPr>
          <w:color w:val="231F20"/>
          <w:w w:val="110"/>
        </w:rPr>
        <w:t>crisis</w:t>
      </w:r>
      <w:r>
        <w:rPr>
          <w:color w:val="231F20"/>
          <w:spacing w:val="-18"/>
          <w:w w:val="110"/>
        </w:rPr>
        <w:t> </w:t>
      </w:r>
      <w:r>
        <w:rPr>
          <w:color w:val="231F20"/>
          <w:w w:val="110"/>
        </w:rPr>
        <w:t>del</w:t>
      </w:r>
      <w:r>
        <w:rPr>
          <w:color w:val="231F20"/>
          <w:spacing w:val="-18"/>
          <w:w w:val="110"/>
        </w:rPr>
        <w:t> </w:t>
      </w:r>
      <w:r>
        <w:rPr>
          <w:color w:val="231F20"/>
          <w:w w:val="110"/>
        </w:rPr>
        <w:t>modelo</w:t>
      </w:r>
      <w:r>
        <w:rPr>
          <w:color w:val="231F20"/>
          <w:spacing w:val="-18"/>
          <w:w w:val="110"/>
        </w:rPr>
        <w:t> </w:t>
      </w:r>
      <w:r>
        <w:rPr>
          <w:color w:val="231F20"/>
          <w:w w:val="110"/>
        </w:rPr>
        <w:t>neoliberal,</w:t>
      </w:r>
      <w:r>
        <w:rPr>
          <w:color w:val="231F20"/>
          <w:spacing w:val="-18"/>
          <w:w w:val="110"/>
        </w:rPr>
        <w:t> </w:t>
      </w:r>
      <w:r>
        <w:rPr>
          <w:color w:val="231F20"/>
          <w:w w:val="110"/>
        </w:rPr>
        <w:t>crisis</w:t>
      </w:r>
      <w:r>
        <w:rPr>
          <w:color w:val="231F20"/>
          <w:spacing w:val="-18"/>
          <w:w w:val="110"/>
        </w:rPr>
        <w:t> </w:t>
      </w:r>
      <w:r>
        <w:rPr>
          <w:color w:val="231F20"/>
          <w:w w:val="110"/>
        </w:rPr>
        <w:t>cíclica</w:t>
      </w:r>
      <w:r>
        <w:rPr>
          <w:color w:val="231F20"/>
          <w:spacing w:val="-18"/>
          <w:w w:val="110"/>
        </w:rPr>
        <w:t> </w:t>
      </w:r>
      <w:r>
        <w:rPr>
          <w:color w:val="231F20"/>
          <w:w w:val="110"/>
        </w:rPr>
        <w:t>o</w:t>
      </w:r>
      <w:r>
        <w:rPr>
          <w:color w:val="231F20"/>
          <w:spacing w:val="-18"/>
          <w:w w:val="110"/>
        </w:rPr>
        <w:t> </w:t>
      </w:r>
      <w:r>
        <w:rPr>
          <w:color w:val="231F20"/>
          <w:w w:val="110"/>
        </w:rPr>
        <w:t>“decenal”, entre otras, o el resultado de factores coincidentes y superpuestos; pero</w:t>
      </w:r>
      <w:r>
        <w:rPr>
          <w:color w:val="231F20"/>
          <w:spacing w:val="-15"/>
          <w:w w:val="110"/>
        </w:rPr>
        <w:t> </w:t>
      </w:r>
      <w:r>
        <w:rPr>
          <w:color w:val="231F20"/>
          <w:w w:val="110"/>
        </w:rPr>
        <w:t>en</w:t>
      </w:r>
      <w:r>
        <w:rPr>
          <w:color w:val="231F20"/>
          <w:spacing w:val="-15"/>
          <w:w w:val="110"/>
        </w:rPr>
        <w:t> </w:t>
      </w:r>
      <w:r>
        <w:rPr>
          <w:color w:val="231F20"/>
          <w:w w:val="110"/>
        </w:rPr>
        <w:t>relación</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trabajo</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estructuras</w:t>
      </w:r>
      <w:r>
        <w:rPr>
          <w:color w:val="231F20"/>
          <w:spacing w:val="-15"/>
          <w:w w:val="110"/>
        </w:rPr>
        <w:t> </w:t>
      </w:r>
      <w:r>
        <w:rPr>
          <w:color w:val="231F20"/>
          <w:w w:val="110"/>
        </w:rPr>
        <w:t>de</w:t>
      </w:r>
      <w:r>
        <w:rPr>
          <w:color w:val="231F20"/>
          <w:spacing w:val="-15"/>
          <w:w w:val="110"/>
        </w:rPr>
        <w:t> </w:t>
      </w:r>
      <w:r>
        <w:rPr>
          <w:color w:val="231F20"/>
          <w:w w:val="110"/>
        </w:rPr>
        <w:t>empleos,</w:t>
      </w:r>
      <w:r>
        <w:rPr>
          <w:color w:val="231F20"/>
          <w:spacing w:val="-15"/>
          <w:w w:val="110"/>
        </w:rPr>
        <w:t> </w:t>
      </w:r>
      <w:r>
        <w:rPr>
          <w:color w:val="231F20"/>
          <w:w w:val="110"/>
        </w:rPr>
        <w:t>casi</w:t>
      </w:r>
      <w:r>
        <w:rPr>
          <w:color w:val="231F20"/>
          <w:spacing w:val="-15"/>
          <w:w w:val="110"/>
        </w:rPr>
        <w:t> </w:t>
      </w:r>
      <w:r>
        <w:rPr>
          <w:color w:val="231F20"/>
          <w:w w:val="110"/>
        </w:rPr>
        <w:t>todas coinciden</w:t>
      </w:r>
      <w:r>
        <w:rPr>
          <w:color w:val="231F20"/>
          <w:spacing w:val="-20"/>
          <w:w w:val="110"/>
        </w:rPr>
        <w:t> </w:t>
      </w:r>
      <w:r>
        <w:rPr>
          <w:color w:val="231F20"/>
          <w:w w:val="110"/>
        </w:rPr>
        <w:t>en</w:t>
      </w:r>
      <w:r>
        <w:rPr>
          <w:color w:val="231F20"/>
          <w:spacing w:val="-20"/>
          <w:w w:val="110"/>
        </w:rPr>
        <w:t> </w:t>
      </w:r>
      <w:r>
        <w:rPr>
          <w:color w:val="231F20"/>
          <w:w w:val="110"/>
        </w:rPr>
        <w:t>manifestar</w:t>
      </w:r>
      <w:r>
        <w:rPr>
          <w:color w:val="231F20"/>
          <w:spacing w:val="-20"/>
          <w:w w:val="110"/>
        </w:rPr>
        <w:t> </w:t>
      </w:r>
      <w:r>
        <w:rPr>
          <w:color w:val="231F20"/>
          <w:w w:val="110"/>
        </w:rPr>
        <w:t>las</w:t>
      </w:r>
      <w:r>
        <w:rPr>
          <w:color w:val="231F20"/>
          <w:spacing w:val="-20"/>
          <w:w w:val="110"/>
        </w:rPr>
        <w:t> </w:t>
      </w:r>
      <w:r>
        <w:rPr>
          <w:color w:val="231F20"/>
          <w:w w:val="110"/>
        </w:rPr>
        <w:t>contradicciones</w:t>
      </w:r>
      <w:r>
        <w:rPr>
          <w:color w:val="231F20"/>
          <w:spacing w:val="-20"/>
          <w:w w:val="110"/>
        </w:rPr>
        <w:t> </w:t>
      </w:r>
      <w:r>
        <w:rPr>
          <w:color w:val="231F20"/>
          <w:w w:val="110"/>
        </w:rPr>
        <w:t>del</w:t>
      </w:r>
      <w:r>
        <w:rPr>
          <w:color w:val="231F20"/>
          <w:spacing w:val="-20"/>
          <w:w w:val="110"/>
        </w:rPr>
        <w:t> </w:t>
      </w:r>
      <w:r>
        <w:rPr>
          <w:color w:val="231F20"/>
          <w:w w:val="110"/>
        </w:rPr>
        <w:t>proceso</w:t>
      </w:r>
      <w:r>
        <w:rPr>
          <w:color w:val="231F20"/>
          <w:spacing w:val="-20"/>
          <w:w w:val="110"/>
        </w:rPr>
        <w:t> </w:t>
      </w:r>
      <w:r>
        <w:rPr>
          <w:color w:val="231F20"/>
          <w:w w:val="110"/>
        </w:rPr>
        <w:t>de</w:t>
      </w:r>
      <w:r>
        <w:rPr>
          <w:color w:val="231F20"/>
          <w:spacing w:val="-20"/>
          <w:w w:val="110"/>
        </w:rPr>
        <w:t> </w:t>
      </w:r>
      <w:r>
        <w:rPr>
          <w:color w:val="231F20"/>
          <w:w w:val="110"/>
        </w:rPr>
        <w:t>reestructu- ración</w:t>
      </w:r>
      <w:r>
        <w:rPr>
          <w:color w:val="231F20"/>
          <w:spacing w:val="-20"/>
          <w:w w:val="110"/>
        </w:rPr>
        <w:t> </w:t>
      </w:r>
      <w:r>
        <w:rPr>
          <w:color w:val="231F20"/>
          <w:w w:val="110"/>
        </w:rPr>
        <w:t>económica</w:t>
      </w:r>
      <w:r>
        <w:rPr>
          <w:color w:val="231F20"/>
          <w:spacing w:val="-20"/>
          <w:w w:val="110"/>
        </w:rPr>
        <w:t> </w:t>
      </w:r>
      <w:r>
        <w:rPr>
          <w:color w:val="231F20"/>
          <w:w w:val="110"/>
        </w:rPr>
        <w:t>y</w:t>
      </w:r>
      <w:r>
        <w:rPr>
          <w:color w:val="231F20"/>
          <w:spacing w:val="-20"/>
          <w:w w:val="110"/>
        </w:rPr>
        <w:t> </w:t>
      </w:r>
      <w:r>
        <w:rPr>
          <w:color w:val="231F20"/>
          <w:w w:val="110"/>
        </w:rPr>
        <w:t>las</w:t>
      </w:r>
      <w:r>
        <w:rPr>
          <w:color w:val="231F20"/>
          <w:spacing w:val="-20"/>
          <w:w w:val="110"/>
        </w:rPr>
        <w:t> </w:t>
      </w:r>
      <w:r>
        <w:rPr>
          <w:color w:val="231F20"/>
          <w:w w:val="110"/>
        </w:rPr>
        <w:t>consecuencias</w:t>
      </w:r>
      <w:r>
        <w:rPr>
          <w:color w:val="231F20"/>
          <w:spacing w:val="-20"/>
          <w:w w:val="110"/>
        </w:rPr>
        <w:t> </w:t>
      </w:r>
      <w:r>
        <w:rPr>
          <w:color w:val="231F20"/>
          <w:w w:val="110"/>
        </w:rPr>
        <w:t>del</w:t>
      </w:r>
      <w:r>
        <w:rPr>
          <w:color w:val="231F20"/>
          <w:spacing w:val="-20"/>
          <w:w w:val="110"/>
        </w:rPr>
        <w:t> </w:t>
      </w:r>
      <w:r>
        <w:rPr>
          <w:color w:val="231F20"/>
          <w:w w:val="110"/>
        </w:rPr>
        <w:t>modelo</w:t>
      </w:r>
      <w:r>
        <w:rPr>
          <w:color w:val="231F20"/>
          <w:spacing w:val="-20"/>
          <w:w w:val="110"/>
        </w:rPr>
        <w:t> </w:t>
      </w:r>
      <w:r>
        <w:rPr>
          <w:color w:val="231F20"/>
          <w:w w:val="110"/>
        </w:rPr>
        <w:t>laboral</w:t>
      </w:r>
      <w:r>
        <w:rPr>
          <w:color w:val="231F20"/>
          <w:spacing w:val="-20"/>
          <w:w w:val="110"/>
        </w:rPr>
        <w:t> </w:t>
      </w:r>
      <w:r>
        <w:rPr>
          <w:color w:val="231F20"/>
          <w:w w:val="110"/>
        </w:rPr>
        <w:t>desregulado y</w:t>
      </w:r>
      <w:r>
        <w:rPr>
          <w:color w:val="231F20"/>
          <w:spacing w:val="-8"/>
          <w:w w:val="110"/>
        </w:rPr>
        <w:t> </w:t>
      </w:r>
      <w:r>
        <w:rPr>
          <w:color w:val="231F20"/>
          <w:w w:val="110"/>
        </w:rPr>
        <w:t>flexible</w:t>
      </w:r>
      <w:r>
        <w:rPr>
          <w:color w:val="231F20"/>
          <w:spacing w:val="-8"/>
          <w:w w:val="110"/>
        </w:rPr>
        <w:t> </w:t>
      </w:r>
      <w:r>
        <w:rPr>
          <w:color w:val="231F20"/>
          <w:w w:val="110"/>
        </w:rPr>
        <w:t>adoptado</w:t>
      </w:r>
      <w:r>
        <w:rPr>
          <w:color w:val="231F20"/>
          <w:spacing w:val="-8"/>
          <w:w w:val="110"/>
        </w:rPr>
        <w:t> </w:t>
      </w:r>
      <w:r>
        <w:rPr>
          <w:color w:val="231F20"/>
          <w:w w:val="110"/>
        </w:rPr>
        <w:t>desde</w:t>
      </w:r>
      <w:r>
        <w:rPr>
          <w:color w:val="231F20"/>
          <w:spacing w:val="-8"/>
          <w:w w:val="110"/>
        </w:rPr>
        <w:t> </w:t>
      </w:r>
      <w:r>
        <w:rPr>
          <w:color w:val="231F20"/>
          <w:w w:val="110"/>
        </w:rPr>
        <w:t>mediados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años</w:t>
      </w:r>
      <w:r>
        <w:rPr>
          <w:color w:val="231F20"/>
          <w:spacing w:val="-8"/>
          <w:w w:val="110"/>
        </w:rPr>
        <w:t> </w:t>
      </w:r>
      <w:r>
        <w:rPr>
          <w:color w:val="231F20"/>
          <w:w w:val="110"/>
        </w:rPr>
        <w:t>setenta.</w:t>
      </w:r>
    </w:p>
    <w:p>
      <w:pPr>
        <w:pStyle w:val="BodyText"/>
        <w:spacing w:line="261" w:lineRule="auto"/>
        <w:ind w:left="100" w:right="111" w:firstLine="240"/>
        <w:jc w:val="both"/>
      </w:pPr>
      <w:r>
        <w:rPr>
          <w:color w:val="231F20"/>
          <w:w w:val="110"/>
        </w:rPr>
        <w:t>A lo largo de más de tres decenios, la flexibilización del mercado laboral ha modificado las formas o tipos de empleos asalariados y no asalariados en Estados Unidos, al sustituir la contratación estable por la temporal y a tiempo parcial, generalmente con bajos salarios, en muchos casos no sindicalizada y desprovista de seguridad social y prestaciones laborales (Rifkin, 2004; Castillo, 2007; Kesselman; 2010). En este país, la reestructuración productiva presenta tres ele- mentos particulares: un intenso proceso de desindustrialización   del</w:t>
      </w:r>
    </w:p>
    <w:p>
      <w:pPr>
        <w:pStyle w:val="BodyText"/>
        <w:rPr>
          <w:sz w:val="15"/>
        </w:rPr>
      </w:pPr>
    </w:p>
    <w:p>
      <w:pPr>
        <w:pStyle w:val="BodyText"/>
        <w:spacing w:before="67"/>
        <w:ind w:left="113" w:right="132"/>
        <w:jc w:val="center"/>
      </w:pPr>
      <w:r>
        <w:rPr>
          <w:color w:val="231F20"/>
          <w:w w:val="120"/>
        </w:rPr>
        <w:t>[258]</w:t>
      </w:r>
    </w:p>
    <w:p>
      <w:pPr>
        <w:spacing w:after="0"/>
        <w:jc w:val="center"/>
        <w:sectPr>
          <w:headerReference w:type="even" r:id="rId181"/>
          <w:pgSz w:w="7640" w:h="11900"/>
          <w:pgMar w:header="0" w:footer="0" w:top="100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trabajo, la deslocalización de la producción en distintas</w:t>
      </w:r>
      <w:r>
        <w:rPr>
          <w:color w:val="231F20"/>
          <w:spacing w:val="-34"/>
          <w:w w:val="110"/>
        </w:rPr>
        <w:t> </w:t>
      </w:r>
      <w:r>
        <w:rPr>
          <w:color w:val="231F20"/>
          <w:w w:val="110"/>
        </w:rPr>
        <w:t>modalidades y</w:t>
      </w:r>
      <w:r>
        <w:rPr>
          <w:color w:val="231F20"/>
          <w:spacing w:val="-14"/>
          <w:w w:val="110"/>
        </w:rPr>
        <w:t> </w:t>
      </w:r>
      <w:r>
        <w:rPr>
          <w:color w:val="231F20"/>
          <w:w w:val="110"/>
        </w:rPr>
        <w:t>circunstancias,</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incorporación</w:t>
      </w:r>
      <w:r>
        <w:rPr>
          <w:color w:val="231F20"/>
          <w:spacing w:val="-14"/>
          <w:w w:val="110"/>
        </w:rPr>
        <w:t> </w:t>
      </w:r>
      <w:r>
        <w:rPr>
          <w:color w:val="231F20"/>
          <w:w w:val="110"/>
        </w:rPr>
        <w:t>masiva</w:t>
      </w:r>
      <w:r>
        <w:rPr>
          <w:color w:val="231F20"/>
          <w:spacing w:val="-14"/>
          <w:w w:val="110"/>
        </w:rPr>
        <w:t> </w:t>
      </w:r>
      <w:r>
        <w:rPr>
          <w:color w:val="231F20"/>
          <w:w w:val="110"/>
        </w:rPr>
        <w:t>de</w:t>
      </w:r>
      <w:r>
        <w:rPr>
          <w:color w:val="231F20"/>
          <w:spacing w:val="-14"/>
          <w:w w:val="110"/>
        </w:rPr>
        <w:t> </w:t>
      </w:r>
      <w:r>
        <w:rPr>
          <w:color w:val="231F20"/>
          <w:w w:val="110"/>
        </w:rPr>
        <w:t>fuerza</w:t>
      </w:r>
      <w:r>
        <w:rPr>
          <w:color w:val="231F20"/>
          <w:spacing w:val="-14"/>
          <w:w w:val="110"/>
        </w:rPr>
        <w:t> </w:t>
      </w:r>
      <w:r>
        <w:rPr>
          <w:color w:val="231F20"/>
          <w:w w:val="110"/>
        </w:rPr>
        <w:t>de</w:t>
      </w:r>
      <w:r>
        <w:rPr>
          <w:color w:val="231F20"/>
          <w:spacing w:val="-14"/>
          <w:w w:val="110"/>
        </w:rPr>
        <w:t> </w:t>
      </w:r>
      <w:r>
        <w:rPr>
          <w:color w:val="231F20"/>
          <w:w w:val="110"/>
        </w:rPr>
        <w:t>trabajo</w:t>
      </w:r>
      <w:r>
        <w:rPr>
          <w:color w:val="231F20"/>
          <w:spacing w:val="-14"/>
          <w:w w:val="110"/>
        </w:rPr>
        <w:t> </w:t>
      </w:r>
      <w:r>
        <w:rPr>
          <w:color w:val="231F20"/>
          <w:w w:val="110"/>
        </w:rPr>
        <w:t>inmi- grante,</w:t>
      </w:r>
      <w:r>
        <w:rPr>
          <w:color w:val="231F20"/>
          <w:spacing w:val="-13"/>
          <w:w w:val="110"/>
        </w:rPr>
        <w:t> </w:t>
      </w:r>
      <w:r>
        <w:rPr>
          <w:color w:val="231F20"/>
          <w:w w:val="110"/>
        </w:rPr>
        <w:t>legal</w:t>
      </w:r>
      <w:r>
        <w:rPr>
          <w:color w:val="231F20"/>
          <w:spacing w:val="-13"/>
          <w:w w:val="110"/>
        </w:rPr>
        <w:t> </w:t>
      </w:r>
      <w:r>
        <w:rPr>
          <w:color w:val="231F20"/>
          <w:w w:val="110"/>
        </w:rPr>
        <w:t>e</w:t>
      </w:r>
      <w:r>
        <w:rPr>
          <w:color w:val="231F20"/>
          <w:spacing w:val="-13"/>
          <w:w w:val="110"/>
        </w:rPr>
        <w:t> </w:t>
      </w:r>
      <w:r>
        <w:rPr>
          <w:color w:val="231F20"/>
          <w:w w:val="110"/>
        </w:rPr>
        <w:t>indocumentada</w:t>
      </w:r>
      <w:r>
        <w:rPr>
          <w:color w:val="231F20"/>
          <w:spacing w:val="-13"/>
          <w:w w:val="110"/>
        </w:rPr>
        <w:t> </w:t>
      </w:r>
      <w:r>
        <w:rPr>
          <w:color w:val="231F20"/>
          <w:w w:val="110"/>
        </w:rPr>
        <w:t>—demográfica</w:t>
      </w:r>
      <w:r>
        <w:rPr>
          <w:color w:val="231F20"/>
          <w:spacing w:val="-13"/>
          <w:w w:val="110"/>
        </w:rPr>
        <w:t> </w:t>
      </w:r>
      <w:r>
        <w:rPr>
          <w:color w:val="231F20"/>
          <w:w w:val="110"/>
        </w:rPr>
        <w:t>y</w:t>
      </w:r>
      <w:r>
        <w:rPr>
          <w:color w:val="231F20"/>
          <w:spacing w:val="-13"/>
          <w:w w:val="110"/>
        </w:rPr>
        <w:t> </w:t>
      </w:r>
      <w:r>
        <w:rPr>
          <w:color w:val="231F20"/>
          <w:w w:val="110"/>
        </w:rPr>
        <w:t>socialmente</w:t>
      </w:r>
      <w:r>
        <w:rPr>
          <w:color w:val="231F20"/>
          <w:spacing w:val="-13"/>
          <w:w w:val="110"/>
        </w:rPr>
        <w:t> </w:t>
      </w:r>
      <w:r>
        <w:rPr>
          <w:color w:val="231F20"/>
          <w:w w:val="110"/>
        </w:rPr>
        <w:t>más</w:t>
      </w:r>
      <w:r>
        <w:rPr>
          <w:color w:val="231F20"/>
          <w:spacing w:val="-13"/>
          <w:w w:val="110"/>
        </w:rPr>
        <w:t> </w:t>
      </w:r>
      <w:r>
        <w:rPr>
          <w:color w:val="231F20"/>
          <w:w w:val="110"/>
        </w:rPr>
        <w:t>vul- nerable—</w:t>
      </w:r>
      <w:r>
        <w:rPr>
          <w:color w:val="231F20"/>
          <w:spacing w:val="-22"/>
          <w:w w:val="110"/>
        </w:rPr>
        <w:t> </w:t>
      </w:r>
      <w:r>
        <w:rPr>
          <w:color w:val="231F20"/>
          <w:w w:val="110"/>
        </w:rPr>
        <w:t>en</w:t>
      </w:r>
      <w:r>
        <w:rPr>
          <w:color w:val="231F20"/>
          <w:spacing w:val="-22"/>
          <w:w w:val="110"/>
        </w:rPr>
        <w:t> </w:t>
      </w:r>
      <w:r>
        <w:rPr>
          <w:color w:val="231F20"/>
          <w:w w:val="110"/>
        </w:rPr>
        <w:t>las</w:t>
      </w:r>
      <w:r>
        <w:rPr>
          <w:color w:val="231F20"/>
          <w:spacing w:val="-22"/>
          <w:w w:val="110"/>
        </w:rPr>
        <w:t> </w:t>
      </w:r>
      <w:r>
        <w:rPr>
          <w:color w:val="231F20"/>
          <w:w w:val="110"/>
        </w:rPr>
        <w:t>actividades</w:t>
      </w:r>
      <w:r>
        <w:rPr>
          <w:color w:val="231F20"/>
          <w:spacing w:val="-22"/>
          <w:w w:val="110"/>
        </w:rPr>
        <w:t> </w:t>
      </w:r>
      <w:r>
        <w:rPr>
          <w:color w:val="231F20"/>
          <w:w w:val="110"/>
        </w:rPr>
        <w:t>productivas</w:t>
      </w:r>
      <w:r>
        <w:rPr>
          <w:color w:val="231F20"/>
          <w:spacing w:val="-22"/>
          <w:w w:val="110"/>
        </w:rPr>
        <w:t> </w:t>
      </w:r>
      <w:r>
        <w:rPr>
          <w:color w:val="231F20"/>
          <w:w w:val="110"/>
        </w:rPr>
        <w:t>más</w:t>
      </w:r>
      <w:r>
        <w:rPr>
          <w:color w:val="231F20"/>
          <w:spacing w:val="-22"/>
          <w:w w:val="110"/>
        </w:rPr>
        <w:t> </w:t>
      </w:r>
      <w:r>
        <w:rPr>
          <w:color w:val="231F20"/>
          <w:w w:val="110"/>
        </w:rPr>
        <w:t>desprotegidas.</w:t>
      </w:r>
      <w:r>
        <w:rPr>
          <w:color w:val="231F20"/>
          <w:spacing w:val="-22"/>
          <w:w w:val="110"/>
        </w:rPr>
        <w:t> </w:t>
      </w:r>
      <w:r>
        <w:rPr>
          <w:color w:val="231F20"/>
          <w:w w:val="110"/>
        </w:rPr>
        <w:t>Las</w:t>
      </w:r>
      <w:r>
        <w:rPr>
          <w:color w:val="231F20"/>
          <w:spacing w:val="-22"/>
          <w:w w:val="110"/>
        </w:rPr>
        <w:t> </w:t>
      </w:r>
      <w:r>
        <w:rPr>
          <w:color w:val="231F20"/>
          <w:w w:val="110"/>
        </w:rPr>
        <w:t>crisis</w:t>
      </w:r>
      <w:r>
        <w:rPr>
          <w:color w:val="231F20"/>
          <w:w w:val="101"/>
        </w:rPr>
        <w:t> </w:t>
      </w:r>
      <w:r>
        <w:rPr>
          <w:color w:val="231F20"/>
          <w:w w:val="110"/>
        </w:rPr>
        <w:t>anteriores en Estados Unidos determinaron cambios sustanciales en la organización del trabajo y en la estructura del mercado laboral (Gordon, 1986); la actual se genera en un entorno de desarticula- ción y debilitamiento de las organizaciones de clase obrera. La</w:t>
      </w:r>
      <w:r>
        <w:rPr>
          <w:color w:val="231F20"/>
          <w:spacing w:val="-22"/>
          <w:w w:val="110"/>
        </w:rPr>
        <w:t> </w:t>
      </w:r>
      <w:r>
        <w:rPr>
          <w:color w:val="231F20"/>
          <w:w w:val="110"/>
        </w:rPr>
        <w:t>clase trabajadora, en gran medida representada por el obrero industrial, fue</w:t>
      </w:r>
      <w:r>
        <w:rPr>
          <w:color w:val="231F20"/>
          <w:spacing w:val="-9"/>
          <w:w w:val="110"/>
        </w:rPr>
        <w:t> </w:t>
      </w:r>
      <w:r>
        <w:rPr>
          <w:color w:val="231F20"/>
          <w:w w:val="110"/>
        </w:rPr>
        <w:t>relegada</w:t>
      </w:r>
      <w:r>
        <w:rPr>
          <w:color w:val="231F20"/>
          <w:spacing w:val="-9"/>
          <w:w w:val="110"/>
        </w:rPr>
        <w:t> </w:t>
      </w:r>
      <w:r>
        <w:rPr>
          <w:color w:val="231F20"/>
          <w:w w:val="110"/>
        </w:rPr>
        <w:t>a</w:t>
      </w:r>
      <w:r>
        <w:rPr>
          <w:color w:val="231F20"/>
          <w:spacing w:val="-9"/>
          <w:w w:val="110"/>
        </w:rPr>
        <w:t> </w:t>
      </w:r>
      <w:r>
        <w:rPr>
          <w:color w:val="231F20"/>
          <w:w w:val="110"/>
        </w:rPr>
        <w:t>actividades</w:t>
      </w:r>
      <w:r>
        <w:rPr>
          <w:color w:val="231F20"/>
          <w:spacing w:val="-9"/>
          <w:w w:val="110"/>
        </w:rPr>
        <w:t> </w:t>
      </w:r>
      <w:r>
        <w:rPr>
          <w:color w:val="231F20"/>
          <w:w w:val="110"/>
        </w:rPr>
        <w:t>de</w:t>
      </w:r>
      <w:r>
        <w:rPr>
          <w:color w:val="231F20"/>
          <w:spacing w:val="-9"/>
          <w:w w:val="110"/>
        </w:rPr>
        <w:t> </w:t>
      </w:r>
      <w:r>
        <w:rPr>
          <w:color w:val="231F20"/>
          <w:w w:val="110"/>
        </w:rPr>
        <w:t>servicios,</w:t>
      </w:r>
      <w:r>
        <w:rPr>
          <w:color w:val="231F20"/>
          <w:spacing w:val="-9"/>
          <w:w w:val="110"/>
        </w:rPr>
        <w:t> </w:t>
      </w:r>
      <w:r>
        <w:rPr>
          <w:color w:val="231F20"/>
          <w:w w:val="110"/>
        </w:rPr>
        <w:t>al</w:t>
      </w:r>
      <w:r>
        <w:rPr>
          <w:color w:val="231F20"/>
          <w:spacing w:val="-9"/>
          <w:w w:val="110"/>
        </w:rPr>
        <w:t> </w:t>
      </w:r>
      <w:r>
        <w:rPr>
          <w:color w:val="231F20"/>
          <w:w w:val="110"/>
        </w:rPr>
        <w:t>sector</w:t>
      </w:r>
      <w:r>
        <w:rPr>
          <w:color w:val="231F20"/>
          <w:spacing w:val="-9"/>
          <w:w w:val="110"/>
        </w:rPr>
        <w:t> </w:t>
      </w:r>
      <w:r>
        <w:rPr>
          <w:color w:val="231F20"/>
          <w:w w:val="110"/>
        </w:rPr>
        <w:t>informal</w:t>
      </w:r>
      <w:r>
        <w:rPr>
          <w:color w:val="231F20"/>
          <w:spacing w:val="-9"/>
          <w:w w:val="110"/>
        </w:rPr>
        <w:t> </w:t>
      </w:r>
      <w:r>
        <w:rPr>
          <w:color w:val="231F20"/>
          <w:w w:val="110"/>
        </w:rPr>
        <w:t>y</w:t>
      </w:r>
      <w:r>
        <w:rPr>
          <w:color w:val="231F20"/>
          <w:spacing w:val="-9"/>
          <w:w w:val="110"/>
        </w:rPr>
        <w:t> </w:t>
      </w:r>
      <w:r>
        <w:rPr>
          <w:color w:val="231F20"/>
          <w:w w:val="110"/>
        </w:rPr>
        <w:t>al</w:t>
      </w:r>
      <w:r>
        <w:rPr>
          <w:color w:val="231F20"/>
          <w:spacing w:val="-9"/>
          <w:w w:val="110"/>
        </w:rPr>
        <w:t> </w:t>
      </w:r>
      <w:r>
        <w:rPr>
          <w:color w:val="231F20"/>
          <w:w w:val="110"/>
        </w:rPr>
        <w:t>trabajo independiente o autónomo. La informalidad y la precariedad laboral no</w:t>
      </w:r>
      <w:r>
        <w:rPr>
          <w:color w:val="231F20"/>
          <w:spacing w:val="-7"/>
          <w:w w:val="110"/>
        </w:rPr>
        <w:t> </w:t>
      </w:r>
      <w:r>
        <w:rPr>
          <w:color w:val="231F20"/>
          <w:w w:val="110"/>
        </w:rPr>
        <w:t>son</w:t>
      </w:r>
      <w:r>
        <w:rPr>
          <w:color w:val="231F20"/>
          <w:spacing w:val="-7"/>
          <w:w w:val="110"/>
        </w:rPr>
        <w:t> </w:t>
      </w:r>
      <w:r>
        <w:rPr>
          <w:color w:val="231F20"/>
          <w:w w:val="110"/>
        </w:rPr>
        <w:t>fenómenos</w:t>
      </w:r>
      <w:r>
        <w:rPr>
          <w:color w:val="231F20"/>
          <w:spacing w:val="-7"/>
          <w:w w:val="110"/>
        </w:rPr>
        <w:t> </w:t>
      </w:r>
      <w:r>
        <w:rPr>
          <w:color w:val="231F20"/>
          <w:w w:val="110"/>
        </w:rPr>
        <w:t>nuevos,</w:t>
      </w:r>
      <w:r>
        <w:rPr>
          <w:color w:val="231F20"/>
          <w:spacing w:val="-7"/>
          <w:w w:val="110"/>
        </w:rPr>
        <w:t> </w:t>
      </w:r>
      <w:r>
        <w:rPr>
          <w:color w:val="231F20"/>
          <w:w w:val="110"/>
        </w:rPr>
        <w:t>pero</w:t>
      </w:r>
      <w:r>
        <w:rPr>
          <w:color w:val="231F20"/>
          <w:spacing w:val="-7"/>
          <w:w w:val="110"/>
        </w:rPr>
        <w:t> </w:t>
      </w:r>
      <w:r>
        <w:rPr>
          <w:color w:val="231F20"/>
          <w:w w:val="110"/>
        </w:rPr>
        <w:t>se</w:t>
      </w:r>
      <w:r>
        <w:rPr>
          <w:color w:val="231F20"/>
          <w:spacing w:val="-7"/>
          <w:w w:val="110"/>
        </w:rPr>
        <w:t> </w:t>
      </w:r>
      <w:r>
        <w:rPr>
          <w:color w:val="231F20"/>
          <w:w w:val="110"/>
        </w:rPr>
        <w:t>ampliaron.</w:t>
      </w:r>
      <w:r>
        <w:rPr>
          <w:color w:val="231F20"/>
          <w:spacing w:val="-7"/>
          <w:w w:val="110"/>
        </w:rPr>
        <w:t> </w:t>
      </w:r>
      <w:r>
        <w:rPr>
          <w:color w:val="231F20"/>
          <w:w w:val="110"/>
        </w:rPr>
        <w:t>La</w:t>
      </w:r>
      <w:r>
        <w:rPr>
          <w:color w:val="231F20"/>
          <w:spacing w:val="-7"/>
          <w:w w:val="110"/>
        </w:rPr>
        <w:t> </w:t>
      </w:r>
      <w:r>
        <w:rPr>
          <w:color w:val="231F20"/>
          <w:w w:val="110"/>
        </w:rPr>
        <w:t>tendencia</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mo- dificación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estructura</w:t>
      </w:r>
      <w:r>
        <w:rPr>
          <w:color w:val="231F20"/>
          <w:spacing w:val="-5"/>
          <w:w w:val="110"/>
        </w:rPr>
        <w:t> </w:t>
      </w:r>
      <w:r>
        <w:rPr>
          <w:color w:val="231F20"/>
          <w:w w:val="110"/>
        </w:rPr>
        <w:t>de</w:t>
      </w:r>
      <w:r>
        <w:rPr>
          <w:color w:val="231F20"/>
          <w:spacing w:val="-5"/>
          <w:w w:val="110"/>
        </w:rPr>
        <w:t> </w:t>
      </w:r>
      <w:r>
        <w:rPr>
          <w:color w:val="231F20"/>
          <w:w w:val="110"/>
        </w:rPr>
        <w:t>empleo</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formas</w:t>
      </w:r>
      <w:r>
        <w:rPr>
          <w:color w:val="231F20"/>
          <w:spacing w:val="-5"/>
          <w:w w:val="110"/>
        </w:rPr>
        <w:t> </w:t>
      </w:r>
      <w:r>
        <w:rPr>
          <w:color w:val="231F20"/>
          <w:w w:val="110"/>
        </w:rPr>
        <w:t>de</w:t>
      </w:r>
      <w:r>
        <w:rPr>
          <w:color w:val="231F20"/>
          <w:spacing w:val="-5"/>
          <w:w w:val="110"/>
        </w:rPr>
        <w:t> </w:t>
      </w:r>
      <w:r>
        <w:rPr>
          <w:color w:val="231F20"/>
          <w:w w:val="110"/>
        </w:rPr>
        <w:t>contratación y</w:t>
      </w:r>
      <w:r>
        <w:rPr>
          <w:color w:val="231F20"/>
          <w:spacing w:val="-4"/>
          <w:w w:val="110"/>
        </w:rPr>
        <w:t> </w:t>
      </w:r>
      <w:r>
        <w:rPr>
          <w:color w:val="231F20"/>
          <w:w w:val="110"/>
        </w:rPr>
        <w:t>uso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mano</w:t>
      </w:r>
      <w:r>
        <w:rPr>
          <w:color w:val="231F20"/>
          <w:spacing w:val="-4"/>
          <w:w w:val="110"/>
        </w:rPr>
        <w:t> </w:t>
      </w:r>
      <w:r>
        <w:rPr>
          <w:color w:val="231F20"/>
          <w:w w:val="110"/>
        </w:rPr>
        <w:t>de</w:t>
      </w:r>
      <w:r>
        <w:rPr>
          <w:color w:val="231F20"/>
          <w:spacing w:val="-4"/>
          <w:w w:val="110"/>
        </w:rPr>
        <w:t> </w:t>
      </w:r>
      <w:r>
        <w:rPr>
          <w:color w:val="231F20"/>
          <w:w w:val="110"/>
        </w:rPr>
        <w:t>obra.</w:t>
      </w:r>
      <w:r>
        <w:rPr>
          <w:color w:val="231F20"/>
          <w:spacing w:val="-4"/>
          <w:w w:val="110"/>
        </w:rPr>
        <w:t> </w:t>
      </w:r>
      <w:r>
        <w:rPr>
          <w:color w:val="231F20"/>
          <w:w w:val="110"/>
        </w:rPr>
        <w:t>La</w:t>
      </w:r>
      <w:r>
        <w:rPr>
          <w:color w:val="231F20"/>
          <w:spacing w:val="-4"/>
          <w:w w:val="110"/>
        </w:rPr>
        <w:t> </w:t>
      </w:r>
      <w:r>
        <w:rPr>
          <w:color w:val="231F20"/>
          <w:w w:val="110"/>
        </w:rPr>
        <w:t>desigualdad</w:t>
      </w:r>
      <w:r>
        <w:rPr>
          <w:color w:val="231F20"/>
          <w:spacing w:val="-4"/>
          <w:w w:val="110"/>
        </w:rPr>
        <w:t> </w:t>
      </w:r>
      <w:r>
        <w:rPr>
          <w:color w:val="231F20"/>
          <w:w w:val="110"/>
        </w:rPr>
        <w:t>salarial</w:t>
      </w:r>
      <w:r>
        <w:rPr>
          <w:color w:val="231F20"/>
          <w:spacing w:val="-4"/>
          <w:w w:val="110"/>
        </w:rPr>
        <w:t> </w:t>
      </w:r>
      <w:r>
        <w:rPr>
          <w:color w:val="231F20"/>
          <w:w w:val="110"/>
        </w:rPr>
        <w:t>es</w:t>
      </w:r>
      <w:r>
        <w:rPr>
          <w:color w:val="231F20"/>
          <w:spacing w:val="-4"/>
          <w:w w:val="110"/>
        </w:rPr>
        <w:t> </w:t>
      </w:r>
      <w:r>
        <w:rPr>
          <w:color w:val="231F20"/>
          <w:w w:val="110"/>
        </w:rPr>
        <w:t>mayor</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de hace tres decenios. Con el deterioro de la calidad de los empleos, el salario medio de los trabajadores privados se ha </w:t>
      </w:r>
      <w:r>
        <w:rPr>
          <w:color w:val="231F20"/>
          <w:spacing w:val="4"/>
          <w:w w:val="110"/>
        </w:rPr>
        <w:t> </w:t>
      </w:r>
      <w:r>
        <w:rPr>
          <w:color w:val="231F20"/>
          <w:w w:val="110"/>
        </w:rPr>
        <w:t>deteriorado.</w:t>
      </w:r>
    </w:p>
    <w:p>
      <w:pPr>
        <w:pStyle w:val="BodyText"/>
        <w:spacing w:line="261" w:lineRule="auto"/>
        <w:ind w:left="100" w:right="119" w:firstLine="240"/>
        <w:jc w:val="both"/>
      </w:pPr>
      <w:r>
        <w:rPr>
          <w:color w:val="231F20"/>
          <w:w w:val="110"/>
        </w:rPr>
        <w:t>La precariedad laboral es la forma típica de explotación del</w:t>
      </w:r>
      <w:r>
        <w:rPr>
          <w:color w:val="231F20"/>
          <w:spacing w:val="-36"/>
          <w:w w:val="110"/>
        </w:rPr>
        <w:t> </w:t>
      </w:r>
      <w:r>
        <w:rPr>
          <w:color w:val="231F20"/>
          <w:w w:val="110"/>
        </w:rPr>
        <w:t>traba- jo en la era de la globalización, promovida por el aumento de la competencia económica internacional y las estrategias</w:t>
      </w:r>
      <w:r>
        <w:rPr>
          <w:color w:val="231F20"/>
          <w:spacing w:val="-39"/>
          <w:w w:val="110"/>
        </w:rPr>
        <w:t> </w:t>
      </w:r>
      <w:r>
        <w:rPr>
          <w:color w:val="231F20"/>
          <w:w w:val="110"/>
        </w:rPr>
        <w:t>empresariales orientadas a la maximización de las ganancias, con base en la</w:t>
      </w:r>
      <w:r>
        <w:rPr>
          <w:color w:val="231F20"/>
          <w:spacing w:val="-27"/>
          <w:w w:val="110"/>
        </w:rPr>
        <w:t> </w:t>
      </w:r>
      <w:r>
        <w:rPr>
          <w:color w:val="231F20"/>
          <w:w w:val="110"/>
        </w:rPr>
        <w:t>reduc- ción de los costos de la fuerza de trabajo. La precariedad describe el carácter flexible, desprotegido e inseguro del trabajo en la</w:t>
      </w:r>
      <w:r>
        <w:rPr>
          <w:color w:val="231F20"/>
          <w:spacing w:val="-17"/>
          <w:w w:val="110"/>
        </w:rPr>
        <w:t> </w:t>
      </w:r>
      <w:r>
        <w:rPr>
          <w:color w:val="231F20"/>
          <w:w w:val="110"/>
        </w:rPr>
        <w:t>economía neoliberal (Castillo, 2009a). El derrumbe de la “sociedad salarial” determinó la proliferación del empleo precario en las economías de mercado, con el consiguiente desmantelamiento progresivo de las conquistas de la clase trabajadora durante la etapa previa de la</w:t>
      </w:r>
      <w:r>
        <w:rPr>
          <w:color w:val="231F20"/>
          <w:spacing w:val="-19"/>
          <w:w w:val="110"/>
        </w:rPr>
        <w:t> </w:t>
      </w:r>
      <w:r>
        <w:rPr>
          <w:color w:val="231F20"/>
          <w:w w:val="110"/>
        </w:rPr>
        <w:t>hege- monía del Estado </w:t>
      </w:r>
      <w:r>
        <w:rPr>
          <w:color w:val="231F20"/>
          <w:spacing w:val="-3"/>
          <w:w w:val="110"/>
        </w:rPr>
        <w:t>benefactor. </w:t>
      </w:r>
      <w:r>
        <w:rPr>
          <w:color w:val="231F20"/>
          <w:w w:val="110"/>
        </w:rPr>
        <w:t>La precarización no corresponde a una situación particular de los países más atrasados o más afectados por las contradicciones y crisis del modelo neoliberal. El fenómeno se cruza a todos los niveles. El trabajo precario corresponde a una ten- dencia general y compleja, que igualmente se está gestando en las economías más desarrolladas. El concepto de precariedad laboral describe</w:t>
      </w:r>
      <w:r>
        <w:rPr>
          <w:color w:val="231F20"/>
          <w:spacing w:val="-16"/>
          <w:w w:val="110"/>
        </w:rPr>
        <w:t> </w:t>
      </w:r>
      <w:r>
        <w:rPr>
          <w:color w:val="231F20"/>
          <w:w w:val="110"/>
        </w:rPr>
        <w:t>las</w:t>
      </w:r>
      <w:r>
        <w:rPr>
          <w:color w:val="231F20"/>
          <w:spacing w:val="-16"/>
          <w:w w:val="110"/>
        </w:rPr>
        <w:t> </w:t>
      </w:r>
      <w:r>
        <w:rPr>
          <w:color w:val="231F20"/>
          <w:w w:val="110"/>
        </w:rPr>
        <w:t>condiciones</w:t>
      </w:r>
      <w:r>
        <w:rPr>
          <w:color w:val="231F20"/>
          <w:spacing w:val="-16"/>
          <w:w w:val="110"/>
        </w:rPr>
        <w:t> </w:t>
      </w:r>
      <w:r>
        <w:rPr>
          <w:color w:val="231F20"/>
          <w:w w:val="110"/>
        </w:rPr>
        <w:t>deficitarias</w:t>
      </w:r>
      <w:r>
        <w:rPr>
          <w:color w:val="231F20"/>
          <w:spacing w:val="-16"/>
          <w:w w:val="110"/>
        </w:rPr>
        <w:t> </w:t>
      </w:r>
      <w:r>
        <w:rPr>
          <w:color w:val="231F20"/>
          <w:w w:val="110"/>
        </w:rPr>
        <w:t>generadas</w:t>
      </w:r>
      <w:r>
        <w:rPr>
          <w:color w:val="231F20"/>
          <w:spacing w:val="-16"/>
          <w:w w:val="110"/>
        </w:rPr>
        <w:t> </w:t>
      </w:r>
      <w:r>
        <w:rPr>
          <w:color w:val="231F20"/>
          <w:w w:val="110"/>
        </w:rPr>
        <w:t>por</w:t>
      </w:r>
      <w:r>
        <w:rPr>
          <w:color w:val="231F20"/>
          <w:spacing w:val="-16"/>
          <w:w w:val="110"/>
        </w:rPr>
        <w:t> </w:t>
      </w:r>
      <w:r>
        <w:rPr>
          <w:color w:val="231F20"/>
          <w:w w:val="110"/>
        </w:rPr>
        <w:t>la</w:t>
      </w:r>
      <w:r>
        <w:rPr>
          <w:color w:val="231F20"/>
          <w:spacing w:val="-16"/>
          <w:w w:val="110"/>
        </w:rPr>
        <w:t> </w:t>
      </w:r>
      <w:r>
        <w:rPr>
          <w:color w:val="231F20"/>
          <w:w w:val="110"/>
        </w:rPr>
        <w:t>organización</w:t>
      </w:r>
      <w:r>
        <w:rPr>
          <w:color w:val="231F20"/>
          <w:spacing w:val="-16"/>
          <w:w w:val="110"/>
        </w:rPr>
        <w:t> </w:t>
      </w:r>
      <w:r>
        <w:rPr>
          <w:color w:val="231F20"/>
          <w:w w:val="110"/>
        </w:rPr>
        <w:t>de la</w:t>
      </w:r>
      <w:r>
        <w:rPr>
          <w:color w:val="231F20"/>
          <w:spacing w:val="-5"/>
          <w:w w:val="110"/>
        </w:rPr>
        <w:t> </w:t>
      </w:r>
      <w:r>
        <w:rPr>
          <w:color w:val="231F20"/>
          <w:w w:val="110"/>
        </w:rPr>
        <w:t>producción</w:t>
      </w:r>
      <w:r>
        <w:rPr>
          <w:color w:val="231F20"/>
          <w:spacing w:val="-5"/>
          <w:w w:val="110"/>
        </w:rPr>
        <w:t> </w:t>
      </w:r>
      <w:r>
        <w:rPr>
          <w:color w:val="231F20"/>
          <w:w w:val="110"/>
        </w:rPr>
        <w:t>y</w:t>
      </w:r>
      <w:r>
        <w:rPr>
          <w:color w:val="231F20"/>
          <w:spacing w:val="-5"/>
          <w:w w:val="110"/>
        </w:rPr>
        <w:t> </w:t>
      </w:r>
      <w:r>
        <w:rPr>
          <w:color w:val="231F20"/>
          <w:w w:val="110"/>
        </w:rPr>
        <w:t>gestión</w:t>
      </w:r>
      <w:r>
        <w:rPr>
          <w:color w:val="231F20"/>
          <w:spacing w:val="-5"/>
          <w:w w:val="110"/>
        </w:rPr>
        <w:t> </w:t>
      </w:r>
      <w:r>
        <w:rPr>
          <w:color w:val="231F20"/>
          <w:w w:val="110"/>
        </w:rPr>
        <w:t>del</w:t>
      </w:r>
      <w:r>
        <w:rPr>
          <w:color w:val="231F20"/>
          <w:spacing w:val="-5"/>
          <w:w w:val="110"/>
        </w:rPr>
        <w:t> </w:t>
      </w:r>
      <w:r>
        <w:rPr>
          <w:color w:val="231F20"/>
          <w:w w:val="110"/>
        </w:rPr>
        <w:t>trabajo,</w:t>
      </w:r>
      <w:r>
        <w:rPr>
          <w:color w:val="231F20"/>
          <w:spacing w:val="-5"/>
          <w:w w:val="110"/>
        </w:rPr>
        <w:t> </w:t>
      </w:r>
      <w:r>
        <w:rPr>
          <w:color w:val="231F20"/>
          <w:w w:val="110"/>
        </w:rPr>
        <w:t>determinada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“nueva”</w:t>
      </w:r>
      <w:r>
        <w:rPr>
          <w:color w:val="231F20"/>
          <w:spacing w:val="-5"/>
          <w:w w:val="110"/>
        </w:rPr>
        <w:t> </w:t>
      </w:r>
      <w:r>
        <w:rPr>
          <w:color w:val="231F20"/>
          <w:w w:val="110"/>
        </w:rPr>
        <w:t>rela- ción</w:t>
      </w:r>
      <w:r>
        <w:rPr>
          <w:color w:val="231F20"/>
          <w:spacing w:val="-20"/>
          <w:w w:val="110"/>
        </w:rPr>
        <w:t> </w:t>
      </w:r>
      <w:r>
        <w:rPr>
          <w:color w:val="231F20"/>
          <w:w w:val="110"/>
        </w:rPr>
        <w:t>capital-trabajo.</w:t>
      </w:r>
      <w:r>
        <w:rPr>
          <w:color w:val="231F20"/>
          <w:spacing w:val="-20"/>
          <w:w w:val="110"/>
        </w:rPr>
        <w:t> </w:t>
      </w:r>
      <w:r>
        <w:rPr>
          <w:color w:val="231F20"/>
          <w:w w:val="110"/>
        </w:rPr>
        <w:t>En</w:t>
      </w:r>
      <w:r>
        <w:rPr>
          <w:color w:val="231F20"/>
          <w:spacing w:val="-20"/>
          <w:w w:val="110"/>
        </w:rPr>
        <w:t> </w:t>
      </w:r>
      <w:r>
        <w:rPr>
          <w:color w:val="231F20"/>
          <w:spacing w:val="-3"/>
          <w:w w:val="110"/>
        </w:rPr>
        <w:t>particular,</w:t>
      </w:r>
      <w:r>
        <w:rPr>
          <w:color w:val="231F20"/>
          <w:spacing w:val="-20"/>
          <w:w w:val="110"/>
        </w:rPr>
        <w:t> </w:t>
      </w:r>
      <w:r>
        <w:rPr>
          <w:color w:val="231F20"/>
          <w:w w:val="110"/>
        </w:rPr>
        <w:t>en</w:t>
      </w:r>
      <w:r>
        <w:rPr>
          <w:color w:val="231F20"/>
          <w:spacing w:val="-20"/>
          <w:w w:val="110"/>
        </w:rPr>
        <w:t> </w:t>
      </w:r>
      <w:r>
        <w:rPr>
          <w:color w:val="231F20"/>
          <w:w w:val="110"/>
        </w:rPr>
        <w:t>Estados</w:t>
      </w:r>
      <w:r>
        <w:rPr>
          <w:color w:val="231F20"/>
          <w:spacing w:val="-20"/>
          <w:w w:val="110"/>
        </w:rPr>
        <w:t> </w:t>
      </w:r>
      <w:r>
        <w:rPr>
          <w:color w:val="231F20"/>
          <w:w w:val="110"/>
        </w:rPr>
        <w:t>Unidos,</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adopción del</w:t>
      </w:r>
      <w:r>
        <w:rPr>
          <w:color w:val="231F20"/>
          <w:spacing w:val="-23"/>
          <w:w w:val="110"/>
        </w:rPr>
        <w:t> </w:t>
      </w:r>
      <w:r>
        <w:rPr>
          <w:color w:val="231F20"/>
          <w:w w:val="110"/>
        </w:rPr>
        <w:t>modelo</w:t>
      </w:r>
      <w:r>
        <w:rPr>
          <w:color w:val="231F20"/>
          <w:spacing w:val="-23"/>
          <w:w w:val="110"/>
        </w:rPr>
        <w:t> </w:t>
      </w:r>
      <w:r>
        <w:rPr>
          <w:color w:val="231F20"/>
          <w:w w:val="110"/>
        </w:rPr>
        <w:t>laboral</w:t>
      </w:r>
      <w:r>
        <w:rPr>
          <w:color w:val="231F20"/>
          <w:spacing w:val="-23"/>
          <w:w w:val="110"/>
        </w:rPr>
        <w:t> </w:t>
      </w:r>
      <w:r>
        <w:rPr>
          <w:color w:val="231F20"/>
          <w:w w:val="110"/>
        </w:rPr>
        <w:t>neoliberal,</w:t>
      </w:r>
      <w:r>
        <w:rPr>
          <w:color w:val="231F20"/>
          <w:spacing w:val="-23"/>
          <w:w w:val="110"/>
        </w:rPr>
        <w:t> </w:t>
      </w:r>
      <w:r>
        <w:rPr>
          <w:color w:val="231F20"/>
          <w:w w:val="110"/>
        </w:rPr>
        <w:t>se</w:t>
      </w:r>
      <w:r>
        <w:rPr>
          <w:color w:val="231F20"/>
          <w:spacing w:val="-23"/>
          <w:w w:val="110"/>
        </w:rPr>
        <w:t> </w:t>
      </w:r>
      <w:r>
        <w:rPr>
          <w:color w:val="231F20"/>
          <w:w w:val="110"/>
        </w:rPr>
        <w:t>generaron</w:t>
      </w:r>
      <w:r>
        <w:rPr>
          <w:color w:val="231F20"/>
          <w:spacing w:val="-23"/>
          <w:w w:val="110"/>
        </w:rPr>
        <w:t> </w:t>
      </w:r>
      <w:r>
        <w:rPr>
          <w:color w:val="231F20"/>
          <w:w w:val="110"/>
        </w:rPr>
        <w:t>diversas</w:t>
      </w:r>
      <w:r>
        <w:rPr>
          <w:color w:val="231F20"/>
          <w:spacing w:val="-23"/>
          <w:w w:val="110"/>
        </w:rPr>
        <w:t> </w:t>
      </w:r>
      <w:r>
        <w:rPr>
          <w:color w:val="231F20"/>
          <w:w w:val="110"/>
        </w:rPr>
        <w:t>formas</w:t>
      </w:r>
      <w:r>
        <w:rPr>
          <w:color w:val="231F20"/>
          <w:spacing w:val="-23"/>
          <w:w w:val="110"/>
        </w:rPr>
        <w:t> </w:t>
      </w:r>
      <w:r>
        <w:rPr>
          <w:color w:val="231F20"/>
          <w:w w:val="110"/>
        </w:rPr>
        <w:t>“atípicas” de relaciones de contratación y gestión de la fuerza de</w:t>
      </w:r>
      <w:r>
        <w:rPr>
          <w:color w:val="231F20"/>
          <w:spacing w:val="27"/>
          <w:w w:val="110"/>
        </w:rPr>
        <w:t> </w:t>
      </w:r>
      <w:r>
        <w:rPr>
          <w:color w:val="231F20"/>
          <w:w w:val="110"/>
        </w:rPr>
        <w:t>trabajo.</w:t>
      </w:r>
    </w:p>
    <w:p>
      <w:pPr>
        <w:pStyle w:val="BodyText"/>
        <w:spacing w:line="261" w:lineRule="auto"/>
        <w:ind w:left="100" w:right="119" w:firstLine="240"/>
        <w:jc w:val="both"/>
      </w:pPr>
      <w:r>
        <w:rPr>
          <w:color w:val="231F20"/>
          <w:w w:val="110"/>
        </w:rPr>
        <w:t>El presente artículo analiza la problemática de la calidad del em- pleo en el entorno general del modelo neoliberal adoptado en  Esta-</w:t>
      </w:r>
    </w:p>
    <w:p>
      <w:pPr>
        <w:spacing w:after="0" w:line="261" w:lineRule="auto"/>
        <w:jc w:val="both"/>
        <w:sectPr>
          <w:headerReference w:type="default" r:id="rId182"/>
          <w:headerReference w:type="even" r:id="rId183"/>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dos Unidos a mediados de los años setenta, considerando el proceso de</w:t>
      </w:r>
      <w:r>
        <w:rPr>
          <w:color w:val="231F20"/>
          <w:spacing w:val="-8"/>
          <w:w w:val="110"/>
        </w:rPr>
        <w:t> </w:t>
      </w:r>
      <w:r>
        <w:rPr>
          <w:color w:val="231F20"/>
          <w:w w:val="110"/>
        </w:rPr>
        <w:t>acumulación</w:t>
      </w:r>
      <w:r>
        <w:rPr>
          <w:color w:val="231F20"/>
          <w:spacing w:val="-8"/>
          <w:w w:val="110"/>
        </w:rPr>
        <w:t> </w:t>
      </w:r>
      <w:r>
        <w:rPr>
          <w:color w:val="231F20"/>
          <w:w w:val="110"/>
        </w:rPr>
        <w:t>capitalista,</w:t>
      </w:r>
      <w:r>
        <w:rPr>
          <w:color w:val="231F20"/>
          <w:spacing w:val="-8"/>
          <w:w w:val="110"/>
        </w:rPr>
        <w:t> </w:t>
      </w:r>
      <w:r>
        <w:rPr>
          <w:color w:val="231F20"/>
          <w:w w:val="110"/>
        </w:rPr>
        <w:t>la</w:t>
      </w:r>
      <w:r>
        <w:rPr>
          <w:color w:val="231F20"/>
          <w:spacing w:val="-8"/>
          <w:w w:val="110"/>
        </w:rPr>
        <w:t> </w:t>
      </w:r>
      <w:r>
        <w:rPr>
          <w:color w:val="231F20"/>
          <w:w w:val="110"/>
        </w:rPr>
        <w:t>reestructuración</w:t>
      </w:r>
      <w:r>
        <w:rPr>
          <w:color w:val="231F20"/>
          <w:spacing w:val="-8"/>
          <w:w w:val="110"/>
        </w:rPr>
        <w:t> </w:t>
      </w:r>
      <w:r>
        <w:rPr>
          <w:color w:val="231F20"/>
          <w:w w:val="110"/>
        </w:rPr>
        <w:t>económica</w:t>
      </w:r>
      <w:r>
        <w:rPr>
          <w:color w:val="231F20"/>
          <w:spacing w:val="-8"/>
          <w:w w:val="110"/>
        </w:rPr>
        <w:t> </w:t>
      </w:r>
      <w:r>
        <w:rPr>
          <w:color w:val="231F20"/>
          <w:w w:val="110"/>
        </w:rPr>
        <w:t>—particu- larmente la desindustrialización y deslocalización del trabajo— y la dinámica</w:t>
      </w:r>
      <w:r>
        <w:rPr>
          <w:color w:val="231F20"/>
          <w:spacing w:val="-7"/>
          <w:w w:val="110"/>
        </w:rPr>
        <w:t> </w:t>
      </w:r>
      <w:r>
        <w:rPr>
          <w:color w:val="231F20"/>
          <w:w w:val="110"/>
        </w:rPr>
        <w:t>del</w:t>
      </w:r>
      <w:r>
        <w:rPr>
          <w:color w:val="231F20"/>
          <w:spacing w:val="-7"/>
          <w:w w:val="110"/>
        </w:rPr>
        <w:t> </w:t>
      </w:r>
      <w:r>
        <w:rPr>
          <w:color w:val="231F20"/>
          <w:w w:val="110"/>
        </w:rPr>
        <w:t>mercado</w:t>
      </w:r>
      <w:r>
        <w:rPr>
          <w:color w:val="231F20"/>
          <w:spacing w:val="-7"/>
          <w:w w:val="110"/>
        </w:rPr>
        <w:t> </w:t>
      </w:r>
      <w:r>
        <w:rPr>
          <w:color w:val="231F20"/>
          <w:w w:val="110"/>
        </w:rPr>
        <w:t>de</w:t>
      </w:r>
      <w:r>
        <w:rPr>
          <w:color w:val="231F20"/>
          <w:spacing w:val="-7"/>
          <w:w w:val="110"/>
        </w:rPr>
        <w:t> </w:t>
      </w:r>
      <w:r>
        <w:rPr>
          <w:color w:val="231F20"/>
          <w:w w:val="110"/>
        </w:rPr>
        <w:t>trabajo</w:t>
      </w:r>
      <w:r>
        <w:rPr>
          <w:color w:val="231F20"/>
          <w:spacing w:val="-7"/>
          <w:w w:val="110"/>
        </w:rPr>
        <w:t> </w:t>
      </w:r>
      <w:r>
        <w:rPr>
          <w:color w:val="231F20"/>
          <w:w w:val="110"/>
        </w:rPr>
        <w:t>(el</w:t>
      </w:r>
      <w:r>
        <w:rPr>
          <w:color w:val="231F20"/>
          <w:spacing w:val="-7"/>
          <w:w w:val="110"/>
        </w:rPr>
        <w:t> </w:t>
      </w:r>
      <w:r>
        <w:rPr>
          <w:color w:val="231F20"/>
          <w:w w:val="110"/>
        </w:rPr>
        <w:t>desempleo,</w:t>
      </w:r>
      <w:r>
        <w:rPr>
          <w:color w:val="231F20"/>
          <w:spacing w:val="-7"/>
          <w:w w:val="110"/>
        </w:rPr>
        <w:t> </w:t>
      </w:r>
      <w:r>
        <w:rPr>
          <w:color w:val="231F20"/>
          <w:w w:val="110"/>
        </w:rPr>
        <w:t>el</w:t>
      </w:r>
      <w:r>
        <w:rPr>
          <w:color w:val="231F20"/>
          <w:spacing w:val="-7"/>
          <w:w w:val="110"/>
        </w:rPr>
        <w:t> </w:t>
      </w:r>
      <w:r>
        <w:rPr>
          <w:color w:val="231F20"/>
          <w:w w:val="110"/>
        </w:rPr>
        <w:t>trabajo</w:t>
      </w:r>
      <w:r>
        <w:rPr>
          <w:color w:val="231F20"/>
          <w:spacing w:val="-7"/>
          <w:w w:val="110"/>
        </w:rPr>
        <w:t> </w:t>
      </w:r>
      <w:r>
        <w:rPr>
          <w:color w:val="231F20"/>
          <w:w w:val="110"/>
        </w:rPr>
        <w:t>informal</w:t>
      </w:r>
      <w:r>
        <w:rPr>
          <w:color w:val="231F20"/>
          <w:spacing w:val="-7"/>
          <w:w w:val="110"/>
        </w:rPr>
        <w:t> </w:t>
      </w:r>
      <w:r>
        <w:rPr>
          <w:color w:val="231F20"/>
          <w:w w:val="110"/>
        </w:rPr>
        <w:t>y la precarización laboral) en el entorno de la crisis. El planteamiento central del trabajo intenta sostener que bajo las condiciones estruc- turales actuales generadas por el neoliberalismo y sus tendencias, acentuadas con la crisis económica, se incrementó sustancialmente la tasa de ganancia capitalista y con ella, la sobreexplotación del trabajo, con los consecuentes efectos sobre el desempleo, la infor- malidad, la precariedad laboral y la desigual distribución salarial,</w:t>
      </w:r>
      <w:r>
        <w:rPr>
          <w:color w:val="231F20"/>
          <w:spacing w:val="-12"/>
          <w:w w:val="110"/>
        </w:rPr>
        <w:t> </w:t>
      </w:r>
      <w:r>
        <w:rPr>
          <w:color w:val="231F20"/>
          <w:w w:val="110"/>
        </w:rPr>
        <w:t>en particular</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nuevos</w:t>
      </w:r>
      <w:r>
        <w:rPr>
          <w:color w:val="231F20"/>
          <w:spacing w:val="-9"/>
          <w:w w:val="110"/>
        </w:rPr>
        <w:t> </w:t>
      </w:r>
      <w:r>
        <w:rPr>
          <w:color w:val="231F20"/>
          <w:w w:val="110"/>
        </w:rPr>
        <w:t>puestos</w:t>
      </w:r>
      <w:r>
        <w:rPr>
          <w:color w:val="231F20"/>
          <w:spacing w:val="-9"/>
          <w:w w:val="110"/>
        </w:rPr>
        <w:t> </w:t>
      </w:r>
      <w:r>
        <w:rPr>
          <w:color w:val="231F20"/>
          <w:w w:val="110"/>
        </w:rPr>
        <w:t>de</w:t>
      </w:r>
      <w:r>
        <w:rPr>
          <w:color w:val="231F20"/>
          <w:spacing w:val="-9"/>
          <w:w w:val="110"/>
        </w:rPr>
        <w:t> </w:t>
      </w:r>
      <w:r>
        <w:rPr>
          <w:color w:val="231F20"/>
          <w:w w:val="110"/>
        </w:rPr>
        <w:t>trabajo</w:t>
      </w:r>
      <w:r>
        <w:rPr>
          <w:color w:val="231F20"/>
          <w:spacing w:val="-9"/>
          <w:w w:val="110"/>
        </w:rPr>
        <w:t> </w:t>
      </w:r>
      <w:r>
        <w:rPr>
          <w:color w:val="231F20"/>
          <w:w w:val="110"/>
        </w:rPr>
        <w:t>y</w:t>
      </w:r>
      <w:r>
        <w:rPr>
          <w:color w:val="231F20"/>
          <w:spacing w:val="-9"/>
          <w:w w:val="110"/>
        </w:rPr>
        <w:t> </w:t>
      </w:r>
      <w:r>
        <w:rPr>
          <w:color w:val="231F20"/>
          <w:w w:val="110"/>
        </w:rPr>
        <w:t>sus</w:t>
      </w:r>
      <w:r>
        <w:rPr>
          <w:color w:val="231F20"/>
          <w:spacing w:val="-9"/>
          <w:w w:val="110"/>
        </w:rPr>
        <w:t> </w:t>
      </w:r>
      <w:r>
        <w:rPr>
          <w:color w:val="231F20"/>
          <w:w w:val="110"/>
        </w:rPr>
        <w:t>consecuencias</w:t>
      </w:r>
      <w:r>
        <w:rPr>
          <w:color w:val="231F20"/>
          <w:spacing w:val="-9"/>
          <w:w w:val="110"/>
        </w:rPr>
        <w:t> </w:t>
      </w:r>
      <w:r>
        <w:rPr>
          <w:color w:val="231F20"/>
          <w:w w:val="110"/>
        </w:rPr>
        <w:t>sobre los</w:t>
      </w:r>
      <w:r>
        <w:rPr>
          <w:color w:val="231F20"/>
          <w:spacing w:val="-17"/>
          <w:w w:val="110"/>
        </w:rPr>
        <w:t> </w:t>
      </w:r>
      <w:r>
        <w:rPr>
          <w:color w:val="231F20"/>
          <w:w w:val="110"/>
        </w:rPr>
        <w:t>trabajadores</w:t>
      </w:r>
      <w:r>
        <w:rPr>
          <w:color w:val="231F20"/>
          <w:spacing w:val="-17"/>
          <w:w w:val="110"/>
        </w:rPr>
        <w:t> </w:t>
      </w:r>
      <w:r>
        <w:rPr>
          <w:color w:val="231F20"/>
          <w:w w:val="110"/>
        </w:rPr>
        <w:t>de</w:t>
      </w:r>
      <w:r>
        <w:rPr>
          <w:color w:val="231F20"/>
          <w:spacing w:val="-17"/>
          <w:w w:val="110"/>
        </w:rPr>
        <w:t> </w:t>
      </w:r>
      <w:r>
        <w:rPr>
          <w:color w:val="231F20"/>
          <w:w w:val="110"/>
        </w:rPr>
        <w:t>ambos</w:t>
      </w:r>
      <w:r>
        <w:rPr>
          <w:color w:val="231F20"/>
          <w:spacing w:val="-17"/>
          <w:w w:val="110"/>
        </w:rPr>
        <w:t> </w:t>
      </w:r>
      <w:r>
        <w:rPr>
          <w:color w:val="231F20"/>
          <w:w w:val="110"/>
        </w:rPr>
        <w:t>sexos,</w:t>
      </w:r>
      <w:r>
        <w:rPr>
          <w:color w:val="231F20"/>
          <w:spacing w:val="-17"/>
          <w:w w:val="110"/>
        </w:rPr>
        <w:t> </w:t>
      </w:r>
      <w:r>
        <w:rPr>
          <w:color w:val="231F20"/>
          <w:w w:val="110"/>
        </w:rPr>
        <w:t>jóvenes,</w:t>
      </w:r>
      <w:r>
        <w:rPr>
          <w:color w:val="231F20"/>
          <w:spacing w:val="-17"/>
          <w:w w:val="110"/>
        </w:rPr>
        <w:t> </w:t>
      </w:r>
      <w:r>
        <w:rPr>
          <w:color w:val="231F20"/>
          <w:w w:val="110"/>
        </w:rPr>
        <w:t>nativos</w:t>
      </w:r>
      <w:r>
        <w:rPr>
          <w:color w:val="231F20"/>
          <w:spacing w:val="-17"/>
          <w:w w:val="110"/>
        </w:rPr>
        <w:t> </w:t>
      </w:r>
      <w:r>
        <w:rPr>
          <w:color w:val="231F20"/>
          <w:w w:val="110"/>
        </w:rPr>
        <w:t>e</w:t>
      </w:r>
      <w:r>
        <w:rPr>
          <w:color w:val="231F20"/>
          <w:spacing w:val="-17"/>
          <w:w w:val="110"/>
        </w:rPr>
        <w:t> </w:t>
      </w:r>
      <w:r>
        <w:rPr>
          <w:color w:val="231F20"/>
          <w:w w:val="110"/>
        </w:rPr>
        <w:t>inmigrantes,</w:t>
      </w:r>
      <w:r>
        <w:rPr>
          <w:color w:val="231F20"/>
          <w:spacing w:val="-17"/>
          <w:w w:val="110"/>
        </w:rPr>
        <w:t> </w:t>
      </w:r>
      <w:r>
        <w:rPr>
          <w:color w:val="231F20"/>
          <w:w w:val="110"/>
        </w:rPr>
        <w:t>estos últimos por enfrentar condiciones de empleo y salariales cada vez más desfavorables, en un mercado de trabajo tendencialmente más restringido, competitivo e</w:t>
      </w:r>
      <w:r>
        <w:rPr>
          <w:color w:val="231F20"/>
          <w:spacing w:val="4"/>
          <w:w w:val="110"/>
        </w:rPr>
        <w:t> </w:t>
      </w:r>
      <w:r>
        <w:rPr>
          <w:color w:val="231F20"/>
          <w:w w:val="110"/>
        </w:rPr>
        <w:t>inestable.</w:t>
      </w:r>
    </w:p>
    <w:p>
      <w:pPr>
        <w:pStyle w:val="BodyText"/>
      </w:pPr>
    </w:p>
    <w:p>
      <w:pPr>
        <w:pStyle w:val="BodyText"/>
      </w:pPr>
    </w:p>
    <w:p>
      <w:pPr>
        <w:pStyle w:val="BodyText"/>
        <w:spacing w:before="2"/>
        <w:rPr>
          <w:sz w:val="25"/>
        </w:rPr>
      </w:pPr>
    </w:p>
    <w:p>
      <w:pPr>
        <w:pStyle w:val="BodyText"/>
        <w:spacing w:line="261" w:lineRule="auto"/>
        <w:ind w:left="100" w:right="2240"/>
      </w:pPr>
      <w:r>
        <w:rPr>
          <w:color w:val="231F20"/>
          <w:w w:val="125"/>
        </w:rPr>
        <w:t>el neoliberalismo, la crisis económica </w:t>
      </w:r>
      <w:r>
        <w:rPr>
          <w:color w:val="231F20"/>
          <w:w w:val="130"/>
        </w:rPr>
        <w:t>y la sobreexplotación del trabajo</w:t>
      </w:r>
    </w:p>
    <w:p>
      <w:pPr>
        <w:pStyle w:val="BodyText"/>
        <w:spacing w:before="8"/>
        <w:rPr>
          <w:sz w:val="21"/>
        </w:rPr>
      </w:pPr>
    </w:p>
    <w:p>
      <w:pPr>
        <w:pStyle w:val="BodyText"/>
        <w:spacing w:line="261" w:lineRule="auto"/>
        <w:ind w:left="100" w:right="117"/>
        <w:jc w:val="both"/>
      </w:pPr>
      <w:r>
        <w:rPr>
          <w:color w:val="231F20"/>
          <w:w w:val="110"/>
        </w:rPr>
        <w:t>El neoliberalismo tiene como antecedente económico la crisis ca- pitalista de mediados de los años setenta, la consecuente caída de   la tasa de ganancia de los sectores empresariales y las estrategias adoptadas orientadas a revertir dicha tendencia. De la misma forma que el modelo de Estado de bienestar fue la respuesta a la crisis de sobreproducción de finales de los años veinte y comienzos de los treinta, con todo lo que ello implicó en términos de las conquistas sociales y políticas de la clase trabajadora, el neoliberalismo repre- sentó el intento de salida de la crisis de acumulación capitalista, al poner en práctica una ofensiva política sistemática en contra de la clase trabajadora, con la consiguiente desvalorización de la fuerza de trabajo, la redistribución de los ingresos y salarios a favor de las clases capitalistas, así como la desarticulación y aniquilamiento de las organizaciones obreras. El empleo estable, asalariado, a tiempo completo, con garantías y prestaciones sociales, representó la base del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bienestar.</w:t>
      </w:r>
      <w:r>
        <w:rPr>
          <w:color w:val="231F20"/>
          <w:spacing w:val="-11"/>
          <w:w w:val="110"/>
        </w:rPr>
        <w:t> </w:t>
      </w:r>
      <w:r>
        <w:rPr>
          <w:color w:val="231F20"/>
          <w:w w:val="110"/>
        </w:rPr>
        <w:t>El</w:t>
      </w:r>
      <w:r>
        <w:rPr>
          <w:color w:val="231F20"/>
          <w:spacing w:val="-11"/>
          <w:w w:val="110"/>
        </w:rPr>
        <w:t> </w:t>
      </w:r>
      <w:r>
        <w:rPr>
          <w:color w:val="231F20"/>
          <w:w w:val="110"/>
        </w:rPr>
        <w:t>nuevo</w:t>
      </w:r>
      <w:r>
        <w:rPr>
          <w:color w:val="231F20"/>
          <w:spacing w:val="-11"/>
          <w:w w:val="110"/>
        </w:rPr>
        <w:t> </w:t>
      </w:r>
      <w:r>
        <w:rPr>
          <w:color w:val="231F20"/>
          <w:w w:val="110"/>
        </w:rPr>
        <w:t>modelo</w:t>
      </w:r>
      <w:r>
        <w:rPr>
          <w:color w:val="231F20"/>
          <w:spacing w:val="-11"/>
          <w:w w:val="110"/>
        </w:rPr>
        <w:t> </w:t>
      </w:r>
      <w:r>
        <w:rPr>
          <w:color w:val="231F20"/>
          <w:w w:val="110"/>
        </w:rPr>
        <w:t>productivo</w:t>
      </w:r>
      <w:r>
        <w:rPr>
          <w:color w:val="231F20"/>
          <w:spacing w:val="-11"/>
          <w:w w:val="110"/>
        </w:rPr>
        <w:t> </w:t>
      </w:r>
      <w:r>
        <w:rPr>
          <w:color w:val="231F20"/>
          <w:w w:val="110"/>
        </w:rPr>
        <w:t>de</w:t>
      </w:r>
      <w:r>
        <w:rPr>
          <w:color w:val="231F20"/>
          <w:spacing w:val="-11"/>
          <w:w w:val="110"/>
        </w:rPr>
        <w:t> </w:t>
      </w:r>
      <w:r>
        <w:rPr>
          <w:color w:val="231F20"/>
          <w:w w:val="110"/>
        </w:rPr>
        <w:t>acumulación flexible modificó radicalmente dichas modalidades de trabajo,  </w:t>
      </w:r>
      <w:r>
        <w:rPr>
          <w:color w:val="231F20"/>
          <w:spacing w:val="34"/>
          <w:w w:val="110"/>
        </w:rPr>
        <w:t> </w:t>
      </w:r>
      <w:r>
        <w:rPr>
          <w:color w:val="231F20"/>
          <w:w w:val="110"/>
        </w:rPr>
        <w:t>con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repercusiones nocivas sobre la estructura de empleo, en cuanto a calidad y estabilidad de los puestos, intensificación de las jornadas</w:t>
      </w:r>
      <w:r>
        <w:rPr>
          <w:color w:val="231F20"/>
          <w:spacing w:val="-33"/>
          <w:w w:val="110"/>
        </w:rPr>
        <w:t> </w:t>
      </w:r>
      <w:r>
        <w:rPr>
          <w:color w:val="231F20"/>
          <w:w w:val="110"/>
        </w:rPr>
        <w:t>y reducción de los</w:t>
      </w:r>
      <w:r>
        <w:rPr>
          <w:color w:val="231F20"/>
          <w:spacing w:val="3"/>
          <w:w w:val="110"/>
        </w:rPr>
        <w:t> </w:t>
      </w:r>
      <w:r>
        <w:rPr>
          <w:color w:val="231F20"/>
          <w:w w:val="110"/>
        </w:rPr>
        <w:t>salarios.</w:t>
      </w:r>
    </w:p>
    <w:p>
      <w:pPr>
        <w:pStyle w:val="BodyText"/>
        <w:spacing w:line="261" w:lineRule="auto"/>
        <w:ind w:left="100" w:right="117" w:firstLine="240"/>
        <w:jc w:val="both"/>
      </w:pPr>
      <w:r>
        <w:rPr>
          <w:color w:val="231F20"/>
          <w:w w:val="110"/>
        </w:rPr>
        <w:t>En</w:t>
      </w:r>
      <w:r>
        <w:rPr>
          <w:color w:val="231F20"/>
          <w:spacing w:val="-19"/>
          <w:w w:val="110"/>
        </w:rPr>
        <w:t> </w:t>
      </w:r>
      <w:r>
        <w:rPr>
          <w:color w:val="231F20"/>
          <w:w w:val="110"/>
        </w:rPr>
        <w:t>gran</w:t>
      </w:r>
      <w:r>
        <w:rPr>
          <w:color w:val="231F20"/>
          <w:spacing w:val="-19"/>
          <w:w w:val="110"/>
        </w:rPr>
        <w:t> </w:t>
      </w:r>
      <w:r>
        <w:rPr>
          <w:color w:val="231F20"/>
          <w:w w:val="110"/>
        </w:rPr>
        <w:t>medida,</w:t>
      </w:r>
      <w:r>
        <w:rPr>
          <w:color w:val="231F20"/>
          <w:spacing w:val="-19"/>
          <w:w w:val="110"/>
        </w:rPr>
        <w:t> </w:t>
      </w:r>
      <w:r>
        <w:rPr>
          <w:color w:val="231F20"/>
          <w:w w:val="110"/>
        </w:rPr>
        <w:t>el</w:t>
      </w:r>
      <w:r>
        <w:rPr>
          <w:color w:val="231F20"/>
          <w:spacing w:val="-19"/>
          <w:w w:val="110"/>
        </w:rPr>
        <w:t> </w:t>
      </w:r>
      <w:r>
        <w:rPr>
          <w:color w:val="231F20"/>
          <w:w w:val="110"/>
        </w:rPr>
        <w:t>ascenso</w:t>
      </w:r>
      <w:r>
        <w:rPr>
          <w:color w:val="231F20"/>
          <w:spacing w:val="-19"/>
          <w:w w:val="110"/>
        </w:rPr>
        <w:t> </w:t>
      </w:r>
      <w:r>
        <w:rPr>
          <w:color w:val="231F20"/>
          <w:w w:val="110"/>
        </w:rPr>
        <w:t>del</w:t>
      </w:r>
      <w:r>
        <w:rPr>
          <w:color w:val="231F20"/>
          <w:spacing w:val="-19"/>
          <w:w w:val="110"/>
        </w:rPr>
        <w:t> </w:t>
      </w:r>
      <w:r>
        <w:rPr>
          <w:color w:val="231F20"/>
          <w:w w:val="110"/>
        </w:rPr>
        <w:t>neoliberalismo</w:t>
      </w:r>
      <w:r>
        <w:rPr>
          <w:color w:val="231F20"/>
          <w:spacing w:val="-19"/>
          <w:w w:val="110"/>
        </w:rPr>
        <w:t> </w:t>
      </w:r>
      <w:r>
        <w:rPr>
          <w:color w:val="231F20"/>
          <w:w w:val="110"/>
        </w:rPr>
        <w:t>en</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y el</w:t>
      </w:r>
      <w:r>
        <w:rPr>
          <w:color w:val="231F20"/>
          <w:spacing w:val="-5"/>
          <w:w w:val="110"/>
        </w:rPr>
        <w:t> </w:t>
      </w:r>
      <w:r>
        <w:rPr>
          <w:color w:val="231F20"/>
          <w:w w:val="110"/>
        </w:rPr>
        <w:t>mundo</w:t>
      </w:r>
      <w:r>
        <w:rPr>
          <w:color w:val="231F20"/>
          <w:spacing w:val="-5"/>
          <w:w w:val="110"/>
        </w:rPr>
        <w:t> </w:t>
      </w:r>
      <w:r>
        <w:rPr>
          <w:color w:val="231F20"/>
          <w:w w:val="110"/>
        </w:rPr>
        <w:t>fue</w:t>
      </w:r>
      <w:r>
        <w:rPr>
          <w:color w:val="231F20"/>
          <w:spacing w:val="-5"/>
          <w:w w:val="110"/>
        </w:rPr>
        <w:t> </w:t>
      </w:r>
      <w:r>
        <w:rPr>
          <w:color w:val="231F20"/>
          <w:w w:val="110"/>
        </w:rPr>
        <w:t>el</w:t>
      </w:r>
      <w:r>
        <w:rPr>
          <w:color w:val="231F20"/>
          <w:spacing w:val="-5"/>
          <w:w w:val="110"/>
        </w:rPr>
        <w:t> </w:t>
      </w:r>
      <w:r>
        <w:rPr>
          <w:color w:val="231F20"/>
          <w:w w:val="110"/>
        </w:rPr>
        <w:t>resultado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derrotas</w:t>
      </w:r>
      <w:r>
        <w:rPr>
          <w:color w:val="231F20"/>
          <w:spacing w:val="-5"/>
          <w:w w:val="110"/>
        </w:rPr>
        <w:t> </w:t>
      </w:r>
      <w:r>
        <w:rPr>
          <w:color w:val="231F20"/>
          <w:w w:val="110"/>
        </w:rPr>
        <w:t>políticas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clase</w:t>
      </w:r>
      <w:r>
        <w:rPr>
          <w:color w:val="231F20"/>
          <w:spacing w:val="-5"/>
          <w:w w:val="110"/>
        </w:rPr>
        <w:t> </w:t>
      </w:r>
      <w:r>
        <w:rPr>
          <w:color w:val="231F20"/>
          <w:w w:val="110"/>
        </w:rPr>
        <w:t>trabaja- dora</w:t>
      </w:r>
      <w:r>
        <w:rPr>
          <w:color w:val="231F20"/>
          <w:spacing w:val="-4"/>
          <w:w w:val="110"/>
        </w:rPr>
        <w:t> </w:t>
      </w:r>
      <w:r>
        <w:rPr>
          <w:color w:val="231F20"/>
          <w:w w:val="110"/>
        </w:rPr>
        <w:t>durante</w:t>
      </w:r>
      <w:r>
        <w:rPr>
          <w:color w:val="231F20"/>
          <w:spacing w:val="-4"/>
          <w:w w:val="110"/>
        </w:rPr>
        <w:t> </w:t>
      </w:r>
      <w:r>
        <w:rPr>
          <w:color w:val="231F20"/>
          <w:w w:val="110"/>
        </w:rPr>
        <w:t>los</w:t>
      </w:r>
      <w:r>
        <w:rPr>
          <w:color w:val="231F20"/>
          <w:spacing w:val="-4"/>
          <w:w w:val="110"/>
        </w:rPr>
        <w:t> </w:t>
      </w:r>
      <w:r>
        <w:rPr>
          <w:color w:val="231F20"/>
          <w:w w:val="110"/>
        </w:rPr>
        <w:t>decenios</w:t>
      </w:r>
      <w:r>
        <w:rPr>
          <w:color w:val="231F20"/>
          <w:spacing w:val="-4"/>
          <w:w w:val="110"/>
        </w:rPr>
        <w:t> </w:t>
      </w:r>
      <w:r>
        <w:rPr>
          <w:color w:val="231F20"/>
          <w:w w:val="110"/>
        </w:rPr>
        <w:t>de</w:t>
      </w:r>
      <w:r>
        <w:rPr>
          <w:color w:val="231F20"/>
          <w:spacing w:val="-4"/>
          <w:w w:val="110"/>
        </w:rPr>
        <w:t> </w:t>
      </w:r>
      <w:r>
        <w:rPr>
          <w:color w:val="231F20"/>
          <w:w w:val="110"/>
        </w:rPr>
        <w:t>1960</w:t>
      </w:r>
      <w:r>
        <w:rPr>
          <w:color w:val="231F20"/>
          <w:spacing w:val="-4"/>
          <w:w w:val="110"/>
        </w:rPr>
        <w:t> </w:t>
      </w:r>
      <w:r>
        <w:rPr>
          <w:color w:val="231F20"/>
          <w:w w:val="110"/>
        </w:rPr>
        <w:t>y</w:t>
      </w:r>
      <w:r>
        <w:rPr>
          <w:color w:val="231F20"/>
          <w:spacing w:val="-4"/>
          <w:w w:val="110"/>
        </w:rPr>
        <w:t> </w:t>
      </w:r>
      <w:r>
        <w:rPr>
          <w:color w:val="231F20"/>
          <w:w w:val="110"/>
        </w:rPr>
        <w:t>1970.</w:t>
      </w:r>
      <w:r>
        <w:rPr>
          <w:color w:val="231F20"/>
          <w:spacing w:val="-4"/>
          <w:w w:val="110"/>
        </w:rPr>
        <w:t> </w:t>
      </w:r>
      <w:r>
        <w:rPr>
          <w:color w:val="231F20"/>
          <w:w w:val="110"/>
        </w:rPr>
        <w:t>En</w:t>
      </w:r>
      <w:r>
        <w:rPr>
          <w:color w:val="231F20"/>
          <w:spacing w:val="-4"/>
          <w:w w:val="110"/>
        </w:rPr>
        <w:t> </w:t>
      </w:r>
      <w:r>
        <w:rPr>
          <w:color w:val="231F20"/>
          <w:w w:val="110"/>
        </w:rPr>
        <w:t>dicho</w:t>
      </w:r>
      <w:r>
        <w:rPr>
          <w:color w:val="231F20"/>
          <w:spacing w:val="-4"/>
          <w:w w:val="110"/>
        </w:rPr>
        <w:t> </w:t>
      </w:r>
      <w:r>
        <w:rPr>
          <w:color w:val="231F20"/>
          <w:w w:val="110"/>
        </w:rPr>
        <w:t>periodo,</w:t>
      </w:r>
      <w:r>
        <w:rPr>
          <w:color w:val="231F20"/>
          <w:spacing w:val="-4"/>
          <w:w w:val="110"/>
        </w:rPr>
        <w:t> </w:t>
      </w:r>
      <w:r>
        <w:rPr>
          <w:color w:val="231F20"/>
          <w:w w:val="110"/>
        </w:rPr>
        <w:t>la</w:t>
      </w:r>
      <w:r>
        <w:rPr>
          <w:color w:val="231F20"/>
          <w:spacing w:val="-4"/>
          <w:w w:val="110"/>
        </w:rPr>
        <w:t> </w:t>
      </w:r>
      <w:r>
        <w:rPr>
          <w:color w:val="231F20"/>
          <w:w w:val="110"/>
        </w:rPr>
        <w:t>clase capitalista emprendió desde el Estado una fuerte acometida contra  el</w:t>
      </w:r>
      <w:r>
        <w:rPr>
          <w:color w:val="231F20"/>
          <w:spacing w:val="-6"/>
          <w:w w:val="110"/>
        </w:rPr>
        <w:t> </w:t>
      </w:r>
      <w:r>
        <w:rPr>
          <w:color w:val="231F20"/>
          <w:w w:val="110"/>
        </w:rPr>
        <w:t>avance</w:t>
      </w:r>
      <w:r>
        <w:rPr>
          <w:color w:val="231F20"/>
          <w:spacing w:val="-6"/>
          <w:w w:val="110"/>
        </w:rPr>
        <w:t> </w:t>
      </w:r>
      <w:r>
        <w:rPr>
          <w:color w:val="231F20"/>
          <w:w w:val="110"/>
        </w:rPr>
        <w:t>social</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organizaciones</w:t>
      </w:r>
      <w:r>
        <w:rPr>
          <w:color w:val="231F20"/>
          <w:spacing w:val="-6"/>
          <w:w w:val="110"/>
        </w:rPr>
        <w:t> </w:t>
      </w:r>
      <w:r>
        <w:rPr>
          <w:color w:val="231F20"/>
          <w:w w:val="110"/>
        </w:rPr>
        <w:t>populares.</w:t>
      </w:r>
      <w:r>
        <w:rPr>
          <w:color w:val="231F20"/>
          <w:spacing w:val="-6"/>
          <w:w w:val="110"/>
        </w:rPr>
        <w:t> </w:t>
      </w: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sentido,</w:t>
      </w:r>
      <w:r>
        <w:rPr>
          <w:color w:val="231F20"/>
          <w:spacing w:val="-6"/>
          <w:w w:val="110"/>
        </w:rPr>
        <w:t> </w:t>
      </w:r>
      <w:r>
        <w:rPr>
          <w:color w:val="231F20"/>
          <w:w w:val="110"/>
        </w:rPr>
        <w:t>los orígenes del neoliberalismo no sólo fueron económicos y tecnológi- cos,</w:t>
      </w:r>
      <w:r>
        <w:rPr>
          <w:color w:val="231F20"/>
          <w:spacing w:val="-10"/>
          <w:w w:val="110"/>
        </w:rPr>
        <w:t> </w:t>
      </w:r>
      <w:r>
        <w:rPr>
          <w:color w:val="231F20"/>
          <w:w w:val="110"/>
        </w:rPr>
        <w:t>sino</w:t>
      </w:r>
      <w:r>
        <w:rPr>
          <w:color w:val="231F20"/>
          <w:spacing w:val="-10"/>
          <w:w w:val="110"/>
        </w:rPr>
        <w:t> </w:t>
      </w:r>
      <w:r>
        <w:rPr>
          <w:color w:val="231F20"/>
          <w:w w:val="110"/>
        </w:rPr>
        <w:t>fundamentalmente</w:t>
      </w:r>
      <w:r>
        <w:rPr>
          <w:color w:val="231F20"/>
          <w:spacing w:val="-10"/>
          <w:w w:val="110"/>
        </w:rPr>
        <w:t> </w:t>
      </w:r>
      <w:r>
        <w:rPr>
          <w:color w:val="231F20"/>
          <w:w w:val="110"/>
        </w:rPr>
        <w:t>políticos</w:t>
      </w:r>
      <w:r>
        <w:rPr>
          <w:color w:val="231F20"/>
          <w:spacing w:val="-10"/>
          <w:w w:val="110"/>
        </w:rPr>
        <w:t> </w:t>
      </w:r>
      <w:r>
        <w:rPr>
          <w:color w:val="231F20"/>
          <w:w w:val="110"/>
        </w:rPr>
        <w:t>y</w:t>
      </w:r>
      <w:r>
        <w:rPr>
          <w:color w:val="231F20"/>
          <w:spacing w:val="-10"/>
          <w:w w:val="110"/>
        </w:rPr>
        <w:t> </w:t>
      </w:r>
      <w:r>
        <w:rPr>
          <w:color w:val="231F20"/>
          <w:w w:val="110"/>
        </w:rPr>
        <w:t>sociales</w:t>
      </w:r>
      <w:r>
        <w:rPr>
          <w:color w:val="231F20"/>
          <w:spacing w:val="-10"/>
          <w:w w:val="110"/>
        </w:rPr>
        <w:t> </w:t>
      </w:r>
      <w:r>
        <w:rPr>
          <w:color w:val="231F20"/>
          <w:w w:val="110"/>
        </w:rPr>
        <w:t>(Castillo,</w:t>
      </w:r>
      <w:r>
        <w:rPr>
          <w:color w:val="231F20"/>
          <w:spacing w:val="-10"/>
          <w:w w:val="110"/>
        </w:rPr>
        <w:t> </w:t>
      </w:r>
      <w:r>
        <w:rPr>
          <w:color w:val="231F20"/>
          <w:w w:val="110"/>
        </w:rPr>
        <w:t>2009b).</w:t>
      </w:r>
      <w:r>
        <w:rPr>
          <w:color w:val="231F20"/>
          <w:spacing w:val="-10"/>
          <w:w w:val="110"/>
        </w:rPr>
        <w:t> </w:t>
      </w:r>
      <w:r>
        <w:rPr>
          <w:color w:val="231F20"/>
          <w:w w:val="110"/>
        </w:rPr>
        <w:t>La idea fue inicialmente aplicada por Margaret Thatcher en Inglaterra  y</w:t>
      </w:r>
      <w:r>
        <w:rPr>
          <w:color w:val="231F20"/>
          <w:spacing w:val="-14"/>
          <w:w w:val="110"/>
        </w:rPr>
        <w:t> </w:t>
      </w:r>
      <w:r>
        <w:rPr>
          <w:color w:val="231F20"/>
          <w:w w:val="110"/>
        </w:rPr>
        <w:t>Ronald</w:t>
      </w:r>
      <w:r>
        <w:rPr>
          <w:color w:val="231F20"/>
          <w:spacing w:val="-14"/>
          <w:w w:val="110"/>
        </w:rPr>
        <w:t> </w:t>
      </w:r>
      <w:r>
        <w:rPr>
          <w:color w:val="231F20"/>
          <w:w w:val="110"/>
        </w:rPr>
        <w:t>Reagan</w:t>
      </w:r>
      <w:r>
        <w:rPr>
          <w:color w:val="231F20"/>
          <w:spacing w:val="-14"/>
          <w:w w:val="110"/>
        </w:rPr>
        <w:t> </w:t>
      </w:r>
      <w:r>
        <w:rPr>
          <w:color w:val="231F20"/>
          <w:w w:val="110"/>
        </w:rPr>
        <w:t>en</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y</w:t>
      </w:r>
      <w:r>
        <w:rPr>
          <w:color w:val="231F20"/>
          <w:spacing w:val="-14"/>
          <w:w w:val="110"/>
        </w:rPr>
        <w:t> </w:t>
      </w:r>
      <w:r>
        <w:rPr>
          <w:color w:val="231F20"/>
          <w:w w:val="110"/>
        </w:rPr>
        <w:t>promovida</w:t>
      </w:r>
      <w:r>
        <w:rPr>
          <w:color w:val="231F20"/>
          <w:spacing w:val="-14"/>
          <w:w w:val="110"/>
        </w:rPr>
        <w:t> </w:t>
      </w:r>
      <w:r>
        <w:rPr>
          <w:color w:val="231F20"/>
          <w:w w:val="110"/>
        </w:rPr>
        <w:t>en</w:t>
      </w:r>
      <w:r>
        <w:rPr>
          <w:color w:val="231F20"/>
          <w:spacing w:val="-14"/>
          <w:w w:val="110"/>
        </w:rPr>
        <w:t> </w:t>
      </w:r>
      <w:r>
        <w:rPr>
          <w:color w:val="231F20"/>
          <w:w w:val="110"/>
        </w:rPr>
        <w:t>América</w:t>
      </w:r>
      <w:r>
        <w:rPr>
          <w:color w:val="231F20"/>
          <w:spacing w:val="-14"/>
          <w:w w:val="110"/>
        </w:rPr>
        <w:t> </w:t>
      </w:r>
      <w:r>
        <w:rPr>
          <w:color w:val="231F20"/>
          <w:w w:val="110"/>
        </w:rPr>
        <w:t>Latina particularmente a partir del Consenso de Washington, a comienzos de los años noventa, con el que se planteó, como aspectos centrales de la nueva política económica, la estabilidad macroeconómica, la economía de mercado y la apertura económica mundial. Frecuen- temente se dice que el neoliberalismo fracasó, o que está agotado, dado</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pudo</w:t>
      </w:r>
      <w:r>
        <w:rPr>
          <w:color w:val="231F20"/>
          <w:spacing w:val="-7"/>
          <w:w w:val="110"/>
        </w:rPr>
        <w:t> </w:t>
      </w:r>
      <w:r>
        <w:rPr>
          <w:color w:val="231F20"/>
          <w:w w:val="110"/>
        </w:rPr>
        <w:t>resolver</w:t>
      </w:r>
      <w:r>
        <w:rPr>
          <w:color w:val="231F20"/>
          <w:spacing w:val="-7"/>
          <w:w w:val="110"/>
        </w:rPr>
        <w:t> </w:t>
      </w:r>
      <w:r>
        <w:rPr>
          <w:color w:val="231F20"/>
          <w:w w:val="110"/>
        </w:rPr>
        <w:t>los</w:t>
      </w:r>
      <w:r>
        <w:rPr>
          <w:color w:val="231F20"/>
          <w:spacing w:val="-7"/>
          <w:w w:val="110"/>
        </w:rPr>
        <w:t> </w:t>
      </w:r>
      <w:r>
        <w:rPr>
          <w:color w:val="231F20"/>
          <w:w w:val="110"/>
        </w:rPr>
        <w:t>problemas</w:t>
      </w:r>
      <w:r>
        <w:rPr>
          <w:color w:val="231F20"/>
          <w:spacing w:val="-7"/>
          <w:w w:val="110"/>
        </w:rPr>
        <w:t> </w:t>
      </w:r>
      <w:r>
        <w:rPr>
          <w:color w:val="231F20"/>
          <w:w w:val="110"/>
        </w:rPr>
        <w:t>de</w:t>
      </w:r>
      <w:r>
        <w:rPr>
          <w:color w:val="231F20"/>
          <w:spacing w:val="-7"/>
          <w:w w:val="110"/>
        </w:rPr>
        <w:t> </w:t>
      </w:r>
      <w:r>
        <w:rPr>
          <w:color w:val="231F20"/>
          <w:w w:val="110"/>
        </w:rPr>
        <w:t>empleo</w:t>
      </w:r>
      <w:r>
        <w:rPr>
          <w:color w:val="231F20"/>
          <w:spacing w:val="-7"/>
          <w:w w:val="110"/>
        </w:rPr>
        <w:t> </w:t>
      </w:r>
      <w:r>
        <w:rPr>
          <w:color w:val="231F20"/>
          <w:w w:val="110"/>
        </w:rPr>
        <w:t>en</w:t>
      </w:r>
      <w:r>
        <w:rPr>
          <w:color w:val="231F20"/>
          <w:spacing w:val="-7"/>
          <w:w w:val="110"/>
        </w:rPr>
        <w:t> </w:t>
      </w:r>
      <w:r>
        <w:rPr>
          <w:color w:val="231F20"/>
          <w:w w:val="110"/>
        </w:rPr>
        <w:t>cuanto</w:t>
      </w:r>
      <w:r>
        <w:rPr>
          <w:color w:val="231F20"/>
          <w:spacing w:val="-7"/>
          <w:w w:val="110"/>
        </w:rPr>
        <w:t> </w:t>
      </w:r>
      <w:r>
        <w:rPr>
          <w:color w:val="231F20"/>
          <w:w w:val="110"/>
        </w:rPr>
        <w:t>a</w:t>
      </w:r>
      <w:r>
        <w:rPr>
          <w:color w:val="231F20"/>
          <w:spacing w:val="-7"/>
          <w:w w:val="110"/>
        </w:rPr>
        <w:t> </w:t>
      </w:r>
      <w:r>
        <w:rPr>
          <w:color w:val="231F20"/>
          <w:w w:val="110"/>
        </w:rPr>
        <w:t>can- tidad y calidad de las ocupaciones demandadas y las condiciones de bienestar social de la población y que, por el contrario, promovió</w:t>
      </w:r>
      <w:r>
        <w:rPr>
          <w:color w:val="231F20"/>
          <w:spacing w:val="-30"/>
          <w:w w:val="110"/>
        </w:rPr>
        <w:t> </w:t>
      </w:r>
      <w:r>
        <w:rPr>
          <w:color w:val="231F20"/>
          <w:w w:val="110"/>
        </w:rPr>
        <w:t>las desigualdades</w:t>
      </w:r>
      <w:r>
        <w:rPr>
          <w:color w:val="231F20"/>
          <w:spacing w:val="-13"/>
          <w:w w:val="110"/>
        </w:rPr>
        <w:t> </w:t>
      </w:r>
      <w:r>
        <w:rPr>
          <w:color w:val="231F20"/>
          <w:w w:val="110"/>
        </w:rPr>
        <w:t>sociales</w:t>
      </w:r>
      <w:r>
        <w:rPr>
          <w:color w:val="231F20"/>
          <w:spacing w:val="-13"/>
          <w:w w:val="110"/>
        </w:rPr>
        <w:t> </w:t>
      </w:r>
      <w:r>
        <w:rPr>
          <w:color w:val="231F20"/>
          <w:w w:val="110"/>
        </w:rPr>
        <w:t>y</w:t>
      </w:r>
      <w:r>
        <w:rPr>
          <w:color w:val="231F20"/>
          <w:spacing w:val="-13"/>
          <w:w w:val="110"/>
        </w:rPr>
        <w:t> </w:t>
      </w:r>
      <w:r>
        <w:rPr>
          <w:color w:val="231F20"/>
          <w:w w:val="110"/>
        </w:rPr>
        <w:t>profundizó</w:t>
      </w:r>
      <w:r>
        <w:rPr>
          <w:color w:val="231F20"/>
          <w:spacing w:val="-13"/>
          <w:w w:val="110"/>
        </w:rPr>
        <w:t> </w:t>
      </w:r>
      <w:r>
        <w:rPr>
          <w:color w:val="231F20"/>
          <w:w w:val="110"/>
        </w:rPr>
        <w:t>los</w:t>
      </w:r>
      <w:r>
        <w:rPr>
          <w:color w:val="231F20"/>
          <w:spacing w:val="-13"/>
          <w:w w:val="110"/>
        </w:rPr>
        <w:t> </w:t>
      </w:r>
      <w:r>
        <w:rPr>
          <w:color w:val="231F20"/>
          <w:w w:val="110"/>
        </w:rPr>
        <w:t>niveles</w:t>
      </w:r>
      <w:r>
        <w:rPr>
          <w:color w:val="231F20"/>
          <w:spacing w:val="-13"/>
          <w:w w:val="110"/>
        </w:rPr>
        <w:t> </w:t>
      </w:r>
      <w:r>
        <w:rPr>
          <w:color w:val="231F20"/>
          <w:w w:val="110"/>
        </w:rPr>
        <w:t>de</w:t>
      </w:r>
      <w:r>
        <w:rPr>
          <w:color w:val="231F20"/>
          <w:spacing w:val="-13"/>
          <w:w w:val="110"/>
        </w:rPr>
        <w:t> </w:t>
      </w:r>
      <w:r>
        <w:rPr>
          <w:color w:val="231F20"/>
          <w:w w:val="110"/>
        </w:rPr>
        <w:t>pobreza.</w:t>
      </w:r>
      <w:r>
        <w:rPr>
          <w:color w:val="231F20"/>
          <w:spacing w:val="-13"/>
          <w:w w:val="110"/>
        </w:rPr>
        <w:t> </w:t>
      </w:r>
      <w:r>
        <w:rPr>
          <w:color w:val="231F20"/>
          <w:w w:val="110"/>
        </w:rPr>
        <w:t>¿Pero</w:t>
      </w:r>
      <w:r>
        <w:rPr>
          <w:color w:val="231F20"/>
          <w:spacing w:val="-13"/>
          <w:w w:val="110"/>
        </w:rPr>
        <w:t> </w:t>
      </w:r>
      <w:r>
        <w:rPr>
          <w:color w:val="231F20"/>
          <w:w w:val="110"/>
        </w:rPr>
        <w:t>era realmente</w:t>
      </w:r>
      <w:r>
        <w:rPr>
          <w:color w:val="231F20"/>
          <w:spacing w:val="-23"/>
          <w:w w:val="110"/>
        </w:rPr>
        <w:t> </w:t>
      </w:r>
      <w:r>
        <w:rPr>
          <w:color w:val="231F20"/>
          <w:w w:val="110"/>
        </w:rPr>
        <w:t>ese</w:t>
      </w:r>
      <w:r>
        <w:rPr>
          <w:color w:val="231F20"/>
          <w:spacing w:val="-23"/>
          <w:w w:val="110"/>
        </w:rPr>
        <w:t> </w:t>
      </w:r>
      <w:r>
        <w:rPr>
          <w:color w:val="231F20"/>
          <w:w w:val="110"/>
        </w:rPr>
        <w:t>el</w:t>
      </w:r>
      <w:r>
        <w:rPr>
          <w:color w:val="231F20"/>
          <w:spacing w:val="-23"/>
          <w:w w:val="110"/>
        </w:rPr>
        <w:t> </w:t>
      </w:r>
      <w:r>
        <w:rPr>
          <w:color w:val="231F20"/>
          <w:w w:val="110"/>
        </w:rPr>
        <w:t>proyecto</w:t>
      </w:r>
      <w:r>
        <w:rPr>
          <w:color w:val="231F20"/>
          <w:spacing w:val="-23"/>
          <w:w w:val="110"/>
        </w:rPr>
        <w:t> </w:t>
      </w:r>
      <w:r>
        <w:rPr>
          <w:color w:val="231F20"/>
          <w:w w:val="110"/>
        </w:rPr>
        <w:t>y</w:t>
      </w:r>
      <w:r>
        <w:rPr>
          <w:color w:val="231F20"/>
          <w:spacing w:val="-23"/>
          <w:w w:val="110"/>
        </w:rPr>
        <w:t> </w:t>
      </w:r>
      <w:r>
        <w:rPr>
          <w:color w:val="231F20"/>
          <w:w w:val="110"/>
        </w:rPr>
        <w:t>los</w:t>
      </w:r>
      <w:r>
        <w:rPr>
          <w:color w:val="231F20"/>
          <w:spacing w:val="-23"/>
          <w:w w:val="110"/>
        </w:rPr>
        <w:t> </w:t>
      </w:r>
      <w:r>
        <w:rPr>
          <w:color w:val="231F20"/>
          <w:w w:val="110"/>
        </w:rPr>
        <w:t>objetivos</w:t>
      </w:r>
      <w:r>
        <w:rPr>
          <w:color w:val="231F20"/>
          <w:spacing w:val="-23"/>
          <w:w w:val="110"/>
        </w:rPr>
        <w:t> </w:t>
      </w:r>
      <w:r>
        <w:rPr>
          <w:color w:val="231F20"/>
          <w:w w:val="110"/>
        </w:rPr>
        <w:t>centrales</w:t>
      </w:r>
      <w:r>
        <w:rPr>
          <w:color w:val="231F20"/>
          <w:spacing w:val="-23"/>
          <w:w w:val="110"/>
        </w:rPr>
        <w:t> </w:t>
      </w:r>
      <w:r>
        <w:rPr>
          <w:color w:val="231F20"/>
          <w:w w:val="110"/>
        </w:rPr>
        <w:t>del</w:t>
      </w:r>
      <w:r>
        <w:rPr>
          <w:color w:val="231F20"/>
          <w:spacing w:val="-23"/>
          <w:w w:val="110"/>
        </w:rPr>
        <w:t> </w:t>
      </w:r>
      <w:r>
        <w:rPr>
          <w:color w:val="231F20"/>
          <w:w w:val="110"/>
        </w:rPr>
        <w:t>neoliberalismo? No.</w:t>
      </w:r>
      <w:r>
        <w:rPr>
          <w:color w:val="231F20"/>
          <w:spacing w:val="-13"/>
          <w:w w:val="110"/>
        </w:rPr>
        <w:t> </w:t>
      </w:r>
      <w:r>
        <w:rPr>
          <w:color w:val="231F20"/>
          <w:w w:val="110"/>
        </w:rPr>
        <w:t>El</w:t>
      </w:r>
      <w:r>
        <w:rPr>
          <w:color w:val="231F20"/>
          <w:spacing w:val="-13"/>
          <w:w w:val="110"/>
        </w:rPr>
        <w:t> </w:t>
      </w:r>
      <w:r>
        <w:rPr>
          <w:color w:val="231F20"/>
          <w:w w:val="110"/>
        </w:rPr>
        <w:t>neoliberalismo</w:t>
      </w:r>
      <w:r>
        <w:rPr>
          <w:color w:val="231F20"/>
          <w:spacing w:val="-13"/>
          <w:w w:val="110"/>
        </w:rPr>
        <w:t> </w:t>
      </w:r>
      <w:r>
        <w:rPr>
          <w:color w:val="231F20"/>
          <w:w w:val="110"/>
        </w:rPr>
        <w:t>prometió</w:t>
      </w:r>
      <w:r>
        <w:rPr>
          <w:color w:val="231F20"/>
          <w:spacing w:val="-13"/>
          <w:w w:val="110"/>
        </w:rPr>
        <w:t> </w:t>
      </w:r>
      <w:r>
        <w:rPr>
          <w:color w:val="231F20"/>
          <w:w w:val="110"/>
        </w:rPr>
        <w:t>crecimiento</w:t>
      </w:r>
      <w:r>
        <w:rPr>
          <w:color w:val="231F20"/>
          <w:spacing w:val="-13"/>
          <w:w w:val="110"/>
        </w:rPr>
        <w:t> </w:t>
      </w:r>
      <w:r>
        <w:rPr>
          <w:color w:val="231F20"/>
          <w:w w:val="110"/>
        </w:rPr>
        <w:t>equilibrado</w:t>
      </w:r>
      <w:r>
        <w:rPr>
          <w:color w:val="231F20"/>
          <w:spacing w:val="-13"/>
          <w:w w:val="110"/>
        </w:rPr>
        <w:t> </w:t>
      </w:r>
      <w:r>
        <w:rPr>
          <w:color w:val="231F20"/>
          <w:w w:val="110"/>
        </w:rPr>
        <w:t>y</w:t>
      </w:r>
      <w:r>
        <w:rPr>
          <w:color w:val="231F20"/>
          <w:spacing w:val="-13"/>
          <w:w w:val="110"/>
        </w:rPr>
        <w:t> </w:t>
      </w:r>
      <w:r>
        <w:rPr>
          <w:color w:val="231F20"/>
          <w:w w:val="110"/>
        </w:rPr>
        <w:t>sostenible, con estabilidad económica y empleo, pero bajo nuevas condiciones de flexibilización y desregulación de las relaciones</w:t>
      </w:r>
      <w:r>
        <w:rPr>
          <w:color w:val="231F20"/>
          <w:spacing w:val="-33"/>
          <w:w w:val="110"/>
        </w:rPr>
        <w:t> </w:t>
      </w:r>
      <w:r>
        <w:rPr>
          <w:color w:val="231F20"/>
          <w:w w:val="110"/>
        </w:rPr>
        <w:t>laborales.</w:t>
      </w:r>
    </w:p>
    <w:p>
      <w:pPr>
        <w:pStyle w:val="BodyText"/>
        <w:spacing w:line="261" w:lineRule="auto"/>
        <w:ind w:left="100" w:right="115" w:firstLine="240"/>
        <w:jc w:val="both"/>
      </w:pPr>
      <w:r>
        <w:rPr>
          <w:color w:val="231F20"/>
          <w:w w:val="110"/>
        </w:rPr>
        <w:t>El</w:t>
      </w:r>
      <w:r>
        <w:rPr>
          <w:color w:val="231F20"/>
          <w:spacing w:val="-25"/>
          <w:w w:val="110"/>
        </w:rPr>
        <w:t> </w:t>
      </w:r>
      <w:r>
        <w:rPr>
          <w:color w:val="231F20"/>
          <w:w w:val="110"/>
        </w:rPr>
        <w:t>crecimiento</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economía</w:t>
      </w:r>
      <w:r>
        <w:rPr>
          <w:color w:val="231F20"/>
          <w:spacing w:val="-25"/>
          <w:w w:val="110"/>
        </w:rPr>
        <w:t> </w:t>
      </w:r>
      <w:r>
        <w:rPr>
          <w:color w:val="231F20"/>
          <w:w w:val="110"/>
        </w:rPr>
        <w:t>suele</w:t>
      </w:r>
      <w:r>
        <w:rPr>
          <w:color w:val="231F20"/>
          <w:spacing w:val="-25"/>
          <w:w w:val="110"/>
        </w:rPr>
        <w:t> </w:t>
      </w:r>
      <w:r>
        <w:rPr>
          <w:color w:val="231F20"/>
          <w:w w:val="110"/>
        </w:rPr>
        <w:t>considerarse</w:t>
      </w:r>
      <w:r>
        <w:rPr>
          <w:color w:val="231F20"/>
          <w:spacing w:val="-25"/>
          <w:w w:val="110"/>
        </w:rPr>
        <w:t> </w:t>
      </w:r>
      <w:r>
        <w:rPr>
          <w:color w:val="231F20"/>
          <w:w w:val="110"/>
        </w:rPr>
        <w:t>como</w:t>
      </w:r>
      <w:r>
        <w:rPr>
          <w:color w:val="231F20"/>
          <w:spacing w:val="-25"/>
          <w:w w:val="110"/>
        </w:rPr>
        <w:t> </w:t>
      </w:r>
      <w:r>
        <w:rPr>
          <w:color w:val="231F20"/>
          <w:w w:val="110"/>
        </w:rPr>
        <w:t>el</w:t>
      </w:r>
      <w:r>
        <w:rPr>
          <w:color w:val="231F20"/>
          <w:spacing w:val="-25"/>
          <w:w w:val="110"/>
        </w:rPr>
        <w:t> </w:t>
      </w:r>
      <w:r>
        <w:rPr>
          <w:color w:val="231F20"/>
          <w:w w:val="110"/>
        </w:rPr>
        <w:t>indicador fundamental</w:t>
      </w:r>
      <w:r>
        <w:rPr>
          <w:color w:val="231F20"/>
          <w:spacing w:val="-6"/>
          <w:w w:val="110"/>
        </w:rPr>
        <w:t> </w:t>
      </w:r>
      <w:r>
        <w:rPr>
          <w:color w:val="231F20"/>
          <w:w w:val="110"/>
        </w:rPr>
        <w:t>del</w:t>
      </w:r>
      <w:r>
        <w:rPr>
          <w:color w:val="231F20"/>
          <w:spacing w:val="-6"/>
          <w:w w:val="110"/>
        </w:rPr>
        <w:t> </w:t>
      </w:r>
      <w:r>
        <w:rPr>
          <w:color w:val="231F20"/>
          <w:w w:val="110"/>
        </w:rPr>
        <w:t>desempeño</w:t>
      </w:r>
      <w:r>
        <w:rPr>
          <w:color w:val="231F20"/>
          <w:spacing w:val="-6"/>
          <w:w w:val="110"/>
        </w:rPr>
        <w:t> </w:t>
      </w:r>
      <w:r>
        <w:rPr>
          <w:color w:val="231F20"/>
          <w:w w:val="110"/>
        </w:rPr>
        <w:t>del</w:t>
      </w:r>
      <w:r>
        <w:rPr>
          <w:color w:val="231F20"/>
          <w:spacing w:val="-6"/>
          <w:w w:val="110"/>
        </w:rPr>
        <w:t> </w:t>
      </w:r>
      <w:r>
        <w:rPr>
          <w:color w:val="231F20"/>
          <w:w w:val="110"/>
        </w:rPr>
        <w:t>modelo</w:t>
      </w:r>
      <w:r>
        <w:rPr>
          <w:color w:val="231F20"/>
          <w:spacing w:val="-6"/>
          <w:w w:val="110"/>
        </w:rPr>
        <w:t> </w:t>
      </w:r>
      <w:r>
        <w:rPr>
          <w:color w:val="231F20"/>
          <w:w w:val="110"/>
        </w:rPr>
        <w:t>económico</w:t>
      </w:r>
      <w:r>
        <w:rPr>
          <w:color w:val="231F20"/>
          <w:spacing w:val="-6"/>
          <w:w w:val="110"/>
        </w:rPr>
        <w:t> </w:t>
      </w:r>
      <w:r>
        <w:rPr>
          <w:color w:val="231F20"/>
          <w:w w:val="110"/>
        </w:rPr>
        <w:t>vigente.</w:t>
      </w:r>
      <w:r>
        <w:rPr>
          <w:color w:val="231F20"/>
          <w:spacing w:val="-6"/>
          <w:w w:val="110"/>
        </w:rPr>
        <w:t> </w:t>
      </w:r>
      <w:r>
        <w:rPr>
          <w:color w:val="231F20"/>
          <w:w w:val="110"/>
        </w:rPr>
        <w:t>No</w:t>
      </w:r>
      <w:r>
        <w:rPr>
          <w:color w:val="231F20"/>
          <w:spacing w:val="-6"/>
          <w:w w:val="110"/>
        </w:rPr>
        <w:t> </w:t>
      </w:r>
      <w:r>
        <w:rPr>
          <w:color w:val="231F20"/>
          <w:w w:val="110"/>
        </w:rPr>
        <w:t>obs- tante,</w:t>
      </w:r>
      <w:r>
        <w:rPr>
          <w:color w:val="231F20"/>
          <w:spacing w:val="-24"/>
          <w:w w:val="110"/>
        </w:rPr>
        <w:t> </w:t>
      </w:r>
      <w:r>
        <w:rPr>
          <w:color w:val="231F20"/>
          <w:w w:val="110"/>
        </w:rPr>
        <w:t>la</w:t>
      </w:r>
      <w:r>
        <w:rPr>
          <w:color w:val="231F20"/>
          <w:spacing w:val="-24"/>
          <w:w w:val="110"/>
        </w:rPr>
        <w:t> </w:t>
      </w:r>
      <w:r>
        <w:rPr>
          <w:color w:val="231F20"/>
          <w:w w:val="110"/>
        </w:rPr>
        <w:t>globalización</w:t>
      </w:r>
      <w:r>
        <w:rPr>
          <w:color w:val="231F20"/>
          <w:spacing w:val="-24"/>
          <w:w w:val="110"/>
        </w:rPr>
        <w:t> </w:t>
      </w:r>
      <w:r>
        <w:rPr>
          <w:color w:val="231F20"/>
          <w:w w:val="110"/>
        </w:rPr>
        <w:t>neoliberal</w:t>
      </w:r>
      <w:r>
        <w:rPr>
          <w:color w:val="231F20"/>
          <w:spacing w:val="-24"/>
          <w:w w:val="110"/>
        </w:rPr>
        <w:t> </w:t>
      </w:r>
      <w:r>
        <w:rPr>
          <w:color w:val="231F20"/>
          <w:w w:val="110"/>
        </w:rPr>
        <w:t>o</w:t>
      </w:r>
      <w:r>
        <w:rPr>
          <w:color w:val="231F20"/>
          <w:spacing w:val="-24"/>
          <w:w w:val="110"/>
        </w:rPr>
        <w:t> </w:t>
      </w:r>
      <w:r>
        <w:rPr>
          <w:color w:val="231F20"/>
          <w:w w:val="110"/>
        </w:rPr>
        <w:t>concretamente</w:t>
      </w:r>
      <w:r>
        <w:rPr>
          <w:color w:val="231F20"/>
          <w:spacing w:val="-24"/>
          <w:w w:val="110"/>
        </w:rPr>
        <w:t> </w:t>
      </w:r>
      <w:r>
        <w:rPr>
          <w:color w:val="231F20"/>
          <w:w w:val="110"/>
        </w:rPr>
        <w:t>el</w:t>
      </w:r>
      <w:r>
        <w:rPr>
          <w:color w:val="231F20"/>
          <w:spacing w:val="-24"/>
          <w:w w:val="110"/>
        </w:rPr>
        <w:t> </w:t>
      </w:r>
      <w:r>
        <w:rPr>
          <w:color w:val="231F20"/>
          <w:w w:val="110"/>
        </w:rPr>
        <w:t>neoliberalismo</w:t>
      </w:r>
      <w:r>
        <w:rPr>
          <w:color w:val="231F20"/>
          <w:spacing w:val="-24"/>
          <w:w w:val="110"/>
        </w:rPr>
        <w:t> </w:t>
      </w:r>
      <w:r>
        <w:rPr>
          <w:color w:val="231F20"/>
          <w:w w:val="110"/>
        </w:rPr>
        <w:t>se ha</w:t>
      </w:r>
      <w:r>
        <w:rPr>
          <w:color w:val="231F20"/>
          <w:spacing w:val="-17"/>
          <w:w w:val="110"/>
        </w:rPr>
        <w:t> </w:t>
      </w:r>
      <w:r>
        <w:rPr>
          <w:color w:val="231F20"/>
          <w:w w:val="110"/>
        </w:rPr>
        <w:t>caracterizado</w:t>
      </w:r>
      <w:r>
        <w:rPr>
          <w:color w:val="231F20"/>
          <w:spacing w:val="-17"/>
          <w:w w:val="110"/>
        </w:rPr>
        <w:t> </w:t>
      </w:r>
      <w:r>
        <w:rPr>
          <w:color w:val="231F20"/>
          <w:w w:val="110"/>
        </w:rPr>
        <w:t>como</w:t>
      </w:r>
      <w:r>
        <w:rPr>
          <w:color w:val="231F20"/>
          <w:spacing w:val="-17"/>
          <w:w w:val="110"/>
        </w:rPr>
        <w:t> </w:t>
      </w:r>
      <w:r>
        <w:rPr>
          <w:color w:val="231F20"/>
          <w:w w:val="110"/>
        </w:rPr>
        <w:t>un</w:t>
      </w:r>
      <w:r>
        <w:rPr>
          <w:color w:val="231F20"/>
          <w:spacing w:val="-17"/>
          <w:w w:val="110"/>
        </w:rPr>
        <w:t> </w:t>
      </w:r>
      <w:r>
        <w:rPr>
          <w:color w:val="231F20"/>
          <w:w w:val="110"/>
        </w:rPr>
        <w:t>periodo</w:t>
      </w:r>
      <w:r>
        <w:rPr>
          <w:color w:val="231F20"/>
          <w:spacing w:val="-17"/>
          <w:w w:val="110"/>
        </w:rPr>
        <w:t> </w:t>
      </w:r>
      <w:r>
        <w:rPr>
          <w:color w:val="231F20"/>
          <w:w w:val="110"/>
        </w:rPr>
        <w:t>de</w:t>
      </w:r>
      <w:r>
        <w:rPr>
          <w:color w:val="231F20"/>
          <w:spacing w:val="-17"/>
          <w:w w:val="110"/>
        </w:rPr>
        <w:t> </w:t>
      </w:r>
      <w:r>
        <w:rPr>
          <w:color w:val="231F20"/>
          <w:w w:val="110"/>
        </w:rPr>
        <w:t>lento</w:t>
      </w:r>
      <w:r>
        <w:rPr>
          <w:color w:val="231F20"/>
          <w:spacing w:val="-17"/>
          <w:w w:val="110"/>
        </w:rPr>
        <w:t> </w:t>
      </w:r>
      <w:r>
        <w:rPr>
          <w:color w:val="231F20"/>
          <w:w w:val="110"/>
        </w:rPr>
        <w:t>dinamismo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economía mundial en relación con la etapa de crecimiento económico y larga estabilidad estructural de la fase anterior iniciada con posterioridad a la segunda guerra mundial (Boltvinik, 2009), diferenciado </w:t>
      </w:r>
      <w:r>
        <w:rPr>
          <w:color w:val="231F20"/>
          <w:spacing w:val="-2"/>
          <w:w w:val="110"/>
        </w:rPr>
        <w:t>además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acortamiento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ciclos</w:t>
      </w:r>
      <w:r>
        <w:rPr>
          <w:color w:val="231F20"/>
          <w:spacing w:val="-13"/>
          <w:w w:val="110"/>
        </w:rPr>
        <w:t> </w:t>
      </w:r>
      <w:r>
        <w:rPr>
          <w:color w:val="231F20"/>
          <w:w w:val="110"/>
        </w:rPr>
        <w:t>económicos</w:t>
      </w:r>
      <w:r>
        <w:rPr>
          <w:color w:val="231F20"/>
          <w:spacing w:val="-13"/>
          <w:w w:val="110"/>
        </w:rPr>
        <w:t> </w:t>
      </w:r>
      <w:r>
        <w:rPr>
          <w:color w:val="231F20"/>
          <w:w w:val="110"/>
        </w:rPr>
        <w:t>e</w:t>
      </w:r>
      <w:r>
        <w:rPr>
          <w:color w:val="231F20"/>
          <w:spacing w:val="-13"/>
          <w:w w:val="110"/>
        </w:rPr>
        <w:t> </w:t>
      </w:r>
      <w:r>
        <w:rPr>
          <w:color w:val="231F20"/>
          <w:w w:val="110"/>
        </w:rPr>
        <w:t>incremento</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des- igualdades</w:t>
      </w:r>
      <w:r>
        <w:rPr>
          <w:color w:val="231F20"/>
          <w:spacing w:val="-31"/>
          <w:w w:val="110"/>
        </w:rPr>
        <w:t> </w:t>
      </w:r>
      <w:r>
        <w:rPr>
          <w:color w:val="231F20"/>
          <w:w w:val="110"/>
        </w:rPr>
        <w:t>salariales</w:t>
      </w:r>
      <w:r>
        <w:rPr>
          <w:color w:val="231F20"/>
          <w:spacing w:val="-31"/>
          <w:w w:val="110"/>
        </w:rPr>
        <w:t> </w:t>
      </w:r>
      <w:r>
        <w:rPr>
          <w:color w:val="231F20"/>
          <w:w w:val="110"/>
        </w:rPr>
        <w:t>(Laffaye,</w:t>
      </w:r>
      <w:r>
        <w:rPr>
          <w:color w:val="231F20"/>
          <w:spacing w:val="-31"/>
          <w:w w:val="110"/>
        </w:rPr>
        <w:t> </w:t>
      </w:r>
      <w:r>
        <w:rPr>
          <w:color w:val="231F20"/>
          <w:w w:val="110"/>
        </w:rPr>
        <w:t>2009).</w:t>
      </w:r>
      <w:r>
        <w:rPr>
          <w:color w:val="231F20"/>
          <w:spacing w:val="-31"/>
          <w:w w:val="110"/>
        </w:rPr>
        <w:t> </w:t>
      </w:r>
      <w:r>
        <w:rPr>
          <w:color w:val="231F20"/>
          <w:w w:val="110"/>
        </w:rPr>
        <w:t>El</w:t>
      </w:r>
      <w:r>
        <w:rPr>
          <w:color w:val="231F20"/>
          <w:spacing w:val="-31"/>
          <w:w w:val="110"/>
        </w:rPr>
        <w:t> </w:t>
      </w:r>
      <w:r>
        <w:rPr>
          <w:color w:val="231F20"/>
          <w:w w:val="110"/>
        </w:rPr>
        <w:t>crecimiento</w:t>
      </w:r>
      <w:r>
        <w:rPr>
          <w:color w:val="231F20"/>
          <w:spacing w:val="-31"/>
          <w:w w:val="110"/>
        </w:rPr>
        <w:t> </w:t>
      </w:r>
      <w:r>
        <w:rPr>
          <w:color w:val="231F20"/>
          <w:w w:val="110"/>
        </w:rPr>
        <w:t>distó</w:t>
      </w:r>
      <w:r>
        <w:rPr>
          <w:color w:val="231F20"/>
          <w:spacing w:val="-31"/>
          <w:w w:val="110"/>
        </w:rPr>
        <w:t> </w:t>
      </w:r>
      <w:r>
        <w:rPr>
          <w:color w:val="231F20"/>
          <w:w w:val="110"/>
        </w:rPr>
        <w:t>mucho</w:t>
      </w:r>
      <w:r>
        <w:rPr>
          <w:color w:val="231F20"/>
          <w:spacing w:val="-31"/>
          <w:w w:val="110"/>
        </w:rPr>
        <w:t> </w:t>
      </w:r>
      <w:r>
        <w:rPr>
          <w:color w:val="231F20"/>
          <w:w w:val="110"/>
        </w:rPr>
        <w:t>de</w:t>
      </w:r>
      <w:r>
        <w:rPr>
          <w:color w:val="231F20"/>
          <w:spacing w:val="-31"/>
          <w:w w:val="110"/>
        </w:rPr>
        <w:t> </w:t>
      </w:r>
      <w:r>
        <w:rPr>
          <w:color w:val="231F20"/>
          <w:w w:val="110"/>
        </w:rPr>
        <w:t>lo supuesto</w:t>
      </w:r>
      <w:r>
        <w:rPr>
          <w:color w:val="231F20"/>
          <w:spacing w:val="-31"/>
          <w:w w:val="110"/>
        </w:rPr>
        <w:t> </w:t>
      </w:r>
      <w:r>
        <w:rPr>
          <w:color w:val="231F20"/>
          <w:w w:val="110"/>
        </w:rPr>
        <w:t>y</w:t>
      </w:r>
      <w:r>
        <w:rPr>
          <w:color w:val="231F20"/>
          <w:spacing w:val="-31"/>
          <w:w w:val="110"/>
        </w:rPr>
        <w:t> </w:t>
      </w:r>
      <w:r>
        <w:rPr>
          <w:color w:val="231F20"/>
          <w:w w:val="110"/>
        </w:rPr>
        <w:t>reprodujo,</w:t>
      </w:r>
      <w:r>
        <w:rPr>
          <w:color w:val="231F20"/>
          <w:spacing w:val="-31"/>
          <w:w w:val="110"/>
        </w:rPr>
        <w:t> </w:t>
      </w:r>
      <w:r>
        <w:rPr>
          <w:color w:val="231F20"/>
          <w:w w:val="110"/>
        </w:rPr>
        <w:t>acortando,</w:t>
      </w:r>
      <w:r>
        <w:rPr>
          <w:color w:val="231F20"/>
          <w:spacing w:val="-31"/>
          <w:w w:val="110"/>
        </w:rPr>
        <w:t> </w:t>
      </w:r>
      <w:r>
        <w:rPr>
          <w:color w:val="231F20"/>
          <w:w w:val="110"/>
        </w:rPr>
        <w:t>los</w:t>
      </w:r>
      <w:r>
        <w:rPr>
          <w:color w:val="231F20"/>
          <w:spacing w:val="-31"/>
          <w:w w:val="110"/>
        </w:rPr>
        <w:t> </w:t>
      </w:r>
      <w:r>
        <w:rPr>
          <w:color w:val="231F20"/>
          <w:w w:val="110"/>
        </w:rPr>
        <w:t>ciclos</w:t>
      </w:r>
      <w:r>
        <w:rPr>
          <w:color w:val="231F20"/>
          <w:spacing w:val="-31"/>
          <w:w w:val="110"/>
        </w:rPr>
        <w:t> </w:t>
      </w:r>
      <w:r>
        <w:rPr>
          <w:color w:val="231F20"/>
          <w:w w:val="110"/>
        </w:rPr>
        <w:t>de</w:t>
      </w:r>
      <w:r>
        <w:rPr>
          <w:color w:val="231F20"/>
          <w:spacing w:val="-31"/>
          <w:w w:val="110"/>
        </w:rPr>
        <w:t> </w:t>
      </w:r>
      <w:r>
        <w:rPr>
          <w:color w:val="231F20"/>
          <w:w w:val="110"/>
        </w:rPr>
        <w:t>inestabilidad</w:t>
      </w:r>
      <w:r>
        <w:rPr>
          <w:color w:val="231F20"/>
          <w:spacing w:val="-31"/>
          <w:w w:val="110"/>
        </w:rPr>
        <w:t> </w:t>
      </w:r>
      <w:r>
        <w:rPr>
          <w:color w:val="231F20"/>
          <w:w w:val="110"/>
        </w:rPr>
        <w:t>y</w:t>
      </w:r>
      <w:r>
        <w:rPr>
          <w:color w:val="231F20"/>
          <w:spacing w:val="-31"/>
          <w:w w:val="110"/>
        </w:rPr>
        <w:t> </w:t>
      </w:r>
      <w:r>
        <w:rPr>
          <w:color w:val="231F20"/>
          <w:w w:val="110"/>
        </w:rPr>
        <w:t>depresión económica. Este comportamiento inédito del capitalismo aconteció a escala mundial, y en Estados Unidos, con ciertas particularidades. Entre</w:t>
      </w:r>
      <w:r>
        <w:rPr>
          <w:color w:val="231F20"/>
          <w:spacing w:val="-17"/>
          <w:w w:val="110"/>
        </w:rPr>
        <w:t> </w:t>
      </w:r>
      <w:r>
        <w:rPr>
          <w:color w:val="231F20"/>
          <w:w w:val="110"/>
        </w:rPr>
        <w:t>1980</w:t>
      </w:r>
      <w:r>
        <w:rPr>
          <w:color w:val="231F20"/>
          <w:spacing w:val="-17"/>
          <w:w w:val="110"/>
        </w:rPr>
        <w:t> </w:t>
      </w:r>
      <w:r>
        <w:rPr>
          <w:color w:val="231F20"/>
          <w:w w:val="110"/>
        </w:rPr>
        <w:t>y</w:t>
      </w:r>
      <w:r>
        <w:rPr>
          <w:color w:val="231F20"/>
          <w:spacing w:val="-17"/>
          <w:w w:val="110"/>
        </w:rPr>
        <w:t> </w:t>
      </w:r>
      <w:r>
        <w:rPr>
          <w:color w:val="231F20"/>
          <w:w w:val="110"/>
        </w:rPr>
        <w:t>2008,</w:t>
      </w:r>
      <w:r>
        <w:rPr>
          <w:color w:val="231F20"/>
          <w:spacing w:val="-17"/>
          <w:w w:val="110"/>
        </w:rPr>
        <w:t> </w:t>
      </w:r>
      <w:r>
        <w:rPr>
          <w:color w:val="231F20"/>
          <w:w w:val="110"/>
        </w:rPr>
        <w:t>antes</w:t>
      </w:r>
      <w:r>
        <w:rPr>
          <w:color w:val="231F20"/>
          <w:spacing w:val="-17"/>
          <w:w w:val="110"/>
        </w:rPr>
        <w:t> </w:t>
      </w:r>
      <w:r>
        <w:rPr>
          <w:color w:val="231F20"/>
          <w:w w:val="110"/>
        </w:rPr>
        <w:t>del</w:t>
      </w:r>
      <w:r>
        <w:rPr>
          <w:color w:val="231F20"/>
          <w:spacing w:val="-17"/>
          <w:w w:val="110"/>
        </w:rPr>
        <w:t> </w:t>
      </w:r>
      <w:r>
        <w:rPr>
          <w:color w:val="231F20"/>
          <w:w w:val="110"/>
        </w:rPr>
        <w:t>inicio</w:t>
      </w:r>
      <w:r>
        <w:rPr>
          <w:color w:val="231F20"/>
          <w:spacing w:val="-17"/>
          <w:w w:val="110"/>
        </w:rPr>
        <w:t> </w:t>
      </w:r>
      <w:r>
        <w:rPr>
          <w:color w:val="231F20"/>
          <w:w w:val="110"/>
        </w:rPr>
        <w:t>y</w:t>
      </w:r>
      <w:r>
        <w:rPr>
          <w:color w:val="231F20"/>
          <w:spacing w:val="-17"/>
          <w:w w:val="110"/>
        </w:rPr>
        <w:t> </w:t>
      </w:r>
      <w:r>
        <w:rPr>
          <w:color w:val="231F20"/>
          <w:w w:val="110"/>
        </w:rPr>
        <w:t>profundización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crisis,</w:t>
      </w:r>
      <w:r>
        <w:rPr>
          <w:color w:val="231F20"/>
          <w:spacing w:val="-17"/>
          <w:w w:val="110"/>
        </w:rPr>
        <w:t> </w:t>
      </w:r>
      <w:r>
        <w:rPr>
          <w:color w:val="231F20"/>
          <w:w w:val="110"/>
        </w:rPr>
        <w:t>el</w:t>
      </w:r>
      <w:r>
        <w:rPr>
          <w:color w:val="231F20"/>
          <w:spacing w:val="-18"/>
          <w:w w:val="110"/>
        </w:rPr>
        <w:t> </w:t>
      </w:r>
      <w:r>
        <w:rPr>
          <w:color w:val="231F20"/>
          <w:spacing w:val="-2"/>
          <w:w w:val="110"/>
        </w:rPr>
        <w:t>pib </w:t>
      </w:r>
      <w:r>
        <w:rPr>
          <w:color w:val="231F20"/>
          <w:w w:val="110"/>
        </w:rPr>
        <w:t>mundial creció a una tasa de alrededor de 2.8%, muy por debajo</w:t>
      </w:r>
      <w:r>
        <w:rPr>
          <w:color w:val="231F20"/>
          <w:spacing w:val="19"/>
          <w:w w:val="110"/>
        </w:rPr>
        <w:t> </w:t>
      </w:r>
      <w:r>
        <w:rPr>
          <w:color w:val="231F20"/>
          <w:spacing w:val="-2"/>
          <w:w w:val="110"/>
        </w:rPr>
        <w:t>del</w:t>
      </w:r>
    </w:p>
    <w:p>
      <w:pPr>
        <w:spacing w:after="0" w:line="261" w:lineRule="auto"/>
        <w:jc w:val="both"/>
        <w:sectPr>
          <w:headerReference w:type="default" r:id="rId184"/>
          <w:headerReference w:type="even" r:id="rId185"/>
          <w:pgSz w:w="7640" w:h="11900"/>
          <w:pgMar w:header="672" w:footer="0" w:top="860" w:bottom="280" w:left="660" w:right="760"/>
        </w:sectPr>
      </w:pPr>
    </w:p>
    <w:p>
      <w:pPr>
        <w:pStyle w:val="BodyText"/>
        <w:spacing w:line="261" w:lineRule="auto" w:before="167"/>
        <w:ind w:left="100" w:right="115"/>
        <w:jc w:val="both"/>
      </w:pPr>
      <w:r>
        <w:rPr>
          <w:color w:val="231F20"/>
          <w:w w:val="110"/>
        </w:rPr>
        <w:t>crecimiento</w:t>
      </w:r>
      <w:r>
        <w:rPr>
          <w:color w:val="231F20"/>
          <w:spacing w:val="-12"/>
          <w:w w:val="110"/>
        </w:rPr>
        <w:t> </w:t>
      </w:r>
      <w:r>
        <w:rPr>
          <w:color w:val="231F20"/>
          <w:w w:val="110"/>
        </w:rPr>
        <w:t>promedio</w:t>
      </w:r>
      <w:r>
        <w:rPr>
          <w:color w:val="231F20"/>
          <w:spacing w:val="-12"/>
          <w:w w:val="110"/>
        </w:rPr>
        <w:t> </w:t>
      </w:r>
      <w:r>
        <w:rPr>
          <w:color w:val="231F20"/>
          <w:w w:val="110"/>
        </w:rPr>
        <w:t>de</w:t>
      </w:r>
      <w:r>
        <w:rPr>
          <w:color w:val="231F20"/>
          <w:spacing w:val="-12"/>
          <w:w w:val="110"/>
        </w:rPr>
        <w:t> </w:t>
      </w:r>
      <w:r>
        <w:rPr>
          <w:color w:val="231F20"/>
          <w:w w:val="110"/>
        </w:rPr>
        <w:t>casi</w:t>
      </w:r>
      <w:r>
        <w:rPr>
          <w:color w:val="231F20"/>
          <w:spacing w:val="-12"/>
          <w:w w:val="110"/>
        </w:rPr>
        <w:t> </w:t>
      </w:r>
      <w:r>
        <w:rPr>
          <w:color w:val="231F20"/>
          <w:w w:val="110"/>
        </w:rPr>
        <w:t>5%</w:t>
      </w:r>
      <w:r>
        <w:rPr>
          <w:color w:val="231F20"/>
          <w:spacing w:val="-12"/>
          <w:w w:val="110"/>
        </w:rPr>
        <w:t> </w:t>
      </w:r>
      <w:r>
        <w:rPr>
          <w:color w:val="231F20"/>
          <w:w w:val="110"/>
        </w:rPr>
        <w:t>entre</w:t>
      </w:r>
      <w:r>
        <w:rPr>
          <w:color w:val="231F20"/>
          <w:spacing w:val="-12"/>
          <w:w w:val="110"/>
        </w:rPr>
        <w:t> </w:t>
      </w:r>
      <w:r>
        <w:rPr>
          <w:color w:val="231F20"/>
          <w:w w:val="110"/>
        </w:rPr>
        <w:t>1950</w:t>
      </w:r>
      <w:r>
        <w:rPr>
          <w:color w:val="231F20"/>
          <w:spacing w:val="-12"/>
          <w:w w:val="110"/>
        </w:rPr>
        <w:t> </w:t>
      </w:r>
      <w:r>
        <w:rPr>
          <w:color w:val="231F20"/>
          <w:w w:val="110"/>
        </w:rPr>
        <w:t>y</w:t>
      </w:r>
      <w:r>
        <w:rPr>
          <w:color w:val="231F20"/>
          <w:spacing w:val="-12"/>
          <w:w w:val="110"/>
        </w:rPr>
        <w:t> </w:t>
      </w:r>
      <w:r>
        <w:rPr>
          <w:color w:val="231F20"/>
          <w:w w:val="110"/>
        </w:rPr>
        <w:t>1973</w:t>
      </w:r>
      <w:r>
        <w:rPr>
          <w:color w:val="231F20"/>
          <w:spacing w:val="-12"/>
          <w:w w:val="110"/>
        </w:rPr>
        <w:t> </w:t>
      </w:r>
      <w:r>
        <w:rPr>
          <w:color w:val="231F20"/>
          <w:w w:val="110"/>
        </w:rPr>
        <w:t>(Mariña,</w:t>
      </w:r>
      <w:r>
        <w:rPr>
          <w:color w:val="231F20"/>
          <w:spacing w:val="-12"/>
          <w:w w:val="110"/>
        </w:rPr>
        <w:t> </w:t>
      </w:r>
      <w:r>
        <w:rPr>
          <w:color w:val="231F20"/>
          <w:w w:val="110"/>
        </w:rPr>
        <w:t>2008).</w:t>
      </w:r>
      <w:r>
        <w:rPr>
          <w:color w:val="231F20"/>
          <w:w w:val="110"/>
          <w:position w:val="6"/>
          <w:sz w:val="13"/>
        </w:rPr>
        <w:t>1 </w:t>
      </w:r>
      <w:r>
        <w:rPr>
          <w:color w:val="231F20"/>
          <w:w w:val="110"/>
        </w:rPr>
        <w:t>La</w:t>
      </w:r>
      <w:r>
        <w:rPr>
          <w:color w:val="231F20"/>
          <w:spacing w:val="-12"/>
          <w:w w:val="110"/>
        </w:rPr>
        <w:t> </w:t>
      </w:r>
      <w:r>
        <w:rPr>
          <w:color w:val="231F20"/>
          <w:w w:val="110"/>
        </w:rPr>
        <w:t>dinámica</w:t>
      </w:r>
      <w:r>
        <w:rPr>
          <w:color w:val="231F20"/>
          <w:spacing w:val="-12"/>
          <w:w w:val="110"/>
        </w:rPr>
        <w:t> </w:t>
      </w:r>
      <w:r>
        <w:rPr>
          <w:color w:val="231F20"/>
          <w:w w:val="110"/>
        </w:rPr>
        <w:t>económica</w:t>
      </w:r>
      <w:r>
        <w:rPr>
          <w:color w:val="231F20"/>
          <w:spacing w:val="-12"/>
          <w:w w:val="110"/>
        </w:rPr>
        <w:t> </w:t>
      </w:r>
      <w:r>
        <w:rPr>
          <w:color w:val="231F20"/>
          <w:w w:val="110"/>
        </w:rPr>
        <w:t>de</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siguió</w:t>
      </w:r>
      <w:r>
        <w:rPr>
          <w:color w:val="231F20"/>
          <w:spacing w:val="-12"/>
          <w:w w:val="110"/>
        </w:rPr>
        <w:t> </w:t>
      </w:r>
      <w:r>
        <w:rPr>
          <w:color w:val="231F20"/>
          <w:w w:val="110"/>
        </w:rPr>
        <w:t>una</w:t>
      </w:r>
      <w:r>
        <w:rPr>
          <w:color w:val="231F20"/>
          <w:spacing w:val="-12"/>
          <w:w w:val="110"/>
        </w:rPr>
        <w:t> </w:t>
      </w:r>
      <w:r>
        <w:rPr>
          <w:color w:val="231F20"/>
          <w:w w:val="110"/>
        </w:rPr>
        <w:t>tendencia</w:t>
      </w:r>
      <w:r>
        <w:rPr>
          <w:color w:val="231F20"/>
          <w:spacing w:val="-12"/>
          <w:w w:val="110"/>
        </w:rPr>
        <w:t> </w:t>
      </w:r>
      <w:r>
        <w:rPr>
          <w:color w:val="231F20"/>
          <w:spacing w:val="-2"/>
          <w:w w:val="110"/>
        </w:rPr>
        <w:t>muy </w:t>
      </w:r>
      <w:r>
        <w:rPr>
          <w:color w:val="231F20"/>
          <w:spacing w:val="-4"/>
          <w:w w:val="110"/>
        </w:rPr>
        <w:t>similar.</w:t>
      </w:r>
      <w:r>
        <w:rPr>
          <w:color w:val="231F20"/>
          <w:spacing w:val="-14"/>
          <w:w w:val="110"/>
        </w:rPr>
        <w:t> </w:t>
      </w:r>
      <w:r>
        <w:rPr>
          <w:color w:val="231F20"/>
          <w:w w:val="110"/>
        </w:rPr>
        <w:t>Es</w:t>
      </w:r>
      <w:r>
        <w:rPr>
          <w:color w:val="231F20"/>
          <w:spacing w:val="-14"/>
          <w:w w:val="110"/>
        </w:rPr>
        <w:t> </w:t>
      </w:r>
      <w:r>
        <w:rPr>
          <w:color w:val="231F20"/>
          <w:w w:val="110"/>
        </w:rPr>
        <w:t>de</w:t>
      </w:r>
      <w:r>
        <w:rPr>
          <w:color w:val="231F20"/>
          <w:spacing w:val="-14"/>
          <w:w w:val="110"/>
        </w:rPr>
        <w:t> </w:t>
      </w:r>
      <w:r>
        <w:rPr>
          <w:color w:val="231F20"/>
          <w:spacing w:val="-4"/>
          <w:w w:val="110"/>
        </w:rPr>
        <w:t>destacar,</w:t>
      </w:r>
      <w:r>
        <w:rPr>
          <w:color w:val="231F20"/>
          <w:spacing w:val="-14"/>
          <w:w w:val="110"/>
        </w:rPr>
        <w:t> </w:t>
      </w:r>
      <w:r>
        <w:rPr>
          <w:color w:val="231F20"/>
          <w:w w:val="110"/>
        </w:rPr>
        <w:t>que</w:t>
      </w:r>
      <w:r>
        <w:rPr>
          <w:color w:val="231F20"/>
          <w:spacing w:val="-14"/>
          <w:w w:val="110"/>
        </w:rPr>
        <w:t> </w:t>
      </w:r>
      <w:r>
        <w:rPr>
          <w:color w:val="231F20"/>
          <w:w w:val="110"/>
        </w:rPr>
        <w:t>durante</w:t>
      </w:r>
      <w:r>
        <w:rPr>
          <w:color w:val="231F20"/>
          <w:spacing w:val="-14"/>
          <w:w w:val="110"/>
        </w:rPr>
        <w:t> </w:t>
      </w:r>
      <w:r>
        <w:rPr>
          <w:color w:val="231F20"/>
          <w:w w:val="110"/>
        </w:rPr>
        <w:t>la</w:t>
      </w:r>
      <w:r>
        <w:rPr>
          <w:color w:val="231F20"/>
          <w:spacing w:val="-14"/>
          <w:w w:val="110"/>
        </w:rPr>
        <w:t> </w:t>
      </w:r>
      <w:r>
        <w:rPr>
          <w:color w:val="231F20"/>
          <w:w w:val="110"/>
        </w:rPr>
        <w:t>década</w:t>
      </w:r>
      <w:r>
        <w:rPr>
          <w:color w:val="231F20"/>
          <w:spacing w:val="-14"/>
          <w:w w:val="110"/>
        </w:rPr>
        <w:t> </w:t>
      </w:r>
      <w:r>
        <w:rPr>
          <w:color w:val="231F20"/>
          <w:w w:val="110"/>
        </w:rPr>
        <w:t>de</w:t>
      </w:r>
      <w:r>
        <w:rPr>
          <w:color w:val="231F20"/>
          <w:spacing w:val="-14"/>
          <w:w w:val="110"/>
        </w:rPr>
        <w:t> </w:t>
      </w:r>
      <w:r>
        <w:rPr>
          <w:color w:val="231F20"/>
          <w:w w:val="110"/>
        </w:rPr>
        <w:t>1990</w:t>
      </w:r>
      <w:r>
        <w:rPr>
          <w:color w:val="231F20"/>
          <w:spacing w:val="-14"/>
          <w:w w:val="110"/>
        </w:rPr>
        <w:t> </w:t>
      </w:r>
      <w:r>
        <w:rPr>
          <w:color w:val="231F20"/>
          <w:w w:val="110"/>
        </w:rPr>
        <w:t>y</w:t>
      </w:r>
      <w:r>
        <w:rPr>
          <w:color w:val="231F20"/>
          <w:spacing w:val="-14"/>
          <w:w w:val="110"/>
        </w:rPr>
        <w:t> </w:t>
      </w:r>
      <w:r>
        <w:rPr>
          <w:color w:val="231F20"/>
          <w:w w:val="110"/>
        </w:rPr>
        <w:t>primera</w:t>
      </w:r>
      <w:r>
        <w:rPr>
          <w:color w:val="231F20"/>
          <w:spacing w:val="-14"/>
          <w:w w:val="110"/>
        </w:rPr>
        <w:t> </w:t>
      </w:r>
      <w:r>
        <w:rPr>
          <w:color w:val="231F20"/>
          <w:w w:val="110"/>
        </w:rPr>
        <w:t>mitad de la de 2000, la economía experimentó un ciclo relativamente</w:t>
      </w:r>
      <w:r>
        <w:rPr>
          <w:color w:val="231F20"/>
          <w:spacing w:val="-30"/>
          <w:w w:val="110"/>
        </w:rPr>
        <w:t> </w:t>
      </w:r>
      <w:r>
        <w:rPr>
          <w:color w:val="231F20"/>
          <w:w w:val="110"/>
        </w:rPr>
        <w:t>largo de</w:t>
      </w:r>
      <w:r>
        <w:rPr>
          <w:color w:val="231F20"/>
          <w:spacing w:val="-13"/>
          <w:w w:val="110"/>
        </w:rPr>
        <w:t> </w:t>
      </w:r>
      <w:r>
        <w:rPr>
          <w:color w:val="231F20"/>
          <w:w w:val="110"/>
        </w:rPr>
        <w:t>estabilidad,</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extendió</w:t>
      </w:r>
      <w:r>
        <w:rPr>
          <w:color w:val="231F20"/>
          <w:spacing w:val="-13"/>
          <w:w w:val="110"/>
        </w:rPr>
        <w:t> </w:t>
      </w:r>
      <w:r>
        <w:rPr>
          <w:color w:val="231F20"/>
          <w:w w:val="110"/>
        </w:rPr>
        <w:t>de</w:t>
      </w:r>
      <w:r>
        <w:rPr>
          <w:color w:val="231F20"/>
          <w:spacing w:val="-13"/>
          <w:w w:val="110"/>
        </w:rPr>
        <w:t> </w:t>
      </w:r>
      <w:r>
        <w:rPr>
          <w:color w:val="231F20"/>
          <w:w w:val="110"/>
        </w:rPr>
        <w:t>1992</w:t>
      </w:r>
      <w:r>
        <w:rPr>
          <w:color w:val="231F20"/>
          <w:spacing w:val="-13"/>
          <w:w w:val="110"/>
        </w:rPr>
        <w:t> </w:t>
      </w:r>
      <w:r>
        <w:rPr>
          <w:color w:val="231F20"/>
          <w:w w:val="110"/>
        </w:rPr>
        <w:t>a</w:t>
      </w:r>
      <w:r>
        <w:rPr>
          <w:color w:val="231F20"/>
          <w:spacing w:val="-13"/>
          <w:w w:val="110"/>
        </w:rPr>
        <w:t> </w:t>
      </w:r>
      <w:r>
        <w:rPr>
          <w:color w:val="231F20"/>
          <w:w w:val="110"/>
        </w:rPr>
        <w:t>2000,</w:t>
      </w:r>
      <w:r>
        <w:rPr>
          <w:color w:val="231F20"/>
          <w:spacing w:val="-13"/>
          <w:w w:val="110"/>
        </w:rPr>
        <w:t> </w:t>
      </w:r>
      <w:r>
        <w:rPr>
          <w:color w:val="231F20"/>
          <w:w w:val="110"/>
        </w:rPr>
        <w:t>seguido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crisis</w:t>
      </w:r>
      <w:r>
        <w:rPr>
          <w:color w:val="231F20"/>
          <w:spacing w:val="-13"/>
          <w:w w:val="110"/>
        </w:rPr>
        <w:t> </w:t>
      </w:r>
      <w:r>
        <w:rPr>
          <w:color w:val="231F20"/>
          <w:w w:val="110"/>
        </w:rPr>
        <w:t>de 2001 y de un periodo corto de recuperación que culminó en 2004. Desde entonces, pero particularmente desde comienzos de 2007,    la economía estadunidense mostró signos claros de debilitamiento, alcanzando un crecimiento negativo del pib de –0.3% en 2008 y </w:t>
      </w:r>
      <w:r>
        <w:rPr>
          <w:color w:val="231F20"/>
          <w:spacing w:val="41"/>
          <w:w w:val="110"/>
        </w:rPr>
        <w:t> </w:t>
      </w:r>
      <w:r>
        <w:rPr>
          <w:color w:val="231F20"/>
          <w:w w:val="110"/>
        </w:rPr>
        <w:t>de</w:t>
      </w:r>
    </w:p>
    <w:p>
      <w:pPr>
        <w:pStyle w:val="BodyText"/>
        <w:spacing w:line="261" w:lineRule="auto"/>
        <w:ind w:left="100" w:right="119"/>
        <w:jc w:val="both"/>
      </w:pPr>
      <w:r>
        <w:rPr>
          <w:color w:val="231F20"/>
          <w:w w:val="110"/>
        </w:rPr>
        <w:t>–3.1%</w:t>
      </w:r>
      <w:r>
        <w:rPr>
          <w:color w:val="231F20"/>
          <w:spacing w:val="-16"/>
          <w:w w:val="110"/>
        </w:rPr>
        <w:t> </w:t>
      </w:r>
      <w:r>
        <w:rPr>
          <w:color w:val="231F20"/>
          <w:w w:val="110"/>
        </w:rPr>
        <w:t>en</w:t>
      </w:r>
      <w:r>
        <w:rPr>
          <w:color w:val="231F20"/>
          <w:spacing w:val="-16"/>
          <w:w w:val="110"/>
        </w:rPr>
        <w:t> </w:t>
      </w:r>
      <w:r>
        <w:rPr>
          <w:color w:val="231F20"/>
          <w:w w:val="110"/>
        </w:rPr>
        <w:t>2009,</w:t>
      </w:r>
      <w:r>
        <w:rPr>
          <w:color w:val="231F20"/>
          <w:spacing w:val="-16"/>
          <w:w w:val="110"/>
        </w:rPr>
        <w:t> </w:t>
      </w:r>
      <w:r>
        <w:rPr>
          <w:color w:val="231F20"/>
          <w:w w:val="110"/>
        </w:rPr>
        <w:t>el</w:t>
      </w:r>
      <w:r>
        <w:rPr>
          <w:color w:val="231F20"/>
          <w:spacing w:val="-16"/>
          <w:w w:val="110"/>
        </w:rPr>
        <w:t> </w:t>
      </w:r>
      <w:r>
        <w:rPr>
          <w:color w:val="231F20"/>
          <w:w w:val="110"/>
        </w:rPr>
        <w:t>menor</w:t>
      </w:r>
      <w:r>
        <w:rPr>
          <w:color w:val="231F20"/>
          <w:spacing w:val="-16"/>
          <w:w w:val="110"/>
        </w:rPr>
        <w:t> </w:t>
      </w:r>
      <w:r>
        <w:rPr>
          <w:color w:val="231F20"/>
          <w:w w:val="110"/>
        </w:rPr>
        <w:t>crecimiento</w:t>
      </w:r>
      <w:r>
        <w:rPr>
          <w:color w:val="231F20"/>
          <w:spacing w:val="-16"/>
          <w:w w:val="110"/>
        </w:rPr>
        <w:t> </w:t>
      </w:r>
      <w:r>
        <w:rPr>
          <w:color w:val="231F20"/>
          <w:w w:val="110"/>
        </w:rPr>
        <w:t>desde</w:t>
      </w:r>
      <w:r>
        <w:rPr>
          <w:color w:val="231F20"/>
          <w:spacing w:val="-16"/>
          <w:w w:val="110"/>
        </w:rPr>
        <w:t> </w:t>
      </w:r>
      <w:r>
        <w:rPr>
          <w:color w:val="231F20"/>
          <w:w w:val="110"/>
        </w:rPr>
        <w:t>mediados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década</w:t>
      </w:r>
      <w:r>
        <w:rPr>
          <w:color w:val="231F20"/>
          <w:spacing w:val="-16"/>
          <w:w w:val="110"/>
        </w:rPr>
        <w:t> </w:t>
      </w:r>
      <w:r>
        <w:rPr>
          <w:color w:val="231F20"/>
          <w:w w:val="110"/>
        </w:rPr>
        <w:t>de 1940. La recuperación experimentada en 2010 y 2011, fue modesta, mostrando</w:t>
      </w:r>
      <w:r>
        <w:rPr>
          <w:color w:val="231F20"/>
          <w:spacing w:val="-8"/>
          <w:w w:val="110"/>
        </w:rPr>
        <w:t> </w:t>
      </w:r>
      <w:r>
        <w:rPr>
          <w:color w:val="231F20"/>
          <w:w w:val="110"/>
        </w:rPr>
        <w:t>un</w:t>
      </w:r>
      <w:r>
        <w:rPr>
          <w:color w:val="231F20"/>
          <w:spacing w:val="-8"/>
          <w:w w:val="110"/>
        </w:rPr>
        <w:t> </w:t>
      </w:r>
      <w:r>
        <w:rPr>
          <w:color w:val="231F20"/>
          <w:w w:val="110"/>
        </w:rPr>
        <w:t>crecimiento</w:t>
      </w:r>
      <w:r>
        <w:rPr>
          <w:color w:val="231F20"/>
          <w:spacing w:val="-8"/>
          <w:w w:val="110"/>
        </w:rPr>
        <w:t> </w:t>
      </w:r>
      <w:r>
        <w:rPr>
          <w:color w:val="231F20"/>
          <w:w w:val="110"/>
        </w:rPr>
        <w:t>del</w:t>
      </w:r>
      <w:r>
        <w:rPr>
          <w:color w:val="231F20"/>
          <w:spacing w:val="-8"/>
          <w:w w:val="110"/>
        </w:rPr>
        <w:t> </w:t>
      </w:r>
      <w:r>
        <w:rPr>
          <w:color w:val="231F20"/>
          <w:w w:val="110"/>
        </w:rPr>
        <w:t>pib</w:t>
      </w:r>
      <w:r>
        <w:rPr>
          <w:color w:val="231F20"/>
          <w:spacing w:val="-8"/>
          <w:w w:val="110"/>
        </w:rPr>
        <w:t> </w:t>
      </w:r>
      <w:r>
        <w:rPr>
          <w:color w:val="231F20"/>
          <w:w w:val="110"/>
        </w:rPr>
        <w:t>de</w:t>
      </w:r>
      <w:r>
        <w:rPr>
          <w:color w:val="231F20"/>
          <w:spacing w:val="-8"/>
          <w:w w:val="110"/>
        </w:rPr>
        <w:t> </w:t>
      </w:r>
      <w:r>
        <w:rPr>
          <w:color w:val="231F20"/>
          <w:w w:val="110"/>
        </w:rPr>
        <w:t>2.4</w:t>
      </w:r>
      <w:r>
        <w:rPr>
          <w:color w:val="231F20"/>
          <w:spacing w:val="-8"/>
          <w:w w:val="110"/>
        </w:rPr>
        <w:t> </w:t>
      </w:r>
      <w:r>
        <w:rPr>
          <w:color w:val="231F20"/>
          <w:w w:val="110"/>
        </w:rPr>
        <w:t>y</w:t>
      </w:r>
      <w:r>
        <w:rPr>
          <w:color w:val="231F20"/>
          <w:spacing w:val="-8"/>
          <w:w w:val="110"/>
        </w:rPr>
        <w:t> </w:t>
      </w:r>
      <w:r>
        <w:rPr>
          <w:color w:val="231F20"/>
          <w:w w:val="110"/>
        </w:rPr>
        <w:t>1.8%</w:t>
      </w:r>
      <w:r>
        <w:rPr>
          <w:color w:val="231F20"/>
          <w:spacing w:val="-8"/>
          <w:w w:val="110"/>
        </w:rPr>
        <w:t> </w:t>
      </w:r>
      <w:r>
        <w:rPr>
          <w:color w:val="231F20"/>
          <w:w w:val="110"/>
        </w:rPr>
        <w:t>(U.S.</w:t>
      </w:r>
      <w:r>
        <w:rPr>
          <w:color w:val="231F20"/>
          <w:spacing w:val="-8"/>
          <w:w w:val="110"/>
        </w:rPr>
        <w:t> </w:t>
      </w:r>
      <w:r>
        <w:rPr>
          <w:color w:val="231F20"/>
          <w:w w:val="110"/>
        </w:rPr>
        <w:t>Department</w:t>
      </w:r>
      <w:r>
        <w:rPr>
          <w:color w:val="231F20"/>
          <w:spacing w:val="-8"/>
          <w:w w:val="110"/>
        </w:rPr>
        <w:t> </w:t>
      </w:r>
      <w:r>
        <w:rPr>
          <w:color w:val="231F20"/>
          <w:w w:val="110"/>
        </w:rPr>
        <w:t>of Commerce, Bureau of Economic Analysis, 2012), en un entorno de incertidumbre aún latente, con la posibilidad de que se produzca</w:t>
      </w:r>
      <w:r>
        <w:rPr>
          <w:color w:val="231F20"/>
          <w:spacing w:val="-31"/>
          <w:w w:val="110"/>
        </w:rPr>
        <w:t> </w:t>
      </w:r>
      <w:r>
        <w:rPr>
          <w:color w:val="231F20"/>
          <w:spacing w:val="-2"/>
          <w:w w:val="110"/>
        </w:rPr>
        <w:t>una </w:t>
      </w:r>
      <w:r>
        <w:rPr>
          <w:color w:val="231F20"/>
          <w:w w:val="105"/>
        </w:rPr>
        <w:t>eventual</w:t>
      </w:r>
      <w:r>
        <w:rPr>
          <w:color w:val="231F20"/>
          <w:spacing w:val="6"/>
          <w:w w:val="105"/>
        </w:rPr>
        <w:t> </w:t>
      </w:r>
      <w:r>
        <w:rPr>
          <w:color w:val="231F20"/>
          <w:w w:val="105"/>
        </w:rPr>
        <w:t>“recaída”.</w:t>
      </w:r>
    </w:p>
    <w:p>
      <w:pPr>
        <w:pStyle w:val="BodyText"/>
        <w:spacing w:line="261" w:lineRule="auto"/>
        <w:ind w:left="100" w:right="117" w:firstLine="240"/>
        <w:jc w:val="both"/>
      </w:pPr>
      <w:r>
        <w:rPr>
          <w:color w:val="231F20"/>
          <w:w w:val="110"/>
        </w:rPr>
        <w:t>La estrepitosa caída del pib de Estados Unidos, sólo comparable con la gran depresión, tiene características propias. La crisis actual, dada la profundidad y complejidad de sus efectos, podría aportar elementos para afirmar la tesis de crisis del modelo neoliberal. In- cluso, la hipótesis del agotamiento progresivo de la economía capi- talista podría no resultar trivial. ¿Cuál es la modalidad de la crisis? La pregunta podría ser planteada en términos de si se trata de una crisis cíclica </w:t>
      </w:r>
      <w:r>
        <w:rPr>
          <w:i/>
          <w:color w:val="231F20"/>
          <w:w w:val="110"/>
        </w:rPr>
        <w:t>en </w:t>
      </w:r>
      <w:r>
        <w:rPr>
          <w:color w:val="231F20"/>
          <w:w w:val="110"/>
        </w:rPr>
        <w:t>el modelo económico o </w:t>
      </w:r>
      <w:r>
        <w:rPr>
          <w:i/>
          <w:color w:val="231F20"/>
          <w:w w:val="110"/>
        </w:rPr>
        <w:t>del </w:t>
      </w:r>
      <w:r>
        <w:rPr>
          <w:color w:val="231F20"/>
          <w:w w:val="110"/>
        </w:rPr>
        <w:t>modelo, una crisis final del neoliberalismo. Ciertamente, ésta es una crisis del modelo neo- liberal, ¿pero estamos ante el fin del neoliberalismo? Sí y no, o por lo menos ésta no parece ser la crisis definitiva, aunque podría ser su preludio.</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económica</w:t>
      </w:r>
      <w:r>
        <w:rPr>
          <w:color w:val="231F20"/>
          <w:spacing w:val="-11"/>
          <w:w w:val="110"/>
        </w:rPr>
        <w:t> </w:t>
      </w:r>
      <w:r>
        <w:rPr>
          <w:color w:val="231F20"/>
          <w:w w:val="110"/>
        </w:rPr>
        <w:t>estadunidense,</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hizo</w:t>
      </w:r>
      <w:r>
        <w:rPr>
          <w:color w:val="231F20"/>
          <w:spacing w:val="-11"/>
          <w:w w:val="110"/>
        </w:rPr>
        <w:t> </w:t>
      </w:r>
      <w:r>
        <w:rPr>
          <w:color w:val="231F20"/>
          <w:w w:val="110"/>
        </w:rPr>
        <w:t>sentir</w:t>
      </w:r>
      <w:r>
        <w:rPr>
          <w:color w:val="231F20"/>
          <w:spacing w:val="-11"/>
          <w:w w:val="110"/>
        </w:rPr>
        <w:t> </w:t>
      </w:r>
      <w:r>
        <w:rPr>
          <w:color w:val="231F20"/>
          <w:w w:val="110"/>
        </w:rPr>
        <w:t>desde mediados de 2007, y que tuvo su detonante en la crisis inmobiliaria, colapsó al sector financiero y generó una recesión global. Aunque a diferencia</w:t>
      </w:r>
      <w:r>
        <w:rPr>
          <w:color w:val="231F20"/>
          <w:spacing w:val="-9"/>
          <w:w w:val="110"/>
        </w:rPr>
        <w:t> </w:t>
      </w:r>
      <w:r>
        <w:rPr>
          <w:color w:val="231F20"/>
          <w:w w:val="110"/>
        </w:rPr>
        <w:t>de</w:t>
      </w:r>
      <w:r>
        <w:rPr>
          <w:color w:val="231F20"/>
          <w:spacing w:val="-9"/>
          <w:w w:val="110"/>
        </w:rPr>
        <w:t> </w:t>
      </w:r>
      <w:r>
        <w:rPr>
          <w:color w:val="231F20"/>
          <w:w w:val="110"/>
        </w:rPr>
        <w:t>otras</w:t>
      </w:r>
      <w:r>
        <w:rPr>
          <w:color w:val="231F20"/>
          <w:spacing w:val="-9"/>
          <w:w w:val="110"/>
        </w:rPr>
        <w:t> </w:t>
      </w:r>
      <w:r>
        <w:rPr>
          <w:color w:val="231F20"/>
          <w:w w:val="110"/>
        </w:rPr>
        <w:t>crisis,</w:t>
      </w:r>
      <w:r>
        <w:rPr>
          <w:color w:val="231F20"/>
          <w:spacing w:val="-9"/>
          <w:w w:val="110"/>
        </w:rPr>
        <w:t> </w:t>
      </w:r>
      <w:r>
        <w:rPr>
          <w:color w:val="231F20"/>
          <w:w w:val="110"/>
        </w:rPr>
        <w:t>la</w:t>
      </w:r>
      <w:r>
        <w:rPr>
          <w:color w:val="231F20"/>
          <w:spacing w:val="-9"/>
          <w:w w:val="110"/>
        </w:rPr>
        <w:t> </w:t>
      </w:r>
      <w:r>
        <w:rPr>
          <w:color w:val="231F20"/>
          <w:w w:val="110"/>
        </w:rPr>
        <w:t>repercusión</w:t>
      </w:r>
      <w:r>
        <w:rPr>
          <w:color w:val="231F20"/>
          <w:spacing w:val="-9"/>
          <w:w w:val="110"/>
        </w:rPr>
        <w:t> </w:t>
      </w:r>
      <w:r>
        <w:rPr>
          <w:color w:val="231F20"/>
          <w:w w:val="110"/>
        </w:rPr>
        <w:t>es</w:t>
      </w:r>
      <w:r>
        <w:rPr>
          <w:color w:val="231F20"/>
          <w:spacing w:val="-9"/>
          <w:w w:val="110"/>
        </w:rPr>
        <w:t> </w:t>
      </w:r>
      <w:r>
        <w:rPr>
          <w:color w:val="231F20"/>
          <w:w w:val="110"/>
        </w:rPr>
        <w:t>mayor</w:t>
      </w:r>
      <w:r>
        <w:rPr>
          <w:color w:val="231F20"/>
          <w:spacing w:val="-9"/>
          <w:w w:val="110"/>
        </w:rPr>
        <w:t> </w:t>
      </w:r>
      <w:r>
        <w:rPr>
          <w:color w:val="231F20"/>
          <w:w w:val="110"/>
        </w:rPr>
        <w:t>sobre</w:t>
      </w:r>
      <w:r>
        <w:rPr>
          <w:color w:val="231F20"/>
          <w:spacing w:val="-9"/>
          <w:w w:val="110"/>
        </w:rPr>
        <w:t> </w:t>
      </w:r>
      <w:r>
        <w:rPr>
          <w:color w:val="231F20"/>
          <w:w w:val="110"/>
        </w:rPr>
        <w:t>Estados</w:t>
      </w:r>
      <w:r>
        <w:rPr>
          <w:color w:val="231F20"/>
          <w:spacing w:val="-9"/>
          <w:w w:val="110"/>
        </w:rPr>
        <w:t> </w:t>
      </w:r>
      <w:r>
        <w:rPr>
          <w:color w:val="231F20"/>
          <w:w w:val="110"/>
        </w:rPr>
        <w:t>Uni- dos,</w:t>
      </w:r>
      <w:r>
        <w:rPr>
          <w:color w:val="231F20"/>
          <w:spacing w:val="15"/>
          <w:w w:val="110"/>
        </w:rPr>
        <w:t> </w:t>
      </w:r>
      <w:r>
        <w:rPr>
          <w:color w:val="231F20"/>
          <w:w w:val="110"/>
        </w:rPr>
        <w:t>el</w:t>
      </w:r>
      <w:r>
        <w:rPr>
          <w:color w:val="231F20"/>
          <w:spacing w:val="15"/>
          <w:w w:val="110"/>
        </w:rPr>
        <w:t> </w:t>
      </w:r>
      <w:r>
        <w:rPr>
          <w:color w:val="231F20"/>
          <w:w w:val="110"/>
        </w:rPr>
        <w:t>impacto</w:t>
      </w:r>
      <w:r>
        <w:rPr>
          <w:color w:val="231F20"/>
          <w:spacing w:val="15"/>
          <w:w w:val="110"/>
        </w:rPr>
        <w:t> </w:t>
      </w:r>
      <w:r>
        <w:rPr>
          <w:color w:val="231F20"/>
          <w:w w:val="110"/>
        </w:rPr>
        <w:t>sobre</w:t>
      </w:r>
      <w:r>
        <w:rPr>
          <w:color w:val="231F20"/>
          <w:spacing w:val="15"/>
          <w:w w:val="110"/>
        </w:rPr>
        <w:t> </w:t>
      </w:r>
      <w:r>
        <w:rPr>
          <w:color w:val="231F20"/>
          <w:w w:val="110"/>
        </w:rPr>
        <w:t>el</w:t>
      </w:r>
      <w:r>
        <w:rPr>
          <w:color w:val="231F20"/>
          <w:spacing w:val="15"/>
          <w:w w:val="110"/>
        </w:rPr>
        <w:t> </w:t>
      </w:r>
      <w:r>
        <w:rPr>
          <w:color w:val="231F20"/>
          <w:w w:val="110"/>
        </w:rPr>
        <w:t>resto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economía</w:t>
      </w:r>
      <w:r>
        <w:rPr>
          <w:color w:val="231F20"/>
          <w:spacing w:val="15"/>
          <w:w w:val="110"/>
        </w:rPr>
        <w:t> </w:t>
      </w:r>
      <w:r>
        <w:rPr>
          <w:color w:val="231F20"/>
          <w:w w:val="110"/>
        </w:rPr>
        <w:t>mundial</w:t>
      </w:r>
      <w:r>
        <w:rPr>
          <w:color w:val="231F20"/>
          <w:spacing w:val="15"/>
          <w:w w:val="110"/>
        </w:rPr>
        <w:t> </w:t>
      </w:r>
      <w:r>
        <w:rPr>
          <w:color w:val="231F20"/>
          <w:w w:val="110"/>
        </w:rPr>
        <w:t>se</w:t>
      </w:r>
      <w:r>
        <w:rPr>
          <w:color w:val="231F20"/>
          <w:spacing w:val="15"/>
          <w:w w:val="110"/>
        </w:rPr>
        <w:t> </w:t>
      </w:r>
      <w:r>
        <w:rPr>
          <w:color w:val="231F20"/>
          <w:w w:val="110"/>
        </w:rPr>
        <w:t>ha</w:t>
      </w:r>
      <w:r>
        <w:rPr>
          <w:color w:val="231F20"/>
          <w:spacing w:val="15"/>
          <w:w w:val="110"/>
        </w:rPr>
        <w:t> </w:t>
      </w:r>
      <w:r>
        <w:rPr>
          <w:color w:val="231F20"/>
          <w:w w:val="110"/>
        </w:rPr>
        <w:t>hecho</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1</w:t>
      </w:r>
      <w:r>
        <w:rPr>
          <w:color w:val="231F20"/>
          <w:spacing w:val="12"/>
          <w:w w:val="110"/>
          <w:position w:val="5"/>
          <w:sz w:val="10"/>
        </w:rPr>
        <w:t> </w:t>
      </w:r>
      <w:r>
        <w:rPr>
          <w:color w:val="231F20"/>
          <w:w w:val="110"/>
          <w:sz w:val="16"/>
        </w:rPr>
        <w:t>En</w:t>
      </w:r>
      <w:r>
        <w:rPr>
          <w:color w:val="231F20"/>
          <w:spacing w:val="-13"/>
          <w:w w:val="110"/>
          <w:sz w:val="16"/>
        </w:rPr>
        <w:t> </w:t>
      </w:r>
      <w:r>
        <w:rPr>
          <w:color w:val="231F20"/>
          <w:w w:val="110"/>
          <w:sz w:val="16"/>
        </w:rPr>
        <w:t>este</w:t>
      </w:r>
      <w:r>
        <w:rPr>
          <w:color w:val="231F20"/>
          <w:spacing w:val="-13"/>
          <w:w w:val="110"/>
          <w:sz w:val="16"/>
        </w:rPr>
        <w:t> </w:t>
      </w:r>
      <w:r>
        <w:rPr>
          <w:color w:val="231F20"/>
          <w:w w:val="110"/>
          <w:sz w:val="16"/>
        </w:rPr>
        <w:t>periodo,</w:t>
      </w:r>
      <w:r>
        <w:rPr>
          <w:color w:val="231F20"/>
          <w:spacing w:val="-13"/>
          <w:w w:val="110"/>
          <w:sz w:val="16"/>
        </w:rPr>
        <w:t> </w:t>
      </w:r>
      <w:r>
        <w:rPr>
          <w:color w:val="231F20"/>
          <w:w w:val="110"/>
          <w:sz w:val="16"/>
        </w:rPr>
        <w:t>caracterizado</w:t>
      </w:r>
      <w:r>
        <w:rPr>
          <w:color w:val="231F20"/>
          <w:spacing w:val="-13"/>
          <w:w w:val="110"/>
          <w:sz w:val="16"/>
        </w:rPr>
        <w:t> </w:t>
      </w:r>
      <w:r>
        <w:rPr>
          <w:color w:val="231F20"/>
          <w:w w:val="110"/>
          <w:sz w:val="16"/>
        </w:rPr>
        <w:t>por</w:t>
      </w:r>
      <w:r>
        <w:rPr>
          <w:color w:val="231F20"/>
          <w:spacing w:val="-13"/>
          <w:w w:val="110"/>
          <w:sz w:val="16"/>
        </w:rPr>
        <w:t> </w:t>
      </w:r>
      <w:r>
        <w:rPr>
          <w:color w:val="231F20"/>
          <w:w w:val="110"/>
          <w:sz w:val="16"/>
        </w:rPr>
        <w:t>predominio</w:t>
      </w:r>
      <w:r>
        <w:rPr>
          <w:color w:val="231F20"/>
          <w:spacing w:val="-13"/>
          <w:w w:val="110"/>
          <w:sz w:val="16"/>
        </w:rPr>
        <w:t> </w:t>
      </w:r>
      <w:r>
        <w:rPr>
          <w:color w:val="231F20"/>
          <w:w w:val="110"/>
          <w:sz w:val="16"/>
        </w:rPr>
        <w:t>del</w:t>
      </w:r>
      <w:r>
        <w:rPr>
          <w:color w:val="231F20"/>
          <w:spacing w:val="-13"/>
          <w:w w:val="110"/>
          <w:sz w:val="16"/>
        </w:rPr>
        <w:t> </w:t>
      </w:r>
      <w:r>
        <w:rPr>
          <w:color w:val="231F20"/>
          <w:w w:val="110"/>
          <w:sz w:val="16"/>
        </w:rPr>
        <w:t>Estado</w:t>
      </w:r>
      <w:r>
        <w:rPr>
          <w:color w:val="231F20"/>
          <w:spacing w:val="-13"/>
          <w:w w:val="110"/>
          <w:sz w:val="16"/>
        </w:rPr>
        <w:t> </w:t>
      </w:r>
      <w:r>
        <w:rPr>
          <w:color w:val="231F20"/>
          <w:w w:val="110"/>
          <w:sz w:val="16"/>
        </w:rPr>
        <w:t>benefactor,</w:t>
      </w:r>
      <w:r>
        <w:rPr>
          <w:color w:val="231F20"/>
          <w:spacing w:val="-13"/>
          <w:w w:val="110"/>
          <w:sz w:val="16"/>
        </w:rPr>
        <w:t> </w:t>
      </w:r>
      <w:r>
        <w:rPr>
          <w:color w:val="231F20"/>
          <w:w w:val="110"/>
          <w:sz w:val="16"/>
        </w:rPr>
        <w:t>Estado</w:t>
      </w:r>
      <w:r>
        <w:rPr>
          <w:color w:val="231F20"/>
          <w:spacing w:val="-13"/>
          <w:w w:val="110"/>
          <w:sz w:val="16"/>
        </w:rPr>
        <w:t> </w:t>
      </w:r>
      <w:r>
        <w:rPr>
          <w:color w:val="231F20"/>
          <w:w w:val="110"/>
          <w:sz w:val="16"/>
        </w:rPr>
        <w:t>asis- tencial,</w:t>
      </w:r>
      <w:r>
        <w:rPr>
          <w:color w:val="231F20"/>
          <w:spacing w:val="-4"/>
          <w:w w:val="110"/>
          <w:sz w:val="16"/>
        </w:rPr>
        <w:t> </w:t>
      </w:r>
      <w:r>
        <w:rPr>
          <w:color w:val="231F20"/>
          <w:w w:val="110"/>
          <w:sz w:val="16"/>
        </w:rPr>
        <w:t>Estado</w:t>
      </w:r>
      <w:r>
        <w:rPr>
          <w:color w:val="231F20"/>
          <w:spacing w:val="-4"/>
          <w:w w:val="110"/>
          <w:sz w:val="16"/>
        </w:rPr>
        <w:t> </w:t>
      </w:r>
      <w:r>
        <w:rPr>
          <w:color w:val="231F20"/>
          <w:w w:val="110"/>
          <w:sz w:val="16"/>
        </w:rPr>
        <w:t>social</w:t>
      </w:r>
      <w:r>
        <w:rPr>
          <w:color w:val="231F20"/>
          <w:spacing w:val="-4"/>
          <w:w w:val="110"/>
          <w:sz w:val="16"/>
        </w:rPr>
        <w:t> </w:t>
      </w:r>
      <w:r>
        <w:rPr>
          <w:color w:val="231F20"/>
          <w:w w:val="110"/>
          <w:sz w:val="16"/>
        </w:rPr>
        <w:t>o</w:t>
      </w:r>
      <w:r>
        <w:rPr>
          <w:color w:val="231F20"/>
          <w:spacing w:val="-4"/>
          <w:w w:val="110"/>
          <w:sz w:val="16"/>
        </w:rPr>
        <w:t> </w:t>
      </w:r>
      <w:r>
        <w:rPr>
          <w:color w:val="231F20"/>
          <w:w w:val="110"/>
          <w:sz w:val="16"/>
        </w:rPr>
        <w:t>Estado</w:t>
      </w:r>
      <w:r>
        <w:rPr>
          <w:color w:val="231F20"/>
          <w:spacing w:val="-4"/>
          <w:w w:val="110"/>
          <w:sz w:val="16"/>
        </w:rPr>
        <w:t> </w:t>
      </w:r>
      <w:r>
        <w:rPr>
          <w:color w:val="231F20"/>
          <w:w w:val="110"/>
          <w:sz w:val="16"/>
        </w:rPr>
        <w:t>providencia,</w:t>
      </w:r>
      <w:r>
        <w:rPr>
          <w:color w:val="231F20"/>
          <w:spacing w:val="-4"/>
          <w:w w:val="110"/>
          <w:sz w:val="16"/>
        </w:rPr>
        <w:t> </w:t>
      </w:r>
      <w:r>
        <w:rPr>
          <w:color w:val="231F20"/>
          <w:w w:val="110"/>
          <w:sz w:val="16"/>
        </w:rPr>
        <w:t>éste</w:t>
      </w:r>
      <w:r>
        <w:rPr>
          <w:color w:val="231F20"/>
          <w:spacing w:val="-4"/>
          <w:w w:val="110"/>
          <w:sz w:val="16"/>
        </w:rPr>
        <w:t> </w:t>
      </w:r>
      <w:r>
        <w:rPr>
          <w:color w:val="231F20"/>
          <w:w w:val="110"/>
          <w:sz w:val="16"/>
        </w:rPr>
        <w:t>intervenía</w:t>
      </w:r>
      <w:r>
        <w:rPr>
          <w:color w:val="231F20"/>
          <w:spacing w:val="-4"/>
          <w:w w:val="110"/>
          <w:sz w:val="16"/>
        </w:rPr>
        <w:t> </w:t>
      </w:r>
      <w:r>
        <w:rPr>
          <w:color w:val="231F20"/>
          <w:w w:val="110"/>
          <w:sz w:val="16"/>
        </w:rPr>
        <w:t>directamente</w:t>
      </w:r>
      <w:r>
        <w:rPr>
          <w:color w:val="231F20"/>
          <w:spacing w:val="-4"/>
          <w:w w:val="110"/>
          <w:sz w:val="16"/>
        </w:rPr>
        <w:t> </w:t>
      </w:r>
      <w:r>
        <w:rPr>
          <w:color w:val="231F20"/>
          <w:w w:val="110"/>
          <w:sz w:val="16"/>
        </w:rPr>
        <w:t>en</w:t>
      </w:r>
      <w:r>
        <w:rPr>
          <w:color w:val="231F20"/>
          <w:spacing w:val="-4"/>
          <w:w w:val="110"/>
          <w:sz w:val="16"/>
        </w:rPr>
        <w:t> </w:t>
      </w:r>
      <w:r>
        <w:rPr>
          <w:color w:val="231F20"/>
          <w:w w:val="110"/>
          <w:sz w:val="16"/>
        </w:rPr>
        <w:t>la</w:t>
      </w:r>
      <w:r>
        <w:rPr>
          <w:color w:val="231F20"/>
          <w:spacing w:val="-4"/>
          <w:w w:val="110"/>
          <w:sz w:val="16"/>
        </w:rPr>
        <w:t> </w:t>
      </w:r>
      <w:r>
        <w:rPr>
          <w:color w:val="231F20"/>
          <w:w w:val="110"/>
          <w:sz w:val="16"/>
        </w:rPr>
        <w:t>política económica y social bajo un esquema de intermediación equilibrada entre el capital y los</w:t>
      </w:r>
      <w:r>
        <w:rPr>
          <w:color w:val="231F20"/>
          <w:spacing w:val="-8"/>
          <w:w w:val="110"/>
          <w:sz w:val="16"/>
        </w:rPr>
        <w:t> </w:t>
      </w:r>
      <w:r>
        <w:rPr>
          <w:color w:val="231F20"/>
          <w:w w:val="110"/>
          <w:sz w:val="16"/>
        </w:rPr>
        <w:t>trabajadores.</w:t>
      </w:r>
      <w:r>
        <w:rPr>
          <w:color w:val="231F20"/>
          <w:spacing w:val="-8"/>
          <w:w w:val="110"/>
          <w:sz w:val="16"/>
        </w:rPr>
        <w:t> </w:t>
      </w:r>
      <w:r>
        <w:rPr>
          <w:color w:val="231F20"/>
          <w:w w:val="110"/>
          <w:sz w:val="16"/>
        </w:rPr>
        <w:t>Fue</w:t>
      </w:r>
      <w:r>
        <w:rPr>
          <w:color w:val="231F20"/>
          <w:spacing w:val="-8"/>
          <w:w w:val="110"/>
          <w:sz w:val="16"/>
        </w:rPr>
        <w:t> </w:t>
      </w:r>
      <w:r>
        <w:rPr>
          <w:color w:val="231F20"/>
          <w:w w:val="110"/>
          <w:sz w:val="16"/>
        </w:rPr>
        <w:t>una</w:t>
      </w:r>
      <w:r>
        <w:rPr>
          <w:color w:val="231F20"/>
          <w:spacing w:val="-8"/>
          <w:w w:val="110"/>
          <w:sz w:val="16"/>
        </w:rPr>
        <w:t> </w:t>
      </w:r>
      <w:r>
        <w:rPr>
          <w:color w:val="231F20"/>
          <w:w w:val="110"/>
          <w:sz w:val="16"/>
        </w:rPr>
        <w:t>etapa</w:t>
      </w:r>
      <w:r>
        <w:rPr>
          <w:color w:val="231F20"/>
          <w:spacing w:val="-8"/>
          <w:w w:val="110"/>
          <w:sz w:val="16"/>
        </w:rPr>
        <w:t> </w:t>
      </w:r>
      <w:r>
        <w:rPr>
          <w:color w:val="231F20"/>
          <w:w w:val="110"/>
          <w:sz w:val="16"/>
        </w:rPr>
        <w:t>de</w:t>
      </w:r>
      <w:r>
        <w:rPr>
          <w:color w:val="231F20"/>
          <w:spacing w:val="-8"/>
          <w:w w:val="110"/>
          <w:sz w:val="16"/>
        </w:rPr>
        <w:t> </w:t>
      </w:r>
      <w:r>
        <w:rPr>
          <w:color w:val="231F20"/>
          <w:w w:val="110"/>
          <w:sz w:val="16"/>
        </w:rPr>
        <w:t>importantes</w:t>
      </w:r>
      <w:r>
        <w:rPr>
          <w:color w:val="231F20"/>
          <w:spacing w:val="-8"/>
          <w:w w:val="110"/>
          <w:sz w:val="16"/>
        </w:rPr>
        <w:t> </w:t>
      </w:r>
      <w:r>
        <w:rPr>
          <w:color w:val="231F20"/>
          <w:w w:val="110"/>
          <w:sz w:val="16"/>
        </w:rPr>
        <w:t>conquistas</w:t>
      </w:r>
      <w:r>
        <w:rPr>
          <w:color w:val="231F20"/>
          <w:spacing w:val="-8"/>
          <w:w w:val="110"/>
          <w:sz w:val="16"/>
        </w:rPr>
        <w:t> </w:t>
      </w:r>
      <w:r>
        <w:rPr>
          <w:color w:val="231F20"/>
          <w:w w:val="110"/>
          <w:sz w:val="16"/>
        </w:rPr>
        <w:t>sociales</w:t>
      </w:r>
      <w:r>
        <w:rPr>
          <w:color w:val="231F20"/>
          <w:spacing w:val="-8"/>
          <w:w w:val="110"/>
          <w:sz w:val="16"/>
        </w:rPr>
        <w:t> </w:t>
      </w:r>
      <w:r>
        <w:rPr>
          <w:color w:val="231F20"/>
          <w:w w:val="110"/>
          <w:sz w:val="16"/>
        </w:rPr>
        <w:t>por</w:t>
      </w:r>
      <w:r>
        <w:rPr>
          <w:color w:val="231F20"/>
          <w:spacing w:val="-8"/>
          <w:w w:val="110"/>
          <w:sz w:val="16"/>
        </w:rPr>
        <w:t> </w:t>
      </w:r>
      <w:r>
        <w:rPr>
          <w:color w:val="231F20"/>
          <w:w w:val="110"/>
          <w:sz w:val="16"/>
        </w:rPr>
        <w:t>parte</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clase trabajadora,</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se</w:t>
      </w:r>
      <w:r>
        <w:rPr>
          <w:color w:val="231F20"/>
          <w:spacing w:val="-12"/>
          <w:w w:val="110"/>
          <w:sz w:val="16"/>
        </w:rPr>
        <w:t> </w:t>
      </w:r>
      <w:r>
        <w:rPr>
          <w:color w:val="231F20"/>
          <w:w w:val="110"/>
          <w:sz w:val="16"/>
        </w:rPr>
        <w:t>tradujeron</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beneficios</w:t>
      </w:r>
      <w:r>
        <w:rPr>
          <w:color w:val="231F20"/>
          <w:spacing w:val="-12"/>
          <w:w w:val="110"/>
          <w:sz w:val="16"/>
        </w:rPr>
        <w:t> </w:t>
      </w:r>
      <w:r>
        <w:rPr>
          <w:color w:val="231F20"/>
          <w:w w:val="110"/>
          <w:sz w:val="16"/>
        </w:rPr>
        <w:t>y</w:t>
      </w:r>
      <w:r>
        <w:rPr>
          <w:color w:val="231F20"/>
          <w:spacing w:val="-12"/>
          <w:w w:val="110"/>
          <w:sz w:val="16"/>
        </w:rPr>
        <w:t> </w:t>
      </w:r>
      <w:r>
        <w:rPr>
          <w:color w:val="231F20"/>
          <w:w w:val="110"/>
          <w:sz w:val="16"/>
        </w:rPr>
        <w:t>mejoras</w:t>
      </w:r>
      <w:r>
        <w:rPr>
          <w:color w:val="231F20"/>
          <w:spacing w:val="-12"/>
          <w:w w:val="110"/>
          <w:sz w:val="16"/>
        </w:rPr>
        <w:t> </w:t>
      </w:r>
      <w:r>
        <w:rPr>
          <w:color w:val="231F20"/>
          <w:w w:val="110"/>
          <w:sz w:val="16"/>
        </w:rPr>
        <w:t>significativas</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las</w:t>
      </w:r>
      <w:r>
        <w:rPr>
          <w:color w:val="231F20"/>
          <w:spacing w:val="-12"/>
          <w:w w:val="110"/>
          <w:sz w:val="16"/>
        </w:rPr>
        <w:t> </w:t>
      </w:r>
      <w:r>
        <w:rPr>
          <w:color w:val="231F20"/>
          <w:w w:val="110"/>
          <w:sz w:val="16"/>
        </w:rPr>
        <w:t>condiciones de vida de la población. Según Beck (2000), el cambio que introdujo la</w:t>
      </w:r>
      <w:r>
        <w:rPr>
          <w:color w:val="231F20"/>
          <w:spacing w:val="-13"/>
          <w:w w:val="110"/>
          <w:sz w:val="16"/>
        </w:rPr>
        <w:t> </w:t>
      </w:r>
      <w:r>
        <w:rPr>
          <w:color w:val="231F20"/>
          <w:w w:val="110"/>
          <w:sz w:val="16"/>
        </w:rPr>
        <w:t>globalización neoliberal no representó un cambio </w:t>
      </w:r>
      <w:r>
        <w:rPr>
          <w:i/>
          <w:color w:val="231F20"/>
          <w:w w:val="110"/>
          <w:sz w:val="16"/>
        </w:rPr>
        <w:t>en </w:t>
      </w:r>
      <w:r>
        <w:rPr>
          <w:color w:val="231F20"/>
          <w:w w:val="110"/>
          <w:sz w:val="16"/>
        </w:rPr>
        <w:t>la sociedad, sino un cambio </w:t>
      </w:r>
      <w:r>
        <w:rPr>
          <w:i/>
          <w:color w:val="231F20"/>
          <w:w w:val="110"/>
          <w:sz w:val="16"/>
        </w:rPr>
        <w:t>de </w:t>
      </w:r>
      <w:r>
        <w:rPr>
          <w:color w:val="231F20"/>
          <w:w w:val="110"/>
          <w:sz w:val="16"/>
        </w:rPr>
        <w:t>la </w:t>
      </w:r>
      <w:r>
        <w:rPr>
          <w:color w:val="231F20"/>
          <w:spacing w:val="19"/>
          <w:w w:val="110"/>
          <w:sz w:val="16"/>
        </w:rPr>
        <w:t> </w:t>
      </w:r>
      <w:r>
        <w:rPr>
          <w:color w:val="231F20"/>
          <w:w w:val="110"/>
          <w:sz w:val="16"/>
        </w:rPr>
        <w:t>sociedad.</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sentir con efectos diversos en las regiones menos desarrolladas</w:t>
      </w:r>
      <w:r>
        <w:rPr>
          <w:color w:val="231F20"/>
          <w:spacing w:val="-24"/>
          <w:w w:val="110"/>
        </w:rPr>
        <w:t> </w:t>
      </w:r>
      <w:r>
        <w:rPr>
          <w:color w:val="231F20"/>
          <w:w w:val="110"/>
        </w:rPr>
        <w:t>—en menor medida en Asia, y particularmente en China—, que pudieron lograr una recuperación relativamente </w:t>
      </w:r>
      <w:r>
        <w:rPr>
          <w:color w:val="231F20"/>
          <w:spacing w:val="24"/>
          <w:w w:val="110"/>
        </w:rPr>
        <w:t> </w:t>
      </w:r>
      <w:r>
        <w:rPr>
          <w:color w:val="231F20"/>
          <w:w w:val="110"/>
        </w:rPr>
        <w:t>rápida.</w:t>
      </w:r>
    </w:p>
    <w:p>
      <w:pPr>
        <w:pStyle w:val="BodyText"/>
        <w:spacing w:line="261" w:lineRule="auto"/>
        <w:ind w:left="100" w:right="115" w:firstLine="240"/>
        <w:jc w:val="both"/>
      </w:pPr>
      <w:r>
        <w:rPr>
          <w:color w:val="231F20"/>
          <w:w w:val="110"/>
        </w:rPr>
        <w:t>La </w:t>
      </w:r>
      <w:r>
        <w:rPr>
          <w:color w:val="231F20"/>
          <w:spacing w:val="2"/>
          <w:w w:val="110"/>
        </w:rPr>
        <w:t>pregunta sobre </w:t>
      </w:r>
      <w:r>
        <w:rPr>
          <w:color w:val="231F20"/>
          <w:w w:val="110"/>
        </w:rPr>
        <w:t>el </w:t>
      </w:r>
      <w:r>
        <w:rPr>
          <w:color w:val="231F20"/>
          <w:spacing w:val="2"/>
          <w:w w:val="110"/>
        </w:rPr>
        <w:t>carácter </w:t>
      </w:r>
      <w:r>
        <w:rPr>
          <w:color w:val="231F20"/>
          <w:w w:val="110"/>
        </w:rPr>
        <w:t>de la </w:t>
      </w:r>
      <w:r>
        <w:rPr>
          <w:color w:val="231F20"/>
          <w:spacing w:val="2"/>
          <w:w w:val="110"/>
        </w:rPr>
        <w:t>crisis actual </w:t>
      </w:r>
      <w:r>
        <w:rPr>
          <w:color w:val="231F20"/>
          <w:w w:val="110"/>
        </w:rPr>
        <w:t>es</w:t>
      </w:r>
      <w:r>
        <w:rPr>
          <w:color w:val="231F20"/>
          <w:spacing w:val="1"/>
          <w:w w:val="110"/>
        </w:rPr>
        <w:t> </w:t>
      </w:r>
      <w:r>
        <w:rPr>
          <w:color w:val="231F20"/>
          <w:w w:val="110"/>
        </w:rPr>
        <w:t>de</w:t>
      </w:r>
      <w:r>
        <w:rPr>
          <w:color w:val="231F20"/>
          <w:spacing w:val="45"/>
          <w:w w:val="110"/>
        </w:rPr>
        <w:t> </w:t>
      </w:r>
      <w:r>
        <w:rPr>
          <w:color w:val="231F20"/>
          <w:spacing w:val="3"/>
          <w:w w:val="110"/>
        </w:rPr>
        <w:t>orden</w:t>
      </w:r>
      <w:r>
        <w:rPr>
          <w:color w:val="231F20"/>
          <w:spacing w:val="3"/>
          <w:w w:val="115"/>
        </w:rPr>
        <w:t> </w:t>
      </w:r>
      <w:r>
        <w:rPr>
          <w:color w:val="231F20"/>
          <w:w w:val="110"/>
        </w:rPr>
        <w:t>teórico, pero amerita ser corroborada con las evidencias empíricas pertinentes. Es necesario entender el contexto en que se genera. Al respecto,</w:t>
      </w:r>
      <w:r>
        <w:rPr>
          <w:color w:val="231F20"/>
          <w:spacing w:val="-14"/>
          <w:w w:val="110"/>
        </w:rPr>
        <w:t> </w:t>
      </w:r>
      <w:r>
        <w:rPr>
          <w:color w:val="231F20"/>
          <w:w w:val="110"/>
        </w:rPr>
        <w:t>existen</w:t>
      </w:r>
      <w:r>
        <w:rPr>
          <w:color w:val="231F20"/>
          <w:spacing w:val="-14"/>
          <w:w w:val="110"/>
        </w:rPr>
        <w:t> </w:t>
      </w:r>
      <w:r>
        <w:rPr>
          <w:color w:val="231F20"/>
          <w:w w:val="110"/>
        </w:rPr>
        <w:t>por</w:t>
      </w:r>
      <w:r>
        <w:rPr>
          <w:color w:val="231F20"/>
          <w:spacing w:val="-14"/>
          <w:w w:val="110"/>
        </w:rPr>
        <w:t> </w:t>
      </w:r>
      <w:r>
        <w:rPr>
          <w:color w:val="231F20"/>
          <w:w w:val="110"/>
        </w:rPr>
        <w:t>lo</w:t>
      </w:r>
      <w:r>
        <w:rPr>
          <w:color w:val="231F20"/>
          <w:spacing w:val="-14"/>
          <w:w w:val="110"/>
        </w:rPr>
        <w:t> </w:t>
      </w:r>
      <w:r>
        <w:rPr>
          <w:color w:val="231F20"/>
          <w:w w:val="110"/>
        </w:rPr>
        <w:t>menos</w:t>
      </w:r>
      <w:r>
        <w:rPr>
          <w:color w:val="231F20"/>
          <w:spacing w:val="-14"/>
          <w:w w:val="110"/>
        </w:rPr>
        <w:t> </w:t>
      </w:r>
      <w:r>
        <w:rPr>
          <w:color w:val="231F20"/>
          <w:w w:val="110"/>
        </w:rPr>
        <w:t>dos</w:t>
      </w:r>
      <w:r>
        <w:rPr>
          <w:color w:val="231F20"/>
          <w:spacing w:val="-14"/>
          <w:w w:val="110"/>
        </w:rPr>
        <w:t> </w:t>
      </w:r>
      <w:r>
        <w:rPr>
          <w:color w:val="231F20"/>
          <w:w w:val="110"/>
        </w:rPr>
        <w:t>interpretaciones:</w:t>
      </w:r>
      <w:r>
        <w:rPr>
          <w:color w:val="231F20"/>
          <w:spacing w:val="-14"/>
          <w:w w:val="110"/>
        </w:rPr>
        <w:t> </w:t>
      </w:r>
      <w:r>
        <w:rPr>
          <w:color w:val="231F20"/>
          <w:w w:val="110"/>
        </w:rPr>
        <w:t>la</w:t>
      </w:r>
      <w:r>
        <w:rPr>
          <w:color w:val="231F20"/>
          <w:spacing w:val="-14"/>
          <w:w w:val="110"/>
        </w:rPr>
        <w:t> </w:t>
      </w:r>
      <w:r>
        <w:rPr>
          <w:color w:val="231F20"/>
          <w:w w:val="110"/>
        </w:rPr>
        <w:t>primera,</w:t>
      </w:r>
      <w:r>
        <w:rPr>
          <w:color w:val="231F20"/>
          <w:spacing w:val="-14"/>
          <w:w w:val="110"/>
        </w:rPr>
        <w:t> </w:t>
      </w:r>
      <w:r>
        <w:rPr>
          <w:color w:val="231F20"/>
          <w:w w:val="110"/>
        </w:rPr>
        <w:t>y</w:t>
      </w:r>
      <w:r>
        <w:rPr>
          <w:color w:val="231F20"/>
          <w:spacing w:val="-14"/>
          <w:w w:val="110"/>
        </w:rPr>
        <w:t> </w:t>
      </w:r>
      <w:r>
        <w:rPr>
          <w:color w:val="231F20"/>
          <w:w w:val="110"/>
        </w:rPr>
        <w:t>más difundida,</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tipifica</w:t>
      </w:r>
      <w:r>
        <w:rPr>
          <w:color w:val="231F20"/>
          <w:spacing w:val="-6"/>
          <w:w w:val="110"/>
        </w:rPr>
        <w:t> </w:t>
      </w:r>
      <w:r>
        <w:rPr>
          <w:color w:val="231F20"/>
          <w:w w:val="110"/>
        </w:rPr>
        <w:t>como</w:t>
      </w:r>
      <w:r>
        <w:rPr>
          <w:color w:val="231F20"/>
          <w:spacing w:val="-6"/>
          <w:w w:val="110"/>
        </w:rPr>
        <w:t> </w:t>
      </w:r>
      <w:r>
        <w:rPr>
          <w:color w:val="231F20"/>
          <w:w w:val="110"/>
        </w:rPr>
        <w:t>una</w:t>
      </w:r>
      <w:r>
        <w:rPr>
          <w:color w:val="231F20"/>
          <w:spacing w:val="-6"/>
          <w:w w:val="110"/>
        </w:rPr>
        <w:t> </w:t>
      </w:r>
      <w:r>
        <w:rPr>
          <w:color w:val="231F20"/>
          <w:w w:val="110"/>
        </w:rPr>
        <w:t>crisis</w:t>
      </w:r>
      <w:r>
        <w:rPr>
          <w:color w:val="231F20"/>
          <w:spacing w:val="-6"/>
          <w:w w:val="110"/>
        </w:rPr>
        <w:t> </w:t>
      </w:r>
      <w:r>
        <w:rPr>
          <w:color w:val="231F20"/>
          <w:w w:val="110"/>
        </w:rPr>
        <w:t>de</w:t>
      </w:r>
      <w:r>
        <w:rPr>
          <w:color w:val="231F20"/>
          <w:spacing w:val="-6"/>
          <w:w w:val="110"/>
        </w:rPr>
        <w:t> </w:t>
      </w:r>
      <w:r>
        <w:rPr>
          <w:color w:val="231F20"/>
          <w:w w:val="110"/>
        </w:rPr>
        <w:t>índole</w:t>
      </w:r>
      <w:r>
        <w:rPr>
          <w:color w:val="231F20"/>
          <w:spacing w:val="-6"/>
          <w:w w:val="110"/>
        </w:rPr>
        <w:t> </w:t>
      </w:r>
      <w:r>
        <w:rPr>
          <w:color w:val="231F20"/>
          <w:w w:val="110"/>
        </w:rPr>
        <w:t>financiera,</w:t>
      </w:r>
      <w:r>
        <w:rPr>
          <w:color w:val="231F20"/>
          <w:spacing w:val="-6"/>
          <w:w w:val="110"/>
        </w:rPr>
        <w:t> </w:t>
      </w:r>
      <w:r>
        <w:rPr>
          <w:color w:val="231F20"/>
          <w:w w:val="110"/>
        </w:rPr>
        <w:t>ligada al</w:t>
      </w:r>
      <w:r>
        <w:rPr>
          <w:color w:val="231F20"/>
          <w:spacing w:val="-16"/>
          <w:w w:val="110"/>
        </w:rPr>
        <w:t> </w:t>
      </w:r>
      <w:r>
        <w:rPr>
          <w:color w:val="231F20"/>
          <w:w w:val="110"/>
        </w:rPr>
        <w:t>predominio</w:t>
      </w:r>
      <w:r>
        <w:rPr>
          <w:color w:val="231F20"/>
          <w:spacing w:val="-16"/>
          <w:w w:val="110"/>
        </w:rPr>
        <w:t> </w:t>
      </w:r>
      <w:r>
        <w:rPr>
          <w:color w:val="231F20"/>
          <w:w w:val="110"/>
        </w:rPr>
        <w:t>del</w:t>
      </w:r>
      <w:r>
        <w:rPr>
          <w:color w:val="231F20"/>
          <w:spacing w:val="-16"/>
          <w:w w:val="110"/>
        </w:rPr>
        <w:t> </w:t>
      </w:r>
      <w:r>
        <w:rPr>
          <w:color w:val="231F20"/>
          <w:w w:val="110"/>
        </w:rPr>
        <w:t>capital</w:t>
      </w:r>
      <w:r>
        <w:rPr>
          <w:color w:val="231F20"/>
          <w:spacing w:val="-16"/>
          <w:w w:val="110"/>
        </w:rPr>
        <w:t> </w:t>
      </w:r>
      <w:r>
        <w:rPr>
          <w:color w:val="231F20"/>
          <w:w w:val="110"/>
        </w:rPr>
        <w:t>financiero</w:t>
      </w:r>
      <w:r>
        <w:rPr>
          <w:color w:val="231F20"/>
          <w:spacing w:val="-16"/>
          <w:w w:val="110"/>
        </w:rPr>
        <w:t> </w:t>
      </w:r>
      <w:r>
        <w:rPr>
          <w:color w:val="231F20"/>
          <w:w w:val="110"/>
        </w:rPr>
        <w:t>sobre</w:t>
      </w:r>
      <w:r>
        <w:rPr>
          <w:color w:val="231F20"/>
          <w:spacing w:val="-16"/>
          <w:w w:val="110"/>
        </w:rPr>
        <w:t> </w:t>
      </w:r>
      <w:r>
        <w:rPr>
          <w:color w:val="231F20"/>
          <w:w w:val="110"/>
        </w:rPr>
        <w:t>el</w:t>
      </w:r>
      <w:r>
        <w:rPr>
          <w:color w:val="231F20"/>
          <w:spacing w:val="-16"/>
          <w:w w:val="110"/>
        </w:rPr>
        <w:t> </w:t>
      </w:r>
      <w:r>
        <w:rPr>
          <w:color w:val="231F20"/>
          <w:w w:val="110"/>
        </w:rPr>
        <w:t>productivo,</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segunda, que</w:t>
      </w:r>
      <w:r>
        <w:rPr>
          <w:color w:val="231F20"/>
          <w:spacing w:val="-9"/>
          <w:w w:val="110"/>
        </w:rPr>
        <w:t> </w:t>
      </w:r>
      <w:r>
        <w:rPr>
          <w:color w:val="231F20"/>
          <w:w w:val="110"/>
        </w:rPr>
        <w:t>la</w:t>
      </w:r>
      <w:r>
        <w:rPr>
          <w:color w:val="231F20"/>
          <w:spacing w:val="-9"/>
          <w:w w:val="110"/>
        </w:rPr>
        <w:t> </w:t>
      </w:r>
      <w:r>
        <w:rPr>
          <w:color w:val="231F20"/>
          <w:w w:val="110"/>
        </w:rPr>
        <w:t>coloca</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ámbito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real”</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producción</w:t>
      </w:r>
      <w:r>
        <w:rPr>
          <w:color w:val="231F20"/>
          <w:spacing w:val="-9"/>
          <w:w w:val="110"/>
        </w:rPr>
        <w:t> </w:t>
      </w:r>
      <w:r>
        <w:rPr>
          <w:color w:val="231F20"/>
          <w:w w:val="110"/>
        </w:rPr>
        <w:t>y reproducción</w:t>
      </w:r>
      <w:r>
        <w:rPr>
          <w:color w:val="231F20"/>
          <w:spacing w:val="-17"/>
          <w:w w:val="110"/>
        </w:rPr>
        <w:t> </w:t>
      </w:r>
      <w:r>
        <w:rPr>
          <w:color w:val="231F20"/>
          <w:w w:val="110"/>
        </w:rPr>
        <w:t>capitalista.</w:t>
      </w:r>
      <w:r>
        <w:rPr>
          <w:color w:val="231F20"/>
          <w:spacing w:val="-17"/>
          <w:w w:val="110"/>
        </w:rPr>
        <w:t> </w:t>
      </w:r>
      <w:r>
        <w:rPr>
          <w:color w:val="231F20"/>
          <w:w w:val="110"/>
        </w:rPr>
        <w:t>Husson</w:t>
      </w:r>
      <w:r>
        <w:rPr>
          <w:color w:val="231F20"/>
          <w:spacing w:val="-17"/>
          <w:w w:val="110"/>
        </w:rPr>
        <w:t> </w:t>
      </w:r>
      <w:r>
        <w:rPr>
          <w:color w:val="231F20"/>
          <w:w w:val="110"/>
        </w:rPr>
        <w:t>(2008a</w:t>
      </w:r>
      <w:r>
        <w:rPr>
          <w:color w:val="231F20"/>
          <w:spacing w:val="-17"/>
          <w:w w:val="110"/>
        </w:rPr>
        <w:t> </w:t>
      </w:r>
      <w:r>
        <w:rPr>
          <w:color w:val="231F20"/>
          <w:w w:val="110"/>
        </w:rPr>
        <w:t>y</w:t>
      </w:r>
      <w:r>
        <w:rPr>
          <w:color w:val="231F20"/>
          <w:spacing w:val="-17"/>
          <w:w w:val="110"/>
        </w:rPr>
        <w:t> </w:t>
      </w:r>
      <w:r>
        <w:rPr>
          <w:color w:val="231F20"/>
          <w:w w:val="110"/>
        </w:rPr>
        <w:t>2010)</w:t>
      </w:r>
      <w:r>
        <w:rPr>
          <w:color w:val="231F20"/>
          <w:spacing w:val="-17"/>
          <w:w w:val="110"/>
        </w:rPr>
        <w:t> </w:t>
      </w:r>
      <w:r>
        <w:rPr>
          <w:color w:val="231F20"/>
          <w:w w:val="110"/>
        </w:rPr>
        <w:t>sostiene</w:t>
      </w:r>
      <w:r>
        <w:rPr>
          <w:color w:val="231F20"/>
          <w:spacing w:val="-17"/>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crisis actual surgió en la esfera financiera y que rápidamente se extendió al resto de la economía real, y ubica su origen en la existencia de una gran masa de capitales libres que circulan en búsqueda de una máxima rentabilidad, que logran, al menos, temporalmente. En otro sentido, Dabat (2009) la considera como una crisis financiera, pero de “nuevo tipo”, que se distingue de otras crisis recientes, que entre algunas de sus particularidades, “no es tanto el resultado de un pro- ceso de sobreacumulación de capital en los sectores productivos de punta”, sino que más bien implicó una “creciente desconexión entre la nueva economía financiera […] y las dimensiones de la</w:t>
      </w:r>
      <w:r>
        <w:rPr>
          <w:color w:val="231F20"/>
          <w:spacing w:val="-17"/>
          <w:w w:val="110"/>
        </w:rPr>
        <w:t> </w:t>
      </w:r>
      <w:r>
        <w:rPr>
          <w:color w:val="231F20"/>
          <w:w w:val="110"/>
        </w:rPr>
        <w:t>economía real”. Caputo (2011), por el contrario, la ubica en el ámbito de la sobreproducción, según él, “el capitalismo entra en crisis no porque produzca poco, sino porque produce demasiado”, por lo que la define como “una crisis de la globalización actual de la economía mundial y del</w:t>
      </w:r>
      <w:r>
        <w:rPr>
          <w:color w:val="231F20"/>
          <w:spacing w:val="-10"/>
          <w:w w:val="110"/>
        </w:rPr>
        <w:t> </w:t>
      </w:r>
      <w:r>
        <w:rPr>
          <w:color w:val="231F20"/>
          <w:w w:val="110"/>
        </w:rPr>
        <w:t>neoliberalismo”.</w:t>
      </w:r>
    </w:p>
    <w:p>
      <w:pPr>
        <w:pStyle w:val="BodyText"/>
        <w:spacing w:line="261" w:lineRule="auto"/>
        <w:ind w:left="100" w:right="117" w:firstLine="240"/>
        <w:jc w:val="both"/>
      </w:pPr>
      <w:r>
        <w:rPr>
          <w:color w:val="231F20"/>
          <w:w w:val="110"/>
        </w:rPr>
        <w:t>El neoliberalismo introdujo una configuración inédita de la reali- zación de la producción y del consiguiente proceso de acumulación capitalista, en dos sentidos: por una parte, impactó en la estructura de ingreso al reducir los salarios de los trabajadores con lo que garantizó la maximización de la rentabilidad deseada </w:t>
      </w:r>
      <w:r>
        <w:rPr>
          <w:color w:val="231F20"/>
          <w:spacing w:val="-8"/>
          <w:w w:val="110"/>
        </w:rPr>
        <w:t>y, </w:t>
      </w:r>
      <w:r>
        <w:rPr>
          <w:color w:val="231F20"/>
          <w:w w:val="110"/>
        </w:rPr>
        <w:t>por el otro, generó</w:t>
      </w:r>
      <w:r>
        <w:rPr>
          <w:color w:val="231F20"/>
          <w:spacing w:val="-7"/>
          <w:w w:val="110"/>
        </w:rPr>
        <w:t> </w:t>
      </w:r>
      <w:r>
        <w:rPr>
          <w:color w:val="231F20"/>
          <w:w w:val="110"/>
        </w:rPr>
        <w:t>una</w:t>
      </w:r>
      <w:r>
        <w:rPr>
          <w:color w:val="231F20"/>
          <w:spacing w:val="-7"/>
          <w:w w:val="110"/>
        </w:rPr>
        <w:t> </w:t>
      </w:r>
      <w:r>
        <w:rPr>
          <w:color w:val="231F20"/>
          <w:w w:val="110"/>
        </w:rPr>
        <w:t>forma</w:t>
      </w:r>
      <w:r>
        <w:rPr>
          <w:color w:val="231F20"/>
          <w:spacing w:val="-7"/>
          <w:w w:val="110"/>
        </w:rPr>
        <w:t> </w:t>
      </w:r>
      <w:r>
        <w:rPr>
          <w:color w:val="231F20"/>
          <w:w w:val="110"/>
        </w:rPr>
        <w:t>de</w:t>
      </w:r>
      <w:r>
        <w:rPr>
          <w:color w:val="231F20"/>
          <w:spacing w:val="-7"/>
          <w:w w:val="110"/>
        </w:rPr>
        <w:t> </w:t>
      </w:r>
      <w:r>
        <w:rPr>
          <w:color w:val="231F20"/>
          <w:w w:val="110"/>
        </w:rPr>
        <w:t>“plusvalía</w:t>
      </w:r>
      <w:r>
        <w:rPr>
          <w:color w:val="231F20"/>
          <w:spacing w:val="-7"/>
          <w:w w:val="110"/>
        </w:rPr>
        <w:t> </w:t>
      </w:r>
      <w:r>
        <w:rPr>
          <w:color w:val="231F20"/>
          <w:w w:val="110"/>
        </w:rPr>
        <w:t>no</w:t>
      </w:r>
      <w:r>
        <w:rPr>
          <w:color w:val="231F20"/>
          <w:spacing w:val="-7"/>
          <w:w w:val="110"/>
        </w:rPr>
        <w:t> </w:t>
      </w:r>
      <w:r>
        <w:rPr>
          <w:color w:val="231F20"/>
          <w:w w:val="110"/>
        </w:rPr>
        <w:t>acumulada”,</w:t>
      </w:r>
      <w:r>
        <w:rPr>
          <w:color w:val="231F20"/>
          <w:spacing w:val="-7"/>
          <w:w w:val="110"/>
        </w:rPr>
        <w:t> </w:t>
      </w:r>
      <w:r>
        <w:rPr>
          <w:color w:val="231F20"/>
          <w:w w:val="110"/>
        </w:rPr>
        <w:t>con</w:t>
      </w:r>
      <w:r>
        <w:rPr>
          <w:color w:val="231F20"/>
          <w:spacing w:val="-7"/>
          <w:w w:val="110"/>
        </w:rPr>
        <w:t> </w:t>
      </w:r>
      <w:r>
        <w:rPr>
          <w:color w:val="231F20"/>
          <w:w w:val="110"/>
        </w:rPr>
        <w:t>escasa</w:t>
      </w:r>
      <w:r>
        <w:rPr>
          <w:color w:val="231F20"/>
          <w:spacing w:val="-7"/>
          <w:w w:val="110"/>
        </w:rPr>
        <w:t> </w:t>
      </w:r>
      <w:r>
        <w:rPr>
          <w:color w:val="231F20"/>
          <w:w w:val="110"/>
        </w:rPr>
        <w:t>inversión productiva e incremento de los niveles de consumo particularmente por</w:t>
      </w:r>
      <w:r>
        <w:rPr>
          <w:color w:val="231F20"/>
          <w:spacing w:val="-20"/>
          <w:w w:val="110"/>
        </w:rPr>
        <w:t> </w:t>
      </w:r>
      <w:r>
        <w:rPr>
          <w:color w:val="231F20"/>
          <w:w w:val="110"/>
        </w:rPr>
        <w:t>las</w:t>
      </w:r>
      <w:r>
        <w:rPr>
          <w:color w:val="231F20"/>
          <w:spacing w:val="-20"/>
          <w:w w:val="110"/>
        </w:rPr>
        <w:t> </w:t>
      </w:r>
      <w:r>
        <w:rPr>
          <w:color w:val="231F20"/>
          <w:w w:val="110"/>
        </w:rPr>
        <w:t>clases</w:t>
      </w:r>
      <w:r>
        <w:rPr>
          <w:color w:val="231F20"/>
          <w:spacing w:val="-20"/>
          <w:w w:val="110"/>
        </w:rPr>
        <w:t> </w:t>
      </w:r>
      <w:r>
        <w:rPr>
          <w:color w:val="231F20"/>
          <w:w w:val="110"/>
        </w:rPr>
        <w:t>capitalistas.</w:t>
      </w:r>
      <w:r>
        <w:rPr>
          <w:color w:val="231F20"/>
          <w:spacing w:val="-20"/>
          <w:w w:val="110"/>
        </w:rPr>
        <w:t> </w:t>
      </w:r>
      <w:r>
        <w:rPr>
          <w:color w:val="231F20"/>
          <w:w w:val="110"/>
        </w:rPr>
        <w:t>Como</w:t>
      </w:r>
      <w:r>
        <w:rPr>
          <w:color w:val="231F20"/>
          <w:spacing w:val="-20"/>
          <w:w w:val="110"/>
        </w:rPr>
        <w:t> </w:t>
      </w:r>
      <w:r>
        <w:rPr>
          <w:color w:val="231F20"/>
          <w:w w:val="110"/>
        </w:rPr>
        <w:t>podemos</w:t>
      </w:r>
      <w:r>
        <w:rPr>
          <w:color w:val="231F20"/>
          <w:spacing w:val="-20"/>
          <w:w w:val="110"/>
        </w:rPr>
        <w:t> </w:t>
      </w:r>
      <w:r>
        <w:rPr>
          <w:color w:val="231F20"/>
          <w:w w:val="110"/>
        </w:rPr>
        <w:t>observar</w:t>
      </w:r>
      <w:r>
        <w:rPr>
          <w:color w:val="231F20"/>
          <w:spacing w:val="-20"/>
          <w:w w:val="110"/>
        </w:rPr>
        <w:t> </w:t>
      </w:r>
      <w:r>
        <w:rPr>
          <w:color w:val="231F20"/>
          <w:w w:val="110"/>
        </w:rPr>
        <w:t>(gráfica</w:t>
      </w:r>
      <w:r>
        <w:rPr>
          <w:color w:val="231F20"/>
          <w:spacing w:val="-20"/>
          <w:w w:val="110"/>
        </w:rPr>
        <w:t> </w:t>
      </w:r>
      <w:r>
        <w:rPr>
          <w:color w:val="231F20"/>
          <w:w w:val="110"/>
        </w:rPr>
        <w:t>1),</w:t>
      </w:r>
      <w:r>
        <w:rPr>
          <w:color w:val="231F20"/>
          <w:spacing w:val="-20"/>
          <w:w w:val="110"/>
        </w:rPr>
        <w:t> </w:t>
      </w:r>
      <w:r>
        <w:rPr>
          <w:color w:val="231F20"/>
          <w:w w:val="110"/>
        </w:rPr>
        <w:t>duran- te el largo periodo neoliberal, mientras que la tasa de acumulación cayó en gran parte del periodo, el consumo se incrementó notable    y sistemáticamente. A lo largo de las más de tres decenios creció el consumo</w:t>
      </w:r>
      <w:r>
        <w:rPr>
          <w:color w:val="231F20"/>
          <w:spacing w:val="-10"/>
          <w:w w:val="110"/>
        </w:rPr>
        <w:t> </w:t>
      </w:r>
      <w:r>
        <w:rPr>
          <w:color w:val="231F20"/>
          <w:w w:val="110"/>
        </w:rPr>
        <w:t>privado</w:t>
      </w:r>
      <w:r>
        <w:rPr>
          <w:color w:val="231F20"/>
          <w:spacing w:val="-10"/>
          <w:w w:val="110"/>
        </w:rPr>
        <w:t> </w:t>
      </w:r>
      <w:r>
        <w:rPr>
          <w:color w:val="231F20"/>
          <w:w w:val="110"/>
        </w:rPr>
        <w:t>(medido</w:t>
      </w:r>
      <w:r>
        <w:rPr>
          <w:color w:val="231F20"/>
          <w:spacing w:val="-10"/>
          <w:w w:val="110"/>
        </w:rPr>
        <w:t> </w:t>
      </w:r>
      <w:r>
        <w:rPr>
          <w:color w:val="231F20"/>
          <w:w w:val="110"/>
        </w:rPr>
        <w:t>como</w:t>
      </w:r>
      <w:r>
        <w:rPr>
          <w:color w:val="231F20"/>
          <w:spacing w:val="-10"/>
          <w:w w:val="110"/>
        </w:rPr>
        <w:t> </w:t>
      </w:r>
      <w:r>
        <w:rPr>
          <w:color w:val="231F20"/>
          <w:w w:val="110"/>
        </w:rPr>
        <w:t>proporción</w:t>
      </w:r>
      <w:r>
        <w:rPr>
          <w:color w:val="231F20"/>
          <w:spacing w:val="-10"/>
          <w:w w:val="110"/>
        </w:rPr>
        <w:t> </w:t>
      </w:r>
      <w:r>
        <w:rPr>
          <w:color w:val="231F20"/>
          <w:w w:val="110"/>
        </w:rPr>
        <w:t>del</w:t>
      </w:r>
      <w:r>
        <w:rPr>
          <w:color w:val="231F20"/>
          <w:spacing w:val="-10"/>
          <w:w w:val="110"/>
        </w:rPr>
        <w:t> </w:t>
      </w:r>
      <w:r>
        <w:rPr>
          <w:color w:val="231F20"/>
          <w:w w:val="110"/>
        </w:rPr>
        <w:t>pib),</w:t>
      </w:r>
      <w:r>
        <w:rPr>
          <w:color w:val="231F20"/>
          <w:spacing w:val="-10"/>
          <w:w w:val="110"/>
        </w:rPr>
        <w:t> </w:t>
      </w:r>
      <w:r>
        <w:rPr>
          <w:color w:val="231F20"/>
          <w:w w:val="110"/>
        </w:rPr>
        <w:t>a</w:t>
      </w:r>
      <w:r>
        <w:rPr>
          <w:color w:val="231F20"/>
          <w:spacing w:val="-10"/>
          <w:w w:val="110"/>
        </w:rPr>
        <w:t> </w:t>
      </w:r>
      <w:r>
        <w:rPr>
          <w:color w:val="231F20"/>
          <w:w w:val="110"/>
        </w:rPr>
        <w:t>expensas</w:t>
      </w:r>
      <w:r>
        <w:rPr>
          <w:color w:val="231F20"/>
          <w:spacing w:val="-10"/>
          <w:w w:val="110"/>
        </w:rPr>
        <w:t> </w:t>
      </w:r>
      <w:r>
        <w:rPr>
          <w:color w:val="231F20"/>
          <w:w w:val="110"/>
        </w:rPr>
        <w:t>y</w:t>
      </w:r>
      <w:r>
        <w:rPr>
          <w:color w:val="231F20"/>
          <w:spacing w:val="-10"/>
          <w:w w:val="110"/>
        </w:rPr>
        <w:t> </w:t>
      </w:r>
      <w:r>
        <w:rPr>
          <w:color w:val="231F20"/>
          <w:w w:val="110"/>
        </w:rPr>
        <w:t>en detrimento relativo de la inversión productiva, especialmente</w:t>
      </w:r>
      <w:r>
        <w:rPr>
          <w:color w:val="231F20"/>
          <w:spacing w:val="-17"/>
          <w:w w:val="110"/>
        </w:rPr>
        <w:t> </w:t>
      </w:r>
      <w:r>
        <w:rPr>
          <w:color w:val="231F20"/>
          <w:w w:val="110"/>
        </w:rPr>
        <w:t>duran-</w:t>
      </w:r>
    </w:p>
    <w:p>
      <w:pPr>
        <w:spacing w:after="0" w:line="261" w:lineRule="auto"/>
        <w:jc w:val="both"/>
        <w:sectPr>
          <w:headerReference w:type="default" r:id="rId186"/>
          <w:headerReference w:type="even" r:id="rId187"/>
          <w:pgSz w:w="7640" w:h="11900"/>
          <w:pgMar w:header="672" w:footer="0" w:top="860" w:bottom="280" w:left="660" w:right="760"/>
          <w:pgNumType w:start="263"/>
        </w:sectPr>
      </w:pPr>
    </w:p>
    <w:p>
      <w:pPr>
        <w:pStyle w:val="BodyText"/>
        <w:spacing w:before="8"/>
        <w:rPr>
          <w:sz w:val="8"/>
        </w:rPr>
      </w:pPr>
    </w:p>
    <w:p>
      <w:pPr>
        <w:pStyle w:val="BodyText"/>
        <w:spacing w:line="261" w:lineRule="auto" w:before="67"/>
        <w:ind w:left="100" w:right="111"/>
        <w:jc w:val="both"/>
      </w:pPr>
      <w:r>
        <w:rPr>
          <w:color w:val="231F20"/>
          <w:w w:val="110"/>
        </w:rPr>
        <w:t>te el primer decenios de este siglo. El consumo se amplió de manera creciente, en circunstancias en las que, además, la masa salarial se redujo de manera considerable. Por una parte, los capitalistas recu- rrieron al endeudamiento y canalizaron recursos a la especulación financiera </w:t>
      </w:r>
      <w:r>
        <w:rPr>
          <w:color w:val="231F20"/>
          <w:spacing w:val="-7"/>
          <w:w w:val="110"/>
        </w:rPr>
        <w:t>y, </w:t>
      </w:r>
      <w:r>
        <w:rPr>
          <w:color w:val="231F20"/>
          <w:w w:val="110"/>
        </w:rPr>
        <w:t>por la otra, los asalariados financiaron su consumo </w:t>
      </w:r>
      <w:r>
        <w:rPr>
          <w:color w:val="231F20"/>
          <w:spacing w:val="2"/>
          <w:w w:val="110"/>
        </w:rPr>
        <w:t>mediante créditos bancarios “blandos”. </w:t>
      </w:r>
      <w:r>
        <w:rPr>
          <w:color w:val="231F20"/>
          <w:w w:val="110"/>
        </w:rPr>
        <w:t>En </w:t>
      </w:r>
      <w:r>
        <w:rPr>
          <w:color w:val="231F20"/>
          <w:spacing w:val="2"/>
          <w:w w:val="110"/>
        </w:rPr>
        <w:t>cierto modo, </w:t>
      </w:r>
      <w:r>
        <w:rPr>
          <w:color w:val="231F20"/>
          <w:w w:val="110"/>
        </w:rPr>
        <w:t>el </w:t>
      </w:r>
      <w:r>
        <w:rPr>
          <w:color w:val="231F20"/>
          <w:spacing w:val="2"/>
          <w:w w:val="110"/>
        </w:rPr>
        <w:t>con- </w:t>
      </w:r>
      <w:r>
        <w:rPr>
          <w:color w:val="231F20"/>
          <w:w w:val="110"/>
        </w:rPr>
        <w:t>sumo proveniente de los ingresos no salariales compensó la caída del consumo salarial, dado la caída de los salarios (Husson, 2008a   y 2010; Toussaint, 2009). La tendencia de estos indicadores durante el largo periodo neoliberal pone de manifiesto la manera en que el capital</w:t>
      </w:r>
      <w:r>
        <w:rPr>
          <w:color w:val="231F20"/>
          <w:spacing w:val="-8"/>
          <w:w w:val="110"/>
        </w:rPr>
        <w:t> </w:t>
      </w:r>
      <w:r>
        <w:rPr>
          <w:color w:val="231F20"/>
          <w:w w:val="110"/>
        </w:rPr>
        <w:t>especulativo</w:t>
      </w:r>
      <w:r>
        <w:rPr>
          <w:color w:val="231F20"/>
          <w:spacing w:val="-8"/>
          <w:w w:val="110"/>
        </w:rPr>
        <w:t> </w:t>
      </w:r>
      <w:r>
        <w:rPr>
          <w:color w:val="231F20"/>
          <w:w w:val="110"/>
        </w:rPr>
        <w:t>subordinó</w:t>
      </w:r>
      <w:r>
        <w:rPr>
          <w:color w:val="231F20"/>
          <w:spacing w:val="-8"/>
          <w:w w:val="110"/>
        </w:rPr>
        <w:t> </w:t>
      </w:r>
      <w:r>
        <w:rPr>
          <w:color w:val="231F20"/>
          <w:w w:val="110"/>
        </w:rPr>
        <w:t>y</w:t>
      </w:r>
      <w:r>
        <w:rPr>
          <w:color w:val="231F20"/>
          <w:spacing w:val="-8"/>
          <w:w w:val="110"/>
        </w:rPr>
        <w:t> </w:t>
      </w:r>
      <w:r>
        <w:rPr>
          <w:color w:val="231F20"/>
          <w:w w:val="110"/>
        </w:rPr>
        <w:t>subordina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inversión</w:t>
      </w:r>
      <w:r>
        <w:rPr>
          <w:color w:val="231F20"/>
          <w:spacing w:val="-8"/>
          <w:w w:val="110"/>
        </w:rPr>
        <w:t> </w:t>
      </w:r>
      <w:r>
        <w:rPr>
          <w:color w:val="231F20"/>
          <w:w w:val="110"/>
        </w:rPr>
        <w:t>productiva.</w:t>
      </w:r>
    </w:p>
    <w:p>
      <w:pPr>
        <w:pStyle w:val="BodyText"/>
        <w:spacing w:before="1"/>
        <w:rPr>
          <w:sz w:val="18"/>
        </w:rPr>
      </w:pPr>
    </w:p>
    <w:p>
      <w:pPr>
        <w:spacing w:after="0"/>
        <w:rPr>
          <w:sz w:val="18"/>
        </w:rPr>
        <w:sectPr>
          <w:pgSz w:w="7640" w:h="11900"/>
          <w:pgMar w:header="672" w:footer="0" w:top="860" w:bottom="280" w:left="780" w:right="640"/>
        </w:sectPr>
      </w:pPr>
    </w:p>
    <w:p>
      <w:pPr>
        <w:spacing w:line="290" w:lineRule="auto" w:before="70"/>
        <w:ind w:left="100" w:right="-8" w:firstLine="0"/>
        <w:jc w:val="left"/>
        <w:rPr>
          <w:sz w:val="18"/>
        </w:rPr>
      </w:pPr>
      <w:r>
        <w:rPr>
          <w:color w:val="231F20"/>
          <w:w w:val="125"/>
          <w:sz w:val="18"/>
        </w:rPr>
        <w:t>gráfica</w:t>
      </w:r>
      <w:r>
        <w:rPr>
          <w:color w:val="231F20"/>
          <w:spacing w:val="-6"/>
          <w:w w:val="125"/>
          <w:sz w:val="18"/>
        </w:rPr>
        <w:t> </w:t>
      </w:r>
      <w:r>
        <w:rPr>
          <w:color w:val="231F20"/>
          <w:w w:val="125"/>
          <w:sz w:val="18"/>
        </w:rPr>
        <w:t>1.</w:t>
      </w:r>
      <w:r>
        <w:rPr>
          <w:color w:val="231F20"/>
          <w:spacing w:val="-6"/>
          <w:w w:val="125"/>
          <w:sz w:val="18"/>
        </w:rPr>
        <w:t> </w:t>
      </w:r>
      <w:r>
        <w:rPr>
          <w:color w:val="231F20"/>
          <w:w w:val="125"/>
          <w:sz w:val="18"/>
        </w:rPr>
        <w:t>evolución</w:t>
      </w:r>
      <w:r>
        <w:rPr>
          <w:color w:val="231F20"/>
          <w:spacing w:val="-6"/>
          <w:w w:val="125"/>
          <w:sz w:val="18"/>
        </w:rPr>
        <w:t> </w:t>
      </w:r>
      <w:r>
        <w:rPr>
          <w:color w:val="231F20"/>
          <w:w w:val="125"/>
          <w:sz w:val="18"/>
        </w:rPr>
        <w:t>de</w:t>
      </w:r>
      <w:r>
        <w:rPr>
          <w:color w:val="231F20"/>
          <w:spacing w:val="-6"/>
          <w:w w:val="125"/>
          <w:sz w:val="18"/>
        </w:rPr>
        <w:t> </w:t>
      </w:r>
      <w:r>
        <w:rPr>
          <w:color w:val="231F20"/>
          <w:w w:val="125"/>
          <w:sz w:val="18"/>
        </w:rPr>
        <w:t>la</w:t>
      </w:r>
      <w:r>
        <w:rPr>
          <w:color w:val="231F20"/>
          <w:spacing w:val="-6"/>
          <w:w w:val="125"/>
          <w:sz w:val="18"/>
        </w:rPr>
        <w:t> </w:t>
      </w:r>
      <w:r>
        <w:rPr>
          <w:color w:val="231F20"/>
          <w:w w:val="125"/>
          <w:sz w:val="18"/>
        </w:rPr>
        <w:t>tasa</w:t>
      </w:r>
      <w:r>
        <w:rPr>
          <w:color w:val="231F20"/>
          <w:spacing w:val="-6"/>
          <w:w w:val="125"/>
          <w:sz w:val="18"/>
        </w:rPr>
        <w:t> </w:t>
      </w:r>
      <w:r>
        <w:rPr>
          <w:color w:val="231F20"/>
          <w:w w:val="125"/>
          <w:sz w:val="18"/>
        </w:rPr>
        <w:t>de</w:t>
      </w:r>
      <w:r>
        <w:rPr>
          <w:color w:val="231F20"/>
          <w:spacing w:val="-6"/>
          <w:w w:val="125"/>
          <w:sz w:val="18"/>
        </w:rPr>
        <w:t> </w:t>
      </w:r>
      <w:r>
        <w:rPr>
          <w:color w:val="231F20"/>
          <w:w w:val="125"/>
          <w:sz w:val="18"/>
        </w:rPr>
        <w:t>acumulación</w:t>
      </w:r>
      <w:r>
        <w:rPr>
          <w:color w:val="231F20"/>
          <w:spacing w:val="-6"/>
          <w:w w:val="125"/>
          <w:sz w:val="18"/>
        </w:rPr>
        <w:t> </w:t>
      </w:r>
      <w:r>
        <w:rPr>
          <w:color w:val="231F20"/>
          <w:w w:val="125"/>
          <w:sz w:val="18"/>
        </w:rPr>
        <w:t>y</w:t>
      </w:r>
      <w:r>
        <w:rPr>
          <w:color w:val="231F20"/>
          <w:spacing w:val="-6"/>
          <w:w w:val="125"/>
          <w:sz w:val="18"/>
        </w:rPr>
        <w:t> </w:t>
      </w:r>
      <w:r>
        <w:rPr>
          <w:color w:val="231F20"/>
          <w:w w:val="125"/>
          <w:sz w:val="18"/>
        </w:rPr>
        <w:t>el</w:t>
      </w:r>
      <w:r>
        <w:rPr>
          <w:color w:val="231F20"/>
          <w:spacing w:val="-6"/>
          <w:w w:val="125"/>
          <w:sz w:val="18"/>
        </w:rPr>
        <w:t> </w:t>
      </w:r>
      <w:r>
        <w:rPr>
          <w:color w:val="231F20"/>
          <w:w w:val="125"/>
          <w:sz w:val="18"/>
        </w:rPr>
        <w:t>consumo </w:t>
      </w:r>
      <w:r>
        <w:rPr>
          <w:color w:val="231F20"/>
          <w:w w:val="120"/>
          <w:sz w:val="18"/>
        </w:rPr>
        <w:t>privado,</w:t>
      </w:r>
      <w:r>
        <w:rPr>
          <w:color w:val="231F20"/>
          <w:spacing w:val="-15"/>
          <w:w w:val="120"/>
          <w:sz w:val="18"/>
        </w:rPr>
        <w:t> </w:t>
      </w:r>
      <w:r>
        <w:rPr>
          <w:color w:val="231F20"/>
          <w:w w:val="120"/>
          <w:sz w:val="18"/>
        </w:rPr>
        <w:t>estados</w:t>
      </w:r>
      <w:r>
        <w:rPr>
          <w:color w:val="231F20"/>
          <w:spacing w:val="-15"/>
          <w:w w:val="120"/>
          <w:sz w:val="18"/>
        </w:rPr>
        <w:t> </w:t>
      </w:r>
      <w:r>
        <w:rPr>
          <w:color w:val="231F20"/>
          <w:w w:val="120"/>
          <w:sz w:val="18"/>
        </w:rPr>
        <w:t>unidos,</w:t>
      </w:r>
      <w:r>
        <w:rPr>
          <w:color w:val="231F20"/>
          <w:spacing w:val="-15"/>
          <w:w w:val="120"/>
          <w:sz w:val="18"/>
        </w:rPr>
        <w:t> </w:t>
      </w:r>
      <w:r>
        <w:rPr>
          <w:color w:val="231F20"/>
          <w:w w:val="120"/>
          <w:sz w:val="18"/>
        </w:rPr>
        <w:t>1960-2011</w:t>
      </w:r>
    </w:p>
    <w:p>
      <w:pPr>
        <w:spacing w:before="94"/>
        <w:ind w:left="309" w:right="-8" w:firstLine="0"/>
        <w:jc w:val="left"/>
        <w:rPr>
          <w:sz w:val="16"/>
        </w:rPr>
      </w:pPr>
      <w:r>
        <w:rPr/>
        <w:pict>
          <v:group style="position:absolute;margin-left:68.650002pt;margin-top:9.994761pt;width:254.7pt;height:132.15pt;mso-position-horizontal-relative:page;mso-position-vertical-relative:paragraph;z-index:-351064" coordorigin="1373,200" coordsize="5094,2643">
            <v:shape style="position:absolute;left:1378;top:205;width:5084;height:2633" coordorigin="1378,205" coordsize="5084,2633" path="m1379,205l1378,2838,6462,2837,6462,205e" filled="false" stroked="true" strokeweight=".5pt" strokecolor="#231f20">
              <v:path arrowok="t"/>
            </v:shape>
            <v:shape style="position:absolute;left:1517;top:757;width:4896;height:1554" coordorigin="1517,757" coordsize="4896,1554" path="m1517,1657l1607,1519,1727,1417,1811,1249,1919,1099,2015,1081,2105,1249,2207,1189,2297,1207,2407,1417,2501,1347,2591,1153,2687,1051,2801,1363,2897,1741,2993,1627,3185,1147,3287,1107,3383,1447,3473,1537,3575,1837,3677,1747,3773,1375,3875,1309,4079,1447,4175,1477,4259,1471,4367,1627,4457,1879,4567,1789,4751,1501,4847,1429,5027,1153,5247,817,5333,757,5537,1309,5627,1297,5735,1147,5831,1051,5915,1067,6035,1297,6119,1645,6221,2311,6317,2233,6413,2131e" filled="false" stroked="true" strokeweight=".5pt" strokecolor="#231f20">
              <v:path arrowok="t"/>
            </v:shape>
            <v:line style="position:absolute" from="1459,1930" to="1502,1954" stroked="true" strokeweight=".5pt" strokecolor="#231f20">
              <v:stroke dashstyle="dash"/>
            </v:line>
            <v:line style="position:absolute" from="1546,2000" to="1613,2126" stroked="true" strokeweight=".5pt" strokecolor="#231f20">
              <v:stroke dashstyle="dash"/>
            </v:line>
            <v:line style="position:absolute" from="1661,2157" to="1701,2167" stroked="true" strokeweight=".5pt" strokecolor="#231f20">
              <v:stroke dashstyle="dash"/>
            </v:line>
            <v:line style="position:absolute" from="1758,2171" to="1794,2168" stroked="true" strokeweight=".5pt" strokecolor="#231f20">
              <v:stroke dashstyle="dash"/>
            </v:line>
            <v:line style="position:absolute" from="1841,2188" to="1902,2242" stroked="true" strokeweight=".5pt" strokecolor="#231f20">
              <v:stroke dashstyle="dash"/>
            </v:line>
            <v:line style="position:absolute" from="1937,2283" to="2008,2388" stroked="true" strokeweight=".5pt" strokecolor="#231f20">
              <v:stroke dashstyle="dash"/>
            </v:line>
            <v:line style="position:absolute" from="2052,2417" to="2088,2429" stroked="true" strokeweight=".5pt" strokecolor="#231f20">
              <v:stroke dashstyle="dash"/>
            </v:line>
            <v:line style="position:absolute" from="2136,2419" to="2201,2372" stroked="true" strokeweight=".5pt" strokecolor="#231f20">
              <v:stroke dashstyle="dash"/>
            </v:line>
            <v:line style="position:absolute" from="2248,2350" to="2282,2341" stroked="true" strokeweight=".5pt" strokecolor="#231f20">
              <v:stroke dashstyle="dash"/>
            </v:line>
            <v:line style="position:absolute" from="2316,2303" to="2389,2130" stroked="true" strokeweight=".5pt" strokecolor="#231f20">
              <v:stroke dashstyle="dash"/>
            </v:line>
            <v:line style="position:absolute" from="2435,2113" to="2476,2120" stroked="true" strokeweight=".5pt" strokecolor="#231f20">
              <v:stroke dashstyle="dash"/>
            </v:line>
            <v:line style="position:absolute" from="2533,2150" to="2568,2179" stroked="true" strokeweight=".5pt" strokecolor="#231f20">
              <v:stroke dashstyle="dash"/>
            </v:line>
            <v:line style="position:absolute" from="2608,2232" to="2675,2370" stroked="true" strokeweight=".5pt" strokecolor="#231f20">
              <v:stroke dashstyle="dash"/>
            </v:line>
            <v:line style="position:absolute" from="2715,2368" to="2787,2300" stroked="true" strokeweight=".5pt" strokecolor="#231f20">
              <v:stroke dashstyle="dash"/>
            </v:line>
            <v:line style="position:absolute" from="2817,2249" to="2889,2028" stroked="true" strokeweight=".5pt" strokecolor="#231f20">
              <v:stroke dashstyle="dash"/>
            </v:line>
            <v:line style="position:absolute" from="2933,2003" to="2973,2000" stroked="true" strokeweight=".5pt" strokecolor="#231f20">
              <v:stroke dashstyle="dash"/>
            </v:line>
            <v:line style="position:absolute" from="3030,2026" to="3065,2057" stroked="true" strokeweight=".5pt" strokecolor="#231f20">
              <v:stroke dashstyle="dash"/>
            </v:line>
            <v:line style="position:absolute" from="3111,2109" to="3174,2192" stroked="true" strokeweight=".5pt" strokecolor="#231f20">
              <v:stroke dashstyle="dash"/>
            </v:line>
            <v:line style="position:absolute" from="3225,2209" to="3263,2201" stroked="true" strokeweight=".5pt" strokecolor="#231f20">
              <v:stroke dashstyle="dash"/>
            </v:line>
            <v:line style="position:absolute" from="3304,2169" to="3371,2055" stroked="true" strokeweight=".5pt" strokecolor="#231f20">
              <v:stroke dashstyle="dash"/>
            </v:line>
            <v:line style="position:absolute" from="3396,2067" to="3469,2244" stroked="true" strokeweight=".5pt" strokecolor="#231f20">
              <v:stroke dashstyle="dash"/>
            </v:line>
            <v:line style="position:absolute" from="3493,2233" to="3571,2051" stroked="true" strokeweight=".5pt" strokecolor="#231f20">
              <v:stroke dashstyle="dash"/>
            </v:line>
            <v:line style="position:absolute" from="3589,1992" to="3671,1658" stroked="true" strokeweight=".5pt" strokecolor="#231f20">
              <v:stroke dashstyle="dash"/>
            </v:line>
            <v:line style="position:absolute" from="3685,1664" to="3755,1924" stroked="true" strokeweight=".5pt" strokecolor="#231f20">
              <v:stroke dashstyle="dash"/>
            </v:line>
            <v:line style="position:absolute" from="3775,1918" to="3871,1720" stroked="true" strokeweight=".5pt" strokecolor="#231f20">
              <v:stroke dashstyle="dash"/>
            </v:line>
            <v:line style="position:absolute" from="3893,1668" to="3958,1499" stroked="true" strokeweight=".5pt" strokecolor="#231f20">
              <v:stroke dashstyle="dash"/>
            </v:line>
            <v:line style="position:absolute" from="4010,1483" to="4057,1490" stroked="true" strokeweight=".5pt" strokecolor="#231f20">
              <v:stroke dashstyle="dash"/>
            </v:line>
            <v:line style="position:absolute" from="4115,1520" to="4147,1549" stroked="true" strokeweight=".5pt" strokecolor="#231f20">
              <v:stroke dashstyle="dash"/>
            </v:line>
            <v:line style="position:absolute" from="4184,1539" to="4354,1269" stroked="true" strokeweight=".5pt" strokecolor="#231f20">
              <v:stroke dashstyle="dash"/>
            </v:line>
            <v:line style="position:absolute" from="4403,1223" to="4444,1195" stroked="true" strokeweight=".5pt" strokecolor="#231f20">
              <v:stroke dashstyle="dash"/>
            </v:line>
            <v:line style="position:absolute" from="4486,1149" to="4555,1035" stroked="true" strokeweight=".5pt" strokecolor="#231f20">
              <v:stroke dashstyle="dash"/>
            </v:line>
            <v:line style="position:absolute" from="4591,982" to="4650,900" stroked="true" strokeweight=".5pt" strokecolor="#231f20">
              <v:stroke dashstyle="dash"/>
            </v:line>
            <v:line style="position:absolute" from="4686,902" to="4737,968" stroked="true" strokeweight=".5pt" strokecolor="#231f20">
              <v:stroke dashstyle="dash"/>
            </v:line>
            <v:line style="position:absolute" from="4773,1010" to="4831,1070" stroked="true" strokeweight=".5pt" strokecolor="#231f20">
              <v:stroke dashstyle="dash"/>
            </v:line>
            <v:line style="position:absolute" from="4885,1108" to="4928,1132" stroked="true" strokeweight=".5pt" strokecolor="#231f20">
              <v:stroke dashstyle="dash"/>
            </v:line>
            <v:line style="position:absolute" from="4971,1175" to="5036,1287" stroked="true" strokeweight=".5pt" strokecolor="#231f20">
              <v:stroke dashstyle="dash"/>
            </v:line>
            <v:line style="position:absolute" from="5084,1308" to="5126,1308" stroked="true" strokeweight=".5pt" strokecolor="#231f20">
              <v:stroke dashstyle="dash"/>
            </v:line>
            <v:line style="position:absolute" from="5175,1280" to="5233,1207" stroked="true" strokeweight=".5pt" strokecolor="#231f20">
              <v:stroke dashstyle="dash"/>
            </v:line>
            <v:line style="position:absolute" from="5281,1160" to="5316,1130" stroked="true" strokeweight=".5pt" strokecolor="#231f20">
              <v:stroke dashstyle="dash"/>
            </v:line>
            <v:line style="position:absolute" from="5354,1083" to="5436,933" stroked="true" strokeweight=".5pt" strokecolor="#231f20">
              <v:stroke dashstyle="dash"/>
            </v:line>
            <v:line style="position:absolute" from="5460,881" to="5528,708" stroked="true" strokeweight=".5pt" strokecolor="#231f20">
              <v:stroke dashstyle="dash"/>
            </v:line>
            <v:line style="position:absolute" from="5573,668" to="5614,649" stroked="true" strokeweight=".5pt" strokecolor="#231f20">
              <v:stroke dashstyle="dash"/>
            </v:line>
            <v:line style="position:absolute" from="5662,659" to="5820,813" stroked="true" strokeweight=".5pt" strokecolor="#231f20">
              <v:stroke dashstyle="dash"/>
            </v:line>
            <v:line style="position:absolute" from="5853,857" to="5916,971" stroked="true" strokeweight=".5pt" strokecolor="#231f20">
              <v:stroke dashstyle="dash"/>
            </v:line>
            <v:line style="position:absolute" from="5941,959" to="6117,558" stroked="true" strokeweight=".5pt" strokecolor="#231f20">
              <v:stroke dashstyle="dash"/>
            </v:line>
            <v:line style="position:absolute" from="6146,502" to="6220,370" stroked="true" strokeweight=".5pt" strokecolor="#231f20">
              <v:stroke dashstyle="dash"/>
            </v:line>
            <v:line style="position:absolute" from="6263,375" to="6296,407" stroked="true" strokeweight=".5pt" strokecolor="#231f20">
              <v:stroke dashstyle="dash"/>
            </v:line>
            <v:line style="position:absolute" from="6360,429" to="6407,431" stroked="true" strokeweight=".5pt" strokecolor="#231f20">
              <v:stroke dashstyle="dash"/>
            </v:line>
            <v:shape style="position:absolute;left:0;top:5771;width:5016;height:2090" coordorigin="0,5771" coordsize="5016,2090" path="m1421,1909l1437,1918m1513,1960l1529,1969,1536,1982m1618,2135l1625,2149,1640,2152m1712,2169l1727,2173,1741,2172m1803,2168l1817,2167,1827,2176m1909,2248l1919,2257,1927,2268m2013,2395l2021,2407,2035,2411m2097,2432l2111,2437,2122,2429m2208,2367l2219,2359,2232,2355m2290,2339l2303,2335,2309,2321m2393,2121l2399,2107,2414,2110m2486,2122l2501,2125,2514,2135m2578,2186l2591,2197,2598,2211m2680,2380l2687,2395,2699,2384m2795,2292l2807,2281,2812,2267m2892,2019l2897,2005,2912,2004m2984,2000l2999,1999,3012,2010m3074,2065l3087,2077,3097,2090m3181,2201l3191,2215,3205,2212m3273,2200l3287,2197,3294,2185m3376,2047l3383,2035,3389,2049m3473,2253l3479,2267,3485,2253m3575,2041l3581,2027,3585,2012m3673,1648l3677,1633,3681,1646m3757,1933l3761,1947,3767,1934m3875,1711l3881,1699,3886,1685m3962,1490l3967,1477,3984,1480m4070,1492l4087,1495,4099,1505m4155,1556l4167,1567,4175,1555m4359,1261l4367,1249,4382,1238m4454,1187l4469,1177,4476,1165m4560,1027l4567,1015,4577,1001m4657,890l4667,877,4676,888m4742,976l4751,987,4761,997m4837,1077l4847,1087,4863,1096m4939,1138l4955,1147,4962,1159m5040,1295l5047,1307,5063,1307m5137,1309l5153,1309,5163,1297m5239,1199l5249,1187,5262,1176m5326,1122l5339,1111,5346,1099m5440,925l5447,913,5452,899m5532,699l5537,685,5552,678m5624,644l5639,637,5649,647m5827,819l5837,829,5844,841m5920,979l5927,991,5933,977m6121,549l6127,535,6135,521m6225,361l6233,347,6245,359m6305,415l6317,427,6335,428m6420,432l6437,433e" filled="false" stroked="true" strokeweight=".5pt" strokecolor="#231f20">
              <v:path arrowok="t"/>
            </v:shape>
            <v:shape style="position:absolute;left:1659;top:870;width:1694;height:161" type="#_x0000_t202" filled="false" stroked="false">
              <v:textbox inset="0,0,0,0">
                <w:txbxContent>
                  <w:p>
                    <w:pPr>
                      <w:spacing w:line="158" w:lineRule="exact" w:before="0"/>
                      <w:ind w:left="0" w:right="-17" w:firstLine="0"/>
                      <w:jc w:val="left"/>
                      <w:rPr>
                        <w:sz w:val="16"/>
                      </w:rPr>
                    </w:pPr>
                    <w:r>
                      <w:rPr>
                        <w:color w:val="231F20"/>
                        <w:spacing w:val="-4"/>
                        <w:w w:val="115"/>
                        <w:sz w:val="16"/>
                      </w:rPr>
                      <w:t>Tasa</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acumulación</w:t>
                    </w:r>
                    <w:r>
                      <w:rPr>
                        <w:color w:val="231F20"/>
                        <w:spacing w:val="-22"/>
                        <w:w w:val="115"/>
                        <w:sz w:val="16"/>
                      </w:rPr>
                      <w:t> </w:t>
                    </w:r>
                    <w:r>
                      <w:rPr>
                        <w:color w:val="231F20"/>
                        <w:w w:val="115"/>
                        <w:sz w:val="16"/>
                      </w:rPr>
                      <w:t>(i)</w:t>
                    </w:r>
                  </w:p>
                </w:txbxContent>
              </v:textbox>
              <w10:wrap type="none"/>
            </v:shape>
            <v:shape style="position:absolute;left:2115;top:2442;width:1522;height:161" type="#_x0000_t202" filled="false" stroked="false">
              <v:textbox inset="0,0,0,0">
                <w:txbxContent>
                  <w:p>
                    <w:pPr>
                      <w:spacing w:line="158" w:lineRule="exact" w:before="0"/>
                      <w:ind w:left="0" w:right="-19" w:firstLine="0"/>
                      <w:jc w:val="left"/>
                      <w:rPr>
                        <w:sz w:val="16"/>
                      </w:rPr>
                    </w:pPr>
                    <w:r>
                      <w:rPr>
                        <w:color w:val="231F20"/>
                        <w:w w:val="115"/>
                        <w:sz w:val="16"/>
                      </w:rPr>
                      <w:t>Consumo</w:t>
                    </w:r>
                    <w:r>
                      <w:rPr>
                        <w:color w:val="231F20"/>
                        <w:spacing w:val="-27"/>
                        <w:w w:val="115"/>
                        <w:sz w:val="16"/>
                      </w:rPr>
                      <w:t> </w:t>
                    </w:r>
                    <w:r>
                      <w:rPr>
                        <w:color w:val="231F20"/>
                        <w:w w:val="115"/>
                        <w:sz w:val="16"/>
                      </w:rPr>
                      <w:t>privado</w:t>
                    </w:r>
                    <w:r>
                      <w:rPr>
                        <w:color w:val="231F20"/>
                        <w:spacing w:val="-27"/>
                        <w:w w:val="115"/>
                        <w:sz w:val="16"/>
                      </w:rPr>
                      <w:t> </w:t>
                    </w:r>
                    <w:r>
                      <w:rPr>
                        <w:color w:val="231F20"/>
                        <w:w w:val="115"/>
                        <w:sz w:val="16"/>
                      </w:rPr>
                      <w:t>(d)</w:t>
                    </w:r>
                  </w:p>
                </w:txbxContent>
              </v:textbox>
              <w10:wrap type="none"/>
            </v:shape>
            <w10:wrap type="none"/>
          </v:group>
        </w:pict>
      </w:r>
      <w:r>
        <w:rPr>
          <w:color w:val="231F20"/>
          <w:sz w:val="16"/>
        </w:rPr>
        <w:t>5 —</w:t>
      </w:r>
    </w:p>
    <w:p>
      <w:pPr>
        <w:pStyle w:val="BodyText"/>
        <w:rPr>
          <w:sz w:val="16"/>
        </w:rPr>
      </w:pPr>
    </w:p>
    <w:p>
      <w:pPr>
        <w:pStyle w:val="BodyText"/>
        <w:spacing w:before="8"/>
        <w:rPr>
          <w:sz w:val="13"/>
        </w:rPr>
      </w:pPr>
    </w:p>
    <w:p>
      <w:pPr>
        <w:spacing w:before="0"/>
        <w:ind w:left="309" w:right="-8" w:firstLine="0"/>
        <w:jc w:val="left"/>
        <w:rPr>
          <w:sz w:val="16"/>
        </w:rPr>
      </w:pPr>
      <w:r>
        <w:rPr>
          <w:color w:val="231F20"/>
          <w:sz w:val="16"/>
        </w:rPr>
        <w:t>4 —</w:t>
      </w:r>
    </w:p>
    <w:p>
      <w:pPr>
        <w:pStyle w:val="BodyText"/>
        <w:rPr>
          <w:sz w:val="16"/>
        </w:rPr>
      </w:pPr>
    </w:p>
    <w:p>
      <w:pPr>
        <w:pStyle w:val="BodyText"/>
        <w:spacing w:before="8"/>
        <w:rPr>
          <w:sz w:val="13"/>
        </w:rPr>
      </w:pPr>
    </w:p>
    <w:p>
      <w:pPr>
        <w:spacing w:before="0"/>
        <w:ind w:left="309" w:right="-8" w:firstLine="0"/>
        <w:jc w:val="left"/>
        <w:rPr>
          <w:sz w:val="16"/>
        </w:rPr>
      </w:pPr>
      <w:r>
        <w:rPr/>
        <w:pict>
          <v:shape style="position:absolute;margin-left:42.721199pt;margin-top:-2.053443pt;width:10pt;height:39.3pt;mso-position-horizontal-relative:page;mso-position-vertical-relative:paragraph;z-index:6304" type="#_x0000_t202" filled="false" stroked="false">
            <v:textbox inset="0,0,0,0" style="layout-flow:vertical;mso-layout-flow-alt:bottom-to-top">
              <w:txbxContent>
                <w:p>
                  <w:pPr>
                    <w:spacing w:line="178" w:lineRule="exact" w:before="0"/>
                    <w:ind w:left="20" w:right="-586" w:firstLine="0"/>
                    <w:jc w:val="left"/>
                    <w:rPr>
                      <w:sz w:val="16"/>
                    </w:rPr>
                  </w:pPr>
                  <w:r>
                    <w:rPr>
                      <w:color w:val="231F20"/>
                      <w:w w:val="110"/>
                      <w:sz w:val="16"/>
                    </w:rPr>
                    <w:t>Porcentaje</w:t>
                  </w:r>
                </w:p>
              </w:txbxContent>
            </v:textbox>
            <w10:wrap type="none"/>
          </v:shape>
        </w:pict>
      </w:r>
      <w:r>
        <w:rPr>
          <w:color w:val="231F20"/>
          <w:sz w:val="16"/>
        </w:rPr>
        <w:t>3 —</w:t>
      </w:r>
    </w:p>
    <w:p>
      <w:pPr>
        <w:pStyle w:val="BodyText"/>
        <w:rPr>
          <w:sz w:val="16"/>
        </w:rPr>
      </w:pPr>
    </w:p>
    <w:p>
      <w:pPr>
        <w:pStyle w:val="BodyText"/>
        <w:spacing w:before="8"/>
        <w:rPr>
          <w:sz w:val="13"/>
        </w:rPr>
      </w:pPr>
    </w:p>
    <w:p>
      <w:pPr>
        <w:spacing w:before="0"/>
        <w:ind w:left="309" w:right="-8" w:firstLine="0"/>
        <w:jc w:val="left"/>
        <w:rPr>
          <w:sz w:val="16"/>
        </w:rPr>
      </w:pPr>
      <w:r>
        <w:rPr>
          <w:color w:val="231F20"/>
          <w:sz w:val="16"/>
        </w:rPr>
        <w:t>2 —</w:t>
      </w:r>
    </w:p>
    <w:p>
      <w:pPr>
        <w:pStyle w:val="BodyText"/>
        <w:rPr>
          <w:sz w:val="16"/>
        </w:rPr>
      </w:pPr>
    </w:p>
    <w:p>
      <w:pPr>
        <w:pStyle w:val="BodyText"/>
        <w:spacing w:before="8"/>
        <w:rPr>
          <w:sz w:val="13"/>
        </w:rPr>
      </w:pPr>
    </w:p>
    <w:p>
      <w:pPr>
        <w:spacing w:before="0"/>
        <w:ind w:left="309" w:right="-8" w:firstLine="0"/>
        <w:jc w:val="left"/>
        <w:rPr>
          <w:sz w:val="16"/>
        </w:rPr>
      </w:pPr>
      <w:r>
        <w:rPr>
          <w:color w:val="231F20"/>
          <w:sz w:val="16"/>
        </w:rPr>
        <w:t>1 —</w:t>
      </w:r>
    </w:p>
    <w:p>
      <w:pPr>
        <w:pStyle w:val="BodyText"/>
        <w:rPr>
          <w:sz w:val="16"/>
        </w:rPr>
      </w:pPr>
    </w:p>
    <w:p>
      <w:pPr>
        <w:pStyle w:val="BodyText"/>
        <w:spacing w:before="8"/>
        <w:rPr>
          <w:sz w:val="13"/>
        </w:rPr>
      </w:pPr>
    </w:p>
    <w:p>
      <w:pPr>
        <w:spacing w:before="0"/>
        <w:ind w:left="309" w:right="-8" w:firstLine="0"/>
        <w:jc w:val="left"/>
        <w:rPr>
          <w:sz w:val="16"/>
        </w:rPr>
      </w:pPr>
      <w:r>
        <w:rPr/>
        <w:pict>
          <v:shape style="position:absolute;margin-left:63.721199pt;margin-top:8.714556pt;width:10pt;height:28.75pt;mso-position-horizontal-relative:page;mso-position-vertical-relative:paragraph;z-index:-3510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1960</w:t>
                  </w:r>
                  <w:r>
                    <w:rPr>
                      <w:color w:val="231F20"/>
                      <w:spacing w:val="1"/>
                      <w:sz w:val="16"/>
                    </w:rPr>
                    <w:t> </w:t>
                  </w:r>
                  <w:r>
                    <w:rPr>
                      <w:color w:val="231F20"/>
                      <w:sz w:val="16"/>
                    </w:rPr>
                    <w:t>—</w:t>
                  </w:r>
                </w:p>
              </w:txbxContent>
            </v:textbox>
            <w10:wrap type="none"/>
          </v:shape>
        </w:pict>
      </w:r>
      <w:r>
        <w:rPr/>
        <w:pict>
          <v:shape style="position:absolute;margin-left:112.721199pt;margin-top:8.714556pt;width:10pt;height:28.75pt;mso-position-horizontal-relative:page;mso-position-vertical-relative:paragraph;z-index:635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161.721191pt;margin-top:8.714556pt;width:10pt;height:28.75pt;mso-position-horizontal-relative:page;mso-position-vertical-relative:paragraph;z-index:637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210.721191pt;margin-top:8.714556pt;width:10pt;height:28.75pt;mso-position-horizontal-relative:page;mso-position-vertical-relative:paragraph;z-index:640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59.721191pt;margin-top:8.714556pt;width:10pt;height:28.75pt;mso-position-horizontal-relative:page;mso-position-vertical-relative:paragraph;z-index:642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308.721191pt;margin-top:8.714556pt;width:10pt;height:28.75pt;mso-position-horizontal-relative:page;mso-position-vertical-relative:paragraph;z-index:644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2010</w:t>
                  </w:r>
                  <w:r>
                    <w:rPr>
                      <w:color w:val="231F20"/>
                      <w:spacing w:val="1"/>
                      <w:sz w:val="16"/>
                    </w:rPr>
                    <w:t> </w:t>
                  </w:r>
                  <w:r>
                    <w:rPr>
                      <w:color w:val="231F20"/>
                      <w:sz w:val="16"/>
                    </w:rPr>
                    <w:t>—</w:t>
                  </w:r>
                </w:p>
              </w:txbxContent>
            </v:textbox>
            <w10:wrap type="none"/>
          </v:shape>
        </w:pict>
      </w:r>
      <w:r>
        <w:rPr>
          <w:color w:val="231F20"/>
          <w:sz w:val="16"/>
        </w:rPr>
        <w:t>0 —</w:t>
      </w:r>
    </w:p>
    <w:p>
      <w:pPr>
        <w:pStyle w:val="BodyText"/>
        <w:rPr>
          <w:sz w:val="16"/>
        </w:rPr>
      </w:pPr>
      <w:r>
        <w:rPr/>
        <w:br w:type="column"/>
      </w:r>
      <w:r>
        <w:rPr>
          <w:sz w:val="16"/>
        </w:rPr>
      </w:r>
    </w:p>
    <w:p>
      <w:pPr>
        <w:pStyle w:val="BodyText"/>
        <w:rPr>
          <w:sz w:val="16"/>
        </w:rPr>
      </w:pPr>
    </w:p>
    <w:p>
      <w:pPr>
        <w:pStyle w:val="BodyText"/>
        <w:rPr>
          <w:sz w:val="16"/>
        </w:rPr>
      </w:pPr>
    </w:p>
    <w:p>
      <w:pPr>
        <w:spacing w:before="108"/>
        <w:ind w:left="100" w:right="0" w:firstLine="0"/>
        <w:jc w:val="left"/>
        <w:rPr>
          <w:sz w:val="16"/>
        </w:rPr>
      </w:pPr>
      <w:r>
        <w:rPr>
          <w:color w:val="231F20"/>
          <w:sz w:val="16"/>
        </w:rPr>
        <w:t>— 72</w:t>
      </w:r>
    </w:p>
    <w:p>
      <w:pPr>
        <w:pStyle w:val="BodyText"/>
        <w:spacing w:before="3"/>
        <w:rPr>
          <w:sz w:val="22"/>
        </w:rPr>
      </w:pPr>
    </w:p>
    <w:p>
      <w:pPr>
        <w:spacing w:before="0"/>
        <w:ind w:left="100" w:right="0" w:firstLine="0"/>
        <w:jc w:val="left"/>
        <w:rPr>
          <w:sz w:val="16"/>
        </w:rPr>
      </w:pPr>
      <w:r>
        <w:rPr>
          <w:color w:val="231F20"/>
          <w:sz w:val="16"/>
        </w:rPr>
        <w:t>—70</w:t>
      </w:r>
    </w:p>
    <w:p>
      <w:pPr>
        <w:pStyle w:val="BodyText"/>
        <w:spacing w:before="3"/>
        <w:rPr>
          <w:sz w:val="22"/>
        </w:rPr>
      </w:pPr>
    </w:p>
    <w:p>
      <w:pPr>
        <w:spacing w:before="0"/>
        <w:ind w:left="100" w:right="0" w:firstLine="0"/>
        <w:jc w:val="left"/>
        <w:rPr>
          <w:sz w:val="16"/>
        </w:rPr>
      </w:pPr>
      <w:r>
        <w:rPr>
          <w:color w:val="231F20"/>
          <w:sz w:val="16"/>
        </w:rPr>
        <w:t>— 68</w:t>
      </w:r>
    </w:p>
    <w:p>
      <w:pPr>
        <w:pStyle w:val="BodyText"/>
        <w:spacing w:before="3"/>
        <w:rPr>
          <w:sz w:val="22"/>
        </w:rPr>
      </w:pPr>
    </w:p>
    <w:p>
      <w:pPr>
        <w:spacing w:before="0"/>
        <w:ind w:left="100" w:right="0" w:firstLine="0"/>
        <w:jc w:val="left"/>
        <w:rPr>
          <w:sz w:val="16"/>
        </w:rPr>
      </w:pPr>
      <w:r>
        <w:rPr>
          <w:color w:val="231F20"/>
          <w:sz w:val="16"/>
        </w:rPr>
        <w:t>— 66</w:t>
      </w:r>
    </w:p>
    <w:p>
      <w:pPr>
        <w:pStyle w:val="BodyText"/>
        <w:spacing w:before="3"/>
        <w:rPr>
          <w:sz w:val="22"/>
        </w:rPr>
      </w:pPr>
    </w:p>
    <w:p>
      <w:pPr>
        <w:spacing w:before="0"/>
        <w:ind w:left="100" w:right="0" w:firstLine="0"/>
        <w:jc w:val="left"/>
        <w:rPr>
          <w:sz w:val="16"/>
        </w:rPr>
      </w:pPr>
      <w:r>
        <w:rPr>
          <w:color w:val="231F20"/>
          <w:sz w:val="16"/>
        </w:rPr>
        <w:t>— 64</w:t>
      </w:r>
    </w:p>
    <w:p>
      <w:pPr>
        <w:pStyle w:val="BodyText"/>
        <w:spacing w:before="3"/>
        <w:rPr>
          <w:sz w:val="22"/>
        </w:rPr>
      </w:pPr>
    </w:p>
    <w:p>
      <w:pPr>
        <w:spacing w:before="0"/>
        <w:ind w:left="100" w:right="0" w:firstLine="0"/>
        <w:jc w:val="left"/>
        <w:rPr>
          <w:sz w:val="16"/>
        </w:rPr>
      </w:pPr>
      <w:r>
        <w:rPr>
          <w:color w:val="231F20"/>
          <w:sz w:val="16"/>
        </w:rPr>
        <w:t>— 62</w:t>
      </w:r>
    </w:p>
    <w:p>
      <w:pPr>
        <w:pStyle w:val="BodyText"/>
        <w:spacing w:before="3"/>
        <w:rPr>
          <w:sz w:val="22"/>
        </w:rPr>
      </w:pPr>
    </w:p>
    <w:p>
      <w:pPr>
        <w:spacing w:before="0"/>
        <w:ind w:left="100" w:right="0" w:firstLine="0"/>
        <w:jc w:val="left"/>
        <w:rPr>
          <w:sz w:val="16"/>
        </w:rPr>
      </w:pPr>
      <w:r>
        <w:rPr>
          <w:color w:val="231F20"/>
          <w:sz w:val="16"/>
        </w:rPr>
        <w:t>— 60</w:t>
      </w:r>
    </w:p>
    <w:p>
      <w:pPr>
        <w:spacing w:after="0"/>
        <w:jc w:val="left"/>
        <w:rPr>
          <w:sz w:val="16"/>
        </w:rPr>
        <w:sectPr>
          <w:type w:val="continuous"/>
          <w:pgSz w:w="7640" w:h="11900"/>
          <w:pgMar w:top="980" w:bottom="280" w:left="780" w:right="640"/>
          <w:cols w:num="2" w:equalWidth="0">
            <w:col w:w="5469" w:space="118"/>
            <w:col w:w="633"/>
          </w:cols>
        </w:sectPr>
      </w:pPr>
    </w:p>
    <w:p>
      <w:pPr>
        <w:pStyle w:val="BodyText"/>
      </w:pPr>
    </w:p>
    <w:p>
      <w:pPr>
        <w:pStyle w:val="BodyText"/>
      </w:pPr>
    </w:p>
    <w:p>
      <w:pPr>
        <w:pStyle w:val="BodyText"/>
        <w:spacing w:before="4"/>
        <w:rPr>
          <w:sz w:val="19"/>
        </w:rPr>
      </w:pPr>
    </w:p>
    <w:p>
      <w:pPr>
        <w:spacing w:line="276" w:lineRule="auto" w:before="0"/>
        <w:ind w:left="100" w:right="25" w:firstLine="0"/>
        <w:jc w:val="left"/>
        <w:rPr>
          <w:sz w:val="18"/>
        </w:rPr>
      </w:pPr>
      <w:r>
        <w:rPr>
          <w:rFonts w:ascii="Calibri" w:hAnsi="Calibri"/>
          <w:color w:val="231F20"/>
          <w:w w:val="110"/>
          <w:sz w:val="18"/>
        </w:rPr>
        <w:t>nota: </w:t>
      </w:r>
      <w:r>
        <w:rPr>
          <w:color w:val="231F20"/>
          <w:w w:val="110"/>
          <w:sz w:val="18"/>
        </w:rPr>
        <w:t>tasa de acumulación equivale a la tasa de crecimiento del capital neto. El consumo privado se midió como porcentaje del pib.</w:t>
      </w:r>
    </w:p>
    <w:p>
      <w:pPr>
        <w:spacing w:line="276" w:lineRule="auto" w:before="9"/>
        <w:ind w:left="100" w:right="25" w:firstLine="0"/>
        <w:jc w:val="left"/>
        <w:rPr>
          <w:sz w:val="18"/>
        </w:rPr>
      </w:pPr>
      <w:r>
        <w:rPr>
          <w:rFonts w:ascii="Calibri" w:hAnsi="Calibri"/>
          <w:color w:val="231F20"/>
          <w:w w:val="110"/>
          <w:sz w:val="18"/>
        </w:rPr>
        <w:t>fuente: </w:t>
      </w:r>
      <w:r>
        <w:rPr>
          <w:color w:val="231F20"/>
          <w:w w:val="110"/>
          <w:sz w:val="18"/>
        </w:rPr>
        <w:t>elaboración propia con base en ameco, Comunidad Económica  Europea, 2011.</w:t>
      </w:r>
    </w:p>
    <w:p>
      <w:pPr>
        <w:pStyle w:val="BodyText"/>
        <w:rPr>
          <w:sz w:val="18"/>
        </w:rPr>
      </w:pPr>
    </w:p>
    <w:p>
      <w:pPr>
        <w:pStyle w:val="BodyText"/>
        <w:spacing w:before="6"/>
        <w:rPr>
          <w:sz w:val="14"/>
        </w:rPr>
      </w:pPr>
    </w:p>
    <w:p>
      <w:pPr>
        <w:pStyle w:val="BodyText"/>
        <w:spacing w:line="261" w:lineRule="auto"/>
        <w:ind w:left="100" w:right="113" w:firstLine="240"/>
        <w:jc w:val="both"/>
      </w:pPr>
      <w:r>
        <w:rPr>
          <w:color w:val="231F20"/>
          <w:w w:val="110"/>
        </w:rPr>
        <w:t>El análisis en relación con los objetivos perseguidos por el</w:t>
      </w:r>
      <w:r>
        <w:rPr>
          <w:color w:val="231F20"/>
          <w:spacing w:val="-7"/>
          <w:w w:val="110"/>
        </w:rPr>
        <w:t> </w:t>
      </w:r>
      <w:r>
        <w:rPr>
          <w:color w:val="231F20"/>
          <w:w w:val="110"/>
        </w:rPr>
        <w:t>mode- lo neoliberal, desmiente su agotamiento como estrategia dirigida a revertir la caída de la tasa de ganancia menguada en la etapa ante- rior a su instauración, a pesar de la crisis actual. Ciertamente, desde otras</w:t>
      </w:r>
      <w:r>
        <w:rPr>
          <w:color w:val="231F20"/>
          <w:spacing w:val="36"/>
          <w:w w:val="110"/>
        </w:rPr>
        <w:t> </w:t>
      </w:r>
      <w:r>
        <w:rPr>
          <w:color w:val="231F20"/>
          <w:w w:val="110"/>
        </w:rPr>
        <w:t>perspectivas,</w:t>
      </w:r>
      <w:r>
        <w:rPr>
          <w:color w:val="231F20"/>
          <w:spacing w:val="36"/>
          <w:w w:val="110"/>
        </w:rPr>
        <w:t> </w:t>
      </w:r>
      <w:r>
        <w:rPr>
          <w:color w:val="231F20"/>
          <w:w w:val="110"/>
        </w:rPr>
        <w:t>las</w:t>
      </w:r>
      <w:r>
        <w:rPr>
          <w:color w:val="231F20"/>
          <w:spacing w:val="36"/>
          <w:w w:val="110"/>
        </w:rPr>
        <w:t> </w:t>
      </w:r>
      <w:r>
        <w:rPr>
          <w:color w:val="231F20"/>
          <w:w w:val="110"/>
        </w:rPr>
        <w:t>conclusiones</w:t>
      </w:r>
      <w:r>
        <w:rPr>
          <w:color w:val="231F20"/>
          <w:spacing w:val="36"/>
          <w:w w:val="110"/>
        </w:rPr>
        <w:t> </w:t>
      </w:r>
      <w:r>
        <w:rPr>
          <w:color w:val="231F20"/>
          <w:w w:val="110"/>
        </w:rPr>
        <w:t>pudieran</w:t>
      </w:r>
      <w:r>
        <w:rPr>
          <w:color w:val="231F20"/>
          <w:spacing w:val="36"/>
          <w:w w:val="110"/>
        </w:rPr>
        <w:t> </w:t>
      </w:r>
      <w:r>
        <w:rPr>
          <w:color w:val="231F20"/>
          <w:w w:val="110"/>
        </w:rPr>
        <w:t>ser</w:t>
      </w:r>
      <w:r>
        <w:rPr>
          <w:color w:val="231F20"/>
          <w:spacing w:val="36"/>
          <w:w w:val="110"/>
        </w:rPr>
        <w:t> </w:t>
      </w:r>
      <w:r>
        <w:rPr>
          <w:color w:val="231F20"/>
          <w:w w:val="110"/>
        </w:rPr>
        <w:t>diferentes.</w:t>
      </w:r>
      <w:r>
        <w:rPr>
          <w:color w:val="231F20"/>
          <w:spacing w:val="36"/>
          <w:w w:val="110"/>
        </w:rPr>
        <w:t> </w:t>
      </w:r>
      <w:r>
        <w:rPr>
          <w:color w:val="231F20"/>
          <w:w w:val="110"/>
        </w:rPr>
        <w:t>Cabe</w:t>
      </w:r>
    </w:p>
    <w:p>
      <w:pPr>
        <w:spacing w:after="0" w:line="261" w:lineRule="auto"/>
        <w:jc w:val="both"/>
        <w:sectPr>
          <w:type w:val="continuous"/>
          <w:pgSz w:w="7640" w:h="11900"/>
          <w:pgMar w:top="980" w:bottom="280" w:left="780" w:right="640"/>
        </w:sectPr>
      </w:pPr>
    </w:p>
    <w:p>
      <w:pPr>
        <w:pStyle w:val="BodyText"/>
        <w:spacing w:before="8"/>
        <w:rPr>
          <w:sz w:val="8"/>
        </w:rPr>
      </w:pPr>
    </w:p>
    <w:p>
      <w:pPr>
        <w:pStyle w:val="BodyText"/>
        <w:spacing w:line="261" w:lineRule="auto" w:before="67"/>
        <w:ind w:left="100" w:right="113"/>
        <w:jc w:val="right"/>
      </w:pPr>
      <w:r>
        <w:rPr>
          <w:color w:val="231F20"/>
          <w:w w:val="105"/>
        </w:rPr>
        <w:t>señalar que uno de los postulados centrales de la</w:t>
      </w:r>
      <w:r>
        <w:rPr>
          <w:color w:val="231F20"/>
          <w:spacing w:val="38"/>
          <w:w w:val="105"/>
        </w:rPr>
        <w:t> </w:t>
      </w:r>
      <w:r>
        <w:rPr>
          <w:color w:val="231F20"/>
          <w:w w:val="105"/>
        </w:rPr>
        <w:t>teoría</w:t>
      </w:r>
      <w:r>
        <w:rPr>
          <w:color w:val="231F20"/>
          <w:spacing w:val="4"/>
          <w:w w:val="105"/>
        </w:rPr>
        <w:t> </w:t>
      </w:r>
      <w:r>
        <w:rPr>
          <w:color w:val="231F20"/>
          <w:w w:val="105"/>
        </w:rPr>
        <w:t>marxista,</w:t>
      </w:r>
      <w:r>
        <w:rPr>
          <w:color w:val="231F20"/>
          <w:w w:val="103"/>
        </w:rPr>
        <w:t> </w:t>
      </w:r>
      <w:r>
        <w:rPr>
          <w:color w:val="231F20"/>
          <w:w w:val="105"/>
        </w:rPr>
        <w:t>considerada como una de las contribuciones más </w:t>
      </w:r>
      <w:r>
        <w:rPr>
          <w:color w:val="231F20"/>
          <w:spacing w:val="31"/>
          <w:w w:val="105"/>
        </w:rPr>
        <w:t> </w:t>
      </w:r>
      <w:r>
        <w:rPr>
          <w:color w:val="231F20"/>
          <w:w w:val="105"/>
        </w:rPr>
        <w:t>importantes </w:t>
      </w:r>
      <w:r>
        <w:rPr>
          <w:color w:val="231F20"/>
          <w:spacing w:val="19"/>
          <w:w w:val="105"/>
        </w:rPr>
        <w:t> </w:t>
      </w:r>
      <w:r>
        <w:rPr>
          <w:color w:val="231F20"/>
          <w:w w:val="105"/>
        </w:rPr>
        <w:t>de</w:t>
      </w:r>
      <w:r>
        <w:rPr>
          <w:color w:val="231F20"/>
          <w:w w:val="114"/>
        </w:rPr>
        <w:t> </w:t>
      </w:r>
      <w:r>
        <w:rPr>
          <w:color w:val="231F20"/>
          <w:w w:val="105"/>
        </w:rPr>
        <w:t>Marx recogida en los </w:t>
      </w:r>
      <w:r>
        <w:rPr>
          <w:i/>
          <w:color w:val="231F20"/>
          <w:w w:val="105"/>
        </w:rPr>
        <w:t>Grundisse </w:t>
      </w:r>
      <w:r>
        <w:rPr>
          <w:color w:val="231F20"/>
          <w:w w:val="105"/>
        </w:rPr>
        <w:t>(Marx, 1987; Harman,</w:t>
      </w:r>
      <w:r>
        <w:rPr>
          <w:color w:val="231F20"/>
          <w:spacing w:val="10"/>
          <w:w w:val="105"/>
        </w:rPr>
        <w:t> </w:t>
      </w:r>
      <w:r>
        <w:rPr>
          <w:color w:val="231F20"/>
          <w:w w:val="105"/>
        </w:rPr>
        <w:t>2008;</w:t>
      </w:r>
      <w:r>
        <w:rPr>
          <w:color w:val="231F20"/>
          <w:spacing w:val="21"/>
          <w:w w:val="105"/>
        </w:rPr>
        <w:t> </w:t>
      </w:r>
      <w:r>
        <w:rPr>
          <w:color w:val="231F20"/>
          <w:w w:val="105"/>
        </w:rPr>
        <w:t>Sotelo,</w:t>
      </w:r>
      <w:r>
        <w:rPr>
          <w:color w:val="231F20"/>
          <w:w w:val="106"/>
        </w:rPr>
        <w:t> </w:t>
      </w:r>
      <w:r>
        <w:rPr>
          <w:color w:val="231F20"/>
          <w:w w:val="105"/>
        </w:rPr>
        <w:t>2010),</w:t>
      </w:r>
      <w:r>
        <w:rPr>
          <w:color w:val="231F20"/>
          <w:spacing w:val="38"/>
          <w:w w:val="105"/>
        </w:rPr>
        <w:t> </w:t>
      </w:r>
      <w:r>
        <w:rPr>
          <w:color w:val="231F20"/>
          <w:w w:val="105"/>
        </w:rPr>
        <w:t>se</w:t>
      </w:r>
      <w:r>
        <w:rPr>
          <w:color w:val="231F20"/>
          <w:spacing w:val="38"/>
          <w:w w:val="105"/>
        </w:rPr>
        <w:t> </w:t>
      </w:r>
      <w:r>
        <w:rPr>
          <w:color w:val="231F20"/>
          <w:w w:val="105"/>
        </w:rPr>
        <w:t>refiere</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tendencia</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caída</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tasa</w:t>
      </w:r>
      <w:r>
        <w:rPr>
          <w:color w:val="231F20"/>
          <w:spacing w:val="38"/>
          <w:w w:val="105"/>
        </w:rPr>
        <w:t> </w:t>
      </w:r>
      <w:r>
        <w:rPr>
          <w:color w:val="231F20"/>
          <w:w w:val="105"/>
        </w:rPr>
        <w:t>de</w:t>
      </w:r>
      <w:r>
        <w:rPr>
          <w:color w:val="231F20"/>
          <w:spacing w:val="38"/>
          <w:w w:val="105"/>
        </w:rPr>
        <w:t> </w:t>
      </w:r>
      <w:r>
        <w:rPr>
          <w:color w:val="231F20"/>
          <w:w w:val="105"/>
        </w:rPr>
        <w:t>ganancia</w:t>
      </w:r>
      <w:r>
        <w:rPr>
          <w:color w:val="231F20"/>
          <w:spacing w:val="38"/>
          <w:w w:val="105"/>
        </w:rPr>
        <w:t> </w:t>
      </w:r>
      <w:r>
        <w:rPr>
          <w:color w:val="231F20"/>
          <w:w w:val="105"/>
        </w:rPr>
        <w:t>o</w:t>
      </w:r>
      <w:r>
        <w:rPr>
          <w:color w:val="231F20"/>
          <w:w w:val="112"/>
        </w:rPr>
        <w:t> </w:t>
      </w:r>
      <w:r>
        <w:rPr>
          <w:color w:val="231F20"/>
          <w:w w:val="105"/>
        </w:rPr>
        <w:t>tasa de beneficio, entendida como el cociente de la</w:t>
      </w:r>
      <w:r>
        <w:rPr>
          <w:color w:val="231F20"/>
          <w:spacing w:val="38"/>
          <w:w w:val="105"/>
        </w:rPr>
        <w:t> </w:t>
      </w:r>
      <w:r>
        <w:rPr>
          <w:color w:val="231F20"/>
          <w:w w:val="105"/>
        </w:rPr>
        <w:t>proporción</w:t>
      </w:r>
      <w:r>
        <w:rPr>
          <w:color w:val="231F20"/>
          <w:spacing w:val="50"/>
          <w:w w:val="105"/>
        </w:rPr>
        <w:t> </w:t>
      </w:r>
      <w:r>
        <w:rPr>
          <w:color w:val="231F20"/>
          <w:w w:val="105"/>
        </w:rPr>
        <w:t>de</w:t>
      </w:r>
      <w:r>
        <w:rPr>
          <w:color w:val="231F20"/>
          <w:w w:val="114"/>
        </w:rPr>
        <w:t> </w:t>
      </w:r>
      <w:r>
        <w:rPr>
          <w:color w:val="231F20"/>
          <w:w w:val="105"/>
        </w:rPr>
        <w:t>utilidades</w:t>
      </w:r>
      <w:r>
        <w:rPr>
          <w:color w:val="231F20"/>
          <w:spacing w:val="35"/>
          <w:w w:val="105"/>
        </w:rPr>
        <w:t> </w:t>
      </w:r>
      <w:r>
        <w:rPr>
          <w:color w:val="231F20"/>
          <w:w w:val="105"/>
        </w:rPr>
        <w:t>por</w:t>
      </w:r>
      <w:r>
        <w:rPr>
          <w:color w:val="231F20"/>
          <w:spacing w:val="35"/>
          <w:w w:val="105"/>
        </w:rPr>
        <w:t> </w:t>
      </w:r>
      <w:r>
        <w:rPr>
          <w:color w:val="231F20"/>
          <w:w w:val="105"/>
        </w:rPr>
        <w:t>capital</w:t>
      </w:r>
      <w:r>
        <w:rPr>
          <w:color w:val="231F20"/>
          <w:spacing w:val="35"/>
          <w:w w:val="105"/>
        </w:rPr>
        <w:t> </w:t>
      </w:r>
      <w:r>
        <w:rPr>
          <w:color w:val="231F20"/>
          <w:w w:val="105"/>
        </w:rPr>
        <w:t>invertido.</w:t>
      </w:r>
      <w:r>
        <w:rPr>
          <w:color w:val="231F20"/>
          <w:spacing w:val="35"/>
          <w:w w:val="105"/>
        </w:rPr>
        <w:t> </w:t>
      </w:r>
      <w:r>
        <w:rPr>
          <w:color w:val="231F20"/>
          <w:w w:val="105"/>
        </w:rPr>
        <w:t>El</w:t>
      </w:r>
      <w:r>
        <w:rPr>
          <w:color w:val="231F20"/>
          <w:spacing w:val="35"/>
          <w:w w:val="105"/>
        </w:rPr>
        <w:t> </w:t>
      </w:r>
      <w:r>
        <w:rPr>
          <w:color w:val="231F20"/>
          <w:w w:val="105"/>
        </w:rPr>
        <w:t>presupuesto</w:t>
      </w:r>
      <w:r>
        <w:rPr>
          <w:color w:val="231F20"/>
          <w:spacing w:val="35"/>
          <w:w w:val="105"/>
        </w:rPr>
        <w:t> </w:t>
      </w:r>
      <w:r>
        <w:rPr>
          <w:color w:val="231F20"/>
          <w:w w:val="105"/>
        </w:rPr>
        <w:t>teórico</w:t>
      </w:r>
      <w:r>
        <w:rPr>
          <w:color w:val="231F20"/>
          <w:spacing w:val="35"/>
          <w:w w:val="105"/>
        </w:rPr>
        <w:t> </w:t>
      </w:r>
      <w:r>
        <w:rPr>
          <w:color w:val="231F20"/>
          <w:w w:val="105"/>
        </w:rPr>
        <w:t>es</w:t>
      </w:r>
      <w:r>
        <w:rPr>
          <w:color w:val="231F20"/>
          <w:spacing w:val="35"/>
          <w:w w:val="105"/>
        </w:rPr>
        <w:t> </w:t>
      </w:r>
      <w:r>
        <w:rPr>
          <w:color w:val="231F20"/>
          <w:w w:val="105"/>
        </w:rPr>
        <w:t>que</w:t>
      </w:r>
      <w:r>
        <w:rPr>
          <w:color w:val="231F20"/>
          <w:spacing w:val="35"/>
          <w:w w:val="105"/>
        </w:rPr>
        <w:t> </w:t>
      </w:r>
      <w:r>
        <w:rPr>
          <w:color w:val="231F20"/>
          <w:w w:val="105"/>
        </w:rPr>
        <w:t>existe</w:t>
      </w:r>
      <w:r>
        <w:rPr>
          <w:color w:val="231F20"/>
          <w:w w:val="106"/>
        </w:rPr>
        <w:t> </w:t>
      </w:r>
      <w:r>
        <w:rPr>
          <w:color w:val="231F20"/>
          <w:w w:val="105"/>
        </w:rPr>
        <w:t>una contradicción intrínseca del desarrollo capitalista.</w:t>
      </w:r>
      <w:r>
        <w:rPr>
          <w:color w:val="231F20"/>
          <w:spacing w:val="-11"/>
          <w:w w:val="105"/>
        </w:rPr>
        <w:t> </w:t>
      </w:r>
      <w:r>
        <w:rPr>
          <w:color w:val="231F20"/>
          <w:w w:val="105"/>
        </w:rPr>
        <w:t>Como</w:t>
      </w:r>
      <w:r>
        <w:rPr>
          <w:color w:val="231F20"/>
          <w:spacing w:val="41"/>
          <w:w w:val="105"/>
        </w:rPr>
        <w:t> </w:t>
      </w:r>
      <w:r>
        <w:rPr>
          <w:color w:val="231F20"/>
          <w:w w:val="105"/>
        </w:rPr>
        <w:t>resulta</w:t>
      </w:r>
      <w:r>
        <w:rPr>
          <w:color w:val="231F20"/>
          <w:w w:val="109"/>
        </w:rPr>
        <w:t> </w:t>
      </w:r>
      <w:r>
        <w:rPr>
          <w:color w:val="231F20"/>
          <w:w w:val="105"/>
        </w:rPr>
        <w:t>lógico, la maximización de la ganancia es  una</w:t>
      </w:r>
      <w:r>
        <w:rPr>
          <w:color w:val="231F20"/>
          <w:spacing w:val="5"/>
          <w:w w:val="105"/>
        </w:rPr>
        <w:t> </w:t>
      </w:r>
      <w:r>
        <w:rPr>
          <w:color w:val="231F20"/>
          <w:w w:val="105"/>
        </w:rPr>
        <w:t>condición</w:t>
      </w:r>
      <w:r>
        <w:rPr>
          <w:color w:val="231F20"/>
          <w:spacing w:val="46"/>
          <w:w w:val="105"/>
        </w:rPr>
        <w:t> </w:t>
      </w:r>
      <w:r>
        <w:rPr>
          <w:color w:val="231F20"/>
          <w:w w:val="105"/>
        </w:rPr>
        <w:t>necesaria</w:t>
      </w:r>
      <w:r>
        <w:rPr>
          <w:color w:val="231F20"/>
          <w:w w:val="109"/>
        </w:rPr>
        <w:t> </w:t>
      </w:r>
      <w:r>
        <w:rPr>
          <w:color w:val="231F20"/>
          <w:w w:val="105"/>
        </w:rPr>
        <w:t>para</w:t>
      </w:r>
      <w:r>
        <w:rPr>
          <w:color w:val="231F20"/>
          <w:spacing w:val="37"/>
          <w:w w:val="105"/>
        </w:rPr>
        <w:t> </w:t>
      </w:r>
      <w:r>
        <w:rPr>
          <w:color w:val="231F20"/>
          <w:w w:val="105"/>
        </w:rPr>
        <w:t>la</w:t>
      </w:r>
      <w:r>
        <w:rPr>
          <w:color w:val="231F20"/>
          <w:spacing w:val="37"/>
          <w:w w:val="105"/>
        </w:rPr>
        <w:t> </w:t>
      </w:r>
      <w:r>
        <w:rPr>
          <w:color w:val="231F20"/>
          <w:w w:val="105"/>
        </w:rPr>
        <w:t>acumulación</w:t>
      </w:r>
      <w:r>
        <w:rPr>
          <w:color w:val="231F20"/>
          <w:spacing w:val="37"/>
          <w:w w:val="105"/>
        </w:rPr>
        <w:t> </w:t>
      </w:r>
      <w:r>
        <w:rPr>
          <w:color w:val="231F20"/>
          <w:w w:val="105"/>
        </w:rPr>
        <w:t>de</w:t>
      </w:r>
      <w:r>
        <w:rPr>
          <w:color w:val="231F20"/>
          <w:spacing w:val="37"/>
          <w:w w:val="105"/>
        </w:rPr>
        <w:t> </w:t>
      </w:r>
      <w:r>
        <w:rPr>
          <w:color w:val="231F20"/>
          <w:w w:val="105"/>
        </w:rPr>
        <w:t>capitales.</w:t>
      </w:r>
      <w:r>
        <w:rPr>
          <w:color w:val="231F20"/>
          <w:spacing w:val="37"/>
          <w:w w:val="105"/>
        </w:rPr>
        <w:t> </w:t>
      </w:r>
      <w:r>
        <w:rPr>
          <w:color w:val="231F20"/>
          <w:w w:val="105"/>
        </w:rPr>
        <w:t>No</w:t>
      </w:r>
      <w:r>
        <w:rPr>
          <w:color w:val="231F20"/>
          <w:spacing w:val="37"/>
          <w:w w:val="105"/>
        </w:rPr>
        <w:t> </w:t>
      </w:r>
      <w:r>
        <w:rPr>
          <w:color w:val="231F20"/>
          <w:w w:val="105"/>
        </w:rPr>
        <w:t>obstante,</w:t>
      </w:r>
      <w:r>
        <w:rPr>
          <w:color w:val="231F20"/>
          <w:spacing w:val="37"/>
          <w:w w:val="105"/>
        </w:rPr>
        <w:t> </w:t>
      </w:r>
      <w:r>
        <w:rPr>
          <w:color w:val="231F20"/>
          <w:w w:val="105"/>
        </w:rPr>
        <w:t>cuanto</w:t>
      </w:r>
      <w:r>
        <w:rPr>
          <w:color w:val="231F20"/>
          <w:spacing w:val="37"/>
          <w:w w:val="105"/>
        </w:rPr>
        <w:t> </w:t>
      </w:r>
      <w:r>
        <w:rPr>
          <w:color w:val="231F20"/>
          <w:w w:val="105"/>
        </w:rPr>
        <w:t>más</w:t>
      </w:r>
      <w:r>
        <w:rPr>
          <w:color w:val="231F20"/>
          <w:spacing w:val="37"/>
          <w:w w:val="105"/>
        </w:rPr>
        <w:t> </w:t>
      </w:r>
      <w:r>
        <w:rPr>
          <w:color w:val="231F20"/>
          <w:w w:val="105"/>
        </w:rPr>
        <w:t>se</w:t>
      </w:r>
      <w:r>
        <w:rPr>
          <w:color w:val="231F20"/>
          <w:spacing w:val="37"/>
          <w:w w:val="105"/>
        </w:rPr>
        <w:t> </w:t>
      </w:r>
      <w:r>
        <w:rPr>
          <w:color w:val="231F20"/>
          <w:w w:val="105"/>
        </w:rPr>
        <w:t>desa-</w:t>
      </w:r>
      <w:r>
        <w:rPr>
          <w:color w:val="231F20"/>
          <w:w w:val="72"/>
        </w:rPr>
        <w:t> </w:t>
      </w:r>
      <w:r>
        <w:rPr>
          <w:color w:val="231F20"/>
          <w:w w:val="105"/>
        </w:rPr>
        <w:t>rrolla la acumulación, resulta más dificultoso sostener</w:t>
      </w:r>
      <w:r>
        <w:rPr>
          <w:color w:val="231F20"/>
          <w:spacing w:val="20"/>
          <w:w w:val="105"/>
        </w:rPr>
        <w:t> </w:t>
      </w:r>
      <w:r>
        <w:rPr>
          <w:color w:val="231F20"/>
          <w:w w:val="105"/>
        </w:rPr>
        <w:t>e</w:t>
      </w:r>
      <w:r>
        <w:rPr>
          <w:color w:val="231F20"/>
          <w:spacing w:val="33"/>
          <w:w w:val="105"/>
        </w:rPr>
        <w:t> </w:t>
      </w:r>
      <w:r>
        <w:rPr>
          <w:color w:val="231F20"/>
          <w:w w:val="105"/>
        </w:rPr>
        <w:t>incrementar</w:t>
      </w:r>
      <w:r>
        <w:rPr>
          <w:color w:val="231F20"/>
          <w:w w:val="113"/>
        </w:rPr>
        <w:t> </w:t>
      </w:r>
      <w:r>
        <w:rPr>
          <w:color w:val="231F20"/>
          <w:w w:val="105"/>
        </w:rPr>
        <w:t>los ritmos de crecimiento de las  ganancias  deseadas.</w:t>
      </w:r>
      <w:r>
        <w:rPr>
          <w:color w:val="231F20"/>
          <w:spacing w:val="14"/>
          <w:w w:val="105"/>
        </w:rPr>
        <w:t> </w:t>
      </w:r>
      <w:r>
        <w:rPr>
          <w:color w:val="231F20"/>
          <w:w w:val="105"/>
        </w:rPr>
        <w:t>Marx</w:t>
      </w:r>
      <w:r>
        <w:rPr>
          <w:color w:val="231F20"/>
          <w:spacing w:val="47"/>
          <w:w w:val="105"/>
        </w:rPr>
        <w:t> </w:t>
      </w:r>
      <w:r>
        <w:rPr>
          <w:color w:val="231F20"/>
          <w:w w:val="105"/>
        </w:rPr>
        <w:t>plantea</w:t>
      </w:r>
      <w:r>
        <w:rPr>
          <w:color w:val="231F20"/>
          <w:w w:val="112"/>
        </w:rPr>
        <w:t> </w:t>
      </w:r>
      <w:r>
        <w:rPr>
          <w:color w:val="231F20"/>
          <w:w w:val="105"/>
        </w:rPr>
        <w:t>que</w:t>
      </w:r>
      <w:r>
        <w:rPr>
          <w:color w:val="231F20"/>
          <w:spacing w:val="26"/>
          <w:w w:val="105"/>
        </w:rPr>
        <w:t> </w:t>
      </w:r>
      <w:r>
        <w:rPr>
          <w:color w:val="231F20"/>
          <w:w w:val="105"/>
        </w:rPr>
        <w:t>en</w:t>
      </w:r>
      <w:r>
        <w:rPr>
          <w:color w:val="231F20"/>
          <w:spacing w:val="26"/>
          <w:w w:val="105"/>
        </w:rPr>
        <w:t> </w:t>
      </w:r>
      <w:r>
        <w:rPr>
          <w:color w:val="231F20"/>
          <w:w w:val="105"/>
        </w:rPr>
        <w:t>esos</w:t>
      </w:r>
      <w:r>
        <w:rPr>
          <w:color w:val="231F20"/>
          <w:spacing w:val="26"/>
          <w:w w:val="105"/>
        </w:rPr>
        <w:t> </w:t>
      </w:r>
      <w:r>
        <w:rPr>
          <w:color w:val="231F20"/>
          <w:w w:val="105"/>
        </w:rPr>
        <w:t>casos</w:t>
      </w:r>
      <w:r>
        <w:rPr>
          <w:color w:val="231F20"/>
          <w:spacing w:val="26"/>
          <w:w w:val="105"/>
        </w:rPr>
        <w:t> </w:t>
      </w:r>
      <w:r>
        <w:rPr>
          <w:color w:val="231F20"/>
          <w:w w:val="105"/>
        </w:rPr>
        <w:t>el</w:t>
      </w:r>
      <w:r>
        <w:rPr>
          <w:color w:val="231F20"/>
          <w:spacing w:val="26"/>
          <w:w w:val="105"/>
        </w:rPr>
        <w:t> </w:t>
      </w:r>
      <w:r>
        <w:rPr>
          <w:color w:val="231F20"/>
          <w:w w:val="105"/>
        </w:rPr>
        <w:t>capital</w:t>
      </w:r>
      <w:r>
        <w:rPr>
          <w:color w:val="231F20"/>
          <w:spacing w:val="26"/>
          <w:w w:val="105"/>
        </w:rPr>
        <w:t> </w:t>
      </w:r>
      <w:r>
        <w:rPr>
          <w:color w:val="231F20"/>
          <w:w w:val="105"/>
        </w:rPr>
        <w:t>“entra</w:t>
      </w:r>
      <w:r>
        <w:rPr>
          <w:color w:val="231F20"/>
          <w:spacing w:val="26"/>
          <w:w w:val="105"/>
        </w:rPr>
        <w:t> </w:t>
      </w:r>
      <w:r>
        <w:rPr>
          <w:color w:val="231F20"/>
          <w:w w:val="105"/>
        </w:rPr>
        <w:t>en</w:t>
      </w:r>
      <w:r>
        <w:rPr>
          <w:color w:val="231F20"/>
          <w:spacing w:val="26"/>
          <w:w w:val="105"/>
        </w:rPr>
        <w:t> </w:t>
      </w:r>
      <w:r>
        <w:rPr>
          <w:color w:val="231F20"/>
          <w:w w:val="105"/>
        </w:rPr>
        <w:t>conflicto</w:t>
      </w:r>
      <w:r>
        <w:rPr>
          <w:color w:val="231F20"/>
          <w:spacing w:val="26"/>
          <w:w w:val="105"/>
        </w:rPr>
        <w:t> </w:t>
      </w:r>
      <w:r>
        <w:rPr>
          <w:color w:val="231F20"/>
          <w:w w:val="105"/>
        </w:rPr>
        <w:t>con</w:t>
      </w:r>
      <w:r>
        <w:rPr>
          <w:color w:val="231F20"/>
          <w:spacing w:val="26"/>
          <w:w w:val="105"/>
        </w:rPr>
        <w:t> </w:t>
      </w:r>
      <w:r>
        <w:rPr>
          <w:color w:val="231F20"/>
          <w:w w:val="105"/>
        </w:rPr>
        <w:t>las</w:t>
      </w:r>
      <w:r>
        <w:rPr>
          <w:color w:val="231F20"/>
          <w:spacing w:val="26"/>
          <w:w w:val="105"/>
        </w:rPr>
        <w:t> </w:t>
      </w:r>
      <w:r>
        <w:rPr>
          <w:color w:val="231F20"/>
          <w:w w:val="105"/>
        </w:rPr>
        <w:t>posibilidades</w:t>
      </w:r>
      <w:r>
        <w:rPr>
          <w:color w:val="231F20"/>
          <w:w w:val="107"/>
        </w:rPr>
        <w:t> </w:t>
      </w:r>
      <w:r>
        <w:rPr>
          <w:color w:val="231F20"/>
          <w:w w:val="105"/>
        </w:rPr>
        <w:t>de continuar su desenvolvimiento”, y que en dichas</w:t>
      </w:r>
      <w:r>
        <w:rPr>
          <w:color w:val="231F20"/>
          <w:spacing w:val="49"/>
          <w:w w:val="105"/>
        </w:rPr>
        <w:t> </w:t>
      </w:r>
      <w:r>
        <w:rPr>
          <w:color w:val="231F20"/>
          <w:w w:val="105"/>
        </w:rPr>
        <w:t>circunstancias,</w:t>
      </w:r>
      <w:r>
        <w:rPr>
          <w:color w:val="231F20"/>
          <w:spacing w:val="19"/>
          <w:w w:val="105"/>
        </w:rPr>
        <w:t> </w:t>
      </w:r>
      <w:r>
        <w:rPr>
          <w:color w:val="231F20"/>
          <w:w w:val="105"/>
        </w:rPr>
        <w:t>el</w:t>
      </w:r>
      <w:r>
        <w:rPr>
          <w:color w:val="231F20"/>
          <w:w w:val="108"/>
        </w:rPr>
        <w:t> </w:t>
      </w:r>
      <w:r>
        <w:rPr>
          <w:color w:val="231F20"/>
          <w:w w:val="105"/>
        </w:rPr>
        <w:t>capitalismo genera sus propias crisis de forma intrínseca e   </w:t>
      </w:r>
      <w:r>
        <w:rPr>
          <w:color w:val="231F20"/>
          <w:spacing w:val="19"/>
          <w:w w:val="105"/>
        </w:rPr>
        <w:t> </w:t>
      </w:r>
      <w:r>
        <w:rPr>
          <w:color w:val="231F20"/>
          <w:w w:val="105"/>
        </w:rPr>
        <w:t>inevitable.</w:t>
      </w:r>
    </w:p>
    <w:p>
      <w:pPr>
        <w:pStyle w:val="BodyText"/>
        <w:spacing w:line="261" w:lineRule="auto"/>
        <w:ind w:left="100" w:right="113" w:firstLine="240"/>
        <w:jc w:val="both"/>
      </w:pPr>
      <w:r>
        <w:rPr>
          <w:color w:val="231F20"/>
          <w:w w:val="105"/>
        </w:rPr>
        <w:t>El incremento de la ganancia es el fundamento inicial y último de   la producción capitalista.</w:t>
      </w:r>
      <w:r>
        <w:rPr>
          <w:color w:val="231F20"/>
          <w:w w:val="105"/>
          <w:position w:val="6"/>
          <w:sz w:val="13"/>
        </w:rPr>
        <w:t>2 </w:t>
      </w:r>
      <w:r>
        <w:rPr>
          <w:color w:val="231F20"/>
          <w:w w:val="105"/>
        </w:rPr>
        <w:t>El trabajo es la única fuente de valor en el sistema capitalista. La tasa de ganancia o beneficio mide la rentabili- dad alcanzada en relación con el total invertido en un determinado  ciclo de producción. Según Marx (1987), la tasa de ganancia repre- senta la relación entre el plusvalor (p) alcanzado y la inversión des- tinada en capital constante (c) y el capital variable (</w:t>
      </w:r>
      <w:r>
        <w:rPr>
          <w:i/>
          <w:color w:val="231F20"/>
          <w:w w:val="105"/>
        </w:rPr>
        <w:t>G’ </w:t>
      </w:r>
      <w:r>
        <w:rPr>
          <w:color w:val="231F20"/>
          <w:w w:val="105"/>
        </w:rPr>
        <w:t>= </w:t>
      </w:r>
      <w:r>
        <w:rPr>
          <w:i/>
          <w:color w:val="231F20"/>
          <w:w w:val="105"/>
        </w:rPr>
        <w:t>p </w:t>
      </w:r>
      <w:r>
        <w:rPr>
          <w:color w:val="231F20"/>
          <w:w w:val="180"/>
        </w:rPr>
        <w:t>/ </w:t>
      </w:r>
      <w:r>
        <w:rPr>
          <w:i/>
          <w:color w:val="231F20"/>
          <w:w w:val="105"/>
        </w:rPr>
        <w:t>c </w:t>
      </w:r>
      <w:r>
        <w:rPr>
          <w:color w:val="231F20"/>
          <w:w w:val="105"/>
        </w:rPr>
        <w:t>+ </w:t>
      </w:r>
      <w:r>
        <w:rPr>
          <w:i/>
          <w:color w:val="231F20"/>
          <w:w w:val="105"/>
        </w:rPr>
        <w:t>v</w:t>
      </w:r>
      <w:r>
        <w:rPr>
          <w:color w:val="231F20"/>
          <w:w w:val="105"/>
        </w:rPr>
        <w:t>).   No es exactamente igual que la tasa de explotación (</w:t>
      </w:r>
      <w:r>
        <w:rPr>
          <w:i/>
          <w:color w:val="231F20"/>
          <w:w w:val="105"/>
        </w:rPr>
        <w:t>P’ </w:t>
      </w:r>
      <w:r>
        <w:rPr>
          <w:color w:val="231F20"/>
          <w:w w:val="105"/>
        </w:rPr>
        <w:t>= </w:t>
      </w:r>
      <w:r>
        <w:rPr>
          <w:i/>
          <w:color w:val="231F20"/>
          <w:w w:val="105"/>
        </w:rPr>
        <w:t>p </w:t>
      </w:r>
      <w:r>
        <w:rPr>
          <w:color w:val="231F20"/>
          <w:w w:val="180"/>
        </w:rPr>
        <w:t>/ </w:t>
      </w:r>
      <w:r>
        <w:rPr>
          <w:i/>
          <w:color w:val="231F20"/>
          <w:w w:val="105"/>
        </w:rPr>
        <w:t>v</w:t>
      </w:r>
      <w:r>
        <w:rPr>
          <w:color w:val="231F20"/>
          <w:w w:val="105"/>
        </w:rPr>
        <w:t>), que mide la rentabilidad de la fuerza de trabajo. La tasa de ganancia es directamente proporcional a la de plusvalía, aumentan o disminuyen correlativamente, pero es inversamente proporcional a la  composi- ción orgánica de capital (q), con base en la  siguiente  expresión  formal:</w:t>
      </w:r>
      <w:r>
        <w:rPr>
          <w:color w:val="231F20"/>
          <w:spacing w:val="15"/>
          <w:w w:val="105"/>
        </w:rPr>
        <w:t> </w:t>
      </w:r>
      <w:r>
        <w:rPr>
          <w:i/>
          <w:color w:val="231F20"/>
          <w:w w:val="105"/>
        </w:rPr>
        <w:t>q</w:t>
      </w:r>
      <w:r>
        <w:rPr>
          <w:i/>
          <w:color w:val="231F20"/>
          <w:spacing w:val="15"/>
          <w:w w:val="105"/>
        </w:rPr>
        <w:t> </w:t>
      </w:r>
      <w:r>
        <w:rPr>
          <w:color w:val="231F20"/>
          <w:w w:val="105"/>
        </w:rPr>
        <w:t>=</w:t>
      </w:r>
      <w:r>
        <w:rPr>
          <w:color w:val="231F20"/>
          <w:spacing w:val="15"/>
          <w:w w:val="105"/>
        </w:rPr>
        <w:t> </w:t>
      </w:r>
      <w:r>
        <w:rPr>
          <w:i/>
          <w:color w:val="231F20"/>
          <w:w w:val="105"/>
        </w:rPr>
        <w:t>C</w:t>
      </w:r>
      <w:r>
        <w:rPr>
          <w:i/>
          <w:color w:val="231F20"/>
          <w:spacing w:val="15"/>
          <w:w w:val="105"/>
        </w:rPr>
        <w:t> </w:t>
      </w:r>
      <w:r>
        <w:rPr>
          <w:color w:val="231F20"/>
          <w:w w:val="180"/>
        </w:rPr>
        <w:t>/</w:t>
      </w:r>
      <w:r>
        <w:rPr>
          <w:color w:val="231F20"/>
          <w:spacing w:val="-22"/>
          <w:w w:val="180"/>
        </w:rPr>
        <w:t> </w:t>
      </w:r>
      <w:r>
        <w:rPr>
          <w:color w:val="231F20"/>
          <w:w w:val="105"/>
        </w:rPr>
        <w:t>(</w:t>
      </w:r>
      <w:r>
        <w:rPr>
          <w:i/>
          <w:color w:val="231F20"/>
          <w:w w:val="105"/>
        </w:rPr>
        <w:t>c</w:t>
      </w:r>
      <w:r>
        <w:rPr>
          <w:i/>
          <w:color w:val="231F20"/>
          <w:spacing w:val="15"/>
          <w:w w:val="105"/>
        </w:rPr>
        <w:t> </w:t>
      </w:r>
      <w:r>
        <w:rPr>
          <w:color w:val="231F20"/>
          <w:w w:val="105"/>
        </w:rPr>
        <w:t>+</w:t>
      </w:r>
      <w:r>
        <w:rPr>
          <w:color w:val="231F20"/>
          <w:spacing w:val="15"/>
          <w:w w:val="105"/>
        </w:rPr>
        <w:t> </w:t>
      </w:r>
      <w:r>
        <w:rPr>
          <w:i/>
          <w:color w:val="231F20"/>
          <w:w w:val="105"/>
        </w:rPr>
        <w:t>v</w:t>
      </w:r>
      <w:r>
        <w:rPr>
          <w:color w:val="231F20"/>
          <w:w w:val="105"/>
        </w:rPr>
        <w:t>),</w:t>
      </w:r>
      <w:r>
        <w:rPr>
          <w:color w:val="231F20"/>
          <w:spacing w:val="15"/>
          <w:w w:val="105"/>
        </w:rPr>
        <w:t> </w:t>
      </w:r>
      <w:r>
        <w:rPr>
          <w:color w:val="231F20"/>
          <w:w w:val="105"/>
        </w:rPr>
        <w:t>equivalente</w:t>
      </w:r>
      <w:r>
        <w:rPr>
          <w:color w:val="231F20"/>
          <w:spacing w:val="15"/>
          <w:w w:val="105"/>
        </w:rPr>
        <w:t> </w:t>
      </w:r>
      <w:r>
        <w:rPr>
          <w:color w:val="231F20"/>
          <w:w w:val="105"/>
        </w:rPr>
        <w:t>al</w:t>
      </w:r>
      <w:r>
        <w:rPr>
          <w:color w:val="231F20"/>
          <w:spacing w:val="15"/>
          <w:w w:val="105"/>
        </w:rPr>
        <w:t> </w:t>
      </w:r>
      <w:r>
        <w:rPr>
          <w:color w:val="231F20"/>
          <w:w w:val="105"/>
        </w:rPr>
        <w:t>cociente</w:t>
      </w:r>
      <w:r>
        <w:rPr>
          <w:color w:val="231F20"/>
          <w:spacing w:val="15"/>
          <w:w w:val="105"/>
        </w:rPr>
        <w:t> </w:t>
      </w:r>
      <w:r>
        <w:rPr>
          <w:color w:val="231F20"/>
          <w:w w:val="105"/>
        </w:rPr>
        <w:t>del</w:t>
      </w:r>
      <w:r>
        <w:rPr>
          <w:color w:val="231F20"/>
          <w:spacing w:val="15"/>
          <w:w w:val="105"/>
        </w:rPr>
        <w:t> </w:t>
      </w:r>
      <w:r>
        <w:rPr>
          <w:color w:val="231F20"/>
          <w:w w:val="105"/>
        </w:rPr>
        <w:t>capital</w:t>
      </w:r>
      <w:r>
        <w:rPr>
          <w:color w:val="231F20"/>
          <w:spacing w:val="15"/>
          <w:w w:val="105"/>
        </w:rPr>
        <w:t> </w:t>
      </w:r>
      <w:r>
        <w:rPr>
          <w:color w:val="231F20"/>
          <w:w w:val="105"/>
        </w:rPr>
        <w:t>total</w:t>
      </w:r>
      <w:r>
        <w:rPr>
          <w:color w:val="231F20"/>
          <w:spacing w:val="15"/>
          <w:w w:val="105"/>
        </w:rPr>
        <w:t> </w:t>
      </w:r>
      <w:r>
        <w:rPr>
          <w:color w:val="231F20"/>
          <w:w w:val="105"/>
        </w:rPr>
        <w:t>(</w:t>
      </w:r>
      <w:r>
        <w:rPr>
          <w:i/>
          <w:color w:val="231F20"/>
          <w:w w:val="105"/>
        </w:rPr>
        <w:t>C</w:t>
      </w:r>
      <w:r>
        <w:rPr>
          <w:color w:val="231F20"/>
          <w:w w:val="105"/>
        </w:rPr>
        <w:t>)</w:t>
      </w:r>
      <w:r>
        <w:rPr>
          <w:color w:val="231F20"/>
          <w:spacing w:val="15"/>
          <w:w w:val="105"/>
        </w:rPr>
        <w:t> </w:t>
      </w:r>
      <w:r>
        <w:rPr>
          <w:color w:val="231F20"/>
          <w:w w:val="105"/>
        </w:rPr>
        <w:t>y</w:t>
      </w:r>
    </w:p>
    <w:p>
      <w:pPr>
        <w:pStyle w:val="BodyText"/>
      </w:pPr>
    </w:p>
    <w:p>
      <w:pPr>
        <w:spacing w:line="261" w:lineRule="auto" w:before="152"/>
        <w:ind w:left="100" w:right="114" w:firstLine="240"/>
        <w:jc w:val="both"/>
        <w:rPr>
          <w:sz w:val="16"/>
        </w:rPr>
      </w:pPr>
      <w:r>
        <w:rPr>
          <w:color w:val="231F20"/>
          <w:w w:val="105"/>
          <w:position w:val="5"/>
          <w:sz w:val="10"/>
        </w:rPr>
        <w:t>2 </w:t>
      </w:r>
      <w:r>
        <w:rPr>
          <w:color w:val="231F20"/>
          <w:w w:val="105"/>
          <w:sz w:val="16"/>
        </w:rPr>
        <w:t>Al respecto, Marx (1987: 55-56) es muy preciso al señalar  el  “misterio”  del proceso de valorización del capital, al sostener que: “En los hechos la ganancia es la forma en la cual se manifiesta el  plusvalor,  y  este  último  sólo  puede  ser  deducido por análisis de la primera. En el plusvalor queda al  descubierto  la  relación  entre  capital  y  trabajo;  en  la  relación entre capital y ganancia, es decir entre el capital y      el plusvalor —tal como éste aparece, por una parte, como excedente por encima del precio de costo de la mercancía, realizado en el proceso de la circulación, y por la     </w:t>
      </w:r>
      <w:r>
        <w:rPr>
          <w:color w:val="231F20"/>
          <w:spacing w:val="42"/>
          <w:w w:val="105"/>
          <w:sz w:val="16"/>
        </w:rPr>
        <w:t> </w:t>
      </w:r>
      <w:r>
        <w:rPr>
          <w:color w:val="231F20"/>
          <w:w w:val="105"/>
          <w:sz w:val="16"/>
        </w:rPr>
        <w:t>otra como excedente más exactamente determinado en virtud de su relación con el capital</w:t>
      </w:r>
      <w:r>
        <w:rPr>
          <w:color w:val="231F20"/>
          <w:spacing w:val="-16"/>
          <w:w w:val="105"/>
          <w:sz w:val="16"/>
        </w:rPr>
        <w:t> </w:t>
      </w:r>
      <w:r>
        <w:rPr>
          <w:color w:val="231F20"/>
          <w:w w:val="105"/>
          <w:sz w:val="16"/>
        </w:rPr>
        <w:t>global—,</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presenta</w:t>
      </w:r>
      <w:r>
        <w:rPr>
          <w:color w:val="231F20"/>
          <w:spacing w:val="-16"/>
          <w:w w:val="105"/>
          <w:sz w:val="16"/>
        </w:rPr>
        <w:t> </w:t>
      </w:r>
      <w:r>
        <w:rPr>
          <w:i/>
          <w:color w:val="231F20"/>
          <w:w w:val="105"/>
          <w:sz w:val="16"/>
        </w:rPr>
        <w:t>el</w:t>
      </w:r>
      <w:r>
        <w:rPr>
          <w:i/>
          <w:color w:val="231F20"/>
          <w:spacing w:val="-16"/>
          <w:w w:val="105"/>
          <w:sz w:val="16"/>
        </w:rPr>
        <w:t> </w:t>
      </w:r>
      <w:r>
        <w:rPr>
          <w:i/>
          <w:color w:val="231F20"/>
          <w:w w:val="105"/>
          <w:sz w:val="16"/>
        </w:rPr>
        <w:t>capital</w:t>
      </w:r>
      <w:r>
        <w:rPr>
          <w:i/>
          <w:color w:val="231F20"/>
          <w:spacing w:val="-16"/>
          <w:w w:val="105"/>
          <w:sz w:val="16"/>
        </w:rPr>
        <w:t> </w:t>
      </w:r>
      <w:r>
        <w:rPr>
          <w:i/>
          <w:color w:val="231F20"/>
          <w:w w:val="105"/>
          <w:sz w:val="16"/>
        </w:rPr>
        <w:t>como</w:t>
      </w:r>
      <w:r>
        <w:rPr>
          <w:i/>
          <w:color w:val="231F20"/>
          <w:spacing w:val="-16"/>
          <w:w w:val="105"/>
          <w:sz w:val="16"/>
        </w:rPr>
        <w:t> </w:t>
      </w:r>
      <w:r>
        <w:rPr>
          <w:i/>
          <w:color w:val="231F20"/>
          <w:w w:val="105"/>
          <w:sz w:val="16"/>
        </w:rPr>
        <w:t>relación</w:t>
      </w:r>
      <w:r>
        <w:rPr>
          <w:i/>
          <w:color w:val="231F20"/>
          <w:spacing w:val="-16"/>
          <w:w w:val="105"/>
          <w:sz w:val="16"/>
        </w:rPr>
        <w:t> </w:t>
      </w:r>
      <w:r>
        <w:rPr>
          <w:i/>
          <w:color w:val="231F20"/>
          <w:w w:val="105"/>
          <w:sz w:val="16"/>
        </w:rPr>
        <w:t>consigo</w:t>
      </w:r>
      <w:r>
        <w:rPr>
          <w:i/>
          <w:color w:val="231F20"/>
          <w:spacing w:val="-16"/>
          <w:w w:val="105"/>
          <w:sz w:val="16"/>
        </w:rPr>
        <w:t> </w:t>
      </w:r>
      <w:r>
        <w:rPr>
          <w:i/>
          <w:color w:val="231F20"/>
          <w:w w:val="105"/>
          <w:sz w:val="16"/>
        </w:rPr>
        <w:t>mismo</w:t>
      </w:r>
      <w:r>
        <w:rPr>
          <w:color w:val="231F20"/>
          <w:w w:val="105"/>
          <w:sz w:val="16"/>
        </w:rPr>
        <w:t>,</w:t>
      </w:r>
      <w:r>
        <w:rPr>
          <w:color w:val="231F20"/>
          <w:spacing w:val="-16"/>
          <w:w w:val="105"/>
          <w:sz w:val="16"/>
        </w:rPr>
        <w:t> </w:t>
      </w:r>
      <w:r>
        <w:rPr>
          <w:color w:val="231F20"/>
          <w:w w:val="105"/>
          <w:sz w:val="16"/>
        </w:rPr>
        <w:t>una</w:t>
      </w:r>
      <w:r>
        <w:rPr>
          <w:color w:val="231F20"/>
          <w:spacing w:val="-16"/>
          <w:w w:val="105"/>
          <w:sz w:val="16"/>
        </w:rPr>
        <w:t> </w:t>
      </w:r>
      <w:r>
        <w:rPr>
          <w:color w:val="231F20"/>
          <w:w w:val="105"/>
          <w:sz w:val="16"/>
        </w:rPr>
        <w:t>relación</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cual se distingue como suma originaria de </w:t>
      </w:r>
      <w:r>
        <w:rPr>
          <w:color w:val="231F20"/>
          <w:spacing w:val="-3"/>
          <w:w w:val="105"/>
          <w:sz w:val="16"/>
        </w:rPr>
        <w:t>valor, </w:t>
      </w:r>
      <w:r>
        <w:rPr>
          <w:color w:val="231F20"/>
          <w:w w:val="105"/>
          <w:sz w:val="16"/>
        </w:rPr>
        <w:t>de un valor nuevo puesto por él mismo”. Siguiendo este planteamiento, cabe enfatizar que el proceso de valorización enmascara sus contradicciones. “El modo como ocurre esto se halla envuelto en misterio y parece provenir</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cualidades</w:t>
      </w:r>
      <w:r>
        <w:rPr>
          <w:color w:val="231F20"/>
          <w:spacing w:val="27"/>
          <w:w w:val="105"/>
          <w:sz w:val="16"/>
        </w:rPr>
        <w:t> </w:t>
      </w:r>
      <w:r>
        <w:rPr>
          <w:color w:val="231F20"/>
          <w:w w:val="105"/>
          <w:sz w:val="16"/>
        </w:rPr>
        <w:t>ocultas,</w:t>
      </w:r>
      <w:r>
        <w:rPr>
          <w:color w:val="231F20"/>
          <w:spacing w:val="27"/>
          <w:w w:val="105"/>
          <w:sz w:val="16"/>
        </w:rPr>
        <w:t> </w:t>
      </w:r>
      <w:r>
        <w:rPr>
          <w:color w:val="231F20"/>
          <w:w w:val="105"/>
          <w:sz w:val="16"/>
        </w:rPr>
        <w:t>que</w:t>
      </w:r>
      <w:r>
        <w:rPr>
          <w:color w:val="231F20"/>
          <w:spacing w:val="27"/>
          <w:w w:val="105"/>
          <w:sz w:val="16"/>
        </w:rPr>
        <w:t> </w:t>
      </w:r>
      <w:r>
        <w:rPr>
          <w:color w:val="231F20"/>
          <w:w w:val="105"/>
          <w:sz w:val="16"/>
        </w:rPr>
        <w:t>le</w:t>
      </w:r>
      <w:r>
        <w:rPr>
          <w:color w:val="231F20"/>
          <w:spacing w:val="27"/>
          <w:w w:val="105"/>
          <w:sz w:val="16"/>
        </w:rPr>
        <w:t> </w:t>
      </w:r>
      <w:r>
        <w:rPr>
          <w:color w:val="231F20"/>
          <w:w w:val="105"/>
          <w:sz w:val="16"/>
        </w:rPr>
        <w:t>son</w:t>
      </w:r>
      <w:r>
        <w:rPr>
          <w:color w:val="231F20"/>
          <w:spacing w:val="27"/>
          <w:w w:val="105"/>
          <w:sz w:val="16"/>
        </w:rPr>
        <w:t> </w:t>
      </w:r>
      <w:r>
        <w:rPr>
          <w:color w:val="231F20"/>
          <w:w w:val="105"/>
          <w:sz w:val="16"/>
        </w:rPr>
        <w:t>inherentes”</w:t>
      </w:r>
      <w:r>
        <w:rPr>
          <w:color w:val="231F20"/>
          <w:spacing w:val="27"/>
          <w:w w:val="105"/>
          <w:sz w:val="16"/>
        </w:rPr>
        <w:t> </w:t>
      </w:r>
      <w:r>
        <w:rPr>
          <w:color w:val="231F20"/>
          <w:w w:val="105"/>
          <w:sz w:val="16"/>
        </w:rPr>
        <w:t>(Marx,</w:t>
      </w:r>
      <w:r>
        <w:rPr>
          <w:color w:val="231F20"/>
          <w:spacing w:val="27"/>
          <w:w w:val="105"/>
          <w:sz w:val="16"/>
        </w:rPr>
        <w:t> </w:t>
      </w:r>
      <w:r>
        <w:rPr>
          <w:color w:val="231F20"/>
          <w:w w:val="105"/>
          <w:sz w:val="16"/>
        </w:rPr>
        <w:t>1987:</w:t>
      </w:r>
      <w:r>
        <w:rPr>
          <w:color w:val="231F20"/>
          <w:spacing w:val="27"/>
          <w:w w:val="105"/>
          <w:sz w:val="16"/>
        </w:rPr>
        <w:t> </w:t>
      </w:r>
      <w:r>
        <w:rPr>
          <w:color w:val="231F20"/>
          <w:w w:val="105"/>
          <w:sz w:val="16"/>
        </w:rPr>
        <w:t>56).</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w:t>
      </w:r>
      <w:r>
        <w:rPr>
          <w:color w:val="231F20"/>
          <w:spacing w:val="-6"/>
          <w:w w:val="110"/>
        </w:rPr>
        <w:t> </w:t>
      </w:r>
      <w:r>
        <w:rPr>
          <w:color w:val="231F20"/>
          <w:w w:val="110"/>
        </w:rPr>
        <w:t>suma</w:t>
      </w:r>
      <w:r>
        <w:rPr>
          <w:color w:val="231F20"/>
          <w:spacing w:val="-6"/>
          <w:w w:val="110"/>
        </w:rPr>
        <w:t> </w:t>
      </w:r>
      <w:r>
        <w:rPr>
          <w:color w:val="231F20"/>
          <w:w w:val="110"/>
        </w:rPr>
        <w:t>del</w:t>
      </w:r>
      <w:r>
        <w:rPr>
          <w:color w:val="231F20"/>
          <w:spacing w:val="-6"/>
          <w:w w:val="110"/>
        </w:rPr>
        <w:t> </w:t>
      </w:r>
      <w:r>
        <w:rPr>
          <w:color w:val="231F20"/>
          <w:w w:val="110"/>
        </w:rPr>
        <w:t>capital</w:t>
      </w:r>
      <w:r>
        <w:rPr>
          <w:color w:val="231F20"/>
          <w:spacing w:val="-6"/>
          <w:w w:val="110"/>
        </w:rPr>
        <w:t> </w:t>
      </w:r>
      <w:r>
        <w:rPr>
          <w:color w:val="231F20"/>
          <w:w w:val="110"/>
        </w:rPr>
        <w:t>constante</w:t>
      </w:r>
      <w:r>
        <w:rPr>
          <w:color w:val="231F20"/>
          <w:spacing w:val="-6"/>
          <w:w w:val="110"/>
        </w:rPr>
        <w:t> </w:t>
      </w:r>
      <w:r>
        <w:rPr>
          <w:color w:val="231F20"/>
          <w:w w:val="110"/>
        </w:rPr>
        <w:t>(maquinarias</w:t>
      </w:r>
      <w:r>
        <w:rPr>
          <w:color w:val="231F20"/>
          <w:spacing w:val="-6"/>
          <w:w w:val="110"/>
        </w:rPr>
        <w:t> </w:t>
      </w:r>
      <w:r>
        <w:rPr>
          <w:color w:val="231F20"/>
          <w:w w:val="110"/>
        </w:rPr>
        <w:t>y</w:t>
      </w:r>
      <w:r>
        <w:rPr>
          <w:color w:val="231F20"/>
          <w:spacing w:val="-6"/>
          <w:w w:val="110"/>
        </w:rPr>
        <w:t> </w:t>
      </w:r>
      <w:r>
        <w:rPr>
          <w:color w:val="231F20"/>
          <w:w w:val="110"/>
        </w:rPr>
        <w:t>tecnologías)</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capital variable (salario de los trabajadores). En este sentido, dadas las exi- gencias de competencia entre capitalistas individuales, la mayor in- corporación de tecnología e inversión de capital fijo y la</w:t>
      </w:r>
      <w:r>
        <w:rPr>
          <w:color w:val="231F20"/>
          <w:spacing w:val="-38"/>
          <w:w w:val="110"/>
        </w:rPr>
        <w:t> </w:t>
      </w:r>
      <w:r>
        <w:rPr>
          <w:color w:val="231F20"/>
          <w:w w:val="110"/>
        </w:rPr>
        <w:t>consiguien- te sustitución del trabajo vivo, determinan la tendencia general de caída de la tasa de ganancia (</w:t>
      </w:r>
      <w:r>
        <w:rPr>
          <w:i/>
          <w:color w:val="231F20"/>
          <w:w w:val="110"/>
        </w:rPr>
        <w:t>G’</w:t>
      </w:r>
      <w:r>
        <w:rPr>
          <w:color w:val="231F20"/>
          <w:w w:val="110"/>
        </w:rPr>
        <w:t>). Esta tendencia, inherente a la di- námica del capitalismo, podría considerarse como una falla incorre- gible de sistema. En la medida que la inversión en medios de pro- ducción crece más rápido que la que se hace en fuerza de trabajo,   el aumento capital constante ocurre a expensas de la fuente de la ganancia,</w:t>
      </w:r>
      <w:r>
        <w:rPr>
          <w:color w:val="231F20"/>
          <w:spacing w:val="-6"/>
          <w:w w:val="110"/>
        </w:rPr>
        <w:t> </w:t>
      </w:r>
      <w:r>
        <w:rPr>
          <w:color w:val="231F20"/>
          <w:w w:val="110"/>
        </w:rPr>
        <w:t>o</w:t>
      </w:r>
      <w:r>
        <w:rPr>
          <w:color w:val="231F20"/>
          <w:spacing w:val="-6"/>
          <w:w w:val="110"/>
        </w:rPr>
        <w:t> </w:t>
      </w:r>
      <w:r>
        <w:rPr>
          <w:color w:val="231F20"/>
          <w:w w:val="110"/>
        </w:rPr>
        <w:t>sea</w:t>
      </w:r>
      <w:r>
        <w:rPr>
          <w:color w:val="231F20"/>
          <w:spacing w:val="-6"/>
          <w:w w:val="110"/>
        </w:rPr>
        <w:t> </w:t>
      </w:r>
      <w:r>
        <w:rPr>
          <w:color w:val="231F20"/>
          <w:w w:val="110"/>
        </w:rPr>
        <w:t>el</w:t>
      </w:r>
      <w:r>
        <w:rPr>
          <w:color w:val="231F20"/>
          <w:spacing w:val="-6"/>
          <w:w w:val="110"/>
        </w:rPr>
        <w:t> </w:t>
      </w:r>
      <w:r>
        <w:rPr>
          <w:color w:val="231F20"/>
          <w:w w:val="110"/>
        </w:rPr>
        <w:t>trabajo</w:t>
      </w:r>
      <w:r>
        <w:rPr>
          <w:color w:val="231F20"/>
          <w:spacing w:val="-6"/>
          <w:w w:val="110"/>
        </w:rPr>
        <w:t> </w:t>
      </w:r>
      <w:r>
        <w:rPr>
          <w:color w:val="231F20"/>
          <w:w w:val="110"/>
        </w:rPr>
        <w:t>(Harman,</w:t>
      </w:r>
      <w:r>
        <w:rPr>
          <w:color w:val="231F20"/>
          <w:spacing w:val="-6"/>
          <w:w w:val="110"/>
        </w:rPr>
        <w:t> </w:t>
      </w:r>
      <w:r>
        <w:rPr>
          <w:color w:val="231F20"/>
          <w:w w:val="110"/>
        </w:rPr>
        <w:t>2008).</w:t>
      </w:r>
      <w:r>
        <w:rPr>
          <w:color w:val="231F20"/>
          <w:spacing w:val="-6"/>
          <w:w w:val="110"/>
        </w:rPr>
        <w:t> </w:t>
      </w:r>
      <w:r>
        <w:rPr>
          <w:color w:val="231F20"/>
          <w:w w:val="110"/>
        </w:rPr>
        <w:t>No</w:t>
      </w:r>
      <w:r>
        <w:rPr>
          <w:color w:val="231F20"/>
          <w:spacing w:val="-6"/>
          <w:w w:val="110"/>
        </w:rPr>
        <w:t> </w:t>
      </w:r>
      <w:r>
        <w:rPr>
          <w:color w:val="231F20"/>
          <w:w w:val="110"/>
        </w:rPr>
        <w:t>obstante,</w:t>
      </w:r>
      <w:r>
        <w:rPr>
          <w:color w:val="231F20"/>
          <w:spacing w:val="-6"/>
          <w:w w:val="110"/>
        </w:rPr>
        <w:t> </w:t>
      </w:r>
      <w:r>
        <w:rPr>
          <w:color w:val="231F20"/>
          <w:w w:val="110"/>
        </w:rPr>
        <w:t>y</w:t>
      </w:r>
      <w:r>
        <w:rPr>
          <w:color w:val="231F20"/>
          <w:spacing w:val="-6"/>
          <w:w w:val="110"/>
        </w:rPr>
        <w:t> </w:t>
      </w:r>
      <w:r>
        <w:rPr>
          <w:color w:val="231F20"/>
          <w:w w:val="110"/>
        </w:rPr>
        <w:t>pese</w:t>
      </w:r>
      <w:r>
        <w:rPr>
          <w:color w:val="231F20"/>
          <w:spacing w:val="-6"/>
          <w:w w:val="110"/>
        </w:rPr>
        <w:t> </w:t>
      </w:r>
      <w:r>
        <w:rPr>
          <w:color w:val="231F20"/>
          <w:w w:val="110"/>
        </w:rPr>
        <w:t>a</w:t>
      </w:r>
      <w:r>
        <w:rPr>
          <w:color w:val="231F20"/>
          <w:spacing w:val="-6"/>
          <w:w w:val="110"/>
        </w:rPr>
        <w:t> </w:t>
      </w:r>
      <w:r>
        <w:rPr>
          <w:color w:val="231F20"/>
          <w:w w:val="110"/>
        </w:rPr>
        <w:t>esta contradicción insalvable, los capitalistas enfrentan el desafío de ga- rantizar</w:t>
      </w:r>
      <w:r>
        <w:rPr>
          <w:color w:val="231F20"/>
          <w:spacing w:val="-9"/>
          <w:w w:val="110"/>
        </w:rPr>
        <w:t> </w:t>
      </w:r>
      <w:r>
        <w:rPr>
          <w:color w:val="231F20"/>
          <w:w w:val="110"/>
        </w:rPr>
        <w:t>el</w:t>
      </w:r>
      <w:r>
        <w:rPr>
          <w:color w:val="231F20"/>
          <w:spacing w:val="-9"/>
          <w:w w:val="110"/>
        </w:rPr>
        <w:t> </w:t>
      </w:r>
      <w:r>
        <w:rPr>
          <w:color w:val="231F20"/>
          <w:w w:val="110"/>
        </w:rPr>
        <w:t>aumento</w:t>
      </w:r>
      <w:r>
        <w:rPr>
          <w:color w:val="231F20"/>
          <w:spacing w:val="-9"/>
          <w:w w:val="110"/>
        </w:rPr>
        <w:t> </w:t>
      </w:r>
      <w:r>
        <w:rPr>
          <w:color w:val="231F20"/>
          <w:w w:val="110"/>
        </w:rPr>
        <w:t>absoluto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ganancia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acumulación,</w:t>
      </w:r>
      <w:r>
        <w:rPr>
          <w:color w:val="231F20"/>
          <w:spacing w:val="-9"/>
          <w:w w:val="110"/>
        </w:rPr>
        <w:t> </w:t>
      </w:r>
      <w:r>
        <w:rPr>
          <w:color w:val="231F20"/>
          <w:w w:val="110"/>
        </w:rPr>
        <w:t>a</w:t>
      </w:r>
      <w:r>
        <w:rPr>
          <w:color w:val="231F20"/>
          <w:spacing w:val="-9"/>
          <w:w w:val="110"/>
        </w:rPr>
        <w:t> </w:t>
      </w:r>
      <w:r>
        <w:rPr>
          <w:color w:val="231F20"/>
          <w:w w:val="110"/>
        </w:rPr>
        <w:t>pesar de la caída sistemática de la tasa de</w:t>
      </w:r>
      <w:r>
        <w:rPr>
          <w:color w:val="231F20"/>
          <w:spacing w:val="26"/>
          <w:w w:val="110"/>
        </w:rPr>
        <w:t> </w:t>
      </w:r>
      <w:r>
        <w:rPr>
          <w:color w:val="231F20"/>
          <w:w w:val="110"/>
        </w:rPr>
        <w:t>beneficio.</w:t>
      </w:r>
    </w:p>
    <w:p>
      <w:pPr>
        <w:pStyle w:val="BodyText"/>
        <w:spacing w:line="261" w:lineRule="auto"/>
        <w:ind w:left="100" w:right="117" w:firstLine="240"/>
        <w:jc w:val="both"/>
      </w:pPr>
      <w:r>
        <w:rPr>
          <w:color w:val="231F20"/>
          <w:w w:val="110"/>
        </w:rPr>
        <w:t>En un intento por dar cuenta de la crisis económica actual, ape- gados a dicho planteamiento, algunos autores sostienen que con el neoliberalismo</w:t>
      </w:r>
      <w:r>
        <w:rPr>
          <w:color w:val="231F20"/>
          <w:spacing w:val="-20"/>
          <w:w w:val="110"/>
        </w:rPr>
        <w:t> </w:t>
      </w:r>
      <w:r>
        <w:rPr>
          <w:color w:val="231F20"/>
          <w:w w:val="110"/>
        </w:rPr>
        <w:t>cayó</w:t>
      </w:r>
      <w:r>
        <w:rPr>
          <w:color w:val="231F20"/>
          <w:spacing w:val="-20"/>
          <w:w w:val="110"/>
        </w:rPr>
        <w:t> </w:t>
      </w:r>
      <w:r>
        <w:rPr>
          <w:color w:val="231F20"/>
          <w:w w:val="110"/>
        </w:rPr>
        <w:t>la</w:t>
      </w:r>
      <w:r>
        <w:rPr>
          <w:color w:val="231F20"/>
          <w:spacing w:val="-20"/>
          <w:w w:val="110"/>
        </w:rPr>
        <w:t> </w:t>
      </w:r>
      <w:r>
        <w:rPr>
          <w:color w:val="231F20"/>
          <w:w w:val="110"/>
        </w:rPr>
        <w:t>tasa</w:t>
      </w:r>
      <w:r>
        <w:rPr>
          <w:color w:val="231F20"/>
          <w:spacing w:val="-20"/>
          <w:w w:val="110"/>
        </w:rPr>
        <w:t> </w:t>
      </w:r>
      <w:r>
        <w:rPr>
          <w:color w:val="231F20"/>
          <w:w w:val="110"/>
        </w:rPr>
        <w:t>de</w:t>
      </w:r>
      <w:r>
        <w:rPr>
          <w:color w:val="231F20"/>
          <w:spacing w:val="-20"/>
          <w:w w:val="110"/>
        </w:rPr>
        <w:t> </w:t>
      </w:r>
      <w:r>
        <w:rPr>
          <w:color w:val="231F20"/>
          <w:w w:val="110"/>
        </w:rPr>
        <w:t>ganancia</w:t>
      </w:r>
      <w:r>
        <w:rPr>
          <w:color w:val="231F20"/>
          <w:spacing w:val="-20"/>
          <w:w w:val="110"/>
        </w:rPr>
        <w:t> </w:t>
      </w:r>
      <w:r>
        <w:rPr>
          <w:color w:val="231F20"/>
          <w:w w:val="110"/>
        </w:rPr>
        <w:t>(Wallerstein,</w:t>
      </w:r>
      <w:r>
        <w:rPr>
          <w:color w:val="231F20"/>
          <w:spacing w:val="-20"/>
          <w:w w:val="110"/>
        </w:rPr>
        <w:t> </w:t>
      </w:r>
      <w:r>
        <w:rPr>
          <w:color w:val="231F20"/>
          <w:w w:val="110"/>
        </w:rPr>
        <w:t>2005)</w:t>
      </w:r>
      <w:r>
        <w:rPr>
          <w:color w:val="231F20"/>
          <w:spacing w:val="-20"/>
          <w:w w:val="110"/>
        </w:rPr>
        <w:t> </w:t>
      </w:r>
      <w:r>
        <w:rPr>
          <w:color w:val="231F20"/>
          <w:w w:val="110"/>
        </w:rPr>
        <w:t>y</w:t>
      </w:r>
      <w:r>
        <w:rPr>
          <w:color w:val="231F20"/>
          <w:spacing w:val="-20"/>
          <w:w w:val="110"/>
        </w:rPr>
        <w:t> </w:t>
      </w:r>
      <w:r>
        <w:rPr>
          <w:color w:val="231F20"/>
          <w:w w:val="110"/>
        </w:rPr>
        <w:t>que,</w:t>
      </w:r>
      <w:r>
        <w:rPr>
          <w:color w:val="231F20"/>
          <w:spacing w:val="-20"/>
          <w:w w:val="110"/>
        </w:rPr>
        <w:t> </w:t>
      </w:r>
      <w:r>
        <w:rPr>
          <w:color w:val="231F20"/>
          <w:w w:val="110"/>
        </w:rPr>
        <w:t>por consiguiente, éste entró en su fase de declive final o que, dado que agotó sus posibilidades de mantenimiento de los ritmos ascendentes de</w:t>
      </w:r>
      <w:r>
        <w:rPr>
          <w:color w:val="231F20"/>
          <w:spacing w:val="-16"/>
          <w:w w:val="110"/>
        </w:rPr>
        <w:t> </w:t>
      </w:r>
      <w:r>
        <w:rPr>
          <w:color w:val="231F20"/>
          <w:w w:val="110"/>
        </w:rPr>
        <w:t>productividad</w:t>
      </w:r>
      <w:r>
        <w:rPr>
          <w:color w:val="231F20"/>
          <w:spacing w:val="-16"/>
          <w:w w:val="110"/>
        </w:rPr>
        <w:t> </w:t>
      </w:r>
      <w:r>
        <w:rPr>
          <w:color w:val="231F20"/>
          <w:w w:val="110"/>
        </w:rPr>
        <w:t>y</w:t>
      </w:r>
      <w:r>
        <w:rPr>
          <w:color w:val="231F20"/>
          <w:spacing w:val="-16"/>
          <w:w w:val="110"/>
        </w:rPr>
        <w:t> </w:t>
      </w:r>
      <w:r>
        <w:rPr>
          <w:color w:val="231F20"/>
          <w:w w:val="110"/>
        </w:rPr>
        <w:t>acumulación</w:t>
      </w:r>
      <w:r>
        <w:rPr>
          <w:color w:val="231F20"/>
          <w:spacing w:val="-16"/>
          <w:w w:val="110"/>
        </w:rPr>
        <w:t> </w:t>
      </w:r>
      <w:r>
        <w:rPr>
          <w:color w:val="231F20"/>
          <w:w w:val="110"/>
        </w:rPr>
        <w:t>capitalista,</w:t>
      </w:r>
      <w:r>
        <w:rPr>
          <w:color w:val="231F20"/>
          <w:spacing w:val="-16"/>
          <w:w w:val="110"/>
        </w:rPr>
        <w:t> </w:t>
      </w:r>
      <w:r>
        <w:rPr>
          <w:color w:val="231F20"/>
          <w:w w:val="110"/>
        </w:rPr>
        <w:t>dicho</w:t>
      </w:r>
      <w:r>
        <w:rPr>
          <w:color w:val="231F20"/>
          <w:spacing w:val="-16"/>
          <w:w w:val="110"/>
        </w:rPr>
        <w:t> </w:t>
      </w:r>
      <w:r>
        <w:rPr>
          <w:color w:val="231F20"/>
          <w:w w:val="110"/>
        </w:rPr>
        <w:t>modelo</w:t>
      </w:r>
      <w:r>
        <w:rPr>
          <w:color w:val="231F20"/>
          <w:spacing w:val="-16"/>
          <w:w w:val="110"/>
        </w:rPr>
        <w:t> </w:t>
      </w:r>
      <w:r>
        <w:rPr>
          <w:color w:val="231F20"/>
          <w:w w:val="110"/>
        </w:rPr>
        <w:t>económico “ha</w:t>
      </w:r>
      <w:r>
        <w:rPr>
          <w:color w:val="231F20"/>
          <w:spacing w:val="-8"/>
          <w:w w:val="110"/>
        </w:rPr>
        <w:t> </w:t>
      </w:r>
      <w:r>
        <w:rPr>
          <w:color w:val="231F20"/>
          <w:w w:val="110"/>
        </w:rPr>
        <w:t>muerto”</w:t>
      </w:r>
      <w:r>
        <w:rPr>
          <w:color w:val="231F20"/>
          <w:spacing w:val="-8"/>
          <w:w w:val="110"/>
        </w:rPr>
        <w:t> </w:t>
      </w:r>
      <w:r>
        <w:rPr>
          <w:color w:val="231F20"/>
          <w:w w:val="110"/>
        </w:rPr>
        <w:t>(Gandásegui,</w:t>
      </w:r>
      <w:r>
        <w:rPr>
          <w:color w:val="231F20"/>
          <w:spacing w:val="-8"/>
          <w:w w:val="110"/>
        </w:rPr>
        <w:t> </w:t>
      </w:r>
      <w:r>
        <w:rPr>
          <w:color w:val="231F20"/>
          <w:w w:val="110"/>
        </w:rPr>
        <w:t>2010a</w:t>
      </w:r>
      <w:r>
        <w:rPr>
          <w:color w:val="231F20"/>
          <w:spacing w:val="-8"/>
          <w:w w:val="110"/>
        </w:rPr>
        <w:t> </w:t>
      </w:r>
      <w:r>
        <w:rPr>
          <w:color w:val="231F20"/>
          <w:w w:val="110"/>
        </w:rPr>
        <w:t>y</w:t>
      </w:r>
      <w:r>
        <w:rPr>
          <w:color w:val="231F20"/>
          <w:spacing w:val="-8"/>
          <w:w w:val="110"/>
        </w:rPr>
        <w:t> </w:t>
      </w:r>
      <w:r>
        <w:rPr>
          <w:color w:val="231F20"/>
          <w:w w:val="110"/>
        </w:rPr>
        <w:t>2010b).</w:t>
      </w:r>
      <w:r>
        <w:rPr>
          <w:color w:val="231F20"/>
          <w:spacing w:val="-8"/>
          <w:w w:val="110"/>
        </w:rPr>
        <w:t> </w:t>
      </w:r>
      <w:r>
        <w:rPr>
          <w:color w:val="231F20"/>
          <w:w w:val="110"/>
        </w:rPr>
        <w:t>Al</w:t>
      </w:r>
      <w:r>
        <w:rPr>
          <w:color w:val="231F20"/>
          <w:spacing w:val="-8"/>
          <w:w w:val="110"/>
        </w:rPr>
        <w:t> </w:t>
      </w:r>
      <w:r>
        <w:rPr>
          <w:color w:val="231F20"/>
          <w:w w:val="110"/>
        </w:rPr>
        <w:t>respecto,</w:t>
      </w:r>
      <w:r>
        <w:rPr>
          <w:color w:val="231F20"/>
          <w:spacing w:val="-8"/>
          <w:w w:val="110"/>
        </w:rPr>
        <w:t> </w:t>
      </w:r>
      <w:r>
        <w:rPr>
          <w:color w:val="231F20"/>
          <w:w w:val="110"/>
        </w:rPr>
        <w:t>en</w:t>
      </w:r>
      <w:r>
        <w:rPr>
          <w:color w:val="231F20"/>
          <w:spacing w:val="-8"/>
          <w:w w:val="110"/>
        </w:rPr>
        <w:t> </w:t>
      </w:r>
      <w:r>
        <w:rPr>
          <w:color w:val="231F20"/>
          <w:w w:val="110"/>
        </w:rPr>
        <w:t>particular la</w:t>
      </w:r>
      <w:r>
        <w:rPr>
          <w:color w:val="231F20"/>
          <w:spacing w:val="-30"/>
          <w:w w:val="110"/>
        </w:rPr>
        <w:t> </w:t>
      </w:r>
      <w:r>
        <w:rPr>
          <w:color w:val="231F20"/>
          <w:w w:val="110"/>
        </w:rPr>
        <w:t>explicación</w:t>
      </w:r>
      <w:r>
        <w:rPr>
          <w:color w:val="231F20"/>
          <w:spacing w:val="-30"/>
          <w:w w:val="110"/>
        </w:rPr>
        <w:t> </w:t>
      </w:r>
      <w:r>
        <w:rPr>
          <w:color w:val="231F20"/>
          <w:w w:val="110"/>
        </w:rPr>
        <w:t>de</w:t>
      </w:r>
      <w:r>
        <w:rPr>
          <w:color w:val="231F20"/>
          <w:spacing w:val="-30"/>
          <w:w w:val="110"/>
        </w:rPr>
        <w:t> </w:t>
      </w:r>
      <w:r>
        <w:rPr>
          <w:color w:val="231F20"/>
          <w:w w:val="110"/>
        </w:rPr>
        <w:t>Wallerstein</w:t>
      </w:r>
      <w:r>
        <w:rPr>
          <w:color w:val="231F20"/>
          <w:spacing w:val="-30"/>
          <w:w w:val="110"/>
        </w:rPr>
        <w:t> </w:t>
      </w:r>
      <w:r>
        <w:rPr>
          <w:color w:val="231F20"/>
          <w:w w:val="110"/>
        </w:rPr>
        <w:t>(2005:</w:t>
      </w:r>
      <w:r>
        <w:rPr>
          <w:color w:val="231F20"/>
          <w:spacing w:val="-30"/>
          <w:w w:val="110"/>
        </w:rPr>
        <w:t> </w:t>
      </w:r>
      <w:r>
        <w:rPr>
          <w:color w:val="231F20"/>
          <w:w w:val="110"/>
        </w:rPr>
        <w:t>207-208)</w:t>
      </w:r>
      <w:r>
        <w:rPr>
          <w:color w:val="231F20"/>
          <w:spacing w:val="-30"/>
          <w:w w:val="110"/>
        </w:rPr>
        <w:t> </w:t>
      </w:r>
      <w:r>
        <w:rPr>
          <w:color w:val="231F20"/>
          <w:w w:val="110"/>
        </w:rPr>
        <w:t>sobre</w:t>
      </w:r>
      <w:r>
        <w:rPr>
          <w:color w:val="231F20"/>
          <w:spacing w:val="-30"/>
          <w:w w:val="110"/>
        </w:rPr>
        <w:t> </w:t>
      </w:r>
      <w:r>
        <w:rPr>
          <w:color w:val="231F20"/>
          <w:w w:val="110"/>
        </w:rPr>
        <w:t>las</w:t>
      </w:r>
      <w:r>
        <w:rPr>
          <w:color w:val="231F20"/>
          <w:spacing w:val="-30"/>
          <w:w w:val="110"/>
        </w:rPr>
        <w:t> </w:t>
      </w:r>
      <w:r>
        <w:rPr>
          <w:color w:val="231F20"/>
          <w:w w:val="110"/>
        </w:rPr>
        <w:t>causas</w:t>
      </w:r>
      <w:r>
        <w:rPr>
          <w:color w:val="231F20"/>
          <w:spacing w:val="-30"/>
          <w:w w:val="110"/>
        </w:rPr>
        <w:t> </w:t>
      </w:r>
      <w:r>
        <w:rPr>
          <w:color w:val="231F20"/>
          <w:w w:val="110"/>
        </w:rPr>
        <w:t>de</w:t>
      </w:r>
      <w:r>
        <w:rPr>
          <w:color w:val="231F20"/>
          <w:spacing w:val="-30"/>
          <w:w w:val="110"/>
        </w:rPr>
        <w:t> </w:t>
      </w:r>
      <w:r>
        <w:rPr>
          <w:color w:val="231F20"/>
          <w:w w:val="110"/>
        </w:rPr>
        <w:t>crisis resulta altamente polémica. El </w:t>
      </w:r>
      <w:r>
        <w:rPr>
          <w:color w:val="231F20"/>
          <w:spacing w:val="-3"/>
          <w:w w:val="110"/>
        </w:rPr>
        <w:t>autor, </w:t>
      </w:r>
      <w:r>
        <w:rPr>
          <w:color w:val="231F20"/>
          <w:w w:val="110"/>
        </w:rPr>
        <w:t>plantea que actualmente nos encontramos ante una reducción de las utilidades a escala global “que amenaza la habilidad de los capitalistas para acumular”. Según él, “todos los llamados triunfos de la eficiencia productiva son sólo esfuerzos por frenar el ritmo de la curva decreciente”. Agrega que, sin embargo, “ha sido limitado el grado total de éxito…”, y señala, además, que “hoy el problema está en que, después de quinientos años, quedan pocos lugares a donde correr”, por lo que enfatiza que “se ha vuelto difícil frenar el proceso del alza</w:t>
      </w:r>
      <w:r>
        <w:rPr>
          <w:color w:val="231F20"/>
          <w:spacing w:val="-29"/>
          <w:w w:val="110"/>
        </w:rPr>
        <w:t> </w:t>
      </w:r>
      <w:r>
        <w:rPr>
          <w:color w:val="231F20"/>
          <w:w w:val="110"/>
        </w:rPr>
        <w:t>salarial”.</w:t>
      </w:r>
    </w:p>
    <w:p>
      <w:pPr>
        <w:pStyle w:val="BodyText"/>
        <w:spacing w:line="261" w:lineRule="auto"/>
        <w:ind w:left="100" w:right="114" w:firstLine="240"/>
        <w:jc w:val="both"/>
      </w:pPr>
      <w:r>
        <w:rPr>
          <w:color w:val="231F20"/>
          <w:w w:val="105"/>
        </w:rPr>
        <w:t>Según Wallerstein (2005: 207), la crisis actual de Estados Unidos deriva de las contradicciones del modelo económico a partir de las tendencias en los tres componentes de costo de la producción que definen la ganancia capitalista: el costo del trabajo, las inversiones       e infraestructura y las erogaciones por impuestos. Sostiene que, contrario a los supuestos que descansan en la idea de creciente “competitividad”, a lo largo del desarrollo del capitalismo el costo      de  estos  tres  factores  ha  ido  en  aumento  constante,  afectando  </w:t>
      </w:r>
      <w:r>
        <w:rPr>
          <w:color w:val="231F20"/>
          <w:spacing w:val="11"/>
          <w:w w:val="105"/>
        </w:rPr>
        <w:t> </w:t>
      </w:r>
      <w:r>
        <w:rPr>
          <w:color w:val="231F20"/>
          <w:w w:val="105"/>
        </w:rPr>
        <w:t>los</w:t>
      </w:r>
    </w:p>
    <w:p>
      <w:pPr>
        <w:spacing w:after="0" w:line="261" w:lineRule="auto"/>
        <w:jc w:val="both"/>
        <w:sectPr>
          <w:pgSz w:w="7640" w:h="11900"/>
          <w:pgMar w:header="672" w:footer="0" w:top="860" w:bottom="280" w:left="780" w:right="640"/>
        </w:sectPr>
      </w:pPr>
    </w:p>
    <w:p>
      <w:pPr>
        <w:pStyle w:val="BodyText"/>
        <w:spacing w:line="261" w:lineRule="auto" w:before="167"/>
        <w:ind w:left="100" w:right="117"/>
        <w:jc w:val="both"/>
      </w:pPr>
      <w:r>
        <w:rPr>
          <w:color w:val="231F20"/>
          <w:w w:val="110"/>
        </w:rPr>
        <w:t>niveles</w:t>
      </w:r>
      <w:r>
        <w:rPr>
          <w:color w:val="231F20"/>
          <w:spacing w:val="-9"/>
          <w:w w:val="110"/>
        </w:rPr>
        <w:t> </w:t>
      </w:r>
      <w:r>
        <w:rPr>
          <w:color w:val="231F20"/>
          <w:w w:val="110"/>
        </w:rPr>
        <w:t>de</w:t>
      </w:r>
      <w:r>
        <w:rPr>
          <w:color w:val="231F20"/>
          <w:spacing w:val="-9"/>
          <w:w w:val="110"/>
        </w:rPr>
        <w:t> </w:t>
      </w:r>
      <w:r>
        <w:rPr>
          <w:color w:val="231F20"/>
          <w:w w:val="110"/>
        </w:rPr>
        <w:t>utilidad</w:t>
      </w:r>
      <w:r>
        <w:rPr>
          <w:color w:val="231F20"/>
          <w:spacing w:val="-9"/>
          <w:w w:val="110"/>
        </w:rPr>
        <w:t> </w:t>
      </w:r>
      <w:r>
        <w:rPr>
          <w:color w:val="231F20"/>
          <w:w w:val="110"/>
        </w:rPr>
        <w:t>o</w:t>
      </w:r>
      <w:r>
        <w:rPr>
          <w:color w:val="231F20"/>
          <w:spacing w:val="-9"/>
          <w:w w:val="110"/>
        </w:rPr>
        <w:t> </w:t>
      </w:r>
      <w:r>
        <w:rPr>
          <w:color w:val="231F20"/>
          <w:w w:val="110"/>
        </w:rPr>
        <w:t>ganancia</w:t>
      </w:r>
      <w:r>
        <w:rPr>
          <w:color w:val="231F20"/>
          <w:spacing w:val="-9"/>
          <w:w w:val="110"/>
        </w:rPr>
        <w:t> </w:t>
      </w:r>
      <w:r>
        <w:rPr>
          <w:color w:val="231F20"/>
          <w:w w:val="110"/>
        </w:rPr>
        <w:t>global</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clases</w:t>
      </w:r>
      <w:r>
        <w:rPr>
          <w:color w:val="231F20"/>
          <w:spacing w:val="-9"/>
          <w:w w:val="110"/>
        </w:rPr>
        <w:t> </w:t>
      </w:r>
      <w:r>
        <w:rPr>
          <w:color w:val="231F20"/>
          <w:w w:val="110"/>
        </w:rPr>
        <w:t>capitalistas.</w:t>
      </w:r>
      <w:r>
        <w:rPr>
          <w:color w:val="231F20"/>
          <w:w w:val="110"/>
          <w:position w:val="6"/>
          <w:sz w:val="13"/>
        </w:rPr>
        <w:t>3</w:t>
      </w:r>
      <w:r>
        <w:rPr>
          <w:color w:val="231F20"/>
          <w:spacing w:val="10"/>
          <w:w w:val="110"/>
          <w:position w:val="6"/>
          <w:sz w:val="13"/>
        </w:rPr>
        <w:t> </w:t>
      </w:r>
      <w:r>
        <w:rPr>
          <w:color w:val="231F20"/>
          <w:w w:val="110"/>
        </w:rPr>
        <w:t>Sobre ello,</w:t>
      </w:r>
      <w:r>
        <w:rPr>
          <w:color w:val="231F20"/>
          <w:spacing w:val="-7"/>
          <w:w w:val="110"/>
        </w:rPr>
        <w:t> </w:t>
      </w:r>
      <w:r>
        <w:rPr>
          <w:color w:val="231F20"/>
          <w:w w:val="110"/>
        </w:rPr>
        <w:t>señala</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sólo</w:t>
      </w:r>
      <w:r>
        <w:rPr>
          <w:color w:val="231F20"/>
          <w:spacing w:val="-7"/>
          <w:w w:val="110"/>
        </w:rPr>
        <w:t> </w:t>
      </w:r>
      <w:r>
        <w:rPr>
          <w:color w:val="231F20"/>
          <w:w w:val="110"/>
        </w:rPr>
        <w:t>soy</w:t>
      </w:r>
      <w:r>
        <w:rPr>
          <w:color w:val="231F20"/>
          <w:spacing w:val="-7"/>
          <w:w w:val="110"/>
        </w:rPr>
        <w:t> </w:t>
      </w:r>
      <w:r>
        <w:rPr>
          <w:color w:val="231F20"/>
          <w:w w:val="110"/>
        </w:rPr>
        <w:t>escéptico</w:t>
      </w:r>
      <w:r>
        <w:rPr>
          <w:color w:val="231F20"/>
          <w:spacing w:val="-7"/>
          <w:w w:val="110"/>
        </w:rPr>
        <w:t> </w:t>
      </w:r>
      <w:r>
        <w:rPr>
          <w:color w:val="231F20"/>
          <w:w w:val="110"/>
        </w:rPr>
        <w:t>en</w:t>
      </w:r>
      <w:r>
        <w:rPr>
          <w:color w:val="231F20"/>
          <w:spacing w:val="-7"/>
          <w:w w:val="110"/>
        </w:rPr>
        <w:t> </w:t>
      </w:r>
      <w:r>
        <w:rPr>
          <w:color w:val="231F20"/>
          <w:w w:val="110"/>
        </w:rPr>
        <w:t>cuanto</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producción global sea más ‘eficiente’ desde el punto de vista del productor,</w:t>
      </w:r>
      <w:r>
        <w:rPr>
          <w:color w:val="231F20"/>
          <w:spacing w:val="-28"/>
          <w:w w:val="110"/>
        </w:rPr>
        <w:t> </w:t>
      </w:r>
      <w:r>
        <w:rPr>
          <w:color w:val="231F20"/>
          <w:w w:val="110"/>
        </w:rPr>
        <w:t>sino que sostengo que la curva ha estado yendo persistentemente hacia abajo”. Wallerstein (2008b) sostiene que “las tasas de ganancia en las</w:t>
      </w:r>
      <w:r>
        <w:rPr>
          <w:color w:val="231F20"/>
          <w:spacing w:val="-8"/>
          <w:w w:val="110"/>
        </w:rPr>
        <w:t> </w:t>
      </w:r>
      <w:r>
        <w:rPr>
          <w:color w:val="231F20"/>
          <w:w w:val="110"/>
        </w:rPr>
        <w:t>actividades</w:t>
      </w:r>
      <w:r>
        <w:rPr>
          <w:color w:val="231F20"/>
          <w:spacing w:val="-8"/>
          <w:w w:val="110"/>
        </w:rPr>
        <w:t> </w:t>
      </w:r>
      <w:r>
        <w:rPr>
          <w:color w:val="231F20"/>
          <w:w w:val="110"/>
        </w:rPr>
        <w:t>productivas</w:t>
      </w:r>
      <w:r>
        <w:rPr>
          <w:color w:val="231F20"/>
          <w:spacing w:val="-8"/>
          <w:w w:val="110"/>
        </w:rPr>
        <w:t> </w:t>
      </w:r>
      <w:r>
        <w:rPr>
          <w:color w:val="231F20"/>
          <w:w w:val="110"/>
        </w:rPr>
        <w:t>bajan,</w:t>
      </w:r>
      <w:r>
        <w:rPr>
          <w:color w:val="231F20"/>
          <w:spacing w:val="-8"/>
          <w:w w:val="110"/>
        </w:rPr>
        <w:t> </w:t>
      </w:r>
      <w:r>
        <w:rPr>
          <w:color w:val="231F20"/>
          <w:w w:val="110"/>
        </w:rPr>
        <w:t>especialmente</w:t>
      </w:r>
      <w:r>
        <w:rPr>
          <w:color w:val="231F20"/>
          <w:spacing w:val="-8"/>
          <w:w w:val="110"/>
        </w:rPr>
        <w:t> </w:t>
      </w:r>
      <w:r>
        <w:rPr>
          <w:color w:val="231F20"/>
          <w:w w:val="110"/>
        </w:rPr>
        <w:t>en</w:t>
      </w:r>
      <w:r>
        <w:rPr>
          <w:color w:val="231F20"/>
          <w:spacing w:val="-8"/>
          <w:w w:val="110"/>
        </w:rPr>
        <w:t> </w:t>
      </w:r>
      <w:r>
        <w:rPr>
          <w:color w:val="231F20"/>
          <w:w w:val="110"/>
        </w:rPr>
        <w:t>aquellos</w:t>
      </w:r>
      <w:r>
        <w:rPr>
          <w:color w:val="231F20"/>
          <w:spacing w:val="-8"/>
          <w:w w:val="110"/>
        </w:rPr>
        <w:t> </w:t>
      </w:r>
      <w:r>
        <w:rPr>
          <w:color w:val="231F20"/>
          <w:w w:val="110"/>
        </w:rPr>
        <w:t>tipos</w:t>
      </w:r>
      <w:r>
        <w:rPr>
          <w:color w:val="231F20"/>
          <w:spacing w:val="-8"/>
          <w:w w:val="110"/>
        </w:rPr>
        <w:t> </w:t>
      </w:r>
      <w:r>
        <w:rPr>
          <w:color w:val="231F20"/>
          <w:w w:val="110"/>
        </w:rPr>
        <w:t>de producción que han sido más rentables”, por lo que los capitalistas que intentan obtener niveles de ganancia realmente altos recurren    a actividades financieras y se involucran básicamente en la especu- lación. Ciertamente, con el neoliberalismo se modificó la base de sustentación del proceso de acumulación, al desplazarse el ámbito de la producción al financiero. No obstante, los datos empíricos en relación</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supuesta</w:t>
      </w:r>
      <w:r>
        <w:rPr>
          <w:color w:val="231F20"/>
          <w:spacing w:val="-6"/>
          <w:w w:val="110"/>
        </w:rPr>
        <w:t> </w:t>
      </w:r>
      <w:r>
        <w:rPr>
          <w:color w:val="231F20"/>
          <w:w w:val="110"/>
        </w:rPr>
        <w:t>caída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tasa</w:t>
      </w:r>
      <w:r>
        <w:rPr>
          <w:color w:val="231F20"/>
          <w:spacing w:val="-6"/>
          <w:w w:val="110"/>
        </w:rPr>
        <w:t> </w:t>
      </w:r>
      <w:r>
        <w:rPr>
          <w:color w:val="231F20"/>
          <w:w w:val="110"/>
        </w:rPr>
        <w:t>de</w:t>
      </w:r>
      <w:r>
        <w:rPr>
          <w:color w:val="231F20"/>
          <w:spacing w:val="-6"/>
          <w:w w:val="110"/>
        </w:rPr>
        <w:t> </w:t>
      </w:r>
      <w:r>
        <w:rPr>
          <w:color w:val="231F20"/>
          <w:w w:val="110"/>
        </w:rPr>
        <w:t>ganancia</w:t>
      </w:r>
      <w:r>
        <w:rPr>
          <w:color w:val="231F20"/>
          <w:spacing w:val="-6"/>
          <w:w w:val="110"/>
        </w:rPr>
        <w:t> </w:t>
      </w:r>
      <w:r>
        <w:rPr>
          <w:color w:val="231F20"/>
          <w:w w:val="110"/>
        </w:rPr>
        <w:t>en</w:t>
      </w:r>
      <w:r>
        <w:rPr>
          <w:color w:val="231F20"/>
          <w:spacing w:val="-6"/>
          <w:w w:val="110"/>
        </w:rPr>
        <w:t> </w:t>
      </w:r>
      <w:r>
        <w:rPr>
          <w:color w:val="231F20"/>
          <w:w w:val="110"/>
        </w:rPr>
        <w:t>Estados</w:t>
      </w:r>
      <w:r>
        <w:rPr>
          <w:color w:val="231F20"/>
          <w:spacing w:val="-6"/>
          <w:w w:val="110"/>
        </w:rPr>
        <w:t> </w:t>
      </w:r>
      <w:r>
        <w:rPr>
          <w:color w:val="231F20"/>
          <w:w w:val="110"/>
        </w:rPr>
        <w:t>Uni- dos, y otros países y regiones del mundo que adoptaron el modelo neoliberal, sugieren lo</w:t>
      </w:r>
      <w:r>
        <w:rPr>
          <w:color w:val="231F20"/>
          <w:spacing w:val="49"/>
          <w:w w:val="110"/>
        </w:rPr>
        <w:t> </w:t>
      </w:r>
      <w:r>
        <w:rPr>
          <w:color w:val="231F20"/>
          <w:w w:val="110"/>
        </w:rPr>
        <w:t>contrario.</w:t>
      </w:r>
    </w:p>
    <w:p>
      <w:pPr>
        <w:pStyle w:val="BodyText"/>
        <w:spacing w:line="261" w:lineRule="auto"/>
        <w:ind w:left="100" w:right="112" w:firstLine="240"/>
        <w:jc w:val="both"/>
      </w:pPr>
      <w:r>
        <w:rPr>
          <w:color w:val="231F20"/>
          <w:w w:val="110"/>
        </w:rPr>
        <w:t>El planteamiento anterior, a todas luces, no parece coincidir con lo que sucede en Estados Unidos en las circunstancias propias del neoliberalismo</w:t>
      </w:r>
      <w:r>
        <w:rPr>
          <w:color w:val="231F20"/>
          <w:spacing w:val="-14"/>
          <w:w w:val="110"/>
        </w:rPr>
        <w:t> </w:t>
      </w:r>
      <w:r>
        <w:rPr>
          <w:color w:val="231F20"/>
          <w:w w:val="110"/>
        </w:rPr>
        <w:t>y</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coyuntura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actual</w:t>
      </w:r>
      <w:r>
        <w:rPr>
          <w:color w:val="231F20"/>
          <w:spacing w:val="-14"/>
          <w:w w:val="110"/>
        </w:rPr>
        <w:t> </w:t>
      </w:r>
      <w:r>
        <w:rPr>
          <w:color w:val="231F20"/>
          <w:w w:val="110"/>
        </w:rPr>
        <w:t>crisis,</w:t>
      </w:r>
      <w:r>
        <w:rPr>
          <w:color w:val="231F20"/>
          <w:spacing w:val="-14"/>
          <w:w w:val="110"/>
        </w:rPr>
        <w:t> </w:t>
      </w:r>
      <w:r>
        <w:rPr>
          <w:color w:val="231F20"/>
          <w:w w:val="110"/>
        </w:rPr>
        <w:t>con</w:t>
      </w:r>
      <w:r>
        <w:rPr>
          <w:color w:val="231F20"/>
          <w:spacing w:val="-14"/>
          <w:w w:val="110"/>
        </w:rPr>
        <w:t> </w:t>
      </w:r>
      <w:r>
        <w:rPr>
          <w:color w:val="231F20"/>
          <w:w w:val="110"/>
        </w:rPr>
        <w:t>el</w:t>
      </w:r>
      <w:r>
        <w:rPr>
          <w:color w:val="231F20"/>
          <w:spacing w:val="-14"/>
          <w:w w:val="110"/>
        </w:rPr>
        <w:t> </w:t>
      </w:r>
      <w:r>
        <w:rPr>
          <w:color w:val="231F20"/>
          <w:w w:val="110"/>
        </w:rPr>
        <w:t>incremento de la explotación del trabajo en el contexto del modelo neoliberal    y los consiguientes procesos de flexibilización, desregulación, des- localización y precarización del trabajo. Contrario a lo que supone Wallerstein, podemos observar en Estados Unidos dos tendencias opuestas, claramente marcadas a partir de la adopción del modelo neoliberal a mediados de los años setenta y particularmente a co- mienzos de los ochenta: por un lado, el reestablecimiento notable  de la tasa de beneficio y su mantenimiento aún en la coyuntura de  la crisis reciente </w:t>
      </w:r>
      <w:r>
        <w:rPr>
          <w:color w:val="231F20"/>
          <w:spacing w:val="-8"/>
          <w:w w:val="110"/>
        </w:rPr>
        <w:t>y, </w:t>
      </w:r>
      <w:r>
        <w:rPr>
          <w:color w:val="231F20"/>
          <w:w w:val="110"/>
        </w:rPr>
        <w:t>por el otro, la reducción sistemática de la parte del pib destinada a salarios desde comienzos de los años ochenta.  La tasa de beneficio, que había mostrado una tendencia a la baja en los decenios de 1960 y 1970, fue revertida a comienzos del de 1980 (Toussaint,</w:t>
      </w:r>
      <w:r>
        <w:rPr>
          <w:color w:val="231F20"/>
          <w:spacing w:val="42"/>
          <w:w w:val="110"/>
        </w:rPr>
        <w:t> </w:t>
      </w:r>
      <w:r>
        <w:rPr>
          <w:color w:val="231F20"/>
          <w:w w:val="110"/>
        </w:rPr>
        <w:t>2009).</w:t>
      </w:r>
      <w:r>
        <w:rPr>
          <w:color w:val="231F20"/>
          <w:spacing w:val="42"/>
          <w:w w:val="110"/>
        </w:rPr>
        <w:t> </w:t>
      </w:r>
      <w:r>
        <w:rPr>
          <w:color w:val="231F20"/>
          <w:w w:val="110"/>
        </w:rPr>
        <w:t>Como</w:t>
      </w:r>
      <w:r>
        <w:rPr>
          <w:color w:val="231F20"/>
          <w:spacing w:val="42"/>
          <w:w w:val="110"/>
        </w:rPr>
        <w:t> </w:t>
      </w:r>
      <w:r>
        <w:rPr>
          <w:color w:val="231F20"/>
          <w:w w:val="110"/>
        </w:rPr>
        <w:t>podemos</w:t>
      </w:r>
      <w:r>
        <w:rPr>
          <w:color w:val="231F20"/>
          <w:spacing w:val="42"/>
          <w:w w:val="110"/>
        </w:rPr>
        <w:t> </w:t>
      </w:r>
      <w:r>
        <w:rPr>
          <w:color w:val="231F20"/>
          <w:w w:val="110"/>
        </w:rPr>
        <w:t>observar,</w:t>
      </w:r>
      <w:r>
        <w:rPr>
          <w:color w:val="231F20"/>
          <w:spacing w:val="42"/>
          <w:w w:val="110"/>
        </w:rPr>
        <w:t> </w:t>
      </w:r>
      <w:r>
        <w:rPr>
          <w:color w:val="231F20"/>
          <w:w w:val="110"/>
        </w:rPr>
        <w:t>dicha</w:t>
      </w:r>
      <w:r>
        <w:rPr>
          <w:color w:val="231F20"/>
          <w:spacing w:val="42"/>
          <w:w w:val="110"/>
        </w:rPr>
        <w:t> </w:t>
      </w:r>
      <w:r>
        <w:rPr>
          <w:color w:val="231F20"/>
          <w:w w:val="110"/>
        </w:rPr>
        <w:t>tasa,</w:t>
      </w:r>
      <w:r>
        <w:rPr>
          <w:color w:val="231F20"/>
          <w:spacing w:val="42"/>
          <w:w w:val="110"/>
        </w:rPr>
        <w:t> </w:t>
      </w:r>
      <w:r>
        <w:rPr>
          <w:color w:val="231F20"/>
          <w:w w:val="110"/>
        </w:rPr>
        <w:t>definida</w:t>
      </w:r>
    </w:p>
    <w:p>
      <w:pPr>
        <w:pStyle w:val="BodyText"/>
      </w:pPr>
    </w:p>
    <w:p>
      <w:pPr>
        <w:spacing w:line="261" w:lineRule="auto" w:before="152"/>
        <w:ind w:left="100" w:right="117" w:firstLine="240"/>
        <w:jc w:val="both"/>
        <w:rPr>
          <w:sz w:val="16"/>
        </w:rPr>
      </w:pPr>
      <w:r>
        <w:rPr>
          <w:color w:val="231F20"/>
          <w:w w:val="110"/>
          <w:position w:val="5"/>
          <w:sz w:val="10"/>
        </w:rPr>
        <w:t>3 </w:t>
      </w:r>
      <w:r>
        <w:rPr>
          <w:color w:val="231F20"/>
          <w:w w:val="110"/>
          <w:sz w:val="16"/>
        </w:rPr>
        <w:t>Según Wallerstein (2008a), “el breve periodo neoliberal que se está terminando (</w:t>
      </w:r>
      <w:r>
        <w:rPr>
          <w:i/>
          <w:color w:val="231F20"/>
          <w:w w:val="110"/>
          <w:sz w:val="16"/>
        </w:rPr>
        <w:t>sic</w:t>
      </w:r>
      <w:r>
        <w:rPr>
          <w:color w:val="231F20"/>
          <w:w w:val="110"/>
          <w:sz w:val="16"/>
        </w:rPr>
        <w:t>) sólo ha invertido de modo provisorio la tendencia: a finales de los años</w:t>
      </w:r>
      <w:r>
        <w:rPr>
          <w:color w:val="231F20"/>
          <w:spacing w:val="-14"/>
          <w:w w:val="110"/>
          <w:sz w:val="16"/>
        </w:rPr>
        <w:t> </w:t>
      </w:r>
      <w:r>
        <w:rPr>
          <w:color w:val="231F20"/>
          <w:w w:val="110"/>
          <w:sz w:val="16"/>
        </w:rPr>
        <w:t>noventa, esos</w:t>
      </w:r>
      <w:r>
        <w:rPr>
          <w:color w:val="231F20"/>
          <w:spacing w:val="-3"/>
          <w:w w:val="110"/>
          <w:sz w:val="16"/>
        </w:rPr>
        <w:t> </w:t>
      </w:r>
      <w:r>
        <w:rPr>
          <w:color w:val="231F20"/>
          <w:w w:val="110"/>
          <w:sz w:val="16"/>
        </w:rPr>
        <w:t>costes</w:t>
      </w:r>
      <w:r>
        <w:rPr>
          <w:color w:val="231F20"/>
          <w:spacing w:val="-3"/>
          <w:w w:val="110"/>
          <w:sz w:val="16"/>
        </w:rPr>
        <w:t> </w:t>
      </w:r>
      <w:r>
        <w:rPr>
          <w:color w:val="231F20"/>
          <w:w w:val="110"/>
          <w:sz w:val="16"/>
        </w:rPr>
        <w:t>eran</w:t>
      </w:r>
      <w:r>
        <w:rPr>
          <w:color w:val="231F20"/>
          <w:spacing w:val="-3"/>
          <w:w w:val="110"/>
          <w:sz w:val="16"/>
        </w:rPr>
        <w:t> </w:t>
      </w:r>
      <w:r>
        <w:rPr>
          <w:color w:val="231F20"/>
          <w:w w:val="110"/>
          <w:sz w:val="16"/>
        </w:rPr>
        <w:t>ciertamente</w:t>
      </w:r>
      <w:r>
        <w:rPr>
          <w:color w:val="231F20"/>
          <w:spacing w:val="-3"/>
          <w:w w:val="110"/>
          <w:sz w:val="16"/>
        </w:rPr>
        <w:t> </w:t>
      </w:r>
      <w:r>
        <w:rPr>
          <w:color w:val="231F20"/>
          <w:w w:val="110"/>
          <w:sz w:val="16"/>
        </w:rPr>
        <w:t>menos</w:t>
      </w:r>
      <w:r>
        <w:rPr>
          <w:color w:val="231F20"/>
          <w:spacing w:val="-3"/>
          <w:w w:val="110"/>
          <w:sz w:val="16"/>
        </w:rPr>
        <w:t> </w:t>
      </w:r>
      <w:r>
        <w:rPr>
          <w:color w:val="231F20"/>
          <w:w w:val="110"/>
          <w:sz w:val="16"/>
        </w:rPr>
        <w:t>elevados</w:t>
      </w:r>
      <w:r>
        <w:rPr>
          <w:color w:val="231F20"/>
          <w:spacing w:val="-3"/>
          <w:w w:val="110"/>
          <w:sz w:val="16"/>
        </w:rPr>
        <w:t> </w:t>
      </w:r>
      <w:r>
        <w:rPr>
          <w:color w:val="231F20"/>
          <w:w w:val="110"/>
          <w:sz w:val="16"/>
        </w:rPr>
        <w:t>que</w:t>
      </w:r>
      <w:r>
        <w:rPr>
          <w:color w:val="231F20"/>
          <w:spacing w:val="-3"/>
          <w:w w:val="110"/>
          <w:sz w:val="16"/>
        </w:rPr>
        <w:t> </w:t>
      </w:r>
      <w:r>
        <w:rPr>
          <w:color w:val="231F20"/>
          <w:w w:val="110"/>
          <w:sz w:val="16"/>
        </w:rPr>
        <w:t>en</w:t>
      </w:r>
      <w:r>
        <w:rPr>
          <w:color w:val="231F20"/>
          <w:spacing w:val="-3"/>
          <w:w w:val="110"/>
          <w:sz w:val="16"/>
        </w:rPr>
        <w:t> </w:t>
      </w:r>
      <w:r>
        <w:rPr>
          <w:color w:val="231F20"/>
          <w:w w:val="110"/>
          <w:sz w:val="16"/>
        </w:rPr>
        <w:t>1970,</w:t>
      </w:r>
      <w:r>
        <w:rPr>
          <w:color w:val="231F20"/>
          <w:spacing w:val="-3"/>
          <w:w w:val="110"/>
          <w:sz w:val="16"/>
        </w:rPr>
        <w:t> </w:t>
      </w:r>
      <w:r>
        <w:rPr>
          <w:color w:val="231F20"/>
          <w:w w:val="110"/>
          <w:sz w:val="16"/>
        </w:rPr>
        <w:t>pero</w:t>
      </w:r>
      <w:r>
        <w:rPr>
          <w:color w:val="231F20"/>
          <w:spacing w:val="-3"/>
          <w:w w:val="110"/>
          <w:sz w:val="16"/>
        </w:rPr>
        <w:t> </w:t>
      </w:r>
      <w:r>
        <w:rPr>
          <w:color w:val="231F20"/>
          <w:w w:val="110"/>
          <w:sz w:val="16"/>
        </w:rPr>
        <w:t>eran</w:t>
      </w:r>
      <w:r>
        <w:rPr>
          <w:color w:val="231F20"/>
          <w:spacing w:val="-3"/>
          <w:w w:val="110"/>
          <w:sz w:val="16"/>
        </w:rPr>
        <w:t> </w:t>
      </w:r>
      <w:r>
        <w:rPr>
          <w:color w:val="231F20"/>
          <w:w w:val="110"/>
          <w:sz w:val="16"/>
        </w:rPr>
        <w:t>mucho</w:t>
      </w:r>
      <w:r>
        <w:rPr>
          <w:color w:val="231F20"/>
          <w:spacing w:val="-3"/>
          <w:w w:val="110"/>
          <w:sz w:val="16"/>
        </w:rPr>
        <w:t> </w:t>
      </w:r>
      <w:r>
        <w:rPr>
          <w:color w:val="231F20"/>
          <w:w w:val="110"/>
          <w:sz w:val="16"/>
        </w:rPr>
        <w:t>más</w:t>
      </w:r>
      <w:r>
        <w:rPr>
          <w:color w:val="231F20"/>
          <w:spacing w:val="-3"/>
          <w:w w:val="110"/>
          <w:sz w:val="16"/>
        </w:rPr>
        <w:t> </w:t>
      </w:r>
      <w:r>
        <w:rPr>
          <w:color w:val="231F20"/>
          <w:w w:val="110"/>
          <w:sz w:val="16"/>
        </w:rPr>
        <w:t>altos que en 1945”. La crisis actual, en la interpretación de Wallerstein, expresa el fin del periodo de hegemonía de Estados Unidos, caracterizada por el desplazamiento del centro</w:t>
      </w:r>
      <w:r>
        <w:rPr>
          <w:color w:val="231F20"/>
          <w:spacing w:val="-9"/>
          <w:w w:val="110"/>
          <w:sz w:val="16"/>
        </w:rPr>
        <w:t> </w:t>
      </w:r>
      <w:r>
        <w:rPr>
          <w:color w:val="231F20"/>
          <w:w w:val="110"/>
          <w:sz w:val="16"/>
        </w:rPr>
        <w:t>de</w:t>
      </w:r>
      <w:r>
        <w:rPr>
          <w:color w:val="231F20"/>
          <w:spacing w:val="-9"/>
          <w:w w:val="110"/>
          <w:sz w:val="16"/>
        </w:rPr>
        <w:t> </w:t>
      </w:r>
      <w:r>
        <w:rPr>
          <w:color w:val="231F20"/>
          <w:w w:val="110"/>
          <w:sz w:val="16"/>
        </w:rPr>
        <w:t>poder</w:t>
      </w:r>
      <w:r>
        <w:rPr>
          <w:color w:val="231F20"/>
          <w:spacing w:val="-9"/>
          <w:w w:val="110"/>
          <w:sz w:val="16"/>
        </w:rPr>
        <w:t> </w:t>
      </w:r>
      <w:r>
        <w:rPr>
          <w:color w:val="231F20"/>
          <w:w w:val="110"/>
          <w:sz w:val="16"/>
        </w:rPr>
        <w:t>económico</w:t>
      </w:r>
      <w:r>
        <w:rPr>
          <w:color w:val="231F20"/>
          <w:spacing w:val="-9"/>
          <w:w w:val="110"/>
          <w:sz w:val="16"/>
        </w:rPr>
        <w:t> </w:t>
      </w:r>
      <w:r>
        <w:rPr>
          <w:color w:val="231F20"/>
          <w:w w:val="110"/>
          <w:sz w:val="16"/>
        </w:rPr>
        <w:t>del</w:t>
      </w:r>
      <w:r>
        <w:rPr>
          <w:color w:val="231F20"/>
          <w:spacing w:val="-9"/>
          <w:w w:val="110"/>
          <w:sz w:val="16"/>
        </w:rPr>
        <w:t> </w:t>
      </w:r>
      <w:r>
        <w:rPr>
          <w:color w:val="231F20"/>
          <w:w w:val="110"/>
          <w:sz w:val="16"/>
        </w:rPr>
        <w:t>Atlántico</w:t>
      </w:r>
      <w:r>
        <w:rPr>
          <w:color w:val="231F20"/>
          <w:spacing w:val="-9"/>
          <w:w w:val="110"/>
          <w:sz w:val="16"/>
        </w:rPr>
        <w:t> </w:t>
      </w:r>
      <w:r>
        <w:rPr>
          <w:color w:val="231F20"/>
          <w:w w:val="110"/>
          <w:sz w:val="16"/>
        </w:rPr>
        <w:t>norte</w:t>
      </w:r>
      <w:r>
        <w:rPr>
          <w:color w:val="231F20"/>
          <w:spacing w:val="-9"/>
          <w:w w:val="110"/>
          <w:sz w:val="16"/>
        </w:rPr>
        <w:t> </w:t>
      </w:r>
      <w:r>
        <w:rPr>
          <w:color w:val="231F20"/>
          <w:w w:val="110"/>
          <w:sz w:val="16"/>
        </w:rPr>
        <w:t>al</w:t>
      </w:r>
      <w:r>
        <w:rPr>
          <w:color w:val="231F20"/>
          <w:spacing w:val="-9"/>
          <w:w w:val="110"/>
          <w:sz w:val="16"/>
        </w:rPr>
        <w:t> </w:t>
      </w:r>
      <w:r>
        <w:rPr>
          <w:color w:val="231F20"/>
          <w:w w:val="110"/>
          <w:sz w:val="16"/>
        </w:rPr>
        <w:t>sur</w:t>
      </w:r>
      <w:r>
        <w:rPr>
          <w:color w:val="231F20"/>
          <w:spacing w:val="-9"/>
          <w:w w:val="110"/>
          <w:sz w:val="16"/>
        </w:rPr>
        <w:t> </w:t>
      </w:r>
      <w:r>
        <w:rPr>
          <w:color w:val="231F20"/>
          <w:w w:val="110"/>
          <w:sz w:val="16"/>
        </w:rPr>
        <w:t>y</w:t>
      </w:r>
      <w:r>
        <w:rPr>
          <w:color w:val="231F20"/>
          <w:spacing w:val="-9"/>
          <w:w w:val="110"/>
          <w:sz w:val="16"/>
        </w:rPr>
        <w:t> </w:t>
      </w:r>
      <w:r>
        <w:rPr>
          <w:color w:val="231F20"/>
          <w:w w:val="110"/>
          <w:sz w:val="16"/>
        </w:rPr>
        <w:t>este</w:t>
      </w:r>
      <w:r>
        <w:rPr>
          <w:color w:val="231F20"/>
          <w:spacing w:val="-9"/>
          <w:w w:val="110"/>
          <w:sz w:val="16"/>
        </w:rPr>
        <w:t> </w:t>
      </w:r>
      <w:r>
        <w:rPr>
          <w:color w:val="231F20"/>
          <w:w w:val="110"/>
          <w:sz w:val="16"/>
        </w:rPr>
        <w:t>de</w:t>
      </w:r>
      <w:r>
        <w:rPr>
          <w:color w:val="231F20"/>
          <w:spacing w:val="-9"/>
          <w:w w:val="110"/>
          <w:sz w:val="16"/>
        </w:rPr>
        <w:t> </w:t>
      </w:r>
      <w:r>
        <w:rPr>
          <w:color w:val="231F20"/>
          <w:w w:val="110"/>
          <w:sz w:val="16"/>
        </w:rPr>
        <w:t>Asia,</w:t>
      </w:r>
      <w:r>
        <w:rPr>
          <w:color w:val="231F20"/>
          <w:spacing w:val="-9"/>
          <w:w w:val="110"/>
          <w:sz w:val="16"/>
        </w:rPr>
        <w:t> </w:t>
      </w:r>
      <w:r>
        <w:rPr>
          <w:color w:val="231F20"/>
          <w:w w:val="110"/>
          <w:sz w:val="16"/>
        </w:rPr>
        <w:t>a</w:t>
      </w:r>
      <w:r>
        <w:rPr>
          <w:color w:val="231F20"/>
          <w:spacing w:val="-9"/>
          <w:w w:val="110"/>
          <w:sz w:val="16"/>
        </w:rPr>
        <w:t> </w:t>
      </w:r>
      <w:r>
        <w:rPr>
          <w:color w:val="231F20"/>
          <w:w w:val="110"/>
          <w:sz w:val="16"/>
        </w:rPr>
        <w:t>Europa</w:t>
      </w:r>
      <w:r>
        <w:rPr>
          <w:color w:val="231F20"/>
          <w:spacing w:val="-9"/>
          <w:w w:val="110"/>
          <w:sz w:val="16"/>
        </w:rPr>
        <w:t> </w:t>
      </w:r>
      <w:r>
        <w:rPr>
          <w:color w:val="231F20"/>
          <w:w w:val="110"/>
          <w:sz w:val="16"/>
        </w:rPr>
        <w:t>Oriental, China, Brasil e India, con lo que se inicia una nueva hegemonía y la entrada a la fase terminal del sistema capitalista iniciada hace tres</w:t>
      </w:r>
      <w:r>
        <w:rPr>
          <w:color w:val="231F20"/>
          <w:spacing w:val="15"/>
          <w:w w:val="110"/>
          <w:sz w:val="16"/>
        </w:rPr>
        <w:t> </w:t>
      </w:r>
      <w:r>
        <w:rPr>
          <w:color w:val="231F20"/>
          <w:w w:val="110"/>
          <w:sz w:val="16"/>
        </w:rPr>
        <w:t>decenios.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619"/>
        <w:jc w:val="both"/>
      </w:pPr>
      <w:r>
        <w:rPr>
          <w:color w:val="231F20"/>
          <w:w w:val="110"/>
        </w:rPr>
        <w:t>como la proporción de ganancia a partir del capital</w:t>
      </w:r>
      <w:r>
        <w:rPr>
          <w:color w:val="231F20"/>
          <w:spacing w:val="28"/>
          <w:w w:val="110"/>
        </w:rPr>
        <w:t> </w:t>
      </w:r>
      <w:r>
        <w:rPr>
          <w:color w:val="231F20"/>
          <w:w w:val="110"/>
        </w:rPr>
        <w:t>invertido,</w:t>
      </w:r>
      <w:r>
        <w:rPr>
          <w:color w:val="231F20"/>
          <w:spacing w:val="3"/>
          <w:w w:val="110"/>
        </w:rPr>
        <w:t> </w:t>
      </w:r>
      <w:r>
        <w:rPr>
          <w:color w:val="231F20"/>
          <w:w w:val="110"/>
        </w:rPr>
        <w:t>creció</w:t>
      </w:r>
      <w:r>
        <w:rPr>
          <w:color w:val="231F20"/>
          <w:w w:val="108"/>
        </w:rPr>
        <w:t> </w:t>
      </w:r>
      <w:r>
        <w:rPr>
          <w:color w:val="231F20"/>
          <w:w w:val="110"/>
        </w:rPr>
        <w:t>sostenidamente desde entonces (gráfica 2). Pero este</w:t>
      </w:r>
      <w:r>
        <w:rPr>
          <w:color w:val="231F20"/>
          <w:spacing w:val="48"/>
          <w:w w:val="110"/>
        </w:rPr>
        <w:t> </w:t>
      </w:r>
      <w:r>
        <w:rPr>
          <w:color w:val="231F20"/>
          <w:w w:val="110"/>
        </w:rPr>
        <w:t>incremento</w:t>
      </w:r>
      <w:r>
        <w:rPr>
          <w:color w:val="231F20"/>
          <w:spacing w:val="7"/>
          <w:w w:val="110"/>
        </w:rPr>
        <w:t> </w:t>
      </w:r>
      <w:r>
        <w:rPr>
          <w:color w:val="231F20"/>
          <w:w w:val="110"/>
        </w:rPr>
        <w:t>no</w:t>
      </w:r>
      <w:r>
        <w:rPr>
          <w:color w:val="231F20"/>
          <w:w w:val="116"/>
        </w:rPr>
        <w:t> </w:t>
      </w:r>
      <w:r>
        <w:rPr>
          <w:color w:val="231F20"/>
          <w:w w:val="110"/>
        </w:rPr>
        <w:t>sólo aconteció en Estados Unidos, sino también en el resto de las economías</w:t>
      </w:r>
      <w:r>
        <w:rPr>
          <w:color w:val="231F20"/>
          <w:spacing w:val="-10"/>
          <w:w w:val="110"/>
        </w:rPr>
        <w:t> </w:t>
      </w:r>
      <w:r>
        <w:rPr>
          <w:color w:val="231F20"/>
          <w:w w:val="110"/>
        </w:rPr>
        <w:t>desarrolladas</w:t>
      </w:r>
      <w:r>
        <w:rPr>
          <w:color w:val="231F20"/>
          <w:spacing w:val="-10"/>
          <w:w w:val="110"/>
        </w:rPr>
        <w:t> </w:t>
      </w:r>
      <w:r>
        <w:rPr>
          <w:color w:val="231F20"/>
          <w:w w:val="110"/>
        </w:rPr>
        <w:t>y</w:t>
      </w:r>
      <w:r>
        <w:rPr>
          <w:color w:val="231F20"/>
          <w:spacing w:val="-10"/>
          <w:w w:val="110"/>
        </w:rPr>
        <w:t> </w:t>
      </w:r>
      <w:r>
        <w:rPr>
          <w:color w:val="231F20"/>
          <w:w w:val="110"/>
        </w:rPr>
        <w:t>subdesarrolladas</w:t>
      </w:r>
      <w:r>
        <w:rPr>
          <w:color w:val="231F20"/>
          <w:spacing w:val="-10"/>
          <w:w w:val="110"/>
        </w:rPr>
        <w:t> </w:t>
      </w:r>
      <w:r>
        <w:rPr>
          <w:color w:val="231F20"/>
          <w:w w:val="110"/>
        </w:rPr>
        <w:t>que</w:t>
      </w:r>
      <w:r>
        <w:rPr>
          <w:color w:val="231F20"/>
          <w:spacing w:val="-10"/>
          <w:w w:val="110"/>
        </w:rPr>
        <w:t> </w:t>
      </w:r>
      <w:r>
        <w:rPr>
          <w:color w:val="231F20"/>
          <w:w w:val="110"/>
        </w:rPr>
        <w:t>acogieron</w:t>
      </w:r>
      <w:r>
        <w:rPr>
          <w:color w:val="231F20"/>
          <w:spacing w:val="-10"/>
          <w:w w:val="110"/>
        </w:rPr>
        <w:t> </w:t>
      </w:r>
      <w:r>
        <w:rPr>
          <w:color w:val="231F20"/>
          <w:w w:val="110"/>
        </w:rPr>
        <w:t>el</w:t>
      </w:r>
      <w:r>
        <w:rPr>
          <w:color w:val="231F20"/>
          <w:spacing w:val="-10"/>
          <w:w w:val="110"/>
        </w:rPr>
        <w:t> </w:t>
      </w:r>
      <w:r>
        <w:rPr>
          <w:color w:val="231F20"/>
          <w:w w:val="110"/>
        </w:rPr>
        <w:t>modelo económico</w:t>
      </w:r>
      <w:r>
        <w:rPr>
          <w:color w:val="231F20"/>
          <w:spacing w:val="-11"/>
          <w:w w:val="110"/>
        </w:rPr>
        <w:t> </w:t>
      </w:r>
      <w:r>
        <w:rPr>
          <w:color w:val="231F20"/>
          <w:w w:val="110"/>
        </w:rPr>
        <w:t>neoliberal,</w:t>
      </w:r>
      <w:r>
        <w:rPr>
          <w:color w:val="231F20"/>
          <w:spacing w:val="-11"/>
          <w:w w:val="110"/>
        </w:rPr>
        <w:t> </w:t>
      </w:r>
      <w:r>
        <w:rPr>
          <w:color w:val="231F20"/>
          <w:w w:val="110"/>
        </w:rPr>
        <w:t>entre</w:t>
      </w:r>
      <w:r>
        <w:rPr>
          <w:color w:val="231F20"/>
          <w:spacing w:val="-11"/>
          <w:w w:val="110"/>
        </w:rPr>
        <w:t> </w:t>
      </w:r>
      <w:r>
        <w:rPr>
          <w:color w:val="231F20"/>
          <w:w w:val="110"/>
        </w:rPr>
        <w:t>ellas</w:t>
      </w:r>
      <w:r>
        <w:rPr>
          <w:color w:val="231F20"/>
          <w:spacing w:val="-11"/>
          <w:w w:val="110"/>
        </w:rPr>
        <w:t> </w:t>
      </w:r>
      <w:r>
        <w:rPr>
          <w:color w:val="231F20"/>
          <w:w w:val="110"/>
        </w:rPr>
        <w:t>la</w:t>
      </w:r>
      <w:r>
        <w:rPr>
          <w:color w:val="231F20"/>
          <w:spacing w:val="-11"/>
          <w:w w:val="110"/>
        </w:rPr>
        <w:t> </w:t>
      </w:r>
      <w:r>
        <w:rPr>
          <w:color w:val="231F20"/>
          <w:w w:val="110"/>
        </w:rPr>
        <w:t>Unión</w:t>
      </w:r>
      <w:r>
        <w:rPr>
          <w:color w:val="231F20"/>
          <w:spacing w:val="-11"/>
          <w:w w:val="110"/>
        </w:rPr>
        <w:t> </w:t>
      </w:r>
      <w:r>
        <w:rPr>
          <w:color w:val="231F20"/>
          <w:w w:val="110"/>
        </w:rPr>
        <w:t>Europea</w:t>
      </w:r>
      <w:r>
        <w:rPr>
          <w:color w:val="231F20"/>
          <w:spacing w:val="-11"/>
          <w:w w:val="110"/>
        </w:rPr>
        <w:t> </w:t>
      </w:r>
      <w:r>
        <w:rPr>
          <w:color w:val="231F20"/>
          <w:w w:val="110"/>
        </w:rPr>
        <w:t>y</w:t>
      </w:r>
      <w:r>
        <w:rPr>
          <w:color w:val="231F20"/>
          <w:spacing w:val="-11"/>
          <w:w w:val="110"/>
        </w:rPr>
        <w:t> </w:t>
      </w:r>
      <w:r>
        <w:rPr>
          <w:color w:val="231F20"/>
          <w:w w:val="110"/>
        </w:rPr>
        <w:t>Japón</w:t>
      </w:r>
      <w:r>
        <w:rPr>
          <w:color w:val="231F20"/>
          <w:spacing w:val="-11"/>
          <w:w w:val="110"/>
        </w:rPr>
        <w:t> </w:t>
      </w:r>
      <w:r>
        <w:rPr>
          <w:color w:val="231F20"/>
          <w:w w:val="110"/>
        </w:rPr>
        <w:t>(Husson,</w:t>
      </w:r>
      <w:r>
        <w:rPr>
          <w:color w:val="231F20"/>
          <w:w w:val="111"/>
        </w:rPr>
        <w:t> </w:t>
      </w:r>
      <w:r>
        <w:rPr>
          <w:color w:val="231F20"/>
          <w:w w:val="110"/>
        </w:rPr>
        <w:t>2008a</w:t>
      </w:r>
      <w:r>
        <w:rPr>
          <w:color w:val="231F20"/>
          <w:spacing w:val="-24"/>
          <w:w w:val="110"/>
        </w:rPr>
        <w:t> </w:t>
      </w:r>
      <w:r>
        <w:rPr>
          <w:color w:val="231F20"/>
          <w:w w:val="110"/>
        </w:rPr>
        <w:t>y</w:t>
      </w:r>
      <w:r>
        <w:rPr>
          <w:color w:val="231F20"/>
          <w:spacing w:val="-24"/>
          <w:w w:val="110"/>
        </w:rPr>
        <w:t> </w:t>
      </w:r>
      <w:r>
        <w:rPr>
          <w:color w:val="231F20"/>
          <w:w w:val="110"/>
        </w:rPr>
        <w:t>2010;</w:t>
      </w:r>
      <w:r>
        <w:rPr>
          <w:color w:val="231F20"/>
          <w:spacing w:val="-24"/>
          <w:w w:val="110"/>
        </w:rPr>
        <w:t> </w:t>
      </w:r>
      <w:r>
        <w:rPr>
          <w:color w:val="231F20"/>
          <w:w w:val="110"/>
        </w:rPr>
        <w:t>Toussaint,</w:t>
      </w:r>
      <w:r>
        <w:rPr>
          <w:color w:val="231F20"/>
          <w:spacing w:val="-24"/>
          <w:w w:val="110"/>
        </w:rPr>
        <w:t> </w:t>
      </w:r>
      <w:r>
        <w:rPr>
          <w:color w:val="231F20"/>
          <w:w w:val="110"/>
        </w:rPr>
        <w:t>2009).</w:t>
      </w:r>
    </w:p>
    <w:p>
      <w:pPr>
        <w:pStyle w:val="BodyText"/>
        <w:spacing w:before="2"/>
        <w:rPr>
          <w:sz w:val="24"/>
        </w:rPr>
      </w:pPr>
    </w:p>
    <w:p>
      <w:pPr>
        <w:spacing w:line="290" w:lineRule="auto" w:before="0"/>
        <w:ind w:left="100" w:right="710" w:firstLine="0"/>
        <w:jc w:val="both"/>
        <w:rPr>
          <w:sz w:val="18"/>
        </w:rPr>
      </w:pPr>
      <w:r>
        <w:rPr>
          <w:color w:val="231F20"/>
          <w:w w:val="125"/>
          <w:sz w:val="18"/>
        </w:rPr>
        <w:t>gráfica 2. evolución de la tasa de beneficio y parte correspondiente</w:t>
      </w:r>
      <w:r>
        <w:rPr>
          <w:color w:val="231F20"/>
          <w:spacing w:val="-12"/>
          <w:w w:val="125"/>
          <w:sz w:val="18"/>
        </w:rPr>
        <w:t> </w:t>
      </w:r>
      <w:r>
        <w:rPr>
          <w:color w:val="231F20"/>
          <w:w w:val="125"/>
          <w:sz w:val="18"/>
        </w:rPr>
        <w:t>a</w:t>
      </w:r>
      <w:r>
        <w:rPr>
          <w:color w:val="231F20"/>
          <w:spacing w:val="-12"/>
          <w:w w:val="125"/>
          <w:sz w:val="18"/>
        </w:rPr>
        <w:t> </w:t>
      </w:r>
      <w:r>
        <w:rPr>
          <w:color w:val="231F20"/>
          <w:w w:val="125"/>
          <w:sz w:val="18"/>
        </w:rPr>
        <w:t>los</w:t>
      </w:r>
      <w:r>
        <w:rPr>
          <w:color w:val="231F20"/>
          <w:spacing w:val="-12"/>
          <w:w w:val="125"/>
          <w:sz w:val="18"/>
        </w:rPr>
        <w:t> </w:t>
      </w:r>
      <w:r>
        <w:rPr>
          <w:color w:val="231F20"/>
          <w:w w:val="125"/>
          <w:sz w:val="18"/>
        </w:rPr>
        <w:t>salarios</w:t>
      </w:r>
      <w:r>
        <w:rPr>
          <w:color w:val="231F20"/>
          <w:spacing w:val="-12"/>
          <w:w w:val="125"/>
          <w:sz w:val="18"/>
        </w:rPr>
        <w:t> </w:t>
      </w:r>
      <w:r>
        <w:rPr>
          <w:color w:val="231F20"/>
          <w:w w:val="125"/>
          <w:sz w:val="18"/>
        </w:rPr>
        <w:t>en</w:t>
      </w:r>
      <w:r>
        <w:rPr>
          <w:color w:val="231F20"/>
          <w:spacing w:val="-12"/>
          <w:w w:val="125"/>
          <w:sz w:val="18"/>
        </w:rPr>
        <w:t> </w:t>
      </w:r>
      <w:r>
        <w:rPr>
          <w:color w:val="231F20"/>
          <w:w w:val="125"/>
          <w:sz w:val="18"/>
        </w:rPr>
        <w:t>el</w:t>
      </w:r>
      <w:r>
        <w:rPr>
          <w:color w:val="231F20"/>
          <w:spacing w:val="-12"/>
          <w:w w:val="125"/>
          <w:sz w:val="18"/>
        </w:rPr>
        <w:t> </w:t>
      </w:r>
      <w:r>
        <w:rPr>
          <w:color w:val="231F20"/>
          <w:w w:val="125"/>
          <w:sz w:val="18"/>
        </w:rPr>
        <w:t>pib,</w:t>
      </w:r>
      <w:r>
        <w:rPr>
          <w:color w:val="231F20"/>
          <w:spacing w:val="-12"/>
          <w:w w:val="125"/>
          <w:sz w:val="18"/>
        </w:rPr>
        <w:t> </w:t>
      </w:r>
      <w:r>
        <w:rPr>
          <w:color w:val="231F20"/>
          <w:w w:val="125"/>
          <w:sz w:val="18"/>
        </w:rPr>
        <w:t>estados</w:t>
      </w:r>
      <w:r>
        <w:rPr>
          <w:color w:val="231F20"/>
          <w:spacing w:val="-12"/>
          <w:w w:val="125"/>
          <w:sz w:val="18"/>
        </w:rPr>
        <w:t> </w:t>
      </w:r>
      <w:r>
        <w:rPr>
          <w:color w:val="231F20"/>
          <w:w w:val="125"/>
          <w:sz w:val="18"/>
        </w:rPr>
        <w:t>unidos,</w:t>
      </w:r>
      <w:r>
        <w:rPr>
          <w:color w:val="231F20"/>
          <w:spacing w:val="-12"/>
          <w:w w:val="125"/>
          <w:sz w:val="18"/>
        </w:rPr>
        <w:t> </w:t>
      </w:r>
      <w:r>
        <w:rPr>
          <w:color w:val="231F20"/>
          <w:w w:val="125"/>
          <w:sz w:val="18"/>
        </w:rPr>
        <w:t>1960-2011</w:t>
      </w:r>
    </w:p>
    <w:p>
      <w:pPr>
        <w:spacing w:after="0" w:line="290" w:lineRule="auto"/>
        <w:jc w:val="both"/>
        <w:rPr>
          <w:sz w:val="18"/>
        </w:rPr>
        <w:sectPr>
          <w:pgSz w:w="7640" w:h="11900"/>
          <w:pgMar w:header="672" w:footer="0" w:top="860" w:bottom="280" w:left="780" w:right="140"/>
        </w:sectPr>
      </w:pPr>
    </w:p>
    <w:p>
      <w:pPr>
        <w:spacing w:before="96"/>
        <w:ind w:left="254" w:right="-11" w:firstLine="0"/>
        <w:jc w:val="left"/>
        <w:rPr>
          <w:sz w:val="16"/>
        </w:rPr>
      </w:pPr>
      <w:r>
        <w:rPr>
          <w:color w:val="231F20"/>
          <w:sz w:val="16"/>
        </w:rPr>
        <w:t>12 —</w:t>
      </w:r>
    </w:p>
    <w:p>
      <w:pPr>
        <w:pStyle w:val="BodyText"/>
        <w:rPr>
          <w:sz w:val="16"/>
        </w:rPr>
      </w:pPr>
    </w:p>
    <w:p>
      <w:pPr>
        <w:spacing w:before="98"/>
        <w:ind w:left="254" w:right="-11" w:firstLine="0"/>
        <w:jc w:val="left"/>
        <w:rPr>
          <w:sz w:val="16"/>
        </w:rPr>
      </w:pPr>
      <w:r>
        <w:rPr>
          <w:color w:val="231F20"/>
          <w:sz w:val="16"/>
        </w:rPr>
        <w:t>10 —</w:t>
      </w:r>
    </w:p>
    <w:p>
      <w:pPr>
        <w:pStyle w:val="BodyText"/>
        <w:rPr>
          <w:sz w:val="16"/>
        </w:rPr>
      </w:pPr>
    </w:p>
    <w:p>
      <w:pPr>
        <w:spacing w:before="98"/>
        <w:ind w:left="338" w:right="-15" w:firstLine="0"/>
        <w:jc w:val="left"/>
        <w:rPr>
          <w:sz w:val="16"/>
        </w:rPr>
      </w:pPr>
      <w:r>
        <w:rPr/>
        <w:pict>
          <v:shape style="position:absolute;margin-left:42.971199pt;margin-top:13.196551pt;width:10pt;height:39.3pt;mso-position-horizontal-relative:page;mso-position-vertical-relative:paragraph;z-index:6544" type="#_x0000_t202" filled="false" stroked="false">
            <v:textbox inset="0,0,0,0" style="layout-flow:vertical;mso-layout-flow-alt:bottom-to-top">
              <w:txbxContent>
                <w:p>
                  <w:pPr>
                    <w:spacing w:line="178" w:lineRule="exact" w:before="0"/>
                    <w:ind w:left="20" w:right="-586" w:firstLine="0"/>
                    <w:jc w:val="left"/>
                    <w:rPr>
                      <w:sz w:val="16"/>
                    </w:rPr>
                  </w:pPr>
                  <w:r>
                    <w:rPr>
                      <w:color w:val="231F20"/>
                      <w:w w:val="110"/>
                      <w:sz w:val="16"/>
                    </w:rPr>
                    <w:t>Porcentaje</w:t>
                  </w:r>
                </w:p>
              </w:txbxContent>
            </v:textbox>
            <w10:wrap type="none"/>
          </v:shape>
        </w:pict>
      </w:r>
      <w:r>
        <w:rPr>
          <w:color w:val="231F20"/>
          <w:sz w:val="16"/>
        </w:rPr>
        <w:t>8 —</w:t>
      </w:r>
    </w:p>
    <w:p>
      <w:pPr>
        <w:pStyle w:val="BodyText"/>
        <w:rPr>
          <w:sz w:val="16"/>
        </w:rPr>
      </w:pPr>
    </w:p>
    <w:p>
      <w:pPr>
        <w:spacing w:before="98"/>
        <w:ind w:left="338" w:right="-15" w:firstLine="0"/>
        <w:jc w:val="left"/>
        <w:rPr>
          <w:sz w:val="16"/>
        </w:rPr>
      </w:pPr>
      <w:r>
        <w:rPr>
          <w:color w:val="231F20"/>
          <w:sz w:val="16"/>
        </w:rPr>
        <w:t>6 —</w:t>
      </w:r>
    </w:p>
    <w:p>
      <w:pPr>
        <w:pStyle w:val="BodyText"/>
        <w:rPr>
          <w:sz w:val="16"/>
        </w:rPr>
      </w:pPr>
    </w:p>
    <w:p>
      <w:pPr>
        <w:spacing w:before="98"/>
        <w:ind w:left="338" w:right="-15" w:firstLine="0"/>
        <w:jc w:val="left"/>
        <w:rPr>
          <w:sz w:val="16"/>
        </w:rPr>
      </w:pPr>
      <w:r>
        <w:rPr>
          <w:color w:val="231F20"/>
          <w:sz w:val="16"/>
        </w:rPr>
        <w:t>4 —</w:t>
      </w:r>
    </w:p>
    <w:p>
      <w:pPr>
        <w:pStyle w:val="BodyText"/>
        <w:rPr>
          <w:sz w:val="16"/>
        </w:rPr>
      </w:pPr>
    </w:p>
    <w:p>
      <w:pPr>
        <w:spacing w:before="98"/>
        <w:ind w:left="338" w:right="-15" w:firstLine="0"/>
        <w:jc w:val="left"/>
        <w:rPr>
          <w:sz w:val="16"/>
        </w:rPr>
      </w:pPr>
      <w:r>
        <w:rPr>
          <w:color w:val="231F20"/>
          <w:sz w:val="16"/>
        </w:rPr>
        <w:t>2 —</w:t>
      </w:r>
    </w:p>
    <w:p>
      <w:pPr>
        <w:pStyle w:val="BodyText"/>
        <w:rPr>
          <w:sz w:val="16"/>
        </w:rPr>
      </w:pPr>
    </w:p>
    <w:p>
      <w:pPr>
        <w:spacing w:before="98"/>
        <w:ind w:left="338" w:right="-15" w:firstLine="0"/>
        <w:jc w:val="left"/>
        <w:rPr>
          <w:sz w:val="16"/>
        </w:rPr>
      </w:pPr>
      <w:r>
        <w:rPr/>
        <w:pict>
          <v:shape style="position:absolute;margin-left:65.471199pt;margin-top:12.818544pt;width:10pt;height:28.75pt;mso-position-horizontal-relative:page;mso-position-vertical-relative:paragraph;z-index:-35077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1960</w:t>
                  </w:r>
                  <w:r>
                    <w:rPr>
                      <w:color w:val="231F20"/>
                      <w:spacing w:val="1"/>
                      <w:sz w:val="16"/>
                    </w:rPr>
                    <w:t> </w:t>
                  </w:r>
                  <w:r>
                    <w:rPr>
                      <w:color w:val="231F20"/>
                      <w:sz w:val="16"/>
                    </w:rPr>
                    <w:t>—</w:t>
                  </w:r>
                </w:p>
              </w:txbxContent>
            </v:textbox>
            <w10:wrap type="none"/>
          </v:shape>
        </w:pict>
      </w:r>
      <w:r>
        <w:rPr>
          <w:color w:val="231F20"/>
          <w:sz w:val="16"/>
        </w:rPr>
        <w:t>0 —</w:t>
      </w:r>
    </w:p>
    <w:p>
      <w:pPr>
        <w:spacing w:before="90"/>
        <w:ind w:left="254" w:right="0" w:firstLine="0"/>
        <w:jc w:val="left"/>
        <w:rPr>
          <w:sz w:val="16"/>
        </w:rPr>
      </w:pPr>
      <w:r>
        <w:rPr/>
        <w:br w:type="column"/>
      </w:r>
      <w:r>
        <w:rPr>
          <w:color w:val="231F20"/>
          <w:sz w:val="16"/>
        </w:rPr>
        <w:t>— 68</w:t>
      </w:r>
    </w:p>
    <w:p>
      <w:pPr>
        <w:pStyle w:val="BodyText"/>
        <w:rPr>
          <w:sz w:val="16"/>
        </w:rPr>
      </w:pPr>
    </w:p>
    <w:p>
      <w:pPr>
        <w:pStyle w:val="BodyText"/>
        <w:spacing w:before="8"/>
        <w:rPr>
          <w:sz w:val="16"/>
        </w:rPr>
      </w:pPr>
    </w:p>
    <w:p>
      <w:pPr>
        <w:spacing w:before="0"/>
        <w:ind w:left="254" w:right="0" w:firstLine="0"/>
        <w:jc w:val="left"/>
        <w:rPr>
          <w:sz w:val="16"/>
        </w:rPr>
      </w:pPr>
      <w:r>
        <w:rPr/>
        <w:pict>
          <v:group style="position:absolute;margin-left:70.399696pt;margin-top:-22.726446pt;width:252.3pt;height:140.15pt;mso-position-horizontal-relative:page;mso-position-vertical-relative:paragraph;z-index:6520" coordorigin="1408,-455" coordsize="5046,2803">
            <v:shape style="position:absolute;left:1413;top:-450;width:5036;height:2793" coordorigin="1413,-450" coordsize="5036,2793" path="m1414,-450l1413,2343,6449,2342,6449,-450e" filled="false" stroked="true" strokeweight=".5pt" strokecolor="#231f20">
              <v:path arrowok="t"/>
            </v:shape>
            <v:shape style="position:absolute;left:1468;top:-258;width:4944;height:1315" coordorigin="1468,-258" coordsize="4944,1315" path="m1468,989l1570,931,1654,816,1762,762,1864,661,1948,559,2050,511,2134,582,2248,576,2338,672,2434,789,2544,714,2650,669,2728,636,2824,799,2914,834,3024,762,3118,769,3208,739,3304,792,3406,949,3508,889,3598,1056,3704,841,3802,649,3892,564,4000,571,4072,594,4192,541,4270,421,4366,414,4464,451,4584,309,4678,259,4762,162,4864,162,4960,36,5056,-51,5152,-18,5248,-71,5344,29,5434,69,5530,-11,5638,-24,5728,-114,5830,-101,5926,-41,6010,-41,6118,29,6208,36,6310,-209,6412,-258e" filled="false" stroked="true" strokeweight=".5pt" strokecolor="#231f20">
              <v:path arrowok="t"/>
            </v:shape>
            <v:line style="position:absolute" from="1490,92" to="1548,152" stroked="true" strokeweight=".5pt" strokecolor="#231f20">
              <v:stroke dashstyle="dash"/>
            </v:line>
            <v:line style="position:absolute" from="1585,196" to="1639,269" stroked="true" strokeweight=".5pt" strokecolor="#231f20">
              <v:stroke dashstyle="dash"/>
            </v:line>
            <v:line style="position:absolute" from="1683,307" to="1838,407" stroked="true" strokeweight=".5pt" strokecolor="#231f20">
              <v:stroke dashstyle="dash"/>
            </v:line>
            <v:line style="position:absolute" from="1874,450" to="1937,567" stroked="true" strokeweight=".5pt" strokecolor="#231f20">
              <v:stroke dashstyle="dash"/>
            </v:line>
            <v:line style="position:absolute" from="1982,580" to="2020,571" stroked="true" strokeweight=".5pt" strokecolor="#231f20">
              <v:stroke dashstyle="dash"/>
            </v:line>
            <v:line style="position:absolute" from="2061,536" to="2131,423" stroked="true" strokeweight=".5pt" strokecolor="#231f20">
              <v:stroke dashstyle="dash"/>
            </v:line>
            <v:line style="position:absolute" from="2167,383" to="2226,332" stroked="true" strokeweight=".5pt" strokecolor="#231f20">
              <v:stroke dashstyle="dash"/>
            </v:line>
            <v:line style="position:absolute" from="2255,285" to="2328,102" stroked="true" strokeweight=".5pt" strokecolor="#231f20">
              <v:stroke dashstyle="dash"/>
            </v:line>
            <v:line style="position:absolute" from="2354,50" to="2417,-63" stroked="true" strokeweight=".5pt" strokecolor="#231f20">
              <v:stroke dashstyle="dash"/>
            </v:line>
            <v:line style="position:absolute" from="2441,-49" to="2514,138" stroked="true" strokeweight=".5pt" strokecolor="#231f20">
              <v:stroke dashstyle="dash"/>
            </v:line>
            <v:line style="position:absolute" from="2559,168" to="2697,189" stroked="true" strokeweight=".5pt" strokecolor="#231f20">
              <v:stroke dashstyle="dash"/>
            </v:line>
            <v:line style="position:absolute" from="2740,162" to="2811,40" stroked="true" strokeweight=".5pt" strokecolor="#231f20">
              <v:stroke dashstyle="dash"/>
            </v:line>
            <v:line style="position:absolute" from="2832,51" to="2902,319" stroked="true" strokeweight=".5pt" strokecolor="#231f20">
              <v:stroke dashstyle="dash"/>
            </v:line>
            <v:line style="position:absolute" from="2946,353" to="2989,365" stroked="true" strokeweight=".5pt" strokecolor="#231f20">
              <v:stroke dashstyle="dash"/>
            </v:line>
            <v:line style="position:absolute" from="3047,364" to="3083,354" stroked="true" strokeweight=".5pt" strokecolor="#231f20">
              <v:stroke dashstyle="dash"/>
            </v:line>
            <v:line style="position:absolute" from="3142,349" to="3183,349" stroked="true" strokeweight=".5pt" strokecolor="#231f20">
              <v:stroke dashstyle="dash"/>
            </v:line>
            <v:line style="position:absolute" from="3242,321" to="3280,290" stroked="true" strokeweight=".5pt" strokecolor="#231f20">
              <v:stroke dashstyle="dash"/>
            </v:line>
            <v:line style="position:absolute" from="3321,240" to="3388,118" stroked="true" strokeweight=".5pt" strokecolor="#231f20">
              <v:stroke dashstyle="dash"/>
            </v:line>
            <v:line style="position:absolute" from="3413,126" to="3486,287" stroked="true" strokeweight=".5pt" strokecolor="#231f20">
              <v:stroke dashstyle="dash"/>
            </v:line>
            <v:line style="position:absolute" from="3510,273" to="3582,80" stroked="true" strokeweight=".5pt" strokecolor="#231f20">
              <v:stroke dashstyle="dash"/>
            </v:line>
            <v:line style="position:absolute" from="3601,87" to="3676,355" stroked="true" strokeweight=".5pt" strokecolor="#231f20">
              <v:stroke dashstyle="dash"/>
            </v:line>
            <v:line style="position:absolute" from="3706,409" to="3767,489" stroked="true" strokeweight=".5pt" strokecolor="#231f20">
              <v:stroke dashstyle="dash"/>
            </v:line>
            <v:line style="position:absolute" from="3820,527" to="3861,546" stroked="true" strokeweight=".5pt" strokecolor="#231f20">
              <v:stroke dashstyle="dash"/>
            </v:line>
            <v:line style="position:absolute" from="3922,544" to="3962,527" stroked="true" strokeweight=".5pt" strokecolor="#231f20">
              <v:stroke dashstyle="dash"/>
            </v:line>
            <v:line style="position:absolute" from="4018,489" to="4051,458" stroked="true" strokeweight=".5pt" strokecolor="#231f20">
              <v:stroke dashstyle="dash"/>
            </v:line>
            <v:line style="position:absolute" from="4112,424" to="4158,407" stroked="true" strokeweight=".5pt" strokecolor="#231f20">
              <v:stroke dashstyle="dash"/>
            </v:line>
            <v:line style="position:absolute" from="4202,431" to="4265,570" stroked="true" strokeweight=".5pt" strokecolor="#231f20">
              <v:stroke dashstyle="dash"/>
            </v:line>
            <v:line style="position:absolute" from="4309,576" to="4441,500" stroked="true" strokeweight=".5pt" strokecolor="#231f20">
              <v:stroke dashstyle="dash"/>
            </v:line>
            <v:line style="position:absolute" from="4487,506" to="4547,556" stroked="true" strokeweight=".5pt" strokecolor="#231f20">
              <v:stroke dashstyle="dash"/>
            </v:line>
            <v:line style="position:absolute" from="4600,579" to="4640,589" stroked="true" strokeweight=".5pt" strokecolor="#231f20">
              <v:stroke dashstyle="dash"/>
            </v:line>
            <v:line style="position:absolute" from="4681,621" to="4740,731" stroked="true" strokeweight=".5pt" strokecolor="#231f20">
              <v:stroke dashstyle="dash"/>
            </v:line>
            <v:line style="position:absolute" from="4786,744" to="4827,737" stroked="true" strokeweight=".5pt" strokecolor="#231f20">
              <v:stroke dashstyle="dash"/>
            </v:line>
            <v:line style="position:absolute" from="4869,762" to="4936,879" stroked="true" strokeweight=".5pt" strokecolor="#231f20">
              <v:stroke dashstyle="dash"/>
            </v:line>
            <v:line style="position:absolute" from="4982,915" to="5020,932" stroked="true" strokeweight=".5pt" strokecolor="#231f20">
              <v:stroke dashstyle="dash"/>
            </v:line>
            <v:line style="position:absolute" from="5057,909" to="5125,726" stroked="true" strokeweight=".5pt" strokecolor="#231f20">
              <v:stroke dashstyle="dash"/>
            </v:line>
            <v:line style="position:absolute" from="5172,711" to="5215,721" stroked="true" strokeweight=".5pt" strokecolor="#231f20">
              <v:stroke dashstyle="dash"/>
            </v:line>
            <v:line style="position:absolute" from="5260,692" to="5331,553" stroked="true" strokeweight=".5pt" strokecolor="#231f20">
              <v:stroke dashstyle="dash"/>
            </v:line>
            <v:line style="position:absolute" from="5375,535" to="5412,544" stroked="true" strokeweight=".5pt" strokecolor="#231f20">
              <v:stroke dashstyle="dash"/>
            </v:line>
            <v:line style="position:absolute" from="5450,584" to="5513,724" stroked="true" strokeweight=".5pt" strokecolor="#231f20">
              <v:stroke dashstyle="dash"/>
            </v:line>
            <v:line style="position:absolute" from="5560,749" to="5600,750" stroked="true" strokeweight=".5pt" strokecolor="#231f20">
              <v:stroke dashstyle="dash"/>
            </v:line>
            <v:line style="position:absolute" from="5639,780" to="5712,939" stroked="true" strokeweight=".5pt" strokecolor="#231f20">
              <v:stroke dashstyle="dash"/>
            </v:line>
            <v:line style="position:absolute" from="5745,991" to="5802,1071" stroked="true" strokeweight=".5pt" strokecolor="#231f20">
              <v:stroke dashstyle="dash"/>
            </v:line>
            <v:line style="position:absolute" from="5856,1103" to="5899,1115" stroked="true" strokeweight=".5pt" strokecolor="#231f20">
              <v:stroke dashstyle="dash"/>
            </v:line>
            <v:line style="position:absolute" from="5957,1125" to="5993,1127" stroked="true" strokeweight=".5pt" strokecolor="#231f20">
              <v:stroke dashstyle="dash"/>
            </v:line>
            <v:line style="position:absolute" from="6050,1118" to="6088,1106" stroked="true" strokeweight=".5pt" strokecolor="#231f20">
              <v:stroke dashstyle="dash"/>
            </v:line>
            <v:line style="position:absolute" from="6130,1130" to="6201,1256" stroked="true" strokeweight=".5pt" strokecolor="#231f20">
              <v:stroke dashstyle="dash"/>
            </v:line>
            <v:line style="position:absolute" from="6227,1313" to="6295,1500" stroked="true" strokeweight=".5pt" strokecolor="#231f20">
              <v:stroke dashstyle="dash"/>
            </v:line>
            <v:line style="position:absolute" from="6320,1552" to="6383,1661" stroked="true" strokeweight=".5pt" strokecolor="#231f20">
              <v:stroke dashstyle="dash"/>
            </v:line>
            <v:shape style="position:absolute;left:0;top:7781;width:4926;height:1765" coordorigin="0,7781" coordsize="4926,1765" path="m1468,69l1478,79m1554,158l1564,169,1573,181m1645,276l1654,289,1666,296m1846,413l1858,421,1865,433m1941,576l1948,589,1962,585m2030,568l2044,564,2052,552m2136,415l2144,402,2154,394m2232,327l2242,319,2248,304m2332,93l2338,79,2345,66m2421,-71l2428,-84,2434,-69m2518,148l2524,162,2539,165m2707,190l2722,192,2730,179m2816,31l2824,19,2828,32m2904,329l2908,342,2924,347m3000,368l3016,372,3030,369m3092,352l3106,349,3121,349m3193,349l3208,349,3222,337m3290,282l3304,271,3311,257m3393,110l3400,96,3406,109m3490,296l3496,309,3502,294m3586,69l3592,54,3596,69m3678,364l3682,379,3692,391m3774,498l3784,511,3799,518m3871,551l3886,559,3901,552m3973,523l3988,516,4000,505m4060,450l4072,439,4089,432m4169,403l4186,396,4193,411m4269,580l4276,594,4290,586m4450,494l4464,486,4474,495m4554,562l4564,571,4579,574m4651,591l4666,594,4672,606m4744,739l4750,751,4765,748m4837,735l4852,732,4859,745m4941,888l4948,901,4962,907m5030,936l5044,942,5049,928m5129,717l5134,702,5150,706m5226,723l5242,726,5250,712m5336,543l5344,529,5358,531m5420,545l5434,549,5441,563m5517,734l5524,749,5539,749m5611,750l5626,751,5632,763m5716,948l5722,961,5731,974m5809,1079l5818,1092,5834,1097m5910,1118l5926,1122,5940,1123m6002,1128l6016,1129,6030,1124m6098,1103l6112,1099,6120,1112m6206,1265l6214,1279,6219,1293m6299,1510l6304,1524,6311,1536m6387,1669l6394,1681e" filled="false" stroked="true" strokeweight=".5pt" strokecolor="#231f20">
              <v:path arrowok="t"/>
            </v:shape>
            <v:shape style="position:absolute;left:1559;top:-252;width:2295;height:161" type="#_x0000_t202" filled="false" stroked="false">
              <v:textbox inset="0,0,0,0">
                <w:txbxContent>
                  <w:p>
                    <w:pPr>
                      <w:spacing w:line="158" w:lineRule="exact" w:before="0"/>
                      <w:ind w:left="0" w:right="-15" w:firstLine="0"/>
                      <w:jc w:val="left"/>
                      <w:rPr>
                        <w:sz w:val="16"/>
                      </w:rPr>
                    </w:pPr>
                    <w:r>
                      <w:rPr>
                        <w:color w:val="231F20"/>
                        <w:w w:val="110"/>
                        <w:sz w:val="16"/>
                      </w:rPr>
                      <w:t>Parte de los salarios en el pib</w:t>
                    </w:r>
                    <w:r>
                      <w:rPr>
                        <w:color w:val="231F20"/>
                        <w:spacing w:val="-12"/>
                        <w:w w:val="110"/>
                        <w:sz w:val="16"/>
                      </w:rPr>
                      <w:t> </w:t>
                    </w:r>
                    <w:r>
                      <w:rPr>
                        <w:color w:val="231F20"/>
                        <w:w w:val="110"/>
                        <w:sz w:val="16"/>
                      </w:rPr>
                      <w:t>(d)</w:t>
                    </w:r>
                  </w:p>
                </w:txbxContent>
              </v:textbox>
              <w10:wrap type="none"/>
            </v:shape>
            <v:shape style="position:absolute;left:1568;top:1008;width:1444;height:161" type="#_x0000_t202" filled="false" stroked="false">
              <v:textbox inset="0,0,0,0">
                <w:txbxContent>
                  <w:p>
                    <w:pPr>
                      <w:spacing w:line="158" w:lineRule="exact" w:before="0"/>
                      <w:ind w:left="0" w:right="-18" w:firstLine="0"/>
                      <w:jc w:val="left"/>
                      <w:rPr>
                        <w:sz w:val="16"/>
                      </w:rPr>
                    </w:pPr>
                    <w:r>
                      <w:rPr>
                        <w:color w:val="231F20"/>
                        <w:spacing w:val="-4"/>
                        <w:w w:val="115"/>
                        <w:sz w:val="16"/>
                      </w:rPr>
                      <w:t>Tasa</w:t>
                    </w:r>
                    <w:r>
                      <w:rPr>
                        <w:color w:val="231F20"/>
                        <w:spacing w:val="-20"/>
                        <w:w w:val="115"/>
                        <w:sz w:val="16"/>
                      </w:rPr>
                      <w:t> </w:t>
                    </w:r>
                    <w:r>
                      <w:rPr>
                        <w:color w:val="231F20"/>
                        <w:w w:val="115"/>
                        <w:sz w:val="16"/>
                      </w:rPr>
                      <w:t>de</w:t>
                    </w:r>
                    <w:r>
                      <w:rPr>
                        <w:color w:val="231F20"/>
                        <w:spacing w:val="-20"/>
                        <w:w w:val="115"/>
                        <w:sz w:val="16"/>
                      </w:rPr>
                      <w:t> </w:t>
                    </w:r>
                    <w:r>
                      <w:rPr>
                        <w:color w:val="231F20"/>
                        <w:w w:val="115"/>
                        <w:sz w:val="16"/>
                      </w:rPr>
                      <w:t>beneficio</w:t>
                    </w:r>
                    <w:r>
                      <w:rPr>
                        <w:color w:val="231F20"/>
                        <w:spacing w:val="-20"/>
                        <w:w w:val="115"/>
                        <w:sz w:val="16"/>
                      </w:rPr>
                      <w:t> </w:t>
                    </w:r>
                    <w:r>
                      <w:rPr>
                        <w:color w:val="231F20"/>
                        <w:w w:val="115"/>
                        <w:sz w:val="16"/>
                      </w:rPr>
                      <w:t>(i)</w:t>
                    </w:r>
                  </w:p>
                </w:txbxContent>
              </v:textbox>
              <w10:wrap type="none"/>
            </v:shape>
            <w10:wrap type="none"/>
          </v:group>
        </w:pict>
      </w:r>
      <w:r>
        <w:rPr>
          <w:color w:val="231F20"/>
          <w:sz w:val="16"/>
        </w:rPr>
        <w:t>—65</w:t>
      </w:r>
    </w:p>
    <w:p>
      <w:pPr>
        <w:pStyle w:val="BodyText"/>
        <w:rPr>
          <w:sz w:val="16"/>
        </w:rPr>
      </w:pPr>
    </w:p>
    <w:p>
      <w:pPr>
        <w:pStyle w:val="BodyText"/>
        <w:spacing w:before="8"/>
        <w:rPr>
          <w:sz w:val="16"/>
        </w:rPr>
      </w:pPr>
    </w:p>
    <w:p>
      <w:pPr>
        <w:spacing w:before="0"/>
        <w:ind w:left="254" w:right="0" w:firstLine="0"/>
        <w:jc w:val="left"/>
        <w:rPr>
          <w:sz w:val="16"/>
        </w:rPr>
      </w:pPr>
      <w:r>
        <w:rPr>
          <w:color w:val="231F20"/>
          <w:sz w:val="16"/>
        </w:rPr>
        <w:t>— 63</w:t>
      </w:r>
    </w:p>
    <w:p>
      <w:pPr>
        <w:pStyle w:val="BodyText"/>
        <w:rPr>
          <w:sz w:val="16"/>
        </w:rPr>
      </w:pPr>
    </w:p>
    <w:p>
      <w:pPr>
        <w:pStyle w:val="BodyText"/>
        <w:spacing w:before="8"/>
        <w:rPr>
          <w:sz w:val="16"/>
        </w:rPr>
      </w:pPr>
    </w:p>
    <w:p>
      <w:pPr>
        <w:spacing w:before="0"/>
        <w:ind w:left="254" w:right="0" w:firstLine="0"/>
        <w:jc w:val="left"/>
        <w:rPr>
          <w:sz w:val="16"/>
        </w:rPr>
      </w:pPr>
      <w:r>
        <w:rPr>
          <w:color w:val="231F20"/>
          <w:sz w:val="16"/>
        </w:rPr>
        <w:t>— 60</w:t>
      </w:r>
    </w:p>
    <w:p>
      <w:pPr>
        <w:pStyle w:val="BodyText"/>
        <w:rPr>
          <w:sz w:val="16"/>
        </w:rPr>
      </w:pPr>
    </w:p>
    <w:p>
      <w:pPr>
        <w:pStyle w:val="BodyText"/>
        <w:spacing w:before="8"/>
        <w:rPr>
          <w:sz w:val="16"/>
        </w:rPr>
      </w:pPr>
    </w:p>
    <w:p>
      <w:pPr>
        <w:spacing w:before="0"/>
        <w:ind w:left="254" w:right="0" w:firstLine="0"/>
        <w:jc w:val="left"/>
        <w:rPr>
          <w:sz w:val="16"/>
        </w:rPr>
      </w:pPr>
      <w:r>
        <w:rPr>
          <w:color w:val="231F20"/>
          <w:sz w:val="16"/>
        </w:rPr>
        <w:t>— 58</w:t>
      </w:r>
    </w:p>
    <w:p>
      <w:pPr>
        <w:pStyle w:val="BodyText"/>
        <w:rPr>
          <w:sz w:val="16"/>
        </w:rPr>
      </w:pPr>
    </w:p>
    <w:p>
      <w:pPr>
        <w:pStyle w:val="BodyText"/>
        <w:spacing w:before="8"/>
        <w:rPr>
          <w:sz w:val="16"/>
        </w:rPr>
      </w:pPr>
    </w:p>
    <w:p>
      <w:pPr>
        <w:spacing w:before="0"/>
        <w:ind w:left="254" w:right="0" w:firstLine="0"/>
        <w:jc w:val="left"/>
        <w:rPr>
          <w:sz w:val="16"/>
        </w:rPr>
      </w:pPr>
      <w:r>
        <w:rPr/>
        <w:pict>
          <v:shape style="position:absolute;margin-left:307.951202pt;margin-top:8.014553pt;width:10pt;height:28.75pt;mso-position-horizontal-relative:page;mso-position-vertical-relative:paragraph;z-index:668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2010</w:t>
                  </w:r>
                  <w:r>
                    <w:rPr>
                      <w:color w:val="231F20"/>
                      <w:spacing w:val="1"/>
                      <w:sz w:val="16"/>
                    </w:rPr>
                    <w:t> </w:t>
                  </w:r>
                  <w:r>
                    <w:rPr>
                      <w:color w:val="231F20"/>
                      <w:sz w:val="16"/>
                    </w:rPr>
                    <w:t>—</w:t>
                  </w:r>
                </w:p>
              </w:txbxContent>
            </v:textbox>
            <w10:wrap type="none"/>
          </v:shape>
        </w:pict>
      </w:r>
      <w:r>
        <w:rPr>
          <w:color w:val="231F20"/>
          <w:sz w:val="16"/>
        </w:rPr>
        <w:t>— 55</w:t>
      </w:r>
    </w:p>
    <w:p>
      <w:pPr>
        <w:spacing w:after="0"/>
        <w:jc w:val="left"/>
        <w:rPr>
          <w:sz w:val="16"/>
        </w:rPr>
        <w:sectPr>
          <w:type w:val="continuous"/>
          <w:pgSz w:w="7640" w:h="11900"/>
          <w:pgMar w:top="980" w:bottom="280" w:left="780" w:right="140"/>
          <w:cols w:num="2" w:equalWidth="0">
            <w:col w:w="623" w:space="4808"/>
            <w:col w:w="1289"/>
          </w:cols>
        </w:sectPr>
      </w:pPr>
    </w:p>
    <w:p>
      <w:pPr>
        <w:pStyle w:val="BodyText"/>
      </w:pPr>
    </w:p>
    <w:p>
      <w:pPr>
        <w:pStyle w:val="BodyText"/>
      </w:pPr>
    </w:p>
    <w:p>
      <w:pPr>
        <w:pStyle w:val="BodyText"/>
        <w:spacing w:before="6"/>
        <w:rPr>
          <w:sz w:val="18"/>
        </w:rPr>
      </w:pPr>
    </w:p>
    <w:p>
      <w:pPr>
        <w:spacing w:line="283" w:lineRule="auto" w:before="0"/>
        <w:ind w:left="100" w:right="617" w:firstLine="0"/>
        <w:jc w:val="both"/>
        <w:rPr>
          <w:sz w:val="18"/>
        </w:rPr>
      </w:pPr>
      <w:r>
        <w:rPr/>
        <w:pict>
          <v:shape style="position:absolute;margin-left:113.967201pt;margin-top:-34.940769pt;width:10pt;height:28.75pt;mso-position-horizontal-relative:page;mso-position-vertical-relative:paragraph;z-index:659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162.463196pt;margin-top:-34.940769pt;width:10pt;height:28.75pt;mso-position-horizontal-relative:page;mso-position-vertical-relative:paragraph;z-index:661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210.959198pt;margin-top:-34.940769pt;width:10pt;height:28.75pt;mso-position-horizontal-relative:page;mso-position-vertical-relative:paragraph;z-index:664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59.4552pt;margin-top:-34.940769pt;width:10pt;height:28.75pt;mso-position-horizontal-relative:page;mso-position-vertical-relative:paragraph;z-index:666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rFonts w:ascii="Calibri" w:hAnsi="Calibri"/>
          <w:color w:val="231F20"/>
          <w:w w:val="110"/>
          <w:sz w:val="18"/>
        </w:rPr>
        <w:t>nota: </w:t>
      </w:r>
      <w:r>
        <w:rPr>
          <w:color w:val="231F20"/>
          <w:w w:val="110"/>
          <w:sz w:val="18"/>
        </w:rPr>
        <w:t>la tasa de beneficio o tasa ganancia se calculó como el coeficiente del excedente neto de explotación nacional y el </w:t>
      </w:r>
      <w:r>
        <w:rPr>
          <w:i/>
          <w:color w:val="231F20"/>
          <w:w w:val="110"/>
          <w:sz w:val="18"/>
        </w:rPr>
        <w:t>stock </w:t>
      </w:r>
      <w:r>
        <w:rPr>
          <w:color w:val="231F20"/>
          <w:w w:val="110"/>
          <w:sz w:val="18"/>
        </w:rPr>
        <w:t>de capital neto del país (base 100 en 2000).</w:t>
      </w:r>
    </w:p>
    <w:p>
      <w:pPr>
        <w:spacing w:line="276" w:lineRule="auto" w:before="3"/>
        <w:ind w:left="100" w:right="617" w:firstLine="0"/>
        <w:jc w:val="both"/>
        <w:rPr>
          <w:sz w:val="18"/>
        </w:rPr>
      </w:pPr>
      <w:r>
        <w:rPr>
          <w:rFonts w:ascii="Calibri" w:hAnsi="Calibri"/>
          <w:color w:val="231F20"/>
          <w:w w:val="110"/>
          <w:sz w:val="18"/>
        </w:rPr>
        <w:t>fuente: </w:t>
      </w:r>
      <w:r>
        <w:rPr>
          <w:color w:val="231F20"/>
          <w:w w:val="110"/>
          <w:sz w:val="18"/>
        </w:rPr>
        <w:t>elaboración propia con base en ameco, Comunidad Económica  Europea, 2011 y Toussaint (2009).</w:t>
      </w:r>
    </w:p>
    <w:p>
      <w:pPr>
        <w:pStyle w:val="BodyText"/>
        <w:spacing w:before="4"/>
      </w:pPr>
    </w:p>
    <w:p>
      <w:pPr>
        <w:pStyle w:val="BodyText"/>
        <w:spacing w:line="261" w:lineRule="auto"/>
        <w:ind w:left="100" w:right="616" w:firstLine="240"/>
        <w:jc w:val="both"/>
      </w:pPr>
      <w:r>
        <w:rPr>
          <w:color w:val="231F20"/>
          <w:w w:val="105"/>
        </w:rPr>
        <w:t>¿Cuál es la modalidad y características básicas de la crisis actual? Según Caputo (2011), “el comportamiento de las ganancias y de las tasas de ganancias, en la explicación del origen y desarrollo de la   crisis actual, es fundamental”. La característica principal del capita- lismo contemporáneo y el factor primordial en la explicación de la crisis actual, más que las que derivan de la oposición entre un capi-    tal financiero y un capital productivo, radica en el proceso profundo   de </w:t>
      </w:r>
      <w:r>
        <w:rPr>
          <w:i/>
          <w:color w:val="231F20"/>
          <w:w w:val="105"/>
        </w:rPr>
        <w:t>desvalorización del trabajo </w:t>
      </w:r>
      <w:r>
        <w:rPr>
          <w:color w:val="231F20"/>
          <w:w w:val="105"/>
        </w:rPr>
        <w:t>(Husson, 2010; Caputo, 2011) y los me- canismos  conducentes  al  logro  de  dichos  fines.  El  </w:t>
      </w:r>
      <w:r>
        <w:rPr>
          <w:color w:val="231F20"/>
          <w:spacing w:val="51"/>
          <w:w w:val="105"/>
        </w:rPr>
        <w:t> </w:t>
      </w:r>
      <w:r>
        <w:rPr>
          <w:color w:val="231F20"/>
          <w:w w:val="105"/>
        </w:rPr>
        <w:t>neoliberalismo</w:t>
      </w:r>
    </w:p>
    <w:p>
      <w:pPr>
        <w:spacing w:after="0" w:line="261" w:lineRule="auto"/>
        <w:jc w:val="both"/>
        <w:sectPr>
          <w:type w:val="continuous"/>
          <w:pgSz w:w="7640" w:h="11900"/>
          <w:pgMar w:top="980" w:bottom="280" w:left="780" w:right="140"/>
        </w:sectPr>
      </w:pPr>
    </w:p>
    <w:p>
      <w:pPr>
        <w:pStyle w:val="BodyText"/>
        <w:spacing w:before="8"/>
        <w:rPr>
          <w:sz w:val="8"/>
        </w:rPr>
      </w:pPr>
    </w:p>
    <w:p>
      <w:pPr>
        <w:pStyle w:val="BodyText"/>
        <w:spacing w:line="261" w:lineRule="auto" w:before="67"/>
        <w:ind w:left="100" w:right="114"/>
        <w:jc w:val="both"/>
      </w:pPr>
      <w:r>
        <w:rPr>
          <w:color w:val="231F20"/>
          <w:w w:val="110"/>
        </w:rPr>
        <w:t>logró alcanzar sus objetivos y los mantiene a pesar de la crisis. Los años setenta representaron así un punto de inflexión crucial en la dinámica de evolución del modelo de dominación capitalista. La tesis de “fin del neoliberalismo” es social y políticamente legítima, pero no es real. Los datos muestran el reestablecimiento de la tasa de ganancia en Estados Unidos y en el sistema capitalista mundial. No hay tal caída, sucede todo lo contrario, por lo que cabría incluso preguntarse sobre la posibilidad de plantear la crisis actual como derivada</w:t>
      </w:r>
      <w:r>
        <w:rPr>
          <w:color w:val="231F20"/>
          <w:spacing w:val="-24"/>
          <w:w w:val="110"/>
        </w:rPr>
        <w:t> </w:t>
      </w:r>
      <w:r>
        <w:rPr>
          <w:color w:val="231F20"/>
          <w:w w:val="110"/>
        </w:rPr>
        <w:t>de</w:t>
      </w:r>
      <w:r>
        <w:rPr>
          <w:color w:val="231F20"/>
          <w:spacing w:val="-24"/>
          <w:w w:val="110"/>
        </w:rPr>
        <w:t> </w:t>
      </w:r>
      <w:r>
        <w:rPr>
          <w:color w:val="231F20"/>
          <w:w w:val="110"/>
        </w:rPr>
        <w:t>un</w:t>
      </w:r>
      <w:r>
        <w:rPr>
          <w:color w:val="231F20"/>
          <w:spacing w:val="-24"/>
          <w:w w:val="110"/>
        </w:rPr>
        <w:t> </w:t>
      </w:r>
      <w:r>
        <w:rPr>
          <w:i/>
          <w:color w:val="231F20"/>
          <w:w w:val="110"/>
        </w:rPr>
        <w:t>exceso</w:t>
      </w:r>
      <w:r>
        <w:rPr>
          <w:i/>
          <w:color w:val="231F20"/>
          <w:spacing w:val="-24"/>
          <w:w w:val="110"/>
        </w:rPr>
        <w:t> </w:t>
      </w:r>
      <w:r>
        <w:rPr>
          <w:i/>
          <w:color w:val="231F20"/>
          <w:w w:val="110"/>
        </w:rPr>
        <w:t>de</w:t>
      </w:r>
      <w:r>
        <w:rPr>
          <w:i/>
          <w:color w:val="231F20"/>
          <w:spacing w:val="-24"/>
          <w:w w:val="110"/>
        </w:rPr>
        <w:t> </w:t>
      </w:r>
      <w:r>
        <w:rPr>
          <w:i/>
          <w:color w:val="231F20"/>
          <w:w w:val="110"/>
        </w:rPr>
        <w:t>beneficio</w:t>
      </w:r>
      <w:r>
        <w:rPr>
          <w:i/>
          <w:color w:val="231F20"/>
          <w:spacing w:val="-24"/>
          <w:w w:val="110"/>
        </w:rPr>
        <w:t> </w:t>
      </w:r>
      <w:r>
        <w:rPr>
          <w:color w:val="231F20"/>
          <w:w w:val="110"/>
        </w:rPr>
        <w:t>(Husson,</w:t>
      </w:r>
      <w:r>
        <w:rPr>
          <w:color w:val="231F20"/>
          <w:spacing w:val="-24"/>
          <w:w w:val="110"/>
        </w:rPr>
        <w:t> </w:t>
      </w:r>
      <w:r>
        <w:rPr>
          <w:color w:val="231F20"/>
          <w:w w:val="110"/>
        </w:rPr>
        <w:t>2010).</w:t>
      </w:r>
      <w:r>
        <w:rPr>
          <w:color w:val="231F20"/>
          <w:w w:val="110"/>
          <w:position w:val="6"/>
          <w:sz w:val="13"/>
        </w:rPr>
        <w:t>4</w:t>
      </w:r>
      <w:r>
        <w:rPr>
          <w:color w:val="231F20"/>
          <w:spacing w:val="-4"/>
          <w:w w:val="110"/>
          <w:position w:val="6"/>
          <w:sz w:val="13"/>
        </w:rPr>
        <w:t> </w:t>
      </w:r>
      <w:r>
        <w:rPr>
          <w:color w:val="231F20"/>
          <w:w w:val="110"/>
        </w:rPr>
        <w:t>El</w:t>
      </w:r>
      <w:r>
        <w:rPr>
          <w:color w:val="231F20"/>
          <w:spacing w:val="-24"/>
          <w:w w:val="110"/>
        </w:rPr>
        <w:t> </w:t>
      </w:r>
      <w:r>
        <w:rPr>
          <w:color w:val="231F20"/>
          <w:w w:val="110"/>
        </w:rPr>
        <w:t>neoliberalismo no resultó un fracaso, sino un éxito creciente y desmesurado para la clase capitalista a expensas de una mayor explotación del trabajo desde distintas</w:t>
      </w:r>
      <w:r>
        <w:rPr>
          <w:color w:val="231F20"/>
          <w:spacing w:val="-13"/>
          <w:w w:val="110"/>
        </w:rPr>
        <w:t> </w:t>
      </w:r>
      <w:r>
        <w:rPr>
          <w:color w:val="231F20"/>
          <w:w w:val="110"/>
        </w:rPr>
        <w:t>formas.</w:t>
      </w:r>
    </w:p>
    <w:p>
      <w:pPr>
        <w:pStyle w:val="BodyText"/>
        <w:spacing w:line="261" w:lineRule="auto"/>
        <w:ind w:left="100" w:right="117" w:firstLine="240"/>
        <w:jc w:val="both"/>
      </w:pPr>
      <w:r>
        <w:rPr>
          <w:color w:val="231F20"/>
          <w:w w:val="110"/>
        </w:rPr>
        <w:t>Este es el contexto en el que es necesario ubicar la dinámica y tendencias del mercado laboral de Estados Unidos, y las contradic- ciones de la inserción laboral en los más de tres últimos decenios, particularmente, en el marco de la crisis económica actual. La crisis resulta de la sobreexplotación de los trabajadores.</w:t>
      </w:r>
      <w:r>
        <w:rPr>
          <w:color w:val="231F20"/>
          <w:w w:val="110"/>
          <w:position w:val="6"/>
          <w:sz w:val="13"/>
        </w:rPr>
        <w:t>5 </w:t>
      </w:r>
      <w:r>
        <w:rPr>
          <w:color w:val="231F20"/>
          <w:w w:val="110"/>
        </w:rPr>
        <w:t>Aquí entran en juego dos factores: el incremento del desempleo y la informaliza- ción y precarización del trabajo. No obstante, cabría indicar que    en Estados Unidos dichas tendencias ameritan ser tratadas con la consideración del caso: por un lado, por su condición de país impe- rialista, las contradicciones internas del modelo laboral podrían ser enmascaradas</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capitalización</w:t>
      </w:r>
      <w:r>
        <w:rPr>
          <w:color w:val="231F20"/>
          <w:spacing w:val="-9"/>
          <w:w w:val="110"/>
        </w:rPr>
        <w:t> </w:t>
      </w:r>
      <w:r>
        <w:rPr>
          <w:color w:val="231F20"/>
          <w:w w:val="110"/>
        </w:rPr>
        <w:t>y</w:t>
      </w:r>
      <w:r>
        <w:rPr>
          <w:color w:val="231F20"/>
          <w:spacing w:val="-9"/>
          <w:w w:val="110"/>
        </w:rPr>
        <w:t> </w:t>
      </w:r>
      <w:r>
        <w:rPr>
          <w:color w:val="231F20"/>
          <w:w w:val="110"/>
        </w:rPr>
        <w:t>explotación</w:t>
      </w:r>
      <w:r>
        <w:rPr>
          <w:color w:val="231F20"/>
          <w:spacing w:val="-9"/>
          <w:w w:val="110"/>
        </w:rPr>
        <w:t> </w:t>
      </w:r>
      <w:r>
        <w:rPr>
          <w:color w:val="231F20"/>
          <w:w w:val="110"/>
        </w:rPr>
        <w:t>foránea</w:t>
      </w:r>
      <w:r>
        <w:rPr>
          <w:color w:val="231F20"/>
          <w:spacing w:val="-9"/>
          <w:w w:val="110"/>
        </w:rPr>
        <w:t> </w:t>
      </w:r>
      <w:r>
        <w:rPr>
          <w:color w:val="231F20"/>
          <w:w w:val="110"/>
        </w:rPr>
        <w:t>del</w:t>
      </w:r>
      <w:r>
        <w:rPr>
          <w:color w:val="231F20"/>
          <w:spacing w:val="-9"/>
          <w:w w:val="110"/>
        </w:rPr>
        <w:t> </w:t>
      </w:r>
      <w:r>
        <w:rPr>
          <w:color w:val="231F20"/>
          <w:w w:val="110"/>
        </w:rPr>
        <w:t>trabajo, cada vez más creciente </w:t>
      </w:r>
      <w:r>
        <w:rPr>
          <w:color w:val="231F20"/>
          <w:spacing w:val="-8"/>
          <w:w w:val="110"/>
        </w:rPr>
        <w:t>y, </w:t>
      </w:r>
      <w:r>
        <w:rPr>
          <w:color w:val="231F20"/>
          <w:w w:val="110"/>
        </w:rPr>
        <w:t>por el otro, dada la existencia de seguro  de desempleo, en las circunstancias de crisis económica no necesa- riamente crece la precarización del trabajo, sino que incluso podría disminuir</w:t>
      </w:r>
      <w:r>
        <w:rPr>
          <w:color w:val="231F20"/>
          <w:spacing w:val="-15"/>
          <w:w w:val="110"/>
        </w:rPr>
        <w:t> </w:t>
      </w:r>
      <w:r>
        <w:rPr>
          <w:color w:val="231F20"/>
          <w:w w:val="110"/>
        </w:rPr>
        <w:t>a</w:t>
      </w:r>
      <w:r>
        <w:rPr>
          <w:color w:val="231F20"/>
          <w:spacing w:val="-15"/>
          <w:w w:val="110"/>
        </w:rPr>
        <w:t> </w:t>
      </w:r>
      <w:r>
        <w:rPr>
          <w:color w:val="231F20"/>
          <w:w w:val="110"/>
        </w:rPr>
        <w:t>expensas</w:t>
      </w:r>
      <w:r>
        <w:rPr>
          <w:color w:val="231F20"/>
          <w:spacing w:val="-15"/>
          <w:w w:val="110"/>
        </w:rPr>
        <w:t> </w:t>
      </w:r>
      <w:r>
        <w:rPr>
          <w:color w:val="231F20"/>
          <w:w w:val="110"/>
        </w:rPr>
        <w:t>del</w:t>
      </w:r>
      <w:r>
        <w:rPr>
          <w:color w:val="231F20"/>
          <w:spacing w:val="-15"/>
          <w:w w:val="110"/>
        </w:rPr>
        <w:t> </w:t>
      </w:r>
      <w:r>
        <w:rPr>
          <w:color w:val="231F20"/>
          <w:w w:val="110"/>
        </w:rPr>
        <w:t>incremento</w:t>
      </w:r>
      <w:r>
        <w:rPr>
          <w:color w:val="231F20"/>
          <w:spacing w:val="-15"/>
          <w:w w:val="110"/>
        </w:rPr>
        <w:t> </w:t>
      </w:r>
      <w:r>
        <w:rPr>
          <w:color w:val="231F20"/>
          <w:w w:val="110"/>
        </w:rPr>
        <w:t>del</w:t>
      </w:r>
      <w:r>
        <w:rPr>
          <w:color w:val="231F20"/>
          <w:spacing w:val="-15"/>
          <w:w w:val="110"/>
        </w:rPr>
        <w:t> </w:t>
      </w:r>
      <w:r>
        <w:rPr>
          <w:color w:val="231F20"/>
          <w:w w:val="110"/>
        </w:rPr>
        <w:t>desempleo.</w:t>
      </w:r>
      <w:r>
        <w:rPr>
          <w:color w:val="231F20"/>
          <w:spacing w:val="-15"/>
          <w:w w:val="110"/>
        </w:rPr>
        <w:t> </w:t>
      </w:r>
      <w:r>
        <w:rPr>
          <w:color w:val="231F20"/>
          <w:w w:val="110"/>
        </w:rPr>
        <w:t>Los</w:t>
      </w:r>
      <w:r>
        <w:rPr>
          <w:color w:val="231F20"/>
          <w:spacing w:val="-15"/>
          <w:w w:val="110"/>
        </w:rPr>
        <w:t> </w:t>
      </w:r>
      <w:r>
        <w:rPr>
          <w:color w:val="231F20"/>
          <w:w w:val="110"/>
        </w:rPr>
        <w:t>mecanismos</w:t>
      </w:r>
    </w:p>
    <w:p>
      <w:pPr>
        <w:pStyle w:val="BodyText"/>
      </w:pPr>
    </w:p>
    <w:p>
      <w:pPr>
        <w:spacing w:line="261" w:lineRule="auto" w:before="152"/>
        <w:ind w:left="100" w:right="117" w:firstLine="240"/>
        <w:jc w:val="both"/>
        <w:rPr>
          <w:sz w:val="16"/>
        </w:rPr>
      </w:pPr>
      <w:r>
        <w:rPr>
          <w:color w:val="231F20"/>
          <w:w w:val="110"/>
          <w:position w:val="5"/>
          <w:sz w:val="10"/>
        </w:rPr>
        <w:t>4 </w:t>
      </w:r>
      <w:r>
        <w:rPr>
          <w:color w:val="231F20"/>
          <w:w w:val="110"/>
          <w:sz w:val="16"/>
        </w:rPr>
        <w:t>Al respecto, a modo de precisión metodológica, cabría indicar que el análisis de Estados Unidos, dada su condición de país con una parte de su estructura productiva que opera fuera de sus fronteras, no resulta enteramente comprensible teniendo en cuenta sólo la dinámica económica interna, aislada de la economía global y de los procesos mundiales de producción y explotación de la fuerza de trabajo. No</w:t>
      </w:r>
      <w:r>
        <w:rPr>
          <w:color w:val="231F20"/>
          <w:spacing w:val="-21"/>
          <w:w w:val="110"/>
          <w:sz w:val="16"/>
        </w:rPr>
        <w:t> </w:t>
      </w:r>
      <w:r>
        <w:rPr>
          <w:color w:val="231F20"/>
          <w:w w:val="110"/>
          <w:sz w:val="16"/>
        </w:rPr>
        <w:t>obstante, Estados Unidos no es la excepción. Según Husson (2010), “todos los datos</w:t>
      </w:r>
      <w:r>
        <w:rPr>
          <w:color w:val="231F20"/>
          <w:spacing w:val="-4"/>
          <w:w w:val="110"/>
          <w:sz w:val="16"/>
        </w:rPr>
        <w:t> </w:t>
      </w:r>
      <w:r>
        <w:rPr>
          <w:color w:val="231F20"/>
          <w:w w:val="110"/>
          <w:sz w:val="16"/>
        </w:rPr>
        <w:t>empíricos muestran,</w:t>
      </w:r>
      <w:r>
        <w:rPr>
          <w:color w:val="231F20"/>
          <w:spacing w:val="-5"/>
          <w:w w:val="110"/>
          <w:sz w:val="16"/>
        </w:rPr>
        <w:t> </w:t>
      </w:r>
      <w:r>
        <w:rPr>
          <w:color w:val="231F20"/>
          <w:w w:val="110"/>
          <w:sz w:val="16"/>
        </w:rPr>
        <w:t>al</w:t>
      </w:r>
      <w:r>
        <w:rPr>
          <w:color w:val="231F20"/>
          <w:spacing w:val="-5"/>
          <w:w w:val="110"/>
          <w:sz w:val="16"/>
        </w:rPr>
        <w:t> </w:t>
      </w:r>
      <w:r>
        <w:rPr>
          <w:color w:val="231F20"/>
          <w:w w:val="110"/>
          <w:sz w:val="16"/>
        </w:rPr>
        <w:t>contrario,</w:t>
      </w:r>
      <w:r>
        <w:rPr>
          <w:color w:val="231F20"/>
          <w:spacing w:val="-5"/>
          <w:w w:val="110"/>
          <w:sz w:val="16"/>
        </w:rPr>
        <w:t> </w:t>
      </w:r>
      <w:r>
        <w:rPr>
          <w:color w:val="231F20"/>
          <w:w w:val="110"/>
          <w:sz w:val="16"/>
        </w:rPr>
        <w:t>que</w:t>
      </w:r>
      <w:r>
        <w:rPr>
          <w:color w:val="231F20"/>
          <w:spacing w:val="-5"/>
          <w:w w:val="110"/>
          <w:sz w:val="16"/>
        </w:rPr>
        <w:t> </w:t>
      </w:r>
      <w:r>
        <w:rPr>
          <w:color w:val="231F20"/>
          <w:w w:val="110"/>
          <w:sz w:val="16"/>
        </w:rPr>
        <w:t>la</w:t>
      </w:r>
      <w:r>
        <w:rPr>
          <w:color w:val="231F20"/>
          <w:spacing w:val="-5"/>
          <w:w w:val="110"/>
          <w:sz w:val="16"/>
        </w:rPr>
        <w:t> </w:t>
      </w:r>
      <w:r>
        <w:rPr>
          <w:color w:val="231F20"/>
          <w:w w:val="110"/>
          <w:sz w:val="16"/>
        </w:rPr>
        <w:t>tasa</w:t>
      </w:r>
      <w:r>
        <w:rPr>
          <w:color w:val="231F20"/>
          <w:spacing w:val="-5"/>
          <w:w w:val="110"/>
          <w:sz w:val="16"/>
        </w:rPr>
        <w:t> </w:t>
      </w:r>
      <w:r>
        <w:rPr>
          <w:color w:val="231F20"/>
          <w:w w:val="110"/>
          <w:sz w:val="16"/>
        </w:rPr>
        <w:t>de</w:t>
      </w:r>
      <w:r>
        <w:rPr>
          <w:color w:val="231F20"/>
          <w:spacing w:val="-5"/>
          <w:w w:val="110"/>
          <w:sz w:val="16"/>
        </w:rPr>
        <w:t> </w:t>
      </w:r>
      <w:r>
        <w:rPr>
          <w:color w:val="231F20"/>
          <w:w w:val="110"/>
          <w:sz w:val="16"/>
        </w:rPr>
        <w:t>beneficio</w:t>
      </w:r>
      <w:r>
        <w:rPr>
          <w:color w:val="231F20"/>
          <w:spacing w:val="-5"/>
          <w:w w:val="110"/>
          <w:sz w:val="16"/>
        </w:rPr>
        <w:t> </w:t>
      </w:r>
      <w:r>
        <w:rPr>
          <w:color w:val="231F20"/>
          <w:w w:val="110"/>
          <w:sz w:val="16"/>
        </w:rPr>
        <w:t>se</w:t>
      </w:r>
      <w:r>
        <w:rPr>
          <w:color w:val="231F20"/>
          <w:spacing w:val="-5"/>
          <w:w w:val="110"/>
          <w:sz w:val="16"/>
        </w:rPr>
        <w:t> </w:t>
      </w:r>
      <w:r>
        <w:rPr>
          <w:color w:val="231F20"/>
          <w:w w:val="110"/>
          <w:sz w:val="16"/>
        </w:rPr>
        <w:t>ha</w:t>
      </w:r>
      <w:r>
        <w:rPr>
          <w:color w:val="231F20"/>
          <w:spacing w:val="-5"/>
          <w:w w:val="110"/>
          <w:sz w:val="16"/>
        </w:rPr>
        <w:t> </w:t>
      </w:r>
      <w:r>
        <w:rPr>
          <w:color w:val="231F20"/>
          <w:w w:val="110"/>
          <w:sz w:val="16"/>
        </w:rPr>
        <w:t>restablecido</w:t>
      </w:r>
      <w:r>
        <w:rPr>
          <w:color w:val="231F20"/>
          <w:spacing w:val="-5"/>
          <w:w w:val="110"/>
          <w:sz w:val="16"/>
        </w:rPr>
        <w:t> </w:t>
      </w:r>
      <w:r>
        <w:rPr>
          <w:color w:val="231F20"/>
          <w:w w:val="110"/>
          <w:sz w:val="16"/>
        </w:rPr>
        <w:t>muy</w:t>
      </w:r>
      <w:r>
        <w:rPr>
          <w:color w:val="231F20"/>
          <w:spacing w:val="-5"/>
          <w:w w:val="110"/>
          <w:sz w:val="16"/>
        </w:rPr>
        <w:t> </w:t>
      </w:r>
      <w:r>
        <w:rPr>
          <w:color w:val="231F20"/>
          <w:w w:val="110"/>
          <w:sz w:val="16"/>
        </w:rPr>
        <w:t>netamente</w:t>
      </w:r>
      <w:r>
        <w:rPr>
          <w:color w:val="231F20"/>
          <w:spacing w:val="-5"/>
          <w:w w:val="110"/>
          <w:sz w:val="16"/>
        </w:rPr>
        <w:t> </w:t>
      </w:r>
      <w:r>
        <w:rPr>
          <w:color w:val="231F20"/>
          <w:w w:val="110"/>
          <w:sz w:val="16"/>
        </w:rPr>
        <w:t>(</w:t>
      </w:r>
      <w:r>
        <w:rPr>
          <w:i/>
          <w:color w:val="231F20"/>
          <w:w w:val="110"/>
          <w:sz w:val="16"/>
        </w:rPr>
        <w:t>sic</w:t>
      </w:r>
      <w:r>
        <w:rPr>
          <w:color w:val="231F20"/>
          <w:w w:val="110"/>
          <w:sz w:val="16"/>
        </w:rPr>
        <w:t>) en</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principales</w:t>
      </w:r>
      <w:r>
        <w:rPr>
          <w:color w:val="231F20"/>
          <w:spacing w:val="-11"/>
          <w:w w:val="110"/>
          <w:sz w:val="16"/>
        </w:rPr>
        <w:t> </w:t>
      </w:r>
      <w:r>
        <w:rPr>
          <w:color w:val="231F20"/>
          <w:w w:val="110"/>
          <w:sz w:val="16"/>
        </w:rPr>
        <w:t>países</w:t>
      </w:r>
      <w:r>
        <w:rPr>
          <w:color w:val="231F20"/>
          <w:spacing w:val="-11"/>
          <w:w w:val="110"/>
          <w:sz w:val="16"/>
        </w:rPr>
        <w:t> </w:t>
      </w:r>
      <w:r>
        <w:rPr>
          <w:color w:val="231F20"/>
          <w:w w:val="110"/>
          <w:sz w:val="16"/>
        </w:rPr>
        <w:t>capitalistas”.</w:t>
      </w:r>
    </w:p>
    <w:p>
      <w:pPr>
        <w:spacing w:line="261" w:lineRule="auto" w:before="0"/>
        <w:ind w:left="100" w:right="117" w:firstLine="240"/>
        <w:jc w:val="both"/>
        <w:rPr>
          <w:sz w:val="16"/>
        </w:rPr>
      </w:pPr>
      <w:r>
        <w:rPr>
          <w:color w:val="231F20"/>
          <w:w w:val="105"/>
          <w:position w:val="5"/>
          <w:sz w:val="10"/>
        </w:rPr>
        <w:t>5  </w:t>
      </w:r>
      <w:r>
        <w:rPr>
          <w:color w:val="231F20"/>
          <w:w w:val="105"/>
          <w:sz w:val="16"/>
        </w:rPr>
        <w:t>La crisis actual es de orden estructural, determinada por el modelo de acumula-  ción neoliberal, por una parte, caracterizado por el predominio del capital financiero        y especulativo </w:t>
      </w:r>
      <w:r>
        <w:rPr>
          <w:color w:val="231F20"/>
          <w:spacing w:val="-6"/>
          <w:w w:val="105"/>
          <w:sz w:val="16"/>
        </w:rPr>
        <w:t>y,  </w:t>
      </w:r>
      <w:r>
        <w:rPr>
          <w:color w:val="231F20"/>
          <w:w w:val="105"/>
          <w:sz w:val="16"/>
        </w:rPr>
        <w:t>por el otro, por el aumento desbordado de la tasa de explotación.</w:t>
      </w:r>
      <w:r>
        <w:rPr>
          <w:color w:val="231F20"/>
          <w:spacing w:val="42"/>
          <w:w w:val="105"/>
          <w:sz w:val="16"/>
        </w:rPr>
        <w:t> </w:t>
      </w:r>
      <w:r>
        <w:rPr>
          <w:color w:val="231F20"/>
          <w:w w:val="105"/>
          <w:sz w:val="16"/>
        </w:rPr>
        <w:t>Según Husson (2010), tiene un carácter sistémico y “resulta en primer lugar de la </w:t>
      </w:r>
      <w:r>
        <w:rPr>
          <w:i/>
          <w:color w:val="231F20"/>
          <w:sz w:val="16"/>
        </w:rPr>
        <w:t>sobreexplotación</w:t>
      </w:r>
      <w:r>
        <w:rPr>
          <w:i/>
          <w:color w:val="231F20"/>
          <w:spacing w:val="-14"/>
          <w:sz w:val="16"/>
        </w:rPr>
        <w:t> </w:t>
      </w:r>
      <w:r>
        <w:rPr>
          <w:i/>
          <w:color w:val="231F20"/>
          <w:sz w:val="16"/>
        </w:rPr>
        <w:t>de</w:t>
      </w:r>
      <w:r>
        <w:rPr>
          <w:i/>
          <w:color w:val="231F20"/>
          <w:spacing w:val="-14"/>
          <w:sz w:val="16"/>
        </w:rPr>
        <w:t> </w:t>
      </w:r>
      <w:r>
        <w:rPr>
          <w:i/>
          <w:color w:val="231F20"/>
          <w:sz w:val="16"/>
        </w:rPr>
        <w:t>los</w:t>
      </w:r>
      <w:r>
        <w:rPr>
          <w:i/>
          <w:color w:val="231F20"/>
          <w:spacing w:val="-14"/>
          <w:sz w:val="16"/>
        </w:rPr>
        <w:t> </w:t>
      </w:r>
      <w:r>
        <w:rPr>
          <w:i/>
          <w:color w:val="231F20"/>
          <w:sz w:val="16"/>
        </w:rPr>
        <w:t>trabajadores</w:t>
      </w:r>
      <w:r>
        <w:rPr>
          <w:i/>
          <w:color w:val="231F20"/>
          <w:spacing w:val="-14"/>
          <w:sz w:val="16"/>
        </w:rPr>
        <w:t> </w:t>
      </w:r>
      <w:r>
        <w:rPr>
          <w:i/>
          <w:color w:val="231F20"/>
          <w:sz w:val="16"/>
        </w:rPr>
        <w:t>a</w:t>
      </w:r>
      <w:r>
        <w:rPr>
          <w:i/>
          <w:color w:val="231F20"/>
          <w:spacing w:val="-14"/>
          <w:sz w:val="16"/>
        </w:rPr>
        <w:t> </w:t>
      </w:r>
      <w:r>
        <w:rPr>
          <w:i/>
          <w:color w:val="231F20"/>
          <w:sz w:val="16"/>
        </w:rPr>
        <w:t>escala</w:t>
      </w:r>
      <w:r>
        <w:rPr>
          <w:i/>
          <w:color w:val="231F20"/>
          <w:spacing w:val="-14"/>
          <w:sz w:val="16"/>
        </w:rPr>
        <w:t> </w:t>
      </w:r>
      <w:r>
        <w:rPr>
          <w:i/>
          <w:color w:val="231F20"/>
          <w:sz w:val="16"/>
        </w:rPr>
        <w:t>mundial</w:t>
      </w:r>
      <w:r>
        <w:rPr>
          <w:color w:val="231F20"/>
          <w:sz w:val="16"/>
        </w:rPr>
        <w:t>”</w:t>
      </w:r>
      <w:r>
        <w:rPr>
          <w:color w:val="231F20"/>
          <w:spacing w:val="-14"/>
          <w:sz w:val="16"/>
        </w:rPr>
        <w:t> </w:t>
      </w:r>
      <w:r>
        <w:rPr>
          <w:color w:val="231F20"/>
          <w:sz w:val="16"/>
        </w:rPr>
        <w:t>(C.</w:t>
      </w:r>
      <w:r>
        <w:rPr>
          <w:color w:val="231F20"/>
          <w:spacing w:val="-14"/>
          <w:sz w:val="16"/>
        </w:rPr>
        <w:t> </w:t>
      </w:r>
      <w:r>
        <w:rPr>
          <w:color w:val="231F20"/>
          <w:sz w:val="16"/>
        </w:rPr>
        <w:t>N.).</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de flexibilización son activados y puestos en acción. No obstante, es  un hecho que Estados Unidos recurre cada vez más al trabajo flexi-  ble, desregulado y precario bajo diversas modalidades (Rifkin, 2004; Castillo, 2007; Kesselman; 2010). La </w:t>
      </w:r>
      <w:r>
        <w:rPr>
          <w:color w:val="231F20"/>
          <w:spacing w:val="-3"/>
          <w:w w:val="105"/>
        </w:rPr>
        <w:t>crisis actual, </w:t>
      </w:r>
      <w:r>
        <w:rPr>
          <w:color w:val="231F20"/>
          <w:w w:val="105"/>
        </w:rPr>
        <w:t>es en </w:t>
      </w:r>
      <w:r>
        <w:rPr>
          <w:color w:val="231F20"/>
          <w:spacing w:val="-3"/>
          <w:w w:val="105"/>
        </w:rPr>
        <w:t>cierto modo,   </w:t>
      </w:r>
      <w:r>
        <w:rPr>
          <w:color w:val="231F20"/>
          <w:w w:val="105"/>
        </w:rPr>
        <w:t>la </w:t>
      </w:r>
      <w:r>
        <w:rPr>
          <w:color w:val="231F20"/>
          <w:spacing w:val="-3"/>
          <w:w w:val="105"/>
        </w:rPr>
        <w:t>crisis </w:t>
      </w:r>
      <w:r>
        <w:rPr>
          <w:color w:val="231F20"/>
          <w:w w:val="105"/>
        </w:rPr>
        <w:t>del </w:t>
      </w:r>
      <w:r>
        <w:rPr>
          <w:color w:val="231F20"/>
          <w:spacing w:val="-3"/>
          <w:w w:val="105"/>
        </w:rPr>
        <w:t>modelo laboral vigente sustentado </w:t>
      </w:r>
      <w:r>
        <w:rPr>
          <w:color w:val="231F20"/>
          <w:w w:val="105"/>
        </w:rPr>
        <w:t>en la </w:t>
      </w:r>
      <w:r>
        <w:rPr>
          <w:color w:val="231F20"/>
          <w:spacing w:val="-3"/>
          <w:w w:val="105"/>
        </w:rPr>
        <w:t>flexibilización </w:t>
      </w:r>
      <w:r>
        <w:rPr>
          <w:color w:val="231F20"/>
          <w:w w:val="105"/>
        </w:rPr>
        <w:t>y </w:t>
      </w:r>
      <w:r>
        <w:rPr>
          <w:color w:val="231F20"/>
          <w:spacing w:val="-3"/>
          <w:w w:val="105"/>
        </w:rPr>
        <w:t>la mayor  explotación  </w:t>
      </w:r>
      <w:r>
        <w:rPr>
          <w:color w:val="231F20"/>
          <w:w w:val="105"/>
        </w:rPr>
        <w:t>de  los</w:t>
      </w:r>
      <w:r>
        <w:rPr>
          <w:color w:val="231F20"/>
          <w:spacing w:val="-1"/>
          <w:w w:val="105"/>
        </w:rPr>
        <w:t> </w:t>
      </w:r>
      <w:r>
        <w:rPr>
          <w:color w:val="231F20"/>
          <w:spacing w:val="-3"/>
          <w:w w:val="105"/>
        </w:rPr>
        <w:t>trabajadores.</w:t>
      </w:r>
    </w:p>
    <w:p>
      <w:pPr>
        <w:pStyle w:val="BodyText"/>
      </w:pPr>
    </w:p>
    <w:p>
      <w:pPr>
        <w:pStyle w:val="BodyText"/>
      </w:pPr>
    </w:p>
    <w:p>
      <w:pPr>
        <w:pStyle w:val="BodyText"/>
        <w:spacing w:before="2"/>
        <w:rPr>
          <w:sz w:val="25"/>
        </w:rPr>
      </w:pPr>
    </w:p>
    <w:p>
      <w:pPr>
        <w:pStyle w:val="BodyText"/>
        <w:spacing w:line="261" w:lineRule="auto"/>
        <w:ind w:left="100" w:right="25"/>
      </w:pPr>
      <w:r>
        <w:rPr>
          <w:color w:val="231F20"/>
          <w:w w:val="125"/>
        </w:rPr>
        <w:t>el proceso de reestructuración económica, la crisis económica y la “capitalización externa”</w:t>
      </w:r>
    </w:p>
    <w:p>
      <w:pPr>
        <w:pStyle w:val="BodyText"/>
        <w:spacing w:before="8"/>
        <w:rPr>
          <w:sz w:val="21"/>
        </w:rPr>
      </w:pPr>
    </w:p>
    <w:p>
      <w:pPr>
        <w:pStyle w:val="BodyText"/>
        <w:spacing w:line="261" w:lineRule="auto"/>
        <w:ind w:left="100" w:right="115"/>
        <w:jc w:val="both"/>
      </w:pPr>
      <w:r>
        <w:rPr>
          <w:color w:val="231F20"/>
          <w:w w:val="110"/>
        </w:rPr>
        <w:t>En</w:t>
      </w:r>
      <w:r>
        <w:rPr>
          <w:color w:val="231F20"/>
          <w:spacing w:val="-16"/>
          <w:w w:val="110"/>
        </w:rPr>
        <w:t> </w:t>
      </w:r>
      <w:r>
        <w:rPr>
          <w:color w:val="231F20"/>
          <w:w w:val="110"/>
        </w:rPr>
        <w:t>Estados</w:t>
      </w:r>
      <w:r>
        <w:rPr>
          <w:color w:val="231F20"/>
          <w:spacing w:val="-16"/>
          <w:w w:val="110"/>
        </w:rPr>
        <w:t> </w:t>
      </w:r>
      <w:r>
        <w:rPr>
          <w:color w:val="231F20"/>
          <w:w w:val="110"/>
        </w:rPr>
        <w:t>Unidos</w:t>
      </w:r>
      <w:r>
        <w:rPr>
          <w:color w:val="231F20"/>
          <w:spacing w:val="-16"/>
          <w:w w:val="110"/>
        </w:rPr>
        <w:t> </w:t>
      </w:r>
      <w:r>
        <w:rPr>
          <w:color w:val="231F20"/>
          <w:w w:val="110"/>
        </w:rPr>
        <w:t>el</w:t>
      </w:r>
      <w:r>
        <w:rPr>
          <w:color w:val="231F20"/>
          <w:spacing w:val="-16"/>
          <w:w w:val="110"/>
        </w:rPr>
        <w:t> </w:t>
      </w:r>
      <w:r>
        <w:rPr>
          <w:color w:val="231F20"/>
          <w:w w:val="110"/>
        </w:rPr>
        <w:t>proceso</w:t>
      </w:r>
      <w:r>
        <w:rPr>
          <w:color w:val="231F20"/>
          <w:spacing w:val="-16"/>
          <w:w w:val="110"/>
        </w:rPr>
        <w:t> </w:t>
      </w:r>
      <w:r>
        <w:rPr>
          <w:color w:val="231F20"/>
          <w:w w:val="110"/>
        </w:rPr>
        <w:t>de</w:t>
      </w:r>
      <w:r>
        <w:rPr>
          <w:color w:val="231F20"/>
          <w:spacing w:val="-16"/>
          <w:w w:val="110"/>
        </w:rPr>
        <w:t> </w:t>
      </w:r>
      <w:r>
        <w:rPr>
          <w:color w:val="231F20"/>
          <w:w w:val="110"/>
        </w:rPr>
        <w:t>reestructuración</w:t>
      </w:r>
      <w:r>
        <w:rPr>
          <w:color w:val="231F20"/>
          <w:spacing w:val="-16"/>
          <w:w w:val="110"/>
        </w:rPr>
        <w:t> </w:t>
      </w:r>
      <w:r>
        <w:rPr>
          <w:color w:val="231F20"/>
          <w:w w:val="110"/>
        </w:rPr>
        <w:t>económica</w:t>
      </w:r>
      <w:r>
        <w:rPr>
          <w:color w:val="231F20"/>
          <w:spacing w:val="-16"/>
          <w:w w:val="110"/>
        </w:rPr>
        <w:t> </w:t>
      </w:r>
      <w:r>
        <w:rPr>
          <w:color w:val="231F20"/>
          <w:w w:val="110"/>
        </w:rPr>
        <w:t>iniciada a comienzos de los años ochenta, implicó por lo menos dos cambios sustanciales</w:t>
      </w:r>
      <w:r>
        <w:rPr>
          <w:color w:val="231F20"/>
          <w:spacing w:val="31"/>
          <w:w w:val="110"/>
        </w:rPr>
        <w:t> </w:t>
      </w:r>
      <w:r>
        <w:rPr>
          <w:color w:val="231F20"/>
          <w:w w:val="110"/>
        </w:rPr>
        <w:t>en</w:t>
      </w:r>
      <w:r>
        <w:rPr>
          <w:color w:val="231F20"/>
          <w:spacing w:val="31"/>
          <w:w w:val="110"/>
        </w:rPr>
        <w:t> </w:t>
      </w:r>
      <w:r>
        <w:rPr>
          <w:color w:val="231F20"/>
          <w:w w:val="110"/>
        </w:rPr>
        <w:t>la</w:t>
      </w:r>
      <w:r>
        <w:rPr>
          <w:color w:val="231F20"/>
          <w:spacing w:val="31"/>
          <w:w w:val="110"/>
        </w:rPr>
        <w:t> </w:t>
      </w:r>
      <w:r>
        <w:rPr>
          <w:color w:val="231F20"/>
          <w:w w:val="110"/>
        </w:rPr>
        <w:t>estructura</w:t>
      </w:r>
      <w:r>
        <w:rPr>
          <w:color w:val="231F20"/>
          <w:spacing w:val="31"/>
          <w:w w:val="110"/>
        </w:rPr>
        <w:t> </w:t>
      </w:r>
      <w:r>
        <w:rPr>
          <w:color w:val="231F20"/>
          <w:w w:val="110"/>
        </w:rPr>
        <w:t>del</w:t>
      </w:r>
      <w:r>
        <w:rPr>
          <w:color w:val="231F20"/>
          <w:spacing w:val="31"/>
          <w:w w:val="110"/>
        </w:rPr>
        <w:t> </w:t>
      </w:r>
      <w:r>
        <w:rPr>
          <w:color w:val="231F20"/>
          <w:w w:val="110"/>
        </w:rPr>
        <w:t>mercado</w:t>
      </w:r>
      <w:r>
        <w:rPr>
          <w:color w:val="231F20"/>
          <w:spacing w:val="31"/>
          <w:w w:val="110"/>
        </w:rPr>
        <w:t> </w:t>
      </w:r>
      <w:r>
        <w:rPr>
          <w:color w:val="231F20"/>
          <w:w w:val="110"/>
        </w:rPr>
        <w:t>de</w:t>
      </w:r>
      <w:r>
        <w:rPr>
          <w:color w:val="231F20"/>
          <w:spacing w:val="31"/>
          <w:w w:val="110"/>
        </w:rPr>
        <w:t> </w:t>
      </w:r>
      <w:r>
        <w:rPr>
          <w:color w:val="231F20"/>
          <w:w w:val="110"/>
        </w:rPr>
        <w:t>trabajo:</w:t>
      </w:r>
      <w:r>
        <w:rPr>
          <w:color w:val="231F20"/>
          <w:spacing w:val="31"/>
          <w:w w:val="110"/>
        </w:rPr>
        <w:t> </w:t>
      </w:r>
      <w:r>
        <w:rPr>
          <w:color w:val="231F20"/>
          <w:w w:val="110"/>
        </w:rPr>
        <w:t>por</w:t>
      </w:r>
      <w:r>
        <w:rPr>
          <w:color w:val="231F20"/>
          <w:spacing w:val="31"/>
          <w:w w:val="110"/>
        </w:rPr>
        <w:t> </w:t>
      </w:r>
      <w:r>
        <w:rPr>
          <w:color w:val="231F20"/>
          <w:w w:val="110"/>
        </w:rPr>
        <w:t>un</w:t>
      </w:r>
      <w:r>
        <w:rPr>
          <w:color w:val="231F20"/>
          <w:spacing w:val="31"/>
          <w:w w:val="110"/>
        </w:rPr>
        <w:t> </w:t>
      </w:r>
      <w:r>
        <w:rPr>
          <w:color w:val="231F20"/>
          <w:w w:val="110"/>
        </w:rPr>
        <w:t>lado,</w:t>
      </w:r>
      <w:r>
        <w:rPr>
          <w:color w:val="231F20"/>
          <w:spacing w:val="-1"/>
          <w:w w:val="109"/>
        </w:rPr>
        <w:t> </w:t>
      </w:r>
      <w:r>
        <w:rPr>
          <w:color w:val="231F20"/>
          <w:w w:val="110"/>
        </w:rPr>
        <w:t>acentuó el proceso de desindustrialización, consistente en la pérdida de</w:t>
      </w:r>
      <w:r>
        <w:rPr>
          <w:color w:val="231F20"/>
          <w:spacing w:val="-6"/>
          <w:w w:val="110"/>
        </w:rPr>
        <w:t> </w:t>
      </w:r>
      <w:r>
        <w:rPr>
          <w:color w:val="231F20"/>
          <w:w w:val="110"/>
        </w:rPr>
        <w:t>participación</w:t>
      </w:r>
      <w:r>
        <w:rPr>
          <w:color w:val="231F20"/>
          <w:spacing w:val="-6"/>
          <w:w w:val="110"/>
        </w:rPr>
        <w:t> </w:t>
      </w:r>
      <w:r>
        <w:rPr>
          <w:color w:val="231F20"/>
          <w:w w:val="110"/>
        </w:rPr>
        <w:t>del</w:t>
      </w:r>
      <w:r>
        <w:rPr>
          <w:color w:val="231F20"/>
          <w:spacing w:val="-6"/>
          <w:w w:val="110"/>
        </w:rPr>
        <w:t> </w:t>
      </w:r>
      <w:r>
        <w:rPr>
          <w:color w:val="231F20"/>
          <w:w w:val="110"/>
        </w:rPr>
        <w:t>empleo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sector</w:t>
      </w:r>
      <w:r>
        <w:rPr>
          <w:color w:val="231F20"/>
          <w:spacing w:val="-6"/>
          <w:w w:val="110"/>
        </w:rPr>
        <w:t> </w:t>
      </w:r>
      <w:r>
        <w:rPr>
          <w:color w:val="231F20"/>
          <w:w w:val="110"/>
        </w:rPr>
        <w:t>industrial</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ampliación</w:t>
      </w:r>
      <w:r>
        <w:rPr>
          <w:color w:val="231F20"/>
          <w:spacing w:val="-6"/>
          <w:w w:val="110"/>
        </w:rPr>
        <w:t> </w:t>
      </w:r>
      <w:r>
        <w:rPr>
          <w:color w:val="231F20"/>
          <w:w w:val="110"/>
        </w:rPr>
        <w:t>de las</w:t>
      </w:r>
      <w:r>
        <w:rPr>
          <w:color w:val="231F20"/>
          <w:spacing w:val="-33"/>
          <w:w w:val="110"/>
        </w:rPr>
        <w:t> </w:t>
      </w:r>
      <w:r>
        <w:rPr>
          <w:color w:val="231F20"/>
          <w:w w:val="110"/>
        </w:rPr>
        <w:t>actividades</w:t>
      </w:r>
      <w:r>
        <w:rPr>
          <w:color w:val="231F20"/>
          <w:spacing w:val="-33"/>
          <w:w w:val="110"/>
        </w:rPr>
        <w:t> </w:t>
      </w:r>
      <w:r>
        <w:rPr>
          <w:color w:val="231F20"/>
          <w:w w:val="110"/>
        </w:rPr>
        <w:t>terciarias</w:t>
      </w:r>
      <w:r>
        <w:rPr>
          <w:color w:val="231F20"/>
          <w:spacing w:val="-33"/>
          <w:w w:val="110"/>
        </w:rPr>
        <w:t> </w:t>
      </w:r>
      <w:r>
        <w:rPr>
          <w:color w:val="231F20"/>
          <w:spacing w:val="-9"/>
          <w:w w:val="110"/>
        </w:rPr>
        <w:t>y,</w:t>
      </w:r>
      <w:r>
        <w:rPr>
          <w:color w:val="231F20"/>
          <w:spacing w:val="-33"/>
          <w:w w:val="110"/>
        </w:rPr>
        <w:t> </w:t>
      </w:r>
      <w:r>
        <w:rPr>
          <w:color w:val="231F20"/>
          <w:w w:val="110"/>
        </w:rPr>
        <w:t>por</w:t>
      </w:r>
      <w:r>
        <w:rPr>
          <w:color w:val="231F20"/>
          <w:spacing w:val="-33"/>
          <w:w w:val="110"/>
        </w:rPr>
        <w:t> </w:t>
      </w:r>
      <w:r>
        <w:rPr>
          <w:color w:val="231F20"/>
          <w:w w:val="110"/>
        </w:rPr>
        <w:t>el</w:t>
      </w:r>
      <w:r>
        <w:rPr>
          <w:color w:val="231F20"/>
          <w:spacing w:val="-33"/>
          <w:w w:val="110"/>
        </w:rPr>
        <w:t> </w:t>
      </w:r>
      <w:r>
        <w:rPr>
          <w:color w:val="231F20"/>
          <w:w w:val="110"/>
        </w:rPr>
        <w:t>otro</w:t>
      </w:r>
      <w:r>
        <w:rPr>
          <w:color w:val="231F20"/>
          <w:spacing w:val="-33"/>
          <w:w w:val="110"/>
        </w:rPr>
        <w:t> </w:t>
      </w:r>
      <w:r>
        <w:rPr>
          <w:color w:val="231F20"/>
          <w:w w:val="110"/>
        </w:rPr>
        <w:t>—vinculado</w:t>
      </w:r>
      <w:r>
        <w:rPr>
          <w:color w:val="231F20"/>
          <w:spacing w:val="-33"/>
          <w:w w:val="110"/>
        </w:rPr>
        <w:t> </w:t>
      </w:r>
      <w:r>
        <w:rPr>
          <w:color w:val="231F20"/>
          <w:w w:val="110"/>
        </w:rPr>
        <w:t>al</w:t>
      </w:r>
      <w:r>
        <w:rPr>
          <w:color w:val="231F20"/>
          <w:spacing w:val="-33"/>
          <w:w w:val="110"/>
        </w:rPr>
        <w:t> </w:t>
      </w:r>
      <w:r>
        <w:rPr>
          <w:color w:val="231F20"/>
          <w:w w:val="110"/>
        </w:rPr>
        <w:t>anterior—,</w:t>
      </w:r>
      <w:r>
        <w:rPr>
          <w:color w:val="231F20"/>
          <w:spacing w:val="-33"/>
          <w:w w:val="110"/>
        </w:rPr>
        <w:t> </w:t>
      </w:r>
      <w:r>
        <w:rPr>
          <w:color w:val="231F20"/>
          <w:w w:val="110"/>
        </w:rPr>
        <w:t>el</w:t>
      </w:r>
      <w:r>
        <w:rPr>
          <w:color w:val="231F20"/>
          <w:spacing w:val="-33"/>
          <w:w w:val="110"/>
        </w:rPr>
        <w:t> </w:t>
      </w:r>
      <w:r>
        <w:rPr>
          <w:color w:val="231F20"/>
          <w:w w:val="110"/>
        </w:rPr>
        <w:t>con- secuente</w:t>
      </w:r>
      <w:r>
        <w:rPr>
          <w:color w:val="231F20"/>
          <w:spacing w:val="-17"/>
          <w:w w:val="110"/>
        </w:rPr>
        <w:t> </w:t>
      </w:r>
      <w:r>
        <w:rPr>
          <w:color w:val="231F20"/>
          <w:w w:val="110"/>
        </w:rPr>
        <w:t>deterioro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calidad</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ocupaciones,</w:t>
      </w:r>
      <w:r>
        <w:rPr>
          <w:color w:val="231F20"/>
          <w:spacing w:val="-17"/>
          <w:w w:val="110"/>
        </w:rPr>
        <w:t> </w:t>
      </w:r>
      <w:r>
        <w:rPr>
          <w:color w:val="231F20"/>
          <w:w w:val="110"/>
        </w:rPr>
        <w:t>con</w:t>
      </w:r>
      <w:r>
        <w:rPr>
          <w:color w:val="231F20"/>
          <w:spacing w:val="-17"/>
          <w:w w:val="110"/>
        </w:rPr>
        <w:t> </w:t>
      </w:r>
      <w:r>
        <w:rPr>
          <w:color w:val="231F20"/>
          <w:w w:val="110"/>
        </w:rPr>
        <w:t>el</w:t>
      </w:r>
      <w:r>
        <w:rPr>
          <w:color w:val="231F20"/>
          <w:spacing w:val="-17"/>
          <w:w w:val="110"/>
        </w:rPr>
        <w:t> </w:t>
      </w:r>
      <w:r>
        <w:rPr>
          <w:color w:val="231F20"/>
          <w:w w:val="110"/>
        </w:rPr>
        <w:t>incremento del</w:t>
      </w:r>
      <w:r>
        <w:rPr>
          <w:color w:val="231F20"/>
          <w:spacing w:val="-30"/>
          <w:w w:val="110"/>
        </w:rPr>
        <w:t> </w:t>
      </w:r>
      <w:r>
        <w:rPr>
          <w:color w:val="231F20"/>
          <w:w w:val="110"/>
        </w:rPr>
        <w:t>trabajo</w:t>
      </w:r>
      <w:r>
        <w:rPr>
          <w:color w:val="231F20"/>
          <w:spacing w:val="-30"/>
          <w:w w:val="110"/>
        </w:rPr>
        <w:t> </w:t>
      </w:r>
      <w:r>
        <w:rPr>
          <w:color w:val="231F20"/>
          <w:w w:val="110"/>
        </w:rPr>
        <w:t>deslocalizado</w:t>
      </w:r>
      <w:r>
        <w:rPr>
          <w:color w:val="231F20"/>
          <w:spacing w:val="-30"/>
          <w:w w:val="110"/>
        </w:rPr>
        <w:t> </w:t>
      </w:r>
      <w:r>
        <w:rPr>
          <w:color w:val="231F20"/>
          <w:w w:val="110"/>
        </w:rPr>
        <w:t>y</w:t>
      </w:r>
      <w:r>
        <w:rPr>
          <w:color w:val="231F20"/>
          <w:spacing w:val="-30"/>
          <w:w w:val="110"/>
        </w:rPr>
        <w:t> </w:t>
      </w:r>
      <w:r>
        <w:rPr>
          <w:color w:val="231F20"/>
          <w:w w:val="110"/>
        </w:rPr>
        <w:t>la</w:t>
      </w:r>
      <w:r>
        <w:rPr>
          <w:color w:val="231F20"/>
          <w:spacing w:val="-30"/>
          <w:w w:val="110"/>
        </w:rPr>
        <w:t> </w:t>
      </w:r>
      <w:r>
        <w:rPr>
          <w:color w:val="231F20"/>
          <w:w w:val="110"/>
        </w:rPr>
        <w:t>precarización</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ocupaciones,</w:t>
      </w:r>
      <w:r>
        <w:rPr>
          <w:color w:val="231F20"/>
          <w:spacing w:val="-30"/>
          <w:w w:val="110"/>
        </w:rPr>
        <w:t> </w:t>
      </w:r>
      <w:r>
        <w:rPr>
          <w:color w:val="231F20"/>
          <w:w w:val="110"/>
        </w:rPr>
        <w:t>promo- vidas</w:t>
      </w:r>
      <w:r>
        <w:rPr>
          <w:color w:val="231F20"/>
          <w:spacing w:val="-17"/>
          <w:w w:val="110"/>
        </w:rPr>
        <w:t> </w:t>
      </w:r>
      <w:r>
        <w:rPr>
          <w:color w:val="231F20"/>
          <w:w w:val="110"/>
        </w:rPr>
        <w:t>por</w:t>
      </w:r>
      <w:r>
        <w:rPr>
          <w:color w:val="231F20"/>
          <w:spacing w:val="-17"/>
          <w:w w:val="110"/>
        </w:rPr>
        <w:t> </w:t>
      </w:r>
      <w:r>
        <w:rPr>
          <w:color w:val="231F20"/>
          <w:w w:val="110"/>
        </w:rPr>
        <w:t>la</w:t>
      </w:r>
      <w:r>
        <w:rPr>
          <w:color w:val="231F20"/>
          <w:spacing w:val="-17"/>
          <w:w w:val="110"/>
        </w:rPr>
        <w:t> </w:t>
      </w:r>
      <w:r>
        <w:rPr>
          <w:color w:val="231F20"/>
          <w:w w:val="110"/>
        </w:rPr>
        <w:t>desregulación</w:t>
      </w:r>
      <w:r>
        <w:rPr>
          <w:color w:val="231F20"/>
          <w:spacing w:val="-17"/>
          <w:w w:val="110"/>
        </w:rPr>
        <w:t> </w:t>
      </w:r>
      <w:r>
        <w:rPr>
          <w:color w:val="231F20"/>
          <w:w w:val="110"/>
        </w:rPr>
        <w:t>y</w:t>
      </w:r>
      <w:r>
        <w:rPr>
          <w:color w:val="231F20"/>
          <w:spacing w:val="-17"/>
          <w:w w:val="110"/>
        </w:rPr>
        <w:t> </w:t>
      </w:r>
      <w:r>
        <w:rPr>
          <w:color w:val="231F20"/>
          <w:w w:val="110"/>
        </w:rPr>
        <w:t>flexibilización</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relaciones</w:t>
      </w:r>
      <w:r>
        <w:rPr>
          <w:color w:val="231F20"/>
          <w:spacing w:val="-17"/>
          <w:w w:val="110"/>
        </w:rPr>
        <w:t> </w:t>
      </w:r>
      <w:r>
        <w:rPr>
          <w:color w:val="231F20"/>
          <w:w w:val="110"/>
        </w:rPr>
        <w:t>laborales orientadas a la reducción de los costos salariales y al incremento de la rentabilidad capitalista, en el nuevo entorno de creciente</w:t>
      </w:r>
      <w:r>
        <w:rPr>
          <w:color w:val="231F20"/>
          <w:spacing w:val="-14"/>
          <w:w w:val="110"/>
        </w:rPr>
        <w:t> </w:t>
      </w:r>
      <w:r>
        <w:rPr>
          <w:color w:val="231F20"/>
          <w:w w:val="110"/>
        </w:rPr>
        <w:t>competi- tividad</w:t>
      </w:r>
      <w:r>
        <w:rPr>
          <w:color w:val="231F20"/>
          <w:spacing w:val="-32"/>
          <w:w w:val="110"/>
        </w:rPr>
        <w:t> </w:t>
      </w:r>
      <w:r>
        <w:rPr>
          <w:color w:val="231F20"/>
          <w:w w:val="110"/>
        </w:rPr>
        <w:t>internacional</w:t>
      </w:r>
      <w:r>
        <w:rPr>
          <w:color w:val="231F20"/>
          <w:spacing w:val="-32"/>
          <w:w w:val="110"/>
        </w:rPr>
        <w:t> </w:t>
      </w:r>
      <w:r>
        <w:rPr>
          <w:color w:val="231F20"/>
          <w:w w:val="110"/>
        </w:rPr>
        <w:t>(Castillo,</w:t>
      </w:r>
      <w:r>
        <w:rPr>
          <w:color w:val="231F20"/>
          <w:spacing w:val="-32"/>
          <w:w w:val="110"/>
        </w:rPr>
        <w:t> </w:t>
      </w:r>
      <w:r>
        <w:rPr>
          <w:color w:val="231F20"/>
          <w:w w:val="110"/>
        </w:rPr>
        <w:t>2010a</w:t>
      </w:r>
      <w:r>
        <w:rPr>
          <w:color w:val="231F20"/>
          <w:spacing w:val="-32"/>
          <w:w w:val="110"/>
        </w:rPr>
        <w:t> </w:t>
      </w:r>
      <w:r>
        <w:rPr>
          <w:color w:val="231F20"/>
          <w:w w:val="110"/>
        </w:rPr>
        <w:t>y</w:t>
      </w:r>
      <w:r>
        <w:rPr>
          <w:color w:val="231F20"/>
          <w:spacing w:val="-32"/>
          <w:w w:val="110"/>
        </w:rPr>
        <w:t> </w:t>
      </w:r>
      <w:r>
        <w:rPr>
          <w:color w:val="231F20"/>
          <w:w w:val="110"/>
        </w:rPr>
        <w:t>2011).</w:t>
      </w:r>
      <w:r>
        <w:rPr>
          <w:color w:val="231F20"/>
          <w:spacing w:val="-32"/>
          <w:w w:val="110"/>
        </w:rPr>
        <w:t> </w:t>
      </w:r>
      <w:r>
        <w:rPr>
          <w:color w:val="231F20"/>
          <w:w w:val="110"/>
        </w:rPr>
        <w:t>La</w:t>
      </w:r>
      <w:r>
        <w:rPr>
          <w:color w:val="231F20"/>
          <w:spacing w:val="-32"/>
          <w:w w:val="110"/>
        </w:rPr>
        <w:t> </w:t>
      </w:r>
      <w:r>
        <w:rPr>
          <w:color w:val="231F20"/>
          <w:w w:val="110"/>
        </w:rPr>
        <w:t>desindustrialización, deslocalización</w:t>
      </w:r>
      <w:r>
        <w:rPr>
          <w:color w:val="231F20"/>
          <w:spacing w:val="-7"/>
          <w:w w:val="110"/>
        </w:rPr>
        <w:t> </w:t>
      </w:r>
      <w:r>
        <w:rPr>
          <w:color w:val="231F20"/>
          <w:w w:val="110"/>
        </w:rPr>
        <w:t>y</w:t>
      </w:r>
      <w:r>
        <w:rPr>
          <w:color w:val="231F20"/>
          <w:spacing w:val="-7"/>
          <w:w w:val="110"/>
        </w:rPr>
        <w:t> </w:t>
      </w:r>
      <w:r>
        <w:rPr>
          <w:color w:val="231F20"/>
          <w:w w:val="110"/>
        </w:rPr>
        <w:t>precarización</w:t>
      </w:r>
      <w:r>
        <w:rPr>
          <w:color w:val="231F20"/>
          <w:spacing w:val="-7"/>
          <w:w w:val="110"/>
        </w:rPr>
        <w:t> </w:t>
      </w:r>
      <w:r>
        <w:rPr>
          <w:color w:val="231F20"/>
          <w:w w:val="110"/>
        </w:rPr>
        <w:t>del</w:t>
      </w:r>
      <w:r>
        <w:rPr>
          <w:color w:val="231F20"/>
          <w:spacing w:val="-7"/>
          <w:w w:val="110"/>
        </w:rPr>
        <w:t> </w:t>
      </w:r>
      <w:r>
        <w:rPr>
          <w:color w:val="231F20"/>
          <w:w w:val="110"/>
        </w:rPr>
        <w:t>trabajo,</w:t>
      </w:r>
      <w:r>
        <w:rPr>
          <w:color w:val="231F20"/>
          <w:spacing w:val="-7"/>
          <w:w w:val="110"/>
        </w:rPr>
        <w:t> </w:t>
      </w:r>
      <w:r>
        <w:rPr>
          <w:color w:val="231F20"/>
          <w:w w:val="110"/>
        </w:rPr>
        <w:t>no</w:t>
      </w:r>
      <w:r>
        <w:rPr>
          <w:color w:val="231F20"/>
          <w:spacing w:val="-7"/>
          <w:w w:val="110"/>
        </w:rPr>
        <w:t> </w:t>
      </w:r>
      <w:r>
        <w:rPr>
          <w:color w:val="231F20"/>
          <w:w w:val="110"/>
        </w:rPr>
        <w:t>exclusivas</w:t>
      </w:r>
      <w:r>
        <w:rPr>
          <w:color w:val="231F20"/>
          <w:spacing w:val="-7"/>
          <w:w w:val="110"/>
        </w:rPr>
        <w:t> </w:t>
      </w:r>
      <w:r>
        <w:rPr>
          <w:color w:val="231F20"/>
          <w:w w:val="110"/>
        </w:rPr>
        <w:t>de</w:t>
      </w:r>
      <w:r>
        <w:rPr>
          <w:color w:val="231F20"/>
          <w:spacing w:val="-7"/>
          <w:w w:val="110"/>
        </w:rPr>
        <w:t> </w:t>
      </w:r>
      <w:r>
        <w:rPr>
          <w:color w:val="231F20"/>
          <w:w w:val="110"/>
        </w:rPr>
        <w:t>Estados Unidos, están inherentemente ligadas con las nuevas estrategias de acumulación</w:t>
      </w:r>
      <w:r>
        <w:rPr>
          <w:color w:val="231F20"/>
          <w:spacing w:val="-25"/>
          <w:w w:val="110"/>
        </w:rPr>
        <w:t> </w:t>
      </w:r>
      <w:r>
        <w:rPr>
          <w:color w:val="231F20"/>
          <w:w w:val="110"/>
        </w:rPr>
        <w:t>seguidas</w:t>
      </w:r>
      <w:r>
        <w:rPr>
          <w:color w:val="231F20"/>
          <w:spacing w:val="-25"/>
          <w:w w:val="110"/>
        </w:rPr>
        <w:t> </w:t>
      </w:r>
      <w:r>
        <w:rPr>
          <w:color w:val="231F20"/>
          <w:w w:val="110"/>
        </w:rPr>
        <w:t>por</w:t>
      </w:r>
      <w:r>
        <w:rPr>
          <w:color w:val="231F20"/>
          <w:spacing w:val="-25"/>
          <w:w w:val="110"/>
        </w:rPr>
        <w:t> </w:t>
      </w:r>
      <w:r>
        <w:rPr>
          <w:color w:val="231F20"/>
          <w:w w:val="110"/>
        </w:rPr>
        <w:t>las</w:t>
      </w:r>
      <w:r>
        <w:rPr>
          <w:color w:val="231F20"/>
          <w:spacing w:val="-25"/>
          <w:w w:val="110"/>
        </w:rPr>
        <w:t> </w:t>
      </w:r>
      <w:r>
        <w:rPr>
          <w:color w:val="231F20"/>
          <w:w w:val="110"/>
        </w:rPr>
        <w:t>economías</w:t>
      </w:r>
      <w:r>
        <w:rPr>
          <w:color w:val="231F20"/>
          <w:spacing w:val="-25"/>
          <w:w w:val="110"/>
        </w:rPr>
        <w:t> </w:t>
      </w:r>
      <w:r>
        <w:rPr>
          <w:color w:val="231F20"/>
          <w:w w:val="110"/>
        </w:rPr>
        <w:t>desarrolladas</w:t>
      </w:r>
      <w:r>
        <w:rPr>
          <w:color w:val="231F20"/>
          <w:spacing w:val="-25"/>
          <w:w w:val="110"/>
        </w:rPr>
        <w:t> </w:t>
      </w:r>
      <w:r>
        <w:rPr>
          <w:color w:val="231F20"/>
          <w:w w:val="110"/>
        </w:rPr>
        <w:t>o</w:t>
      </w:r>
      <w:r>
        <w:rPr>
          <w:color w:val="231F20"/>
          <w:spacing w:val="-25"/>
          <w:w w:val="110"/>
        </w:rPr>
        <w:t> </w:t>
      </w:r>
      <w:r>
        <w:rPr>
          <w:color w:val="231F20"/>
          <w:w w:val="110"/>
        </w:rPr>
        <w:t>no,</w:t>
      </w:r>
      <w:r>
        <w:rPr>
          <w:color w:val="231F20"/>
          <w:spacing w:val="-25"/>
          <w:w w:val="110"/>
        </w:rPr>
        <w:t> </w:t>
      </w:r>
      <w:r>
        <w:rPr>
          <w:color w:val="231F20"/>
          <w:w w:val="110"/>
        </w:rPr>
        <w:t>que</w:t>
      </w:r>
      <w:r>
        <w:rPr>
          <w:color w:val="231F20"/>
          <w:spacing w:val="-25"/>
          <w:w w:val="110"/>
        </w:rPr>
        <w:t> </w:t>
      </w:r>
      <w:r>
        <w:rPr>
          <w:color w:val="231F20"/>
          <w:w w:val="110"/>
        </w:rPr>
        <w:t>adop- taron</w:t>
      </w:r>
      <w:r>
        <w:rPr>
          <w:color w:val="231F20"/>
          <w:spacing w:val="-11"/>
          <w:w w:val="110"/>
        </w:rPr>
        <w:t> </w:t>
      </w:r>
      <w:r>
        <w:rPr>
          <w:color w:val="231F20"/>
          <w:w w:val="110"/>
        </w:rPr>
        <w:t>al</w:t>
      </w:r>
      <w:r>
        <w:rPr>
          <w:color w:val="231F20"/>
          <w:spacing w:val="-11"/>
          <w:w w:val="110"/>
        </w:rPr>
        <w:t> </w:t>
      </w:r>
      <w:r>
        <w:rPr>
          <w:color w:val="231F20"/>
          <w:w w:val="110"/>
        </w:rPr>
        <w:t>neoliberalismo</w:t>
      </w:r>
      <w:r>
        <w:rPr>
          <w:color w:val="231F20"/>
          <w:spacing w:val="-11"/>
          <w:w w:val="110"/>
        </w:rPr>
        <w:t> </w:t>
      </w:r>
      <w:r>
        <w:rPr>
          <w:color w:val="231F20"/>
          <w:w w:val="110"/>
        </w:rPr>
        <w:t>como</w:t>
      </w:r>
      <w:r>
        <w:rPr>
          <w:color w:val="231F20"/>
          <w:spacing w:val="-11"/>
          <w:w w:val="110"/>
        </w:rPr>
        <w:t> </w:t>
      </w:r>
      <w:r>
        <w:rPr>
          <w:color w:val="231F20"/>
          <w:w w:val="110"/>
        </w:rPr>
        <w:t>política</w:t>
      </w:r>
      <w:r>
        <w:rPr>
          <w:color w:val="231F20"/>
          <w:spacing w:val="-11"/>
          <w:w w:val="110"/>
        </w:rPr>
        <w:t> </w:t>
      </w:r>
      <w:r>
        <w:rPr>
          <w:color w:val="231F20"/>
          <w:w w:val="110"/>
        </w:rPr>
        <w:t>económica.</w:t>
      </w:r>
    </w:p>
    <w:p>
      <w:pPr>
        <w:pStyle w:val="BodyText"/>
        <w:spacing w:line="261" w:lineRule="auto"/>
        <w:ind w:left="100" w:right="117" w:firstLine="240"/>
        <w:jc w:val="both"/>
      </w:pPr>
      <w:r>
        <w:rPr>
          <w:color w:val="231F20"/>
          <w:w w:val="110"/>
        </w:rPr>
        <w:t>En Estados Unidos, como en muchas de las economías desarro- lladas, pero en éste con tendencias decrecientes más marcadas, el empleo en el sector manufacturero ha perdido notoria importancia. La tendencia muestra el rápido desplazamiento de la producción de bienes</w:t>
      </w:r>
      <w:r>
        <w:rPr>
          <w:color w:val="231F20"/>
          <w:spacing w:val="-25"/>
          <w:w w:val="110"/>
        </w:rPr>
        <w:t> </w:t>
      </w:r>
      <w:r>
        <w:rPr>
          <w:color w:val="231F20"/>
          <w:w w:val="110"/>
        </w:rPr>
        <w:t>hacia</w:t>
      </w:r>
      <w:r>
        <w:rPr>
          <w:color w:val="231F20"/>
          <w:spacing w:val="-25"/>
          <w:w w:val="110"/>
        </w:rPr>
        <w:t> </w:t>
      </w:r>
      <w:r>
        <w:rPr>
          <w:color w:val="231F20"/>
          <w:w w:val="110"/>
        </w:rPr>
        <w:t>la</w:t>
      </w:r>
      <w:r>
        <w:rPr>
          <w:color w:val="231F20"/>
          <w:spacing w:val="-25"/>
          <w:w w:val="110"/>
        </w:rPr>
        <w:t> </w:t>
      </w:r>
      <w:r>
        <w:rPr>
          <w:color w:val="231F20"/>
          <w:w w:val="110"/>
        </w:rPr>
        <w:t>producción</w:t>
      </w:r>
      <w:r>
        <w:rPr>
          <w:color w:val="231F20"/>
          <w:spacing w:val="-25"/>
          <w:w w:val="110"/>
        </w:rPr>
        <w:t> </w:t>
      </w:r>
      <w:r>
        <w:rPr>
          <w:color w:val="231F20"/>
          <w:w w:val="110"/>
        </w:rPr>
        <w:t>de</w:t>
      </w:r>
      <w:r>
        <w:rPr>
          <w:color w:val="231F20"/>
          <w:spacing w:val="-25"/>
          <w:w w:val="110"/>
        </w:rPr>
        <w:t> </w:t>
      </w:r>
      <w:r>
        <w:rPr>
          <w:color w:val="231F20"/>
          <w:w w:val="110"/>
        </w:rPr>
        <w:t>servicios,</w:t>
      </w:r>
      <w:r>
        <w:rPr>
          <w:color w:val="231F20"/>
          <w:spacing w:val="-25"/>
          <w:w w:val="110"/>
        </w:rPr>
        <w:t> </w:t>
      </w:r>
      <w:r>
        <w:rPr>
          <w:color w:val="231F20"/>
          <w:w w:val="110"/>
        </w:rPr>
        <w:t>con</w:t>
      </w:r>
      <w:r>
        <w:rPr>
          <w:color w:val="231F20"/>
          <w:spacing w:val="-25"/>
          <w:w w:val="110"/>
        </w:rPr>
        <w:t> </w:t>
      </w:r>
      <w:r>
        <w:rPr>
          <w:color w:val="231F20"/>
          <w:w w:val="110"/>
        </w:rPr>
        <w:t>efectos</w:t>
      </w:r>
      <w:r>
        <w:rPr>
          <w:color w:val="231F20"/>
          <w:spacing w:val="-25"/>
          <w:w w:val="110"/>
        </w:rPr>
        <w:t> </w:t>
      </w:r>
      <w:r>
        <w:rPr>
          <w:color w:val="231F20"/>
          <w:w w:val="110"/>
        </w:rPr>
        <w:t>desfavorables</w:t>
      </w:r>
      <w:r>
        <w:rPr>
          <w:color w:val="231F20"/>
          <w:spacing w:val="-25"/>
          <w:w w:val="110"/>
        </w:rPr>
        <w:t> </w:t>
      </w:r>
      <w:r>
        <w:rPr>
          <w:color w:val="231F20"/>
          <w:w w:val="110"/>
        </w:rPr>
        <w:t>par- ticularmente</w:t>
      </w:r>
      <w:r>
        <w:rPr>
          <w:color w:val="231F20"/>
          <w:spacing w:val="-7"/>
          <w:w w:val="110"/>
        </w:rPr>
        <w:t> </w:t>
      </w:r>
      <w:r>
        <w:rPr>
          <w:color w:val="231F20"/>
          <w:w w:val="110"/>
        </w:rPr>
        <w:t>entre</w:t>
      </w:r>
      <w:r>
        <w:rPr>
          <w:color w:val="231F20"/>
          <w:spacing w:val="-7"/>
          <w:w w:val="110"/>
        </w:rPr>
        <w:t> </w:t>
      </w:r>
      <w:r>
        <w:rPr>
          <w:color w:val="231F20"/>
          <w:w w:val="110"/>
        </w:rPr>
        <w:t>los</w:t>
      </w:r>
      <w:r>
        <w:rPr>
          <w:color w:val="231F20"/>
          <w:spacing w:val="-7"/>
          <w:w w:val="110"/>
        </w:rPr>
        <w:t> </w:t>
      </w:r>
      <w:r>
        <w:rPr>
          <w:color w:val="231F20"/>
          <w:w w:val="110"/>
        </w:rPr>
        <w:t>jóvenes,</w:t>
      </w:r>
      <w:r>
        <w:rPr>
          <w:color w:val="231F20"/>
          <w:spacing w:val="-7"/>
          <w:w w:val="110"/>
        </w:rPr>
        <w:t> </w:t>
      </w:r>
      <w:r>
        <w:rPr>
          <w:color w:val="231F20"/>
          <w:w w:val="110"/>
        </w:rPr>
        <w:t>pero</w:t>
      </w:r>
      <w:r>
        <w:rPr>
          <w:color w:val="231F20"/>
          <w:spacing w:val="-7"/>
          <w:w w:val="110"/>
        </w:rPr>
        <w:t> </w:t>
      </w:r>
      <w:r>
        <w:rPr>
          <w:color w:val="231F20"/>
          <w:w w:val="110"/>
        </w:rPr>
        <w:t>más</w:t>
      </w:r>
      <w:r>
        <w:rPr>
          <w:color w:val="231F20"/>
          <w:spacing w:val="-7"/>
          <w:w w:val="110"/>
        </w:rPr>
        <w:t> </w:t>
      </w:r>
      <w:r>
        <w:rPr>
          <w:color w:val="231F20"/>
          <w:w w:val="110"/>
        </w:rPr>
        <w:t>entre</w:t>
      </w:r>
      <w:r>
        <w:rPr>
          <w:color w:val="231F20"/>
          <w:spacing w:val="-7"/>
          <w:w w:val="110"/>
        </w:rPr>
        <w:t> </w:t>
      </w:r>
      <w:r>
        <w:rPr>
          <w:color w:val="231F20"/>
          <w:w w:val="110"/>
        </w:rPr>
        <w:t>los</w:t>
      </w:r>
      <w:r>
        <w:rPr>
          <w:color w:val="231F20"/>
          <w:spacing w:val="-7"/>
          <w:w w:val="110"/>
        </w:rPr>
        <w:t> </w:t>
      </w:r>
      <w:r>
        <w:rPr>
          <w:color w:val="231F20"/>
          <w:w w:val="110"/>
        </w:rPr>
        <w:t>hombres,</w:t>
      </w:r>
      <w:r>
        <w:rPr>
          <w:color w:val="231F20"/>
          <w:spacing w:val="-7"/>
          <w:w w:val="110"/>
        </w:rPr>
        <w:t> </w:t>
      </w:r>
      <w:r>
        <w:rPr>
          <w:color w:val="231F20"/>
          <w:w w:val="110"/>
        </w:rPr>
        <w:t>así</w:t>
      </w:r>
      <w:r>
        <w:rPr>
          <w:color w:val="231F20"/>
          <w:spacing w:val="-7"/>
          <w:w w:val="110"/>
        </w:rPr>
        <w:t> </w:t>
      </w:r>
      <w:r>
        <w:rPr>
          <w:color w:val="231F20"/>
          <w:w w:val="110"/>
        </w:rPr>
        <w:t>como entre los obreros nativos e inmigrantes, legales e indocumentados, generalmente con baja calificación, demográfica y socialmente más vulnerable.</w:t>
      </w:r>
      <w:r>
        <w:rPr>
          <w:color w:val="231F20"/>
          <w:w w:val="110"/>
          <w:position w:val="6"/>
          <w:sz w:val="13"/>
        </w:rPr>
        <w:t>6 </w:t>
      </w:r>
      <w:r>
        <w:rPr>
          <w:color w:val="231F20"/>
          <w:w w:val="110"/>
        </w:rPr>
        <w:t>El cuadro 1 muestra la dinámica decreciente del</w:t>
      </w:r>
      <w:r>
        <w:rPr>
          <w:color w:val="231F20"/>
          <w:spacing w:val="-16"/>
          <w:w w:val="110"/>
        </w:rPr>
        <w:t> </w:t>
      </w:r>
      <w:r>
        <w:rPr>
          <w:color w:val="231F20"/>
          <w:w w:val="110"/>
        </w:rPr>
        <w:t>empleo</w:t>
      </w:r>
    </w:p>
    <w:p>
      <w:pPr>
        <w:pStyle w:val="BodyText"/>
      </w:pPr>
    </w:p>
    <w:p>
      <w:pPr>
        <w:spacing w:before="152"/>
        <w:ind w:left="340" w:right="25" w:firstLine="0"/>
        <w:jc w:val="left"/>
        <w:rPr>
          <w:sz w:val="16"/>
        </w:rPr>
      </w:pPr>
      <w:r>
        <w:rPr>
          <w:color w:val="231F20"/>
          <w:w w:val="110"/>
          <w:position w:val="5"/>
          <w:sz w:val="10"/>
        </w:rPr>
        <w:t>6   </w:t>
      </w:r>
      <w:r>
        <w:rPr>
          <w:color w:val="231F20"/>
          <w:w w:val="110"/>
          <w:sz w:val="16"/>
        </w:rPr>
        <w:t>Cabe señalar al respecto, que casi 16% de la fuerza laboral de Estados    Unidos</w:t>
      </w:r>
    </w:p>
    <w:p>
      <w:pPr>
        <w:spacing w:after="0"/>
        <w:jc w:val="left"/>
        <w:rPr>
          <w:sz w:val="16"/>
        </w:rPr>
        <w:sectPr>
          <w:headerReference w:type="even" r:id="rId188"/>
          <w:headerReference w:type="default" r:id="rId189"/>
          <w:pgSz w:w="7640" w:h="11900"/>
          <w:pgMar w:header="672" w:footer="0" w:top="860" w:bottom="280" w:left="780" w:right="640"/>
        </w:sectPr>
      </w:pPr>
    </w:p>
    <w:p>
      <w:pPr>
        <w:pStyle w:val="BodyText"/>
        <w:spacing w:before="8"/>
        <w:rPr>
          <w:sz w:val="8"/>
        </w:rPr>
      </w:pPr>
    </w:p>
    <w:p>
      <w:pPr>
        <w:pStyle w:val="BodyText"/>
        <w:spacing w:line="261" w:lineRule="auto" w:before="67"/>
        <w:ind w:left="120" w:right="117"/>
        <w:jc w:val="both"/>
      </w:pP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sector</w:t>
      </w:r>
      <w:r>
        <w:rPr>
          <w:color w:val="231F20"/>
          <w:spacing w:val="-9"/>
          <w:w w:val="110"/>
        </w:rPr>
        <w:t> </w:t>
      </w:r>
      <w:r>
        <w:rPr>
          <w:color w:val="231F20"/>
          <w:w w:val="110"/>
        </w:rPr>
        <w:t>industrial</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incremento</w:t>
      </w:r>
      <w:r>
        <w:rPr>
          <w:color w:val="231F20"/>
          <w:spacing w:val="-9"/>
          <w:w w:val="110"/>
        </w:rPr>
        <w:t> </w:t>
      </w:r>
      <w:r>
        <w:rPr>
          <w:color w:val="231F20"/>
          <w:w w:val="110"/>
        </w:rPr>
        <w:t>del</w:t>
      </w:r>
      <w:r>
        <w:rPr>
          <w:color w:val="231F20"/>
          <w:spacing w:val="-9"/>
          <w:w w:val="110"/>
        </w:rPr>
        <w:t> </w:t>
      </w:r>
      <w:r>
        <w:rPr>
          <w:color w:val="231F20"/>
          <w:w w:val="110"/>
        </w:rPr>
        <w:t>sector</w:t>
      </w:r>
      <w:r>
        <w:rPr>
          <w:color w:val="231F20"/>
          <w:spacing w:val="-9"/>
          <w:w w:val="110"/>
        </w:rPr>
        <w:t> </w:t>
      </w:r>
      <w:r>
        <w:rPr>
          <w:color w:val="231F20"/>
          <w:w w:val="110"/>
        </w:rPr>
        <w:t>servicios,</w:t>
      </w:r>
      <w:r>
        <w:rPr>
          <w:color w:val="231F20"/>
          <w:spacing w:val="-9"/>
          <w:w w:val="110"/>
        </w:rPr>
        <w:t> </w:t>
      </w:r>
      <w:r>
        <w:rPr>
          <w:color w:val="231F20"/>
          <w:w w:val="110"/>
        </w:rPr>
        <w:t>entre</w:t>
      </w:r>
      <w:r>
        <w:rPr>
          <w:color w:val="231F20"/>
          <w:spacing w:val="-9"/>
          <w:w w:val="110"/>
        </w:rPr>
        <w:t> </w:t>
      </w:r>
      <w:r>
        <w:rPr>
          <w:color w:val="231F20"/>
          <w:w w:val="110"/>
        </w:rPr>
        <w:t>1970 y 2011, acentuada a partir de mediados de la década de 1990 (Casti- llo, 2010a y 2011). En dicho periodo, el empleo en la producción de bienes pasó de 32.1 a 13.7%, un descenso de –18.8%; mientras que el</w:t>
      </w:r>
      <w:r>
        <w:rPr>
          <w:color w:val="231F20"/>
          <w:spacing w:val="-8"/>
          <w:w w:val="110"/>
        </w:rPr>
        <w:t> </w:t>
      </w:r>
      <w:r>
        <w:rPr>
          <w:color w:val="231F20"/>
          <w:w w:val="110"/>
        </w:rPr>
        <w:t>sector</w:t>
      </w:r>
      <w:r>
        <w:rPr>
          <w:color w:val="231F20"/>
          <w:spacing w:val="-8"/>
          <w:w w:val="110"/>
        </w:rPr>
        <w:t> </w:t>
      </w:r>
      <w:r>
        <w:rPr>
          <w:color w:val="231F20"/>
          <w:w w:val="110"/>
        </w:rPr>
        <w:t>servicios</w:t>
      </w:r>
      <w:r>
        <w:rPr>
          <w:color w:val="231F20"/>
          <w:spacing w:val="-8"/>
          <w:w w:val="110"/>
        </w:rPr>
        <w:t> </w:t>
      </w:r>
      <w:r>
        <w:rPr>
          <w:color w:val="231F20"/>
          <w:w w:val="110"/>
        </w:rPr>
        <w:t>creció</w:t>
      </w:r>
      <w:r>
        <w:rPr>
          <w:color w:val="231F20"/>
          <w:spacing w:val="-8"/>
          <w:w w:val="110"/>
        </w:rPr>
        <w:t> </w:t>
      </w:r>
      <w:r>
        <w:rPr>
          <w:color w:val="231F20"/>
          <w:w w:val="110"/>
        </w:rPr>
        <w:t>de</w:t>
      </w:r>
      <w:r>
        <w:rPr>
          <w:color w:val="231F20"/>
          <w:spacing w:val="-8"/>
          <w:w w:val="110"/>
        </w:rPr>
        <w:t> </w:t>
      </w:r>
      <w:r>
        <w:rPr>
          <w:color w:val="231F20"/>
          <w:w w:val="110"/>
        </w:rPr>
        <w:t>68.8</w:t>
      </w:r>
      <w:r>
        <w:rPr>
          <w:color w:val="231F20"/>
          <w:spacing w:val="-8"/>
          <w:w w:val="110"/>
        </w:rPr>
        <w:t> </w:t>
      </w:r>
      <w:r>
        <w:rPr>
          <w:color w:val="231F20"/>
          <w:w w:val="110"/>
        </w:rPr>
        <w:t>a</w:t>
      </w:r>
      <w:r>
        <w:rPr>
          <w:color w:val="231F20"/>
          <w:spacing w:val="-8"/>
          <w:w w:val="110"/>
        </w:rPr>
        <w:t> </w:t>
      </w:r>
      <w:r>
        <w:rPr>
          <w:color w:val="231F20"/>
          <w:w w:val="110"/>
        </w:rPr>
        <w:t>86.3%,</w:t>
      </w:r>
      <w:r>
        <w:rPr>
          <w:color w:val="231F20"/>
          <w:spacing w:val="-8"/>
          <w:w w:val="110"/>
        </w:rPr>
        <w:t> </w:t>
      </w:r>
      <w:r>
        <w:rPr>
          <w:color w:val="231F20"/>
          <w:w w:val="110"/>
        </w:rPr>
        <w:t>un</w:t>
      </w:r>
      <w:r>
        <w:rPr>
          <w:color w:val="231F20"/>
          <w:spacing w:val="-8"/>
          <w:w w:val="110"/>
        </w:rPr>
        <w:t> </w:t>
      </w:r>
      <w:r>
        <w:rPr>
          <w:color w:val="231F20"/>
          <w:w w:val="110"/>
        </w:rPr>
        <w:t>incremento</w:t>
      </w:r>
      <w:r>
        <w:rPr>
          <w:color w:val="231F20"/>
          <w:spacing w:val="-8"/>
          <w:w w:val="110"/>
        </w:rPr>
        <w:t> </w:t>
      </w:r>
      <w:r>
        <w:rPr>
          <w:color w:val="231F20"/>
          <w:w w:val="110"/>
        </w:rPr>
        <w:t>de</w:t>
      </w:r>
      <w:r>
        <w:rPr>
          <w:color w:val="231F20"/>
          <w:spacing w:val="-8"/>
          <w:w w:val="110"/>
        </w:rPr>
        <w:t> </w:t>
      </w:r>
      <w:r>
        <w:rPr>
          <w:color w:val="231F20"/>
          <w:w w:val="110"/>
        </w:rPr>
        <w:t>132.1%. En cierto modo, la pérdida de hegemonía del sector manufacturero, históricamente</w:t>
      </w:r>
      <w:r>
        <w:rPr>
          <w:color w:val="231F20"/>
          <w:spacing w:val="-10"/>
          <w:w w:val="110"/>
        </w:rPr>
        <w:t> </w:t>
      </w:r>
      <w:r>
        <w:rPr>
          <w:color w:val="231F20"/>
          <w:w w:val="110"/>
        </w:rPr>
        <w:t>caracterizado</w:t>
      </w:r>
      <w:r>
        <w:rPr>
          <w:color w:val="231F20"/>
          <w:spacing w:val="-10"/>
          <w:w w:val="110"/>
        </w:rPr>
        <w:t> </w:t>
      </w:r>
      <w:r>
        <w:rPr>
          <w:color w:val="231F20"/>
          <w:w w:val="110"/>
        </w:rPr>
        <w:t>por</w:t>
      </w:r>
      <w:r>
        <w:rPr>
          <w:color w:val="231F20"/>
          <w:spacing w:val="-10"/>
          <w:w w:val="110"/>
        </w:rPr>
        <w:t> </w:t>
      </w:r>
      <w:r>
        <w:rPr>
          <w:color w:val="231F20"/>
          <w:w w:val="110"/>
        </w:rPr>
        <w:t>ser</w:t>
      </w:r>
      <w:r>
        <w:rPr>
          <w:color w:val="231F20"/>
          <w:spacing w:val="-10"/>
          <w:w w:val="110"/>
        </w:rPr>
        <w:t> </w:t>
      </w:r>
      <w:r>
        <w:rPr>
          <w:color w:val="231F20"/>
          <w:w w:val="110"/>
        </w:rPr>
        <w:t>un</w:t>
      </w:r>
      <w:r>
        <w:rPr>
          <w:color w:val="231F20"/>
          <w:spacing w:val="-10"/>
          <w:w w:val="110"/>
        </w:rPr>
        <w:t> </w:t>
      </w:r>
      <w:r>
        <w:rPr>
          <w:color w:val="231F20"/>
          <w:w w:val="110"/>
        </w:rPr>
        <w:t>espacio</w:t>
      </w:r>
      <w:r>
        <w:rPr>
          <w:color w:val="231F20"/>
          <w:spacing w:val="-10"/>
          <w:w w:val="110"/>
        </w:rPr>
        <w:t> </w:t>
      </w:r>
      <w:r>
        <w:rPr>
          <w:color w:val="231F20"/>
          <w:w w:val="110"/>
        </w:rPr>
        <w:t>cautivo</w:t>
      </w:r>
      <w:r>
        <w:rPr>
          <w:color w:val="231F20"/>
          <w:spacing w:val="-10"/>
          <w:w w:val="110"/>
        </w:rPr>
        <w:t> </w:t>
      </w:r>
      <w:r>
        <w:rPr>
          <w:color w:val="231F20"/>
          <w:w w:val="110"/>
        </w:rPr>
        <w:t>de</w:t>
      </w:r>
      <w:r>
        <w:rPr>
          <w:color w:val="231F20"/>
          <w:spacing w:val="-10"/>
          <w:w w:val="110"/>
        </w:rPr>
        <w:t> </w:t>
      </w:r>
      <w:r>
        <w:rPr>
          <w:color w:val="231F20"/>
          <w:w w:val="110"/>
        </w:rPr>
        <w:t>gran</w:t>
      </w:r>
      <w:r>
        <w:rPr>
          <w:color w:val="231F20"/>
          <w:spacing w:val="-10"/>
          <w:w w:val="110"/>
        </w:rPr>
        <w:t> </w:t>
      </w:r>
      <w:r>
        <w:rPr>
          <w:color w:val="231F20"/>
          <w:w w:val="110"/>
        </w:rPr>
        <w:t>parte de los trabajadores de las clases obreras y medias, y que en general ofrecía oportunidades de empleos más estables, mejor remunerado</w:t>
      </w:r>
      <w:r>
        <w:rPr>
          <w:color w:val="231F20"/>
          <w:spacing w:val="-22"/>
          <w:w w:val="110"/>
        </w:rPr>
        <w:t> </w:t>
      </w:r>
      <w:r>
        <w:rPr>
          <w:color w:val="231F20"/>
          <w:w w:val="110"/>
        </w:rPr>
        <w:t>y protegido por la seguridad social, tiene consecuencias directas</w:t>
      </w:r>
      <w:r>
        <w:rPr>
          <w:color w:val="231F20"/>
          <w:spacing w:val="-5"/>
          <w:w w:val="110"/>
        </w:rPr>
        <w:t> </w:t>
      </w:r>
      <w:r>
        <w:rPr>
          <w:color w:val="231F20"/>
          <w:w w:val="110"/>
        </w:rPr>
        <w:t>sobre la nueva estructura de explotación del trabajo, la crisis actual y el incremento de la precarización del trabajo. Este cambio estructural de la economía estadunidense a lo largo de más de tres decenios, es considerado</w:t>
      </w:r>
      <w:r>
        <w:rPr>
          <w:color w:val="231F20"/>
          <w:spacing w:val="-7"/>
          <w:w w:val="110"/>
        </w:rPr>
        <w:t> </w:t>
      </w:r>
      <w:r>
        <w:rPr>
          <w:color w:val="231F20"/>
          <w:w w:val="110"/>
        </w:rPr>
        <w:t>uno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factores</w:t>
      </w:r>
      <w:r>
        <w:rPr>
          <w:color w:val="231F20"/>
          <w:spacing w:val="-7"/>
          <w:w w:val="110"/>
        </w:rPr>
        <w:t> </w:t>
      </w:r>
      <w:r>
        <w:rPr>
          <w:color w:val="231F20"/>
          <w:w w:val="110"/>
        </w:rPr>
        <w:t>determinantes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actual</w:t>
      </w:r>
      <w:r>
        <w:rPr>
          <w:color w:val="231F20"/>
          <w:spacing w:val="-7"/>
          <w:w w:val="110"/>
        </w:rPr>
        <w:t> </w:t>
      </w:r>
      <w:r>
        <w:rPr>
          <w:color w:val="231F20"/>
          <w:w w:val="110"/>
        </w:rPr>
        <w:t>y</w:t>
      </w:r>
      <w:r>
        <w:rPr>
          <w:color w:val="231F20"/>
          <w:spacing w:val="-7"/>
          <w:w w:val="110"/>
        </w:rPr>
        <w:t> </w:t>
      </w:r>
      <w:r>
        <w:rPr>
          <w:color w:val="231F20"/>
          <w:w w:val="110"/>
        </w:rPr>
        <w:t>de sus consecuencias. En la apreciación de Nadal (2011), el desmante- lamiento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componentes</w:t>
      </w:r>
      <w:r>
        <w:rPr>
          <w:color w:val="231F20"/>
          <w:spacing w:val="-5"/>
          <w:w w:val="110"/>
        </w:rPr>
        <w:t> </w:t>
      </w:r>
      <w:r>
        <w:rPr>
          <w:color w:val="231F20"/>
          <w:w w:val="110"/>
        </w:rPr>
        <w:t>estratégicos</w:t>
      </w:r>
      <w:r>
        <w:rPr>
          <w:color w:val="231F20"/>
          <w:spacing w:val="-5"/>
          <w:w w:val="110"/>
        </w:rPr>
        <w:t> </w:t>
      </w:r>
      <w:r>
        <w:rPr>
          <w:color w:val="231F20"/>
          <w:w w:val="110"/>
        </w:rPr>
        <w:t>del</w:t>
      </w:r>
      <w:r>
        <w:rPr>
          <w:color w:val="231F20"/>
          <w:spacing w:val="-5"/>
          <w:w w:val="110"/>
        </w:rPr>
        <w:t> </w:t>
      </w:r>
      <w:r>
        <w:rPr>
          <w:color w:val="231F20"/>
          <w:w w:val="110"/>
        </w:rPr>
        <w:t>“aparato</w:t>
      </w:r>
      <w:r>
        <w:rPr>
          <w:color w:val="231F20"/>
          <w:spacing w:val="-5"/>
          <w:w w:val="110"/>
        </w:rPr>
        <w:t> </w:t>
      </w:r>
      <w:r>
        <w:rPr>
          <w:color w:val="231F20"/>
          <w:w w:val="110"/>
        </w:rPr>
        <w:t>industrial</w:t>
      </w:r>
      <w:r>
        <w:rPr>
          <w:color w:val="231F20"/>
          <w:spacing w:val="-5"/>
          <w:w w:val="110"/>
        </w:rPr>
        <w:t> </w:t>
      </w:r>
      <w:r>
        <w:rPr>
          <w:color w:val="231F20"/>
          <w:w w:val="110"/>
        </w:rPr>
        <w:t>y</w:t>
      </w:r>
      <w:r>
        <w:rPr>
          <w:color w:val="231F20"/>
          <w:spacing w:val="-5"/>
          <w:w w:val="110"/>
        </w:rPr>
        <w:t> </w:t>
      </w:r>
      <w:r>
        <w:rPr>
          <w:color w:val="231F20"/>
          <w:w w:val="110"/>
        </w:rPr>
        <w:t>la macrocefalia descomunal del sector financiero son elementos</w:t>
      </w:r>
      <w:r>
        <w:rPr>
          <w:color w:val="231F20"/>
          <w:spacing w:val="-5"/>
          <w:w w:val="110"/>
        </w:rPr>
        <w:t> </w:t>
      </w:r>
      <w:r>
        <w:rPr>
          <w:color w:val="231F20"/>
          <w:w w:val="110"/>
        </w:rPr>
        <w:t>claves en un análisis de los orígenes de la crisis”. El sector manufacturero es, en este sentido, el más afectado por la recesión actual en cuanto a pérdida de puestos de </w:t>
      </w:r>
      <w:r>
        <w:rPr>
          <w:color w:val="231F20"/>
          <w:spacing w:val="20"/>
          <w:w w:val="110"/>
        </w:rPr>
        <w:t> </w:t>
      </w:r>
      <w:r>
        <w:rPr>
          <w:color w:val="231F20"/>
          <w:w w:val="110"/>
        </w:rPr>
        <w:t>trabajo.</w:t>
      </w:r>
    </w:p>
    <w:p>
      <w:pPr>
        <w:pStyle w:val="BodyText"/>
        <w:spacing w:before="2"/>
        <w:rPr>
          <w:sz w:val="24"/>
        </w:rPr>
      </w:pPr>
    </w:p>
    <w:p>
      <w:pPr>
        <w:spacing w:line="290" w:lineRule="auto" w:before="0" w:after="44"/>
        <w:ind w:left="120" w:right="316" w:firstLine="0"/>
        <w:jc w:val="left"/>
        <w:rPr>
          <w:sz w:val="18"/>
        </w:rPr>
      </w:pPr>
      <w:r>
        <w:rPr>
          <w:color w:val="231F20"/>
          <w:w w:val="130"/>
          <w:sz w:val="18"/>
        </w:rPr>
        <w:t>cuadro</w:t>
      </w:r>
      <w:r>
        <w:rPr>
          <w:color w:val="231F20"/>
          <w:spacing w:val="-18"/>
          <w:w w:val="130"/>
          <w:sz w:val="18"/>
        </w:rPr>
        <w:t> </w:t>
      </w:r>
      <w:r>
        <w:rPr>
          <w:color w:val="231F20"/>
          <w:w w:val="130"/>
          <w:sz w:val="18"/>
        </w:rPr>
        <w:t>1.</w:t>
      </w:r>
      <w:r>
        <w:rPr>
          <w:color w:val="231F20"/>
          <w:spacing w:val="-18"/>
          <w:w w:val="130"/>
          <w:sz w:val="18"/>
        </w:rPr>
        <w:t> </w:t>
      </w:r>
      <w:r>
        <w:rPr>
          <w:color w:val="231F20"/>
          <w:w w:val="130"/>
          <w:sz w:val="18"/>
        </w:rPr>
        <w:t>cambios</w:t>
      </w:r>
      <w:r>
        <w:rPr>
          <w:color w:val="231F20"/>
          <w:spacing w:val="-18"/>
          <w:w w:val="130"/>
          <w:sz w:val="18"/>
        </w:rPr>
        <w:t> </w:t>
      </w:r>
      <w:r>
        <w:rPr>
          <w:color w:val="231F20"/>
          <w:w w:val="130"/>
          <w:sz w:val="18"/>
        </w:rPr>
        <w:t>en</w:t>
      </w:r>
      <w:r>
        <w:rPr>
          <w:color w:val="231F20"/>
          <w:spacing w:val="-18"/>
          <w:w w:val="130"/>
          <w:sz w:val="18"/>
        </w:rPr>
        <w:t> </w:t>
      </w:r>
      <w:r>
        <w:rPr>
          <w:color w:val="231F20"/>
          <w:w w:val="130"/>
          <w:sz w:val="18"/>
        </w:rPr>
        <w:t>la</w:t>
      </w:r>
      <w:r>
        <w:rPr>
          <w:color w:val="231F20"/>
          <w:spacing w:val="-18"/>
          <w:w w:val="130"/>
          <w:sz w:val="18"/>
        </w:rPr>
        <w:t> </w:t>
      </w:r>
      <w:r>
        <w:rPr>
          <w:color w:val="231F20"/>
          <w:w w:val="130"/>
          <w:sz w:val="18"/>
        </w:rPr>
        <w:t>estructura</w:t>
      </w:r>
      <w:r>
        <w:rPr>
          <w:color w:val="231F20"/>
          <w:spacing w:val="-18"/>
          <w:w w:val="130"/>
          <w:sz w:val="18"/>
        </w:rPr>
        <w:t> </w:t>
      </w:r>
      <w:r>
        <w:rPr>
          <w:color w:val="231F20"/>
          <w:w w:val="130"/>
          <w:sz w:val="18"/>
        </w:rPr>
        <w:t>sectorial</w:t>
      </w:r>
      <w:r>
        <w:rPr>
          <w:color w:val="231F20"/>
          <w:spacing w:val="-18"/>
          <w:w w:val="130"/>
          <w:sz w:val="18"/>
        </w:rPr>
        <w:t> </w:t>
      </w:r>
      <w:r>
        <w:rPr>
          <w:color w:val="231F20"/>
          <w:w w:val="130"/>
          <w:sz w:val="18"/>
        </w:rPr>
        <w:t>del</w:t>
      </w:r>
      <w:r>
        <w:rPr>
          <w:color w:val="231F20"/>
          <w:spacing w:val="-18"/>
          <w:w w:val="130"/>
          <w:sz w:val="18"/>
        </w:rPr>
        <w:t> </w:t>
      </w:r>
      <w:r>
        <w:rPr>
          <w:color w:val="231F20"/>
          <w:w w:val="130"/>
          <w:sz w:val="18"/>
        </w:rPr>
        <w:t>empleo,</w:t>
      </w:r>
      <w:r>
        <w:rPr>
          <w:color w:val="231F20"/>
          <w:spacing w:val="-18"/>
          <w:w w:val="130"/>
          <w:sz w:val="18"/>
        </w:rPr>
        <w:t> </w:t>
      </w:r>
      <w:r>
        <w:rPr>
          <w:color w:val="231F20"/>
          <w:w w:val="130"/>
          <w:sz w:val="18"/>
        </w:rPr>
        <w:t>estados </w:t>
      </w:r>
      <w:r>
        <w:rPr>
          <w:color w:val="231F20"/>
          <w:w w:val="115"/>
          <w:sz w:val="18"/>
        </w:rPr>
        <w:t>unidos,</w:t>
      </w:r>
      <w:r>
        <w:rPr>
          <w:color w:val="231F20"/>
          <w:spacing w:val="-8"/>
          <w:w w:val="115"/>
          <w:sz w:val="18"/>
        </w:rPr>
        <w:t> </w:t>
      </w:r>
      <w:r>
        <w:rPr>
          <w:color w:val="231F20"/>
          <w:w w:val="115"/>
          <w:sz w:val="18"/>
        </w:rPr>
        <w:t>1973-2011</w:t>
      </w: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3"/>
        <w:gridCol w:w="695"/>
        <w:gridCol w:w="637"/>
        <w:gridCol w:w="803"/>
        <w:gridCol w:w="619"/>
        <w:gridCol w:w="1508"/>
      </w:tblGrid>
      <w:tr>
        <w:trPr>
          <w:trHeight w:val="377" w:hRule="exact"/>
        </w:trPr>
        <w:tc>
          <w:tcPr>
            <w:tcW w:w="1653" w:type="dxa"/>
            <w:tcBorders>
              <w:top w:val="single" w:sz="4" w:space="0" w:color="231F20"/>
              <w:bottom w:val="single" w:sz="4" w:space="0" w:color="231F20"/>
            </w:tcBorders>
          </w:tcPr>
          <w:p>
            <w:pPr>
              <w:pStyle w:val="TableParagraph"/>
              <w:spacing w:before="9"/>
              <w:rPr>
                <w:sz w:val="15"/>
              </w:rPr>
            </w:pPr>
          </w:p>
          <w:p>
            <w:pPr>
              <w:pStyle w:val="TableParagraph"/>
              <w:ind w:left="482"/>
              <w:rPr>
                <w:sz w:val="16"/>
              </w:rPr>
            </w:pPr>
            <w:r>
              <w:rPr>
                <w:color w:val="231F20"/>
                <w:w w:val="130"/>
                <w:sz w:val="16"/>
              </w:rPr>
              <w:t>sectores</w:t>
            </w:r>
          </w:p>
        </w:tc>
        <w:tc>
          <w:tcPr>
            <w:tcW w:w="695" w:type="dxa"/>
            <w:tcBorders>
              <w:top w:val="single" w:sz="4" w:space="0" w:color="231F20"/>
              <w:bottom w:val="single" w:sz="4" w:space="0" w:color="231F20"/>
            </w:tcBorders>
          </w:tcPr>
          <w:p>
            <w:pPr>
              <w:pStyle w:val="TableParagraph"/>
              <w:spacing w:before="9"/>
              <w:rPr>
                <w:sz w:val="15"/>
              </w:rPr>
            </w:pPr>
          </w:p>
          <w:p>
            <w:pPr>
              <w:pStyle w:val="TableParagraph"/>
              <w:ind w:left="124"/>
              <w:rPr>
                <w:sz w:val="16"/>
              </w:rPr>
            </w:pPr>
            <w:r>
              <w:rPr>
                <w:color w:val="231F20"/>
                <w:w w:val="110"/>
                <w:sz w:val="16"/>
              </w:rPr>
              <w:t>1970</w:t>
            </w:r>
          </w:p>
        </w:tc>
        <w:tc>
          <w:tcPr>
            <w:tcW w:w="637" w:type="dxa"/>
            <w:tcBorders>
              <w:top w:val="single" w:sz="4" w:space="0" w:color="231F20"/>
              <w:bottom w:val="single" w:sz="4" w:space="0" w:color="231F20"/>
            </w:tcBorders>
          </w:tcPr>
          <w:p>
            <w:pPr>
              <w:pStyle w:val="TableParagraph"/>
              <w:spacing w:before="9"/>
              <w:rPr>
                <w:sz w:val="15"/>
              </w:rPr>
            </w:pPr>
          </w:p>
          <w:p>
            <w:pPr>
              <w:pStyle w:val="TableParagraph"/>
              <w:ind w:left="17"/>
              <w:jc w:val="center"/>
              <w:rPr>
                <w:sz w:val="16"/>
              </w:rPr>
            </w:pPr>
            <w:r>
              <w:rPr>
                <w:color w:val="231F20"/>
                <w:w w:val="108"/>
                <w:sz w:val="16"/>
              </w:rPr>
              <w:t>%</w:t>
            </w:r>
          </w:p>
        </w:tc>
        <w:tc>
          <w:tcPr>
            <w:tcW w:w="803" w:type="dxa"/>
            <w:tcBorders>
              <w:top w:val="single" w:sz="4" w:space="0" w:color="231F20"/>
              <w:bottom w:val="single" w:sz="4" w:space="0" w:color="231F20"/>
            </w:tcBorders>
          </w:tcPr>
          <w:p>
            <w:pPr>
              <w:pStyle w:val="TableParagraph"/>
              <w:spacing w:before="9"/>
              <w:rPr>
                <w:sz w:val="15"/>
              </w:rPr>
            </w:pPr>
          </w:p>
          <w:p>
            <w:pPr>
              <w:pStyle w:val="TableParagraph"/>
              <w:ind w:left="232"/>
              <w:rPr>
                <w:sz w:val="16"/>
              </w:rPr>
            </w:pPr>
            <w:r>
              <w:rPr>
                <w:color w:val="231F20"/>
                <w:w w:val="110"/>
                <w:sz w:val="16"/>
              </w:rPr>
              <w:t>2011</w:t>
            </w:r>
          </w:p>
        </w:tc>
        <w:tc>
          <w:tcPr>
            <w:tcW w:w="619" w:type="dxa"/>
            <w:tcBorders>
              <w:top w:val="single" w:sz="4" w:space="0" w:color="231F20"/>
              <w:bottom w:val="single" w:sz="4" w:space="0" w:color="231F20"/>
            </w:tcBorders>
          </w:tcPr>
          <w:p>
            <w:pPr>
              <w:pStyle w:val="TableParagraph"/>
              <w:spacing w:before="9"/>
              <w:rPr>
                <w:sz w:val="15"/>
              </w:rPr>
            </w:pPr>
          </w:p>
          <w:p>
            <w:pPr>
              <w:pStyle w:val="TableParagraph"/>
              <w:ind w:left="35"/>
              <w:jc w:val="center"/>
              <w:rPr>
                <w:sz w:val="16"/>
              </w:rPr>
            </w:pPr>
            <w:r>
              <w:rPr>
                <w:color w:val="231F20"/>
                <w:w w:val="108"/>
                <w:sz w:val="16"/>
              </w:rPr>
              <w:t>%</w:t>
            </w:r>
          </w:p>
        </w:tc>
        <w:tc>
          <w:tcPr>
            <w:tcW w:w="1508" w:type="dxa"/>
            <w:tcBorders>
              <w:top w:val="single" w:sz="4" w:space="0" w:color="231F20"/>
              <w:bottom w:val="single" w:sz="4" w:space="0" w:color="231F20"/>
            </w:tcBorders>
          </w:tcPr>
          <w:p>
            <w:pPr>
              <w:pStyle w:val="TableParagraph"/>
              <w:spacing w:line="180" w:lineRule="exact" w:before="7"/>
              <w:ind w:left="327" w:hanging="216"/>
              <w:rPr>
                <w:sz w:val="16"/>
              </w:rPr>
            </w:pPr>
            <w:r>
              <w:rPr>
                <w:color w:val="231F20"/>
                <w:w w:val="125"/>
                <w:sz w:val="16"/>
              </w:rPr>
              <w:t>crecimiento en el </w:t>
            </w:r>
            <w:r>
              <w:rPr>
                <w:color w:val="231F20"/>
                <w:w w:val="120"/>
                <w:sz w:val="16"/>
              </w:rPr>
              <w:t>periodo (%)</w:t>
            </w:r>
          </w:p>
        </w:tc>
      </w:tr>
      <w:tr>
        <w:trPr>
          <w:trHeight w:val="337" w:hRule="exact"/>
        </w:trPr>
        <w:tc>
          <w:tcPr>
            <w:tcW w:w="1653" w:type="dxa"/>
            <w:tcBorders>
              <w:top w:val="single" w:sz="4" w:space="0" w:color="231F20"/>
            </w:tcBorders>
          </w:tcPr>
          <w:p>
            <w:pPr>
              <w:pStyle w:val="TableParagraph"/>
              <w:spacing w:before="85"/>
              <w:ind w:left="35"/>
              <w:rPr>
                <w:sz w:val="16"/>
              </w:rPr>
            </w:pPr>
            <w:r>
              <w:rPr>
                <w:color w:val="231F20"/>
                <w:w w:val="110"/>
                <w:sz w:val="16"/>
              </w:rPr>
              <w:t>Producción de bienes</w:t>
            </w:r>
          </w:p>
        </w:tc>
        <w:tc>
          <w:tcPr>
            <w:tcW w:w="695" w:type="dxa"/>
            <w:tcBorders>
              <w:top w:val="single" w:sz="4" w:space="0" w:color="231F20"/>
            </w:tcBorders>
          </w:tcPr>
          <w:p>
            <w:pPr>
              <w:pStyle w:val="TableParagraph"/>
              <w:spacing w:before="85"/>
              <w:ind w:left="104"/>
              <w:rPr>
                <w:sz w:val="16"/>
              </w:rPr>
            </w:pPr>
            <w:r>
              <w:rPr>
                <w:color w:val="231F20"/>
                <w:w w:val="105"/>
                <w:sz w:val="16"/>
              </w:rPr>
              <w:t>22 179</w:t>
            </w:r>
          </w:p>
        </w:tc>
        <w:tc>
          <w:tcPr>
            <w:tcW w:w="637" w:type="dxa"/>
            <w:tcBorders>
              <w:top w:val="single" w:sz="4" w:space="0" w:color="231F20"/>
            </w:tcBorders>
          </w:tcPr>
          <w:p>
            <w:pPr>
              <w:pStyle w:val="TableParagraph"/>
              <w:spacing w:before="85"/>
              <w:ind w:right="127"/>
              <w:jc w:val="right"/>
              <w:rPr>
                <w:sz w:val="16"/>
              </w:rPr>
            </w:pPr>
            <w:r>
              <w:rPr>
                <w:color w:val="231F20"/>
                <w:sz w:val="16"/>
              </w:rPr>
              <w:t>31.2</w:t>
            </w:r>
          </w:p>
        </w:tc>
        <w:tc>
          <w:tcPr>
            <w:tcW w:w="803" w:type="dxa"/>
            <w:tcBorders>
              <w:top w:val="single" w:sz="4" w:space="0" w:color="231F20"/>
            </w:tcBorders>
          </w:tcPr>
          <w:p>
            <w:pPr>
              <w:pStyle w:val="TableParagraph"/>
              <w:spacing w:before="85"/>
              <w:ind w:right="130"/>
              <w:jc w:val="right"/>
              <w:rPr>
                <w:sz w:val="16"/>
              </w:rPr>
            </w:pPr>
            <w:r>
              <w:rPr>
                <w:color w:val="231F20"/>
                <w:w w:val="105"/>
                <w:sz w:val="16"/>
              </w:rPr>
              <w:t>18 021</w:t>
            </w:r>
          </w:p>
        </w:tc>
        <w:tc>
          <w:tcPr>
            <w:tcW w:w="619" w:type="dxa"/>
            <w:tcBorders>
              <w:top w:val="single" w:sz="4" w:space="0" w:color="231F20"/>
            </w:tcBorders>
          </w:tcPr>
          <w:p>
            <w:pPr>
              <w:pStyle w:val="TableParagraph"/>
              <w:spacing w:before="85"/>
              <w:ind w:right="109"/>
              <w:jc w:val="right"/>
              <w:rPr>
                <w:sz w:val="16"/>
              </w:rPr>
            </w:pPr>
            <w:r>
              <w:rPr>
                <w:color w:val="231F20"/>
                <w:sz w:val="16"/>
              </w:rPr>
              <w:t>13.7</w:t>
            </w:r>
          </w:p>
        </w:tc>
        <w:tc>
          <w:tcPr>
            <w:tcW w:w="1508" w:type="dxa"/>
            <w:tcBorders>
              <w:top w:val="single" w:sz="4" w:space="0" w:color="231F20"/>
            </w:tcBorders>
          </w:tcPr>
          <w:p>
            <w:pPr>
              <w:pStyle w:val="TableParagraph"/>
              <w:spacing w:before="85"/>
              <w:ind w:right="519"/>
              <w:jc w:val="right"/>
              <w:rPr>
                <w:sz w:val="16"/>
              </w:rPr>
            </w:pPr>
            <w:r>
              <w:rPr>
                <w:color w:val="231F20"/>
                <w:sz w:val="16"/>
              </w:rPr>
              <w:t>–18.8</w:t>
            </w:r>
          </w:p>
        </w:tc>
      </w:tr>
      <w:tr>
        <w:trPr>
          <w:trHeight w:val="280" w:hRule="exact"/>
        </w:trPr>
        <w:tc>
          <w:tcPr>
            <w:tcW w:w="1653" w:type="dxa"/>
          </w:tcPr>
          <w:p>
            <w:pPr>
              <w:pStyle w:val="TableParagraph"/>
              <w:spacing w:before="33"/>
              <w:ind w:left="35"/>
              <w:rPr>
                <w:sz w:val="16"/>
              </w:rPr>
            </w:pPr>
            <w:r>
              <w:rPr>
                <w:color w:val="231F20"/>
                <w:sz w:val="16"/>
              </w:rPr>
              <w:t>Servicios</w:t>
            </w:r>
          </w:p>
        </w:tc>
        <w:tc>
          <w:tcPr>
            <w:tcW w:w="695" w:type="dxa"/>
          </w:tcPr>
          <w:p>
            <w:pPr>
              <w:pStyle w:val="TableParagraph"/>
              <w:spacing w:before="33"/>
              <w:ind w:left="104"/>
              <w:rPr>
                <w:sz w:val="16"/>
              </w:rPr>
            </w:pPr>
            <w:r>
              <w:rPr>
                <w:color w:val="231F20"/>
                <w:w w:val="105"/>
                <w:sz w:val="16"/>
              </w:rPr>
              <w:t>48 827</w:t>
            </w:r>
          </w:p>
        </w:tc>
        <w:tc>
          <w:tcPr>
            <w:tcW w:w="637" w:type="dxa"/>
          </w:tcPr>
          <w:p>
            <w:pPr>
              <w:pStyle w:val="TableParagraph"/>
              <w:spacing w:before="33"/>
              <w:ind w:right="127"/>
              <w:jc w:val="right"/>
              <w:rPr>
                <w:sz w:val="16"/>
              </w:rPr>
            </w:pPr>
            <w:r>
              <w:rPr>
                <w:color w:val="231F20"/>
                <w:sz w:val="16"/>
              </w:rPr>
              <w:t>68.8</w:t>
            </w:r>
          </w:p>
        </w:tc>
        <w:tc>
          <w:tcPr>
            <w:tcW w:w="803" w:type="dxa"/>
          </w:tcPr>
          <w:p>
            <w:pPr>
              <w:pStyle w:val="TableParagraph"/>
              <w:spacing w:before="33"/>
              <w:ind w:right="130"/>
              <w:jc w:val="right"/>
              <w:rPr>
                <w:sz w:val="16"/>
              </w:rPr>
            </w:pPr>
            <w:r>
              <w:rPr>
                <w:color w:val="231F20"/>
                <w:w w:val="105"/>
                <w:sz w:val="16"/>
              </w:rPr>
              <w:t>113 338</w:t>
            </w:r>
          </w:p>
        </w:tc>
        <w:tc>
          <w:tcPr>
            <w:tcW w:w="619" w:type="dxa"/>
          </w:tcPr>
          <w:p>
            <w:pPr>
              <w:pStyle w:val="TableParagraph"/>
              <w:spacing w:before="33"/>
              <w:ind w:right="109"/>
              <w:jc w:val="right"/>
              <w:rPr>
                <w:sz w:val="16"/>
              </w:rPr>
            </w:pPr>
            <w:r>
              <w:rPr>
                <w:color w:val="231F20"/>
                <w:sz w:val="16"/>
              </w:rPr>
              <w:t>86.3</w:t>
            </w:r>
          </w:p>
        </w:tc>
        <w:tc>
          <w:tcPr>
            <w:tcW w:w="1508" w:type="dxa"/>
          </w:tcPr>
          <w:p>
            <w:pPr>
              <w:pStyle w:val="TableParagraph"/>
              <w:spacing w:before="33"/>
              <w:ind w:right="519"/>
              <w:jc w:val="right"/>
              <w:rPr>
                <w:sz w:val="16"/>
              </w:rPr>
            </w:pPr>
            <w:r>
              <w:rPr>
                <w:color w:val="231F20"/>
                <w:sz w:val="16"/>
              </w:rPr>
              <w:t>132.1</w:t>
            </w:r>
          </w:p>
        </w:tc>
      </w:tr>
      <w:tr>
        <w:trPr>
          <w:trHeight w:val="223" w:hRule="exact"/>
        </w:trPr>
        <w:tc>
          <w:tcPr>
            <w:tcW w:w="1653" w:type="dxa"/>
            <w:tcBorders>
              <w:bottom w:val="single" w:sz="4" w:space="0" w:color="231F20"/>
            </w:tcBorders>
          </w:tcPr>
          <w:p>
            <w:pPr>
              <w:pStyle w:val="TableParagraph"/>
              <w:spacing w:before="33"/>
              <w:ind w:left="35"/>
              <w:rPr>
                <w:sz w:val="16"/>
              </w:rPr>
            </w:pPr>
            <w:r>
              <w:rPr>
                <w:color w:val="231F20"/>
                <w:w w:val="110"/>
                <w:sz w:val="16"/>
              </w:rPr>
              <w:t>Total</w:t>
            </w:r>
          </w:p>
        </w:tc>
        <w:tc>
          <w:tcPr>
            <w:tcW w:w="695" w:type="dxa"/>
            <w:tcBorders>
              <w:bottom w:val="single" w:sz="4" w:space="0" w:color="231F20"/>
            </w:tcBorders>
          </w:tcPr>
          <w:p>
            <w:pPr>
              <w:pStyle w:val="TableParagraph"/>
              <w:spacing w:before="33"/>
              <w:ind w:left="104"/>
              <w:rPr>
                <w:sz w:val="16"/>
              </w:rPr>
            </w:pPr>
            <w:r>
              <w:rPr>
                <w:color w:val="231F20"/>
                <w:w w:val="105"/>
                <w:sz w:val="16"/>
              </w:rPr>
              <w:t>71 006</w:t>
            </w:r>
          </w:p>
        </w:tc>
        <w:tc>
          <w:tcPr>
            <w:tcW w:w="637" w:type="dxa"/>
            <w:tcBorders>
              <w:bottom w:val="single" w:sz="4" w:space="0" w:color="231F20"/>
            </w:tcBorders>
          </w:tcPr>
          <w:p>
            <w:pPr>
              <w:pStyle w:val="TableParagraph"/>
              <w:spacing w:before="33"/>
              <w:ind w:right="127"/>
              <w:jc w:val="right"/>
              <w:rPr>
                <w:sz w:val="16"/>
              </w:rPr>
            </w:pPr>
            <w:r>
              <w:rPr>
                <w:color w:val="231F20"/>
                <w:sz w:val="16"/>
              </w:rPr>
              <w:t>100.0</w:t>
            </w:r>
          </w:p>
        </w:tc>
        <w:tc>
          <w:tcPr>
            <w:tcW w:w="803" w:type="dxa"/>
            <w:tcBorders>
              <w:bottom w:val="single" w:sz="4" w:space="0" w:color="231F20"/>
            </w:tcBorders>
          </w:tcPr>
          <w:p>
            <w:pPr>
              <w:pStyle w:val="TableParagraph"/>
              <w:spacing w:before="33"/>
              <w:ind w:right="130"/>
              <w:jc w:val="right"/>
              <w:rPr>
                <w:sz w:val="16"/>
              </w:rPr>
            </w:pPr>
            <w:r>
              <w:rPr>
                <w:color w:val="231F20"/>
                <w:w w:val="105"/>
                <w:sz w:val="16"/>
              </w:rPr>
              <w:t>131 359</w:t>
            </w:r>
          </w:p>
        </w:tc>
        <w:tc>
          <w:tcPr>
            <w:tcW w:w="619" w:type="dxa"/>
            <w:tcBorders>
              <w:bottom w:val="single" w:sz="4" w:space="0" w:color="231F20"/>
            </w:tcBorders>
          </w:tcPr>
          <w:p>
            <w:pPr>
              <w:pStyle w:val="TableParagraph"/>
              <w:spacing w:before="33"/>
              <w:ind w:right="109"/>
              <w:jc w:val="right"/>
              <w:rPr>
                <w:sz w:val="16"/>
              </w:rPr>
            </w:pPr>
            <w:r>
              <w:rPr>
                <w:color w:val="231F20"/>
                <w:sz w:val="16"/>
              </w:rPr>
              <w:t>100.0</w:t>
            </w:r>
          </w:p>
        </w:tc>
        <w:tc>
          <w:tcPr>
            <w:tcW w:w="1508" w:type="dxa"/>
            <w:tcBorders>
              <w:bottom w:val="single" w:sz="4" w:space="0" w:color="231F20"/>
            </w:tcBorders>
          </w:tcPr>
          <w:p>
            <w:pPr>
              <w:pStyle w:val="TableParagraph"/>
              <w:spacing w:before="33"/>
              <w:ind w:right="519"/>
              <w:jc w:val="right"/>
              <w:rPr>
                <w:sz w:val="16"/>
              </w:rPr>
            </w:pPr>
            <w:r>
              <w:rPr>
                <w:color w:val="231F20"/>
                <w:w w:val="70"/>
                <w:sz w:val="16"/>
              </w:rPr>
              <w:t>---</w:t>
            </w:r>
          </w:p>
        </w:tc>
      </w:tr>
    </w:tbl>
    <w:p>
      <w:pPr>
        <w:spacing w:before="73"/>
        <w:ind w:left="120" w:right="25" w:firstLine="0"/>
        <w:jc w:val="left"/>
        <w:rPr>
          <w:sz w:val="18"/>
        </w:rPr>
      </w:pPr>
      <w:r>
        <w:rPr>
          <w:rFonts w:ascii="Calibri"/>
          <w:color w:val="231F20"/>
          <w:w w:val="110"/>
          <w:sz w:val="18"/>
        </w:rPr>
        <w:t>fuente: </w:t>
      </w:r>
      <w:r>
        <w:rPr>
          <w:color w:val="231F20"/>
          <w:w w:val="110"/>
          <w:sz w:val="18"/>
        </w:rPr>
        <w:t>US Bureau of Labor Statistics, 2012.</w:t>
      </w:r>
    </w:p>
    <w:p>
      <w:pPr>
        <w:pStyle w:val="BodyText"/>
        <w:rPr>
          <w:sz w:val="18"/>
        </w:rPr>
      </w:pPr>
    </w:p>
    <w:p>
      <w:pPr>
        <w:pStyle w:val="BodyText"/>
        <w:spacing w:before="3"/>
        <w:rPr>
          <w:sz w:val="16"/>
        </w:rPr>
      </w:pPr>
    </w:p>
    <w:p>
      <w:pPr>
        <w:pStyle w:val="BodyText"/>
        <w:spacing w:line="261" w:lineRule="auto" w:before="1"/>
        <w:ind w:left="120" w:right="119" w:firstLine="240"/>
        <w:jc w:val="both"/>
      </w:pPr>
      <w:r>
        <w:rPr>
          <w:color w:val="231F20"/>
          <w:w w:val="110"/>
        </w:rPr>
        <w:t>En el nuevo entorno de competencia y desindustrialización des- mesurada, los capitales se desplazan a otras regiones del país y a otros países con ventajas comparativas, creando nuevos polos de</w:t>
      </w:r>
      <w:r>
        <w:rPr>
          <w:color w:val="231F20"/>
          <w:spacing w:val="-32"/>
          <w:w w:val="110"/>
        </w:rPr>
        <w:t> </w:t>
      </w:r>
      <w:r>
        <w:rPr>
          <w:color w:val="231F20"/>
          <w:w w:val="110"/>
        </w:rPr>
        <w:t>de- sarrollo</w:t>
      </w:r>
      <w:r>
        <w:rPr>
          <w:color w:val="231F20"/>
          <w:spacing w:val="-5"/>
          <w:w w:val="110"/>
        </w:rPr>
        <w:t> </w:t>
      </w:r>
      <w:r>
        <w:rPr>
          <w:color w:val="231F20"/>
          <w:w w:val="110"/>
        </w:rPr>
        <w:t>internos</w:t>
      </w:r>
      <w:r>
        <w:rPr>
          <w:color w:val="231F20"/>
          <w:spacing w:val="-5"/>
          <w:w w:val="110"/>
        </w:rPr>
        <w:t> </w:t>
      </w:r>
      <w:r>
        <w:rPr>
          <w:color w:val="231F20"/>
          <w:w w:val="110"/>
        </w:rPr>
        <w:t>y</w:t>
      </w:r>
      <w:r>
        <w:rPr>
          <w:color w:val="231F20"/>
          <w:spacing w:val="-5"/>
          <w:w w:val="110"/>
        </w:rPr>
        <w:t> </w:t>
      </w:r>
      <w:r>
        <w:rPr>
          <w:color w:val="231F20"/>
          <w:w w:val="110"/>
        </w:rPr>
        <w:t>periféricos.</w:t>
      </w:r>
      <w:r>
        <w:rPr>
          <w:color w:val="231F20"/>
          <w:spacing w:val="-5"/>
          <w:w w:val="110"/>
        </w:rPr>
        <w:t> </w:t>
      </w:r>
      <w:r>
        <w:rPr>
          <w:color w:val="231F20"/>
          <w:w w:val="110"/>
        </w:rPr>
        <w:t>La</w:t>
      </w:r>
      <w:r>
        <w:rPr>
          <w:color w:val="231F20"/>
          <w:spacing w:val="-5"/>
          <w:w w:val="110"/>
        </w:rPr>
        <w:t> </w:t>
      </w:r>
      <w:r>
        <w:rPr>
          <w:color w:val="231F20"/>
          <w:w w:val="110"/>
        </w:rPr>
        <w:t>deslocalización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producción</w:t>
      </w:r>
      <w:r>
        <w:rPr>
          <w:color w:val="231F20"/>
          <w:spacing w:val="-5"/>
          <w:w w:val="110"/>
        </w:rPr>
        <w:t> </w:t>
      </w:r>
      <w:r>
        <w:rPr>
          <w:color w:val="231F20"/>
          <w:w w:val="110"/>
        </w:rPr>
        <w:t>o</w:t>
      </w:r>
    </w:p>
    <w:p>
      <w:pPr>
        <w:pStyle w:val="BodyText"/>
      </w:pPr>
    </w:p>
    <w:p>
      <w:pPr>
        <w:pStyle w:val="BodyText"/>
        <w:spacing w:before="6"/>
        <w:rPr>
          <w:sz w:val="23"/>
        </w:rPr>
      </w:pPr>
      <w:r>
        <w:rPr/>
        <w:pict>
          <v:line style="position:absolute;mso-position-horizontal-relative:page;mso-position-vertical-relative:paragraph;z-index:6712;mso-wrap-distance-left:0;mso-wrap-distance-right:0" from="38pt,15.729212pt" to="98pt,15.729212pt" stroked="true" strokeweight=".5pt" strokecolor="#231f20">
            <w10:wrap type="topAndBottom"/>
          </v:line>
        </w:pict>
      </w:r>
    </w:p>
    <w:p>
      <w:pPr>
        <w:spacing w:line="261" w:lineRule="auto" w:before="16"/>
        <w:ind w:left="120" w:right="100" w:firstLine="0"/>
        <w:jc w:val="left"/>
        <w:rPr>
          <w:sz w:val="16"/>
        </w:rPr>
      </w:pPr>
      <w:r>
        <w:rPr>
          <w:color w:val="231F20"/>
          <w:w w:val="110"/>
          <w:sz w:val="16"/>
        </w:rPr>
        <w:t>está</w:t>
      </w:r>
      <w:r>
        <w:rPr>
          <w:color w:val="231F20"/>
          <w:spacing w:val="-8"/>
          <w:w w:val="110"/>
          <w:sz w:val="16"/>
        </w:rPr>
        <w:t> </w:t>
      </w:r>
      <w:r>
        <w:rPr>
          <w:color w:val="231F20"/>
          <w:w w:val="110"/>
          <w:sz w:val="16"/>
        </w:rPr>
        <w:t>integrada</w:t>
      </w:r>
      <w:r>
        <w:rPr>
          <w:color w:val="231F20"/>
          <w:spacing w:val="-8"/>
          <w:w w:val="110"/>
          <w:sz w:val="16"/>
        </w:rPr>
        <w:t> </w:t>
      </w:r>
      <w:r>
        <w:rPr>
          <w:color w:val="231F20"/>
          <w:w w:val="110"/>
          <w:sz w:val="16"/>
        </w:rPr>
        <w:t>por</w:t>
      </w:r>
      <w:r>
        <w:rPr>
          <w:color w:val="231F20"/>
          <w:spacing w:val="-8"/>
          <w:w w:val="110"/>
          <w:sz w:val="16"/>
        </w:rPr>
        <w:t> </w:t>
      </w:r>
      <w:r>
        <w:rPr>
          <w:color w:val="231F20"/>
          <w:w w:val="110"/>
          <w:sz w:val="16"/>
        </w:rPr>
        <w:t>la</w:t>
      </w:r>
      <w:r>
        <w:rPr>
          <w:color w:val="231F20"/>
          <w:spacing w:val="-8"/>
          <w:w w:val="110"/>
          <w:sz w:val="16"/>
        </w:rPr>
        <w:t> </w:t>
      </w:r>
      <w:r>
        <w:rPr>
          <w:color w:val="231F20"/>
          <w:w w:val="110"/>
          <w:sz w:val="16"/>
        </w:rPr>
        <w:t>población</w:t>
      </w:r>
      <w:r>
        <w:rPr>
          <w:color w:val="231F20"/>
          <w:spacing w:val="-8"/>
          <w:w w:val="110"/>
          <w:sz w:val="16"/>
        </w:rPr>
        <w:t> </w:t>
      </w:r>
      <w:r>
        <w:rPr>
          <w:color w:val="231F20"/>
          <w:w w:val="110"/>
          <w:sz w:val="16"/>
        </w:rPr>
        <w:t>inmigrante,</w:t>
      </w:r>
      <w:r>
        <w:rPr>
          <w:color w:val="231F20"/>
          <w:spacing w:val="-8"/>
          <w:w w:val="110"/>
          <w:sz w:val="16"/>
        </w:rPr>
        <w:t> </w:t>
      </w:r>
      <w:r>
        <w:rPr>
          <w:color w:val="231F20"/>
          <w:w w:val="110"/>
          <w:sz w:val="16"/>
        </w:rPr>
        <w:t>de</w:t>
      </w:r>
      <w:r>
        <w:rPr>
          <w:color w:val="231F20"/>
          <w:spacing w:val="-8"/>
          <w:w w:val="110"/>
          <w:sz w:val="16"/>
        </w:rPr>
        <w:t> </w:t>
      </w:r>
      <w:r>
        <w:rPr>
          <w:color w:val="231F20"/>
          <w:w w:val="110"/>
          <w:sz w:val="16"/>
        </w:rPr>
        <w:t>lo</w:t>
      </w:r>
      <w:r>
        <w:rPr>
          <w:color w:val="231F20"/>
          <w:spacing w:val="-8"/>
          <w:w w:val="110"/>
          <w:sz w:val="16"/>
        </w:rPr>
        <w:t> </w:t>
      </w:r>
      <w:r>
        <w:rPr>
          <w:color w:val="231F20"/>
          <w:w w:val="110"/>
          <w:sz w:val="16"/>
        </w:rPr>
        <w:t>cual</w:t>
      </w:r>
      <w:r>
        <w:rPr>
          <w:color w:val="231F20"/>
          <w:spacing w:val="-8"/>
          <w:w w:val="110"/>
          <w:sz w:val="16"/>
        </w:rPr>
        <w:t> </w:t>
      </w:r>
      <w:r>
        <w:rPr>
          <w:color w:val="231F20"/>
          <w:w w:val="110"/>
          <w:sz w:val="16"/>
        </w:rPr>
        <w:t>53%</w:t>
      </w:r>
      <w:r>
        <w:rPr>
          <w:color w:val="231F20"/>
          <w:spacing w:val="-8"/>
          <w:w w:val="110"/>
          <w:sz w:val="16"/>
        </w:rPr>
        <w:t> </w:t>
      </w:r>
      <w:r>
        <w:rPr>
          <w:color w:val="231F20"/>
          <w:w w:val="110"/>
          <w:sz w:val="16"/>
        </w:rPr>
        <w:t>procede</w:t>
      </w:r>
      <w:r>
        <w:rPr>
          <w:color w:val="231F20"/>
          <w:spacing w:val="-8"/>
          <w:w w:val="110"/>
          <w:sz w:val="16"/>
        </w:rPr>
        <w:t> </w:t>
      </w:r>
      <w:r>
        <w:rPr>
          <w:color w:val="231F20"/>
          <w:w w:val="110"/>
          <w:sz w:val="16"/>
        </w:rPr>
        <w:t>de</w:t>
      </w:r>
      <w:r>
        <w:rPr>
          <w:color w:val="231F20"/>
          <w:spacing w:val="-8"/>
          <w:w w:val="110"/>
          <w:sz w:val="16"/>
        </w:rPr>
        <w:t> </w:t>
      </w:r>
      <w:r>
        <w:rPr>
          <w:color w:val="231F20"/>
          <w:w w:val="110"/>
          <w:sz w:val="16"/>
        </w:rPr>
        <w:t>América</w:t>
      </w:r>
      <w:r>
        <w:rPr>
          <w:color w:val="231F20"/>
          <w:spacing w:val="-8"/>
          <w:w w:val="110"/>
          <w:sz w:val="16"/>
        </w:rPr>
        <w:t> </w:t>
      </w:r>
      <w:r>
        <w:rPr>
          <w:color w:val="231F20"/>
          <w:w w:val="110"/>
          <w:sz w:val="16"/>
        </w:rPr>
        <w:t>Latina, de ella, 30.1% de México (Notimex, 2010; ipums,</w:t>
      </w:r>
      <w:r>
        <w:rPr>
          <w:color w:val="231F20"/>
          <w:spacing w:val="-29"/>
          <w:w w:val="110"/>
          <w:sz w:val="16"/>
        </w:rPr>
        <w:t> </w:t>
      </w:r>
      <w:r>
        <w:rPr>
          <w:color w:val="231F20"/>
          <w:w w:val="110"/>
          <w:sz w:val="16"/>
        </w:rPr>
        <w:t>2010).</w:t>
      </w:r>
    </w:p>
    <w:p>
      <w:pPr>
        <w:spacing w:after="0" w:line="261" w:lineRule="auto"/>
        <w:jc w:val="left"/>
        <w:rPr>
          <w:sz w:val="16"/>
        </w:rPr>
        <w:sectPr>
          <w:pgSz w:w="7640" w:h="11900"/>
          <w:pgMar w:header="672" w:footer="0" w:top="860" w:bottom="280" w:left="640" w:right="760"/>
        </w:sectPr>
      </w:pPr>
    </w:p>
    <w:p>
      <w:pPr>
        <w:pStyle w:val="BodyText"/>
        <w:spacing w:before="8"/>
        <w:rPr>
          <w:sz w:val="8"/>
        </w:rPr>
      </w:pPr>
    </w:p>
    <w:p>
      <w:pPr>
        <w:pStyle w:val="BodyText"/>
        <w:spacing w:line="261" w:lineRule="auto" w:before="67"/>
        <w:ind w:left="100" w:right="113"/>
        <w:jc w:val="both"/>
      </w:pPr>
      <w:r>
        <w:rPr>
          <w:color w:val="231F20"/>
          <w:w w:val="110"/>
        </w:rPr>
        <w:t>la capitalización externa es un fenómeno creciente de la economía de Estados Unidos, ligada a los procesos de desindustrialización, desregulación, flexibilización y precarización del trabajo. La reu- bicación o deslocalización productiva es parte del nuevo proceso   de </w:t>
      </w:r>
      <w:r>
        <w:rPr>
          <w:color w:val="231F20"/>
          <w:spacing w:val="2"/>
          <w:w w:val="110"/>
        </w:rPr>
        <w:t>reestructuración global </w:t>
      </w:r>
      <w:r>
        <w:rPr>
          <w:color w:val="231F20"/>
          <w:w w:val="110"/>
        </w:rPr>
        <w:t>de las </w:t>
      </w:r>
      <w:r>
        <w:rPr>
          <w:color w:val="231F20"/>
          <w:spacing w:val="2"/>
          <w:w w:val="110"/>
        </w:rPr>
        <w:t>economías. </w:t>
      </w:r>
      <w:r>
        <w:rPr>
          <w:color w:val="231F20"/>
          <w:w w:val="110"/>
        </w:rPr>
        <w:t>Las </w:t>
      </w:r>
      <w:r>
        <w:rPr>
          <w:color w:val="231F20"/>
          <w:spacing w:val="2"/>
          <w:w w:val="110"/>
        </w:rPr>
        <w:t>diferencias </w:t>
      </w:r>
      <w:r>
        <w:rPr>
          <w:color w:val="231F20"/>
          <w:w w:val="110"/>
        </w:rPr>
        <w:t>de salarios son el factor principal que media en la lógica de </w:t>
      </w:r>
      <w:r>
        <w:rPr>
          <w:color w:val="231F20"/>
          <w:spacing w:val="2"/>
          <w:w w:val="110"/>
        </w:rPr>
        <w:t>dichas </w:t>
      </w:r>
      <w:r>
        <w:rPr>
          <w:color w:val="231F20"/>
          <w:spacing w:val="3"/>
          <w:w w:val="110"/>
        </w:rPr>
        <w:t>estrategias productivas. </w:t>
      </w:r>
      <w:r>
        <w:rPr>
          <w:color w:val="231F20"/>
          <w:w w:val="110"/>
        </w:rPr>
        <w:t>En </w:t>
      </w:r>
      <w:r>
        <w:rPr>
          <w:color w:val="231F20"/>
          <w:spacing w:val="3"/>
          <w:w w:val="110"/>
        </w:rPr>
        <w:t>este escenario sociolaboral, </w:t>
      </w:r>
      <w:r>
        <w:rPr>
          <w:color w:val="231F20"/>
          <w:spacing w:val="4"/>
          <w:w w:val="110"/>
        </w:rPr>
        <w:t>muchos </w:t>
      </w:r>
      <w:r>
        <w:rPr>
          <w:color w:val="231F20"/>
          <w:w w:val="110"/>
        </w:rPr>
        <w:t>países desarrollados fomentaron la “exportación” de empleos de   los sectores manufactureros y </w:t>
      </w:r>
      <w:r>
        <w:rPr>
          <w:color w:val="231F20"/>
          <w:spacing w:val="2"/>
          <w:w w:val="110"/>
        </w:rPr>
        <w:t>servicios </w:t>
      </w:r>
      <w:r>
        <w:rPr>
          <w:color w:val="231F20"/>
          <w:w w:val="110"/>
        </w:rPr>
        <w:t>hacia países periféricos </w:t>
      </w:r>
      <w:r>
        <w:rPr>
          <w:color w:val="231F20"/>
          <w:spacing w:val="2"/>
          <w:w w:val="110"/>
        </w:rPr>
        <w:t>con </w:t>
      </w:r>
      <w:r>
        <w:rPr>
          <w:color w:val="231F20"/>
          <w:w w:val="110"/>
        </w:rPr>
        <w:t>abundante mano de obra relativamente barata, en algunos casos calificada o semicalificada sobre determinados rubros y amparadas en regulaciones laborales más flexibles (Castillo, 2010a).</w:t>
      </w:r>
      <w:r>
        <w:rPr>
          <w:color w:val="231F20"/>
          <w:w w:val="110"/>
          <w:position w:val="6"/>
          <w:sz w:val="13"/>
        </w:rPr>
        <w:t>7 </w:t>
      </w:r>
      <w:r>
        <w:rPr>
          <w:color w:val="231F20"/>
          <w:w w:val="110"/>
        </w:rPr>
        <w:t>La prácti- ca no es enteramente nueva, pero se incrementó significativamente  a partir de los procesos de privatización de los </w:t>
      </w:r>
      <w:r>
        <w:rPr>
          <w:color w:val="231F20"/>
          <w:spacing w:val="2"/>
          <w:w w:val="110"/>
        </w:rPr>
        <w:t>servicios </w:t>
      </w:r>
      <w:r>
        <w:rPr>
          <w:color w:val="231F20"/>
          <w:w w:val="110"/>
        </w:rPr>
        <w:t>públicos    y las posibilidades de operación a largas distancias que ofrecen </w:t>
      </w:r>
      <w:r>
        <w:rPr>
          <w:color w:val="231F20"/>
          <w:spacing w:val="2"/>
          <w:w w:val="110"/>
        </w:rPr>
        <w:t>las </w:t>
      </w:r>
      <w:r>
        <w:rPr>
          <w:color w:val="231F20"/>
          <w:w w:val="110"/>
        </w:rPr>
        <w:t>innovaciones</w:t>
      </w:r>
      <w:r>
        <w:rPr>
          <w:color w:val="231F20"/>
          <w:spacing w:val="14"/>
          <w:w w:val="110"/>
        </w:rPr>
        <w:t> </w:t>
      </w:r>
      <w:r>
        <w:rPr>
          <w:color w:val="231F20"/>
          <w:w w:val="110"/>
        </w:rPr>
        <w:t>tecnológicas.</w:t>
      </w:r>
    </w:p>
    <w:p>
      <w:pPr>
        <w:pStyle w:val="BodyText"/>
        <w:spacing w:line="261" w:lineRule="auto"/>
        <w:ind w:left="100" w:right="117" w:firstLine="240"/>
        <w:jc w:val="both"/>
      </w:pPr>
      <w:r>
        <w:rPr>
          <w:color w:val="231F20"/>
          <w:w w:val="110"/>
        </w:rPr>
        <w:t>Cabe decir al respecto que con la deslocalización —entendida como el traslado de los procesos productivos, o partes de éstos, de los</w:t>
      </w:r>
      <w:r>
        <w:rPr>
          <w:color w:val="231F20"/>
          <w:spacing w:val="-10"/>
          <w:w w:val="110"/>
        </w:rPr>
        <w:t> </w:t>
      </w:r>
      <w:r>
        <w:rPr>
          <w:color w:val="231F20"/>
          <w:w w:val="110"/>
        </w:rPr>
        <w:t>países</w:t>
      </w:r>
      <w:r>
        <w:rPr>
          <w:color w:val="231F20"/>
          <w:spacing w:val="-10"/>
          <w:w w:val="110"/>
        </w:rPr>
        <w:t> </w:t>
      </w:r>
      <w:r>
        <w:rPr>
          <w:color w:val="231F20"/>
          <w:w w:val="110"/>
        </w:rPr>
        <w:t>más</w:t>
      </w:r>
      <w:r>
        <w:rPr>
          <w:color w:val="231F20"/>
          <w:spacing w:val="-10"/>
          <w:w w:val="110"/>
        </w:rPr>
        <w:t> </w:t>
      </w:r>
      <w:r>
        <w:rPr>
          <w:color w:val="231F20"/>
          <w:w w:val="110"/>
        </w:rPr>
        <w:t>desarrollados</w:t>
      </w:r>
      <w:r>
        <w:rPr>
          <w:color w:val="231F20"/>
          <w:spacing w:val="-10"/>
          <w:w w:val="110"/>
        </w:rPr>
        <w:t> </w:t>
      </w:r>
      <w:r>
        <w:rPr>
          <w:color w:val="231F20"/>
          <w:w w:val="110"/>
        </w:rPr>
        <w:t>a</w:t>
      </w:r>
      <w:r>
        <w:rPr>
          <w:color w:val="231F20"/>
          <w:spacing w:val="-10"/>
          <w:w w:val="110"/>
        </w:rPr>
        <w:t> </w:t>
      </w:r>
      <w:r>
        <w:rPr>
          <w:color w:val="231F20"/>
          <w:w w:val="110"/>
        </w:rPr>
        <w:t>otras</w:t>
      </w:r>
      <w:r>
        <w:rPr>
          <w:color w:val="231F20"/>
          <w:spacing w:val="-10"/>
          <w:w w:val="110"/>
        </w:rPr>
        <w:t> </w:t>
      </w:r>
      <w:r>
        <w:rPr>
          <w:color w:val="231F20"/>
          <w:w w:val="110"/>
        </w:rPr>
        <w:t>regiones</w:t>
      </w:r>
      <w:r>
        <w:rPr>
          <w:color w:val="231F20"/>
          <w:spacing w:val="-10"/>
          <w:w w:val="110"/>
        </w:rPr>
        <w:t> </w:t>
      </w:r>
      <w:r>
        <w:rPr>
          <w:color w:val="231F20"/>
          <w:w w:val="110"/>
        </w:rPr>
        <w:t>o</w:t>
      </w:r>
      <w:r>
        <w:rPr>
          <w:color w:val="231F20"/>
          <w:spacing w:val="-10"/>
          <w:w w:val="110"/>
        </w:rPr>
        <w:t> </w:t>
      </w:r>
      <w:r>
        <w:rPr>
          <w:color w:val="231F20"/>
          <w:w w:val="110"/>
        </w:rPr>
        <w:t>países</w:t>
      </w:r>
      <w:r>
        <w:rPr>
          <w:color w:val="231F20"/>
          <w:spacing w:val="-10"/>
          <w:w w:val="110"/>
        </w:rPr>
        <w:t> </w:t>
      </w:r>
      <w:r>
        <w:rPr>
          <w:color w:val="231F20"/>
          <w:w w:val="110"/>
        </w:rPr>
        <w:t>menos</w:t>
      </w:r>
      <w:r>
        <w:rPr>
          <w:color w:val="231F20"/>
          <w:spacing w:val="-10"/>
          <w:w w:val="110"/>
        </w:rPr>
        <w:t> </w:t>
      </w:r>
      <w:r>
        <w:rPr>
          <w:color w:val="231F20"/>
          <w:w w:val="110"/>
        </w:rPr>
        <w:t>desarro- llados que garanticen ventajas comparativas— se ha modificado la función</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viejas</w:t>
      </w:r>
      <w:r>
        <w:rPr>
          <w:color w:val="231F20"/>
          <w:spacing w:val="-20"/>
          <w:w w:val="110"/>
        </w:rPr>
        <w:t> </w:t>
      </w:r>
      <w:r>
        <w:rPr>
          <w:color w:val="231F20"/>
          <w:w w:val="110"/>
        </w:rPr>
        <w:t>y</w:t>
      </w:r>
      <w:r>
        <w:rPr>
          <w:color w:val="231F20"/>
          <w:spacing w:val="-20"/>
          <w:w w:val="110"/>
        </w:rPr>
        <w:t> </w:t>
      </w:r>
      <w:r>
        <w:rPr>
          <w:color w:val="231F20"/>
          <w:w w:val="110"/>
        </w:rPr>
        <w:t>nuevas</w:t>
      </w:r>
      <w:r>
        <w:rPr>
          <w:color w:val="231F20"/>
          <w:spacing w:val="-20"/>
          <w:w w:val="110"/>
        </w:rPr>
        <w:t> </w:t>
      </w:r>
      <w:r>
        <w:rPr>
          <w:color w:val="231F20"/>
          <w:w w:val="110"/>
        </w:rPr>
        <w:t>periferias.</w:t>
      </w:r>
      <w:r>
        <w:rPr>
          <w:color w:val="231F20"/>
          <w:spacing w:val="-20"/>
          <w:w w:val="110"/>
        </w:rPr>
        <w:t> </w:t>
      </w:r>
      <w:r>
        <w:rPr>
          <w:color w:val="231F20"/>
          <w:w w:val="110"/>
        </w:rPr>
        <w:t>El</w:t>
      </w:r>
      <w:r>
        <w:rPr>
          <w:color w:val="231F20"/>
          <w:spacing w:val="-20"/>
          <w:w w:val="110"/>
        </w:rPr>
        <w:t> </w:t>
      </w:r>
      <w:r>
        <w:rPr>
          <w:i/>
          <w:color w:val="231F20"/>
          <w:w w:val="110"/>
        </w:rPr>
        <w:t>outsourcing</w:t>
      </w:r>
      <w:r>
        <w:rPr>
          <w:i/>
          <w:color w:val="231F20"/>
          <w:spacing w:val="-20"/>
          <w:w w:val="110"/>
        </w:rPr>
        <w:t> </w:t>
      </w:r>
      <w:r>
        <w:rPr>
          <w:color w:val="231F20"/>
          <w:w w:val="110"/>
        </w:rPr>
        <w:t>ha</w:t>
      </w:r>
      <w:r>
        <w:rPr>
          <w:color w:val="231F20"/>
          <w:spacing w:val="-20"/>
          <w:w w:val="110"/>
        </w:rPr>
        <w:t> </w:t>
      </w:r>
      <w:r>
        <w:rPr>
          <w:color w:val="231F20"/>
          <w:w w:val="110"/>
        </w:rPr>
        <w:t>convertido a India, China y Malasia en los destinatarios privilegiados de gran parte de la producción deslocalizada de Estados Unidos durante los años recientes. </w:t>
      </w:r>
      <w:r>
        <w:rPr>
          <w:color w:val="231F20"/>
          <w:spacing w:val="-3"/>
          <w:w w:val="110"/>
        </w:rPr>
        <w:t>América Latina, </w:t>
      </w:r>
      <w:r>
        <w:rPr>
          <w:color w:val="231F20"/>
          <w:w w:val="110"/>
        </w:rPr>
        <w:t>en </w:t>
      </w:r>
      <w:r>
        <w:rPr>
          <w:color w:val="231F20"/>
          <w:spacing w:val="-3"/>
          <w:w w:val="110"/>
        </w:rPr>
        <w:t>particular Argentina, México,</w:t>
      </w:r>
      <w:r>
        <w:rPr>
          <w:color w:val="231F20"/>
          <w:spacing w:val="-32"/>
          <w:w w:val="110"/>
        </w:rPr>
        <w:t> </w:t>
      </w:r>
      <w:r>
        <w:rPr>
          <w:color w:val="231F20"/>
          <w:spacing w:val="-3"/>
          <w:w w:val="110"/>
        </w:rPr>
        <w:t>Bra- sil, Colombia </w:t>
      </w:r>
      <w:r>
        <w:rPr>
          <w:color w:val="231F20"/>
          <w:w w:val="110"/>
        </w:rPr>
        <w:t>y </w:t>
      </w:r>
      <w:r>
        <w:rPr>
          <w:color w:val="231F20"/>
          <w:spacing w:val="-3"/>
          <w:w w:val="110"/>
        </w:rPr>
        <w:t>otros países, </w:t>
      </w:r>
      <w:r>
        <w:rPr>
          <w:color w:val="231F20"/>
          <w:w w:val="110"/>
        </w:rPr>
        <w:t>han </w:t>
      </w:r>
      <w:r>
        <w:rPr>
          <w:color w:val="231F20"/>
          <w:spacing w:val="-3"/>
          <w:w w:val="110"/>
        </w:rPr>
        <w:t>pasado </w:t>
      </w:r>
      <w:r>
        <w:rPr>
          <w:color w:val="231F20"/>
          <w:w w:val="110"/>
        </w:rPr>
        <w:t>a servir </w:t>
      </w:r>
      <w:r>
        <w:rPr>
          <w:color w:val="231F20"/>
          <w:spacing w:val="-3"/>
          <w:w w:val="110"/>
        </w:rPr>
        <w:t>como receptores de dicha modalidad </w:t>
      </w:r>
      <w:r>
        <w:rPr>
          <w:color w:val="231F20"/>
          <w:w w:val="110"/>
        </w:rPr>
        <w:t>de </w:t>
      </w:r>
      <w:r>
        <w:rPr>
          <w:color w:val="231F20"/>
          <w:spacing w:val="-3"/>
          <w:w w:val="110"/>
        </w:rPr>
        <w:t>empleo. </w:t>
      </w:r>
      <w:r>
        <w:rPr>
          <w:color w:val="231F20"/>
          <w:w w:val="110"/>
        </w:rPr>
        <w:t>Los empresarios aducen tener sólo dos opciones:</w:t>
      </w:r>
      <w:r>
        <w:rPr>
          <w:color w:val="231F20"/>
          <w:spacing w:val="-8"/>
          <w:w w:val="110"/>
        </w:rPr>
        <w:t> </w:t>
      </w:r>
      <w:r>
        <w:rPr>
          <w:color w:val="231F20"/>
          <w:w w:val="110"/>
        </w:rPr>
        <w:t>reducir</w:t>
      </w:r>
      <w:r>
        <w:rPr>
          <w:color w:val="231F20"/>
          <w:spacing w:val="-8"/>
          <w:w w:val="110"/>
        </w:rPr>
        <w:t> </w:t>
      </w:r>
      <w:r>
        <w:rPr>
          <w:color w:val="231F20"/>
          <w:w w:val="110"/>
        </w:rPr>
        <w:t>las</w:t>
      </w:r>
      <w:r>
        <w:rPr>
          <w:color w:val="231F20"/>
          <w:spacing w:val="-8"/>
          <w:w w:val="110"/>
        </w:rPr>
        <w:t> </w:t>
      </w:r>
      <w:r>
        <w:rPr>
          <w:color w:val="231F20"/>
          <w:w w:val="110"/>
        </w:rPr>
        <w:t>condiciones</w:t>
      </w:r>
      <w:r>
        <w:rPr>
          <w:color w:val="231F20"/>
          <w:spacing w:val="-8"/>
          <w:w w:val="110"/>
        </w:rPr>
        <w:t> </w:t>
      </w:r>
      <w:r>
        <w:rPr>
          <w:color w:val="231F20"/>
          <w:w w:val="110"/>
        </w:rPr>
        <w:t>laborales</w:t>
      </w:r>
      <w:r>
        <w:rPr>
          <w:color w:val="231F20"/>
          <w:spacing w:val="-8"/>
          <w:w w:val="110"/>
        </w:rPr>
        <w:t> </w:t>
      </w:r>
      <w:r>
        <w:rPr>
          <w:color w:val="231F20"/>
          <w:w w:val="110"/>
        </w:rPr>
        <w:t>para</w:t>
      </w:r>
      <w:r>
        <w:rPr>
          <w:color w:val="231F20"/>
          <w:spacing w:val="-8"/>
          <w:w w:val="110"/>
        </w:rPr>
        <w:t> </w:t>
      </w:r>
      <w:r>
        <w:rPr>
          <w:color w:val="231F20"/>
          <w:w w:val="110"/>
        </w:rPr>
        <w:t>mantener</w:t>
      </w:r>
      <w:r>
        <w:rPr>
          <w:color w:val="231F20"/>
          <w:spacing w:val="-8"/>
          <w:w w:val="110"/>
        </w:rPr>
        <w:t> </w:t>
      </w:r>
      <w:r>
        <w:rPr>
          <w:color w:val="231F20"/>
          <w:w w:val="110"/>
        </w:rPr>
        <w:t>las</w:t>
      </w:r>
      <w:r>
        <w:rPr>
          <w:color w:val="231F20"/>
          <w:spacing w:val="-8"/>
          <w:w w:val="110"/>
        </w:rPr>
        <w:t> </w:t>
      </w:r>
      <w:r>
        <w:rPr>
          <w:color w:val="231F20"/>
          <w:w w:val="110"/>
        </w:rPr>
        <w:t>plantas productivas</w:t>
      </w:r>
      <w:r>
        <w:rPr>
          <w:color w:val="231F20"/>
          <w:spacing w:val="-6"/>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puestos</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o</w:t>
      </w:r>
      <w:r>
        <w:rPr>
          <w:color w:val="231F20"/>
          <w:spacing w:val="-6"/>
          <w:w w:val="110"/>
        </w:rPr>
        <w:t> </w:t>
      </w:r>
      <w:r>
        <w:rPr>
          <w:color w:val="231F20"/>
          <w:w w:val="110"/>
        </w:rPr>
        <w:t>trasladar</w:t>
      </w:r>
      <w:r>
        <w:rPr>
          <w:color w:val="231F20"/>
          <w:spacing w:val="-6"/>
          <w:w w:val="110"/>
        </w:rPr>
        <w:t> </w:t>
      </w:r>
      <w:r>
        <w:rPr>
          <w:color w:val="231F20"/>
          <w:w w:val="110"/>
        </w:rPr>
        <w:t>sus</w:t>
      </w:r>
      <w:r>
        <w:rPr>
          <w:color w:val="231F20"/>
          <w:spacing w:val="-6"/>
          <w:w w:val="110"/>
        </w:rPr>
        <w:t> </w:t>
      </w:r>
      <w:r>
        <w:rPr>
          <w:color w:val="231F20"/>
          <w:w w:val="110"/>
        </w:rPr>
        <w:t>actividades</w:t>
      </w:r>
      <w:r>
        <w:rPr>
          <w:color w:val="231F20"/>
          <w:spacing w:val="-6"/>
          <w:w w:val="110"/>
        </w:rPr>
        <w:t> </w:t>
      </w:r>
      <w:r>
        <w:rPr>
          <w:color w:val="231F20"/>
          <w:w w:val="110"/>
        </w:rPr>
        <w:t>al</w:t>
      </w:r>
      <w:r>
        <w:rPr>
          <w:color w:val="231F20"/>
          <w:spacing w:val="-6"/>
          <w:w w:val="110"/>
        </w:rPr>
        <w:t> </w:t>
      </w:r>
      <w:r>
        <w:rPr>
          <w:color w:val="231F20"/>
          <w:w w:val="110"/>
        </w:rPr>
        <w:t>ex- tranjero.</w:t>
      </w:r>
      <w:r>
        <w:rPr>
          <w:color w:val="231F20"/>
          <w:spacing w:val="-4"/>
          <w:w w:val="110"/>
        </w:rPr>
        <w:t> </w:t>
      </w:r>
      <w:r>
        <w:rPr>
          <w:color w:val="231F20"/>
          <w:w w:val="110"/>
        </w:rPr>
        <w:t>La</w:t>
      </w:r>
      <w:r>
        <w:rPr>
          <w:color w:val="231F20"/>
          <w:spacing w:val="-9"/>
          <w:w w:val="110"/>
        </w:rPr>
        <w:t> </w:t>
      </w:r>
      <w:r>
        <w:rPr>
          <w:color w:val="231F20"/>
          <w:spacing w:val="-3"/>
          <w:w w:val="110"/>
        </w:rPr>
        <w:t>estrategia</w:t>
      </w:r>
      <w:r>
        <w:rPr>
          <w:color w:val="231F20"/>
          <w:spacing w:val="-9"/>
          <w:w w:val="110"/>
        </w:rPr>
        <w:t> </w:t>
      </w:r>
      <w:r>
        <w:rPr>
          <w:color w:val="231F20"/>
          <w:w w:val="110"/>
        </w:rPr>
        <w:t>del</w:t>
      </w:r>
      <w:r>
        <w:rPr>
          <w:color w:val="231F20"/>
          <w:spacing w:val="-9"/>
          <w:w w:val="110"/>
        </w:rPr>
        <w:t> </w:t>
      </w:r>
      <w:r>
        <w:rPr>
          <w:color w:val="231F20"/>
          <w:spacing w:val="-3"/>
          <w:w w:val="110"/>
        </w:rPr>
        <w:t>capital</w:t>
      </w:r>
      <w:r>
        <w:rPr>
          <w:color w:val="231F20"/>
          <w:spacing w:val="-9"/>
          <w:w w:val="110"/>
        </w:rPr>
        <w:t> </w:t>
      </w:r>
      <w:r>
        <w:rPr>
          <w:color w:val="231F20"/>
          <w:w w:val="110"/>
        </w:rPr>
        <w:t>es</w:t>
      </w:r>
      <w:r>
        <w:rPr>
          <w:color w:val="231F20"/>
          <w:spacing w:val="-9"/>
          <w:w w:val="110"/>
        </w:rPr>
        <w:t> </w:t>
      </w:r>
      <w:r>
        <w:rPr>
          <w:color w:val="231F20"/>
          <w:spacing w:val="-3"/>
          <w:w w:val="110"/>
        </w:rPr>
        <w:t>superar</w:t>
      </w:r>
      <w:r>
        <w:rPr>
          <w:color w:val="231F20"/>
          <w:spacing w:val="-9"/>
          <w:w w:val="110"/>
        </w:rPr>
        <w:t> </w:t>
      </w:r>
      <w:r>
        <w:rPr>
          <w:color w:val="231F20"/>
          <w:w w:val="110"/>
        </w:rPr>
        <w:t>o</w:t>
      </w:r>
      <w:r>
        <w:rPr>
          <w:color w:val="231F20"/>
          <w:spacing w:val="-9"/>
          <w:w w:val="110"/>
        </w:rPr>
        <w:t> </w:t>
      </w:r>
      <w:r>
        <w:rPr>
          <w:color w:val="231F20"/>
          <w:spacing w:val="-3"/>
          <w:w w:val="110"/>
        </w:rPr>
        <w:t>eliminar</w:t>
      </w:r>
      <w:r>
        <w:rPr>
          <w:color w:val="231F20"/>
          <w:spacing w:val="-9"/>
          <w:w w:val="110"/>
        </w:rPr>
        <w:t> </w:t>
      </w:r>
      <w:r>
        <w:rPr>
          <w:color w:val="231F20"/>
          <w:spacing w:val="-3"/>
          <w:w w:val="110"/>
        </w:rPr>
        <w:t>todas</w:t>
      </w:r>
      <w:r>
        <w:rPr>
          <w:color w:val="231F20"/>
          <w:spacing w:val="-9"/>
          <w:w w:val="110"/>
        </w:rPr>
        <w:t> </w:t>
      </w:r>
      <w:r>
        <w:rPr>
          <w:color w:val="231F20"/>
          <w:w w:val="110"/>
        </w:rPr>
        <w:t>las</w:t>
      </w:r>
      <w:r>
        <w:rPr>
          <w:color w:val="231F20"/>
          <w:spacing w:val="-9"/>
          <w:w w:val="110"/>
        </w:rPr>
        <w:t> </w:t>
      </w:r>
      <w:r>
        <w:rPr>
          <w:color w:val="231F20"/>
          <w:spacing w:val="-3"/>
          <w:w w:val="110"/>
        </w:rPr>
        <w:t>trabas </w:t>
      </w:r>
      <w:r>
        <w:rPr>
          <w:color w:val="231F20"/>
          <w:w w:val="110"/>
        </w:rPr>
        <w:t>que </w:t>
      </w:r>
      <w:r>
        <w:rPr>
          <w:color w:val="231F20"/>
          <w:spacing w:val="-3"/>
          <w:w w:val="110"/>
        </w:rPr>
        <w:t>supuestamente limitan </w:t>
      </w:r>
      <w:r>
        <w:rPr>
          <w:color w:val="231F20"/>
          <w:w w:val="110"/>
        </w:rPr>
        <w:t>al </w:t>
      </w:r>
      <w:r>
        <w:rPr>
          <w:color w:val="231F20"/>
          <w:spacing w:val="-3"/>
          <w:w w:val="110"/>
        </w:rPr>
        <w:t>mercado </w:t>
      </w:r>
      <w:r>
        <w:rPr>
          <w:color w:val="231F20"/>
          <w:w w:val="110"/>
        </w:rPr>
        <w:t>de </w:t>
      </w:r>
      <w:r>
        <w:rPr>
          <w:color w:val="231F20"/>
          <w:spacing w:val="-3"/>
          <w:w w:val="110"/>
        </w:rPr>
        <w:t>trabajo para adaptarse </w:t>
      </w:r>
      <w:r>
        <w:rPr>
          <w:color w:val="231F20"/>
          <w:w w:val="110"/>
        </w:rPr>
        <w:t>a </w:t>
      </w:r>
      <w:r>
        <w:rPr>
          <w:color w:val="231F20"/>
          <w:spacing w:val="-3"/>
          <w:w w:val="110"/>
        </w:rPr>
        <w:t>las nuevas exigencias </w:t>
      </w:r>
      <w:r>
        <w:rPr>
          <w:color w:val="231F20"/>
          <w:w w:val="110"/>
        </w:rPr>
        <w:t>de </w:t>
      </w:r>
      <w:r>
        <w:rPr>
          <w:color w:val="231F20"/>
          <w:spacing w:val="-3"/>
          <w:w w:val="110"/>
        </w:rPr>
        <w:t>producción </w:t>
      </w:r>
      <w:r>
        <w:rPr>
          <w:color w:val="231F20"/>
          <w:w w:val="110"/>
        </w:rPr>
        <w:t>y </w:t>
      </w:r>
      <w:r>
        <w:rPr>
          <w:color w:val="231F20"/>
          <w:spacing w:val="-3"/>
          <w:w w:val="110"/>
        </w:rPr>
        <w:t>competitividad. </w:t>
      </w:r>
      <w:r>
        <w:rPr>
          <w:color w:val="231F20"/>
          <w:w w:val="110"/>
        </w:rPr>
        <w:t>El fin es</w:t>
      </w:r>
      <w:r>
        <w:rPr>
          <w:color w:val="231F20"/>
          <w:spacing w:val="-2"/>
          <w:w w:val="110"/>
        </w:rPr>
        <w:t> </w:t>
      </w:r>
      <w:r>
        <w:rPr>
          <w:color w:val="231F20"/>
          <w:w w:val="110"/>
        </w:rPr>
        <w:t>compen-</w:t>
      </w:r>
    </w:p>
    <w:p>
      <w:pPr>
        <w:pStyle w:val="BodyText"/>
      </w:pPr>
    </w:p>
    <w:p>
      <w:pPr>
        <w:pStyle w:val="BodyText"/>
      </w:pPr>
    </w:p>
    <w:p>
      <w:pPr>
        <w:spacing w:line="261" w:lineRule="auto" w:before="122"/>
        <w:ind w:left="100" w:right="117" w:firstLine="240"/>
        <w:jc w:val="both"/>
        <w:rPr>
          <w:sz w:val="16"/>
        </w:rPr>
      </w:pPr>
      <w:r>
        <w:rPr>
          <w:color w:val="231F20"/>
          <w:w w:val="105"/>
          <w:position w:val="5"/>
          <w:sz w:val="10"/>
        </w:rPr>
        <w:t>7 </w:t>
      </w:r>
      <w:r>
        <w:rPr>
          <w:color w:val="231F20"/>
          <w:w w:val="105"/>
          <w:sz w:val="16"/>
        </w:rPr>
        <w:t>La creciente externalización, deslocalización y subcontratación de actividades productivas y de servicios, que generalmente incorpora a pequeñas y medianas em- presas,</w:t>
      </w:r>
      <w:r>
        <w:rPr>
          <w:color w:val="231F20"/>
          <w:spacing w:val="-18"/>
          <w:w w:val="105"/>
          <w:sz w:val="16"/>
        </w:rPr>
        <w:t> </w:t>
      </w:r>
      <w:r>
        <w:rPr>
          <w:color w:val="231F20"/>
          <w:w w:val="105"/>
          <w:sz w:val="16"/>
        </w:rPr>
        <w:t>promueve</w:t>
      </w:r>
      <w:r>
        <w:rPr>
          <w:color w:val="231F20"/>
          <w:spacing w:val="-18"/>
          <w:w w:val="105"/>
          <w:sz w:val="16"/>
        </w:rPr>
        <w:t> </w:t>
      </w:r>
      <w:r>
        <w:rPr>
          <w:color w:val="231F20"/>
          <w:w w:val="105"/>
          <w:sz w:val="16"/>
        </w:rPr>
        <w:t>una</w:t>
      </w:r>
      <w:r>
        <w:rPr>
          <w:color w:val="231F20"/>
          <w:spacing w:val="-18"/>
          <w:w w:val="105"/>
          <w:sz w:val="16"/>
        </w:rPr>
        <w:t> </w:t>
      </w:r>
      <w:r>
        <w:rPr>
          <w:color w:val="231F20"/>
          <w:w w:val="105"/>
          <w:sz w:val="16"/>
        </w:rPr>
        <w:t>nueva</w:t>
      </w:r>
      <w:r>
        <w:rPr>
          <w:color w:val="231F20"/>
          <w:spacing w:val="-18"/>
          <w:w w:val="105"/>
          <w:sz w:val="16"/>
        </w:rPr>
        <w:t> </w:t>
      </w:r>
      <w:r>
        <w:rPr>
          <w:color w:val="231F20"/>
          <w:w w:val="105"/>
          <w:sz w:val="16"/>
        </w:rPr>
        <w:t>forma</w:t>
      </w:r>
      <w:r>
        <w:rPr>
          <w:color w:val="231F20"/>
          <w:spacing w:val="-18"/>
          <w:w w:val="105"/>
          <w:sz w:val="16"/>
        </w:rPr>
        <w:t> </w:t>
      </w:r>
      <w:r>
        <w:rPr>
          <w:color w:val="231F20"/>
          <w:w w:val="105"/>
          <w:sz w:val="16"/>
        </w:rPr>
        <w:t>de</w:t>
      </w:r>
      <w:r>
        <w:rPr>
          <w:color w:val="231F20"/>
          <w:spacing w:val="-18"/>
          <w:w w:val="105"/>
          <w:sz w:val="16"/>
        </w:rPr>
        <w:t> </w:t>
      </w:r>
      <w:r>
        <w:rPr>
          <w:i/>
          <w:color w:val="231F20"/>
          <w:w w:val="105"/>
          <w:sz w:val="16"/>
        </w:rPr>
        <w:t>precariedad</w:t>
      </w:r>
      <w:r>
        <w:rPr>
          <w:i/>
          <w:color w:val="231F20"/>
          <w:spacing w:val="-18"/>
          <w:w w:val="105"/>
          <w:sz w:val="16"/>
        </w:rPr>
        <w:t> </w:t>
      </w:r>
      <w:r>
        <w:rPr>
          <w:i/>
          <w:color w:val="231F20"/>
          <w:w w:val="105"/>
          <w:sz w:val="16"/>
        </w:rPr>
        <w:t>laboral</w:t>
      </w:r>
      <w:r>
        <w:rPr>
          <w:i/>
          <w:color w:val="231F20"/>
          <w:spacing w:val="-18"/>
          <w:w w:val="105"/>
          <w:sz w:val="16"/>
        </w:rPr>
        <w:t> </w:t>
      </w:r>
      <w:r>
        <w:rPr>
          <w:i/>
          <w:color w:val="231F20"/>
          <w:w w:val="105"/>
          <w:sz w:val="16"/>
        </w:rPr>
        <w:t>deslocalizada</w:t>
      </w:r>
      <w:r>
        <w:rPr>
          <w:color w:val="231F20"/>
          <w:w w:val="105"/>
          <w:sz w:val="16"/>
        </w:rPr>
        <w:t>.</w:t>
      </w:r>
      <w:r>
        <w:rPr>
          <w:color w:val="231F20"/>
          <w:spacing w:val="-18"/>
          <w:w w:val="105"/>
          <w:sz w:val="16"/>
        </w:rPr>
        <w:t> </w:t>
      </w:r>
      <w:r>
        <w:rPr>
          <w:color w:val="231F20"/>
          <w:w w:val="105"/>
          <w:sz w:val="16"/>
        </w:rPr>
        <w:t>Según</w:t>
      </w:r>
      <w:r>
        <w:rPr>
          <w:color w:val="231F20"/>
          <w:spacing w:val="-18"/>
          <w:w w:val="105"/>
          <w:sz w:val="16"/>
        </w:rPr>
        <w:t> </w:t>
      </w:r>
      <w:r>
        <w:rPr>
          <w:color w:val="231F20"/>
          <w:w w:val="105"/>
          <w:sz w:val="16"/>
        </w:rPr>
        <w:t>Zubiri</w:t>
      </w:r>
      <w:r>
        <w:rPr>
          <w:color w:val="231F20"/>
          <w:spacing w:val="-18"/>
          <w:w w:val="105"/>
          <w:sz w:val="16"/>
        </w:rPr>
        <w:t> </w:t>
      </w:r>
      <w:r>
        <w:rPr>
          <w:color w:val="231F20"/>
          <w:w w:val="105"/>
          <w:sz w:val="16"/>
        </w:rPr>
        <w:t>Rey (2008), “esta organización flexible de la producción implica la proliferación de toda    una nueva clase de </w:t>
      </w:r>
      <w:r>
        <w:rPr>
          <w:i/>
          <w:color w:val="231F20"/>
          <w:w w:val="105"/>
          <w:sz w:val="16"/>
        </w:rPr>
        <w:t>jornaleros urbanos</w:t>
      </w:r>
      <w:r>
        <w:rPr>
          <w:color w:val="231F20"/>
          <w:w w:val="105"/>
          <w:sz w:val="16"/>
        </w:rPr>
        <w:t>, que construyen sus trayectorias ocupacionales   de forma incierta, desordenada e inestable, “quedando sus expectativas de promoción sociolaboral  ascendente  peligrosamente  supeditadas  a  las  necesidades  del</w:t>
      </w:r>
      <w:r>
        <w:rPr>
          <w:color w:val="231F20"/>
          <w:spacing w:val="-1"/>
          <w:w w:val="105"/>
          <w:sz w:val="16"/>
        </w:rPr>
        <w:t> </w:t>
      </w:r>
      <w:r>
        <w:rPr>
          <w:color w:val="231F20"/>
          <w:w w:val="105"/>
          <w:sz w:val="16"/>
        </w:rPr>
        <w:t>mercado”.</w:t>
      </w:r>
    </w:p>
    <w:p>
      <w:pPr>
        <w:spacing w:after="0" w:line="261" w:lineRule="auto"/>
        <w:jc w:val="both"/>
        <w:rPr>
          <w:sz w:val="16"/>
        </w:rPr>
        <w:sectPr>
          <w:headerReference w:type="even" r:id="rId190"/>
          <w:headerReference w:type="default" r:id="rId191"/>
          <w:pgSz w:w="7640" w:h="11900"/>
          <w:pgMar w:header="672" w:footer="0" w:top="860" w:bottom="280" w:left="780" w:right="640"/>
          <w:pgNumType w:start="272"/>
        </w:sectPr>
      </w:pPr>
    </w:p>
    <w:p>
      <w:pPr>
        <w:pStyle w:val="BodyText"/>
        <w:spacing w:before="8"/>
        <w:rPr>
          <w:sz w:val="8"/>
        </w:rPr>
      </w:pPr>
    </w:p>
    <w:p>
      <w:pPr>
        <w:pStyle w:val="BodyText"/>
        <w:spacing w:line="261" w:lineRule="auto" w:before="67"/>
        <w:ind w:left="100" w:right="117"/>
        <w:jc w:val="both"/>
      </w:pPr>
      <w:r>
        <w:rPr>
          <w:color w:val="231F20"/>
          <w:w w:val="110"/>
        </w:rPr>
        <w:t>sar y garantizar los márgenes tradicionales de ganancia en el nuevo contexto de intercambios internacionales (Castillo, 2010a y 2011). Wallerstein</w:t>
      </w:r>
      <w:r>
        <w:rPr>
          <w:color w:val="231F20"/>
          <w:spacing w:val="-8"/>
          <w:w w:val="110"/>
        </w:rPr>
        <w:t> </w:t>
      </w:r>
      <w:r>
        <w:rPr>
          <w:color w:val="231F20"/>
          <w:w w:val="110"/>
        </w:rPr>
        <w:t>(2008a)</w:t>
      </w:r>
      <w:r>
        <w:rPr>
          <w:color w:val="231F20"/>
          <w:spacing w:val="-8"/>
          <w:w w:val="110"/>
        </w:rPr>
        <w:t> </w:t>
      </w:r>
      <w:r>
        <w:rPr>
          <w:color w:val="231F20"/>
          <w:w w:val="110"/>
        </w:rPr>
        <w:t>señala</w:t>
      </w:r>
      <w:r>
        <w:rPr>
          <w:color w:val="231F20"/>
          <w:spacing w:val="-8"/>
          <w:w w:val="110"/>
        </w:rPr>
        <w:t> </w:t>
      </w:r>
      <w:r>
        <w:rPr>
          <w:color w:val="231F20"/>
          <w:w w:val="110"/>
        </w:rPr>
        <w:t>que</w:t>
      </w:r>
      <w:r>
        <w:rPr>
          <w:color w:val="231F20"/>
          <w:spacing w:val="-8"/>
          <w:w w:val="110"/>
        </w:rPr>
        <w:t> </w:t>
      </w:r>
      <w:r>
        <w:rPr>
          <w:color w:val="231F20"/>
          <w:w w:val="110"/>
        </w:rPr>
        <w:t>“para</w:t>
      </w:r>
      <w:r>
        <w:rPr>
          <w:color w:val="231F20"/>
          <w:spacing w:val="-8"/>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w w:val="110"/>
        </w:rPr>
        <w:t>actividades</w:t>
      </w:r>
      <w:r>
        <w:rPr>
          <w:color w:val="231F20"/>
          <w:spacing w:val="-8"/>
          <w:w w:val="110"/>
        </w:rPr>
        <w:t> </w:t>
      </w:r>
      <w:r>
        <w:rPr>
          <w:color w:val="231F20"/>
          <w:w w:val="110"/>
        </w:rPr>
        <w:t>productivas no se vuelvan tan poco redituables, tienden a moverse de las zonas centrales</w:t>
      </w:r>
      <w:r>
        <w:rPr>
          <w:color w:val="231F20"/>
          <w:spacing w:val="-7"/>
          <w:w w:val="110"/>
        </w:rPr>
        <w:t> </w:t>
      </w:r>
      <w:r>
        <w:rPr>
          <w:color w:val="231F20"/>
          <w:w w:val="110"/>
        </w:rPr>
        <w:t>a</w:t>
      </w:r>
      <w:r>
        <w:rPr>
          <w:color w:val="231F20"/>
          <w:spacing w:val="-7"/>
          <w:w w:val="110"/>
        </w:rPr>
        <w:t> </w:t>
      </w:r>
      <w:r>
        <w:rPr>
          <w:color w:val="231F20"/>
          <w:w w:val="110"/>
        </w:rPr>
        <w:t>otras</w:t>
      </w:r>
      <w:r>
        <w:rPr>
          <w:color w:val="231F20"/>
          <w:spacing w:val="-7"/>
          <w:w w:val="110"/>
        </w:rPr>
        <w:t> </w:t>
      </w:r>
      <w:r>
        <w:rPr>
          <w:color w:val="231F20"/>
          <w:w w:val="110"/>
        </w:rPr>
        <w:t>partes</w:t>
      </w:r>
      <w:r>
        <w:rPr>
          <w:color w:val="231F20"/>
          <w:spacing w:val="-7"/>
          <w:w w:val="110"/>
        </w:rPr>
        <w:t> </w:t>
      </w:r>
      <w:r>
        <w:rPr>
          <w:color w:val="231F20"/>
          <w:w w:val="110"/>
        </w:rPr>
        <w:t>del</w:t>
      </w:r>
      <w:r>
        <w:rPr>
          <w:color w:val="231F20"/>
          <w:spacing w:val="-7"/>
          <w:w w:val="110"/>
        </w:rPr>
        <w:t> </w:t>
      </w:r>
      <w:r>
        <w:rPr>
          <w:color w:val="231F20"/>
          <w:w w:val="110"/>
        </w:rPr>
        <w:t>sistema</w:t>
      </w:r>
      <w:r>
        <w:rPr>
          <w:color w:val="231F20"/>
          <w:spacing w:val="-7"/>
          <w:w w:val="110"/>
        </w:rPr>
        <w:t> </w:t>
      </w:r>
      <w:r>
        <w:rPr>
          <w:color w:val="231F20"/>
          <w:w w:val="110"/>
        </w:rPr>
        <w:t>mundo,</w:t>
      </w:r>
      <w:r>
        <w:rPr>
          <w:color w:val="231F20"/>
          <w:spacing w:val="-7"/>
          <w:w w:val="110"/>
        </w:rPr>
        <w:t> </w:t>
      </w:r>
      <w:r>
        <w:rPr>
          <w:color w:val="231F20"/>
          <w:w w:val="110"/>
        </w:rPr>
        <w:t>negociando</w:t>
      </w:r>
      <w:r>
        <w:rPr>
          <w:color w:val="231F20"/>
          <w:spacing w:val="-7"/>
          <w:w w:val="110"/>
        </w:rPr>
        <w:t> </w:t>
      </w:r>
      <w:r>
        <w:rPr>
          <w:color w:val="231F20"/>
          <w:w w:val="110"/>
        </w:rPr>
        <w:t>costos</w:t>
      </w:r>
      <w:r>
        <w:rPr>
          <w:color w:val="231F20"/>
          <w:spacing w:val="-7"/>
          <w:w w:val="110"/>
        </w:rPr>
        <w:t> </w:t>
      </w:r>
      <w:r>
        <w:rPr>
          <w:color w:val="231F20"/>
          <w:w w:val="110"/>
        </w:rPr>
        <w:t>meno- res de transacción por costos menores de </w:t>
      </w:r>
      <w:r>
        <w:rPr>
          <w:color w:val="231F20"/>
          <w:spacing w:val="10"/>
          <w:w w:val="110"/>
        </w:rPr>
        <w:t> </w:t>
      </w:r>
      <w:r>
        <w:rPr>
          <w:color w:val="231F20"/>
          <w:w w:val="110"/>
        </w:rPr>
        <w:t>personal”.</w:t>
      </w:r>
    </w:p>
    <w:p>
      <w:pPr>
        <w:pStyle w:val="BodyText"/>
        <w:spacing w:line="261" w:lineRule="auto"/>
        <w:ind w:left="100" w:right="117" w:firstLine="240"/>
        <w:jc w:val="both"/>
        <w:rPr>
          <w:sz w:val="13"/>
        </w:rPr>
      </w:pPr>
      <w:r>
        <w:rPr>
          <w:color w:val="231F20"/>
          <w:w w:val="110"/>
        </w:rPr>
        <w:t>Este proceso está asociado con las nuevas estrategias de Estados </w:t>
      </w:r>
      <w:r>
        <w:rPr>
          <w:color w:val="231F20"/>
          <w:spacing w:val="-3"/>
          <w:w w:val="110"/>
        </w:rPr>
        <w:t>Unidos </w:t>
      </w:r>
      <w:r>
        <w:rPr>
          <w:color w:val="231F20"/>
          <w:w w:val="110"/>
        </w:rPr>
        <w:t>de </w:t>
      </w:r>
      <w:r>
        <w:rPr>
          <w:color w:val="231F20"/>
          <w:spacing w:val="-3"/>
          <w:w w:val="110"/>
        </w:rPr>
        <w:t>promoción </w:t>
      </w:r>
      <w:r>
        <w:rPr>
          <w:color w:val="231F20"/>
          <w:w w:val="110"/>
        </w:rPr>
        <w:t>de la </w:t>
      </w:r>
      <w:r>
        <w:rPr>
          <w:color w:val="231F20"/>
          <w:spacing w:val="-3"/>
          <w:w w:val="110"/>
        </w:rPr>
        <w:t>capitalización </w:t>
      </w:r>
      <w:r>
        <w:rPr>
          <w:color w:val="231F20"/>
          <w:w w:val="110"/>
        </w:rPr>
        <w:t>o </w:t>
      </w:r>
      <w:r>
        <w:rPr>
          <w:color w:val="231F20"/>
          <w:spacing w:val="-3"/>
          <w:w w:val="110"/>
        </w:rPr>
        <w:t>ganancia </w:t>
      </w:r>
      <w:r>
        <w:rPr>
          <w:color w:val="231F20"/>
          <w:w w:val="110"/>
        </w:rPr>
        <w:t>en el </w:t>
      </w:r>
      <w:r>
        <w:rPr>
          <w:color w:val="231F20"/>
          <w:spacing w:val="-5"/>
          <w:w w:val="110"/>
        </w:rPr>
        <w:t>exterior, </w:t>
      </w:r>
      <w:r>
        <w:rPr>
          <w:color w:val="231F20"/>
          <w:spacing w:val="-3"/>
          <w:w w:val="110"/>
        </w:rPr>
        <w:t>fenómeno </w:t>
      </w:r>
      <w:r>
        <w:rPr>
          <w:color w:val="231F20"/>
          <w:w w:val="110"/>
        </w:rPr>
        <w:t>que </w:t>
      </w:r>
      <w:r>
        <w:rPr>
          <w:color w:val="231F20"/>
          <w:spacing w:val="-3"/>
          <w:w w:val="110"/>
        </w:rPr>
        <w:t>también </w:t>
      </w:r>
      <w:r>
        <w:rPr>
          <w:color w:val="231F20"/>
          <w:w w:val="110"/>
        </w:rPr>
        <w:t>se </w:t>
      </w:r>
      <w:r>
        <w:rPr>
          <w:color w:val="231F20"/>
          <w:spacing w:val="-3"/>
          <w:w w:val="110"/>
        </w:rPr>
        <w:t>acentuó desde mediados </w:t>
      </w:r>
      <w:r>
        <w:rPr>
          <w:color w:val="231F20"/>
          <w:w w:val="110"/>
        </w:rPr>
        <w:t>de los </w:t>
      </w:r>
      <w:r>
        <w:rPr>
          <w:color w:val="231F20"/>
          <w:spacing w:val="-3"/>
          <w:w w:val="110"/>
        </w:rPr>
        <w:t>años setenta (gráfica</w:t>
      </w:r>
      <w:r>
        <w:rPr>
          <w:color w:val="231F20"/>
          <w:spacing w:val="-12"/>
          <w:w w:val="110"/>
        </w:rPr>
        <w:t> </w:t>
      </w:r>
      <w:r>
        <w:rPr>
          <w:color w:val="231F20"/>
          <w:w w:val="110"/>
        </w:rPr>
        <w:t>3),</w:t>
      </w:r>
      <w:r>
        <w:rPr>
          <w:color w:val="231F20"/>
          <w:spacing w:val="-12"/>
          <w:w w:val="110"/>
        </w:rPr>
        <w:t> </w:t>
      </w:r>
      <w:r>
        <w:rPr>
          <w:color w:val="231F20"/>
          <w:w w:val="110"/>
        </w:rPr>
        <w:t>y</w:t>
      </w:r>
      <w:r>
        <w:rPr>
          <w:color w:val="231F20"/>
          <w:spacing w:val="-12"/>
          <w:w w:val="110"/>
        </w:rPr>
        <w:t> </w:t>
      </w:r>
      <w:r>
        <w:rPr>
          <w:color w:val="231F20"/>
          <w:w w:val="110"/>
        </w:rPr>
        <w:t>que</w:t>
      </w:r>
      <w:r>
        <w:rPr>
          <w:color w:val="231F20"/>
          <w:spacing w:val="-12"/>
          <w:w w:val="110"/>
        </w:rPr>
        <w:t> </w:t>
      </w:r>
      <w:r>
        <w:rPr>
          <w:color w:val="231F20"/>
          <w:spacing w:val="-3"/>
          <w:w w:val="110"/>
        </w:rPr>
        <w:t>igualmente</w:t>
      </w:r>
      <w:r>
        <w:rPr>
          <w:color w:val="231F20"/>
          <w:spacing w:val="-12"/>
          <w:w w:val="110"/>
        </w:rPr>
        <w:t> </w:t>
      </w:r>
      <w:r>
        <w:rPr>
          <w:color w:val="231F20"/>
          <w:spacing w:val="-3"/>
          <w:w w:val="110"/>
        </w:rPr>
        <w:t>tiene</w:t>
      </w:r>
      <w:r>
        <w:rPr>
          <w:color w:val="231F20"/>
          <w:spacing w:val="-12"/>
          <w:w w:val="110"/>
        </w:rPr>
        <w:t> </w:t>
      </w:r>
      <w:r>
        <w:rPr>
          <w:color w:val="231F20"/>
          <w:spacing w:val="-3"/>
          <w:w w:val="110"/>
        </w:rPr>
        <w:t>consecuencias</w:t>
      </w:r>
      <w:r>
        <w:rPr>
          <w:color w:val="231F20"/>
          <w:spacing w:val="-12"/>
          <w:w w:val="110"/>
        </w:rPr>
        <w:t> </w:t>
      </w:r>
      <w:r>
        <w:rPr>
          <w:color w:val="231F20"/>
          <w:spacing w:val="-3"/>
          <w:w w:val="110"/>
        </w:rPr>
        <w:t>directas</w:t>
      </w:r>
      <w:r>
        <w:rPr>
          <w:color w:val="231F20"/>
          <w:spacing w:val="-12"/>
          <w:w w:val="110"/>
        </w:rPr>
        <w:t> </w:t>
      </w:r>
      <w:r>
        <w:rPr>
          <w:color w:val="231F20"/>
          <w:spacing w:val="-3"/>
          <w:w w:val="110"/>
        </w:rPr>
        <w:t>sobre</w:t>
      </w:r>
      <w:r>
        <w:rPr>
          <w:color w:val="231F20"/>
          <w:spacing w:val="-12"/>
          <w:w w:val="110"/>
        </w:rPr>
        <w:t> </w:t>
      </w:r>
      <w:r>
        <w:rPr>
          <w:color w:val="231F20"/>
          <w:w w:val="110"/>
        </w:rPr>
        <w:t>la</w:t>
      </w:r>
      <w:r>
        <w:rPr>
          <w:color w:val="231F20"/>
          <w:spacing w:val="-12"/>
          <w:w w:val="110"/>
        </w:rPr>
        <w:t> </w:t>
      </w:r>
      <w:r>
        <w:rPr>
          <w:color w:val="231F20"/>
          <w:spacing w:val="-3"/>
          <w:w w:val="110"/>
        </w:rPr>
        <w:t>pre- carización</w:t>
      </w:r>
      <w:r>
        <w:rPr>
          <w:color w:val="231F20"/>
          <w:spacing w:val="-10"/>
          <w:w w:val="110"/>
        </w:rPr>
        <w:t> </w:t>
      </w:r>
      <w:r>
        <w:rPr>
          <w:color w:val="231F20"/>
          <w:w w:val="110"/>
        </w:rPr>
        <w:t>del</w:t>
      </w:r>
      <w:r>
        <w:rPr>
          <w:color w:val="231F20"/>
          <w:spacing w:val="-10"/>
          <w:w w:val="110"/>
        </w:rPr>
        <w:t> </w:t>
      </w:r>
      <w:r>
        <w:rPr>
          <w:color w:val="231F20"/>
          <w:spacing w:val="-3"/>
          <w:w w:val="110"/>
        </w:rPr>
        <w:t>trabajo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spacing w:val="-3"/>
          <w:w w:val="110"/>
        </w:rPr>
        <w:t>sectores</w:t>
      </w:r>
      <w:r>
        <w:rPr>
          <w:color w:val="231F20"/>
          <w:spacing w:val="-10"/>
          <w:w w:val="110"/>
        </w:rPr>
        <w:t> </w:t>
      </w:r>
      <w:r>
        <w:rPr>
          <w:color w:val="231F20"/>
          <w:w w:val="110"/>
        </w:rPr>
        <w:t>más</w:t>
      </w:r>
      <w:r>
        <w:rPr>
          <w:color w:val="231F20"/>
          <w:spacing w:val="-10"/>
          <w:w w:val="110"/>
        </w:rPr>
        <w:t> </w:t>
      </w:r>
      <w:r>
        <w:rPr>
          <w:color w:val="231F20"/>
          <w:spacing w:val="-3"/>
          <w:w w:val="110"/>
        </w:rPr>
        <w:t>vulnerables,</w:t>
      </w:r>
      <w:r>
        <w:rPr>
          <w:color w:val="231F20"/>
          <w:spacing w:val="-10"/>
          <w:w w:val="110"/>
        </w:rPr>
        <w:t> </w:t>
      </w:r>
      <w:r>
        <w:rPr>
          <w:color w:val="231F20"/>
          <w:spacing w:val="-3"/>
          <w:w w:val="110"/>
        </w:rPr>
        <w:t>particularmente </w:t>
      </w:r>
      <w:r>
        <w:rPr>
          <w:color w:val="231F20"/>
          <w:w w:val="110"/>
        </w:rPr>
        <w:t>de</w:t>
      </w:r>
      <w:r>
        <w:rPr>
          <w:color w:val="231F20"/>
          <w:spacing w:val="-21"/>
          <w:w w:val="110"/>
        </w:rPr>
        <w:t> </w:t>
      </w:r>
      <w:r>
        <w:rPr>
          <w:color w:val="231F20"/>
          <w:w w:val="110"/>
        </w:rPr>
        <w:t>los</w:t>
      </w:r>
      <w:r>
        <w:rPr>
          <w:color w:val="231F20"/>
          <w:spacing w:val="-21"/>
          <w:w w:val="110"/>
        </w:rPr>
        <w:t> </w:t>
      </w:r>
      <w:r>
        <w:rPr>
          <w:color w:val="231F20"/>
          <w:spacing w:val="-3"/>
          <w:w w:val="110"/>
        </w:rPr>
        <w:t>jóvenes,</w:t>
      </w:r>
      <w:r>
        <w:rPr>
          <w:color w:val="231F20"/>
          <w:spacing w:val="-21"/>
          <w:w w:val="110"/>
        </w:rPr>
        <w:t> </w:t>
      </w:r>
      <w:r>
        <w:rPr>
          <w:color w:val="231F20"/>
          <w:w w:val="110"/>
        </w:rPr>
        <w:t>en</w:t>
      </w:r>
      <w:r>
        <w:rPr>
          <w:color w:val="231F20"/>
          <w:spacing w:val="-21"/>
          <w:w w:val="110"/>
        </w:rPr>
        <w:t> </w:t>
      </w:r>
      <w:r>
        <w:rPr>
          <w:color w:val="231F20"/>
          <w:w w:val="110"/>
        </w:rPr>
        <w:t>las</w:t>
      </w:r>
      <w:r>
        <w:rPr>
          <w:color w:val="231F20"/>
          <w:spacing w:val="-21"/>
          <w:w w:val="110"/>
        </w:rPr>
        <w:t> </w:t>
      </w:r>
      <w:r>
        <w:rPr>
          <w:color w:val="231F20"/>
          <w:spacing w:val="-3"/>
          <w:w w:val="110"/>
        </w:rPr>
        <w:t>opciones</w:t>
      </w:r>
      <w:r>
        <w:rPr>
          <w:color w:val="231F20"/>
          <w:spacing w:val="-21"/>
          <w:w w:val="110"/>
        </w:rPr>
        <w:t> </w:t>
      </w:r>
      <w:r>
        <w:rPr>
          <w:color w:val="231F20"/>
          <w:w w:val="110"/>
        </w:rPr>
        <w:t>de</w:t>
      </w:r>
      <w:r>
        <w:rPr>
          <w:color w:val="231F20"/>
          <w:spacing w:val="-21"/>
          <w:w w:val="110"/>
        </w:rPr>
        <w:t> </w:t>
      </w:r>
      <w:r>
        <w:rPr>
          <w:color w:val="231F20"/>
          <w:spacing w:val="-3"/>
          <w:w w:val="110"/>
        </w:rPr>
        <w:t>primer</w:t>
      </w:r>
      <w:r>
        <w:rPr>
          <w:color w:val="231F20"/>
          <w:spacing w:val="-21"/>
          <w:w w:val="110"/>
        </w:rPr>
        <w:t> </w:t>
      </w:r>
      <w:r>
        <w:rPr>
          <w:color w:val="231F20"/>
          <w:spacing w:val="-3"/>
          <w:w w:val="110"/>
        </w:rPr>
        <w:t>empleo</w:t>
      </w:r>
      <w:r>
        <w:rPr>
          <w:color w:val="231F20"/>
          <w:spacing w:val="-21"/>
          <w:w w:val="110"/>
        </w:rPr>
        <w:t> </w:t>
      </w:r>
      <w:r>
        <w:rPr>
          <w:color w:val="231F20"/>
          <w:spacing w:val="-9"/>
          <w:w w:val="110"/>
        </w:rPr>
        <w:t>y,</w:t>
      </w:r>
      <w:r>
        <w:rPr>
          <w:color w:val="231F20"/>
          <w:spacing w:val="-21"/>
          <w:w w:val="110"/>
        </w:rPr>
        <w:t> </w:t>
      </w:r>
      <w:r>
        <w:rPr>
          <w:color w:val="231F20"/>
          <w:w w:val="110"/>
        </w:rPr>
        <w:t>en</w:t>
      </w:r>
      <w:r>
        <w:rPr>
          <w:color w:val="231F20"/>
          <w:spacing w:val="-21"/>
          <w:w w:val="110"/>
        </w:rPr>
        <w:t> </w:t>
      </w:r>
      <w:r>
        <w:rPr>
          <w:color w:val="231F20"/>
          <w:spacing w:val="-3"/>
          <w:w w:val="110"/>
        </w:rPr>
        <w:t>general,</w:t>
      </w:r>
      <w:r>
        <w:rPr>
          <w:color w:val="231F20"/>
          <w:spacing w:val="-21"/>
          <w:w w:val="110"/>
        </w:rPr>
        <w:t> </w:t>
      </w:r>
      <w:r>
        <w:rPr>
          <w:color w:val="231F20"/>
          <w:spacing w:val="-3"/>
          <w:w w:val="110"/>
        </w:rPr>
        <w:t>sobre</w:t>
      </w:r>
      <w:r>
        <w:rPr>
          <w:color w:val="231F20"/>
          <w:spacing w:val="-21"/>
          <w:w w:val="110"/>
        </w:rPr>
        <w:t> </w:t>
      </w:r>
      <w:r>
        <w:rPr>
          <w:color w:val="231F20"/>
          <w:spacing w:val="-3"/>
          <w:w w:val="110"/>
        </w:rPr>
        <w:t>los trabajadores menos calificados, </w:t>
      </w:r>
      <w:r>
        <w:rPr>
          <w:color w:val="231F20"/>
          <w:w w:val="110"/>
        </w:rPr>
        <w:t>lo </w:t>
      </w:r>
      <w:r>
        <w:rPr>
          <w:color w:val="231F20"/>
          <w:spacing w:val="-3"/>
          <w:w w:val="110"/>
        </w:rPr>
        <w:t>que, además, </w:t>
      </w:r>
      <w:r>
        <w:rPr>
          <w:color w:val="231F20"/>
          <w:w w:val="110"/>
        </w:rPr>
        <w:t>en el </w:t>
      </w:r>
      <w:r>
        <w:rPr>
          <w:color w:val="231F20"/>
          <w:spacing w:val="-3"/>
          <w:w w:val="110"/>
        </w:rPr>
        <w:t>mediano </w:t>
      </w:r>
      <w:r>
        <w:rPr>
          <w:color w:val="231F20"/>
          <w:w w:val="110"/>
        </w:rPr>
        <w:t>y </w:t>
      </w:r>
      <w:r>
        <w:rPr>
          <w:color w:val="231F20"/>
          <w:spacing w:val="-3"/>
          <w:w w:val="110"/>
        </w:rPr>
        <w:t>largo plazo tendrá efectos directos sobre </w:t>
      </w:r>
      <w:r>
        <w:rPr>
          <w:color w:val="231F20"/>
          <w:w w:val="110"/>
        </w:rPr>
        <w:t>la </w:t>
      </w:r>
      <w:r>
        <w:rPr>
          <w:color w:val="231F20"/>
          <w:spacing w:val="-3"/>
          <w:w w:val="110"/>
        </w:rPr>
        <w:t>inmigración, sobre </w:t>
      </w:r>
      <w:r>
        <w:rPr>
          <w:color w:val="231F20"/>
          <w:w w:val="110"/>
        </w:rPr>
        <w:t>las</w:t>
      </w:r>
      <w:r>
        <w:rPr>
          <w:color w:val="231F20"/>
          <w:spacing w:val="-39"/>
          <w:w w:val="110"/>
        </w:rPr>
        <w:t> </w:t>
      </w:r>
      <w:r>
        <w:rPr>
          <w:color w:val="231F20"/>
          <w:spacing w:val="-3"/>
          <w:w w:val="110"/>
        </w:rPr>
        <w:t>restriccio- </w:t>
      </w:r>
      <w:r>
        <w:rPr>
          <w:color w:val="231F20"/>
          <w:w w:val="110"/>
        </w:rPr>
        <w:t>nes</w:t>
      </w:r>
      <w:r>
        <w:rPr>
          <w:color w:val="231F20"/>
          <w:spacing w:val="-20"/>
          <w:w w:val="110"/>
        </w:rPr>
        <w:t> </w:t>
      </w:r>
      <w:r>
        <w:rPr>
          <w:color w:val="231F20"/>
          <w:w w:val="110"/>
        </w:rPr>
        <w:t>a</w:t>
      </w:r>
      <w:r>
        <w:rPr>
          <w:color w:val="231F20"/>
          <w:spacing w:val="-20"/>
          <w:w w:val="110"/>
        </w:rPr>
        <w:t> </w:t>
      </w:r>
      <w:r>
        <w:rPr>
          <w:color w:val="231F20"/>
          <w:spacing w:val="-3"/>
          <w:w w:val="110"/>
        </w:rPr>
        <w:t>ella</w:t>
      </w:r>
      <w:r>
        <w:rPr>
          <w:color w:val="231F20"/>
          <w:spacing w:val="-20"/>
          <w:w w:val="110"/>
        </w:rPr>
        <w:t> </w:t>
      </w:r>
      <w:r>
        <w:rPr>
          <w:color w:val="231F20"/>
          <w:w w:val="110"/>
        </w:rPr>
        <w:t>y</w:t>
      </w:r>
      <w:r>
        <w:rPr>
          <w:color w:val="231F20"/>
          <w:spacing w:val="-20"/>
          <w:w w:val="110"/>
        </w:rPr>
        <w:t> </w:t>
      </w:r>
      <w:r>
        <w:rPr>
          <w:color w:val="231F20"/>
          <w:w w:val="110"/>
        </w:rPr>
        <w:t>las</w:t>
      </w:r>
      <w:r>
        <w:rPr>
          <w:color w:val="231F20"/>
          <w:spacing w:val="-20"/>
          <w:w w:val="110"/>
        </w:rPr>
        <w:t> </w:t>
      </w:r>
      <w:r>
        <w:rPr>
          <w:color w:val="231F20"/>
          <w:spacing w:val="-3"/>
          <w:w w:val="110"/>
        </w:rPr>
        <w:t>posibilidades</w:t>
      </w:r>
      <w:r>
        <w:rPr>
          <w:color w:val="231F20"/>
          <w:spacing w:val="-20"/>
          <w:w w:val="110"/>
        </w:rPr>
        <w:t> </w:t>
      </w:r>
      <w:r>
        <w:rPr>
          <w:color w:val="231F20"/>
          <w:w w:val="110"/>
        </w:rPr>
        <w:t>de</w:t>
      </w:r>
      <w:r>
        <w:rPr>
          <w:color w:val="231F20"/>
          <w:spacing w:val="-20"/>
          <w:w w:val="110"/>
        </w:rPr>
        <w:t> </w:t>
      </w:r>
      <w:r>
        <w:rPr>
          <w:color w:val="231F20"/>
          <w:spacing w:val="-3"/>
          <w:w w:val="110"/>
        </w:rPr>
        <w:t>inserción</w:t>
      </w:r>
      <w:r>
        <w:rPr>
          <w:color w:val="231F20"/>
          <w:spacing w:val="-20"/>
          <w:w w:val="110"/>
        </w:rPr>
        <w:t> </w:t>
      </w:r>
      <w:r>
        <w:rPr>
          <w:color w:val="231F20"/>
          <w:spacing w:val="-3"/>
          <w:w w:val="110"/>
        </w:rPr>
        <w:t>laboral</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spacing w:val="-3"/>
          <w:w w:val="110"/>
        </w:rPr>
        <w:t>mercado</w:t>
      </w:r>
      <w:r>
        <w:rPr>
          <w:color w:val="231F20"/>
          <w:spacing w:val="-20"/>
          <w:w w:val="110"/>
        </w:rPr>
        <w:t> </w:t>
      </w:r>
      <w:r>
        <w:rPr>
          <w:color w:val="231F20"/>
          <w:spacing w:val="-3"/>
          <w:w w:val="110"/>
        </w:rPr>
        <w:t>“laboral nacional” cada </w:t>
      </w:r>
      <w:r>
        <w:rPr>
          <w:color w:val="231F20"/>
          <w:w w:val="110"/>
        </w:rPr>
        <w:t>vez más </w:t>
      </w:r>
      <w:r>
        <w:rPr>
          <w:color w:val="231F20"/>
          <w:spacing w:val="-3"/>
          <w:w w:val="110"/>
        </w:rPr>
        <w:t>restringido </w:t>
      </w:r>
      <w:r>
        <w:rPr>
          <w:color w:val="231F20"/>
          <w:w w:val="110"/>
        </w:rPr>
        <w:t>y </w:t>
      </w:r>
      <w:r>
        <w:rPr>
          <w:color w:val="231F20"/>
          <w:spacing w:val="-3"/>
          <w:w w:val="110"/>
        </w:rPr>
        <w:t>competitivo </w:t>
      </w:r>
      <w:r>
        <w:rPr>
          <w:color w:val="231F20"/>
          <w:w w:val="110"/>
        </w:rPr>
        <w:t>de </w:t>
      </w:r>
      <w:r>
        <w:rPr>
          <w:color w:val="231F20"/>
          <w:spacing w:val="-3"/>
          <w:w w:val="110"/>
        </w:rPr>
        <w:t>Estados Unidos. </w:t>
      </w:r>
      <w:r>
        <w:rPr>
          <w:color w:val="231F20"/>
          <w:w w:val="110"/>
        </w:rPr>
        <w:t>En </w:t>
      </w:r>
      <w:r>
        <w:rPr>
          <w:color w:val="231F20"/>
          <w:spacing w:val="-3"/>
          <w:w w:val="110"/>
        </w:rPr>
        <w:t>relación </w:t>
      </w:r>
      <w:r>
        <w:rPr>
          <w:color w:val="231F20"/>
          <w:w w:val="110"/>
        </w:rPr>
        <w:t>con el pib de </w:t>
      </w:r>
      <w:r>
        <w:rPr>
          <w:color w:val="231F20"/>
          <w:spacing w:val="-3"/>
          <w:w w:val="110"/>
        </w:rPr>
        <w:t>este país, </w:t>
      </w:r>
      <w:r>
        <w:rPr>
          <w:color w:val="231F20"/>
          <w:w w:val="110"/>
        </w:rPr>
        <w:t>la </w:t>
      </w:r>
      <w:r>
        <w:rPr>
          <w:color w:val="231F20"/>
          <w:spacing w:val="-3"/>
          <w:w w:val="110"/>
        </w:rPr>
        <w:t>capitalización foránea pasó de 8.6% </w:t>
      </w:r>
      <w:r>
        <w:rPr>
          <w:color w:val="231F20"/>
          <w:w w:val="110"/>
        </w:rPr>
        <w:t>en </w:t>
      </w:r>
      <w:r>
        <w:rPr>
          <w:color w:val="231F20"/>
          <w:spacing w:val="-3"/>
          <w:w w:val="110"/>
        </w:rPr>
        <w:t>1973 </w:t>
      </w:r>
      <w:r>
        <w:rPr>
          <w:color w:val="231F20"/>
          <w:w w:val="110"/>
        </w:rPr>
        <w:t>a </w:t>
      </w:r>
      <w:r>
        <w:rPr>
          <w:color w:val="231F20"/>
          <w:spacing w:val="-3"/>
          <w:w w:val="110"/>
        </w:rPr>
        <w:t>18.9% </w:t>
      </w:r>
      <w:r>
        <w:rPr>
          <w:color w:val="231F20"/>
          <w:w w:val="110"/>
        </w:rPr>
        <w:t>en </w:t>
      </w:r>
      <w:r>
        <w:rPr>
          <w:color w:val="231F20"/>
          <w:spacing w:val="-3"/>
          <w:w w:val="110"/>
        </w:rPr>
        <w:t>2008, </w:t>
      </w:r>
      <w:r>
        <w:rPr>
          <w:color w:val="231F20"/>
          <w:w w:val="110"/>
        </w:rPr>
        <w:t>con una </w:t>
      </w:r>
      <w:r>
        <w:rPr>
          <w:color w:val="231F20"/>
          <w:spacing w:val="-3"/>
          <w:w w:val="110"/>
        </w:rPr>
        <w:t>importante caída </w:t>
      </w:r>
      <w:r>
        <w:rPr>
          <w:color w:val="231F20"/>
          <w:w w:val="110"/>
        </w:rPr>
        <w:t>a </w:t>
      </w:r>
      <w:r>
        <w:rPr>
          <w:color w:val="231F20"/>
          <w:spacing w:val="-3"/>
          <w:w w:val="110"/>
        </w:rPr>
        <w:t>15.6% en 2009, como efecto </w:t>
      </w:r>
      <w:r>
        <w:rPr>
          <w:color w:val="231F20"/>
          <w:w w:val="110"/>
        </w:rPr>
        <w:t>de la </w:t>
      </w:r>
      <w:r>
        <w:rPr>
          <w:color w:val="231F20"/>
          <w:spacing w:val="-3"/>
          <w:w w:val="110"/>
        </w:rPr>
        <w:t>crisis económica, </w:t>
      </w:r>
      <w:r>
        <w:rPr>
          <w:color w:val="231F20"/>
          <w:w w:val="110"/>
        </w:rPr>
        <w:t>y una </w:t>
      </w:r>
      <w:r>
        <w:rPr>
          <w:color w:val="231F20"/>
          <w:spacing w:val="-3"/>
          <w:w w:val="110"/>
        </w:rPr>
        <w:t>rápida recuperación </w:t>
      </w:r>
      <w:r>
        <w:rPr>
          <w:color w:val="231F20"/>
          <w:w w:val="110"/>
        </w:rPr>
        <w:t>de la </w:t>
      </w:r>
      <w:r>
        <w:rPr>
          <w:color w:val="231F20"/>
          <w:spacing w:val="-3"/>
          <w:w w:val="110"/>
        </w:rPr>
        <w:t>tendencia ascendente </w:t>
      </w:r>
      <w:r>
        <w:rPr>
          <w:color w:val="231F20"/>
          <w:w w:val="110"/>
        </w:rPr>
        <w:t>en </w:t>
      </w:r>
      <w:r>
        <w:rPr>
          <w:color w:val="231F20"/>
          <w:spacing w:val="-3"/>
          <w:w w:val="110"/>
        </w:rPr>
        <w:t>2010 </w:t>
      </w:r>
      <w:r>
        <w:rPr>
          <w:color w:val="231F20"/>
          <w:w w:val="110"/>
        </w:rPr>
        <w:t>y </w:t>
      </w:r>
      <w:r>
        <w:rPr>
          <w:color w:val="231F20"/>
          <w:spacing w:val="-3"/>
          <w:w w:val="110"/>
        </w:rPr>
        <w:t>2011, </w:t>
      </w:r>
      <w:r>
        <w:rPr>
          <w:color w:val="231F20"/>
          <w:w w:val="110"/>
        </w:rPr>
        <w:t>al </w:t>
      </w:r>
      <w:r>
        <w:rPr>
          <w:color w:val="231F20"/>
          <w:spacing w:val="-3"/>
          <w:w w:val="110"/>
        </w:rPr>
        <w:t>pasar </w:t>
      </w:r>
      <w:r>
        <w:rPr>
          <w:color w:val="231F20"/>
          <w:w w:val="110"/>
        </w:rPr>
        <w:t>de </w:t>
      </w:r>
      <w:r>
        <w:rPr>
          <w:color w:val="231F20"/>
          <w:spacing w:val="-3"/>
          <w:w w:val="110"/>
        </w:rPr>
        <w:t>17.7 </w:t>
      </w:r>
      <w:r>
        <w:rPr>
          <w:color w:val="231F20"/>
          <w:w w:val="110"/>
        </w:rPr>
        <w:t>a </w:t>
      </w:r>
      <w:r>
        <w:rPr>
          <w:color w:val="231F20"/>
          <w:spacing w:val="-3"/>
          <w:w w:val="110"/>
        </w:rPr>
        <w:t>19.1%. </w:t>
      </w:r>
      <w:r>
        <w:rPr>
          <w:color w:val="231F20"/>
          <w:w w:val="110"/>
        </w:rPr>
        <w:t>En el </w:t>
      </w:r>
      <w:r>
        <w:rPr>
          <w:color w:val="231F20"/>
          <w:spacing w:val="-3"/>
          <w:w w:val="110"/>
        </w:rPr>
        <w:t>mismo sentido, </w:t>
      </w:r>
      <w:r>
        <w:rPr>
          <w:color w:val="231F20"/>
          <w:w w:val="110"/>
        </w:rPr>
        <w:t>en los </w:t>
      </w:r>
      <w:r>
        <w:rPr>
          <w:color w:val="231F20"/>
          <w:spacing w:val="-3"/>
          <w:w w:val="110"/>
        </w:rPr>
        <w:t>últimos años, </w:t>
      </w:r>
      <w:r>
        <w:rPr>
          <w:color w:val="231F20"/>
          <w:w w:val="110"/>
        </w:rPr>
        <w:t>el </w:t>
      </w:r>
      <w:r>
        <w:rPr>
          <w:color w:val="231F20"/>
          <w:spacing w:val="-3"/>
          <w:w w:val="110"/>
        </w:rPr>
        <w:t>trabajo apoyado </w:t>
      </w:r>
      <w:r>
        <w:rPr>
          <w:color w:val="231F20"/>
          <w:w w:val="110"/>
        </w:rPr>
        <w:t>en </w:t>
      </w:r>
      <w:r>
        <w:rPr>
          <w:color w:val="231F20"/>
          <w:spacing w:val="-3"/>
          <w:w w:val="110"/>
        </w:rPr>
        <w:t>la fuerza </w:t>
      </w:r>
      <w:r>
        <w:rPr>
          <w:color w:val="231F20"/>
          <w:w w:val="110"/>
        </w:rPr>
        <w:t>de </w:t>
      </w:r>
      <w:r>
        <w:rPr>
          <w:color w:val="231F20"/>
          <w:spacing w:val="-3"/>
          <w:w w:val="110"/>
        </w:rPr>
        <w:t>trabajo migrante aumentó sensiblemente, pero </w:t>
      </w:r>
      <w:r>
        <w:rPr>
          <w:color w:val="231F20"/>
          <w:w w:val="110"/>
        </w:rPr>
        <w:t>es </w:t>
      </w:r>
      <w:r>
        <w:rPr>
          <w:color w:val="231F20"/>
          <w:spacing w:val="-3"/>
          <w:w w:val="110"/>
        </w:rPr>
        <w:t>previsible </w:t>
      </w:r>
      <w:r>
        <w:rPr>
          <w:color w:val="231F20"/>
          <w:w w:val="110"/>
        </w:rPr>
        <w:t>que </w:t>
      </w:r>
      <w:r>
        <w:rPr>
          <w:color w:val="231F20"/>
          <w:spacing w:val="-3"/>
          <w:w w:val="110"/>
        </w:rPr>
        <w:t>dado </w:t>
      </w:r>
      <w:r>
        <w:rPr>
          <w:color w:val="231F20"/>
          <w:w w:val="110"/>
        </w:rPr>
        <w:t>el </w:t>
      </w:r>
      <w:r>
        <w:rPr>
          <w:color w:val="231F20"/>
          <w:spacing w:val="-3"/>
          <w:w w:val="110"/>
        </w:rPr>
        <w:t>entorno </w:t>
      </w:r>
      <w:r>
        <w:rPr>
          <w:color w:val="231F20"/>
          <w:w w:val="110"/>
        </w:rPr>
        <w:t>de </w:t>
      </w:r>
      <w:r>
        <w:rPr>
          <w:color w:val="231F20"/>
          <w:spacing w:val="-3"/>
          <w:w w:val="110"/>
        </w:rPr>
        <w:t>inestabilidad </w:t>
      </w:r>
      <w:r>
        <w:rPr>
          <w:color w:val="231F20"/>
          <w:w w:val="110"/>
        </w:rPr>
        <w:t>y </w:t>
      </w:r>
      <w:r>
        <w:rPr>
          <w:color w:val="231F20"/>
          <w:spacing w:val="-3"/>
          <w:w w:val="110"/>
        </w:rPr>
        <w:t>crisis económica </w:t>
      </w:r>
      <w:r>
        <w:rPr>
          <w:color w:val="231F20"/>
          <w:w w:val="110"/>
        </w:rPr>
        <w:t>los </w:t>
      </w:r>
      <w:r>
        <w:rPr>
          <w:color w:val="231F20"/>
          <w:spacing w:val="-3"/>
          <w:w w:val="110"/>
        </w:rPr>
        <w:t>sectores </w:t>
      </w:r>
      <w:r>
        <w:rPr>
          <w:color w:val="231F20"/>
          <w:w w:val="110"/>
        </w:rPr>
        <w:t>empresariales profundicen las alternativas del trabajo deslocalizado y </w:t>
      </w:r>
      <w:r>
        <w:rPr>
          <w:color w:val="231F20"/>
          <w:spacing w:val="-3"/>
          <w:w w:val="110"/>
        </w:rPr>
        <w:t>puedan prescindir cada </w:t>
      </w:r>
      <w:r>
        <w:rPr>
          <w:color w:val="231F20"/>
          <w:w w:val="110"/>
        </w:rPr>
        <w:t>vez más de la </w:t>
      </w:r>
      <w:r>
        <w:rPr>
          <w:color w:val="231F20"/>
          <w:spacing w:val="-3"/>
          <w:w w:val="110"/>
        </w:rPr>
        <w:t>fuerza </w:t>
      </w:r>
      <w:r>
        <w:rPr>
          <w:color w:val="231F20"/>
          <w:w w:val="110"/>
        </w:rPr>
        <w:t>de </w:t>
      </w:r>
      <w:r>
        <w:rPr>
          <w:color w:val="231F20"/>
          <w:spacing w:val="-3"/>
          <w:w w:val="110"/>
        </w:rPr>
        <w:t>trabajo</w:t>
      </w:r>
      <w:r>
        <w:rPr>
          <w:color w:val="231F20"/>
          <w:spacing w:val="25"/>
          <w:w w:val="110"/>
        </w:rPr>
        <w:t> </w:t>
      </w:r>
      <w:r>
        <w:rPr>
          <w:color w:val="231F20"/>
          <w:spacing w:val="-3"/>
          <w:w w:val="110"/>
        </w:rPr>
        <w:t>migrante.</w:t>
      </w:r>
      <w:r>
        <w:rPr>
          <w:color w:val="231F20"/>
          <w:spacing w:val="-3"/>
          <w:w w:val="110"/>
          <w:position w:val="6"/>
          <w:sz w:val="13"/>
        </w:rPr>
        <w:t>8</w:t>
      </w:r>
    </w:p>
    <w:p>
      <w:pPr>
        <w:pStyle w:val="BodyText"/>
        <w:spacing w:line="261" w:lineRule="auto"/>
        <w:ind w:left="100" w:right="117" w:firstLine="240"/>
        <w:jc w:val="both"/>
      </w:pPr>
      <w:r>
        <w:rPr>
          <w:color w:val="231F20"/>
          <w:w w:val="105"/>
        </w:rPr>
        <w:t>La estrategia —deslocalizadora— tiene cada vez mayores adeptos en el imaginario social de los estadunidenses, a partir de la promesa   de limitar las inmigraciones laborales y fomentar “con la capitaliza- ción externa” mejores condiciones salariales y de bienestar social para los trabajadores nativos. El supuesto es que, dadas las condiciones      de excepción de país, con el incremento de las ganancias externas      es posible mantener e incrementar ciertas concesiones salariales a expensas</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sobreexplotación</w:t>
      </w:r>
      <w:r>
        <w:rPr>
          <w:color w:val="231F20"/>
          <w:spacing w:val="37"/>
          <w:w w:val="105"/>
        </w:rPr>
        <w:t> </w:t>
      </w:r>
      <w:r>
        <w:rPr>
          <w:color w:val="231F20"/>
          <w:w w:val="105"/>
        </w:rPr>
        <w:t>del</w:t>
      </w:r>
      <w:r>
        <w:rPr>
          <w:color w:val="231F20"/>
          <w:spacing w:val="37"/>
          <w:w w:val="105"/>
        </w:rPr>
        <w:t> </w:t>
      </w:r>
      <w:r>
        <w:rPr>
          <w:color w:val="231F20"/>
          <w:w w:val="105"/>
        </w:rPr>
        <w:t>trabajo</w:t>
      </w:r>
      <w:r>
        <w:rPr>
          <w:color w:val="231F20"/>
          <w:spacing w:val="37"/>
          <w:w w:val="105"/>
        </w:rPr>
        <w:t> </w:t>
      </w:r>
      <w:r>
        <w:rPr>
          <w:color w:val="231F20"/>
          <w:w w:val="105"/>
        </w:rPr>
        <w:t>fuera</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fronteras.</w:t>
      </w:r>
    </w:p>
    <w:p>
      <w:pPr>
        <w:pStyle w:val="BodyText"/>
      </w:pPr>
    </w:p>
    <w:p>
      <w:pPr>
        <w:pStyle w:val="BodyText"/>
      </w:pPr>
    </w:p>
    <w:p>
      <w:pPr>
        <w:pStyle w:val="BodyText"/>
        <w:spacing w:before="3"/>
        <w:rPr>
          <w:sz w:val="19"/>
        </w:rPr>
      </w:pPr>
    </w:p>
    <w:p>
      <w:pPr>
        <w:spacing w:line="261" w:lineRule="auto" w:before="0"/>
        <w:ind w:left="100" w:right="117" w:firstLine="240"/>
        <w:jc w:val="both"/>
        <w:rPr>
          <w:sz w:val="16"/>
        </w:rPr>
      </w:pPr>
      <w:r>
        <w:rPr>
          <w:color w:val="231F20"/>
          <w:w w:val="105"/>
          <w:position w:val="5"/>
          <w:sz w:val="10"/>
        </w:rPr>
        <w:t>8 </w:t>
      </w:r>
      <w:r>
        <w:rPr>
          <w:color w:val="231F20"/>
          <w:w w:val="105"/>
          <w:sz w:val="16"/>
        </w:rPr>
        <w:t>La reubicación o deslocalización productiva es parte del nuevo proceso de re- estructuración global de la producción, que sigue la misma lógica, pero en sentido opuesto a la migración internacional, con la que, siguiendo a Beck (2000: 39): “no migran las personas, sino los puestos de trabajo” (Castillo, 2010a y 2011).</w:t>
      </w:r>
    </w:p>
    <w:p>
      <w:pPr>
        <w:spacing w:after="0" w:line="261" w:lineRule="auto"/>
        <w:jc w:val="both"/>
        <w:rPr>
          <w:sz w:val="16"/>
        </w:rPr>
        <w:sectPr>
          <w:pgSz w:w="7640" w:h="11900"/>
          <w:pgMar w:header="672" w:footer="0" w:top="860" w:bottom="280" w:left="660" w:right="760"/>
        </w:sectPr>
      </w:pPr>
    </w:p>
    <w:p>
      <w:pPr>
        <w:pStyle w:val="BodyText"/>
        <w:spacing w:before="9"/>
        <w:rPr>
          <w:sz w:val="8"/>
        </w:rPr>
      </w:pPr>
    </w:p>
    <w:p>
      <w:pPr>
        <w:spacing w:before="70"/>
        <w:ind w:left="100" w:right="622" w:firstLine="0"/>
        <w:jc w:val="left"/>
        <w:rPr>
          <w:sz w:val="18"/>
        </w:rPr>
      </w:pPr>
      <w:r>
        <w:rPr>
          <w:color w:val="231F20"/>
          <w:w w:val="120"/>
          <w:sz w:val="18"/>
        </w:rPr>
        <w:t>gráfica 3. tasa de capitalización externa, estados unidos,   1950-2011</w:t>
      </w:r>
    </w:p>
    <w:p>
      <w:pPr>
        <w:pStyle w:val="BodyText"/>
        <w:spacing w:before="7"/>
        <w:rPr>
          <w:sz w:val="23"/>
        </w:rPr>
      </w:pPr>
    </w:p>
    <w:p>
      <w:pPr>
        <w:spacing w:before="0"/>
        <w:ind w:left="482" w:right="861" w:firstLine="0"/>
        <w:jc w:val="left"/>
        <w:rPr>
          <w:sz w:val="16"/>
        </w:rPr>
      </w:pPr>
      <w:r>
        <w:rPr/>
        <w:pict>
          <v:group style="position:absolute;margin-left:63.140301pt;margin-top:5.430536pt;width:270.350pt;height:131.950pt;mso-position-horizontal-relative:page;mso-position-vertical-relative:paragraph;z-index:-350584" coordorigin="1263,109" coordsize="5407,2639">
            <v:line style="position:absolute" from="1672,116" to="6664,116" stroked="true" strokeweight=".5pt" strokecolor="#a7a9ac"/>
            <v:line style="position:absolute" from="1672,1167" to="6664,1167" stroked="true" strokeweight=".5pt" strokecolor="#a7a9ac"/>
            <v:line style="position:absolute" from="1672,1689" to="6664,1689" stroked="true" strokeweight=".5pt" strokecolor="#a7a9ac"/>
            <v:shape style="position:absolute;left:1696;top:279;width:4932;height:1830" coordorigin="1696,279" coordsize="4932,1830" path="m1696,2099l1774,1965,1846,2037,1936,2109,2110,2067,2188,1971,2266,1947,2344,2049,2434,2043,2518,1947,2624,1947,2784,1941,2848,1899,2944,1923,3088,1923,3172,1899,3268,1893,3328,1821,3412,1845,3496,1809,3592,1605,3664,1371,3760,1395,3832,1431,3904,1479,3994,1395,4072,1209,4168,1041,4240,1065,4324,1179,4408,1341,4504,1305,4576,1443,4664,1467,4738,1383,4824,1209,4918,1101,4996,1059,5074,1071,5146,1107,5224,1143,5320,1065,5398,879,5488,861,5548,789,5656,879,5722,899,5800,789,5890,1019,5968,1119,6076,1099,6148,927,6224,789,6304,573,6388,369,6466,279,6556,675,6628,459e" filled="false" stroked="true" strokeweight=".5pt" strokecolor="#231f20">
              <v:path arrowok="t"/>
            </v:shape>
            <v:line style="position:absolute" from="1672,2212" to="6664,2212" stroked="true" strokeweight=".5pt" strokecolor="#a7a9ac"/>
            <v:line style="position:absolute" from="1672,2734" to="6664,2734" stroked="true" strokeweight=".5pt" strokecolor="#a7a9ac"/>
            <v:line style="position:absolute" from="1628,114" to="1628,2742" stroked="true" strokeweight=".5pt" strokecolor="#231f20"/>
            <v:shape style="position:absolute;left:1263;top:109;width:5407;height:2639" type="#_x0000_t202" filled="false" stroked="false">
              <v:textbox inset="0,0,0,0">
                <w:txbxContent>
                  <w:p>
                    <w:pPr>
                      <w:spacing w:line="240" w:lineRule="auto" w:before="0"/>
                      <w:rPr>
                        <w:sz w:val="16"/>
                      </w:rPr>
                    </w:pPr>
                  </w:p>
                  <w:p>
                    <w:pPr>
                      <w:spacing w:line="240" w:lineRule="auto" w:before="3"/>
                      <w:rPr>
                        <w:sz w:val="20"/>
                      </w:rPr>
                    </w:pPr>
                  </w:p>
                  <w:p>
                    <w:pPr>
                      <w:tabs>
                        <w:tab w:pos="5401" w:val="left" w:leader="none"/>
                      </w:tabs>
                      <w:spacing w:before="0"/>
                      <w:ind w:left="0" w:right="0" w:firstLine="0"/>
                      <w:jc w:val="left"/>
                      <w:rPr>
                        <w:sz w:val="16"/>
                      </w:rPr>
                    </w:pPr>
                    <w:r>
                      <w:rPr>
                        <w:color w:val="231F20"/>
                        <w:sz w:val="16"/>
                      </w:rPr>
                      <w:t>16</w:t>
                    </w:r>
                    <w:r>
                      <w:rPr>
                        <w:color w:val="231F20"/>
                        <w:spacing w:val="7"/>
                        <w:sz w:val="16"/>
                      </w:rPr>
                      <w:t> </w:t>
                    </w:r>
                    <w:r>
                      <w:rPr>
                        <w:color w:val="231F20"/>
                        <w:sz w:val="16"/>
                      </w:rPr>
                      <w:t>—</w:t>
                    </w:r>
                    <w:r>
                      <w:rPr>
                        <w:color w:val="231F20"/>
                        <w:spacing w:val="1"/>
                        <w:sz w:val="16"/>
                      </w:rPr>
                      <w:t> </w:t>
                    </w:r>
                    <w:r>
                      <w:rPr>
                        <w:color w:val="231F20"/>
                        <w:w w:val="104"/>
                        <w:sz w:val="16"/>
                        <w:u w:val="single" w:color="A7A9AC"/>
                      </w:rPr>
                      <w:t> </w:t>
                    </w:r>
                    <w:r>
                      <w:rPr>
                        <w:color w:val="231F20"/>
                        <w:sz w:val="16"/>
                        <w:u w:val="single" w:color="A7A9AC"/>
                      </w:rPr>
                      <w:tab/>
                    </w:r>
                  </w:p>
                  <w:p>
                    <w:pPr>
                      <w:spacing w:line="240" w:lineRule="auto" w:before="0"/>
                      <w:rPr>
                        <w:sz w:val="16"/>
                      </w:rPr>
                    </w:pPr>
                  </w:p>
                  <w:p>
                    <w:pPr>
                      <w:spacing w:line="240" w:lineRule="auto" w:before="8"/>
                      <w:rPr>
                        <w:sz w:val="13"/>
                      </w:rPr>
                    </w:pPr>
                  </w:p>
                  <w:p>
                    <w:pPr>
                      <w:spacing w:before="0"/>
                      <w:ind w:left="0" w:right="0" w:firstLine="0"/>
                      <w:jc w:val="left"/>
                      <w:rPr>
                        <w:sz w:val="16"/>
                      </w:rPr>
                    </w:pPr>
                    <w:r>
                      <w:rPr>
                        <w:color w:val="231F20"/>
                        <w:sz w:val="16"/>
                      </w:rPr>
                      <w:t>12 —</w:t>
                    </w:r>
                  </w:p>
                  <w:p>
                    <w:pPr>
                      <w:spacing w:line="240" w:lineRule="auto" w:before="0"/>
                      <w:rPr>
                        <w:sz w:val="16"/>
                      </w:rPr>
                    </w:pPr>
                  </w:p>
                  <w:p>
                    <w:pPr>
                      <w:spacing w:line="240" w:lineRule="auto" w:before="8"/>
                      <w:rPr>
                        <w:sz w:val="13"/>
                      </w:rPr>
                    </w:pPr>
                  </w:p>
                  <w:p>
                    <w:pPr>
                      <w:spacing w:before="0"/>
                      <w:ind w:left="83" w:right="0" w:firstLine="0"/>
                      <w:jc w:val="left"/>
                      <w:rPr>
                        <w:sz w:val="16"/>
                      </w:rPr>
                    </w:pPr>
                    <w:r>
                      <w:rPr>
                        <w:color w:val="231F20"/>
                        <w:sz w:val="16"/>
                      </w:rPr>
                      <w:t>8 —</w:t>
                    </w:r>
                  </w:p>
                  <w:p>
                    <w:pPr>
                      <w:spacing w:line="240" w:lineRule="auto" w:before="0"/>
                      <w:rPr>
                        <w:sz w:val="16"/>
                      </w:rPr>
                    </w:pPr>
                  </w:p>
                  <w:p>
                    <w:pPr>
                      <w:spacing w:line="240" w:lineRule="auto" w:before="8"/>
                      <w:rPr>
                        <w:sz w:val="13"/>
                      </w:rPr>
                    </w:pPr>
                  </w:p>
                  <w:p>
                    <w:pPr>
                      <w:spacing w:before="0"/>
                      <w:ind w:left="83" w:right="0" w:firstLine="0"/>
                      <w:jc w:val="left"/>
                      <w:rPr>
                        <w:sz w:val="16"/>
                      </w:rPr>
                    </w:pPr>
                    <w:r>
                      <w:rPr>
                        <w:color w:val="231F20"/>
                        <w:sz w:val="16"/>
                      </w:rPr>
                      <w:t>4 —</w:t>
                    </w:r>
                  </w:p>
                  <w:p>
                    <w:pPr>
                      <w:spacing w:line="240" w:lineRule="auto" w:before="0"/>
                      <w:rPr>
                        <w:sz w:val="16"/>
                      </w:rPr>
                    </w:pPr>
                  </w:p>
                  <w:p>
                    <w:pPr>
                      <w:spacing w:line="240" w:lineRule="auto" w:before="8"/>
                      <w:rPr>
                        <w:sz w:val="13"/>
                      </w:rPr>
                    </w:pPr>
                  </w:p>
                  <w:p>
                    <w:pPr>
                      <w:spacing w:line="116" w:lineRule="exact" w:before="0"/>
                      <w:ind w:left="83" w:right="0" w:firstLine="0"/>
                      <w:jc w:val="left"/>
                      <w:rPr>
                        <w:sz w:val="16"/>
                      </w:rPr>
                    </w:pPr>
                    <w:r>
                      <w:rPr>
                        <w:color w:val="231F20"/>
                        <w:sz w:val="16"/>
                      </w:rPr>
                      <w:t>0 —</w:t>
                    </w:r>
                  </w:p>
                </w:txbxContent>
              </v:textbox>
              <w10:wrap type="none"/>
            </v:shape>
            <w10:wrap type="none"/>
          </v:group>
        </w:pict>
      </w:r>
      <w:r>
        <w:rPr/>
        <w:pict>
          <v:shape style="position:absolute;margin-left:53.471199pt;margin-top:50.706635pt;width:10pt;height:39.3pt;mso-position-horizontal-relative:page;mso-position-vertical-relative:paragraph;z-index:6784" type="#_x0000_t202" filled="false" stroked="false">
            <v:textbox inset="0,0,0,0" style="layout-flow:vertical;mso-layout-flow-alt:bottom-to-top">
              <w:txbxContent>
                <w:p>
                  <w:pPr>
                    <w:spacing w:line="178" w:lineRule="exact" w:before="0"/>
                    <w:ind w:left="20" w:right="-586" w:firstLine="0"/>
                    <w:jc w:val="left"/>
                    <w:rPr>
                      <w:sz w:val="16"/>
                    </w:rPr>
                  </w:pPr>
                  <w:r>
                    <w:rPr>
                      <w:color w:val="231F20"/>
                      <w:w w:val="111"/>
                      <w:sz w:val="16"/>
                    </w:rPr>
                    <w:t>porcentaje</w:t>
                  </w:r>
                </w:p>
              </w:txbxContent>
            </v:textbox>
            <w10:wrap type="none"/>
          </v:shape>
        </w:pict>
      </w:r>
      <w:r>
        <w:rPr>
          <w:color w:val="231F20"/>
          <w:sz w:val="16"/>
        </w:rPr>
        <w:t>20 —</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4"/>
        </w:rPr>
      </w:pPr>
    </w:p>
    <w:p>
      <w:pPr>
        <w:spacing w:line="283" w:lineRule="auto" w:before="67"/>
        <w:ind w:left="100" w:right="758" w:firstLine="0"/>
        <w:jc w:val="both"/>
        <w:rPr>
          <w:sz w:val="18"/>
        </w:rPr>
      </w:pPr>
      <w:r>
        <w:rPr/>
        <w:pict>
          <v:shape style="position:absolute;margin-left:77.471199pt;margin-top:-31.59067pt;width:10pt;height:28.75pt;mso-position-horizontal-relative:page;mso-position-vertical-relative:paragraph;z-index:680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1950</w:t>
                  </w:r>
                  <w:r>
                    <w:rPr>
                      <w:color w:val="231F20"/>
                      <w:spacing w:val="1"/>
                      <w:sz w:val="16"/>
                    </w:rPr>
                    <w:t> </w:t>
                  </w:r>
                  <w:r>
                    <w:rPr>
                      <w:color w:val="231F20"/>
                      <w:sz w:val="16"/>
                    </w:rPr>
                    <w:t>—</w:t>
                  </w:r>
                </w:p>
              </w:txbxContent>
            </v:textbox>
            <w10:wrap type="none"/>
          </v:shape>
        </w:pict>
      </w:r>
      <w:r>
        <w:rPr/>
        <w:pict>
          <v:shape style="position:absolute;margin-left:118.671196pt;margin-top:-31.59067pt;width:10pt;height:28.75pt;mso-position-horizontal-relative:page;mso-position-vertical-relative:paragraph;z-index:683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1960</w:t>
                  </w:r>
                  <w:r>
                    <w:rPr>
                      <w:color w:val="231F20"/>
                      <w:spacing w:val="1"/>
                      <w:sz w:val="16"/>
                    </w:rPr>
                    <w:t> </w:t>
                  </w:r>
                  <w:r>
                    <w:rPr>
                      <w:color w:val="231F20"/>
                      <w:sz w:val="16"/>
                    </w:rPr>
                    <w:t>—</w:t>
                  </w:r>
                </w:p>
              </w:txbxContent>
            </v:textbox>
            <w10:wrap type="none"/>
          </v:shape>
        </w:pict>
      </w:r>
      <w:r>
        <w:rPr/>
        <w:pict>
          <v:shape style="position:absolute;margin-left:159.871201pt;margin-top:-31.59067pt;width:10pt;height:28.75pt;mso-position-horizontal-relative:page;mso-position-vertical-relative:paragraph;z-index:6856"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1970</w:t>
                  </w:r>
                  <w:r>
                    <w:rPr>
                      <w:color w:val="231F20"/>
                      <w:spacing w:val="1"/>
                      <w:sz w:val="16"/>
                    </w:rPr>
                    <w:t> </w:t>
                  </w:r>
                  <w:r>
                    <w:rPr>
                      <w:color w:val="231F20"/>
                      <w:sz w:val="16"/>
                    </w:rPr>
                    <w:t>—</w:t>
                  </w:r>
                </w:p>
              </w:txbxContent>
            </v:textbox>
            <w10:wrap type="none"/>
          </v:shape>
        </w:pict>
      </w:r>
      <w:r>
        <w:rPr/>
        <w:pict>
          <v:shape style="position:absolute;margin-left:201.071198pt;margin-top:-31.59067pt;width:10pt;height:28.75pt;mso-position-horizontal-relative:page;mso-position-vertical-relative:paragraph;z-index:6880"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1980</w:t>
                  </w:r>
                  <w:r>
                    <w:rPr>
                      <w:color w:val="231F20"/>
                      <w:spacing w:val="1"/>
                      <w:sz w:val="16"/>
                    </w:rPr>
                    <w:t> </w:t>
                  </w:r>
                  <w:r>
                    <w:rPr>
                      <w:color w:val="231F20"/>
                      <w:sz w:val="16"/>
                    </w:rPr>
                    <w:t>—</w:t>
                  </w:r>
                </w:p>
              </w:txbxContent>
            </v:textbox>
            <w10:wrap type="none"/>
          </v:shape>
        </w:pict>
      </w:r>
      <w:r>
        <w:rPr/>
        <w:pict>
          <v:shape style="position:absolute;margin-left:242.271194pt;margin-top:-31.59067pt;width:10pt;height:28.75pt;mso-position-horizontal-relative:page;mso-position-vertical-relative:paragraph;z-index:6904"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1990</w:t>
                  </w:r>
                  <w:r>
                    <w:rPr>
                      <w:color w:val="231F20"/>
                      <w:spacing w:val="1"/>
                      <w:sz w:val="16"/>
                    </w:rPr>
                    <w:t> </w:t>
                  </w:r>
                  <w:r>
                    <w:rPr>
                      <w:color w:val="231F20"/>
                      <w:sz w:val="16"/>
                    </w:rPr>
                    <w:t>—</w:t>
                  </w:r>
                </w:p>
              </w:txbxContent>
            </v:textbox>
            <w10:wrap type="none"/>
          </v:shape>
        </w:pict>
      </w:r>
      <w:r>
        <w:rPr/>
        <w:pict>
          <v:shape style="position:absolute;margin-left:283.471191pt;margin-top:-31.59067pt;width:10pt;height:28.75pt;mso-position-horizontal-relative:page;mso-position-vertical-relative:paragraph;z-index:6928"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2000</w:t>
                  </w:r>
                  <w:r>
                    <w:rPr>
                      <w:color w:val="231F20"/>
                      <w:spacing w:val="1"/>
                      <w:sz w:val="16"/>
                    </w:rPr>
                    <w:t> </w:t>
                  </w:r>
                  <w:r>
                    <w:rPr>
                      <w:color w:val="231F20"/>
                      <w:sz w:val="16"/>
                    </w:rPr>
                    <w:t>—</w:t>
                  </w:r>
                </w:p>
              </w:txbxContent>
            </v:textbox>
            <w10:wrap type="none"/>
          </v:shape>
        </w:pict>
      </w:r>
      <w:r>
        <w:rPr/>
        <w:pict>
          <v:shape style="position:absolute;margin-left:324.671204pt;margin-top:-31.59067pt;width:10pt;height:28.75pt;mso-position-horizontal-relative:page;mso-position-vertical-relative:paragraph;z-index:6952" type="#_x0000_t202" filled="false" stroked="false">
            <v:textbox inset="0,0,0,0" style="layout-flow:vertical;mso-layout-flow-alt:bottom-to-top">
              <w:txbxContent>
                <w:p>
                  <w:pPr>
                    <w:spacing w:line="178" w:lineRule="exact" w:before="0"/>
                    <w:ind w:left="20" w:right="-173" w:firstLine="0"/>
                    <w:jc w:val="left"/>
                    <w:rPr>
                      <w:sz w:val="16"/>
                    </w:rPr>
                  </w:pPr>
                  <w:r>
                    <w:rPr>
                      <w:color w:val="231F20"/>
                      <w:w w:val="104"/>
                      <w:sz w:val="16"/>
                    </w:rPr>
                    <w:t>2010</w:t>
                  </w:r>
                  <w:r>
                    <w:rPr>
                      <w:color w:val="231F20"/>
                      <w:spacing w:val="1"/>
                      <w:sz w:val="16"/>
                    </w:rPr>
                    <w:t> </w:t>
                  </w:r>
                  <w:r>
                    <w:rPr>
                      <w:color w:val="231F20"/>
                      <w:sz w:val="16"/>
                    </w:rPr>
                    <w:t>—</w:t>
                  </w:r>
                </w:p>
              </w:txbxContent>
            </v:textbox>
            <w10:wrap type="none"/>
          </v:shape>
        </w:pict>
      </w:r>
      <w:r>
        <w:rPr>
          <w:rFonts w:ascii="Calibri" w:hAnsi="Calibri"/>
          <w:color w:val="231F20"/>
          <w:w w:val="115"/>
          <w:sz w:val="18"/>
        </w:rPr>
        <w:t>nota:</w:t>
      </w:r>
      <w:r>
        <w:rPr>
          <w:rFonts w:ascii="Calibri" w:hAnsi="Calibri"/>
          <w:color w:val="231F20"/>
          <w:spacing w:val="-9"/>
          <w:w w:val="115"/>
          <w:sz w:val="18"/>
        </w:rPr>
        <w:t> </w:t>
      </w:r>
      <w:r>
        <w:rPr>
          <w:color w:val="231F20"/>
          <w:w w:val="115"/>
          <w:sz w:val="18"/>
        </w:rPr>
        <w:t>La</w:t>
      </w:r>
      <w:r>
        <w:rPr>
          <w:color w:val="231F20"/>
          <w:spacing w:val="-13"/>
          <w:w w:val="115"/>
          <w:sz w:val="18"/>
        </w:rPr>
        <w:t> </w:t>
      </w:r>
      <w:r>
        <w:rPr>
          <w:color w:val="231F20"/>
          <w:w w:val="115"/>
          <w:sz w:val="18"/>
        </w:rPr>
        <w:t>tasa</w:t>
      </w:r>
      <w:r>
        <w:rPr>
          <w:color w:val="231F20"/>
          <w:spacing w:val="-13"/>
          <w:w w:val="115"/>
          <w:sz w:val="18"/>
        </w:rPr>
        <w:t> </w:t>
      </w:r>
      <w:r>
        <w:rPr>
          <w:color w:val="231F20"/>
          <w:w w:val="115"/>
          <w:sz w:val="18"/>
        </w:rPr>
        <w:t>de</w:t>
      </w:r>
      <w:r>
        <w:rPr>
          <w:color w:val="231F20"/>
          <w:spacing w:val="-13"/>
          <w:w w:val="115"/>
          <w:sz w:val="18"/>
        </w:rPr>
        <w:t> </w:t>
      </w:r>
      <w:r>
        <w:rPr>
          <w:color w:val="231F20"/>
          <w:w w:val="115"/>
          <w:sz w:val="18"/>
        </w:rPr>
        <w:t>capitalización</w:t>
      </w:r>
      <w:r>
        <w:rPr>
          <w:color w:val="231F20"/>
          <w:spacing w:val="-13"/>
          <w:w w:val="115"/>
          <w:sz w:val="18"/>
        </w:rPr>
        <w:t> </w:t>
      </w:r>
      <w:r>
        <w:rPr>
          <w:color w:val="231F20"/>
          <w:w w:val="115"/>
          <w:sz w:val="18"/>
        </w:rPr>
        <w:t>externa</w:t>
      </w:r>
      <w:r>
        <w:rPr>
          <w:color w:val="231F20"/>
          <w:spacing w:val="-13"/>
          <w:w w:val="115"/>
          <w:sz w:val="18"/>
        </w:rPr>
        <w:t> </w:t>
      </w:r>
      <w:r>
        <w:rPr>
          <w:color w:val="231F20"/>
          <w:w w:val="115"/>
          <w:sz w:val="18"/>
        </w:rPr>
        <w:t>(tce)</w:t>
      </w:r>
      <w:r>
        <w:rPr>
          <w:color w:val="231F20"/>
          <w:spacing w:val="-13"/>
          <w:w w:val="115"/>
          <w:sz w:val="18"/>
        </w:rPr>
        <w:t> </w:t>
      </w:r>
      <w:r>
        <w:rPr>
          <w:color w:val="231F20"/>
          <w:w w:val="115"/>
          <w:sz w:val="18"/>
        </w:rPr>
        <w:t>está</w:t>
      </w:r>
      <w:r>
        <w:rPr>
          <w:color w:val="231F20"/>
          <w:spacing w:val="-13"/>
          <w:w w:val="115"/>
          <w:sz w:val="18"/>
        </w:rPr>
        <w:t> </w:t>
      </w:r>
      <w:r>
        <w:rPr>
          <w:color w:val="231F20"/>
          <w:w w:val="115"/>
          <w:sz w:val="18"/>
        </w:rPr>
        <w:t>dada</w:t>
      </w:r>
      <w:r>
        <w:rPr>
          <w:color w:val="231F20"/>
          <w:spacing w:val="-13"/>
          <w:w w:val="115"/>
          <w:sz w:val="18"/>
        </w:rPr>
        <w:t> </w:t>
      </w:r>
      <w:r>
        <w:rPr>
          <w:color w:val="231F20"/>
          <w:w w:val="115"/>
          <w:sz w:val="18"/>
        </w:rPr>
        <w:t>por</w:t>
      </w:r>
      <w:r>
        <w:rPr>
          <w:color w:val="231F20"/>
          <w:spacing w:val="-13"/>
          <w:w w:val="115"/>
          <w:sz w:val="18"/>
        </w:rPr>
        <w:t> </w:t>
      </w:r>
      <w:r>
        <w:rPr>
          <w:color w:val="231F20"/>
          <w:w w:val="115"/>
          <w:sz w:val="18"/>
        </w:rPr>
        <w:t>la</w:t>
      </w:r>
      <w:r>
        <w:rPr>
          <w:color w:val="231F20"/>
          <w:spacing w:val="-13"/>
          <w:w w:val="115"/>
          <w:sz w:val="18"/>
        </w:rPr>
        <w:t> </w:t>
      </w:r>
      <w:r>
        <w:rPr>
          <w:color w:val="231F20"/>
          <w:w w:val="115"/>
          <w:sz w:val="18"/>
        </w:rPr>
        <w:t>relación</w:t>
      </w:r>
      <w:r>
        <w:rPr>
          <w:color w:val="231F20"/>
          <w:spacing w:val="-13"/>
          <w:w w:val="115"/>
          <w:sz w:val="18"/>
        </w:rPr>
        <w:t> </w:t>
      </w:r>
      <w:r>
        <w:rPr>
          <w:color w:val="231F20"/>
          <w:w w:val="115"/>
          <w:sz w:val="18"/>
        </w:rPr>
        <w:t>entre el</w:t>
      </w:r>
      <w:r>
        <w:rPr>
          <w:color w:val="231F20"/>
          <w:spacing w:val="-6"/>
          <w:w w:val="115"/>
          <w:sz w:val="18"/>
        </w:rPr>
        <w:t> </w:t>
      </w:r>
      <w:r>
        <w:rPr>
          <w:color w:val="231F20"/>
          <w:w w:val="115"/>
          <w:sz w:val="18"/>
        </w:rPr>
        <w:t>monto</w:t>
      </w:r>
      <w:r>
        <w:rPr>
          <w:color w:val="231F20"/>
          <w:spacing w:val="-6"/>
          <w:w w:val="115"/>
          <w:sz w:val="18"/>
        </w:rPr>
        <w:t> </w:t>
      </w:r>
      <w:r>
        <w:rPr>
          <w:color w:val="231F20"/>
          <w:w w:val="115"/>
          <w:sz w:val="18"/>
        </w:rPr>
        <w:t>de</w:t>
      </w:r>
      <w:r>
        <w:rPr>
          <w:color w:val="231F20"/>
          <w:spacing w:val="-6"/>
          <w:w w:val="115"/>
          <w:sz w:val="18"/>
        </w:rPr>
        <w:t> </w:t>
      </w:r>
      <w:r>
        <w:rPr>
          <w:color w:val="231F20"/>
          <w:w w:val="115"/>
          <w:sz w:val="18"/>
        </w:rPr>
        <w:t>capital</w:t>
      </w:r>
      <w:r>
        <w:rPr>
          <w:color w:val="231F20"/>
          <w:spacing w:val="-6"/>
          <w:w w:val="115"/>
          <w:sz w:val="18"/>
        </w:rPr>
        <w:t> </w:t>
      </w:r>
      <w:r>
        <w:rPr>
          <w:color w:val="231F20"/>
          <w:w w:val="115"/>
          <w:sz w:val="18"/>
        </w:rPr>
        <w:t>derivado</w:t>
      </w:r>
      <w:r>
        <w:rPr>
          <w:color w:val="231F20"/>
          <w:spacing w:val="-6"/>
          <w:w w:val="115"/>
          <w:sz w:val="18"/>
        </w:rPr>
        <w:t> </w:t>
      </w:r>
      <w:r>
        <w:rPr>
          <w:color w:val="231F20"/>
          <w:w w:val="115"/>
          <w:sz w:val="18"/>
        </w:rPr>
        <w:t>de</w:t>
      </w:r>
      <w:r>
        <w:rPr>
          <w:color w:val="231F20"/>
          <w:spacing w:val="-6"/>
          <w:w w:val="115"/>
          <w:sz w:val="18"/>
        </w:rPr>
        <w:t> </w:t>
      </w:r>
      <w:r>
        <w:rPr>
          <w:color w:val="231F20"/>
          <w:w w:val="115"/>
          <w:sz w:val="18"/>
        </w:rPr>
        <w:t>las</w:t>
      </w:r>
      <w:r>
        <w:rPr>
          <w:color w:val="231F20"/>
          <w:spacing w:val="-6"/>
          <w:w w:val="115"/>
          <w:sz w:val="18"/>
        </w:rPr>
        <w:t> </w:t>
      </w:r>
      <w:r>
        <w:rPr>
          <w:color w:val="231F20"/>
          <w:w w:val="115"/>
          <w:sz w:val="18"/>
        </w:rPr>
        <w:t>transacciones</w:t>
      </w:r>
      <w:r>
        <w:rPr>
          <w:color w:val="231F20"/>
          <w:spacing w:val="-6"/>
          <w:w w:val="115"/>
          <w:sz w:val="18"/>
        </w:rPr>
        <w:t> </w:t>
      </w:r>
      <w:r>
        <w:rPr>
          <w:color w:val="231F20"/>
          <w:w w:val="115"/>
          <w:sz w:val="18"/>
        </w:rPr>
        <w:t>foráneas</w:t>
      </w:r>
      <w:r>
        <w:rPr>
          <w:color w:val="231F20"/>
          <w:spacing w:val="-6"/>
          <w:w w:val="115"/>
          <w:sz w:val="18"/>
        </w:rPr>
        <w:t> </w:t>
      </w:r>
      <w:r>
        <w:rPr>
          <w:color w:val="231F20"/>
          <w:w w:val="115"/>
          <w:sz w:val="18"/>
        </w:rPr>
        <w:t>(cf)</w:t>
      </w:r>
      <w:r>
        <w:rPr>
          <w:color w:val="231F20"/>
          <w:spacing w:val="-6"/>
          <w:w w:val="115"/>
          <w:sz w:val="18"/>
        </w:rPr>
        <w:t> </w:t>
      </w:r>
      <w:r>
        <w:rPr>
          <w:color w:val="231F20"/>
          <w:w w:val="105"/>
          <w:sz w:val="18"/>
        </w:rPr>
        <w:t>y</w:t>
      </w:r>
      <w:r>
        <w:rPr>
          <w:color w:val="231F20"/>
          <w:spacing w:val="-1"/>
          <w:w w:val="105"/>
          <w:sz w:val="18"/>
        </w:rPr>
        <w:t> </w:t>
      </w:r>
      <w:r>
        <w:rPr>
          <w:color w:val="231F20"/>
          <w:w w:val="115"/>
          <w:sz w:val="18"/>
        </w:rPr>
        <w:t>el</w:t>
      </w:r>
      <w:r>
        <w:rPr>
          <w:color w:val="231F20"/>
          <w:spacing w:val="-6"/>
          <w:w w:val="115"/>
          <w:sz w:val="18"/>
        </w:rPr>
        <w:t> </w:t>
      </w:r>
      <w:r>
        <w:rPr>
          <w:color w:val="231F20"/>
          <w:w w:val="115"/>
          <w:sz w:val="18"/>
        </w:rPr>
        <w:t>pib</w:t>
      </w:r>
      <w:r>
        <w:rPr>
          <w:color w:val="231F20"/>
          <w:spacing w:val="-6"/>
          <w:w w:val="115"/>
          <w:sz w:val="18"/>
        </w:rPr>
        <w:t> </w:t>
      </w:r>
      <w:r>
        <w:rPr>
          <w:color w:val="231F20"/>
          <w:w w:val="115"/>
          <w:sz w:val="18"/>
        </w:rPr>
        <w:t>en el año considerado, o sea: tce = (c f </w:t>
      </w:r>
      <w:r>
        <w:rPr>
          <w:color w:val="231F20"/>
          <w:w w:val="180"/>
          <w:sz w:val="18"/>
        </w:rPr>
        <w:t>/</w:t>
      </w:r>
      <w:r>
        <w:rPr>
          <w:color w:val="231F20"/>
          <w:spacing w:val="-40"/>
          <w:w w:val="180"/>
          <w:sz w:val="18"/>
        </w:rPr>
        <w:t> </w:t>
      </w:r>
      <w:r>
        <w:rPr>
          <w:color w:val="231F20"/>
          <w:w w:val="115"/>
          <w:sz w:val="18"/>
        </w:rPr>
        <w:t>pib)*100.</w:t>
      </w:r>
    </w:p>
    <w:p>
      <w:pPr>
        <w:spacing w:before="3"/>
        <w:ind w:left="100" w:right="0" w:firstLine="0"/>
        <w:jc w:val="both"/>
        <w:rPr>
          <w:sz w:val="18"/>
        </w:rPr>
      </w:pPr>
      <w:r>
        <w:rPr>
          <w:rFonts w:ascii="Calibri"/>
          <w:color w:val="231F20"/>
          <w:w w:val="110"/>
          <w:sz w:val="18"/>
        </w:rPr>
        <w:t>fuente: </w:t>
      </w:r>
      <w:r>
        <w:rPr>
          <w:color w:val="231F20"/>
          <w:w w:val="110"/>
          <w:sz w:val="18"/>
        </w:rPr>
        <w:t>US Department of Commerce, Bureau of Economic Analysis, 2012</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7"/>
        </w:rPr>
      </w:pPr>
    </w:p>
    <w:p>
      <w:pPr>
        <w:pStyle w:val="BodyText"/>
        <w:spacing w:line="261" w:lineRule="auto"/>
        <w:ind w:left="100" w:right="622"/>
      </w:pPr>
      <w:r>
        <w:rPr>
          <w:color w:val="231F20"/>
          <w:w w:val="130"/>
        </w:rPr>
        <w:t>la dinámica del mercado de trabajo, la nueva precariedad laboral y la estructura de desigualdad salarial. el impacto de la crisis económica</w:t>
      </w:r>
    </w:p>
    <w:p>
      <w:pPr>
        <w:pStyle w:val="BodyText"/>
        <w:spacing w:before="8"/>
        <w:rPr>
          <w:sz w:val="21"/>
        </w:rPr>
      </w:pPr>
    </w:p>
    <w:p>
      <w:pPr>
        <w:pStyle w:val="BodyText"/>
        <w:spacing w:line="261" w:lineRule="auto"/>
        <w:ind w:left="100" w:right="757"/>
        <w:jc w:val="both"/>
      </w:pPr>
      <w:r>
        <w:rPr>
          <w:color w:val="231F20"/>
          <w:w w:val="110"/>
        </w:rPr>
        <w:t>Al igual que en otros países desarrollados y no desarrollados, en Estados Unidos el incremento del trabajo informal y el precario, realizados en condiciones desfavorables de calidad de los puestos, desprovistos</w:t>
      </w:r>
      <w:r>
        <w:rPr>
          <w:color w:val="231F20"/>
          <w:spacing w:val="-30"/>
          <w:w w:val="110"/>
        </w:rPr>
        <w:t> </w:t>
      </w:r>
      <w:r>
        <w:rPr>
          <w:color w:val="231F20"/>
          <w:w w:val="110"/>
        </w:rPr>
        <w:t>de</w:t>
      </w:r>
      <w:r>
        <w:rPr>
          <w:color w:val="231F20"/>
          <w:spacing w:val="-30"/>
          <w:w w:val="110"/>
        </w:rPr>
        <w:t> </w:t>
      </w:r>
      <w:r>
        <w:rPr>
          <w:color w:val="231F20"/>
          <w:w w:val="110"/>
        </w:rPr>
        <w:t>prestaciones</w:t>
      </w:r>
      <w:r>
        <w:rPr>
          <w:color w:val="231F20"/>
          <w:spacing w:val="-30"/>
          <w:w w:val="110"/>
        </w:rPr>
        <w:t> </w:t>
      </w:r>
      <w:r>
        <w:rPr>
          <w:color w:val="231F20"/>
          <w:w w:val="110"/>
        </w:rPr>
        <w:t>laborales</w:t>
      </w:r>
      <w:r>
        <w:rPr>
          <w:color w:val="231F20"/>
          <w:spacing w:val="-30"/>
          <w:w w:val="110"/>
        </w:rPr>
        <w:t> </w:t>
      </w:r>
      <w:r>
        <w:rPr>
          <w:color w:val="231F20"/>
          <w:w w:val="110"/>
        </w:rPr>
        <w:t>y</w:t>
      </w:r>
      <w:r>
        <w:rPr>
          <w:color w:val="231F20"/>
          <w:spacing w:val="-30"/>
          <w:w w:val="110"/>
        </w:rPr>
        <w:t> </w:t>
      </w:r>
      <w:r>
        <w:rPr>
          <w:color w:val="231F20"/>
          <w:w w:val="110"/>
        </w:rPr>
        <w:t>seguridad</w:t>
      </w:r>
      <w:r>
        <w:rPr>
          <w:color w:val="231F20"/>
          <w:spacing w:val="-30"/>
          <w:w w:val="110"/>
        </w:rPr>
        <w:t> </w:t>
      </w:r>
      <w:r>
        <w:rPr>
          <w:color w:val="231F20"/>
          <w:w w:val="110"/>
        </w:rPr>
        <w:t>social,</w:t>
      </w:r>
      <w:r>
        <w:rPr>
          <w:color w:val="231F20"/>
          <w:spacing w:val="-30"/>
          <w:w w:val="110"/>
        </w:rPr>
        <w:t> </w:t>
      </w:r>
      <w:r>
        <w:rPr>
          <w:color w:val="231F20"/>
          <w:w w:val="110"/>
        </w:rPr>
        <w:t>generalmen- te con bajos ingresos, con la adopción del modelo laboral neoliberal y las contradicciones profundizadas con la crisis económica, es no- table. No obstante, el </w:t>
      </w:r>
      <w:r>
        <w:rPr>
          <w:color w:val="231F20"/>
          <w:spacing w:val="-3"/>
          <w:w w:val="110"/>
        </w:rPr>
        <w:t>incremento </w:t>
      </w:r>
      <w:r>
        <w:rPr>
          <w:color w:val="231F20"/>
          <w:w w:val="110"/>
        </w:rPr>
        <w:t>del </w:t>
      </w:r>
      <w:r>
        <w:rPr>
          <w:color w:val="231F20"/>
          <w:spacing w:val="-3"/>
          <w:w w:val="110"/>
        </w:rPr>
        <w:t>desempleo </w:t>
      </w:r>
      <w:r>
        <w:rPr>
          <w:color w:val="231F20"/>
          <w:w w:val="110"/>
        </w:rPr>
        <w:t>y la </w:t>
      </w:r>
      <w:r>
        <w:rPr>
          <w:color w:val="231F20"/>
          <w:spacing w:val="-3"/>
          <w:w w:val="110"/>
        </w:rPr>
        <w:t>precariedad del trabajo </w:t>
      </w:r>
      <w:r>
        <w:rPr>
          <w:color w:val="231F20"/>
          <w:w w:val="110"/>
        </w:rPr>
        <w:t>no </w:t>
      </w:r>
      <w:r>
        <w:rPr>
          <w:color w:val="231F20"/>
          <w:spacing w:val="-3"/>
          <w:w w:val="110"/>
        </w:rPr>
        <w:t>necesariamente coinciden. </w:t>
      </w:r>
      <w:r>
        <w:rPr>
          <w:color w:val="231F20"/>
          <w:w w:val="110"/>
        </w:rPr>
        <w:t>En </w:t>
      </w:r>
      <w:r>
        <w:rPr>
          <w:color w:val="231F20"/>
          <w:spacing w:val="-5"/>
          <w:w w:val="110"/>
        </w:rPr>
        <w:t>particular, </w:t>
      </w:r>
      <w:r>
        <w:rPr>
          <w:color w:val="231F20"/>
          <w:w w:val="110"/>
        </w:rPr>
        <w:t>en </w:t>
      </w:r>
      <w:r>
        <w:rPr>
          <w:color w:val="231F20"/>
          <w:spacing w:val="-3"/>
          <w:w w:val="110"/>
        </w:rPr>
        <w:t>coyunturas de crisis</w:t>
      </w:r>
      <w:r>
        <w:rPr>
          <w:color w:val="231F20"/>
          <w:spacing w:val="-13"/>
          <w:w w:val="110"/>
        </w:rPr>
        <w:t> </w:t>
      </w:r>
      <w:r>
        <w:rPr>
          <w:color w:val="231F20"/>
          <w:spacing w:val="-3"/>
          <w:w w:val="110"/>
        </w:rPr>
        <w:t>económica</w:t>
      </w:r>
      <w:r>
        <w:rPr>
          <w:color w:val="231F20"/>
          <w:spacing w:val="-13"/>
          <w:w w:val="110"/>
        </w:rPr>
        <w:t> </w:t>
      </w:r>
      <w:r>
        <w:rPr>
          <w:color w:val="231F20"/>
          <w:w w:val="110"/>
        </w:rPr>
        <w:t>y</w:t>
      </w:r>
      <w:r>
        <w:rPr>
          <w:color w:val="231F20"/>
          <w:spacing w:val="-13"/>
          <w:w w:val="110"/>
        </w:rPr>
        <w:t> </w:t>
      </w:r>
      <w:r>
        <w:rPr>
          <w:color w:val="231F20"/>
          <w:spacing w:val="-3"/>
          <w:w w:val="110"/>
        </w:rPr>
        <w:t>existencia</w:t>
      </w:r>
      <w:r>
        <w:rPr>
          <w:color w:val="231F20"/>
          <w:spacing w:val="-13"/>
          <w:w w:val="110"/>
        </w:rPr>
        <w:t> </w:t>
      </w:r>
      <w:r>
        <w:rPr>
          <w:color w:val="231F20"/>
          <w:w w:val="110"/>
        </w:rPr>
        <w:t>de</w:t>
      </w:r>
      <w:r>
        <w:rPr>
          <w:color w:val="231F20"/>
          <w:spacing w:val="-13"/>
          <w:w w:val="110"/>
        </w:rPr>
        <w:t> </w:t>
      </w:r>
      <w:r>
        <w:rPr>
          <w:color w:val="231F20"/>
          <w:spacing w:val="-3"/>
          <w:w w:val="110"/>
        </w:rPr>
        <w:t>seguro</w:t>
      </w:r>
      <w:r>
        <w:rPr>
          <w:color w:val="231F20"/>
          <w:spacing w:val="-13"/>
          <w:w w:val="110"/>
        </w:rPr>
        <w:t> </w:t>
      </w:r>
      <w:r>
        <w:rPr>
          <w:color w:val="231F20"/>
          <w:w w:val="110"/>
        </w:rPr>
        <w:t>de</w:t>
      </w:r>
      <w:r>
        <w:rPr>
          <w:color w:val="231F20"/>
          <w:spacing w:val="-13"/>
          <w:w w:val="110"/>
        </w:rPr>
        <w:t> </w:t>
      </w:r>
      <w:r>
        <w:rPr>
          <w:color w:val="231F20"/>
          <w:spacing w:val="-3"/>
          <w:w w:val="110"/>
        </w:rPr>
        <w:t>desempleo,</w:t>
      </w:r>
      <w:r>
        <w:rPr>
          <w:color w:val="231F20"/>
          <w:spacing w:val="-13"/>
          <w:w w:val="110"/>
        </w:rPr>
        <w:t> </w:t>
      </w:r>
      <w:r>
        <w:rPr>
          <w:color w:val="231F20"/>
          <w:w w:val="110"/>
        </w:rPr>
        <w:t>la</w:t>
      </w:r>
      <w:r>
        <w:rPr>
          <w:color w:val="231F20"/>
          <w:spacing w:val="-13"/>
          <w:w w:val="110"/>
        </w:rPr>
        <w:t> </w:t>
      </w:r>
      <w:r>
        <w:rPr>
          <w:color w:val="231F20"/>
          <w:spacing w:val="-3"/>
          <w:w w:val="110"/>
        </w:rPr>
        <w:t>precarización podría incluso contenerse, </w:t>
      </w:r>
      <w:r>
        <w:rPr>
          <w:color w:val="231F20"/>
          <w:w w:val="110"/>
        </w:rPr>
        <w:t>al </w:t>
      </w:r>
      <w:r>
        <w:rPr>
          <w:color w:val="231F20"/>
          <w:spacing w:val="-3"/>
          <w:w w:val="110"/>
        </w:rPr>
        <w:t>contraerse </w:t>
      </w:r>
      <w:r>
        <w:rPr>
          <w:color w:val="231F20"/>
          <w:w w:val="110"/>
        </w:rPr>
        <w:t>la </w:t>
      </w:r>
      <w:r>
        <w:rPr>
          <w:color w:val="231F20"/>
          <w:spacing w:val="-3"/>
          <w:w w:val="110"/>
        </w:rPr>
        <w:t>dinámica productiva </w:t>
      </w:r>
      <w:r>
        <w:rPr>
          <w:color w:val="231F20"/>
          <w:w w:val="110"/>
        </w:rPr>
        <w:t>y en- </w:t>
      </w:r>
      <w:r>
        <w:rPr>
          <w:color w:val="231F20"/>
          <w:spacing w:val="-3"/>
          <w:w w:val="110"/>
        </w:rPr>
        <w:t>trar </w:t>
      </w:r>
      <w:r>
        <w:rPr>
          <w:color w:val="231F20"/>
          <w:w w:val="110"/>
        </w:rPr>
        <w:t>en </w:t>
      </w:r>
      <w:r>
        <w:rPr>
          <w:color w:val="231F20"/>
          <w:spacing w:val="-3"/>
          <w:w w:val="110"/>
        </w:rPr>
        <w:t>acción </w:t>
      </w:r>
      <w:r>
        <w:rPr>
          <w:color w:val="231F20"/>
          <w:w w:val="110"/>
        </w:rPr>
        <w:t>los </w:t>
      </w:r>
      <w:r>
        <w:rPr>
          <w:color w:val="231F20"/>
          <w:spacing w:val="-3"/>
          <w:w w:val="110"/>
        </w:rPr>
        <w:t>mecanismos </w:t>
      </w:r>
      <w:r>
        <w:rPr>
          <w:color w:val="231F20"/>
          <w:w w:val="110"/>
        </w:rPr>
        <w:t>de </w:t>
      </w:r>
      <w:r>
        <w:rPr>
          <w:color w:val="231F20"/>
          <w:spacing w:val="-3"/>
          <w:w w:val="110"/>
        </w:rPr>
        <w:t>flexibilización, </w:t>
      </w:r>
      <w:r>
        <w:rPr>
          <w:color w:val="231F20"/>
          <w:w w:val="110"/>
        </w:rPr>
        <w:t>con el </w:t>
      </w:r>
      <w:r>
        <w:rPr>
          <w:color w:val="231F20"/>
          <w:spacing w:val="19"/>
          <w:w w:val="110"/>
        </w:rPr>
        <w:t> </w:t>
      </w:r>
      <w:r>
        <w:rPr>
          <w:color w:val="231F20"/>
          <w:spacing w:val="-3"/>
          <w:w w:val="110"/>
        </w:rPr>
        <w:t>consiguiente</w:t>
      </w:r>
    </w:p>
    <w:p>
      <w:pPr>
        <w:spacing w:after="0" w:line="261" w:lineRule="auto"/>
        <w:jc w:val="both"/>
        <w:sectPr>
          <w:pgSz w:w="7640" w:h="11900"/>
          <w:pgMar w:header="672" w:footer="0" w:top="860" w:bottom="280" w:left="780" w:right="0"/>
        </w:sectPr>
      </w:pPr>
    </w:p>
    <w:p>
      <w:pPr>
        <w:pStyle w:val="BodyText"/>
        <w:spacing w:before="8"/>
        <w:rPr>
          <w:sz w:val="8"/>
        </w:rPr>
      </w:pPr>
    </w:p>
    <w:p>
      <w:pPr>
        <w:pStyle w:val="BodyText"/>
        <w:spacing w:line="261" w:lineRule="auto" w:before="67"/>
        <w:ind w:left="100" w:right="117"/>
        <w:jc w:val="both"/>
        <w:rPr>
          <w:sz w:val="13"/>
        </w:rPr>
      </w:pPr>
      <w:r>
        <w:rPr>
          <w:color w:val="231F20"/>
          <w:w w:val="105"/>
        </w:rPr>
        <w:t>incremento del desempleo. La informalidad, asociada al trabajo in- dependiente, y la precariedad laboral, determinada por la desregula- ción y flexibilización del trabajo asalariado privado, son crecientes en Estados Unidos, aunque en cierto modo, prevalece la precarización vinculada a la pérdida de calidad de los puestos de trabajo.</w:t>
      </w:r>
      <w:r>
        <w:rPr>
          <w:color w:val="231F20"/>
          <w:w w:val="105"/>
          <w:position w:val="6"/>
          <w:sz w:val="13"/>
        </w:rPr>
        <w:t>9</w:t>
      </w:r>
    </w:p>
    <w:p>
      <w:pPr>
        <w:pStyle w:val="BodyText"/>
        <w:ind w:left="340" w:right="25"/>
      </w:pPr>
      <w:r>
        <w:rPr>
          <w:color w:val="231F20"/>
          <w:w w:val="110"/>
        </w:rPr>
        <w:t>En Estados Unidos:</w:t>
      </w:r>
    </w:p>
    <w:p>
      <w:pPr>
        <w:pStyle w:val="BodyText"/>
        <w:spacing w:before="1"/>
        <w:rPr>
          <w:sz w:val="25"/>
        </w:rPr>
      </w:pPr>
    </w:p>
    <w:p>
      <w:pPr>
        <w:spacing w:line="290" w:lineRule="auto" w:before="0"/>
        <w:ind w:left="100" w:right="117" w:firstLine="0"/>
        <w:jc w:val="both"/>
        <w:rPr>
          <w:sz w:val="18"/>
        </w:rPr>
      </w:pPr>
      <w:r>
        <w:rPr>
          <w:color w:val="231F20"/>
          <w:w w:val="110"/>
          <w:sz w:val="18"/>
        </w:rPr>
        <w:t>A</w:t>
      </w:r>
      <w:r>
        <w:rPr>
          <w:color w:val="231F20"/>
          <w:spacing w:val="-3"/>
          <w:w w:val="110"/>
          <w:sz w:val="18"/>
        </w:rPr>
        <w:t> </w:t>
      </w:r>
      <w:r>
        <w:rPr>
          <w:color w:val="231F20"/>
          <w:w w:val="110"/>
          <w:sz w:val="18"/>
        </w:rPr>
        <w:t>partir</w:t>
      </w:r>
      <w:r>
        <w:rPr>
          <w:color w:val="231F20"/>
          <w:spacing w:val="-3"/>
          <w:w w:val="110"/>
          <w:sz w:val="18"/>
        </w:rPr>
        <w:t> </w:t>
      </w:r>
      <w:r>
        <w:rPr>
          <w:color w:val="231F20"/>
          <w:w w:val="110"/>
          <w:sz w:val="18"/>
        </w:rPr>
        <w:t>dos</w:t>
      </w:r>
      <w:r>
        <w:rPr>
          <w:color w:val="231F20"/>
          <w:spacing w:val="-3"/>
          <w:w w:val="110"/>
          <w:sz w:val="18"/>
        </w:rPr>
        <w:t> </w:t>
      </w:r>
      <w:r>
        <w:rPr>
          <w:color w:val="231F20"/>
          <w:w w:val="110"/>
          <w:sz w:val="18"/>
        </w:rPr>
        <w:t>anos</w:t>
      </w:r>
      <w:r>
        <w:rPr>
          <w:color w:val="231F20"/>
          <w:spacing w:val="-3"/>
          <w:w w:val="110"/>
          <w:sz w:val="18"/>
        </w:rPr>
        <w:t> </w:t>
      </w:r>
      <w:r>
        <w:rPr>
          <w:color w:val="231F20"/>
          <w:w w:val="110"/>
          <w:sz w:val="18"/>
        </w:rPr>
        <w:t>1970,</w:t>
      </w:r>
      <w:r>
        <w:rPr>
          <w:color w:val="231F20"/>
          <w:spacing w:val="-3"/>
          <w:w w:val="110"/>
          <w:sz w:val="18"/>
        </w:rPr>
        <w:t> </w:t>
      </w:r>
      <w:r>
        <w:rPr>
          <w:color w:val="231F20"/>
          <w:w w:val="110"/>
          <w:sz w:val="18"/>
        </w:rPr>
        <w:t>assiste-se</w:t>
      </w:r>
      <w:r>
        <w:rPr>
          <w:color w:val="231F20"/>
          <w:spacing w:val="-3"/>
          <w:w w:val="110"/>
          <w:sz w:val="18"/>
        </w:rPr>
        <w:t> </w:t>
      </w:r>
      <w:r>
        <w:rPr>
          <w:color w:val="231F20"/>
          <w:w w:val="110"/>
          <w:sz w:val="18"/>
        </w:rPr>
        <w:t>ao</w:t>
      </w:r>
      <w:r>
        <w:rPr>
          <w:color w:val="231F20"/>
          <w:spacing w:val="-3"/>
          <w:w w:val="110"/>
          <w:sz w:val="18"/>
        </w:rPr>
        <w:t> </w:t>
      </w:r>
      <w:r>
        <w:rPr>
          <w:color w:val="231F20"/>
          <w:w w:val="110"/>
          <w:sz w:val="18"/>
        </w:rPr>
        <w:t>declínio</w:t>
      </w:r>
      <w:r>
        <w:rPr>
          <w:color w:val="231F20"/>
          <w:spacing w:val="-3"/>
          <w:w w:val="110"/>
          <w:sz w:val="18"/>
        </w:rPr>
        <w:t> </w:t>
      </w:r>
      <w:r>
        <w:rPr>
          <w:color w:val="231F20"/>
          <w:w w:val="110"/>
          <w:sz w:val="18"/>
        </w:rPr>
        <w:t>do</w:t>
      </w:r>
      <w:r>
        <w:rPr>
          <w:color w:val="231F20"/>
          <w:spacing w:val="-3"/>
          <w:w w:val="110"/>
          <w:sz w:val="18"/>
        </w:rPr>
        <w:t> </w:t>
      </w:r>
      <w:r>
        <w:rPr>
          <w:color w:val="231F20"/>
          <w:w w:val="110"/>
          <w:sz w:val="18"/>
        </w:rPr>
        <w:t>modelo</w:t>
      </w:r>
      <w:r>
        <w:rPr>
          <w:color w:val="231F20"/>
          <w:spacing w:val="-3"/>
          <w:w w:val="110"/>
          <w:sz w:val="18"/>
        </w:rPr>
        <w:t> </w:t>
      </w:r>
      <w:r>
        <w:rPr>
          <w:color w:val="231F20"/>
          <w:w w:val="110"/>
          <w:sz w:val="18"/>
        </w:rPr>
        <w:t>das</w:t>
      </w:r>
      <w:r>
        <w:rPr>
          <w:color w:val="231F20"/>
          <w:spacing w:val="-3"/>
          <w:w w:val="110"/>
          <w:sz w:val="18"/>
        </w:rPr>
        <w:t> </w:t>
      </w:r>
      <w:r>
        <w:rPr>
          <w:color w:val="231F20"/>
          <w:w w:val="110"/>
          <w:sz w:val="18"/>
        </w:rPr>
        <w:t>relações</w:t>
      </w:r>
      <w:r>
        <w:rPr>
          <w:color w:val="231F20"/>
          <w:spacing w:val="-3"/>
          <w:w w:val="110"/>
          <w:sz w:val="18"/>
        </w:rPr>
        <w:t> </w:t>
      </w:r>
      <w:r>
        <w:rPr>
          <w:color w:val="231F20"/>
          <w:w w:val="110"/>
          <w:sz w:val="18"/>
        </w:rPr>
        <w:t>de</w:t>
      </w:r>
      <w:r>
        <w:rPr>
          <w:color w:val="231F20"/>
          <w:spacing w:val="-3"/>
          <w:w w:val="110"/>
          <w:sz w:val="18"/>
        </w:rPr>
        <w:t> </w:t>
      </w:r>
      <w:r>
        <w:rPr>
          <w:color w:val="231F20"/>
          <w:w w:val="110"/>
          <w:sz w:val="18"/>
        </w:rPr>
        <w:t>tra- balho</w:t>
      </w:r>
      <w:r>
        <w:rPr>
          <w:color w:val="231F20"/>
          <w:spacing w:val="-6"/>
          <w:w w:val="110"/>
          <w:sz w:val="18"/>
        </w:rPr>
        <w:t> </w:t>
      </w:r>
      <w:r>
        <w:rPr>
          <w:color w:val="231F20"/>
          <w:w w:val="110"/>
          <w:sz w:val="18"/>
        </w:rPr>
        <w:t>decorrente</w:t>
      </w:r>
      <w:r>
        <w:rPr>
          <w:color w:val="231F20"/>
          <w:spacing w:val="-6"/>
          <w:w w:val="110"/>
          <w:sz w:val="18"/>
        </w:rPr>
        <w:t> </w:t>
      </w:r>
      <w:r>
        <w:rPr>
          <w:color w:val="231F20"/>
          <w:w w:val="110"/>
          <w:sz w:val="18"/>
        </w:rPr>
        <w:t>do</w:t>
      </w:r>
      <w:r>
        <w:rPr>
          <w:color w:val="231F20"/>
          <w:spacing w:val="-6"/>
          <w:w w:val="110"/>
          <w:sz w:val="18"/>
        </w:rPr>
        <w:t> </w:t>
      </w:r>
      <w:r>
        <w:rPr>
          <w:color w:val="231F20"/>
          <w:w w:val="110"/>
          <w:sz w:val="18"/>
        </w:rPr>
        <w:t>New</w:t>
      </w:r>
      <w:r>
        <w:rPr>
          <w:color w:val="231F20"/>
          <w:spacing w:val="-6"/>
          <w:w w:val="110"/>
          <w:sz w:val="18"/>
        </w:rPr>
        <w:t> </w:t>
      </w:r>
      <w:r>
        <w:rPr>
          <w:color w:val="231F20"/>
          <w:w w:val="110"/>
          <w:sz w:val="18"/>
        </w:rPr>
        <w:t>Deal</w:t>
      </w:r>
      <w:r>
        <w:rPr>
          <w:color w:val="231F20"/>
          <w:spacing w:val="-6"/>
          <w:w w:val="110"/>
          <w:sz w:val="18"/>
        </w:rPr>
        <w:t> </w:t>
      </w:r>
      <w:r>
        <w:rPr>
          <w:color w:val="231F20"/>
          <w:w w:val="110"/>
          <w:sz w:val="18"/>
        </w:rPr>
        <w:t>e</w:t>
      </w:r>
      <w:r>
        <w:rPr>
          <w:color w:val="231F20"/>
          <w:spacing w:val="-6"/>
          <w:w w:val="110"/>
          <w:sz w:val="18"/>
        </w:rPr>
        <w:t> </w:t>
      </w:r>
      <w:r>
        <w:rPr>
          <w:color w:val="231F20"/>
          <w:w w:val="110"/>
          <w:sz w:val="18"/>
        </w:rPr>
        <w:t>ao</w:t>
      </w:r>
      <w:r>
        <w:rPr>
          <w:color w:val="231F20"/>
          <w:spacing w:val="-6"/>
          <w:w w:val="110"/>
          <w:sz w:val="18"/>
        </w:rPr>
        <w:t> </w:t>
      </w:r>
      <w:r>
        <w:rPr>
          <w:color w:val="231F20"/>
          <w:w w:val="110"/>
          <w:sz w:val="18"/>
        </w:rPr>
        <w:t>surgimento</w:t>
      </w:r>
      <w:r>
        <w:rPr>
          <w:color w:val="231F20"/>
          <w:spacing w:val="-6"/>
          <w:w w:val="110"/>
          <w:sz w:val="18"/>
        </w:rPr>
        <w:t> </w:t>
      </w:r>
      <w:r>
        <w:rPr>
          <w:color w:val="231F20"/>
          <w:w w:val="110"/>
          <w:sz w:val="18"/>
        </w:rPr>
        <w:t>do</w:t>
      </w:r>
      <w:r>
        <w:rPr>
          <w:color w:val="231F20"/>
          <w:spacing w:val="-6"/>
          <w:w w:val="110"/>
          <w:sz w:val="18"/>
        </w:rPr>
        <w:t> </w:t>
      </w:r>
      <w:r>
        <w:rPr>
          <w:color w:val="231F20"/>
          <w:w w:val="110"/>
          <w:sz w:val="18"/>
        </w:rPr>
        <w:t>trabalho</w:t>
      </w:r>
      <w:r>
        <w:rPr>
          <w:color w:val="231F20"/>
          <w:spacing w:val="-6"/>
          <w:w w:val="110"/>
          <w:sz w:val="18"/>
        </w:rPr>
        <w:t> </w:t>
      </w:r>
      <w:r>
        <w:rPr>
          <w:color w:val="231F20"/>
          <w:w w:val="110"/>
          <w:sz w:val="18"/>
        </w:rPr>
        <w:t>precário.</w:t>
      </w:r>
      <w:r>
        <w:rPr>
          <w:color w:val="231F20"/>
          <w:spacing w:val="-6"/>
          <w:w w:val="110"/>
          <w:sz w:val="18"/>
        </w:rPr>
        <w:t> </w:t>
      </w:r>
      <w:r>
        <w:rPr>
          <w:color w:val="231F20"/>
          <w:w w:val="110"/>
          <w:sz w:val="18"/>
        </w:rPr>
        <w:t>Ambos procedem de um mesmo movimento […] o patronato compreendeu o inte- resse das novas formas de emprego flexible em sua resistência às restrições impostas</w:t>
      </w:r>
      <w:r>
        <w:rPr>
          <w:color w:val="231F20"/>
          <w:spacing w:val="-9"/>
          <w:w w:val="110"/>
          <w:sz w:val="18"/>
        </w:rPr>
        <w:t> </w:t>
      </w:r>
      <w:r>
        <w:rPr>
          <w:color w:val="231F20"/>
          <w:w w:val="110"/>
          <w:sz w:val="18"/>
        </w:rPr>
        <w:t>às</w:t>
      </w:r>
      <w:r>
        <w:rPr>
          <w:color w:val="231F20"/>
          <w:spacing w:val="-9"/>
          <w:w w:val="110"/>
          <w:sz w:val="18"/>
        </w:rPr>
        <w:t> </w:t>
      </w:r>
      <w:r>
        <w:rPr>
          <w:color w:val="231F20"/>
          <w:w w:val="110"/>
          <w:sz w:val="18"/>
        </w:rPr>
        <w:t>suas</w:t>
      </w:r>
      <w:r>
        <w:rPr>
          <w:color w:val="231F20"/>
          <w:spacing w:val="-9"/>
          <w:w w:val="110"/>
          <w:sz w:val="18"/>
        </w:rPr>
        <w:t> </w:t>
      </w:r>
      <w:r>
        <w:rPr>
          <w:color w:val="231F20"/>
          <w:w w:val="110"/>
          <w:sz w:val="18"/>
        </w:rPr>
        <w:t>prerrogativas</w:t>
      </w:r>
      <w:r>
        <w:rPr>
          <w:color w:val="231F20"/>
          <w:spacing w:val="-9"/>
          <w:w w:val="110"/>
          <w:sz w:val="18"/>
        </w:rPr>
        <w:t> </w:t>
      </w:r>
      <w:r>
        <w:rPr>
          <w:color w:val="231F20"/>
          <w:w w:val="110"/>
          <w:sz w:val="18"/>
        </w:rPr>
        <w:t>de</w:t>
      </w:r>
      <w:r>
        <w:rPr>
          <w:color w:val="231F20"/>
          <w:spacing w:val="-9"/>
          <w:w w:val="110"/>
          <w:sz w:val="18"/>
        </w:rPr>
        <w:t> </w:t>
      </w:r>
      <w:r>
        <w:rPr>
          <w:color w:val="231F20"/>
          <w:w w:val="110"/>
          <w:sz w:val="18"/>
        </w:rPr>
        <w:t>gestão</w:t>
      </w:r>
      <w:r>
        <w:rPr>
          <w:color w:val="231F20"/>
          <w:spacing w:val="-9"/>
          <w:w w:val="110"/>
          <w:sz w:val="18"/>
        </w:rPr>
        <w:t> </w:t>
      </w:r>
      <w:r>
        <w:rPr>
          <w:color w:val="231F20"/>
          <w:w w:val="110"/>
          <w:sz w:val="18"/>
        </w:rPr>
        <w:t>(Kesselman,</w:t>
      </w:r>
      <w:r>
        <w:rPr>
          <w:color w:val="231F20"/>
          <w:spacing w:val="-9"/>
          <w:w w:val="110"/>
          <w:sz w:val="18"/>
        </w:rPr>
        <w:t> </w:t>
      </w:r>
      <w:r>
        <w:rPr>
          <w:color w:val="231F20"/>
          <w:w w:val="110"/>
          <w:sz w:val="18"/>
        </w:rPr>
        <w:t>2010:</w:t>
      </w:r>
      <w:r>
        <w:rPr>
          <w:color w:val="231F20"/>
          <w:spacing w:val="-9"/>
          <w:w w:val="110"/>
          <w:sz w:val="18"/>
        </w:rPr>
        <w:t> </w:t>
      </w:r>
      <w:r>
        <w:rPr>
          <w:color w:val="231F20"/>
          <w:w w:val="110"/>
          <w:sz w:val="18"/>
        </w:rPr>
        <w:t>72).</w:t>
      </w:r>
    </w:p>
    <w:p>
      <w:pPr>
        <w:pStyle w:val="BodyText"/>
        <w:spacing w:before="2"/>
      </w:pPr>
    </w:p>
    <w:p>
      <w:pPr>
        <w:pStyle w:val="BodyText"/>
        <w:spacing w:line="261" w:lineRule="auto"/>
        <w:ind w:left="100" w:right="119" w:firstLine="240"/>
        <w:jc w:val="both"/>
      </w:pPr>
      <w:r>
        <w:rPr>
          <w:color w:val="231F20"/>
          <w:spacing w:val="-4"/>
          <w:w w:val="110"/>
        </w:rPr>
        <w:t>Hasta</w:t>
      </w:r>
      <w:r>
        <w:rPr>
          <w:color w:val="231F20"/>
          <w:spacing w:val="-21"/>
          <w:w w:val="110"/>
        </w:rPr>
        <w:t> </w:t>
      </w:r>
      <w:r>
        <w:rPr>
          <w:color w:val="231F20"/>
          <w:spacing w:val="-3"/>
          <w:w w:val="110"/>
        </w:rPr>
        <w:t>poco</w:t>
      </w:r>
      <w:r>
        <w:rPr>
          <w:color w:val="231F20"/>
          <w:spacing w:val="-21"/>
          <w:w w:val="110"/>
        </w:rPr>
        <w:t> </w:t>
      </w:r>
      <w:r>
        <w:rPr>
          <w:color w:val="231F20"/>
          <w:spacing w:val="-4"/>
          <w:w w:val="110"/>
        </w:rPr>
        <w:t>antes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spacing w:val="-4"/>
          <w:w w:val="110"/>
        </w:rPr>
        <w:t>crisis</w:t>
      </w:r>
      <w:r>
        <w:rPr>
          <w:color w:val="231F20"/>
          <w:spacing w:val="-21"/>
          <w:w w:val="110"/>
        </w:rPr>
        <w:t> </w:t>
      </w:r>
      <w:r>
        <w:rPr>
          <w:color w:val="231F20"/>
          <w:w w:val="110"/>
        </w:rPr>
        <w:t>de</w:t>
      </w:r>
      <w:r>
        <w:rPr>
          <w:color w:val="231F20"/>
          <w:spacing w:val="-21"/>
          <w:w w:val="110"/>
        </w:rPr>
        <w:t> </w:t>
      </w:r>
      <w:r>
        <w:rPr>
          <w:color w:val="231F20"/>
          <w:spacing w:val="-4"/>
          <w:w w:val="110"/>
        </w:rPr>
        <w:t>2008,</w:t>
      </w:r>
      <w:r>
        <w:rPr>
          <w:color w:val="231F20"/>
          <w:spacing w:val="-21"/>
          <w:w w:val="110"/>
        </w:rPr>
        <w:t> </w:t>
      </w:r>
      <w:r>
        <w:rPr>
          <w:color w:val="231F20"/>
          <w:w w:val="110"/>
        </w:rPr>
        <w:t>el</w:t>
      </w:r>
      <w:r>
        <w:rPr>
          <w:color w:val="231F20"/>
          <w:spacing w:val="-21"/>
          <w:w w:val="110"/>
        </w:rPr>
        <w:t> </w:t>
      </w:r>
      <w:r>
        <w:rPr>
          <w:color w:val="231F20"/>
          <w:spacing w:val="-4"/>
          <w:w w:val="110"/>
        </w:rPr>
        <w:t>modelo</w:t>
      </w:r>
      <w:r>
        <w:rPr>
          <w:color w:val="231F20"/>
          <w:spacing w:val="-21"/>
          <w:w w:val="110"/>
        </w:rPr>
        <w:t> </w:t>
      </w:r>
      <w:r>
        <w:rPr>
          <w:color w:val="231F20"/>
          <w:spacing w:val="-4"/>
          <w:w w:val="110"/>
        </w:rPr>
        <w:t>laboral</w:t>
      </w:r>
      <w:r>
        <w:rPr>
          <w:color w:val="231F20"/>
          <w:spacing w:val="-21"/>
          <w:w w:val="110"/>
        </w:rPr>
        <w:t> </w:t>
      </w:r>
      <w:r>
        <w:rPr>
          <w:color w:val="231F20"/>
          <w:spacing w:val="-4"/>
          <w:w w:val="110"/>
        </w:rPr>
        <w:t>estadunidense </w:t>
      </w:r>
      <w:r>
        <w:rPr>
          <w:color w:val="231F20"/>
          <w:spacing w:val="-3"/>
          <w:w w:val="110"/>
        </w:rPr>
        <w:t>era </w:t>
      </w:r>
      <w:r>
        <w:rPr>
          <w:color w:val="231F20"/>
          <w:spacing w:val="-4"/>
          <w:w w:val="110"/>
        </w:rPr>
        <w:t>considerado </w:t>
      </w:r>
      <w:r>
        <w:rPr>
          <w:color w:val="231F20"/>
          <w:spacing w:val="-3"/>
          <w:w w:val="110"/>
        </w:rPr>
        <w:t>como </w:t>
      </w:r>
      <w:r>
        <w:rPr>
          <w:color w:val="231F20"/>
          <w:spacing w:val="-4"/>
          <w:w w:val="110"/>
        </w:rPr>
        <w:t>excepcional, </w:t>
      </w:r>
      <w:r>
        <w:rPr>
          <w:color w:val="231F20"/>
          <w:w w:val="110"/>
        </w:rPr>
        <w:t>y</w:t>
      </w:r>
      <w:r>
        <w:rPr>
          <w:color w:val="231F20"/>
          <w:spacing w:val="-39"/>
          <w:w w:val="110"/>
        </w:rPr>
        <w:t> </w:t>
      </w:r>
      <w:r>
        <w:rPr>
          <w:color w:val="231F20"/>
          <w:spacing w:val="-4"/>
          <w:w w:val="110"/>
        </w:rPr>
        <w:t>ampliamente elogiado </w:t>
      </w:r>
      <w:r>
        <w:rPr>
          <w:color w:val="231F20"/>
          <w:spacing w:val="-3"/>
          <w:w w:val="110"/>
        </w:rPr>
        <w:t>por </w:t>
      </w:r>
      <w:r>
        <w:rPr>
          <w:color w:val="231F20"/>
          <w:spacing w:val="-4"/>
          <w:w w:val="110"/>
        </w:rPr>
        <w:t>exhibir niveles</w:t>
      </w:r>
      <w:r>
        <w:rPr>
          <w:color w:val="231F20"/>
          <w:spacing w:val="-11"/>
          <w:w w:val="110"/>
        </w:rPr>
        <w:t> </w:t>
      </w:r>
      <w:r>
        <w:rPr>
          <w:color w:val="231F20"/>
          <w:spacing w:val="-4"/>
          <w:w w:val="110"/>
        </w:rPr>
        <w:t>relativamente</w:t>
      </w:r>
      <w:r>
        <w:rPr>
          <w:color w:val="231F20"/>
          <w:spacing w:val="-11"/>
          <w:w w:val="110"/>
        </w:rPr>
        <w:t> </w:t>
      </w:r>
      <w:r>
        <w:rPr>
          <w:color w:val="231F20"/>
          <w:spacing w:val="-4"/>
          <w:w w:val="110"/>
        </w:rPr>
        <w:t>bajos</w:t>
      </w:r>
      <w:r>
        <w:rPr>
          <w:color w:val="231F20"/>
          <w:spacing w:val="-11"/>
          <w:w w:val="110"/>
        </w:rPr>
        <w:t> </w:t>
      </w:r>
      <w:r>
        <w:rPr>
          <w:color w:val="231F20"/>
          <w:w w:val="110"/>
        </w:rPr>
        <w:t>de</w:t>
      </w:r>
      <w:r>
        <w:rPr>
          <w:color w:val="231F20"/>
          <w:spacing w:val="-11"/>
          <w:w w:val="110"/>
        </w:rPr>
        <w:t> </w:t>
      </w:r>
      <w:r>
        <w:rPr>
          <w:color w:val="231F20"/>
          <w:spacing w:val="-4"/>
          <w:w w:val="110"/>
        </w:rPr>
        <w:t>desempleo.</w:t>
      </w:r>
      <w:r>
        <w:rPr>
          <w:color w:val="231F20"/>
          <w:spacing w:val="-11"/>
          <w:w w:val="110"/>
        </w:rPr>
        <w:t> </w:t>
      </w:r>
      <w:r>
        <w:rPr>
          <w:color w:val="231F20"/>
          <w:spacing w:val="-3"/>
          <w:w w:val="110"/>
        </w:rPr>
        <w:t>Con</w:t>
      </w:r>
      <w:r>
        <w:rPr>
          <w:color w:val="231F20"/>
          <w:spacing w:val="-11"/>
          <w:w w:val="110"/>
        </w:rPr>
        <w:t> </w:t>
      </w:r>
      <w:r>
        <w:rPr>
          <w:color w:val="231F20"/>
          <w:spacing w:val="-4"/>
          <w:w w:val="110"/>
        </w:rPr>
        <w:t>frecuencia</w:t>
      </w:r>
      <w:r>
        <w:rPr>
          <w:color w:val="231F20"/>
          <w:spacing w:val="-11"/>
          <w:w w:val="110"/>
        </w:rPr>
        <w:t> </w:t>
      </w:r>
      <w:r>
        <w:rPr>
          <w:color w:val="231F20"/>
          <w:w w:val="110"/>
        </w:rPr>
        <w:t>se</w:t>
      </w:r>
      <w:r>
        <w:rPr>
          <w:color w:val="231F20"/>
          <w:spacing w:val="-11"/>
          <w:w w:val="110"/>
        </w:rPr>
        <w:t> </w:t>
      </w:r>
      <w:r>
        <w:rPr>
          <w:color w:val="231F20"/>
          <w:spacing w:val="-4"/>
          <w:w w:val="110"/>
        </w:rPr>
        <w:t>considera-</w:t>
      </w:r>
      <w:r>
        <w:rPr>
          <w:color w:val="231F20"/>
          <w:w w:val="72"/>
        </w:rPr>
        <w:t> </w:t>
      </w:r>
      <w:r>
        <w:rPr>
          <w:color w:val="231F20"/>
          <w:w w:val="110"/>
        </w:rPr>
        <w:t>ba a </w:t>
      </w:r>
      <w:r>
        <w:rPr>
          <w:color w:val="231F20"/>
          <w:spacing w:val="-4"/>
          <w:w w:val="110"/>
        </w:rPr>
        <w:t>Estados Unidos </w:t>
      </w:r>
      <w:r>
        <w:rPr>
          <w:color w:val="231F20"/>
          <w:spacing w:val="-3"/>
          <w:w w:val="110"/>
        </w:rPr>
        <w:t>como “una </w:t>
      </w:r>
      <w:r>
        <w:rPr>
          <w:color w:val="231F20"/>
          <w:spacing w:val="-4"/>
          <w:w w:val="110"/>
        </w:rPr>
        <w:t>máquina </w:t>
      </w:r>
      <w:r>
        <w:rPr>
          <w:color w:val="231F20"/>
          <w:spacing w:val="-3"/>
          <w:w w:val="110"/>
        </w:rPr>
        <w:t>para </w:t>
      </w:r>
      <w:r>
        <w:rPr>
          <w:color w:val="231F20"/>
          <w:spacing w:val="-4"/>
          <w:w w:val="110"/>
        </w:rPr>
        <w:t>crear empleo” (Larsen, 1998) </w:t>
      </w:r>
      <w:r>
        <w:rPr>
          <w:color w:val="231F20"/>
          <w:spacing w:val="-10"/>
          <w:w w:val="110"/>
        </w:rPr>
        <w:t>y, </w:t>
      </w:r>
      <w:r>
        <w:rPr>
          <w:color w:val="231F20"/>
          <w:w w:val="110"/>
        </w:rPr>
        <w:t>en </w:t>
      </w:r>
      <w:r>
        <w:rPr>
          <w:color w:val="231F20"/>
          <w:spacing w:val="-3"/>
          <w:w w:val="110"/>
        </w:rPr>
        <w:t>ese </w:t>
      </w:r>
      <w:r>
        <w:rPr>
          <w:color w:val="231F20"/>
          <w:spacing w:val="-4"/>
          <w:w w:val="110"/>
        </w:rPr>
        <w:t>sentido, </w:t>
      </w:r>
      <w:r>
        <w:rPr>
          <w:color w:val="231F20"/>
          <w:w w:val="110"/>
        </w:rPr>
        <w:t>se </w:t>
      </w:r>
      <w:r>
        <w:rPr>
          <w:color w:val="231F20"/>
          <w:spacing w:val="-4"/>
          <w:w w:val="110"/>
        </w:rPr>
        <w:t>promovía </w:t>
      </w:r>
      <w:r>
        <w:rPr>
          <w:color w:val="231F20"/>
          <w:spacing w:val="-3"/>
          <w:w w:val="110"/>
        </w:rPr>
        <w:t>como </w:t>
      </w:r>
      <w:r>
        <w:rPr>
          <w:color w:val="231F20"/>
          <w:w w:val="110"/>
        </w:rPr>
        <w:t>el </w:t>
      </w:r>
      <w:r>
        <w:rPr>
          <w:color w:val="231F20"/>
          <w:spacing w:val="-4"/>
          <w:w w:val="110"/>
        </w:rPr>
        <w:t>modelo </w:t>
      </w:r>
      <w:r>
        <w:rPr>
          <w:color w:val="231F20"/>
          <w:w w:val="110"/>
        </w:rPr>
        <w:t>a </w:t>
      </w:r>
      <w:r>
        <w:rPr>
          <w:color w:val="231F20"/>
          <w:spacing w:val="-4"/>
          <w:w w:val="110"/>
        </w:rPr>
        <w:t>seguir </w:t>
      </w:r>
      <w:r>
        <w:rPr>
          <w:color w:val="231F20"/>
          <w:spacing w:val="-3"/>
          <w:w w:val="110"/>
        </w:rPr>
        <w:t>por </w:t>
      </w:r>
      <w:r>
        <w:rPr>
          <w:color w:val="231F20"/>
          <w:spacing w:val="-4"/>
          <w:w w:val="110"/>
        </w:rPr>
        <w:t>los demás países </w:t>
      </w:r>
      <w:r>
        <w:rPr>
          <w:color w:val="231F20"/>
          <w:spacing w:val="-3"/>
          <w:w w:val="110"/>
        </w:rPr>
        <w:t>del </w:t>
      </w:r>
      <w:r>
        <w:rPr>
          <w:color w:val="231F20"/>
          <w:spacing w:val="-4"/>
          <w:w w:val="110"/>
        </w:rPr>
        <w:t>mundo (Castillo, 2007).</w:t>
      </w:r>
      <w:r>
        <w:rPr>
          <w:color w:val="231F20"/>
          <w:spacing w:val="-4"/>
          <w:w w:val="110"/>
          <w:position w:val="6"/>
          <w:sz w:val="13"/>
        </w:rPr>
        <w:t>10 </w:t>
      </w:r>
      <w:r>
        <w:rPr>
          <w:color w:val="231F20"/>
          <w:w w:val="110"/>
        </w:rPr>
        <w:t>Al </w:t>
      </w:r>
      <w:r>
        <w:rPr>
          <w:color w:val="231F20"/>
          <w:spacing w:val="-4"/>
          <w:w w:val="110"/>
        </w:rPr>
        <w:t>respecto, </w:t>
      </w:r>
      <w:r>
        <w:rPr>
          <w:color w:val="231F20"/>
          <w:w w:val="110"/>
        </w:rPr>
        <w:t>se </w:t>
      </w:r>
      <w:r>
        <w:rPr>
          <w:color w:val="231F20"/>
          <w:spacing w:val="-4"/>
          <w:w w:val="110"/>
        </w:rPr>
        <w:t>destacaban </w:t>
      </w:r>
      <w:r>
        <w:rPr>
          <w:color w:val="231F20"/>
          <w:spacing w:val="-3"/>
          <w:w w:val="110"/>
        </w:rPr>
        <w:t>las </w:t>
      </w:r>
      <w:r>
        <w:rPr>
          <w:color w:val="231F20"/>
          <w:spacing w:val="-4"/>
          <w:w w:val="110"/>
        </w:rPr>
        <w:t>relativamente bajas </w:t>
      </w:r>
      <w:r>
        <w:rPr>
          <w:color w:val="231F20"/>
          <w:w w:val="110"/>
        </w:rPr>
        <w:t>y </w:t>
      </w:r>
      <w:r>
        <w:rPr>
          <w:color w:val="231F20"/>
          <w:spacing w:val="-4"/>
          <w:w w:val="110"/>
        </w:rPr>
        <w:t>estables tasas estructurales </w:t>
      </w:r>
      <w:r>
        <w:rPr>
          <w:color w:val="231F20"/>
          <w:w w:val="110"/>
        </w:rPr>
        <w:t>de </w:t>
      </w:r>
      <w:r>
        <w:rPr>
          <w:color w:val="231F20"/>
          <w:spacing w:val="-4"/>
          <w:w w:val="110"/>
        </w:rPr>
        <w:t>desempleo,</w:t>
      </w:r>
      <w:r>
        <w:rPr>
          <w:color w:val="231F20"/>
          <w:spacing w:val="-34"/>
          <w:w w:val="110"/>
        </w:rPr>
        <w:t> </w:t>
      </w:r>
      <w:r>
        <w:rPr>
          <w:color w:val="231F20"/>
          <w:spacing w:val="-4"/>
          <w:w w:val="110"/>
        </w:rPr>
        <w:t>vin- culadas </w:t>
      </w:r>
      <w:r>
        <w:rPr>
          <w:color w:val="231F20"/>
          <w:w w:val="110"/>
        </w:rPr>
        <w:t>a la </w:t>
      </w:r>
      <w:r>
        <w:rPr>
          <w:color w:val="231F20"/>
          <w:spacing w:val="-4"/>
          <w:w w:val="110"/>
        </w:rPr>
        <w:t>dinámica económica. </w:t>
      </w:r>
      <w:r>
        <w:rPr>
          <w:color w:val="231F20"/>
          <w:w w:val="110"/>
        </w:rPr>
        <w:t>No </w:t>
      </w:r>
      <w:r>
        <w:rPr>
          <w:color w:val="231F20"/>
          <w:spacing w:val="-4"/>
          <w:w w:val="110"/>
        </w:rPr>
        <w:t>obstante, caben </w:t>
      </w:r>
      <w:r>
        <w:rPr>
          <w:color w:val="231F20"/>
          <w:spacing w:val="-3"/>
          <w:w w:val="110"/>
        </w:rPr>
        <w:t>dos </w:t>
      </w:r>
      <w:r>
        <w:rPr>
          <w:color w:val="231F20"/>
          <w:spacing w:val="-4"/>
          <w:w w:val="110"/>
        </w:rPr>
        <w:t>precisiones </w:t>
      </w:r>
      <w:r>
        <w:rPr>
          <w:color w:val="231F20"/>
          <w:spacing w:val="-3"/>
          <w:w w:val="110"/>
        </w:rPr>
        <w:t>que </w:t>
      </w:r>
      <w:r>
        <w:rPr>
          <w:color w:val="231F20"/>
          <w:spacing w:val="-4"/>
          <w:w w:val="110"/>
        </w:rPr>
        <w:t>ponen </w:t>
      </w:r>
      <w:r>
        <w:rPr>
          <w:color w:val="231F20"/>
          <w:w w:val="110"/>
        </w:rPr>
        <w:t>en </w:t>
      </w:r>
      <w:r>
        <w:rPr>
          <w:color w:val="231F20"/>
          <w:spacing w:val="-4"/>
          <w:w w:val="110"/>
        </w:rPr>
        <w:t>cuestión dichos supuestos: </w:t>
      </w:r>
      <w:r>
        <w:rPr>
          <w:color w:val="231F20"/>
          <w:spacing w:val="-3"/>
          <w:w w:val="110"/>
        </w:rPr>
        <w:t>por una </w:t>
      </w:r>
      <w:r>
        <w:rPr>
          <w:color w:val="231F20"/>
          <w:spacing w:val="-4"/>
          <w:w w:val="110"/>
        </w:rPr>
        <w:t>parte, </w:t>
      </w:r>
      <w:r>
        <w:rPr>
          <w:color w:val="231F20"/>
          <w:w w:val="110"/>
        </w:rPr>
        <w:t>el </w:t>
      </w:r>
      <w:r>
        <w:rPr>
          <w:color w:val="231F20"/>
          <w:spacing w:val="-4"/>
          <w:w w:val="110"/>
        </w:rPr>
        <w:t>desempleo estadunidense declinó particularmente desde </w:t>
      </w:r>
      <w:r>
        <w:rPr>
          <w:color w:val="231F20"/>
          <w:spacing w:val="-3"/>
          <w:w w:val="110"/>
        </w:rPr>
        <w:t>finales </w:t>
      </w:r>
      <w:r>
        <w:rPr>
          <w:color w:val="231F20"/>
          <w:w w:val="110"/>
        </w:rPr>
        <w:t>de </w:t>
      </w:r>
      <w:r>
        <w:rPr>
          <w:color w:val="231F20"/>
          <w:spacing w:val="-3"/>
          <w:w w:val="110"/>
        </w:rPr>
        <w:t>los años</w:t>
      </w:r>
      <w:r>
        <w:rPr>
          <w:color w:val="231F20"/>
          <w:spacing w:val="-7"/>
          <w:w w:val="110"/>
        </w:rPr>
        <w:t> </w:t>
      </w:r>
      <w:r>
        <w:rPr>
          <w:color w:val="231F20"/>
          <w:spacing w:val="-4"/>
          <w:w w:val="110"/>
        </w:rPr>
        <w:t>ochen-</w:t>
      </w:r>
    </w:p>
    <w:p>
      <w:pPr>
        <w:pStyle w:val="BodyText"/>
      </w:pPr>
    </w:p>
    <w:p>
      <w:pPr>
        <w:spacing w:line="261" w:lineRule="auto" w:before="152"/>
        <w:ind w:left="100" w:right="117" w:firstLine="240"/>
        <w:jc w:val="both"/>
        <w:rPr>
          <w:sz w:val="16"/>
        </w:rPr>
      </w:pPr>
      <w:r>
        <w:rPr>
          <w:color w:val="231F20"/>
          <w:w w:val="110"/>
          <w:position w:val="5"/>
          <w:sz w:val="10"/>
        </w:rPr>
        <w:t>9 </w:t>
      </w:r>
      <w:r>
        <w:rPr>
          <w:color w:val="231F20"/>
          <w:w w:val="110"/>
          <w:sz w:val="16"/>
        </w:rPr>
        <w:t>Según Vogel (2006), “initially considered phenomena of the third world and developing</w:t>
      </w:r>
      <w:r>
        <w:rPr>
          <w:color w:val="231F20"/>
          <w:spacing w:val="-5"/>
          <w:w w:val="110"/>
          <w:sz w:val="16"/>
        </w:rPr>
        <w:t> </w:t>
      </w:r>
      <w:r>
        <w:rPr>
          <w:color w:val="231F20"/>
          <w:w w:val="110"/>
          <w:sz w:val="16"/>
        </w:rPr>
        <w:t>nations,</w:t>
      </w:r>
      <w:r>
        <w:rPr>
          <w:color w:val="231F20"/>
          <w:spacing w:val="-5"/>
          <w:w w:val="110"/>
          <w:sz w:val="16"/>
        </w:rPr>
        <w:t> </w:t>
      </w:r>
      <w:r>
        <w:rPr>
          <w:color w:val="231F20"/>
          <w:w w:val="110"/>
          <w:sz w:val="16"/>
        </w:rPr>
        <w:t>informal</w:t>
      </w:r>
      <w:r>
        <w:rPr>
          <w:color w:val="231F20"/>
          <w:spacing w:val="-5"/>
          <w:w w:val="110"/>
          <w:sz w:val="16"/>
        </w:rPr>
        <w:t> </w:t>
      </w:r>
      <w:r>
        <w:rPr>
          <w:color w:val="231F20"/>
          <w:w w:val="110"/>
          <w:sz w:val="16"/>
        </w:rPr>
        <w:t>economies</w:t>
      </w:r>
      <w:r>
        <w:rPr>
          <w:color w:val="231F20"/>
          <w:spacing w:val="-5"/>
          <w:w w:val="110"/>
          <w:sz w:val="16"/>
        </w:rPr>
        <w:t> </w:t>
      </w:r>
      <w:r>
        <w:rPr>
          <w:color w:val="231F20"/>
          <w:w w:val="110"/>
          <w:sz w:val="16"/>
        </w:rPr>
        <w:t>are</w:t>
      </w:r>
      <w:r>
        <w:rPr>
          <w:color w:val="231F20"/>
          <w:spacing w:val="-5"/>
          <w:w w:val="110"/>
          <w:sz w:val="16"/>
        </w:rPr>
        <w:t> </w:t>
      </w:r>
      <w:r>
        <w:rPr>
          <w:color w:val="231F20"/>
          <w:w w:val="110"/>
          <w:sz w:val="16"/>
        </w:rPr>
        <w:t>now</w:t>
      </w:r>
      <w:r>
        <w:rPr>
          <w:color w:val="231F20"/>
          <w:spacing w:val="-5"/>
          <w:w w:val="110"/>
          <w:sz w:val="16"/>
        </w:rPr>
        <w:t> </w:t>
      </w:r>
      <w:r>
        <w:rPr>
          <w:color w:val="231F20"/>
          <w:w w:val="110"/>
          <w:sz w:val="16"/>
        </w:rPr>
        <w:t>expanding</w:t>
      </w:r>
      <w:r>
        <w:rPr>
          <w:color w:val="231F20"/>
          <w:spacing w:val="-5"/>
          <w:w w:val="110"/>
          <w:sz w:val="16"/>
        </w:rPr>
        <w:t> </w:t>
      </w:r>
      <w:r>
        <w:rPr>
          <w:color w:val="231F20"/>
          <w:w w:val="110"/>
          <w:sz w:val="16"/>
        </w:rPr>
        <w:t>rapidly</w:t>
      </w:r>
      <w:r>
        <w:rPr>
          <w:color w:val="231F20"/>
          <w:spacing w:val="-5"/>
          <w:w w:val="110"/>
          <w:sz w:val="16"/>
        </w:rPr>
        <w:t> </w:t>
      </w:r>
      <w:r>
        <w:rPr>
          <w:color w:val="231F20"/>
          <w:w w:val="110"/>
          <w:sz w:val="16"/>
        </w:rPr>
        <w:t>in</w:t>
      </w:r>
      <w:r>
        <w:rPr>
          <w:color w:val="231F20"/>
          <w:spacing w:val="-5"/>
          <w:w w:val="110"/>
          <w:sz w:val="16"/>
        </w:rPr>
        <w:t> </w:t>
      </w:r>
      <w:r>
        <w:rPr>
          <w:color w:val="231F20"/>
          <w:w w:val="110"/>
          <w:sz w:val="16"/>
        </w:rPr>
        <w:t>the</w:t>
      </w:r>
      <w:r>
        <w:rPr>
          <w:color w:val="231F20"/>
          <w:spacing w:val="-5"/>
          <w:w w:val="110"/>
          <w:sz w:val="16"/>
        </w:rPr>
        <w:t> </w:t>
      </w:r>
      <w:r>
        <w:rPr>
          <w:color w:val="231F20"/>
          <w:w w:val="110"/>
          <w:sz w:val="16"/>
        </w:rPr>
        <w:t>free</w:t>
      </w:r>
      <w:r>
        <w:rPr>
          <w:color w:val="231F20"/>
          <w:spacing w:val="-5"/>
          <w:w w:val="110"/>
          <w:sz w:val="16"/>
        </w:rPr>
        <w:t> </w:t>
      </w:r>
      <w:r>
        <w:rPr>
          <w:color w:val="231F20"/>
          <w:w w:val="110"/>
          <w:sz w:val="16"/>
        </w:rPr>
        <w:t>market nations</w:t>
      </w:r>
      <w:r>
        <w:rPr>
          <w:color w:val="231F20"/>
          <w:spacing w:val="-7"/>
          <w:w w:val="110"/>
          <w:sz w:val="16"/>
        </w:rPr>
        <w:t> </w:t>
      </w:r>
      <w:r>
        <w:rPr>
          <w:color w:val="231F20"/>
          <w:w w:val="110"/>
          <w:sz w:val="16"/>
        </w:rPr>
        <w:t>of</w:t>
      </w:r>
      <w:r>
        <w:rPr>
          <w:color w:val="231F20"/>
          <w:spacing w:val="-7"/>
          <w:w w:val="110"/>
          <w:sz w:val="16"/>
        </w:rPr>
        <w:t> </w:t>
      </w:r>
      <w:r>
        <w:rPr>
          <w:color w:val="231F20"/>
          <w:w w:val="110"/>
          <w:sz w:val="16"/>
        </w:rPr>
        <w:t>the</w:t>
      </w:r>
      <w:r>
        <w:rPr>
          <w:color w:val="231F20"/>
          <w:spacing w:val="-7"/>
          <w:w w:val="110"/>
          <w:sz w:val="16"/>
        </w:rPr>
        <w:t> </w:t>
      </w:r>
      <w:r>
        <w:rPr>
          <w:color w:val="231F20"/>
          <w:w w:val="110"/>
          <w:sz w:val="16"/>
        </w:rPr>
        <w:t>western</w:t>
      </w:r>
      <w:r>
        <w:rPr>
          <w:color w:val="231F20"/>
          <w:spacing w:val="-7"/>
          <w:w w:val="110"/>
          <w:sz w:val="16"/>
        </w:rPr>
        <w:t> </w:t>
      </w:r>
      <w:r>
        <w:rPr>
          <w:color w:val="231F20"/>
          <w:w w:val="110"/>
          <w:sz w:val="16"/>
        </w:rPr>
        <w:t>world,</w:t>
      </w:r>
      <w:r>
        <w:rPr>
          <w:color w:val="231F20"/>
          <w:spacing w:val="-7"/>
          <w:w w:val="110"/>
          <w:sz w:val="16"/>
        </w:rPr>
        <w:t> </w:t>
      </w:r>
      <w:r>
        <w:rPr>
          <w:color w:val="231F20"/>
          <w:w w:val="110"/>
          <w:sz w:val="16"/>
        </w:rPr>
        <w:t>including</w:t>
      </w:r>
      <w:r>
        <w:rPr>
          <w:color w:val="231F20"/>
          <w:spacing w:val="-7"/>
          <w:w w:val="110"/>
          <w:sz w:val="16"/>
        </w:rPr>
        <w:t> </w:t>
      </w:r>
      <w:r>
        <w:rPr>
          <w:color w:val="231F20"/>
          <w:w w:val="110"/>
          <w:sz w:val="16"/>
        </w:rPr>
        <w:t>the</w:t>
      </w:r>
      <w:r>
        <w:rPr>
          <w:color w:val="231F20"/>
          <w:spacing w:val="-7"/>
          <w:w w:val="110"/>
          <w:sz w:val="16"/>
        </w:rPr>
        <w:t> </w:t>
      </w:r>
      <w:r>
        <w:rPr>
          <w:color w:val="231F20"/>
          <w:w w:val="110"/>
          <w:sz w:val="16"/>
        </w:rPr>
        <w:t>United</w:t>
      </w:r>
      <w:r>
        <w:rPr>
          <w:color w:val="231F20"/>
          <w:spacing w:val="-7"/>
          <w:w w:val="110"/>
          <w:sz w:val="16"/>
        </w:rPr>
        <w:t> </w:t>
      </w:r>
      <w:r>
        <w:rPr>
          <w:color w:val="231F20"/>
          <w:w w:val="110"/>
          <w:sz w:val="16"/>
        </w:rPr>
        <w:t>States”.</w:t>
      </w:r>
      <w:r>
        <w:rPr>
          <w:color w:val="231F20"/>
          <w:spacing w:val="-7"/>
          <w:w w:val="110"/>
          <w:sz w:val="16"/>
        </w:rPr>
        <w:t> </w:t>
      </w:r>
      <w:r>
        <w:rPr>
          <w:color w:val="231F20"/>
          <w:w w:val="110"/>
          <w:sz w:val="16"/>
        </w:rPr>
        <w:t>Según</w:t>
      </w:r>
      <w:r>
        <w:rPr>
          <w:color w:val="231F20"/>
          <w:spacing w:val="-7"/>
          <w:w w:val="110"/>
          <w:sz w:val="16"/>
        </w:rPr>
        <w:t> </w:t>
      </w:r>
      <w:r>
        <w:rPr>
          <w:color w:val="231F20"/>
          <w:w w:val="110"/>
          <w:sz w:val="16"/>
        </w:rPr>
        <w:t>Carty</w:t>
      </w:r>
      <w:r>
        <w:rPr>
          <w:color w:val="231F20"/>
          <w:spacing w:val="-7"/>
          <w:w w:val="110"/>
          <w:sz w:val="16"/>
        </w:rPr>
        <w:t> </w:t>
      </w:r>
      <w:r>
        <w:rPr>
          <w:color w:val="231F20"/>
          <w:w w:val="110"/>
          <w:sz w:val="16"/>
        </w:rPr>
        <w:t>(1999:</w:t>
      </w:r>
      <w:r>
        <w:rPr>
          <w:color w:val="231F20"/>
          <w:spacing w:val="-7"/>
          <w:w w:val="110"/>
          <w:sz w:val="16"/>
        </w:rPr>
        <w:t> </w:t>
      </w:r>
      <w:r>
        <w:rPr>
          <w:color w:val="231F20"/>
          <w:w w:val="110"/>
          <w:sz w:val="16"/>
        </w:rPr>
        <w:t>94)</w:t>
      </w:r>
      <w:r>
        <w:rPr>
          <w:color w:val="231F20"/>
          <w:spacing w:val="-7"/>
          <w:w w:val="110"/>
          <w:sz w:val="16"/>
        </w:rPr>
        <w:t> </w:t>
      </w:r>
      <w:r>
        <w:rPr>
          <w:color w:val="231F20"/>
          <w:w w:val="110"/>
          <w:sz w:val="16"/>
        </w:rPr>
        <w:t>“el crecimiento del empleo a tiempo parcial ha significado otro cambio en la economía de</w:t>
      </w:r>
      <w:r>
        <w:rPr>
          <w:color w:val="231F20"/>
          <w:spacing w:val="-12"/>
          <w:w w:val="110"/>
          <w:sz w:val="16"/>
        </w:rPr>
        <w:t> </w:t>
      </w:r>
      <w:r>
        <w:rPr>
          <w:color w:val="231F20"/>
          <w:w w:val="110"/>
          <w:sz w:val="16"/>
        </w:rPr>
        <w:t>Estados</w:t>
      </w:r>
      <w:r>
        <w:rPr>
          <w:color w:val="231F20"/>
          <w:spacing w:val="-12"/>
          <w:w w:val="110"/>
          <w:sz w:val="16"/>
        </w:rPr>
        <w:t> </w:t>
      </w:r>
      <w:r>
        <w:rPr>
          <w:color w:val="231F20"/>
          <w:w w:val="110"/>
          <w:sz w:val="16"/>
        </w:rPr>
        <w:t>Unidos”.</w:t>
      </w:r>
      <w:r>
        <w:rPr>
          <w:color w:val="231F20"/>
          <w:spacing w:val="-12"/>
          <w:w w:val="110"/>
          <w:sz w:val="16"/>
        </w:rPr>
        <w:t> </w:t>
      </w:r>
      <w:r>
        <w:rPr>
          <w:color w:val="231F20"/>
          <w:w w:val="110"/>
          <w:sz w:val="16"/>
        </w:rPr>
        <w:t>Según</w:t>
      </w:r>
      <w:r>
        <w:rPr>
          <w:color w:val="231F20"/>
          <w:spacing w:val="-12"/>
          <w:w w:val="110"/>
          <w:sz w:val="16"/>
        </w:rPr>
        <w:t> </w:t>
      </w:r>
      <w:r>
        <w:rPr>
          <w:color w:val="231F20"/>
          <w:w w:val="110"/>
          <w:sz w:val="16"/>
        </w:rPr>
        <w:t>Kesselman</w:t>
      </w:r>
      <w:r>
        <w:rPr>
          <w:color w:val="231F20"/>
          <w:spacing w:val="-12"/>
          <w:w w:val="110"/>
          <w:sz w:val="16"/>
        </w:rPr>
        <w:t> </w:t>
      </w:r>
      <w:r>
        <w:rPr>
          <w:color w:val="231F20"/>
          <w:w w:val="110"/>
          <w:sz w:val="16"/>
        </w:rPr>
        <w:t>(2010),</w:t>
      </w:r>
      <w:r>
        <w:rPr>
          <w:color w:val="231F20"/>
          <w:spacing w:val="-12"/>
          <w:w w:val="110"/>
          <w:sz w:val="16"/>
        </w:rPr>
        <w:t> </w:t>
      </w:r>
      <w:r>
        <w:rPr>
          <w:color w:val="231F20"/>
          <w:w w:val="110"/>
          <w:sz w:val="16"/>
        </w:rPr>
        <w:t>entre</w:t>
      </w:r>
      <w:r>
        <w:rPr>
          <w:color w:val="231F20"/>
          <w:spacing w:val="-12"/>
          <w:w w:val="110"/>
          <w:sz w:val="16"/>
        </w:rPr>
        <w:t> </w:t>
      </w:r>
      <w:r>
        <w:rPr>
          <w:color w:val="231F20"/>
          <w:w w:val="110"/>
          <w:sz w:val="16"/>
        </w:rPr>
        <w:t>1980</w:t>
      </w:r>
      <w:r>
        <w:rPr>
          <w:color w:val="231F20"/>
          <w:spacing w:val="-12"/>
          <w:w w:val="110"/>
          <w:sz w:val="16"/>
        </w:rPr>
        <w:t> </w:t>
      </w:r>
      <w:r>
        <w:rPr>
          <w:color w:val="231F20"/>
          <w:w w:val="110"/>
          <w:sz w:val="16"/>
        </w:rPr>
        <w:t>y</w:t>
      </w:r>
      <w:r>
        <w:rPr>
          <w:color w:val="231F20"/>
          <w:spacing w:val="-12"/>
          <w:w w:val="110"/>
          <w:sz w:val="16"/>
        </w:rPr>
        <w:t> </w:t>
      </w:r>
      <w:r>
        <w:rPr>
          <w:color w:val="231F20"/>
          <w:w w:val="110"/>
          <w:sz w:val="16"/>
        </w:rPr>
        <w:t>1988,</w:t>
      </w:r>
      <w:r>
        <w:rPr>
          <w:color w:val="231F20"/>
          <w:spacing w:val="-12"/>
          <w:w w:val="110"/>
          <w:sz w:val="16"/>
        </w:rPr>
        <w:t> </w:t>
      </w:r>
      <w:r>
        <w:rPr>
          <w:color w:val="231F20"/>
          <w:w w:val="110"/>
          <w:sz w:val="16"/>
        </w:rPr>
        <w:t>el</w:t>
      </w:r>
      <w:r>
        <w:rPr>
          <w:color w:val="231F20"/>
          <w:spacing w:val="-12"/>
          <w:w w:val="110"/>
          <w:sz w:val="16"/>
        </w:rPr>
        <w:t> </w:t>
      </w:r>
      <w:r>
        <w:rPr>
          <w:color w:val="231F20"/>
          <w:w w:val="110"/>
          <w:sz w:val="16"/>
        </w:rPr>
        <w:t>índice</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empleos precarios aumentó de 26.7 a 30.1% de la población activa: 75% de crecimiento más rápido que el empleo, y luego continuó creciendo durante los siguientes cinco años a un ritmo menos acelerado. Según dicho </w:t>
      </w:r>
      <w:r>
        <w:rPr>
          <w:color w:val="231F20"/>
          <w:spacing w:val="-3"/>
          <w:w w:val="110"/>
          <w:sz w:val="16"/>
        </w:rPr>
        <w:t>autor, </w:t>
      </w:r>
      <w:r>
        <w:rPr>
          <w:color w:val="231F20"/>
          <w:w w:val="110"/>
          <w:sz w:val="16"/>
        </w:rPr>
        <w:t>la proporción de trabajadores</w:t>
      </w:r>
      <w:r>
        <w:rPr>
          <w:color w:val="231F20"/>
          <w:spacing w:val="-14"/>
          <w:w w:val="110"/>
          <w:sz w:val="16"/>
        </w:rPr>
        <w:t> </w:t>
      </w:r>
      <w:r>
        <w:rPr>
          <w:color w:val="231F20"/>
          <w:w w:val="110"/>
          <w:sz w:val="16"/>
        </w:rPr>
        <w:t>precarios se estabilizó entre 1990 a 2005 en aproximadamente 30% de la población activa, con una ligera baja a finales de los años noventa, excepto en el caso del empleo</w:t>
      </w:r>
      <w:r>
        <w:rPr>
          <w:color w:val="231F20"/>
          <w:spacing w:val="-21"/>
          <w:w w:val="110"/>
          <w:sz w:val="16"/>
        </w:rPr>
        <w:t> </w:t>
      </w:r>
      <w:r>
        <w:rPr>
          <w:color w:val="231F20"/>
          <w:w w:val="110"/>
          <w:sz w:val="16"/>
        </w:rPr>
        <w:t>temporal, que siguió creciendo. En dicho país, según Rifkin (2004: 76), el empleo,</w:t>
      </w:r>
      <w:r>
        <w:rPr>
          <w:color w:val="231F20"/>
          <w:spacing w:val="-23"/>
          <w:w w:val="110"/>
          <w:sz w:val="16"/>
        </w:rPr>
        <w:t> </w:t>
      </w:r>
      <w:r>
        <w:rPr>
          <w:color w:val="231F20"/>
          <w:w w:val="110"/>
          <w:sz w:val="16"/>
        </w:rPr>
        <w:t>generalmen- te en las modalidades de “temporales y a tiempo parcial, sin seguro médico </w:t>
      </w:r>
      <w:r>
        <w:rPr>
          <w:color w:val="231F20"/>
          <w:spacing w:val="-6"/>
          <w:w w:val="110"/>
          <w:sz w:val="16"/>
        </w:rPr>
        <w:t>y, </w:t>
      </w:r>
      <w:r>
        <w:rPr>
          <w:color w:val="231F20"/>
          <w:w w:val="110"/>
          <w:sz w:val="16"/>
        </w:rPr>
        <w:t>en la mayoría de los casos, en régimen de subempleo”, se expandió incluso en los</w:t>
      </w:r>
      <w:r>
        <w:rPr>
          <w:color w:val="231F20"/>
          <w:spacing w:val="-20"/>
          <w:w w:val="110"/>
          <w:sz w:val="16"/>
        </w:rPr>
        <w:t> </w:t>
      </w:r>
      <w:r>
        <w:rPr>
          <w:color w:val="231F20"/>
          <w:w w:val="110"/>
          <w:sz w:val="16"/>
        </w:rPr>
        <w:t>periodos de crecimiento y estabilidad económica entre 1995 y</w:t>
      </w:r>
      <w:r>
        <w:rPr>
          <w:color w:val="231F20"/>
          <w:spacing w:val="1"/>
          <w:w w:val="110"/>
          <w:sz w:val="16"/>
        </w:rPr>
        <w:t> </w:t>
      </w:r>
      <w:r>
        <w:rPr>
          <w:color w:val="231F20"/>
          <w:w w:val="110"/>
          <w:sz w:val="16"/>
        </w:rPr>
        <w:t>2000.</w:t>
      </w:r>
    </w:p>
    <w:p>
      <w:pPr>
        <w:spacing w:line="261" w:lineRule="auto" w:before="0"/>
        <w:ind w:left="100" w:right="119" w:firstLine="240"/>
        <w:jc w:val="both"/>
        <w:rPr>
          <w:sz w:val="16"/>
        </w:rPr>
      </w:pPr>
      <w:r>
        <w:rPr>
          <w:color w:val="231F20"/>
          <w:w w:val="105"/>
          <w:position w:val="5"/>
          <w:sz w:val="10"/>
        </w:rPr>
        <w:t>10 </w:t>
      </w:r>
      <w:r>
        <w:rPr>
          <w:color w:val="231F20"/>
          <w:w w:val="105"/>
          <w:sz w:val="16"/>
        </w:rPr>
        <w:t>Según Beck (2000), tras el derrumbe del orden bipolar, la utopía  del  libre  mercado se convirtió en la “misión global de Estados Unidos”, y el modelo laboral americano —con todas sus consecuencias— se colocó como el referente de la mo- dernización</w:t>
      </w:r>
      <w:r>
        <w:rPr>
          <w:color w:val="231F20"/>
          <w:spacing w:val="32"/>
          <w:w w:val="105"/>
          <w:sz w:val="16"/>
        </w:rPr>
        <w:t> </w:t>
      </w:r>
      <w:r>
        <w:rPr>
          <w:color w:val="231F20"/>
          <w:w w:val="105"/>
          <w:sz w:val="16"/>
        </w:rPr>
        <w:t>occidental,</w:t>
      </w:r>
      <w:r>
        <w:rPr>
          <w:color w:val="231F20"/>
          <w:spacing w:val="32"/>
          <w:w w:val="105"/>
          <w:sz w:val="16"/>
        </w:rPr>
        <w:t> </w:t>
      </w:r>
      <w:r>
        <w:rPr>
          <w:color w:val="231F20"/>
          <w:w w:val="105"/>
          <w:sz w:val="16"/>
        </w:rPr>
        <w:t>con</w:t>
      </w:r>
      <w:r>
        <w:rPr>
          <w:color w:val="231F20"/>
          <w:spacing w:val="32"/>
          <w:w w:val="105"/>
          <w:sz w:val="16"/>
        </w:rPr>
        <w:t> </w:t>
      </w:r>
      <w:r>
        <w:rPr>
          <w:color w:val="231F20"/>
          <w:w w:val="105"/>
          <w:sz w:val="16"/>
        </w:rPr>
        <w:t>irrigación</w:t>
      </w:r>
      <w:r>
        <w:rPr>
          <w:color w:val="231F20"/>
          <w:spacing w:val="32"/>
          <w:w w:val="105"/>
          <w:sz w:val="16"/>
        </w:rPr>
        <w:t> </w:t>
      </w:r>
      <w:r>
        <w:rPr>
          <w:color w:val="231F20"/>
          <w:w w:val="105"/>
          <w:sz w:val="16"/>
        </w:rPr>
        <w:t>y</w:t>
      </w:r>
      <w:r>
        <w:rPr>
          <w:color w:val="231F20"/>
          <w:spacing w:val="32"/>
          <w:w w:val="105"/>
          <w:sz w:val="16"/>
        </w:rPr>
        <w:t> </w:t>
      </w:r>
      <w:r>
        <w:rPr>
          <w:color w:val="231F20"/>
          <w:w w:val="105"/>
          <w:sz w:val="16"/>
        </w:rPr>
        <w:t>relativo</w:t>
      </w:r>
      <w:r>
        <w:rPr>
          <w:color w:val="231F20"/>
          <w:spacing w:val="32"/>
          <w:w w:val="105"/>
          <w:sz w:val="16"/>
        </w:rPr>
        <w:t> </w:t>
      </w:r>
      <w:r>
        <w:rPr>
          <w:color w:val="231F20"/>
          <w:w w:val="105"/>
          <w:sz w:val="16"/>
        </w:rPr>
        <w:t>dominio</w:t>
      </w:r>
      <w:r>
        <w:rPr>
          <w:color w:val="231F20"/>
          <w:spacing w:val="32"/>
          <w:w w:val="105"/>
          <w:sz w:val="16"/>
        </w:rPr>
        <w:t> </w:t>
      </w:r>
      <w:r>
        <w:rPr>
          <w:color w:val="231F20"/>
          <w:w w:val="105"/>
          <w:sz w:val="16"/>
        </w:rPr>
        <w:t>mundial</w:t>
      </w:r>
      <w:r>
        <w:rPr>
          <w:color w:val="231F20"/>
          <w:spacing w:val="32"/>
          <w:w w:val="105"/>
          <w:sz w:val="16"/>
        </w:rPr>
        <w:t> </w:t>
      </w:r>
      <w:r>
        <w:rPr>
          <w:color w:val="231F20"/>
          <w:w w:val="105"/>
          <w:sz w:val="16"/>
        </w:rPr>
        <w:t>(Castillo,</w:t>
      </w:r>
      <w:r>
        <w:rPr>
          <w:color w:val="231F20"/>
          <w:spacing w:val="32"/>
          <w:w w:val="105"/>
          <w:sz w:val="16"/>
        </w:rPr>
        <w:t> </w:t>
      </w:r>
      <w:r>
        <w:rPr>
          <w:color w:val="231F20"/>
          <w:w w:val="105"/>
          <w:sz w:val="16"/>
        </w:rPr>
        <w:t>2007).</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right"/>
      </w:pPr>
      <w:r>
        <w:rPr>
          <w:color w:val="231F20"/>
          <w:spacing w:val="-3"/>
          <w:w w:val="110"/>
        </w:rPr>
        <w:t>ta, </w:t>
      </w:r>
      <w:r>
        <w:rPr>
          <w:color w:val="231F20"/>
          <w:w w:val="110"/>
        </w:rPr>
        <w:t>en </w:t>
      </w:r>
      <w:r>
        <w:rPr>
          <w:color w:val="231F20"/>
          <w:spacing w:val="-3"/>
          <w:w w:val="110"/>
        </w:rPr>
        <w:t>gran </w:t>
      </w:r>
      <w:r>
        <w:rPr>
          <w:color w:val="231F20"/>
          <w:spacing w:val="-4"/>
          <w:w w:val="110"/>
        </w:rPr>
        <w:t>parte </w:t>
      </w:r>
      <w:r>
        <w:rPr>
          <w:color w:val="231F20"/>
          <w:spacing w:val="-3"/>
          <w:w w:val="110"/>
        </w:rPr>
        <w:t>por </w:t>
      </w:r>
      <w:r>
        <w:rPr>
          <w:color w:val="231F20"/>
          <w:w w:val="110"/>
        </w:rPr>
        <w:t>un </w:t>
      </w:r>
      <w:r>
        <w:rPr>
          <w:color w:val="231F20"/>
          <w:spacing w:val="-4"/>
          <w:w w:val="110"/>
        </w:rPr>
        <w:t>motivo demográfico, determinado </w:t>
      </w:r>
      <w:r>
        <w:rPr>
          <w:color w:val="231F20"/>
          <w:spacing w:val="-3"/>
          <w:w w:val="110"/>
        </w:rPr>
        <w:t>por</w:t>
      </w:r>
      <w:r>
        <w:rPr>
          <w:color w:val="231F20"/>
          <w:spacing w:val="4"/>
          <w:w w:val="110"/>
        </w:rPr>
        <w:t> </w:t>
      </w:r>
      <w:r>
        <w:rPr>
          <w:color w:val="231F20"/>
          <w:w w:val="110"/>
        </w:rPr>
        <w:t>el</w:t>
      </w:r>
      <w:r>
        <w:rPr>
          <w:color w:val="231F20"/>
          <w:spacing w:val="3"/>
          <w:w w:val="110"/>
        </w:rPr>
        <w:t> </w:t>
      </w:r>
      <w:r>
        <w:rPr>
          <w:color w:val="231F20"/>
          <w:spacing w:val="-4"/>
          <w:w w:val="110"/>
        </w:rPr>
        <w:t>lento</w:t>
      </w:r>
      <w:r>
        <w:rPr>
          <w:color w:val="231F20"/>
          <w:spacing w:val="-4"/>
          <w:w w:val="113"/>
        </w:rPr>
        <w:t> </w:t>
      </w:r>
      <w:r>
        <w:rPr>
          <w:color w:val="231F20"/>
          <w:spacing w:val="-4"/>
          <w:w w:val="110"/>
        </w:rPr>
        <w:t>crecimiento</w:t>
      </w:r>
      <w:r>
        <w:rPr>
          <w:color w:val="231F20"/>
          <w:spacing w:val="-26"/>
          <w:w w:val="110"/>
        </w:rPr>
        <w:t> </w:t>
      </w:r>
      <w:r>
        <w:rPr>
          <w:color w:val="231F20"/>
          <w:w w:val="110"/>
        </w:rPr>
        <w:t>y</w:t>
      </w:r>
      <w:r>
        <w:rPr>
          <w:color w:val="231F20"/>
          <w:spacing w:val="-26"/>
          <w:w w:val="110"/>
        </w:rPr>
        <w:t> </w:t>
      </w:r>
      <w:r>
        <w:rPr>
          <w:color w:val="231F20"/>
          <w:spacing w:val="-4"/>
          <w:w w:val="110"/>
        </w:rPr>
        <w:t>disminución</w:t>
      </w:r>
      <w:r>
        <w:rPr>
          <w:color w:val="231F20"/>
          <w:spacing w:val="-26"/>
          <w:w w:val="110"/>
        </w:rPr>
        <w:t> </w:t>
      </w:r>
      <w:r>
        <w:rPr>
          <w:color w:val="231F20"/>
          <w:spacing w:val="-4"/>
          <w:w w:val="110"/>
        </w:rPr>
        <w:t>relativa</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spacing w:val="-3"/>
          <w:w w:val="110"/>
        </w:rPr>
        <w:t>tasa</w:t>
      </w:r>
      <w:r>
        <w:rPr>
          <w:color w:val="231F20"/>
          <w:spacing w:val="-26"/>
          <w:w w:val="110"/>
        </w:rPr>
        <w:t> </w:t>
      </w:r>
      <w:r>
        <w:rPr>
          <w:color w:val="231F20"/>
          <w:w w:val="110"/>
        </w:rPr>
        <w:t>de</w:t>
      </w:r>
      <w:r>
        <w:rPr>
          <w:color w:val="231F20"/>
          <w:spacing w:val="-26"/>
          <w:w w:val="110"/>
        </w:rPr>
        <w:t> </w:t>
      </w:r>
      <w:r>
        <w:rPr>
          <w:color w:val="231F20"/>
          <w:spacing w:val="-4"/>
          <w:w w:val="110"/>
        </w:rPr>
        <w:t>participación</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spacing w:val="-4"/>
          <w:w w:val="110"/>
        </w:rPr>
        <w:t>fuerza</w:t>
      </w:r>
      <w:r>
        <w:rPr>
          <w:color w:val="231F20"/>
          <w:spacing w:val="-4"/>
          <w:w w:val="108"/>
        </w:rPr>
        <w:t> </w:t>
      </w:r>
      <w:r>
        <w:rPr>
          <w:color w:val="231F20"/>
          <w:w w:val="110"/>
        </w:rPr>
        <w:t>de </w:t>
      </w:r>
      <w:r>
        <w:rPr>
          <w:color w:val="231F20"/>
          <w:spacing w:val="-4"/>
          <w:w w:val="110"/>
        </w:rPr>
        <w:t>trabajo, </w:t>
      </w:r>
      <w:r>
        <w:rPr>
          <w:color w:val="231F20"/>
          <w:w w:val="110"/>
        </w:rPr>
        <w:t>y no </w:t>
      </w:r>
      <w:r>
        <w:rPr>
          <w:color w:val="231F20"/>
          <w:spacing w:val="-4"/>
          <w:w w:val="110"/>
        </w:rPr>
        <w:t>debido </w:t>
      </w:r>
      <w:r>
        <w:rPr>
          <w:color w:val="231F20"/>
          <w:w w:val="110"/>
        </w:rPr>
        <w:t>al </w:t>
      </w:r>
      <w:r>
        <w:rPr>
          <w:color w:val="231F20"/>
          <w:spacing w:val="-4"/>
          <w:w w:val="110"/>
        </w:rPr>
        <w:t>impacto </w:t>
      </w:r>
      <w:r>
        <w:rPr>
          <w:color w:val="231F20"/>
          <w:spacing w:val="-3"/>
          <w:w w:val="110"/>
        </w:rPr>
        <w:t>del </w:t>
      </w:r>
      <w:r>
        <w:rPr>
          <w:color w:val="231F20"/>
          <w:spacing w:val="-4"/>
          <w:w w:val="110"/>
        </w:rPr>
        <w:t>crecimiento </w:t>
      </w:r>
      <w:r>
        <w:rPr>
          <w:color w:val="231F20"/>
          <w:spacing w:val="-3"/>
          <w:w w:val="110"/>
        </w:rPr>
        <w:t>del pib, que</w:t>
      </w:r>
      <w:r>
        <w:rPr>
          <w:color w:val="231F20"/>
          <w:spacing w:val="36"/>
          <w:w w:val="110"/>
        </w:rPr>
        <w:t> </w:t>
      </w:r>
      <w:r>
        <w:rPr>
          <w:color w:val="231F20"/>
          <w:w w:val="110"/>
        </w:rPr>
        <w:t>en </w:t>
      </w:r>
      <w:r>
        <w:rPr>
          <w:color w:val="231F20"/>
          <w:spacing w:val="-3"/>
          <w:w w:val="110"/>
        </w:rPr>
        <w:t>rea-</w:t>
      </w:r>
      <w:r>
        <w:rPr>
          <w:color w:val="231F20"/>
          <w:w w:val="72"/>
        </w:rPr>
        <w:t> </w:t>
      </w:r>
      <w:r>
        <w:rPr>
          <w:color w:val="231F20"/>
          <w:spacing w:val="-4"/>
          <w:w w:val="110"/>
        </w:rPr>
        <w:t>lidad </w:t>
      </w:r>
      <w:r>
        <w:rPr>
          <w:color w:val="231F20"/>
          <w:spacing w:val="-3"/>
          <w:w w:val="110"/>
        </w:rPr>
        <w:t>tuvo </w:t>
      </w:r>
      <w:r>
        <w:rPr>
          <w:color w:val="231F20"/>
          <w:w w:val="110"/>
        </w:rPr>
        <w:t>un </w:t>
      </w:r>
      <w:r>
        <w:rPr>
          <w:color w:val="231F20"/>
          <w:spacing w:val="-4"/>
          <w:w w:val="110"/>
        </w:rPr>
        <w:t>comportamiento errático </w:t>
      </w:r>
      <w:r>
        <w:rPr>
          <w:color w:val="231F20"/>
          <w:w w:val="110"/>
        </w:rPr>
        <w:t>a lo </w:t>
      </w:r>
      <w:r>
        <w:rPr>
          <w:color w:val="231F20"/>
          <w:spacing w:val="-4"/>
          <w:w w:val="110"/>
        </w:rPr>
        <w:t>largo </w:t>
      </w:r>
      <w:r>
        <w:rPr>
          <w:color w:val="231F20"/>
          <w:spacing w:val="-3"/>
          <w:w w:val="110"/>
        </w:rPr>
        <w:t>del </w:t>
      </w:r>
      <w:r>
        <w:rPr>
          <w:color w:val="231F20"/>
          <w:spacing w:val="-4"/>
          <w:w w:val="110"/>
        </w:rPr>
        <w:t>periodo</w:t>
      </w:r>
      <w:r>
        <w:rPr>
          <w:color w:val="231F20"/>
          <w:spacing w:val="6"/>
          <w:w w:val="110"/>
        </w:rPr>
        <w:t> </w:t>
      </w:r>
      <w:r>
        <w:rPr>
          <w:color w:val="231F20"/>
          <w:w w:val="110"/>
        </w:rPr>
        <w:t>de</w:t>
      </w:r>
      <w:r>
        <w:rPr>
          <w:color w:val="231F20"/>
          <w:spacing w:val="13"/>
          <w:w w:val="110"/>
        </w:rPr>
        <w:t> </w:t>
      </w:r>
      <w:r>
        <w:rPr>
          <w:color w:val="231F20"/>
          <w:spacing w:val="-4"/>
          <w:w w:val="110"/>
        </w:rPr>
        <w:t>apli-</w:t>
      </w:r>
      <w:r>
        <w:rPr>
          <w:color w:val="231F20"/>
          <w:w w:val="72"/>
        </w:rPr>
        <w:t> </w:t>
      </w:r>
      <w:r>
        <w:rPr>
          <w:color w:val="231F20"/>
          <w:spacing w:val="-4"/>
          <w:w w:val="110"/>
        </w:rPr>
        <w:t>cación </w:t>
      </w:r>
      <w:r>
        <w:rPr>
          <w:color w:val="231F20"/>
          <w:spacing w:val="-3"/>
          <w:w w:val="110"/>
        </w:rPr>
        <w:t>del </w:t>
      </w:r>
      <w:r>
        <w:rPr>
          <w:color w:val="231F20"/>
          <w:spacing w:val="-4"/>
          <w:w w:val="110"/>
        </w:rPr>
        <w:t>modelo neoliberal (Marshall, 1998) </w:t>
      </w:r>
      <w:r>
        <w:rPr>
          <w:color w:val="231F20"/>
          <w:spacing w:val="-10"/>
          <w:w w:val="110"/>
        </w:rPr>
        <w:t>y, </w:t>
      </w:r>
      <w:r>
        <w:rPr>
          <w:color w:val="231F20"/>
          <w:spacing w:val="-3"/>
          <w:w w:val="110"/>
        </w:rPr>
        <w:t>por </w:t>
      </w:r>
      <w:r>
        <w:rPr>
          <w:color w:val="231F20"/>
          <w:w w:val="110"/>
        </w:rPr>
        <w:t>la </w:t>
      </w:r>
      <w:r>
        <w:rPr>
          <w:color w:val="231F20"/>
          <w:spacing w:val="-4"/>
          <w:w w:val="110"/>
        </w:rPr>
        <w:t>otra,</w:t>
      </w:r>
      <w:r>
        <w:rPr>
          <w:color w:val="231F20"/>
          <w:spacing w:val="23"/>
          <w:w w:val="110"/>
        </w:rPr>
        <w:t> </w:t>
      </w:r>
      <w:r>
        <w:rPr>
          <w:color w:val="231F20"/>
          <w:w w:val="110"/>
        </w:rPr>
        <w:t>el</w:t>
      </w:r>
      <w:r>
        <w:rPr>
          <w:color w:val="231F20"/>
          <w:spacing w:val="-2"/>
          <w:w w:val="110"/>
        </w:rPr>
        <w:t> </w:t>
      </w:r>
      <w:r>
        <w:rPr>
          <w:color w:val="231F20"/>
          <w:spacing w:val="-4"/>
          <w:w w:val="110"/>
        </w:rPr>
        <w:t>empleo</w:t>
      </w:r>
      <w:r>
        <w:rPr>
          <w:color w:val="231F20"/>
          <w:spacing w:val="-4"/>
          <w:w w:val="111"/>
        </w:rPr>
        <w:t> </w:t>
      </w:r>
      <w:r>
        <w:rPr>
          <w:color w:val="231F20"/>
          <w:spacing w:val="-4"/>
          <w:w w:val="110"/>
        </w:rPr>
        <w:t>creció</w:t>
      </w:r>
      <w:r>
        <w:rPr>
          <w:color w:val="231F20"/>
          <w:spacing w:val="-15"/>
          <w:w w:val="110"/>
        </w:rPr>
        <w:t> </w:t>
      </w:r>
      <w:r>
        <w:rPr>
          <w:color w:val="231F20"/>
          <w:w w:val="110"/>
        </w:rPr>
        <w:t>a</w:t>
      </w:r>
      <w:r>
        <w:rPr>
          <w:color w:val="231F20"/>
          <w:spacing w:val="-15"/>
          <w:w w:val="110"/>
        </w:rPr>
        <w:t> </w:t>
      </w:r>
      <w:r>
        <w:rPr>
          <w:color w:val="231F20"/>
          <w:spacing w:val="-4"/>
          <w:w w:val="110"/>
        </w:rPr>
        <w:t>expensas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spacing w:val="-4"/>
          <w:w w:val="110"/>
        </w:rPr>
        <w:t>ampliación</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spacing w:val="-4"/>
          <w:w w:val="110"/>
        </w:rPr>
        <w:t>desregulación,</w:t>
      </w:r>
      <w:r>
        <w:rPr>
          <w:color w:val="231F20"/>
          <w:spacing w:val="-15"/>
          <w:w w:val="110"/>
        </w:rPr>
        <w:t> </w:t>
      </w:r>
      <w:r>
        <w:rPr>
          <w:color w:val="231F20"/>
          <w:spacing w:val="-4"/>
          <w:w w:val="110"/>
        </w:rPr>
        <w:t>flexibilización</w:t>
      </w:r>
      <w:r>
        <w:rPr>
          <w:color w:val="231F20"/>
          <w:spacing w:val="-15"/>
          <w:w w:val="110"/>
        </w:rPr>
        <w:t> </w:t>
      </w:r>
      <w:r>
        <w:rPr>
          <w:color w:val="231F20"/>
          <w:w w:val="110"/>
        </w:rPr>
        <w:t>y</w:t>
      </w:r>
      <w:r>
        <w:rPr>
          <w:color w:val="231F20"/>
          <w:w w:val="84"/>
        </w:rPr>
        <w:t> </w:t>
      </w:r>
      <w:r>
        <w:rPr>
          <w:color w:val="231F20"/>
          <w:spacing w:val="-4"/>
          <w:w w:val="110"/>
        </w:rPr>
        <w:t>precarización </w:t>
      </w:r>
      <w:r>
        <w:rPr>
          <w:color w:val="231F20"/>
          <w:spacing w:val="-3"/>
          <w:w w:val="110"/>
        </w:rPr>
        <w:t>del </w:t>
      </w:r>
      <w:r>
        <w:rPr>
          <w:color w:val="231F20"/>
          <w:spacing w:val="-4"/>
          <w:w w:val="110"/>
        </w:rPr>
        <w:t>trabajo, </w:t>
      </w:r>
      <w:r>
        <w:rPr>
          <w:color w:val="231F20"/>
          <w:spacing w:val="-3"/>
          <w:w w:val="110"/>
        </w:rPr>
        <w:t>con una alta </w:t>
      </w:r>
      <w:r>
        <w:rPr>
          <w:color w:val="231F20"/>
          <w:w w:val="110"/>
        </w:rPr>
        <w:t>y </w:t>
      </w:r>
      <w:r>
        <w:rPr>
          <w:color w:val="231F20"/>
          <w:spacing w:val="-4"/>
          <w:w w:val="110"/>
        </w:rPr>
        <w:t>creciente</w:t>
      </w:r>
      <w:r>
        <w:rPr>
          <w:color w:val="231F20"/>
          <w:spacing w:val="17"/>
          <w:w w:val="110"/>
        </w:rPr>
        <w:t> </w:t>
      </w:r>
      <w:r>
        <w:rPr>
          <w:color w:val="231F20"/>
          <w:spacing w:val="-4"/>
          <w:w w:val="110"/>
        </w:rPr>
        <w:t>desigualdad</w:t>
      </w:r>
      <w:r>
        <w:rPr>
          <w:color w:val="231F20"/>
          <w:spacing w:val="-1"/>
          <w:w w:val="110"/>
        </w:rPr>
        <w:t> </w:t>
      </w:r>
      <w:r>
        <w:rPr>
          <w:color w:val="231F20"/>
          <w:spacing w:val="-4"/>
          <w:w w:val="110"/>
        </w:rPr>
        <w:t>salarial.</w:t>
      </w:r>
      <w:r>
        <w:rPr>
          <w:color w:val="231F20"/>
          <w:spacing w:val="-4"/>
          <w:w w:val="105"/>
        </w:rPr>
        <w:t> </w:t>
      </w:r>
      <w:r>
        <w:rPr>
          <w:color w:val="231F20"/>
          <w:w w:val="110"/>
        </w:rPr>
        <w:t>La participación económica tuvo un crecimiento</w:t>
      </w:r>
      <w:r>
        <w:rPr>
          <w:color w:val="231F20"/>
          <w:spacing w:val="-1"/>
          <w:w w:val="110"/>
        </w:rPr>
        <w:t> </w:t>
      </w:r>
      <w:r>
        <w:rPr>
          <w:color w:val="231F20"/>
          <w:w w:val="110"/>
        </w:rPr>
        <w:t>importante</w:t>
      </w:r>
      <w:r>
        <w:rPr>
          <w:color w:val="231F20"/>
          <w:spacing w:val="-1"/>
          <w:w w:val="110"/>
        </w:rPr>
        <w:t> </w:t>
      </w:r>
      <w:r>
        <w:rPr>
          <w:color w:val="231F20"/>
          <w:w w:val="110"/>
        </w:rPr>
        <w:t>entre</w:t>
      </w:r>
      <w:r>
        <w:rPr>
          <w:color w:val="231F20"/>
          <w:w w:val="116"/>
        </w:rPr>
        <w:t> </w:t>
      </w:r>
      <w:r>
        <w:rPr>
          <w:color w:val="231F20"/>
          <w:w w:val="110"/>
        </w:rPr>
        <w:t>inicios</w:t>
      </w:r>
      <w:r>
        <w:rPr>
          <w:color w:val="231F20"/>
          <w:spacing w:val="-15"/>
          <w:w w:val="110"/>
        </w:rPr>
        <w:t> </w:t>
      </w:r>
      <w:r>
        <w:rPr>
          <w:color w:val="231F20"/>
          <w:w w:val="110"/>
        </w:rPr>
        <w:t>del</w:t>
      </w:r>
      <w:r>
        <w:rPr>
          <w:color w:val="231F20"/>
          <w:spacing w:val="-15"/>
          <w:w w:val="110"/>
        </w:rPr>
        <w:t> </w:t>
      </w:r>
      <w:r>
        <w:rPr>
          <w:color w:val="231F20"/>
          <w:w w:val="110"/>
        </w:rPr>
        <w:t>modelo</w:t>
      </w:r>
      <w:r>
        <w:rPr>
          <w:color w:val="231F20"/>
          <w:spacing w:val="-15"/>
          <w:w w:val="110"/>
        </w:rPr>
        <w:t> </w:t>
      </w:r>
      <w:r>
        <w:rPr>
          <w:color w:val="231F20"/>
          <w:w w:val="110"/>
        </w:rPr>
        <w:t>neoliberal</w:t>
      </w:r>
      <w:r>
        <w:rPr>
          <w:color w:val="231F20"/>
          <w:spacing w:val="-15"/>
          <w:w w:val="110"/>
        </w:rPr>
        <w:t> </w:t>
      </w:r>
      <w:r>
        <w:rPr>
          <w:color w:val="231F20"/>
          <w:w w:val="110"/>
        </w:rPr>
        <w:t>y</w:t>
      </w:r>
      <w:r>
        <w:rPr>
          <w:color w:val="231F20"/>
          <w:spacing w:val="-15"/>
          <w:w w:val="110"/>
        </w:rPr>
        <w:t> </w:t>
      </w:r>
      <w:r>
        <w:rPr>
          <w:color w:val="231F20"/>
          <w:w w:val="110"/>
        </w:rPr>
        <w:t>finales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década</w:t>
      </w:r>
      <w:r>
        <w:rPr>
          <w:color w:val="231F20"/>
          <w:spacing w:val="-15"/>
          <w:w w:val="110"/>
        </w:rPr>
        <w:t> </w:t>
      </w:r>
      <w:r>
        <w:rPr>
          <w:color w:val="231F20"/>
          <w:w w:val="110"/>
        </w:rPr>
        <w:t>de</w:t>
      </w:r>
      <w:r>
        <w:rPr>
          <w:color w:val="231F20"/>
          <w:spacing w:val="-15"/>
          <w:w w:val="110"/>
        </w:rPr>
        <w:t> </w:t>
      </w:r>
      <w:r>
        <w:rPr>
          <w:color w:val="231F20"/>
          <w:w w:val="110"/>
        </w:rPr>
        <w:t>1980,</w:t>
      </w:r>
      <w:r>
        <w:rPr>
          <w:color w:val="231F20"/>
          <w:spacing w:val="-15"/>
          <w:w w:val="110"/>
        </w:rPr>
        <w:t> </w:t>
      </w:r>
      <w:r>
        <w:rPr>
          <w:color w:val="231F20"/>
          <w:w w:val="110"/>
        </w:rPr>
        <w:t>con</w:t>
      </w:r>
      <w:r>
        <w:rPr>
          <w:color w:val="231F20"/>
          <w:spacing w:val="-15"/>
          <w:w w:val="110"/>
        </w:rPr>
        <w:t> </w:t>
      </w:r>
      <w:r>
        <w:rPr>
          <w:color w:val="231F20"/>
          <w:w w:val="110"/>
        </w:rPr>
        <w:t>tasas</w:t>
      </w:r>
      <w:r>
        <w:rPr>
          <w:color w:val="231F20"/>
          <w:w w:val="102"/>
        </w:rPr>
        <w:t> </w:t>
      </w:r>
      <w:r>
        <w:rPr>
          <w:color w:val="231F20"/>
          <w:w w:val="110"/>
        </w:rPr>
        <w:t>de</w:t>
      </w:r>
      <w:r>
        <w:rPr>
          <w:color w:val="231F20"/>
          <w:spacing w:val="-24"/>
          <w:w w:val="110"/>
        </w:rPr>
        <w:t> </w:t>
      </w:r>
      <w:r>
        <w:rPr>
          <w:color w:val="231F20"/>
          <w:w w:val="110"/>
        </w:rPr>
        <w:t>actividad</w:t>
      </w:r>
      <w:r>
        <w:rPr>
          <w:color w:val="231F20"/>
          <w:spacing w:val="-24"/>
          <w:w w:val="110"/>
        </w:rPr>
        <w:t> </w:t>
      </w:r>
      <w:r>
        <w:rPr>
          <w:color w:val="231F20"/>
          <w:w w:val="110"/>
        </w:rPr>
        <w:t>de</w:t>
      </w:r>
      <w:r>
        <w:rPr>
          <w:color w:val="231F20"/>
          <w:spacing w:val="-24"/>
          <w:w w:val="110"/>
        </w:rPr>
        <w:t> </w:t>
      </w:r>
      <w:r>
        <w:rPr>
          <w:color w:val="231F20"/>
          <w:w w:val="110"/>
        </w:rPr>
        <w:t>60.8</w:t>
      </w:r>
      <w:r>
        <w:rPr>
          <w:color w:val="231F20"/>
          <w:spacing w:val="-24"/>
          <w:w w:val="110"/>
        </w:rPr>
        <w:t> </w:t>
      </w:r>
      <w:r>
        <w:rPr>
          <w:color w:val="231F20"/>
          <w:w w:val="110"/>
        </w:rPr>
        <w:t>y</w:t>
      </w:r>
      <w:r>
        <w:rPr>
          <w:color w:val="231F20"/>
          <w:spacing w:val="-24"/>
          <w:w w:val="110"/>
        </w:rPr>
        <w:t> </w:t>
      </w:r>
      <w:r>
        <w:rPr>
          <w:color w:val="231F20"/>
          <w:w w:val="110"/>
        </w:rPr>
        <w:t>66.5%</w:t>
      </w:r>
      <w:r>
        <w:rPr>
          <w:color w:val="231F20"/>
          <w:spacing w:val="-24"/>
          <w:w w:val="110"/>
        </w:rPr>
        <w:t> </w:t>
      </w:r>
      <w:r>
        <w:rPr>
          <w:color w:val="231F20"/>
          <w:w w:val="110"/>
        </w:rPr>
        <w:t>en</w:t>
      </w:r>
      <w:r>
        <w:rPr>
          <w:color w:val="231F20"/>
          <w:spacing w:val="-24"/>
          <w:w w:val="110"/>
        </w:rPr>
        <w:t> </w:t>
      </w:r>
      <w:r>
        <w:rPr>
          <w:color w:val="231F20"/>
          <w:w w:val="110"/>
        </w:rPr>
        <w:t>1973</w:t>
      </w:r>
      <w:r>
        <w:rPr>
          <w:color w:val="231F20"/>
          <w:spacing w:val="-24"/>
          <w:w w:val="110"/>
        </w:rPr>
        <w:t> </w:t>
      </w:r>
      <w:r>
        <w:rPr>
          <w:color w:val="231F20"/>
          <w:w w:val="110"/>
        </w:rPr>
        <w:t>y</w:t>
      </w:r>
      <w:r>
        <w:rPr>
          <w:color w:val="231F20"/>
          <w:spacing w:val="-24"/>
          <w:w w:val="110"/>
        </w:rPr>
        <w:t> </w:t>
      </w:r>
      <w:r>
        <w:rPr>
          <w:color w:val="231F20"/>
          <w:w w:val="110"/>
        </w:rPr>
        <w:t>1989,</w:t>
      </w:r>
      <w:r>
        <w:rPr>
          <w:color w:val="231F20"/>
          <w:spacing w:val="-24"/>
          <w:w w:val="110"/>
        </w:rPr>
        <w:t> </w:t>
      </w:r>
      <w:r>
        <w:rPr>
          <w:color w:val="231F20"/>
          <w:w w:val="110"/>
        </w:rPr>
        <w:t>respectivamente;</w:t>
      </w:r>
      <w:r>
        <w:rPr>
          <w:color w:val="231F20"/>
          <w:spacing w:val="-24"/>
          <w:w w:val="110"/>
        </w:rPr>
        <w:t> </w:t>
      </w:r>
      <w:r>
        <w:rPr>
          <w:color w:val="231F20"/>
          <w:w w:val="110"/>
        </w:rPr>
        <w:t>mantu-</w:t>
      </w:r>
      <w:r>
        <w:rPr>
          <w:color w:val="231F20"/>
          <w:w w:val="72"/>
        </w:rPr>
        <w:t> </w:t>
      </w:r>
      <w:r>
        <w:rPr>
          <w:color w:val="231F20"/>
          <w:w w:val="110"/>
        </w:rPr>
        <w:t>vo</w:t>
      </w:r>
      <w:r>
        <w:rPr>
          <w:color w:val="231F20"/>
          <w:spacing w:val="-11"/>
          <w:w w:val="110"/>
        </w:rPr>
        <w:t> </w:t>
      </w:r>
      <w:r>
        <w:rPr>
          <w:color w:val="231F20"/>
          <w:w w:val="110"/>
        </w:rPr>
        <w:t>un</w:t>
      </w:r>
      <w:r>
        <w:rPr>
          <w:color w:val="231F20"/>
          <w:spacing w:val="-11"/>
          <w:w w:val="110"/>
        </w:rPr>
        <w:t> </w:t>
      </w:r>
      <w:r>
        <w:rPr>
          <w:color w:val="231F20"/>
          <w:w w:val="110"/>
        </w:rPr>
        <w:t>lento</w:t>
      </w:r>
      <w:r>
        <w:rPr>
          <w:color w:val="231F20"/>
          <w:spacing w:val="-11"/>
          <w:w w:val="110"/>
        </w:rPr>
        <w:t> </w:t>
      </w:r>
      <w:r>
        <w:rPr>
          <w:color w:val="231F20"/>
          <w:w w:val="110"/>
        </w:rPr>
        <w:t>crecimiento</w:t>
      </w:r>
      <w:r>
        <w:rPr>
          <w:color w:val="231F20"/>
          <w:spacing w:val="-11"/>
          <w:w w:val="110"/>
        </w:rPr>
        <w:t> </w:t>
      </w:r>
      <w:r>
        <w:rPr>
          <w:color w:val="231F20"/>
          <w:w w:val="110"/>
        </w:rPr>
        <w:t>por</w:t>
      </w:r>
      <w:r>
        <w:rPr>
          <w:color w:val="231F20"/>
          <w:spacing w:val="-11"/>
          <w:w w:val="110"/>
        </w:rPr>
        <w:t> </w:t>
      </w:r>
      <w:r>
        <w:rPr>
          <w:color w:val="231F20"/>
          <w:w w:val="110"/>
        </w:rPr>
        <w:t>lo</w:t>
      </w:r>
      <w:r>
        <w:rPr>
          <w:color w:val="231F20"/>
          <w:spacing w:val="-11"/>
          <w:w w:val="110"/>
        </w:rPr>
        <w:t> </w:t>
      </w:r>
      <w:r>
        <w:rPr>
          <w:color w:val="231F20"/>
          <w:w w:val="110"/>
        </w:rPr>
        <w:t>menos</w:t>
      </w:r>
      <w:r>
        <w:rPr>
          <w:color w:val="231F20"/>
          <w:spacing w:val="-11"/>
          <w:w w:val="110"/>
        </w:rPr>
        <w:t> </w:t>
      </w:r>
      <w:r>
        <w:rPr>
          <w:color w:val="231F20"/>
          <w:w w:val="110"/>
        </w:rPr>
        <w:t>hasta</w:t>
      </w:r>
      <w:r>
        <w:rPr>
          <w:color w:val="231F20"/>
          <w:spacing w:val="-11"/>
          <w:w w:val="110"/>
        </w:rPr>
        <w:t> </w:t>
      </w:r>
      <w:r>
        <w:rPr>
          <w:color w:val="231F20"/>
          <w:w w:val="110"/>
        </w:rPr>
        <w:t>2000,</w:t>
      </w:r>
      <w:r>
        <w:rPr>
          <w:color w:val="231F20"/>
          <w:spacing w:val="-11"/>
          <w:w w:val="110"/>
        </w:rPr>
        <w:t> </w:t>
      </w:r>
      <w:r>
        <w:rPr>
          <w:color w:val="231F20"/>
          <w:w w:val="110"/>
        </w:rPr>
        <w:t>al</w:t>
      </w:r>
      <w:r>
        <w:rPr>
          <w:color w:val="231F20"/>
          <w:spacing w:val="-11"/>
          <w:w w:val="110"/>
        </w:rPr>
        <w:t> </w:t>
      </w:r>
      <w:r>
        <w:rPr>
          <w:color w:val="231F20"/>
          <w:w w:val="110"/>
        </w:rPr>
        <w:t>alcanzar</w:t>
      </w:r>
      <w:r>
        <w:rPr>
          <w:color w:val="231F20"/>
          <w:spacing w:val="-11"/>
          <w:w w:val="110"/>
        </w:rPr>
        <w:t> </w:t>
      </w:r>
      <w:r>
        <w:rPr>
          <w:color w:val="231F20"/>
          <w:w w:val="110"/>
        </w:rPr>
        <w:t>una</w:t>
      </w:r>
      <w:r>
        <w:rPr>
          <w:color w:val="231F20"/>
          <w:spacing w:val="-11"/>
          <w:w w:val="110"/>
        </w:rPr>
        <w:t> </w:t>
      </w:r>
      <w:r>
        <w:rPr>
          <w:color w:val="231F20"/>
          <w:w w:val="110"/>
        </w:rPr>
        <w:t>tasa</w:t>
      </w:r>
      <w:r>
        <w:rPr>
          <w:color w:val="231F20"/>
          <w:w w:val="105"/>
        </w:rPr>
        <w:t> </w:t>
      </w:r>
      <w:r>
        <w:rPr>
          <w:color w:val="231F20"/>
          <w:w w:val="110"/>
        </w:rPr>
        <w:t>de</w:t>
      </w:r>
      <w:r>
        <w:rPr>
          <w:color w:val="231F20"/>
          <w:spacing w:val="-8"/>
          <w:w w:val="110"/>
        </w:rPr>
        <w:t> </w:t>
      </w:r>
      <w:r>
        <w:rPr>
          <w:color w:val="231F20"/>
          <w:w w:val="110"/>
        </w:rPr>
        <w:t>67.1%,</w:t>
      </w:r>
      <w:r>
        <w:rPr>
          <w:color w:val="231F20"/>
          <w:spacing w:val="-8"/>
          <w:w w:val="110"/>
        </w:rPr>
        <w:t> </w:t>
      </w:r>
      <w:r>
        <w:rPr>
          <w:color w:val="231F20"/>
          <w:w w:val="110"/>
        </w:rPr>
        <w:t>y</w:t>
      </w:r>
      <w:r>
        <w:rPr>
          <w:color w:val="231F20"/>
          <w:spacing w:val="-8"/>
          <w:w w:val="110"/>
        </w:rPr>
        <w:t> </w:t>
      </w:r>
      <w:r>
        <w:rPr>
          <w:color w:val="231F20"/>
          <w:w w:val="110"/>
        </w:rPr>
        <w:t>desde</w:t>
      </w:r>
      <w:r>
        <w:rPr>
          <w:color w:val="231F20"/>
          <w:spacing w:val="-8"/>
          <w:w w:val="110"/>
        </w:rPr>
        <w:t> </w:t>
      </w:r>
      <w:r>
        <w:rPr>
          <w:color w:val="231F20"/>
          <w:w w:val="110"/>
        </w:rPr>
        <w:t>entonces</w:t>
      </w:r>
      <w:r>
        <w:rPr>
          <w:color w:val="231F20"/>
          <w:spacing w:val="-8"/>
          <w:w w:val="110"/>
        </w:rPr>
        <w:t> </w:t>
      </w:r>
      <w:r>
        <w:rPr>
          <w:color w:val="231F20"/>
          <w:w w:val="110"/>
        </w:rPr>
        <w:t>mostró</w:t>
      </w:r>
      <w:r>
        <w:rPr>
          <w:color w:val="231F20"/>
          <w:spacing w:val="-8"/>
          <w:w w:val="110"/>
        </w:rPr>
        <w:t> </w:t>
      </w:r>
      <w:r>
        <w:rPr>
          <w:color w:val="231F20"/>
          <w:w w:val="110"/>
        </w:rPr>
        <w:t>una</w:t>
      </w:r>
      <w:r>
        <w:rPr>
          <w:color w:val="231F20"/>
          <w:spacing w:val="-8"/>
          <w:w w:val="110"/>
        </w:rPr>
        <w:t> </w:t>
      </w:r>
      <w:r>
        <w:rPr>
          <w:color w:val="231F20"/>
          <w:w w:val="110"/>
        </w:rPr>
        <w:t>tendencia</w:t>
      </w:r>
      <w:r>
        <w:rPr>
          <w:color w:val="231F20"/>
          <w:spacing w:val="-8"/>
          <w:w w:val="110"/>
        </w:rPr>
        <w:t> </w:t>
      </w:r>
      <w:r>
        <w:rPr>
          <w:color w:val="231F20"/>
          <w:w w:val="110"/>
        </w:rPr>
        <w:t>marcadamente</w:t>
      </w:r>
      <w:r>
        <w:rPr>
          <w:color w:val="231F20"/>
          <w:spacing w:val="-8"/>
          <w:w w:val="110"/>
        </w:rPr>
        <w:t> </w:t>
      </w:r>
      <w:r>
        <w:rPr>
          <w:color w:val="231F20"/>
          <w:w w:val="110"/>
        </w:rPr>
        <w:t>a</w:t>
      </w:r>
      <w:r>
        <w:rPr>
          <w:color w:val="231F20"/>
          <w:spacing w:val="-8"/>
          <w:w w:val="110"/>
        </w:rPr>
        <w:t> </w:t>
      </w:r>
      <w:r>
        <w:rPr>
          <w:color w:val="231F20"/>
          <w:w w:val="110"/>
        </w:rPr>
        <w:t>la</w:t>
      </w:r>
      <w:r>
        <w:rPr>
          <w:color w:val="231F20"/>
          <w:w w:val="105"/>
        </w:rPr>
        <w:t> </w:t>
      </w:r>
      <w:r>
        <w:rPr>
          <w:color w:val="231F20"/>
          <w:w w:val="110"/>
        </w:rPr>
        <w:t>baja,</w:t>
      </w:r>
      <w:r>
        <w:rPr>
          <w:color w:val="231F20"/>
          <w:spacing w:val="-12"/>
          <w:w w:val="110"/>
        </w:rPr>
        <w:t> </w:t>
      </w:r>
      <w:r>
        <w:rPr>
          <w:color w:val="231F20"/>
          <w:w w:val="110"/>
        </w:rPr>
        <w:t>con</w:t>
      </w:r>
      <w:r>
        <w:rPr>
          <w:color w:val="231F20"/>
          <w:spacing w:val="-12"/>
          <w:w w:val="110"/>
        </w:rPr>
        <w:t> </w:t>
      </w:r>
      <w:r>
        <w:rPr>
          <w:color w:val="231F20"/>
          <w:w w:val="110"/>
        </w:rPr>
        <w:t>tasas</w:t>
      </w:r>
      <w:r>
        <w:rPr>
          <w:color w:val="231F20"/>
          <w:spacing w:val="-12"/>
          <w:w w:val="110"/>
        </w:rPr>
        <w:t> </w:t>
      </w:r>
      <w:r>
        <w:rPr>
          <w:color w:val="231F20"/>
          <w:w w:val="110"/>
        </w:rPr>
        <w:t>de</w:t>
      </w:r>
      <w:r>
        <w:rPr>
          <w:color w:val="231F20"/>
          <w:spacing w:val="-12"/>
          <w:w w:val="110"/>
        </w:rPr>
        <w:t> </w:t>
      </w:r>
      <w:r>
        <w:rPr>
          <w:color w:val="231F20"/>
          <w:w w:val="110"/>
        </w:rPr>
        <w:t>66%</w:t>
      </w:r>
      <w:r>
        <w:rPr>
          <w:color w:val="231F20"/>
          <w:spacing w:val="-12"/>
          <w:w w:val="110"/>
        </w:rPr>
        <w:t> </w:t>
      </w:r>
      <w:r>
        <w:rPr>
          <w:color w:val="231F20"/>
          <w:w w:val="110"/>
        </w:rPr>
        <w:t>en</w:t>
      </w:r>
      <w:r>
        <w:rPr>
          <w:color w:val="231F20"/>
          <w:spacing w:val="-12"/>
          <w:w w:val="110"/>
        </w:rPr>
        <w:t> </w:t>
      </w:r>
      <w:r>
        <w:rPr>
          <w:color w:val="231F20"/>
          <w:w w:val="110"/>
        </w:rPr>
        <w:t>2008</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w w:val="110"/>
        </w:rPr>
        <w:t>64.7%</w:t>
      </w:r>
      <w:r>
        <w:rPr>
          <w:color w:val="231F20"/>
          <w:spacing w:val="-12"/>
          <w:w w:val="110"/>
        </w:rPr>
        <w:t> </w:t>
      </w:r>
      <w:r>
        <w:rPr>
          <w:color w:val="231F20"/>
          <w:w w:val="110"/>
        </w:rPr>
        <w:t>en</w:t>
      </w:r>
      <w:r>
        <w:rPr>
          <w:color w:val="231F20"/>
          <w:spacing w:val="-12"/>
          <w:w w:val="110"/>
        </w:rPr>
        <w:t> </w:t>
      </w:r>
      <w:r>
        <w:rPr>
          <w:color w:val="231F20"/>
          <w:w w:val="110"/>
        </w:rPr>
        <w:t>2010</w:t>
      </w:r>
      <w:r>
        <w:rPr>
          <w:color w:val="231F20"/>
          <w:spacing w:val="-12"/>
          <w:w w:val="110"/>
        </w:rPr>
        <w:t> </w:t>
      </w:r>
      <w:r>
        <w:rPr>
          <w:color w:val="231F20"/>
          <w:w w:val="110"/>
        </w:rPr>
        <w:t>y</w:t>
      </w:r>
      <w:r>
        <w:rPr>
          <w:color w:val="231F20"/>
          <w:spacing w:val="-12"/>
          <w:w w:val="110"/>
        </w:rPr>
        <w:t> </w:t>
      </w:r>
      <w:r>
        <w:rPr>
          <w:color w:val="231F20"/>
          <w:w w:val="110"/>
        </w:rPr>
        <w:t>64.1%</w:t>
      </w:r>
      <w:r>
        <w:rPr>
          <w:color w:val="231F20"/>
          <w:spacing w:val="-12"/>
          <w:w w:val="110"/>
        </w:rPr>
        <w:t> </w:t>
      </w:r>
      <w:r>
        <w:rPr>
          <w:color w:val="231F20"/>
          <w:w w:val="110"/>
        </w:rPr>
        <w:t>en</w:t>
      </w:r>
      <w:r>
        <w:rPr>
          <w:color w:val="231F20"/>
          <w:spacing w:val="-12"/>
          <w:w w:val="110"/>
        </w:rPr>
        <w:t> </w:t>
      </w:r>
      <w:r>
        <w:rPr>
          <w:color w:val="231F20"/>
          <w:w w:val="110"/>
        </w:rPr>
        <w:t>2011,</w:t>
      </w:r>
      <w:r>
        <w:rPr>
          <w:color w:val="231F20"/>
          <w:w w:val="104"/>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entorno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crisis</w:t>
      </w:r>
      <w:r>
        <w:rPr>
          <w:color w:val="231F20"/>
          <w:spacing w:val="-15"/>
          <w:w w:val="110"/>
        </w:rPr>
        <w:t> </w:t>
      </w:r>
      <w:r>
        <w:rPr>
          <w:color w:val="231F20"/>
          <w:w w:val="110"/>
        </w:rPr>
        <w:t>y</w:t>
      </w:r>
      <w:r>
        <w:rPr>
          <w:color w:val="231F20"/>
          <w:spacing w:val="-15"/>
          <w:w w:val="110"/>
        </w:rPr>
        <w:t> </w:t>
      </w:r>
      <w:r>
        <w:rPr>
          <w:color w:val="231F20"/>
          <w:w w:val="110"/>
        </w:rPr>
        <w:t>dadas</w:t>
      </w:r>
      <w:r>
        <w:rPr>
          <w:color w:val="231F20"/>
          <w:spacing w:val="-15"/>
          <w:w w:val="110"/>
        </w:rPr>
        <w:t> </w:t>
      </w:r>
      <w:r>
        <w:rPr>
          <w:color w:val="231F20"/>
          <w:w w:val="110"/>
        </w:rPr>
        <w:t>las</w:t>
      </w:r>
      <w:r>
        <w:rPr>
          <w:color w:val="231F20"/>
          <w:spacing w:val="-15"/>
          <w:w w:val="110"/>
        </w:rPr>
        <w:t> </w:t>
      </w:r>
      <w:r>
        <w:rPr>
          <w:color w:val="231F20"/>
          <w:w w:val="110"/>
        </w:rPr>
        <w:t>condiciones</w:t>
      </w:r>
      <w:r>
        <w:rPr>
          <w:color w:val="231F20"/>
          <w:spacing w:val="-15"/>
          <w:w w:val="110"/>
        </w:rPr>
        <w:t> </w:t>
      </w:r>
      <w:r>
        <w:rPr>
          <w:color w:val="231F20"/>
          <w:w w:val="110"/>
        </w:rPr>
        <w:t>generadas</w:t>
      </w:r>
      <w:r>
        <w:rPr>
          <w:color w:val="231F20"/>
          <w:spacing w:val="-15"/>
          <w:w w:val="110"/>
        </w:rPr>
        <w:t> </w:t>
      </w:r>
      <w:r>
        <w:rPr>
          <w:color w:val="231F20"/>
          <w:w w:val="110"/>
        </w:rPr>
        <w:t>por</w:t>
      </w:r>
      <w:r>
        <w:rPr>
          <w:color w:val="231F20"/>
          <w:spacing w:val="-15"/>
          <w:w w:val="110"/>
        </w:rPr>
        <w:t> </w:t>
      </w:r>
      <w:r>
        <w:rPr>
          <w:color w:val="231F20"/>
          <w:w w:val="110"/>
        </w:rPr>
        <w:t>ella</w:t>
      </w:r>
      <w:r>
        <w:rPr>
          <w:color w:val="231F20"/>
          <w:spacing w:val="-15"/>
          <w:w w:val="110"/>
        </w:rPr>
        <w:t> </w:t>
      </w:r>
      <w:r>
        <w:rPr>
          <w:color w:val="231F20"/>
          <w:w w:val="110"/>
        </w:rPr>
        <w:t>de</w:t>
      </w:r>
      <w:r>
        <w:rPr>
          <w:color w:val="231F20"/>
          <w:w w:val="114"/>
        </w:rPr>
        <w:t> </w:t>
      </w:r>
      <w:r>
        <w:rPr>
          <w:color w:val="231F20"/>
          <w:w w:val="110"/>
        </w:rPr>
        <w:t>desaliento</w:t>
      </w:r>
      <w:r>
        <w:rPr>
          <w:color w:val="231F20"/>
          <w:spacing w:val="-19"/>
          <w:w w:val="110"/>
        </w:rPr>
        <w:t> </w:t>
      </w:r>
      <w:r>
        <w:rPr>
          <w:color w:val="231F20"/>
          <w:w w:val="110"/>
        </w:rPr>
        <w:t>laboral</w:t>
      </w:r>
      <w:r>
        <w:rPr>
          <w:color w:val="231F20"/>
          <w:spacing w:val="-19"/>
          <w:w w:val="110"/>
        </w:rPr>
        <w:t> </w:t>
      </w:r>
      <w:r>
        <w:rPr>
          <w:color w:val="231F20"/>
          <w:w w:val="110"/>
        </w:rPr>
        <w:t>generalizado.</w:t>
      </w:r>
      <w:r>
        <w:rPr>
          <w:color w:val="231F20"/>
          <w:spacing w:val="-19"/>
          <w:w w:val="110"/>
        </w:rPr>
        <w:t> </w:t>
      </w:r>
      <w:r>
        <w:rPr>
          <w:color w:val="231F20"/>
          <w:w w:val="110"/>
        </w:rPr>
        <w:t>A</w:t>
      </w:r>
      <w:r>
        <w:rPr>
          <w:color w:val="231F20"/>
          <w:spacing w:val="-19"/>
          <w:w w:val="110"/>
        </w:rPr>
        <w:t> </w:t>
      </w:r>
      <w:r>
        <w:rPr>
          <w:color w:val="231F20"/>
          <w:w w:val="110"/>
        </w:rPr>
        <w:t>pesar</w:t>
      </w:r>
      <w:r>
        <w:rPr>
          <w:color w:val="231F20"/>
          <w:spacing w:val="-19"/>
          <w:w w:val="110"/>
        </w:rPr>
        <w:t> </w:t>
      </w:r>
      <w:r>
        <w:rPr>
          <w:color w:val="231F20"/>
          <w:w w:val="110"/>
        </w:rPr>
        <w:t>de</w:t>
      </w:r>
      <w:r>
        <w:rPr>
          <w:color w:val="231F20"/>
          <w:spacing w:val="-19"/>
          <w:w w:val="110"/>
        </w:rPr>
        <w:t> </w:t>
      </w:r>
      <w:r>
        <w:rPr>
          <w:color w:val="231F20"/>
          <w:w w:val="110"/>
        </w:rPr>
        <w:t>lo</w:t>
      </w:r>
      <w:r>
        <w:rPr>
          <w:color w:val="231F20"/>
          <w:spacing w:val="-19"/>
          <w:w w:val="110"/>
        </w:rPr>
        <w:t> </w:t>
      </w:r>
      <w:r>
        <w:rPr>
          <w:color w:val="231F20"/>
          <w:w w:val="110"/>
        </w:rPr>
        <w:t>anterior,</w:t>
      </w:r>
      <w:r>
        <w:rPr>
          <w:color w:val="231F20"/>
          <w:spacing w:val="-19"/>
          <w:w w:val="110"/>
        </w:rPr>
        <w:t> </w:t>
      </w:r>
      <w:r>
        <w:rPr>
          <w:color w:val="231F20"/>
          <w:w w:val="110"/>
        </w:rPr>
        <w:t>y</w:t>
      </w:r>
      <w:r>
        <w:rPr>
          <w:color w:val="231F20"/>
          <w:spacing w:val="-19"/>
          <w:w w:val="110"/>
        </w:rPr>
        <w:t> </w:t>
      </w:r>
      <w:r>
        <w:rPr>
          <w:color w:val="231F20"/>
          <w:w w:val="110"/>
        </w:rPr>
        <w:t>al</w:t>
      </w:r>
      <w:r>
        <w:rPr>
          <w:color w:val="231F20"/>
          <w:spacing w:val="-19"/>
          <w:w w:val="110"/>
        </w:rPr>
        <w:t> </w:t>
      </w:r>
      <w:r>
        <w:rPr>
          <w:color w:val="231F20"/>
          <w:w w:val="110"/>
        </w:rPr>
        <w:t>optimismo</w:t>
      </w:r>
      <w:r>
        <w:rPr>
          <w:color w:val="231F20"/>
          <w:w w:val="108"/>
        </w:rPr>
        <w:t> </w:t>
      </w:r>
      <w:r>
        <w:rPr>
          <w:color w:val="231F20"/>
          <w:w w:val="110"/>
        </w:rPr>
        <w:t>que originó el descenso de la tasa de desempleo entre</w:t>
      </w:r>
      <w:r>
        <w:rPr>
          <w:color w:val="231F20"/>
          <w:spacing w:val="31"/>
          <w:w w:val="110"/>
        </w:rPr>
        <w:t> </w:t>
      </w:r>
      <w:r>
        <w:rPr>
          <w:color w:val="231F20"/>
          <w:w w:val="110"/>
        </w:rPr>
        <w:t>comienzos</w:t>
      </w:r>
      <w:r>
        <w:rPr>
          <w:color w:val="231F20"/>
          <w:spacing w:val="3"/>
          <w:w w:val="110"/>
        </w:rPr>
        <w:t> </w:t>
      </w:r>
      <w:r>
        <w:rPr>
          <w:color w:val="231F20"/>
          <w:w w:val="110"/>
        </w:rPr>
        <w:t>de</w:t>
      </w:r>
      <w:r>
        <w:rPr>
          <w:color w:val="231F20"/>
          <w:w w:val="114"/>
        </w:rPr>
        <w:t> </w:t>
      </w:r>
      <w:r>
        <w:rPr>
          <w:color w:val="231F20"/>
          <w:w w:val="110"/>
        </w:rPr>
        <w:t>los</w:t>
      </w:r>
      <w:r>
        <w:rPr>
          <w:color w:val="231F20"/>
          <w:spacing w:val="34"/>
          <w:w w:val="110"/>
        </w:rPr>
        <w:t> </w:t>
      </w:r>
      <w:r>
        <w:rPr>
          <w:color w:val="231F20"/>
          <w:w w:val="110"/>
        </w:rPr>
        <w:t>años</w:t>
      </w:r>
      <w:r>
        <w:rPr>
          <w:color w:val="231F20"/>
          <w:spacing w:val="34"/>
          <w:w w:val="110"/>
        </w:rPr>
        <w:t> </w:t>
      </w:r>
      <w:r>
        <w:rPr>
          <w:color w:val="231F20"/>
          <w:w w:val="110"/>
        </w:rPr>
        <w:t>ochenta,</w:t>
      </w:r>
      <w:r>
        <w:rPr>
          <w:color w:val="231F20"/>
          <w:spacing w:val="34"/>
          <w:w w:val="110"/>
        </w:rPr>
        <w:t> </w:t>
      </w:r>
      <w:r>
        <w:rPr>
          <w:color w:val="231F20"/>
          <w:w w:val="110"/>
        </w:rPr>
        <w:t>durante</w:t>
      </w:r>
      <w:r>
        <w:rPr>
          <w:color w:val="231F20"/>
          <w:spacing w:val="34"/>
          <w:w w:val="110"/>
        </w:rPr>
        <w:t> </w:t>
      </w:r>
      <w:r>
        <w:rPr>
          <w:color w:val="231F20"/>
          <w:w w:val="110"/>
        </w:rPr>
        <w:t>los</w:t>
      </w:r>
      <w:r>
        <w:rPr>
          <w:color w:val="231F20"/>
          <w:spacing w:val="34"/>
          <w:w w:val="110"/>
        </w:rPr>
        <w:t> </w:t>
      </w:r>
      <w:r>
        <w:rPr>
          <w:color w:val="231F20"/>
          <w:w w:val="110"/>
        </w:rPr>
        <w:t>noventa</w:t>
      </w:r>
      <w:r>
        <w:rPr>
          <w:color w:val="231F20"/>
          <w:spacing w:val="34"/>
          <w:w w:val="110"/>
        </w:rPr>
        <w:t> </w:t>
      </w:r>
      <w:r>
        <w:rPr>
          <w:color w:val="231F20"/>
          <w:w w:val="110"/>
        </w:rPr>
        <w:t>y</w:t>
      </w:r>
      <w:r>
        <w:rPr>
          <w:color w:val="231F20"/>
          <w:spacing w:val="34"/>
          <w:w w:val="110"/>
        </w:rPr>
        <w:t> </w:t>
      </w:r>
      <w:r>
        <w:rPr>
          <w:color w:val="231F20"/>
          <w:w w:val="110"/>
        </w:rPr>
        <w:t>parte</w:t>
      </w:r>
      <w:r>
        <w:rPr>
          <w:color w:val="231F20"/>
          <w:spacing w:val="34"/>
          <w:w w:val="110"/>
        </w:rPr>
        <w:t> </w:t>
      </w:r>
      <w:r>
        <w:rPr>
          <w:color w:val="231F20"/>
          <w:w w:val="110"/>
        </w:rPr>
        <w:t>del</w:t>
      </w:r>
      <w:r>
        <w:rPr>
          <w:color w:val="231F20"/>
          <w:spacing w:val="34"/>
          <w:w w:val="110"/>
        </w:rPr>
        <w:t> </w:t>
      </w:r>
      <w:r>
        <w:rPr>
          <w:color w:val="231F20"/>
          <w:w w:val="110"/>
        </w:rPr>
        <w:t>primer</w:t>
      </w:r>
      <w:r>
        <w:rPr>
          <w:color w:val="231F20"/>
          <w:spacing w:val="34"/>
          <w:w w:val="110"/>
        </w:rPr>
        <w:t> </w:t>
      </w:r>
      <w:r>
        <w:rPr>
          <w:color w:val="231F20"/>
          <w:w w:val="110"/>
        </w:rPr>
        <w:t>decenio</w:t>
      </w:r>
      <w:r>
        <w:rPr>
          <w:color w:val="231F20"/>
          <w:w w:val="111"/>
        </w:rPr>
        <w:t> </w:t>
      </w:r>
      <w:r>
        <w:rPr>
          <w:color w:val="231F20"/>
          <w:w w:val="110"/>
        </w:rPr>
        <w:t>de este siglo, dicha tendencia fue drásticamente revertida</w:t>
      </w:r>
      <w:r>
        <w:rPr>
          <w:color w:val="231F20"/>
          <w:spacing w:val="33"/>
          <w:w w:val="110"/>
        </w:rPr>
        <w:t> </w:t>
      </w:r>
      <w:r>
        <w:rPr>
          <w:color w:val="231F20"/>
          <w:w w:val="110"/>
        </w:rPr>
        <w:t>en</w:t>
      </w:r>
      <w:r>
        <w:rPr>
          <w:color w:val="231F20"/>
          <w:spacing w:val="17"/>
          <w:w w:val="110"/>
        </w:rPr>
        <w:t> </w:t>
      </w:r>
      <w:r>
        <w:rPr>
          <w:color w:val="231F20"/>
          <w:w w:val="110"/>
        </w:rPr>
        <w:t>2008,</w:t>
      </w:r>
      <w:r>
        <w:rPr>
          <w:color w:val="231F20"/>
          <w:w w:val="104"/>
        </w:rPr>
        <w:t> </w:t>
      </w:r>
      <w:r>
        <w:rPr>
          <w:color w:val="231F20"/>
          <w:w w:val="110"/>
        </w:rPr>
        <w:t>con el impacto de la crisis, que prácticamente paralizó</w:t>
      </w:r>
      <w:r>
        <w:rPr>
          <w:color w:val="231F20"/>
          <w:spacing w:val="25"/>
          <w:w w:val="110"/>
        </w:rPr>
        <w:t> </w:t>
      </w:r>
      <w:r>
        <w:rPr>
          <w:color w:val="231F20"/>
          <w:w w:val="110"/>
        </w:rPr>
        <w:t>la</w:t>
      </w:r>
      <w:r>
        <w:rPr>
          <w:color w:val="231F20"/>
          <w:spacing w:val="15"/>
          <w:w w:val="110"/>
        </w:rPr>
        <w:t> </w:t>
      </w:r>
      <w:r>
        <w:rPr>
          <w:color w:val="231F20"/>
          <w:w w:val="110"/>
        </w:rPr>
        <w:t>actividad</w:t>
      </w:r>
      <w:r>
        <w:rPr>
          <w:color w:val="231F20"/>
          <w:w w:val="105"/>
        </w:rPr>
        <w:t> </w:t>
      </w:r>
      <w:r>
        <w:rPr>
          <w:color w:val="231F20"/>
          <w:w w:val="110"/>
        </w:rPr>
        <w:t>económica</w:t>
      </w:r>
      <w:r>
        <w:rPr>
          <w:color w:val="231F20"/>
          <w:spacing w:val="-10"/>
          <w:w w:val="110"/>
        </w:rPr>
        <w:t> </w:t>
      </w:r>
      <w:r>
        <w:rPr>
          <w:color w:val="231F20"/>
          <w:w w:val="110"/>
        </w:rPr>
        <w:t>en</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La</w:t>
      </w:r>
      <w:r>
        <w:rPr>
          <w:color w:val="231F20"/>
          <w:spacing w:val="-10"/>
          <w:w w:val="110"/>
        </w:rPr>
        <w:t> </w:t>
      </w:r>
      <w:r>
        <w:rPr>
          <w:color w:val="231F20"/>
          <w:w w:val="110"/>
        </w:rPr>
        <w:t>tasa</w:t>
      </w:r>
      <w:r>
        <w:rPr>
          <w:color w:val="231F20"/>
          <w:spacing w:val="-10"/>
          <w:w w:val="110"/>
        </w:rPr>
        <w:t> </w:t>
      </w:r>
      <w:r>
        <w:rPr>
          <w:color w:val="231F20"/>
          <w:w w:val="110"/>
        </w:rPr>
        <w:t>de</w:t>
      </w:r>
      <w:r>
        <w:rPr>
          <w:color w:val="231F20"/>
          <w:spacing w:val="-10"/>
          <w:w w:val="110"/>
        </w:rPr>
        <w:t> </w:t>
      </w:r>
      <w:r>
        <w:rPr>
          <w:color w:val="231F20"/>
          <w:w w:val="110"/>
        </w:rPr>
        <w:t>desempleo</w:t>
      </w:r>
      <w:r>
        <w:rPr>
          <w:color w:val="231F20"/>
          <w:spacing w:val="-10"/>
          <w:w w:val="110"/>
        </w:rPr>
        <w:t> </w:t>
      </w:r>
      <w:r>
        <w:rPr>
          <w:color w:val="231F20"/>
          <w:w w:val="110"/>
        </w:rPr>
        <w:t>se</w:t>
      </w:r>
      <w:r>
        <w:rPr>
          <w:color w:val="231F20"/>
          <w:spacing w:val="-10"/>
          <w:w w:val="110"/>
        </w:rPr>
        <w:t> </w:t>
      </w:r>
      <w:r>
        <w:rPr>
          <w:color w:val="231F20"/>
          <w:w w:val="110"/>
        </w:rPr>
        <w:t>duplicó</w:t>
      </w:r>
      <w:r>
        <w:rPr>
          <w:color w:val="231F20"/>
          <w:spacing w:val="-10"/>
          <w:w w:val="110"/>
        </w:rPr>
        <w:t> </w:t>
      </w:r>
      <w:r>
        <w:rPr>
          <w:color w:val="231F20"/>
          <w:w w:val="110"/>
        </w:rPr>
        <w:t>entre</w:t>
      </w:r>
      <w:r>
        <w:rPr>
          <w:color w:val="231F20"/>
          <w:w w:val="116"/>
        </w:rPr>
        <w:t> </w:t>
      </w:r>
      <w:r>
        <w:rPr>
          <w:color w:val="231F20"/>
          <w:w w:val="110"/>
        </w:rPr>
        <w:t>2007</w:t>
      </w:r>
      <w:r>
        <w:rPr>
          <w:color w:val="231F20"/>
          <w:spacing w:val="-11"/>
          <w:w w:val="110"/>
        </w:rPr>
        <w:t> </w:t>
      </w:r>
      <w:r>
        <w:rPr>
          <w:color w:val="231F20"/>
          <w:w w:val="110"/>
        </w:rPr>
        <w:t>y</w:t>
      </w:r>
      <w:r>
        <w:rPr>
          <w:color w:val="231F20"/>
          <w:spacing w:val="-11"/>
          <w:w w:val="110"/>
        </w:rPr>
        <w:t> </w:t>
      </w:r>
      <w:r>
        <w:rPr>
          <w:color w:val="231F20"/>
          <w:w w:val="110"/>
        </w:rPr>
        <w:t>2009,</w:t>
      </w:r>
      <w:r>
        <w:rPr>
          <w:color w:val="231F20"/>
          <w:spacing w:val="-11"/>
          <w:w w:val="110"/>
        </w:rPr>
        <w:t> </w:t>
      </w:r>
      <w:r>
        <w:rPr>
          <w:color w:val="231F20"/>
          <w:w w:val="110"/>
        </w:rPr>
        <w:t>al</w:t>
      </w:r>
      <w:r>
        <w:rPr>
          <w:color w:val="231F20"/>
          <w:spacing w:val="-11"/>
          <w:w w:val="110"/>
        </w:rPr>
        <w:t> </w:t>
      </w:r>
      <w:r>
        <w:rPr>
          <w:color w:val="231F20"/>
          <w:w w:val="110"/>
        </w:rPr>
        <w:t>pasar</w:t>
      </w:r>
      <w:r>
        <w:rPr>
          <w:color w:val="231F20"/>
          <w:spacing w:val="-11"/>
          <w:w w:val="110"/>
        </w:rPr>
        <w:t> </w:t>
      </w:r>
      <w:r>
        <w:rPr>
          <w:color w:val="231F20"/>
          <w:w w:val="110"/>
        </w:rPr>
        <w:t>de</w:t>
      </w:r>
      <w:r>
        <w:rPr>
          <w:color w:val="231F20"/>
          <w:spacing w:val="-11"/>
          <w:w w:val="110"/>
        </w:rPr>
        <w:t> </w:t>
      </w:r>
      <w:r>
        <w:rPr>
          <w:color w:val="231F20"/>
          <w:w w:val="110"/>
        </w:rPr>
        <w:t>4.6</w:t>
      </w:r>
      <w:r>
        <w:rPr>
          <w:color w:val="231F20"/>
          <w:spacing w:val="-11"/>
          <w:w w:val="110"/>
        </w:rPr>
        <w:t> </w:t>
      </w:r>
      <w:r>
        <w:rPr>
          <w:color w:val="231F20"/>
          <w:w w:val="110"/>
        </w:rPr>
        <w:t>a</w:t>
      </w:r>
      <w:r>
        <w:rPr>
          <w:color w:val="231F20"/>
          <w:spacing w:val="-11"/>
          <w:w w:val="110"/>
        </w:rPr>
        <w:t> </w:t>
      </w:r>
      <w:r>
        <w:rPr>
          <w:color w:val="231F20"/>
          <w:w w:val="110"/>
        </w:rPr>
        <w:t>9.3%,</w:t>
      </w:r>
      <w:r>
        <w:rPr>
          <w:color w:val="231F20"/>
          <w:spacing w:val="-11"/>
          <w:w w:val="110"/>
        </w:rPr>
        <w:t> </w:t>
      </w:r>
      <w:r>
        <w:rPr>
          <w:color w:val="231F20"/>
          <w:w w:val="110"/>
        </w:rPr>
        <w:t>y</w:t>
      </w:r>
      <w:r>
        <w:rPr>
          <w:color w:val="231F20"/>
          <w:spacing w:val="-11"/>
          <w:w w:val="110"/>
        </w:rPr>
        <w:t> </w:t>
      </w:r>
      <w:r>
        <w:rPr>
          <w:color w:val="231F20"/>
          <w:w w:val="110"/>
        </w:rPr>
        <w:t>a</w:t>
      </w:r>
      <w:r>
        <w:rPr>
          <w:color w:val="231F20"/>
          <w:spacing w:val="-11"/>
          <w:w w:val="110"/>
        </w:rPr>
        <w:t> </w:t>
      </w:r>
      <w:r>
        <w:rPr>
          <w:color w:val="231F20"/>
          <w:w w:val="110"/>
        </w:rPr>
        <w:t>9.6</w:t>
      </w:r>
      <w:r>
        <w:rPr>
          <w:color w:val="231F20"/>
          <w:spacing w:val="-11"/>
          <w:w w:val="110"/>
        </w:rPr>
        <w:t> </w:t>
      </w:r>
      <w:r>
        <w:rPr>
          <w:color w:val="231F20"/>
          <w:w w:val="110"/>
        </w:rPr>
        <w:t>y</w:t>
      </w:r>
      <w:r>
        <w:rPr>
          <w:color w:val="231F20"/>
          <w:spacing w:val="-11"/>
          <w:w w:val="110"/>
        </w:rPr>
        <w:t> </w:t>
      </w:r>
      <w:r>
        <w:rPr>
          <w:color w:val="231F20"/>
          <w:w w:val="110"/>
        </w:rPr>
        <w:t>8.9%</w:t>
      </w:r>
      <w:r>
        <w:rPr>
          <w:color w:val="231F20"/>
          <w:spacing w:val="-11"/>
          <w:w w:val="110"/>
        </w:rPr>
        <w:t> </w:t>
      </w:r>
      <w:r>
        <w:rPr>
          <w:color w:val="231F20"/>
          <w:w w:val="110"/>
        </w:rPr>
        <w:t>entre</w:t>
      </w:r>
      <w:r>
        <w:rPr>
          <w:color w:val="231F20"/>
          <w:spacing w:val="-11"/>
          <w:w w:val="110"/>
        </w:rPr>
        <w:t> </w:t>
      </w:r>
      <w:r>
        <w:rPr>
          <w:color w:val="231F20"/>
          <w:w w:val="110"/>
        </w:rPr>
        <w:t>2010</w:t>
      </w:r>
      <w:r>
        <w:rPr>
          <w:color w:val="231F20"/>
          <w:spacing w:val="-11"/>
          <w:w w:val="110"/>
        </w:rPr>
        <w:t> </w:t>
      </w:r>
      <w:r>
        <w:rPr>
          <w:color w:val="231F20"/>
          <w:w w:val="110"/>
        </w:rPr>
        <w:t>y</w:t>
      </w:r>
      <w:r>
        <w:rPr>
          <w:color w:val="231F20"/>
          <w:spacing w:val="-11"/>
          <w:w w:val="110"/>
        </w:rPr>
        <w:t> </w:t>
      </w:r>
      <w:r>
        <w:rPr>
          <w:color w:val="231F20"/>
          <w:w w:val="110"/>
        </w:rPr>
        <w:t>2011</w:t>
      </w:r>
      <w:r>
        <w:rPr>
          <w:color w:val="231F20"/>
          <w:w w:val="104"/>
        </w:rPr>
        <w:t> </w:t>
      </w:r>
      <w:r>
        <w:rPr>
          <w:color w:val="231F20"/>
          <w:w w:val="110"/>
        </w:rPr>
        <w:t>(US Bureau of Labor Statistics, 2012). El desempleo afecta</w:t>
      </w:r>
      <w:r>
        <w:rPr>
          <w:color w:val="231F20"/>
          <w:spacing w:val="33"/>
          <w:w w:val="110"/>
        </w:rPr>
        <w:t> </w:t>
      </w:r>
      <w:r>
        <w:rPr>
          <w:color w:val="231F20"/>
          <w:w w:val="110"/>
        </w:rPr>
        <w:t>a</w:t>
      </w:r>
      <w:r>
        <w:rPr>
          <w:color w:val="231F20"/>
          <w:spacing w:val="9"/>
          <w:w w:val="110"/>
        </w:rPr>
        <w:t> </w:t>
      </w:r>
      <w:r>
        <w:rPr>
          <w:color w:val="231F20"/>
          <w:w w:val="110"/>
        </w:rPr>
        <w:t>todos</w:t>
      </w:r>
      <w:r>
        <w:rPr>
          <w:color w:val="231F20"/>
          <w:w w:val="109"/>
        </w:rPr>
        <w:t> </w:t>
      </w:r>
      <w:r>
        <w:rPr>
          <w:color w:val="231F20"/>
          <w:w w:val="110"/>
        </w:rPr>
        <w:t>los segmentos del mercado laboral, pero mucho más a  </w:t>
      </w:r>
      <w:r>
        <w:rPr>
          <w:color w:val="231F20"/>
          <w:spacing w:val="9"/>
          <w:w w:val="110"/>
        </w:rPr>
        <w:t> </w:t>
      </w:r>
      <w:r>
        <w:rPr>
          <w:color w:val="231F20"/>
          <w:w w:val="110"/>
        </w:rPr>
        <w:t>los</w:t>
      </w:r>
      <w:r>
        <w:rPr>
          <w:color w:val="231F20"/>
          <w:spacing w:val="19"/>
          <w:w w:val="110"/>
        </w:rPr>
        <w:t> </w:t>
      </w:r>
      <w:r>
        <w:rPr>
          <w:color w:val="231F20"/>
          <w:w w:val="110"/>
        </w:rPr>
        <w:t>jóvenes</w:t>
      </w:r>
      <w:r>
        <w:rPr>
          <w:color w:val="231F20"/>
          <w:w w:val="104"/>
        </w:rPr>
        <w:t> </w:t>
      </w:r>
      <w:r>
        <w:rPr>
          <w:color w:val="231F20"/>
          <w:w w:val="110"/>
        </w:rPr>
        <w:t>y</w:t>
      </w:r>
      <w:r>
        <w:rPr>
          <w:color w:val="231F20"/>
          <w:spacing w:val="39"/>
          <w:w w:val="110"/>
        </w:rPr>
        <w:t> </w:t>
      </w:r>
      <w:r>
        <w:rPr>
          <w:color w:val="231F20"/>
          <w:w w:val="110"/>
        </w:rPr>
        <w:t>a</w:t>
      </w:r>
      <w:r>
        <w:rPr>
          <w:color w:val="231F20"/>
          <w:spacing w:val="39"/>
          <w:w w:val="110"/>
        </w:rPr>
        <w:t> </w:t>
      </w:r>
      <w:r>
        <w:rPr>
          <w:color w:val="231F20"/>
          <w:w w:val="110"/>
        </w:rPr>
        <w:t>los</w:t>
      </w:r>
      <w:r>
        <w:rPr>
          <w:color w:val="231F20"/>
          <w:spacing w:val="39"/>
          <w:w w:val="110"/>
        </w:rPr>
        <w:t> </w:t>
      </w:r>
      <w:r>
        <w:rPr>
          <w:color w:val="231F20"/>
          <w:w w:val="110"/>
        </w:rPr>
        <w:t>trabajadores</w:t>
      </w:r>
      <w:r>
        <w:rPr>
          <w:color w:val="231F20"/>
          <w:spacing w:val="39"/>
          <w:w w:val="110"/>
        </w:rPr>
        <w:t> </w:t>
      </w:r>
      <w:r>
        <w:rPr>
          <w:color w:val="231F20"/>
          <w:w w:val="110"/>
        </w:rPr>
        <w:t>migrantes,</w:t>
      </w:r>
      <w:r>
        <w:rPr>
          <w:color w:val="231F20"/>
          <w:spacing w:val="39"/>
          <w:w w:val="110"/>
        </w:rPr>
        <w:t> </w:t>
      </w:r>
      <w:r>
        <w:rPr>
          <w:color w:val="231F20"/>
          <w:w w:val="110"/>
        </w:rPr>
        <w:t>particularmente</w:t>
      </w:r>
      <w:r>
        <w:rPr>
          <w:color w:val="231F20"/>
          <w:spacing w:val="39"/>
          <w:w w:val="110"/>
        </w:rPr>
        <w:t> </w:t>
      </w:r>
      <w:r>
        <w:rPr>
          <w:color w:val="231F20"/>
          <w:w w:val="110"/>
        </w:rPr>
        <w:t>a</w:t>
      </w:r>
      <w:r>
        <w:rPr>
          <w:color w:val="231F20"/>
          <w:spacing w:val="39"/>
          <w:w w:val="110"/>
        </w:rPr>
        <w:t> </w:t>
      </w:r>
      <w:r>
        <w:rPr>
          <w:color w:val="231F20"/>
          <w:w w:val="110"/>
        </w:rPr>
        <w:t>los</w:t>
      </w:r>
      <w:r>
        <w:rPr>
          <w:color w:val="231F20"/>
          <w:spacing w:val="39"/>
          <w:w w:val="110"/>
        </w:rPr>
        <w:t> </w:t>
      </w:r>
      <w:r>
        <w:rPr>
          <w:color w:val="231F20"/>
          <w:w w:val="110"/>
        </w:rPr>
        <w:t>inmigrantes</w:t>
      </w:r>
      <w:r>
        <w:rPr>
          <w:color w:val="231F20"/>
          <w:spacing w:val="1"/>
          <w:w w:val="110"/>
        </w:rPr>
        <w:t> </w:t>
      </w:r>
      <w:r>
        <w:rPr>
          <w:color w:val="231F20"/>
          <w:w w:val="110"/>
        </w:rPr>
        <w:t>latinos.</w:t>
      </w:r>
      <w:r>
        <w:rPr>
          <w:color w:val="231F20"/>
          <w:spacing w:val="29"/>
          <w:w w:val="110"/>
        </w:rPr>
        <w:t> </w:t>
      </w:r>
      <w:r>
        <w:rPr>
          <w:color w:val="231F20"/>
          <w:w w:val="110"/>
        </w:rPr>
        <w:t>En</w:t>
      </w:r>
      <w:r>
        <w:rPr>
          <w:color w:val="231F20"/>
          <w:spacing w:val="30"/>
          <w:w w:val="110"/>
        </w:rPr>
        <w:t> </w:t>
      </w:r>
      <w:r>
        <w:rPr>
          <w:color w:val="231F20"/>
          <w:w w:val="110"/>
        </w:rPr>
        <w:t>estos</w:t>
      </w:r>
      <w:r>
        <w:rPr>
          <w:color w:val="231F20"/>
          <w:spacing w:val="29"/>
          <w:w w:val="110"/>
        </w:rPr>
        <w:t> </w:t>
      </w:r>
      <w:r>
        <w:rPr>
          <w:color w:val="231F20"/>
          <w:w w:val="110"/>
        </w:rPr>
        <w:t>últimos,</w:t>
      </w:r>
      <w:r>
        <w:rPr>
          <w:color w:val="231F20"/>
          <w:spacing w:val="29"/>
          <w:w w:val="110"/>
        </w:rPr>
        <w:t> </w:t>
      </w:r>
      <w:r>
        <w:rPr>
          <w:color w:val="231F20"/>
          <w:w w:val="110"/>
        </w:rPr>
        <w:t>a</w:t>
      </w:r>
      <w:r>
        <w:rPr>
          <w:color w:val="231F20"/>
          <w:spacing w:val="30"/>
          <w:w w:val="110"/>
        </w:rPr>
        <w:t> </w:t>
      </w:r>
      <w:r>
        <w:rPr>
          <w:color w:val="231F20"/>
          <w:w w:val="110"/>
        </w:rPr>
        <w:t>pesar</w:t>
      </w:r>
      <w:r>
        <w:rPr>
          <w:color w:val="231F20"/>
          <w:spacing w:val="29"/>
          <w:w w:val="110"/>
        </w:rPr>
        <w:t> </w:t>
      </w:r>
      <w:r>
        <w:rPr>
          <w:color w:val="231F20"/>
          <w:w w:val="110"/>
        </w:rPr>
        <w:t>de</w:t>
      </w:r>
      <w:r>
        <w:rPr>
          <w:color w:val="231F20"/>
          <w:spacing w:val="30"/>
          <w:w w:val="110"/>
        </w:rPr>
        <w:t> </w:t>
      </w:r>
      <w:r>
        <w:rPr>
          <w:color w:val="231F20"/>
          <w:w w:val="110"/>
        </w:rPr>
        <w:t>que</w:t>
      </w:r>
      <w:r>
        <w:rPr>
          <w:color w:val="231F20"/>
          <w:spacing w:val="30"/>
          <w:w w:val="110"/>
        </w:rPr>
        <w:t> </w:t>
      </w:r>
      <w:r>
        <w:rPr>
          <w:color w:val="231F20"/>
          <w:w w:val="110"/>
        </w:rPr>
        <w:t>el</w:t>
      </w:r>
      <w:r>
        <w:rPr>
          <w:color w:val="231F20"/>
          <w:spacing w:val="29"/>
          <w:w w:val="110"/>
        </w:rPr>
        <w:t> </w:t>
      </w:r>
      <w:r>
        <w:rPr>
          <w:color w:val="231F20"/>
          <w:w w:val="110"/>
        </w:rPr>
        <w:t>desempleo</w:t>
      </w:r>
      <w:r>
        <w:rPr>
          <w:color w:val="231F20"/>
          <w:spacing w:val="30"/>
          <w:w w:val="110"/>
        </w:rPr>
        <w:t> </w:t>
      </w:r>
      <w:r>
        <w:rPr>
          <w:color w:val="231F20"/>
          <w:w w:val="110"/>
        </w:rPr>
        <w:t>mostró</w:t>
      </w:r>
      <w:r>
        <w:rPr>
          <w:color w:val="231F20"/>
          <w:spacing w:val="30"/>
          <w:w w:val="110"/>
        </w:rPr>
        <w:t> </w:t>
      </w:r>
      <w:r>
        <w:rPr>
          <w:color w:val="231F20"/>
          <w:w w:val="110"/>
        </w:rPr>
        <w:t>un</w:t>
      </w:r>
      <w:r>
        <w:rPr>
          <w:color w:val="231F20"/>
          <w:w w:val="118"/>
        </w:rPr>
        <w:t> </w:t>
      </w:r>
      <w:r>
        <w:rPr>
          <w:color w:val="231F20"/>
          <w:w w:val="110"/>
        </w:rPr>
        <w:t>comportamiento muy similar en el resto de los</w:t>
      </w:r>
      <w:r>
        <w:rPr>
          <w:color w:val="231F20"/>
          <w:spacing w:val="26"/>
          <w:w w:val="110"/>
        </w:rPr>
        <w:t> </w:t>
      </w:r>
      <w:r>
        <w:rPr>
          <w:color w:val="231F20"/>
          <w:w w:val="110"/>
        </w:rPr>
        <w:t>trabajadores,</w:t>
      </w:r>
      <w:r>
        <w:rPr>
          <w:color w:val="231F20"/>
          <w:spacing w:val="10"/>
          <w:w w:val="110"/>
        </w:rPr>
        <w:t> </w:t>
      </w:r>
      <w:r>
        <w:rPr>
          <w:color w:val="231F20"/>
          <w:w w:val="110"/>
        </w:rPr>
        <w:t>fueron</w:t>
      </w:r>
      <w:r>
        <w:rPr>
          <w:color w:val="231F20"/>
          <w:w w:val="113"/>
        </w:rPr>
        <w:t> </w:t>
      </w:r>
      <w:r>
        <w:rPr>
          <w:color w:val="231F20"/>
          <w:w w:val="110"/>
        </w:rPr>
        <w:t>más</w:t>
      </w:r>
      <w:r>
        <w:rPr>
          <w:color w:val="231F20"/>
          <w:spacing w:val="-29"/>
          <w:w w:val="110"/>
        </w:rPr>
        <w:t> </w:t>
      </w:r>
      <w:r>
        <w:rPr>
          <w:color w:val="231F20"/>
          <w:w w:val="110"/>
        </w:rPr>
        <w:t>marcados</w:t>
      </w:r>
      <w:r>
        <w:rPr>
          <w:color w:val="231F20"/>
          <w:spacing w:val="-29"/>
          <w:w w:val="110"/>
        </w:rPr>
        <w:t> </w:t>
      </w:r>
      <w:r>
        <w:rPr>
          <w:color w:val="231F20"/>
          <w:w w:val="110"/>
        </w:rPr>
        <w:t>sus</w:t>
      </w:r>
      <w:r>
        <w:rPr>
          <w:color w:val="231F20"/>
          <w:spacing w:val="-29"/>
          <w:w w:val="110"/>
        </w:rPr>
        <w:t> </w:t>
      </w:r>
      <w:r>
        <w:rPr>
          <w:color w:val="231F20"/>
          <w:w w:val="110"/>
        </w:rPr>
        <w:t>efectos,</w:t>
      </w:r>
      <w:r>
        <w:rPr>
          <w:color w:val="231F20"/>
          <w:spacing w:val="-29"/>
          <w:w w:val="110"/>
        </w:rPr>
        <w:t> </w:t>
      </w:r>
      <w:r>
        <w:rPr>
          <w:color w:val="231F20"/>
          <w:w w:val="110"/>
        </w:rPr>
        <w:t>dada</w:t>
      </w:r>
      <w:r>
        <w:rPr>
          <w:color w:val="231F20"/>
          <w:spacing w:val="-29"/>
          <w:w w:val="110"/>
        </w:rPr>
        <w:t> </w:t>
      </w:r>
      <w:r>
        <w:rPr>
          <w:color w:val="231F20"/>
          <w:w w:val="110"/>
        </w:rPr>
        <w:t>su</w:t>
      </w:r>
      <w:r>
        <w:rPr>
          <w:color w:val="231F20"/>
          <w:spacing w:val="-29"/>
          <w:w w:val="110"/>
        </w:rPr>
        <w:t> </w:t>
      </w:r>
      <w:r>
        <w:rPr>
          <w:color w:val="231F20"/>
          <w:w w:val="110"/>
        </w:rPr>
        <w:t>vulnerabilidad</w:t>
      </w:r>
      <w:r>
        <w:rPr>
          <w:color w:val="231F20"/>
          <w:spacing w:val="-29"/>
          <w:w w:val="110"/>
        </w:rPr>
        <w:t> </w:t>
      </w:r>
      <w:r>
        <w:rPr>
          <w:color w:val="231F20"/>
          <w:w w:val="110"/>
        </w:rPr>
        <w:t>social</w:t>
      </w:r>
      <w:r>
        <w:rPr>
          <w:color w:val="231F20"/>
          <w:spacing w:val="-29"/>
          <w:w w:val="110"/>
        </w:rPr>
        <w:t> </w:t>
      </w:r>
      <w:r>
        <w:rPr>
          <w:color w:val="231F20"/>
          <w:w w:val="110"/>
        </w:rPr>
        <w:t>y</w:t>
      </w:r>
      <w:r>
        <w:rPr>
          <w:color w:val="231F20"/>
          <w:spacing w:val="-29"/>
          <w:w w:val="110"/>
        </w:rPr>
        <w:t> </w:t>
      </w:r>
      <w:r>
        <w:rPr>
          <w:color w:val="231F20"/>
          <w:w w:val="110"/>
        </w:rPr>
        <w:t>demográfica</w:t>
      </w:r>
      <w:r>
        <w:rPr>
          <w:color w:val="231F20"/>
          <w:w w:val="108"/>
        </w:rPr>
        <w:t> </w:t>
      </w:r>
      <w:r>
        <w:rPr>
          <w:color w:val="231F20"/>
          <w:w w:val="110"/>
        </w:rPr>
        <w:t>(Castillo, 2010b). Pero no sólo creció el desempleo, sino también</w:t>
      </w:r>
      <w:r>
        <w:rPr>
          <w:color w:val="231F20"/>
          <w:spacing w:val="40"/>
          <w:w w:val="110"/>
        </w:rPr>
        <w:t> </w:t>
      </w:r>
      <w:r>
        <w:rPr>
          <w:color w:val="231F20"/>
          <w:w w:val="110"/>
        </w:rPr>
        <w:t>el</w:t>
      </w:r>
    </w:p>
    <w:p>
      <w:pPr>
        <w:pStyle w:val="BodyText"/>
        <w:ind w:left="100" w:right="25"/>
      </w:pPr>
      <w:r>
        <w:rPr>
          <w:color w:val="231F20"/>
          <w:w w:val="110"/>
        </w:rPr>
        <w:t>subempleo, la informalidad y el trabajo precario.</w:t>
      </w:r>
    </w:p>
    <w:p>
      <w:pPr>
        <w:pStyle w:val="BodyText"/>
        <w:spacing w:line="261" w:lineRule="auto" w:before="20"/>
        <w:ind w:left="100" w:right="119" w:firstLine="240"/>
        <w:jc w:val="both"/>
      </w:pPr>
      <w:r>
        <w:rPr>
          <w:color w:val="231F20"/>
          <w:w w:val="110"/>
        </w:rPr>
        <w:t>En términos generales, los nuevos empleos son ocupados por tres segmentos de la sociedad: jóvenes, mujeres —debido a</w:t>
      </w:r>
      <w:r>
        <w:rPr>
          <w:color w:val="231F20"/>
          <w:spacing w:val="21"/>
          <w:w w:val="110"/>
        </w:rPr>
        <w:t> </w:t>
      </w:r>
      <w:r>
        <w:rPr>
          <w:color w:val="231F20"/>
          <w:w w:val="110"/>
        </w:rPr>
        <w:t>la</w:t>
      </w:r>
      <w:r>
        <w:rPr>
          <w:color w:val="231F20"/>
          <w:spacing w:val="9"/>
          <w:w w:val="110"/>
        </w:rPr>
        <w:t> </w:t>
      </w:r>
      <w:r>
        <w:rPr>
          <w:color w:val="231F20"/>
          <w:w w:val="110"/>
        </w:rPr>
        <w:t>creciente</w:t>
      </w:r>
      <w:r>
        <w:rPr>
          <w:color w:val="231F20"/>
          <w:spacing w:val="-1"/>
          <w:w w:val="111"/>
        </w:rPr>
        <w:t> </w:t>
      </w:r>
      <w:r>
        <w:rPr>
          <w:color w:val="231F20"/>
          <w:w w:val="110"/>
        </w:rPr>
        <w:t>tasa de participación económica femenina— e inmigrantes, mayori- tariamente latinos. La situación es más contrastante</w:t>
      </w:r>
      <w:r>
        <w:rPr>
          <w:color w:val="231F20"/>
          <w:spacing w:val="27"/>
          <w:w w:val="110"/>
        </w:rPr>
        <w:t> </w:t>
      </w:r>
      <w:r>
        <w:rPr>
          <w:color w:val="231F20"/>
          <w:w w:val="110"/>
        </w:rPr>
        <w:t>y</w:t>
      </w:r>
      <w:r>
        <w:rPr>
          <w:color w:val="231F20"/>
          <w:spacing w:val="3"/>
          <w:w w:val="110"/>
        </w:rPr>
        <w:t> </w:t>
      </w:r>
      <w:r>
        <w:rPr>
          <w:color w:val="231F20"/>
          <w:w w:val="110"/>
        </w:rPr>
        <w:t>contradictoria</w:t>
      </w:r>
      <w:r>
        <w:rPr>
          <w:color w:val="231F20"/>
          <w:spacing w:val="-1"/>
          <w:w w:val="111"/>
        </w:rPr>
        <w:t> </w:t>
      </w:r>
      <w:r>
        <w:rPr>
          <w:color w:val="231F20"/>
          <w:w w:val="110"/>
        </w:rPr>
        <w:t>entre jóvenes, quienes parecen ser los menos afortunados en las </w:t>
      </w:r>
      <w:r>
        <w:rPr>
          <w:color w:val="231F20"/>
          <w:spacing w:val="-3"/>
          <w:w w:val="110"/>
        </w:rPr>
        <w:t>cir- </w:t>
      </w:r>
      <w:r>
        <w:rPr>
          <w:color w:val="231F20"/>
          <w:w w:val="110"/>
        </w:rPr>
        <w:t>cunstancias</w:t>
      </w:r>
      <w:r>
        <w:rPr>
          <w:color w:val="231F20"/>
          <w:spacing w:val="-29"/>
          <w:w w:val="110"/>
        </w:rPr>
        <w:t> </w:t>
      </w:r>
      <w:r>
        <w:rPr>
          <w:color w:val="231F20"/>
          <w:w w:val="110"/>
        </w:rPr>
        <w:t>actuales</w:t>
      </w:r>
      <w:r>
        <w:rPr>
          <w:color w:val="231F20"/>
          <w:spacing w:val="-29"/>
          <w:w w:val="110"/>
        </w:rPr>
        <w:t> </w:t>
      </w:r>
      <w:r>
        <w:rPr>
          <w:color w:val="231F20"/>
          <w:w w:val="110"/>
        </w:rPr>
        <w:t>del</w:t>
      </w:r>
      <w:r>
        <w:rPr>
          <w:color w:val="231F20"/>
          <w:spacing w:val="-29"/>
          <w:w w:val="110"/>
        </w:rPr>
        <w:t> </w:t>
      </w:r>
      <w:r>
        <w:rPr>
          <w:color w:val="231F20"/>
          <w:w w:val="110"/>
        </w:rPr>
        <w:t>mercado</w:t>
      </w:r>
      <w:r>
        <w:rPr>
          <w:color w:val="231F20"/>
          <w:spacing w:val="-29"/>
          <w:w w:val="110"/>
        </w:rPr>
        <w:t> </w:t>
      </w:r>
      <w:r>
        <w:rPr>
          <w:color w:val="231F20"/>
          <w:w w:val="110"/>
        </w:rPr>
        <w:t>laboral</w:t>
      </w:r>
      <w:r>
        <w:rPr>
          <w:color w:val="231F20"/>
          <w:spacing w:val="-29"/>
          <w:w w:val="110"/>
        </w:rPr>
        <w:t> </w:t>
      </w:r>
      <w:r>
        <w:rPr>
          <w:color w:val="231F20"/>
          <w:w w:val="110"/>
        </w:rPr>
        <w:t>estadunidense.</w:t>
      </w:r>
      <w:r>
        <w:rPr>
          <w:color w:val="231F20"/>
          <w:spacing w:val="-29"/>
          <w:w w:val="110"/>
        </w:rPr>
        <w:t> </w:t>
      </w:r>
      <w:r>
        <w:rPr>
          <w:color w:val="231F20"/>
          <w:w w:val="110"/>
        </w:rPr>
        <w:t>Ellos,</w:t>
      </w:r>
      <w:r>
        <w:rPr>
          <w:color w:val="231F20"/>
          <w:spacing w:val="-29"/>
          <w:w w:val="110"/>
        </w:rPr>
        <w:t> </w:t>
      </w:r>
      <w:r>
        <w:rPr>
          <w:color w:val="231F20"/>
          <w:w w:val="110"/>
        </w:rPr>
        <w:t>además</w:t>
      </w:r>
      <w:r>
        <w:rPr>
          <w:color w:val="231F20"/>
          <w:spacing w:val="-1"/>
          <w:w w:val="108"/>
        </w:rPr>
        <w:t> </w:t>
      </w:r>
      <w:r>
        <w:rPr>
          <w:color w:val="231F20"/>
          <w:w w:val="110"/>
        </w:rPr>
        <w:t>de mostrar tasas relativamente bajas de participación,</w:t>
      </w:r>
      <w:r>
        <w:rPr>
          <w:color w:val="231F20"/>
          <w:w w:val="110"/>
          <w:position w:val="6"/>
          <w:sz w:val="13"/>
        </w:rPr>
        <w:t>11 </w:t>
      </w:r>
      <w:r>
        <w:rPr>
          <w:color w:val="231F20"/>
          <w:w w:val="110"/>
        </w:rPr>
        <w:t>presentan</w:t>
      </w:r>
      <w:r>
        <w:rPr>
          <w:color w:val="231F20"/>
          <w:spacing w:val="-23"/>
          <w:w w:val="110"/>
        </w:rPr>
        <w:t> </w:t>
      </w:r>
      <w:r>
        <w:rPr>
          <w:color w:val="231F20"/>
          <w:w w:val="110"/>
        </w:rPr>
        <w:t>las</w:t>
      </w:r>
    </w:p>
    <w:p>
      <w:pPr>
        <w:pStyle w:val="BodyText"/>
      </w:pPr>
    </w:p>
    <w:p>
      <w:pPr>
        <w:pStyle w:val="BodyText"/>
        <w:spacing w:before="2"/>
        <w:rPr>
          <w:sz w:val="26"/>
        </w:rPr>
      </w:pPr>
    </w:p>
    <w:p>
      <w:pPr>
        <w:spacing w:before="1"/>
        <w:ind w:left="73" w:right="119" w:firstLine="0"/>
        <w:jc w:val="right"/>
        <w:rPr>
          <w:sz w:val="16"/>
        </w:rPr>
      </w:pPr>
      <w:r>
        <w:rPr>
          <w:color w:val="231F20"/>
          <w:w w:val="110"/>
          <w:position w:val="5"/>
          <w:sz w:val="10"/>
        </w:rPr>
        <w:t>11   </w:t>
      </w:r>
      <w:r>
        <w:rPr>
          <w:color w:val="231F20"/>
          <w:w w:val="110"/>
          <w:sz w:val="16"/>
        </w:rPr>
        <w:t>Según la Organization for Economic Cooperation and Development (oecd,</w:t>
      </w:r>
    </w:p>
    <w:p>
      <w:pPr>
        <w:spacing w:after="0"/>
        <w:jc w:val="righ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más altas tasas de desempleo y enfrentan mayores posibilidades de ser contratados de manera temporal, ser despedidos más fácilmente y</w:t>
      </w:r>
      <w:r>
        <w:rPr>
          <w:color w:val="231F20"/>
          <w:spacing w:val="-6"/>
          <w:w w:val="110"/>
        </w:rPr>
        <w:t> </w:t>
      </w:r>
      <w:r>
        <w:rPr>
          <w:color w:val="231F20"/>
          <w:w w:val="110"/>
        </w:rPr>
        <w:t>ocupar</w:t>
      </w:r>
      <w:r>
        <w:rPr>
          <w:color w:val="231F20"/>
          <w:spacing w:val="-6"/>
          <w:w w:val="110"/>
        </w:rPr>
        <w:t> </w:t>
      </w:r>
      <w:r>
        <w:rPr>
          <w:color w:val="231F20"/>
          <w:w w:val="110"/>
        </w:rPr>
        <w:t>los</w:t>
      </w:r>
      <w:r>
        <w:rPr>
          <w:color w:val="231F20"/>
          <w:spacing w:val="-6"/>
          <w:w w:val="110"/>
        </w:rPr>
        <w:t> </w:t>
      </w:r>
      <w:r>
        <w:rPr>
          <w:color w:val="231F20"/>
          <w:w w:val="110"/>
        </w:rPr>
        <w:t>nuevos</w:t>
      </w:r>
      <w:r>
        <w:rPr>
          <w:color w:val="231F20"/>
          <w:spacing w:val="-6"/>
          <w:w w:val="110"/>
        </w:rPr>
        <w:t> </w:t>
      </w:r>
      <w:r>
        <w:rPr>
          <w:color w:val="231F20"/>
          <w:w w:val="110"/>
        </w:rPr>
        <w:t>puestos</w:t>
      </w:r>
      <w:r>
        <w:rPr>
          <w:color w:val="231F20"/>
          <w:spacing w:val="-6"/>
          <w:w w:val="110"/>
        </w:rPr>
        <w:t> </w:t>
      </w:r>
      <w:r>
        <w:rPr>
          <w:color w:val="231F20"/>
          <w:w w:val="110"/>
        </w:rPr>
        <w:t>con</w:t>
      </w:r>
      <w:r>
        <w:rPr>
          <w:color w:val="231F20"/>
          <w:spacing w:val="-6"/>
          <w:w w:val="110"/>
        </w:rPr>
        <w:t> </w:t>
      </w:r>
      <w:r>
        <w:rPr>
          <w:color w:val="231F20"/>
          <w:w w:val="110"/>
        </w:rPr>
        <w:t>más</w:t>
      </w:r>
      <w:r>
        <w:rPr>
          <w:color w:val="231F20"/>
          <w:spacing w:val="-6"/>
          <w:w w:val="110"/>
        </w:rPr>
        <w:t> </w:t>
      </w:r>
      <w:r>
        <w:rPr>
          <w:color w:val="231F20"/>
          <w:w w:val="110"/>
        </w:rPr>
        <w:t>bajos</w:t>
      </w:r>
      <w:r>
        <w:rPr>
          <w:color w:val="231F20"/>
          <w:spacing w:val="-6"/>
          <w:w w:val="110"/>
        </w:rPr>
        <w:t> </w:t>
      </w:r>
      <w:r>
        <w:rPr>
          <w:color w:val="231F20"/>
          <w:w w:val="110"/>
        </w:rPr>
        <w:t>salarios</w:t>
      </w:r>
      <w:r>
        <w:rPr>
          <w:color w:val="231F20"/>
          <w:spacing w:val="-6"/>
          <w:w w:val="110"/>
        </w:rPr>
        <w:t> </w:t>
      </w:r>
      <w:r>
        <w:rPr>
          <w:color w:val="231F20"/>
          <w:spacing w:val="-3"/>
          <w:w w:val="110"/>
        </w:rPr>
        <w:t>(Carty,</w:t>
      </w:r>
      <w:r>
        <w:rPr>
          <w:color w:val="231F20"/>
          <w:spacing w:val="-6"/>
          <w:w w:val="110"/>
        </w:rPr>
        <w:t> </w:t>
      </w:r>
      <w:r>
        <w:rPr>
          <w:color w:val="231F20"/>
          <w:w w:val="110"/>
        </w:rPr>
        <w:t>1999).</w:t>
      </w:r>
      <w:r>
        <w:rPr>
          <w:color w:val="231F20"/>
          <w:spacing w:val="-6"/>
          <w:w w:val="110"/>
        </w:rPr>
        <w:t> </w:t>
      </w:r>
      <w:r>
        <w:rPr>
          <w:color w:val="231F20"/>
          <w:w w:val="110"/>
        </w:rPr>
        <w:t>La tasa de desempleo de los jóvenes entre 16 y 24 años a nivel</w:t>
      </w:r>
      <w:r>
        <w:rPr>
          <w:color w:val="231F20"/>
          <w:spacing w:val="-20"/>
          <w:w w:val="110"/>
        </w:rPr>
        <w:t> </w:t>
      </w:r>
      <w:r>
        <w:rPr>
          <w:color w:val="231F20"/>
          <w:w w:val="110"/>
        </w:rPr>
        <w:t>nacional pasó</w:t>
      </w:r>
      <w:r>
        <w:rPr>
          <w:color w:val="231F20"/>
          <w:spacing w:val="-22"/>
          <w:w w:val="110"/>
        </w:rPr>
        <w:t> </w:t>
      </w:r>
      <w:r>
        <w:rPr>
          <w:color w:val="231F20"/>
          <w:w w:val="110"/>
        </w:rPr>
        <w:t>de</w:t>
      </w:r>
      <w:r>
        <w:rPr>
          <w:color w:val="231F20"/>
          <w:spacing w:val="-22"/>
          <w:w w:val="110"/>
        </w:rPr>
        <w:t> </w:t>
      </w:r>
      <w:r>
        <w:rPr>
          <w:color w:val="231F20"/>
          <w:w w:val="110"/>
        </w:rPr>
        <w:t>12.8%</w:t>
      </w:r>
      <w:r>
        <w:rPr>
          <w:color w:val="231F20"/>
          <w:spacing w:val="-22"/>
          <w:w w:val="110"/>
        </w:rPr>
        <w:t> </w:t>
      </w:r>
      <w:r>
        <w:rPr>
          <w:color w:val="231F20"/>
          <w:w w:val="110"/>
        </w:rPr>
        <w:t>en</w:t>
      </w:r>
      <w:r>
        <w:rPr>
          <w:color w:val="231F20"/>
          <w:spacing w:val="-22"/>
          <w:w w:val="110"/>
        </w:rPr>
        <w:t> </w:t>
      </w:r>
      <w:r>
        <w:rPr>
          <w:color w:val="231F20"/>
          <w:w w:val="110"/>
        </w:rPr>
        <w:t>2008</w:t>
      </w:r>
      <w:r>
        <w:rPr>
          <w:color w:val="231F20"/>
          <w:spacing w:val="-22"/>
          <w:w w:val="110"/>
        </w:rPr>
        <w:t> </w:t>
      </w:r>
      <w:r>
        <w:rPr>
          <w:color w:val="231F20"/>
          <w:w w:val="110"/>
        </w:rPr>
        <w:t>a</w:t>
      </w:r>
      <w:r>
        <w:rPr>
          <w:color w:val="231F20"/>
          <w:spacing w:val="-22"/>
          <w:w w:val="110"/>
        </w:rPr>
        <w:t> </w:t>
      </w:r>
      <w:r>
        <w:rPr>
          <w:color w:val="231F20"/>
          <w:w w:val="110"/>
        </w:rPr>
        <w:t>18.4%</w:t>
      </w:r>
      <w:r>
        <w:rPr>
          <w:color w:val="231F20"/>
          <w:spacing w:val="13"/>
          <w:w w:val="110"/>
        </w:rPr>
        <w:t> </w:t>
      </w:r>
      <w:r>
        <w:rPr>
          <w:color w:val="231F20"/>
          <w:w w:val="110"/>
        </w:rPr>
        <w:t>y</w:t>
      </w:r>
      <w:r>
        <w:rPr>
          <w:color w:val="231F20"/>
          <w:spacing w:val="-22"/>
          <w:w w:val="110"/>
        </w:rPr>
        <w:t> </w:t>
      </w:r>
      <w:r>
        <w:rPr>
          <w:color w:val="231F20"/>
          <w:w w:val="110"/>
        </w:rPr>
        <w:t>a</w:t>
      </w:r>
      <w:r>
        <w:rPr>
          <w:color w:val="231F20"/>
          <w:spacing w:val="-22"/>
          <w:w w:val="110"/>
        </w:rPr>
        <w:t> </w:t>
      </w:r>
      <w:r>
        <w:rPr>
          <w:color w:val="231F20"/>
          <w:w w:val="110"/>
        </w:rPr>
        <w:t>17.3%</w:t>
      </w:r>
      <w:r>
        <w:rPr>
          <w:color w:val="231F20"/>
          <w:spacing w:val="-22"/>
          <w:w w:val="110"/>
        </w:rPr>
        <w:t> </w:t>
      </w:r>
      <w:r>
        <w:rPr>
          <w:color w:val="231F20"/>
          <w:w w:val="110"/>
        </w:rPr>
        <w:t>en</w:t>
      </w:r>
      <w:r>
        <w:rPr>
          <w:color w:val="231F20"/>
          <w:spacing w:val="-22"/>
          <w:w w:val="110"/>
        </w:rPr>
        <w:t> </w:t>
      </w:r>
      <w:r>
        <w:rPr>
          <w:color w:val="231F20"/>
          <w:w w:val="110"/>
        </w:rPr>
        <w:t>2010</w:t>
      </w:r>
      <w:r>
        <w:rPr>
          <w:color w:val="231F20"/>
          <w:spacing w:val="-22"/>
          <w:w w:val="110"/>
        </w:rPr>
        <w:t> </w:t>
      </w:r>
      <w:r>
        <w:rPr>
          <w:color w:val="231F20"/>
          <w:w w:val="110"/>
        </w:rPr>
        <w:t>y</w:t>
      </w:r>
      <w:r>
        <w:rPr>
          <w:color w:val="231F20"/>
          <w:spacing w:val="-22"/>
          <w:w w:val="110"/>
        </w:rPr>
        <w:t> </w:t>
      </w:r>
      <w:r>
        <w:rPr>
          <w:color w:val="231F20"/>
          <w:w w:val="110"/>
        </w:rPr>
        <w:t>2011,</w:t>
      </w:r>
      <w:r>
        <w:rPr>
          <w:color w:val="231F20"/>
          <w:spacing w:val="-22"/>
          <w:w w:val="110"/>
        </w:rPr>
        <w:t> </w:t>
      </w:r>
      <w:r>
        <w:rPr>
          <w:color w:val="231F20"/>
          <w:w w:val="110"/>
        </w:rPr>
        <w:t>respectiva- mente,</w:t>
      </w:r>
      <w:r>
        <w:rPr>
          <w:color w:val="231F20"/>
          <w:spacing w:val="-10"/>
          <w:w w:val="110"/>
        </w:rPr>
        <w:t> </w:t>
      </w:r>
      <w:r>
        <w:rPr>
          <w:color w:val="231F20"/>
          <w:w w:val="110"/>
        </w:rPr>
        <w:t>superior</w:t>
      </w:r>
      <w:r>
        <w:rPr>
          <w:color w:val="231F20"/>
          <w:spacing w:val="-10"/>
          <w:w w:val="110"/>
        </w:rPr>
        <w:t> </w:t>
      </w:r>
      <w:r>
        <w:rPr>
          <w:color w:val="231F20"/>
          <w:w w:val="110"/>
        </w:rPr>
        <w:t>en</w:t>
      </w:r>
      <w:r>
        <w:rPr>
          <w:color w:val="231F20"/>
          <w:spacing w:val="-10"/>
          <w:w w:val="110"/>
        </w:rPr>
        <w:t> </w:t>
      </w:r>
      <w:r>
        <w:rPr>
          <w:color w:val="231F20"/>
          <w:w w:val="110"/>
        </w:rPr>
        <w:t>casi</w:t>
      </w:r>
      <w:r>
        <w:rPr>
          <w:color w:val="231F20"/>
          <w:spacing w:val="-10"/>
          <w:w w:val="110"/>
        </w:rPr>
        <w:t> </w:t>
      </w:r>
      <w:r>
        <w:rPr>
          <w:color w:val="231F20"/>
          <w:w w:val="110"/>
        </w:rPr>
        <w:t>el</w:t>
      </w:r>
      <w:r>
        <w:rPr>
          <w:color w:val="231F20"/>
          <w:spacing w:val="-10"/>
          <w:w w:val="110"/>
        </w:rPr>
        <w:t> </w:t>
      </w:r>
      <w:r>
        <w:rPr>
          <w:color w:val="231F20"/>
          <w:w w:val="110"/>
        </w:rPr>
        <w:t>doble</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desocupación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trabajadores</w:t>
      </w:r>
      <w:r>
        <w:rPr>
          <w:color w:val="231F20"/>
          <w:spacing w:val="-1"/>
          <w:w w:val="110"/>
        </w:rPr>
        <w:t> </w:t>
      </w:r>
      <w:r>
        <w:rPr>
          <w:color w:val="231F20"/>
          <w:w w:val="110"/>
        </w:rPr>
        <w:t>con 25 a 54 años, con tasas de desempleo de 8.6% (U.S. Bureau of Labor</w:t>
      </w:r>
      <w:r>
        <w:rPr>
          <w:color w:val="231F20"/>
          <w:spacing w:val="-8"/>
          <w:w w:val="110"/>
        </w:rPr>
        <w:t> </w:t>
      </w:r>
      <w:r>
        <w:rPr>
          <w:color w:val="231F20"/>
          <w:w w:val="110"/>
        </w:rPr>
        <w:t>Statistics,</w:t>
      </w:r>
      <w:r>
        <w:rPr>
          <w:color w:val="231F20"/>
          <w:spacing w:val="-8"/>
          <w:w w:val="110"/>
        </w:rPr>
        <w:t> </w:t>
      </w:r>
      <w:r>
        <w:rPr>
          <w:color w:val="231F20"/>
          <w:w w:val="110"/>
        </w:rPr>
        <w:t>2011</w:t>
      </w:r>
      <w:r>
        <w:rPr>
          <w:color w:val="231F20"/>
          <w:spacing w:val="-8"/>
          <w:w w:val="110"/>
        </w:rPr>
        <w:t> </w:t>
      </w:r>
      <w:r>
        <w:rPr>
          <w:color w:val="231F20"/>
          <w:w w:val="110"/>
        </w:rPr>
        <w:t>y</w:t>
      </w:r>
      <w:r>
        <w:rPr>
          <w:color w:val="231F20"/>
          <w:spacing w:val="-8"/>
          <w:w w:val="110"/>
        </w:rPr>
        <w:t> </w:t>
      </w:r>
      <w:r>
        <w:rPr>
          <w:color w:val="231F20"/>
          <w:w w:val="110"/>
        </w:rPr>
        <w:t>2012).</w:t>
      </w:r>
      <w:r>
        <w:rPr>
          <w:color w:val="231F20"/>
          <w:spacing w:val="-8"/>
          <w:w w:val="110"/>
        </w:rPr>
        <w:t> </w:t>
      </w:r>
      <w:r>
        <w:rPr>
          <w:color w:val="231F20"/>
          <w:w w:val="110"/>
        </w:rPr>
        <w:t>Los</w:t>
      </w:r>
      <w:r>
        <w:rPr>
          <w:color w:val="231F20"/>
          <w:spacing w:val="-8"/>
          <w:w w:val="110"/>
        </w:rPr>
        <w:t> </w:t>
      </w:r>
      <w:r>
        <w:rPr>
          <w:color w:val="231F20"/>
          <w:w w:val="110"/>
        </w:rPr>
        <w:t>jóvenes,</w:t>
      </w:r>
      <w:r>
        <w:rPr>
          <w:color w:val="231F20"/>
          <w:spacing w:val="-8"/>
          <w:w w:val="110"/>
        </w:rPr>
        <w:t> </w:t>
      </w:r>
      <w:r>
        <w:rPr>
          <w:color w:val="231F20"/>
          <w:w w:val="110"/>
        </w:rPr>
        <w:t>además,</w:t>
      </w:r>
      <w:r>
        <w:rPr>
          <w:color w:val="231F20"/>
          <w:spacing w:val="-8"/>
          <w:w w:val="110"/>
        </w:rPr>
        <w:t> </w:t>
      </w:r>
      <w:r>
        <w:rPr>
          <w:color w:val="231F20"/>
          <w:w w:val="110"/>
        </w:rPr>
        <w:t>tienen</w:t>
      </w:r>
      <w:r>
        <w:rPr>
          <w:color w:val="231F20"/>
          <w:spacing w:val="-8"/>
          <w:w w:val="110"/>
        </w:rPr>
        <w:t> </w:t>
      </w:r>
      <w:r>
        <w:rPr>
          <w:color w:val="231F20"/>
          <w:w w:val="110"/>
        </w:rPr>
        <w:t>más</w:t>
      </w:r>
      <w:r>
        <w:rPr>
          <w:color w:val="231F20"/>
          <w:spacing w:val="-8"/>
          <w:w w:val="110"/>
        </w:rPr>
        <w:t> </w:t>
      </w:r>
      <w:r>
        <w:rPr>
          <w:color w:val="231F20"/>
          <w:w w:val="110"/>
        </w:rPr>
        <w:t>pro- pensión a incorporarse en ocupaciones precarias. Entre los hispanos y</w:t>
      </w:r>
      <w:r>
        <w:rPr>
          <w:color w:val="231F20"/>
          <w:spacing w:val="-5"/>
          <w:w w:val="110"/>
        </w:rPr>
        <w:t> </w:t>
      </w:r>
      <w:r>
        <w:rPr>
          <w:color w:val="231F20"/>
          <w:w w:val="110"/>
        </w:rPr>
        <w:t>migrantes</w:t>
      </w:r>
      <w:r>
        <w:rPr>
          <w:color w:val="231F20"/>
          <w:spacing w:val="-5"/>
          <w:w w:val="110"/>
        </w:rPr>
        <w:t> </w:t>
      </w:r>
      <w:r>
        <w:rPr>
          <w:color w:val="231F20"/>
          <w:w w:val="110"/>
        </w:rPr>
        <w:t>latinos</w:t>
      </w:r>
      <w:r>
        <w:rPr>
          <w:color w:val="231F20"/>
          <w:spacing w:val="-5"/>
          <w:w w:val="110"/>
        </w:rPr>
        <w:t> </w:t>
      </w:r>
      <w:r>
        <w:rPr>
          <w:color w:val="231F20"/>
          <w:w w:val="110"/>
        </w:rPr>
        <w:t>el</w:t>
      </w:r>
      <w:r>
        <w:rPr>
          <w:color w:val="231F20"/>
          <w:spacing w:val="-5"/>
          <w:w w:val="110"/>
        </w:rPr>
        <w:t> </w:t>
      </w:r>
      <w:r>
        <w:rPr>
          <w:color w:val="231F20"/>
          <w:w w:val="110"/>
        </w:rPr>
        <w:t>desempleo</w:t>
      </w:r>
      <w:r>
        <w:rPr>
          <w:color w:val="231F20"/>
          <w:spacing w:val="-5"/>
          <w:w w:val="110"/>
        </w:rPr>
        <w:t> </w:t>
      </w:r>
      <w:r>
        <w:rPr>
          <w:color w:val="231F20"/>
          <w:w w:val="110"/>
        </w:rPr>
        <w:t>creció</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tasa</w:t>
      </w:r>
      <w:r>
        <w:rPr>
          <w:color w:val="231F20"/>
          <w:spacing w:val="-5"/>
          <w:w w:val="110"/>
        </w:rPr>
        <w:t> </w:t>
      </w:r>
      <w:r>
        <w:rPr>
          <w:color w:val="231F20"/>
          <w:w w:val="110"/>
        </w:rPr>
        <w:t>de</w:t>
      </w:r>
      <w:r>
        <w:rPr>
          <w:color w:val="231F20"/>
          <w:spacing w:val="-5"/>
          <w:w w:val="110"/>
        </w:rPr>
        <w:t> </w:t>
      </w:r>
      <w:r>
        <w:rPr>
          <w:color w:val="231F20"/>
          <w:w w:val="110"/>
        </w:rPr>
        <w:t>5.6%</w:t>
      </w:r>
      <w:r>
        <w:rPr>
          <w:color w:val="231F20"/>
          <w:spacing w:val="-5"/>
          <w:w w:val="110"/>
        </w:rPr>
        <w:t> </w:t>
      </w:r>
      <w:r>
        <w:rPr>
          <w:color w:val="231F20"/>
          <w:w w:val="110"/>
        </w:rPr>
        <w:t>en</w:t>
      </w:r>
      <w:r>
        <w:rPr>
          <w:color w:val="231F20"/>
          <w:spacing w:val="-5"/>
          <w:w w:val="110"/>
        </w:rPr>
        <w:t> </w:t>
      </w:r>
      <w:r>
        <w:rPr>
          <w:color w:val="231F20"/>
          <w:w w:val="110"/>
        </w:rPr>
        <w:t>2007 a 12.5% en 2010 y descendió ligeramente a 11.5% en 2011.</w:t>
      </w:r>
      <w:r>
        <w:rPr>
          <w:color w:val="231F20"/>
          <w:spacing w:val="40"/>
          <w:w w:val="110"/>
        </w:rPr>
        <w:t> </w:t>
      </w:r>
      <w:r>
        <w:rPr>
          <w:color w:val="231F20"/>
          <w:w w:val="110"/>
        </w:rPr>
        <w:t>En</w:t>
      </w:r>
      <w:r>
        <w:rPr>
          <w:color w:val="231F20"/>
          <w:spacing w:val="3"/>
          <w:w w:val="110"/>
        </w:rPr>
        <w:t> </w:t>
      </w:r>
      <w:r>
        <w:rPr>
          <w:color w:val="231F20"/>
          <w:w w:val="110"/>
        </w:rPr>
        <w:t>este</w:t>
      </w:r>
      <w:r>
        <w:rPr>
          <w:color w:val="231F20"/>
          <w:spacing w:val="-1"/>
          <w:w w:val="108"/>
        </w:rPr>
        <w:t> </w:t>
      </w:r>
      <w:r>
        <w:rPr>
          <w:color w:val="231F20"/>
          <w:w w:val="110"/>
        </w:rPr>
        <w:t>mismo sentido, la segregación ocupacional por género experimentó cambios importantes. La tasa de ocupación de la mujer creció de 32 a 53.2% entre 1950 y 2011, mientras que el empleo de los hombres descendió de 82 a 63.9% en dicho periodo (Allegretto, 2007; Casti- llo,</w:t>
      </w:r>
      <w:r>
        <w:rPr>
          <w:color w:val="231F20"/>
          <w:spacing w:val="-10"/>
          <w:w w:val="110"/>
        </w:rPr>
        <w:t> </w:t>
      </w:r>
      <w:r>
        <w:rPr>
          <w:color w:val="231F20"/>
          <w:w w:val="110"/>
        </w:rPr>
        <w:t>2010a</w:t>
      </w:r>
      <w:r>
        <w:rPr>
          <w:color w:val="231F20"/>
          <w:spacing w:val="-10"/>
          <w:w w:val="110"/>
        </w:rPr>
        <w:t> </w:t>
      </w:r>
      <w:r>
        <w:rPr>
          <w:color w:val="231F20"/>
          <w:w w:val="110"/>
        </w:rPr>
        <w:t>y</w:t>
      </w:r>
      <w:r>
        <w:rPr>
          <w:color w:val="231F20"/>
          <w:spacing w:val="-10"/>
          <w:w w:val="110"/>
        </w:rPr>
        <w:t> </w:t>
      </w:r>
      <w:r>
        <w:rPr>
          <w:color w:val="231F20"/>
          <w:w w:val="110"/>
        </w:rPr>
        <w:t>2011,</w:t>
      </w:r>
      <w:r>
        <w:rPr>
          <w:color w:val="231F20"/>
          <w:spacing w:val="-10"/>
          <w:w w:val="110"/>
        </w:rPr>
        <w:t> </w:t>
      </w:r>
      <w:r>
        <w:rPr>
          <w:color w:val="231F20"/>
          <w:w w:val="110"/>
        </w:rPr>
        <w:t>US</w:t>
      </w:r>
      <w:r>
        <w:rPr>
          <w:color w:val="231F20"/>
          <w:spacing w:val="-10"/>
          <w:w w:val="110"/>
        </w:rPr>
        <w:t> </w:t>
      </w:r>
      <w:r>
        <w:rPr>
          <w:color w:val="231F20"/>
          <w:w w:val="110"/>
        </w:rPr>
        <w:t>Bureau</w:t>
      </w:r>
      <w:r>
        <w:rPr>
          <w:color w:val="231F20"/>
          <w:spacing w:val="-10"/>
          <w:w w:val="110"/>
        </w:rPr>
        <w:t> </w:t>
      </w:r>
      <w:r>
        <w:rPr>
          <w:color w:val="231F20"/>
          <w:w w:val="110"/>
        </w:rPr>
        <w:t>of</w:t>
      </w:r>
      <w:r>
        <w:rPr>
          <w:color w:val="231F20"/>
          <w:spacing w:val="-10"/>
          <w:w w:val="110"/>
        </w:rPr>
        <w:t> </w:t>
      </w:r>
      <w:r>
        <w:rPr>
          <w:color w:val="231F20"/>
          <w:w w:val="110"/>
        </w:rPr>
        <w:t>Labor</w:t>
      </w:r>
      <w:r>
        <w:rPr>
          <w:color w:val="231F20"/>
          <w:spacing w:val="-10"/>
          <w:w w:val="110"/>
        </w:rPr>
        <w:t> </w:t>
      </w:r>
      <w:r>
        <w:rPr>
          <w:color w:val="231F20"/>
          <w:w w:val="110"/>
        </w:rPr>
        <w:t>Statistics,</w:t>
      </w:r>
      <w:r>
        <w:rPr>
          <w:color w:val="231F20"/>
          <w:spacing w:val="-10"/>
          <w:w w:val="110"/>
        </w:rPr>
        <w:t> </w:t>
      </w:r>
      <w:r>
        <w:rPr>
          <w:color w:val="231F20"/>
          <w:w w:val="110"/>
        </w:rPr>
        <w:t>2012).</w:t>
      </w:r>
      <w:r>
        <w:rPr>
          <w:color w:val="231F20"/>
          <w:spacing w:val="-10"/>
          <w:w w:val="110"/>
        </w:rPr>
        <w:t> </w:t>
      </w:r>
      <w:r>
        <w:rPr>
          <w:color w:val="231F20"/>
          <w:w w:val="110"/>
        </w:rPr>
        <w:t>La</w:t>
      </w:r>
      <w:r>
        <w:rPr>
          <w:color w:val="231F20"/>
          <w:spacing w:val="-10"/>
          <w:w w:val="110"/>
        </w:rPr>
        <w:t> </w:t>
      </w:r>
      <w:r>
        <w:rPr>
          <w:color w:val="231F20"/>
          <w:w w:val="110"/>
        </w:rPr>
        <w:t>creciente</w:t>
      </w:r>
      <w:r>
        <w:rPr>
          <w:color w:val="231F20"/>
          <w:spacing w:val="-1"/>
          <w:w w:val="111"/>
        </w:rPr>
        <w:t> </w:t>
      </w:r>
      <w:r>
        <w:rPr>
          <w:color w:val="231F20"/>
          <w:w w:val="110"/>
        </w:rPr>
        <w:t>inserción femenina en el trabajo remunerado, en muchos</w:t>
      </w:r>
      <w:r>
        <w:rPr>
          <w:color w:val="231F20"/>
          <w:spacing w:val="52"/>
          <w:w w:val="110"/>
        </w:rPr>
        <w:t> </w:t>
      </w:r>
      <w:r>
        <w:rPr>
          <w:color w:val="231F20"/>
          <w:w w:val="110"/>
        </w:rPr>
        <w:t>casos</w:t>
      </w:r>
      <w:r>
        <w:rPr>
          <w:color w:val="231F20"/>
          <w:spacing w:val="27"/>
          <w:w w:val="110"/>
        </w:rPr>
        <w:t> </w:t>
      </w:r>
      <w:r>
        <w:rPr>
          <w:color w:val="231F20"/>
          <w:w w:val="110"/>
        </w:rPr>
        <w:t>se</w:t>
      </w:r>
      <w:r>
        <w:rPr>
          <w:color w:val="231F20"/>
          <w:spacing w:val="-1"/>
          <w:w w:val="103"/>
        </w:rPr>
        <w:t> </w:t>
      </w:r>
      <w:r>
        <w:rPr>
          <w:color w:val="231F20"/>
          <w:w w:val="110"/>
        </w:rPr>
        <w:t>ha producido en detrimento del trabajo masculino. Las mujeres, en cierto</w:t>
      </w:r>
      <w:r>
        <w:rPr>
          <w:color w:val="231F20"/>
          <w:spacing w:val="-15"/>
          <w:w w:val="110"/>
        </w:rPr>
        <w:t> </w:t>
      </w:r>
      <w:r>
        <w:rPr>
          <w:color w:val="231F20"/>
          <w:w w:val="110"/>
        </w:rPr>
        <w:t>modo,</w:t>
      </w:r>
      <w:r>
        <w:rPr>
          <w:color w:val="231F20"/>
          <w:spacing w:val="-15"/>
          <w:w w:val="110"/>
        </w:rPr>
        <w:t> </w:t>
      </w:r>
      <w:r>
        <w:rPr>
          <w:color w:val="231F20"/>
          <w:w w:val="110"/>
        </w:rPr>
        <w:t>han</w:t>
      </w:r>
      <w:r>
        <w:rPr>
          <w:color w:val="231F20"/>
          <w:spacing w:val="-15"/>
          <w:w w:val="110"/>
        </w:rPr>
        <w:t> </w:t>
      </w:r>
      <w:r>
        <w:rPr>
          <w:color w:val="231F20"/>
          <w:w w:val="110"/>
        </w:rPr>
        <w:t>resultado</w:t>
      </w:r>
      <w:r>
        <w:rPr>
          <w:color w:val="231F20"/>
          <w:spacing w:val="-15"/>
          <w:w w:val="110"/>
        </w:rPr>
        <w:t> </w:t>
      </w:r>
      <w:r>
        <w:rPr>
          <w:color w:val="231F20"/>
          <w:w w:val="110"/>
        </w:rPr>
        <w:t>menos</w:t>
      </w:r>
      <w:r>
        <w:rPr>
          <w:color w:val="231F20"/>
          <w:spacing w:val="-15"/>
          <w:w w:val="110"/>
        </w:rPr>
        <w:t> </w:t>
      </w:r>
      <w:r>
        <w:rPr>
          <w:color w:val="231F20"/>
          <w:w w:val="110"/>
        </w:rPr>
        <w:t>afectadas</w:t>
      </w:r>
      <w:r>
        <w:rPr>
          <w:color w:val="231F20"/>
          <w:spacing w:val="-15"/>
          <w:w w:val="110"/>
        </w:rPr>
        <w:t> </w:t>
      </w:r>
      <w:r>
        <w:rPr>
          <w:color w:val="231F20"/>
          <w:w w:val="110"/>
        </w:rPr>
        <w:t>o</w:t>
      </w:r>
      <w:r>
        <w:rPr>
          <w:color w:val="231F20"/>
          <w:spacing w:val="-15"/>
          <w:w w:val="110"/>
        </w:rPr>
        <w:t> </w:t>
      </w:r>
      <w:r>
        <w:rPr>
          <w:color w:val="231F20"/>
          <w:w w:val="110"/>
        </w:rPr>
        <w:t>incluso</w:t>
      </w:r>
      <w:r>
        <w:rPr>
          <w:color w:val="231F20"/>
          <w:spacing w:val="-15"/>
          <w:w w:val="110"/>
        </w:rPr>
        <w:t> </w:t>
      </w:r>
      <w:r>
        <w:rPr>
          <w:color w:val="231F20"/>
          <w:w w:val="110"/>
        </w:rPr>
        <w:t>favorecidas.</w:t>
      </w:r>
      <w:r>
        <w:rPr>
          <w:color w:val="231F20"/>
          <w:spacing w:val="-15"/>
          <w:w w:val="110"/>
        </w:rPr>
        <w:t> </w:t>
      </w:r>
      <w:r>
        <w:rPr>
          <w:color w:val="231F20"/>
          <w:w w:val="110"/>
        </w:rPr>
        <w:t>En este marco, profundizado por la crisis económica, es posible</w:t>
      </w:r>
      <w:r>
        <w:rPr>
          <w:color w:val="231F20"/>
          <w:spacing w:val="-37"/>
          <w:w w:val="110"/>
        </w:rPr>
        <w:t> </w:t>
      </w:r>
      <w:r>
        <w:rPr>
          <w:color w:val="231F20"/>
          <w:w w:val="110"/>
        </w:rPr>
        <w:t>vislum- brar un escenario social y laboral incierto para los jóvenes de</w:t>
      </w:r>
      <w:r>
        <w:rPr>
          <w:color w:val="231F20"/>
          <w:spacing w:val="-11"/>
          <w:w w:val="110"/>
        </w:rPr>
        <w:t> </w:t>
      </w:r>
      <w:r>
        <w:rPr>
          <w:color w:val="231F20"/>
          <w:w w:val="110"/>
        </w:rPr>
        <w:t>ambos sexos,</w:t>
      </w:r>
      <w:r>
        <w:rPr>
          <w:color w:val="231F20"/>
          <w:w w:val="110"/>
          <w:position w:val="6"/>
          <w:sz w:val="13"/>
        </w:rPr>
        <w:t>12 </w:t>
      </w:r>
      <w:r>
        <w:rPr>
          <w:color w:val="231F20"/>
          <w:w w:val="110"/>
        </w:rPr>
        <w:t>nativos e inmigrantes, particularmente para los que cuentan con niveles bajos de capital</w:t>
      </w:r>
      <w:r>
        <w:rPr>
          <w:color w:val="231F20"/>
          <w:spacing w:val="-13"/>
          <w:w w:val="110"/>
        </w:rPr>
        <w:t> </w:t>
      </w:r>
      <w:r>
        <w:rPr>
          <w:color w:val="231F20"/>
          <w:w w:val="110"/>
        </w:rPr>
        <w:t>humano.</w:t>
      </w:r>
    </w:p>
    <w:p>
      <w:pPr>
        <w:pStyle w:val="BodyText"/>
        <w:spacing w:line="261" w:lineRule="auto"/>
        <w:ind w:left="100" w:right="116" w:firstLine="240"/>
        <w:jc w:val="both"/>
      </w:pPr>
      <w:r>
        <w:rPr>
          <w:color w:val="231F20"/>
          <w:w w:val="110"/>
        </w:rPr>
        <w:t>En Estados Unidos no existe la noción de trabajo precario, el</w:t>
      </w:r>
      <w:r>
        <w:rPr>
          <w:color w:val="231F20"/>
          <w:w w:val="108"/>
        </w:rPr>
        <w:t> </w:t>
      </w:r>
      <w:r>
        <w:rPr>
          <w:color w:val="231F20"/>
          <w:w w:val="110"/>
        </w:rPr>
        <w:t>concepto usado es el de “empleo contingente”, que tiene tres defini- ciones distintas en relación con la permanencia o estabilidad laboral de los trabajadores en dichos puestos.</w:t>
      </w:r>
      <w:r>
        <w:rPr>
          <w:color w:val="231F20"/>
          <w:w w:val="110"/>
          <w:position w:val="6"/>
          <w:sz w:val="13"/>
        </w:rPr>
        <w:t>13  </w:t>
      </w:r>
      <w:r>
        <w:rPr>
          <w:color w:val="231F20"/>
          <w:w w:val="110"/>
        </w:rPr>
        <w:t>Estas definiciones   refieren</w:t>
      </w:r>
    </w:p>
    <w:p>
      <w:pPr>
        <w:pStyle w:val="BodyText"/>
      </w:pPr>
    </w:p>
    <w:p>
      <w:pPr>
        <w:pStyle w:val="BodyText"/>
      </w:pPr>
    </w:p>
    <w:p>
      <w:pPr>
        <w:spacing w:line="261" w:lineRule="auto" w:before="122"/>
        <w:ind w:left="100" w:right="119" w:firstLine="0"/>
        <w:jc w:val="both"/>
        <w:rPr>
          <w:sz w:val="16"/>
        </w:rPr>
      </w:pPr>
      <w:r>
        <w:rPr>
          <w:color w:val="231F20"/>
          <w:w w:val="110"/>
          <w:sz w:val="16"/>
        </w:rPr>
        <w:t>2005) “one possible reason behind the fall in labour force participation among</w:t>
      </w:r>
      <w:r>
        <w:rPr>
          <w:color w:val="231F20"/>
          <w:spacing w:val="-27"/>
          <w:w w:val="110"/>
          <w:sz w:val="16"/>
        </w:rPr>
        <w:t> </w:t>
      </w:r>
      <w:r>
        <w:rPr>
          <w:color w:val="231F20"/>
          <w:w w:val="110"/>
          <w:sz w:val="16"/>
        </w:rPr>
        <w:t>youths is</w:t>
      </w:r>
      <w:r>
        <w:rPr>
          <w:color w:val="231F20"/>
          <w:spacing w:val="-8"/>
          <w:w w:val="110"/>
          <w:sz w:val="16"/>
        </w:rPr>
        <w:t> </w:t>
      </w:r>
      <w:r>
        <w:rPr>
          <w:color w:val="231F20"/>
          <w:w w:val="110"/>
          <w:sz w:val="16"/>
        </w:rPr>
        <w:t>competition</w:t>
      </w:r>
      <w:r>
        <w:rPr>
          <w:color w:val="231F20"/>
          <w:spacing w:val="-8"/>
          <w:w w:val="110"/>
          <w:sz w:val="16"/>
        </w:rPr>
        <w:t> </w:t>
      </w:r>
      <w:r>
        <w:rPr>
          <w:color w:val="231F20"/>
          <w:w w:val="110"/>
          <w:sz w:val="16"/>
        </w:rPr>
        <w:t>from</w:t>
      </w:r>
      <w:r>
        <w:rPr>
          <w:color w:val="231F20"/>
          <w:spacing w:val="-8"/>
          <w:w w:val="110"/>
          <w:sz w:val="16"/>
        </w:rPr>
        <w:t> </w:t>
      </w:r>
      <w:r>
        <w:rPr>
          <w:color w:val="231F20"/>
          <w:w w:val="110"/>
          <w:sz w:val="16"/>
        </w:rPr>
        <w:t>low</w:t>
      </w:r>
      <w:r>
        <w:rPr>
          <w:color w:val="231F20"/>
          <w:spacing w:val="-8"/>
          <w:w w:val="110"/>
          <w:sz w:val="16"/>
        </w:rPr>
        <w:t> </w:t>
      </w:r>
      <w:r>
        <w:rPr>
          <w:color w:val="231F20"/>
          <w:w w:val="110"/>
          <w:sz w:val="16"/>
        </w:rPr>
        <w:t>skilled</w:t>
      </w:r>
      <w:r>
        <w:rPr>
          <w:color w:val="231F20"/>
          <w:spacing w:val="-8"/>
          <w:w w:val="110"/>
          <w:sz w:val="16"/>
        </w:rPr>
        <w:t> </w:t>
      </w:r>
      <w:r>
        <w:rPr>
          <w:color w:val="231F20"/>
          <w:w w:val="110"/>
          <w:sz w:val="16"/>
        </w:rPr>
        <w:t>immigrants”.</w:t>
      </w:r>
    </w:p>
    <w:p>
      <w:pPr>
        <w:spacing w:line="261" w:lineRule="auto" w:before="0"/>
        <w:ind w:left="100" w:right="117" w:firstLine="240"/>
        <w:jc w:val="both"/>
        <w:rPr>
          <w:sz w:val="16"/>
        </w:rPr>
      </w:pPr>
      <w:r>
        <w:rPr>
          <w:color w:val="231F20"/>
          <w:w w:val="110"/>
          <w:position w:val="5"/>
          <w:sz w:val="10"/>
        </w:rPr>
        <w:t>12 </w:t>
      </w:r>
      <w:r>
        <w:rPr>
          <w:color w:val="231F20"/>
          <w:w w:val="110"/>
          <w:sz w:val="16"/>
        </w:rPr>
        <w:t>En Estados Unidos, por una parte, “los trabajadores con edades inferiores a 35 años son quienes ocupan los nuevos empleos de bajo salarios” </w:t>
      </w:r>
      <w:r>
        <w:rPr>
          <w:color w:val="231F20"/>
          <w:spacing w:val="-6"/>
          <w:w w:val="110"/>
          <w:sz w:val="16"/>
        </w:rPr>
        <w:t>y,  </w:t>
      </w:r>
      <w:r>
        <w:rPr>
          <w:color w:val="231F20"/>
          <w:w w:val="110"/>
          <w:sz w:val="16"/>
        </w:rPr>
        <w:t>por la otra, desde  la perspectiva de género, en gran parte la disminución de la brecha de desigualdad salarial se debió “al incremento de los salarios reales de las mujeres” y “a la caída de los</w:t>
      </w:r>
      <w:r>
        <w:rPr>
          <w:color w:val="231F20"/>
          <w:spacing w:val="-6"/>
          <w:w w:val="110"/>
          <w:sz w:val="16"/>
        </w:rPr>
        <w:t> </w:t>
      </w:r>
      <w:r>
        <w:rPr>
          <w:color w:val="231F20"/>
          <w:w w:val="110"/>
          <w:sz w:val="16"/>
        </w:rPr>
        <w:t>salarios</w:t>
      </w:r>
      <w:r>
        <w:rPr>
          <w:color w:val="231F20"/>
          <w:spacing w:val="-6"/>
          <w:w w:val="110"/>
          <w:sz w:val="16"/>
        </w:rPr>
        <w:t> </w:t>
      </w:r>
      <w:r>
        <w:rPr>
          <w:color w:val="231F20"/>
          <w:w w:val="110"/>
          <w:sz w:val="16"/>
        </w:rPr>
        <w:t>reales</w:t>
      </w:r>
      <w:r>
        <w:rPr>
          <w:color w:val="231F20"/>
          <w:spacing w:val="-6"/>
          <w:w w:val="110"/>
          <w:sz w:val="16"/>
        </w:rPr>
        <w:t> </w:t>
      </w:r>
      <w:r>
        <w:rPr>
          <w:color w:val="231F20"/>
          <w:w w:val="110"/>
          <w:sz w:val="16"/>
        </w:rPr>
        <w:t>de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hombres”</w:t>
      </w:r>
      <w:r>
        <w:rPr>
          <w:color w:val="231F20"/>
          <w:spacing w:val="-6"/>
          <w:w w:val="110"/>
          <w:sz w:val="16"/>
        </w:rPr>
        <w:t> </w:t>
      </w:r>
      <w:r>
        <w:rPr>
          <w:color w:val="231F20"/>
          <w:w w:val="110"/>
          <w:sz w:val="16"/>
        </w:rPr>
        <w:t>(Carty,</w:t>
      </w:r>
      <w:r>
        <w:rPr>
          <w:color w:val="231F20"/>
          <w:spacing w:val="-6"/>
          <w:w w:val="110"/>
          <w:sz w:val="16"/>
        </w:rPr>
        <w:t> </w:t>
      </w:r>
      <w:r>
        <w:rPr>
          <w:color w:val="231F20"/>
          <w:w w:val="110"/>
          <w:sz w:val="16"/>
        </w:rPr>
        <w:t>1999).</w:t>
      </w:r>
    </w:p>
    <w:p>
      <w:pPr>
        <w:spacing w:line="261" w:lineRule="auto" w:before="0"/>
        <w:ind w:left="100" w:right="117" w:firstLine="240"/>
        <w:jc w:val="both"/>
        <w:rPr>
          <w:sz w:val="16"/>
        </w:rPr>
      </w:pPr>
      <w:r>
        <w:rPr>
          <w:color w:val="231F20"/>
          <w:w w:val="105"/>
          <w:position w:val="5"/>
          <w:sz w:val="10"/>
        </w:rPr>
        <w:t>13   </w:t>
      </w:r>
      <w:r>
        <w:rPr>
          <w:color w:val="231F20"/>
          <w:w w:val="105"/>
          <w:sz w:val="16"/>
        </w:rPr>
        <w:t>No en todos los países se usa la misma designación. Mientras que en Canadá,    por ejemplo, se indica como </w:t>
      </w:r>
      <w:r>
        <w:rPr>
          <w:i/>
          <w:color w:val="231F20"/>
          <w:w w:val="105"/>
          <w:sz w:val="16"/>
        </w:rPr>
        <w:t>non-standard</w:t>
      </w:r>
      <w:r>
        <w:rPr>
          <w:color w:val="231F20"/>
          <w:w w:val="105"/>
          <w:sz w:val="16"/>
        </w:rPr>
        <w:t>, en Estados Unidos se define como </w:t>
      </w:r>
      <w:r>
        <w:rPr>
          <w:i/>
          <w:color w:val="231F20"/>
          <w:w w:val="105"/>
          <w:sz w:val="16"/>
        </w:rPr>
        <w:t>contin- </w:t>
      </w:r>
      <w:r>
        <w:rPr>
          <w:i/>
          <w:color w:val="231F20"/>
          <w:w w:val="105"/>
          <w:sz w:val="16"/>
        </w:rPr>
        <w:t>gent </w:t>
      </w:r>
      <w:r>
        <w:rPr>
          <w:color w:val="231F20"/>
          <w:w w:val="105"/>
          <w:sz w:val="16"/>
        </w:rPr>
        <w:t>o, simplemente, </w:t>
      </w:r>
      <w:r>
        <w:rPr>
          <w:i/>
          <w:color w:val="231F20"/>
          <w:w w:val="105"/>
          <w:sz w:val="16"/>
        </w:rPr>
        <w:t>precarious employment</w:t>
      </w:r>
      <w:r>
        <w:rPr>
          <w:color w:val="231F20"/>
          <w:w w:val="105"/>
          <w:sz w:val="16"/>
        </w:rPr>
        <w:t>. En términos generales, en la perspectiva estadunidense la distinción entre el trabajo a </w:t>
      </w:r>
      <w:r>
        <w:rPr>
          <w:i/>
          <w:color w:val="231F20"/>
          <w:w w:val="105"/>
          <w:sz w:val="16"/>
        </w:rPr>
        <w:t>full-time </w:t>
      </w:r>
      <w:r>
        <w:rPr>
          <w:color w:val="231F20"/>
          <w:w w:val="105"/>
          <w:sz w:val="16"/>
        </w:rPr>
        <w:t>y el </w:t>
      </w:r>
      <w:r>
        <w:rPr>
          <w:i/>
          <w:color w:val="231F20"/>
          <w:w w:val="105"/>
          <w:sz w:val="16"/>
        </w:rPr>
        <w:t>part-time </w:t>
      </w:r>
      <w:r>
        <w:rPr>
          <w:color w:val="231F20"/>
          <w:w w:val="105"/>
          <w:sz w:val="16"/>
        </w:rPr>
        <w:t>no es considerada   en</w:t>
      </w:r>
      <w:r>
        <w:rPr>
          <w:color w:val="231F20"/>
          <w:spacing w:val="24"/>
          <w:w w:val="105"/>
          <w:sz w:val="16"/>
        </w:rPr>
        <w:t> </w:t>
      </w:r>
      <w:r>
        <w:rPr>
          <w:color w:val="231F20"/>
          <w:w w:val="105"/>
          <w:sz w:val="16"/>
        </w:rPr>
        <w:t>el</w:t>
      </w:r>
      <w:r>
        <w:rPr>
          <w:color w:val="231F20"/>
          <w:spacing w:val="24"/>
          <w:w w:val="105"/>
          <w:sz w:val="16"/>
        </w:rPr>
        <w:t> </w:t>
      </w:r>
      <w:r>
        <w:rPr>
          <w:color w:val="231F20"/>
          <w:w w:val="105"/>
          <w:sz w:val="16"/>
        </w:rPr>
        <w:t>concepto</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trabajo</w:t>
      </w:r>
      <w:r>
        <w:rPr>
          <w:color w:val="231F20"/>
          <w:spacing w:val="24"/>
          <w:w w:val="105"/>
          <w:sz w:val="16"/>
        </w:rPr>
        <w:t> </w:t>
      </w:r>
      <w:r>
        <w:rPr>
          <w:color w:val="231F20"/>
          <w:w w:val="105"/>
          <w:sz w:val="16"/>
        </w:rPr>
        <w:t>contingente</w:t>
      </w:r>
      <w:r>
        <w:rPr>
          <w:color w:val="231F20"/>
          <w:spacing w:val="24"/>
          <w:w w:val="105"/>
          <w:sz w:val="16"/>
        </w:rPr>
        <w:t> </w:t>
      </w:r>
      <w:r>
        <w:rPr>
          <w:color w:val="231F20"/>
          <w:w w:val="105"/>
          <w:sz w:val="16"/>
        </w:rPr>
        <w:t>(Vosko</w:t>
      </w:r>
      <w:r>
        <w:rPr>
          <w:color w:val="231F20"/>
          <w:spacing w:val="22"/>
          <w:w w:val="105"/>
          <w:sz w:val="16"/>
        </w:rPr>
        <w:t> </w:t>
      </w:r>
      <w:r>
        <w:rPr>
          <w:i/>
          <w:color w:val="231F20"/>
          <w:w w:val="105"/>
          <w:sz w:val="16"/>
        </w:rPr>
        <w:t>et</w:t>
      </w:r>
      <w:r>
        <w:rPr>
          <w:i/>
          <w:color w:val="231F20"/>
          <w:spacing w:val="24"/>
          <w:w w:val="105"/>
          <w:sz w:val="16"/>
        </w:rPr>
        <w:t> </w:t>
      </w:r>
      <w:r>
        <w:rPr>
          <w:i/>
          <w:color w:val="231F20"/>
          <w:w w:val="105"/>
          <w:sz w:val="16"/>
        </w:rPr>
        <w:t>al.</w:t>
      </w:r>
      <w:r>
        <w:rPr>
          <w:color w:val="231F20"/>
          <w:w w:val="105"/>
          <w:sz w:val="16"/>
        </w:rPr>
        <w:t>,</w:t>
      </w:r>
      <w:r>
        <w:rPr>
          <w:color w:val="231F20"/>
          <w:spacing w:val="24"/>
          <w:w w:val="105"/>
          <w:sz w:val="16"/>
        </w:rPr>
        <w:t> </w:t>
      </w:r>
      <w:r>
        <w:rPr>
          <w:color w:val="231F20"/>
          <w:w w:val="105"/>
          <w:sz w:val="16"/>
        </w:rPr>
        <w:t>2003).</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10"/>
        </w:rPr>
        <w:t>esencialmente a ocupados temporales: la primera incluye a todos</w:t>
      </w:r>
      <w:r>
        <w:rPr>
          <w:color w:val="231F20"/>
          <w:spacing w:val="-20"/>
          <w:w w:val="110"/>
        </w:rPr>
        <w:t> </w:t>
      </w:r>
      <w:r>
        <w:rPr>
          <w:color w:val="231F20"/>
          <w:w w:val="110"/>
        </w:rPr>
        <w:t>los asalariados en ocupaciones no estables y que por consiguiente “no esperan que su trabajo dure”; la segunda es más precisa en cuanto   a que incorpora a trabajadores asalariados con un año o menos en   el mismo puesto de trabajo. La tercera incluye a trabajadores auto- empleados o independientes, que esperan modificar su condición laboral</w:t>
      </w:r>
      <w:r>
        <w:rPr>
          <w:color w:val="231F20"/>
          <w:spacing w:val="-12"/>
          <w:w w:val="110"/>
        </w:rPr>
        <w:t> </w:t>
      </w:r>
      <w:r>
        <w:rPr>
          <w:color w:val="231F20"/>
          <w:w w:val="110"/>
        </w:rPr>
        <w:t>en</w:t>
      </w:r>
      <w:r>
        <w:rPr>
          <w:color w:val="231F20"/>
          <w:spacing w:val="-12"/>
          <w:w w:val="110"/>
        </w:rPr>
        <w:t> </w:t>
      </w:r>
      <w:r>
        <w:rPr>
          <w:color w:val="231F20"/>
          <w:w w:val="110"/>
        </w:rPr>
        <w:t>un</w:t>
      </w:r>
      <w:r>
        <w:rPr>
          <w:color w:val="231F20"/>
          <w:spacing w:val="-12"/>
          <w:w w:val="110"/>
        </w:rPr>
        <w:t> </w:t>
      </w:r>
      <w:r>
        <w:rPr>
          <w:color w:val="231F20"/>
          <w:w w:val="110"/>
        </w:rPr>
        <w:t>año</w:t>
      </w:r>
      <w:r>
        <w:rPr>
          <w:color w:val="231F20"/>
          <w:spacing w:val="-12"/>
          <w:w w:val="110"/>
        </w:rPr>
        <w:t> </w:t>
      </w:r>
      <w:r>
        <w:rPr>
          <w:color w:val="231F20"/>
          <w:w w:val="110"/>
        </w:rPr>
        <w:t>o</w:t>
      </w:r>
      <w:r>
        <w:rPr>
          <w:color w:val="231F20"/>
          <w:spacing w:val="-12"/>
          <w:w w:val="110"/>
        </w:rPr>
        <w:t> </w:t>
      </w:r>
      <w:r>
        <w:rPr>
          <w:color w:val="231F20"/>
          <w:w w:val="110"/>
        </w:rPr>
        <w:t>menos</w:t>
      </w:r>
      <w:r>
        <w:rPr>
          <w:color w:val="231F20"/>
          <w:spacing w:val="-12"/>
          <w:w w:val="110"/>
        </w:rPr>
        <w:t> </w:t>
      </w:r>
      <w:r>
        <w:rPr>
          <w:color w:val="231F20"/>
          <w:w w:val="110"/>
        </w:rPr>
        <w:t>(Vosko</w:t>
      </w:r>
      <w:r>
        <w:rPr>
          <w:color w:val="231F20"/>
          <w:spacing w:val="-12"/>
          <w:w w:val="110"/>
        </w:rPr>
        <w:t> </w:t>
      </w:r>
      <w:r>
        <w:rPr>
          <w:i/>
          <w:color w:val="231F20"/>
          <w:w w:val="110"/>
        </w:rPr>
        <w:t>et</w:t>
      </w:r>
      <w:r>
        <w:rPr>
          <w:i/>
          <w:color w:val="231F20"/>
          <w:spacing w:val="-12"/>
          <w:w w:val="110"/>
        </w:rPr>
        <w:t> </w:t>
      </w:r>
      <w:r>
        <w:rPr>
          <w:i/>
          <w:color w:val="231F20"/>
          <w:w w:val="110"/>
        </w:rPr>
        <w:t>al.</w:t>
      </w:r>
      <w:r>
        <w:rPr>
          <w:color w:val="231F20"/>
          <w:w w:val="110"/>
        </w:rPr>
        <w:t>,</w:t>
      </w:r>
      <w:r>
        <w:rPr>
          <w:color w:val="231F20"/>
          <w:spacing w:val="-12"/>
          <w:w w:val="110"/>
        </w:rPr>
        <w:t> </w:t>
      </w:r>
      <w:r>
        <w:rPr>
          <w:color w:val="231F20"/>
          <w:w w:val="110"/>
        </w:rPr>
        <w:t>2003;</w:t>
      </w:r>
      <w:r>
        <w:rPr>
          <w:color w:val="231F20"/>
          <w:spacing w:val="-12"/>
          <w:w w:val="110"/>
        </w:rPr>
        <w:t> </w:t>
      </w:r>
      <w:r>
        <w:rPr>
          <w:color w:val="231F20"/>
          <w:w w:val="110"/>
        </w:rPr>
        <w:t>Cranford</w:t>
      </w:r>
      <w:r>
        <w:rPr>
          <w:color w:val="231F20"/>
          <w:spacing w:val="-12"/>
          <w:w w:val="110"/>
        </w:rPr>
        <w:t> </w:t>
      </w:r>
      <w:r>
        <w:rPr>
          <w:i/>
          <w:color w:val="231F20"/>
          <w:w w:val="110"/>
        </w:rPr>
        <w:t>et</w:t>
      </w:r>
      <w:r>
        <w:rPr>
          <w:i/>
          <w:color w:val="231F20"/>
          <w:spacing w:val="-12"/>
          <w:w w:val="110"/>
        </w:rPr>
        <w:t> </w:t>
      </w:r>
      <w:r>
        <w:rPr>
          <w:i/>
          <w:color w:val="231F20"/>
          <w:w w:val="110"/>
        </w:rPr>
        <w:t>al.</w:t>
      </w:r>
      <w:r>
        <w:rPr>
          <w:color w:val="231F20"/>
          <w:w w:val="110"/>
        </w:rPr>
        <w:t>,</w:t>
      </w:r>
      <w:r>
        <w:rPr>
          <w:color w:val="231F20"/>
          <w:spacing w:val="-12"/>
          <w:w w:val="110"/>
        </w:rPr>
        <w:t> </w:t>
      </w:r>
      <w:r>
        <w:rPr>
          <w:color w:val="231F20"/>
          <w:w w:val="110"/>
        </w:rPr>
        <w:t>2003). En Estados Unidos prevalece un modelo de precarización laboral institucionalizado, que da lugar a un doble proceso de</w:t>
      </w:r>
      <w:r>
        <w:rPr>
          <w:color w:val="231F20"/>
          <w:spacing w:val="-38"/>
          <w:w w:val="110"/>
        </w:rPr>
        <w:t> </w:t>
      </w:r>
      <w:r>
        <w:rPr>
          <w:color w:val="231F20"/>
          <w:w w:val="110"/>
        </w:rPr>
        <w:t>precarización: por un lado, derivado de la tradicional relación contractual </w:t>
      </w:r>
      <w:r>
        <w:rPr>
          <w:color w:val="231F20"/>
          <w:spacing w:val="-8"/>
          <w:w w:val="110"/>
        </w:rPr>
        <w:t>y, </w:t>
      </w:r>
      <w:r>
        <w:rPr>
          <w:color w:val="231F20"/>
          <w:w w:val="110"/>
        </w:rPr>
        <w:t>por otro, de la fragmentación de la institucionalidad y la insuficiencia</w:t>
      </w:r>
      <w:r>
        <w:rPr>
          <w:color w:val="231F20"/>
          <w:spacing w:val="-35"/>
          <w:w w:val="110"/>
        </w:rPr>
        <w:t> </w:t>
      </w:r>
      <w:r>
        <w:rPr>
          <w:color w:val="231F20"/>
          <w:w w:val="110"/>
        </w:rPr>
        <w:t>de la</w:t>
      </w:r>
      <w:r>
        <w:rPr>
          <w:color w:val="231F20"/>
          <w:spacing w:val="-18"/>
          <w:w w:val="110"/>
        </w:rPr>
        <w:t> </w:t>
      </w:r>
      <w:r>
        <w:rPr>
          <w:color w:val="231F20"/>
          <w:w w:val="110"/>
        </w:rPr>
        <w:t>legislación</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derechos</w:t>
      </w:r>
      <w:r>
        <w:rPr>
          <w:color w:val="231F20"/>
          <w:spacing w:val="-18"/>
          <w:w w:val="110"/>
        </w:rPr>
        <w:t> </w:t>
      </w:r>
      <w:r>
        <w:rPr>
          <w:color w:val="231F20"/>
          <w:w w:val="110"/>
        </w:rPr>
        <w:t>sociales</w:t>
      </w:r>
      <w:r>
        <w:rPr>
          <w:color w:val="231F20"/>
          <w:spacing w:val="-18"/>
          <w:w w:val="110"/>
        </w:rPr>
        <w:t> </w:t>
      </w:r>
      <w:r>
        <w:rPr>
          <w:color w:val="231F20"/>
          <w:w w:val="110"/>
        </w:rPr>
        <w:t>y</w:t>
      </w:r>
      <w:r>
        <w:rPr>
          <w:color w:val="231F20"/>
          <w:spacing w:val="-18"/>
          <w:w w:val="110"/>
        </w:rPr>
        <w:t> </w:t>
      </w:r>
      <w:r>
        <w:rPr>
          <w:color w:val="231F20"/>
          <w:w w:val="110"/>
        </w:rPr>
        <w:t>laborales</w:t>
      </w:r>
      <w:r>
        <w:rPr>
          <w:color w:val="231F20"/>
          <w:spacing w:val="-18"/>
          <w:w w:val="110"/>
        </w:rPr>
        <w:t> </w:t>
      </w:r>
      <w:r>
        <w:rPr>
          <w:color w:val="231F20"/>
          <w:w w:val="110"/>
        </w:rPr>
        <w:t>básicos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traba- jadores, particularmente en cuanto a acceso a prestaciones</w:t>
      </w:r>
      <w:r>
        <w:rPr>
          <w:color w:val="231F20"/>
          <w:spacing w:val="-23"/>
          <w:w w:val="110"/>
        </w:rPr>
        <w:t> </w:t>
      </w:r>
      <w:r>
        <w:rPr>
          <w:color w:val="231F20"/>
          <w:w w:val="110"/>
        </w:rPr>
        <w:t>laborales, seguridad social y participación en organizaciones sindicales (Kes- selman, 2010; Castillo, 2010a).</w:t>
      </w:r>
      <w:r>
        <w:rPr>
          <w:color w:val="231F20"/>
          <w:w w:val="110"/>
          <w:position w:val="6"/>
          <w:sz w:val="13"/>
        </w:rPr>
        <w:t>14 </w:t>
      </w:r>
      <w:r>
        <w:rPr>
          <w:color w:val="231F20"/>
          <w:w w:val="110"/>
        </w:rPr>
        <w:t>No obstante, cabe indicar que en Estados Unidos las preocupaciones por la problemática de la</w:t>
      </w:r>
      <w:r>
        <w:rPr>
          <w:color w:val="231F20"/>
          <w:spacing w:val="-34"/>
          <w:w w:val="110"/>
        </w:rPr>
        <w:t> </w:t>
      </w:r>
      <w:r>
        <w:rPr>
          <w:color w:val="231F20"/>
          <w:w w:val="110"/>
        </w:rPr>
        <w:t>calidad del empleo, en cierto modo, se han reorientado hacia la desigualdad salarial</w:t>
      </w:r>
      <w:r>
        <w:rPr>
          <w:color w:val="231F20"/>
          <w:spacing w:val="-7"/>
          <w:w w:val="110"/>
        </w:rPr>
        <w:t> </w:t>
      </w:r>
      <w:r>
        <w:rPr>
          <w:color w:val="231F20"/>
          <w:w w:val="110"/>
        </w:rPr>
        <w:t>creciente,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entorno</w:t>
      </w:r>
      <w:r>
        <w:rPr>
          <w:color w:val="231F20"/>
          <w:spacing w:val="-7"/>
          <w:w w:val="110"/>
        </w:rPr>
        <w:t> </w:t>
      </w:r>
      <w:r>
        <w:rPr>
          <w:color w:val="231F20"/>
          <w:w w:val="110"/>
        </w:rPr>
        <w:t>de</w:t>
      </w:r>
      <w:r>
        <w:rPr>
          <w:color w:val="231F20"/>
          <w:spacing w:val="-7"/>
          <w:w w:val="110"/>
        </w:rPr>
        <w:t> </w:t>
      </w:r>
      <w:r>
        <w:rPr>
          <w:color w:val="231F20"/>
          <w:w w:val="110"/>
        </w:rPr>
        <w:t>desregulación</w:t>
      </w:r>
      <w:r>
        <w:rPr>
          <w:color w:val="231F20"/>
          <w:spacing w:val="-7"/>
          <w:w w:val="110"/>
        </w:rPr>
        <w:t> </w:t>
      </w:r>
      <w:r>
        <w:rPr>
          <w:color w:val="231F20"/>
          <w:w w:val="110"/>
        </w:rPr>
        <w:t>y</w:t>
      </w:r>
      <w:r>
        <w:rPr>
          <w:color w:val="231F20"/>
          <w:spacing w:val="-7"/>
          <w:w w:val="110"/>
        </w:rPr>
        <w:t> </w:t>
      </w:r>
      <w:r>
        <w:rPr>
          <w:color w:val="231F20"/>
          <w:w w:val="110"/>
        </w:rPr>
        <w:t>flexibilidad</w:t>
      </w:r>
      <w:r>
        <w:rPr>
          <w:color w:val="231F20"/>
          <w:spacing w:val="-7"/>
          <w:w w:val="110"/>
        </w:rPr>
        <w:t> </w:t>
      </w:r>
      <w:r>
        <w:rPr>
          <w:color w:val="231F20"/>
          <w:w w:val="110"/>
        </w:rPr>
        <w:t>gene- rado por el modelo neoliberal. En este sentido, según Carty (1999), “el</w:t>
      </w:r>
      <w:r>
        <w:rPr>
          <w:color w:val="231F20"/>
          <w:spacing w:val="-4"/>
          <w:w w:val="110"/>
        </w:rPr>
        <w:t> </w:t>
      </w:r>
      <w:r>
        <w:rPr>
          <w:color w:val="231F20"/>
          <w:w w:val="110"/>
        </w:rPr>
        <w:t>análisis</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factores</w:t>
      </w:r>
      <w:r>
        <w:rPr>
          <w:color w:val="231F20"/>
          <w:spacing w:val="-4"/>
          <w:w w:val="110"/>
        </w:rPr>
        <w:t> </w:t>
      </w:r>
      <w:r>
        <w:rPr>
          <w:color w:val="231F20"/>
          <w:w w:val="110"/>
        </w:rPr>
        <w:t>que</w:t>
      </w:r>
      <w:r>
        <w:rPr>
          <w:color w:val="231F20"/>
          <w:spacing w:val="-4"/>
          <w:w w:val="110"/>
        </w:rPr>
        <w:t> </w:t>
      </w:r>
      <w:r>
        <w:rPr>
          <w:color w:val="231F20"/>
          <w:w w:val="110"/>
        </w:rPr>
        <w:t>determinan</w:t>
      </w:r>
      <w:r>
        <w:rPr>
          <w:color w:val="231F20"/>
          <w:spacing w:val="-4"/>
          <w:w w:val="110"/>
        </w:rPr>
        <w:t> </w:t>
      </w:r>
      <w:r>
        <w:rPr>
          <w:color w:val="231F20"/>
          <w:w w:val="110"/>
        </w:rPr>
        <w:t>la</w:t>
      </w:r>
      <w:r>
        <w:rPr>
          <w:color w:val="231F20"/>
          <w:spacing w:val="-4"/>
          <w:w w:val="110"/>
        </w:rPr>
        <w:t> </w:t>
      </w:r>
      <w:r>
        <w:rPr>
          <w:color w:val="231F20"/>
          <w:w w:val="110"/>
        </w:rPr>
        <w:t>proliferación</w:t>
      </w:r>
      <w:r>
        <w:rPr>
          <w:color w:val="231F20"/>
          <w:spacing w:val="-4"/>
          <w:w w:val="110"/>
        </w:rPr>
        <w:t> </w:t>
      </w:r>
      <w:r>
        <w:rPr>
          <w:color w:val="231F20"/>
          <w:w w:val="110"/>
        </w:rPr>
        <w:t>de</w:t>
      </w:r>
      <w:r>
        <w:rPr>
          <w:color w:val="231F20"/>
          <w:spacing w:val="-4"/>
          <w:w w:val="110"/>
        </w:rPr>
        <w:t> </w:t>
      </w:r>
      <w:r>
        <w:rPr>
          <w:color w:val="231F20"/>
          <w:w w:val="110"/>
        </w:rPr>
        <w:t>‘malos empleos’ se ha desplazado hacia una búsqueda de las causas de la creciente desigualdad de los</w:t>
      </w:r>
      <w:r>
        <w:rPr>
          <w:color w:val="231F20"/>
          <w:spacing w:val="-3"/>
          <w:w w:val="110"/>
        </w:rPr>
        <w:t> </w:t>
      </w:r>
      <w:r>
        <w:rPr>
          <w:color w:val="231F20"/>
          <w:w w:val="110"/>
        </w:rPr>
        <w:t>ingresos”.</w:t>
      </w:r>
    </w:p>
    <w:p>
      <w:pPr>
        <w:pStyle w:val="BodyText"/>
        <w:spacing w:before="4"/>
        <w:rPr>
          <w:sz w:val="23"/>
        </w:rPr>
      </w:pPr>
    </w:p>
    <w:p>
      <w:pPr>
        <w:spacing w:line="290" w:lineRule="auto" w:before="0"/>
        <w:ind w:left="100" w:right="117" w:firstLine="0"/>
        <w:jc w:val="both"/>
        <w:rPr>
          <w:sz w:val="18"/>
        </w:rPr>
      </w:pPr>
      <w:r>
        <w:rPr>
          <w:color w:val="231F20"/>
          <w:w w:val="110"/>
          <w:sz w:val="18"/>
        </w:rPr>
        <w:t>The burgeoning informal economy in the United States is introducing new elements into familiar historical patterns of exploitation […] The current boom in the informal economy bodes no better for native workers in both the informal and formal sectors of the U.S. economy. Real wages, benefits, and standards of living continue to decline for all workers and the labor  movement is stalled. Realizing the American Dream through hard work in  a promising job is becoming a remote possibility rather than an accessible opportunity.</w:t>
      </w:r>
    </w:p>
    <w:p>
      <w:pPr>
        <w:pStyle w:val="BodyText"/>
        <w:rPr>
          <w:sz w:val="18"/>
        </w:rPr>
      </w:pPr>
    </w:p>
    <w:p>
      <w:pPr>
        <w:pStyle w:val="BodyText"/>
        <w:rPr>
          <w:sz w:val="18"/>
        </w:rPr>
      </w:pPr>
    </w:p>
    <w:p>
      <w:pPr>
        <w:pStyle w:val="BodyText"/>
        <w:rPr>
          <w:sz w:val="18"/>
        </w:rPr>
      </w:pPr>
    </w:p>
    <w:p>
      <w:pPr>
        <w:spacing w:line="261" w:lineRule="auto" w:before="143"/>
        <w:ind w:left="100" w:right="117" w:firstLine="240"/>
        <w:jc w:val="both"/>
        <w:rPr>
          <w:sz w:val="16"/>
        </w:rPr>
      </w:pPr>
      <w:r>
        <w:rPr>
          <w:color w:val="231F20"/>
          <w:w w:val="110"/>
          <w:position w:val="5"/>
          <w:sz w:val="10"/>
        </w:rPr>
        <w:t>14 </w:t>
      </w:r>
      <w:r>
        <w:rPr>
          <w:color w:val="231F20"/>
          <w:w w:val="110"/>
          <w:sz w:val="16"/>
        </w:rPr>
        <w:t>Según Kesselman (2010: 69), “nos Estados Unidos, o trabalho precário nunca foi objeto de uma legislação nacional global: ele é simplesmente regulamentado por uma adaptação progressiva do direito trabalhista. Ora, longe de constituir um direito globalmente</w:t>
      </w:r>
      <w:r>
        <w:rPr>
          <w:color w:val="231F20"/>
          <w:spacing w:val="-13"/>
          <w:w w:val="110"/>
          <w:sz w:val="16"/>
        </w:rPr>
        <w:t> </w:t>
      </w:r>
      <w:r>
        <w:rPr>
          <w:color w:val="231F20"/>
          <w:w w:val="110"/>
          <w:sz w:val="16"/>
        </w:rPr>
        <w:t>coerente,</w:t>
      </w:r>
      <w:r>
        <w:rPr>
          <w:color w:val="231F20"/>
          <w:spacing w:val="-13"/>
          <w:w w:val="110"/>
          <w:sz w:val="16"/>
        </w:rPr>
        <w:t> </w:t>
      </w:r>
      <w:r>
        <w:rPr>
          <w:color w:val="231F20"/>
          <w:w w:val="110"/>
          <w:sz w:val="16"/>
        </w:rPr>
        <w:t>resulta</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uma</w:t>
      </w:r>
      <w:r>
        <w:rPr>
          <w:color w:val="231F20"/>
          <w:spacing w:val="-13"/>
          <w:w w:val="110"/>
          <w:sz w:val="16"/>
        </w:rPr>
        <w:t> </w:t>
      </w:r>
      <w:r>
        <w:rPr>
          <w:color w:val="231F20"/>
          <w:w w:val="110"/>
          <w:sz w:val="16"/>
        </w:rPr>
        <w:t>acumulação</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práticas</w:t>
      </w:r>
      <w:r>
        <w:rPr>
          <w:color w:val="231F20"/>
          <w:spacing w:val="-13"/>
          <w:w w:val="110"/>
          <w:sz w:val="16"/>
        </w:rPr>
        <w:t> </w:t>
      </w:r>
      <w:r>
        <w:rPr>
          <w:color w:val="231F20"/>
          <w:w w:val="110"/>
          <w:sz w:val="16"/>
        </w:rPr>
        <w:t>coletivas,</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dispositivos legislativos,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regras</w:t>
      </w:r>
      <w:r>
        <w:rPr>
          <w:color w:val="231F20"/>
          <w:spacing w:val="-17"/>
          <w:w w:val="110"/>
          <w:sz w:val="16"/>
        </w:rPr>
        <w:t> </w:t>
      </w:r>
      <w:r>
        <w:rPr>
          <w:color w:val="231F20"/>
          <w:w w:val="110"/>
          <w:sz w:val="16"/>
        </w:rPr>
        <w:t>jurisprudenciais,</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resultam</w:t>
      </w:r>
      <w:r>
        <w:rPr>
          <w:color w:val="231F20"/>
          <w:spacing w:val="-17"/>
          <w:w w:val="110"/>
          <w:sz w:val="16"/>
        </w:rPr>
        <w:t> </w:t>
      </w:r>
      <w:r>
        <w:rPr>
          <w:color w:val="231F20"/>
          <w:w w:val="110"/>
          <w:sz w:val="16"/>
        </w:rPr>
        <w:t>dos</w:t>
      </w:r>
      <w:r>
        <w:rPr>
          <w:color w:val="231F20"/>
          <w:spacing w:val="-17"/>
          <w:w w:val="110"/>
          <w:sz w:val="16"/>
        </w:rPr>
        <w:t> </w:t>
      </w:r>
      <w:r>
        <w:rPr>
          <w:color w:val="231F20"/>
          <w:w w:val="110"/>
          <w:sz w:val="16"/>
        </w:rPr>
        <w:t>periodos</w:t>
      </w:r>
      <w:r>
        <w:rPr>
          <w:color w:val="231F20"/>
          <w:spacing w:val="-17"/>
          <w:w w:val="110"/>
          <w:sz w:val="16"/>
        </w:rPr>
        <w:t> </w:t>
      </w:r>
      <w:r>
        <w:rPr>
          <w:color w:val="231F20"/>
          <w:w w:val="110"/>
          <w:sz w:val="16"/>
        </w:rPr>
        <w:t>históricos</w:t>
      </w:r>
      <w:r>
        <w:rPr>
          <w:color w:val="231F20"/>
          <w:spacing w:val="-17"/>
          <w:w w:val="110"/>
          <w:sz w:val="16"/>
        </w:rPr>
        <w:t> </w:t>
      </w:r>
      <w:r>
        <w:rPr>
          <w:color w:val="231F20"/>
          <w:w w:val="110"/>
          <w:sz w:val="16"/>
        </w:rPr>
        <w:t>sucessivos e obedecem a lógicas</w:t>
      </w:r>
      <w:r>
        <w:rPr>
          <w:color w:val="231F20"/>
          <w:spacing w:val="1"/>
          <w:w w:val="110"/>
          <w:sz w:val="16"/>
        </w:rPr>
        <w:t> </w:t>
      </w:r>
      <w:r>
        <w:rPr>
          <w:color w:val="231F20"/>
          <w:w w:val="110"/>
          <w:sz w:val="16"/>
        </w:rPr>
        <w:t>diferentes”.</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Las estructuras del empleo y de los salarios están íntimamente vinculadas.</w:t>
      </w:r>
      <w:r>
        <w:rPr>
          <w:color w:val="231F20"/>
          <w:spacing w:val="-14"/>
          <w:w w:val="110"/>
        </w:rPr>
        <w:t> </w:t>
      </w:r>
      <w:r>
        <w:rPr>
          <w:color w:val="231F20"/>
          <w:w w:val="110"/>
        </w:rPr>
        <w:t>El</w:t>
      </w:r>
      <w:r>
        <w:rPr>
          <w:color w:val="231F20"/>
          <w:spacing w:val="-14"/>
          <w:w w:val="110"/>
        </w:rPr>
        <w:t> </w:t>
      </w:r>
      <w:r>
        <w:rPr>
          <w:color w:val="231F20"/>
          <w:w w:val="110"/>
        </w:rPr>
        <w:t>cambio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composición</w:t>
      </w:r>
      <w:r>
        <w:rPr>
          <w:color w:val="231F20"/>
          <w:spacing w:val="-14"/>
          <w:w w:val="110"/>
        </w:rPr>
        <w:t> </w:t>
      </w:r>
      <w:r>
        <w:rPr>
          <w:color w:val="231F20"/>
          <w:w w:val="110"/>
        </w:rPr>
        <w:t>sectorial</w:t>
      </w:r>
      <w:r>
        <w:rPr>
          <w:color w:val="231F20"/>
          <w:spacing w:val="-14"/>
          <w:w w:val="110"/>
        </w:rPr>
        <w:t> </w:t>
      </w:r>
      <w:r>
        <w:rPr>
          <w:color w:val="231F20"/>
          <w:w w:val="110"/>
        </w:rPr>
        <w:t>del</w:t>
      </w:r>
      <w:r>
        <w:rPr>
          <w:color w:val="231F20"/>
          <w:spacing w:val="-14"/>
          <w:w w:val="110"/>
        </w:rPr>
        <w:t> </w:t>
      </w:r>
      <w:r>
        <w:rPr>
          <w:color w:val="231F20"/>
          <w:w w:val="110"/>
        </w:rPr>
        <w:t>empleo</w:t>
      </w:r>
      <w:r>
        <w:rPr>
          <w:color w:val="231F20"/>
          <w:spacing w:val="-14"/>
          <w:w w:val="110"/>
        </w:rPr>
        <w:t> </w:t>
      </w:r>
      <w:r>
        <w:rPr>
          <w:color w:val="231F20"/>
          <w:w w:val="110"/>
        </w:rPr>
        <w:t>explica en gran medida el deterioro de la calidad de las ocupaciones, el in- cremento de la informalidad, la precarización del trabajo y el nuevo entorno de polarización de la desigualdad salarial. En cuanto a la distribución de los salarios, Estados Unidos presenta una situación inédita, que en cierto modo contrasta con las tendencias mostradas en la mayoría de los países que acogieron el modelo económico neoliberal.</w:t>
      </w:r>
      <w:r>
        <w:rPr>
          <w:color w:val="231F20"/>
          <w:w w:val="110"/>
          <w:position w:val="6"/>
          <w:sz w:val="13"/>
        </w:rPr>
        <w:t>15</w:t>
      </w:r>
      <w:r>
        <w:rPr>
          <w:color w:val="231F20"/>
          <w:spacing w:val="-4"/>
          <w:w w:val="110"/>
          <w:position w:val="6"/>
          <w:sz w:val="13"/>
        </w:rPr>
        <w:t> </w:t>
      </w:r>
      <w:r>
        <w:rPr>
          <w:color w:val="231F20"/>
          <w:w w:val="110"/>
        </w:rPr>
        <w:t>Los</w:t>
      </w:r>
      <w:r>
        <w:rPr>
          <w:color w:val="231F20"/>
          <w:spacing w:val="-23"/>
          <w:w w:val="110"/>
        </w:rPr>
        <w:t> </w:t>
      </w:r>
      <w:r>
        <w:rPr>
          <w:color w:val="231F20"/>
          <w:w w:val="110"/>
        </w:rPr>
        <w:t>niveles</w:t>
      </w:r>
      <w:r>
        <w:rPr>
          <w:color w:val="231F20"/>
          <w:spacing w:val="-23"/>
          <w:w w:val="110"/>
        </w:rPr>
        <w:t> </w:t>
      </w:r>
      <w:r>
        <w:rPr>
          <w:color w:val="231F20"/>
          <w:w w:val="110"/>
        </w:rPr>
        <w:t>diferenciales</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salarios</w:t>
      </w:r>
      <w:r>
        <w:rPr>
          <w:color w:val="231F20"/>
          <w:spacing w:val="-23"/>
          <w:w w:val="110"/>
        </w:rPr>
        <w:t> </w:t>
      </w:r>
      <w:r>
        <w:rPr>
          <w:color w:val="231F20"/>
          <w:w w:val="110"/>
        </w:rPr>
        <w:t>corresponden,</w:t>
      </w:r>
      <w:r>
        <w:rPr>
          <w:color w:val="231F20"/>
          <w:spacing w:val="-23"/>
          <w:w w:val="110"/>
        </w:rPr>
        <w:t> </w:t>
      </w:r>
      <w:r>
        <w:rPr>
          <w:color w:val="231F20"/>
          <w:w w:val="110"/>
        </w:rPr>
        <w:t>en parte, con los niveles relativamente altos de productividad en</w:t>
      </w:r>
      <w:r>
        <w:rPr>
          <w:color w:val="231F20"/>
          <w:spacing w:val="-17"/>
          <w:w w:val="110"/>
        </w:rPr>
        <w:t> </w:t>
      </w:r>
      <w:r>
        <w:rPr>
          <w:color w:val="231F20"/>
          <w:w w:val="110"/>
        </w:rPr>
        <w:t>dichos sectores de actividad. Pero, en particular, la capitalización externa es un factor de importancia que permite mantener niveles salariales medios relativamente altos para una élite de trabajadores de “cuello blanco”,</w:t>
      </w:r>
      <w:r>
        <w:rPr>
          <w:color w:val="231F20"/>
          <w:spacing w:val="-8"/>
          <w:w w:val="110"/>
        </w:rPr>
        <w:t> </w:t>
      </w:r>
      <w:r>
        <w:rPr>
          <w:color w:val="231F20"/>
          <w:w w:val="110"/>
        </w:rPr>
        <w:t>a</w:t>
      </w:r>
      <w:r>
        <w:rPr>
          <w:color w:val="231F20"/>
          <w:spacing w:val="-8"/>
          <w:w w:val="110"/>
        </w:rPr>
        <w:t> </w:t>
      </w:r>
      <w:r>
        <w:rPr>
          <w:color w:val="231F20"/>
          <w:w w:val="110"/>
        </w:rPr>
        <w:t>expensas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explotación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fuerza</w:t>
      </w:r>
      <w:r>
        <w:rPr>
          <w:color w:val="231F20"/>
          <w:spacing w:val="-8"/>
          <w:w w:val="110"/>
        </w:rPr>
        <w:t> </w:t>
      </w:r>
      <w:r>
        <w:rPr>
          <w:color w:val="231F20"/>
          <w:w w:val="110"/>
        </w:rPr>
        <w:t>de</w:t>
      </w:r>
      <w:r>
        <w:rPr>
          <w:color w:val="231F20"/>
          <w:spacing w:val="-8"/>
          <w:w w:val="110"/>
        </w:rPr>
        <w:t> </w:t>
      </w:r>
      <w:r>
        <w:rPr>
          <w:color w:val="231F20"/>
          <w:w w:val="110"/>
        </w:rPr>
        <w:t>trabajo</w:t>
      </w:r>
      <w:r>
        <w:rPr>
          <w:color w:val="231F20"/>
          <w:spacing w:val="-8"/>
          <w:w w:val="110"/>
        </w:rPr>
        <w:t> </w:t>
      </w:r>
      <w:r>
        <w:rPr>
          <w:color w:val="231F20"/>
          <w:w w:val="110"/>
        </w:rPr>
        <w:t>foránea, sin que ello represente un factor de atenuación de las tendencias generales de sobreexplotación y consiguiente precarización del</w:t>
      </w:r>
      <w:r>
        <w:rPr>
          <w:color w:val="231F20"/>
          <w:spacing w:val="-34"/>
          <w:w w:val="110"/>
        </w:rPr>
        <w:t> </w:t>
      </w:r>
      <w:r>
        <w:rPr>
          <w:color w:val="231F20"/>
          <w:w w:val="110"/>
        </w:rPr>
        <w:t>resto de</w:t>
      </w:r>
      <w:r>
        <w:rPr>
          <w:color w:val="231F20"/>
          <w:spacing w:val="-15"/>
          <w:w w:val="110"/>
        </w:rPr>
        <w:t> </w:t>
      </w:r>
      <w:r>
        <w:rPr>
          <w:color w:val="231F20"/>
          <w:w w:val="110"/>
        </w:rPr>
        <w:t>los</w:t>
      </w:r>
      <w:r>
        <w:rPr>
          <w:color w:val="231F20"/>
          <w:spacing w:val="-15"/>
          <w:w w:val="110"/>
        </w:rPr>
        <w:t> </w:t>
      </w:r>
      <w:r>
        <w:rPr>
          <w:color w:val="231F20"/>
          <w:w w:val="110"/>
        </w:rPr>
        <w:t>trabajadores</w:t>
      </w:r>
      <w:r>
        <w:rPr>
          <w:color w:val="231F20"/>
          <w:spacing w:val="-15"/>
          <w:w w:val="110"/>
        </w:rPr>
        <w:t> </w:t>
      </w:r>
      <w:r>
        <w:rPr>
          <w:color w:val="231F20"/>
          <w:w w:val="110"/>
        </w:rPr>
        <w:t>“nacionales”</w:t>
      </w:r>
      <w:r>
        <w:rPr>
          <w:color w:val="231F20"/>
          <w:spacing w:val="-15"/>
          <w:w w:val="110"/>
        </w:rPr>
        <w:t> </w:t>
      </w:r>
      <w:r>
        <w:rPr>
          <w:color w:val="231F20"/>
          <w:w w:val="110"/>
        </w:rPr>
        <w:t>en</w:t>
      </w:r>
      <w:r>
        <w:rPr>
          <w:color w:val="231F20"/>
          <w:spacing w:val="-15"/>
          <w:w w:val="110"/>
        </w:rPr>
        <w:t> </w:t>
      </w:r>
      <w:r>
        <w:rPr>
          <w:color w:val="231F20"/>
          <w:w w:val="110"/>
        </w:rPr>
        <w:t>las</w:t>
      </w:r>
      <w:r>
        <w:rPr>
          <w:color w:val="231F20"/>
          <w:spacing w:val="-15"/>
          <w:w w:val="110"/>
        </w:rPr>
        <w:t> </w:t>
      </w:r>
      <w:r>
        <w:rPr>
          <w:color w:val="231F20"/>
          <w:w w:val="110"/>
        </w:rPr>
        <w:t>actividades</w:t>
      </w:r>
      <w:r>
        <w:rPr>
          <w:color w:val="231F20"/>
          <w:spacing w:val="-15"/>
          <w:w w:val="110"/>
        </w:rPr>
        <w:t> </w:t>
      </w:r>
      <w:r>
        <w:rPr>
          <w:color w:val="231F20"/>
          <w:w w:val="110"/>
        </w:rPr>
        <w:t>menos</w:t>
      </w:r>
      <w:r>
        <w:rPr>
          <w:color w:val="231F20"/>
          <w:spacing w:val="-15"/>
          <w:w w:val="110"/>
        </w:rPr>
        <w:t> </w:t>
      </w:r>
      <w:r>
        <w:rPr>
          <w:color w:val="231F20"/>
          <w:w w:val="110"/>
        </w:rPr>
        <w:t>calificadas. Durante el periodo neoliberal, la parte del ingreso correspondiente al</w:t>
      </w:r>
      <w:r>
        <w:rPr>
          <w:color w:val="231F20"/>
          <w:spacing w:val="-5"/>
          <w:w w:val="110"/>
        </w:rPr>
        <w:t> </w:t>
      </w:r>
      <w:r>
        <w:rPr>
          <w:color w:val="231F20"/>
          <w:w w:val="110"/>
        </w:rPr>
        <w:t>10%</w:t>
      </w:r>
      <w:r>
        <w:rPr>
          <w:color w:val="231F20"/>
          <w:spacing w:val="-5"/>
          <w:w w:val="110"/>
        </w:rPr>
        <w:t> </w:t>
      </w:r>
      <w:r>
        <w:rPr>
          <w:color w:val="231F20"/>
          <w:w w:val="110"/>
        </w:rPr>
        <w:t>más</w:t>
      </w:r>
      <w:r>
        <w:rPr>
          <w:color w:val="231F20"/>
          <w:spacing w:val="-5"/>
          <w:w w:val="110"/>
        </w:rPr>
        <w:t> </w:t>
      </w:r>
      <w:r>
        <w:rPr>
          <w:color w:val="231F20"/>
          <w:w w:val="110"/>
        </w:rPr>
        <w:t>rico</w:t>
      </w:r>
      <w:r>
        <w:rPr>
          <w:color w:val="231F20"/>
          <w:spacing w:val="-5"/>
          <w:w w:val="110"/>
        </w:rPr>
        <w:t> </w:t>
      </w:r>
      <w:r>
        <w:rPr>
          <w:color w:val="231F20"/>
          <w:w w:val="110"/>
        </w:rPr>
        <w:t>creció</w:t>
      </w:r>
      <w:r>
        <w:rPr>
          <w:color w:val="231F20"/>
          <w:spacing w:val="-5"/>
          <w:w w:val="110"/>
        </w:rPr>
        <w:t> </w:t>
      </w:r>
      <w:r>
        <w:rPr>
          <w:color w:val="231F20"/>
          <w:w w:val="110"/>
        </w:rPr>
        <w:t>de</w:t>
      </w:r>
      <w:r>
        <w:rPr>
          <w:color w:val="231F20"/>
          <w:spacing w:val="-5"/>
          <w:w w:val="110"/>
        </w:rPr>
        <w:t> </w:t>
      </w:r>
      <w:r>
        <w:rPr>
          <w:color w:val="231F20"/>
          <w:w w:val="110"/>
        </w:rPr>
        <w:t>manera</w:t>
      </w:r>
      <w:r>
        <w:rPr>
          <w:color w:val="231F20"/>
          <w:spacing w:val="-5"/>
          <w:w w:val="110"/>
        </w:rPr>
        <w:t> </w:t>
      </w:r>
      <w:r>
        <w:rPr>
          <w:color w:val="231F20"/>
          <w:w w:val="110"/>
        </w:rPr>
        <w:t>espectacular,</w:t>
      </w:r>
      <w:r>
        <w:rPr>
          <w:color w:val="231F20"/>
          <w:spacing w:val="-5"/>
          <w:w w:val="110"/>
        </w:rPr>
        <w:t> </w:t>
      </w:r>
      <w:r>
        <w:rPr>
          <w:color w:val="231F20"/>
          <w:w w:val="110"/>
        </w:rPr>
        <w:t>sólo</w:t>
      </w:r>
      <w:r>
        <w:rPr>
          <w:color w:val="231F20"/>
          <w:spacing w:val="-5"/>
          <w:w w:val="110"/>
        </w:rPr>
        <w:t> </w:t>
      </w:r>
      <w:r>
        <w:rPr>
          <w:color w:val="231F20"/>
          <w:w w:val="110"/>
        </w:rPr>
        <w:t>equiparable</w:t>
      </w:r>
      <w:r>
        <w:rPr>
          <w:color w:val="231F20"/>
          <w:spacing w:val="-5"/>
          <w:w w:val="110"/>
        </w:rPr>
        <w:t> </w:t>
      </w:r>
      <w:r>
        <w:rPr>
          <w:color w:val="231F20"/>
          <w:w w:val="110"/>
        </w:rPr>
        <w:t>a</w:t>
      </w:r>
      <w:r>
        <w:rPr>
          <w:color w:val="231F20"/>
          <w:spacing w:val="-5"/>
          <w:w w:val="110"/>
        </w:rPr>
        <w:t> </w:t>
      </w:r>
      <w:r>
        <w:rPr>
          <w:color w:val="231F20"/>
          <w:w w:val="110"/>
        </w:rPr>
        <w:t>la situación</w:t>
      </w:r>
      <w:r>
        <w:rPr>
          <w:color w:val="231F20"/>
          <w:spacing w:val="-6"/>
          <w:w w:val="110"/>
        </w:rPr>
        <w:t> </w:t>
      </w:r>
      <w:r>
        <w:rPr>
          <w:color w:val="231F20"/>
          <w:w w:val="110"/>
        </w:rPr>
        <w:t>previa</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de</w:t>
      </w:r>
      <w:r>
        <w:rPr>
          <w:color w:val="231F20"/>
          <w:spacing w:val="-6"/>
          <w:w w:val="110"/>
        </w:rPr>
        <w:t> </w:t>
      </w:r>
      <w:r>
        <w:rPr>
          <w:color w:val="231F20"/>
          <w:w w:val="110"/>
        </w:rPr>
        <w:t>1929</w:t>
      </w:r>
      <w:r>
        <w:rPr>
          <w:color w:val="231F20"/>
          <w:spacing w:val="-6"/>
          <w:w w:val="110"/>
        </w:rPr>
        <w:t> </w:t>
      </w:r>
      <w:r>
        <w:rPr>
          <w:color w:val="231F20"/>
          <w:w w:val="110"/>
        </w:rPr>
        <w:t>(Toussaint,</w:t>
      </w:r>
      <w:r>
        <w:rPr>
          <w:color w:val="231F20"/>
          <w:spacing w:val="-6"/>
          <w:w w:val="110"/>
        </w:rPr>
        <w:t> </w:t>
      </w:r>
      <w:r>
        <w:rPr>
          <w:color w:val="231F20"/>
          <w:w w:val="110"/>
        </w:rPr>
        <w:t>2009).</w:t>
      </w:r>
    </w:p>
    <w:p>
      <w:pPr>
        <w:pStyle w:val="BodyText"/>
        <w:spacing w:line="261" w:lineRule="auto"/>
        <w:ind w:left="100" w:right="116" w:firstLine="240"/>
        <w:jc w:val="both"/>
      </w:pPr>
      <w:r>
        <w:rPr>
          <w:color w:val="231F20"/>
          <w:w w:val="105"/>
        </w:rPr>
        <w:t>Estados Unidos es un país cada vez más desigual y con mayores trabas en los mecanismos que anteriormente garantizaban la movi- lidad social (Krugman, 2008). En particular, la desigualdad salarial      y la polarización de los ingresos se incrementó en los años noventa (Carty, 1999). La generación de empleos precarios y la polarización   de los ingresos incrementaron la  pobreza  en  el  país.  Durante  los  tres últimos decenios, ésta se ha expandido de manera considerable. Según datos del Censo de 2010, aumentó, entre 2008 y 2009, de 13.2  al 14.3%, un incremento de alrededor de 4 millones de afectados. En total, la pobreza alcanza a 43.6 millones de personas, o sea a uno de cada siete estadunidenses (Wolff, 2010; Crawford y Fremstad, 2010). En 2011 el número de pobres alcanzó 47 millones </w:t>
      </w:r>
      <w:r>
        <w:rPr>
          <w:color w:val="231F20"/>
          <w:spacing w:val="-7"/>
          <w:w w:val="105"/>
        </w:rPr>
        <w:t>y, </w:t>
      </w:r>
      <w:r>
        <w:rPr>
          <w:color w:val="231F20"/>
          <w:w w:val="105"/>
        </w:rPr>
        <w:t>según estima- ciones de expertos, podría alcanzar niveles récord similares a los de mediados  de  los  años  sesenta  </w:t>
      </w:r>
      <w:r>
        <w:rPr>
          <w:color w:val="231F20"/>
          <w:w w:val="120"/>
        </w:rPr>
        <w:t>(rt,  </w:t>
      </w:r>
      <w:r>
        <w:rPr>
          <w:color w:val="231F20"/>
          <w:w w:val="105"/>
        </w:rPr>
        <w:t>2012).  La  desigualdad  </w:t>
      </w:r>
      <w:r>
        <w:rPr>
          <w:color w:val="231F20"/>
          <w:spacing w:val="34"/>
          <w:w w:val="105"/>
        </w:rPr>
        <w:t> </w:t>
      </w:r>
      <w:r>
        <w:rPr>
          <w:color w:val="231F20"/>
          <w:w w:val="105"/>
        </w:rPr>
        <w:t>salarial,</w:t>
      </w:r>
    </w:p>
    <w:p>
      <w:pPr>
        <w:pStyle w:val="BodyText"/>
      </w:pPr>
    </w:p>
    <w:p>
      <w:pPr>
        <w:pStyle w:val="BodyText"/>
        <w:spacing w:before="6"/>
        <w:rPr>
          <w:sz w:val="17"/>
        </w:rPr>
      </w:pPr>
    </w:p>
    <w:p>
      <w:pPr>
        <w:spacing w:line="261" w:lineRule="auto" w:before="0"/>
        <w:ind w:left="100" w:right="117" w:firstLine="240"/>
        <w:jc w:val="both"/>
        <w:rPr>
          <w:sz w:val="16"/>
        </w:rPr>
      </w:pPr>
      <w:r>
        <w:rPr>
          <w:color w:val="231F20"/>
          <w:w w:val="110"/>
          <w:position w:val="5"/>
          <w:sz w:val="10"/>
        </w:rPr>
        <w:t>15 </w:t>
      </w:r>
      <w:r>
        <w:rPr>
          <w:color w:val="231F20"/>
          <w:w w:val="110"/>
          <w:sz w:val="16"/>
        </w:rPr>
        <w:t>En el país, además de la caída notable de la parte salarial del pib a lo largo del periodo</w:t>
      </w:r>
      <w:r>
        <w:rPr>
          <w:color w:val="231F20"/>
          <w:spacing w:val="-4"/>
          <w:w w:val="110"/>
          <w:sz w:val="16"/>
        </w:rPr>
        <w:t> </w:t>
      </w:r>
      <w:r>
        <w:rPr>
          <w:color w:val="231F20"/>
          <w:w w:val="110"/>
          <w:sz w:val="16"/>
        </w:rPr>
        <w:t>de</w:t>
      </w:r>
      <w:r>
        <w:rPr>
          <w:color w:val="231F20"/>
          <w:spacing w:val="-4"/>
          <w:w w:val="110"/>
          <w:sz w:val="16"/>
        </w:rPr>
        <w:t> </w:t>
      </w:r>
      <w:r>
        <w:rPr>
          <w:color w:val="231F20"/>
          <w:w w:val="110"/>
          <w:sz w:val="16"/>
        </w:rPr>
        <w:t>hegemonía</w:t>
      </w:r>
      <w:r>
        <w:rPr>
          <w:color w:val="231F20"/>
          <w:spacing w:val="-4"/>
          <w:w w:val="110"/>
          <w:sz w:val="16"/>
        </w:rPr>
        <w:t> </w:t>
      </w:r>
      <w:r>
        <w:rPr>
          <w:color w:val="231F20"/>
          <w:w w:val="110"/>
          <w:sz w:val="16"/>
        </w:rPr>
        <w:t>neoliberal,</w:t>
      </w:r>
      <w:r>
        <w:rPr>
          <w:color w:val="231F20"/>
          <w:spacing w:val="-4"/>
          <w:w w:val="110"/>
          <w:sz w:val="16"/>
        </w:rPr>
        <w:t> </w:t>
      </w:r>
      <w:r>
        <w:rPr>
          <w:color w:val="231F20"/>
          <w:w w:val="110"/>
          <w:sz w:val="16"/>
        </w:rPr>
        <w:t>la</w:t>
      </w:r>
      <w:r>
        <w:rPr>
          <w:color w:val="231F20"/>
          <w:spacing w:val="-4"/>
          <w:w w:val="110"/>
          <w:sz w:val="16"/>
        </w:rPr>
        <w:t> </w:t>
      </w:r>
      <w:r>
        <w:rPr>
          <w:color w:val="231F20"/>
          <w:w w:val="110"/>
          <w:sz w:val="16"/>
        </w:rPr>
        <w:t>distribución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ingresos</w:t>
      </w:r>
      <w:r>
        <w:rPr>
          <w:color w:val="231F20"/>
          <w:spacing w:val="-4"/>
          <w:w w:val="110"/>
          <w:sz w:val="16"/>
        </w:rPr>
        <w:t> </w:t>
      </w:r>
      <w:r>
        <w:rPr>
          <w:color w:val="231F20"/>
          <w:w w:val="110"/>
          <w:sz w:val="16"/>
        </w:rPr>
        <w:t>ha</w:t>
      </w:r>
      <w:r>
        <w:rPr>
          <w:color w:val="231F20"/>
          <w:spacing w:val="-4"/>
          <w:w w:val="110"/>
          <w:sz w:val="16"/>
        </w:rPr>
        <w:t> </w:t>
      </w:r>
      <w:r>
        <w:rPr>
          <w:color w:val="231F20"/>
          <w:w w:val="110"/>
          <w:sz w:val="16"/>
        </w:rPr>
        <w:t>sido</w:t>
      </w:r>
      <w:r>
        <w:rPr>
          <w:color w:val="231F20"/>
          <w:spacing w:val="-4"/>
          <w:w w:val="110"/>
          <w:sz w:val="16"/>
        </w:rPr>
        <w:t> </w:t>
      </w:r>
      <w:r>
        <w:rPr>
          <w:color w:val="231F20"/>
          <w:w w:val="110"/>
          <w:sz w:val="16"/>
        </w:rPr>
        <w:t>muy</w:t>
      </w:r>
      <w:r>
        <w:rPr>
          <w:color w:val="231F20"/>
          <w:spacing w:val="-4"/>
          <w:w w:val="110"/>
          <w:sz w:val="16"/>
        </w:rPr>
        <w:t> </w:t>
      </w:r>
      <w:r>
        <w:rPr>
          <w:color w:val="231F20"/>
          <w:w w:val="110"/>
          <w:sz w:val="16"/>
        </w:rPr>
        <w:t>desigual entre los distintos segmentos de los trabajadores, al ser “en gran parte captadas por una delgada capa de beneficiarios de muy altos salarios” (Husson,</w:t>
      </w:r>
      <w:r>
        <w:rPr>
          <w:color w:val="231F20"/>
          <w:spacing w:val="16"/>
          <w:w w:val="110"/>
          <w:sz w:val="16"/>
        </w:rPr>
        <w:t> </w:t>
      </w:r>
      <w:r>
        <w:rPr>
          <w:color w:val="231F20"/>
          <w:w w:val="110"/>
          <w:sz w:val="16"/>
        </w:rPr>
        <w:t>2008b).</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y con ello la proliferación de empleos con bajas remuneraciones,   se explica en relación con los cambios en la composición sectorial de la fuerza de trabajo, así como por las características de edad y género de los trabajadores, lo que coincide con las tendencias de precarización. Con la creciente participación de la mujer en el tra- bajo asalariado, se ha configurado una nueva estructura ocupacional diferencial por género, que, por un lado, afecta mucho más a los jóvenes </w:t>
      </w:r>
      <w:r>
        <w:rPr>
          <w:color w:val="231F20"/>
          <w:spacing w:val="-7"/>
          <w:w w:val="110"/>
        </w:rPr>
        <w:t>y, </w:t>
      </w:r>
      <w:r>
        <w:rPr>
          <w:color w:val="231F20"/>
          <w:w w:val="110"/>
        </w:rPr>
        <w:t>por el otro, en cierto modo ha resultado más desfavorable para los hombres que para las </w:t>
      </w:r>
      <w:r>
        <w:rPr>
          <w:color w:val="231F20"/>
          <w:spacing w:val="37"/>
          <w:w w:val="110"/>
        </w:rPr>
        <w:t> </w:t>
      </w:r>
      <w:r>
        <w:rPr>
          <w:color w:val="231F20"/>
          <w:w w:val="110"/>
        </w:rPr>
        <w:t>mujeres.</w:t>
      </w:r>
    </w:p>
    <w:p>
      <w:pPr>
        <w:pStyle w:val="BodyText"/>
        <w:spacing w:line="261" w:lineRule="auto"/>
        <w:ind w:left="100" w:right="113" w:firstLine="240"/>
        <w:jc w:val="both"/>
        <w:rPr>
          <w:sz w:val="13"/>
        </w:rPr>
      </w:pPr>
      <w:r>
        <w:rPr>
          <w:color w:val="231F20"/>
          <w:w w:val="110"/>
        </w:rPr>
        <w:t>El cambio, en este sentido, responde en parte a las estrategias de competencias globales basadas en el intenso abaratamiento de los salarios.</w:t>
      </w:r>
      <w:r>
        <w:rPr>
          <w:color w:val="231F20"/>
          <w:spacing w:val="-11"/>
          <w:w w:val="110"/>
        </w:rPr>
        <w:t> </w:t>
      </w:r>
      <w:r>
        <w:rPr>
          <w:color w:val="231F20"/>
          <w:w w:val="110"/>
        </w:rPr>
        <w:t>Con</w:t>
      </w:r>
      <w:r>
        <w:rPr>
          <w:color w:val="231F20"/>
          <w:spacing w:val="-11"/>
          <w:w w:val="110"/>
        </w:rPr>
        <w:t> </w:t>
      </w:r>
      <w:r>
        <w:rPr>
          <w:color w:val="231F20"/>
          <w:w w:val="110"/>
        </w:rPr>
        <w:t>los</w:t>
      </w:r>
      <w:r>
        <w:rPr>
          <w:color w:val="231F20"/>
          <w:spacing w:val="-11"/>
          <w:w w:val="110"/>
        </w:rPr>
        <w:t> </w:t>
      </w:r>
      <w:r>
        <w:rPr>
          <w:color w:val="231F20"/>
          <w:w w:val="110"/>
        </w:rPr>
        <w:t>procesos</w:t>
      </w:r>
      <w:r>
        <w:rPr>
          <w:color w:val="231F20"/>
          <w:spacing w:val="-11"/>
          <w:w w:val="110"/>
        </w:rPr>
        <w:t> </w:t>
      </w:r>
      <w:r>
        <w:rPr>
          <w:color w:val="231F20"/>
          <w:w w:val="110"/>
        </w:rPr>
        <w:t>emergentes</w:t>
      </w:r>
      <w:r>
        <w:rPr>
          <w:color w:val="231F20"/>
          <w:spacing w:val="-11"/>
          <w:w w:val="110"/>
        </w:rPr>
        <w:t> </w:t>
      </w:r>
      <w:r>
        <w:rPr>
          <w:color w:val="231F20"/>
          <w:w w:val="110"/>
        </w:rPr>
        <w:t>de</w:t>
      </w:r>
      <w:r>
        <w:rPr>
          <w:color w:val="231F20"/>
          <w:spacing w:val="-11"/>
          <w:w w:val="110"/>
        </w:rPr>
        <w:t> </w:t>
      </w:r>
      <w:r>
        <w:rPr>
          <w:color w:val="231F20"/>
          <w:w w:val="110"/>
        </w:rPr>
        <w:t>liberación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economías </w:t>
      </w:r>
      <w:r>
        <w:rPr>
          <w:color w:val="231F20"/>
          <w:spacing w:val="-8"/>
          <w:w w:val="110"/>
        </w:rPr>
        <w:t>y,</w:t>
      </w:r>
      <w:r>
        <w:rPr>
          <w:color w:val="231F20"/>
          <w:spacing w:val="-9"/>
          <w:w w:val="110"/>
        </w:rPr>
        <w:t> </w:t>
      </w:r>
      <w:r>
        <w:rPr>
          <w:color w:val="231F20"/>
          <w:w w:val="110"/>
        </w:rPr>
        <w:t>en</w:t>
      </w:r>
      <w:r>
        <w:rPr>
          <w:color w:val="231F20"/>
          <w:spacing w:val="-9"/>
          <w:w w:val="110"/>
        </w:rPr>
        <w:t> </w:t>
      </w:r>
      <w:r>
        <w:rPr>
          <w:color w:val="231F20"/>
          <w:w w:val="110"/>
        </w:rPr>
        <w:t>particular,</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industrialización</w:t>
      </w:r>
      <w:r>
        <w:rPr>
          <w:color w:val="231F20"/>
          <w:spacing w:val="-9"/>
          <w:w w:val="110"/>
        </w:rPr>
        <w:t> </w:t>
      </w:r>
      <w:r>
        <w:rPr>
          <w:color w:val="231F20"/>
          <w:w w:val="110"/>
        </w:rPr>
        <w:t>orientada</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exportaciones se ha tendido a privilegiar el trabajo femenino, dadas las estrategias en la  </w:t>
      </w:r>
      <w:r>
        <w:rPr>
          <w:color w:val="231F20"/>
          <w:spacing w:val="2"/>
          <w:w w:val="110"/>
        </w:rPr>
        <w:t>reducción </w:t>
      </w:r>
      <w:r>
        <w:rPr>
          <w:color w:val="231F20"/>
          <w:w w:val="110"/>
        </w:rPr>
        <w:t>de  </w:t>
      </w:r>
      <w:r>
        <w:rPr>
          <w:color w:val="231F20"/>
          <w:spacing w:val="2"/>
          <w:w w:val="110"/>
        </w:rPr>
        <w:t>costos. </w:t>
      </w:r>
      <w:r>
        <w:rPr>
          <w:color w:val="231F20"/>
          <w:w w:val="110"/>
        </w:rPr>
        <w:t>Al  </w:t>
      </w:r>
      <w:r>
        <w:rPr>
          <w:color w:val="231F20"/>
          <w:spacing w:val="2"/>
          <w:w w:val="110"/>
        </w:rPr>
        <w:t>respecto, según Allegretto </w:t>
      </w:r>
      <w:r>
        <w:rPr>
          <w:color w:val="231F20"/>
          <w:spacing w:val="3"/>
          <w:w w:val="110"/>
        </w:rPr>
        <w:t>(2007)</w:t>
      </w:r>
      <w:r>
        <w:rPr>
          <w:color w:val="231F20"/>
          <w:spacing w:val="61"/>
          <w:w w:val="110"/>
        </w:rPr>
        <w:t> </w:t>
      </w:r>
      <w:r>
        <w:rPr>
          <w:color w:val="231F20"/>
          <w:w w:val="110"/>
        </w:rPr>
        <w:t>el análisis global de los diferenciales salariales entre 1973 y 2006 enmascara importantes diferencias de género, de lo que concluye que la reducción de la brecha de ingresos responde al “crecimiento significativo de los salarios de las mujeres en comparación con el</w:t>
      </w:r>
      <w:r>
        <w:rPr>
          <w:color w:val="231F20"/>
          <w:spacing w:val="-25"/>
          <w:w w:val="110"/>
        </w:rPr>
        <w:t> </w:t>
      </w:r>
      <w:r>
        <w:rPr>
          <w:color w:val="231F20"/>
          <w:w w:val="110"/>
        </w:rPr>
        <w:t>de los hombres”. La tendencia expresa la paradoja de la flexibilización y precarización del trabajo, en el sentido planteado por Beck (2000: 76), de que “si las mujeres deben integrarse en el trabajo normal,</w:t>
      </w:r>
      <w:r>
        <w:rPr>
          <w:color w:val="231F20"/>
          <w:spacing w:val="-24"/>
          <w:w w:val="110"/>
        </w:rPr>
        <w:t> </w:t>
      </w:r>
      <w:r>
        <w:rPr>
          <w:color w:val="231F20"/>
          <w:w w:val="110"/>
        </w:rPr>
        <w:t>los hombres deben integrarse en el trabajo no-normal”. Según él (2000: 76), la convergencia en las condiciones laborales refleja el deterioro general de las ocupaciones y expresa la “nueva equiparación de los sexos en lo</w:t>
      </w:r>
      <w:r>
        <w:rPr>
          <w:color w:val="231F20"/>
          <w:spacing w:val="-8"/>
          <w:w w:val="110"/>
        </w:rPr>
        <w:t> </w:t>
      </w:r>
      <w:r>
        <w:rPr>
          <w:color w:val="231F20"/>
          <w:w w:val="110"/>
        </w:rPr>
        <w:t>precario”.</w:t>
      </w:r>
      <w:r>
        <w:rPr>
          <w:color w:val="231F20"/>
          <w:w w:val="110"/>
          <w:position w:val="6"/>
          <w:sz w:val="13"/>
        </w:rPr>
        <w:t>16</w:t>
      </w:r>
    </w:p>
    <w:p>
      <w:pPr>
        <w:pStyle w:val="BodyText"/>
        <w:spacing w:line="261" w:lineRule="auto"/>
        <w:ind w:left="100" w:right="117" w:firstLine="240"/>
        <w:jc w:val="both"/>
      </w:pP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la</w:t>
      </w:r>
      <w:r>
        <w:rPr>
          <w:color w:val="231F20"/>
          <w:spacing w:val="-8"/>
          <w:w w:val="110"/>
        </w:rPr>
        <w:t> </w:t>
      </w:r>
      <w:r>
        <w:rPr>
          <w:color w:val="231F20"/>
          <w:w w:val="110"/>
        </w:rPr>
        <w:t>precariedad</w:t>
      </w:r>
      <w:r>
        <w:rPr>
          <w:color w:val="231F20"/>
          <w:spacing w:val="-8"/>
          <w:w w:val="110"/>
        </w:rPr>
        <w:t> </w:t>
      </w:r>
      <w:r>
        <w:rPr>
          <w:color w:val="231F20"/>
          <w:w w:val="110"/>
        </w:rPr>
        <w:t>tiene</w:t>
      </w:r>
      <w:r>
        <w:rPr>
          <w:color w:val="231F20"/>
          <w:spacing w:val="-8"/>
          <w:w w:val="110"/>
        </w:rPr>
        <w:t> </w:t>
      </w:r>
      <w:r>
        <w:rPr>
          <w:color w:val="231F20"/>
          <w:w w:val="110"/>
        </w:rPr>
        <w:t>como</w:t>
      </w:r>
      <w:r>
        <w:rPr>
          <w:color w:val="231F20"/>
          <w:spacing w:val="-8"/>
          <w:w w:val="110"/>
        </w:rPr>
        <w:t> </w:t>
      </w:r>
      <w:r>
        <w:rPr>
          <w:color w:val="231F20"/>
          <w:w w:val="110"/>
        </w:rPr>
        <w:t>característica</w:t>
      </w:r>
      <w:r>
        <w:rPr>
          <w:color w:val="231F20"/>
          <w:spacing w:val="-8"/>
          <w:w w:val="110"/>
        </w:rPr>
        <w:t> </w:t>
      </w:r>
      <w:r>
        <w:rPr>
          <w:color w:val="231F20"/>
          <w:w w:val="110"/>
        </w:rPr>
        <w:t>sobre- saliente el incremento del trabajo de tiempo parcial, lo que resulta congruente con las estrategias adoptadas por los sectores empre- sariales de rotación y fácil despido de personal en el contexto de inestabilidad y crisis económica. Según Wesselmann (2010: 72) “o trabalho</w:t>
      </w:r>
      <w:r>
        <w:rPr>
          <w:color w:val="231F20"/>
          <w:spacing w:val="29"/>
          <w:w w:val="110"/>
        </w:rPr>
        <w:t> </w:t>
      </w:r>
      <w:r>
        <w:rPr>
          <w:color w:val="231F20"/>
          <w:w w:val="110"/>
        </w:rPr>
        <w:t>em</w:t>
      </w:r>
      <w:r>
        <w:rPr>
          <w:color w:val="231F20"/>
          <w:spacing w:val="29"/>
          <w:w w:val="110"/>
        </w:rPr>
        <w:t> </w:t>
      </w:r>
      <w:r>
        <w:rPr>
          <w:color w:val="231F20"/>
          <w:w w:val="110"/>
        </w:rPr>
        <w:t>tempo</w:t>
      </w:r>
      <w:r>
        <w:rPr>
          <w:color w:val="231F20"/>
          <w:spacing w:val="29"/>
          <w:w w:val="110"/>
        </w:rPr>
        <w:t> </w:t>
      </w:r>
      <w:r>
        <w:rPr>
          <w:color w:val="231F20"/>
          <w:w w:val="110"/>
        </w:rPr>
        <w:t>parcial”,</w:t>
      </w:r>
      <w:r>
        <w:rPr>
          <w:color w:val="231F20"/>
          <w:spacing w:val="29"/>
          <w:w w:val="110"/>
        </w:rPr>
        <w:t> </w:t>
      </w:r>
      <w:r>
        <w:rPr>
          <w:color w:val="231F20"/>
          <w:w w:val="110"/>
        </w:rPr>
        <w:t>se</w:t>
      </w:r>
      <w:r>
        <w:rPr>
          <w:color w:val="231F20"/>
          <w:spacing w:val="29"/>
          <w:w w:val="110"/>
        </w:rPr>
        <w:t> </w:t>
      </w:r>
      <w:r>
        <w:rPr>
          <w:color w:val="231F20"/>
          <w:w w:val="110"/>
        </w:rPr>
        <w:t>ha</w:t>
      </w:r>
      <w:r>
        <w:rPr>
          <w:color w:val="231F20"/>
          <w:spacing w:val="29"/>
          <w:w w:val="110"/>
        </w:rPr>
        <w:t> </w:t>
      </w:r>
      <w:r>
        <w:rPr>
          <w:color w:val="231F20"/>
          <w:w w:val="110"/>
        </w:rPr>
        <w:t>“constituindo</w:t>
      </w:r>
      <w:r>
        <w:rPr>
          <w:color w:val="231F20"/>
          <w:spacing w:val="29"/>
          <w:w w:val="110"/>
        </w:rPr>
        <w:t> </w:t>
      </w:r>
      <w:r>
        <w:rPr>
          <w:color w:val="231F20"/>
          <w:w w:val="110"/>
        </w:rPr>
        <w:t>o</w:t>
      </w:r>
      <w:r>
        <w:rPr>
          <w:color w:val="231F20"/>
          <w:spacing w:val="29"/>
          <w:w w:val="110"/>
        </w:rPr>
        <w:t> </w:t>
      </w:r>
      <w:r>
        <w:rPr>
          <w:color w:val="231F20"/>
          <w:w w:val="110"/>
        </w:rPr>
        <w:t>segmento</w:t>
      </w:r>
      <w:r>
        <w:rPr>
          <w:color w:val="231F20"/>
          <w:spacing w:val="29"/>
          <w:w w:val="110"/>
        </w:rPr>
        <w:t> </w:t>
      </w:r>
      <w:r>
        <w:rPr>
          <w:color w:val="231F20"/>
          <w:w w:val="110"/>
        </w:rPr>
        <w:t>mais</w:t>
      </w:r>
    </w:p>
    <w:p>
      <w:pPr>
        <w:pStyle w:val="BodyText"/>
      </w:pPr>
    </w:p>
    <w:p>
      <w:pPr>
        <w:pStyle w:val="BodyText"/>
        <w:spacing w:before="2"/>
        <w:rPr>
          <w:sz w:val="26"/>
        </w:rPr>
      </w:pPr>
    </w:p>
    <w:p>
      <w:pPr>
        <w:spacing w:line="261" w:lineRule="auto" w:before="0"/>
        <w:ind w:left="100" w:right="115" w:firstLine="240"/>
        <w:jc w:val="both"/>
        <w:rPr>
          <w:sz w:val="16"/>
        </w:rPr>
      </w:pPr>
      <w:r>
        <w:rPr>
          <w:color w:val="231F20"/>
          <w:w w:val="110"/>
          <w:position w:val="5"/>
          <w:sz w:val="10"/>
        </w:rPr>
        <w:t>16 </w:t>
      </w:r>
      <w:r>
        <w:rPr>
          <w:color w:val="231F20"/>
          <w:w w:val="110"/>
          <w:sz w:val="16"/>
        </w:rPr>
        <w:t>Según Vosko </w:t>
      </w:r>
      <w:r>
        <w:rPr>
          <w:i/>
          <w:color w:val="231F20"/>
          <w:w w:val="110"/>
          <w:sz w:val="16"/>
        </w:rPr>
        <w:t>et al. </w:t>
      </w:r>
      <w:r>
        <w:rPr>
          <w:color w:val="231F20"/>
          <w:w w:val="110"/>
          <w:sz w:val="16"/>
        </w:rPr>
        <w:t>(2003: 16) en Canadá, por ejemplo, un resultado reciente es que</w:t>
      </w:r>
      <w:r>
        <w:rPr>
          <w:color w:val="231F20"/>
          <w:spacing w:val="-8"/>
          <w:w w:val="110"/>
          <w:sz w:val="16"/>
        </w:rPr>
        <w:t> </w:t>
      </w:r>
      <w:r>
        <w:rPr>
          <w:color w:val="231F20"/>
          <w:w w:val="110"/>
          <w:sz w:val="16"/>
        </w:rPr>
        <w:t>ciertos</w:t>
      </w:r>
      <w:r>
        <w:rPr>
          <w:color w:val="231F20"/>
          <w:spacing w:val="-8"/>
          <w:w w:val="110"/>
          <w:sz w:val="16"/>
        </w:rPr>
        <w:t> </w:t>
      </w:r>
      <w:r>
        <w:rPr>
          <w:color w:val="231F20"/>
          <w:w w:val="110"/>
          <w:sz w:val="16"/>
        </w:rPr>
        <w:t>grupos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hombres,</w:t>
      </w:r>
      <w:r>
        <w:rPr>
          <w:color w:val="231F20"/>
          <w:spacing w:val="-8"/>
          <w:w w:val="110"/>
          <w:sz w:val="16"/>
        </w:rPr>
        <w:t> </w:t>
      </w:r>
      <w:r>
        <w:rPr>
          <w:color w:val="231F20"/>
          <w:w w:val="110"/>
          <w:sz w:val="16"/>
        </w:rPr>
        <w:t>particularmente</w:t>
      </w:r>
      <w:r>
        <w:rPr>
          <w:color w:val="231F20"/>
          <w:spacing w:val="-8"/>
          <w:w w:val="110"/>
          <w:sz w:val="16"/>
        </w:rPr>
        <w:t> </w:t>
      </w:r>
      <w:r>
        <w:rPr>
          <w:color w:val="231F20"/>
          <w:w w:val="110"/>
          <w:sz w:val="16"/>
        </w:rPr>
        <w:t>jóvenes</w:t>
      </w:r>
      <w:r>
        <w:rPr>
          <w:color w:val="231F20"/>
          <w:spacing w:val="-8"/>
          <w:w w:val="110"/>
          <w:sz w:val="16"/>
        </w:rPr>
        <w:t> </w:t>
      </w:r>
      <w:r>
        <w:rPr>
          <w:color w:val="231F20"/>
          <w:w w:val="110"/>
          <w:sz w:val="16"/>
        </w:rPr>
        <w:t>menores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25</w:t>
      </w:r>
      <w:r>
        <w:rPr>
          <w:color w:val="231F20"/>
          <w:spacing w:val="-8"/>
          <w:w w:val="110"/>
          <w:sz w:val="16"/>
        </w:rPr>
        <w:t> </w:t>
      </w:r>
      <w:r>
        <w:rPr>
          <w:color w:val="231F20"/>
          <w:w w:val="110"/>
          <w:sz w:val="16"/>
        </w:rPr>
        <w:t>años,</w:t>
      </w:r>
      <w:r>
        <w:rPr>
          <w:color w:val="231F20"/>
          <w:spacing w:val="-8"/>
          <w:w w:val="110"/>
          <w:sz w:val="16"/>
        </w:rPr>
        <w:t> </w:t>
      </w:r>
      <w:r>
        <w:rPr>
          <w:color w:val="231F20"/>
          <w:w w:val="110"/>
          <w:sz w:val="16"/>
        </w:rPr>
        <w:t>así</w:t>
      </w:r>
      <w:r>
        <w:rPr>
          <w:color w:val="231F20"/>
          <w:spacing w:val="-8"/>
          <w:w w:val="110"/>
          <w:sz w:val="16"/>
        </w:rPr>
        <w:t> </w:t>
      </w:r>
      <w:r>
        <w:rPr>
          <w:color w:val="231F20"/>
          <w:w w:val="110"/>
          <w:sz w:val="16"/>
        </w:rPr>
        <w:t>como inmigrantes y minorías étnicas “are experiencing downward pressure on earnings  and conditions of work as they increasingly take jobs in occupations where women have traditionally been employed”. Según los autores, “this further underscores the relevance</w:t>
      </w:r>
      <w:r>
        <w:rPr>
          <w:color w:val="231F20"/>
          <w:spacing w:val="-8"/>
          <w:w w:val="110"/>
          <w:sz w:val="16"/>
        </w:rPr>
        <w:t> </w:t>
      </w:r>
      <w:r>
        <w:rPr>
          <w:color w:val="231F20"/>
          <w:w w:val="110"/>
          <w:sz w:val="16"/>
        </w:rPr>
        <w:t>of</w:t>
      </w:r>
      <w:r>
        <w:rPr>
          <w:color w:val="231F20"/>
          <w:spacing w:val="-8"/>
          <w:w w:val="110"/>
          <w:sz w:val="16"/>
        </w:rPr>
        <w:t> </w:t>
      </w:r>
      <w:r>
        <w:rPr>
          <w:color w:val="231F20"/>
          <w:w w:val="110"/>
          <w:sz w:val="16"/>
        </w:rPr>
        <w:t>a</w:t>
      </w:r>
      <w:r>
        <w:rPr>
          <w:color w:val="231F20"/>
          <w:spacing w:val="-8"/>
          <w:w w:val="110"/>
          <w:sz w:val="16"/>
        </w:rPr>
        <w:t> </w:t>
      </w:r>
      <w:r>
        <w:rPr>
          <w:color w:val="231F20"/>
          <w:w w:val="110"/>
          <w:sz w:val="16"/>
        </w:rPr>
        <w:t>gender-based</w:t>
      </w:r>
      <w:r>
        <w:rPr>
          <w:color w:val="231F20"/>
          <w:spacing w:val="-8"/>
          <w:w w:val="110"/>
          <w:sz w:val="16"/>
        </w:rPr>
        <w:t> </w:t>
      </w:r>
      <w:r>
        <w:rPr>
          <w:color w:val="231F20"/>
          <w:w w:val="110"/>
          <w:sz w:val="16"/>
        </w:rPr>
        <w:t>analysis</w:t>
      </w:r>
      <w:r>
        <w:rPr>
          <w:color w:val="231F20"/>
          <w:spacing w:val="-8"/>
          <w:w w:val="110"/>
          <w:sz w:val="16"/>
        </w:rPr>
        <w:t> </w:t>
      </w:r>
      <w:r>
        <w:rPr>
          <w:color w:val="231F20"/>
          <w:w w:val="110"/>
          <w:sz w:val="16"/>
        </w:rPr>
        <w:t>of</w:t>
      </w:r>
      <w:r>
        <w:rPr>
          <w:color w:val="231F20"/>
          <w:spacing w:val="-8"/>
          <w:w w:val="110"/>
          <w:sz w:val="16"/>
        </w:rPr>
        <w:t> </w:t>
      </w:r>
      <w:r>
        <w:rPr>
          <w:color w:val="231F20"/>
          <w:w w:val="110"/>
          <w:sz w:val="16"/>
        </w:rPr>
        <w:t>non-standard</w:t>
      </w:r>
      <w:r>
        <w:rPr>
          <w:color w:val="231F20"/>
          <w:spacing w:val="-8"/>
          <w:w w:val="110"/>
          <w:sz w:val="16"/>
        </w:rPr>
        <w:t> </w:t>
      </w:r>
      <w:r>
        <w:rPr>
          <w:color w:val="231F20"/>
          <w:w w:val="110"/>
          <w:sz w:val="16"/>
        </w:rPr>
        <w:t>work”.</w:t>
      </w:r>
    </w:p>
    <w:p>
      <w:pPr>
        <w:spacing w:after="0" w:line="261" w:lineRule="auto"/>
        <w:jc w:val="both"/>
        <w:rPr>
          <w:sz w:val="16"/>
        </w:rPr>
        <w:sectPr>
          <w:headerReference w:type="even" r:id="rId192"/>
          <w:headerReference w:type="default" r:id="rId193"/>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importante dos empregos precários, terminou por representar cerca de</w:t>
      </w:r>
      <w:r>
        <w:rPr>
          <w:color w:val="231F20"/>
          <w:spacing w:val="-7"/>
          <w:w w:val="110"/>
        </w:rPr>
        <w:t> </w:t>
      </w:r>
      <w:r>
        <w:rPr>
          <w:color w:val="231F20"/>
          <w:w w:val="110"/>
        </w:rPr>
        <w:t>um</w:t>
      </w:r>
      <w:r>
        <w:rPr>
          <w:color w:val="231F20"/>
          <w:spacing w:val="-7"/>
          <w:w w:val="110"/>
        </w:rPr>
        <w:t> </w:t>
      </w:r>
      <w:r>
        <w:rPr>
          <w:color w:val="231F20"/>
          <w:w w:val="110"/>
        </w:rPr>
        <w:t>trabalhador</w:t>
      </w:r>
      <w:r>
        <w:rPr>
          <w:color w:val="231F20"/>
          <w:spacing w:val="-7"/>
          <w:w w:val="110"/>
        </w:rPr>
        <w:t> </w:t>
      </w:r>
      <w:r>
        <w:rPr>
          <w:color w:val="231F20"/>
          <w:w w:val="110"/>
        </w:rPr>
        <w:t>em</w:t>
      </w:r>
      <w:r>
        <w:rPr>
          <w:color w:val="231F20"/>
          <w:spacing w:val="-7"/>
          <w:w w:val="110"/>
        </w:rPr>
        <w:t> </w:t>
      </w:r>
      <w:r>
        <w:rPr>
          <w:color w:val="231F20"/>
          <w:w w:val="110"/>
        </w:rPr>
        <w:t>cinco</w:t>
      </w:r>
      <w:r>
        <w:rPr>
          <w:color w:val="231F20"/>
          <w:spacing w:val="-7"/>
          <w:w w:val="110"/>
        </w:rPr>
        <w:t> </w:t>
      </w:r>
      <w:r>
        <w:rPr>
          <w:color w:val="231F20"/>
          <w:w w:val="110"/>
        </w:rPr>
        <w:t>(18%).</w:t>
      </w:r>
      <w:r>
        <w:rPr>
          <w:color w:val="231F20"/>
          <w:spacing w:val="-7"/>
          <w:w w:val="110"/>
        </w:rPr>
        <w:t> </w:t>
      </w:r>
      <w:r>
        <w:rPr>
          <w:color w:val="231F20"/>
          <w:w w:val="110"/>
        </w:rPr>
        <w:t>A</w:t>
      </w:r>
      <w:r>
        <w:rPr>
          <w:color w:val="231F20"/>
          <w:spacing w:val="-7"/>
          <w:w w:val="110"/>
        </w:rPr>
        <w:t> </w:t>
      </w:r>
      <w:r>
        <w:rPr>
          <w:color w:val="231F20"/>
          <w:w w:val="110"/>
        </w:rPr>
        <w:t>proporção</w:t>
      </w:r>
      <w:r>
        <w:rPr>
          <w:color w:val="231F20"/>
          <w:spacing w:val="-7"/>
          <w:w w:val="110"/>
        </w:rPr>
        <w:t> </w:t>
      </w:r>
      <w:r>
        <w:rPr>
          <w:color w:val="231F20"/>
          <w:w w:val="110"/>
        </w:rPr>
        <w:t>de</w:t>
      </w:r>
      <w:r>
        <w:rPr>
          <w:color w:val="231F20"/>
          <w:spacing w:val="-7"/>
          <w:w w:val="110"/>
        </w:rPr>
        <w:t> </w:t>
      </w:r>
      <w:r>
        <w:rPr>
          <w:color w:val="231F20"/>
          <w:w w:val="110"/>
        </w:rPr>
        <w:t>empregos</w:t>
      </w:r>
      <w:r>
        <w:rPr>
          <w:color w:val="231F20"/>
          <w:spacing w:val="-7"/>
          <w:w w:val="110"/>
        </w:rPr>
        <w:t> </w:t>
      </w:r>
      <w:r>
        <w:rPr>
          <w:color w:val="231F20"/>
          <w:w w:val="110"/>
        </w:rPr>
        <w:t>precá- rios</w:t>
      </w:r>
      <w:r>
        <w:rPr>
          <w:color w:val="231F20"/>
          <w:spacing w:val="-14"/>
          <w:w w:val="110"/>
        </w:rPr>
        <w:t> </w:t>
      </w:r>
      <w:r>
        <w:rPr>
          <w:color w:val="231F20"/>
          <w:w w:val="110"/>
        </w:rPr>
        <w:t>entre</w:t>
      </w:r>
      <w:r>
        <w:rPr>
          <w:color w:val="231F20"/>
          <w:spacing w:val="-14"/>
          <w:w w:val="110"/>
        </w:rPr>
        <w:t> </w:t>
      </w:r>
      <w:r>
        <w:rPr>
          <w:color w:val="231F20"/>
          <w:w w:val="110"/>
        </w:rPr>
        <w:t>os</w:t>
      </w:r>
      <w:r>
        <w:rPr>
          <w:color w:val="231F20"/>
          <w:spacing w:val="-14"/>
          <w:w w:val="110"/>
        </w:rPr>
        <w:t> </w:t>
      </w:r>
      <w:r>
        <w:rPr>
          <w:color w:val="231F20"/>
          <w:w w:val="110"/>
        </w:rPr>
        <w:t>operários</w:t>
      </w:r>
      <w:r>
        <w:rPr>
          <w:color w:val="231F20"/>
          <w:spacing w:val="-14"/>
          <w:w w:val="110"/>
        </w:rPr>
        <w:t> </w:t>
      </w:r>
      <w:r>
        <w:rPr>
          <w:color w:val="231F20"/>
          <w:w w:val="110"/>
        </w:rPr>
        <w:t>(</w:t>
      </w:r>
      <w:r>
        <w:rPr>
          <w:i/>
          <w:color w:val="231F20"/>
          <w:w w:val="110"/>
        </w:rPr>
        <w:t>blue</w:t>
      </w:r>
      <w:r>
        <w:rPr>
          <w:i/>
          <w:color w:val="231F20"/>
          <w:spacing w:val="-14"/>
          <w:w w:val="110"/>
        </w:rPr>
        <w:t> </w:t>
      </w:r>
      <w:r>
        <w:rPr>
          <w:i/>
          <w:color w:val="231F20"/>
          <w:w w:val="110"/>
        </w:rPr>
        <w:t>collar</w:t>
      </w:r>
      <w:r>
        <w:rPr>
          <w:color w:val="231F20"/>
          <w:w w:val="110"/>
        </w:rPr>
        <w:t>)</w:t>
      </w:r>
      <w:r>
        <w:rPr>
          <w:color w:val="231F20"/>
          <w:spacing w:val="-14"/>
          <w:w w:val="110"/>
        </w:rPr>
        <w:t> </w:t>
      </w:r>
      <w:r>
        <w:rPr>
          <w:color w:val="231F20"/>
          <w:w w:val="110"/>
        </w:rPr>
        <w:t>progrediu,</w:t>
      </w:r>
      <w:r>
        <w:rPr>
          <w:color w:val="231F20"/>
          <w:spacing w:val="-14"/>
          <w:w w:val="110"/>
        </w:rPr>
        <w:t> </w:t>
      </w:r>
      <w:r>
        <w:rPr>
          <w:color w:val="231F20"/>
          <w:w w:val="110"/>
        </w:rPr>
        <w:t>principalmente</w:t>
      </w:r>
      <w:r>
        <w:rPr>
          <w:color w:val="231F20"/>
          <w:spacing w:val="-14"/>
          <w:w w:val="110"/>
        </w:rPr>
        <w:t> </w:t>
      </w:r>
      <w:r>
        <w:rPr>
          <w:color w:val="231F20"/>
          <w:w w:val="110"/>
        </w:rPr>
        <w:t>devido a uma multiplicação dos trabalhadores interinos na produção”. La crisis económica actual, en este sentido, tuvo y mantiene un mayor impacto sobre el trabajo asalariado privado y menos sobre el trabajo independiente o cuenta propia, además de mostrar efectos diferen- ciales por sexo y edad de los trabajadores y su condición étnica de nativo o</w:t>
      </w:r>
      <w:r>
        <w:rPr>
          <w:color w:val="231F20"/>
          <w:spacing w:val="16"/>
          <w:w w:val="110"/>
        </w:rPr>
        <w:t> </w:t>
      </w:r>
      <w:r>
        <w:rPr>
          <w:color w:val="231F20"/>
          <w:w w:val="110"/>
        </w:rPr>
        <w:t>inmigrante.</w:t>
      </w:r>
    </w:p>
    <w:p>
      <w:pPr>
        <w:pStyle w:val="BodyText"/>
        <w:spacing w:line="261" w:lineRule="auto"/>
        <w:ind w:left="100" w:right="115" w:firstLine="240"/>
        <w:jc w:val="both"/>
      </w:pPr>
      <w:r>
        <w:rPr>
          <w:color w:val="231F20"/>
          <w:w w:val="110"/>
        </w:rPr>
        <w:t>Las series de datos históricas de la Current Population Servey (cps), muestran resultados sugerentes al respecto. Según dicha fuen- te,</w:t>
      </w:r>
      <w:r>
        <w:rPr>
          <w:color w:val="231F20"/>
          <w:spacing w:val="-21"/>
          <w:w w:val="110"/>
        </w:rPr>
        <w:t> </w:t>
      </w:r>
      <w:r>
        <w:rPr>
          <w:color w:val="231F20"/>
          <w:w w:val="110"/>
        </w:rPr>
        <w:t>entre</w:t>
      </w:r>
      <w:r>
        <w:rPr>
          <w:color w:val="231F20"/>
          <w:spacing w:val="-21"/>
          <w:w w:val="110"/>
        </w:rPr>
        <w:t> </w:t>
      </w:r>
      <w:r>
        <w:rPr>
          <w:color w:val="231F20"/>
          <w:w w:val="110"/>
        </w:rPr>
        <w:t>2005</w:t>
      </w:r>
      <w:r>
        <w:rPr>
          <w:color w:val="231F20"/>
          <w:spacing w:val="-21"/>
          <w:w w:val="110"/>
        </w:rPr>
        <w:t> </w:t>
      </w:r>
      <w:r>
        <w:rPr>
          <w:color w:val="231F20"/>
          <w:w w:val="110"/>
        </w:rPr>
        <w:t>y</w:t>
      </w:r>
      <w:r>
        <w:rPr>
          <w:color w:val="231F20"/>
          <w:spacing w:val="-21"/>
          <w:w w:val="110"/>
        </w:rPr>
        <w:t> </w:t>
      </w:r>
      <w:r>
        <w:rPr>
          <w:color w:val="231F20"/>
          <w:w w:val="110"/>
        </w:rPr>
        <w:t>2011</w:t>
      </w:r>
      <w:r>
        <w:rPr>
          <w:color w:val="231F20"/>
          <w:spacing w:val="-21"/>
          <w:w w:val="110"/>
        </w:rPr>
        <w:t> </w:t>
      </w:r>
      <w:r>
        <w:rPr>
          <w:color w:val="231F20"/>
          <w:w w:val="110"/>
        </w:rPr>
        <w:t>el</w:t>
      </w:r>
      <w:r>
        <w:rPr>
          <w:color w:val="231F20"/>
          <w:spacing w:val="-21"/>
          <w:w w:val="110"/>
        </w:rPr>
        <w:t> </w:t>
      </w:r>
      <w:r>
        <w:rPr>
          <w:color w:val="231F20"/>
          <w:w w:val="110"/>
        </w:rPr>
        <w:t>trabajo</w:t>
      </w:r>
      <w:r>
        <w:rPr>
          <w:color w:val="231F20"/>
          <w:spacing w:val="-21"/>
          <w:w w:val="110"/>
        </w:rPr>
        <w:t> </w:t>
      </w:r>
      <w:r>
        <w:rPr>
          <w:color w:val="231F20"/>
          <w:w w:val="110"/>
        </w:rPr>
        <w:t>de</w:t>
      </w:r>
      <w:r>
        <w:rPr>
          <w:color w:val="231F20"/>
          <w:spacing w:val="-21"/>
          <w:w w:val="110"/>
        </w:rPr>
        <w:t> </w:t>
      </w:r>
      <w:r>
        <w:rPr>
          <w:color w:val="231F20"/>
          <w:w w:val="110"/>
        </w:rPr>
        <w:t>tiempo</w:t>
      </w:r>
      <w:r>
        <w:rPr>
          <w:color w:val="231F20"/>
          <w:spacing w:val="-21"/>
          <w:w w:val="110"/>
        </w:rPr>
        <w:t> </w:t>
      </w:r>
      <w:r>
        <w:rPr>
          <w:color w:val="231F20"/>
          <w:w w:val="110"/>
        </w:rPr>
        <w:t>parcial</w:t>
      </w:r>
      <w:r>
        <w:rPr>
          <w:color w:val="231F20"/>
          <w:spacing w:val="-21"/>
          <w:w w:val="110"/>
        </w:rPr>
        <w:t> </w:t>
      </w:r>
      <w:r>
        <w:rPr>
          <w:color w:val="231F20"/>
          <w:w w:val="110"/>
        </w:rPr>
        <w:t>o</w:t>
      </w:r>
      <w:r>
        <w:rPr>
          <w:color w:val="231F20"/>
          <w:spacing w:val="-21"/>
          <w:w w:val="110"/>
        </w:rPr>
        <w:t> </w:t>
      </w:r>
      <w:r>
        <w:rPr>
          <w:i/>
          <w:color w:val="231F20"/>
          <w:w w:val="110"/>
        </w:rPr>
        <w:t>part-time</w:t>
      </w:r>
      <w:r>
        <w:rPr>
          <w:i/>
          <w:color w:val="231F20"/>
          <w:spacing w:val="-21"/>
          <w:w w:val="110"/>
        </w:rPr>
        <w:t> </w:t>
      </w:r>
      <w:r>
        <w:rPr>
          <w:color w:val="231F20"/>
          <w:w w:val="110"/>
        </w:rPr>
        <w:t>total</w:t>
      </w:r>
      <w:r>
        <w:rPr>
          <w:color w:val="231F20"/>
          <w:spacing w:val="-21"/>
          <w:w w:val="110"/>
        </w:rPr>
        <w:t> </w:t>
      </w:r>
      <w:r>
        <w:rPr>
          <w:color w:val="231F20"/>
          <w:w w:val="110"/>
        </w:rPr>
        <w:t>pasó de 17.4 a 19.5% </w:t>
      </w:r>
      <w:r>
        <w:rPr>
          <w:color w:val="231F20"/>
          <w:spacing w:val="-8"/>
          <w:w w:val="110"/>
        </w:rPr>
        <w:t>y, </w:t>
      </w:r>
      <w:r>
        <w:rPr>
          <w:color w:val="231F20"/>
          <w:w w:val="110"/>
        </w:rPr>
        <w:t>entre éstos, los ocupados de tiempo parcial por razones económicas, crecieron de 12.0 a 25.2%. Entre los hombres, el empleo de tiempo parcial ascendió de 10.7 a 13.4%; en tanto que en</w:t>
      </w:r>
      <w:r>
        <w:rPr>
          <w:color w:val="231F20"/>
          <w:spacing w:val="-4"/>
          <w:w w:val="110"/>
        </w:rPr>
        <w:t> </w:t>
      </w:r>
      <w:r>
        <w:rPr>
          <w:color w:val="231F20"/>
          <w:w w:val="110"/>
        </w:rPr>
        <w:t>las</w:t>
      </w:r>
      <w:r>
        <w:rPr>
          <w:color w:val="231F20"/>
          <w:spacing w:val="-4"/>
          <w:w w:val="110"/>
        </w:rPr>
        <w:t> </w:t>
      </w:r>
      <w:r>
        <w:rPr>
          <w:color w:val="231F20"/>
          <w:w w:val="110"/>
        </w:rPr>
        <w:t>mujeres</w:t>
      </w:r>
      <w:r>
        <w:rPr>
          <w:color w:val="231F20"/>
          <w:spacing w:val="-4"/>
          <w:w w:val="110"/>
        </w:rPr>
        <w:t> </w:t>
      </w:r>
      <w:r>
        <w:rPr>
          <w:color w:val="231F20"/>
          <w:w w:val="110"/>
        </w:rPr>
        <w:t>lo</w:t>
      </w:r>
      <w:r>
        <w:rPr>
          <w:color w:val="231F20"/>
          <w:spacing w:val="-4"/>
          <w:w w:val="110"/>
        </w:rPr>
        <w:t> </w:t>
      </w:r>
      <w:r>
        <w:rPr>
          <w:color w:val="231F20"/>
          <w:w w:val="110"/>
        </w:rPr>
        <w:t>hizo</w:t>
      </w:r>
      <w:r>
        <w:rPr>
          <w:color w:val="231F20"/>
          <w:spacing w:val="-4"/>
          <w:w w:val="110"/>
        </w:rPr>
        <w:t> </w:t>
      </w:r>
      <w:r>
        <w:rPr>
          <w:color w:val="231F20"/>
          <w:w w:val="110"/>
        </w:rPr>
        <w:t>de</w:t>
      </w:r>
      <w:r>
        <w:rPr>
          <w:color w:val="231F20"/>
          <w:spacing w:val="-4"/>
          <w:w w:val="110"/>
        </w:rPr>
        <w:t> </w:t>
      </w:r>
      <w:r>
        <w:rPr>
          <w:color w:val="231F20"/>
          <w:w w:val="110"/>
        </w:rPr>
        <w:t>25.2</w:t>
      </w:r>
      <w:r>
        <w:rPr>
          <w:color w:val="231F20"/>
          <w:spacing w:val="-4"/>
          <w:w w:val="110"/>
        </w:rPr>
        <w:t> </w:t>
      </w:r>
      <w:r>
        <w:rPr>
          <w:color w:val="231F20"/>
          <w:w w:val="110"/>
        </w:rPr>
        <w:t>a</w:t>
      </w:r>
      <w:r>
        <w:rPr>
          <w:color w:val="231F20"/>
          <w:spacing w:val="-4"/>
          <w:w w:val="110"/>
        </w:rPr>
        <w:t> </w:t>
      </w:r>
      <w:r>
        <w:rPr>
          <w:color w:val="231F20"/>
          <w:w w:val="110"/>
        </w:rPr>
        <w:t>26.5%;</w:t>
      </w:r>
      <w:r>
        <w:rPr>
          <w:color w:val="231F20"/>
          <w:spacing w:val="-4"/>
          <w:w w:val="110"/>
        </w:rPr>
        <w:t> </w:t>
      </w:r>
      <w:r>
        <w:rPr>
          <w:color w:val="231F20"/>
          <w:w w:val="110"/>
        </w:rPr>
        <w:t>pero</w:t>
      </w:r>
      <w:r>
        <w:rPr>
          <w:color w:val="231F20"/>
          <w:spacing w:val="-4"/>
          <w:w w:val="110"/>
        </w:rPr>
        <w:t> </w:t>
      </w:r>
      <w:r>
        <w:rPr>
          <w:color w:val="231F20"/>
          <w:w w:val="110"/>
        </w:rPr>
        <w:t>mientras</w:t>
      </w:r>
      <w:r>
        <w:rPr>
          <w:color w:val="231F20"/>
          <w:spacing w:val="-4"/>
          <w:w w:val="110"/>
        </w:rPr>
        <w:t> </w:t>
      </w:r>
      <w:r>
        <w:rPr>
          <w:color w:val="231F20"/>
          <w:w w:val="110"/>
        </w:rPr>
        <w:t>que</w:t>
      </w:r>
      <w:r>
        <w:rPr>
          <w:color w:val="231F20"/>
          <w:spacing w:val="-4"/>
          <w:w w:val="110"/>
        </w:rPr>
        <w:t> </w:t>
      </w:r>
      <w:r>
        <w:rPr>
          <w:color w:val="231F20"/>
          <w:w w:val="110"/>
        </w:rPr>
        <w:t>entre</w:t>
      </w:r>
      <w:r>
        <w:rPr>
          <w:color w:val="231F20"/>
          <w:spacing w:val="-4"/>
          <w:w w:val="110"/>
        </w:rPr>
        <w:t> </w:t>
      </w:r>
      <w:r>
        <w:rPr>
          <w:color w:val="231F20"/>
          <w:w w:val="110"/>
        </w:rPr>
        <w:t>ellas las ocupaciones de tiempo parcial por razones económicas —como parte de dicho subgrupo— pasaron de 9.9 a 20.8%, en los hombres dicha categoría de empleo creció de 16.2 a 32.8%, de lo que puede deducirse el impacto diferencial por sexo de crisis económica, y el mayor detrimento las ocupaciones masculinas. Además, en dicho periodo fueron los jóvenes, de 16 a 24 años, y los hispanos u origen latinos los que resultaron más afectados; los primeros, en los que el empleo de tiempo parcial se ha caracterizado por sus altos niveles estructurales de ocupación, creció de 40.9 a 46.9%, en contraste con los trabajadores adultos, con más de 25 años, que experimentaron  un escaso crecimiento relativo de 13.6 a 15.8% </w:t>
      </w:r>
      <w:r>
        <w:rPr>
          <w:color w:val="231F20"/>
          <w:spacing w:val="-8"/>
          <w:w w:val="110"/>
        </w:rPr>
        <w:t>y, </w:t>
      </w:r>
      <w:r>
        <w:rPr>
          <w:color w:val="231F20"/>
          <w:w w:val="110"/>
        </w:rPr>
        <w:t>los segundos, los trabajadores</w:t>
      </w:r>
      <w:r>
        <w:rPr>
          <w:color w:val="231F20"/>
          <w:spacing w:val="-12"/>
          <w:w w:val="110"/>
        </w:rPr>
        <w:t> </w:t>
      </w:r>
      <w:r>
        <w:rPr>
          <w:color w:val="231F20"/>
          <w:w w:val="110"/>
        </w:rPr>
        <w:t>de</w:t>
      </w:r>
      <w:r>
        <w:rPr>
          <w:color w:val="231F20"/>
          <w:spacing w:val="-12"/>
          <w:w w:val="110"/>
        </w:rPr>
        <w:t> </w:t>
      </w:r>
      <w:r>
        <w:rPr>
          <w:color w:val="231F20"/>
          <w:w w:val="110"/>
        </w:rPr>
        <w:t>origen</w:t>
      </w:r>
      <w:r>
        <w:rPr>
          <w:color w:val="231F20"/>
          <w:spacing w:val="-12"/>
          <w:w w:val="110"/>
        </w:rPr>
        <w:t> </w:t>
      </w:r>
      <w:r>
        <w:rPr>
          <w:color w:val="231F20"/>
          <w:w w:val="110"/>
        </w:rPr>
        <w:t>hispanos</w:t>
      </w:r>
      <w:r>
        <w:rPr>
          <w:color w:val="231F20"/>
          <w:spacing w:val="-12"/>
          <w:w w:val="110"/>
        </w:rPr>
        <w:t> </w:t>
      </w:r>
      <w:r>
        <w:rPr>
          <w:color w:val="231F20"/>
          <w:w w:val="110"/>
        </w:rPr>
        <w:t>o</w:t>
      </w:r>
      <w:r>
        <w:rPr>
          <w:color w:val="231F20"/>
          <w:spacing w:val="-12"/>
          <w:w w:val="110"/>
        </w:rPr>
        <w:t> </w:t>
      </w:r>
      <w:r>
        <w:rPr>
          <w:color w:val="231F20"/>
          <w:w w:val="110"/>
        </w:rPr>
        <w:t>latinos,</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trabajo</w:t>
      </w:r>
      <w:r>
        <w:rPr>
          <w:color w:val="231F20"/>
          <w:spacing w:val="-12"/>
          <w:w w:val="110"/>
        </w:rPr>
        <w:t> </w:t>
      </w:r>
      <w:r>
        <w:rPr>
          <w:color w:val="231F20"/>
          <w:w w:val="110"/>
        </w:rPr>
        <w:t>parcial</w:t>
      </w:r>
    </w:p>
    <w:p>
      <w:pPr>
        <w:pStyle w:val="BodyText"/>
        <w:spacing w:line="261" w:lineRule="auto"/>
        <w:ind w:left="100" w:right="117"/>
        <w:jc w:val="both"/>
      </w:pPr>
      <w:r>
        <w:rPr>
          <w:color w:val="231F20"/>
          <w:w w:val="110"/>
        </w:rPr>
        <w:t>—que</w:t>
      </w:r>
      <w:r>
        <w:rPr>
          <w:color w:val="231F20"/>
          <w:spacing w:val="-15"/>
          <w:w w:val="110"/>
        </w:rPr>
        <w:t> </w:t>
      </w:r>
      <w:r>
        <w:rPr>
          <w:color w:val="231F20"/>
          <w:w w:val="110"/>
        </w:rPr>
        <w:t>anteriormente,</w:t>
      </w:r>
      <w:r>
        <w:rPr>
          <w:color w:val="231F20"/>
          <w:spacing w:val="-15"/>
          <w:w w:val="110"/>
        </w:rPr>
        <w:t> </w:t>
      </w:r>
      <w:r>
        <w:rPr>
          <w:color w:val="231F20"/>
          <w:w w:val="110"/>
        </w:rPr>
        <w:t>alcazaba</w:t>
      </w:r>
      <w:r>
        <w:rPr>
          <w:color w:val="231F20"/>
          <w:spacing w:val="-15"/>
          <w:w w:val="110"/>
        </w:rPr>
        <w:t> </w:t>
      </w:r>
      <w:r>
        <w:rPr>
          <w:color w:val="231F20"/>
          <w:w w:val="110"/>
        </w:rPr>
        <w:t>niveles</w:t>
      </w:r>
      <w:r>
        <w:rPr>
          <w:color w:val="231F20"/>
          <w:spacing w:val="-15"/>
          <w:w w:val="110"/>
        </w:rPr>
        <w:t> </w:t>
      </w:r>
      <w:r>
        <w:rPr>
          <w:color w:val="231F20"/>
          <w:w w:val="110"/>
        </w:rPr>
        <w:t>relativamente</w:t>
      </w:r>
      <w:r>
        <w:rPr>
          <w:color w:val="231F20"/>
          <w:spacing w:val="-15"/>
          <w:w w:val="110"/>
        </w:rPr>
        <w:t> </w:t>
      </w:r>
      <w:r>
        <w:rPr>
          <w:color w:val="231F20"/>
          <w:w w:val="110"/>
        </w:rPr>
        <w:t>bajos,</w:t>
      </w:r>
      <w:r>
        <w:rPr>
          <w:color w:val="231F20"/>
          <w:spacing w:val="-15"/>
          <w:w w:val="110"/>
        </w:rPr>
        <w:t> </w:t>
      </w:r>
      <w:r>
        <w:rPr>
          <w:color w:val="231F20"/>
          <w:w w:val="110"/>
        </w:rPr>
        <w:t>inferiores a la media nacional— creció de 14.2 a 18.9%. El trabajo indepen- diente o por cuenta propia, comúnmente considerado como parte  del “sector informal”, paradójicamente mostró un ligero descenso al pasar</w:t>
      </w:r>
      <w:r>
        <w:rPr>
          <w:color w:val="231F20"/>
          <w:spacing w:val="-9"/>
          <w:w w:val="110"/>
        </w:rPr>
        <w:t> </w:t>
      </w:r>
      <w:r>
        <w:rPr>
          <w:color w:val="231F20"/>
          <w:w w:val="110"/>
        </w:rPr>
        <w:t>de</w:t>
      </w:r>
      <w:r>
        <w:rPr>
          <w:color w:val="231F20"/>
          <w:spacing w:val="-9"/>
          <w:w w:val="110"/>
        </w:rPr>
        <w:t> </w:t>
      </w:r>
      <w:r>
        <w:rPr>
          <w:color w:val="231F20"/>
          <w:w w:val="110"/>
        </w:rPr>
        <w:t>7.4</w:t>
      </w:r>
      <w:r>
        <w:rPr>
          <w:color w:val="231F20"/>
          <w:spacing w:val="-9"/>
          <w:w w:val="110"/>
        </w:rPr>
        <w:t> </w:t>
      </w:r>
      <w:r>
        <w:rPr>
          <w:color w:val="231F20"/>
          <w:w w:val="110"/>
        </w:rPr>
        <w:t>a</w:t>
      </w:r>
      <w:r>
        <w:rPr>
          <w:color w:val="231F20"/>
          <w:spacing w:val="-9"/>
          <w:w w:val="110"/>
        </w:rPr>
        <w:t> </w:t>
      </w:r>
      <w:r>
        <w:rPr>
          <w:color w:val="231F20"/>
          <w:w w:val="110"/>
        </w:rPr>
        <w:t>6.8%</w:t>
      </w:r>
      <w:r>
        <w:rPr>
          <w:color w:val="231F20"/>
          <w:spacing w:val="-9"/>
          <w:w w:val="110"/>
        </w:rPr>
        <w:t> </w:t>
      </w:r>
      <w:r>
        <w:rPr>
          <w:color w:val="231F20"/>
          <w:w w:val="110"/>
        </w:rPr>
        <w:t>entre</w:t>
      </w:r>
      <w:r>
        <w:rPr>
          <w:color w:val="231F20"/>
          <w:spacing w:val="-9"/>
          <w:w w:val="110"/>
        </w:rPr>
        <w:t> </w:t>
      </w:r>
      <w:r>
        <w:rPr>
          <w:color w:val="231F20"/>
          <w:w w:val="110"/>
        </w:rPr>
        <w:t>2005</w:t>
      </w:r>
      <w:r>
        <w:rPr>
          <w:color w:val="231F20"/>
          <w:spacing w:val="-9"/>
          <w:w w:val="110"/>
        </w:rPr>
        <w:t> </w:t>
      </w:r>
      <w:r>
        <w:rPr>
          <w:color w:val="231F20"/>
          <w:w w:val="110"/>
        </w:rPr>
        <w:t>y</w:t>
      </w:r>
      <w:r>
        <w:rPr>
          <w:color w:val="231F20"/>
          <w:spacing w:val="-9"/>
          <w:w w:val="110"/>
        </w:rPr>
        <w:t> </w:t>
      </w:r>
      <w:r>
        <w:rPr>
          <w:color w:val="231F20"/>
          <w:w w:val="110"/>
        </w:rPr>
        <w:t>2011,</w:t>
      </w:r>
      <w:r>
        <w:rPr>
          <w:color w:val="231F20"/>
          <w:spacing w:val="-9"/>
          <w:w w:val="110"/>
        </w:rPr>
        <w:t> </w:t>
      </w:r>
      <w:r>
        <w:rPr>
          <w:color w:val="231F20"/>
          <w:w w:val="110"/>
        </w:rPr>
        <w:t>lo</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términos</w:t>
      </w:r>
      <w:r>
        <w:rPr>
          <w:color w:val="231F20"/>
          <w:spacing w:val="-9"/>
          <w:w w:val="110"/>
        </w:rPr>
        <w:t> </w:t>
      </w:r>
      <w:r>
        <w:rPr>
          <w:color w:val="231F20"/>
          <w:w w:val="110"/>
        </w:rPr>
        <w:t>generales, podría interpretarse como el resultado de una reacción contracíclica ante la pérdida de dinamismo la economía “formal” (US Bureau of Labor</w:t>
      </w:r>
      <w:r>
        <w:rPr>
          <w:color w:val="231F20"/>
          <w:spacing w:val="-26"/>
          <w:w w:val="110"/>
        </w:rPr>
        <w:t> </w:t>
      </w:r>
      <w:r>
        <w:rPr>
          <w:color w:val="231F20"/>
          <w:w w:val="110"/>
        </w:rPr>
        <w:t>Statistics,</w:t>
      </w:r>
      <w:r>
        <w:rPr>
          <w:color w:val="231F20"/>
          <w:spacing w:val="-26"/>
          <w:w w:val="110"/>
        </w:rPr>
        <w:t> </w:t>
      </w:r>
      <w:r>
        <w:rPr>
          <w:color w:val="231F20"/>
          <w:w w:val="110"/>
        </w:rPr>
        <w:t>2012).</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before="67"/>
        <w:ind w:left="100"/>
        <w:jc w:val="both"/>
      </w:pPr>
      <w:r>
        <w:rPr>
          <w:color w:val="231F20"/>
          <w:w w:val="125"/>
        </w:rPr>
        <w:t>consideraciones finales</w:t>
      </w:r>
    </w:p>
    <w:p>
      <w:pPr>
        <w:pStyle w:val="BodyText"/>
        <w:spacing w:before="5"/>
        <w:rPr>
          <w:sz w:val="23"/>
        </w:rPr>
      </w:pPr>
    </w:p>
    <w:p>
      <w:pPr>
        <w:pStyle w:val="BodyText"/>
        <w:spacing w:line="261" w:lineRule="auto"/>
        <w:ind w:left="100" w:right="117"/>
        <w:jc w:val="both"/>
      </w:pPr>
      <w:r>
        <w:rPr>
          <w:color w:val="231F20"/>
          <w:w w:val="110"/>
        </w:rPr>
        <w:t>En</w:t>
      </w:r>
      <w:r>
        <w:rPr>
          <w:color w:val="231F20"/>
          <w:spacing w:val="-5"/>
          <w:w w:val="110"/>
        </w:rPr>
        <w:t> </w:t>
      </w:r>
      <w:r>
        <w:rPr>
          <w:color w:val="231F20"/>
          <w:w w:val="110"/>
        </w:rPr>
        <w:t>términos</w:t>
      </w:r>
      <w:r>
        <w:rPr>
          <w:color w:val="231F20"/>
          <w:spacing w:val="-5"/>
          <w:w w:val="110"/>
        </w:rPr>
        <w:t> </w:t>
      </w:r>
      <w:r>
        <w:rPr>
          <w:color w:val="231F20"/>
          <w:w w:val="110"/>
        </w:rPr>
        <w:t>generales,</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sólo</w:t>
      </w:r>
      <w:r>
        <w:rPr>
          <w:color w:val="231F20"/>
          <w:spacing w:val="-5"/>
          <w:w w:val="110"/>
        </w:rPr>
        <w:t> </w:t>
      </w:r>
      <w:r>
        <w:rPr>
          <w:color w:val="231F20"/>
          <w:w w:val="110"/>
        </w:rPr>
        <w:t>se</w:t>
      </w:r>
      <w:r>
        <w:rPr>
          <w:color w:val="231F20"/>
          <w:spacing w:val="-5"/>
          <w:w w:val="110"/>
        </w:rPr>
        <w:t> </w:t>
      </w:r>
      <w:r>
        <w:rPr>
          <w:color w:val="231F20"/>
          <w:w w:val="110"/>
        </w:rPr>
        <w:t>puede</w:t>
      </w:r>
      <w:r>
        <w:rPr>
          <w:color w:val="231F20"/>
          <w:spacing w:val="-5"/>
          <w:w w:val="110"/>
        </w:rPr>
        <w:t> </w:t>
      </w:r>
      <w:r>
        <w:rPr>
          <w:color w:val="231F20"/>
          <w:w w:val="110"/>
        </w:rPr>
        <w:t>entender</w:t>
      </w:r>
      <w:r>
        <w:rPr>
          <w:color w:val="231F20"/>
          <w:spacing w:val="-5"/>
          <w:w w:val="110"/>
        </w:rPr>
        <w:t> </w:t>
      </w:r>
      <w:r>
        <w:rPr>
          <w:color w:val="231F20"/>
          <w:w w:val="110"/>
        </w:rPr>
        <w:t>como imperio —en dicha lógica y contradicciones— y no como</w:t>
      </w:r>
      <w:r>
        <w:rPr>
          <w:color w:val="231F20"/>
          <w:spacing w:val="-31"/>
          <w:w w:val="110"/>
        </w:rPr>
        <w:t> </w:t>
      </w:r>
      <w:r>
        <w:rPr>
          <w:color w:val="231F20"/>
          <w:w w:val="110"/>
        </w:rPr>
        <w:t>república, teniendo</w:t>
      </w:r>
      <w:r>
        <w:rPr>
          <w:color w:val="231F20"/>
          <w:spacing w:val="-6"/>
          <w:w w:val="110"/>
        </w:rPr>
        <w:t> </w:t>
      </w:r>
      <w:r>
        <w:rPr>
          <w:color w:val="231F20"/>
          <w:w w:val="110"/>
        </w:rPr>
        <w:t>en</w:t>
      </w:r>
      <w:r>
        <w:rPr>
          <w:color w:val="231F20"/>
          <w:spacing w:val="-6"/>
          <w:w w:val="110"/>
        </w:rPr>
        <w:t> </w:t>
      </w:r>
      <w:r>
        <w:rPr>
          <w:color w:val="231F20"/>
          <w:w w:val="110"/>
        </w:rPr>
        <w:t>cuenta</w:t>
      </w:r>
      <w:r>
        <w:rPr>
          <w:color w:val="231F20"/>
          <w:spacing w:val="-6"/>
          <w:w w:val="110"/>
        </w:rPr>
        <w:t> </w:t>
      </w:r>
      <w:r>
        <w:rPr>
          <w:color w:val="231F20"/>
          <w:w w:val="110"/>
        </w:rPr>
        <w:t>las</w:t>
      </w:r>
      <w:r>
        <w:rPr>
          <w:color w:val="231F20"/>
          <w:spacing w:val="-6"/>
          <w:w w:val="110"/>
        </w:rPr>
        <w:t> </w:t>
      </w:r>
      <w:r>
        <w:rPr>
          <w:color w:val="231F20"/>
          <w:w w:val="110"/>
        </w:rPr>
        <w:t>particularidades</w:t>
      </w:r>
      <w:r>
        <w:rPr>
          <w:color w:val="231F20"/>
          <w:spacing w:val="-6"/>
          <w:w w:val="110"/>
        </w:rPr>
        <w:t> </w:t>
      </w:r>
      <w:r>
        <w:rPr>
          <w:color w:val="231F20"/>
          <w:w w:val="110"/>
        </w:rPr>
        <w:t>del</w:t>
      </w:r>
      <w:r>
        <w:rPr>
          <w:color w:val="231F20"/>
          <w:spacing w:val="-6"/>
          <w:w w:val="110"/>
        </w:rPr>
        <w:t> </w:t>
      </w:r>
      <w:r>
        <w:rPr>
          <w:color w:val="231F20"/>
          <w:w w:val="110"/>
        </w:rPr>
        <w:t>modelo</w:t>
      </w:r>
      <w:r>
        <w:rPr>
          <w:color w:val="231F20"/>
          <w:spacing w:val="-6"/>
          <w:w w:val="110"/>
        </w:rPr>
        <w:t> </w:t>
      </w:r>
      <w:r>
        <w:rPr>
          <w:color w:val="231F20"/>
          <w:w w:val="110"/>
        </w:rPr>
        <w:t>laboral</w:t>
      </w:r>
      <w:r>
        <w:rPr>
          <w:color w:val="231F20"/>
          <w:spacing w:val="-6"/>
          <w:w w:val="110"/>
        </w:rPr>
        <w:t> </w:t>
      </w:r>
      <w:r>
        <w:rPr>
          <w:color w:val="231F20"/>
          <w:w w:val="110"/>
        </w:rPr>
        <w:t>neoliberal adoptado</w:t>
      </w:r>
      <w:r>
        <w:rPr>
          <w:color w:val="231F20"/>
          <w:spacing w:val="-6"/>
          <w:w w:val="110"/>
        </w:rPr>
        <w:t> </w:t>
      </w:r>
      <w:r>
        <w:rPr>
          <w:color w:val="231F20"/>
          <w:w w:val="110"/>
        </w:rPr>
        <w:t>desde</w:t>
      </w:r>
      <w:r>
        <w:rPr>
          <w:color w:val="231F20"/>
          <w:spacing w:val="-6"/>
          <w:w w:val="110"/>
        </w:rPr>
        <w:t> </w:t>
      </w:r>
      <w:r>
        <w:rPr>
          <w:color w:val="231F20"/>
          <w:w w:val="110"/>
        </w:rPr>
        <w:t>mediados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setenta,</w:t>
      </w:r>
      <w:r>
        <w:rPr>
          <w:color w:val="231F20"/>
          <w:spacing w:val="-6"/>
          <w:w w:val="110"/>
        </w:rPr>
        <w:t> </w:t>
      </w:r>
      <w:r>
        <w:rPr>
          <w:color w:val="231F20"/>
          <w:w w:val="110"/>
        </w:rPr>
        <w:t>el</w:t>
      </w:r>
      <w:r>
        <w:rPr>
          <w:color w:val="231F20"/>
          <w:spacing w:val="-6"/>
          <w:w w:val="110"/>
        </w:rPr>
        <w:t> </w:t>
      </w:r>
      <w:r>
        <w:rPr>
          <w:color w:val="231F20"/>
          <w:w w:val="110"/>
        </w:rPr>
        <w:t>proceso</w:t>
      </w:r>
      <w:r>
        <w:rPr>
          <w:color w:val="231F20"/>
          <w:spacing w:val="-6"/>
          <w:w w:val="110"/>
        </w:rPr>
        <w:t> </w:t>
      </w:r>
      <w:r>
        <w:rPr>
          <w:color w:val="231F20"/>
          <w:w w:val="110"/>
        </w:rPr>
        <w:t>de</w:t>
      </w:r>
      <w:r>
        <w:rPr>
          <w:color w:val="231F20"/>
          <w:spacing w:val="-6"/>
          <w:w w:val="110"/>
        </w:rPr>
        <w:t> </w:t>
      </w:r>
      <w:r>
        <w:rPr>
          <w:color w:val="231F20"/>
          <w:w w:val="110"/>
        </w:rPr>
        <w:t>reestruc- turación</w:t>
      </w:r>
      <w:r>
        <w:rPr>
          <w:color w:val="231F20"/>
          <w:spacing w:val="-16"/>
          <w:w w:val="110"/>
        </w:rPr>
        <w:t> </w:t>
      </w:r>
      <w:r>
        <w:rPr>
          <w:color w:val="231F20"/>
          <w:w w:val="110"/>
        </w:rPr>
        <w:t>económica</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ampliación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capitalización</w:t>
      </w:r>
      <w:r>
        <w:rPr>
          <w:color w:val="231F20"/>
          <w:spacing w:val="-16"/>
          <w:w w:val="110"/>
        </w:rPr>
        <w:t> </w:t>
      </w:r>
      <w:r>
        <w:rPr>
          <w:color w:val="231F20"/>
          <w:w w:val="110"/>
        </w:rPr>
        <w:t>externa</w:t>
      </w:r>
      <w:r>
        <w:rPr>
          <w:color w:val="231F20"/>
          <w:spacing w:val="-16"/>
          <w:w w:val="110"/>
        </w:rPr>
        <w:t> </w:t>
      </w:r>
      <w:r>
        <w:rPr>
          <w:color w:val="231F20"/>
          <w:w w:val="110"/>
        </w:rPr>
        <w:t>como parte de la estrategia de acumulación ampliada y sobreexplotación de la fuerza de trabajo. La estructura de formación y distribución  del ingreso nacional estadunidense, como en todas las economías  de mercado, resulta de la correlación de fuerzas de las clases socia- les. No obstante, con el modelo neoliberal y las transformaciones subsecuentes, la clase trabajadora no sólo entró en declive en térmi- nos cuantitativos, sino particularmente en términos de la capacidad organizativa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potencial</w:t>
      </w:r>
      <w:r>
        <w:rPr>
          <w:color w:val="231F20"/>
          <w:spacing w:val="-7"/>
          <w:w w:val="110"/>
        </w:rPr>
        <w:t> </w:t>
      </w:r>
      <w:r>
        <w:rPr>
          <w:color w:val="231F20"/>
          <w:w w:val="110"/>
        </w:rPr>
        <w:t>político.</w:t>
      </w:r>
      <w:r>
        <w:rPr>
          <w:color w:val="231F20"/>
          <w:spacing w:val="-7"/>
          <w:w w:val="110"/>
        </w:rPr>
        <w:t> </w:t>
      </w:r>
      <w:r>
        <w:rPr>
          <w:color w:val="231F20"/>
          <w:w w:val="110"/>
        </w:rPr>
        <w:t>El</w:t>
      </w:r>
      <w:r>
        <w:rPr>
          <w:color w:val="231F20"/>
          <w:spacing w:val="-7"/>
          <w:w w:val="110"/>
        </w:rPr>
        <w:t> </w:t>
      </w:r>
      <w:r>
        <w:rPr>
          <w:color w:val="231F20"/>
          <w:w w:val="110"/>
        </w:rPr>
        <w:t>neoliberalismo</w:t>
      </w:r>
      <w:r>
        <w:rPr>
          <w:color w:val="231F20"/>
          <w:spacing w:val="-7"/>
          <w:w w:val="110"/>
        </w:rPr>
        <w:t> </w:t>
      </w:r>
      <w:r>
        <w:rPr>
          <w:color w:val="231F20"/>
          <w:w w:val="110"/>
        </w:rPr>
        <w:t>transformó</w:t>
      </w:r>
      <w:r>
        <w:rPr>
          <w:color w:val="231F20"/>
          <w:spacing w:val="-7"/>
          <w:w w:val="110"/>
        </w:rPr>
        <w:t> </w:t>
      </w:r>
      <w:r>
        <w:rPr>
          <w:color w:val="231F20"/>
          <w:w w:val="110"/>
        </w:rPr>
        <w:t>los mecanismos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solidaridad</w:t>
      </w:r>
      <w:r>
        <w:rPr>
          <w:color w:val="231F20"/>
          <w:spacing w:val="-7"/>
          <w:w w:val="110"/>
        </w:rPr>
        <w:t> </w:t>
      </w:r>
      <w:r>
        <w:rPr>
          <w:color w:val="231F20"/>
          <w:w w:val="110"/>
        </w:rPr>
        <w:t>de</w:t>
      </w:r>
      <w:r>
        <w:rPr>
          <w:color w:val="231F20"/>
          <w:spacing w:val="-7"/>
          <w:w w:val="110"/>
        </w:rPr>
        <w:t> </w:t>
      </w:r>
      <w:r>
        <w:rPr>
          <w:color w:val="231F20"/>
          <w:w w:val="110"/>
        </w:rPr>
        <w:t>clase</w:t>
      </w:r>
      <w:r>
        <w:rPr>
          <w:color w:val="231F20"/>
          <w:spacing w:val="-7"/>
          <w:w w:val="110"/>
        </w:rPr>
        <w:t> </w:t>
      </w:r>
      <w:r>
        <w:rPr>
          <w:color w:val="231F20"/>
          <w:w w:val="110"/>
        </w:rPr>
        <w:t>preexistentes</w:t>
      </w:r>
      <w:r>
        <w:rPr>
          <w:color w:val="231F20"/>
          <w:spacing w:val="-7"/>
          <w:w w:val="110"/>
        </w:rPr>
        <w:t> </w:t>
      </w:r>
      <w:r>
        <w:rPr>
          <w:color w:val="231F20"/>
          <w:spacing w:val="-8"/>
          <w:w w:val="110"/>
        </w:rPr>
        <w:t>y,</w:t>
      </w:r>
      <w:r>
        <w:rPr>
          <w:color w:val="231F20"/>
          <w:spacing w:val="-7"/>
          <w:w w:val="110"/>
        </w:rPr>
        <w:t> </w:t>
      </w:r>
      <w:r>
        <w:rPr>
          <w:color w:val="231F20"/>
          <w:w w:val="110"/>
        </w:rPr>
        <w:t>como</w:t>
      </w:r>
      <w:r>
        <w:rPr>
          <w:color w:val="231F20"/>
          <w:spacing w:val="-7"/>
          <w:w w:val="110"/>
        </w:rPr>
        <w:t> </w:t>
      </w:r>
      <w:r>
        <w:rPr>
          <w:color w:val="231F20"/>
          <w:w w:val="110"/>
        </w:rPr>
        <w:t>parte</w:t>
      </w:r>
      <w:r>
        <w:rPr>
          <w:color w:val="231F20"/>
          <w:spacing w:val="-7"/>
          <w:w w:val="110"/>
        </w:rPr>
        <w:t> </w:t>
      </w:r>
      <w:r>
        <w:rPr>
          <w:color w:val="231F20"/>
          <w:w w:val="110"/>
        </w:rPr>
        <w:t>de la estrategia de dominación, fomentó la competencia entre los pro- pios trabajadores, quienes enfrentan la crisis actual en condiciones de debilidad generalizada y de desarticulación</w:t>
      </w:r>
      <w:r>
        <w:rPr>
          <w:color w:val="231F20"/>
          <w:spacing w:val="47"/>
          <w:w w:val="110"/>
        </w:rPr>
        <w:t> </w:t>
      </w:r>
      <w:r>
        <w:rPr>
          <w:color w:val="231F20"/>
          <w:w w:val="110"/>
        </w:rPr>
        <w:t>endémica.</w:t>
      </w:r>
    </w:p>
    <w:p>
      <w:pPr>
        <w:pStyle w:val="BodyText"/>
        <w:spacing w:line="261" w:lineRule="auto"/>
        <w:ind w:left="100" w:right="117" w:firstLine="240"/>
        <w:jc w:val="both"/>
      </w:pPr>
      <w:r>
        <w:rPr>
          <w:color w:val="231F20"/>
          <w:w w:val="110"/>
        </w:rPr>
        <w:t>El</w:t>
      </w:r>
      <w:r>
        <w:rPr>
          <w:color w:val="231F20"/>
          <w:spacing w:val="-6"/>
          <w:w w:val="110"/>
        </w:rPr>
        <w:t> </w:t>
      </w:r>
      <w:r>
        <w:rPr>
          <w:color w:val="231F20"/>
          <w:w w:val="110"/>
        </w:rPr>
        <w:t>restablecimiento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tasa</w:t>
      </w:r>
      <w:r>
        <w:rPr>
          <w:color w:val="231F20"/>
          <w:spacing w:val="-6"/>
          <w:w w:val="110"/>
        </w:rPr>
        <w:t> </w:t>
      </w:r>
      <w:r>
        <w:rPr>
          <w:color w:val="231F20"/>
          <w:w w:val="110"/>
        </w:rPr>
        <w:t>beneficio</w:t>
      </w:r>
      <w:r>
        <w:rPr>
          <w:color w:val="231F20"/>
          <w:spacing w:val="-6"/>
          <w:w w:val="110"/>
        </w:rPr>
        <w:t> </w:t>
      </w:r>
      <w:r>
        <w:rPr>
          <w:color w:val="231F20"/>
          <w:w w:val="110"/>
        </w:rPr>
        <w:t>a</w:t>
      </w:r>
      <w:r>
        <w:rPr>
          <w:color w:val="231F20"/>
          <w:spacing w:val="-6"/>
          <w:w w:val="110"/>
        </w:rPr>
        <w:t> </w:t>
      </w:r>
      <w:r>
        <w:rPr>
          <w:color w:val="231F20"/>
          <w:w w:val="110"/>
        </w:rPr>
        <w:t>partir</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ochen- ta, derivado de la reversión generalizada de la parte de la riqueza nacional destinada a los salarios, paradójicamente no promovió un incremento de nuevas inversiones productivas a lo largo del periodo neoliberal </w:t>
      </w:r>
      <w:r>
        <w:rPr>
          <w:color w:val="231F20"/>
          <w:spacing w:val="-8"/>
          <w:w w:val="110"/>
        </w:rPr>
        <w:t>y, </w:t>
      </w:r>
      <w:r>
        <w:rPr>
          <w:color w:val="231F20"/>
          <w:w w:val="110"/>
        </w:rPr>
        <w:t>por el contrario, los altos beneficios captados fueron mayoritariamente</w:t>
      </w:r>
      <w:r>
        <w:rPr>
          <w:color w:val="231F20"/>
          <w:spacing w:val="-23"/>
          <w:w w:val="110"/>
        </w:rPr>
        <w:t> </w:t>
      </w:r>
      <w:r>
        <w:rPr>
          <w:color w:val="231F20"/>
          <w:w w:val="110"/>
        </w:rPr>
        <w:t>orientados</w:t>
      </w:r>
      <w:r>
        <w:rPr>
          <w:color w:val="231F20"/>
          <w:spacing w:val="-23"/>
          <w:w w:val="110"/>
        </w:rPr>
        <w:t> </w:t>
      </w:r>
      <w:r>
        <w:rPr>
          <w:color w:val="231F20"/>
          <w:w w:val="110"/>
        </w:rPr>
        <w:t>hacia</w:t>
      </w:r>
      <w:r>
        <w:rPr>
          <w:color w:val="231F20"/>
          <w:spacing w:val="-23"/>
          <w:w w:val="110"/>
        </w:rPr>
        <w:t> </w:t>
      </w:r>
      <w:r>
        <w:rPr>
          <w:color w:val="231F20"/>
          <w:w w:val="110"/>
        </w:rPr>
        <w:t>formas</w:t>
      </w:r>
      <w:r>
        <w:rPr>
          <w:color w:val="231F20"/>
          <w:spacing w:val="-23"/>
          <w:w w:val="110"/>
        </w:rPr>
        <w:t> </w:t>
      </w:r>
      <w:r>
        <w:rPr>
          <w:color w:val="231F20"/>
          <w:w w:val="110"/>
        </w:rPr>
        <w:t>de</w:t>
      </w:r>
      <w:r>
        <w:rPr>
          <w:color w:val="231F20"/>
          <w:spacing w:val="-23"/>
          <w:w w:val="110"/>
        </w:rPr>
        <w:t> </w:t>
      </w:r>
      <w:r>
        <w:rPr>
          <w:color w:val="231F20"/>
          <w:w w:val="110"/>
        </w:rPr>
        <w:t>valorización</w:t>
      </w:r>
      <w:r>
        <w:rPr>
          <w:color w:val="231F20"/>
          <w:spacing w:val="-23"/>
          <w:w w:val="110"/>
        </w:rPr>
        <w:t> </w:t>
      </w:r>
      <w:r>
        <w:rPr>
          <w:color w:val="231F20"/>
          <w:w w:val="110"/>
        </w:rPr>
        <w:t>financieras y especulativas, o destinados al consumo privado de las clases capi- talistas. La tendencia a la baja de la parte salarial del pib, resultante del incremento de la tasa de explotación de los trabajadores, corres- pondió con las estrategias seguidas por sectores empresariales de desregulación</w:t>
      </w:r>
      <w:r>
        <w:rPr>
          <w:color w:val="231F20"/>
          <w:spacing w:val="-6"/>
          <w:w w:val="110"/>
        </w:rPr>
        <w:t> </w:t>
      </w:r>
      <w:r>
        <w:rPr>
          <w:color w:val="231F20"/>
          <w:w w:val="110"/>
        </w:rPr>
        <w:t>y</w:t>
      </w:r>
      <w:r>
        <w:rPr>
          <w:color w:val="231F20"/>
          <w:spacing w:val="-6"/>
          <w:w w:val="110"/>
        </w:rPr>
        <w:t> </w:t>
      </w:r>
      <w:r>
        <w:rPr>
          <w:color w:val="231F20"/>
          <w:w w:val="110"/>
        </w:rPr>
        <w:t>flexibilización</w:t>
      </w:r>
      <w:r>
        <w:rPr>
          <w:color w:val="231F20"/>
          <w:spacing w:val="-6"/>
          <w:w w:val="110"/>
        </w:rPr>
        <w:t> </w:t>
      </w:r>
      <w:r>
        <w:rPr>
          <w:color w:val="231F20"/>
          <w:w w:val="110"/>
        </w:rPr>
        <w:t>del</w:t>
      </w:r>
      <w:r>
        <w:rPr>
          <w:color w:val="231F20"/>
          <w:spacing w:val="-6"/>
          <w:w w:val="110"/>
        </w:rPr>
        <w:t> </w:t>
      </w:r>
      <w:r>
        <w:rPr>
          <w:color w:val="231F20"/>
          <w:w w:val="110"/>
        </w:rPr>
        <w:t>trabajo,</w:t>
      </w:r>
      <w:r>
        <w:rPr>
          <w:color w:val="231F20"/>
          <w:spacing w:val="-6"/>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w w:val="110"/>
        </w:rPr>
        <w:t>esperados</w:t>
      </w:r>
      <w:r>
        <w:rPr>
          <w:color w:val="231F20"/>
          <w:spacing w:val="-6"/>
          <w:w w:val="110"/>
        </w:rPr>
        <w:t> </w:t>
      </w:r>
      <w:r>
        <w:rPr>
          <w:color w:val="231F20"/>
          <w:w w:val="110"/>
        </w:rPr>
        <w:t>efectos en la precarización laboral y el aumento de las desigualdades socia- les. La relativa pérdida del poder adquisitivo de la mayoría de los trabajadores generó un consumo sustentado en la “renta no salarial” compensada con el financiamiento de créditos </w:t>
      </w:r>
      <w:r>
        <w:rPr>
          <w:color w:val="231F20"/>
          <w:spacing w:val="11"/>
          <w:w w:val="110"/>
        </w:rPr>
        <w:t> </w:t>
      </w:r>
      <w:r>
        <w:rPr>
          <w:color w:val="231F20"/>
          <w:w w:val="110"/>
        </w:rPr>
        <w:t>bancarios.</w:t>
      </w:r>
    </w:p>
    <w:p>
      <w:pPr>
        <w:pStyle w:val="BodyText"/>
        <w:spacing w:line="261" w:lineRule="auto"/>
        <w:ind w:left="100" w:right="119" w:firstLine="240"/>
        <w:jc w:val="both"/>
      </w:pPr>
      <w:r>
        <w:rPr>
          <w:color w:val="231F20"/>
          <w:w w:val="110"/>
        </w:rPr>
        <w:t>La estructura económica estadunidense se ha transformado apre-</w:t>
      </w:r>
      <w:r>
        <w:rPr>
          <w:color w:val="231F20"/>
          <w:w w:val="72"/>
        </w:rPr>
        <w:t> </w:t>
      </w:r>
      <w:r>
        <w:rPr>
          <w:color w:val="231F20"/>
          <w:w w:val="110"/>
        </w:rPr>
        <w:t>ciablemente. El intenso proceso de desindustrialización y terciariza- ción de la economía impacta a todos los segmentos de los trabaja- dores, en particular a jóvenes que intentan insertarse a un mercado laboral más restringido y competitivo. El sector manufacturero  asa-</w:t>
      </w:r>
    </w:p>
    <w:p>
      <w:pPr>
        <w:spacing w:after="0" w:line="261" w:lineRule="auto"/>
        <w:jc w:val="both"/>
        <w:sectPr>
          <w:headerReference w:type="even" r:id="rId194"/>
          <w:headerReference w:type="default" r:id="rId195"/>
          <w:pgSz w:w="7640" w:h="11900"/>
          <w:pgMar w:header="672" w:footer="0" w:top="860" w:bottom="280" w:left="780" w:right="640"/>
          <w:pgNumType w:start="282"/>
        </w:sectPr>
      </w:pPr>
    </w:p>
    <w:p>
      <w:pPr>
        <w:pStyle w:val="BodyText"/>
        <w:spacing w:before="8"/>
        <w:rPr>
          <w:sz w:val="8"/>
        </w:rPr>
      </w:pPr>
    </w:p>
    <w:p>
      <w:pPr>
        <w:pStyle w:val="BodyText"/>
        <w:spacing w:line="261" w:lineRule="auto" w:before="67"/>
        <w:ind w:left="100" w:right="117"/>
        <w:jc w:val="both"/>
      </w:pPr>
      <w:r>
        <w:rPr>
          <w:color w:val="231F20"/>
          <w:w w:val="110"/>
        </w:rPr>
        <w:t>lariado privado perdió importancia en la generación de empleos, mientras que el sector servicios se ha incrementado notablemente, concentrando gran parte de la fuerza de trabajo ocupada asalariada privada, nativa e inmigrante. La desindustrialización, al desplazar a los inmigrantes del sector de ocupación tradicionalmente “cautivo” hacia otros sectores, tenderá a limitar los espacios de participación en el mercado laboral y colocará a los trabajadores en condiciones de mayor competitividad en otros subsectores del mercado. En este sentido,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medida</w:t>
      </w:r>
      <w:r>
        <w:rPr>
          <w:color w:val="231F20"/>
          <w:spacing w:val="-9"/>
          <w:w w:val="110"/>
        </w:rPr>
        <w:t> </w:t>
      </w:r>
      <w:r>
        <w:rPr>
          <w:color w:val="231F20"/>
          <w:w w:val="110"/>
        </w:rPr>
        <w:t>que</w:t>
      </w:r>
      <w:r>
        <w:rPr>
          <w:color w:val="231F20"/>
          <w:spacing w:val="-9"/>
          <w:w w:val="110"/>
        </w:rPr>
        <w:t> </w:t>
      </w:r>
      <w:r>
        <w:rPr>
          <w:color w:val="231F20"/>
          <w:w w:val="110"/>
        </w:rPr>
        <w:t>avance</w:t>
      </w:r>
      <w:r>
        <w:rPr>
          <w:color w:val="231F20"/>
          <w:spacing w:val="-9"/>
          <w:w w:val="110"/>
        </w:rPr>
        <w:t> </w:t>
      </w:r>
      <w:r>
        <w:rPr>
          <w:color w:val="231F20"/>
          <w:w w:val="110"/>
        </w:rPr>
        <w:t>el</w:t>
      </w:r>
      <w:r>
        <w:rPr>
          <w:color w:val="231F20"/>
          <w:spacing w:val="-9"/>
          <w:w w:val="110"/>
        </w:rPr>
        <w:t> </w:t>
      </w:r>
      <w:r>
        <w:rPr>
          <w:color w:val="231F20"/>
          <w:w w:val="110"/>
        </w:rPr>
        <w:t>proceso</w:t>
      </w:r>
      <w:r>
        <w:rPr>
          <w:color w:val="231F20"/>
          <w:spacing w:val="-9"/>
          <w:w w:val="110"/>
        </w:rPr>
        <w:t> </w:t>
      </w:r>
      <w:r>
        <w:rPr>
          <w:color w:val="231F20"/>
          <w:w w:val="110"/>
        </w:rPr>
        <w:t>de</w:t>
      </w:r>
      <w:r>
        <w:rPr>
          <w:color w:val="231F20"/>
          <w:spacing w:val="-9"/>
          <w:w w:val="110"/>
        </w:rPr>
        <w:t> </w:t>
      </w:r>
      <w:r>
        <w:rPr>
          <w:color w:val="231F20"/>
          <w:w w:val="110"/>
        </w:rPr>
        <w:t>deslocalización</w:t>
      </w:r>
      <w:r>
        <w:rPr>
          <w:color w:val="231F20"/>
          <w:spacing w:val="-9"/>
          <w:w w:val="110"/>
        </w:rPr>
        <w:t> </w:t>
      </w:r>
      <w:r>
        <w:rPr>
          <w:color w:val="231F20"/>
          <w:w w:val="110"/>
        </w:rPr>
        <w:t>de</w:t>
      </w:r>
      <w:r>
        <w:rPr>
          <w:color w:val="231F20"/>
          <w:spacing w:val="-9"/>
          <w:w w:val="110"/>
        </w:rPr>
        <w:t> </w:t>
      </w:r>
      <w:r>
        <w:rPr>
          <w:color w:val="231F20"/>
          <w:w w:val="110"/>
        </w:rPr>
        <w:t>las actividades productivas hacia países con ventajas comparativas para garantizar</w:t>
      </w:r>
      <w:r>
        <w:rPr>
          <w:color w:val="231F20"/>
          <w:spacing w:val="-10"/>
          <w:w w:val="110"/>
        </w:rPr>
        <w:t> </w:t>
      </w:r>
      <w:r>
        <w:rPr>
          <w:color w:val="231F20"/>
          <w:w w:val="110"/>
        </w:rPr>
        <w:t>el</w:t>
      </w:r>
      <w:r>
        <w:rPr>
          <w:color w:val="231F20"/>
          <w:spacing w:val="-10"/>
          <w:w w:val="110"/>
        </w:rPr>
        <w:t> </w:t>
      </w:r>
      <w:r>
        <w:rPr>
          <w:color w:val="231F20"/>
          <w:w w:val="110"/>
        </w:rPr>
        <w:t>incremento</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ganancias</w:t>
      </w:r>
      <w:r>
        <w:rPr>
          <w:color w:val="231F20"/>
          <w:spacing w:val="-10"/>
          <w:w w:val="110"/>
        </w:rPr>
        <w:t> </w:t>
      </w:r>
      <w:r>
        <w:rPr>
          <w:color w:val="231F20"/>
          <w:w w:val="110"/>
        </w:rPr>
        <w:t>capitalistas,</w:t>
      </w:r>
      <w:r>
        <w:rPr>
          <w:color w:val="231F20"/>
          <w:spacing w:val="-10"/>
          <w:w w:val="110"/>
        </w:rPr>
        <w:t> </w:t>
      </w:r>
      <w:r>
        <w:rPr>
          <w:color w:val="231F20"/>
          <w:w w:val="110"/>
        </w:rPr>
        <w:t>“la</w:t>
      </w:r>
      <w:r>
        <w:rPr>
          <w:color w:val="231F20"/>
          <w:spacing w:val="-10"/>
          <w:w w:val="110"/>
        </w:rPr>
        <w:t> </w:t>
      </w:r>
      <w:r>
        <w:rPr>
          <w:color w:val="231F20"/>
          <w:w w:val="110"/>
        </w:rPr>
        <w:t>lógica</w:t>
      </w:r>
      <w:r>
        <w:rPr>
          <w:color w:val="231F20"/>
          <w:spacing w:val="-10"/>
          <w:w w:val="110"/>
        </w:rPr>
        <w:t> </w:t>
      </w:r>
      <w:r>
        <w:rPr>
          <w:color w:val="231F20"/>
          <w:w w:val="110"/>
        </w:rPr>
        <w:t>de</w:t>
      </w:r>
      <w:r>
        <w:rPr>
          <w:color w:val="231F20"/>
          <w:spacing w:val="-10"/>
          <w:w w:val="110"/>
        </w:rPr>
        <w:t> </w:t>
      </w:r>
      <w:r>
        <w:rPr>
          <w:color w:val="231F20"/>
          <w:w w:val="110"/>
        </w:rPr>
        <w:t>la migración de los puestos sustituirá a la migración de las</w:t>
      </w:r>
      <w:r>
        <w:rPr>
          <w:color w:val="231F20"/>
          <w:spacing w:val="18"/>
          <w:w w:val="110"/>
        </w:rPr>
        <w:t> </w:t>
      </w:r>
      <w:r>
        <w:rPr>
          <w:color w:val="231F20"/>
          <w:w w:val="110"/>
        </w:rPr>
        <w:t>personas”.</w:t>
      </w:r>
    </w:p>
    <w:p>
      <w:pPr>
        <w:pStyle w:val="BodyText"/>
        <w:spacing w:line="261" w:lineRule="auto"/>
        <w:ind w:left="100" w:right="117" w:firstLine="240"/>
        <w:jc w:val="both"/>
      </w:pPr>
      <w:r>
        <w:rPr>
          <w:color w:val="231F20"/>
          <w:w w:val="110"/>
        </w:rPr>
        <w:t>Estados Unidos recurre cada vez más al trabajo flexible, desre- gulado y precario bajo diversas modalidades. El deterioro de la ca- lidad del empleo, en particular de los nuevos puestos de trabajo, es cada vez </w:t>
      </w:r>
      <w:r>
        <w:rPr>
          <w:color w:val="231F20"/>
          <w:spacing w:val="-3"/>
          <w:w w:val="110"/>
        </w:rPr>
        <w:t>mayor. </w:t>
      </w:r>
      <w:r>
        <w:rPr>
          <w:color w:val="231F20"/>
          <w:w w:val="110"/>
        </w:rPr>
        <w:t>En los últimos decenios, la creciente</w:t>
      </w:r>
      <w:r>
        <w:rPr>
          <w:color w:val="231F20"/>
          <w:spacing w:val="-8"/>
          <w:w w:val="110"/>
        </w:rPr>
        <w:t> </w:t>
      </w:r>
      <w:r>
        <w:rPr>
          <w:color w:val="231F20"/>
          <w:w w:val="110"/>
        </w:rPr>
        <w:t>flexibilización del mercado laboral ha modificado en gran medida las formas o tipos de empleo asalariado, al sustituir la contratación estable por   la temporal y a tiempo parcial generalmente con bajos salarios, en muchos casos no sindicalizado y desprovisto de seguridad social y prestaciones laborales. La crisis puso fin a la supuesta potencialidad excepcional de Estados Unidos en la generación de empleo. La pre- cariedad laboral, medida a través del trabajo de tiempo parcial y las ocupaciones temporales, inestables, muestra el mayor impacto de la precarización</w:t>
      </w:r>
      <w:r>
        <w:rPr>
          <w:color w:val="231F20"/>
          <w:spacing w:val="-10"/>
          <w:w w:val="110"/>
        </w:rPr>
        <w:t> </w:t>
      </w:r>
      <w:r>
        <w:rPr>
          <w:color w:val="231F20"/>
          <w:w w:val="110"/>
        </w:rPr>
        <w:t>reciente</w:t>
      </w:r>
      <w:r>
        <w:rPr>
          <w:color w:val="231F20"/>
          <w:spacing w:val="-10"/>
          <w:w w:val="110"/>
        </w:rPr>
        <w:t> </w:t>
      </w:r>
      <w:r>
        <w:rPr>
          <w:color w:val="231F20"/>
          <w:w w:val="110"/>
        </w:rPr>
        <w:t>entre</w:t>
      </w:r>
      <w:r>
        <w:rPr>
          <w:color w:val="231F20"/>
          <w:spacing w:val="-10"/>
          <w:w w:val="110"/>
        </w:rPr>
        <w:t> </w:t>
      </w:r>
      <w:r>
        <w:rPr>
          <w:color w:val="231F20"/>
          <w:w w:val="110"/>
        </w:rPr>
        <w:t>los</w:t>
      </w:r>
      <w:r>
        <w:rPr>
          <w:color w:val="231F20"/>
          <w:spacing w:val="-10"/>
          <w:w w:val="110"/>
        </w:rPr>
        <w:t> </w:t>
      </w:r>
      <w:r>
        <w:rPr>
          <w:color w:val="231F20"/>
          <w:w w:val="110"/>
        </w:rPr>
        <w:t>nuevos</w:t>
      </w:r>
      <w:r>
        <w:rPr>
          <w:color w:val="231F20"/>
          <w:spacing w:val="-10"/>
          <w:w w:val="110"/>
        </w:rPr>
        <w:t> </w:t>
      </w:r>
      <w:r>
        <w:rPr>
          <w:color w:val="231F20"/>
          <w:w w:val="110"/>
        </w:rPr>
        <w:t>trabajadores</w:t>
      </w:r>
      <w:r>
        <w:rPr>
          <w:color w:val="231F20"/>
          <w:spacing w:val="-10"/>
          <w:w w:val="110"/>
        </w:rPr>
        <w:t> </w:t>
      </w:r>
      <w:r>
        <w:rPr>
          <w:color w:val="231F20"/>
          <w:w w:val="110"/>
        </w:rPr>
        <w:t>asalariados.</w:t>
      </w:r>
      <w:r>
        <w:rPr>
          <w:color w:val="231F20"/>
          <w:spacing w:val="-10"/>
          <w:w w:val="110"/>
        </w:rPr>
        <w:t> </w:t>
      </w:r>
      <w:r>
        <w:rPr>
          <w:color w:val="231F20"/>
          <w:w w:val="110"/>
        </w:rPr>
        <w:t>Con la crisis, las tendencias del mercado laboral estadunidense apuntan en</w:t>
      </w:r>
      <w:r>
        <w:rPr>
          <w:color w:val="231F20"/>
          <w:spacing w:val="-5"/>
          <w:w w:val="110"/>
        </w:rPr>
        <w:t> </w:t>
      </w:r>
      <w:r>
        <w:rPr>
          <w:color w:val="231F20"/>
          <w:w w:val="110"/>
        </w:rPr>
        <w:t>tres</w:t>
      </w:r>
      <w:r>
        <w:rPr>
          <w:color w:val="231F20"/>
          <w:spacing w:val="-5"/>
          <w:w w:val="110"/>
        </w:rPr>
        <w:t> </w:t>
      </w:r>
      <w:r>
        <w:rPr>
          <w:color w:val="231F20"/>
          <w:w w:val="110"/>
        </w:rPr>
        <w:t>sentidos:</w:t>
      </w:r>
      <w:r>
        <w:rPr>
          <w:color w:val="231F20"/>
          <w:spacing w:val="-5"/>
          <w:w w:val="110"/>
        </w:rPr>
        <w:t> </w:t>
      </w:r>
      <w:r>
        <w:rPr>
          <w:color w:val="231F20"/>
          <w:w w:val="110"/>
        </w:rPr>
        <w:t>la</w:t>
      </w:r>
      <w:r>
        <w:rPr>
          <w:color w:val="231F20"/>
          <w:spacing w:val="-5"/>
          <w:w w:val="110"/>
        </w:rPr>
        <w:t> </w:t>
      </w:r>
      <w:r>
        <w:rPr>
          <w:color w:val="231F20"/>
          <w:w w:val="110"/>
        </w:rPr>
        <w:t>caracterizada</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incremento</w:t>
      </w:r>
      <w:r>
        <w:rPr>
          <w:color w:val="231F20"/>
          <w:spacing w:val="-5"/>
          <w:w w:val="110"/>
        </w:rPr>
        <w:t> </w:t>
      </w:r>
      <w:r>
        <w:rPr>
          <w:color w:val="231F20"/>
          <w:w w:val="110"/>
        </w:rPr>
        <w:t>del</w:t>
      </w:r>
      <w:r>
        <w:rPr>
          <w:color w:val="231F20"/>
          <w:spacing w:val="-5"/>
          <w:w w:val="110"/>
        </w:rPr>
        <w:t> </w:t>
      </w:r>
      <w:r>
        <w:rPr>
          <w:color w:val="231F20"/>
          <w:w w:val="110"/>
        </w:rPr>
        <w:t>desempleo,</w:t>
      </w:r>
      <w:r>
        <w:rPr>
          <w:color w:val="231F20"/>
          <w:spacing w:val="-5"/>
          <w:w w:val="110"/>
        </w:rPr>
        <w:t> </w:t>
      </w:r>
      <w:r>
        <w:rPr>
          <w:color w:val="231F20"/>
          <w:w w:val="110"/>
        </w:rPr>
        <w:t>el crecimiento</w:t>
      </w:r>
      <w:r>
        <w:rPr>
          <w:color w:val="231F20"/>
          <w:spacing w:val="-11"/>
          <w:w w:val="110"/>
        </w:rPr>
        <w:t> </w:t>
      </w:r>
      <w:r>
        <w:rPr>
          <w:color w:val="231F20"/>
          <w:w w:val="110"/>
        </w:rPr>
        <w:t>inédito</w:t>
      </w:r>
      <w:r>
        <w:rPr>
          <w:color w:val="231F20"/>
          <w:spacing w:val="-11"/>
          <w:w w:val="110"/>
        </w:rPr>
        <w:t> </w:t>
      </w:r>
      <w:r>
        <w:rPr>
          <w:color w:val="231F20"/>
          <w:w w:val="110"/>
        </w:rPr>
        <w:t>del</w:t>
      </w:r>
      <w:r>
        <w:rPr>
          <w:color w:val="231F20"/>
          <w:spacing w:val="-11"/>
          <w:w w:val="110"/>
        </w:rPr>
        <w:t> </w:t>
      </w:r>
      <w:r>
        <w:rPr>
          <w:color w:val="231F20"/>
          <w:w w:val="110"/>
        </w:rPr>
        <w:t>trabajo</w:t>
      </w:r>
      <w:r>
        <w:rPr>
          <w:color w:val="231F20"/>
          <w:spacing w:val="-11"/>
          <w:w w:val="110"/>
        </w:rPr>
        <w:t> </w:t>
      </w:r>
      <w:r>
        <w:rPr>
          <w:color w:val="231F20"/>
          <w:w w:val="110"/>
        </w:rPr>
        <w:t>informal,</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caso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ocupados asalariados, la intensificación del trabajo precario, en especial entre los</w:t>
      </w:r>
      <w:r>
        <w:rPr>
          <w:color w:val="231F20"/>
          <w:spacing w:val="-12"/>
          <w:w w:val="110"/>
        </w:rPr>
        <w:t> </w:t>
      </w:r>
      <w:r>
        <w:rPr>
          <w:color w:val="231F20"/>
          <w:w w:val="110"/>
        </w:rPr>
        <w:t>nuevos</w:t>
      </w:r>
      <w:r>
        <w:rPr>
          <w:color w:val="231F20"/>
          <w:spacing w:val="-12"/>
          <w:w w:val="110"/>
        </w:rPr>
        <w:t> </w:t>
      </w:r>
      <w:r>
        <w:rPr>
          <w:color w:val="231F20"/>
          <w:w w:val="110"/>
        </w:rPr>
        <w:t>trabajadores,</w:t>
      </w:r>
      <w:r>
        <w:rPr>
          <w:color w:val="231F20"/>
          <w:spacing w:val="-12"/>
          <w:w w:val="110"/>
        </w:rPr>
        <w:t> </w:t>
      </w:r>
      <w:r>
        <w:rPr>
          <w:color w:val="231F20"/>
          <w:w w:val="110"/>
        </w:rPr>
        <w:t>jóvenes</w:t>
      </w:r>
      <w:r>
        <w:rPr>
          <w:color w:val="231F20"/>
          <w:spacing w:val="-12"/>
          <w:w w:val="110"/>
        </w:rPr>
        <w:t> </w:t>
      </w:r>
      <w:r>
        <w:rPr>
          <w:color w:val="231F20"/>
          <w:w w:val="110"/>
        </w:rPr>
        <w:t>de</w:t>
      </w:r>
      <w:r>
        <w:rPr>
          <w:color w:val="231F20"/>
          <w:spacing w:val="-12"/>
          <w:w w:val="110"/>
        </w:rPr>
        <w:t> </w:t>
      </w:r>
      <w:r>
        <w:rPr>
          <w:color w:val="231F20"/>
          <w:w w:val="110"/>
        </w:rPr>
        <w:t>ambos</w:t>
      </w:r>
      <w:r>
        <w:rPr>
          <w:color w:val="231F20"/>
          <w:spacing w:val="-12"/>
          <w:w w:val="110"/>
        </w:rPr>
        <w:t> </w:t>
      </w:r>
      <w:r>
        <w:rPr>
          <w:color w:val="231F20"/>
          <w:w w:val="110"/>
        </w:rPr>
        <w:t>sexos,</w:t>
      </w:r>
      <w:r>
        <w:rPr>
          <w:color w:val="231F20"/>
          <w:spacing w:val="-12"/>
          <w:w w:val="110"/>
        </w:rPr>
        <w:t> </w:t>
      </w:r>
      <w:r>
        <w:rPr>
          <w:color w:val="231F20"/>
          <w:w w:val="110"/>
        </w:rPr>
        <w:t>nativos</w:t>
      </w:r>
      <w:r>
        <w:rPr>
          <w:color w:val="231F20"/>
          <w:spacing w:val="-12"/>
          <w:w w:val="110"/>
        </w:rPr>
        <w:t> </w:t>
      </w:r>
      <w:r>
        <w:rPr>
          <w:color w:val="231F20"/>
          <w:w w:val="110"/>
        </w:rPr>
        <w:t>e</w:t>
      </w:r>
      <w:r>
        <w:rPr>
          <w:color w:val="231F20"/>
          <w:spacing w:val="-12"/>
          <w:w w:val="110"/>
        </w:rPr>
        <w:t> </w:t>
      </w:r>
      <w:r>
        <w:rPr>
          <w:color w:val="231F20"/>
          <w:w w:val="110"/>
        </w:rPr>
        <w:t>inmigran- tes, y la polarización de los ingresos, con efectos tendencialmente más desfavorables entre los trabajadores</w:t>
      </w:r>
      <w:r>
        <w:rPr>
          <w:color w:val="231F20"/>
          <w:spacing w:val="-35"/>
          <w:w w:val="110"/>
        </w:rPr>
        <w:t> </w:t>
      </w:r>
      <w:r>
        <w:rPr>
          <w:color w:val="231F20"/>
          <w:w w:val="110"/>
        </w:rPr>
        <w:t>masculinos.</w:t>
      </w:r>
    </w:p>
    <w:p>
      <w:pPr>
        <w:pStyle w:val="BodyText"/>
        <w:spacing w:line="261" w:lineRule="auto"/>
        <w:ind w:left="100" w:right="117" w:firstLine="240"/>
        <w:jc w:val="both"/>
      </w:pPr>
      <w:r>
        <w:rPr>
          <w:color w:val="231F20"/>
          <w:w w:val="105"/>
        </w:rPr>
        <w:t>La crisis actual debe ser considerada en el marco de las contra- dicciones generadas por el modelo neoliberal adoptado a mediados     de los años setenta, los cambios en la estructura del mercado  de  trabajo y las nuevas pautas de explotación de trabajo, basadas en la desregulación y flexibilización laboral, el incremento de la “capitali- zación externa” y la consiguiente “nueva” precarización del trabajo. Las</w:t>
      </w:r>
      <w:r>
        <w:rPr>
          <w:color w:val="231F20"/>
          <w:spacing w:val="29"/>
          <w:w w:val="105"/>
        </w:rPr>
        <w:t> </w:t>
      </w:r>
      <w:r>
        <w:rPr>
          <w:color w:val="231F20"/>
          <w:w w:val="105"/>
        </w:rPr>
        <w:t>tendencias</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mercado</w:t>
      </w:r>
      <w:r>
        <w:rPr>
          <w:color w:val="231F20"/>
          <w:spacing w:val="29"/>
          <w:w w:val="105"/>
        </w:rPr>
        <w:t> </w:t>
      </w:r>
      <w:r>
        <w:rPr>
          <w:color w:val="231F20"/>
          <w:w w:val="105"/>
        </w:rPr>
        <w:t>de</w:t>
      </w:r>
      <w:r>
        <w:rPr>
          <w:color w:val="231F20"/>
          <w:spacing w:val="29"/>
          <w:w w:val="105"/>
        </w:rPr>
        <w:t> </w:t>
      </w:r>
      <w:r>
        <w:rPr>
          <w:color w:val="231F20"/>
          <w:w w:val="105"/>
        </w:rPr>
        <w:t>trabajo</w:t>
      </w:r>
      <w:r>
        <w:rPr>
          <w:color w:val="231F20"/>
          <w:spacing w:val="29"/>
          <w:w w:val="105"/>
        </w:rPr>
        <w:t> </w:t>
      </w:r>
      <w:r>
        <w:rPr>
          <w:color w:val="231F20"/>
          <w:w w:val="105"/>
        </w:rPr>
        <w:t>y</w:t>
      </w:r>
      <w:r>
        <w:rPr>
          <w:color w:val="231F20"/>
          <w:spacing w:val="29"/>
          <w:w w:val="105"/>
        </w:rPr>
        <w:t> </w:t>
      </w:r>
      <w:r>
        <w:rPr>
          <w:color w:val="231F20"/>
          <w:w w:val="105"/>
        </w:rPr>
        <w:t>el</w:t>
      </w:r>
      <w:r>
        <w:rPr>
          <w:color w:val="231F20"/>
          <w:spacing w:val="29"/>
          <w:w w:val="105"/>
        </w:rPr>
        <w:t> </w:t>
      </w:r>
      <w:r>
        <w:rPr>
          <w:color w:val="231F20"/>
          <w:w w:val="105"/>
        </w:rPr>
        <w:t>deterioro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calidad</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de las ocupaciones están en relación directa con las transforma- ciones económicas estructurales, los procesos de reestructuración productiva y la crisis económica actual. El incremento del “trabajo precario” debe entenderse en la lógica fundamental de las nuevas formas</w:t>
      </w:r>
      <w:r>
        <w:rPr>
          <w:color w:val="231F20"/>
          <w:spacing w:val="-7"/>
          <w:w w:val="110"/>
        </w:rPr>
        <w:t> </w:t>
      </w:r>
      <w:r>
        <w:rPr>
          <w:color w:val="231F20"/>
          <w:w w:val="110"/>
        </w:rPr>
        <w:t>de</w:t>
      </w:r>
      <w:r>
        <w:rPr>
          <w:color w:val="231F20"/>
          <w:spacing w:val="-7"/>
          <w:w w:val="110"/>
        </w:rPr>
        <w:t> </w:t>
      </w:r>
      <w:r>
        <w:rPr>
          <w:color w:val="231F20"/>
          <w:w w:val="110"/>
        </w:rPr>
        <w:t>empleo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contexto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globalización</w:t>
      </w:r>
      <w:r>
        <w:rPr>
          <w:color w:val="231F20"/>
          <w:spacing w:val="-7"/>
          <w:w w:val="110"/>
        </w:rPr>
        <w:t> </w:t>
      </w:r>
      <w:r>
        <w:rPr>
          <w:color w:val="231F20"/>
          <w:w w:val="110"/>
        </w:rPr>
        <w:t>económica</w:t>
      </w:r>
      <w:r>
        <w:rPr>
          <w:color w:val="231F20"/>
          <w:spacing w:val="-7"/>
          <w:w w:val="110"/>
        </w:rPr>
        <w:t> </w:t>
      </w:r>
      <w:r>
        <w:rPr>
          <w:color w:val="231F20"/>
          <w:w w:val="110"/>
        </w:rPr>
        <w:t>y</w:t>
      </w:r>
      <w:r>
        <w:rPr>
          <w:color w:val="231F20"/>
          <w:spacing w:val="-7"/>
          <w:w w:val="110"/>
        </w:rPr>
        <w:t> </w:t>
      </w:r>
      <w:r>
        <w:rPr>
          <w:color w:val="231F20"/>
          <w:w w:val="110"/>
        </w:rPr>
        <w:t>los procesos de flexibilización introducidos con el neoliberalismo y </w:t>
      </w:r>
      <w:r>
        <w:rPr>
          <w:color w:val="231F20"/>
          <w:spacing w:val="2"/>
          <w:w w:val="110"/>
        </w:rPr>
        <w:t>las </w:t>
      </w:r>
      <w:r>
        <w:rPr>
          <w:color w:val="231F20"/>
          <w:w w:val="110"/>
        </w:rPr>
        <w:t>estrategias de optimización de ganancias, mediante la reducción de los costos de mano de obra. Los resultados presentados aportan ele- mentos</w:t>
      </w:r>
      <w:r>
        <w:rPr>
          <w:color w:val="231F20"/>
          <w:spacing w:val="-4"/>
          <w:w w:val="110"/>
        </w:rPr>
        <w:t> </w:t>
      </w:r>
      <w:r>
        <w:rPr>
          <w:color w:val="231F20"/>
          <w:w w:val="110"/>
        </w:rPr>
        <w:t>para</w:t>
      </w:r>
      <w:r>
        <w:rPr>
          <w:color w:val="231F20"/>
          <w:spacing w:val="-4"/>
          <w:w w:val="110"/>
        </w:rPr>
        <w:t> </w:t>
      </w:r>
      <w:r>
        <w:rPr>
          <w:color w:val="231F20"/>
          <w:w w:val="110"/>
        </w:rPr>
        <w:t>mantener,</w:t>
      </w:r>
      <w:r>
        <w:rPr>
          <w:color w:val="231F20"/>
          <w:spacing w:val="-4"/>
          <w:w w:val="110"/>
        </w:rPr>
        <w:t> </w:t>
      </w:r>
      <w:r>
        <w:rPr>
          <w:color w:val="231F20"/>
          <w:w w:val="110"/>
        </w:rPr>
        <w:t>y</w:t>
      </w:r>
      <w:r>
        <w:rPr>
          <w:color w:val="231F20"/>
          <w:spacing w:val="-4"/>
          <w:w w:val="110"/>
        </w:rPr>
        <w:t> </w:t>
      </w:r>
      <w:r>
        <w:rPr>
          <w:color w:val="231F20"/>
          <w:w w:val="110"/>
        </w:rPr>
        <w:t>en</w:t>
      </w:r>
      <w:r>
        <w:rPr>
          <w:color w:val="231F20"/>
          <w:spacing w:val="-4"/>
          <w:w w:val="110"/>
        </w:rPr>
        <w:t> </w:t>
      </w:r>
      <w:r>
        <w:rPr>
          <w:color w:val="231F20"/>
          <w:w w:val="110"/>
        </w:rPr>
        <w:t>lo</w:t>
      </w:r>
      <w:r>
        <w:rPr>
          <w:color w:val="231F20"/>
          <w:spacing w:val="-4"/>
          <w:w w:val="110"/>
        </w:rPr>
        <w:t> </w:t>
      </w:r>
      <w:r>
        <w:rPr>
          <w:color w:val="231F20"/>
          <w:w w:val="110"/>
        </w:rPr>
        <w:t>posible</w:t>
      </w:r>
      <w:r>
        <w:rPr>
          <w:color w:val="231F20"/>
          <w:spacing w:val="-4"/>
          <w:w w:val="110"/>
        </w:rPr>
        <w:t> </w:t>
      </w:r>
      <w:r>
        <w:rPr>
          <w:color w:val="231F20"/>
          <w:spacing w:val="-3"/>
          <w:w w:val="110"/>
        </w:rPr>
        <w:t>validar,</w:t>
      </w:r>
      <w:r>
        <w:rPr>
          <w:color w:val="231F20"/>
          <w:spacing w:val="-4"/>
          <w:w w:val="110"/>
        </w:rPr>
        <w:t> </w:t>
      </w:r>
      <w:r>
        <w:rPr>
          <w:color w:val="231F20"/>
          <w:w w:val="110"/>
        </w:rPr>
        <w:t>la</w:t>
      </w:r>
      <w:r>
        <w:rPr>
          <w:color w:val="231F20"/>
          <w:spacing w:val="-4"/>
          <w:w w:val="110"/>
        </w:rPr>
        <w:t> </w:t>
      </w:r>
      <w:r>
        <w:rPr>
          <w:color w:val="231F20"/>
          <w:w w:val="110"/>
        </w:rPr>
        <w:t>hipótesis</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los trabajadores estadunidenses enfrentan condiciones de trabajo cada vez más desfavorables, lo que pone en cuestión la viabilidad futura del modelo laboral como opción política o estrategia de</w:t>
      </w:r>
      <w:r>
        <w:rPr>
          <w:color w:val="231F20"/>
          <w:spacing w:val="-31"/>
          <w:w w:val="110"/>
        </w:rPr>
        <w:t> </w:t>
      </w:r>
      <w:r>
        <w:rPr>
          <w:color w:val="231F20"/>
          <w:w w:val="110"/>
        </w:rPr>
        <w:t>consecución de empleo y mejores condiciones de</w:t>
      </w:r>
      <w:r>
        <w:rPr>
          <w:color w:val="231F20"/>
          <w:spacing w:val="18"/>
          <w:w w:val="110"/>
        </w:rPr>
        <w:t> </w:t>
      </w:r>
      <w:r>
        <w:rPr>
          <w:color w:val="231F20"/>
          <w:w w:val="110"/>
        </w:rPr>
        <w:t>vida.</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8" w:hanging="240"/>
        <w:jc w:val="both"/>
        <w:rPr>
          <w:sz w:val="18"/>
        </w:rPr>
      </w:pPr>
      <w:r>
        <w:rPr>
          <w:color w:val="231F20"/>
          <w:w w:val="105"/>
          <w:sz w:val="18"/>
        </w:rPr>
        <w:t>Allegretto,</w:t>
      </w:r>
      <w:r>
        <w:rPr>
          <w:color w:val="231F20"/>
          <w:spacing w:val="-11"/>
          <w:w w:val="105"/>
          <w:sz w:val="18"/>
        </w:rPr>
        <w:t> </w:t>
      </w:r>
      <w:r>
        <w:rPr>
          <w:color w:val="231F20"/>
          <w:w w:val="105"/>
          <w:sz w:val="18"/>
        </w:rPr>
        <w:t>Sylvia</w:t>
      </w:r>
      <w:r>
        <w:rPr>
          <w:color w:val="231F20"/>
          <w:spacing w:val="-11"/>
          <w:w w:val="105"/>
          <w:sz w:val="18"/>
        </w:rPr>
        <w:t> </w:t>
      </w:r>
      <w:r>
        <w:rPr>
          <w:color w:val="231F20"/>
          <w:w w:val="105"/>
          <w:sz w:val="18"/>
        </w:rPr>
        <w:t>A.,</w:t>
      </w:r>
      <w:r>
        <w:rPr>
          <w:color w:val="231F20"/>
          <w:spacing w:val="-11"/>
          <w:w w:val="105"/>
          <w:sz w:val="18"/>
        </w:rPr>
        <w:t> </w:t>
      </w:r>
      <w:r>
        <w:rPr>
          <w:color w:val="231F20"/>
          <w:w w:val="105"/>
          <w:sz w:val="18"/>
        </w:rPr>
        <w:t>2007,</w:t>
      </w:r>
      <w:r>
        <w:rPr>
          <w:color w:val="231F20"/>
          <w:spacing w:val="-11"/>
          <w:w w:val="105"/>
          <w:sz w:val="18"/>
        </w:rPr>
        <w:t> </w:t>
      </w:r>
      <w:r>
        <w:rPr>
          <w:color w:val="231F20"/>
          <w:w w:val="105"/>
          <w:sz w:val="18"/>
        </w:rPr>
        <w:t>“United</w:t>
      </w:r>
      <w:r>
        <w:rPr>
          <w:color w:val="231F20"/>
          <w:spacing w:val="-11"/>
          <w:w w:val="105"/>
          <w:sz w:val="18"/>
        </w:rPr>
        <w:t> </w:t>
      </w:r>
      <w:r>
        <w:rPr>
          <w:color w:val="231F20"/>
          <w:w w:val="105"/>
          <w:sz w:val="18"/>
        </w:rPr>
        <w:t>States</w:t>
      </w:r>
      <w:r>
        <w:rPr>
          <w:color w:val="231F20"/>
          <w:spacing w:val="-11"/>
          <w:w w:val="105"/>
          <w:sz w:val="18"/>
        </w:rPr>
        <w:t> </w:t>
      </w:r>
      <w:r>
        <w:rPr>
          <w:color w:val="231F20"/>
          <w:w w:val="105"/>
          <w:sz w:val="18"/>
        </w:rPr>
        <w:t>GPN</w:t>
      </w:r>
      <w:r>
        <w:rPr>
          <w:color w:val="231F20"/>
          <w:spacing w:val="-11"/>
          <w:w w:val="105"/>
          <w:sz w:val="18"/>
        </w:rPr>
        <w:t> </w:t>
      </w:r>
      <w:r>
        <w:rPr>
          <w:color w:val="231F20"/>
          <w:w w:val="105"/>
          <w:sz w:val="18"/>
        </w:rPr>
        <w:t>Report</w:t>
      </w:r>
      <w:r>
        <w:rPr>
          <w:color w:val="231F20"/>
          <w:spacing w:val="-11"/>
          <w:w w:val="105"/>
          <w:sz w:val="18"/>
        </w:rPr>
        <w:t> </w:t>
      </w:r>
      <w:r>
        <w:rPr>
          <w:color w:val="231F20"/>
          <w:w w:val="105"/>
          <w:sz w:val="18"/>
        </w:rPr>
        <w:t>2007”,</w:t>
      </w:r>
      <w:r>
        <w:rPr>
          <w:color w:val="231F20"/>
          <w:spacing w:val="-11"/>
          <w:w w:val="105"/>
          <w:sz w:val="18"/>
        </w:rPr>
        <w:t> </w:t>
      </w:r>
      <w:r>
        <w:rPr>
          <w:color w:val="231F20"/>
          <w:w w:val="105"/>
          <w:sz w:val="18"/>
        </w:rPr>
        <w:t>en</w:t>
      </w:r>
      <w:r>
        <w:rPr>
          <w:color w:val="231F20"/>
          <w:spacing w:val="-10"/>
          <w:w w:val="105"/>
          <w:sz w:val="18"/>
        </w:rPr>
        <w:t> </w:t>
      </w:r>
      <w:r>
        <w:rPr>
          <w:i/>
          <w:color w:val="231F20"/>
          <w:w w:val="105"/>
          <w:sz w:val="18"/>
        </w:rPr>
        <w:t>Global</w:t>
      </w:r>
      <w:r>
        <w:rPr>
          <w:i/>
          <w:color w:val="231F20"/>
          <w:spacing w:val="-11"/>
          <w:w w:val="105"/>
          <w:sz w:val="18"/>
        </w:rPr>
        <w:t> </w:t>
      </w:r>
      <w:r>
        <w:rPr>
          <w:i/>
          <w:color w:val="231F20"/>
          <w:w w:val="105"/>
          <w:sz w:val="18"/>
        </w:rPr>
        <w:t>Policy </w:t>
      </w:r>
      <w:r>
        <w:rPr>
          <w:i/>
          <w:color w:val="231F20"/>
          <w:w w:val="105"/>
          <w:sz w:val="18"/>
        </w:rPr>
        <w:t>Network</w:t>
      </w:r>
      <w:r>
        <w:rPr>
          <w:color w:val="231F20"/>
          <w:w w:val="105"/>
          <w:sz w:val="18"/>
        </w:rPr>
        <w:t>, Washington, DC, 30 de</w:t>
      </w:r>
      <w:r>
        <w:rPr>
          <w:color w:val="231F20"/>
          <w:spacing w:val="20"/>
          <w:w w:val="105"/>
          <w:sz w:val="18"/>
        </w:rPr>
        <w:t> </w:t>
      </w:r>
      <w:r>
        <w:rPr>
          <w:color w:val="231F20"/>
          <w:w w:val="105"/>
          <w:sz w:val="18"/>
        </w:rPr>
        <w:t>abril.</w:t>
      </w:r>
    </w:p>
    <w:p>
      <w:pPr>
        <w:spacing w:line="254" w:lineRule="auto" w:before="1"/>
        <w:ind w:left="340" w:right="118" w:hanging="240"/>
        <w:jc w:val="both"/>
        <w:rPr>
          <w:sz w:val="18"/>
        </w:rPr>
      </w:pPr>
      <w:r>
        <w:rPr>
          <w:color w:val="231F20"/>
          <w:w w:val="110"/>
          <w:sz w:val="18"/>
        </w:rPr>
        <w:t>Annual Macroeconomic Data Base, ameco, 2011, Comunidad Económica Europea,   en   &lt;</w:t>
      </w:r>
      <w:hyperlink r:id="rId196">
        <w:r>
          <w:rPr>
            <w:color w:val="231F20"/>
            <w:w w:val="110"/>
            <w:sz w:val="18"/>
          </w:rPr>
          <w:t>http://ec.europa.eu/economy_finance/index_en.htm</w:t>
        </w:r>
      </w:hyperlink>
      <w:r>
        <w:rPr>
          <w:color w:val="231F20"/>
          <w:w w:val="110"/>
          <w:sz w:val="18"/>
        </w:rPr>
        <w:t>&gt;.</w:t>
      </w:r>
    </w:p>
    <w:p>
      <w:pPr>
        <w:spacing w:line="254" w:lineRule="auto" w:before="1"/>
        <w:ind w:left="340" w:right="117" w:hanging="240"/>
        <w:jc w:val="both"/>
        <w:rPr>
          <w:sz w:val="18"/>
        </w:rPr>
      </w:pPr>
      <w:r>
        <w:rPr>
          <w:color w:val="231F20"/>
          <w:sz w:val="18"/>
        </w:rPr>
        <w:t>Beck, Ulrich, 2000, </w:t>
      </w:r>
      <w:r>
        <w:rPr>
          <w:i/>
          <w:color w:val="231F20"/>
          <w:sz w:val="18"/>
        </w:rPr>
        <w:t>Un nuevo mundo feliz. La precarización del trabajo en la era </w:t>
      </w:r>
      <w:r>
        <w:rPr>
          <w:i/>
          <w:color w:val="231F20"/>
          <w:sz w:val="18"/>
        </w:rPr>
        <w:t>de la globalización</w:t>
      </w:r>
      <w:r>
        <w:rPr>
          <w:color w:val="231F20"/>
          <w:sz w:val="18"/>
        </w:rPr>
        <w:t>, Buenos Aires,  Paidós.</w:t>
      </w:r>
    </w:p>
    <w:p>
      <w:pPr>
        <w:spacing w:line="254" w:lineRule="auto" w:before="1"/>
        <w:ind w:left="340" w:right="123" w:hanging="240"/>
        <w:jc w:val="both"/>
        <w:rPr>
          <w:sz w:val="18"/>
        </w:rPr>
      </w:pPr>
      <w:r>
        <w:rPr>
          <w:color w:val="231F20"/>
          <w:w w:val="110"/>
          <w:sz w:val="18"/>
        </w:rPr>
        <w:t>Boltvinik, Julio, 2009, “Crisis del capitalismo mundial /II. Interpretación teórica de la crisis”, en </w:t>
      </w:r>
      <w:r>
        <w:rPr>
          <w:i/>
          <w:color w:val="231F20"/>
          <w:w w:val="110"/>
          <w:sz w:val="18"/>
        </w:rPr>
        <w:t>La Jornada</w:t>
      </w:r>
      <w:r>
        <w:rPr>
          <w:color w:val="231F20"/>
          <w:w w:val="110"/>
          <w:sz w:val="18"/>
        </w:rPr>
        <w:t>, México, 16 de enero.</w:t>
      </w:r>
    </w:p>
    <w:p>
      <w:pPr>
        <w:spacing w:line="254" w:lineRule="auto" w:before="1"/>
        <w:ind w:left="340" w:right="117" w:hanging="240"/>
        <w:jc w:val="both"/>
        <w:rPr>
          <w:sz w:val="18"/>
        </w:rPr>
      </w:pPr>
      <w:r>
        <w:rPr>
          <w:color w:val="231F20"/>
          <w:w w:val="110"/>
          <w:sz w:val="18"/>
        </w:rPr>
        <w:t>Caputo, Orlando, 2011, “Crítica a la interpretación financiera de la crisis”, Grupo de Trabajo del Consejo Latinoamericano de Ciencias Sociales: Estudios sobre Estados Unidos, Buenos Aires, clacso.</w:t>
      </w:r>
    </w:p>
    <w:p>
      <w:pPr>
        <w:spacing w:line="254" w:lineRule="auto" w:before="1"/>
        <w:ind w:left="340" w:right="117" w:hanging="240"/>
        <w:jc w:val="both"/>
        <w:rPr>
          <w:sz w:val="18"/>
        </w:rPr>
      </w:pPr>
      <w:r>
        <w:rPr>
          <w:color w:val="231F20"/>
          <w:spacing w:val="-3"/>
          <w:w w:val="105"/>
          <w:sz w:val="18"/>
        </w:rPr>
        <w:t>Carty, </w:t>
      </w:r>
      <w:r>
        <w:rPr>
          <w:color w:val="231F20"/>
          <w:w w:val="105"/>
          <w:sz w:val="18"/>
        </w:rPr>
        <w:t>Luis, 1999, “El debate sobre la calidad del empleo: El caso de los Estados Unidos de América, 1970-1990”, en Ricardo Infante, </w:t>
      </w:r>
      <w:r>
        <w:rPr>
          <w:i/>
          <w:color w:val="231F20"/>
          <w:w w:val="105"/>
          <w:sz w:val="18"/>
        </w:rPr>
        <w:t>La calidad</w:t>
      </w:r>
      <w:r>
        <w:rPr>
          <w:i/>
          <w:color w:val="231F20"/>
          <w:spacing w:val="47"/>
          <w:w w:val="105"/>
          <w:sz w:val="18"/>
        </w:rPr>
        <w:t> </w:t>
      </w:r>
      <w:r>
        <w:rPr>
          <w:i/>
          <w:color w:val="231F20"/>
          <w:sz w:val="18"/>
        </w:rPr>
        <w:t>del</w:t>
      </w:r>
      <w:r>
        <w:rPr>
          <w:i/>
          <w:color w:val="231F20"/>
          <w:spacing w:val="-24"/>
          <w:sz w:val="18"/>
        </w:rPr>
        <w:t> </w:t>
      </w:r>
      <w:r>
        <w:rPr>
          <w:i/>
          <w:color w:val="231F20"/>
          <w:sz w:val="18"/>
        </w:rPr>
        <w:t>empleo.</w:t>
      </w:r>
      <w:r>
        <w:rPr>
          <w:i/>
          <w:color w:val="231F20"/>
          <w:spacing w:val="-24"/>
          <w:sz w:val="18"/>
        </w:rPr>
        <w:t> </w:t>
      </w:r>
      <w:r>
        <w:rPr>
          <w:i/>
          <w:color w:val="231F20"/>
          <w:sz w:val="18"/>
        </w:rPr>
        <w:t>La</w:t>
      </w:r>
      <w:r>
        <w:rPr>
          <w:i/>
          <w:color w:val="231F20"/>
          <w:spacing w:val="-24"/>
          <w:sz w:val="18"/>
        </w:rPr>
        <w:t> </w:t>
      </w:r>
      <w:r>
        <w:rPr>
          <w:i/>
          <w:color w:val="231F20"/>
          <w:sz w:val="18"/>
        </w:rPr>
        <w:t>experiencia</w:t>
      </w:r>
      <w:r>
        <w:rPr>
          <w:i/>
          <w:color w:val="231F20"/>
          <w:spacing w:val="-24"/>
          <w:sz w:val="18"/>
        </w:rPr>
        <w:t> </w:t>
      </w:r>
      <w:r>
        <w:rPr>
          <w:i/>
          <w:color w:val="231F20"/>
          <w:sz w:val="18"/>
        </w:rPr>
        <w:t>de</w:t>
      </w:r>
      <w:r>
        <w:rPr>
          <w:i/>
          <w:color w:val="231F20"/>
          <w:spacing w:val="-24"/>
          <w:sz w:val="18"/>
        </w:rPr>
        <w:t> </w:t>
      </w:r>
      <w:r>
        <w:rPr>
          <w:i/>
          <w:color w:val="231F20"/>
          <w:sz w:val="18"/>
        </w:rPr>
        <w:t>los</w:t>
      </w:r>
      <w:r>
        <w:rPr>
          <w:i/>
          <w:color w:val="231F20"/>
          <w:spacing w:val="-24"/>
          <w:sz w:val="18"/>
        </w:rPr>
        <w:t> </w:t>
      </w:r>
      <w:r>
        <w:rPr>
          <w:i/>
          <w:color w:val="231F20"/>
          <w:sz w:val="18"/>
        </w:rPr>
        <w:t>países</w:t>
      </w:r>
      <w:r>
        <w:rPr>
          <w:i/>
          <w:color w:val="231F20"/>
          <w:spacing w:val="-24"/>
          <w:sz w:val="18"/>
        </w:rPr>
        <w:t> </w:t>
      </w:r>
      <w:r>
        <w:rPr>
          <w:i/>
          <w:color w:val="231F20"/>
          <w:sz w:val="18"/>
        </w:rPr>
        <w:t>latinoamericanos</w:t>
      </w:r>
      <w:r>
        <w:rPr>
          <w:i/>
          <w:color w:val="231F20"/>
          <w:spacing w:val="-24"/>
          <w:sz w:val="18"/>
        </w:rPr>
        <w:t> </w:t>
      </w:r>
      <w:r>
        <w:rPr>
          <w:i/>
          <w:color w:val="231F20"/>
          <w:sz w:val="18"/>
        </w:rPr>
        <w:t>y</w:t>
      </w:r>
      <w:r>
        <w:rPr>
          <w:i/>
          <w:color w:val="231F20"/>
          <w:spacing w:val="-24"/>
          <w:sz w:val="18"/>
        </w:rPr>
        <w:t> </w:t>
      </w:r>
      <w:r>
        <w:rPr>
          <w:i/>
          <w:color w:val="231F20"/>
          <w:sz w:val="18"/>
        </w:rPr>
        <w:t>de</w:t>
      </w:r>
      <w:r>
        <w:rPr>
          <w:i/>
          <w:color w:val="231F20"/>
          <w:spacing w:val="-24"/>
          <w:sz w:val="18"/>
        </w:rPr>
        <w:t> </w:t>
      </w:r>
      <w:r>
        <w:rPr>
          <w:i/>
          <w:color w:val="231F20"/>
          <w:sz w:val="18"/>
        </w:rPr>
        <w:t>los</w:t>
      </w:r>
      <w:r>
        <w:rPr>
          <w:i/>
          <w:color w:val="231F20"/>
          <w:spacing w:val="-24"/>
          <w:sz w:val="18"/>
        </w:rPr>
        <w:t> </w:t>
      </w:r>
      <w:r>
        <w:rPr>
          <w:i/>
          <w:color w:val="231F20"/>
          <w:sz w:val="18"/>
        </w:rPr>
        <w:t>Estados</w:t>
      </w:r>
      <w:r>
        <w:rPr>
          <w:i/>
          <w:color w:val="231F20"/>
          <w:spacing w:val="-24"/>
          <w:sz w:val="18"/>
        </w:rPr>
        <w:t> </w:t>
      </w:r>
      <w:r>
        <w:rPr>
          <w:i/>
          <w:color w:val="231F20"/>
          <w:sz w:val="18"/>
        </w:rPr>
        <w:t>Unidos</w:t>
      </w:r>
      <w:r>
        <w:rPr>
          <w:color w:val="231F20"/>
          <w:sz w:val="18"/>
        </w:rPr>
        <w:t>, </w:t>
      </w:r>
      <w:r>
        <w:rPr>
          <w:color w:val="231F20"/>
          <w:w w:val="105"/>
          <w:sz w:val="18"/>
        </w:rPr>
        <w:t>Santiago  de  Chile, </w:t>
      </w:r>
      <w:r>
        <w:rPr>
          <w:color w:val="231F20"/>
          <w:spacing w:val="3"/>
          <w:w w:val="105"/>
          <w:sz w:val="18"/>
        </w:rPr>
        <w:t> </w:t>
      </w:r>
      <w:r>
        <w:rPr>
          <w:color w:val="231F20"/>
          <w:w w:val="105"/>
          <w:sz w:val="18"/>
        </w:rPr>
        <w:t>oit.</w:t>
      </w:r>
    </w:p>
    <w:p>
      <w:pPr>
        <w:spacing w:line="254" w:lineRule="auto" w:before="1"/>
        <w:ind w:left="340" w:right="119" w:hanging="240"/>
        <w:jc w:val="both"/>
        <w:rPr>
          <w:sz w:val="18"/>
        </w:rPr>
      </w:pPr>
      <w:r>
        <w:rPr>
          <w:color w:val="231F20"/>
          <w:w w:val="105"/>
          <w:sz w:val="18"/>
        </w:rPr>
        <w:t>Castillo Fernández, Dídimo, 2007, “Hegemony and the U.S. Labor Model”, </w:t>
      </w:r>
      <w:r>
        <w:rPr>
          <w:color w:val="231F20"/>
          <w:spacing w:val="47"/>
          <w:w w:val="105"/>
          <w:sz w:val="18"/>
        </w:rPr>
        <w:t> </w:t>
      </w:r>
      <w:r>
        <w:rPr>
          <w:color w:val="231F20"/>
          <w:w w:val="105"/>
          <w:sz w:val="18"/>
        </w:rPr>
        <w:t>en </w:t>
      </w:r>
      <w:r>
        <w:rPr>
          <w:i/>
          <w:color w:val="231F20"/>
          <w:w w:val="105"/>
          <w:sz w:val="18"/>
        </w:rPr>
        <w:t>Latin American Perspective</w:t>
      </w:r>
      <w:r>
        <w:rPr>
          <w:color w:val="231F20"/>
          <w:w w:val="105"/>
          <w:sz w:val="18"/>
        </w:rPr>
        <w:t>, Isseu 152, vol. 34, núm. 1, enero, CA, lap Editorial.</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w:t>
      </w:r>
      <w:r>
        <w:rPr>
          <w:color w:val="231F20"/>
          <w:spacing w:val="-8"/>
          <w:sz w:val="18"/>
        </w:rPr>
        <w:t> </w:t>
      </w:r>
      <w:r>
        <w:rPr>
          <w:color w:val="231F20"/>
          <w:sz w:val="18"/>
        </w:rPr>
        <w:t>2009a,</w:t>
      </w:r>
      <w:r>
        <w:rPr>
          <w:color w:val="231F20"/>
          <w:spacing w:val="-8"/>
          <w:sz w:val="18"/>
        </w:rPr>
        <w:t> </w:t>
      </w:r>
      <w:r>
        <w:rPr>
          <w:i/>
          <w:color w:val="231F20"/>
          <w:sz w:val="18"/>
        </w:rPr>
        <w:t>Los</w:t>
      </w:r>
      <w:r>
        <w:rPr>
          <w:i/>
          <w:color w:val="231F20"/>
          <w:spacing w:val="-8"/>
          <w:sz w:val="18"/>
        </w:rPr>
        <w:t> </w:t>
      </w:r>
      <w:r>
        <w:rPr>
          <w:i/>
          <w:color w:val="231F20"/>
          <w:sz w:val="18"/>
        </w:rPr>
        <w:t>nuevos</w:t>
      </w:r>
      <w:r>
        <w:rPr>
          <w:i/>
          <w:color w:val="231F20"/>
          <w:spacing w:val="-8"/>
          <w:sz w:val="18"/>
        </w:rPr>
        <w:t> </w:t>
      </w:r>
      <w:r>
        <w:rPr>
          <w:i/>
          <w:color w:val="231F20"/>
          <w:sz w:val="18"/>
        </w:rPr>
        <w:t>trabajadores</w:t>
      </w:r>
      <w:r>
        <w:rPr>
          <w:i/>
          <w:color w:val="231F20"/>
          <w:spacing w:val="-8"/>
          <w:sz w:val="18"/>
        </w:rPr>
        <w:t> </w:t>
      </w:r>
      <w:r>
        <w:rPr>
          <w:i/>
          <w:color w:val="231F20"/>
          <w:sz w:val="18"/>
        </w:rPr>
        <w:t>precarios</w:t>
      </w:r>
      <w:r>
        <w:rPr>
          <w:color w:val="231F20"/>
          <w:sz w:val="18"/>
        </w:rPr>
        <w:t>,</w:t>
      </w:r>
      <w:r>
        <w:rPr>
          <w:color w:val="231F20"/>
          <w:spacing w:val="-8"/>
          <w:sz w:val="18"/>
        </w:rPr>
        <w:t> </w:t>
      </w:r>
      <w:r>
        <w:rPr>
          <w:color w:val="231F20"/>
          <w:sz w:val="18"/>
        </w:rPr>
        <w:t>Miguel</w:t>
      </w:r>
      <w:r>
        <w:rPr>
          <w:color w:val="231F20"/>
          <w:spacing w:val="-8"/>
          <w:sz w:val="18"/>
        </w:rPr>
        <w:t> </w:t>
      </w:r>
      <w:r>
        <w:rPr>
          <w:color w:val="231F20"/>
          <w:sz w:val="18"/>
        </w:rPr>
        <w:t>Ángel</w:t>
      </w:r>
      <w:r>
        <w:rPr>
          <w:color w:val="231F20"/>
          <w:spacing w:val="-8"/>
          <w:sz w:val="18"/>
        </w:rPr>
        <w:t> </w:t>
      </w:r>
      <w:r>
        <w:rPr>
          <w:color w:val="231F20"/>
          <w:sz w:val="18"/>
        </w:rPr>
        <w:t>Porrúa-Universidad Autónoma  del  Estado  de  México,  </w:t>
      </w:r>
      <w:r>
        <w:rPr>
          <w:color w:val="231F20"/>
          <w:spacing w:val="7"/>
          <w:sz w:val="18"/>
        </w:rPr>
        <w:t> </w:t>
      </w:r>
      <w:r>
        <w:rPr>
          <w:color w:val="231F20"/>
          <w:sz w:val="18"/>
        </w:rPr>
        <w:t>México.</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2009b, “América Latina: Auge de la globalización y crisis del neolibe- ralismo”,</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José</w:t>
      </w:r>
      <w:r>
        <w:rPr>
          <w:color w:val="231F20"/>
          <w:spacing w:val="-18"/>
          <w:w w:val="105"/>
          <w:sz w:val="18"/>
        </w:rPr>
        <w:t> </w:t>
      </w:r>
      <w:r>
        <w:rPr>
          <w:color w:val="231F20"/>
          <w:w w:val="105"/>
          <w:sz w:val="18"/>
        </w:rPr>
        <w:t>Vicente</w:t>
      </w:r>
      <w:r>
        <w:rPr>
          <w:color w:val="231F20"/>
          <w:spacing w:val="-18"/>
          <w:w w:val="105"/>
          <w:sz w:val="18"/>
        </w:rPr>
        <w:t> </w:t>
      </w:r>
      <w:r>
        <w:rPr>
          <w:color w:val="231F20"/>
          <w:spacing w:val="-3"/>
          <w:w w:val="105"/>
          <w:sz w:val="18"/>
        </w:rPr>
        <w:t>Tavares</w:t>
      </w:r>
      <w:r>
        <w:rPr>
          <w:color w:val="231F20"/>
          <w:spacing w:val="-18"/>
          <w:w w:val="105"/>
          <w:sz w:val="18"/>
        </w:rPr>
        <w:t> </w:t>
      </w:r>
      <w:r>
        <w:rPr>
          <w:color w:val="231F20"/>
          <w:w w:val="105"/>
          <w:sz w:val="18"/>
        </w:rPr>
        <w:t>dos</w:t>
      </w:r>
      <w:r>
        <w:rPr>
          <w:color w:val="231F20"/>
          <w:spacing w:val="-18"/>
          <w:w w:val="105"/>
          <w:sz w:val="18"/>
        </w:rPr>
        <w:t> </w:t>
      </w:r>
      <w:r>
        <w:rPr>
          <w:color w:val="231F20"/>
          <w:w w:val="105"/>
          <w:sz w:val="18"/>
        </w:rPr>
        <w:t>Santos,</w:t>
      </w:r>
      <w:r>
        <w:rPr>
          <w:color w:val="231F20"/>
          <w:spacing w:val="-18"/>
          <w:w w:val="105"/>
          <w:sz w:val="18"/>
        </w:rPr>
        <w:t> </w:t>
      </w:r>
      <w:r>
        <w:rPr>
          <w:i/>
          <w:color w:val="231F20"/>
          <w:w w:val="105"/>
          <w:sz w:val="18"/>
        </w:rPr>
        <w:t>Democracia,</w:t>
      </w:r>
      <w:r>
        <w:rPr>
          <w:i/>
          <w:color w:val="231F20"/>
          <w:spacing w:val="-18"/>
          <w:w w:val="105"/>
          <w:sz w:val="18"/>
        </w:rPr>
        <w:t> </w:t>
      </w:r>
      <w:r>
        <w:rPr>
          <w:i/>
          <w:color w:val="231F20"/>
          <w:w w:val="105"/>
          <w:sz w:val="18"/>
        </w:rPr>
        <w:t>Violencias</w:t>
      </w:r>
      <w:r>
        <w:rPr>
          <w:i/>
          <w:color w:val="231F20"/>
          <w:spacing w:val="-18"/>
          <w:w w:val="105"/>
          <w:sz w:val="18"/>
        </w:rPr>
        <w:t> </w:t>
      </w:r>
      <w:r>
        <w:rPr>
          <w:i/>
          <w:color w:val="231F20"/>
          <w:w w:val="105"/>
          <w:sz w:val="18"/>
        </w:rPr>
        <w:t>e</w:t>
      </w:r>
      <w:r>
        <w:rPr>
          <w:i/>
          <w:color w:val="231F20"/>
          <w:spacing w:val="-18"/>
          <w:w w:val="105"/>
          <w:sz w:val="18"/>
        </w:rPr>
        <w:t> </w:t>
      </w:r>
      <w:r>
        <w:rPr>
          <w:i/>
          <w:color w:val="231F20"/>
          <w:w w:val="105"/>
          <w:sz w:val="18"/>
        </w:rPr>
        <w:t>Lutas </w:t>
      </w:r>
      <w:r>
        <w:rPr>
          <w:i/>
          <w:color w:val="231F20"/>
          <w:w w:val="105"/>
          <w:sz w:val="18"/>
        </w:rPr>
        <w:t>Sociales na América Latina</w:t>
      </w:r>
      <w:r>
        <w:rPr>
          <w:color w:val="231F20"/>
          <w:w w:val="105"/>
          <w:sz w:val="18"/>
        </w:rPr>
        <w:t>, Brasil, Universidade Federal do Rio Grande</w:t>
      </w:r>
      <w:r>
        <w:rPr>
          <w:color w:val="231F20"/>
          <w:spacing w:val="47"/>
          <w:w w:val="105"/>
          <w:sz w:val="18"/>
        </w:rPr>
        <w:t> </w:t>
      </w:r>
      <w:r>
        <w:rPr>
          <w:color w:val="231F20"/>
          <w:w w:val="105"/>
          <w:sz w:val="18"/>
        </w:rPr>
        <w:t>do</w:t>
      </w:r>
      <w:r>
        <w:rPr>
          <w:color w:val="231F20"/>
          <w:spacing w:val="22"/>
          <w:w w:val="105"/>
          <w:sz w:val="18"/>
        </w:rPr>
        <w:t> </w:t>
      </w:r>
      <w:r>
        <w:rPr>
          <w:color w:val="231F20"/>
          <w:w w:val="105"/>
          <w:sz w:val="18"/>
        </w:rPr>
        <w:t>Sul.</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 2010a, “Hegemonía y clase obrera de Estados Unidos”, en Marco A. Gandásegui,  hijo  y  Dídimo  Castillo  Fernández  (coord.),  </w:t>
      </w:r>
      <w:r>
        <w:rPr>
          <w:i/>
          <w:color w:val="231F20"/>
          <w:sz w:val="18"/>
        </w:rPr>
        <w:t>Estados  Unidos:  </w:t>
      </w:r>
      <w:r>
        <w:rPr>
          <w:i/>
          <w:color w:val="231F20"/>
          <w:sz w:val="18"/>
        </w:rPr>
        <w:t>la crisis sistémica y las nuevas condiciones de legitimación</w:t>
      </w:r>
      <w:r>
        <w:rPr>
          <w:color w:val="231F20"/>
          <w:sz w:val="18"/>
        </w:rPr>
        <w:t>, México, Siglo XXI Editores.</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 2010b, “Crisis económica actual e inserción laboral de los migrantes la-  tinos</w:t>
      </w:r>
      <w:r>
        <w:rPr>
          <w:color w:val="231F20"/>
          <w:spacing w:val="-5"/>
          <w:sz w:val="18"/>
        </w:rPr>
        <w:t> </w:t>
      </w:r>
      <w:r>
        <w:rPr>
          <w:color w:val="231F20"/>
          <w:sz w:val="18"/>
        </w:rPr>
        <w:t>en</w:t>
      </w:r>
      <w:r>
        <w:rPr>
          <w:color w:val="231F20"/>
          <w:spacing w:val="-5"/>
          <w:sz w:val="18"/>
        </w:rPr>
        <w:t> </w:t>
      </w:r>
      <w:r>
        <w:rPr>
          <w:color w:val="231F20"/>
          <w:sz w:val="18"/>
        </w:rPr>
        <w:t>Estados</w:t>
      </w:r>
      <w:r>
        <w:rPr>
          <w:color w:val="231F20"/>
          <w:spacing w:val="-5"/>
          <w:sz w:val="18"/>
        </w:rPr>
        <w:t> </w:t>
      </w:r>
      <w:r>
        <w:rPr>
          <w:color w:val="231F20"/>
          <w:sz w:val="18"/>
        </w:rPr>
        <w:t>Unidos”,</w:t>
      </w:r>
      <w:r>
        <w:rPr>
          <w:color w:val="231F20"/>
          <w:spacing w:val="-5"/>
          <w:sz w:val="18"/>
        </w:rPr>
        <w:t> </w:t>
      </w:r>
      <w:r>
        <w:rPr>
          <w:i/>
          <w:color w:val="231F20"/>
          <w:sz w:val="18"/>
        </w:rPr>
        <w:t>X</w:t>
      </w:r>
      <w:r>
        <w:rPr>
          <w:i/>
          <w:color w:val="231F20"/>
          <w:spacing w:val="-5"/>
          <w:sz w:val="18"/>
        </w:rPr>
        <w:t> </w:t>
      </w:r>
      <w:r>
        <w:rPr>
          <w:i/>
          <w:color w:val="231F20"/>
          <w:sz w:val="18"/>
        </w:rPr>
        <w:t>Reunión</w:t>
      </w:r>
      <w:r>
        <w:rPr>
          <w:i/>
          <w:color w:val="231F20"/>
          <w:spacing w:val="-5"/>
          <w:sz w:val="18"/>
        </w:rPr>
        <w:t> </w:t>
      </w:r>
      <w:r>
        <w:rPr>
          <w:i/>
          <w:color w:val="231F20"/>
          <w:sz w:val="18"/>
        </w:rPr>
        <w:t>Nacional</w:t>
      </w:r>
      <w:r>
        <w:rPr>
          <w:i/>
          <w:color w:val="231F20"/>
          <w:spacing w:val="-5"/>
          <w:sz w:val="18"/>
        </w:rPr>
        <w:t> </w:t>
      </w:r>
      <w:r>
        <w:rPr>
          <w:i/>
          <w:color w:val="231F20"/>
          <w:sz w:val="18"/>
        </w:rPr>
        <w:t>de</w:t>
      </w:r>
      <w:r>
        <w:rPr>
          <w:i/>
          <w:color w:val="231F20"/>
          <w:spacing w:val="-5"/>
          <w:sz w:val="18"/>
        </w:rPr>
        <w:t> </w:t>
      </w:r>
      <w:r>
        <w:rPr>
          <w:i/>
          <w:color w:val="231F20"/>
          <w:sz w:val="18"/>
        </w:rPr>
        <w:t>Investigación</w:t>
      </w:r>
      <w:r>
        <w:rPr>
          <w:i/>
          <w:color w:val="231F20"/>
          <w:spacing w:val="-5"/>
          <w:sz w:val="18"/>
        </w:rPr>
        <w:t> </w:t>
      </w:r>
      <w:r>
        <w:rPr>
          <w:i/>
          <w:color w:val="231F20"/>
          <w:sz w:val="18"/>
        </w:rPr>
        <w:t>Demográfica</w:t>
      </w:r>
      <w:r>
        <w:rPr>
          <w:i/>
          <w:color w:val="231F20"/>
          <w:spacing w:val="-5"/>
          <w:sz w:val="18"/>
        </w:rPr>
        <w:t> </w:t>
      </w:r>
      <w:r>
        <w:rPr>
          <w:i/>
          <w:color w:val="231F20"/>
          <w:sz w:val="18"/>
        </w:rPr>
        <w:t>en </w:t>
      </w:r>
      <w:r>
        <w:rPr>
          <w:i/>
          <w:color w:val="231F20"/>
          <w:sz w:val="18"/>
        </w:rPr>
        <w:t>México.</w:t>
      </w:r>
      <w:r>
        <w:rPr>
          <w:i/>
          <w:color w:val="231F20"/>
          <w:spacing w:val="-26"/>
          <w:sz w:val="18"/>
        </w:rPr>
        <w:t> </w:t>
      </w:r>
      <w:r>
        <w:rPr>
          <w:i/>
          <w:color w:val="231F20"/>
          <w:sz w:val="18"/>
        </w:rPr>
        <w:t>Escenarios</w:t>
      </w:r>
      <w:r>
        <w:rPr>
          <w:i/>
          <w:color w:val="231F20"/>
          <w:spacing w:val="-26"/>
          <w:sz w:val="18"/>
        </w:rPr>
        <w:t> </w:t>
      </w:r>
      <w:r>
        <w:rPr>
          <w:i/>
          <w:color w:val="231F20"/>
          <w:sz w:val="18"/>
        </w:rPr>
        <w:t>Demográficos</w:t>
      </w:r>
      <w:r>
        <w:rPr>
          <w:i/>
          <w:color w:val="231F20"/>
          <w:spacing w:val="-26"/>
          <w:sz w:val="18"/>
        </w:rPr>
        <w:t> </w:t>
      </w:r>
      <w:r>
        <w:rPr>
          <w:i/>
          <w:color w:val="231F20"/>
          <w:sz w:val="18"/>
        </w:rPr>
        <w:t>y</w:t>
      </w:r>
      <w:r>
        <w:rPr>
          <w:i/>
          <w:color w:val="231F20"/>
          <w:spacing w:val="-26"/>
          <w:sz w:val="18"/>
        </w:rPr>
        <w:t> </w:t>
      </w:r>
      <w:r>
        <w:rPr>
          <w:i/>
          <w:color w:val="231F20"/>
          <w:sz w:val="18"/>
        </w:rPr>
        <w:t>Política</w:t>
      </w:r>
      <w:r>
        <w:rPr>
          <w:i/>
          <w:color w:val="231F20"/>
          <w:spacing w:val="-26"/>
          <w:sz w:val="18"/>
        </w:rPr>
        <w:t> </w:t>
      </w:r>
      <w:r>
        <w:rPr>
          <w:i/>
          <w:color w:val="231F20"/>
          <w:sz w:val="18"/>
        </w:rPr>
        <w:t>de</w:t>
      </w:r>
      <w:r>
        <w:rPr>
          <w:i/>
          <w:color w:val="231F20"/>
          <w:spacing w:val="-26"/>
          <w:sz w:val="18"/>
        </w:rPr>
        <w:t> </w:t>
      </w:r>
      <w:r>
        <w:rPr>
          <w:i/>
          <w:color w:val="231F20"/>
          <w:sz w:val="18"/>
        </w:rPr>
        <w:t>Población</w:t>
      </w:r>
      <w:r>
        <w:rPr>
          <w:i/>
          <w:color w:val="231F20"/>
          <w:spacing w:val="-26"/>
          <w:sz w:val="18"/>
        </w:rPr>
        <w:t> </w:t>
      </w:r>
      <w:r>
        <w:rPr>
          <w:i/>
          <w:color w:val="231F20"/>
          <w:sz w:val="18"/>
        </w:rPr>
        <w:t>en</w:t>
      </w:r>
      <w:r>
        <w:rPr>
          <w:i/>
          <w:color w:val="231F20"/>
          <w:spacing w:val="-26"/>
          <w:sz w:val="18"/>
        </w:rPr>
        <w:t> </w:t>
      </w:r>
      <w:r>
        <w:rPr>
          <w:i/>
          <w:color w:val="231F20"/>
          <w:sz w:val="18"/>
        </w:rPr>
        <w:t>el</w:t>
      </w:r>
      <w:r>
        <w:rPr>
          <w:i/>
          <w:color w:val="231F20"/>
          <w:spacing w:val="-26"/>
          <w:sz w:val="18"/>
        </w:rPr>
        <w:t> </w:t>
      </w:r>
      <w:r>
        <w:rPr>
          <w:i/>
          <w:color w:val="231F20"/>
          <w:sz w:val="18"/>
        </w:rPr>
        <w:t>siglo</w:t>
      </w:r>
      <w:r>
        <w:rPr>
          <w:i/>
          <w:color w:val="231F20"/>
          <w:spacing w:val="-26"/>
          <w:sz w:val="18"/>
        </w:rPr>
        <w:t> </w:t>
      </w:r>
      <w:r>
        <w:rPr>
          <w:color w:val="231F20"/>
          <w:sz w:val="18"/>
        </w:rPr>
        <w:t>xxi,</w:t>
      </w:r>
      <w:r>
        <w:rPr>
          <w:color w:val="231F20"/>
          <w:spacing w:val="-26"/>
          <w:sz w:val="18"/>
        </w:rPr>
        <w:t> </w:t>
      </w:r>
      <w:r>
        <w:rPr>
          <w:color w:val="231F20"/>
          <w:sz w:val="18"/>
        </w:rPr>
        <w:t>Sociedad Mexicana  de  Demografía,  México,  somede,  5  de   </w:t>
      </w:r>
      <w:r>
        <w:rPr>
          <w:color w:val="231F20"/>
          <w:spacing w:val="20"/>
          <w:sz w:val="18"/>
        </w:rPr>
        <w:t> </w:t>
      </w:r>
      <w:r>
        <w:rPr>
          <w:color w:val="231F20"/>
          <w:sz w:val="18"/>
        </w:rPr>
        <w:t>noviembre.</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w:t>
      </w:r>
      <w:r>
        <w:rPr>
          <w:color w:val="231F20"/>
          <w:spacing w:val="-5"/>
          <w:w w:val="105"/>
          <w:sz w:val="18"/>
        </w:rPr>
        <w:t> </w:t>
      </w:r>
      <w:r>
        <w:rPr>
          <w:color w:val="231F20"/>
          <w:w w:val="105"/>
          <w:sz w:val="18"/>
        </w:rPr>
        <w:t>2011,</w:t>
      </w:r>
      <w:r>
        <w:rPr>
          <w:color w:val="231F20"/>
          <w:spacing w:val="-5"/>
          <w:w w:val="105"/>
          <w:sz w:val="18"/>
        </w:rPr>
        <w:t> </w:t>
      </w:r>
      <w:r>
        <w:rPr>
          <w:color w:val="231F20"/>
          <w:w w:val="105"/>
          <w:sz w:val="18"/>
        </w:rPr>
        <w:t>“Hegemony</w:t>
      </w:r>
      <w:r>
        <w:rPr>
          <w:color w:val="231F20"/>
          <w:spacing w:val="-5"/>
          <w:w w:val="105"/>
          <w:sz w:val="18"/>
        </w:rPr>
        <w:t> </w:t>
      </w:r>
      <w:r>
        <w:rPr>
          <w:color w:val="231F20"/>
          <w:w w:val="105"/>
          <w:sz w:val="18"/>
        </w:rPr>
        <w:t>and</w:t>
      </w:r>
      <w:r>
        <w:rPr>
          <w:color w:val="231F20"/>
          <w:spacing w:val="-5"/>
          <w:w w:val="105"/>
          <w:sz w:val="18"/>
        </w:rPr>
        <w:t> </w:t>
      </w:r>
      <w:r>
        <w:rPr>
          <w:color w:val="231F20"/>
          <w:w w:val="105"/>
          <w:sz w:val="18"/>
        </w:rPr>
        <w:t>the</w:t>
      </w:r>
      <w:r>
        <w:rPr>
          <w:color w:val="231F20"/>
          <w:spacing w:val="-5"/>
          <w:w w:val="105"/>
          <w:sz w:val="18"/>
        </w:rPr>
        <w:t> </w:t>
      </w:r>
      <w:r>
        <w:rPr>
          <w:color w:val="231F20"/>
          <w:w w:val="105"/>
          <w:sz w:val="18"/>
        </w:rPr>
        <w:t>U.S.</w:t>
      </w:r>
      <w:r>
        <w:rPr>
          <w:color w:val="231F20"/>
          <w:spacing w:val="-5"/>
          <w:w w:val="105"/>
          <w:sz w:val="18"/>
        </w:rPr>
        <w:t> </w:t>
      </w:r>
      <w:r>
        <w:rPr>
          <w:color w:val="231F20"/>
          <w:w w:val="105"/>
          <w:sz w:val="18"/>
        </w:rPr>
        <w:t>Working</w:t>
      </w:r>
      <w:r>
        <w:rPr>
          <w:color w:val="231F20"/>
          <w:spacing w:val="-5"/>
          <w:w w:val="105"/>
          <w:sz w:val="18"/>
        </w:rPr>
        <w:t> </w:t>
      </w:r>
      <w:r>
        <w:rPr>
          <w:color w:val="231F20"/>
          <w:w w:val="105"/>
          <w:sz w:val="18"/>
        </w:rPr>
        <w:t>Class”,</w:t>
      </w:r>
      <w:r>
        <w:rPr>
          <w:color w:val="231F20"/>
          <w:spacing w:val="-5"/>
          <w:w w:val="105"/>
          <w:sz w:val="18"/>
        </w:rPr>
        <w:t> </w:t>
      </w:r>
      <w:r>
        <w:rPr>
          <w:color w:val="231F20"/>
          <w:w w:val="105"/>
          <w:sz w:val="18"/>
        </w:rPr>
        <w:t>en</w:t>
      </w:r>
      <w:r>
        <w:rPr>
          <w:color w:val="231F20"/>
          <w:spacing w:val="-5"/>
          <w:w w:val="105"/>
          <w:sz w:val="18"/>
        </w:rPr>
        <w:t> </w:t>
      </w:r>
      <w:r>
        <w:rPr>
          <w:i/>
          <w:color w:val="231F20"/>
          <w:w w:val="105"/>
          <w:sz w:val="18"/>
        </w:rPr>
        <w:t>Latin</w:t>
      </w:r>
      <w:r>
        <w:rPr>
          <w:i/>
          <w:color w:val="231F20"/>
          <w:spacing w:val="-5"/>
          <w:w w:val="105"/>
          <w:sz w:val="18"/>
        </w:rPr>
        <w:t> </w:t>
      </w:r>
      <w:r>
        <w:rPr>
          <w:i/>
          <w:color w:val="231F20"/>
          <w:w w:val="105"/>
          <w:sz w:val="18"/>
        </w:rPr>
        <w:t>American</w:t>
      </w:r>
      <w:r>
        <w:rPr>
          <w:i/>
          <w:color w:val="231F20"/>
          <w:spacing w:val="-5"/>
          <w:w w:val="105"/>
          <w:sz w:val="18"/>
        </w:rPr>
        <w:t> </w:t>
      </w:r>
      <w:r>
        <w:rPr>
          <w:i/>
          <w:color w:val="231F20"/>
          <w:w w:val="105"/>
          <w:sz w:val="18"/>
        </w:rPr>
        <w:t>Pers- </w:t>
      </w:r>
      <w:r>
        <w:rPr>
          <w:i/>
          <w:color w:val="231F20"/>
          <w:w w:val="105"/>
          <w:sz w:val="18"/>
        </w:rPr>
        <w:t>pectives</w:t>
      </w:r>
      <w:r>
        <w:rPr>
          <w:color w:val="231F20"/>
          <w:w w:val="105"/>
          <w:sz w:val="18"/>
        </w:rPr>
        <w:t>, vol. 38(2),</w:t>
      </w:r>
      <w:r>
        <w:rPr>
          <w:color w:val="231F20"/>
          <w:spacing w:val="-24"/>
          <w:w w:val="105"/>
          <w:sz w:val="18"/>
        </w:rPr>
        <w:t> </w:t>
      </w:r>
      <w:r>
        <w:rPr>
          <w:color w:val="231F20"/>
          <w:w w:val="105"/>
          <w:sz w:val="18"/>
        </w:rPr>
        <w:t>marzo.</w:t>
      </w:r>
    </w:p>
    <w:p>
      <w:pPr>
        <w:spacing w:line="254" w:lineRule="auto" w:before="1"/>
        <w:ind w:left="340" w:right="117" w:hanging="240"/>
        <w:jc w:val="both"/>
        <w:rPr>
          <w:sz w:val="18"/>
        </w:rPr>
      </w:pPr>
      <w:r>
        <w:rPr>
          <w:color w:val="231F20"/>
          <w:sz w:val="18"/>
        </w:rPr>
        <w:t>Cranford, Cynthia J., Leah F. Vosko y Nancy Zukewich, 2003, </w:t>
      </w:r>
      <w:r>
        <w:rPr>
          <w:i/>
          <w:color w:val="231F20"/>
          <w:sz w:val="18"/>
        </w:rPr>
        <w:t>The Gender of </w:t>
      </w:r>
      <w:r>
        <w:rPr>
          <w:i/>
          <w:color w:val="231F20"/>
          <w:sz w:val="18"/>
        </w:rPr>
        <w:t>Precarious Employment in Canada</w:t>
      </w:r>
      <w:r>
        <w:rPr>
          <w:color w:val="231F20"/>
          <w:sz w:val="18"/>
        </w:rPr>
        <w:t>, Canada, Fall.</w:t>
      </w:r>
    </w:p>
    <w:p>
      <w:pPr>
        <w:spacing w:line="254" w:lineRule="auto" w:before="1"/>
        <w:ind w:left="340" w:right="116" w:hanging="240"/>
        <w:jc w:val="both"/>
        <w:rPr>
          <w:sz w:val="18"/>
        </w:rPr>
      </w:pPr>
      <w:r>
        <w:rPr>
          <w:color w:val="231F20"/>
          <w:w w:val="105"/>
          <w:sz w:val="18"/>
        </w:rPr>
        <w:t>Crawford, Stephen y Shawn Fremstad, 2010, “El indicador de privación material. Un instrumento mejor para el estudio de la pobreza”, en </w:t>
      </w:r>
      <w:r>
        <w:rPr>
          <w:i/>
          <w:color w:val="231F20"/>
          <w:w w:val="105"/>
          <w:sz w:val="18"/>
        </w:rPr>
        <w:t>Sin </w:t>
      </w:r>
      <w:r>
        <w:rPr>
          <w:i/>
          <w:color w:val="231F20"/>
          <w:w w:val="105"/>
          <w:sz w:val="18"/>
        </w:rPr>
        <w:t>Permiso</w:t>
      </w:r>
      <w:r>
        <w:rPr>
          <w:color w:val="231F20"/>
          <w:w w:val="105"/>
          <w:sz w:val="18"/>
        </w:rPr>
        <w:t>, 26 de septiembre.</w:t>
      </w:r>
    </w:p>
    <w:p>
      <w:pPr>
        <w:spacing w:line="254" w:lineRule="auto" w:before="1"/>
        <w:ind w:left="340" w:right="117" w:hanging="240"/>
        <w:jc w:val="both"/>
        <w:rPr>
          <w:sz w:val="18"/>
        </w:rPr>
      </w:pPr>
      <w:r>
        <w:rPr>
          <w:color w:val="231F20"/>
          <w:w w:val="105"/>
          <w:sz w:val="18"/>
        </w:rPr>
        <w:t>Dabat, Alejandro, 2009, “Estados Unidos, la crisis financiera y sus conse- cuencias internacionales”, en </w:t>
      </w:r>
      <w:r>
        <w:rPr>
          <w:i/>
          <w:color w:val="231F20"/>
          <w:w w:val="105"/>
          <w:sz w:val="18"/>
        </w:rPr>
        <w:t>Problemas del desarrollo</w:t>
      </w:r>
      <w:r>
        <w:rPr>
          <w:color w:val="231F20"/>
          <w:w w:val="105"/>
          <w:sz w:val="18"/>
        </w:rPr>
        <w:t>, vol. 40, núm. 157, abril-junio, México, Instituto de Investigaciones Económicas, Universidad Nacional  Autónoma  de México.</w:t>
      </w:r>
    </w:p>
    <w:p>
      <w:pPr>
        <w:spacing w:line="254" w:lineRule="auto" w:before="1"/>
        <w:ind w:left="340" w:right="117" w:hanging="240"/>
        <w:jc w:val="both"/>
        <w:rPr>
          <w:sz w:val="18"/>
        </w:rPr>
      </w:pPr>
      <w:r>
        <w:rPr>
          <w:color w:val="231F20"/>
          <w:sz w:val="18"/>
        </w:rPr>
        <w:t>Rifkin, Jeremy, 2004, </w:t>
      </w:r>
      <w:r>
        <w:rPr>
          <w:i/>
          <w:color w:val="231F20"/>
          <w:sz w:val="18"/>
        </w:rPr>
        <w:t>El sueño europeo. Cómo la visión europea del futuro está </w:t>
      </w:r>
      <w:r>
        <w:rPr>
          <w:i/>
          <w:color w:val="231F20"/>
          <w:sz w:val="18"/>
        </w:rPr>
        <w:t>eclipsando el sueño americano</w:t>
      </w:r>
      <w:r>
        <w:rPr>
          <w:color w:val="231F20"/>
          <w:sz w:val="18"/>
        </w:rPr>
        <w:t>, Barcelona, Paidós.</w:t>
      </w:r>
    </w:p>
    <w:p>
      <w:pPr>
        <w:spacing w:line="254" w:lineRule="auto" w:before="1"/>
        <w:ind w:left="340" w:right="117" w:hanging="240"/>
        <w:jc w:val="both"/>
        <w:rPr>
          <w:sz w:val="18"/>
        </w:rPr>
      </w:pPr>
      <w:r>
        <w:rPr>
          <w:color w:val="231F20"/>
          <w:w w:val="110"/>
          <w:sz w:val="18"/>
        </w:rPr>
        <w:t>Gandásegui, hijo, Marco A., 2010a, “El neoliberalismo ha muerto (I)”,  </w:t>
      </w:r>
      <w:r>
        <w:rPr>
          <w:i/>
          <w:color w:val="231F20"/>
          <w:w w:val="110"/>
          <w:sz w:val="18"/>
        </w:rPr>
        <w:t>América Latina en movimiento</w:t>
      </w:r>
      <w:r>
        <w:rPr>
          <w:color w:val="231F20"/>
          <w:w w:val="110"/>
          <w:sz w:val="18"/>
        </w:rPr>
        <w:t>, alai, 26 de febrero &lt;</w:t>
      </w:r>
      <w:hyperlink r:id="rId197">
        <w:r>
          <w:rPr>
            <w:color w:val="231F20"/>
            <w:w w:val="110"/>
            <w:sz w:val="18"/>
          </w:rPr>
          <w:t>http://alainet.org/</w:t>
        </w:r>
      </w:hyperlink>
      <w:r>
        <w:rPr>
          <w:color w:val="231F20"/>
          <w:w w:val="110"/>
          <w:sz w:val="18"/>
        </w:rPr>
        <w:t> active/36386&gt;.</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w:t>
      </w:r>
      <w:r>
        <w:rPr>
          <w:color w:val="231F20"/>
          <w:spacing w:val="-12"/>
          <w:w w:val="105"/>
          <w:sz w:val="18"/>
        </w:rPr>
        <w:t> </w:t>
      </w:r>
      <w:r>
        <w:rPr>
          <w:color w:val="231F20"/>
          <w:w w:val="105"/>
          <w:sz w:val="18"/>
        </w:rPr>
        <w:t>2010b,</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neoliberalismo</w:t>
      </w:r>
      <w:r>
        <w:rPr>
          <w:color w:val="231F20"/>
          <w:spacing w:val="-12"/>
          <w:w w:val="105"/>
          <w:sz w:val="18"/>
        </w:rPr>
        <w:t> </w:t>
      </w:r>
      <w:r>
        <w:rPr>
          <w:color w:val="231F20"/>
          <w:w w:val="105"/>
          <w:sz w:val="18"/>
        </w:rPr>
        <w:t>ha</w:t>
      </w:r>
      <w:r>
        <w:rPr>
          <w:color w:val="231F20"/>
          <w:spacing w:val="-12"/>
          <w:w w:val="105"/>
          <w:sz w:val="18"/>
        </w:rPr>
        <w:t> </w:t>
      </w:r>
      <w:r>
        <w:rPr>
          <w:color w:val="231F20"/>
          <w:w w:val="105"/>
          <w:sz w:val="18"/>
        </w:rPr>
        <w:t>muerto</w:t>
      </w:r>
      <w:r>
        <w:rPr>
          <w:color w:val="231F20"/>
          <w:spacing w:val="-12"/>
          <w:w w:val="105"/>
          <w:sz w:val="18"/>
        </w:rPr>
        <w:t> </w:t>
      </w:r>
      <w:r>
        <w:rPr>
          <w:color w:val="231F20"/>
          <w:w w:val="105"/>
          <w:sz w:val="18"/>
        </w:rPr>
        <w:t>(II)”,</w:t>
      </w:r>
      <w:r>
        <w:rPr>
          <w:color w:val="231F20"/>
          <w:spacing w:val="-12"/>
          <w:w w:val="105"/>
          <w:sz w:val="18"/>
        </w:rPr>
        <w:t> </w:t>
      </w:r>
      <w:r>
        <w:rPr>
          <w:i/>
          <w:color w:val="231F20"/>
          <w:w w:val="105"/>
          <w:sz w:val="18"/>
        </w:rPr>
        <w:t>América</w:t>
      </w:r>
      <w:r>
        <w:rPr>
          <w:i/>
          <w:color w:val="231F20"/>
          <w:spacing w:val="-12"/>
          <w:w w:val="105"/>
          <w:sz w:val="18"/>
        </w:rPr>
        <w:t> </w:t>
      </w:r>
      <w:r>
        <w:rPr>
          <w:i/>
          <w:color w:val="231F20"/>
          <w:w w:val="105"/>
          <w:sz w:val="18"/>
        </w:rPr>
        <w:t>Latina</w:t>
      </w:r>
      <w:r>
        <w:rPr>
          <w:i/>
          <w:color w:val="231F20"/>
          <w:spacing w:val="-12"/>
          <w:w w:val="105"/>
          <w:sz w:val="18"/>
        </w:rPr>
        <w:t> </w:t>
      </w:r>
      <w:r>
        <w:rPr>
          <w:i/>
          <w:color w:val="231F20"/>
          <w:w w:val="105"/>
          <w:sz w:val="18"/>
        </w:rPr>
        <w:t>en</w:t>
      </w:r>
      <w:r>
        <w:rPr>
          <w:i/>
          <w:color w:val="231F20"/>
          <w:spacing w:val="-12"/>
          <w:w w:val="105"/>
          <w:sz w:val="18"/>
        </w:rPr>
        <w:t> </w:t>
      </w:r>
      <w:r>
        <w:rPr>
          <w:i/>
          <w:color w:val="231F20"/>
          <w:w w:val="105"/>
          <w:sz w:val="18"/>
        </w:rPr>
        <w:t>movimiento</w:t>
      </w:r>
      <w:r>
        <w:rPr>
          <w:color w:val="231F20"/>
          <w:w w:val="105"/>
          <w:sz w:val="18"/>
        </w:rPr>
        <w:t>,</w:t>
      </w:r>
    </w:p>
    <w:p>
      <w:pPr>
        <w:spacing w:before="13"/>
        <w:ind w:left="340" w:right="25" w:firstLine="0"/>
        <w:jc w:val="left"/>
        <w:rPr>
          <w:sz w:val="18"/>
        </w:rPr>
      </w:pPr>
      <w:r>
        <w:rPr>
          <w:color w:val="231F20"/>
          <w:w w:val="115"/>
          <w:sz w:val="18"/>
        </w:rPr>
        <w:t>alai, 5 de marzo &lt;</w:t>
      </w:r>
      <w:hyperlink r:id="rId198">
        <w:r>
          <w:rPr>
            <w:color w:val="231F20"/>
            <w:w w:val="115"/>
            <w:sz w:val="18"/>
          </w:rPr>
          <w:t>http://alainet.org/active/36546</w:t>
        </w:r>
      </w:hyperlink>
      <w:r>
        <w:rPr>
          <w:color w:val="231F20"/>
          <w:w w:val="115"/>
          <w:sz w:val="18"/>
        </w:rPr>
        <w:t>&gt;.</w:t>
      </w:r>
    </w:p>
    <w:p>
      <w:pPr>
        <w:spacing w:line="254" w:lineRule="auto" w:before="13"/>
        <w:ind w:left="340" w:right="119" w:hanging="181"/>
        <w:jc w:val="both"/>
        <w:rPr>
          <w:sz w:val="18"/>
        </w:rPr>
      </w:pPr>
      <w:r>
        <w:rPr>
          <w:color w:val="231F20"/>
          <w:sz w:val="18"/>
        </w:rPr>
        <w:t>Gordon, David M., Richard Edwards y Michael Reich, 1986, </w:t>
      </w:r>
      <w:r>
        <w:rPr>
          <w:i/>
          <w:color w:val="231F20"/>
          <w:sz w:val="18"/>
        </w:rPr>
        <w:t>Trabajo segmen- </w:t>
      </w:r>
      <w:r>
        <w:rPr>
          <w:i/>
          <w:color w:val="231F20"/>
          <w:sz w:val="18"/>
        </w:rPr>
        <w:t>tado,</w:t>
      </w:r>
      <w:r>
        <w:rPr>
          <w:i/>
          <w:color w:val="231F20"/>
          <w:spacing w:val="-22"/>
          <w:sz w:val="18"/>
        </w:rPr>
        <w:t> </w:t>
      </w:r>
      <w:r>
        <w:rPr>
          <w:i/>
          <w:color w:val="231F20"/>
          <w:sz w:val="18"/>
        </w:rPr>
        <w:t>trabajo</w:t>
      </w:r>
      <w:r>
        <w:rPr>
          <w:i/>
          <w:color w:val="231F20"/>
          <w:spacing w:val="-22"/>
          <w:sz w:val="18"/>
        </w:rPr>
        <w:t> </w:t>
      </w:r>
      <w:r>
        <w:rPr>
          <w:i/>
          <w:color w:val="231F20"/>
          <w:sz w:val="18"/>
        </w:rPr>
        <w:t>dividido.</w:t>
      </w:r>
      <w:r>
        <w:rPr>
          <w:i/>
          <w:color w:val="231F20"/>
          <w:spacing w:val="-22"/>
          <w:sz w:val="18"/>
        </w:rPr>
        <w:t> </w:t>
      </w:r>
      <w:r>
        <w:rPr>
          <w:i/>
          <w:color w:val="231F20"/>
          <w:sz w:val="18"/>
        </w:rPr>
        <w:t>La</w:t>
      </w:r>
      <w:r>
        <w:rPr>
          <w:i/>
          <w:color w:val="231F20"/>
          <w:spacing w:val="-22"/>
          <w:sz w:val="18"/>
        </w:rPr>
        <w:t> </w:t>
      </w:r>
      <w:r>
        <w:rPr>
          <w:i/>
          <w:color w:val="231F20"/>
          <w:sz w:val="18"/>
        </w:rPr>
        <w:t>transformación</w:t>
      </w:r>
      <w:r>
        <w:rPr>
          <w:i/>
          <w:color w:val="231F20"/>
          <w:spacing w:val="-22"/>
          <w:sz w:val="18"/>
        </w:rPr>
        <w:t> </w:t>
      </w:r>
      <w:r>
        <w:rPr>
          <w:i/>
          <w:color w:val="231F20"/>
          <w:sz w:val="18"/>
        </w:rPr>
        <w:t>histórica</w:t>
      </w:r>
      <w:r>
        <w:rPr>
          <w:i/>
          <w:color w:val="231F20"/>
          <w:spacing w:val="-22"/>
          <w:sz w:val="18"/>
        </w:rPr>
        <w:t> </w:t>
      </w:r>
      <w:r>
        <w:rPr>
          <w:i/>
          <w:color w:val="231F20"/>
          <w:sz w:val="18"/>
        </w:rPr>
        <w:t>del</w:t>
      </w:r>
      <w:r>
        <w:rPr>
          <w:i/>
          <w:color w:val="231F20"/>
          <w:spacing w:val="-22"/>
          <w:sz w:val="18"/>
        </w:rPr>
        <w:t> </w:t>
      </w:r>
      <w:r>
        <w:rPr>
          <w:i/>
          <w:color w:val="231F20"/>
          <w:sz w:val="18"/>
        </w:rPr>
        <w:t>trabajo</w:t>
      </w:r>
      <w:r>
        <w:rPr>
          <w:i/>
          <w:color w:val="231F20"/>
          <w:spacing w:val="-22"/>
          <w:sz w:val="18"/>
        </w:rPr>
        <w:t> </w:t>
      </w:r>
      <w:r>
        <w:rPr>
          <w:i/>
          <w:color w:val="231F20"/>
          <w:sz w:val="18"/>
        </w:rPr>
        <w:t>en</w:t>
      </w:r>
      <w:r>
        <w:rPr>
          <w:i/>
          <w:color w:val="231F20"/>
          <w:spacing w:val="-22"/>
          <w:sz w:val="18"/>
        </w:rPr>
        <w:t> </w:t>
      </w:r>
      <w:r>
        <w:rPr>
          <w:i/>
          <w:color w:val="231F20"/>
          <w:sz w:val="18"/>
        </w:rPr>
        <w:t>Estados</w:t>
      </w:r>
      <w:r>
        <w:rPr>
          <w:i/>
          <w:color w:val="231F20"/>
          <w:spacing w:val="-22"/>
          <w:sz w:val="18"/>
        </w:rPr>
        <w:t> </w:t>
      </w:r>
      <w:r>
        <w:rPr>
          <w:i/>
          <w:color w:val="231F20"/>
          <w:sz w:val="18"/>
        </w:rPr>
        <w:t>Unidos</w:t>
      </w:r>
      <w:r>
        <w:rPr>
          <w:color w:val="231F20"/>
          <w:sz w:val="18"/>
        </w:rPr>
        <w:t>, Madrid,  Ministerio  de  </w:t>
      </w:r>
      <w:r>
        <w:rPr>
          <w:color w:val="231F20"/>
          <w:spacing w:val="-3"/>
          <w:sz w:val="18"/>
        </w:rPr>
        <w:t>Trabajo  </w:t>
      </w:r>
      <w:r>
        <w:rPr>
          <w:color w:val="231F20"/>
          <w:sz w:val="18"/>
        </w:rPr>
        <w:t>y  Seguridad  </w:t>
      </w:r>
      <w:r>
        <w:rPr>
          <w:color w:val="231F20"/>
          <w:spacing w:val="21"/>
          <w:sz w:val="18"/>
        </w:rPr>
        <w:t> </w:t>
      </w:r>
      <w:r>
        <w:rPr>
          <w:color w:val="231F20"/>
          <w:sz w:val="18"/>
        </w:rPr>
        <w:t>Social.</w:t>
      </w:r>
    </w:p>
    <w:p>
      <w:pPr>
        <w:spacing w:line="254" w:lineRule="auto" w:before="1"/>
        <w:ind w:left="340" w:right="119" w:hanging="240"/>
        <w:jc w:val="both"/>
        <w:rPr>
          <w:sz w:val="18"/>
        </w:rPr>
      </w:pPr>
      <w:r>
        <w:rPr>
          <w:color w:val="231F20"/>
          <w:w w:val="110"/>
          <w:sz w:val="18"/>
        </w:rPr>
        <w:t>Harman, Chris, 2008, “La tasa de ganancia y el mundo actual”, en </w:t>
      </w:r>
      <w:r>
        <w:rPr>
          <w:i/>
          <w:color w:val="231F20"/>
          <w:w w:val="110"/>
          <w:sz w:val="18"/>
        </w:rPr>
        <w:t>Brubuja</w:t>
      </w:r>
      <w:r>
        <w:rPr>
          <w:color w:val="231F20"/>
          <w:w w:val="110"/>
          <w:sz w:val="18"/>
        </w:rPr>
        <w:t>, Foro de Economía, 3 de octubre &lt;</w:t>
      </w:r>
      <w:hyperlink r:id="rId199">
        <w:r>
          <w:rPr>
            <w:color w:val="231F20"/>
            <w:w w:val="110"/>
            <w:sz w:val="18"/>
          </w:rPr>
          <w:t>http://www.burbuja.info/inmobilia-</w:t>
        </w:r>
      </w:hyperlink>
      <w:r>
        <w:rPr>
          <w:color w:val="231F20"/>
          <w:w w:val="110"/>
          <w:sz w:val="18"/>
        </w:rPr>
        <w:t> ria/&gt;.</w:t>
      </w:r>
    </w:p>
    <w:p>
      <w:pPr>
        <w:spacing w:line="254" w:lineRule="auto" w:before="1"/>
        <w:ind w:left="340" w:right="117" w:hanging="240"/>
        <w:jc w:val="both"/>
        <w:rPr>
          <w:sz w:val="18"/>
        </w:rPr>
      </w:pPr>
      <w:r>
        <w:rPr>
          <w:color w:val="231F20"/>
          <w:w w:val="110"/>
          <w:sz w:val="18"/>
        </w:rPr>
        <w:t>Hobsbawm, Eric, 2010, “Las mutaciones incesantes de un mundo sin sosie- go”, en </w:t>
      </w:r>
      <w:r>
        <w:rPr>
          <w:i/>
          <w:color w:val="231F20"/>
          <w:w w:val="110"/>
          <w:sz w:val="18"/>
        </w:rPr>
        <w:t>Clarín.com</w:t>
      </w:r>
      <w:r>
        <w:rPr>
          <w:color w:val="231F20"/>
          <w:w w:val="110"/>
          <w:sz w:val="18"/>
        </w:rPr>
        <w:t>, 28 de mayo &lt;</w:t>
      </w:r>
      <w:hyperlink r:id="rId200">
        <w:r>
          <w:rPr>
            <w:color w:val="231F20"/>
            <w:w w:val="110"/>
            <w:sz w:val="18"/>
          </w:rPr>
          <w:t>http://edant.clarin.com/suplementos/</w:t>
        </w:r>
      </w:hyperlink>
      <w:r>
        <w:rPr>
          <w:color w:val="231F20"/>
          <w:w w:val="110"/>
          <w:sz w:val="18"/>
        </w:rPr>
        <w:t> zona/2010/05/23/z-02198934.htm&gt;.</w:t>
      </w:r>
    </w:p>
    <w:p>
      <w:pPr>
        <w:spacing w:line="254" w:lineRule="auto" w:before="1"/>
        <w:ind w:left="340" w:right="119" w:hanging="240"/>
        <w:jc w:val="both"/>
        <w:rPr>
          <w:sz w:val="18"/>
        </w:rPr>
      </w:pPr>
      <w:r>
        <w:rPr>
          <w:color w:val="231F20"/>
          <w:w w:val="105"/>
          <w:sz w:val="18"/>
        </w:rPr>
        <w:t>Husson, Michel, 2008a, “El capitalismo tóxico”, en </w:t>
      </w:r>
      <w:r>
        <w:rPr>
          <w:i/>
          <w:color w:val="231F20"/>
          <w:w w:val="105"/>
          <w:sz w:val="18"/>
        </w:rPr>
        <w:t>Viento Sur</w:t>
      </w:r>
      <w:r>
        <w:rPr>
          <w:color w:val="231F20"/>
          <w:w w:val="105"/>
          <w:sz w:val="18"/>
        </w:rPr>
        <w:t>, núm. 1010, noviembre &lt;</w:t>
      </w:r>
      <w:hyperlink r:id="rId201">
        <w:r>
          <w:rPr>
            <w:color w:val="231F20"/>
            <w:w w:val="105"/>
            <w:sz w:val="18"/>
          </w:rPr>
          <w:t>www.vientosur.info/articulosabiertos/VIENTOSUR-nume-</w:t>
        </w:r>
      </w:hyperlink>
      <w:r>
        <w:rPr>
          <w:color w:val="231F20"/>
          <w:w w:val="105"/>
          <w:sz w:val="18"/>
        </w:rPr>
        <w:t> ro101-crisis-husson.pdf&gt;.</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w:t>
      </w:r>
      <w:r>
        <w:rPr>
          <w:color w:val="231F20"/>
          <w:spacing w:val="-9"/>
          <w:w w:val="110"/>
          <w:sz w:val="18"/>
        </w:rPr>
        <w:t> </w:t>
      </w:r>
      <w:r>
        <w:rPr>
          <w:color w:val="231F20"/>
          <w:w w:val="110"/>
          <w:sz w:val="18"/>
        </w:rPr>
        <w:t>2008b,</w:t>
      </w:r>
      <w:r>
        <w:rPr>
          <w:color w:val="231F20"/>
          <w:spacing w:val="-9"/>
          <w:w w:val="110"/>
          <w:sz w:val="18"/>
        </w:rPr>
        <w:t> </w:t>
      </w:r>
      <w:r>
        <w:rPr>
          <w:color w:val="231F20"/>
          <w:w w:val="110"/>
          <w:sz w:val="18"/>
        </w:rPr>
        <w:t>“La</w:t>
      </w:r>
      <w:r>
        <w:rPr>
          <w:color w:val="231F20"/>
          <w:spacing w:val="-9"/>
          <w:w w:val="110"/>
          <w:sz w:val="18"/>
        </w:rPr>
        <w:t> </w:t>
      </w:r>
      <w:r>
        <w:rPr>
          <w:color w:val="231F20"/>
          <w:w w:val="110"/>
          <w:sz w:val="18"/>
        </w:rPr>
        <w:t>subida</w:t>
      </w:r>
      <w:r>
        <w:rPr>
          <w:color w:val="231F20"/>
          <w:spacing w:val="-9"/>
          <w:w w:val="110"/>
          <w:sz w:val="18"/>
        </w:rPr>
        <w:t> </w:t>
      </w:r>
      <w:r>
        <w:rPr>
          <w:color w:val="231F20"/>
          <w:w w:val="110"/>
          <w:sz w:val="18"/>
        </w:rPr>
        <w:t>tendencial</w:t>
      </w:r>
      <w:r>
        <w:rPr>
          <w:color w:val="231F20"/>
          <w:spacing w:val="-9"/>
          <w:w w:val="110"/>
          <w:sz w:val="18"/>
        </w:rPr>
        <w:t> </w:t>
      </w:r>
      <w:r>
        <w:rPr>
          <w:color w:val="231F20"/>
          <w:w w:val="110"/>
          <w:sz w:val="18"/>
        </w:rPr>
        <w:t>de</w:t>
      </w:r>
      <w:r>
        <w:rPr>
          <w:color w:val="231F20"/>
          <w:spacing w:val="-9"/>
          <w:w w:val="110"/>
          <w:sz w:val="18"/>
        </w:rPr>
        <w:t> </w:t>
      </w:r>
      <w:r>
        <w:rPr>
          <w:color w:val="231F20"/>
          <w:w w:val="110"/>
          <w:sz w:val="18"/>
        </w:rPr>
        <w:t>la</w:t>
      </w:r>
      <w:r>
        <w:rPr>
          <w:color w:val="231F20"/>
          <w:spacing w:val="-9"/>
          <w:w w:val="110"/>
          <w:sz w:val="18"/>
        </w:rPr>
        <w:t> </w:t>
      </w:r>
      <w:r>
        <w:rPr>
          <w:color w:val="231F20"/>
          <w:w w:val="110"/>
          <w:sz w:val="18"/>
        </w:rPr>
        <w:t>tasa</w:t>
      </w:r>
      <w:r>
        <w:rPr>
          <w:color w:val="231F20"/>
          <w:spacing w:val="-9"/>
          <w:w w:val="110"/>
          <w:sz w:val="18"/>
        </w:rPr>
        <w:t> </w:t>
      </w:r>
      <w:r>
        <w:rPr>
          <w:color w:val="231F20"/>
          <w:w w:val="110"/>
          <w:sz w:val="18"/>
        </w:rPr>
        <w:t>de</w:t>
      </w:r>
      <w:r>
        <w:rPr>
          <w:color w:val="231F20"/>
          <w:spacing w:val="-9"/>
          <w:w w:val="110"/>
          <w:sz w:val="18"/>
        </w:rPr>
        <w:t> </w:t>
      </w:r>
      <w:r>
        <w:rPr>
          <w:color w:val="231F20"/>
          <w:w w:val="110"/>
          <w:sz w:val="18"/>
        </w:rPr>
        <w:t>explotación”,</w:t>
      </w:r>
      <w:r>
        <w:rPr>
          <w:color w:val="231F20"/>
          <w:spacing w:val="-9"/>
          <w:w w:val="110"/>
          <w:sz w:val="18"/>
        </w:rPr>
        <w:t> </w:t>
      </w:r>
      <w:r>
        <w:rPr>
          <w:i/>
          <w:color w:val="231F20"/>
          <w:w w:val="110"/>
          <w:sz w:val="18"/>
        </w:rPr>
        <w:t>Viento</w:t>
      </w:r>
      <w:r>
        <w:rPr>
          <w:i/>
          <w:color w:val="231F20"/>
          <w:spacing w:val="-9"/>
          <w:w w:val="110"/>
          <w:sz w:val="18"/>
        </w:rPr>
        <w:t> </w:t>
      </w:r>
      <w:r>
        <w:rPr>
          <w:i/>
          <w:color w:val="231F20"/>
          <w:w w:val="110"/>
          <w:sz w:val="18"/>
        </w:rPr>
        <w:t>Sur</w:t>
      </w:r>
      <w:r>
        <w:rPr>
          <w:color w:val="231F20"/>
          <w:w w:val="110"/>
          <w:sz w:val="18"/>
        </w:rPr>
        <w:t>,</w:t>
      </w:r>
      <w:r>
        <w:rPr>
          <w:color w:val="231F20"/>
          <w:spacing w:val="-9"/>
          <w:w w:val="110"/>
          <w:sz w:val="18"/>
        </w:rPr>
        <w:t> </w:t>
      </w:r>
      <w:r>
        <w:rPr>
          <w:color w:val="231F20"/>
          <w:w w:val="110"/>
          <w:sz w:val="18"/>
        </w:rPr>
        <w:t>24</w:t>
      </w:r>
      <w:r>
        <w:rPr>
          <w:color w:val="231F20"/>
          <w:w w:val="104"/>
          <w:sz w:val="18"/>
        </w:rPr>
        <w:t> </w:t>
      </w:r>
      <w:r>
        <w:rPr>
          <w:color w:val="231F20"/>
          <w:w w:val="105"/>
          <w:sz w:val="18"/>
        </w:rPr>
        <w:t>de  mayo </w:t>
      </w:r>
      <w:r>
        <w:rPr>
          <w:color w:val="231F20"/>
          <w:spacing w:val="10"/>
          <w:w w:val="105"/>
          <w:sz w:val="18"/>
        </w:rPr>
        <w:t> </w:t>
      </w:r>
      <w:r>
        <w:rPr>
          <w:color w:val="231F20"/>
          <w:w w:val="105"/>
          <w:sz w:val="18"/>
        </w:rPr>
        <w:t>&lt;</w:t>
      </w:r>
      <w:hyperlink r:id="rId202">
        <w:r>
          <w:rPr>
            <w:color w:val="231F20"/>
            <w:w w:val="105"/>
            <w:sz w:val="18"/>
          </w:rPr>
          <w:t>www.vientosur.info/articulosweb/index.php?pag=81</w:t>
        </w:r>
      </w:hyperlink>
      <w:r>
        <w:rPr>
          <w:color w:val="231F20"/>
          <w:w w:val="105"/>
          <w:sz w:val="18"/>
        </w:rPr>
        <w:t>&gt;.</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2010, “Crisis de la finanza o crisis del capitalismo”, en </w:t>
      </w:r>
      <w:r>
        <w:rPr>
          <w:i/>
          <w:color w:val="231F20"/>
          <w:w w:val="105"/>
          <w:sz w:val="18"/>
        </w:rPr>
        <w:t>Rebelión</w:t>
      </w:r>
      <w:r>
        <w:rPr>
          <w:color w:val="231F20"/>
          <w:w w:val="105"/>
          <w:sz w:val="18"/>
        </w:rPr>
        <w:t>, 10 de septiembre   &lt;</w:t>
      </w:r>
      <w:hyperlink r:id="rId203">
        <w:r>
          <w:rPr>
            <w:color w:val="231F20"/>
            <w:w w:val="105"/>
            <w:sz w:val="18"/>
          </w:rPr>
          <w:t>www.rebelion.org/noticia.php?id=112642</w:t>
        </w:r>
      </w:hyperlink>
      <w:r>
        <w:rPr>
          <w:color w:val="231F20"/>
          <w:w w:val="105"/>
          <w:sz w:val="18"/>
        </w:rPr>
        <w:t>&gt;.</w:t>
      </w:r>
    </w:p>
    <w:p>
      <w:pPr>
        <w:spacing w:line="254" w:lineRule="auto" w:before="1"/>
        <w:ind w:left="340" w:right="118" w:hanging="240"/>
        <w:jc w:val="both"/>
        <w:rPr>
          <w:sz w:val="18"/>
        </w:rPr>
      </w:pPr>
      <w:r>
        <w:rPr>
          <w:color w:val="231F20"/>
          <w:w w:val="105"/>
          <w:sz w:val="18"/>
        </w:rPr>
        <w:t>Integrated Public Use Microdata Series, ipums, 1995-2010, </w:t>
      </w:r>
      <w:r>
        <w:rPr>
          <w:i/>
          <w:color w:val="231F20"/>
          <w:w w:val="105"/>
          <w:sz w:val="18"/>
        </w:rPr>
        <w:t>Current</w:t>
      </w:r>
      <w:r>
        <w:rPr>
          <w:i/>
          <w:color w:val="231F20"/>
          <w:spacing w:val="-29"/>
          <w:w w:val="105"/>
          <w:sz w:val="18"/>
        </w:rPr>
        <w:t> </w:t>
      </w:r>
      <w:r>
        <w:rPr>
          <w:i/>
          <w:color w:val="231F20"/>
          <w:w w:val="105"/>
          <w:sz w:val="18"/>
        </w:rPr>
        <w:t>Population </w:t>
      </w:r>
      <w:r>
        <w:rPr>
          <w:i/>
          <w:color w:val="231F20"/>
          <w:w w:val="105"/>
          <w:sz w:val="18"/>
        </w:rPr>
        <w:t>Server</w:t>
      </w:r>
      <w:r>
        <w:rPr>
          <w:color w:val="231F20"/>
          <w:w w:val="105"/>
          <w:sz w:val="18"/>
        </w:rPr>
        <w:t>,  ipums-usa,  Minnesota  Population</w:t>
      </w:r>
      <w:r>
        <w:rPr>
          <w:color w:val="231F20"/>
          <w:spacing w:val="-10"/>
          <w:w w:val="105"/>
          <w:sz w:val="18"/>
        </w:rPr>
        <w:t> </w:t>
      </w:r>
      <w:r>
        <w:rPr>
          <w:color w:val="231F20"/>
          <w:spacing w:val="-3"/>
          <w:w w:val="105"/>
          <w:sz w:val="18"/>
        </w:rPr>
        <w:t>Center.</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60" w:right="117" w:hanging="240"/>
        <w:jc w:val="both"/>
        <w:rPr>
          <w:sz w:val="18"/>
        </w:rPr>
      </w:pPr>
      <w:r>
        <w:rPr>
          <w:color w:val="231F20"/>
          <w:w w:val="110"/>
          <w:sz w:val="18"/>
        </w:rPr>
        <w:t>Kesselman,</w:t>
      </w:r>
      <w:r>
        <w:rPr>
          <w:color w:val="231F20"/>
          <w:spacing w:val="-17"/>
          <w:w w:val="110"/>
          <w:sz w:val="18"/>
        </w:rPr>
        <w:t> </w:t>
      </w:r>
      <w:r>
        <w:rPr>
          <w:color w:val="231F20"/>
          <w:w w:val="110"/>
          <w:sz w:val="18"/>
        </w:rPr>
        <w:t>Donna,</w:t>
      </w:r>
      <w:r>
        <w:rPr>
          <w:color w:val="231F20"/>
          <w:spacing w:val="-17"/>
          <w:w w:val="110"/>
          <w:sz w:val="18"/>
        </w:rPr>
        <w:t> </w:t>
      </w:r>
      <w:r>
        <w:rPr>
          <w:color w:val="231F20"/>
          <w:w w:val="110"/>
          <w:sz w:val="18"/>
        </w:rPr>
        <w:t>2010,</w:t>
      </w:r>
      <w:r>
        <w:rPr>
          <w:color w:val="231F20"/>
          <w:spacing w:val="-17"/>
          <w:w w:val="110"/>
          <w:sz w:val="18"/>
        </w:rPr>
        <w:t> </w:t>
      </w:r>
      <w:r>
        <w:rPr>
          <w:color w:val="231F20"/>
          <w:w w:val="110"/>
          <w:sz w:val="18"/>
        </w:rPr>
        <w:t>“Trabalho</w:t>
      </w:r>
      <w:r>
        <w:rPr>
          <w:color w:val="231F20"/>
          <w:spacing w:val="-17"/>
          <w:w w:val="110"/>
          <w:sz w:val="18"/>
        </w:rPr>
        <w:t> </w:t>
      </w:r>
      <w:r>
        <w:rPr>
          <w:color w:val="231F20"/>
          <w:w w:val="110"/>
          <w:sz w:val="18"/>
        </w:rPr>
        <w:t>precário</w:t>
      </w:r>
      <w:r>
        <w:rPr>
          <w:color w:val="231F20"/>
          <w:spacing w:val="-17"/>
          <w:w w:val="110"/>
          <w:sz w:val="18"/>
        </w:rPr>
        <w:t> </w:t>
      </w:r>
      <w:r>
        <w:rPr>
          <w:color w:val="231F20"/>
          <w:w w:val="110"/>
          <w:sz w:val="18"/>
        </w:rPr>
        <w:t>e</w:t>
      </w:r>
      <w:r>
        <w:rPr>
          <w:color w:val="231F20"/>
          <w:spacing w:val="-17"/>
          <w:w w:val="110"/>
          <w:sz w:val="18"/>
        </w:rPr>
        <w:t> </w:t>
      </w:r>
      <w:r>
        <w:rPr>
          <w:color w:val="231F20"/>
          <w:w w:val="110"/>
          <w:sz w:val="18"/>
        </w:rPr>
        <w:t>precarização</w:t>
      </w:r>
      <w:r>
        <w:rPr>
          <w:color w:val="231F20"/>
          <w:spacing w:val="-17"/>
          <w:w w:val="110"/>
          <w:sz w:val="18"/>
        </w:rPr>
        <w:t> </w:t>
      </w:r>
      <w:r>
        <w:rPr>
          <w:color w:val="231F20"/>
          <w:w w:val="110"/>
          <w:sz w:val="18"/>
        </w:rPr>
        <w:t>institucional</w:t>
      </w:r>
      <w:r>
        <w:rPr>
          <w:color w:val="231F20"/>
          <w:spacing w:val="-17"/>
          <w:w w:val="110"/>
          <w:sz w:val="18"/>
        </w:rPr>
        <w:t> </w:t>
      </w:r>
      <w:r>
        <w:rPr>
          <w:color w:val="231F20"/>
          <w:w w:val="110"/>
          <w:sz w:val="18"/>
        </w:rPr>
        <w:t>nos Estados</w:t>
      </w:r>
      <w:r>
        <w:rPr>
          <w:color w:val="231F20"/>
          <w:spacing w:val="-16"/>
          <w:w w:val="110"/>
          <w:sz w:val="18"/>
        </w:rPr>
        <w:t> </w:t>
      </w:r>
      <w:r>
        <w:rPr>
          <w:color w:val="231F20"/>
          <w:w w:val="110"/>
          <w:sz w:val="18"/>
        </w:rPr>
        <w:t>Unidos”,</w:t>
      </w:r>
      <w:r>
        <w:rPr>
          <w:color w:val="231F20"/>
          <w:spacing w:val="-16"/>
          <w:w w:val="110"/>
          <w:sz w:val="18"/>
        </w:rPr>
        <w:t> </w:t>
      </w:r>
      <w:r>
        <w:rPr>
          <w:i/>
          <w:color w:val="231F20"/>
          <w:w w:val="110"/>
          <w:sz w:val="18"/>
        </w:rPr>
        <w:t>Sociologias</w:t>
      </w:r>
      <w:r>
        <w:rPr>
          <w:color w:val="231F20"/>
          <w:w w:val="110"/>
          <w:sz w:val="18"/>
        </w:rPr>
        <w:t>,</w:t>
      </w:r>
      <w:r>
        <w:rPr>
          <w:color w:val="231F20"/>
          <w:spacing w:val="-16"/>
          <w:w w:val="110"/>
          <w:sz w:val="18"/>
        </w:rPr>
        <w:t> </w:t>
      </w:r>
      <w:r>
        <w:rPr>
          <w:color w:val="231F20"/>
          <w:w w:val="110"/>
          <w:sz w:val="18"/>
        </w:rPr>
        <w:t>ano</w:t>
      </w:r>
      <w:r>
        <w:rPr>
          <w:color w:val="231F20"/>
          <w:spacing w:val="-16"/>
          <w:w w:val="110"/>
          <w:sz w:val="18"/>
        </w:rPr>
        <w:t> </w:t>
      </w:r>
      <w:r>
        <w:rPr>
          <w:color w:val="231F20"/>
          <w:w w:val="110"/>
          <w:sz w:val="18"/>
        </w:rPr>
        <w:t>12,</w:t>
      </w:r>
      <w:r>
        <w:rPr>
          <w:color w:val="231F20"/>
          <w:spacing w:val="-16"/>
          <w:w w:val="110"/>
          <w:sz w:val="18"/>
        </w:rPr>
        <w:t> </w:t>
      </w:r>
      <w:r>
        <w:rPr>
          <w:color w:val="231F20"/>
          <w:w w:val="110"/>
          <w:sz w:val="18"/>
        </w:rPr>
        <w:t>no</w:t>
      </w:r>
      <w:r>
        <w:rPr>
          <w:color w:val="231F20"/>
          <w:spacing w:val="-16"/>
          <w:w w:val="110"/>
          <w:sz w:val="18"/>
        </w:rPr>
        <w:t> </w:t>
      </w:r>
      <w:r>
        <w:rPr>
          <w:color w:val="231F20"/>
          <w:w w:val="110"/>
          <w:sz w:val="18"/>
        </w:rPr>
        <w:t>25,</w:t>
      </w:r>
      <w:r>
        <w:rPr>
          <w:color w:val="231F20"/>
          <w:spacing w:val="-16"/>
          <w:w w:val="110"/>
          <w:sz w:val="18"/>
        </w:rPr>
        <w:t> </w:t>
      </w:r>
      <w:r>
        <w:rPr>
          <w:color w:val="231F20"/>
          <w:w w:val="110"/>
          <w:sz w:val="18"/>
        </w:rPr>
        <w:t>Porto</w:t>
      </w:r>
      <w:r>
        <w:rPr>
          <w:color w:val="231F20"/>
          <w:spacing w:val="-16"/>
          <w:w w:val="110"/>
          <w:sz w:val="18"/>
        </w:rPr>
        <w:t> </w:t>
      </w:r>
      <w:r>
        <w:rPr>
          <w:color w:val="231F20"/>
          <w:w w:val="110"/>
          <w:sz w:val="18"/>
        </w:rPr>
        <w:t>Alegre,</w:t>
      </w:r>
      <w:r>
        <w:rPr>
          <w:color w:val="231F20"/>
          <w:spacing w:val="-16"/>
          <w:w w:val="110"/>
          <w:sz w:val="18"/>
        </w:rPr>
        <w:t> </w:t>
      </w:r>
      <w:r>
        <w:rPr>
          <w:color w:val="231F20"/>
          <w:w w:val="110"/>
          <w:sz w:val="18"/>
        </w:rPr>
        <w:t>set./dez.</w:t>
      </w:r>
    </w:p>
    <w:p>
      <w:pPr>
        <w:spacing w:line="254" w:lineRule="auto" w:before="1"/>
        <w:ind w:left="360" w:right="119" w:hanging="240"/>
        <w:jc w:val="both"/>
        <w:rPr>
          <w:sz w:val="18"/>
        </w:rPr>
      </w:pPr>
      <w:r>
        <w:rPr>
          <w:color w:val="231F20"/>
          <w:w w:val="110"/>
          <w:sz w:val="18"/>
        </w:rPr>
        <w:t>Krugman,</w:t>
      </w:r>
      <w:r>
        <w:rPr>
          <w:color w:val="231F20"/>
          <w:spacing w:val="-5"/>
          <w:w w:val="110"/>
          <w:sz w:val="18"/>
        </w:rPr>
        <w:t> </w:t>
      </w:r>
      <w:r>
        <w:rPr>
          <w:color w:val="231F20"/>
          <w:w w:val="110"/>
          <w:sz w:val="18"/>
        </w:rPr>
        <w:t>Paul,</w:t>
      </w:r>
      <w:r>
        <w:rPr>
          <w:color w:val="231F20"/>
          <w:spacing w:val="-5"/>
          <w:w w:val="110"/>
          <w:sz w:val="18"/>
        </w:rPr>
        <w:t> </w:t>
      </w:r>
      <w:r>
        <w:rPr>
          <w:color w:val="231F20"/>
          <w:w w:val="110"/>
          <w:sz w:val="18"/>
        </w:rPr>
        <w:t>2008,</w:t>
      </w:r>
      <w:r>
        <w:rPr>
          <w:color w:val="231F20"/>
          <w:spacing w:val="-5"/>
          <w:w w:val="110"/>
          <w:sz w:val="18"/>
        </w:rPr>
        <w:t> </w:t>
      </w:r>
      <w:r>
        <w:rPr>
          <w:color w:val="231F20"/>
          <w:w w:val="110"/>
          <w:sz w:val="18"/>
        </w:rPr>
        <w:t>“La</w:t>
      </w:r>
      <w:r>
        <w:rPr>
          <w:color w:val="231F20"/>
          <w:spacing w:val="-5"/>
          <w:w w:val="110"/>
          <w:sz w:val="18"/>
        </w:rPr>
        <w:t> </w:t>
      </w:r>
      <w:r>
        <w:rPr>
          <w:color w:val="231F20"/>
          <w:w w:val="110"/>
          <w:sz w:val="18"/>
        </w:rPr>
        <w:t>realidad</w:t>
      </w:r>
      <w:r>
        <w:rPr>
          <w:color w:val="231F20"/>
          <w:spacing w:val="-5"/>
          <w:w w:val="110"/>
          <w:sz w:val="18"/>
        </w:rPr>
        <w:t> </w:t>
      </w:r>
      <w:r>
        <w:rPr>
          <w:color w:val="231F20"/>
          <w:w w:val="110"/>
          <w:sz w:val="18"/>
        </w:rPr>
        <w:t>jamás</w:t>
      </w:r>
      <w:r>
        <w:rPr>
          <w:color w:val="231F20"/>
          <w:spacing w:val="-5"/>
          <w:w w:val="110"/>
          <w:sz w:val="18"/>
        </w:rPr>
        <w:t> </w:t>
      </w:r>
      <w:r>
        <w:rPr>
          <w:color w:val="231F20"/>
          <w:w w:val="110"/>
          <w:sz w:val="18"/>
        </w:rPr>
        <w:t>estuvo</w:t>
      </w:r>
      <w:r>
        <w:rPr>
          <w:color w:val="231F20"/>
          <w:spacing w:val="-5"/>
          <w:w w:val="110"/>
          <w:sz w:val="18"/>
        </w:rPr>
        <w:t> </w:t>
      </w:r>
      <w:r>
        <w:rPr>
          <w:color w:val="231F20"/>
          <w:w w:val="110"/>
          <w:sz w:val="18"/>
        </w:rPr>
        <w:t>a</w:t>
      </w:r>
      <w:r>
        <w:rPr>
          <w:color w:val="231F20"/>
          <w:spacing w:val="-5"/>
          <w:w w:val="110"/>
          <w:sz w:val="18"/>
        </w:rPr>
        <w:t> </w:t>
      </w:r>
      <w:r>
        <w:rPr>
          <w:color w:val="231F20"/>
          <w:w w:val="110"/>
          <w:sz w:val="18"/>
        </w:rPr>
        <w:t>la</w:t>
      </w:r>
      <w:r>
        <w:rPr>
          <w:color w:val="231F20"/>
          <w:spacing w:val="-5"/>
          <w:w w:val="110"/>
          <w:sz w:val="18"/>
        </w:rPr>
        <w:t> </w:t>
      </w:r>
      <w:r>
        <w:rPr>
          <w:color w:val="231F20"/>
          <w:w w:val="110"/>
          <w:sz w:val="18"/>
        </w:rPr>
        <w:t>altura</w:t>
      </w:r>
      <w:r>
        <w:rPr>
          <w:color w:val="231F20"/>
          <w:spacing w:val="-5"/>
          <w:w w:val="110"/>
          <w:sz w:val="18"/>
        </w:rPr>
        <w:t> </w:t>
      </w:r>
      <w:r>
        <w:rPr>
          <w:color w:val="231F20"/>
          <w:w w:val="110"/>
          <w:sz w:val="18"/>
        </w:rPr>
        <w:t>del</w:t>
      </w:r>
      <w:r>
        <w:rPr>
          <w:color w:val="231F20"/>
          <w:spacing w:val="-5"/>
          <w:w w:val="110"/>
          <w:sz w:val="18"/>
        </w:rPr>
        <w:t> </w:t>
      </w:r>
      <w:r>
        <w:rPr>
          <w:color w:val="231F20"/>
          <w:w w:val="110"/>
          <w:sz w:val="18"/>
        </w:rPr>
        <w:t>sueño</w:t>
      </w:r>
      <w:r>
        <w:rPr>
          <w:color w:val="231F20"/>
          <w:spacing w:val="-5"/>
          <w:w w:val="110"/>
          <w:sz w:val="18"/>
        </w:rPr>
        <w:t> </w:t>
      </w:r>
      <w:r>
        <w:rPr>
          <w:color w:val="231F20"/>
          <w:w w:val="110"/>
          <w:sz w:val="18"/>
        </w:rPr>
        <w:t>ameri- cano”</w:t>
      </w:r>
      <w:r>
        <w:rPr>
          <w:color w:val="231F20"/>
          <w:spacing w:val="-14"/>
          <w:w w:val="110"/>
          <w:sz w:val="18"/>
        </w:rPr>
        <w:t> </w:t>
      </w:r>
      <w:r>
        <w:rPr>
          <w:color w:val="231F20"/>
          <w:w w:val="110"/>
          <w:sz w:val="18"/>
        </w:rPr>
        <w:t>(entrevista),</w:t>
      </w:r>
      <w:r>
        <w:rPr>
          <w:color w:val="231F20"/>
          <w:spacing w:val="-14"/>
          <w:w w:val="110"/>
          <w:sz w:val="18"/>
        </w:rPr>
        <w:t> </w:t>
      </w:r>
      <w:r>
        <w:rPr>
          <w:i/>
          <w:color w:val="231F20"/>
          <w:w w:val="110"/>
          <w:sz w:val="18"/>
        </w:rPr>
        <w:t>Sin</w:t>
      </w:r>
      <w:r>
        <w:rPr>
          <w:i/>
          <w:color w:val="231F20"/>
          <w:spacing w:val="-14"/>
          <w:w w:val="110"/>
          <w:sz w:val="18"/>
        </w:rPr>
        <w:t> </w:t>
      </w:r>
      <w:r>
        <w:rPr>
          <w:i/>
          <w:color w:val="231F20"/>
          <w:w w:val="110"/>
          <w:sz w:val="18"/>
        </w:rPr>
        <w:t>Permiso</w:t>
      </w:r>
      <w:r>
        <w:rPr>
          <w:color w:val="231F20"/>
          <w:w w:val="110"/>
          <w:sz w:val="18"/>
        </w:rPr>
        <w:t>,</w:t>
      </w:r>
      <w:r>
        <w:rPr>
          <w:color w:val="231F20"/>
          <w:spacing w:val="-14"/>
          <w:w w:val="110"/>
          <w:sz w:val="18"/>
        </w:rPr>
        <w:t> </w:t>
      </w:r>
      <w:r>
        <w:rPr>
          <w:color w:val="231F20"/>
          <w:w w:val="110"/>
          <w:sz w:val="18"/>
        </w:rPr>
        <w:t>19</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octubre.</w:t>
      </w:r>
    </w:p>
    <w:p>
      <w:pPr>
        <w:spacing w:line="254" w:lineRule="auto" w:before="1"/>
        <w:ind w:left="360" w:right="119" w:hanging="240"/>
        <w:jc w:val="both"/>
        <w:rPr>
          <w:sz w:val="18"/>
        </w:rPr>
      </w:pPr>
      <w:r>
        <w:rPr>
          <w:color w:val="231F20"/>
          <w:w w:val="105"/>
          <w:sz w:val="18"/>
        </w:rPr>
        <w:t>Laffaye,</w:t>
      </w:r>
      <w:r>
        <w:rPr>
          <w:color w:val="231F20"/>
          <w:spacing w:val="-4"/>
          <w:w w:val="105"/>
          <w:sz w:val="18"/>
        </w:rPr>
        <w:t> </w:t>
      </w:r>
      <w:r>
        <w:rPr>
          <w:color w:val="231F20"/>
          <w:w w:val="105"/>
          <w:sz w:val="18"/>
        </w:rPr>
        <w:t>Sebastián,</w:t>
      </w:r>
      <w:r>
        <w:rPr>
          <w:color w:val="231F20"/>
          <w:spacing w:val="-4"/>
          <w:w w:val="105"/>
          <w:sz w:val="18"/>
        </w:rPr>
        <w:t> </w:t>
      </w:r>
      <w:r>
        <w:rPr>
          <w:color w:val="231F20"/>
          <w:w w:val="105"/>
          <w:sz w:val="18"/>
        </w:rPr>
        <w:t>2009,</w:t>
      </w:r>
      <w:r>
        <w:rPr>
          <w:color w:val="231F20"/>
          <w:spacing w:val="-3"/>
          <w:w w:val="105"/>
          <w:sz w:val="18"/>
        </w:rPr>
        <w:t> </w:t>
      </w:r>
      <w:r>
        <w:rPr>
          <w:i/>
          <w:color w:val="231F20"/>
          <w:w w:val="105"/>
          <w:sz w:val="18"/>
        </w:rPr>
        <w:t>Revista</w:t>
      </w:r>
      <w:r>
        <w:rPr>
          <w:i/>
          <w:color w:val="231F20"/>
          <w:spacing w:val="-4"/>
          <w:w w:val="105"/>
          <w:sz w:val="18"/>
        </w:rPr>
        <w:t> </w:t>
      </w:r>
      <w:r>
        <w:rPr>
          <w:i/>
          <w:color w:val="231F20"/>
          <w:w w:val="105"/>
          <w:sz w:val="18"/>
        </w:rPr>
        <w:t>del</w:t>
      </w:r>
      <w:r>
        <w:rPr>
          <w:i/>
          <w:color w:val="231F20"/>
          <w:spacing w:val="-4"/>
          <w:w w:val="105"/>
          <w:sz w:val="18"/>
        </w:rPr>
        <w:t> </w:t>
      </w:r>
      <w:r>
        <w:rPr>
          <w:i/>
          <w:color w:val="231F20"/>
          <w:w w:val="105"/>
          <w:sz w:val="18"/>
        </w:rPr>
        <w:t>CEI</w:t>
      </w:r>
      <w:r>
        <w:rPr>
          <w:color w:val="231F20"/>
          <w:w w:val="105"/>
          <w:sz w:val="18"/>
        </w:rPr>
        <w:t>,</w:t>
      </w:r>
      <w:r>
        <w:rPr>
          <w:color w:val="231F20"/>
          <w:spacing w:val="-4"/>
          <w:w w:val="105"/>
          <w:sz w:val="18"/>
        </w:rPr>
        <w:t> </w:t>
      </w:r>
      <w:r>
        <w:rPr>
          <w:color w:val="231F20"/>
          <w:w w:val="105"/>
          <w:sz w:val="18"/>
        </w:rPr>
        <w:t>núm.</w:t>
      </w:r>
      <w:r>
        <w:rPr>
          <w:color w:val="231F20"/>
          <w:spacing w:val="-4"/>
          <w:w w:val="105"/>
          <w:sz w:val="18"/>
        </w:rPr>
        <w:t> </w:t>
      </w:r>
      <w:r>
        <w:rPr>
          <w:color w:val="231F20"/>
          <w:w w:val="105"/>
          <w:sz w:val="18"/>
        </w:rPr>
        <w:t>14,</w:t>
      </w:r>
      <w:r>
        <w:rPr>
          <w:color w:val="231F20"/>
          <w:spacing w:val="-4"/>
          <w:w w:val="105"/>
          <w:sz w:val="18"/>
        </w:rPr>
        <w:t> </w:t>
      </w:r>
      <w:r>
        <w:rPr>
          <w:color w:val="231F20"/>
          <w:w w:val="105"/>
          <w:sz w:val="18"/>
        </w:rPr>
        <w:t>abril,</w:t>
      </w:r>
      <w:r>
        <w:rPr>
          <w:color w:val="231F20"/>
          <w:spacing w:val="-4"/>
          <w:w w:val="105"/>
          <w:sz w:val="18"/>
        </w:rPr>
        <w:t> </w:t>
      </w:r>
      <w:r>
        <w:rPr>
          <w:color w:val="231F20"/>
          <w:w w:val="105"/>
          <w:sz w:val="18"/>
        </w:rPr>
        <w:t>Buenos</w:t>
      </w:r>
      <w:r>
        <w:rPr>
          <w:color w:val="231F20"/>
          <w:spacing w:val="-4"/>
          <w:w w:val="105"/>
          <w:sz w:val="18"/>
        </w:rPr>
        <w:t> </w:t>
      </w:r>
      <w:r>
        <w:rPr>
          <w:color w:val="231F20"/>
          <w:w w:val="105"/>
          <w:sz w:val="18"/>
        </w:rPr>
        <w:t>Aires,</w:t>
      </w:r>
      <w:r>
        <w:rPr>
          <w:color w:val="231F20"/>
          <w:spacing w:val="-4"/>
          <w:w w:val="105"/>
          <w:sz w:val="18"/>
        </w:rPr>
        <w:t> </w:t>
      </w:r>
      <w:r>
        <w:rPr>
          <w:color w:val="231F20"/>
          <w:w w:val="105"/>
          <w:sz w:val="18"/>
        </w:rPr>
        <w:t>Minis- terio de Relaciones Exteriores,  Comercio  Internacional  y  Culto,  Centro de  Economía </w:t>
      </w:r>
      <w:r>
        <w:rPr>
          <w:color w:val="231F20"/>
          <w:spacing w:val="44"/>
          <w:w w:val="105"/>
          <w:sz w:val="18"/>
        </w:rPr>
        <w:t> </w:t>
      </w:r>
      <w:r>
        <w:rPr>
          <w:color w:val="231F20"/>
          <w:w w:val="105"/>
          <w:sz w:val="18"/>
        </w:rPr>
        <w:t>Internacional.</w:t>
      </w:r>
    </w:p>
    <w:p>
      <w:pPr>
        <w:spacing w:before="1"/>
        <w:ind w:left="120" w:right="25" w:firstLine="0"/>
        <w:jc w:val="left"/>
        <w:rPr>
          <w:sz w:val="18"/>
        </w:rPr>
      </w:pPr>
      <w:r>
        <w:rPr>
          <w:color w:val="231F20"/>
          <w:w w:val="110"/>
          <w:sz w:val="18"/>
        </w:rPr>
        <w:t>Larsen, Flemming, 1998, “Estados Unidos como máquina de crear empleo:</w:t>
      </w:r>
    </w:p>
    <w:p>
      <w:pPr>
        <w:spacing w:line="254" w:lineRule="auto" w:before="13"/>
        <w:ind w:left="360" w:right="25" w:firstLine="0"/>
        <w:jc w:val="left"/>
        <w:rPr>
          <w:sz w:val="18"/>
        </w:rPr>
      </w:pPr>
      <w:r>
        <w:rPr>
          <w:color w:val="231F20"/>
          <w:w w:val="110"/>
          <w:sz w:val="18"/>
        </w:rPr>
        <w:t>¿Un ejemplo para Alemania?”, </w:t>
      </w:r>
      <w:r>
        <w:rPr>
          <w:i/>
          <w:color w:val="231F20"/>
          <w:w w:val="110"/>
          <w:sz w:val="18"/>
        </w:rPr>
        <w:t>Perspectivas Económicas</w:t>
      </w:r>
      <w:r>
        <w:rPr>
          <w:color w:val="231F20"/>
          <w:w w:val="110"/>
          <w:sz w:val="18"/>
        </w:rPr>
        <w:t>, febrero &lt;http:// usinfo.state.gov/journals/ites/0298/ijes/larsen.htm&gt;.</w:t>
      </w:r>
    </w:p>
    <w:p>
      <w:pPr>
        <w:spacing w:line="254" w:lineRule="auto" w:before="1"/>
        <w:ind w:left="360" w:right="119" w:hanging="240"/>
        <w:jc w:val="both"/>
        <w:rPr>
          <w:sz w:val="18"/>
        </w:rPr>
      </w:pPr>
      <w:r>
        <w:rPr>
          <w:color w:val="231F20"/>
          <w:w w:val="105"/>
          <w:sz w:val="18"/>
        </w:rPr>
        <w:t>Luce, Stephanie y Mark Brenner, 2006, “Women and Class: What Has Hap- pened in Forty Years?”, en </w:t>
      </w:r>
      <w:r>
        <w:rPr>
          <w:i/>
          <w:color w:val="231F20"/>
          <w:w w:val="105"/>
          <w:sz w:val="18"/>
        </w:rPr>
        <w:t>Monthly Review</w:t>
      </w:r>
      <w:r>
        <w:rPr>
          <w:color w:val="231F20"/>
          <w:w w:val="105"/>
          <w:sz w:val="18"/>
        </w:rPr>
        <w:t>, vol. 58, núm. 3, julio-agosto.</w:t>
      </w:r>
    </w:p>
    <w:p>
      <w:pPr>
        <w:spacing w:line="254" w:lineRule="auto" w:before="1"/>
        <w:ind w:left="360" w:right="117" w:hanging="240"/>
        <w:jc w:val="both"/>
        <w:rPr>
          <w:sz w:val="18"/>
        </w:rPr>
      </w:pPr>
      <w:r>
        <w:rPr>
          <w:color w:val="231F20"/>
          <w:sz w:val="18"/>
        </w:rPr>
        <w:t>Mariña Flores, Abelardo, 2008, “La fase actual de la economía mundial ca- pitalista: Evolución y perspectivas”, </w:t>
      </w:r>
      <w:r>
        <w:rPr>
          <w:i/>
          <w:color w:val="231F20"/>
          <w:sz w:val="18"/>
        </w:rPr>
        <w:t>XI Jornada de Economía Crítica</w:t>
      </w:r>
      <w:r>
        <w:rPr>
          <w:color w:val="231F20"/>
          <w:sz w:val="18"/>
        </w:rPr>
        <w:t>, Bilbao, 27-29  de marzo.</w:t>
      </w:r>
    </w:p>
    <w:p>
      <w:pPr>
        <w:spacing w:line="254" w:lineRule="auto" w:before="1"/>
        <w:ind w:left="360" w:right="117" w:hanging="240"/>
        <w:jc w:val="both"/>
        <w:rPr>
          <w:sz w:val="18"/>
        </w:rPr>
      </w:pPr>
      <w:r>
        <w:rPr>
          <w:color w:val="231F20"/>
          <w:w w:val="110"/>
          <w:sz w:val="18"/>
        </w:rPr>
        <w:t>Marshall,</w:t>
      </w:r>
      <w:r>
        <w:rPr>
          <w:color w:val="231F20"/>
          <w:spacing w:val="-28"/>
          <w:w w:val="110"/>
          <w:sz w:val="18"/>
        </w:rPr>
        <w:t> </w:t>
      </w:r>
      <w:r>
        <w:rPr>
          <w:color w:val="231F20"/>
          <w:spacing w:val="-4"/>
          <w:w w:val="110"/>
          <w:sz w:val="18"/>
        </w:rPr>
        <w:t>Ray,</w:t>
      </w:r>
      <w:r>
        <w:rPr>
          <w:color w:val="231F20"/>
          <w:spacing w:val="-28"/>
          <w:w w:val="110"/>
          <w:sz w:val="18"/>
        </w:rPr>
        <w:t> </w:t>
      </w:r>
      <w:r>
        <w:rPr>
          <w:color w:val="231F20"/>
          <w:w w:val="110"/>
          <w:sz w:val="18"/>
        </w:rPr>
        <w:t>1998,</w:t>
      </w:r>
      <w:r>
        <w:rPr>
          <w:color w:val="231F20"/>
          <w:spacing w:val="-28"/>
          <w:w w:val="110"/>
          <w:sz w:val="18"/>
        </w:rPr>
        <w:t> </w:t>
      </w:r>
      <w:r>
        <w:rPr>
          <w:color w:val="231F20"/>
          <w:w w:val="110"/>
          <w:sz w:val="18"/>
        </w:rPr>
        <w:t>“¿Es</w:t>
      </w:r>
      <w:r>
        <w:rPr>
          <w:color w:val="231F20"/>
          <w:spacing w:val="-28"/>
          <w:w w:val="110"/>
          <w:sz w:val="18"/>
        </w:rPr>
        <w:t> </w:t>
      </w:r>
      <w:r>
        <w:rPr>
          <w:color w:val="231F20"/>
          <w:w w:val="110"/>
          <w:sz w:val="18"/>
        </w:rPr>
        <w:t>el</w:t>
      </w:r>
      <w:r>
        <w:rPr>
          <w:color w:val="231F20"/>
          <w:spacing w:val="-28"/>
          <w:w w:val="110"/>
          <w:sz w:val="18"/>
        </w:rPr>
        <w:t> </w:t>
      </w:r>
      <w:r>
        <w:rPr>
          <w:color w:val="231F20"/>
          <w:w w:val="110"/>
          <w:sz w:val="18"/>
        </w:rPr>
        <w:t>sistema</w:t>
      </w:r>
      <w:r>
        <w:rPr>
          <w:color w:val="231F20"/>
          <w:spacing w:val="-28"/>
          <w:w w:val="110"/>
          <w:sz w:val="18"/>
        </w:rPr>
        <w:t> </w:t>
      </w:r>
      <w:r>
        <w:rPr>
          <w:color w:val="231F20"/>
          <w:w w:val="110"/>
          <w:sz w:val="18"/>
        </w:rPr>
        <w:t>socioeconómico</w:t>
      </w:r>
      <w:r>
        <w:rPr>
          <w:color w:val="231F20"/>
          <w:spacing w:val="-28"/>
          <w:w w:val="110"/>
          <w:sz w:val="18"/>
        </w:rPr>
        <w:t> </w:t>
      </w:r>
      <w:r>
        <w:rPr>
          <w:color w:val="231F20"/>
          <w:w w:val="110"/>
          <w:sz w:val="18"/>
        </w:rPr>
        <w:t>estadunidense</w:t>
      </w:r>
      <w:r>
        <w:rPr>
          <w:color w:val="231F20"/>
          <w:spacing w:val="-28"/>
          <w:w w:val="110"/>
          <w:sz w:val="18"/>
        </w:rPr>
        <w:t> </w:t>
      </w:r>
      <w:r>
        <w:rPr>
          <w:color w:val="231F20"/>
          <w:w w:val="110"/>
          <w:sz w:val="18"/>
        </w:rPr>
        <w:t>el</w:t>
      </w:r>
      <w:r>
        <w:rPr>
          <w:color w:val="231F20"/>
          <w:spacing w:val="-28"/>
          <w:w w:val="110"/>
          <w:sz w:val="18"/>
        </w:rPr>
        <w:t> </w:t>
      </w:r>
      <w:r>
        <w:rPr>
          <w:color w:val="231F20"/>
          <w:w w:val="110"/>
          <w:sz w:val="18"/>
        </w:rPr>
        <w:t>modelo para</w:t>
      </w:r>
      <w:r>
        <w:rPr>
          <w:color w:val="231F20"/>
          <w:spacing w:val="-18"/>
          <w:w w:val="110"/>
          <w:sz w:val="18"/>
        </w:rPr>
        <w:t> </w:t>
      </w:r>
      <w:r>
        <w:rPr>
          <w:color w:val="231F20"/>
          <w:w w:val="110"/>
          <w:sz w:val="18"/>
        </w:rPr>
        <w:t>los</w:t>
      </w:r>
      <w:r>
        <w:rPr>
          <w:color w:val="231F20"/>
          <w:spacing w:val="-18"/>
          <w:w w:val="110"/>
          <w:sz w:val="18"/>
        </w:rPr>
        <w:t> </w:t>
      </w:r>
      <w:r>
        <w:rPr>
          <w:color w:val="231F20"/>
          <w:w w:val="110"/>
          <w:sz w:val="18"/>
        </w:rPr>
        <w:t>otros</w:t>
      </w:r>
      <w:r>
        <w:rPr>
          <w:color w:val="231F20"/>
          <w:spacing w:val="-18"/>
          <w:w w:val="110"/>
          <w:sz w:val="18"/>
        </w:rPr>
        <w:t> </w:t>
      </w:r>
      <w:r>
        <w:rPr>
          <w:color w:val="231F20"/>
          <w:w w:val="110"/>
          <w:sz w:val="18"/>
        </w:rPr>
        <w:t>países?,</w:t>
      </w:r>
      <w:r>
        <w:rPr>
          <w:color w:val="231F20"/>
          <w:spacing w:val="-18"/>
          <w:w w:val="110"/>
          <w:sz w:val="18"/>
        </w:rPr>
        <w:t> </w:t>
      </w:r>
      <w:r>
        <w:rPr>
          <w:color w:val="231F20"/>
          <w:w w:val="110"/>
          <w:sz w:val="18"/>
        </w:rPr>
        <w:t>en</w:t>
      </w:r>
      <w:r>
        <w:rPr>
          <w:color w:val="231F20"/>
          <w:spacing w:val="-18"/>
          <w:w w:val="110"/>
          <w:sz w:val="18"/>
        </w:rPr>
        <w:t> </w:t>
      </w:r>
      <w:r>
        <w:rPr>
          <w:i/>
          <w:color w:val="231F20"/>
          <w:w w:val="110"/>
          <w:sz w:val="18"/>
        </w:rPr>
        <w:t>Perspectivas</w:t>
      </w:r>
      <w:r>
        <w:rPr>
          <w:i/>
          <w:color w:val="231F20"/>
          <w:spacing w:val="-18"/>
          <w:w w:val="110"/>
          <w:sz w:val="18"/>
        </w:rPr>
        <w:t> </w:t>
      </w:r>
      <w:r>
        <w:rPr>
          <w:i/>
          <w:color w:val="231F20"/>
          <w:w w:val="110"/>
          <w:sz w:val="18"/>
        </w:rPr>
        <w:t>Económicas</w:t>
      </w:r>
      <w:r>
        <w:rPr>
          <w:color w:val="231F20"/>
          <w:w w:val="110"/>
          <w:sz w:val="18"/>
        </w:rPr>
        <w:t>,</w:t>
      </w:r>
      <w:r>
        <w:rPr>
          <w:color w:val="231F20"/>
          <w:spacing w:val="-18"/>
          <w:w w:val="110"/>
          <w:sz w:val="18"/>
        </w:rPr>
        <w:t> </w:t>
      </w:r>
      <w:r>
        <w:rPr>
          <w:color w:val="231F20"/>
          <w:w w:val="110"/>
          <w:sz w:val="18"/>
        </w:rPr>
        <w:t>febrero</w:t>
      </w:r>
      <w:r>
        <w:rPr>
          <w:color w:val="231F20"/>
          <w:spacing w:val="-18"/>
          <w:w w:val="110"/>
          <w:sz w:val="18"/>
        </w:rPr>
        <w:t> </w:t>
      </w:r>
      <w:r>
        <w:rPr>
          <w:color w:val="231F20"/>
          <w:w w:val="110"/>
          <w:sz w:val="18"/>
        </w:rPr>
        <w:t>&lt;</w:t>
      </w:r>
      <w:hyperlink r:id="rId204">
        <w:r>
          <w:rPr>
            <w:color w:val="231F20"/>
            <w:w w:val="110"/>
            <w:sz w:val="18"/>
          </w:rPr>
          <w:t>http://usinfo.</w:t>
        </w:r>
      </w:hyperlink>
      <w:r>
        <w:rPr>
          <w:color w:val="231F20"/>
          <w:w w:val="110"/>
          <w:sz w:val="18"/>
        </w:rPr>
        <w:t> state.gov/journals/ites/0298/ijes/larsen.htm&gt;.</w:t>
      </w:r>
    </w:p>
    <w:p>
      <w:pPr>
        <w:spacing w:before="1"/>
        <w:ind w:left="120" w:right="25" w:firstLine="0"/>
        <w:jc w:val="left"/>
        <w:rPr>
          <w:sz w:val="18"/>
        </w:rPr>
      </w:pPr>
      <w:r>
        <w:rPr>
          <w:color w:val="231F20"/>
          <w:w w:val="105"/>
          <w:sz w:val="18"/>
        </w:rPr>
        <w:t>Marx, Karl, 1987, </w:t>
      </w:r>
      <w:r>
        <w:rPr>
          <w:i/>
          <w:color w:val="231F20"/>
          <w:w w:val="105"/>
          <w:sz w:val="18"/>
        </w:rPr>
        <w:t>El capital</w:t>
      </w:r>
      <w:r>
        <w:rPr>
          <w:color w:val="231F20"/>
          <w:w w:val="105"/>
          <w:sz w:val="18"/>
        </w:rPr>
        <w:t>, tomo III, vol. 6, México, Siglo XXI  Editores.</w:t>
      </w:r>
    </w:p>
    <w:p>
      <w:pPr>
        <w:spacing w:line="254" w:lineRule="auto" w:before="13"/>
        <w:ind w:left="360" w:right="118" w:hanging="240"/>
        <w:jc w:val="both"/>
        <w:rPr>
          <w:sz w:val="18"/>
        </w:rPr>
      </w:pPr>
      <w:r>
        <w:rPr>
          <w:color w:val="231F20"/>
          <w:w w:val="110"/>
          <w:sz w:val="18"/>
        </w:rPr>
        <w:t>Nadal,</w:t>
      </w:r>
      <w:r>
        <w:rPr>
          <w:color w:val="231F20"/>
          <w:spacing w:val="-14"/>
          <w:w w:val="110"/>
          <w:sz w:val="18"/>
        </w:rPr>
        <w:t> </w:t>
      </w:r>
      <w:r>
        <w:rPr>
          <w:color w:val="231F20"/>
          <w:w w:val="110"/>
          <w:sz w:val="18"/>
        </w:rPr>
        <w:t>Alejandro,</w:t>
      </w:r>
      <w:r>
        <w:rPr>
          <w:color w:val="231F20"/>
          <w:spacing w:val="-14"/>
          <w:w w:val="110"/>
          <w:sz w:val="18"/>
        </w:rPr>
        <w:t> </w:t>
      </w:r>
      <w:r>
        <w:rPr>
          <w:color w:val="231F20"/>
          <w:w w:val="110"/>
          <w:sz w:val="18"/>
        </w:rPr>
        <w:t>2011,</w:t>
      </w:r>
      <w:r>
        <w:rPr>
          <w:color w:val="231F20"/>
          <w:spacing w:val="-14"/>
          <w:w w:val="110"/>
          <w:sz w:val="18"/>
        </w:rPr>
        <w:t> </w:t>
      </w:r>
      <w:r>
        <w:rPr>
          <w:color w:val="231F20"/>
          <w:w w:val="110"/>
          <w:sz w:val="18"/>
        </w:rPr>
        <w:t>“EEUU:</w:t>
      </w:r>
      <w:r>
        <w:rPr>
          <w:color w:val="231F20"/>
          <w:spacing w:val="-14"/>
          <w:w w:val="110"/>
          <w:sz w:val="18"/>
        </w:rPr>
        <w:t> </w:t>
      </w:r>
      <w:r>
        <w:rPr>
          <w:color w:val="231F20"/>
          <w:w w:val="110"/>
          <w:sz w:val="18"/>
        </w:rPr>
        <w:t>el</w:t>
      </w:r>
      <w:r>
        <w:rPr>
          <w:color w:val="231F20"/>
          <w:spacing w:val="-14"/>
          <w:w w:val="110"/>
          <w:sz w:val="18"/>
        </w:rPr>
        <w:t> </w:t>
      </w:r>
      <w:r>
        <w:rPr>
          <w:color w:val="231F20"/>
          <w:w w:val="110"/>
          <w:sz w:val="18"/>
        </w:rPr>
        <w:t>informe</w:t>
      </w:r>
      <w:r>
        <w:rPr>
          <w:color w:val="231F20"/>
          <w:spacing w:val="-14"/>
          <w:w w:val="110"/>
          <w:sz w:val="18"/>
        </w:rPr>
        <w:t> </w:t>
      </w:r>
      <w:r>
        <w:rPr>
          <w:color w:val="231F20"/>
          <w:w w:val="110"/>
          <w:sz w:val="18"/>
        </w:rPr>
        <w:t>del</w:t>
      </w:r>
      <w:r>
        <w:rPr>
          <w:color w:val="231F20"/>
          <w:spacing w:val="-14"/>
          <w:w w:val="110"/>
          <w:sz w:val="18"/>
        </w:rPr>
        <w:t> </w:t>
      </w:r>
      <w:r>
        <w:rPr>
          <w:color w:val="231F20"/>
          <w:w w:val="110"/>
          <w:sz w:val="18"/>
        </w:rPr>
        <w:t>Congreso</w:t>
      </w:r>
      <w:r>
        <w:rPr>
          <w:color w:val="231F20"/>
          <w:spacing w:val="-14"/>
          <w:w w:val="110"/>
          <w:sz w:val="18"/>
        </w:rPr>
        <w:t> </w:t>
      </w:r>
      <w:r>
        <w:rPr>
          <w:color w:val="231F20"/>
          <w:w w:val="110"/>
          <w:sz w:val="18"/>
        </w:rPr>
        <w:t>sobre</w:t>
      </w:r>
      <w:r>
        <w:rPr>
          <w:color w:val="231F20"/>
          <w:spacing w:val="-14"/>
          <w:w w:val="110"/>
          <w:sz w:val="18"/>
        </w:rPr>
        <w:t> </w:t>
      </w:r>
      <w:r>
        <w:rPr>
          <w:color w:val="231F20"/>
          <w:w w:val="110"/>
          <w:sz w:val="18"/>
        </w:rPr>
        <w:t>las</w:t>
      </w:r>
      <w:r>
        <w:rPr>
          <w:color w:val="231F20"/>
          <w:spacing w:val="-14"/>
          <w:w w:val="110"/>
          <w:sz w:val="18"/>
        </w:rPr>
        <w:t> </w:t>
      </w:r>
      <w:r>
        <w:rPr>
          <w:color w:val="231F20"/>
          <w:w w:val="110"/>
          <w:sz w:val="18"/>
        </w:rPr>
        <w:t>causas</w:t>
      </w:r>
      <w:r>
        <w:rPr>
          <w:color w:val="231F20"/>
          <w:spacing w:val="-14"/>
          <w:w w:val="110"/>
          <w:sz w:val="18"/>
        </w:rPr>
        <w:t> </w:t>
      </w:r>
      <w:r>
        <w:rPr>
          <w:color w:val="231F20"/>
          <w:w w:val="110"/>
          <w:sz w:val="18"/>
        </w:rPr>
        <w:t>de la</w:t>
      </w:r>
      <w:r>
        <w:rPr>
          <w:color w:val="231F20"/>
          <w:spacing w:val="-17"/>
          <w:w w:val="110"/>
          <w:sz w:val="18"/>
        </w:rPr>
        <w:t> </w:t>
      </w:r>
      <w:r>
        <w:rPr>
          <w:color w:val="231F20"/>
          <w:w w:val="110"/>
          <w:sz w:val="18"/>
        </w:rPr>
        <w:t>crisis”,</w:t>
      </w:r>
      <w:r>
        <w:rPr>
          <w:color w:val="231F20"/>
          <w:spacing w:val="-17"/>
          <w:w w:val="110"/>
          <w:sz w:val="18"/>
        </w:rPr>
        <w:t> </w:t>
      </w:r>
      <w:r>
        <w:rPr>
          <w:color w:val="231F20"/>
          <w:w w:val="110"/>
          <w:sz w:val="18"/>
        </w:rPr>
        <w:t>en</w:t>
      </w:r>
      <w:r>
        <w:rPr>
          <w:color w:val="231F20"/>
          <w:spacing w:val="-17"/>
          <w:w w:val="110"/>
          <w:sz w:val="18"/>
        </w:rPr>
        <w:t> </w:t>
      </w:r>
      <w:r>
        <w:rPr>
          <w:i/>
          <w:color w:val="231F20"/>
          <w:w w:val="110"/>
          <w:sz w:val="18"/>
        </w:rPr>
        <w:t>Sin</w:t>
      </w:r>
      <w:r>
        <w:rPr>
          <w:i/>
          <w:color w:val="231F20"/>
          <w:spacing w:val="-17"/>
          <w:w w:val="110"/>
          <w:sz w:val="18"/>
        </w:rPr>
        <w:t> </w:t>
      </w:r>
      <w:r>
        <w:rPr>
          <w:i/>
          <w:color w:val="231F20"/>
          <w:w w:val="110"/>
          <w:sz w:val="18"/>
        </w:rPr>
        <w:t>Permiso</w:t>
      </w:r>
      <w:r>
        <w:rPr>
          <w:color w:val="231F20"/>
          <w:w w:val="110"/>
          <w:sz w:val="18"/>
        </w:rPr>
        <w:t>,</w:t>
      </w:r>
      <w:r>
        <w:rPr>
          <w:color w:val="231F20"/>
          <w:spacing w:val="-17"/>
          <w:w w:val="110"/>
          <w:sz w:val="18"/>
        </w:rPr>
        <w:t> </w:t>
      </w:r>
      <w:r>
        <w:rPr>
          <w:color w:val="231F20"/>
          <w:w w:val="110"/>
          <w:sz w:val="18"/>
        </w:rPr>
        <w:t>13</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febrero.</w:t>
      </w:r>
    </w:p>
    <w:p>
      <w:pPr>
        <w:spacing w:line="209" w:lineRule="exact" w:before="0"/>
        <w:ind w:left="120" w:right="25" w:firstLine="0"/>
        <w:jc w:val="left"/>
        <w:rPr>
          <w:sz w:val="18"/>
        </w:rPr>
      </w:pPr>
      <w:r>
        <w:rPr>
          <w:color w:val="231F20"/>
          <w:w w:val="110"/>
          <w:sz w:val="18"/>
        </w:rPr>
        <w:t>Notimex, 2010, “Migrantes conforman 16 por cie</w:t>
      </w:r>
      <w:r>
        <w:rPr>
          <w:rFonts w:ascii="Symbol" w:hAnsi="Symbol"/>
          <w:color w:val="231F20"/>
          <w:w w:val="110"/>
          <w:sz w:val="18"/>
        </w:rPr>
        <w:t></w:t>
      </w:r>
      <w:r>
        <w:rPr>
          <w:color w:val="231F20"/>
          <w:w w:val="110"/>
          <w:sz w:val="18"/>
        </w:rPr>
        <w:t>¬nto de la fuerza laboral</w:t>
      </w:r>
    </w:p>
    <w:p>
      <w:pPr>
        <w:spacing w:before="12"/>
        <w:ind w:left="360" w:right="25" w:firstLine="0"/>
        <w:jc w:val="left"/>
        <w:rPr>
          <w:sz w:val="18"/>
        </w:rPr>
      </w:pPr>
      <w:r>
        <w:rPr>
          <w:color w:val="231F20"/>
          <w:w w:val="110"/>
          <w:sz w:val="18"/>
        </w:rPr>
        <w:t>estadunidense”, México, </w:t>
      </w:r>
      <w:r>
        <w:rPr>
          <w:i/>
          <w:color w:val="231F20"/>
          <w:w w:val="110"/>
          <w:sz w:val="18"/>
        </w:rPr>
        <w:t>La Jornada</w:t>
      </w:r>
      <w:r>
        <w:rPr>
          <w:color w:val="231F20"/>
          <w:w w:val="110"/>
          <w:sz w:val="18"/>
        </w:rPr>
        <w:t>, 30 de agosto.</w:t>
      </w:r>
    </w:p>
    <w:p>
      <w:pPr>
        <w:spacing w:line="254" w:lineRule="auto" w:before="13"/>
        <w:ind w:left="359" w:right="119" w:hanging="240"/>
        <w:jc w:val="both"/>
        <w:rPr>
          <w:sz w:val="18"/>
        </w:rPr>
      </w:pPr>
      <w:r>
        <w:rPr>
          <w:color w:val="231F20"/>
          <w:w w:val="110"/>
          <w:sz w:val="18"/>
        </w:rPr>
        <w:t>Organization for Economic Cooperation and Development (oecd), 2005, “Economic</w:t>
      </w:r>
      <w:r>
        <w:rPr>
          <w:color w:val="231F20"/>
          <w:spacing w:val="-22"/>
          <w:w w:val="110"/>
          <w:sz w:val="18"/>
        </w:rPr>
        <w:t> </w:t>
      </w:r>
      <w:r>
        <w:rPr>
          <w:color w:val="231F20"/>
          <w:w w:val="110"/>
          <w:sz w:val="18"/>
        </w:rPr>
        <w:t>Survey</w:t>
      </w:r>
      <w:r>
        <w:rPr>
          <w:color w:val="231F20"/>
          <w:spacing w:val="-22"/>
          <w:w w:val="110"/>
          <w:sz w:val="18"/>
        </w:rPr>
        <w:t> </w:t>
      </w:r>
      <w:r>
        <w:rPr>
          <w:color w:val="231F20"/>
          <w:w w:val="110"/>
          <w:sz w:val="18"/>
        </w:rPr>
        <w:t>of</w:t>
      </w:r>
      <w:r>
        <w:rPr>
          <w:color w:val="231F20"/>
          <w:spacing w:val="-22"/>
          <w:w w:val="110"/>
          <w:sz w:val="18"/>
        </w:rPr>
        <w:t> </w:t>
      </w:r>
      <w:r>
        <w:rPr>
          <w:color w:val="231F20"/>
          <w:w w:val="110"/>
          <w:sz w:val="18"/>
        </w:rPr>
        <w:t>the</w:t>
      </w:r>
      <w:r>
        <w:rPr>
          <w:color w:val="231F20"/>
          <w:spacing w:val="-22"/>
          <w:w w:val="110"/>
          <w:sz w:val="18"/>
        </w:rPr>
        <w:t> </w:t>
      </w:r>
      <w:r>
        <w:rPr>
          <w:color w:val="231F20"/>
          <w:w w:val="110"/>
          <w:sz w:val="18"/>
        </w:rPr>
        <w:t>United</w:t>
      </w:r>
      <w:r>
        <w:rPr>
          <w:color w:val="231F20"/>
          <w:spacing w:val="-22"/>
          <w:w w:val="110"/>
          <w:sz w:val="18"/>
        </w:rPr>
        <w:t> </w:t>
      </w:r>
      <w:r>
        <w:rPr>
          <w:color w:val="231F20"/>
          <w:w w:val="110"/>
          <w:sz w:val="18"/>
        </w:rPr>
        <w:t>States</w:t>
      </w:r>
      <w:r>
        <w:rPr>
          <w:color w:val="231F20"/>
          <w:spacing w:val="-22"/>
          <w:w w:val="110"/>
          <w:sz w:val="18"/>
        </w:rPr>
        <w:t> </w:t>
      </w:r>
      <w:r>
        <w:rPr>
          <w:color w:val="231F20"/>
          <w:w w:val="110"/>
          <w:sz w:val="18"/>
        </w:rPr>
        <w:t>2005:</w:t>
      </w:r>
      <w:r>
        <w:rPr>
          <w:color w:val="231F20"/>
          <w:spacing w:val="-22"/>
          <w:w w:val="110"/>
          <w:sz w:val="18"/>
        </w:rPr>
        <w:t> </w:t>
      </w:r>
      <w:r>
        <w:rPr>
          <w:color w:val="231F20"/>
          <w:w w:val="110"/>
          <w:sz w:val="18"/>
        </w:rPr>
        <w:t>Labour</w:t>
      </w:r>
      <w:r>
        <w:rPr>
          <w:color w:val="231F20"/>
          <w:spacing w:val="-22"/>
          <w:w w:val="110"/>
          <w:sz w:val="18"/>
        </w:rPr>
        <w:t> </w:t>
      </w:r>
      <w:r>
        <w:rPr>
          <w:color w:val="231F20"/>
          <w:w w:val="110"/>
          <w:sz w:val="18"/>
        </w:rPr>
        <w:t>market</w:t>
      </w:r>
      <w:r>
        <w:rPr>
          <w:color w:val="231F20"/>
          <w:spacing w:val="-22"/>
          <w:w w:val="110"/>
          <w:sz w:val="18"/>
        </w:rPr>
        <w:t> </w:t>
      </w:r>
      <w:r>
        <w:rPr>
          <w:color w:val="231F20"/>
          <w:w w:val="110"/>
          <w:sz w:val="18"/>
        </w:rPr>
        <w:t>issues”,</w:t>
      </w:r>
      <w:r>
        <w:rPr>
          <w:color w:val="231F20"/>
          <w:spacing w:val="-22"/>
          <w:w w:val="110"/>
          <w:sz w:val="18"/>
        </w:rPr>
        <w:t> </w:t>
      </w:r>
      <w:r>
        <w:rPr>
          <w:color w:val="231F20"/>
          <w:w w:val="110"/>
          <w:sz w:val="18"/>
        </w:rPr>
        <w:t>oecd, 27 de octubre </w:t>
      </w:r>
      <w:r>
        <w:rPr>
          <w:color w:val="231F20"/>
          <w:spacing w:val="14"/>
          <w:w w:val="110"/>
          <w:sz w:val="18"/>
        </w:rPr>
        <w:t> </w:t>
      </w:r>
      <w:r>
        <w:rPr>
          <w:color w:val="231F20"/>
          <w:w w:val="110"/>
          <w:sz w:val="18"/>
        </w:rPr>
        <w:t>&lt;</w:t>
      </w:r>
      <w:hyperlink r:id="rId205">
        <w:r>
          <w:rPr>
            <w:color w:val="231F20"/>
            <w:w w:val="110"/>
            <w:sz w:val="18"/>
          </w:rPr>
          <w:t>http://www.oecd.org/&gt;</w:t>
        </w:r>
      </w:hyperlink>
      <w:r>
        <w:rPr>
          <w:color w:val="231F20"/>
          <w:w w:val="110"/>
          <w:sz w:val="18"/>
        </w:rPr>
        <w:t>.</w:t>
      </w:r>
    </w:p>
    <w:p>
      <w:pPr>
        <w:spacing w:line="254" w:lineRule="auto" w:before="1"/>
        <w:ind w:left="359" w:right="119" w:hanging="240"/>
        <w:jc w:val="both"/>
        <w:rPr>
          <w:sz w:val="18"/>
        </w:rPr>
      </w:pPr>
      <w:r>
        <w:rPr>
          <w:color w:val="231F20"/>
          <w:sz w:val="18"/>
        </w:rPr>
        <w:t>Sotelo</w:t>
      </w:r>
      <w:r>
        <w:rPr>
          <w:color w:val="231F20"/>
          <w:spacing w:val="-5"/>
          <w:sz w:val="18"/>
        </w:rPr>
        <w:t> </w:t>
      </w:r>
      <w:r>
        <w:rPr>
          <w:color w:val="231F20"/>
          <w:sz w:val="18"/>
        </w:rPr>
        <w:t>Valencia,</w:t>
      </w:r>
      <w:r>
        <w:rPr>
          <w:color w:val="231F20"/>
          <w:spacing w:val="-5"/>
          <w:sz w:val="18"/>
        </w:rPr>
        <w:t> </w:t>
      </w:r>
      <w:r>
        <w:rPr>
          <w:color w:val="231F20"/>
          <w:sz w:val="18"/>
        </w:rPr>
        <w:t>Adrián,</w:t>
      </w:r>
      <w:r>
        <w:rPr>
          <w:color w:val="231F20"/>
          <w:spacing w:val="-5"/>
          <w:sz w:val="18"/>
        </w:rPr>
        <w:t> </w:t>
      </w:r>
      <w:r>
        <w:rPr>
          <w:color w:val="231F20"/>
          <w:sz w:val="18"/>
        </w:rPr>
        <w:t>2010,</w:t>
      </w:r>
      <w:r>
        <w:rPr>
          <w:color w:val="231F20"/>
          <w:spacing w:val="-5"/>
          <w:sz w:val="18"/>
        </w:rPr>
        <w:t> </w:t>
      </w:r>
      <w:r>
        <w:rPr>
          <w:i/>
          <w:color w:val="231F20"/>
          <w:sz w:val="18"/>
        </w:rPr>
        <w:t>Crisis</w:t>
      </w:r>
      <w:r>
        <w:rPr>
          <w:i/>
          <w:color w:val="231F20"/>
          <w:spacing w:val="-5"/>
          <w:sz w:val="18"/>
        </w:rPr>
        <w:t> </w:t>
      </w:r>
      <w:r>
        <w:rPr>
          <w:i/>
          <w:color w:val="231F20"/>
          <w:sz w:val="18"/>
        </w:rPr>
        <w:t>capitalista</w:t>
      </w:r>
      <w:r>
        <w:rPr>
          <w:i/>
          <w:color w:val="231F20"/>
          <w:spacing w:val="-5"/>
          <w:sz w:val="18"/>
        </w:rPr>
        <w:t> </w:t>
      </w:r>
      <w:r>
        <w:rPr>
          <w:i/>
          <w:color w:val="231F20"/>
          <w:sz w:val="18"/>
        </w:rPr>
        <w:t>y</w:t>
      </w:r>
      <w:r>
        <w:rPr>
          <w:i/>
          <w:color w:val="231F20"/>
          <w:spacing w:val="-5"/>
          <w:sz w:val="18"/>
        </w:rPr>
        <w:t> </w:t>
      </w:r>
      <w:r>
        <w:rPr>
          <w:i/>
          <w:color w:val="231F20"/>
          <w:sz w:val="18"/>
        </w:rPr>
        <w:t>desmedida</w:t>
      </w:r>
      <w:r>
        <w:rPr>
          <w:i/>
          <w:color w:val="231F20"/>
          <w:spacing w:val="-5"/>
          <w:sz w:val="18"/>
        </w:rPr>
        <w:t> </w:t>
      </w:r>
      <w:r>
        <w:rPr>
          <w:i/>
          <w:color w:val="231F20"/>
          <w:sz w:val="18"/>
        </w:rPr>
        <w:t>del</w:t>
      </w:r>
      <w:r>
        <w:rPr>
          <w:i/>
          <w:color w:val="231F20"/>
          <w:spacing w:val="-5"/>
          <w:sz w:val="18"/>
        </w:rPr>
        <w:t> </w:t>
      </w:r>
      <w:r>
        <w:rPr>
          <w:i/>
          <w:color w:val="231F20"/>
          <w:spacing w:val="-3"/>
          <w:sz w:val="18"/>
        </w:rPr>
        <w:t>valor.</w:t>
      </w:r>
      <w:r>
        <w:rPr>
          <w:i/>
          <w:color w:val="231F20"/>
          <w:spacing w:val="-5"/>
          <w:sz w:val="18"/>
        </w:rPr>
        <w:t> </w:t>
      </w:r>
      <w:r>
        <w:rPr>
          <w:i/>
          <w:color w:val="231F20"/>
          <w:sz w:val="18"/>
        </w:rPr>
        <w:t>Un</w:t>
      </w:r>
      <w:r>
        <w:rPr>
          <w:i/>
          <w:color w:val="231F20"/>
          <w:spacing w:val="-5"/>
          <w:sz w:val="18"/>
        </w:rPr>
        <w:t> </w:t>
      </w:r>
      <w:r>
        <w:rPr>
          <w:i/>
          <w:color w:val="231F20"/>
          <w:sz w:val="18"/>
        </w:rPr>
        <w:t>enfoque </w:t>
      </w:r>
      <w:r>
        <w:rPr>
          <w:i/>
          <w:color w:val="231F20"/>
          <w:sz w:val="18"/>
        </w:rPr>
        <w:t>desde los Grundrisse</w:t>
      </w:r>
      <w:r>
        <w:rPr>
          <w:color w:val="231F20"/>
          <w:sz w:val="18"/>
        </w:rPr>
        <w:t>, México, Editorial Itaca y Universidad Nacional Autó- noma  de </w:t>
      </w:r>
      <w:r>
        <w:rPr>
          <w:color w:val="231F20"/>
          <w:spacing w:val="38"/>
          <w:sz w:val="18"/>
        </w:rPr>
        <w:t> </w:t>
      </w:r>
      <w:r>
        <w:rPr>
          <w:color w:val="231F20"/>
          <w:sz w:val="18"/>
        </w:rPr>
        <w:t>México.</w:t>
      </w:r>
    </w:p>
    <w:p>
      <w:pPr>
        <w:spacing w:line="254" w:lineRule="auto" w:before="1"/>
        <w:ind w:left="359" w:right="117" w:hanging="240"/>
        <w:jc w:val="both"/>
        <w:rPr>
          <w:sz w:val="18"/>
        </w:rPr>
      </w:pPr>
      <w:r>
        <w:rPr>
          <w:color w:val="231F20"/>
          <w:sz w:val="18"/>
        </w:rPr>
        <w:t>Rifkin, Jeremy, 2004, </w:t>
      </w:r>
      <w:r>
        <w:rPr>
          <w:i/>
          <w:color w:val="231F20"/>
          <w:sz w:val="18"/>
        </w:rPr>
        <w:t>El sueño europeo. Cómo la visión europea del futuro está </w:t>
      </w:r>
      <w:r>
        <w:rPr>
          <w:i/>
          <w:color w:val="231F20"/>
          <w:sz w:val="18"/>
        </w:rPr>
        <w:t>eclipsando el sueño americano</w:t>
      </w:r>
      <w:r>
        <w:rPr>
          <w:color w:val="231F20"/>
          <w:sz w:val="18"/>
        </w:rPr>
        <w:t>, Paidós, Barcelona.</w:t>
      </w:r>
    </w:p>
    <w:p>
      <w:pPr>
        <w:spacing w:line="254" w:lineRule="auto" w:before="1"/>
        <w:ind w:left="359" w:right="119" w:hanging="240"/>
        <w:jc w:val="left"/>
        <w:rPr>
          <w:sz w:val="18"/>
        </w:rPr>
      </w:pPr>
      <w:r>
        <w:rPr>
          <w:color w:val="231F20"/>
          <w:w w:val="105"/>
          <w:sz w:val="18"/>
        </w:rPr>
        <w:t>RT, 2012, “En EE.UU. ya hay tantos pobres como en 1965”, </w:t>
      </w:r>
      <w:hyperlink r:id="rId206">
        <w:r>
          <w:rPr>
            <w:color w:val="231F20"/>
            <w:w w:val="105"/>
            <w:sz w:val="18"/>
          </w:rPr>
          <w:t>(http://ac</w:t>
        </w:r>
      </w:hyperlink>
      <w:r>
        <w:rPr>
          <w:color w:val="231F20"/>
          <w:w w:val="105"/>
          <w:sz w:val="18"/>
        </w:rPr>
        <w:t>- tualidad.rt.com/economia/view/49808-En-EE.UU.-ya-hay-tantos-pobres- como-en-1965).</w:t>
      </w:r>
    </w:p>
    <w:p>
      <w:pPr>
        <w:spacing w:line="254" w:lineRule="auto" w:before="1"/>
        <w:ind w:left="359" w:right="119" w:hanging="240"/>
        <w:jc w:val="both"/>
        <w:rPr>
          <w:sz w:val="18"/>
        </w:rPr>
      </w:pPr>
      <w:r>
        <w:rPr>
          <w:color w:val="231F20"/>
          <w:w w:val="110"/>
          <w:sz w:val="18"/>
        </w:rPr>
        <w:t>Toussaint,</w:t>
      </w:r>
      <w:r>
        <w:rPr>
          <w:color w:val="231F20"/>
          <w:spacing w:val="-7"/>
          <w:w w:val="110"/>
          <w:sz w:val="18"/>
        </w:rPr>
        <w:t> </w:t>
      </w:r>
      <w:r>
        <w:rPr>
          <w:color w:val="231F20"/>
          <w:w w:val="110"/>
          <w:sz w:val="18"/>
        </w:rPr>
        <w:t>Eric,</w:t>
      </w:r>
      <w:r>
        <w:rPr>
          <w:color w:val="231F20"/>
          <w:spacing w:val="-7"/>
          <w:w w:val="110"/>
          <w:sz w:val="18"/>
        </w:rPr>
        <w:t> </w:t>
      </w:r>
      <w:r>
        <w:rPr>
          <w:color w:val="231F20"/>
          <w:w w:val="110"/>
          <w:sz w:val="18"/>
        </w:rPr>
        <w:t>2009,</w:t>
      </w:r>
      <w:r>
        <w:rPr>
          <w:color w:val="231F20"/>
          <w:spacing w:val="-7"/>
          <w:w w:val="110"/>
          <w:sz w:val="18"/>
        </w:rPr>
        <w:t> </w:t>
      </w:r>
      <w:r>
        <w:rPr>
          <w:color w:val="231F20"/>
          <w:w w:val="110"/>
          <w:sz w:val="18"/>
        </w:rPr>
        <w:t>“La</w:t>
      </w:r>
      <w:r>
        <w:rPr>
          <w:color w:val="231F20"/>
          <w:spacing w:val="-7"/>
          <w:w w:val="110"/>
          <w:sz w:val="18"/>
        </w:rPr>
        <w:t> </w:t>
      </w:r>
      <w:r>
        <w:rPr>
          <w:color w:val="231F20"/>
          <w:w w:val="110"/>
          <w:sz w:val="18"/>
        </w:rPr>
        <w:t>gran</w:t>
      </w:r>
      <w:r>
        <w:rPr>
          <w:color w:val="231F20"/>
          <w:spacing w:val="-7"/>
          <w:w w:val="110"/>
          <w:sz w:val="18"/>
        </w:rPr>
        <w:t> </w:t>
      </w:r>
      <w:r>
        <w:rPr>
          <w:color w:val="231F20"/>
          <w:w w:val="110"/>
          <w:sz w:val="18"/>
        </w:rPr>
        <w:t>transformación</w:t>
      </w:r>
      <w:r>
        <w:rPr>
          <w:color w:val="231F20"/>
          <w:spacing w:val="-7"/>
          <w:w w:val="110"/>
          <w:sz w:val="18"/>
        </w:rPr>
        <w:t> </w:t>
      </w:r>
      <w:r>
        <w:rPr>
          <w:color w:val="231F20"/>
          <w:w w:val="110"/>
          <w:sz w:val="18"/>
        </w:rPr>
        <w:t>desde</w:t>
      </w:r>
      <w:r>
        <w:rPr>
          <w:color w:val="231F20"/>
          <w:spacing w:val="-7"/>
          <w:w w:val="110"/>
          <w:sz w:val="18"/>
        </w:rPr>
        <w:t> </w:t>
      </w:r>
      <w:r>
        <w:rPr>
          <w:color w:val="231F20"/>
          <w:w w:val="110"/>
          <w:sz w:val="18"/>
        </w:rPr>
        <w:t>los</w:t>
      </w:r>
      <w:r>
        <w:rPr>
          <w:color w:val="231F20"/>
          <w:spacing w:val="-7"/>
          <w:w w:val="110"/>
          <w:sz w:val="18"/>
        </w:rPr>
        <w:t> </w:t>
      </w:r>
      <w:r>
        <w:rPr>
          <w:color w:val="231F20"/>
          <w:w w:val="110"/>
          <w:sz w:val="18"/>
        </w:rPr>
        <w:t>años</w:t>
      </w:r>
      <w:r>
        <w:rPr>
          <w:color w:val="231F20"/>
          <w:spacing w:val="-7"/>
          <w:w w:val="110"/>
          <w:sz w:val="18"/>
        </w:rPr>
        <w:t> </w:t>
      </w:r>
      <w:r>
        <w:rPr>
          <w:color w:val="231F20"/>
          <w:w w:val="110"/>
          <w:sz w:val="18"/>
        </w:rPr>
        <w:t>ochenta</w:t>
      </w:r>
      <w:r>
        <w:rPr>
          <w:color w:val="231F20"/>
          <w:spacing w:val="-7"/>
          <w:w w:val="110"/>
          <w:sz w:val="18"/>
        </w:rPr>
        <w:t> </w:t>
      </w:r>
      <w:r>
        <w:rPr>
          <w:color w:val="231F20"/>
          <w:w w:val="110"/>
          <w:sz w:val="18"/>
        </w:rPr>
        <w:t>hasta la</w:t>
      </w:r>
      <w:r>
        <w:rPr>
          <w:color w:val="231F20"/>
          <w:spacing w:val="-17"/>
          <w:w w:val="110"/>
          <w:sz w:val="18"/>
        </w:rPr>
        <w:t> </w:t>
      </w:r>
      <w:r>
        <w:rPr>
          <w:color w:val="231F20"/>
          <w:w w:val="110"/>
          <w:sz w:val="18"/>
        </w:rPr>
        <w:t>crisis</w:t>
      </w:r>
      <w:r>
        <w:rPr>
          <w:color w:val="231F20"/>
          <w:spacing w:val="-17"/>
          <w:w w:val="110"/>
          <w:sz w:val="18"/>
        </w:rPr>
        <w:t> </w:t>
      </w:r>
      <w:r>
        <w:rPr>
          <w:color w:val="231F20"/>
          <w:w w:val="110"/>
          <w:sz w:val="18"/>
        </w:rPr>
        <w:t>actual,</w:t>
      </w:r>
      <w:r>
        <w:rPr>
          <w:color w:val="231F20"/>
          <w:spacing w:val="-17"/>
          <w:w w:val="110"/>
          <w:sz w:val="18"/>
        </w:rPr>
        <w:t> </w:t>
      </w:r>
      <w:r>
        <w:rPr>
          <w:color w:val="231F20"/>
          <w:w w:val="110"/>
          <w:sz w:val="18"/>
        </w:rPr>
        <w:t>tanto</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Sur</w:t>
      </w:r>
      <w:r>
        <w:rPr>
          <w:color w:val="231F20"/>
          <w:spacing w:val="-17"/>
          <w:w w:val="110"/>
          <w:sz w:val="18"/>
        </w:rPr>
        <w:t> </w:t>
      </w:r>
      <w:r>
        <w:rPr>
          <w:color w:val="231F20"/>
          <w:w w:val="110"/>
          <w:sz w:val="18"/>
        </w:rPr>
        <w:t>como</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Norte”,</w:t>
      </w:r>
      <w:r>
        <w:rPr>
          <w:color w:val="231F20"/>
          <w:spacing w:val="-17"/>
          <w:w w:val="110"/>
          <w:sz w:val="18"/>
        </w:rPr>
        <w:t> </w:t>
      </w:r>
      <w:r>
        <w:rPr>
          <w:color w:val="231F20"/>
          <w:w w:val="110"/>
          <w:sz w:val="18"/>
        </w:rPr>
        <w:t>en</w:t>
      </w:r>
      <w:r>
        <w:rPr>
          <w:color w:val="231F20"/>
          <w:spacing w:val="-17"/>
          <w:w w:val="110"/>
          <w:sz w:val="18"/>
        </w:rPr>
        <w:t> </w:t>
      </w:r>
      <w:r>
        <w:rPr>
          <w:i/>
          <w:color w:val="231F20"/>
          <w:w w:val="110"/>
          <w:sz w:val="18"/>
        </w:rPr>
        <w:t>Archivo</w:t>
      </w:r>
      <w:r>
        <w:rPr>
          <w:i/>
          <w:color w:val="231F20"/>
          <w:spacing w:val="-17"/>
          <w:w w:val="110"/>
          <w:sz w:val="18"/>
        </w:rPr>
        <w:t> </w:t>
      </w:r>
      <w:r>
        <w:rPr>
          <w:i/>
          <w:color w:val="231F20"/>
          <w:w w:val="110"/>
          <w:sz w:val="18"/>
        </w:rPr>
        <w:t>Chile</w:t>
      </w:r>
      <w:r>
        <w:rPr>
          <w:color w:val="231F20"/>
          <w:w w:val="110"/>
          <w:sz w:val="18"/>
        </w:rPr>
        <w:t>,</w:t>
      </w:r>
      <w:r>
        <w:rPr>
          <w:color w:val="231F20"/>
          <w:spacing w:val="-17"/>
          <w:w w:val="110"/>
          <w:sz w:val="18"/>
        </w:rPr>
        <w:t> </w:t>
      </w:r>
      <w:r>
        <w:rPr>
          <w:color w:val="231F20"/>
          <w:w w:val="110"/>
          <w:sz w:val="18"/>
        </w:rPr>
        <w:t>Santia- go, Centro Estudios “Miguel Enríquez”, ceme, 20 de septiembre &lt;http:// </w:t>
      </w:r>
      <w:hyperlink r:id="rId207">
        <w:r>
          <w:rPr>
            <w:color w:val="231F20"/>
            <w:w w:val="110"/>
            <w:sz w:val="18"/>
          </w:rPr>
          <w:t>www.archivochile.com/Debate/crisis_08_09/crisis00186.pdf</w:t>
        </w:r>
      </w:hyperlink>
      <w:r>
        <w:rPr>
          <w:color w:val="231F20"/>
          <w:w w:val="110"/>
          <w:sz w:val="18"/>
        </w:rPr>
        <w:t>&gt;.</w:t>
      </w:r>
    </w:p>
    <w:p>
      <w:pPr>
        <w:spacing w:line="254" w:lineRule="auto" w:before="1"/>
        <w:ind w:left="360" w:right="119" w:hanging="240"/>
        <w:jc w:val="both"/>
        <w:rPr>
          <w:sz w:val="18"/>
        </w:rPr>
      </w:pPr>
      <w:r>
        <w:rPr>
          <w:color w:val="231F20"/>
          <w:w w:val="110"/>
          <w:sz w:val="18"/>
        </w:rPr>
        <w:t>US Bureau of Labor Statistics, 2008, Preliminary 2008. Data on Employ- ment Status by State and Demographic Group &lt;</w:t>
      </w:r>
      <w:hyperlink r:id="rId208">
        <w:r>
          <w:rPr>
            <w:color w:val="231F20"/>
            <w:w w:val="110"/>
            <w:sz w:val="18"/>
          </w:rPr>
          <w:t>www.bls.gov/lau/ptable-</w:t>
        </w:r>
      </w:hyperlink>
      <w:r>
        <w:rPr>
          <w:color w:val="231F20"/>
          <w:w w:val="110"/>
          <w:sz w:val="18"/>
        </w:rPr>
        <w:t> 14full2008.pdf&gt;.</w:t>
      </w:r>
    </w:p>
    <w:p>
      <w:pPr>
        <w:spacing w:before="1"/>
        <w:ind w:left="120" w:right="25" w:firstLine="0"/>
        <w:jc w:val="left"/>
        <w:rPr>
          <w:sz w:val="18"/>
        </w:rPr>
      </w:pPr>
      <w:r>
        <w:rPr>
          <w:color w:val="231F20"/>
          <w:w w:val="110"/>
          <w:sz w:val="18"/>
        </w:rPr>
        <w:t>____, 2012, Division of Current Employment Statistics, Washington,    DC</w:t>
      </w:r>
    </w:p>
    <w:p>
      <w:pPr>
        <w:spacing w:before="13"/>
        <w:ind w:left="360" w:right="25" w:firstLine="0"/>
        <w:jc w:val="left"/>
        <w:rPr>
          <w:sz w:val="18"/>
        </w:rPr>
      </w:pPr>
      <w:r>
        <w:rPr>
          <w:color w:val="231F20"/>
          <w:w w:val="110"/>
          <w:sz w:val="18"/>
        </w:rPr>
        <w:t>&lt;</w:t>
      </w:r>
      <w:hyperlink r:id="rId209">
        <w:r>
          <w:rPr>
            <w:color w:val="231F20"/>
            <w:w w:val="110"/>
            <w:sz w:val="18"/>
          </w:rPr>
          <w:t>www.bls.gov/ces/home.htm&gt;</w:t>
        </w:r>
      </w:hyperlink>
      <w:r>
        <w:rPr>
          <w:color w:val="231F20"/>
          <w:w w:val="110"/>
          <w:sz w:val="18"/>
        </w:rPr>
        <w:t>.</w:t>
      </w:r>
    </w:p>
    <w:p>
      <w:pPr>
        <w:spacing w:after="0"/>
        <w:jc w:val="left"/>
        <w:rPr>
          <w:sz w:val="18"/>
        </w:rPr>
        <w:sectPr>
          <w:pgSz w:w="7640" w:h="11900"/>
          <w:pgMar w:header="672" w:footer="0" w:top="860" w:bottom="280" w:left="760" w:right="640"/>
        </w:sectPr>
      </w:pPr>
    </w:p>
    <w:p>
      <w:pPr>
        <w:pStyle w:val="BodyText"/>
        <w:spacing w:before="8"/>
        <w:rPr>
          <w:sz w:val="8"/>
        </w:rPr>
      </w:pPr>
    </w:p>
    <w:p>
      <w:pPr>
        <w:spacing w:line="254" w:lineRule="auto" w:before="71"/>
        <w:ind w:left="340" w:right="119" w:hanging="240"/>
        <w:jc w:val="both"/>
        <w:rPr>
          <w:sz w:val="18"/>
        </w:rPr>
      </w:pPr>
      <w:r>
        <w:rPr>
          <w:color w:val="231F20"/>
          <w:w w:val="104"/>
          <w:sz w:val="18"/>
          <w:u w:val="single" w:color="221E1F"/>
        </w:rPr>
        <w:t> </w:t>
      </w:r>
      <w:r>
        <w:rPr>
          <w:color w:val="231F20"/>
          <w:sz w:val="18"/>
          <w:u w:val="single" w:color="221E1F"/>
        </w:rPr>
        <w:t>       </w:t>
      </w:r>
      <w:r>
        <w:rPr>
          <w:color w:val="231F20"/>
          <w:w w:val="110"/>
          <w:sz w:val="18"/>
        </w:rPr>
        <w:t>, 2011, Division of Labor Force Statistics, Washington, DC &lt;</w:t>
      </w:r>
      <w:hyperlink r:id="rId210">
        <w:r>
          <w:rPr>
            <w:color w:val="231F20"/>
            <w:w w:val="110"/>
            <w:sz w:val="18"/>
          </w:rPr>
          <w:t>http://bls.</w:t>
        </w:r>
      </w:hyperlink>
      <w:r>
        <w:rPr>
          <w:color w:val="231F20"/>
          <w:w w:val="110"/>
          <w:sz w:val="18"/>
        </w:rPr>
        <w:t> gov/CPS&gt;.</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10"/>
          <w:sz w:val="18"/>
        </w:rPr>
        <w:t>, 2012, Division of Labor Force Statistics, Washington, DC </w:t>
      </w:r>
      <w:hyperlink r:id="rId210">
        <w:r>
          <w:rPr>
            <w:color w:val="231F20"/>
            <w:w w:val="110"/>
            <w:sz w:val="18"/>
          </w:rPr>
          <w:t>&lt;http://bls.</w:t>
        </w:r>
      </w:hyperlink>
      <w:r>
        <w:rPr>
          <w:color w:val="231F20"/>
          <w:w w:val="110"/>
          <w:sz w:val="18"/>
        </w:rPr>
        <w:t> gov/CPS&gt;.</w:t>
      </w:r>
    </w:p>
    <w:p>
      <w:pPr>
        <w:spacing w:line="254" w:lineRule="auto" w:before="1"/>
        <w:ind w:left="340" w:right="119" w:hanging="240"/>
        <w:jc w:val="both"/>
        <w:rPr>
          <w:sz w:val="18"/>
        </w:rPr>
      </w:pPr>
      <w:r>
        <w:rPr>
          <w:color w:val="231F20"/>
          <w:w w:val="105"/>
          <w:sz w:val="18"/>
        </w:rPr>
        <w:t>US Department of Commerce, Bureau of Economic Analysis, 2012, </w:t>
      </w:r>
      <w:r>
        <w:rPr>
          <w:i/>
          <w:color w:val="231F20"/>
          <w:w w:val="105"/>
          <w:sz w:val="18"/>
        </w:rPr>
        <w:t>National </w:t>
      </w:r>
      <w:r>
        <w:rPr>
          <w:i/>
          <w:color w:val="231F20"/>
          <w:sz w:val="18"/>
        </w:rPr>
        <w:t>Economic Accounts </w:t>
      </w:r>
      <w:r>
        <w:rPr>
          <w:color w:val="231F20"/>
          <w:sz w:val="18"/>
        </w:rPr>
        <w:t>&lt;</w:t>
      </w:r>
      <w:hyperlink r:id="rId80">
        <w:r>
          <w:rPr>
            <w:color w:val="231F20"/>
            <w:sz w:val="18"/>
          </w:rPr>
          <w:t>www.bea.gov/</w:t>
        </w:r>
      </w:hyperlink>
      <w:r>
        <w:rPr>
          <w:color w:val="231F20"/>
          <w:sz w:val="18"/>
        </w:rPr>
        <w:t>&gt;.</w:t>
      </w:r>
    </w:p>
    <w:p>
      <w:pPr>
        <w:spacing w:line="254" w:lineRule="auto" w:before="1"/>
        <w:ind w:left="340" w:right="117" w:hanging="240"/>
        <w:jc w:val="both"/>
        <w:rPr>
          <w:sz w:val="18"/>
        </w:rPr>
      </w:pPr>
      <w:r>
        <w:rPr>
          <w:color w:val="231F20"/>
          <w:w w:val="110"/>
          <w:sz w:val="18"/>
        </w:rPr>
        <w:t>Vogel, Richard D., 2006, “Harder Times: Undocumented Workers and the US</w:t>
      </w:r>
      <w:r>
        <w:rPr>
          <w:color w:val="231F20"/>
          <w:spacing w:val="-16"/>
          <w:w w:val="110"/>
          <w:sz w:val="18"/>
        </w:rPr>
        <w:t> </w:t>
      </w:r>
      <w:r>
        <w:rPr>
          <w:color w:val="231F20"/>
          <w:w w:val="110"/>
          <w:sz w:val="18"/>
        </w:rPr>
        <w:t>Informal</w:t>
      </w:r>
      <w:r>
        <w:rPr>
          <w:color w:val="231F20"/>
          <w:spacing w:val="-16"/>
          <w:w w:val="110"/>
          <w:sz w:val="18"/>
        </w:rPr>
        <w:t> </w:t>
      </w:r>
      <w:r>
        <w:rPr>
          <w:color w:val="231F20"/>
          <w:w w:val="110"/>
          <w:sz w:val="18"/>
        </w:rPr>
        <w:t>Economy”,</w:t>
      </w:r>
      <w:r>
        <w:rPr>
          <w:color w:val="231F20"/>
          <w:spacing w:val="-16"/>
          <w:w w:val="110"/>
          <w:sz w:val="18"/>
        </w:rPr>
        <w:t> </w:t>
      </w:r>
      <w:r>
        <w:rPr>
          <w:color w:val="231F20"/>
          <w:w w:val="110"/>
          <w:sz w:val="18"/>
        </w:rPr>
        <w:t>en</w:t>
      </w:r>
      <w:r>
        <w:rPr>
          <w:color w:val="231F20"/>
          <w:spacing w:val="-16"/>
          <w:w w:val="110"/>
          <w:sz w:val="18"/>
        </w:rPr>
        <w:t> </w:t>
      </w:r>
      <w:r>
        <w:rPr>
          <w:i/>
          <w:color w:val="231F20"/>
          <w:w w:val="110"/>
          <w:sz w:val="18"/>
        </w:rPr>
        <w:t>Monthly</w:t>
      </w:r>
      <w:r>
        <w:rPr>
          <w:i/>
          <w:color w:val="231F20"/>
          <w:spacing w:val="-16"/>
          <w:w w:val="110"/>
          <w:sz w:val="18"/>
        </w:rPr>
        <w:t> </w:t>
      </w:r>
      <w:r>
        <w:rPr>
          <w:i/>
          <w:color w:val="231F20"/>
          <w:w w:val="110"/>
          <w:sz w:val="18"/>
        </w:rPr>
        <w:t>Review</w:t>
      </w:r>
      <w:r>
        <w:rPr>
          <w:color w:val="231F20"/>
          <w:w w:val="110"/>
          <w:sz w:val="18"/>
        </w:rPr>
        <w:t>,</w:t>
      </w:r>
      <w:r>
        <w:rPr>
          <w:color w:val="231F20"/>
          <w:spacing w:val="-16"/>
          <w:w w:val="110"/>
          <w:sz w:val="18"/>
        </w:rPr>
        <w:t> </w:t>
      </w:r>
      <w:r>
        <w:rPr>
          <w:color w:val="231F20"/>
          <w:w w:val="110"/>
          <w:sz w:val="18"/>
        </w:rPr>
        <w:t>vol.</w:t>
      </w:r>
      <w:r>
        <w:rPr>
          <w:color w:val="231F20"/>
          <w:spacing w:val="-16"/>
          <w:w w:val="110"/>
          <w:sz w:val="18"/>
        </w:rPr>
        <w:t> </w:t>
      </w:r>
      <w:r>
        <w:rPr>
          <w:color w:val="231F20"/>
          <w:w w:val="110"/>
          <w:sz w:val="18"/>
        </w:rPr>
        <w:t>58,</w:t>
      </w:r>
      <w:r>
        <w:rPr>
          <w:color w:val="231F20"/>
          <w:spacing w:val="-16"/>
          <w:w w:val="110"/>
          <w:sz w:val="18"/>
        </w:rPr>
        <w:t> </w:t>
      </w:r>
      <w:r>
        <w:rPr>
          <w:color w:val="231F20"/>
          <w:w w:val="110"/>
          <w:sz w:val="18"/>
        </w:rPr>
        <w:t>núm.</w:t>
      </w:r>
      <w:r>
        <w:rPr>
          <w:color w:val="231F20"/>
          <w:spacing w:val="-16"/>
          <w:w w:val="110"/>
          <w:sz w:val="18"/>
        </w:rPr>
        <w:t> </w:t>
      </w:r>
      <w:r>
        <w:rPr>
          <w:color w:val="231F20"/>
          <w:w w:val="110"/>
          <w:sz w:val="18"/>
        </w:rPr>
        <w:t>3,</w:t>
      </w:r>
      <w:r>
        <w:rPr>
          <w:color w:val="231F20"/>
          <w:spacing w:val="-16"/>
          <w:w w:val="110"/>
          <w:sz w:val="18"/>
        </w:rPr>
        <w:t> </w:t>
      </w:r>
      <w:r>
        <w:rPr>
          <w:color w:val="231F20"/>
          <w:w w:val="110"/>
          <w:sz w:val="18"/>
        </w:rPr>
        <w:t>Nueva</w:t>
      </w:r>
      <w:r>
        <w:rPr>
          <w:color w:val="231F20"/>
          <w:spacing w:val="-16"/>
          <w:w w:val="110"/>
          <w:sz w:val="18"/>
        </w:rPr>
        <w:t> </w:t>
      </w:r>
      <w:r>
        <w:rPr>
          <w:color w:val="231F20"/>
          <w:w w:val="110"/>
          <w:sz w:val="18"/>
        </w:rPr>
        <w:t>York, Monthly</w:t>
      </w:r>
      <w:r>
        <w:rPr>
          <w:color w:val="231F20"/>
          <w:spacing w:val="-24"/>
          <w:w w:val="110"/>
          <w:sz w:val="18"/>
        </w:rPr>
        <w:t> </w:t>
      </w:r>
      <w:r>
        <w:rPr>
          <w:color w:val="231F20"/>
          <w:w w:val="110"/>
          <w:sz w:val="18"/>
        </w:rPr>
        <w:t>Review</w:t>
      </w:r>
      <w:r>
        <w:rPr>
          <w:color w:val="231F20"/>
          <w:spacing w:val="-24"/>
          <w:w w:val="110"/>
          <w:sz w:val="18"/>
        </w:rPr>
        <w:t> </w:t>
      </w:r>
      <w:r>
        <w:rPr>
          <w:color w:val="231F20"/>
          <w:w w:val="110"/>
          <w:sz w:val="18"/>
        </w:rPr>
        <w:t>Press</w:t>
      </w:r>
      <w:r>
        <w:rPr>
          <w:color w:val="231F20"/>
          <w:spacing w:val="-24"/>
          <w:w w:val="110"/>
          <w:sz w:val="18"/>
        </w:rPr>
        <w:t> </w:t>
      </w:r>
      <w:r>
        <w:rPr>
          <w:color w:val="231F20"/>
          <w:w w:val="110"/>
          <w:sz w:val="18"/>
        </w:rPr>
        <w:t>&lt;</w:t>
      </w:r>
      <w:hyperlink r:id="rId211">
        <w:r>
          <w:rPr>
            <w:color w:val="231F20"/>
            <w:w w:val="110"/>
            <w:sz w:val="18"/>
          </w:rPr>
          <w:t>http://monthlyreview.org/0706vogel.htm&gt;</w:t>
        </w:r>
      </w:hyperlink>
      <w:r>
        <w:rPr>
          <w:color w:val="231F20"/>
          <w:w w:val="110"/>
          <w:sz w:val="18"/>
        </w:rPr>
        <w:t>.</w:t>
      </w:r>
    </w:p>
    <w:p>
      <w:pPr>
        <w:spacing w:line="254" w:lineRule="auto" w:before="1"/>
        <w:ind w:left="340" w:right="117" w:hanging="240"/>
        <w:jc w:val="both"/>
        <w:rPr>
          <w:sz w:val="18"/>
        </w:rPr>
      </w:pPr>
      <w:r>
        <w:rPr>
          <w:color w:val="231F20"/>
          <w:w w:val="105"/>
          <w:sz w:val="18"/>
        </w:rPr>
        <w:t>Vosko, Leah F., Nancy Zukewich y Cynthia Cranford, 2003, “Precarious jobs: A new typology of employment”, </w:t>
      </w:r>
      <w:r>
        <w:rPr>
          <w:i/>
          <w:color w:val="231F20"/>
          <w:w w:val="105"/>
          <w:sz w:val="18"/>
        </w:rPr>
        <w:t>Perspectives</w:t>
      </w:r>
      <w:r>
        <w:rPr>
          <w:color w:val="231F20"/>
          <w:w w:val="105"/>
          <w:sz w:val="18"/>
        </w:rPr>
        <w:t>, núm. 75-001-XIE, Canadá, octubre.</w:t>
      </w:r>
    </w:p>
    <w:p>
      <w:pPr>
        <w:spacing w:line="254" w:lineRule="auto" w:before="1"/>
        <w:ind w:left="340" w:right="117" w:hanging="240"/>
        <w:jc w:val="both"/>
        <w:rPr>
          <w:sz w:val="18"/>
        </w:rPr>
      </w:pPr>
      <w:r>
        <w:rPr>
          <w:color w:val="231F20"/>
          <w:sz w:val="18"/>
        </w:rPr>
        <w:t>Wallerstein, Immanuel, 2005, </w:t>
      </w:r>
      <w:r>
        <w:rPr>
          <w:i/>
          <w:color w:val="231F20"/>
          <w:sz w:val="18"/>
        </w:rPr>
        <w:t>La decadencia del poder estadunidense</w:t>
      </w:r>
      <w:r>
        <w:rPr>
          <w:color w:val="231F20"/>
          <w:sz w:val="18"/>
        </w:rPr>
        <w:t>, Ediciones Era-Editores    Independientes,   México.</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w:t>
      </w:r>
      <w:r>
        <w:rPr>
          <w:color w:val="231F20"/>
          <w:spacing w:val="-17"/>
          <w:w w:val="110"/>
          <w:sz w:val="18"/>
        </w:rPr>
        <w:t> </w:t>
      </w:r>
      <w:r>
        <w:rPr>
          <w:color w:val="231F20"/>
          <w:w w:val="110"/>
          <w:sz w:val="18"/>
        </w:rPr>
        <w:t>2008a,</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capitalismo</w:t>
      </w:r>
      <w:r>
        <w:rPr>
          <w:color w:val="231F20"/>
          <w:spacing w:val="-17"/>
          <w:w w:val="110"/>
          <w:sz w:val="18"/>
        </w:rPr>
        <w:t> </w:t>
      </w:r>
      <w:r>
        <w:rPr>
          <w:color w:val="231F20"/>
          <w:w w:val="110"/>
          <w:sz w:val="18"/>
        </w:rPr>
        <w:t>se</w:t>
      </w:r>
      <w:r>
        <w:rPr>
          <w:color w:val="231F20"/>
          <w:spacing w:val="-17"/>
          <w:w w:val="110"/>
          <w:sz w:val="18"/>
        </w:rPr>
        <w:t> </w:t>
      </w:r>
      <w:r>
        <w:rPr>
          <w:color w:val="231F20"/>
          <w:w w:val="110"/>
          <w:sz w:val="18"/>
        </w:rPr>
        <w:t>acaba”,</w:t>
      </w:r>
      <w:r>
        <w:rPr>
          <w:color w:val="231F20"/>
          <w:spacing w:val="-17"/>
          <w:w w:val="110"/>
          <w:sz w:val="18"/>
        </w:rPr>
        <w:t> </w:t>
      </w:r>
      <w:r>
        <w:rPr>
          <w:color w:val="231F20"/>
          <w:w w:val="110"/>
          <w:sz w:val="18"/>
        </w:rPr>
        <w:t>en</w:t>
      </w:r>
      <w:r>
        <w:rPr>
          <w:color w:val="231F20"/>
          <w:spacing w:val="-16"/>
          <w:w w:val="110"/>
          <w:sz w:val="18"/>
        </w:rPr>
        <w:t> </w:t>
      </w:r>
      <w:r>
        <w:rPr>
          <w:i/>
          <w:color w:val="231F20"/>
          <w:w w:val="110"/>
          <w:sz w:val="18"/>
        </w:rPr>
        <w:t>Rebelión</w:t>
      </w:r>
      <w:r>
        <w:rPr>
          <w:color w:val="231F20"/>
          <w:w w:val="110"/>
          <w:sz w:val="18"/>
        </w:rPr>
        <w:t>,</w:t>
      </w:r>
      <w:r>
        <w:rPr>
          <w:color w:val="231F20"/>
          <w:spacing w:val="-17"/>
          <w:w w:val="110"/>
          <w:sz w:val="18"/>
        </w:rPr>
        <w:t> </w:t>
      </w:r>
      <w:r>
        <w:rPr>
          <w:color w:val="231F20"/>
          <w:w w:val="110"/>
          <w:sz w:val="18"/>
        </w:rPr>
        <w:t>18</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octubre</w:t>
      </w:r>
      <w:r>
        <w:rPr>
          <w:color w:val="231F20"/>
          <w:spacing w:val="-17"/>
          <w:w w:val="110"/>
          <w:sz w:val="18"/>
        </w:rPr>
        <w:t> </w:t>
      </w:r>
      <w:r>
        <w:rPr>
          <w:color w:val="231F20"/>
          <w:w w:val="110"/>
          <w:sz w:val="18"/>
        </w:rPr>
        <w:t>(entrevista </w:t>
      </w:r>
      <w:r>
        <w:rPr>
          <w:color w:val="231F20"/>
          <w:w w:val="105"/>
          <w:sz w:val="18"/>
        </w:rPr>
        <w:t>con  Antoine  Reverchon) </w:t>
      </w:r>
      <w:r>
        <w:rPr>
          <w:color w:val="231F20"/>
          <w:spacing w:val="15"/>
          <w:w w:val="105"/>
          <w:sz w:val="18"/>
        </w:rPr>
        <w:t> </w:t>
      </w:r>
      <w:r>
        <w:rPr>
          <w:color w:val="231F20"/>
          <w:w w:val="105"/>
          <w:sz w:val="18"/>
        </w:rPr>
        <w:t>&lt;</w:t>
      </w:r>
      <w:hyperlink r:id="rId212">
        <w:r>
          <w:rPr>
            <w:color w:val="231F20"/>
            <w:w w:val="105"/>
            <w:sz w:val="18"/>
          </w:rPr>
          <w:t>www.rebelion.org/noticia.php?id=74554</w:t>
        </w:r>
      </w:hyperlink>
      <w:r>
        <w:rPr>
          <w:color w:val="231F20"/>
          <w:w w:val="105"/>
          <w:sz w:val="18"/>
        </w:rPr>
        <w:t>&gt;.</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w w:val="105"/>
          <w:sz w:val="18"/>
        </w:rPr>
        <w:t>, 2008b, “La depresión, una visión a largo plazo”, en </w:t>
      </w:r>
      <w:r>
        <w:rPr>
          <w:i/>
          <w:color w:val="231F20"/>
          <w:w w:val="105"/>
          <w:sz w:val="18"/>
        </w:rPr>
        <w:t>La Jornada</w:t>
      </w:r>
      <w:r>
        <w:rPr>
          <w:color w:val="231F20"/>
          <w:w w:val="105"/>
          <w:sz w:val="18"/>
        </w:rPr>
        <w:t>, México, 19  de octubre.</w:t>
      </w:r>
    </w:p>
    <w:p>
      <w:pPr>
        <w:spacing w:before="1"/>
        <w:ind w:left="100" w:right="25" w:firstLine="0"/>
        <w:jc w:val="left"/>
        <w:rPr>
          <w:sz w:val="18"/>
        </w:rPr>
      </w:pPr>
      <w:r>
        <w:rPr>
          <w:color w:val="231F20"/>
          <w:w w:val="105"/>
          <w:sz w:val="18"/>
        </w:rPr>
        <w:t>Wolff, Richard, 2010, “Capitalismo y pobreza”, en </w:t>
      </w:r>
      <w:r>
        <w:rPr>
          <w:i/>
          <w:color w:val="231F20"/>
          <w:w w:val="105"/>
          <w:sz w:val="18"/>
        </w:rPr>
        <w:t>El Peso</w:t>
      </w:r>
      <w:r>
        <w:rPr>
          <w:color w:val="231F20"/>
          <w:w w:val="105"/>
          <w:sz w:val="18"/>
        </w:rPr>
        <w:t>, 30 de  septiembre.</w:t>
      </w:r>
    </w:p>
    <w:p>
      <w:pPr>
        <w:spacing w:before="13"/>
        <w:ind w:left="340" w:right="25" w:firstLine="0"/>
        <w:jc w:val="left"/>
        <w:rPr>
          <w:sz w:val="18"/>
        </w:rPr>
      </w:pPr>
      <w:r>
        <w:rPr>
          <w:color w:val="231F20"/>
          <w:w w:val="105"/>
          <w:sz w:val="18"/>
        </w:rPr>
        <w:t>&lt;</w:t>
      </w:r>
      <w:hyperlink r:id="rId213">
        <w:r>
          <w:rPr>
            <w:color w:val="231F20"/>
            <w:w w:val="105"/>
            <w:sz w:val="18"/>
          </w:rPr>
          <w:t>www.diarioelpeso.com</w:t>
        </w:r>
      </w:hyperlink>
      <w:r>
        <w:rPr>
          <w:color w:val="231F20"/>
          <w:w w:val="105"/>
          <w:sz w:val="18"/>
        </w:rPr>
        <w:t>&gt;.</w:t>
      </w:r>
    </w:p>
    <w:p>
      <w:pPr>
        <w:spacing w:line="254" w:lineRule="auto" w:before="13"/>
        <w:ind w:left="340" w:right="119" w:hanging="240"/>
        <w:jc w:val="both"/>
        <w:rPr>
          <w:sz w:val="18"/>
        </w:rPr>
      </w:pPr>
      <w:r>
        <w:rPr>
          <w:color w:val="231F20"/>
          <w:w w:val="105"/>
          <w:sz w:val="18"/>
        </w:rPr>
        <w:t>Zubiri Rey, Jon Bernat, 2008, “Nuevas formas de precariedad laboral”, </w:t>
      </w:r>
      <w:r>
        <w:rPr>
          <w:i/>
          <w:color w:val="231F20"/>
          <w:w w:val="105"/>
          <w:sz w:val="18"/>
        </w:rPr>
        <w:t>Rebe- </w:t>
      </w:r>
      <w:r>
        <w:rPr>
          <w:i/>
          <w:color w:val="231F20"/>
          <w:w w:val="105"/>
          <w:sz w:val="18"/>
        </w:rPr>
        <w:t>lión</w:t>
      </w:r>
      <w:r>
        <w:rPr>
          <w:color w:val="231F20"/>
          <w:w w:val="105"/>
          <w:sz w:val="18"/>
        </w:rPr>
        <w:t>, 24 de julio  &lt;</w:t>
      </w:r>
      <w:hyperlink r:id="rId214">
        <w:r>
          <w:rPr>
            <w:color w:val="231F20"/>
            <w:w w:val="105"/>
            <w:sz w:val="18"/>
          </w:rPr>
          <w:t>www.rebelion.org/noticia.php?id=70686</w:t>
        </w:r>
      </w:hyperlink>
      <w:r>
        <w:rPr>
          <w:color w:val="231F20"/>
          <w:w w:val="105"/>
          <w:sz w:val="18"/>
        </w:rPr>
        <w:t>&gt;.</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25"/>
      </w:pPr>
      <w:r>
        <w:rPr>
          <w:color w:val="231F20"/>
        </w:rPr>
        <w:t>LA INMIGRACIÓN LATINOAMERICANA FRENTE A LA CRISIS ECONÓMICA EN ESTADOS UNIDOS. PRECARIZACIÓN SIN RETORNO</w:t>
      </w:r>
    </w:p>
    <w:p>
      <w:pPr>
        <w:pStyle w:val="BodyText"/>
        <w:spacing w:before="8"/>
        <w:rPr>
          <w:sz w:val="21"/>
        </w:rPr>
      </w:pPr>
    </w:p>
    <w:p>
      <w:pPr>
        <w:pStyle w:val="BodyText"/>
        <w:ind w:left="4138" w:right="25"/>
      </w:pPr>
      <w:r>
        <w:rPr>
          <w:color w:val="231F20"/>
          <w:w w:val="125"/>
        </w:rPr>
        <w:t>alejandro i. canales</w:t>
      </w:r>
    </w:p>
    <w:p>
      <w:pPr>
        <w:pStyle w:val="BodyText"/>
      </w:pPr>
    </w:p>
    <w:p>
      <w:pPr>
        <w:pStyle w:val="BodyText"/>
      </w:pPr>
    </w:p>
    <w:p>
      <w:pPr>
        <w:pStyle w:val="BodyText"/>
        <w:spacing w:before="11"/>
        <w:rPr>
          <w:sz w:val="26"/>
        </w:rPr>
      </w:pPr>
    </w:p>
    <w:p>
      <w:pPr>
        <w:pStyle w:val="BodyText"/>
        <w:ind w:left="100" w:right="25"/>
      </w:pPr>
      <w:r>
        <w:rPr>
          <w:color w:val="231F20"/>
          <w:w w:val="130"/>
        </w:rPr>
        <w:t>introducción</w:t>
      </w:r>
    </w:p>
    <w:p>
      <w:pPr>
        <w:pStyle w:val="BodyText"/>
        <w:spacing w:before="5"/>
        <w:rPr>
          <w:sz w:val="23"/>
        </w:rPr>
      </w:pPr>
    </w:p>
    <w:p>
      <w:pPr>
        <w:pStyle w:val="BodyText"/>
        <w:spacing w:line="261" w:lineRule="auto"/>
        <w:ind w:left="100" w:right="114"/>
        <w:jc w:val="both"/>
      </w:pPr>
      <w:r>
        <w:rPr>
          <w:color w:val="231F20"/>
          <w:w w:val="110"/>
        </w:rPr>
        <w:t>En tiempos de crisis económica, suelen despertarse los más</w:t>
      </w:r>
      <w:r>
        <w:rPr>
          <w:color w:val="231F20"/>
          <w:spacing w:val="-28"/>
          <w:w w:val="110"/>
        </w:rPr>
        <w:t> </w:t>
      </w:r>
      <w:r>
        <w:rPr>
          <w:color w:val="231F20"/>
          <w:w w:val="110"/>
        </w:rPr>
        <w:t>variados </w:t>
      </w:r>
      <w:r>
        <w:rPr>
          <w:color w:val="231F20"/>
          <w:spacing w:val="3"/>
          <w:w w:val="110"/>
        </w:rPr>
        <w:t>miedos </w:t>
      </w:r>
      <w:r>
        <w:rPr>
          <w:color w:val="231F20"/>
          <w:w w:val="110"/>
        </w:rPr>
        <w:t>y </w:t>
      </w:r>
      <w:r>
        <w:rPr>
          <w:color w:val="231F20"/>
          <w:spacing w:val="3"/>
          <w:w w:val="110"/>
        </w:rPr>
        <w:t>temores respecto </w:t>
      </w:r>
      <w:r>
        <w:rPr>
          <w:color w:val="231F20"/>
          <w:w w:val="110"/>
        </w:rPr>
        <w:t>a la </w:t>
      </w:r>
      <w:r>
        <w:rPr>
          <w:color w:val="231F20"/>
          <w:spacing w:val="3"/>
          <w:w w:val="110"/>
        </w:rPr>
        <w:t>migración </w:t>
      </w:r>
      <w:r>
        <w:rPr>
          <w:color w:val="231F20"/>
          <w:w w:val="110"/>
        </w:rPr>
        <w:t>y </w:t>
      </w:r>
      <w:r>
        <w:rPr>
          <w:color w:val="231F20"/>
          <w:spacing w:val="2"/>
          <w:w w:val="110"/>
        </w:rPr>
        <w:t>los </w:t>
      </w:r>
      <w:r>
        <w:rPr>
          <w:color w:val="231F20"/>
          <w:spacing w:val="3"/>
          <w:w w:val="110"/>
        </w:rPr>
        <w:t>migrantes. </w:t>
      </w:r>
      <w:r>
        <w:rPr>
          <w:color w:val="231F20"/>
          <w:w w:val="110"/>
        </w:rPr>
        <w:t>En </w:t>
      </w:r>
      <w:r>
        <w:rPr>
          <w:color w:val="231F20"/>
          <w:spacing w:val="4"/>
          <w:w w:val="110"/>
        </w:rPr>
        <w:t>el </w:t>
      </w:r>
      <w:r>
        <w:rPr>
          <w:color w:val="231F20"/>
          <w:spacing w:val="3"/>
          <w:w w:val="110"/>
        </w:rPr>
        <w:t>caso </w:t>
      </w:r>
      <w:r>
        <w:rPr>
          <w:color w:val="231F20"/>
          <w:w w:val="110"/>
        </w:rPr>
        <w:t>de los países de origen, por ejemplo, suele predominar un dis- curso catastrofista ante el temor que despiertan tanto un virtual re- torno</w:t>
      </w:r>
      <w:r>
        <w:rPr>
          <w:color w:val="231F20"/>
          <w:spacing w:val="-7"/>
          <w:w w:val="110"/>
        </w:rPr>
        <w:t> </w:t>
      </w:r>
      <w:r>
        <w:rPr>
          <w:color w:val="231F20"/>
          <w:w w:val="110"/>
        </w:rPr>
        <w:t>masivo</w:t>
      </w:r>
      <w:r>
        <w:rPr>
          <w:color w:val="231F20"/>
          <w:spacing w:val="-7"/>
          <w:w w:val="110"/>
        </w:rPr>
        <w:t> </w:t>
      </w:r>
      <w:r>
        <w:rPr>
          <w:color w:val="231F20"/>
          <w:w w:val="110"/>
        </w:rPr>
        <w:t>de</w:t>
      </w:r>
      <w:r>
        <w:rPr>
          <w:color w:val="231F20"/>
          <w:spacing w:val="-7"/>
          <w:w w:val="110"/>
        </w:rPr>
        <w:t> </w:t>
      </w:r>
      <w:r>
        <w:rPr>
          <w:color w:val="231F20"/>
          <w:w w:val="110"/>
        </w:rPr>
        <w:t>migrantes,</w:t>
      </w:r>
      <w:r>
        <w:rPr>
          <w:color w:val="231F20"/>
          <w:spacing w:val="-7"/>
          <w:w w:val="110"/>
        </w:rPr>
        <w:t> </w:t>
      </w:r>
      <w:r>
        <w:rPr>
          <w:color w:val="231F20"/>
          <w:w w:val="110"/>
        </w:rPr>
        <w:t>como</w:t>
      </w:r>
      <w:r>
        <w:rPr>
          <w:color w:val="231F20"/>
          <w:spacing w:val="-7"/>
          <w:w w:val="110"/>
        </w:rPr>
        <w:t> </w:t>
      </w:r>
      <w:r>
        <w:rPr>
          <w:color w:val="231F20"/>
          <w:w w:val="110"/>
        </w:rPr>
        <w:t>el</w:t>
      </w:r>
      <w:r>
        <w:rPr>
          <w:color w:val="231F20"/>
          <w:spacing w:val="-7"/>
          <w:w w:val="110"/>
        </w:rPr>
        <w:t> </w:t>
      </w:r>
      <w:r>
        <w:rPr>
          <w:color w:val="231F20"/>
          <w:w w:val="110"/>
        </w:rPr>
        <w:t>posible</w:t>
      </w:r>
      <w:r>
        <w:rPr>
          <w:color w:val="231F20"/>
          <w:spacing w:val="-7"/>
          <w:w w:val="110"/>
        </w:rPr>
        <w:t> </w:t>
      </w:r>
      <w:r>
        <w:rPr>
          <w:color w:val="231F20"/>
          <w:w w:val="110"/>
        </w:rPr>
        <w:t>desplome</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remesas que ellos envían. Por su parte, en los países de destino, se refuerzan las posiciones y discursos antiinmigrantes, a quienes se les achacan todos</w:t>
      </w:r>
      <w:r>
        <w:rPr>
          <w:color w:val="231F20"/>
          <w:spacing w:val="-24"/>
          <w:w w:val="110"/>
        </w:rPr>
        <w:t> </w:t>
      </w:r>
      <w:r>
        <w:rPr>
          <w:color w:val="231F20"/>
          <w:w w:val="110"/>
        </w:rPr>
        <w:t>los</w:t>
      </w:r>
      <w:r>
        <w:rPr>
          <w:color w:val="231F20"/>
          <w:spacing w:val="-24"/>
          <w:w w:val="110"/>
        </w:rPr>
        <w:t> </w:t>
      </w:r>
      <w:r>
        <w:rPr>
          <w:color w:val="231F20"/>
          <w:w w:val="110"/>
        </w:rPr>
        <w:t>males</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crisis</w:t>
      </w:r>
      <w:r>
        <w:rPr>
          <w:color w:val="231F20"/>
          <w:spacing w:val="-24"/>
          <w:w w:val="110"/>
        </w:rPr>
        <w:t> </w:t>
      </w:r>
      <w:r>
        <w:rPr>
          <w:color w:val="231F20"/>
          <w:w w:val="110"/>
        </w:rPr>
        <w:t>(desempleo,</w:t>
      </w:r>
      <w:r>
        <w:rPr>
          <w:color w:val="231F20"/>
          <w:spacing w:val="-24"/>
          <w:w w:val="110"/>
        </w:rPr>
        <w:t> </w:t>
      </w:r>
      <w:r>
        <w:rPr>
          <w:color w:val="231F20"/>
          <w:w w:val="110"/>
        </w:rPr>
        <w:t>salarios,</w:t>
      </w:r>
      <w:r>
        <w:rPr>
          <w:color w:val="231F20"/>
          <w:spacing w:val="-24"/>
          <w:w w:val="110"/>
        </w:rPr>
        <w:t> </w:t>
      </w:r>
      <w:r>
        <w:rPr>
          <w:color w:val="231F20"/>
          <w:w w:val="110"/>
        </w:rPr>
        <w:t>inseguridad</w:t>
      </w:r>
      <w:r>
        <w:rPr>
          <w:color w:val="231F20"/>
          <w:spacing w:val="-24"/>
          <w:w w:val="110"/>
        </w:rPr>
        <w:t> </w:t>
      </w:r>
      <w:r>
        <w:rPr>
          <w:color w:val="231F20"/>
          <w:w w:val="110"/>
        </w:rPr>
        <w:t>y</w:t>
      </w:r>
      <w:r>
        <w:rPr>
          <w:color w:val="231F20"/>
          <w:spacing w:val="-24"/>
          <w:w w:val="110"/>
        </w:rPr>
        <w:t> </w:t>
      </w:r>
      <w:r>
        <w:rPr>
          <w:color w:val="231F20"/>
          <w:w w:val="110"/>
        </w:rPr>
        <w:t>muchas cosas más) (Kochhar,</w:t>
      </w:r>
      <w:r>
        <w:rPr>
          <w:color w:val="231F20"/>
          <w:spacing w:val="-26"/>
          <w:w w:val="110"/>
        </w:rPr>
        <w:t> </w:t>
      </w:r>
      <w:r>
        <w:rPr>
          <w:color w:val="231F20"/>
          <w:w w:val="110"/>
        </w:rPr>
        <w:t>2009).</w:t>
      </w:r>
    </w:p>
    <w:p>
      <w:pPr>
        <w:pStyle w:val="BodyText"/>
        <w:spacing w:line="261" w:lineRule="auto"/>
        <w:ind w:left="100" w:right="117" w:firstLine="240"/>
        <w:jc w:val="both"/>
      </w:pPr>
      <w:r>
        <w:rPr>
          <w:color w:val="231F20"/>
          <w:w w:val="110"/>
        </w:rPr>
        <w:t>Sin</w:t>
      </w:r>
      <w:r>
        <w:rPr>
          <w:color w:val="231F20"/>
          <w:spacing w:val="-12"/>
          <w:w w:val="110"/>
        </w:rPr>
        <w:t> </w:t>
      </w:r>
      <w:r>
        <w:rPr>
          <w:color w:val="231F20"/>
          <w:w w:val="110"/>
        </w:rPr>
        <w:t>embargo,</w:t>
      </w:r>
      <w:r>
        <w:rPr>
          <w:color w:val="231F20"/>
          <w:spacing w:val="-12"/>
          <w:w w:val="110"/>
        </w:rPr>
        <w:t> </w:t>
      </w:r>
      <w:r>
        <w:rPr>
          <w:color w:val="231F20"/>
          <w:w w:val="110"/>
        </w:rPr>
        <w:t>la</w:t>
      </w:r>
      <w:r>
        <w:rPr>
          <w:color w:val="231F20"/>
          <w:spacing w:val="-12"/>
          <w:w w:val="110"/>
        </w:rPr>
        <w:t> </w:t>
      </w:r>
      <w:r>
        <w:rPr>
          <w:color w:val="231F20"/>
          <w:w w:val="110"/>
        </w:rPr>
        <w:t>misma</w:t>
      </w:r>
      <w:r>
        <w:rPr>
          <w:color w:val="231F20"/>
          <w:spacing w:val="-12"/>
          <w:w w:val="110"/>
        </w:rPr>
        <w:t> </w:t>
      </w:r>
      <w:r>
        <w:rPr>
          <w:color w:val="231F20"/>
          <w:w w:val="110"/>
        </w:rPr>
        <w:t>historia</w:t>
      </w:r>
      <w:r>
        <w:rPr>
          <w:color w:val="231F20"/>
          <w:spacing w:val="-12"/>
          <w:w w:val="110"/>
        </w:rPr>
        <w:t> </w:t>
      </w:r>
      <w:r>
        <w:rPr>
          <w:color w:val="231F20"/>
          <w:w w:val="110"/>
        </w:rPr>
        <w:t>se</w:t>
      </w:r>
      <w:r>
        <w:rPr>
          <w:color w:val="231F20"/>
          <w:spacing w:val="-12"/>
          <w:w w:val="110"/>
        </w:rPr>
        <w:t> </w:t>
      </w:r>
      <w:r>
        <w:rPr>
          <w:color w:val="231F20"/>
          <w:w w:val="110"/>
        </w:rPr>
        <w:t>ha</w:t>
      </w:r>
      <w:r>
        <w:rPr>
          <w:color w:val="231F20"/>
          <w:spacing w:val="-12"/>
          <w:w w:val="110"/>
        </w:rPr>
        <w:t> </w:t>
      </w:r>
      <w:r>
        <w:rPr>
          <w:color w:val="231F20"/>
          <w:w w:val="110"/>
        </w:rPr>
        <w:t>encargado</w:t>
      </w:r>
      <w:r>
        <w:rPr>
          <w:color w:val="231F20"/>
          <w:spacing w:val="-12"/>
          <w:w w:val="110"/>
        </w:rPr>
        <w:t> </w:t>
      </w:r>
      <w:r>
        <w:rPr>
          <w:color w:val="231F20"/>
          <w:w w:val="110"/>
        </w:rPr>
        <w:t>de</w:t>
      </w:r>
      <w:r>
        <w:rPr>
          <w:color w:val="231F20"/>
          <w:spacing w:val="-12"/>
          <w:w w:val="110"/>
        </w:rPr>
        <w:t> </w:t>
      </w:r>
      <w:r>
        <w:rPr>
          <w:color w:val="231F20"/>
          <w:w w:val="110"/>
        </w:rPr>
        <w:t>desmentir</w:t>
      </w:r>
      <w:r>
        <w:rPr>
          <w:color w:val="231F20"/>
          <w:spacing w:val="-12"/>
          <w:w w:val="110"/>
        </w:rPr>
        <w:t> </w:t>
      </w:r>
      <w:r>
        <w:rPr>
          <w:color w:val="231F20"/>
          <w:w w:val="110"/>
        </w:rPr>
        <w:t>estas visiones</w:t>
      </w:r>
      <w:r>
        <w:rPr>
          <w:color w:val="231F20"/>
          <w:spacing w:val="-14"/>
          <w:w w:val="110"/>
        </w:rPr>
        <w:t> </w:t>
      </w:r>
      <w:r>
        <w:rPr>
          <w:color w:val="231F20"/>
          <w:w w:val="110"/>
        </w:rPr>
        <w:t>alarmistas</w:t>
      </w:r>
      <w:r>
        <w:rPr>
          <w:color w:val="231F20"/>
          <w:spacing w:val="-14"/>
          <w:w w:val="110"/>
        </w:rPr>
        <w:t> </w:t>
      </w:r>
      <w:r>
        <w:rPr>
          <w:color w:val="231F20"/>
          <w:w w:val="110"/>
        </w:rPr>
        <w:t>(García</w:t>
      </w:r>
      <w:r>
        <w:rPr>
          <w:color w:val="231F20"/>
          <w:spacing w:val="-14"/>
          <w:w w:val="110"/>
        </w:rPr>
        <w:t> </w:t>
      </w:r>
      <w:r>
        <w:rPr>
          <w:color w:val="231F20"/>
          <w:w w:val="110"/>
        </w:rPr>
        <w:t>y</w:t>
      </w:r>
      <w:r>
        <w:rPr>
          <w:color w:val="231F20"/>
          <w:spacing w:val="-14"/>
          <w:w w:val="110"/>
        </w:rPr>
        <w:t> </w:t>
      </w:r>
      <w:r>
        <w:rPr>
          <w:color w:val="231F20"/>
          <w:w w:val="110"/>
        </w:rPr>
        <w:t>Griego</w:t>
      </w:r>
      <w:r>
        <w:rPr>
          <w:color w:val="231F20"/>
          <w:spacing w:val="-14"/>
          <w:w w:val="110"/>
        </w:rPr>
        <w:t> </w:t>
      </w:r>
      <w:r>
        <w:rPr>
          <w:color w:val="231F20"/>
          <w:w w:val="110"/>
        </w:rPr>
        <w:t>y</w:t>
      </w:r>
      <w:r>
        <w:rPr>
          <w:color w:val="231F20"/>
          <w:spacing w:val="-14"/>
          <w:w w:val="110"/>
        </w:rPr>
        <w:t> </w:t>
      </w:r>
      <w:r>
        <w:rPr>
          <w:color w:val="231F20"/>
          <w:w w:val="110"/>
        </w:rPr>
        <w:t>Giner</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Ríos,</w:t>
      </w:r>
      <w:r>
        <w:rPr>
          <w:color w:val="231F20"/>
          <w:spacing w:val="-14"/>
          <w:w w:val="110"/>
        </w:rPr>
        <w:t> </w:t>
      </w:r>
      <w:r>
        <w:rPr>
          <w:color w:val="231F20"/>
          <w:w w:val="110"/>
        </w:rPr>
        <w:t>1985).</w:t>
      </w:r>
      <w:r>
        <w:rPr>
          <w:color w:val="231F20"/>
          <w:spacing w:val="-14"/>
          <w:w w:val="110"/>
        </w:rPr>
        <w:t> </w:t>
      </w:r>
      <w:r>
        <w:rPr>
          <w:color w:val="231F20"/>
          <w:w w:val="110"/>
        </w:rPr>
        <w:t>En</w:t>
      </w:r>
      <w:r>
        <w:rPr>
          <w:color w:val="231F20"/>
          <w:spacing w:val="-14"/>
          <w:w w:val="110"/>
        </w:rPr>
        <w:t> </w:t>
      </w:r>
      <w:r>
        <w:rPr>
          <w:color w:val="231F20"/>
          <w:w w:val="110"/>
        </w:rPr>
        <w:t>el caso de la crisis actual, podemos agregar que diversos estudios han demostrado al menos tres tendencias; a </w:t>
      </w:r>
      <w:r>
        <w:rPr>
          <w:color w:val="231F20"/>
          <w:spacing w:val="-3"/>
          <w:w w:val="110"/>
        </w:rPr>
        <w:t>saber, </w:t>
      </w:r>
      <w:r>
        <w:rPr>
          <w:color w:val="231F20"/>
          <w:w w:val="110"/>
        </w:rPr>
        <w:t>que el retorno masivo no</w:t>
      </w:r>
      <w:r>
        <w:rPr>
          <w:color w:val="231F20"/>
          <w:spacing w:val="-12"/>
          <w:w w:val="110"/>
        </w:rPr>
        <w:t> </w:t>
      </w:r>
      <w:r>
        <w:rPr>
          <w:color w:val="231F20"/>
          <w:w w:val="110"/>
        </w:rPr>
        <w:t>es</w:t>
      </w:r>
      <w:r>
        <w:rPr>
          <w:color w:val="231F20"/>
          <w:spacing w:val="-12"/>
          <w:w w:val="110"/>
        </w:rPr>
        <w:t> </w:t>
      </w:r>
      <w:r>
        <w:rPr>
          <w:color w:val="231F20"/>
          <w:w w:val="110"/>
        </w:rPr>
        <w:t>real,</w:t>
      </w:r>
      <w:r>
        <w:rPr>
          <w:color w:val="231F20"/>
          <w:spacing w:val="-12"/>
          <w:w w:val="110"/>
        </w:rPr>
        <w:t> </w:t>
      </w:r>
      <w:r>
        <w:rPr>
          <w:color w:val="231F20"/>
          <w:w w:val="110"/>
        </w:rPr>
        <w:t>aunque</w:t>
      </w:r>
      <w:r>
        <w:rPr>
          <w:color w:val="231F20"/>
          <w:spacing w:val="-12"/>
          <w:w w:val="110"/>
        </w:rPr>
        <w:t> </w:t>
      </w:r>
      <w:r>
        <w:rPr>
          <w:color w:val="231F20"/>
          <w:w w:val="110"/>
        </w:rPr>
        <w:t>sí</w:t>
      </w:r>
      <w:r>
        <w:rPr>
          <w:color w:val="231F20"/>
          <w:spacing w:val="-12"/>
          <w:w w:val="110"/>
        </w:rPr>
        <w:t> </w:t>
      </w:r>
      <w:r>
        <w:rPr>
          <w:color w:val="231F20"/>
          <w:w w:val="110"/>
        </w:rPr>
        <w:t>hay</w:t>
      </w:r>
      <w:r>
        <w:rPr>
          <w:color w:val="231F20"/>
          <w:spacing w:val="-12"/>
          <w:w w:val="110"/>
        </w:rPr>
        <w:t> </w:t>
      </w:r>
      <w:r>
        <w:rPr>
          <w:color w:val="231F20"/>
          <w:w w:val="110"/>
        </w:rPr>
        <w:t>un</w:t>
      </w:r>
      <w:r>
        <w:rPr>
          <w:color w:val="231F20"/>
          <w:spacing w:val="-12"/>
          <w:w w:val="110"/>
        </w:rPr>
        <w:t> </w:t>
      </w:r>
      <w:r>
        <w:rPr>
          <w:color w:val="231F20"/>
          <w:w w:val="110"/>
        </w:rPr>
        <w:t>freno</w:t>
      </w:r>
      <w:r>
        <w:rPr>
          <w:color w:val="231F20"/>
          <w:spacing w:val="-12"/>
          <w:w w:val="110"/>
        </w:rPr>
        <w:t> </w:t>
      </w:r>
      <w:r>
        <w:rPr>
          <w:color w:val="231F20"/>
          <w:w w:val="110"/>
        </w:rPr>
        <w:t>o</w:t>
      </w:r>
      <w:r>
        <w:rPr>
          <w:color w:val="231F20"/>
          <w:spacing w:val="-12"/>
          <w:w w:val="110"/>
        </w:rPr>
        <w:t> </w:t>
      </w:r>
      <w:r>
        <w:rPr>
          <w:color w:val="231F20"/>
          <w:w w:val="110"/>
        </w:rPr>
        <w:t>desaceleración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inmigración; que</w:t>
      </w:r>
      <w:r>
        <w:rPr>
          <w:color w:val="231F20"/>
          <w:spacing w:val="-11"/>
          <w:w w:val="110"/>
        </w:rPr>
        <w:t> </w:t>
      </w:r>
      <w:r>
        <w:rPr>
          <w:color w:val="231F20"/>
          <w:w w:val="110"/>
        </w:rPr>
        <w:t>las</w:t>
      </w:r>
      <w:r>
        <w:rPr>
          <w:color w:val="231F20"/>
          <w:spacing w:val="-11"/>
          <w:w w:val="110"/>
        </w:rPr>
        <w:t> </w:t>
      </w:r>
      <w:r>
        <w:rPr>
          <w:color w:val="231F20"/>
          <w:w w:val="110"/>
        </w:rPr>
        <w:t>remesas</w:t>
      </w:r>
      <w:r>
        <w:rPr>
          <w:color w:val="231F20"/>
          <w:spacing w:val="-11"/>
          <w:w w:val="110"/>
        </w:rPr>
        <w:t> </w:t>
      </w:r>
      <w:r>
        <w:rPr>
          <w:color w:val="231F20"/>
          <w:w w:val="110"/>
        </w:rPr>
        <w:t>si</w:t>
      </w:r>
      <w:r>
        <w:rPr>
          <w:color w:val="231F20"/>
          <w:spacing w:val="-11"/>
          <w:w w:val="110"/>
        </w:rPr>
        <w:t> </w:t>
      </w:r>
      <w:r>
        <w:rPr>
          <w:color w:val="231F20"/>
          <w:w w:val="110"/>
        </w:rPr>
        <w:t>bien</w:t>
      </w:r>
      <w:r>
        <w:rPr>
          <w:color w:val="231F20"/>
          <w:spacing w:val="-11"/>
          <w:w w:val="110"/>
        </w:rPr>
        <w:t> </w:t>
      </w:r>
      <w:r>
        <w:rPr>
          <w:color w:val="231F20"/>
          <w:w w:val="110"/>
        </w:rPr>
        <w:t>se</w:t>
      </w:r>
      <w:r>
        <w:rPr>
          <w:color w:val="231F20"/>
          <w:spacing w:val="-11"/>
          <w:w w:val="110"/>
        </w:rPr>
        <w:t> </w:t>
      </w:r>
      <w:r>
        <w:rPr>
          <w:color w:val="231F20"/>
          <w:w w:val="110"/>
        </w:rPr>
        <w:t>han</w:t>
      </w:r>
      <w:r>
        <w:rPr>
          <w:color w:val="231F20"/>
          <w:spacing w:val="-11"/>
          <w:w w:val="110"/>
        </w:rPr>
        <w:t> </w:t>
      </w:r>
      <w:r>
        <w:rPr>
          <w:color w:val="231F20"/>
          <w:w w:val="110"/>
        </w:rPr>
        <w:t>estancado</w:t>
      </w:r>
      <w:r>
        <w:rPr>
          <w:color w:val="231F20"/>
          <w:spacing w:val="-11"/>
          <w:w w:val="110"/>
        </w:rPr>
        <w:t> </w:t>
      </w:r>
      <w:r>
        <w:rPr>
          <w:color w:val="231F20"/>
          <w:w w:val="110"/>
        </w:rPr>
        <w:t>y</w:t>
      </w:r>
      <w:r>
        <w:rPr>
          <w:color w:val="231F20"/>
          <w:spacing w:val="-11"/>
          <w:w w:val="110"/>
        </w:rPr>
        <w:t> </w:t>
      </w:r>
      <w:r>
        <w:rPr>
          <w:color w:val="231F20"/>
          <w:w w:val="110"/>
        </w:rPr>
        <w:t>reducido</w:t>
      </w:r>
      <w:r>
        <w:rPr>
          <w:color w:val="231F20"/>
          <w:spacing w:val="-11"/>
          <w:w w:val="110"/>
        </w:rPr>
        <w:t> </w:t>
      </w:r>
      <w:r>
        <w:rPr>
          <w:color w:val="231F20"/>
          <w:w w:val="110"/>
        </w:rPr>
        <w:t>en</w:t>
      </w:r>
      <w:r>
        <w:rPr>
          <w:color w:val="231F20"/>
          <w:spacing w:val="-11"/>
          <w:w w:val="110"/>
        </w:rPr>
        <w:t> </w:t>
      </w:r>
      <w:r>
        <w:rPr>
          <w:color w:val="231F20"/>
          <w:w w:val="110"/>
        </w:rPr>
        <w:t>algunos</w:t>
      </w:r>
      <w:r>
        <w:rPr>
          <w:color w:val="231F20"/>
          <w:spacing w:val="-11"/>
          <w:w w:val="110"/>
        </w:rPr>
        <w:t> </w:t>
      </w:r>
      <w:r>
        <w:rPr>
          <w:color w:val="231F20"/>
          <w:w w:val="110"/>
        </w:rPr>
        <w:t>casos, estamos lejos de un escenario del desplome de ellas (Papademetriou y </w:t>
      </w:r>
      <w:r>
        <w:rPr>
          <w:color w:val="231F20"/>
          <w:spacing w:val="-3"/>
          <w:w w:val="110"/>
        </w:rPr>
        <w:t>Terrazas, </w:t>
      </w:r>
      <w:r>
        <w:rPr>
          <w:color w:val="231F20"/>
          <w:w w:val="110"/>
        </w:rPr>
        <w:t>2009); por último, que todo ello no es incompatible con el</w:t>
      </w:r>
      <w:r>
        <w:rPr>
          <w:color w:val="231F20"/>
          <w:spacing w:val="-9"/>
          <w:w w:val="110"/>
        </w:rPr>
        <w:t> </w:t>
      </w:r>
      <w:r>
        <w:rPr>
          <w:color w:val="231F20"/>
          <w:w w:val="110"/>
        </w:rPr>
        <w:t>hecho</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inmigrantes</w:t>
      </w:r>
      <w:r>
        <w:rPr>
          <w:color w:val="231F20"/>
          <w:spacing w:val="-9"/>
          <w:w w:val="110"/>
        </w:rPr>
        <w:t> </w:t>
      </w:r>
      <w:r>
        <w:rPr>
          <w:color w:val="231F20"/>
          <w:w w:val="110"/>
        </w:rPr>
        <w:t>sean</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grupos</w:t>
      </w:r>
      <w:r>
        <w:rPr>
          <w:color w:val="231F20"/>
          <w:spacing w:val="-9"/>
          <w:w w:val="110"/>
        </w:rPr>
        <w:t> </w:t>
      </w:r>
      <w:r>
        <w:rPr>
          <w:color w:val="231F20"/>
          <w:w w:val="110"/>
        </w:rPr>
        <w:t>más</w:t>
      </w:r>
      <w:r>
        <w:rPr>
          <w:color w:val="231F20"/>
          <w:spacing w:val="-9"/>
          <w:w w:val="110"/>
        </w:rPr>
        <w:t> </w:t>
      </w:r>
      <w:r>
        <w:rPr>
          <w:color w:val="231F20"/>
          <w:w w:val="110"/>
        </w:rPr>
        <w:t>vulnerables</w:t>
      </w:r>
      <w:r>
        <w:rPr>
          <w:color w:val="231F20"/>
          <w:spacing w:val="-9"/>
          <w:w w:val="110"/>
        </w:rPr>
        <w:t> </w:t>
      </w:r>
      <w:r>
        <w:rPr>
          <w:color w:val="231F20"/>
          <w:w w:val="110"/>
        </w:rPr>
        <w:t>y golpeados por la crisis, tanto en cuestión del desempleo,</w:t>
      </w:r>
      <w:r>
        <w:rPr>
          <w:color w:val="231F20"/>
          <w:spacing w:val="-32"/>
          <w:w w:val="110"/>
        </w:rPr>
        <w:t> </w:t>
      </w:r>
      <w:r>
        <w:rPr>
          <w:color w:val="231F20"/>
          <w:w w:val="110"/>
        </w:rPr>
        <w:t>precariedad laboral</w:t>
      </w:r>
      <w:r>
        <w:rPr>
          <w:color w:val="231F20"/>
          <w:spacing w:val="-5"/>
          <w:w w:val="110"/>
        </w:rPr>
        <w:t> </w:t>
      </w:r>
      <w:r>
        <w:rPr>
          <w:color w:val="231F20"/>
          <w:w w:val="110"/>
        </w:rPr>
        <w:t>y</w:t>
      </w:r>
      <w:r>
        <w:rPr>
          <w:color w:val="231F20"/>
          <w:spacing w:val="-5"/>
          <w:w w:val="110"/>
        </w:rPr>
        <w:t> </w:t>
      </w:r>
      <w:r>
        <w:rPr>
          <w:color w:val="231F20"/>
          <w:w w:val="110"/>
        </w:rPr>
        <w:t>salarios,</w:t>
      </w:r>
      <w:r>
        <w:rPr>
          <w:color w:val="231F20"/>
          <w:spacing w:val="-5"/>
          <w:w w:val="110"/>
        </w:rPr>
        <w:t> </w:t>
      </w:r>
      <w:r>
        <w:rPr>
          <w:color w:val="231F20"/>
          <w:w w:val="110"/>
        </w:rPr>
        <w:t>entre</w:t>
      </w:r>
      <w:r>
        <w:rPr>
          <w:color w:val="231F20"/>
          <w:spacing w:val="-5"/>
          <w:w w:val="110"/>
        </w:rPr>
        <w:t> </w:t>
      </w:r>
      <w:r>
        <w:rPr>
          <w:color w:val="231F20"/>
          <w:w w:val="110"/>
        </w:rPr>
        <w:t>otros</w:t>
      </w:r>
      <w:r>
        <w:rPr>
          <w:color w:val="231F20"/>
          <w:spacing w:val="-5"/>
          <w:w w:val="110"/>
        </w:rPr>
        <w:t> </w:t>
      </w:r>
      <w:r>
        <w:rPr>
          <w:color w:val="231F20"/>
          <w:w w:val="110"/>
        </w:rPr>
        <w:t>aspectos</w:t>
      </w:r>
      <w:r>
        <w:rPr>
          <w:color w:val="231F20"/>
          <w:spacing w:val="-5"/>
          <w:w w:val="110"/>
        </w:rPr>
        <w:t> </w:t>
      </w:r>
      <w:r>
        <w:rPr>
          <w:color w:val="231F20"/>
          <w:w w:val="110"/>
        </w:rPr>
        <w:t>(Martínez</w:t>
      </w:r>
      <w:r>
        <w:rPr>
          <w:color w:val="231F20"/>
          <w:spacing w:val="-6"/>
          <w:w w:val="110"/>
        </w:rPr>
        <w:t> </w:t>
      </w:r>
      <w:r>
        <w:rPr>
          <w:i/>
          <w:color w:val="231F20"/>
          <w:w w:val="110"/>
        </w:rPr>
        <w:t>et</w:t>
      </w:r>
      <w:r>
        <w:rPr>
          <w:i/>
          <w:color w:val="231F20"/>
          <w:spacing w:val="-5"/>
          <w:w w:val="110"/>
        </w:rPr>
        <w:t> </w:t>
      </w:r>
      <w:r>
        <w:rPr>
          <w:i/>
          <w:color w:val="231F20"/>
          <w:w w:val="110"/>
        </w:rPr>
        <w:t>al.</w:t>
      </w:r>
      <w:r>
        <w:rPr>
          <w:color w:val="231F20"/>
          <w:w w:val="110"/>
        </w:rPr>
        <w:t>,</w:t>
      </w:r>
      <w:r>
        <w:rPr>
          <w:color w:val="231F20"/>
          <w:spacing w:val="-5"/>
          <w:w w:val="110"/>
        </w:rPr>
        <w:t> </w:t>
      </w:r>
      <w:r>
        <w:rPr>
          <w:color w:val="231F20"/>
          <w:w w:val="110"/>
        </w:rPr>
        <w:t>2009).</w:t>
      </w:r>
    </w:p>
    <w:p>
      <w:pPr>
        <w:pStyle w:val="BodyText"/>
        <w:spacing w:line="261" w:lineRule="auto"/>
        <w:ind w:left="100" w:right="111" w:firstLine="240"/>
        <w:jc w:val="both"/>
      </w:pPr>
      <w:r>
        <w:rPr>
          <w:color w:val="231F20"/>
          <w:spacing w:val="2"/>
          <w:w w:val="110"/>
        </w:rPr>
        <w:t>Considerando </w:t>
      </w:r>
      <w:r>
        <w:rPr>
          <w:color w:val="231F20"/>
          <w:w w:val="110"/>
        </w:rPr>
        <w:t>lo anterior, en </w:t>
      </w:r>
      <w:r>
        <w:rPr>
          <w:color w:val="231F20"/>
          <w:spacing w:val="2"/>
          <w:w w:val="110"/>
        </w:rPr>
        <w:t>este artículo analizamos </w:t>
      </w:r>
      <w:r>
        <w:rPr>
          <w:color w:val="231F20"/>
          <w:w w:val="110"/>
        </w:rPr>
        <w:t>los im- pactos de la crisis sobre los inmigrantes de origen latinoamericano en Estados Unidos. Para ello recurrimos a un marco comprensivo  de la </w:t>
      </w:r>
      <w:r>
        <w:rPr>
          <w:color w:val="231F20"/>
          <w:spacing w:val="2"/>
          <w:w w:val="110"/>
        </w:rPr>
        <w:t>migración internacional </w:t>
      </w:r>
      <w:r>
        <w:rPr>
          <w:color w:val="231F20"/>
          <w:w w:val="110"/>
        </w:rPr>
        <w:t>en los </w:t>
      </w:r>
      <w:r>
        <w:rPr>
          <w:color w:val="231F20"/>
          <w:spacing w:val="2"/>
          <w:w w:val="110"/>
        </w:rPr>
        <w:t>tiempos actuales, </w:t>
      </w:r>
      <w:r>
        <w:rPr>
          <w:color w:val="231F20"/>
          <w:w w:val="110"/>
        </w:rPr>
        <w:t>que </w:t>
      </w:r>
      <w:r>
        <w:rPr>
          <w:color w:val="231F20"/>
          <w:spacing w:val="3"/>
          <w:w w:val="110"/>
        </w:rPr>
        <w:t>nos </w:t>
      </w:r>
      <w:r>
        <w:rPr>
          <w:color w:val="231F20"/>
          <w:w w:val="110"/>
        </w:rPr>
        <w:t>permita entender su papel en diferentes ámbitos en las sociedades receptoras.</w:t>
      </w:r>
    </w:p>
    <w:p>
      <w:pPr>
        <w:pStyle w:val="BodyText"/>
        <w:spacing w:line="261" w:lineRule="auto"/>
        <w:ind w:left="100" w:right="119" w:firstLine="240"/>
        <w:jc w:val="both"/>
      </w:pPr>
      <w:r>
        <w:rPr>
          <w:color w:val="231F20"/>
          <w:w w:val="110"/>
        </w:rPr>
        <w:t>Al</w:t>
      </w:r>
      <w:r>
        <w:rPr>
          <w:color w:val="231F20"/>
          <w:spacing w:val="-9"/>
          <w:w w:val="110"/>
        </w:rPr>
        <w:t> </w:t>
      </w:r>
      <w:r>
        <w:rPr>
          <w:color w:val="231F20"/>
          <w:w w:val="110"/>
        </w:rPr>
        <w:t>respecto,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actual</w:t>
      </w:r>
      <w:r>
        <w:rPr>
          <w:color w:val="231F20"/>
          <w:spacing w:val="-9"/>
          <w:w w:val="110"/>
        </w:rPr>
        <w:t> </w:t>
      </w:r>
      <w:r>
        <w:rPr>
          <w:color w:val="231F20"/>
          <w:w w:val="110"/>
        </w:rPr>
        <w:t>entorno</w:t>
      </w:r>
      <w:r>
        <w:rPr>
          <w:color w:val="231F20"/>
          <w:spacing w:val="-9"/>
          <w:w w:val="110"/>
        </w:rPr>
        <w:t> </w:t>
      </w:r>
      <w:r>
        <w:rPr>
          <w:color w:val="231F20"/>
          <w:w w:val="110"/>
        </w:rPr>
        <w:t>de</w:t>
      </w:r>
      <w:r>
        <w:rPr>
          <w:color w:val="231F20"/>
          <w:spacing w:val="-9"/>
          <w:w w:val="110"/>
        </w:rPr>
        <w:t> </w:t>
      </w:r>
      <w:r>
        <w:rPr>
          <w:color w:val="231F20"/>
          <w:w w:val="110"/>
        </w:rPr>
        <w:t>globalización,</w:t>
      </w:r>
      <w:r>
        <w:rPr>
          <w:color w:val="231F20"/>
          <w:spacing w:val="-9"/>
          <w:w w:val="110"/>
        </w:rPr>
        <w:t> </w:t>
      </w:r>
      <w:r>
        <w:rPr>
          <w:color w:val="231F20"/>
          <w:w w:val="110"/>
        </w:rPr>
        <w:t>la</w:t>
      </w:r>
      <w:r>
        <w:rPr>
          <w:color w:val="231F20"/>
          <w:spacing w:val="-9"/>
          <w:w w:val="110"/>
        </w:rPr>
        <w:t> </w:t>
      </w:r>
      <w:r>
        <w:rPr>
          <w:color w:val="231F20"/>
          <w:w w:val="110"/>
        </w:rPr>
        <w:t>migración</w:t>
      </w:r>
      <w:r>
        <w:rPr>
          <w:color w:val="231F20"/>
          <w:spacing w:val="-9"/>
          <w:w w:val="110"/>
        </w:rPr>
        <w:t> </w:t>
      </w:r>
      <w:r>
        <w:rPr>
          <w:color w:val="231F20"/>
          <w:w w:val="110"/>
        </w:rPr>
        <w:t>no sólo involucra un desplazamiento de personas, sino que como pro- ceso</w:t>
      </w:r>
      <w:r>
        <w:rPr>
          <w:color w:val="231F20"/>
          <w:spacing w:val="-8"/>
          <w:w w:val="110"/>
        </w:rPr>
        <w:t> </w:t>
      </w:r>
      <w:r>
        <w:rPr>
          <w:color w:val="231F20"/>
          <w:w w:val="110"/>
        </w:rPr>
        <w:t>social,</w:t>
      </w:r>
      <w:r>
        <w:rPr>
          <w:color w:val="231F20"/>
          <w:spacing w:val="-8"/>
          <w:w w:val="110"/>
        </w:rPr>
        <w:t> </w:t>
      </w:r>
      <w:r>
        <w:rPr>
          <w:color w:val="231F20"/>
          <w:w w:val="110"/>
        </w:rPr>
        <w:t>contribuye</w:t>
      </w:r>
      <w:r>
        <w:rPr>
          <w:color w:val="231F20"/>
          <w:spacing w:val="-8"/>
          <w:w w:val="110"/>
        </w:rPr>
        <w:t> </w:t>
      </w:r>
      <w:r>
        <w:rPr>
          <w:color w:val="231F20"/>
          <w:w w:val="110"/>
        </w:rPr>
        <w:t>a</w:t>
      </w:r>
      <w:r>
        <w:rPr>
          <w:color w:val="231F20"/>
          <w:spacing w:val="-8"/>
          <w:w w:val="110"/>
        </w:rPr>
        <w:t> </w:t>
      </w:r>
      <w:r>
        <w:rPr>
          <w:color w:val="231F20"/>
          <w:w w:val="110"/>
        </w:rPr>
        <w:t>sustentar</w:t>
      </w:r>
      <w:r>
        <w:rPr>
          <w:color w:val="231F20"/>
          <w:spacing w:val="-8"/>
          <w:w w:val="110"/>
        </w:rPr>
        <w:t> </w:t>
      </w:r>
      <w:r>
        <w:rPr>
          <w:color w:val="231F20"/>
          <w:w w:val="110"/>
        </w:rPr>
        <w:t>la</w:t>
      </w:r>
      <w:r>
        <w:rPr>
          <w:color w:val="231F20"/>
          <w:spacing w:val="-8"/>
          <w:w w:val="110"/>
        </w:rPr>
        <w:t> </w:t>
      </w:r>
      <w:r>
        <w:rPr>
          <w:color w:val="231F20"/>
          <w:w w:val="110"/>
        </w:rPr>
        <w:t>reproducción</w:t>
      </w:r>
      <w:r>
        <w:rPr>
          <w:color w:val="231F20"/>
          <w:spacing w:val="-8"/>
          <w:w w:val="110"/>
        </w:rPr>
        <w:t> </w:t>
      </w:r>
      <w:r>
        <w:rPr>
          <w:color w:val="231F20"/>
          <w:w w:val="110"/>
        </w:rPr>
        <w:t>social,</w:t>
      </w:r>
      <w:r>
        <w:rPr>
          <w:color w:val="231F20"/>
          <w:spacing w:val="-8"/>
          <w:w w:val="110"/>
        </w:rPr>
        <w:t> </w:t>
      </w:r>
      <w:r>
        <w:rPr>
          <w:color w:val="231F20"/>
          <w:w w:val="110"/>
        </w:rPr>
        <w:t>económica</w:t>
      </w:r>
    </w:p>
    <w:p>
      <w:pPr>
        <w:pStyle w:val="BodyText"/>
        <w:rPr>
          <w:sz w:val="15"/>
        </w:rPr>
      </w:pPr>
    </w:p>
    <w:p>
      <w:pPr>
        <w:pStyle w:val="BodyText"/>
        <w:spacing w:before="67"/>
        <w:ind w:left="113" w:right="132"/>
        <w:jc w:val="center"/>
      </w:pPr>
      <w:r>
        <w:rPr>
          <w:color w:val="231F20"/>
          <w:w w:val="120"/>
        </w:rPr>
        <w:t>[288]</w:t>
      </w:r>
    </w:p>
    <w:p>
      <w:pPr>
        <w:spacing w:after="0"/>
        <w:jc w:val="center"/>
        <w:sectPr>
          <w:headerReference w:type="even" r:id="rId215"/>
          <w:pgSz w:w="7640" w:h="11900"/>
          <w:pgMar w:header="0" w:footer="0" w:top="100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y demográfica de las sociedades de destino. Desde esta perspectiva, nos interesa dimensionar el nivel de dependencia de estas sociedades respecto de la inmigración, y con base en ello, analizar los impactos     y efectos de la crisis en la  </w:t>
      </w:r>
      <w:r>
        <w:rPr>
          <w:color w:val="231F20"/>
          <w:spacing w:val="32"/>
          <w:w w:val="105"/>
        </w:rPr>
        <w:t> </w:t>
      </w:r>
      <w:r>
        <w:rPr>
          <w:color w:val="231F20"/>
          <w:w w:val="105"/>
        </w:rPr>
        <w:t>migración.</w:t>
      </w:r>
    </w:p>
    <w:p>
      <w:pPr>
        <w:pStyle w:val="BodyText"/>
        <w:spacing w:line="261" w:lineRule="auto"/>
        <w:ind w:left="100" w:right="117" w:firstLine="240"/>
        <w:jc w:val="both"/>
      </w:pP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sentido,</w:t>
      </w:r>
      <w:r>
        <w:rPr>
          <w:color w:val="231F20"/>
          <w:spacing w:val="-5"/>
          <w:w w:val="110"/>
        </w:rPr>
        <w:t> </w:t>
      </w:r>
      <w:r>
        <w:rPr>
          <w:color w:val="231F20"/>
          <w:w w:val="110"/>
        </w:rPr>
        <w:t>nuestra</w:t>
      </w:r>
      <w:r>
        <w:rPr>
          <w:color w:val="231F20"/>
          <w:spacing w:val="-5"/>
          <w:w w:val="110"/>
        </w:rPr>
        <w:t> </w:t>
      </w:r>
      <w:r>
        <w:rPr>
          <w:color w:val="231F20"/>
          <w:w w:val="110"/>
        </w:rPr>
        <w:t>tesis</w:t>
      </w:r>
      <w:r>
        <w:rPr>
          <w:color w:val="231F20"/>
          <w:spacing w:val="-5"/>
          <w:w w:val="110"/>
        </w:rPr>
        <w:t> </w:t>
      </w:r>
      <w:r>
        <w:rPr>
          <w:color w:val="231F20"/>
          <w:w w:val="110"/>
        </w:rPr>
        <w:t>es</w:t>
      </w:r>
      <w:r>
        <w:rPr>
          <w:color w:val="231F20"/>
          <w:spacing w:val="-5"/>
          <w:w w:val="110"/>
        </w:rPr>
        <w:t> </w:t>
      </w:r>
      <w:r>
        <w:rPr>
          <w:color w:val="231F20"/>
          <w:w w:val="110"/>
        </w:rPr>
        <w:t>que</w:t>
      </w:r>
      <w:r>
        <w:rPr>
          <w:color w:val="231F20"/>
          <w:spacing w:val="-5"/>
          <w:w w:val="110"/>
        </w:rPr>
        <w:t> </w:t>
      </w:r>
      <w:r>
        <w:rPr>
          <w:color w:val="231F20"/>
          <w:w w:val="110"/>
        </w:rPr>
        <w:t>una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respuestas</w:t>
      </w:r>
      <w:r>
        <w:rPr>
          <w:color w:val="231F20"/>
          <w:spacing w:val="-5"/>
          <w:w w:val="110"/>
        </w:rPr>
        <w:t> </w:t>
      </w:r>
      <w:r>
        <w:rPr>
          <w:color w:val="231F20"/>
          <w:w w:val="110"/>
        </w:rPr>
        <w:t>posibles frente a la crisis económica actual, es que se transfieran hacia los</w:t>
      </w:r>
      <w:r>
        <w:rPr>
          <w:color w:val="231F20"/>
          <w:spacing w:val="-24"/>
          <w:w w:val="110"/>
        </w:rPr>
        <w:t> </w:t>
      </w:r>
      <w:r>
        <w:rPr>
          <w:color w:val="231F20"/>
          <w:w w:val="110"/>
        </w:rPr>
        <w:t>in- migrantes gran parte del costo de la misma, especialmente en lo que se refiere al costo de reproducción social de la población nativa. En concreto, lo esperable es que por un lado, aumente la precariedad  de las condiciones de trabajo de los inmigrantes, y por otro lado, aumente su participación en actividades económicas y laborales</w:t>
      </w:r>
      <w:r>
        <w:rPr>
          <w:color w:val="231F20"/>
          <w:spacing w:val="-23"/>
          <w:w w:val="110"/>
        </w:rPr>
        <w:t> </w:t>
      </w:r>
      <w:r>
        <w:rPr>
          <w:color w:val="231F20"/>
          <w:w w:val="110"/>
        </w:rPr>
        <w:t>vin- culadas directamente con la reproducción cotidiana de la población nativa, especialmente de estratos medios y</w:t>
      </w:r>
      <w:r>
        <w:rPr>
          <w:color w:val="231F20"/>
          <w:spacing w:val="-23"/>
          <w:w w:val="110"/>
        </w:rPr>
        <w:t> </w:t>
      </w:r>
      <w:r>
        <w:rPr>
          <w:color w:val="231F20"/>
          <w:w w:val="110"/>
        </w:rPr>
        <w:t>altos.</w:t>
      </w:r>
    </w:p>
    <w:p>
      <w:pPr>
        <w:pStyle w:val="BodyText"/>
        <w:spacing w:line="261" w:lineRule="auto"/>
        <w:ind w:left="100" w:right="114" w:firstLine="240"/>
        <w:jc w:val="both"/>
      </w:pPr>
      <w:r>
        <w:rPr>
          <w:color w:val="231F20"/>
          <w:w w:val="110"/>
        </w:rPr>
        <w:t>Ahora</w:t>
      </w:r>
      <w:r>
        <w:rPr>
          <w:color w:val="231F20"/>
          <w:spacing w:val="-8"/>
          <w:w w:val="110"/>
        </w:rPr>
        <w:t> </w:t>
      </w:r>
      <w:r>
        <w:rPr>
          <w:color w:val="231F20"/>
          <w:w w:val="110"/>
        </w:rPr>
        <w:t>bien,</w:t>
      </w:r>
      <w:r>
        <w:rPr>
          <w:color w:val="231F20"/>
          <w:spacing w:val="-8"/>
          <w:w w:val="110"/>
        </w:rPr>
        <w:t> </w:t>
      </w:r>
      <w:r>
        <w:rPr>
          <w:color w:val="231F20"/>
          <w:w w:val="110"/>
        </w:rPr>
        <w:t>para</w:t>
      </w:r>
      <w:r>
        <w:rPr>
          <w:color w:val="231F20"/>
          <w:spacing w:val="-8"/>
          <w:w w:val="110"/>
        </w:rPr>
        <w:t> </w:t>
      </w:r>
      <w:r>
        <w:rPr>
          <w:color w:val="231F20"/>
          <w:w w:val="110"/>
        </w:rPr>
        <w:t>analizar</w:t>
      </w:r>
      <w:r>
        <w:rPr>
          <w:color w:val="231F20"/>
          <w:spacing w:val="-8"/>
          <w:w w:val="110"/>
        </w:rPr>
        <w:t> </w:t>
      </w:r>
      <w:r>
        <w:rPr>
          <w:color w:val="231F20"/>
          <w:w w:val="110"/>
        </w:rPr>
        <w:t>empíricamente</w:t>
      </w:r>
      <w:r>
        <w:rPr>
          <w:color w:val="231F20"/>
          <w:spacing w:val="-8"/>
          <w:w w:val="110"/>
        </w:rPr>
        <w:t> </w:t>
      </w:r>
      <w:r>
        <w:rPr>
          <w:color w:val="231F20"/>
          <w:w w:val="110"/>
        </w:rPr>
        <w:t>estas</w:t>
      </w:r>
      <w:r>
        <w:rPr>
          <w:color w:val="231F20"/>
          <w:spacing w:val="-8"/>
          <w:w w:val="110"/>
        </w:rPr>
        <w:t> </w:t>
      </w:r>
      <w:r>
        <w:rPr>
          <w:color w:val="231F20"/>
          <w:w w:val="110"/>
        </w:rPr>
        <w:t>hipótesis,</w:t>
      </w:r>
      <w:r>
        <w:rPr>
          <w:color w:val="231F20"/>
          <w:spacing w:val="-8"/>
          <w:w w:val="110"/>
        </w:rPr>
        <w:t> </w:t>
      </w:r>
      <w:r>
        <w:rPr>
          <w:color w:val="231F20"/>
          <w:w w:val="110"/>
        </w:rPr>
        <w:t>propone- mos</w:t>
      </w:r>
      <w:r>
        <w:rPr>
          <w:color w:val="231F20"/>
          <w:spacing w:val="-7"/>
          <w:w w:val="110"/>
        </w:rPr>
        <w:t> </w:t>
      </w:r>
      <w:r>
        <w:rPr>
          <w:color w:val="231F20"/>
          <w:w w:val="110"/>
        </w:rPr>
        <w:t>un</w:t>
      </w:r>
      <w:r>
        <w:rPr>
          <w:color w:val="231F20"/>
          <w:spacing w:val="-7"/>
          <w:w w:val="110"/>
        </w:rPr>
        <w:t> </w:t>
      </w:r>
      <w:r>
        <w:rPr>
          <w:color w:val="231F20"/>
          <w:w w:val="110"/>
        </w:rPr>
        <w:t>modelo</w:t>
      </w:r>
      <w:r>
        <w:rPr>
          <w:color w:val="231F20"/>
          <w:spacing w:val="-7"/>
          <w:w w:val="110"/>
        </w:rPr>
        <w:t> </w:t>
      </w:r>
      <w:r>
        <w:rPr>
          <w:color w:val="231F20"/>
          <w:w w:val="110"/>
        </w:rPr>
        <w:t>de</w:t>
      </w:r>
      <w:r>
        <w:rPr>
          <w:color w:val="231F20"/>
          <w:spacing w:val="-7"/>
          <w:w w:val="110"/>
        </w:rPr>
        <w:t> </w:t>
      </w:r>
      <w:r>
        <w:rPr>
          <w:color w:val="231F20"/>
          <w:w w:val="110"/>
        </w:rPr>
        <w:t>reclasificación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estructura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ocupaciones y puestos de trabajo en el mercado laboral estadunidense, con base en un sistema de categorías e indicadores que permiten medir el papel e importancia de la inmigración en los distintos ámbitos de la economía y la sociedad de este país. Con base en este modelo, ana- lizamos el patrón de inserción laboral de los inmigrantes, así como su papel en aquellas actividades económicas y laborales vinculadas directamente con la reproducción social y cotidiana de diversos estratos de la población nativa. Asimismo, este modelo de análisis de la inserción laboral, nos permite dimensionar y caracterizar el impacto y alcances de la crisis económica actual en la dinámica de la inmigración latinoamericana en Estados</w:t>
      </w:r>
      <w:r>
        <w:rPr>
          <w:color w:val="231F20"/>
          <w:spacing w:val="28"/>
          <w:w w:val="110"/>
        </w:rPr>
        <w:t> </w:t>
      </w:r>
      <w:r>
        <w:rPr>
          <w:color w:val="231F20"/>
          <w:w w:val="110"/>
        </w:rPr>
        <w:t>Unidos.</w:t>
      </w:r>
    </w:p>
    <w:p>
      <w:pPr>
        <w:pStyle w:val="BodyText"/>
      </w:pPr>
    </w:p>
    <w:p>
      <w:pPr>
        <w:pStyle w:val="BodyText"/>
      </w:pPr>
    </w:p>
    <w:p>
      <w:pPr>
        <w:pStyle w:val="BodyText"/>
        <w:spacing w:before="2"/>
        <w:rPr>
          <w:sz w:val="25"/>
        </w:rPr>
      </w:pPr>
    </w:p>
    <w:p>
      <w:pPr>
        <w:pStyle w:val="BodyText"/>
        <w:spacing w:line="261" w:lineRule="auto"/>
        <w:ind w:left="100" w:right="2099"/>
      </w:pPr>
      <w:r>
        <w:rPr>
          <w:color w:val="231F20"/>
          <w:w w:val="130"/>
        </w:rPr>
        <w:t>la</w:t>
      </w:r>
      <w:r>
        <w:rPr>
          <w:color w:val="231F20"/>
          <w:spacing w:val="-30"/>
          <w:w w:val="130"/>
        </w:rPr>
        <w:t> </w:t>
      </w:r>
      <w:r>
        <w:rPr>
          <w:color w:val="231F20"/>
          <w:w w:val="130"/>
        </w:rPr>
        <w:t>inmigración</w:t>
      </w:r>
      <w:r>
        <w:rPr>
          <w:color w:val="231F20"/>
          <w:spacing w:val="-30"/>
          <w:w w:val="130"/>
        </w:rPr>
        <w:t> </w:t>
      </w:r>
      <w:r>
        <w:rPr>
          <w:color w:val="231F20"/>
          <w:w w:val="130"/>
        </w:rPr>
        <w:t>en</w:t>
      </w:r>
      <w:r>
        <w:rPr>
          <w:color w:val="231F20"/>
          <w:spacing w:val="-30"/>
          <w:w w:val="130"/>
        </w:rPr>
        <w:t> </w:t>
      </w:r>
      <w:r>
        <w:rPr>
          <w:color w:val="231F20"/>
          <w:w w:val="130"/>
        </w:rPr>
        <w:t>la</w:t>
      </w:r>
      <w:r>
        <w:rPr>
          <w:color w:val="231F20"/>
          <w:spacing w:val="-30"/>
          <w:w w:val="130"/>
        </w:rPr>
        <w:t> </w:t>
      </w:r>
      <w:r>
        <w:rPr>
          <w:color w:val="231F20"/>
          <w:w w:val="130"/>
        </w:rPr>
        <w:t>sociedad</w:t>
      </w:r>
      <w:r>
        <w:rPr>
          <w:color w:val="231F20"/>
          <w:spacing w:val="-30"/>
          <w:w w:val="130"/>
        </w:rPr>
        <w:t> </w:t>
      </w:r>
      <w:r>
        <w:rPr>
          <w:color w:val="231F20"/>
          <w:w w:val="130"/>
        </w:rPr>
        <w:t>receptora:</w:t>
      </w:r>
      <w:r>
        <w:rPr>
          <w:color w:val="231F20"/>
          <w:w w:val="127"/>
        </w:rPr>
        <w:t> </w:t>
      </w:r>
      <w:r>
        <w:rPr>
          <w:color w:val="231F20"/>
          <w:w w:val="130"/>
        </w:rPr>
        <w:t>el</w:t>
      </w:r>
      <w:r>
        <w:rPr>
          <w:color w:val="231F20"/>
          <w:spacing w:val="-27"/>
          <w:w w:val="130"/>
        </w:rPr>
        <w:t> </w:t>
      </w:r>
      <w:r>
        <w:rPr>
          <w:color w:val="231F20"/>
          <w:w w:val="130"/>
        </w:rPr>
        <w:t>modelo</w:t>
      </w:r>
      <w:r>
        <w:rPr>
          <w:color w:val="231F20"/>
          <w:spacing w:val="-27"/>
          <w:w w:val="130"/>
        </w:rPr>
        <w:t> </w:t>
      </w:r>
      <w:r>
        <w:rPr>
          <w:color w:val="231F20"/>
          <w:w w:val="130"/>
        </w:rPr>
        <w:t>de</w:t>
      </w:r>
      <w:r>
        <w:rPr>
          <w:color w:val="231F20"/>
          <w:spacing w:val="-27"/>
          <w:w w:val="130"/>
        </w:rPr>
        <w:t> </w:t>
      </w:r>
      <w:r>
        <w:rPr>
          <w:color w:val="231F20"/>
          <w:w w:val="130"/>
        </w:rPr>
        <w:t>la</w:t>
      </w:r>
      <w:r>
        <w:rPr>
          <w:color w:val="231F20"/>
          <w:spacing w:val="-27"/>
          <w:w w:val="130"/>
        </w:rPr>
        <w:t> </w:t>
      </w:r>
      <w:r>
        <w:rPr>
          <w:color w:val="231F20"/>
          <w:w w:val="130"/>
        </w:rPr>
        <w:t>reproducción</w:t>
      </w:r>
    </w:p>
    <w:p>
      <w:pPr>
        <w:pStyle w:val="BodyText"/>
        <w:spacing w:before="8"/>
        <w:rPr>
          <w:sz w:val="21"/>
        </w:rPr>
      </w:pPr>
    </w:p>
    <w:p>
      <w:pPr>
        <w:pStyle w:val="BodyText"/>
        <w:spacing w:line="261" w:lineRule="auto"/>
        <w:ind w:left="100" w:right="119"/>
        <w:jc w:val="both"/>
      </w:pPr>
      <w:r>
        <w:rPr>
          <w:color w:val="231F20"/>
          <w:w w:val="110"/>
        </w:rPr>
        <w:t>En</w:t>
      </w:r>
      <w:r>
        <w:rPr>
          <w:color w:val="231F20"/>
          <w:spacing w:val="-35"/>
          <w:w w:val="110"/>
        </w:rPr>
        <w:t> </w:t>
      </w:r>
      <w:r>
        <w:rPr>
          <w:color w:val="231F20"/>
          <w:w w:val="110"/>
        </w:rPr>
        <w:t>los</w:t>
      </w:r>
      <w:r>
        <w:rPr>
          <w:color w:val="231F20"/>
          <w:spacing w:val="-35"/>
          <w:w w:val="110"/>
        </w:rPr>
        <w:t> </w:t>
      </w:r>
      <w:r>
        <w:rPr>
          <w:color w:val="231F20"/>
          <w:w w:val="110"/>
        </w:rPr>
        <w:t>países</w:t>
      </w:r>
      <w:r>
        <w:rPr>
          <w:color w:val="231F20"/>
          <w:spacing w:val="-35"/>
          <w:w w:val="110"/>
        </w:rPr>
        <w:t> </w:t>
      </w:r>
      <w:r>
        <w:rPr>
          <w:color w:val="231F20"/>
          <w:w w:val="110"/>
        </w:rPr>
        <w:t>de</w:t>
      </w:r>
      <w:r>
        <w:rPr>
          <w:color w:val="231F20"/>
          <w:spacing w:val="-35"/>
          <w:w w:val="110"/>
        </w:rPr>
        <w:t> </w:t>
      </w:r>
      <w:r>
        <w:rPr>
          <w:color w:val="231F20"/>
          <w:w w:val="110"/>
        </w:rPr>
        <w:t>destino,</w:t>
      </w:r>
      <w:r>
        <w:rPr>
          <w:color w:val="231F20"/>
          <w:spacing w:val="-35"/>
          <w:w w:val="110"/>
        </w:rPr>
        <w:t> </w:t>
      </w:r>
      <w:r>
        <w:rPr>
          <w:color w:val="231F20"/>
          <w:w w:val="110"/>
        </w:rPr>
        <w:t>suele</w:t>
      </w:r>
      <w:r>
        <w:rPr>
          <w:color w:val="231F20"/>
          <w:spacing w:val="-35"/>
          <w:w w:val="110"/>
        </w:rPr>
        <w:t> </w:t>
      </w:r>
      <w:r>
        <w:rPr>
          <w:color w:val="231F20"/>
          <w:w w:val="110"/>
        </w:rPr>
        <w:t>hablarse</w:t>
      </w:r>
      <w:r>
        <w:rPr>
          <w:color w:val="231F20"/>
          <w:spacing w:val="-35"/>
          <w:w w:val="110"/>
        </w:rPr>
        <w:t> </w:t>
      </w:r>
      <w:r>
        <w:rPr>
          <w:color w:val="231F20"/>
          <w:w w:val="110"/>
        </w:rPr>
        <w:t>de</w:t>
      </w:r>
      <w:r>
        <w:rPr>
          <w:color w:val="231F20"/>
          <w:spacing w:val="-35"/>
          <w:w w:val="110"/>
        </w:rPr>
        <w:t> </w:t>
      </w:r>
      <w:r>
        <w:rPr>
          <w:color w:val="231F20"/>
          <w:w w:val="110"/>
        </w:rPr>
        <w:t>una</w:t>
      </w:r>
      <w:r>
        <w:rPr>
          <w:color w:val="231F20"/>
          <w:spacing w:val="-35"/>
          <w:w w:val="110"/>
        </w:rPr>
        <w:t> </w:t>
      </w:r>
      <w:r>
        <w:rPr>
          <w:i/>
          <w:color w:val="231F20"/>
          <w:w w:val="110"/>
        </w:rPr>
        <w:t>cuestión</w:t>
      </w:r>
      <w:r>
        <w:rPr>
          <w:i/>
          <w:color w:val="231F20"/>
          <w:spacing w:val="-35"/>
          <w:w w:val="110"/>
        </w:rPr>
        <w:t> </w:t>
      </w:r>
      <w:r>
        <w:rPr>
          <w:i/>
          <w:color w:val="231F20"/>
          <w:w w:val="110"/>
        </w:rPr>
        <w:t>migratoria</w:t>
      </w:r>
      <w:r>
        <w:rPr>
          <w:color w:val="231F20"/>
          <w:w w:val="110"/>
        </w:rPr>
        <w:t>,</w:t>
      </w:r>
      <w:r>
        <w:rPr>
          <w:color w:val="231F20"/>
          <w:spacing w:val="-35"/>
          <w:w w:val="110"/>
        </w:rPr>
        <w:t> </w:t>
      </w:r>
      <w:r>
        <w:rPr>
          <w:color w:val="231F20"/>
          <w:w w:val="110"/>
        </w:rPr>
        <w:t>para referirse</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problemas</w:t>
      </w:r>
      <w:r>
        <w:rPr>
          <w:color w:val="231F20"/>
          <w:spacing w:val="-14"/>
          <w:w w:val="110"/>
        </w:rPr>
        <w:t> </w:t>
      </w:r>
      <w:r>
        <w:rPr>
          <w:color w:val="231F20"/>
          <w:w w:val="110"/>
        </w:rPr>
        <w:t>sociales,</w:t>
      </w:r>
      <w:r>
        <w:rPr>
          <w:color w:val="231F20"/>
          <w:spacing w:val="-14"/>
          <w:w w:val="110"/>
        </w:rPr>
        <w:t> </w:t>
      </w:r>
      <w:r>
        <w:rPr>
          <w:color w:val="231F20"/>
          <w:w w:val="110"/>
        </w:rPr>
        <w:t>económicos</w:t>
      </w:r>
      <w:r>
        <w:rPr>
          <w:color w:val="231F20"/>
          <w:spacing w:val="-14"/>
          <w:w w:val="110"/>
        </w:rPr>
        <w:t> </w:t>
      </w:r>
      <w:r>
        <w:rPr>
          <w:color w:val="231F20"/>
          <w:w w:val="110"/>
        </w:rPr>
        <w:t>o</w:t>
      </w:r>
      <w:r>
        <w:rPr>
          <w:color w:val="231F20"/>
          <w:spacing w:val="-14"/>
          <w:w w:val="110"/>
        </w:rPr>
        <w:t> </w:t>
      </w:r>
      <w:r>
        <w:rPr>
          <w:color w:val="231F20"/>
          <w:w w:val="110"/>
        </w:rPr>
        <w:t>políticos</w:t>
      </w:r>
      <w:r>
        <w:rPr>
          <w:color w:val="231F20"/>
          <w:spacing w:val="-14"/>
          <w:w w:val="110"/>
        </w:rPr>
        <w:t> </w:t>
      </w:r>
      <w:r>
        <w:rPr>
          <w:color w:val="231F20"/>
          <w:w w:val="110"/>
        </w:rPr>
        <w:t>que</w:t>
      </w:r>
      <w:r>
        <w:rPr>
          <w:color w:val="231F20"/>
          <w:spacing w:val="-14"/>
          <w:w w:val="110"/>
        </w:rPr>
        <w:t> </w:t>
      </w:r>
      <w:r>
        <w:rPr>
          <w:color w:val="231F20"/>
          <w:w w:val="110"/>
        </w:rPr>
        <w:t>plantea la</w:t>
      </w:r>
      <w:r>
        <w:rPr>
          <w:color w:val="231F20"/>
          <w:spacing w:val="-23"/>
          <w:w w:val="110"/>
        </w:rPr>
        <w:t> </w:t>
      </w:r>
      <w:r>
        <w:rPr>
          <w:color w:val="231F20"/>
          <w:w w:val="110"/>
        </w:rPr>
        <w:t>inmigración</w:t>
      </w:r>
      <w:r>
        <w:rPr>
          <w:color w:val="231F20"/>
          <w:spacing w:val="-23"/>
          <w:w w:val="110"/>
        </w:rPr>
        <w:t> </w:t>
      </w:r>
      <w:r>
        <w:rPr>
          <w:color w:val="231F20"/>
          <w:w w:val="110"/>
        </w:rPr>
        <w:t>masiva,</w:t>
      </w:r>
      <w:r>
        <w:rPr>
          <w:color w:val="231F20"/>
          <w:spacing w:val="-23"/>
          <w:w w:val="110"/>
        </w:rPr>
        <w:t> </w:t>
      </w:r>
      <w:r>
        <w:rPr>
          <w:color w:val="231F20"/>
          <w:w w:val="110"/>
        </w:rPr>
        <w:t>más</w:t>
      </w:r>
      <w:r>
        <w:rPr>
          <w:color w:val="231F20"/>
          <w:spacing w:val="-23"/>
          <w:w w:val="110"/>
        </w:rPr>
        <w:t> </w:t>
      </w:r>
      <w:r>
        <w:rPr>
          <w:color w:val="231F20"/>
          <w:w w:val="110"/>
        </w:rPr>
        <w:t>aún</w:t>
      </w:r>
      <w:r>
        <w:rPr>
          <w:color w:val="231F20"/>
          <w:spacing w:val="-23"/>
          <w:w w:val="110"/>
        </w:rPr>
        <w:t> </w:t>
      </w:r>
      <w:r>
        <w:rPr>
          <w:color w:val="231F20"/>
          <w:w w:val="110"/>
        </w:rPr>
        <w:t>cuando</w:t>
      </w:r>
      <w:r>
        <w:rPr>
          <w:color w:val="231F20"/>
          <w:spacing w:val="-23"/>
          <w:w w:val="110"/>
        </w:rPr>
        <w:t> </w:t>
      </w:r>
      <w:r>
        <w:rPr>
          <w:color w:val="231F20"/>
          <w:w w:val="110"/>
        </w:rPr>
        <w:t>se</w:t>
      </w:r>
      <w:r>
        <w:rPr>
          <w:color w:val="231F20"/>
          <w:spacing w:val="-23"/>
          <w:w w:val="110"/>
        </w:rPr>
        <w:t> </w:t>
      </w:r>
      <w:r>
        <w:rPr>
          <w:color w:val="231F20"/>
          <w:w w:val="110"/>
        </w:rPr>
        <w:t>considera</w:t>
      </w:r>
      <w:r>
        <w:rPr>
          <w:color w:val="231F20"/>
          <w:spacing w:val="-23"/>
          <w:w w:val="110"/>
        </w:rPr>
        <w:t> </w:t>
      </w:r>
      <w:r>
        <w:rPr>
          <w:color w:val="231F20"/>
          <w:w w:val="110"/>
        </w:rPr>
        <w:t>la</w:t>
      </w:r>
      <w:r>
        <w:rPr>
          <w:color w:val="231F20"/>
          <w:spacing w:val="-23"/>
          <w:w w:val="110"/>
        </w:rPr>
        <w:t> </w:t>
      </w:r>
      <w:r>
        <w:rPr>
          <w:color w:val="231F20"/>
          <w:w w:val="110"/>
        </w:rPr>
        <w:t>alta</w:t>
      </w:r>
      <w:r>
        <w:rPr>
          <w:color w:val="231F20"/>
          <w:spacing w:val="-23"/>
          <w:w w:val="110"/>
        </w:rPr>
        <w:t> </w:t>
      </w:r>
      <w:r>
        <w:rPr>
          <w:color w:val="231F20"/>
          <w:w w:val="110"/>
        </w:rPr>
        <w:t>proporción de migrantes indocumentados y que se establecen en forma</w:t>
      </w:r>
      <w:r>
        <w:rPr>
          <w:color w:val="231F20"/>
          <w:spacing w:val="-33"/>
          <w:w w:val="110"/>
        </w:rPr>
        <w:t> </w:t>
      </w:r>
      <w:r>
        <w:rPr>
          <w:color w:val="231F20"/>
          <w:w w:val="110"/>
        </w:rPr>
        <w:t>irregular (Portes y de Wind,</w:t>
      </w:r>
      <w:r>
        <w:rPr>
          <w:color w:val="231F20"/>
          <w:spacing w:val="-39"/>
          <w:w w:val="110"/>
        </w:rPr>
        <w:t> </w:t>
      </w:r>
      <w:r>
        <w:rPr>
          <w:color w:val="231F20"/>
          <w:spacing w:val="-2"/>
          <w:w w:val="110"/>
        </w:rPr>
        <w:t>2006).</w:t>
      </w:r>
    </w:p>
    <w:p>
      <w:pPr>
        <w:pStyle w:val="BodyText"/>
        <w:spacing w:line="261" w:lineRule="auto"/>
        <w:ind w:left="100" w:right="119" w:firstLine="240"/>
        <w:jc w:val="both"/>
      </w:pPr>
      <w:r>
        <w:rPr>
          <w:color w:val="231F20"/>
          <w:w w:val="110"/>
        </w:rPr>
        <w:t>Desde nuestra perspectiva, consideramos que con base en</w:t>
      </w:r>
      <w:r>
        <w:rPr>
          <w:color w:val="231F20"/>
          <w:spacing w:val="-6"/>
          <w:w w:val="110"/>
        </w:rPr>
        <w:t> </w:t>
      </w:r>
      <w:r>
        <w:rPr>
          <w:color w:val="231F20"/>
          <w:w w:val="110"/>
        </w:rPr>
        <w:t>esta</w:t>
      </w:r>
      <w:r>
        <w:rPr>
          <w:color w:val="231F20"/>
          <w:spacing w:val="-1"/>
          <w:w w:val="110"/>
        </w:rPr>
        <w:t> </w:t>
      </w:r>
      <w:r>
        <w:rPr>
          <w:color w:val="231F20"/>
          <w:w w:val="110"/>
        </w:rPr>
        <w:t>vi-</w:t>
      </w:r>
      <w:r>
        <w:rPr>
          <w:color w:val="231F20"/>
          <w:w w:val="72"/>
        </w:rPr>
        <w:t> </w:t>
      </w:r>
      <w:r>
        <w:rPr>
          <w:color w:val="231F20"/>
          <w:w w:val="110"/>
        </w:rPr>
        <w:t>sión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migración</w:t>
      </w:r>
      <w:r>
        <w:rPr>
          <w:color w:val="231F20"/>
          <w:spacing w:val="-4"/>
          <w:w w:val="110"/>
        </w:rPr>
        <w:t> </w:t>
      </w:r>
      <w:r>
        <w:rPr>
          <w:color w:val="231F20"/>
          <w:w w:val="110"/>
        </w:rPr>
        <w:t>como</w:t>
      </w:r>
      <w:r>
        <w:rPr>
          <w:color w:val="231F20"/>
          <w:spacing w:val="-4"/>
          <w:w w:val="110"/>
        </w:rPr>
        <w:t> </w:t>
      </w:r>
      <w:r>
        <w:rPr>
          <w:color w:val="231F20"/>
          <w:w w:val="110"/>
        </w:rPr>
        <w:t>una</w:t>
      </w:r>
      <w:r>
        <w:rPr>
          <w:color w:val="231F20"/>
          <w:spacing w:val="-4"/>
          <w:w w:val="110"/>
        </w:rPr>
        <w:t> </w:t>
      </w:r>
      <w:r>
        <w:rPr>
          <w:color w:val="231F20"/>
          <w:w w:val="110"/>
        </w:rPr>
        <w:t>cuestión</w:t>
      </w:r>
      <w:r>
        <w:rPr>
          <w:color w:val="231F20"/>
          <w:spacing w:val="-4"/>
          <w:w w:val="110"/>
        </w:rPr>
        <w:t> </w:t>
      </w:r>
      <w:r>
        <w:rPr>
          <w:color w:val="231F20"/>
          <w:w w:val="110"/>
        </w:rPr>
        <w:t>social</w:t>
      </w:r>
      <w:r>
        <w:rPr>
          <w:color w:val="231F20"/>
          <w:spacing w:val="-4"/>
          <w:w w:val="110"/>
        </w:rPr>
        <w:t> </w:t>
      </w:r>
      <w:r>
        <w:rPr>
          <w:color w:val="231F20"/>
          <w:w w:val="110"/>
        </w:rPr>
        <w:t>y</w:t>
      </w:r>
      <w:r>
        <w:rPr>
          <w:color w:val="231F20"/>
          <w:spacing w:val="-4"/>
          <w:w w:val="110"/>
        </w:rPr>
        <w:t> </w:t>
      </w:r>
      <w:r>
        <w:rPr>
          <w:color w:val="231F20"/>
          <w:w w:val="110"/>
        </w:rPr>
        <w:t>política,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fondo</w:t>
      </w:r>
    </w:p>
    <w:p>
      <w:pPr>
        <w:spacing w:after="0" w:line="261" w:lineRule="auto"/>
        <w:jc w:val="both"/>
        <w:sectPr>
          <w:headerReference w:type="default" r:id="rId216"/>
          <w:headerReference w:type="even" r:id="rId217"/>
          <w:pgSz w:w="7640" w:h="11900"/>
          <w:pgMar w:header="672" w:footer="0" w:top="860" w:bottom="280" w:left="660" w:right="760"/>
        </w:sectPr>
      </w:pPr>
    </w:p>
    <w:p>
      <w:pPr>
        <w:pStyle w:val="BodyText"/>
        <w:spacing w:before="8"/>
        <w:rPr>
          <w:sz w:val="8"/>
        </w:rPr>
      </w:pPr>
    </w:p>
    <w:p>
      <w:pPr>
        <w:pStyle w:val="BodyText"/>
        <w:spacing w:line="261" w:lineRule="auto" w:before="67"/>
        <w:ind w:left="100" w:right="51"/>
      </w:pPr>
      <w:r>
        <w:rPr>
          <w:color w:val="231F20"/>
          <w:w w:val="110"/>
        </w:rPr>
        <w:t>se ha sustentado un triple proceso de invisibilidad de los inmigrantes y sus aportes a las sociedades de destino.</w:t>
      </w:r>
    </w:p>
    <w:p>
      <w:pPr>
        <w:pStyle w:val="BodyText"/>
        <w:spacing w:line="261" w:lineRule="auto"/>
        <w:ind w:left="100" w:right="114" w:firstLine="240"/>
        <w:jc w:val="both"/>
      </w:pPr>
      <w:r>
        <w:rPr>
          <w:color w:val="231F20"/>
          <w:w w:val="105"/>
        </w:rPr>
        <w:t>Por un </w:t>
      </w:r>
      <w:r>
        <w:rPr>
          <w:color w:val="231F20"/>
          <w:spacing w:val="2"/>
          <w:w w:val="105"/>
        </w:rPr>
        <w:t>lado, </w:t>
      </w:r>
      <w:r>
        <w:rPr>
          <w:color w:val="231F20"/>
          <w:w w:val="105"/>
        </w:rPr>
        <w:t>se </w:t>
      </w:r>
      <w:r>
        <w:rPr>
          <w:color w:val="231F20"/>
          <w:spacing w:val="2"/>
          <w:w w:val="105"/>
        </w:rPr>
        <w:t>invisibiliza </w:t>
      </w:r>
      <w:r>
        <w:rPr>
          <w:color w:val="231F20"/>
          <w:w w:val="105"/>
        </w:rPr>
        <w:t>el </w:t>
      </w:r>
      <w:r>
        <w:rPr>
          <w:color w:val="231F20"/>
          <w:spacing w:val="2"/>
          <w:w w:val="105"/>
        </w:rPr>
        <w:t>aporte </w:t>
      </w:r>
      <w:r>
        <w:rPr>
          <w:color w:val="231F20"/>
          <w:w w:val="105"/>
        </w:rPr>
        <w:t>de los </w:t>
      </w:r>
      <w:r>
        <w:rPr>
          <w:color w:val="231F20"/>
          <w:spacing w:val="2"/>
          <w:w w:val="105"/>
        </w:rPr>
        <w:t>inmigrantes </w:t>
      </w:r>
      <w:r>
        <w:rPr>
          <w:color w:val="231F20"/>
          <w:w w:val="105"/>
        </w:rPr>
        <w:t>a </w:t>
      </w:r>
      <w:r>
        <w:rPr>
          <w:color w:val="231F20"/>
          <w:spacing w:val="3"/>
          <w:w w:val="105"/>
        </w:rPr>
        <w:t>esas </w:t>
      </w:r>
      <w:r>
        <w:rPr>
          <w:color w:val="231F20"/>
          <w:spacing w:val="2"/>
          <w:w w:val="105"/>
        </w:rPr>
        <w:t>economías </w:t>
      </w:r>
      <w:r>
        <w:rPr>
          <w:color w:val="231F20"/>
          <w:w w:val="105"/>
        </w:rPr>
        <w:t>y </w:t>
      </w:r>
      <w:r>
        <w:rPr>
          <w:color w:val="231F20"/>
          <w:spacing w:val="2"/>
          <w:w w:val="105"/>
        </w:rPr>
        <w:t>sociedades, aporte </w:t>
      </w:r>
      <w:r>
        <w:rPr>
          <w:color w:val="231F20"/>
          <w:w w:val="105"/>
        </w:rPr>
        <w:t>no </w:t>
      </w:r>
      <w:r>
        <w:rPr>
          <w:color w:val="231F20"/>
          <w:spacing w:val="2"/>
          <w:w w:val="105"/>
        </w:rPr>
        <w:t>sólo </w:t>
      </w:r>
      <w:r>
        <w:rPr>
          <w:color w:val="231F20"/>
          <w:w w:val="105"/>
        </w:rPr>
        <w:t>en </w:t>
      </w:r>
      <w:r>
        <w:rPr>
          <w:color w:val="231F20"/>
          <w:spacing w:val="2"/>
          <w:w w:val="105"/>
        </w:rPr>
        <w:t>términos </w:t>
      </w:r>
      <w:r>
        <w:rPr>
          <w:color w:val="231F20"/>
          <w:spacing w:val="3"/>
          <w:w w:val="105"/>
        </w:rPr>
        <w:t>económicos,</w:t>
      </w:r>
      <w:r>
        <w:rPr>
          <w:color w:val="231F20"/>
          <w:spacing w:val="58"/>
          <w:w w:val="105"/>
        </w:rPr>
        <w:t> </w:t>
      </w:r>
      <w:r>
        <w:rPr>
          <w:color w:val="231F20"/>
          <w:spacing w:val="2"/>
          <w:w w:val="105"/>
        </w:rPr>
        <w:t>sino también demográficos, sociales </w:t>
      </w:r>
      <w:r>
        <w:rPr>
          <w:color w:val="231F20"/>
          <w:w w:val="105"/>
        </w:rPr>
        <w:t>y </w:t>
      </w:r>
      <w:r>
        <w:rPr>
          <w:color w:val="231F20"/>
          <w:spacing w:val="2"/>
          <w:w w:val="105"/>
        </w:rPr>
        <w:t>culturales (Canales, </w:t>
      </w:r>
      <w:r>
        <w:rPr>
          <w:color w:val="231F20"/>
          <w:spacing w:val="3"/>
          <w:w w:val="105"/>
        </w:rPr>
        <w:t>2009; </w:t>
      </w:r>
      <w:r>
        <w:rPr>
          <w:color w:val="231F20"/>
          <w:spacing w:val="2"/>
          <w:w w:val="105"/>
        </w:rPr>
        <w:t>Delgado  Wise  </w:t>
      </w:r>
      <w:r>
        <w:rPr>
          <w:color w:val="231F20"/>
          <w:w w:val="105"/>
        </w:rPr>
        <w:t>y  </w:t>
      </w:r>
      <w:r>
        <w:rPr>
          <w:color w:val="231F20"/>
          <w:spacing w:val="2"/>
          <w:w w:val="105"/>
        </w:rPr>
        <w:t>Márquez,  2007). </w:t>
      </w:r>
      <w:r>
        <w:rPr>
          <w:color w:val="231F20"/>
          <w:w w:val="105"/>
        </w:rPr>
        <w:t>Con ello, se invisibiliza también  el grado de dependencia que las sociedades de destino mantienen respecto  a  la  inmigración </w:t>
      </w:r>
      <w:r>
        <w:rPr>
          <w:color w:val="231F20"/>
          <w:spacing w:val="25"/>
          <w:w w:val="105"/>
        </w:rPr>
        <w:t> </w:t>
      </w:r>
      <w:r>
        <w:rPr>
          <w:color w:val="231F20"/>
          <w:w w:val="105"/>
        </w:rPr>
        <w:t>contemporánea.</w:t>
      </w:r>
    </w:p>
    <w:p>
      <w:pPr>
        <w:pStyle w:val="BodyText"/>
        <w:spacing w:line="261" w:lineRule="auto"/>
        <w:ind w:left="100" w:right="117" w:firstLine="240"/>
        <w:jc w:val="both"/>
      </w:pPr>
      <w:r>
        <w:rPr>
          <w:color w:val="231F20"/>
          <w:w w:val="110"/>
        </w:rPr>
        <w:t>Por otro lado, esta visión de la inmigración internacional, invi- sibiliza también el papel que las transformaciones en la estructura económica y laboral, así como la dinámica del cambio demográfico en las sociedades desarrolladas, tienen en el desencadenamiento y causación de la inmigración hacia esos países.</w:t>
      </w:r>
    </w:p>
    <w:p>
      <w:pPr>
        <w:pStyle w:val="BodyText"/>
        <w:spacing w:line="261" w:lineRule="auto"/>
        <w:ind w:left="100" w:right="113" w:firstLine="240"/>
        <w:jc w:val="right"/>
      </w:pPr>
      <w:r>
        <w:rPr>
          <w:color w:val="231F20"/>
          <w:w w:val="110"/>
        </w:rPr>
        <w:t>Por último, esta invisibilidad del aporte de los inmigrantes</w:t>
      </w:r>
      <w:r>
        <w:rPr>
          <w:color w:val="231F20"/>
          <w:spacing w:val="5"/>
          <w:w w:val="110"/>
        </w:rPr>
        <w:t> </w:t>
      </w:r>
      <w:r>
        <w:rPr>
          <w:color w:val="231F20"/>
          <w:w w:val="110"/>
        </w:rPr>
        <w:t>y</w:t>
      </w:r>
      <w:r>
        <w:rPr>
          <w:color w:val="231F20"/>
          <w:spacing w:val="18"/>
          <w:w w:val="110"/>
        </w:rPr>
        <w:t> </w:t>
      </w:r>
      <w:r>
        <w:rPr>
          <w:color w:val="231F20"/>
          <w:w w:val="110"/>
        </w:rPr>
        <w:t>de</w:t>
      </w:r>
      <w:r>
        <w:rPr>
          <w:color w:val="231F20"/>
          <w:w w:val="114"/>
        </w:rPr>
        <w:t> </w:t>
      </w:r>
      <w:r>
        <w:rPr>
          <w:color w:val="231F20"/>
          <w:w w:val="110"/>
        </w:rPr>
        <w:t>sus causas estructurales en los países de destino, genera</w:t>
      </w:r>
      <w:r>
        <w:rPr>
          <w:color w:val="231F20"/>
          <w:spacing w:val="38"/>
          <w:w w:val="110"/>
        </w:rPr>
        <w:t> </w:t>
      </w:r>
      <w:r>
        <w:rPr>
          <w:color w:val="231F20"/>
          <w:w w:val="110"/>
        </w:rPr>
        <w:t>una</w:t>
      </w:r>
      <w:r>
        <w:rPr>
          <w:color w:val="231F20"/>
          <w:spacing w:val="10"/>
          <w:w w:val="110"/>
        </w:rPr>
        <w:t> </w:t>
      </w:r>
      <w:r>
        <w:rPr>
          <w:color w:val="231F20"/>
          <w:w w:val="110"/>
        </w:rPr>
        <w:t>distor-</w:t>
      </w:r>
      <w:r>
        <w:rPr>
          <w:color w:val="231F20"/>
          <w:w w:val="72"/>
        </w:rPr>
        <w:t> </w:t>
      </w:r>
      <w:r>
        <w:rPr>
          <w:color w:val="231F20"/>
          <w:w w:val="110"/>
        </w:rPr>
        <w:t>sión en el tema de la defensa y respeto de los derechos</w:t>
      </w:r>
      <w:r>
        <w:rPr>
          <w:color w:val="231F20"/>
          <w:spacing w:val="5"/>
          <w:w w:val="110"/>
        </w:rPr>
        <w:t> </w:t>
      </w:r>
      <w:r>
        <w:rPr>
          <w:color w:val="231F20"/>
          <w:w w:val="110"/>
        </w:rPr>
        <w:t>humanos</w:t>
      </w:r>
      <w:r>
        <w:rPr>
          <w:color w:val="231F20"/>
          <w:spacing w:val="14"/>
          <w:w w:val="110"/>
        </w:rPr>
        <w:t> </w:t>
      </w:r>
      <w:r>
        <w:rPr>
          <w:color w:val="231F20"/>
          <w:w w:val="110"/>
        </w:rPr>
        <w:t>y</w:t>
      </w:r>
      <w:r>
        <w:rPr>
          <w:color w:val="231F20"/>
          <w:w w:val="84"/>
        </w:rPr>
        <w:t> </w:t>
      </w:r>
      <w:r>
        <w:rPr>
          <w:color w:val="231F20"/>
          <w:w w:val="110"/>
        </w:rPr>
        <w:t>laborales de los inmigrantes. La estigmatización de</w:t>
      </w:r>
      <w:r>
        <w:rPr>
          <w:color w:val="231F20"/>
          <w:spacing w:val="22"/>
          <w:w w:val="110"/>
        </w:rPr>
        <w:t> </w:t>
      </w:r>
      <w:r>
        <w:rPr>
          <w:color w:val="231F20"/>
          <w:w w:val="110"/>
        </w:rPr>
        <w:t>los</w:t>
      </w:r>
      <w:r>
        <w:rPr>
          <w:color w:val="231F20"/>
          <w:spacing w:val="11"/>
          <w:w w:val="110"/>
        </w:rPr>
        <w:t> </w:t>
      </w:r>
      <w:r>
        <w:rPr>
          <w:color w:val="231F20"/>
          <w:w w:val="110"/>
        </w:rPr>
        <w:t>inmigrantes</w:t>
      </w:r>
      <w:r>
        <w:rPr>
          <w:color w:val="231F20"/>
          <w:w w:val="110"/>
        </w:rPr>
        <w:t> </w:t>
      </w:r>
      <w:r>
        <w:rPr>
          <w:color w:val="231F20"/>
          <w:w w:val="110"/>
        </w:rPr>
        <w:t>como</w:t>
      </w:r>
      <w:r>
        <w:rPr>
          <w:color w:val="231F20"/>
          <w:spacing w:val="-7"/>
          <w:w w:val="110"/>
        </w:rPr>
        <w:t> </w:t>
      </w:r>
      <w:r>
        <w:rPr>
          <w:color w:val="231F20"/>
          <w:w w:val="110"/>
        </w:rPr>
        <w:t>un</w:t>
      </w:r>
      <w:r>
        <w:rPr>
          <w:color w:val="231F20"/>
          <w:spacing w:val="-7"/>
          <w:w w:val="110"/>
        </w:rPr>
        <w:t> </w:t>
      </w:r>
      <w:r>
        <w:rPr>
          <w:color w:val="231F20"/>
          <w:w w:val="110"/>
        </w:rPr>
        <w:t>problema</w:t>
      </w:r>
      <w:r>
        <w:rPr>
          <w:color w:val="231F20"/>
          <w:spacing w:val="-7"/>
          <w:w w:val="110"/>
        </w:rPr>
        <w:t> </w:t>
      </w:r>
      <w:r>
        <w:rPr>
          <w:color w:val="231F20"/>
          <w:w w:val="110"/>
        </w:rPr>
        <w:t>social</w:t>
      </w:r>
      <w:r>
        <w:rPr>
          <w:color w:val="231F20"/>
          <w:spacing w:val="-7"/>
          <w:w w:val="110"/>
        </w:rPr>
        <w:t> </w:t>
      </w:r>
      <w:r>
        <w:rPr>
          <w:color w:val="231F20"/>
          <w:w w:val="110"/>
        </w:rPr>
        <w:t>y</w:t>
      </w:r>
      <w:r>
        <w:rPr>
          <w:color w:val="231F20"/>
          <w:spacing w:val="-7"/>
          <w:w w:val="110"/>
        </w:rPr>
        <w:t> </w:t>
      </w:r>
      <w:r>
        <w:rPr>
          <w:color w:val="231F20"/>
          <w:w w:val="110"/>
        </w:rPr>
        <w:t>político,</w:t>
      </w:r>
      <w:r>
        <w:rPr>
          <w:color w:val="231F20"/>
          <w:spacing w:val="-7"/>
          <w:w w:val="110"/>
        </w:rPr>
        <w:t> </w:t>
      </w:r>
      <w:r>
        <w:rPr>
          <w:color w:val="231F20"/>
          <w:w w:val="110"/>
        </w:rPr>
        <w:t>ha</w:t>
      </w:r>
      <w:r>
        <w:rPr>
          <w:color w:val="231F20"/>
          <w:spacing w:val="-7"/>
          <w:w w:val="110"/>
        </w:rPr>
        <w:t> </w:t>
      </w:r>
      <w:r>
        <w:rPr>
          <w:color w:val="231F20"/>
          <w:w w:val="110"/>
        </w:rPr>
        <w:t>permitido</w:t>
      </w:r>
      <w:r>
        <w:rPr>
          <w:color w:val="231F20"/>
          <w:spacing w:val="-7"/>
          <w:w w:val="110"/>
        </w:rPr>
        <w:t> </w:t>
      </w:r>
      <w:r>
        <w:rPr>
          <w:color w:val="231F20"/>
          <w:w w:val="110"/>
        </w:rPr>
        <w:t>que</w:t>
      </w:r>
      <w:r>
        <w:rPr>
          <w:color w:val="231F20"/>
          <w:spacing w:val="-7"/>
          <w:w w:val="110"/>
        </w:rPr>
        <w:t> </w:t>
      </w:r>
      <w:r>
        <w:rPr>
          <w:color w:val="231F20"/>
          <w:w w:val="110"/>
        </w:rPr>
        <w:t>Estados</w:t>
      </w:r>
      <w:r>
        <w:rPr>
          <w:color w:val="231F20"/>
          <w:spacing w:val="-7"/>
          <w:w w:val="110"/>
        </w:rPr>
        <w:t> </w:t>
      </w:r>
      <w:r>
        <w:rPr>
          <w:color w:val="231F20"/>
          <w:w w:val="110"/>
        </w:rPr>
        <w:t>nacio-</w:t>
      </w:r>
      <w:r>
        <w:rPr>
          <w:color w:val="231F20"/>
          <w:w w:val="72"/>
        </w:rPr>
        <w:t> </w:t>
      </w:r>
      <w:r>
        <w:rPr>
          <w:color w:val="231F20"/>
          <w:w w:val="110"/>
        </w:rPr>
        <w:t>nales eludan su obligación y responsabilidad para asegurar</w:t>
      </w:r>
      <w:r>
        <w:rPr>
          <w:color w:val="231F20"/>
          <w:spacing w:val="54"/>
          <w:w w:val="110"/>
        </w:rPr>
        <w:t> </w:t>
      </w:r>
      <w:r>
        <w:rPr>
          <w:color w:val="231F20"/>
          <w:w w:val="110"/>
        </w:rPr>
        <w:t>el</w:t>
      </w:r>
      <w:r>
        <w:rPr>
          <w:color w:val="231F20"/>
          <w:spacing w:val="13"/>
          <w:w w:val="110"/>
        </w:rPr>
        <w:t> </w:t>
      </w:r>
      <w:r>
        <w:rPr>
          <w:color w:val="231F20"/>
          <w:w w:val="110"/>
        </w:rPr>
        <w:t>igual</w:t>
      </w:r>
      <w:r>
        <w:rPr>
          <w:color w:val="231F20"/>
          <w:w w:val="107"/>
        </w:rPr>
        <w:t> </w:t>
      </w:r>
      <w:r>
        <w:rPr>
          <w:color w:val="231F20"/>
          <w:w w:val="110"/>
        </w:rPr>
        <w:t>acceso</w:t>
      </w:r>
      <w:r>
        <w:rPr>
          <w:color w:val="231F20"/>
          <w:spacing w:val="-5"/>
          <w:w w:val="110"/>
        </w:rPr>
        <w:t> </w:t>
      </w:r>
      <w:r>
        <w:rPr>
          <w:color w:val="231F20"/>
          <w:w w:val="110"/>
        </w:rPr>
        <w:t>y</w:t>
      </w:r>
      <w:r>
        <w:rPr>
          <w:color w:val="231F20"/>
          <w:spacing w:val="-5"/>
          <w:w w:val="110"/>
        </w:rPr>
        <w:t> </w:t>
      </w:r>
      <w:r>
        <w:rPr>
          <w:color w:val="231F20"/>
          <w:w w:val="110"/>
        </w:rPr>
        <w:t>respeto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derechos</w:t>
      </w:r>
      <w:r>
        <w:rPr>
          <w:color w:val="231F20"/>
          <w:spacing w:val="-5"/>
          <w:w w:val="110"/>
        </w:rPr>
        <w:t> </w:t>
      </w:r>
      <w:r>
        <w:rPr>
          <w:color w:val="231F20"/>
          <w:w w:val="110"/>
        </w:rPr>
        <w:t>fundamentales</w:t>
      </w:r>
      <w:r>
        <w:rPr>
          <w:color w:val="231F20"/>
          <w:spacing w:val="-5"/>
          <w:w w:val="110"/>
        </w:rPr>
        <w:t> </w:t>
      </w:r>
      <w:r>
        <w:rPr>
          <w:color w:val="231F20"/>
          <w:w w:val="110"/>
        </w:rPr>
        <w:t>a</w:t>
      </w:r>
      <w:r>
        <w:rPr>
          <w:color w:val="231F20"/>
          <w:spacing w:val="-5"/>
          <w:w w:val="110"/>
        </w:rPr>
        <w:t> </w:t>
      </w:r>
      <w:r>
        <w:rPr>
          <w:color w:val="231F20"/>
          <w:w w:val="110"/>
        </w:rPr>
        <w:t>todas</w:t>
      </w:r>
      <w:r>
        <w:rPr>
          <w:color w:val="231F20"/>
          <w:spacing w:val="-5"/>
          <w:w w:val="110"/>
        </w:rPr>
        <w:t> </w:t>
      </w:r>
      <w:r>
        <w:rPr>
          <w:color w:val="231F20"/>
          <w:w w:val="110"/>
        </w:rPr>
        <w:t>las</w:t>
      </w:r>
      <w:r>
        <w:rPr>
          <w:color w:val="231F20"/>
          <w:spacing w:val="-5"/>
          <w:w w:val="110"/>
        </w:rPr>
        <w:t> </w:t>
      </w:r>
      <w:r>
        <w:rPr>
          <w:color w:val="231F20"/>
          <w:w w:val="110"/>
        </w:rPr>
        <w:t>personas,</w:t>
      </w:r>
      <w:r>
        <w:rPr>
          <w:color w:val="231F20"/>
          <w:w w:val="109"/>
        </w:rPr>
        <w:t> </w:t>
      </w:r>
      <w:r>
        <w:rPr>
          <w:color w:val="231F20"/>
          <w:w w:val="110"/>
        </w:rPr>
        <w:t>independientemente</w:t>
      </w:r>
      <w:r>
        <w:rPr>
          <w:color w:val="231F20"/>
          <w:spacing w:val="-13"/>
          <w:w w:val="110"/>
        </w:rPr>
        <w:t> </w:t>
      </w:r>
      <w:r>
        <w:rPr>
          <w:color w:val="231F20"/>
          <w:w w:val="110"/>
        </w:rPr>
        <w:t>de</w:t>
      </w:r>
      <w:r>
        <w:rPr>
          <w:color w:val="231F20"/>
          <w:spacing w:val="-13"/>
          <w:w w:val="110"/>
        </w:rPr>
        <w:t> </w:t>
      </w:r>
      <w:r>
        <w:rPr>
          <w:color w:val="231F20"/>
          <w:w w:val="110"/>
        </w:rPr>
        <w:t>sus</w:t>
      </w:r>
      <w:r>
        <w:rPr>
          <w:color w:val="231F20"/>
          <w:spacing w:val="-13"/>
          <w:w w:val="110"/>
        </w:rPr>
        <w:t> </w:t>
      </w:r>
      <w:r>
        <w:rPr>
          <w:color w:val="231F20"/>
          <w:w w:val="110"/>
        </w:rPr>
        <w:t>estatus</w:t>
      </w:r>
      <w:r>
        <w:rPr>
          <w:color w:val="231F20"/>
          <w:spacing w:val="-13"/>
          <w:w w:val="110"/>
        </w:rPr>
        <w:t> </w:t>
      </w:r>
      <w:r>
        <w:rPr>
          <w:color w:val="231F20"/>
          <w:w w:val="110"/>
        </w:rPr>
        <w:t>migratorio</w:t>
      </w:r>
      <w:r>
        <w:rPr>
          <w:color w:val="231F20"/>
          <w:spacing w:val="-13"/>
          <w:w w:val="110"/>
        </w:rPr>
        <w:t> </w:t>
      </w:r>
      <w:r>
        <w:rPr>
          <w:color w:val="231F20"/>
          <w:w w:val="110"/>
        </w:rPr>
        <w:t>(Martínez</w:t>
      </w:r>
      <w:r>
        <w:rPr>
          <w:color w:val="231F20"/>
          <w:spacing w:val="-13"/>
          <w:w w:val="110"/>
        </w:rPr>
        <w:t> </w:t>
      </w:r>
      <w:r>
        <w:rPr>
          <w:i/>
          <w:color w:val="231F20"/>
          <w:w w:val="110"/>
        </w:rPr>
        <w:t>et</w:t>
      </w:r>
      <w:r>
        <w:rPr>
          <w:i/>
          <w:color w:val="231F20"/>
          <w:spacing w:val="-13"/>
          <w:w w:val="110"/>
        </w:rPr>
        <w:t> </w:t>
      </w:r>
      <w:r>
        <w:rPr>
          <w:i/>
          <w:color w:val="231F20"/>
          <w:w w:val="110"/>
        </w:rPr>
        <w:t>al.</w:t>
      </w:r>
      <w:r>
        <w:rPr>
          <w:color w:val="231F20"/>
          <w:w w:val="110"/>
        </w:rPr>
        <w:t>,</w:t>
      </w:r>
      <w:r>
        <w:rPr>
          <w:color w:val="231F20"/>
          <w:spacing w:val="-13"/>
          <w:w w:val="110"/>
        </w:rPr>
        <w:t> </w:t>
      </w:r>
      <w:r>
        <w:rPr>
          <w:color w:val="231F20"/>
          <w:w w:val="110"/>
        </w:rPr>
        <w:t>2009).</w:t>
      </w:r>
      <w:r>
        <w:rPr>
          <w:color w:val="231F20"/>
          <w:w w:val="107"/>
        </w:rPr>
        <w:t> </w:t>
      </w:r>
      <w:r>
        <w:rPr>
          <w:color w:val="231F20"/>
          <w:w w:val="110"/>
        </w:rPr>
        <w:t>Ahora bien, para hacer visibles los aportes de la</w:t>
      </w:r>
      <w:r>
        <w:rPr>
          <w:color w:val="231F20"/>
          <w:spacing w:val="15"/>
          <w:w w:val="110"/>
        </w:rPr>
        <w:t> </w:t>
      </w:r>
      <w:r>
        <w:rPr>
          <w:color w:val="231F20"/>
          <w:w w:val="110"/>
        </w:rPr>
        <w:t>inmigración,</w:t>
      </w:r>
      <w:r>
        <w:rPr>
          <w:color w:val="231F20"/>
          <w:spacing w:val="14"/>
          <w:w w:val="110"/>
        </w:rPr>
        <w:t> </w:t>
      </w:r>
      <w:r>
        <w:rPr>
          <w:color w:val="231F20"/>
          <w:w w:val="110"/>
        </w:rPr>
        <w:t>se</w:t>
      </w:r>
      <w:r>
        <w:rPr>
          <w:color w:val="231F20"/>
          <w:w w:val="103"/>
        </w:rPr>
        <w:t> </w:t>
      </w:r>
      <w:r>
        <w:rPr>
          <w:color w:val="231F20"/>
          <w:w w:val="110"/>
        </w:rPr>
        <w:t>necesita</w:t>
      </w:r>
      <w:r>
        <w:rPr>
          <w:color w:val="231F20"/>
          <w:spacing w:val="37"/>
          <w:w w:val="110"/>
        </w:rPr>
        <w:t> </w:t>
      </w:r>
      <w:r>
        <w:rPr>
          <w:color w:val="231F20"/>
          <w:w w:val="110"/>
        </w:rPr>
        <w:t>desarrollar</w:t>
      </w:r>
      <w:r>
        <w:rPr>
          <w:color w:val="231F20"/>
          <w:spacing w:val="37"/>
          <w:w w:val="110"/>
        </w:rPr>
        <w:t> </w:t>
      </w:r>
      <w:r>
        <w:rPr>
          <w:color w:val="231F20"/>
          <w:w w:val="110"/>
        </w:rPr>
        <w:t>un</w:t>
      </w:r>
      <w:r>
        <w:rPr>
          <w:color w:val="231F20"/>
          <w:spacing w:val="37"/>
          <w:w w:val="110"/>
        </w:rPr>
        <w:t> </w:t>
      </w:r>
      <w:r>
        <w:rPr>
          <w:color w:val="231F20"/>
          <w:w w:val="110"/>
        </w:rPr>
        <w:t>nuevo</w:t>
      </w:r>
      <w:r>
        <w:rPr>
          <w:color w:val="231F20"/>
          <w:spacing w:val="37"/>
          <w:w w:val="110"/>
        </w:rPr>
        <w:t> </w:t>
      </w:r>
      <w:r>
        <w:rPr>
          <w:color w:val="231F20"/>
          <w:w w:val="110"/>
        </w:rPr>
        <w:t>enfoque</w:t>
      </w:r>
      <w:r>
        <w:rPr>
          <w:color w:val="231F20"/>
          <w:spacing w:val="37"/>
          <w:w w:val="110"/>
        </w:rPr>
        <w:t> </w:t>
      </w:r>
      <w:r>
        <w:rPr>
          <w:color w:val="231F20"/>
          <w:w w:val="110"/>
        </w:rPr>
        <w:t>analítico</w:t>
      </w:r>
      <w:r>
        <w:rPr>
          <w:color w:val="231F20"/>
          <w:spacing w:val="37"/>
          <w:w w:val="110"/>
        </w:rPr>
        <w:t> </w:t>
      </w:r>
      <w:r>
        <w:rPr>
          <w:color w:val="231F20"/>
          <w:w w:val="110"/>
        </w:rPr>
        <w:t>y</w:t>
      </w:r>
      <w:r>
        <w:rPr>
          <w:color w:val="231F20"/>
          <w:spacing w:val="37"/>
          <w:w w:val="110"/>
        </w:rPr>
        <w:t> </w:t>
      </w:r>
      <w:r>
        <w:rPr>
          <w:color w:val="231F20"/>
          <w:w w:val="110"/>
        </w:rPr>
        <w:t>conceptual</w:t>
      </w:r>
      <w:r>
        <w:rPr>
          <w:color w:val="231F20"/>
          <w:spacing w:val="37"/>
          <w:w w:val="110"/>
        </w:rPr>
        <w:t> </w:t>
      </w:r>
      <w:r>
        <w:rPr>
          <w:color w:val="231F20"/>
          <w:w w:val="110"/>
        </w:rPr>
        <w:t>que</w:t>
      </w:r>
      <w:r>
        <w:rPr>
          <w:color w:val="231F20"/>
          <w:w w:val="113"/>
        </w:rPr>
        <w:t> </w:t>
      </w:r>
      <w:r>
        <w:rPr>
          <w:color w:val="231F20"/>
          <w:w w:val="110"/>
        </w:rPr>
        <w:t>conciba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migración,</w:t>
      </w:r>
      <w:r>
        <w:rPr>
          <w:color w:val="231F20"/>
          <w:spacing w:val="-8"/>
          <w:w w:val="110"/>
        </w:rPr>
        <w:t> </w:t>
      </w:r>
      <w:r>
        <w:rPr>
          <w:color w:val="231F20"/>
          <w:w w:val="110"/>
        </w:rPr>
        <w:t>no</w:t>
      </w:r>
      <w:r>
        <w:rPr>
          <w:color w:val="231F20"/>
          <w:spacing w:val="-8"/>
          <w:w w:val="110"/>
        </w:rPr>
        <w:t> </w:t>
      </w:r>
      <w:r>
        <w:rPr>
          <w:color w:val="231F20"/>
          <w:w w:val="110"/>
        </w:rPr>
        <w:t>ya</w:t>
      </w:r>
      <w:r>
        <w:rPr>
          <w:color w:val="231F20"/>
          <w:spacing w:val="-8"/>
          <w:w w:val="110"/>
        </w:rPr>
        <w:t> </w:t>
      </w:r>
      <w:r>
        <w:rPr>
          <w:color w:val="231F20"/>
          <w:w w:val="110"/>
        </w:rPr>
        <w:t>como</w:t>
      </w:r>
      <w:r>
        <w:rPr>
          <w:color w:val="231F20"/>
          <w:spacing w:val="-8"/>
          <w:w w:val="110"/>
        </w:rPr>
        <w:t> </w:t>
      </w:r>
      <w:r>
        <w:rPr>
          <w:color w:val="231F20"/>
          <w:w w:val="110"/>
        </w:rPr>
        <w:t>un</w:t>
      </w:r>
      <w:r>
        <w:rPr>
          <w:color w:val="231F20"/>
          <w:spacing w:val="-8"/>
          <w:w w:val="110"/>
        </w:rPr>
        <w:t> </w:t>
      </w:r>
      <w:r>
        <w:rPr>
          <w:color w:val="231F20"/>
          <w:w w:val="110"/>
        </w:rPr>
        <w:t>fenómeno</w:t>
      </w:r>
      <w:r>
        <w:rPr>
          <w:color w:val="231F20"/>
          <w:spacing w:val="-8"/>
          <w:w w:val="110"/>
        </w:rPr>
        <w:t> </w:t>
      </w:r>
      <w:r>
        <w:rPr>
          <w:color w:val="231F20"/>
          <w:w w:val="110"/>
        </w:rPr>
        <w:t>exógeno</w:t>
      </w:r>
      <w:r>
        <w:rPr>
          <w:color w:val="231F20"/>
          <w:spacing w:val="-8"/>
          <w:w w:val="110"/>
        </w:rPr>
        <w:t> </w:t>
      </w:r>
      <w:r>
        <w:rPr>
          <w:color w:val="231F20"/>
          <w:w w:val="110"/>
        </w:rPr>
        <w:t>o</w:t>
      </w:r>
      <w:r>
        <w:rPr>
          <w:color w:val="231F20"/>
          <w:spacing w:val="-8"/>
          <w:w w:val="110"/>
        </w:rPr>
        <w:t> </w:t>
      </w:r>
      <w:r>
        <w:rPr>
          <w:color w:val="231F20"/>
          <w:w w:val="110"/>
        </w:rPr>
        <w:t>externo,</w:t>
      </w:r>
      <w:r>
        <w:rPr>
          <w:color w:val="231F20"/>
          <w:w w:val="112"/>
        </w:rPr>
        <w:t> </w:t>
      </w:r>
      <w:r>
        <w:rPr>
          <w:color w:val="231F20"/>
          <w:w w:val="110"/>
        </w:rPr>
        <w:t>sino</w:t>
      </w:r>
      <w:r>
        <w:rPr>
          <w:color w:val="231F20"/>
          <w:spacing w:val="21"/>
          <w:w w:val="110"/>
        </w:rPr>
        <w:t> </w:t>
      </w:r>
      <w:r>
        <w:rPr>
          <w:color w:val="231F20"/>
          <w:w w:val="110"/>
        </w:rPr>
        <w:t>como</w:t>
      </w:r>
      <w:r>
        <w:rPr>
          <w:color w:val="231F20"/>
          <w:spacing w:val="21"/>
          <w:w w:val="110"/>
        </w:rPr>
        <w:t> </w:t>
      </w:r>
      <w:r>
        <w:rPr>
          <w:color w:val="231F20"/>
          <w:w w:val="110"/>
        </w:rPr>
        <w:t>un</w:t>
      </w:r>
      <w:r>
        <w:rPr>
          <w:color w:val="231F20"/>
          <w:spacing w:val="21"/>
          <w:w w:val="110"/>
        </w:rPr>
        <w:t> </w:t>
      </w:r>
      <w:r>
        <w:rPr>
          <w:color w:val="231F20"/>
          <w:w w:val="110"/>
        </w:rPr>
        <w:t>proceso</w:t>
      </w:r>
      <w:r>
        <w:rPr>
          <w:color w:val="231F20"/>
          <w:spacing w:val="21"/>
          <w:w w:val="110"/>
        </w:rPr>
        <w:t> </w:t>
      </w:r>
      <w:r>
        <w:rPr>
          <w:color w:val="231F20"/>
          <w:w w:val="110"/>
        </w:rPr>
        <w:t>intrínseco</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sociedad</w:t>
      </w:r>
      <w:r>
        <w:rPr>
          <w:color w:val="231F20"/>
          <w:spacing w:val="21"/>
          <w:w w:val="110"/>
        </w:rPr>
        <w:t> </w:t>
      </w:r>
      <w:r>
        <w:rPr>
          <w:color w:val="231F20"/>
          <w:w w:val="110"/>
        </w:rPr>
        <w:t>de</w:t>
      </w:r>
      <w:r>
        <w:rPr>
          <w:color w:val="231F20"/>
          <w:spacing w:val="21"/>
          <w:w w:val="110"/>
        </w:rPr>
        <w:t> </w:t>
      </w:r>
      <w:r>
        <w:rPr>
          <w:color w:val="231F20"/>
          <w:w w:val="110"/>
        </w:rPr>
        <w:t>destino.</w:t>
      </w:r>
      <w:r>
        <w:rPr>
          <w:color w:val="231F20"/>
          <w:spacing w:val="21"/>
          <w:w w:val="110"/>
        </w:rPr>
        <w:t> </w:t>
      </w:r>
      <w:r>
        <w:rPr>
          <w:color w:val="231F20"/>
          <w:w w:val="110"/>
        </w:rPr>
        <w:t>Se</w:t>
      </w:r>
      <w:r>
        <w:rPr>
          <w:color w:val="231F20"/>
          <w:spacing w:val="21"/>
          <w:w w:val="110"/>
        </w:rPr>
        <w:t> </w:t>
      </w:r>
      <w:r>
        <w:rPr>
          <w:color w:val="231F20"/>
          <w:w w:val="110"/>
        </w:rPr>
        <w:t>trata</w:t>
      </w:r>
      <w:r>
        <w:rPr>
          <w:color w:val="231F20"/>
          <w:w w:val="112"/>
        </w:rPr>
        <w:t> </w:t>
      </w:r>
      <w:r>
        <w:rPr>
          <w:color w:val="231F20"/>
          <w:w w:val="110"/>
        </w:rPr>
        <w:t>de</w:t>
      </w:r>
      <w:r>
        <w:rPr>
          <w:color w:val="231F20"/>
          <w:spacing w:val="28"/>
          <w:w w:val="110"/>
        </w:rPr>
        <w:t> </w:t>
      </w:r>
      <w:r>
        <w:rPr>
          <w:color w:val="231F20"/>
          <w:w w:val="110"/>
        </w:rPr>
        <w:t>concebir</w:t>
      </w:r>
      <w:r>
        <w:rPr>
          <w:color w:val="231F20"/>
          <w:spacing w:val="28"/>
          <w:w w:val="110"/>
        </w:rPr>
        <w:t> </w:t>
      </w:r>
      <w:r>
        <w:rPr>
          <w:color w:val="231F20"/>
          <w:w w:val="110"/>
        </w:rPr>
        <w:t>a</w:t>
      </w:r>
      <w:r>
        <w:rPr>
          <w:color w:val="231F20"/>
          <w:spacing w:val="28"/>
          <w:w w:val="110"/>
        </w:rPr>
        <w:t> </w:t>
      </w:r>
      <w:r>
        <w:rPr>
          <w:color w:val="231F20"/>
          <w:w w:val="110"/>
        </w:rPr>
        <w:t>la</w:t>
      </w:r>
      <w:r>
        <w:rPr>
          <w:color w:val="231F20"/>
          <w:spacing w:val="28"/>
          <w:w w:val="110"/>
        </w:rPr>
        <w:t> </w:t>
      </w:r>
      <w:r>
        <w:rPr>
          <w:color w:val="231F20"/>
          <w:w w:val="110"/>
        </w:rPr>
        <w:t>migración</w:t>
      </w:r>
      <w:r>
        <w:rPr>
          <w:color w:val="231F20"/>
          <w:spacing w:val="28"/>
          <w:w w:val="110"/>
        </w:rPr>
        <w:t> </w:t>
      </w:r>
      <w:r>
        <w:rPr>
          <w:color w:val="231F20"/>
          <w:w w:val="110"/>
        </w:rPr>
        <w:t>no</w:t>
      </w:r>
      <w:r>
        <w:rPr>
          <w:color w:val="231F20"/>
          <w:spacing w:val="28"/>
          <w:w w:val="110"/>
        </w:rPr>
        <w:t> </w:t>
      </w:r>
      <w:r>
        <w:rPr>
          <w:color w:val="231F20"/>
          <w:w w:val="110"/>
        </w:rPr>
        <w:t>como</w:t>
      </w:r>
      <w:r>
        <w:rPr>
          <w:color w:val="231F20"/>
          <w:spacing w:val="28"/>
          <w:w w:val="110"/>
        </w:rPr>
        <w:t> </w:t>
      </w:r>
      <w:r>
        <w:rPr>
          <w:color w:val="231F20"/>
          <w:w w:val="110"/>
        </w:rPr>
        <w:t>un</w:t>
      </w:r>
      <w:r>
        <w:rPr>
          <w:color w:val="231F20"/>
          <w:spacing w:val="28"/>
          <w:w w:val="110"/>
        </w:rPr>
        <w:t> </w:t>
      </w:r>
      <w:r>
        <w:rPr>
          <w:color w:val="231F20"/>
          <w:w w:val="110"/>
        </w:rPr>
        <w:t>“problema”</w:t>
      </w:r>
      <w:r>
        <w:rPr>
          <w:color w:val="231F20"/>
          <w:spacing w:val="28"/>
          <w:w w:val="110"/>
        </w:rPr>
        <w:t> </w:t>
      </w:r>
      <w:r>
        <w:rPr>
          <w:color w:val="231F20"/>
          <w:w w:val="110"/>
        </w:rPr>
        <w:t>que</w:t>
      </w:r>
      <w:r>
        <w:rPr>
          <w:color w:val="231F20"/>
          <w:spacing w:val="28"/>
          <w:w w:val="110"/>
        </w:rPr>
        <w:t> </w:t>
      </w:r>
      <w:r>
        <w:rPr>
          <w:color w:val="231F20"/>
          <w:w w:val="110"/>
        </w:rPr>
        <w:t>viene</w:t>
      </w:r>
      <w:r>
        <w:rPr>
          <w:color w:val="231F20"/>
          <w:spacing w:val="28"/>
          <w:w w:val="110"/>
        </w:rPr>
        <w:t> </w:t>
      </w:r>
      <w:r>
        <w:rPr>
          <w:color w:val="231F20"/>
          <w:w w:val="110"/>
        </w:rPr>
        <w:t>de</w:t>
      </w:r>
      <w:r>
        <w:rPr>
          <w:color w:val="231F20"/>
          <w:w w:val="114"/>
        </w:rPr>
        <w:t> </w:t>
      </w:r>
      <w:r>
        <w:rPr>
          <w:color w:val="231F20"/>
          <w:w w:val="110"/>
        </w:rPr>
        <w:t>fuera de la sociedad, sino como un fenómeno social que</w:t>
      </w:r>
      <w:r>
        <w:rPr>
          <w:color w:val="231F20"/>
          <w:spacing w:val="9"/>
          <w:w w:val="110"/>
        </w:rPr>
        <w:t> </w:t>
      </w:r>
      <w:r>
        <w:rPr>
          <w:color w:val="231F20"/>
          <w:w w:val="110"/>
        </w:rPr>
        <w:t>es</w:t>
      </w:r>
      <w:r>
        <w:rPr>
          <w:color w:val="231F20"/>
          <w:spacing w:val="6"/>
          <w:w w:val="110"/>
        </w:rPr>
        <w:t> </w:t>
      </w:r>
      <w:r>
        <w:rPr>
          <w:color w:val="231F20"/>
          <w:w w:val="110"/>
        </w:rPr>
        <w:t>causado</w:t>
      </w:r>
      <w:r>
        <w:rPr>
          <w:color w:val="231F20"/>
          <w:w w:val="108"/>
        </w:rPr>
        <w:t> </w:t>
      </w:r>
      <w:r>
        <w:rPr>
          <w:color w:val="231F20"/>
          <w:w w:val="110"/>
        </w:rPr>
        <w:t>por las propias condiciones estructurales de la sociedad</w:t>
      </w:r>
      <w:r>
        <w:rPr>
          <w:color w:val="231F20"/>
          <w:spacing w:val="47"/>
          <w:w w:val="110"/>
        </w:rPr>
        <w:t> </w:t>
      </w:r>
      <w:r>
        <w:rPr>
          <w:color w:val="231F20"/>
          <w:w w:val="110"/>
        </w:rPr>
        <w:t>de</w:t>
      </w:r>
      <w:r>
        <w:rPr>
          <w:color w:val="231F20"/>
          <w:spacing w:val="12"/>
          <w:w w:val="110"/>
        </w:rPr>
        <w:t> </w:t>
      </w:r>
      <w:r>
        <w:rPr>
          <w:color w:val="231F20"/>
          <w:w w:val="110"/>
        </w:rPr>
        <w:t>destino.</w:t>
      </w:r>
      <w:r>
        <w:rPr>
          <w:color w:val="231F20"/>
          <w:w w:val="110"/>
        </w:rPr>
        <w:t> </w:t>
      </w:r>
      <w:r>
        <w:rPr>
          <w:color w:val="231F20"/>
          <w:w w:val="110"/>
        </w:rPr>
        <w:t>En este sentido, entendemos a la inmigración como</w:t>
      </w:r>
      <w:r>
        <w:rPr>
          <w:color w:val="231F20"/>
          <w:spacing w:val="40"/>
          <w:w w:val="110"/>
        </w:rPr>
        <w:t> </w:t>
      </w:r>
      <w:r>
        <w:rPr>
          <w:color w:val="231F20"/>
          <w:w w:val="110"/>
        </w:rPr>
        <w:t>una</w:t>
      </w:r>
      <w:r>
        <w:rPr>
          <w:color w:val="231F20"/>
          <w:spacing w:val="25"/>
          <w:w w:val="110"/>
        </w:rPr>
        <w:t> </w:t>
      </w:r>
      <w:r>
        <w:rPr>
          <w:color w:val="231F20"/>
          <w:w w:val="110"/>
        </w:rPr>
        <w:t>respuesta</w:t>
      </w:r>
      <w:r>
        <w:rPr>
          <w:color w:val="231F20"/>
          <w:w w:val="109"/>
        </w:rPr>
        <w:t> </w:t>
      </w:r>
      <w:r>
        <w:rPr>
          <w:color w:val="231F20"/>
          <w:w w:val="110"/>
        </w:rPr>
        <w:t>(que puede ser deseada o no) a problemas que son generados  </w:t>
      </w:r>
      <w:r>
        <w:rPr>
          <w:color w:val="231F20"/>
          <w:spacing w:val="6"/>
          <w:w w:val="110"/>
        </w:rPr>
        <w:t> </w:t>
      </w:r>
      <w:r>
        <w:rPr>
          <w:color w:val="231F20"/>
          <w:w w:val="110"/>
        </w:rPr>
        <w:t>inter-</w:t>
      </w:r>
    </w:p>
    <w:p>
      <w:pPr>
        <w:pStyle w:val="BodyText"/>
        <w:ind w:left="100" w:right="25"/>
        <w:rPr>
          <w:sz w:val="13"/>
        </w:rPr>
      </w:pPr>
      <w:r>
        <w:rPr>
          <w:color w:val="231F20"/>
          <w:w w:val="110"/>
        </w:rPr>
        <w:t>namente en estas sociedades.</w:t>
      </w:r>
      <w:r>
        <w:rPr>
          <w:color w:val="231F20"/>
          <w:w w:val="110"/>
          <w:position w:val="6"/>
          <w:sz w:val="13"/>
        </w:rPr>
        <w:t>1</w:t>
      </w:r>
    </w:p>
    <w:p>
      <w:pPr>
        <w:pStyle w:val="BodyText"/>
        <w:spacing w:line="261" w:lineRule="auto" w:before="20"/>
        <w:ind w:left="100" w:right="117" w:firstLine="240"/>
        <w:jc w:val="both"/>
      </w:pPr>
      <w:r>
        <w:rPr>
          <w:color w:val="231F20"/>
          <w:w w:val="110"/>
        </w:rPr>
        <w:t>Este enfoque plantea un doble desafío. Por un lado, el objeto     de observación ya no se circunscribe únicamente a la migración internacional, sino que se amplía a la sociedad en su conjunto. No debemos perder de vista que a través del estudio de la migración,</w:t>
      </w:r>
      <w:r>
        <w:rPr>
          <w:color w:val="231F20"/>
          <w:spacing w:val="43"/>
          <w:w w:val="110"/>
        </w:rPr>
        <w:t> </w:t>
      </w:r>
      <w:r>
        <w:rPr>
          <w:color w:val="231F20"/>
          <w:w w:val="110"/>
        </w:rPr>
        <w:t>lo</w:t>
      </w:r>
    </w:p>
    <w:p>
      <w:pPr>
        <w:pStyle w:val="BodyText"/>
      </w:pPr>
    </w:p>
    <w:p>
      <w:pPr>
        <w:spacing w:line="261" w:lineRule="auto" w:before="152"/>
        <w:ind w:left="100" w:right="117" w:firstLine="240"/>
        <w:jc w:val="both"/>
        <w:rPr>
          <w:sz w:val="16"/>
        </w:rPr>
      </w:pPr>
      <w:r>
        <w:rPr>
          <w:color w:val="231F20"/>
          <w:w w:val="110"/>
          <w:position w:val="5"/>
          <w:sz w:val="10"/>
        </w:rPr>
        <w:t>1 </w:t>
      </w:r>
      <w:r>
        <w:rPr>
          <w:color w:val="231F20"/>
          <w:w w:val="110"/>
          <w:sz w:val="16"/>
        </w:rPr>
        <w:t>Retomando a Giddens, podemos afirmar que la migración internacional en el mundo</w:t>
      </w:r>
      <w:r>
        <w:rPr>
          <w:color w:val="231F20"/>
          <w:spacing w:val="-14"/>
          <w:w w:val="110"/>
          <w:sz w:val="16"/>
        </w:rPr>
        <w:t> </w:t>
      </w:r>
      <w:r>
        <w:rPr>
          <w:color w:val="231F20"/>
          <w:w w:val="110"/>
          <w:sz w:val="16"/>
        </w:rPr>
        <w:t>actual,</w:t>
      </w:r>
      <w:r>
        <w:rPr>
          <w:color w:val="231F20"/>
          <w:spacing w:val="-14"/>
          <w:w w:val="110"/>
          <w:sz w:val="16"/>
        </w:rPr>
        <w:t> </w:t>
      </w:r>
      <w:r>
        <w:rPr>
          <w:color w:val="231F20"/>
          <w:w w:val="110"/>
          <w:sz w:val="16"/>
        </w:rPr>
        <w:t>es</w:t>
      </w:r>
      <w:r>
        <w:rPr>
          <w:color w:val="231F20"/>
          <w:spacing w:val="-14"/>
          <w:w w:val="110"/>
          <w:sz w:val="16"/>
        </w:rPr>
        <w:t> </w:t>
      </w:r>
      <w:r>
        <w:rPr>
          <w:color w:val="231F20"/>
          <w:w w:val="110"/>
          <w:sz w:val="16"/>
        </w:rPr>
        <w:t>un</w:t>
      </w:r>
      <w:r>
        <w:rPr>
          <w:color w:val="231F20"/>
          <w:spacing w:val="-14"/>
          <w:w w:val="110"/>
          <w:sz w:val="16"/>
        </w:rPr>
        <w:t> </w:t>
      </w:r>
      <w:r>
        <w:rPr>
          <w:color w:val="231F20"/>
          <w:w w:val="110"/>
          <w:sz w:val="16"/>
        </w:rPr>
        <w:t>proceso</w:t>
      </w:r>
      <w:r>
        <w:rPr>
          <w:color w:val="231F20"/>
          <w:spacing w:val="-14"/>
          <w:w w:val="110"/>
          <w:sz w:val="16"/>
        </w:rPr>
        <w:t> </w:t>
      </w:r>
      <w:r>
        <w:rPr>
          <w:color w:val="231F20"/>
          <w:w w:val="110"/>
          <w:sz w:val="16"/>
        </w:rPr>
        <w:t>social</w:t>
      </w:r>
      <w:r>
        <w:rPr>
          <w:color w:val="231F20"/>
          <w:spacing w:val="-14"/>
          <w:w w:val="110"/>
          <w:sz w:val="16"/>
        </w:rPr>
        <w:t> </w:t>
      </w:r>
      <w:r>
        <w:rPr>
          <w:color w:val="231F20"/>
          <w:w w:val="110"/>
          <w:sz w:val="16"/>
        </w:rPr>
        <w:t>que</w:t>
      </w:r>
      <w:r>
        <w:rPr>
          <w:color w:val="231F20"/>
          <w:spacing w:val="-14"/>
          <w:w w:val="110"/>
          <w:sz w:val="16"/>
        </w:rPr>
        <w:t> </w:t>
      </w:r>
      <w:r>
        <w:rPr>
          <w:color w:val="231F20"/>
          <w:w w:val="110"/>
          <w:sz w:val="16"/>
        </w:rPr>
        <w:t>contribuye</w:t>
      </w:r>
      <w:r>
        <w:rPr>
          <w:color w:val="231F20"/>
          <w:spacing w:val="-14"/>
          <w:w w:val="110"/>
          <w:sz w:val="16"/>
        </w:rPr>
        <w:t> </w:t>
      </w:r>
      <w:r>
        <w:rPr>
          <w:color w:val="231F20"/>
          <w:w w:val="110"/>
          <w:sz w:val="16"/>
        </w:rPr>
        <w:t>a</w:t>
      </w:r>
      <w:r>
        <w:rPr>
          <w:color w:val="231F20"/>
          <w:spacing w:val="-14"/>
          <w:w w:val="110"/>
          <w:sz w:val="16"/>
        </w:rPr>
        <w:t> </w:t>
      </w:r>
      <w:r>
        <w:rPr>
          <w:color w:val="231F20"/>
          <w:w w:val="110"/>
          <w:sz w:val="16"/>
        </w:rPr>
        <w:t>la</w:t>
      </w:r>
      <w:r>
        <w:rPr>
          <w:color w:val="231F20"/>
          <w:spacing w:val="-14"/>
          <w:w w:val="110"/>
          <w:sz w:val="16"/>
        </w:rPr>
        <w:t> </w:t>
      </w:r>
      <w:r>
        <w:rPr>
          <w:i/>
          <w:color w:val="231F20"/>
          <w:w w:val="110"/>
          <w:sz w:val="16"/>
        </w:rPr>
        <w:t>estructuración</w:t>
      </w:r>
      <w:r>
        <w:rPr>
          <w:i/>
          <w:color w:val="231F20"/>
          <w:spacing w:val="-14"/>
          <w:w w:val="110"/>
          <w:sz w:val="16"/>
        </w:rPr>
        <w:t> </w:t>
      </w:r>
      <w:r>
        <w:rPr>
          <w:color w:val="231F20"/>
          <w:w w:val="110"/>
          <w:sz w:val="16"/>
        </w:rPr>
        <w:t>de</w:t>
      </w:r>
      <w:r>
        <w:rPr>
          <w:color w:val="231F20"/>
          <w:spacing w:val="-14"/>
          <w:w w:val="110"/>
          <w:sz w:val="16"/>
        </w:rPr>
        <w:t> </w:t>
      </w:r>
      <w:r>
        <w:rPr>
          <w:color w:val="231F20"/>
          <w:w w:val="110"/>
          <w:sz w:val="16"/>
        </w:rPr>
        <w:t>las</w:t>
      </w:r>
      <w:r>
        <w:rPr>
          <w:color w:val="231F20"/>
          <w:spacing w:val="-14"/>
          <w:w w:val="110"/>
          <w:sz w:val="16"/>
        </w:rPr>
        <w:t> </w:t>
      </w:r>
      <w:r>
        <w:rPr>
          <w:color w:val="231F20"/>
          <w:w w:val="110"/>
          <w:sz w:val="16"/>
        </w:rPr>
        <w:t>sociedades contemporáneas.</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que buscamos en el fondo, es entender algunos de los problemas de la sociedad contemporánea.</w:t>
      </w:r>
    </w:p>
    <w:p>
      <w:pPr>
        <w:pStyle w:val="BodyText"/>
        <w:spacing w:line="261" w:lineRule="auto"/>
        <w:ind w:left="100" w:right="117" w:firstLine="240"/>
        <w:jc w:val="both"/>
      </w:pPr>
      <w:r>
        <w:rPr>
          <w:color w:val="231F20"/>
          <w:w w:val="110"/>
        </w:rPr>
        <w:t>Por otro lado, esta perspectiva de análisis de la sociedad y la mi- gración, requiere de categorías y conceptos que den cuenta de estos procesos. Se trata de categorías de análisis que, dando cuenta de las vicisitudes de la migración internacional actual, nos permitan dar el salto para el entendimiento de las problemáticas de las sociedades contemporáneas.</w:t>
      </w:r>
    </w:p>
    <w:p>
      <w:pPr>
        <w:pStyle w:val="BodyText"/>
        <w:spacing w:line="261" w:lineRule="auto"/>
        <w:ind w:left="100" w:right="119" w:firstLine="240"/>
        <w:jc w:val="both"/>
      </w:pPr>
      <w:r>
        <w:rPr>
          <w:color w:val="231F20"/>
          <w:w w:val="110"/>
        </w:rPr>
        <w:t>En este sentido, nuestra propuesta es analizar las migraciones in- ternacionales</w:t>
      </w:r>
      <w:r>
        <w:rPr>
          <w:color w:val="231F20"/>
          <w:spacing w:val="-18"/>
          <w:w w:val="110"/>
        </w:rPr>
        <w:t> </w:t>
      </w:r>
      <w:r>
        <w:rPr>
          <w:color w:val="231F20"/>
          <w:w w:val="110"/>
        </w:rPr>
        <w:t>como</w:t>
      </w:r>
      <w:r>
        <w:rPr>
          <w:color w:val="231F20"/>
          <w:spacing w:val="-18"/>
          <w:w w:val="110"/>
        </w:rPr>
        <w:t> </w:t>
      </w:r>
      <w:r>
        <w:rPr>
          <w:color w:val="231F20"/>
          <w:w w:val="110"/>
        </w:rPr>
        <w:t>un</w:t>
      </w:r>
      <w:r>
        <w:rPr>
          <w:color w:val="231F20"/>
          <w:spacing w:val="-18"/>
          <w:w w:val="110"/>
        </w:rPr>
        <w:t> </w:t>
      </w:r>
      <w:r>
        <w:rPr>
          <w:color w:val="231F20"/>
          <w:w w:val="110"/>
        </w:rPr>
        <w:t>componente</w:t>
      </w:r>
      <w:r>
        <w:rPr>
          <w:color w:val="231F20"/>
          <w:spacing w:val="-18"/>
          <w:w w:val="110"/>
        </w:rPr>
        <w:t> </w:t>
      </w:r>
      <w:r>
        <w:rPr>
          <w:color w:val="231F20"/>
          <w:w w:val="110"/>
        </w:rPr>
        <w:t>del</w:t>
      </w:r>
      <w:r>
        <w:rPr>
          <w:color w:val="231F20"/>
          <w:spacing w:val="-18"/>
          <w:w w:val="110"/>
        </w:rPr>
        <w:t> </w:t>
      </w:r>
      <w:r>
        <w:rPr>
          <w:color w:val="231F20"/>
          <w:w w:val="110"/>
        </w:rPr>
        <w:t>proceso</w:t>
      </w:r>
      <w:r>
        <w:rPr>
          <w:color w:val="231F20"/>
          <w:spacing w:val="-18"/>
          <w:w w:val="110"/>
        </w:rPr>
        <w:t> </w:t>
      </w:r>
      <w:r>
        <w:rPr>
          <w:color w:val="231F20"/>
          <w:w w:val="110"/>
        </w:rPr>
        <w:t>de</w:t>
      </w:r>
      <w:r>
        <w:rPr>
          <w:color w:val="231F20"/>
          <w:spacing w:val="-18"/>
          <w:w w:val="110"/>
        </w:rPr>
        <w:t> </w:t>
      </w:r>
      <w:r>
        <w:rPr>
          <w:i/>
          <w:color w:val="231F20"/>
          <w:w w:val="110"/>
        </w:rPr>
        <w:t>reproducción</w:t>
      </w:r>
      <w:r>
        <w:rPr>
          <w:i/>
          <w:color w:val="231F20"/>
          <w:spacing w:val="-18"/>
          <w:w w:val="110"/>
        </w:rPr>
        <w:t> </w:t>
      </w:r>
      <w:r>
        <w:rPr>
          <w:color w:val="231F20"/>
          <w:w w:val="110"/>
        </w:rPr>
        <w:t>de</w:t>
      </w:r>
      <w:r>
        <w:rPr>
          <w:color w:val="231F20"/>
          <w:spacing w:val="-18"/>
          <w:w w:val="110"/>
        </w:rPr>
        <w:t> </w:t>
      </w:r>
      <w:r>
        <w:rPr>
          <w:color w:val="231F20"/>
          <w:w w:val="110"/>
        </w:rPr>
        <w:t>la sociedad contemporánea. Al respecto, podemos identificar distintos niveles y procesos a través de los cuales se manifiesta este</w:t>
      </w:r>
      <w:r>
        <w:rPr>
          <w:color w:val="231F20"/>
          <w:spacing w:val="13"/>
          <w:w w:val="110"/>
        </w:rPr>
        <w:t> </w:t>
      </w:r>
      <w:r>
        <w:rPr>
          <w:color w:val="231F20"/>
          <w:w w:val="110"/>
        </w:rPr>
        <w:t>papel</w:t>
      </w:r>
      <w:r>
        <w:rPr>
          <w:color w:val="231F20"/>
          <w:spacing w:val="6"/>
          <w:w w:val="110"/>
        </w:rPr>
        <w:t> </w:t>
      </w:r>
      <w:r>
        <w:rPr>
          <w:color w:val="231F20"/>
          <w:w w:val="110"/>
        </w:rPr>
        <w:t>de</w:t>
      </w:r>
      <w:r>
        <w:rPr>
          <w:color w:val="231F20"/>
          <w:w w:val="114"/>
        </w:rPr>
        <w:t> </w:t>
      </w:r>
      <w:r>
        <w:rPr>
          <w:color w:val="231F20"/>
          <w:w w:val="110"/>
        </w:rPr>
        <w:t>la migración en la reproducción en las sociedades de destino. En otras oportunidades, nos hemos referido ya al papel de la migración latinoamericana en los procesos de reproducción demográfica</w:t>
      </w:r>
      <w:r>
        <w:rPr>
          <w:color w:val="231F20"/>
          <w:spacing w:val="8"/>
          <w:w w:val="110"/>
        </w:rPr>
        <w:t> </w:t>
      </w:r>
      <w:r>
        <w:rPr>
          <w:color w:val="231F20"/>
          <w:w w:val="110"/>
        </w:rPr>
        <w:t>y</w:t>
      </w:r>
      <w:r>
        <w:rPr>
          <w:color w:val="231F20"/>
          <w:spacing w:val="16"/>
          <w:w w:val="110"/>
        </w:rPr>
        <w:t> </w:t>
      </w:r>
      <w:r>
        <w:rPr>
          <w:color w:val="231F20"/>
          <w:w w:val="110"/>
        </w:rPr>
        <w:t>de</w:t>
      </w:r>
      <w:r>
        <w:rPr>
          <w:color w:val="231F20"/>
          <w:w w:val="114"/>
        </w:rPr>
        <w:t> </w:t>
      </w:r>
      <w:r>
        <w:rPr>
          <w:color w:val="231F20"/>
          <w:w w:val="110"/>
        </w:rPr>
        <w:t>reproducción y crecimiento económico de Estados Unidos.</w:t>
      </w:r>
      <w:r>
        <w:rPr>
          <w:color w:val="231F20"/>
          <w:w w:val="110"/>
          <w:position w:val="6"/>
          <w:sz w:val="13"/>
        </w:rPr>
        <w:t>2</w:t>
      </w:r>
      <w:r>
        <w:rPr>
          <w:color w:val="231F20"/>
          <w:spacing w:val="22"/>
          <w:w w:val="110"/>
          <w:position w:val="6"/>
          <w:sz w:val="13"/>
        </w:rPr>
        <w:t> </w:t>
      </w:r>
      <w:r>
        <w:rPr>
          <w:color w:val="231F20"/>
          <w:w w:val="110"/>
        </w:rPr>
        <w:t>En</w:t>
      </w:r>
      <w:r>
        <w:rPr>
          <w:color w:val="231F20"/>
          <w:spacing w:val="5"/>
          <w:w w:val="110"/>
        </w:rPr>
        <w:t> </w:t>
      </w:r>
      <w:r>
        <w:rPr>
          <w:color w:val="231F20"/>
          <w:w w:val="110"/>
        </w:rPr>
        <w:t>esta</w:t>
      </w:r>
      <w:r>
        <w:rPr>
          <w:color w:val="231F20"/>
          <w:w w:val="106"/>
        </w:rPr>
        <w:t> </w:t>
      </w:r>
      <w:r>
        <w:rPr>
          <w:color w:val="231F20"/>
          <w:w w:val="110"/>
        </w:rPr>
        <w:t>ocasión, sin embargo, quisiéramos referirnos al tercer ámbito social en el cual se hacen cada vez más evidentes los diferentes aportes y contribuciones de la migración latinoamericana a la</w:t>
      </w:r>
      <w:r>
        <w:rPr>
          <w:color w:val="231F20"/>
          <w:spacing w:val="30"/>
          <w:w w:val="110"/>
        </w:rPr>
        <w:t> </w:t>
      </w:r>
      <w:r>
        <w:rPr>
          <w:color w:val="231F20"/>
          <w:w w:val="110"/>
        </w:rPr>
        <w:t>sociedad</w:t>
      </w:r>
      <w:r>
        <w:rPr>
          <w:color w:val="231F20"/>
          <w:spacing w:val="20"/>
          <w:w w:val="110"/>
        </w:rPr>
        <w:t> </w:t>
      </w:r>
      <w:r>
        <w:rPr>
          <w:color w:val="231F20"/>
          <w:w w:val="110"/>
        </w:rPr>
        <w:t>esta-</w:t>
      </w:r>
      <w:r>
        <w:rPr>
          <w:color w:val="231F20"/>
          <w:w w:val="72"/>
        </w:rPr>
        <w:t> </w:t>
      </w:r>
      <w:r>
        <w:rPr>
          <w:color w:val="231F20"/>
          <w:w w:val="110"/>
        </w:rPr>
        <w:t>dunidense. Hablamos del papel de la inmigración en los procesos</w:t>
      </w:r>
      <w:r>
        <w:rPr>
          <w:color w:val="231F20"/>
          <w:spacing w:val="-8"/>
          <w:w w:val="110"/>
        </w:rPr>
        <w:t> </w:t>
      </w:r>
      <w:r>
        <w:rPr>
          <w:color w:val="231F20"/>
          <w:w w:val="110"/>
        </w:rPr>
        <w:t>de </w:t>
      </w:r>
      <w:r>
        <w:rPr>
          <w:i/>
          <w:color w:val="231F20"/>
          <w:w w:val="110"/>
        </w:rPr>
        <w:t>reproducción</w:t>
      </w:r>
      <w:r>
        <w:rPr>
          <w:i/>
          <w:color w:val="231F20"/>
          <w:spacing w:val="-28"/>
          <w:w w:val="110"/>
        </w:rPr>
        <w:t> </w:t>
      </w:r>
      <w:r>
        <w:rPr>
          <w:i/>
          <w:color w:val="231F20"/>
          <w:w w:val="110"/>
        </w:rPr>
        <w:t>social</w:t>
      </w:r>
      <w:r>
        <w:rPr>
          <w:i/>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población</w:t>
      </w:r>
      <w:r>
        <w:rPr>
          <w:color w:val="231F20"/>
          <w:spacing w:val="-28"/>
          <w:w w:val="110"/>
        </w:rPr>
        <w:t> </w:t>
      </w:r>
      <w:r>
        <w:rPr>
          <w:color w:val="231F20"/>
          <w:w w:val="110"/>
        </w:rPr>
        <w:t>de</w:t>
      </w:r>
      <w:r>
        <w:rPr>
          <w:color w:val="231F20"/>
          <w:spacing w:val="-28"/>
          <w:w w:val="110"/>
        </w:rPr>
        <w:t> </w:t>
      </w:r>
      <w:r>
        <w:rPr>
          <w:color w:val="231F20"/>
          <w:w w:val="110"/>
        </w:rPr>
        <w:t>Estados</w:t>
      </w:r>
      <w:r>
        <w:rPr>
          <w:color w:val="231F20"/>
          <w:spacing w:val="-28"/>
          <w:w w:val="110"/>
        </w:rPr>
        <w:t> </w:t>
      </w:r>
      <w:r>
        <w:rPr>
          <w:color w:val="231F20"/>
          <w:w w:val="110"/>
        </w:rPr>
        <w:t>Unidos,</w:t>
      </w:r>
      <w:r>
        <w:rPr>
          <w:color w:val="231F20"/>
          <w:spacing w:val="-28"/>
          <w:w w:val="110"/>
        </w:rPr>
        <w:t> </w:t>
      </w:r>
      <w:r>
        <w:rPr>
          <w:color w:val="231F20"/>
          <w:w w:val="110"/>
        </w:rPr>
        <w:t>especialmente de</w:t>
      </w:r>
      <w:r>
        <w:rPr>
          <w:color w:val="231F20"/>
          <w:spacing w:val="-10"/>
          <w:w w:val="110"/>
        </w:rPr>
        <w:t> </w:t>
      </w:r>
      <w:r>
        <w:rPr>
          <w:color w:val="231F20"/>
          <w:w w:val="110"/>
        </w:rPr>
        <w:t>estratos</w:t>
      </w:r>
      <w:r>
        <w:rPr>
          <w:color w:val="231F20"/>
          <w:spacing w:val="-10"/>
          <w:w w:val="110"/>
        </w:rPr>
        <w:t> </w:t>
      </w:r>
      <w:r>
        <w:rPr>
          <w:color w:val="231F20"/>
          <w:w w:val="110"/>
        </w:rPr>
        <w:t>sociales</w:t>
      </w:r>
      <w:r>
        <w:rPr>
          <w:color w:val="231F20"/>
          <w:spacing w:val="-10"/>
          <w:w w:val="110"/>
        </w:rPr>
        <w:t> </w:t>
      </w:r>
      <w:r>
        <w:rPr>
          <w:color w:val="231F20"/>
          <w:w w:val="110"/>
        </w:rPr>
        <w:t>medios</w:t>
      </w:r>
      <w:r>
        <w:rPr>
          <w:color w:val="231F20"/>
          <w:spacing w:val="-10"/>
          <w:w w:val="110"/>
        </w:rPr>
        <w:t> </w:t>
      </w:r>
      <w:r>
        <w:rPr>
          <w:color w:val="231F20"/>
          <w:w w:val="110"/>
        </w:rPr>
        <w:t>y</w:t>
      </w:r>
      <w:r>
        <w:rPr>
          <w:color w:val="231F20"/>
          <w:spacing w:val="-10"/>
          <w:w w:val="110"/>
        </w:rPr>
        <w:t> </w:t>
      </w:r>
      <w:r>
        <w:rPr>
          <w:color w:val="231F20"/>
          <w:w w:val="110"/>
        </w:rPr>
        <w:t>altos.</w:t>
      </w:r>
    </w:p>
    <w:p>
      <w:pPr>
        <w:pStyle w:val="BodyText"/>
      </w:pPr>
    </w:p>
    <w:p>
      <w:pPr>
        <w:pStyle w:val="BodyText"/>
      </w:pPr>
    </w:p>
    <w:p>
      <w:pPr>
        <w:pStyle w:val="BodyText"/>
        <w:spacing w:before="2"/>
        <w:rPr>
          <w:sz w:val="25"/>
        </w:rPr>
      </w:pPr>
    </w:p>
    <w:p>
      <w:pPr>
        <w:pStyle w:val="BodyText"/>
        <w:ind w:left="100"/>
        <w:jc w:val="both"/>
      </w:pPr>
      <w:r>
        <w:rPr>
          <w:color w:val="231F20"/>
          <w:w w:val="125"/>
        </w:rPr>
        <w:t>migración y reproducción social</w:t>
      </w:r>
    </w:p>
    <w:p>
      <w:pPr>
        <w:pStyle w:val="BodyText"/>
        <w:spacing w:before="5"/>
        <w:rPr>
          <w:sz w:val="23"/>
        </w:rPr>
      </w:pPr>
    </w:p>
    <w:p>
      <w:pPr>
        <w:pStyle w:val="BodyText"/>
        <w:spacing w:line="261" w:lineRule="auto"/>
        <w:ind w:left="100" w:right="117"/>
        <w:jc w:val="both"/>
      </w:pPr>
      <w:r>
        <w:rPr>
          <w:color w:val="231F20"/>
          <w:w w:val="110"/>
        </w:rPr>
        <w:t>A</w:t>
      </w:r>
      <w:r>
        <w:rPr>
          <w:color w:val="231F20"/>
          <w:spacing w:val="-12"/>
          <w:w w:val="110"/>
        </w:rPr>
        <w:t> </w:t>
      </w:r>
      <w:r>
        <w:rPr>
          <w:color w:val="231F20"/>
          <w:w w:val="110"/>
        </w:rPr>
        <w:t>través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migración</w:t>
      </w:r>
      <w:r>
        <w:rPr>
          <w:color w:val="231F20"/>
          <w:spacing w:val="-12"/>
          <w:w w:val="110"/>
        </w:rPr>
        <w:t> </w:t>
      </w:r>
      <w:r>
        <w:rPr>
          <w:color w:val="231F20"/>
          <w:w w:val="110"/>
        </w:rPr>
        <w:t>internacional</w:t>
      </w:r>
      <w:r>
        <w:rPr>
          <w:color w:val="231F20"/>
          <w:spacing w:val="-12"/>
          <w:w w:val="110"/>
        </w:rPr>
        <w:t> </w:t>
      </w:r>
      <w:r>
        <w:rPr>
          <w:color w:val="231F20"/>
          <w:w w:val="110"/>
        </w:rPr>
        <w:t>se</w:t>
      </w:r>
      <w:r>
        <w:rPr>
          <w:color w:val="231F20"/>
          <w:spacing w:val="-12"/>
          <w:w w:val="110"/>
        </w:rPr>
        <w:t> </w:t>
      </w:r>
      <w:r>
        <w:rPr>
          <w:color w:val="231F20"/>
          <w:w w:val="110"/>
        </w:rPr>
        <w:t>activan</w:t>
      </w:r>
      <w:r>
        <w:rPr>
          <w:color w:val="231F20"/>
          <w:spacing w:val="-12"/>
          <w:w w:val="110"/>
        </w:rPr>
        <w:t> </w:t>
      </w:r>
      <w:r>
        <w:rPr>
          <w:color w:val="231F20"/>
          <w:w w:val="110"/>
        </w:rPr>
        <w:t>mecanismos</w:t>
      </w:r>
      <w:r>
        <w:rPr>
          <w:color w:val="231F20"/>
          <w:spacing w:val="-12"/>
          <w:w w:val="110"/>
        </w:rPr>
        <w:t> </w:t>
      </w:r>
      <w:r>
        <w:rPr>
          <w:color w:val="231F20"/>
          <w:w w:val="110"/>
        </w:rPr>
        <w:t>que</w:t>
      </w:r>
      <w:r>
        <w:rPr>
          <w:color w:val="231F20"/>
          <w:spacing w:val="-12"/>
          <w:w w:val="110"/>
        </w:rPr>
        <w:t> </w:t>
      </w:r>
      <w:r>
        <w:rPr>
          <w:color w:val="231F20"/>
          <w:w w:val="110"/>
        </w:rPr>
        <w:t>ar- ticulan e integran en un mismo proceso, las condiciones y</w:t>
      </w:r>
      <w:r>
        <w:rPr>
          <w:color w:val="231F20"/>
          <w:spacing w:val="-32"/>
          <w:w w:val="110"/>
        </w:rPr>
        <w:t> </w:t>
      </w:r>
      <w:r>
        <w:rPr>
          <w:color w:val="231F20"/>
          <w:w w:val="110"/>
        </w:rPr>
        <w:t>dinámicas de la reproducción social de los países de origen con las</w:t>
      </w:r>
      <w:r>
        <w:rPr>
          <w:color w:val="231F20"/>
          <w:spacing w:val="-36"/>
          <w:w w:val="110"/>
        </w:rPr>
        <w:t> </w:t>
      </w:r>
      <w:r>
        <w:rPr>
          <w:color w:val="231F20"/>
          <w:w w:val="110"/>
        </w:rPr>
        <w:t>condiciones y</w:t>
      </w:r>
      <w:r>
        <w:rPr>
          <w:color w:val="231F20"/>
          <w:spacing w:val="-9"/>
          <w:w w:val="110"/>
        </w:rPr>
        <w:t> </w:t>
      </w:r>
      <w:r>
        <w:rPr>
          <w:color w:val="231F20"/>
          <w:w w:val="110"/>
        </w:rPr>
        <w:t>dinámicas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reproducción</w:t>
      </w:r>
      <w:r>
        <w:rPr>
          <w:color w:val="231F20"/>
          <w:spacing w:val="-9"/>
          <w:w w:val="110"/>
        </w:rPr>
        <w:t> </w:t>
      </w:r>
      <w:r>
        <w:rPr>
          <w:color w:val="231F20"/>
          <w:w w:val="110"/>
        </w:rPr>
        <w:t>social</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países</w:t>
      </w:r>
      <w:r>
        <w:rPr>
          <w:color w:val="231F20"/>
          <w:spacing w:val="-9"/>
          <w:w w:val="110"/>
        </w:rPr>
        <w:t> </w:t>
      </w:r>
      <w:r>
        <w:rPr>
          <w:color w:val="231F20"/>
          <w:w w:val="110"/>
        </w:rPr>
        <w:t>de</w:t>
      </w:r>
      <w:r>
        <w:rPr>
          <w:color w:val="231F20"/>
          <w:spacing w:val="-9"/>
          <w:w w:val="110"/>
        </w:rPr>
        <w:t> </w:t>
      </w:r>
      <w:r>
        <w:rPr>
          <w:color w:val="231F20"/>
          <w:w w:val="110"/>
        </w:rPr>
        <w:t>destino</w:t>
      </w:r>
      <w:r>
        <w:rPr>
          <w:color w:val="231F20"/>
          <w:spacing w:val="-9"/>
          <w:w w:val="110"/>
        </w:rPr>
        <w:t> </w:t>
      </w:r>
      <w:r>
        <w:rPr>
          <w:color w:val="231F20"/>
          <w:w w:val="110"/>
        </w:rPr>
        <w:t>(Cana-</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2 </w:t>
      </w:r>
      <w:r>
        <w:rPr>
          <w:color w:val="231F20"/>
          <w:w w:val="110"/>
          <w:sz w:val="16"/>
        </w:rPr>
        <w:t>En otros textos (Canales, 2009 y 2010) hemos demostrado cómo en la actual situación de envejecimiento de su población, la demografía de Estados Unidos ya no asegura la reproducción de la fuerza de trabajo necesaria para mantener el nivel de desarrollo de las fuerzas productivas del capital, generando un déficit de mano de obra que de no cubrirse con inmigración, no sólo afectaría el crecimiento económico de ese país, sino por sobre todo, su capacidad para mantener el liderazgo político y militar necesario para sustentar sus posiciones imperialistas.</w:t>
      </w:r>
    </w:p>
    <w:p>
      <w:pPr>
        <w:spacing w:after="0" w:line="261" w:lineRule="auto"/>
        <w:jc w:val="both"/>
        <w:rPr>
          <w:sz w:val="16"/>
        </w:rPr>
        <w:sectPr>
          <w:headerReference w:type="default" r:id="rId218"/>
          <w:headerReference w:type="even" r:id="rId219"/>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les y Montiel, 2010). Al respecto, el siguiente diagrama nos permite ilustrar</w:t>
      </w:r>
      <w:r>
        <w:rPr>
          <w:color w:val="231F20"/>
          <w:spacing w:val="-10"/>
          <w:w w:val="110"/>
        </w:rPr>
        <w:t> </w:t>
      </w:r>
      <w:r>
        <w:rPr>
          <w:color w:val="231F20"/>
          <w:w w:val="110"/>
        </w:rPr>
        <w:t>los</w:t>
      </w:r>
      <w:r>
        <w:rPr>
          <w:color w:val="231F20"/>
          <w:spacing w:val="-10"/>
          <w:w w:val="110"/>
        </w:rPr>
        <w:t> </w:t>
      </w:r>
      <w:r>
        <w:rPr>
          <w:color w:val="231F20"/>
          <w:w w:val="110"/>
        </w:rPr>
        <w:t>alcances</w:t>
      </w:r>
      <w:r>
        <w:rPr>
          <w:color w:val="231F20"/>
          <w:spacing w:val="-10"/>
          <w:w w:val="110"/>
        </w:rPr>
        <w:t> </w:t>
      </w:r>
      <w:r>
        <w:rPr>
          <w:color w:val="231F20"/>
          <w:w w:val="110"/>
        </w:rPr>
        <w:t>de</w:t>
      </w:r>
      <w:r>
        <w:rPr>
          <w:color w:val="231F20"/>
          <w:spacing w:val="-10"/>
          <w:w w:val="110"/>
        </w:rPr>
        <w:t> </w:t>
      </w:r>
      <w:r>
        <w:rPr>
          <w:color w:val="231F20"/>
          <w:w w:val="110"/>
        </w:rPr>
        <w:t>esta</w:t>
      </w:r>
      <w:r>
        <w:rPr>
          <w:color w:val="231F20"/>
          <w:spacing w:val="-10"/>
          <w:w w:val="110"/>
        </w:rPr>
        <w:t> </w:t>
      </w:r>
      <w:r>
        <w:rPr>
          <w:color w:val="231F20"/>
          <w:w w:val="110"/>
        </w:rPr>
        <w:t>tesis</w:t>
      </w:r>
      <w:r>
        <w:rPr>
          <w:color w:val="231F20"/>
          <w:spacing w:val="-10"/>
          <w:w w:val="110"/>
        </w:rPr>
        <w:t> </w:t>
      </w:r>
      <w:r>
        <w:rPr>
          <w:color w:val="231F20"/>
          <w:w w:val="110"/>
        </w:rPr>
        <w:t>sobre</w:t>
      </w:r>
      <w:r>
        <w:rPr>
          <w:color w:val="231F20"/>
          <w:spacing w:val="-10"/>
          <w:w w:val="110"/>
        </w:rPr>
        <w:t> </w:t>
      </w:r>
      <w:r>
        <w:rPr>
          <w:color w:val="231F20"/>
          <w:w w:val="110"/>
        </w:rPr>
        <w:t>el</w:t>
      </w:r>
      <w:r>
        <w:rPr>
          <w:color w:val="231F20"/>
          <w:spacing w:val="-10"/>
          <w:w w:val="110"/>
        </w:rPr>
        <w:t> </w:t>
      </w:r>
      <w:r>
        <w:rPr>
          <w:color w:val="231F20"/>
          <w:w w:val="110"/>
        </w:rPr>
        <w:t>papel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migración</w:t>
      </w:r>
      <w:r>
        <w:rPr>
          <w:color w:val="231F20"/>
          <w:spacing w:val="-10"/>
          <w:w w:val="110"/>
        </w:rPr>
        <w:t> </w:t>
      </w:r>
      <w:r>
        <w:rPr>
          <w:color w:val="231F20"/>
          <w:w w:val="110"/>
        </w:rPr>
        <w:t>en</w:t>
      </w:r>
      <w:r>
        <w:rPr>
          <w:color w:val="231F20"/>
          <w:spacing w:val="-10"/>
          <w:w w:val="110"/>
        </w:rPr>
        <w:t> </w:t>
      </w:r>
      <w:r>
        <w:rPr>
          <w:color w:val="231F20"/>
          <w:w w:val="110"/>
        </w:rPr>
        <w:t>los procesos de reproducción social en las sociedades </w:t>
      </w:r>
      <w:r>
        <w:rPr>
          <w:color w:val="231F20"/>
          <w:spacing w:val="2"/>
          <w:w w:val="110"/>
        </w:rPr>
        <w:t> </w:t>
      </w:r>
      <w:r>
        <w:rPr>
          <w:color w:val="231F20"/>
          <w:w w:val="110"/>
        </w:rPr>
        <w:t>contemporáneas.</w:t>
      </w:r>
    </w:p>
    <w:p>
      <w:pPr>
        <w:pStyle w:val="BodyText"/>
        <w:spacing w:before="2"/>
        <w:rPr>
          <w:sz w:val="24"/>
        </w:rPr>
      </w:pPr>
    </w:p>
    <w:p>
      <w:pPr>
        <w:spacing w:before="0"/>
        <w:ind w:left="100" w:right="0" w:firstLine="0"/>
        <w:jc w:val="both"/>
        <w:rPr>
          <w:sz w:val="18"/>
        </w:rPr>
      </w:pPr>
      <w:r>
        <w:rPr>
          <w:color w:val="231F20"/>
          <w:w w:val="125"/>
          <w:sz w:val="18"/>
        </w:rPr>
        <w:t>diagrama 1. migración y reproducción social en la sociedad global</w:t>
      </w:r>
    </w:p>
    <w:p>
      <w:pPr>
        <w:pStyle w:val="BodyText"/>
        <w:spacing w:before="10"/>
        <w:rPr>
          <w:sz w:val="10"/>
        </w:rPr>
      </w:pPr>
      <w:r>
        <w:rPr/>
        <w:pict>
          <v:group style="position:absolute;margin-left:45.292pt;margin-top:8.241224pt;width:297.45pt;height:159.050pt;mso-position-horizontal-relative:page;mso-position-vertical-relative:paragraph;z-index:7192;mso-wrap-distance-left:0;mso-wrap-distance-right:0" coordorigin="906,165" coordsize="5949,3181">
            <v:rect style="position:absolute;left:2841;top:1457;width:2078;height:1083" filled="true" fillcolor="#c7c8ca" stroked="false">
              <v:fill type="solid"/>
            </v:rect>
            <v:rect style="position:absolute;left:2964;top:1567;width:805;height:863" filled="false" stroked="true" strokeweight=".485pt" strokecolor="#231f20"/>
            <v:rect style="position:absolute;left:3991;top:1567;width:805;height:863" filled="false" stroked="true" strokeweight=".485pt" strokecolor="#231f20"/>
            <v:rect style="position:absolute;left:3477;top:170;width:805;height:340" filled="false" stroked="true" strokeweight=".485pt" strokecolor="#231f20"/>
            <v:rect style="position:absolute;left:3477;top:833;width:805;height:340" filled="false" stroked="true" strokeweight=".485pt" strokecolor="#231f20"/>
            <v:line style="position:absolute" from="3880,509" to="3880,825" stroked="true" strokeweight=".485pt" strokecolor="#231f20"/>
            <v:shape style="position:absolute;left:3817;top:763;width:126;height:63" coordorigin="3817,763" coordsize="126,63" path="m3943,763l3880,825,3817,763e" filled="false" stroked="true" strokeweight=".455842pt" strokecolor="#231f20">
              <v:path arrowok="t"/>
            </v:shape>
            <v:line style="position:absolute" from="3880,1172" to="3880,1991" stroked="true" strokeweight=".485pt" strokecolor="#231f20">
              <v:stroke dashstyle="dash"/>
            </v:line>
            <v:shape style="position:absolute;left:3817;top:1924;width:126;height:68" coordorigin="3817,1924" coordsize="126,68" path="m3943,1924l3880,1991,3817,1924e" filled="false" stroked="true" strokeweight=".485pt" strokecolor="#231f20">
              <v:path arrowok="t"/>
            </v:shape>
            <v:line style="position:absolute" from="3771,1998" to="3989,1998" stroked="true" strokeweight=".485pt" strokecolor="#231f20"/>
            <v:rect style="position:absolute;left:3332;top:2732;width:1096;height:608" filled="false" stroked="true" strokeweight=".485pt" strokecolor="#231f20"/>
            <v:rect style="position:absolute;left:911;top:1567;width:805;height:863" filled="false" stroked="true" strokeweight=".485pt" strokecolor="#231f20"/>
            <v:rect style="position:absolute;left:1878;top:1567;width:805;height:863" filled="false" stroked="true" strokeweight=".485pt" strokecolor="#231f20"/>
            <v:shape style="position:absolute;left:1308;top:2436;width:2014;height:680" coordorigin="1308,2436" coordsize="2014,680" path="m3321,3116l1308,3116,1308,2436e" filled="false" stroked="true" strokeweight=".485pt" strokecolor="#231f20">
              <v:path arrowok="t"/>
            </v:shape>
            <v:shape style="position:absolute;left:1245;top:2436;width:126;height:68" coordorigin="1245,2436" coordsize="126,68" path="m1245,2504l1308,2436,1370,2504e" filled="false" stroked="true" strokeweight=".485pt" strokecolor="#231f20">
              <v:path arrowok="t"/>
            </v:shape>
            <v:rect style="position:absolute;left:5077;top:1567;width:805;height:863" filled="false" stroked="true" strokeweight=".485pt" strokecolor="#231f20"/>
            <v:rect style="position:absolute;left:6044;top:1567;width:805;height:863" filled="false" stroked="true" strokeweight=".485pt" strokecolor="#231f20"/>
            <v:shape style="position:absolute;left:4433;top:2436;width:2008;height:680" coordorigin="4433,2436" coordsize="2008,680" path="m4433,3116l6441,3116,6441,2436e" filled="false" stroked="true" strokeweight=".485pt" strokecolor="#231f20">
              <v:path arrowok="t"/>
            </v:shape>
            <v:shape style="position:absolute;left:6378;top:2436;width:126;height:68" coordorigin="6378,2436" coordsize="126,68" path="m6378,2504l6441,2436,6503,2504e" filled="false" stroked="true" strokeweight=".485pt" strokecolor="#231f20">
              <v:path arrowok="t"/>
            </v:shape>
            <v:shape style="position:absolute;left:1308;top:346;width:2160;height:1204" coordorigin="1308,346" coordsize="2160,1204" path="m3467,346l1308,346,1308,1549e" filled="false" stroked="true" strokeweight=".485pt" strokecolor="#231f20">
              <v:path arrowok="t"/>
            </v:shape>
            <v:shape style="position:absolute;left:1245;top:1482;width:126;height:68" coordorigin="1245,1482" coordsize="126,68" path="m1370,1482l1308,1549,1245,1482e" filled="false" stroked="true" strokeweight=".485pt" strokecolor="#231f20">
              <v:path arrowok="t"/>
            </v:shape>
            <v:shape style="position:absolute;left:4282;top:346;width:2160;height:1204" coordorigin="4282,346" coordsize="2160,1204" path="m4282,346l6441,346,6441,1549e" filled="false" stroked="true" strokeweight=".485pt" strokecolor="#231f20">
              <v:path arrowok="t"/>
            </v:shape>
            <v:shape style="position:absolute;left:6378;top:1482;width:126;height:68" coordorigin="6378,1482" coordsize="126,68" path="m6503,1482l6441,1549,6378,1482e" filled="false" stroked="true" strokeweight=".485pt" strokecolor="#231f20">
              <v:path arrowok="t"/>
            </v:shape>
            <v:line style="position:absolute" from="1717,1998" to="1871,1998" stroked="true" strokeweight=".485pt" strokecolor="#231f20"/>
            <v:shape style="position:absolute;left:1804;top:1936;width:68;height:125" coordorigin="1804,1936" coordsize="68,125" path="m1804,1936l1871,1998,1804,2061e" filled="false" stroked="true" strokeweight=".485pt" strokecolor="#231f20">
              <v:path arrowok="t"/>
            </v:shape>
            <v:line style="position:absolute" from="2683,1998" to="2837,1998" stroked="true" strokeweight=".485pt" strokecolor="#231f20"/>
            <v:shape style="position:absolute;left:2770;top:1936;width:68;height:125" coordorigin="2770,1936" coordsize="68,125" path="m2770,1936l2837,1998,2770,2061e" filled="false" stroked="true" strokeweight=".485pt" strokecolor="#231f20">
              <v:path arrowok="t"/>
            </v:shape>
            <v:line style="position:absolute" from="6043,1998" to="5889,1998" stroked="true" strokeweight=".485pt" strokecolor="#231f20"/>
            <v:shape style="position:absolute;left:5889;top:1936;width:68;height:125" coordorigin="5889,1936" coordsize="68,125" path="m5956,2061l5889,1998,5956,1936e" filled="false" stroked="true" strokeweight=".485pt" strokecolor="#231f20">
              <v:path arrowok="t"/>
            </v:shape>
            <v:line style="position:absolute" from="5076,1998" to="4922,1998" stroked="true" strokeweight=".485pt" strokecolor="#231f20"/>
            <v:shape style="position:absolute;left:4922;top:1936;width:68;height:125" coordorigin="4922,1936" coordsize="68,125" path="m4989,2061l4922,1998,4989,1936e" filled="false" stroked="true" strokeweight=".485pt" strokecolor="#231f20">
              <v:path arrowok="t"/>
            </v:shape>
            <v:shape style="position:absolute;left:3477;top:170;width:806;height:340" type="#_x0000_t202" filled="false" stroked="false">
              <v:textbox inset="0,0,0,0">
                <w:txbxContent>
                  <w:p>
                    <w:pPr>
                      <w:spacing w:line="240" w:lineRule="auto" w:before="5"/>
                      <w:rPr>
                        <w:sz w:val="9"/>
                      </w:rPr>
                    </w:pPr>
                  </w:p>
                  <w:p>
                    <w:pPr>
                      <w:spacing w:before="1"/>
                      <w:ind w:left="61" w:right="0" w:firstLine="0"/>
                      <w:jc w:val="left"/>
                      <w:rPr>
                        <w:sz w:val="11"/>
                      </w:rPr>
                    </w:pPr>
                    <w:r>
                      <w:rPr>
                        <w:color w:val="231F20"/>
                        <w:w w:val="115"/>
                        <w:sz w:val="11"/>
                      </w:rPr>
                      <w:t>Globalización</w:t>
                    </w:r>
                  </w:p>
                </w:txbxContent>
              </v:textbox>
              <w10:wrap type="none"/>
            </v:shape>
            <v:shape style="position:absolute;left:3477;top:833;width:806;height:340" type="#_x0000_t202" filled="false" stroked="false">
              <v:textbox inset="0,0,0,0">
                <w:txbxContent>
                  <w:p>
                    <w:pPr>
                      <w:spacing w:line="256" w:lineRule="auto" w:before="41"/>
                      <w:ind w:left="227" w:right="0" w:hanging="123"/>
                      <w:jc w:val="left"/>
                      <w:rPr>
                        <w:sz w:val="11"/>
                      </w:rPr>
                    </w:pPr>
                    <w:r>
                      <w:rPr>
                        <w:color w:val="231F20"/>
                        <w:w w:val="115"/>
                        <w:sz w:val="11"/>
                      </w:rPr>
                      <w:t>Mercado de trabajo</w:t>
                    </w:r>
                  </w:p>
                </w:txbxContent>
              </v:textbox>
              <w10:wrap type="none"/>
            </v:shape>
            <v:shape style="position:absolute;left:911;top:1567;width:806;height:864" type="#_x0000_t202" filled="false" stroked="false">
              <v:textbox inset="0,0,0,0">
                <w:txbxContent>
                  <w:p>
                    <w:pPr>
                      <w:spacing w:line="256" w:lineRule="auto" w:before="25"/>
                      <w:ind w:left="40" w:right="38" w:firstLine="0"/>
                      <w:jc w:val="center"/>
                      <w:rPr>
                        <w:sz w:val="11"/>
                      </w:rPr>
                    </w:pPr>
                    <w:r>
                      <w:rPr>
                        <w:color w:val="231F20"/>
                        <w:w w:val="115"/>
                        <w:sz w:val="11"/>
                      </w:rPr>
                      <w:t>Reproduc- ción social, </w:t>
                    </w:r>
                    <w:r>
                      <w:rPr>
                        <w:color w:val="231F20"/>
                        <w:w w:val="110"/>
                        <w:sz w:val="11"/>
                      </w:rPr>
                      <w:t>clases sociales</w:t>
                    </w:r>
                    <w:r>
                      <w:rPr>
                        <w:color w:val="231F20"/>
                        <w:w w:val="109"/>
                        <w:sz w:val="11"/>
                      </w:rPr>
                      <w:t> </w:t>
                    </w:r>
                    <w:r>
                      <w:rPr>
                        <w:color w:val="231F20"/>
                        <w:w w:val="115"/>
                        <w:sz w:val="11"/>
                      </w:rPr>
                      <w:t>(país de origen)</w:t>
                    </w:r>
                  </w:p>
                </w:txbxContent>
              </v:textbox>
              <w10:wrap type="none"/>
            </v:shape>
            <v:shape style="position:absolute;left:1878;top:1567;width:806;height:864" type="#_x0000_t202" filled="false" stroked="false">
              <v:textbox inset="0,0,0,0">
                <w:txbxContent>
                  <w:p>
                    <w:pPr>
                      <w:spacing w:line="256" w:lineRule="auto" w:before="25"/>
                      <w:ind w:left="40" w:right="38" w:firstLine="0"/>
                      <w:jc w:val="center"/>
                      <w:rPr>
                        <w:sz w:val="11"/>
                      </w:rPr>
                    </w:pPr>
                    <w:r>
                      <w:rPr>
                        <w:color w:val="231F20"/>
                        <w:w w:val="110"/>
                        <w:sz w:val="11"/>
                      </w:rPr>
                      <w:t>Comunidades transnaciona- les, redes so- ciales, capital social</w:t>
                    </w:r>
                  </w:p>
                </w:txbxContent>
              </v:textbox>
              <w10:wrap type="none"/>
            </v:shape>
            <v:shape style="position:absolute;left:2964;top:1567;width:806;height:864" type="#_x0000_t202" filled="false" stroked="false">
              <v:textbox inset="0,0,0,0">
                <w:txbxContent>
                  <w:p>
                    <w:pPr>
                      <w:spacing w:line="256" w:lineRule="auto" w:before="25"/>
                      <w:ind w:left="227" w:right="0" w:hanging="119"/>
                      <w:jc w:val="left"/>
                      <w:rPr>
                        <w:sz w:val="11"/>
                      </w:rPr>
                    </w:pPr>
                    <w:r>
                      <w:rPr>
                        <w:color w:val="231F20"/>
                        <w:w w:val="110"/>
                        <w:sz w:val="11"/>
                      </w:rPr>
                      <w:t>Migración y trabajo</w:t>
                    </w:r>
                  </w:p>
                </w:txbxContent>
              </v:textbox>
              <w10:wrap type="none"/>
            </v:shape>
            <v:shape style="position:absolute;left:3991;top:1567;width:806;height:864" type="#_x0000_t202" filled="false" stroked="false">
              <v:textbox inset="0,0,0,0">
                <w:txbxContent>
                  <w:p>
                    <w:pPr>
                      <w:spacing w:line="256" w:lineRule="auto" w:before="25"/>
                      <w:ind w:left="36" w:right="35" w:firstLine="0"/>
                      <w:jc w:val="center"/>
                      <w:rPr>
                        <w:sz w:val="11"/>
                      </w:rPr>
                    </w:pPr>
                    <w:r>
                      <w:rPr>
                        <w:color w:val="231F20"/>
                        <w:w w:val="120"/>
                        <w:sz w:val="11"/>
                      </w:rPr>
                      <w:t>Trabajos en ámbitos de la reproducción social</w:t>
                    </w:r>
                  </w:p>
                </w:txbxContent>
              </v:textbox>
              <w10:wrap type="none"/>
            </v:shape>
            <v:shape style="position:absolute;left:5077;top:1567;width:806;height:864" type="#_x0000_t202" filled="false" stroked="false">
              <v:textbox inset="0,0,0,0">
                <w:txbxContent>
                  <w:p>
                    <w:pPr>
                      <w:spacing w:line="256" w:lineRule="auto" w:before="25"/>
                      <w:ind w:left="46" w:right="46" w:firstLine="1"/>
                      <w:jc w:val="center"/>
                      <w:rPr>
                        <w:sz w:val="11"/>
                      </w:rPr>
                    </w:pPr>
                    <w:r>
                      <w:rPr>
                        <w:color w:val="231F20"/>
                        <w:w w:val="115"/>
                        <w:sz w:val="11"/>
                      </w:rPr>
                      <w:t>Moderniza- ción, cambios </w:t>
                    </w:r>
                    <w:r>
                      <w:rPr>
                        <w:color w:val="231F20"/>
                        <w:spacing w:val="-1"/>
                        <w:w w:val="110"/>
                        <w:sz w:val="11"/>
                      </w:rPr>
                      <w:t>demográficos, </w:t>
                    </w:r>
                    <w:r>
                      <w:rPr>
                        <w:color w:val="231F20"/>
                        <w:spacing w:val="-2"/>
                        <w:w w:val="115"/>
                        <w:sz w:val="11"/>
                      </w:rPr>
                      <w:t>individuación, </w:t>
                    </w:r>
                    <w:r>
                      <w:rPr>
                        <w:color w:val="231F20"/>
                        <w:w w:val="115"/>
                        <w:sz w:val="11"/>
                      </w:rPr>
                      <w:t>cambios de la </w:t>
                    </w:r>
                    <w:r>
                      <w:rPr>
                        <w:color w:val="231F20"/>
                        <w:spacing w:val="-1"/>
                        <w:w w:val="110"/>
                        <w:sz w:val="11"/>
                      </w:rPr>
                      <w:t>familia, </w:t>
                    </w:r>
                    <w:r>
                      <w:rPr>
                        <w:color w:val="231F20"/>
                        <w:w w:val="110"/>
                        <w:sz w:val="11"/>
                      </w:rPr>
                      <w:t>etc.</w:t>
                    </w:r>
                  </w:p>
                </w:txbxContent>
              </v:textbox>
              <w10:wrap type="none"/>
            </v:shape>
            <v:shape style="position:absolute;left:6044;top:1567;width:806;height:864" type="#_x0000_t202" filled="false" stroked="false">
              <v:textbox inset="0,0,0,0">
                <w:txbxContent>
                  <w:p>
                    <w:pPr>
                      <w:spacing w:line="256" w:lineRule="auto" w:before="25"/>
                      <w:ind w:left="67" w:right="65" w:firstLine="0"/>
                      <w:jc w:val="center"/>
                      <w:rPr>
                        <w:sz w:val="11"/>
                      </w:rPr>
                    </w:pPr>
                    <w:r>
                      <w:rPr>
                        <w:color w:val="231F20"/>
                        <w:w w:val="110"/>
                        <w:sz w:val="11"/>
                      </w:rPr>
                      <w:t>Reproduc- ción social, clases medias y altas</w:t>
                    </w:r>
                  </w:p>
                  <w:p>
                    <w:pPr>
                      <w:spacing w:line="256" w:lineRule="auto" w:before="1"/>
                      <w:ind w:left="40" w:right="38" w:firstLine="0"/>
                      <w:jc w:val="center"/>
                      <w:rPr>
                        <w:sz w:val="11"/>
                      </w:rPr>
                    </w:pPr>
                    <w:r>
                      <w:rPr>
                        <w:color w:val="231F20"/>
                        <w:w w:val="120"/>
                        <w:sz w:val="11"/>
                      </w:rPr>
                      <w:t>(país de </w:t>
                    </w:r>
                    <w:r>
                      <w:rPr>
                        <w:color w:val="231F20"/>
                        <w:w w:val="115"/>
                        <w:sz w:val="11"/>
                      </w:rPr>
                      <w:t>destino)</w:t>
                    </w:r>
                  </w:p>
                </w:txbxContent>
              </v:textbox>
              <w10:wrap type="none"/>
            </v:shape>
            <v:shape style="position:absolute;left:3332;top:2732;width:1097;height:609" type="#_x0000_t202" filled="false" stroked="false">
              <v:textbox inset="0,0,0,0">
                <w:txbxContent>
                  <w:p>
                    <w:pPr>
                      <w:spacing w:line="256" w:lineRule="auto" w:before="40"/>
                      <w:ind w:left="61" w:right="60" w:firstLine="0"/>
                      <w:jc w:val="center"/>
                      <w:rPr>
                        <w:sz w:val="11"/>
                      </w:rPr>
                    </w:pPr>
                    <w:r>
                      <w:rPr>
                        <w:color w:val="231F20"/>
                        <w:spacing w:val="-2"/>
                        <w:w w:val="115"/>
                        <w:sz w:val="11"/>
                      </w:rPr>
                      <w:t>Reproducción </w:t>
                    </w:r>
                    <w:r>
                      <w:rPr>
                        <w:color w:val="231F20"/>
                        <w:spacing w:val="-1"/>
                        <w:w w:val="115"/>
                        <w:sz w:val="11"/>
                      </w:rPr>
                      <w:t>social</w:t>
                    </w:r>
                    <w:r>
                      <w:rPr>
                        <w:color w:val="231F20"/>
                        <w:spacing w:val="-18"/>
                        <w:w w:val="115"/>
                        <w:sz w:val="11"/>
                      </w:rPr>
                      <w:t> </w:t>
                    </w:r>
                    <w:r>
                      <w:rPr>
                        <w:color w:val="231F20"/>
                        <w:spacing w:val="-1"/>
                        <w:w w:val="115"/>
                        <w:sz w:val="11"/>
                      </w:rPr>
                      <w:t>transnacional </w:t>
                    </w:r>
                    <w:r>
                      <w:rPr>
                        <w:color w:val="231F20"/>
                        <w:w w:val="115"/>
                        <w:sz w:val="11"/>
                      </w:rPr>
                      <w:t>(global y posmoderna)</w:t>
                    </w:r>
                  </w:p>
                </w:txbxContent>
              </v:textbox>
              <w10:wrap type="none"/>
            </v:shape>
            <w10:wrap type="topAndBottom"/>
          </v:group>
        </w:pict>
      </w:r>
    </w:p>
    <w:p>
      <w:pPr>
        <w:pStyle w:val="BodyText"/>
        <w:spacing w:before="2"/>
        <w:rPr>
          <w:sz w:val="27"/>
        </w:rPr>
      </w:pPr>
    </w:p>
    <w:p>
      <w:pPr>
        <w:pStyle w:val="BodyText"/>
        <w:spacing w:line="261" w:lineRule="auto" w:before="67"/>
        <w:ind w:left="100" w:right="115" w:firstLine="240"/>
        <w:jc w:val="right"/>
      </w:pPr>
      <w:r>
        <w:rPr>
          <w:color w:val="231F20"/>
          <w:w w:val="110"/>
        </w:rPr>
        <w:t>Es ampliamente aceptado que en el origen de todo</w:t>
      </w:r>
      <w:r>
        <w:rPr>
          <w:color w:val="231F20"/>
          <w:spacing w:val="46"/>
          <w:w w:val="110"/>
        </w:rPr>
        <w:t> </w:t>
      </w:r>
      <w:r>
        <w:rPr>
          <w:color w:val="231F20"/>
          <w:w w:val="110"/>
        </w:rPr>
        <w:t>flujo</w:t>
      </w:r>
      <w:r>
        <w:rPr>
          <w:color w:val="231F20"/>
          <w:spacing w:val="5"/>
          <w:w w:val="110"/>
        </w:rPr>
        <w:t> </w:t>
      </w:r>
      <w:r>
        <w:rPr>
          <w:color w:val="231F20"/>
          <w:w w:val="110"/>
        </w:rPr>
        <w:t>migrato-</w:t>
      </w:r>
      <w:r>
        <w:rPr>
          <w:color w:val="231F20"/>
          <w:w w:val="72"/>
        </w:rPr>
        <w:t> </w:t>
      </w:r>
      <w:r>
        <w:rPr>
          <w:color w:val="231F20"/>
          <w:w w:val="110"/>
        </w:rPr>
        <w:t>rio,</w:t>
      </w:r>
      <w:r>
        <w:rPr>
          <w:color w:val="231F20"/>
          <w:spacing w:val="-11"/>
          <w:w w:val="110"/>
        </w:rPr>
        <w:t> </w:t>
      </w:r>
      <w:r>
        <w:rPr>
          <w:color w:val="231F20"/>
          <w:w w:val="110"/>
        </w:rPr>
        <w:t>suele</w:t>
      </w:r>
      <w:r>
        <w:rPr>
          <w:color w:val="231F20"/>
          <w:spacing w:val="-11"/>
          <w:w w:val="110"/>
        </w:rPr>
        <w:t> </w:t>
      </w:r>
      <w:r>
        <w:rPr>
          <w:color w:val="231F20"/>
          <w:w w:val="110"/>
        </w:rPr>
        <w:t>haber</w:t>
      </w:r>
      <w:r>
        <w:rPr>
          <w:color w:val="231F20"/>
          <w:spacing w:val="-11"/>
          <w:w w:val="110"/>
        </w:rPr>
        <w:t> </w:t>
      </w:r>
      <w:r>
        <w:rPr>
          <w:color w:val="231F20"/>
          <w:w w:val="110"/>
        </w:rPr>
        <w:t>factores</w:t>
      </w:r>
      <w:r>
        <w:rPr>
          <w:color w:val="231F20"/>
          <w:spacing w:val="-11"/>
          <w:w w:val="110"/>
        </w:rPr>
        <w:t> </w:t>
      </w:r>
      <w:r>
        <w:rPr>
          <w:color w:val="231F20"/>
          <w:w w:val="110"/>
        </w:rPr>
        <w:t>estructurales</w:t>
      </w:r>
      <w:r>
        <w:rPr>
          <w:color w:val="231F20"/>
          <w:spacing w:val="-11"/>
          <w:w w:val="110"/>
        </w:rPr>
        <w:t> </w:t>
      </w:r>
      <w:r>
        <w:rPr>
          <w:color w:val="231F20"/>
          <w:w w:val="110"/>
        </w:rPr>
        <w:t>desencadenantes.</w:t>
      </w:r>
      <w:r>
        <w:rPr>
          <w:color w:val="231F20"/>
          <w:spacing w:val="-11"/>
          <w:w w:val="110"/>
        </w:rPr>
        <w:t> </w:t>
      </w:r>
      <w:r>
        <w:rPr>
          <w:color w:val="231F20"/>
          <w:spacing w:val="-3"/>
          <w:w w:val="110"/>
        </w:rPr>
        <w:t>Ya</w:t>
      </w:r>
      <w:r>
        <w:rPr>
          <w:color w:val="231F20"/>
          <w:spacing w:val="-11"/>
          <w:w w:val="110"/>
        </w:rPr>
        <w:t> </w:t>
      </w:r>
      <w:r>
        <w:rPr>
          <w:color w:val="231F20"/>
          <w:w w:val="110"/>
        </w:rPr>
        <w:t>sea</w:t>
      </w:r>
      <w:r>
        <w:rPr>
          <w:color w:val="231F20"/>
          <w:spacing w:val="-11"/>
          <w:w w:val="110"/>
        </w:rPr>
        <w:t> </w:t>
      </w:r>
      <w:r>
        <w:rPr>
          <w:color w:val="231F20"/>
          <w:w w:val="110"/>
        </w:rPr>
        <w:t>que</w:t>
      </w:r>
      <w:r>
        <w:rPr>
          <w:color w:val="231F20"/>
          <w:spacing w:val="-11"/>
          <w:w w:val="110"/>
        </w:rPr>
        <w:t> </w:t>
      </w:r>
      <w:r>
        <w:rPr>
          <w:color w:val="231F20"/>
          <w:w w:val="110"/>
        </w:rPr>
        <w:t>se</w:t>
      </w:r>
      <w:r>
        <w:rPr>
          <w:color w:val="231F20"/>
          <w:w w:val="103"/>
        </w:rPr>
        <w:t> </w:t>
      </w:r>
      <w:r>
        <w:rPr>
          <w:color w:val="231F20"/>
          <w:w w:val="110"/>
        </w:rPr>
        <w:t>trate de factores económicos, sociales, políticos o bien</w:t>
      </w:r>
      <w:r>
        <w:rPr>
          <w:color w:val="231F20"/>
          <w:spacing w:val="24"/>
          <w:w w:val="110"/>
        </w:rPr>
        <w:t> </w:t>
      </w:r>
      <w:r>
        <w:rPr>
          <w:color w:val="231F20"/>
          <w:w w:val="110"/>
        </w:rPr>
        <w:t>desastres</w:t>
      </w:r>
      <w:r>
        <w:rPr>
          <w:color w:val="231F20"/>
          <w:spacing w:val="3"/>
          <w:w w:val="110"/>
        </w:rPr>
        <w:t> </w:t>
      </w:r>
      <w:r>
        <w:rPr>
          <w:color w:val="231F20"/>
          <w:w w:val="110"/>
        </w:rPr>
        <w:t>na-</w:t>
      </w:r>
      <w:r>
        <w:rPr>
          <w:color w:val="231F20"/>
          <w:w w:val="72"/>
        </w:rPr>
        <w:t> </w:t>
      </w:r>
      <w:r>
        <w:rPr>
          <w:color w:val="231F20"/>
          <w:w w:val="110"/>
        </w:rPr>
        <w:t>turales. En nuestro diagrama, esto lo reflejamos en la</w:t>
      </w:r>
      <w:r>
        <w:rPr>
          <w:color w:val="231F20"/>
          <w:spacing w:val="-2"/>
          <w:w w:val="110"/>
        </w:rPr>
        <w:t> </w:t>
      </w:r>
      <w:r>
        <w:rPr>
          <w:color w:val="231F20"/>
          <w:w w:val="110"/>
        </w:rPr>
        <w:t>parte</w:t>
      </w:r>
      <w:r>
        <w:rPr>
          <w:color w:val="231F20"/>
          <w:spacing w:val="-1"/>
          <w:w w:val="110"/>
        </w:rPr>
        <w:t> </w:t>
      </w:r>
      <w:r>
        <w:rPr>
          <w:color w:val="231F20"/>
          <w:w w:val="110"/>
        </w:rPr>
        <w:t>superior,</w:t>
      </w:r>
      <w:r>
        <w:rPr>
          <w:color w:val="231F20"/>
          <w:w w:val="104"/>
        </w:rPr>
        <w:t> </w:t>
      </w:r>
      <w:r>
        <w:rPr>
          <w:color w:val="231F20"/>
          <w:w w:val="110"/>
        </w:rPr>
        <w:t>donde intentamos representar a la globalización y</w:t>
      </w:r>
      <w:r>
        <w:rPr>
          <w:color w:val="231F20"/>
          <w:spacing w:val="-10"/>
          <w:w w:val="110"/>
        </w:rPr>
        <w:t> </w:t>
      </w:r>
      <w:r>
        <w:rPr>
          <w:color w:val="231F20"/>
          <w:w w:val="110"/>
        </w:rPr>
        <w:t>las</w:t>
      </w:r>
      <w:r>
        <w:rPr>
          <w:color w:val="231F20"/>
          <w:spacing w:val="-2"/>
          <w:w w:val="110"/>
        </w:rPr>
        <w:t> </w:t>
      </w:r>
      <w:r>
        <w:rPr>
          <w:color w:val="231F20"/>
          <w:w w:val="110"/>
        </w:rPr>
        <w:t>transformacio-</w:t>
      </w:r>
      <w:r>
        <w:rPr>
          <w:color w:val="231F20"/>
          <w:w w:val="72"/>
        </w:rPr>
        <w:t> </w:t>
      </w:r>
      <w:r>
        <w:rPr>
          <w:color w:val="231F20"/>
          <w:w w:val="110"/>
        </w:rPr>
        <w:t>nes del mercado de trabajo (flexibilidad,</w:t>
      </w:r>
      <w:r>
        <w:rPr>
          <w:color w:val="231F20"/>
          <w:spacing w:val="43"/>
          <w:w w:val="110"/>
        </w:rPr>
        <w:t> </w:t>
      </w:r>
      <w:r>
        <w:rPr>
          <w:color w:val="231F20"/>
          <w:w w:val="110"/>
        </w:rPr>
        <w:t>desregulación,</w:t>
      </w:r>
      <w:r>
        <w:rPr>
          <w:color w:val="231F20"/>
          <w:spacing w:val="25"/>
          <w:w w:val="110"/>
        </w:rPr>
        <w:t> </w:t>
      </w:r>
      <w:r>
        <w:rPr>
          <w:color w:val="231F20"/>
          <w:w w:val="110"/>
        </w:rPr>
        <w:t>precariza-</w:t>
      </w:r>
      <w:r>
        <w:rPr>
          <w:color w:val="231F20"/>
          <w:w w:val="72"/>
        </w:rPr>
        <w:t> </w:t>
      </w:r>
      <w:r>
        <w:rPr>
          <w:color w:val="231F20"/>
          <w:w w:val="110"/>
        </w:rPr>
        <w:t>ción, entre otros) como factores desencadenantes de</w:t>
      </w:r>
      <w:r>
        <w:rPr>
          <w:color w:val="231F20"/>
          <w:spacing w:val="39"/>
          <w:w w:val="110"/>
        </w:rPr>
        <w:t> </w:t>
      </w:r>
      <w:r>
        <w:rPr>
          <w:color w:val="231F20"/>
          <w:w w:val="110"/>
        </w:rPr>
        <w:t>la</w:t>
      </w:r>
      <w:r>
        <w:rPr>
          <w:color w:val="231F20"/>
          <w:spacing w:val="13"/>
          <w:w w:val="110"/>
        </w:rPr>
        <w:t> </w:t>
      </w:r>
      <w:r>
        <w:rPr>
          <w:color w:val="231F20"/>
          <w:w w:val="110"/>
        </w:rPr>
        <w:t>migración.</w:t>
      </w:r>
      <w:r>
        <w:rPr>
          <w:color w:val="231F20"/>
          <w:w w:val="110"/>
          <w:position w:val="6"/>
          <w:sz w:val="13"/>
        </w:rPr>
        <w:t>3</w:t>
      </w:r>
      <w:r>
        <w:rPr>
          <w:color w:val="231F20"/>
          <w:w w:val="104"/>
          <w:position w:val="6"/>
          <w:sz w:val="13"/>
        </w:rPr>
        <w:t> </w:t>
      </w:r>
      <w:r>
        <w:rPr>
          <w:color w:val="231F20"/>
          <w:w w:val="110"/>
        </w:rPr>
        <w:t>Sin embargo, si bien los factores estructurales sirven</w:t>
      </w:r>
      <w:r>
        <w:rPr>
          <w:color w:val="231F20"/>
          <w:spacing w:val="23"/>
          <w:w w:val="110"/>
        </w:rPr>
        <w:t> </w:t>
      </w:r>
      <w:r>
        <w:rPr>
          <w:color w:val="231F20"/>
          <w:w w:val="110"/>
        </w:rPr>
        <w:t>como</w:t>
      </w:r>
      <w:r>
        <w:rPr>
          <w:color w:val="231F20"/>
          <w:spacing w:val="23"/>
          <w:w w:val="110"/>
        </w:rPr>
        <w:t> </w:t>
      </w:r>
      <w:r>
        <w:rPr>
          <w:color w:val="231F20"/>
          <w:w w:val="110"/>
        </w:rPr>
        <w:t>im-</w:t>
      </w:r>
      <w:r>
        <w:rPr>
          <w:color w:val="231F20"/>
          <w:w w:val="72"/>
        </w:rPr>
        <w:t> </w:t>
      </w:r>
      <w:r>
        <w:rPr>
          <w:color w:val="231F20"/>
          <w:w w:val="110"/>
        </w:rPr>
        <w:t>pulsores y desencadenantes de la migración, una vez que ello</w:t>
      </w:r>
      <w:r>
        <w:rPr>
          <w:color w:val="231F20"/>
          <w:spacing w:val="43"/>
          <w:w w:val="110"/>
        </w:rPr>
        <w:t> </w:t>
      </w:r>
      <w:r>
        <w:rPr>
          <w:color w:val="231F20"/>
          <w:w w:val="110"/>
        </w:rPr>
        <w:t>se</w:t>
      </w:r>
      <w:r>
        <w:rPr>
          <w:color w:val="231F20"/>
          <w:spacing w:val="4"/>
          <w:w w:val="110"/>
        </w:rPr>
        <w:t> </w:t>
      </w:r>
      <w:r>
        <w:rPr>
          <w:color w:val="231F20"/>
          <w:w w:val="110"/>
        </w:rPr>
        <w:t>da,</w:t>
      </w:r>
      <w:r>
        <w:rPr>
          <w:color w:val="231F20"/>
          <w:w w:val="110"/>
        </w:rPr>
        <w:t> </w:t>
      </w:r>
      <w:r>
        <w:rPr>
          <w:color w:val="231F20"/>
          <w:w w:val="110"/>
        </w:rPr>
        <w:t>son las redes sociales y familiares las que permite</w:t>
      </w:r>
      <w:r>
        <w:rPr>
          <w:color w:val="231F20"/>
          <w:spacing w:val="26"/>
          <w:w w:val="110"/>
        </w:rPr>
        <w:t> </w:t>
      </w:r>
      <w:r>
        <w:rPr>
          <w:color w:val="231F20"/>
          <w:w w:val="110"/>
        </w:rPr>
        <w:t>su</w:t>
      </w:r>
      <w:r>
        <w:rPr>
          <w:color w:val="231F20"/>
          <w:spacing w:val="9"/>
          <w:w w:val="110"/>
        </w:rPr>
        <w:t> </w:t>
      </w:r>
      <w:r>
        <w:rPr>
          <w:color w:val="231F20"/>
          <w:w w:val="110"/>
        </w:rPr>
        <w:t>sostenimiento</w:t>
      </w:r>
      <w:r>
        <w:rPr>
          <w:color w:val="231F20"/>
          <w:w w:val="109"/>
        </w:rPr>
        <w:t> </w:t>
      </w:r>
      <w:r>
        <w:rPr>
          <w:color w:val="231F20"/>
          <w:w w:val="110"/>
        </w:rPr>
        <w:t>y reproducción (Massey, 1990; </w:t>
      </w:r>
      <w:r>
        <w:rPr>
          <w:color w:val="231F20"/>
          <w:spacing w:val="-3"/>
          <w:w w:val="110"/>
        </w:rPr>
        <w:t>Massey, </w:t>
      </w:r>
      <w:r>
        <w:rPr>
          <w:color w:val="231F20"/>
          <w:w w:val="110"/>
        </w:rPr>
        <w:t>Durand y Malone,</w:t>
      </w:r>
      <w:r>
        <w:rPr>
          <w:color w:val="231F20"/>
          <w:spacing w:val="1"/>
          <w:w w:val="110"/>
        </w:rPr>
        <w:t> </w:t>
      </w:r>
      <w:r>
        <w:rPr>
          <w:color w:val="231F20"/>
          <w:w w:val="110"/>
        </w:rPr>
        <w:t>2009).</w:t>
      </w:r>
      <w:r>
        <w:rPr>
          <w:color w:val="231F20"/>
          <w:spacing w:val="-1"/>
          <w:w w:val="110"/>
        </w:rPr>
        <w:t> </w:t>
      </w:r>
      <w:r>
        <w:rPr>
          <w:color w:val="231F20"/>
          <w:w w:val="110"/>
        </w:rPr>
        <w:t>A</w:t>
      </w:r>
      <w:r>
        <w:rPr>
          <w:color w:val="231F20"/>
          <w:w w:val="91"/>
        </w:rPr>
        <w:t> </w:t>
      </w:r>
      <w:r>
        <w:rPr>
          <w:color w:val="231F20"/>
          <w:w w:val="110"/>
        </w:rPr>
        <w:t>través</w:t>
      </w:r>
      <w:r>
        <w:rPr>
          <w:color w:val="231F20"/>
          <w:spacing w:val="29"/>
          <w:w w:val="110"/>
        </w:rPr>
        <w:t> </w:t>
      </w:r>
      <w:r>
        <w:rPr>
          <w:color w:val="231F20"/>
          <w:w w:val="110"/>
        </w:rPr>
        <w:t>de</w:t>
      </w:r>
      <w:r>
        <w:rPr>
          <w:color w:val="231F20"/>
          <w:spacing w:val="29"/>
          <w:w w:val="110"/>
        </w:rPr>
        <w:t> </w:t>
      </w:r>
      <w:r>
        <w:rPr>
          <w:color w:val="231F20"/>
          <w:w w:val="110"/>
        </w:rPr>
        <w:t>este</w:t>
      </w:r>
      <w:r>
        <w:rPr>
          <w:color w:val="231F20"/>
          <w:spacing w:val="29"/>
          <w:w w:val="110"/>
        </w:rPr>
        <w:t> </w:t>
      </w:r>
      <w:r>
        <w:rPr>
          <w:color w:val="231F20"/>
          <w:w w:val="110"/>
        </w:rPr>
        <w:t>sistema</w:t>
      </w:r>
      <w:r>
        <w:rPr>
          <w:color w:val="231F20"/>
          <w:spacing w:val="29"/>
          <w:w w:val="110"/>
        </w:rPr>
        <w:t> </w:t>
      </w:r>
      <w:r>
        <w:rPr>
          <w:color w:val="231F20"/>
          <w:w w:val="110"/>
        </w:rPr>
        <w:t>de</w:t>
      </w:r>
      <w:r>
        <w:rPr>
          <w:color w:val="231F20"/>
          <w:spacing w:val="29"/>
          <w:w w:val="110"/>
        </w:rPr>
        <w:t> </w:t>
      </w:r>
      <w:r>
        <w:rPr>
          <w:color w:val="231F20"/>
          <w:w w:val="110"/>
        </w:rPr>
        <w:t>redes</w:t>
      </w:r>
      <w:r>
        <w:rPr>
          <w:color w:val="231F20"/>
          <w:spacing w:val="29"/>
          <w:w w:val="110"/>
        </w:rPr>
        <w:t> </w:t>
      </w:r>
      <w:r>
        <w:rPr>
          <w:color w:val="231F20"/>
          <w:w w:val="110"/>
        </w:rPr>
        <w:t>y</w:t>
      </w:r>
      <w:r>
        <w:rPr>
          <w:color w:val="231F20"/>
          <w:spacing w:val="29"/>
          <w:w w:val="110"/>
        </w:rPr>
        <w:t> </w:t>
      </w:r>
      <w:r>
        <w:rPr>
          <w:color w:val="231F20"/>
          <w:w w:val="110"/>
        </w:rPr>
        <w:t>relaciones</w:t>
      </w:r>
      <w:r>
        <w:rPr>
          <w:color w:val="231F20"/>
          <w:spacing w:val="29"/>
          <w:w w:val="110"/>
        </w:rPr>
        <w:t> </w:t>
      </w:r>
      <w:r>
        <w:rPr>
          <w:color w:val="231F20"/>
          <w:w w:val="110"/>
        </w:rPr>
        <w:t>sociales</w:t>
      </w:r>
      <w:r>
        <w:rPr>
          <w:color w:val="231F20"/>
          <w:spacing w:val="29"/>
          <w:w w:val="110"/>
        </w:rPr>
        <w:t> </w:t>
      </w:r>
      <w:r>
        <w:rPr>
          <w:color w:val="231F20"/>
          <w:w w:val="110"/>
        </w:rPr>
        <w:t>la</w:t>
      </w:r>
      <w:r>
        <w:rPr>
          <w:color w:val="231F20"/>
          <w:spacing w:val="29"/>
          <w:w w:val="110"/>
        </w:rPr>
        <w:t> </w:t>
      </w:r>
      <w:r>
        <w:rPr>
          <w:color w:val="231F20"/>
          <w:w w:val="110"/>
        </w:rPr>
        <w:t>migración</w:t>
      </w:r>
      <w:r>
        <w:rPr>
          <w:color w:val="231F20"/>
          <w:spacing w:val="1"/>
          <w:w w:val="109"/>
        </w:rPr>
        <w:t> </w:t>
      </w:r>
      <w:r>
        <w:rPr>
          <w:color w:val="231F20"/>
          <w:w w:val="110"/>
        </w:rPr>
        <w:t>deviene</w:t>
      </w:r>
      <w:r>
        <w:rPr>
          <w:color w:val="231F20"/>
          <w:spacing w:val="-16"/>
          <w:w w:val="110"/>
        </w:rPr>
        <w:t> </w:t>
      </w:r>
      <w:r>
        <w:rPr>
          <w:color w:val="231F20"/>
          <w:w w:val="110"/>
        </w:rPr>
        <w:t>mecanismo</w:t>
      </w:r>
      <w:r>
        <w:rPr>
          <w:color w:val="231F20"/>
          <w:spacing w:val="-16"/>
          <w:w w:val="110"/>
        </w:rPr>
        <w:t> </w:t>
      </w:r>
      <w:r>
        <w:rPr>
          <w:color w:val="231F20"/>
          <w:w w:val="110"/>
        </w:rPr>
        <w:t>de</w:t>
      </w:r>
      <w:r>
        <w:rPr>
          <w:color w:val="231F20"/>
          <w:spacing w:val="-16"/>
          <w:w w:val="110"/>
        </w:rPr>
        <w:t> </w:t>
      </w:r>
      <w:r>
        <w:rPr>
          <w:i/>
          <w:color w:val="231F20"/>
          <w:w w:val="110"/>
        </w:rPr>
        <w:t>reproducción</w:t>
      </w:r>
      <w:r>
        <w:rPr>
          <w:i/>
          <w:color w:val="231F20"/>
          <w:spacing w:val="-16"/>
          <w:w w:val="110"/>
        </w:rPr>
        <w:t> </w:t>
      </w:r>
      <w:r>
        <w:rPr>
          <w:i/>
          <w:color w:val="231F20"/>
          <w:w w:val="110"/>
        </w:rPr>
        <w:t>social</w:t>
      </w:r>
      <w:r>
        <w:rPr>
          <w:i/>
          <w:color w:val="231F20"/>
          <w:spacing w:val="-16"/>
          <w:w w:val="110"/>
        </w:rPr>
        <w:t> </w:t>
      </w:r>
      <w:r>
        <w:rPr>
          <w:color w:val="231F20"/>
          <w:w w:val="110"/>
        </w:rPr>
        <w:t>del</w:t>
      </w:r>
      <w:r>
        <w:rPr>
          <w:color w:val="231F20"/>
          <w:spacing w:val="-16"/>
          <w:w w:val="110"/>
        </w:rPr>
        <w:t> </w:t>
      </w:r>
      <w:r>
        <w:rPr>
          <w:color w:val="231F20"/>
          <w:w w:val="110"/>
        </w:rPr>
        <w:t>migrante,</w:t>
      </w:r>
      <w:r>
        <w:rPr>
          <w:color w:val="231F20"/>
          <w:spacing w:val="-16"/>
          <w:w w:val="110"/>
        </w:rPr>
        <w:t> </w:t>
      </w:r>
      <w:r>
        <w:rPr>
          <w:color w:val="231F20"/>
          <w:w w:val="110"/>
        </w:rPr>
        <w:t>su</w:t>
      </w:r>
      <w:r>
        <w:rPr>
          <w:color w:val="231F20"/>
          <w:spacing w:val="-16"/>
          <w:w w:val="110"/>
        </w:rPr>
        <w:t> </w:t>
      </w:r>
      <w:r>
        <w:rPr>
          <w:color w:val="231F20"/>
          <w:w w:val="110"/>
        </w:rPr>
        <w:t>familia</w:t>
      </w:r>
      <w:r>
        <w:rPr>
          <w:color w:val="231F20"/>
          <w:spacing w:val="-16"/>
          <w:w w:val="110"/>
        </w:rPr>
        <w:t> </w:t>
      </w:r>
      <w:r>
        <w:rPr>
          <w:color w:val="231F20"/>
          <w:w w:val="110"/>
        </w:rPr>
        <w:t>y</w:t>
      </w:r>
      <w:r>
        <w:rPr>
          <w:color w:val="231F20"/>
          <w:w w:val="84"/>
        </w:rPr>
        <w:t> </w:t>
      </w:r>
      <w:r>
        <w:rPr>
          <w:color w:val="231F20"/>
          <w:w w:val="110"/>
        </w:rPr>
        <w:t>su</w:t>
      </w:r>
      <w:r>
        <w:rPr>
          <w:color w:val="231F20"/>
          <w:spacing w:val="30"/>
          <w:w w:val="110"/>
        </w:rPr>
        <w:t> </w:t>
      </w:r>
      <w:r>
        <w:rPr>
          <w:color w:val="231F20"/>
          <w:w w:val="110"/>
        </w:rPr>
        <w:t>comunidad.</w:t>
      </w:r>
      <w:r>
        <w:rPr>
          <w:color w:val="231F20"/>
          <w:spacing w:val="30"/>
          <w:w w:val="110"/>
        </w:rPr>
        <w:t> </w:t>
      </w:r>
      <w:r>
        <w:rPr>
          <w:color w:val="231F20"/>
          <w:w w:val="110"/>
        </w:rPr>
        <w:t>Se</w:t>
      </w:r>
      <w:r>
        <w:rPr>
          <w:color w:val="231F20"/>
          <w:spacing w:val="30"/>
          <w:w w:val="110"/>
        </w:rPr>
        <w:t> </w:t>
      </w:r>
      <w:r>
        <w:rPr>
          <w:color w:val="231F20"/>
          <w:w w:val="110"/>
        </w:rPr>
        <w:t>trata</w:t>
      </w:r>
      <w:r>
        <w:rPr>
          <w:color w:val="231F20"/>
          <w:spacing w:val="30"/>
          <w:w w:val="110"/>
        </w:rPr>
        <w:t> </w:t>
      </w:r>
      <w:r>
        <w:rPr>
          <w:color w:val="231F20"/>
          <w:w w:val="110"/>
        </w:rPr>
        <w:t>de</w:t>
      </w:r>
      <w:r>
        <w:rPr>
          <w:color w:val="231F20"/>
          <w:spacing w:val="30"/>
          <w:w w:val="110"/>
        </w:rPr>
        <w:t> </w:t>
      </w:r>
      <w:r>
        <w:rPr>
          <w:color w:val="231F20"/>
          <w:w w:val="110"/>
        </w:rPr>
        <w:t>una</w:t>
      </w:r>
      <w:r>
        <w:rPr>
          <w:color w:val="231F20"/>
          <w:spacing w:val="30"/>
          <w:w w:val="110"/>
        </w:rPr>
        <w:t> </w:t>
      </w:r>
      <w:r>
        <w:rPr>
          <w:color w:val="231F20"/>
          <w:w w:val="110"/>
        </w:rPr>
        <w:t>reproducción</w:t>
      </w:r>
      <w:r>
        <w:rPr>
          <w:color w:val="231F20"/>
          <w:spacing w:val="30"/>
          <w:w w:val="110"/>
        </w:rPr>
        <w:t> </w:t>
      </w:r>
      <w:r>
        <w:rPr>
          <w:color w:val="231F20"/>
          <w:w w:val="110"/>
        </w:rPr>
        <w:t>basada</w:t>
      </w:r>
      <w:r>
        <w:rPr>
          <w:color w:val="231F20"/>
          <w:spacing w:val="30"/>
          <w:w w:val="110"/>
        </w:rPr>
        <w:t> </w:t>
      </w:r>
      <w:r>
        <w:rPr>
          <w:color w:val="231F20"/>
          <w:w w:val="110"/>
        </w:rPr>
        <w:t>en</w:t>
      </w:r>
      <w:r>
        <w:rPr>
          <w:color w:val="231F20"/>
          <w:spacing w:val="30"/>
          <w:w w:val="110"/>
        </w:rPr>
        <w:t> </w:t>
      </w:r>
      <w:r>
        <w:rPr>
          <w:color w:val="231F20"/>
          <w:w w:val="110"/>
        </w:rPr>
        <w:t>relaciones</w:t>
      </w:r>
      <w:r>
        <w:rPr>
          <w:color w:val="231F20"/>
          <w:w w:val="109"/>
        </w:rPr>
        <w:t> </w:t>
      </w:r>
      <w:r>
        <w:rPr>
          <w:color w:val="231F20"/>
          <w:w w:val="110"/>
        </w:rPr>
        <w:t>transnacionales,</w:t>
      </w:r>
      <w:r>
        <w:rPr>
          <w:color w:val="231F20"/>
          <w:spacing w:val="28"/>
          <w:w w:val="110"/>
        </w:rPr>
        <w:t> </w:t>
      </w:r>
      <w:r>
        <w:rPr>
          <w:color w:val="231F20"/>
          <w:w w:val="110"/>
        </w:rPr>
        <w:t>impulsadas</w:t>
      </w:r>
      <w:r>
        <w:rPr>
          <w:color w:val="231F20"/>
          <w:spacing w:val="28"/>
          <w:w w:val="110"/>
        </w:rPr>
        <w:t> </w:t>
      </w:r>
      <w:r>
        <w:rPr>
          <w:color w:val="231F20"/>
          <w:w w:val="110"/>
        </w:rPr>
        <w:t>por</w:t>
      </w:r>
      <w:r>
        <w:rPr>
          <w:color w:val="231F20"/>
          <w:spacing w:val="28"/>
          <w:w w:val="110"/>
        </w:rPr>
        <w:t> </w:t>
      </w:r>
      <w:r>
        <w:rPr>
          <w:color w:val="231F20"/>
          <w:w w:val="110"/>
        </w:rPr>
        <w:t>la</w:t>
      </w:r>
      <w:r>
        <w:rPr>
          <w:color w:val="231F20"/>
          <w:spacing w:val="28"/>
          <w:w w:val="110"/>
        </w:rPr>
        <w:t> </w:t>
      </w:r>
      <w:r>
        <w:rPr>
          <w:color w:val="231F20"/>
          <w:w w:val="110"/>
        </w:rPr>
        <w:t>migración,</w:t>
      </w:r>
      <w:r>
        <w:rPr>
          <w:color w:val="231F20"/>
          <w:spacing w:val="28"/>
          <w:w w:val="110"/>
        </w:rPr>
        <w:t> </w:t>
      </w:r>
      <w:r>
        <w:rPr>
          <w:color w:val="231F20"/>
          <w:w w:val="110"/>
        </w:rPr>
        <w:t>y</w:t>
      </w:r>
      <w:r>
        <w:rPr>
          <w:color w:val="231F20"/>
          <w:spacing w:val="28"/>
          <w:w w:val="110"/>
        </w:rPr>
        <w:t> </w:t>
      </w:r>
      <w:r>
        <w:rPr>
          <w:color w:val="231F20"/>
          <w:w w:val="110"/>
        </w:rPr>
        <w:t>sustentadas</w:t>
      </w:r>
      <w:r>
        <w:rPr>
          <w:color w:val="231F20"/>
          <w:spacing w:val="28"/>
          <w:w w:val="110"/>
        </w:rPr>
        <w:t> </w:t>
      </w:r>
      <w:r>
        <w:rPr>
          <w:color w:val="231F20"/>
          <w:w w:val="110"/>
        </w:rPr>
        <w:t>en</w:t>
      </w:r>
      <w:r>
        <w:rPr>
          <w:color w:val="231F20"/>
          <w:spacing w:val="28"/>
          <w:w w:val="110"/>
        </w:rPr>
        <w:t> </w:t>
      </w:r>
      <w:r>
        <w:rPr>
          <w:color w:val="231F20"/>
          <w:w w:val="110"/>
        </w:rPr>
        <w:t>su</w:t>
      </w:r>
    </w:p>
    <w:p>
      <w:pPr>
        <w:pStyle w:val="BodyText"/>
      </w:pPr>
    </w:p>
    <w:p>
      <w:pPr>
        <w:pStyle w:val="BodyText"/>
      </w:pPr>
    </w:p>
    <w:p>
      <w:pPr>
        <w:spacing w:line="261" w:lineRule="auto" w:before="131"/>
        <w:ind w:left="100" w:right="25" w:firstLine="240"/>
        <w:jc w:val="left"/>
        <w:rPr>
          <w:sz w:val="16"/>
        </w:rPr>
      </w:pPr>
      <w:r>
        <w:rPr>
          <w:color w:val="231F20"/>
          <w:w w:val="110"/>
          <w:position w:val="5"/>
          <w:sz w:val="10"/>
        </w:rPr>
        <w:t>3 </w:t>
      </w:r>
      <w:r>
        <w:rPr>
          <w:color w:val="231F20"/>
          <w:w w:val="110"/>
          <w:sz w:val="16"/>
        </w:rPr>
        <w:t>Esto ha sido ampliamente documentado por lo que aquí solo lo señalamos muy superficialmente. Para más detalles, véase: Sassen, 1998; Castles y Miller, 1993.</w:t>
      </w:r>
    </w:p>
    <w:p>
      <w:pPr>
        <w:spacing w:after="0" w:line="261" w:lineRule="auto"/>
        <w:jc w:val="left"/>
        <w:rPr>
          <w:sz w:val="16"/>
        </w:rPr>
        <w:sectPr>
          <w:pgSz w:w="7640" w:h="11900"/>
          <w:pgMar w:header="672" w:footer="0" w:top="860" w:bottom="280" w:left="780" w:right="640"/>
        </w:sectPr>
      </w:pPr>
    </w:p>
    <w:p>
      <w:pPr>
        <w:pStyle w:val="BodyText"/>
        <w:spacing w:line="261" w:lineRule="auto" w:before="167"/>
        <w:ind w:left="100" w:right="117"/>
        <w:jc w:val="both"/>
      </w:pPr>
      <w:r>
        <w:rPr>
          <w:color w:val="231F20"/>
          <w:w w:val="110"/>
        </w:rPr>
        <w:t>capital</w:t>
      </w:r>
      <w:r>
        <w:rPr>
          <w:color w:val="231F20"/>
          <w:spacing w:val="-10"/>
          <w:w w:val="110"/>
        </w:rPr>
        <w:t> </w:t>
      </w:r>
      <w:r>
        <w:rPr>
          <w:color w:val="231F20"/>
          <w:w w:val="110"/>
        </w:rPr>
        <w:t>social.</w:t>
      </w:r>
      <w:r>
        <w:rPr>
          <w:color w:val="231F20"/>
          <w:w w:val="110"/>
          <w:position w:val="6"/>
          <w:sz w:val="13"/>
        </w:rPr>
        <w:t>4</w:t>
      </w:r>
      <w:r>
        <w:rPr>
          <w:color w:val="231F20"/>
          <w:spacing w:val="9"/>
          <w:w w:val="110"/>
          <w:position w:val="6"/>
          <w:sz w:val="13"/>
        </w:rPr>
        <w:t> </w:t>
      </w:r>
      <w:r>
        <w:rPr>
          <w:color w:val="231F20"/>
          <w:w w:val="110"/>
        </w:rPr>
        <w:t>Esto</w:t>
      </w:r>
      <w:r>
        <w:rPr>
          <w:color w:val="231F20"/>
          <w:spacing w:val="-10"/>
          <w:w w:val="110"/>
        </w:rPr>
        <w:t> </w:t>
      </w:r>
      <w:r>
        <w:rPr>
          <w:color w:val="231F20"/>
          <w:w w:val="110"/>
        </w:rPr>
        <w:t>es</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hemos</w:t>
      </w:r>
      <w:r>
        <w:rPr>
          <w:color w:val="231F20"/>
          <w:spacing w:val="-10"/>
          <w:w w:val="110"/>
        </w:rPr>
        <w:t> </w:t>
      </w:r>
      <w:r>
        <w:rPr>
          <w:color w:val="231F20"/>
          <w:w w:val="110"/>
        </w:rPr>
        <w:t>reflejado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sección</w:t>
      </w:r>
      <w:r>
        <w:rPr>
          <w:color w:val="231F20"/>
          <w:spacing w:val="-10"/>
          <w:w w:val="110"/>
        </w:rPr>
        <w:t> </w:t>
      </w:r>
      <w:r>
        <w:rPr>
          <w:color w:val="231F20"/>
          <w:w w:val="110"/>
        </w:rPr>
        <w:t>izquierda del diagrama que hemos presentado más arriba, especialmente en el recuadro que se refiere las redes sociales y</w:t>
      </w:r>
      <w:r>
        <w:rPr>
          <w:color w:val="231F20"/>
          <w:spacing w:val="17"/>
          <w:w w:val="110"/>
        </w:rPr>
        <w:t> </w:t>
      </w:r>
      <w:r>
        <w:rPr>
          <w:color w:val="231F20"/>
          <w:w w:val="110"/>
        </w:rPr>
        <w:t>transnacionales.</w:t>
      </w:r>
    </w:p>
    <w:p>
      <w:pPr>
        <w:pStyle w:val="BodyText"/>
        <w:spacing w:line="261" w:lineRule="auto"/>
        <w:ind w:left="100" w:right="117" w:firstLine="240"/>
        <w:jc w:val="both"/>
      </w:pPr>
      <w:r>
        <w:rPr>
          <w:color w:val="231F20"/>
          <w:w w:val="110"/>
        </w:rPr>
        <w:t>Por su parte, en cuanto al análisis de la inserción laboral de los migrantes,</w:t>
      </w:r>
      <w:r>
        <w:rPr>
          <w:color w:val="231F20"/>
          <w:spacing w:val="-11"/>
          <w:w w:val="110"/>
        </w:rPr>
        <w:t> </w:t>
      </w:r>
      <w:r>
        <w:rPr>
          <w:color w:val="231F20"/>
          <w:w w:val="110"/>
        </w:rPr>
        <w:t>los</w:t>
      </w:r>
      <w:r>
        <w:rPr>
          <w:color w:val="231F20"/>
          <w:spacing w:val="-11"/>
          <w:w w:val="110"/>
        </w:rPr>
        <w:t> </w:t>
      </w:r>
      <w:r>
        <w:rPr>
          <w:color w:val="231F20"/>
          <w:w w:val="110"/>
        </w:rPr>
        <w:t>estudios</w:t>
      </w:r>
      <w:r>
        <w:rPr>
          <w:color w:val="231F20"/>
          <w:spacing w:val="-11"/>
          <w:w w:val="110"/>
        </w:rPr>
        <w:t> </w:t>
      </w:r>
      <w:r>
        <w:rPr>
          <w:color w:val="231F20"/>
          <w:w w:val="110"/>
        </w:rPr>
        <w:t>suelen</w:t>
      </w:r>
      <w:r>
        <w:rPr>
          <w:color w:val="231F20"/>
          <w:spacing w:val="-11"/>
          <w:w w:val="110"/>
        </w:rPr>
        <w:t> </w:t>
      </w:r>
      <w:r>
        <w:rPr>
          <w:color w:val="231F20"/>
          <w:w w:val="110"/>
        </w:rPr>
        <w:t>centrarse</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condiciones</w:t>
      </w:r>
      <w:r>
        <w:rPr>
          <w:color w:val="231F20"/>
          <w:spacing w:val="-11"/>
          <w:w w:val="110"/>
        </w:rPr>
        <w:t> </w:t>
      </w:r>
      <w:r>
        <w:rPr>
          <w:color w:val="231F20"/>
          <w:w w:val="110"/>
        </w:rPr>
        <w:t>de</w:t>
      </w:r>
      <w:r>
        <w:rPr>
          <w:color w:val="231F20"/>
          <w:spacing w:val="-11"/>
          <w:w w:val="110"/>
        </w:rPr>
        <w:t> </w:t>
      </w:r>
      <w:r>
        <w:rPr>
          <w:color w:val="231F20"/>
          <w:w w:val="110"/>
        </w:rPr>
        <w:t>funcio- namiento de los mercados de trabajo en los lugares de destino </w:t>
      </w:r>
      <w:r>
        <w:rPr>
          <w:color w:val="231F20"/>
          <w:spacing w:val="-8"/>
          <w:w w:val="110"/>
        </w:rPr>
        <w:t>y, </w:t>
      </w:r>
      <w:r>
        <w:rPr>
          <w:color w:val="231F20"/>
          <w:w w:val="110"/>
        </w:rPr>
        <w:t>en particular,</w:t>
      </w:r>
      <w:r>
        <w:rPr>
          <w:color w:val="231F20"/>
          <w:spacing w:val="-4"/>
          <w:w w:val="110"/>
        </w:rPr>
        <w:t> </w:t>
      </w:r>
      <w:r>
        <w:rPr>
          <w:color w:val="231F20"/>
          <w:w w:val="110"/>
        </w:rPr>
        <w:t>en</w:t>
      </w:r>
      <w:r>
        <w:rPr>
          <w:color w:val="231F20"/>
          <w:spacing w:val="-4"/>
          <w:w w:val="110"/>
        </w:rPr>
        <w:t> </w:t>
      </w:r>
      <w:r>
        <w:rPr>
          <w:color w:val="231F20"/>
          <w:w w:val="110"/>
        </w:rPr>
        <w:t>cómo</w:t>
      </w:r>
      <w:r>
        <w:rPr>
          <w:color w:val="231F20"/>
          <w:spacing w:val="-4"/>
          <w:w w:val="110"/>
        </w:rPr>
        <w:t> </w:t>
      </w:r>
      <w:r>
        <w:rPr>
          <w:color w:val="231F20"/>
          <w:w w:val="110"/>
        </w:rPr>
        <w:t>a</w:t>
      </w:r>
      <w:r>
        <w:rPr>
          <w:color w:val="231F20"/>
          <w:spacing w:val="-4"/>
          <w:w w:val="110"/>
        </w:rPr>
        <w:t> </w:t>
      </w:r>
      <w:r>
        <w:rPr>
          <w:color w:val="231F20"/>
          <w:w w:val="110"/>
        </w:rPr>
        <w:t>través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migración</w:t>
      </w:r>
      <w:r>
        <w:rPr>
          <w:color w:val="231F20"/>
          <w:spacing w:val="-4"/>
          <w:w w:val="110"/>
        </w:rPr>
        <w:t> </w:t>
      </w:r>
      <w:r>
        <w:rPr>
          <w:color w:val="231F20"/>
          <w:w w:val="110"/>
        </w:rPr>
        <w:t>se</w:t>
      </w:r>
      <w:r>
        <w:rPr>
          <w:color w:val="231F20"/>
          <w:spacing w:val="-4"/>
          <w:w w:val="110"/>
        </w:rPr>
        <w:t> </w:t>
      </w:r>
      <w:r>
        <w:rPr>
          <w:color w:val="231F20"/>
          <w:w w:val="110"/>
        </w:rPr>
        <w:t>articula</w:t>
      </w:r>
      <w:r>
        <w:rPr>
          <w:color w:val="231F20"/>
          <w:spacing w:val="-4"/>
          <w:w w:val="110"/>
        </w:rPr>
        <w:t> </w:t>
      </w:r>
      <w:r>
        <w:rPr>
          <w:color w:val="231F20"/>
          <w:w w:val="110"/>
        </w:rPr>
        <w:t>una</w:t>
      </w:r>
      <w:r>
        <w:rPr>
          <w:color w:val="231F20"/>
          <w:spacing w:val="-4"/>
          <w:w w:val="110"/>
        </w:rPr>
        <w:t> </w:t>
      </w:r>
      <w:r>
        <w:rPr>
          <w:color w:val="231F20"/>
          <w:w w:val="110"/>
        </w:rPr>
        <w:t>demanda de fuerza de trabajo en los lugares de destino, con una oferta de fuerza</w:t>
      </w:r>
      <w:r>
        <w:rPr>
          <w:color w:val="231F20"/>
          <w:spacing w:val="-5"/>
          <w:w w:val="110"/>
        </w:rPr>
        <w:t> </w:t>
      </w:r>
      <w:r>
        <w:rPr>
          <w:color w:val="231F20"/>
          <w:w w:val="110"/>
        </w:rPr>
        <w:t>de</w:t>
      </w:r>
      <w:r>
        <w:rPr>
          <w:color w:val="231F20"/>
          <w:spacing w:val="-5"/>
          <w:w w:val="110"/>
        </w:rPr>
        <w:t> </w:t>
      </w:r>
      <w:r>
        <w:rPr>
          <w:color w:val="231F20"/>
          <w:w w:val="110"/>
        </w:rPr>
        <w:t>trabajo</w:t>
      </w:r>
      <w:r>
        <w:rPr>
          <w:color w:val="231F20"/>
          <w:spacing w:val="-5"/>
          <w:w w:val="110"/>
        </w:rPr>
        <w:t> </w:t>
      </w:r>
      <w:r>
        <w:rPr>
          <w:color w:val="231F20"/>
          <w:w w:val="110"/>
        </w:rPr>
        <w:t>generada</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lugares</w:t>
      </w:r>
      <w:r>
        <w:rPr>
          <w:color w:val="231F20"/>
          <w:spacing w:val="-5"/>
          <w:w w:val="110"/>
        </w:rPr>
        <w:t> </w:t>
      </w:r>
      <w:r>
        <w:rPr>
          <w:color w:val="231F20"/>
          <w:w w:val="110"/>
        </w:rPr>
        <w:t>de</w:t>
      </w:r>
      <w:r>
        <w:rPr>
          <w:color w:val="231F20"/>
          <w:spacing w:val="-5"/>
          <w:w w:val="110"/>
        </w:rPr>
        <w:t> </w:t>
      </w:r>
      <w:r>
        <w:rPr>
          <w:color w:val="231F20"/>
          <w:w w:val="110"/>
        </w:rPr>
        <w:t>origen.</w:t>
      </w:r>
      <w:r>
        <w:rPr>
          <w:color w:val="231F20"/>
          <w:spacing w:val="-5"/>
          <w:w w:val="110"/>
        </w:rPr>
        <w:t> </w:t>
      </w:r>
      <w:r>
        <w:rPr>
          <w:color w:val="231F20"/>
          <w:w w:val="110"/>
        </w:rPr>
        <w:t>En</w:t>
      </w:r>
      <w:r>
        <w:rPr>
          <w:color w:val="231F20"/>
          <w:spacing w:val="-5"/>
          <w:w w:val="110"/>
        </w:rPr>
        <w:t> </w:t>
      </w:r>
      <w:r>
        <w:rPr>
          <w:color w:val="231F20"/>
          <w:w w:val="110"/>
        </w:rPr>
        <w:t>ambos</w:t>
      </w:r>
      <w:r>
        <w:rPr>
          <w:color w:val="231F20"/>
          <w:spacing w:val="-5"/>
          <w:w w:val="110"/>
        </w:rPr>
        <w:t> </w:t>
      </w:r>
      <w:r>
        <w:rPr>
          <w:color w:val="231F20"/>
          <w:w w:val="110"/>
        </w:rPr>
        <w:t>casos, podemos apelar a los enfoques de la globalización, en el sentido</w:t>
      </w:r>
      <w:r>
        <w:rPr>
          <w:color w:val="231F20"/>
          <w:spacing w:val="-15"/>
          <w:w w:val="110"/>
        </w:rPr>
        <w:t> </w:t>
      </w:r>
      <w:r>
        <w:rPr>
          <w:color w:val="231F20"/>
          <w:w w:val="110"/>
        </w:rPr>
        <w:t>que ello nos permite explicar las transformaciones en el funcionamiento de los mercados de trabajo (Sassen, 1998; Castells,</w:t>
      </w:r>
      <w:r>
        <w:rPr>
          <w:color w:val="231F20"/>
          <w:spacing w:val="-38"/>
          <w:w w:val="110"/>
        </w:rPr>
        <w:t> </w:t>
      </w:r>
      <w:r>
        <w:rPr>
          <w:color w:val="231F20"/>
          <w:w w:val="110"/>
        </w:rPr>
        <w:t>1998).</w:t>
      </w:r>
    </w:p>
    <w:p>
      <w:pPr>
        <w:pStyle w:val="BodyText"/>
        <w:spacing w:line="261" w:lineRule="auto"/>
        <w:ind w:left="100" w:right="114" w:firstLine="240"/>
        <w:jc w:val="both"/>
      </w:pPr>
      <w:r>
        <w:rPr>
          <w:color w:val="231F20"/>
          <w:w w:val="105"/>
        </w:rPr>
        <w:t>Nuestra propuesta permite  dar  un  paso  adicional,  incorporando  en el análisis otras dimensiones y procesos sociales, tales como los cambios sociales y demográficos en las sociedades de destino, que surgen con la misma globalización y advenimiento de una sociedad posmoderna. Nos referimos por ejemplo, a la creciente  incorpo-  </w:t>
      </w:r>
      <w:r>
        <w:rPr>
          <w:color w:val="231F20"/>
          <w:spacing w:val="2"/>
          <w:w w:val="105"/>
        </w:rPr>
        <w:t>ración </w:t>
      </w:r>
      <w:r>
        <w:rPr>
          <w:color w:val="231F20"/>
          <w:w w:val="105"/>
        </w:rPr>
        <w:t>de las </w:t>
      </w:r>
      <w:r>
        <w:rPr>
          <w:color w:val="231F20"/>
          <w:spacing w:val="2"/>
          <w:w w:val="105"/>
        </w:rPr>
        <w:t>mujeres </w:t>
      </w:r>
      <w:r>
        <w:rPr>
          <w:color w:val="231F20"/>
          <w:w w:val="105"/>
        </w:rPr>
        <w:t>a los </w:t>
      </w:r>
      <w:r>
        <w:rPr>
          <w:color w:val="231F20"/>
          <w:spacing w:val="2"/>
          <w:w w:val="105"/>
        </w:rPr>
        <w:t>mercados </w:t>
      </w:r>
      <w:r>
        <w:rPr>
          <w:color w:val="231F20"/>
          <w:w w:val="105"/>
        </w:rPr>
        <w:t>de </w:t>
      </w:r>
      <w:r>
        <w:rPr>
          <w:color w:val="231F20"/>
          <w:spacing w:val="2"/>
          <w:w w:val="105"/>
        </w:rPr>
        <w:t>trabajo, </w:t>
      </w:r>
      <w:r>
        <w:rPr>
          <w:color w:val="231F20"/>
          <w:w w:val="105"/>
        </w:rPr>
        <w:t>a los </w:t>
      </w:r>
      <w:r>
        <w:rPr>
          <w:color w:val="231F20"/>
          <w:spacing w:val="3"/>
          <w:w w:val="105"/>
        </w:rPr>
        <w:t>cambios </w:t>
      </w:r>
      <w:r>
        <w:rPr>
          <w:color w:val="231F20"/>
          <w:w w:val="105"/>
        </w:rPr>
        <w:t>culturales  y  de  comportamiento  social  y  demográfico  vinculados    a la posmodernidad, al cambio demográfico que se expresa en el envejecimiento de las poblaciones de los países desarrollados, a los procesos de individuación y cambios en la dinámica, composición y configuración de las familias, entre muchos otros (Herrera Ponce,  2007; Beck y Beck-Gernshmein, 2002; </w:t>
      </w:r>
      <w:r>
        <w:rPr>
          <w:color w:val="231F20"/>
          <w:spacing w:val="-3"/>
          <w:w w:val="105"/>
        </w:rPr>
        <w:t>Stacey, </w:t>
      </w:r>
      <w:r>
        <w:rPr>
          <w:color w:val="231F20"/>
          <w:w w:val="105"/>
        </w:rPr>
        <w:t>1996). En este sentido, la inmigración laboral permite, precisamente, llenar no sólo vacíos demográficos que deja el envejecimiento, sino además sustentar estos cambios sociales y culturales de la población nativa (Canales, 2009; Domingo, </w:t>
      </w:r>
      <w:r>
        <w:rPr>
          <w:color w:val="231F20"/>
          <w:spacing w:val="3"/>
          <w:w w:val="105"/>
        </w:rPr>
        <w:t> </w:t>
      </w:r>
      <w:r>
        <w:rPr>
          <w:color w:val="231F20"/>
          <w:w w:val="105"/>
        </w:rPr>
        <w:t>2006).</w:t>
      </w:r>
    </w:p>
    <w:p>
      <w:pPr>
        <w:pStyle w:val="BodyText"/>
        <w:spacing w:line="261" w:lineRule="auto"/>
        <w:ind w:left="100" w:right="117" w:firstLine="240"/>
        <w:jc w:val="both"/>
      </w:pPr>
      <w:r>
        <w:rPr>
          <w:color w:val="231F20"/>
          <w:w w:val="110"/>
        </w:rPr>
        <w:t>Ejemplo de lo anterior, es la creciente literatura que se ha dedi- cado al estudio y análisis de la inserción de los y las migrantes en la industria del cuidado, servicio doméstico, preparación de alimentos, mantenimiento y limpieza, y en general, en diversos trabajos que se pueden circunscribir a los ámbitos privados y públicos de la repro- ducción social de la población (Hondagneu-Sotelo, 2007; Herrera, 2005; Ehrenteich y Hochschild, 2004). Esto lo hemos   representado</w:t>
      </w:r>
    </w:p>
    <w:p>
      <w:pPr>
        <w:pStyle w:val="BodyText"/>
      </w:pPr>
    </w:p>
    <w:p>
      <w:pPr>
        <w:spacing w:line="261" w:lineRule="auto" w:before="152"/>
        <w:ind w:left="100" w:right="117" w:firstLine="240"/>
        <w:jc w:val="both"/>
        <w:rPr>
          <w:sz w:val="16"/>
        </w:rPr>
      </w:pPr>
      <w:r>
        <w:rPr>
          <w:color w:val="231F20"/>
          <w:w w:val="110"/>
          <w:position w:val="5"/>
          <w:sz w:val="10"/>
        </w:rPr>
        <w:t>4 </w:t>
      </w:r>
      <w:r>
        <w:rPr>
          <w:color w:val="231F20"/>
          <w:w w:val="110"/>
          <w:sz w:val="16"/>
        </w:rPr>
        <w:t>Esta parte de nuestra argumentación, también ha sido ampliamente documenta- da.</w:t>
      </w:r>
      <w:r>
        <w:rPr>
          <w:color w:val="231F20"/>
          <w:spacing w:val="-17"/>
          <w:w w:val="110"/>
          <w:sz w:val="16"/>
        </w:rPr>
        <w:t> </w:t>
      </w:r>
      <w:r>
        <w:rPr>
          <w:color w:val="231F20"/>
          <w:w w:val="110"/>
          <w:sz w:val="16"/>
        </w:rPr>
        <w:t>Para</w:t>
      </w:r>
      <w:r>
        <w:rPr>
          <w:color w:val="231F20"/>
          <w:spacing w:val="-17"/>
          <w:w w:val="110"/>
          <w:sz w:val="16"/>
        </w:rPr>
        <w:t> </w:t>
      </w:r>
      <w:r>
        <w:rPr>
          <w:color w:val="231F20"/>
          <w:w w:val="110"/>
          <w:sz w:val="16"/>
        </w:rPr>
        <w:t>más</w:t>
      </w:r>
      <w:r>
        <w:rPr>
          <w:color w:val="231F20"/>
          <w:spacing w:val="-17"/>
          <w:w w:val="110"/>
          <w:sz w:val="16"/>
        </w:rPr>
        <w:t> </w:t>
      </w:r>
      <w:r>
        <w:rPr>
          <w:color w:val="231F20"/>
          <w:w w:val="110"/>
          <w:sz w:val="16"/>
        </w:rPr>
        <w:t>detalles,</w:t>
      </w:r>
      <w:r>
        <w:rPr>
          <w:color w:val="231F20"/>
          <w:spacing w:val="-17"/>
          <w:w w:val="110"/>
          <w:sz w:val="16"/>
        </w:rPr>
        <w:t> </w:t>
      </w:r>
      <w:r>
        <w:rPr>
          <w:color w:val="231F20"/>
          <w:w w:val="110"/>
          <w:sz w:val="16"/>
        </w:rPr>
        <w:t>véase</w:t>
      </w:r>
      <w:r>
        <w:rPr>
          <w:color w:val="231F20"/>
          <w:spacing w:val="-17"/>
          <w:w w:val="110"/>
          <w:sz w:val="16"/>
        </w:rPr>
        <w:t> </w:t>
      </w:r>
      <w:r>
        <w:rPr>
          <w:color w:val="231F20"/>
          <w:w w:val="110"/>
          <w:sz w:val="16"/>
        </w:rPr>
        <w:t>la</w:t>
      </w:r>
      <w:r>
        <w:rPr>
          <w:color w:val="231F20"/>
          <w:spacing w:val="-17"/>
          <w:w w:val="110"/>
          <w:sz w:val="16"/>
        </w:rPr>
        <w:t> </w:t>
      </w:r>
      <w:r>
        <w:rPr>
          <w:color w:val="231F20"/>
          <w:w w:val="110"/>
          <w:sz w:val="16"/>
        </w:rPr>
        <w:t>amplia</w:t>
      </w:r>
      <w:r>
        <w:rPr>
          <w:color w:val="231F20"/>
          <w:spacing w:val="-17"/>
          <w:w w:val="110"/>
          <w:sz w:val="16"/>
        </w:rPr>
        <w:t> </w:t>
      </w:r>
      <w:r>
        <w:rPr>
          <w:color w:val="231F20"/>
          <w:w w:val="110"/>
          <w:sz w:val="16"/>
        </w:rPr>
        <w:t>literatura</w:t>
      </w:r>
      <w:r>
        <w:rPr>
          <w:color w:val="231F20"/>
          <w:spacing w:val="-17"/>
          <w:w w:val="110"/>
          <w:sz w:val="16"/>
        </w:rPr>
        <w:t> </w:t>
      </w:r>
      <w:r>
        <w:rPr>
          <w:color w:val="231F20"/>
          <w:w w:val="110"/>
          <w:sz w:val="16"/>
        </w:rPr>
        <w:t>sobre</w:t>
      </w:r>
      <w:r>
        <w:rPr>
          <w:color w:val="231F20"/>
          <w:spacing w:val="-17"/>
          <w:w w:val="110"/>
          <w:sz w:val="16"/>
        </w:rPr>
        <w:t> </w:t>
      </w:r>
      <w:r>
        <w:rPr>
          <w:color w:val="231F20"/>
          <w:w w:val="110"/>
          <w:sz w:val="16"/>
        </w:rPr>
        <w:t>transnacionalismo</w:t>
      </w:r>
      <w:r>
        <w:rPr>
          <w:color w:val="231F20"/>
          <w:spacing w:val="-17"/>
          <w:w w:val="110"/>
          <w:sz w:val="16"/>
        </w:rPr>
        <w:t> </w:t>
      </w:r>
      <w:r>
        <w:rPr>
          <w:color w:val="231F20"/>
          <w:w w:val="110"/>
          <w:sz w:val="16"/>
        </w:rPr>
        <w:t>y</w:t>
      </w:r>
      <w:r>
        <w:rPr>
          <w:color w:val="231F20"/>
          <w:spacing w:val="-17"/>
          <w:w w:val="110"/>
          <w:sz w:val="16"/>
        </w:rPr>
        <w:t> </w:t>
      </w:r>
      <w:r>
        <w:rPr>
          <w:color w:val="231F20"/>
          <w:w w:val="110"/>
          <w:sz w:val="16"/>
        </w:rPr>
        <w:t>comunidades Glick</w:t>
      </w:r>
      <w:r>
        <w:rPr>
          <w:color w:val="231F20"/>
          <w:spacing w:val="-22"/>
          <w:w w:val="110"/>
          <w:sz w:val="16"/>
        </w:rPr>
        <w:t> </w:t>
      </w:r>
      <w:r>
        <w:rPr>
          <w:color w:val="231F20"/>
          <w:w w:val="110"/>
          <w:sz w:val="16"/>
        </w:rPr>
        <w:t>Schiller,</w:t>
      </w:r>
      <w:r>
        <w:rPr>
          <w:color w:val="231F20"/>
          <w:spacing w:val="-22"/>
          <w:w w:val="110"/>
          <w:sz w:val="16"/>
        </w:rPr>
        <w:t> </w:t>
      </w:r>
      <w:r>
        <w:rPr>
          <w:color w:val="231F20"/>
          <w:w w:val="110"/>
          <w:sz w:val="16"/>
        </w:rPr>
        <w:t>Basch</w:t>
      </w:r>
      <w:r>
        <w:rPr>
          <w:color w:val="231F20"/>
          <w:spacing w:val="-22"/>
          <w:w w:val="110"/>
          <w:sz w:val="16"/>
        </w:rPr>
        <w:t> </w:t>
      </w:r>
      <w:r>
        <w:rPr>
          <w:color w:val="231F20"/>
          <w:w w:val="110"/>
          <w:sz w:val="16"/>
        </w:rPr>
        <w:t>y</w:t>
      </w:r>
      <w:r>
        <w:rPr>
          <w:color w:val="231F20"/>
          <w:spacing w:val="-22"/>
          <w:w w:val="110"/>
          <w:sz w:val="16"/>
        </w:rPr>
        <w:t> </w:t>
      </w:r>
      <w:r>
        <w:rPr>
          <w:color w:val="231F20"/>
          <w:w w:val="110"/>
          <w:sz w:val="16"/>
        </w:rPr>
        <w:t>Blanc-Szanton,</w:t>
      </w:r>
      <w:r>
        <w:rPr>
          <w:color w:val="231F20"/>
          <w:spacing w:val="-22"/>
          <w:w w:val="110"/>
          <w:sz w:val="16"/>
        </w:rPr>
        <w:t> </w:t>
      </w:r>
      <w:r>
        <w:rPr>
          <w:color w:val="231F20"/>
          <w:w w:val="110"/>
          <w:sz w:val="16"/>
        </w:rPr>
        <w:t>1992;</w:t>
      </w:r>
      <w:r>
        <w:rPr>
          <w:color w:val="231F20"/>
          <w:spacing w:val="-22"/>
          <w:w w:val="110"/>
          <w:sz w:val="16"/>
        </w:rPr>
        <w:t> </w:t>
      </w:r>
      <w:r>
        <w:rPr>
          <w:color w:val="231F20"/>
          <w:w w:val="110"/>
          <w:sz w:val="16"/>
        </w:rPr>
        <w:t>Smith,</w:t>
      </w:r>
      <w:r>
        <w:rPr>
          <w:color w:val="231F20"/>
          <w:spacing w:val="-22"/>
          <w:w w:val="110"/>
          <w:sz w:val="16"/>
        </w:rPr>
        <w:t> </w:t>
      </w:r>
      <w:r>
        <w:rPr>
          <w:color w:val="231F20"/>
          <w:w w:val="110"/>
          <w:sz w:val="16"/>
        </w:rPr>
        <w:t>2006.</w:t>
      </w:r>
    </w:p>
    <w:p>
      <w:pPr>
        <w:spacing w:after="0" w:line="261" w:lineRule="auto"/>
        <w:jc w:val="both"/>
        <w:rPr>
          <w:sz w:val="16"/>
        </w:rPr>
        <w:sectPr>
          <w:headerReference w:type="default" r:id="rId220"/>
          <w:headerReference w:type="even" r:id="rId221"/>
          <w:pgSz w:w="7640" w:h="11900"/>
          <w:pgMar w:header="672" w:footer="0" w:top="860" w:bottom="280" w:left="660" w:right="760"/>
          <w:pgNumType w:start="293"/>
        </w:sectPr>
      </w:pPr>
    </w:p>
    <w:p>
      <w:pPr>
        <w:pStyle w:val="BodyText"/>
        <w:spacing w:before="8"/>
        <w:rPr>
          <w:sz w:val="8"/>
        </w:rPr>
      </w:pPr>
    </w:p>
    <w:p>
      <w:pPr>
        <w:pStyle w:val="BodyText"/>
        <w:spacing w:line="261" w:lineRule="auto" w:before="67"/>
        <w:ind w:left="100" w:right="119"/>
        <w:jc w:val="both"/>
      </w:pPr>
      <w:r>
        <w:rPr>
          <w:color w:val="231F20"/>
          <w:w w:val="110"/>
        </w:rPr>
        <w:t>en la parte derecha del diagrama, en donde se vincula el trabajo de</w:t>
      </w:r>
      <w:r>
        <w:rPr>
          <w:color w:val="231F20"/>
          <w:w w:val="114"/>
        </w:rPr>
        <w:t> </w:t>
      </w:r>
      <w:r>
        <w:rPr>
          <w:color w:val="231F20"/>
          <w:w w:val="110"/>
        </w:rPr>
        <w:t>los y las migrantes con la reproducción social de la población, todo ello, en el marco de los cambios y situaciones que se derivan de una sociedad global y posmoderna.</w:t>
      </w:r>
    </w:p>
    <w:p>
      <w:pPr>
        <w:pStyle w:val="BodyText"/>
        <w:spacing w:line="261" w:lineRule="auto"/>
        <w:ind w:left="100" w:right="117" w:firstLine="240"/>
        <w:jc w:val="both"/>
      </w:pPr>
      <w:r>
        <w:rPr>
          <w:color w:val="231F20"/>
          <w:w w:val="110"/>
        </w:rPr>
        <w:t>Ahora bien, lo relevante de nuestra perspectiva de análisis, es</w:t>
      </w:r>
      <w:r>
        <w:rPr>
          <w:color w:val="231F20"/>
          <w:spacing w:val="-19"/>
          <w:w w:val="110"/>
        </w:rPr>
        <w:t> </w:t>
      </w:r>
      <w:r>
        <w:rPr>
          <w:color w:val="231F20"/>
          <w:w w:val="110"/>
        </w:rPr>
        <w:t>que permite integrar en un mismo modelo, ambos fenómenos, esto es,  la reproducción social de los migrantes y sus comunidades, con la reproducción social de la población nativa (especialmente de clases medias</w:t>
      </w:r>
      <w:r>
        <w:rPr>
          <w:color w:val="231F20"/>
          <w:spacing w:val="-13"/>
          <w:w w:val="110"/>
        </w:rPr>
        <w:t> </w:t>
      </w:r>
      <w:r>
        <w:rPr>
          <w:color w:val="231F20"/>
          <w:w w:val="110"/>
        </w:rPr>
        <w:t>y</w:t>
      </w:r>
      <w:r>
        <w:rPr>
          <w:color w:val="231F20"/>
          <w:spacing w:val="-13"/>
          <w:w w:val="110"/>
        </w:rPr>
        <w:t> </w:t>
      </w:r>
      <w:r>
        <w:rPr>
          <w:color w:val="231F20"/>
          <w:w w:val="110"/>
        </w:rPr>
        <w:t>altas).</w:t>
      </w:r>
      <w:r>
        <w:rPr>
          <w:color w:val="231F20"/>
          <w:spacing w:val="-13"/>
          <w:w w:val="110"/>
        </w:rPr>
        <w:t> </w:t>
      </w:r>
      <w:r>
        <w:rPr>
          <w:color w:val="231F20"/>
          <w:w w:val="110"/>
        </w:rPr>
        <w:t>Conjuntando</w:t>
      </w:r>
      <w:r>
        <w:rPr>
          <w:color w:val="231F20"/>
          <w:spacing w:val="-13"/>
          <w:w w:val="110"/>
        </w:rPr>
        <w:t> </w:t>
      </w:r>
      <w:r>
        <w:rPr>
          <w:color w:val="231F20"/>
          <w:w w:val="110"/>
        </w:rPr>
        <w:t>ambos</w:t>
      </w:r>
      <w:r>
        <w:rPr>
          <w:color w:val="231F20"/>
          <w:spacing w:val="-13"/>
          <w:w w:val="110"/>
        </w:rPr>
        <w:t> </w:t>
      </w:r>
      <w:r>
        <w:rPr>
          <w:color w:val="231F20"/>
          <w:w w:val="110"/>
        </w:rPr>
        <w:t>niveles,</w:t>
      </w:r>
      <w:r>
        <w:rPr>
          <w:color w:val="231F20"/>
          <w:spacing w:val="-13"/>
          <w:w w:val="110"/>
        </w:rPr>
        <w:t> </w:t>
      </w:r>
      <w:r>
        <w:rPr>
          <w:color w:val="231F20"/>
          <w:w w:val="110"/>
        </w:rPr>
        <w:t>podemos</w:t>
      </w:r>
      <w:r>
        <w:rPr>
          <w:color w:val="231F20"/>
          <w:spacing w:val="-13"/>
          <w:w w:val="110"/>
        </w:rPr>
        <w:t> </w:t>
      </w:r>
      <w:r>
        <w:rPr>
          <w:color w:val="231F20"/>
          <w:w w:val="110"/>
        </w:rPr>
        <w:t>afirmar</w:t>
      </w:r>
      <w:r>
        <w:rPr>
          <w:color w:val="231F20"/>
          <w:spacing w:val="-13"/>
          <w:w w:val="110"/>
        </w:rPr>
        <w:t> </w:t>
      </w:r>
      <w:r>
        <w:rPr>
          <w:color w:val="231F20"/>
          <w:w w:val="110"/>
        </w:rPr>
        <w:t>enton- ces que ellos no son sino las dos caras de un mismo proceso global: la reproducción social a escala global, de una estructura social en la cual podemos identificar diversos estratos, grupos y clases sociales, distintas</w:t>
      </w:r>
      <w:r>
        <w:rPr>
          <w:color w:val="231F20"/>
          <w:spacing w:val="-9"/>
          <w:w w:val="110"/>
        </w:rPr>
        <w:t> </w:t>
      </w:r>
      <w:r>
        <w:rPr>
          <w:color w:val="231F20"/>
          <w:w w:val="110"/>
        </w:rPr>
        <w:t>y</w:t>
      </w:r>
      <w:r>
        <w:rPr>
          <w:color w:val="231F20"/>
          <w:spacing w:val="-9"/>
          <w:w w:val="110"/>
        </w:rPr>
        <w:t> </w:t>
      </w:r>
      <w:r>
        <w:rPr>
          <w:color w:val="231F20"/>
          <w:w w:val="110"/>
        </w:rPr>
        <w:t>distantes,</w:t>
      </w:r>
      <w:r>
        <w:rPr>
          <w:color w:val="231F20"/>
          <w:spacing w:val="-9"/>
          <w:w w:val="110"/>
        </w:rPr>
        <w:t> </w:t>
      </w:r>
      <w:r>
        <w:rPr>
          <w:color w:val="231F20"/>
          <w:w w:val="110"/>
        </w:rPr>
        <w:t>pero</w:t>
      </w:r>
      <w:r>
        <w:rPr>
          <w:color w:val="231F20"/>
          <w:spacing w:val="-9"/>
          <w:w w:val="110"/>
        </w:rPr>
        <w:t> </w:t>
      </w:r>
      <w:r>
        <w:rPr>
          <w:color w:val="231F20"/>
          <w:w w:val="110"/>
        </w:rPr>
        <w:t>articuladas</w:t>
      </w:r>
      <w:r>
        <w:rPr>
          <w:color w:val="231F20"/>
          <w:spacing w:val="-9"/>
          <w:w w:val="110"/>
        </w:rPr>
        <w:t> </w:t>
      </w:r>
      <w:r>
        <w:rPr>
          <w:color w:val="231F20"/>
          <w:w w:val="110"/>
        </w:rPr>
        <w:t>e</w:t>
      </w:r>
      <w:r>
        <w:rPr>
          <w:color w:val="231F20"/>
          <w:spacing w:val="-9"/>
          <w:w w:val="110"/>
        </w:rPr>
        <w:t> </w:t>
      </w:r>
      <w:r>
        <w:rPr>
          <w:color w:val="231F20"/>
          <w:w w:val="110"/>
        </w:rPr>
        <w:t>integradas</w:t>
      </w:r>
      <w:r>
        <w:rPr>
          <w:color w:val="231F20"/>
          <w:spacing w:val="-9"/>
          <w:w w:val="110"/>
        </w:rPr>
        <w:t> </w:t>
      </w:r>
      <w:r>
        <w:rPr>
          <w:color w:val="231F20"/>
          <w:w w:val="110"/>
        </w:rPr>
        <w:t>en</w:t>
      </w:r>
      <w:r>
        <w:rPr>
          <w:color w:val="231F20"/>
          <w:spacing w:val="-9"/>
          <w:w w:val="110"/>
        </w:rPr>
        <w:t> </w:t>
      </w:r>
      <w:r>
        <w:rPr>
          <w:color w:val="231F20"/>
          <w:w w:val="110"/>
        </w:rPr>
        <w:t>su</w:t>
      </w:r>
      <w:r>
        <w:rPr>
          <w:color w:val="231F20"/>
          <w:spacing w:val="-9"/>
          <w:w w:val="110"/>
        </w:rPr>
        <w:t> </w:t>
      </w:r>
      <w:r>
        <w:rPr>
          <w:color w:val="231F20"/>
          <w:w w:val="110"/>
        </w:rPr>
        <w:t>reproducción social.</w:t>
      </w:r>
      <w:r>
        <w:rPr>
          <w:color w:val="231F20"/>
          <w:spacing w:val="-7"/>
          <w:w w:val="110"/>
        </w:rPr>
        <w:t> </w:t>
      </w:r>
      <w:r>
        <w:rPr>
          <w:color w:val="231F20"/>
          <w:w w:val="110"/>
        </w:rPr>
        <w:t>Esto</w:t>
      </w:r>
      <w:r>
        <w:rPr>
          <w:color w:val="231F20"/>
          <w:spacing w:val="-7"/>
          <w:w w:val="110"/>
        </w:rPr>
        <w:t> </w:t>
      </w:r>
      <w:r>
        <w:rPr>
          <w:color w:val="231F20"/>
          <w:w w:val="110"/>
        </w:rPr>
        <w:t>es</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diagrama</w:t>
      </w:r>
      <w:r>
        <w:rPr>
          <w:color w:val="231F20"/>
          <w:spacing w:val="-7"/>
          <w:w w:val="110"/>
        </w:rPr>
        <w:t> </w:t>
      </w:r>
      <w:r>
        <w:rPr>
          <w:color w:val="231F20"/>
          <w:w w:val="110"/>
        </w:rPr>
        <w:t>aparece</w:t>
      </w:r>
      <w:r>
        <w:rPr>
          <w:color w:val="231F20"/>
          <w:spacing w:val="-7"/>
          <w:w w:val="110"/>
        </w:rPr>
        <w:t> </w:t>
      </w:r>
      <w:r>
        <w:rPr>
          <w:color w:val="231F20"/>
          <w:w w:val="110"/>
        </w:rPr>
        <w:t>representado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parte externa e</w:t>
      </w:r>
      <w:r>
        <w:rPr>
          <w:color w:val="231F20"/>
          <w:spacing w:val="27"/>
          <w:w w:val="110"/>
        </w:rPr>
        <w:t> </w:t>
      </w:r>
      <w:r>
        <w:rPr>
          <w:color w:val="231F20"/>
          <w:w w:val="110"/>
        </w:rPr>
        <w:t>inferior.</w:t>
      </w:r>
    </w:p>
    <w:p>
      <w:pPr>
        <w:pStyle w:val="BodyText"/>
        <w:spacing w:line="261" w:lineRule="auto"/>
        <w:ind w:left="100" w:right="119" w:firstLine="240"/>
        <w:jc w:val="both"/>
      </w:pPr>
      <w:r>
        <w:rPr>
          <w:color w:val="231F20"/>
          <w:w w:val="110"/>
        </w:rPr>
        <w:t>Con base en este modelo, podemos señalar que a través de</w:t>
      </w:r>
      <w:r>
        <w:rPr>
          <w:color w:val="231F20"/>
          <w:spacing w:val="44"/>
          <w:w w:val="110"/>
        </w:rPr>
        <w:t> </w:t>
      </w:r>
      <w:r>
        <w:rPr>
          <w:color w:val="231F20"/>
          <w:w w:val="110"/>
        </w:rPr>
        <w:t>la</w:t>
      </w:r>
      <w:r>
        <w:rPr>
          <w:color w:val="231F20"/>
          <w:spacing w:val="4"/>
          <w:w w:val="110"/>
        </w:rPr>
        <w:t> </w:t>
      </w:r>
      <w:r>
        <w:rPr>
          <w:color w:val="231F20"/>
          <w:w w:val="110"/>
        </w:rPr>
        <w:t>mi-</w:t>
      </w:r>
      <w:r>
        <w:rPr>
          <w:color w:val="231F20"/>
          <w:w w:val="72"/>
        </w:rPr>
        <w:t> </w:t>
      </w:r>
      <w:r>
        <w:rPr>
          <w:color w:val="231F20"/>
          <w:w w:val="110"/>
        </w:rPr>
        <w:t>gración,</w:t>
      </w:r>
      <w:r>
        <w:rPr>
          <w:color w:val="231F20"/>
          <w:spacing w:val="-6"/>
          <w:w w:val="110"/>
        </w:rPr>
        <w:t> </w:t>
      </w:r>
      <w:r>
        <w:rPr>
          <w:color w:val="231F20"/>
          <w:w w:val="110"/>
        </w:rPr>
        <w:t>la</w:t>
      </w:r>
      <w:r>
        <w:rPr>
          <w:color w:val="231F20"/>
          <w:spacing w:val="-6"/>
          <w:w w:val="110"/>
        </w:rPr>
        <w:t> </w:t>
      </w:r>
      <w:r>
        <w:rPr>
          <w:color w:val="231F20"/>
          <w:w w:val="110"/>
        </w:rPr>
        <w:t>reproducción</w:t>
      </w:r>
      <w:r>
        <w:rPr>
          <w:color w:val="231F20"/>
          <w:spacing w:val="-6"/>
          <w:w w:val="110"/>
        </w:rPr>
        <w:t> </w:t>
      </w:r>
      <w:r>
        <w:rPr>
          <w:color w:val="231F20"/>
          <w:w w:val="110"/>
        </w:rPr>
        <w:t>social</w:t>
      </w:r>
      <w:r>
        <w:rPr>
          <w:color w:val="231F20"/>
          <w:spacing w:val="-6"/>
          <w:w w:val="110"/>
        </w:rPr>
        <w:t> </w:t>
      </w:r>
      <w:r>
        <w:rPr>
          <w:color w:val="231F20"/>
          <w:w w:val="110"/>
        </w:rPr>
        <w:t>de</w:t>
      </w:r>
      <w:r>
        <w:rPr>
          <w:color w:val="231F20"/>
          <w:spacing w:val="-6"/>
          <w:w w:val="110"/>
        </w:rPr>
        <w:t> </w:t>
      </w:r>
      <w:r>
        <w:rPr>
          <w:color w:val="231F20"/>
          <w:w w:val="110"/>
        </w:rPr>
        <w:t>clases</w:t>
      </w:r>
      <w:r>
        <w:rPr>
          <w:color w:val="231F20"/>
          <w:spacing w:val="-6"/>
          <w:w w:val="110"/>
        </w:rPr>
        <w:t> </w:t>
      </w:r>
      <w:r>
        <w:rPr>
          <w:color w:val="231F20"/>
          <w:w w:val="110"/>
        </w:rPr>
        <w:t>medias</w:t>
      </w:r>
      <w:r>
        <w:rPr>
          <w:color w:val="231F20"/>
          <w:spacing w:val="-6"/>
          <w:w w:val="110"/>
        </w:rPr>
        <w:t> </w:t>
      </w:r>
      <w:r>
        <w:rPr>
          <w:color w:val="231F20"/>
          <w:w w:val="110"/>
        </w:rPr>
        <w:t>y</w:t>
      </w:r>
      <w:r>
        <w:rPr>
          <w:color w:val="231F20"/>
          <w:spacing w:val="-6"/>
          <w:w w:val="110"/>
        </w:rPr>
        <w:t> </w:t>
      </w:r>
      <w:r>
        <w:rPr>
          <w:color w:val="231F20"/>
          <w:w w:val="110"/>
        </w:rPr>
        <w:t>bajas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spacing w:val="-2"/>
          <w:w w:val="110"/>
        </w:rPr>
        <w:t>países </w:t>
      </w:r>
      <w:r>
        <w:rPr>
          <w:color w:val="231F20"/>
          <w:w w:val="110"/>
        </w:rPr>
        <w:t>de</w:t>
      </w:r>
      <w:r>
        <w:rPr>
          <w:color w:val="231F20"/>
          <w:spacing w:val="-7"/>
          <w:w w:val="110"/>
        </w:rPr>
        <w:t> </w:t>
      </w:r>
      <w:r>
        <w:rPr>
          <w:color w:val="231F20"/>
          <w:w w:val="110"/>
        </w:rPr>
        <w:t>origen</w:t>
      </w:r>
      <w:r>
        <w:rPr>
          <w:color w:val="231F20"/>
          <w:spacing w:val="-7"/>
          <w:w w:val="110"/>
        </w:rPr>
        <w:t> </w:t>
      </w:r>
      <w:r>
        <w:rPr>
          <w:color w:val="231F20"/>
          <w:w w:val="110"/>
        </w:rPr>
        <w:t>está</w:t>
      </w:r>
      <w:r>
        <w:rPr>
          <w:color w:val="231F20"/>
          <w:spacing w:val="-7"/>
          <w:w w:val="110"/>
        </w:rPr>
        <w:t> </w:t>
      </w:r>
      <w:r>
        <w:rPr>
          <w:color w:val="231F20"/>
          <w:w w:val="110"/>
        </w:rPr>
        <w:t>en</w:t>
      </w:r>
      <w:r>
        <w:rPr>
          <w:color w:val="231F20"/>
          <w:spacing w:val="-7"/>
          <w:w w:val="110"/>
        </w:rPr>
        <w:t> </w:t>
      </w:r>
      <w:r>
        <w:rPr>
          <w:color w:val="231F20"/>
          <w:w w:val="110"/>
        </w:rPr>
        <w:t>cierta</w:t>
      </w:r>
      <w:r>
        <w:rPr>
          <w:color w:val="231F20"/>
          <w:spacing w:val="-7"/>
          <w:w w:val="110"/>
        </w:rPr>
        <w:t> </w:t>
      </w:r>
      <w:r>
        <w:rPr>
          <w:color w:val="231F20"/>
          <w:w w:val="110"/>
        </w:rPr>
        <w:t>medida,</w:t>
      </w:r>
      <w:r>
        <w:rPr>
          <w:color w:val="231F20"/>
          <w:spacing w:val="-7"/>
          <w:w w:val="110"/>
        </w:rPr>
        <w:t> </w:t>
      </w:r>
      <w:r>
        <w:rPr>
          <w:color w:val="231F20"/>
          <w:w w:val="110"/>
        </w:rPr>
        <w:t>articulada</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reproducción</w:t>
      </w:r>
      <w:r>
        <w:rPr>
          <w:color w:val="231F20"/>
          <w:spacing w:val="-7"/>
          <w:w w:val="110"/>
        </w:rPr>
        <w:t> </w:t>
      </w:r>
      <w:r>
        <w:rPr>
          <w:color w:val="231F20"/>
          <w:spacing w:val="-2"/>
          <w:w w:val="110"/>
        </w:rPr>
        <w:t>social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estratos</w:t>
      </w:r>
      <w:r>
        <w:rPr>
          <w:color w:val="231F20"/>
          <w:spacing w:val="-12"/>
          <w:w w:val="110"/>
        </w:rPr>
        <w:t> </w:t>
      </w:r>
      <w:r>
        <w:rPr>
          <w:color w:val="231F20"/>
          <w:w w:val="110"/>
        </w:rPr>
        <w:t>medios</w:t>
      </w:r>
      <w:r>
        <w:rPr>
          <w:color w:val="231F20"/>
          <w:spacing w:val="-12"/>
          <w:w w:val="110"/>
        </w:rPr>
        <w:t> </w:t>
      </w:r>
      <w:r>
        <w:rPr>
          <w:color w:val="231F20"/>
          <w:w w:val="110"/>
        </w:rPr>
        <w:t>y</w:t>
      </w:r>
      <w:r>
        <w:rPr>
          <w:color w:val="231F20"/>
          <w:spacing w:val="-12"/>
          <w:w w:val="110"/>
        </w:rPr>
        <w:t> </w:t>
      </w:r>
      <w:r>
        <w:rPr>
          <w:color w:val="231F20"/>
          <w:w w:val="110"/>
        </w:rPr>
        <w:t>altos</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países</w:t>
      </w:r>
      <w:r>
        <w:rPr>
          <w:color w:val="231F20"/>
          <w:spacing w:val="-12"/>
          <w:w w:val="110"/>
        </w:rPr>
        <w:t> </w:t>
      </w:r>
      <w:r>
        <w:rPr>
          <w:color w:val="231F20"/>
          <w:w w:val="110"/>
        </w:rPr>
        <w:t>de</w:t>
      </w:r>
      <w:r>
        <w:rPr>
          <w:color w:val="231F20"/>
          <w:spacing w:val="-12"/>
          <w:w w:val="110"/>
        </w:rPr>
        <w:t> </w:t>
      </w:r>
      <w:r>
        <w:rPr>
          <w:color w:val="231F20"/>
          <w:w w:val="110"/>
        </w:rPr>
        <w:t>destino. En este sentido, el campo de intersección de estas dos esferas de re- producción</w:t>
      </w:r>
      <w:r>
        <w:rPr>
          <w:color w:val="231F20"/>
          <w:spacing w:val="-13"/>
          <w:w w:val="110"/>
        </w:rPr>
        <w:t> </w:t>
      </w:r>
      <w:r>
        <w:rPr>
          <w:color w:val="231F20"/>
          <w:w w:val="110"/>
        </w:rPr>
        <w:t>social,</w:t>
      </w:r>
      <w:r>
        <w:rPr>
          <w:color w:val="231F20"/>
          <w:spacing w:val="-13"/>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sino</w:t>
      </w:r>
      <w:r>
        <w:rPr>
          <w:color w:val="231F20"/>
          <w:spacing w:val="-13"/>
          <w:w w:val="110"/>
        </w:rPr>
        <w:t> </w:t>
      </w:r>
      <w:r>
        <w:rPr>
          <w:color w:val="231F20"/>
          <w:w w:val="110"/>
        </w:rPr>
        <w:t>el</w:t>
      </w:r>
      <w:r>
        <w:rPr>
          <w:color w:val="231F20"/>
          <w:spacing w:val="-13"/>
          <w:w w:val="110"/>
        </w:rPr>
        <w:t> </w:t>
      </w:r>
      <w:r>
        <w:rPr>
          <w:color w:val="231F20"/>
          <w:w w:val="110"/>
        </w:rPr>
        <w:t>trabajo</w:t>
      </w:r>
      <w:r>
        <w:rPr>
          <w:color w:val="231F20"/>
          <w:spacing w:val="-13"/>
          <w:w w:val="110"/>
        </w:rPr>
        <w:t> </w:t>
      </w:r>
      <w:r>
        <w:rPr>
          <w:color w:val="231F20"/>
          <w:w w:val="110"/>
        </w:rPr>
        <w:t>realizado</w:t>
      </w:r>
      <w:r>
        <w:rPr>
          <w:color w:val="231F20"/>
          <w:spacing w:val="-13"/>
          <w:w w:val="110"/>
        </w:rPr>
        <w:t> </w:t>
      </w:r>
      <w:r>
        <w:rPr>
          <w:color w:val="231F20"/>
          <w:w w:val="110"/>
        </w:rPr>
        <w:t>por</w:t>
      </w:r>
      <w:r>
        <w:rPr>
          <w:color w:val="231F20"/>
          <w:spacing w:val="-13"/>
          <w:w w:val="110"/>
        </w:rPr>
        <w:t> </w:t>
      </w:r>
      <w:r>
        <w:rPr>
          <w:color w:val="231F20"/>
          <w:w w:val="110"/>
        </w:rPr>
        <w:t>los</w:t>
      </w:r>
      <w:r>
        <w:rPr>
          <w:color w:val="231F20"/>
          <w:spacing w:val="-13"/>
          <w:w w:val="110"/>
        </w:rPr>
        <w:t> </w:t>
      </w:r>
      <w:r>
        <w:rPr>
          <w:color w:val="231F20"/>
          <w:w w:val="110"/>
        </w:rPr>
        <w:t>migrantes</w:t>
      </w:r>
      <w:r>
        <w:rPr>
          <w:color w:val="231F20"/>
          <w:spacing w:val="-13"/>
          <w:w w:val="110"/>
        </w:rPr>
        <w:t> </w:t>
      </w:r>
      <w:r>
        <w:rPr>
          <w:color w:val="231F20"/>
          <w:w w:val="110"/>
        </w:rPr>
        <w:t>en los</w:t>
      </w:r>
      <w:r>
        <w:rPr>
          <w:color w:val="231F20"/>
          <w:spacing w:val="-11"/>
          <w:w w:val="110"/>
        </w:rPr>
        <w:t> </w:t>
      </w:r>
      <w:r>
        <w:rPr>
          <w:color w:val="231F20"/>
          <w:w w:val="110"/>
        </w:rPr>
        <w:t>espacios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reproducción</w:t>
      </w:r>
      <w:r>
        <w:rPr>
          <w:color w:val="231F20"/>
          <w:spacing w:val="-11"/>
          <w:w w:val="110"/>
        </w:rPr>
        <w:t> </w:t>
      </w:r>
      <w:r>
        <w:rPr>
          <w:color w:val="231F20"/>
          <w:w w:val="110"/>
        </w:rPr>
        <w:t>social</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nativa.</w:t>
      </w:r>
    </w:p>
    <w:p>
      <w:pPr>
        <w:pStyle w:val="BodyText"/>
        <w:spacing w:line="261" w:lineRule="auto"/>
        <w:ind w:left="100" w:right="115" w:firstLine="240"/>
        <w:jc w:val="both"/>
      </w:pPr>
      <w:r>
        <w:rPr>
          <w:color w:val="231F20"/>
          <w:w w:val="110"/>
        </w:rPr>
        <w:t>Estos</w:t>
      </w:r>
      <w:r>
        <w:rPr>
          <w:color w:val="231F20"/>
          <w:spacing w:val="-7"/>
          <w:w w:val="110"/>
        </w:rPr>
        <w:t> </w:t>
      </w:r>
      <w:r>
        <w:rPr>
          <w:color w:val="231F20"/>
          <w:w w:val="110"/>
        </w:rPr>
        <w:t>campos</w:t>
      </w:r>
      <w:r>
        <w:rPr>
          <w:color w:val="231F20"/>
          <w:spacing w:val="-7"/>
          <w:w w:val="110"/>
        </w:rPr>
        <w:t> </w:t>
      </w:r>
      <w:r>
        <w:rPr>
          <w:color w:val="231F20"/>
          <w:w w:val="110"/>
        </w:rPr>
        <w:t>de</w:t>
      </w:r>
      <w:r>
        <w:rPr>
          <w:color w:val="231F20"/>
          <w:spacing w:val="-7"/>
          <w:w w:val="110"/>
        </w:rPr>
        <w:t> </w:t>
      </w:r>
      <w:r>
        <w:rPr>
          <w:color w:val="231F20"/>
          <w:w w:val="110"/>
        </w:rPr>
        <w:t>intersección</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procesos</w:t>
      </w:r>
      <w:r>
        <w:rPr>
          <w:color w:val="231F20"/>
          <w:spacing w:val="-7"/>
          <w:w w:val="110"/>
        </w:rPr>
        <w:t> </w:t>
      </w:r>
      <w:r>
        <w:rPr>
          <w:color w:val="231F20"/>
          <w:w w:val="110"/>
        </w:rPr>
        <w:t>locales</w:t>
      </w:r>
      <w:r>
        <w:rPr>
          <w:color w:val="231F20"/>
          <w:spacing w:val="-7"/>
          <w:w w:val="110"/>
        </w:rPr>
        <w:t> </w:t>
      </w:r>
      <w:r>
        <w:rPr>
          <w:color w:val="231F20"/>
          <w:w w:val="110"/>
        </w:rPr>
        <w:t>de</w:t>
      </w:r>
      <w:r>
        <w:rPr>
          <w:color w:val="231F20"/>
          <w:spacing w:val="-7"/>
          <w:w w:val="110"/>
        </w:rPr>
        <w:t> </w:t>
      </w:r>
      <w:r>
        <w:rPr>
          <w:color w:val="231F20"/>
          <w:w w:val="110"/>
        </w:rPr>
        <w:t>reproduc- ción</w:t>
      </w:r>
      <w:r>
        <w:rPr>
          <w:color w:val="231F20"/>
          <w:spacing w:val="-13"/>
          <w:w w:val="110"/>
        </w:rPr>
        <w:t> </w:t>
      </w:r>
      <w:r>
        <w:rPr>
          <w:color w:val="231F20"/>
          <w:w w:val="110"/>
        </w:rPr>
        <w:t>social</w:t>
      </w:r>
      <w:r>
        <w:rPr>
          <w:color w:val="231F20"/>
          <w:spacing w:val="-13"/>
          <w:w w:val="110"/>
        </w:rPr>
        <w:t> </w:t>
      </w:r>
      <w:r>
        <w:rPr>
          <w:color w:val="231F20"/>
          <w:w w:val="110"/>
        </w:rPr>
        <w:t>configuran</w:t>
      </w:r>
      <w:r>
        <w:rPr>
          <w:color w:val="231F20"/>
          <w:spacing w:val="-13"/>
          <w:w w:val="110"/>
        </w:rPr>
        <w:t> </w:t>
      </w:r>
      <w:r>
        <w:rPr>
          <w:color w:val="231F20"/>
          <w:w w:val="110"/>
        </w:rPr>
        <w:t>un</w:t>
      </w:r>
      <w:r>
        <w:rPr>
          <w:color w:val="231F20"/>
          <w:spacing w:val="-13"/>
          <w:w w:val="110"/>
        </w:rPr>
        <w:t> </w:t>
      </w:r>
      <w:r>
        <w:rPr>
          <w:color w:val="231F20"/>
          <w:w w:val="110"/>
        </w:rPr>
        <w:t>proceso</w:t>
      </w:r>
      <w:r>
        <w:rPr>
          <w:color w:val="231F20"/>
          <w:spacing w:val="-13"/>
          <w:w w:val="110"/>
        </w:rPr>
        <w:t> </w:t>
      </w:r>
      <w:r>
        <w:rPr>
          <w:color w:val="231F20"/>
          <w:w w:val="110"/>
        </w:rPr>
        <w:t>global</w:t>
      </w:r>
      <w:r>
        <w:rPr>
          <w:color w:val="231F20"/>
          <w:spacing w:val="-13"/>
          <w:w w:val="110"/>
        </w:rPr>
        <w:t> </w:t>
      </w:r>
      <w:r>
        <w:rPr>
          <w:color w:val="231F20"/>
          <w:w w:val="110"/>
        </w:rPr>
        <w:t>de</w:t>
      </w:r>
      <w:r>
        <w:rPr>
          <w:color w:val="231F20"/>
          <w:spacing w:val="-13"/>
          <w:w w:val="110"/>
        </w:rPr>
        <w:t> </w:t>
      </w:r>
      <w:r>
        <w:rPr>
          <w:color w:val="231F20"/>
          <w:w w:val="110"/>
        </w:rPr>
        <w:t>reproducción</w:t>
      </w:r>
      <w:r>
        <w:rPr>
          <w:color w:val="231F20"/>
          <w:spacing w:val="-13"/>
          <w:w w:val="110"/>
        </w:rPr>
        <w:t> </w:t>
      </w:r>
      <w:r>
        <w:rPr>
          <w:color w:val="231F20"/>
          <w:w w:val="110"/>
        </w:rPr>
        <w:t>social.</w:t>
      </w:r>
      <w:r>
        <w:rPr>
          <w:color w:val="231F20"/>
          <w:spacing w:val="-13"/>
          <w:w w:val="110"/>
        </w:rPr>
        <w:t> </w:t>
      </w:r>
      <w:r>
        <w:rPr>
          <w:color w:val="231F20"/>
          <w:w w:val="110"/>
        </w:rPr>
        <w:t>Este proceso</w:t>
      </w:r>
      <w:r>
        <w:rPr>
          <w:color w:val="231F20"/>
          <w:spacing w:val="-17"/>
          <w:w w:val="110"/>
        </w:rPr>
        <w:t> </w:t>
      </w:r>
      <w:r>
        <w:rPr>
          <w:color w:val="231F20"/>
          <w:w w:val="110"/>
        </w:rPr>
        <w:t>de</w:t>
      </w:r>
      <w:r>
        <w:rPr>
          <w:color w:val="231F20"/>
          <w:spacing w:val="-17"/>
          <w:w w:val="110"/>
        </w:rPr>
        <w:t> </w:t>
      </w:r>
      <w:r>
        <w:rPr>
          <w:color w:val="231F20"/>
          <w:w w:val="110"/>
        </w:rPr>
        <w:t>articulación</w:t>
      </w:r>
      <w:r>
        <w:rPr>
          <w:color w:val="231F20"/>
          <w:spacing w:val="-17"/>
          <w:w w:val="110"/>
        </w:rPr>
        <w:t> </w:t>
      </w:r>
      <w:r>
        <w:rPr>
          <w:color w:val="231F20"/>
          <w:w w:val="110"/>
        </w:rPr>
        <w:t>local-global</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da</w:t>
      </w:r>
      <w:r>
        <w:rPr>
          <w:color w:val="231F20"/>
          <w:spacing w:val="-17"/>
          <w:w w:val="110"/>
        </w:rPr>
        <w:t> </w:t>
      </w:r>
      <w:r>
        <w:rPr>
          <w:color w:val="231F20"/>
          <w:w w:val="110"/>
        </w:rPr>
        <w:t>a</w:t>
      </w:r>
      <w:r>
        <w:rPr>
          <w:color w:val="231F20"/>
          <w:spacing w:val="-17"/>
          <w:w w:val="110"/>
        </w:rPr>
        <w:t> </w:t>
      </w:r>
      <w:r>
        <w:rPr>
          <w:color w:val="231F20"/>
          <w:w w:val="110"/>
        </w:rPr>
        <w:t>través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migración internacional, no es sólo de categorías analíticas pura y</w:t>
      </w:r>
      <w:r>
        <w:rPr>
          <w:color w:val="231F20"/>
          <w:spacing w:val="-24"/>
          <w:w w:val="110"/>
        </w:rPr>
        <w:t> </w:t>
      </w:r>
      <w:r>
        <w:rPr>
          <w:color w:val="231F20"/>
          <w:w w:val="110"/>
        </w:rPr>
        <w:t>simplemente (trabajo, migración, comunidades</w:t>
      </w:r>
      <w:r>
        <w:rPr>
          <w:color w:val="231F20"/>
          <w:spacing w:val="30"/>
          <w:w w:val="110"/>
        </w:rPr>
        <w:t> </w:t>
      </w:r>
      <w:r>
        <w:rPr>
          <w:color w:val="231F20"/>
          <w:w w:val="110"/>
        </w:rPr>
        <w:t>transnacionales,</w:t>
      </w:r>
      <w:r>
        <w:rPr>
          <w:color w:val="231F20"/>
          <w:spacing w:val="10"/>
          <w:w w:val="110"/>
        </w:rPr>
        <w:t> </w:t>
      </w:r>
      <w:r>
        <w:rPr>
          <w:color w:val="231F20"/>
          <w:w w:val="110"/>
        </w:rPr>
        <w:t>individuación,</w:t>
      </w:r>
      <w:r>
        <w:rPr>
          <w:color w:val="231F20"/>
          <w:spacing w:val="2"/>
          <w:w w:val="108"/>
        </w:rPr>
        <w:t> </w:t>
      </w:r>
      <w:r>
        <w:rPr>
          <w:color w:val="231F20"/>
          <w:w w:val="110"/>
        </w:rPr>
        <w:t>mercado de trabajo, reproducción, globalización, entre otras), sino también, y fundamentalmente, es la articulación y contraposición de sujetos</w:t>
      </w:r>
      <w:r>
        <w:rPr>
          <w:color w:val="231F20"/>
          <w:spacing w:val="-20"/>
          <w:w w:val="110"/>
        </w:rPr>
        <w:t> </w:t>
      </w:r>
      <w:r>
        <w:rPr>
          <w:color w:val="231F20"/>
          <w:w w:val="110"/>
        </w:rPr>
        <w:t>sociales,</w:t>
      </w:r>
      <w:r>
        <w:rPr>
          <w:color w:val="231F20"/>
          <w:spacing w:val="-20"/>
          <w:w w:val="110"/>
        </w:rPr>
        <w:t> </w:t>
      </w:r>
      <w:r>
        <w:rPr>
          <w:color w:val="231F20"/>
          <w:w w:val="110"/>
        </w:rPr>
        <w:t>esto</w:t>
      </w:r>
      <w:r>
        <w:rPr>
          <w:color w:val="231F20"/>
          <w:spacing w:val="-20"/>
          <w:w w:val="110"/>
        </w:rPr>
        <w:t> </w:t>
      </w:r>
      <w:r>
        <w:rPr>
          <w:color w:val="231F20"/>
          <w:w w:val="110"/>
        </w:rPr>
        <w:t>es,</w:t>
      </w:r>
      <w:r>
        <w:rPr>
          <w:color w:val="231F20"/>
          <w:spacing w:val="-20"/>
          <w:w w:val="110"/>
        </w:rPr>
        <w:t> </w:t>
      </w:r>
      <w:r>
        <w:rPr>
          <w:color w:val="231F20"/>
          <w:w w:val="110"/>
        </w:rPr>
        <w:t>de</w:t>
      </w:r>
      <w:r>
        <w:rPr>
          <w:color w:val="231F20"/>
          <w:spacing w:val="-20"/>
          <w:w w:val="110"/>
        </w:rPr>
        <w:t> </w:t>
      </w:r>
      <w:r>
        <w:rPr>
          <w:color w:val="231F20"/>
          <w:w w:val="110"/>
        </w:rPr>
        <w:t>clases,</w:t>
      </w:r>
      <w:r>
        <w:rPr>
          <w:color w:val="231F20"/>
          <w:spacing w:val="-20"/>
          <w:w w:val="110"/>
        </w:rPr>
        <w:t> </w:t>
      </w:r>
      <w:r>
        <w:rPr>
          <w:color w:val="231F20"/>
          <w:w w:val="110"/>
        </w:rPr>
        <w:t>estratos</w:t>
      </w:r>
      <w:r>
        <w:rPr>
          <w:color w:val="231F20"/>
          <w:spacing w:val="-20"/>
          <w:w w:val="110"/>
        </w:rPr>
        <w:t> </w:t>
      </w:r>
      <w:r>
        <w:rPr>
          <w:color w:val="231F20"/>
          <w:w w:val="110"/>
        </w:rPr>
        <w:t>y</w:t>
      </w:r>
      <w:r>
        <w:rPr>
          <w:color w:val="231F20"/>
          <w:spacing w:val="-20"/>
          <w:w w:val="110"/>
        </w:rPr>
        <w:t> </w:t>
      </w:r>
      <w:r>
        <w:rPr>
          <w:color w:val="231F20"/>
          <w:w w:val="110"/>
        </w:rPr>
        <w:t>grupos</w:t>
      </w:r>
      <w:r>
        <w:rPr>
          <w:color w:val="231F20"/>
          <w:spacing w:val="-20"/>
          <w:w w:val="110"/>
        </w:rPr>
        <w:t> </w:t>
      </w:r>
      <w:r>
        <w:rPr>
          <w:color w:val="231F20"/>
          <w:w w:val="110"/>
        </w:rPr>
        <w:t>sociales,</w:t>
      </w:r>
      <w:r>
        <w:rPr>
          <w:color w:val="231F20"/>
          <w:spacing w:val="-20"/>
          <w:w w:val="110"/>
        </w:rPr>
        <w:t> </w:t>
      </w:r>
      <w:r>
        <w:rPr>
          <w:color w:val="231F20"/>
          <w:w w:val="110"/>
        </w:rPr>
        <w:t>así</w:t>
      </w:r>
      <w:r>
        <w:rPr>
          <w:color w:val="231F20"/>
          <w:spacing w:val="-20"/>
          <w:w w:val="110"/>
        </w:rPr>
        <w:t> </w:t>
      </w:r>
      <w:r>
        <w:rPr>
          <w:color w:val="231F20"/>
          <w:w w:val="110"/>
        </w:rPr>
        <w:t>como de sus posiciones desiguales en una estructura</w:t>
      </w:r>
      <w:r>
        <w:rPr>
          <w:color w:val="231F20"/>
          <w:spacing w:val="15"/>
          <w:w w:val="110"/>
        </w:rPr>
        <w:t> </w:t>
      </w:r>
      <w:r>
        <w:rPr>
          <w:color w:val="231F20"/>
          <w:w w:val="110"/>
        </w:rPr>
        <w:t>social.</w:t>
      </w:r>
    </w:p>
    <w:p>
      <w:pPr>
        <w:pStyle w:val="BodyText"/>
        <w:spacing w:line="261" w:lineRule="auto"/>
        <w:ind w:left="100" w:right="119" w:firstLine="240"/>
        <w:jc w:val="both"/>
      </w:pPr>
      <w:r>
        <w:rPr>
          <w:color w:val="231F20"/>
          <w:w w:val="105"/>
        </w:rPr>
        <w:t>En tal sentido, nuestra tesis es que en esta era de globalización,       la migración internacional constituye un componente de</w:t>
      </w:r>
      <w:r>
        <w:rPr>
          <w:color w:val="231F20"/>
          <w:spacing w:val="33"/>
          <w:w w:val="105"/>
        </w:rPr>
        <w:t> </w:t>
      </w:r>
      <w:r>
        <w:rPr>
          <w:color w:val="231F20"/>
          <w:w w:val="105"/>
        </w:rPr>
        <w:t>la</w:t>
      </w:r>
      <w:r>
        <w:rPr>
          <w:color w:val="231F20"/>
          <w:spacing w:val="12"/>
          <w:w w:val="105"/>
        </w:rPr>
        <w:t> </w:t>
      </w:r>
      <w:r>
        <w:rPr>
          <w:color w:val="231F20"/>
          <w:w w:val="105"/>
        </w:rPr>
        <w:t>repro-</w:t>
      </w:r>
      <w:r>
        <w:rPr>
          <w:color w:val="231F20"/>
          <w:w w:val="72"/>
        </w:rPr>
        <w:t> </w:t>
      </w:r>
      <w:r>
        <w:rPr>
          <w:color w:val="231F20"/>
          <w:w w:val="105"/>
        </w:rPr>
        <w:t>ducción del sistema mundo. En particular, a través de la migración     se produce y reproduce una estructura de </w:t>
      </w:r>
      <w:r>
        <w:rPr>
          <w:i/>
          <w:color w:val="231F20"/>
          <w:w w:val="105"/>
        </w:rPr>
        <w:t>desigualdad social</w:t>
      </w:r>
      <w:r>
        <w:rPr>
          <w:color w:val="231F20"/>
          <w:w w:val="105"/>
        </w:rPr>
        <w:t>,</w:t>
      </w:r>
      <w:r>
        <w:rPr>
          <w:color w:val="231F20"/>
          <w:spacing w:val="36"/>
          <w:w w:val="105"/>
        </w:rPr>
        <w:t> </w:t>
      </w:r>
      <w:r>
        <w:rPr>
          <w:color w:val="231F20"/>
          <w:w w:val="105"/>
        </w:rPr>
        <w:t>la</w:t>
      </w:r>
      <w:r>
        <w:rPr>
          <w:color w:val="231F20"/>
          <w:spacing w:val="21"/>
          <w:w w:val="105"/>
        </w:rPr>
        <w:t> </w:t>
      </w:r>
      <w:r>
        <w:rPr>
          <w:color w:val="231F20"/>
          <w:w w:val="105"/>
        </w:rPr>
        <w:t>cual,</w:t>
      </w:r>
      <w:r>
        <w:rPr>
          <w:color w:val="231F20"/>
          <w:w w:val="107"/>
        </w:rPr>
        <w:t> </w:t>
      </w:r>
      <w:r>
        <w:rPr>
          <w:color w:val="231F20"/>
          <w:w w:val="105"/>
        </w:rPr>
        <w:t>en este caso, adopta además una forma </w:t>
      </w:r>
      <w:r>
        <w:rPr>
          <w:i/>
          <w:color w:val="231F20"/>
          <w:w w:val="105"/>
        </w:rPr>
        <w:t>transnacional</w:t>
      </w:r>
      <w:r>
        <w:rPr>
          <w:color w:val="231F20"/>
          <w:w w:val="105"/>
        </w:rPr>
        <w:t>. Pero no nos llevemos a engaños, en esta perspectiva, lo transnacional no es sólo     la migración en sí, sino todo el sistema de reproducción de la des- igualdad</w:t>
      </w:r>
      <w:r>
        <w:rPr>
          <w:color w:val="231F20"/>
          <w:spacing w:val="31"/>
          <w:w w:val="105"/>
        </w:rPr>
        <w:t> </w:t>
      </w:r>
      <w:r>
        <w:rPr>
          <w:color w:val="231F20"/>
          <w:w w:val="105"/>
        </w:rPr>
        <w:t>social</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cual</w:t>
      </w:r>
      <w:r>
        <w:rPr>
          <w:color w:val="231F20"/>
          <w:spacing w:val="31"/>
          <w:w w:val="105"/>
        </w:rPr>
        <w:t> </w:t>
      </w:r>
      <w:r>
        <w:rPr>
          <w:color w:val="231F20"/>
          <w:w w:val="105"/>
        </w:rPr>
        <w:t>esa</w:t>
      </w:r>
      <w:r>
        <w:rPr>
          <w:color w:val="231F20"/>
          <w:spacing w:val="31"/>
          <w:w w:val="105"/>
        </w:rPr>
        <w:t> </w:t>
      </w:r>
      <w:r>
        <w:rPr>
          <w:color w:val="231F20"/>
          <w:w w:val="105"/>
        </w:rPr>
        <w:t>migración</w:t>
      </w:r>
      <w:r>
        <w:rPr>
          <w:color w:val="231F20"/>
          <w:spacing w:val="31"/>
          <w:w w:val="105"/>
        </w:rPr>
        <w:t> </w:t>
      </w:r>
      <w:r>
        <w:rPr>
          <w:color w:val="231F20"/>
          <w:w w:val="105"/>
        </w:rPr>
        <w:t>forma</w:t>
      </w:r>
      <w:r>
        <w:rPr>
          <w:color w:val="231F20"/>
          <w:spacing w:val="31"/>
          <w:w w:val="105"/>
        </w:rPr>
        <w:t> </w:t>
      </w:r>
      <w:r>
        <w:rPr>
          <w:color w:val="231F20"/>
          <w:w w:val="105"/>
        </w:rPr>
        <w:t>parte.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Ahora</w:t>
      </w:r>
      <w:r>
        <w:rPr>
          <w:color w:val="231F20"/>
          <w:spacing w:val="-4"/>
          <w:w w:val="110"/>
        </w:rPr>
        <w:t> </w:t>
      </w:r>
      <w:r>
        <w:rPr>
          <w:color w:val="231F20"/>
          <w:w w:val="110"/>
        </w:rPr>
        <w:t>bien,</w:t>
      </w:r>
      <w:r>
        <w:rPr>
          <w:color w:val="231F20"/>
          <w:spacing w:val="-4"/>
          <w:w w:val="110"/>
        </w:rPr>
        <w:t> </w:t>
      </w:r>
      <w:r>
        <w:rPr>
          <w:color w:val="231F20"/>
          <w:w w:val="110"/>
        </w:rPr>
        <w:t>como</w:t>
      </w:r>
      <w:r>
        <w:rPr>
          <w:color w:val="231F20"/>
          <w:spacing w:val="-4"/>
          <w:w w:val="110"/>
        </w:rPr>
        <w:t> </w:t>
      </w:r>
      <w:r>
        <w:rPr>
          <w:color w:val="231F20"/>
          <w:w w:val="110"/>
        </w:rPr>
        <w:t>se</w:t>
      </w:r>
      <w:r>
        <w:rPr>
          <w:color w:val="231F20"/>
          <w:spacing w:val="-4"/>
          <w:w w:val="110"/>
        </w:rPr>
        <w:t> </w:t>
      </w:r>
      <w:r>
        <w:rPr>
          <w:color w:val="231F20"/>
          <w:w w:val="110"/>
        </w:rPr>
        <w:t>señala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diagrama,</w:t>
      </w:r>
      <w:r>
        <w:rPr>
          <w:color w:val="231F20"/>
          <w:spacing w:val="-4"/>
          <w:w w:val="110"/>
        </w:rPr>
        <w:t> </w:t>
      </w:r>
      <w:r>
        <w:rPr>
          <w:color w:val="231F20"/>
          <w:w w:val="110"/>
        </w:rPr>
        <w:t>es</w:t>
      </w:r>
      <w:r>
        <w:rPr>
          <w:color w:val="231F20"/>
          <w:spacing w:val="-4"/>
          <w:w w:val="110"/>
        </w:rPr>
        <w:t> </w:t>
      </w:r>
      <w:r>
        <w:rPr>
          <w:color w:val="231F20"/>
          <w:w w:val="110"/>
        </w:rPr>
        <w:t>precisamente</w:t>
      </w:r>
      <w:r>
        <w:rPr>
          <w:color w:val="231F20"/>
          <w:spacing w:val="-4"/>
          <w:w w:val="110"/>
        </w:rPr>
        <w:t> </w:t>
      </w:r>
      <w:r>
        <w:rPr>
          <w:color w:val="231F20"/>
          <w:w w:val="110"/>
        </w:rPr>
        <w:t>la</w:t>
      </w:r>
      <w:r>
        <w:rPr>
          <w:color w:val="231F20"/>
          <w:spacing w:val="-4"/>
          <w:w w:val="110"/>
        </w:rPr>
        <w:t> </w:t>
      </w:r>
      <w:r>
        <w:rPr>
          <w:color w:val="231F20"/>
          <w:w w:val="110"/>
        </w:rPr>
        <w:t>in- serción laboral de los y las migrantes lo que nos permite ilustrar</w:t>
      </w:r>
      <w:r>
        <w:rPr>
          <w:color w:val="231F20"/>
          <w:spacing w:val="-28"/>
          <w:w w:val="110"/>
        </w:rPr>
        <w:t> </w:t>
      </w:r>
      <w:r>
        <w:rPr>
          <w:color w:val="231F20"/>
          <w:w w:val="110"/>
        </w:rPr>
        <w:t>este marco de entendimiento de la migración y la reproducción </w:t>
      </w:r>
      <w:r>
        <w:rPr>
          <w:color w:val="231F20"/>
          <w:spacing w:val="51"/>
          <w:w w:val="110"/>
        </w:rPr>
        <w:t> </w:t>
      </w:r>
      <w:r>
        <w:rPr>
          <w:color w:val="231F20"/>
          <w:w w:val="110"/>
        </w:rPr>
        <w:t>social.</w:t>
      </w:r>
    </w:p>
    <w:p>
      <w:pPr>
        <w:pStyle w:val="BodyText"/>
      </w:pPr>
    </w:p>
    <w:p>
      <w:pPr>
        <w:pStyle w:val="BodyText"/>
      </w:pPr>
    </w:p>
    <w:p>
      <w:pPr>
        <w:pStyle w:val="BodyText"/>
        <w:spacing w:before="2"/>
        <w:rPr>
          <w:sz w:val="25"/>
        </w:rPr>
      </w:pPr>
    </w:p>
    <w:p>
      <w:pPr>
        <w:pStyle w:val="BodyText"/>
        <w:ind w:left="100"/>
        <w:jc w:val="both"/>
      </w:pPr>
      <w:r>
        <w:rPr>
          <w:color w:val="231F20"/>
          <w:w w:val="125"/>
        </w:rPr>
        <w:t>la migración latinoamericana</w:t>
      </w:r>
    </w:p>
    <w:p>
      <w:pPr>
        <w:pStyle w:val="BodyText"/>
        <w:spacing w:before="20"/>
        <w:ind w:left="100"/>
        <w:jc w:val="both"/>
      </w:pPr>
      <w:r>
        <w:rPr>
          <w:color w:val="231F20"/>
          <w:w w:val="125"/>
        </w:rPr>
        <w:t>y los trabajos de la reproducción en estados</w:t>
      </w:r>
      <w:r>
        <w:rPr>
          <w:color w:val="231F20"/>
          <w:spacing w:val="51"/>
          <w:w w:val="125"/>
        </w:rPr>
        <w:t> </w:t>
      </w:r>
      <w:r>
        <w:rPr>
          <w:color w:val="231F20"/>
          <w:w w:val="125"/>
        </w:rPr>
        <w:t>unidos</w:t>
      </w:r>
    </w:p>
    <w:p>
      <w:pPr>
        <w:pStyle w:val="BodyText"/>
        <w:spacing w:before="5"/>
        <w:rPr>
          <w:sz w:val="23"/>
        </w:rPr>
      </w:pPr>
    </w:p>
    <w:p>
      <w:pPr>
        <w:pStyle w:val="BodyText"/>
        <w:spacing w:line="261" w:lineRule="auto"/>
        <w:ind w:left="100" w:right="117"/>
        <w:jc w:val="both"/>
      </w:pPr>
      <w:r>
        <w:rPr>
          <w:color w:val="231F20"/>
          <w:w w:val="110"/>
        </w:rPr>
        <w:t>Para analizar y medir el papel de la inmigración en la reproducción social de la población en la sociedad de destino, hemos reclasifica- do la estructura de ocupaciones con base en las siguientes grandes categorías de análisis:</w:t>
      </w:r>
    </w:p>
    <w:p>
      <w:pPr>
        <w:pStyle w:val="BodyText"/>
        <w:spacing w:line="261" w:lineRule="auto"/>
        <w:ind w:left="100" w:right="115" w:firstLine="240"/>
        <w:jc w:val="both"/>
      </w:pPr>
      <w:r>
        <w:rPr>
          <w:i/>
          <w:color w:val="231F20"/>
          <w:w w:val="105"/>
        </w:rPr>
        <w:t>Actividades de dirección</w:t>
      </w:r>
      <w:r>
        <w:rPr>
          <w:color w:val="231F20"/>
          <w:w w:val="105"/>
        </w:rPr>
        <w:t>, que incluye gerentes, ejecutivos, </w:t>
      </w:r>
      <w:r>
        <w:rPr>
          <w:color w:val="231F20"/>
          <w:spacing w:val="2"/>
          <w:w w:val="105"/>
        </w:rPr>
        <w:t>servicios </w:t>
      </w:r>
      <w:r>
        <w:rPr>
          <w:color w:val="231F20"/>
          <w:spacing w:val="4"/>
          <w:w w:val="105"/>
        </w:rPr>
        <w:t>profesionales, </w:t>
      </w:r>
      <w:r>
        <w:rPr>
          <w:color w:val="231F20"/>
          <w:w w:val="105"/>
        </w:rPr>
        <w:t>y </w:t>
      </w:r>
      <w:r>
        <w:rPr>
          <w:color w:val="231F20"/>
          <w:spacing w:val="3"/>
          <w:w w:val="105"/>
        </w:rPr>
        <w:t>otras actividades </w:t>
      </w:r>
      <w:r>
        <w:rPr>
          <w:color w:val="231F20"/>
          <w:w w:val="105"/>
        </w:rPr>
        <w:t>de </w:t>
      </w:r>
      <w:r>
        <w:rPr>
          <w:color w:val="231F20"/>
          <w:spacing w:val="3"/>
          <w:w w:val="105"/>
        </w:rPr>
        <w:t>alto nivel, que </w:t>
      </w:r>
      <w:r>
        <w:rPr>
          <w:color w:val="231F20"/>
          <w:w w:val="105"/>
        </w:rPr>
        <w:t>se </w:t>
      </w:r>
      <w:r>
        <w:rPr>
          <w:color w:val="231F20"/>
          <w:spacing w:val="3"/>
          <w:w w:val="105"/>
        </w:rPr>
        <w:t>dedican </w:t>
      </w:r>
      <w:r>
        <w:rPr>
          <w:color w:val="231F20"/>
          <w:w w:val="105"/>
        </w:rPr>
        <w:t>principalmente a la dirección, planificación y control de las activi- dades que desarrollan los trabajadores,  así  como  de  la  gestión  de  las </w:t>
      </w:r>
      <w:r>
        <w:rPr>
          <w:color w:val="231F20"/>
          <w:spacing w:val="2"/>
          <w:w w:val="105"/>
        </w:rPr>
        <w:t> </w:t>
      </w:r>
      <w:r>
        <w:rPr>
          <w:color w:val="231F20"/>
          <w:w w:val="105"/>
        </w:rPr>
        <w:t>empresas.</w:t>
      </w:r>
    </w:p>
    <w:p>
      <w:pPr>
        <w:spacing w:line="261" w:lineRule="auto" w:before="0"/>
        <w:ind w:left="100" w:right="117" w:firstLine="240"/>
        <w:jc w:val="both"/>
        <w:rPr>
          <w:sz w:val="20"/>
        </w:rPr>
      </w:pPr>
      <w:r>
        <w:rPr>
          <w:i/>
          <w:color w:val="231F20"/>
          <w:w w:val="105"/>
          <w:sz w:val="20"/>
        </w:rPr>
        <w:t>Actividades</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administración</w:t>
      </w:r>
      <w:r>
        <w:rPr>
          <w:i/>
          <w:color w:val="231F20"/>
          <w:spacing w:val="-9"/>
          <w:w w:val="105"/>
          <w:sz w:val="20"/>
        </w:rPr>
        <w:t> </w:t>
      </w:r>
      <w:r>
        <w:rPr>
          <w:i/>
          <w:color w:val="231F20"/>
          <w:w w:val="105"/>
          <w:sz w:val="20"/>
        </w:rPr>
        <w:t>y</w:t>
      </w:r>
      <w:r>
        <w:rPr>
          <w:i/>
          <w:color w:val="231F20"/>
          <w:spacing w:val="-9"/>
          <w:w w:val="105"/>
          <w:sz w:val="20"/>
        </w:rPr>
        <w:t> </w:t>
      </w:r>
      <w:r>
        <w:rPr>
          <w:i/>
          <w:color w:val="231F20"/>
          <w:w w:val="105"/>
          <w:sz w:val="20"/>
        </w:rPr>
        <w:t>distribución</w:t>
      </w:r>
      <w:r>
        <w:rPr>
          <w:color w:val="231F20"/>
          <w:w w:val="105"/>
          <w:sz w:val="20"/>
        </w:rPr>
        <w:t>.</w:t>
      </w:r>
      <w:r>
        <w:rPr>
          <w:color w:val="231F20"/>
          <w:spacing w:val="-9"/>
          <w:w w:val="105"/>
          <w:sz w:val="20"/>
        </w:rPr>
        <w:t> </w:t>
      </w:r>
      <w:r>
        <w:rPr>
          <w:color w:val="231F20"/>
          <w:w w:val="105"/>
          <w:sz w:val="20"/>
        </w:rPr>
        <w:t>Se</w:t>
      </w:r>
      <w:r>
        <w:rPr>
          <w:color w:val="231F20"/>
          <w:spacing w:val="-9"/>
          <w:w w:val="105"/>
          <w:sz w:val="20"/>
        </w:rPr>
        <w:t> </w:t>
      </w:r>
      <w:r>
        <w:rPr>
          <w:color w:val="231F20"/>
          <w:w w:val="105"/>
          <w:sz w:val="20"/>
        </w:rPr>
        <w:t>refiere</w:t>
      </w:r>
      <w:r>
        <w:rPr>
          <w:color w:val="231F20"/>
          <w:spacing w:val="-9"/>
          <w:w w:val="105"/>
          <w:sz w:val="20"/>
        </w:rPr>
        <w:t> </w:t>
      </w:r>
      <w:r>
        <w:rPr>
          <w:color w:val="231F20"/>
          <w:w w:val="105"/>
          <w:sz w:val="20"/>
        </w:rPr>
        <w:t>a</w:t>
      </w:r>
      <w:r>
        <w:rPr>
          <w:color w:val="231F20"/>
          <w:spacing w:val="-9"/>
          <w:w w:val="105"/>
          <w:sz w:val="20"/>
        </w:rPr>
        <w:t> </w:t>
      </w:r>
      <w:r>
        <w:rPr>
          <w:color w:val="231F20"/>
          <w:w w:val="105"/>
          <w:sz w:val="20"/>
        </w:rPr>
        <w:t>actividades de apoyo a la dirección, y a la distribución de los bienes y servicios producidos.</w:t>
      </w:r>
    </w:p>
    <w:p>
      <w:pPr>
        <w:spacing w:line="261" w:lineRule="auto" w:before="0"/>
        <w:ind w:left="100" w:right="119" w:firstLine="240"/>
        <w:jc w:val="both"/>
        <w:rPr>
          <w:sz w:val="20"/>
        </w:rPr>
      </w:pPr>
      <w:r>
        <w:rPr>
          <w:i/>
          <w:color w:val="231F20"/>
          <w:w w:val="105"/>
          <w:sz w:val="20"/>
        </w:rPr>
        <w:t>Actividades de producción</w:t>
      </w:r>
      <w:r>
        <w:rPr>
          <w:color w:val="231F20"/>
          <w:w w:val="105"/>
          <w:sz w:val="20"/>
        </w:rPr>
        <w:t>. Corresponde a aquellos trabajos de pro- cesamiento  y  transformación  propiamente  tales.</w:t>
      </w:r>
    </w:p>
    <w:p>
      <w:pPr>
        <w:pStyle w:val="BodyText"/>
        <w:spacing w:line="261" w:lineRule="auto"/>
        <w:ind w:left="100" w:right="119" w:firstLine="240"/>
        <w:jc w:val="both"/>
      </w:pPr>
      <w:r>
        <w:rPr>
          <w:i/>
          <w:color w:val="231F20"/>
          <w:w w:val="110"/>
        </w:rPr>
        <w:t>Construcción</w:t>
      </w:r>
      <w:r>
        <w:rPr>
          <w:color w:val="231F20"/>
          <w:w w:val="110"/>
        </w:rPr>
        <w:t>.</w:t>
      </w:r>
      <w:r>
        <w:rPr>
          <w:color w:val="231F20"/>
          <w:spacing w:val="-28"/>
          <w:w w:val="110"/>
        </w:rPr>
        <w:t> </w:t>
      </w:r>
      <w:r>
        <w:rPr>
          <w:color w:val="231F20"/>
          <w:w w:val="110"/>
        </w:rPr>
        <w:t>Aunque</w:t>
      </w:r>
      <w:r>
        <w:rPr>
          <w:color w:val="231F20"/>
          <w:spacing w:val="-28"/>
          <w:w w:val="110"/>
        </w:rPr>
        <w:t> </w:t>
      </w:r>
      <w:r>
        <w:rPr>
          <w:color w:val="231F20"/>
          <w:w w:val="110"/>
        </w:rPr>
        <w:t>suele</w:t>
      </w:r>
      <w:r>
        <w:rPr>
          <w:color w:val="231F20"/>
          <w:spacing w:val="-28"/>
          <w:w w:val="110"/>
        </w:rPr>
        <w:t> </w:t>
      </w:r>
      <w:r>
        <w:rPr>
          <w:color w:val="231F20"/>
          <w:w w:val="110"/>
        </w:rPr>
        <w:t>incluirse</w:t>
      </w:r>
      <w:r>
        <w:rPr>
          <w:color w:val="231F20"/>
          <w:spacing w:val="-28"/>
          <w:w w:val="110"/>
        </w:rPr>
        <w:t> </w:t>
      </w:r>
      <w:r>
        <w:rPr>
          <w:color w:val="231F20"/>
          <w:w w:val="110"/>
        </w:rPr>
        <w:t>como</w:t>
      </w:r>
      <w:r>
        <w:rPr>
          <w:color w:val="231F20"/>
          <w:spacing w:val="-28"/>
          <w:w w:val="110"/>
        </w:rPr>
        <w:t> </w:t>
      </w:r>
      <w:r>
        <w:rPr>
          <w:color w:val="231F20"/>
          <w:w w:val="110"/>
        </w:rPr>
        <w:t>una</w:t>
      </w:r>
      <w:r>
        <w:rPr>
          <w:color w:val="231F20"/>
          <w:spacing w:val="-28"/>
          <w:w w:val="110"/>
        </w:rPr>
        <w:t> </w:t>
      </w:r>
      <w:r>
        <w:rPr>
          <w:color w:val="231F20"/>
          <w:w w:val="110"/>
        </w:rPr>
        <w:t>actividad</w:t>
      </w:r>
      <w:r>
        <w:rPr>
          <w:color w:val="231F20"/>
          <w:spacing w:val="-28"/>
          <w:w w:val="110"/>
        </w:rPr>
        <w:t> </w:t>
      </w:r>
      <w:r>
        <w:rPr>
          <w:color w:val="231F20"/>
          <w:w w:val="110"/>
        </w:rPr>
        <w:t>producti-</w:t>
      </w:r>
      <w:r>
        <w:rPr>
          <w:color w:val="231F20"/>
          <w:w w:val="72"/>
        </w:rPr>
        <w:t> </w:t>
      </w:r>
      <w:r>
        <w:rPr>
          <w:color w:val="231F20"/>
          <w:w w:val="110"/>
        </w:rPr>
        <w:t>va, la diferenciamos de ellas, debido a que en estas actividades se</w:t>
      </w:r>
      <w:r>
        <w:rPr>
          <w:color w:val="231F20"/>
          <w:spacing w:val="-30"/>
          <w:w w:val="110"/>
        </w:rPr>
        <w:t> </w:t>
      </w:r>
      <w:r>
        <w:rPr>
          <w:color w:val="231F20"/>
          <w:w w:val="110"/>
        </w:rPr>
        <w:t>da una alta concentración de mano de obra  </w:t>
      </w:r>
      <w:r>
        <w:rPr>
          <w:color w:val="231F20"/>
          <w:spacing w:val="40"/>
          <w:w w:val="110"/>
        </w:rPr>
        <w:t> </w:t>
      </w:r>
      <w:r>
        <w:rPr>
          <w:color w:val="231F20"/>
          <w:w w:val="110"/>
        </w:rPr>
        <w:t>inmigrante.</w:t>
      </w:r>
    </w:p>
    <w:p>
      <w:pPr>
        <w:pStyle w:val="BodyText"/>
        <w:spacing w:line="261" w:lineRule="auto"/>
        <w:ind w:left="100" w:right="115" w:firstLine="240"/>
        <w:jc w:val="both"/>
      </w:pPr>
      <w:r>
        <w:rPr>
          <w:i/>
          <w:color w:val="231F20"/>
          <w:w w:val="105"/>
        </w:rPr>
        <w:t>Actividades</w:t>
      </w:r>
      <w:r>
        <w:rPr>
          <w:i/>
          <w:color w:val="231F20"/>
          <w:spacing w:val="-28"/>
          <w:w w:val="105"/>
        </w:rPr>
        <w:t> </w:t>
      </w:r>
      <w:r>
        <w:rPr>
          <w:i/>
          <w:color w:val="231F20"/>
          <w:w w:val="105"/>
        </w:rPr>
        <w:t>de</w:t>
      </w:r>
      <w:r>
        <w:rPr>
          <w:i/>
          <w:color w:val="231F20"/>
          <w:spacing w:val="-28"/>
          <w:w w:val="105"/>
        </w:rPr>
        <w:t> </w:t>
      </w:r>
      <w:r>
        <w:rPr>
          <w:i/>
          <w:color w:val="231F20"/>
          <w:w w:val="105"/>
        </w:rPr>
        <w:t>reproducción</w:t>
      </w:r>
      <w:r>
        <w:rPr>
          <w:i/>
          <w:color w:val="231F20"/>
          <w:spacing w:val="-28"/>
          <w:w w:val="105"/>
        </w:rPr>
        <w:t> </w:t>
      </w:r>
      <w:r>
        <w:rPr>
          <w:i/>
          <w:color w:val="231F20"/>
          <w:w w:val="105"/>
        </w:rPr>
        <w:t>social</w:t>
      </w:r>
      <w:r>
        <w:rPr>
          <w:color w:val="231F20"/>
          <w:w w:val="105"/>
        </w:rPr>
        <w:t>.</w:t>
      </w:r>
      <w:r>
        <w:rPr>
          <w:color w:val="231F20"/>
          <w:spacing w:val="-28"/>
          <w:w w:val="105"/>
        </w:rPr>
        <w:t> </w:t>
      </w:r>
      <w:r>
        <w:rPr>
          <w:color w:val="231F20"/>
          <w:w w:val="105"/>
        </w:rPr>
        <w:t>Corresponde</w:t>
      </w:r>
      <w:r>
        <w:rPr>
          <w:color w:val="231F20"/>
          <w:spacing w:val="-28"/>
          <w:w w:val="105"/>
        </w:rPr>
        <w:t> </w:t>
      </w:r>
      <w:r>
        <w:rPr>
          <w:color w:val="231F20"/>
          <w:w w:val="105"/>
        </w:rPr>
        <w:t>a</w:t>
      </w:r>
      <w:r>
        <w:rPr>
          <w:color w:val="231F20"/>
          <w:spacing w:val="-28"/>
          <w:w w:val="105"/>
        </w:rPr>
        <w:t> </w:t>
      </w:r>
      <w:r>
        <w:rPr>
          <w:color w:val="231F20"/>
          <w:w w:val="105"/>
        </w:rPr>
        <w:t>trabajos</w:t>
      </w:r>
      <w:r>
        <w:rPr>
          <w:color w:val="231F20"/>
          <w:spacing w:val="-28"/>
          <w:w w:val="105"/>
        </w:rPr>
        <w:t> </w:t>
      </w:r>
      <w:r>
        <w:rPr>
          <w:color w:val="231F20"/>
          <w:w w:val="105"/>
        </w:rPr>
        <w:t>y</w:t>
      </w:r>
      <w:r>
        <w:rPr>
          <w:color w:val="231F20"/>
          <w:spacing w:val="-28"/>
          <w:w w:val="105"/>
        </w:rPr>
        <w:t> </w:t>
      </w:r>
      <w:r>
        <w:rPr>
          <w:color w:val="231F20"/>
          <w:spacing w:val="2"/>
          <w:w w:val="105"/>
        </w:rPr>
        <w:t>servicios </w:t>
      </w:r>
      <w:r>
        <w:rPr>
          <w:color w:val="231F20"/>
          <w:w w:val="105"/>
        </w:rPr>
        <w:t>que se vinculan directamente con la reproducción de la población </w:t>
      </w:r>
      <w:r>
        <w:rPr>
          <w:color w:val="231F20"/>
          <w:spacing w:val="2"/>
          <w:w w:val="105"/>
        </w:rPr>
        <w:t>(servicio </w:t>
      </w:r>
      <w:r>
        <w:rPr>
          <w:color w:val="231F20"/>
          <w:w w:val="105"/>
        </w:rPr>
        <w:t>doméstico, cuidado de adultos mayores y niños, prepara-  ción  de  alimentos,  limpieza  y  mantenimiento,  entre  </w:t>
      </w:r>
      <w:r>
        <w:rPr>
          <w:color w:val="231F20"/>
          <w:spacing w:val="11"/>
          <w:w w:val="105"/>
        </w:rPr>
        <w:t> </w:t>
      </w:r>
      <w:r>
        <w:rPr>
          <w:color w:val="231F20"/>
          <w:w w:val="105"/>
        </w:rPr>
        <w:t>otras).</w:t>
      </w:r>
    </w:p>
    <w:p>
      <w:pPr>
        <w:pStyle w:val="BodyText"/>
        <w:spacing w:line="261" w:lineRule="auto"/>
        <w:ind w:left="100" w:right="112" w:firstLine="240"/>
        <w:jc w:val="both"/>
      </w:pPr>
      <w:r>
        <w:rPr>
          <w:color w:val="231F20"/>
          <w:spacing w:val="3"/>
          <w:w w:val="110"/>
        </w:rPr>
        <w:t>Con base </w:t>
      </w:r>
      <w:r>
        <w:rPr>
          <w:color w:val="231F20"/>
          <w:spacing w:val="2"/>
          <w:w w:val="110"/>
        </w:rPr>
        <w:t>en </w:t>
      </w:r>
      <w:r>
        <w:rPr>
          <w:color w:val="231F20"/>
          <w:spacing w:val="3"/>
          <w:w w:val="110"/>
        </w:rPr>
        <w:t>esta </w:t>
      </w:r>
      <w:r>
        <w:rPr>
          <w:color w:val="231F20"/>
          <w:spacing w:val="4"/>
          <w:w w:val="110"/>
        </w:rPr>
        <w:t>clasificación </w:t>
      </w:r>
      <w:r>
        <w:rPr>
          <w:color w:val="231F20"/>
          <w:spacing w:val="2"/>
          <w:w w:val="110"/>
        </w:rPr>
        <w:t>de </w:t>
      </w:r>
      <w:r>
        <w:rPr>
          <w:color w:val="231F20"/>
          <w:spacing w:val="3"/>
          <w:w w:val="110"/>
        </w:rPr>
        <w:t>las </w:t>
      </w:r>
      <w:r>
        <w:rPr>
          <w:color w:val="231F20"/>
          <w:spacing w:val="4"/>
          <w:w w:val="110"/>
        </w:rPr>
        <w:t>ocupaciones, </w:t>
      </w:r>
      <w:r>
        <w:rPr>
          <w:color w:val="231F20"/>
          <w:spacing w:val="5"/>
          <w:w w:val="110"/>
        </w:rPr>
        <w:t>podemos </w:t>
      </w:r>
      <w:r>
        <w:rPr>
          <w:color w:val="231F20"/>
          <w:w w:val="110"/>
        </w:rPr>
        <w:t>analizar no sólo el patrón de inserción laboral de la inmigración latinoamericana, sino además, podemos identificar y dimensionar</w:t>
      </w:r>
      <w:r>
        <w:rPr>
          <w:color w:val="231F20"/>
          <w:spacing w:val="-18"/>
          <w:w w:val="110"/>
        </w:rPr>
        <w:t> </w:t>
      </w:r>
      <w:r>
        <w:rPr>
          <w:color w:val="231F20"/>
          <w:w w:val="110"/>
        </w:rPr>
        <w:t>su contribución en los diferentes espacios y ámbitos de la vida econó- mica</w:t>
      </w:r>
      <w:r>
        <w:rPr>
          <w:color w:val="231F20"/>
          <w:spacing w:val="-8"/>
          <w:w w:val="110"/>
        </w:rPr>
        <w:t> </w:t>
      </w:r>
      <w:r>
        <w:rPr>
          <w:color w:val="231F20"/>
          <w:w w:val="110"/>
        </w:rPr>
        <w:t>y</w:t>
      </w:r>
      <w:r>
        <w:rPr>
          <w:color w:val="231F20"/>
          <w:spacing w:val="-8"/>
          <w:w w:val="110"/>
        </w:rPr>
        <w:t> </w:t>
      </w:r>
      <w:r>
        <w:rPr>
          <w:color w:val="231F20"/>
          <w:w w:val="110"/>
        </w:rPr>
        <w:t>social</w:t>
      </w:r>
      <w:r>
        <w:rPr>
          <w:color w:val="231F20"/>
          <w:spacing w:val="-8"/>
          <w:w w:val="110"/>
        </w:rPr>
        <w:t> </w:t>
      </w:r>
      <w:r>
        <w:rPr>
          <w:color w:val="231F20"/>
          <w:w w:val="110"/>
        </w:rPr>
        <w:t>en</w:t>
      </w:r>
      <w:r>
        <w:rPr>
          <w:color w:val="231F20"/>
          <w:spacing w:val="-8"/>
          <w:w w:val="110"/>
        </w:rPr>
        <w:t> </w:t>
      </w:r>
      <w:r>
        <w:rPr>
          <w:color w:val="231F20"/>
          <w:w w:val="110"/>
        </w:rPr>
        <w:t>Estados</w:t>
      </w:r>
      <w:r>
        <w:rPr>
          <w:color w:val="231F20"/>
          <w:spacing w:val="-8"/>
          <w:w w:val="110"/>
        </w:rPr>
        <w:t> </w:t>
      </w:r>
      <w:r>
        <w:rPr>
          <w:color w:val="231F20"/>
          <w:w w:val="110"/>
        </w:rPr>
        <w:t>Unidos.</w:t>
      </w:r>
    </w:p>
    <w:p>
      <w:pPr>
        <w:pStyle w:val="BodyText"/>
        <w:spacing w:line="261" w:lineRule="auto"/>
        <w:ind w:left="100" w:right="117" w:firstLine="240"/>
        <w:jc w:val="both"/>
      </w:pPr>
      <w:r>
        <w:rPr>
          <w:color w:val="231F20"/>
          <w:w w:val="110"/>
        </w:rPr>
        <w:t>Un primer dato que surge del análisis de la composición de las ocupaciones,</w:t>
      </w:r>
      <w:r>
        <w:rPr>
          <w:color w:val="231F20"/>
          <w:spacing w:val="-18"/>
          <w:w w:val="110"/>
        </w:rPr>
        <w:t> </w:t>
      </w:r>
      <w:r>
        <w:rPr>
          <w:color w:val="231F20"/>
          <w:w w:val="110"/>
        </w:rPr>
        <w:t>es</w:t>
      </w:r>
      <w:r>
        <w:rPr>
          <w:color w:val="231F20"/>
          <w:spacing w:val="-18"/>
          <w:w w:val="110"/>
        </w:rPr>
        <w:t> </w:t>
      </w:r>
      <w:r>
        <w:rPr>
          <w:color w:val="231F20"/>
          <w:w w:val="110"/>
        </w:rPr>
        <w:t>que</w:t>
      </w:r>
      <w:r>
        <w:rPr>
          <w:color w:val="231F20"/>
          <w:spacing w:val="-18"/>
          <w:w w:val="110"/>
        </w:rPr>
        <w:t> </w:t>
      </w:r>
      <w:r>
        <w:rPr>
          <w:color w:val="231F20"/>
          <w:w w:val="110"/>
        </w:rPr>
        <w:t>la</w:t>
      </w:r>
      <w:r>
        <w:rPr>
          <w:color w:val="231F20"/>
          <w:spacing w:val="-18"/>
          <w:w w:val="110"/>
        </w:rPr>
        <w:t> </w:t>
      </w:r>
      <w:r>
        <w:rPr>
          <w:color w:val="231F20"/>
          <w:w w:val="110"/>
        </w:rPr>
        <w:t>estratificación</w:t>
      </w:r>
      <w:r>
        <w:rPr>
          <w:color w:val="231F20"/>
          <w:spacing w:val="-18"/>
          <w:w w:val="110"/>
        </w:rPr>
        <w:t> </w:t>
      </w:r>
      <w:r>
        <w:rPr>
          <w:color w:val="231F20"/>
          <w:w w:val="110"/>
        </w:rPr>
        <w:t>ocupacional</w:t>
      </w:r>
      <w:r>
        <w:rPr>
          <w:color w:val="231F20"/>
          <w:spacing w:val="-18"/>
          <w:w w:val="110"/>
        </w:rPr>
        <w:t> </w:t>
      </w:r>
      <w:r>
        <w:rPr>
          <w:color w:val="231F20"/>
          <w:w w:val="110"/>
        </w:rPr>
        <w:t>en</w:t>
      </w:r>
      <w:r>
        <w:rPr>
          <w:color w:val="231F20"/>
          <w:spacing w:val="-18"/>
          <w:w w:val="110"/>
        </w:rPr>
        <w:t> </w:t>
      </w:r>
      <w:r>
        <w:rPr>
          <w:color w:val="231F20"/>
          <w:w w:val="110"/>
        </w:rPr>
        <w:t>los</w:t>
      </w:r>
      <w:r>
        <w:rPr>
          <w:color w:val="231F20"/>
          <w:spacing w:val="-18"/>
          <w:w w:val="110"/>
        </w:rPr>
        <w:t> </w:t>
      </w:r>
      <w:r>
        <w:rPr>
          <w:color w:val="231F20"/>
          <w:w w:val="110"/>
        </w:rPr>
        <w:t>Estados</w:t>
      </w:r>
      <w:r>
        <w:rPr>
          <w:color w:val="231F20"/>
          <w:spacing w:val="-18"/>
          <w:w w:val="110"/>
        </w:rPr>
        <w:t> </w:t>
      </w:r>
      <w:r>
        <w:rPr>
          <w:color w:val="231F20"/>
          <w:w w:val="110"/>
        </w:rPr>
        <w:t>Uni- dos, está directamente vinculada y correlacionada con la estructura étnica y migratoria de su</w:t>
      </w:r>
      <w:r>
        <w:rPr>
          <w:color w:val="231F20"/>
          <w:spacing w:val="28"/>
          <w:w w:val="110"/>
        </w:rPr>
        <w:t> </w:t>
      </w:r>
      <w:r>
        <w:rPr>
          <w:color w:val="231F20"/>
          <w:w w:val="110"/>
        </w:rPr>
        <w:t>población.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En efecto, en el caso de las ocupaciones de mayor nivel</w:t>
      </w:r>
      <w:r>
        <w:rPr>
          <w:color w:val="231F20"/>
          <w:spacing w:val="-37"/>
          <w:w w:val="110"/>
        </w:rPr>
        <w:t> </w:t>
      </w:r>
      <w:r>
        <w:rPr>
          <w:color w:val="231F20"/>
          <w:w w:val="110"/>
        </w:rPr>
        <w:t>socioeco- nómico (directivos, ejecutivos y profesionales), para el año 2007 habían 52.1 millones de trabajadores, cifra que representaba 36%</w:t>
      </w:r>
      <w:r>
        <w:rPr>
          <w:color w:val="231F20"/>
          <w:spacing w:val="-7"/>
          <w:w w:val="110"/>
        </w:rPr>
        <w:t> </w:t>
      </w:r>
      <w:r>
        <w:rPr>
          <w:color w:val="231F20"/>
          <w:w w:val="110"/>
        </w:rPr>
        <w:t>de la fuerza de trabajo ocupada. De ellos, 74% correspondía a trabaja- dores nativos de origen blanco no hispano. Por el contrario, en este mismo</w:t>
      </w:r>
      <w:r>
        <w:rPr>
          <w:color w:val="231F20"/>
          <w:spacing w:val="-11"/>
          <w:w w:val="110"/>
        </w:rPr>
        <w:t> </w:t>
      </w:r>
      <w:r>
        <w:rPr>
          <w:color w:val="231F20"/>
          <w:w w:val="110"/>
        </w:rPr>
        <w:t>estrato</w:t>
      </w:r>
      <w:r>
        <w:rPr>
          <w:color w:val="231F20"/>
          <w:spacing w:val="-11"/>
          <w:w w:val="110"/>
        </w:rPr>
        <w:t> </w:t>
      </w:r>
      <w:r>
        <w:rPr>
          <w:color w:val="231F20"/>
          <w:w w:val="110"/>
        </w:rPr>
        <w:t>ocupacional,</w:t>
      </w:r>
      <w:r>
        <w:rPr>
          <w:color w:val="231F20"/>
          <w:spacing w:val="-11"/>
          <w:w w:val="110"/>
        </w:rPr>
        <w:t> </w:t>
      </w:r>
      <w:r>
        <w:rPr>
          <w:color w:val="231F20"/>
          <w:w w:val="110"/>
        </w:rPr>
        <w:t>sólo</w:t>
      </w:r>
      <w:r>
        <w:rPr>
          <w:color w:val="231F20"/>
          <w:spacing w:val="-11"/>
          <w:w w:val="110"/>
        </w:rPr>
        <w:t> </w:t>
      </w:r>
      <w:r>
        <w:rPr>
          <w:color w:val="231F20"/>
          <w:w w:val="110"/>
        </w:rPr>
        <w:t>3%</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trabajadores</w:t>
      </w:r>
      <w:r>
        <w:rPr>
          <w:color w:val="231F20"/>
          <w:spacing w:val="-11"/>
          <w:w w:val="110"/>
        </w:rPr>
        <w:t> </w:t>
      </w:r>
      <w:r>
        <w:rPr>
          <w:color w:val="231F20"/>
          <w:w w:val="110"/>
        </w:rPr>
        <w:t>correspondía a inmigrantes</w:t>
      </w:r>
      <w:r>
        <w:rPr>
          <w:color w:val="231F20"/>
          <w:spacing w:val="13"/>
          <w:w w:val="110"/>
        </w:rPr>
        <w:t> </w:t>
      </w:r>
      <w:r>
        <w:rPr>
          <w:color w:val="231F20"/>
          <w:w w:val="110"/>
        </w:rPr>
        <w:t>latinoamericanos.</w:t>
      </w:r>
    </w:p>
    <w:p>
      <w:pPr>
        <w:pStyle w:val="BodyText"/>
        <w:spacing w:before="2"/>
        <w:rPr>
          <w:sz w:val="24"/>
        </w:rPr>
      </w:pPr>
    </w:p>
    <w:p>
      <w:pPr>
        <w:spacing w:line="290" w:lineRule="auto" w:before="0"/>
        <w:ind w:left="100" w:right="371" w:firstLine="0"/>
        <w:jc w:val="left"/>
        <w:rPr>
          <w:sz w:val="18"/>
        </w:rPr>
      </w:pPr>
      <w:r>
        <w:rPr/>
        <w:pict>
          <v:group style="position:absolute;margin-left:56.849998pt;margin-top:31.090963pt;width:41.55pt;height:147.5pt;mso-position-horizontal-relative:page;mso-position-vertical-relative:paragraph;z-index:7336;mso-wrap-distance-left:0;mso-wrap-distance-right:0" coordorigin="1137,622" coordsize="831,2950">
            <v:rect style="position:absolute;left:1137;top:622;width:830;height:2153" filled="true" fillcolor="#4c4d4f" stroked="false">
              <v:fill type="solid"/>
            </v:rect>
            <v:rect style="position:absolute;left:1137;top:3057;width:830;height:80" filled="true" fillcolor="#9d9fa2" stroked="false">
              <v:fill type="solid"/>
            </v:rect>
            <v:rect style="position:absolute;left:1137;top:2775;width:830;height:212" filled="true" fillcolor="#636466" stroked="false">
              <v:fill type="solid"/>
            </v:rect>
            <v:rect style="position:absolute;left:1137;top:3137;width:830;height:312" filled="true" fillcolor="#bcbec0" stroked="false">
              <v:fill type="solid"/>
            </v:rect>
            <v:rect style="position:absolute;left:1137;top:2988;width:830;height:70" filled="true" fillcolor="#808285" stroked="false">
              <v:fill type="solid"/>
            </v:rect>
            <v:rect style="position:absolute;left:1137;top:3450;width:830;height:80" filled="true" fillcolor="#dcddde" stroked="false">
              <v:fill type="solid"/>
            </v:rect>
            <v:shape style="position:absolute;left:1397;top:1633;width:311;height:160" type="#_x0000_t202" filled="false" stroked="false">
              <v:textbox inset="0,0,0,0">
                <w:txbxContent>
                  <w:p>
                    <w:pPr>
                      <w:spacing w:line="158" w:lineRule="exact" w:before="0"/>
                      <w:ind w:left="0" w:right="-17" w:firstLine="0"/>
                      <w:jc w:val="left"/>
                      <w:rPr>
                        <w:sz w:val="16"/>
                      </w:rPr>
                    </w:pPr>
                    <w:r>
                      <w:rPr>
                        <w:color w:val="FFFFFF"/>
                        <w:w w:val="105"/>
                        <w:sz w:val="16"/>
                      </w:rPr>
                      <w:t>74%</w:t>
                    </w:r>
                  </w:p>
                </w:txbxContent>
              </v:textbox>
              <w10:wrap type="none"/>
            </v:shape>
            <v:shape style="position:absolute;left:1438;top:2816;width:228;height:160" type="#_x0000_t202" filled="false" stroked="false">
              <v:textbox inset="0,0,0,0">
                <w:txbxContent>
                  <w:p>
                    <w:pPr>
                      <w:spacing w:line="158" w:lineRule="exact" w:before="0"/>
                      <w:ind w:left="0" w:right="-16" w:firstLine="0"/>
                      <w:jc w:val="left"/>
                      <w:rPr>
                        <w:sz w:val="16"/>
                      </w:rPr>
                    </w:pPr>
                    <w:r>
                      <w:rPr>
                        <w:color w:val="FFFFFF"/>
                        <w:w w:val="105"/>
                        <w:sz w:val="16"/>
                      </w:rPr>
                      <w:t>7%</w:t>
                    </w:r>
                  </w:p>
                </w:txbxContent>
              </v:textbox>
              <w10:wrap type="none"/>
            </v:shape>
            <v:shape style="position:absolute;left:1267;top:2964;width:228;height:160" type="#_x0000_t202" filled="false" stroked="false">
              <v:textbox inset="0,0,0,0">
                <w:txbxContent>
                  <w:p>
                    <w:pPr>
                      <w:spacing w:line="158" w:lineRule="exact" w:before="0"/>
                      <w:ind w:left="0" w:right="-16" w:firstLine="0"/>
                      <w:jc w:val="left"/>
                      <w:rPr>
                        <w:sz w:val="16"/>
                      </w:rPr>
                    </w:pPr>
                    <w:r>
                      <w:rPr>
                        <w:color w:val="FFFFFF"/>
                        <w:w w:val="105"/>
                        <w:sz w:val="16"/>
                      </w:rPr>
                      <w:t>2%</w:t>
                    </w:r>
                  </w:p>
                </w:txbxContent>
              </v:textbox>
              <w10:wrap type="none"/>
            </v:shape>
            <v:shape style="position:absolute;left:1627;top:3030;width:228;height:160" type="#_x0000_t202" filled="false" stroked="false">
              <v:textbox inset="0,0,0,0">
                <w:txbxContent>
                  <w:p>
                    <w:pPr>
                      <w:spacing w:line="158" w:lineRule="exact" w:before="0"/>
                      <w:ind w:left="0" w:right="-16" w:firstLine="0"/>
                      <w:jc w:val="left"/>
                      <w:rPr>
                        <w:sz w:val="16"/>
                      </w:rPr>
                    </w:pPr>
                    <w:r>
                      <w:rPr>
                        <w:color w:val="231F20"/>
                        <w:w w:val="105"/>
                        <w:sz w:val="16"/>
                      </w:rPr>
                      <w:t>3%</w:t>
                    </w:r>
                  </w:p>
                </w:txbxContent>
              </v:textbox>
              <w10:wrap type="none"/>
            </v:shape>
            <v:shape style="position:absolute;left:1397;top:3228;width:311;height:345" type="#_x0000_t202" filled="false" stroked="false">
              <v:textbox inset="0,0,0,0">
                <w:txbxContent>
                  <w:p>
                    <w:pPr>
                      <w:spacing w:line="158" w:lineRule="exact" w:before="0"/>
                      <w:ind w:left="0" w:right="-17" w:firstLine="0"/>
                      <w:jc w:val="left"/>
                      <w:rPr>
                        <w:sz w:val="16"/>
                      </w:rPr>
                    </w:pPr>
                    <w:r>
                      <w:rPr>
                        <w:color w:val="231F20"/>
                        <w:w w:val="105"/>
                        <w:sz w:val="16"/>
                      </w:rPr>
                      <w:t>10%</w:t>
                    </w:r>
                  </w:p>
                  <w:p>
                    <w:pPr>
                      <w:spacing w:before="0"/>
                      <w:ind w:left="41" w:right="-17" w:firstLine="0"/>
                      <w:jc w:val="left"/>
                      <w:rPr>
                        <w:sz w:val="16"/>
                      </w:rPr>
                    </w:pPr>
                    <w:r>
                      <w:rPr>
                        <w:color w:val="231F20"/>
                        <w:w w:val="105"/>
                        <w:sz w:val="16"/>
                      </w:rPr>
                      <w:t>3%</w:t>
                    </w:r>
                  </w:p>
                </w:txbxContent>
              </v:textbox>
              <w10:wrap type="none"/>
            </v:shape>
            <w10:wrap type="topAndBottom"/>
          </v:group>
        </w:pict>
      </w:r>
      <w:r>
        <w:rPr/>
        <w:pict>
          <v:group style="position:absolute;margin-left:103.610001pt;margin-top:31.731344pt;width:41.5pt;height:146.85pt;mso-position-horizontal-relative:page;mso-position-vertical-relative:paragraph;z-index:7480;mso-wrap-distance-left:0;mso-wrap-distance-right:0" coordorigin="2072,635" coordsize="830,2937">
            <v:rect style="position:absolute;left:2072;top:635;width:830;height:2022" filled="true" fillcolor="#4c4d4f" stroked="false">
              <v:fill type="solid"/>
            </v:rect>
            <v:rect style="position:absolute;left:2072;top:2657;width:830;height:320" filled="true" fillcolor="#636466" stroked="false">
              <v:fill type="solid"/>
            </v:rect>
            <v:rect style="position:absolute;left:2072;top:3057;width:830;height:152" filled="true" fillcolor="#9d9fa2" stroked="false">
              <v:fill type="solid"/>
            </v:rect>
            <v:rect style="position:absolute;left:2072;top:3209;width:830;height:200" filled="true" fillcolor="#bcbec0" stroked="false">
              <v:fill type="solid"/>
            </v:rect>
            <v:rect style="position:absolute;left:2072;top:2977;width:830;height:80" filled="true" fillcolor="#808285" stroked="false">
              <v:fill type="solid"/>
            </v:rect>
            <v:rect style="position:absolute;left:2072;top:3409;width:830;height:134" filled="true" fillcolor="#dcddde" stroked="false">
              <v:fill type="solid"/>
            </v:rect>
            <v:shape style="position:absolute;left:2332;top:1581;width:311;height:160" type="#_x0000_t202" filled="false" stroked="false">
              <v:textbox inset="0,0,0,0">
                <w:txbxContent>
                  <w:p>
                    <w:pPr>
                      <w:spacing w:line="158" w:lineRule="exact" w:before="0"/>
                      <w:ind w:left="0" w:right="-17" w:firstLine="0"/>
                      <w:jc w:val="left"/>
                      <w:rPr>
                        <w:sz w:val="16"/>
                      </w:rPr>
                    </w:pPr>
                    <w:r>
                      <w:rPr>
                        <w:color w:val="FFFFFF"/>
                        <w:w w:val="105"/>
                        <w:sz w:val="16"/>
                      </w:rPr>
                      <w:t>69%</w:t>
                    </w:r>
                  </w:p>
                </w:txbxContent>
              </v:textbox>
              <w10:wrap type="none"/>
            </v:shape>
            <v:shape style="position:absolute;left:2072;top:2640;width:830;height:354" type="#_x0000_t202" filled="false" stroked="false">
              <v:textbox inset="0,0,0,0">
                <w:txbxContent>
                  <w:p>
                    <w:pPr>
                      <w:spacing w:before="85"/>
                      <w:ind w:left="259" w:right="0" w:firstLine="0"/>
                      <w:jc w:val="left"/>
                      <w:rPr>
                        <w:sz w:val="16"/>
                      </w:rPr>
                    </w:pPr>
                    <w:r>
                      <w:rPr>
                        <w:color w:val="FFFFFF"/>
                        <w:w w:val="105"/>
                        <w:sz w:val="16"/>
                      </w:rPr>
                      <w:t>11%</w:t>
                    </w:r>
                  </w:p>
                </w:txbxContent>
              </v:textbox>
              <w10:wrap type="none"/>
            </v:shape>
            <v:shape style="position:absolute;left:2072;top:2993;width:830;height:172" type="#_x0000_t202" filled="false" stroked="false">
              <v:textbox inset="0,0,0,0">
                <w:txbxContent>
                  <w:p>
                    <w:pPr>
                      <w:spacing w:line="79" w:lineRule="exact" w:before="0"/>
                      <w:ind w:left="156" w:right="156" w:firstLine="0"/>
                      <w:jc w:val="center"/>
                      <w:rPr>
                        <w:sz w:val="16"/>
                      </w:rPr>
                    </w:pPr>
                    <w:r>
                      <w:rPr>
                        <w:color w:val="FFFFFF"/>
                        <w:w w:val="105"/>
                        <w:sz w:val="16"/>
                      </w:rPr>
                      <w:t>3%</w:t>
                    </w:r>
                  </w:p>
                  <w:p>
                    <w:pPr>
                      <w:spacing w:line="92" w:lineRule="exact" w:before="0"/>
                      <w:ind w:left="156" w:right="156" w:firstLine="0"/>
                      <w:jc w:val="center"/>
                      <w:rPr>
                        <w:sz w:val="16"/>
                      </w:rPr>
                    </w:pPr>
                    <w:r>
                      <w:rPr>
                        <w:color w:val="231F20"/>
                        <w:w w:val="105"/>
                        <w:sz w:val="16"/>
                      </w:rPr>
                      <w:t>6%</w:t>
                    </w:r>
                  </w:p>
                </w:txbxContent>
              </v:textbox>
              <w10:wrap type="none"/>
            </v:shape>
            <v:shape style="position:absolute;left:2072;top:3165;width:830;height:311" type="#_x0000_t202" filled="false" stroked="false">
              <v:textbox inset="0,0,0,0">
                <w:txbxContent>
                  <w:p>
                    <w:pPr>
                      <w:spacing w:before="52"/>
                      <w:ind w:left="156" w:right="156" w:firstLine="0"/>
                      <w:jc w:val="center"/>
                      <w:rPr>
                        <w:sz w:val="16"/>
                      </w:rPr>
                    </w:pPr>
                    <w:r>
                      <w:rPr>
                        <w:color w:val="231F20"/>
                        <w:w w:val="105"/>
                        <w:sz w:val="16"/>
                      </w:rPr>
                      <w:t>7%</w:t>
                    </w:r>
                  </w:p>
                </w:txbxContent>
              </v:textbox>
              <w10:wrap type="none"/>
            </v:shape>
            <v:shape style="position:absolute;left:2374;top:3411;width:228;height:160" type="#_x0000_t202" filled="false" stroked="false">
              <v:textbox inset="0,0,0,0">
                <w:txbxContent>
                  <w:p>
                    <w:pPr>
                      <w:spacing w:line="158" w:lineRule="exact" w:before="0"/>
                      <w:ind w:left="0" w:right="-16" w:firstLine="0"/>
                      <w:jc w:val="left"/>
                      <w:rPr>
                        <w:sz w:val="16"/>
                      </w:rPr>
                    </w:pPr>
                    <w:r>
                      <w:rPr>
                        <w:color w:val="231F20"/>
                        <w:w w:val="105"/>
                        <w:sz w:val="16"/>
                      </w:rPr>
                      <w:t>4%</w:t>
                    </w:r>
                  </w:p>
                </w:txbxContent>
              </v:textbox>
              <w10:wrap type="none"/>
            </v:shape>
            <w10:wrap type="topAndBottom"/>
          </v:group>
        </w:pict>
      </w:r>
      <w:r>
        <w:rPr/>
        <w:pict>
          <v:group style="position:absolute;margin-left:150.669998pt;margin-top:31.224344pt;width:41.55pt;height:145.35pt;mso-position-horizontal-relative:page;mso-position-vertical-relative:paragraph;z-index:7624;mso-wrap-distance-left:0;mso-wrap-distance-right:0" coordorigin="3013,624" coordsize="831,2907">
            <v:rect style="position:absolute;left:3013;top:624;width:830;height:1820" filled="true" fillcolor="#4c4d4f" stroked="false">
              <v:fill type="solid"/>
            </v:rect>
            <v:rect style="position:absolute;left:3013;top:2444;width:830;height:315" filled="true" fillcolor="#636466" stroked="false">
              <v:fill type="solid"/>
            </v:rect>
            <v:rect style="position:absolute;left:3013;top:2830;width:830;height:140" filled="true" fillcolor="#9d9fa2" stroked="false">
              <v:fill type="solid"/>
            </v:rect>
            <v:rect style="position:absolute;left:3013;top:2969;width:830;height:187" filled="true" fillcolor="#bcbec0" stroked="false">
              <v:fill type="solid"/>
            </v:rect>
            <v:rect style="position:absolute;left:3013;top:2760;width:830;height:70" filled="true" fillcolor="#808285" stroked="false">
              <v:fill type="solid"/>
            </v:rect>
            <v:rect style="position:absolute;left:3013;top:3157;width:830;height:374" filled="true" fillcolor="#dcddde" stroked="false">
              <v:fill type="solid"/>
            </v:rect>
            <v:shape style="position:absolute;left:3273;top:1470;width:311;height:160" type="#_x0000_t202" filled="false" stroked="false">
              <v:textbox inset="0,0,0,0">
                <w:txbxContent>
                  <w:p>
                    <w:pPr>
                      <w:spacing w:line="158" w:lineRule="exact" w:before="0"/>
                      <w:ind w:left="0" w:right="-17" w:firstLine="0"/>
                      <w:jc w:val="left"/>
                      <w:rPr>
                        <w:sz w:val="16"/>
                      </w:rPr>
                    </w:pPr>
                    <w:r>
                      <w:rPr>
                        <w:color w:val="FFFFFF"/>
                        <w:w w:val="105"/>
                        <w:sz w:val="16"/>
                      </w:rPr>
                      <w:t>63%</w:t>
                    </w:r>
                  </w:p>
                </w:txbxContent>
              </v:textbox>
              <w10:wrap type="none"/>
            </v:shape>
            <v:shape style="position:absolute;left:3013;top:2449;width:830;height:333" type="#_x0000_t202" filled="false" stroked="false">
              <v:textbox inset="0,0,0,0">
                <w:txbxContent>
                  <w:p>
                    <w:pPr>
                      <w:spacing w:before="62"/>
                      <w:ind w:left="259" w:right="0" w:firstLine="0"/>
                      <w:jc w:val="left"/>
                      <w:rPr>
                        <w:sz w:val="16"/>
                      </w:rPr>
                    </w:pPr>
                    <w:r>
                      <w:rPr>
                        <w:color w:val="FFFFFF"/>
                        <w:w w:val="105"/>
                        <w:sz w:val="16"/>
                      </w:rPr>
                      <w:t>11%</w:t>
                    </w:r>
                  </w:p>
                </w:txbxContent>
              </v:textbox>
              <w10:wrap type="none"/>
            </v:shape>
            <v:shape style="position:absolute;left:3013;top:2782;width:830;height:212" type="#_x0000_t202" filled="false" stroked="false">
              <v:textbox inset="0,0,0,0">
                <w:txbxContent>
                  <w:p>
                    <w:pPr>
                      <w:spacing w:line="71" w:lineRule="exact" w:before="0"/>
                      <w:ind w:left="156" w:right="156" w:firstLine="0"/>
                      <w:jc w:val="center"/>
                      <w:rPr>
                        <w:sz w:val="16"/>
                      </w:rPr>
                    </w:pPr>
                    <w:r>
                      <w:rPr>
                        <w:color w:val="FFFFFF"/>
                        <w:w w:val="105"/>
                        <w:sz w:val="16"/>
                      </w:rPr>
                      <w:t>2%</w:t>
                    </w:r>
                  </w:p>
                  <w:p>
                    <w:pPr>
                      <w:spacing w:line="140" w:lineRule="exact" w:before="0"/>
                      <w:ind w:left="156" w:right="156" w:firstLine="0"/>
                      <w:jc w:val="center"/>
                      <w:rPr>
                        <w:sz w:val="16"/>
                      </w:rPr>
                    </w:pPr>
                    <w:r>
                      <w:rPr>
                        <w:color w:val="231F20"/>
                        <w:w w:val="105"/>
                        <w:sz w:val="16"/>
                      </w:rPr>
                      <w:t>5%</w:t>
                    </w:r>
                  </w:p>
                </w:txbxContent>
              </v:textbox>
              <w10:wrap type="none"/>
            </v:shape>
            <v:shape style="position:absolute;left:3013;top:2993;width:830;height:172" type="#_x0000_t202" filled="false" stroked="false">
              <v:textbox inset="0,0,0,0">
                <w:txbxContent>
                  <w:p>
                    <w:pPr>
                      <w:spacing w:line="163" w:lineRule="exact" w:before="0"/>
                      <w:ind w:left="156" w:right="156" w:firstLine="0"/>
                      <w:jc w:val="center"/>
                      <w:rPr>
                        <w:sz w:val="16"/>
                      </w:rPr>
                    </w:pPr>
                    <w:r>
                      <w:rPr>
                        <w:color w:val="231F20"/>
                        <w:w w:val="105"/>
                        <w:sz w:val="16"/>
                      </w:rPr>
                      <w:t>6%</w:t>
                    </w:r>
                  </w:p>
                </w:txbxContent>
              </v:textbox>
              <w10:wrap type="none"/>
            </v:shape>
            <v:shape style="position:absolute;left:3013;top:3165;width:830;height:311" type="#_x0000_t202" filled="false" stroked="false">
              <v:textbox inset="0,0,0,0">
                <w:txbxContent>
                  <w:p>
                    <w:pPr>
                      <w:spacing w:before="87"/>
                      <w:ind w:left="259" w:right="0" w:firstLine="0"/>
                      <w:jc w:val="left"/>
                      <w:rPr>
                        <w:sz w:val="16"/>
                      </w:rPr>
                    </w:pPr>
                    <w:r>
                      <w:rPr>
                        <w:color w:val="231F20"/>
                        <w:w w:val="105"/>
                        <w:sz w:val="16"/>
                      </w:rPr>
                      <w:t>13%</w:t>
                    </w:r>
                  </w:p>
                </w:txbxContent>
              </v:textbox>
              <w10:wrap type="none"/>
            </v:shape>
            <w10:wrap type="topAndBottom"/>
          </v:group>
        </w:pict>
      </w:r>
      <w:r>
        <w:rPr/>
        <w:pict>
          <v:group style="position:absolute;margin-left:197.130005pt;margin-top:31.256081pt;width:41.55pt;height:145.1pt;mso-position-horizontal-relative:page;mso-position-vertical-relative:paragraph;z-index:7768;mso-wrap-distance-left:0;mso-wrap-distance-right:0" coordorigin="3943,625" coordsize="831,2902">
            <v:rect style="position:absolute;left:3943;top:625;width:830;height:1636" filled="true" fillcolor="#4c4d4f" stroked="false">
              <v:fill type="solid"/>
            </v:rect>
            <v:rect style="position:absolute;left:3943;top:2261;width:830;height:157" filled="true" fillcolor="#636466" stroked="false">
              <v:fill type="solid"/>
            </v:rect>
            <v:rect style="position:absolute;left:3943;top:2489;width:830;height:140" filled="true" fillcolor="#9d9fa2" stroked="false">
              <v:fill type="solid"/>
            </v:rect>
            <v:rect style="position:absolute;left:3943;top:2629;width:830;height:140" filled="true" fillcolor="#bcbec0" stroked="false">
              <v:fill type="solid"/>
            </v:rect>
            <v:rect style="position:absolute;left:3943;top:2419;width:830;height:70" filled="true" fillcolor="#808285" stroked="false">
              <v:fill type="solid"/>
            </v:rect>
            <v:rect style="position:absolute;left:3943;top:2769;width:830;height:758" filled="true" fillcolor="#dcddde" stroked="false">
              <v:fill type="solid"/>
            </v:rect>
            <v:shape style="position:absolute;left:4202;top:1378;width:311;height:160" type="#_x0000_t202" filled="false" stroked="false">
              <v:textbox inset="0,0,0,0">
                <w:txbxContent>
                  <w:p>
                    <w:pPr>
                      <w:spacing w:line="158" w:lineRule="exact" w:before="0"/>
                      <w:ind w:left="0" w:right="-17" w:firstLine="0"/>
                      <w:jc w:val="left"/>
                      <w:rPr>
                        <w:sz w:val="16"/>
                      </w:rPr>
                    </w:pPr>
                    <w:r>
                      <w:rPr>
                        <w:color w:val="FFFFFF"/>
                        <w:w w:val="105"/>
                        <w:sz w:val="16"/>
                      </w:rPr>
                      <w:t>56%</w:t>
                    </w:r>
                  </w:p>
                </w:txbxContent>
              </v:textbox>
              <w10:wrap type="none"/>
            </v:shape>
            <v:shape style="position:absolute;left:3943;top:2261;width:830;height:188" type="#_x0000_t202" filled="false" stroked="false">
              <v:textbox inset="0,0,0,0">
                <w:txbxContent>
                  <w:p>
                    <w:pPr>
                      <w:spacing w:line="172" w:lineRule="exact" w:before="0"/>
                      <w:ind w:left="156" w:right="156" w:firstLine="0"/>
                      <w:jc w:val="center"/>
                      <w:rPr>
                        <w:sz w:val="16"/>
                      </w:rPr>
                    </w:pPr>
                    <w:r>
                      <w:rPr>
                        <w:color w:val="FFFFFF"/>
                        <w:w w:val="105"/>
                        <w:sz w:val="16"/>
                      </w:rPr>
                      <w:t>5%</w:t>
                    </w:r>
                  </w:p>
                </w:txbxContent>
              </v:textbox>
              <w10:wrap type="none"/>
            </v:shape>
            <v:shape style="position:absolute;left:3943;top:2449;width:830;height:193" type="#_x0000_t202" filled="false" stroked="false">
              <v:textbox inset="0,0,0,0">
                <w:txbxContent>
                  <w:p>
                    <w:pPr>
                      <w:spacing w:line="71" w:lineRule="exact" w:before="0"/>
                      <w:ind w:left="156" w:right="156" w:firstLine="0"/>
                      <w:jc w:val="center"/>
                      <w:rPr>
                        <w:sz w:val="16"/>
                      </w:rPr>
                    </w:pPr>
                    <w:r>
                      <w:rPr>
                        <w:color w:val="FFFFFF"/>
                        <w:w w:val="105"/>
                        <w:sz w:val="16"/>
                      </w:rPr>
                      <w:t>2%</w:t>
                    </w:r>
                  </w:p>
                  <w:p>
                    <w:pPr>
                      <w:spacing w:line="122" w:lineRule="exact" w:before="0"/>
                      <w:ind w:left="156" w:right="156" w:firstLine="0"/>
                      <w:jc w:val="center"/>
                      <w:rPr>
                        <w:sz w:val="16"/>
                      </w:rPr>
                    </w:pPr>
                    <w:r>
                      <w:rPr>
                        <w:color w:val="231F20"/>
                        <w:w w:val="105"/>
                        <w:sz w:val="16"/>
                      </w:rPr>
                      <w:t>5%</w:t>
                    </w:r>
                  </w:p>
                </w:txbxContent>
              </v:textbox>
              <w10:wrap type="none"/>
            </v:shape>
            <v:shape style="position:absolute;left:3943;top:2641;width:830;height:147" type="#_x0000_t202" filled="false" stroked="false">
              <v:textbox inset="0,0,0,0">
                <w:txbxContent>
                  <w:p>
                    <w:pPr>
                      <w:spacing w:line="147" w:lineRule="exact" w:before="0"/>
                      <w:ind w:left="156" w:right="156" w:firstLine="0"/>
                      <w:jc w:val="center"/>
                      <w:rPr>
                        <w:sz w:val="16"/>
                      </w:rPr>
                    </w:pPr>
                    <w:r>
                      <w:rPr>
                        <w:color w:val="231F20"/>
                        <w:w w:val="105"/>
                        <w:sz w:val="16"/>
                      </w:rPr>
                      <w:t>5%</w:t>
                    </w:r>
                  </w:p>
                </w:txbxContent>
              </v:textbox>
              <w10:wrap type="none"/>
            </v:shape>
            <v:shape style="position:absolute;left:3943;top:2788;width:830;height:688" type="#_x0000_t202" filled="false" stroked="false">
              <v:textbox inset="0,0,0,0">
                <w:txbxContent>
                  <w:p>
                    <w:pPr>
                      <w:spacing w:line="240" w:lineRule="auto" w:before="3"/>
                      <w:rPr>
                        <w:sz w:val="23"/>
                      </w:rPr>
                    </w:pPr>
                  </w:p>
                  <w:p>
                    <w:pPr>
                      <w:spacing w:before="1"/>
                      <w:ind w:left="259" w:right="0" w:firstLine="0"/>
                      <w:jc w:val="left"/>
                      <w:rPr>
                        <w:sz w:val="16"/>
                      </w:rPr>
                    </w:pPr>
                    <w:r>
                      <w:rPr>
                        <w:color w:val="231F20"/>
                        <w:w w:val="105"/>
                        <w:sz w:val="16"/>
                      </w:rPr>
                      <w:t>26%</w:t>
                    </w:r>
                  </w:p>
                </w:txbxContent>
              </v:textbox>
              <w10:wrap type="none"/>
            </v:shape>
            <w10:wrap type="topAndBottom"/>
          </v:group>
        </w:pict>
      </w:r>
      <w:r>
        <w:rPr/>
        <w:pict>
          <v:group style="position:absolute;margin-left:243.589996pt;margin-top:31.233587pt;width:41.55pt;height:145.1pt;mso-position-horizontal-relative:page;mso-position-vertical-relative:paragraph;z-index:7888;mso-wrap-distance-left:0;mso-wrap-distance-right:0" coordorigin="4872,625" coordsize="831,2902">
            <v:rect style="position:absolute;left:4872;top:625;width:830;height:1577" filled="true" fillcolor="#4c4d4f" stroked="false">
              <v:fill type="solid"/>
            </v:rect>
            <v:rect style="position:absolute;left:4872;top:2637;width:830;height:157" filled="true" fillcolor="#9d9fa2" stroked="false">
              <v:fill type="solid"/>
            </v:rect>
            <v:rect style="position:absolute;left:4872;top:2202;width:830;height:367" filled="true" fillcolor="#636466" stroked="false">
              <v:fill type="solid"/>
            </v:rect>
            <v:rect style="position:absolute;left:4872;top:2795;width:830;height:280" filled="true" fillcolor="#bcbec0" stroked="false">
              <v:fill type="solid"/>
            </v:rect>
            <v:rect style="position:absolute;left:4872;top:2570;width:830;height:72" filled="true" fillcolor="#808285" stroked="false">
              <v:fill type="solid"/>
            </v:rect>
            <v:rect style="position:absolute;left:4872;top:3075;width:830;height:452" filled="true" fillcolor="#dcddde" stroked="false">
              <v:fill type="solid"/>
            </v:rect>
            <v:shape style="position:absolute;left:4872;top:2788;width:830;height:334" type="#_x0000_t202" filled="false" stroked="false">
              <v:textbox inset="0,0,0,0">
                <w:txbxContent>
                  <w:p>
                    <w:pPr>
                      <w:spacing w:before="55"/>
                      <w:ind w:left="259" w:right="0" w:firstLine="0"/>
                      <w:jc w:val="left"/>
                      <w:rPr>
                        <w:sz w:val="16"/>
                      </w:rPr>
                    </w:pPr>
                    <w:r>
                      <w:rPr>
                        <w:color w:val="231F20"/>
                        <w:w w:val="105"/>
                        <w:sz w:val="16"/>
                      </w:rPr>
                      <w:t>10%</w:t>
                    </w:r>
                  </w:p>
                </w:txbxContent>
              </v:textbox>
              <w10:wrap type="none"/>
            </v:shape>
            <v:shape style="position:absolute;left:4872;top:3121;width:830;height:355" type="#_x0000_t202" filled="false" stroked="false">
              <v:textbox inset="0,0,0,0">
                <w:txbxContent>
                  <w:p>
                    <w:pPr>
                      <w:spacing w:before="88"/>
                      <w:ind w:left="259" w:right="0" w:firstLine="0"/>
                      <w:jc w:val="left"/>
                      <w:rPr>
                        <w:sz w:val="16"/>
                      </w:rPr>
                    </w:pPr>
                    <w:r>
                      <w:rPr>
                        <w:color w:val="231F20"/>
                        <w:w w:val="105"/>
                        <w:sz w:val="16"/>
                      </w:rPr>
                      <w:t>16%</w:t>
                    </w:r>
                  </w:p>
                </w:txbxContent>
              </v:textbox>
              <w10:wrap type="none"/>
            </v:shape>
            <v:shape style="position:absolute;left:5132;top:1349;width:311;height:160" type="#_x0000_t202" filled="false" stroked="false">
              <v:textbox inset="0,0,0,0">
                <w:txbxContent>
                  <w:p>
                    <w:pPr>
                      <w:spacing w:line="158" w:lineRule="exact" w:before="0"/>
                      <w:ind w:left="0" w:right="-17" w:firstLine="0"/>
                      <w:jc w:val="left"/>
                      <w:rPr>
                        <w:sz w:val="16"/>
                      </w:rPr>
                    </w:pPr>
                    <w:r>
                      <w:rPr>
                        <w:color w:val="FFFFFF"/>
                        <w:w w:val="105"/>
                        <w:sz w:val="16"/>
                      </w:rPr>
                      <w:t>54%</w:t>
                    </w:r>
                  </w:p>
                </w:txbxContent>
              </v:textbox>
              <w10:wrap type="none"/>
            </v:shape>
            <v:shape style="position:absolute;left:5132;top:2321;width:311;height:509" type="#_x0000_t202" filled="false" stroked="false">
              <v:textbox inset="0,0,0,0">
                <w:txbxContent>
                  <w:p>
                    <w:pPr>
                      <w:spacing w:line="158" w:lineRule="exact" w:before="0"/>
                      <w:ind w:left="0" w:right="-17" w:firstLine="0"/>
                      <w:jc w:val="left"/>
                      <w:rPr>
                        <w:sz w:val="16"/>
                      </w:rPr>
                    </w:pPr>
                    <w:r>
                      <w:rPr>
                        <w:color w:val="FFFFFF"/>
                        <w:w w:val="105"/>
                        <w:sz w:val="16"/>
                      </w:rPr>
                      <w:t>13%</w:t>
                    </w:r>
                  </w:p>
                  <w:p>
                    <w:pPr>
                      <w:spacing w:line="152" w:lineRule="exact" w:before="44"/>
                      <w:ind w:left="41" w:right="-17" w:firstLine="0"/>
                      <w:jc w:val="left"/>
                      <w:rPr>
                        <w:sz w:val="16"/>
                      </w:rPr>
                    </w:pPr>
                    <w:r>
                      <w:rPr>
                        <w:color w:val="FFFFFF"/>
                        <w:w w:val="105"/>
                        <w:sz w:val="16"/>
                      </w:rPr>
                      <w:t>2%</w:t>
                    </w:r>
                  </w:p>
                  <w:p>
                    <w:pPr>
                      <w:spacing w:line="152" w:lineRule="exact" w:before="0"/>
                      <w:ind w:left="41" w:right="-17" w:firstLine="0"/>
                      <w:jc w:val="left"/>
                      <w:rPr>
                        <w:sz w:val="16"/>
                      </w:rPr>
                    </w:pPr>
                    <w:r>
                      <w:rPr>
                        <w:color w:val="231F20"/>
                        <w:w w:val="105"/>
                        <w:sz w:val="16"/>
                      </w:rPr>
                      <w:t>5%</w:t>
                    </w:r>
                  </w:p>
                </w:txbxContent>
              </v:textbox>
              <w10:wrap type="none"/>
            </v:shape>
            <w10:wrap type="topAndBottom"/>
          </v:group>
        </w:pict>
      </w:r>
      <w:r>
        <w:rPr/>
        <w:pict>
          <v:group style="position:absolute;margin-left:290.25pt;margin-top:90.817345pt;width:41.5pt;height:86.25pt;mso-position-horizontal-relative:page;mso-position-vertical-relative:paragraph;z-index:7936;mso-wrap-distance-left:0;mso-wrap-distance-right:0" coordorigin="5805,1816" coordsize="830,1725">
            <v:rect style="position:absolute;left:5805;top:1816;width:830;height:288" filled="true" fillcolor="#4c4d4f" stroked="false">
              <v:fill type="solid"/>
            </v:rect>
            <v:rect style="position:absolute;left:5805;top:2104;width:830;height:288" filled="true" fillcolor="#636466" stroked="false">
              <v:fill type="solid"/>
            </v:rect>
            <v:rect style="position:absolute;left:5805;top:2678;width:830;height:288" filled="true" fillcolor="#9d9fa2" stroked="false">
              <v:fill type="solid"/>
            </v:rect>
            <v:rect style="position:absolute;left:5805;top:2966;width:830;height:288" filled="true" fillcolor="#bcbec0" stroked="false">
              <v:fill type="solid"/>
            </v:rect>
            <v:rect style="position:absolute;left:5805;top:2391;width:830;height:288" filled="true" fillcolor="#808285" stroked="false">
              <v:fill type="solid"/>
            </v:rect>
            <v:rect style="position:absolute;left:5805;top:3253;width:830;height:288" filled="true" fillcolor="#dcddde" stroked="false">
              <v:fill type="solid"/>
            </v:rect>
            <v:shape style="position:absolute;left:5805;top:1816;width:830;height:1725" type="#_x0000_t202" filled="false" stroked="false">
              <v:textbox inset="0,0,0,0">
                <w:txbxContent>
                  <w:p>
                    <w:pPr>
                      <w:spacing w:line="120" w:lineRule="exact" w:before="31"/>
                      <w:ind w:left="157" w:right="156" w:firstLine="0"/>
                      <w:jc w:val="center"/>
                      <w:rPr>
                        <w:sz w:val="12"/>
                      </w:rPr>
                    </w:pPr>
                    <w:r>
                      <w:rPr>
                        <w:color w:val="FFFFFF"/>
                        <w:w w:val="105"/>
                        <w:sz w:val="12"/>
                      </w:rPr>
                      <w:t>Blancos no latinos</w:t>
                    </w:r>
                  </w:p>
                  <w:p>
                    <w:pPr>
                      <w:spacing w:line="120" w:lineRule="exact" w:before="47"/>
                      <w:ind w:left="157" w:right="156" w:firstLine="0"/>
                      <w:jc w:val="center"/>
                      <w:rPr>
                        <w:sz w:val="12"/>
                      </w:rPr>
                    </w:pPr>
                    <w:r>
                      <w:rPr>
                        <w:color w:val="FFFFFF"/>
                        <w:w w:val="110"/>
                        <w:sz w:val="12"/>
                      </w:rPr>
                      <w:t>Negros no</w:t>
                    </w:r>
                    <w:r>
                      <w:rPr>
                        <w:color w:val="FFFFFF"/>
                        <w:spacing w:val="-2"/>
                        <w:w w:val="110"/>
                        <w:sz w:val="12"/>
                      </w:rPr>
                      <w:t> </w:t>
                    </w:r>
                    <w:r>
                      <w:rPr>
                        <w:color w:val="FFFFFF"/>
                        <w:w w:val="110"/>
                        <w:sz w:val="12"/>
                      </w:rPr>
                      <w:t>latinos</w:t>
                    </w:r>
                  </w:p>
                  <w:p>
                    <w:pPr>
                      <w:spacing w:before="91"/>
                      <w:ind w:left="41" w:right="41" w:firstLine="0"/>
                      <w:jc w:val="center"/>
                      <w:rPr>
                        <w:sz w:val="12"/>
                      </w:rPr>
                    </w:pPr>
                    <w:r>
                      <w:rPr>
                        <w:color w:val="FFFFFF"/>
                        <w:w w:val="110"/>
                        <w:sz w:val="12"/>
                      </w:rPr>
                      <w:t>Otros nativos</w:t>
                    </w:r>
                  </w:p>
                  <w:p>
                    <w:pPr>
                      <w:spacing w:line="120" w:lineRule="exact" w:before="105"/>
                      <w:ind w:left="157" w:right="155" w:firstLine="0"/>
                      <w:jc w:val="center"/>
                      <w:rPr>
                        <w:sz w:val="12"/>
                      </w:rPr>
                    </w:pPr>
                    <w:r>
                      <w:rPr>
                        <w:color w:val="231F20"/>
                        <w:sz w:val="12"/>
                      </w:rPr>
                      <w:t>Nativos </w:t>
                    </w:r>
                    <w:r>
                      <w:rPr>
                        <w:color w:val="231F20"/>
                        <w:w w:val="105"/>
                        <w:sz w:val="12"/>
                      </w:rPr>
                      <w:t>latinos</w:t>
                    </w:r>
                  </w:p>
                  <w:p>
                    <w:pPr>
                      <w:spacing w:line="120" w:lineRule="exact" w:before="47"/>
                      <w:ind w:left="41" w:right="39" w:firstLine="0"/>
                      <w:jc w:val="center"/>
                      <w:rPr>
                        <w:sz w:val="12"/>
                      </w:rPr>
                    </w:pPr>
                    <w:r>
                      <w:rPr>
                        <w:color w:val="231F20"/>
                        <w:w w:val="110"/>
                        <w:sz w:val="12"/>
                      </w:rPr>
                      <w:t>Otros inmigrantes</w:t>
                    </w:r>
                  </w:p>
                  <w:p>
                    <w:pPr>
                      <w:spacing w:line="120" w:lineRule="exact" w:before="47"/>
                      <w:ind w:left="41" w:right="39" w:firstLine="0"/>
                      <w:jc w:val="center"/>
                      <w:rPr>
                        <w:sz w:val="12"/>
                      </w:rPr>
                    </w:pPr>
                    <w:r>
                      <w:rPr>
                        <w:color w:val="231F20"/>
                        <w:w w:val="110"/>
                        <w:sz w:val="12"/>
                      </w:rPr>
                      <w:t>Inmigrantes latinos</w:t>
                    </w:r>
                  </w:p>
                </w:txbxContent>
              </v:textbox>
              <w10:wrap type="none"/>
            </v:shape>
            <w10:wrap type="topAndBottom"/>
          </v:group>
        </w:pict>
      </w:r>
      <w:r>
        <w:rPr>
          <w:color w:val="231F20"/>
          <w:w w:val="125"/>
          <w:sz w:val="18"/>
        </w:rPr>
        <w:t>gráfica 1. composición étnico-migratoria de la fuerza de trabajo según estratos ocupacionales, estados unidos, 2007</w:t>
      </w:r>
    </w:p>
    <w:p>
      <w:pPr>
        <w:spacing w:after="0" w:line="290" w:lineRule="auto"/>
        <w:jc w:val="left"/>
        <w:rPr>
          <w:sz w:val="18"/>
        </w:rPr>
        <w:sectPr>
          <w:pgSz w:w="7640" w:h="11900"/>
          <w:pgMar w:header="672" w:footer="0" w:top="860" w:bottom="280" w:left="780" w:right="640"/>
        </w:sectPr>
      </w:pPr>
    </w:p>
    <w:p>
      <w:pPr>
        <w:spacing w:before="67"/>
        <w:ind w:left="503" w:right="-3" w:firstLine="0"/>
        <w:jc w:val="left"/>
        <w:rPr>
          <w:sz w:val="12"/>
        </w:rPr>
      </w:pPr>
      <w:r>
        <w:rPr>
          <w:color w:val="231F20"/>
          <w:w w:val="105"/>
          <w:sz w:val="12"/>
        </w:rPr>
        <w:t>Dirección</w:t>
      </w:r>
    </w:p>
    <w:p>
      <w:pPr>
        <w:spacing w:before="67"/>
        <w:ind w:left="241" w:right="0" w:firstLine="0"/>
        <w:jc w:val="left"/>
        <w:rPr>
          <w:sz w:val="12"/>
        </w:rPr>
      </w:pPr>
      <w:r>
        <w:rPr/>
        <w:br w:type="column"/>
      </w:r>
      <w:r>
        <w:rPr>
          <w:color w:val="231F20"/>
          <w:w w:val="105"/>
          <w:sz w:val="12"/>
        </w:rPr>
        <w:t>Administración</w:t>
      </w:r>
    </w:p>
    <w:p>
      <w:pPr>
        <w:spacing w:before="67"/>
        <w:ind w:left="188" w:right="-14" w:firstLine="0"/>
        <w:jc w:val="left"/>
        <w:rPr>
          <w:sz w:val="12"/>
        </w:rPr>
      </w:pPr>
      <w:r>
        <w:rPr/>
        <w:br w:type="column"/>
      </w:r>
      <w:r>
        <w:rPr>
          <w:color w:val="231F20"/>
          <w:w w:val="110"/>
          <w:sz w:val="12"/>
        </w:rPr>
        <w:t>Producción</w:t>
      </w:r>
    </w:p>
    <w:p>
      <w:pPr>
        <w:spacing w:before="67"/>
        <w:ind w:left="246" w:right="0" w:firstLine="0"/>
        <w:jc w:val="left"/>
        <w:rPr>
          <w:sz w:val="12"/>
        </w:rPr>
      </w:pPr>
      <w:r>
        <w:rPr/>
        <w:br w:type="column"/>
      </w:r>
      <w:r>
        <w:rPr>
          <w:color w:val="231F20"/>
          <w:w w:val="105"/>
          <w:sz w:val="12"/>
        </w:rPr>
        <w:t>Construcción</w:t>
      </w:r>
    </w:p>
    <w:p>
      <w:pPr>
        <w:spacing w:before="67"/>
        <w:ind w:left="168" w:right="0" w:firstLine="0"/>
        <w:jc w:val="left"/>
        <w:rPr>
          <w:sz w:val="12"/>
        </w:rPr>
      </w:pPr>
      <w:r>
        <w:rPr/>
        <w:br w:type="column"/>
      </w:r>
      <w:r>
        <w:rPr>
          <w:color w:val="231F20"/>
          <w:w w:val="110"/>
          <w:sz w:val="12"/>
        </w:rPr>
        <w:t>Reproducción</w:t>
      </w:r>
    </w:p>
    <w:p>
      <w:pPr>
        <w:spacing w:after="0"/>
        <w:jc w:val="left"/>
        <w:rPr>
          <w:sz w:val="12"/>
        </w:rPr>
        <w:sectPr>
          <w:type w:val="continuous"/>
          <w:pgSz w:w="7640" w:h="11900"/>
          <w:pgMar w:top="980" w:bottom="280" w:left="780" w:right="640"/>
          <w:cols w:num="5" w:equalWidth="0">
            <w:col w:w="1017" w:space="40"/>
            <w:col w:w="1048" w:space="40"/>
            <w:col w:w="796" w:space="40"/>
            <w:col w:w="950" w:space="40"/>
            <w:col w:w="2249"/>
          </w:cols>
        </w:sectPr>
      </w:pPr>
    </w:p>
    <w:p>
      <w:pPr>
        <w:spacing w:line="276" w:lineRule="auto" w:before="98"/>
        <w:ind w:left="100" w:right="25" w:firstLine="0"/>
        <w:jc w:val="left"/>
        <w:rPr>
          <w:sz w:val="18"/>
        </w:rPr>
      </w:pPr>
      <w:r>
        <w:rPr>
          <w:rFonts w:ascii="Calibri" w:hAnsi="Calibri"/>
          <w:color w:val="231F20"/>
          <w:w w:val="110"/>
          <w:sz w:val="18"/>
        </w:rPr>
        <w:t>fuente: </w:t>
      </w:r>
      <w:r>
        <w:rPr>
          <w:color w:val="231F20"/>
          <w:w w:val="110"/>
          <w:sz w:val="18"/>
        </w:rPr>
        <w:t>elaboración propia con base en Current Population, Supplement, marzo de 2007.</w:t>
      </w:r>
    </w:p>
    <w:p>
      <w:pPr>
        <w:pStyle w:val="BodyText"/>
        <w:rPr>
          <w:sz w:val="18"/>
        </w:rPr>
      </w:pPr>
    </w:p>
    <w:p>
      <w:pPr>
        <w:pStyle w:val="BodyText"/>
        <w:spacing w:line="261" w:lineRule="auto" w:before="107"/>
        <w:ind w:left="100" w:right="117" w:firstLine="240"/>
        <w:jc w:val="both"/>
      </w:pPr>
      <w:r>
        <w:rPr>
          <w:color w:val="231F20"/>
          <w:w w:val="110"/>
        </w:rPr>
        <w:t>Algo similar se da en el caso de los puestos de administración, ventas</w:t>
      </w:r>
      <w:r>
        <w:rPr>
          <w:color w:val="231F20"/>
          <w:spacing w:val="-15"/>
          <w:w w:val="110"/>
        </w:rPr>
        <w:t> </w:t>
      </w:r>
      <w:r>
        <w:rPr>
          <w:color w:val="231F20"/>
          <w:w w:val="110"/>
        </w:rPr>
        <w:t>y</w:t>
      </w:r>
      <w:r>
        <w:rPr>
          <w:color w:val="231F20"/>
          <w:spacing w:val="-15"/>
          <w:w w:val="110"/>
        </w:rPr>
        <w:t> </w:t>
      </w:r>
      <w:r>
        <w:rPr>
          <w:color w:val="231F20"/>
          <w:w w:val="110"/>
        </w:rPr>
        <w:t>distribución.</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estrato</w:t>
      </w:r>
      <w:r>
        <w:rPr>
          <w:color w:val="231F20"/>
          <w:spacing w:val="-15"/>
          <w:w w:val="110"/>
        </w:rPr>
        <w:t> </w:t>
      </w:r>
      <w:r>
        <w:rPr>
          <w:color w:val="231F20"/>
          <w:w w:val="110"/>
        </w:rPr>
        <w:t>se</w:t>
      </w:r>
      <w:r>
        <w:rPr>
          <w:color w:val="231F20"/>
          <w:spacing w:val="-15"/>
          <w:w w:val="110"/>
        </w:rPr>
        <w:t> </w:t>
      </w:r>
      <w:r>
        <w:rPr>
          <w:color w:val="231F20"/>
          <w:w w:val="110"/>
        </w:rPr>
        <w:t>empleaban</w:t>
      </w:r>
      <w:r>
        <w:rPr>
          <w:color w:val="231F20"/>
          <w:spacing w:val="-15"/>
          <w:w w:val="110"/>
        </w:rPr>
        <w:t> </w:t>
      </w:r>
      <w:r>
        <w:rPr>
          <w:color w:val="231F20"/>
          <w:w w:val="110"/>
        </w:rPr>
        <w:t>en</w:t>
      </w:r>
      <w:r>
        <w:rPr>
          <w:color w:val="231F20"/>
          <w:spacing w:val="-15"/>
          <w:w w:val="110"/>
        </w:rPr>
        <w:t> </w:t>
      </w:r>
      <w:r>
        <w:rPr>
          <w:color w:val="231F20"/>
          <w:w w:val="110"/>
        </w:rPr>
        <w:t>ese</w:t>
      </w:r>
      <w:r>
        <w:rPr>
          <w:color w:val="231F20"/>
          <w:spacing w:val="-15"/>
          <w:w w:val="110"/>
        </w:rPr>
        <w:t> </w:t>
      </w:r>
      <w:r>
        <w:rPr>
          <w:color w:val="231F20"/>
          <w:w w:val="110"/>
        </w:rPr>
        <w:t>mismo</w:t>
      </w:r>
      <w:r>
        <w:rPr>
          <w:color w:val="231F20"/>
          <w:spacing w:val="-15"/>
          <w:w w:val="110"/>
        </w:rPr>
        <w:t> </w:t>
      </w:r>
      <w:r>
        <w:rPr>
          <w:color w:val="231F20"/>
          <w:w w:val="110"/>
        </w:rPr>
        <w:t>año, algo más de 39 millones de trabajadores, de los cuales 69% corres- pondía a personas nacidas en los Estados Unidos, de origen blanco no</w:t>
      </w:r>
      <w:r>
        <w:rPr>
          <w:color w:val="231F20"/>
          <w:spacing w:val="-4"/>
          <w:w w:val="110"/>
        </w:rPr>
        <w:t> </w:t>
      </w:r>
      <w:r>
        <w:rPr>
          <w:color w:val="231F20"/>
          <w:w w:val="110"/>
        </w:rPr>
        <w:t>latino,</w:t>
      </w:r>
      <w:r>
        <w:rPr>
          <w:color w:val="231F20"/>
          <w:spacing w:val="-4"/>
          <w:w w:val="110"/>
        </w:rPr>
        <w:t> </w:t>
      </w:r>
      <w:r>
        <w:rPr>
          <w:color w:val="231F20"/>
          <w:w w:val="110"/>
        </w:rPr>
        <w:t>mientras</w:t>
      </w:r>
      <w:r>
        <w:rPr>
          <w:color w:val="231F20"/>
          <w:spacing w:val="-4"/>
          <w:w w:val="110"/>
        </w:rPr>
        <w:t> </w:t>
      </w:r>
      <w:r>
        <w:rPr>
          <w:color w:val="231F20"/>
          <w:w w:val="110"/>
        </w:rPr>
        <w:t>que</w:t>
      </w:r>
      <w:r>
        <w:rPr>
          <w:color w:val="231F20"/>
          <w:spacing w:val="-4"/>
          <w:w w:val="110"/>
        </w:rPr>
        <w:t> </w:t>
      </w:r>
      <w:r>
        <w:rPr>
          <w:color w:val="231F20"/>
          <w:w w:val="110"/>
        </w:rPr>
        <w:t>sólo</w:t>
      </w:r>
      <w:r>
        <w:rPr>
          <w:color w:val="231F20"/>
          <w:spacing w:val="-4"/>
          <w:w w:val="110"/>
        </w:rPr>
        <w:t> </w:t>
      </w:r>
      <w:r>
        <w:rPr>
          <w:color w:val="231F20"/>
          <w:w w:val="110"/>
        </w:rPr>
        <w:t>4%</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trabajadores</w:t>
      </w:r>
      <w:r>
        <w:rPr>
          <w:color w:val="231F20"/>
          <w:spacing w:val="-4"/>
          <w:w w:val="110"/>
        </w:rPr>
        <w:t> </w:t>
      </w:r>
      <w:r>
        <w:rPr>
          <w:color w:val="231F20"/>
          <w:w w:val="110"/>
        </w:rPr>
        <w:t>ocupados</w:t>
      </w:r>
      <w:r>
        <w:rPr>
          <w:color w:val="231F20"/>
          <w:spacing w:val="-4"/>
          <w:w w:val="110"/>
        </w:rPr>
        <w:t> </w:t>
      </w:r>
      <w:r>
        <w:rPr>
          <w:color w:val="231F20"/>
          <w:w w:val="110"/>
        </w:rPr>
        <w:t>en</w:t>
      </w:r>
      <w:r>
        <w:rPr>
          <w:color w:val="231F20"/>
          <w:spacing w:val="-4"/>
          <w:w w:val="110"/>
        </w:rPr>
        <w:t> </w:t>
      </w:r>
      <w:r>
        <w:rPr>
          <w:color w:val="231F20"/>
          <w:w w:val="110"/>
        </w:rPr>
        <w:t>este estrato correspondía a inmigrantes  latinoamericanos.</w:t>
      </w:r>
    </w:p>
    <w:p>
      <w:pPr>
        <w:pStyle w:val="BodyText"/>
        <w:spacing w:line="261" w:lineRule="auto"/>
        <w:ind w:left="100" w:right="113" w:firstLine="240"/>
        <w:jc w:val="both"/>
      </w:pPr>
      <w:r>
        <w:rPr>
          <w:color w:val="231F20"/>
          <w:w w:val="110"/>
        </w:rPr>
        <w:t>En las ocupaciones de menor nivel socioeconómico, en cambio, esta relación es muy diferente. En la construcción, por ejemplo, en 2007 fueron empleados algo más de 10 millones de trabajadores. De ellos, los nativos de origen blanco no latino representaron sólo 56% de los trabajadores ocupados, mientras que los inmigrantes latinoamericanos aportaban 26% de la fuerza de trabajo  ocupada.</w:t>
      </w:r>
    </w:p>
    <w:p>
      <w:pPr>
        <w:spacing w:after="0" w:line="261" w:lineRule="auto"/>
        <w:jc w:val="both"/>
        <w:sectPr>
          <w:type w:val="continuous"/>
          <w:pgSz w:w="7640" w:h="11900"/>
          <w:pgMar w:top="980" w:bottom="280" w:left="780" w:right="640"/>
        </w:sectPr>
      </w:pPr>
    </w:p>
    <w:p>
      <w:pPr>
        <w:pStyle w:val="BodyText"/>
        <w:spacing w:before="8"/>
        <w:rPr>
          <w:sz w:val="8"/>
        </w:rPr>
      </w:pPr>
    </w:p>
    <w:p>
      <w:pPr>
        <w:pStyle w:val="BodyText"/>
        <w:spacing w:line="261" w:lineRule="auto" w:before="67"/>
        <w:ind w:left="100" w:right="119" w:firstLine="240"/>
        <w:jc w:val="right"/>
      </w:pPr>
      <w:r>
        <w:rPr>
          <w:color w:val="231F20"/>
          <w:w w:val="110"/>
        </w:rPr>
        <w:t>Algo</w:t>
      </w:r>
      <w:r>
        <w:rPr>
          <w:color w:val="231F20"/>
          <w:spacing w:val="-25"/>
          <w:w w:val="110"/>
        </w:rPr>
        <w:t> </w:t>
      </w:r>
      <w:r>
        <w:rPr>
          <w:color w:val="231F20"/>
          <w:w w:val="110"/>
        </w:rPr>
        <w:t>similar</w:t>
      </w:r>
      <w:r>
        <w:rPr>
          <w:color w:val="231F20"/>
          <w:spacing w:val="-25"/>
          <w:w w:val="110"/>
        </w:rPr>
        <w:t> </w:t>
      </w:r>
      <w:r>
        <w:rPr>
          <w:color w:val="231F20"/>
          <w:w w:val="110"/>
        </w:rPr>
        <w:t>se</w:t>
      </w:r>
      <w:r>
        <w:rPr>
          <w:color w:val="231F20"/>
          <w:spacing w:val="-25"/>
          <w:w w:val="110"/>
        </w:rPr>
        <w:t> </w:t>
      </w:r>
      <w:r>
        <w:rPr>
          <w:color w:val="231F20"/>
          <w:w w:val="110"/>
        </w:rPr>
        <w:t>da</w:t>
      </w:r>
      <w:r>
        <w:rPr>
          <w:color w:val="231F20"/>
          <w:spacing w:val="-25"/>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caso</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trabajos</w:t>
      </w:r>
      <w:r>
        <w:rPr>
          <w:color w:val="231F20"/>
          <w:spacing w:val="-25"/>
          <w:w w:val="110"/>
        </w:rPr>
        <w:t> </w:t>
      </w:r>
      <w:r>
        <w:rPr>
          <w:color w:val="231F20"/>
          <w:w w:val="110"/>
        </w:rPr>
        <w:t>vinculados</w:t>
      </w:r>
      <w:r>
        <w:rPr>
          <w:color w:val="231F20"/>
          <w:spacing w:val="-25"/>
          <w:w w:val="110"/>
        </w:rPr>
        <w:t> </w:t>
      </w:r>
      <w:r>
        <w:rPr>
          <w:color w:val="231F20"/>
          <w:spacing w:val="-2"/>
          <w:w w:val="110"/>
        </w:rPr>
        <w:t>directamente</w:t>
      </w:r>
      <w:r>
        <w:rPr>
          <w:color w:val="231F20"/>
          <w:spacing w:val="-2"/>
          <w:w w:val="112"/>
        </w:rPr>
        <w:t> </w:t>
      </w:r>
      <w:r>
        <w:rPr>
          <w:color w:val="231F20"/>
          <w:w w:val="110"/>
        </w:rPr>
        <w:t>con</w:t>
      </w:r>
      <w:r>
        <w:rPr>
          <w:color w:val="231F20"/>
          <w:spacing w:val="-22"/>
          <w:w w:val="110"/>
        </w:rPr>
        <w:t> </w:t>
      </w:r>
      <w:r>
        <w:rPr>
          <w:color w:val="231F20"/>
          <w:w w:val="110"/>
        </w:rPr>
        <w:t>la</w:t>
      </w:r>
      <w:r>
        <w:rPr>
          <w:color w:val="231F20"/>
          <w:spacing w:val="-22"/>
          <w:w w:val="110"/>
        </w:rPr>
        <w:t> </w:t>
      </w:r>
      <w:r>
        <w:rPr>
          <w:color w:val="231F20"/>
          <w:w w:val="110"/>
        </w:rPr>
        <w:t>reproducción</w:t>
      </w:r>
      <w:r>
        <w:rPr>
          <w:color w:val="231F20"/>
          <w:spacing w:val="-22"/>
          <w:w w:val="110"/>
        </w:rPr>
        <w:t> </w:t>
      </w:r>
      <w:r>
        <w:rPr>
          <w:color w:val="231F20"/>
          <w:w w:val="110"/>
        </w:rPr>
        <w:t>social</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población</w:t>
      </w:r>
      <w:r>
        <w:rPr>
          <w:color w:val="231F20"/>
          <w:spacing w:val="-22"/>
          <w:w w:val="110"/>
        </w:rPr>
        <w:t> </w:t>
      </w:r>
      <w:r>
        <w:rPr>
          <w:color w:val="231F20"/>
          <w:w w:val="110"/>
        </w:rPr>
        <w:t>(cuidado</w:t>
      </w:r>
      <w:r>
        <w:rPr>
          <w:color w:val="231F20"/>
          <w:spacing w:val="-22"/>
          <w:w w:val="110"/>
        </w:rPr>
        <w:t> </w:t>
      </w:r>
      <w:r>
        <w:rPr>
          <w:color w:val="231F20"/>
          <w:w w:val="110"/>
        </w:rPr>
        <w:t>de</w:t>
      </w:r>
      <w:r>
        <w:rPr>
          <w:color w:val="231F20"/>
          <w:spacing w:val="-22"/>
          <w:w w:val="110"/>
        </w:rPr>
        <w:t> </w:t>
      </w:r>
      <w:r>
        <w:rPr>
          <w:color w:val="231F20"/>
          <w:w w:val="110"/>
        </w:rPr>
        <w:t>adultos</w:t>
      </w:r>
      <w:r>
        <w:rPr>
          <w:color w:val="231F20"/>
          <w:spacing w:val="-22"/>
          <w:w w:val="110"/>
        </w:rPr>
        <w:t> </w:t>
      </w:r>
      <w:r>
        <w:rPr>
          <w:color w:val="231F20"/>
          <w:w w:val="110"/>
        </w:rPr>
        <w:t>y</w:t>
      </w:r>
      <w:r>
        <w:rPr>
          <w:color w:val="231F20"/>
          <w:spacing w:val="-22"/>
          <w:w w:val="110"/>
        </w:rPr>
        <w:t> </w:t>
      </w:r>
      <w:r>
        <w:rPr>
          <w:color w:val="231F20"/>
          <w:spacing w:val="-2"/>
          <w:w w:val="110"/>
        </w:rPr>
        <w:t>niños,</w:t>
      </w:r>
      <w:r>
        <w:rPr>
          <w:color w:val="231F20"/>
          <w:spacing w:val="-2"/>
          <w:w w:val="110"/>
        </w:rPr>
        <w:t> </w:t>
      </w:r>
      <w:r>
        <w:rPr>
          <w:color w:val="231F20"/>
          <w:w w:val="110"/>
        </w:rPr>
        <w:t>servicio</w:t>
      </w:r>
      <w:r>
        <w:rPr>
          <w:color w:val="231F20"/>
          <w:spacing w:val="-42"/>
          <w:w w:val="110"/>
        </w:rPr>
        <w:t> </w:t>
      </w:r>
      <w:r>
        <w:rPr>
          <w:color w:val="231F20"/>
          <w:w w:val="110"/>
        </w:rPr>
        <w:t>doméstico,</w:t>
      </w:r>
      <w:r>
        <w:rPr>
          <w:color w:val="231F20"/>
          <w:spacing w:val="-42"/>
          <w:w w:val="110"/>
        </w:rPr>
        <w:t> </w:t>
      </w:r>
      <w:r>
        <w:rPr>
          <w:color w:val="231F20"/>
          <w:w w:val="110"/>
        </w:rPr>
        <w:t>preparación</w:t>
      </w:r>
      <w:r>
        <w:rPr>
          <w:color w:val="231F20"/>
          <w:spacing w:val="-42"/>
          <w:w w:val="110"/>
        </w:rPr>
        <w:t> </w:t>
      </w:r>
      <w:r>
        <w:rPr>
          <w:color w:val="231F20"/>
          <w:w w:val="110"/>
        </w:rPr>
        <w:t>de</w:t>
      </w:r>
      <w:r>
        <w:rPr>
          <w:color w:val="231F20"/>
          <w:spacing w:val="-42"/>
          <w:w w:val="110"/>
        </w:rPr>
        <w:t> </w:t>
      </w:r>
      <w:r>
        <w:rPr>
          <w:color w:val="231F20"/>
          <w:w w:val="110"/>
        </w:rPr>
        <w:t>alimentos,</w:t>
      </w:r>
      <w:r>
        <w:rPr>
          <w:color w:val="231F20"/>
          <w:spacing w:val="-42"/>
          <w:w w:val="110"/>
        </w:rPr>
        <w:t> </w:t>
      </w:r>
      <w:r>
        <w:rPr>
          <w:color w:val="231F20"/>
          <w:w w:val="110"/>
        </w:rPr>
        <w:t>limpieza</w:t>
      </w:r>
      <w:r>
        <w:rPr>
          <w:color w:val="231F20"/>
          <w:spacing w:val="-42"/>
          <w:w w:val="110"/>
        </w:rPr>
        <w:t> </w:t>
      </w:r>
      <w:r>
        <w:rPr>
          <w:color w:val="231F20"/>
          <w:w w:val="110"/>
        </w:rPr>
        <w:t>y</w:t>
      </w:r>
      <w:r>
        <w:rPr>
          <w:color w:val="231F20"/>
          <w:spacing w:val="-42"/>
          <w:w w:val="110"/>
        </w:rPr>
        <w:t> </w:t>
      </w:r>
      <w:r>
        <w:rPr>
          <w:color w:val="231F20"/>
          <w:w w:val="110"/>
        </w:rPr>
        <w:t>mantenimien-</w:t>
      </w:r>
      <w:r>
        <w:rPr>
          <w:color w:val="231F20"/>
          <w:w w:val="72"/>
        </w:rPr>
        <w:t> </w:t>
      </w:r>
      <w:r>
        <w:rPr>
          <w:color w:val="231F20"/>
          <w:w w:val="110"/>
        </w:rPr>
        <w:t>to, servicios personales, entre otros). En este estrato</w:t>
      </w:r>
      <w:r>
        <w:rPr>
          <w:color w:val="231F20"/>
          <w:spacing w:val="2"/>
          <w:w w:val="110"/>
        </w:rPr>
        <w:t> </w:t>
      </w:r>
      <w:r>
        <w:rPr>
          <w:color w:val="231F20"/>
          <w:w w:val="110"/>
        </w:rPr>
        <w:t>ocupacional, en</w:t>
      </w:r>
      <w:r>
        <w:rPr>
          <w:color w:val="231F20"/>
          <w:spacing w:val="-2"/>
          <w:w w:val="116"/>
        </w:rPr>
        <w:t> </w:t>
      </w:r>
      <w:r>
        <w:rPr>
          <w:color w:val="231F20"/>
          <w:w w:val="110"/>
        </w:rPr>
        <w:t>2007</w:t>
      </w:r>
      <w:r>
        <w:rPr>
          <w:color w:val="231F20"/>
          <w:spacing w:val="-26"/>
          <w:w w:val="110"/>
        </w:rPr>
        <w:t> </w:t>
      </w:r>
      <w:r>
        <w:rPr>
          <w:color w:val="231F20"/>
          <w:w w:val="110"/>
        </w:rPr>
        <w:t>fueron</w:t>
      </w:r>
      <w:r>
        <w:rPr>
          <w:color w:val="231F20"/>
          <w:spacing w:val="-26"/>
          <w:w w:val="110"/>
        </w:rPr>
        <w:t> </w:t>
      </w:r>
      <w:r>
        <w:rPr>
          <w:color w:val="231F20"/>
          <w:w w:val="110"/>
        </w:rPr>
        <w:t>empleados</w:t>
      </w:r>
      <w:r>
        <w:rPr>
          <w:color w:val="231F20"/>
          <w:spacing w:val="-26"/>
          <w:w w:val="110"/>
        </w:rPr>
        <w:t> </w:t>
      </w:r>
      <w:r>
        <w:rPr>
          <w:color w:val="231F20"/>
          <w:w w:val="110"/>
        </w:rPr>
        <w:t>casi</w:t>
      </w:r>
      <w:r>
        <w:rPr>
          <w:color w:val="231F20"/>
          <w:spacing w:val="-26"/>
          <w:w w:val="110"/>
        </w:rPr>
        <w:t> </w:t>
      </w:r>
      <w:r>
        <w:rPr>
          <w:color w:val="231F20"/>
          <w:w w:val="110"/>
        </w:rPr>
        <w:t>22</w:t>
      </w:r>
      <w:r>
        <w:rPr>
          <w:color w:val="231F20"/>
          <w:spacing w:val="-26"/>
          <w:w w:val="110"/>
        </w:rPr>
        <w:t> </w:t>
      </w:r>
      <w:r>
        <w:rPr>
          <w:color w:val="231F20"/>
          <w:w w:val="110"/>
        </w:rPr>
        <w:t>millones</w:t>
      </w:r>
      <w:r>
        <w:rPr>
          <w:color w:val="231F20"/>
          <w:spacing w:val="-26"/>
          <w:w w:val="110"/>
        </w:rPr>
        <w:t> </w:t>
      </w:r>
      <w:r>
        <w:rPr>
          <w:color w:val="231F20"/>
          <w:w w:val="110"/>
        </w:rPr>
        <w:t>de</w:t>
      </w:r>
      <w:r>
        <w:rPr>
          <w:color w:val="231F20"/>
          <w:spacing w:val="-26"/>
          <w:w w:val="110"/>
        </w:rPr>
        <w:t> </w:t>
      </w:r>
      <w:r>
        <w:rPr>
          <w:color w:val="231F20"/>
          <w:w w:val="110"/>
        </w:rPr>
        <w:t>trabajadores.</w:t>
      </w:r>
      <w:r>
        <w:rPr>
          <w:color w:val="231F20"/>
          <w:spacing w:val="-26"/>
          <w:w w:val="110"/>
        </w:rPr>
        <w:t> </w:t>
      </w:r>
      <w:r>
        <w:rPr>
          <w:color w:val="231F20"/>
          <w:w w:val="110"/>
        </w:rPr>
        <w:t>De</w:t>
      </w:r>
      <w:r>
        <w:rPr>
          <w:color w:val="231F20"/>
          <w:spacing w:val="-26"/>
          <w:w w:val="110"/>
        </w:rPr>
        <w:t> </w:t>
      </w:r>
      <w:r>
        <w:rPr>
          <w:color w:val="231F20"/>
          <w:w w:val="110"/>
        </w:rPr>
        <w:t>ellos,</w:t>
      </w:r>
      <w:r>
        <w:rPr>
          <w:color w:val="231F20"/>
          <w:spacing w:val="-26"/>
          <w:w w:val="110"/>
        </w:rPr>
        <w:t> </w:t>
      </w:r>
      <w:r>
        <w:rPr>
          <w:color w:val="231F20"/>
          <w:w w:val="110"/>
        </w:rPr>
        <w:t>sólo</w:t>
      </w:r>
      <w:r>
        <w:rPr>
          <w:color w:val="231F20"/>
          <w:spacing w:val="-2"/>
          <w:w w:val="105"/>
        </w:rPr>
        <w:t> </w:t>
      </w:r>
      <w:r>
        <w:rPr>
          <w:color w:val="231F20"/>
          <w:w w:val="110"/>
        </w:rPr>
        <w:t>54% correspondió a trabajadores nacidos en los Estados</w:t>
      </w:r>
      <w:r>
        <w:rPr>
          <w:color w:val="231F20"/>
          <w:spacing w:val="42"/>
          <w:w w:val="110"/>
        </w:rPr>
        <w:t> </w:t>
      </w:r>
      <w:r>
        <w:rPr>
          <w:color w:val="231F20"/>
          <w:w w:val="110"/>
        </w:rPr>
        <w:t>Unidos</w:t>
      </w:r>
      <w:r>
        <w:rPr>
          <w:color w:val="231F20"/>
          <w:spacing w:val="12"/>
          <w:w w:val="110"/>
        </w:rPr>
        <w:t> </w:t>
      </w:r>
      <w:r>
        <w:rPr>
          <w:color w:val="231F20"/>
          <w:w w:val="110"/>
        </w:rPr>
        <w:t>de</w:t>
      </w:r>
      <w:r>
        <w:rPr>
          <w:color w:val="231F20"/>
          <w:spacing w:val="-2"/>
          <w:w w:val="114"/>
        </w:rPr>
        <w:t> </w:t>
      </w:r>
      <w:r>
        <w:rPr>
          <w:color w:val="231F20"/>
          <w:w w:val="110"/>
        </w:rPr>
        <w:t>origen</w:t>
      </w:r>
      <w:r>
        <w:rPr>
          <w:color w:val="231F20"/>
          <w:spacing w:val="-25"/>
          <w:w w:val="110"/>
        </w:rPr>
        <w:t> </w:t>
      </w:r>
      <w:r>
        <w:rPr>
          <w:color w:val="231F20"/>
          <w:w w:val="110"/>
        </w:rPr>
        <w:t>blanco</w:t>
      </w:r>
      <w:r>
        <w:rPr>
          <w:color w:val="231F20"/>
          <w:spacing w:val="-25"/>
          <w:w w:val="110"/>
        </w:rPr>
        <w:t> </w:t>
      </w:r>
      <w:r>
        <w:rPr>
          <w:color w:val="231F20"/>
          <w:w w:val="110"/>
        </w:rPr>
        <w:t>no</w:t>
      </w:r>
      <w:r>
        <w:rPr>
          <w:color w:val="231F20"/>
          <w:spacing w:val="-25"/>
          <w:w w:val="110"/>
        </w:rPr>
        <w:t> </w:t>
      </w:r>
      <w:r>
        <w:rPr>
          <w:color w:val="231F20"/>
          <w:w w:val="110"/>
        </w:rPr>
        <w:t>hispano,</w:t>
      </w:r>
      <w:r>
        <w:rPr>
          <w:color w:val="231F20"/>
          <w:spacing w:val="-25"/>
          <w:w w:val="110"/>
        </w:rPr>
        <w:t> </w:t>
      </w:r>
      <w:r>
        <w:rPr>
          <w:color w:val="231F20"/>
          <w:w w:val="110"/>
        </w:rPr>
        <w:t>mientras</w:t>
      </w:r>
      <w:r>
        <w:rPr>
          <w:color w:val="231F20"/>
          <w:spacing w:val="-25"/>
          <w:w w:val="110"/>
        </w:rPr>
        <w:t> </w:t>
      </w:r>
      <w:r>
        <w:rPr>
          <w:color w:val="231F20"/>
          <w:w w:val="110"/>
        </w:rPr>
        <w:t>que</w:t>
      </w:r>
      <w:r>
        <w:rPr>
          <w:color w:val="231F20"/>
          <w:spacing w:val="-25"/>
          <w:w w:val="110"/>
        </w:rPr>
        <w:t> </w:t>
      </w:r>
      <w:r>
        <w:rPr>
          <w:color w:val="231F20"/>
          <w:w w:val="110"/>
        </w:rPr>
        <w:t>los</w:t>
      </w:r>
      <w:r>
        <w:rPr>
          <w:color w:val="231F20"/>
          <w:spacing w:val="-25"/>
          <w:w w:val="110"/>
        </w:rPr>
        <w:t> </w:t>
      </w:r>
      <w:r>
        <w:rPr>
          <w:color w:val="231F20"/>
          <w:w w:val="110"/>
        </w:rPr>
        <w:t>inmigrantes</w:t>
      </w:r>
      <w:r>
        <w:rPr>
          <w:color w:val="231F20"/>
          <w:spacing w:val="-25"/>
          <w:w w:val="110"/>
        </w:rPr>
        <w:t> </w:t>
      </w:r>
      <w:r>
        <w:rPr>
          <w:color w:val="231F20"/>
          <w:w w:val="110"/>
        </w:rPr>
        <w:t>latinoamerica-</w:t>
      </w:r>
      <w:r>
        <w:rPr>
          <w:color w:val="231F20"/>
          <w:w w:val="72"/>
        </w:rPr>
        <w:t> </w:t>
      </w:r>
      <w:r>
        <w:rPr>
          <w:color w:val="231F20"/>
          <w:w w:val="110"/>
        </w:rPr>
        <w:t>nos representaron 16% de los ocupados en este tipo</w:t>
      </w:r>
      <w:r>
        <w:rPr>
          <w:color w:val="231F20"/>
          <w:spacing w:val="22"/>
          <w:w w:val="110"/>
        </w:rPr>
        <w:t> </w:t>
      </w:r>
      <w:r>
        <w:rPr>
          <w:color w:val="231F20"/>
          <w:w w:val="110"/>
        </w:rPr>
        <w:t>de</w:t>
      </w:r>
      <w:r>
        <w:rPr>
          <w:color w:val="231F20"/>
          <w:spacing w:val="2"/>
          <w:w w:val="110"/>
        </w:rPr>
        <w:t> </w:t>
      </w:r>
      <w:r>
        <w:rPr>
          <w:color w:val="231F20"/>
          <w:spacing w:val="-2"/>
          <w:w w:val="110"/>
        </w:rPr>
        <w:t>ocupaciones.</w:t>
      </w:r>
      <w:r>
        <w:rPr>
          <w:color w:val="231F20"/>
          <w:spacing w:val="-2"/>
          <w:w w:val="109"/>
        </w:rPr>
        <w:t> </w:t>
      </w:r>
      <w:r>
        <w:rPr>
          <w:color w:val="231F20"/>
          <w:w w:val="110"/>
        </w:rPr>
        <w:t>En otras palabras, mientras en las actividades de dirección</w:t>
      </w:r>
      <w:r>
        <w:rPr>
          <w:color w:val="231F20"/>
          <w:spacing w:val="10"/>
          <w:w w:val="110"/>
        </w:rPr>
        <w:t> </w:t>
      </w:r>
      <w:r>
        <w:rPr>
          <w:color w:val="231F20"/>
          <w:w w:val="110"/>
        </w:rPr>
        <w:t>se</w:t>
      </w:r>
      <w:r>
        <w:rPr>
          <w:color w:val="231F20"/>
          <w:spacing w:val="13"/>
          <w:w w:val="110"/>
        </w:rPr>
        <w:t> </w:t>
      </w:r>
      <w:r>
        <w:rPr>
          <w:color w:val="231F20"/>
          <w:w w:val="110"/>
        </w:rPr>
        <w:t>da</w:t>
      </w:r>
      <w:r>
        <w:rPr>
          <w:color w:val="231F20"/>
          <w:w w:val="112"/>
        </w:rPr>
        <w:t> </w:t>
      </w:r>
      <w:r>
        <w:rPr>
          <w:color w:val="231F20"/>
          <w:w w:val="110"/>
        </w:rPr>
        <w:t>una relación de 27 trabajadores nativos blancos por</w:t>
      </w:r>
      <w:r>
        <w:rPr>
          <w:color w:val="231F20"/>
          <w:spacing w:val="13"/>
          <w:w w:val="110"/>
        </w:rPr>
        <w:t> </w:t>
      </w:r>
      <w:r>
        <w:rPr>
          <w:color w:val="231F20"/>
          <w:w w:val="110"/>
        </w:rPr>
        <w:t>cada</w:t>
      </w:r>
      <w:r>
        <w:rPr>
          <w:color w:val="231F20"/>
          <w:spacing w:val="8"/>
          <w:w w:val="110"/>
        </w:rPr>
        <w:t> </w:t>
      </w:r>
      <w:r>
        <w:rPr>
          <w:color w:val="231F20"/>
          <w:w w:val="110"/>
        </w:rPr>
        <w:t>trabajador</w:t>
      </w:r>
      <w:r>
        <w:rPr>
          <w:color w:val="231F20"/>
          <w:w w:val="111"/>
        </w:rPr>
        <w:t> </w:t>
      </w:r>
      <w:r>
        <w:rPr>
          <w:color w:val="231F20"/>
          <w:w w:val="110"/>
        </w:rPr>
        <w:t>inmigrante latinoamericano, en la construcción y las tareas</w:t>
      </w:r>
      <w:r>
        <w:rPr>
          <w:color w:val="231F20"/>
          <w:spacing w:val="-28"/>
          <w:w w:val="110"/>
        </w:rPr>
        <w:t> </w:t>
      </w:r>
      <w:r>
        <w:rPr>
          <w:color w:val="231F20"/>
          <w:w w:val="110"/>
        </w:rPr>
        <w:t>de</w:t>
      </w:r>
      <w:r>
        <w:rPr>
          <w:color w:val="231F20"/>
          <w:spacing w:val="-4"/>
          <w:w w:val="110"/>
        </w:rPr>
        <w:t> </w:t>
      </w:r>
      <w:r>
        <w:rPr>
          <w:color w:val="231F20"/>
          <w:w w:val="110"/>
        </w:rPr>
        <w:t>repro-</w:t>
      </w:r>
      <w:r>
        <w:rPr>
          <w:color w:val="231F20"/>
          <w:w w:val="72"/>
        </w:rPr>
        <w:t> </w:t>
      </w:r>
      <w:r>
        <w:rPr>
          <w:color w:val="231F20"/>
          <w:w w:val="110"/>
        </w:rPr>
        <w:t>ducción</w:t>
      </w:r>
      <w:r>
        <w:rPr>
          <w:color w:val="231F20"/>
          <w:spacing w:val="-20"/>
          <w:w w:val="110"/>
        </w:rPr>
        <w:t> </w:t>
      </w:r>
      <w:r>
        <w:rPr>
          <w:color w:val="231F20"/>
          <w:w w:val="110"/>
        </w:rPr>
        <w:t>social</w:t>
      </w:r>
      <w:r>
        <w:rPr>
          <w:color w:val="231F20"/>
          <w:spacing w:val="-20"/>
          <w:w w:val="110"/>
        </w:rPr>
        <w:t> </w:t>
      </w:r>
      <w:r>
        <w:rPr>
          <w:color w:val="231F20"/>
          <w:w w:val="110"/>
        </w:rPr>
        <w:t>esta</w:t>
      </w:r>
      <w:r>
        <w:rPr>
          <w:color w:val="231F20"/>
          <w:spacing w:val="-20"/>
          <w:w w:val="110"/>
        </w:rPr>
        <w:t> </w:t>
      </w:r>
      <w:r>
        <w:rPr>
          <w:color w:val="231F20"/>
          <w:w w:val="110"/>
        </w:rPr>
        <w:t>relación</w:t>
      </w:r>
      <w:r>
        <w:rPr>
          <w:color w:val="231F20"/>
          <w:spacing w:val="-20"/>
          <w:w w:val="110"/>
        </w:rPr>
        <w:t> </w:t>
      </w:r>
      <w:r>
        <w:rPr>
          <w:color w:val="231F20"/>
          <w:w w:val="110"/>
        </w:rPr>
        <w:t>se</w:t>
      </w:r>
      <w:r>
        <w:rPr>
          <w:color w:val="231F20"/>
          <w:spacing w:val="-20"/>
          <w:w w:val="110"/>
        </w:rPr>
        <w:t> </w:t>
      </w:r>
      <w:r>
        <w:rPr>
          <w:color w:val="231F20"/>
          <w:w w:val="110"/>
        </w:rPr>
        <w:t>reduce</w:t>
      </w:r>
      <w:r>
        <w:rPr>
          <w:color w:val="231F20"/>
          <w:spacing w:val="-20"/>
          <w:w w:val="110"/>
        </w:rPr>
        <w:t> </w:t>
      </w:r>
      <w:r>
        <w:rPr>
          <w:color w:val="231F20"/>
          <w:w w:val="110"/>
        </w:rPr>
        <w:t>a</w:t>
      </w:r>
      <w:r>
        <w:rPr>
          <w:color w:val="231F20"/>
          <w:spacing w:val="-20"/>
          <w:w w:val="110"/>
        </w:rPr>
        <w:t> </w:t>
      </w:r>
      <w:r>
        <w:rPr>
          <w:color w:val="231F20"/>
          <w:w w:val="110"/>
        </w:rPr>
        <w:t>sólo</w:t>
      </w:r>
      <w:r>
        <w:rPr>
          <w:color w:val="231F20"/>
          <w:spacing w:val="-20"/>
          <w:w w:val="110"/>
        </w:rPr>
        <w:t> </w:t>
      </w:r>
      <w:r>
        <w:rPr>
          <w:color w:val="231F20"/>
          <w:w w:val="110"/>
        </w:rPr>
        <w:t>2</w:t>
      </w:r>
      <w:r>
        <w:rPr>
          <w:color w:val="231F20"/>
          <w:spacing w:val="-20"/>
          <w:w w:val="110"/>
        </w:rPr>
        <w:t> </w:t>
      </w:r>
      <w:r>
        <w:rPr>
          <w:color w:val="231F20"/>
          <w:w w:val="110"/>
        </w:rPr>
        <w:t>y</w:t>
      </w:r>
      <w:r>
        <w:rPr>
          <w:color w:val="231F20"/>
          <w:spacing w:val="-20"/>
          <w:w w:val="110"/>
        </w:rPr>
        <w:t> </w:t>
      </w:r>
      <w:r>
        <w:rPr>
          <w:color w:val="231F20"/>
          <w:w w:val="110"/>
        </w:rPr>
        <w:t>3</w:t>
      </w:r>
      <w:r>
        <w:rPr>
          <w:color w:val="231F20"/>
          <w:spacing w:val="-20"/>
          <w:w w:val="110"/>
        </w:rPr>
        <w:t> </w:t>
      </w:r>
      <w:r>
        <w:rPr>
          <w:color w:val="231F20"/>
          <w:w w:val="110"/>
        </w:rPr>
        <w:t>trabajadores</w:t>
      </w:r>
      <w:r>
        <w:rPr>
          <w:color w:val="231F20"/>
          <w:spacing w:val="-20"/>
          <w:w w:val="110"/>
        </w:rPr>
        <w:t> </w:t>
      </w:r>
      <w:r>
        <w:rPr>
          <w:color w:val="231F20"/>
          <w:w w:val="110"/>
        </w:rPr>
        <w:t>blancos</w:t>
      </w:r>
    </w:p>
    <w:p>
      <w:pPr>
        <w:pStyle w:val="BodyText"/>
        <w:ind w:left="100" w:right="25"/>
      </w:pPr>
      <w:r>
        <w:rPr>
          <w:color w:val="231F20"/>
          <w:w w:val="110"/>
        </w:rPr>
        <w:t>por cada trabajador inmigrante latinoamericano,  respectivamente.</w:t>
      </w:r>
    </w:p>
    <w:p>
      <w:pPr>
        <w:pStyle w:val="BodyText"/>
        <w:spacing w:line="261" w:lineRule="auto" w:before="20"/>
        <w:ind w:left="100" w:right="113" w:firstLine="240"/>
        <w:jc w:val="both"/>
      </w:pPr>
      <w:r>
        <w:rPr>
          <w:color w:val="231F20"/>
          <w:spacing w:val="3"/>
          <w:w w:val="105"/>
        </w:rPr>
        <w:t>Esta diferente composición étnico-migratoria </w:t>
      </w:r>
      <w:r>
        <w:rPr>
          <w:color w:val="231F20"/>
          <w:w w:val="105"/>
        </w:rPr>
        <w:t>de </w:t>
      </w:r>
      <w:r>
        <w:rPr>
          <w:color w:val="231F20"/>
          <w:spacing w:val="3"/>
          <w:w w:val="105"/>
        </w:rPr>
        <w:t>cada </w:t>
      </w:r>
      <w:r>
        <w:rPr>
          <w:color w:val="231F20"/>
          <w:spacing w:val="4"/>
          <w:w w:val="105"/>
        </w:rPr>
        <w:t>estrato </w:t>
      </w:r>
      <w:r>
        <w:rPr>
          <w:color w:val="231F20"/>
          <w:w w:val="105"/>
        </w:rPr>
        <w:t>socio-ocupacional, refleja las diferencias en cuanto a la especializa- ción laboral de cada grupo étnico y migratorio. Resulta evidente que mientras los trabajadores nativos de origen blanco se concentran preferentemente en las ocupaciones de mayor nivel socioeconómico, los inmigrantes  latinoamericanos  suelen  insertarse  en  los  trabajos  de menor calificación y estatus socioeconómico, tales como la cons- trucción y las diversas tareas que sustentan la reproducción social y cotidiana  de  la  población</w:t>
      </w:r>
      <w:r>
        <w:rPr>
          <w:color w:val="231F20"/>
          <w:spacing w:val="-5"/>
          <w:w w:val="105"/>
        </w:rPr>
        <w:t> </w:t>
      </w:r>
      <w:r>
        <w:rPr>
          <w:color w:val="231F20"/>
          <w:w w:val="105"/>
        </w:rPr>
        <w:t>nativa.</w:t>
      </w:r>
    </w:p>
    <w:p>
      <w:pPr>
        <w:pStyle w:val="BodyText"/>
        <w:spacing w:line="261" w:lineRule="auto"/>
        <w:ind w:left="100" w:right="117" w:firstLine="240"/>
        <w:jc w:val="both"/>
      </w:pPr>
      <w:r>
        <w:rPr>
          <w:color w:val="231F20"/>
          <w:w w:val="105"/>
        </w:rPr>
        <w:t>Esta especialización de los inmigrantes latinoamericanos  en  ta-  reas de la reproducción social, se hace aún más evidente, cuando analizamos la composición del crecimiento del empleo en este tipo     de puestos de trabajo y lo comparamos con la composición del cre- cimiento en el otro extremo de la estratificación socio-ocupacional, esto es, en los puestos de   </w:t>
      </w:r>
      <w:r>
        <w:rPr>
          <w:color w:val="231F20"/>
          <w:spacing w:val="22"/>
          <w:w w:val="105"/>
        </w:rPr>
        <w:t> </w:t>
      </w:r>
      <w:r>
        <w:rPr>
          <w:color w:val="231F20"/>
          <w:w w:val="105"/>
        </w:rPr>
        <w:t>dirección.</w:t>
      </w:r>
    </w:p>
    <w:p>
      <w:pPr>
        <w:pStyle w:val="BodyText"/>
        <w:spacing w:line="261" w:lineRule="auto"/>
        <w:ind w:left="100" w:right="119" w:firstLine="240"/>
        <w:jc w:val="both"/>
      </w:pPr>
      <w:r>
        <w:rPr>
          <w:color w:val="231F20"/>
          <w:w w:val="110"/>
        </w:rPr>
        <w:t>Entre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2000</w:t>
      </w:r>
      <w:r>
        <w:rPr>
          <w:color w:val="231F20"/>
          <w:spacing w:val="-6"/>
          <w:w w:val="110"/>
        </w:rPr>
        <w:t> </w:t>
      </w:r>
      <w:r>
        <w:rPr>
          <w:color w:val="231F20"/>
          <w:w w:val="110"/>
        </w:rPr>
        <w:t>y</w:t>
      </w:r>
      <w:r>
        <w:rPr>
          <w:color w:val="231F20"/>
          <w:spacing w:val="-6"/>
          <w:w w:val="110"/>
        </w:rPr>
        <w:t> </w:t>
      </w:r>
      <w:r>
        <w:rPr>
          <w:color w:val="231F20"/>
          <w:w w:val="110"/>
        </w:rPr>
        <w:t>2007,</w:t>
      </w:r>
      <w:r>
        <w:rPr>
          <w:color w:val="231F20"/>
          <w:spacing w:val="-6"/>
          <w:w w:val="110"/>
        </w:rPr>
        <w:t> </w:t>
      </w:r>
      <w:r>
        <w:rPr>
          <w:color w:val="231F20"/>
          <w:w w:val="110"/>
        </w:rPr>
        <w:t>los</w:t>
      </w:r>
      <w:r>
        <w:rPr>
          <w:color w:val="231F20"/>
          <w:spacing w:val="-6"/>
          <w:w w:val="110"/>
        </w:rPr>
        <w:t> </w:t>
      </w:r>
      <w:r>
        <w:rPr>
          <w:color w:val="231F20"/>
          <w:w w:val="110"/>
        </w:rPr>
        <w:t>puestos</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para</w:t>
      </w:r>
      <w:r>
        <w:rPr>
          <w:color w:val="231F20"/>
          <w:spacing w:val="-6"/>
          <w:w w:val="110"/>
        </w:rPr>
        <w:t> </w:t>
      </w:r>
      <w:r>
        <w:rPr>
          <w:color w:val="231F20"/>
          <w:w w:val="110"/>
        </w:rPr>
        <w:t>directivos,</w:t>
      </w:r>
      <w:r>
        <w:rPr>
          <w:color w:val="231F20"/>
          <w:w w:val="105"/>
        </w:rPr>
        <w:t> </w:t>
      </w:r>
      <w:r>
        <w:rPr>
          <w:color w:val="231F20"/>
          <w:w w:val="110"/>
        </w:rPr>
        <w:t>ejecutivos</w:t>
      </w:r>
      <w:r>
        <w:rPr>
          <w:color w:val="231F20"/>
          <w:spacing w:val="-10"/>
          <w:w w:val="110"/>
        </w:rPr>
        <w:t> </w:t>
      </w:r>
      <w:r>
        <w:rPr>
          <w:color w:val="231F20"/>
          <w:w w:val="110"/>
        </w:rPr>
        <w:t>y</w:t>
      </w:r>
      <w:r>
        <w:rPr>
          <w:color w:val="231F20"/>
          <w:spacing w:val="-10"/>
          <w:w w:val="110"/>
        </w:rPr>
        <w:t> </w:t>
      </w:r>
      <w:r>
        <w:rPr>
          <w:color w:val="231F20"/>
          <w:w w:val="110"/>
        </w:rPr>
        <w:t>profesionales,</w:t>
      </w:r>
      <w:r>
        <w:rPr>
          <w:color w:val="231F20"/>
          <w:spacing w:val="-10"/>
          <w:w w:val="110"/>
        </w:rPr>
        <w:t> </w:t>
      </w:r>
      <w:r>
        <w:rPr>
          <w:color w:val="231F20"/>
          <w:w w:val="110"/>
        </w:rPr>
        <w:t>se</w:t>
      </w:r>
      <w:r>
        <w:rPr>
          <w:color w:val="231F20"/>
          <w:spacing w:val="-10"/>
          <w:w w:val="110"/>
        </w:rPr>
        <w:t> </w:t>
      </w:r>
      <w:r>
        <w:rPr>
          <w:color w:val="231F20"/>
          <w:w w:val="110"/>
        </w:rPr>
        <w:t>incrementaron</w:t>
      </w:r>
      <w:r>
        <w:rPr>
          <w:color w:val="231F20"/>
          <w:spacing w:val="-10"/>
          <w:w w:val="110"/>
        </w:rPr>
        <w:t> </w:t>
      </w:r>
      <w:r>
        <w:rPr>
          <w:color w:val="231F20"/>
          <w:w w:val="110"/>
        </w:rPr>
        <w:t>en</w:t>
      </w:r>
      <w:r>
        <w:rPr>
          <w:color w:val="231F20"/>
          <w:spacing w:val="-10"/>
          <w:w w:val="110"/>
        </w:rPr>
        <w:t> </w:t>
      </w:r>
      <w:r>
        <w:rPr>
          <w:color w:val="231F20"/>
          <w:w w:val="110"/>
        </w:rPr>
        <w:t>7.1</w:t>
      </w:r>
      <w:r>
        <w:rPr>
          <w:color w:val="231F20"/>
          <w:spacing w:val="-10"/>
          <w:w w:val="110"/>
        </w:rPr>
        <w:t> </w:t>
      </w:r>
      <w:r>
        <w:rPr>
          <w:color w:val="231F20"/>
          <w:w w:val="110"/>
        </w:rPr>
        <w:t>millones,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vez que los vinculados a la reproducción social lo hicieron en</w:t>
      </w:r>
      <w:r>
        <w:rPr>
          <w:color w:val="231F20"/>
          <w:spacing w:val="22"/>
          <w:w w:val="110"/>
        </w:rPr>
        <w:t> </w:t>
      </w:r>
      <w:r>
        <w:rPr>
          <w:color w:val="231F20"/>
          <w:w w:val="110"/>
        </w:rPr>
        <w:t>4.4</w:t>
      </w:r>
      <w:r>
        <w:rPr>
          <w:color w:val="231F20"/>
          <w:spacing w:val="2"/>
          <w:w w:val="110"/>
        </w:rPr>
        <w:t> </w:t>
      </w:r>
      <w:r>
        <w:rPr>
          <w:color w:val="231F20"/>
          <w:w w:val="110"/>
        </w:rPr>
        <w:t>millo-</w:t>
      </w:r>
      <w:r>
        <w:rPr>
          <w:color w:val="231F20"/>
          <w:w w:val="72"/>
        </w:rPr>
        <w:t> </w:t>
      </w:r>
      <w:r>
        <w:rPr>
          <w:color w:val="231F20"/>
          <w:w w:val="110"/>
        </w:rPr>
        <w:t>nes. Sin embargo, la composición étnica de este crecimiento es muy diferente en uno y otro </w:t>
      </w:r>
      <w:r>
        <w:rPr>
          <w:color w:val="231F20"/>
          <w:spacing w:val="9"/>
          <w:w w:val="110"/>
        </w:rPr>
        <w:t> </w:t>
      </w:r>
      <w:r>
        <w:rPr>
          <w:color w:val="231F20"/>
          <w:w w:val="110"/>
        </w:rPr>
        <w:t>caso.</w:t>
      </w:r>
    </w:p>
    <w:p>
      <w:pPr>
        <w:pStyle w:val="BodyText"/>
        <w:spacing w:line="261" w:lineRule="auto"/>
        <w:ind w:left="100" w:right="117" w:firstLine="240"/>
        <w:jc w:val="both"/>
      </w:pPr>
      <w:r>
        <w:rPr>
          <w:color w:val="231F20"/>
          <w:w w:val="110"/>
        </w:rPr>
        <w:t>Mientras, en el caso de los puestos de dirección, 55% de estos nuevos empleos fue para trabajadores blancos no latinos y sólo el 6% para inmigrantes latinoamericanos, en el caso de los puestos de la reproducción social, sólo 32% de los nuevos empleos fue para nativos blancos no hispanos, mientras que 34% fue para</w:t>
      </w:r>
      <w:r>
        <w:rPr>
          <w:color w:val="231F20"/>
          <w:spacing w:val="-24"/>
          <w:w w:val="110"/>
        </w:rPr>
        <w:t> </w:t>
      </w:r>
      <w:r>
        <w:rPr>
          <w:color w:val="231F20"/>
          <w:w w:val="110"/>
        </w:rPr>
        <w:t>inmigrantes latinoamericanos.</w:t>
      </w:r>
    </w:p>
    <w:p>
      <w:pPr>
        <w:spacing w:after="0" w:line="261" w:lineRule="auto"/>
        <w:jc w:val="both"/>
        <w:sectPr>
          <w:pgSz w:w="7640" w:h="11900"/>
          <w:pgMar w:header="672" w:footer="0" w:top="860" w:bottom="280" w:left="660" w:right="760"/>
        </w:sectPr>
      </w:pPr>
    </w:p>
    <w:p>
      <w:pPr>
        <w:pStyle w:val="BodyText"/>
        <w:spacing w:before="9"/>
        <w:rPr>
          <w:sz w:val="8"/>
        </w:rPr>
      </w:pPr>
    </w:p>
    <w:p>
      <w:pPr>
        <w:spacing w:line="290" w:lineRule="auto" w:before="70"/>
        <w:ind w:left="100" w:right="586" w:firstLine="0"/>
        <w:jc w:val="left"/>
        <w:rPr>
          <w:sz w:val="18"/>
        </w:rPr>
      </w:pPr>
      <w:r>
        <w:rPr>
          <w:color w:val="231F20"/>
          <w:w w:val="120"/>
          <w:sz w:val="18"/>
        </w:rPr>
        <w:t>gráfica 2. composición del crecimiento del empleo en puestos   de dirección y de reproducción social, según principales grupos étnicos y migratorios, estados unidos,</w:t>
      </w:r>
      <w:r>
        <w:rPr>
          <w:color w:val="231F20"/>
          <w:spacing w:val="49"/>
          <w:w w:val="120"/>
          <w:sz w:val="18"/>
        </w:rPr>
        <w:t> </w:t>
      </w:r>
      <w:r>
        <w:rPr>
          <w:color w:val="231F20"/>
          <w:w w:val="120"/>
          <w:sz w:val="18"/>
        </w:rPr>
        <w:t>2000-2007</w:t>
      </w:r>
    </w:p>
    <w:p>
      <w:pPr>
        <w:spacing w:before="90"/>
        <w:ind w:left="1451" w:right="25" w:firstLine="0"/>
        <w:jc w:val="left"/>
        <w:rPr>
          <w:sz w:val="16"/>
        </w:rPr>
      </w:pPr>
      <w:r>
        <w:rPr/>
        <w:pict>
          <v:group style="position:absolute;margin-left:46.631367pt;margin-top:13.340729pt;width:122.6pt;height:119.45pt;mso-position-horizontal-relative:page;mso-position-vertical-relative:paragraph;z-index:-349384" coordorigin="933,267" coordsize="2452,2389">
            <v:shape style="position:absolute;left:933;top:338;width:1340;height:2256" type="#_x0000_t75" stroked="false">
              <v:imagedata r:id="rId222" o:title=""/>
            </v:shape>
            <v:shape style="position:absolute;left:2138;top:1547;width:719;height:1108" type="#_x0000_t75" stroked="false">
              <v:imagedata r:id="rId223" o:title=""/>
            </v:shape>
            <v:shape style="position:absolute;left:2166;top:1504;width:988;height:869" type="#_x0000_t75" stroked="false">
              <v:imagedata r:id="rId224" o:title=""/>
            </v:shape>
            <v:shape style="position:absolute;left:2260;top:1479;width:1124;height:543" type="#_x0000_t75" stroked="false">
              <v:imagedata r:id="rId225" o:title=""/>
            </v:shape>
            <v:shape style="position:absolute;left:2188;top:377;width:1128;height:1049" type="#_x0000_t75" stroked="false">
              <v:imagedata r:id="rId226" o:title=""/>
            </v:shape>
            <v:shape style="position:absolute;left:2119;top:267;width:415;height:1128" type="#_x0000_t75" stroked="false">
              <v:imagedata r:id="rId227" o:title=""/>
            </v:shape>
            <w10:wrap type="none"/>
          </v:group>
        </w:pict>
      </w:r>
      <w:r>
        <w:rPr>
          <w:color w:val="231F20"/>
          <w:w w:val="110"/>
          <w:sz w:val="16"/>
        </w:rPr>
        <w:t>Inmigrante latinoamericano 6%</w:t>
      </w:r>
    </w:p>
    <w:p>
      <w:pPr>
        <w:pStyle w:val="BodyText"/>
        <w:rPr>
          <w:sz w:val="16"/>
        </w:rPr>
      </w:pPr>
    </w:p>
    <w:p>
      <w:pPr>
        <w:pStyle w:val="BodyText"/>
        <w:rPr>
          <w:sz w:val="16"/>
        </w:rPr>
      </w:pPr>
    </w:p>
    <w:p>
      <w:pPr>
        <w:spacing w:line="180" w:lineRule="exact" w:before="101"/>
        <w:ind w:left="1948" w:right="3119" w:firstLine="0"/>
        <w:jc w:val="center"/>
        <w:rPr>
          <w:sz w:val="16"/>
        </w:rPr>
      </w:pPr>
      <w:r>
        <w:rPr>
          <w:color w:val="231F20"/>
          <w:w w:val="110"/>
          <w:sz w:val="16"/>
        </w:rPr>
        <w:t>Otro inmigrante</w:t>
      </w:r>
      <w:r>
        <w:rPr>
          <w:color w:val="231F20"/>
          <w:w w:val="111"/>
          <w:sz w:val="16"/>
        </w:rPr>
        <w:t> </w:t>
      </w:r>
      <w:r>
        <w:rPr>
          <w:color w:val="231F20"/>
          <w:w w:val="110"/>
          <w:sz w:val="16"/>
        </w:rPr>
        <w:t>19%</w:t>
      </w:r>
    </w:p>
    <w:p>
      <w:pPr>
        <w:spacing w:after="0" w:line="180" w:lineRule="exact"/>
        <w:jc w:val="center"/>
        <w:rPr>
          <w:sz w:val="16"/>
        </w:rPr>
        <w:sectPr>
          <w:pgSz w:w="7640" w:h="11900"/>
          <w:pgMar w:header="672" w:footer="0" w:top="860" w:bottom="280" w:left="780" w:right="640"/>
        </w:sectPr>
      </w:pPr>
    </w:p>
    <w:p>
      <w:pPr>
        <w:pStyle w:val="BodyText"/>
        <w:spacing w:before="1"/>
        <w:rPr>
          <w:sz w:val="15"/>
        </w:rPr>
      </w:pPr>
    </w:p>
    <w:p>
      <w:pPr>
        <w:spacing w:line="180" w:lineRule="exact" w:before="0"/>
        <w:ind w:left="233" w:right="718" w:firstLine="20"/>
        <w:jc w:val="left"/>
        <w:rPr>
          <w:sz w:val="16"/>
        </w:rPr>
      </w:pPr>
      <w:r>
        <w:rPr>
          <w:color w:val="FFFFFF"/>
          <w:w w:val="110"/>
          <w:sz w:val="16"/>
        </w:rPr>
        <w:t>Nativo blanco no nativo 53%</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00"/>
        <w:ind w:left="1047" w:right="-18" w:firstLine="0"/>
        <w:jc w:val="left"/>
        <w:rPr>
          <w:sz w:val="16"/>
        </w:rPr>
      </w:pPr>
      <w:r>
        <w:rPr>
          <w:color w:val="231F20"/>
          <w:w w:val="110"/>
          <w:sz w:val="16"/>
        </w:rPr>
        <w:t>Otro nativo</w:t>
      </w:r>
      <w:r>
        <w:rPr>
          <w:color w:val="231F20"/>
          <w:spacing w:val="-15"/>
          <w:w w:val="110"/>
          <w:sz w:val="16"/>
        </w:rPr>
        <w:t> </w:t>
      </w:r>
      <w:r>
        <w:rPr>
          <w:color w:val="231F20"/>
          <w:w w:val="110"/>
          <w:sz w:val="16"/>
        </w:rPr>
        <w:t>8%</w:t>
      </w:r>
    </w:p>
    <w:p>
      <w:pPr>
        <w:pStyle w:val="BodyText"/>
        <w:rPr>
          <w:sz w:val="16"/>
        </w:rPr>
      </w:pPr>
      <w:r>
        <w:rPr/>
        <w:br w:type="column"/>
      </w:r>
      <w:r>
        <w:rPr>
          <w:sz w:val="16"/>
        </w:rPr>
      </w:r>
    </w:p>
    <w:p>
      <w:pPr>
        <w:pStyle w:val="BodyText"/>
        <w:rPr>
          <w:sz w:val="16"/>
        </w:rPr>
      </w:pPr>
    </w:p>
    <w:p>
      <w:pPr>
        <w:pStyle w:val="BodyText"/>
        <w:spacing w:before="10"/>
        <w:rPr>
          <w:sz w:val="13"/>
        </w:rPr>
      </w:pPr>
    </w:p>
    <w:p>
      <w:pPr>
        <w:spacing w:line="180" w:lineRule="exact" w:before="0"/>
        <w:ind w:left="406" w:right="0" w:firstLine="110"/>
        <w:jc w:val="left"/>
        <w:rPr>
          <w:sz w:val="16"/>
        </w:rPr>
      </w:pPr>
      <w:r>
        <w:rPr>
          <w:color w:val="231F20"/>
          <w:w w:val="105"/>
          <w:sz w:val="16"/>
        </w:rPr>
        <w:t>Nativo latino 8%</w:t>
      </w:r>
    </w:p>
    <w:p>
      <w:pPr>
        <w:pStyle w:val="BodyText"/>
        <w:spacing w:before="8"/>
        <w:rPr>
          <w:sz w:val="16"/>
        </w:rPr>
      </w:pPr>
    </w:p>
    <w:p>
      <w:pPr>
        <w:spacing w:line="180" w:lineRule="exact" w:before="0"/>
        <w:ind w:left="107" w:right="0" w:hanging="4"/>
        <w:jc w:val="left"/>
        <w:rPr>
          <w:sz w:val="16"/>
        </w:rPr>
      </w:pPr>
      <w:r>
        <w:rPr>
          <w:color w:val="231F20"/>
          <w:w w:val="110"/>
          <w:sz w:val="16"/>
        </w:rPr>
        <w:t>Nativo negro no latino 6%</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23"/>
        </w:rPr>
      </w:pPr>
    </w:p>
    <w:p>
      <w:pPr>
        <w:spacing w:line="180" w:lineRule="exact" w:before="0"/>
        <w:ind w:left="183" w:right="-18" w:firstLine="9"/>
        <w:jc w:val="left"/>
        <w:rPr>
          <w:sz w:val="16"/>
        </w:rPr>
      </w:pPr>
      <w:r>
        <w:rPr>
          <w:color w:val="FFFFFF"/>
          <w:w w:val="110"/>
          <w:sz w:val="16"/>
        </w:rPr>
        <w:t>Nativo</w:t>
      </w:r>
      <w:r>
        <w:rPr>
          <w:color w:val="FFFFFF"/>
          <w:spacing w:val="-24"/>
          <w:w w:val="110"/>
          <w:sz w:val="16"/>
        </w:rPr>
        <w:t> </w:t>
      </w:r>
      <w:r>
        <w:rPr>
          <w:color w:val="FFFFFF"/>
          <w:w w:val="110"/>
          <w:sz w:val="16"/>
        </w:rPr>
        <w:t>blanco no latino</w:t>
      </w:r>
      <w:r>
        <w:rPr>
          <w:color w:val="FFFFFF"/>
          <w:spacing w:val="-7"/>
          <w:w w:val="110"/>
          <w:sz w:val="16"/>
        </w:rPr>
        <w:t> </w:t>
      </w:r>
      <w:r>
        <w:rPr>
          <w:color w:val="FFFFFF"/>
          <w:w w:val="110"/>
          <w:sz w:val="16"/>
        </w:rPr>
        <w:t>32%</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spacing w:line="180" w:lineRule="exact" w:before="144"/>
        <w:ind w:left="307" w:right="0" w:hanging="125"/>
        <w:jc w:val="left"/>
        <w:rPr>
          <w:sz w:val="16"/>
        </w:rPr>
      </w:pPr>
      <w:r>
        <w:rPr>
          <w:color w:val="231F20"/>
          <w:w w:val="110"/>
          <w:sz w:val="16"/>
        </w:rPr>
        <w:t>Inmigrante latinoa- mericano 634%</w:t>
      </w:r>
    </w:p>
    <w:p>
      <w:pPr>
        <w:spacing w:after="0" w:line="180" w:lineRule="exact"/>
        <w:jc w:val="left"/>
        <w:rPr>
          <w:sz w:val="16"/>
        </w:rPr>
        <w:sectPr>
          <w:type w:val="continuous"/>
          <w:pgSz w:w="7640" w:h="11900"/>
          <w:pgMar w:top="980" w:bottom="280" w:left="780" w:right="640"/>
          <w:cols w:num="4" w:equalWidth="0">
            <w:col w:w="2120" w:space="40"/>
            <w:col w:w="1079" w:space="40"/>
            <w:col w:w="1166" w:space="40"/>
            <w:col w:w="1735"/>
          </w:cols>
        </w:sectPr>
      </w:pPr>
    </w:p>
    <w:p>
      <w:pPr>
        <w:pStyle w:val="BodyText"/>
      </w:pPr>
    </w:p>
    <w:p>
      <w:pPr>
        <w:pStyle w:val="BodyText"/>
        <w:spacing w:before="6"/>
        <w:rPr>
          <w:sz w:val="21"/>
        </w:rPr>
      </w:pPr>
    </w:p>
    <w:p>
      <w:pPr>
        <w:spacing w:after="0"/>
        <w:rPr>
          <w:sz w:val="21"/>
        </w:rPr>
        <w:sectPr>
          <w:type w:val="continuous"/>
          <w:pgSz w:w="7640" w:h="11900"/>
          <w:pgMar w:top="980" w:bottom="280" w:left="780" w:right="640"/>
        </w:sectPr>
      </w:pPr>
    </w:p>
    <w:p>
      <w:pPr>
        <w:spacing w:before="74"/>
        <w:ind w:left="2388" w:right="0" w:firstLine="0"/>
        <w:jc w:val="left"/>
        <w:rPr>
          <w:sz w:val="16"/>
        </w:rPr>
      </w:pPr>
      <w:r>
        <w:rPr>
          <w:color w:val="231F20"/>
          <w:w w:val="110"/>
          <w:sz w:val="16"/>
        </w:rPr>
        <w:t>Otro nativo 7%</w:t>
      </w:r>
    </w:p>
    <w:p>
      <w:pPr>
        <w:spacing w:before="128"/>
        <w:ind w:left="1886" w:right="0" w:firstLine="0"/>
        <w:jc w:val="left"/>
        <w:rPr>
          <w:sz w:val="16"/>
        </w:rPr>
      </w:pPr>
      <w:r>
        <w:rPr>
          <w:color w:val="231F20"/>
          <w:w w:val="110"/>
          <w:sz w:val="16"/>
        </w:rPr>
        <w:t>Nativo negro no latino 3%</w:t>
      </w:r>
    </w:p>
    <w:p>
      <w:pPr>
        <w:spacing w:before="32"/>
        <w:ind w:left="0" w:right="0" w:firstLine="0"/>
        <w:jc w:val="right"/>
        <w:rPr>
          <w:sz w:val="16"/>
        </w:rPr>
      </w:pPr>
      <w:r>
        <w:rPr>
          <w:color w:val="231F20"/>
          <w:w w:val="105"/>
          <w:sz w:val="16"/>
        </w:rPr>
        <w:t>Nativo latino 9%</w:t>
      </w:r>
    </w:p>
    <w:p>
      <w:pPr>
        <w:spacing w:line="180" w:lineRule="exact" w:before="125"/>
        <w:ind w:left="819" w:right="0" w:hanging="421"/>
        <w:jc w:val="left"/>
        <w:rPr>
          <w:sz w:val="16"/>
        </w:rPr>
      </w:pPr>
      <w:r>
        <w:rPr/>
        <w:br w:type="column"/>
      </w:r>
      <w:r>
        <w:rPr>
          <w:color w:val="231F20"/>
          <w:w w:val="110"/>
          <w:sz w:val="16"/>
        </w:rPr>
        <w:t>Otro inmigrante 15%</w:t>
      </w:r>
    </w:p>
    <w:p>
      <w:pPr>
        <w:spacing w:after="0" w:line="180" w:lineRule="exact"/>
        <w:jc w:val="left"/>
        <w:rPr>
          <w:sz w:val="16"/>
        </w:rPr>
        <w:sectPr>
          <w:type w:val="continuous"/>
          <w:pgSz w:w="7640" w:h="11900"/>
          <w:pgMar w:top="980" w:bottom="280" w:left="780" w:right="640"/>
          <w:cols w:num="2" w:equalWidth="0">
            <w:col w:w="4437" w:space="40"/>
            <w:col w:w="1743"/>
          </w:cols>
        </w:sectPr>
      </w:pPr>
    </w:p>
    <w:p>
      <w:pPr>
        <w:spacing w:line="276" w:lineRule="auto" w:before="98"/>
        <w:ind w:left="100" w:right="239" w:firstLine="0"/>
        <w:jc w:val="left"/>
        <w:rPr>
          <w:sz w:val="18"/>
        </w:rPr>
      </w:pPr>
      <w:r>
        <w:rPr/>
        <w:pict>
          <v:group style="position:absolute;margin-left:208.401627pt;margin-top:-126.369408pt;width:115.9pt;height:118.25pt;mso-position-horizontal-relative:page;mso-position-vertical-relative:paragraph;z-index:-349360" coordorigin="4168,-2527" coordsize="2318,2365">
            <v:shape style="position:absolute;left:4168;top:-2527;width:1128;height:1608" type="#_x0000_t75" stroked="false">
              <v:imagedata r:id="rId228" o:title=""/>
            </v:shape>
            <v:shape style="position:absolute;left:4245;top:-1314;width:1021;height:869" type="#_x0000_t75" stroked="false">
              <v:imagedata r:id="rId229" o:title=""/>
            </v:shape>
            <v:shape style="position:absolute;left:4538;top:-1257;width:719;height:988" type="#_x0000_t75" stroked="false">
              <v:imagedata r:id="rId230" o:title=""/>
            </v:shape>
            <v:shape style="position:absolute;left:4767;top:-1305;width:614;height:1128" type="#_x0000_t75" stroked="false">
              <v:imagedata r:id="rId231" o:title=""/>
            </v:shape>
            <v:shape style="position:absolute;left:5366;top:-1289;width:952;height:1126" type="#_x0000_t75" stroked="false">
              <v:imagedata r:id="rId232" o:title=""/>
            </v:shape>
            <v:shape style="position:absolute;left:5359;top:-2498;width:1126;height:1732" type="#_x0000_t75" stroked="false">
              <v:imagedata r:id="rId233" o:title=""/>
            </v:shape>
            <w10:wrap type="none"/>
          </v:group>
        </w:pict>
      </w:r>
      <w:r>
        <w:rPr>
          <w:rFonts w:ascii="Calibri" w:hAnsi="Calibri"/>
          <w:color w:val="231F20"/>
          <w:w w:val="110"/>
          <w:sz w:val="18"/>
        </w:rPr>
        <w:t>fuente:  </w:t>
      </w:r>
      <w:r>
        <w:rPr>
          <w:color w:val="231F20"/>
          <w:w w:val="110"/>
          <w:sz w:val="18"/>
        </w:rPr>
        <w:t>elaboración propia con base en Current Population Survey, 2000    </w:t>
      </w:r>
      <w:r>
        <w:rPr>
          <w:color w:val="231F20"/>
          <w:w w:val="105"/>
          <w:sz w:val="18"/>
        </w:rPr>
        <w:t>y</w:t>
      </w:r>
      <w:r>
        <w:rPr>
          <w:color w:val="231F20"/>
          <w:spacing w:val="-13"/>
          <w:w w:val="105"/>
          <w:sz w:val="18"/>
        </w:rPr>
        <w:t> </w:t>
      </w:r>
      <w:r>
        <w:rPr>
          <w:color w:val="231F20"/>
          <w:w w:val="105"/>
          <w:sz w:val="18"/>
        </w:rPr>
        <w:t>2007.</w:t>
      </w:r>
    </w:p>
    <w:p>
      <w:pPr>
        <w:pStyle w:val="BodyText"/>
        <w:spacing w:before="2"/>
        <w:rPr>
          <w:sz w:val="21"/>
        </w:rPr>
      </w:pPr>
    </w:p>
    <w:p>
      <w:pPr>
        <w:pStyle w:val="BodyText"/>
        <w:spacing w:line="261" w:lineRule="auto" w:before="1"/>
        <w:ind w:left="100" w:right="117" w:firstLine="240"/>
        <w:jc w:val="both"/>
      </w:pPr>
      <w:r>
        <w:rPr>
          <w:color w:val="231F20"/>
          <w:w w:val="110"/>
        </w:rPr>
        <w:t>De</w:t>
      </w:r>
      <w:r>
        <w:rPr>
          <w:color w:val="231F20"/>
          <w:spacing w:val="-21"/>
          <w:w w:val="110"/>
        </w:rPr>
        <w:t> </w:t>
      </w:r>
      <w:r>
        <w:rPr>
          <w:color w:val="231F20"/>
          <w:w w:val="110"/>
        </w:rPr>
        <w:t>esta</w:t>
      </w:r>
      <w:r>
        <w:rPr>
          <w:color w:val="231F20"/>
          <w:spacing w:val="-21"/>
          <w:w w:val="110"/>
        </w:rPr>
        <w:t> </w:t>
      </w:r>
      <w:r>
        <w:rPr>
          <w:color w:val="231F20"/>
          <w:w w:val="110"/>
        </w:rPr>
        <w:t>forma,</w:t>
      </w:r>
      <w:r>
        <w:rPr>
          <w:color w:val="231F20"/>
          <w:spacing w:val="-21"/>
          <w:w w:val="110"/>
        </w:rPr>
        <w:t> </w:t>
      </w:r>
      <w:r>
        <w:rPr>
          <w:color w:val="231F20"/>
          <w:w w:val="110"/>
        </w:rPr>
        <w:t>mientras</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estrato</w:t>
      </w:r>
      <w:r>
        <w:rPr>
          <w:color w:val="231F20"/>
          <w:spacing w:val="-21"/>
          <w:w w:val="110"/>
        </w:rPr>
        <w:t> </w:t>
      </w:r>
      <w:r>
        <w:rPr>
          <w:color w:val="231F20"/>
          <w:w w:val="110"/>
        </w:rPr>
        <w:t>socio-ocupacional</w:t>
      </w:r>
      <w:r>
        <w:rPr>
          <w:color w:val="231F20"/>
          <w:spacing w:val="-21"/>
          <w:w w:val="110"/>
        </w:rPr>
        <w:t> </w:t>
      </w:r>
      <w:r>
        <w:rPr>
          <w:color w:val="231F20"/>
          <w:w w:val="110"/>
        </w:rPr>
        <w:t>más</w:t>
      </w:r>
      <w:r>
        <w:rPr>
          <w:color w:val="231F20"/>
          <w:spacing w:val="-21"/>
          <w:w w:val="110"/>
        </w:rPr>
        <w:t> </w:t>
      </w:r>
      <w:r>
        <w:rPr>
          <w:color w:val="231F20"/>
          <w:w w:val="110"/>
        </w:rPr>
        <w:t>alto,</w:t>
      </w:r>
      <w:r>
        <w:rPr>
          <w:color w:val="231F20"/>
          <w:spacing w:val="-21"/>
          <w:w w:val="110"/>
        </w:rPr>
        <w:t> </w:t>
      </w:r>
      <w:r>
        <w:rPr>
          <w:color w:val="231F20"/>
          <w:w w:val="110"/>
        </w:rPr>
        <w:t>se dio una relación de casi 9 puestos nuevos de trabajo para blancos no latinos, por cada nuevo puesto de trabajo para un inmigrante latino- americano, en los puestos de trabajo vinculados con la reproducción social</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población,</w:t>
      </w:r>
      <w:r>
        <w:rPr>
          <w:color w:val="231F20"/>
          <w:spacing w:val="-18"/>
          <w:w w:val="110"/>
        </w:rPr>
        <w:t> </w:t>
      </w:r>
      <w:r>
        <w:rPr>
          <w:color w:val="231F20"/>
          <w:w w:val="110"/>
        </w:rPr>
        <w:t>esta</w:t>
      </w:r>
      <w:r>
        <w:rPr>
          <w:color w:val="231F20"/>
          <w:spacing w:val="-18"/>
          <w:w w:val="110"/>
        </w:rPr>
        <w:t> </w:t>
      </w:r>
      <w:r>
        <w:rPr>
          <w:color w:val="231F20"/>
          <w:w w:val="110"/>
        </w:rPr>
        <w:t>relación</w:t>
      </w:r>
      <w:r>
        <w:rPr>
          <w:color w:val="231F20"/>
          <w:spacing w:val="-18"/>
          <w:w w:val="110"/>
        </w:rPr>
        <w:t> </w:t>
      </w:r>
      <w:r>
        <w:rPr>
          <w:color w:val="231F20"/>
          <w:w w:val="110"/>
        </w:rPr>
        <w:t>no</w:t>
      </w:r>
      <w:r>
        <w:rPr>
          <w:color w:val="231F20"/>
          <w:spacing w:val="-18"/>
          <w:w w:val="110"/>
        </w:rPr>
        <w:t> </w:t>
      </w:r>
      <w:r>
        <w:rPr>
          <w:color w:val="231F20"/>
          <w:w w:val="110"/>
        </w:rPr>
        <w:t>sólo</w:t>
      </w:r>
      <w:r>
        <w:rPr>
          <w:color w:val="231F20"/>
          <w:spacing w:val="-18"/>
          <w:w w:val="110"/>
        </w:rPr>
        <w:t> </w:t>
      </w:r>
      <w:r>
        <w:rPr>
          <w:color w:val="231F20"/>
          <w:w w:val="110"/>
        </w:rPr>
        <w:t>se</w:t>
      </w:r>
      <w:r>
        <w:rPr>
          <w:color w:val="231F20"/>
          <w:spacing w:val="-18"/>
          <w:w w:val="110"/>
        </w:rPr>
        <w:t> </w:t>
      </w:r>
      <w:r>
        <w:rPr>
          <w:color w:val="231F20"/>
          <w:w w:val="110"/>
        </w:rPr>
        <w:t>igualó,</w:t>
      </w:r>
      <w:r>
        <w:rPr>
          <w:color w:val="231F20"/>
          <w:spacing w:val="-18"/>
          <w:w w:val="110"/>
        </w:rPr>
        <w:t> </w:t>
      </w:r>
      <w:r>
        <w:rPr>
          <w:color w:val="231F20"/>
          <w:w w:val="110"/>
        </w:rPr>
        <w:t>sino</w:t>
      </w:r>
      <w:r>
        <w:rPr>
          <w:color w:val="231F20"/>
          <w:spacing w:val="-18"/>
          <w:w w:val="110"/>
        </w:rPr>
        <w:t> </w:t>
      </w:r>
      <w:r>
        <w:rPr>
          <w:color w:val="231F20"/>
          <w:w w:val="110"/>
        </w:rPr>
        <w:t>que</w:t>
      </w:r>
      <w:r>
        <w:rPr>
          <w:color w:val="231F20"/>
          <w:spacing w:val="-18"/>
          <w:w w:val="110"/>
        </w:rPr>
        <w:t> </w:t>
      </w:r>
      <w:r>
        <w:rPr>
          <w:color w:val="231F20"/>
          <w:w w:val="110"/>
        </w:rPr>
        <w:t>incluso se inclinó levemente a favor de los inmigrantes</w:t>
      </w:r>
      <w:r>
        <w:rPr>
          <w:color w:val="231F20"/>
          <w:spacing w:val="19"/>
          <w:w w:val="110"/>
        </w:rPr>
        <w:t> </w:t>
      </w:r>
      <w:r>
        <w:rPr>
          <w:color w:val="231F20"/>
          <w:w w:val="110"/>
        </w:rPr>
        <w:t>latinoamericanos.</w:t>
      </w:r>
    </w:p>
    <w:p>
      <w:pPr>
        <w:pStyle w:val="BodyText"/>
        <w:spacing w:line="261" w:lineRule="auto"/>
        <w:ind w:left="100" w:right="118" w:firstLine="240"/>
        <w:jc w:val="both"/>
      </w:pPr>
      <w:r>
        <w:rPr>
          <w:color w:val="231F20"/>
          <w:w w:val="105"/>
        </w:rPr>
        <w:t>De esta forma, la tendencia de los últimos años, previos a la crisis económica, reforzaban la especialización socio-ocupacional de los diferentes grupos étnicos y migratorios, en donde los inmigrantes latinoamericanos suelen insertarse y pertenecer a los estratos sociales más bajos de la estructura social de Estados Unidos, pero que, sin embargo, contribuyen directamente a la reproducción social de la población, especialmente de los estratos sociales medios y altos.</w:t>
      </w:r>
    </w:p>
    <w:p>
      <w:pPr>
        <w:spacing w:after="0" w:line="261" w:lineRule="auto"/>
        <w:jc w:val="both"/>
        <w:sectPr>
          <w:type w:val="continuous"/>
          <w:pgSz w:w="7640" w:h="11900"/>
          <w:pgMar w:top="980" w:bottom="280" w:left="780" w:right="640"/>
        </w:sectPr>
      </w:pPr>
    </w:p>
    <w:p>
      <w:pPr>
        <w:pStyle w:val="BodyText"/>
        <w:spacing w:before="8"/>
        <w:rPr>
          <w:sz w:val="8"/>
        </w:rPr>
      </w:pPr>
    </w:p>
    <w:p>
      <w:pPr>
        <w:pStyle w:val="BodyText"/>
        <w:spacing w:before="67"/>
        <w:ind w:left="100" w:right="25"/>
      </w:pPr>
      <w:r>
        <w:rPr>
          <w:color w:val="231F20"/>
          <w:w w:val="125"/>
        </w:rPr>
        <w:t>la migración internacional en la actual crisis  económica</w:t>
      </w:r>
    </w:p>
    <w:p>
      <w:pPr>
        <w:pStyle w:val="BodyText"/>
        <w:spacing w:before="5"/>
        <w:rPr>
          <w:sz w:val="23"/>
        </w:rPr>
      </w:pPr>
    </w:p>
    <w:p>
      <w:pPr>
        <w:pStyle w:val="BodyText"/>
        <w:spacing w:line="261" w:lineRule="auto"/>
        <w:ind w:left="73" w:right="117"/>
        <w:jc w:val="right"/>
      </w:pPr>
      <w:r>
        <w:rPr>
          <w:color w:val="231F20"/>
          <w:w w:val="110"/>
        </w:rPr>
        <w:t>La</w:t>
      </w:r>
      <w:r>
        <w:rPr>
          <w:color w:val="231F20"/>
          <w:spacing w:val="-12"/>
          <w:w w:val="110"/>
        </w:rPr>
        <w:t> </w:t>
      </w:r>
      <w:r>
        <w:rPr>
          <w:color w:val="231F20"/>
          <w:w w:val="110"/>
        </w:rPr>
        <w:t>quiebra</w:t>
      </w:r>
      <w:r>
        <w:rPr>
          <w:color w:val="231F20"/>
          <w:spacing w:val="-12"/>
          <w:w w:val="110"/>
        </w:rPr>
        <w:t> </w:t>
      </w:r>
      <w:r>
        <w:rPr>
          <w:color w:val="231F20"/>
          <w:w w:val="110"/>
        </w:rPr>
        <w:t>del</w:t>
      </w:r>
      <w:r>
        <w:rPr>
          <w:color w:val="231F20"/>
          <w:spacing w:val="-12"/>
          <w:w w:val="110"/>
        </w:rPr>
        <w:t> </w:t>
      </w:r>
      <w:r>
        <w:rPr>
          <w:color w:val="231F20"/>
          <w:w w:val="110"/>
        </w:rPr>
        <w:t>banco</w:t>
      </w:r>
      <w:r>
        <w:rPr>
          <w:color w:val="231F20"/>
          <w:spacing w:val="-12"/>
          <w:w w:val="110"/>
        </w:rPr>
        <w:t> </w:t>
      </w:r>
      <w:r>
        <w:rPr>
          <w:color w:val="231F20"/>
          <w:w w:val="110"/>
        </w:rPr>
        <w:t>de</w:t>
      </w:r>
      <w:r>
        <w:rPr>
          <w:color w:val="231F20"/>
          <w:spacing w:val="-12"/>
          <w:w w:val="110"/>
        </w:rPr>
        <w:t> </w:t>
      </w:r>
      <w:r>
        <w:rPr>
          <w:color w:val="231F20"/>
          <w:w w:val="110"/>
        </w:rPr>
        <w:t>inversiones</w:t>
      </w:r>
      <w:r>
        <w:rPr>
          <w:color w:val="231F20"/>
          <w:spacing w:val="-12"/>
          <w:w w:val="110"/>
        </w:rPr>
        <w:t> </w:t>
      </w:r>
      <w:r>
        <w:rPr>
          <w:color w:val="231F20"/>
          <w:w w:val="110"/>
        </w:rPr>
        <w:t>Lehman</w:t>
      </w:r>
      <w:r>
        <w:rPr>
          <w:color w:val="231F20"/>
          <w:spacing w:val="-12"/>
          <w:w w:val="110"/>
        </w:rPr>
        <w:t> </w:t>
      </w:r>
      <w:r>
        <w:rPr>
          <w:color w:val="231F20"/>
          <w:w w:val="110"/>
        </w:rPr>
        <w:t>Brothers,</w:t>
      </w:r>
      <w:r>
        <w:rPr>
          <w:color w:val="231F20"/>
          <w:spacing w:val="-12"/>
          <w:w w:val="110"/>
        </w:rPr>
        <w:t> </w:t>
      </w:r>
      <w:r>
        <w:rPr>
          <w:color w:val="231F20"/>
          <w:w w:val="110"/>
        </w:rPr>
        <w:t>en</w:t>
      </w:r>
      <w:r>
        <w:rPr>
          <w:color w:val="231F20"/>
          <w:spacing w:val="-12"/>
          <w:w w:val="110"/>
        </w:rPr>
        <w:t> </w:t>
      </w:r>
      <w:r>
        <w:rPr>
          <w:color w:val="231F20"/>
          <w:w w:val="110"/>
        </w:rPr>
        <w:t>septiembre</w:t>
      </w:r>
      <w:r>
        <w:rPr>
          <w:color w:val="231F20"/>
          <w:w w:val="110"/>
        </w:rPr>
        <w:t> </w:t>
      </w:r>
      <w:r>
        <w:rPr>
          <w:color w:val="231F20"/>
          <w:w w:val="110"/>
        </w:rPr>
        <w:t>de 2008, fue el detonante de una crisis económica que</w:t>
      </w:r>
      <w:r>
        <w:rPr>
          <w:color w:val="231F20"/>
          <w:spacing w:val="21"/>
          <w:w w:val="110"/>
        </w:rPr>
        <w:t> </w:t>
      </w:r>
      <w:r>
        <w:rPr>
          <w:color w:val="231F20"/>
          <w:w w:val="110"/>
        </w:rPr>
        <w:t>se</w:t>
      </w:r>
      <w:r>
        <w:rPr>
          <w:color w:val="231F20"/>
          <w:spacing w:val="13"/>
          <w:w w:val="110"/>
        </w:rPr>
        <w:t> </w:t>
      </w:r>
      <w:r>
        <w:rPr>
          <w:color w:val="231F20"/>
          <w:w w:val="110"/>
        </w:rPr>
        <w:t>expandió</w:t>
      </w:r>
      <w:r>
        <w:rPr>
          <w:color w:val="231F20"/>
          <w:w w:val="111"/>
        </w:rPr>
        <w:t> </w:t>
      </w:r>
      <w:r>
        <w:rPr>
          <w:color w:val="231F20"/>
          <w:w w:val="110"/>
        </w:rPr>
        <w:t>por todo el planeta. Sin embargo, las raíces de esta crisis</w:t>
      </w:r>
      <w:r>
        <w:rPr>
          <w:color w:val="231F20"/>
          <w:spacing w:val="52"/>
          <w:w w:val="110"/>
        </w:rPr>
        <w:t> </w:t>
      </w:r>
      <w:r>
        <w:rPr>
          <w:color w:val="231F20"/>
          <w:w w:val="110"/>
        </w:rPr>
        <w:t>global</w:t>
      </w:r>
      <w:r>
        <w:rPr>
          <w:color w:val="231F20"/>
          <w:spacing w:val="4"/>
          <w:w w:val="110"/>
        </w:rPr>
        <w:t> </w:t>
      </w:r>
      <w:r>
        <w:rPr>
          <w:color w:val="231F20"/>
          <w:w w:val="110"/>
        </w:rPr>
        <w:t>son</w:t>
      </w:r>
      <w:r>
        <w:rPr>
          <w:color w:val="231F20"/>
          <w:w w:val="109"/>
        </w:rPr>
        <w:t> </w:t>
      </w:r>
      <w:r>
        <w:rPr>
          <w:color w:val="231F20"/>
          <w:w w:val="110"/>
        </w:rPr>
        <w:t>más profundas, y demuestran que este evento fue sólo</w:t>
      </w:r>
      <w:r>
        <w:rPr>
          <w:color w:val="231F20"/>
          <w:spacing w:val="4"/>
          <w:w w:val="110"/>
        </w:rPr>
        <w:t> </w:t>
      </w:r>
      <w:r>
        <w:rPr>
          <w:color w:val="231F20"/>
          <w:w w:val="110"/>
        </w:rPr>
        <w:t>el</w:t>
      </w:r>
      <w:r>
        <w:rPr>
          <w:color w:val="231F20"/>
          <w:spacing w:val="12"/>
          <w:w w:val="110"/>
        </w:rPr>
        <w:t> </w:t>
      </w:r>
      <w:r>
        <w:rPr>
          <w:color w:val="231F20"/>
          <w:w w:val="110"/>
        </w:rPr>
        <w:t>detonante</w:t>
      </w:r>
      <w:r>
        <w:rPr>
          <w:color w:val="231F20"/>
          <w:w w:val="114"/>
        </w:rPr>
        <w:t> </w:t>
      </w:r>
      <w:r>
        <w:rPr>
          <w:color w:val="231F20"/>
          <w:w w:val="110"/>
        </w:rPr>
        <w:t>final de una situación que se venía incubando en la economía</w:t>
      </w:r>
      <w:r>
        <w:rPr>
          <w:color w:val="231F20"/>
          <w:spacing w:val="-7"/>
          <w:w w:val="110"/>
        </w:rPr>
        <w:t> </w:t>
      </w:r>
      <w:r>
        <w:rPr>
          <w:color w:val="231F20"/>
          <w:w w:val="110"/>
        </w:rPr>
        <w:t>de</w:t>
      </w:r>
      <w:r>
        <w:rPr>
          <w:color w:val="231F20"/>
          <w:spacing w:val="-1"/>
          <w:w w:val="110"/>
        </w:rPr>
        <w:t> </w:t>
      </w:r>
      <w:r>
        <w:rPr>
          <w:color w:val="231F20"/>
          <w:w w:val="110"/>
        </w:rPr>
        <w:t>Es-</w:t>
      </w:r>
      <w:r>
        <w:rPr>
          <w:color w:val="231F20"/>
          <w:w w:val="72"/>
        </w:rPr>
        <w:t> </w:t>
      </w:r>
      <w:r>
        <w:rPr>
          <w:color w:val="231F20"/>
          <w:w w:val="110"/>
        </w:rPr>
        <w:t>tados</w:t>
      </w:r>
      <w:r>
        <w:rPr>
          <w:color w:val="231F20"/>
          <w:spacing w:val="-5"/>
          <w:w w:val="110"/>
        </w:rPr>
        <w:t> </w:t>
      </w:r>
      <w:r>
        <w:rPr>
          <w:color w:val="231F20"/>
          <w:w w:val="110"/>
        </w:rPr>
        <w:t>Unidos,</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repercutiría</w:t>
      </w:r>
      <w:r>
        <w:rPr>
          <w:color w:val="231F20"/>
          <w:spacing w:val="-5"/>
          <w:w w:val="110"/>
        </w:rPr>
        <w:t> </w:t>
      </w:r>
      <w:r>
        <w:rPr>
          <w:color w:val="231F20"/>
          <w:w w:val="110"/>
        </w:rPr>
        <w:t>en</w:t>
      </w:r>
      <w:r>
        <w:rPr>
          <w:color w:val="231F20"/>
          <w:spacing w:val="-5"/>
          <w:w w:val="110"/>
        </w:rPr>
        <w:t> </w:t>
      </w:r>
      <w:r>
        <w:rPr>
          <w:color w:val="231F20"/>
          <w:w w:val="110"/>
        </w:rPr>
        <w:t>todo</w:t>
      </w:r>
      <w:r>
        <w:rPr>
          <w:color w:val="231F20"/>
          <w:spacing w:val="-5"/>
          <w:w w:val="110"/>
        </w:rPr>
        <w:t> </w:t>
      </w:r>
      <w:r>
        <w:rPr>
          <w:color w:val="231F20"/>
          <w:w w:val="110"/>
        </w:rPr>
        <w:t>el</w:t>
      </w:r>
      <w:r>
        <w:rPr>
          <w:color w:val="231F20"/>
          <w:spacing w:val="-5"/>
          <w:w w:val="110"/>
        </w:rPr>
        <w:t> </w:t>
      </w:r>
      <w:r>
        <w:rPr>
          <w:color w:val="231F20"/>
          <w:w w:val="110"/>
        </w:rPr>
        <w:t>mundo</w:t>
      </w:r>
      <w:r>
        <w:rPr>
          <w:color w:val="231F20"/>
          <w:spacing w:val="-5"/>
          <w:w w:val="110"/>
        </w:rPr>
        <w:t> </w:t>
      </w:r>
      <w:r>
        <w:rPr>
          <w:color w:val="231F20"/>
          <w:w w:val="110"/>
        </w:rPr>
        <w:t>(Krugman,</w:t>
      </w:r>
      <w:r>
        <w:rPr>
          <w:color w:val="231F20"/>
          <w:spacing w:val="-5"/>
          <w:w w:val="110"/>
        </w:rPr>
        <w:t> </w:t>
      </w:r>
      <w:r>
        <w:rPr>
          <w:color w:val="231F20"/>
          <w:w w:val="110"/>
        </w:rPr>
        <w:t>2009).</w:t>
      </w:r>
      <w:r>
        <w:rPr>
          <w:color w:val="231F20"/>
          <w:w w:val="107"/>
        </w:rPr>
        <w:t> </w:t>
      </w:r>
      <w:r>
        <w:rPr>
          <w:color w:val="231F20"/>
          <w:w w:val="110"/>
        </w:rPr>
        <w:t>Suele afirmarse que al centro mismo de esta crisis global,</w:t>
      </w:r>
      <w:r>
        <w:rPr>
          <w:color w:val="231F20"/>
          <w:spacing w:val="54"/>
          <w:w w:val="110"/>
        </w:rPr>
        <w:t> </w:t>
      </w:r>
      <w:r>
        <w:rPr>
          <w:color w:val="231F20"/>
          <w:w w:val="110"/>
        </w:rPr>
        <w:t>se</w:t>
      </w:r>
      <w:r>
        <w:rPr>
          <w:color w:val="231F20"/>
          <w:spacing w:val="10"/>
          <w:w w:val="110"/>
        </w:rPr>
        <w:t> </w:t>
      </w:r>
      <w:r>
        <w:rPr>
          <w:color w:val="231F20"/>
          <w:w w:val="110"/>
        </w:rPr>
        <w:t>en-</w:t>
      </w:r>
      <w:r>
        <w:rPr>
          <w:color w:val="231F20"/>
          <w:w w:val="72"/>
        </w:rPr>
        <w:t> </w:t>
      </w:r>
      <w:r>
        <w:rPr>
          <w:color w:val="231F20"/>
          <w:w w:val="110"/>
        </w:rPr>
        <w:t>cuentra la llamada burbuja inmobiliaria de los años 2001 a</w:t>
      </w:r>
      <w:r>
        <w:rPr>
          <w:color w:val="231F20"/>
          <w:spacing w:val="-18"/>
          <w:w w:val="110"/>
        </w:rPr>
        <w:t> </w:t>
      </w:r>
      <w:r>
        <w:rPr>
          <w:color w:val="231F20"/>
          <w:w w:val="110"/>
        </w:rPr>
        <w:t>2007</w:t>
      </w:r>
      <w:r>
        <w:rPr>
          <w:color w:val="231F20"/>
          <w:spacing w:val="-2"/>
          <w:w w:val="110"/>
        </w:rPr>
        <w:t> </w:t>
      </w:r>
      <w:r>
        <w:rPr>
          <w:color w:val="231F20"/>
          <w:w w:val="110"/>
        </w:rPr>
        <w:t>que</w:t>
      </w:r>
      <w:r>
        <w:rPr>
          <w:color w:val="231F20"/>
          <w:w w:val="113"/>
        </w:rPr>
        <w:t> </w:t>
      </w:r>
      <w:r>
        <w:rPr>
          <w:color w:val="231F20"/>
          <w:w w:val="110"/>
        </w:rPr>
        <w:t>se asentó no sólo en los Estados Unidos, sino también</w:t>
      </w:r>
      <w:r>
        <w:rPr>
          <w:color w:val="231F20"/>
          <w:spacing w:val="16"/>
          <w:w w:val="110"/>
        </w:rPr>
        <w:t> </w:t>
      </w:r>
      <w:r>
        <w:rPr>
          <w:color w:val="231F20"/>
          <w:w w:val="110"/>
        </w:rPr>
        <w:t>en</w:t>
      </w:r>
      <w:r>
        <w:rPr>
          <w:color w:val="231F20"/>
          <w:spacing w:val="18"/>
          <w:w w:val="110"/>
        </w:rPr>
        <w:t> </w:t>
      </w:r>
      <w:r>
        <w:rPr>
          <w:color w:val="231F20"/>
          <w:w w:val="110"/>
        </w:rPr>
        <w:t>diversos</w:t>
      </w:r>
      <w:r>
        <w:rPr>
          <w:color w:val="231F20"/>
          <w:w w:val="103"/>
        </w:rPr>
        <w:t> </w:t>
      </w:r>
      <w:r>
        <w:rPr>
          <w:color w:val="231F20"/>
          <w:w w:val="110"/>
        </w:rPr>
        <w:t>países europeos (Sarmiento, 2009). Sin embargo, esta</w:t>
      </w:r>
      <w:r>
        <w:rPr>
          <w:color w:val="231F20"/>
          <w:spacing w:val="-31"/>
          <w:w w:val="110"/>
        </w:rPr>
        <w:t> </w:t>
      </w:r>
      <w:r>
        <w:rPr>
          <w:color w:val="231F20"/>
          <w:w w:val="110"/>
        </w:rPr>
        <w:t>burbuja</w:t>
      </w:r>
      <w:r>
        <w:rPr>
          <w:color w:val="231F20"/>
          <w:spacing w:val="-5"/>
          <w:w w:val="110"/>
        </w:rPr>
        <w:t> </w:t>
      </w:r>
      <w:r>
        <w:rPr>
          <w:color w:val="231F20"/>
          <w:w w:val="110"/>
        </w:rPr>
        <w:t>inmo-</w:t>
      </w:r>
      <w:r>
        <w:rPr>
          <w:color w:val="231F20"/>
          <w:w w:val="72"/>
        </w:rPr>
        <w:t> </w:t>
      </w:r>
      <w:r>
        <w:rPr>
          <w:color w:val="231F20"/>
          <w:w w:val="110"/>
        </w:rPr>
        <w:t>biliaria</w:t>
      </w:r>
      <w:r>
        <w:rPr>
          <w:color w:val="231F20"/>
          <w:spacing w:val="-19"/>
          <w:w w:val="110"/>
        </w:rPr>
        <w:t> </w:t>
      </w:r>
      <w:r>
        <w:rPr>
          <w:color w:val="231F20"/>
          <w:w w:val="110"/>
        </w:rPr>
        <w:t>es</w:t>
      </w:r>
      <w:r>
        <w:rPr>
          <w:color w:val="231F20"/>
          <w:spacing w:val="-20"/>
          <w:w w:val="110"/>
        </w:rPr>
        <w:t> </w:t>
      </w:r>
      <w:r>
        <w:rPr>
          <w:color w:val="231F20"/>
          <w:w w:val="110"/>
        </w:rPr>
        <w:t>sólo</w:t>
      </w:r>
      <w:r>
        <w:rPr>
          <w:color w:val="231F20"/>
          <w:spacing w:val="-19"/>
          <w:w w:val="110"/>
        </w:rPr>
        <w:t> </w:t>
      </w:r>
      <w:r>
        <w:rPr>
          <w:color w:val="231F20"/>
          <w:w w:val="110"/>
        </w:rPr>
        <w:t>expresión</w:t>
      </w:r>
      <w:r>
        <w:rPr>
          <w:color w:val="231F20"/>
          <w:spacing w:val="-20"/>
          <w:w w:val="110"/>
        </w:rPr>
        <w:t> </w:t>
      </w:r>
      <w:r>
        <w:rPr>
          <w:color w:val="231F20"/>
          <w:w w:val="110"/>
        </w:rPr>
        <w:t>de</w:t>
      </w:r>
      <w:r>
        <w:rPr>
          <w:color w:val="231F20"/>
          <w:spacing w:val="-20"/>
          <w:w w:val="110"/>
        </w:rPr>
        <w:t> </w:t>
      </w:r>
      <w:r>
        <w:rPr>
          <w:color w:val="231F20"/>
          <w:w w:val="110"/>
        </w:rPr>
        <w:t>una</w:t>
      </w:r>
      <w:r>
        <w:rPr>
          <w:color w:val="231F20"/>
          <w:spacing w:val="-19"/>
          <w:w w:val="110"/>
        </w:rPr>
        <w:t> </w:t>
      </w:r>
      <w:r>
        <w:rPr>
          <w:color w:val="231F20"/>
          <w:w w:val="110"/>
        </w:rPr>
        <w:t>crisis</w:t>
      </w:r>
      <w:r>
        <w:rPr>
          <w:color w:val="231F20"/>
          <w:spacing w:val="-20"/>
          <w:w w:val="110"/>
        </w:rPr>
        <w:t> </w:t>
      </w:r>
      <w:r>
        <w:rPr>
          <w:color w:val="231F20"/>
          <w:w w:val="110"/>
        </w:rPr>
        <w:t>financiera</w:t>
      </w:r>
      <w:r>
        <w:rPr>
          <w:color w:val="231F20"/>
          <w:spacing w:val="-20"/>
          <w:w w:val="110"/>
        </w:rPr>
        <w:t> </w:t>
      </w:r>
      <w:r>
        <w:rPr>
          <w:color w:val="231F20"/>
          <w:w w:val="110"/>
        </w:rPr>
        <w:t>y</w:t>
      </w:r>
      <w:r>
        <w:rPr>
          <w:color w:val="231F20"/>
          <w:spacing w:val="-19"/>
          <w:w w:val="110"/>
        </w:rPr>
        <w:t> </w:t>
      </w:r>
      <w:r>
        <w:rPr>
          <w:color w:val="231F20"/>
          <w:w w:val="110"/>
        </w:rPr>
        <w:t>comercial</w:t>
      </w:r>
      <w:r>
        <w:rPr>
          <w:color w:val="231F20"/>
          <w:spacing w:val="-20"/>
          <w:w w:val="110"/>
        </w:rPr>
        <w:t> </w:t>
      </w:r>
      <w:r>
        <w:rPr>
          <w:color w:val="231F20"/>
          <w:w w:val="110"/>
        </w:rPr>
        <w:t>más</w:t>
      </w:r>
      <w:r>
        <w:rPr>
          <w:color w:val="231F20"/>
          <w:spacing w:val="-19"/>
          <w:w w:val="110"/>
        </w:rPr>
        <w:t> </w:t>
      </w:r>
      <w:r>
        <w:rPr>
          <w:color w:val="231F20"/>
          <w:w w:val="110"/>
        </w:rPr>
        <w:t>pro-</w:t>
      </w:r>
      <w:r>
        <w:rPr>
          <w:color w:val="231F20"/>
          <w:w w:val="72"/>
        </w:rPr>
        <w:t> </w:t>
      </w:r>
      <w:r>
        <w:rPr>
          <w:color w:val="231F20"/>
          <w:w w:val="110"/>
        </w:rPr>
        <w:t>funda. Por un lado, diversos autores reconocen que</w:t>
      </w:r>
      <w:r>
        <w:rPr>
          <w:color w:val="231F20"/>
          <w:spacing w:val="37"/>
          <w:w w:val="110"/>
        </w:rPr>
        <w:t> </w:t>
      </w:r>
      <w:r>
        <w:rPr>
          <w:color w:val="231F20"/>
          <w:w w:val="110"/>
        </w:rPr>
        <w:t>la</w:t>
      </w:r>
      <w:r>
        <w:rPr>
          <w:color w:val="231F20"/>
          <w:spacing w:val="18"/>
          <w:w w:val="110"/>
        </w:rPr>
        <w:t> </w:t>
      </w:r>
      <w:r>
        <w:rPr>
          <w:color w:val="231F20"/>
          <w:w w:val="110"/>
        </w:rPr>
        <w:t>profundidad</w:t>
      </w:r>
      <w:r>
        <w:rPr>
          <w:color w:val="231F20"/>
          <w:w w:val="113"/>
        </w:rPr>
        <w:t> </w:t>
      </w:r>
      <w:r>
        <w:rPr>
          <w:color w:val="231F20"/>
          <w:w w:val="110"/>
        </w:rPr>
        <w:t>de la crisis se debe en gran medida a la ausencia de</w:t>
      </w:r>
      <w:r>
        <w:rPr>
          <w:color w:val="231F20"/>
          <w:spacing w:val="26"/>
          <w:w w:val="110"/>
        </w:rPr>
        <w:t> </w:t>
      </w:r>
      <w:r>
        <w:rPr>
          <w:color w:val="231F20"/>
          <w:w w:val="110"/>
        </w:rPr>
        <w:t>mecanismos</w:t>
      </w:r>
      <w:r>
        <w:rPr>
          <w:color w:val="231F20"/>
          <w:spacing w:val="6"/>
          <w:w w:val="110"/>
        </w:rPr>
        <w:t> </w:t>
      </w:r>
      <w:r>
        <w:rPr>
          <w:color w:val="231F20"/>
          <w:w w:val="110"/>
        </w:rPr>
        <w:t>de</w:t>
      </w:r>
      <w:r>
        <w:rPr>
          <w:color w:val="231F20"/>
          <w:w w:val="114"/>
        </w:rPr>
        <w:t> </w:t>
      </w:r>
      <w:r>
        <w:rPr>
          <w:color w:val="231F20"/>
          <w:w w:val="110"/>
        </w:rPr>
        <w:t>regulación del sistema financiero internacional (Stiglitz,</w:t>
      </w:r>
      <w:r>
        <w:rPr>
          <w:color w:val="231F20"/>
          <w:spacing w:val="10"/>
          <w:w w:val="110"/>
        </w:rPr>
        <w:t> </w:t>
      </w:r>
      <w:r>
        <w:rPr>
          <w:color w:val="231F20"/>
          <w:w w:val="110"/>
        </w:rPr>
        <w:t>2009).</w:t>
      </w:r>
      <w:r>
        <w:rPr>
          <w:color w:val="231F20"/>
          <w:spacing w:val="10"/>
          <w:w w:val="110"/>
        </w:rPr>
        <w:t> </w:t>
      </w:r>
      <w:r>
        <w:rPr>
          <w:color w:val="231F20"/>
          <w:w w:val="110"/>
        </w:rPr>
        <w:t>Por</w:t>
      </w:r>
      <w:r>
        <w:rPr>
          <w:color w:val="231F20"/>
          <w:w w:val="110"/>
        </w:rPr>
        <w:t> </w:t>
      </w:r>
      <w:r>
        <w:rPr>
          <w:color w:val="231F20"/>
          <w:w w:val="110"/>
        </w:rPr>
        <w:t>otro</w:t>
      </w:r>
      <w:r>
        <w:rPr>
          <w:color w:val="231F20"/>
          <w:spacing w:val="23"/>
          <w:w w:val="110"/>
        </w:rPr>
        <w:t> </w:t>
      </w:r>
      <w:r>
        <w:rPr>
          <w:color w:val="231F20"/>
          <w:w w:val="110"/>
        </w:rPr>
        <w:t>lado,</w:t>
      </w:r>
      <w:r>
        <w:rPr>
          <w:color w:val="231F20"/>
          <w:spacing w:val="23"/>
          <w:w w:val="110"/>
        </w:rPr>
        <w:t> </w:t>
      </w:r>
      <w:r>
        <w:rPr>
          <w:color w:val="231F20"/>
          <w:w w:val="110"/>
        </w:rPr>
        <w:t>no</w:t>
      </w:r>
      <w:r>
        <w:rPr>
          <w:color w:val="231F20"/>
          <w:spacing w:val="23"/>
          <w:w w:val="110"/>
        </w:rPr>
        <w:t> </w:t>
      </w:r>
      <w:r>
        <w:rPr>
          <w:color w:val="231F20"/>
          <w:w w:val="110"/>
        </w:rPr>
        <w:t>se</w:t>
      </w:r>
      <w:r>
        <w:rPr>
          <w:color w:val="231F20"/>
          <w:spacing w:val="23"/>
          <w:w w:val="110"/>
        </w:rPr>
        <w:t> </w:t>
      </w:r>
      <w:r>
        <w:rPr>
          <w:color w:val="231F20"/>
          <w:w w:val="110"/>
        </w:rPr>
        <w:t>trata</w:t>
      </w:r>
      <w:r>
        <w:rPr>
          <w:color w:val="231F20"/>
          <w:spacing w:val="23"/>
          <w:w w:val="110"/>
        </w:rPr>
        <w:t> </w:t>
      </w:r>
      <w:r>
        <w:rPr>
          <w:color w:val="231F20"/>
          <w:w w:val="110"/>
        </w:rPr>
        <w:t>sólo</w:t>
      </w:r>
      <w:r>
        <w:rPr>
          <w:color w:val="231F20"/>
          <w:spacing w:val="23"/>
          <w:w w:val="110"/>
        </w:rPr>
        <w:t> </w:t>
      </w:r>
      <w:r>
        <w:rPr>
          <w:color w:val="231F20"/>
          <w:w w:val="110"/>
        </w:rPr>
        <w:t>de</w:t>
      </w:r>
      <w:r>
        <w:rPr>
          <w:color w:val="231F20"/>
          <w:spacing w:val="23"/>
          <w:w w:val="110"/>
        </w:rPr>
        <w:t> </w:t>
      </w:r>
      <w:r>
        <w:rPr>
          <w:color w:val="231F20"/>
          <w:w w:val="110"/>
        </w:rPr>
        <w:t>una</w:t>
      </w:r>
      <w:r>
        <w:rPr>
          <w:color w:val="231F20"/>
          <w:spacing w:val="23"/>
          <w:w w:val="110"/>
        </w:rPr>
        <w:t> </w:t>
      </w:r>
      <w:r>
        <w:rPr>
          <w:color w:val="231F20"/>
          <w:w w:val="110"/>
        </w:rPr>
        <w:t>crisis</w:t>
      </w:r>
      <w:r>
        <w:rPr>
          <w:color w:val="231F20"/>
          <w:spacing w:val="23"/>
          <w:w w:val="110"/>
        </w:rPr>
        <w:t> </w:t>
      </w:r>
      <w:r>
        <w:rPr>
          <w:color w:val="231F20"/>
          <w:w w:val="110"/>
        </w:rPr>
        <w:t>financiera,</w:t>
      </w:r>
      <w:r>
        <w:rPr>
          <w:color w:val="231F20"/>
          <w:spacing w:val="23"/>
          <w:w w:val="110"/>
        </w:rPr>
        <w:t> </w:t>
      </w:r>
      <w:r>
        <w:rPr>
          <w:color w:val="231F20"/>
          <w:w w:val="110"/>
        </w:rPr>
        <w:t>sino</w:t>
      </w:r>
      <w:r>
        <w:rPr>
          <w:color w:val="231F20"/>
          <w:spacing w:val="23"/>
          <w:w w:val="110"/>
        </w:rPr>
        <w:t> </w:t>
      </w:r>
      <w:r>
        <w:rPr>
          <w:color w:val="231F20"/>
          <w:w w:val="110"/>
        </w:rPr>
        <w:t>también</w:t>
      </w:r>
      <w:r>
        <w:rPr>
          <w:color w:val="231F20"/>
          <w:spacing w:val="23"/>
          <w:w w:val="110"/>
        </w:rPr>
        <w:t> </w:t>
      </w:r>
      <w:r>
        <w:rPr>
          <w:color w:val="231F20"/>
          <w:w w:val="110"/>
        </w:rPr>
        <w:t>y</w:t>
      </w:r>
    </w:p>
    <w:p>
      <w:pPr>
        <w:pStyle w:val="BodyText"/>
        <w:ind w:left="100" w:right="25"/>
      </w:pPr>
      <w:r>
        <w:rPr>
          <w:color w:val="231F20"/>
          <w:w w:val="110"/>
        </w:rPr>
        <w:t>especialmente de una crisis comercial (Ocampo, 2009).</w:t>
      </w:r>
    </w:p>
    <w:p>
      <w:pPr>
        <w:pStyle w:val="BodyText"/>
        <w:spacing w:line="261" w:lineRule="auto" w:before="20"/>
        <w:ind w:left="100" w:right="117" w:firstLine="240"/>
        <w:jc w:val="both"/>
        <w:rPr>
          <w:sz w:val="13"/>
        </w:rPr>
      </w:pP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actual</w:t>
      </w:r>
      <w:r>
        <w:rPr>
          <w:color w:val="231F20"/>
          <w:spacing w:val="-9"/>
          <w:w w:val="110"/>
        </w:rPr>
        <w:t> </w:t>
      </w:r>
      <w:r>
        <w:rPr>
          <w:color w:val="231F20"/>
          <w:w w:val="110"/>
        </w:rPr>
        <w:t>que</w:t>
      </w:r>
      <w:r>
        <w:rPr>
          <w:color w:val="231F20"/>
          <w:spacing w:val="-9"/>
          <w:w w:val="110"/>
        </w:rPr>
        <w:t> </w:t>
      </w:r>
      <w:r>
        <w:rPr>
          <w:color w:val="231F20"/>
          <w:w w:val="110"/>
        </w:rPr>
        <w:t>afecta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mundial,</w:t>
      </w:r>
      <w:r>
        <w:rPr>
          <w:color w:val="231F20"/>
          <w:spacing w:val="-9"/>
          <w:w w:val="110"/>
        </w:rPr>
        <w:t> </w:t>
      </w:r>
      <w:r>
        <w:rPr>
          <w:color w:val="231F20"/>
          <w:w w:val="110"/>
        </w:rPr>
        <w:t>es</w:t>
      </w:r>
      <w:r>
        <w:rPr>
          <w:color w:val="231F20"/>
          <w:spacing w:val="-9"/>
          <w:w w:val="110"/>
        </w:rPr>
        <w:t> </w:t>
      </w:r>
      <w:r>
        <w:rPr>
          <w:color w:val="231F20"/>
          <w:w w:val="110"/>
        </w:rPr>
        <w:t>vista</w:t>
      </w:r>
      <w:r>
        <w:rPr>
          <w:color w:val="231F20"/>
          <w:spacing w:val="-9"/>
          <w:w w:val="110"/>
        </w:rPr>
        <w:t> </w:t>
      </w:r>
      <w:r>
        <w:rPr>
          <w:color w:val="231F20"/>
          <w:w w:val="110"/>
        </w:rPr>
        <w:t>como</w:t>
      </w:r>
      <w:r>
        <w:rPr>
          <w:color w:val="231F20"/>
          <w:spacing w:val="-9"/>
          <w:w w:val="110"/>
        </w:rPr>
        <w:t> </w:t>
      </w:r>
      <w:r>
        <w:rPr>
          <w:color w:val="231F20"/>
          <w:w w:val="110"/>
        </w:rPr>
        <w:t>la de</w:t>
      </w:r>
      <w:r>
        <w:rPr>
          <w:color w:val="231F20"/>
          <w:spacing w:val="-5"/>
          <w:w w:val="110"/>
        </w:rPr>
        <w:t> </w:t>
      </w:r>
      <w:r>
        <w:rPr>
          <w:color w:val="231F20"/>
          <w:w w:val="110"/>
        </w:rPr>
        <w:t>mayor</w:t>
      </w:r>
      <w:r>
        <w:rPr>
          <w:color w:val="231F20"/>
          <w:spacing w:val="-5"/>
          <w:w w:val="110"/>
        </w:rPr>
        <w:t> </w:t>
      </w:r>
      <w:r>
        <w:rPr>
          <w:color w:val="231F20"/>
          <w:w w:val="110"/>
        </w:rPr>
        <w:t>magnitud</w:t>
      </w:r>
      <w:r>
        <w:rPr>
          <w:color w:val="231F20"/>
          <w:spacing w:val="-5"/>
          <w:w w:val="110"/>
        </w:rPr>
        <w:t> </w:t>
      </w:r>
      <w:r>
        <w:rPr>
          <w:color w:val="231F20"/>
          <w:w w:val="110"/>
        </w:rPr>
        <w:t>y</w:t>
      </w:r>
      <w:r>
        <w:rPr>
          <w:color w:val="231F20"/>
          <w:spacing w:val="-5"/>
          <w:w w:val="110"/>
        </w:rPr>
        <w:t> </w:t>
      </w:r>
      <w:r>
        <w:rPr>
          <w:color w:val="231F20"/>
          <w:w w:val="110"/>
        </w:rPr>
        <w:t>profundidad,</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cuanto</w:t>
      </w:r>
      <w:r>
        <w:rPr>
          <w:color w:val="231F20"/>
          <w:spacing w:val="-5"/>
          <w:w w:val="110"/>
        </w:rPr>
        <w:t> </w:t>
      </w:r>
      <w:r>
        <w:rPr>
          <w:color w:val="231F20"/>
          <w:w w:val="110"/>
        </w:rPr>
        <w:t>a</w:t>
      </w:r>
      <w:r>
        <w:rPr>
          <w:color w:val="231F20"/>
          <w:spacing w:val="-5"/>
          <w:w w:val="110"/>
        </w:rPr>
        <w:t> </w:t>
      </w:r>
      <w:r>
        <w:rPr>
          <w:color w:val="231F20"/>
          <w:w w:val="110"/>
        </w:rPr>
        <w:t>sus</w:t>
      </w:r>
      <w:r>
        <w:rPr>
          <w:color w:val="231F20"/>
          <w:spacing w:val="-5"/>
          <w:w w:val="110"/>
        </w:rPr>
        <w:t> </w:t>
      </w:r>
      <w:r>
        <w:rPr>
          <w:color w:val="231F20"/>
          <w:w w:val="110"/>
        </w:rPr>
        <w:t>efectos</w:t>
      </w:r>
      <w:r>
        <w:rPr>
          <w:color w:val="231F20"/>
          <w:spacing w:val="-5"/>
          <w:w w:val="110"/>
        </w:rPr>
        <w:t> </w:t>
      </w:r>
      <w:r>
        <w:rPr>
          <w:color w:val="231F20"/>
          <w:w w:val="110"/>
        </w:rPr>
        <w:t>y</w:t>
      </w:r>
      <w:r>
        <w:rPr>
          <w:color w:val="231F20"/>
          <w:spacing w:val="-5"/>
          <w:w w:val="110"/>
        </w:rPr>
        <w:t> </w:t>
      </w:r>
      <w:r>
        <w:rPr>
          <w:color w:val="231F20"/>
          <w:w w:val="110"/>
        </w:rPr>
        <w:t>alcan- ces, sólo se le compara con la crisis de los años 30 del siglo pasado. En particular, en el caso de Estados Unidos se estimó para 2009 una caída del pib superior a 3%, situación que contrasta rotundamente con la tendencia de crecimiento sostenido que había mostrado</w:t>
      </w:r>
      <w:r>
        <w:rPr>
          <w:color w:val="231F20"/>
          <w:spacing w:val="-10"/>
          <w:w w:val="110"/>
        </w:rPr>
        <w:t> </w:t>
      </w:r>
      <w:r>
        <w:rPr>
          <w:color w:val="231F20"/>
          <w:w w:val="110"/>
        </w:rPr>
        <w:t>desde mediados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ochenta.</w:t>
      </w:r>
      <w:r>
        <w:rPr>
          <w:color w:val="231F20"/>
          <w:spacing w:val="-6"/>
          <w:w w:val="110"/>
        </w:rPr>
        <w:t> </w:t>
      </w:r>
      <w:r>
        <w:rPr>
          <w:color w:val="231F20"/>
          <w:w w:val="110"/>
        </w:rPr>
        <w:t>Asimismo,</w:t>
      </w:r>
      <w:r>
        <w:rPr>
          <w:color w:val="231F20"/>
          <w:spacing w:val="-6"/>
          <w:w w:val="110"/>
        </w:rPr>
        <w:t> </w:t>
      </w:r>
      <w:r>
        <w:rPr>
          <w:color w:val="231F20"/>
          <w:w w:val="110"/>
        </w:rPr>
        <w:t>las</w:t>
      </w:r>
      <w:r>
        <w:rPr>
          <w:color w:val="231F20"/>
          <w:spacing w:val="-6"/>
          <w:w w:val="110"/>
        </w:rPr>
        <w:t> </w:t>
      </w:r>
      <w:r>
        <w:rPr>
          <w:color w:val="231F20"/>
          <w:w w:val="110"/>
        </w:rPr>
        <w:t>cifras</w:t>
      </w:r>
      <w:r>
        <w:rPr>
          <w:color w:val="231F20"/>
          <w:spacing w:val="-6"/>
          <w:w w:val="110"/>
        </w:rPr>
        <w:t> </w:t>
      </w:r>
      <w:r>
        <w:rPr>
          <w:color w:val="231F20"/>
          <w:w w:val="110"/>
        </w:rPr>
        <w:t>de</w:t>
      </w:r>
      <w:r>
        <w:rPr>
          <w:color w:val="231F20"/>
          <w:spacing w:val="-6"/>
          <w:w w:val="110"/>
        </w:rPr>
        <w:t> </w:t>
      </w:r>
      <w:r>
        <w:rPr>
          <w:color w:val="231F20"/>
          <w:w w:val="110"/>
        </w:rPr>
        <w:t>desempleo</w:t>
      </w:r>
      <w:r>
        <w:rPr>
          <w:color w:val="231F20"/>
          <w:spacing w:val="-6"/>
          <w:w w:val="110"/>
        </w:rPr>
        <w:t> </w:t>
      </w:r>
      <w:r>
        <w:rPr>
          <w:color w:val="231F20"/>
          <w:w w:val="110"/>
        </w:rPr>
        <w:t>en ese país muestran una de las principales consecuencias de la actual recesión económica. En efecto, la tasa de desempleo prácticamente se duplicó y más, en los últimos años, pasando de sólo el 5.2% en 2007 a más del 11% en</w:t>
      </w:r>
      <w:r>
        <w:rPr>
          <w:color w:val="231F20"/>
          <w:spacing w:val="-12"/>
          <w:w w:val="110"/>
        </w:rPr>
        <w:t> </w:t>
      </w:r>
      <w:r>
        <w:rPr>
          <w:color w:val="231F20"/>
          <w:w w:val="110"/>
        </w:rPr>
        <w:t>2009.</w:t>
      </w:r>
      <w:r>
        <w:rPr>
          <w:color w:val="231F20"/>
          <w:w w:val="110"/>
          <w:position w:val="6"/>
          <w:sz w:val="13"/>
        </w:rPr>
        <w:t>5</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contexto</w:t>
      </w:r>
      <w:r>
        <w:rPr>
          <w:color w:val="231F20"/>
          <w:spacing w:val="-6"/>
          <w:w w:val="110"/>
        </w:rPr>
        <w:t> </w:t>
      </w:r>
      <w:r>
        <w:rPr>
          <w:color w:val="231F20"/>
          <w:w w:val="110"/>
        </w:rPr>
        <w:t>resulta</w:t>
      </w:r>
      <w:r>
        <w:rPr>
          <w:color w:val="231F20"/>
          <w:spacing w:val="-6"/>
          <w:w w:val="110"/>
        </w:rPr>
        <w:t> </w:t>
      </w:r>
      <w:r>
        <w:rPr>
          <w:color w:val="231F20"/>
          <w:w w:val="110"/>
        </w:rPr>
        <w:t>pertinente</w:t>
      </w:r>
      <w:r>
        <w:rPr>
          <w:color w:val="231F20"/>
          <w:spacing w:val="-6"/>
          <w:w w:val="110"/>
        </w:rPr>
        <w:t> </w:t>
      </w:r>
      <w:r>
        <w:rPr>
          <w:color w:val="231F20"/>
          <w:w w:val="110"/>
        </w:rPr>
        <w:t>y</w:t>
      </w:r>
      <w:r>
        <w:rPr>
          <w:color w:val="231F20"/>
          <w:spacing w:val="-6"/>
          <w:w w:val="110"/>
        </w:rPr>
        <w:t> </w:t>
      </w:r>
      <w:r>
        <w:rPr>
          <w:color w:val="231F20"/>
          <w:w w:val="110"/>
        </w:rPr>
        <w:t>necesario</w:t>
      </w:r>
      <w:r>
        <w:rPr>
          <w:color w:val="231F20"/>
          <w:spacing w:val="-6"/>
          <w:w w:val="110"/>
        </w:rPr>
        <w:t> </w:t>
      </w:r>
      <w:r>
        <w:rPr>
          <w:color w:val="231F20"/>
          <w:w w:val="110"/>
        </w:rPr>
        <w:t>analizar</w:t>
      </w:r>
      <w:r>
        <w:rPr>
          <w:color w:val="231F20"/>
          <w:spacing w:val="-6"/>
          <w:w w:val="110"/>
        </w:rPr>
        <w:t> </w:t>
      </w:r>
      <w:r>
        <w:rPr>
          <w:color w:val="231F20"/>
          <w:w w:val="110"/>
        </w:rPr>
        <w:t>cuáles</w:t>
      </w:r>
      <w:r>
        <w:rPr>
          <w:color w:val="231F20"/>
          <w:spacing w:val="-6"/>
          <w:w w:val="110"/>
        </w:rPr>
        <w:t> </w:t>
      </w:r>
      <w:r>
        <w:rPr>
          <w:color w:val="231F20"/>
          <w:w w:val="110"/>
        </w:rPr>
        <w:t>han sido</w:t>
      </w:r>
      <w:r>
        <w:rPr>
          <w:color w:val="231F20"/>
          <w:spacing w:val="-16"/>
          <w:w w:val="110"/>
        </w:rPr>
        <w:t> </w:t>
      </w:r>
      <w:r>
        <w:rPr>
          <w:color w:val="231F20"/>
          <w:w w:val="110"/>
        </w:rPr>
        <w:t>los</w:t>
      </w:r>
      <w:r>
        <w:rPr>
          <w:color w:val="231F20"/>
          <w:spacing w:val="-16"/>
          <w:w w:val="110"/>
        </w:rPr>
        <w:t> </w:t>
      </w:r>
      <w:r>
        <w:rPr>
          <w:color w:val="231F20"/>
          <w:w w:val="110"/>
        </w:rPr>
        <w:t>impactos</w:t>
      </w:r>
      <w:r>
        <w:rPr>
          <w:color w:val="231F20"/>
          <w:spacing w:val="-16"/>
          <w:w w:val="110"/>
        </w:rPr>
        <w:t> </w:t>
      </w:r>
      <w:r>
        <w:rPr>
          <w:color w:val="231F20"/>
          <w:w w:val="110"/>
        </w:rPr>
        <w:t>de</w:t>
      </w:r>
      <w:r>
        <w:rPr>
          <w:color w:val="231F20"/>
          <w:spacing w:val="-16"/>
          <w:w w:val="110"/>
        </w:rPr>
        <w:t> </w:t>
      </w:r>
      <w:r>
        <w:rPr>
          <w:color w:val="231F20"/>
          <w:w w:val="110"/>
        </w:rPr>
        <w:t>esta</w:t>
      </w:r>
      <w:r>
        <w:rPr>
          <w:color w:val="231F20"/>
          <w:spacing w:val="-16"/>
          <w:w w:val="110"/>
        </w:rPr>
        <w:t> </w:t>
      </w:r>
      <w:r>
        <w:rPr>
          <w:color w:val="231F20"/>
          <w:w w:val="110"/>
        </w:rPr>
        <w:t>crisis</w:t>
      </w:r>
      <w:r>
        <w:rPr>
          <w:color w:val="231F20"/>
          <w:spacing w:val="-16"/>
          <w:w w:val="110"/>
        </w:rPr>
        <w:t> </w:t>
      </w:r>
      <w:r>
        <w:rPr>
          <w:color w:val="231F20"/>
          <w:w w:val="110"/>
        </w:rPr>
        <w:t>económica</w:t>
      </w:r>
      <w:r>
        <w:rPr>
          <w:color w:val="231F20"/>
          <w:spacing w:val="-16"/>
          <w:w w:val="110"/>
        </w:rPr>
        <w:t> </w:t>
      </w:r>
      <w:r>
        <w:rPr>
          <w:color w:val="231F20"/>
          <w:w w:val="110"/>
        </w:rPr>
        <w:t>sobre</w:t>
      </w:r>
      <w:r>
        <w:rPr>
          <w:color w:val="231F20"/>
          <w:spacing w:val="-16"/>
          <w:w w:val="110"/>
        </w:rPr>
        <w:t> </w:t>
      </w:r>
      <w:r>
        <w:rPr>
          <w:color w:val="231F20"/>
          <w:w w:val="110"/>
        </w:rPr>
        <w:t>la</w:t>
      </w:r>
      <w:r>
        <w:rPr>
          <w:color w:val="231F20"/>
          <w:spacing w:val="-16"/>
          <w:w w:val="110"/>
        </w:rPr>
        <w:t> </w:t>
      </w:r>
      <w:r>
        <w:rPr>
          <w:color w:val="231F20"/>
          <w:w w:val="110"/>
        </w:rPr>
        <w:t>migración</w:t>
      </w:r>
      <w:r>
        <w:rPr>
          <w:color w:val="231F20"/>
          <w:spacing w:val="-16"/>
          <w:w w:val="110"/>
        </w:rPr>
        <w:t> </w:t>
      </w:r>
      <w:r>
        <w:rPr>
          <w:color w:val="231F20"/>
          <w:w w:val="110"/>
        </w:rPr>
        <w:t>interna- cional, con especial referencia al caso latinoamericano. Al respecto, en diversos medios se ha difundido una idea catastrofista en</w:t>
      </w:r>
      <w:r>
        <w:rPr>
          <w:color w:val="231F20"/>
          <w:spacing w:val="-36"/>
          <w:w w:val="110"/>
        </w:rPr>
        <w:t> </w:t>
      </w:r>
      <w:r>
        <w:rPr>
          <w:color w:val="231F20"/>
          <w:w w:val="110"/>
        </w:rPr>
        <w:t>relación con las consecuencias negativas de la crisis sobre la migración y las remesas, y por ese medio, sobre las condiciones económicas de  </w:t>
      </w:r>
      <w:r>
        <w:rPr>
          <w:color w:val="231F20"/>
          <w:spacing w:val="6"/>
          <w:w w:val="110"/>
        </w:rPr>
        <w:t> </w:t>
      </w:r>
      <w:r>
        <w:rPr>
          <w:color w:val="231F20"/>
          <w:w w:val="110"/>
        </w:rPr>
        <w:t>los</w:t>
      </w:r>
    </w:p>
    <w:p>
      <w:pPr>
        <w:pStyle w:val="BodyText"/>
      </w:pPr>
    </w:p>
    <w:p>
      <w:pPr>
        <w:pStyle w:val="BodyText"/>
      </w:pPr>
    </w:p>
    <w:p>
      <w:pPr>
        <w:spacing w:line="261" w:lineRule="auto" w:before="121"/>
        <w:ind w:left="100" w:right="117" w:firstLine="240"/>
        <w:jc w:val="both"/>
        <w:rPr>
          <w:sz w:val="16"/>
        </w:rPr>
      </w:pPr>
      <w:r>
        <w:rPr>
          <w:color w:val="231F20"/>
          <w:w w:val="105"/>
          <w:position w:val="5"/>
          <w:sz w:val="10"/>
        </w:rPr>
        <w:t>5   </w:t>
      </w:r>
      <w:r>
        <w:rPr>
          <w:color w:val="231F20"/>
          <w:w w:val="105"/>
          <w:sz w:val="16"/>
        </w:rPr>
        <w:t>Estimaciones propias con base en datos de las Cuentas Económicas Nacionales    del</w:t>
      </w:r>
      <w:r>
        <w:rPr>
          <w:color w:val="231F20"/>
          <w:spacing w:val="12"/>
          <w:w w:val="105"/>
          <w:sz w:val="16"/>
        </w:rPr>
        <w:t> </w:t>
      </w:r>
      <w:r>
        <w:rPr>
          <w:color w:val="231F20"/>
          <w:w w:val="105"/>
          <w:sz w:val="16"/>
        </w:rPr>
        <w:t>Bureau</w:t>
      </w:r>
      <w:r>
        <w:rPr>
          <w:color w:val="231F20"/>
          <w:spacing w:val="12"/>
          <w:w w:val="105"/>
          <w:sz w:val="16"/>
        </w:rPr>
        <w:t> </w:t>
      </w:r>
      <w:r>
        <w:rPr>
          <w:color w:val="231F20"/>
          <w:w w:val="105"/>
          <w:sz w:val="16"/>
        </w:rPr>
        <w:t>of</w:t>
      </w:r>
      <w:r>
        <w:rPr>
          <w:color w:val="231F20"/>
          <w:spacing w:val="12"/>
          <w:w w:val="105"/>
          <w:sz w:val="16"/>
        </w:rPr>
        <w:t> </w:t>
      </w:r>
      <w:r>
        <w:rPr>
          <w:color w:val="231F20"/>
          <w:w w:val="105"/>
          <w:sz w:val="16"/>
        </w:rPr>
        <w:t>Economic</w:t>
      </w:r>
      <w:r>
        <w:rPr>
          <w:color w:val="231F20"/>
          <w:spacing w:val="12"/>
          <w:w w:val="105"/>
          <w:sz w:val="16"/>
        </w:rPr>
        <w:t> </w:t>
      </w:r>
      <w:r>
        <w:rPr>
          <w:color w:val="231F20"/>
          <w:w w:val="105"/>
          <w:sz w:val="16"/>
        </w:rPr>
        <w:t>Analysis,</w:t>
      </w:r>
      <w:r>
        <w:rPr>
          <w:color w:val="231F20"/>
          <w:spacing w:val="12"/>
          <w:w w:val="105"/>
          <w:sz w:val="16"/>
        </w:rPr>
        <w:t> </w:t>
      </w:r>
      <w:r>
        <w:rPr>
          <w:color w:val="231F20"/>
          <w:w w:val="105"/>
          <w:sz w:val="16"/>
        </w:rPr>
        <w:t>y</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Current</w:t>
      </w:r>
      <w:r>
        <w:rPr>
          <w:color w:val="231F20"/>
          <w:spacing w:val="12"/>
          <w:w w:val="105"/>
          <w:sz w:val="16"/>
        </w:rPr>
        <w:t> </w:t>
      </w:r>
      <w:r>
        <w:rPr>
          <w:color w:val="231F20"/>
          <w:w w:val="105"/>
          <w:sz w:val="16"/>
        </w:rPr>
        <w:t>Population</w:t>
      </w:r>
      <w:r>
        <w:rPr>
          <w:color w:val="231F20"/>
          <w:spacing w:val="12"/>
          <w:w w:val="105"/>
          <w:sz w:val="16"/>
        </w:rPr>
        <w:t> </w:t>
      </w:r>
      <w:r>
        <w:rPr>
          <w:color w:val="231F20"/>
          <w:w w:val="105"/>
          <w:sz w:val="16"/>
        </w:rPr>
        <w:t>Survey,</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2007</w:t>
      </w:r>
      <w:r>
        <w:rPr>
          <w:color w:val="231F20"/>
          <w:spacing w:val="12"/>
          <w:w w:val="105"/>
          <w:sz w:val="16"/>
        </w:rPr>
        <w:t> </w:t>
      </w:r>
      <w:r>
        <w:rPr>
          <w:color w:val="231F20"/>
          <w:w w:val="105"/>
          <w:sz w:val="16"/>
        </w:rPr>
        <w:t>y</w:t>
      </w:r>
      <w:r>
        <w:rPr>
          <w:color w:val="231F20"/>
          <w:spacing w:val="12"/>
          <w:w w:val="105"/>
          <w:sz w:val="16"/>
        </w:rPr>
        <w:t> </w:t>
      </w:r>
      <w:r>
        <w:rPr>
          <w:color w:val="231F20"/>
          <w:w w:val="105"/>
          <w:sz w:val="16"/>
        </w:rPr>
        <w:t>2009.</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países de origen. Desde esta perspectiva, la migración y las remesas configurarían un canal de transmisión adicional a través del cual    se transferirían hacia los países latinoamericanos gran parte de los efectos</w:t>
      </w:r>
      <w:r>
        <w:rPr>
          <w:color w:val="231F20"/>
          <w:spacing w:val="-7"/>
          <w:w w:val="110"/>
        </w:rPr>
        <w:t> </w:t>
      </w:r>
      <w:r>
        <w:rPr>
          <w:color w:val="231F20"/>
          <w:w w:val="110"/>
        </w:rPr>
        <w:t>negativos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económica</w:t>
      </w:r>
      <w:r>
        <w:rPr>
          <w:color w:val="231F20"/>
          <w:spacing w:val="-7"/>
          <w:w w:val="110"/>
        </w:rPr>
        <w:t> </w:t>
      </w:r>
      <w:r>
        <w:rPr>
          <w:color w:val="231F20"/>
          <w:w w:val="110"/>
        </w:rPr>
        <w:t>que</w:t>
      </w:r>
      <w:r>
        <w:rPr>
          <w:color w:val="231F20"/>
          <w:spacing w:val="-7"/>
          <w:w w:val="110"/>
        </w:rPr>
        <w:t> </w:t>
      </w:r>
      <w:r>
        <w:rPr>
          <w:color w:val="231F20"/>
          <w:w w:val="110"/>
        </w:rPr>
        <w:t>afecta</w:t>
      </w:r>
      <w:r>
        <w:rPr>
          <w:color w:val="231F20"/>
          <w:spacing w:val="-7"/>
          <w:w w:val="110"/>
        </w:rPr>
        <w:t> </w:t>
      </w:r>
      <w:r>
        <w:rPr>
          <w:color w:val="231F20"/>
          <w:w w:val="110"/>
        </w:rPr>
        <w:t>a</w:t>
      </w:r>
      <w:r>
        <w:rPr>
          <w:color w:val="231F20"/>
          <w:spacing w:val="-7"/>
          <w:w w:val="110"/>
        </w:rPr>
        <w:t> </w:t>
      </w:r>
      <w:r>
        <w:rPr>
          <w:color w:val="231F20"/>
          <w:w w:val="110"/>
        </w:rPr>
        <w:t>Estados</w:t>
      </w:r>
      <w:r>
        <w:rPr>
          <w:color w:val="231F20"/>
          <w:spacing w:val="-7"/>
          <w:w w:val="110"/>
        </w:rPr>
        <w:t> </w:t>
      </w:r>
      <w:r>
        <w:rPr>
          <w:color w:val="231F20"/>
          <w:w w:val="110"/>
        </w:rPr>
        <w:t>Unidos (Solimano,</w:t>
      </w:r>
      <w:r>
        <w:rPr>
          <w:color w:val="231F20"/>
          <w:spacing w:val="-6"/>
          <w:w w:val="110"/>
        </w:rPr>
        <w:t> </w:t>
      </w:r>
      <w:r>
        <w:rPr>
          <w:color w:val="231F20"/>
          <w:w w:val="110"/>
        </w:rPr>
        <w:t>2009).</w:t>
      </w:r>
    </w:p>
    <w:p>
      <w:pPr>
        <w:pStyle w:val="BodyText"/>
        <w:spacing w:line="261" w:lineRule="auto"/>
        <w:ind w:left="100" w:right="117" w:firstLine="240"/>
        <w:jc w:val="right"/>
      </w:pPr>
      <w:r>
        <w:rPr>
          <w:color w:val="231F20"/>
          <w:w w:val="110"/>
        </w:rPr>
        <w:t>Por un lado, el retorno masivo de migrantes generaría</w:t>
      </w:r>
      <w:r>
        <w:rPr>
          <w:color w:val="231F20"/>
          <w:spacing w:val="-38"/>
          <w:w w:val="110"/>
        </w:rPr>
        <w:t> </w:t>
      </w:r>
      <w:r>
        <w:rPr>
          <w:color w:val="231F20"/>
          <w:w w:val="110"/>
        </w:rPr>
        <w:t>una</w:t>
      </w:r>
      <w:r>
        <w:rPr>
          <w:color w:val="231F20"/>
          <w:spacing w:val="-5"/>
          <w:w w:val="110"/>
        </w:rPr>
        <w:t> </w:t>
      </w:r>
      <w:r>
        <w:rPr>
          <w:color w:val="231F20"/>
          <w:w w:val="110"/>
        </w:rPr>
        <w:t>presión</w:t>
      </w:r>
      <w:r>
        <w:rPr>
          <w:color w:val="231F20"/>
          <w:w w:val="111"/>
        </w:rPr>
        <w:t> </w:t>
      </w:r>
      <w:r>
        <w:rPr>
          <w:color w:val="231F20"/>
          <w:w w:val="110"/>
        </w:rPr>
        <w:t>excesiva</w:t>
      </w:r>
      <w:r>
        <w:rPr>
          <w:color w:val="231F20"/>
          <w:spacing w:val="-18"/>
          <w:w w:val="110"/>
        </w:rPr>
        <w:t> </w:t>
      </w:r>
      <w:r>
        <w:rPr>
          <w:color w:val="231F20"/>
          <w:w w:val="110"/>
        </w:rPr>
        <w:t>sobre</w:t>
      </w:r>
      <w:r>
        <w:rPr>
          <w:color w:val="231F20"/>
          <w:spacing w:val="-18"/>
          <w:w w:val="110"/>
        </w:rPr>
        <w:t> </w:t>
      </w:r>
      <w:r>
        <w:rPr>
          <w:color w:val="231F20"/>
          <w:w w:val="110"/>
        </w:rPr>
        <w:t>el</w:t>
      </w:r>
      <w:r>
        <w:rPr>
          <w:color w:val="231F20"/>
          <w:spacing w:val="-18"/>
          <w:w w:val="110"/>
        </w:rPr>
        <w:t> </w:t>
      </w:r>
      <w:r>
        <w:rPr>
          <w:color w:val="231F20"/>
          <w:w w:val="110"/>
        </w:rPr>
        <w:t>mercado</w:t>
      </w:r>
      <w:r>
        <w:rPr>
          <w:color w:val="231F20"/>
          <w:spacing w:val="-18"/>
          <w:w w:val="110"/>
        </w:rPr>
        <w:t> </w:t>
      </w:r>
      <w:r>
        <w:rPr>
          <w:color w:val="231F20"/>
          <w:w w:val="110"/>
        </w:rPr>
        <w:t>de</w:t>
      </w:r>
      <w:r>
        <w:rPr>
          <w:color w:val="231F20"/>
          <w:spacing w:val="-18"/>
          <w:w w:val="110"/>
        </w:rPr>
        <w:t> </w:t>
      </w:r>
      <w:r>
        <w:rPr>
          <w:color w:val="231F20"/>
          <w:w w:val="110"/>
        </w:rPr>
        <w:t>trabajo</w:t>
      </w:r>
      <w:r>
        <w:rPr>
          <w:color w:val="231F20"/>
          <w:spacing w:val="-18"/>
          <w:w w:val="110"/>
        </w:rPr>
        <w:t> </w:t>
      </w:r>
      <w:r>
        <w:rPr>
          <w:color w:val="231F20"/>
          <w:w w:val="110"/>
        </w:rPr>
        <w:t>local,</w:t>
      </w:r>
      <w:r>
        <w:rPr>
          <w:color w:val="231F20"/>
          <w:spacing w:val="-18"/>
          <w:w w:val="110"/>
        </w:rPr>
        <w:t> </w:t>
      </w:r>
      <w:r>
        <w:rPr>
          <w:color w:val="231F20"/>
          <w:w w:val="110"/>
        </w:rPr>
        <w:t>agravando</w:t>
      </w:r>
      <w:r>
        <w:rPr>
          <w:color w:val="231F20"/>
          <w:spacing w:val="-18"/>
          <w:w w:val="110"/>
        </w:rPr>
        <w:t> </w:t>
      </w:r>
      <w:r>
        <w:rPr>
          <w:color w:val="231F20"/>
          <w:w w:val="110"/>
        </w:rPr>
        <w:t>las</w:t>
      </w:r>
      <w:r>
        <w:rPr>
          <w:color w:val="231F20"/>
          <w:spacing w:val="-18"/>
          <w:w w:val="110"/>
        </w:rPr>
        <w:t> </w:t>
      </w:r>
      <w:r>
        <w:rPr>
          <w:color w:val="231F20"/>
          <w:w w:val="110"/>
        </w:rPr>
        <w:t>ya</w:t>
      </w:r>
      <w:r>
        <w:rPr>
          <w:color w:val="231F20"/>
          <w:spacing w:val="-18"/>
          <w:w w:val="110"/>
        </w:rPr>
        <w:t> </w:t>
      </w:r>
      <w:r>
        <w:rPr>
          <w:color w:val="231F20"/>
          <w:w w:val="110"/>
        </w:rPr>
        <w:t>precarias</w:t>
      </w:r>
      <w:r>
        <w:rPr>
          <w:color w:val="231F20"/>
          <w:w w:val="109"/>
        </w:rPr>
        <w:t> </w:t>
      </w:r>
      <w:r>
        <w:rPr>
          <w:color w:val="231F20"/>
          <w:w w:val="110"/>
        </w:rPr>
        <w:t>condiciones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fuerza</w:t>
      </w:r>
      <w:r>
        <w:rPr>
          <w:color w:val="231F20"/>
          <w:spacing w:val="-11"/>
          <w:w w:val="110"/>
        </w:rPr>
        <w:t> </w:t>
      </w:r>
      <w:r>
        <w:rPr>
          <w:color w:val="231F20"/>
          <w:w w:val="110"/>
        </w:rPr>
        <w:t>de</w:t>
      </w:r>
      <w:r>
        <w:rPr>
          <w:color w:val="231F20"/>
          <w:spacing w:val="-11"/>
          <w:w w:val="110"/>
        </w:rPr>
        <w:t> </w:t>
      </w:r>
      <w:r>
        <w:rPr>
          <w:color w:val="231F20"/>
          <w:w w:val="110"/>
        </w:rPr>
        <w:t>trabajo</w:t>
      </w:r>
      <w:r>
        <w:rPr>
          <w:color w:val="231F20"/>
          <w:spacing w:val="-11"/>
          <w:w w:val="110"/>
        </w:rPr>
        <w:t> </w:t>
      </w:r>
      <w:r>
        <w:rPr>
          <w:color w:val="231F20"/>
          <w:w w:val="110"/>
        </w:rPr>
        <w:t>local.</w:t>
      </w:r>
      <w:r>
        <w:rPr>
          <w:color w:val="231F20"/>
          <w:spacing w:val="-11"/>
          <w:w w:val="110"/>
        </w:rPr>
        <w:t> </w:t>
      </w:r>
      <w:r>
        <w:rPr>
          <w:color w:val="231F20"/>
          <w:w w:val="110"/>
        </w:rPr>
        <w:t>Por</w:t>
      </w:r>
      <w:r>
        <w:rPr>
          <w:color w:val="231F20"/>
          <w:spacing w:val="-11"/>
          <w:w w:val="110"/>
        </w:rPr>
        <w:t> </w:t>
      </w:r>
      <w:r>
        <w:rPr>
          <w:color w:val="231F20"/>
          <w:w w:val="110"/>
        </w:rPr>
        <w:t>otro</w:t>
      </w:r>
      <w:r>
        <w:rPr>
          <w:color w:val="231F20"/>
          <w:spacing w:val="-11"/>
          <w:w w:val="110"/>
        </w:rPr>
        <w:t> </w:t>
      </w:r>
      <w:r>
        <w:rPr>
          <w:color w:val="231F20"/>
          <w:w w:val="110"/>
        </w:rPr>
        <w:t>lado,</w:t>
      </w:r>
      <w:r>
        <w:rPr>
          <w:color w:val="231F20"/>
          <w:spacing w:val="-11"/>
          <w:w w:val="110"/>
        </w:rPr>
        <w:t> </w:t>
      </w:r>
      <w:r>
        <w:rPr>
          <w:color w:val="231F20"/>
          <w:w w:val="110"/>
        </w:rPr>
        <w:t>el</w:t>
      </w:r>
      <w:r>
        <w:rPr>
          <w:color w:val="231F20"/>
          <w:spacing w:val="-11"/>
          <w:w w:val="110"/>
        </w:rPr>
        <w:t> </w:t>
      </w:r>
      <w:r>
        <w:rPr>
          <w:color w:val="231F20"/>
          <w:w w:val="110"/>
        </w:rPr>
        <w:t>virtual</w:t>
      </w:r>
      <w:r>
        <w:rPr>
          <w:color w:val="231F20"/>
          <w:spacing w:val="-11"/>
          <w:w w:val="110"/>
        </w:rPr>
        <w:t> </w:t>
      </w:r>
      <w:r>
        <w:rPr>
          <w:color w:val="231F20"/>
          <w:w w:val="110"/>
        </w:rPr>
        <w:t>des-</w:t>
      </w:r>
      <w:r>
        <w:rPr>
          <w:color w:val="231F20"/>
          <w:w w:val="72"/>
        </w:rPr>
        <w:t> </w:t>
      </w:r>
      <w:r>
        <w:rPr>
          <w:color w:val="231F20"/>
          <w:w w:val="110"/>
        </w:rPr>
        <w:t>plome</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remesas,</w:t>
      </w:r>
      <w:r>
        <w:rPr>
          <w:color w:val="231F20"/>
          <w:spacing w:val="-5"/>
          <w:w w:val="110"/>
        </w:rPr>
        <w:t> </w:t>
      </w:r>
      <w:r>
        <w:rPr>
          <w:color w:val="231F20"/>
          <w:w w:val="110"/>
        </w:rPr>
        <w:t>no</w:t>
      </w:r>
      <w:r>
        <w:rPr>
          <w:color w:val="231F20"/>
          <w:spacing w:val="-5"/>
          <w:w w:val="110"/>
        </w:rPr>
        <w:t> </w:t>
      </w:r>
      <w:r>
        <w:rPr>
          <w:color w:val="231F20"/>
          <w:w w:val="110"/>
        </w:rPr>
        <w:t>sólo</w:t>
      </w:r>
      <w:r>
        <w:rPr>
          <w:color w:val="231F20"/>
          <w:spacing w:val="-5"/>
          <w:w w:val="110"/>
        </w:rPr>
        <w:t> </w:t>
      </w:r>
      <w:r>
        <w:rPr>
          <w:color w:val="231F20"/>
          <w:w w:val="110"/>
        </w:rPr>
        <w:t>incidiría</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condiciones</w:t>
      </w:r>
      <w:r>
        <w:rPr>
          <w:color w:val="231F20"/>
          <w:spacing w:val="-5"/>
          <w:w w:val="110"/>
        </w:rPr>
        <w:t> </w:t>
      </w:r>
      <w:r>
        <w:rPr>
          <w:color w:val="231F20"/>
          <w:w w:val="110"/>
        </w:rPr>
        <w:t>de</w:t>
      </w:r>
      <w:r>
        <w:rPr>
          <w:color w:val="231F20"/>
          <w:spacing w:val="-5"/>
          <w:w w:val="110"/>
        </w:rPr>
        <w:t> </w:t>
      </w:r>
      <w:r>
        <w:rPr>
          <w:color w:val="231F20"/>
          <w:w w:val="110"/>
        </w:rPr>
        <w:t>vida</w:t>
      </w:r>
      <w:r>
        <w:rPr>
          <w:color w:val="231F20"/>
          <w:spacing w:val="-5"/>
          <w:w w:val="110"/>
        </w:rPr>
        <w:t> </w:t>
      </w:r>
      <w:r>
        <w:rPr>
          <w:color w:val="231F20"/>
          <w:w w:val="110"/>
        </w:rPr>
        <w:t>de</w:t>
      </w:r>
      <w:r>
        <w:rPr>
          <w:color w:val="231F20"/>
          <w:w w:val="114"/>
        </w:rPr>
        <w:t> </w:t>
      </w:r>
      <w:r>
        <w:rPr>
          <w:color w:val="231F20"/>
          <w:w w:val="110"/>
        </w:rPr>
        <w:t>la población que las recibe, sino además tendría</w:t>
      </w:r>
      <w:r>
        <w:rPr>
          <w:color w:val="231F20"/>
          <w:spacing w:val="-27"/>
          <w:w w:val="110"/>
        </w:rPr>
        <w:t> </w:t>
      </w:r>
      <w:r>
        <w:rPr>
          <w:color w:val="231F20"/>
          <w:w w:val="110"/>
        </w:rPr>
        <w:t>serias</w:t>
      </w:r>
      <w:r>
        <w:rPr>
          <w:color w:val="231F20"/>
          <w:spacing w:val="-4"/>
          <w:w w:val="110"/>
        </w:rPr>
        <w:t> </w:t>
      </w:r>
      <w:r>
        <w:rPr>
          <w:color w:val="231F20"/>
          <w:w w:val="110"/>
        </w:rPr>
        <w:t>repercusiones</w:t>
      </w:r>
      <w:r>
        <w:rPr>
          <w:color w:val="231F20"/>
          <w:w w:val="110"/>
        </w:rPr>
        <w:t> </w:t>
      </w:r>
      <w:r>
        <w:rPr>
          <w:color w:val="231F20"/>
          <w:w w:val="110"/>
        </w:rPr>
        <w:t>en la economía, al reducirse el ingreso de divisas, a la vez</w:t>
      </w:r>
      <w:r>
        <w:rPr>
          <w:color w:val="231F20"/>
          <w:spacing w:val="-10"/>
          <w:w w:val="110"/>
        </w:rPr>
        <w:t> </w:t>
      </w:r>
      <w:r>
        <w:rPr>
          <w:color w:val="231F20"/>
          <w:w w:val="110"/>
        </w:rPr>
        <w:t>que</w:t>
      </w:r>
      <w:r>
        <w:rPr>
          <w:color w:val="231F20"/>
          <w:spacing w:val="-1"/>
          <w:w w:val="110"/>
        </w:rPr>
        <w:t> </w:t>
      </w:r>
      <w:r>
        <w:rPr>
          <w:color w:val="231F20"/>
          <w:w w:val="110"/>
        </w:rPr>
        <w:t>gene-</w:t>
      </w:r>
      <w:r>
        <w:rPr>
          <w:color w:val="231F20"/>
          <w:w w:val="72"/>
        </w:rPr>
        <w:t> </w:t>
      </w:r>
      <w:r>
        <w:rPr>
          <w:color w:val="231F20"/>
          <w:w w:val="110"/>
        </w:rPr>
        <w:t>rar efectos colaterales que ahondarían el ciclo recesivo</w:t>
      </w:r>
      <w:r>
        <w:rPr>
          <w:color w:val="231F20"/>
          <w:spacing w:val="36"/>
          <w:w w:val="110"/>
        </w:rPr>
        <w:t> </w:t>
      </w:r>
      <w:r>
        <w:rPr>
          <w:color w:val="231F20"/>
          <w:w w:val="110"/>
        </w:rPr>
        <w:t>(sela,</w:t>
      </w:r>
      <w:r>
        <w:rPr>
          <w:color w:val="231F20"/>
          <w:spacing w:val="4"/>
          <w:w w:val="110"/>
        </w:rPr>
        <w:t> </w:t>
      </w:r>
      <w:r>
        <w:rPr>
          <w:color w:val="231F20"/>
          <w:w w:val="110"/>
        </w:rPr>
        <w:t>2009).</w:t>
      </w:r>
      <w:r>
        <w:rPr>
          <w:color w:val="231F20"/>
          <w:w w:val="107"/>
        </w:rPr>
        <w:t> </w:t>
      </w:r>
      <w:r>
        <w:rPr>
          <w:color w:val="231F20"/>
          <w:w w:val="110"/>
        </w:rPr>
        <w:t>Sin</w:t>
      </w:r>
      <w:r>
        <w:rPr>
          <w:color w:val="231F20"/>
          <w:spacing w:val="-14"/>
          <w:w w:val="110"/>
        </w:rPr>
        <w:t> </w:t>
      </w:r>
      <w:r>
        <w:rPr>
          <w:color w:val="231F20"/>
          <w:w w:val="110"/>
        </w:rPr>
        <w:t>embargo,</w:t>
      </w:r>
      <w:r>
        <w:rPr>
          <w:color w:val="231F20"/>
          <w:spacing w:val="-14"/>
          <w:w w:val="110"/>
        </w:rPr>
        <w:t> </w:t>
      </w:r>
      <w:r>
        <w:rPr>
          <w:color w:val="231F20"/>
          <w:w w:val="110"/>
        </w:rPr>
        <w:t>la</w:t>
      </w:r>
      <w:r>
        <w:rPr>
          <w:color w:val="231F20"/>
          <w:spacing w:val="-14"/>
          <w:w w:val="110"/>
        </w:rPr>
        <w:t> </w:t>
      </w:r>
      <w:r>
        <w:rPr>
          <w:color w:val="231F20"/>
          <w:w w:val="110"/>
        </w:rPr>
        <w:t>realidad</w:t>
      </w:r>
      <w:r>
        <w:rPr>
          <w:color w:val="231F20"/>
          <w:spacing w:val="-14"/>
          <w:w w:val="110"/>
        </w:rPr>
        <w:t> </w:t>
      </w:r>
      <w:r>
        <w:rPr>
          <w:color w:val="231F20"/>
          <w:w w:val="110"/>
        </w:rPr>
        <w:t>una</w:t>
      </w:r>
      <w:r>
        <w:rPr>
          <w:color w:val="231F20"/>
          <w:spacing w:val="-14"/>
          <w:w w:val="110"/>
        </w:rPr>
        <w:t> </w:t>
      </w:r>
      <w:r>
        <w:rPr>
          <w:color w:val="231F20"/>
          <w:w w:val="110"/>
        </w:rPr>
        <w:t>vez</w:t>
      </w:r>
      <w:r>
        <w:rPr>
          <w:color w:val="231F20"/>
          <w:spacing w:val="-14"/>
          <w:w w:val="110"/>
        </w:rPr>
        <w:t> </w:t>
      </w:r>
      <w:r>
        <w:rPr>
          <w:color w:val="231F20"/>
          <w:w w:val="110"/>
        </w:rPr>
        <w:t>más,</w:t>
      </w:r>
      <w:r>
        <w:rPr>
          <w:color w:val="231F20"/>
          <w:spacing w:val="-14"/>
          <w:w w:val="110"/>
        </w:rPr>
        <w:t> </w:t>
      </w:r>
      <w:r>
        <w:rPr>
          <w:color w:val="231F20"/>
          <w:w w:val="110"/>
        </w:rPr>
        <w:t>se</w:t>
      </w:r>
      <w:r>
        <w:rPr>
          <w:color w:val="231F20"/>
          <w:spacing w:val="-14"/>
          <w:w w:val="110"/>
        </w:rPr>
        <w:t> </w:t>
      </w:r>
      <w:r>
        <w:rPr>
          <w:color w:val="231F20"/>
          <w:w w:val="110"/>
        </w:rPr>
        <w:t>muestra</w:t>
      </w:r>
      <w:r>
        <w:rPr>
          <w:color w:val="231F20"/>
          <w:spacing w:val="-14"/>
          <w:w w:val="110"/>
        </w:rPr>
        <w:t> </w:t>
      </w:r>
      <w:r>
        <w:rPr>
          <w:color w:val="231F20"/>
          <w:w w:val="110"/>
        </w:rPr>
        <w:t>mucho</w:t>
      </w:r>
      <w:r>
        <w:rPr>
          <w:color w:val="231F20"/>
          <w:spacing w:val="-14"/>
          <w:w w:val="110"/>
        </w:rPr>
        <w:t> </w:t>
      </w:r>
      <w:r>
        <w:rPr>
          <w:color w:val="231F20"/>
          <w:w w:val="110"/>
        </w:rPr>
        <w:t>más</w:t>
      </w:r>
      <w:r>
        <w:rPr>
          <w:color w:val="231F20"/>
          <w:spacing w:val="-14"/>
          <w:w w:val="110"/>
        </w:rPr>
        <w:t> </w:t>
      </w:r>
      <w:r>
        <w:rPr>
          <w:color w:val="231F20"/>
          <w:w w:val="110"/>
        </w:rPr>
        <w:t>com-</w:t>
      </w:r>
      <w:r>
        <w:rPr>
          <w:color w:val="231F20"/>
          <w:w w:val="72"/>
        </w:rPr>
        <w:t> </w:t>
      </w:r>
      <w:r>
        <w:rPr>
          <w:color w:val="231F20"/>
          <w:w w:val="110"/>
        </w:rPr>
        <w:t>pleja</w:t>
      </w:r>
      <w:r>
        <w:rPr>
          <w:color w:val="231F20"/>
          <w:spacing w:val="-14"/>
          <w:w w:val="110"/>
        </w:rPr>
        <w:t> </w:t>
      </w:r>
      <w:r>
        <w:rPr>
          <w:color w:val="231F20"/>
          <w:w w:val="110"/>
        </w:rPr>
        <w:t>que</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estos</w:t>
      </w:r>
      <w:r>
        <w:rPr>
          <w:color w:val="231F20"/>
          <w:spacing w:val="-14"/>
          <w:w w:val="110"/>
        </w:rPr>
        <w:t> </w:t>
      </w:r>
      <w:r>
        <w:rPr>
          <w:color w:val="231F20"/>
          <w:w w:val="110"/>
        </w:rPr>
        <w:t>modelos</w:t>
      </w:r>
      <w:r>
        <w:rPr>
          <w:color w:val="231F20"/>
          <w:spacing w:val="-14"/>
          <w:w w:val="110"/>
        </w:rPr>
        <w:t> </w:t>
      </w:r>
      <w:r>
        <w:rPr>
          <w:color w:val="231F20"/>
          <w:w w:val="110"/>
        </w:rPr>
        <w:t>catastrofistas</w:t>
      </w:r>
      <w:r>
        <w:rPr>
          <w:color w:val="231F20"/>
          <w:spacing w:val="-14"/>
          <w:w w:val="110"/>
        </w:rPr>
        <w:t> </w:t>
      </w:r>
      <w:r>
        <w:rPr>
          <w:color w:val="231F20"/>
          <w:w w:val="110"/>
        </w:rPr>
        <w:t>postulan.</w:t>
      </w:r>
      <w:r>
        <w:rPr>
          <w:color w:val="231F20"/>
          <w:spacing w:val="-14"/>
          <w:w w:val="110"/>
        </w:rPr>
        <w:t> </w:t>
      </w:r>
      <w:r>
        <w:rPr>
          <w:color w:val="231F20"/>
          <w:w w:val="110"/>
        </w:rPr>
        <w:t>Al</w:t>
      </w:r>
      <w:r>
        <w:rPr>
          <w:color w:val="231F20"/>
          <w:spacing w:val="-14"/>
          <w:w w:val="110"/>
        </w:rPr>
        <w:t> </w:t>
      </w:r>
      <w:r>
        <w:rPr>
          <w:color w:val="231F20"/>
          <w:w w:val="110"/>
        </w:rPr>
        <w:t>respecto,</w:t>
      </w:r>
      <w:r>
        <w:rPr>
          <w:color w:val="231F20"/>
          <w:spacing w:val="-14"/>
          <w:w w:val="110"/>
        </w:rPr>
        <w:t> </w:t>
      </w:r>
      <w:r>
        <w:rPr>
          <w:color w:val="231F20"/>
          <w:w w:val="110"/>
        </w:rPr>
        <w:t>en</w:t>
      </w:r>
      <w:r>
        <w:rPr>
          <w:color w:val="231F20"/>
          <w:w w:val="116"/>
        </w:rPr>
        <w:t> </w:t>
      </w:r>
      <w:r>
        <w:rPr>
          <w:color w:val="231F20"/>
          <w:w w:val="110"/>
        </w:rPr>
        <w:t>un</w:t>
      </w:r>
      <w:r>
        <w:rPr>
          <w:color w:val="231F20"/>
          <w:spacing w:val="-14"/>
          <w:w w:val="110"/>
        </w:rPr>
        <w:t> </w:t>
      </w:r>
      <w:r>
        <w:rPr>
          <w:color w:val="231F20"/>
          <w:w w:val="110"/>
        </w:rPr>
        <w:t>estudio</w:t>
      </w:r>
      <w:r>
        <w:rPr>
          <w:color w:val="231F20"/>
          <w:spacing w:val="-14"/>
          <w:w w:val="110"/>
        </w:rPr>
        <w:t> </w:t>
      </w:r>
      <w:r>
        <w:rPr>
          <w:color w:val="231F20"/>
          <w:w w:val="110"/>
        </w:rPr>
        <w:t>reciente</w:t>
      </w:r>
      <w:r>
        <w:rPr>
          <w:color w:val="231F20"/>
          <w:spacing w:val="-14"/>
          <w:w w:val="110"/>
        </w:rPr>
        <w:t> </w:t>
      </w:r>
      <w:r>
        <w:rPr>
          <w:color w:val="231F20"/>
          <w:w w:val="110"/>
        </w:rPr>
        <w:t>del</w:t>
      </w:r>
      <w:r>
        <w:rPr>
          <w:color w:val="231F20"/>
          <w:spacing w:val="-14"/>
          <w:w w:val="110"/>
        </w:rPr>
        <w:t> </w:t>
      </w:r>
      <w:r>
        <w:rPr>
          <w:color w:val="231F20"/>
          <w:w w:val="110"/>
        </w:rPr>
        <w:t>Migration</w:t>
      </w:r>
      <w:r>
        <w:rPr>
          <w:color w:val="231F20"/>
          <w:spacing w:val="-14"/>
          <w:w w:val="110"/>
        </w:rPr>
        <w:t> </w:t>
      </w:r>
      <w:r>
        <w:rPr>
          <w:color w:val="231F20"/>
          <w:w w:val="110"/>
        </w:rPr>
        <w:t>Policy</w:t>
      </w:r>
      <w:r>
        <w:rPr>
          <w:color w:val="231F20"/>
          <w:spacing w:val="-14"/>
          <w:w w:val="110"/>
        </w:rPr>
        <w:t> </w:t>
      </w:r>
      <w:r>
        <w:rPr>
          <w:color w:val="231F20"/>
          <w:w w:val="110"/>
        </w:rPr>
        <w:t>Institute</w:t>
      </w:r>
      <w:r>
        <w:rPr>
          <w:color w:val="231F20"/>
          <w:spacing w:val="-14"/>
          <w:w w:val="110"/>
        </w:rPr>
        <w:t> </w:t>
      </w:r>
      <w:r>
        <w:rPr>
          <w:color w:val="231F20"/>
          <w:w w:val="110"/>
        </w:rPr>
        <w:t>(Fix</w:t>
      </w:r>
      <w:r>
        <w:rPr>
          <w:color w:val="231F20"/>
          <w:spacing w:val="-14"/>
          <w:w w:val="110"/>
        </w:rPr>
        <w:t> </w:t>
      </w:r>
      <w:r>
        <w:rPr>
          <w:i/>
          <w:color w:val="231F20"/>
          <w:w w:val="110"/>
        </w:rPr>
        <w:t>et</w:t>
      </w:r>
      <w:r>
        <w:rPr>
          <w:i/>
          <w:color w:val="231F20"/>
          <w:spacing w:val="-14"/>
          <w:w w:val="110"/>
        </w:rPr>
        <w:t> </w:t>
      </w:r>
      <w:r>
        <w:rPr>
          <w:i/>
          <w:color w:val="231F20"/>
          <w:w w:val="110"/>
        </w:rPr>
        <w:t>al.</w:t>
      </w:r>
      <w:r>
        <w:rPr>
          <w:color w:val="231F20"/>
          <w:w w:val="110"/>
        </w:rPr>
        <w:t>,</w:t>
      </w:r>
      <w:r>
        <w:rPr>
          <w:color w:val="231F20"/>
          <w:spacing w:val="-14"/>
          <w:w w:val="110"/>
        </w:rPr>
        <w:t> </w:t>
      </w:r>
      <w:r>
        <w:rPr>
          <w:color w:val="231F20"/>
          <w:w w:val="110"/>
        </w:rPr>
        <w:t>2009),</w:t>
      </w:r>
      <w:r>
        <w:rPr>
          <w:color w:val="231F20"/>
          <w:spacing w:val="-14"/>
          <w:w w:val="110"/>
        </w:rPr>
        <w:t> </w:t>
      </w:r>
      <w:r>
        <w:rPr>
          <w:color w:val="231F20"/>
          <w:w w:val="110"/>
        </w:rPr>
        <w:t>se</w:t>
      </w:r>
      <w:r>
        <w:rPr>
          <w:color w:val="231F20"/>
          <w:w w:val="103"/>
        </w:rPr>
        <w:t> </w:t>
      </w:r>
      <w:r>
        <w:rPr>
          <w:color w:val="231F20"/>
          <w:w w:val="110"/>
        </w:rPr>
        <w:t>demuestra que si bien con la recesión actual se ha reducido</w:t>
      </w:r>
      <w:r>
        <w:rPr>
          <w:color w:val="231F20"/>
          <w:spacing w:val="12"/>
          <w:w w:val="110"/>
        </w:rPr>
        <w:t> </w:t>
      </w:r>
      <w:r>
        <w:rPr>
          <w:color w:val="231F20"/>
          <w:w w:val="110"/>
        </w:rPr>
        <w:t>el</w:t>
      </w:r>
      <w:r>
        <w:rPr>
          <w:color w:val="231F20"/>
          <w:spacing w:val="1"/>
          <w:w w:val="110"/>
        </w:rPr>
        <w:t> </w:t>
      </w:r>
      <w:r>
        <w:rPr>
          <w:color w:val="231F20"/>
          <w:w w:val="110"/>
        </w:rPr>
        <w:t>movi-</w:t>
      </w:r>
      <w:r>
        <w:rPr>
          <w:color w:val="231F20"/>
          <w:w w:val="72"/>
        </w:rPr>
        <w:t> </w:t>
      </w:r>
      <w:r>
        <w:rPr>
          <w:color w:val="231F20"/>
          <w:w w:val="110"/>
        </w:rPr>
        <w:t>miento</w:t>
      </w:r>
      <w:r>
        <w:rPr>
          <w:color w:val="231F20"/>
          <w:spacing w:val="-7"/>
          <w:w w:val="110"/>
        </w:rPr>
        <w:t> </w:t>
      </w:r>
      <w:r>
        <w:rPr>
          <w:color w:val="231F20"/>
          <w:w w:val="110"/>
        </w:rPr>
        <w:t>migratorio,</w:t>
      </w:r>
      <w:r>
        <w:rPr>
          <w:color w:val="231F20"/>
          <w:spacing w:val="-7"/>
          <w:w w:val="110"/>
        </w:rPr>
        <w:t> </w:t>
      </w:r>
      <w:r>
        <w:rPr>
          <w:color w:val="231F20"/>
          <w:w w:val="110"/>
        </w:rPr>
        <w:t>lo</w:t>
      </w:r>
      <w:r>
        <w:rPr>
          <w:color w:val="231F20"/>
          <w:spacing w:val="-7"/>
          <w:w w:val="110"/>
        </w:rPr>
        <w:t> </w:t>
      </w:r>
      <w:r>
        <w:rPr>
          <w:color w:val="231F20"/>
          <w:w w:val="110"/>
        </w:rPr>
        <w:t>particularmente</w:t>
      </w:r>
      <w:r>
        <w:rPr>
          <w:color w:val="231F20"/>
          <w:spacing w:val="-7"/>
          <w:w w:val="110"/>
        </w:rPr>
        <w:t> </w:t>
      </w:r>
      <w:r>
        <w:rPr>
          <w:color w:val="231F20"/>
          <w:w w:val="110"/>
        </w:rPr>
        <w:t>relevante</w:t>
      </w:r>
      <w:r>
        <w:rPr>
          <w:color w:val="231F20"/>
          <w:spacing w:val="-7"/>
          <w:w w:val="110"/>
        </w:rPr>
        <w:t> </w:t>
      </w:r>
      <w:r>
        <w:rPr>
          <w:color w:val="231F20"/>
          <w:w w:val="110"/>
        </w:rPr>
        <w:t>es</w:t>
      </w:r>
      <w:r>
        <w:rPr>
          <w:color w:val="231F20"/>
          <w:spacing w:val="-7"/>
          <w:w w:val="110"/>
        </w:rPr>
        <w:t> </w:t>
      </w:r>
      <w:r>
        <w:rPr>
          <w:color w:val="231F20"/>
          <w:w w:val="110"/>
        </w:rPr>
        <w:t>que,</w:t>
      </w:r>
      <w:r>
        <w:rPr>
          <w:color w:val="231F20"/>
          <w:spacing w:val="-7"/>
          <w:w w:val="110"/>
        </w:rPr>
        <w:t> </w:t>
      </w:r>
      <w:r>
        <w:rPr>
          <w:color w:val="231F20"/>
          <w:w w:val="110"/>
        </w:rPr>
        <w:t>contrario</w:t>
      </w:r>
      <w:r>
        <w:rPr>
          <w:color w:val="231F20"/>
          <w:spacing w:val="-7"/>
          <w:w w:val="110"/>
        </w:rPr>
        <w:t> </w:t>
      </w:r>
      <w:r>
        <w:rPr>
          <w:color w:val="231F20"/>
          <w:w w:val="110"/>
        </w:rPr>
        <w:t>a</w:t>
      </w:r>
      <w:r>
        <w:rPr>
          <w:color w:val="231F20"/>
          <w:spacing w:val="-7"/>
          <w:w w:val="110"/>
        </w:rPr>
        <w:t> </w:t>
      </w:r>
      <w:r>
        <w:rPr>
          <w:color w:val="231F20"/>
          <w:w w:val="110"/>
        </w:rPr>
        <w:t>la</w:t>
      </w:r>
      <w:r>
        <w:rPr>
          <w:color w:val="231F20"/>
          <w:w w:val="105"/>
        </w:rPr>
        <w:t> </w:t>
      </w:r>
      <w:r>
        <w:rPr>
          <w:color w:val="231F20"/>
          <w:w w:val="110"/>
        </w:rPr>
        <w:t>percepción pública generalizada, no se ha generado</w:t>
      </w:r>
      <w:r>
        <w:rPr>
          <w:color w:val="231F20"/>
          <w:spacing w:val="47"/>
          <w:w w:val="110"/>
        </w:rPr>
        <w:t> </w:t>
      </w:r>
      <w:r>
        <w:rPr>
          <w:color w:val="231F20"/>
          <w:w w:val="110"/>
        </w:rPr>
        <w:t>ningún</w:t>
      </w:r>
      <w:r>
        <w:rPr>
          <w:color w:val="231F20"/>
          <w:spacing w:val="14"/>
          <w:w w:val="110"/>
        </w:rPr>
        <w:t> </w:t>
      </w:r>
      <w:r>
        <w:rPr>
          <w:color w:val="231F20"/>
          <w:w w:val="110"/>
        </w:rPr>
        <w:t>retorno</w:t>
      </w:r>
      <w:r>
        <w:rPr>
          <w:color w:val="231F20"/>
          <w:w w:val="115"/>
        </w:rPr>
        <w:t> </w:t>
      </w:r>
      <w:r>
        <w:rPr>
          <w:color w:val="231F20"/>
          <w:w w:val="110"/>
        </w:rPr>
        <w:t>masivo de migrantes a sus países de origen, ello a pesar de</w:t>
      </w:r>
      <w:r>
        <w:rPr>
          <w:color w:val="231F20"/>
          <w:spacing w:val="18"/>
          <w:w w:val="110"/>
        </w:rPr>
        <w:t> </w:t>
      </w:r>
      <w:r>
        <w:rPr>
          <w:color w:val="231F20"/>
          <w:w w:val="110"/>
        </w:rPr>
        <w:t>un</w:t>
      </w:r>
      <w:r>
        <w:rPr>
          <w:color w:val="231F20"/>
          <w:spacing w:val="10"/>
          <w:w w:val="110"/>
        </w:rPr>
        <w:t> </w:t>
      </w:r>
      <w:r>
        <w:rPr>
          <w:color w:val="231F20"/>
          <w:w w:val="110"/>
        </w:rPr>
        <w:t>des-</w:t>
      </w:r>
      <w:r>
        <w:rPr>
          <w:color w:val="231F20"/>
          <w:w w:val="72"/>
        </w:rPr>
        <w:t> </w:t>
      </w:r>
      <w:r>
        <w:rPr>
          <w:color w:val="231F20"/>
          <w:w w:val="110"/>
        </w:rPr>
        <w:t>empleo</w:t>
      </w:r>
      <w:r>
        <w:rPr>
          <w:color w:val="231F20"/>
          <w:spacing w:val="-13"/>
          <w:w w:val="110"/>
        </w:rPr>
        <w:t> </w:t>
      </w:r>
      <w:r>
        <w:rPr>
          <w:color w:val="231F20"/>
          <w:w w:val="110"/>
        </w:rPr>
        <w:t>muy</w:t>
      </w:r>
      <w:r>
        <w:rPr>
          <w:color w:val="231F20"/>
          <w:spacing w:val="-13"/>
          <w:w w:val="110"/>
        </w:rPr>
        <w:t> </w:t>
      </w:r>
      <w:r>
        <w:rPr>
          <w:color w:val="231F20"/>
          <w:w w:val="110"/>
        </w:rPr>
        <w:t>elevado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falta</w:t>
      </w:r>
      <w:r>
        <w:rPr>
          <w:color w:val="231F20"/>
          <w:spacing w:val="-13"/>
          <w:w w:val="110"/>
        </w:rPr>
        <w:t> </w:t>
      </w:r>
      <w:r>
        <w:rPr>
          <w:color w:val="231F20"/>
          <w:w w:val="110"/>
        </w:rPr>
        <w:t>de</w:t>
      </w:r>
      <w:r>
        <w:rPr>
          <w:color w:val="231F20"/>
          <w:spacing w:val="-13"/>
          <w:w w:val="110"/>
        </w:rPr>
        <w:t> </w:t>
      </w:r>
      <w:r>
        <w:rPr>
          <w:color w:val="231F20"/>
          <w:w w:val="110"/>
        </w:rPr>
        <w:t>puestos</w:t>
      </w:r>
      <w:r>
        <w:rPr>
          <w:color w:val="231F20"/>
          <w:spacing w:val="-13"/>
          <w:w w:val="110"/>
        </w:rPr>
        <w:t> </w:t>
      </w:r>
      <w:r>
        <w:rPr>
          <w:color w:val="231F20"/>
          <w:w w:val="110"/>
        </w:rPr>
        <w:t>de</w:t>
      </w:r>
      <w:r>
        <w:rPr>
          <w:color w:val="231F20"/>
          <w:spacing w:val="-13"/>
          <w:w w:val="110"/>
        </w:rPr>
        <w:t> </w:t>
      </w:r>
      <w:r>
        <w:rPr>
          <w:color w:val="231F20"/>
          <w:w w:val="110"/>
        </w:rPr>
        <w:t>trabajo</w:t>
      </w:r>
      <w:r>
        <w:rPr>
          <w:color w:val="231F20"/>
          <w:spacing w:val="-13"/>
          <w:w w:val="110"/>
        </w:rPr>
        <w:t> </w:t>
      </w:r>
      <w:r>
        <w:rPr>
          <w:color w:val="231F20"/>
          <w:w w:val="110"/>
        </w:rPr>
        <w:t>(Kochhar,</w:t>
      </w:r>
      <w:r>
        <w:rPr>
          <w:color w:val="231F20"/>
          <w:spacing w:val="-13"/>
          <w:w w:val="110"/>
        </w:rPr>
        <w:t> </w:t>
      </w:r>
      <w:r>
        <w:rPr>
          <w:color w:val="231F20"/>
          <w:w w:val="110"/>
        </w:rPr>
        <w:t>2009).</w:t>
      </w:r>
      <w:r>
        <w:rPr>
          <w:color w:val="231F20"/>
          <w:w w:val="107"/>
        </w:rPr>
        <w:t> </w:t>
      </w:r>
      <w:r>
        <w:rPr>
          <w:color w:val="231F20"/>
          <w:w w:val="110"/>
        </w:rPr>
        <w:t>Asimismo,</w:t>
      </w:r>
      <w:r>
        <w:rPr>
          <w:color w:val="231F20"/>
          <w:spacing w:val="-12"/>
          <w:w w:val="110"/>
        </w:rPr>
        <w:t> </w:t>
      </w:r>
      <w:r>
        <w:rPr>
          <w:color w:val="231F20"/>
          <w:w w:val="110"/>
        </w:rPr>
        <w:t>ese</w:t>
      </w:r>
      <w:r>
        <w:rPr>
          <w:color w:val="231F20"/>
          <w:spacing w:val="-12"/>
          <w:w w:val="110"/>
        </w:rPr>
        <w:t> </w:t>
      </w:r>
      <w:r>
        <w:rPr>
          <w:color w:val="231F20"/>
          <w:w w:val="110"/>
        </w:rPr>
        <w:t>estudio</w:t>
      </w:r>
      <w:r>
        <w:rPr>
          <w:color w:val="231F20"/>
          <w:spacing w:val="-12"/>
          <w:w w:val="110"/>
        </w:rPr>
        <w:t> </w:t>
      </w:r>
      <w:r>
        <w:rPr>
          <w:color w:val="231F20"/>
          <w:w w:val="110"/>
        </w:rPr>
        <w:t>se</w:t>
      </w:r>
      <w:r>
        <w:rPr>
          <w:color w:val="231F20"/>
          <w:spacing w:val="-12"/>
          <w:w w:val="110"/>
        </w:rPr>
        <w:t> </w:t>
      </w:r>
      <w:r>
        <w:rPr>
          <w:color w:val="231F20"/>
          <w:w w:val="110"/>
        </w:rPr>
        <w:t>demuestra</w:t>
      </w:r>
      <w:r>
        <w:rPr>
          <w:color w:val="231F20"/>
          <w:spacing w:val="-12"/>
          <w:w w:val="110"/>
        </w:rPr>
        <w:t> </w:t>
      </w:r>
      <w:r>
        <w:rPr>
          <w:color w:val="231F20"/>
          <w:w w:val="110"/>
        </w:rPr>
        <w:t>que</w:t>
      </w:r>
      <w:r>
        <w:rPr>
          <w:color w:val="231F20"/>
          <w:spacing w:val="-12"/>
          <w:w w:val="110"/>
        </w:rPr>
        <w:t> </w:t>
      </w:r>
      <w:r>
        <w:rPr>
          <w:color w:val="231F20"/>
          <w:w w:val="110"/>
        </w:rPr>
        <w:t>si</w:t>
      </w:r>
      <w:r>
        <w:rPr>
          <w:color w:val="231F20"/>
          <w:spacing w:val="-12"/>
          <w:w w:val="110"/>
        </w:rPr>
        <w:t> </w:t>
      </w:r>
      <w:r>
        <w:rPr>
          <w:color w:val="231F20"/>
          <w:w w:val="110"/>
        </w:rPr>
        <w:t>bien</w:t>
      </w:r>
      <w:r>
        <w:rPr>
          <w:color w:val="231F20"/>
          <w:spacing w:val="-12"/>
          <w:w w:val="110"/>
        </w:rPr>
        <w:t> </w:t>
      </w:r>
      <w:r>
        <w:rPr>
          <w:color w:val="231F20"/>
          <w:w w:val="110"/>
        </w:rPr>
        <w:t>el</w:t>
      </w:r>
      <w:r>
        <w:rPr>
          <w:color w:val="231F20"/>
          <w:spacing w:val="-12"/>
          <w:w w:val="110"/>
        </w:rPr>
        <w:t> </w:t>
      </w:r>
      <w:r>
        <w:rPr>
          <w:color w:val="231F20"/>
          <w:w w:val="110"/>
        </w:rPr>
        <w:t>panorama</w:t>
      </w:r>
      <w:r>
        <w:rPr>
          <w:color w:val="231F20"/>
          <w:spacing w:val="-12"/>
          <w:w w:val="110"/>
        </w:rPr>
        <w:t> </w:t>
      </w:r>
      <w:r>
        <w:rPr>
          <w:color w:val="231F20"/>
          <w:w w:val="110"/>
        </w:rPr>
        <w:t>gene-</w:t>
      </w:r>
      <w:r>
        <w:rPr>
          <w:color w:val="231F20"/>
          <w:w w:val="72"/>
        </w:rPr>
        <w:t> </w:t>
      </w:r>
      <w:r>
        <w:rPr>
          <w:color w:val="231F20"/>
          <w:w w:val="110"/>
        </w:rPr>
        <w:t>ral es de disminución de las remesas, ellas siguen siendo</w:t>
      </w:r>
      <w:r>
        <w:rPr>
          <w:color w:val="231F20"/>
          <w:spacing w:val="39"/>
          <w:w w:val="110"/>
        </w:rPr>
        <w:t> </w:t>
      </w:r>
      <w:r>
        <w:rPr>
          <w:color w:val="231F20"/>
          <w:w w:val="110"/>
        </w:rPr>
        <w:t>una</w:t>
      </w:r>
      <w:r>
        <w:rPr>
          <w:color w:val="231F20"/>
          <w:spacing w:val="3"/>
          <w:w w:val="110"/>
        </w:rPr>
        <w:t> </w:t>
      </w:r>
      <w:r>
        <w:rPr>
          <w:color w:val="231F20"/>
          <w:w w:val="110"/>
        </w:rPr>
        <w:t>fuente</w:t>
      </w:r>
      <w:r>
        <w:rPr>
          <w:color w:val="231F20"/>
          <w:w w:val="112"/>
        </w:rPr>
        <w:t> </w:t>
      </w:r>
      <w:r>
        <w:rPr>
          <w:color w:val="231F20"/>
          <w:w w:val="110"/>
        </w:rPr>
        <w:t>estable de ingresos para los países emisores de inmigrantes,</w:t>
      </w:r>
      <w:r>
        <w:rPr>
          <w:color w:val="231F20"/>
          <w:spacing w:val="4"/>
          <w:w w:val="110"/>
        </w:rPr>
        <w:t> </w:t>
      </w:r>
      <w:r>
        <w:rPr>
          <w:color w:val="231F20"/>
          <w:w w:val="110"/>
        </w:rPr>
        <w:t>a</w:t>
      </w:r>
      <w:r>
        <w:rPr>
          <w:color w:val="231F20"/>
          <w:spacing w:val="12"/>
          <w:w w:val="110"/>
        </w:rPr>
        <w:t> </w:t>
      </w:r>
      <w:r>
        <w:rPr>
          <w:color w:val="231F20"/>
          <w:w w:val="110"/>
        </w:rPr>
        <w:t>dife-</w:t>
      </w:r>
      <w:r>
        <w:rPr>
          <w:color w:val="231F20"/>
          <w:w w:val="72"/>
        </w:rPr>
        <w:t> </w:t>
      </w:r>
      <w:r>
        <w:rPr>
          <w:color w:val="231F20"/>
          <w:w w:val="110"/>
        </w:rPr>
        <w:t>rencia de lo que sucede con otros recursos financieros,</w:t>
      </w:r>
      <w:r>
        <w:rPr>
          <w:color w:val="231F20"/>
          <w:spacing w:val="24"/>
          <w:w w:val="110"/>
        </w:rPr>
        <w:t> </w:t>
      </w:r>
      <w:r>
        <w:rPr>
          <w:color w:val="231F20"/>
          <w:w w:val="110"/>
        </w:rPr>
        <w:t>incluidos</w:t>
      </w:r>
      <w:r>
        <w:rPr>
          <w:color w:val="231F20"/>
          <w:spacing w:val="2"/>
          <w:w w:val="110"/>
        </w:rPr>
        <w:t> </w:t>
      </w:r>
      <w:r>
        <w:rPr>
          <w:color w:val="231F20"/>
          <w:w w:val="110"/>
        </w:rPr>
        <w:t>los</w:t>
      </w:r>
      <w:r>
        <w:rPr>
          <w:color w:val="231F20"/>
          <w:w w:val="102"/>
        </w:rPr>
        <w:t> </w:t>
      </w:r>
      <w:r>
        <w:rPr>
          <w:color w:val="231F20"/>
          <w:w w:val="110"/>
        </w:rPr>
        <w:t>préstamos y otras formas de inversión privada extranjera,</w:t>
      </w:r>
      <w:r>
        <w:rPr>
          <w:color w:val="231F20"/>
          <w:spacing w:val="28"/>
          <w:w w:val="110"/>
        </w:rPr>
        <w:t> </w:t>
      </w:r>
      <w:r>
        <w:rPr>
          <w:color w:val="231F20"/>
          <w:w w:val="110"/>
        </w:rPr>
        <w:t>los</w:t>
      </w:r>
      <w:r>
        <w:rPr>
          <w:color w:val="231F20"/>
          <w:spacing w:val="3"/>
          <w:w w:val="110"/>
        </w:rPr>
        <w:t> </w:t>
      </w:r>
      <w:r>
        <w:rPr>
          <w:color w:val="231F20"/>
          <w:w w:val="110"/>
        </w:rPr>
        <w:t>cuales</w:t>
      </w:r>
      <w:r>
        <w:rPr>
          <w:color w:val="231F20"/>
          <w:w w:val="106"/>
        </w:rPr>
        <w:t> </w:t>
      </w:r>
      <w:r>
        <w:rPr>
          <w:color w:val="231F20"/>
          <w:w w:val="110"/>
        </w:rPr>
        <w:t>han demostrado ser mucho más volátiles que las remesas  </w:t>
      </w:r>
      <w:r>
        <w:rPr>
          <w:color w:val="231F20"/>
          <w:spacing w:val="46"/>
          <w:w w:val="110"/>
        </w:rPr>
        <w:t> </w:t>
      </w:r>
      <w:r>
        <w:rPr>
          <w:color w:val="231F20"/>
          <w:w w:val="110"/>
        </w:rPr>
        <w:t>(Orozco,</w:t>
      </w:r>
    </w:p>
    <w:p>
      <w:pPr>
        <w:pStyle w:val="BodyText"/>
        <w:ind w:left="100"/>
        <w:jc w:val="both"/>
      </w:pPr>
      <w:r>
        <w:rPr>
          <w:color w:val="231F20"/>
          <w:w w:val="105"/>
        </w:rPr>
        <w:t>2009; Ratha y Mohapatra,  2009).</w:t>
      </w:r>
    </w:p>
    <w:p>
      <w:pPr>
        <w:pStyle w:val="BodyText"/>
      </w:pPr>
    </w:p>
    <w:p>
      <w:pPr>
        <w:pStyle w:val="BodyText"/>
      </w:pPr>
    </w:p>
    <w:p>
      <w:pPr>
        <w:pStyle w:val="BodyText"/>
        <w:spacing w:before="11"/>
        <w:rPr>
          <w:sz w:val="26"/>
        </w:rPr>
      </w:pPr>
    </w:p>
    <w:p>
      <w:pPr>
        <w:pStyle w:val="BodyText"/>
        <w:spacing w:line="261" w:lineRule="auto"/>
        <w:ind w:left="100" w:right="1594"/>
      </w:pPr>
      <w:r>
        <w:rPr>
          <w:color w:val="231F20"/>
          <w:w w:val="125"/>
        </w:rPr>
        <w:t>migración y crisis: el caso de los inmigrantes latinoamericanos en estados unidos</w:t>
      </w:r>
    </w:p>
    <w:p>
      <w:pPr>
        <w:pStyle w:val="BodyText"/>
        <w:spacing w:before="8"/>
        <w:rPr>
          <w:sz w:val="21"/>
        </w:rPr>
      </w:pPr>
    </w:p>
    <w:p>
      <w:pPr>
        <w:pStyle w:val="BodyText"/>
        <w:spacing w:line="261" w:lineRule="auto"/>
        <w:ind w:left="100" w:right="117"/>
        <w:jc w:val="both"/>
      </w:pP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migración</w:t>
      </w:r>
      <w:r>
        <w:rPr>
          <w:color w:val="231F20"/>
          <w:spacing w:val="-6"/>
          <w:w w:val="110"/>
        </w:rPr>
        <w:t> </w:t>
      </w:r>
      <w:r>
        <w:rPr>
          <w:color w:val="231F20"/>
          <w:w w:val="110"/>
        </w:rPr>
        <w:t>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ejemplifica</w:t>
      </w:r>
      <w:r>
        <w:rPr>
          <w:color w:val="231F20"/>
          <w:spacing w:val="-6"/>
          <w:w w:val="110"/>
        </w:rPr>
        <w:t> </w:t>
      </w:r>
      <w:r>
        <w:rPr>
          <w:color w:val="231F20"/>
          <w:w w:val="110"/>
        </w:rPr>
        <w:t>esta</w:t>
      </w:r>
      <w:r>
        <w:rPr>
          <w:color w:val="231F20"/>
          <w:spacing w:val="-6"/>
          <w:w w:val="110"/>
        </w:rPr>
        <w:t> </w:t>
      </w:r>
      <w:r>
        <w:rPr>
          <w:color w:val="231F20"/>
          <w:w w:val="110"/>
        </w:rPr>
        <w:t>situación. Hasta 2007, la inmigración desde países latinoamericanos muestra un crecimiento sostenido, pasándo de 11 millones de inmigrantes  en 1995, a algo más de 19 millones de personas en 2007. A partir  de ese año, y como consecuencia directa de la crisis económica, el volumen</w:t>
      </w:r>
      <w:r>
        <w:rPr>
          <w:color w:val="231F20"/>
          <w:spacing w:val="-16"/>
          <w:w w:val="110"/>
        </w:rPr>
        <w:t> </w:t>
      </w:r>
      <w:r>
        <w:rPr>
          <w:color w:val="231F20"/>
          <w:w w:val="110"/>
        </w:rPr>
        <w:t>de</w:t>
      </w:r>
      <w:r>
        <w:rPr>
          <w:color w:val="231F20"/>
          <w:spacing w:val="-16"/>
          <w:w w:val="110"/>
        </w:rPr>
        <w:t> </w:t>
      </w:r>
      <w:r>
        <w:rPr>
          <w:color w:val="231F20"/>
          <w:w w:val="110"/>
        </w:rPr>
        <w:t>inmigrantes</w:t>
      </w:r>
      <w:r>
        <w:rPr>
          <w:color w:val="231F20"/>
          <w:spacing w:val="-16"/>
          <w:w w:val="110"/>
        </w:rPr>
        <w:t> </w:t>
      </w:r>
      <w:r>
        <w:rPr>
          <w:color w:val="231F20"/>
          <w:w w:val="110"/>
        </w:rPr>
        <w:t>se</w:t>
      </w:r>
      <w:r>
        <w:rPr>
          <w:color w:val="231F20"/>
          <w:spacing w:val="-16"/>
          <w:w w:val="110"/>
        </w:rPr>
        <w:t> </w:t>
      </w:r>
      <w:r>
        <w:rPr>
          <w:color w:val="231F20"/>
          <w:w w:val="110"/>
        </w:rPr>
        <w:t>mantiene</w:t>
      </w:r>
      <w:r>
        <w:rPr>
          <w:color w:val="231F20"/>
          <w:spacing w:val="-16"/>
          <w:w w:val="110"/>
        </w:rPr>
        <w:t> </w:t>
      </w:r>
      <w:r>
        <w:rPr>
          <w:color w:val="231F20"/>
          <w:w w:val="110"/>
        </w:rPr>
        <w:t>más</w:t>
      </w:r>
      <w:r>
        <w:rPr>
          <w:color w:val="231F20"/>
          <w:spacing w:val="-16"/>
          <w:w w:val="110"/>
        </w:rPr>
        <w:t> </w:t>
      </w:r>
      <w:r>
        <w:rPr>
          <w:color w:val="231F20"/>
          <w:w w:val="110"/>
        </w:rPr>
        <w:t>o</w:t>
      </w:r>
      <w:r>
        <w:rPr>
          <w:color w:val="231F20"/>
          <w:spacing w:val="-16"/>
          <w:w w:val="110"/>
        </w:rPr>
        <w:t> </w:t>
      </w:r>
      <w:r>
        <w:rPr>
          <w:color w:val="231F20"/>
          <w:w w:val="110"/>
        </w:rPr>
        <w:t>menos</w:t>
      </w:r>
      <w:r>
        <w:rPr>
          <w:color w:val="231F20"/>
          <w:spacing w:val="-16"/>
          <w:w w:val="110"/>
        </w:rPr>
        <w:t> </w:t>
      </w:r>
      <w:r>
        <w:rPr>
          <w:color w:val="231F20"/>
          <w:w w:val="110"/>
        </w:rPr>
        <w:t>estable</w:t>
      </w:r>
      <w:r>
        <w:rPr>
          <w:color w:val="231F20"/>
          <w:spacing w:val="-16"/>
          <w:w w:val="110"/>
        </w:rPr>
        <w:t> </w:t>
      </w:r>
      <w:r>
        <w:rPr>
          <w:color w:val="231F20"/>
          <w:w w:val="110"/>
        </w:rPr>
        <w:t>hasta</w:t>
      </w:r>
      <w:r>
        <w:rPr>
          <w:color w:val="231F20"/>
          <w:spacing w:val="-16"/>
          <w:w w:val="110"/>
        </w:rPr>
        <w:t> </w:t>
      </w:r>
      <w:r>
        <w:rPr>
          <w:color w:val="231F20"/>
          <w:w w:val="110"/>
        </w:rPr>
        <w:t>2009,</w:t>
      </w:r>
    </w:p>
    <w:p>
      <w:pPr>
        <w:spacing w:after="0" w:line="261" w:lineRule="auto"/>
        <w:jc w:val="both"/>
        <w:sectPr>
          <w:headerReference w:type="even" r:id="rId234"/>
          <w:headerReference w:type="default" r:id="rId235"/>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para iniciar una recuperación de su crecimiento en 2010. Estos</w:t>
      </w:r>
      <w:r>
        <w:rPr>
          <w:color w:val="231F20"/>
          <w:spacing w:val="-34"/>
          <w:w w:val="110"/>
        </w:rPr>
        <w:t> </w:t>
      </w:r>
      <w:r>
        <w:rPr>
          <w:color w:val="231F20"/>
          <w:w w:val="110"/>
        </w:rPr>
        <w:t>datos indican que la crisis, más que provocar un retorno masivo, habrían generado un freno a la inmigración, deteniendo temporalmente la tendencia de una inmigración creciente, la cual en todo caso, ya estaría recuperándose en</w:t>
      </w:r>
      <w:r>
        <w:rPr>
          <w:color w:val="231F20"/>
          <w:spacing w:val="38"/>
          <w:w w:val="110"/>
        </w:rPr>
        <w:t> </w:t>
      </w:r>
      <w:r>
        <w:rPr>
          <w:color w:val="231F20"/>
          <w:w w:val="110"/>
        </w:rPr>
        <w:t>2010.</w:t>
      </w:r>
    </w:p>
    <w:p>
      <w:pPr>
        <w:pStyle w:val="BodyText"/>
        <w:spacing w:before="8"/>
      </w:pPr>
    </w:p>
    <w:p>
      <w:pPr>
        <w:spacing w:line="290" w:lineRule="auto" w:before="0"/>
        <w:ind w:left="100" w:right="164" w:firstLine="0"/>
        <w:jc w:val="left"/>
        <w:rPr>
          <w:sz w:val="18"/>
        </w:rPr>
      </w:pPr>
      <w:r>
        <w:rPr>
          <w:color w:val="231F20"/>
          <w:w w:val="125"/>
          <w:sz w:val="18"/>
        </w:rPr>
        <w:t>gráfica 3. población inmigrante según grandes regiones de origen, estados unidos, 1995-2010 (millones de personas)</w:t>
      </w:r>
    </w:p>
    <w:p>
      <w:pPr>
        <w:spacing w:before="90"/>
        <w:ind w:left="358" w:right="25" w:firstLine="0"/>
        <w:jc w:val="left"/>
        <w:rPr>
          <w:sz w:val="16"/>
        </w:rPr>
      </w:pPr>
      <w:r>
        <w:rPr/>
        <w:pict>
          <v:group style="position:absolute;margin-left:74.496902pt;margin-top:9.492743pt;width:249.9pt;height:130.0500pt;mso-position-horizontal-relative:page;mso-position-vertical-relative:paragraph;z-index:-349288" coordorigin="1490,190" coordsize="4998,2601">
            <v:rect style="position:absolute;left:5544;top:200;width:944;height:2581" filled="true" fillcolor="#c7c8ca" stroked="false">
              <v:fill type="solid"/>
            </v:rect>
            <v:shape style="position:absolute;left:1495;top:735;width:4842;height:1770" coordorigin="1495,735" coordsize="4842,1770" path="m1495,2505l1825,2445,2137,2235,2473,2187,2785,2175,3115,1971,3433,1857,3757,1479,4075,1329,4411,1179,4723,1047,5047,981,5365,825,5695,855,6013,861,6337,735e" filled="false" stroked="true" strokeweight=".5pt" strokecolor="#231f20">
              <v:path arrowok="t"/>
            </v:shape>
            <v:line style="position:absolute" from="1529,1925" to="1805,1716" stroked="true" strokeweight=".5pt" strokecolor="#231f20">
              <v:stroke dashstyle="dash"/>
            </v:line>
            <v:line style="position:absolute" from="1857,1691" to="2128,1606" stroked="true" strokeweight=".5pt" strokecolor="#231f20">
              <v:stroke dashstyle="dash"/>
            </v:line>
            <v:line style="position:absolute" from="2183,1592" to="2448,1532" stroked="true" strokeweight=".5pt" strokecolor="#231f20">
              <v:stroke dashstyle="dash"/>
            </v:line>
            <v:line style="position:absolute" from="2507,1533" to="2753,1576" stroked="true" strokeweight=".5pt" strokecolor="#231f20">
              <v:stroke dashstyle="dash"/>
            </v:line>
            <v:line style="position:absolute" from="2808,1563" to="3730,1017" stroked="true" strokeweight=".5pt" strokecolor="#231f20">
              <v:stroke dashstyle="dash"/>
            </v:line>
            <v:line style="position:absolute" from="3785,993" to="4063,893" stroked="true" strokeweight=".5pt" strokecolor="#231f20">
              <v:stroke dashstyle="dash"/>
            </v:line>
            <v:line style="position:absolute" from="4119,877" to="4382,812" stroked="true" strokeweight=".5pt" strokecolor="#231f20">
              <v:stroke dashstyle="dash"/>
            </v:line>
            <v:line style="position:absolute" from="4441,805" to="4685,796" stroked="true" strokeweight=".5pt" strokecolor="#231f20">
              <v:stroke dashstyle="dash"/>
            </v:line>
            <v:line style="position:absolute" from="4744,791" to="5023,758" stroked="true" strokeweight=".5pt" strokecolor="#231f20">
              <v:stroke dashstyle="dash"/>
            </v:line>
            <v:line style="position:absolute" from="5075,737" to="5345,562" stroked="true" strokeweight=".5pt" strokecolor="#231f20">
              <v:stroke dashstyle="dash"/>
            </v:line>
            <v:line style="position:absolute" from="5397,543" to="5666,493" stroked="true" strokeweight=".5pt" strokecolor="#231f20">
              <v:stroke dashstyle="dash"/>
            </v:line>
            <v:line style="position:absolute" from="5721,503" to="5984,624" stroked="true" strokeweight=".5pt" strokecolor="#231f20">
              <v:stroke dashstyle="dash"/>
            </v:line>
            <v:line style="position:absolute" from="6040,626" to="6313,555" stroked="true" strokeweight=".5pt" strokecolor="#231f20">
              <v:stroke dashstyle="dash"/>
            </v:line>
            <v:shape style="position:absolute;left:0;top:7415;width:4836;height:1459" coordorigin="0,7415" coordsize="4836,1459" path="m1501,1947l1513,1938m1813,1710l1825,1701,1839,1696m2137,1603l2151,1599,2165,1596m2457,1530l2471,1527,2486,1530m2764,1578l2779,1581,2792,1573m3738,1012l3751,1005,3765,1000m4073,890l4087,885,4101,881m4391,810l4405,807,4420,806m4696,795l4711,795,4725,793m5032,757l5047,755,5059,747m5353,557l5365,549,5379,546m5675,491l5689,489,5703,495m5993,629l6007,635,6021,631m6323,553l6337,549e" filled="false" stroked="true" strokeweight=".5pt" strokecolor="#231f20">
              <v:path arrowok="t"/>
            </v:shape>
            <v:line style="position:absolute" from="1531,195" to="6371,195" stroked="true" strokeweight=".5pt" strokecolor="#231f20"/>
            <v:line style="position:absolute" from="1531,627" to="6371,627" stroked="true" strokeweight=".5pt" strokecolor="#231f20"/>
            <v:line style="position:absolute" from="1531,1058" to="6371,1058" stroked="true" strokeweight=".5pt" strokecolor="#231f20"/>
            <v:line style="position:absolute" from="1531,1490" to="6371,1490" stroked="true" strokeweight=".5pt" strokecolor="#231f20"/>
            <v:line style="position:absolute" from="1531,1922" to="6371,1922" stroked="true" strokeweight=".5pt" strokecolor="#231f20"/>
            <v:line style="position:absolute" from="1531,2354" to="6371,2354" stroked="true" strokeweight=".5pt" strokecolor="#231f20"/>
            <v:line style="position:absolute" from="1531,2786" to="6371,2786" stroked="true" strokeweight=".5pt" strokecolor="#231f20"/>
            <v:shape style="position:absolute;left:1561;top:1328;width:1085;height:160" type="#_x0000_t202" filled="false" stroked="false">
              <v:textbox inset="0,0,0,0">
                <w:txbxContent>
                  <w:p>
                    <w:pPr>
                      <w:spacing w:line="158" w:lineRule="exact" w:before="0"/>
                      <w:ind w:left="0" w:right="-20" w:firstLine="0"/>
                      <w:jc w:val="left"/>
                      <w:rPr>
                        <w:sz w:val="16"/>
                      </w:rPr>
                    </w:pPr>
                    <w:r>
                      <w:rPr>
                        <w:color w:val="231F20"/>
                        <w:w w:val="110"/>
                        <w:sz w:val="16"/>
                      </w:rPr>
                      <w:t>otros</w:t>
                    </w:r>
                    <w:r>
                      <w:rPr>
                        <w:color w:val="231F20"/>
                        <w:spacing w:val="-6"/>
                        <w:w w:val="110"/>
                        <w:sz w:val="16"/>
                      </w:rPr>
                      <w:t> </w:t>
                    </w:r>
                    <w:r>
                      <w:rPr>
                        <w:color w:val="231F20"/>
                        <w:w w:val="110"/>
                        <w:sz w:val="16"/>
                      </w:rPr>
                      <w:t>migrantes</w:t>
                    </w:r>
                  </w:p>
                </w:txbxContent>
              </v:textbox>
              <w10:wrap type="none"/>
            </v:shape>
            <v:shape style="position:absolute;left:1675;top:2498;width:1200;height:160" type="#_x0000_t202" filled="false" stroked="false">
              <v:textbox inset="0,0,0,0">
                <w:txbxContent>
                  <w:p>
                    <w:pPr>
                      <w:spacing w:line="158" w:lineRule="exact" w:before="0"/>
                      <w:ind w:left="0" w:right="-7" w:firstLine="0"/>
                      <w:jc w:val="left"/>
                      <w:rPr>
                        <w:sz w:val="16"/>
                      </w:rPr>
                    </w:pPr>
                    <w:r>
                      <w:rPr>
                        <w:color w:val="231F20"/>
                        <w:spacing w:val="-1"/>
                        <w:w w:val="110"/>
                        <w:sz w:val="16"/>
                      </w:rPr>
                      <w:t>latinoamericanos</w:t>
                    </w:r>
                  </w:p>
                </w:txbxContent>
              </v:textbox>
              <w10:wrap type="none"/>
            </v:shape>
            <w10:wrap type="none"/>
          </v:group>
        </w:pict>
      </w:r>
      <w:r>
        <w:rPr/>
        <w:pict>
          <v:line style="position:absolute;mso-position-horizontal-relative:page;mso-position-vertical-relative:paragraph;z-index:-349264" from="69.300003pt,9.664642pt" to="69.300003pt,139.164642pt" stroked="true" strokeweight=".5pt" strokecolor="#231f20">
            <w10:wrap type="none"/>
          </v:line>
        </w:pict>
      </w:r>
      <w:r>
        <w:rPr>
          <w:color w:val="231F20"/>
          <w:sz w:val="16"/>
        </w:rPr>
        <w:t>22 —</w:t>
      </w:r>
    </w:p>
    <w:p>
      <w:pPr>
        <w:pStyle w:val="BodyText"/>
        <w:spacing w:before="4"/>
        <w:rPr>
          <w:sz w:val="21"/>
        </w:rPr>
      </w:pPr>
    </w:p>
    <w:p>
      <w:pPr>
        <w:spacing w:before="0"/>
        <w:ind w:left="358" w:right="25" w:firstLine="0"/>
        <w:jc w:val="left"/>
        <w:rPr>
          <w:sz w:val="16"/>
        </w:rPr>
      </w:pPr>
      <w:r>
        <w:rPr>
          <w:color w:val="231F20"/>
          <w:sz w:val="16"/>
        </w:rPr>
        <w:t>20 —</w:t>
      </w:r>
    </w:p>
    <w:p>
      <w:pPr>
        <w:pStyle w:val="BodyText"/>
        <w:spacing w:before="4"/>
        <w:rPr>
          <w:sz w:val="21"/>
        </w:rPr>
      </w:pPr>
    </w:p>
    <w:p>
      <w:pPr>
        <w:spacing w:before="0"/>
        <w:ind w:left="358" w:right="25" w:firstLine="0"/>
        <w:jc w:val="left"/>
        <w:rPr>
          <w:sz w:val="16"/>
        </w:rPr>
      </w:pPr>
      <w:r>
        <w:rPr>
          <w:color w:val="231F20"/>
          <w:sz w:val="16"/>
        </w:rPr>
        <w:t>18 —</w:t>
      </w:r>
    </w:p>
    <w:p>
      <w:pPr>
        <w:pStyle w:val="BodyText"/>
        <w:spacing w:before="4"/>
        <w:rPr>
          <w:sz w:val="21"/>
        </w:rPr>
      </w:pPr>
    </w:p>
    <w:p>
      <w:pPr>
        <w:spacing w:before="0"/>
        <w:ind w:left="358" w:right="25" w:firstLine="0"/>
        <w:jc w:val="left"/>
        <w:rPr>
          <w:sz w:val="16"/>
        </w:rPr>
      </w:pPr>
      <w:r>
        <w:rPr>
          <w:color w:val="231F20"/>
          <w:sz w:val="16"/>
        </w:rPr>
        <w:t>16 —</w:t>
      </w:r>
    </w:p>
    <w:p>
      <w:pPr>
        <w:pStyle w:val="BodyText"/>
        <w:spacing w:before="4"/>
        <w:rPr>
          <w:sz w:val="21"/>
        </w:rPr>
      </w:pPr>
    </w:p>
    <w:p>
      <w:pPr>
        <w:spacing w:before="0"/>
        <w:ind w:left="358" w:right="25" w:firstLine="0"/>
        <w:jc w:val="left"/>
        <w:rPr>
          <w:sz w:val="16"/>
        </w:rPr>
      </w:pPr>
      <w:r>
        <w:rPr>
          <w:color w:val="231F20"/>
          <w:sz w:val="16"/>
        </w:rPr>
        <w:t>14 —</w:t>
      </w:r>
    </w:p>
    <w:p>
      <w:pPr>
        <w:pStyle w:val="BodyText"/>
        <w:spacing w:before="4"/>
        <w:rPr>
          <w:sz w:val="21"/>
        </w:rPr>
      </w:pPr>
    </w:p>
    <w:p>
      <w:pPr>
        <w:spacing w:before="0"/>
        <w:ind w:left="358" w:right="25" w:firstLine="0"/>
        <w:jc w:val="left"/>
        <w:rPr>
          <w:sz w:val="16"/>
        </w:rPr>
      </w:pPr>
      <w:r>
        <w:rPr>
          <w:color w:val="231F20"/>
          <w:sz w:val="16"/>
        </w:rPr>
        <w:t>12 —</w:t>
      </w:r>
    </w:p>
    <w:p>
      <w:pPr>
        <w:pStyle w:val="BodyText"/>
        <w:spacing w:before="11"/>
        <w:rPr>
          <w:sz w:val="14"/>
        </w:rPr>
      </w:pPr>
    </w:p>
    <w:p>
      <w:pPr>
        <w:pStyle w:val="BodyText"/>
        <w:spacing w:before="3"/>
        <w:rPr>
          <w:sz w:val="13"/>
        </w:rPr>
      </w:pPr>
    </w:p>
    <w:p>
      <w:pPr>
        <w:spacing w:before="1"/>
        <w:ind w:left="657" w:right="25" w:firstLine="0"/>
        <w:jc w:val="left"/>
        <w:rPr>
          <w:sz w:val="12"/>
        </w:rPr>
      </w:pPr>
      <w:r>
        <w:rPr/>
        <w:pict>
          <v:shape style="position:absolute;margin-left:50.947102pt;margin-top:-2.601239pt;width:18.4pt;height:8pt;mso-position-horizontal-relative:page;mso-position-vertical-relative:paragraph;z-index:-349240" type="#_x0000_t202" filled="false" stroked="false">
            <v:textbox inset="0,0,0,0">
              <w:txbxContent>
                <w:p>
                  <w:pPr>
                    <w:spacing w:line="158" w:lineRule="exact" w:before="0"/>
                    <w:ind w:left="0" w:right="-12" w:firstLine="0"/>
                    <w:jc w:val="left"/>
                    <w:rPr>
                      <w:sz w:val="16"/>
                    </w:rPr>
                  </w:pPr>
                  <w:r>
                    <w:rPr>
                      <w:color w:val="231F20"/>
                      <w:sz w:val="16"/>
                    </w:rPr>
                    <w:t>10 —</w:t>
                  </w:r>
                </w:p>
              </w:txbxContent>
            </v:textbox>
            <w10:wrap type="none"/>
          </v:shape>
        </w:pict>
      </w:r>
      <w:r>
        <w:rPr>
          <w:color w:val="231F20"/>
          <w:w w:val="115"/>
          <w:sz w:val="12"/>
        </w:rPr>
        <w:t>|</w:t>
      </w:r>
      <w:r>
        <w:rPr>
          <w:color w:val="231F20"/>
          <w:spacing w:val="-20"/>
          <w:w w:val="115"/>
          <w:sz w:val="12"/>
        </w:rPr>
        <w:t> </w:t>
      </w:r>
      <w:r>
        <w:rPr>
          <w:color w:val="231F20"/>
          <w:spacing w:val="-3"/>
          <w:w w:val="115"/>
          <w:sz w:val="12"/>
        </w:rPr>
        <w:t>1995</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1996</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1997</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1998</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1999</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2000</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2001</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2002</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2003</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2004</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2005</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2006</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2007</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2008</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2009</w:t>
      </w:r>
      <w:r>
        <w:rPr>
          <w:color w:val="231F20"/>
          <w:spacing w:val="-20"/>
          <w:w w:val="115"/>
          <w:sz w:val="12"/>
        </w:rPr>
        <w:t> </w:t>
      </w:r>
      <w:r>
        <w:rPr>
          <w:color w:val="231F20"/>
          <w:w w:val="115"/>
          <w:position w:val="4"/>
          <w:sz w:val="12"/>
        </w:rPr>
        <w:t>|</w:t>
      </w:r>
      <w:r>
        <w:rPr>
          <w:color w:val="231F20"/>
          <w:spacing w:val="-20"/>
          <w:w w:val="115"/>
          <w:position w:val="4"/>
          <w:sz w:val="12"/>
        </w:rPr>
        <w:t> </w:t>
      </w:r>
      <w:r>
        <w:rPr>
          <w:color w:val="231F20"/>
          <w:spacing w:val="-3"/>
          <w:w w:val="115"/>
          <w:sz w:val="12"/>
        </w:rPr>
        <w:t>2010</w:t>
      </w:r>
      <w:r>
        <w:rPr>
          <w:color w:val="231F20"/>
          <w:spacing w:val="-20"/>
          <w:w w:val="115"/>
          <w:sz w:val="12"/>
        </w:rPr>
        <w:t> </w:t>
      </w:r>
      <w:r>
        <w:rPr>
          <w:color w:val="231F20"/>
          <w:w w:val="115"/>
          <w:position w:val="4"/>
          <w:sz w:val="12"/>
        </w:rPr>
        <w:t>|</w:t>
      </w:r>
    </w:p>
    <w:p>
      <w:pPr>
        <w:spacing w:before="98"/>
        <w:ind w:left="100" w:right="25" w:firstLine="0"/>
        <w:jc w:val="left"/>
        <w:rPr>
          <w:sz w:val="18"/>
        </w:rPr>
      </w:pPr>
      <w:r>
        <w:rPr>
          <w:rFonts w:ascii="Calibri" w:hAnsi="Calibri"/>
          <w:color w:val="231F20"/>
          <w:w w:val="110"/>
          <w:sz w:val="18"/>
        </w:rPr>
        <w:t>fuente: </w:t>
      </w:r>
      <w:r>
        <w:rPr>
          <w:color w:val="231F20"/>
          <w:w w:val="110"/>
          <w:sz w:val="18"/>
        </w:rPr>
        <w:t>elaboración propia con base en Current Population Survey,  marzo,</w:t>
      </w:r>
    </w:p>
    <w:p>
      <w:pPr>
        <w:spacing w:before="33"/>
        <w:ind w:left="100" w:right="25" w:firstLine="0"/>
        <w:jc w:val="left"/>
        <w:rPr>
          <w:sz w:val="18"/>
        </w:rPr>
      </w:pPr>
      <w:r>
        <w:rPr>
          <w:i/>
          <w:color w:val="231F20"/>
          <w:sz w:val="18"/>
        </w:rPr>
        <w:t>Supplement</w:t>
      </w:r>
      <w:r>
        <w:rPr>
          <w:color w:val="231F20"/>
          <w:sz w:val="18"/>
        </w:rPr>
        <w:t>, 1995-2010.</w:t>
      </w:r>
    </w:p>
    <w:p>
      <w:pPr>
        <w:pStyle w:val="BodyText"/>
        <w:spacing w:before="9"/>
        <w:rPr>
          <w:sz w:val="23"/>
        </w:rPr>
      </w:pPr>
    </w:p>
    <w:p>
      <w:pPr>
        <w:pStyle w:val="BodyText"/>
        <w:spacing w:line="261" w:lineRule="auto" w:before="1"/>
        <w:ind w:left="100" w:right="117" w:firstLine="240"/>
        <w:jc w:val="both"/>
      </w:pPr>
      <w:r>
        <w:rPr>
          <w:color w:val="231F20"/>
          <w:w w:val="110"/>
        </w:rPr>
        <w:t>Otra hipótesis que suele afirmarse, es que los inmigrantes serían uno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grupos</w:t>
      </w:r>
      <w:r>
        <w:rPr>
          <w:color w:val="231F20"/>
          <w:spacing w:val="-6"/>
          <w:w w:val="110"/>
        </w:rPr>
        <w:t> </w:t>
      </w:r>
      <w:r>
        <w:rPr>
          <w:color w:val="231F20"/>
          <w:w w:val="110"/>
        </w:rPr>
        <w:t>sociales</w:t>
      </w:r>
      <w:r>
        <w:rPr>
          <w:color w:val="231F20"/>
          <w:spacing w:val="-6"/>
          <w:w w:val="110"/>
        </w:rPr>
        <w:t> </w:t>
      </w:r>
      <w:r>
        <w:rPr>
          <w:color w:val="231F20"/>
          <w:w w:val="110"/>
        </w:rPr>
        <w:t>más</w:t>
      </w:r>
      <w:r>
        <w:rPr>
          <w:color w:val="231F20"/>
          <w:spacing w:val="-6"/>
          <w:w w:val="110"/>
        </w:rPr>
        <w:t> </w:t>
      </w:r>
      <w:r>
        <w:rPr>
          <w:color w:val="231F20"/>
          <w:w w:val="110"/>
        </w:rPr>
        <w:t>afectados</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económica,</w:t>
      </w:r>
      <w:r>
        <w:rPr>
          <w:color w:val="231F20"/>
          <w:spacing w:val="-6"/>
          <w:w w:val="110"/>
        </w:rPr>
        <w:t> </w:t>
      </w:r>
      <w:r>
        <w:rPr>
          <w:color w:val="231F20"/>
          <w:w w:val="110"/>
        </w:rPr>
        <w:t>es- pecialmente en términos de la pérdida de empleo y el deterioro de sus condiciones de trabajo. Sin embargo, la evidencia en el caso de Estados Unidos, no parece ser concluyente en este sentido. Si bien hay aspectos en los cuales los inmigrantes latinoamericanos sí pare- cen ser más vulnerables a los efectos de la crisis, también es cierto que hay otros aspectos en los que la crisis parece afectar a todos los trabajadores por</w:t>
      </w:r>
      <w:r>
        <w:rPr>
          <w:color w:val="231F20"/>
          <w:spacing w:val="20"/>
          <w:w w:val="110"/>
        </w:rPr>
        <w:t> </w:t>
      </w:r>
      <w:r>
        <w:rPr>
          <w:color w:val="231F20"/>
          <w:w w:val="110"/>
        </w:rPr>
        <w:t>igual.</w:t>
      </w:r>
    </w:p>
    <w:p>
      <w:pPr>
        <w:pStyle w:val="BodyText"/>
        <w:spacing w:line="261" w:lineRule="auto"/>
        <w:ind w:left="100" w:right="117" w:firstLine="240"/>
        <w:jc w:val="both"/>
      </w:pPr>
      <w:r>
        <w:rPr>
          <w:color w:val="231F20"/>
          <w:w w:val="105"/>
        </w:rPr>
        <w:t>Como consecuencia de la crisis económica, a marzo de 2010 se habrían perdido casi 7.5 millones de los puestos de trabajo que ha-  bían en la economía de los Estados Unidos en marzo de 2007. Lo relevante de ello, es que cuando se analiza la composición de esta pérdida de empleos, se observa que ella parece afectar proporcional- mente a todos los grupos étnicos-migratorios en forma muy </w:t>
      </w:r>
      <w:r>
        <w:rPr>
          <w:color w:val="231F20"/>
          <w:spacing w:val="-3"/>
          <w:w w:val="105"/>
        </w:rPr>
        <w:t>similar.   </w:t>
      </w:r>
      <w:r>
        <w:rPr>
          <w:color w:val="231F20"/>
          <w:w w:val="105"/>
        </w:rPr>
        <w:t>De</w:t>
      </w:r>
      <w:r>
        <w:rPr>
          <w:color w:val="231F20"/>
          <w:spacing w:val="25"/>
          <w:w w:val="105"/>
        </w:rPr>
        <w:t> </w:t>
      </w:r>
      <w:r>
        <w:rPr>
          <w:color w:val="231F20"/>
          <w:w w:val="105"/>
        </w:rPr>
        <w:t>hecho,</w:t>
      </w:r>
      <w:r>
        <w:rPr>
          <w:color w:val="231F20"/>
          <w:spacing w:val="25"/>
          <w:w w:val="105"/>
        </w:rPr>
        <w:t> </w:t>
      </w:r>
      <w:r>
        <w:rPr>
          <w:color w:val="231F20"/>
          <w:w w:val="105"/>
        </w:rPr>
        <w:t>no</w:t>
      </w:r>
      <w:r>
        <w:rPr>
          <w:color w:val="231F20"/>
          <w:spacing w:val="25"/>
          <w:w w:val="105"/>
        </w:rPr>
        <w:t> </w:t>
      </w:r>
      <w:r>
        <w:rPr>
          <w:color w:val="231F20"/>
          <w:w w:val="105"/>
        </w:rPr>
        <w:t>son</w:t>
      </w:r>
      <w:r>
        <w:rPr>
          <w:color w:val="231F20"/>
          <w:spacing w:val="25"/>
          <w:w w:val="105"/>
        </w:rPr>
        <w:t> </w:t>
      </w:r>
      <w:r>
        <w:rPr>
          <w:color w:val="231F20"/>
          <w:w w:val="105"/>
        </w:rPr>
        <w:t>los</w:t>
      </w:r>
      <w:r>
        <w:rPr>
          <w:color w:val="231F20"/>
          <w:spacing w:val="25"/>
          <w:w w:val="105"/>
        </w:rPr>
        <w:t> </w:t>
      </w:r>
      <w:r>
        <w:rPr>
          <w:color w:val="231F20"/>
          <w:w w:val="105"/>
        </w:rPr>
        <w:t>inmigrantes</w:t>
      </w:r>
      <w:r>
        <w:rPr>
          <w:color w:val="231F20"/>
          <w:spacing w:val="25"/>
          <w:w w:val="105"/>
        </w:rPr>
        <w:t> </w:t>
      </w:r>
      <w:r>
        <w:rPr>
          <w:color w:val="231F20"/>
          <w:w w:val="105"/>
        </w:rPr>
        <w:t>(latinoamericanos</w:t>
      </w:r>
      <w:r>
        <w:rPr>
          <w:color w:val="231F20"/>
          <w:spacing w:val="25"/>
          <w:w w:val="105"/>
        </w:rPr>
        <w:t> </w:t>
      </w:r>
      <w:r>
        <w:rPr>
          <w:color w:val="231F20"/>
          <w:w w:val="105"/>
        </w:rPr>
        <w:t>y</w:t>
      </w:r>
      <w:r>
        <w:rPr>
          <w:color w:val="231F20"/>
          <w:spacing w:val="25"/>
          <w:w w:val="105"/>
        </w:rPr>
        <w:t> </w:t>
      </w:r>
      <w:r>
        <w:rPr>
          <w:color w:val="231F20"/>
          <w:w w:val="105"/>
        </w:rPr>
        <w:t>otros)</w:t>
      </w:r>
      <w:r>
        <w:rPr>
          <w:color w:val="231F20"/>
          <w:spacing w:val="25"/>
          <w:w w:val="105"/>
        </w:rPr>
        <w:t> </w:t>
      </w:r>
      <w:r>
        <w:rPr>
          <w:color w:val="231F20"/>
          <w:w w:val="105"/>
        </w:rPr>
        <w:t>los</w:t>
      </w:r>
      <w:r>
        <w:rPr>
          <w:color w:val="231F20"/>
          <w:spacing w:val="25"/>
          <w:w w:val="105"/>
        </w:rPr>
        <w:t> </w:t>
      </w:r>
      <w:r>
        <w:rPr>
          <w:color w:val="231F20"/>
          <w:w w:val="105"/>
        </w:rPr>
        <w:t>más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2"/>
        <w:jc w:val="both"/>
      </w:pPr>
      <w:r>
        <w:rPr>
          <w:color w:val="231F20"/>
          <w:w w:val="110"/>
        </w:rPr>
        <w:t>afectados, sino la población negra no hispana, quienes entre 2007    y 2010, perdieron 7.6% de sus puestos de trabajo. Por el contrario, la pérdida de empleos para los inmigrantes latinoamericanos es proporcionalmente la misma que experimenta la mayoría blanca no hispana (5.4%), y ligeramente superior a la de los inmigrantes de otras regiones del mundo (4.8%). Asimismo, destaca el hecho que</w:t>
      </w:r>
      <w:r>
        <w:rPr>
          <w:color w:val="231F20"/>
          <w:spacing w:val="-34"/>
          <w:w w:val="110"/>
        </w:rPr>
        <w:t> </w:t>
      </w:r>
      <w:r>
        <w:rPr>
          <w:color w:val="231F20"/>
          <w:w w:val="110"/>
        </w:rPr>
        <w:t>la población nativa de origen latinoamericano, no sólo no pierde pues- tos de trabajo, sino que es la única que ve incrementarse el volumen de trabajadores ocupados durante la</w:t>
      </w:r>
      <w:r>
        <w:rPr>
          <w:color w:val="231F20"/>
          <w:spacing w:val="46"/>
          <w:w w:val="110"/>
        </w:rPr>
        <w:t> </w:t>
      </w:r>
      <w:r>
        <w:rPr>
          <w:color w:val="231F20"/>
          <w:w w:val="110"/>
        </w:rPr>
        <w:t>crisis.</w:t>
      </w:r>
    </w:p>
    <w:p>
      <w:pPr>
        <w:pStyle w:val="BodyText"/>
        <w:spacing w:before="5"/>
        <w:rPr>
          <w:sz w:val="22"/>
        </w:rPr>
      </w:pPr>
    </w:p>
    <w:p>
      <w:pPr>
        <w:spacing w:line="290" w:lineRule="auto" w:before="0"/>
        <w:ind w:left="100" w:right="322" w:firstLine="0"/>
        <w:jc w:val="left"/>
        <w:rPr>
          <w:sz w:val="18"/>
        </w:rPr>
      </w:pPr>
      <w:r>
        <w:rPr>
          <w:color w:val="231F20"/>
          <w:w w:val="125"/>
          <w:sz w:val="18"/>
        </w:rPr>
        <w:t>gráfica</w:t>
      </w:r>
      <w:r>
        <w:rPr>
          <w:color w:val="231F20"/>
          <w:spacing w:val="-12"/>
          <w:w w:val="125"/>
          <w:sz w:val="18"/>
        </w:rPr>
        <w:t> </w:t>
      </w:r>
      <w:r>
        <w:rPr>
          <w:color w:val="231F20"/>
          <w:w w:val="125"/>
          <w:sz w:val="18"/>
        </w:rPr>
        <w:t>4.</w:t>
      </w:r>
      <w:r>
        <w:rPr>
          <w:color w:val="231F20"/>
          <w:spacing w:val="-12"/>
          <w:w w:val="125"/>
          <w:sz w:val="18"/>
        </w:rPr>
        <w:t> </w:t>
      </w:r>
      <w:r>
        <w:rPr>
          <w:color w:val="231F20"/>
          <w:w w:val="125"/>
          <w:sz w:val="18"/>
        </w:rPr>
        <w:t>crecimiento</w:t>
      </w:r>
      <w:r>
        <w:rPr>
          <w:color w:val="231F20"/>
          <w:spacing w:val="-12"/>
          <w:w w:val="125"/>
          <w:sz w:val="18"/>
        </w:rPr>
        <w:t> </w:t>
      </w:r>
      <w:r>
        <w:rPr>
          <w:color w:val="231F20"/>
          <w:w w:val="125"/>
          <w:sz w:val="18"/>
        </w:rPr>
        <w:t>de</w:t>
      </w:r>
      <w:r>
        <w:rPr>
          <w:color w:val="231F20"/>
          <w:spacing w:val="-12"/>
          <w:w w:val="125"/>
          <w:sz w:val="18"/>
        </w:rPr>
        <w:t> </w:t>
      </w:r>
      <w:r>
        <w:rPr>
          <w:color w:val="231F20"/>
          <w:w w:val="125"/>
          <w:sz w:val="18"/>
        </w:rPr>
        <w:t>la</w:t>
      </w:r>
      <w:r>
        <w:rPr>
          <w:color w:val="231F20"/>
          <w:spacing w:val="-12"/>
          <w:w w:val="125"/>
          <w:sz w:val="18"/>
        </w:rPr>
        <w:t> </w:t>
      </w:r>
      <w:r>
        <w:rPr>
          <w:color w:val="231F20"/>
          <w:w w:val="125"/>
          <w:sz w:val="18"/>
        </w:rPr>
        <w:t>población</w:t>
      </w:r>
      <w:r>
        <w:rPr>
          <w:color w:val="231F20"/>
          <w:spacing w:val="-12"/>
          <w:w w:val="125"/>
          <w:sz w:val="18"/>
        </w:rPr>
        <w:t> </w:t>
      </w:r>
      <w:r>
        <w:rPr>
          <w:color w:val="231F20"/>
          <w:w w:val="125"/>
          <w:sz w:val="18"/>
        </w:rPr>
        <w:t>ocupada,</w:t>
      </w:r>
      <w:r>
        <w:rPr>
          <w:color w:val="231F20"/>
          <w:spacing w:val="-12"/>
          <w:w w:val="125"/>
          <w:sz w:val="18"/>
        </w:rPr>
        <w:t> </w:t>
      </w:r>
      <w:r>
        <w:rPr>
          <w:color w:val="231F20"/>
          <w:w w:val="125"/>
          <w:sz w:val="18"/>
        </w:rPr>
        <w:t>según</w:t>
      </w:r>
      <w:r>
        <w:rPr>
          <w:color w:val="231F20"/>
          <w:spacing w:val="-12"/>
          <w:w w:val="125"/>
          <w:sz w:val="18"/>
        </w:rPr>
        <w:t> </w:t>
      </w:r>
      <w:r>
        <w:rPr>
          <w:color w:val="231F20"/>
          <w:w w:val="125"/>
          <w:sz w:val="18"/>
        </w:rPr>
        <w:t>principales grupos étnicos y migratorios (% acumulado), estados unidos, 2007-2010</w:t>
      </w:r>
    </w:p>
    <w:p>
      <w:pPr>
        <w:pStyle w:val="BodyText"/>
      </w:pPr>
    </w:p>
    <w:p>
      <w:pPr>
        <w:spacing w:after="0"/>
        <w:sectPr>
          <w:headerReference w:type="even" r:id="rId236"/>
          <w:headerReference w:type="default" r:id="rId237"/>
          <w:pgSz w:w="7640" w:h="11900"/>
          <w:pgMar w:header="672" w:footer="0" w:top="860" w:bottom="280" w:left="780" w:right="640"/>
          <w:pgNumType w:start="302"/>
        </w:sectPr>
      </w:pPr>
    </w:p>
    <w:p>
      <w:pPr>
        <w:pStyle w:val="BodyText"/>
        <w:rPr>
          <w:sz w:val="14"/>
        </w:rPr>
      </w:pPr>
    </w:p>
    <w:p>
      <w:pPr>
        <w:spacing w:line="268" w:lineRule="auto" w:before="94"/>
        <w:ind w:left="2478" w:right="0" w:hanging="10"/>
        <w:jc w:val="right"/>
        <w:rPr>
          <w:sz w:val="14"/>
        </w:rPr>
      </w:pPr>
      <w:r>
        <w:rPr/>
        <w:pict>
          <v:group style="position:absolute;margin-left:59.6497pt;margin-top:-13.424817pt;width:270.5pt;height:76.650pt;mso-position-horizontal-relative:page;mso-position-vertical-relative:paragraph;z-index:-349072" coordorigin="1193,-268" coordsize="5410,1533">
            <v:shape style="position:absolute;left:1396;top:63;width:5016;height:1202" coordorigin="1396,63" coordsize="5016,1202" path="m1996,63l1396,63,1396,925,1996,925,1996,63m2879,63l2279,63,2279,855,2879,855,2879,63m4646,63l4046,63,4046,1264,4646,1264,4646,63m5529,63l4929,63,4929,925,5529,925,5529,63m6412,63l5812,63,5812,535,6412,535,6412,63e" filled="true" fillcolor="#c7c8ca" stroked="false">
              <v:path arrowok="t"/>
              <v:fill type="solid"/>
            </v:shape>
            <v:rect style="position:absolute;left:3162;top:-268;width:600;height:321" filled="true" fillcolor="#9d9fa2" stroked="false">
              <v:fill type="solid"/>
            </v:rect>
            <v:line style="position:absolute" from="1198,56" to="6598,56" stroked="true" strokeweight=".5pt" strokecolor="#231f20"/>
            <v:shape style="position:absolute;left:3162;top:-268;width:600;height:325" type="#_x0000_t202" filled="false" stroked="false">
              <v:textbox inset="0,0,0,0">
                <w:txbxContent>
                  <w:p>
                    <w:pPr>
                      <w:spacing w:before="20"/>
                      <w:ind w:left="124" w:right="0" w:firstLine="0"/>
                      <w:jc w:val="left"/>
                      <w:rPr>
                        <w:sz w:val="16"/>
                      </w:rPr>
                    </w:pPr>
                    <w:r>
                      <w:rPr>
                        <w:color w:val="231F20"/>
                        <w:w w:val="105"/>
                        <w:sz w:val="16"/>
                      </w:rPr>
                      <w:t>2.0%</w:t>
                    </w:r>
                  </w:p>
                </w:txbxContent>
              </v:textbox>
              <w10:wrap type="none"/>
            </v:shape>
            <v:shape style="position:absolute;left:1396;top:56;width:600;height:834"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178" w:lineRule="exact" w:before="104"/>
                      <w:ind w:left="83" w:right="0" w:firstLine="0"/>
                      <w:jc w:val="left"/>
                      <w:rPr>
                        <w:sz w:val="16"/>
                      </w:rPr>
                    </w:pPr>
                    <w:r>
                      <w:rPr>
                        <w:color w:val="231F20"/>
                        <w:w w:val="105"/>
                        <w:sz w:val="16"/>
                      </w:rPr>
                      <w:t>–5.4%</w:t>
                    </w:r>
                  </w:p>
                </w:txbxContent>
              </v:textbox>
              <w10:wrap type="none"/>
            </v:shape>
            <v:shape style="position:absolute;left:2279;top:56;width:600;height:834" type="#_x0000_t202" filled="false" stroked="false">
              <v:textbox inset="0,0,0,0">
                <w:txbxContent>
                  <w:p>
                    <w:pPr>
                      <w:spacing w:line="240" w:lineRule="auto" w:before="0"/>
                      <w:rPr>
                        <w:sz w:val="16"/>
                      </w:rPr>
                    </w:pPr>
                  </w:p>
                  <w:p>
                    <w:pPr>
                      <w:spacing w:line="240" w:lineRule="auto" w:before="0"/>
                      <w:rPr>
                        <w:sz w:val="16"/>
                      </w:rPr>
                    </w:pPr>
                  </w:p>
                  <w:p>
                    <w:pPr>
                      <w:spacing w:line="240" w:lineRule="auto" w:before="11"/>
                      <w:rPr>
                        <w:sz w:val="18"/>
                      </w:rPr>
                    </w:pPr>
                  </w:p>
                  <w:p>
                    <w:pPr>
                      <w:spacing w:before="0"/>
                      <w:ind w:left="83" w:right="0" w:firstLine="0"/>
                      <w:jc w:val="left"/>
                      <w:rPr>
                        <w:sz w:val="16"/>
                      </w:rPr>
                    </w:pPr>
                    <w:r>
                      <w:rPr>
                        <w:color w:val="231F20"/>
                        <w:w w:val="105"/>
                        <w:sz w:val="16"/>
                      </w:rPr>
                      <w:t>–4.8%</w:t>
                    </w:r>
                  </w:p>
                </w:txbxContent>
              </v:textbox>
              <w10:wrap type="none"/>
            </v:shape>
            <v:shape style="position:absolute;left:4046;top:56;width:600;height:1209"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
                      <w:rPr>
                        <w:sz w:val="23"/>
                      </w:rPr>
                    </w:pPr>
                  </w:p>
                  <w:p>
                    <w:pPr>
                      <w:spacing w:before="0"/>
                      <w:ind w:left="81" w:right="0" w:firstLine="0"/>
                      <w:jc w:val="left"/>
                      <w:rPr>
                        <w:sz w:val="16"/>
                      </w:rPr>
                    </w:pPr>
                    <w:r>
                      <w:rPr>
                        <w:color w:val="231F20"/>
                        <w:w w:val="105"/>
                        <w:sz w:val="16"/>
                      </w:rPr>
                      <w:t>–7.6%</w:t>
                    </w:r>
                  </w:p>
                </w:txbxContent>
              </v:textbox>
              <w10:wrap type="none"/>
            </v:shape>
            <v:shape style="position:absolute;left:4929;top:56;width:600;height:852"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before="108"/>
                      <w:ind w:left="86" w:right="0" w:firstLine="0"/>
                      <w:jc w:val="left"/>
                      <w:rPr>
                        <w:sz w:val="16"/>
                      </w:rPr>
                    </w:pPr>
                    <w:r>
                      <w:rPr>
                        <w:color w:val="231F20"/>
                        <w:w w:val="105"/>
                        <w:sz w:val="16"/>
                      </w:rPr>
                      <w:t>–5.4%</w:t>
                    </w:r>
                  </w:p>
                </w:txbxContent>
              </v:textbox>
              <w10:wrap type="none"/>
            </v:shape>
            <v:shape style="position:absolute;left:5812;top:56;width:600;height:480" type="#_x0000_t202" filled="false" stroked="false">
              <v:textbox inset="0,0,0,0">
                <w:txbxContent>
                  <w:p>
                    <w:pPr>
                      <w:spacing w:line="240" w:lineRule="auto" w:before="0"/>
                      <w:rPr>
                        <w:sz w:val="16"/>
                      </w:rPr>
                    </w:pPr>
                  </w:p>
                  <w:p>
                    <w:pPr>
                      <w:spacing w:before="92"/>
                      <w:ind w:left="84" w:right="0" w:firstLine="0"/>
                      <w:jc w:val="left"/>
                      <w:rPr>
                        <w:sz w:val="16"/>
                      </w:rPr>
                    </w:pPr>
                    <w:r>
                      <w:rPr>
                        <w:color w:val="231F20"/>
                        <w:w w:val="105"/>
                        <w:sz w:val="16"/>
                      </w:rPr>
                      <w:t>–2.8%</w:t>
                    </w:r>
                  </w:p>
                </w:txbxContent>
              </v:textbox>
              <w10:wrap type="none"/>
            </v:shape>
            <w10:wrap type="none"/>
          </v:group>
        </w:pict>
      </w:r>
      <w:r>
        <w:rPr>
          <w:color w:val="231F20"/>
          <w:sz w:val="14"/>
        </w:rPr>
        <w:t>nativos </w:t>
      </w:r>
      <w:r>
        <w:rPr>
          <w:color w:val="231F20"/>
          <w:w w:val="105"/>
          <w:sz w:val="14"/>
        </w:rPr>
        <w:t>latinos</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spacing w:before="104"/>
        <w:ind w:left="0" w:right="734" w:firstLine="0"/>
        <w:jc w:val="right"/>
        <w:rPr>
          <w:sz w:val="14"/>
        </w:rPr>
      </w:pPr>
      <w:r>
        <w:rPr>
          <w:color w:val="231F20"/>
          <w:w w:val="110"/>
          <w:sz w:val="14"/>
        </w:rPr>
        <w:t>otros</w:t>
      </w:r>
    </w:p>
    <w:p>
      <w:pPr>
        <w:spacing w:after="0"/>
        <w:jc w:val="right"/>
        <w:rPr>
          <w:sz w:val="14"/>
        </w:rPr>
        <w:sectPr>
          <w:type w:val="continuous"/>
          <w:pgSz w:w="7640" w:h="11900"/>
          <w:pgMar w:top="980" w:bottom="280" w:left="780" w:right="640"/>
          <w:cols w:num="2" w:equalWidth="0">
            <w:col w:w="2892" w:space="40"/>
            <w:col w:w="3288"/>
          </w:cols>
        </w:sectPr>
      </w:pPr>
    </w:p>
    <w:p>
      <w:pPr>
        <w:pStyle w:val="BodyText"/>
        <w:rPr>
          <w:sz w:val="13"/>
        </w:rPr>
      </w:pPr>
    </w:p>
    <w:p>
      <w:pPr>
        <w:spacing w:after="0"/>
        <w:rPr>
          <w:sz w:val="13"/>
        </w:rPr>
        <w:sectPr>
          <w:type w:val="continuous"/>
          <w:pgSz w:w="7640" w:h="11900"/>
          <w:pgMar w:top="980" w:bottom="280" w:left="780" w:right="640"/>
        </w:sectPr>
      </w:pPr>
    </w:p>
    <w:p>
      <w:pPr>
        <w:spacing w:before="85"/>
        <w:ind w:left="382" w:right="0" w:firstLine="0"/>
        <w:jc w:val="left"/>
        <w:rPr>
          <w:sz w:val="14"/>
        </w:rPr>
      </w:pPr>
      <w:r>
        <w:rPr>
          <w:color w:val="231F20"/>
          <w:w w:val="105"/>
          <w:sz w:val="14"/>
        </w:rPr>
        <w:t>latinoamericanos</w:t>
      </w:r>
    </w:p>
    <w:p>
      <w:pPr>
        <w:pStyle w:val="BodyText"/>
        <w:spacing w:before="1"/>
        <w:rPr>
          <w:sz w:val="17"/>
        </w:rPr>
      </w:pPr>
      <w:r>
        <w:rPr/>
        <w:br w:type="column"/>
      </w:r>
      <w:r>
        <w:rPr>
          <w:sz w:val="17"/>
        </w:rPr>
      </w:r>
    </w:p>
    <w:p>
      <w:pPr>
        <w:spacing w:line="268" w:lineRule="auto" w:before="1"/>
        <w:ind w:left="-27" w:right="-19" w:firstLine="210"/>
        <w:jc w:val="left"/>
        <w:rPr>
          <w:sz w:val="14"/>
        </w:rPr>
      </w:pPr>
      <w:r>
        <w:rPr>
          <w:color w:val="231F20"/>
          <w:w w:val="110"/>
          <w:sz w:val="14"/>
        </w:rPr>
        <w:t>otros inmigrantes</w:t>
      </w:r>
    </w:p>
    <w:p>
      <w:pPr>
        <w:pStyle w:val="BodyText"/>
        <w:rPr>
          <w:sz w:val="14"/>
        </w:rPr>
      </w:pPr>
      <w:r>
        <w:rPr/>
        <w:br w:type="column"/>
      </w:r>
      <w:r>
        <w:rPr>
          <w:sz w:val="14"/>
        </w:rPr>
      </w:r>
    </w:p>
    <w:p>
      <w:pPr>
        <w:pStyle w:val="BodyText"/>
        <w:spacing w:before="6"/>
      </w:pPr>
    </w:p>
    <w:p>
      <w:pPr>
        <w:spacing w:line="268" w:lineRule="auto" w:before="0"/>
        <w:ind w:left="382" w:right="-19" w:firstLine="95"/>
        <w:jc w:val="left"/>
        <w:rPr>
          <w:sz w:val="14"/>
        </w:rPr>
      </w:pPr>
      <w:r>
        <w:rPr>
          <w:color w:val="231F20"/>
          <w:w w:val="110"/>
          <w:sz w:val="14"/>
        </w:rPr>
        <w:t>negros no</w:t>
      </w:r>
      <w:r>
        <w:rPr>
          <w:color w:val="231F20"/>
          <w:spacing w:val="-2"/>
          <w:w w:val="110"/>
          <w:sz w:val="14"/>
        </w:rPr>
        <w:t> </w:t>
      </w:r>
      <w:r>
        <w:rPr>
          <w:color w:val="231F20"/>
          <w:w w:val="110"/>
          <w:sz w:val="14"/>
        </w:rPr>
        <w:t>latinos</w:t>
      </w:r>
    </w:p>
    <w:p>
      <w:pPr>
        <w:spacing w:line="268" w:lineRule="auto" w:before="77"/>
        <w:ind w:left="225" w:right="1449" w:firstLine="70"/>
        <w:jc w:val="left"/>
        <w:rPr>
          <w:sz w:val="14"/>
        </w:rPr>
      </w:pPr>
      <w:r>
        <w:rPr/>
        <w:br w:type="column"/>
      </w:r>
      <w:r>
        <w:rPr>
          <w:color w:val="231F20"/>
          <w:w w:val="110"/>
          <w:sz w:val="14"/>
        </w:rPr>
        <w:t>blancos no latinos</w:t>
      </w:r>
    </w:p>
    <w:p>
      <w:pPr>
        <w:spacing w:after="0" w:line="268" w:lineRule="auto"/>
        <w:jc w:val="left"/>
        <w:rPr>
          <w:sz w:val="14"/>
        </w:rPr>
        <w:sectPr>
          <w:type w:val="continuous"/>
          <w:pgSz w:w="7640" w:h="11900"/>
          <w:pgMar w:top="980" w:bottom="280" w:left="780" w:right="640"/>
          <w:cols w:num="4" w:equalWidth="0">
            <w:col w:w="1433" w:space="40"/>
            <w:col w:w="702" w:space="722"/>
            <w:col w:w="985" w:space="40"/>
            <w:col w:w="2298"/>
          </w:cols>
        </w:sectPr>
      </w:pPr>
    </w:p>
    <w:p>
      <w:pPr>
        <w:spacing w:before="75"/>
        <w:ind w:left="100" w:right="25" w:firstLine="0"/>
        <w:jc w:val="left"/>
        <w:rPr>
          <w:sz w:val="18"/>
        </w:rPr>
      </w:pPr>
      <w:r>
        <w:rPr>
          <w:rFonts w:ascii="Calibri" w:hAnsi="Calibri"/>
          <w:color w:val="231F20"/>
          <w:w w:val="110"/>
          <w:sz w:val="18"/>
        </w:rPr>
        <w:t>fuente: </w:t>
      </w:r>
      <w:r>
        <w:rPr>
          <w:color w:val="231F20"/>
          <w:w w:val="110"/>
          <w:sz w:val="18"/>
        </w:rPr>
        <w:t>elaboración propia con base en Current Population Survey</w:t>
      </w:r>
      <w:r>
        <w:rPr>
          <w:i/>
          <w:color w:val="231F20"/>
          <w:w w:val="110"/>
          <w:sz w:val="18"/>
        </w:rPr>
        <w:t>,   </w:t>
      </w:r>
      <w:r>
        <w:rPr>
          <w:color w:val="231F20"/>
          <w:w w:val="110"/>
          <w:sz w:val="18"/>
        </w:rPr>
        <w:t>marzo,</w:t>
      </w:r>
    </w:p>
    <w:p>
      <w:pPr>
        <w:spacing w:before="33"/>
        <w:ind w:left="100" w:right="25" w:firstLine="0"/>
        <w:jc w:val="left"/>
        <w:rPr>
          <w:sz w:val="18"/>
        </w:rPr>
      </w:pPr>
      <w:r>
        <w:rPr>
          <w:i/>
          <w:color w:val="231F20"/>
          <w:sz w:val="18"/>
        </w:rPr>
        <w:t>Supplement</w:t>
      </w:r>
      <w:r>
        <w:rPr>
          <w:color w:val="231F20"/>
          <w:sz w:val="18"/>
        </w:rPr>
        <w:t>, 1995-2010.</w:t>
      </w:r>
    </w:p>
    <w:p>
      <w:pPr>
        <w:pStyle w:val="BodyText"/>
        <w:rPr>
          <w:sz w:val="18"/>
        </w:rPr>
      </w:pPr>
    </w:p>
    <w:p>
      <w:pPr>
        <w:pStyle w:val="BodyText"/>
        <w:spacing w:before="1"/>
        <w:rPr>
          <w:sz w:val="17"/>
        </w:rPr>
      </w:pPr>
    </w:p>
    <w:p>
      <w:pPr>
        <w:pStyle w:val="BodyText"/>
        <w:spacing w:line="261" w:lineRule="auto" w:before="1"/>
        <w:ind w:left="100" w:right="117" w:firstLine="240"/>
        <w:jc w:val="both"/>
      </w:pPr>
      <w:r>
        <w:rPr>
          <w:color w:val="231F20"/>
          <w:w w:val="110"/>
        </w:rPr>
        <w:t>Si</w:t>
      </w:r>
      <w:r>
        <w:rPr>
          <w:color w:val="231F20"/>
          <w:spacing w:val="-7"/>
          <w:w w:val="110"/>
        </w:rPr>
        <w:t> </w:t>
      </w: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no</w:t>
      </w:r>
      <w:r>
        <w:rPr>
          <w:color w:val="231F20"/>
          <w:spacing w:val="-7"/>
          <w:w w:val="110"/>
        </w:rPr>
        <w:t> </w:t>
      </w:r>
      <w:r>
        <w:rPr>
          <w:color w:val="231F20"/>
          <w:w w:val="110"/>
        </w:rPr>
        <w:t>parece</w:t>
      </w:r>
      <w:r>
        <w:rPr>
          <w:color w:val="231F20"/>
          <w:spacing w:val="-7"/>
          <w:w w:val="110"/>
        </w:rPr>
        <w:t> </w:t>
      </w:r>
      <w:r>
        <w:rPr>
          <w:color w:val="231F20"/>
          <w:w w:val="110"/>
        </w:rPr>
        <w:t>discriminar</w:t>
      </w:r>
      <w:r>
        <w:rPr>
          <w:color w:val="231F20"/>
          <w:spacing w:val="-7"/>
          <w:w w:val="110"/>
        </w:rPr>
        <w:t> </w:t>
      </w:r>
      <w:r>
        <w:rPr>
          <w:color w:val="231F20"/>
          <w:w w:val="110"/>
        </w:rPr>
        <w:t>en</w:t>
      </w:r>
      <w:r>
        <w:rPr>
          <w:color w:val="231F20"/>
          <w:spacing w:val="-7"/>
          <w:w w:val="110"/>
        </w:rPr>
        <w:t> </w:t>
      </w:r>
      <w:r>
        <w:rPr>
          <w:color w:val="231F20"/>
          <w:w w:val="110"/>
        </w:rPr>
        <w:t>cuanto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pérdida</w:t>
      </w:r>
      <w:r>
        <w:rPr>
          <w:color w:val="231F20"/>
          <w:spacing w:val="-7"/>
          <w:w w:val="110"/>
        </w:rPr>
        <w:t> </w:t>
      </w:r>
      <w:r>
        <w:rPr>
          <w:color w:val="231F20"/>
          <w:w w:val="110"/>
        </w:rPr>
        <w:t>de</w:t>
      </w:r>
      <w:r>
        <w:rPr>
          <w:color w:val="231F20"/>
          <w:spacing w:val="-7"/>
          <w:w w:val="110"/>
        </w:rPr>
        <w:t> </w:t>
      </w:r>
      <w:r>
        <w:rPr>
          <w:color w:val="231F20"/>
          <w:w w:val="110"/>
        </w:rPr>
        <w:t>puestos de</w:t>
      </w:r>
      <w:r>
        <w:rPr>
          <w:color w:val="231F20"/>
          <w:spacing w:val="-4"/>
          <w:w w:val="110"/>
        </w:rPr>
        <w:t> </w:t>
      </w:r>
      <w:r>
        <w:rPr>
          <w:color w:val="231F20"/>
          <w:w w:val="110"/>
        </w:rPr>
        <w:t>trabajo,</w:t>
      </w:r>
      <w:r>
        <w:rPr>
          <w:color w:val="231F20"/>
          <w:spacing w:val="-4"/>
          <w:w w:val="110"/>
        </w:rPr>
        <w:t> </w:t>
      </w:r>
      <w:r>
        <w:rPr>
          <w:color w:val="231F20"/>
          <w:w w:val="110"/>
        </w:rPr>
        <w:t>no</w:t>
      </w:r>
      <w:r>
        <w:rPr>
          <w:color w:val="231F20"/>
          <w:spacing w:val="-4"/>
          <w:w w:val="110"/>
        </w:rPr>
        <w:t> </w:t>
      </w:r>
      <w:r>
        <w:rPr>
          <w:color w:val="231F20"/>
          <w:w w:val="110"/>
        </w:rPr>
        <w:t>ocurre</w:t>
      </w:r>
      <w:r>
        <w:rPr>
          <w:color w:val="231F20"/>
          <w:spacing w:val="-4"/>
          <w:w w:val="110"/>
        </w:rPr>
        <w:t> </w:t>
      </w:r>
      <w:r>
        <w:rPr>
          <w:color w:val="231F20"/>
          <w:w w:val="110"/>
        </w:rPr>
        <w:t>lo</w:t>
      </w:r>
      <w:r>
        <w:rPr>
          <w:color w:val="231F20"/>
          <w:spacing w:val="-4"/>
          <w:w w:val="110"/>
        </w:rPr>
        <w:t> </w:t>
      </w:r>
      <w:r>
        <w:rPr>
          <w:color w:val="231F20"/>
          <w:w w:val="110"/>
        </w:rPr>
        <w:t>mismo</w:t>
      </w:r>
      <w:r>
        <w:rPr>
          <w:color w:val="231F20"/>
          <w:spacing w:val="-4"/>
          <w:w w:val="110"/>
        </w:rPr>
        <w:t> </w:t>
      </w:r>
      <w:r>
        <w:rPr>
          <w:color w:val="231F20"/>
          <w:w w:val="110"/>
        </w:rPr>
        <w:t>cuando</w:t>
      </w:r>
      <w:r>
        <w:rPr>
          <w:color w:val="231F20"/>
          <w:spacing w:val="-4"/>
          <w:w w:val="110"/>
        </w:rPr>
        <w:t> </w:t>
      </w:r>
      <w:r>
        <w:rPr>
          <w:color w:val="231F20"/>
          <w:w w:val="110"/>
        </w:rPr>
        <w:t>se</w:t>
      </w:r>
      <w:r>
        <w:rPr>
          <w:color w:val="231F20"/>
          <w:spacing w:val="-4"/>
          <w:w w:val="110"/>
        </w:rPr>
        <w:t> </w:t>
      </w:r>
      <w:r>
        <w:rPr>
          <w:color w:val="231F20"/>
          <w:w w:val="110"/>
        </w:rPr>
        <w:t>analiza</w:t>
      </w:r>
      <w:r>
        <w:rPr>
          <w:color w:val="231F20"/>
          <w:spacing w:val="-4"/>
          <w:w w:val="110"/>
        </w:rPr>
        <w:t> </w:t>
      </w:r>
      <w:r>
        <w:rPr>
          <w:color w:val="231F20"/>
          <w:w w:val="110"/>
        </w:rPr>
        <w:t>la</w:t>
      </w:r>
      <w:r>
        <w:rPr>
          <w:color w:val="231F20"/>
          <w:spacing w:val="-4"/>
          <w:w w:val="110"/>
        </w:rPr>
        <w:t> </w:t>
      </w:r>
      <w:r>
        <w:rPr>
          <w:color w:val="231F20"/>
          <w:w w:val="110"/>
        </w:rPr>
        <w:t>recuperación</w:t>
      </w:r>
      <w:r>
        <w:rPr>
          <w:color w:val="231F20"/>
          <w:spacing w:val="-4"/>
          <w:w w:val="110"/>
        </w:rPr>
        <w:t> </w:t>
      </w:r>
      <w:r>
        <w:rPr>
          <w:color w:val="231F20"/>
          <w:w w:val="110"/>
        </w:rPr>
        <w:t>del empleo</w:t>
      </w:r>
      <w:r>
        <w:rPr>
          <w:color w:val="231F20"/>
          <w:spacing w:val="-8"/>
          <w:w w:val="110"/>
        </w:rPr>
        <w:t> </w:t>
      </w:r>
      <w:r>
        <w:rPr>
          <w:color w:val="231F20"/>
          <w:w w:val="110"/>
        </w:rPr>
        <w:t>según</w:t>
      </w:r>
      <w:r>
        <w:rPr>
          <w:color w:val="231F20"/>
          <w:spacing w:val="-8"/>
          <w:w w:val="110"/>
        </w:rPr>
        <w:t> </w:t>
      </w:r>
      <w:r>
        <w:rPr>
          <w:color w:val="231F20"/>
          <w:w w:val="110"/>
        </w:rPr>
        <w:t>condición</w:t>
      </w:r>
      <w:r>
        <w:rPr>
          <w:color w:val="231F20"/>
          <w:spacing w:val="-8"/>
          <w:w w:val="110"/>
        </w:rPr>
        <w:t> </w:t>
      </w:r>
      <w:r>
        <w:rPr>
          <w:color w:val="231F20"/>
          <w:w w:val="110"/>
        </w:rPr>
        <w:t>étnico-migratoria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fuerza</w:t>
      </w:r>
      <w:r>
        <w:rPr>
          <w:color w:val="231F20"/>
          <w:spacing w:val="-8"/>
          <w:w w:val="110"/>
        </w:rPr>
        <w:t> </w:t>
      </w:r>
      <w:r>
        <w:rPr>
          <w:color w:val="231F20"/>
          <w:w w:val="110"/>
        </w:rPr>
        <w:t>de</w:t>
      </w:r>
      <w:r>
        <w:rPr>
          <w:color w:val="231F20"/>
          <w:spacing w:val="-8"/>
          <w:w w:val="110"/>
        </w:rPr>
        <w:t> </w:t>
      </w:r>
      <w:r>
        <w:rPr>
          <w:color w:val="231F20"/>
          <w:w w:val="110"/>
        </w:rPr>
        <w:t>trabajo.</w:t>
      </w:r>
      <w:r>
        <w:rPr>
          <w:color w:val="231F20"/>
          <w:spacing w:val="-8"/>
          <w:w w:val="110"/>
        </w:rPr>
        <w:t> </w:t>
      </w:r>
      <w:r>
        <w:rPr>
          <w:color w:val="231F20"/>
          <w:w w:val="110"/>
        </w:rPr>
        <w:t>Al respecto, los datos más recientes indican que la lenta recuperación de la economía estadunidense en 2010, parece beneficiar en forma diferente a cada grupo étnico y </w:t>
      </w:r>
      <w:r>
        <w:rPr>
          <w:color w:val="231F20"/>
          <w:spacing w:val="14"/>
          <w:w w:val="110"/>
        </w:rPr>
        <w:t> </w:t>
      </w:r>
      <w:r>
        <w:rPr>
          <w:color w:val="231F20"/>
          <w:w w:val="110"/>
        </w:rPr>
        <w:t>migratorio.</w:t>
      </w:r>
    </w:p>
    <w:p>
      <w:pPr>
        <w:pStyle w:val="BodyText"/>
        <w:spacing w:line="261" w:lineRule="auto"/>
        <w:ind w:left="100" w:right="117" w:firstLine="240"/>
        <w:jc w:val="both"/>
      </w:pPr>
      <w:r>
        <w:rPr>
          <w:color w:val="231F20"/>
          <w:w w:val="110"/>
        </w:rPr>
        <w:t>Por un lado, la población nativa de origen negro no latino, es sin duda la menos beneficiada con esta recuperación económica. Para este grupo étnico se mantiene la tendencia de pérdida de empleos que se iniciara con la crisis a mediados de 2008.</w:t>
      </w:r>
    </w:p>
    <w:p>
      <w:pPr>
        <w:pStyle w:val="BodyText"/>
        <w:spacing w:line="261" w:lineRule="auto"/>
        <w:ind w:left="100" w:right="117" w:firstLine="240"/>
        <w:jc w:val="both"/>
      </w:pPr>
      <w:r>
        <w:rPr>
          <w:color w:val="231F20"/>
          <w:w w:val="110"/>
        </w:rPr>
        <w:t>Por</w:t>
      </w:r>
      <w:r>
        <w:rPr>
          <w:color w:val="231F20"/>
          <w:spacing w:val="-12"/>
          <w:w w:val="110"/>
        </w:rPr>
        <w:t> </w:t>
      </w:r>
      <w:r>
        <w:rPr>
          <w:color w:val="231F20"/>
          <w:w w:val="110"/>
        </w:rPr>
        <w:t>su</w:t>
      </w:r>
      <w:r>
        <w:rPr>
          <w:color w:val="231F20"/>
          <w:spacing w:val="-12"/>
          <w:w w:val="110"/>
        </w:rPr>
        <w:t> </w:t>
      </w:r>
      <w:r>
        <w:rPr>
          <w:color w:val="231F20"/>
          <w:w w:val="110"/>
        </w:rPr>
        <w:t>parte,</w:t>
      </w:r>
      <w:r>
        <w:rPr>
          <w:color w:val="231F20"/>
          <w:spacing w:val="-12"/>
          <w:w w:val="110"/>
        </w:rPr>
        <w:t> </w:t>
      </w:r>
      <w:r>
        <w:rPr>
          <w:color w:val="231F20"/>
          <w:w w:val="110"/>
        </w:rPr>
        <w:t>tanto</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caso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2"/>
          <w:w w:val="110"/>
        </w:rPr>
        <w:t> </w:t>
      </w:r>
      <w:r>
        <w:rPr>
          <w:color w:val="231F20"/>
          <w:w w:val="110"/>
        </w:rPr>
        <w:t>nativa</w:t>
      </w:r>
      <w:r>
        <w:rPr>
          <w:color w:val="231F20"/>
          <w:spacing w:val="-12"/>
          <w:w w:val="110"/>
        </w:rPr>
        <w:t> </w:t>
      </w:r>
      <w:r>
        <w:rPr>
          <w:color w:val="231F20"/>
          <w:w w:val="110"/>
        </w:rPr>
        <w:t>de</w:t>
      </w:r>
      <w:r>
        <w:rPr>
          <w:color w:val="231F20"/>
          <w:spacing w:val="-12"/>
          <w:w w:val="110"/>
        </w:rPr>
        <w:t> </w:t>
      </w:r>
      <w:r>
        <w:rPr>
          <w:color w:val="231F20"/>
          <w:w w:val="110"/>
        </w:rPr>
        <w:t>origen</w:t>
      </w:r>
      <w:r>
        <w:rPr>
          <w:color w:val="231F20"/>
          <w:spacing w:val="-12"/>
          <w:w w:val="110"/>
        </w:rPr>
        <w:t> </w:t>
      </w:r>
      <w:r>
        <w:rPr>
          <w:color w:val="231F20"/>
          <w:w w:val="110"/>
        </w:rPr>
        <w:t>blan- co</w:t>
      </w:r>
      <w:r>
        <w:rPr>
          <w:color w:val="231F20"/>
          <w:spacing w:val="-6"/>
          <w:w w:val="110"/>
        </w:rPr>
        <w:t> </w:t>
      </w:r>
      <w:r>
        <w:rPr>
          <w:color w:val="231F20"/>
          <w:w w:val="110"/>
        </w:rPr>
        <w:t>no</w:t>
      </w:r>
      <w:r>
        <w:rPr>
          <w:color w:val="231F20"/>
          <w:spacing w:val="-6"/>
          <w:w w:val="110"/>
        </w:rPr>
        <w:t> </w:t>
      </w:r>
      <w:r>
        <w:rPr>
          <w:color w:val="231F20"/>
          <w:w w:val="110"/>
        </w:rPr>
        <w:t>latino,</w:t>
      </w:r>
      <w:r>
        <w:rPr>
          <w:color w:val="231F20"/>
          <w:spacing w:val="-6"/>
          <w:w w:val="110"/>
        </w:rPr>
        <w:t> </w:t>
      </w:r>
      <w:r>
        <w:rPr>
          <w:color w:val="231F20"/>
          <w:w w:val="110"/>
        </w:rPr>
        <w:t>como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inmigrantes</w:t>
      </w:r>
      <w:r>
        <w:rPr>
          <w:color w:val="231F20"/>
          <w:spacing w:val="-6"/>
          <w:w w:val="110"/>
        </w:rPr>
        <w:t> </w:t>
      </w:r>
      <w:r>
        <w:rPr>
          <w:color w:val="231F20"/>
          <w:w w:val="110"/>
        </w:rPr>
        <w:t>de</w:t>
      </w:r>
      <w:r>
        <w:rPr>
          <w:color w:val="231F20"/>
          <w:spacing w:val="-6"/>
          <w:w w:val="110"/>
        </w:rPr>
        <w:t> </w:t>
      </w:r>
      <w:r>
        <w:rPr>
          <w:color w:val="231F20"/>
          <w:w w:val="110"/>
        </w:rPr>
        <w:t>países</w:t>
      </w:r>
      <w:r>
        <w:rPr>
          <w:color w:val="231F20"/>
          <w:spacing w:val="-6"/>
          <w:w w:val="110"/>
        </w:rPr>
        <w:t> </w:t>
      </w:r>
      <w:r>
        <w:rPr>
          <w:color w:val="231F20"/>
          <w:w w:val="110"/>
        </w:rPr>
        <w:t>no</w:t>
      </w:r>
      <w:r>
        <w:rPr>
          <w:color w:val="231F20"/>
          <w:spacing w:val="-6"/>
          <w:w w:val="110"/>
        </w:rPr>
        <w:t> </w:t>
      </w:r>
      <w:r>
        <w:rPr>
          <w:color w:val="231F20"/>
          <w:w w:val="110"/>
        </w:rPr>
        <w:t>latinoamericanos, la recuperación económica tiene un efecto </w:t>
      </w:r>
      <w:r>
        <w:rPr>
          <w:color w:val="231F20"/>
          <w:spacing w:val="-3"/>
          <w:w w:val="110"/>
        </w:rPr>
        <w:t>similar, </w:t>
      </w:r>
      <w:r>
        <w:rPr>
          <w:color w:val="231F20"/>
          <w:w w:val="110"/>
        </w:rPr>
        <w:t>que consiste en detener la tendencia de pérdida de empleos, aunque en ambos</w:t>
      </w:r>
      <w:r>
        <w:rPr>
          <w:color w:val="231F20"/>
          <w:spacing w:val="40"/>
          <w:w w:val="110"/>
        </w:rPr>
        <w:t> </w:t>
      </w:r>
      <w:r>
        <w:rPr>
          <w:color w:val="231F20"/>
          <w:w w:val="110"/>
        </w:rPr>
        <w:t>casos</w:t>
      </w:r>
    </w:p>
    <w:p>
      <w:pPr>
        <w:spacing w:after="0" w:line="261" w:lineRule="auto"/>
        <w:jc w:val="both"/>
        <w:sectPr>
          <w:type w:val="continuous"/>
          <w:pgSz w:w="7640" w:h="11900"/>
          <w:pgMar w:top="980" w:bottom="280" w:left="780" w:right="640"/>
        </w:sectPr>
      </w:pPr>
    </w:p>
    <w:p>
      <w:pPr>
        <w:pStyle w:val="BodyText"/>
        <w:spacing w:before="8"/>
        <w:rPr>
          <w:sz w:val="8"/>
        </w:rPr>
      </w:pPr>
    </w:p>
    <w:p>
      <w:pPr>
        <w:pStyle w:val="BodyText"/>
        <w:spacing w:line="261" w:lineRule="auto" w:before="67"/>
        <w:ind w:left="100" w:right="25"/>
      </w:pPr>
      <w:r>
        <w:rPr>
          <w:color w:val="231F20"/>
          <w:w w:val="110"/>
        </w:rPr>
        <w:t>esta recuperación no es suficiente como para revertir la caída inicial</w:t>
      </w:r>
      <w:r>
        <w:rPr>
          <w:color w:val="231F20"/>
          <w:w w:val="106"/>
        </w:rPr>
        <w:t> </w:t>
      </w:r>
      <w:r>
        <w:rPr>
          <w:color w:val="231F20"/>
          <w:w w:val="110"/>
        </w:rPr>
        <w:t>de hace un par de  años.</w:t>
      </w:r>
    </w:p>
    <w:p>
      <w:pPr>
        <w:pStyle w:val="BodyText"/>
        <w:spacing w:line="261" w:lineRule="auto"/>
        <w:ind w:left="100" w:right="119" w:firstLine="240"/>
        <w:jc w:val="both"/>
      </w:pPr>
      <w:r>
        <w:rPr>
          <w:color w:val="231F20"/>
          <w:spacing w:val="-3"/>
          <w:w w:val="110"/>
        </w:rPr>
        <w:t>Sólo </w:t>
      </w:r>
      <w:r>
        <w:rPr>
          <w:color w:val="231F20"/>
          <w:w w:val="110"/>
        </w:rPr>
        <w:t>en el </w:t>
      </w:r>
      <w:r>
        <w:rPr>
          <w:color w:val="231F20"/>
          <w:spacing w:val="-3"/>
          <w:w w:val="110"/>
        </w:rPr>
        <w:t>caso </w:t>
      </w:r>
      <w:r>
        <w:rPr>
          <w:color w:val="231F20"/>
          <w:w w:val="110"/>
        </w:rPr>
        <w:t>de los </w:t>
      </w:r>
      <w:r>
        <w:rPr>
          <w:color w:val="231F20"/>
          <w:spacing w:val="-3"/>
          <w:w w:val="110"/>
        </w:rPr>
        <w:t>inmigrantes latinoamericanos, como </w:t>
      </w:r>
      <w:r>
        <w:rPr>
          <w:color w:val="231F20"/>
          <w:w w:val="110"/>
        </w:rPr>
        <w:t>de </w:t>
      </w:r>
      <w:r>
        <w:rPr>
          <w:color w:val="231F20"/>
          <w:spacing w:val="-3"/>
          <w:w w:val="110"/>
        </w:rPr>
        <w:t>la </w:t>
      </w:r>
      <w:r>
        <w:rPr>
          <w:color w:val="231F20"/>
          <w:spacing w:val="-4"/>
          <w:w w:val="110"/>
        </w:rPr>
        <w:t>población nativa </w:t>
      </w:r>
      <w:r>
        <w:rPr>
          <w:color w:val="231F20"/>
          <w:w w:val="110"/>
        </w:rPr>
        <w:t>de </w:t>
      </w:r>
      <w:r>
        <w:rPr>
          <w:color w:val="231F20"/>
          <w:spacing w:val="-4"/>
          <w:w w:val="110"/>
        </w:rPr>
        <w:t>origen latino, </w:t>
      </w:r>
      <w:r>
        <w:rPr>
          <w:color w:val="231F20"/>
          <w:w w:val="110"/>
        </w:rPr>
        <w:t>se </w:t>
      </w:r>
      <w:r>
        <w:rPr>
          <w:color w:val="231F20"/>
          <w:spacing w:val="-3"/>
          <w:w w:val="110"/>
        </w:rPr>
        <w:t>observa que </w:t>
      </w:r>
      <w:r>
        <w:rPr>
          <w:color w:val="231F20"/>
          <w:w w:val="110"/>
        </w:rPr>
        <w:t>la </w:t>
      </w:r>
      <w:r>
        <w:rPr>
          <w:color w:val="231F20"/>
          <w:spacing w:val="-4"/>
          <w:w w:val="110"/>
        </w:rPr>
        <w:t>recuperación eco- nómica tiene </w:t>
      </w:r>
      <w:r>
        <w:rPr>
          <w:color w:val="231F20"/>
          <w:w w:val="110"/>
        </w:rPr>
        <w:t>un </w:t>
      </w:r>
      <w:r>
        <w:rPr>
          <w:color w:val="231F20"/>
          <w:spacing w:val="-4"/>
          <w:w w:val="110"/>
        </w:rPr>
        <w:t>claro efecto positivo </w:t>
      </w:r>
      <w:r>
        <w:rPr>
          <w:color w:val="231F20"/>
          <w:w w:val="110"/>
        </w:rPr>
        <w:t>en la </w:t>
      </w:r>
      <w:r>
        <w:rPr>
          <w:color w:val="231F20"/>
          <w:spacing w:val="-4"/>
          <w:w w:val="110"/>
        </w:rPr>
        <w:t>recuperación </w:t>
      </w:r>
      <w:r>
        <w:rPr>
          <w:color w:val="231F20"/>
          <w:w w:val="110"/>
        </w:rPr>
        <w:t>de </w:t>
      </w:r>
      <w:r>
        <w:rPr>
          <w:color w:val="231F20"/>
          <w:spacing w:val="-4"/>
          <w:w w:val="110"/>
        </w:rPr>
        <w:t>puestos de trabajo.</w:t>
      </w:r>
      <w:r>
        <w:rPr>
          <w:color w:val="231F20"/>
          <w:spacing w:val="-14"/>
          <w:w w:val="110"/>
        </w:rPr>
        <w:t> </w:t>
      </w:r>
      <w:r>
        <w:rPr>
          <w:color w:val="231F20"/>
          <w:w w:val="110"/>
        </w:rPr>
        <w:t>En</w:t>
      </w:r>
      <w:r>
        <w:rPr>
          <w:color w:val="231F20"/>
          <w:spacing w:val="-14"/>
          <w:w w:val="110"/>
        </w:rPr>
        <w:t> </w:t>
      </w:r>
      <w:r>
        <w:rPr>
          <w:color w:val="231F20"/>
          <w:spacing w:val="-4"/>
          <w:w w:val="110"/>
        </w:rPr>
        <w:t>ambos</w:t>
      </w:r>
      <w:r>
        <w:rPr>
          <w:color w:val="231F20"/>
          <w:spacing w:val="-14"/>
          <w:w w:val="110"/>
        </w:rPr>
        <w:t> </w:t>
      </w:r>
      <w:r>
        <w:rPr>
          <w:color w:val="231F20"/>
          <w:spacing w:val="-4"/>
          <w:w w:val="110"/>
        </w:rPr>
        <w:t>casos,</w:t>
      </w:r>
      <w:r>
        <w:rPr>
          <w:color w:val="231F20"/>
          <w:spacing w:val="-14"/>
          <w:w w:val="110"/>
        </w:rPr>
        <w:t> </w:t>
      </w:r>
      <w:r>
        <w:rPr>
          <w:color w:val="231F20"/>
          <w:w w:val="110"/>
        </w:rPr>
        <w:t>a</w:t>
      </w:r>
      <w:r>
        <w:rPr>
          <w:color w:val="231F20"/>
          <w:spacing w:val="-14"/>
          <w:w w:val="110"/>
        </w:rPr>
        <w:t> </w:t>
      </w:r>
      <w:r>
        <w:rPr>
          <w:color w:val="231F20"/>
          <w:spacing w:val="-3"/>
          <w:w w:val="110"/>
        </w:rPr>
        <w:t>fines</w:t>
      </w:r>
      <w:r>
        <w:rPr>
          <w:color w:val="231F20"/>
          <w:spacing w:val="-14"/>
          <w:w w:val="110"/>
        </w:rPr>
        <w:t> </w:t>
      </w:r>
      <w:r>
        <w:rPr>
          <w:color w:val="231F20"/>
          <w:w w:val="110"/>
        </w:rPr>
        <w:t>de</w:t>
      </w:r>
      <w:r>
        <w:rPr>
          <w:color w:val="231F20"/>
          <w:spacing w:val="-14"/>
          <w:w w:val="110"/>
        </w:rPr>
        <w:t> </w:t>
      </w:r>
      <w:r>
        <w:rPr>
          <w:color w:val="231F20"/>
          <w:spacing w:val="-3"/>
          <w:w w:val="110"/>
        </w:rPr>
        <w:t>2010</w:t>
      </w:r>
      <w:r>
        <w:rPr>
          <w:color w:val="231F20"/>
          <w:spacing w:val="-14"/>
          <w:w w:val="110"/>
        </w:rPr>
        <w:t> </w:t>
      </w:r>
      <w:r>
        <w:rPr>
          <w:color w:val="231F20"/>
          <w:w w:val="110"/>
        </w:rPr>
        <w:t>el</w:t>
      </w:r>
      <w:r>
        <w:rPr>
          <w:color w:val="231F20"/>
          <w:spacing w:val="-14"/>
          <w:w w:val="110"/>
        </w:rPr>
        <w:t> </w:t>
      </w:r>
      <w:r>
        <w:rPr>
          <w:color w:val="231F20"/>
          <w:spacing w:val="-4"/>
          <w:w w:val="110"/>
        </w:rPr>
        <w:t>volumen</w:t>
      </w:r>
      <w:r>
        <w:rPr>
          <w:color w:val="231F20"/>
          <w:spacing w:val="-14"/>
          <w:w w:val="110"/>
        </w:rPr>
        <w:t> </w:t>
      </w:r>
      <w:r>
        <w:rPr>
          <w:color w:val="231F20"/>
          <w:w w:val="110"/>
        </w:rPr>
        <w:t>de</w:t>
      </w:r>
      <w:r>
        <w:rPr>
          <w:color w:val="231F20"/>
          <w:spacing w:val="-14"/>
          <w:w w:val="110"/>
        </w:rPr>
        <w:t> </w:t>
      </w:r>
      <w:r>
        <w:rPr>
          <w:color w:val="231F20"/>
          <w:spacing w:val="-4"/>
          <w:w w:val="110"/>
        </w:rPr>
        <w:t>personas</w:t>
      </w:r>
      <w:r>
        <w:rPr>
          <w:color w:val="231F20"/>
          <w:spacing w:val="-14"/>
          <w:w w:val="110"/>
        </w:rPr>
        <w:t> </w:t>
      </w:r>
      <w:r>
        <w:rPr>
          <w:color w:val="231F20"/>
          <w:spacing w:val="-4"/>
          <w:w w:val="110"/>
        </w:rPr>
        <w:t>ocupa-</w:t>
      </w:r>
      <w:r>
        <w:rPr>
          <w:color w:val="231F20"/>
          <w:w w:val="72"/>
        </w:rPr>
        <w:t> </w:t>
      </w:r>
      <w:r>
        <w:rPr>
          <w:color w:val="231F20"/>
          <w:spacing w:val="-3"/>
          <w:w w:val="110"/>
        </w:rPr>
        <w:t>das </w:t>
      </w:r>
      <w:r>
        <w:rPr>
          <w:color w:val="231F20"/>
          <w:w w:val="110"/>
        </w:rPr>
        <w:t>ya </w:t>
      </w:r>
      <w:r>
        <w:rPr>
          <w:color w:val="231F20"/>
          <w:spacing w:val="-4"/>
          <w:w w:val="110"/>
        </w:rPr>
        <w:t>había recuperado </w:t>
      </w:r>
      <w:r>
        <w:rPr>
          <w:color w:val="231F20"/>
          <w:spacing w:val="-3"/>
          <w:w w:val="110"/>
        </w:rPr>
        <w:t>los </w:t>
      </w:r>
      <w:r>
        <w:rPr>
          <w:color w:val="231F20"/>
          <w:spacing w:val="-4"/>
          <w:w w:val="110"/>
        </w:rPr>
        <w:t>niveles </w:t>
      </w:r>
      <w:r>
        <w:rPr>
          <w:color w:val="231F20"/>
          <w:spacing w:val="-3"/>
          <w:w w:val="110"/>
        </w:rPr>
        <w:t>que </w:t>
      </w:r>
      <w:r>
        <w:rPr>
          <w:color w:val="231F20"/>
          <w:spacing w:val="-4"/>
          <w:w w:val="110"/>
        </w:rPr>
        <w:t>tenía </w:t>
      </w:r>
      <w:r>
        <w:rPr>
          <w:color w:val="231F20"/>
          <w:w w:val="110"/>
        </w:rPr>
        <w:t>a </w:t>
      </w:r>
      <w:r>
        <w:rPr>
          <w:color w:val="231F20"/>
          <w:spacing w:val="-4"/>
          <w:w w:val="110"/>
        </w:rPr>
        <w:t>mediados </w:t>
      </w:r>
      <w:r>
        <w:rPr>
          <w:color w:val="231F20"/>
          <w:w w:val="110"/>
        </w:rPr>
        <w:t>de</w:t>
      </w:r>
      <w:r>
        <w:rPr>
          <w:color w:val="231F20"/>
          <w:spacing w:val="15"/>
          <w:w w:val="110"/>
        </w:rPr>
        <w:t> </w:t>
      </w:r>
      <w:r>
        <w:rPr>
          <w:color w:val="231F20"/>
          <w:spacing w:val="-4"/>
          <w:w w:val="110"/>
        </w:rPr>
        <w:t>2009.</w:t>
      </w:r>
    </w:p>
    <w:p>
      <w:pPr>
        <w:pStyle w:val="BodyText"/>
        <w:spacing w:line="261" w:lineRule="auto"/>
        <w:ind w:left="100" w:right="117" w:firstLine="240"/>
        <w:jc w:val="both"/>
      </w:pPr>
      <w:r>
        <w:rPr>
          <w:color w:val="231F20"/>
          <w:w w:val="110"/>
        </w:rPr>
        <w:t>Algo</w:t>
      </w:r>
      <w:r>
        <w:rPr>
          <w:color w:val="231F20"/>
          <w:spacing w:val="-17"/>
          <w:w w:val="110"/>
        </w:rPr>
        <w:t> </w:t>
      </w:r>
      <w:r>
        <w:rPr>
          <w:color w:val="231F20"/>
          <w:w w:val="110"/>
        </w:rPr>
        <w:t>similar</w:t>
      </w:r>
      <w:r>
        <w:rPr>
          <w:color w:val="231F20"/>
          <w:spacing w:val="-17"/>
          <w:w w:val="110"/>
        </w:rPr>
        <w:t> </w:t>
      </w:r>
      <w:r>
        <w:rPr>
          <w:color w:val="231F20"/>
          <w:w w:val="110"/>
        </w:rPr>
        <w:t>se</w:t>
      </w:r>
      <w:r>
        <w:rPr>
          <w:color w:val="231F20"/>
          <w:spacing w:val="-17"/>
          <w:w w:val="110"/>
        </w:rPr>
        <w:t> </w:t>
      </w:r>
      <w:r>
        <w:rPr>
          <w:color w:val="231F20"/>
          <w:w w:val="110"/>
        </w:rPr>
        <w:t>observa</w:t>
      </w:r>
      <w:r>
        <w:rPr>
          <w:color w:val="231F20"/>
          <w:spacing w:val="-17"/>
          <w:w w:val="110"/>
        </w:rPr>
        <w:t> </w:t>
      </w:r>
      <w:r>
        <w:rPr>
          <w:color w:val="231F20"/>
          <w:w w:val="110"/>
        </w:rPr>
        <w:t>cuando</w:t>
      </w:r>
      <w:r>
        <w:rPr>
          <w:color w:val="231F20"/>
          <w:spacing w:val="-17"/>
          <w:w w:val="110"/>
        </w:rPr>
        <w:t> </w:t>
      </w:r>
      <w:r>
        <w:rPr>
          <w:color w:val="231F20"/>
          <w:w w:val="110"/>
        </w:rPr>
        <w:t>se</w:t>
      </w:r>
      <w:r>
        <w:rPr>
          <w:color w:val="231F20"/>
          <w:spacing w:val="-17"/>
          <w:w w:val="110"/>
        </w:rPr>
        <w:t> </w:t>
      </w:r>
      <w:r>
        <w:rPr>
          <w:color w:val="231F20"/>
          <w:w w:val="110"/>
        </w:rPr>
        <w:t>comparan</w:t>
      </w:r>
      <w:r>
        <w:rPr>
          <w:color w:val="231F20"/>
          <w:spacing w:val="-17"/>
          <w:w w:val="110"/>
        </w:rPr>
        <w:t> </w:t>
      </w:r>
      <w:r>
        <w:rPr>
          <w:color w:val="231F20"/>
          <w:w w:val="110"/>
        </w:rPr>
        <w:t>las</w:t>
      </w:r>
      <w:r>
        <w:rPr>
          <w:color w:val="231F20"/>
          <w:spacing w:val="-17"/>
          <w:w w:val="110"/>
        </w:rPr>
        <w:t> </w:t>
      </w:r>
      <w:r>
        <w:rPr>
          <w:color w:val="231F20"/>
          <w:w w:val="110"/>
        </w:rPr>
        <w:t>cifras</w:t>
      </w:r>
      <w:r>
        <w:rPr>
          <w:color w:val="231F20"/>
          <w:spacing w:val="-17"/>
          <w:w w:val="110"/>
        </w:rPr>
        <w:t> </w:t>
      </w:r>
      <w:r>
        <w:rPr>
          <w:color w:val="231F20"/>
          <w:w w:val="110"/>
        </w:rPr>
        <w:t>y</w:t>
      </w:r>
      <w:r>
        <w:rPr>
          <w:color w:val="231F20"/>
          <w:spacing w:val="-17"/>
          <w:w w:val="110"/>
        </w:rPr>
        <w:t> </w:t>
      </w:r>
      <w:r>
        <w:rPr>
          <w:color w:val="231F20"/>
          <w:w w:val="110"/>
        </w:rPr>
        <w:t>tendencias del desempleo según condición étnica-migratoria de la fuerza de trabajo. Si bien en todos los casos el efecto directo de la crisis eco- nómica fue el incremento en las tasas de desempleo, el inicio de la recuperación económica en 2010 no generó en todos los casos una mejoría en este indicador. Al respecto, el dato más relevante es la reducción en los niveles de desempleo que se observa en la fuerza de trabajo inmigrante proveniente de Latinoamérica. De hecho, es  el único caso en donde se da una recuperación de este   </w:t>
      </w:r>
      <w:r>
        <w:rPr>
          <w:color w:val="231F20"/>
          <w:spacing w:val="5"/>
          <w:w w:val="110"/>
        </w:rPr>
        <w:t> </w:t>
      </w:r>
      <w:r>
        <w:rPr>
          <w:color w:val="231F20"/>
          <w:w w:val="110"/>
        </w:rPr>
        <w:t>tipo.</w:t>
      </w:r>
    </w:p>
    <w:p>
      <w:pPr>
        <w:pStyle w:val="BodyText"/>
        <w:spacing w:line="261" w:lineRule="auto"/>
        <w:ind w:left="100" w:right="117" w:firstLine="240"/>
        <w:jc w:val="both"/>
      </w:pP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caso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otros</w:t>
      </w:r>
      <w:r>
        <w:rPr>
          <w:color w:val="231F20"/>
          <w:spacing w:val="-10"/>
          <w:w w:val="110"/>
        </w:rPr>
        <w:t> </w:t>
      </w:r>
      <w:r>
        <w:rPr>
          <w:color w:val="231F20"/>
          <w:w w:val="110"/>
        </w:rPr>
        <w:t>inmigrantes,</w:t>
      </w:r>
      <w:r>
        <w:rPr>
          <w:color w:val="231F20"/>
          <w:spacing w:val="-10"/>
          <w:w w:val="110"/>
        </w:rPr>
        <w:t> </w:t>
      </w:r>
      <w:r>
        <w:rPr>
          <w:color w:val="231F20"/>
          <w:w w:val="110"/>
        </w:rPr>
        <w:t>así</w:t>
      </w:r>
      <w:r>
        <w:rPr>
          <w:color w:val="231F20"/>
          <w:spacing w:val="-10"/>
          <w:w w:val="110"/>
        </w:rPr>
        <w:t> </w:t>
      </w:r>
      <w:r>
        <w:rPr>
          <w:color w:val="231F20"/>
          <w:w w:val="110"/>
        </w:rPr>
        <w:t>como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blan- ca no latina y de los nativos de origen latino, la incipiente recupera- ción</w:t>
      </w:r>
      <w:r>
        <w:rPr>
          <w:color w:val="231F20"/>
          <w:spacing w:val="-9"/>
          <w:w w:val="110"/>
        </w:rPr>
        <w:t> </w:t>
      </w:r>
      <w:r>
        <w:rPr>
          <w:color w:val="231F20"/>
          <w:w w:val="110"/>
        </w:rPr>
        <w:t>económica</w:t>
      </w:r>
      <w:r>
        <w:rPr>
          <w:color w:val="231F20"/>
          <w:spacing w:val="-9"/>
          <w:w w:val="110"/>
        </w:rPr>
        <w:t> </w:t>
      </w:r>
      <w:r>
        <w:rPr>
          <w:color w:val="231F20"/>
          <w:w w:val="110"/>
        </w:rPr>
        <w:t>del</w:t>
      </w:r>
      <w:r>
        <w:rPr>
          <w:color w:val="231F20"/>
          <w:spacing w:val="-9"/>
          <w:w w:val="110"/>
        </w:rPr>
        <w:t> </w:t>
      </w:r>
      <w:r>
        <w:rPr>
          <w:color w:val="231F20"/>
          <w:w w:val="110"/>
        </w:rPr>
        <w:t>año</w:t>
      </w:r>
      <w:r>
        <w:rPr>
          <w:color w:val="231F20"/>
          <w:spacing w:val="-9"/>
          <w:w w:val="110"/>
        </w:rPr>
        <w:t> </w:t>
      </w:r>
      <w:r>
        <w:rPr>
          <w:color w:val="231F20"/>
          <w:w w:val="110"/>
        </w:rPr>
        <w:t>pasado</w:t>
      </w:r>
      <w:r>
        <w:rPr>
          <w:color w:val="231F20"/>
          <w:spacing w:val="-9"/>
          <w:w w:val="110"/>
        </w:rPr>
        <w:t> </w:t>
      </w:r>
      <w:r>
        <w:rPr>
          <w:color w:val="231F20"/>
          <w:w w:val="110"/>
        </w:rPr>
        <w:t>apenas</w:t>
      </w:r>
      <w:r>
        <w:rPr>
          <w:color w:val="231F20"/>
          <w:spacing w:val="-9"/>
          <w:w w:val="110"/>
        </w:rPr>
        <w:t> </w:t>
      </w:r>
      <w:r>
        <w:rPr>
          <w:color w:val="231F20"/>
          <w:w w:val="110"/>
        </w:rPr>
        <w:t>sirvió</w:t>
      </w:r>
      <w:r>
        <w:rPr>
          <w:color w:val="231F20"/>
          <w:spacing w:val="-9"/>
          <w:w w:val="110"/>
        </w:rPr>
        <w:t> </w:t>
      </w:r>
      <w:r>
        <w:rPr>
          <w:color w:val="231F20"/>
          <w:w w:val="110"/>
        </w:rPr>
        <w:t>para</w:t>
      </w:r>
      <w:r>
        <w:rPr>
          <w:color w:val="231F20"/>
          <w:spacing w:val="-9"/>
          <w:w w:val="110"/>
        </w:rPr>
        <w:t> </w:t>
      </w:r>
      <w:r>
        <w:rPr>
          <w:color w:val="231F20"/>
          <w:w w:val="110"/>
        </w:rPr>
        <w:t>frenar</w:t>
      </w:r>
      <w:r>
        <w:rPr>
          <w:color w:val="231F20"/>
          <w:spacing w:val="-9"/>
          <w:w w:val="110"/>
        </w:rPr>
        <w:t> </w:t>
      </w:r>
      <w:r>
        <w:rPr>
          <w:color w:val="231F20"/>
          <w:w w:val="110"/>
        </w:rPr>
        <w:t>la</w:t>
      </w:r>
      <w:r>
        <w:rPr>
          <w:color w:val="231F20"/>
          <w:spacing w:val="-9"/>
          <w:w w:val="110"/>
        </w:rPr>
        <w:t> </w:t>
      </w:r>
      <w:r>
        <w:rPr>
          <w:color w:val="231F20"/>
          <w:w w:val="110"/>
        </w:rPr>
        <w:t>tendencia a un desempleo creciente, pero sin lograr revertirla. Asimismo, en</w:t>
      </w:r>
      <w:r>
        <w:rPr>
          <w:color w:val="231F20"/>
          <w:spacing w:val="-21"/>
          <w:w w:val="110"/>
        </w:rPr>
        <w:t> </w:t>
      </w:r>
      <w:r>
        <w:rPr>
          <w:color w:val="231F20"/>
          <w:w w:val="110"/>
        </w:rPr>
        <w:t>el caso de la fuerza de trabajo de origen negro no latino, el desempleo continuó su tendencia al alza, sin verse beneficiada por el inicio de la recuperación económica que habría experimentado la economía estadunidense, especialmente en la segunda mitad de </w:t>
      </w:r>
      <w:r>
        <w:rPr>
          <w:color w:val="231F20"/>
          <w:spacing w:val="16"/>
          <w:w w:val="110"/>
        </w:rPr>
        <w:t> </w:t>
      </w:r>
      <w:r>
        <w:rPr>
          <w:color w:val="231F20"/>
          <w:w w:val="110"/>
        </w:rPr>
        <w:t>2010.</w:t>
      </w:r>
    </w:p>
    <w:p>
      <w:pPr>
        <w:pStyle w:val="BodyText"/>
      </w:pPr>
    </w:p>
    <w:p>
      <w:pPr>
        <w:pStyle w:val="BodyText"/>
      </w:pPr>
    </w:p>
    <w:p>
      <w:pPr>
        <w:pStyle w:val="BodyText"/>
        <w:spacing w:before="2"/>
        <w:rPr>
          <w:sz w:val="25"/>
        </w:rPr>
      </w:pPr>
    </w:p>
    <w:p>
      <w:pPr>
        <w:pStyle w:val="BodyText"/>
        <w:spacing w:line="261" w:lineRule="auto"/>
        <w:ind w:left="100" w:right="409"/>
      </w:pPr>
      <w:r>
        <w:rPr>
          <w:color w:val="231F20"/>
          <w:w w:val="130"/>
        </w:rPr>
        <w:t>la</w:t>
      </w:r>
      <w:r>
        <w:rPr>
          <w:color w:val="231F20"/>
          <w:spacing w:val="-19"/>
          <w:w w:val="130"/>
        </w:rPr>
        <w:t> </w:t>
      </w:r>
      <w:r>
        <w:rPr>
          <w:color w:val="231F20"/>
          <w:w w:val="130"/>
        </w:rPr>
        <w:t>inserción</w:t>
      </w:r>
      <w:r>
        <w:rPr>
          <w:color w:val="231F20"/>
          <w:spacing w:val="-19"/>
          <w:w w:val="130"/>
        </w:rPr>
        <w:t> </w:t>
      </w:r>
      <w:r>
        <w:rPr>
          <w:color w:val="231F20"/>
          <w:w w:val="130"/>
        </w:rPr>
        <w:t>laboral</w:t>
      </w:r>
      <w:r>
        <w:rPr>
          <w:color w:val="231F20"/>
          <w:spacing w:val="-19"/>
          <w:w w:val="130"/>
        </w:rPr>
        <w:t> </w:t>
      </w:r>
      <w:r>
        <w:rPr>
          <w:color w:val="231F20"/>
          <w:w w:val="130"/>
        </w:rPr>
        <w:t>de</w:t>
      </w:r>
      <w:r>
        <w:rPr>
          <w:color w:val="231F20"/>
          <w:spacing w:val="-19"/>
          <w:w w:val="130"/>
        </w:rPr>
        <w:t> </w:t>
      </w:r>
      <w:r>
        <w:rPr>
          <w:color w:val="231F20"/>
          <w:w w:val="130"/>
        </w:rPr>
        <w:t>los</w:t>
      </w:r>
      <w:r>
        <w:rPr>
          <w:color w:val="231F20"/>
          <w:spacing w:val="-19"/>
          <w:w w:val="130"/>
        </w:rPr>
        <w:t> </w:t>
      </w:r>
      <w:r>
        <w:rPr>
          <w:color w:val="231F20"/>
          <w:w w:val="130"/>
        </w:rPr>
        <w:t>inmigrantes</w:t>
      </w:r>
      <w:r>
        <w:rPr>
          <w:color w:val="231F20"/>
          <w:spacing w:val="-19"/>
          <w:w w:val="130"/>
        </w:rPr>
        <w:t> </w:t>
      </w:r>
      <w:r>
        <w:rPr>
          <w:color w:val="231F20"/>
          <w:w w:val="130"/>
        </w:rPr>
        <w:t>latinoamericanos frente</w:t>
      </w:r>
      <w:r>
        <w:rPr>
          <w:color w:val="231F20"/>
          <w:spacing w:val="-30"/>
          <w:w w:val="130"/>
        </w:rPr>
        <w:t> </w:t>
      </w:r>
      <w:r>
        <w:rPr>
          <w:color w:val="231F20"/>
          <w:w w:val="130"/>
        </w:rPr>
        <w:t>a</w:t>
      </w:r>
      <w:r>
        <w:rPr>
          <w:color w:val="231F20"/>
          <w:spacing w:val="-30"/>
          <w:w w:val="130"/>
        </w:rPr>
        <w:t> </w:t>
      </w:r>
      <w:r>
        <w:rPr>
          <w:color w:val="231F20"/>
          <w:w w:val="130"/>
        </w:rPr>
        <w:t>la</w:t>
      </w:r>
      <w:r>
        <w:rPr>
          <w:color w:val="231F20"/>
          <w:spacing w:val="-30"/>
          <w:w w:val="130"/>
        </w:rPr>
        <w:t> </w:t>
      </w:r>
      <w:r>
        <w:rPr>
          <w:color w:val="231F20"/>
          <w:w w:val="130"/>
        </w:rPr>
        <w:t>crisis:</w:t>
      </w:r>
      <w:r>
        <w:rPr>
          <w:color w:val="231F20"/>
          <w:spacing w:val="-30"/>
          <w:w w:val="130"/>
        </w:rPr>
        <w:t> </w:t>
      </w:r>
      <w:r>
        <w:rPr>
          <w:color w:val="231F20"/>
          <w:spacing w:val="-3"/>
          <w:w w:val="130"/>
        </w:rPr>
        <w:t>mayor</w:t>
      </w:r>
      <w:r>
        <w:rPr>
          <w:color w:val="231F20"/>
          <w:spacing w:val="-30"/>
          <w:w w:val="130"/>
        </w:rPr>
        <w:t> </w:t>
      </w:r>
      <w:r>
        <w:rPr>
          <w:color w:val="231F20"/>
          <w:w w:val="130"/>
        </w:rPr>
        <w:t>especialización</w:t>
      </w:r>
      <w:r>
        <w:rPr>
          <w:color w:val="231F20"/>
          <w:spacing w:val="-30"/>
          <w:w w:val="130"/>
        </w:rPr>
        <w:t> </w:t>
      </w:r>
      <w:r>
        <w:rPr>
          <w:color w:val="231F20"/>
          <w:w w:val="130"/>
        </w:rPr>
        <w:t>ocupacional</w:t>
      </w:r>
      <w:r>
        <w:rPr>
          <w:color w:val="231F20"/>
          <w:spacing w:val="-30"/>
          <w:w w:val="130"/>
        </w:rPr>
        <w:t> </w:t>
      </w:r>
      <w:r>
        <w:rPr>
          <w:color w:val="231F20"/>
          <w:w w:val="130"/>
        </w:rPr>
        <w:t>con </w:t>
      </w:r>
      <w:r>
        <w:rPr>
          <w:color w:val="231F20"/>
          <w:spacing w:val="-3"/>
          <w:w w:val="130"/>
        </w:rPr>
        <w:t>mayor</w:t>
      </w:r>
      <w:r>
        <w:rPr>
          <w:color w:val="231F20"/>
          <w:spacing w:val="-39"/>
          <w:w w:val="130"/>
        </w:rPr>
        <w:t> </w:t>
      </w:r>
      <w:r>
        <w:rPr>
          <w:color w:val="231F20"/>
          <w:w w:val="130"/>
        </w:rPr>
        <w:t>precarización</w:t>
      </w:r>
      <w:r>
        <w:rPr>
          <w:color w:val="231F20"/>
          <w:spacing w:val="-39"/>
          <w:w w:val="130"/>
        </w:rPr>
        <w:t> </w:t>
      </w:r>
      <w:r>
        <w:rPr>
          <w:color w:val="231F20"/>
          <w:w w:val="130"/>
        </w:rPr>
        <w:t>laboral</w:t>
      </w:r>
    </w:p>
    <w:p>
      <w:pPr>
        <w:pStyle w:val="BodyText"/>
        <w:spacing w:before="8"/>
        <w:rPr>
          <w:sz w:val="21"/>
        </w:rPr>
      </w:pPr>
    </w:p>
    <w:p>
      <w:pPr>
        <w:pStyle w:val="BodyText"/>
        <w:spacing w:line="261" w:lineRule="auto"/>
        <w:ind w:left="100" w:right="113"/>
        <w:jc w:val="both"/>
      </w:pPr>
      <w:r>
        <w:rPr>
          <w:color w:val="231F20"/>
          <w:w w:val="105"/>
        </w:rPr>
        <w:t>El patrón de inserción de los inmigrantes latinoamericanos en la estratificación socio-ocupacional, nos  permite  entender  cómo  ellos  se ven afectados por la crisis económica actual. Al respecto, nuestra tesis es que en la medida que los inmigrantes latinoamericanos se vuelven cada vez más importantes en los puestos y trabajos de la reproducción social, su afectación por la crisis económica no es ya tanto en la cantidad de empleos perdidos, como en la calidad de los empleos  que </w:t>
      </w:r>
      <w:r>
        <w:rPr>
          <w:color w:val="231F20"/>
          <w:spacing w:val="45"/>
          <w:w w:val="105"/>
        </w:rPr>
        <w:t> </w:t>
      </w:r>
      <w:r>
        <w:rPr>
          <w:color w:val="231F20"/>
          <w:w w:val="105"/>
        </w:rPr>
        <w:t>mantienen.</w:t>
      </w:r>
    </w:p>
    <w:p>
      <w:pPr>
        <w:spacing w:after="0" w:line="261" w:lineRule="auto"/>
        <w:jc w:val="both"/>
        <w:sectPr>
          <w:pgSz w:w="7640" w:h="11900"/>
          <w:pgMar w:header="672" w:footer="0" w:top="860" w:bottom="280" w:left="660" w:right="760"/>
        </w:sectPr>
      </w:pPr>
    </w:p>
    <w:p>
      <w:pPr>
        <w:pStyle w:val="BodyText"/>
        <w:spacing w:before="9"/>
        <w:rPr>
          <w:sz w:val="8"/>
        </w:rPr>
      </w:pPr>
    </w:p>
    <w:p>
      <w:pPr>
        <w:spacing w:line="290" w:lineRule="auto" w:before="70"/>
        <w:ind w:left="100" w:right="719" w:firstLine="0"/>
        <w:jc w:val="left"/>
        <w:rPr>
          <w:sz w:val="18"/>
        </w:rPr>
      </w:pPr>
      <w:r>
        <w:rPr>
          <w:color w:val="231F20"/>
          <w:w w:val="125"/>
          <w:sz w:val="18"/>
        </w:rPr>
        <w:t>gráfica</w:t>
      </w:r>
      <w:r>
        <w:rPr>
          <w:color w:val="231F20"/>
          <w:spacing w:val="-17"/>
          <w:w w:val="125"/>
          <w:sz w:val="18"/>
        </w:rPr>
        <w:t> </w:t>
      </w:r>
      <w:r>
        <w:rPr>
          <w:color w:val="231F20"/>
          <w:w w:val="125"/>
          <w:sz w:val="18"/>
        </w:rPr>
        <w:t>5.</w:t>
      </w:r>
      <w:r>
        <w:rPr>
          <w:color w:val="231F20"/>
          <w:spacing w:val="-17"/>
          <w:w w:val="125"/>
          <w:sz w:val="18"/>
        </w:rPr>
        <w:t> </w:t>
      </w:r>
      <w:r>
        <w:rPr>
          <w:color w:val="231F20"/>
          <w:w w:val="125"/>
          <w:sz w:val="18"/>
        </w:rPr>
        <w:t>índice</w:t>
      </w:r>
      <w:r>
        <w:rPr>
          <w:color w:val="231F20"/>
          <w:spacing w:val="-17"/>
          <w:w w:val="125"/>
          <w:sz w:val="18"/>
        </w:rPr>
        <w:t> </w:t>
      </w:r>
      <w:r>
        <w:rPr>
          <w:color w:val="231F20"/>
          <w:w w:val="125"/>
          <w:sz w:val="18"/>
        </w:rPr>
        <w:t>de</w:t>
      </w:r>
      <w:r>
        <w:rPr>
          <w:color w:val="231F20"/>
          <w:spacing w:val="-17"/>
          <w:w w:val="125"/>
          <w:sz w:val="18"/>
        </w:rPr>
        <w:t> </w:t>
      </w:r>
      <w:r>
        <w:rPr>
          <w:color w:val="231F20"/>
          <w:w w:val="125"/>
          <w:sz w:val="18"/>
        </w:rPr>
        <w:t>ocupación</w:t>
      </w:r>
      <w:r>
        <w:rPr>
          <w:color w:val="231F20"/>
          <w:spacing w:val="-17"/>
          <w:w w:val="125"/>
          <w:sz w:val="18"/>
        </w:rPr>
        <w:t> </w:t>
      </w:r>
      <w:r>
        <w:rPr>
          <w:color w:val="231F20"/>
          <w:w w:val="125"/>
          <w:sz w:val="18"/>
        </w:rPr>
        <w:t>y</w:t>
      </w:r>
      <w:r>
        <w:rPr>
          <w:color w:val="231F20"/>
          <w:spacing w:val="-17"/>
          <w:w w:val="125"/>
          <w:sz w:val="18"/>
        </w:rPr>
        <w:t> </w:t>
      </w:r>
      <w:r>
        <w:rPr>
          <w:color w:val="231F20"/>
          <w:w w:val="125"/>
          <w:sz w:val="18"/>
        </w:rPr>
        <w:t>tasa</w:t>
      </w:r>
      <w:r>
        <w:rPr>
          <w:color w:val="231F20"/>
          <w:spacing w:val="-17"/>
          <w:w w:val="125"/>
          <w:sz w:val="18"/>
        </w:rPr>
        <w:t> </w:t>
      </w:r>
      <w:r>
        <w:rPr>
          <w:color w:val="231F20"/>
          <w:w w:val="125"/>
          <w:sz w:val="18"/>
        </w:rPr>
        <w:t>de</w:t>
      </w:r>
      <w:r>
        <w:rPr>
          <w:color w:val="231F20"/>
          <w:spacing w:val="-17"/>
          <w:w w:val="125"/>
          <w:sz w:val="18"/>
        </w:rPr>
        <w:t> </w:t>
      </w:r>
      <w:r>
        <w:rPr>
          <w:color w:val="231F20"/>
          <w:w w:val="125"/>
          <w:sz w:val="18"/>
        </w:rPr>
        <w:t>desempleo,</w:t>
      </w:r>
      <w:r>
        <w:rPr>
          <w:color w:val="231F20"/>
          <w:spacing w:val="-17"/>
          <w:w w:val="125"/>
          <w:sz w:val="18"/>
        </w:rPr>
        <w:t> </w:t>
      </w:r>
      <w:r>
        <w:rPr>
          <w:color w:val="231F20"/>
          <w:w w:val="125"/>
          <w:sz w:val="18"/>
        </w:rPr>
        <w:t>según</w:t>
      </w:r>
      <w:r>
        <w:rPr>
          <w:color w:val="231F20"/>
          <w:spacing w:val="-17"/>
          <w:w w:val="125"/>
          <w:sz w:val="18"/>
        </w:rPr>
        <w:t> </w:t>
      </w:r>
      <w:r>
        <w:rPr>
          <w:color w:val="231F20"/>
          <w:w w:val="125"/>
          <w:sz w:val="18"/>
        </w:rPr>
        <w:t>origen étnico-migratorio de la fuerza de </w:t>
      </w:r>
      <w:r>
        <w:rPr>
          <w:color w:val="231F20"/>
          <w:spacing w:val="22"/>
          <w:w w:val="125"/>
          <w:sz w:val="18"/>
        </w:rPr>
        <w:t> </w:t>
      </w:r>
      <w:r>
        <w:rPr>
          <w:color w:val="231F20"/>
          <w:w w:val="125"/>
          <w:sz w:val="18"/>
        </w:rPr>
        <w:t>trabajo,</w:t>
      </w:r>
    </w:p>
    <w:p>
      <w:pPr>
        <w:spacing w:before="1"/>
        <w:ind w:left="100" w:right="719" w:firstLine="0"/>
        <w:jc w:val="left"/>
        <w:rPr>
          <w:sz w:val="18"/>
        </w:rPr>
      </w:pPr>
      <w:r>
        <w:rPr>
          <w:color w:val="231F20"/>
          <w:w w:val="120"/>
          <w:sz w:val="18"/>
        </w:rPr>
        <w:t>estados unidos, 2008-2010</w:t>
      </w:r>
    </w:p>
    <w:p>
      <w:pPr>
        <w:spacing w:before="132"/>
        <w:ind w:left="2077" w:right="719" w:firstLine="0"/>
        <w:jc w:val="left"/>
        <w:rPr>
          <w:sz w:val="16"/>
        </w:rPr>
      </w:pPr>
      <w:r>
        <w:rPr>
          <w:color w:val="231F20"/>
          <w:w w:val="110"/>
          <w:sz w:val="16"/>
        </w:rPr>
        <w:t>índice de ocupación (2007 = 100)</w:t>
      </w:r>
    </w:p>
    <w:p>
      <w:pPr>
        <w:spacing w:before="14"/>
        <w:ind w:left="502" w:right="719" w:firstLine="0"/>
        <w:jc w:val="left"/>
        <w:rPr>
          <w:sz w:val="16"/>
        </w:rPr>
      </w:pPr>
      <w:r>
        <w:rPr/>
        <w:pict>
          <v:group style="position:absolute;margin-left:88.087997pt;margin-top:6.839851pt;width:234.7pt;height:126.5pt;mso-position-horizontal-relative:page;mso-position-vertical-relative:paragraph;z-index:8416" coordorigin="1762,137" coordsize="4694,2530">
            <v:line style="position:absolute" from="1767,142" to="2064,142" stroked="true" strokeweight=".5pt" strokecolor="#939598"/>
            <v:line style="position:absolute" from="1772,497" to="1772,147" stroked="true" strokeweight=".5pt" strokecolor="#939598"/>
            <v:line style="position:absolute" from="2064,142" to="2356,142" stroked="true" strokeweight=".5pt" strokecolor="#939598"/>
            <v:line style="position:absolute" from="2064,497" to="2064,147" stroked="true" strokeweight=".5pt" strokecolor="#939598"/>
            <v:line style="position:absolute" from="2356,142" to="2648,142" stroked="true" strokeweight=".5pt" strokecolor="#939598"/>
            <v:line style="position:absolute" from="2356,497" to="2356,147" stroked="true" strokeweight=".5pt" strokecolor="#939598"/>
            <v:line style="position:absolute" from="2648,142" to="2940,142" stroked="true" strokeweight=".5pt" strokecolor="#939598"/>
            <v:line style="position:absolute" from="2648,497" to="2648,147" stroked="true" strokeweight=".5pt" strokecolor="#939598"/>
            <v:line style="position:absolute" from="2940,142" to="3232,142" stroked="true" strokeweight=".5pt" strokecolor="#939598"/>
            <v:line style="position:absolute" from="2940,497" to="2940,147" stroked="true" strokeweight=".5pt" strokecolor="#939598"/>
            <v:line style="position:absolute" from="3232,142" to="3525,142" stroked="true" strokeweight=".5pt" strokecolor="#939598"/>
            <v:line style="position:absolute" from="3232,497" to="3232,147" stroked="true" strokeweight=".5pt" strokecolor="#939598"/>
            <v:line style="position:absolute" from="3525,142" to="3817,142" stroked="true" strokeweight=".5pt" strokecolor="#939598"/>
            <v:line style="position:absolute" from="3525,497" to="3525,147" stroked="true" strokeweight=".5pt" strokecolor="#939598"/>
            <v:line style="position:absolute" from="3817,142" to="4109,142" stroked="true" strokeweight=".5pt" strokecolor="#939598"/>
            <v:line style="position:absolute" from="3817,497" to="3817,147" stroked="true" strokeweight=".5pt" strokecolor="#939598"/>
            <v:line style="position:absolute" from="4109,142" to="4401,142" stroked="true" strokeweight=".5pt" strokecolor="#939598"/>
            <v:line style="position:absolute" from="4109,497" to="4109,147" stroked="true" strokeweight=".5pt" strokecolor="#939598"/>
            <v:line style="position:absolute" from="4401,142" to="4693,142" stroked="true" strokeweight=".5pt" strokecolor="#939598"/>
            <v:line style="position:absolute" from="4401,497" to="4401,147" stroked="true" strokeweight=".5pt" strokecolor="#939598"/>
            <v:line style="position:absolute" from="4693,142" to="4985,142" stroked="true" strokeweight=".5pt" strokecolor="#939598"/>
            <v:line style="position:absolute" from="4693,497" to="4693,147" stroked="true" strokeweight=".5pt" strokecolor="#939598"/>
            <v:line style="position:absolute" from="4985,142" to="5277,142" stroked="true" strokeweight=".5pt" strokecolor="#939598"/>
            <v:line style="position:absolute" from="4985,497" to="4985,147" stroked="true" strokeweight=".5pt" strokecolor="#939598"/>
            <v:line style="position:absolute" from="5277,142" to="5569,142" stroked="true" strokeweight=".5pt" strokecolor="#939598"/>
            <v:line style="position:absolute" from="5277,497" to="5277,147" stroked="true" strokeweight=".5pt" strokecolor="#939598"/>
            <v:line style="position:absolute" from="5569,142" to="5862,142" stroked="true" strokeweight=".5pt" strokecolor="#939598"/>
            <v:line style="position:absolute" from="5569,497" to="5569,147" stroked="true" strokeweight=".5pt" strokecolor="#939598"/>
            <v:line style="position:absolute" from="5862,142" to="6154,142" stroked="true" strokeweight=".5pt" strokecolor="#939598"/>
            <v:line style="position:absolute" from="5862,497" to="5862,147" stroked="true" strokeweight=".5pt" strokecolor="#939598"/>
            <v:line style="position:absolute" from="6154,142" to="6451,142" stroked="true" strokeweight=".5pt" strokecolor="#939598"/>
            <v:line style="position:absolute" from="6154,497" to="6154,147" stroked="true" strokeweight=".5pt" strokecolor="#939598"/>
            <v:line style="position:absolute" from="6446,497" to="6446,147" stroked="true" strokeweight=".5pt" strokecolor="#939598"/>
            <v:line style="position:absolute" from="1767,502" to="2064,502" stroked="true" strokeweight=".5pt" strokecolor="#939598"/>
            <v:line style="position:absolute" from="1772,857" to="1772,507" stroked="true" strokeweight=".5pt" strokecolor="#939598"/>
            <v:line style="position:absolute" from="2064,502" to="2356,502" stroked="true" strokeweight=".5pt" strokecolor="#939598"/>
            <v:line style="position:absolute" from="2064,857" to="2064,507" stroked="true" strokeweight=".5pt" strokecolor="#939598"/>
            <v:line style="position:absolute" from="2356,502" to="2648,502" stroked="true" strokeweight=".5pt" strokecolor="#939598"/>
            <v:line style="position:absolute" from="2356,857" to="2356,507" stroked="true" strokeweight=".5pt" strokecolor="#939598"/>
            <v:line style="position:absolute" from="2648,502" to="2940,502" stroked="true" strokeweight=".5pt" strokecolor="#939598"/>
            <v:line style="position:absolute" from="2648,857" to="2648,507" stroked="true" strokeweight=".5pt" strokecolor="#939598"/>
            <v:line style="position:absolute" from="2940,502" to="3232,502" stroked="true" strokeweight=".5pt" strokecolor="#939598"/>
            <v:line style="position:absolute" from="2940,857" to="2940,507" stroked="true" strokeweight=".5pt" strokecolor="#939598"/>
            <v:line style="position:absolute" from="3232,502" to="3525,502" stroked="true" strokeweight=".5pt" strokecolor="#939598"/>
            <v:line style="position:absolute" from="3232,857" to="3232,507" stroked="true" strokeweight=".5pt" strokecolor="#939598"/>
            <v:line style="position:absolute" from="3525,502" to="3817,502" stroked="true" strokeweight=".5pt" strokecolor="#939598"/>
            <v:line style="position:absolute" from="3525,857" to="3525,507" stroked="true" strokeweight=".5pt" strokecolor="#939598"/>
            <v:line style="position:absolute" from="3817,502" to="4109,502" stroked="true" strokeweight=".5pt" strokecolor="#939598"/>
            <v:line style="position:absolute" from="3817,857" to="3817,507" stroked="true" strokeweight=".5pt" strokecolor="#939598"/>
            <v:line style="position:absolute" from="4109,502" to="4401,502" stroked="true" strokeweight=".5pt" strokecolor="#939598"/>
            <v:line style="position:absolute" from="4109,857" to="4109,507" stroked="true" strokeweight=".5pt" strokecolor="#939598"/>
            <v:line style="position:absolute" from="4401,502" to="4693,502" stroked="true" strokeweight=".5pt" strokecolor="#939598"/>
            <v:line style="position:absolute" from="4401,857" to="4401,507" stroked="true" strokeweight=".5pt" strokecolor="#939598"/>
            <v:line style="position:absolute" from="4693,502" to="4985,502" stroked="true" strokeweight=".5pt" strokecolor="#939598"/>
            <v:line style="position:absolute" from="4693,857" to="4693,507" stroked="true" strokeweight=".5pt" strokecolor="#939598"/>
            <v:line style="position:absolute" from="4985,502" to="5277,502" stroked="true" strokeweight=".5pt" strokecolor="#939598"/>
            <v:line style="position:absolute" from="4985,857" to="4985,507" stroked="true" strokeweight=".5pt" strokecolor="#939598"/>
            <v:line style="position:absolute" from="5277,502" to="5569,502" stroked="true" strokeweight=".5pt" strokecolor="#939598"/>
            <v:line style="position:absolute" from="5277,857" to="5277,507" stroked="true" strokeweight=".5pt" strokecolor="#939598"/>
            <v:line style="position:absolute" from="5569,502" to="5862,502" stroked="true" strokeweight=".5pt" strokecolor="#939598"/>
            <v:line style="position:absolute" from="5569,857" to="5569,507" stroked="true" strokeweight=".5pt" strokecolor="#939598"/>
            <v:line style="position:absolute" from="5862,502" to="6154,502" stroked="true" strokeweight=".5pt" strokecolor="#939598"/>
            <v:line style="position:absolute" from="5862,857" to="5862,507" stroked="true" strokeweight=".5pt" strokecolor="#939598"/>
            <v:line style="position:absolute" from="6154,502" to="6451,502" stroked="true" strokeweight=".5pt" strokecolor="#939598"/>
            <v:line style="position:absolute" from="6154,857" to="6154,507" stroked="true" strokeweight=".5pt" strokecolor="#939598"/>
            <v:line style="position:absolute" from="6446,857" to="6446,507" stroked="true" strokeweight=".5pt" strokecolor="#939598"/>
            <v:line style="position:absolute" from="1767,862" to="2064,862" stroked="true" strokeweight=".5pt" strokecolor="#939598"/>
            <v:line style="position:absolute" from="1772,1217" to="1772,867" stroked="true" strokeweight=".5pt" strokecolor="#939598"/>
            <v:line style="position:absolute" from="2064,862" to="2356,862" stroked="true" strokeweight=".5pt" strokecolor="#939598"/>
            <v:line style="position:absolute" from="2064,1217" to="2064,867" stroked="true" strokeweight=".5pt" strokecolor="#939598"/>
            <v:line style="position:absolute" from="2356,862" to="2648,862" stroked="true" strokeweight=".5pt" strokecolor="#939598"/>
            <v:line style="position:absolute" from="2356,1217" to="2356,867" stroked="true" strokeweight=".5pt" strokecolor="#939598"/>
            <v:line style="position:absolute" from="2648,862" to="2940,862" stroked="true" strokeweight=".5pt" strokecolor="#939598"/>
            <v:line style="position:absolute" from="2648,1217" to="2648,867" stroked="true" strokeweight=".5pt" strokecolor="#939598"/>
            <v:line style="position:absolute" from="2940,862" to="3232,862" stroked="true" strokeweight=".5pt" strokecolor="#939598"/>
            <v:line style="position:absolute" from="2940,1217" to="2940,867" stroked="true" strokeweight=".5pt" strokecolor="#939598"/>
            <v:line style="position:absolute" from="3232,862" to="3525,862" stroked="true" strokeweight=".5pt" strokecolor="#939598"/>
            <v:line style="position:absolute" from="3232,1217" to="3232,867" stroked="true" strokeweight=".5pt" strokecolor="#939598"/>
            <v:line style="position:absolute" from="3525,862" to="3817,862" stroked="true" strokeweight=".5pt" strokecolor="#939598"/>
            <v:line style="position:absolute" from="3525,1217" to="3525,867" stroked="true" strokeweight=".5pt" strokecolor="#939598"/>
            <v:line style="position:absolute" from="3817,862" to="4109,862" stroked="true" strokeweight=".5pt" strokecolor="#939598"/>
            <v:line style="position:absolute" from="3817,1217" to="3817,867" stroked="true" strokeweight=".5pt" strokecolor="#939598"/>
            <v:line style="position:absolute" from="4109,862" to="4401,862" stroked="true" strokeweight=".5pt" strokecolor="#939598"/>
            <v:line style="position:absolute" from="4109,1217" to="4109,867" stroked="true" strokeweight=".5pt" strokecolor="#939598"/>
            <v:line style="position:absolute" from="4401,862" to="4693,862" stroked="true" strokeweight=".5pt" strokecolor="#939598"/>
            <v:line style="position:absolute" from="4401,1217" to="4401,867" stroked="true" strokeweight=".5pt" strokecolor="#939598"/>
            <v:line style="position:absolute" from="4693,862" to="4985,862" stroked="true" strokeweight=".5pt" strokecolor="#939598"/>
            <v:line style="position:absolute" from="4693,1217" to="4693,867" stroked="true" strokeweight=".5pt" strokecolor="#939598"/>
            <v:line style="position:absolute" from="4985,862" to="5277,862" stroked="true" strokeweight=".5pt" strokecolor="#939598"/>
            <v:line style="position:absolute" from="4985,1217" to="4985,867" stroked="true" strokeweight=".5pt" strokecolor="#939598"/>
            <v:line style="position:absolute" from="5277,862" to="5569,862" stroked="true" strokeweight=".5pt" strokecolor="#939598"/>
            <v:line style="position:absolute" from="5277,1217" to="5277,867" stroked="true" strokeweight=".5pt" strokecolor="#939598"/>
            <v:line style="position:absolute" from="5569,862" to="5862,862" stroked="true" strokeweight=".5pt" strokecolor="#939598"/>
            <v:line style="position:absolute" from="5569,1217" to="5569,867" stroked="true" strokeweight=".5pt" strokecolor="#939598"/>
            <v:shape style="position:absolute;left:0;top:9834;width:293;height:2" coordorigin="0,9834" coordsize="293,0" path="m6020,862l6154,862m5862,862l5937,862e" filled="false" stroked="true" strokeweight=".5pt" strokecolor="#939598">
              <v:path arrowok="t"/>
            </v:shape>
            <v:line style="position:absolute" from="5862,1217" to="5862,867" stroked="true" strokeweight=".5pt" strokecolor="#939598"/>
            <v:line style="position:absolute" from="6154,862" to="6451,862" stroked="true" strokeweight=".5pt" strokecolor="#939598"/>
            <v:line style="position:absolute" from="6154,1217" to="6154,867" stroked="true" strokeweight=".5pt" strokecolor="#939598"/>
            <v:line style="position:absolute" from="6446,1217" to="6446,867" stroked="true" strokeweight=".5pt" strokecolor="#939598"/>
            <v:line style="position:absolute" from="1767,1222" to="2064,1222" stroked="true" strokeweight=".5pt" strokecolor="#939598"/>
            <v:line style="position:absolute" from="1772,1577" to="1772,1227" stroked="true" strokeweight=".5pt" strokecolor="#939598"/>
            <v:line style="position:absolute" from="2064,1222" to="2356,1222" stroked="true" strokeweight=".5pt" strokecolor="#939598"/>
            <v:line style="position:absolute" from="2064,1577" to="2064,1227" stroked="true" strokeweight=".5pt" strokecolor="#939598"/>
            <v:line style="position:absolute" from="2356,1222" to="2648,1222" stroked="true" strokeweight=".5pt" strokecolor="#939598"/>
            <v:line style="position:absolute" from="2356,1577" to="2356,1227" stroked="true" strokeweight=".5pt" strokecolor="#939598"/>
            <v:line style="position:absolute" from="2648,1222" to="2940,1222" stroked="true" strokeweight=".5pt" strokecolor="#939598"/>
            <v:line style="position:absolute" from="2648,1577" to="2648,1227" stroked="true" strokeweight=".5pt" strokecolor="#939598"/>
            <v:line style="position:absolute" from="2940,1222" to="3232,1222" stroked="true" strokeweight=".5pt" strokecolor="#939598"/>
            <v:line style="position:absolute" from="2940,1577" to="2940,1227" stroked="true" strokeweight=".5pt" strokecolor="#939598"/>
            <v:line style="position:absolute" from="3232,1222" to="3525,1222" stroked="true" strokeweight=".5pt" strokecolor="#939598"/>
            <v:line style="position:absolute" from="3232,1577" to="3232,1227" stroked="true" strokeweight=".5pt" strokecolor="#939598"/>
            <v:line style="position:absolute" from="3525,1222" to="3817,1222" stroked="true" strokeweight=".5pt" strokecolor="#939598"/>
            <v:line style="position:absolute" from="3525,1577" to="3525,1227" stroked="true" strokeweight=".5pt" strokecolor="#939598"/>
            <v:line style="position:absolute" from="3817,1222" to="4109,1222" stroked="true" strokeweight=".5pt" strokecolor="#939598"/>
            <v:line style="position:absolute" from="3817,1577" to="3817,1227" stroked="true" strokeweight=".5pt" strokecolor="#939598"/>
            <v:line style="position:absolute" from="4109,1222" to="4401,1222" stroked="true" strokeweight=".5pt" strokecolor="#939598"/>
            <v:line style="position:absolute" from="4109,1577" to="4109,1227" stroked="true" strokeweight=".5pt" strokecolor="#939598"/>
            <v:line style="position:absolute" from="4401,1222" to="4693,1222" stroked="true" strokeweight=".5pt" strokecolor="#939598"/>
            <v:line style="position:absolute" from="4401,1577" to="4401,1227" stroked="true" strokeweight=".5pt" strokecolor="#939598"/>
            <v:line style="position:absolute" from="4693,1222" to="4985,1222" stroked="true" strokeweight=".5pt" strokecolor="#939598"/>
            <v:line style="position:absolute" from="4693,1577" to="4693,1227" stroked="true" strokeweight=".5pt" strokecolor="#939598"/>
            <v:line style="position:absolute" from="4985,1222" to="5277,1222" stroked="true" strokeweight=".5pt" strokecolor="#939598"/>
            <v:line style="position:absolute" from="4985,1577" to="4985,1227" stroked="true" strokeweight=".5pt" strokecolor="#939598"/>
            <v:line style="position:absolute" from="5277,1222" to="5569,1222" stroked="true" strokeweight=".5pt" strokecolor="#939598"/>
            <v:line style="position:absolute" from="5277,1577" to="5277,1227" stroked="true" strokeweight=".5pt" strokecolor="#939598"/>
            <v:line style="position:absolute" from="5569,1222" to="5862,1222" stroked="true" strokeweight=".5pt" strokecolor="#939598"/>
            <v:line style="position:absolute" from="5569,1577" to="5569,1227" stroked="true" strokeweight=".5pt" strokecolor="#939598"/>
            <v:line style="position:absolute" from="5862,1222" to="6154,1222" stroked="true" strokeweight=".5pt" strokecolor="#939598"/>
            <v:line style="position:absolute" from="5862,1577" to="5862,1227" stroked="true" strokeweight=".5pt" strokecolor="#939598"/>
            <v:line style="position:absolute" from="6154,1222" to="6451,1222" stroked="true" strokeweight=".5pt" strokecolor="#939598"/>
            <v:line style="position:absolute" from="6154,1577" to="6154,1227" stroked="true" strokeweight=".5pt" strokecolor="#939598"/>
            <v:line style="position:absolute" from="6446,1577" to="6446,1227" stroked="true" strokeweight=".5pt" strokecolor="#939598"/>
            <v:line style="position:absolute" from="1767,1582" to="2064,1582" stroked="true" strokeweight=".5pt" strokecolor="#939598"/>
            <v:line style="position:absolute" from="1772,1937" to="1772,1587" stroked="true" strokeweight=".5pt" strokecolor="#939598"/>
            <v:line style="position:absolute" from="2064,1582" to="2356,1582" stroked="true" strokeweight=".5pt" strokecolor="#939598"/>
            <v:line style="position:absolute" from="2064,1937" to="2064,1587" stroked="true" strokeweight=".5pt" strokecolor="#939598"/>
            <v:line style="position:absolute" from="2356,1582" to="2648,1582" stroked="true" strokeweight=".5pt" strokecolor="#939598"/>
            <v:line style="position:absolute" from="2356,1937" to="2356,1587" stroked="true" strokeweight=".5pt" strokecolor="#939598"/>
            <v:line style="position:absolute" from="2648,1582" to="2940,1582" stroked="true" strokeweight=".5pt" strokecolor="#939598"/>
            <v:line style="position:absolute" from="2648,1937" to="2648,1587" stroked="true" strokeweight=".5pt" strokecolor="#939598"/>
            <v:line style="position:absolute" from="2940,1582" to="3232,1582" stroked="true" strokeweight=".5pt" strokecolor="#939598"/>
            <v:line style="position:absolute" from="2940,1937" to="2940,1587" stroked="true" strokeweight=".5pt" strokecolor="#939598"/>
            <v:line style="position:absolute" from="3232,1582" to="3525,1582" stroked="true" strokeweight=".5pt" strokecolor="#939598"/>
            <v:line style="position:absolute" from="3232,1937" to="3232,1587" stroked="true" strokeweight=".5pt" strokecolor="#939598"/>
            <v:line style="position:absolute" from="3525,1582" to="3817,1582" stroked="true" strokeweight=".5pt" strokecolor="#939598"/>
            <v:line style="position:absolute" from="3525,1937" to="3525,1587" stroked="true" strokeweight=".5pt" strokecolor="#939598"/>
            <v:line style="position:absolute" from="3817,1582" to="4109,1582" stroked="true" strokeweight=".5pt" strokecolor="#939598"/>
            <v:line style="position:absolute" from="3817,1937" to="3817,1587" stroked="true" strokeweight=".5pt" strokecolor="#939598"/>
            <v:line style="position:absolute" from="4109,1582" to="4401,1582" stroked="true" strokeweight=".5pt" strokecolor="#939598"/>
            <v:line style="position:absolute" from="4109,1937" to="4109,1587" stroked="true" strokeweight=".5pt" strokecolor="#939598"/>
            <v:line style="position:absolute" from="4401,1582" to="4693,1582" stroked="true" strokeweight=".5pt" strokecolor="#939598"/>
            <v:line style="position:absolute" from="4401,1937" to="4401,1587" stroked="true" strokeweight=".5pt" strokecolor="#939598"/>
            <v:line style="position:absolute" from="4693,1582" to="4985,1582" stroked="true" strokeweight=".5pt" strokecolor="#939598"/>
            <v:line style="position:absolute" from="4693,1937" to="4693,1587" stroked="true" strokeweight=".5pt" strokecolor="#939598"/>
            <v:line style="position:absolute" from="4985,1582" to="5277,1582" stroked="true" strokeweight=".5pt" strokecolor="#939598"/>
            <v:line style="position:absolute" from="4985,1937" to="4985,1587" stroked="true" strokeweight=".5pt" strokecolor="#939598"/>
            <v:line style="position:absolute" from="5277,1582" to="5569,1582" stroked="true" strokeweight=".5pt" strokecolor="#939598"/>
            <v:line style="position:absolute" from="5277,1937" to="5277,1587" stroked="true" strokeweight=".5pt" strokecolor="#939598"/>
            <v:line style="position:absolute" from="5569,1582" to="5862,1582" stroked="true" strokeweight=".5pt" strokecolor="#939598"/>
            <v:line style="position:absolute" from="5569,1937" to="5569,1587" stroked="true" strokeweight=".5pt" strokecolor="#939598"/>
            <v:line style="position:absolute" from="5862,1582" to="6154,1582" stroked="true" strokeweight=".5pt" strokecolor="#939598"/>
            <v:line style="position:absolute" from="5862,1937" to="5862,1587" stroked="true" strokeweight=".5pt" strokecolor="#939598"/>
            <v:line style="position:absolute" from="6154,1582" to="6451,1582" stroked="true" strokeweight=".5pt" strokecolor="#939598"/>
            <v:line style="position:absolute" from="6154,1937" to="6154,1587" stroked="true" strokeweight=".5pt" strokecolor="#939598"/>
            <v:line style="position:absolute" from="6446,1937" to="6446,1587" stroked="true" strokeweight=".5pt" strokecolor="#939598"/>
            <v:line style="position:absolute" from="1767,1942" to="2064,1942" stroked="true" strokeweight=".5pt" strokecolor="#939598"/>
            <v:line style="position:absolute" from="1772,2297" to="1772,1947" stroked="true" strokeweight=".5pt" strokecolor="#939598"/>
            <v:line style="position:absolute" from="2064,1942" to="2356,1942" stroked="true" strokeweight=".5pt" strokecolor="#939598"/>
            <v:line style="position:absolute" from="2064,2297" to="2064,1947" stroked="true" strokeweight=".5pt" strokecolor="#939598"/>
            <v:line style="position:absolute" from="2356,1942" to="2648,1942" stroked="true" strokeweight=".5pt" strokecolor="#939598"/>
            <v:line style="position:absolute" from="2356,2297" to="2356,1947" stroked="true" strokeweight=".5pt" strokecolor="#939598"/>
            <v:line style="position:absolute" from="2648,1942" to="2940,1942" stroked="true" strokeweight=".5pt" strokecolor="#939598"/>
            <v:line style="position:absolute" from="2648,2297" to="2648,1947" stroked="true" strokeweight=".5pt" strokecolor="#939598"/>
            <v:line style="position:absolute" from="2940,1942" to="3232,1942" stroked="true" strokeweight=".5pt" strokecolor="#939598"/>
            <v:line style="position:absolute" from="2940,2297" to="2940,1947" stroked="true" strokeweight=".5pt" strokecolor="#939598"/>
            <v:line style="position:absolute" from="3232,1942" to="3525,1942" stroked="true" strokeweight=".5pt" strokecolor="#939598"/>
            <v:line style="position:absolute" from="3232,2297" to="3232,1947" stroked="true" strokeweight=".5pt" strokecolor="#939598"/>
            <v:line style="position:absolute" from="3525,1942" to="3817,1942" stroked="true" strokeweight=".5pt" strokecolor="#939598"/>
            <v:line style="position:absolute" from="3525,2297" to="3525,1947" stroked="true" strokeweight=".5pt" strokecolor="#939598"/>
            <v:line style="position:absolute" from="3817,1942" to="4109,1942" stroked="true" strokeweight=".5pt" strokecolor="#939598"/>
            <v:line style="position:absolute" from="3817,2297" to="3817,1947" stroked="true" strokeweight=".5pt" strokecolor="#939598"/>
            <v:line style="position:absolute" from="4109,1942" to="4401,1942" stroked="true" strokeweight=".5pt" strokecolor="#939598"/>
            <v:line style="position:absolute" from="4109,2297" to="4109,1947" stroked="true" strokeweight=".5pt" strokecolor="#939598"/>
            <v:line style="position:absolute" from="4401,1942" to="4693,1942" stroked="true" strokeweight=".5pt" strokecolor="#939598"/>
            <v:line style="position:absolute" from="4401,2297" to="4401,1947" stroked="true" strokeweight=".5pt" strokecolor="#939598"/>
            <v:line style="position:absolute" from="4693,1942" to="4985,1942" stroked="true" strokeweight=".5pt" strokecolor="#939598"/>
            <v:line style="position:absolute" from="4693,2297" to="4693,1947" stroked="true" strokeweight=".5pt" strokecolor="#939598"/>
            <v:line style="position:absolute" from="4985,1942" to="5277,1942" stroked="true" strokeweight=".5pt" strokecolor="#939598"/>
            <v:line style="position:absolute" from="4985,2297" to="4985,1947" stroked="true" strokeweight=".5pt" strokecolor="#939598"/>
            <v:line style="position:absolute" from="5277,1942" to="5569,1942" stroked="true" strokeweight=".5pt" strokecolor="#939598"/>
            <v:line style="position:absolute" from="5277,2297" to="5277,1947" stroked="true" strokeweight=".5pt" strokecolor="#939598"/>
            <v:line style="position:absolute" from="5569,1942" to="5862,1942" stroked="true" strokeweight=".5pt" strokecolor="#939598"/>
            <v:line style="position:absolute" from="5569,2297" to="5569,1947" stroked="true" strokeweight=".5pt" strokecolor="#939598"/>
            <v:line style="position:absolute" from="5862,1942" to="6154,1942" stroked="true" strokeweight=".5pt" strokecolor="#939598"/>
            <v:line style="position:absolute" from="5862,2297" to="5862,1947" stroked="true" strokeweight=".5pt" strokecolor="#939598"/>
            <v:line style="position:absolute" from="6154,1942" to="6451,1942" stroked="true" strokeweight=".5pt" strokecolor="#939598"/>
            <v:line style="position:absolute" from="6154,2297" to="6154,1947" stroked="true" strokeweight=".5pt" strokecolor="#939598"/>
            <v:line style="position:absolute" from="6446,2297" to="6446,1947" stroked="true" strokeweight=".5pt" strokecolor="#939598"/>
            <v:line style="position:absolute" from="1767,2302" to="2064,2302" stroked="true" strokeweight=".5pt" strokecolor="#939598"/>
            <v:line style="position:absolute" from="1772,2657" to="1772,2307" stroked="true" strokeweight=".5pt" strokecolor="#939598"/>
            <v:line style="position:absolute" from="2064,2302" to="2356,2302" stroked="true" strokeweight=".5pt" strokecolor="#939598"/>
            <v:line style="position:absolute" from="2064,2657" to="2064,2307" stroked="true" strokeweight=".5pt" strokecolor="#939598"/>
            <v:line style="position:absolute" from="2356,2302" to="2648,2302" stroked="true" strokeweight=".5pt" strokecolor="#939598"/>
            <v:line style="position:absolute" from="2356,2657" to="2356,2307" stroked="true" strokeweight=".5pt" strokecolor="#939598"/>
            <v:line style="position:absolute" from="2648,2302" to="2940,2302" stroked="true" strokeweight=".5pt" strokecolor="#939598"/>
            <v:line style="position:absolute" from="2648,2657" to="2648,2307" stroked="true" strokeweight=".5pt" strokecolor="#939598"/>
            <v:line style="position:absolute" from="2940,2302" to="3232,2302" stroked="true" strokeweight=".5pt" strokecolor="#939598"/>
            <v:line style="position:absolute" from="2940,2657" to="2940,2307" stroked="true" strokeweight=".5pt" strokecolor="#939598"/>
            <v:line style="position:absolute" from="3232,2302" to="3525,2302" stroked="true" strokeweight=".5pt" strokecolor="#939598"/>
            <v:line style="position:absolute" from="3232,2657" to="3232,2307" stroked="true" strokeweight=".5pt" strokecolor="#939598"/>
            <v:line style="position:absolute" from="3525,2302" to="3817,2302" stroked="true" strokeweight=".5pt" strokecolor="#939598"/>
            <v:line style="position:absolute" from="3525,2657" to="3525,2307" stroked="true" strokeweight=".5pt" strokecolor="#939598"/>
            <v:line style="position:absolute" from="3817,2302" to="4109,2302" stroked="true" strokeweight=".5pt" strokecolor="#939598"/>
            <v:line style="position:absolute" from="3817,2657" to="3817,2307" stroked="true" strokeweight=".5pt" strokecolor="#939598"/>
            <v:line style="position:absolute" from="4109,2302" to="4401,2302" stroked="true" strokeweight=".5pt" strokecolor="#939598"/>
            <v:line style="position:absolute" from="4109,2657" to="4109,2307" stroked="true" strokeweight=".5pt" strokecolor="#939598"/>
            <v:line style="position:absolute" from="4401,2302" to="4693,2302" stroked="true" strokeweight=".5pt" strokecolor="#939598"/>
            <v:line style="position:absolute" from="4401,2657" to="4401,2307" stroked="true" strokeweight=".5pt" strokecolor="#939598"/>
            <v:line style="position:absolute" from="4693,2302" to="4985,2302" stroked="true" strokeweight=".5pt" strokecolor="#939598"/>
            <v:line style="position:absolute" from="4693,2657" to="4693,2307" stroked="true" strokeweight=".5pt" strokecolor="#939598"/>
            <v:line style="position:absolute" from="4985,2302" to="5277,2302" stroked="true" strokeweight=".5pt" strokecolor="#939598"/>
            <v:line style="position:absolute" from="4985,2657" to="4985,2307" stroked="true" strokeweight=".5pt" strokecolor="#939598"/>
            <v:line style="position:absolute" from="5277,2302" to="5569,2302" stroked="true" strokeweight=".5pt" strokecolor="#939598"/>
            <v:line style="position:absolute" from="5277,2657" to="5277,2307" stroked="true" strokeweight=".5pt" strokecolor="#939598"/>
            <v:line style="position:absolute" from="5569,2302" to="5862,2302" stroked="true" strokeweight=".5pt" strokecolor="#939598"/>
            <v:line style="position:absolute" from="5569,2657" to="5569,2307" stroked="true" strokeweight=".5pt" strokecolor="#939598"/>
            <v:line style="position:absolute" from="5862,2302" to="6154,2302" stroked="true" strokeweight=".5pt" strokecolor="#939598"/>
            <v:line style="position:absolute" from="5862,2657" to="5862,2307" stroked="true" strokeweight=".5pt" strokecolor="#939598"/>
            <v:line style="position:absolute" from="6154,2302" to="6451,2302" stroked="true" strokeweight=".5pt" strokecolor="#939598"/>
            <v:line style="position:absolute" from="6154,2657" to="6154,2307" stroked="true" strokeweight=".5pt" strokecolor="#939598"/>
            <v:line style="position:absolute" from="6446,2657" to="6446,2307" stroked="true" strokeweight=".5pt" strokecolor="#939598"/>
            <v:line style="position:absolute" from="1767,2662" to="2064,2662" stroked="true" strokeweight=".5pt" strokecolor="#939598"/>
            <v:line style="position:absolute" from="2064,2662" to="2356,2662" stroked="true" strokeweight=".5pt" strokecolor="#939598"/>
            <v:line style="position:absolute" from="2356,2662" to="2648,2662" stroked="true" strokeweight=".5pt" strokecolor="#939598"/>
            <v:line style="position:absolute" from="2648,2662" to="2940,2662" stroked="true" strokeweight=".5pt" strokecolor="#939598"/>
            <v:line style="position:absolute" from="2940,2662" to="3232,2662" stroked="true" strokeweight=".5pt" strokecolor="#939598"/>
            <v:line style="position:absolute" from="3232,2662" to="3525,2662" stroked="true" strokeweight=".5pt" strokecolor="#939598"/>
            <v:line style="position:absolute" from="3525,2662" to="3817,2662" stroked="true" strokeweight=".5pt" strokecolor="#939598"/>
            <v:line style="position:absolute" from="3817,2662" to="4109,2662" stroked="true" strokeweight=".5pt" strokecolor="#939598"/>
            <v:line style="position:absolute" from="4109,2662" to="4401,2662" stroked="true" strokeweight=".5pt" strokecolor="#939598"/>
            <v:line style="position:absolute" from="4401,2662" to="4693,2662" stroked="true" strokeweight=".5pt" strokecolor="#939598"/>
            <v:line style="position:absolute" from="4693,2662" to="4985,2662" stroked="true" strokeweight=".5pt" strokecolor="#939598"/>
            <v:line style="position:absolute" from="4985,2662" to="5277,2662" stroked="true" strokeweight=".5pt" strokecolor="#939598"/>
            <v:line style="position:absolute" from="5277,2662" to="5569,2662" stroked="true" strokeweight=".5pt" strokecolor="#939598"/>
            <v:line style="position:absolute" from="5569,2662" to="5862,2662" stroked="true" strokeweight=".5pt" strokecolor="#939598"/>
            <v:line style="position:absolute" from="5862,2662" to="6154,2662" stroked="true" strokeweight=".5pt" strokecolor="#939598"/>
            <v:line style="position:absolute" from="6154,2662" to="6451,2662" stroked="true" strokeweight=".5pt" strokecolor="#939598"/>
            <v:shape style="position:absolute;left:1839;top:917;width:4560;height:504" coordorigin="1839,917" coordsize="4560,504" path="m1839,917l1983,947,2121,947,2255,965,2415,977,2553,977,2685,989,2829,1001,2975,1007,3117,1043,3261,1067,3399,1085,3549,1109,3695,1139,3831,1181,3975,1199,4119,1253,4275,1301,4401,1337,4551,1361,4689,1391,4821,1397,4977,1403,5109,1409,5265,1421,5409,1409,5535,1397,5685,1391,5817,1361,5979,1313,6117,1313,6273,1301,6399,1295e" filled="false" stroked="true" strokeweight=".5pt" strokecolor="#231f20">
              <v:path arrowok="t"/>
            </v:shape>
            <v:line style="position:absolute" from="4645,1319" to="4645,1435" stroked="true" strokeweight="4.16pt" strokecolor="#ffffff"/>
            <v:line style="position:absolute" from="5979,803" to="5979,919" stroked="true" strokeweight="4.16pt" strokecolor="#ffffff"/>
            <v:line style="position:absolute" from="1824,886" to="2050,871" stroked="true" strokeweight=".5pt" strokecolor="#231f20">
              <v:stroke dashstyle="dash"/>
            </v:line>
            <v:line style="position:absolute" from="2107,866" to="2193,855" stroked="true" strokeweight=".5pt" strokecolor="#231f20">
              <v:stroke dashstyle="dash"/>
            </v:line>
            <v:line style="position:absolute" from="2251,856" to="2337,867" stroked="true" strokeweight=".5pt" strokecolor="#231f20">
              <v:stroke dashstyle="dash"/>
            </v:line>
            <v:line style="position:absolute" from="2394,870" to="2764,868" stroked="true" strokeweight=".5pt" strokecolor="#231f20">
              <v:stroke dashstyle="dash"/>
            </v:line>
            <v:line style="position:absolute" from="2821,871" to="2907,879" stroked="true" strokeweight=".5pt" strokecolor="#231f20">
              <v:stroke dashstyle="dash"/>
            </v:line>
            <v:line style="position:absolute" from="2966,880" to="3056,877" stroked="true" strokeweight=".5pt" strokecolor="#231f20">
              <v:stroke dashstyle="dash"/>
            </v:line>
            <v:line style="position:absolute" from="3113,881" to="3196,896" stroked="true" strokeweight=".5pt" strokecolor="#231f20">
              <v:stroke dashstyle="dash"/>
            </v:line>
            <v:line style="position:absolute" from="3251,903" to="3334,910" stroked="true" strokeweight=".5pt" strokecolor="#231f20">
              <v:stroke dashstyle="dash"/>
            </v:line>
            <v:line style="position:absolute" from="3391,920" to="3477,942" stroked="true" strokeweight=".5pt" strokecolor="#231f20">
              <v:stroke dashstyle="dash"/>
            </v:line>
            <v:line style="position:absolute" from="3533,959" to="3616,988" stroked="true" strokeweight=".5pt" strokecolor="#231f20">
              <v:stroke dashstyle="dash"/>
            </v:line>
            <v:line style="position:absolute" from="3672,1004" to="3898,1056" stroked="true" strokeweight=".5pt" strokecolor="#231f20">
              <v:stroke dashstyle="dash"/>
            </v:line>
            <v:line style="position:absolute" from="3956,1063" to="4046,1067" stroked="true" strokeweight=".5pt" strokecolor="#231f20">
              <v:stroke dashstyle="dash"/>
            </v:line>
            <v:line style="position:absolute" from="4106,1075" to="4196,1093" stroked="true" strokeweight=".5pt" strokecolor="#231f20">
              <v:stroke dashstyle="dash"/>
            </v:line>
            <v:line style="position:absolute" from="4255,1108" to="4343,1133" stroked="true" strokeweight=".5pt" strokecolor="#231f20">
              <v:stroke dashstyle="dash"/>
            </v:line>
            <v:line style="position:absolute" from="4403,1148" to="4753,1230" stroked="true" strokeweight=".5pt" strokecolor="#231f20">
              <v:stroke dashstyle="dash"/>
            </v:line>
            <v:line style="position:absolute" from="4814,1239" to="4903,1246" stroked="true" strokeweight=".5pt" strokecolor="#231f20">
              <v:stroke dashstyle="dash"/>
            </v:line>
            <v:line style="position:absolute" from="4960,1255" to="5044,1273" stroked="true" strokeweight=".5pt" strokecolor="#231f20">
              <v:stroke dashstyle="dash"/>
            </v:line>
            <v:line style="position:absolute" from="5101,1281" to="5187,1288" stroked="true" strokeweight=".5pt" strokecolor="#231f20">
              <v:stroke dashstyle="dash"/>
            </v:line>
            <v:line style="position:absolute" from="5243,1289" to="5326,1285" stroked="true" strokeweight=".5pt" strokecolor="#231f20">
              <v:stroke dashstyle="dash"/>
            </v:line>
            <v:line style="position:absolute" from="5384,1288" to="5474,1299" stroked="true" strokeweight=".5pt" strokecolor="#231f20">
              <v:stroke dashstyle="dash"/>
            </v:line>
            <v:line style="position:absolute" from="5533,1301" to="6051,1285" stroked="true" strokeweight=".5pt" strokecolor="#231f20">
              <v:stroke dashstyle="dash"/>
            </v:line>
            <v:line style="position:absolute" from="6109,1278" to="6195,1264" stroked="true" strokeweight=".5pt" strokecolor="#231f20">
              <v:stroke dashstyle="dash"/>
            </v:line>
            <v:line style="position:absolute" from="6254,1260" to="6343,1260" stroked="true" strokeweight=".5pt" strokecolor="#231f20">
              <v:stroke dashstyle="dash"/>
            </v:line>
            <v:shape style="position:absolute;left:0;top:9798;width:4576;height:450" coordorigin="0,9798" coordsize="4576,450" path="m1791,888l1805,887m2059,871l2073,870,2088,868m2203,854l2217,852,2232,854m2347,868l2361,870,2376,870m2773,868l2787,868,2802,869m2917,880l2931,882,2946,881m3066,876l3081,876,3095,878m3205,897l3219,900,3233,901m3343,911l3357,912,3372,915m3487,944l3501,948,3515,953m3625,991l3639,996,3653,999m3907,1059l3921,1062,3936,1062m4056,1067l4071,1068,4086,1071m4206,1095l4221,1098,4236,1102m4353,1136l4367,1140,4382,1143m4764,1232l4779,1236,4794,1237m4912,1247l4927,1248,4941,1251m5053,1275l5067,1278,5082,1279m5197,1289l5211,1290,5225,1289m5335,1284l5349,1284,5364,1286m5484,1300l5499,1302,5514,1301m6061,1284l6075,1284,6090,1281m6205,1262l6219,1260,6234,1260m6352,1260l6367,1260e" filled="false" stroked="true" strokeweight=".5pt" strokecolor="#231f20">
              <v:path arrowok="t"/>
            </v:shape>
            <v:line style="position:absolute" from="1894,943" to="2228,886" stroked="true" strokeweight="1pt" strokecolor="#231f20">
              <v:stroke dashstyle="dash"/>
            </v:line>
            <v:line style="position:absolute" from="2311,865" to="2389,841" stroked="true" strokeweight="1pt" strokecolor="#231f20">
              <v:stroke dashstyle="dash"/>
            </v:line>
            <v:line style="position:absolute" from="2481,818" to="2514,810" stroked="true" strokeweight="1pt" strokecolor="#231f20">
              <v:stroke dashstyle="dash"/>
            </v:line>
            <v:line style="position:absolute" from="2597,801" to="2672,798" stroked="true" strokeweight="1pt" strokecolor="#231f20">
              <v:stroke dashstyle="dash"/>
            </v:line>
            <v:line style="position:absolute" from="2766,788" to="2800,783" stroked="true" strokeweight="1pt" strokecolor="#231f20">
              <v:stroke dashstyle="dash"/>
            </v:line>
            <v:line style="position:absolute" from="2907,779" to="2943,779" stroked="true" strokeweight="1pt" strokecolor="#231f20">
              <v:stroke dashstyle="dash"/>
            </v:line>
            <v:line style="position:absolute" from="3035,771" to="3233,741" stroked="true" strokeweight="1pt" strokecolor="#231f20">
              <v:stroke dashstyle="dash"/>
            </v:line>
            <v:line style="position:absolute" from="3330,737" to="3364,737" stroked="true" strokeweight="1pt" strokecolor="#231f20">
              <v:stroke dashstyle="dash"/>
            </v:line>
            <v:line style="position:absolute" from="3449,729" to="3524,717" stroked="true" strokeweight="1pt" strokecolor="#231f20">
              <v:stroke dashstyle="dash"/>
            </v:line>
            <v:line style="position:absolute" from="3601,711" to="3679,708" stroked="true" strokeweight="1pt" strokecolor="#231f20">
              <v:stroke dashstyle="dash"/>
            </v:line>
            <v:line style="position:absolute" from="3759,699" to="3948,671" stroked="true" strokeweight="1.0pt" strokecolor="#231f20">
              <v:stroke dashstyle="dash"/>
            </v:line>
            <v:line style="position:absolute" from="4047,678" to="4083,683" stroked="true" strokeweight="1pt" strokecolor="#231f20">
              <v:stroke dashstyle="dash"/>
            </v:line>
            <v:line style="position:absolute" from="4178,694" to="4385,711" stroked="true" strokeweight="1pt" strokecolor="#231f20">
              <v:stroke dashstyle="dash"/>
            </v:line>
            <v:line style="position:absolute" from="4471,728" to="4667,779" stroked="true" strokeweight="1.0pt" strokecolor="#231f20">
              <v:stroke dashstyle="dash"/>
            </v:line>
            <v:line style="position:absolute" from="4754,798" to="5079,861" stroked="true" strokeweight="1pt" strokecolor="#231f20">
              <v:stroke dashstyle="dash"/>
            </v:line>
            <v:line style="position:absolute" from="5168,869" to="5787,886" stroked="true" strokeweight="1pt" strokecolor="#231f20">
              <v:stroke dashstyle="dash"/>
            </v:line>
            <v:line style="position:absolute" from="5878,883" to="6092,871" stroked="true" strokeweight="1pt" strokecolor="#231f20">
              <v:stroke dashstyle="dash"/>
            </v:line>
            <v:line style="position:absolute" from="6192,848" to="6226,837" stroked="true" strokeweight="1pt" strokecolor="#231f20">
              <v:stroke dashstyle="dash"/>
            </v:line>
            <v:line style="position:absolute" from="6333,812" to="6369,804" stroked="true" strokeweight="1pt" strokecolor="#231f20">
              <v:stroke dashstyle="dash"/>
            </v:line>
            <v:shape style="position:absolute;left:0;top:9548;width:4572;height:286" coordorigin="0,9548" coordsize="4572,286" path="m1833,953l1833,953m2259,881l2259,881m2415,833l2415,833m2547,803l2547,803m2697,797l2697,797m2835,779l2835,779m2979,779l2979,779m3261,737l3261,737m3399,737l3399,737m3549,713l3549,713m3705,707l3705,707m3975,667l3975,667m4119,689l4119,689m4415,713l4415,713m4695,787l4695,787m5109,867l5109,867m5817,887l5817,887m6123,869l6123,869m6261,827l6261,827m6405,797l6405,797e" filled="false" stroked="true" strokeweight="1pt" strokecolor="#231f20">
              <v:path arrowok="t"/>
            </v:shape>
            <v:line style="position:absolute" from="1887,1176" to="1941,1164" stroked="true" strokeweight=".5pt" strokecolor="#636466">
              <v:stroke dashstyle="dash"/>
            </v:line>
            <v:line style="position:absolute" from="2029,1155" to="2080,1152" stroked="true" strokeweight=".5pt" strokecolor="#636466">
              <v:stroke dashstyle="dash"/>
            </v:line>
            <v:line style="position:absolute" from="2169,1144" to="2223,1137" stroked="true" strokeweight=".5pt" strokecolor="#636466">
              <v:stroke dashstyle="dash"/>
            </v:line>
            <v:line style="position:absolute" from="2314,1132" to="2516,1128" stroked="true" strokeweight=".5pt" strokecolor="#636466">
              <v:stroke dashstyle="dash"/>
            </v:line>
            <v:line style="position:absolute" from="2607,1136" to="2661,1145" stroked="true" strokeweight=".5pt" strokecolor="#636466">
              <v:stroke dashstyle="dash"/>
            </v:line>
            <v:line style="position:absolute" from="2746,1153" to="2796,1155" stroked="true" strokeweight=".5pt" strokecolor="#636466">
              <v:stroke dashstyle="dash"/>
            </v:line>
            <v:line style="position:absolute" from="2884,1168" to="2938,1179" stroked="true" strokeweight=".5pt" strokecolor="#636466">
              <v:stroke dashstyle="dash"/>
            </v:line>
            <v:line style="position:absolute" from="3039,1195" to="3362,1236" stroked="true" strokeweight=".5pt" strokecolor="#636466">
              <v:stroke dashstyle="dash"/>
            </v:line>
            <v:line style="position:absolute" from="3459,1243" to="3513,1245" stroked="true" strokeweight=".5pt" strokecolor="#636466">
              <v:stroke dashstyle="dash"/>
            </v:line>
            <v:line style="position:absolute" from="3602,1258" to="3796,1299" stroked="true" strokeweight=".5pt" strokecolor="#636466">
              <v:stroke dashstyle="dash"/>
            </v:line>
            <v:line style="position:absolute" from="3885,1325" to="3939,1343" stroked="true" strokeweight=".5pt" strokecolor="#636466">
              <v:stroke dashstyle="dash"/>
            </v:line>
            <v:line style="position:absolute" from="4031,1370" to="5071,1639" stroked="true" strokeweight=".5pt" strokecolor="#636466">
              <v:stroke dashstyle="dash"/>
            </v:line>
            <v:line style="position:absolute" from="5165,1658" to="5221,1667" stroked="true" strokeweight=".5pt" strokecolor="#636466">
              <v:stroke dashstyle="dash"/>
            </v:line>
            <v:line style="position:absolute" from="5311,1686" to="5362,1698" stroked="true" strokeweight=".5pt" strokecolor="#636466">
              <v:stroke dashstyle="dash"/>
            </v:line>
            <v:line style="position:absolute" from="5451,1712" to="5505,1717" stroked="true" strokeweight=".5pt" strokecolor="#636466">
              <v:stroke dashstyle="dash"/>
            </v:line>
            <v:line style="position:absolute" from="5594,1723" to="5788,1731" stroked="true" strokeweight=".5pt" strokecolor="#636466">
              <v:stroke dashstyle="dash"/>
            </v:line>
            <v:line style="position:absolute" from="5875,1740" to="5926,1746" stroked="true" strokeweight=".5pt" strokecolor="#636466">
              <v:stroke dashstyle="dash"/>
            </v:line>
            <v:line style="position:absolute" from="6016,1752" to="6368,1756" stroked="true" strokeweight=".5pt" strokecolor="#636466">
              <v:stroke dashstyle="dash"/>
            </v:line>
            <v:shape style="position:absolute;left:0;top:9774;width:4572;height:630" coordorigin="0,9774" coordsize="4572,630" path="m1833,1187l1851,1183m1959,1161l1977,1157,1994,1156m2098,1152l2115,1151,2133,1149m2241,1135l2259,1133,2277,1133m2534,1127l2553,1127,2571,1130m2679,1148l2697,1151,2713,1152m2812,1156l2829,1157,2847,1161m2957,1183l2975,1187,2996,1190m3383,1238l3405,1241,3423,1242m3531,1246l3549,1247,3566,1251m3813,1303l3831,1307,3849,1313m3957,1349l3975,1355,3994,1360m5090,1644l5109,1649,5128,1652m5240,1670l5259,1673,5276,1677m5380,1703l5397,1707,5415,1709m5523,1719l5541,1721,5558,1722m5805,1732l5823,1733,5840,1735m5944,1749l5961,1751,5979,1751m6386,1757l6405,1757e" filled="false" stroked="true" strokeweight=".5pt" strokecolor="#636466">
              <v:path arrowok="t"/>
            </v:shape>
            <v:shape style="position:absolute;left:1833;top:1007;width:4566;height:373" coordorigin="1833,1007" coordsize="4566,373" path="m1833,1007l1833,1007,2547,1007,2679,1019,2829,1019,2979,1027,3117,1019,3255,1019,3415,1043,3567,1061,3695,1085,3831,1097,3969,1121,4113,1139,4263,1163,4401,1187,4527,1205,4689,1235,4833,1247,4975,1277,5109,1307,5259,1319,5409,1325,5535,1331,5679,1337,5829,1347,5979,1367,6117,1367,6255,1379,6399,1367e" filled="false" stroked="true" strokeweight="1pt" strokecolor="#939598">
              <v:path arrowok="t"/>
            </v:shape>
            <v:line style="position:absolute" from="6261,1323" to="6261,1439" stroked="true" strokeweight="4.16pt" strokecolor="#ffffff"/>
            <v:line style="position:absolute" from="3415,851" to="3415,967" stroked="true" strokeweight="4.16pt" strokecolor="#ffffff"/>
            <v:line style="position:absolute" from="5751,1667" to="5751,1783" stroked="true" strokeweight="4.16pt" strokecolor="#ffffff"/>
            <v:shape style="position:absolute;left:3373;top:844;width:84;height:160" type="#_x0000_t202" filled="false" stroked="false">
              <v:textbox inset="0,0,0,0">
                <w:txbxContent>
                  <w:p>
                    <w:pPr>
                      <w:spacing w:line="158" w:lineRule="exact" w:before="0"/>
                      <w:ind w:left="0" w:right="0" w:firstLine="0"/>
                      <w:jc w:val="left"/>
                      <w:rPr>
                        <w:sz w:val="16"/>
                      </w:rPr>
                    </w:pPr>
                    <w:r>
                      <w:rPr>
                        <w:color w:val="231F20"/>
                        <w:w w:val="104"/>
                        <w:sz w:val="16"/>
                      </w:rPr>
                      <w:t>2</w:t>
                    </w:r>
                  </w:p>
                </w:txbxContent>
              </v:textbox>
              <w10:wrap type="none"/>
            </v:shape>
            <v:shape style="position:absolute;left:5937;top:796;width:84;height:160" type="#_x0000_t202" filled="false" stroked="false">
              <v:textbox inset="0,0,0,0">
                <w:txbxContent>
                  <w:p>
                    <w:pPr>
                      <w:spacing w:line="158" w:lineRule="exact" w:before="0"/>
                      <w:ind w:left="0" w:right="0" w:firstLine="0"/>
                      <w:jc w:val="left"/>
                      <w:rPr>
                        <w:sz w:val="16"/>
                      </w:rPr>
                    </w:pPr>
                    <w:r>
                      <w:rPr>
                        <w:color w:val="231F20"/>
                        <w:w w:val="104"/>
                        <w:sz w:val="16"/>
                      </w:rPr>
                      <w:t>3</w:t>
                    </w:r>
                  </w:p>
                </w:txbxContent>
              </v:textbox>
              <w10:wrap type="none"/>
            </v:shape>
            <v:shape style="position:absolute;left:4603;top:1312;width:84;height:160" type="#_x0000_t202" filled="false" stroked="false">
              <v:textbox inset="0,0,0,0">
                <w:txbxContent>
                  <w:p>
                    <w:pPr>
                      <w:spacing w:line="158" w:lineRule="exact" w:before="0"/>
                      <w:ind w:left="0" w:right="0" w:firstLine="0"/>
                      <w:jc w:val="left"/>
                      <w:rPr>
                        <w:sz w:val="16"/>
                      </w:rPr>
                    </w:pPr>
                    <w:r>
                      <w:rPr>
                        <w:color w:val="231F20"/>
                        <w:w w:val="104"/>
                        <w:sz w:val="16"/>
                      </w:rPr>
                      <w:t>1</w:t>
                    </w:r>
                  </w:p>
                </w:txbxContent>
              </v:textbox>
              <w10:wrap type="none"/>
            </v:shape>
            <v:shape style="position:absolute;left:6219;top:1316;width:84;height:160" type="#_x0000_t202" filled="false" stroked="false">
              <v:textbox inset="0,0,0,0">
                <w:txbxContent>
                  <w:p>
                    <w:pPr>
                      <w:spacing w:line="158" w:lineRule="exact" w:before="0"/>
                      <w:ind w:left="0" w:right="0" w:firstLine="0"/>
                      <w:jc w:val="left"/>
                      <w:rPr>
                        <w:sz w:val="16"/>
                      </w:rPr>
                    </w:pPr>
                    <w:r>
                      <w:rPr>
                        <w:color w:val="231F20"/>
                        <w:w w:val="104"/>
                        <w:sz w:val="16"/>
                      </w:rPr>
                      <w:t>5</w:t>
                    </w:r>
                  </w:p>
                </w:txbxContent>
              </v:textbox>
              <w10:wrap type="none"/>
            </v:shape>
            <v:shape style="position:absolute;left:5709;top:1660;width:84;height:160" type="#_x0000_t202" filled="false" stroked="false">
              <v:textbox inset="0,0,0,0">
                <w:txbxContent>
                  <w:p>
                    <w:pPr>
                      <w:spacing w:line="158" w:lineRule="exact" w:before="0"/>
                      <w:ind w:left="0" w:right="0" w:firstLine="0"/>
                      <w:jc w:val="left"/>
                      <w:rPr>
                        <w:sz w:val="16"/>
                      </w:rPr>
                    </w:pPr>
                    <w:r>
                      <w:rPr>
                        <w:color w:val="231F20"/>
                        <w:w w:val="104"/>
                        <w:sz w:val="16"/>
                      </w:rPr>
                      <w:t>4</w:t>
                    </w:r>
                  </w:p>
                </w:txbxContent>
              </v:textbox>
              <w10:wrap type="none"/>
            </v:shape>
            <w10:wrap type="none"/>
          </v:group>
        </w:pict>
      </w:r>
      <w:r>
        <w:rPr>
          <w:color w:val="231F20"/>
          <w:sz w:val="16"/>
        </w:rPr>
        <w:t>110 —</w:t>
      </w:r>
    </w:p>
    <w:p>
      <w:pPr>
        <w:pStyle w:val="BodyText"/>
        <w:spacing w:before="3"/>
        <w:rPr>
          <w:sz w:val="15"/>
        </w:rPr>
      </w:pPr>
    </w:p>
    <w:p>
      <w:pPr>
        <w:spacing w:before="0"/>
        <w:ind w:left="502" w:right="719" w:firstLine="0"/>
        <w:jc w:val="left"/>
        <w:rPr>
          <w:sz w:val="16"/>
        </w:rPr>
      </w:pPr>
      <w:r>
        <w:rPr>
          <w:color w:val="231F20"/>
          <w:sz w:val="16"/>
        </w:rPr>
        <w:t>105 —</w:t>
      </w:r>
    </w:p>
    <w:p>
      <w:pPr>
        <w:pStyle w:val="BodyText"/>
        <w:spacing w:before="3"/>
        <w:rPr>
          <w:sz w:val="15"/>
        </w:rPr>
      </w:pPr>
    </w:p>
    <w:p>
      <w:pPr>
        <w:spacing w:before="0"/>
        <w:ind w:left="502" w:right="719" w:firstLine="0"/>
        <w:jc w:val="left"/>
        <w:rPr>
          <w:sz w:val="16"/>
        </w:rPr>
      </w:pPr>
      <w:r>
        <w:rPr>
          <w:color w:val="231F20"/>
          <w:sz w:val="16"/>
        </w:rPr>
        <w:t>100 —</w:t>
      </w:r>
    </w:p>
    <w:p>
      <w:pPr>
        <w:pStyle w:val="BodyText"/>
        <w:spacing w:before="3"/>
        <w:rPr>
          <w:sz w:val="15"/>
        </w:rPr>
      </w:pPr>
    </w:p>
    <w:p>
      <w:pPr>
        <w:spacing w:before="0"/>
        <w:ind w:left="585" w:right="719" w:firstLine="0"/>
        <w:jc w:val="left"/>
        <w:rPr>
          <w:sz w:val="16"/>
        </w:rPr>
      </w:pPr>
      <w:r>
        <w:rPr>
          <w:color w:val="231F20"/>
          <w:sz w:val="16"/>
        </w:rPr>
        <w:t>95 —</w:t>
      </w:r>
    </w:p>
    <w:p>
      <w:pPr>
        <w:pStyle w:val="BodyText"/>
        <w:spacing w:before="3"/>
        <w:rPr>
          <w:sz w:val="15"/>
        </w:rPr>
      </w:pPr>
    </w:p>
    <w:p>
      <w:pPr>
        <w:spacing w:before="0"/>
        <w:ind w:left="585" w:right="719" w:firstLine="0"/>
        <w:jc w:val="left"/>
        <w:rPr>
          <w:sz w:val="16"/>
        </w:rPr>
      </w:pPr>
      <w:r>
        <w:rPr>
          <w:color w:val="231F20"/>
          <w:sz w:val="16"/>
        </w:rPr>
        <w:t>90 —</w:t>
      </w:r>
    </w:p>
    <w:p>
      <w:pPr>
        <w:pStyle w:val="BodyText"/>
        <w:spacing w:before="3"/>
        <w:rPr>
          <w:sz w:val="15"/>
        </w:rPr>
      </w:pPr>
    </w:p>
    <w:p>
      <w:pPr>
        <w:spacing w:before="0"/>
        <w:ind w:left="585" w:right="719" w:firstLine="0"/>
        <w:jc w:val="left"/>
        <w:rPr>
          <w:sz w:val="16"/>
        </w:rPr>
      </w:pPr>
      <w:r>
        <w:rPr>
          <w:color w:val="231F20"/>
          <w:sz w:val="16"/>
        </w:rPr>
        <w:t>85 —</w:t>
      </w:r>
    </w:p>
    <w:p>
      <w:pPr>
        <w:pStyle w:val="BodyText"/>
        <w:spacing w:before="3"/>
        <w:rPr>
          <w:sz w:val="15"/>
        </w:rPr>
      </w:pPr>
    </w:p>
    <w:p>
      <w:pPr>
        <w:spacing w:before="0"/>
        <w:ind w:left="585" w:right="719" w:firstLine="0"/>
        <w:jc w:val="left"/>
        <w:rPr>
          <w:sz w:val="16"/>
        </w:rPr>
      </w:pPr>
      <w:r>
        <w:rPr>
          <w:color w:val="231F20"/>
          <w:sz w:val="16"/>
        </w:rPr>
        <w:t>80 —</w:t>
      </w:r>
    </w:p>
    <w:p>
      <w:pPr>
        <w:pStyle w:val="BodyText"/>
        <w:spacing w:before="3"/>
        <w:rPr>
          <w:sz w:val="15"/>
        </w:rPr>
      </w:pPr>
    </w:p>
    <w:p>
      <w:pPr>
        <w:spacing w:before="0"/>
        <w:ind w:left="585" w:right="719" w:firstLine="0"/>
        <w:jc w:val="left"/>
        <w:rPr>
          <w:sz w:val="16"/>
        </w:rPr>
      </w:pPr>
      <w:r>
        <w:rPr/>
        <w:pict>
          <v:shape style="position:absolute;margin-left:82.709198pt;margin-top:6.868149pt;width:244.4pt;height:37.050pt;mso-position-horizontal-relative:page;mso-position-vertical-relative:paragraph;z-index:-348736"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200801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200805</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200809</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200811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200905</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200909</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200911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201009</w:t>
                  </w:r>
                  <w:r>
                    <w:rPr>
                      <w:color w:val="231F20"/>
                      <w:spacing w:val="1"/>
                      <w:sz w:val="16"/>
                    </w:rPr>
                    <w:t> </w:t>
                  </w:r>
                  <w:r>
                    <w:rPr>
                      <w:color w:val="231F20"/>
                      <w:sz w:val="16"/>
                    </w:rPr>
                    <w:t>—</w:t>
                  </w:r>
                </w:p>
              </w:txbxContent>
            </v:textbox>
            <w10:wrap type="none"/>
          </v:shape>
        </w:pict>
      </w:r>
      <w:r>
        <w:rPr>
          <w:color w:val="231F20"/>
          <w:sz w:val="16"/>
        </w:rPr>
        <w:t>75 —</w:t>
      </w:r>
    </w:p>
    <w:p>
      <w:pPr>
        <w:pStyle w:val="BodyText"/>
      </w:pPr>
    </w:p>
    <w:p>
      <w:pPr>
        <w:pStyle w:val="BodyText"/>
      </w:pPr>
    </w:p>
    <w:p>
      <w:pPr>
        <w:pStyle w:val="BodyText"/>
        <w:spacing w:before="8"/>
        <w:rPr>
          <w:sz w:val="24"/>
        </w:rPr>
      </w:pPr>
    </w:p>
    <w:p>
      <w:pPr>
        <w:spacing w:after="0"/>
        <w:rPr>
          <w:sz w:val="24"/>
        </w:rPr>
        <w:sectPr>
          <w:pgSz w:w="7640" w:h="11900"/>
          <w:pgMar w:header="672" w:footer="0" w:top="860" w:bottom="280" w:left="780" w:right="360"/>
        </w:sectPr>
      </w:pPr>
    </w:p>
    <w:p>
      <w:pPr>
        <w:spacing w:before="74"/>
        <w:ind w:left="2045" w:right="-8" w:firstLine="0"/>
        <w:jc w:val="left"/>
        <w:rPr>
          <w:sz w:val="16"/>
        </w:rPr>
      </w:pPr>
      <w:r>
        <w:rPr>
          <w:color w:val="231F20"/>
          <w:w w:val="110"/>
          <w:sz w:val="16"/>
        </w:rPr>
        <w:t>tasa de desempleo (%)</w:t>
      </w:r>
    </w:p>
    <w:p>
      <w:pPr>
        <w:pStyle w:val="BodyText"/>
        <w:rPr>
          <w:sz w:val="16"/>
        </w:rPr>
      </w:pPr>
      <w:r>
        <w:rPr/>
        <w:br w:type="column"/>
      </w:r>
      <w:r>
        <w:rPr>
          <w:sz w:val="16"/>
        </w:rPr>
      </w:r>
    </w:p>
    <w:p>
      <w:pPr>
        <w:spacing w:before="118"/>
        <w:ind w:left="1519" w:right="0" w:firstLine="0"/>
        <w:jc w:val="left"/>
        <w:rPr>
          <w:sz w:val="16"/>
        </w:rPr>
      </w:pPr>
      <w:r>
        <w:rPr/>
        <w:pict>
          <v:group style="position:absolute;margin-left:64pt;margin-top:11.45014pt;width:234.7pt;height:126.5pt;mso-position-horizontal-relative:page;mso-position-vertical-relative:paragraph;z-index:8560" coordorigin="1280,229" coordsize="4694,2530">
            <v:line style="position:absolute" from="1285,234" to="1582,234" stroked="true" strokeweight=".5pt" strokecolor="#939598"/>
            <v:line style="position:absolute" from="1290,509" to="1290,239" stroked="true" strokeweight=".5pt" strokecolor="#939598"/>
            <v:line style="position:absolute" from="1582,234" to="1874,234" stroked="true" strokeweight=".5pt" strokecolor="#939598"/>
            <v:line style="position:absolute" from="1582,509" to="1582,239" stroked="true" strokeweight=".5pt" strokecolor="#939598"/>
            <v:line style="position:absolute" from="1874,234" to="2166,234" stroked="true" strokeweight=".5pt" strokecolor="#939598"/>
            <v:line style="position:absolute" from="1874,509" to="1874,239" stroked="true" strokeweight=".5pt" strokecolor="#939598"/>
            <v:line style="position:absolute" from="2166,234" to="2458,234" stroked="true" strokeweight=".5pt" strokecolor="#939598"/>
            <v:line style="position:absolute" from="2166,509" to="2166,239" stroked="true" strokeweight=".5pt" strokecolor="#939598"/>
            <v:line style="position:absolute" from="2458,234" to="2751,234" stroked="true" strokeweight=".5pt" strokecolor="#939598"/>
            <v:line style="position:absolute" from="2458,509" to="2458,239" stroked="true" strokeweight=".5pt" strokecolor="#939598"/>
            <v:line style="position:absolute" from="2751,234" to="3043,234" stroked="true" strokeweight=".5pt" strokecolor="#939598"/>
            <v:line style="position:absolute" from="2751,509" to="2751,239" stroked="true" strokeweight=".5pt" strokecolor="#939598"/>
            <v:line style="position:absolute" from="3043,234" to="3335,234" stroked="true" strokeweight=".5pt" strokecolor="#939598"/>
            <v:line style="position:absolute" from="3043,509" to="3043,239" stroked="true" strokeweight=".5pt" strokecolor="#939598"/>
            <v:line style="position:absolute" from="3335,234" to="3627,234" stroked="true" strokeweight=".5pt" strokecolor="#939598"/>
            <v:line style="position:absolute" from="3335,509" to="3335,239" stroked="true" strokeweight=".5pt" strokecolor="#939598"/>
            <v:line style="position:absolute" from="3627,234" to="3919,234" stroked="true" strokeweight=".5pt" strokecolor="#939598"/>
            <v:line style="position:absolute" from="3627,509" to="3627,239" stroked="true" strokeweight=".5pt" strokecolor="#939598"/>
            <v:line style="position:absolute" from="3919,234" to="4211,234" stroked="true" strokeweight=".5pt" strokecolor="#939598"/>
            <v:line style="position:absolute" from="3919,509" to="3919,239" stroked="true" strokeweight=".5pt" strokecolor="#939598"/>
            <v:line style="position:absolute" from="4211,234" to="4503,234" stroked="true" strokeweight=".5pt" strokecolor="#939598"/>
            <v:line style="position:absolute" from="4211,509" to="4211,239" stroked="true" strokeweight=".5pt" strokecolor="#939598"/>
            <v:line style="position:absolute" from="4503,234" to="4795,234" stroked="true" strokeweight=".5pt" strokecolor="#939598"/>
            <v:line style="position:absolute" from="4503,509" to="4503,239" stroked="true" strokeweight=".5pt" strokecolor="#939598"/>
            <v:line style="position:absolute" from="4795,234" to="5088,234" stroked="true" strokeweight=".5pt" strokecolor="#939598"/>
            <v:line style="position:absolute" from="4795,509" to="4795,239" stroked="true" strokeweight=".5pt" strokecolor="#939598"/>
            <v:line style="position:absolute" from="5088,234" to="5380,234" stroked="true" strokeweight=".5pt" strokecolor="#939598"/>
            <v:line style="position:absolute" from="5088,509" to="5088,239" stroked="true" strokeweight=".5pt" strokecolor="#939598"/>
            <v:line style="position:absolute" from="5380,234" to="5672,234" stroked="true" strokeweight=".5pt" strokecolor="#939598"/>
            <v:line style="position:absolute" from="5380,509" to="5380,239" stroked="true" strokeweight=".5pt" strokecolor="#939598"/>
            <v:line style="position:absolute" from="5672,234" to="5969,234" stroked="true" strokeweight=".5pt" strokecolor="#939598"/>
            <v:line style="position:absolute" from="5672,509" to="5672,239" stroked="true" strokeweight=".5pt" strokecolor="#939598"/>
            <v:line style="position:absolute" from="5964,509" to="5964,239" stroked="true" strokeweight=".5pt" strokecolor="#939598"/>
            <v:line style="position:absolute" from="1285,514" to="1582,514" stroked="true" strokeweight=".5pt" strokecolor="#939598"/>
            <v:line style="position:absolute" from="1290,789" to="1290,519" stroked="true" strokeweight=".5pt" strokecolor="#939598"/>
            <v:line style="position:absolute" from="1582,514" to="1874,514" stroked="true" strokeweight=".5pt" strokecolor="#939598"/>
            <v:line style="position:absolute" from="1582,789" to="1582,519" stroked="true" strokeweight=".5pt" strokecolor="#939598"/>
            <v:line style="position:absolute" from="1874,514" to="2166,514" stroked="true" strokeweight=".5pt" strokecolor="#939598"/>
            <v:line style="position:absolute" from="1874,789" to="1874,519" stroked="true" strokeweight=".5pt" strokecolor="#939598"/>
            <v:line style="position:absolute" from="2166,514" to="2458,514" stroked="true" strokeweight=".5pt" strokecolor="#939598"/>
            <v:line style="position:absolute" from="2166,789" to="2166,519" stroked="true" strokeweight=".5pt" strokecolor="#939598"/>
            <v:line style="position:absolute" from="2458,514" to="2751,514" stroked="true" strokeweight=".5pt" strokecolor="#939598"/>
            <v:line style="position:absolute" from="2458,789" to="2458,519" stroked="true" strokeweight=".5pt" strokecolor="#939598"/>
            <v:line style="position:absolute" from="2751,514" to="3043,514" stroked="true" strokeweight=".5pt" strokecolor="#939598"/>
            <v:line style="position:absolute" from="2751,789" to="2751,519" stroked="true" strokeweight=".5pt" strokecolor="#939598"/>
            <v:line style="position:absolute" from="3043,514" to="3335,514" stroked="true" strokeweight=".5pt" strokecolor="#939598"/>
            <v:line style="position:absolute" from="3043,789" to="3043,519" stroked="true" strokeweight=".5pt" strokecolor="#939598"/>
            <v:line style="position:absolute" from="3335,514" to="3627,514" stroked="true" strokeweight=".5pt" strokecolor="#939598"/>
            <v:line style="position:absolute" from="3335,789" to="3335,519" stroked="true" strokeweight=".5pt" strokecolor="#939598"/>
            <v:line style="position:absolute" from="3627,514" to="3919,514" stroked="true" strokeweight=".5pt" strokecolor="#939598"/>
            <v:line style="position:absolute" from="3627,789" to="3627,519" stroked="true" strokeweight=".5pt" strokecolor="#939598"/>
            <v:line style="position:absolute" from="3919,514" to="4211,514" stroked="true" strokeweight=".5pt" strokecolor="#939598"/>
            <v:line style="position:absolute" from="3919,789" to="3919,519" stroked="true" strokeweight=".5pt" strokecolor="#939598"/>
            <v:line style="position:absolute" from="4211,514" to="4503,514" stroked="true" strokeweight=".5pt" strokecolor="#939598"/>
            <v:line style="position:absolute" from="4211,789" to="4211,519" stroked="true" strokeweight=".5pt" strokecolor="#939598"/>
            <v:line style="position:absolute" from="4503,514" to="4795,514" stroked="true" strokeweight=".5pt" strokecolor="#939598"/>
            <v:line style="position:absolute" from="4503,789" to="4503,519" stroked="true" strokeweight=".5pt" strokecolor="#939598"/>
            <v:line style="position:absolute" from="4795,514" to="5088,514" stroked="true" strokeweight=".5pt" strokecolor="#939598"/>
            <v:line style="position:absolute" from="4795,789" to="4795,519" stroked="true" strokeweight=".5pt" strokecolor="#939598"/>
            <v:line style="position:absolute" from="5088,514" to="5380,514" stroked="true" strokeweight=".5pt" strokecolor="#939598"/>
            <v:line style="position:absolute" from="5088,789" to="5088,519" stroked="true" strokeweight=".5pt" strokecolor="#939598"/>
            <v:line style="position:absolute" from="5380,514" to="5672,514" stroked="true" strokeweight=".5pt" strokecolor="#939598"/>
            <v:line style="position:absolute" from="5380,789" to="5380,519" stroked="true" strokeweight=".5pt" strokecolor="#939598"/>
            <v:line style="position:absolute" from="5672,514" to="5969,514" stroked="true" strokeweight=".5pt" strokecolor="#939598"/>
            <v:line style="position:absolute" from="5672,789" to="5672,519" stroked="true" strokeweight=".5pt" strokecolor="#939598"/>
            <v:line style="position:absolute" from="5964,789" to="5964,519" stroked="true" strokeweight=".5pt" strokecolor="#939598"/>
            <v:line style="position:absolute" from="1285,794" to="1582,794" stroked="true" strokeweight=".5pt" strokecolor="#939598"/>
            <v:line style="position:absolute" from="1290,1069" to="1290,799" stroked="true" strokeweight=".5pt" strokecolor="#939598"/>
            <v:line style="position:absolute" from="1582,794" to="1874,794" stroked="true" strokeweight=".5pt" strokecolor="#939598"/>
            <v:line style="position:absolute" from="1582,1069" to="1582,799" stroked="true" strokeweight=".5pt" strokecolor="#939598"/>
            <v:line style="position:absolute" from="1874,794" to="2166,794" stroked="true" strokeweight=".5pt" strokecolor="#939598"/>
            <v:line style="position:absolute" from="1874,1069" to="1874,799" stroked="true" strokeweight=".5pt" strokecolor="#939598"/>
            <v:line style="position:absolute" from="2166,794" to="2458,794" stroked="true" strokeweight=".5pt" strokecolor="#939598"/>
            <v:line style="position:absolute" from="2166,1069" to="2166,799" stroked="true" strokeweight=".5pt" strokecolor="#939598"/>
            <v:line style="position:absolute" from="2458,794" to="2751,794" stroked="true" strokeweight=".5pt" strokecolor="#939598"/>
            <v:line style="position:absolute" from="2458,1069" to="2458,799" stroked="true" strokeweight=".5pt" strokecolor="#939598"/>
            <v:line style="position:absolute" from="2751,794" to="3043,794" stroked="true" strokeweight=".5pt" strokecolor="#939598"/>
            <v:line style="position:absolute" from="2751,1069" to="2751,799" stroked="true" strokeweight=".5pt" strokecolor="#939598"/>
            <v:line style="position:absolute" from="3043,794" to="3335,794" stroked="true" strokeweight=".5pt" strokecolor="#939598"/>
            <v:line style="position:absolute" from="3043,1069" to="3043,799" stroked="true" strokeweight=".5pt" strokecolor="#939598"/>
            <v:line style="position:absolute" from="3335,794" to="3627,794" stroked="true" strokeweight=".5pt" strokecolor="#939598"/>
            <v:line style="position:absolute" from="3335,1069" to="3335,799" stroked="true" strokeweight=".5pt" strokecolor="#939598"/>
            <v:line style="position:absolute" from="3627,794" to="3919,794" stroked="true" strokeweight=".5pt" strokecolor="#939598"/>
            <v:line style="position:absolute" from="3627,1069" to="3627,799" stroked="true" strokeweight=".5pt" strokecolor="#939598"/>
            <v:line style="position:absolute" from="3919,794" to="4211,794" stroked="true" strokeweight=".5pt" strokecolor="#939598"/>
            <v:line style="position:absolute" from="3919,1069" to="3919,799" stroked="true" strokeweight=".5pt" strokecolor="#939598"/>
            <v:line style="position:absolute" from="4211,794" to="4503,794" stroked="true" strokeweight=".5pt" strokecolor="#939598"/>
            <v:line style="position:absolute" from="4211,1069" to="4211,799" stroked="true" strokeweight=".5pt" strokecolor="#939598"/>
            <v:line style="position:absolute" from="4503,794" to="4795,794" stroked="true" strokeweight=".5pt" strokecolor="#939598"/>
            <v:line style="position:absolute" from="4503,1069" to="4503,799" stroked="true" strokeweight=".5pt" strokecolor="#939598"/>
            <v:line style="position:absolute" from="4795,794" to="5088,794" stroked="true" strokeweight=".5pt" strokecolor="#939598"/>
            <v:line style="position:absolute" from="4795,1069" to="4795,799" stroked="true" strokeweight=".5pt" strokecolor="#939598"/>
            <v:line style="position:absolute" from="5088,794" to="5380,794" stroked="true" strokeweight=".5pt" strokecolor="#939598"/>
            <v:line style="position:absolute" from="5088,1069" to="5088,799" stroked="true" strokeweight=".5pt" strokecolor="#939598"/>
            <v:shape style="position:absolute;left:0;top:6188;width:293;height:2" coordorigin="0,6188" coordsize="293,0" path="m5652,794l5672,794m5380,794l5569,794e" filled="false" stroked="true" strokeweight=".5pt" strokecolor="#939598">
              <v:path arrowok="t"/>
            </v:shape>
            <v:line style="position:absolute" from="5380,1069" to="5380,799" stroked="true" strokeweight=".5pt" strokecolor="#939598"/>
            <v:line style="position:absolute" from="5672,794" to="5969,794" stroked="true" strokeweight=".5pt" strokecolor="#939598"/>
            <v:line style="position:absolute" from="5672,1069" to="5672,799" stroked="true" strokeweight=".5pt" strokecolor="#939598"/>
            <v:line style="position:absolute" from="5964,1069" to="5964,799" stroked="true" strokeweight=".5pt" strokecolor="#939598"/>
            <v:line style="position:absolute" from="1285,1074" to="1582,1074" stroked="true" strokeweight=".5pt" strokecolor="#939598"/>
            <v:line style="position:absolute" from="1290,1349" to="1290,1079" stroked="true" strokeweight=".5pt" strokecolor="#939598"/>
            <v:line style="position:absolute" from="1582,1074" to="1874,1074" stroked="true" strokeweight=".5pt" strokecolor="#939598"/>
            <v:line style="position:absolute" from="1582,1349" to="1582,1079" stroked="true" strokeweight=".5pt" strokecolor="#939598"/>
            <v:line style="position:absolute" from="1874,1074" to="2166,1074" stroked="true" strokeweight=".5pt" strokecolor="#939598"/>
            <v:line style="position:absolute" from="1874,1349" to="1874,1079" stroked="true" strokeweight=".5pt" strokecolor="#939598"/>
            <v:line style="position:absolute" from="2166,1074" to="2458,1074" stroked="true" strokeweight=".5pt" strokecolor="#939598"/>
            <v:line style="position:absolute" from="2166,1349" to="2166,1079" stroked="true" strokeweight=".5pt" strokecolor="#939598"/>
            <v:line style="position:absolute" from="2458,1074" to="2751,1074" stroked="true" strokeweight=".5pt" strokecolor="#939598"/>
            <v:line style="position:absolute" from="2458,1349" to="2458,1079" stroked="true" strokeweight=".5pt" strokecolor="#939598"/>
            <v:line style="position:absolute" from="2751,1074" to="3043,1074" stroked="true" strokeweight=".5pt" strokecolor="#939598"/>
            <v:line style="position:absolute" from="2751,1349" to="2751,1079" stroked="true" strokeweight=".5pt" strokecolor="#939598"/>
            <v:line style="position:absolute" from="3043,1074" to="3335,1074" stroked="true" strokeweight=".5pt" strokecolor="#939598"/>
            <v:line style="position:absolute" from="3043,1349" to="3043,1079" stroked="true" strokeweight=".5pt" strokecolor="#939598"/>
            <v:line style="position:absolute" from="3335,1074" to="3627,1074" stroked="true" strokeweight=".5pt" strokecolor="#939598"/>
            <v:line style="position:absolute" from="3335,1349" to="3335,1079" stroked="true" strokeweight=".5pt" strokecolor="#939598"/>
            <v:line style="position:absolute" from="3627,1074" to="3919,1074" stroked="true" strokeweight=".5pt" strokecolor="#939598"/>
            <v:line style="position:absolute" from="3627,1349" to="3627,1079" stroked="true" strokeweight=".5pt" strokecolor="#939598"/>
            <v:line style="position:absolute" from="3919,1074" to="4211,1074" stroked="true" strokeweight=".5pt" strokecolor="#939598"/>
            <v:line style="position:absolute" from="3919,1349" to="3919,1079" stroked="true" strokeweight=".5pt" strokecolor="#939598"/>
            <v:line style="position:absolute" from="4211,1074" to="4503,1074" stroked="true" strokeweight=".5pt" strokecolor="#939598"/>
            <v:line style="position:absolute" from="4211,1349" to="4211,1079" stroked="true" strokeweight=".5pt" strokecolor="#939598"/>
            <v:line style="position:absolute" from="4503,1074" to="4795,1074" stroked="true" strokeweight=".5pt" strokecolor="#939598"/>
            <v:line style="position:absolute" from="4503,1349" to="4503,1079" stroked="true" strokeweight=".5pt" strokecolor="#939598"/>
            <v:line style="position:absolute" from="4795,1074" to="5088,1074" stroked="true" strokeweight=".5pt" strokecolor="#939598"/>
            <v:line style="position:absolute" from="4795,1349" to="4795,1079" stroked="true" strokeweight=".5pt" strokecolor="#939598"/>
            <v:line style="position:absolute" from="5088,1074" to="5380,1074" stroked="true" strokeweight=".5pt" strokecolor="#939598"/>
            <v:line style="position:absolute" from="5088,1349" to="5088,1079" stroked="true" strokeweight=".5pt" strokecolor="#939598"/>
            <v:line style="position:absolute" from="5380,1074" to="5672,1074" stroked="true" strokeweight=".5pt" strokecolor="#939598"/>
            <v:line style="position:absolute" from="5380,1349" to="5380,1079" stroked="true" strokeweight=".5pt" strokecolor="#939598"/>
            <v:line style="position:absolute" from="5672,1074" to="5969,1074" stroked="true" strokeweight=".5pt" strokecolor="#939598"/>
            <v:line style="position:absolute" from="5672,1349" to="5672,1079" stroked="true" strokeweight=".5pt" strokecolor="#939598"/>
            <v:line style="position:absolute" from="5964,1349" to="5964,1079" stroked="true" strokeweight=".5pt" strokecolor="#939598"/>
            <v:line style="position:absolute" from="1285,1354" to="1582,1354" stroked="true" strokeweight=".5pt" strokecolor="#939598"/>
            <v:line style="position:absolute" from="1290,1629" to="1290,1359" stroked="true" strokeweight=".5pt" strokecolor="#939598"/>
            <v:line style="position:absolute" from="1582,1354" to="1874,1354" stroked="true" strokeweight=".5pt" strokecolor="#939598"/>
            <v:line style="position:absolute" from="1582,1629" to="1582,1359" stroked="true" strokeweight=".5pt" strokecolor="#939598"/>
            <v:line style="position:absolute" from="1874,1354" to="2166,1354" stroked="true" strokeweight=".5pt" strokecolor="#939598"/>
            <v:line style="position:absolute" from="1874,1629" to="1874,1359" stroked="true" strokeweight=".5pt" strokecolor="#939598"/>
            <v:line style="position:absolute" from="2166,1354" to="2458,1354" stroked="true" strokeweight=".5pt" strokecolor="#939598"/>
            <v:line style="position:absolute" from="2166,1629" to="2166,1359" stroked="true" strokeweight=".5pt" strokecolor="#939598"/>
            <v:line style="position:absolute" from="2458,1354" to="2751,1354" stroked="true" strokeweight=".5pt" strokecolor="#939598"/>
            <v:line style="position:absolute" from="2458,1629" to="2458,1359" stroked="true" strokeweight=".5pt" strokecolor="#939598"/>
            <v:line style="position:absolute" from="2751,1354" to="3043,1354" stroked="true" strokeweight=".5pt" strokecolor="#939598"/>
            <v:line style="position:absolute" from="2751,1629" to="2751,1359" stroked="true" strokeweight=".5pt" strokecolor="#939598"/>
            <v:line style="position:absolute" from="3043,1354" to="3335,1354" stroked="true" strokeweight=".5pt" strokecolor="#939598"/>
            <v:line style="position:absolute" from="3043,1629" to="3043,1359" stroked="true" strokeweight=".5pt" strokecolor="#939598"/>
            <v:line style="position:absolute" from="3335,1354" to="3627,1354" stroked="true" strokeweight=".5pt" strokecolor="#939598"/>
            <v:line style="position:absolute" from="3335,1629" to="3335,1359" stroked="true" strokeweight=".5pt" strokecolor="#939598"/>
            <v:line style="position:absolute" from="3627,1354" to="3919,1354" stroked="true" strokeweight=".5pt" strokecolor="#939598"/>
            <v:line style="position:absolute" from="3627,1629" to="3627,1359" stroked="true" strokeweight=".5pt" strokecolor="#939598"/>
            <v:line style="position:absolute" from="3919,1354" to="4211,1354" stroked="true" strokeweight=".5pt" strokecolor="#939598"/>
            <v:line style="position:absolute" from="3919,1629" to="3919,1359" stroked="true" strokeweight=".5pt" strokecolor="#939598"/>
            <v:line style="position:absolute" from="4211,1354" to="4503,1354" stroked="true" strokeweight=".5pt" strokecolor="#939598"/>
            <v:line style="position:absolute" from="4211,1629" to="4211,1359" stroked="true" strokeweight=".5pt" strokecolor="#939598"/>
            <v:line style="position:absolute" from="4503,1354" to="4795,1354" stroked="true" strokeweight=".5pt" strokecolor="#939598"/>
            <v:line style="position:absolute" from="4503,1629" to="4503,1359" stroked="true" strokeweight=".5pt" strokecolor="#939598"/>
            <v:line style="position:absolute" from="4795,1354" to="5088,1354" stroked="true" strokeweight=".5pt" strokecolor="#939598"/>
            <v:line style="position:absolute" from="4795,1629" to="4795,1359" stroked="true" strokeweight=".5pt" strokecolor="#939598"/>
            <v:line style="position:absolute" from="5088,1354" to="5380,1354" stroked="true" strokeweight=".5pt" strokecolor="#939598"/>
            <v:line style="position:absolute" from="5088,1629" to="5088,1359" stroked="true" strokeweight=".5pt" strokecolor="#939598"/>
            <v:line style="position:absolute" from="5380,1354" to="5672,1354" stroked="true" strokeweight=".5pt" strokecolor="#939598"/>
            <v:line style="position:absolute" from="5380,1629" to="5380,1359" stroked="true" strokeweight=".5pt" strokecolor="#939598"/>
            <v:line style="position:absolute" from="5672,1354" to="5969,1354" stroked="true" strokeweight=".5pt" strokecolor="#939598"/>
            <v:line style="position:absolute" from="5672,1629" to="5672,1359" stroked="true" strokeweight=".5pt" strokecolor="#939598"/>
            <v:line style="position:absolute" from="5964,1629" to="5964,1359" stroked="true" strokeweight=".5pt" strokecolor="#939598"/>
            <v:line style="position:absolute" from="1285,1634" to="1582,1634" stroked="true" strokeweight=".5pt" strokecolor="#939598"/>
            <v:line style="position:absolute" from="1290,1909" to="1290,1639" stroked="true" strokeweight=".5pt" strokecolor="#939598"/>
            <v:line style="position:absolute" from="1582,1634" to="1874,1634" stroked="true" strokeweight=".5pt" strokecolor="#939598"/>
            <v:line style="position:absolute" from="1582,1909" to="1582,1639" stroked="true" strokeweight=".5pt" strokecolor="#939598"/>
            <v:line style="position:absolute" from="1874,1634" to="2166,1634" stroked="true" strokeweight=".5pt" strokecolor="#939598"/>
            <v:line style="position:absolute" from="1874,1909" to="1874,1639" stroked="true" strokeweight=".5pt" strokecolor="#939598"/>
            <v:line style="position:absolute" from="2166,1634" to="2458,1634" stroked="true" strokeweight=".5pt" strokecolor="#939598"/>
            <v:line style="position:absolute" from="2166,1909" to="2166,1639" stroked="true" strokeweight=".5pt" strokecolor="#939598"/>
            <v:line style="position:absolute" from="2458,1634" to="2751,1634" stroked="true" strokeweight=".5pt" strokecolor="#939598"/>
            <v:line style="position:absolute" from="2458,1909" to="2458,1639" stroked="true" strokeweight=".5pt" strokecolor="#939598"/>
            <v:line style="position:absolute" from="2751,1634" to="3043,1634" stroked="true" strokeweight=".5pt" strokecolor="#939598"/>
            <v:line style="position:absolute" from="2751,1909" to="2751,1639" stroked="true" strokeweight=".5pt" strokecolor="#939598"/>
            <v:line style="position:absolute" from="3043,1634" to="3335,1634" stroked="true" strokeweight=".5pt" strokecolor="#939598"/>
            <v:line style="position:absolute" from="3043,1909" to="3043,1639" stroked="true" strokeweight=".5pt" strokecolor="#939598"/>
            <v:line style="position:absolute" from="3335,1634" to="3627,1634" stroked="true" strokeweight=".5pt" strokecolor="#939598"/>
            <v:line style="position:absolute" from="3335,1909" to="3335,1639" stroked="true" strokeweight=".5pt" strokecolor="#939598"/>
            <v:line style="position:absolute" from="3627,1634" to="3919,1634" stroked="true" strokeweight=".5pt" strokecolor="#939598"/>
            <v:line style="position:absolute" from="3627,1909" to="3627,1639" stroked="true" strokeweight=".5pt" strokecolor="#939598"/>
            <v:line style="position:absolute" from="3919,1634" to="4211,1634" stroked="true" strokeweight=".5pt" strokecolor="#939598"/>
            <v:line style="position:absolute" from="3919,1909" to="3919,1639" stroked="true" strokeweight=".5pt" strokecolor="#939598"/>
            <v:line style="position:absolute" from="4211,1634" to="4503,1634" stroked="true" strokeweight=".5pt" strokecolor="#939598"/>
            <v:line style="position:absolute" from="4211,1909" to="4211,1639" stroked="true" strokeweight=".5pt" strokecolor="#939598"/>
            <v:line style="position:absolute" from="4503,1634" to="4795,1634" stroked="true" strokeweight=".5pt" strokecolor="#939598"/>
            <v:line style="position:absolute" from="4503,1909" to="4503,1639" stroked="true" strokeweight=".5pt" strokecolor="#939598"/>
            <v:line style="position:absolute" from="4795,1634" to="5088,1634" stroked="true" strokeweight=".5pt" strokecolor="#939598"/>
            <v:line style="position:absolute" from="4795,1909" to="4795,1639" stroked="true" strokeweight=".5pt" strokecolor="#939598"/>
            <v:line style="position:absolute" from="5088,1634" to="5380,1634" stroked="true" strokeweight=".5pt" strokecolor="#939598"/>
            <v:line style="position:absolute" from="5088,1909" to="5088,1639" stroked="true" strokeweight=".5pt" strokecolor="#939598"/>
            <v:line style="position:absolute" from="5380,1634" to="5672,1634" stroked="true" strokeweight=".5pt" strokecolor="#939598"/>
            <v:line style="position:absolute" from="5380,1909" to="5380,1639" stroked="true" strokeweight=".5pt" strokecolor="#939598"/>
            <v:line style="position:absolute" from="5672,1634" to="5969,1634" stroked="true" strokeweight=".5pt" strokecolor="#939598"/>
            <v:line style="position:absolute" from="5672,1909" to="5672,1639" stroked="true" strokeweight=".5pt" strokecolor="#939598"/>
            <v:line style="position:absolute" from="5964,1909" to="5964,1639" stroked="true" strokeweight=".5pt" strokecolor="#939598"/>
            <v:line style="position:absolute" from="1285,1914" to="1582,1914" stroked="true" strokeweight=".5pt" strokecolor="#939598"/>
            <v:line style="position:absolute" from="1290,2189" to="1290,1919" stroked="true" strokeweight=".5pt" strokecolor="#939598"/>
            <v:line style="position:absolute" from="1582,1914" to="1874,1914" stroked="true" strokeweight=".5pt" strokecolor="#939598"/>
            <v:line style="position:absolute" from="1582,2189" to="1582,1919" stroked="true" strokeweight=".5pt" strokecolor="#939598"/>
            <v:line style="position:absolute" from="1874,1914" to="2166,1914" stroked="true" strokeweight=".5pt" strokecolor="#939598"/>
            <v:line style="position:absolute" from="1874,2189" to="1874,1919" stroked="true" strokeweight=".5pt" strokecolor="#939598"/>
            <v:line style="position:absolute" from="2166,1914" to="2458,1914" stroked="true" strokeweight=".5pt" strokecolor="#939598"/>
            <v:line style="position:absolute" from="2166,2189" to="2166,1919" stroked="true" strokeweight=".5pt" strokecolor="#939598"/>
            <v:line style="position:absolute" from="2458,1914" to="2751,1914" stroked="true" strokeweight=".5pt" strokecolor="#939598"/>
            <v:line style="position:absolute" from="2458,2189" to="2458,1919" stroked="true" strokeweight=".5pt" strokecolor="#939598"/>
            <v:line style="position:absolute" from="2751,1914" to="3043,1914" stroked="true" strokeweight=".5pt" strokecolor="#939598"/>
            <v:line style="position:absolute" from="2751,2189" to="2751,1919" stroked="true" strokeweight=".5pt" strokecolor="#939598"/>
            <v:line style="position:absolute" from="3043,1914" to="3335,1914" stroked="true" strokeweight=".5pt" strokecolor="#939598"/>
            <v:line style="position:absolute" from="3043,2189" to="3043,1919" stroked="true" strokeweight=".5pt" strokecolor="#939598"/>
            <v:line style="position:absolute" from="3335,1914" to="3627,1914" stroked="true" strokeweight=".5pt" strokecolor="#939598"/>
            <v:line style="position:absolute" from="3335,2189" to="3335,1919" stroked="true" strokeweight=".5pt" strokecolor="#939598"/>
            <v:line style="position:absolute" from="3627,1914" to="3919,1914" stroked="true" strokeweight=".5pt" strokecolor="#939598"/>
            <v:line style="position:absolute" from="3627,2189" to="3627,1919" stroked="true" strokeweight=".5pt" strokecolor="#939598"/>
            <v:line style="position:absolute" from="3919,1914" to="4211,1914" stroked="true" strokeweight=".5pt" strokecolor="#939598"/>
            <v:line style="position:absolute" from="3919,2189" to="3919,1919" stroked="true" strokeweight=".5pt" strokecolor="#939598"/>
            <v:line style="position:absolute" from="4211,1914" to="4503,1914" stroked="true" strokeweight=".5pt" strokecolor="#939598"/>
            <v:line style="position:absolute" from="4211,2189" to="4211,1919" stroked="true" strokeweight=".5pt" strokecolor="#939598"/>
            <v:line style="position:absolute" from="4503,1914" to="4795,1914" stroked="true" strokeweight=".5pt" strokecolor="#939598"/>
            <v:line style="position:absolute" from="4503,2189" to="4503,1919" stroked="true" strokeweight=".5pt" strokecolor="#939598"/>
            <v:line style="position:absolute" from="4795,1914" to="5088,1914" stroked="true" strokeweight=".5pt" strokecolor="#939598"/>
            <v:line style="position:absolute" from="4795,2189" to="4795,1919" stroked="true" strokeweight=".5pt" strokecolor="#939598"/>
            <v:line style="position:absolute" from="5088,1914" to="5380,1914" stroked="true" strokeweight=".5pt" strokecolor="#939598"/>
            <v:line style="position:absolute" from="5088,2189" to="5088,1919" stroked="true" strokeweight=".5pt" strokecolor="#939598"/>
            <v:line style="position:absolute" from="5380,1914" to="5672,1914" stroked="true" strokeweight=".5pt" strokecolor="#939598"/>
            <v:line style="position:absolute" from="5380,2189" to="5380,1919" stroked="true" strokeweight=".5pt" strokecolor="#939598"/>
            <v:line style="position:absolute" from="5672,1914" to="5969,1914" stroked="true" strokeweight=".5pt" strokecolor="#939598"/>
            <v:line style="position:absolute" from="5672,2189" to="5672,1919" stroked="true" strokeweight=".5pt" strokecolor="#939598"/>
            <v:line style="position:absolute" from="5964,2189" to="5964,1919" stroked="true" strokeweight=".5pt" strokecolor="#939598"/>
            <v:line style="position:absolute" from="1285,2194" to="1582,2194" stroked="true" strokeweight=".5pt" strokecolor="#939598"/>
            <v:line style="position:absolute" from="1290,2469" to="1290,2199" stroked="true" strokeweight=".5pt" strokecolor="#939598"/>
            <v:line style="position:absolute" from="1582,2194" to="1874,2194" stroked="true" strokeweight=".5pt" strokecolor="#939598"/>
            <v:line style="position:absolute" from="1582,2469" to="1582,2199" stroked="true" strokeweight=".5pt" strokecolor="#939598"/>
            <v:line style="position:absolute" from="1874,2194" to="2166,2194" stroked="true" strokeweight=".5pt" strokecolor="#939598"/>
            <v:line style="position:absolute" from="1874,2469" to="1874,2199" stroked="true" strokeweight=".5pt" strokecolor="#939598"/>
            <v:line style="position:absolute" from="2166,2194" to="2458,2194" stroked="true" strokeweight=".5pt" strokecolor="#939598"/>
            <v:line style="position:absolute" from="2166,2469" to="2166,2199" stroked="true" strokeweight=".5pt" strokecolor="#939598"/>
            <v:line style="position:absolute" from="2458,2194" to="2751,2194" stroked="true" strokeweight=".5pt" strokecolor="#939598"/>
            <v:line style="position:absolute" from="2458,2469" to="2458,2199" stroked="true" strokeweight=".5pt" strokecolor="#939598"/>
            <v:line style="position:absolute" from="2751,2194" to="3043,2194" stroked="true" strokeweight=".5pt" strokecolor="#939598"/>
            <v:line style="position:absolute" from="2751,2469" to="2751,2199" stroked="true" strokeweight=".5pt" strokecolor="#939598"/>
            <v:line style="position:absolute" from="3043,2194" to="3335,2194" stroked="true" strokeweight=".5pt" strokecolor="#939598"/>
            <v:line style="position:absolute" from="3043,2469" to="3043,2199" stroked="true" strokeweight=".5pt" strokecolor="#939598"/>
            <v:line style="position:absolute" from="3335,2194" to="3627,2194" stroked="true" strokeweight=".5pt" strokecolor="#939598"/>
            <v:line style="position:absolute" from="3335,2469" to="3335,2199" stroked="true" strokeweight=".5pt" strokecolor="#939598"/>
            <v:line style="position:absolute" from="3627,2194" to="3919,2194" stroked="true" strokeweight=".5pt" strokecolor="#939598"/>
            <v:line style="position:absolute" from="3627,2469" to="3627,2199" stroked="true" strokeweight=".5pt" strokecolor="#939598"/>
            <v:line style="position:absolute" from="3919,2194" to="4211,2194" stroked="true" strokeweight=".5pt" strokecolor="#939598"/>
            <v:line style="position:absolute" from="3919,2469" to="3919,2199" stroked="true" strokeweight=".5pt" strokecolor="#939598"/>
            <v:line style="position:absolute" from="4211,2194" to="4503,2194" stroked="true" strokeweight=".5pt" strokecolor="#939598"/>
            <v:line style="position:absolute" from="4211,2469" to="4211,2199" stroked="true" strokeweight=".5pt" strokecolor="#939598"/>
            <v:line style="position:absolute" from="4503,2194" to="4795,2194" stroked="true" strokeweight=".5pt" strokecolor="#939598"/>
            <v:line style="position:absolute" from="4503,2469" to="4503,2199" stroked="true" strokeweight=".5pt" strokecolor="#939598"/>
            <v:line style="position:absolute" from="4795,2194" to="5088,2194" stroked="true" strokeweight=".5pt" strokecolor="#939598"/>
            <v:line style="position:absolute" from="4795,2469" to="4795,2199" stroked="true" strokeweight=".5pt" strokecolor="#939598"/>
            <v:line style="position:absolute" from="5088,2194" to="5380,2194" stroked="true" strokeweight=".5pt" strokecolor="#939598"/>
            <v:line style="position:absolute" from="5088,2469" to="5088,2199" stroked="true" strokeweight=".5pt" strokecolor="#939598"/>
            <v:line style="position:absolute" from="5380,2194" to="5672,2194" stroked="true" strokeweight=".5pt" strokecolor="#939598"/>
            <v:line style="position:absolute" from="5380,2469" to="5380,2199" stroked="true" strokeweight=".5pt" strokecolor="#939598"/>
            <v:line style="position:absolute" from="5672,2194" to="5969,2194" stroked="true" strokeweight=".5pt" strokecolor="#939598"/>
            <v:line style="position:absolute" from="5672,2469" to="5672,2199" stroked="true" strokeweight=".5pt" strokecolor="#939598"/>
            <v:line style="position:absolute" from="5964,2469" to="5964,2199" stroked="true" strokeweight=".5pt" strokecolor="#939598"/>
            <v:line style="position:absolute" from="1285,2474" to="1582,2474" stroked="true" strokeweight=".5pt" strokecolor="#939598"/>
            <v:line style="position:absolute" from="1290,2749" to="1290,2479" stroked="true" strokeweight=".5pt" strokecolor="#939598"/>
            <v:line style="position:absolute" from="1582,2474" to="1874,2474" stroked="true" strokeweight=".5pt" strokecolor="#939598"/>
            <v:line style="position:absolute" from="1582,2749" to="1582,2479" stroked="true" strokeweight=".5pt" strokecolor="#939598"/>
            <v:line style="position:absolute" from="1874,2474" to="2166,2474" stroked="true" strokeweight=".5pt" strokecolor="#939598"/>
            <v:line style="position:absolute" from="1874,2749" to="1874,2479" stroked="true" strokeweight=".5pt" strokecolor="#939598"/>
            <v:line style="position:absolute" from="2166,2474" to="2458,2474" stroked="true" strokeweight=".5pt" strokecolor="#939598"/>
            <v:line style="position:absolute" from="2166,2749" to="2166,2479" stroked="true" strokeweight=".5pt" strokecolor="#939598"/>
            <v:line style="position:absolute" from="2458,2474" to="2751,2474" stroked="true" strokeweight=".5pt" strokecolor="#939598"/>
            <v:line style="position:absolute" from="2458,2749" to="2458,2479" stroked="true" strokeweight=".5pt" strokecolor="#939598"/>
            <v:line style="position:absolute" from="2751,2474" to="3043,2474" stroked="true" strokeweight=".5pt" strokecolor="#939598"/>
            <v:line style="position:absolute" from="2751,2749" to="2751,2479" stroked="true" strokeweight=".5pt" strokecolor="#939598"/>
            <v:line style="position:absolute" from="3043,2474" to="3335,2474" stroked="true" strokeweight=".5pt" strokecolor="#939598"/>
            <v:line style="position:absolute" from="3043,2749" to="3043,2479" stroked="true" strokeweight=".5pt" strokecolor="#939598"/>
            <v:line style="position:absolute" from="3335,2474" to="3627,2474" stroked="true" strokeweight=".5pt" strokecolor="#939598"/>
            <v:line style="position:absolute" from="3335,2749" to="3335,2479" stroked="true" strokeweight=".5pt" strokecolor="#939598"/>
            <v:line style="position:absolute" from="3627,2474" to="3919,2474" stroked="true" strokeweight=".5pt" strokecolor="#939598"/>
            <v:line style="position:absolute" from="3627,2749" to="3627,2479" stroked="true" strokeweight=".5pt" strokecolor="#939598"/>
            <v:line style="position:absolute" from="3919,2474" to="4211,2474" stroked="true" strokeweight=".5pt" strokecolor="#939598"/>
            <v:line style="position:absolute" from="3919,2749" to="3919,2479" stroked="true" strokeweight=".5pt" strokecolor="#939598"/>
            <v:line style="position:absolute" from="4211,2474" to="4503,2474" stroked="true" strokeweight=".5pt" strokecolor="#939598"/>
            <v:line style="position:absolute" from="4211,2749" to="4211,2479" stroked="true" strokeweight=".5pt" strokecolor="#939598"/>
            <v:line style="position:absolute" from="4503,2474" to="4795,2474" stroked="true" strokeweight=".5pt" strokecolor="#939598"/>
            <v:line style="position:absolute" from="4503,2749" to="4503,2479" stroked="true" strokeweight=".5pt" strokecolor="#939598"/>
            <v:line style="position:absolute" from="4795,2474" to="5088,2474" stroked="true" strokeweight=".5pt" strokecolor="#939598"/>
            <v:line style="position:absolute" from="4795,2749" to="4795,2479" stroked="true" strokeweight=".5pt" strokecolor="#939598"/>
            <v:line style="position:absolute" from="5088,2474" to="5380,2474" stroked="true" strokeweight=".5pt" strokecolor="#939598"/>
            <v:line style="position:absolute" from="5088,2749" to="5088,2479" stroked="true" strokeweight=".5pt" strokecolor="#939598"/>
            <v:line style="position:absolute" from="5380,2474" to="5672,2474" stroked="true" strokeweight=".5pt" strokecolor="#939598"/>
            <v:line style="position:absolute" from="5380,2749" to="5380,2479" stroked="true" strokeweight=".5pt" strokecolor="#939598"/>
            <v:line style="position:absolute" from="5672,2474" to="5969,2474" stroked="true" strokeweight=".5pt" strokecolor="#939598"/>
            <v:line style="position:absolute" from="5672,2749" to="5672,2479" stroked="true" strokeweight=".5pt" strokecolor="#939598"/>
            <v:line style="position:absolute" from="5964,2749" to="5964,2479" stroked="true" strokeweight=".5pt" strokecolor="#939598"/>
            <v:line style="position:absolute" from="1285,2754" to="1582,2754" stroked="true" strokeweight=".5pt" strokecolor="#939598"/>
            <v:line style="position:absolute" from="1582,2754" to="1874,2754" stroked="true" strokeweight=".5pt" strokecolor="#939598"/>
            <v:line style="position:absolute" from="1874,2754" to="2166,2754" stroked="true" strokeweight=".5pt" strokecolor="#939598"/>
            <v:line style="position:absolute" from="2166,2754" to="2458,2754" stroked="true" strokeweight=".5pt" strokecolor="#939598"/>
            <v:line style="position:absolute" from="2458,2754" to="2751,2754" stroked="true" strokeweight=".5pt" strokecolor="#939598"/>
            <v:line style="position:absolute" from="2751,2754" to="3043,2754" stroked="true" strokeweight=".5pt" strokecolor="#939598"/>
            <v:line style="position:absolute" from="3043,2754" to="3335,2754" stroked="true" strokeweight=".5pt" strokecolor="#939598"/>
            <v:line style="position:absolute" from="3335,2754" to="3627,2754" stroked="true" strokeweight=".5pt" strokecolor="#939598"/>
            <v:line style="position:absolute" from="3627,2754" to="3919,2754" stroked="true" strokeweight=".5pt" strokecolor="#939598"/>
            <v:line style="position:absolute" from="3919,2754" to="4211,2754" stroked="true" strokeweight=".5pt" strokecolor="#939598"/>
            <v:line style="position:absolute" from="4211,2754" to="4503,2754" stroked="true" strokeweight=".5pt" strokecolor="#939598"/>
            <v:line style="position:absolute" from="4503,2754" to="4795,2754" stroked="true" strokeweight=".5pt" strokecolor="#939598"/>
            <v:line style="position:absolute" from="4795,2754" to="5088,2754" stroked="true" strokeweight=".5pt" strokecolor="#939598"/>
            <v:line style="position:absolute" from="5088,2754" to="5380,2754" stroked="true" strokeweight=".5pt" strokecolor="#939598"/>
            <v:line style="position:absolute" from="5380,2754" to="5672,2754" stroked="true" strokeweight=".5pt" strokecolor="#939598"/>
            <v:line style="position:absolute" from="5672,2754" to="5969,2754" stroked="true" strokeweight=".5pt" strokecolor="#939598"/>
            <v:shape style="position:absolute;left:1333;top:1093;width:4572;height:968" coordorigin="1333,1093" coordsize="4572,968" path="m1333,2061l1477,2035,1615,1999,1759,1993,1909,1981,2047,1951,2185,1945,2329,1909,2473,1873,2617,1855,2773,1821,2911,1783,3049,1729,3185,1669,3325,1603,3475,1561,3619,1513,3757,1441,3895,1381,4045,1321,4189,1261,4333,1221,4477,1171,4625,1141,4759,1105,4909,1093,5059,1093,5197,1105,5345,1105,5479,1129,5617,1141,5761,1165,5905,1181e" filled="false" stroked="true" strokeweight=".5pt" strokecolor="#231f20">
              <v:path arrowok="t"/>
            </v:shape>
            <v:line style="position:absolute" from="1366,2221" to="1453,2221" stroked="true" strokeweight=".5pt" strokecolor="#231f20">
              <v:stroke dashstyle="dash"/>
            </v:line>
            <v:line style="position:absolute" from="1512,2217" to="1600,2206" stroked="true" strokeweight=".5pt" strokecolor="#231f20">
              <v:stroke dashstyle="dash"/>
            </v:line>
            <v:line style="position:absolute" from="1656,2203" to="1737,2203" stroked="true" strokeweight=".5pt" strokecolor="#231f20">
              <v:stroke dashstyle="dash"/>
            </v:line>
            <v:line style="position:absolute" from="1793,2200" to="2023,2183" stroked="true" strokeweight=".5pt" strokecolor="#231f20">
              <v:stroke dashstyle="dash"/>
            </v:line>
            <v:line style="position:absolute" from="2079,2176" to="2162,2164" stroked="true" strokeweight=".5pt" strokecolor="#231f20">
              <v:stroke dashstyle="dash"/>
            </v:line>
            <v:line style="position:absolute" from="2218,2159" to="2443,2144" stroked="true" strokeweight=".5pt" strokecolor="#231f20">
              <v:stroke dashstyle="dash"/>
            </v:line>
            <v:line style="position:absolute" from="2502,2138" to="2742,2104" stroked="true" strokeweight=".5pt" strokecolor="#231f20">
              <v:stroke dashstyle="dash"/>
            </v:line>
            <v:line style="position:absolute" from="2801,2098" to="2887,2091" stroked="true" strokeweight=".5pt" strokecolor="#231f20">
              <v:stroke dashstyle="dash"/>
            </v:line>
            <v:line style="position:absolute" from="2943,2083" to="3026,2069" stroked="true" strokeweight=".5pt" strokecolor="#231f20">
              <v:stroke dashstyle="dash"/>
            </v:line>
            <v:line style="position:absolute" from="3082,2056" to="3446,1957" stroked="true" strokeweight=".5pt" strokecolor="#231f20">
              <v:stroke dashstyle="dash"/>
            </v:line>
            <v:line style="position:absolute" from="3503,1943" to="3738,1891" stroked="true" strokeweight=".5pt" strokecolor="#231f20">
              <v:stroke dashstyle="dash"/>
            </v:line>
            <v:line style="position:absolute" from="3796,1876" to="4162,1772" stroked="true" strokeweight=".5pt" strokecolor="#231f20">
              <v:stroke dashstyle="dash"/>
            </v:line>
            <v:line style="position:absolute" from="4218,1758" to="4735,1656" stroked="true" strokeweight=".5pt" strokecolor="#231f20">
              <v:stroke dashstyle="dash"/>
            </v:line>
            <v:line style="position:absolute" from="4794,1648" to="4884,1641" stroked="true" strokeweight=".5pt" strokecolor="#231f20">
              <v:stroke dashstyle="dash"/>
            </v:line>
            <v:line style="position:absolute" from="4941,1632" to="5024,1614" stroked="true" strokeweight=".5pt" strokecolor="#231f20">
              <v:stroke dashstyle="dash"/>
            </v:line>
            <v:line style="position:absolute" from="5081,1606" to="5167,1599" stroked="true" strokeweight=".5pt" strokecolor="#231f20">
              <v:stroke dashstyle="dash"/>
            </v:line>
            <v:line style="position:absolute" from="5225,1598" to="5455,1602" stroked="true" strokeweight=".5pt" strokecolor="#231f20">
              <v:stroke dashstyle="dash"/>
            </v:line>
            <v:line style="position:absolute" from="5511,1606" to="5594,1613" stroked="true" strokeweight=".5pt" strokecolor="#231f20">
              <v:stroke dashstyle="dash"/>
            </v:line>
            <v:line style="position:absolute" from="5650,1615" to="5875,1615" stroked="true" strokeweight=".5pt" strokecolor="#231f20">
              <v:stroke dashstyle="dash"/>
            </v:line>
            <v:shape style="position:absolute;left:0;top:5564;width:4566;height:625" coordorigin="0,5564" coordsize="4566,625" path="m1333,2221l1348,2221m1463,2221l1477,2221,1492,2219m1610,2205l1625,2203,1639,2203m1745,2203l1759,2203,1774,2202m2033,2182l2047,2181,2061,2179m2171,2163l2185,2161,2199,2160m2453,2144l2467,2143,2482,2141m2752,2103l2767,2101,2782,2100m2897,2090l2911,2089,2925,2086m3035,2067l3049,2065,3063,2061m3455,1955l3469,1951,3484,1948m3748,1888l3763,1885,3777,1881m4171,1769l4185,1765,4199,1762m4745,1654l4759,1651,4774,1650m4894,1640l4909,1639,4923,1636m5033,1612l5047,1609,5062,1608m5177,1598l5191,1597,5206,1597m5465,1603l5479,1603,5493,1604m5603,1614l5617,1615,5631,1615m5885,1615l5899,1615e" filled="false" stroked="true" strokeweight=".5pt" strokecolor="#231f20">
              <v:path arrowok="t"/>
            </v:shape>
            <v:line style="position:absolute" from="1408,1821" to="1446,1821" stroked="true" strokeweight="1pt" strokecolor="#231f20">
              <v:stroke dashstyle="dash"/>
            </v:line>
            <v:line style="position:absolute" from="1538,1816" to="1731,1798" stroked="true" strokeweight="1pt" strokecolor="#231f20">
              <v:stroke dashstyle="dash"/>
            </v:line>
            <v:line style="position:absolute" from="1832,1792" to="1869,1791" stroked="true" strokeweight="1.0pt" strokecolor="#231f20">
              <v:stroke dashstyle="dash"/>
            </v:line>
            <v:line style="position:absolute" from="1976,1771" to="2011,1762" stroked="true" strokeweight="1pt" strokecolor="#231f20">
              <v:stroke dashstyle="dash"/>
            </v:line>
            <v:line style="position:absolute" from="2116,1747" to="2150,1744" stroked="true" strokeweight="1pt" strokecolor="#231f20">
              <v:stroke dashstyle="dash"/>
            </v:line>
            <v:line style="position:absolute" from="2257,1729" to="2293,1723" stroked="true" strokeweight="1pt" strokecolor="#231f20">
              <v:stroke dashstyle="dash"/>
            </v:line>
            <v:line style="position:absolute" from="2379,1705" to="2454,1687" stroked="true" strokeweight="1pt" strokecolor="#231f20">
              <v:stroke dashstyle="dash"/>
            </v:line>
            <v:line style="position:absolute" from="2545,1654" to="2578,1641" stroked="true" strokeweight="1pt" strokecolor="#231f20">
              <v:stroke dashstyle="dash"/>
            </v:line>
            <v:line style="position:absolute" from="2683,1624" to="2719,1622" stroked="true" strokeweight="1pt" strokecolor="#231f20">
              <v:stroke dashstyle="dash"/>
            </v:line>
            <v:line style="position:absolute" from="2805,1611" to="2880,1596" stroked="true" strokeweight="1pt" strokecolor="#231f20">
              <v:stroke dashstyle="dash"/>
            </v:line>
            <v:line style="position:absolute" from="2974,1573" to="3008,1564" stroked="true" strokeweight="1pt" strokecolor="#231f20">
              <v:stroke dashstyle="dash"/>
            </v:line>
            <v:line style="position:absolute" from="3093,1527" to="3168,1485" stroked="true" strokeweight="1pt" strokecolor="#231f20">
              <v:stroke dashstyle="dash"/>
            </v:line>
            <v:line style="position:absolute" from="3244,1455" to="3320,1431" stroked="true" strokeweight="1pt" strokecolor="#231f20">
              <v:stroke dashstyle="dash"/>
            </v:line>
            <v:line style="position:absolute" from="3407,1396" to="3438,1382" stroked="true" strokeweight="1pt" strokecolor="#231f20">
              <v:stroke dashstyle="dash"/>
            </v:line>
            <v:line style="position:absolute" from="3521,1343" to="3599,1304" stroked="true" strokeweight="1pt" strokecolor="#231f20">
              <v:stroke dashstyle="dash"/>
            </v:line>
            <v:line style="position:absolute" from="3697,1270" to="3733,1259" stroked="true" strokeweight="1pt" strokecolor="#231f20">
              <v:stroke dashstyle="dash"/>
            </v:line>
            <v:line style="position:absolute" from="3817,1223" to="3889,1184" stroked="true" strokeweight="1pt" strokecolor="#231f20">
              <v:stroke dashstyle="dash"/>
            </v:line>
            <v:line style="position:absolute" from="3966,1149" to="4312,1008" stroked="true" strokeweight="1pt" strokecolor="#231f20">
              <v:stroke dashstyle="dash"/>
            </v:line>
            <v:line style="position:absolute" from="4385,975" to="4454,942" stroked="true" strokeweight="1pt" strokecolor="#231f20">
              <v:stroke dashstyle="dash"/>
            </v:line>
            <v:line style="position:absolute" from="4533,917" to="4731,868" stroked="true" strokeweight="1pt" strokecolor="#231f20">
              <v:stroke dashstyle="dash"/>
            </v:line>
            <v:line style="position:absolute" from="4820,850" to="5155,787" stroked="true" strokeweight="1pt" strokecolor="#231f20">
              <v:stroke dashstyle="dash"/>
            </v:line>
            <v:line style="position:absolute" from="5254,784" to="5288,786" stroked="true" strokeweight="1pt" strokecolor="#231f20">
              <v:stroke dashstyle="dash"/>
            </v:line>
            <v:line style="position:absolute" from="5386,786" to="5735,782" stroked="true" strokeweight="1pt" strokecolor="#231f20">
              <v:stroke dashstyle="dash"/>
            </v:line>
            <v:line style="position:absolute" from="5836,787" to="5871,790" stroked="true" strokeweight="1pt" strokecolor="#231f20">
              <v:stroke dashstyle="dash"/>
            </v:line>
            <v:shape style="position:absolute;left:0;top:5148;width:4572;height:1040" coordorigin="0,5148" coordsize="4572,1040" path="m1333,1821l1333,1821m1483,1821l1483,1821m1759,1795l1759,1795m1905,1789l1905,1789m2047,1753l2047,1753m2185,1741l2185,1741m2329,1717l2329,1717m2479,1681l2479,1681m2611,1627l2611,1627m2755,1621l2755,1621m2905,1591l2905,1591m3043,1555l3043,1555m3193,1471l3193,1471m3345,1423l3345,1423m3469,1369l3469,1369m3625,1291l3625,1291m3769,1249l3769,1249m3913,1171l3913,1171m4339,997l4339,997m4477,931l4477,931m4759,861l4759,861m5185,781l5185,781m5323,787l5323,787m5767,781l5767,781m5905,793l5905,793e" filled="false" stroked="true" strokeweight="1pt" strokecolor="#231f20">
              <v:path arrowok="t"/>
            </v:shape>
            <v:line style="position:absolute" from="1392,1508" to="2158,1444" stroked="true" strokeweight=".5pt" strokecolor="#636466">
              <v:stroke dashstyle="dash"/>
            </v:line>
            <v:line style="position:absolute" from="2250,1424" to="2444,1362" stroked="true" strokeweight=".5pt" strokecolor="#636466">
              <v:stroke dashstyle="dash"/>
            </v:line>
            <v:line style="position:absolute" from="2539,1335" to="3003,1212" stroked="true" strokeweight=".5pt" strokecolor="#636466">
              <v:stroke dashstyle="dash"/>
            </v:line>
            <v:line style="position:absolute" from="3097,1182" to="3295,1114" stroked="true" strokeweight=".5pt" strokecolor="#636466">
              <v:stroke dashstyle="dash"/>
            </v:line>
            <v:line style="position:absolute" from="3385,1075" to="3583,979" stroked="true" strokeweight=".5pt" strokecolor="#636466">
              <v:stroke dashstyle="dash"/>
            </v:line>
            <v:line style="position:absolute" from="3673,939" to="3727,916" stroked="true" strokeweight=".5pt" strokecolor="#636466">
              <v:stroke dashstyle="dash"/>
            </v:line>
            <v:line style="position:absolute" from="3813,876" to="3862,852" stroked="true" strokeweight=".5pt" strokecolor="#636466">
              <v:stroke dashstyle="dash"/>
            </v:line>
            <v:line style="position:absolute" from="3949,819" to="4149,761" stroked="true" strokeweight=".5pt" strokecolor="#636466">
              <v:stroke dashstyle="dash"/>
            </v:line>
            <v:line style="position:absolute" from="4241,732" to="4596,614" stroked="true" strokeweight=".5pt" strokecolor="#636466">
              <v:stroke dashstyle="dash"/>
            </v:line>
            <v:line style="position:absolute" from="4678,583" to="4723,565" stroked="true" strokeweight=".5pt" strokecolor="#636466">
              <v:stroke dashstyle="dash"/>
            </v:line>
            <v:line style="position:absolute" from="4811,544" to="4870,535" stroked="true" strokeweight=".5pt" strokecolor="#636466">
              <v:stroke dashstyle="dash"/>
            </v:line>
            <v:line style="position:absolute" from="4961,519" to="5150,482" stroked="true" strokeweight=".5pt" strokecolor="#636466">
              <v:stroke dashstyle="dash"/>
            </v:line>
            <v:line style="position:absolute" from="5239,477" to="5293,479" stroked="true" strokeweight=".5pt" strokecolor="#636466">
              <v:stroke dashstyle="dash"/>
            </v:line>
            <v:line style="position:absolute" from="5385,479" to="5442,477" stroked="true" strokeweight=".5pt" strokecolor="#636466">
              <v:stroke dashstyle="dash"/>
            </v:line>
            <v:line style="position:absolute" from="5546,462" to="5704,430" stroked="true" strokeweight=".5pt" strokecolor="#636466">
              <v:stroke dashstyle="dash"/>
            </v:line>
            <v:line style="position:absolute" from="5805,417" to="5862,412" stroked="true" strokeweight=".5pt" strokecolor="#636466">
              <v:stroke dashstyle="dash"/>
            </v:line>
            <v:shape style="position:absolute;left:0;top:5084;width:4566;height:1105" coordorigin="0,5084" coordsize="4566,1105" path="m1333,1513l1353,1511m2177,1443l2197,1441,2215,1435m2461,1357l2479,1351,2499,1346m3023,1206l3043,1201,3061,1195m3313,1107l3331,1101,3349,1092m3601,970l3619,961,3637,954m3745,909l3763,901,3780,893m3879,843l3895,835,3913,830m4167,756l4185,751,4204,745m4614,607l4633,601,4648,595m4738,559l4753,553,4773,550m4890,532l4909,529,4926,526m5168,478l5185,475,5203,476m5311,480l5329,481,5348,480m5460,476l5479,475,5502,471m5727,426l5749,421,5768,419m5880,411l5899,409e" filled="false" stroked="true" strokeweight=".5pt" strokecolor="#636466">
              <v:path arrowok="t"/>
            </v:shape>
            <v:shape style="position:absolute;left:1321;top:1581;width:4584;height:616" coordorigin="1321,1581" coordsize="4584,616" path="m1321,2197l1477,2191,1625,2185,1753,2191,1909,2173,2047,2167,2179,2149,2329,2141,2479,2131,2617,2113,2767,2089,2899,2071,3043,2041,3175,1999,3325,1963,3475,1915,3619,1885,3757,1843,3907,1801,4039,1771,4189,1729,4333,1701,4465,1661,4609,1633,4759,1621,4891,1603,5041,1591,5185,1581,5329,1581,5473,1585,5617,1581,5749,1585,5905,1591e" filled="false" stroked="true" strokeweight="1pt" strokecolor="#939598">
              <v:path arrowok="t"/>
            </v:shape>
            <v:shape style="position:absolute;left:3895;top:1693;width:532;height:128" coordorigin="3895,1693" coordsize="532,128" path="m4427,1693l4427,1809m3895,1704l3895,1821e" filled="false" stroked="true" strokeweight="4.16pt" strokecolor="#ffffff">
              <v:path arrowok="t"/>
            </v:shape>
            <v:shape style="position:absolute;left:5547;top:391;width:64;height:441" coordorigin="5547,391" coordsize="64,441" path="m5611,715l5611,831m5547,391l5547,507e" filled="false" stroked="true" strokeweight="4.16pt" strokecolor="#ffffff">
              <v:path arrowok="t"/>
            </v:shape>
            <v:shape style="position:absolute;left:5547;top:234;width:126;height:280" type="#_x0000_t202" filled="false" stroked="false">
              <v:textbox inset="0,0,0,0">
                <w:txbxContent>
                  <w:p>
                    <w:pPr>
                      <w:spacing w:line="156" w:lineRule="exact" w:before="124"/>
                      <w:ind w:left="-42" w:right="0" w:firstLine="0"/>
                      <w:jc w:val="left"/>
                      <w:rPr>
                        <w:sz w:val="16"/>
                      </w:rPr>
                    </w:pPr>
                    <w:r>
                      <w:rPr>
                        <w:color w:val="231F20"/>
                        <w:w w:val="104"/>
                        <w:sz w:val="16"/>
                      </w:rPr>
                      <w:t>4</w:t>
                    </w:r>
                  </w:p>
                </w:txbxContent>
              </v:textbox>
              <w10:wrap type="none"/>
            </v:shape>
            <v:shape style="position:absolute;left:5672;top:1074;width:293;height:280" type="#_x0000_t202" filled="false" stroked="false">
              <v:textbox inset="0,0,0,0">
                <w:txbxContent>
                  <w:p>
                    <w:pPr>
                      <w:spacing w:line="182" w:lineRule="exact" w:before="0"/>
                      <w:ind w:left="35" w:right="0" w:firstLine="0"/>
                      <w:jc w:val="left"/>
                      <w:rPr>
                        <w:sz w:val="16"/>
                      </w:rPr>
                    </w:pPr>
                    <w:r>
                      <w:rPr>
                        <w:color w:val="231F20"/>
                        <w:w w:val="104"/>
                        <w:sz w:val="16"/>
                      </w:rPr>
                      <w:t>1</w:t>
                    </w:r>
                  </w:p>
                </w:txbxContent>
              </v:textbox>
              <w10:wrap type="none"/>
            </v:shape>
            <v:shape style="position:absolute;left:3627;top:1634;width:293;height:280" type="#_x0000_t202" filled="false" stroked="false">
              <v:textbox inset="0,0,0,0">
                <w:txbxContent>
                  <w:p>
                    <w:pPr>
                      <w:spacing w:before="37"/>
                      <w:ind w:left="0" w:right="-18" w:firstLine="0"/>
                      <w:jc w:val="right"/>
                      <w:rPr>
                        <w:sz w:val="16"/>
                      </w:rPr>
                    </w:pPr>
                    <w:r>
                      <w:rPr>
                        <w:color w:val="231F20"/>
                        <w:w w:val="104"/>
                        <w:sz w:val="16"/>
                      </w:rPr>
                      <w:t>5</w:t>
                    </w:r>
                  </w:p>
                </w:txbxContent>
              </v:textbox>
              <w10:wrap type="none"/>
            </v:shape>
            <v:shape style="position:absolute;left:4211;top:1634;width:293;height:280" type="#_x0000_t202" filled="false" stroked="false">
              <v:textbox inset="0,0,0,0">
                <w:txbxContent>
                  <w:p>
                    <w:pPr>
                      <w:spacing w:before="26"/>
                      <w:ind w:left="173" w:right="0" w:firstLine="0"/>
                      <w:jc w:val="left"/>
                      <w:rPr>
                        <w:sz w:val="16"/>
                      </w:rPr>
                    </w:pPr>
                    <w:r>
                      <w:rPr>
                        <w:color w:val="231F20"/>
                        <w:w w:val="104"/>
                        <w:sz w:val="16"/>
                      </w:rPr>
                      <w:t>2</w:t>
                    </w:r>
                  </w:p>
                </w:txbxContent>
              </v:textbox>
              <w10:wrap type="none"/>
            </v:shape>
            <v:shape style="position:absolute;left:5569;top:708;width:84;height:160" type="#_x0000_t202" filled="false" stroked="false">
              <v:textbox inset="0,0,0,0">
                <w:txbxContent>
                  <w:p>
                    <w:pPr>
                      <w:spacing w:line="158" w:lineRule="exact" w:before="0"/>
                      <w:ind w:left="0" w:right="0" w:firstLine="0"/>
                      <w:jc w:val="left"/>
                      <w:rPr>
                        <w:sz w:val="16"/>
                      </w:rPr>
                    </w:pPr>
                    <w:r>
                      <w:rPr>
                        <w:color w:val="231F20"/>
                        <w:w w:val="104"/>
                        <w:sz w:val="16"/>
                      </w:rPr>
                      <w:t>3</w:t>
                    </w:r>
                  </w:p>
                </w:txbxContent>
              </v:textbox>
              <w10:wrap type="none"/>
            </v:shape>
            <w10:wrap type="none"/>
          </v:group>
        </w:pict>
      </w:r>
      <w:r>
        <w:rPr>
          <w:color w:val="231F20"/>
          <w:w w:val="105"/>
          <w:sz w:val="16"/>
        </w:rPr>
        <w:t>— 18%</w:t>
      </w:r>
    </w:p>
    <w:p>
      <w:pPr>
        <w:spacing w:before="96"/>
        <w:ind w:left="1519" w:right="0" w:firstLine="0"/>
        <w:jc w:val="left"/>
        <w:rPr>
          <w:sz w:val="16"/>
        </w:rPr>
      </w:pPr>
      <w:r>
        <w:rPr>
          <w:color w:val="231F20"/>
          <w:w w:val="105"/>
          <w:sz w:val="16"/>
        </w:rPr>
        <w:t>—16%</w:t>
      </w:r>
    </w:p>
    <w:p>
      <w:pPr>
        <w:spacing w:before="96"/>
        <w:ind w:left="1519" w:right="0" w:firstLine="0"/>
        <w:jc w:val="left"/>
        <w:rPr>
          <w:sz w:val="16"/>
        </w:rPr>
      </w:pPr>
      <w:r>
        <w:rPr>
          <w:color w:val="231F20"/>
          <w:w w:val="105"/>
          <w:sz w:val="16"/>
        </w:rPr>
        <w:t>— 14%</w:t>
      </w:r>
    </w:p>
    <w:p>
      <w:pPr>
        <w:spacing w:before="96"/>
        <w:ind w:left="1519" w:right="0" w:firstLine="0"/>
        <w:jc w:val="left"/>
        <w:rPr>
          <w:sz w:val="16"/>
        </w:rPr>
      </w:pPr>
      <w:r>
        <w:rPr>
          <w:color w:val="231F20"/>
          <w:w w:val="105"/>
          <w:sz w:val="16"/>
        </w:rPr>
        <w:t>— 12%</w:t>
      </w:r>
    </w:p>
    <w:p>
      <w:pPr>
        <w:spacing w:before="96"/>
        <w:ind w:left="1519" w:right="0" w:firstLine="0"/>
        <w:jc w:val="left"/>
        <w:rPr>
          <w:sz w:val="16"/>
        </w:rPr>
      </w:pPr>
      <w:r>
        <w:rPr>
          <w:color w:val="231F20"/>
          <w:w w:val="105"/>
          <w:sz w:val="16"/>
        </w:rPr>
        <w:t>— 10%</w:t>
      </w:r>
    </w:p>
    <w:p>
      <w:pPr>
        <w:spacing w:before="96"/>
        <w:ind w:left="1519" w:right="0" w:firstLine="0"/>
        <w:jc w:val="left"/>
        <w:rPr>
          <w:sz w:val="16"/>
        </w:rPr>
      </w:pPr>
      <w:r>
        <w:rPr>
          <w:color w:val="231F20"/>
          <w:w w:val="105"/>
          <w:sz w:val="16"/>
        </w:rPr>
        <w:t>— 8%</w:t>
      </w:r>
    </w:p>
    <w:p>
      <w:pPr>
        <w:spacing w:before="96"/>
        <w:ind w:left="1519" w:right="0" w:firstLine="0"/>
        <w:jc w:val="left"/>
        <w:rPr>
          <w:sz w:val="16"/>
        </w:rPr>
      </w:pPr>
      <w:r>
        <w:rPr>
          <w:color w:val="231F20"/>
          <w:w w:val="105"/>
          <w:sz w:val="16"/>
        </w:rPr>
        <w:t>— 6%</w:t>
      </w:r>
    </w:p>
    <w:p>
      <w:pPr>
        <w:spacing w:before="96"/>
        <w:ind w:left="1519" w:right="0" w:firstLine="0"/>
        <w:jc w:val="left"/>
        <w:rPr>
          <w:sz w:val="16"/>
        </w:rPr>
      </w:pPr>
      <w:r>
        <w:rPr>
          <w:color w:val="231F20"/>
          <w:w w:val="105"/>
          <w:sz w:val="16"/>
        </w:rPr>
        <w:t>— 4%</w:t>
      </w:r>
    </w:p>
    <w:p>
      <w:pPr>
        <w:spacing w:before="96"/>
        <w:ind w:left="1519" w:right="0" w:firstLine="0"/>
        <w:jc w:val="left"/>
        <w:rPr>
          <w:sz w:val="16"/>
        </w:rPr>
      </w:pPr>
      <w:r>
        <w:rPr>
          <w:color w:val="231F20"/>
          <w:w w:val="105"/>
          <w:sz w:val="16"/>
        </w:rPr>
        <w:t>— 2%</w:t>
      </w:r>
    </w:p>
    <w:p>
      <w:pPr>
        <w:spacing w:before="96"/>
        <w:ind w:left="1519" w:right="0" w:firstLine="0"/>
        <w:jc w:val="left"/>
        <w:rPr>
          <w:sz w:val="16"/>
        </w:rPr>
      </w:pPr>
      <w:r>
        <w:rPr/>
        <w:pict>
          <v:shape style="position:absolute;margin-left:58.621197pt;margin-top:11.072254pt;width:244.4pt;height:37.050pt;mso-position-horizontal-relative:page;mso-position-vertical-relative:paragraph;z-index:-348760"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200801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200805</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200809</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200811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200905</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200909</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200911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201001</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201003</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201007</w:t>
                  </w:r>
                  <w:r>
                    <w:rPr>
                      <w:color w:val="231F20"/>
                      <w:spacing w:val="1"/>
                      <w:sz w:val="16"/>
                    </w:rPr>
                    <w:t> </w:t>
                  </w:r>
                  <w:r>
                    <w:rPr>
                      <w:color w:val="231F20"/>
                      <w:sz w:val="16"/>
                    </w:rPr>
                    <w:t>—</w:t>
                  </w:r>
                </w:p>
                <w:p>
                  <w:pPr>
                    <w:spacing w:before="109"/>
                    <w:ind w:left="20" w:right="0" w:firstLine="0"/>
                    <w:jc w:val="left"/>
                    <w:rPr>
                      <w:sz w:val="16"/>
                    </w:rPr>
                  </w:pPr>
                  <w:r>
                    <w:rPr>
                      <w:color w:val="231F20"/>
                      <w:w w:val="104"/>
                      <w:sz w:val="16"/>
                    </w:rPr>
                    <w:t>201009</w:t>
                  </w:r>
                  <w:r>
                    <w:rPr>
                      <w:color w:val="231F20"/>
                      <w:spacing w:val="1"/>
                      <w:sz w:val="16"/>
                    </w:rPr>
                    <w:t> </w:t>
                  </w:r>
                  <w:r>
                    <w:rPr>
                      <w:color w:val="231F20"/>
                      <w:sz w:val="16"/>
                    </w:rPr>
                    <w:t>—</w:t>
                  </w:r>
                </w:p>
              </w:txbxContent>
            </v:textbox>
            <w10:wrap type="none"/>
          </v:shape>
        </w:pict>
      </w:r>
      <w:r>
        <w:rPr>
          <w:color w:val="231F20"/>
          <w:w w:val="105"/>
          <w:sz w:val="16"/>
        </w:rPr>
        <w:t>— 0%</w:t>
      </w:r>
    </w:p>
    <w:p>
      <w:pPr>
        <w:spacing w:after="0"/>
        <w:jc w:val="left"/>
        <w:rPr>
          <w:sz w:val="16"/>
        </w:rPr>
        <w:sectPr>
          <w:type w:val="continuous"/>
          <w:pgSz w:w="7640" w:h="11900"/>
          <w:pgMar w:top="980" w:bottom="280" w:left="780" w:right="360"/>
          <w:cols w:num="2" w:equalWidth="0">
            <w:col w:w="3646" w:space="40"/>
            <w:col w:w="2814"/>
          </w:cols>
        </w:sectPr>
      </w:pPr>
    </w:p>
    <w:p>
      <w:pPr>
        <w:pStyle w:val="BodyText"/>
      </w:pPr>
    </w:p>
    <w:p>
      <w:pPr>
        <w:pStyle w:val="BodyText"/>
      </w:pPr>
    </w:p>
    <w:p>
      <w:pPr>
        <w:pStyle w:val="BodyText"/>
        <w:spacing w:before="1"/>
        <w:rPr>
          <w:sz w:val="25"/>
        </w:rPr>
      </w:pPr>
    </w:p>
    <w:p>
      <w:pPr>
        <w:spacing w:line="273" w:lineRule="auto" w:before="67"/>
        <w:ind w:left="100" w:right="420" w:firstLine="0"/>
        <w:jc w:val="left"/>
        <w:rPr>
          <w:rFonts w:ascii="Calibri"/>
          <w:sz w:val="18"/>
        </w:rPr>
      </w:pPr>
      <w:r>
        <w:rPr>
          <w:rFonts w:ascii="Calibri"/>
          <w:color w:val="231F20"/>
          <w:w w:val="125"/>
          <w:sz w:val="18"/>
        </w:rPr>
        <w:t>1] inmigrantes latinoamericanos; 2] otros inmigrantes; 3] nativos latinos; 4] negros no latinos; 5] blancos  latinos</w:t>
      </w:r>
    </w:p>
    <w:p>
      <w:pPr>
        <w:spacing w:line="276" w:lineRule="auto" w:before="0"/>
        <w:ind w:left="100" w:right="420" w:firstLine="0"/>
        <w:jc w:val="left"/>
        <w:rPr>
          <w:sz w:val="18"/>
        </w:rPr>
      </w:pPr>
      <w:r>
        <w:rPr>
          <w:rFonts w:ascii="Calibri" w:hAnsi="Calibri"/>
          <w:color w:val="231F20"/>
          <w:w w:val="110"/>
          <w:sz w:val="18"/>
        </w:rPr>
        <w:t>fuente: </w:t>
      </w:r>
      <w:r>
        <w:rPr>
          <w:color w:val="231F20"/>
          <w:w w:val="110"/>
          <w:sz w:val="18"/>
        </w:rPr>
        <w:t>elaboración propia con base en Current Population Survey, enero  de 2008 a septiembre de</w:t>
      </w:r>
      <w:r>
        <w:rPr>
          <w:color w:val="231F20"/>
          <w:spacing w:val="16"/>
          <w:w w:val="110"/>
          <w:sz w:val="18"/>
        </w:rPr>
        <w:t> </w:t>
      </w:r>
      <w:r>
        <w:rPr>
          <w:color w:val="231F20"/>
          <w:w w:val="110"/>
          <w:sz w:val="18"/>
        </w:rPr>
        <w:t>2010.</w:t>
      </w:r>
    </w:p>
    <w:p>
      <w:pPr>
        <w:spacing w:after="0" w:line="276" w:lineRule="auto"/>
        <w:jc w:val="left"/>
        <w:rPr>
          <w:sz w:val="18"/>
        </w:rPr>
        <w:sectPr>
          <w:type w:val="continuous"/>
          <w:pgSz w:w="7640" w:h="11900"/>
          <w:pgMar w:top="980" w:bottom="280" w:left="780" w:right="360"/>
        </w:sectPr>
      </w:pPr>
    </w:p>
    <w:p>
      <w:pPr>
        <w:pStyle w:val="BodyText"/>
        <w:spacing w:before="8"/>
        <w:rPr>
          <w:sz w:val="8"/>
        </w:rPr>
      </w:pPr>
    </w:p>
    <w:p>
      <w:pPr>
        <w:pStyle w:val="BodyText"/>
        <w:spacing w:line="261" w:lineRule="auto" w:before="67"/>
        <w:ind w:left="100" w:right="117" w:firstLine="240"/>
        <w:jc w:val="both"/>
      </w:pPr>
      <w:r>
        <w:rPr>
          <w:color w:val="231F20"/>
          <w:w w:val="110"/>
        </w:rPr>
        <w:t>Por un lado, se incrementa la participación de los inmigrantes latinos en este tipo de puestos de trabajo, que corresponden a los   de menor nivel social y económico, y por otro lado, ello deriva en una mayor precarización del empleo y aumentos en los niveles de pobreza de la</w:t>
      </w:r>
      <w:r>
        <w:rPr>
          <w:color w:val="231F20"/>
          <w:spacing w:val="36"/>
          <w:w w:val="110"/>
        </w:rPr>
        <w:t> </w:t>
      </w:r>
      <w:r>
        <w:rPr>
          <w:color w:val="231F20"/>
          <w:w w:val="110"/>
        </w:rPr>
        <w:t>población.</w:t>
      </w:r>
    </w:p>
    <w:p>
      <w:pPr>
        <w:pStyle w:val="BodyText"/>
        <w:spacing w:line="261" w:lineRule="auto"/>
        <w:ind w:left="100" w:right="116" w:firstLine="240"/>
        <w:jc w:val="both"/>
      </w:pPr>
      <w:r>
        <w:rPr>
          <w:color w:val="231F20"/>
          <w:w w:val="110"/>
        </w:rPr>
        <w:t>Al respecto, un primer dato que destaca es la diferente evolu- ción de las ocupaciones, tanto en periodos de auge económico, como frente a la crisis de los últimos años. Como se observa en la siguiente gráfica, entre 2000 y 2007, el ciclo expansivo de la econo- mía estadunidense de esos años, no arrastró tras de sí a todos los estratos ocupacionales por igual. De hecho, este ciclo está asociado a un cambio en la estructura ocupacional. Mientras las ocupaciones directamente productivas (manufactura, y similares) pierden casi 4 millones</w:t>
      </w:r>
      <w:r>
        <w:rPr>
          <w:color w:val="231F20"/>
          <w:spacing w:val="-21"/>
          <w:w w:val="110"/>
        </w:rPr>
        <w:t> </w:t>
      </w:r>
      <w:r>
        <w:rPr>
          <w:color w:val="231F20"/>
          <w:w w:val="110"/>
        </w:rPr>
        <w:t>de</w:t>
      </w:r>
      <w:r>
        <w:rPr>
          <w:color w:val="231F20"/>
          <w:spacing w:val="-21"/>
          <w:w w:val="110"/>
        </w:rPr>
        <w:t> </w:t>
      </w:r>
      <w:r>
        <w:rPr>
          <w:color w:val="231F20"/>
          <w:w w:val="110"/>
        </w:rPr>
        <w:t>empleos,</w:t>
      </w:r>
      <w:r>
        <w:rPr>
          <w:color w:val="231F20"/>
          <w:spacing w:val="-21"/>
          <w:w w:val="110"/>
        </w:rPr>
        <w:t> </w:t>
      </w:r>
      <w:r>
        <w:rPr>
          <w:color w:val="231F20"/>
          <w:w w:val="110"/>
        </w:rPr>
        <w:t>en</w:t>
      </w:r>
      <w:r>
        <w:rPr>
          <w:color w:val="231F20"/>
          <w:spacing w:val="-21"/>
          <w:w w:val="110"/>
        </w:rPr>
        <w:t> </w:t>
      </w:r>
      <w:r>
        <w:rPr>
          <w:color w:val="231F20"/>
          <w:w w:val="110"/>
        </w:rPr>
        <w:t>los</w:t>
      </w:r>
      <w:r>
        <w:rPr>
          <w:color w:val="231F20"/>
          <w:spacing w:val="-21"/>
          <w:w w:val="110"/>
        </w:rPr>
        <w:t> </w:t>
      </w:r>
      <w:r>
        <w:rPr>
          <w:color w:val="231F20"/>
          <w:w w:val="110"/>
        </w:rPr>
        <w:t>niveles</w:t>
      </w:r>
      <w:r>
        <w:rPr>
          <w:color w:val="231F20"/>
          <w:spacing w:val="-21"/>
          <w:w w:val="110"/>
        </w:rPr>
        <w:t> </w:t>
      </w:r>
      <w:r>
        <w:rPr>
          <w:color w:val="231F20"/>
          <w:w w:val="110"/>
        </w:rPr>
        <w:t>más</w:t>
      </w:r>
      <w:r>
        <w:rPr>
          <w:color w:val="231F20"/>
          <w:spacing w:val="-21"/>
          <w:w w:val="110"/>
        </w:rPr>
        <w:t> </w:t>
      </w:r>
      <w:r>
        <w:rPr>
          <w:color w:val="231F20"/>
          <w:w w:val="110"/>
        </w:rPr>
        <w:t>altos</w:t>
      </w:r>
      <w:r>
        <w:rPr>
          <w:color w:val="231F20"/>
          <w:spacing w:val="-21"/>
          <w:w w:val="110"/>
        </w:rPr>
        <w:t> </w:t>
      </w:r>
      <w:r>
        <w:rPr>
          <w:color w:val="231F20"/>
          <w:w w:val="110"/>
        </w:rPr>
        <w:t>de</w:t>
      </w:r>
      <w:r>
        <w:rPr>
          <w:color w:val="231F20"/>
          <w:spacing w:val="-21"/>
          <w:w w:val="110"/>
        </w:rPr>
        <w:t> </w:t>
      </w:r>
      <w:r>
        <w:rPr>
          <w:color w:val="231F20"/>
          <w:w w:val="110"/>
        </w:rPr>
        <w:t>dirección</w:t>
      </w:r>
      <w:r>
        <w:rPr>
          <w:color w:val="231F20"/>
          <w:spacing w:val="-21"/>
          <w:w w:val="110"/>
        </w:rPr>
        <w:t> </w:t>
      </w:r>
      <w:r>
        <w:rPr>
          <w:color w:val="231F20"/>
          <w:w w:val="110"/>
        </w:rPr>
        <w:t>(ejecutivos, profesionales, etc.) así como en los niveles ocupacionales más bajos (tareas de la reproducción social), se generan 7.11 y 4.36 millones de nuevos puestos de trabajo,</w:t>
      </w:r>
      <w:r>
        <w:rPr>
          <w:color w:val="231F20"/>
          <w:spacing w:val="21"/>
          <w:w w:val="110"/>
        </w:rPr>
        <w:t> </w:t>
      </w:r>
      <w:r>
        <w:rPr>
          <w:color w:val="231F20"/>
          <w:w w:val="110"/>
        </w:rPr>
        <w:t>respectivamente.</w:t>
      </w:r>
    </w:p>
    <w:p>
      <w:pPr>
        <w:pStyle w:val="BodyText"/>
        <w:spacing w:before="2"/>
        <w:rPr>
          <w:sz w:val="24"/>
        </w:rPr>
      </w:pPr>
    </w:p>
    <w:p>
      <w:pPr>
        <w:spacing w:line="290" w:lineRule="auto" w:before="0"/>
        <w:ind w:left="100" w:right="202" w:firstLine="0"/>
        <w:jc w:val="left"/>
        <w:rPr>
          <w:sz w:val="18"/>
        </w:rPr>
      </w:pPr>
      <w:r>
        <w:rPr>
          <w:color w:val="231F20"/>
          <w:w w:val="120"/>
          <w:sz w:val="18"/>
        </w:rPr>
        <w:t>gráfica 6. evolución del empleo según grandes estratos ocupacionales, estados unidos (millones de personas,  acumulado)</w:t>
      </w:r>
    </w:p>
    <w:p>
      <w:pPr>
        <w:tabs>
          <w:tab w:pos="4203" w:val="left" w:leader="none"/>
        </w:tabs>
        <w:spacing w:before="94"/>
        <w:ind w:left="1380" w:right="25" w:firstLine="0"/>
        <w:jc w:val="left"/>
        <w:rPr>
          <w:sz w:val="14"/>
        </w:rPr>
      </w:pPr>
      <w:r>
        <w:rPr>
          <w:color w:val="231F20"/>
          <w:sz w:val="14"/>
        </w:rPr>
        <w:t>2000-2007</w:t>
        <w:tab/>
        <w:t>2007-2010</w:t>
      </w:r>
    </w:p>
    <w:p>
      <w:pPr>
        <w:pStyle w:val="BodyText"/>
        <w:spacing w:line="20" w:lineRule="exact"/>
        <w:ind w:left="285"/>
        <w:rPr>
          <w:sz w:val="2"/>
        </w:rPr>
      </w:pPr>
      <w:r>
        <w:rPr>
          <w:sz w:val="2"/>
        </w:rPr>
        <w:pict>
          <v:group style="width:281.5pt;height:.5pt;mso-position-horizontal-relative:char;mso-position-vertical-relative:line" coordorigin="0,0" coordsize="5630,10">
            <v:line style="position:absolute" from="5,5" to="2801,5" stroked="true" strokeweight=".5pt" strokecolor="#231f20"/>
            <v:line style="position:absolute" from="2829,5" to="5625,5" stroked="true" strokeweight=".5pt" strokecolor="#231f20"/>
          </v:group>
        </w:pict>
      </w:r>
      <w:r>
        <w:rPr>
          <w:sz w:val="2"/>
        </w:rPr>
      </w:r>
    </w:p>
    <w:p>
      <w:pPr>
        <w:spacing w:before="33"/>
        <w:ind w:left="490" w:right="25" w:firstLine="0"/>
        <w:jc w:val="left"/>
        <w:rPr>
          <w:sz w:val="14"/>
        </w:rPr>
      </w:pPr>
      <w:r>
        <w:rPr/>
        <w:pict>
          <v:group style="position:absolute;margin-left:47.25pt;margin-top:9.807064pt;width:281.5pt;height:142.9pt;mso-position-horizontal-relative:page;mso-position-vertical-relative:paragraph;z-index:8848" coordorigin="945,196" coordsize="5630,2858">
            <v:shape style="position:absolute;left:1118;top:196;width:877;height:1170" coordorigin="1118,196" coordsize="877,1170" path="m1438,196l1118,196,1118,1366,1438,1366,1438,196m1994,1102l1674,1102,1674,1366,1994,1366,1994,1102e" filled="true" fillcolor="#808285" stroked="false">
              <v:path arrowok="t"/>
              <v:fill type="solid"/>
            </v:shape>
            <v:rect style="position:absolute;left:2231;top:1378;width:320;height:622" filled="true" fillcolor="#bcbec0" stroked="false">
              <v:fill type="solid"/>
            </v:rect>
            <v:shape style="position:absolute;left:2787;top:655;width:877;height:712" coordorigin="2787,655" coordsize="877,712" path="m3107,1155l2787,1155,2787,1366,3107,1366,3107,1155m3664,655l3344,655,3344,1366,3664,1366,3664,655e" filled="true" fillcolor="#808285" stroked="false">
              <v:path arrowok="t"/>
              <v:fill type="solid"/>
            </v:shape>
            <v:line style="position:absolute" from="950,1372" to="3734,1372" stroked="true" strokeweight=".5pt" strokecolor="#231f20"/>
            <v:rect style="position:absolute;left:3950;top:1252;width:320;height:112" filled="true" fillcolor="#808285" stroked="false">
              <v:fill type="solid"/>
            </v:rect>
            <v:shape style="position:absolute;left:4460;top:1370;width:1467;height:1532" coordorigin="4460,1370" coordsize="1467,1532" path="m4780,1375l4460,1375,4460,2902,4780,2902,4780,1375m5383,1375l5063,1375,5063,2806,5383,2806,5383,1375m5926,1370l5606,1370,5606,2782,5926,2782,5926,1370e" filled="true" fillcolor="#bcbec0" stroked="false">
              <v:path arrowok="t"/>
              <v:fill type="solid"/>
            </v:shape>
            <v:line style="position:absolute" from="6176,1344" to="6496,1344" stroked="true" strokeweight="2.0pt" strokecolor="#808285"/>
            <v:line style="position:absolute" from="3786,1365" to="6570,1365" stroked="true" strokeweight=".5pt" strokecolor="#231f20"/>
            <v:shape style="position:absolute;left:3377;top:509;width:255;height:140" type="#_x0000_t202" filled="false" stroked="false">
              <v:textbox inset="0,0,0,0">
                <w:txbxContent>
                  <w:p>
                    <w:pPr>
                      <w:spacing w:line="138" w:lineRule="exact" w:before="0"/>
                      <w:ind w:left="0" w:right="-10" w:firstLine="0"/>
                      <w:jc w:val="left"/>
                      <w:rPr>
                        <w:sz w:val="14"/>
                      </w:rPr>
                    </w:pPr>
                    <w:r>
                      <w:rPr>
                        <w:color w:val="231F20"/>
                        <w:sz w:val="14"/>
                      </w:rPr>
                      <w:t>4.36</w:t>
                    </w:r>
                  </w:p>
                </w:txbxContent>
              </v:textbox>
              <w10:wrap type="none"/>
            </v:shape>
            <v:shape style="position:absolute;left:1709;top:952;width:255;height:140" type="#_x0000_t202" filled="false" stroked="false">
              <v:textbox inset="0,0,0,0">
                <w:txbxContent>
                  <w:p>
                    <w:pPr>
                      <w:spacing w:line="138" w:lineRule="exact" w:before="0"/>
                      <w:ind w:left="0" w:right="-10" w:firstLine="0"/>
                      <w:jc w:val="left"/>
                      <w:rPr>
                        <w:sz w:val="14"/>
                      </w:rPr>
                    </w:pPr>
                    <w:r>
                      <w:rPr>
                        <w:color w:val="231F20"/>
                        <w:sz w:val="14"/>
                      </w:rPr>
                      <w:t>1.61</w:t>
                    </w:r>
                  </w:p>
                </w:txbxContent>
              </v:textbox>
              <w10:wrap type="none"/>
            </v:shape>
            <v:shape style="position:absolute;left:2813;top:1012;width:255;height:140" type="#_x0000_t202" filled="false" stroked="false">
              <v:textbox inset="0,0,0,0">
                <w:txbxContent>
                  <w:p>
                    <w:pPr>
                      <w:spacing w:line="138" w:lineRule="exact" w:before="0"/>
                      <w:ind w:left="0" w:right="-10" w:firstLine="0"/>
                      <w:jc w:val="left"/>
                      <w:rPr>
                        <w:sz w:val="14"/>
                      </w:rPr>
                    </w:pPr>
                    <w:r>
                      <w:rPr>
                        <w:color w:val="231F20"/>
                        <w:sz w:val="14"/>
                      </w:rPr>
                      <w:t>1.33</w:t>
                    </w:r>
                  </w:p>
                </w:txbxContent>
              </v:textbox>
              <w10:wrap type="none"/>
            </v:shape>
            <v:shape style="position:absolute;left:3965;top:1120;width:255;height:140" type="#_x0000_t202" filled="false" stroked="false">
              <v:textbox inset="0,0,0,0">
                <w:txbxContent>
                  <w:p>
                    <w:pPr>
                      <w:spacing w:line="138" w:lineRule="exact" w:before="0"/>
                      <w:ind w:left="0" w:right="-10" w:firstLine="0"/>
                      <w:jc w:val="left"/>
                      <w:rPr>
                        <w:sz w:val="14"/>
                      </w:rPr>
                    </w:pPr>
                    <w:r>
                      <w:rPr>
                        <w:color w:val="231F20"/>
                        <w:sz w:val="14"/>
                      </w:rPr>
                      <w:t>0.22</w:t>
                    </w:r>
                  </w:p>
                </w:txbxContent>
              </v:textbox>
              <w10:wrap type="none"/>
            </v:shape>
            <v:shape style="position:absolute;left:6203;top:1180;width:255;height:140" type="#_x0000_t202" filled="false" stroked="false">
              <v:textbox inset="0,0,0,0">
                <w:txbxContent>
                  <w:p>
                    <w:pPr>
                      <w:spacing w:line="138" w:lineRule="exact" w:before="0"/>
                      <w:ind w:left="0" w:right="-10" w:firstLine="0"/>
                      <w:jc w:val="left"/>
                      <w:rPr>
                        <w:sz w:val="14"/>
                      </w:rPr>
                    </w:pPr>
                    <w:r>
                      <w:rPr>
                        <w:color w:val="231F20"/>
                        <w:sz w:val="14"/>
                      </w:rPr>
                      <w:t>0.01</w:t>
                    </w:r>
                  </w:p>
                </w:txbxContent>
              </v:textbox>
              <w10:wrap type="none"/>
            </v:shape>
            <v:shape style="position:absolute;left:2253;top:2018;width:325;height:140" type="#_x0000_t202" filled="false" stroked="false">
              <v:textbox inset="0,0,0,0">
                <w:txbxContent>
                  <w:p>
                    <w:pPr>
                      <w:spacing w:line="138" w:lineRule="exact" w:before="0"/>
                      <w:ind w:left="0" w:right="-10" w:firstLine="0"/>
                      <w:jc w:val="left"/>
                      <w:rPr>
                        <w:sz w:val="14"/>
                      </w:rPr>
                    </w:pPr>
                    <w:r>
                      <w:rPr>
                        <w:color w:val="231F20"/>
                        <w:sz w:val="14"/>
                      </w:rPr>
                      <w:t>–3.76</w:t>
                    </w:r>
                  </w:p>
                </w:txbxContent>
              </v:textbox>
              <w10:wrap type="none"/>
            </v:shape>
            <v:shape style="position:absolute;left:4454;top:2914;width:325;height:140" type="#_x0000_t202" filled="false" stroked="false">
              <v:textbox inset="0,0,0,0">
                <w:txbxContent>
                  <w:p>
                    <w:pPr>
                      <w:spacing w:line="138" w:lineRule="exact" w:before="0"/>
                      <w:ind w:left="0" w:right="-10" w:firstLine="0"/>
                      <w:jc w:val="left"/>
                      <w:rPr>
                        <w:sz w:val="14"/>
                      </w:rPr>
                    </w:pPr>
                    <w:r>
                      <w:rPr>
                        <w:color w:val="231F20"/>
                        <w:sz w:val="14"/>
                      </w:rPr>
                      <w:t>–2.69</w:t>
                    </w:r>
                  </w:p>
                </w:txbxContent>
              </v:textbox>
              <w10:wrap type="none"/>
            </v:shape>
            <v:shape style="position:absolute;left:5072;top:2804;width:854;height:154" type="#_x0000_t202" filled="false" stroked="false">
              <v:textbox inset="0,0,0,0">
                <w:txbxContent>
                  <w:p>
                    <w:pPr>
                      <w:tabs>
                        <w:tab w:pos="528" w:val="left" w:leader="none"/>
                      </w:tabs>
                      <w:spacing w:line="152" w:lineRule="exact" w:before="0"/>
                      <w:ind w:left="0" w:right="0" w:firstLine="0"/>
                      <w:jc w:val="left"/>
                      <w:rPr>
                        <w:sz w:val="14"/>
                      </w:rPr>
                    </w:pPr>
                    <w:r>
                      <w:rPr>
                        <w:color w:val="231F20"/>
                        <w:w w:val="105"/>
                        <w:sz w:val="14"/>
                      </w:rPr>
                      <w:t>–2.52</w:t>
                      <w:tab/>
                    </w:r>
                    <w:r>
                      <w:rPr>
                        <w:color w:val="231F20"/>
                        <w:position w:val="1"/>
                        <w:sz w:val="14"/>
                      </w:rPr>
                      <w:t>–2.47</w:t>
                    </w:r>
                  </w:p>
                </w:txbxContent>
              </v:textbox>
              <w10:wrap type="none"/>
            </v:shape>
            <w10:wrap type="none"/>
          </v:group>
        </w:pict>
      </w:r>
      <w:r>
        <w:rPr/>
        <w:pict>
          <v:shape style="position:absolute;margin-left:49.512299pt;margin-top:37.348564pt;width:9pt;height:32pt;mso-position-horizontal-relative:page;mso-position-vertical-relative:paragraph;z-index:8872" type="#_x0000_t202" filled="false" stroked="false">
            <v:textbox inset="0,0,0,0" style="layout-flow:vertical;mso-layout-flow-alt:bottom-to-top">
              <w:txbxContent>
                <w:p>
                  <w:pPr>
                    <w:spacing w:line="158" w:lineRule="exact" w:before="0"/>
                    <w:ind w:left="20" w:right="-460" w:firstLine="0"/>
                    <w:jc w:val="left"/>
                    <w:rPr>
                      <w:sz w:val="14"/>
                    </w:rPr>
                  </w:pPr>
                  <w:r>
                    <w:rPr>
                      <w:color w:val="231F20"/>
                      <w:w w:val="108"/>
                      <w:sz w:val="14"/>
                    </w:rPr>
                    <w:t>Dirección</w:t>
                  </w:r>
                </w:p>
              </w:txbxContent>
            </v:textbox>
            <w10:wrap type="none"/>
          </v:shape>
        </w:pict>
      </w:r>
      <w:r>
        <w:rPr/>
        <w:pict>
          <v:shape style="position:absolute;margin-left:77.337196pt;margin-top:20.268562pt;width:9pt;height:49.05pt;mso-position-horizontal-relative:page;mso-position-vertical-relative:paragraph;z-index:8896" type="#_x0000_t202" filled="false" stroked="false">
            <v:textbox inset="0,0,0,0" style="layout-flow:vertical;mso-layout-flow-alt:bottom-to-top">
              <w:txbxContent>
                <w:p>
                  <w:pPr>
                    <w:spacing w:line="158" w:lineRule="exact" w:before="0"/>
                    <w:ind w:left="20" w:right="-801" w:firstLine="0"/>
                    <w:jc w:val="left"/>
                    <w:rPr>
                      <w:sz w:val="14"/>
                    </w:rPr>
                  </w:pPr>
                  <w:r>
                    <w:rPr>
                      <w:color w:val="231F20"/>
                      <w:w w:val="108"/>
                      <w:sz w:val="14"/>
                    </w:rPr>
                    <w:t>Administración</w:t>
                  </w:r>
                </w:p>
              </w:txbxContent>
            </v:textbox>
            <w10:wrap type="none"/>
          </v:shape>
        </w:pict>
      </w:r>
      <w:r>
        <w:rPr/>
        <w:pict>
          <v:shape style="position:absolute;margin-left:132.987305pt;margin-top:26.288561pt;width:9pt;height:43.05pt;mso-position-horizontal-relative:page;mso-position-vertical-relative:paragraph;z-index:8944" type="#_x0000_t202" filled="false" stroked="false">
            <v:textbox inset="0,0,0,0" style="layout-flow:vertical;mso-layout-flow-alt:bottom-to-top">
              <w:txbxContent>
                <w:p>
                  <w:pPr>
                    <w:spacing w:line="158" w:lineRule="exact" w:before="0"/>
                    <w:ind w:left="20" w:right="-681" w:firstLine="0"/>
                    <w:jc w:val="left"/>
                    <w:rPr>
                      <w:sz w:val="14"/>
                    </w:rPr>
                  </w:pPr>
                  <w:r>
                    <w:rPr>
                      <w:color w:val="231F20"/>
                      <w:w w:val="109"/>
                      <w:sz w:val="14"/>
                    </w:rPr>
                    <w:t>Construcción</w:t>
                  </w:r>
                </w:p>
              </w:txbxContent>
            </v:textbox>
            <w10:wrap type="none"/>
          </v:shape>
        </w:pict>
      </w:r>
      <w:r>
        <w:rPr/>
        <w:pict>
          <v:shape style="position:absolute;margin-left:160.812302pt;margin-top:23.768562pt;width:9pt;height:45.55pt;mso-position-horizontal-relative:page;mso-position-vertical-relative:paragraph;z-index:8968" type="#_x0000_t202" filled="false" stroked="false">
            <v:textbox inset="0,0,0,0" style="layout-flow:vertical;mso-layout-flow-alt:bottom-to-top">
              <w:txbxContent>
                <w:p>
                  <w:pPr>
                    <w:spacing w:line="158" w:lineRule="exact" w:before="0"/>
                    <w:ind w:left="20" w:right="-731" w:firstLine="0"/>
                    <w:jc w:val="left"/>
                    <w:rPr>
                      <w:sz w:val="14"/>
                    </w:rPr>
                  </w:pPr>
                  <w:r>
                    <w:rPr>
                      <w:color w:val="231F20"/>
                      <w:w w:val="110"/>
                      <w:sz w:val="14"/>
                    </w:rPr>
                    <w:t>Reproducción</w:t>
                  </w:r>
                </w:p>
              </w:txbxContent>
            </v:textbox>
            <w10:wrap type="none"/>
          </v:shape>
        </w:pict>
      </w:r>
      <w:r>
        <w:rPr/>
        <w:pict>
          <v:shape style="position:absolute;margin-left:191.116302pt;margin-top:37.229164pt;width:9pt;height:32pt;mso-position-horizontal-relative:page;mso-position-vertical-relative:paragraph;z-index:8992" type="#_x0000_t202" filled="false" stroked="false">
            <v:textbox inset="0,0,0,0" style="layout-flow:vertical;mso-layout-flow-alt:bottom-to-top">
              <w:txbxContent>
                <w:p>
                  <w:pPr>
                    <w:spacing w:line="158" w:lineRule="exact" w:before="0"/>
                    <w:ind w:left="20" w:right="-460" w:firstLine="0"/>
                    <w:jc w:val="left"/>
                    <w:rPr>
                      <w:sz w:val="14"/>
                    </w:rPr>
                  </w:pPr>
                  <w:r>
                    <w:rPr>
                      <w:color w:val="231F20"/>
                      <w:w w:val="108"/>
                      <w:sz w:val="14"/>
                    </w:rPr>
                    <w:t>Dirección</w:t>
                  </w:r>
                </w:p>
              </w:txbxContent>
            </v:textbox>
            <w10:wrap type="none"/>
          </v:shape>
        </w:pict>
      </w:r>
      <w:r>
        <w:rPr/>
        <w:pict>
          <v:shape style="position:absolute;margin-left:302.41629pt;margin-top:23.649162pt;width:9pt;height:45.55pt;mso-position-horizontal-relative:page;mso-position-vertical-relative:paragraph;z-index:9088" type="#_x0000_t202" filled="false" stroked="false">
            <v:textbox inset="0,0,0,0" style="layout-flow:vertical;mso-layout-flow-alt:bottom-to-top">
              <w:txbxContent>
                <w:p>
                  <w:pPr>
                    <w:spacing w:line="158" w:lineRule="exact" w:before="0"/>
                    <w:ind w:left="20" w:right="-731" w:firstLine="0"/>
                    <w:jc w:val="left"/>
                    <w:rPr>
                      <w:sz w:val="14"/>
                    </w:rPr>
                  </w:pPr>
                  <w:r>
                    <w:rPr>
                      <w:color w:val="231F20"/>
                      <w:w w:val="110"/>
                      <w:sz w:val="14"/>
                    </w:rPr>
                    <w:t>Reproducción</w:t>
                  </w:r>
                </w:p>
              </w:txbxContent>
            </v:textbox>
            <w10:wrap type="none"/>
          </v:shape>
        </w:pict>
      </w:r>
      <w:r>
        <w:rPr>
          <w:color w:val="231F20"/>
          <w:w w:val="105"/>
          <w:sz w:val="14"/>
        </w:rPr>
        <w:t>7.11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6"/>
        </w:rPr>
      </w:pPr>
    </w:p>
    <w:p>
      <w:pPr>
        <w:spacing w:before="0"/>
        <w:ind w:left="100" w:right="25" w:firstLine="0"/>
        <w:jc w:val="left"/>
        <w:rPr>
          <w:sz w:val="18"/>
        </w:rPr>
      </w:pPr>
      <w:r>
        <w:rPr/>
        <w:pict>
          <v:shape style="position:absolute;margin-left:105.162201pt;margin-top:-89.427063pt;width:9pt;height:37.450pt;mso-position-horizontal-relative:page;mso-position-vertical-relative:paragraph;z-index:8920" type="#_x0000_t202" filled="false" stroked="false">
            <v:textbox inset="0,0,0,0" style="layout-flow:vertical;mso-layout-flow-alt:bottom-to-top">
              <w:txbxContent>
                <w:p>
                  <w:pPr>
                    <w:spacing w:line="158" w:lineRule="exact" w:before="0"/>
                    <w:ind w:left="20" w:right="-569" w:firstLine="0"/>
                    <w:jc w:val="left"/>
                    <w:rPr>
                      <w:sz w:val="14"/>
                    </w:rPr>
                  </w:pPr>
                  <w:r>
                    <w:rPr>
                      <w:color w:val="231F20"/>
                      <w:w w:val="111"/>
                      <w:sz w:val="14"/>
                    </w:rPr>
                    <w:t>Producción</w:t>
                  </w:r>
                </w:p>
              </w:txbxContent>
            </v:textbox>
            <w10:wrap type="none"/>
          </v:shape>
        </w:pict>
      </w:r>
      <w:r>
        <w:rPr/>
        <w:pict>
          <v:shape style="position:absolute;margin-left:216.612305pt;margin-top:-89.547966pt;width:9pt;height:49.05pt;mso-position-horizontal-relative:page;mso-position-vertical-relative:paragraph;z-index:9016" type="#_x0000_t202" filled="false" stroked="false">
            <v:textbox inset="0,0,0,0" style="layout-flow:vertical;mso-layout-flow-alt:bottom-to-top">
              <w:txbxContent>
                <w:p>
                  <w:pPr>
                    <w:spacing w:line="158" w:lineRule="exact" w:before="0"/>
                    <w:ind w:left="20" w:right="-801" w:firstLine="0"/>
                    <w:jc w:val="left"/>
                    <w:rPr>
                      <w:sz w:val="14"/>
                    </w:rPr>
                  </w:pPr>
                  <w:r>
                    <w:rPr>
                      <w:color w:val="231F20"/>
                      <w:w w:val="108"/>
                      <w:sz w:val="14"/>
                    </w:rPr>
                    <w:t>Administración</w:t>
                  </w:r>
                </w:p>
              </w:txbxContent>
            </v:textbox>
            <w10:wrap type="none"/>
          </v:shape>
        </w:pict>
      </w:r>
      <w:r>
        <w:rPr/>
        <w:pict>
          <v:shape style="position:absolute;margin-left:246.766296pt;margin-top:-89.546562pt;width:9pt;height:37.450pt;mso-position-horizontal-relative:page;mso-position-vertical-relative:paragraph;z-index:9040" type="#_x0000_t202" filled="false" stroked="false">
            <v:textbox inset="0,0,0,0" style="layout-flow:vertical;mso-layout-flow-alt:bottom-to-top">
              <w:txbxContent>
                <w:p>
                  <w:pPr>
                    <w:spacing w:line="158" w:lineRule="exact" w:before="0"/>
                    <w:ind w:left="20" w:right="-569" w:firstLine="0"/>
                    <w:jc w:val="left"/>
                    <w:rPr>
                      <w:sz w:val="14"/>
                    </w:rPr>
                  </w:pPr>
                  <w:r>
                    <w:rPr>
                      <w:color w:val="231F20"/>
                      <w:w w:val="111"/>
                      <w:sz w:val="14"/>
                    </w:rPr>
                    <w:t>Producción</w:t>
                  </w:r>
                </w:p>
              </w:txbxContent>
            </v:textbox>
            <w10:wrap type="none"/>
          </v:shape>
        </w:pict>
      </w:r>
      <w:r>
        <w:rPr/>
        <w:pict>
          <v:shape style="position:absolute;margin-left:273.912292pt;margin-top:-89.807861pt;width:9pt;height:43.05pt;mso-position-horizontal-relative:page;mso-position-vertical-relative:paragraph;z-index:9064" type="#_x0000_t202" filled="false" stroked="false">
            <v:textbox inset="0,0,0,0" style="layout-flow:vertical;mso-layout-flow-alt:bottom-to-top">
              <w:txbxContent>
                <w:p>
                  <w:pPr>
                    <w:spacing w:line="158" w:lineRule="exact" w:before="0"/>
                    <w:ind w:left="20" w:right="-681" w:firstLine="0"/>
                    <w:jc w:val="left"/>
                    <w:rPr>
                      <w:sz w:val="14"/>
                    </w:rPr>
                  </w:pPr>
                  <w:r>
                    <w:rPr>
                      <w:color w:val="231F20"/>
                      <w:w w:val="109"/>
                      <w:sz w:val="14"/>
                    </w:rPr>
                    <w:t>Construcción</w:t>
                  </w:r>
                </w:p>
              </w:txbxContent>
            </v:textbox>
            <w10:wrap type="none"/>
          </v:shape>
        </w:pict>
      </w:r>
      <w:r>
        <w:rPr>
          <w:rFonts w:ascii="Calibri" w:hAnsi="Calibri"/>
          <w:color w:val="231F20"/>
          <w:w w:val="110"/>
          <w:sz w:val="18"/>
        </w:rPr>
        <w:t>fuente: </w:t>
      </w:r>
      <w:r>
        <w:rPr>
          <w:color w:val="231F20"/>
          <w:w w:val="110"/>
          <w:sz w:val="18"/>
        </w:rPr>
        <w:t>elaboración propia con base en Current Population Survey</w:t>
      </w:r>
      <w:r>
        <w:rPr>
          <w:i/>
          <w:color w:val="231F20"/>
          <w:w w:val="110"/>
          <w:sz w:val="18"/>
        </w:rPr>
        <w:t>,   </w:t>
      </w:r>
      <w:r>
        <w:rPr>
          <w:color w:val="231F20"/>
          <w:w w:val="110"/>
          <w:sz w:val="18"/>
        </w:rPr>
        <w:t>marzo,</w:t>
      </w:r>
    </w:p>
    <w:p>
      <w:pPr>
        <w:spacing w:before="33"/>
        <w:ind w:left="100" w:right="25" w:firstLine="0"/>
        <w:jc w:val="left"/>
        <w:rPr>
          <w:sz w:val="18"/>
        </w:rPr>
      </w:pPr>
      <w:r>
        <w:rPr>
          <w:i/>
          <w:color w:val="231F20"/>
          <w:sz w:val="18"/>
        </w:rPr>
        <w:t>Supplement</w:t>
      </w:r>
      <w:r>
        <w:rPr>
          <w:color w:val="231F20"/>
          <w:sz w:val="18"/>
        </w:rPr>
        <w:t>, 2000, 2007 y  2010.</w:t>
      </w:r>
    </w:p>
    <w:p>
      <w:pPr>
        <w:pStyle w:val="BodyText"/>
        <w:rPr>
          <w:sz w:val="18"/>
        </w:rPr>
      </w:pPr>
    </w:p>
    <w:p>
      <w:pPr>
        <w:pStyle w:val="BodyText"/>
        <w:spacing w:line="261" w:lineRule="auto" w:before="117"/>
        <w:ind w:left="100" w:right="25" w:firstLine="240"/>
      </w:pPr>
      <w:r>
        <w:rPr>
          <w:color w:val="231F20"/>
          <w:w w:val="110"/>
        </w:rPr>
        <w:t>Estos datos ilustran el cambio en la estructura ocupacional de la economía de Estados Unidos, que da cuenta de los impactos a   este</w:t>
      </w:r>
    </w:p>
    <w:p>
      <w:pPr>
        <w:spacing w:after="0" w:line="261" w:lineRule="auto"/>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nivel, de la consolidación de los nuevos modelos de producción y crecimiento económico, basados en la economía de la información, flexibilidad</w:t>
      </w:r>
      <w:r>
        <w:rPr>
          <w:color w:val="231F20"/>
          <w:spacing w:val="-20"/>
          <w:w w:val="110"/>
        </w:rPr>
        <w:t> </w:t>
      </w:r>
      <w:r>
        <w:rPr>
          <w:color w:val="231F20"/>
          <w:w w:val="110"/>
        </w:rPr>
        <w:t>laboral,</w:t>
      </w:r>
      <w:r>
        <w:rPr>
          <w:color w:val="231F20"/>
          <w:spacing w:val="-20"/>
          <w:w w:val="110"/>
        </w:rPr>
        <w:t> </w:t>
      </w:r>
      <w:r>
        <w:rPr>
          <w:color w:val="231F20"/>
          <w:w w:val="110"/>
        </w:rPr>
        <w:t>y</w:t>
      </w:r>
      <w:r>
        <w:rPr>
          <w:color w:val="231F20"/>
          <w:spacing w:val="-20"/>
          <w:w w:val="110"/>
        </w:rPr>
        <w:t> </w:t>
      </w:r>
      <w:r>
        <w:rPr>
          <w:color w:val="231F20"/>
          <w:w w:val="110"/>
        </w:rPr>
        <w:t>relocalización</w:t>
      </w:r>
      <w:r>
        <w:rPr>
          <w:color w:val="231F20"/>
          <w:spacing w:val="-20"/>
          <w:w w:val="110"/>
        </w:rPr>
        <w:t> </w:t>
      </w:r>
      <w:r>
        <w:rPr>
          <w:color w:val="231F20"/>
          <w:w w:val="110"/>
        </w:rPr>
        <w:t>de</w:t>
      </w:r>
      <w:r>
        <w:rPr>
          <w:color w:val="231F20"/>
          <w:spacing w:val="-20"/>
          <w:w w:val="110"/>
        </w:rPr>
        <w:t> </w:t>
      </w:r>
      <w:r>
        <w:rPr>
          <w:color w:val="231F20"/>
          <w:w w:val="110"/>
        </w:rPr>
        <w:t>procesos</w:t>
      </w:r>
      <w:r>
        <w:rPr>
          <w:color w:val="231F20"/>
          <w:spacing w:val="-20"/>
          <w:w w:val="110"/>
        </w:rPr>
        <w:t> </w:t>
      </w:r>
      <w:r>
        <w:rPr>
          <w:color w:val="231F20"/>
          <w:w w:val="110"/>
        </w:rPr>
        <w:t>productivos</w:t>
      </w:r>
      <w:r>
        <w:rPr>
          <w:color w:val="231F20"/>
          <w:spacing w:val="-20"/>
          <w:w w:val="110"/>
        </w:rPr>
        <w:t> </w:t>
      </w:r>
      <w:r>
        <w:rPr>
          <w:color w:val="231F20"/>
          <w:w w:val="110"/>
        </w:rPr>
        <w:t>y</w:t>
      </w:r>
      <w:r>
        <w:rPr>
          <w:color w:val="231F20"/>
          <w:spacing w:val="-20"/>
          <w:w w:val="110"/>
        </w:rPr>
        <w:t> </w:t>
      </w:r>
      <w:r>
        <w:rPr>
          <w:color w:val="231F20"/>
          <w:w w:val="110"/>
        </w:rPr>
        <w:t>manu- factureros</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w w:val="110"/>
        </w:rPr>
        <w:t>marco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globalización</w:t>
      </w:r>
      <w:r>
        <w:rPr>
          <w:color w:val="231F20"/>
          <w:spacing w:val="-22"/>
          <w:w w:val="110"/>
        </w:rPr>
        <w:t> </w:t>
      </w:r>
      <w:r>
        <w:rPr>
          <w:color w:val="231F20"/>
          <w:w w:val="110"/>
        </w:rPr>
        <w:t>económica</w:t>
      </w:r>
      <w:r>
        <w:rPr>
          <w:color w:val="231F20"/>
          <w:spacing w:val="-22"/>
          <w:w w:val="110"/>
        </w:rPr>
        <w:t> </w:t>
      </w:r>
      <w:r>
        <w:rPr>
          <w:color w:val="231F20"/>
          <w:w w:val="110"/>
        </w:rPr>
        <w:t>(Castells,</w:t>
      </w:r>
      <w:r>
        <w:rPr>
          <w:color w:val="231F20"/>
          <w:spacing w:val="-22"/>
          <w:w w:val="110"/>
        </w:rPr>
        <w:t> </w:t>
      </w:r>
      <w:r>
        <w:rPr>
          <w:color w:val="231F20"/>
          <w:w w:val="110"/>
        </w:rPr>
        <w:t>1998). Lo que resulta particularmente interesante, es que, en general, el análisis de los impactos de la nueva economía global, se centran en la tesis del desarrollo de la economía de la información, sustentado en trabajos de alta calificación y de servicios a la producción. Sin embargo, poco énfasis se ha puesto en el impacto que este tipo de economía también tiene en las ocupaciones de bajo nivel de</w:t>
      </w:r>
      <w:r>
        <w:rPr>
          <w:color w:val="231F20"/>
          <w:spacing w:val="-37"/>
          <w:w w:val="110"/>
        </w:rPr>
        <w:t> </w:t>
      </w:r>
      <w:r>
        <w:rPr>
          <w:color w:val="231F20"/>
          <w:w w:val="110"/>
        </w:rPr>
        <w:t>califica- ción, y que corresponden a servicios personales, del cuidado y</w:t>
      </w:r>
      <w:r>
        <w:rPr>
          <w:color w:val="231F20"/>
          <w:spacing w:val="-34"/>
          <w:w w:val="110"/>
        </w:rPr>
        <w:t> </w:t>
      </w:r>
      <w:r>
        <w:rPr>
          <w:color w:val="231F20"/>
          <w:w w:val="110"/>
        </w:rPr>
        <w:t>otros, que contribuyen precisamente, a sustentar la reproducción social y cotidiana de estos nuevos profesionales, ejecutivos y directivos que genera la misma economía de la </w:t>
      </w:r>
      <w:r>
        <w:rPr>
          <w:color w:val="231F20"/>
          <w:spacing w:val="5"/>
          <w:w w:val="110"/>
        </w:rPr>
        <w:t> </w:t>
      </w:r>
      <w:r>
        <w:rPr>
          <w:color w:val="231F20"/>
          <w:w w:val="110"/>
        </w:rPr>
        <w:t>información.</w:t>
      </w:r>
    </w:p>
    <w:p>
      <w:pPr>
        <w:pStyle w:val="BodyText"/>
        <w:spacing w:line="261" w:lineRule="auto"/>
        <w:ind w:left="100" w:right="117" w:firstLine="240"/>
        <w:jc w:val="both"/>
      </w:pPr>
      <w:r>
        <w:rPr>
          <w:color w:val="231F20"/>
          <w:w w:val="110"/>
        </w:rPr>
        <w:t>Al respecto, los datos para la economía de Estados Unidos son </w:t>
      </w:r>
      <w:r>
        <w:rPr>
          <w:color w:val="231F20"/>
          <w:spacing w:val="2"/>
          <w:w w:val="110"/>
        </w:rPr>
        <w:t>elocuentes, </w:t>
      </w:r>
      <w:r>
        <w:rPr>
          <w:color w:val="231F20"/>
          <w:w w:val="110"/>
        </w:rPr>
        <w:t>e </w:t>
      </w:r>
      <w:r>
        <w:rPr>
          <w:color w:val="231F20"/>
          <w:spacing w:val="2"/>
          <w:w w:val="110"/>
        </w:rPr>
        <w:t>ilustran esta complementariedad </w:t>
      </w:r>
      <w:r>
        <w:rPr>
          <w:color w:val="231F20"/>
          <w:w w:val="110"/>
        </w:rPr>
        <w:t>(y </w:t>
      </w:r>
      <w:r>
        <w:rPr>
          <w:color w:val="231F20"/>
          <w:spacing w:val="2"/>
          <w:w w:val="110"/>
        </w:rPr>
        <w:t>dependencia) </w:t>
      </w:r>
      <w:r>
        <w:rPr>
          <w:color w:val="231F20"/>
          <w:w w:val="110"/>
        </w:rPr>
        <w:t>entre estos distintos estratos ocupacionales. En otras palabras, si la economía de la información genera espacios para el auge de</w:t>
      </w:r>
      <w:r>
        <w:rPr>
          <w:color w:val="231F20"/>
          <w:spacing w:val="-38"/>
          <w:w w:val="110"/>
        </w:rPr>
        <w:t> </w:t>
      </w:r>
      <w:r>
        <w:rPr>
          <w:color w:val="231F20"/>
          <w:w w:val="110"/>
        </w:rPr>
        <w:t>trabajos de alto nivel (profesionales, ejecutivos, etc.), esta fuerza de trabajo altamente calificada requiere a su vez, de trabajadores de bajo nivel de</w:t>
      </w:r>
      <w:r>
        <w:rPr>
          <w:color w:val="231F20"/>
          <w:spacing w:val="-11"/>
          <w:w w:val="110"/>
        </w:rPr>
        <w:t> </w:t>
      </w:r>
      <w:r>
        <w:rPr>
          <w:color w:val="231F20"/>
          <w:w w:val="110"/>
        </w:rPr>
        <w:t>calificación</w:t>
      </w:r>
      <w:r>
        <w:rPr>
          <w:color w:val="231F20"/>
          <w:spacing w:val="-11"/>
          <w:w w:val="110"/>
        </w:rPr>
        <w:t> </w:t>
      </w:r>
      <w:r>
        <w:rPr>
          <w:color w:val="231F20"/>
          <w:w w:val="110"/>
        </w:rPr>
        <w:t>que</w:t>
      </w:r>
      <w:r>
        <w:rPr>
          <w:color w:val="231F20"/>
          <w:spacing w:val="-11"/>
          <w:w w:val="110"/>
        </w:rPr>
        <w:t> </w:t>
      </w:r>
      <w:r>
        <w:rPr>
          <w:color w:val="231F20"/>
          <w:w w:val="110"/>
        </w:rPr>
        <w:t>realicen</w:t>
      </w:r>
      <w:r>
        <w:rPr>
          <w:color w:val="231F20"/>
          <w:spacing w:val="-11"/>
          <w:w w:val="110"/>
        </w:rPr>
        <w:t> </w:t>
      </w:r>
      <w:r>
        <w:rPr>
          <w:color w:val="231F20"/>
          <w:w w:val="110"/>
        </w:rPr>
        <w:t>las</w:t>
      </w:r>
      <w:r>
        <w:rPr>
          <w:color w:val="231F20"/>
          <w:spacing w:val="-11"/>
          <w:w w:val="110"/>
        </w:rPr>
        <w:t> </w:t>
      </w:r>
      <w:r>
        <w:rPr>
          <w:color w:val="231F20"/>
          <w:w w:val="110"/>
        </w:rPr>
        <w:t>más</w:t>
      </w:r>
      <w:r>
        <w:rPr>
          <w:color w:val="231F20"/>
          <w:spacing w:val="-11"/>
          <w:w w:val="110"/>
        </w:rPr>
        <w:t> </w:t>
      </w:r>
      <w:r>
        <w:rPr>
          <w:color w:val="231F20"/>
          <w:w w:val="110"/>
        </w:rPr>
        <w:t>diversas</w:t>
      </w:r>
      <w:r>
        <w:rPr>
          <w:color w:val="231F20"/>
          <w:spacing w:val="-11"/>
          <w:w w:val="110"/>
        </w:rPr>
        <w:t> </w:t>
      </w:r>
      <w:r>
        <w:rPr>
          <w:color w:val="231F20"/>
          <w:w w:val="110"/>
        </w:rPr>
        <w:t>tareas</w:t>
      </w:r>
      <w:r>
        <w:rPr>
          <w:color w:val="231F20"/>
          <w:spacing w:val="-11"/>
          <w:w w:val="110"/>
        </w:rPr>
        <w:t> </w:t>
      </w:r>
      <w:r>
        <w:rPr>
          <w:color w:val="231F20"/>
          <w:w w:val="110"/>
        </w:rPr>
        <w:t>necesarias</w:t>
      </w:r>
      <w:r>
        <w:rPr>
          <w:color w:val="231F20"/>
          <w:spacing w:val="-11"/>
          <w:w w:val="110"/>
        </w:rPr>
        <w:t> </w:t>
      </w:r>
      <w:r>
        <w:rPr>
          <w:color w:val="231F20"/>
          <w:w w:val="110"/>
        </w:rPr>
        <w:t>para</w:t>
      </w:r>
      <w:r>
        <w:rPr>
          <w:color w:val="231F20"/>
          <w:spacing w:val="-11"/>
          <w:w w:val="110"/>
        </w:rPr>
        <w:t> </w:t>
      </w:r>
      <w:r>
        <w:rPr>
          <w:color w:val="231F20"/>
          <w:w w:val="110"/>
        </w:rPr>
        <w:t>su reproducción social y cotidiana (Zlolniski,</w:t>
      </w:r>
      <w:r>
        <w:rPr>
          <w:color w:val="231F20"/>
          <w:spacing w:val="-16"/>
          <w:w w:val="110"/>
        </w:rPr>
        <w:t> </w:t>
      </w:r>
      <w:r>
        <w:rPr>
          <w:color w:val="231F20"/>
          <w:w w:val="110"/>
        </w:rPr>
        <w:t>2006).</w:t>
      </w:r>
    </w:p>
    <w:p>
      <w:pPr>
        <w:pStyle w:val="BodyText"/>
        <w:spacing w:line="261" w:lineRule="auto"/>
        <w:ind w:left="100" w:right="119" w:firstLine="240"/>
        <w:jc w:val="both"/>
      </w:pPr>
      <w:r>
        <w:rPr>
          <w:color w:val="231F20"/>
          <w:w w:val="105"/>
        </w:rPr>
        <w:t>La</w:t>
      </w:r>
      <w:r>
        <w:rPr>
          <w:color w:val="231F20"/>
          <w:spacing w:val="27"/>
          <w:w w:val="105"/>
        </w:rPr>
        <w:t> </w:t>
      </w:r>
      <w:r>
        <w:rPr>
          <w:color w:val="231F20"/>
          <w:w w:val="105"/>
        </w:rPr>
        <w:t>situación</w:t>
      </w:r>
      <w:r>
        <w:rPr>
          <w:color w:val="231F20"/>
          <w:spacing w:val="27"/>
          <w:w w:val="105"/>
        </w:rPr>
        <w:t> </w:t>
      </w:r>
      <w:r>
        <w:rPr>
          <w:color w:val="231F20"/>
          <w:w w:val="105"/>
        </w:rPr>
        <w:t>ocupacional</w:t>
      </w:r>
      <w:r>
        <w:rPr>
          <w:color w:val="231F20"/>
          <w:spacing w:val="27"/>
          <w:w w:val="105"/>
        </w:rPr>
        <w:t> </w:t>
      </w:r>
      <w:r>
        <w:rPr>
          <w:color w:val="231F20"/>
          <w:w w:val="105"/>
        </w:rPr>
        <w:t>frente</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crisis,</w:t>
      </w:r>
      <w:r>
        <w:rPr>
          <w:color w:val="231F20"/>
          <w:spacing w:val="27"/>
          <w:w w:val="105"/>
        </w:rPr>
        <w:t> </w:t>
      </w:r>
      <w:r>
        <w:rPr>
          <w:color w:val="231F20"/>
          <w:w w:val="105"/>
        </w:rPr>
        <w:t>ilustra</w:t>
      </w:r>
      <w:r>
        <w:rPr>
          <w:color w:val="231F20"/>
          <w:spacing w:val="27"/>
          <w:w w:val="105"/>
        </w:rPr>
        <w:t> </w:t>
      </w:r>
      <w:r>
        <w:rPr>
          <w:color w:val="231F20"/>
          <w:w w:val="105"/>
        </w:rPr>
        <w:t>esta</w:t>
      </w:r>
      <w:r>
        <w:rPr>
          <w:color w:val="231F20"/>
          <w:spacing w:val="27"/>
          <w:w w:val="105"/>
        </w:rPr>
        <w:t> </w:t>
      </w:r>
      <w:r>
        <w:rPr>
          <w:color w:val="231F20"/>
          <w:w w:val="105"/>
        </w:rPr>
        <w:t>tesis.</w:t>
      </w:r>
      <w:r>
        <w:rPr>
          <w:color w:val="231F20"/>
          <w:spacing w:val="27"/>
          <w:w w:val="105"/>
        </w:rPr>
        <w:t> </w:t>
      </w:r>
      <w:r>
        <w:rPr>
          <w:color w:val="231F20"/>
          <w:w w:val="105"/>
        </w:rPr>
        <w:t>Entre</w:t>
      </w:r>
      <w:r>
        <w:rPr>
          <w:color w:val="231F20"/>
          <w:w w:val="112"/>
        </w:rPr>
        <w:t> </w:t>
      </w:r>
      <w:r>
        <w:rPr>
          <w:color w:val="231F20"/>
          <w:w w:val="105"/>
        </w:rPr>
        <w:t>2007 y 2010, y a pesar de los efectos negativos de reciente crisis eco- nómica, el volumen de empleo en los estratos directivos no sólo se mantuvo estable, sino que se incrementó levemente. Algo similar se   da en el caso de las ocupaciones y puestos de trabajo</w:t>
      </w:r>
      <w:r>
        <w:rPr>
          <w:color w:val="231F20"/>
          <w:spacing w:val="5"/>
          <w:w w:val="105"/>
        </w:rPr>
        <w:t> </w:t>
      </w:r>
      <w:r>
        <w:rPr>
          <w:color w:val="231F20"/>
          <w:w w:val="105"/>
        </w:rPr>
        <w:t>vinculados</w:t>
      </w:r>
      <w:r>
        <w:rPr>
          <w:color w:val="231F20"/>
          <w:spacing w:val="5"/>
          <w:w w:val="105"/>
        </w:rPr>
        <w:t> </w:t>
      </w:r>
      <w:r>
        <w:rPr>
          <w:color w:val="231F20"/>
          <w:w w:val="105"/>
        </w:rPr>
        <w:t>direc-</w:t>
      </w:r>
      <w:r>
        <w:rPr>
          <w:color w:val="231F20"/>
          <w:w w:val="72"/>
        </w:rPr>
        <w:t> </w:t>
      </w:r>
      <w:r>
        <w:rPr>
          <w:color w:val="231F20"/>
          <w:w w:val="105"/>
        </w:rPr>
        <w:t>tamente con la reproducción social. Por el contrario, la crisis se hace sentir con particular fuerza en los demás</w:t>
      </w:r>
      <w:r>
        <w:rPr>
          <w:color w:val="231F20"/>
          <w:spacing w:val="38"/>
          <w:w w:val="105"/>
        </w:rPr>
        <w:t> </w:t>
      </w:r>
      <w:r>
        <w:rPr>
          <w:color w:val="231F20"/>
          <w:w w:val="105"/>
        </w:rPr>
        <w:t>estratos</w:t>
      </w:r>
      <w:r>
        <w:rPr>
          <w:color w:val="231F20"/>
          <w:spacing w:val="13"/>
          <w:w w:val="105"/>
        </w:rPr>
        <w:t> </w:t>
      </w:r>
      <w:r>
        <w:rPr>
          <w:color w:val="231F20"/>
          <w:w w:val="105"/>
        </w:rPr>
        <w:t>socio-ocupacionales,</w:t>
      </w:r>
      <w:r>
        <w:rPr>
          <w:color w:val="231F20"/>
          <w:w w:val="106"/>
        </w:rPr>
        <w:t> </w:t>
      </w:r>
      <w:r>
        <w:rPr>
          <w:color w:val="231F20"/>
          <w:w w:val="105"/>
        </w:rPr>
        <w:t>los</w:t>
      </w:r>
      <w:r>
        <w:rPr>
          <w:color w:val="231F20"/>
          <w:spacing w:val="36"/>
          <w:w w:val="105"/>
        </w:rPr>
        <w:t> </w:t>
      </w:r>
      <w:r>
        <w:rPr>
          <w:color w:val="231F20"/>
          <w:w w:val="105"/>
        </w:rPr>
        <w:t>cuales</w:t>
      </w:r>
      <w:r>
        <w:rPr>
          <w:color w:val="231F20"/>
          <w:spacing w:val="36"/>
          <w:w w:val="105"/>
        </w:rPr>
        <w:t> </w:t>
      </w:r>
      <w:r>
        <w:rPr>
          <w:color w:val="231F20"/>
          <w:w w:val="105"/>
        </w:rPr>
        <w:t>pierden</w:t>
      </w:r>
      <w:r>
        <w:rPr>
          <w:color w:val="231F20"/>
          <w:spacing w:val="36"/>
          <w:w w:val="105"/>
        </w:rPr>
        <w:t> </w:t>
      </w:r>
      <w:r>
        <w:rPr>
          <w:color w:val="231F20"/>
          <w:w w:val="105"/>
        </w:rPr>
        <w:t>en</w:t>
      </w:r>
      <w:r>
        <w:rPr>
          <w:color w:val="231F20"/>
          <w:spacing w:val="36"/>
          <w:w w:val="105"/>
        </w:rPr>
        <w:t> </w:t>
      </w:r>
      <w:r>
        <w:rPr>
          <w:color w:val="231F20"/>
          <w:w w:val="105"/>
        </w:rPr>
        <w:t>conjunto,</w:t>
      </w:r>
      <w:r>
        <w:rPr>
          <w:color w:val="231F20"/>
          <w:spacing w:val="36"/>
          <w:w w:val="105"/>
        </w:rPr>
        <w:t> </w:t>
      </w:r>
      <w:r>
        <w:rPr>
          <w:color w:val="231F20"/>
          <w:w w:val="105"/>
        </w:rPr>
        <w:t>7.7</w:t>
      </w:r>
      <w:r>
        <w:rPr>
          <w:color w:val="231F20"/>
          <w:spacing w:val="36"/>
          <w:w w:val="105"/>
        </w:rPr>
        <w:t> </w:t>
      </w:r>
      <w:r>
        <w:rPr>
          <w:color w:val="231F20"/>
          <w:w w:val="105"/>
        </w:rPr>
        <w:t>millones</w:t>
      </w:r>
      <w:r>
        <w:rPr>
          <w:color w:val="231F20"/>
          <w:spacing w:val="36"/>
          <w:w w:val="105"/>
        </w:rPr>
        <w:t> </w:t>
      </w:r>
      <w:r>
        <w:rPr>
          <w:color w:val="231F20"/>
          <w:w w:val="105"/>
        </w:rPr>
        <w:t>de</w:t>
      </w:r>
      <w:r>
        <w:rPr>
          <w:color w:val="231F20"/>
          <w:spacing w:val="36"/>
          <w:w w:val="105"/>
        </w:rPr>
        <w:t> </w:t>
      </w:r>
      <w:r>
        <w:rPr>
          <w:color w:val="231F20"/>
          <w:w w:val="105"/>
        </w:rPr>
        <w:t>puestos</w:t>
      </w:r>
      <w:r>
        <w:rPr>
          <w:color w:val="231F20"/>
          <w:spacing w:val="36"/>
          <w:w w:val="105"/>
        </w:rPr>
        <w:t> </w:t>
      </w:r>
      <w:r>
        <w:rPr>
          <w:color w:val="231F20"/>
          <w:w w:val="105"/>
        </w:rPr>
        <w:t>de</w:t>
      </w:r>
      <w:r>
        <w:rPr>
          <w:color w:val="231F20"/>
          <w:spacing w:val="36"/>
          <w:w w:val="105"/>
        </w:rPr>
        <w:t> </w:t>
      </w:r>
      <w:r>
        <w:rPr>
          <w:color w:val="231F20"/>
          <w:w w:val="105"/>
        </w:rPr>
        <w:t>trabajo.</w:t>
      </w:r>
    </w:p>
    <w:p>
      <w:pPr>
        <w:pStyle w:val="BodyText"/>
        <w:spacing w:line="261" w:lineRule="auto"/>
        <w:ind w:left="100" w:right="117" w:firstLine="240"/>
        <w:jc w:val="both"/>
      </w:pPr>
      <w:r>
        <w:rPr>
          <w:color w:val="231F20"/>
          <w:w w:val="110"/>
        </w:rPr>
        <w:t>Lo que resulta particularmente relevante, es que, como</w:t>
      </w:r>
      <w:r>
        <w:rPr>
          <w:color w:val="231F20"/>
          <w:spacing w:val="-32"/>
          <w:w w:val="110"/>
        </w:rPr>
        <w:t> </w:t>
      </w:r>
      <w:r>
        <w:rPr>
          <w:color w:val="231F20"/>
          <w:w w:val="110"/>
        </w:rPr>
        <w:t>señalamos previamente,</w:t>
      </w:r>
      <w:r>
        <w:rPr>
          <w:color w:val="231F20"/>
          <w:spacing w:val="-30"/>
          <w:w w:val="110"/>
        </w:rPr>
        <w:t> </w:t>
      </w:r>
      <w:r>
        <w:rPr>
          <w:color w:val="231F20"/>
          <w:w w:val="110"/>
        </w:rPr>
        <w:t>la</w:t>
      </w:r>
      <w:r>
        <w:rPr>
          <w:color w:val="231F20"/>
          <w:spacing w:val="-30"/>
          <w:w w:val="110"/>
        </w:rPr>
        <w:t> </w:t>
      </w:r>
      <w:r>
        <w:rPr>
          <w:color w:val="231F20"/>
          <w:w w:val="110"/>
        </w:rPr>
        <w:t>estratificación</w:t>
      </w:r>
      <w:r>
        <w:rPr>
          <w:color w:val="231F20"/>
          <w:spacing w:val="-30"/>
          <w:w w:val="110"/>
        </w:rPr>
        <w:t> </w:t>
      </w:r>
      <w:r>
        <w:rPr>
          <w:color w:val="231F20"/>
          <w:w w:val="110"/>
        </w:rPr>
        <w:t>socio-ocupacional</w:t>
      </w:r>
      <w:r>
        <w:rPr>
          <w:color w:val="231F20"/>
          <w:spacing w:val="-30"/>
          <w:w w:val="110"/>
        </w:rPr>
        <w:t> </w:t>
      </w:r>
      <w:r>
        <w:rPr>
          <w:color w:val="231F20"/>
          <w:w w:val="110"/>
        </w:rPr>
        <w:t>se</w:t>
      </w:r>
      <w:r>
        <w:rPr>
          <w:color w:val="231F20"/>
          <w:spacing w:val="-30"/>
          <w:w w:val="110"/>
        </w:rPr>
        <w:t> </w:t>
      </w:r>
      <w:r>
        <w:rPr>
          <w:color w:val="231F20"/>
          <w:w w:val="110"/>
        </w:rPr>
        <w:t>establece</w:t>
      </w:r>
      <w:r>
        <w:rPr>
          <w:color w:val="231F20"/>
          <w:spacing w:val="-30"/>
          <w:w w:val="110"/>
        </w:rPr>
        <w:t> </w:t>
      </w:r>
      <w:r>
        <w:rPr>
          <w:color w:val="231F20"/>
          <w:w w:val="110"/>
        </w:rPr>
        <w:t>también con</w:t>
      </w:r>
      <w:r>
        <w:rPr>
          <w:color w:val="231F20"/>
          <w:spacing w:val="-13"/>
          <w:w w:val="110"/>
        </w:rPr>
        <w:t> </w:t>
      </w:r>
      <w:r>
        <w:rPr>
          <w:color w:val="231F20"/>
          <w:w w:val="110"/>
        </w:rPr>
        <w:t>base</w:t>
      </w:r>
      <w:r>
        <w:rPr>
          <w:color w:val="231F20"/>
          <w:spacing w:val="-13"/>
          <w:w w:val="110"/>
        </w:rPr>
        <w:t> </w:t>
      </w:r>
      <w:r>
        <w:rPr>
          <w:color w:val="231F20"/>
          <w:w w:val="110"/>
        </w:rPr>
        <w:t>en</w:t>
      </w:r>
      <w:r>
        <w:rPr>
          <w:color w:val="231F20"/>
          <w:spacing w:val="-13"/>
          <w:w w:val="110"/>
        </w:rPr>
        <w:t> </w:t>
      </w:r>
      <w:r>
        <w:rPr>
          <w:color w:val="231F20"/>
          <w:w w:val="110"/>
        </w:rPr>
        <w:t>una</w:t>
      </w:r>
      <w:r>
        <w:rPr>
          <w:color w:val="231F20"/>
          <w:spacing w:val="-13"/>
          <w:w w:val="110"/>
        </w:rPr>
        <w:t> </w:t>
      </w:r>
      <w:r>
        <w:rPr>
          <w:color w:val="231F20"/>
          <w:w w:val="110"/>
        </w:rPr>
        <w:t>diferenciación</w:t>
      </w:r>
      <w:r>
        <w:rPr>
          <w:color w:val="231F20"/>
          <w:spacing w:val="-13"/>
          <w:w w:val="110"/>
        </w:rPr>
        <w:t> </w:t>
      </w:r>
      <w:r>
        <w:rPr>
          <w:color w:val="231F20"/>
          <w:w w:val="110"/>
        </w:rPr>
        <w:t>étnico-migratoria.</w:t>
      </w:r>
      <w:r>
        <w:rPr>
          <w:color w:val="231F20"/>
          <w:spacing w:val="-13"/>
          <w:w w:val="110"/>
        </w:rPr>
        <w:t> </w:t>
      </w:r>
      <w:r>
        <w:rPr>
          <w:color w:val="231F20"/>
          <w:w w:val="110"/>
        </w:rPr>
        <w:t>En</w:t>
      </w:r>
      <w:r>
        <w:rPr>
          <w:color w:val="231F20"/>
          <w:spacing w:val="-13"/>
          <w:w w:val="110"/>
        </w:rPr>
        <w:t> </w:t>
      </w:r>
      <w:r>
        <w:rPr>
          <w:color w:val="231F20"/>
          <w:w w:val="110"/>
        </w:rPr>
        <w:t>este</w:t>
      </w:r>
      <w:r>
        <w:rPr>
          <w:color w:val="231F20"/>
          <w:spacing w:val="-13"/>
          <w:w w:val="110"/>
        </w:rPr>
        <w:t> </w:t>
      </w:r>
      <w:r>
        <w:rPr>
          <w:color w:val="231F20"/>
          <w:w w:val="110"/>
        </w:rPr>
        <w:t>sentido,</w:t>
      </w:r>
      <w:r>
        <w:rPr>
          <w:color w:val="231F20"/>
          <w:spacing w:val="-13"/>
          <w:w w:val="110"/>
        </w:rPr>
        <w:t> </w:t>
      </w:r>
      <w:r>
        <w:rPr>
          <w:color w:val="231F20"/>
          <w:w w:val="110"/>
        </w:rPr>
        <w:t>los impactos</w:t>
      </w:r>
      <w:r>
        <w:rPr>
          <w:color w:val="231F20"/>
          <w:spacing w:val="-7"/>
          <w:w w:val="110"/>
        </w:rPr>
        <w:t> </w:t>
      </w:r>
      <w:r>
        <w:rPr>
          <w:color w:val="231F20"/>
          <w:w w:val="110"/>
        </w:rPr>
        <w:t>diferenciados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sobre</w:t>
      </w:r>
      <w:r>
        <w:rPr>
          <w:color w:val="231F20"/>
          <w:spacing w:val="-7"/>
          <w:w w:val="110"/>
        </w:rPr>
        <w:t> </w:t>
      </w:r>
      <w:r>
        <w:rPr>
          <w:color w:val="231F20"/>
          <w:w w:val="110"/>
        </w:rPr>
        <w:t>los</w:t>
      </w:r>
      <w:r>
        <w:rPr>
          <w:color w:val="231F20"/>
          <w:spacing w:val="-7"/>
          <w:w w:val="110"/>
        </w:rPr>
        <w:t> </w:t>
      </w:r>
      <w:r>
        <w:rPr>
          <w:color w:val="231F20"/>
          <w:w w:val="110"/>
        </w:rPr>
        <w:t>distintos</w:t>
      </w:r>
      <w:r>
        <w:rPr>
          <w:color w:val="231F20"/>
          <w:spacing w:val="-7"/>
          <w:w w:val="110"/>
        </w:rPr>
        <w:t> </w:t>
      </w:r>
      <w:r>
        <w:rPr>
          <w:color w:val="231F20"/>
          <w:w w:val="110"/>
        </w:rPr>
        <w:t>estratos</w:t>
      </w:r>
      <w:r>
        <w:rPr>
          <w:color w:val="231F20"/>
          <w:spacing w:val="-7"/>
          <w:w w:val="110"/>
        </w:rPr>
        <w:t> </w:t>
      </w:r>
      <w:r>
        <w:rPr>
          <w:color w:val="231F20"/>
          <w:w w:val="110"/>
        </w:rPr>
        <w:t>ocupa- cionales, se corresponde también con impactos diferenciados de la crisis sobre los distintos grupos étnicos y migratorios que</w:t>
      </w:r>
      <w:r>
        <w:rPr>
          <w:color w:val="231F20"/>
          <w:spacing w:val="-26"/>
          <w:w w:val="110"/>
        </w:rPr>
        <w:t> </w:t>
      </w:r>
      <w:r>
        <w:rPr>
          <w:color w:val="231F20"/>
          <w:w w:val="110"/>
        </w:rPr>
        <w:t>componen la población y la fuerza de trabajo en los Estados</w:t>
      </w:r>
      <w:r>
        <w:rPr>
          <w:color w:val="231F20"/>
          <w:spacing w:val="25"/>
          <w:w w:val="110"/>
        </w:rPr>
        <w:t> </w:t>
      </w:r>
      <w:r>
        <w:rPr>
          <w:color w:val="231F20"/>
          <w:w w:val="110"/>
        </w:rPr>
        <w:t>Unidos.</w:t>
      </w:r>
    </w:p>
    <w:p>
      <w:pPr>
        <w:pStyle w:val="BodyText"/>
        <w:spacing w:line="261" w:lineRule="auto"/>
        <w:ind w:left="100" w:right="119" w:firstLine="240"/>
        <w:jc w:val="both"/>
      </w:pPr>
      <w:r>
        <w:rPr>
          <w:color w:val="231F20"/>
          <w:w w:val="110"/>
        </w:rPr>
        <w:t>Al respecto, los datos sobre el impacto de la crisis en la composi- ción</w:t>
      </w:r>
      <w:r>
        <w:rPr>
          <w:color w:val="231F20"/>
          <w:spacing w:val="-9"/>
          <w:w w:val="110"/>
        </w:rPr>
        <w:t> </w:t>
      </w:r>
      <w:r>
        <w:rPr>
          <w:color w:val="231F20"/>
          <w:w w:val="110"/>
        </w:rPr>
        <w:t>del</w:t>
      </w:r>
      <w:r>
        <w:rPr>
          <w:color w:val="231F20"/>
          <w:spacing w:val="-9"/>
          <w:w w:val="110"/>
        </w:rPr>
        <w:t> </w:t>
      </w:r>
      <w:r>
        <w:rPr>
          <w:color w:val="231F20"/>
          <w:w w:val="110"/>
        </w:rPr>
        <w:t>empleo</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ocupaciones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reproducción</w:t>
      </w:r>
      <w:r>
        <w:rPr>
          <w:color w:val="231F20"/>
          <w:spacing w:val="-9"/>
          <w:w w:val="110"/>
        </w:rPr>
        <w:t> </w:t>
      </w:r>
      <w:r>
        <w:rPr>
          <w:color w:val="231F20"/>
          <w:w w:val="110"/>
        </w:rPr>
        <w:t>social</w:t>
      </w:r>
      <w:r>
        <w:rPr>
          <w:color w:val="231F20"/>
          <w:spacing w:val="-9"/>
          <w:w w:val="110"/>
        </w:rPr>
        <w:t> </w:t>
      </w:r>
      <w:r>
        <w:rPr>
          <w:color w:val="231F20"/>
          <w:w w:val="110"/>
        </w:rPr>
        <w:t>ilustran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esta tesis. Aun cuando a nivel agregado, la crisis pareciera no haber impactado</w:t>
      </w:r>
      <w:r>
        <w:rPr>
          <w:color w:val="231F20"/>
          <w:spacing w:val="-12"/>
          <w:w w:val="110"/>
        </w:rPr>
        <w:t> </w:t>
      </w:r>
      <w:r>
        <w:rPr>
          <w:color w:val="231F20"/>
          <w:w w:val="110"/>
        </w:rPr>
        <w:t>en</w:t>
      </w:r>
      <w:r>
        <w:rPr>
          <w:color w:val="231F20"/>
          <w:spacing w:val="-12"/>
          <w:w w:val="110"/>
        </w:rPr>
        <w:t> </w:t>
      </w:r>
      <w:r>
        <w:rPr>
          <w:color w:val="231F20"/>
          <w:w w:val="110"/>
        </w:rPr>
        <w:t>este</w:t>
      </w:r>
      <w:r>
        <w:rPr>
          <w:color w:val="231F20"/>
          <w:spacing w:val="-12"/>
          <w:w w:val="110"/>
        </w:rPr>
        <w:t> </w:t>
      </w:r>
      <w:r>
        <w:rPr>
          <w:color w:val="231F20"/>
          <w:w w:val="110"/>
        </w:rPr>
        <w:t>tipo</w:t>
      </w:r>
      <w:r>
        <w:rPr>
          <w:color w:val="231F20"/>
          <w:spacing w:val="-12"/>
          <w:w w:val="110"/>
        </w:rPr>
        <w:t> </w:t>
      </w:r>
      <w:r>
        <w:rPr>
          <w:color w:val="231F20"/>
          <w:w w:val="110"/>
        </w:rPr>
        <w:t>de</w:t>
      </w:r>
      <w:r>
        <w:rPr>
          <w:color w:val="231F20"/>
          <w:spacing w:val="-12"/>
          <w:w w:val="110"/>
        </w:rPr>
        <w:t> </w:t>
      </w:r>
      <w:r>
        <w:rPr>
          <w:color w:val="231F20"/>
          <w:w w:val="110"/>
        </w:rPr>
        <w:t>actividades,</w:t>
      </w:r>
      <w:r>
        <w:rPr>
          <w:color w:val="231F20"/>
          <w:spacing w:val="-12"/>
          <w:w w:val="110"/>
        </w:rPr>
        <w:t> </w:t>
      </w:r>
      <w:r>
        <w:rPr>
          <w:color w:val="231F20"/>
          <w:w w:val="110"/>
        </w:rPr>
        <w:t>manteniendo</w:t>
      </w:r>
      <w:r>
        <w:rPr>
          <w:color w:val="231F20"/>
          <w:spacing w:val="-12"/>
          <w:w w:val="110"/>
        </w:rPr>
        <w:t> </w:t>
      </w:r>
      <w:r>
        <w:rPr>
          <w:color w:val="231F20"/>
          <w:w w:val="110"/>
        </w:rPr>
        <w:t>relativamente</w:t>
      </w:r>
      <w:r>
        <w:rPr>
          <w:color w:val="231F20"/>
          <w:spacing w:val="-12"/>
          <w:w w:val="110"/>
        </w:rPr>
        <w:t> </w:t>
      </w:r>
      <w:r>
        <w:rPr>
          <w:color w:val="231F20"/>
          <w:w w:val="110"/>
        </w:rPr>
        <w:t>es- table el volumen global de personal ocupado, cuando desagregamos el análisis según condición étnico-migratoria de la fuerza de</w:t>
      </w:r>
      <w:r>
        <w:rPr>
          <w:color w:val="231F20"/>
          <w:spacing w:val="-16"/>
          <w:w w:val="110"/>
        </w:rPr>
        <w:t> </w:t>
      </w:r>
      <w:r>
        <w:rPr>
          <w:color w:val="231F20"/>
          <w:w w:val="110"/>
        </w:rPr>
        <w:t>trabajo, surgen diferencias</w:t>
      </w:r>
      <w:r>
        <w:rPr>
          <w:color w:val="231F20"/>
          <w:spacing w:val="22"/>
          <w:w w:val="110"/>
        </w:rPr>
        <w:t> </w:t>
      </w:r>
      <w:r>
        <w:rPr>
          <w:color w:val="231F20"/>
          <w:w w:val="110"/>
        </w:rPr>
        <w:t>importantes.</w:t>
      </w:r>
    </w:p>
    <w:p>
      <w:pPr>
        <w:pStyle w:val="BodyText"/>
        <w:spacing w:line="261" w:lineRule="auto"/>
        <w:ind w:left="100" w:right="117" w:firstLine="240"/>
        <w:jc w:val="right"/>
      </w:pPr>
      <w:r>
        <w:rPr>
          <w:color w:val="231F20"/>
          <w:w w:val="110"/>
        </w:rPr>
        <w:t>Mientras la fuerza de trabajo nativa de origen blanco</w:t>
      </w:r>
      <w:r>
        <w:rPr>
          <w:color w:val="231F20"/>
          <w:spacing w:val="36"/>
          <w:w w:val="110"/>
        </w:rPr>
        <w:t> </w:t>
      </w:r>
      <w:r>
        <w:rPr>
          <w:color w:val="231F20"/>
          <w:w w:val="110"/>
        </w:rPr>
        <w:t>no</w:t>
      </w:r>
      <w:r>
        <w:rPr>
          <w:color w:val="231F20"/>
          <w:spacing w:val="4"/>
          <w:w w:val="110"/>
        </w:rPr>
        <w:t> </w:t>
      </w:r>
      <w:r>
        <w:rPr>
          <w:color w:val="231F20"/>
          <w:w w:val="110"/>
        </w:rPr>
        <w:t>hispano,</w:t>
      </w:r>
      <w:r>
        <w:rPr>
          <w:color w:val="231F20"/>
          <w:w w:val="110"/>
        </w:rPr>
        <w:t> </w:t>
      </w:r>
      <w:r>
        <w:rPr>
          <w:color w:val="231F20"/>
          <w:w w:val="110"/>
        </w:rPr>
        <w:t>se reduce en 230 mil trabajadores, los</w:t>
      </w:r>
      <w:r>
        <w:rPr>
          <w:color w:val="231F20"/>
          <w:spacing w:val="23"/>
          <w:w w:val="110"/>
        </w:rPr>
        <w:t> </w:t>
      </w:r>
      <w:r>
        <w:rPr>
          <w:color w:val="231F20"/>
          <w:w w:val="110"/>
        </w:rPr>
        <w:t>inmigrantes</w:t>
      </w:r>
      <w:r>
        <w:rPr>
          <w:color w:val="231F20"/>
          <w:spacing w:val="3"/>
          <w:w w:val="110"/>
        </w:rPr>
        <w:t> </w:t>
      </w:r>
      <w:r>
        <w:rPr>
          <w:color w:val="231F20"/>
          <w:w w:val="110"/>
        </w:rPr>
        <w:t>latinoamericanos</w:t>
      </w:r>
      <w:r>
        <w:rPr>
          <w:color w:val="231F20"/>
          <w:w w:val="109"/>
        </w:rPr>
        <w:t> </w:t>
      </w:r>
      <w:r>
        <w:rPr>
          <w:color w:val="231F20"/>
          <w:w w:val="110"/>
        </w:rPr>
        <w:t>incrementan su participación en 200 mil nuevos trabajadores</w:t>
      </w:r>
      <w:r>
        <w:rPr>
          <w:color w:val="231F20"/>
          <w:spacing w:val="-7"/>
          <w:w w:val="110"/>
        </w:rPr>
        <w:t> </w:t>
      </w:r>
      <w:r>
        <w:rPr>
          <w:color w:val="231F20"/>
          <w:w w:val="110"/>
        </w:rPr>
        <w:t>en</w:t>
      </w:r>
      <w:r>
        <w:rPr>
          <w:color w:val="231F20"/>
          <w:spacing w:val="-1"/>
          <w:w w:val="110"/>
        </w:rPr>
        <w:t> </w:t>
      </w:r>
      <w:r>
        <w:rPr>
          <w:color w:val="231F20"/>
          <w:w w:val="110"/>
        </w:rPr>
        <w:t>este</w:t>
      </w:r>
      <w:r>
        <w:rPr>
          <w:color w:val="231F20"/>
          <w:w w:val="108"/>
        </w:rPr>
        <w:t> </w:t>
      </w:r>
      <w:r>
        <w:rPr>
          <w:color w:val="231F20"/>
          <w:w w:val="110"/>
        </w:rPr>
        <w:t>tipo de actividades y servicios personales. Esto plantea</w:t>
      </w:r>
      <w:r>
        <w:rPr>
          <w:color w:val="231F20"/>
          <w:spacing w:val="39"/>
          <w:w w:val="110"/>
        </w:rPr>
        <w:t> </w:t>
      </w:r>
      <w:r>
        <w:rPr>
          <w:color w:val="231F20"/>
          <w:w w:val="110"/>
        </w:rPr>
        <w:t>una</w:t>
      </w:r>
      <w:r>
        <w:rPr>
          <w:color w:val="231F20"/>
          <w:spacing w:val="18"/>
          <w:w w:val="110"/>
        </w:rPr>
        <w:t> </w:t>
      </w:r>
      <w:r>
        <w:rPr>
          <w:color w:val="231F20"/>
          <w:w w:val="110"/>
        </w:rPr>
        <w:t>virtual</w:t>
      </w:r>
      <w:r>
        <w:rPr>
          <w:color w:val="231F20"/>
          <w:w w:val="105"/>
        </w:rPr>
        <w:t> </w:t>
      </w:r>
      <w:r>
        <w:rPr>
          <w:color w:val="231F20"/>
          <w:w w:val="110"/>
        </w:rPr>
        <w:t>sustitución de un tipo de trabajador por otro. Esto es,</w:t>
      </w:r>
      <w:r>
        <w:rPr>
          <w:color w:val="231F20"/>
          <w:spacing w:val="48"/>
          <w:w w:val="110"/>
        </w:rPr>
        <w:t> </w:t>
      </w:r>
      <w:r>
        <w:rPr>
          <w:color w:val="231F20"/>
          <w:w w:val="110"/>
        </w:rPr>
        <w:t>en</w:t>
      </w:r>
      <w:r>
        <w:rPr>
          <w:color w:val="231F20"/>
          <w:spacing w:val="4"/>
          <w:w w:val="110"/>
        </w:rPr>
        <w:t> </w:t>
      </w:r>
      <w:r>
        <w:rPr>
          <w:color w:val="231F20"/>
          <w:w w:val="110"/>
        </w:rPr>
        <w:t>situaciones</w:t>
      </w:r>
      <w:r>
        <w:rPr>
          <w:color w:val="231F20"/>
          <w:w w:val="107"/>
        </w:rPr>
        <w:t> </w:t>
      </w:r>
      <w:r>
        <w:rPr>
          <w:color w:val="231F20"/>
          <w:w w:val="110"/>
        </w:rPr>
        <w:t>de crisis, este tipo de trabajos altamente precarizados</w:t>
      </w:r>
      <w:r>
        <w:rPr>
          <w:color w:val="231F20"/>
          <w:spacing w:val="10"/>
          <w:w w:val="110"/>
        </w:rPr>
        <w:t> </w:t>
      </w:r>
      <w:r>
        <w:rPr>
          <w:color w:val="231F20"/>
          <w:w w:val="110"/>
        </w:rPr>
        <w:t>e</w:t>
      </w:r>
      <w:r>
        <w:rPr>
          <w:color w:val="231F20"/>
          <w:spacing w:val="22"/>
          <w:w w:val="110"/>
        </w:rPr>
        <w:t> </w:t>
      </w:r>
      <w:r>
        <w:rPr>
          <w:color w:val="231F20"/>
          <w:w w:val="110"/>
        </w:rPr>
        <w:t>inestables,</w:t>
      </w:r>
      <w:r>
        <w:rPr>
          <w:color w:val="231F20"/>
          <w:w w:val="107"/>
        </w:rPr>
        <w:t> </w:t>
      </w:r>
      <w:r>
        <w:rPr>
          <w:color w:val="231F20"/>
          <w:w w:val="110"/>
        </w:rPr>
        <w:t>tienden a recaer preferentemente sobre aquellos grupos</w:t>
      </w:r>
      <w:r>
        <w:rPr>
          <w:color w:val="231F20"/>
          <w:spacing w:val="-10"/>
          <w:w w:val="110"/>
        </w:rPr>
        <w:t> </w:t>
      </w:r>
      <w:r>
        <w:rPr>
          <w:color w:val="231F20"/>
          <w:w w:val="110"/>
        </w:rPr>
        <w:t>sociales</w:t>
      </w:r>
      <w:r>
        <w:rPr>
          <w:color w:val="231F20"/>
          <w:spacing w:val="-2"/>
          <w:w w:val="110"/>
        </w:rPr>
        <w:t> </w:t>
      </w:r>
      <w:r>
        <w:rPr>
          <w:color w:val="231F20"/>
          <w:w w:val="110"/>
        </w:rPr>
        <w:t>más</w:t>
      </w:r>
      <w:r>
        <w:rPr>
          <w:color w:val="231F20"/>
          <w:w w:val="105"/>
        </w:rPr>
        <w:t> </w:t>
      </w:r>
      <w:r>
        <w:rPr>
          <w:color w:val="231F20"/>
          <w:w w:val="110"/>
        </w:rPr>
        <w:t>vulnerables, como lo son en este caso, los</w:t>
      </w:r>
      <w:r>
        <w:rPr>
          <w:color w:val="231F20"/>
          <w:spacing w:val="23"/>
          <w:w w:val="110"/>
        </w:rPr>
        <w:t> </w:t>
      </w:r>
      <w:r>
        <w:rPr>
          <w:color w:val="231F20"/>
          <w:w w:val="110"/>
        </w:rPr>
        <w:t>trabajadores</w:t>
      </w:r>
      <w:r>
        <w:rPr>
          <w:color w:val="231F20"/>
          <w:spacing w:val="2"/>
          <w:w w:val="110"/>
        </w:rPr>
        <w:t> </w:t>
      </w:r>
      <w:r>
        <w:rPr>
          <w:color w:val="231F20"/>
          <w:w w:val="110"/>
        </w:rPr>
        <w:t>inmigrantes.</w:t>
      </w:r>
      <w:r>
        <w:rPr>
          <w:color w:val="231F20"/>
          <w:w w:val="109"/>
        </w:rPr>
        <w:t> </w:t>
      </w:r>
      <w:r>
        <w:rPr>
          <w:color w:val="231F20"/>
          <w:w w:val="110"/>
        </w:rPr>
        <w:t>Ahora</w:t>
      </w:r>
      <w:r>
        <w:rPr>
          <w:color w:val="231F20"/>
          <w:spacing w:val="21"/>
          <w:w w:val="110"/>
        </w:rPr>
        <w:t> </w:t>
      </w:r>
      <w:r>
        <w:rPr>
          <w:color w:val="231F20"/>
          <w:w w:val="110"/>
        </w:rPr>
        <w:t>bien,</w:t>
      </w:r>
      <w:r>
        <w:rPr>
          <w:color w:val="231F20"/>
          <w:spacing w:val="22"/>
          <w:w w:val="110"/>
        </w:rPr>
        <w:t> </w:t>
      </w:r>
      <w:r>
        <w:rPr>
          <w:color w:val="231F20"/>
          <w:w w:val="110"/>
        </w:rPr>
        <w:t>lo</w:t>
      </w:r>
      <w:r>
        <w:rPr>
          <w:color w:val="231F20"/>
          <w:spacing w:val="22"/>
          <w:w w:val="110"/>
        </w:rPr>
        <w:t> </w:t>
      </w:r>
      <w:r>
        <w:rPr>
          <w:color w:val="231F20"/>
          <w:w w:val="110"/>
        </w:rPr>
        <w:t>relevante</w:t>
      </w:r>
      <w:r>
        <w:rPr>
          <w:color w:val="231F20"/>
          <w:spacing w:val="21"/>
          <w:w w:val="110"/>
        </w:rPr>
        <w:t> </w:t>
      </w:r>
      <w:r>
        <w:rPr>
          <w:color w:val="231F20"/>
          <w:w w:val="110"/>
        </w:rPr>
        <w:t>de</w:t>
      </w:r>
      <w:r>
        <w:rPr>
          <w:color w:val="231F20"/>
          <w:spacing w:val="22"/>
          <w:w w:val="110"/>
        </w:rPr>
        <w:t> </w:t>
      </w:r>
      <w:r>
        <w:rPr>
          <w:color w:val="231F20"/>
          <w:w w:val="110"/>
        </w:rPr>
        <w:t>estos</w:t>
      </w:r>
      <w:r>
        <w:rPr>
          <w:color w:val="231F20"/>
          <w:spacing w:val="21"/>
          <w:w w:val="110"/>
        </w:rPr>
        <w:t> </w:t>
      </w:r>
      <w:r>
        <w:rPr>
          <w:color w:val="231F20"/>
          <w:w w:val="110"/>
        </w:rPr>
        <w:t>datos,</w:t>
      </w:r>
      <w:r>
        <w:rPr>
          <w:color w:val="231F20"/>
          <w:spacing w:val="21"/>
          <w:w w:val="110"/>
        </w:rPr>
        <w:t> </w:t>
      </w:r>
      <w:r>
        <w:rPr>
          <w:color w:val="231F20"/>
          <w:w w:val="110"/>
        </w:rPr>
        <w:t>es</w:t>
      </w:r>
      <w:r>
        <w:rPr>
          <w:color w:val="231F20"/>
          <w:spacing w:val="22"/>
          <w:w w:val="110"/>
        </w:rPr>
        <w:t> </w:t>
      </w:r>
      <w:r>
        <w:rPr>
          <w:color w:val="231F20"/>
          <w:w w:val="110"/>
        </w:rPr>
        <w:t>que</w:t>
      </w:r>
      <w:r>
        <w:rPr>
          <w:color w:val="231F20"/>
          <w:spacing w:val="22"/>
          <w:w w:val="110"/>
        </w:rPr>
        <w:t> </w:t>
      </w:r>
      <w:r>
        <w:rPr>
          <w:color w:val="231F20"/>
          <w:w w:val="110"/>
        </w:rPr>
        <w:t>pareciera</w:t>
      </w:r>
      <w:r>
        <w:rPr>
          <w:color w:val="231F20"/>
          <w:spacing w:val="22"/>
          <w:w w:val="110"/>
        </w:rPr>
        <w:t> </w:t>
      </w:r>
      <w:r>
        <w:rPr>
          <w:color w:val="231F20"/>
          <w:w w:val="110"/>
        </w:rPr>
        <w:t>que</w:t>
      </w:r>
      <w:r>
        <w:rPr>
          <w:color w:val="231F20"/>
          <w:spacing w:val="22"/>
          <w:w w:val="110"/>
        </w:rPr>
        <w:t> </w:t>
      </w:r>
      <w:r>
        <w:rPr>
          <w:color w:val="231F20"/>
          <w:w w:val="110"/>
        </w:rPr>
        <w:t>la</w:t>
      </w:r>
      <w:r>
        <w:rPr>
          <w:color w:val="231F20"/>
          <w:w w:val="105"/>
        </w:rPr>
        <w:t> </w:t>
      </w:r>
      <w:r>
        <w:rPr>
          <w:color w:val="231F20"/>
          <w:w w:val="110"/>
        </w:rPr>
        <w:t>crisis</w:t>
      </w:r>
      <w:r>
        <w:rPr>
          <w:color w:val="231F20"/>
          <w:spacing w:val="31"/>
          <w:w w:val="110"/>
        </w:rPr>
        <w:t> </w:t>
      </w:r>
      <w:r>
        <w:rPr>
          <w:color w:val="231F20"/>
          <w:w w:val="110"/>
        </w:rPr>
        <w:t>económica</w:t>
      </w:r>
      <w:r>
        <w:rPr>
          <w:color w:val="231F20"/>
          <w:spacing w:val="31"/>
          <w:w w:val="110"/>
        </w:rPr>
        <w:t> </w:t>
      </w:r>
      <w:r>
        <w:rPr>
          <w:color w:val="231F20"/>
          <w:w w:val="110"/>
        </w:rPr>
        <w:t>no</w:t>
      </w:r>
      <w:r>
        <w:rPr>
          <w:color w:val="231F20"/>
          <w:spacing w:val="31"/>
          <w:w w:val="110"/>
        </w:rPr>
        <w:t> </w:t>
      </w:r>
      <w:r>
        <w:rPr>
          <w:color w:val="231F20"/>
          <w:w w:val="110"/>
        </w:rPr>
        <w:t>hubiera</w:t>
      </w:r>
      <w:r>
        <w:rPr>
          <w:color w:val="231F20"/>
          <w:spacing w:val="31"/>
          <w:w w:val="110"/>
        </w:rPr>
        <w:t> </w:t>
      </w:r>
      <w:r>
        <w:rPr>
          <w:color w:val="231F20"/>
          <w:w w:val="110"/>
        </w:rPr>
        <w:t>impactado</w:t>
      </w:r>
      <w:r>
        <w:rPr>
          <w:color w:val="231F20"/>
          <w:spacing w:val="31"/>
          <w:w w:val="110"/>
        </w:rPr>
        <w:t> </w:t>
      </w:r>
      <w:r>
        <w:rPr>
          <w:color w:val="231F20"/>
          <w:w w:val="110"/>
        </w:rPr>
        <w:t>en</w:t>
      </w:r>
      <w:r>
        <w:rPr>
          <w:color w:val="231F20"/>
          <w:spacing w:val="31"/>
          <w:w w:val="110"/>
        </w:rPr>
        <w:t> </w:t>
      </w:r>
      <w:r>
        <w:rPr>
          <w:color w:val="231F20"/>
          <w:w w:val="110"/>
        </w:rPr>
        <w:t>la</w:t>
      </w:r>
      <w:r>
        <w:rPr>
          <w:color w:val="231F20"/>
          <w:spacing w:val="31"/>
          <w:w w:val="110"/>
        </w:rPr>
        <w:t> </w:t>
      </w:r>
      <w:r>
        <w:rPr>
          <w:color w:val="231F20"/>
          <w:w w:val="110"/>
        </w:rPr>
        <w:t>tendencia</w:t>
      </w:r>
      <w:r>
        <w:rPr>
          <w:color w:val="231F20"/>
          <w:spacing w:val="31"/>
          <w:w w:val="110"/>
        </w:rPr>
        <w:t> </w:t>
      </w:r>
      <w:r>
        <w:rPr>
          <w:color w:val="231F20"/>
          <w:w w:val="110"/>
        </w:rPr>
        <w:t>que</w:t>
      </w:r>
      <w:r>
        <w:rPr>
          <w:color w:val="231F20"/>
          <w:spacing w:val="31"/>
          <w:w w:val="110"/>
        </w:rPr>
        <w:t> </w:t>
      </w:r>
      <w:r>
        <w:rPr>
          <w:color w:val="231F20"/>
          <w:w w:val="110"/>
        </w:rPr>
        <w:t>ya</w:t>
      </w:r>
      <w:r>
        <w:rPr>
          <w:color w:val="231F20"/>
          <w:spacing w:val="31"/>
          <w:w w:val="110"/>
        </w:rPr>
        <w:t> </w:t>
      </w:r>
      <w:r>
        <w:rPr>
          <w:color w:val="231F20"/>
          <w:w w:val="110"/>
        </w:rPr>
        <w:t>se</w:t>
      </w:r>
      <w:r>
        <w:rPr>
          <w:color w:val="231F20"/>
          <w:w w:val="103"/>
        </w:rPr>
        <w:t> </w:t>
      </w:r>
      <w:r>
        <w:rPr>
          <w:color w:val="231F20"/>
          <w:w w:val="110"/>
        </w:rPr>
        <w:t>observaba durante el ciclo expansivo en este estrato</w:t>
      </w:r>
      <w:r>
        <w:rPr>
          <w:color w:val="231F20"/>
          <w:spacing w:val="-27"/>
          <w:w w:val="110"/>
        </w:rPr>
        <w:t> </w:t>
      </w:r>
      <w:r>
        <w:rPr>
          <w:color w:val="231F20"/>
          <w:w w:val="110"/>
        </w:rPr>
        <w:t>ocupacional.</w:t>
      </w:r>
      <w:r>
        <w:rPr>
          <w:color w:val="231F20"/>
          <w:spacing w:val="-4"/>
          <w:w w:val="110"/>
        </w:rPr>
        <w:t> </w:t>
      </w:r>
      <w:r>
        <w:rPr>
          <w:color w:val="231F20"/>
          <w:w w:val="110"/>
        </w:rPr>
        <w:t>En</w:t>
      </w:r>
      <w:r>
        <w:rPr>
          <w:color w:val="231F20"/>
          <w:w w:val="109"/>
        </w:rPr>
        <w:t> </w:t>
      </w:r>
      <w:r>
        <w:rPr>
          <w:color w:val="231F20"/>
          <w:w w:val="110"/>
        </w:rPr>
        <w:t>efecto,</w:t>
      </w:r>
      <w:r>
        <w:rPr>
          <w:color w:val="231F20"/>
          <w:spacing w:val="-12"/>
          <w:w w:val="110"/>
        </w:rPr>
        <w:t> </w:t>
      </w:r>
      <w:r>
        <w:rPr>
          <w:color w:val="231F20"/>
          <w:w w:val="110"/>
        </w:rPr>
        <w:t>entre</w:t>
      </w:r>
      <w:r>
        <w:rPr>
          <w:color w:val="231F20"/>
          <w:spacing w:val="-12"/>
          <w:w w:val="110"/>
        </w:rPr>
        <w:t> </w:t>
      </w:r>
      <w:r>
        <w:rPr>
          <w:color w:val="231F20"/>
          <w:w w:val="110"/>
        </w:rPr>
        <w:t>2002</w:t>
      </w:r>
      <w:r>
        <w:rPr>
          <w:color w:val="231F20"/>
          <w:spacing w:val="-12"/>
          <w:w w:val="110"/>
        </w:rPr>
        <w:t> </w:t>
      </w:r>
      <w:r>
        <w:rPr>
          <w:color w:val="231F20"/>
          <w:w w:val="110"/>
        </w:rPr>
        <w:t>y</w:t>
      </w:r>
      <w:r>
        <w:rPr>
          <w:color w:val="231F20"/>
          <w:spacing w:val="-12"/>
          <w:w w:val="110"/>
        </w:rPr>
        <w:t> </w:t>
      </w:r>
      <w:r>
        <w:rPr>
          <w:color w:val="231F20"/>
          <w:w w:val="110"/>
        </w:rPr>
        <w:t>2007,</w:t>
      </w:r>
      <w:r>
        <w:rPr>
          <w:color w:val="231F20"/>
          <w:spacing w:val="-12"/>
          <w:w w:val="110"/>
        </w:rPr>
        <w:t> </w:t>
      </w:r>
      <w:r>
        <w:rPr>
          <w:color w:val="231F20"/>
          <w:w w:val="110"/>
        </w:rPr>
        <w:t>la</w:t>
      </w:r>
      <w:r>
        <w:rPr>
          <w:color w:val="231F20"/>
          <w:spacing w:val="-12"/>
          <w:w w:val="110"/>
        </w:rPr>
        <w:t> </w:t>
      </w:r>
      <w:r>
        <w:rPr>
          <w:color w:val="231F20"/>
          <w:w w:val="110"/>
        </w:rPr>
        <w:t>participación</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inmigrantes</w:t>
      </w:r>
      <w:r>
        <w:rPr>
          <w:color w:val="231F20"/>
          <w:spacing w:val="-12"/>
          <w:w w:val="110"/>
        </w:rPr>
        <w:t> </w:t>
      </w:r>
      <w:r>
        <w:rPr>
          <w:color w:val="231F20"/>
          <w:w w:val="110"/>
        </w:rPr>
        <w:t>latinoa-</w:t>
      </w:r>
      <w:r>
        <w:rPr>
          <w:color w:val="231F20"/>
          <w:w w:val="72"/>
        </w:rPr>
        <w:t> </w:t>
      </w:r>
      <w:r>
        <w:rPr>
          <w:color w:val="231F20"/>
          <w:w w:val="110"/>
        </w:rPr>
        <w:t>mericanos en este tipo de actividades se</w:t>
      </w:r>
      <w:r>
        <w:rPr>
          <w:color w:val="231F20"/>
          <w:spacing w:val="-32"/>
          <w:w w:val="110"/>
        </w:rPr>
        <w:t> </w:t>
      </w:r>
      <w:r>
        <w:rPr>
          <w:color w:val="231F20"/>
          <w:w w:val="110"/>
        </w:rPr>
        <w:t>incrementó</w:t>
      </w:r>
      <w:r>
        <w:rPr>
          <w:color w:val="231F20"/>
          <w:spacing w:val="-5"/>
          <w:w w:val="110"/>
        </w:rPr>
        <w:t> </w:t>
      </w:r>
      <w:r>
        <w:rPr>
          <w:color w:val="231F20"/>
          <w:w w:val="110"/>
        </w:rPr>
        <w:t>sistemáticamen-</w:t>
      </w:r>
      <w:r>
        <w:rPr>
          <w:color w:val="231F20"/>
          <w:w w:val="72"/>
        </w:rPr>
        <w:t> </w:t>
      </w:r>
      <w:r>
        <w:rPr>
          <w:color w:val="231F20"/>
          <w:w w:val="110"/>
        </w:rPr>
        <w:t>te, pasando de 14.7% en 2003, a 15.9% en 2007. Si bien en</w:t>
      </w:r>
      <w:r>
        <w:rPr>
          <w:color w:val="231F20"/>
          <w:spacing w:val="-4"/>
          <w:w w:val="110"/>
        </w:rPr>
        <w:t> </w:t>
      </w:r>
      <w:r>
        <w:rPr>
          <w:color w:val="231F20"/>
          <w:w w:val="110"/>
        </w:rPr>
        <w:t>2008,</w:t>
      </w:r>
      <w:r>
        <w:rPr>
          <w:color w:val="231F20"/>
          <w:spacing w:val="-1"/>
          <w:w w:val="110"/>
        </w:rPr>
        <w:t> </w:t>
      </w:r>
      <w:r>
        <w:rPr>
          <w:color w:val="231F20"/>
          <w:w w:val="110"/>
        </w:rPr>
        <w:t>se</w:t>
      </w:r>
      <w:r>
        <w:rPr>
          <w:color w:val="231F20"/>
          <w:w w:val="103"/>
        </w:rPr>
        <w:t> </w:t>
      </w:r>
      <w:r>
        <w:rPr>
          <w:color w:val="231F20"/>
          <w:w w:val="110"/>
        </w:rPr>
        <w:t>da</w:t>
      </w:r>
      <w:r>
        <w:rPr>
          <w:color w:val="231F20"/>
          <w:spacing w:val="-8"/>
          <w:w w:val="110"/>
        </w:rPr>
        <w:t> </w:t>
      </w:r>
      <w:r>
        <w:rPr>
          <w:color w:val="231F20"/>
          <w:w w:val="110"/>
        </w:rPr>
        <w:t>una</w:t>
      </w:r>
      <w:r>
        <w:rPr>
          <w:color w:val="231F20"/>
          <w:spacing w:val="-8"/>
          <w:w w:val="110"/>
        </w:rPr>
        <w:t> </w:t>
      </w:r>
      <w:r>
        <w:rPr>
          <w:color w:val="231F20"/>
          <w:w w:val="110"/>
        </w:rPr>
        <w:t>leve</w:t>
      </w:r>
      <w:r>
        <w:rPr>
          <w:color w:val="231F20"/>
          <w:spacing w:val="-8"/>
          <w:w w:val="110"/>
        </w:rPr>
        <w:t> </w:t>
      </w:r>
      <w:r>
        <w:rPr>
          <w:color w:val="231F20"/>
          <w:w w:val="110"/>
        </w:rPr>
        <w:t>reducción,</w:t>
      </w:r>
      <w:r>
        <w:rPr>
          <w:color w:val="231F20"/>
          <w:spacing w:val="-8"/>
          <w:w w:val="110"/>
        </w:rPr>
        <w:t> </w:t>
      </w:r>
      <w:r>
        <w:rPr>
          <w:color w:val="231F20"/>
          <w:w w:val="110"/>
        </w:rPr>
        <w:t>ya</w:t>
      </w:r>
      <w:r>
        <w:rPr>
          <w:color w:val="231F20"/>
          <w:spacing w:val="-8"/>
          <w:w w:val="110"/>
        </w:rPr>
        <w:t> </w:t>
      </w:r>
      <w:r>
        <w:rPr>
          <w:color w:val="231F20"/>
          <w:w w:val="110"/>
        </w:rPr>
        <w:t>al</w:t>
      </w:r>
      <w:r>
        <w:rPr>
          <w:color w:val="231F20"/>
          <w:spacing w:val="-8"/>
          <w:w w:val="110"/>
        </w:rPr>
        <w:t> </w:t>
      </w:r>
      <w:r>
        <w:rPr>
          <w:color w:val="231F20"/>
          <w:w w:val="110"/>
        </w:rPr>
        <w:t>año</w:t>
      </w:r>
      <w:r>
        <w:rPr>
          <w:color w:val="231F20"/>
          <w:spacing w:val="-8"/>
          <w:w w:val="110"/>
        </w:rPr>
        <w:t> </w:t>
      </w:r>
      <w:r>
        <w:rPr>
          <w:color w:val="231F20"/>
          <w:w w:val="110"/>
        </w:rPr>
        <w:t>siguiente</w:t>
      </w:r>
      <w:r>
        <w:rPr>
          <w:color w:val="231F20"/>
          <w:spacing w:val="-8"/>
          <w:w w:val="110"/>
        </w:rPr>
        <w:t> </w:t>
      </w:r>
      <w:r>
        <w:rPr>
          <w:color w:val="231F20"/>
          <w:w w:val="110"/>
        </w:rPr>
        <w:t>se</w:t>
      </w:r>
      <w:r>
        <w:rPr>
          <w:color w:val="231F20"/>
          <w:spacing w:val="-8"/>
          <w:w w:val="110"/>
        </w:rPr>
        <w:t> </w:t>
      </w:r>
      <w:r>
        <w:rPr>
          <w:color w:val="231F20"/>
          <w:w w:val="110"/>
        </w:rPr>
        <w:t>recupera</w:t>
      </w:r>
      <w:r>
        <w:rPr>
          <w:color w:val="231F20"/>
          <w:spacing w:val="-8"/>
          <w:w w:val="110"/>
        </w:rPr>
        <w:t> </w:t>
      </w:r>
      <w:r>
        <w:rPr>
          <w:color w:val="231F20"/>
          <w:w w:val="110"/>
        </w:rPr>
        <w:t>esta</w:t>
      </w:r>
      <w:r>
        <w:rPr>
          <w:color w:val="231F20"/>
          <w:spacing w:val="-8"/>
          <w:w w:val="110"/>
        </w:rPr>
        <w:t> </w:t>
      </w:r>
      <w:r>
        <w:rPr>
          <w:color w:val="231F20"/>
          <w:w w:val="110"/>
        </w:rPr>
        <w:t>tendencia,</w:t>
      </w:r>
      <w:r>
        <w:rPr>
          <w:color w:val="231F20"/>
          <w:w w:val="112"/>
        </w:rPr>
        <w:t> </w:t>
      </w:r>
      <w:r>
        <w:rPr>
          <w:color w:val="231F20"/>
          <w:w w:val="110"/>
        </w:rPr>
        <w:t>misma</w:t>
      </w:r>
      <w:r>
        <w:rPr>
          <w:color w:val="231F20"/>
          <w:spacing w:val="-7"/>
          <w:w w:val="110"/>
        </w:rPr>
        <w:t> </w:t>
      </w:r>
      <w:r>
        <w:rPr>
          <w:color w:val="231F20"/>
          <w:w w:val="110"/>
        </w:rPr>
        <w:t>que</w:t>
      </w:r>
      <w:r>
        <w:rPr>
          <w:color w:val="231F20"/>
          <w:spacing w:val="-7"/>
          <w:w w:val="110"/>
        </w:rPr>
        <w:t> </w:t>
      </w:r>
      <w:r>
        <w:rPr>
          <w:color w:val="231F20"/>
          <w:w w:val="110"/>
        </w:rPr>
        <w:t>continua</w:t>
      </w:r>
      <w:r>
        <w:rPr>
          <w:color w:val="231F20"/>
          <w:spacing w:val="-7"/>
          <w:w w:val="110"/>
        </w:rPr>
        <w:t> </w:t>
      </w:r>
      <w:r>
        <w:rPr>
          <w:color w:val="231F20"/>
          <w:w w:val="110"/>
        </w:rPr>
        <w:t>en</w:t>
      </w:r>
      <w:r>
        <w:rPr>
          <w:color w:val="231F20"/>
          <w:spacing w:val="-7"/>
          <w:w w:val="110"/>
        </w:rPr>
        <w:t> </w:t>
      </w:r>
      <w:r>
        <w:rPr>
          <w:color w:val="231F20"/>
          <w:w w:val="110"/>
        </w:rPr>
        <w:t>2010,</w:t>
      </w:r>
      <w:r>
        <w:rPr>
          <w:color w:val="231F20"/>
          <w:spacing w:val="-7"/>
          <w:w w:val="110"/>
        </w:rPr>
        <w:t> </w:t>
      </w:r>
      <w:r>
        <w:rPr>
          <w:color w:val="231F20"/>
          <w:w w:val="110"/>
        </w:rPr>
        <w:t>de</w:t>
      </w:r>
      <w:r>
        <w:rPr>
          <w:color w:val="231F20"/>
          <w:spacing w:val="-7"/>
          <w:w w:val="110"/>
        </w:rPr>
        <w:t> </w:t>
      </w:r>
      <w:r>
        <w:rPr>
          <w:color w:val="231F20"/>
          <w:w w:val="110"/>
        </w:rPr>
        <w:t>tal</w:t>
      </w:r>
      <w:r>
        <w:rPr>
          <w:color w:val="231F20"/>
          <w:spacing w:val="-7"/>
          <w:w w:val="110"/>
        </w:rPr>
        <w:t> </w:t>
      </w:r>
      <w:r>
        <w:rPr>
          <w:color w:val="231F20"/>
          <w:w w:val="110"/>
        </w:rPr>
        <w:t>modo</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último</w:t>
      </w:r>
      <w:r>
        <w:rPr>
          <w:color w:val="231F20"/>
          <w:spacing w:val="-7"/>
          <w:w w:val="110"/>
        </w:rPr>
        <w:t> </w:t>
      </w:r>
      <w:r>
        <w:rPr>
          <w:color w:val="231F20"/>
          <w:w w:val="110"/>
        </w:rPr>
        <w:t>año,</w:t>
      </w:r>
      <w:r>
        <w:rPr>
          <w:color w:val="231F20"/>
          <w:spacing w:val="-7"/>
          <w:w w:val="110"/>
        </w:rPr>
        <w:t> </w:t>
      </w:r>
      <w:r>
        <w:rPr>
          <w:color w:val="231F20"/>
          <w:w w:val="110"/>
        </w:rPr>
        <w:t>los</w:t>
      </w:r>
      <w:r>
        <w:rPr>
          <w:color w:val="231F20"/>
          <w:w w:val="102"/>
        </w:rPr>
        <w:t> </w:t>
      </w:r>
      <w:r>
        <w:rPr>
          <w:color w:val="231F20"/>
          <w:w w:val="110"/>
        </w:rPr>
        <w:t>inmigrantes</w:t>
      </w:r>
      <w:r>
        <w:rPr>
          <w:color w:val="231F20"/>
          <w:spacing w:val="-9"/>
          <w:w w:val="110"/>
        </w:rPr>
        <w:t> </w:t>
      </w:r>
      <w:r>
        <w:rPr>
          <w:color w:val="231F20"/>
          <w:w w:val="110"/>
        </w:rPr>
        <w:t>latinoamericanos</w:t>
      </w:r>
      <w:r>
        <w:rPr>
          <w:color w:val="231F20"/>
          <w:spacing w:val="-9"/>
          <w:w w:val="110"/>
        </w:rPr>
        <w:t> </w:t>
      </w:r>
      <w:r>
        <w:rPr>
          <w:color w:val="231F20"/>
          <w:w w:val="110"/>
        </w:rPr>
        <w:t>ya</w:t>
      </w:r>
      <w:r>
        <w:rPr>
          <w:color w:val="231F20"/>
          <w:spacing w:val="-9"/>
          <w:w w:val="110"/>
        </w:rPr>
        <w:t> </w:t>
      </w:r>
      <w:r>
        <w:rPr>
          <w:color w:val="231F20"/>
          <w:w w:val="110"/>
        </w:rPr>
        <w:t>representan</w:t>
      </w:r>
      <w:r>
        <w:rPr>
          <w:color w:val="231F20"/>
          <w:spacing w:val="-9"/>
          <w:w w:val="110"/>
        </w:rPr>
        <w:t> </w:t>
      </w:r>
      <w:r>
        <w:rPr>
          <w:color w:val="231F20"/>
          <w:w w:val="110"/>
        </w:rPr>
        <w:t>casi</w:t>
      </w:r>
      <w:r>
        <w:rPr>
          <w:color w:val="231F20"/>
          <w:spacing w:val="-9"/>
          <w:w w:val="110"/>
        </w:rPr>
        <w:t> </w:t>
      </w:r>
      <w:r>
        <w:rPr>
          <w:color w:val="231F20"/>
          <w:w w:val="110"/>
        </w:rPr>
        <w:t>17%</w:t>
      </w:r>
      <w:r>
        <w:rPr>
          <w:color w:val="231F20"/>
          <w:spacing w:val="-9"/>
          <w:w w:val="110"/>
        </w:rPr>
        <w:t> </w:t>
      </w:r>
      <w:r>
        <w:rPr>
          <w:color w:val="231F20"/>
          <w:spacing w:val="-3"/>
          <w:w w:val="110"/>
        </w:rPr>
        <w:t>de</w:t>
      </w:r>
      <w:r>
        <w:rPr>
          <w:color w:val="231F20"/>
          <w:spacing w:val="-16"/>
          <w:w w:val="110"/>
        </w:rPr>
        <w:t> </w:t>
      </w:r>
      <w:r>
        <w:rPr>
          <w:color w:val="231F20"/>
          <w:w w:val="110"/>
        </w:rPr>
        <w:t>la</w:t>
      </w:r>
      <w:r>
        <w:rPr>
          <w:color w:val="231F20"/>
          <w:spacing w:val="-16"/>
          <w:w w:val="110"/>
        </w:rPr>
        <w:t> </w:t>
      </w:r>
      <w:r>
        <w:rPr>
          <w:color w:val="231F20"/>
          <w:spacing w:val="-4"/>
          <w:w w:val="110"/>
        </w:rPr>
        <w:t>fuerza</w:t>
      </w:r>
      <w:r>
        <w:rPr>
          <w:color w:val="231F20"/>
          <w:spacing w:val="-16"/>
          <w:w w:val="110"/>
        </w:rPr>
        <w:t> </w:t>
      </w:r>
      <w:r>
        <w:rPr>
          <w:color w:val="231F20"/>
          <w:w w:val="110"/>
        </w:rPr>
        <w:t>de</w:t>
      </w:r>
      <w:r>
        <w:rPr>
          <w:color w:val="231F20"/>
          <w:w w:val="112"/>
        </w:rPr>
        <w:t> </w:t>
      </w:r>
      <w:r>
        <w:rPr>
          <w:color w:val="231F20"/>
          <w:spacing w:val="-4"/>
          <w:w w:val="110"/>
        </w:rPr>
        <w:t>trabajo empleada </w:t>
      </w:r>
      <w:r>
        <w:rPr>
          <w:color w:val="231F20"/>
          <w:w w:val="110"/>
        </w:rPr>
        <w:t>en </w:t>
      </w:r>
      <w:r>
        <w:rPr>
          <w:color w:val="231F20"/>
          <w:spacing w:val="-4"/>
          <w:w w:val="110"/>
        </w:rPr>
        <w:t>tareas </w:t>
      </w:r>
      <w:r>
        <w:rPr>
          <w:color w:val="231F20"/>
          <w:w w:val="110"/>
        </w:rPr>
        <w:t>de la </w:t>
      </w:r>
      <w:r>
        <w:rPr>
          <w:color w:val="231F20"/>
          <w:spacing w:val="-4"/>
          <w:w w:val="110"/>
        </w:rPr>
        <w:t>reproducción social </w:t>
      </w:r>
      <w:r>
        <w:rPr>
          <w:color w:val="231F20"/>
          <w:w w:val="110"/>
        </w:rPr>
        <w:t>de la  </w:t>
      </w:r>
      <w:r>
        <w:rPr>
          <w:color w:val="231F20"/>
          <w:spacing w:val="11"/>
          <w:w w:val="110"/>
        </w:rPr>
        <w:t> </w:t>
      </w:r>
      <w:r>
        <w:rPr>
          <w:color w:val="231F20"/>
          <w:w w:val="110"/>
        </w:rPr>
        <w:t>población,</w:t>
      </w:r>
    </w:p>
    <w:p>
      <w:pPr>
        <w:pStyle w:val="BodyText"/>
        <w:ind w:left="100"/>
        <w:jc w:val="both"/>
      </w:pPr>
      <w:r>
        <w:rPr>
          <w:color w:val="231F20"/>
          <w:w w:val="105"/>
        </w:rPr>
        <w:t>especialmente de estratos sociales medios y    altos.</w:t>
      </w:r>
    </w:p>
    <w:p>
      <w:pPr>
        <w:pStyle w:val="BodyText"/>
        <w:spacing w:line="261" w:lineRule="auto" w:before="20"/>
        <w:ind w:left="100" w:right="117" w:firstLine="240"/>
        <w:jc w:val="both"/>
      </w:pPr>
      <w:r>
        <w:rPr>
          <w:color w:val="231F20"/>
          <w:w w:val="110"/>
        </w:rPr>
        <w:t>Un corolario que podemos desprender de este análisis empírico, es que en esta época de crisis, la reproducción social de la</w:t>
      </w:r>
      <w:r>
        <w:rPr>
          <w:color w:val="231F20"/>
          <w:spacing w:val="-25"/>
          <w:w w:val="110"/>
        </w:rPr>
        <w:t> </w:t>
      </w:r>
      <w:r>
        <w:rPr>
          <w:color w:val="231F20"/>
          <w:w w:val="110"/>
        </w:rPr>
        <w:t>población de sectores medios y altos, tiende a ser aún más dependiente de la provisión de mano de obra inmigrante, en este caso, proveniente de países</w:t>
      </w:r>
      <w:r>
        <w:rPr>
          <w:color w:val="231F20"/>
          <w:spacing w:val="-11"/>
          <w:w w:val="110"/>
        </w:rPr>
        <w:t> </w:t>
      </w:r>
      <w:r>
        <w:rPr>
          <w:color w:val="231F20"/>
          <w:w w:val="110"/>
        </w:rPr>
        <w:t>latinoamericanos,</w:t>
      </w:r>
      <w:r>
        <w:rPr>
          <w:color w:val="231F20"/>
          <w:spacing w:val="-11"/>
          <w:w w:val="110"/>
        </w:rPr>
        <w:t> </w:t>
      </w:r>
      <w:r>
        <w:rPr>
          <w:color w:val="231F20"/>
          <w:w w:val="110"/>
        </w:rPr>
        <w:t>quienes</w:t>
      </w:r>
      <w:r>
        <w:rPr>
          <w:color w:val="231F20"/>
          <w:spacing w:val="-11"/>
          <w:w w:val="110"/>
        </w:rPr>
        <w:t> </w:t>
      </w:r>
      <w:r>
        <w:rPr>
          <w:color w:val="231F20"/>
          <w:w w:val="110"/>
        </w:rPr>
        <w:t>por</w:t>
      </w:r>
      <w:r>
        <w:rPr>
          <w:color w:val="231F20"/>
          <w:spacing w:val="-11"/>
          <w:w w:val="110"/>
        </w:rPr>
        <w:t> </w:t>
      </w:r>
      <w:r>
        <w:rPr>
          <w:color w:val="231F20"/>
          <w:w w:val="110"/>
        </w:rPr>
        <w:t>su</w:t>
      </w:r>
      <w:r>
        <w:rPr>
          <w:color w:val="231F20"/>
          <w:spacing w:val="-11"/>
          <w:w w:val="110"/>
        </w:rPr>
        <w:t> </w:t>
      </w:r>
      <w:r>
        <w:rPr>
          <w:color w:val="231F20"/>
          <w:w w:val="110"/>
        </w:rPr>
        <w:t>misma</w:t>
      </w:r>
      <w:r>
        <w:rPr>
          <w:color w:val="231F20"/>
          <w:spacing w:val="-11"/>
          <w:w w:val="110"/>
        </w:rPr>
        <w:t> </w:t>
      </w:r>
      <w:r>
        <w:rPr>
          <w:color w:val="231F20"/>
          <w:w w:val="110"/>
        </w:rPr>
        <w:t>condición</w:t>
      </w:r>
      <w:r>
        <w:rPr>
          <w:color w:val="231F20"/>
          <w:spacing w:val="-11"/>
          <w:w w:val="110"/>
        </w:rPr>
        <w:t> </w:t>
      </w:r>
      <w:r>
        <w:rPr>
          <w:color w:val="231F20"/>
          <w:w w:val="110"/>
        </w:rPr>
        <w:t>migratoria, enfrentan situaciones de mayor vulnerabilidad que el resto de la po- blación, y por lo tanto, con menos recursos para negociar mejores condiciones laborales, salarios,</w:t>
      </w:r>
      <w:r>
        <w:rPr>
          <w:color w:val="231F20"/>
          <w:spacing w:val="-16"/>
          <w:w w:val="110"/>
        </w:rPr>
        <w:t> </w:t>
      </w:r>
      <w:r>
        <w:rPr>
          <w:color w:val="231F20"/>
          <w:w w:val="110"/>
        </w:rPr>
        <w:t>etcétera.</w:t>
      </w:r>
    </w:p>
    <w:p>
      <w:pPr>
        <w:pStyle w:val="BodyText"/>
        <w:spacing w:line="261" w:lineRule="auto"/>
        <w:ind w:left="100" w:right="117" w:firstLine="240"/>
        <w:jc w:val="both"/>
      </w:pPr>
      <w:r>
        <w:rPr>
          <w:color w:val="231F20"/>
          <w:w w:val="110"/>
        </w:rPr>
        <w:t>Ahora bien, si la crisis actual no parece afectar en mayor medida el nivel de empleo de los inmigrantes latinoamericanos, al menos</w:t>
      </w:r>
      <w:r>
        <w:rPr>
          <w:color w:val="231F20"/>
          <w:spacing w:val="-26"/>
          <w:w w:val="110"/>
        </w:rPr>
        <w:t> </w:t>
      </w:r>
      <w:r>
        <w:rPr>
          <w:color w:val="231F20"/>
          <w:w w:val="110"/>
        </w:rPr>
        <w:t>no más</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promedio</w:t>
      </w:r>
      <w:r>
        <w:rPr>
          <w:color w:val="231F20"/>
          <w:spacing w:val="-11"/>
          <w:w w:val="110"/>
        </w:rPr>
        <w:t> </w:t>
      </w:r>
      <w:r>
        <w:rPr>
          <w:color w:val="231F20"/>
          <w:w w:val="110"/>
        </w:rPr>
        <w:t>nacional,</w:t>
      </w:r>
      <w:r>
        <w:rPr>
          <w:color w:val="231F20"/>
          <w:spacing w:val="-11"/>
          <w:w w:val="110"/>
        </w:rPr>
        <w:t> </w:t>
      </w:r>
      <w:r>
        <w:rPr>
          <w:color w:val="231F20"/>
          <w:w w:val="110"/>
        </w:rPr>
        <w:t>no</w:t>
      </w:r>
      <w:r>
        <w:rPr>
          <w:color w:val="231F20"/>
          <w:spacing w:val="-11"/>
          <w:w w:val="110"/>
        </w:rPr>
        <w:t> </w:t>
      </w:r>
      <w:r>
        <w:rPr>
          <w:color w:val="231F20"/>
          <w:w w:val="110"/>
        </w:rPr>
        <w:t>sucede</w:t>
      </w:r>
      <w:r>
        <w:rPr>
          <w:color w:val="231F20"/>
          <w:spacing w:val="-11"/>
          <w:w w:val="110"/>
        </w:rPr>
        <w:t> </w:t>
      </w:r>
      <w:r>
        <w:rPr>
          <w:color w:val="231F20"/>
          <w:w w:val="110"/>
        </w:rPr>
        <w:t>lo</w:t>
      </w:r>
      <w:r>
        <w:rPr>
          <w:color w:val="231F20"/>
          <w:spacing w:val="-11"/>
          <w:w w:val="110"/>
        </w:rPr>
        <w:t> </w:t>
      </w:r>
      <w:r>
        <w:rPr>
          <w:color w:val="231F20"/>
          <w:w w:val="110"/>
        </w:rPr>
        <w:t>mismo</w:t>
      </w:r>
      <w:r>
        <w:rPr>
          <w:color w:val="231F20"/>
          <w:spacing w:val="-11"/>
          <w:w w:val="110"/>
        </w:rPr>
        <w:t> </w:t>
      </w:r>
      <w:r>
        <w:rPr>
          <w:color w:val="231F20"/>
          <w:w w:val="110"/>
        </w:rPr>
        <w:t>cuando</w:t>
      </w:r>
      <w:r>
        <w:rPr>
          <w:color w:val="231F20"/>
          <w:spacing w:val="-11"/>
          <w:w w:val="110"/>
        </w:rPr>
        <w:t> </w:t>
      </w:r>
      <w:r>
        <w:rPr>
          <w:color w:val="231F20"/>
          <w:w w:val="110"/>
        </w:rPr>
        <w:t>se</w:t>
      </w:r>
      <w:r>
        <w:rPr>
          <w:color w:val="231F20"/>
          <w:spacing w:val="-11"/>
          <w:w w:val="110"/>
        </w:rPr>
        <w:t> </w:t>
      </w:r>
      <w:r>
        <w:rPr>
          <w:color w:val="231F20"/>
          <w:w w:val="110"/>
        </w:rPr>
        <w:t>analiza el impacto de la crisis en la calidad de esos empleos, y por lo tanto, en las condiciones de vida de la población </w:t>
      </w:r>
      <w:r>
        <w:rPr>
          <w:color w:val="231F20"/>
          <w:spacing w:val="8"/>
          <w:w w:val="110"/>
        </w:rPr>
        <w:t> </w:t>
      </w:r>
      <w:r>
        <w:rPr>
          <w:color w:val="231F20"/>
          <w:w w:val="110"/>
        </w:rPr>
        <w:t>migrante.</w:t>
      </w:r>
    </w:p>
    <w:p>
      <w:pPr>
        <w:pStyle w:val="BodyText"/>
        <w:spacing w:line="261" w:lineRule="auto"/>
        <w:ind w:left="100" w:right="119" w:firstLine="240"/>
        <w:jc w:val="both"/>
      </w:pPr>
      <w:r>
        <w:rPr>
          <w:color w:val="231F20"/>
          <w:w w:val="110"/>
        </w:rPr>
        <w:t>En efecto, con base en un índice de precariedad laboral que he- mos construido, observamos que los inmigrantes   latinoamericanos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759"/>
        <w:jc w:val="both"/>
      </w:pPr>
      <w:r>
        <w:rPr>
          <w:color w:val="231F20"/>
          <w:w w:val="110"/>
        </w:rPr>
        <w:t>son</w:t>
      </w:r>
      <w:r>
        <w:rPr>
          <w:color w:val="231F20"/>
          <w:spacing w:val="-16"/>
          <w:w w:val="110"/>
        </w:rPr>
        <w:t> </w:t>
      </w:r>
      <w:r>
        <w:rPr>
          <w:color w:val="231F20"/>
          <w:w w:val="110"/>
        </w:rPr>
        <w:t>los</w:t>
      </w:r>
      <w:r>
        <w:rPr>
          <w:color w:val="231F20"/>
          <w:spacing w:val="-16"/>
          <w:w w:val="110"/>
        </w:rPr>
        <w:t> </w:t>
      </w:r>
      <w:r>
        <w:rPr>
          <w:color w:val="231F20"/>
          <w:w w:val="110"/>
        </w:rPr>
        <w:t>más</w:t>
      </w:r>
      <w:r>
        <w:rPr>
          <w:color w:val="231F20"/>
          <w:spacing w:val="-16"/>
          <w:w w:val="110"/>
        </w:rPr>
        <w:t> </w:t>
      </w:r>
      <w:r>
        <w:rPr>
          <w:color w:val="231F20"/>
          <w:w w:val="110"/>
        </w:rPr>
        <w:t>afectados</w:t>
      </w:r>
      <w:r>
        <w:rPr>
          <w:color w:val="231F20"/>
          <w:spacing w:val="-16"/>
          <w:w w:val="110"/>
        </w:rPr>
        <w:t> </w:t>
      </w:r>
      <w:r>
        <w:rPr>
          <w:color w:val="231F20"/>
          <w:w w:val="110"/>
        </w:rPr>
        <w:t>por</w:t>
      </w:r>
      <w:r>
        <w:rPr>
          <w:color w:val="231F20"/>
          <w:spacing w:val="-16"/>
          <w:w w:val="110"/>
        </w:rPr>
        <w:t> </w:t>
      </w:r>
      <w:r>
        <w:rPr>
          <w:color w:val="231F20"/>
          <w:w w:val="110"/>
        </w:rPr>
        <w:t>la</w:t>
      </w:r>
      <w:r>
        <w:rPr>
          <w:color w:val="231F20"/>
          <w:spacing w:val="-16"/>
          <w:w w:val="110"/>
        </w:rPr>
        <w:t> </w:t>
      </w:r>
      <w:r>
        <w:rPr>
          <w:color w:val="231F20"/>
          <w:w w:val="110"/>
        </w:rPr>
        <w:t>crisis</w:t>
      </w:r>
      <w:r>
        <w:rPr>
          <w:color w:val="231F20"/>
          <w:spacing w:val="-16"/>
          <w:w w:val="110"/>
        </w:rPr>
        <w:t> </w:t>
      </w:r>
      <w:r>
        <w:rPr>
          <w:color w:val="231F20"/>
          <w:w w:val="110"/>
        </w:rPr>
        <w:t>económica.</w:t>
      </w:r>
      <w:r>
        <w:rPr>
          <w:color w:val="231F20"/>
          <w:spacing w:val="-16"/>
          <w:w w:val="110"/>
        </w:rPr>
        <w:t> </w:t>
      </w: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caso,</w:t>
      </w:r>
      <w:r>
        <w:rPr>
          <w:color w:val="231F20"/>
          <w:spacing w:val="-16"/>
          <w:w w:val="110"/>
        </w:rPr>
        <w:t> </w:t>
      </w:r>
      <w:r>
        <w:rPr>
          <w:color w:val="231F20"/>
          <w:w w:val="110"/>
        </w:rPr>
        <w:t>la</w:t>
      </w:r>
      <w:r>
        <w:rPr>
          <w:color w:val="231F20"/>
          <w:spacing w:val="-16"/>
          <w:w w:val="110"/>
        </w:rPr>
        <w:t> </w:t>
      </w:r>
      <w:r>
        <w:rPr>
          <w:color w:val="231F20"/>
          <w:w w:val="110"/>
        </w:rPr>
        <w:t>propor- ción de trabajadores en situación de alta precariedad pasa de niveles de 12% en 2006, a algo más de 21% en 2009 y 2010.</w:t>
      </w:r>
    </w:p>
    <w:p>
      <w:pPr>
        <w:pStyle w:val="BodyText"/>
        <w:spacing w:before="2"/>
        <w:rPr>
          <w:sz w:val="24"/>
        </w:rPr>
      </w:pPr>
    </w:p>
    <w:p>
      <w:pPr>
        <w:spacing w:line="290" w:lineRule="auto" w:before="0"/>
        <w:ind w:left="100" w:right="1916" w:firstLine="0"/>
        <w:jc w:val="left"/>
        <w:rPr>
          <w:sz w:val="18"/>
        </w:rPr>
      </w:pPr>
      <w:r>
        <w:rPr>
          <w:color w:val="231F20"/>
          <w:w w:val="125"/>
          <w:sz w:val="18"/>
        </w:rPr>
        <w:t>gráfica 7. características del empleo en ocupaciones de</w:t>
      </w:r>
      <w:r>
        <w:rPr>
          <w:color w:val="231F20"/>
          <w:spacing w:val="-11"/>
          <w:w w:val="125"/>
          <w:sz w:val="18"/>
        </w:rPr>
        <w:t> </w:t>
      </w:r>
      <w:r>
        <w:rPr>
          <w:color w:val="231F20"/>
          <w:w w:val="125"/>
          <w:sz w:val="18"/>
        </w:rPr>
        <w:t>la</w:t>
      </w:r>
      <w:r>
        <w:rPr>
          <w:color w:val="231F20"/>
          <w:spacing w:val="-11"/>
          <w:w w:val="125"/>
          <w:sz w:val="18"/>
        </w:rPr>
        <w:t> </w:t>
      </w:r>
      <w:r>
        <w:rPr>
          <w:color w:val="231F20"/>
          <w:w w:val="125"/>
          <w:sz w:val="18"/>
        </w:rPr>
        <w:t>reproducción</w:t>
      </w:r>
      <w:r>
        <w:rPr>
          <w:color w:val="231F20"/>
          <w:spacing w:val="-11"/>
          <w:w w:val="125"/>
          <w:sz w:val="18"/>
        </w:rPr>
        <w:t> </w:t>
      </w:r>
      <w:r>
        <w:rPr>
          <w:color w:val="231F20"/>
          <w:w w:val="125"/>
          <w:sz w:val="18"/>
        </w:rPr>
        <w:t>social,</w:t>
      </w:r>
      <w:r>
        <w:rPr>
          <w:color w:val="231F20"/>
          <w:spacing w:val="-11"/>
          <w:w w:val="125"/>
          <w:sz w:val="18"/>
        </w:rPr>
        <w:t> </w:t>
      </w:r>
      <w:r>
        <w:rPr>
          <w:color w:val="231F20"/>
          <w:w w:val="125"/>
          <w:sz w:val="18"/>
        </w:rPr>
        <w:t>estados</w:t>
      </w:r>
      <w:r>
        <w:rPr>
          <w:color w:val="231F20"/>
          <w:spacing w:val="-11"/>
          <w:w w:val="125"/>
          <w:sz w:val="18"/>
        </w:rPr>
        <w:t> </w:t>
      </w:r>
      <w:r>
        <w:rPr>
          <w:color w:val="231F20"/>
          <w:w w:val="125"/>
          <w:sz w:val="18"/>
        </w:rPr>
        <w:t>unidos,</w:t>
      </w:r>
      <w:r>
        <w:rPr>
          <w:color w:val="231F20"/>
          <w:spacing w:val="-11"/>
          <w:w w:val="125"/>
          <w:sz w:val="18"/>
        </w:rPr>
        <w:t> </w:t>
      </w:r>
      <w:r>
        <w:rPr>
          <w:color w:val="231F20"/>
          <w:w w:val="125"/>
          <w:sz w:val="18"/>
        </w:rPr>
        <w:t>2003</w:t>
      </w:r>
      <w:r>
        <w:rPr>
          <w:color w:val="231F20"/>
          <w:spacing w:val="-11"/>
          <w:w w:val="125"/>
          <w:sz w:val="18"/>
        </w:rPr>
        <w:t> </w:t>
      </w:r>
      <w:r>
        <w:rPr>
          <w:color w:val="231F20"/>
          <w:w w:val="125"/>
          <w:sz w:val="18"/>
        </w:rPr>
        <w:t>a</w:t>
      </w:r>
      <w:r>
        <w:rPr>
          <w:color w:val="231F20"/>
          <w:spacing w:val="-11"/>
          <w:w w:val="125"/>
          <w:sz w:val="18"/>
        </w:rPr>
        <w:t> </w:t>
      </w:r>
      <w:r>
        <w:rPr>
          <w:color w:val="231F20"/>
          <w:w w:val="125"/>
          <w:sz w:val="18"/>
        </w:rPr>
        <w:t>2010</w:t>
      </w:r>
    </w:p>
    <w:p>
      <w:pPr>
        <w:spacing w:after="0" w:line="290" w:lineRule="auto"/>
        <w:jc w:val="left"/>
        <w:rPr>
          <w:sz w:val="18"/>
        </w:rPr>
        <w:sectPr>
          <w:pgSz w:w="7640" w:h="11900"/>
          <w:pgMar w:header="672" w:footer="0" w:top="860" w:bottom="280" w:left="780" w:right="0"/>
        </w:sectPr>
      </w:pPr>
    </w:p>
    <w:p>
      <w:pPr>
        <w:spacing w:line="268" w:lineRule="auto" w:before="94"/>
        <w:ind w:left="365" w:right="131" w:firstLine="0"/>
        <w:jc w:val="center"/>
        <w:rPr>
          <w:sz w:val="14"/>
        </w:rPr>
      </w:pPr>
      <w:r>
        <w:rPr>
          <w:color w:val="231F20"/>
          <w:w w:val="110"/>
          <w:sz w:val="14"/>
        </w:rPr>
        <w:t>Crecimiento del empleo según condición </w:t>
      </w:r>
      <w:r>
        <w:rPr>
          <w:color w:val="231F20"/>
          <w:w w:val="105"/>
          <w:sz w:val="14"/>
        </w:rPr>
        <w:t>étnico-migratoria, 2007-2010</w:t>
      </w:r>
    </w:p>
    <w:p>
      <w:pPr>
        <w:tabs>
          <w:tab w:pos="926" w:val="left" w:leader="none"/>
          <w:tab w:pos="3027" w:val="left" w:leader="none"/>
        </w:tabs>
        <w:spacing w:before="0"/>
        <w:ind w:left="231" w:right="0" w:firstLine="0"/>
        <w:jc w:val="center"/>
        <w:rPr>
          <w:sz w:val="14"/>
        </w:rPr>
      </w:pPr>
      <w:r>
        <w:rPr>
          <w:color w:val="231F20"/>
          <w:w w:val="104"/>
          <w:sz w:val="14"/>
          <w:u w:val="single" w:color="231F20"/>
        </w:rPr>
        <w:t> </w:t>
      </w:r>
      <w:r>
        <w:rPr>
          <w:color w:val="231F20"/>
          <w:sz w:val="14"/>
          <w:u w:val="single" w:color="231F20"/>
        </w:rPr>
        <w:tab/>
      </w:r>
      <w:r>
        <w:rPr>
          <w:color w:val="231F20"/>
          <w:w w:val="110"/>
          <w:sz w:val="14"/>
          <w:u w:val="single" w:color="231F20"/>
        </w:rPr>
        <w:t>(millones de</w:t>
      </w:r>
      <w:r>
        <w:rPr>
          <w:color w:val="231F20"/>
          <w:spacing w:val="10"/>
          <w:w w:val="110"/>
          <w:sz w:val="14"/>
          <w:u w:val="single" w:color="231F20"/>
        </w:rPr>
        <w:t> </w:t>
      </w:r>
      <w:r>
        <w:rPr>
          <w:color w:val="231F20"/>
          <w:w w:val="110"/>
          <w:sz w:val="14"/>
          <w:u w:val="single" w:color="231F20"/>
        </w:rPr>
        <w:t>personas)</w:t>
      </w:r>
      <w:r>
        <w:rPr>
          <w:color w:val="231F20"/>
          <w:sz w:val="14"/>
          <w:u w:val="single" w:color="231F20"/>
        </w:rPr>
        <w:tab/>
      </w:r>
    </w:p>
    <w:p>
      <w:pPr>
        <w:spacing w:line="268" w:lineRule="auto" w:before="94"/>
        <w:ind w:left="423" w:right="1208" w:firstLine="0"/>
        <w:jc w:val="center"/>
        <w:rPr>
          <w:sz w:val="14"/>
        </w:rPr>
      </w:pPr>
      <w:r>
        <w:rPr/>
        <w:br w:type="column"/>
      </w:r>
      <w:r>
        <w:rPr>
          <w:color w:val="231F20"/>
          <w:w w:val="110"/>
          <w:sz w:val="14"/>
        </w:rPr>
        <w:t>Participación de inmigrantes latinoamericanos en empleos de la</w:t>
      </w:r>
    </w:p>
    <w:p>
      <w:pPr>
        <w:tabs>
          <w:tab w:pos="387" w:val="left" w:leader="none"/>
          <w:tab w:pos="2795" w:val="left" w:leader="none"/>
        </w:tabs>
        <w:spacing w:before="0"/>
        <w:ind w:left="0" w:right="784" w:firstLine="0"/>
        <w:jc w:val="center"/>
        <w:rPr>
          <w:sz w:val="14"/>
        </w:rPr>
      </w:pPr>
      <w:r>
        <w:rPr>
          <w:color w:val="231F20"/>
          <w:w w:val="104"/>
          <w:sz w:val="14"/>
          <w:u w:val="single" w:color="231F20"/>
        </w:rPr>
        <w:t> </w:t>
      </w:r>
      <w:r>
        <w:rPr>
          <w:color w:val="231F20"/>
          <w:sz w:val="14"/>
          <w:u w:val="single" w:color="231F20"/>
        </w:rPr>
        <w:tab/>
      </w:r>
      <w:r>
        <w:rPr>
          <w:color w:val="231F20"/>
          <w:w w:val="110"/>
          <w:sz w:val="14"/>
          <w:u w:val="single" w:color="231F20"/>
        </w:rPr>
        <w:t>reproducción social</w:t>
      </w:r>
      <w:r>
        <w:rPr>
          <w:color w:val="231F20"/>
          <w:spacing w:val="28"/>
          <w:w w:val="110"/>
          <w:sz w:val="14"/>
          <w:u w:val="single" w:color="231F20"/>
        </w:rPr>
        <w:t> </w:t>
      </w:r>
      <w:r>
        <w:rPr>
          <w:color w:val="231F20"/>
          <w:w w:val="110"/>
          <w:sz w:val="14"/>
          <w:u w:val="single" w:color="231F20"/>
        </w:rPr>
        <w:t>(porcentaje)</w:t>
      </w:r>
      <w:r>
        <w:rPr>
          <w:color w:val="231F20"/>
          <w:sz w:val="14"/>
          <w:u w:val="single" w:color="231F20"/>
        </w:rPr>
        <w:tab/>
      </w:r>
    </w:p>
    <w:p>
      <w:pPr>
        <w:spacing w:after="0"/>
        <w:jc w:val="center"/>
        <w:rPr>
          <w:sz w:val="14"/>
        </w:rPr>
        <w:sectPr>
          <w:type w:val="continuous"/>
          <w:pgSz w:w="7640" w:h="11900"/>
          <w:pgMar w:top="980" w:bottom="280" w:left="780" w:right="0"/>
          <w:cols w:num="2" w:equalWidth="0">
            <w:col w:w="3028" w:space="40"/>
            <w:col w:w="3792"/>
          </w:cols>
        </w:sectPr>
      </w:pPr>
    </w:p>
    <w:p>
      <w:pPr>
        <w:pStyle w:val="BodyText"/>
      </w:pPr>
    </w:p>
    <w:p>
      <w:pPr>
        <w:pStyle w:val="BodyText"/>
        <w:spacing w:before="3"/>
        <w:rPr>
          <w:sz w:val="19"/>
        </w:rPr>
      </w:pPr>
    </w:p>
    <w:p>
      <w:pPr>
        <w:spacing w:before="0"/>
        <w:ind w:left="438" w:right="861" w:firstLine="0"/>
        <w:jc w:val="left"/>
        <w:rPr>
          <w:sz w:val="14"/>
        </w:rPr>
      </w:pPr>
      <w:r>
        <w:rPr/>
        <w:pict>
          <v:shape style="position:absolute;margin-left:208.246506pt;margin-top:3.156957pt;width:118.2pt;height:38.4pt;mso-position-horizontal-relative:page;mso-position-vertical-relative:paragraph;z-index:9208" coordorigin="4165,63" coordsize="2364,768" path="m4165,831l4477,687,4807,585,5157,513,5503,387,5857,561,6181,231,6529,63e" filled="false" stroked="true" strokeweight=".5pt" strokecolor="#231f20">
            <v:path arrowok="t"/>
            <w10:wrap type="none"/>
          </v:shape>
        </w:pict>
      </w:r>
      <w:r>
        <w:rPr/>
        <w:pict>
          <v:shape style="position:absolute;margin-left:51.487297pt;margin-top:-3.630846pt;width:9pt;height:49.35pt;mso-position-horizontal-relative:page;mso-position-vertical-relative:paragraph;z-index:-348112" type="#_x0000_t202" filled="false" stroked="false">
            <v:textbox inset="0,0,0,0" style="layout-flow:vertical;mso-layout-flow-alt:bottom-to-top">
              <w:txbxContent>
                <w:p>
                  <w:pPr>
                    <w:spacing w:line="158" w:lineRule="exact" w:before="0"/>
                    <w:ind w:left="20" w:right="-418" w:firstLine="0"/>
                    <w:jc w:val="left"/>
                    <w:rPr>
                      <w:sz w:val="14"/>
                    </w:rPr>
                  </w:pPr>
                  <w:r>
                    <w:rPr>
                      <w:color w:val="231F20"/>
                      <w:w w:val="108"/>
                      <w:sz w:val="14"/>
                    </w:rPr>
                    <w:t>Migrante</w:t>
                  </w:r>
                  <w:r>
                    <w:rPr>
                      <w:color w:val="231F20"/>
                      <w:spacing w:val="1"/>
                      <w:sz w:val="14"/>
                    </w:rPr>
                    <w:t> </w:t>
                  </w:r>
                  <w:r>
                    <w:rPr>
                      <w:color w:val="231F20"/>
                      <w:w w:val="110"/>
                      <w:sz w:val="14"/>
                    </w:rPr>
                    <w:t>latino</w:t>
                  </w:r>
                </w:p>
              </w:txbxContent>
            </v:textbox>
            <w10:wrap type="none"/>
          </v:shape>
        </w:pict>
      </w:r>
      <w:r>
        <w:rPr/>
        <w:pict>
          <v:shape style="position:absolute;margin-left:79.088303pt;margin-top:-5.590846pt;width:9pt;height:51.3pt;mso-position-horizontal-relative:page;mso-position-vertical-relative:paragraph;z-index:-348088" type="#_x0000_t202" filled="false" stroked="false">
            <v:textbox inset="0,0,0,0" style="layout-flow:vertical;mso-layout-flow-alt:bottom-to-top">
              <w:txbxContent>
                <w:p>
                  <w:pPr>
                    <w:spacing w:line="158" w:lineRule="exact" w:before="0"/>
                    <w:ind w:left="20" w:right="-465" w:firstLine="0"/>
                    <w:jc w:val="left"/>
                    <w:rPr>
                      <w:sz w:val="14"/>
                    </w:rPr>
                  </w:pPr>
                  <w:r>
                    <w:rPr>
                      <w:color w:val="231F20"/>
                      <w:w w:val="110"/>
                      <w:sz w:val="14"/>
                    </w:rPr>
                    <w:t>Otros</w:t>
                  </w:r>
                  <w:r>
                    <w:rPr>
                      <w:color w:val="231F20"/>
                      <w:spacing w:val="1"/>
                      <w:sz w:val="14"/>
                    </w:rPr>
                    <w:t> </w:t>
                  </w:r>
                  <w:r>
                    <w:rPr>
                      <w:color w:val="231F20"/>
                      <w:w w:val="109"/>
                      <w:sz w:val="14"/>
                    </w:rPr>
                    <w:t>migrantes</w:t>
                  </w:r>
                </w:p>
              </w:txbxContent>
            </v:textbox>
            <w10:wrap type="none"/>
          </v:shape>
        </w:pict>
      </w:r>
      <w:r>
        <w:rPr/>
        <w:pict>
          <v:shape style="position:absolute;margin-left:107.291298pt;margin-top:4.489155pt;width:9pt;height:41.2pt;mso-position-horizontal-relative:page;mso-position-vertical-relative:paragraph;z-index:-348064" type="#_x0000_t202" filled="false" stroked="false">
            <v:textbox inset="0,0,0,0" style="layout-flow:vertical;mso-layout-flow-alt:bottom-to-top">
              <w:txbxContent>
                <w:p>
                  <w:pPr>
                    <w:spacing w:line="158" w:lineRule="exact" w:before="0"/>
                    <w:ind w:left="20" w:right="-255" w:firstLine="0"/>
                    <w:jc w:val="left"/>
                    <w:rPr>
                      <w:sz w:val="14"/>
                    </w:rPr>
                  </w:pPr>
                  <w:r>
                    <w:rPr>
                      <w:color w:val="231F20"/>
                      <w:w w:val="103"/>
                      <w:sz w:val="14"/>
                    </w:rPr>
                    <w:t>Nativo</w:t>
                  </w:r>
                  <w:r>
                    <w:rPr>
                      <w:color w:val="231F20"/>
                      <w:spacing w:val="1"/>
                      <w:sz w:val="14"/>
                    </w:rPr>
                    <w:t> </w:t>
                  </w:r>
                  <w:r>
                    <w:rPr>
                      <w:color w:val="231F20"/>
                      <w:w w:val="110"/>
                      <w:sz w:val="14"/>
                    </w:rPr>
                    <w:t>latino</w:t>
                  </w:r>
                </w:p>
              </w:txbxContent>
            </v:textbox>
            <w10:wrap type="none"/>
          </v:shape>
        </w:pict>
      </w:r>
      <w:r>
        <w:rPr/>
        <w:pict>
          <v:shape style="position:absolute;margin-left:198.996506pt;margin-top:-17.19503pt;width:136.7pt;height:105.15pt;mso-position-horizontal-relative:page;mso-position-vertical-relative:paragraph;z-index:93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9"/>
                    <w:gridCol w:w="339"/>
                    <w:gridCol w:w="339"/>
                    <w:gridCol w:w="339"/>
                    <w:gridCol w:w="353"/>
                    <w:gridCol w:w="664"/>
                    <w:gridCol w:w="346"/>
                  </w:tblGrid>
                  <w:tr>
                    <w:trPr>
                      <w:trHeight w:val="349" w:hRule="exact"/>
                    </w:trPr>
                    <w:tc>
                      <w:tcPr>
                        <w:tcW w:w="1709" w:type="dxa"/>
                        <w:gridSpan w:val="5"/>
                        <w:tcBorders>
                          <w:top w:val="single" w:sz="4" w:space="0" w:color="939598"/>
                          <w:bottom w:val="single" w:sz="4" w:space="0" w:color="939598"/>
                        </w:tcBorders>
                      </w:tcPr>
                      <w:p>
                        <w:pPr/>
                      </w:p>
                    </w:tc>
                    <w:tc>
                      <w:tcPr>
                        <w:tcW w:w="1010" w:type="dxa"/>
                        <w:gridSpan w:val="2"/>
                        <w:tcBorders>
                          <w:top w:val="single" w:sz="4" w:space="0" w:color="939598"/>
                          <w:bottom w:val="single" w:sz="4" w:space="0" w:color="939598"/>
                        </w:tcBorders>
                        <w:shd w:val="clear" w:color="auto" w:fill="D1D3D4"/>
                      </w:tcPr>
                      <w:p>
                        <w:pPr/>
                      </w:p>
                    </w:tc>
                  </w:tr>
                  <w:tr>
                    <w:trPr>
                      <w:trHeight w:val="349" w:hRule="exact"/>
                    </w:trPr>
                    <w:tc>
                      <w:tcPr>
                        <w:tcW w:w="1709" w:type="dxa"/>
                        <w:gridSpan w:val="5"/>
                        <w:tcBorders>
                          <w:top w:val="single" w:sz="4" w:space="0" w:color="939598"/>
                          <w:bottom w:val="single" w:sz="4" w:space="0" w:color="939598"/>
                        </w:tcBorders>
                      </w:tcPr>
                      <w:p>
                        <w:pPr/>
                      </w:p>
                    </w:tc>
                    <w:tc>
                      <w:tcPr>
                        <w:tcW w:w="664" w:type="dxa"/>
                        <w:tcBorders>
                          <w:top w:val="single" w:sz="4" w:space="0" w:color="939598"/>
                          <w:bottom w:val="single" w:sz="4" w:space="0" w:color="939598"/>
                        </w:tcBorders>
                        <w:shd w:val="clear" w:color="auto" w:fill="D1D3D4"/>
                      </w:tcPr>
                      <w:p>
                        <w:pPr>
                          <w:pStyle w:val="TableParagraph"/>
                          <w:rPr>
                            <w:sz w:val="12"/>
                          </w:rPr>
                        </w:pPr>
                      </w:p>
                      <w:p>
                        <w:pPr>
                          <w:pStyle w:val="TableParagraph"/>
                          <w:spacing w:before="96"/>
                          <w:ind w:left="385"/>
                          <w:rPr>
                            <w:sz w:val="12"/>
                          </w:rPr>
                        </w:pPr>
                        <w:r>
                          <w:rPr>
                            <w:color w:val="231F20"/>
                            <w:w w:val="105"/>
                            <w:sz w:val="12"/>
                          </w:rPr>
                          <w:t>15.1</w:t>
                        </w:r>
                      </w:p>
                    </w:tc>
                    <w:tc>
                      <w:tcPr>
                        <w:tcW w:w="346" w:type="dxa"/>
                        <w:tcBorders>
                          <w:top w:val="single" w:sz="4" w:space="0" w:color="939598"/>
                          <w:bottom w:val="single" w:sz="4" w:space="0" w:color="939598"/>
                        </w:tcBorders>
                        <w:shd w:val="clear" w:color="auto" w:fill="D1D3D4"/>
                      </w:tcPr>
                      <w:p>
                        <w:pPr>
                          <w:pStyle w:val="TableParagraph"/>
                          <w:spacing w:before="83"/>
                          <w:ind w:left="60"/>
                          <w:rPr>
                            <w:sz w:val="12"/>
                          </w:rPr>
                        </w:pPr>
                        <w:r>
                          <w:rPr>
                            <w:color w:val="231F20"/>
                            <w:w w:val="105"/>
                            <w:sz w:val="12"/>
                          </w:rPr>
                          <w:t>15.1</w:t>
                        </w:r>
                      </w:p>
                    </w:tc>
                  </w:tr>
                  <w:tr>
                    <w:trPr>
                      <w:trHeight w:val="349" w:hRule="exact"/>
                    </w:trPr>
                    <w:tc>
                      <w:tcPr>
                        <w:tcW w:w="339" w:type="dxa"/>
                        <w:tcBorders>
                          <w:top w:val="single" w:sz="4" w:space="0" w:color="939598"/>
                          <w:bottom w:val="single" w:sz="4" w:space="0" w:color="939598"/>
                        </w:tcBorders>
                      </w:tcPr>
                      <w:p>
                        <w:pPr/>
                      </w:p>
                    </w:tc>
                    <w:tc>
                      <w:tcPr>
                        <w:tcW w:w="339" w:type="dxa"/>
                        <w:tcBorders>
                          <w:top w:val="single" w:sz="4" w:space="0" w:color="939598"/>
                          <w:bottom w:val="single" w:sz="4" w:space="0" w:color="939598"/>
                        </w:tcBorders>
                      </w:tcPr>
                      <w:p>
                        <w:pPr/>
                      </w:p>
                    </w:tc>
                    <w:tc>
                      <w:tcPr>
                        <w:tcW w:w="339" w:type="dxa"/>
                        <w:tcBorders>
                          <w:top w:val="single" w:sz="4" w:space="0" w:color="939598"/>
                          <w:bottom w:val="single" w:sz="4" w:space="0" w:color="939598"/>
                        </w:tcBorders>
                      </w:tcPr>
                      <w:p>
                        <w:pPr>
                          <w:pStyle w:val="TableParagraph"/>
                          <w:rPr>
                            <w:sz w:val="12"/>
                          </w:rPr>
                        </w:pPr>
                      </w:p>
                      <w:p>
                        <w:pPr>
                          <w:pStyle w:val="TableParagraph"/>
                          <w:spacing w:line="134" w:lineRule="exact" w:before="107"/>
                          <w:ind w:left="60"/>
                          <w:rPr>
                            <w:sz w:val="12"/>
                          </w:rPr>
                        </w:pPr>
                        <w:r>
                          <w:rPr>
                            <w:color w:val="231F20"/>
                            <w:w w:val="105"/>
                            <w:sz w:val="12"/>
                          </w:rPr>
                          <w:t>15.1</w:t>
                        </w:r>
                      </w:p>
                    </w:tc>
                    <w:tc>
                      <w:tcPr>
                        <w:tcW w:w="339" w:type="dxa"/>
                        <w:tcBorders>
                          <w:top w:val="single" w:sz="4" w:space="0" w:color="939598"/>
                          <w:bottom w:val="single" w:sz="4" w:space="0" w:color="939598"/>
                        </w:tcBorders>
                      </w:tcPr>
                      <w:p>
                        <w:pPr>
                          <w:pStyle w:val="TableParagraph"/>
                          <w:spacing w:before="4"/>
                          <w:rPr>
                            <w:sz w:val="14"/>
                          </w:rPr>
                        </w:pPr>
                      </w:p>
                      <w:p>
                        <w:pPr>
                          <w:pStyle w:val="TableParagraph"/>
                          <w:ind w:left="60"/>
                          <w:rPr>
                            <w:sz w:val="12"/>
                          </w:rPr>
                        </w:pPr>
                        <w:r>
                          <w:rPr>
                            <w:color w:val="231F20"/>
                            <w:w w:val="105"/>
                            <w:sz w:val="12"/>
                          </w:rPr>
                          <w:t>15.1</w:t>
                        </w:r>
                      </w:p>
                    </w:tc>
                    <w:tc>
                      <w:tcPr>
                        <w:tcW w:w="353" w:type="dxa"/>
                        <w:tcBorders>
                          <w:top w:val="single" w:sz="4" w:space="0" w:color="939598"/>
                          <w:bottom w:val="single" w:sz="4" w:space="0" w:color="939598"/>
                        </w:tcBorders>
                      </w:tcPr>
                      <w:p>
                        <w:pPr>
                          <w:pStyle w:val="TableParagraph"/>
                          <w:spacing w:before="64"/>
                          <w:ind w:left="60"/>
                          <w:rPr>
                            <w:sz w:val="12"/>
                          </w:rPr>
                        </w:pPr>
                        <w:r>
                          <w:rPr>
                            <w:color w:val="231F20"/>
                            <w:w w:val="105"/>
                            <w:sz w:val="12"/>
                          </w:rPr>
                          <w:t>15.1</w:t>
                        </w:r>
                      </w:p>
                    </w:tc>
                    <w:tc>
                      <w:tcPr>
                        <w:tcW w:w="1010" w:type="dxa"/>
                        <w:gridSpan w:val="2"/>
                        <w:tcBorders>
                          <w:top w:val="single" w:sz="4" w:space="0" w:color="939598"/>
                          <w:bottom w:val="single" w:sz="4" w:space="0" w:color="939598"/>
                        </w:tcBorders>
                        <w:shd w:val="clear" w:color="auto" w:fill="D1D3D4"/>
                      </w:tcPr>
                      <w:p>
                        <w:pPr>
                          <w:pStyle w:val="TableParagraph"/>
                          <w:spacing w:before="6"/>
                          <w:rPr>
                            <w:sz w:val="16"/>
                          </w:rPr>
                        </w:pPr>
                      </w:p>
                      <w:p>
                        <w:pPr>
                          <w:pStyle w:val="TableParagraph"/>
                          <w:ind w:left="46"/>
                          <w:rPr>
                            <w:sz w:val="12"/>
                          </w:rPr>
                        </w:pPr>
                        <w:r>
                          <w:rPr>
                            <w:color w:val="231F20"/>
                            <w:w w:val="105"/>
                            <w:sz w:val="12"/>
                          </w:rPr>
                          <w:t>15.1</w:t>
                        </w:r>
                      </w:p>
                    </w:tc>
                  </w:tr>
                  <w:tr>
                    <w:trPr>
                      <w:trHeight w:val="349" w:hRule="exact"/>
                    </w:trPr>
                    <w:tc>
                      <w:tcPr>
                        <w:tcW w:w="339" w:type="dxa"/>
                        <w:tcBorders>
                          <w:top w:val="single" w:sz="4" w:space="0" w:color="939598"/>
                          <w:bottom w:val="single" w:sz="4" w:space="0" w:color="939598"/>
                        </w:tcBorders>
                      </w:tcPr>
                      <w:p>
                        <w:pPr>
                          <w:pStyle w:val="TableParagraph"/>
                          <w:spacing w:before="8"/>
                          <w:rPr>
                            <w:sz w:val="10"/>
                          </w:rPr>
                        </w:pPr>
                      </w:p>
                      <w:p>
                        <w:pPr>
                          <w:pStyle w:val="TableParagraph"/>
                          <w:ind w:left="59"/>
                          <w:rPr>
                            <w:sz w:val="12"/>
                          </w:rPr>
                        </w:pPr>
                        <w:r>
                          <w:rPr>
                            <w:color w:val="231F20"/>
                            <w:w w:val="105"/>
                            <w:sz w:val="12"/>
                          </w:rPr>
                          <w:t>14.7</w:t>
                        </w:r>
                      </w:p>
                    </w:tc>
                    <w:tc>
                      <w:tcPr>
                        <w:tcW w:w="339" w:type="dxa"/>
                        <w:tcBorders>
                          <w:top w:val="single" w:sz="4" w:space="0" w:color="939598"/>
                          <w:bottom w:val="single" w:sz="4" w:space="0" w:color="939598"/>
                        </w:tcBorders>
                      </w:tcPr>
                      <w:p>
                        <w:pPr>
                          <w:pStyle w:val="TableParagraph"/>
                          <w:spacing w:line="130" w:lineRule="exact"/>
                          <w:ind w:left="60"/>
                          <w:rPr>
                            <w:sz w:val="12"/>
                          </w:rPr>
                        </w:pPr>
                        <w:r>
                          <w:rPr>
                            <w:color w:val="231F20"/>
                            <w:w w:val="105"/>
                            <w:sz w:val="12"/>
                          </w:rPr>
                          <w:t>15.1</w:t>
                        </w:r>
                      </w:p>
                    </w:tc>
                    <w:tc>
                      <w:tcPr>
                        <w:tcW w:w="339" w:type="dxa"/>
                        <w:tcBorders>
                          <w:top w:val="single" w:sz="4" w:space="0" w:color="939598"/>
                          <w:bottom w:val="single" w:sz="4" w:space="0" w:color="939598"/>
                        </w:tcBorders>
                      </w:tcPr>
                      <w:p>
                        <w:pPr/>
                      </w:p>
                    </w:tc>
                    <w:tc>
                      <w:tcPr>
                        <w:tcW w:w="339" w:type="dxa"/>
                        <w:tcBorders>
                          <w:top w:val="single" w:sz="4" w:space="0" w:color="939598"/>
                          <w:bottom w:val="single" w:sz="4" w:space="0" w:color="939598"/>
                        </w:tcBorders>
                      </w:tcPr>
                      <w:p>
                        <w:pPr/>
                      </w:p>
                    </w:tc>
                    <w:tc>
                      <w:tcPr>
                        <w:tcW w:w="353" w:type="dxa"/>
                        <w:tcBorders>
                          <w:top w:val="single" w:sz="4" w:space="0" w:color="939598"/>
                          <w:bottom w:val="single" w:sz="4" w:space="0" w:color="939598"/>
                        </w:tcBorders>
                      </w:tcPr>
                      <w:p>
                        <w:pPr/>
                      </w:p>
                    </w:tc>
                    <w:tc>
                      <w:tcPr>
                        <w:tcW w:w="1010" w:type="dxa"/>
                        <w:gridSpan w:val="2"/>
                        <w:tcBorders>
                          <w:top w:val="single" w:sz="4" w:space="0" w:color="939598"/>
                          <w:bottom w:val="single" w:sz="4" w:space="0" w:color="939598"/>
                        </w:tcBorders>
                        <w:shd w:val="clear" w:color="auto" w:fill="D1D3D4"/>
                      </w:tcPr>
                      <w:p>
                        <w:pPr/>
                      </w:p>
                    </w:tc>
                  </w:tr>
                  <w:tr>
                    <w:trPr>
                      <w:trHeight w:val="349" w:hRule="exact"/>
                    </w:trPr>
                    <w:tc>
                      <w:tcPr>
                        <w:tcW w:w="1709" w:type="dxa"/>
                        <w:gridSpan w:val="5"/>
                        <w:tcBorders>
                          <w:top w:val="single" w:sz="4" w:space="0" w:color="939598"/>
                          <w:bottom w:val="single" w:sz="4" w:space="0" w:color="939598"/>
                        </w:tcBorders>
                      </w:tcPr>
                      <w:p>
                        <w:pPr/>
                      </w:p>
                    </w:tc>
                    <w:tc>
                      <w:tcPr>
                        <w:tcW w:w="1010" w:type="dxa"/>
                        <w:gridSpan w:val="2"/>
                        <w:tcBorders>
                          <w:top w:val="single" w:sz="4" w:space="0" w:color="939598"/>
                          <w:bottom w:val="single" w:sz="4" w:space="0" w:color="939598"/>
                        </w:tcBorders>
                        <w:shd w:val="clear" w:color="auto" w:fill="D1D3D4"/>
                      </w:tcPr>
                      <w:p>
                        <w:pPr/>
                      </w:p>
                    </w:tc>
                  </w:tr>
                  <w:tr>
                    <w:trPr>
                      <w:trHeight w:val="349" w:hRule="exact"/>
                    </w:trPr>
                    <w:tc>
                      <w:tcPr>
                        <w:tcW w:w="1709" w:type="dxa"/>
                        <w:gridSpan w:val="5"/>
                        <w:tcBorders>
                          <w:top w:val="single" w:sz="4" w:space="0" w:color="939598"/>
                          <w:bottom w:val="single" w:sz="4" w:space="0" w:color="939598"/>
                        </w:tcBorders>
                      </w:tcPr>
                      <w:p>
                        <w:pPr/>
                      </w:p>
                    </w:tc>
                    <w:tc>
                      <w:tcPr>
                        <w:tcW w:w="1010" w:type="dxa"/>
                        <w:gridSpan w:val="2"/>
                        <w:tcBorders>
                          <w:top w:val="single" w:sz="4" w:space="0" w:color="939598"/>
                          <w:bottom w:val="single" w:sz="4" w:space="0" w:color="939598"/>
                        </w:tcBorders>
                        <w:shd w:val="clear" w:color="auto" w:fill="D1D3D4"/>
                      </w:tcPr>
                      <w:p>
                        <w:pPr/>
                      </w:p>
                    </w:tc>
                  </w:tr>
                </w:tbl>
                <w:p>
                  <w:pPr>
                    <w:pStyle w:val="BodyText"/>
                  </w:pPr>
                </w:p>
              </w:txbxContent>
            </v:textbox>
            <w10:wrap type="none"/>
          </v:shape>
        </w:pict>
      </w:r>
      <w:r>
        <w:rPr>
          <w:color w:val="231F20"/>
          <w:w w:val="105"/>
          <w:sz w:val="14"/>
        </w:rPr>
        <w:t>0.20</w:t>
      </w:r>
    </w:p>
    <w:p>
      <w:pPr>
        <w:pStyle w:val="BodyText"/>
        <w:ind w:left="232"/>
      </w:pPr>
      <w:r>
        <w:rPr/>
        <w:pict>
          <v:group style="width:139.7pt;height:81.2pt;mso-position-horizontal-relative:char;mso-position-vertical-relative:line" coordorigin="0,0" coordsize="2794,1624">
            <v:rect style="position:absolute;left:163;top:0;width:340;height:754" filled="true" fillcolor="#808285" stroked="false">
              <v:fill type="solid"/>
            </v:rect>
            <v:rect style="position:absolute;left:1837;top:747;width:340;height:216" filled="true" fillcolor="#bcbec0" stroked="false">
              <v:fill type="solid"/>
            </v:rect>
            <v:rect style="position:absolute;left:2395;top:747;width:340;height:876" filled="true" fillcolor="#bcbec0" stroked="false">
              <v:fill type="solid"/>
            </v:rect>
            <v:rect style="position:absolute;left:1279;top:360;width:340;height:394" filled="true" fillcolor="#808285" stroked="false">
              <v:fill type="solid"/>
            </v:rect>
            <v:line style="position:absolute" from="5,749" to="2789,749" stroked="true" strokeweight=".5pt" strokecolor="#231f20"/>
            <v:shape style="position:absolute;left:1322;top:232;width:255;height:140" type="#_x0000_t202" filled="false" stroked="false">
              <v:textbox inset="0,0,0,0">
                <w:txbxContent>
                  <w:p>
                    <w:pPr>
                      <w:spacing w:line="138" w:lineRule="exact" w:before="0"/>
                      <w:ind w:left="0" w:right="-10" w:firstLine="0"/>
                      <w:jc w:val="left"/>
                      <w:rPr>
                        <w:sz w:val="14"/>
                      </w:rPr>
                    </w:pPr>
                    <w:r>
                      <w:rPr>
                        <w:color w:val="231F20"/>
                        <w:sz w:val="14"/>
                      </w:rPr>
                      <w:t>0.10</w:t>
                    </w:r>
                  </w:p>
                </w:txbxContent>
              </v:textbox>
              <w10:wrap type="none"/>
            </v:shape>
            <v:shape style="position:absolute;left:721;top:606;width:340;height:140" type="#_x0000_t202" filled="false" stroked="false">
              <v:textbox inset="0,0,0,0">
                <w:txbxContent>
                  <w:p>
                    <w:pPr>
                      <w:spacing w:line="138" w:lineRule="exact" w:before="0"/>
                      <w:ind w:left="0" w:right="0" w:firstLine="0"/>
                      <w:jc w:val="left"/>
                      <w:rPr>
                        <w:sz w:val="14"/>
                      </w:rPr>
                    </w:pPr>
                    <w:r>
                      <w:rPr>
                        <w:color w:val="231F20"/>
                        <w:w w:val="104"/>
                        <w:sz w:val="14"/>
                        <w:u w:val="single" w:color="808285"/>
                      </w:rPr>
                      <w:t> </w:t>
                    </w:r>
                    <w:r>
                      <w:rPr>
                        <w:color w:val="231F20"/>
                        <w:w w:val="105"/>
                        <w:sz w:val="14"/>
                        <w:u w:val="single" w:color="808285"/>
                      </w:rPr>
                      <w:t>0.00</w:t>
                    </w:r>
                    <w:r>
                      <w:rPr>
                        <w:color w:val="231F20"/>
                        <w:sz w:val="14"/>
                        <w:u w:val="single" w:color="808285"/>
                      </w:rPr>
                      <w:t> </w:t>
                    </w:r>
                  </w:p>
                </w:txbxContent>
              </v:textbox>
              <w10:wrap type="none"/>
            </v:shape>
            <v:shape style="position:absolute;left:1847;top:967;width:325;height:140" type="#_x0000_t202" filled="false" stroked="false">
              <v:textbox inset="0,0,0,0">
                <w:txbxContent>
                  <w:p>
                    <w:pPr>
                      <w:spacing w:line="138" w:lineRule="exact" w:before="0"/>
                      <w:ind w:left="0" w:right="-10" w:firstLine="0"/>
                      <w:jc w:val="left"/>
                      <w:rPr>
                        <w:sz w:val="14"/>
                      </w:rPr>
                    </w:pPr>
                    <w:r>
                      <w:rPr>
                        <w:color w:val="231F20"/>
                        <w:sz w:val="14"/>
                      </w:rPr>
                      <w:t>–0.06</w:t>
                    </w:r>
                  </w:p>
                </w:txbxContent>
              </v:textbox>
              <w10:wrap type="none"/>
            </v:shape>
          </v:group>
        </w:pict>
      </w:r>
      <w:r>
        <w:rPr/>
      </w:r>
    </w:p>
    <w:p>
      <w:pPr>
        <w:tabs>
          <w:tab w:pos="3198" w:val="left" w:leader="none"/>
        </w:tabs>
        <w:spacing w:line="133" w:lineRule="exact" w:before="0"/>
        <w:ind w:left="2639" w:right="861" w:firstLine="0"/>
        <w:jc w:val="left"/>
        <w:rPr>
          <w:sz w:val="12"/>
        </w:rPr>
      </w:pPr>
      <w:r>
        <w:rPr/>
        <w:pict>
          <v:shape style="position:absolute;margin-left:135.193298pt;margin-top:-45.610161pt;width:9pt;height:50.6pt;mso-position-horizontal-relative:page;mso-position-vertical-relative:paragraph;z-index:-348040" type="#_x0000_t202" filled="false" stroked="false">
            <v:textbox inset="0,0,0,0" style="layout-flow:vertical;mso-layout-flow-alt:bottom-to-top">
              <w:txbxContent>
                <w:p>
                  <w:pPr>
                    <w:spacing w:line="158" w:lineRule="exact" w:before="0"/>
                    <w:ind w:left="20" w:right="-244" w:firstLine="0"/>
                    <w:jc w:val="left"/>
                    <w:rPr>
                      <w:sz w:val="14"/>
                    </w:rPr>
                  </w:pPr>
                  <w:r>
                    <w:rPr>
                      <w:color w:val="231F20"/>
                      <w:w w:val="109"/>
                      <w:sz w:val="14"/>
                    </w:rPr>
                    <w:t>Negro</w:t>
                  </w:r>
                  <w:r>
                    <w:rPr>
                      <w:color w:val="231F20"/>
                      <w:spacing w:val="1"/>
                      <w:sz w:val="14"/>
                    </w:rPr>
                    <w:t> </w:t>
                  </w:r>
                  <w:r>
                    <w:rPr>
                      <w:color w:val="231F20"/>
                      <w:w w:val="116"/>
                      <w:sz w:val="14"/>
                    </w:rPr>
                    <w:t>no</w:t>
                  </w:r>
                  <w:r>
                    <w:rPr>
                      <w:color w:val="231F20"/>
                      <w:spacing w:val="1"/>
                      <w:sz w:val="14"/>
                    </w:rPr>
                    <w:t> </w:t>
                  </w:r>
                  <w:r>
                    <w:rPr>
                      <w:color w:val="231F20"/>
                      <w:w w:val="110"/>
                      <w:sz w:val="14"/>
                    </w:rPr>
                    <w:t>latino</w:t>
                  </w:r>
                </w:p>
              </w:txbxContent>
            </v:textbox>
            <w10:wrap type="none"/>
          </v:shape>
        </w:pict>
      </w:r>
      <w:r>
        <w:rPr/>
        <w:pict>
          <v:shape style="position:absolute;margin-left:163.088303pt;margin-top:-45.141163pt;width:9pt;height:52.55pt;mso-position-horizontal-relative:page;mso-position-vertical-relative:paragraph;z-index:-348016" type="#_x0000_t202" filled="false" stroked="false">
            <v:textbox inset="0,0,0,0" style="layout-flow:vertical;mso-layout-flow-alt:bottom-to-top">
              <w:txbxContent>
                <w:p>
                  <w:pPr>
                    <w:spacing w:line="158" w:lineRule="exact" w:before="0"/>
                    <w:ind w:left="20" w:right="-283" w:firstLine="0"/>
                    <w:jc w:val="left"/>
                    <w:rPr>
                      <w:sz w:val="14"/>
                    </w:rPr>
                  </w:pPr>
                  <w:r>
                    <w:rPr>
                      <w:color w:val="231F20"/>
                      <w:w w:val="106"/>
                      <w:sz w:val="14"/>
                    </w:rPr>
                    <w:t>Blanco</w:t>
                  </w:r>
                  <w:r>
                    <w:rPr>
                      <w:color w:val="231F20"/>
                      <w:spacing w:val="1"/>
                      <w:sz w:val="14"/>
                    </w:rPr>
                    <w:t> </w:t>
                  </w:r>
                  <w:r>
                    <w:rPr>
                      <w:color w:val="231F20"/>
                      <w:w w:val="116"/>
                      <w:sz w:val="14"/>
                    </w:rPr>
                    <w:t>no</w:t>
                  </w:r>
                  <w:r>
                    <w:rPr>
                      <w:color w:val="231F20"/>
                      <w:spacing w:val="1"/>
                      <w:sz w:val="14"/>
                    </w:rPr>
                    <w:t> </w:t>
                  </w:r>
                  <w:r>
                    <w:rPr>
                      <w:color w:val="231F20"/>
                      <w:w w:val="110"/>
                      <w:sz w:val="14"/>
                    </w:rPr>
                    <w:t>latino</w:t>
                  </w:r>
                </w:p>
              </w:txbxContent>
            </v:textbox>
            <w10:wrap type="none"/>
          </v:shape>
        </w:pict>
      </w:r>
      <w:r>
        <w:rPr>
          <w:color w:val="231F20"/>
          <w:w w:val="115"/>
          <w:position w:val="4"/>
          <w:sz w:val="14"/>
        </w:rPr>
        <w:t>–0.23</w:t>
        <w:tab/>
      </w:r>
      <w:r>
        <w:rPr>
          <w:color w:val="231F20"/>
          <w:w w:val="115"/>
          <w:sz w:val="12"/>
        </w:rPr>
        <w:t>|</w:t>
      </w:r>
      <w:r>
        <w:rPr>
          <w:color w:val="231F20"/>
          <w:spacing w:val="-18"/>
          <w:w w:val="115"/>
          <w:sz w:val="12"/>
        </w:rPr>
        <w:t> </w:t>
      </w:r>
      <w:r>
        <w:rPr>
          <w:color w:val="231F20"/>
          <w:w w:val="115"/>
          <w:sz w:val="12"/>
        </w:rPr>
        <w:t>2003</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2004</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2005</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2006</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2007</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2008</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2009</w:t>
      </w:r>
      <w:r>
        <w:rPr>
          <w:color w:val="231F20"/>
          <w:spacing w:val="-18"/>
          <w:w w:val="115"/>
          <w:sz w:val="12"/>
        </w:rPr>
        <w:t> </w:t>
      </w:r>
      <w:r>
        <w:rPr>
          <w:color w:val="231F20"/>
          <w:w w:val="115"/>
          <w:sz w:val="12"/>
        </w:rPr>
        <w:t>|</w:t>
      </w:r>
      <w:r>
        <w:rPr>
          <w:color w:val="231F20"/>
          <w:spacing w:val="-18"/>
          <w:w w:val="115"/>
          <w:sz w:val="12"/>
        </w:rPr>
        <w:t> </w:t>
      </w:r>
      <w:r>
        <w:rPr>
          <w:color w:val="231F20"/>
          <w:w w:val="115"/>
          <w:sz w:val="12"/>
        </w:rPr>
        <w:t>2009</w:t>
      </w:r>
      <w:r>
        <w:rPr>
          <w:color w:val="231F20"/>
          <w:spacing w:val="-18"/>
          <w:w w:val="115"/>
          <w:sz w:val="12"/>
        </w:rPr>
        <w:t> </w:t>
      </w:r>
      <w:r>
        <w:rPr>
          <w:color w:val="231F20"/>
          <w:w w:val="115"/>
          <w:sz w:val="12"/>
        </w:rPr>
        <w:t>|</w:t>
      </w:r>
    </w:p>
    <w:p>
      <w:pPr>
        <w:spacing w:before="119"/>
        <w:ind w:left="100" w:right="622" w:firstLine="0"/>
        <w:jc w:val="left"/>
        <w:rPr>
          <w:sz w:val="18"/>
        </w:rPr>
      </w:pPr>
      <w:r>
        <w:rPr>
          <w:rFonts w:ascii="Calibri" w:hAnsi="Calibri"/>
          <w:color w:val="231F20"/>
          <w:w w:val="110"/>
          <w:sz w:val="18"/>
        </w:rPr>
        <w:t>fuente: </w:t>
      </w:r>
      <w:r>
        <w:rPr>
          <w:color w:val="231F20"/>
          <w:w w:val="110"/>
          <w:sz w:val="18"/>
        </w:rPr>
        <w:t>elaboración propia con base en Current Population Survey</w:t>
      </w:r>
      <w:r>
        <w:rPr>
          <w:i/>
          <w:color w:val="231F20"/>
          <w:w w:val="110"/>
          <w:sz w:val="18"/>
        </w:rPr>
        <w:t>,   </w:t>
      </w:r>
      <w:r>
        <w:rPr>
          <w:color w:val="231F20"/>
          <w:w w:val="110"/>
          <w:sz w:val="18"/>
        </w:rPr>
        <w:t>marzo,</w:t>
      </w:r>
    </w:p>
    <w:p>
      <w:pPr>
        <w:spacing w:before="33"/>
        <w:ind w:left="100" w:right="861" w:firstLine="0"/>
        <w:jc w:val="left"/>
        <w:rPr>
          <w:sz w:val="18"/>
        </w:rPr>
      </w:pPr>
      <w:r>
        <w:rPr>
          <w:i/>
          <w:color w:val="231F20"/>
          <w:sz w:val="18"/>
        </w:rPr>
        <w:t>Supplement</w:t>
      </w:r>
      <w:r>
        <w:rPr>
          <w:color w:val="231F20"/>
          <w:sz w:val="18"/>
        </w:rPr>
        <w:t>, 2003 a  2010.</w:t>
      </w:r>
    </w:p>
    <w:p>
      <w:pPr>
        <w:pStyle w:val="BodyText"/>
        <w:rPr>
          <w:sz w:val="18"/>
        </w:rPr>
      </w:pPr>
    </w:p>
    <w:p>
      <w:pPr>
        <w:pStyle w:val="BodyText"/>
        <w:spacing w:line="261" w:lineRule="auto" w:before="157"/>
        <w:ind w:left="100" w:right="753" w:firstLine="240"/>
        <w:jc w:val="both"/>
      </w:pPr>
      <w:r>
        <w:rPr>
          <w:color w:val="231F20"/>
          <w:w w:val="110"/>
        </w:rPr>
        <w:t>En el caso de los demás grupos sociales, si bien hay una clara afectación derivada de la crisis económica, ésta no alcanza los mis- mos niveles que se detectan para los inmigrantes latinoamericanos. De hecho, entre los nativos negros no latinos, por ejemplo, que es uno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sectores</w:t>
      </w:r>
      <w:r>
        <w:rPr>
          <w:color w:val="231F20"/>
          <w:spacing w:val="-6"/>
          <w:w w:val="110"/>
        </w:rPr>
        <w:t> </w:t>
      </w:r>
      <w:r>
        <w:rPr>
          <w:color w:val="231F20"/>
          <w:w w:val="110"/>
        </w:rPr>
        <w:t>sociales</w:t>
      </w:r>
      <w:r>
        <w:rPr>
          <w:color w:val="231F20"/>
          <w:spacing w:val="-6"/>
          <w:w w:val="110"/>
        </w:rPr>
        <w:t> </w:t>
      </w:r>
      <w:r>
        <w:rPr>
          <w:color w:val="231F20"/>
          <w:w w:val="110"/>
        </w:rPr>
        <w:t>más</w:t>
      </w:r>
      <w:r>
        <w:rPr>
          <w:color w:val="231F20"/>
          <w:spacing w:val="-6"/>
          <w:w w:val="110"/>
        </w:rPr>
        <w:t> </w:t>
      </w:r>
      <w:r>
        <w:rPr>
          <w:color w:val="231F20"/>
          <w:w w:val="110"/>
        </w:rPr>
        <w:t>afectados</w:t>
      </w:r>
      <w:r>
        <w:rPr>
          <w:color w:val="231F20"/>
          <w:spacing w:val="-6"/>
          <w:w w:val="110"/>
        </w:rPr>
        <w:t> </w:t>
      </w:r>
      <w:r>
        <w:rPr>
          <w:color w:val="231F20"/>
          <w:w w:val="110"/>
        </w:rPr>
        <w:t>en</w:t>
      </w:r>
      <w:r>
        <w:rPr>
          <w:color w:val="231F20"/>
          <w:spacing w:val="-6"/>
          <w:w w:val="110"/>
        </w:rPr>
        <w:t> </w:t>
      </w:r>
      <w:r>
        <w:rPr>
          <w:color w:val="231F20"/>
          <w:w w:val="110"/>
        </w:rPr>
        <w:t>términos</w:t>
      </w:r>
      <w:r>
        <w:rPr>
          <w:color w:val="231F20"/>
          <w:spacing w:val="-6"/>
          <w:w w:val="110"/>
        </w:rPr>
        <w:t> </w:t>
      </w:r>
      <w:r>
        <w:rPr>
          <w:color w:val="231F20"/>
          <w:w w:val="110"/>
        </w:rPr>
        <w:t>de</w:t>
      </w:r>
      <w:r>
        <w:rPr>
          <w:color w:val="231F20"/>
          <w:spacing w:val="-6"/>
          <w:w w:val="110"/>
        </w:rPr>
        <w:t> </w:t>
      </w:r>
      <w:r>
        <w:rPr>
          <w:color w:val="231F20"/>
          <w:w w:val="110"/>
        </w:rPr>
        <w:t>desempleo y pérdida de puestos de trabajo, la proporción de fuerza de trabajo en situación de alta precariedad tiende a mantenerse más o menos estable, incrementándose de 8% antes de la crisis a 10% en </w:t>
      </w:r>
      <w:r>
        <w:rPr>
          <w:color w:val="231F20"/>
          <w:spacing w:val="3"/>
          <w:w w:val="110"/>
        </w:rPr>
        <w:t> </w:t>
      </w:r>
      <w:r>
        <w:rPr>
          <w:color w:val="231F20"/>
          <w:w w:val="110"/>
        </w:rPr>
        <w:t>2010.</w:t>
      </w:r>
    </w:p>
    <w:p>
      <w:pPr>
        <w:pStyle w:val="BodyText"/>
        <w:spacing w:line="261" w:lineRule="auto"/>
        <w:ind w:left="100" w:right="759" w:firstLine="240"/>
        <w:jc w:val="both"/>
      </w:pPr>
      <w:r>
        <w:rPr>
          <w:color w:val="231F20"/>
          <w:w w:val="110"/>
        </w:rPr>
        <w:t>Asimismo, entre los trabajadores blancos no latinos,</w:t>
      </w:r>
      <w:r>
        <w:rPr>
          <w:color w:val="231F20"/>
          <w:spacing w:val="-7"/>
          <w:w w:val="110"/>
        </w:rPr>
        <w:t> </w:t>
      </w:r>
      <w:r>
        <w:rPr>
          <w:color w:val="231F20"/>
          <w:w w:val="110"/>
        </w:rPr>
        <w:t>la</w:t>
      </w:r>
      <w:r>
        <w:rPr>
          <w:color w:val="231F20"/>
          <w:spacing w:val="-1"/>
          <w:w w:val="110"/>
        </w:rPr>
        <w:t> </w:t>
      </w:r>
      <w:r>
        <w:rPr>
          <w:color w:val="231F20"/>
          <w:w w:val="110"/>
        </w:rPr>
        <w:t>afectación</w:t>
      </w:r>
      <w:r>
        <w:rPr>
          <w:color w:val="231F20"/>
          <w:w w:val="108"/>
        </w:rPr>
        <w:t> </w:t>
      </w:r>
      <w:r>
        <w:rPr>
          <w:color w:val="231F20"/>
          <w:w w:val="110"/>
        </w:rPr>
        <w:t>de la crisis es incluso </w:t>
      </w:r>
      <w:r>
        <w:rPr>
          <w:color w:val="231F20"/>
          <w:spacing w:val="-3"/>
          <w:w w:val="110"/>
        </w:rPr>
        <w:t>menor. </w:t>
      </w:r>
      <w:r>
        <w:rPr>
          <w:color w:val="231F20"/>
          <w:w w:val="110"/>
        </w:rPr>
        <w:t>En este caso, se pasa de 5% de</w:t>
      </w:r>
      <w:r>
        <w:rPr>
          <w:color w:val="231F20"/>
          <w:spacing w:val="-8"/>
          <w:w w:val="110"/>
        </w:rPr>
        <w:t> </w:t>
      </w:r>
      <w:r>
        <w:rPr>
          <w:color w:val="231F20"/>
          <w:w w:val="110"/>
        </w:rPr>
        <w:t>trabaja- dores con alta precariedad antes de la crisis, a sólo 7% después de</w:t>
      </w:r>
      <w:r>
        <w:rPr>
          <w:color w:val="231F20"/>
          <w:spacing w:val="-14"/>
          <w:w w:val="110"/>
        </w:rPr>
        <w:t> </w:t>
      </w:r>
      <w:r>
        <w:rPr>
          <w:color w:val="231F20"/>
          <w:w w:val="110"/>
        </w:rPr>
        <w:t>la crisis, en 2010. La misma situación y mismos niveles experimentan los otros inmigrantes no</w:t>
      </w:r>
      <w:r>
        <w:rPr>
          <w:color w:val="231F20"/>
          <w:spacing w:val="30"/>
          <w:w w:val="110"/>
        </w:rPr>
        <w:t> </w:t>
      </w:r>
      <w:r>
        <w:rPr>
          <w:color w:val="231F20"/>
          <w:w w:val="110"/>
        </w:rPr>
        <w:t>latinoamericanos.</w:t>
      </w:r>
    </w:p>
    <w:p>
      <w:pPr>
        <w:pStyle w:val="BodyText"/>
        <w:spacing w:line="261" w:lineRule="auto"/>
        <w:ind w:left="100" w:right="757" w:firstLine="240"/>
        <w:jc w:val="both"/>
      </w:pPr>
      <w:r>
        <w:rPr>
          <w:color w:val="231F20"/>
          <w:w w:val="110"/>
        </w:rPr>
        <w:t>Esta</w:t>
      </w:r>
      <w:r>
        <w:rPr>
          <w:color w:val="231F20"/>
          <w:spacing w:val="-20"/>
          <w:w w:val="110"/>
        </w:rPr>
        <w:t> </w:t>
      </w:r>
      <w:r>
        <w:rPr>
          <w:color w:val="231F20"/>
          <w:w w:val="110"/>
        </w:rPr>
        <w:t>mayor</w:t>
      </w:r>
      <w:r>
        <w:rPr>
          <w:color w:val="231F20"/>
          <w:spacing w:val="-20"/>
          <w:w w:val="110"/>
        </w:rPr>
        <w:t> </w:t>
      </w:r>
      <w:r>
        <w:rPr>
          <w:color w:val="231F20"/>
          <w:w w:val="110"/>
        </w:rPr>
        <w:t>afectación</w:t>
      </w:r>
      <w:r>
        <w:rPr>
          <w:color w:val="231F20"/>
          <w:spacing w:val="-20"/>
          <w:w w:val="110"/>
        </w:rPr>
        <w:t> </w:t>
      </w:r>
      <w:r>
        <w:rPr>
          <w:color w:val="231F20"/>
          <w:w w:val="110"/>
        </w:rPr>
        <w:t>que</w:t>
      </w:r>
      <w:r>
        <w:rPr>
          <w:color w:val="231F20"/>
          <w:spacing w:val="-20"/>
          <w:w w:val="110"/>
        </w:rPr>
        <w:t> </w:t>
      </w:r>
      <w:r>
        <w:rPr>
          <w:color w:val="231F20"/>
          <w:w w:val="110"/>
        </w:rPr>
        <w:t>sufren</w:t>
      </w:r>
      <w:r>
        <w:rPr>
          <w:color w:val="231F20"/>
          <w:spacing w:val="-20"/>
          <w:w w:val="110"/>
        </w:rPr>
        <w:t> </w:t>
      </w:r>
      <w:r>
        <w:rPr>
          <w:color w:val="231F20"/>
          <w:w w:val="110"/>
        </w:rPr>
        <w:t>los</w:t>
      </w:r>
      <w:r>
        <w:rPr>
          <w:color w:val="231F20"/>
          <w:spacing w:val="-20"/>
          <w:w w:val="110"/>
        </w:rPr>
        <w:t> </w:t>
      </w:r>
      <w:r>
        <w:rPr>
          <w:color w:val="231F20"/>
          <w:w w:val="110"/>
        </w:rPr>
        <w:t>inmigrantes</w:t>
      </w:r>
      <w:r>
        <w:rPr>
          <w:color w:val="231F20"/>
          <w:spacing w:val="-20"/>
          <w:w w:val="110"/>
        </w:rPr>
        <w:t> </w:t>
      </w:r>
      <w:r>
        <w:rPr>
          <w:color w:val="231F20"/>
          <w:w w:val="110"/>
        </w:rPr>
        <w:t>latinoamericanos en</w:t>
      </w:r>
      <w:r>
        <w:rPr>
          <w:color w:val="231F20"/>
          <w:spacing w:val="-8"/>
          <w:w w:val="110"/>
        </w:rPr>
        <w:t> </w:t>
      </w:r>
      <w:r>
        <w:rPr>
          <w:color w:val="231F20"/>
          <w:w w:val="110"/>
        </w:rPr>
        <w:t>sus</w:t>
      </w:r>
      <w:r>
        <w:rPr>
          <w:color w:val="231F20"/>
          <w:spacing w:val="-8"/>
          <w:w w:val="110"/>
        </w:rPr>
        <w:t> </w:t>
      </w:r>
      <w:r>
        <w:rPr>
          <w:color w:val="231F20"/>
          <w:w w:val="110"/>
        </w:rPr>
        <w:t>condiciones</w:t>
      </w:r>
      <w:r>
        <w:rPr>
          <w:color w:val="231F20"/>
          <w:spacing w:val="-8"/>
          <w:w w:val="110"/>
        </w:rPr>
        <w:t> </w:t>
      </w:r>
      <w:r>
        <w:rPr>
          <w:color w:val="231F20"/>
          <w:w w:val="110"/>
        </w:rPr>
        <w:t>laborales,</w:t>
      </w:r>
      <w:r>
        <w:rPr>
          <w:color w:val="231F20"/>
          <w:spacing w:val="-8"/>
          <w:w w:val="110"/>
        </w:rPr>
        <w:t> </w:t>
      </w:r>
      <w:r>
        <w:rPr>
          <w:color w:val="231F20"/>
          <w:w w:val="110"/>
        </w:rPr>
        <w:t>se</w:t>
      </w:r>
      <w:r>
        <w:rPr>
          <w:color w:val="231F20"/>
          <w:spacing w:val="-8"/>
          <w:w w:val="110"/>
        </w:rPr>
        <w:t> </w:t>
      </w:r>
      <w:r>
        <w:rPr>
          <w:color w:val="231F20"/>
          <w:w w:val="110"/>
        </w:rPr>
        <w:t>correlaciona</w:t>
      </w:r>
      <w:r>
        <w:rPr>
          <w:color w:val="231F20"/>
          <w:spacing w:val="-8"/>
          <w:w w:val="110"/>
        </w:rPr>
        <w:t> </w:t>
      </w:r>
      <w:r>
        <w:rPr>
          <w:color w:val="231F20"/>
          <w:w w:val="110"/>
        </w:rPr>
        <w:t>también</w:t>
      </w:r>
      <w:r>
        <w:rPr>
          <w:color w:val="231F20"/>
          <w:spacing w:val="-8"/>
          <w:w w:val="110"/>
        </w:rPr>
        <w:t> </w:t>
      </w:r>
      <w:r>
        <w:rPr>
          <w:color w:val="231F20"/>
          <w:w w:val="110"/>
        </w:rPr>
        <w:t>con</w:t>
      </w:r>
      <w:r>
        <w:rPr>
          <w:color w:val="231F20"/>
          <w:spacing w:val="-8"/>
          <w:w w:val="110"/>
        </w:rPr>
        <w:t> </w:t>
      </w:r>
      <w:r>
        <w:rPr>
          <w:color w:val="231F20"/>
          <w:w w:val="110"/>
        </w:rPr>
        <w:t>una</w:t>
      </w:r>
      <w:r>
        <w:rPr>
          <w:color w:val="231F20"/>
          <w:spacing w:val="-8"/>
          <w:w w:val="110"/>
        </w:rPr>
        <w:t> </w:t>
      </w:r>
      <w:r>
        <w:rPr>
          <w:color w:val="231F20"/>
          <w:w w:val="110"/>
        </w:rPr>
        <w:t>mayor afectación en sus condiciones de vida. En concreto, la incidencia de la pobreza se incrementa significativamente, pasando de 20% en </w:t>
      </w:r>
      <w:r>
        <w:rPr>
          <w:color w:val="231F20"/>
          <w:spacing w:val="51"/>
          <w:w w:val="110"/>
        </w:rPr>
        <w:t> </w:t>
      </w:r>
      <w:r>
        <w:rPr>
          <w:color w:val="231F20"/>
          <w:w w:val="110"/>
        </w:rPr>
        <w:t>el</w:t>
      </w:r>
    </w:p>
    <w:p>
      <w:pPr>
        <w:spacing w:after="0" w:line="261" w:lineRule="auto"/>
        <w:jc w:val="both"/>
        <w:sectPr>
          <w:type w:val="continuous"/>
          <w:pgSz w:w="7640" w:h="11900"/>
          <w:pgMar w:top="980" w:bottom="280" w:left="780" w:right="0"/>
        </w:sectPr>
      </w:pPr>
    </w:p>
    <w:p>
      <w:pPr>
        <w:pStyle w:val="BodyText"/>
        <w:spacing w:before="8"/>
        <w:rPr>
          <w:sz w:val="8"/>
        </w:rPr>
      </w:pPr>
    </w:p>
    <w:p>
      <w:pPr>
        <w:pStyle w:val="BodyText"/>
        <w:spacing w:line="261" w:lineRule="auto" w:before="67"/>
        <w:ind w:left="100" w:right="119"/>
        <w:jc w:val="both"/>
      </w:pPr>
      <w:r>
        <w:rPr>
          <w:color w:val="231F20"/>
          <w:w w:val="110"/>
        </w:rPr>
        <w:t>2007,</w:t>
      </w:r>
      <w:r>
        <w:rPr>
          <w:color w:val="231F20"/>
          <w:spacing w:val="-15"/>
          <w:w w:val="110"/>
        </w:rPr>
        <w:t> </w:t>
      </w:r>
      <w:r>
        <w:rPr>
          <w:color w:val="231F20"/>
          <w:w w:val="110"/>
        </w:rPr>
        <w:t>a</w:t>
      </w:r>
      <w:r>
        <w:rPr>
          <w:color w:val="231F20"/>
          <w:spacing w:val="-15"/>
          <w:w w:val="110"/>
        </w:rPr>
        <w:t> </w:t>
      </w:r>
      <w:r>
        <w:rPr>
          <w:color w:val="231F20"/>
          <w:w w:val="110"/>
        </w:rPr>
        <w:t>25%</w:t>
      </w:r>
      <w:r>
        <w:rPr>
          <w:color w:val="231F20"/>
          <w:spacing w:val="-15"/>
          <w:w w:val="110"/>
        </w:rPr>
        <w:t> </w:t>
      </w:r>
      <w:r>
        <w:rPr>
          <w:color w:val="231F20"/>
          <w:w w:val="110"/>
        </w:rPr>
        <w:t>en</w:t>
      </w:r>
      <w:r>
        <w:rPr>
          <w:color w:val="231F20"/>
          <w:spacing w:val="-15"/>
          <w:w w:val="110"/>
        </w:rPr>
        <w:t> </w:t>
      </w:r>
      <w:r>
        <w:rPr>
          <w:color w:val="231F20"/>
          <w:w w:val="110"/>
        </w:rPr>
        <w:t>2010.</w:t>
      </w:r>
      <w:r>
        <w:rPr>
          <w:color w:val="231F20"/>
          <w:spacing w:val="-15"/>
          <w:w w:val="110"/>
        </w:rPr>
        <w:t> </w:t>
      </w:r>
      <w:r>
        <w:rPr>
          <w:color w:val="231F20"/>
          <w:w w:val="110"/>
        </w:rPr>
        <w:t>Asimismo,</w:t>
      </w:r>
      <w:r>
        <w:rPr>
          <w:color w:val="231F20"/>
          <w:spacing w:val="-15"/>
          <w:w w:val="110"/>
        </w:rPr>
        <w:t> </w:t>
      </w:r>
      <w:r>
        <w:rPr>
          <w:color w:val="231F20"/>
          <w:w w:val="110"/>
        </w:rPr>
        <w:t>los</w:t>
      </w:r>
      <w:r>
        <w:rPr>
          <w:color w:val="231F20"/>
          <w:spacing w:val="-15"/>
          <w:w w:val="110"/>
        </w:rPr>
        <w:t> </w:t>
      </w:r>
      <w:r>
        <w:rPr>
          <w:color w:val="231F20"/>
          <w:w w:val="110"/>
        </w:rPr>
        <w:t>nativos</w:t>
      </w:r>
      <w:r>
        <w:rPr>
          <w:color w:val="231F20"/>
          <w:spacing w:val="-15"/>
          <w:w w:val="110"/>
        </w:rPr>
        <w:t> </w:t>
      </w:r>
      <w:r>
        <w:rPr>
          <w:color w:val="231F20"/>
          <w:w w:val="110"/>
        </w:rPr>
        <w:t>de</w:t>
      </w:r>
      <w:r>
        <w:rPr>
          <w:color w:val="231F20"/>
          <w:spacing w:val="-15"/>
          <w:w w:val="110"/>
        </w:rPr>
        <w:t> </w:t>
      </w:r>
      <w:r>
        <w:rPr>
          <w:color w:val="231F20"/>
          <w:w w:val="110"/>
        </w:rPr>
        <w:t>origen</w:t>
      </w:r>
      <w:r>
        <w:rPr>
          <w:color w:val="231F20"/>
          <w:spacing w:val="-15"/>
          <w:w w:val="110"/>
        </w:rPr>
        <w:t> </w:t>
      </w:r>
      <w:r>
        <w:rPr>
          <w:color w:val="231F20"/>
          <w:w w:val="110"/>
        </w:rPr>
        <w:t>latinoamerica- no se ven igualmente afectados en sus condiciones de vida, con un crecimiento de la incidencia de la pobreza de 5 puntos porcentuales entre los mismos</w:t>
      </w:r>
      <w:r>
        <w:rPr>
          <w:color w:val="231F20"/>
          <w:spacing w:val="2"/>
          <w:w w:val="110"/>
        </w:rPr>
        <w:t> </w:t>
      </w:r>
      <w:r>
        <w:rPr>
          <w:color w:val="231F20"/>
          <w:w w:val="110"/>
        </w:rPr>
        <w:t>años.</w:t>
      </w:r>
    </w:p>
    <w:p>
      <w:pPr>
        <w:pStyle w:val="BodyText"/>
        <w:spacing w:before="2"/>
        <w:rPr>
          <w:sz w:val="24"/>
        </w:rPr>
      </w:pPr>
    </w:p>
    <w:p>
      <w:pPr>
        <w:spacing w:line="290" w:lineRule="auto" w:before="0"/>
        <w:ind w:left="100" w:right="25" w:firstLine="0"/>
        <w:jc w:val="left"/>
        <w:rPr>
          <w:sz w:val="18"/>
        </w:rPr>
      </w:pPr>
      <w:r>
        <w:rPr>
          <w:color w:val="231F20"/>
          <w:w w:val="125"/>
          <w:sz w:val="18"/>
        </w:rPr>
        <w:t>gráfica 8. fuerza de trabajo en condiciones de alta precariedad e incidencia de la pobreza según principales grupos étnicos</w:t>
      </w:r>
    </w:p>
    <w:p>
      <w:pPr>
        <w:spacing w:before="1"/>
        <w:ind w:left="100" w:right="0" w:firstLine="0"/>
        <w:jc w:val="both"/>
        <w:rPr>
          <w:sz w:val="18"/>
        </w:rPr>
      </w:pPr>
      <w:r>
        <w:rPr>
          <w:color w:val="231F20"/>
          <w:w w:val="125"/>
          <w:sz w:val="18"/>
        </w:rPr>
        <w:t>y migratorios</w:t>
      </w:r>
    </w:p>
    <w:p>
      <w:pPr>
        <w:spacing w:after="0"/>
        <w:jc w:val="both"/>
        <w:rPr>
          <w:sz w:val="18"/>
        </w:rPr>
        <w:sectPr>
          <w:pgSz w:w="7640" w:h="11900"/>
          <w:pgMar w:header="672" w:footer="0" w:top="860" w:bottom="280" w:left="660" w:right="760"/>
        </w:sectPr>
      </w:pPr>
    </w:p>
    <w:p>
      <w:pPr>
        <w:pStyle w:val="BodyText"/>
        <w:spacing w:before="9"/>
        <w:rPr>
          <w:sz w:val="11"/>
        </w:rPr>
      </w:pPr>
    </w:p>
    <w:p>
      <w:pPr>
        <w:spacing w:line="155" w:lineRule="exact" w:before="0"/>
        <w:ind w:left="0" w:right="27" w:firstLine="0"/>
        <w:jc w:val="right"/>
        <w:rPr>
          <w:sz w:val="14"/>
        </w:rPr>
      </w:pPr>
      <w:r>
        <w:rPr>
          <w:color w:val="231F20"/>
          <w:w w:val="110"/>
          <w:sz w:val="14"/>
        </w:rPr>
        <w:t>Trabajadores con alta precariedad (%)</w:t>
      </w:r>
    </w:p>
    <w:p>
      <w:pPr>
        <w:tabs>
          <w:tab w:pos="2933" w:val="left" w:leader="none"/>
        </w:tabs>
        <w:spacing w:line="132" w:lineRule="exact" w:before="0"/>
        <w:ind w:left="188" w:right="0" w:firstLine="0"/>
        <w:jc w:val="left"/>
        <w:rPr>
          <w:sz w:val="12"/>
        </w:rPr>
      </w:pPr>
      <w:r>
        <w:rPr>
          <w:color w:val="231F20"/>
          <w:w w:val="105"/>
          <w:sz w:val="12"/>
        </w:rPr>
        <w:t>25%</w:t>
      </w:r>
      <w:r>
        <w:rPr>
          <w:color w:val="231F20"/>
          <w:spacing w:val="-5"/>
          <w:w w:val="105"/>
          <w:sz w:val="12"/>
        </w:rPr>
        <w:t> </w:t>
      </w:r>
      <w:r>
        <w:rPr>
          <w:color w:val="231F20"/>
          <w:spacing w:val="-8"/>
          <w:w w:val="105"/>
          <w:sz w:val="12"/>
        </w:rPr>
        <w:t>—</w:t>
      </w:r>
      <w:r>
        <w:rPr>
          <w:color w:val="231F20"/>
          <w:w w:val="104"/>
          <w:sz w:val="12"/>
          <w:u w:val="single" w:color="939598"/>
        </w:rPr>
        <w:t> </w:t>
      </w:r>
      <w:r>
        <w:rPr>
          <w:color w:val="231F20"/>
          <w:sz w:val="12"/>
          <w:u w:val="single" w:color="939598"/>
        </w:rPr>
        <w:tab/>
      </w:r>
    </w:p>
    <w:p>
      <w:pPr>
        <w:pStyle w:val="BodyText"/>
        <w:spacing w:before="5"/>
        <w:rPr>
          <w:sz w:val="16"/>
        </w:rPr>
      </w:pPr>
    </w:p>
    <w:p>
      <w:pPr>
        <w:tabs>
          <w:tab w:pos="2780" w:val="left" w:leader="none"/>
        </w:tabs>
        <w:spacing w:before="0"/>
        <w:ind w:left="188" w:right="0" w:firstLine="0"/>
        <w:jc w:val="left"/>
        <w:rPr>
          <w:sz w:val="12"/>
        </w:rPr>
      </w:pPr>
      <w:r>
        <w:rPr/>
        <w:pict>
          <v:group style="position:absolute;margin-left:60.950001pt;margin-top:2.992761pt;width:119pt;height:57.45pt;mso-position-horizontal-relative:page;mso-position-vertical-relative:paragraph;z-index:-347968" coordorigin="1219,60" coordsize="2380,1149">
            <v:line style="position:absolute" from="1224,833" to="3594,833" stroked="true" strokeweight=".5pt" strokecolor="#939598"/>
            <v:shape style="position:absolute;left:3472;top:778;width:2;height:328" coordorigin="3472,778" coordsize="0,328" path="m3472,778l3472,865m3472,1018l3472,1105e" filled="false" stroked="true" strokeweight="3.12pt" strokecolor="#ffffff">
              <v:path arrowok="t"/>
            </v:shape>
            <v:line style="position:absolute" from="1415,1133" to="1751,1143" stroked="true" strokeweight=".5pt" strokecolor="#231f20">
              <v:stroke dashstyle="dash"/>
            </v:line>
            <v:line style="position:absolute" from="1811,1149" to="2153,1200" stroked="true" strokeweight=".5pt" strokecolor="#231f20">
              <v:stroke dashstyle="dash"/>
            </v:line>
            <v:line style="position:absolute" from="2214,1200" to="2566,1159" stroked="true" strokeweight=".5pt" strokecolor="#231f20">
              <v:stroke dashstyle="dash"/>
            </v:line>
            <v:line style="position:absolute" from="2626,1147" to="2958,1066" stroked="true" strokeweight=".5pt" strokecolor="#231f20">
              <v:stroke dashstyle="dash"/>
            </v:line>
            <v:line style="position:absolute" from="3018,1054" to="3370,998" stroked="true" strokeweight=".5pt" strokecolor="#231f20">
              <v:stroke dashstyle="dash"/>
            </v:line>
            <v:shape style="position:absolute;left:0;top:8126;width:2016;height:210" coordorigin="0,8126" coordsize="2016,210" path="m1380,1132l1395,1132m1761,1143l1776,1144,1791,1146m2163,1201l2178,1204,2193,1202m2577,1158l2592,1156,2607,1152m2967,1063l2982,1060,2997,1057m3381,996l3396,994e" filled="false" stroked="true" strokeweight=".5pt" strokecolor="#231f20">
              <v:path arrowok="t"/>
            </v:shape>
            <v:line style="position:absolute" from="1437,1020" to="1753,932" stroked="true" strokeweight="1pt" strokecolor="#231f20">
              <v:stroke dashstyle="dash"/>
            </v:line>
            <v:line style="position:absolute" from="1839,925" to="2155,933" stroked="true" strokeweight="1pt" strokecolor="#231f20">
              <v:stroke dashstyle="dash"/>
            </v:line>
            <v:line style="position:absolute" from="2241,942" to="2557,989" stroked="true" strokeweight="1pt" strokecolor="#231f20">
              <v:stroke dashstyle="dash"/>
            </v:line>
            <v:line style="position:absolute" from="2643,965" to="2954,810" stroked="true" strokeweight="1pt" strokecolor="#231f20">
              <v:stroke dashstyle="dash"/>
            </v:line>
            <v:shape style="position:absolute;left:1378;top:65;width:2021;height:599" coordorigin="1378,65" coordsize="2021,599" path="m1378,612l1781,664,2189,646,2592,564,2995,65,3398,75e" filled="false" stroked="true" strokeweight=".5pt" strokecolor="#231f20">
              <v:path arrowok="t"/>
            </v:shape>
            <v:line style="position:absolute" from="3041,783" to="3366,712" stroked="true" strokeweight="1pt" strokecolor="#231f20">
              <v:stroke dashstyle="dash"/>
            </v:line>
            <v:shape style="position:absolute;left:0;top:7934;width:2016;height:330" coordorigin="0,7934" coordsize="2016,330" path="m1380,1036l1380,1036m1782,924l1782,924m2184,934l2184,934m2586,994l2586,994m2982,796l2982,796m3396,706l3396,706e" filled="false" stroked="true" strokeweight="1pt" strokecolor="#231f20">
              <v:path arrowok="t"/>
            </v:shape>
            <v:line style="position:absolute" from="1430,1005" to="1741,1011" stroked="true" strokeweight=".5pt" strokecolor="#636466">
              <v:stroke dashstyle="dash"/>
            </v:line>
            <v:line style="position:absolute" from="1841,1005" to="2138,969" stroked="true" strokeweight=".5pt" strokecolor="#636466">
              <v:stroke dashstyle="dash"/>
            </v:line>
            <v:line style="position:absolute" from="2239,964" to="2545,964" stroked="true" strokeweight=".5pt" strokecolor="#636466">
              <v:stroke dashstyle="dash"/>
            </v:line>
            <v:line style="position:absolute" from="2645,949" to="2942,877" stroked="true" strokeweight=".5pt" strokecolor="#636466">
              <v:stroke dashstyle="dash"/>
            </v:line>
            <v:line style="position:absolute" from="3044,862" to="3355,835" stroked="true" strokeweight=".5pt" strokecolor="#636466">
              <v:stroke dashstyle="dash"/>
            </v:line>
            <v:shape style="position:absolute;left:0;top:8092;width:2028;height:180" coordorigin="0,8092" coordsize="2028,180" path="m1368,1004l1389,1004m1761,1011l1782,1012,1802,1009m2158,966l2178,964,2198,964m2566,964l2586,964,2606,959m2962,873l2982,868,3003,866m3375,834l3396,832e" filled="false" stroked="true" strokeweight=".5pt" strokecolor="#636466">
              <v:path arrowok="t"/>
            </v:shape>
            <v:shape style="position:absolute;left:1380;top:1044;width:2022;height:130" coordorigin="1380,1044" coordsize="2022,130" path="m1380,1168l1776,1168,2184,1174,2586,1164,2994,1066,3402,1044e" filled="false" stroked="true" strokeweight=".5pt" strokecolor="#939598">
              <v:path arrowok="t"/>
            </v:shape>
            <w10:wrap type="none"/>
          </v:group>
        </w:pict>
      </w:r>
      <w:r>
        <w:rPr>
          <w:color w:val="231F20"/>
          <w:w w:val="105"/>
          <w:sz w:val="12"/>
        </w:rPr>
        <w:t>20%</w:t>
      </w:r>
      <w:r>
        <w:rPr>
          <w:color w:val="231F20"/>
          <w:spacing w:val="-2"/>
          <w:w w:val="105"/>
          <w:sz w:val="12"/>
        </w:rPr>
        <w:t> </w:t>
      </w:r>
      <w:r>
        <w:rPr>
          <w:color w:val="231F20"/>
          <w:spacing w:val="-8"/>
          <w:w w:val="105"/>
          <w:sz w:val="12"/>
        </w:rPr>
        <w:t>—</w:t>
      </w:r>
      <w:r>
        <w:rPr>
          <w:color w:val="231F20"/>
          <w:spacing w:val="-8"/>
          <w:w w:val="105"/>
          <w:position w:val="3"/>
          <w:sz w:val="12"/>
          <w:u w:val="single" w:color="939598"/>
        </w:rPr>
        <w:t> </w:t>
        <w:tab/>
      </w:r>
      <w:r>
        <w:rPr>
          <w:color w:val="231F20"/>
          <w:w w:val="105"/>
          <w:position w:val="3"/>
          <w:sz w:val="12"/>
          <w:u w:val="single" w:color="939598"/>
        </w:rPr>
        <w:t>1</w:t>
      </w:r>
      <w:r>
        <w:rPr>
          <w:color w:val="231F20"/>
          <w:position w:val="3"/>
          <w:sz w:val="12"/>
          <w:u w:val="single" w:color="939598"/>
        </w:rPr>
        <w:t> </w:t>
      </w:r>
    </w:p>
    <w:p>
      <w:pPr>
        <w:pStyle w:val="BodyText"/>
        <w:rPr>
          <w:sz w:val="19"/>
        </w:rPr>
      </w:pPr>
    </w:p>
    <w:p>
      <w:pPr>
        <w:tabs>
          <w:tab w:pos="2933" w:val="left" w:leader="none"/>
        </w:tabs>
        <w:spacing w:before="0"/>
        <w:ind w:left="188" w:right="0" w:firstLine="0"/>
        <w:jc w:val="left"/>
        <w:rPr>
          <w:sz w:val="12"/>
        </w:rPr>
      </w:pPr>
      <w:r>
        <w:rPr>
          <w:color w:val="231F20"/>
          <w:w w:val="105"/>
          <w:sz w:val="12"/>
        </w:rPr>
        <w:t>15%</w:t>
      </w:r>
      <w:r>
        <w:rPr>
          <w:color w:val="231F20"/>
          <w:spacing w:val="-5"/>
          <w:w w:val="105"/>
          <w:sz w:val="12"/>
        </w:rPr>
        <w:t> </w:t>
      </w:r>
      <w:r>
        <w:rPr>
          <w:color w:val="231F20"/>
          <w:spacing w:val="-8"/>
          <w:w w:val="105"/>
          <w:sz w:val="12"/>
        </w:rPr>
        <w:t>—</w:t>
      </w:r>
      <w:r>
        <w:rPr>
          <w:color w:val="231F20"/>
          <w:w w:val="104"/>
          <w:sz w:val="12"/>
          <w:u w:val="single" w:color="939598"/>
        </w:rPr>
        <w:t> </w:t>
      </w:r>
      <w:r>
        <w:rPr>
          <w:color w:val="231F20"/>
          <w:sz w:val="12"/>
          <w:u w:val="single" w:color="939598"/>
        </w:rPr>
        <w:tab/>
      </w:r>
    </w:p>
    <w:p>
      <w:pPr>
        <w:spacing w:before="84"/>
        <w:ind w:left="0" w:right="88" w:firstLine="0"/>
        <w:jc w:val="right"/>
        <w:rPr>
          <w:sz w:val="12"/>
        </w:rPr>
      </w:pPr>
      <w:r>
        <w:rPr>
          <w:color w:val="231F20"/>
          <w:w w:val="104"/>
          <w:sz w:val="12"/>
        </w:rPr>
        <w:t>3</w:t>
      </w:r>
    </w:p>
    <w:p>
      <w:pPr>
        <w:pStyle w:val="BodyText"/>
        <w:spacing w:before="9"/>
        <w:rPr>
          <w:sz w:val="11"/>
        </w:rPr>
      </w:pPr>
      <w:r>
        <w:rPr/>
        <w:br w:type="column"/>
      </w:r>
      <w:r>
        <w:rPr>
          <w:sz w:val="11"/>
        </w:rPr>
      </w:r>
    </w:p>
    <w:p>
      <w:pPr>
        <w:spacing w:line="155" w:lineRule="exact" w:before="0"/>
        <w:ind w:left="838" w:right="0" w:firstLine="0"/>
        <w:jc w:val="left"/>
        <w:rPr>
          <w:sz w:val="14"/>
        </w:rPr>
      </w:pPr>
      <w:r>
        <w:rPr>
          <w:color w:val="231F20"/>
          <w:w w:val="110"/>
          <w:sz w:val="14"/>
        </w:rPr>
        <w:t>Incidencia de la pobreza (%)</w:t>
      </w:r>
    </w:p>
    <w:p>
      <w:pPr>
        <w:tabs>
          <w:tab w:pos="2937" w:val="left" w:leader="none"/>
        </w:tabs>
        <w:spacing w:line="132" w:lineRule="exact" w:before="0"/>
        <w:ind w:left="188" w:right="0" w:firstLine="0"/>
        <w:jc w:val="left"/>
        <w:rPr>
          <w:sz w:val="12"/>
        </w:rPr>
      </w:pPr>
      <w:r>
        <w:rPr>
          <w:color w:val="231F20"/>
          <w:w w:val="105"/>
          <w:sz w:val="12"/>
        </w:rPr>
        <w:t>30%</w:t>
      </w:r>
      <w:r>
        <w:rPr>
          <w:color w:val="231F20"/>
          <w:spacing w:val="-5"/>
          <w:w w:val="105"/>
          <w:sz w:val="12"/>
        </w:rPr>
        <w:t> —</w:t>
      </w:r>
      <w:r>
        <w:rPr>
          <w:color w:val="231F20"/>
          <w:w w:val="104"/>
          <w:sz w:val="12"/>
          <w:u w:val="single" w:color="939598"/>
        </w:rPr>
        <w:t> </w:t>
      </w:r>
      <w:r>
        <w:rPr>
          <w:color w:val="231F20"/>
          <w:sz w:val="12"/>
          <w:u w:val="single" w:color="939598"/>
        </w:rPr>
        <w:tab/>
      </w:r>
    </w:p>
    <w:p>
      <w:pPr>
        <w:pStyle w:val="BodyText"/>
        <w:spacing w:before="3"/>
        <w:rPr>
          <w:sz w:val="11"/>
        </w:rPr>
      </w:pPr>
    </w:p>
    <w:p>
      <w:pPr>
        <w:tabs>
          <w:tab w:pos="2937" w:val="left" w:leader="none"/>
        </w:tabs>
        <w:spacing w:before="0"/>
        <w:ind w:left="188" w:right="0" w:firstLine="0"/>
        <w:jc w:val="left"/>
        <w:rPr>
          <w:sz w:val="12"/>
        </w:rPr>
      </w:pPr>
      <w:r>
        <w:rPr/>
        <w:pict>
          <v:group style="position:absolute;margin-left:214.316193pt;margin-top:1.381557pt;width:119pt;height:20.95pt;mso-position-horizontal-relative:page;mso-position-vertical-relative:paragraph;z-index:-347944" coordorigin="4286,28" coordsize="2380,419">
            <v:line style="position:absolute" from="4291,418" to="6661,418" stroked="true" strokeweight=".5pt" strokecolor="#939598"/>
            <v:shape style="position:absolute;left:4441;top:111;width:2036;height:330" coordorigin="4441,111" coordsize="2036,330" path="m4441,257l4850,343,5258,441,5666,315,6056,225,6476,111e" filled="false" stroked="true" strokeweight=".5pt" strokecolor="#231f20">
              <v:path arrowok="t"/>
            </v:shape>
            <v:line style="position:absolute" from="4365,291" to="4365,378" stroked="true" strokeweight="3.12pt" strokecolor="#ffffff"/>
            <v:line style="position:absolute" from="4499,327" to="5240,381" stroked="true" strokeweight="1pt" strokecolor="#231f20">
              <v:stroke dashstyle="dash"/>
            </v:line>
            <v:line style="position:absolute" from="5325,380" to="5632,364" stroked="true" strokeweight="1pt" strokecolor="#231f20">
              <v:stroke dashstyle="dash"/>
            </v:line>
            <v:line style="position:absolute" from="5717,349" to="6033,274" stroked="true" strokeweight="1pt" strokecolor="#231f20">
              <v:stroke dashstyle="dash"/>
            </v:line>
            <v:line style="position:absolute" from="6119,238" to="6435,83" stroked="true" strokeweight="1.0pt" strokecolor="#231f20">
              <v:stroke dashstyle="dash"/>
            </v:line>
            <v:shape style="position:absolute;left:0;top:8069;width:2024;height:315" coordorigin="0,8069" coordsize="2024,315" path="m4440,323l4440,323m5270,383l5270,383m5660,363l5660,363m6062,267l6062,267m6464,69l6464,69e" filled="false" stroked="true" strokeweight="1pt" strokecolor="#231f20">
              <v:path arrowok="t"/>
            </v:shape>
            <v:line style="position:absolute" from="4497,86" to="4803,65" stroked="true" strokeweight=".5pt" strokecolor="#636466">
              <v:stroke dashstyle="dash"/>
            </v:line>
            <v:line style="position:absolute" from="4906,75" to="5216,135" stroked="true" strokeweight=".5pt" strokecolor="#636466">
              <v:stroke dashstyle="dash"/>
            </v:line>
            <v:line style="position:absolute" from="5318,138" to="6016,90" stroked="true" strokeweight=".5pt" strokecolor="#636466">
              <v:stroke dashstyle="dash"/>
            </v:line>
            <v:line style="position:absolute" from="6119,79" to="6434,38" stroked="true" strokeweight=".5pt" strokecolor="#636466">
              <v:stroke dashstyle="dash"/>
            </v:line>
            <v:shape style="position:absolute;left:0;top:8266;width:2040;height:110" coordorigin="0,8266" coordsize="2040,110" path="m4436,90l4456,88m4823,64l4844,63,4864,67m5237,139l5258,143,5278,141m6036,88l6056,87,6077,84m6455,35l6476,33e" filled="false" stroked="true" strokeweight=".5pt" strokecolor="#636466">
              <v:path arrowok="t"/>
            </v:shape>
            <w10:wrap type="none"/>
          </v:group>
        </w:pict>
      </w:r>
      <w:r>
        <w:rPr>
          <w:color w:val="231F20"/>
          <w:w w:val="105"/>
          <w:sz w:val="12"/>
        </w:rPr>
        <w:t>25% </w:t>
      </w:r>
      <w:r>
        <w:rPr>
          <w:color w:val="231F20"/>
          <w:spacing w:val="-5"/>
          <w:w w:val="105"/>
          <w:sz w:val="12"/>
        </w:rPr>
        <w:t>—</w:t>
      </w:r>
      <w:r>
        <w:rPr>
          <w:color w:val="231F20"/>
          <w:spacing w:val="5"/>
          <w:w w:val="105"/>
          <w:sz w:val="12"/>
        </w:rPr>
        <w:t> </w:t>
      </w:r>
      <w:r>
        <w:rPr>
          <w:color w:val="231F20"/>
          <w:w w:val="105"/>
          <w:position w:val="3"/>
          <w:sz w:val="12"/>
          <w:u w:val="single" w:color="939598"/>
        </w:rPr>
        <w:t>4</w:t>
      </w:r>
      <w:r>
        <w:rPr>
          <w:color w:val="231F20"/>
          <w:position w:val="3"/>
          <w:sz w:val="12"/>
          <w:u w:val="single" w:color="939598"/>
        </w:rPr>
        <w:tab/>
      </w:r>
    </w:p>
    <w:p>
      <w:pPr>
        <w:spacing w:line="118" w:lineRule="exact" w:before="2"/>
        <w:ind w:left="609" w:right="0" w:firstLine="0"/>
        <w:jc w:val="left"/>
        <w:rPr>
          <w:sz w:val="12"/>
        </w:rPr>
      </w:pPr>
      <w:r>
        <w:rPr>
          <w:color w:val="231F20"/>
          <w:w w:val="104"/>
          <w:sz w:val="12"/>
        </w:rPr>
        <w:t>1</w:t>
      </w:r>
    </w:p>
    <w:p>
      <w:pPr>
        <w:spacing w:line="178" w:lineRule="exact" w:before="0"/>
        <w:ind w:left="188" w:right="0" w:firstLine="0"/>
        <w:jc w:val="left"/>
        <w:rPr>
          <w:sz w:val="12"/>
        </w:rPr>
      </w:pPr>
      <w:r>
        <w:rPr>
          <w:color w:val="231F20"/>
          <w:w w:val="105"/>
          <w:sz w:val="12"/>
        </w:rPr>
        <w:t>20% — </w:t>
      </w:r>
      <w:r>
        <w:rPr>
          <w:color w:val="231F20"/>
          <w:w w:val="105"/>
          <w:position w:val="6"/>
          <w:sz w:val="12"/>
        </w:rPr>
        <w:t>3</w:t>
      </w:r>
    </w:p>
    <w:p>
      <w:pPr>
        <w:tabs>
          <w:tab w:pos="2937" w:val="left" w:leader="none"/>
        </w:tabs>
        <w:spacing w:before="160"/>
        <w:ind w:left="188" w:right="0" w:firstLine="0"/>
        <w:jc w:val="left"/>
        <w:rPr>
          <w:sz w:val="12"/>
        </w:rPr>
      </w:pPr>
      <w:r>
        <w:rPr>
          <w:color w:val="231F20"/>
          <w:w w:val="105"/>
          <w:sz w:val="12"/>
        </w:rPr>
        <w:t>15%</w:t>
      </w:r>
      <w:r>
        <w:rPr>
          <w:color w:val="231F20"/>
          <w:spacing w:val="-5"/>
          <w:w w:val="105"/>
          <w:sz w:val="12"/>
        </w:rPr>
        <w:t> —</w:t>
      </w:r>
      <w:r>
        <w:rPr>
          <w:color w:val="231F20"/>
          <w:w w:val="104"/>
          <w:sz w:val="12"/>
          <w:u w:val="single" w:color="939598"/>
        </w:rPr>
        <w:t> </w:t>
      </w:r>
      <w:r>
        <w:rPr>
          <w:color w:val="231F20"/>
          <w:sz w:val="12"/>
          <w:u w:val="single" w:color="939598"/>
        </w:rPr>
        <w:tab/>
      </w:r>
    </w:p>
    <w:p>
      <w:pPr>
        <w:spacing w:after="0"/>
        <w:jc w:val="left"/>
        <w:rPr>
          <w:sz w:val="12"/>
        </w:rPr>
        <w:sectPr>
          <w:type w:val="continuous"/>
          <w:pgSz w:w="7640" w:h="11900"/>
          <w:pgMar w:top="980" w:bottom="280" w:left="660" w:right="760"/>
          <w:cols w:num="2" w:equalWidth="0">
            <w:col w:w="2934" w:space="130"/>
            <w:col w:w="3156"/>
          </w:cols>
        </w:sectPr>
      </w:pPr>
    </w:p>
    <w:p>
      <w:pPr>
        <w:tabs>
          <w:tab w:pos="2780" w:val="left" w:leader="none"/>
          <w:tab w:pos="3781" w:val="left" w:leader="none"/>
          <w:tab w:pos="4174" w:val="left" w:leader="none"/>
        </w:tabs>
        <w:spacing w:line="84" w:lineRule="exact" w:before="0"/>
        <w:ind w:left="188" w:right="25" w:firstLine="0"/>
        <w:jc w:val="left"/>
        <w:rPr>
          <w:sz w:val="12"/>
        </w:rPr>
      </w:pPr>
      <w:r>
        <w:rPr/>
        <w:pict>
          <v:group style="position:absolute;margin-left:214.316193pt;margin-top:2.783834pt;width:119pt;height:12.5pt;mso-position-horizontal-relative:page;mso-position-vertical-relative:paragraph;z-index:-347920" coordorigin="4286,56" coordsize="2380,250">
            <v:line style="position:absolute" from="4291,208" to="6661,208" stroked="true" strokeweight=".5pt" strokecolor="#939598"/>
            <v:line style="position:absolute" from="4891,143" to="5233,184" stroked="true" strokeweight=".5pt" strokecolor="#231f20">
              <v:stroke dashstyle="dash"/>
            </v:line>
            <v:line style="position:absolute" from="5292,185" to="5629,165" stroked="true" strokeweight=".5pt" strokecolor="#231f20">
              <v:stroke dashstyle="dash"/>
            </v:line>
            <v:line style="position:absolute" from="5687,158" to="6056,101" stroked="true" strokeweight=".5pt" strokecolor="#231f20">
              <v:stroke dashstyle="dash"/>
            </v:line>
            <v:line style="position:absolute" from="6114,94" to="6451,63" stroked="true" strokeweight=".5pt" strokecolor="#231f20">
              <v:stroke dashstyle="dash"/>
            </v:line>
            <v:shape style="position:absolute;left:398;top:7438;width:1636;height:127" coordorigin="398,7438" coordsize="1636,127" path="m4840,139l4856,139,4871,141m5243,185l5258,187,5273,186m5639,165l5654,164,5668,161m6065,99l6080,97,6095,95m6461,62l6476,61e" filled="false" stroked="true" strokeweight=".5pt" strokecolor="#231f20">
              <v:path arrowok="t"/>
            </v:shape>
            <v:shape style="position:absolute;left:4436;top:229;width:2022;height:73" coordorigin="4436,229" coordsize="2022,73" path="m4436,274l4850,283,5252,297,5666,301,6056,265,6458,229e" filled="false" stroked="true" strokeweight=".5pt" strokecolor="#939598">
              <v:path arrowok="t"/>
            </v:shape>
            <w10:wrap type="none"/>
          </v:group>
        </w:pict>
      </w:r>
      <w:r>
        <w:rPr>
          <w:color w:val="231F20"/>
          <w:w w:val="105"/>
          <w:position w:val="1"/>
          <w:sz w:val="12"/>
        </w:rPr>
        <w:t>10%</w:t>
      </w:r>
      <w:r>
        <w:rPr>
          <w:color w:val="231F20"/>
          <w:spacing w:val="-2"/>
          <w:w w:val="105"/>
          <w:position w:val="1"/>
          <w:sz w:val="12"/>
        </w:rPr>
        <w:t> </w:t>
      </w:r>
      <w:r>
        <w:rPr>
          <w:color w:val="231F20"/>
          <w:w w:val="105"/>
          <w:position w:val="1"/>
          <w:sz w:val="12"/>
        </w:rPr>
        <w:t>—</w:t>
        <w:tab/>
      </w:r>
      <w:r>
        <w:rPr>
          <w:color w:val="231F20"/>
          <w:w w:val="105"/>
          <w:sz w:val="12"/>
        </w:rPr>
        <w:t>4</w:t>
      </w:r>
      <w:r>
        <w:rPr>
          <w:color w:val="231F20"/>
          <w:sz w:val="12"/>
        </w:rPr>
        <w:tab/>
      </w:r>
      <w:r>
        <w:rPr>
          <w:color w:val="231F20"/>
          <w:w w:val="104"/>
          <w:sz w:val="12"/>
          <w:u w:val="single" w:color="231F20"/>
        </w:rPr>
        <w:t> </w:t>
      </w:r>
      <w:r>
        <w:rPr>
          <w:color w:val="231F20"/>
          <w:sz w:val="12"/>
          <w:u w:val="single" w:color="231F20"/>
        </w:rPr>
        <w:tab/>
      </w:r>
    </w:p>
    <w:p>
      <w:pPr>
        <w:spacing w:after="0" w:line="84" w:lineRule="exact"/>
        <w:jc w:val="left"/>
        <w:rPr>
          <w:sz w:val="12"/>
        </w:rPr>
        <w:sectPr>
          <w:type w:val="continuous"/>
          <w:pgSz w:w="7640" w:h="11900"/>
          <w:pgMar w:top="980" w:bottom="280" w:left="660" w:right="760"/>
        </w:sectPr>
      </w:pPr>
    </w:p>
    <w:p>
      <w:pPr>
        <w:spacing w:line="123" w:lineRule="exact" w:before="53"/>
        <w:ind w:left="0" w:right="111" w:firstLine="0"/>
        <w:jc w:val="right"/>
        <w:rPr>
          <w:sz w:val="12"/>
        </w:rPr>
      </w:pPr>
      <w:r>
        <w:rPr>
          <w:color w:val="231F20"/>
          <w:w w:val="104"/>
          <w:sz w:val="12"/>
        </w:rPr>
        <w:t>2</w:t>
      </w:r>
    </w:p>
    <w:p>
      <w:pPr>
        <w:spacing w:line="108" w:lineRule="exact" w:before="0"/>
        <w:ind w:left="0" w:right="111" w:firstLine="0"/>
        <w:jc w:val="right"/>
        <w:rPr>
          <w:sz w:val="12"/>
        </w:rPr>
      </w:pPr>
      <w:r>
        <w:rPr>
          <w:color w:val="231F20"/>
          <w:w w:val="104"/>
          <w:sz w:val="12"/>
        </w:rPr>
        <w:t>5</w:t>
      </w:r>
    </w:p>
    <w:p>
      <w:pPr>
        <w:tabs>
          <w:tab w:pos="2683" w:val="left" w:leader="none"/>
        </w:tabs>
        <w:spacing w:line="123" w:lineRule="exact" w:before="0"/>
        <w:ind w:left="0" w:right="20" w:firstLine="0"/>
        <w:jc w:val="right"/>
        <w:rPr>
          <w:sz w:val="12"/>
        </w:rPr>
      </w:pPr>
      <w:r>
        <w:rPr>
          <w:color w:val="231F20"/>
          <w:w w:val="105"/>
          <w:sz w:val="12"/>
        </w:rPr>
        <w:t>5%</w:t>
      </w:r>
      <w:r>
        <w:rPr>
          <w:color w:val="231F20"/>
          <w:spacing w:val="-5"/>
          <w:w w:val="105"/>
          <w:sz w:val="12"/>
        </w:rPr>
        <w:t> </w:t>
      </w:r>
      <w:r>
        <w:rPr>
          <w:color w:val="231F20"/>
          <w:spacing w:val="-8"/>
          <w:w w:val="105"/>
          <w:sz w:val="12"/>
        </w:rPr>
        <w:t>—</w:t>
      </w:r>
      <w:r>
        <w:rPr>
          <w:color w:val="231F20"/>
          <w:w w:val="104"/>
          <w:sz w:val="12"/>
          <w:u w:val="single" w:color="939598"/>
        </w:rPr>
        <w:t> </w:t>
      </w:r>
      <w:r>
        <w:rPr>
          <w:color w:val="231F20"/>
          <w:sz w:val="12"/>
          <w:u w:val="single" w:color="939598"/>
        </w:rPr>
        <w:tab/>
      </w:r>
    </w:p>
    <w:p>
      <w:pPr>
        <w:pStyle w:val="BodyText"/>
        <w:rPr>
          <w:sz w:val="12"/>
        </w:rPr>
      </w:pPr>
    </w:p>
    <w:p>
      <w:pPr>
        <w:tabs>
          <w:tab w:pos="2683" w:val="left" w:leader="none"/>
        </w:tabs>
        <w:spacing w:line="129" w:lineRule="exact" w:before="81"/>
        <w:ind w:left="0" w:right="20" w:firstLine="0"/>
        <w:jc w:val="right"/>
        <w:rPr>
          <w:sz w:val="12"/>
        </w:rPr>
      </w:pPr>
      <w:r>
        <w:rPr>
          <w:color w:val="231F20"/>
          <w:w w:val="105"/>
          <w:sz w:val="12"/>
        </w:rPr>
        <w:t>0%</w:t>
      </w:r>
      <w:r>
        <w:rPr>
          <w:color w:val="231F20"/>
          <w:spacing w:val="-5"/>
          <w:w w:val="105"/>
          <w:sz w:val="12"/>
        </w:rPr>
        <w:t> </w:t>
      </w:r>
      <w:r>
        <w:rPr>
          <w:color w:val="231F20"/>
          <w:spacing w:val="-8"/>
          <w:w w:val="105"/>
          <w:sz w:val="12"/>
        </w:rPr>
        <w:t>—</w:t>
      </w:r>
      <w:r>
        <w:rPr>
          <w:color w:val="231F20"/>
          <w:w w:val="104"/>
          <w:sz w:val="12"/>
          <w:u w:val="single" w:color="939598"/>
        </w:rPr>
        <w:t> </w:t>
      </w:r>
      <w:r>
        <w:rPr>
          <w:color w:val="231F20"/>
          <w:sz w:val="12"/>
          <w:u w:val="single" w:color="939598"/>
        </w:rPr>
        <w:tab/>
      </w:r>
    </w:p>
    <w:p>
      <w:pPr>
        <w:spacing w:line="129" w:lineRule="exact" w:before="0"/>
        <w:ind w:left="497" w:right="0" w:firstLine="0"/>
        <w:jc w:val="left"/>
        <w:rPr>
          <w:sz w:val="12"/>
        </w:rPr>
      </w:pPr>
      <w:r>
        <w:rPr>
          <w:color w:val="231F20"/>
          <w:w w:val="115"/>
          <w:sz w:val="12"/>
        </w:rPr>
        <w:t>| 2005 | 2006 | 2007 | 2008 | 2009 | 2010 |</w:t>
      </w:r>
    </w:p>
    <w:p>
      <w:pPr>
        <w:spacing w:line="149" w:lineRule="exact" w:before="0"/>
        <w:ind w:left="250" w:right="0" w:firstLine="0"/>
        <w:jc w:val="left"/>
        <w:rPr>
          <w:sz w:val="12"/>
        </w:rPr>
      </w:pPr>
      <w:r>
        <w:rPr/>
        <w:br w:type="column"/>
      </w:r>
      <w:r>
        <w:rPr>
          <w:color w:val="231F20"/>
          <w:w w:val="105"/>
          <w:sz w:val="12"/>
        </w:rPr>
        <w:t>10% — </w:t>
      </w:r>
      <w:r>
        <w:rPr>
          <w:color w:val="231F20"/>
          <w:w w:val="105"/>
          <w:position w:val="5"/>
          <w:sz w:val="12"/>
        </w:rPr>
        <w:t>2</w:t>
      </w:r>
    </w:p>
    <w:p>
      <w:pPr>
        <w:spacing w:line="115" w:lineRule="exact" w:before="0"/>
        <w:ind w:left="672" w:right="0" w:firstLine="0"/>
        <w:jc w:val="left"/>
        <w:rPr>
          <w:sz w:val="12"/>
        </w:rPr>
      </w:pPr>
      <w:r>
        <w:rPr>
          <w:color w:val="231F20"/>
          <w:w w:val="104"/>
          <w:sz w:val="12"/>
        </w:rPr>
        <w:t>5</w:t>
      </w:r>
    </w:p>
    <w:p>
      <w:pPr>
        <w:tabs>
          <w:tab w:pos="2999" w:val="left" w:leader="none"/>
        </w:tabs>
        <w:spacing w:before="68"/>
        <w:ind w:left="312" w:right="0" w:firstLine="0"/>
        <w:jc w:val="left"/>
        <w:rPr>
          <w:sz w:val="12"/>
        </w:rPr>
      </w:pPr>
      <w:r>
        <w:rPr>
          <w:color w:val="231F20"/>
          <w:w w:val="105"/>
          <w:sz w:val="12"/>
        </w:rPr>
        <w:t>5%</w:t>
      </w:r>
      <w:r>
        <w:rPr>
          <w:color w:val="231F20"/>
          <w:spacing w:val="-5"/>
          <w:w w:val="105"/>
          <w:sz w:val="12"/>
        </w:rPr>
        <w:t> —</w:t>
      </w:r>
      <w:r>
        <w:rPr>
          <w:color w:val="231F20"/>
          <w:w w:val="104"/>
          <w:sz w:val="12"/>
          <w:u w:val="single" w:color="939598"/>
        </w:rPr>
        <w:t> </w:t>
      </w:r>
      <w:r>
        <w:rPr>
          <w:color w:val="231F20"/>
          <w:sz w:val="12"/>
          <w:u w:val="single" w:color="939598"/>
        </w:rPr>
        <w:tab/>
      </w:r>
    </w:p>
    <w:p>
      <w:pPr>
        <w:pStyle w:val="BodyText"/>
        <w:spacing w:before="10"/>
        <w:rPr>
          <w:sz w:val="13"/>
        </w:rPr>
      </w:pPr>
    </w:p>
    <w:p>
      <w:pPr>
        <w:tabs>
          <w:tab w:pos="2999" w:val="left" w:leader="none"/>
        </w:tabs>
        <w:spacing w:line="128" w:lineRule="exact" w:before="0"/>
        <w:ind w:left="312" w:right="0" w:firstLine="0"/>
        <w:jc w:val="left"/>
        <w:rPr>
          <w:sz w:val="12"/>
        </w:rPr>
      </w:pPr>
      <w:r>
        <w:rPr>
          <w:color w:val="231F20"/>
          <w:w w:val="105"/>
          <w:sz w:val="12"/>
        </w:rPr>
        <w:t>0%</w:t>
      </w:r>
      <w:r>
        <w:rPr>
          <w:color w:val="231F20"/>
          <w:spacing w:val="-5"/>
          <w:w w:val="105"/>
          <w:sz w:val="12"/>
        </w:rPr>
        <w:t> —</w:t>
      </w:r>
      <w:r>
        <w:rPr>
          <w:color w:val="231F20"/>
          <w:w w:val="104"/>
          <w:sz w:val="12"/>
          <w:u w:val="single" w:color="939598"/>
        </w:rPr>
        <w:t> </w:t>
      </w:r>
      <w:r>
        <w:rPr>
          <w:color w:val="231F20"/>
          <w:sz w:val="12"/>
          <w:u w:val="single" w:color="939598"/>
        </w:rPr>
        <w:tab/>
      </w:r>
    </w:p>
    <w:p>
      <w:pPr>
        <w:spacing w:line="128" w:lineRule="exact" w:before="0"/>
        <w:ind w:left="568" w:right="0" w:firstLine="0"/>
        <w:jc w:val="left"/>
        <w:rPr>
          <w:sz w:val="12"/>
        </w:rPr>
      </w:pPr>
      <w:r>
        <w:rPr>
          <w:color w:val="231F20"/>
          <w:w w:val="115"/>
          <w:sz w:val="12"/>
        </w:rPr>
        <w:t>| 2005 | 2006 | 2007 | 2008 | 2009 | 2010 |</w:t>
      </w:r>
    </w:p>
    <w:p>
      <w:pPr>
        <w:spacing w:after="0" w:line="128" w:lineRule="exact"/>
        <w:jc w:val="left"/>
        <w:rPr>
          <w:sz w:val="12"/>
        </w:rPr>
        <w:sectPr>
          <w:type w:val="continuous"/>
          <w:pgSz w:w="7640" w:h="11900"/>
          <w:pgMar w:top="980" w:bottom="280" w:left="660" w:right="760"/>
          <w:cols w:num="2" w:equalWidth="0">
            <w:col w:w="2957" w:space="45"/>
            <w:col w:w="3218"/>
          </w:cols>
        </w:sectPr>
      </w:pPr>
    </w:p>
    <w:p>
      <w:pPr>
        <w:spacing w:line="273" w:lineRule="auto" w:before="142"/>
        <w:ind w:left="100" w:right="107" w:firstLine="72"/>
        <w:jc w:val="left"/>
        <w:rPr>
          <w:rFonts w:ascii="Calibri"/>
          <w:sz w:val="18"/>
        </w:rPr>
      </w:pPr>
      <w:r>
        <w:rPr>
          <w:rFonts w:ascii="Calibri"/>
          <w:color w:val="231F20"/>
          <w:w w:val="125"/>
          <w:sz w:val="18"/>
        </w:rPr>
        <w:t>1] inmigrantes latinoamericanos; 2] otros inmigrantes; 3] nativos latinos; 4] nativos negros no latinos; 5] nativos blancos no latinos</w:t>
      </w:r>
    </w:p>
    <w:p>
      <w:pPr>
        <w:spacing w:line="276" w:lineRule="auto" w:before="45"/>
        <w:ind w:left="100" w:right="25" w:firstLine="0"/>
        <w:jc w:val="left"/>
        <w:rPr>
          <w:sz w:val="18"/>
        </w:rPr>
      </w:pPr>
      <w:r>
        <w:rPr>
          <w:rFonts w:ascii="Calibri" w:hAnsi="Calibri"/>
          <w:color w:val="231F20"/>
          <w:w w:val="105"/>
          <w:sz w:val="18"/>
        </w:rPr>
        <w:t>fuente: </w:t>
      </w:r>
      <w:r>
        <w:rPr>
          <w:color w:val="231F20"/>
          <w:w w:val="105"/>
          <w:sz w:val="18"/>
        </w:rPr>
        <w:t>elaboración propia con base en </w:t>
      </w:r>
      <w:r>
        <w:rPr>
          <w:i/>
          <w:color w:val="231F20"/>
          <w:w w:val="105"/>
          <w:sz w:val="18"/>
        </w:rPr>
        <w:t>Current Population Survey, March </w:t>
      </w:r>
      <w:r>
        <w:rPr>
          <w:i/>
          <w:color w:val="231F20"/>
          <w:w w:val="105"/>
          <w:sz w:val="18"/>
        </w:rPr>
        <w:t>Supplement</w:t>
      </w:r>
      <w:r>
        <w:rPr>
          <w:color w:val="231F20"/>
          <w:w w:val="105"/>
          <w:sz w:val="18"/>
        </w:rPr>
        <w:t>, 2005 a 2010.</w:t>
      </w:r>
    </w:p>
    <w:p>
      <w:pPr>
        <w:pStyle w:val="BodyText"/>
        <w:spacing w:before="1"/>
        <w:rPr>
          <w:sz w:val="22"/>
        </w:rPr>
      </w:pPr>
    </w:p>
    <w:p>
      <w:pPr>
        <w:pStyle w:val="BodyText"/>
        <w:spacing w:line="261" w:lineRule="auto"/>
        <w:ind w:left="100" w:right="117" w:firstLine="240"/>
        <w:jc w:val="both"/>
      </w:pPr>
      <w:r>
        <w:rPr>
          <w:color w:val="231F20"/>
          <w:w w:val="105"/>
        </w:rPr>
        <w:t>Resulta igualmente curioso que en la población negra no hispana, que es tradicionalmente el grupo con mayor incidencia de la pobreza, ésta sin embargo no se haya incrementado significativamente como resultado de la crisis económica. De hecho la proporción de pobla-  ción en situación de pobreza se incrementa en menos de 2 puntos porcentuales entre 2006 y  </w:t>
      </w:r>
      <w:r>
        <w:rPr>
          <w:color w:val="231F20"/>
          <w:spacing w:val="22"/>
          <w:w w:val="105"/>
        </w:rPr>
        <w:t> </w:t>
      </w:r>
      <w:r>
        <w:rPr>
          <w:color w:val="231F20"/>
          <w:w w:val="105"/>
        </w:rPr>
        <w:t>2010.</w:t>
      </w:r>
    </w:p>
    <w:p>
      <w:pPr>
        <w:pStyle w:val="BodyText"/>
        <w:spacing w:line="261" w:lineRule="auto"/>
        <w:ind w:left="100" w:right="119" w:firstLine="240"/>
        <w:jc w:val="both"/>
      </w:pPr>
      <w:r>
        <w:rPr>
          <w:color w:val="231F20"/>
          <w:w w:val="110"/>
        </w:rPr>
        <w:t>Algo similar se observa en el caso de los blancos no latinos, y de los inmigrantes no latinoamericanos. En ambos casos, la incidencia</w:t>
      </w:r>
      <w:r>
        <w:rPr>
          <w:color w:val="231F20"/>
          <w:w w:val="110"/>
        </w:rPr>
        <w:t> </w:t>
      </w:r>
      <w:r>
        <w:rPr>
          <w:color w:val="231F20"/>
          <w:w w:val="110"/>
        </w:rPr>
        <w:t>de la pobreza apenas se incrementa entre 2 y 1 punto porcentual</w:t>
      </w:r>
      <w:r>
        <w:rPr>
          <w:color w:val="231F20"/>
          <w:w w:val="112"/>
        </w:rPr>
        <w:t> </w:t>
      </w:r>
      <w:r>
        <w:rPr>
          <w:color w:val="231F20"/>
          <w:w w:val="110"/>
        </w:rPr>
        <w:t>como resultado de la crisis económica.</w:t>
      </w:r>
    </w:p>
    <w:p>
      <w:pPr>
        <w:pStyle w:val="BodyText"/>
        <w:spacing w:line="261" w:lineRule="auto"/>
        <w:ind w:left="100" w:right="117" w:firstLine="240"/>
        <w:jc w:val="both"/>
      </w:pPr>
      <w:r>
        <w:rPr>
          <w:color w:val="231F20"/>
          <w:w w:val="110"/>
        </w:rPr>
        <w:t>En síntesis, estos datos confirman lo que ya hemos señalado. La crisis</w:t>
      </w:r>
      <w:r>
        <w:rPr>
          <w:color w:val="231F20"/>
          <w:spacing w:val="-8"/>
          <w:w w:val="110"/>
        </w:rPr>
        <w:t> </w:t>
      </w:r>
      <w:r>
        <w:rPr>
          <w:color w:val="231F20"/>
          <w:w w:val="110"/>
        </w:rPr>
        <w:t>económica</w:t>
      </w:r>
      <w:r>
        <w:rPr>
          <w:color w:val="231F20"/>
          <w:spacing w:val="-8"/>
          <w:w w:val="110"/>
        </w:rPr>
        <w:t> </w:t>
      </w:r>
      <w:r>
        <w:rPr>
          <w:color w:val="231F20"/>
          <w:w w:val="110"/>
        </w:rPr>
        <w:t>reciente</w:t>
      </w:r>
      <w:r>
        <w:rPr>
          <w:color w:val="231F20"/>
          <w:spacing w:val="-8"/>
          <w:w w:val="110"/>
        </w:rPr>
        <w:t> </w:t>
      </w:r>
      <w:r>
        <w:rPr>
          <w:color w:val="231F20"/>
          <w:w w:val="110"/>
        </w:rPr>
        <w:t>parece</w:t>
      </w:r>
      <w:r>
        <w:rPr>
          <w:color w:val="231F20"/>
          <w:spacing w:val="-8"/>
          <w:w w:val="110"/>
        </w:rPr>
        <w:t> </w:t>
      </w:r>
      <w:r>
        <w:rPr>
          <w:color w:val="231F20"/>
          <w:w w:val="110"/>
        </w:rPr>
        <w:t>afectar</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inmigrantes</w:t>
      </w:r>
      <w:r>
        <w:rPr>
          <w:color w:val="231F20"/>
          <w:spacing w:val="-8"/>
          <w:w w:val="110"/>
        </w:rPr>
        <w:t> </w:t>
      </w:r>
      <w:r>
        <w:rPr>
          <w:color w:val="231F20"/>
          <w:w w:val="110"/>
        </w:rPr>
        <w:t>latinoame- ricanos de un modo peculiar. La mayor afectación se da en relación con la precarización de sus condiciones laborales, pero sin que ello implique necesariamente una afectación en cuanto al volumen de empleo. De hecho, en algunas actividades económicas, como lo</w:t>
      </w:r>
      <w:r>
        <w:rPr>
          <w:color w:val="231F20"/>
          <w:spacing w:val="29"/>
          <w:w w:val="110"/>
        </w:rPr>
        <w:t> </w:t>
      </w:r>
      <w:r>
        <w:rPr>
          <w:color w:val="231F20"/>
          <w:w w:val="110"/>
        </w:rPr>
        <w:t>son</w:t>
      </w:r>
    </w:p>
    <w:p>
      <w:pPr>
        <w:spacing w:after="0" w:line="261" w:lineRule="auto"/>
        <w:jc w:val="both"/>
        <w:sectPr>
          <w:type w:val="continuous"/>
          <w:pgSz w:w="7640" w:h="11900"/>
          <w:pgMar w:top="980" w:bottom="280" w:left="660" w:right="760"/>
        </w:sectPr>
      </w:pPr>
    </w:p>
    <w:p>
      <w:pPr>
        <w:pStyle w:val="BodyText"/>
        <w:spacing w:before="8"/>
        <w:rPr>
          <w:sz w:val="8"/>
        </w:rPr>
      </w:pPr>
    </w:p>
    <w:p>
      <w:pPr>
        <w:pStyle w:val="BodyText"/>
        <w:spacing w:line="261" w:lineRule="auto" w:before="67"/>
        <w:ind w:left="100" w:right="101"/>
      </w:pPr>
      <w:r>
        <w:rPr>
          <w:color w:val="231F20"/>
          <w:w w:val="110"/>
        </w:rPr>
        <w:t>las ocupaciones dedicadas a la reproducción social, se incrementa la participación relativa de los inmigrantes latinoamericanos.</w:t>
      </w:r>
    </w:p>
    <w:p>
      <w:pPr>
        <w:pStyle w:val="BodyText"/>
        <w:spacing w:line="261" w:lineRule="auto"/>
        <w:ind w:left="100" w:right="117" w:firstLine="240"/>
        <w:jc w:val="both"/>
      </w:pPr>
      <w:r>
        <w:rPr>
          <w:color w:val="231F20"/>
          <w:w w:val="110"/>
        </w:rPr>
        <w:t>En este sentido, la dependencia que muestra la sociedad esta- dunidense, respecto a la provisión de fuerza de trabajo de origen latinoamericano, en especial para solventar las tareas propias de la reproducción</w:t>
      </w:r>
      <w:r>
        <w:rPr>
          <w:color w:val="231F20"/>
          <w:spacing w:val="-10"/>
          <w:w w:val="110"/>
        </w:rPr>
        <w:t> </w:t>
      </w:r>
      <w:r>
        <w:rPr>
          <w:color w:val="231F20"/>
          <w:w w:val="110"/>
        </w:rPr>
        <w:t>social</w:t>
      </w:r>
      <w:r>
        <w:rPr>
          <w:color w:val="231F20"/>
          <w:spacing w:val="-10"/>
          <w:w w:val="110"/>
        </w:rPr>
        <w:t> </w:t>
      </w:r>
      <w:r>
        <w:rPr>
          <w:color w:val="231F20"/>
          <w:w w:val="110"/>
        </w:rPr>
        <w:t>y</w:t>
      </w:r>
      <w:r>
        <w:rPr>
          <w:color w:val="231F20"/>
          <w:spacing w:val="-10"/>
          <w:w w:val="110"/>
        </w:rPr>
        <w:t> </w:t>
      </w:r>
      <w:r>
        <w:rPr>
          <w:color w:val="231F20"/>
          <w:w w:val="110"/>
        </w:rPr>
        <w:t>cotidiana</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población,</w:t>
      </w:r>
      <w:r>
        <w:rPr>
          <w:color w:val="231F20"/>
          <w:spacing w:val="-10"/>
          <w:w w:val="110"/>
        </w:rPr>
        <w:t> </w:t>
      </w:r>
      <w:r>
        <w:rPr>
          <w:color w:val="231F20"/>
          <w:w w:val="110"/>
        </w:rPr>
        <w:t>en</w:t>
      </w:r>
      <w:r>
        <w:rPr>
          <w:color w:val="231F20"/>
          <w:spacing w:val="-10"/>
          <w:w w:val="110"/>
        </w:rPr>
        <w:t> </w:t>
      </w:r>
      <w:r>
        <w:rPr>
          <w:color w:val="231F20"/>
          <w:w w:val="110"/>
        </w:rPr>
        <w:t>esta</w:t>
      </w:r>
      <w:r>
        <w:rPr>
          <w:color w:val="231F20"/>
          <w:spacing w:val="-10"/>
          <w:w w:val="110"/>
        </w:rPr>
        <w:t> </w:t>
      </w:r>
      <w:r>
        <w:rPr>
          <w:color w:val="231F20"/>
          <w:w w:val="110"/>
        </w:rPr>
        <w:t>época</w:t>
      </w:r>
      <w:r>
        <w:rPr>
          <w:color w:val="231F20"/>
          <w:spacing w:val="-10"/>
          <w:w w:val="110"/>
        </w:rPr>
        <w:t> </w:t>
      </w:r>
      <w:r>
        <w:rPr>
          <w:color w:val="231F20"/>
          <w:w w:val="110"/>
        </w:rPr>
        <w:t>de</w:t>
      </w:r>
      <w:r>
        <w:rPr>
          <w:color w:val="231F20"/>
          <w:spacing w:val="-10"/>
          <w:w w:val="110"/>
        </w:rPr>
        <w:t> </w:t>
      </w:r>
      <w:r>
        <w:rPr>
          <w:color w:val="231F20"/>
          <w:w w:val="110"/>
        </w:rPr>
        <w:t>cri- sis</w:t>
      </w:r>
      <w:r>
        <w:rPr>
          <w:color w:val="231F20"/>
          <w:spacing w:val="-5"/>
          <w:w w:val="110"/>
        </w:rPr>
        <w:t> </w:t>
      </w:r>
      <w:r>
        <w:rPr>
          <w:color w:val="231F20"/>
          <w:w w:val="110"/>
        </w:rPr>
        <w:t>parece</w:t>
      </w:r>
      <w:r>
        <w:rPr>
          <w:color w:val="231F20"/>
          <w:spacing w:val="-5"/>
          <w:w w:val="110"/>
        </w:rPr>
        <w:t> </w:t>
      </w:r>
      <w:r>
        <w:rPr>
          <w:color w:val="231F20"/>
          <w:w w:val="110"/>
        </w:rPr>
        <w:t>sustentarse</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mayor</w:t>
      </w:r>
      <w:r>
        <w:rPr>
          <w:color w:val="231F20"/>
          <w:spacing w:val="-5"/>
          <w:w w:val="110"/>
        </w:rPr>
        <w:t> </w:t>
      </w:r>
      <w:r>
        <w:rPr>
          <w:color w:val="231F20"/>
          <w:w w:val="110"/>
        </w:rPr>
        <w:t>precarización</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condiciones de trabajo de los inmigrantes latinoamericanos. De hecho, es preci- samente</w:t>
      </w:r>
      <w:r>
        <w:rPr>
          <w:color w:val="231F20"/>
          <w:spacing w:val="-5"/>
          <w:w w:val="110"/>
        </w:rPr>
        <w:t> </w:t>
      </w:r>
      <w:r>
        <w:rPr>
          <w:color w:val="231F20"/>
          <w:w w:val="110"/>
        </w:rPr>
        <w:t>la</w:t>
      </w:r>
      <w:r>
        <w:rPr>
          <w:color w:val="231F20"/>
          <w:spacing w:val="-5"/>
          <w:w w:val="110"/>
        </w:rPr>
        <w:t> </w:t>
      </w:r>
      <w:r>
        <w:rPr>
          <w:color w:val="231F20"/>
          <w:w w:val="110"/>
        </w:rPr>
        <w:t>mayor</w:t>
      </w:r>
      <w:r>
        <w:rPr>
          <w:color w:val="231F20"/>
          <w:spacing w:val="-5"/>
          <w:w w:val="110"/>
        </w:rPr>
        <w:t> </w:t>
      </w:r>
      <w:r>
        <w:rPr>
          <w:color w:val="231F20"/>
          <w:w w:val="110"/>
        </w:rPr>
        <w:t>vulnerabilidad</w:t>
      </w:r>
      <w:r>
        <w:rPr>
          <w:color w:val="231F20"/>
          <w:spacing w:val="-5"/>
          <w:w w:val="110"/>
        </w:rPr>
        <w:t> </w:t>
      </w:r>
      <w:r>
        <w:rPr>
          <w:color w:val="231F20"/>
          <w:w w:val="110"/>
        </w:rPr>
        <w:t>e</w:t>
      </w:r>
      <w:r>
        <w:rPr>
          <w:color w:val="231F20"/>
          <w:spacing w:val="-5"/>
          <w:w w:val="110"/>
        </w:rPr>
        <w:t> </w:t>
      </w:r>
      <w:r>
        <w:rPr>
          <w:color w:val="231F20"/>
          <w:w w:val="110"/>
        </w:rPr>
        <w:t>inestabilidad</w:t>
      </w:r>
      <w:r>
        <w:rPr>
          <w:color w:val="231F20"/>
          <w:spacing w:val="-5"/>
          <w:w w:val="110"/>
        </w:rPr>
        <w:t> </w:t>
      </w:r>
      <w:r>
        <w:rPr>
          <w:color w:val="231F20"/>
          <w:w w:val="110"/>
        </w:rPr>
        <w:t>social</w:t>
      </w:r>
      <w:r>
        <w:rPr>
          <w:color w:val="231F20"/>
          <w:spacing w:val="-5"/>
          <w:w w:val="110"/>
        </w:rPr>
        <w:t> </w:t>
      </w:r>
      <w:r>
        <w:rPr>
          <w:color w:val="231F20"/>
          <w:w w:val="110"/>
        </w:rPr>
        <w:t>que</w:t>
      </w:r>
      <w:r>
        <w:rPr>
          <w:color w:val="231F20"/>
          <w:spacing w:val="-5"/>
          <w:w w:val="110"/>
        </w:rPr>
        <w:t> </w:t>
      </w:r>
      <w:r>
        <w:rPr>
          <w:color w:val="231F20"/>
          <w:w w:val="110"/>
        </w:rPr>
        <w:t>genera</w:t>
      </w:r>
      <w:r>
        <w:rPr>
          <w:color w:val="231F20"/>
          <w:spacing w:val="-5"/>
          <w:w w:val="110"/>
        </w:rPr>
        <w:t> </w:t>
      </w:r>
      <w:r>
        <w:rPr>
          <w:color w:val="231F20"/>
          <w:w w:val="110"/>
        </w:rPr>
        <w:t>su condición migratoria (e indocumentada en no pocos casos), lo que parece</w:t>
      </w:r>
      <w:r>
        <w:rPr>
          <w:color w:val="231F20"/>
          <w:spacing w:val="-6"/>
          <w:w w:val="110"/>
        </w:rPr>
        <w:t> </w:t>
      </w:r>
      <w:r>
        <w:rPr>
          <w:color w:val="231F20"/>
          <w:w w:val="110"/>
        </w:rPr>
        <w:t>permitir</w:t>
      </w:r>
      <w:r>
        <w:rPr>
          <w:color w:val="231F20"/>
          <w:spacing w:val="-6"/>
          <w:w w:val="110"/>
        </w:rPr>
        <w:t> </w:t>
      </w:r>
      <w:r>
        <w:rPr>
          <w:color w:val="231F20"/>
          <w:w w:val="110"/>
        </w:rPr>
        <w:t>esta</w:t>
      </w:r>
      <w:r>
        <w:rPr>
          <w:color w:val="231F20"/>
          <w:spacing w:val="-6"/>
          <w:w w:val="110"/>
        </w:rPr>
        <w:t> </w:t>
      </w:r>
      <w:r>
        <w:rPr>
          <w:color w:val="231F20"/>
          <w:w w:val="110"/>
        </w:rPr>
        <w:t>mayor</w:t>
      </w:r>
      <w:r>
        <w:rPr>
          <w:color w:val="231F20"/>
          <w:spacing w:val="-6"/>
          <w:w w:val="110"/>
        </w:rPr>
        <w:t> </w:t>
      </w:r>
      <w:r>
        <w:rPr>
          <w:color w:val="231F20"/>
          <w:w w:val="110"/>
        </w:rPr>
        <w:t>explotación</w:t>
      </w:r>
      <w:r>
        <w:rPr>
          <w:color w:val="231F20"/>
          <w:spacing w:val="-6"/>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fuerza</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con base en la precarización de sus condiciones</w:t>
      </w:r>
      <w:r>
        <w:rPr>
          <w:color w:val="231F20"/>
          <w:spacing w:val="27"/>
          <w:w w:val="110"/>
        </w:rPr>
        <w:t> </w:t>
      </w:r>
      <w:r>
        <w:rPr>
          <w:color w:val="231F20"/>
          <w:w w:val="110"/>
        </w:rPr>
        <w:t>laborales.</w:t>
      </w:r>
    </w:p>
    <w:p>
      <w:pPr>
        <w:pStyle w:val="BodyText"/>
      </w:pPr>
    </w:p>
    <w:p>
      <w:pPr>
        <w:pStyle w:val="BodyText"/>
      </w:pPr>
    </w:p>
    <w:p>
      <w:pPr>
        <w:pStyle w:val="BodyText"/>
        <w:spacing w:before="2"/>
        <w:rPr>
          <w:sz w:val="25"/>
        </w:rPr>
      </w:pPr>
    </w:p>
    <w:p>
      <w:pPr>
        <w:pStyle w:val="BodyText"/>
        <w:ind w:left="100" w:right="25"/>
      </w:pPr>
      <w:r>
        <w:rPr>
          <w:color w:val="231F20"/>
          <w:w w:val="125"/>
        </w:rPr>
        <w:t>conclusiones</w:t>
      </w:r>
    </w:p>
    <w:p>
      <w:pPr>
        <w:pStyle w:val="BodyText"/>
        <w:spacing w:before="5"/>
        <w:rPr>
          <w:sz w:val="23"/>
        </w:rPr>
      </w:pPr>
    </w:p>
    <w:p>
      <w:pPr>
        <w:pStyle w:val="BodyText"/>
        <w:spacing w:line="261" w:lineRule="auto"/>
        <w:ind w:left="100" w:right="117"/>
        <w:jc w:val="right"/>
      </w:pPr>
      <w:r>
        <w:rPr>
          <w:color w:val="231F20"/>
          <w:w w:val="110"/>
        </w:rPr>
        <w:t>En este texto hemos querido demostrar que los impactos de</w:t>
      </w:r>
      <w:r>
        <w:rPr>
          <w:color w:val="231F20"/>
          <w:spacing w:val="38"/>
          <w:w w:val="110"/>
        </w:rPr>
        <w:t> </w:t>
      </w:r>
      <w:r>
        <w:rPr>
          <w:color w:val="231F20"/>
          <w:w w:val="110"/>
        </w:rPr>
        <w:t>la</w:t>
      </w:r>
      <w:r>
        <w:rPr>
          <w:color w:val="231F20"/>
          <w:spacing w:val="3"/>
          <w:w w:val="110"/>
        </w:rPr>
        <w:t> </w:t>
      </w:r>
      <w:r>
        <w:rPr>
          <w:color w:val="231F20"/>
          <w:w w:val="110"/>
        </w:rPr>
        <w:t>crisis</w:t>
      </w:r>
      <w:r>
        <w:rPr>
          <w:color w:val="231F20"/>
          <w:w w:val="101"/>
        </w:rPr>
        <w:t> </w:t>
      </w:r>
      <w:r>
        <w:rPr>
          <w:color w:val="231F20"/>
          <w:w w:val="110"/>
        </w:rPr>
        <w:t>sobre</w:t>
      </w:r>
      <w:r>
        <w:rPr>
          <w:color w:val="231F20"/>
          <w:spacing w:val="27"/>
          <w:w w:val="110"/>
        </w:rPr>
        <w:t> </w:t>
      </w:r>
      <w:r>
        <w:rPr>
          <w:color w:val="231F20"/>
          <w:w w:val="110"/>
        </w:rPr>
        <w:t>la</w:t>
      </w:r>
      <w:r>
        <w:rPr>
          <w:color w:val="231F20"/>
          <w:spacing w:val="27"/>
          <w:w w:val="110"/>
        </w:rPr>
        <w:t> </w:t>
      </w:r>
      <w:r>
        <w:rPr>
          <w:color w:val="231F20"/>
          <w:w w:val="110"/>
        </w:rPr>
        <w:t>condición</w:t>
      </w:r>
      <w:r>
        <w:rPr>
          <w:color w:val="231F20"/>
          <w:spacing w:val="27"/>
          <w:w w:val="110"/>
        </w:rPr>
        <w:t> </w:t>
      </w:r>
      <w:r>
        <w:rPr>
          <w:color w:val="231F20"/>
          <w:w w:val="110"/>
        </w:rPr>
        <w:t>de</w:t>
      </w:r>
      <w:r>
        <w:rPr>
          <w:color w:val="231F20"/>
          <w:spacing w:val="27"/>
          <w:w w:val="110"/>
        </w:rPr>
        <w:t> </w:t>
      </w:r>
      <w:r>
        <w:rPr>
          <w:color w:val="231F20"/>
          <w:w w:val="110"/>
        </w:rPr>
        <w:t>vida</w:t>
      </w:r>
      <w:r>
        <w:rPr>
          <w:color w:val="231F20"/>
          <w:spacing w:val="27"/>
          <w:w w:val="110"/>
        </w:rPr>
        <w:t> </w:t>
      </w:r>
      <w:r>
        <w:rPr>
          <w:color w:val="231F20"/>
          <w:w w:val="110"/>
        </w:rPr>
        <w:t>y</w:t>
      </w:r>
      <w:r>
        <w:rPr>
          <w:color w:val="231F20"/>
          <w:spacing w:val="27"/>
          <w:w w:val="110"/>
        </w:rPr>
        <w:t> </w:t>
      </w:r>
      <w:r>
        <w:rPr>
          <w:color w:val="231F20"/>
          <w:w w:val="110"/>
        </w:rPr>
        <w:t>trabajo</w:t>
      </w:r>
      <w:r>
        <w:rPr>
          <w:color w:val="231F20"/>
          <w:spacing w:val="27"/>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inmigrantes,</w:t>
      </w:r>
      <w:r>
        <w:rPr>
          <w:color w:val="231F20"/>
          <w:spacing w:val="27"/>
          <w:w w:val="110"/>
        </w:rPr>
        <w:t> </w:t>
      </w:r>
      <w:r>
        <w:rPr>
          <w:color w:val="231F20"/>
          <w:w w:val="110"/>
        </w:rPr>
        <w:t>se</w:t>
      </w:r>
      <w:r>
        <w:rPr>
          <w:color w:val="231F20"/>
          <w:spacing w:val="27"/>
          <w:w w:val="110"/>
        </w:rPr>
        <w:t> </w:t>
      </w:r>
      <w:r>
        <w:rPr>
          <w:color w:val="231F20"/>
          <w:w w:val="110"/>
        </w:rPr>
        <w:t>tienen</w:t>
      </w:r>
      <w:r>
        <w:rPr>
          <w:color w:val="231F20"/>
          <w:w w:val="114"/>
        </w:rPr>
        <w:t> </w:t>
      </w:r>
      <w:r>
        <w:rPr>
          <w:color w:val="231F20"/>
          <w:w w:val="110"/>
        </w:rPr>
        <w:t>que analizar considerando no sólo su condición</w:t>
      </w:r>
      <w:r>
        <w:rPr>
          <w:color w:val="231F20"/>
          <w:spacing w:val="49"/>
          <w:w w:val="110"/>
        </w:rPr>
        <w:t> </w:t>
      </w:r>
      <w:r>
        <w:rPr>
          <w:color w:val="231F20"/>
          <w:w w:val="110"/>
        </w:rPr>
        <w:t>de</w:t>
      </w:r>
      <w:r>
        <w:rPr>
          <w:color w:val="231F20"/>
          <w:spacing w:val="30"/>
          <w:w w:val="110"/>
        </w:rPr>
        <w:t> </w:t>
      </w:r>
      <w:r>
        <w:rPr>
          <w:color w:val="231F20"/>
          <w:w w:val="110"/>
        </w:rPr>
        <w:t>vulnerabilidad</w:t>
      </w:r>
      <w:r>
        <w:rPr>
          <w:color w:val="231F20"/>
          <w:w w:val="109"/>
        </w:rPr>
        <w:t> </w:t>
      </w:r>
      <w:r>
        <w:rPr>
          <w:color w:val="231F20"/>
          <w:w w:val="110"/>
        </w:rPr>
        <w:t>social y precariedad laboral, sino también, su papel</w:t>
      </w:r>
      <w:r>
        <w:rPr>
          <w:color w:val="231F20"/>
          <w:spacing w:val="44"/>
          <w:w w:val="110"/>
        </w:rPr>
        <w:t> </w:t>
      </w:r>
      <w:r>
        <w:rPr>
          <w:color w:val="231F20"/>
          <w:w w:val="110"/>
        </w:rPr>
        <w:t>e</w:t>
      </w:r>
      <w:r>
        <w:rPr>
          <w:color w:val="231F20"/>
          <w:spacing w:val="26"/>
          <w:w w:val="110"/>
        </w:rPr>
        <w:t> </w:t>
      </w:r>
      <w:r>
        <w:rPr>
          <w:color w:val="231F20"/>
          <w:w w:val="110"/>
        </w:rPr>
        <w:t>importancia</w:t>
      </w:r>
      <w:r>
        <w:rPr>
          <w:color w:val="231F20"/>
          <w:w w:val="110"/>
        </w:rPr>
        <w:t> </w:t>
      </w:r>
      <w:r>
        <w:rPr>
          <w:color w:val="231F20"/>
          <w:w w:val="110"/>
        </w:rPr>
        <w:t>en diversos ámbitos de la economía, de la demografía, así</w:t>
      </w:r>
      <w:r>
        <w:rPr>
          <w:color w:val="231F20"/>
          <w:spacing w:val="46"/>
          <w:w w:val="110"/>
        </w:rPr>
        <w:t> </w:t>
      </w:r>
      <w:r>
        <w:rPr>
          <w:color w:val="231F20"/>
          <w:w w:val="110"/>
        </w:rPr>
        <w:t>como</w:t>
      </w:r>
      <w:r>
        <w:rPr>
          <w:color w:val="231F20"/>
          <w:spacing w:val="10"/>
          <w:w w:val="110"/>
        </w:rPr>
        <w:t> </w:t>
      </w:r>
      <w:r>
        <w:rPr>
          <w:color w:val="231F20"/>
          <w:w w:val="110"/>
        </w:rPr>
        <w:t>en</w:t>
      </w:r>
      <w:r>
        <w:rPr>
          <w:color w:val="231F20"/>
          <w:w w:val="116"/>
        </w:rPr>
        <w:t> </w:t>
      </w:r>
      <w:r>
        <w:rPr>
          <w:color w:val="231F20"/>
          <w:w w:val="110"/>
        </w:rPr>
        <w:t>la reproducción social de la población en las sociedades</w:t>
      </w:r>
      <w:r>
        <w:rPr>
          <w:color w:val="231F20"/>
          <w:spacing w:val="10"/>
          <w:w w:val="110"/>
        </w:rPr>
        <w:t> </w:t>
      </w:r>
      <w:r>
        <w:rPr>
          <w:color w:val="231F20"/>
          <w:w w:val="110"/>
        </w:rPr>
        <w:t>de</w:t>
      </w:r>
      <w:r>
        <w:rPr>
          <w:color w:val="231F20"/>
          <w:spacing w:val="7"/>
          <w:w w:val="110"/>
        </w:rPr>
        <w:t> </w:t>
      </w:r>
      <w:r>
        <w:rPr>
          <w:color w:val="231F20"/>
          <w:w w:val="110"/>
        </w:rPr>
        <w:t>destino.</w:t>
      </w:r>
      <w:r>
        <w:rPr>
          <w:color w:val="231F20"/>
          <w:w w:val="110"/>
        </w:rPr>
        <w:t> </w:t>
      </w:r>
      <w:r>
        <w:rPr>
          <w:color w:val="231F20"/>
          <w:w w:val="110"/>
        </w:rPr>
        <w:t>Al</w:t>
      </w:r>
      <w:r>
        <w:rPr>
          <w:color w:val="231F20"/>
          <w:spacing w:val="34"/>
          <w:w w:val="110"/>
        </w:rPr>
        <w:t> </w:t>
      </w:r>
      <w:r>
        <w:rPr>
          <w:color w:val="231F20"/>
          <w:w w:val="110"/>
        </w:rPr>
        <w:t>respecto,</w:t>
      </w:r>
      <w:r>
        <w:rPr>
          <w:color w:val="231F20"/>
          <w:spacing w:val="34"/>
          <w:w w:val="110"/>
        </w:rPr>
        <w:t> </w:t>
      </w:r>
      <w:r>
        <w:rPr>
          <w:color w:val="231F20"/>
          <w:w w:val="110"/>
        </w:rPr>
        <w:t>el</w:t>
      </w:r>
      <w:r>
        <w:rPr>
          <w:color w:val="231F20"/>
          <w:spacing w:val="34"/>
          <w:w w:val="110"/>
        </w:rPr>
        <w:t> </w:t>
      </w:r>
      <w:r>
        <w:rPr>
          <w:color w:val="231F20"/>
          <w:w w:val="110"/>
        </w:rPr>
        <w:t>enfoque</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reproducción,</w:t>
      </w:r>
      <w:r>
        <w:rPr>
          <w:color w:val="231F20"/>
          <w:spacing w:val="34"/>
          <w:w w:val="110"/>
        </w:rPr>
        <w:t> </w:t>
      </w:r>
      <w:r>
        <w:rPr>
          <w:color w:val="231F20"/>
          <w:w w:val="110"/>
        </w:rPr>
        <w:t>nos</w:t>
      </w:r>
      <w:r>
        <w:rPr>
          <w:color w:val="231F20"/>
          <w:spacing w:val="34"/>
          <w:w w:val="110"/>
        </w:rPr>
        <w:t> </w:t>
      </w:r>
      <w:r>
        <w:rPr>
          <w:color w:val="231F20"/>
          <w:w w:val="110"/>
        </w:rPr>
        <w:t>permite</w:t>
      </w:r>
      <w:r>
        <w:rPr>
          <w:color w:val="231F20"/>
          <w:spacing w:val="34"/>
          <w:w w:val="110"/>
        </w:rPr>
        <w:t> </w:t>
      </w:r>
      <w:r>
        <w:rPr>
          <w:color w:val="231F20"/>
          <w:w w:val="110"/>
        </w:rPr>
        <w:t>preci-</w:t>
      </w:r>
      <w:r>
        <w:rPr>
          <w:color w:val="231F20"/>
          <w:w w:val="72"/>
        </w:rPr>
        <w:t> </w:t>
      </w:r>
      <w:r>
        <w:rPr>
          <w:color w:val="231F20"/>
          <w:w w:val="110"/>
        </w:rPr>
        <w:t>samente,</w:t>
      </w:r>
      <w:r>
        <w:rPr>
          <w:color w:val="231F20"/>
          <w:spacing w:val="29"/>
          <w:w w:val="110"/>
        </w:rPr>
        <w:t> </w:t>
      </w:r>
      <w:r>
        <w:rPr>
          <w:color w:val="231F20"/>
          <w:w w:val="110"/>
        </w:rPr>
        <w:t>indagar</w:t>
      </w:r>
      <w:r>
        <w:rPr>
          <w:color w:val="231F20"/>
          <w:spacing w:val="29"/>
          <w:w w:val="110"/>
        </w:rPr>
        <w:t> </w:t>
      </w:r>
      <w:r>
        <w:rPr>
          <w:color w:val="231F20"/>
          <w:w w:val="110"/>
        </w:rPr>
        <w:t>sobre</w:t>
      </w:r>
      <w:r>
        <w:rPr>
          <w:color w:val="231F20"/>
          <w:spacing w:val="29"/>
          <w:w w:val="110"/>
        </w:rPr>
        <w:t> </w:t>
      </w:r>
      <w:r>
        <w:rPr>
          <w:color w:val="231F20"/>
          <w:w w:val="110"/>
        </w:rPr>
        <w:t>los</w:t>
      </w:r>
      <w:r>
        <w:rPr>
          <w:color w:val="231F20"/>
          <w:spacing w:val="29"/>
          <w:w w:val="110"/>
        </w:rPr>
        <w:t> </w:t>
      </w:r>
      <w:r>
        <w:rPr>
          <w:color w:val="231F20"/>
          <w:w w:val="110"/>
        </w:rPr>
        <w:t>niveles</w:t>
      </w:r>
      <w:r>
        <w:rPr>
          <w:color w:val="231F20"/>
          <w:spacing w:val="29"/>
          <w:w w:val="110"/>
        </w:rPr>
        <w:t> </w:t>
      </w:r>
      <w:r>
        <w:rPr>
          <w:color w:val="231F20"/>
          <w:w w:val="110"/>
        </w:rPr>
        <w:t>de</w:t>
      </w:r>
      <w:r>
        <w:rPr>
          <w:color w:val="231F20"/>
          <w:spacing w:val="29"/>
          <w:w w:val="110"/>
        </w:rPr>
        <w:t> </w:t>
      </w:r>
      <w:r>
        <w:rPr>
          <w:color w:val="231F20"/>
          <w:w w:val="110"/>
        </w:rPr>
        <w:t>dependencia</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w w:val="110"/>
        </w:rPr>
        <w:t>sociedad</w:t>
      </w:r>
      <w:r>
        <w:rPr>
          <w:color w:val="231F20"/>
          <w:w w:val="108"/>
        </w:rPr>
        <w:t> </w:t>
      </w:r>
      <w:r>
        <w:rPr>
          <w:color w:val="231F20"/>
          <w:w w:val="110"/>
        </w:rPr>
        <w:t>estadunidense respecto a la inmigración latinoamericana (y</w:t>
      </w:r>
      <w:r>
        <w:rPr>
          <w:color w:val="231F20"/>
          <w:spacing w:val="-14"/>
          <w:w w:val="110"/>
        </w:rPr>
        <w:t> </w:t>
      </w:r>
      <w:r>
        <w:rPr>
          <w:color w:val="231F20"/>
          <w:w w:val="110"/>
        </w:rPr>
        <w:t>en</w:t>
      </w:r>
      <w:r>
        <w:rPr>
          <w:color w:val="231F20"/>
          <w:spacing w:val="-2"/>
          <w:w w:val="110"/>
        </w:rPr>
        <w:t> </w:t>
      </w:r>
      <w:r>
        <w:rPr>
          <w:color w:val="231F20"/>
          <w:w w:val="110"/>
        </w:rPr>
        <w:t>gene-</w:t>
      </w:r>
      <w:r>
        <w:rPr>
          <w:color w:val="231F20"/>
          <w:w w:val="72"/>
        </w:rPr>
        <w:t> </w:t>
      </w:r>
      <w:r>
        <w:rPr>
          <w:color w:val="231F20"/>
          <w:w w:val="110"/>
        </w:rPr>
        <w:t>ral, de la proveniente de los países del tercer mundo).</w:t>
      </w:r>
      <w:r>
        <w:rPr>
          <w:color w:val="231F20"/>
          <w:spacing w:val="10"/>
          <w:w w:val="110"/>
        </w:rPr>
        <w:t> </w:t>
      </w:r>
      <w:r>
        <w:rPr>
          <w:color w:val="231F20"/>
          <w:w w:val="110"/>
        </w:rPr>
        <w:t>En</w:t>
      </w:r>
      <w:r>
        <w:rPr>
          <w:color w:val="231F20"/>
          <w:spacing w:val="12"/>
          <w:w w:val="110"/>
        </w:rPr>
        <w:t> </w:t>
      </w:r>
      <w:r>
        <w:rPr>
          <w:color w:val="231F20"/>
          <w:w w:val="110"/>
        </w:rPr>
        <w:t>concreto,</w:t>
      </w:r>
      <w:r>
        <w:rPr>
          <w:color w:val="231F20"/>
          <w:w w:val="111"/>
        </w:rPr>
        <w:t> </w:t>
      </w:r>
      <w:r>
        <w:rPr>
          <w:color w:val="231F20"/>
          <w:w w:val="110"/>
        </w:rPr>
        <w:t>hemos demostrado que los inmigrantes latinoamericanos</w:t>
      </w:r>
      <w:r>
        <w:rPr>
          <w:color w:val="231F20"/>
          <w:spacing w:val="13"/>
          <w:w w:val="110"/>
        </w:rPr>
        <w:t> </w:t>
      </w:r>
      <w:r>
        <w:rPr>
          <w:color w:val="231F20"/>
          <w:w w:val="110"/>
        </w:rPr>
        <w:t>aportan</w:t>
      </w:r>
      <w:r>
        <w:rPr>
          <w:color w:val="231F20"/>
          <w:spacing w:val="2"/>
          <w:w w:val="110"/>
        </w:rPr>
        <w:t> </w:t>
      </w:r>
      <w:r>
        <w:rPr>
          <w:color w:val="231F20"/>
          <w:w w:val="110"/>
        </w:rPr>
        <w:t>no</w:t>
      </w:r>
      <w:r>
        <w:rPr>
          <w:color w:val="231F20"/>
          <w:w w:val="116"/>
        </w:rPr>
        <w:t> </w:t>
      </w:r>
      <w:r>
        <w:rPr>
          <w:color w:val="231F20"/>
          <w:w w:val="110"/>
        </w:rPr>
        <w:t>sólo</w:t>
      </w:r>
      <w:r>
        <w:rPr>
          <w:color w:val="231F20"/>
          <w:spacing w:val="-15"/>
          <w:w w:val="110"/>
        </w:rPr>
        <w:t> </w:t>
      </w:r>
      <w:r>
        <w:rPr>
          <w:color w:val="231F20"/>
          <w:w w:val="110"/>
        </w:rPr>
        <w:t>fuerza</w:t>
      </w:r>
      <w:r>
        <w:rPr>
          <w:color w:val="231F20"/>
          <w:spacing w:val="-15"/>
          <w:w w:val="110"/>
        </w:rPr>
        <w:t> </w:t>
      </w:r>
      <w:r>
        <w:rPr>
          <w:color w:val="231F20"/>
          <w:w w:val="110"/>
        </w:rPr>
        <w:t>de</w:t>
      </w:r>
      <w:r>
        <w:rPr>
          <w:color w:val="231F20"/>
          <w:spacing w:val="-15"/>
          <w:w w:val="110"/>
        </w:rPr>
        <w:t> </w:t>
      </w:r>
      <w:r>
        <w:rPr>
          <w:color w:val="231F20"/>
          <w:w w:val="110"/>
        </w:rPr>
        <w:t>trabajo</w:t>
      </w:r>
      <w:r>
        <w:rPr>
          <w:color w:val="231F20"/>
          <w:spacing w:val="-15"/>
          <w:w w:val="110"/>
        </w:rPr>
        <w:t> </w:t>
      </w:r>
      <w:r>
        <w:rPr>
          <w:color w:val="231F20"/>
          <w:w w:val="110"/>
        </w:rPr>
        <w:t>en</w:t>
      </w:r>
      <w:r>
        <w:rPr>
          <w:color w:val="231F20"/>
          <w:spacing w:val="-15"/>
          <w:w w:val="110"/>
        </w:rPr>
        <w:t> </w:t>
      </w:r>
      <w:r>
        <w:rPr>
          <w:color w:val="231F20"/>
          <w:w w:val="110"/>
        </w:rPr>
        <w:t>general,</w:t>
      </w:r>
      <w:r>
        <w:rPr>
          <w:color w:val="231F20"/>
          <w:spacing w:val="-15"/>
          <w:w w:val="110"/>
        </w:rPr>
        <w:t> </w:t>
      </w:r>
      <w:r>
        <w:rPr>
          <w:color w:val="231F20"/>
          <w:w w:val="110"/>
        </w:rPr>
        <w:t>misma</w:t>
      </w:r>
      <w:r>
        <w:rPr>
          <w:color w:val="231F20"/>
          <w:spacing w:val="-15"/>
          <w:w w:val="110"/>
        </w:rPr>
        <w:t> </w:t>
      </w:r>
      <w:r>
        <w:rPr>
          <w:color w:val="231F20"/>
          <w:w w:val="110"/>
        </w:rPr>
        <w:t>que</w:t>
      </w:r>
      <w:r>
        <w:rPr>
          <w:color w:val="231F20"/>
          <w:spacing w:val="-15"/>
          <w:w w:val="110"/>
        </w:rPr>
        <w:t> </w:t>
      </w:r>
      <w:r>
        <w:rPr>
          <w:color w:val="231F20"/>
          <w:w w:val="110"/>
        </w:rPr>
        <w:t>permite</w:t>
      </w:r>
      <w:r>
        <w:rPr>
          <w:color w:val="231F20"/>
          <w:spacing w:val="-15"/>
          <w:w w:val="110"/>
        </w:rPr>
        <w:t> </w:t>
      </w:r>
      <w:r>
        <w:rPr>
          <w:color w:val="231F20"/>
          <w:w w:val="110"/>
        </w:rPr>
        <w:t>llenar</w:t>
      </w:r>
      <w:r>
        <w:rPr>
          <w:color w:val="231F20"/>
          <w:spacing w:val="-15"/>
          <w:w w:val="110"/>
        </w:rPr>
        <w:t> </w:t>
      </w:r>
      <w:r>
        <w:rPr>
          <w:color w:val="231F20"/>
          <w:w w:val="110"/>
        </w:rPr>
        <w:t>los</w:t>
      </w:r>
      <w:r>
        <w:rPr>
          <w:color w:val="231F20"/>
          <w:spacing w:val="-15"/>
          <w:w w:val="110"/>
        </w:rPr>
        <w:t> </w:t>
      </w:r>
      <w:r>
        <w:rPr>
          <w:color w:val="231F20"/>
          <w:w w:val="110"/>
        </w:rPr>
        <w:t>vacíos</w:t>
      </w:r>
      <w:r>
        <w:rPr>
          <w:color w:val="231F20"/>
          <w:w w:val="100"/>
        </w:rPr>
        <w:t> </w:t>
      </w:r>
      <w:r>
        <w:rPr>
          <w:color w:val="231F20"/>
          <w:w w:val="110"/>
        </w:rPr>
        <w:t>demográficos</w:t>
      </w:r>
      <w:r>
        <w:rPr>
          <w:color w:val="231F20"/>
          <w:spacing w:val="-9"/>
          <w:w w:val="110"/>
        </w:rPr>
        <w:t> </w:t>
      </w:r>
      <w:r>
        <w:rPr>
          <w:color w:val="231F20"/>
          <w:w w:val="110"/>
        </w:rPr>
        <w:t>que</w:t>
      </w:r>
      <w:r>
        <w:rPr>
          <w:color w:val="231F20"/>
          <w:spacing w:val="-9"/>
          <w:w w:val="110"/>
        </w:rPr>
        <w:t> </w:t>
      </w:r>
      <w:r>
        <w:rPr>
          <w:color w:val="231F20"/>
          <w:w w:val="110"/>
        </w:rPr>
        <w:t>deja</w:t>
      </w:r>
      <w:r>
        <w:rPr>
          <w:color w:val="231F20"/>
          <w:spacing w:val="-9"/>
          <w:w w:val="110"/>
        </w:rPr>
        <w:t> </w:t>
      </w:r>
      <w:r>
        <w:rPr>
          <w:color w:val="231F20"/>
          <w:w w:val="110"/>
        </w:rPr>
        <w:t>el</w:t>
      </w:r>
      <w:r>
        <w:rPr>
          <w:color w:val="231F20"/>
          <w:spacing w:val="-9"/>
          <w:w w:val="110"/>
        </w:rPr>
        <w:t> </w:t>
      </w:r>
      <w:r>
        <w:rPr>
          <w:color w:val="231F20"/>
          <w:w w:val="110"/>
        </w:rPr>
        <w:t>envejecimiento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9"/>
          <w:w w:val="110"/>
        </w:rPr>
        <w:t> </w:t>
      </w:r>
      <w:r>
        <w:rPr>
          <w:color w:val="231F20"/>
          <w:w w:val="110"/>
        </w:rPr>
        <w:t>nativa,</w:t>
      </w:r>
      <w:r>
        <w:rPr>
          <w:color w:val="231F20"/>
          <w:spacing w:val="-9"/>
          <w:w w:val="110"/>
        </w:rPr>
        <w:t> </w:t>
      </w:r>
      <w:r>
        <w:rPr>
          <w:color w:val="231F20"/>
          <w:w w:val="110"/>
        </w:rPr>
        <w:t>sino</w:t>
      </w:r>
      <w:r>
        <w:rPr>
          <w:color w:val="231F20"/>
          <w:w w:val="107"/>
        </w:rPr>
        <w:t> </w:t>
      </w:r>
      <w:r>
        <w:rPr>
          <w:color w:val="231F20"/>
          <w:w w:val="110"/>
        </w:rPr>
        <w:t>particularmente, aportan la mano de obra necesaria para</w:t>
      </w:r>
      <w:r>
        <w:rPr>
          <w:color w:val="231F20"/>
          <w:spacing w:val="21"/>
          <w:w w:val="110"/>
        </w:rPr>
        <w:t> </w:t>
      </w:r>
      <w:r>
        <w:rPr>
          <w:color w:val="231F20"/>
          <w:w w:val="110"/>
        </w:rPr>
        <w:t>sustentar</w:t>
      </w:r>
      <w:r>
        <w:rPr>
          <w:color w:val="231F20"/>
          <w:spacing w:val="2"/>
          <w:w w:val="110"/>
        </w:rPr>
        <w:t> </w:t>
      </w:r>
      <w:r>
        <w:rPr>
          <w:color w:val="231F20"/>
          <w:w w:val="110"/>
        </w:rPr>
        <w:t>la</w:t>
      </w:r>
      <w:r>
        <w:rPr>
          <w:color w:val="231F20"/>
          <w:w w:val="105"/>
        </w:rPr>
        <w:t> </w:t>
      </w:r>
      <w:r>
        <w:rPr>
          <w:color w:val="231F20"/>
          <w:w w:val="110"/>
        </w:rPr>
        <w:t>reproducción</w:t>
      </w:r>
      <w:r>
        <w:rPr>
          <w:color w:val="231F20"/>
          <w:spacing w:val="-14"/>
          <w:w w:val="110"/>
        </w:rPr>
        <w:t> </w:t>
      </w:r>
      <w:r>
        <w:rPr>
          <w:color w:val="231F20"/>
          <w:w w:val="110"/>
        </w:rPr>
        <w:t>social</w:t>
      </w:r>
      <w:r>
        <w:rPr>
          <w:color w:val="231F20"/>
          <w:spacing w:val="-14"/>
          <w:w w:val="110"/>
        </w:rPr>
        <w:t> </w:t>
      </w:r>
      <w:r>
        <w:rPr>
          <w:color w:val="231F20"/>
          <w:w w:val="110"/>
        </w:rPr>
        <w:t>y</w:t>
      </w:r>
      <w:r>
        <w:rPr>
          <w:color w:val="231F20"/>
          <w:spacing w:val="-14"/>
          <w:w w:val="110"/>
        </w:rPr>
        <w:t> </w:t>
      </w:r>
      <w:r>
        <w:rPr>
          <w:color w:val="231F20"/>
          <w:w w:val="110"/>
        </w:rPr>
        <w:t>cotidiana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población</w:t>
      </w:r>
      <w:r>
        <w:rPr>
          <w:color w:val="231F20"/>
          <w:spacing w:val="-14"/>
          <w:w w:val="110"/>
        </w:rPr>
        <w:t> </w:t>
      </w:r>
      <w:r>
        <w:rPr>
          <w:color w:val="231F20"/>
          <w:w w:val="110"/>
        </w:rPr>
        <w:t>nativa,</w:t>
      </w:r>
      <w:r>
        <w:rPr>
          <w:color w:val="231F20"/>
          <w:spacing w:val="-14"/>
          <w:w w:val="110"/>
        </w:rPr>
        <w:t> </w:t>
      </w:r>
      <w:r>
        <w:rPr>
          <w:color w:val="231F20"/>
          <w:w w:val="110"/>
        </w:rPr>
        <w:t>especialmente</w:t>
      </w:r>
    </w:p>
    <w:p>
      <w:pPr>
        <w:pStyle w:val="BodyText"/>
        <w:ind w:left="100" w:right="25"/>
      </w:pPr>
      <w:r>
        <w:rPr>
          <w:color w:val="231F20"/>
          <w:w w:val="105"/>
        </w:rPr>
        <w:t>de estratos sociales medios y  altos.</w:t>
      </w:r>
    </w:p>
    <w:p>
      <w:pPr>
        <w:pStyle w:val="BodyText"/>
        <w:spacing w:line="261" w:lineRule="auto" w:before="20"/>
        <w:ind w:left="100" w:right="117" w:firstLine="240"/>
        <w:jc w:val="both"/>
      </w:pPr>
      <w:r>
        <w:rPr>
          <w:color w:val="231F20"/>
          <w:w w:val="105"/>
        </w:rPr>
        <w:t>La consolidación de una economía de la información, deriva en un incremento de las ocupaciones y actividades ubicadas en los extremos de la estratificación socio-ocupacional (Castells, 1998). Por un lado, resulta obvio la mayor demanda de trabajadores de alta calificación,   en la medida que son el sustento de esta nueva economía de la información,</w:t>
      </w:r>
      <w:r>
        <w:rPr>
          <w:color w:val="231F20"/>
          <w:spacing w:val="29"/>
          <w:w w:val="105"/>
        </w:rPr>
        <w:t> </w:t>
      </w:r>
      <w:r>
        <w:rPr>
          <w:color w:val="231F20"/>
          <w:w w:val="105"/>
        </w:rPr>
        <w:t>la</w:t>
      </w:r>
      <w:r>
        <w:rPr>
          <w:color w:val="231F20"/>
          <w:spacing w:val="29"/>
          <w:w w:val="105"/>
        </w:rPr>
        <w:t> </w:t>
      </w:r>
      <w:r>
        <w:rPr>
          <w:color w:val="231F20"/>
          <w:w w:val="105"/>
        </w:rPr>
        <w:t>cual</w:t>
      </w:r>
      <w:r>
        <w:rPr>
          <w:color w:val="231F20"/>
          <w:spacing w:val="29"/>
          <w:w w:val="105"/>
        </w:rPr>
        <w:t> </w:t>
      </w:r>
      <w:r>
        <w:rPr>
          <w:color w:val="231F20"/>
          <w:w w:val="105"/>
        </w:rPr>
        <w:t>se</w:t>
      </w:r>
      <w:r>
        <w:rPr>
          <w:color w:val="231F20"/>
          <w:spacing w:val="29"/>
          <w:w w:val="105"/>
        </w:rPr>
        <w:t> </w:t>
      </w:r>
      <w:r>
        <w:rPr>
          <w:color w:val="231F20"/>
          <w:w w:val="105"/>
        </w:rPr>
        <w:t>basa</w:t>
      </w:r>
      <w:r>
        <w:rPr>
          <w:color w:val="231F20"/>
          <w:spacing w:val="29"/>
          <w:w w:val="105"/>
        </w:rPr>
        <w:t> </w:t>
      </w:r>
      <w:r>
        <w:rPr>
          <w:color w:val="231F20"/>
          <w:w w:val="105"/>
        </w:rPr>
        <w:t>precisamente</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aplicación</w:t>
      </w:r>
      <w:r>
        <w:rPr>
          <w:color w:val="231F20"/>
          <w:spacing w:val="29"/>
          <w:w w:val="105"/>
        </w:rPr>
        <w:t> </w:t>
      </w:r>
      <w:r>
        <w:rPr>
          <w:color w:val="231F20"/>
          <w:w w:val="105"/>
        </w:rPr>
        <w:t>del</w:t>
      </w:r>
      <w:r>
        <w:rPr>
          <w:color w:val="231F20"/>
          <w:spacing w:val="29"/>
          <w:w w:val="105"/>
        </w:rPr>
        <w:t> </w:t>
      </w:r>
      <w:r>
        <w:rPr>
          <w:color w:val="231F20"/>
          <w:w w:val="105"/>
        </w:rPr>
        <w:t>cono-</w:t>
      </w:r>
    </w:p>
    <w:p>
      <w:pPr>
        <w:spacing w:after="0" w:line="261" w:lineRule="auto"/>
        <w:jc w:val="both"/>
        <w:sectPr>
          <w:headerReference w:type="even" r:id="rId238"/>
          <w:headerReference w:type="default" r:id="rId239"/>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05"/>
        </w:rPr>
        <w:t>cimiento y reflexividad en los procesos productivos más dinámicos (Lash y Urry,  1998).</w:t>
      </w:r>
    </w:p>
    <w:p>
      <w:pPr>
        <w:pStyle w:val="BodyText"/>
        <w:spacing w:line="261" w:lineRule="auto"/>
        <w:ind w:left="100" w:right="117" w:firstLine="240"/>
        <w:jc w:val="both"/>
      </w:pPr>
      <w:r>
        <w:rPr>
          <w:color w:val="231F20"/>
          <w:w w:val="110"/>
        </w:rPr>
        <w:t>Por otro lado, y como consecuencia de lo anterior, se da un in- cremento en la demanda de trabajadores de muy baja calificación que permitan sustentar la reproducción social y cotidiana de esos trabajadores altamente calificados. Se trata de una demanda</w:t>
      </w:r>
      <w:r>
        <w:rPr>
          <w:color w:val="231F20"/>
          <w:spacing w:val="-17"/>
          <w:w w:val="110"/>
        </w:rPr>
        <w:t> </w:t>
      </w:r>
      <w:r>
        <w:rPr>
          <w:color w:val="231F20"/>
          <w:w w:val="110"/>
        </w:rPr>
        <w:t>crecien- te de mano de obra para servicios personales, tales como, cuidado de personas mayores, de niños, servicio doméstico, preparación de alimentos, limpieza y mantenimiento, entre muchos</w:t>
      </w:r>
      <w:r>
        <w:rPr>
          <w:color w:val="231F20"/>
          <w:spacing w:val="52"/>
          <w:w w:val="110"/>
        </w:rPr>
        <w:t> </w:t>
      </w:r>
      <w:r>
        <w:rPr>
          <w:color w:val="231F20"/>
          <w:w w:val="110"/>
        </w:rPr>
        <w:t>otros.</w:t>
      </w:r>
    </w:p>
    <w:p>
      <w:pPr>
        <w:pStyle w:val="BodyText"/>
        <w:spacing w:line="261" w:lineRule="auto"/>
        <w:ind w:left="100" w:right="117" w:firstLine="240"/>
        <w:jc w:val="both"/>
      </w:pPr>
      <w:r>
        <w:rPr>
          <w:color w:val="231F20"/>
          <w:w w:val="105"/>
        </w:rPr>
        <w:t>A través de esta demanda de mano de obra, se sustenta no sólo la reproducción social  de  un  estrato  socio-ocupacional  (profesionales  y directivos que genera el mismo auge de la economía de la infor- mación), sino que a través de ello, posibilita la reproducción de una estructura de diferenciación social. De hecho, esta demanda de mano de obra no calificada, a la vez que contribuye a la consolidación de    un estilo de vida global y posmoderno (de los directivos, profesio- nales, etc.), contribuye también a su propia reproducción como tra- bajadores precarios y vulnerables, y como tales, restringidos a estilos de vida que están muy alejados del glamur de la globalización y la posmodernidad.</w:t>
      </w:r>
    </w:p>
    <w:p>
      <w:pPr>
        <w:pStyle w:val="BodyText"/>
        <w:spacing w:line="261" w:lineRule="auto"/>
        <w:ind w:left="100" w:right="117" w:firstLine="240"/>
        <w:jc w:val="both"/>
      </w:pP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sentido,</w:t>
      </w:r>
      <w:r>
        <w:rPr>
          <w:color w:val="231F20"/>
          <w:spacing w:val="-9"/>
          <w:w w:val="110"/>
        </w:rPr>
        <w:t> </w:t>
      </w:r>
      <w:r>
        <w:rPr>
          <w:color w:val="231F20"/>
          <w:w w:val="110"/>
        </w:rPr>
        <w:t>el</w:t>
      </w:r>
      <w:r>
        <w:rPr>
          <w:color w:val="231F20"/>
          <w:spacing w:val="-9"/>
          <w:w w:val="110"/>
        </w:rPr>
        <w:t> </w:t>
      </w:r>
      <w:r>
        <w:rPr>
          <w:color w:val="231F20"/>
          <w:w w:val="110"/>
        </w:rPr>
        <w:t>modelo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reproducción</w:t>
      </w:r>
      <w:r>
        <w:rPr>
          <w:color w:val="231F20"/>
          <w:spacing w:val="-9"/>
          <w:w w:val="110"/>
        </w:rPr>
        <w:t> </w:t>
      </w:r>
      <w:r>
        <w:rPr>
          <w:color w:val="231F20"/>
          <w:w w:val="110"/>
        </w:rPr>
        <w:t>nos</w:t>
      </w:r>
      <w:r>
        <w:rPr>
          <w:color w:val="231F20"/>
          <w:spacing w:val="-9"/>
          <w:w w:val="110"/>
        </w:rPr>
        <w:t> </w:t>
      </w:r>
      <w:r>
        <w:rPr>
          <w:color w:val="231F20"/>
          <w:w w:val="110"/>
        </w:rPr>
        <w:t>permite</w:t>
      </w:r>
      <w:r>
        <w:rPr>
          <w:color w:val="231F20"/>
          <w:spacing w:val="-9"/>
          <w:w w:val="110"/>
        </w:rPr>
        <w:t> </w:t>
      </w:r>
      <w:r>
        <w:rPr>
          <w:color w:val="231F20"/>
          <w:w w:val="110"/>
        </w:rPr>
        <w:t>precisa- mente, entender la forma en que la crisis impacta en las condiciones de vida y trabajo de la población migrante en Estados Unidos. En el caso concreto de los inmigrantes latinoamericanos, hemos mostrado que ellos no han sido particularmente afectados en términos de sus niveles de empleo y desempleo. Por el contrario, en relación con la cantidad de ocupados, estos inmigrantes incluso, han incrementado su participación en determinadas ocupaciones, que se corresponden precisamente con las tareas que sustentan la reproducción social y cotidiana de la población de estratos medios y</w:t>
      </w:r>
      <w:r>
        <w:rPr>
          <w:color w:val="231F20"/>
          <w:spacing w:val="32"/>
          <w:w w:val="110"/>
        </w:rPr>
        <w:t> </w:t>
      </w:r>
      <w:r>
        <w:rPr>
          <w:color w:val="231F20"/>
          <w:w w:val="110"/>
        </w:rPr>
        <w:t>altos.</w:t>
      </w:r>
    </w:p>
    <w:p>
      <w:pPr>
        <w:pStyle w:val="BodyText"/>
        <w:spacing w:line="261" w:lineRule="auto"/>
        <w:ind w:left="100" w:right="117" w:firstLine="240"/>
        <w:jc w:val="both"/>
      </w:pPr>
      <w:r>
        <w:rPr>
          <w:color w:val="231F20"/>
          <w:w w:val="110"/>
        </w:rPr>
        <w:t>Sin embargo, también hemos mostrado que la crisis sí ha afec- tado directamente y en forma particular, sus condiciones de vida y laborales, aumentando la proporción de ellos en situaciones de alta precariedad laboral, así como en situación de  pobreza.</w:t>
      </w:r>
    </w:p>
    <w:p>
      <w:pPr>
        <w:pStyle w:val="BodyText"/>
        <w:spacing w:line="261" w:lineRule="auto"/>
        <w:ind w:left="100" w:right="117" w:firstLine="240"/>
        <w:jc w:val="both"/>
      </w:pPr>
      <w:r>
        <w:rPr>
          <w:color w:val="231F20"/>
          <w:w w:val="110"/>
        </w:rPr>
        <w:t>El corolario de ello, parece claro y obvio. Dada la dependencia  de la sociedad estadunidense respecto a la provisión de mano de obra no calificada para asegurar la reproducción social y cotidiana de su población, y por lo tanto, de mantener un estilo de vida glo- bal</w:t>
      </w:r>
      <w:r>
        <w:rPr>
          <w:color w:val="231F20"/>
          <w:spacing w:val="29"/>
          <w:w w:val="110"/>
        </w:rPr>
        <w:t> </w:t>
      </w:r>
      <w:r>
        <w:rPr>
          <w:color w:val="231F20"/>
          <w:w w:val="110"/>
        </w:rPr>
        <w:t>y</w:t>
      </w:r>
      <w:r>
        <w:rPr>
          <w:color w:val="231F20"/>
          <w:spacing w:val="29"/>
          <w:w w:val="110"/>
        </w:rPr>
        <w:t> </w:t>
      </w:r>
      <w:r>
        <w:rPr>
          <w:color w:val="231F20"/>
          <w:w w:val="110"/>
        </w:rPr>
        <w:t>posmoderno,</w:t>
      </w:r>
      <w:r>
        <w:rPr>
          <w:color w:val="231F20"/>
          <w:spacing w:val="29"/>
          <w:w w:val="110"/>
        </w:rPr>
        <w:t> </w:t>
      </w:r>
      <w:r>
        <w:rPr>
          <w:color w:val="231F20"/>
          <w:w w:val="110"/>
        </w:rPr>
        <w:t>resulta</w:t>
      </w:r>
      <w:r>
        <w:rPr>
          <w:color w:val="231F20"/>
          <w:spacing w:val="29"/>
          <w:w w:val="110"/>
        </w:rPr>
        <w:t> </w:t>
      </w:r>
      <w:r>
        <w:rPr>
          <w:color w:val="231F20"/>
          <w:w w:val="110"/>
        </w:rPr>
        <w:t>lógico</w:t>
      </w:r>
      <w:r>
        <w:rPr>
          <w:color w:val="231F20"/>
          <w:spacing w:val="29"/>
          <w:w w:val="110"/>
        </w:rPr>
        <w:t> </w:t>
      </w:r>
      <w:r>
        <w:rPr>
          <w:color w:val="231F20"/>
          <w:w w:val="110"/>
        </w:rPr>
        <w:t>que</w:t>
      </w:r>
      <w:r>
        <w:rPr>
          <w:color w:val="231F20"/>
          <w:spacing w:val="29"/>
          <w:w w:val="110"/>
        </w:rPr>
        <w:t> </w:t>
      </w:r>
      <w:r>
        <w:rPr>
          <w:color w:val="231F20"/>
          <w:w w:val="110"/>
        </w:rPr>
        <w:t>quienes</w:t>
      </w:r>
      <w:r>
        <w:rPr>
          <w:color w:val="231F20"/>
          <w:spacing w:val="29"/>
          <w:w w:val="110"/>
        </w:rPr>
        <w:t> </w:t>
      </w:r>
      <w:r>
        <w:rPr>
          <w:color w:val="231F20"/>
          <w:w w:val="110"/>
        </w:rPr>
        <w:t>se</w:t>
      </w:r>
      <w:r>
        <w:rPr>
          <w:color w:val="231F20"/>
          <w:spacing w:val="29"/>
          <w:w w:val="110"/>
        </w:rPr>
        <w:t> </w:t>
      </w:r>
      <w:r>
        <w:rPr>
          <w:color w:val="231F20"/>
          <w:w w:val="110"/>
        </w:rPr>
        <w:t>emplean</w:t>
      </w:r>
      <w:r>
        <w:rPr>
          <w:color w:val="231F20"/>
          <w:spacing w:val="29"/>
          <w:w w:val="110"/>
        </w:rPr>
        <w:t> </w:t>
      </w:r>
      <w:r>
        <w:rPr>
          <w:color w:val="231F20"/>
          <w:w w:val="110"/>
        </w:rPr>
        <w:t>en</w:t>
      </w:r>
      <w:r>
        <w:rPr>
          <w:color w:val="231F20"/>
          <w:spacing w:val="29"/>
          <w:w w:val="110"/>
        </w:rPr>
        <w:t> </w:t>
      </w:r>
      <w:r>
        <w:rPr>
          <w:color w:val="231F20"/>
          <w:w w:val="110"/>
        </w:rPr>
        <w:t>esas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10"/>
        </w:rPr>
        <w:t>tareas (preferentemente inmigrantes latinoamericanos), tiendan a mantener su puesto de trabajo, pero a costa de una mayor inestabi- lidad y precariedad laboral. O lo que es lo mismo, que el costo de la reproducción social en situaciones de crisis económica, es en parte transferido a este sector de la fuerza de trabajo. De ese modo, los sectores medios y altos de la sociedad estadunidense pueden mante- ner un estilo de vida, aún en estos contextos de crisis, porque para ello pueden disponer de una mano de obra cuyas condiciones de vulnerabilidad social, les impide negociar en mejores términos las condiciones laborales de su actividad.</w:t>
      </w:r>
    </w:p>
    <w:p>
      <w:pPr>
        <w:pStyle w:val="BodyText"/>
        <w:spacing w:line="261" w:lineRule="auto"/>
        <w:ind w:left="100" w:right="117" w:firstLine="240"/>
        <w:jc w:val="both"/>
      </w:pPr>
      <w:r>
        <w:rPr>
          <w:color w:val="231F20"/>
          <w:w w:val="110"/>
        </w:rPr>
        <w:t>Esto permite explicar estos dos datos aparentemente contradicto- rios.</w:t>
      </w:r>
      <w:r>
        <w:rPr>
          <w:color w:val="231F20"/>
          <w:spacing w:val="-10"/>
          <w:w w:val="110"/>
        </w:rPr>
        <w:t> </w:t>
      </w:r>
      <w:r>
        <w:rPr>
          <w:color w:val="231F20"/>
          <w:w w:val="110"/>
        </w:rPr>
        <w:t>Por</w:t>
      </w:r>
      <w:r>
        <w:rPr>
          <w:color w:val="231F20"/>
          <w:spacing w:val="-10"/>
          <w:w w:val="110"/>
        </w:rPr>
        <w:t> </w:t>
      </w:r>
      <w:r>
        <w:rPr>
          <w:color w:val="231F20"/>
          <w:w w:val="110"/>
        </w:rPr>
        <w:t>un</w:t>
      </w:r>
      <w:r>
        <w:rPr>
          <w:color w:val="231F20"/>
          <w:spacing w:val="-10"/>
          <w:w w:val="110"/>
        </w:rPr>
        <w:t> </w:t>
      </w:r>
      <w:r>
        <w:rPr>
          <w:color w:val="231F20"/>
          <w:w w:val="110"/>
        </w:rPr>
        <w:t>lado,</w:t>
      </w:r>
      <w:r>
        <w:rPr>
          <w:color w:val="231F20"/>
          <w:spacing w:val="-10"/>
          <w:w w:val="110"/>
        </w:rPr>
        <w:t> </w:t>
      </w:r>
      <w:r>
        <w:rPr>
          <w:color w:val="231F20"/>
          <w:w w:val="110"/>
        </w:rPr>
        <w:t>la</w:t>
      </w:r>
      <w:r>
        <w:rPr>
          <w:color w:val="231F20"/>
          <w:spacing w:val="-10"/>
          <w:w w:val="110"/>
        </w:rPr>
        <w:t> </w:t>
      </w:r>
      <w:r>
        <w:rPr>
          <w:color w:val="231F20"/>
          <w:w w:val="110"/>
        </w:rPr>
        <w:t>mayor</w:t>
      </w:r>
      <w:r>
        <w:rPr>
          <w:color w:val="231F20"/>
          <w:spacing w:val="-10"/>
          <w:w w:val="110"/>
        </w:rPr>
        <w:t> </w:t>
      </w:r>
      <w:r>
        <w:rPr>
          <w:color w:val="231F20"/>
          <w:w w:val="110"/>
        </w:rPr>
        <w:t>precarización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condiciones</w:t>
      </w:r>
      <w:r>
        <w:rPr>
          <w:color w:val="231F20"/>
          <w:spacing w:val="-10"/>
          <w:w w:val="110"/>
        </w:rPr>
        <w:t> </w:t>
      </w:r>
      <w:r>
        <w:rPr>
          <w:color w:val="231F20"/>
          <w:w w:val="110"/>
        </w:rPr>
        <w:t>de</w:t>
      </w:r>
      <w:r>
        <w:rPr>
          <w:color w:val="231F20"/>
          <w:spacing w:val="-10"/>
          <w:w w:val="110"/>
        </w:rPr>
        <w:t> </w:t>
      </w:r>
      <w:r>
        <w:rPr>
          <w:color w:val="231F20"/>
          <w:w w:val="110"/>
        </w:rPr>
        <w:t>vida</w:t>
      </w:r>
      <w:r>
        <w:rPr>
          <w:color w:val="231F20"/>
          <w:spacing w:val="-10"/>
          <w:w w:val="110"/>
        </w:rPr>
        <w:t> </w:t>
      </w:r>
      <w:r>
        <w:rPr>
          <w:color w:val="231F20"/>
          <w:w w:val="110"/>
        </w:rPr>
        <w:t>y trabajo de la población migrante, pero por otro lado, la ausencia de un retorno masivo. No regresan porque aún en esas peores</w:t>
      </w:r>
      <w:r>
        <w:rPr>
          <w:color w:val="231F20"/>
          <w:spacing w:val="-22"/>
          <w:w w:val="110"/>
        </w:rPr>
        <w:t> </w:t>
      </w:r>
      <w:r>
        <w:rPr>
          <w:color w:val="231F20"/>
          <w:w w:val="110"/>
        </w:rPr>
        <w:t>condicio- nes, pueden mantener sus puestos de trabajo. Lo relevante, sin em- bargo, es que esto no hace sino ilustrar cómo en crisis económica,</w:t>
      </w:r>
      <w:r>
        <w:rPr>
          <w:color w:val="231F20"/>
          <w:spacing w:val="-12"/>
          <w:w w:val="110"/>
        </w:rPr>
        <w:t> </w:t>
      </w:r>
      <w:r>
        <w:rPr>
          <w:color w:val="231F20"/>
          <w:w w:val="110"/>
        </w:rPr>
        <w:t>la reproducción</w:t>
      </w:r>
      <w:r>
        <w:rPr>
          <w:color w:val="231F20"/>
          <w:spacing w:val="-16"/>
          <w:w w:val="110"/>
        </w:rPr>
        <w:t> </w:t>
      </w:r>
      <w:r>
        <w:rPr>
          <w:color w:val="231F20"/>
          <w:w w:val="110"/>
        </w:rPr>
        <w:t>social</w:t>
      </w:r>
      <w:r>
        <w:rPr>
          <w:color w:val="231F20"/>
          <w:spacing w:val="-16"/>
          <w:w w:val="110"/>
        </w:rPr>
        <w:t> </w:t>
      </w:r>
      <w:r>
        <w:rPr>
          <w:color w:val="231F20"/>
          <w:w w:val="110"/>
        </w:rPr>
        <w:t>y</w:t>
      </w:r>
      <w:r>
        <w:rPr>
          <w:color w:val="231F20"/>
          <w:spacing w:val="-16"/>
          <w:w w:val="110"/>
        </w:rPr>
        <w:t> </w:t>
      </w:r>
      <w:r>
        <w:rPr>
          <w:color w:val="231F20"/>
          <w:w w:val="110"/>
        </w:rPr>
        <w:t>mantenimiento</w:t>
      </w:r>
      <w:r>
        <w:rPr>
          <w:color w:val="231F20"/>
          <w:spacing w:val="-16"/>
          <w:w w:val="110"/>
        </w:rPr>
        <w:t> </w:t>
      </w:r>
      <w:r>
        <w:rPr>
          <w:color w:val="231F20"/>
          <w:w w:val="110"/>
        </w:rPr>
        <w:t>del</w:t>
      </w:r>
      <w:r>
        <w:rPr>
          <w:color w:val="231F20"/>
          <w:spacing w:val="-16"/>
          <w:w w:val="110"/>
        </w:rPr>
        <w:t> </w:t>
      </w:r>
      <w:r>
        <w:rPr>
          <w:color w:val="231F20"/>
          <w:w w:val="110"/>
        </w:rPr>
        <w:t>estilo</w:t>
      </w:r>
      <w:r>
        <w:rPr>
          <w:color w:val="231F20"/>
          <w:spacing w:val="-16"/>
          <w:w w:val="110"/>
        </w:rPr>
        <w:t> </w:t>
      </w:r>
      <w:r>
        <w:rPr>
          <w:color w:val="231F20"/>
          <w:w w:val="110"/>
        </w:rPr>
        <w:t>de</w:t>
      </w:r>
      <w:r>
        <w:rPr>
          <w:color w:val="231F20"/>
          <w:spacing w:val="-16"/>
          <w:w w:val="110"/>
        </w:rPr>
        <w:t> </w:t>
      </w:r>
      <w:r>
        <w:rPr>
          <w:color w:val="231F20"/>
          <w:w w:val="110"/>
        </w:rPr>
        <w:t>vida</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sectores medios y altos, se sustenta en una mayor explotación de aquellos</w:t>
      </w:r>
      <w:r>
        <w:rPr>
          <w:color w:val="231F20"/>
          <w:spacing w:val="-32"/>
          <w:w w:val="110"/>
        </w:rPr>
        <w:t> </w:t>
      </w:r>
      <w:r>
        <w:rPr>
          <w:color w:val="231F20"/>
          <w:w w:val="110"/>
        </w:rPr>
        <w:t>es- tratos de la fuerza de trabajo particularmente más vulnerables,</w:t>
      </w:r>
      <w:r>
        <w:rPr>
          <w:color w:val="231F20"/>
          <w:spacing w:val="-12"/>
          <w:w w:val="110"/>
        </w:rPr>
        <w:t> </w:t>
      </w:r>
      <w:r>
        <w:rPr>
          <w:color w:val="231F20"/>
          <w:w w:val="110"/>
        </w:rPr>
        <w:t>como lo son los inmigrantes en general, y latinoamericanos en </w:t>
      </w:r>
      <w:r>
        <w:rPr>
          <w:color w:val="231F20"/>
          <w:spacing w:val="5"/>
          <w:w w:val="110"/>
        </w:rPr>
        <w:t> </w:t>
      </w:r>
      <w:r>
        <w:rPr>
          <w:color w:val="231F20"/>
          <w:w w:val="110"/>
        </w:rPr>
        <w:t>particular.</w:t>
      </w:r>
    </w:p>
    <w:p>
      <w:pPr>
        <w:pStyle w:val="BodyText"/>
      </w:pPr>
    </w:p>
    <w:p>
      <w:pPr>
        <w:pStyle w:val="BodyText"/>
      </w:pPr>
    </w:p>
    <w:p>
      <w:pPr>
        <w:pStyle w:val="BodyText"/>
        <w:spacing w:before="2"/>
        <w:rPr>
          <w:sz w:val="25"/>
        </w:rPr>
      </w:pPr>
    </w:p>
    <w:p>
      <w:pPr>
        <w:pStyle w:val="BodyText"/>
        <w:ind w:left="100"/>
        <w:jc w:val="both"/>
      </w:pPr>
      <w:r>
        <w:rPr>
          <w:color w:val="231F20"/>
          <w:w w:val="125"/>
        </w:rPr>
        <w:t>bibliografía</w:t>
      </w:r>
    </w:p>
    <w:p>
      <w:pPr>
        <w:pStyle w:val="BodyText"/>
        <w:spacing w:before="5"/>
        <w:rPr>
          <w:sz w:val="22"/>
        </w:rPr>
      </w:pPr>
    </w:p>
    <w:p>
      <w:pPr>
        <w:spacing w:before="0"/>
        <w:ind w:left="100" w:right="0" w:firstLine="0"/>
        <w:jc w:val="both"/>
        <w:rPr>
          <w:sz w:val="18"/>
        </w:rPr>
      </w:pPr>
      <w:r>
        <w:rPr>
          <w:color w:val="231F20"/>
          <w:sz w:val="18"/>
        </w:rPr>
        <w:t>Beck,  Ulrich  y  Elisabeth  Beck-Gernshmein,  2002,  </w:t>
      </w:r>
      <w:r>
        <w:rPr>
          <w:i/>
          <w:color w:val="231F20"/>
          <w:sz w:val="18"/>
        </w:rPr>
        <w:t>Individualization</w:t>
      </w:r>
      <w:r>
        <w:rPr>
          <w:color w:val="231F20"/>
          <w:sz w:val="18"/>
        </w:rPr>
        <w:t>,   Londres,</w:t>
      </w:r>
    </w:p>
    <w:p>
      <w:pPr>
        <w:spacing w:before="13"/>
        <w:ind w:left="340" w:right="0" w:firstLine="0"/>
        <w:jc w:val="both"/>
        <w:rPr>
          <w:sz w:val="18"/>
        </w:rPr>
      </w:pPr>
      <w:r>
        <w:rPr>
          <w:color w:val="231F20"/>
          <w:w w:val="110"/>
          <w:sz w:val="18"/>
        </w:rPr>
        <w:t>sage Publications.</w:t>
      </w:r>
    </w:p>
    <w:p>
      <w:pPr>
        <w:spacing w:line="254" w:lineRule="auto" w:before="13"/>
        <w:ind w:left="340" w:right="117" w:hanging="240"/>
        <w:jc w:val="both"/>
        <w:rPr>
          <w:sz w:val="18"/>
        </w:rPr>
      </w:pPr>
      <w:r>
        <w:rPr>
          <w:color w:val="231F20"/>
          <w:sz w:val="18"/>
        </w:rPr>
        <w:t>Canales, Alejandro I., 2010, “Las profundas contribuciones de la migración latinoamericana a los Estados Unidos” en </w:t>
      </w:r>
      <w:r>
        <w:rPr>
          <w:i/>
          <w:color w:val="231F20"/>
          <w:spacing w:val="-3"/>
          <w:sz w:val="18"/>
        </w:rPr>
        <w:t>Taller </w:t>
      </w:r>
      <w:r>
        <w:rPr>
          <w:i/>
          <w:color w:val="231F20"/>
          <w:sz w:val="18"/>
        </w:rPr>
        <w:t>sobre el Fortalecimiento de las </w:t>
      </w:r>
      <w:r>
        <w:rPr>
          <w:i/>
          <w:color w:val="231F20"/>
          <w:sz w:val="18"/>
        </w:rPr>
        <w:t>Capacidades</w:t>
      </w:r>
      <w:r>
        <w:rPr>
          <w:i/>
          <w:color w:val="231F20"/>
          <w:spacing w:val="-20"/>
          <w:sz w:val="18"/>
        </w:rPr>
        <w:t> </w:t>
      </w:r>
      <w:r>
        <w:rPr>
          <w:i/>
          <w:color w:val="231F20"/>
          <w:sz w:val="18"/>
        </w:rPr>
        <w:t>Nacionales</w:t>
      </w:r>
      <w:r>
        <w:rPr>
          <w:i/>
          <w:color w:val="231F20"/>
          <w:spacing w:val="-20"/>
          <w:sz w:val="18"/>
        </w:rPr>
        <w:t> </w:t>
      </w:r>
      <w:r>
        <w:rPr>
          <w:i/>
          <w:color w:val="231F20"/>
          <w:sz w:val="18"/>
        </w:rPr>
        <w:t>para</w:t>
      </w:r>
      <w:r>
        <w:rPr>
          <w:i/>
          <w:color w:val="231F20"/>
          <w:spacing w:val="-20"/>
          <w:sz w:val="18"/>
        </w:rPr>
        <w:t> </w:t>
      </w:r>
      <w:r>
        <w:rPr>
          <w:i/>
          <w:color w:val="231F20"/>
          <w:sz w:val="18"/>
        </w:rPr>
        <w:t>la</w:t>
      </w:r>
      <w:r>
        <w:rPr>
          <w:i/>
          <w:color w:val="231F20"/>
          <w:spacing w:val="-20"/>
          <w:sz w:val="18"/>
        </w:rPr>
        <w:t> </w:t>
      </w:r>
      <w:r>
        <w:rPr>
          <w:i/>
          <w:color w:val="231F20"/>
          <w:sz w:val="18"/>
        </w:rPr>
        <w:t>Gestión</w:t>
      </w:r>
      <w:r>
        <w:rPr>
          <w:i/>
          <w:color w:val="231F20"/>
          <w:spacing w:val="-20"/>
          <w:sz w:val="18"/>
        </w:rPr>
        <w:t> </w:t>
      </w:r>
      <w:r>
        <w:rPr>
          <w:i/>
          <w:color w:val="231F20"/>
          <w:sz w:val="18"/>
        </w:rPr>
        <w:t>de</w:t>
      </w:r>
      <w:r>
        <w:rPr>
          <w:i/>
          <w:color w:val="231F20"/>
          <w:spacing w:val="-20"/>
          <w:sz w:val="18"/>
        </w:rPr>
        <w:t> </w:t>
      </w:r>
      <w:r>
        <w:rPr>
          <w:i/>
          <w:color w:val="231F20"/>
          <w:sz w:val="18"/>
        </w:rPr>
        <w:t>la</w:t>
      </w:r>
      <w:r>
        <w:rPr>
          <w:i/>
          <w:color w:val="231F20"/>
          <w:spacing w:val="-20"/>
          <w:sz w:val="18"/>
        </w:rPr>
        <w:t> </w:t>
      </w:r>
      <w:r>
        <w:rPr>
          <w:i/>
          <w:color w:val="231F20"/>
          <w:sz w:val="18"/>
        </w:rPr>
        <w:t>Migración</w:t>
      </w:r>
      <w:r>
        <w:rPr>
          <w:i/>
          <w:color w:val="231F20"/>
          <w:spacing w:val="-20"/>
          <w:sz w:val="18"/>
        </w:rPr>
        <w:t> </w:t>
      </w:r>
      <w:r>
        <w:rPr>
          <w:i/>
          <w:color w:val="231F20"/>
          <w:sz w:val="18"/>
        </w:rPr>
        <w:t>Internacional:</w:t>
      </w:r>
      <w:r>
        <w:rPr>
          <w:i/>
          <w:color w:val="231F20"/>
          <w:spacing w:val="-20"/>
          <w:sz w:val="18"/>
        </w:rPr>
        <w:t> </w:t>
      </w:r>
      <w:r>
        <w:rPr>
          <w:i/>
          <w:color w:val="231F20"/>
          <w:sz w:val="18"/>
        </w:rPr>
        <w:t>“Nuevas</w:t>
      </w:r>
      <w:r>
        <w:rPr>
          <w:i/>
          <w:color w:val="231F20"/>
          <w:w w:val="95"/>
          <w:sz w:val="18"/>
        </w:rPr>
        <w:t> </w:t>
      </w:r>
      <w:r>
        <w:rPr>
          <w:i/>
          <w:color w:val="231F20"/>
          <w:sz w:val="18"/>
        </w:rPr>
        <w:t>tendencias, nuevos asuntos, nuevos enfoques de cara al futuro”</w:t>
      </w:r>
      <w:r>
        <w:rPr>
          <w:color w:val="231F20"/>
          <w:sz w:val="18"/>
        </w:rPr>
        <w:t>, Santiago de Chile,  7  al  9  de  septiembre,  </w:t>
      </w:r>
      <w:r>
        <w:rPr>
          <w:color w:val="231F20"/>
          <w:w w:val="110"/>
          <w:sz w:val="18"/>
        </w:rPr>
        <w:t>cepal,  </w:t>
      </w:r>
      <w:r>
        <w:rPr>
          <w:color w:val="231F20"/>
          <w:sz w:val="18"/>
        </w:rPr>
        <w:t>documento  de  referencia    </w:t>
      </w:r>
      <w:r>
        <w:rPr>
          <w:color w:val="231F20"/>
          <w:spacing w:val="44"/>
          <w:sz w:val="18"/>
        </w:rPr>
        <w:t> </w:t>
      </w:r>
      <w:r>
        <w:rPr>
          <w:color w:val="231F20"/>
          <w:w w:val="110"/>
          <w:sz w:val="18"/>
        </w:rPr>
        <w:t>ddr/4,</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2009, “Migración internacional y desarrollo. Evidencias del aporte de</w:t>
      </w:r>
      <w:r>
        <w:rPr>
          <w:color w:val="231F20"/>
          <w:spacing w:val="47"/>
          <w:w w:val="105"/>
          <w:sz w:val="18"/>
        </w:rPr>
        <w:t> </w:t>
      </w:r>
      <w:r>
        <w:rPr>
          <w:color w:val="231F20"/>
          <w:w w:val="105"/>
          <w:sz w:val="18"/>
        </w:rPr>
        <w:t>los</w:t>
      </w:r>
      <w:r>
        <w:rPr>
          <w:color w:val="231F20"/>
          <w:spacing w:val="23"/>
          <w:w w:val="105"/>
          <w:sz w:val="18"/>
        </w:rPr>
        <w:t> </w:t>
      </w:r>
      <w:r>
        <w:rPr>
          <w:color w:val="231F20"/>
          <w:w w:val="105"/>
          <w:sz w:val="18"/>
        </w:rPr>
        <w:t>mexicanos</w:t>
      </w:r>
      <w:r>
        <w:rPr>
          <w:color w:val="231F20"/>
          <w:spacing w:val="23"/>
          <w:w w:val="105"/>
          <w:sz w:val="18"/>
        </w:rPr>
        <w:t> </w:t>
      </w:r>
      <w:r>
        <w:rPr>
          <w:color w:val="231F20"/>
          <w:w w:val="105"/>
          <w:sz w:val="18"/>
        </w:rPr>
        <w:t>a</w:t>
      </w:r>
      <w:r>
        <w:rPr>
          <w:color w:val="231F20"/>
          <w:spacing w:val="23"/>
          <w:w w:val="105"/>
          <w:sz w:val="18"/>
        </w:rPr>
        <w:t> </w:t>
      </w:r>
      <w:r>
        <w:rPr>
          <w:color w:val="231F20"/>
          <w:w w:val="105"/>
          <w:sz w:val="18"/>
        </w:rPr>
        <w:t>la</w:t>
      </w:r>
      <w:r>
        <w:rPr>
          <w:color w:val="231F20"/>
          <w:spacing w:val="23"/>
          <w:w w:val="105"/>
          <w:sz w:val="18"/>
        </w:rPr>
        <w:t> </w:t>
      </w:r>
      <w:r>
        <w:rPr>
          <w:color w:val="231F20"/>
          <w:w w:val="105"/>
          <w:sz w:val="18"/>
        </w:rPr>
        <w:t>economía</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Estados</w:t>
      </w:r>
      <w:r>
        <w:rPr>
          <w:color w:val="231F20"/>
          <w:spacing w:val="23"/>
          <w:w w:val="105"/>
          <w:sz w:val="18"/>
        </w:rPr>
        <w:t> </w:t>
      </w:r>
      <w:r>
        <w:rPr>
          <w:color w:val="231F20"/>
          <w:w w:val="105"/>
          <w:sz w:val="18"/>
        </w:rPr>
        <w:t>Unidos”</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Paula</w:t>
      </w:r>
      <w:r>
        <w:rPr>
          <w:color w:val="231F20"/>
          <w:spacing w:val="23"/>
          <w:w w:val="105"/>
          <w:sz w:val="18"/>
        </w:rPr>
        <w:t> </w:t>
      </w:r>
      <w:r>
        <w:rPr>
          <w:color w:val="231F20"/>
          <w:w w:val="105"/>
          <w:sz w:val="18"/>
        </w:rPr>
        <w:t>Leite</w:t>
      </w:r>
      <w:r>
        <w:rPr>
          <w:color w:val="231F20"/>
          <w:spacing w:val="23"/>
          <w:w w:val="105"/>
          <w:sz w:val="18"/>
        </w:rPr>
        <w:t> </w:t>
      </w:r>
      <w:r>
        <w:rPr>
          <w:color w:val="231F20"/>
          <w:w w:val="105"/>
          <w:sz w:val="18"/>
        </w:rPr>
        <w:t>y</w:t>
      </w:r>
      <w:r>
        <w:rPr>
          <w:color w:val="231F20"/>
          <w:spacing w:val="23"/>
          <w:w w:val="105"/>
          <w:sz w:val="18"/>
        </w:rPr>
        <w:t> </w:t>
      </w:r>
      <w:r>
        <w:rPr>
          <w:color w:val="231F20"/>
          <w:w w:val="105"/>
          <w:sz w:val="18"/>
        </w:rPr>
        <w:t>Silvia</w:t>
      </w:r>
    </w:p>
    <w:p>
      <w:pPr>
        <w:pStyle w:val="ListParagraph"/>
        <w:numPr>
          <w:ilvl w:val="0"/>
          <w:numId w:val="6"/>
        </w:numPr>
        <w:tabs>
          <w:tab w:pos="553" w:val="left" w:leader="none"/>
        </w:tabs>
        <w:spacing w:line="254" w:lineRule="auto" w:before="1" w:after="0"/>
        <w:ind w:left="340" w:right="117" w:firstLine="0"/>
        <w:jc w:val="both"/>
        <w:rPr>
          <w:sz w:val="18"/>
        </w:rPr>
      </w:pPr>
      <w:r>
        <w:rPr>
          <w:color w:val="231F20"/>
          <w:sz w:val="18"/>
        </w:rPr>
        <w:t>Giorguli (coords.), </w:t>
      </w:r>
      <w:r>
        <w:rPr>
          <w:i/>
          <w:color w:val="231F20"/>
          <w:sz w:val="18"/>
        </w:rPr>
        <w:t>El estado de la migración. Las políticas públicas ante los </w:t>
      </w:r>
      <w:r>
        <w:rPr>
          <w:i/>
          <w:color w:val="231F20"/>
          <w:sz w:val="18"/>
        </w:rPr>
        <w:t>retos de la migración mexicana a Estados Unidos</w:t>
      </w:r>
      <w:r>
        <w:rPr>
          <w:color w:val="231F20"/>
          <w:sz w:val="18"/>
        </w:rPr>
        <w:t>, México, Consejo Nacional de  </w:t>
      </w:r>
      <w:r>
        <w:rPr>
          <w:color w:val="231F20"/>
          <w:spacing w:val="14"/>
          <w:sz w:val="18"/>
        </w:rPr>
        <w:t> </w:t>
      </w:r>
      <w:r>
        <w:rPr>
          <w:color w:val="231F20"/>
          <w:sz w:val="18"/>
        </w:rPr>
        <w:t>Población.</w:t>
      </w:r>
    </w:p>
    <w:p>
      <w:pPr>
        <w:spacing w:line="254" w:lineRule="auto" w:before="1"/>
        <w:ind w:left="340" w:right="114" w:hanging="240"/>
        <w:jc w:val="both"/>
        <w:rPr>
          <w:i/>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 </w:t>
      </w:r>
      <w:r>
        <w:rPr>
          <w:color w:val="231F20"/>
          <w:spacing w:val="-16"/>
          <w:sz w:val="18"/>
        </w:rPr>
        <w:t> </w:t>
      </w:r>
      <w:r>
        <w:rPr>
          <w:color w:val="231F20"/>
          <w:w w:val="105"/>
          <w:sz w:val="18"/>
        </w:rPr>
        <w:t>e Israel Montiel Armas, 2010, “Migration, transnationalism and post- modernity. Keys to understand immigration in the United States” en</w:t>
      </w:r>
      <w:r>
        <w:rPr>
          <w:color w:val="231F20"/>
          <w:spacing w:val="47"/>
          <w:w w:val="105"/>
          <w:sz w:val="18"/>
        </w:rPr>
        <w:t> </w:t>
      </w:r>
      <w:r>
        <w:rPr>
          <w:color w:val="231F20"/>
          <w:w w:val="105"/>
          <w:sz w:val="18"/>
        </w:rPr>
        <w:t>Richard Dello Buono and David Fasenfest (eds.), </w:t>
      </w:r>
      <w:r>
        <w:rPr>
          <w:i/>
          <w:color w:val="231F20"/>
          <w:w w:val="105"/>
          <w:sz w:val="18"/>
        </w:rPr>
        <w:t>Social Change,</w:t>
      </w:r>
      <w:r>
        <w:rPr>
          <w:i/>
          <w:color w:val="231F20"/>
          <w:spacing w:val="-32"/>
          <w:w w:val="105"/>
          <w:sz w:val="18"/>
        </w:rPr>
        <w:t> </w:t>
      </w:r>
      <w:r>
        <w:rPr>
          <w:i/>
          <w:color w:val="231F20"/>
          <w:w w:val="105"/>
          <w:sz w:val="18"/>
        </w:rPr>
        <w:t>Resistance</w:t>
      </w:r>
    </w:p>
    <w:p>
      <w:pPr>
        <w:spacing w:after="0" w:line="254" w:lineRule="auto"/>
        <w:jc w:val="both"/>
        <w:rPr>
          <w:sz w:val="18"/>
        </w:rPr>
        <w:sectPr>
          <w:headerReference w:type="even" r:id="rId240"/>
          <w:headerReference w:type="default" r:id="rId241"/>
          <w:pgSz w:w="7640" w:h="11900"/>
          <w:pgMar w:header="672" w:footer="0" w:top="860" w:bottom="280" w:left="780" w:right="640"/>
          <w:pgNumType w:start="312"/>
        </w:sectPr>
      </w:pPr>
    </w:p>
    <w:p>
      <w:pPr>
        <w:pStyle w:val="BodyText"/>
        <w:spacing w:before="8"/>
        <w:rPr>
          <w:i/>
          <w:sz w:val="8"/>
        </w:rPr>
      </w:pPr>
    </w:p>
    <w:p>
      <w:pPr>
        <w:spacing w:line="254" w:lineRule="auto" w:before="71"/>
        <w:ind w:left="340" w:right="25" w:firstLine="0"/>
        <w:jc w:val="left"/>
        <w:rPr>
          <w:sz w:val="18"/>
        </w:rPr>
      </w:pPr>
      <w:r>
        <w:rPr>
          <w:i/>
          <w:color w:val="231F20"/>
          <w:w w:val="105"/>
          <w:sz w:val="18"/>
        </w:rPr>
        <w:t>and Social Practices</w:t>
      </w:r>
      <w:r>
        <w:rPr>
          <w:color w:val="231F20"/>
          <w:w w:val="105"/>
          <w:sz w:val="18"/>
        </w:rPr>
        <w:t>, Critical Sociology, Studies in Critical Social Sciences, vol. 19, pp. 173-188, Koninklijke Brill NV,  Leiden, The   Netherlands.</w:t>
      </w:r>
    </w:p>
    <w:p>
      <w:pPr>
        <w:spacing w:line="222" w:lineRule="exact" w:before="0"/>
        <w:ind w:left="100" w:right="25" w:firstLine="0"/>
        <w:jc w:val="left"/>
        <w:rPr>
          <w:i/>
          <w:sz w:val="18"/>
        </w:rPr>
      </w:pPr>
      <w:r>
        <w:rPr>
          <w:color w:val="231F20"/>
          <w:sz w:val="18"/>
        </w:rPr>
        <w:t>Castells,</w:t>
      </w:r>
      <w:r>
        <w:rPr>
          <w:color w:val="231F20"/>
          <w:spacing w:val="-13"/>
          <w:sz w:val="18"/>
        </w:rPr>
        <w:t> </w:t>
      </w:r>
      <w:r>
        <w:rPr>
          <w:color w:val="231F20"/>
          <w:sz w:val="18"/>
        </w:rPr>
        <w:t>Manuel,</w:t>
      </w:r>
      <w:r>
        <w:rPr>
          <w:color w:val="231F20"/>
          <w:spacing w:val="-13"/>
          <w:sz w:val="18"/>
        </w:rPr>
        <w:t> </w:t>
      </w:r>
      <w:r>
        <w:rPr>
          <w:color w:val="231F20"/>
          <w:sz w:val="18"/>
        </w:rPr>
        <w:t>1998,</w:t>
      </w:r>
      <w:r>
        <w:rPr>
          <w:color w:val="231F20"/>
          <w:spacing w:val="-13"/>
          <w:sz w:val="18"/>
        </w:rPr>
        <w:t> </w:t>
      </w:r>
      <w:r>
        <w:rPr>
          <w:i/>
          <w:color w:val="231F20"/>
          <w:sz w:val="18"/>
        </w:rPr>
        <w:t>La</w:t>
      </w:r>
      <w:r>
        <w:rPr>
          <w:i/>
          <w:color w:val="231F20"/>
          <w:spacing w:val="-13"/>
          <w:sz w:val="18"/>
        </w:rPr>
        <w:t> </w:t>
      </w:r>
      <w:r>
        <w:rPr>
          <w:i/>
          <w:color w:val="231F20"/>
          <w:sz w:val="18"/>
        </w:rPr>
        <w:t>era</w:t>
      </w:r>
      <w:r>
        <w:rPr>
          <w:i/>
          <w:color w:val="231F20"/>
          <w:spacing w:val="-13"/>
          <w:sz w:val="18"/>
        </w:rPr>
        <w:t> </w:t>
      </w:r>
      <w:r>
        <w:rPr>
          <w:i/>
          <w:color w:val="231F20"/>
          <w:sz w:val="18"/>
        </w:rPr>
        <w:t>de</w:t>
      </w:r>
      <w:r>
        <w:rPr>
          <w:i/>
          <w:color w:val="231F20"/>
          <w:spacing w:val="-13"/>
          <w:sz w:val="18"/>
        </w:rPr>
        <w:t> </w:t>
      </w:r>
      <w:r>
        <w:rPr>
          <w:i/>
          <w:color w:val="231F20"/>
          <w:sz w:val="18"/>
        </w:rPr>
        <w:t>la</w:t>
      </w:r>
      <w:r>
        <w:rPr>
          <w:i/>
          <w:color w:val="231F20"/>
          <w:spacing w:val="-13"/>
          <w:sz w:val="18"/>
        </w:rPr>
        <w:t> </w:t>
      </w:r>
      <w:r>
        <w:rPr>
          <w:i/>
          <w:color w:val="231F20"/>
          <w:sz w:val="18"/>
        </w:rPr>
        <w:t>información.</w:t>
      </w:r>
      <w:r>
        <w:rPr>
          <w:i/>
          <w:color w:val="231F20"/>
          <w:spacing w:val="-13"/>
          <w:sz w:val="18"/>
        </w:rPr>
        <w:t> </w:t>
      </w:r>
      <w:r>
        <w:rPr>
          <w:i/>
          <w:color w:val="231F20"/>
          <w:sz w:val="18"/>
        </w:rPr>
        <w:t>Economía,</w:t>
      </w:r>
      <w:r>
        <w:rPr>
          <w:i/>
          <w:color w:val="231F20"/>
          <w:spacing w:val="-13"/>
          <w:sz w:val="18"/>
        </w:rPr>
        <w:t> </w:t>
      </w:r>
      <w:r>
        <w:rPr>
          <w:i/>
          <w:color w:val="231F20"/>
          <w:sz w:val="18"/>
        </w:rPr>
        <w:t>sociedad</w:t>
      </w:r>
      <w:r>
        <w:rPr>
          <w:i/>
          <w:color w:val="231F20"/>
          <w:spacing w:val="-13"/>
          <w:sz w:val="18"/>
        </w:rPr>
        <w:t> </w:t>
      </w:r>
      <w:r>
        <w:rPr>
          <w:i/>
          <w:color w:val="231F20"/>
          <w:sz w:val="18"/>
        </w:rPr>
        <w:t>y</w:t>
      </w:r>
      <w:r>
        <w:rPr>
          <w:i/>
          <w:color w:val="231F20"/>
          <w:spacing w:val="-13"/>
          <w:sz w:val="18"/>
        </w:rPr>
        <w:t> </w:t>
      </w:r>
      <w:r>
        <w:rPr>
          <w:i/>
          <w:color w:val="231F20"/>
          <w:sz w:val="18"/>
        </w:rPr>
        <w:t>cultura</w:t>
      </w:r>
      <w:r>
        <w:rPr>
          <w:rFonts w:ascii="Sitka Heading" w:hAnsi="Sitka Heading"/>
          <w:b/>
          <w:i/>
          <w:color w:val="231F20"/>
          <w:sz w:val="18"/>
        </w:rPr>
        <w:t>,</w:t>
      </w:r>
      <w:r>
        <w:rPr>
          <w:i/>
          <w:color w:val="231F20"/>
          <w:sz w:val="18"/>
        </w:rPr>
        <w:t>Vol.</w:t>
      </w:r>
    </w:p>
    <w:p>
      <w:pPr>
        <w:pStyle w:val="ListParagraph"/>
        <w:numPr>
          <w:ilvl w:val="1"/>
          <w:numId w:val="6"/>
        </w:numPr>
        <w:tabs>
          <w:tab w:pos="543" w:val="left" w:leader="none"/>
        </w:tabs>
        <w:spacing w:line="206" w:lineRule="exact" w:before="0" w:after="0"/>
        <w:ind w:left="542" w:right="0" w:hanging="202"/>
        <w:jc w:val="left"/>
        <w:rPr>
          <w:sz w:val="18"/>
        </w:rPr>
      </w:pPr>
      <w:r>
        <w:rPr>
          <w:i/>
          <w:color w:val="231F20"/>
          <w:sz w:val="18"/>
        </w:rPr>
        <w:t>La sociedad red</w:t>
      </w:r>
      <w:r>
        <w:rPr>
          <w:color w:val="231F20"/>
          <w:sz w:val="18"/>
        </w:rPr>
        <w:t>, España, Alianza  </w:t>
      </w:r>
      <w:r>
        <w:rPr>
          <w:color w:val="231F20"/>
          <w:spacing w:val="12"/>
          <w:sz w:val="18"/>
        </w:rPr>
        <w:t> </w:t>
      </w:r>
      <w:r>
        <w:rPr>
          <w:color w:val="231F20"/>
          <w:sz w:val="18"/>
        </w:rPr>
        <w:t>Editorial.</w:t>
      </w:r>
    </w:p>
    <w:p>
      <w:pPr>
        <w:spacing w:line="254" w:lineRule="auto" w:before="13"/>
        <w:ind w:left="340" w:right="119" w:hanging="240"/>
        <w:jc w:val="both"/>
        <w:rPr>
          <w:sz w:val="18"/>
        </w:rPr>
      </w:pPr>
      <w:r>
        <w:rPr>
          <w:color w:val="231F20"/>
          <w:sz w:val="18"/>
        </w:rPr>
        <w:t>Castles, Stephen y Mark J. Miller, 1993, </w:t>
      </w:r>
      <w:r>
        <w:rPr>
          <w:i/>
          <w:color w:val="231F20"/>
          <w:sz w:val="18"/>
        </w:rPr>
        <w:t>The Age of migration. International Po- </w:t>
      </w:r>
      <w:r>
        <w:rPr>
          <w:i/>
          <w:color w:val="231F20"/>
          <w:sz w:val="18"/>
        </w:rPr>
        <w:t>pulation Movements in the Modern World</w:t>
      </w:r>
      <w:r>
        <w:rPr>
          <w:color w:val="231F20"/>
          <w:sz w:val="18"/>
        </w:rPr>
        <w:t>, Nueva York, Guilford   Press.</w:t>
      </w:r>
    </w:p>
    <w:p>
      <w:pPr>
        <w:spacing w:line="254" w:lineRule="auto" w:before="1"/>
        <w:ind w:left="340" w:right="113" w:hanging="240"/>
        <w:jc w:val="both"/>
        <w:rPr>
          <w:sz w:val="18"/>
        </w:rPr>
      </w:pPr>
      <w:r>
        <w:rPr>
          <w:color w:val="231F20"/>
          <w:w w:val="105"/>
          <w:sz w:val="18"/>
        </w:rPr>
        <w:t>Delgado Wise, Raúl y Humberto Márquez Covarrubias, 2007, “El sistema migratorio México-Estados Unidos:  dilemas  de  la  integración  regional,  el desarrollo y la migración” en S. Castles y R. Delgado Wise (coords.), </w:t>
      </w:r>
      <w:r>
        <w:rPr>
          <w:i/>
          <w:color w:val="231F20"/>
          <w:sz w:val="18"/>
        </w:rPr>
        <w:t>Migración</w:t>
      </w:r>
      <w:r>
        <w:rPr>
          <w:i/>
          <w:color w:val="231F20"/>
          <w:spacing w:val="-8"/>
          <w:sz w:val="18"/>
        </w:rPr>
        <w:t> </w:t>
      </w:r>
      <w:r>
        <w:rPr>
          <w:i/>
          <w:color w:val="231F20"/>
          <w:sz w:val="18"/>
        </w:rPr>
        <w:t>y</w:t>
      </w:r>
      <w:r>
        <w:rPr>
          <w:i/>
          <w:color w:val="231F20"/>
          <w:spacing w:val="-8"/>
          <w:sz w:val="18"/>
        </w:rPr>
        <w:t> </w:t>
      </w:r>
      <w:r>
        <w:rPr>
          <w:i/>
          <w:color w:val="231F20"/>
          <w:sz w:val="18"/>
        </w:rPr>
        <w:t>desarrollo:</w:t>
      </w:r>
      <w:r>
        <w:rPr>
          <w:i/>
          <w:color w:val="231F20"/>
          <w:spacing w:val="-8"/>
          <w:sz w:val="18"/>
        </w:rPr>
        <w:t> </w:t>
      </w:r>
      <w:r>
        <w:rPr>
          <w:i/>
          <w:color w:val="231F20"/>
          <w:sz w:val="18"/>
        </w:rPr>
        <w:t>perspectivas</w:t>
      </w:r>
      <w:r>
        <w:rPr>
          <w:i/>
          <w:color w:val="231F20"/>
          <w:spacing w:val="-8"/>
          <w:sz w:val="18"/>
        </w:rPr>
        <w:t> </w:t>
      </w:r>
      <w:r>
        <w:rPr>
          <w:i/>
          <w:color w:val="231F20"/>
          <w:sz w:val="18"/>
        </w:rPr>
        <w:t>desde</w:t>
      </w:r>
      <w:r>
        <w:rPr>
          <w:i/>
          <w:color w:val="231F20"/>
          <w:spacing w:val="-8"/>
          <w:sz w:val="18"/>
        </w:rPr>
        <w:t> </w:t>
      </w:r>
      <w:r>
        <w:rPr>
          <w:i/>
          <w:color w:val="231F20"/>
          <w:sz w:val="18"/>
        </w:rPr>
        <w:t>el</w:t>
      </w:r>
      <w:r>
        <w:rPr>
          <w:i/>
          <w:color w:val="231F20"/>
          <w:spacing w:val="-8"/>
          <w:sz w:val="18"/>
        </w:rPr>
        <w:t> </w:t>
      </w:r>
      <w:r>
        <w:rPr>
          <w:i/>
          <w:color w:val="231F20"/>
          <w:sz w:val="18"/>
        </w:rPr>
        <w:t>sur</w:t>
      </w:r>
      <w:r>
        <w:rPr>
          <w:color w:val="231F20"/>
          <w:sz w:val="18"/>
        </w:rPr>
        <w:t>,</w:t>
      </w:r>
      <w:r>
        <w:rPr>
          <w:color w:val="231F20"/>
          <w:spacing w:val="-8"/>
          <w:sz w:val="18"/>
        </w:rPr>
        <w:t> </w:t>
      </w:r>
      <w:r>
        <w:rPr>
          <w:color w:val="231F20"/>
          <w:sz w:val="18"/>
        </w:rPr>
        <w:t>México,</w:t>
      </w:r>
      <w:r>
        <w:rPr>
          <w:color w:val="231F20"/>
          <w:spacing w:val="-8"/>
          <w:sz w:val="18"/>
        </w:rPr>
        <w:t> </w:t>
      </w:r>
      <w:r>
        <w:rPr>
          <w:color w:val="231F20"/>
          <w:sz w:val="18"/>
        </w:rPr>
        <w:t>M.</w:t>
      </w:r>
      <w:r>
        <w:rPr>
          <w:color w:val="231F20"/>
          <w:spacing w:val="-8"/>
          <w:sz w:val="18"/>
        </w:rPr>
        <w:t> </w:t>
      </w:r>
      <w:r>
        <w:rPr>
          <w:color w:val="231F20"/>
          <w:sz w:val="18"/>
        </w:rPr>
        <w:t>A.</w:t>
      </w:r>
      <w:r>
        <w:rPr>
          <w:color w:val="231F20"/>
          <w:spacing w:val="-8"/>
          <w:sz w:val="18"/>
        </w:rPr>
        <w:t> </w:t>
      </w:r>
      <w:r>
        <w:rPr>
          <w:color w:val="231F20"/>
          <w:sz w:val="18"/>
        </w:rPr>
        <w:t>Porrúa.</w:t>
      </w:r>
    </w:p>
    <w:p>
      <w:pPr>
        <w:spacing w:line="254" w:lineRule="auto" w:before="1"/>
        <w:ind w:left="340" w:right="116" w:hanging="240"/>
        <w:jc w:val="both"/>
        <w:rPr>
          <w:sz w:val="18"/>
        </w:rPr>
      </w:pPr>
      <w:r>
        <w:rPr>
          <w:color w:val="231F20"/>
          <w:w w:val="105"/>
          <w:sz w:val="18"/>
        </w:rPr>
        <w:t>Domingo I. Valls, Andreu, 2006, </w:t>
      </w:r>
      <w:r>
        <w:rPr>
          <w:color w:val="231F20"/>
          <w:spacing w:val="-4"/>
          <w:w w:val="105"/>
          <w:sz w:val="18"/>
        </w:rPr>
        <w:t>“Tras </w:t>
      </w:r>
      <w:r>
        <w:rPr>
          <w:color w:val="231F20"/>
          <w:w w:val="105"/>
          <w:sz w:val="18"/>
        </w:rPr>
        <w:t>la retórica de la hispanidad: la mi- gración latinoamericana en España. Entre la complementariedad y la exclusión”</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Alejandro</w:t>
      </w:r>
      <w:r>
        <w:rPr>
          <w:color w:val="231F20"/>
          <w:spacing w:val="-17"/>
          <w:w w:val="105"/>
          <w:sz w:val="18"/>
        </w:rPr>
        <w:t> </w:t>
      </w:r>
      <w:r>
        <w:rPr>
          <w:color w:val="231F20"/>
          <w:w w:val="105"/>
          <w:sz w:val="18"/>
        </w:rPr>
        <w:t>I.</w:t>
      </w:r>
      <w:r>
        <w:rPr>
          <w:color w:val="231F20"/>
          <w:spacing w:val="-17"/>
          <w:w w:val="105"/>
          <w:sz w:val="18"/>
        </w:rPr>
        <w:t> </w:t>
      </w:r>
      <w:r>
        <w:rPr>
          <w:color w:val="231F20"/>
          <w:w w:val="105"/>
          <w:sz w:val="18"/>
        </w:rPr>
        <w:t>Canales</w:t>
      </w:r>
      <w:r>
        <w:rPr>
          <w:color w:val="231F20"/>
          <w:spacing w:val="-17"/>
          <w:w w:val="105"/>
          <w:sz w:val="18"/>
        </w:rPr>
        <w:t> </w:t>
      </w:r>
      <w:r>
        <w:rPr>
          <w:color w:val="231F20"/>
          <w:w w:val="105"/>
          <w:sz w:val="18"/>
        </w:rPr>
        <w:t>(ed.),</w:t>
      </w:r>
      <w:r>
        <w:rPr>
          <w:color w:val="231F20"/>
          <w:spacing w:val="-17"/>
          <w:w w:val="105"/>
          <w:sz w:val="18"/>
        </w:rPr>
        <w:t> </w:t>
      </w:r>
      <w:r>
        <w:rPr>
          <w:i/>
          <w:color w:val="231F20"/>
          <w:w w:val="105"/>
          <w:sz w:val="18"/>
        </w:rPr>
        <w:t>Panorama</w:t>
      </w:r>
      <w:r>
        <w:rPr>
          <w:i/>
          <w:color w:val="231F20"/>
          <w:spacing w:val="-17"/>
          <w:w w:val="105"/>
          <w:sz w:val="18"/>
        </w:rPr>
        <w:t> </w:t>
      </w:r>
      <w:r>
        <w:rPr>
          <w:i/>
          <w:color w:val="231F20"/>
          <w:w w:val="105"/>
          <w:sz w:val="18"/>
        </w:rPr>
        <w:t>actual</w:t>
      </w:r>
      <w:r>
        <w:rPr>
          <w:i/>
          <w:color w:val="231F20"/>
          <w:spacing w:val="-17"/>
          <w:w w:val="105"/>
          <w:sz w:val="18"/>
        </w:rPr>
        <w:t> </w:t>
      </w:r>
      <w:r>
        <w:rPr>
          <w:i/>
          <w:color w:val="231F20"/>
          <w:w w:val="105"/>
          <w:sz w:val="18"/>
        </w:rPr>
        <w:t>de</w:t>
      </w:r>
      <w:r>
        <w:rPr>
          <w:i/>
          <w:color w:val="231F20"/>
          <w:spacing w:val="-17"/>
          <w:w w:val="105"/>
          <w:sz w:val="18"/>
        </w:rPr>
        <w:t> </w:t>
      </w:r>
      <w:r>
        <w:rPr>
          <w:i/>
          <w:color w:val="231F20"/>
          <w:w w:val="105"/>
          <w:sz w:val="18"/>
        </w:rPr>
        <w:t>las</w:t>
      </w:r>
      <w:r>
        <w:rPr>
          <w:i/>
          <w:color w:val="231F20"/>
          <w:spacing w:val="-17"/>
          <w:w w:val="105"/>
          <w:sz w:val="18"/>
        </w:rPr>
        <w:t> </w:t>
      </w:r>
      <w:r>
        <w:rPr>
          <w:i/>
          <w:color w:val="231F20"/>
          <w:w w:val="105"/>
          <w:sz w:val="18"/>
        </w:rPr>
        <w:t>migraciones </w:t>
      </w:r>
      <w:r>
        <w:rPr>
          <w:i/>
          <w:color w:val="231F20"/>
          <w:w w:val="105"/>
          <w:sz w:val="18"/>
        </w:rPr>
        <w:t>en América Latina</w:t>
      </w:r>
      <w:r>
        <w:rPr>
          <w:color w:val="231F20"/>
          <w:w w:val="105"/>
          <w:sz w:val="18"/>
        </w:rPr>
        <w:t>, Mexico, Universidad de Guadalajara y Latin American Population </w:t>
      </w:r>
      <w:r>
        <w:rPr>
          <w:color w:val="231F20"/>
          <w:spacing w:val="4"/>
          <w:w w:val="105"/>
          <w:sz w:val="18"/>
        </w:rPr>
        <w:t> </w:t>
      </w:r>
      <w:r>
        <w:rPr>
          <w:color w:val="231F20"/>
          <w:w w:val="105"/>
          <w:sz w:val="18"/>
        </w:rPr>
        <w:t>Association.</w:t>
      </w:r>
    </w:p>
    <w:p>
      <w:pPr>
        <w:spacing w:line="254" w:lineRule="auto" w:before="1"/>
        <w:ind w:left="340" w:right="116" w:hanging="240"/>
        <w:jc w:val="both"/>
        <w:rPr>
          <w:sz w:val="18"/>
        </w:rPr>
      </w:pPr>
      <w:r>
        <w:rPr>
          <w:color w:val="231F20"/>
          <w:sz w:val="18"/>
        </w:rPr>
        <w:t>Ehrenteich, Barbara y Arlie Russel Hochschild, 2004, </w:t>
      </w:r>
      <w:r>
        <w:rPr>
          <w:i/>
          <w:color w:val="231F20"/>
          <w:sz w:val="18"/>
        </w:rPr>
        <w:t>Global Woman. Nannies, </w:t>
      </w:r>
      <w:r>
        <w:rPr>
          <w:i/>
          <w:color w:val="231F20"/>
          <w:sz w:val="18"/>
        </w:rPr>
        <w:t>Maids and Sex Workers in the New Economy</w:t>
      </w:r>
      <w:r>
        <w:rPr>
          <w:color w:val="231F20"/>
          <w:sz w:val="18"/>
        </w:rPr>
        <w:t>, New York, Henry Holt and Company.</w:t>
      </w:r>
    </w:p>
    <w:p>
      <w:pPr>
        <w:spacing w:line="254" w:lineRule="auto" w:before="1"/>
        <w:ind w:left="340" w:right="117" w:hanging="240"/>
        <w:jc w:val="both"/>
        <w:rPr>
          <w:sz w:val="18"/>
        </w:rPr>
      </w:pPr>
      <w:r>
        <w:rPr>
          <w:color w:val="231F20"/>
          <w:w w:val="105"/>
          <w:sz w:val="18"/>
        </w:rPr>
        <w:t>Fix, Michael, Demetrios G. Papademetriou, Jeanne Batalova, Aaron Terrazas, Serena</w:t>
      </w:r>
      <w:r>
        <w:rPr>
          <w:color w:val="231F20"/>
          <w:spacing w:val="-21"/>
          <w:w w:val="105"/>
          <w:sz w:val="18"/>
        </w:rPr>
        <w:t> </w:t>
      </w:r>
      <w:r>
        <w:rPr>
          <w:color w:val="231F20"/>
          <w:w w:val="105"/>
          <w:sz w:val="18"/>
        </w:rPr>
        <w:t>Yi-Ying</w:t>
      </w:r>
      <w:r>
        <w:rPr>
          <w:color w:val="231F20"/>
          <w:spacing w:val="-21"/>
          <w:w w:val="105"/>
          <w:sz w:val="18"/>
        </w:rPr>
        <w:t> </w:t>
      </w:r>
      <w:r>
        <w:rPr>
          <w:color w:val="231F20"/>
          <w:w w:val="105"/>
          <w:sz w:val="18"/>
        </w:rPr>
        <w:t>Lin,</w:t>
      </w:r>
      <w:r>
        <w:rPr>
          <w:color w:val="231F20"/>
          <w:spacing w:val="-21"/>
          <w:w w:val="105"/>
          <w:sz w:val="18"/>
        </w:rPr>
        <w:t> </w:t>
      </w:r>
      <w:r>
        <w:rPr>
          <w:color w:val="231F20"/>
          <w:w w:val="105"/>
          <w:sz w:val="18"/>
        </w:rPr>
        <w:t>and</w:t>
      </w:r>
      <w:r>
        <w:rPr>
          <w:color w:val="231F20"/>
          <w:spacing w:val="-21"/>
          <w:w w:val="105"/>
          <w:sz w:val="18"/>
        </w:rPr>
        <w:t> </w:t>
      </w:r>
      <w:r>
        <w:rPr>
          <w:color w:val="231F20"/>
          <w:w w:val="105"/>
          <w:sz w:val="18"/>
        </w:rPr>
        <w:t>Michelle</w:t>
      </w:r>
      <w:r>
        <w:rPr>
          <w:color w:val="231F20"/>
          <w:spacing w:val="-21"/>
          <w:w w:val="105"/>
          <w:sz w:val="18"/>
        </w:rPr>
        <w:t> </w:t>
      </w:r>
      <w:r>
        <w:rPr>
          <w:color w:val="231F20"/>
          <w:w w:val="105"/>
          <w:sz w:val="18"/>
        </w:rPr>
        <w:t>Mittelstadt,</w:t>
      </w:r>
      <w:r>
        <w:rPr>
          <w:color w:val="231F20"/>
          <w:spacing w:val="-21"/>
          <w:w w:val="105"/>
          <w:sz w:val="18"/>
        </w:rPr>
        <w:t> </w:t>
      </w:r>
      <w:r>
        <w:rPr>
          <w:color w:val="231F20"/>
          <w:w w:val="105"/>
          <w:sz w:val="18"/>
        </w:rPr>
        <w:t>2009,</w:t>
      </w:r>
      <w:r>
        <w:rPr>
          <w:color w:val="231F20"/>
          <w:spacing w:val="-21"/>
          <w:w w:val="105"/>
          <w:sz w:val="18"/>
        </w:rPr>
        <w:t> </w:t>
      </w:r>
      <w:r>
        <w:rPr>
          <w:i/>
          <w:color w:val="231F20"/>
          <w:w w:val="105"/>
          <w:sz w:val="18"/>
        </w:rPr>
        <w:t>Migration</w:t>
      </w:r>
      <w:r>
        <w:rPr>
          <w:i/>
          <w:color w:val="231F20"/>
          <w:spacing w:val="-21"/>
          <w:w w:val="105"/>
          <w:sz w:val="18"/>
        </w:rPr>
        <w:t> </w:t>
      </w:r>
      <w:r>
        <w:rPr>
          <w:i/>
          <w:color w:val="231F20"/>
          <w:w w:val="105"/>
          <w:sz w:val="18"/>
        </w:rPr>
        <w:t>and</w:t>
      </w:r>
      <w:r>
        <w:rPr>
          <w:i/>
          <w:color w:val="231F20"/>
          <w:spacing w:val="-21"/>
          <w:w w:val="105"/>
          <w:sz w:val="18"/>
        </w:rPr>
        <w:t> </w:t>
      </w:r>
      <w:r>
        <w:rPr>
          <w:i/>
          <w:color w:val="231F20"/>
          <w:w w:val="105"/>
          <w:sz w:val="18"/>
        </w:rPr>
        <w:t>the</w:t>
      </w:r>
      <w:r>
        <w:rPr>
          <w:i/>
          <w:color w:val="231F20"/>
          <w:spacing w:val="-21"/>
          <w:w w:val="105"/>
          <w:sz w:val="18"/>
        </w:rPr>
        <w:t> </w:t>
      </w:r>
      <w:r>
        <w:rPr>
          <w:i/>
          <w:color w:val="231F20"/>
          <w:w w:val="105"/>
          <w:sz w:val="18"/>
        </w:rPr>
        <w:t>Global </w:t>
      </w:r>
      <w:r>
        <w:rPr>
          <w:i/>
          <w:color w:val="231F20"/>
          <w:w w:val="105"/>
          <w:sz w:val="18"/>
        </w:rPr>
        <w:t>Recession</w:t>
      </w:r>
      <w:r>
        <w:rPr>
          <w:color w:val="231F20"/>
          <w:w w:val="105"/>
          <w:sz w:val="18"/>
        </w:rPr>
        <w:t>, Washington, DC, Migration Policy Institute, </w:t>
      </w:r>
      <w:r>
        <w:rPr>
          <w:color w:val="231F20"/>
          <w:spacing w:val="7"/>
          <w:w w:val="105"/>
          <w:sz w:val="18"/>
        </w:rPr>
        <w:t> </w:t>
      </w:r>
      <w:r>
        <w:rPr>
          <w:color w:val="231F20"/>
          <w:w w:val="105"/>
          <w:sz w:val="18"/>
        </w:rPr>
        <w:t>septiembre.</w:t>
      </w:r>
    </w:p>
    <w:p>
      <w:pPr>
        <w:spacing w:line="254" w:lineRule="auto" w:before="1"/>
        <w:ind w:left="340" w:right="119" w:hanging="240"/>
        <w:jc w:val="both"/>
        <w:rPr>
          <w:sz w:val="18"/>
        </w:rPr>
      </w:pPr>
      <w:r>
        <w:rPr>
          <w:color w:val="231F20"/>
          <w:w w:val="105"/>
          <w:sz w:val="18"/>
        </w:rPr>
        <w:t>García y Griego, Manuel y Francisco Giner de los Ríos, 1985, “¿Es vulnerable la economía mexicana a la aplicación de políticas migratorias estaduni- denses?”, en García y Griego, Manuel y Gustavo Vega (comps.), </w:t>
      </w:r>
      <w:r>
        <w:rPr>
          <w:i/>
          <w:color w:val="231F20"/>
          <w:w w:val="105"/>
          <w:sz w:val="18"/>
        </w:rPr>
        <w:t>México- </w:t>
      </w:r>
      <w:r>
        <w:rPr>
          <w:i/>
          <w:color w:val="231F20"/>
          <w:w w:val="105"/>
          <w:sz w:val="18"/>
        </w:rPr>
        <w:t>Estados Unidos, 1984</w:t>
      </w:r>
      <w:r>
        <w:rPr>
          <w:color w:val="231F20"/>
          <w:w w:val="105"/>
          <w:sz w:val="18"/>
        </w:rPr>
        <w:t>, México, El Colegio de México, pp. 221-272.</w:t>
      </w:r>
    </w:p>
    <w:p>
      <w:pPr>
        <w:spacing w:line="254" w:lineRule="auto" w:before="1"/>
        <w:ind w:left="340" w:right="117" w:hanging="240"/>
        <w:jc w:val="both"/>
        <w:rPr>
          <w:sz w:val="18"/>
        </w:rPr>
      </w:pPr>
      <w:r>
        <w:rPr>
          <w:color w:val="231F20"/>
          <w:w w:val="105"/>
          <w:sz w:val="18"/>
        </w:rPr>
        <w:t>Glick Schiller, Nina, Linda Basch y Cristina Szanton-Blanc, 1992, “Transna- tionalism: a New Analytical Framework for Understanding Migration” en </w:t>
      </w:r>
      <w:r>
        <w:rPr>
          <w:i/>
          <w:color w:val="231F20"/>
          <w:spacing w:val="-4"/>
          <w:w w:val="105"/>
          <w:sz w:val="18"/>
        </w:rPr>
        <w:t>Towards</w:t>
      </w:r>
      <w:r>
        <w:rPr>
          <w:i/>
          <w:color w:val="231F20"/>
          <w:spacing w:val="-27"/>
          <w:w w:val="105"/>
          <w:sz w:val="18"/>
        </w:rPr>
        <w:t> </w:t>
      </w:r>
      <w:r>
        <w:rPr>
          <w:i/>
          <w:color w:val="231F20"/>
          <w:w w:val="105"/>
          <w:sz w:val="18"/>
        </w:rPr>
        <w:t>a</w:t>
      </w:r>
      <w:r>
        <w:rPr>
          <w:i/>
          <w:color w:val="231F20"/>
          <w:spacing w:val="-27"/>
          <w:w w:val="105"/>
          <w:sz w:val="18"/>
        </w:rPr>
        <w:t> </w:t>
      </w:r>
      <w:r>
        <w:rPr>
          <w:i/>
          <w:color w:val="231F20"/>
          <w:w w:val="105"/>
          <w:sz w:val="18"/>
        </w:rPr>
        <w:t>Transnational</w:t>
      </w:r>
      <w:r>
        <w:rPr>
          <w:i/>
          <w:color w:val="231F20"/>
          <w:spacing w:val="-27"/>
          <w:w w:val="105"/>
          <w:sz w:val="18"/>
        </w:rPr>
        <w:t> </w:t>
      </w:r>
      <w:r>
        <w:rPr>
          <w:i/>
          <w:color w:val="231F20"/>
          <w:w w:val="105"/>
          <w:sz w:val="18"/>
        </w:rPr>
        <w:t>Perspective</w:t>
      </w:r>
      <w:r>
        <w:rPr>
          <w:i/>
          <w:color w:val="231F20"/>
          <w:spacing w:val="-27"/>
          <w:w w:val="105"/>
          <w:sz w:val="18"/>
        </w:rPr>
        <w:t> </w:t>
      </w:r>
      <w:r>
        <w:rPr>
          <w:i/>
          <w:color w:val="231F20"/>
          <w:w w:val="105"/>
          <w:sz w:val="18"/>
        </w:rPr>
        <w:t>on</w:t>
      </w:r>
      <w:r>
        <w:rPr>
          <w:i/>
          <w:color w:val="231F20"/>
          <w:spacing w:val="-27"/>
          <w:w w:val="105"/>
          <w:sz w:val="18"/>
        </w:rPr>
        <w:t> </w:t>
      </w:r>
      <w:r>
        <w:rPr>
          <w:i/>
          <w:color w:val="231F20"/>
          <w:w w:val="105"/>
          <w:sz w:val="18"/>
        </w:rPr>
        <w:t>Migration</w:t>
      </w:r>
      <w:r>
        <w:rPr>
          <w:color w:val="231F20"/>
          <w:w w:val="105"/>
          <w:sz w:val="18"/>
        </w:rPr>
        <w:t>,</w:t>
      </w:r>
      <w:r>
        <w:rPr>
          <w:color w:val="231F20"/>
          <w:spacing w:val="-27"/>
          <w:w w:val="105"/>
          <w:sz w:val="18"/>
        </w:rPr>
        <w:t> </w:t>
      </w:r>
      <w:r>
        <w:rPr>
          <w:color w:val="231F20"/>
          <w:w w:val="105"/>
          <w:sz w:val="18"/>
        </w:rPr>
        <w:t>N.</w:t>
      </w:r>
      <w:r>
        <w:rPr>
          <w:color w:val="231F20"/>
          <w:spacing w:val="-27"/>
          <w:w w:val="105"/>
          <w:sz w:val="18"/>
        </w:rPr>
        <w:t> </w:t>
      </w:r>
      <w:r>
        <w:rPr>
          <w:color w:val="231F20"/>
          <w:w w:val="105"/>
          <w:sz w:val="18"/>
        </w:rPr>
        <w:t>Glick</w:t>
      </w:r>
      <w:r>
        <w:rPr>
          <w:color w:val="231F20"/>
          <w:spacing w:val="-27"/>
          <w:w w:val="105"/>
          <w:sz w:val="18"/>
        </w:rPr>
        <w:t> </w:t>
      </w:r>
      <w:r>
        <w:rPr>
          <w:color w:val="231F20"/>
          <w:w w:val="105"/>
          <w:sz w:val="18"/>
        </w:rPr>
        <w:t>Schiller,</w:t>
      </w:r>
      <w:r>
        <w:rPr>
          <w:color w:val="231F20"/>
          <w:spacing w:val="-27"/>
          <w:w w:val="105"/>
          <w:sz w:val="18"/>
        </w:rPr>
        <w:t> </w:t>
      </w:r>
      <w:r>
        <w:rPr>
          <w:color w:val="231F20"/>
          <w:w w:val="105"/>
          <w:sz w:val="18"/>
        </w:rPr>
        <w:t>L.</w:t>
      </w:r>
      <w:r>
        <w:rPr>
          <w:color w:val="231F20"/>
          <w:spacing w:val="-27"/>
          <w:w w:val="105"/>
          <w:sz w:val="18"/>
        </w:rPr>
        <w:t> </w:t>
      </w:r>
      <w:r>
        <w:rPr>
          <w:color w:val="231F20"/>
          <w:w w:val="105"/>
          <w:sz w:val="18"/>
        </w:rPr>
        <w:t>Basch y C. Szanton-Blanc (eds.), Nueva York, New </w:t>
      </w:r>
      <w:r>
        <w:rPr>
          <w:color w:val="231F20"/>
          <w:spacing w:val="-3"/>
          <w:w w:val="105"/>
          <w:sz w:val="18"/>
        </w:rPr>
        <w:t>York </w:t>
      </w:r>
      <w:r>
        <w:rPr>
          <w:color w:val="231F20"/>
          <w:w w:val="105"/>
          <w:sz w:val="18"/>
        </w:rPr>
        <w:t>Academy of Sciences, pp.</w:t>
      </w:r>
      <w:r>
        <w:rPr>
          <w:color w:val="231F20"/>
          <w:spacing w:val="7"/>
          <w:w w:val="105"/>
          <w:sz w:val="18"/>
        </w:rPr>
        <w:t> </w:t>
      </w:r>
      <w:r>
        <w:rPr>
          <w:color w:val="231F20"/>
          <w:w w:val="105"/>
          <w:sz w:val="18"/>
        </w:rPr>
        <w:t>1-24.</w:t>
      </w:r>
    </w:p>
    <w:p>
      <w:pPr>
        <w:spacing w:line="225" w:lineRule="auto" w:before="11"/>
        <w:ind w:left="340" w:right="119" w:hanging="240"/>
        <w:jc w:val="both"/>
        <w:rPr>
          <w:sz w:val="18"/>
        </w:rPr>
      </w:pPr>
      <w:r>
        <w:rPr>
          <w:color w:val="231F20"/>
          <w:sz w:val="18"/>
        </w:rPr>
        <w:t>Herrera Ponce, María Soledad, 2007, </w:t>
      </w:r>
      <w:r>
        <w:rPr>
          <w:i/>
          <w:color w:val="231F20"/>
          <w:sz w:val="18"/>
        </w:rPr>
        <w:t>Individualización social y cambios demográ- </w:t>
      </w:r>
      <w:r>
        <w:rPr>
          <w:i/>
          <w:color w:val="231F20"/>
          <w:sz w:val="18"/>
        </w:rPr>
        <w:t>ficos: ¿hacia una segunda transición demográfica?</w:t>
      </w:r>
      <w:r>
        <w:rPr>
          <w:rFonts w:ascii="Sitka Heading" w:hAnsi="Sitka Heading"/>
          <w:b/>
          <w:i/>
          <w:color w:val="231F20"/>
          <w:sz w:val="18"/>
        </w:rPr>
        <w:t>, </w:t>
      </w:r>
      <w:r>
        <w:rPr>
          <w:color w:val="231F20"/>
          <w:sz w:val="18"/>
        </w:rPr>
        <w:t>Madrid, España, Centro de Investigaciones   Sociológicas,   Colección   Monografías,   núm. 232.</w:t>
      </w:r>
    </w:p>
    <w:p>
      <w:pPr>
        <w:spacing w:line="254" w:lineRule="auto" w:before="15"/>
        <w:ind w:left="340" w:right="117" w:hanging="240"/>
        <w:jc w:val="both"/>
        <w:rPr>
          <w:sz w:val="18"/>
        </w:rPr>
      </w:pPr>
      <w:r>
        <w:rPr>
          <w:color w:val="231F20"/>
          <w:sz w:val="18"/>
        </w:rPr>
        <w:t>Herrera, Gioconda, 2005, “Mujeres ecuatorianas en las cadenas globales del cuidado” en G. Herrera, M. C. Carrillo y A. Torres (eds.), </w:t>
      </w:r>
      <w:r>
        <w:rPr>
          <w:i/>
          <w:color w:val="231F20"/>
          <w:sz w:val="18"/>
        </w:rPr>
        <w:t>La migración </w:t>
      </w:r>
      <w:r>
        <w:rPr>
          <w:i/>
          <w:color w:val="231F20"/>
          <w:sz w:val="18"/>
        </w:rPr>
        <w:t>ecuatoriana. Transnacionalismo, redes e identidades</w:t>
      </w:r>
      <w:r>
        <w:rPr>
          <w:color w:val="231F20"/>
          <w:sz w:val="18"/>
        </w:rPr>
        <w:t>, Ecuador, Facultad Lati- noamericana   de   Ciencias  Sociales.</w:t>
      </w:r>
    </w:p>
    <w:p>
      <w:pPr>
        <w:spacing w:line="254" w:lineRule="auto" w:before="1"/>
        <w:ind w:left="340" w:right="115" w:hanging="240"/>
        <w:jc w:val="both"/>
        <w:rPr>
          <w:sz w:val="18"/>
        </w:rPr>
      </w:pPr>
      <w:r>
        <w:rPr>
          <w:color w:val="231F20"/>
          <w:sz w:val="18"/>
        </w:rPr>
        <w:t>Hondagneu-Sotelo, Pierrete, 2007, </w:t>
      </w:r>
      <w:r>
        <w:rPr>
          <w:i/>
          <w:color w:val="231F20"/>
          <w:sz w:val="18"/>
        </w:rPr>
        <w:t>Doméstica: Immigrant Workers Cleaning and </w:t>
      </w:r>
      <w:r>
        <w:rPr>
          <w:i/>
          <w:color w:val="231F20"/>
          <w:sz w:val="18"/>
        </w:rPr>
        <w:t>caring in the Shadows of Affluence</w:t>
      </w:r>
      <w:r>
        <w:rPr>
          <w:color w:val="231F20"/>
          <w:sz w:val="18"/>
        </w:rPr>
        <w:t>, Los Ángeles, University of California  Press.</w:t>
      </w:r>
    </w:p>
    <w:p>
      <w:pPr>
        <w:spacing w:line="254" w:lineRule="auto" w:before="1"/>
        <w:ind w:left="340" w:right="117" w:hanging="240"/>
        <w:jc w:val="both"/>
        <w:rPr>
          <w:sz w:val="18"/>
        </w:rPr>
      </w:pPr>
      <w:r>
        <w:rPr>
          <w:color w:val="231F20"/>
          <w:sz w:val="18"/>
        </w:rPr>
        <w:t>Kochhar,</w:t>
      </w:r>
      <w:r>
        <w:rPr>
          <w:color w:val="231F20"/>
          <w:spacing w:val="-4"/>
          <w:sz w:val="18"/>
        </w:rPr>
        <w:t> </w:t>
      </w:r>
      <w:r>
        <w:rPr>
          <w:color w:val="231F20"/>
          <w:sz w:val="18"/>
        </w:rPr>
        <w:t>Rakesh,</w:t>
      </w:r>
      <w:r>
        <w:rPr>
          <w:color w:val="231F20"/>
          <w:spacing w:val="-4"/>
          <w:sz w:val="18"/>
        </w:rPr>
        <w:t> </w:t>
      </w:r>
      <w:r>
        <w:rPr>
          <w:color w:val="231F20"/>
          <w:sz w:val="18"/>
        </w:rPr>
        <w:t>2009,</w:t>
      </w:r>
      <w:r>
        <w:rPr>
          <w:color w:val="231F20"/>
          <w:spacing w:val="-4"/>
          <w:sz w:val="18"/>
        </w:rPr>
        <w:t> </w:t>
      </w:r>
      <w:r>
        <w:rPr>
          <w:i/>
          <w:color w:val="231F20"/>
          <w:sz w:val="18"/>
        </w:rPr>
        <w:t>Unemployment</w:t>
      </w:r>
      <w:r>
        <w:rPr>
          <w:i/>
          <w:color w:val="231F20"/>
          <w:spacing w:val="-4"/>
          <w:sz w:val="18"/>
        </w:rPr>
        <w:t> </w:t>
      </w:r>
      <w:r>
        <w:rPr>
          <w:i/>
          <w:color w:val="231F20"/>
          <w:sz w:val="18"/>
        </w:rPr>
        <w:t>Rises</w:t>
      </w:r>
      <w:r>
        <w:rPr>
          <w:i/>
          <w:color w:val="231F20"/>
          <w:spacing w:val="-4"/>
          <w:sz w:val="18"/>
        </w:rPr>
        <w:t> </w:t>
      </w:r>
      <w:r>
        <w:rPr>
          <w:i/>
          <w:color w:val="231F20"/>
          <w:sz w:val="18"/>
        </w:rPr>
        <w:t>Sharply</w:t>
      </w:r>
      <w:r>
        <w:rPr>
          <w:i/>
          <w:color w:val="231F20"/>
          <w:spacing w:val="-4"/>
          <w:sz w:val="18"/>
        </w:rPr>
        <w:t> </w:t>
      </w:r>
      <w:r>
        <w:rPr>
          <w:i/>
          <w:color w:val="231F20"/>
          <w:sz w:val="18"/>
        </w:rPr>
        <w:t>Among</w:t>
      </w:r>
      <w:r>
        <w:rPr>
          <w:i/>
          <w:color w:val="231F20"/>
          <w:spacing w:val="-4"/>
          <w:sz w:val="18"/>
        </w:rPr>
        <w:t> </w:t>
      </w:r>
      <w:r>
        <w:rPr>
          <w:i/>
          <w:color w:val="231F20"/>
          <w:sz w:val="18"/>
        </w:rPr>
        <w:t>Latino</w:t>
      </w:r>
      <w:r>
        <w:rPr>
          <w:i/>
          <w:color w:val="231F20"/>
          <w:spacing w:val="-4"/>
          <w:sz w:val="18"/>
        </w:rPr>
        <w:t> </w:t>
      </w:r>
      <w:r>
        <w:rPr>
          <w:i/>
          <w:color w:val="231F20"/>
          <w:sz w:val="18"/>
        </w:rPr>
        <w:t>Immigrants</w:t>
      </w:r>
      <w:r>
        <w:rPr>
          <w:i/>
          <w:color w:val="231F20"/>
          <w:spacing w:val="-4"/>
          <w:sz w:val="18"/>
        </w:rPr>
        <w:t> </w:t>
      </w:r>
      <w:r>
        <w:rPr>
          <w:i/>
          <w:color w:val="231F20"/>
          <w:sz w:val="18"/>
        </w:rPr>
        <w:t>in </w:t>
      </w:r>
      <w:r>
        <w:rPr>
          <w:i/>
          <w:color w:val="231F20"/>
          <w:w w:val="105"/>
          <w:sz w:val="18"/>
        </w:rPr>
        <w:t>2008, </w:t>
      </w:r>
      <w:r>
        <w:rPr>
          <w:color w:val="231F20"/>
          <w:w w:val="105"/>
          <w:sz w:val="18"/>
        </w:rPr>
        <w:t>Pew Hispanic </w:t>
      </w:r>
      <w:r>
        <w:rPr>
          <w:color w:val="231F20"/>
          <w:spacing w:val="-3"/>
          <w:w w:val="105"/>
          <w:sz w:val="18"/>
        </w:rPr>
        <w:t>Center, </w:t>
      </w:r>
      <w:r>
        <w:rPr>
          <w:color w:val="231F20"/>
          <w:w w:val="105"/>
          <w:sz w:val="18"/>
        </w:rPr>
        <w:t>Washington, DC, &lt;</w:t>
      </w:r>
      <w:hyperlink r:id="rId242">
        <w:r>
          <w:rPr>
            <w:color w:val="231F20"/>
            <w:w w:val="105"/>
            <w:sz w:val="18"/>
          </w:rPr>
          <w:t>http://pewhispanic.org/</w:t>
        </w:r>
      </w:hyperlink>
      <w:r>
        <w:rPr>
          <w:color w:val="231F20"/>
          <w:w w:val="105"/>
          <w:sz w:val="18"/>
        </w:rPr>
        <w:t> files/reports/102.pdf&gt;.</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9" w:hanging="240"/>
        <w:jc w:val="both"/>
        <w:rPr>
          <w:sz w:val="18"/>
        </w:rPr>
      </w:pPr>
      <w:r>
        <w:rPr>
          <w:color w:val="231F20"/>
          <w:w w:val="105"/>
          <w:sz w:val="18"/>
        </w:rPr>
        <w:t>Krugman, Paul, 2009, “La crisis paso a paso” en </w:t>
      </w:r>
      <w:r>
        <w:rPr>
          <w:i/>
          <w:color w:val="231F20"/>
          <w:w w:val="105"/>
          <w:sz w:val="18"/>
        </w:rPr>
        <w:t>La crisis económica mundial</w:t>
      </w:r>
      <w:r>
        <w:rPr>
          <w:color w:val="231F20"/>
          <w:w w:val="105"/>
          <w:sz w:val="18"/>
        </w:rPr>
        <w:t>, México,  Editorial Debate.</w:t>
      </w:r>
    </w:p>
    <w:p>
      <w:pPr>
        <w:spacing w:line="254" w:lineRule="auto" w:before="1"/>
        <w:ind w:left="340" w:right="117" w:hanging="240"/>
        <w:jc w:val="both"/>
        <w:rPr>
          <w:sz w:val="18"/>
        </w:rPr>
      </w:pPr>
      <w:r>
        <w:rPr>
          <w:color w:val="231F20"/>
          <w:sz w:val="18"/>
        </w:rPr>
        <w:t>Lash,</w:t>
      </w:r>
      <w:r>
        <w:rPr>
          <w:color w:val="231F20"/>
          <w:spacing w:val="-13"/>
          <w:sz w:val="18"/>
        </w:rPr>
        <w:t> </w:t>
      </w:r>
      <w:r>
        <w:rPr>
          <w:color w:val="231F20"/>
          <w:sz w:val="18"/>
        </w:rPr>
        <w:t>Scott,</w:t>
      </w:r>
      <w:r>
        <w:rPr>
          <w:color w:val="231F20"/>
          <w:spacing w:val="-13"/>
          <w:sz w:val="18"/>
        </w:rPr>
        <w:t> </w:t>
      </w:r>
      <w:r>
        <w:rPr>
          <w:color w:val="231F20"/>
          <w:sz w:val="18"/>
        </w:rPr>
        <w:t>y</w:t>
      </w:r>
      <w:r>
        <w:rPr>
          <w:color w:val="231F20"/>
          <w:spacing w:val="-13"/>
          <w:sz w:val="18"/>
        </w:rPr>
        <w:t> </w:t>
      </w:r>
      <w:r>
        <w:rPr>
          <w:color w:val="231F20"/>
          <w:sz w:val="18"/>
        </w:rPr>
        <w:t>John</w:t>
      </w:r>
      <w:r>
        <w:rPr>
          <w:color w:val="231F20"/>
          <w:spacing w:val="-13"/>
          <w:sz w:val="18"/>
        </w:rPr>
        <w:t> </w:t>
      </w:r>
      <w:r>
        <w:rPr>
          <w:color w:val="231F20"/>
          <w:spacing w:val="-3"/>
          <w:sz w:val="18"/>
        </w:rPr>
        <w:t>Urry,</w:t>
      </w:r>
      <w:r>
        <w:rPr>
          <w:color w:val="231F20"/>
          <w:spacing w:val="-13"/>
          <w:sz w:val="18"/>
        </w:rPr>
        <w:t> </w:t>
      </w:r>
      <w:r>
        <w:rPr>
          <w:color w:val="231F20"/>
          <w:sz w:val="18"/>
        </w:rPr>
        <w:t>1998,</w:t>
      </w:r>
      <w:r>
        <w:rPr>
          <w:color w:val="231F20"/>
          <w:spacing w:val="-13"/>
          <w:sz w:val="18"/>
        </w:rPr>
        <w:t> </w:t>
      </w:r>
      <w:r>
        <w:rPr>
          <w:i/>
          <w:color w:val="231F20"/>
          <w:sz w:val="18"/>
        </w:rPr>
        <w:t>Economías</w:t>
      </w:r>
      <w:r>
        <w:rPr>
          <w:i/>
          <w:color w:val="231F20"/>
          <w:spacing w:val="-13"/>
          <w:sz w:val="18"/>
        </w:rPr>
        <w:t> </w:t>
      </w:r>
      <w:r>
        <w:rPr>
          <w:i/>
          <w:color w:val="231F20"/>
          <w:sz w:val="18"/>
        </w:rPr>
        <w:t>de</w:t>
      </w:r>
      <w:r>
        <w:rPr>
          <w:i/>
          <w:color w:val="231F20"/>
          <w:spacing w:val="-13"/>
          <w:sz w:val="18"/>
        </w:rPr>
        <w:t> </w:t>
      </w:r>
      <w:r>
        <w:rPr>
          <w:i/>
          <w:color w:val="231F20"/>
          <w:sz w:val="18"/>
        </w:rPr>
        <w:t>signos</w:t>
      </w:r>
      <w:r>
        <w:rPr>
          <w:i/>
          <w:color w:val="231F20"/>
          <w:spacing w:val="-13"/>
          <w:sz w:val="18"/>
        </w:rPr>
        <w:t> </w:t>
      </w:r>
      <w:r>
        <w:rPr>
          <w:i/>
          <w:color w:val="231F20"/>
          <w:sz w:val="18"/>
        </w:rPr>
        <w:t>y</w:t>
      </w:r>
      <w:r>
        <w:rPr>
          <w:i/>
          <w:color w:val="231F20"/>
          <w:spacing w:val="-13"/>
          <w:sz w:val="18"/>
        </w:rPr>
        <w:t> </w:t>
      </w:r>
      <w:r>
        <w:rPr>
          <w:i/>
          <w:color w:val="231F20"/>
          <w:sz w:val="18"/>
        </w:rPr>
        <w:t>espacios.</w:t>
      </w:r>
      <w:r>
        <w:rPr>
          <w:i/>
          <w:color w:val="231F20"/>
          <w:spacing w:val="-13"/>
          <w:sz w:val="18"/>
        </w:rPr>
        <w:t> </w:t>
      </w:r>
      <w:r>
        <w:rPr>
          <w:i/>
          <w:color w:val="231F20"/>
          <w:sz w:val="18"/>
        </w:rPr>
        <w:t>Sobre</w:t>
      </w:r>
      <w:r>
        <w:rPr>
          <w:i/>
          <w:color w:val="231F20"/>
          <w:spacing w:val="-13"/>
          <w:sz w:val="18"/>
        </w:rPr>
        <w:t> </w:t>
      </w:r>
      <w:r>
        <w:rPr>
          <w:i/>
          <w:color w:val="231F20"/>
          <w:sz w:val="18"/>
        </w:rPr>
        <w:t>el</w:t>
      </w:r>
      <w:r>
        <w:rPr>
          <w:i/>
          <w:color w:val="231F20"/>
          <w:spacing w:val="-13"/>
          <w:sz w:val="18"/>
        </w:rPr>
        <w:t> </w:t>
      </w:r>
      <w:r>
        <w:rPr>
          <w:i/>
          <w:color w:val="231F20"/>
          <w:sz w:val="18"/>
        </w:rPr>
        <w:t>capitalismo </w:t>
      </w:r>
      <w:r>
        <w:rPr>
          <w:i/>
          <w:color w:val="231F20"/>
          <w:sz w:val="18"/>
        </w:rPr>
        <w:t>de la postorganización</w:t>
      </w:r>
      <w:r>
        <w:rPr>
          <w:color w:val="231F20"/>
          <w:sz w:val="18"/>
        </w:rPr>
        <w:t>, Buenos Aires,  </w:t>
      </w:r>
      <w:r>
        <w:rPr>
          <w:color w:val="231F20"/>
          <w:spacing w:val="18"/>
          <w:sz w:val="18"/>
        </w:rPr>
        <w:t> </w:t>
      </w:r>
      <w:r>
        <w:rPr>
          <w:color w:val="231F20"/>
          <w:sz w:val="18"/>
        </w:rPr>
        <w:t>Amorrortu.</w:t>
      </w:r>
    </w:p>
    <w:p>
      <w:pPr>
        <w:spacing w:line="254" w:lineRule="auto" w:before="1"/>
        <w:ind w:left="340" w:right="117" w:hanging="240"/>
        <w:jc w:val="both"/>
        <w:rPr>
          <w:sz w:val="18"/>
        </w:rPr>
      </w:pPr>
      <w:r>
        <w:rPr>
          <w:color w:val="231F20"/>
          <w:w w:val="105"/>
          <w:sz w:val="18"/>
        </w:rPr>
        <w:t>Martínez Pizarro, Jorge, Leandro Reboiras Finardi y Magdalena Soffia Con- </w:t>
      </w:r>
      <w:r>
        <w:rPr>
          <w:color w:val="231F20"/>
          <w:sz w:val="18"/>
        </w:rPr>
        <w:t>trucci,</w:t>
      </w:r>
      <w:r>
        <w:rPr>
          <w:color w:val="231F20"/>
          <w:spacing w:val="-12"/>
          <w:sz w:val="18"/>
        </w:rPr>
        <w:t> </w:t>
      </w:r>
      <w:r>
        <w:rPr>
          <w:color w:val="231F20"/>
          <w:sz w:val="18"/>
        </w:rPr>
        <w:t>2009,</w:t>
      </w:r>
      <w:r>
        <w:rPr>
          <w:color w:val="231F20"/>
          <w:spacing w:val="-12"/>
          <w:sz w:val="18"/>
        </w:rPr>
        <w:t> </w:t>
      </w:r>
      <w:r>
        <w:rPr>
          <w:i/>
          <w:color w:val="231F20"/>
          <w:sz w:val="18"/>
        </w:rPr>
        <w:t>Los</w:t>
      </w:r>
      <w:r>
        <w:rPr>
          <w:i/>
          <w:color w:val="231F20"/>
          <w:spacing w:val="-12"/>
          <w:sz w:val="18"/>
        </w:rPr>
        <w:t> </w:t>
      </w:r>
      <w:r>
        <w:rPr>
          <w:i/>
          <w:color w:val="231F20"/>
          <w:sz w:val="18"/>
        </w:rPr>
        <w:t>derechos</w:t>
      </w:r>
      <w:r>
        <w:rPr>
          <w:i/>
          <w:color w:val="231F20"/>
          <w:spacing w:val="-12"/>
          <w:sz w:val="18"/>
        </w:rPr>
        <w:t> </w:t>
      </w:r>
      <w:r>
        <w:rPr>
          <w:i/>
          <w:color w:val="231F20"/>
          <w:sz w:val="18"/>
        </w:rPr>
        <w:t>concedidos:</w:t>
      </w:r>
      <w:r>
        <w:rPr>
          <w:i/>
          <w:color w:val="231F20"/>
          <w:spacing w:val="-12"/>
          <w:sz w:val="18"/>
        </w:rPr>
        <w:t> </w:t>
      </w:r>
      <w:r>
        <w:rPr>
          <w:i/>
          <w:color w:val="231F20"/>
          <w:sz w:val="18"/>
        </w:rPr>
        <w:t>crisis</w:t>
      </w:r>
      <w:r>
        <w:rPr>
          <w:i/>
          <w:color w:val="231F20"/>
          <w:spacing w:val="-12"/>
          <w:sz w:val="18"/>
        </w:rPr>
        <w:t> </w:t>
      </w:r>
      <w:r>
        <w:rPr>
          <w:i/>
          <w:color w:val="231F20"/>
          <w:sz w:val="18"/>
        </w:rPr>
        <w:t>económica</w:t>
      </w:r>
      <w:r>
        <w:rPr>
          <w:i/>
          <w:color w:val="231F20"/>
          <w:spacing w:val="-12"/>
          <w:sz w:val="18"/>
        </w:rPr>
        <w:t> </w:t>
      </w:r>
      <w:r>
        <w:rPr>
          <w:i/>
          <w:color w:val="231F20"/>
          <w:sz w:val="18"/>
        </w:rPr>
        <w:t>mundial</w:t>
      </w:r>
      <w:r>
        <w:rPr>
          <w:i/>
          <w:color w:val="231F20"/>
          <w:spacing w:val="-12"/>
          <w:sz w:val="18"/>
        </w:rPr>
        <w:t> </w:t>
      </w:r>
      <w:r>
        <w:rPr>
          <w:i/>
          <w:color w:val="231F20"/>
          <w:sz w:val="18"/>
        </w:rPr>
        <w:t>y</w:t>
      </w:r>
      <w:r>
        <w:rPr>
          <w:i/>
          <w:color w:val="231F20"/>
          <w:spacing w:val="-12"/>
          <w:sz w:val="18"/>
        </w:rPr>
        <w:t> </w:t>
      </w:r>
      <w:r>
        <w:rPr>
          <w:i/>
          <w:color w:val="231F20"/>
          <w:sz w:val="18"/>
        </w:rPr>
        <w:t>migración</w:t>
      </w:r>
      <w:r>
        <w:rPr>
          <w:i/>
          <w:color w:val="231F20"/>
          <w:spacing w:val="-12"/>
          <w:sz w:val="18"/>
        </w:rPr>
        <w:t> </w:t>
      </w:r>
      <w:r>
        <w:rPr>
          <w:i/>
          <w:color w:val="231F20"/>
          <w:sz w:val="18"/>
        </w:rPr>
        <w:t>in- </w:t>
      </w:r>
      <w:r>
        <w:rPr>
          <w:i/>
          <w:color w:val="231F20"/>
          <w:w w:val="105"/>
          <w:sz w:val="18"/>
        </w:rPr>
        <w:t>ternacional</w:t>
      </w:r>
      <w:r>
        <w:rPr>
          <w:color w:val="231F20"/>
          <w:w w:val="105"/>
          <w:sz w:val="18"/>
        </w:rPr>
        <w:t>, Serie Población y Desarrollo, núm. 89, celade, Chile, División de  Población  de  cepal, </w:t>
      </w:r>
      <w:r>
        <w:rPr>
          <w:color w:val="231F20"/>
          <w:spacing w:val="20"/>
          <w:w w:val="105"/>
          <w:sz w:val="18"/>
        </w:rPr>
        <w:t> </w:t>
      </w:r>
      <w:r>
        <w:rPr>
          <w:color w:val="231F20"/>
          <w:w w:val="105"/>
          <w:sz w:val="18"/>
        </w:rPr>
        <w:t>diciembre.</w:t>
      </w:r>
    </w:p>
    <w:p>
      <w:pPr>
        <w:spacing w:line="254" w:lineRule="auto" w:before="1"/>
        <w:ind w:left="340" w:right="119" w:hanging="240"/>
        <w:jc w:val="both"/>
        <w:rPr>
          <w:sz w:val="18"/>
        </w:rPr>
      </w:pPr>
      <w:r>
        <w:rPr>
          <w:color w:val="231F20"/>
          <w:w w:val="105"/>
          <w:sz w:val="18"/>
        </w:rPr>
        <w:t>Massey, Douglas, 1990, “Social Structure, Household Strategies, and Cumu- lative Causation of Migration”, </w:t>
      </w:r>
      <w:r>
        <w:rPr>
          <w:i/>
          <w:color w:val="231F20"/>
          <w:w w:val="105"/>
          <w:sz w:val="18"/>
        </w:rPr>
        <w:t>Population Index</w:t>
      </w:r>
      <w:r>
        <w:rPr>
          <w:color w:val="231F20"/>
          <w:w w:val="105"/>
          <w:sz w:val="18"/>
        </w:rPr>
        <w:t>, vol. 56, núm. 1, pp. 3-26.</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z w:val="18"/>
        </w:rPr>
        <w:t>, Jorge Durand y Nolan J. Malone, 2009, </w:t>
      </w:r>
      <w:r>
        <w:rPr>
          <w:i/>
          <w:color w:val="231F20"/>
          <w:sz w:val="18"/>
        </w:rPr>
        <w:t>Detrás de la trama. Políticas mi- </w:t>
      </w:r>
      <w:r>
        <w:rPr>
          <w:i/>
          <w:color w:val="231F20"/>
          <w:sz w:val="18"/>
        </w:rPr>
        <w:t>gratorias entre México y Estados Unidos</w:t>
      </w:r>
      <w:r>
        <w:rPr>
          <w:color w:val="231F20"/>
          <w:sz w:val="18"/>
        </w:rPr>
        <w:t>, México (ed.), Miguel Ángel Porrúa, Universidad   Autónoma   de  Zacatecas.</w:t>
      </w:r>
    </w:p>
    <w:p>
      <w:pPr>
        <w:spacing w:line="254" w:lineRule="auto" w:before="1"/>
        <w:ind w:left="340" w:right="119" w:hanging="240"/>
        <w:jc w:val="both"/>
        <w:rPr>
          <w:sz w:val="18"/>
        </w:rPr>
      </w:pPr>
      <w:r>
        <w:rPr>
          <w:color w:val="231F20"/>
          <w:sz w:val="18"/>
        </w:rPr>
        <w:t>Ocampo, José Antonio, 2009, “Latin America and  the  Global  Financial  Cri-  sis”,</w:t>
      </w:r>
      <w:r>
        <w:rPr>
          <w:color w:val="231F20"/>
          <w:spacing w:val="-7"/>
          <w:sz w:val="18"/>
        </w:rPr>
        <w:t> </w:t>
      </w:r>
      <w:r>
        <w:rPr>
          <w:i/>
          <w:color w:val="231F20"/>
          <w:sz w:val="18"/>
        </w:rPr>
        <w:t>Cambridge</w:t>
      </w:r>
      <w:r>
        <w:rPr>
          <w:i/>
          <w:color w:val="231F20"/>
          <w:spacing w:val="-7"/>
          <w:sz w:val="18"/>
        </w:rPr>
        <w:t> </w:t>
      </w:r>
      <w:r>
        <w:rPr>
          <w:i/>
          <w:color w:val="231F20"/>
          <w:sz w:val="18"/>
        </w:rPr>
        <w:t>Journal</w:t>
      </w:r>
      <w:r>
        <w:rPr>
          <w:i/>
          <w:color w:val="231F20"/>
          <w:spacing w:val="-7"/>
          <w:sz w:val="18"/>
        </w:rPr>
        <w:t> </w:t>
      </w:r>
      <w:r>
        <w:rPr>
          <w:i/>
          <w:color w:val="231F20"/>
          <w:sz w:val="18"/>
        </w:rPr>
        <w:t>of</w:t>
      </w:r>
      <w:r>
        <w:rPr>
          <w:i/>
          <w:color w:val="231F20"/>
          <w:spacing w:val="-7"/>
          <w:sz w:val="18"/>
        </w:rPr>
        <w:t> </w:t>
      </w:r>
      <w:r>
        <w:rPr>
          <w:i/>
          <w:color w:val="231F20"/>
          <w:sz w:val="18"/>
        </w:rPr>
        <w:t>Economics</w:t>
      </w:r>
      <w:r>
        <w:rPr>
          <w:color w:val="231F20"/>
          <w:sz w:val="18"/>
        </w:rPr>
        <w:t>,</w:t>
      </w:r>
      <w:r>
        <w:rPr>
          <w:color w:val="231F20"/>
          <w:spacing w:val="-7"/>
          <w:sz w:val="18"/>
        </w:rPr>
        <w:t> </w:t>
      </w:r>
      <w:r>
        <w:rPr>
          <w:color w:val="231F20"/>
          <w:sz w:val="18"/>
        </w:rPr>
        <w:t>vol.</w:t>
      </w:r>
      <w:r>
        <w:rPr>
          <w:color w:val="231F20"/>
          <w:spacing w:val="-7"/>
          <w:sz w:val="18"/>
        </w:rPr>
        <w:t> </w:t>
      </w:r>
      <w:r>
        <w:rPr>
          <w:color w:val="231F20"/>
          <w:sz w:val="18"/>
        </w:rPr>
        <w:t>33,</w:t>
      </w:r>
      <w:r>
        <w:rPr>
          <w:color w:val="231F20"/>
          <w:spacing w:val="-7"/>
          <w:sz w:val="18"/>
        </w:rPr>
        <w:t> </w:t>
      </w:r>
      <w:r>
        <w:rPr>
          <w:color w:val="231F20"/>
          <w:sz w:val="18"/>
        </w:rPr>
        <w:t>junio.</w:t>
      </w:r>
    </w:p>
    <w:p>
      <w:pPr>
        <w:spacing w:line="254" w:lineRule="auto" w:before="1"/>
        <w:ind w:left="340" w:right="117" w:hanging="240"/>
        <w:jc w:val="both"/>
        <w:rPr>
          <w:sz w:val="18"/>
        </w:rPr>
      </w:pPr>
      <w:r>
        <w:rPr>
          <w:color w:val="231F20"/>
          <w:sz w:val="18"/>
        </w:rPr>
        <w:t>Orozco, Manuel, 2009, </w:t>
      </w:r>
      <w:r>
        <w:rPr>
          <w:i/>
          <w:color w:val="231F20"/>
          <w:sz w:val="18"/>
        </w:rPr>
        <w:t>Understanding the continuing effect of the economic crisis </w:t>
      </w:r>
      <w:r>
        <w:rPr>
          <w:i/>
          <w:color w:val="231F20"/>
          <w:sz w:val="18"/>
        </w:rPr>
        <w:t>on remittances to Latin America and the Caribbean</w:t>
      </w:r>
      <w:r>
        <w:rPr>
          <w:color w:val="231F20"/>
          <w:sz w:val="18"/>
        </w:rPr>
        <w:t>, Report to   idb-mif.</w:t>
      </w:r>
    </w:p>
    <w:p>
      <w:pPr>
        <w:spacing w:line="254" w:lineRule="auto" w:before="1"/>
        <w:ind w:left="340" w:right="119" w:hanging="240"/>
        <w:jc w:val="both"/>
        <w:rPr>
          <w:sz w:val="18"/>
        </w:rPr>
      </w:pPr>
      <w:r>
        <w:rPr>
          <w:color w:val="231F20"/>
          <w:sz w:val="18"/>
        </w:rPr>
        <w:t>Papademetriou, Demetrios G. y Aaron Terrazas, 2009, </w:t>
      </w:r>
      <w:r>
        <w:rPr>
          <w:i/>
          <w:color w:val="231F20"/>
          <w:sz w:val="18"/>
        </w:rPr>
        <w:t>Immigrants and the  </w:t>
      </w:r>
      <w:r>
        <w:rPr>
          <w:i/>
          <w:color w:val="231F20"/>
          <w:w w:val="95"/>
          <w:sz w:val="18"/>
        </w:rPr>
        <w:t>Current Economic Crisis: Research Evidence, Policy Challenges, and Implications</w:t>
      </w:r>
      <w:r>
        <w:rPr>
          <w:color w:val="231F20"/>
          <w:w w:val="95"/>
          <w:sz w:val="18"/>
        </w:rPr>
        <w:t>, </w:t>
      </w:r>
      <w:r>
        <w:rPr>
          <w:color w:val="231F20"/>
          <w:sz w:val="18"/>
        </w:rPr>
        <w:t>Washington, DC, Migration Policy Institute &lt;</w:t>
      </w:r>
      <w:hyperlink r:id="rId243">
        <w:r>
          <w:rPr>
            <w:color w:val="231F20"/>
            <w:sz w:val="18"/>
          </w:rPr>
          <w:t>www.migrationpolicy.org/</w:t>
        </w:r>
      </w:hyperlink>
      <w:r>
        <w:rPr>
          <w:color w:val="231F20"/>
          <w:sz w:val="18"/>
        </w:rPr>
        <w:t> pubs/lmi_recessionJan09.pdf&gt;.</w:t>
      </w:r>
    </w:p>
    <w:p>
      <w:pPr>
        <w:spacing w:line="254" w:lineRule="auto" w:before="1"/>
        <w:ind w:left="340" w:right="119" w:hanging="240"/>
        <w:jc w:val="both"/>
        <w:rPr>
          <w:sz w:val="18"/>
        </w:rPr>
      </w:pPr>
      <w:r>
        <w:rPr>
          <w:color w:val="231F20"/>
          <w:w w:val="105"/>
          <w:sz w:val="18"/>
        </w:rPr>
        <w:t>Portes, Alejandro y Josh de Wind, 2006, “Un diálogo transatlántico: el pro- greso de la investigación y la teoría en el estudio de la migración inter- nacional” en A. Portes y J. DeWind (coords.), </w:t>
      </w:r>
      <w:r>
        <w:rPr>
          <w:i/>
          <w:color w:val="231F20"/>
          <w:w w:val="105"/>
          <w:sz w:val="18"/>
        </w:rPr>
        <w:t>Repensando las migraciones. </w:t>
      </w:r>
      <w:r>
        <w:rPr>
          <w:i/>
          <w:color w:val="231F20"/>
          <w:w w:val="105"/>
          <w:sz w:val="18"/>
        </w:rPr>
        <w:t>Nuevas</w:t>
      </w:r>
      <w:r>
        <w:rPr>
          <w:i/>
          <w:color w:val="231F20"/>
          <w:spacing w:val="-17"/>
          <w:w w:val="105"/>
          <w:sz w:val="18"/>
        </w:rPr>
        <w:t> </w:t>
      </w:r>
      <w:r>
        <w:rPr>
          <w:i/>
          <w:color w:val="231F20"/>
          <w:w w:val="105"/>
          <w:sz w:val="18"/>
        </w:rPr>
        <w:t>perspectivas</w:t>
      </w:r>
      <w:r>
        <w:rPr>
          <w:i/>
          <w:color w:val="231F20"/>
          <w:spacing w:val="-17"/>
          <w:w w:val="105"/>
          <w:sz w:val="18"/>
        </w:rPr>
        <w:t> </w:t>
      </w:r>
      <w:r>
        <w:rPr>
          <w:i/>
          <w:color w:val="231F20"/>
          <w:w w:val="105"/>
          <w:sz w:val="18"/>
        </w:rPr>
        <w:t>teóricas</w:t>
      </w:r>
      <w:r>
        <w:rPr>
          <w:i/>
          <w:color w:val="231F20"/>
          <w:spacing w:val="-17"/>
          <w:w w:val="105"/>
          <w:sz w:val="18"/>
        </w:rPr>
        <w:t> </w:t>
      </w:r>
      <w:r>
        <w:rPr>
          <w:i/>
          <w:color w:val="231F20"/>
          <w:w w:val="105"/>
          <w:sz w:val="18"/>
        </w:rPr>
        <w:t>y</w:t>
      </w:r>
      <w:r>
        <w:rPr>
          <w:i/>
          <w:color w:val="231F20"/>
          <w:spacing w:val="-17"/>
          <w:w w:val="105"/>
          <w:sz w:val="18"/>
        </w:rPr>
        <w:t> </w:t>
      </w:r>
      <w:r>
        <w:rPr>
          <w:i/>
          <w:color w:val="231F20"/>
          <w:w w:val="105"/>
          <w:sz w:val="18"/>
        </w:rPr>
        <w:t>empíricas</w:t>
      </w:r>
      <w:r>
        <w:rPr>
          <w:color w:val="231F20"/>
          <w:w w:val="105"/>
          <w:sz w:val="18"/>
        </w:rPr>
        <w:t>,</w:t>
      </w:r>
      <w:r>
        <w:rPr>
          <w:color w:val="231F20"/>
          <w:spacing w:val="-17"/>
          <w:w w:val="105"/>
          <w:sz w:val="18"/>
        </w:rPr>
        <w:t> </w:t>
      </w:r>
      <w:r>
        <w:rPr>
          <w:color w:val="231F20"/>
          <w:w w:val="105"/>
          <w:sz w:val="18"/>
        </w:rPr>
        <w:t>México,</w:t>
      </w:r>
      <w:r>
        <w:rPr>
          <w:color w:val="231F20"/>
          <w:spacing w:val="-17"/>
          <w:w w:val="105"/>
          <w:sz w:val="18"/>
        </w:rPr>
        <w:t> </w:t>
      </w:r>
      <w:r>
        <w:rPr>
          <w:color w:val="231F20"/>
          <w:w w:val="105"/>
          <w:sz w:val="18"/>
        </w:rPr>
        <w:t>M.</w:t>
      </w:r>
      <w:r>
        <w:rPr>
          <w:color w:val="231F20"/>
          <w:spacing w:val="-17"/>
          <w:w w:val="105"/>
          <w:sz w:val="18"/>
        </w:rPr>
        <w:t> </w:t>
      </w:r>
      <w:r>
        <w:rPr>
          <w:color w:val="231F20"/>
          <w:w w:val="105"/>
          <w:sz w:val="18"/>
        </w:rPr>
        <w:t>A.</w:t>
      </w:r>
      <w:r>
        <w:rPr>
          <w:color w:val="231F20"/>
          <w:spacing w:val="-17"/>
          <w:w w:val="105"/>
          <w:sz w:val="18"/>
        </w:rPr>
        <w:t> </w:t>
      </w:r>
      <w:r>
        <w:rPr>
          <w:color w:val="231F20"/>
          <w:w w:val="105"/>
          <w:sz w:val="18"/>
        </w:rPr>
        <w:t>Porrúa,</w:t>
      </w:r>
      <w:r>
        <w:rPr>
          <w:color w:val="231F20"/>
          <w:spacing w:val="-17"/>
          <w:w w:val="105"/>
          <w:sz w:val="18"/>
        </w:rPr>
        <w:t> </w:t>
      </w:r>
      <w:r>
        <w:rPr>
          <w:color w:val="231F20"/>
          <w:w w:val="105"/>
          <w:sz w:val="18"/>
        </w:rPr>
        <w:t>Universidad Autónoma  de</w:t>
      </w:r>
      <w:r>
        <w:rPr>
          <w:color w:val="231F20"/>
          <w:spacing w:val="23"/>
          <w:w w:val="105"/>
          <w:sz w:val="18"/>
        </w:rPr>
        <w:t> </w:t>
      </w:r>
      <w:r>
        <w:rPr>
          <w:color w:val="231F20"/>
          <w:w w:val="105"/>
          <w:sz w:val="18"/>
        </w:rPr>
        <w:t>Zacatecas.</w:t>
      </w:r>
    </w:p>
    <w:p>
      <w:pPr>
        <w:spacing w:line="254" w:lineRule="auto" w:before="1"/>
        <w:ind w:left="340" w:right="119" w:hanging="240"/>
        <w:jc w:val="both"/>
        <w:rPr>
          <w:sz w:val="18"/>
        </w:rPr>
      </w:pPr>
      <w:r>
        <w:rPr>
          <w:color w:val="231F20"/>
          <w:w w:val="105"/>
          <w:sz w:val="18"/>
        </w:rPr>
        <w:t>Ratha, Dilip and Sanket Mohapatra, 2009, “Revised Outlook for Remittance Flows 2009-2011: Remittances expected to fall by 5 to 8 percent in 2009”, </w:t>
      </w:r>
      <w:r>
        <w:rPr>
          <w:i/>
          <w:color w:val="231F20"/>
          <w:w w:val="105"/>
          <w:sz w:val="18"/>
        </w:rPr>
        <w:t>Migration</w:t>
      </w:r>
      <w:r>
        <w:rPr>
          <w:i/>
          <w:color w:val="231F20"/>
          <w:spacing w:val="-9"/>
          <w:w w:val="105"/>
          <w:sz w:val="18"/>
        </w:rPr>
        <w:t> </w:t>
      </w:r>
      <w:r>
        <w:rPr>
          <w:i/>
          <w:color w:val="231F20"/>
          <w:w w:val="105"/>
          <w:sz w:val="18"/>
        </w:rPr>
        <w:t>and</w:t>
      </w:r>
      <w:r>
        <w:rPr>
          <w:i/>
          <w:color w:val="231F20"/>
          <w:spacing w:val="-9"/>
          <w:w w:val="105"/>
          <w:sz w:val="18"/>
        </w:rPr>
        <w:t> </w:t>
      </w:r>
      <w:r>
        <w:rPr>
          <w:i/>
          <w:color w:val="231F20"/>
          <w:w w:val="105"/>
          <w:sz w:val="18"/>
        </w:rPr>
        <w:t>Development</w:t>
      </w:r>
      <w:r>
        <w:rPr>
          <w:i/>
          <w:color w:val="231F20"/>
          <w:spacing w:val="-9"/>
          <w:w w:val="105"/>
          <w:sz w:val="18"/>
        </w:rPr>
        <w:t> </w:t>
      </w:r>
      <w:r>
        <w:rPr>
          <w:i/>
          <w:color w:val="231F20"/>
          <w:w w:val="105"/>
          <w:sz w:val="18"/>
        </w:rPr>
        <w:t>Brief</w:t>
      </w:r>
      <w:r>
        <w:rPr>
          <w:i/>
          <w:color w:val="231F20"/>
          <w:spacing w:val="-9"/>
          <w:w w:val="105"/>
          <w:sz w:val="18"/>
        </w:rPr>
        <w:t> </w:t>
      </w:r>
      <w:r>
        <w:rPr>
          <w:i/>
          <w:color w:val="231F20"/>
          <w:w w:val="105"/>
          <w:sz w:val="18"/>
        </w:rPr>
        <w:t>9</w:t>
      </w:r>
      <w:r>
        <w:rPr>
          <w:color w:val="231F20"/>
          <w:w w:val="105"/>
          <w:sz w:val="18"/>
        </w:rPr>
        <w:t>,</w:t>
      </w:r>
      <w:r>
        <w:rPr>
          <w:color w:val="231F20"/>
          <w:spacing w:val="-9"/>
          <w:w w:val="105"/>
          <w:sz w:val="18"/>
        </w:rPr>
        <w:t> </w:t>
      </w:r>
      <w:r>
        <w:rPr>
          <w:color w:val="231F20"/>
          <w:w w:val="105"/>
          <w:sz w:val="18"/>
        </w:rPr>
        <w:t>Migration</w:t>
      </w:r>
      <w:r>
        <w:rPr>
          <w:color w:val="231F20"/>
          <w:spacing w:val="-9"/>
          <w:w w:val="105"/>
          <w:sz w:val="18"/>
        </w:rPr>
        <w:t> </w:t>
      </w:r>
      <w:r>
        <w:rPr>
          <w:color w:val="231F20"/>
          <w:w w:val="105"/>
          <w:sz w:val="18"/>
        </w:rPr>
        <w:t>and</w:t>
      </w:r>
      <w:r>
        <w:rPr>
          <w:color w:val="231F20"/>
          <w:spacing w:val="-9"/>
          <w:w w:val="105"/>
          <w:sz w:val="18"/>
        </w:rPr>
        <w:t> </w:t>
      </w:r>
      <w:r>
        <w:rPr>
          <w:color w:val="231F20"/>
          <w:w w:val="105"/>
          <w:sz w:val="18"/>
        </w:rPr>
        <w:t>Remittances</w:t>
      </w:r>
      <w:r>
        <w:rPr>
          <w:color w:val="231F20"/>
          <w:spacing w:val="-9"/>
          <w:w w:val="105"/>
          <w:sz w:val="18"/>
        </w:rPr>
        <w:t> </w:t>
      </w:r>
      <w:r>
        <w:rPr>
          <w:color w:val="231F20"/>
          <w:spacing w:val="-5"/>
          <w:w w:val="105"/>
          <w:sz w:val="18"/>
        </w:rPr>
        <w:t>Team</w:t>
      </w:r>
      <w:r>
        <w:rPr>
          <w:color w:val="231F20"/>
          <w:spacing w:val="-9"/>
          <w:w w:val="105"/>
          <w:sz w:val="18"/>
        </w:rPr>
        <w:t> </w:t>
      </w:r>
      <w:r>
        <w:rPr>
          <w:color w:val="231F20"/>
          <w:w w:val="105"/>
          <w:sz w:val="18"/>
        </w:rPr>
        <w:t>Deve- lopment  Prospects  Group,  </w:t>
      </w:r>
      <w:r>
        <w:rPr>
          <w:color w:val="231F20"/>
          <w:spacing w:val="-3"/>
          <w:w w:val="105"/>
          <w:sz w:val="18"/>
        </w:rPr>
        <w:t>World  </w:t>
      </w:r>
      <w:r>
        <w:rPr>
          <w:color w:val="231F20"/>
          <w:w w:val="105"/>
          <w:sz w:val="18"/>
        </w:rPr>
        <w:t>Bank,</w:t>
      </w:r>
      <w:r>
        <w:rPr>
          <w:color w:val="231F20"/>
          <w:spacing w:val="-3"/>
          <w:w w:val="105"/>
          <w:sz w:val="18"/>
        </w:rPr>
        <w:t> </w:t>
      </w:r>
      <w:r>
        <w:rPr>
          <w:color w:val="231F20"/>
          <w:w w:val="105"/>
          <w:sz w:val="18"/>
        </w:rPr>
        <w:t>marzo.</w:t>
      </w:r>
    </w:p>
    <w:p>
      <w:pPr>
        <w:spacing w:line="254" w:lineRule="auto" w:before="1"/>
        <w:ind w:left="340" w:right="118" w:hanging="240"/>
        <w:jc w:val="both"/>
        <w:rPr>
          <w:sz w:val="18"/>
        </w:rPr>
      </w:pPr>
      <w:r>
        <w:rPr>
          <w:color w:val="231F20"/>
          <w:w w:val="105"/>
          <w:sz w:val="18"/>
        </w:rPr>
        <w:t>Sarmiento Palacio, Eduardo, 2009, “Causas y evolución de la crisis mundial” en </w:t>
      </w:r>
      <w:r>
        <w:rPr>
          <w:i/>
          <w:color w:val="231F20"/>
          <w:w w:val="105"/>
          <w:sz w:val="18"/>
        </w:rPr>
        <w:t>La crisis económica mundial</w:t>
      </w:r>
      <w:r>
        <w:rPr>
          <w:color w:val="231F20"/>
          <w:w w:val="105"/>
          <w:sz w:val="18"/>
        </w:rPr>
        <w:t>, México, Editorial Debate.</w:t>
      </w:r>
    </w:p>
    <w:p>
      <w:pPr>
        <w:spacing w:line="254" w:lineRule="auto" w:before="1"/>
        <w:ind w:left="340" w:right="118" w:hanging="240"/>
        <w:jc w:val="both"/>
        <w:rPr>
          <w:sz w:val="18"/>
        </w:rPr>
      </w:pPr>
      <w:r>
        <w:rPr>
          <w:color w:val="231F20"/>
          <w:sz w:val="18"/>
        </w:rPr>
        <w:t>Sassen, Saskia, 1998, </w:t>
      </w:r>
      <w:r>
        <w:rPr>
          <w:i/>
          <w:color w:val="231F20"/>
          <w:sz w:val="18"/>
        </w:rPr>
        <w:t>Globalization and its Discontents</w:t>
      </w:r>
      <w:r>
        <w:rPr>
          <w:color w:val="231F20"/>
          <w:sz w:val="18"/>
        </w:rPr>
        <w:t>, Nueva York, The New Press.</w:t>
      </w:r>
    </w:p>
    <w:p>
      <w:pPr>
        <w:spacing w:line="254" w:lineRule="auto" w:before="1"/>
        <w:ind w:left="340" w:right="117" w:hanging="240"/>
        <w:jc w:val="both"/>
        <w:rPr>
          <w:sz w:val="18"/>
        </w:rPr>
      </w:pPr>
      <w:r>
        <w:rPr>
          <w:color w:val="231F20"/>
          <w:sz w:val="18"/>
        </w:rPr>
        <w:t>sela,</w:t>
      </w:r>
      <w:r>
        <w:rPr>
          <w:color w:val="231F20"/>
          <w:spacing w:val="-5"/>
          <w:sz w:val="18"/>
        </w:rPr>
        <w:t> </w:t>
      </w:r>
      <w:r>
        <w:rPr>
          <w:color w:val="231F20"/>
          <w:sz w:val="18"/>
        </w:rPr>
        <w:t>2009,</w:t>
      </w:r>
      <w:r>
        <w:rPr>
          <w:color w:val="231F20"/>
          <w:spacing w:val="-5"/>
          <w:sz w:val="18"/>
        </w:rPr>
        <w:t> </w:t>
      </w:r>
      <w:r>
        <w:rPr>
          <w:i/>
          <w:color w:val="231F20"/>
          <w:sz w:val="18"/>
        </w:rPr>
        <w:t>Recesión</w:t>
      </w:r>
      <w:r>
        <w:rPr>
          <w:i/>
          <w:color w:val="231F20"/>
          <w:spacing w:val="-5"/>
          <w:sz w:val="18"/>
        </w:rPr>
        <w:t> </w:t>
      </w:r>
      <w:r>
        <w:rPr>
          <w:i/>
          <w:color w:val="231F20"/>
          <w:sz w:val="18"/>
        </w:rPr>
        <w:t>global,</w:t>
      </w:r>
      <w:r>
        <w:rPr>
          <w:i/>
          <w:color w:val="231F20"/>
          <w:spacing w:val="-5"/>
          <w:sz w:val="18"/>
        </w:rPr>
        <w:t> </w:t>
      </w:r>
      <w:r>
        <w:rPr>
          <w:i/>
          <w:color w:val="231F20"/>
          <w:sz w:val="18"/>
        </w:rPr>
        <w:t>migraciones</w:t>
      </w:r>
      <w:r>
        <w:rPr>
          <w:i/>
          <w:color w:val="231F20"/>
          <w:spacing w:val="-5"/>
          <w:sz w:val="18"/>
        </w:rPr>
        <w:t> </w:t>
      </w:r>
      <w:r>
        <w:rPr>
          <w:i/>
          <w:color w:val="231F20"/>
          <w:sz w:val="18"/>
        </w:rPr>
        <w:t>y</w:t>
      </w:r>
      <w:r>
        <w:rPr>
          <w:i/>
          <w:color w:val="231F20"/>
          <w:spacing w:val="-5"/>
          <w:sz w:val="18"/>
        </w:rPr>
        <w:t> </w:t>
      </w:r>
      <w:r>
        <w:rPr>
          <w:i/>
          <w:color w:val="231F20"/>
          <w:sz w:val="18"/>
        </w:rPr>
        <w:t>remesas:</w:t>
      </w:r>
      <w:r>
        <w:rPr>
          <w:i/>
          <w:color w:val="231F20"/>
          <w:spacing w:val="-5"/>
          <w:sz w:val="18"/>
        </w:rPr>
        <w:t> </w:t>
      </w:r>
      <w:r>
        <w:rPr>
          <w:i/>
          <w:color w:val="231F20"/>
          <w:sz w:val="18"/>
        </w:rPr>
        <w:t>efectos</w:t>
      </w:r>
      <w:r>
        <w:rPr>
          <w:i/>
          <w:color w:val="231F20"/>
          <w:spacing w:val="-5"/>
          <w:sz w:val="18"/>
        </w:rPr>
        <w:t> </w:t>
      </w:r>
      <w:r>
        <w:rPr>
          <w:i/>
          <w:color w:val="231F20"/>
          <w:sz w:val="18"/>
        </w:rPr>
        <w:t>sobre</w:t>
      </w:r>
      <w:r>
        <w:rPr>
          <w:i/>
          <w:color w:val="231F20"/>
          <w:spacing w:val="-5"/>
          <w:sz w:val="18"/>
        </w:rPr>
        <w:t> </w:t>
      </w:r>
      <w:r>
        <w:rPr>
          <w:i/>
          <w:color w:val="231F20"/>
          <w:sz w:val="18"/>
        </w:rPr>
        <w:t>las</w:t>
      </w:r>
      <w:r>
        <w:rPr>
          <w:i/>
          <w:color w:val="231F20"/>
          <w:spacing w:val="-5"/>
          <w:sz w:val="18"/>
        </w:rPr>
        <w:t> </w:t>
      </w:r>
      <w:r>
        <w:rPr>
          <w:i/>
          <w:color w:val="231F20"/>
          <w:sz w:val="18"/>
        </w:rPr>
        <w:t>economías</w:t>
      </w:r>
      <w:r>
        <w:rPr>
          <w:i/>
          <w:color w:val="231F20"/>
          <w:spacing w:val="-5"/>
          <w:sz w:val="18"/>
        </w:rPr>
        <w:t> </w:t>
      </w:r>
      <w:r>
        <w:rPr>
          <w:i/>
          <w:color w:val="231F20"/>
          <w:sz w:val="18"/>
        </w:rPr>
        <w:t>de </w:t>
      </w:r>
      <w:r>
        <w:rPr>
          <w:i/>
          <w:color w:val="231F20"/>
          <w:sz w:val="18"/>
        </w:rPr>
        <w:t>América Latina y el Caribe</w:t>
      </w:r>
      <w:r>
        <w:rPr>
          <w:color w:val="231F20"/>
          <w:sz w:val="18"/>
        </w:rPr>
        <w:t>, Sistema Económico Latinoamericano, Venezue-  la,  mayo,  SP/Di  No.  5-09/Rev.</w:t>
      </w:r>
      <w:r>
        <w:rPr>
          <w:color w:val="231F20"/>
          <w:spacing w:val="24"/>
          <w:sz w:val="18"/>
        </w:rPr>
        <w:t> </w:t>
      </w:r>
      <w:r>
        <w:rPr>
          <w:color w:val="231F20"/>
          <w:sz w:val="18"/>
        </w:rPr>
        <w:t>1.</w:t>
      </w:r>
    </w:p>
    <w:p>
      <w:pPr>
        <w:spacing w:line="254" w:lineRule="auto" w:before="1"/>
        <w:ind w:left="340" w:right="117" w:hanging="240"/>
        <w:jc w:val="both"/>
        <w:rPr>
          <w:sz w:val="18"/>
        </w:rPr>
      </w:pPr>
      <w:r>
        <w:rPr>
          <w:color w:val="231F20"/>
          <w:sz w:val="18"/>
        </w:rPr>
        <w:t>Smith, Robert Courtney, 2006, </w:t>
      </w:r>
      <w:r>
        <w:rPr>
          <w:i/>
          <w:color w:val="231F20"/>
          <w:sz w:val="18"/>
        </w:rPr>
        <w:t>Mexican New York. Transnational Lives of New </w:t>
      </w:r>
      <w:r>
        <w:rPr>
          <w:i/>
          <w:color w:val="231F20"/>
          <w:sz w:val="18"/>
        </w:rPr>
        <w:t>Immigrant</w:t>
      </w:r>
      <w:r>
        <w:rPr>
          <w:color w:val="231F20"/>
          <w:sz w:val="18"/>
        </w:rPr>
        <w:t>s,  University  of  California  Press,  Berkeley, California.</w:t>
      </w:r>
    </w:p>
    <w:p>
      <w:pPr>
        <w:spacing w:line="254" w:lineRule="auto" w:before="1"/>
        <w:ind w:left="340" w:right="114" w:hanging="240"/>
        <w:jc w:val="both"/>
        <w:rPr>
          <w:sz w:val="18"/>
        </w:rPr>
      </w:pPr>
      <w:r>
        <w:rPr>
          <w:color w:val="231F20"/>
          <w:w w:val="105"/>
          <w:sz w:val="18"/>
        </w:rPr>
        <w:t>Solimano, Andrés, 2009, </w:t>
      </w:r>
      <w:r>
        <w:rPr>
          <w:i/>
          <w:color w:val="231F20"/>
          <w:w w:val="105"/>
          <w:sz w:val="18"/>
        </w:rPr>
        <w:t>Remesas, movilidad de capital humano y desarrollo </w:t>
      </w:r>
      <w:r>
        <w:rPr>
          <w:i/>
          <w:color w:val="231F20"/>
          <w:w w:val="105"/>
          <w:sz w:val="18"/>
        </w:rPr>
        <w:t>económico: la experiencia Latinoamericana</w:t>
      </w:r>
      <w:r>
        <w:rPr>
          <w:color w:val="231F20"/>
          <w:w w:val="105"/>
          <w:sz w:val="18"/>
        </w:rPr>
        <w:t>, documento de trabajo, cidob, Barcelona,  14  de septiembre.</w:t>
      </w:r>
    </w:p>
    <w:p>
      <w:pPr>
        <w:spacing w:line="254" w:lineRule="auto" w:before="1"/>
        <w:ind w:left="340" w:right="117" w:hanging="240"/>
        <w:jc w:val="both"/>
        <w:rPr>
          <w:sz w:val="18"/>
        </w:rPr>
      </w:pPr>
      <w:r>
        <w:rPr>
          <w:color w:val="231F20"/>
          <w:sz w:val="18"/>
        </w:rPr>
        <w:t>Stacey, Judith, 1996, </w:t>
      </w:r>
      <w:r>
        <w:rPr>
          <w:i/>
          <w:color w:val="231F20"/>
          <w:sz w:val="18"/>
        </w:rPr>
        <w:t>In the Name of the Family. Rethinking Family Values in the </w:t>
      </w:r>
      <w:r>
        <w:rPr>
          <w:i/>
          <w:color w:val="231F20"/>
          <w:sz w:val="18"/>
        </w:rPr>
        <w:t>Postmodern Age</w:t>
      </w:r>
      <w:r>
        <w:rPr>
          <w:color w:val="231F20"/>
          <w:sz w:val="18"/>
        </w:rPr>
        <w:t>, Boston, Beacon  Press.</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7" w:hanging="240"/>
        <w:jc w:val="both"/>
        <w:rPr>
          <w:sz w:val="18"/>
        </w:rPr>
      </w:pPr>
      <w:r>
        <w:rPr>
          <w:color w:val="231F20"/>
          <w:w w:val="105"/>
          <w:sz w:val="18"/>
        </w:rPr>
        <w:t>Stiglitz, Joseph, 2009, “Crisis mundial, protección social y empleo”, </w:t>
      </w:r>
      <w:r>
        <w:rPr>
          <w:i/>
          <w:color w:val="231F20"/>
          <w:w w:val="105"/>
          <w:sz w:val="18"/>
        </w:rPr>
        <w:t>Revista </w:t>
      </w:r>
      <w:r>
        <w:rPr>
          <w:i/>
          <w:color w:val="231F20"/>
          <w:w w:val="105"/>
          <w:sz w:val="18"/>
        </w:rPr>
        <w:t>Internacional del Trabajo</w:t>
      </w:r>
      <w:r>
        <w:rPr>
          <w:color w:val="231F20"/>
          <w:w w:val="105"/>
          <w:sz w:val="18"/>
        </w:rPr>
        <w:t>, vol. 128, núm. 1-2, Organización Internacional del  Trabajo.</w:t>
      </w:r>
    </w:p>
    <w:p>
      <w:pPr>
        <w:spacing w:line="254" w:lineRule="auto" w:before="1"/>
        <w:ind w:left="340" w:right="117" w:hanging="240"/>
        <w:jc w:val="both"/>
        <w:rPr>
          <w:sz w:val="18"/>
        </w:rPr>
      </w:pPr>
      <w:r>
        <w:rPr>
          <w:color w:val="231F20"/>
          <w:sz w:val="18"/>
        </w:rPr>
        <w:t>Zlolniski, Christian, 2006, </w:t>
      </w:r>
      <w:r>
        <w:rPr>
          <w:i/>
          <w:color w:val="231F20"/>
          <w:sz w:val="18"/>
        </w:rPr>
        <w:t>Janitors, Street Vendors, and Activists: The Lives of </w:t>
      </w:r>
      <w:r>
        <w:rPr>
          <w:i/>
          <w:color w:val="231F20"/>
          <w:sz w:val="18"/>
        </w:rPr>
        <w:t>Mexican immigrants in Silicon Valley</w:t>
      </w:r>
      <w:r>
        <w:rPr>
          <w:color w:val="231F20"/>
          <w:sz w:val="18"/>
        </w:rPr>
        <w:t>, Berkeley, University of California Press.</w:t>
      </w:r>
    </w:p>
    <w:p>
      <w:pPr>
        <w:spacing w:after="0" w:line="254" w:lineRule="auto"/>
        <w:jc w:val="both"/>
        <w:rPr>
          <w:sz w:val="18"/>
        </w:rPr>
        <w:sectPr>
          <w:pgSz w:w="7640" w:h="11900"/>
          <w:pgMar w:header="672" w:footer="0" w:top="860" w:bottom="280" w:left="660" w:right="760"/>
        </w:sectPr>
      </w:pPr>
    </w:p>
    <w:p>
      <w:pPr>
        <w:pStyle w:val="BodyText"/>
        <w:spacing w:before="39"/>
        <w:ind w:left="100" w:right="25"/>
      </w:pPr>
      <w:r>
        <w:rPr>
          <w:color w:val="231F20"/>
        </w:rPr>
        <w:t>LAS BURBUJAS DEL SIGLO  XXI:</w:t>
      </w:r>
    </w:p>
    <w:p>
      <w:pPr>
        <w:pStyle w:val="BodyText"/>
        <w:spacing w:before="20"/>
        <w:ind w:left="100" w:right="25"/>
      </w:pPr>
      <w:r>
        <w:rPr>
          <w:color w:val="231F20"/>
        </w:rPr>
        <w:t>¿EL FIN DEL SUEÑO   AMERICANO?</w:t>
      </w:r>
    </w:p>
    <w:p>
      <w:pPr>
        <w:pStyle w:val="BodyText"/>
        <w:spacing w:before="7"/>
        <w:rPr>
          <w:sz w:val="17"/>
        </w:rPr>
      </w:pPr>
    </w:p>
    <w:p>
      <w:pPr>
        <w:pStyle w:val="BodyText"/>
        <w:spacing w:before="67"/>
        <w:ind w:left="4130" w:right="25"/>
      </w:pPr>
      <w:r>
        <w:rPr>
          <w:color w:val="231F20"/>
          <w:w w:val="120"/>
        </w:rPr>
        <w:t>james martin cypher</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20"/>
        <w:ind w:left="100"/>
        <w:jc w:val="both"/>
      </w:pPr>
      <w:r>
        <w:rPr>
          <w:color w:val="231F20"/>
          <w:w w:val="120"/>
        </w:rPr>
        <w:t>hegemonía, proyección de poder, consenso social</w:t>
      </w:r>
    </w:p>
    <w:p>
      <w:pPr>
        <w:pStyle w:val="BodyText"/>
        <w:spacing w:before="5"/>
        <w:rPr>
          <w:sz w:val="23"/>
        </w:rPr>
      </w:pPr>
    </w:p>
    <w:p>
      <w:pPr>
        <w:pStyle w:val="BodyText"/>
        <w:spacing w:line="261" w:lineRule="auto"/>
        <w:ind w:left="100" w:right="117"/>
        <w:jc w:val="both"/>
      </w:pPr>
      <w:r>
        <w:rPr>
          <w:color w:val="231F20"/>
          <w:w w:val="110"/>
        </w:rPr>
        <w:t>Este trabajo aborda el tema de las condiciones actuales de la clase trabajadora</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clase</w:t>
      </w:r>
      <w:r>
        <w:rPr>
          <w:color w:val="231F20"/>
          <w:spacing w:val="-8"/>
          <w:w w:val="110"/>
        </w:rPr>
        <w:t> </w:t>
      </w:r>
      <w:r>
        <w:rPr>
          <w:color w:val="231F20"/>
          <w:w w:val="110"/>
        </w:rPr>
        <w:t>media,</w:t>
      </w:r>
      <w:r>
        <w:rPr>
          <w:color w:val="231F20"/>
          <w:spacing w:val="-8"/>
          <w:w w:val="110"/>
        </w:rPr>
        <w:t> </w:t>
      </w:r>
      <w:r>
        <w:rPr>
          <w:color w:val="231F20"/>
          <w:w w:val="110"/>
        </w:rPr>
        <w:t>después</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decenio</w:t>
      </w:r>
      <w:r>
        <w:rPr>
          <w:color w:val="231F20"/>
          <w:spacing w:val="-8"/>
          <w:w w:val="110"/>
        </w:rPr>
        <w:t> </w:t>
      </w:r>
      <w:r>
        <w:rPr>
          <w:color w:val="231F20"/>
          <w:w w:val="110"/>
        </w:rPr>
        <w:t>marcado</w:t>
      </w:r>
      <w:r>
        <w:rPr>
          <w:color w:val="231F20"/>
          <w:spacing w:val="-8"/>
          <w:w w:val="110"/>
        </w:rPr>
        <w:t> </w:t>
      </w:r>
      <w:r>
        <w:rPr>
          <w:color w:val="231F20"/>
          <w:w w:val="110"/>
        </w:rPr>
        <w:t>con</w:t>
      </w:r>
      <w:r>
        <w:rPr>
          <w:color w:val="231F20"/>
          <w:spacing w:val="-8"/>
          <w:w w:val="110"/>
        </w:rPr>
        <w:t> </w:t>
      </w:r>
      <w:r>
        <w:rPr>
          <w:color w:val="231F20"/>
          <w:w w:val="110"/>
        </w:rPr>
        <w:t>dos rupturas</w:t>
      </w:r>
      <w:r>
        <w:rPr>
          <w:color w:val="231F20"/>
          <w:spacing w:val="-6"/>
          <w:w w:val="110"/>
        </w:rPr>
        <w:t> </w:t>
      </w:r>
      <w:r>
        <w:rPr>
          <w:color w:val="231F20"/>
          <w:w w:val="110"/>
        </w:rPr>
        <w:t>financieras</w:t>
      </w:r>
      <w:r>
        <w:rPr>
          <w:color w:val="231F20"/>
          <w:spacing w:val="-6"/>
          <w:w w:val="110"/>
        </w:rPr>
        <w:t> </w:t>
      </w:r>
      <w:r>
        <w:rPr>
          <w:color w:val="231F20"/>
          <w:w w:val="110"/>
        </w:rPr>
        <w:t>que</w:t>
      </w:r>
      <w:r>
        <w:rPr>
          <w:color w:val="231F20"/>
          <w:spacing w:val="-6"/>
          <w:w w:val="110"/>
        </w:rPr>
        <w:t> </w:t>
      </w:r>
      <w:r>
        <w:rPr>
          <w:color w:val="231F20"/>
          <w:w w:val="110"/>
        </w:rPr>
        <w:t>han</w:t>
      </w:r>
      <w:r>
        <w:rPr>
          <w:color w:val="231F20"/>
          <w:spacing w:val="-6"/>
          <w:w w:val="110"/>
        </w:rPr>
        <w:t> </w:t>
      </w:r>
      <w:r>
        <w:rPr>
          <w:color w:val="231F20"/>
          <w:w w:val="110"/>
        </w:rPr>
        <w:t>impactado</w:t>
      </w:r>
      <w:r>
        <w:rPr>
          <w:color w:val="231F20"/>
          <w:spacing w:val="-6"/>
          <w:w w:val="110"/>
        </w:rPr>
        <w:t> </w:t>
      </w:r>
      <w:r>
        <w:rPr>
          <w:color w:val="231F20"/>
          <w:w w:val="110"/>
        </w:rPr>
        <w:t>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como</w:t>
      </w:r>
      <w:r>
        <w:rPr>
          <w:color w:val="231F20"/>
          <w:spacing w:val="-6"/>
          <w:w w:val="110"/>
        </w:rPr>
        <w:t> </w:t>
      </w:r>
      <w:r>
        <w:rPr>
          <w:color w:val="231F20"/>
          <w:w w:val="110"/>
        </w:rPr>
        <w:t>nun- ca</w:t>
      </w:r>
      <w:r>
        <w:rPr>
          <w:color w:val="231F20"/>
          <w:spacing w:val="-11"/>
          <w:w w:val="110"/>
        </w:rPr>
        <w:t> </w:t>
      </w:r>
      <w:r>
        <w:rPr>
          <w:color w:val="231F20"/>
          <w:w w:val="110"/>
        </w:rPr>
        <w:t>antes</w:t>
      </w:r>
      <w:r>
        <w:rPr>
          <w:color w:val="231F20"/>
          <w:spacing w:val="-11"/>
          <w:w w:val="110"/>
        </w:rPr>
        <w:t> </w:t>
      </w:r>
      <w:r>
        <w:rPr>
          <w:color w:val="231F20"/>
          <w:w w:val="110"/>
        </w:rPr>
        <w:t>desde</w:t>
      </w:r>
      <w:r>
        <w:rPr>
          <w:color w:val="231F20"/>
          <w:spacing w:val="-11"/>
          <w:w w:val="110"/>
        </w:rPr>
        <w:t> </w:t>
      </w:r>
      <w:r>
        <w:rPr>
          <w:color w:val="231F20"/>
          <w:w w:val="110"/>
        </w:rPr>
        <w:t>la</w:t>
      </w:r>
      <w:r>
        <w:rPr>
          <w:color w:val="231F20"/>
          <w:spacing w:val="-11"/>
          <w:w w:val="110"/>
        </w:rPr>
        <w:t> </w:t>
      </w:r>
      <w:r>
        <w:rPr>
          <w:color w:val="231F20"/>
          <w:w w:val="110"/>
        </w:rPr>
        <w:t>gran</w:t>
      </w:r>
      <w:r>
        <w:rPr>
          <w:color w:val="231F20"/>
          <w:spacing w:val="-11"/>
          <w:w w:val="110"/>
        </w:rPr>
        <w:t> </w:t>
      </w:r>
      <w:r>
        <w:rPr>
          <w:color w:val="231F20"/>
          <w:w w:val="110"/>
        </w:rPr>
        <w:t>depresión.</w:t>
      </w:r>
      <w:r>
        <w:rPr>
          <w:color w:val="231F20"/>
          <w:spacing w:val="-11"/>
          <w:w w:val="110"/>
        </w:rPr>
        <w:t> </w:t>
      </w:r>
      <w:r>
        <w:rPr>
          <w:color w:val="231F20"/>
          <w:w w:val="110"/>
        </w:rPr>
        <w:t>El</w:t>
      </w:r>
      <w:r>
        <w:rPr>
          <w:color w:val="231F20"/>
          <w:spacing w:val="-11"/>
          <w:w w:val="110"/>
        </w:rPr>
        <w:t> </w:t>
      </w:r>
      <w:r>
        <w:rPr>
          <w:color w:val="231F20"/>
          <w:w w:val="110"/>
        </w:rPr>
        <w:t>efecto</w:t>
      </w:r>
      <w:r>
        <w:rPr>
          <w:color w:val="231F20"/>
          <w:spacing w:val="-11"/>
          <w:w w:val="110"/>
        </w:rPr>
        <w:t> </w:t>
      </w:r>
      <w:r>
        <w:rPr>
          <w:color w:val="231F20"/>
          <w:w w:val="110"/>
        </w:rPr>
        <w:t>de</w:t>
      </w:r>
      <w:r>
        <w:rPr>
          <w:color w:val="231F20"/>
          <w:spacing w:val="-11"/>
          <w:w w:val="110"/>
        </w:rPr>
        <w:t> </w:t>
      </w:r>
      <w:r>
        <w:rPr>
          <w:color w:val="231F20"/>
          <w:w w:val="110"/>
        </w:rPr>
        <w:t>estos</w:t>
      </w:r>
      <w:r>
        <w:rPr>
          <w:color w:val="231F20"/>
          <w:spacing w:val="-11"/>
          <w:w w:val="110"/>
        </w:rPr>
        <w:t> </w:t>
      </w:r>
      <w:r>
        <w:rPr>
          <w:color w:val="231F20"/>
          <w:w w:val="110"/>
        </w:rPr>
        <w:t>eventos</w:t>
      </w:r>
      <w:r>
        <w:rPr>
          <w:color w:val="231F20"/>
          <w:spacing w:val="-11"/>
          <w:w w:val="110"/>
        </w:rPr>
        <w:t> </w:t>
      </w:r>
      <w:r>
        <w:rPr>
          <w:color w:val="231F20"/>
          <w:w w:val="110"/>
        </w:rPr>
        <w:t>en</w:t>
      </w:r>
      <w:r>
        <w:rPr>
          <w:color w:val="231F20"/>
          <w:spacing w:val="-11"/>
          <w:w w:val="110"/>
        </w:rPr>
        <w:t> </w:t>
      </w:r>
      <w:r>
        <w:rPr>
          <w:color w:val="231F20"/>
          <w:w w:val="110"/>
        </w:rPr>
        <w:t>cuanto a</w:t>
      </w:r>
      <w:r>
        <w:rPr>
          <w:color w:val="231F20"/>
          <w:spacing w:val="-19"/>
          <w:w w:val="110"/>
        </w:rPr>
        <w:t> </w:t>
      </w:r>
      <w:r>
        <w:rPr>
          <w:color w:val="231F20"/>
          <w:w w:val="110"/>
        </w:rPr>
        <w:t>la</w:t>
      </w:r>
      <w:r>
        <w:rPr>
          <w:color w:val="231F20"/>
          <w:spacing w:val="-19"/>
          <w:w w:val="110"/>
        </w:rPr>
        <w:t> </w:t>
      </w:r>
      <w:r>
        <w:rPr>
          <w:color w:val="231F20"/>
          <w:w w:val="110"/>
        </w:rPr>
        <w:t>cuestión</w:t>
      </w:r>
      <w:r>
        <w:rPr>
          <w:color w:val="231F20"/>
          <w:spacing w:val="-19"/>
          <w:w w:val="110"/>
        </w:rPr>
        <w:t> </w:t>
      </w:r>
      <w:r>
        <w:rPr>
          <w:color w:val="231F20"/>
          <w:w w:val="110"/>
        </w:rPr>
        <w:t>del</w:t>
      </w:r>
      <w:r>
        <w:rPr>
          <w:color w:val="231F20"/>
          <w:spacing w:val="-19"/>
          <w:w w:val="110"/>
        </w:rPr>
        <w:t> </w:t>
      </w:r>
      <w:r>
        <w:rPr>
          <w:color w:val="231F20"/>
          <w:w w:val="110"/>
        </w:rPr>
        <w:t>apoyo</w:t>
      </w:r>
      <w:r>
        <w:rPr>
          <w:color w:val="231F20"/>
          <w:spacing w:val="-19"/>
          <w:w w:val="110"/>
        </w:rPr>
        <w:t> </w:t>
      </w:r>
      <w:r>
        <w:rPr>
          <w:color w:val="231F20"/>
          <w:w w:val="110"/>
        </w:rPr>
        <w:t>social</w:t>
      </w:r>
      <w:r>
        <w:rPr>
          <w:color w:val="231F20"/>
          <w:spacing w:val="-19"/>
          <w:w w:val="110"/>
        </w:rPr>
        <w:t> </w:t>
      </w:r>
      <w:r>
        <w:rPr>
          <w:color w:val="231F20"/>
          <w:w w:val="110"/>
        </w:rPr>
        <w:t>para</w:t>
      </w:r>
      <w:r>
        <w:rPr>
          <w:color w:val="231F20"/>
          <w:spacing w:val="-19"/>
          <w:w w:val="110"/>
        </w:rPr>
        <w:t> </w:t>
      </w:r>
      <w:r>
        <w:rPr>
          <w:color w:val="231F20"/>
          <w:w w:val="110"/>
        </w:rPr>
        <w:t>los</w:t>
      </w:r>
      <w:r>
        <w:rPr>
          <w:color w:val="231F20"/>
          <w:spacing w:val="-19"/>
          <w:w w:val="110"/>
        </w:rPr>
        <w:t> </w:t>
      </w:r>
      <w:r>
        <w:rPr>
          <w:color w:val="231F20"/>
          <w:w w:val="110"/>
        </w:rPr>
        <w:t>intentos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i/>
          <w:color w:val="231F20"/>
          <w:w w:val="110"/>
        </w:rPr>
        <w:t>elite</w:t>
      </w:r>
      <w:r>
        <w:rPr>
          <w:i/>
          <w:color w:val="231F20"/>
          <w:spacing w:val="-19"/>
          <w:w w:val="110"/>
        </w:rPr>
        <w:t> </w:t>
      </w:r>
      <w:r>
        <w:rPr>
          <w:i/>
          <w:color w:val="231F20"/>
          <w:w w:val="110"/>
        </w:rPr>
        <w:t>de</w:t>
      </w:r>
      <w:r>
        <w:rPr>
          <w:i/>
          <w:color w:val="231F20"/>
          <w:spacing w:val="-19"/>
          <w:w w:val="110"/>
        </w:rPr>
        <w:t> </w:t>
      </w:r>
      <w:r>
        <w:rPr>
          <w:i/>
          <w:color w:val="231F20"/>
          <w:w w:val="110"/>
        </w:rPr>
        <w:t>poder</w:t>
      </w:r>
      <w:r>
        <w:rPr>
          <w:i/>
          <w:color w:val="231F20"/>
          <w:spacing w:val="-19"/>
          <w:w w:val="110"/>
        </w:rPr>
        <w:t> </w:t>
      </w:r>
      <w:r>
        <w:rPr>
          <w:color w:val="231F20"/>
          <w:w w:val="110"/>
        </w:rPr>
        <w:t>para mantener la hegemonía estadunidense es fundamental (Mills 1956). Si planteamos que la hegemonía es cosa multifacética —que es una cosa con ambos sentidos, de consentimiento y coerción, como era presentado por Antonio Gramsci— en esta problemática el</w:t>
      </w:r>
      <w:r>
        <w:rPr>
          <w:color w:val="231F20"/>
          <w:spacing w:val="-36"/>
          <w:w w:val="110"/>
        </w:rPr>
        <w:t> </w:t>
      </w:r>
      <w:r>
        <w:rPr>
          <w:color w:val="231F20"/>
          <w:w w:val="110"/>
        </w:rPr>
        <w:t>elemento sobresaliente</w:t>
      </w:r>
      <w:r>
        <w:rPr>
          <w:color w:val="231F20"/>
          <w:spacing w:val="-8"/>
          <w:w w:val="110"/>
        </w:rPr>
        <w:t> </w:t>
      </w:r>
      <w:r>
        <w:rPr>
          <w:color w:val="231F20"/>
          <w:w w:val="110"/>
        </w:rPr>
        <w:t>ha</w:t>
      </w:r>
      <w:r>
        <w:rPr>
          <w:color w:val="231F20"/>
          <w:spacing w:val="-8"/>
          <w:w w:val="110"/>
        </w:rPr>
        <w:t> </w:t>
      </w:r>
      <w:r>
        <w:rPr>
          <w:color w:val="231F20"/>
          <w:w w:val="110"/>
        </w:rPr>
        <w:t>sido</w:t>
      </w:r>
      <w:r>
        <w:rPr>
          <w:color w:val="231F20"/>
          <w:spacing w:val="-8"/>
          <w:w w:val="110"/>
        </w:rPr>
        <w:t> </w:t>
      </w:r>
      <w:r>
        <w:rPr>
          <w:color w:val="231F20"/>
          <w:w w:val="110"/>
        </w:rPr>
        <w:t>el</w:t>
      </w:r>
      <w:r>
        <w:rPr>
          <w:color w:val="231F20"/>
          <w:spacing w:val="-8"/>
          <w:w w:val="110"/>
        </w:rPr>
        <w:t> </w:t>
      </w:r>
      <w:r>
        <w:rPr>
          <w:color w:val="231F20"/>
          <w:w w:val="110"/>
        </w:rPr>
        <w:t>poder</w:t>
      </w:r>
      <w:r>
        <w:rPr>
          <w:color w:val="231F20"/>
          <w:spacing w:val="-8"/>
          <w:w w:val="110"/>
        </w:rPr>
        <w:t> </w:t>
      </w:r>
      <w:r>
        <w:rPr>
          <w:color w:val="231F20"/>
          <w:spacing w:val="-3"/>
          <w:w w:val="110"/>
        </w:rPr>
        <w:t>militar.</w:t>
      </w:r>
      <w:r>
        <w:rPr>
          <w:color w:val="231F20"/>
          <w:spacing w:val="-8"/>
          <w:w w:val="110"/>
        </w:rPr>
        <w:t> </w:t>
      </w:r>
      <w:r>
        <w:rPr>
          <w:color w:val="231F20"/>
          <w:w w:val="110"/>
        </w:rPr>
        <w:t>Para</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desde</w:t>
      </w:r>
      <w:r>
        <w:rPr>
          <w:color w:val="231F20"/>
          <w:spacing w:val="-8"/>
          <w:w w:val="110"/>
        </w:rPr>
        <w:t> </w:t>
      </w:r>
      <w:r>
        <w:rPr>
          <w:color w:val="231F20"/>
          <w:w w:val="110"/>
        </w:rPr>
        <w:t>los años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segunda</w:t>
      </w:r>
      <w:r>
        <w:rPr>
          <w:color w:val="231F20"/>
          <w:spacing w:val="-9"/>
          <w:w w:val="110"/>
        </w:rPr>
        <w:t> </w:t>
      </w:r>
      <w:r>
        <w:rPr>
          <w:color w:val="231F20"/>
          <w:w w:val="110"/>
        </w:rPr>
        <w:t>guerra</w:t>
      </w:r>
      <w:r>
        <w:rPr>
          <w:color w:val="231F20"/>
          <w:spacing w:val="-9"/>
          <w:w w:val="110"/>
        </w:rPr>
        <w:t> </w:t>
      </w:r>
      <w:r>
        <w:rPr>
          <w:color w:val="231F20"/>
          <w:w w:val="110"/>
        </w:rPr>
        <w:t>mundial,</w:t>
      </w:r>
      <w:r>
        <w:rPr>
          <w:color w:val="231F20"/>
          <w:spacing w:val="-9"/>
          <w:w w:val="110"/>
        </w:rPr>
        <w:t> </w:t>
      </w:r>
      <w:r>
        <w:rPr>
          <w:color w:val="231F20"/>
          <w:w w:val="110"/>
        </w:rPr>
        <w:t>los</w:t>
      </w:r>
      <w:r>
        <w:rPr>
          <w:color w:val="231F20"/>
          <w:spacing w:val="-9"/>
          <w:w w:val="110"/>
        </w:rPr>
        <w:t> </w:t>
      </w:r>
      <w:r>
        <w:rPr>
          <w:color w:val="231F20"/>
          <w:w w:val="110"/>
        </w:rPr>
        <w:t>gastos</w:t>
      </w:r>
      <w:r>
        <w:rPr>
          <w:color w:val="231F20"/>
          <w:spacing w:val="-9"/>
          <w:w w:val="110"/>
        </w:rPr>
        <w:t> </w:t>
      </w:r>
      <w:r>
        <w:rPr>
          <w:color w:val="231F20"/>
          <w:w w:val="110"/>
        </w:rPr>
        <w:t>militares</w:t>
      </w:r>
      <w:r>
        <w:rPr>
          <w:color w:val="231F20"/>
          <w:spacing w:val="-9"/>
          <w:w w:val="110"/>
        </w:rPr>
        <w:t> </w:t>
      </w:r>
      <w:r>
        <w:rPr>
          <w:color w:val="231F20"/>
          <w:w w:val="110"/>
        </w:rPr>
        <w:t>han</w:t>
      </w:r>
      <w:r>
        <w:rPr>
          <w:color w:val="231F20"/>
          <w:spacing w:val="-9"/>
          <w:w w:val="110"/>
        </w:rPr>
        <w:t> </w:t>
      </w:r>
      <w:r>
        <w:rPr>
          <w:color w:val="231F20"/>
          <w:w w:val="110"/>
        </w:rPr>
        <w:t>tenido</w:t>
      </w:r>
      <w:r>
        <w:rPr>
          <w:color w:val="231F20"/>
          <w:spacing w:val="-9"/>
          <w:w w:val="110"/>
        </w:rPr>
        <w:t> </w:t>
      </w:r>
      <w:r>
        <w:rPr>
          <w:color w:val="231F20"/>
          <w:w w:val="110"/>
        </w:rPr>
        <w:t>un papel dual: por un lado ha servido como instrumento de coerción, persuasión y amenaza en una gama amplia de asuntos bajo el con- cepto de “relaciones exteriores”. El actual gobierno no se ha alejado del militarismo, a pesar de una cadena de derrotas impresionantes, empezando con la guerra en Corea, pasando por Vietnam, después Iraq y hoy en día en Afganistán. Ha empleado esta herramienta para seguir</w:t>
      </w:r>
      <w:r>
        <w:rPr>
          <w:color w:val="231F20"/>
          <w:spacing w:val="-6"/>
          <w:w w:val="110"/>
        </w:rPr>
        <w:t> </w:t>
      </w:r>
      <w:r>
        <w:rPr>
          <w:color w:val="231F20"/>
          <w:w w:val="110"/>
        </w:rPr>
        <w:t>sus</w:t>
      </w:r>
      <w:r>
        <w:rPr>
          <w:color w:val="231F20"/>
          <w:spacing w:val="-6"/>
          <w:w w:val="110"/>
        </w:rPr>
        <w:t> </w:t>
      </w:r>
      <w:r>
        <w:rPr>
          <w:color w:val="231F20"/>
          <w:w w:val="110"/>
        </w:rPr>
        <w:t>intentos</w:t>
      </w:r>
      <w:r>
        <w:rPr>
          <w:color w:val="231F20"/>
          <w:spacing w:val="-6"/>
          <w:w w:val="110"/>
        </w:rPr>
        <w:t> </w:t>
      </w:r>
      <w:r>
        <w:rPr>
          <w:color w:val="231F20"/>
          <w:w w:val="110"/>
        </w:rPr>
        <w:t>hegemónicos.</w:t>
      </w:r>
      <w:r>
        <w:rPr>
          <w:color w:val="231F20"/>
          <w:spacing w:val="-6"/>
          <w:w w:val="110"/>
        </w:rPr>
        <w:t> </w:t>
      </w:r>
      <w:r>
        <w:rPr>
          <w:color w:val="231F20"/>
          <w:w w:val="110"/>
        </w:rPr>
        <w:t>La</w:t>
      </w:r>
      <w:r>
        <w:rPr>
          <w:color w:val="231F20"/>
          <w:spacing w:val="-6"/>
          <w:w w:val="110"/>
        </w:rPr>
        <w:t> </w:t>
      </w:r>
      <w:r>
        <w:rPr>
          <w:color w:val="231F20"/>
          <w:w w:val="110"/>
        </w:rPr>
        <w:t>contraparte</w:t>
      </w:r>
      <w:r>
        <w:rPr>
          <w:color w:val="231F20"/>
          <w:spacing w:val="-6"/>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gran</w:t>
      </w:r>
      <w:r>
        <w:rPr>
          <w:color w:val="231F20"/>
          <w:spacing w:val="-6"/>
          <w:w w:val="110"/>
        </w:rPr>
        <w:t> </w:t>
      </w:r>
      <w:r>
        <w:rPr>
          <w:color w:val="231F20"/>
          <w:w w:val="110"/>
        </w:rPr>
        <w:t>política nacional es el estímulo económico que siempre han dado los gastos militares a la economía estadunidense en cuanto a los millones de puestos de trabajo bien pagados, tasas de ganancias sin par para las grandes empresas proveedores y contratistas y la creación de tecno- logías de punta que han servido a Estados Unidos para mantener su fuerza económica frente a la rivalidad internacional de otros países avanzados </w:t>
      </w:r>
      <w:r>
        <w:rPr>
          <w:color w:val="231F20"/>
          <w:spacing w:val="-3"/>
          <w:w w:val="110"/>
        </w:rPr>
        <w:t>(Cypher,</w:t>
      </w:r>
      <w:r>
        <w:rPr>
          <w:color w:val="231F20"/>
          <w:spacing w:val="-26"/>
          <w:w w:val="110"/>
        </w:rPr>
        <w:t> </w:t>
      </w:r>
      <w:r>
        <w:rPr>
          <w:color w:val="231F20"/>
          <w:w w:val="110"/>
        </w:rPr>
        <w:t>1987).</w:t>
      </w:r>
    </w:p>
    <w:p>
      <w:pPr>
        <w:pStyle w:val="BodyText"/>
        <w:spacing w:line="261" w:lineRule="auto"/>
        <w:ind w:left="100" w:right="117" w:firstLine="240"/>
        <w:jc w:val="both"/>
      </w:pPr>
      <w:r>
        <w:rPr>
          <w:color w:val="231F20"/>
          <w:w w:val="110"/>
        </w:rPr>
        <w:t>Hoy en día, una cuestión clave en cuanto al mantenimiento o la reestructuración de la hegemonía estadunidense, es la solidez del apoyo</w:t>
      </w:r>
      <w:r>
        <w:rPr>
          <w:color w:val="231F20"/>
          <w:spacing w:val="-9"/>
          <w:w w:val="110"/>
        </w:rPr>
        <w:t> </w:t>
      </w:r>
      <w:r>
        <w:rPr>
          <w:color w:val="231F20"/>
          <w:w w:val="110"/>
        </w:rPr>
        <w:t>social</w:t>
      </w:r>
      <w:r>
        <w:rPr>
          <w:color w:val="231F20"/>
          <w:spacing w:val="-9"/>
          <w:w w:val="110"/>
        </w:rPr>
        <w:t> </w:t>
      </w:r>
      <w:r>
        <w:rPr>
          <w:color w:val="231F20"/>
          <w:w w:val="110"/>
        </w:rPr>
        <w:t>por</w:t>
      </w:r>
      <w:r>
        <w:rPr>
          <w:color w:val="231F20"/>
          <w:spacing w:val="-9"/>
          <w:w w:val="110"/>
        </w:rPr>
        <w:t> </w:t>
      </w:r>
      <w:r>
        <w:rPr>
          <w:color w:val="231F20"/>
          <w:w w:val="110"/>
        </w:rPr>
        <w:t>este</w:t>
      </w:r>
      <w:r>
        <w:rPr>
          <w:color w:val="231F20"/>
          <w:spacing w:val="-9"/>
          <w:w w:val="110"/>
        </w:rPr>
        <w:t> </w:t>
      </w:r>
      <w:r>
        <w:rPr>
          <w:color w:val="231F20"/>
          <w:w w:val="110"/>
        </w:rPr>
        <w:t>componente</w:t>
      </w:r>
      <w:r>
        <w:rPr>
          <w:color w:val="231F20"/>
          <w:spacing w:val="-9"/>
          <w:w w:val="110"/>
        </w:rPr>
        <w:t> </w:t>
      </w:r>
      <w:r>
        <w:rPr>
          <w:color w:val="231F20"/>
          <w:spacing w:val="-3"/>
          <w:w w:val="110"/>
        </w:rPr>
        <w:t>militar.</w:t>
      </w:r>
      <w:r>
        <w:rPr>
          <w:color w:val="231F20"/>
          <w:spacing w:val="-9"/>
          <w:w w:val="110"/>
        </w:rPr>
        <w:t> </w:t>
      </w:r>
      <w:r>
        <w:rPr>
          <w:color w:val="231F20"/>
          <w:w w:val="110"/>
        </w:rPr>
        <w:t>En</w:t>
      </w:r>
      <w:r>
        <w:rPr>
          <w:color w:val="231F20"/>
          <w:spacing w:val="-9"/>
          <w:w w:val="110"/>
        </w:rPr>
        <w:t> </w:t>
      </w:r>
      <w:r>
        <w:rPr>
          <w:color w:val="231F20"/>
          <w:w w:val="110"/>
        </w:rPr>
        <w:t>2007</w:t>
      </w:r>
      <w:r>
        <w:rPr>
          <w:color w:val="231F20"/>
          <w:spacing w:val="-9"/>
          <w:w w:val="110"/>
        </w:rPr>
        <w:t> </w:t>
      </w:r>
      <w:r>
        <w:rPr>
          <w:color w:val="231F20"/>
          <w:w w:val="110"/>
        </w:rPr>
        <w:t>los</w:t>
      </w:r>
      <w:r>
        <w:rPr>
          <w:color w:val="231F20"/>
          <w:spacing w:val="-9"/>
          <w:w w:val="110"/>
        </w:rPr>
        <w:t> </w:t>
      </w:r>
      <w:r>
        <w:rPr>
          <w:color w:val="231F20"/>
          <w:w w:val="110"/>
        </w:rPr>
        <w:t>gastos</w:t>
      </w:r>
      <w:r>
        <w:rPr>
          <w:color w:val="231F20"/>
          <w:spacing w:val="-9"/>
          <w:w w:val="110"/>
        </w:rPr>
        <w:t> </w:t>
      </w:r>
      <w:r>
        <w:rPr>
          <w:color w:val="231F20"/>
          <w:w w:val="110"/>
        </w:rPr>
        <w:t>anuales militares</w:t>
      </w:r>
      <w:r>
        <w:rPr>
          <w:color w:val="231F20"/>
          <w:spacing w:val="33"/>
          <w:w w:val="110"/>
        </w:rPr>
        <w:t> </w:t>
      </w:r>
      <w:r>
        <w:rPr>
          <w:color w:val="231F20"/>
          <w:w w:val="110"/>
        </w:rPr>
        <w:t>alcanzaron</w:t>
      </w:r>
      <w:r>
        <w:rPr>
          <w:color w:val="231F20"/>
          <w:spacing w:val="33"/>
          <w:w w:val="110"/>
        </w:rPr>
        <w:t> </w:t>
      </w:r>
      <w:r>
        <w:rPr>
          <w:color w:val="231F20"/>
          <w:w w:val="110"/>
        </w:rPr>
        <w:t>un</w:t>
      </w:r>
      <w:r>
        <w:rPr>
          <w:color w:val="231F20"/>
          <w:spacing w:val="33"/>
          <w:w w:val="110"/>
        </w:rPr>
        <w:t> </w:t>
      </w:r>
      <w:r>
        <w:rPr>
          <w:color w:val="231F20"/>
          <w:w w:val="110"/>
        </w:rPr>
        <w:t>nivel</w:t>
      </w:r>
      <w:r>
        <w:rPr>
          <w:color w:val="231F20"/>
          <w:spacing w:val="33"/>
          <w:w w:val="110"/>
        </w:rPr>
        <w:t> </w:t>
      </w:r>
      <w:r>
        <w:rPr>
          <w:color w:val="231F20"/>
          <w:w w:val="110"/>
        </w:rPr>
        <w:t>impresionante:</w:t>
      </w:r>
      <w:r>
        <w:rPr>
          <w:color w:val="231F20"/>
          <w:spacing w:val="33"/>
          <w:w w:val="110"/>
        </w:rPr>
        <w:t> </w:t>
      </w:r>
      <w:r>
        <w:rPr>
          <w:color w:val="231F20"/>
          <w:w w:val="110"/>
        </w:rPr>
        <w:t>más</w:t>
      </w:r>
      <w:r>
        <w:rPr>
          <w:color w:val="231F20"/>
          <w:spacing w:val="33"/>
          <w:w w:val="110"/>
        </w:rPr>
        <w:t> </w:t>
      </w:r>
      <w:r>
        <w:rPr>
          <w:color w:val="231F20"/>
          <w:w w:val="110"/>
        </w:rPr>
        <w:t>de</w:t>
      </w:r>
      <w:r>
        <w:rPr>
          <w:color w:val="231F20"/>
          <w:spacing w:val="33"/>
          <w:w w:val="110"/>
        </w:rPr>
        <w:t> </w:t>
      </w:r>
      <w:r>
        <w:rPr>
          <w:color w:val="231F20"/>
          <w:w w:val="110"/>
        </w:rPr>
        <w:t>un</w:t>
      </w:r>
      <w:r>
        <w:rPr>
          <w:color w:val="231F20"/>
          <w:spacing w:val="33"/>
          <w:w w:val="110"/>
        </w:rPr>
        <w:t> </w:t>
      </w:r>
      <w:r>
        <w:rPr>
          <w:color w:val="231F20"/>
          <w:w w:val="110"/>
        </w:rPr>
        <w:t>billón</w:t>
      </w:r>
      <w:r>
        <w:rPr>
          <w:color w:val="231F20"/>
          <w:spacing w:val="33"/>
          <w:w w:val="110"/>
        </w:rPr>
        <w:t> </w:t>
      </w:r>
      <w:r>
        <w:rPr>
          <w:color w:val="231F20"/>
          <w:w w:val="110"/>
        </w:rPr>
        <w:t>de</w:t>
      </w:r>
    </w:p>
    <w:p>
      <w:pPr>
        <w:pStyle w:val="BodyText"/>
        <w:rPr>
          <w:sz w:val="15"/>
        </w:rPr>
      </w:pPr>
    </w:p>
    <w:p>
      <w:pPr>
        <w:pStyle w:val="BodyText"/>
        <w:spacing w:before="67"/>
        <w:ind w:left="113" w:right="132"/>
        <w:jc w:val="center"/>
      </w:pPr>
      <w:r>
        <w:rPr>
          <w:color w:val="231F20"/>
          <w:w w:val="120"/>
        </w:rPr>
        <w:t>[316]</w:t>
      </w:r>
    </w:p>
    <w:p>
      <w:pPr>
        <w:spacing w:after="0"/>
        <w:jc w:val="center"/>
        <w:sectPr>
          <w:headerReference w:type="even" r:id="rId244"/>
          <w:pgSz w:w="7640" w:h="11900"/>
          <w:pgMar w:header="0" w:footer="0" w:top="100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dólares </w:t>
      </w:r>
      <w:r>
        <w:rPr>
          <w:color w:val="231F20"/>
          <w:spacing w:val="-3"/>
          <w:w w:val="110"/>
        </w:rPr>
        <w:t>(Cypher, </w:t>
      </w:r>
      <w:r>
        <w:rPr>
          <w:color w:val="231F20"/>
          <w:w w:val="110"/>
        </w:rPr>
        <w:t>2008: 147-151). Siempre ha quedado en el aire una impresión incorrecta, difundida por algunos voceros influyentes, de que</w:t>
      </w:r>
      <w:r>
        <w:rPr>
          <w:color w:val="231F20"/>
          <w:spacing w:val="-12"/>
          <w:w w:val="110"/>
        </w:rPr>
        <w:t> </w:t>
      </w:r>
      <w:r>
        <w:rPr>
          <w:color w:val="231F20"/>
          <w:w w:val="110"/>
        </w:rPr>
        <w:t>los</w:t>
      </w:r>
      <w:r>
        <w:rPr>
          <w:color w:val="231F20"/>
          <w:spacing w:val="-12"/>
          <w:w w:val="110"/>
        </w:rPr>
        <w:t> </w:t>
      </w:r>
      <w:r>
        <w:rPr>
          <w:color w:val="231F20"/>
          <w:w w:val="110"/>
        </w:rPr>
        <w:t>gastos</w:t>
      </w:r>
      <w:r>
        <w:rPr>
          <w:color w:val="231F20"/>
          <w:spacing w:val="-12"/>
          <w:w w:val="110"/>
        </w:rPr>
        <w:t> </w:t>
      </w:r>
      <w:r>
        <w:rPr>
          <w:color w:val="231F20"/>
          <w:w w:val="110"/>
        </w:rPr>
        <w:t>militares</w:t>
      </w:r>
      <w:r>
        <w:rPr>
          <w:color w:val="231F20"/>
          <w:spacing w:val="-12"/>
          <w:w w:val="110"/>
        </w:rPr>
        <w:t> </w:t>
      </w:r>
      <w:r>
        <w:rPr>
          <w:color w:val="231F20"/>
          <w:w w:val="110"/>
        </w:rPr>
        <w:t>han</w:t>
      </w:r>
      <w:r>
        <w:rPr>
          <w:color w:val="231F20"/>
          <w:spacing w:val="-12"/>
          <w:w w:val="110"/>
        </w:rPr>
        <w:t> </w:t>
      </w:r>
      <w:r>
        <w:rPr>
          <w:color w:val="231F20"/>
          <w:w w:val="110"/>
        </w:rPr>
        <w:t>sido</w:t>
      </w:r>
      <w:r>
        <w:rPr>
          <w:color w:val="231F20"/>
          <w:spacing w:val="-12"/>
          <w:w w:val="110"/>
        </w:rPr>
        <w:t> </w:t>
      </w:r>
      <w:r>
        <w:rPr>
          <w:color w:val="231F20"/>
          <w:w w:val="110"/>
        </w:rPr>
        <w:t>una</w:t>
      </w:r>
      <w:r>
        <w:rPr>
          <w:color w:val="231F20"/>
          <w:spacing w:val="-12"/>
          <w:w w:val="110"/>
        </w:rPr>
        <w:t> </w:t>
      </w:r>
      <w:r>
        <w:rPr>
          <w:color w:val="231F20"/>
          <w:w w:val="110"/>
        </w:rPr>
        <w:t>carga</w:t>
      </w:r>
      <w:r>
        <w:rPr>
          <w:color w:val="231F20"/>
          <w:spacing w:val="-12"/>
          <w:w w:val="110"/>
        </w:rPr>
        <w:t> </w:t>
      </w:r>
      <w:r>
        <w:rPr>
          <w:color w:val="231F20"/>
          <w:w w:val="110"/>
        </w:rPr>
        <w:t>para</w:t>
      </w:r>
      <w:r>
        <w:rPr>
          <w:color w:val="231F20"/>
          <w:spacing w:val="-12"/>
          <w:w w:val="110"/>
        </w:rPr>
        <w:t> </w:t>
      </w:r>
      <w:r>
        <w:rPr>
          <w:color w:val="231F20"/>
          <w:w w:val="110"/>
        </w:rPr>
        <w:t>la</w:t>
      </w:r>
      <w:r>
        <w:rPr>
          <w:color w:val="231F20"/>
          <w:spacing w:val="-12"/>
          <w:w w:val="110"/>
        </w:rPr>
        <w:t> </w:t>
      </w:r>
      <w:r>
        <w:rPr>
          <w:color w:val="231F20"/>
          <w:w w:val="110"/>
        </w:rPr>
        <w:t>economía.</w:t>
      </w:r>
      <w:r>
        <w:rPr>
          <w:color w:val="231F20"/>
          <w:spacing w:val="-12"/>
          <w:w w:val="110"/>
        </w:rPr>
        <w:t> </w:t>
      </w:r>
      <w:r>
        <w:rPr>
          <w:color w:val="231F20"/>
          <w:w w:val="110"/>
        </w:rPr>
        <w:t>Lo</w:t>
      </w:r>
      <w:r>
        <w:rPr>
          <w:color w:val="231F20"/>
          <w:spacing w:val="-12"/>
          <w:w w:val="110"/>
        </w:rPr>
        <w:t> </w:t>
      </w:r>
      <w:r>
        <w:rPr>
          <w:color w:val="231F20"/>
          <w:w w:val="110"/>
        </w:rPr>
        <w:t>cier- to es que en el entorno del presupuesto nacional los aumentos en el rubro militar casi siempre son acompañados por cortes o límites en los programas sociales. Sigue lo mismo hoy en día, con un anuncio del gobierno de congelar estos gastos a partir de octubre de 2010, aun cuando la racha sin precedente de aumentos en gastos militares desde 1999 continuará. La coyuntura es poco favorable para la con- tinuación</w:t>
      </w:r>
      <w:r>
        <w:rPr>
          <w:color w:val="231F20"/>
          <w:spacing w:val="-15"/>
          <w:w w:val="110"/>
        </w:rPr>
        <w:t> </w:t>
      </w:r>
      <w:r>
        <w:rPr>
          <w:color w:val="231F20"/>
          <w:w w:val="110"/>
        </w:rPr>
        <w:t>del</w:t>
      </w:r>
      <w:r>
        <w:rPr>
          <w:color w:val="231F20"/>
          <w:spacing w:val="-15"/>
          <w:w w:val="110"/>
        </w:rPr>
        <w:t> </w:t>
      </w:r>
      <w:r>
        <w:rPr>
          <w:color w:val="231F20"/>
          <w:w w:val="110"/>
        </w:rPr>
        <w:t>proyecto</w:t>
      </w:r>
      <w:r>
        <w:rPr>
          <w:color w:val="231F20"/>
          <w:spacing w:val="-15"/>
          <w:w w:val="110"/>
        </w:rPr>
        <w:t> </w:t>
      </w:r>
      <w:r>
        <w:rPr>
          <w:color w:val="231F20"/>
          <w:w w:val="110"/>
        </w:rPr>
        <w:t>militar</w:t>
      </w:r>
      <w:r>
        <w:rPr>
          <w:color w:val="231F20"/>
          <w:spacing w:val="-15"/>
          <w:w w:val="110"/>
        </w:rPr>
        <w:t> </w:t>
      </w:r>
      <w:r>
        <w:rPr>
          <w:color w:val="231F20"/>
          <w:w w:val="110"/>
        </w:rPr>
        <w:t>estadunidense.</w:t>
      </w:r>
      <w:r>
        <w:rPr>
          <w:color w:val="231F20"/>
          <w:spacing w:val="-15"/>
          <w:w w:val="110"/>
        </w:rPr>
        <w:t> </w:t>
      </w:r>
      <w:r>
        <w:rPr>
          <w:color w:val="231F20"/>
          <w:w w:val="110"/>
        </w:rPr>
        <w:t>Las</w:t>
      </w:r>
      <w:r>
        <w:rPr>
          <w:color w:val="231F20"/>
          <w:spacing w:val="-15"/>
          <w:w w:val="110"/>
        </w:rPr>
        <w:t> </w:t>
      </w:r>
      <w:r>
        <w:rPr>
          <w:color w:val="231F20"/>
          <w:w w:val="110"/>
        </w:rPr>
        <w:t>clases</w:t>
      </w:r>
      <w:r>
        <w:rPr>
          <w:color w:val="231F20"/>
          <w:spacing w:val="-15"/>
          <w:w w:val="110"/>
        </w:rPr>
        <w:t> </w:t>
      </w:r>
      <w:r>
        <w:rPr>
          <w:color w:val="231F20"/>
          <w:w w:val="110"/>
        </w:rPr>
        <w:t>trabajadora</w:t>
      </w:r>
      <w:r>
        <w:rPr>
          <w:color w:val="231F20"/>
          <w:spacing w:val="-15"/>
          <w:w w:val="110"/>
        </w:rPr>
        <w:t> </w:t>
      </w:r>
      <w:r>
        <w:rPr>
          <w:color w:val="231F20"/>
          <w:w w:val="110"/>
        </w:rPr>
        <w:t>y media</w:t>
      </w:r>
      <w:r>
        <w:rPr>
          <w:color w:val="231F20"/>
          <w:spacing w:val="-5"/>
          <w:w w:val="110"/>
        </w:rPr>
        <w:t> </w:t>
      </w:r>
      <w:r>
        <w:rPr>
          <w:color w:val="231F20"/>
          <w:w w:val="110"/>
        </w:rPr>
        <w:t>han</w:t>
      </w:r>
      <w:r>
        <w:rPr>
          <w:color w:val="231F20"/>
          <w:spacing w:val="-5"/>
          <w:w w:val="110"/>
        </w:rPr>
        <w:t> </w:t>
      </w:r>
      <w:r>
        <w:rPr>
          <w:color w:val="231F20"/>
          <w:w w:val="110"/>
        </w:rPr>
        <w:t>caído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penuria.</w:t>
      </w:r>
      <w:r>
        <w:rPr>
          <w:color w:val="231F20"/>
          <w:spacing w:val="-5"/>
          <w:w w:val="110"/>
        </w:rPr>
        <w:t> </w:t>
      </w:r>
      <w:r>
        <w:rPr>
          <w:color w:val="231F20"/>
          <w:w w:val="110"/>
        </w:rPr>
        <w:t>Entre</w:t>
      </w:r>
      <w:r>
        <w:rPr>
          <w:color w:val="231F20"/>
          <w:spacing w:val="-5"/>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han</w:t>
      </w:r>
      <w:r>
        <w:rPr>
          <w:color w:val="231F20"/>
          <w:spacing w:val="-5"/>
          <w:w w:val="110"/>
        </w:rPr>
        <w:t> </w:t>
      </w:r>
      <w:r>
        <w:rPr>
          <w:color w:val="231F20"/>
          <w:w w:val="110"/>
        </w:rPr>
        <w:t>perdido</w:t>
      </w:r>
      <w:r>
        <w:rPr>
          <w:color w:val="231F20"/>
          <w:spacing w:val="-5"/>
          <w:w w:val="110"/>
        </w:rPr>
        <w:t> </w:t>
      </w:r>
      <w:r>
        <w:rPr>
          <w:color w:val="231F20"/>
          <w:w w:val="110"/>
        </w:rPr>
        <w:t>sus</w:t>
      </w:r>
      <w:r>
        <w:rPr>
          <w:color w:val="231F20"/>
          <w:spacing w:val="-5"/>
          <w:w w:val="110"/>
        </w:rPr>
        <w:t> </w:t>
      </w:r>
      <w:r>
        <w:rPr>
          <w:color w:val="231F20"/>
          <w:w w:val="110"/>
        </w:rPr>
        <w:t>puestos de trabajo (8.4 millones) o han experimentado cortes en salarios u horas de trabajo, se suman 55% de la fuerza de trabajo entre</w:t>
      </w:r>
      <w:r>
        <w:rPr>
          <w:color w:val="231F20"/>
          <w:spacing w:val="-22"/>
          <w:w w:val="110"/>
        </w:rPr>
        <w:t> </w:t>
      </w:r>
      <w:r>
        <w:rPr>
          <w:color w:val="231F20"/>
          <w:w w:val="110"/>
        </w:rPr>
        <w:t>diciem- bre</w:t>
      </w:r>
      <w:r>
        <w:rPr>
          <w:color w:val="231F20"/>
          <w:spacing w:val="-12"/>
          <w:w w:val="110"/>
        </w:rPr>
        <w:t> </w:t>
      </w:r>
      <w:r>
        <w:rPr>
          <w:color w:val="231F20"/>
          <w:w w:val="110"/>
        </w:rPr>
        <w:t>2007</w:t>
      </w:r>
      <w:r>
        <w:rPr>
          <w:color w:val="231F20"/>
          <w:spacing w:val="-12"/>
          <w:w w:val="110"/>
        </w:rPr>
        <w:t> </w:t>
      </w:r>
      <w:r>
        <w:rPr>
          <w:color w:val="231F20"/>
          <w:w w:val="110"/>
        </w:rPr>
        <w:t>y</w:t>
      </w:r>
      <w:r>
        <w:rPr>
          <w:color w:val="231F20"/>
          <w:spacing w:val="-12"/>
          <w:w w:val="110"/>
        </w:rPr>
        <w:t> </w:t>
      </w:r>
      <w:r>
        <w:rPr>
          <w:color w:val="231F20"/>
          <w:w w:val="110"/>
        </w:rPr>
        <w:t>junio</w:t>
      </w:r>
      <w:r>
        <w:rPr>
          <w:color w:val="231F20"/>
          <w:spacing w:val="-12"/>
          <w:w w:val="110"/>
        </w:rPr>
        <w:t> </w:t>
      </w:r>
      <w:r>
        <w:rPr>
          <w:color w:val="231F20"/>
          <w:w w:val="110"/>
        </w:rPr>
        <w:t>2010</w:t>
      </w:r>
      <w:r>
        <w:rPr>
          <w:color w:val="231F20"/>
          <w:spacing w:val="-12"/>
          <w:w w:val="110"/>
        </w:rPr>
        <w:t> </w:t>
      </w:r>
      <w:r>
        <w:rPr>
          <w:color w:val="231F20"/>
          <w:w w:val="110"/>
        </w:rPr>
        <w:t>(Pew</w:t>
      </w:r>
      <w:r>
        <w:rPr>
          <w:color w:val="231F20"/>
          <w:spacing w:val="-12"/>
          <w:w w:val="110"/>
        </w:rPr>
        <w:t> </w:t>
      </w:r>
      <w:r>
        <w:rPr>
          <w:color w:val="231F20"/>
          <w:w w:val="110"/>
        </w:rPr>
        <w:t>Research</w:t>
      </w:r>
      <w:r>
        <w:rPr>
          <w:color w:val="231F20"/>
          <w:spacing w:val="-12"/>
          <w:w w:val="110"/>
        </w:rPr>
        <w:t> </w:t>
      </w:r>
      <w:r>
        <w:rPr>
          <w:color w:val="231F20"/>
          <w:spacing w:val="-3"/>
          <w:w w:val="110"/>
        </w:rPr>
        <w:t>Center,</w:t>
      </w:r>
      <w:r>
        <w:rPr>
          <w:color w:val="231F20"/>
          <w:spacing w:val="-12"/>
          <w:w w:val="110"/>
        </w:rPr>
        <w:t> </w:t>
      </w:r>
      <w:r>
        <w:rPr>
          <w:color w:val="231F20"/>
          <w:w w:val="110"/>
        </w:rPr>
        <w:t>2010).</w:t>
      </w:r>
      <w:r>
        <w:rPr>
          <w:color w:val="231F20"/>
          <w:spacing w:val="-12"/>
          <w:w w:val="110"/>
        </w:rPr>
        <w:t> </w:t>
      </w:r>
      <w:r>
        <w:rPr>
          <w:color w:val="231F20"/>
          <w:w w:val="110"/>
        </w:rPr>
        <w:t>El</w:t>
      </w:r>
      <w:r>
        <w:rPr>
          <w:color w:val="231F20"/>
          <w:spacing w:val="-12"/>
          <w:w w:val="110"/>
        </w:rPr>
        <w:t> </w:t>
      </w:r>
      <w:r>
        <w:rPr>
          <w:color w:val="231F20"/>
          <w:w w:val="110"/>
        </w:rPr>
        <w:t>desempleo</w:t>
      </w:r>
      <w:r>
        <w:rPr>
          <w:color w:val="231F20"/>
          <w:spacing w:val="-12"/>
          <w:w w:val="110"/>
        </w:rPr>
        <w:t> </w:t>
      </w:r>
      <w:r>
        <w:rPr>
          <w:color w:val="231F20"/>
          <w:w w:val="110"/>
        </w:rPr>
        <w:t>ha caído</w:t>
      </w:r>
      <w:r>
        <w:rPr>
          <w:color w:val="231F20"/>
          <w:spacing w:val="-7"/>
          <w:w w:val="110"/>
        </w:rPr>
        <w:t> </w:t>
      </w:r>
      <w:r>
        <w:rPr>
          <w:color w:val="231F20"/>
          <w:w w:val="110"/>
        </w:rPr>
        <w:t>sobre</w:t>
      </w:r>
      <w:r>
        <w:rPr>
          <w:color w:val="231F20"/>
          <w:spacing w:val="-7"/>
          <w:w w:val="110"/>
        </w:rPr>
        <w:t> </w:t>
      </w:r>
      <w:r>
        <w:rPr>
          <w:color w:val="231F20"/>
          <w:w w:val="110"/>
        </w:rPr>
        <w:t>los</w:t>
      </w:r>
      <w:r>
        <w:rPr>
          <w:color w:val="231F20"/>
          <w:spacing w:val="-7"/>
          <w:w w:val="110"/>
        </w:rPr>
        <w:t> </w:t>
      </w:r>
      <w:r>
        <w:rPr>
          <w:color w:val="231F20"/>
          <w:w w:val="110"/>
        </w:rPr>
        <w:t>obreros</w:t>
      </w:r>
      <w:r>
        <w:rPr>
          <w:color w:val="231F20"/>
          <w:spacing w:val="-7"/>
          <w:w w:val="110"/>
        </w:rPr>
        <w:t> </w:t>
      </w:r>
      <w:r>
        <w:rPr>
          <w:color w:val="231F20"/>
          <w:w w:val="110"/>
        </w:rPr>
        <w:t>de</w:t>
      </w:r>
      <w:r>
        <w:rPr>
          <w:color w:val="231F20"/>
          <w:spacing w:val="-7"/>
          <w:w w:val="110"/>
        </w:rPr>
        <w:t> </w:t>
      </w:r>
      <w:r>
        <w:rPr>
          <w:color w:val="231F20"/>
          <w:w w:val="110"/>
        </w:rPr>
        <w:t>cuello</w:t>
      </w:r>
      <w:r>
        <w:rPr>
          <w:color w:val="231F20"/>
          <w:spacing w:val="-7"/>
          <w:w w:val="110"/>
        </w:rPr>
        <w:t> </w:t>
      </w:r>
      <w:r>
        <w:rPr>
          <w:color w:val="231F20"/>
          <w:w w:val="110"/>
        </w:rPr>
        <w:t>azul</w:t>
      </w:r>
      <w:r>
        <w:rPr>
          <w:color w:val="231F20"/>
          <w:spacing w:val="-7"/>
          <w:w w:val="110"/>
        </w:rPr>
        <w:t> </w:t>
      </w:r>
      <w:r>
        <w:rPr>
          <w:color w:val="231F20"/>
          <w:w w:val="110"/>
        </w:rPr>
        <w:t>en</w:t>
      </w:r>
      <w:r>
        <w:rPr>
          <w:color w:val="231F20"/>
          <w:spacing w:val="-7"/>
          <w:w w:val="110"/>
        </w:rPr>
        <w:t> </w:t>
      </w:r>
      <w:r>
        <w:rPr>
          <w:color w:val="231F20"/>
          <w:w w:val="110"/>
        </w:rPr>
        <w:t>67%</w:t>
      </w:r>
      <w:r>
        <w:rPr>
          <w:color w:val="231F20"/>
          <w:spacing w:val="-7"/>
          <w:w w:val="110"/>
        </w:rPr>
        <w:t> </w:t>
      </w:r>
      <w:r>
        <w:rPr>
          <w:color w:val="231F20"/>
          <w:w w:val="110"/>
        </w:rPr>
        <w:t>(Sum</w:t>
      </w:r>
      <w:r>
        <w:rPr>
          <w:color w:val="231F20"/>
          <w:spacing w:val="-6"/>
          <w:w w:val="110"/>
        </w:rPr>
        <w:t> </w:t>
      </w:r>
      <w:r>
        <w:rPr>
          <w:i/>
          <w:color w:val="231F20"/>
          <w:w w:val="110"/>
        </w:rPr>
        <w:t>et</w:t>
      </w:r>
      <w:r>
        <w:rPr>
          <w:i/>
          <w:color w:val="231F20"/>
          <w:spacing w:val="-7"/>
          <w:w w:val="110"/>
        </w:rPr>
        <w:t> </w:t>
      </w:r>
      <w:r>
        <w:rPr>
          <w:i/>
          <w:color w:val="231F20"/>
          <w:w w:val="110"/>
        </w:rPr>
        <w:t>al.</w:t>
      </w:r>
      <w:r>
        <w:rPr>
          <w:color w:val="231F20"/>
          <w:w w:val="110"/>
        </w:rPr>
        <w:t>,</w:t>
      </w:r>
      <w:r>
        <w:rPr>
          <w:color w:val="231F20"/>
          <w:spacing w:val="-7"/>
          <w:w w:val="110"/>
        </w:rPr>
        <w:t> </w:t>
      </w:r>
      <w:r>
        <w:rPr>
          <w:color w:val="231F20"/>
          <w:w w:val="110"/>
        </w:rPr>
        <w:t>2010:</w:t>
      </w:r>
      <w:r>
        <w:rPr>
          <w:color w:val="231F20"/>
          <w:spacing w:val="-7"/>
          <w:w w:val="110"/>
        </w:rPr>
        <w:t> </w:t>
      </w:r>
      <w:r>
        <w:rPr>
          <w:color w:val="231F20"/>
          <w:w w:val="110"/>
        </w:rPr>
        <w:t>12). Para ellos se necesitan, como nunca antes desde la gran depresión, programas masivos sociales para enfrentar 1] la ausencia del</w:t>
      </w:r>
      <w:r>
        <w:rPr>
          <w:color w:val="231F20"/>
          <w:spacing w:val="-36"/>
          <w:w w:val="110"/>
        </w:rPr>
        <w:t> </w:t>
      </w:r>
      <w:r>
        <w:rPr>
          <w:color w:val="231F20"/>
          <w:w w:val="110"/>
        </w:rPr>
        <w:t>empleo 2] los salarios en descenso por decenios 3] la abrumadora crisis de viviendas y 4] los altos costos para la educación. Aunado a lo ante- </w:t>
      </w:r>
      <w:r>
        <w:rPr>
          <w:color w:val="231F20"/>
          <w:spacing w:val="-4"/>
          <w:w w:val="110"/>
        </w:rPr>
        <w:t>rior, </w:t>
      </w:r>
      <w:r>
        <w:rPr>
          <w:color w:val="231F20"/>
          <w:w w:val="110"/>
        </w:rPr>
        <w:t>los efectos del derrame tecnológico de los gastos militares en  la actualidad pueden ser realizados en lugares muy lejos de Estados Unidos; es evidente que la gran estrategia militar está en curso de colisión con el sueño</w:t>
      </w:r>
      <w:r>
        <w:rPr>
          <w:color w:val="231F20"/>
          <w:spacing w:val="34"/>
          <w:w w:val="110"/>
        </w:rPr>
        <w:t> </w:t>
      </w:r>
      <w:r>
        <w:rPr>
          <w:color w:val="231F20"/>
          <w:w w:val="110"/>
        </w:rPr>
        <w:t>americano.</w:t>
      </w:r>
    </w:p>
    <w:p>
      <w:pPr>
        <w:pStyle w:val="BodyText"/>
        <w:spacing w:line="261" w:lineRule="auto"/>
        <w:ind w:left="100" w:right="116" w:firstLine="240"/>
        <w:jc w:val="both"/>
      </w:pPr>
      <w:r>
        <w:rPr>
          <w:color w:val="231F20"/>
          <w:w w:val="110"/>
        </w:rPr>
        <w:t>Sería difícil imaginar una colisión más explosiva entre estos dos elementos culturales clave —el militarismo y el sueño americano— en un entorno en donde la realización de uno sería a costa del otro. Quizá la pasividad política de un pueblo</w:t>
      </w:r>
      <w:r>
        <w:rPr>
          <w:color w:val="231F20"/>
          <w:spacing w:val="-7"/>
          <w:w w:val="110"/>
        </w:rPr>
        <w:t> </w:t>
      </w:r>
      <w:r>
        <w:rPr>
          <w:color w:val="231F20"/>
          <w:w w:val="110"/>
        </w:rPr>
        <w:t>rotundamente</w:t>
      </w:r>
      <w:r>
        <w:rPr>
          <w:color w:val="231F20"/>
          <w:spacing w:val="46"/>
          <w:w w:val="110"/>
        </w:rPr>
        <w:t> </w:t>
      </w:r>
      <w:r>
        <w:rPr>
          <w:color w:val="231F20"/>
          <w:w w:val="110"/>
        </w:rPr>
        <w:t>apolítico</w:t>
      </w:r>
      <w:r>
        <w:rPr>
          <w:color w:val="231F20"/>
          <w:spacing w:val="1"/>
          <w:w w:val="109"/>
        </w:rPr>
        <w:t> </w:t>
      </w:r>
      <w:r>
        <w:rPr>
          <w:color w:val="231F20"/>
          <w:w w:val="110"/>
        </w:rPr>
        <w:t>sería suficiente para mantener un grado de estabilidad social. Sin embargo,</w:t>
      </w:r>
      <w:r>
        <w:rPr>
          <w:color w:val="231F20"/>
          <w:spacing w:val="-12"/>
          <w:w w:val="110"/>
        </w:rPr>
        <w:t> </w:t>
      </w:r>
      <w:r>
        <w:rPr>
          <w:color w:val="231F20"/>
          <w:w w:val="110"/>
        </w:rPr>
        <w:t>el</w:t>
      </w:r>
      <w:r>
        <w:rPr>
          <w:color w:val="231F20"/>
          <w:spacing w:val="-12"/>
          <w:w w:val="110"/>
        </w:rPr>
        <w:t> </w:t>
      </w:r>
      <w:r>
        <w:rPr>
          <w:color w:val="231F20"/>
          <w:w w:val="110"/>
        </w:rPr>
        <w:t>otro</w:t>
      </w:r>
      <w:r>
        <w:rPr>
          <w:color w:val="231F20"/>
          <w:spacing w:val="-12"/>
          <w:w w:val="110"/>
        </w:rPr>
        <w:t> </w:t>
      </w:r>
      <w:r>
        <w:rPr>
          <w:color w:val="231F20"/>
          <w:w w:val="110"/>
        </w:rPr>
        <w:t>lado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moneda</w:t>
      </w:r>
      <w:r>
        <w:rPr>
          <w:color w:val="231F20"/>
          <w:spacing w:val="-12"/>
          <w:w w:val="110"/>
        </w:rPr>
        <w:t> </w:t>
      </w:r>
      <w:r>
        <w:rPr>
          <w:color w:val="231F20"/>
          <w:w w:val="110"/>
        </w:rPr>
        <w:t>pudiera</w:t>
      </w:r>
      <w:r>
        <w:rPr>
          <w:color w:val="231F20"/>
          <w:spacing w:val="-12"/>
          <w:w w:val="110"/>
        </w:rPr>
        <w:t> </w:t>
      </w:r>
      <w:r>
        <w:rPr>
          <w:color w:val="231F20"/>
          <w:w w:val="110"/>
        </w:rPr>
        <w:t>ser</w:t>
      </w:r>
      <w:r>
        <w:rPr>
          <w:color w:val="231F20"/>
          <w:spacing w:val="-12"/>
          <w:w w:val="110"/>
        </w:rPr>
        <w:t> </w:t>
      </w:r>
      <w:r>
        <w:rPr>
          <w:color w:val="231F20"/>
          <w:w w:val="110"/>
        </w:rPr>
        <w:t>la</w:t>
      </w:r>
      <w:r>
        <w:rPr>
          <w:color w:val="231F20"/>
          <w:spacing w:val="-12"/>
          <w:w w:val="110"/>
        </w:rPr>
        <w:t> </w:t>
      </w:r>
      <w:r>
        <w:rPr>
          <w:color w:val="231F20"/>
          <w:w w:val="110"/>
        </w:rPr>
        <w:t>cristalización</w:t>
      </w:r>
      <w:r>
        <w:rPr>
          <w:color w:val="231F20"/>
          <w:spacing w:val="-12"/>
          <w:w w:val="110"/>
        </w:rPr>
        <w:t> </w:t>
      </w:r>
      <w:r>
        <w:rPr>
          <w:color w:val="231F20"/>
          <w:w w:val="110"/>
        </w:rPr>
        <w:t>de</w:t>
      </w:r>
      <w:r>
        <w:rPr>
          <w:color w:val="231F20"/>
          <w:spacing w:val="-12"/>
          <w:w w:val="110"/>
        </w:rPr>
        <w:t> </w:t>
      </w:r>
      <w:r>
        <w:rPr>
          <w:color w:val="231F20"/>
          <w:w w:val="110"/>
        </w:rPr>
        <w:t>las fuerzas ultraderechistas, apoyando a ultranza la militarización de</w:t>
      </w:r>
      <w:r>
        <w:rPr>
          <w:color w:val="231F20"/>
          <w:spacing w:val="-8"/>
          <w:w w:val="110"/>
        </w:rPr>
        <w:t> </w:t>
      </w:r>
      <w:r>
        <w:rPr>
          <w:color w:val="231F20"/>
          <w:w w:val="110"/>
        </w:rPr>
        <w:t>las relaciones exteriores como contrapeso de su declinación</w:t>
      </w:r>
      <w:r>
        <w:rPr>
          <w:color w:val="231F20"/>
          <w:spacing w:val="-12"/>
          <w:w w:val="110"/>
        </w:rPr>
        <w:t> </w:t>
      </w:r>
      <w:r>
        <w:rPr>
          <w:color w:val="231F20"/>
          <w:w w:val="110"/>
        </w:rPr>
        <w:t>económica.</w:t>
      </w:r>
    </w:p>
    <w:p>
      <w:pPr>
        <w:pStyle w:val="BodyText"/>
      </w:pPr>
    </w:p>
    <w:p>
      <w:pPr>
        <w:pStyle w:val="BodyText"/>
      </w:pPr>
    </w:p>
    <w:p>
      <w:pPr>
        <w:pStyle w:val="BodyText"/>
        <w:spacing w:before="2"/>
        <w:rPr>
          <w:sz w:val="25"/>
        </w:rPr>
      </w:pPr>
    </w:p>
    <w:p>
      <w:pPr>
        <w:pStyle w:val="BodyText"/>
        <w:ind w:left="100"/>
        <w:jc w:val="both"/>
      </w:pPr>
      <w:r>
        <w:rPr>
          <w:color w:val="231F20"/>
          <w:w w:val="125"/>
        </w:rPr>
        <w:t>el sueño americano</w:t>
      </w:r>
    </w:p>
    <w:p>
      <w:pPr>
        <w:pStyle w:val="BodyText"/>
        <w:spacing w:before="5"/>
        <w:rPr>
          <w:sz w:val="23"/>
        </w:rPr>
      </w:pPr>
    </w:p>
    <w:p>
      <w:pPr>
        <w:pStyle w:val="BodyText"/>
        <w:spacing w:line="261" w:lineRule="auto"/>
        <w:ind w:left="100" w:right="117"/>
        <w:jc w:val="both"/>
      </w:pPr>
      <w:r>
        <w:rPr>
          <w:color w:val="231F20"/>
          <w:w w:val="105"/>
        </w:rPr>
        <w:t>La idea de que todos los miembros de la sociedad, sin  tomar  en cuenta relaciones socioeconómicas  o  su  grupo  de  origen,  pueden  “ir</w:t>
      </w:r>
      <w:r>
        <w:rPr>
          <w:color w:val="231F20"/>
          <w:spacing w:val="24"/>
          <w:w w:val="105"/>
        </w:rPr>
        <w:t> </w:t>
      </w:r>
      <w:r>
        <w:rPr>
          <w:color w:val="231F20"/>
          <w:w w:val="105"/>
        </w:rPr>
        <w:t>adelante”</w:t>
      </w:r>
      <w:r>
        <w:rPr>
          <w:color w:val="231F20"/>
          <w:spacing w:val="24"/>
          <w:w w:val="105"/>
        </w:rPr>
        <w:t> </w:t>
      </w:r>
      <w:r>
        <w:rPr>
          <w:color w:val="231F20"/>
          <w:w w:val="105"/>
        </w:rPr>
        <w:t>si</w:t>
      </w:r>
      <w:r>
        <w:rPr>
          <w:color w:val="231F20"/>
          <w:spacing w:val="24"/>
          <w:w w:val="105"/>
        </w:rPr>
        <w:t> </w:t>
      </w:r>
      <w:r>
        <w:rPr>
          <w:color w:val="231F20"/>
          <w:w w:val="105"/>
        </w:rPr>
        <w:t>son</w:t>
      </w:r>
      <w:r>
        <w:rPr>
          <w:color w:val="231F20"/>
          <w:spacing w:val="24"/>
          <w:w w:val="105"/>
        </w:rPr>
        <w:t> </w:t>
      </w:r>
      <w:r>
        <w:rPr>
          <w:color w:val="231F20"/>
          <w:w w:val="105"/>
        </w:rPr>
        <w:t>dedicados</w:t>
      </w:r>
      <w:r>
        <w:rPr>
          <w:color w:val="231F20"/>
          <w:spacing w:val="24"/>
          <w:w w:val="105"/>
        </w:rPr>
        <w:t> </w:t>
      </w:r>
      <w:r>
        <w:rPr>
          <w:color w:val="231F20"/>
          <w:w w:val="105"/>
        </w:rPr>
        <w:t>a</w:t>
      </w:r>
      <w:r>
        <w:rPr>
          <w:color w:val="231F20"/>
          <w:spacing w:val="24"/>
          <w:w w:val="105"/>
        </w:rPr>
        <w:t> </w:t>
      </w:r>
      <w:r>
        <w:rPr>
          <w:color w:val="231F20"/>
          <w:w w:val="105"/>
        </w:rPr>
        <w:t>sus</w:t>
      </w:r>
      <w:r>
        <w:rPr>
          <w:color w:val="231F20"/>
          <w:spacing w:val="24"/>
          <w:w w:val="105"/>
        </w:rPr>
        <w:t> </w:t>
      </w:r>
      <w:r>
        <w:rPr>
          <w:color w:val="231F20"/>
          <w:w w:val="105"/>
        </w:rPr>
        <w:t>trabajos</w:t>
      </w:r>
      <w:r>
        <w:rPr>
          <w:color w:val="231F20"/>
          <w:spacing w:val="24"/>
          <w:w w:val="105"/>
        </w:rPr>
        <w:t> </w:t>
      </w:r>
      <w:r>
        <w:rPr>
          <w:color w:val="231F20"/>
          <w:w w:val="105"/>
        </w:rPr>
        <w:t>y</w:t>
      </w:r>
      <w:r>
        <w:rPr>
          <w:color w:val="231F20"/>
          <w:spacing w:val="24"/>
          <w:w w:val="105"/>
        </w:rPr>
        <w:t> </w:t>
      </w:r>
      <w:r>
        <w:rPr>
          <w:color w:val="231F20"/>
          <w:w w:val="105"/>
        </w:rPr>
        <w:t>listos</w:t>
      </w:r>
      <w:r>
        <w:rPr>
          <w:color w:val="231F20"/>
          <w:spacing w:val="24"/>
          <w:w w:val="105"/>
        </w:rPr>
        <w:t> </w:t>
      </w:r>
      <w:r>
        <w:rPr>
          <w:color w:val="231F20"/>
          <w:w w:val="105"/>
        </w:rPr>
        <w:t>para</w:t>
      </w:r>
      <w:r>
        <w:rPr>
          <w:color w:val="231F20"/>
          <w:spacing w:val="24"/>
          <w:w w:val="105"/>
        </w:rPr>
        <w:t> </w:t>
      </w:r>
      <w:r>
        <w:rPr>
          <w:color w:val="231F20"/>
          <w:w w:val="105"/>
        </w:rPr>
        <w:t>aprovechar</w:t>
      </w:r>
    </w:p>
    <w:p>
      <w:pPr>
        <w:spacing w:after="0" w:line="261" w:lineRule="auto"/>
        <w:jc w:val="both"/>
        <w:sectPr>
          <w:headerReference w:type="default" r:id="rId245"/>
          <w:headerReference w:type="even" r:id="rId246"/>
          <w:pgSz w:w="7640" w:h="11900"/>
          <w:pgMar w:header="672" w:footer="0" w:top="860" w:bottom="280" w:left="660" w:right="760"/>
          <w:pgNumType w:start="317"/>
        </w:sectPr>
      </w:pPr>
    </w:p>
    <w:p>
      <w:pPr>
        <w:pStyle w:val="BodyText"/>
        <w:spacing w:before="8"/>
        <w:rPr>
          <w:sz w:val="8"/>
        </w:rPr>
      </w:pPr>
    </w:p>
    <w:p>
      <w:pPr>
        <w:pStyle w:val="BodyText"/>
        <w:spacing w:line="261" w:lineRule="auto" w:before="67"/>
        <w:ind w:left="100" w:right="117"/>
        <w:jc w:val="both"/>
      </w:pPr>
      <w:r>
        <w:rPr>
          <w:color w:val="231F20"/>
          <w:w w:val="105"/>
        </w:rPr>
        <w:t>sus oportunidades es lo que encierra el llamado ”sueño americano”. Según los defensores de esta perspectiva, éste es un elemento clave   del “excepcionalismo” estadunidense —algo que nunca existió en Eu- ropa—. Entonces, este sueño está casi restringido a una concepción materialista, tiene poco que ver con ideas claves de los documentos formativos, en donde los “padres  fundadores”  pusieron  énfasis  en  los derechos derivados de la época de la Ilustración. Nunca ha sido  algo sencillo hacer una descripción precisa del sueño americano. A pesar de eso, en gran medida podemos decir que —por lo menos en tiempos recientes— este sueño es ser “dueño” de una casa adecuada (aunque hasta por 30 años el dueño legal será el prestador), dos co- ches, ingreso suficiente para satisfacer las necesidades de la “buena vida” para toda la familia hasta lograr una educación universitaria   para los hijos en un entorno lleno de movilidad social. En 2007 Louis Auchincloss, vástago de una familia rica, persona de la alta sociedad neoyorquina y autor prolífico sobre las vidas suntuarias de las fami- lias adineradas, captó la esencia de la cultura estadunidense actual: “nunca ha sido una sociedad más materialista de lo que vivimos hoy  en día” (Noble y McGrath, 2010:  </w:t>
      </w:r>
      <w:r>
        <w:rPr>
          <w:color w:val="231F20"/>
          <w:spacing w:val="12"/>
          <w:w w:val="105"/>
        </w:rPr>
        <w:t> </w:t>
      </w:r>
      <w:r>
        <w:rPr>
          <w:color w:val="231F20"/>
          <w:w w:val="105"/>
        </w:rPr>
        <w:t>A23).</w:t>
      </w:r>
    </w:p>
    <w:p>
      <w:pPr>
        <w:pStyle w:val="BodyText"/>
      </w:pPr>
    </w:p>
    <w:p>
      <w:pPr>
        <w:pStyle w:val="BodyText"/>
      </w:pPr>
    </w:p>
    <w:p>
      <w:pPr>
        <w:pStyle w:val="BodyText"/>
        <w:spacing w:before="2"/>
        <w:rPr>
          <w:sz w:val="25"/>
        </w:rPr>
      </w:pPr>
    </w:p>
    <w:p>
      <w:pPr>
        <w:pStyle w:val="BodyText"/>
        <w:ind w:left="100"/>
        <w:jc w:val="both"/>
      </w:pPr>
      <w:r>
        <w:rPr>
          <w:color w:val="231F20"/>
          <w:w w:val="130"/>
        </w:rPr>
        <w:t>los antecedentes</w:t>
      </w:r>
    </w:p>
    <w:p>
      <w:pPr>
        <w:pStyle w:val="BodyText"/>
        <w:spacing w:before="5"/>
        <w:rPr>
          <w:sz w:val="23"/>
        </w:rPr>
      </w:pPr>
    </w:p>
    <w:p>
      <w:pPr>
        <w:pStyle w:val="BodyText"/>
        <w:spacing w:line="261" w:lineRule="auto"/>
        <w:ind w:left="100" w:right="111"/>
        <w:jc w:val="both"/>
      </w:pPr>
      <w:r>
        <w:rPr>
          <w:color w:val="231F20"/>
          <w:w w:val="110"/>
        </w:rPr>
        <w:t>Antes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gran</w:t>
      </w:r>
      <w:r>
        <w:rPr>
          <w:color w:val="231F20"/>
          <w:spacing w:val="-5"/>
          <w:w w:val="110"/>
        </w:rPr>
        <w:t> </w:t>
      </w:r>
      <w:r>
        <w:rPr>
          <w:color w:val="231F20"/>
          <w:w w:val="110"/>
        </w:rPr>
        <w:t>depresión,</w:t>
      </w:r>
      <w:r>
        <w:rPr>
          <w:color w:val="231F20"/>
          <w:spacing w:val="-5"/>
          <w:w w:val="110"/>
        </w:rPr>
        <w:t> </w:t>
      </w:r>
      <w:r>
        <w:rPr>
          <w:color w:val="231F20"/>
          <w:w w:val="110"/>
        </w:rPr>
        <w:t>sobre</w:t>
      </w:r>
      <w:r>
        <w:rPr>
          <w:color w:val="231F20"/>
          <w:spacing w:val="-5"/>
          <w:w w:val="110"/>
        </w:rPr>
        <w:t> </w:t>
      </w:r>
      <w:r>
        <w:rPr>
          <w:color w:val="231F20"/>
          <w:w w:val="110"/>
        </w:rPr>
        <w:t>todo</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zonas</w:t>
      </w:r>
      <w:r>
        <w:rPr>
          <w:color w:val="231F20"/>
          <w:spacing w:val="-5"/>
          <w:w w:val="110"/>
        </w:rPr>
        <w:t> </w:t>
      </w:r>
      <w:r>
        <w:rPr>
          <w:color w:val="231F20"/>
          <w:w w:val="110"/>
        </w:rPr>
        <w:t>agrícolas,</w:t>
      </w:r>
      <w:r>
        <w:rPr>
          <w:color w:val="231F20"/>
          <w:spacing w:val="-5"/>
          <w:w w:val="110"/>
        </w:rPr>
        <w:t> </w:t>
      </w:r>
      <w:r>
        <w:rPr>
          <w:color w:val="231F20"/>
          <w:w w:val="110"/>
        </w:rPr>
        <w:t>ser</w:t>
      </w:r>
      <w:r>
        <w:rPr>
          <w:color w:val="231F20"/>
          <w:spacing w:val="-5"/>
          <w:w w:val="110"/>
        </w:rPr>
        <w:t> </w:t>
      </w:r>
      <w:r>
        <w:rPr>
          <w:color w:val="231F20"/>
          <w:w w:val="110"/>
        </w:rPr>
        <w:t>“su propio patrón” fue un elemento clave de esta ideología. Pero, dadas las</w:t>
      </w:r>
      <w:r>
        <w:rPr>
          <w:color w:val="231F20"/>
          <w:spacing w:val="-11"/>
          <w:w w:val="110"/>
        </w:rPr>
        <w:t> </w:t>
      </w:r>
      <w:r>
        <w:rPr>
          <w:color w:val="231F20"/>
          <w:w w:val="110"/>
        </w:rPr>
        <w:t>fuerzas</w:t>
      </w:r>
      <w:r>
        <w:rPr>
          <w:color w:val="231F20"/>
          <w:spacing w:val="-11"/>
          <w:w w:val="110"/>
        </w:rPr>
        <w:t> </w:t>
      </w:r>
      <w:r>
        <w:rPr>
          <w:color w:val="231F20"/>
          <w:w w:val="110"/>
        </w:rPr>
        <w:t>de</w:t>
      </w:r>
      <w:r>
        <w:rPr>
          <w:color w:val="231F20"/>
          <w:spacing w:val="-11"/>
          <w:w w:val="110"/>
        </w:rPr>
        <w:t> </w:t>
      </w:r>
      <w:r>
        <w:rPr>
          <w:color w:val="231F20"/>
          <w:w w:val="110"/>
        </w:rPr>
        <w:t>concentración</w:t>
      </w:r>
      <w:r>
        <w:rPr>
          <w:color w:val="231F20"/>
          <w:spacing w:val="-11"/>
          <w:w w:val="110"/>
        </w:rPr>
        <w:t> </w:t>
      </w:r>
      <w:r>
        <w:rPr>
          <w:color w:val="231F20"/>
          <w:w w:val="110"/>
        </w:rPr>
        <w:t>y</w:t>
      </w:r>
      <w:r>
        <w:rPr>
          <w:color w:val="231F20"/>
          <w:spacing w:val="-11"/>
          <w:w w:val="110"/>
        </w:rPr>
        <w:t> </w:t>
      </w:r>
      <w:r>
        <w:rPr>
          <w:color w:val="231F20"/>
          <w:w w:val="110"/>
        </w:rPr>
        <w:t>centralización</w:t>
      </w:r>
      <w:r>
        <w:rPr>
          <w:color w:val="231F20"/>
          <w:spacing w:val="-11"/>
          <w:w w:val="110"/>
        </w:rPr>
        <w:t> </w:t>
      </w:r>
      <w:r>
        <w:rPr>
          <w:color w:val="231F20"/>
          <w:w w:val="110"/>
        </w:rPr>
        <w:t>de</w:t>
      </w:r>
      <w:r>
        <w:rPr>
          <w:color w:val="231F20"/>
          <w:spacing w:val="-11"/>
          <w:w w:val="110"/>
        </w:rPr>
        <w:t> </w:t>
      </w:r>
      <w:r>
        <w:rPr>
          <w:color w:val="231F20"/>
          <w:w w:val="110"/>
        </w:rPr>
        <w:t>capital</w:t>
      </w:r>
      <w:r>
        <w:rPr>
          <w:color w:val="231F20"/>
          <w:spacing w:val="-11"/>
          <w:w w:val="110"/>
        </w:rPr>
        <w:t> </w:t>
      </w:r>
      <w:r>
        <w:rPr>
          <w:color w:val="231F20"/>
          <w:w w:val="110"/>
        </w:rPr>
        <w:t>desencadena- das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auge</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veinte,</w:t>
      </w:r>
      <w:r>
        <w:rPr>
          <w:color w:val="231F20"/>
          <w:spacing w:val="-5"/>
          <w:w w:val="110"/>
        </w:rPr>
        <w:t> </w:t>
      </w:r>
      <w:r>
        <w:rPr>
          <w:color w:val="231F20"/>
          <w:w w:val="110"/>
        </w:rPr>
        <w:t>sino</w:t>
      </w:r>
      <w:r>
        <w:rPr>
          <w:color w:val="231F20"/>
          <w:spacing w:val="-5"/>
          <w:w w:val="110"/>
        </w:rPr>
        <w:t> </w:t>
      </w:r>
      <w:r>
        <w:rPr>
          <w:color w:val="231F20"/>
          <w:w w:val="110"/>
        </w:rPr>
        <w:t>es</w:t>
      </w:r>
      <w:r>
        <w:rPr>
          <w:color w:val="231F20"/>
          <w:spacing w:val="-5"/>
          <w:w w:val="110"/>
        </w:rPr>
        <w:t> </w:t>
      </w:r>
      <w:r>
        <w:rPr>
          <w:color w:val="231F20"/>
          <w:w w:val="110"/>
        </w:rPr>
        <w:t>que</w:t>
      </w:r>
      <w:r>
        <w:rPr>
          <w:color w:val="231F20"/>
          <w:spacing w:val="-5"/>
          <w:w w:val="110"/>
        </w:rPr>
        <w:t> </w:t>
      </w:r>
      <w:r>
        <w:rPr>
          <w:color w:val="231F20"/>
          <w:w w:val="110"/>
        </w:rPr>
        <w:t>antes</w:t>
      </w:r>
      <w:r>
        <w:rPr>
          <w:color w:val="231F20"/>
          <w:spacing w:val="-5"/>
          <w:w w:val="110"/>
        </w:rPr>
        <w:t> </w:t>
      </w:r>
      <w:r>
        <w:rPr>
          <w:color w:val="231F20"/>
          <w:w w:val="110"/>
        </w:rPr>
        <w:t>en</w:t>
      </w:r>
      <w:r>
        <w:rPr>
          <w:color w:val="231F20"/>
          <w:spacing w:val="-5"/>
          <w:w w:val="110"/>
        </w:rPr>
        <w:t> </w:t>
      </w:r>
      <w:r>
        <w:rPr>
          <w:color w:val="231F20"/>
          <w:w w:val="110"/>
        </w:rPr>
        <w:t>muchos</w:t>
      </w:r>
      <w:r>
        <w:rPr>
          <w:color w:val="231F20"/>
          <w:spacing w:val="-5"/>
          <w:w w:val="110"/>
        </w:rPr>
        <w:t> </w:t>
      </w:r>
      <w:r>
        <w:rPr>
          <w:color w:val="231F20"/>
          <w:w w:val="110"/>
        </w:rPr>
        <w:t>casos, este elemento tan importante en el entorno del “sueño” fue dejado de lado. La importancia del sueño americano era, sobre todo, legiti- mar en las mentes de las clases trabajadora y media un régimen exigente de trabajo industrial, bajo sistemas de alta productividad como el “fordismo” y el “taylorismo”. El entendimiento era dejar sueltos a los gerentes de las empresas para hacer “lo necesario” a cambio de un pago alto —la esencia del fordismo—. Entonces, la hegemonía intelectual del modelo, como comentó Gramsci, </w:t>
      </w:r>
      <w:r>
        <w:rPr>
          <w:color w:val="231F20"/>
          <w:spacing w:val="2"/>
          <w:w w:val="110"/>
        </w:rPr>
        <w:t>fue </w:t>
      </w:r>
      <w:r>
        <w:rPr>
          <w:color w:val="231F20"/>
          <w:w w:val="110"/>
        </w:rPr>
        <w:t>construida por vía de un acuerdo implícito en donde la clase traba- jadora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media</w:t>
      </w:r>
      <w:r>
        <w:rPr>
          <w:color w:val="231F20"/>
          <w:spacing w:val="-9"/>
          <w:w w:val="110"/>
        </w:rPr>
        <w:t> </w:t>
      </w:r>
      <w:r>
        <w:rPr>
          <w:color w:val="231F20"/>
          <w:w w:val="110"/>
        </w:rPr>
        <w:t>ganaron</w:t>
      </w:r>
      <w:r>
        <w:rPr>
          <w:color w:val="231F20"/>
          <w:spacing w:val="-9"/>
          <w:w w:val="110"/>
        </w:rPr>
        <w:t> </w:t>
      </w:r>
      <w:r>
        <w:rPr>
          <w:color w:val="231F20"/>
          <w:w w:val="110"/>
        </w:rPr>
        <w:t>salarios</w:t>
      </w:r>
      <w:r>
        <w:rPr>
          <w:color w:val="231F20"/>
          <w:spacing w:val="-9"/>
          <w:w w:val="110"/>
        </w:rPr>
        <w:t> </w:t>
      </w:r>
      <w:r>
        <w:rPr>
          <w:color w:val="231F20"/>
          <w:w w:val="110"/>
        </w:rPr>
        <w:t>relativamente</w:t>
      </w:r>
      <w:r>
        <w:rPr>
          <w:color w:val="231F20"/>
          <w:spacing w:val="-9"/>
          <w:w w:val="110"/>
        </w:rPr>
        <w:t> </w:t>
      </w:r>
      <w:r>
        <w:rPr>
          <w:color w:val="231F20"/>
          <w:w w:val="110"/>
        </w:rPr>
        <w:t>altos</w:t>
      </w:r>
      <w:r>
        <w:rPr>
          <w:color w:val="231F20"/>
          <w:spacing w:val="-9"/>
          <w:w w:val="110"/>
        </w:rPr>
        <w:t> </w:t>
      </w:r>
      <w:r>
        <w:rPr>
          <w:color w:val="231F20"/>
          <w:w w:val="110"/>
        </w:rPr>
        <w:t>a</w:t>
      </w:r>
      <w:r>
        <w:rPr>
          <w:color w:val="231F20"/>
          <w:spacing w:val="-9"/>
          <w:w w:val="110"/>
        </w:rPr>
        <w:t> </w:t>
      </w:r>
      <w:r>
        <w:rPr>
          <w:color w:val="231F20"/>
          <w:w w:val="110"/>
        </w:rPr>
        <w:t>cambio de</w:t>
      </w:r>
      <w:r>
        <w:rPr>
          <w:color w:val="231F20"/>
          <w:spacing w:val="38"/>
          <w:w w:val="110"/>
        </w:rPr>
        <w:t> </w:t>
      </w:r>
      <w:r>
        <w:rPr>
          <w:color w:val="231F20"/>
          <w:w w:val="110"/>
        </w:rPr>
        <w:t>la</w:t>
      </w:r>
      <w:r>
        <w:rPr>
          <w:color w:val="231F20"/>
          <w:spacing w:val="38"/>
          <w:w w:val="110"/>
        </w:rPr>
        <w:t> </w:t>
      </w:r>
      <w:r>
        <w:rPr>
          <w:color w:val="231F20"/>
          <w:w w:val="110"/>
        </w:rPr>
        <w:t>adopción</w:t>
      </w:r>
      <w:r>
        <w:rPr>
          <w:color w:val="231F20"/>
          <w:spacing w:val="38"/>
          <w:w w:val="110"/>
        </w:rPr>
        <w:t> </w:t>
      </w:r>
      <w:r>
        <w:rPr>
          <w:color w:val="231F20"/>
          <w:w w:val="110"/>
        </w:rPr>
        <w:t>de</w:t>
      </w:r>
      <w:r>
        <w:rPr>
          <w:color w:val="231F20"/>
          <w:spacing w:val="38"/>
          <w:w w:val="110"/>
        </w:rPr>
        <w:t> </w:t>
      </w:r>
      <w:r>
        <w:rPr>
          <w:color w:val="231F20"/>
          <w:w w:val="110"/>
        </w:rPr>
        <w:t>una</w:t>
      </w:r>
      <w:r>
        <w:rPr>
          <w:color w:val="231F20"/>
          <w:spacing w:val="38"/>
          <w:w w:val="110"/>
        </w:rPr>
        <w:t> </w:t>
      </w:r>
      <w:r>
        <w:rPr>
          <w:color w:val="231F20"/>
          <w:w w:val="110"/>
        </w:rPr>
        <w:t>postura</w:t>
      </w:r>
      <w:r>
        <w:rPr>
          <w:color w:val="231F20"/>
          <w:spacing w:val="38"/>
          <w:w w:val="110"/>
        </w:rPr>
        <w:t> </w:t>
      </w:r>
      <w:r>
        <w:rPr>
          <w:color w:val="231F20"/>
          <w:w w:val="110"/>
        </w:rPr>
        <w:t>sumisa.</w:t>
      </w:r>
      <w:r>
        <w:rPr>
          <w:color w:val="231F20"/>
          <w:spacing w:val="38"/>
          <w:w w:val="110"/>
        </w:rPr>
        <w:t> </w:t>
      </w:r>
      <w:r>
        <w:rPr>
          <w:color w:val="231F20"/>
          <w:w w:val="110"/>
        </w:rPr>
        <w:t>Era</w:t>
      </w:r>
      <w:r>
        <w:rPr>
          <w:color w:val="231F20"/>
          <w:spacing w:val="38"/>
          <w:w w:val="110"/>
        </w:rPr>
        <w:t> </w:t>
      </w:r>
      <w:r>
        <w:rPr>
          <w:color w:val="231F20"/>
          <w:w w:val="110"/>
        </w:rPr>
        <w:t>una</w:t>
      </w:r>
      <w:r>
        <w:rPr>
          <w:color w:val="231F20"/>
          <w:spacing w:val="38"/>
          <w:w w:val="110"/>
        </w:rPr>
        <w:t> </w:t>
      </w:r>
      <w:r>
        <w:rPr>
          <w:color w:val="231F20"/>
          <w:w w:val="110"/>
        </w:rPr>
        <w:t>aceptación</w:t>
      </w:r>
      <w:r>
        <w:rPr>
          <w:color w:val="231F20"/>
          <w:spacing w:val="38"/>
          <w:w w:val="110"/>
        </w:rPr>
        <w:t> </w:t>
      </w:r>
      <w:r>
        <w:rPr>
          <w:color w:val="231F20"/>
          <w:w w:val="110"/>
        </w:rPr>
        <w:t>de</w:t>
      </w:r>
      <w:r>
        <w:rPr>
          <w:color w:val="231F20"/>
          <w:spacing w:val="38"/>
          <w:w w:val="110"/>
        </w:rPr>
        <w:t> </w:t>
      </w:r>
      <w:r>
        <w:rPr>
          <w:color w:val="231F20"/>
          <w:w w:val="110"/>
        </w:rPr>
        <w:t>la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ausencia</w:t>
      </w:r>
      <w:r>
        <w:rPr>
          <w:color w:val="231F20"/>
          <w:spacing w:val="-21"/>
          <w:w w:val="110"/>
        </w:rPr>
        <w:t> </w:t>
      </w:r>
      <w:r>
        <w:rPr>
          <w:color w:val="231F20"/>
          <w:w w:val="110"/>
        </w:rPr>
        <w:t>de</w:t>
      </w:r>
      <w:r>
        <w:rPr>
          <w:color w:val="231F20"/>
          <w:spacing w:val="-21"/>
          <w:w w:val="110"/>
        </w:rPr>
        <w:t> </w:t>
      </w:r>
      <w:r>
        <w:rPr>
          <w:color w:val="231F20"/>
          <w:w w:val="110"/>
        </w:rPr>
        <w:t>instituciones</w:t>
      </w:r>
      <w:r>
        <w:rPr>
          <w:color w:val="231F20"/>
          <w:spacing w:val="-21"/>
          <w:w w:val="110"/>
        </w:rPr>
        <w:t> </w:t>
      </w:r>
      <w:r>
        <w:rPr>
          <w:color w:val="231F20"/>
          <w:w w:val="110"/>
        </w:rPr>
        <w:t>auténticas</w:t>
      </w:r>
      <w:r>
        <w:rPr>
          <w:color w:val="231F20"/>
          <w:spacing w:val="-21"/>
          <w:w w:val="110"/>
        </w:rPr>
        <w:t> </w:t>
      </w:r>
      <w:r>
        <w:rPr>
          <w:color w:val="231F20"/>
          <w:w w:val="110"/>
        </w:rPr>
        <w:t>como</w:t>
      </w:r>
      <w:r>
        <w:rPr>
          <w:color w:val="231F20"/>
          <w:spacing w:val="-21"/>
          <w:w w:val="110"/>
        </w:rPr>
        <w:t> </w:t>
      </w:r>
      <w:r>
        <w:rPr>
          <w:color w:val="231F20"/>
          <w:w w:val="110"/>
        </w:rPr>
        <w:t>sindicatos</w:t>
      </w:r>
      <w:r>
        <w:rPr>
          <w:color w:val="231F20"/>
          <w:spacing w:val="-21"/>
          <w:w w:val="110"/>
        </w:rPr>
        <w:t> </w:t>
      </w:r>
      <w:r>
        <w:rPr>
          <w:color w:val="231F20"/>
          <w:w w:val="110"/>
        </w:rPr>
        <w:t>y</w:t>
      </w:r>
      <w:r>
        <w:rPr>
          <w:color w:val="231F20"/>
          <w:spacing w:val="-21"/>
          <w:w w:val="110"/>
        </w:rPr>
        <w:t> </w:t>
      </w:r>
      <w:r>
        <w:rPr>
          <w:color w:val="231F20"/>
          <w:w w:val="110"/>
        </w:rPr>
        <w:t>organizaciones para</w:t>
      </w:r>
      <w:r>
        <w:rPr>
          <w:color w:val="231F20"/>
          <w:spacing w:val="-5"/>
          <w:w w:val="110"/>
        </w:rPr>
        <w:t> </w:t>
      </w:r>
      <w:r>
        <w:rPr>
          <w:color w:val="231F20"/>
          <w:w w:val="110"/>
        </w:rPr>
        <w:t>el</w:t>
      </w:r>
      <w:r>
        <w:rPr>
          <w:color w:val="231F20"/>
          <w:spacing w:val="-5"/>
          <w:w w:val="110"/>
        </w:rPr>
        <w:t> </w:t>
      </w:r>
      <w:r>
        <w:rPr>
          <w:color w:val="231F20"/>
          <w:w w:val="110"/>
        </w:rPr>
        <w:t>avance</w:t>
      </w:r>
      <w:r>
        <w:rPr>
          <w:color w:val="231F20"/>
          <w:spacing w:val="-5"/>
          <w:w w:val="110"/>
        </w:rPr>
        <w:t> </w:t>
      </w:r>
      <w:r>
        <w:rPr>
          <w:color w:val="231F20"/>
          <w:w w:val="110"/>
        </w:rPr>
        <w:t>de</w:t>
      </w:r>
      <w:r>
        <w:rPr>
          <w:color w:val="231F20"/>
          <w:spacing w:val="-5"/>
          <w:w w:val="110"/>
        </w:rPr>
        <w:t> </w:t>
      </w:r>
      <w:r>
        <w:rPr>
          <w:color w:val="231F20"/>
          <w:w w:val="110"/>
        </w:rPr>
        <w:t>políticas</w:t>
      </w:r>
      <w:r>
        <w:rPr>
          <w:color w:val="231F20"/>
          <w:spacing w:val="-5"/>
          <w:w w:val="110"/>
        </w:rPr>
        <w:t> </w:t>
      </w:r>
      <w:r>
        <w:rPr>
          <w:color w:val="231F20"/>
          <w:w w:val="110"/>
        </w:rPr>
        <w:t>públicas</w:t>
      </w:r>
      <w:r>
        <w:rPr>
          <w:color w:val="231F20"/>
          <w:spacing w:val="-5"/>
          <w:w w:val="110"/>
        </w:rPr>
        <w:t> </w:t>
      </w:r>
      <w:r>
        <w:rPr>
          <w:color w:val="231F20"/>
          <w:w w:val="110"/>
        </w:rPr>
        <w:t>en</w:t>
      </w:r>
      <w:r>
        <w:rPr>
          <w:color w:val="231F20"/>
          <w:spacing w:val="-5"/>
          <w:w w:val="110"/>
        </w:rPr>
        <w:t> </w:t>
      </w:r>
      <w:r>
        <w:rPr>
          <w:color w:val="231F20"/>
          <w:w w:val="110"/>
        </w:rPr>
        <w:t>apoyo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clases</w:t>
      </w:r>
      <w:r>
        <w:rPr>
          <w:color w:val="231F20"/>
          <w:spacing w:val="-5"/>
          <w:w w:val="110"/>
        </w:rPr>
        <w:t> </w:t>
      </w:r>
      <w:r>
        <w:rPr>
          <w:color w:val="231F20"/>
          <w:w w:val="110"/>
        </w:rPr>
        <w:t>subyacen- tes. Fue anticipado que el aumento de la productividad de mano de obra sería igualado por el mejoramiento en los salarios de las clases trabajadoras (Gramsci, 1971: 277-320). Por supuesto, nunca fueron tan sencillas las relaciones entre el capital y el</w:t>
      </w:r>
      <w:r>
        <w:rPr>
          <w:color w:val="231F20"/>
          <w:spacing w:val="16"/>
          <w:w w:val="110"/>
        </w:rPr>
        <w:t> </w:t>
      </w:r>
      <w:r>
        <w:rPr>
          <w:color w:val="231F20"/>
          <w:w w:val="110"/>
        </w:rPr>
        <w:t>trabajo.</w:t>
      </w:r>
    </w:p>
    <w:p>
      <w:pPr>
        <w:pStyle w:val="BodyText"/>
        <w:spacing w:line="261" w:lineRule="auto"/>
        <w:ind w:left="100" w:right="117" w:firstLine="240"/>
        <w:jc w:val="both"/>
      </w:pPr>
      <w:r>
        <w:rPr>
          <w:color w:val="231F20"/>
          <w:w w:val="110"/>
        </w:rPr>
        <w:t>El</w:t>
      </w:r>
      <w:r>
        <w:rPr>
          <w:color w:val="231F20"/>
          <w:spacing w:val="-8"/>
          <w:w w:val="110"/>
        </w:rPr>
        <w:t> </w:t>
      </w:r>
      <w:r>
        <w:rPr>
          <w:color w:val="231F20"/>
          <w:w w:val="110"/>
        </w:rPr>
        <w:t>excepcionalismo</w:t>
      </w:r>
      <w:r>
        <w:rPr>
          <w:color w:val="231F20"/>
          <w:spacing w:val="-8"/>
          <w:w w:val="110"/>
        </w:rPr>
        <w:t> </w:t>
      </w:r>
      <w:r>
        <w:rPr>
          <w:color w:val="231F20"/>
          <w:w w:val="110"/>
        </w:rPr>
        <w:t>estadunidense</w:t>
      </w:r>
      <w:r>
        <w:rPr>
          <w:color w:val="231F20"/>
          <w:spacing w:val="-8"/>
          <w:w w:val="110"/>
        </w:rPr>
        <w:t> </w:t>
      </w:r>
      <w:r>
        <w:rPr>
          <w:color w:val="231F20"/>
          <w:w w:val="110"/>
        </w:rPr>
        <w:t>fue</w:t>
      </w:r>
      <w:r>
        <w:rPr>
          <w:color w:val="231F20"/>
          <w:spacing w:val="-8"/>
          <w:w w:val="110"/>
        </w:rPr>
        <w:t> </w:t>
      </w:r>
      <w:r>
        <w:rPr>
          <w:color w:val="231F20"/>
          <w:w w:val="110"/>
        </w:rPr>
        <w:t>el</w:t>
      </w:r>
      <w:r>
        <w:rPr>
          <w:color w:val="231F20"/>
          <w:spacing w:val="-8"/>
          <w:w w:val="110"/>
        </w:rPr>
        <w:t> </w:t>
      </w:r>
      <w:r>
        <w:rPr>
          <w:color w:val="231F20"/>
          <w:w w:val="110"/>
        </w:rPr>
        <w:t>enfoque</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interven- ción brillante por parte de Karl Kautsky, publicado originalmente</w:t>
      </w:r>
      <w:r>
        <w:rPr>
          <w:color w:val="231F20"/>
          <w:spacing w:val="-31"/>
          <w:w w:val="110"/>
        </w:rPr>
        <w:t> </w:t>
      </w:r>
      <w:r>
        <w:rPr>
          <w:color w:val="231F20"/>
          <w:w w:val="110"/>
        </w:rPr>
        <w:t>en </w:t>
      </w:r>
      <w:r>
        <w:rPr>
          <w:i/>
          <w:color w:val="231F20"/>
          <w:w w:val="110"/>
        </w:rPr>
        <w:t>Die</w:t>
      </w:r>
      <w:r>
        <w:rPr>
          <w:i/>
          <w:color w:val="231F20"/>
          <w:spacing w:val="-32"/>
          <w:w w:val="110"/>
        </w:rPr>
        <w:t> </w:t>
      </w:r>
      <w:r>
        <w:rPr>
          <w:i/>
          <w:color w:val="231F20"/>
          <w:w w:val="110"/>
        </w:rPr>
        <w:t>Neue</w:t>
      </w:r>
      <w:r>
        <w:rPr>
          <w:i/>
          <w:color w:val="231F20"/>
          <w:spacing w:val="-32"/>
          <w:w w:val="110"/>
        </w:rPr>
        <w:t> </w:t>
      </w:r>
      <w:r>
        <w:rPr>
          <w:i/>
          <w:color w:val="231F20"/>
          <w:w w:val="110"/>
        </w:rPr>
        <w:t>Zeit</w:t>
      </w:r>
      <w:r>
        <w:rPr>
          <w:i/>
          <w:color w:val="231F20"/>
          <w:spacing w:val="-32"/>
          <w:w w:val="110"/>
        </w:rPr>
        <w:t> </w:t>
      </w:r>
      <w:r>
        <w:rPr>
          <w:color w:val="231F20"/>
          <w:w w:val="110"/>
        </w:rPr>
        <w:t>en</w:t>
      </w:r>
      <w:r>
        <w:rPr>
          <w:color w:val="231F20"/>
          <w:spacing w:val="-32"/>
          <w:w w:val="110"/>
        </w:rPr>
        <w:t> </w:t>
      </w:r>
      <w:r>
        <w:rPr>
          <w:color w:val="231F20"/>
          <w:w w:val="110"/>
        </w:rPr>
        <w:t>1906.</w:t>
      </w:r>
      <w:r>
        <w:rPr>
          <w:color w:val="231F20"/>
          <w:spacing w:val="-32"/>
          <w:w w:val="110"/>
        </w:rPr>
        <w:t> </w:t>
      </w:r>
      <w:r>
        <w:rPr>
          <w:color w:val="231F20"/>
          <w:w w:val="110"/>
        </w:rPr>
        <w:t>En</w:t>
      </w:r>
      <w:r>
        <w:rPr>
          <w:color w:val="231F20"/>
          <w:spacing w:val="-32"/>
          <w:w w:val="110"/>
        </w:rPr>
        <w:t> </w:t>
      </w:r>
      <w:r>
        <w:rPr>
          <w:color w:val="231F20"/>
          <w:w w:val="110"/>
        </w:rPr>
        <w:t>su</w:t>
      </w:r>
      <w:r>
        <w:rPr>
          <w:color w:val="231F20"/>
          <w:spacing w:val="-32"/>
          <w:w w:val="110"/>
        </w:rPr>
        <w:t> </w:t>
      </w:r>
      <w:r>
        <w:rPr>
          <w:color w:val="231F20"/>
          <w:w w:val="110"/>
        </w:rPr>
        <w:t>trabajo</w:t>
      </w:r>
      <w:r>
        <w:rPr>
          <w:color w:val="231F20"/>
          <w:spacing w:val="-32"/>
          <w:w w:val="110"/>
        </w:rPr>
        <w:t> </w:t>
      </w:r>
      <w:r>
        <w:rPr>
          <w:color w:val="231F20"/>
          <w:w w:val="110"/>
        </w:rPr>
        <w:t>titulado</w:t>
      </w:r>
      <w:r>
        <w:rPr>
          <w:color w:val="231F20"/>
          <w:spacing w:val="-32"/>
          <w:w w:val="110"/>
        </w:rPr>
        <w:t> </w:t>
      </w:r>
      <w:r>
        <w:rPr>
          <w:color w:val="231F20"/>
          <w:w w:val="110"/>
        </w:rPr>
        <w:t>“El</w:t>
      </w:r>
      <w:r>
        <w:rPr>
          <w:color w:val="231F20"/>
          <w:spacing w:val="-32"/>
          <w:w w:val="110"/>
        </w:rPr>
        <w:t> </w:t>
      </w:r>
      <w:r>
        <w:rPr>
          <w:color w:val="231F20"/>
          <w:w w:val="110"/>
        </w:rPr>
        <w:t>obrero</w:t>
      </w:r>
      <w:r>
        <w:rPr>
          <w:color w:val="231F20"/>
          <w:spacing w:val="-32"/>
          <w:w w:val="110"/>
        </w:rPr>
        <w:t> </w:t>
      </w:r>
      <w:r>
        <w:rPr>
          <w:color w:val="231F20"/>
          <w:w w:val="110"/>
        </w:rPr>
        <w:t>estadunidense” después de notar el hecho de un alto nivel de tensión entre el capital bien</w:t>
      </w:r>
      <w:r>
        <w:rPr>
          <w:color w:val="231F20"/>
          <w:spacing w:val="-21"/>
          <w:w w:val="110"/>
        </w:rPr>
        <w:t> </w:t>
      </w:r>
      <w:r>
        <w:rPr>
          <w:color w:val="231F20"/>
          <w:w w:val="110"/>
        </w:rPr>
        <w:t>organizado</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clase</w:t>
      </w:r>
      <w:r>
        <w:rPr>
          <w:color w:val="231F20"/>
          <w:spacing w:val="-21"/>
          <w:w w:val="110"/>
        </w:rPr>
        <w:t> </w:t>
      </w:r>
      <w:r>
        <w:rPr>
          <w:color w:val="231F20"/>
          <w:w w:val="110"/>
        </w:rPr>
        <w:t>trabajadora</w:t>
      </w:r>
      <w:r>
        <w:rPr>
          <w:color w:val="231F20"/>
          <w:spacing w:val="-21"/>
          <w:w w:val="110"/>
        </w:rPr>
        <w:t> </w:t>
      </w:r>
      <w:r>
        <w:rPr>
          <w:color w:val="231F20"/>
          <w:w w:val="110"/>
        </w:rPr>
        <w:t>desorganizada</w:t>
      </w:r>
      <w:r>
        <w:rPr>
          <w:color w:val="231F20"/>
          <w:spacing w:val="-21"/>
          <w:w w:val="110"/>
        </w:rPr>
        <w:t> </w:t>
      </w:r>
      <w:r>
        <w:rPr>
          <w:color w:val="231F20"/>
          <w:w w:val="110"/>
        </w:rPr>
        <w:t>(dividida</w:t>
      </w:r>
      <w:r>
        <w:rPr>
          <w:color w:val="231F20"/>
          <w:spacing w:val="-21"/>
          <w:w w:val="110"/>
        </w:rPr>
        <w:t> </w:t>
      </w:r>
      <w:r>
        <w:rPr>
          <w:color w:val="231F20"/>
          <w:w w:val="110"/>
        </w:rPr>
        <w:t>por</w:t>
      </w:r>
      <w:r>
        <w:rPr>
          <w:color w:val="231F20"/>
          <w:spacing w:val="-21"/>
          <w:w w:val="110"/>
        </w:rPr>
        <w:t> </w:t>
      </w:r>
      <w:r>
        <w:rPr>
          <w:color w:val="231F20"/>
          <w:w w:val="110"/>
        </w:rPr>
        <w:t>sus orígenes inmigrantes y multiculturales), argumentó que la situación delicada fue sustentable</w:t>
      </w:r>
      <w:r>
        <w:rPr>
          <w:color w:val="231F20"/>
          <w:spacing w:val="34"/>
          <w:w w:val="110"/>
        </w:rPr>
        <w:t> </w:t>
      </w:r>
      <w:r>
        <w:rPr>
          <w:color w:val="231F20"/>
          <w:w w:val="110"/>
        </w:rPr>
        <w:t>porque:</w:t>
      </w:r>
    </w:p>
    <w:p>
      <w:pPr>
        <w:pStyle w:val="BodyText"/>
        <w:spacing w:before="4"/>
        <w:rPr>
          <w:sz w:val="23"/>
        </w:rPr>
      </w:pPr>
    </w:p>
    <w:p>
      <w:pPr>
        <w:spacing w:line="290" w:lineRule="auto" w:before="0"/>
        <w:ind w:left="100" w:right="117" w:firstLine="0"/>
        <w:jc w:val="both"/>
        <w:rPr>
          <w:sz w:val="18"/>
        </w:rPr>
      </w:pPr>
      <w:r>
        <w:rPr>
          <w:color w:val="231F20"/>
          <w:w w:val="105"/>
          <w:sz w:val="18"/>
        </w:rPr>
        <w:t>Cada obrero inteligente, no importa desde que estrato ha llegado, pudiera anticipar ir en ascenso a una posición más alta, o por lo menos de subir los rangos de los explotados. Entonces, por mucho tiempo, todas las condiciones capaces de surgir a las clases explotadas la necesidad de una transformación decisiva en las instituciones del estado fueron ausentes […] </w:t>
      </w:r>
      <w:r>
        <w:rPr>
          <w:color w:val="231F20"/>
          <w:sz w:val="18"/>
        </w:rPr>
        <w:t>Y </w:t>
      </w:r>
      <w:r>
        <w:rPr>
          <w:color w:val="231F20"/>
          <w:w w:val="105"/>
          <w:sz w:val="18"/>
        </w:rPr>
        <w:t>la mentalidad surgida desde estas condiciones ha continuado hasta el momento. Es cierto</w:t>
      </w:r>
      <w:r>
        <w:rPr>
          <w:color w:val="231F20"/>
          <w:spacing w:val="47"/>
          <w:w w:val="105"/>
          <w:sz w:val="18"/>
        </w:rPr>
        <w:t> </w:t>
      </w:r>
      <w:r>
        <w:rPr>
          <w:color w:val="231F20"/>
          <w:w w:val="105"/>
          <w:sz w:val="18"/>
        </w:rPr>
        <w:t>que, mientras tanto, el proletariado y la clase capitalista más fuerte en el</w:t>
      </w:r>
      <w:r>
        <w:rPr>
          <w:color w:val="231F20"/>
          <w:spacing w:val="47"/>
          <w:w w:val="105"/>
          <w:sz w:val="18"/>
        </w:rPr>
        <w:t> </w:t>
      </w:r>
      <w:r>
        <w:rPr>
          <w:color w:val="231F20"/>
          <w:w w:val="105"/>
          <w:sz w:val="18"/>
        </w:rPr>
        <w:t>mundo han aparecido en Estados Unidos, pero, a pesar de eso, hasta el mo- mento las masas de la gente pueden ser divididas, no entre los capitalistas y </w:t>
      </w:r>
      <w:r>
        <w:rPr>
          <w:color w:val="231F20"/>
          <w:spacing w:val="47"/>
          <w:w w:val="105"/>
          <w:sz w:val="18"/>
        </w:rPr>
        <w:t> </w:t>
      </w:r>
      <w:r>
        <w:rPr>
          <w:color w:val="231F20"/>
          <w:w w:val="105"/>
          <w:sz w:val="18"/>
        </w:rPr>
        <w:t>los proletariados, sino entre los que son ya capitalistas y los que quieren ser tales (Kautsky, 2003:</w:t>
      </w:r>
      <w:r>
        <w:rPr>
          <w:color w:val="231F20"/>
          <w:spacing w:val="12"/>
          <w:w w:val="105"/>
          <w:sz w:val="18"/>
        </w:rPr>
        <w:t> </w:t>
      </w:r>
      <w:r>
        <w:rPr>
          <w:color w:val="231F20"/>
          <w:w w:val="105"/>
          <w:sz w:val="18"/>
        </w:rPr>
        <w:t>40).</w:t>
      </w:r>
    </w:p>
    <w:p>
      <w:pPr>
        <w:pStyle w:val="BodyText"/>
        <w:spacing w:before="2"/>
      </w:pPr>
    </w:p>
    <w:p>
      <w:pPr>
        <w:pStyle w:val="BodyText"/>
        <w:spacing w:line="261" w:lineRule="auto"/>
        <w:ind w:left="100" w:right="114" w:firstLine="240"/>
        <w:jc w:val="both"/>
      </w:pPr>
      <w:r>
        <w:rPr>
          <w:color w:val="231F20"/>
          <w:w w:val="105"/>
        </w:rPr>
        <w:t>Entonces, en vez de ser una clase </w:t>
      </w:r>
      <w:r>
        <w:rPr>
          <w:i/>
          <w:color w:val="231F20"/>
          <w:w w:val="105"/>
        </w:rPr>
        <w:t>por sí misma y para sí misma</w:t>
      </w:r>
      <w:r>
        <w:rPr>
          <w:color w:val="231F20"/>
          <w:w w:val="105"/>
        </w:rPr>
        <w:t>, como planteó Karl Marx, la clase trabajadora de Estados  Unidos  existe </w:t>
      </w:r>
      <w:r>
        <w:rPr>
          <w:i/>
          <w:color w:val="231F20"/>
          <w:w w:val="105"/>
        </w:rPr>
        <w:t>objetivamente</w:t>
      </w:r>
      <w:r>
        <w:rPr>
          <w:color w:val="231F20"/>
          <w:w w:val="105"/>
        </w:rPr>
        <w:t>, pero a nivel </w:t>
      </w:r>
      <w:r>
        <w:rPr>
          <w:i/>
          <w:color w:val="231F20"/>
          <w:w w:val="105"/>
        </w:rPr>
        <w:t>subjetivo, </w:t>
      </w:r>
      <w:r>
        <w:rPr>
          <w:color w:val="231F20"/>
          <w:w w:val="105"/>
        </w:rPr>
        <w:t>este sector nunca pensó</w:t>
      </w:r>
      <w:r>
        <w:rPr>
          <w:color w:val="231F20"/>
          <w:spacing w:val="-10"/>
          <w:w w:val="105"/>
        </w:rPr>
        <w:t> </w:t>
      </w:r>
      <w:r>
        <w:rPr>
          <w:color w:val="231F20"/>
          <w:w w:val="105"/>
        </w:rPr>
        <w:t>ser definido y limitado por su categoría actual de clase. El formidable pensador, Thorstein Veblen, en su visión crítica de Marx, puso mu-  cho énfasis en las tendencias cruzadas de los obreros y la ausencia,     en general, de una consciencia de clase. Un ejemplo reciente es el apoyo masivo, por parte de la clase trabajadora y de la clase media,    en la batalla de las familias más ricas para eliminar el impuesto sobre los que pudieran recibir una herencia. Este impuesto fue creado a principios del siglo xx por un presidente conservador </w:t>
      </w:r>
      <w:r>
        <w:rPr>
          <w:color w:val="231F20"/>
          <w:spacing w:val="-3"/>
          <w:w w:val="105"/>
        </w:rPr>
        <w:t>—Teodoro </w:t>
      </w:r>
      <w:r>
        <w:rPr>
          <w:color w:val="231F20"/>
          <w:w w:val="105"/>
        </w:rPr>
        <w:t>Roosevelt— quien temía que (en la época de los barones ladrones) Estados</w:t>
      </w:r>
      <w:r>
        <w:rPr>
          <w:color w:val="231F20"/>
          <w:spacing w:val="23"/>
          <w:w w:val="105"/>
        </w:rPr>
        <w:t> </w:t>
      </w:r>
      <w:r>
        <w:rPr>
          <w:color w:val="231F20"/>
          <w:w w:val="105"/>
        </w:rPr>
        <w:t>Unidos</w:t>
      </w:r>
      <w:r>
        <w:rPr>
          <w:color w:val="231F20"/>
          <w:spacing w:val="23"/>
          <w:w w:val="105"/>
        </w:rPr>
        <w:t> </w:t>
      </w:r>
      <w:r>
        <w:rPr>
          <w:color w:val="231F20"/>
          <w:w w:val="105"/>
        </w:rPr>
        <w:t>estuviera</w:t>
      </w:r>
      <w:r>
        <w:rPr>
          <w:color w:val="231F20"/>
          <w:spacing w:val="23"/>
          <w:w w:val="105"/>
        </w:rPr>
        <w:t> </w:t>
      </w:r>
      <w:r>
        <w:rPr>
          <w:color w:val="231F20"/>
          <w:w w:val="105"/>
        </w:rPr>
        <w:t>al</w:t>
      </w:r>
      <w:r>
        <w:rPr>
          <w:color w:val="231F20"/>
          <w:spacing w:val="23"/>
          <w:w w:val="105"/>
        </w:rPr>
        <w:t> </w:t>
      </w:r>
      <w:r>
        <w:rPr>
          <w:color w:val="231F20"/>
          <w:w w:val="105"/>
        </w:rPr>
        <w:t>punto</w:t>
      </w:r>
      <w:r>
        <w:rPr>
          <w:color w:val="231F20"/>
          <w:spacing w:val="23"/>
          <w:w w:val="105"/>
        </w:rPr>
        <w:t> </w:t>
      </w:r>
      <w:r>
        <w:rPr>
          <w:color w:val="231F20"/>
          <w:w w:val="105"/>
        </w:rPr>
        <w:t>de</w:t>
      </w:r>
      <w:r>
        <w:rPr>
          <w:color w:val="231F20"/>
          <w:spacing w:val="23"/>
          <w:w w:val="105"/>
        </w:rPr>
        <w:t> </w:t>
      </w:r>
      <w:r>
        <w:rPr>
          <w:color w:val="231F20"/>
          <w:w w:val="105"/>
        </w:rPr>
        <w:t>construir</w:t>
      </w:r>
      <w:r>
        <w:rPr>
          <w:color w:val="231F20"/>
          <w:spacing w:val="23"/>
          <w:w w:val="105"/>
        </w:rPr>
        <w:t> </w:t>
      </w:r>
      <w:r>
        <w:rPr>
          <w:color w:val="231F20"/>
          <w:w w:val="105"/>
        </w:rPr>
        <w:t>una</w:t>
      </w:r>
      <w:r>
        <w:rPr>
          <w:color w:val="231F20"/>
          <w:spacing w:val="23"/>
          <w:w w:val="105"/>
        </w:rPr>
        <w:t> </w:t>
      </w:r>
      <w:r>
        <w:rPr>
          <w:color w:val="231F20"/>
          <w:w w:val="105"/>
        </w:rPr>
        <w:t>nobleza</w:t>
      </w:r>
      <w:r>
        <w:rPr>
          <w:color w:val="231F20"/>
          <w:spacing w:val="23"/>
          <w:w w:val="105"/>
        </w:rPr>
        <w:t> </w:t>
      </w:r>
      <w:r>
        <w:rPr>
          <w:color w:val="231F20"/>
          <w:w w:val="105"/>
        </w:rPr>
        <w:t>heredada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dada</w:t>
      </w:r>
      <w:r>
        <w:rPr>
          <w:color w:val="231F20"/>
          <w:spacing w:val="-6"/>
          <w:w w:val="110"/>
        </w:rPr>
        <w:t> </w:t>
      </w:r>
      <w:r>
        <w:rPr>
          <w:color w:val="231F20"/>
          <w:w w:val="110"/>
        </w:rPr>
        <w:t>la</w:t>
      </w:r>
      <w:r>
        <w:rPr>
          <w:color w:val="231F20"/>
          <w:spacing w:val="-6"/>
          <w:w w:val="110"/>
        </w:rPr>
        <w:t> </w:t>
      </w:r>
      <w:r>
        <w:rPr>
          <w:color w:val="231F20"/>
          <w:w w:val="110"/>
        </w:rPr>
        <w:t>acumulación</w:t>
      </w:r>
      <w:r>
        <w:rPr>
          <w:color w:val="231F20"/>
          <w:spacing w:val="-6"/>
          <w:w w:val="110"/>
        </w:rPr>
        <w:t> </w:t>
      </w:r>
      <w:r>
        <w:rPr>
          <w:color w:val="231F20"/>
          <w:w w:val="110"/>
        </w:rPr>
        <w:t>desenfrenada</w:t>
      </w:r>
      <w:r>
        <w:rPr>
          <w:color w:val="231F20"/>
          <w:spacing w:val="-6"/>
          <w:w w:val="110"/>
        </w:rPr>
        <w:t> </w:t>
      </w:r>
      <w:r>
        <w:rPr>
          <w:color w:val="231F20"/>
          <w:w w:val="110"/>
        </w:rPr>
        <w:t>de</w:t>
      </w:r>
      <w:r>
        <w:rPr>
          <w:color w:val="231F20"/>
          <w:spacing w:val="-6"/>
          <w:w w:val="110"/>
        </w:rPr>
        <w:t> </w:t>
      </w:r>
      <w:r>
        <w:rPr>
          <w:color w:val="231F20"/>
          <w:w w:val="110"/>
        </w:rPr>
        <w:t>familias</w:t>
      </w:r>
      <w:r>
        <w:rPr>
          <w:color w:val="231F20"/>
          <w:spacing w:val="-6"/>
          <w:w w:val="110"/>
        </w:rPr>
        <w:t> </w:t>
      </w:r>
      <w:r>
        <w:rPr>
          <w:color w:val="231F20"/>
          <w:w w:val="110"/>
        </w:rPr>
        <w:t>como</w:t>
      </w:r>
      <w:r>
        <w:rPr>
          <w:color w:val="231F20"/>
          <w:spacing w:val="-6"/>
          <w:w w:val="110"/>
        </w:rPr>
        <w:t> </w:t>
      </w:r>
      <w:r>
        <w:rPr>
          <w:color w:val="231F20"/>
          <w:w w:val="110"/>
        </w:rPr>
        <w:t>los</w:t>
      </w:r>
      <w:r>
        <w:rPr>
          <w:color w:val="231F20"/>
          <w:spacing w:val="-6"/>
          <w:w w:val="110"/>
        </w:rPr>
        <w:t> </w:t>
      </w:r>
      <w:r>
        <w:rPr>
          <w:color w:val="231F20"/>
          <w:w w:val="110"/>
        </w:rPr>
        <w:t>Rockefeller, Morgan </w:t>
      </w:r>
      <w:r>
        <w:rPr>
          <w:color w:val="231F20"/>
        </w:rPr>
        <w:t>y </w:t>
      </w:r>
      <w:r>
        <w:rPr>
          <w:color w:val="231F20"/>
          <w:w w:val="110"/>
        </w:rPr>
        <w:t>Guggenheim. En 2001 este impuesto fue eliminado tem- poralmente de forma gradual así la tasa del impuesto se cayó a cero en 2010. De todos modos, los que pudieran ser impactados por este impuesto en 2009 eran alrededor de 0.24% de los fallecidos en ese año. Solamente los hogares con riqueza por encima de 3.5 millones de</w:t>
      </w:r>
      <w:r>
        <w:rPr>
          <w:color w:val="231F20"/>
          <w:spacing w:val="-5"/>
          <w:w w:val="110"/>
        </w:rPr>
        <w:t> </w:t>
      </w:r>
      <w:r>
        <w:rPr>
          <w:color w:val="231F20"/>
          <w:w w:val="110"/>
        </w:rPr>
        <w:t>dólares</w:t>
      </w:r>
      <w:r>
        <w:rPr>
          <w:color w:val="231F20"/>
          <w:spacing w:val="-5"/>
          <w:w w:val="110"/>
        </w:rPr>
        <w:t> </w:t>
      </w:r>
      <w:r>
        <w:rPr>
          <w:color w:val="231F20"/>
          <w:w w:val="110"/>
        </w:rPr>
        <w:t>son</w:t>
      </w:r>
      <w:r>
        <w:rPr>
          <w:color w:val="231F20"/>
          <w:spacing w:val="-5"/>
          <w:w w:val="110"/>
        </w:rPr>
        <w:t> </w:t>
      </w:r>
      <w:r>
        <w:rPr>
          <w:color w:val="231F20"/>
          <w:w w:val="110"/>
        </w:rPr>
        <w:t>sujetos</w:t>
      </w:r>
      <w:r>
        <w:rPr>
          <w:color w:val="231F20"/>
          <w:spacing w:val="-5"/>
          <w:w w:val="110"/>
        </w:rPr>
        <w:t> </w:t>
      </w:r>
      <w:r>
        <w:rPr>
          <w:color w:val="231F20"/>
          <w:w w:val="110"/>
        </w:rPr>
        <w:t>a</w:t>
      </w:r>
      <w:r>
        <w:rPr>
          <w:color w:val="231F20"/>
          <w:spacing w:val="-5"/>
          <w:w w:val="110"/>
        </w:rPr>
        <w:t> </w:t>
      </w:r>
      <w:r>
        <w:rPr>
          <w:color w:val="231F20"/>
          <w:w w:val="110"/>
        </w:rPr>
        <w:t>este</w:t>
      </w:r>
      <w:r>
        <w:rPr>
          <w:color w:val="231F20"/>
          <w:spacing w:val="-5"/>
          <w:w w:val="110"/>
        </w:rPr>
        <w:t> </w:t>
      </w:r>
      <w:r>
        <w:rPr>
          <w:color w:val="231F20"/>
          <w:w w:val="110"/>
        </w:rPr>
        <w:t>impuesto.</w:t>
      </w:r>
      <w:r>
        <w:rPr>
          <w:color w:val="231F20"/>
          <w:spacing w:val="-5"/>
          <w:w w:val="110"/>
        </w:rPr>
        <w:t> </w:t>
      </w:r>
      <w:r>
        <w:rPr>
          <w:color w:val="231F20"/>
          <w:w w:val="110"/>
        </w:rPr>
        <w:t>A</w:t>
      </w:r>
      <w:r>
        <w:rPr>
          <w:color w:val="231F20"/>
          <w:spacing w:val="-5"/>
          <w:w w:val="110"/>
        </w:rPr>
        <w:t> </w:t>
      </w:r>
      <w:r>
        <w:rPr>
          <w:color w:val="231F20"/>
          <w:w w:val="110"/>
        </w:rPr>
        <w:t>pesar</w:t>
      </w:r>
      <w:r>
        <w:rPr>
          <w:color w:val="231F20"/>
          <w:spacing w:val="-5"/>
          <w:w w:val="110"/>
        </w:rPr>
        <w:t> </w:t>
      </w:r>
      <w:r>
        <w:rPr>
          <w:color w:val="231F20"/>
          <w:w w:val="110"/>
        </w:rPr>
        <w:t>de</w:t>
      </w:r>
      <w:r>
        <w:rPr>
          <w:color w:val="231F20"/>
          <w:spacing w:val="-5"/>
          <w:w w:val="110"/>
        </w:rPr>
        <w:t> </w:t>
      </w:r>
      <w:r>
        <w:rPr>
          <w:color w:val="231F20"/>
          <w:w w:val="110"/>
        </w:rPr>
        <w:t>eso,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momen- to de la toma de decisión sobre este impuesto, en 2001, 60% de los contribuyentes estaban </w:t>
      </w:r>
      <w:r>
        <w:rPr>
          <w:i/>
          <w:color w:val="231F20"/>
          <w:w w:val="110"/>
        </w:rPr>
        <w:t>a favor </w:t>
      </w:r>
      <w:r>
        <w:rPr>
          <w:color w:val="231F20"/>
          <w:w w:val="110"/>
        </w:rPr>
        <w:t>del derogación del impuesto sobre la herencia (Collins, 2004: 53). </w:t>
      </w:r>
      <w:r>
        <w:rPr>
          <w:color w:val="231F20"/>
        </w:rPr>
        <w:t>¿Y </w:t>
      </w:r>
      <w:r>
        <w:rPr>
          <w:color w:val="231F20"/>
          <w:w w:val="110"/>
        </w:rPr>
        <w:t>por qué? Porque, para una amplia gama de la clase trabajadora </w:t>
      </w:r>
      <w:r>
        <w:rPr>
          <w:color w:val="231F20"/>
        </w:rPr>
        <w:t>y </w:t>
      </w:r>
      <w:r>
        <w:rPr>
          <w:color w:val="231F20"/>
          <w:w w:val="110"/>
        </w:rPr>
        <w:t>la clase media, que pudieran abrir un pequeño negocio </w:t>
      </w:r>
      <w:r>
        <w:rPr>
          <w:color w:val="231F20"/>
        </w:rPr>
        <w:t>y </w:t>
      </w:r>
      <w:r>
        <w:rPr>
          <w:color w:val="231F20"/>
          <w:w w:val="110"/>
        </w:rPr>
        <w:t>hacerlo crecer hasta que fuese una empresa sufi- cientemente lucrativa, sería un golpe pagar tal impuesto. No</w:t>
      </w:r>
      <w:r>
        <w:rPr>
          <w:color w:val="231F20"/>
          <w:spacing w:val="-31"/>
          <w:w w:val="110"/>
        </w:rPr>
        <w:t> </w:t>
      </w:r>
      <w:r>
        <w:rPr>
          <w:color w:val="231F20"/>
          <w:w w:val="110"/>
        </w:rPr>
        <w:t>importa que esta escena sea una fantasía completa —que la probabilidad de llegar a este punto en el curso de la vida era menos que la de ser tocado por tres relámpagos en el curso de un año. Para muchos, la derogación de la ley sobre la herencia era algo importante porque con</w:t>
      </w:r>
      <w:r>
        <w:rPr>
          <w:color w:val="231F20"/>
          <w:spacing w:val="-11"/>
          <w:w w:val="110"/>
        </w:rPr>
        <w:t> </w:t>
      </w:r>
      <w:r>
        <w:rPr>
          <w:color w:val="231F20"/>
          <w:w w:val="110"/>
        </w:rPr>
        <w:t>este</w:t>
      </w:r>
      <w:r>
        <w:rPr>
          <w:color w:val="231F20"/>
          <w:spacing w:val="-11"/>
          <w:w w:val="110"/>
        </w:rPr>
        <w:t> </w:t>
      </w:r>
      <w:r>
        <w:rPr>
          <w:color w:val="231F20"/>
          <w:w w:val="110"/>
        </w:rPr>
        <w:t>cambio</w:t>
      </w:r>
      <w:r>
        <w:rPr>
          <w:color w:val="231F20"/>
          <w:spacing w:val="-11"/>
          <w:w w:val="110"/>
        </w:rPr>
        <w:t> </w:t>
      </w:r>
      <w:r>
        <w:rPr>
          <w:color w:val="231F20"/>
          <w:w w:val="110"/>
        </w:rPr>
        <w:t>sería</w:t>
      </w:r>
      <w:r>
        <w:rPr>
          <w:color w:val="231F20"/>
          <w:spacing w:val="-11"/>
          <w:w w:val="110"/>
        </w:rPr>
        <w:t> </w:t>
      </w:r>
      <w:r>
        <w:rPr>
          <w:color w:val="231F20"/>
          <w:w w:val="110"/>
        </w:rPr>
        <w:t>posible</w:t>
      </w:r>
      <w:r>
        <w:rPr>
          <w:color w:val="231F20"/>
          <w:spacing w:val="-11"/>
          <w:w w:val="110"/>
        </w:rPr>
        <w:t> </w:t>
      </w:r>
      <w:r>
        <w:rPr>
          <w:color w:val="231F20"/>
          <w:w w:val="110"/>
        </w:rPr>
        <w:t>pasar</w:t>
      </w:r>
      <w:r>
        <w:rPr>
          <w:color w:val="231F20"/>
          <w:spacing w:val="-11"/>
          <w:w w:val="110"/>
        </w:rPr>
        <w:t> </w:t>
      </w:r>
      <w:r>
        <w:rPr>
          <w:color w:val="231F20"/>
          <w:w w:val="110"/>
        </w:rPr>
        <w:t>su</w:t>
      </w:r>
      <w:r>
        <w:rPr>
          <w:color w:val="231F20"/>
          <w:spacing w:val="-11"/>
          <w:w w:val="110"/>
        </w:rPr>
        <w:t> </w:t>
      </w:r>
      <w:r>
        <w:rPr>
          <w:color w:val="231F20"/>
          <w:w w:val="110"/>
        </w:rPr>
        <w:t>riqueza</w:t>
      </w:r>
      <w:r>
        <w:rPr>
          <w:color w:val="231F20"/>
          <w:spacing w:val="-11"/>
          <w:w w:val="110"/>
        </w:rPr>
        <w:t> </w:t>
      </w:r>
      <w:r>
        <w:rPr>
          <w:i/>
          <w:color w:val="231F20"/>
          <w:w w:val="110"/>
        </w:rPr>
        <w:t>imaginaria</w:t>
      </w:r>
      <w:r>
        <w:rPr>
          <w:i/>
          <w:color w:val="231F20"/>
          <w:spacing w:val="-11"/>
          <w:w w:val="110"/>
        </w:rPr>
        <w:t> </w:t>
      </w:r>
      <w:r>
        <w:rPr>
          <w:color w:val="231F20"/>
          <w:w w:val="110"/>
        </w:rPr>
        <w:t>a</w:t>
      </w:r>
      <w:r>
        <w:rPr>
          <w:color w:val="231F20"/>
          <w:spacing w:val="-11"/>
          <w:w w:val="110"/>
        </w:rPr>
        <w:t> </w:t>
      </w:r>
      <w:r>
        <w:rPr>
          <w:color w:val="231F20"/>
          <w:w w:val="110"/>
        </w:rPr>
        <w:t>sus</w:t>
      </w:r>
      <w:r>
        <w:rPr>
          <w:color w:val="231F20"/>
          <w:spacing w:val="-11"/>
          <w:w w:val="110"/>
        </w:rPr>
        <w:t> </w:t>
      </w:r>
      <w:r>
        <w:rPr>
          <w:color w:val="231F20"/>
          <w:w w:val="110"/>
        </w:rPr>
        <w:t>hijos. El hecho de que los más ricos —sin duda familias con riqueza que rondan los miles de millones de dólares— ahora puedan evitar un impuesto aceptado </w:t>
      </w:r>
      <w:r>
        <w:rPr>
          <w:color w:val="231F20"/>
        </w:rPr>
        <w:t>y </w:t>
      </w:r>
      <w:r>
        <w:rPr>
          <w:color w:val="231F20"/>
          <w:w w:val="110"/>
        </w:rPr>
        <w:t>justificado desde hace más de un siglo, no era cosa importante ni relevante. </w:t>
      </w:r>
      <w:r>
        <w:rPr>
          <w:color w:val="231F20"/>
        </w:rPr>
        <w:t>Y </w:t>
      </w:r>
      <w:r>
        <w:rPr>
          <w:color w:val="231F20"/>
          <w:w w:val="110"/>
        </w:rPr>
        <w:t>mucho menos, el hecho de que los trabajadores fueron los que tuvieron que llenar la brecha fiscal con nuevos impuestos sobre su</w:t>
      </w:r>
      <w:r>
        <w:rPr>
          <w:color w:val="231F20"/>
          <w:spacing w:val="17"/>
          <w:w w:val="110"/>
        </w:rPr>
        <w:t> </w:t>
      </w:r>
      <w:r>
        <w:rPr>
          <w:color w:val="231F20"/>
          <w:w w:val="110"/>
        </w:rPr>
        <w:t>renta.</w:t>
      </w:r>
    </w:p>
    <w:p>
      <w:pPr>
        <w:pStyle w:val="BodyText"/>
      </w:pPr>
    </w:p>
    <w:p>
      <w:pPr>
        <w:pStyle w:val="BodyText"/>
      </w:pPr>
    </w:p>
    <w:p>
      <w:pPr>
        <w:pStyle w:val="BodyText"/>
        <w:spacing w:before="2"/>
        <w:rPr>
          <w:sz w:val="25"/>
        </w:rPr>
      </w:pPr>
    </w:p>
    <w:p>
      <w:pPr>
        <w:pStyle w:val="BodyText"/>
        <w:ind w:left="100"/>
        <w:jc w:val="both"/>
      </w:pPr>
      <w:r>
        <w:rPr>
          <w:color w:val="231F20"/>
          <w:w w:val="130"/>
        </w:rPr>
        <w:t>el realineamiento del sueño americano en los años treinta</w:t>
      </w:r>
    </w:p>
    <w:p>
      <w:pPr>
        <w:pStyle w:val="BodyText"/>
        <w:spacing w:before="5"/>
        <w:rPr>
          <w:sz w:val="23"/>
        </w:rPr>
      </w:pPr>
    </w:p>
    <w:p>
      <w:pPr>
        <w:pStyle w:val="BodyText"/>
        <w:spacing w:line="261" w:lineRule="auto"/>
        <w:ind w:left="100" w:right="113"/>
        <w:jc w:val="both"/>
      </w:pPr>
      <w:r>
        <w:rPr>
          <w:color w:val="231F20"/>
          <w:w w:val="110"/>
        </w:rPr>
        <w:t>La gran depresión casi aplastó el sueño americano. En vez del indi- vidualismo extremo ya aceptado, los ciudadanos tuvieron que con- frontar una situación en donde la iniciativa individual no era una fuerza capaz de lograr ni el más mínimo sustento económico. El shock fue palpable y duró decenios o generaciones. La solución, rechazada fuertemente por muchos pequeños empresarios y algunos de</w:t>
      </w:r>
      <w:r>
        <w:rPr>
          <w:color w:val="231F20"/>
          <w:spacing w:val="-10"/>
          <w:w w:val="110"/>
        </w:rPr>
        <w:t> </w:t>
      </w:r>
      <w:r>
        <w:rPr>
          <w:color w:val="231F20"/>
          <w:w w:val="110"/>
        </w:rPr>
        <w:t>los</w:t>
      </w:r>
      <w:r>
        <w:rPr>
          <w:color w:val="231F20"/>
          <w:spacing w:val="-10"/>
          <w:w w:val="110"/>
        </w:rPr>
        <w:t> </w:t>
      </w:r>
      <w:r>
        <w:rPr>
          <w:color w:val="231F20"/>
          <w:w w:val="110"/>
        </w:rPr>
        <w:t>más</w:t>
      </w:r>
      <w:r>
        <w:rPr>
          <w:color w:val="231F20"/>
          <w:spacing w:val="-10"/>
          <w:w w:val="110"/>
        </w:rPr>
        <w:t> </w:t>
      </w:r>
      <w:r>
        <w:rPr>
          <w:color w:val="231F20"/>
          <w:w w:val="110"/>
        </w:rPr>
        <w:t>grandes,</w:t>
      </w:r>
      <w:r>
        <w:rPr>
          <w:color w:val="231F20"/>
          <w:spacing w:val="-10"/>
          <w:w w:val="110"/>
        </w:rPr>
        <w:t> </w:t>
      </w:r>
      <w:r>
        <w:rPr>
          <w:color w:val="231F20"/>
          <w:w w:val="110"/>
        </w:rPr>
        <w:t>fue</w:t>
      </w:r>
      <w:r>
        <w:rPr>
          <w:color w:val="231F20"/>
          <w:spacing w:val="-10"/>
          <w:w w:val="110"/>
        </w:rPr>
        <w:t> </w:t>
      </w:r>
      <w:r>
        <w:rPr>
          <w:color w:val="231F20"/>
          <w:w w:val="110"/>
        </w:rPr>
        <w:t>la</w:t>
      </w:r>
      <w:r>
        <w:rPr>
          <w:color w:val="231F20"/>
          <w:spacing w:val="-10"/>
          <w:w w:val="110"/>
        </w:rPr>
        <w:t> </w:t>
      </w:r>
      <w:r>
        <w:rPr>
          <w:color w:val="231F20"/>
          <w:w w:val="110"/>
        </w:rPr>
        <w:t>intervención</w:t>
      </w:r>
      <w:r>
        <w:rPr>
          <w:color w:val="231F20"/>
          <w:spacing w:val="-10"/>
          <w:w w:val="110"/>
        </w:rPr>
        <w:t> </w:t>
      </w:r>
      <w:r>
        <w:rPr>
          <w:color w:val="231F20"/>
          <w:w w:val="110"/>
        </w:rPr>
        <w:t>masiva</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para</w:t>
      </w:r>
      <w:r>
        <w:rPr>
          <w:color w:val="231F20"/>
          <w:spacing w:val="-10"/>
          <w:w w:val="110"/>
        </w:rPr>
        <w:t> </w:t>
      </w:r>
      <w:r>
        <w:rPr>
          <w:color w:val="231F20"/>
          <w:w w:val="110"/>
        </w:rPr>
        <w:t>ser</w:t>
      </w:r>
      <w:r>
        <w:rPr>
          <w:color w:val="231F20"/>
          <w:spacing w:val="-10"/>
          <w:w w:val="110"/>
        </w:rPr>
        <w:t> </w:t>
      </w:r>
      <w:r>
        <w:rPr>
          <w:color w:val="231F20"/>
          <w:spacing w:val="2"/>
          <w:w w:val="110"/>
        </w:rPr>
        <w:t>“el </w:t>
      </w:r>
      <w:r>
        <w:rPr>
          <w:color w:val="231F20"/>
          <w:spacing w:val="3"/>
          <w:w w:val="110"/>
        </w:rPr>
        <w:t>empleador </w:t>
      </w:r>
      <w:r>
        <w:rPr>
          <w:color w:val="231F20"/>
          <w:w w:val="110"/>
        </w:rPr>
        <w:t>de </w:t>
      </w:r>
      <w:r>
        <w:rPr>
          <w:color w:val="231F20"/>
          <w:spacing w:val="3"/>
          <w:w w:val="110"/>
        </w:rPr>
        <w:t>última instancia” bajo </w:t>
      </w:r>
      <w:r>
        <w:rPr>
          <w:color w:val="231F20"/>
          <w:w w:val="110"/>
        </w:rPr>
        <w:t>el </w:t>
      </w:r>
      <w:r>
        <w:rPr>
          <w:i/>
          <w:color w:val="231F20"/>
          <w:spacing w:val="3"/>
          <w:w w:val="110"/>
        </w:rPr>
        <w:t>nuevo trato </w:t>
      </w:r>
      <w:r>
        <w:rPr>
          <w:color w:val="231F20"/>
          <w:spacing w:val="3"/>
          <w:w w:val="110"/>
        </w:rPr>
        <w:t>impulsado </w:t>
      </w:r>
      <w:r>
        <w:rPr>
          <w:color w:val="231F20"/>
          <w:spacing w:val="4"/>
          <w:w w:val="110"/>
        </w:rPr>
        <w:t>por </w:t>
      </w:r>
      <w:r>
        <w:rPr>
          <w:color w:val="231F20"/>
          <w:w w:val="110"/>
        </w:rPr>
        <w:t>el presidente Roosevelt (1933-1945). En esta coyuntura tan</w:t>
      </w:r>
      <w:r>
        <w:rPr>
          <w:color w:val="231F20"/>
          <w:spacing w:val="-32"/>
          <w:w w:val="110"/>
        </w:rPr>
        <w:t> </w:t>
      </w:r>
      <w:r>
        <w:rPr>
          <w:color w:val="231F20"/>
          <w:w w:val="110"/>
        </w:rPr>
        <w:t>redefini- da</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nueva</w:t>
      </w:r>
      <w:r>
        <w:rPr>
          <w:color w:val="231F20"/>
          <w:spacing w:val="-9"/>
          <w:w w:val="110"/>
        </w:rPr>
        <w:t> </w:t>
      </w:r>
      <w:r>
        <w:rPr>
          <w:color w:val="231F20"/>
          <w:w w:val="110"/>
        </w:rPr>
        <w:t>participación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trabajadora</w:t>
      </w:r>
      <w:r>
        <w:rPr>
          <w:color w:val="231F20"/>
          <w:spacing w:val="-9"/>
          <w:w w:val="110"/>
        </w:rPr>
        <w:t> </w:t>
      </w:r>
      <w:r>
        <w:rPr>
          <w:color w:val="231F20"/>
          <w:w w:val="110"/>
        </w:rPr>
        <w:t>y</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creación</w:t>
      </w:r>
    </w:p>
    <w:p>
      <w:pPr>
        <w:spacing w:after="0" w:line="261" w:lineRule="auto"/>
        <w:jc w:val="both"/>
        <w:sectPr>
          <w:headerReference w:type="even" r:id="rId247"/>
          <w:headerReference w:type="default" r:id="rId248"/>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de nuevas leyes e instituciones —sobre todo por el fuerte y agresivo sindicato, el Congreso de la Organización Industrial (cio)— una visión sindical fue proyectada sobre la sociedad. Fue creada una</w:t>
      </w:r>
      <w:r>
        <w:rPr>
          <w:color w:val="231F20"/>
          <w:spacing w:val="-31"/>
          <w:w w:val="110"/>
        </w:rPr>
        <w:t> </w:t>
      </w:r>
      <w:r>
        <w:rPr>
          <w:color w:val="231F20"/>
          <w:w w:val="110"/>
        </w:rPr>
        <w:t>cla- se en sí misma y </w:t>
      </w:r>
      <w:r>
        <w:rPr>
          <w:i/>
          <w:color w:val="231F20"/>
          <w:w w:val="110"/>
        </w:rPr>
        <w:t>para sí misma, </w:t>
      </w:r>
      <w:r>
        <w:rPr>
          <w:color w:val="231F20"/>
          <w:w w:val="110"/>
        </w:rPr>
        <w:t>con un compromiso para el mejora- miento de todos los miembros de los estratos subyacentes, en breve: el poder de la clase trabajadora fue institucionalizado. Esto no fue solamente en cuanto a los acuerdos colectivos de contratos</w:t>
      </w:r>
      <w:r>
        <w:rPr>
          <w:color w:val="231F20"/>
          <w:spacing w:val="-24"/>
          <w:w w:val="110"/>
        </w:rPr>
        <w:t> </w:t>
      </w:r>
      <w:r>
        <w:rPr>
          <w:color w:val="231F20"/>
          <w:w w:val="110"/>
        </w:rPr>
        <w:t>laborales con</w:t>
      </w:r>
      <w:r>
        <w:rPr>
          <w:color w:val="231F20"/>
          <w:spacing w:val="-11"/>
          <w:w w:val="110"/>
        </w:rPr>
        <w:t> </w:t>
      </w:r>
      <w:r>
        <w:rPr>
          <w:color w:val="231F20"/>
          <w:w w:val="110"/>
        </w:rPr>
        <w:t>las</w:t>
      </w:r>
      <w:r>
        <w:rPr>
          <w:color w:val="231F20"/>
          <w:spacing w:val="-11"/>
          <w:w w:val="110"/>
        </w:rPr>
        <w:t> </w:t>
      </w:r>
      <w:r>
        <w:rPr>
          <w:color w:val="231F20"/>
          <w:w w:val="110"/>
        </w:rPr>
        <w:t>más</w:t>
      </w:r>
      <w:r>
        <w:rPr>
          <w:color w:val="231F20"/>
          <w:spacing w:val="-11"/>
          <w:w w:val="110"/>
        </w:rPr>
        <w:t> </w:t>
      </w:r>
      <w:r>
        <w:rPr>
          <w:color w:val="231F20"/>
          <w:w w:val="110"/>
        </w:rPr>
        <w:t>grandes</w:t>
      </w:r>
      <w:r>
        <w:rPr>
          <w:color w:val="231F20"/>
          <w:spacing w:val="-11"/>
          <w:w w:val="110"/>
        </w:rPr>
        <w:t> </w:t>
      </w:r>
      <w:r>
        <w:rPr>
          <w:color w:val="231F20"/>
          <w:w w:val="110"/>
        </w:rPr>
        <w:t>empresas,</w:t>
      </w:r>
      <w:r>
        <w:rPr>
          <w:color w:val="231F20"/>
          <w:spacing w:val="-11"/>
          <w:w w:val="110"/>
        </w:rPr>
        <w:t> </w:t>
      </w:r>
      <w:r>
        <w:rPr>
          <w:color w:val="231F20"/>
          <w:w w:val="110"/>
        </w:rPr>
        <w:t>sino</w:t>
      </w:r>
      <w:r>
        <w:rPr>
          <w:color w:val="231F20"/>
          <w:spacing w:val="-11"/>
          <w:w w:val="110"/>
        </w:rPr>
        <w:t> </w:t>
      </w:r>
      <w:r>
        <w:rPr>
          <w:color w:val="231F20"/>
          <w:w w:val="110"/>
        </w:rPr>
        <w:t>que</w:t>
      </w:r>
      <w:r>
        <w:rPr>
          <w:color w:val="231F20"/>
          <w:spacing w:val="-11"/>
          <w:w w:val="110"/>
        </w:rPr>
        <w:t> </w:t>
      </w:r>
      <w:r>
        <w:rPr>
          <w:color w:val="231F20"/>
          <w:w w:val="110"/>
        </w:rPr>
        <w:t>también</w:t>
      </w:r>
      <w:r>
        <w:rPr>
          <w:color w:val="231F20"/>
          <w:spacing w:val="-11"/>
          <w:w w:val="110"/>
        </w:rPr>
        <w:t> </w:t>
      </w:r>
      <w:r>
        <w:rPr>
          <w:color w:val="231F20"/>
          <w:w w:val="110"/>
        </w:rPr>
        <w:t>se</w:t>
      </w:r>
      <w:r>
        <w:rPr>
          <w:color w:val="231F20"/>
          <w:spacing w:val="-11"/>
          <w:w w:val="110"/>
        </w:rPr>
        <w:t> </w:t>
      </w:r>
      <w:r>
        <w:rPr>
          <w:color w:val="231F20"/>
          <w:w w:val="110"/>
        </w:rPr>
        <w:t>reflejó</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lucha por la educación pública, el salario mínimo, el alcance del seguro social, la ayuda pública,</w:t>
      </w:r>
      <w:r>
        <w:rPr>
          <w:color w:val="231F20"/>
          <w:spacing w:val="-14"/>
          <w:w w:val="110"/>
        </w:rPr>
        <w:t> </w:t>
      </w:r>
      <w:r>
        <w:rPr>
          <w:color w:val="231F20"/>
          <w:w w:val="110"/>
        </w:rPr>
        <w:t>etcétera.</w:t>
      </w:r>
    </w:p>
    <w:p>
      <w:pPr>
        <w:pStyle w:val="BodyText"/>
        <w:spacing w:line="261" w:lineRule="auto"/>
        <w:ind w:left="100" w:right="117" w:firstLine="240"/>
        <w:jc w:val="both"/>
      </w:pPr>
      <w:r>
        <w:rPr>
          <w:color w:val="231F20"/>
          <w:w w:val="105"/>
        </w:rPr>
        <w:t>Podemos afirmar que en el curso de los años de la segunda guerra mundial la nueva regla, </w:t>
      </w:r>
      <w:r>
        <w:rPr>
          <w:i/>
          <w:color w:val="231F20"/>
          <w:w w:val="105"/>
        </w:rPr>
        <w:t>el acuerdo capital-trabajo</w:t>
      </w:r>
      <w:r>
        <w:rPr>
          <w:color w:val="231F20"/>
          <w:w w:val="105"/>
        </w:rPr>
        <w:t>, fue consumada. A cambio de comprometer a los trabajadores a una política de evitar huelgas por el curso de la guerra, las puertas fueron abiertas a la sindicalización en casi todas las ramas industriales. El poder sindical avanzó a pasos agigantados en esos años. Desde una ratio de 1:8 en los años treinta, el nivel de la sindicalización llegó a 1:4 en los cuarenta. En 1947, uno año antes de la ley Taft-Hartley —ley que subordina      el poder sindical— el nivel de la sindicalización de la fuerza laboral llegó a 31.4%. En 1953, en su apogeo, esta cifra alcanzó el 32.5% </w:t>
      </w:r>
      <w:r>
        <w:rPr>
          <w:color w:val="231F20"/>
          <w:spacing w:val="-3"/>
          <w:w w:val="105"/>
        </w:rPr>
        <w:t>(Moody, </w:t>
      </w:r>
      <w:r>
        <w:rPr>
          <w:color w:val="231F20"/>
          <w:w w:val="105"/>
        </w:rPr>
        <w:t>2007: 100). Este nuevo acuerdo fue nombrado el </w:t>
      </w:r>
      <w:r>
        <w:rPr>
          <w:color w:val="231F20"/>
          <w:spacing w:val="-3"/>
          <w:w w:val="105"/>
        </w:rPr>
        <w:t>Tratado </w:t>
      </w:r>
      <w:r>
        <w:rPr>
          <w:color w:val="231F20"/>
          <w:w w:val="105"/>
        </w:rPr>
        <w:t>de Detroit por dos economistas ortodoxos quienes han escrito un trabajo ampliamente citado sobre las fuerzas socioeconómicas dinámicas en   la época de la posguerra (Levy y </w:t>
      </w:r>
      <w:r>
        <w:rPr>
          <w:color w:val="231F20"/>
          <w:spacing w:val="-4"/>
          <w:w w:val="105"/>
        </w:rPr>
        <w:t>Temin </w:t>
      </w:r>
      <w:r>
        <w:rPr>
          <w:color w:val="231F20"/>
          <w:w w:val="105"/>
        </w:rPr>
        <w:t>2007: 6). Según ellos, este entendimiento fue construido y aceptado a la manera Gramsciana (como el “sentido común</w:t>
      </w:r>
      <w:r>
        <w:rPr>
          <w:i/>
          <w:color w:val="231F20"/>
          <w:w w:val="105"/>
        </w:rPr>
        <w:t>”) </w:t>
      </w:r>
      <w:r>
        <w:rPr>
          <w:color w:val="231F20"/>
          <w:w w:val="105"/>
        </w:rPr>
        <w:t>en los años presidenciales de </w:t>
      </w:r>
      <w:r>
        <w:rPr>
          <w:color w:val="231F20"/>
          <w:spacing w:val="-3"/>
          <w:w w:val="105"/>
        </w:rPr>
        <w:t>Truman </w:t>
      </w:r>
      <w:r>
        <w:rPr>
          <w:color w:val="231F20"/>
          <w:w w:val="105"/>
        </w:rPr>
        <w:t>(1945-1953)  por  medio</w:t>
      </w:r>
      <w:r>
        <w:rPr>
          <w:color w:val="231F20"/>
          <w:spacing w:val="9"/>
          <w:w w:val="105"/>
        </w:rPr>
        <w:t> </w:t>
      </w:r>
      <w:r>
        <w:rPr>
          <w:color w:val="231F20"/>
          <w:w w:val="105"/>
        </w:rPr>
        <w:t>de:</w:t>
      </w:r>
    </w:p>
    <w:p>
      <w:pPr>
        <w:pStyle w:val="BodyText"/>
        <w:spacing w:before="4"/>
        <w:rPr>
          <w:sz w:val="23"/>
        </w:rPr>
      </w:pPr>
    </w:p>
    <w:p>
      <w:pPr>
        <w:spacing w:line="290" w:lineRule="auto" w:before="0"/>
        <w:ind w:left="100" w:right="116" w:firstLine="0"/>
        <w:jc w:val="both"/>
        <w:rPr>
          <w:sz w:val="18"/>
        </w:rPr>
      </w:pPr>
      <w:r>
        <w:rPr>
          <w:color w:val="231F20"/>
          <w:w w:val="110"/>
          <w:sz w:val="18"/>
        </w:rPr>
        <w:t>un tratado privado que codificó y amplificó instituciones para relaciones laborales que fueran creadas en la depresión y fortalecidas en un entorno muy distinto al de la guerra. La fuerte continuidad de estas instituciones  sugiere que no fueron una consecuencia de un accidente histórico, sino   que fueron el resultado de negociaciones complejas entre el gobierno, las grandes</w:t>
      </w:r>
      <w:r>
        <w:rPr>
          <w:color w:val="231F20"/>
          <w:spacing w:val="-10"/>
          <w:w w:val="110"/>
          <w:sz w:val="18"/>
        </w:rPr>
        <w:t> </w:t>
      </w:r>
      <w:r>
        <w:rPr>
          <w:color w:val="231F20"/>
          <w:w w:val="110"/>
          <w:sz w:val="18"/>
        </w:rPr>
        <w:t>empresas</w:t>
      </w:r>
      <w:r>
        <w:rPr>
          <w:color w:val="231F20"/>
          <w:spacing w:val="-10"/>
          <w:w w:val="110"/>
          <w:sz w:val="18"/>
        </w:rPr>
        <w:t> </w:t>
      </w:r>
      <w:r>
        <w:rPr>
          <w:color w:val="231F20"/>
          <w:w w:val="110"/>
          <w:sz w:val="18"/>
        </w:rPr>
        <w:t>y</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sindicatos</w:t>
      </w:r>
      <w:r>
        <w:rPr>
          <w:color w:val="231F20"/>
          <w:spacing w:val="-10"/>
          <w:w w:val="110"/>
          <w:sz w:val="18"/>
        </w:rPr>
        <w:t> </w:t>
      </w:r>
      <w:r>
        <w:rPr>
          <w:color w:val="231F20"/>
          <w:w w:val="110"/>
          <w:sz w:val="18"/>
        </w:rPr>
        <w:t>(Levy</w:t>
      </w:r>
      <w:r>
        <w:rPr>
          <w:color w:val="231F20"/>
          <w:spacing w:val="-10"/>
          <w:w w:val="110"/>
          <w:sz w:val="18"/>
        </w:rPr>
        <w:t> </w:t>
      </w:r>
      <w:r>
        <w:rPr>
          <w:color w:val="231F20"/>
          <w:w w:val="110"/>
          <w:sz w:val="18"/>
        </w:rPr>
        <w:t>y</w:t>
      </w:r>
      <w:r>
        <w:rPr>
          <w:color w:val="231F20"/>
          <w:spacing w:val="-10"/>
          <w:w w:val="110"/>
          <w:sz w:val="18"/>
        </w:rPr>
        <w:t> </w:t>
      </w:r>
      <w:r>
        <w:rPr>
          <w:color w:val="231F20"/>
          <w:spacing w:val="-3"/>
          <w:w w:val="110"/>
          <w:sz w:val="18"/>
        </w:rPr>
        <w:t>Temin,</w:t>
      </w:r>
      <w:r>
        <w:rPr>
          <w:color w:val="231F20"/>
          <w:spacing w:val="-10"/>
          <w:w w:val="110"/>
          <w:sz w:val="18"/>
        </w:rPr>
        <w:t> </w:t>
      </w:r>
      <w:r>
        <w:rPr>
          <w:color w:val="231F20"/>
          <w:w w:val="110"/>
          <w:sz w:val="18"/>
        </w:rPr>
        <w:t>2007:</w:t>
      </w:r>
      <w:r>
        <w:rPr>
          <w:color w:val="231F20"/>
          <w:spacing w:val="-10"/>
          <w:w w:val="110"/>
          <w:sz w:val="18"/>
        </w:rPr>
        <w:t> </w:t>
      </w:r>
      <w:r>
        <w:rPr>
          <w:color w:val="231F20"/>
          <w:w w:val="110"/>
          <w:sz w:val="18"/>
        </w:rPr>
        <w:t>21).</w:t>
      </w:r>
    </w:p>
    <w:p>
      <w:pPr>
        <w:pStyle w:val="BodyText"/>
        <w:spacing w:before="2"/>
      </w:pPr>
    </w:p>
    <w:p>
      <w:pPr>
        <w:pStyle w:val="BodyText"/>
        <w:spacing w:line="261" w:lineRule="auto"/>
        <w:ind w:left="100" w:right="119" w:firstLine="240"/>
        <w:jc w:val="both"/>
      </w:pPr>
      <w:r>
        <w:rPr>
          <w:color w:val="231F20"/>
          <w:w w:val="110"/>
        </w:rPr>
        <w:t>El</w:t>
      </w:r>
      <w:r>
        <w:rPr>
          <w:color w:val="231F20"/>
          <w:spacing w:val="-16"/>
          <w:w w:val="110"/>
        </w:rPr>
        <w:t> </w:t>
      </w:r>
      <w:r>
        <w:rPr>
          <w:color w:val="231F20"/>
          <w:w w:val="110"/>
        </w:rPr>
        <w:t>nombre</w:t>
      </w:r>
      <w:r>
        <w:rPr>
          <w:color w:val="231F20"/>
          <w:spacing w:val="-16"/>
          <w:w w:val="110"/>
        </w:rPr>
        <w:t> </w:t>
      </w:r>
      <w:r>
        <w:rPr>
          <w:color w:val="231F20"/>
          <w:w w:val="110"/>
        </w:rPr>
        <w:t>del</w:t>
      </w:r>
      <w:r>
        <w:rPr>
          <w:color w:val="231F20"/>
          <w:spacing w:val="-16"/>
          <w:w w:val="110"/>
        </w:rPr>
        <w:t> </w:t>
      </w:r>
      <w:r>
        <w:rPr>
          <w:color w:val="231F20"/>
          <w:w w:val="110"/>
        </w:rPr>
        <w:t>tratado</w:t>
      </w:r>
      <w:r>
        <w:rPr>
          <w:color w:val="231F20"/>
          <w:spacing w:val="-16"/>
          <w:w w:val="110"/>
        </w:rPr>
        <w:t> </w:t>
      </w:r>
      <w:r>
        <w:rPr>
          <w:color w:val="231F20"/>
          <w:w w:val="110"/>
        </w:rPr>
        <w:t>fue</w:t>
      </w:r>
      <w:r>
        <w:rPr>
          <w:color w:val="231F20"/>
          <w:spacing w:val="-16"/>
          <w:w w:val="110"/>
        </w:rPr>
        <w:t> </w:t>
      </w:r>
      <w:r>
        <w:rPr>
          <w:color w:val="231F20"/>
          <w:w w:val="110"/>
        </w:rPr>
        <w:t>dado</w:t>
      </w:r>
      <w:r>
        <w:rPr>
          <w:color w:val="231F20"/>
          <w:spacing w:val="-16"/>
          <w:w w:val="110"/>
        </w:rPr>
        <w:t> </w:t>
      </w:r>
      <w:r>
        <w:rPr>
          <w:color w:val="231F20"/>
          <w:w w:val="110"/>
        </w:rPr>
        <w:t>por</w:t>
      </w:r>
      <w:r>
        <w:rPr>
          <w:color w:val="231F20"/>
          <w:spacing w:val="-16"/>
          <w:w w:val="110"/>
        </w:rPr>
        <w:t> </w:t>
      </w:r>
      <w:r>
        <w:rPr>
          <w:color w:val="231F20"/>
          <w:w w:val="110"/>
        </w:rPr>
        <w:t>la</w:t>
      </w:r>
      <w:r>
        <w:rPr>
          <w:color w:val="231F20"/>
          <w:spacing w:val="-16"/>
          <w:w w:val="110"/>
        </w:rPr>
        <w:t> </w:t>
      </w:r>
      <w:r>
        <w:rPr>
          <w:color w:val="231F20"/>
          <w:w w:val="110"/>
        </w:rPr>
        <w:t>revista</w:t>
      </w:r>
      <w:r>
        <w:rPr>
          <w:color w:val="231F20"/>
          <w:spacing w:val="-16"/>
          <w:w w:val="110"/>
        </w:rPr>
        <w:t> </w:t>
      </w:r>
      <w:r>
        <w:rPr>
          <w:i/>
          <w:color w:val="231F20"/>
          <w:w w:val="110"/>
        </w:rPr>
        <w:t>Fortune,</w:t>
      </w:r>
      <w:r>
        <w:rPr>
          <w:i/>
          <w:color w:val="231F20"/>
          <w:spacing w:val="-16"/>
          <w:w w:val="110"/>
        </w:rPr>
        <w:t> </w:t>
      </w:r>
      <w:r>
        <w:rPr>
          <w:color w:val="231F20"/>
          <w:w w:val="110"/>
        </w:rPr>
        <w:t>como</w:t>
      </w:r>
      <w:r>
        <w:rPr>
          <w:color w:val="231F20"/>
          <w:spacing w:val="-16"/>
          <w:w w:val="110"/>
        </w:rPr>
        <w:t> </w:t>
      </w:r>
      <w:r>
        <w:rPr>
          <w:color w:val="231F20"/>
          <w:w w:val="110"/>
        </w:rPr>
        <w:t>conse- cuencia</w:t>
      </w:r>
      <w:r>
        <w:rPr>
          <w:color w:val="231F20"/>
          <w:spacing w:val="-18"/>
          <w:w w:val="110"/>
        </w:rPr>
        <w:t> </w:t>
      </w:r>
      <w:r>
        <w:rPr>
          <w:color w:val="231F20"/>
          <w:w w:val="110"/>
        </w:rPr>
        <w:t>de</w:t>
      </w:r>
      <w:r>
        <w:rPr>
          <w:color w:val="231F20"/>
          <w:spacing w:val="-18"/>
          <w:w w:val="110"/>
        </w:rPr>
        <w:t> </w:t>
      </w:r>
      <w:r>
        <w:rPr>
          <w:color w:val="231F20"/>
          <w:w w:val="110"/>
        </w:rPr>
        <w:t>un</w:t>
      </w:r>
      <w:r>
        <w:rPr>
          <w:color w:val="231F20"/>
          <w:spacing w:val="-18"/>
          <w:w w:val="110"/>
        </w:rPr>
        <w:t> </w:t>
      </w:r>
      <w:r>
        <w:rPr>
          <w:color w:val="231F20"/>
          <w:w w:val="110"/>
        </w:rPr>
        <w:t>acuerdo</w:t>
      </w:r>
      <w:r>
        <w:rPr>
          <w:color w:val="231F20"/>
          <w:spacing w:val="-18"/>
          <w:w w:val="110"/>
        </w:rPr>
        <w:t> </w:t>
      </w:r>
      <w:r>
        <w:rPr>
          <w:color w:val="231F20"/>
          <w:w w:val="110"/>
        </w:rPr>
        <w:t>colectivo</w:t>
      </w:r>
      <w:r>
        <w:rPr>
          <w:color w:val="231F20"/>
          <w:spacing w:val="-18"/>
          <w:w w:val="110"/>
        </w:rPr>
        <w:t> </w:t>
      </w:r>
      <w:r>
        <w:rPr>
          <w:color w:val="231F20"/>
          <w:w w:val="110"/>
        </w:rPr>
        <w:t>entre</w:t>
      </w:r>
      <w:r>
        <w:rPr>
          <w:color w:val="231F20"/>
          <w:spacing w:val="-18"/>
          <w:w w:val="110"/>
        </w:rPr>
        <w:t> </w:t>
      </w:r>
      <w:r>
        <w:rPr>
          <w:color w:val="231F20"/>
          <w:w w:val="110"/>
        </w:rPr>
        <w:t>General</w:t>
      </w:r>
      <w:r>
        <w:rPr>
          <w:color w:val="231F20"/>
          <w:spacing w:val="-18"/>
          <w:w w:val="110"/>
        </w:rPr>
        <w:t> </w:t>
      </w:r>
      <w:r>
        <w:rPr>
          <w:color w:val="231F20"/>
          <w:w w:val="110"/>
        </w:rPr>
        <w:t>Motors</w:t>
      </w:r>
      <w:r>
        <w:rPr>
          <w:color w:val="231F20"/>
          <w:spacing w:val="-18"/>
          <w:w w:val="110"/>
        </w:rPr>
        <w:t> </w:t>
      </w:r>
      <w:r>
        <w:rPr>
          <w:color w:val="231F20"/>
          <w:w w:val="110"/>
        </w:rPr>
        <w:t>y</w:t>
      </w:r>
      <w:r>
        <w:rPr>
          <w:color w:val="231F20"/>
          <w:spacing w:val="-18"/>
          <w:w w:val="110"/>
        </w:rPr>
        <w:t> </w:t>
      </w:r>
      <w:r>
        <w:rPr>
          <w:color w:val="231F20"/>
          <w:w w:val="110"/>
        </w:rPr>
        <w:t>los</w:t>
      </w:r>
      <w:r>
        <w:rPr>
          <w:color w:val="231F20"/>
          <w:spacing w:val="-18"/>
          <w:w w:val="110"/>
        </w:rPr>
        <w:t> </w:t>
      </w:r>
      <w:r>
        <w:rPr>
          <w:color w:val="231F20"/>
          <w:w w:val="110"/>
        </w:rPr>
        <w:t>miembros del</w:t>
      </w:r>
      <w:r>
        <w:rPr>
          <w:color w:val="231F20"/>
          <w:spacing w:val="-5"/>
          <w:w w:val="110"/>
        </w:rPr>
        <w:t> </w:t>
      </w:r>
      <w:r>
        <w:rPr>
          <w:color w:val="231F20"/>
          <w:w w:val="110"/>
        </w:rPr>
        <w:t>sindicato</w:t>
      </w:r>
      <w:r>
        <w:rPr>
          <w:color w:val="231F20"/>
          <w:spacing w:val="-5"/>
          <w:w w:val="110"/>
        </w:rPr>
        <w:t> </w:t>
      </w:r>
      <w:r>
        <w:rPr>
          <w:color w:val="231F20"/>
          <w:w w:val="110"/>
        </w:rPr>
        <w:t>United</w:t>
      </w:r>
      <w:r>
        <w:rPr>
          <w:color w:val="231F20"/>
          <w:spacing w:val="-5"/>
          <w:w w:val="110"/>
        </w:rPr>
        <w:t> </w:t>
      </w:r>
      <w:r>
        <w:rPr>
          <w:color w:val="231F20"/>
          <w:w w:val="110"/>
        </w:rPr>
        <w:t>Auto</w:t>
      </w:r>
      <w:r>
        <w:rPr>
          <w:color w:val="231F20"/>
          <w:spacing w:val="-5"/>
          <w:w w:val="110"/>
        </w:rPr>
        <w:t> </w:t>
      </w:r>
      <w:r>
        <w:rPr>
          <w:color w:val="231F20"/>
          <w:w w:val="110"/>
        </w:rPr>
        <w:t>Workers</w:t>
      </w:r>
      <w:r>
        <w:rPr>
          <w:color w:val="231F20"/>
          <w:spacing w:val="-5"/>
          <w:w w:val="110"/>
        </w:rPr>
        <w:t> </w:t>
      </w:r>
      <w:r>
        <w:rPr>
          <w:color w:val="231F20"/>
          <w:w w:val="110"/>
        </w:rPr>
        <w:t>alrededor</w:t>
      </w:r>
      <w:r>
        <w:rPr>
          <w:color w:val="231F20"/>
          <w:spacing w:val="-5"/>
          <w:w w:val="110"/>
        </w:rPr>
        <w:t> </w:t>
      </w:r>
      <w:r>
        <w:rPr>
          <w:color w:val="231F20"/>
          <w:w w:val="110"/>
        </w:rPr>
        <w:t>de</w:t>
      </w:r>
      <w:r>
        <w:rPr>
          <w:color w:val="231F20"/>
          <w:spacing w:val="-5"/>
          <w:w w:val="110"/>
        </w:rPr>
        <w:t> </w:t>
      </w:r>
      <w:r>
        <w:rPr>
          <w:color w:val="231F20"/>
          <w:w w:val="110"/>
        </w:rPr>
        <w:t>1950.</w:t>
      </w:r>
      <w:r>
        <w:rPr>
          <w:color w:val="231F20"/>
          <w:spacing w:val="-5"/>
          <w:w w:val="110"/>
        </w:rPr>
        <w:t> </w:t>
      </w:r>
      <w:r>
        <w:rPr>
          <w:color w:val="231F20"/>
          <w:w w:val="110"/>
        </w:rPr>
        <w:t>Lo</w:t>
      </w:r>
      <w:r>
        <w:rPr>
          <w:color w:val="231F20"/>
          <w:spacing w:val="-5"/>
          <w:w w:val="110"/>
        </w:rPr>
        <w:t> </w:t>
      </w:r>
      <w:r>
        <w:rPr>
          <w:color w:val="231F20"/>
          <w:w w:val="110"/>
        </w:rPr>
        <w:t>notable</w:t>
      </w:r>
      <w:r>
        <w:rPr>
          <w:color w:val="231F20"/>
          <w:spacing w:val="-5"/>
          <w:w w:val="110"/>
        </w:rPr>
        <w:t> </w:t>
      </w:r>
      <w:r>
        <w:rPr>
          <w:color w:val="231F20"/>
          <w:w w:val="110"/>
        </w:rPr>
        <w:t>de este acuerdo contractual fue que los obreros recibieron una</w:t>
      </w:r>
      <w:r>
        <w:rPr>
          <w:color w:val="231F20"/>
          <w:spacing w:val="50"/>
          <w:w w:val="110"/>
        </w:rPr>
        <w:t> </w:t>
      </w:r>
      <w:r>
        <w:rPr>
          <w:color w:val="231F20"/>
          <w:w w:val="110"/>
        </w:rPr>
        <w:t>garantía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right"/>
      </w:pPr>
      <w:r>
        <w:rPr>
          <w:color w:val="231F20"/>
          <w:w w:val="110"/>
        </w:rPr>
        <w:t>de</w:t>
      </w:r>
      <w:r>
        <w:rPr>
          <w:color w:val="231F20"/>
          <w:spacing w:val="-18"/>
          <w:w w:val="110"/>
        </w:rPr>
        <w:t> </w:t>
      </w:r>
      <w:r>
        <w:rPr>
          <w:color w:val="231F20"/>
          <w:w w:val="110"/>
        </w:rPr>
        <w:t>pago</w:t>
      </w:r>
      <w:r>
        <w:rPr>
          <w:color w:val="231F20"/>
          <w:spacing w:val="-18"/>
          <w:w w:val="110"/>
        </w:rPr>
        <w:t> </w:t>
      </w:r>
      <w:r>
        <w:rPr>
          <w:color w:val="231F20"/>
          <w:w w:val="110"/>
        </w:rPr>
        <w:t>salarial</w:t>
      </w:r>
      <w:r>
        <w:rPr>
          <w:color w:val="231F20"/>
          <w:spacing w:val="-18"/>
          <w:w w:val="110"/>
        </w:rPr>
        <w:t> </w:t>
      </w:r>
      <w:r>
        <w:rPr>
          <w:color w:val="231F20"/>
          <w:w w:val="110"/>
        </w:rPr>
        <w:t>automático</w:t>
      </w:r>
      <w:r>
        <w:rPr>
          <w:color w:val="231F20"/>
          <w:spacing w:val="-18"/>
          <w:w w:val="110"/>
        </w:rPr>
        <w:t> </w:t>
      </w:r>
      <w:r>
        <w:rPr>
          <w:color w:val="231F20"/>
          <w:w w:val="110"/>
        </w:rPr>
        <w:t>con</w:t>
      </w:r>
      <w:r>
        <w:rPr>
          <w:color w:val="231F20"/>
          <w:spacing w:val="-18"/>
          <w:w w:val="110"/>
        </w:rPr>
        <w:t> </w:t>
      </w:r>
      <w:r>
        <w:rPr>
          <w:color w:val="231F20"/>
          <w:w w:val="110"/>
        </w:rPr>
        <w:t>la</w:t>
      </w:r>
      <w:r>
        <w:rPr>
          <w:color w:val="231F20"/>
          <w:spacing w:val="-18"/>
          <w:w w:val="110"/>
        </w:rPr>
        <w:t> </w:t>
      </w:r>
      <w:r>
        <w:rPr>
          <w:color w:val="231F20"/>
          <w:w w:val="110"/>
        </w:rPr>
        <w:t>subida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costo</w:t>
      </w:r>
      <w:r>
        <w:rPr>
          <w:color w:val="231F20"/>
          <w:spacing w:val="-18"/>
          <w:w w:val="110"/>
        </w:rPr>
        <w:t> </w:t>
      </w:r>
      <w:r>
        <w:rPr>
          <w:color w:val="231F20"/>
          <w:w w:val="110"/>
        </w:rPr>
        <w:t>de</w:t>
      </w:r>
      <w:r>
        <w:rPr>
          <w:color w:val="231F20"/>
          <w:spacing w:val="-18"/>
          <w:w w:val="110"/>
        </w:rPr>
        <w:t> </w:t>
      </w:r>
      <w:r>
        <w:rPr>
          <w:color w:val="231F20"/>
          <w:w w:val="110"/>
        </w:rPr>
        <w:t>vida.</w:t>
      </w:r>
      <w:r>
        <w:rPr>
          <w:color w:val="231F20"/>
          <w:spacing w:val="-18"/>
          <w:w w:val="110"/>
        </w:rPr>
        <w:t> </w:t>
      </w:r>
      <w:r>
        <w:rPr>
          <w:color w:val="231F20"/>
          <w:w w:val="110"/>
        </w:rPr>
        <w:t>Además,</w:t>
      </w:r>
      <w:r>
        <w:rPr>
          <w:color w:val="231F20"/>
          <w:w w:val="104"/>
        </w:rPr>
        <w:t> </w:t>
      </w:r>
      <w:r>
        <w:rPr>
          <w:color w:val="231F20"/>
          <w:w w:val="110"/>
        </w:rPr>
        <w:t>el valor del mejoramiento en su productividad será</w:t>
      </w:r>
      <w:r>
        <w:rPr>
          <w:color w:val="231F20"/>
          <w:spacing w:val="10"/>
          <w:w w:val="110"/>
        </w:rPr>
        <w:t> </w:t>
      </w:r>
      <w:r>
        <w:rPr>
          <w:color w:val="231F20"/>
          <w:w w:val="110"/>
        </w:rPr>
        <w:t>pasado</w:t>
      </w:r>
      <w:r>
        <w:rPr>
          <w:color w:val="231F20"/>
          <w:spacing w:val="15"/>
          <w:w w:val="110"/>
        </w:rPr>
        <w:t> </w:t>
      </w:r>
      <w:r>
        <w:rPr>
          <w:color w:val="231F20"/>
          <w:w w:val="110"/>
        </w:rPr>
        <w:t>directa-</w:t>
      </w:r>
      <w:r>
        <w:rPr>
          <w:color w:val="231F20"/>
          <w:w w:val="72"/>
        </w:rPr>
        <w:t> </w:t>
      </w:r>
      <w:r>
        <w:rPr>
          <w:color w:val="231F20"/>
          <w:w w:val="110"/>
        </w:rPr>
        <w:t>mente</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obreros</w:t>
      </w:r>
      <w:r>
        <w:rPr>
          <w:color w:val="231F20"/>
          <w:spacing w:val="-12"/>
          <w:w w:val="110"/>
        </w:rPr>
        <w:t> </w:t>
      </w:r>
      <w:r>
        <w:rPr>
          <w:color w:val="231F20"/>
          <w:w w:val="110"/>
        </w:rPr>
        <w:t>(Levy</w:t>
      </w:r>
      <w:r>
        <w:rPr>
          <w:color w:val="231F20"/>
          <w:spacing w:val="-12"/>
          <w:w w:val="110"/>
        </w:rPr>
        <w:t> </w:t>
      </w:r>
      <w:r>
        <w:rPr>
          <w:color w:val="231F20"/>
          <w:w w:val="110"/>
        </w:rPr>
        <w:t>y</w:t>
      </w:r>
      <w:r>
        <w:rPr>
          <w:color w:val="231F20"/>
          <w:spacing w:val="-12"/>
          <w:w w:val="110"/>
        </w:rPr>
        <w:t> </w:t>
      </w:r>
      <w:r>
        <w:rPr>
          <w:color w:val="231F20"/>
          <w:spacing w:val="-4"/>
          <w:w w:val="110"/>
        </w:rPr>
        <w:t>Temin,</w:t>
      </w:r>
      <w:r>
        <w:rPr>
          <w:color w:val="231F20"/>
          <w:spacing w:val="-12"/>
          <w:w w:val="110"/>
        </w:rPr>
        <w:t> </w:t>
      </w:r>
      <w:r>
        <w:rPr>
          <w:color w:val="231F20"/>
          <w:w w:val="110"/>
        </w:rPr>
        <w:t>2007:</w:t>
      </w:r>
      <w:r>
        <w:rPr>
          <w:color w:val="231F20"/>
          <w:spacing w:val="-12"/>
          <w:w w:val="110"/>
        </w:rPr>
        <w:t> </w:t>
      </w:r>
      <w:r>
        <w:rPr>
          <w:color w:val="231F20"/>
          <w:w w:val="110"/>
        </w:rPr>
        <w:t>24).</w:t>
      </w:r>
      <w:r>
        <w:rPr>
          <w:color w:val="231F20"/>
          <w:spacing w:val="-12"/>
          <w:w w:val="110"/>
        </w:rPr>
        <w:t> </w:t>
      </w:r>
      <w:r>
        <w:rPr>
          <w:color w:val="231F20"/>
          <w:w w:val="110"/>
        </w:rPr>
        <w:t>“El</w:t>
      </w:r>
      <w:r>
        <w:rPr>
          <w:color w:val="231F20"/>
          <w:spacing w:val="-12"/>
          <w:w w:val="110"/>
        </w:rPr>
        <w:t> </w:t>
      </w:r>
      <w:r>
        <w:rPr>
          <w:i/>
          <w:color w:val="231F20"/>
          <w:spacing w:val="-3"/>
          <w:w w:val="110"/>
        </w:rPr>
        <w:t>Tratado</w:t>
      </w:r>
      <w:r>
        <w:rPr>
          <w:i/>
          <w:color w:val="231F20"/>
          <w:spacing w:val="-12"/>
          <w:w w:val="110"/>
        </w:rPr>
        <w:t> </w:t>
      </w:r>
      <w:r>
        <w:rPr>
          <w:i/>
          <w:color w:val="231F20"/>
          <w:w w:val="110"/>
        </w:rPr>
        <w:t>de</w:t>
      </w:r>
      <w:r>
        <w:rPr>
          <w:i/>
          <w:color w:val="231F20"/>
          <w:spacing w:val="-12"/>
          <w:w w:val="110"/>
        </w:rPr>
        <w:t> </w:t>
      </w:r>
      <w:r>
        <w:rPr>
          <w:i/>
          <w:color w:val="231F20"/>
          <w:w w:val="110"/>
        </w:rPr>
        <w:t>Detroit</w:t>
      </w:r>
      <w:r>
        <w:rPr>
          <w:i/>
          <w:color w:val="231F20"/>
          <w:w w:val="92"/>
        </w:rPr>
        <w:t> </w:t>
      </w:r>
      <w:r>
        <w:rPr>
          <w:color w:val="231F20"/>
          <w:w w:val="110"/>
        </w:rPr>
        <w:t>inició un periodo estable en las relaciones industriales. El uso</w:t>
      </w:r>
      <w:r>
        <w:rPr>
          <w:color w:val="231F20"/>
          <w:spacing w:val="18"/>
          <w:w w:val="110"/>
        </w:rPr>
        <w:t> </w:t>
      </w:r>
      <w:r>
        <w:rPr>
          <w:color w:val="231F20"/>
          <w:w w:val="110"/>
        </w:rPr>
        <w:t>de</w:t>
      </w:r>
      <w:r>
        <w:rPr>
          <w:color w:val="231F20"/>
          <w:spacing w:val="1"/>
          <w:w w:val="110"/>
        </w:rPr>
        <w:t> </w:t>
      </w:r>
      <w:r>
        <w:rPr>
          <w:color w:val="231F20"/>
          <w:w w:val="110"/>
        </w:rPr>
        <w:t>las</w:t>
      </w:r>
      <w:r>
        <w:rPr>
          <w:color w:val="231F20"/>
          <w:w w:val="100"/>
        </w:rPr>
        <w:t> </w:t>
      </w:r>
      <w:r>
        <w:rPr>
          <w:color w:val="231F20"/>
          <w:w w:val="110"/>
        </w:rPr>
        <w:t>negociaciones</w:t>
      </w:r>
      <w:r>
        <w:rPr>
          <w:color w:val="231F20"/>
          <w:spacing w:val="-15"/>
          <w:w w:val="110"/>
        </w:rPr>
        <w:t> </w:t>
      </w:r>
      <w:r>
        <w:rPr>
          <w:color w:val="231F20"/>
          <w:w w:val="110"/>
        </w:rPr>
        <w:t>colectivas</w:t>
      </w:r>
      <w:r>
        <w:rPr>
          <w:color w:val="231F20"/>
          <w:spacing w:val="-15"/>
          <w:w w:val="110"/>
        </w:rPr>
        <w:t> </w:t>
      </w:r>
      <w:r>
        <w:rPr>
          <w:color w:val="231F20"/>
          <w:w w:val="110"/>
        </w:rPr>
        <w:t>se</w:t>
      </w:r>
      <w:r>
        <w:rPr>
          <w:color w:val="231F20"/>
          <w:spacing w:val="-15"/>
          <w:w w:val="110"/>
        </w:rPr>
        <w:t> </w:t>
      </w:r>
      <w:r>
        <w:rPr>
          <w:color w:val="231F20"/>
          <w:w w:val="110"/>
        </w:rPr>
        <w:t>propagó</w:t>
      </w:r>
      <w:r>
        <w:rPr>
          <w:color w:val="231F20"/>
          <w:spacing w:val="-15"/>
          <w:w w:val="110"/>
        </w:rPr>
        <w:t> </w:t>
      </w:r>
      <w:r>
        <w:rPr>
          <w:color w:val="231F20"/>
          <w:w w:val="110"/>
        </w:rPr>
        <w:t>por</w:t>
      </w:r>
      <w:r>
        <w:rPr>
          <w:color w:val="231F20"/>
          <w:spacing w:val="-15"/>
          <w:w w:val="110"/>
        </w:rPr>
        <w:t> </w:t>
      </w:r>
      <w:r>
        <w:rPr>
          <w:color w:val="231F20"/>
          <w:w w:val="110"/>
        </w:rPr>
        <w:t>todo</w:t>
      </w:r>
      <w:r>
        <w:rPr>
          <w:color w:val="231F20"/>
          <w:spacing w:val="-15"/>
          <w:w w:val="110"/>
        </w:rPr>
        <w:t> </w:t>
      </w:r>
      <w:r>
        <w:rPr>
          <w:color w:val="231F20"/>
          <w:w w:val="110"/>
        </w:rPr>
        <w:t>la</w:t>
      </w:r>
      <w:r>
        <w:rPr>
          <w:color w:val="231F20"/>
          <w:spacing w:val="-15"/>
          <w:w w:val="110"/>
        </w:rPr>
        <w:t> </w:t>
      </w:r>
      <w:r>
        <w:rPr>
          <w:color w:val="231F20"/>
          <w:w w:val="110"/>
        </w:rPr>
        <w:t>industria</w:t>
      </w:r>
      <w:r>
        <w:rPr>
          <w:color w:val="231F20"/>
          <w:spacing w:val="-15"/>
          <w:w w:val="110"/>
        </w:rPr>
        <w:t> </w:t>
      </w:r>
      <w:r>
        <w:rPr>
          <w:color w:val="231F20"/>
          <w:w w:val="110"/>
        </w:rPr>
        <w:t>y</w:t>
      </w:r>
      <w:r>
        <w:rPr>
          <w:color w:val="231F20"/>
          <w:spacing w:val="-15"/>
          <w:w w:val="110"/>
        </w:rPr>
        <w:t> </w:t>
      </w:r>
      <w:r>
        <w:rPr>
          <w:color w:val="231F20"/>
          <w:w w:val="110"/>
        </w:rPr>
        <w:t>hasta</w:t>
      </w:r>
      <w:r>
        <w:rPr>
          <w:color w:val="231F20"/>
          <w:spacing w:val="-15"/>
          <w:w w:val="110"/>
        </w:rPr>
        <w:t> </w:t>
      </w:r>
      <w:r>
        <w:rPr>
          <w:color w:val="231F20"/>
          <w:w w:val="110"/>
        </w:rPr>
        <w:t>a</w:t>
      </w:r>
      <w:r>
        <w:rPr>
          <w:color w:val="231F20"/>
          <w:spacing w:val="-15"/>
          <w:w w:val="110"/>
        </w:rPr>
        <w:t> </w:t>
      </w:r>
      <w:r>
        <w:rPr>
          <w:color w:val="231F20"/>
          <w:w w:val="110"/>
        </w:rPr>
        <w:t>las</w:t>
      </w:r>
      <w:r>
        <w:rPr>
          <w:color w:val="231F20"/>
          <w:w w:val="100"/>
        </w:rPr>
        <w:t> </w:t>
      </w:r>
      <w:r>
        <w:rPr>
          <w:color w:val="231F20"/>
          <w:w w:val="110"/>
        </w:rPr>
        <w:t>empresas</w:t>
      </w:r>
      <w:r>
        <w:rPr>
          <w:color w:val="231F20"/>
          <w:spacing w:val="-9"/>
          <w:w w:val="110"/>
        </w:rPr>
        <w:t> </w:t>
      </w:r>
      <w:r>
        <w:rPr>
          <w:color w:val="231F20"/>
          <w:w w:val="110"/>
        </w:rPr>
        <w:t>no</w:t>
      </w:r>
      <w:r>
        <w:rPr>
          <w:color w:val="231F20"/>
          <w:spacing w:val="-9"/>
          <w:w w:val="110"/>
        </w:rPr>
        <w:t> </w:t>
      </w:r>
      <w:r>
        <w:rPr>
          <w:color w:val="231F20"/>
          <w:w w:val="110"/>
        </w:rPr>
        <w:t>sindicalizadas</w:t>
      </w:r>
      <w:r>
        <w:rPr>
          <w:color w:val="231F20"/>
          <w:spacing w:val="-9"/>
          <w:w w:val="110"/>
        </w:rPr>
        <w:t> </w:t>
      </w:r>
      <w:r>
        <w:rPr>
          <w:color w:val="231F20"/>
          <w:w w:val="110"/>
        </w:rPr>
        <w:t>como</w:t>
      </w:r>
      <w:r>
        <w:rPr>
          <w:color w:val="231F20"/>
          <w:spacing w:val="-9"/>
          <w:w w:val="110"/>
        </w:rPr>
        <w:t> </w:t>
      </w:r>
      <w:r>
        <w:rPr>
          <w:color w:val="231F20"/>
          <w:w w:val="110"/>
        </w:rPr>
        <w:t>una</w:t>
      </w:r>
      <w:r>
        <w:rPr>
          <w:color w:val="231F20"/>
          <w:spacing w:val="-9"/>
          <w:w w:val="110"/>
        </w:rPr>
        <w:t> </w:t>
      </w:r>
      <w:r>
        <w:rPr>
          <w:color w:val="231F20"/>
          <w:w w:val="110"/>
        </w:rPr>
        <w:t>extensión</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negociaciones</w:t>
      </w:r>
      <w:r>
        <w:rPr>
          <w:color w:val="231F20"/>
          <w:w w:val="108"/>
        </w:rPr>
        <w:t> </w:t>
      </w:r>
      <w:r>
        <w:rPr>
          <w:color w:val="231F20"/>
          <w:w w:val="110"/>
        </w:rPr>
        <w:t>que</w:t>
      </w:r>
      <w:r>
        <w:rPr>
          <w:color w:val="231F20"/>
          <w:spacing w:val="-11"/>
          <w:w w:val="110"/>
        </w:rPr>
        <w:t> </w:t>
      </w:r>
      <w:r>
        <w:rPr>
          <w:color w:val="231F20"/>
          <w:w w:val="110"/>
        </w:rPr>
        <w:t>marcaron</w:t>
      </w:r>
      <w:r>
        <w:rPr>
          <w:color w:val="231F20"/>
          <w:spacing w:val="-11"/>
          <w:w w:val="110"/>
        </w:rPr>
        <w:t> </w:t>
      </w:r>
      <w:r>
        <w:rPr>
          <w:color w:val="231F20"/>
          <w:w w:val="110"/>
        </w:rPr>
        <w:t>la</w:t>
      </w:r>
      <w:r>
        <w:rPr>
          <w:color w:val="231F20"/>
          <w:spacing w:val="-11"/>
          <w:w w:val="110"/>
        </w:rPr>
        <w:t> </w:t>
      </w:r>
      <w:r>
        <w:rPr>
          <w:color w:val="231F20"/>
          <w:w w:val="110"/>
        </w:rPr>
        <w:t>pauta”</w:t>
      </w:r>
      <w:r>
        <w:rPr>
          <w:color w:val="231F20"/>
          <w:spacing w:val="-11"/>
          <w:w w:val="110"/>
        </w:rPr>
        <w:t> </w:t>
      </w:r>
      <w:r>
        <w:rPr>
          <w:color w:val="231F20"/>
          <w:w w:val="110"/>
        </w:rPr>
        <w:t>(Levy</w:t>
      </w:r>
      <w:r>
        <w:rPr>
          <w:color w:val="231F20"/>
          <w:spacing w:val="-11"/>
          <w:w w:val="110"/>
        </w:rPr>
        <w:t> </w:t>
      </w:r>
      <w:r>
        <w:rPr>
          <w:color w:val="231F20"/>
          <w:w w:val="110"/>
        </w:rPr>
        <w:t>y</w:t>
      </w:r>
      <w:r>
        <w:rPr>
          <w:color w:val="231F20"/>
          <w:spacing w:val="-11"/>
          <w:w w:val="110"/>
        </w:rPr>
        <w:t> </w:t>
      </w:r>
      <w:r>
        <w:rPr>
          <w:color w:val="231F20"/>
          <w:spacing w:val="-4"/>
          <w:w w:val="110"/>
        </w:rPr>
        <w:t>Temin,</w:t>
      </w:r>
      <w:r>
        <w:rPr>
          <w:color w:val="231F20"/>
          <w:spacing w:val="-11"/>
          <w:w w:val="110"/>
        </w:rPr>
        <w:t> </w:t>
      </w:r>
      <w:r>
        <w:rPr>
          <w:color w:val="231F20"/>
          <w:w w:val="110"/>
        </w:rPr>
        <w:t>2007:</w:t>
      </w:r>
      <w:r>
        <w:rPr>
          <w:color w:val="231F20"/>
          <w:spacing w:val="-11"/>
          <w:w w:val="110"/>
        </w:rPr>
        <w:t> </w:t>
      </w:r>
      <w:r>
        <w:rPr>
          <w:color w:val="231F20"/>
          <w:w w:val="110"/>
        </w:rPr>
        <w:t>25).</w:t>
      </w:r>
      <w:r>
        <w:rPr>
          <w:color w:val="231F20"/>
          <w:spacing w:val="-11"/>
          <w:w w:val="110"/>
        </w:rPr>
        <w:t> </w:t>
      </w:r>
      <w:r>
        <w:rPr>
          <w:color w:val="231F20"/>
          <w:w w:val="110"/>
        </w:rPr>
        <w:t>El</w:t>
      </w:r>
      <w:r>
        <w:rPr>
          <w:color w:val="231F20"/>
          <w:spacing w:val="-11"/>
          <w:w w:val="110"/>
        </w:rPr>
        <w:t> </w:t>
      </w:r>
      <w:r>
        <w:rPr>
          <w:color w:val="231F20"/>
          <w:w w:val="110"/>
        </w:rPr>
        <w:t>acuerdo</w:t>
      </w:r>
      <w:r>
        <w:rPr>
          <w:color w:val="231F20"/>
          <w:spacing w:val="-11"/>
          <w:w w:val="110"/>
        </w:rPr>
        <w:t> </w:t>
      </w:r>
      <w:r>
        <w:rPr>
          <w:color w:val="231F20"/>
          <w:w w:val="110"/>
        </w:rPr>
        <w:t>entre</w:t>
      </w:r>
      <w:r>
        <w:rPr>
          <w:color w:val="231F20"/>
          <w:spacing w:val="-11"/>
          <w:w w:val="110"/>
        </w:rPr>
        <w:t> </w:t>
      </w:r>
      <w:r>
        <w:rPr>
          <w:color w:val="231F20"/>
          <w:w w:val="110"/>
        </w:rPr>
        <w:t>el</w:t>
      </w:r>
      <w:r>
        <w:rPr>
          <w:color w:val="231F20"/>
          <w:w w:val="108"/>
        </w:rPr>
        <w:t> </w:t>
      </w:r>
      <w:r>
        <w:rPr>
          <w:color w:val="231F20"/>
          <w:w w:val="110"/>
        </w:rPr>
        <w:t>capital y el trabajo de aquel entonces fue aceptado</w:t>
      </w:r>
      <w:r>
        <w:rPr>
          <w:color w:val="231F20"/>
          <w:spacing w:val="-37"/>
          <w:w w:val="110"/>
        </w:rPr>
        <w:t> </w:t>
      </w:r>
      <w:r>
        <w:rPr>
          <w:color w:val="231F20"/>
          <w:w w:val="110"/>
        </w:rPr>
        <w:t>rotundamente</w:t>
      </w:r>
      <w:r>
        <w:rPr>
          <w:color w:val="231F20"/>
          <w:spacing w:val="-5"/>
          <w:w w:val="110"/>
        </w:rPr>
        <w:t> </w:t>
      </w:r>
      <w:r>
        <w:rPr>
          <w:color w:val="231F20"/>
          <w:w w:val="110"/>
        </w:rPr>
        <w:t>por</w:t>
      </w:r>
      <w:r>
        <w:rPr>
          <w:color w:val="231F20"/>
          <w:w w:val="115"/>
        </w:rPr>
        <w:t> </w:t>
      </w:r>
      <w:r>
        <w:rPr>
          <w:color w:val="231F20"/>
          <w:w w:val="110"/>
        </w:rPr>
        <w:t>los portavoces del gran capital, como Eric Johnston, el</w:t>
      </w:r>
      <w:r>
        <w:rPr>
          <w:color w:val="231F20"/>
          <w:spacing w:val="-27"/>
          <w:w w:val="110"/>
        </w:rPr>
        <w:t> </w:t>
      </w:r>
      <w:r>
        <w:rPr>
          <w:color w:val="231F20"/>
          <w:w w:val="110"/>
        </w:rPr>
        <w:t>presidente</w:t>
      </w:r>
      <w:r>
        <w:rPr>
          <w:color w:val="231F20"/>
          <w:spacing w:val="-3"/>
          <w:w w:val="110"/>
        </w:rPr>
        <w:t> </w:t>
      </w:r>
      <w:r>
        <w:rPr>
          <w:color w:val="231F20"/>
          <w:w w:val="110"/>
        </w:rPr>
        <w:t>de</w:t>
      </w:r>
      <w:r>
        <w:rPr>
          <w:color w:val="231F20"/>
          <w:w w:val="114"/>
        </w:rPr>
        <w:t> </w:t>
      </w:r>
      <w:r>
        <w:rPr>
          <w:color w:val="231F20"/>
          <w:w w:val="110"/>
        </w:rPr>
        <w:t>la</w:t>
      </w:r>
      <w:r>
        <w:rPr>
          <w:color w:val="231F20"/>
          <w:spacing w:val="-11"/>
          <w:w w:val="110"/>
        </w:rPr>
        <w:t> </w:t>
      </w:r>
      <w:r>
        <w:rPr>
          <w:color w:val="231F20"/>
          <w:w w:val="110"/>
        </w:rPr>
        <w:t>Cámara</w:t>
      </w:r>
      <w:r>
        <w:rPr>
          <w:color w:val="231F20"/>
          <w:spacing w:val="-11"/>
          <w:w w:val="110"/>
        </w:rPr>
        <w:t> </w:t>
      </w:r>
      <w:r>
        <w:rPr>
          <w:color w:val="231F20"/>
          <w:w w:val="110"/>
        </w:rPr>
        <w:t>de</w:t>
      </w:r>
      <w:r>
        <w:rPr>
          <w:color w:val="231F20"/>
          <w:spacing w:val="-11"/>
          <w:w w:val="110"/>
        </w:rPr>
        <w:t> </w:t>
      </w:r>
      <w:r>
        <w:rPr>
          <w:color w:val="231F20"/>
          <w:w w:val="110"/>
        </w:rPr>
        <w:t>Comercio</w:t>
      </w:r>
      <w:r>
        <w:rPr>
          <w:color w:val="231F20"/>
          <w:spacing w:val="-11"/>
          <w:w w:val="110"/>
        </w:rPr>
        <w:t> </w:t>
      </w:r>
      <w:r>
        <w:rPr>
          <w:color w:val="231F20"/>
          <w:w w:val="110"/>
        </w:rPr>
        <w:t>Estadunidense</w:t>
      </w:r>
      <w:r>
        <w:rPr>
          <w:color w:val="231F20"/>
          <w:spacing w:val="-11"/>
          <w:w w:val="110"/>
        </w:rPr>
        <w:t> </w:t>
      </w:r>
      <w:r>
        <w:rPr>
          <w:color w:val="231F20"/>
          <w:w w:val="110"/>
        </w:rPr>
        <w:t>quien</w:t>
      </w:r>
      <w:r>
        <w:rPr>
          <w:color w:val="231F20"/>
          <w:spacing w:val="-11"/>
          <w:w w:val="110"/>
        </w:rPr>
        <w:t> </w:t>
      </w:r>
      <w:r>
        <w:rPr>
          <w:color w:val="231F20"/>
          <w:w w:val="110"/>
        </w:rPr>
        <w:t>comentó</w:t>
      </w:r>
      <w:r>
        <w:rPr>
          <w:color w:val="231F20"/>
          <w:spacing w:val="-11"/>
          <w:w w:val="110"/>
        </w:rPr>
        <w:t> </w:t>
      </w:r>
      <w:r>
        <w:rPr>
          <w:color w:val="231F20"/>
          <w:w w:val="110"/>
        </w:rPr>
        <w:t>sobre</w:t>
      </w:r>
      <w:r>
        <w:rPr>
          <w:color w:val="231F20"/>
          <w:spacing w:val="-11"/>
          <w:w w:val="110"/>
        </w:rPr>
        <w:t> </w:t>
      </w:r>
      <w:r>
        <w:rPr>
          <w:color w:val="231F20"/>
          <w:w w:val="110"/>
        </w:rPr>
        <w:t>la</w:t>
      </w:r>
      <w:r>
        <w:rPr>
          <w:color w:val="231F20"/>
          <w:spacing w:val="-11"/>
          <w:w w:val="110"/>
        </w:rPr>
        <w:t> </w:t>
      </w:r>
      <w:r>
        <w:rPr>
          <w:color w:val="231F20"/>
          <w:w w:val="110"/>
        </w:rPr>
        <w:t>nueva</w:t>
      </w:r>
      <w:r>
        <w:rPr>
          <w:color w:val="231F20"/>
          <w:w w:val="108"/>
        </w:rPr>
        <w:t> </w:t>
      </w:r>
      <w:r>
        <w:rPr>
          <w:color w:val="231F20"/>
          <w:w w:val="110"/>
        </w:rPr>
        <w:t>alienación institucional de la manera siguiente: “Los</w:t>
      </w:r>
      <w:r>
        <w:rPr>
          <w:color w:val="231F20"/>
          <w:spacing w:val="16"/>
          <w:w w:val="110"/>
        </w:rPr>
        <w:t> </w:t>
      </w:r>
      <w:r>
        <w:rPr>
          <w:color w:val="231F20"/>
          <w:w w:val="110"/>
        </w:rPr>
        <w:t>sindicatos</w:t>
      </w:r>
      <w:r>
        <w:rPr>
          <w:color w:val="231F20"/>
          <w:spacing w:val="10"/>
          <w:w w:val="110"/>
        </w:rPr>
        <w:t> </w:t>
      </w:r>
      <w:r>
        <w:rPr>
          <w:color w:val="231F20"/>
          <w:w w:val="110"/>
        </w:rPr>
        <w:t>son</w:t>
      </w:r>
      <w:r>
        <w:rPr>
          <w:color w:val="231F20"/>
          <w:w w:val="109"/>
        </w:rPr>
        <w:t> </w:t>
      </w:r>
      <w:r>
        <w:rPr>
          <w:color w:val="231F20"/>
          <w:w w:val="110"/>
        </w:rPr>
        <w:t>entretejidos en la pauta de la vida estadunidense, y</w:t>
      </w:r>
      <w:r>
        <w:rPr>
          <w:color w:val="231F20"/>
          <w:spacing w:val="21"/>
          <w:w w:val="110"/>
        </w:rPr>
        <w:t> </w:t>
      </w:r>
      <w:r>
        <w:rPr>
          <w:color w:val="231F20"/>
          <w:w w:val="110"/>
        </w:rPr>
        <w:t>la</w:t>
      </w:r>
      <w:r>
        <w:rPr>
          <w:color w:val="231F20"/>
          <w:spacing w:val="20"/>
          <w:w w:val="110"/>
        </w:rPr>
        <w:t> </w:t>
      </w:r>
      <w:r>
        <w:rPr>
          <w:color w:val="231F20"/>
          <w:w w:val="110"/>
        </w:rPr>
        <w:t>negociación</w:t>
      </w:r>
      <w:r>
        <w:rPr>
          <w:color w:val="231F20"/>
          <w:w w:val="109"/>
        </w:rPr>
        <w:t> </w:t>
      </w:r>
      <w:r>
        <w:rPr>
          <w:color w:val="231F20"/>
          <w:w w:val="110"/>
        </w:rPr>
        <w:t>colectiva es parte del proceso democrático” (Levy y</w:t>
      </w:r>
      <w:r>
        <w:rPr>
          <w:color w:val="231F20"/>
          <w:spacing w:val="49"/>
          <w:w w:val="110"/>
        </w:rPr>
        <w:t> </w:t>
      </w:r>
      <w:r>
        <w:rPr>
          <w:color w:val="231F20"/>
          <w:spacing w:val="-4"/>
          <w:w w:val="110"/>
        </w:rPr>
        <w:t>Temin,</w:t>
      </w:r>
      <w:r>
        <w:rPr>
          <w:color w:val="231F20"/>
          <w:spacing w:val="19"/>
          <w:w w:val="110"/>
        </w:rPr>
        <w:t> </w:t>
      </w:r>
      <w:r>
        <w:rPr>
          <w:color w:val="231F20"/>
          <w:w w:val="110"/>
        </w:rPr>
        <w:t>2007:</w:t>
      </w:r>
      <w:r>
        <w:rPr>
          <w:color w:val="231F20"/>
          <w:w w:val="102"/>
        </w:rPr>
        <w:t> </w:t>
      </w:r>
      <w:r>
        <w:rPr>
          <w:color w:val="231F20"/>
          <w:w w:val="110"/>
        </w:rPr>
        <w:t>21). Aún enfrentando las fuerzas antiobreras del</w:t>
      </w:r>
      <w:r>
        <w:rPr>
          <w:color w:val="231F20"/>
          <w:spacing w:val="44"/>
          <w:w w:val="110"/>
        </w:rPr>
        <w:t> </w:t>
      </w:r>
      <w:r>
        <w:rPr>
          <w:color w:val="231F20"/>
          <w:w w:val="110"/>
        </w:rPr>
        <w:t>macartismo</w:t>
      </w:r>
      <w:r>
        <w:rPr>
          <w:color w:val="231F20"/>
          <w:spacing w:val="6"/>
          <w:w w:val="110"/>
        </w:rPr>
        <w:t> </w:t>
      </w:r>
      <w:r>
        <w:rPr>
          <w:color w:val="231F20"/>
          <w:w w:val="110"/>
        </w:rPr>
        <w:t>duran-</w:t>
      </w:r>
      <w:r>
        <w:rPr>
          <w:color w:val="231F20"/>
          <w:w w:val="72"/>
        </w:rPr>
        <w:t> </w:t>
      </w:r>
      <w:r>
        <w:rPr>
          <w:color w:val="231F20"/>
          <w:w w:val="110"/>
        </w:rPr>
        <w:t>te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cincuenta</w:t>
      </w:r>
      <w:r>
        <w:rPr>
          <w:color w:val="231F20"/>
          <w:spacing w:val="-5"/>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efectos</w:t>
      </w:r>
      <w:r>
        <w:rPr>
          <w:color w:val="231F20"/>
          <w:spacing w:val="-5"/>
          <w:w w:val="110"/>
        </w:rPr>
        <w:t> </w:t>
      </w:r>
      <w:r>
        <w:rPr>
          <w:color w:val="231F20"/>
          <w:w w:val="110"/>
        </w:rPr>
        <w:t>del</w:t>
      </w:r>
      <w:r>
        <w:rPr>
          <w:color w:val="231F20"/>
          <w:spacing w:val="-5"/>
          <w:w w:val="110"/>
        </w:rPr>
        <w:t> </w:t>
      </w:r>
      <w:r>
        <w:rPr>
          <w:color w:val="231F20"/>
          <w:w w:val="110"/>
        </w:rPr>
        <w:t>ley</w:t>
      </w:r>
      <w:r>
        <w:rPr>
          <w:color w:val="231F20"/>
          <w:spacing w:val="-5"/>
          <w:w w:val="110"/>
        </w:rPr>
        <w:t> </w:t>
      </w:r>
      <w:r>
        <w:rPr>
          <w:color w:val="231F20"/>
          <w:spacing w:val="-3"/>
          <w:w w:val="110"/>
        </w:rPr>
        <w:t>Taft-Hartley,</w:t>
      </w:r>
      <w:r>
        <w:rPr>
          <w:color w:val="231F20"/>
          <w:spacing w:val="-5"/>
          <w:w w:val="110"/>
        </w:rPr>
        <w:t> </w:t>
      </w:r>
      <w:r>
        <w:rPr>
          <w:color w:val="231F20"/>
          <w:w w:val="110"/>
        </w:rPr>
        <w:t>los</w:t>
      </w:r>
      <w:r>
        <w:rPr>
          <w:color w:val="231F20"/>
          <w:spacing w:val="-5"/>
          <w:w w:val="110"/>
        </w:rPr>
        <w:t> </w:t>
      </w:r>
      <w:r>
        <w:rPr>
          <w:color w:val="231F20"/>
          <w:w w:val="110"/>
        </w:rPr>
        <w:t>sindicatos</w:t>
      </w:r>
      <w:r>
        <w:rPr>
          <w:color w:val="231F20"/>
          <w:w w:val="107"/>
        </w:rPr>
        <w:t> </w:t>
      </w:r>
      <w:r>
        <w:rPr>
          <w:color w:val="231F20"/>
          <w:w w:val="110"/>
        </w:rPr>
        <w:t>fueron casi capaces de mantener su propio peso</w:t>
      </w:r>
      <w:r>
        <w:rPr>
          <w:color w:val="231F20"/>
          <w:spacing w:val="-16"/>
          <w:w w:val="110"/>
        </w:rPr>
        <w:t> </w:t>
      </w:r>
      <w:r>
        <w:rPr>
          <w:color w:val="231F20"/>
          <w:w w:val="110"/>
        </w:rPr>
        <w:t>—los</w:t>
      </w:r>
      <w:r>
        <w:rPr>
          <w:color w:val="231F20"/>
          <w:spacing w:val="-2"/>
          <w:w w:val="110"/>
        </w:rPr>
        <w:t> </w:t>
      </w:r>
      <w:r>
        <w:rPr>
          <w:color w:val="231F20"/>
          <w:w w:val="110"/>
        </w:rPr>
        <w:t>sindicalizados</w:t>
      </w:r>
      <w:r>
        <w:rPr>
          <w:color w:val="231F20"/>
          <w:w w:val="105"/>
        </w:rPr>
        <w:t> </w:t>
      </w:r>
      <w:r>
        <w:rPr>
          <w:color w:val="231F20"/>
          <w:w w:val="110"/>
        </w:rPr>
        <w:t>cubrieron 29.3% de la fuerza laboral hasta 1964 (La Botz,</w:t>
      </w:r>
      <w:r>
        <w:rPr>
          <w:color w:val="231F20"/>
          <w:spacing w:val="15"/>
          <w:w w:val="110"/>
        </w:rPr>
        <w:t> </w:t>
      </w:r>
      <w:r>
        <w:rPr>
          <w:color w:val="231F20"/>
          <w:w w:val="110"/>
        </w:rPr>
        <w:t>2010:</w:t>
      </w:r>
      <w:r>
        <w:rPr>
          <w:color w:val="231F20"/>
          <w:spacing w:val="1"/>
          <w:w w:val="110"/>
        </w:rPr>
        <w:t> </w:t>
      </w:r>
      <w:r>
        <w:rPr>
          <w:color w:val="231F20"/>
          <w:w w:val="110"/>
        </w:rPr>
        <w:t>3).</w:t>
      </w:r>
      <w:r>
        <w:rPr>
          <w:color w:val="231F20"/>
          <w:w w:val="112"/>
        </w:rPr>
        <w:t> </w:t>
      </w:r>
      <w:r>
        <w:rPr>
          <w:color w:val="231F20"/>
          <w:w w:val="110"/>
        </w:rPr>
        <w:t>En</w:t>
      </w:r>
      <w:r>
        <w:rPr>
          <w:color w:val="231F20"/>
          <w:spacing w:val="-12"/>
          <w:w w:val="110"/>
        </w:rPr>
        <w:t> </w:t>
      </w:r>
      <w:r>
        <w:rPr>
          <w:color w:val="231F20"/>
          <w:w w:val="110"/>
        </w:rPr>
        <w:t>contraste,</w:t>
      </w:r>
      <w:r>
        <w:rPr>
          <w:color w:val="231F20"/>
          <w:spacing w:val="-12"/>
          <w:w w:val="110"/>
        </w:rPr>
        <w:t> </w:t>
      </w:r>
      <w:r>
        <w:rPr>
          <w:color w:val="231F20"/>
          <w:w w:val="110"/>
        </w:rPr>
        <w:t>en</w:t>
      </w:r>
      <w:r>
        <w:rPr>
          <w:color w:val="231F20"/>
          <w:spacing w:val="-12"/>
          <w:w w:val="110"/>
        </w:rPr>
        <w:t> </w:t>
      </w:r>
      <w:r>
        <w:rPr>
          <w:color w:val="231F20"/>
          <w:w w:val="110"/>
        </w:rPr>
        <w:t>pleno</w:t>
      </w:r>
      <w:r>
        <w:rPr>
          <w:color w:val="231F20"/>
          <w:spacing w:val="-12"/>
          <w:w w:val="110"/>
        </w:rPr>
        <w:t> </w:t>
      </w:r>
      <w:r>
        <w:rPr>
          <w:color w:val="231F20"/>
          <w:w w:val="110"/>
        </w:rPr>
        <w:t>siglo</w:t>
      </w:r>
      <w:r>
        <w:rPr>
          <w:color w:val="231F20"/>
          <w:spacing w:val="-12"/>
          <w:w w:val="110"/>
        </w:rPr>
        <w:t> </w:t>
      </w:r>
      <w:r>
        <w:rPr>
          <w:color w:val="231F20"/>
          <w:w w:val="110"/>
        </w:rPr>
        <w:t>xxi,</w:t>
      </w:r>
      <w:r>
        <w:rPr>
          <w:color w:val="231F20"/>
          <w:spacing w:val="-12"/>
          <w:w w:val="110"/>
        </w:rPr>
        <w:t> </w:t>
      </w:r>
      <w:r>
        <w:rPr>
          <w:color w:val="231F20"/>
          <w:w w:val="110"/>
        </w:rPr>
        <w:t>cuando</w:t>
      </w:r>
      <w:r>
        <w:rPr>
          <w:color w:val="231F20"/>
          <w:spacing w:val="-12"/>
          <w:w w:val="110"/>
        </w:rPr>
        <w:t> </w:t>
      </w:r>
      <w:r>
        <w:rPr>
          <w:color w:val="231F20"/>
          <w:w w:val="110"/>
        </w:rPr>
        <w:t>el</w:t>
      </w:r>
      <w:r>
        <w:rPr>
          <w:color w:val="231F20"/>
          <w:spacing w:val="-12"/>
          <w:w w:val="110"/>
        </w:rPr>
        <w:t> </w:t>
      </w:r>
      <w:r>
        <w:rPr>
          <w:color w:val="231F20"/>
          <w:w w:val="110"/>
        </w:rPr>
        <w:t>nivel</w:t>
      </w:r>
      <w:r>
        <w:rPr>
          <w:color w:val="231F20"/>
          <w:spacing w:val="-12"/>
          <w:w w:val="110"/>
        </w:rPr>
        <w:t> </w:t>
      </w:r>
      <w:r>
        <w:rPr>
          <w:color w:val="231F20"/>
          <w:w w:val="110"/>
        </w:rPr>
        <w:t>de</w:t>
      </w:r>
      <w:r>
        <w:rPr>
          <w:color w:val="231F20"/>
          <w:spacing w:val="-12"/>
          <w:w w:val="110"/>
        </w:rPr>
        <w:t> </w:t>
      </w:r>
      <w:r>
        <w:rPr>
          <w:color w:val="231F20"/>
          <w:w w:val="110"/>
        </w:rPr>
        <w:t>sindicalización</w:t>
      </w:r>
      <w:r>
        <w:rPr>
          <w:color w:val="231F20"/>
          <w:w w:val="106"/>
        </w:rPr>
        <w:t> </w:t>
      </w:r>
      <w:r>
        <w:rPr>
          <w:color w:val="231F20"/>
          <w:w w:val="110"/>
        </w:rPr>
        <w:t>en el sector privado (2009) ha llegado a la menor cifra</w:t>
      </w:r>
      <w:r>
        <w:rPr>
          <w:color w:val="231F20"/>
          <w:spacing w:val="44"/>
          <w:w w:val="110"/>
        </w:rPr>
        <w:t> </w:t>
      </w:r>
      <w:r>
        <w:rPr>
          <w:color w:val="231F20"/>
          <w:w w:val="110"/>
        </w:rPr>
        <w:t>desde</w:t>
      </w:r>
      <w:r>
        <w:rPr>
          <w:color w:val="231F20"/>
          <w:spacing w:val="14"/>
          <w:w w:val="110"/>
        </w:rPr>
        <w:t> </w:t>
      </w:r>
      <w:r>
        <w:rPr>
          <w:color w:val="231F20"/>
          <w:w w:val="110"/>
        </w:rPr>
        <w:t>1900</w:t>
      </w:r>
      <w:r>
        <w:rPr>
          <w:color w:val="231F20"/>
          <w:w w:val="104"/>
        </w:rPr>
        <w:t> </w:t>
      </w:r>
      <w:r>
        <w:rPr>
          <w:color w:val="231F20"/>
          <w:w w:val="110"/>
        </w:rPr>
        <w:t>(solamente</w:t>
      </w:r>
      <w:r>
        <w:rPr>
          <w:color w:val="231F20"/>
          <w:spacing w:val="-9"/>
          <w:w w:val="110"/>
        </w:rPr>
        <w:t> </w:t>
      </w:r>
      <w:r>
        <w:rPr>
          <w:color w:val="231F20"/>
          <w:w w:val="110"/>
        </w:rPr>
        <w:t>7.2%),</w:t>
      </w:r>
      <w:r>
        <w:rPr>
          <w:color w:val="231F20"/>
          <w:spacing w:val="-9"/>
          <w:w w:val="110"/>
        </w:rPr>
        <w:t> </w:t>
      </w:r>
      <w:r>
        <w:rPr>
          <w:color w:val="231F20"/>
          <w:w w:val="110"/>
        </w:rPr>
        <w:t>el</w:t>
      </w:r>
      <w:r>
        <w:rPr>
          <w:color w:val="231F20"/>
          <w:spacing w:val="-9"/>
          <w:w w:val="110"/>
        </w:rPr>
        <w:t> </w:t>
      </w:r>
      <w:r>
        <w:rPr>
          <w:color w:val="231F20"/>
          <w:w w:val="110"/>
        </w:rPr>
        <w:t>director</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organización</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grandes</w:t>
      </w:r>
      <w:r>
        <w:rPr>
          <w:color w:val="231F20"/>
          <w:spacing w:val="-9"/>
          <w:w w:val="110"/>
        </w:rPr>
        <w:t> </w:t>
      </w:r>
      <w:r>
        <w:rPr>
          <w:color w:val="231F20"/>
          <w:w w:val="110"/>
        </w:rPr>
        <w:t>em-</w:t>
      </w:r>
      <w:r>
        <w:rPr>
          <w:color w:val="231F20"/>
          <w:w w:val="72"/>
        </w:rPr>
        <w:t> </w:t>
      </w:r>
      <w:r>
        <w:rPr>
          <w:color w:val="231F20"/>
          <w:w w:val="110"/>
        </w:rPr>
        <w:t>presas opuesto a una iniciativa sindical para mejorar</w:t>
      </w:r>
      <w:r>
        <w:rPr>
          <w:color w:val="231F20"/>
          <w:spacing w:val="25"/>
          <w:w w:val="110"/>
        </w:rPr>
        <w:t> </w:t>
      </w:r>
      <w:r>
        <w:rPr>
          <w:color w:val="231F20"/>
          <w:w w:val="110"/>
        </w:rPr>
        <w:t>su</w:t>
      </w:r>
      <w:r>
        <w:rPr>
          <w:color w:val="231F20"/>
          <w:spacing w:val="3"/>
          <w:w w:val="110"/>
        </w:rPr>
        <w:t> </w:t>
      </w:r>
      <w:r>
        <w:rPr>
          <w:color w:val="231F20"/>
          <w:w w:val="110"/>
        </w:rPr>
        <w:t>capacidades</w:t>
      </w:r>
      <w:r>
        <w:rPr>
          <w:color w:val="231F20"/>
          <w:w w:val="108"/>
        </w:rPr>
        <w:t> </w:t>
      </w:r>
      <w:r>
        <w:rPr>
          <w:color w:val="231F20"/>
          <w:w w:val="110"/>
        </w:rPr>
        <w:t>en</w:t>
      </w:r>
      <w:r>
        <w:rPr>
          <w:color w:val="231F20"/>
          <w:spacing w:val="-14"/>
          <w:w w:val="110"/>
        </w:rPr>
        <w:t> </w:t>
      </w:r>
      <w:r>
        <w:rPr>
          <w:color w:val="231F20"/>
          <w:w w:val="110"/>
        </w:rPr>
        <w:t>las</w:t>
      </w:r>
      <w:r>
        <w:rPr>
          <w:color w:val="231F20"/>
          <w:spacing w:val="-14"/>
          <w:w w:val="110"/>
        </w:rPr>
        <w:t> </w:t>
      </w:r>
      <w:r>
        <w:rPr>
          <w:color w:val="231F20"/>
          <w:w w:val="110"/>
        </w:rPr>
        <w:t>negociaciones</w:t>
      </w:r>
      <w:r>
        <w:rPr>
          <w:color w:val="231F20"/>
          <w:spacing w:val="-14"/>
          <w:w w:val="110"/>
        </w:rPr>
        <w:t> </w:t>
      </w:r>
      <w:r>
        <w:rPr>
          <w:color w:val="231F20"/>
          <w:w w:val="110"/>
        </w:rPr>
        <w:t>planteo</w:t>
      </w:r>
      <w:r>
        <w:rPr>
          <w:color w:val="231F20"/>
          <w:spacing w:val="-14"/>
          <w:w w:val="110"/>
        </w:rPr>
        <w:t> </w:t>
      </w:r>
      <w:r>
        <w:rPr>
          <w:color w:val="231F20"/>
          <w:w w:val="110"/>
        </w:rPr>
        <w:t>que:</w:t>
      </w:r>
      <w:r>
        <w:rPr>
          <w:color w:val="231F20"/>
          <w:spacing w:val="-14"/>
          <w:w w:val="110"/>
        </w:rPr>
        <w:t> </w:t>
      </w:r>
      <w:r>
        <w:rPr>
          <w:color w:val="231F20"/>
          <w:w w:val="110"/>
        </w:rPr>
        <w:t>“Ser</w:t>
      </w:r>
      <w:r>
        <w:rPr>
          <w:color w:val="231F20"/>
          <w:spacing w:val="-14"/>
          <w:w w:val="110"/>
        </w:rPr>
        <w:t> </w:t>
      </w:r>
      <w:r>
        <w:rPr>
          <w:color w:val="231F20"/>
          <w:w w:val="110"/>
        </w:rPr>
        <w:t>miembro</w:t>
      </w:r>
      <w:r>
        <w:rPr>
          <w:color w:val="231F20"/>
          <w:spacing w:val="-14"/>
          <w:w w:val="110"/>
        </w:rPr>
        <w:t> </w:t>
      </w:r>
      <w:r>
        <w:rPr>
          <w:color w:val="231F20"/>
          <w:w w:val="110"/>
        </w:rPr>
        <w:t>de</w:t>
      </w:r>
      <w:r>
        <w:rPr>
          <w:color w:val="231F20"/>
          <w:spacing w:val="-14"/>
          <w:w w:val="110"/>
        </w:rPr>
        <w:t> </w:t>
      </w:r>
      <w:r>
        <w:rPr>
          <w:color w:val="231F20"/>
          <w:w w:val="110"/>
        </w:rPr>
        <w:t>un</w:t>
      </w:r>
      <w:r>
        <w:rPr>
          <w:color w:val="231F20"/>
          <w:spacing w:val="-14"/>
          <w:w w:val="110"/>
        </w:rPr>
        <w:t> </w:t>
      </w:r>
      <w:r>
        <w:rPr>
          <w:color w:val="231F20"/>
          <w:w w:val="110"/>
        </w:rPr>
        <w:t>sindicato</w:t>
      </w:r>
      <w:r>
        <w:rPr>
          <w:color w:val="231F20"/>
          <w:spacing w:val="-14"/>
          <w:w w:val="110"/>
        </w:rPr>
        <w:t> </w:t>
      </w:r>
      <w:r>
        <w:rPr>
          <w:color w:val="231F20"/>
          <w:w w:val="110"/>
        </w:rPr>
        <w:t>es</w:t>
      </w:r>
      <w:r>
        <w:rPr>
          <w:color w:val="231F20"/>
          <w:spacing w:val="-14"/>
          <w:w w:val="110"/>
        </w:rPr>
        <w:t> </w:t>
      </w:r>
      <w:r>
        <w:rPr>
          <w:color w:val="231F20"/>
          <w:w w:val="110"/>
        </w:rPr>
        <w:t>un</w:t>
      </w:r>
      <w:r>
        <w:rPr>
          <w:color w:val="231F20"/>
          <w:w w:val="118"/>
        </w:rPr>
        <w:t> </w:t>
      </w:r>
      <w:r>
        <w:rPr>
          <w:color w:val="231F20"/>
          <w:w w:val="110"/>
        </w:rPr>
        <w:t>concepto anticuado para la mayoría de los</w:t>
      </w:r>
      <w:r>
        <w:rPr>
          <w:color w:val="231F20"/>
          <w:spacing w:val="20"/>
          <w:w w:val="110"/>
        </w:rPr>
        <w:t> </w:t>
      </w:r>
      <w:r>
        <w:rPr>
          <w:color w:val="231F20"/>
          <w:w w:val="110"/>
        </w:rPr>
        <w:t>obreros</w:t>
      </w:r>
      <w:r>
        <w:rPr>
          <w:color w:val="231F20"/>
          <w:spacing w:val="18"/>
          <w:w w:val="110"/>
        </w:rPr>
        <w:t> </w:t>
      </w:r>
      <w:r>
        <w:rPr>
          <w:color w:val="231F20"/>
          <w:w w:val="110"/>
        </w:rPr>
        <w:t>estadunidenses.</w:t>
      </w:r>
      <w:r>
        <w:rPr>
          <w:color w:val="231F20"/>
          <w:w w:val="109"/>
        </w:rPr>
        <w:t> </w:t>
      </w:r>
      <w:r>
        <w:rPr>
          <w:color w:val="231F20"/>
          <w:w w:val="110"/>
        </w:rPr>
        <w:t>Es</w:t>
      </w:r>
      <w:r>
        <w:rPr>
          <w:color w:val="231F20"/>
          <w:spacing w:val="22"/>
          <w:w w:val="110"/>
        </w:rPr>
        <w:t> </w:t>
      </w:r>
      <w:r>
        <w:rPr>
          <w:color w:val="231F20"/>
          <w:w w:val="110"/>
        </w:rPr>
        <w:t>una</w:t>
      </w:r>
      <w:r>
        <w:rPr>
          <w:color w:val="231F20"/>
          <w:spacing w:val="22"/>
          <w:w w:val="110"/>
        </w:rPr>
        <w:t> </w:t>
      </w:r>
      <w:r>
        <w:rPr>
          <w:color w:val="231F20"/>
          <w:w w:val="110"/>
        </w:rPr>
        <w:t>reliquia</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relaciones</w:t>
      </w:r>
      <w:r>
        <w:rPr>
          <w:color w:val="231F20"/>
          <w:spacing w:val="22"/>
          <w:w w:val="110"/>
        </w:rPr>
        <w:t> </w:t>
      </w:r>
      <w:r>
        <w:rPr>
          <w:color w:val="231F20"/>
          <w:w w:val="110"/>
        </w:rPr>
        <w:t>trabajo-patronales</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era</w:t>
      </w:r>
      <w:r>
        <w:rPr>
          <w:color w:val="231F20"/>
          <w:spacing w:val="22"/>
          <w:w w:val="110"/>
        </w:rPr>
        <w:t> </w:t>
      </w:r>
      <w:r>
        <w:rPr>
          <w:color w:val="231F20"/>
          <w:w w:val="110"/>
        </w:rPr>
        <w:t>de</w:t>
      </w:r>
      <w:r>
        <w:rPr>
          <w:color w:val="231F20"/>
          <w:spacing w:val="22"/>
          <w:w w:val="110"/>
        </w:rPr>
        <w:t> </w:t>
      </w:r>
      <w:r>
        <w:rPr>
          <w:color w:val="231F20"/>
          <w:w w:val="110"/>
        </w:rPr>
        <w:t>la</w:t>
      </w:r>
      <w:r>
        <w:rPr>
          <w:color w:val="231F20"/>
          <w:w w:val="105"/>
        </w:rPr>
        <w:t> </w:t>
      </w:r>
      <w:r>
        <w:rPr>
          <w:color w:val="231F20"/>
          <w:w w:val="110"/>
        </w:rPr>
        <w:t>depresión”</w:t>
      </w:r>
      <w:r>
        <w:rPr>
          <w:color w:val="231F20"/>
          <w:spacing w:val="-25"/>
          <w:w w:val="110"/>
        </w:rPr>
        <w:t> </w:t>
      </w:r>
      <w:r>
        <w:rPr>
          <w:color w:val="231F20"/>
          <w:w w:val="110"/>
        </w:rPr>
        <w:t>(Greenhouse,</w:t>
      </w:r>
      <w:r>
        <w:rPr>
          <w:color w:val="231F20"/>
          <w:spacing w:val="-25"/>
          <w:w w:val="110"/>
        </w:rPr>
        <w:t> </w:t>
      </w:r>
      <w:r>
        <w:rPr>
          <w:color w:val="231F20"/>
          <w:w w:val="110"/>
        </w:rPr>
        <w:t>2010:</w:t>
      </w:r>
      <w:r>
        <w:rPr>
          <w:color w:val="231F20"/>
          <w:spacing w:val="-25"/>
          <w:w w:val="110"/>
        </w:rPr>
        <w:t> </w:t>
      </w:r>
      <w:r>
        <w:rPr>
          <w:color w:val="231F20"/>
          <w:w w:val="110"/>
        </w:rPr>
        <w:t>B1).</w:t>
      </w:r>
      <w:r>
        <w:rPr>
          <w:color w:val="231F20"/>
          <w:spacing w:val="-25"/>
          <w:w w:val="110"/>
        </w:rPr>
        <w:t> </w:t>
      </w:r>
      <w:r>
        <w:rPr>
          <w:color w:val="231F20"/>
          <w:w w:val="110"/>
        </w:rPr>
        <w:t>Sin</w:t>
      </w:r>
      <w:r>
        <w:rPr>
          <w:color w:val="231F20"/>
          <w:spacing w:val="-25"/>
          <w:w w:val="110"/>
        </w:rPr>
        <w:t> </w:t>
      </w:r>
      <w:r>
        <w:rPr>
          <w:color w:val="231F20"/>
          <w:w w:val="110"/>
        </w:rPr>
        <w:t>duda,</w:t>
      </w:r>
      <w:r>
        <w:rPr>
          <w:color w:val="231F20"/>
          <w:spacing w:val="-25"/>
          <w:w w:val="110"/>
        </w:rPr>
        <w:t> </w:t>
      </w:r>
      <w:r>
        <w:rPr>
          <w:color w:val="231F20"/>
          <w:w w:val="110"/>
        </w:rPr>
        <w:t>hoy</w:t>
      </w:r>
      <w:r>
        <w:rPr>
          <w:color w:val="231F20"/>
          <w:spacing w:val="-25"/>
          <w:w w:val="110"/>
        </w:rPr>
        <w:t> </w:t>
      </w:r>
      <w:r>
        <w:rPr>
          <w:color w:val="231F20"/>
          <w:w w:val="110"/>
        </w:rPr>
        <w:t>en</w:t>
      </w:r>
      <w:r>
        <w:rPr>
          <w:color w:val="231F20"/>
          <w:spacing w:val="-25"/>
          <w:w w:val="110"/>
        </w:rPr>
        <w:t> </w:t>
      </w:r>
      <w:r>
        <w:rPr>
          <w:color w:val="231F20"/>
          <w:w w:val="110"/>
        </w:rPr>
        <w:t>día</w:t>
      </w:r>
      <w:r>
        <w:rPr>
          <w:color w:val="231F20"/>
          <w:spacing w:val="-25"/>
          <w:w w:val="110"/>
        </w:rPr>
        <w:t> </w:t>
      </w:r>
      <w:r>
        <w:rPr>
          <w:color w:val="231F20"/>
          <w:w w:val="110"/>
        </w:rPr>
        <w:t>el</w:t>
      </w:r>
      <w:r>
        <w:rPr>
          <w:color w:val="231F20"/>
          <w:spacing w:val="-25"/>
          <w:w w:val="110"/>
        </w:rPr>
        <w:t> </w:t>
      </w:r>
      <w:r>
        <w:rPr>
          <w:i/>
          <w:color w:val="231F20"/>
          <w:spacing w:val="-3"/>
          <w:w w:val="110"/>
        </w:rPr>
        <w:t>Tratado</w:t>
      </w:r>
      <w:r>
        <w:rPr>
          <w:i/>
          <w:color w:val="231F20"/>
          <w:spacing w:val="-25"/>
          <w:w w:val="110"/>
        </w:rPr>
        <w:t> </w:t>
      </w:r>
      <w:r>
        <w:rPr>
          <w:i/>
          <w:color w:val="231F20"/>
          <w:w w:val="110"/>
        </w:rPr>
        <w:t>de</w:t>
      </w:r>
      <w:r>
        <w:rPr>
          <w:i/>
          <w:color w:val="231F20"/>
          <w:w w:val="88"/>
        </w:rPr>
        <w:t> </w:t>
      </w:r>
      <w:r>
        <w:rPr>
          <w:i/>
          <w:color w:val="231F20"/>
          <w:w w:val="110"/>
        </w:rPr>
        <w:t>Detroit</w:t>
      </w:r>
      <w:r>
        <w:rPr>
          <w:i/>
          <w:color w:val="231F20"/>
          <w:spacing w:val="-18"/>
          <w:w w:val="110"/>
        </w:rPr>
        <w:t> </w:t>
      </w:r>
      <w:r>
        <w:rPr>
          <w:color w:val="231F20"/>
          <w:w w:val="110"/>
        </w:rPr>
        <w:t>es</w:t>
      </w:r>
      <w:r>
        <w:rPr>
          <w:color w:val="231F20"/>
          <w:spacing w:val="-18"/>
          <w:w w:val="110"/>
        </w:rPr>
        <w:t> </w:t>
      </w:r>
      <w:r>
        <w:rPr>
          <w:color w:val="231F20"/>
          <w:w w:val="110"/>
        </w:rPr>
        <w:t>una</w:t>
      </w:r>
      <w:r>
        <w:rPr>
          <w:color w:val="231F20"/>
          <w:spacing w:val="-18"/>
          <w:w w:val="110"/>
        </w:rPr>
        <w:t> </w:t>
      </w:r>
      <w:r>
        <w:rPr>
          <w:color w:val="231F20"/>
          <w:w w:val="110"/>
        </w:rPr>
        <w:t>reliquia</w:t>
      </w:r>
      <w:r>
        <w:rPr>
          <w:color w:val="231F20"/>
          <w:spacing w:val="-18"/>
          <w:w w:val="110"/>
        </w:rPr>
        <w:t> </w:t>
      </w:r>
      <w:r>
        <w:rPr>
          <w:color w:val="231F20"/>
          <w:w w:val="110"/>
        </w:rPr>
        <w:t>y</w:t>
      </w:r>
      <w:r>
        <w:rPr>
          <w:color w:val="231F20"/>
          <w:spacing w:val="-18"/>
          <w:w w:val="110"/>
        </w:rPr>
        <w:t> </w:t>
      </w:r>
      <w:r>
        <w:rPr>
          <w:color w:val="231F20"/>
          <w:w w:val="110"/>
        </w:rPr>
        <w:t>este</w:t>
      </w:r>
      <w:r>
        <w:rPr>
          <w:color w:val="231F20"/>
          <w:spacing w:val="-18"/>
          <w:w w:val="110"/>
        </w:rPr>
        <w:t> </w:t>
      </w:r>
      <w:r>
        <w:rPr>
          <w:color w:val="231F20"/>
          <w:w w:val="110"/>
        </w:rPr>
        <w:t>ha</w:t>
      </w:r>
      <w:r>
        <w:rPr>
          <w:color w:val="231F20"/>
          <w:spacing w:val="-18"/>
          <w:w w:val="110"/>
        </w:rPr>
        <w:t> </w:t>
      </w:r>
      <w:r>
        <w:rPr>
          <w:color w:val="231F20"/>
          <w:w w:val="110"/>
        </w:rPr>
        <w:t>sido</w:t>
      </w:r>
      <w:r>
        <w:rPr>
          <w:color w:val="231F20"/>
          <w:spacing w:val="-18"/>
          <w:w w:val="110"/>
        </w:rPr>
        <w:t> </w:t>
      </w:r>
      <w:r>
        <w:rPr>
          <w:color w:val="231F20"/>
          <w:w w:val="110"/>
        </w:rPr>
        <w:t>el</w:t>
      </w:r>
      <w:r>
        <w:rPr>
          <w:color w:val="231F20"/>
          <w:spacing w:val="-18"/>
          <w:w w:val="110"/>
        </w:rPr>
        <w:t> </w:t>
      </w:r>
      <w:r>
        <w:rPr>
          <w:color w:val="231F20"/>
          <w:w w:val="110"/>
        </w:rPr>
        <w:t>caso</w:t>
      </w:r>
      <w:r>
        <w:rPr>
          <w:color w:val="231F20"/>
          <w:spacing w:val="-18"/>
          <w:w w:val="110"/>
        </w:rPr>
        <w:t> </w:t>
      </w:r>
      <w:r>
        <w:rPr>
          <w:color w:val="231F20"/>
          <w:w w:val="110"/>
        </w:rPr>
        <w:t>a</w:t>
      </w:r>
      <w:r>
        <w:rPr>
          <w:color w:val="231F20"/>
          <w:spacing w:val="-18"/>
          <w:w w:val="110"/>
        </w:rPr>
        <w:t> </w:t>
      </w:r>
      <w:r>
        <w:rPr>
          <w:color w:val="231F20"/>
          <w:w w:val="110"/>
        </w:rPr>
        <w:t>nivel</w:t>
      </w:r>
      <w:r>
        <w:rPr>
          <w:color w:val="231F20"/>
          <w:spacing w:val="-18"/>
          <w:w w:val="110"/>
        </w:rPr>
        <w:t> </w:t>
      </w:r>
      <w:r>
        <w:rPr>
          <w:color w:val="231F20"/>
          <w:w w:val="110"/>
        </w:rPr>
        <w:t>institucional</w:t>
      </w:r>
      <w:r>
        <w:rPr>
          <w:color w:val="231F20"/>
          <w:spacing w:val="-18"/>
          <w:w w:val="110"/>
        </w:rPr>
        <w:t> </w:t>
      </w:r>
      <w:r>
        <w:rPr>
          <w:color w:val="231F20"/>
          <w:w w:val="110"/>
        </w:rPr>
        <w:t>desde</w:t>
      </w:r>
      <w:r>
        <w:rPr>
          <w:color w:val="231F20"/>
          <w:w w:val="110"/>
        </w:rPr>
        <w:t> </w:t>
      </w:r>
      <w:r>
        <w:rPr>
          <w:color w:val="231F20"/>
          <w:w w:val="110"/>
        </w:rPr>
        <w:t>principios de periodo presidencial de Ronald Reagan   </w:t>
      </w:r>
      <w:r>
        <w:rPr>
          <w:color w:val="231F20"/>
          <w:spacing w:val="23"/>
          <w:w w:val="110"/>
        </w:rPr>
        <w:t> </w:t>
      </w:r>
      <w:r>
        <w:rPr>
          <w:color w:val="231F20"/>
          <w:w w:val="110"/>
        </w:rPr>
        <w:t>(1981-1989)</w:t>
      </w:r>
    </w:p>
    <w:p>
      <w:pPr>
        <w:pStyle w:val="BodyText"/>
        <w:ind w:left="100"/>
        <w:jc w:val="both"/>
      </w:pPr>
      <w:r>
        <w:rPr>
          <w:color w:val="231F20"/>
          <w:w w:val="110"/>
        </w:rPr>
        <w:t>quien lanzó un ataque frontal en contra de los   sindicatos.</w:t>
      </w:r>
    </w:p>
    <w:p>
      <w:pPr>
        <w:pStyle w:val="BodyText"/>
      </w:pPr>
    </w:p>
    <w:p>
      <w:pPr>
        <w:pStyle w:val="BodyText"/>
      </w:pPr>
    </w:p>
    <w:p>
      <w:pPr>
        <w:pStyle w:val="BodyText"/>
        <w:spacing w:before="11"/>
        <w:rPr>
          <w:sz w:val="26"/>
        </w:rPr>
      </w:pPr>
    </w:p>
    <w:p>
      <w:pPr>
        <w:pStyle w:val="BodyText"/>
        <w:ind w:left="100"/>
        <w:jc w:val="both"/>
      </w:pPr>
      <w:r>
        <w:rPr>
          <w:color w:val="231F20"/>
          <w:w w:val="130"/>
        </w:rPr>
        <w:t>la edad dorada</w:t>
      </w:r>
    </w:p>
    <w:p>
      <w:pPr>
        <w:pStyle w:val="BodyText"/>
        <w:spacing w:before="5"/>
        <w:rPr>
          <w:sz w:val="23"/>
        </w:rPr>
      </w:pPr>
    </w:p>
    <w:p>
      <w:pPr>
        <w:pStyle w:val="BodyText"/>
        <w:spacing w:line="261" w:lineRule="auto"/>
        <w:ind w:left="100" w:right="117"/>
        <w:jc w:val="both"/>
      </w:pPr>
      <w:r>
        <w:rPr>
          <w:color w:val="231F20"/>
          <w:w w:val="105"/>
        </w:rPr>
        <w:t>Como resultado del acuerdo capital-trabajo creado  entre  1935  y  1950 (y por los efectos de una nueva ola de innovaciones mayores    que impulsó la formación masiva de capital) los más enterados ha-   cen referencias de la construcción de una </w:t>
      </w:r>
      <w:r>
        <w:rPr>
          <w:i/>
          <w:color w:val="231F20"/>
          <w:w w:val="105"/>
        </w:rPr>
        <w:t>nueva estructura social de </w:t>
      </w:r>
      <w:r>
        <w:rPr>
          <w:i/>
          <w:color w:val="231F20"/>
          <w:w w:val="105"/>
        </w:rPr>
        <w:t>acumulación. </w:t>
      </w:r>
      <w:r>
        <w:rPr>
          <w:color w:val="231F20"/>
          <w:w w:val="105"/>
        </w:rPr>
        <w:t>Esta “Edad de Oro” duró de 1947 a 1973. Durante estos años</w:t>
      </w:r>
      <w:r>
        <w:rPr>
          <w:color w:val="231F20"/>
          <w:spacing w:val="23"/>
          <w:w w:val="105"/>
        </w:rPr>
        <w:t> </w:t>
      </w:r>
      <w:r>
        <w:rPr>
          <w:color w:val="231F20"/>
          <w:w w:val="105"/>
        </w:rPr>
        <w:t>la</w:t>
      </w:r>
      <w:r>
        <w:rPr>
          <w:color w:val="231F20"/>
          <w:spacing w:val="23"/>
          <w:w w:val="105"/>
        </w:rPr>
        <w:t> </w:t>
      </w:r>
      <w:r>
        <w:rPr>
          <w:color w:val="231F20"/>
          <w:w w:val="105"/>
        </w:rPr>
        <w:t>tasa</w:t>
      </w:r>
      <w:r>
        <w:rPr>
          <w:color w:val="231F20"/>
          <w:spacing w:val="23"/>
          <w:w w:val="105"/>
        </w:rPr>
        <w:t> </w:t>
      </w:r>
      <w:r>
        <w:rPr>
          <w:color w:val="231F20"/>
          <w:w w:val="105"/>
        </w:rPr>
        <w:t>de</w:t>
      </w:r>
      <w:r>
        <w:rPr>
          <w:color w:val="231F20"/>
          <w:spacing w:val="23"/>
          <w:w w:val="105"/>
        </w:rPr>
        <w:t> </w:t>
      </w:r>
      <w:r>
        <w:rPr>
          <w:color w:val="231F20"/>
          <w:w w:val="105"/>
        </w:rPr>
        <w:t>crecimiento</w:t>
      </w:r>
      <w:r>
        <w:rPr>
          <w:color w:val="231F20"/>
          <w:spacing w:val="23"/>
          <w:w w:val="105"/>
        </w:rPr>
        <w:t> </w:t>
      </w:r>
      <w:r>
        <w:rPr>
          <w:color w:val="231F20"/>
          <w:w w:val="105"/>
        </w:rPr>
        <w:t>real</w:t>
      </w:r>
      <w:r>
        <w:rPr>
          <w:color w:val="231F20"/>
          <w:spacing w:val="23"/>
          <w:w w:val="105"/>
        </w:rPr>
        <w:t> </w:t>
      </w:r>
      <w:r>
        <w:rPr>
          <w:color w:val="231F20"/>
          <w:w w:val="105"/>
        </w:rPr>
        <w:t>del</w:t>
      </w:r>
      <w:r>
        <w:rPr>
          <w:color w:val="231F20"/>
          <w:spacing w:val="23"/>
          <w:w w:val="105"/>
        </w:rPr>
        <w:t> </w:t>
      </w:r>
      <w:r>
        <w:rPr>
          <w:color w:val="231F20"/>
          <w:w w:val="105"/>
        </w:rPr>
        <w:t>pib</w:t>
      </w:r>
      <w:r>
        <w:rPr>
          <w:color w:val="231F20"/>
          <w:spacing w:val="23"/>
          <w:w w:val="105"/>
        </w:rPr>
        <w:t> </w:t>
      </w:r>
      <w:r>
        <w:rPr>
          <w:color w:val="231F20"/>
          <w:w w:val="105"/>
        </w:rPr>
        <w:t>fue</w:t>
      </w:r>
      <w:r>
        <w:rPr>
          <w:color w:val="231F20"/>
          <w:spacing w:val="23"/>
          <w:w w:val="105"/>
        </w:rPr>
        <w:t> </w:t>
      </w:r>
      <w:r>
        <w:rPr>
          <w:color w:val="231F20"/>
          <w:w w:val="105"/>
        </w:rPr>
        <w:t>impresionante</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creci-</w:t>
      </w:r>
    </w:p>
    <w:p>
      <w:pPr>
        <w:spacing w:after="0" w:line="261" w:lineRule="auto"/>
        <w:jc w:val="both"/>
        <w:sectPr>
          <w:headerReference w:type="even" r:id="rId249"/>
          <w:headerReference w:type="default" r:id="rId250"/>
          <w:pgSz w:w="7640" w:h="11900"/>
          <w:pgMar w:header="672" w:footer="0" w:top="860" w:bottom="280" w:left="780" w:right="640"/>
          <w:pgNumType w:start="322"/>
        </w:sectPr>
      </w:pPr>
    </w:p>
    <w:p>
      <w:pPr>
        <w:pStyle w:val="BodyText"/>
        <w:spacing w:before="8"/>
        <w:rPr>
          <w:sz w:val="8"/>
        </w:rPr>
      </w:pPr>
    </w:p>
    <w:p>
      <w:pPr>
        <w:pStyle w:val="BodyText"/>
        <w:spacing w:line="261" w:lineRule="auto" w:before="67"/>
        <w:ind w:left="73" w:right="117"/>
        <w:jc w:val="right"/>
      </w:pPr>
      <w:r>
        <w:rPr>
          <w:color w:val="231F20"/>
          <w:w w:val="110"/>
        </w:rPr>
        <w:t>miento fue compartido en una forma más o menos igual por todos</w:t>
      </w:r>
      <w:r>
        <w:rPr>
          <w:color w:val="231F20"/>
          <w:w w:val="109"/>
        </w:rPr>
        <w:t> </w:t>
      </w:r>
      <w:r>
        <w:rPr>
          <w:color w:val="231F20"/>
          <w:w w:val="110"/>
        </w:rPr>
        <w:t>los estratos sociales: el crecimiento real del pib fue casi de 4%, el</w:t>
      </w:r>
      <w:r>
        <w:rPr>
          <w:color w:val="231F20"/>
          <w:w w:val="108"/>
        </w:rPr>
        <w:t> </w:t>
      </w:r>
      <w:r>
        <w:rPr>
          <w:color w:val="231F20"/>
          <w:w w:val="110"/>
        </w:rPr>
        <w:t>aumento anual promedio de los ingresos por hora de 80%, la fuerza</w:t>
      </w:r>
      <w:r>
        <w:rPr>
          <w:color w:val="231F20"/>
          <w:w w:val="108"/>
        </w:rPr>
        <w:t> </w:t>
      </w:r>
      <w:r>
        <w:rPr>
          <w:color w:val="231F20"/>
          <w:w w:val="110"/>
        </w:rPr>
        <w:t>de trabajo (los obreros en la producción) estaba por arriba de 2% en</w:t>
      </w:r>
      <w:r>
        <w:rPr>
          <w:color w:val="231F20"/>
          <w:w w:val="116"/>
        </w:rPr>
        <w:t> </w:t>
      </w:r>
      <w:r>
        <w:rPr>
          <w:color w:val="231F20"/>
          <w:w w:val="110"/>
        </w:rPr>
        <w:t>tasas reales y a la par con los aumentos en la productividad  laboral.</w:t>
      </w:r>
    </w:p>
    <w:p>
      <w:pPr>
        <w:pStyle w:val="BodyText"/>
        <w:spacing w:line="261" w:lineRule="auto"/>
        <w:ind w:left="100" w:right="118" w:firstLine="252"/>
        <w:jc w:val="both"/>
      </w:pPr>
      <w:r>
        <w:rPr>
          <w:color w:val="231F20"/>
          <w:w w:val="105"/>
        </w:rPr>
        <w:t>Los autores ortodoxos, Levy y Temin, pusieron énfasis en dos atributos  de  la época:</w:t>
      </w:r>
    </w:p>
    <w:p>
      <w:pPr>
        <w:pStyle w:val="BodyText"/>
        <w:spacing w:before="10"/>
      </w:pPr>
    </w:p>
    <w:p>
      <w:pPr>
        <w:pStyle w:val="ListParagraph"/>
        <w:numPr>
          <w:ilvl w:val="0"/>
          <w:numId w:val="7"/>
        </w:numPr>
        <w:tabs>
          <w:tab w:pos="460" w:val="left" w:leader="none"/>
        </w:tabs>
        <w:spacing w:line="261" w:lineRule="auto" w:before="0" w:after="0"/>
        <w:ind w:left="460" w:right="117" w:hanging="160"/>
        <w:jc w:val="both"/>
        <w:rPr>
          <w:sz w:val="20"/>
        </w:rPr>
      </w:pPr>
      <w:r>
        <w:rPr>
          <w:i/>
          <w:color w:val="231F20"/>
          <w:w w:val="105"/>
          <w:sz w:val="20"/>
        </w:rPr>
        <w:t>Una clase media creciente. </w:t>
      </w:r>
      <w:r>
        <w:rPr>
          <w:color w:val="231F20"/>
          <w:w w:val="105"/>
          <w:sz w:val="20"/>
        </w:rPr>
        <w:t>Hasta 1964, 44% de la población se autodefinía como parte de la clase media, muy por encima de      los que se definían en 1952, 37%. La clase media creciente [re- flejó] el crecimiento rápido del ingreso, por lo que más familias pudieron permitirse una casa particular, uno o más automóviles     y</w:t>
      </w:r>
      <w:r>
        <w:rPr>
          <w:color w:val="231F20"/>
          <w:spacing w:val="22"/>
          <w:w w:val="105"/>
          <w:sz w:val="20"/>
        </w:rPr>
        <w:t> </w:t>
      </w:r>
      <w:r>
        <w:rPr>
          <w:color w:val="231F20"/>
          <w:w w:val="105"/>
          <w:sz w:val="20"/>
        </w:rPr>
        <w:t>otros</w:t>
      </w:r>
      <w:r>
        <w:rPr>
          <w:color w:val="231F20"/>
          <w:spacing w:val="22"/>
          <w:w w:val="105"/>
          <w:sz w:val="20"/>
        </w:rPr>
        <w:t> </w:t>
      </w:r>
      <w:r>
        <w:rPr>
          <w:color w:val="231F20"/>
          <w:w w:val="105"/>
          <w:sz w:val="20"/>
        </w:rPr>
        <w:t>elementos</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estilo</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vida</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esta</w:t>
      </w:r>
      <w:r>
        <w:rPr>
          <w:color w:val="231F20"/>
          <w:spacing w:val="22"/>
          <w:w w:val="105"/>
          <w:sz w:val="20"/>
        </w:rPr>
        <w:t> </w:t>
      </w:r>
      <w:r>
        <w:rPr>
          <w:color w:val="231F20"/>
          <w:w w:val="105"/>
          <w:sz w:val="20"/>
        </w:rPr>
        <w:t>clase.</w:t>
      </w:r>
    </w:p>
    <w:p>
      <w:pPr>
        <w:pStyle w:val="ListParagraph"/>
        <w:numPr>
          <w:ilvl w:val="0"/>
          <w:numId w:val="7"/>
        </w:numPr>
        <w:tabs>
          <w:tab w:pos="460" w:val="left" w:leader="none"/>
        </w:tabs>
        <w:spacing w:line="261" w:lineRule="auto" w:before="0" w:after="0"/>
        <w:ind w:left="460" w:right="117" w:hanging="160"/>
        <w:jc w:val="both"/>
        <w:rPr>
          <w:sz w:val="20"/>
        </w:rPr>
      </w:pPr>
      <w:r>
        <w:rPr>
          <w:i/>
          <w:color w:val="231F20"/>
          <w:w w:val="105"/>
          <w:sz w:val="20"/>
        </w:rPr>
        <w:t>Ascenso masivo de la escala social. </w:t>
      </w:r>
      <w:r>
        <w:rPr>
          <w:color w:val="231F20"/>
          <w:w w:val="105"/>
          <w:sz w:val="20"/>
        </w:rPr>
        <w:t>Ingresos subiendo</w:t>
      </w:r>
      <w:r>
        <w:rPr>
          <w:color w:val="231F20"/>
          <w:spacing w:val="-25"/>
          <w:w w:val="105"/>
          <w:sz w:val="20"/>
        </w:rPr>
        <w:t> </w:t>
      </w:r>
      <w:r>
        <w:rPr>
          <w:color w:val="231F20"/>
          <w:w w:val="105"/>
          <w:sz w:val="20"/>
        </w:rPr>
        <w:t>rápidamente crearon un ascenso masivo de la escala social, de tal magnitud,  que un operador de máquina de cuello azul, en los primeros años setenta ganó más en términos reales de lo que habían </w:t>
      </w:r>
      <w:r>
        <w:rPr>
          <w:color w:val="231F20"/>
          <w:spacing w:val="2"/>
          <w:w w:val="105"/>
          <w:sz w:val="20"/>
        </w:rPr>
        <w:t>ganado      </w:t>
      </w:r>
      <w:r>
        <w:rPr>
          <w:color w:val="231F20"/>
          <w:spacing w:val="56"/>
          <w:w w:val="105"/>
          <w:sz w:val="20"/>
        </w:rPr>
        <w:t> </w:t>
      </w:r>
      <w:r>
        <w:rPr>
          <w:color w:val="231F20"/>
          <w:w w:val="105"/>
          <w:sz w:val="20"/>
        </w:rPr>
        <w:t>la</w:t>
      </w:r>
      <w:r>
        <w:rPr>
          <w:color w:val="231F20"/>
          <w:spacing w:val="21"/>
          <w:w w:val="105"/>
          <w:sz w:val="20"/>
        </w:rPr>
        <w:t> </w:t>
      </w:r>
      <w:r>
        <w:rPr>
          <w:color w:val="231F20"/>
          <w:w w:val="105"/>
          <w:sz w:val="20"/>
        </w:rPr>
        <w:t>mayoría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los</w:t>
      </w:r>
      <w:r>
        <w:rPr>
          <w:color w:val="231F20"/>
          <w:spacing w:val="19"/>
          <w:w w:val="105"/>
          <w:sz w:val="20"/>
        </w:rPr>
        <w:t> </w:t>
      </w:r>
      <w:r>
        <w:rPr>
          <w:color w:val="231F20"/>
          <w:w w:val="105"/>
          <w:sz w:val="20"/>
        </w:rPr>
        <w:t>gerentes</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1950</w:t>
      </w:r>
      <w:r>
        <w:rPr>
          <w:color w:val="231F20"/>
          <w:spacing w:val="19"/>
          <w:w w:val="105"/>
          <w:sz w:val="20"/>
        </w:rPr>
        <w:t> </w:t>
      </w:r>
      <w:r>
        <w:rPr>
          <w:color w:val="231F20"/>
          <w:w w:val="105"/>
          <w:sz w:val="20"/>
        </w:rPr>
        <w:t>(Levy</w:t>
      </w:r>
      <w:r>
        <w:rPr>
          <w:color w:val="231F20"/>
          <w:spacing w:val="19"/>
          <w:w w:val="105"/>
          <w:sz w:val="20"/>
        </w:rPr>
        <w:t> </w:t>
      </w:r>
      <w:r>
        <w:rPr>
          <w:color w:val="231F20"/>
          <w:w w:val="105"/>
          <w:sz w:val="20"/>
        </w:rPr>
        <w:t>y</w:t>
      </w:r>
      <w:r>
        <w:rPr>
          <w:color w:val="231F20"/>
          <w:spacing w:val="19"/>
          <w:w w:val="105"/>
          <w:sz w:val="20"/>
        </w:rPr>
        <w:t> </w:t>
      </w:r>
      <w:r>
        <w:rPr>
          <w:color w:val="231F20"/>
          <w:spacing w:val="-4"/>
          <w:w w:val="105"/>
          <w:sz w:val="20"/>
        </w:rPr>
        <w:t>Temin</w:t>
      </w:r>
      <w:r>
        <w:rPr>
          <w:color w:val="231F20"/>
          <w:spacing w:val="19"/>
          <w:w w:val="105"/>
          <w:sz w:val="20"/>
        </w:rPr>
        <w:t> </w:t>
      </w:r>
      <w:r>
        <w:rPr>
          <w:color w:val="231F20"/>
          <w:w w:val="105"/>
          <w:sz w:val="20"/>
        </w:rPr>
        <w:t>2007:</w:t>
      </w:r>
      <w:r>
        <w:rPr>
          <w:color w:val="231F20"/>
          <w:spacing w:val="19"/>
          <w:w w:val="105"/>
          <w:sz w:val="20"/>
        </w:rPr>
        <w:t> </w:t>
      </w:r>
      <w:r>
        <w:rPr>
          <w:color w:val="231F20"/>
          <w:w w:val="105"/>
          <w:sz w:val="20"/>
        </w:rPr>
        <w:t>30).</w:t>
      </w:r>
    </w:p>
    <w:p>
      <w:pPr>
        <w:pStyle w:val="BodyText"/>
        <w:spacing w:before="8"/>
        <w:rPr>
          <w:sz w:val="21"/>
        </w:rPr>
      </w:pPr>
    </w:p>
    <w:p>
      <w:pPr>
        <w:pStyle w:val="BodyText"/>
        <w:spacing w:line="261" w:lineRule="auto"/>
        <w:ind w:left="100" w:right="117" w:firstLine="252"/>
        <w:jc w:val="both"/>
      </w:pPr>
      <w:r>
        <w:rPr>
          <w:color w:val="231F20"/>
          <w:w w:val="110"/>
        </w:rPr>
        <w:t>Sin duda, aunque pareciera una distorsión de las relaciones entre las fuerzas históricas, este proceso se basó en una nueva relación institucionalizada</w:t>
      </w:r>
      <w:r>
        <w:rPr>
          <w:color w:val="231F20"/>
          <w:spacing w:val="-6"/>
          <w:w w:val="110"/>
        </w:rPr>
        <w:t> </w:t>
      </w:r>
      <w:r>
        <w:rPr>
          <w:color w:val="231F20"/>
          <w:w w:val="110"/>
        </w:rPr>
        <w:t>entre</w:t>
      </w:r>
      <w:r>
        <w:rPr>
          <w:color w:val="231F20"/>
          <w:spacing w:val="-6"/>
          <w:w w:val="110"/>
        </w:rPr>
        <w:t> </w:t>
      </w:r>
      <w:r>
        <w:rPr>
          <w:color w:val="231F20"/>
          <w:w w:val="110"/>
        </w:rPr>
        <w:t>capital</w:t>
      </w:r>
      <w:r>
        <w:rPr>
          <w:color w:val="231F20"/>
          <w:spacing w:val="-6"/>
          <w:w w:val="110"/>
        </w:rPr>
        <w:t> </w:t>
      </w:r>
      <w:r>
        <w:rPr>
          <w:color w:val="231F20"/>
          <w:w w:val="110"/>
        </w:rPr>
        <w:t>y</w:t>
      </w:r>
      <w:r>
        <w:rPr>
          <w:color w:val="231F20"/>
          <w:spacing w:val="-6"/>
          <w:w w:val="110"/>
        </w:rPr>
        <w:t> </w:t>
      </w:r>
      <w:r>
        <w:rPr>
          <w:color w:val="231F20"/>
          <w:w w:val="110"/>
        </w:rPr>
        <w:t>trabajo,</w:t>
      </w:r>
      <w:r>
        <w:rPr>
          <w:color w:val="231F20"/>
          <w:spacing w:val="-6"/>
          <w:w w:val="110"/>
        </w:rPr>
        <w:t> </w:t>
      </w:r>
      <w:r>
        <w:rPr>
          <w:color w:val="231F20"/>
          <w:w w:val="110"/>
        </w:rPr>
        <w:t>aceptada</w:t>
      </w:r>
      <w:r>
        <w:rPr>
          <w:color w:val="231F20"/>
          <w:spacing w:val="-6"/>
          <w:w w:val="110"/>
        </w:rPr>
        <w:t> </w:t>
      </w:r>
      <w:r>
        <w:rPr>
          <w:color w:val="231F20"/>
          <w:w w:val="110"/>
        </w:rPr>
        <w:t>por</w:t>
      </w:r>
      <w:r>
        <w:rPr>
          <w:color w:val="231F20"/>
          <w:spacing w:val="-6"/>
          <w:w w:val="110"/>
        </w:rPr>
        <w:t> </w:t>
      </w:r>
      <w:r>
        <w:rPr>
          <w:color w:val="231F20"/>
          <w:w w:val="110"/>
        </w:rPr>
        <w:t>el</w:t>
      </w:r>
      <w:r>
        <w:rPr>
          <w:color w:val="231F20"/>
          <w:spacing w:val="-6"/>
          <w:w w:val="110"/>
        </w:rPr>
        <w:t> </w:t>
      </w:r>
      <w:r>
        <w:rPr>
          <w:color w:val="231F20"/>
          <w:w w:val="110"/>
        </w:rPr>
        <w:t>gran</w:t>
      </w:r>
      <w:r>
        <w:rPr>
          <w:color w:val="231F20"/>
          <w:spacing w:val="-6"/>
          <w:w w:val="110"/>
        </w:rPr>
        <w:t> </w:t>
      </w:r>
      <w:r>
        <w:rPr>
          <w:color w:val="231F20"/>
          <w:w w:val="110"/>
        </w:rPr>
        <w:t>capital estadunidense como la única vía para avanzar como nación, la cual consistía</w:t>
      </w:r>
      <w:r>
        <w:rPr>
          <w:color w:val="231F20"/>
          <w:spacing w:val="-11"/>
          <w:w w:val="110"/>
        </w:rPr>
        <w:t> </w:t>
      </w:r>
      <w:r>
        <w:rPr>
          <w:color w:val="231F20"/>
          <w:w w:val="110"/>
        </w:rPr>
        <w:t>en</w:t>
      </w:r>
      <w:r>
        <w:rPr>
          <w:color w:val="231F20"/>
          <w:spacing w:val="-11"/>
          <w:w w:val="110"/>
        </w:rPr>
        <w:t> </w:t>
      </w:r>
      <w:r>
        <w:rPr>
          <w:i/>
          <w:color w:val="231F20"/>
          <w:w w:val="110"/>
        </w:rPr>
        <w:t>compartir</w:t>
      </w:r>
      <w:r>
        <w:rPr>
          <w:i/>
          <w:color w:val="231F20"/>
          <w:spacing w:val="-11"/>
          <w:w w:val="110"/>
        </w:rPr>
        <w:t> </w:t>
      </w:r>
      <w:r>
        <w:rPr>
          <w:color w:val="231F20"/>
          <w:w w:val="110"/>
        </w:rPr>
        <w:t>los</w:t>
      </w:r>
      <w:r>
        <w:rPr>
          <w:color w:val="231F20"/>
          <w:spacing w:val="-11"/>
          <w:w w:val="110"/>
        </w:rPr>
        <w:t> </w:t>
      </w:r>
      <w:r>
        <w:rPr>
          <w:color w:val="231F20"/>
          <w:w w:val="110"/>
        </w:rPr>
        <w:t>beneficios</w:t>
      </w:r>
      <w:r>
        <w:rPr>
          <w:color w:val="231F20"/>
          <w:spacing w:val="-11"/>
          <w:w w:val="110"/>
        </w:rPr>
        <w:t> </w:t>
      </w:r>
      <w:r>
        <w:rPr>
          <w:color w:val="231F20"/>
          <w:w w:val="110"/>
        </w:rPr>
        <w:t>del</w:t>
      </w:r>
      <w:r>
        <w:rPr>
          <w:color w:val="231F20"/>
          <w:spacing w:val="-11"/>
          <w:w w:val="110"/>
        </w:rPr>
        <w:t> </w:t>
      </w:r>
      <w:r>
        <w:rPr>
          <w:color w:val="231F20"/>
          <w:w w:val="110"/>
        </w:rPr>
        <w:t>crecimiento</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clase</w:t>
      </w:r>
      <w:r>
        <w:rPr>
          <w:color w:val="231F20"/>
          <w:spacing w:val="-11"/>
          <w:w w:val="110"/>
        </w:rPr>
        <w:t> </w:t>
      </w:r>
      <w:r>
        <w:rPr>
          <w:color w:val="231F20"/>
          <w:w w:val="110"/>
        </w:rPr>
        <w:t>tra- bajadora. Esto no fue resultado solamente de la buena fe del capital, ni por el paternalismo estatal, sino por una lucha organizada de los sindicatos entre los años treinta y cuarenta y la búsqueda por la paz social por parte del Estado. Entonces, por decenios —que fueron tomados como la norma— el sueño americano estaba al alcance de la</w:t>
      </w:r>
      <w:r>
        <w:rPr>
          <w:color w:val="231F20"/>
          <w:spacing w:val="-11"/>
          <w:w w:val="110"/>
        </w:rPr>
        <w:t> </w:t>
      </w:r>
      <w:r>
        <w:rPr>
          <w:color w:val="231F20"/>
          <w:w w:val="110"/>
        </w:rPr>
        <w:t>mayoría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familias.</w:t>
      </w:r>
    </w:p>
    <w:p>
      <w:pPr>
        <w:pStyle w:val="BodyText"/>
      </w:pPr>
    </w:p>
    <w:p>
      <w:pPr>
        <w:pStyle w:val="BodyText"/>
      </w:pPr>
    </w:p>
    <w:p>
      <w:pPr>
        <w:pStyle w:val="BodyText"/>
        <w:spacing w:before="2"/>
        <w:rPr>
          <w:sz w:val="25"/>
        </w:rPr>
      </w:pPr>
    </w:p>
    <w:p>
      <w:pPr>
        <w:pStyle w:val="BodyText"/>
        <w:ind w:left="100"/>
        <w:jc w:val="both"/>
      </w:pPr>
      <w:r>
        <w:rPr>
          <w:color w:val="231F20"/>
          <w:w w:val="130"/>
        </w:rPr>
        <w:t>la nueva economía tripartita</w:t>
      </w:r>
    </w:p>
    <w:p>
      <w:pPr>
        <w:pStyle w:val="BodyText"/>
        <w:spacing w:before="5"/>
        <w:rPr>
          <w:sz w:val="23"/>
        </w:rPr>
      </w:pPr>
    </w:p>
    <w:p>
      <w:pPr>
        <w:pStyle w:val="BodyText"/>
        <w:spacing w:line="261" w:lineRule="auto"/>
        <w:ind w:left="100" w:right="119"/>
        <w:jc w:val="both"/>
      </w:pPr>
      <w:r>
        <w:rPr>
          <w:color w:val="231F20"/>
          <w:w w:val="105"/>
        </w:rPr>
        <w:t>No hay espacio para detenernos en las razones del derrumbe de </w:t>
      </w:r>
      <w:r>
        <w:rPr>
          <w:i/>
          <w:color w:val="231F20"/>
          <w:w w:val="105"/>
        </w:rPr>
        <w:t>la   </w:t>
      </w:r>
      <w:r>
        <w:rPr>
          <w:i/>
          <w:color w:val="231F20"/>
          <w:w w:val="105"/>
        </w:rPr>
        <w:t>edad del oro </w:t>
      </w:r>
      <w:r>
        <w:rPr>
          <w:color w:val="231F20"/>
          <w:w w:val="105"/>
        </w:rPr>
        <w:t>y la subida de la </w:t>
      </w:r>
      <w:r>
        <w:rPr>
          <w:i/>
          <w:color w:val="231F20"/>
          <w:w w:val="105"/>
        </w:rPr>
        <w:t>edad del plomo </w:t>
      </w:r>
      <w:r>
        <w:rPr>
          <w:color w:val="231F20"/>
          <w:w w:val="105"/>
        </w:rPr>
        <w:t>(1973-1994). Aunque el chivo</w:t>
      </w:r>
      <w:r>
        <w:rPr>
          <w:color w:val="231F20"/>
          <w:spacing w:val="29"/>
          <w:w w:val="105"/>
        </w:rPr>
        <w:t> </w:t>
      </w:r>
      <w:r>
        <w:rPr>
          <w:color w:val="231F20"/>
          <w:w w:val="105"/>
        </w:rPr>
        <w:t>expiatorio</w:t>
      </w:r>
      <w:r>
        <w:rPr>
          <w:color w:val="231F20"/>
          <w:spacing w:val="29"/>
          <w:w w:val="105"/>
        </w:rPr>
        <w:t> </w:t>
      </w:r>
      <w:r>
        <w:rPr>
          <w:color w:val="231F20"/>
          <w:w w:val="105"/>
        </w:rPr>
        <w:t>siempre</w:t>
      </w:r>
      <w:r>
        <w:rPr>
          <w:color w:val="231F20"/>
          <w:spacing w:val="29"/>
          <w:w w:val="105"/>
        </w:rPr>
        <w:t> </w:t>
      </w:r>
      <w:r>
        <w:rPr>
          <w:color w:val="231F20"/>
          <w:w w:val="105"/>
        </w:rPr>
        <w:t>ha</w:t>
      </w:r>
      <w:r>
        <w:rPr>
          <w:color w:val="231F20"/>
          <w:spacing w:val="29"/>
          <w:w w:val="105"/>
        </w:rPr>
        <w:t> </w:t>
      </w:r>
      <w:r>
        <w:rPr>
          <w:color w:val="231F20"/>
          <w:w w:val="105"/>
        </w:rPr>
        <w:t>sido</w:t>
      </w:r>
      <w:r>
        <w:rPr>
          <w:color w:val="231F20"/>
          <w:spacing w:val="29"/>
          <w:w w:val="105"/>
        </w:rPr>
        <w:t> </w:t>
      </w:r>
      <w:r>
        <w:rPr>
          <w:color w:val="231F20"/>
          <w:w w:val="105"/>
        </w:rPr>
        <w:t>el</w:t>
      </w:r>
      <w:r>
        <w:rPr>
          <w:color w:val="231F20"/>
          <w:spacing w:val="29"/>
          <w:w w:val="105"/>
        </w:rPr>
        <w:t> </w:t>
      </w:r>
      <w:r>
        <w:rPr>
          <w:color w:val="231F20"/>
          <w:w w:val="105"/>
        </w:rPr>
        <w:t>papel</w:t>
      </w:r>
      <w:r>
        <w:rPr>
          <w:color w:val="231F20"/>
          <w:spacing w:val="29"/>
          <w:w w:val="105"/>
        </w:rPr>
        <w:t> </w:t>
      </w:r>
      <w:r>
        <w:rPr>
          <w:color w:val="231F20"/>
          <w:w w:val="105"/>
        </w:rPr>
        <w:t>“destructivo”</w:t>
      </w:r>
      <w:r>
        <w:rPr>
          <w:color w:val="231F20"/>
          <w:spacing w:val="29"/>
          <w:w w:val="105"/>
        </w:rPr>
        <w:t> </w:t>
      </w:r>
      <w:r>
        <w:rPr>
          <w:color w:val="231F20"/>
          <w:w w:val="105"/>
        </w:rPr>
        <w:t>del</w:t>
      </w:r>
      <w:r>
        <w:rPr>
          <w:color w:val="231F20"/>
          <w:spacing w:val="29"/>
          <w:w w:val="105"/>
        </w:rPr>
        <w:t> </w:t>
      </w:r>
      <w:r>
        <w:rPr>
          <w:color w:val="231F20"/>
          <w:w w:val="105"/>
        </w:rPr>
        <w:t>opep,</w:t>
      </w:r>
      <w:r>
        <w:rPr>
          <w:color w:val="231F20"/>
          <w:spacing w:val="29"/>
          <w:w w:val="105"/>
        </w:rPr>
        <w:t> </w:t>
      </w:r>
      <w:r>
        <w:rPr>
          <w:color w:val="231F20"/>
          <w:w w:val="105"/>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right"/>
      </w:pPr>
      <w:r>
        <w:rPr>
          <w:color w:val="231F20"/>
          <w:w w:val="110"/>
        </w:rPr>
        <w:t>hecho fueron razones más a fondo que el cambio del precio</w:t>
      </w:r>
      <w:r>
        <w:rPr>
          <w:color w:val="231F20"/>
          <w:spacing w:val="7"/>
          <w:w w:val="110"/>
        </w:rPr>
        <w:t> </w:t>
      </w:r>
      <w:r>
        <w:rPr>
          <w:color w:val="231F20"/>
          <w:w w:val="110"/>
        </w:rPr>
        <w:t>de</w:t>
      </w:r>
      <w:r>
        <w:rPr>
          <w:color w:val="231F20"/>
          <w:spacing w:val="10"/>
          <w:w w:val="110"/>
        </w:rPr>
        <w:t> </w:t>
      </w:r>
      <w:r>
        <w:rPr>
          <w:color w:val="231F20"/>
          <w:w w:val="110"/>
        </w:rPr>
        <w:t>una</w:t>
      </w:r>
      <w:r>
        <w:rPr>
          <w:color w:val="231F20"/>
          <w:w w:val="114"/>
        </w:rPr>
        <w:t> </w:t>
      </w:r>
      <w:r>
        <w:rPr>
          <w:color w:val="231F20"/>
          <w:w w:val="110"/>
        </w:rPr>
        <w:t>mercancía clave. Como siempre, en cualquier momento de</w:t>
      </w:r>
      <w:r>
        <w:rPr>
          <w:color w:val="231F20"/>
          <w:spacing w:val="31"/>
          <w:w w:val="110"/>
        </w:rPr>
        <w:t> </w:t>
      </w:r>
      <w:r>
        <w:rPr>
          <w:color w:val="231F20"/>
          <w:w w:val="110"/>
        </w:rPr>
        <w:t>crisis,</w:t>
      </w:r>
      <w:r>
        <w:rPr>
          <w:color w:val="231F20"/>
          <w:w w:val="101"/>
        </w:rPr>
        <w:t> </w:t>
      </w:r>
      <w:r>
        <w:rPr>
          <w:color w:val="231F20"/>
          <w:w w:val="110"/>
        </w:rPr>
        <w:t>los años anteriores han sido marcados por un proceso</w:t>
      </w:r>
      <w:r>
        <w:rPr>
          <w:color w:val="231F20"/>
          <w:spacing w:val="48"/>
          <w:w w:val="110"/>
        </w:rPr>
        <w:t> </w:t>
      </w:r>
      <w:r>
        <w:rPr>
          <w:color w:val="231F20"/>
          <w:w w:val="110"/>
        </w:rPr>
        <w:t>anárquico</w:t>
      </w:r>
      <w:r>
        <w:rPr>
          <w:color w:val="231F20"/>
          <w:spacing w:val="11"/>
          <w:w w:val="110"/>
        </w:rPr>
        <w:t> </w:t>
      </w:r>
      <w:r>
        <w:rPr>
          <w:color w:val="231F20"/>
          <w:w w:val="110"/>
        </w:rPr>
        <w:t>de</w:t>
      </w:r>
      <w:r>
        <w:rPr>
          <w:color w:val="231F20"/>
          <w:w w:val="114"/>
        </w:rPr>
        <w:t> </w:t>
      </w:r>
      <w:r>
        <w:rPr>
          <w:color w:val="231F20"/>
          <w:w w:val="110"/>
        </w:rPr>
        <w:t>acumulación de capital abriendo camino a una</w:t>
      </w:r>
      <w:r>
        <w:rPr>
          <w:color w:val="231F20"/>
          <w:spacing w:val="51"/>
          <w:w w:val="110"/>
        </w:rPr>
        <w:t> </w:t>
      </w:r>
      <w:r>
        <w:rPr>
          <w:color w:val="231F20"/>
          <w:w w:val="110"/>
        </w:rPr>
        <w:t>caída</w:t>
      </w:r>
      <w:r>
        <w:rPr>
          <w:color w:val="231F20"/>
          <w:spacing w:val="23"/>
          <w:w w:val="110"/>
        </w:rPr>
        <w:t> </w:t>
      </w:r>
      <w:r>
        <w:rPr>
          <w:color w:val="231F20"/>
          <w:w w:val="110"/>
        </w:rPr>
        <w:t>impresionan-</w:t>
      </w:r>
      <w:r>
        <w:rPr>
          <w:color w:val="231F20"/>
          <w:w w:val="72"/>
        </w:rPr>
        <w:t> </w:t>
      </w:r>
      <w:r>
        <w:rPr>
          <w:color w:val="231F20"/>
          <w:w w:val="110"/>
        </w:rPr>
        <w:t>te</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tasa</w:t>
      </w:r>
      <w:r>
        <w:rPr>
          <w:color w:val="231F20"/>
          <w:spacing w:val="18"/>
          <w:w w:val="110"/>
        </w:rPr>
        <w:t> </w:t>
      </w:r>
      <w:r>
        <w:rPr>
          <w:color w:val="231F20"/>
          <w:w w:val="110"/>
        </w:rPr>
        <w:t>de</w:t>
      </w:r>
      <w:r>
        <w:rPr>
          <w:color w:val="231F20"/>
          <w:spacing w:val="18"/>
          <w:w w:val="110"/>
        </w:rPr>
        <w:t> </w:t>
      </w:r>
      <w:r>
        <w:rPr>
          <w:color w:val="231F20"/>
          <w:w w:val="110"/>
        </w:rPr>
        <w:t>ganancia.</w:t>
      </w:r>
      <w:r>
        <w:rPr>
          <w:color w:val="231F20"/>
          <w:spacing w:val="18"/>
          <w:w w:val="110"/>
        </w:rPr>
        <w:t> </w:t>
      </w:r>
      <w:r>
        <w:rPr>
          <w:color w:val="231F20"/>
          <w:w w:val="110"/>
        </w:rPr>
        <w:t>Esta</w:t>
      </w:r>
      <w:r>
        <w:rPr>
          <w:color w:val="231F20"/>
          <w:spacing w:val="18"/>
          <w:w w:val="110"/>
        </w:rPr>
        <w:t> </w:t>
      </w:r>
      <w:r>
        <w:rPr>
          <w:color w:val="231F20"/>
          <w:w w:val="110"/>
        </w:rPr>
        <w:t>tasa</w:t>
      </w:r>
      <w:r>
        <w:rPr>
          <w:color w:val="231F20"/>
          <w:spacing w:val="18"/>
          <w:w w:val="110"/>
        </w:rPr>
        <w:t> </w:t>
      </w:r>
      <w:r>
        <w:rPr>
          <w:color w:val="231F20"/>
          <w:w w:val="110"/>
        </w:rPr>
        <w:t>osciló</w:t>
      </w:r>
      <w:r>
        <w:rPr>
          <w:color w:val="231F20"/>
          <w:spacing w:val="18"/>
          <w:w w:val="110"/>
        </w:rPr>
        <w:t> </w:t>
      </w:r>
      <w:r>
        <w:rPr>
          <w:color w:val="231F20"/>
          <w:w w:val="110"/>
        </w:rPr>
        <w:t>de</w:t>
      </w:r>
      <w:r>
        <w:rPr>
          <w:color w:val="231F20"/>
          <w:spacing w:val="18"/>
          <w:w w:val="110"/>
        </w:rPr>
        <w:t> </w:t>
      </w:r>
      <w:r>
        <w:rPr>
          <w:color w:val="231F20"/>
          <w:w w:val="110"/>
        </w:rPr>
        <w:t>12</w:t>
      </w:r>
      <w:r>
        <w:rPr>
          <w:color w:val="231F20"/>
          <w:spacing w:val="18"/>
          <w:w w:val="110"/>
        </w:rPr>
        <w:t> </w:t>
      </w:r>
      <w:r>
        <w:rPr>
          <w:color w:val="231F20"/>
          <w:w w:val="110"/>
        </w:rPr>
        <w:t>a</w:t>
      </w:r>
      <w:r>
        <w:rPr>
          <w:color w:val="231F20"/>
          <w:spacing w:val="18"/>
          <w:w w:val="110"/>
        </w:rPr>
        <w:t> </w:t>
      </w:r>
      <w:r>
        <w:rPr>
          <w:color w:val="231F20"/>
          <w:w w:val="110"/>
        </w:rPr>
        <w:t>18%</w:t>
      </w:r>
      <w:r>
        <w:rPr>
          <w:color w:val="231F20"/>
          <w:spacing w:val="18"/>
          <w:w w:val="110"/>
        </w:rPr>
        <w:t> </w:t>
      </w:r>
      <w:r>
        <w:rPr>
          <w:color w:val="231F20"/>
          <w:w w:val="110"/>
        </w:rPr>
        <w:t>entre</w:t>
      </w:r>
      <w:r>
        <w:rPr>
          <w:color w:val="231F20"/>
          <w:spacing w:val="18"/>
          <w:w w:val="110"/>
        </w:rPr>
        <w:t> </w:t>
      </w:r>
      <w:r>
        <w:rPr>
          <w:color w:val="231F20"/>
          <w:w w:val="110"/>
        </w:rPr>
        <w:t>1947</w:t>
      </w:r>
      <w:r>
        <w:rPr>
          <w:color w:val="231F20"/>
          <w:w w:val="104"/>
        </w:rPr>
        <w:t> </w:t>
      </w:r>
      <w:r>
        <w:rPr>
          <w:color w:val="231F20"/>
          <w:w w:val="110"/>
        </w:rPr>
        <w:t>y 1966; después, estrepitosamente, cayó de 18% en 1966, a</w:t>
      </w:r>
      <w:r>
        <w:rPr>
          <w:color w:val="231F20"/>
          <w:spacing w:val="38"/>
          <w:w w:val="110"/>
        </w:rPr>
        <w:t> </w:t>
      </w:r>
      <w:r>
        <w:rPr>
          <w:color w:val="231F20"/>
          <w:w w:val="110"/>
        </w:rPr>
        <w:t>8%</w:t>
      </w:r>
      <w:r>
        <w:rPr>
          <w:color w:val="231F20"/>
          <w:spacing w:val="14"/>
          <w:w w:val="110"/>
        </w:rPr>
        <w:t> </w:t>
      </w:r>
      <w:r>
        <w:rPr>
          <w:color w:val="231F20"/>
          <w:w w:val="110"/>
        </w:rPr>
        <w:t>en</w:t>
      </w:r>
      <w:r>
        <w:rPr>
          <w:color w:val="231F20"/>
          <w:w w:val="116"/>
        </w:rPr>
        <w:t> </w:t>
      </w:r>
      <w:r>
        <w:rPr>
          <w:color w:val="231F20"/>
          <w:w w:val="110"/>
        </w:rPr>
        <w:t>1972 —todo </w:t>
      </w:r>
      <w:r>
        <w:rPr>
          <w:i/>
          <w:color w:val="231F20"/>
          <w:w w:val="110"/>
        </w:rPr>
        <w:t>antes </w:t>
      </w:r>
      <w:r>
        <w:rPr>
          <w:color w:val="231F20"/>
          <w:w w:val="110"/>
        </w:rPr>
        <w:t>del gran aumento del precio de petróleo</w:t>
      </w:r>
      <w:r>
        <w:rPr>
          <w:color w:val="231F20"/>
          <w:spacing w:val="6"/>
          <w:w w:val="110"/>
        </w:rPr>
        <w:t> </w:t>
      </w:r>
      <w:r>
        <w:rPr>
          <w:color w:val="231F20"/>
          <w:w w:val="110"/>
        </w:rPr>
        <w:t>en</w:t>
      </w:r>
      <w:r>
        <w:rPr>
          <w:color w:val="231F20"/>
          <w:spacing w:val="6"/>
          <w:w w:val="110"/>
        </w:rPr>
        <w:t> </w:t>
      </w:r>
      <w:r>
        <w:rPr>
          <w:color w:val="231F20"/>
          <w:w w:val="110"/>
        </w:rPr>
        <w:t>1973</w:t>
      </w:r>
      <w:r>
        <w:rPr>
          <w:color w:val="231F20"/>
          <w:w w:val="104"/>
        </w:rPr>
        <w:t> </w:t>
      </w:r>
      <w:r>
        <w:rPr>
          <w:color w:val="231F20"/>
          <w:w w:val="110"/>
        </w:rPr>
        <w:t>(Bowles,</w:t>
      </w:r>
      <w:r>
        <w:rPr>
          <w:color w:val="231F20"/>
          <w:spacing w:val="-26"/>
          <w:w w:val="110"/>
        </w:rPr>
        <w:t> </w:t>
      </w:r>
      <w:r>
        <w:rPr>
          <w:color w:val="231F20"/>
          <w:w w:val="110"/>
        </w:rPr>
        <w:t>Edwards</w:t>
      </w:r>
      <w:r>
        <w:rPr>
          <w:color w:val="231F20"/>
          <w:spacing w:val="-26"/>
          <w:w w:val="110"/>
        </w:rPr>
        <w:t> </w:t>
      </w:r>
      <w:r>
        <w:rPr>
          <w:color w:val="231F20"/>
          <w:w w:val="110"/>
        </w:rPr>
        <w:t>y</w:t>
      </w:r>
      <w:r>
        <w:rPr>
          <w:color w:val="231F20"/>
          <w:spacing w:val="-26"/>
          <w:w w:val="110"/>
        </w:rPr>
        <w:t> </w:t>
      </w:r>
      <w:r>
        <w:rPr>
          <w:color w:val="231F20"/>
          <w:w w:val="110"/>
        </w:rPr>
        <w:t>Roosevelt,</w:t>
      </w:r>
      <w:r>
        <w:rPr>
          <w:color w:val="231F20"/>
          <w:spacing w:val="-26"/>
          <w:w w:val="110"/>
        </w:rPr>
        <w:t> </w:t>
      </w:r>
      <w:r>
        <w:rPr>
          <w:color w:val="231F20"/>
          <w:w w:val="110"/>
        </w:rPr>
        <w:t>2005:</w:t>
      </w:r>
      <w:r>
        <w:rPr>
          <w:color w:val="231F20"/>
          <w:spacing w:val="-26"/>
          <w:w w:val="110"/>
        </w:rPr>
        <w:t> </w:t>
      </w:r>
      <w:r>
        <w:rPr>
          <w:color w:val="231F20"/>
          <w:w w:val="110"/>
        </w:rPr>
        <w:t>234)—.</w:t>
      </w:r>
      <w:r>
        <w:rPr>
          <w:color w:val="231F20"/>
          <w:spacing w:val="-26"/>
          <w:w w:val="110"/>
        </w:rPr>
        <w:t> </w:t>
      </w:r>
      <w:r>
        <w:rPr>
          <w:color w:val="231F20"/>
          <w:w w:val="110"/>
        </w:rPr>
        <w:t>Enfrentando</w:t>
      </w:r>
      <w:r>
        <w:rPr>
          <w:color w:val="231F20"/>
          <w:spacing w:val="-26"/>
          <w:w w:val="110"/>
        </w:rPr>
        <w:t> </w:t>
      </w:r>
      <w:r>
        <w:rPr>
          <w:color w:val="231F20"/>
          <w:w w:val="110"/>
        </w:rPr>
        <w:t>1]</w:t>
      </w:r>
      <w:r>
        <w:rPr>
          <w:color w:val="231F20"/>
          <w:spacing w:val="-26"/>
          <w:w w:val="110"/>
        </w:rPr>
        <w:t> </w:t>
      </w:r>
      <w:r>
        <w:rPr>
          <w:color w:val="231F20"/>
          <w:w w:val="110"/>
        </w:rPr>
        <w:t>la</w:t>
      </w:r>
      <w:r>
        <w:rPr>
          <w:color w:val="231F20"/>
          <w:spacing w:val="-26"/>
          <w:w w:val="110"/>
        </w:rPr>
        <w:t> </w:t>
      </w:r>
      <w:r>
        <w:rPr>
          <w:color w:val="231F20"/>
          <w:w w:val="110"/>
        </w:rPr>
        <w:t>nueva</w:t>
      </w:r>
      <w:r>
        <w:rPr>
          <w:color w:val="231F20"/>
          <w:w w:val="108"/>
        </w:rPr>
        <w:t> </w:t>
      </w:r>
      <w:r>
        <w:rPr>
          <w:color w:val="231F20"/>
          <w:w w:val="110"/>
        </w:rPr>
        <w:t>competencia</w:t>
      </w:r>
      <w:r>
        <w:rPr>
          <w:color w:val="231F20"/>
          <w:spacing w:val="-14"/>
          <w:w w:val="110"/>
        </w:rPr>
        <w:t> </w:t>
      </w:r>
      <w:r>
        <w:rPr>
          <w:color w:val="231F20"/>
          <w:w w:val="110"/>
        </w:rPr>
        <w:t>de</w:t>
      </w:r>
      <w:r>
        <w:rPr>
          <w:color w:val="231F20"/>
          <w:spacing w:val="-14"/>
          <w:w w:val="110"/>
        </w:rPr>
        <w:t> </w:t>
      </w:r>
      <w:r>
        <w:rPr>
          <w:color w:val="231F20"/>
          <w:w w:val="110"/>
        </w:rPr>
        <w:t>Europa</w:t>
      </w:r>
      <w:r>
        <w:rPr>
          <w:color w:val="231F20"/>
          <w:spacing w:val="-14"/>
          <w:w w:val="110"/>
        </w:rPr>
        <w:t> </w:t>
      </w:r>
      <w:r>
        <w:rPr>
          <w:color w:val="231F20"/>
          <w:w w:val="110"/>
        </w:rPr>
        <w:t>y</w:t>
      </w:r>
      <w:r>
        <w:rPr>
          <w:color w:val="231F20"/>
          <w:spacing w:val="-14"/>
          <w:w w:val="110"/>
        </w:rPr>
        <w:t> </w:t>
      </w:r>
      <w:r>
        <w:rPr>
          <w:color w:val="231F20"/>
          <w:w w:val="110"/>
        </w:rPr>
        <w:t>Japón</w:t>
      </w:r>
      <w:r>
        <w:rPr>
          <w:color w:val="231F20"/>
          <w:spacing w:val="-14"/>
          <w:w w:val="110"/>
        </w:rPr>
        <w:t> </w:t>
      </w:r>
      <w:r>
        <w:rPr>
          <w:color w:val="231F20"/>
          <w:w w:val="110"/>
        </w:rPr>
        <w:t>—ya</w:t>
      </w:r>
      <w:r>
        <w:rPr>
          <w:color w:val="231F20"/>
          <w:spacing w:val="-14"/>
          <w:w w:val="110"/>
        </w:rPr>
        <w:t> </w:t>
      </w:r>
      <w:r>
        <w:rPr>
          <w:color w:val="231F20"/>
          <w:w w:val="110"/>
        </w:rPr>
        <w:t>recuperado</w:t>
      </w:r>
      <w:r>
        <w:rPr>
          <w:color w:val="231F20"/>
          <w:spacing w:val="-14"/>
          <w:w w:val="110"/>
        </w:rPr>
        <w:t> </w:t>
      </w:r>
      <w:r>
        <w:rPr>
          <w:color w:val="231F20"/>
          <w:w w:val="110"/>
        </w:rPr>
        <w:t>desde</w:t>
      </w:r>
      <w:r>
        <w:rPr>
          <w:color w:val="231F20"/>
          <w:spacing w:val="-14"/>
          <w:w w:val="110"/>
        </w:rPr>
        <w:t> </w:t>
      </w:r>
      <w:r>
        <w:rPr>
          <w:color w:val="231F20"/>
          <w:w w:val="110"/>
        </w:rPr>
        <w:t>la</w:t>
      </w:r>
      <w:r>
        <w:rPr>
          <w:color w:val="231F20"/>
          <w:spacing w:val="-14"/>
          <w:w w:val="110"/>
        </w:rPr>
        <w:t> </w:t>
      </w:r>
      <w:r>
        <w:rPr>
          <w:color w:val="231F20"/>
          <w:w w:val="110"/>
        </w:rPr>
        <w:t>guerra,</w:t>
      </w:r>
      <w:r>
        <w:rPr>
          <w:color w:val="231F20"/>
          <w:spacing w:val="-14"/>
          <w:w w:val="110"/>
        </w:rPr>
        <w:t> </w:t>
      </w:r>
      <w:r>
        <w:rPr>
          <w:color w:val="231F20"/>
          <w:w w:val="110"/>
        </w:rPr>
        <w:t>con</w:t>
      </w:r>
      <w:r>
        <w:rPr>
          <w:color w:val="231F20"/>
          <w:w w:val="112"/>
        </w:rPr>
        <w:t> </w:t>
      </w:r>
      <w:r>
        <w:rPr>
          <w:color w:val="231F20"/>
          <w:w w:val="110"/>
        </w:rPr>
        <w:t>una</w:t>
      </w:r>
      <w:r>
        <w:rPr>
          <w:color w:val="231F20"/>
          <w:spacing w:val="-12"/>
          <w:w w:val="110"/>
        </w:rPr>
        <w:t> </w:t>
      </w:r>
      <w:r>
        <w:rPr>
          <w:color w:val="231F20"/>
          <w:w w:val="110"/>
        </w:rPr>
        <w:t>composición</w:t>
      </w:r>
      <w:r>
        <w:rPr>
          <w:color w:val="231F20"/>
          <w:spacing w:val="-12"/>
          <w:w w:val="110"/>
        </w:rPr>
        <w:t> </w:t>
      </w:r>
      <w:r>
        <w:rPr>
          <w:color w:val="231F20"/>
          <w:w w:val="110"/>
        </w:rPr>
        <w:t>de</w:t>
      </w:r>
      <w:r>
        <w:rPr>
          <w:color w:val="231F20"/>
          <w:spacing w:val="-12"/>
          <w:w w:val="110"/>
        </w:rPr>
        <w:t> </w:t>
      </w:r>
      <w:r>
        <w:rPr>
          <w:color w:val="231F20"/>
          <w:w w:val="110"/>
        </w:rPr>
        <w:t>capital</w:t>
      </w:r>
      <w:r>
        <w:rPr>
          <w:color w:val="231F20"/>
          <w:spacing w:val="-12"/>
          <w:w w:val="110"/>
        </w:rPr>
        <w:t> </w:t>
      </w:r>
      <w:r>
        <w:rPr>
          <w:color w:val="231F20"/>
          <w:w w:val="110"/>
        </w:rPr>
        <w:t>más</w:t>
      </w:r>
      <w:r>
        <w:rPr>
          <w:color w:val="231F20"/>
          <w:spacing w:val="-12"/>
          <w:w w:val="110"/>
        </w:rPr>
        <w:t> </w:t>
      </w:r>
      <w:r>
        <w:rPr>
          <w:color w:val="231F20"/>
          <w:w w:val="110"/>
        </w:rPr>
        <w:t>avanzada</w:t>
      </w:r>
      <w:r>
        <w:rPr>
          <w:color w:val="231F20"/>
          <w:spacing w:val="-12"/>
          <w:w w:val="110"/>
        </w:rPr>
        <w:t> </w:t>
      </w:r>
      <w:r>
        <w:rPr>
          <w:color w:val="231F20"/>
          <w:w w:val="110"/>
        </w:rPr>
        <w:t>que</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y</w:t>
      </w:r>
      <w:r>
        <w:rPr>
          <w:color w:val="231F20"/>
          <w:spacing w:val="-12"/>
          <w:w w:val="110"/>
        </w:rPr>
        <w:t> </w:t>
      </w:r>
      <w:r>
        <w:rPr>
          <w:color w:val="231F20"/>
          <w:w w:val="110"/>
        </w:rPr>
        <w:t>2]</w:t>
      </w:r>
      <w:r>
        <w:rPr>
          <w:color w:val="231F20"/>
          <w:w w:val="115"/>
        </w:rPr>
        <w:t> </w:t>
      </w:r>
      <w:r>
        <w:rPr>
          <w:color w:val="231F20"/>
          <w:w w:val="110"/>
        </w:rPr>
        <w:t>la sobreproducción del capital registrado por capacidad</w:t>
      </w:r>
      <w:r>
        <w:rPr>
          <w:color w:val="231F20"/>
          <w:spacing w:val="49"/>
          <w:w w:val="110"/>
        </w:rPr>
        <w:t> </w:t>
      </w:r>
      <w:r>
        <w:rPr>
          <w:color w:val="231F20"/>
          <w:w w:val="110"/>
        </w:rPr>
        <w:t>ociosa</w:t>
      </w:r>
      <w:r>
        <w:rPr>
          <w:color w:val="231F20"/>
          <w:spacing w:val="14"/>
          <w:w w:val="110"/>
        </w:rPr>
        <w:t> </w:t>
      </w:r>
      <w:r>
        <w:rPr>
          <w:color w:val="231F20"/>
          <w:w w:val="110"/>
        </w:rPr>
        <w:t>cre-</w:t>
      </w:r>
      <w:r>
        <w:rPr>
          <w:color w:val="231F20"/>
          <w:w w:val="72"/>
        </w:rPr>
        <w:t> </w:t>
      </w:r>
      <w:r>
        <w:rPr>
          <w:color w:val="231F20"/>
          <w:w w:val="110"/>
        </w:rPr>
        <w:t>ciente, no había otro remedio que atacar el</w:t>
      </w:r>
      <w:r>
        <w:rPr>
          <w:color w:val="231F20"/>
          <w:spacing w:val="3"/>
          <w:w w:val="110"/>
        </w:rPr>
        <w:t> </w:t>
      </w:r>
      <w:r>
        <w:rPr>
          <w:color w:val="231F20"/>
          <w:w w:val="110"/>
        </w:rPr>
        <w:t>acuerdo</w:t>
      </w:r>
      <w:r>
        <w:rPr>
          <w:color w:val="231F20"/>
          <w:spacing w:val="14"/>
          <w:w w:val="110"/>
        </w:rPr>
        <w:t> </w:t>
      </w:r>
      <w:r>
        <w:rPr>
          <w:color w:val="231F20"/>
          <w:w w:val="110"/>
        </w:rPr>
        <w:t>capital-trabajo.</w:t>
      </w:r>
      <w:r>
        <w:rPr>
          <w:color w:val="231F20"/>
          <w:w w:val="106"/>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curso</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años</w:t>
      </w:r>
      <w:r>
        <w:rPr>
          <w:color w:val="231F20"/>
          <w:spacing w:val="23"/>
          <w:w w:val="110"/>
        </w:rPr>
        <w:t> </w:t>
      </w:r>
      <w:r>
        <w:rPr>
          <w:color w:val="231F20"/>
          <w:w w:val="110"/>
        </w:rPr>
        <w:t>setenta</w:t>
      </w:r>
      <w:r>
        <w:rPr>
          <w:color w:val="231F20"/>
          <w:spacing w:val="23"/>
          <w:w w:val="110"/>
        </w:rPr>
        <w:t> </w:t>
      </w:r>
      <w:r>
        <w:rPr>
          <w:color w:val="231F20"/>
          <w:w w:val="110"/>
        </w:rPr>
        <w:t>y</w:t>
      </w:r>
      <w:r>
        <w:rPr>
          <w:color w:val="231F20"/>
          <w:spacing w:val="23"/>
          <w:w w:val="110"/>
        </w:rPr>
        <w:t> </w:t>
      </w:r>
      <w:r>
        <w:rPr>
          <w:color w:val="231F20"/>
          <w:w w:val="110"/>
        </w:rPr>
        <w:t>principios</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ochenta,</w:t>
      </w:r>
      <w:r>
        <w:rPr>
          <w:color w:val="231F20"/>
          <w:spacing w:val="23"/>
          <w:w w:val="110"/>
        </w:rPr>
        <w:t> </w:t>
      </w:r>
      <w:r>
        <w:rPr>
          <w:color w:val="231F20"/>
          <w:w w:val="110"/>
        </w:rPr>
        <w:t>los</w:t>
      </w:r>
      <w:r>
        <w:rPr>
          <w:color w:val="231F20"/>
          <w:w w:val="102"/>
        </w:rPr>
        <w:t> </w:t>
      </w:r>
      <w:r>
        <w:rPr>
          <w:color w:val="231F20"/>
          <w:w w:val="110"/>
        </w:rPr>
        <w:t>líderes sindicales no eran capaces de utilizar los medios</w:t>
      </w:r>
      <w:r>
        <w:rPr>
          <w:color w:val="231F20"/>
          <w:spacing w:val="50"/>
          <w:w w:val="110"/>
        </w:rPr>
        <w:t> </w:t>
      </w:r>
      <w:r>
        <w:rPr>
          <w:color w:val="231F20"/>
          <w:w w:val="110"/>
        </w:rPr>
        <w:t>masivos</w:t>
      </w:r>
      <w:r>
        <w:rPr>
          <w:color w:val="231F20"/>
          <w:spacing w:val="5"/>
          <w:w w:val="110"/>
        </w:rPr>
        <w:t> </w:t>
      </w:r>
      <w:r>
        <w:rPr>
          <w:color w:val="231F20"/>
          <w:w w:val="110"/>
        </w:rPr>
        <w:t>de</w:t>
      </w:r>
      <w:r>
        <w:rPr>
          <w:color w:val="231F20"/>
          <w:w w:val="114"/>
        </w:rPr>
        <w:t> </w:t>
      </w:r>
      <w:r>
        <w:rPr>
          <w:color w:val="231F20"/>
          <w:w w:val="110"/>
        </w:rPr>
        <w:t>comunicación para defender a sus sindicatos. Su estilo,</w:t>
      </w:r>
      <w:r>
        <w:rPr>
          <w:color w:val="231F20"/>
          <w:spacing w:val="52"/>
          <w:w w:val="110"/>
        </w:rPr>
        <w:t> </w:t>
      </w:r>
      <w:r>
        <w:rPr>
          <w:color w:val="231F20"/>
          <w:w w:val="110"/>
        </w:rPr>
        <w:t>consistía</w:t>
      </w:r>
      <w:r>
        <w:rPr>
          <w:color w:val="231F20"/>
          <w:spacing w:val="6"/>
          <w:w w:val="110"/>
        </w:rPr>
        <w:t> </w:t>
      </w:r>
      <w:r>
        <w:rPr>
          <w:color w:val="231F20"/>
          <w:w w:val="110"/>
        </w:rPr>
        <w:t>en</w:t>
      </w:r>
      <w:r>
        <w:rPr>
          <w:color w:val="231F20"/>
          <w:w w:val="116"/>
        </w:rPr>
        <w:t> </w:t>
      </w:r>
      <w:r>
        <w:rPr>
          <w:color w:val="231F20"/>
          <w:w w:val="110"/>
        </w:rPr>
        <w:t>moverse</w:t>
      </w:r>
      <w:r>
        <w:rPr>
          <w:color w:val="231F20"/>
          <w:spacing w:val="-7"/>
          <w:w w:val="110"/>
        </w:rPr>
        <w:t> </w:t>
      </w:r>
      <w:r>
        <w:rPr>
          <w:color w:val="231F20"/>
          <w:w w:val="110"/>
        </w:rPr>
        <w:t>por</w:t>
      </w:r>
      <w:r>
        <w:rPr>
          <w:color w:val="231F20"/>
          <w:spacing w:val="-7"/>
          <w:w w:val="110"/>
        </w:rPr>
        <w:t> </w:t>
      </w:r>
      <w:r>
        <w:rPr>
          <w:color w:val="231F20"/>
          <w:w w:val="110"/>
        </w:rPr>
        <w:t>adentro</w:t>
      </w:r>
      <w:r>
        <w:rPr>
          <w:color w:val="231F20"/>
          <w:spacing w:val="-7"/>
          <w:w w:val="110"/>
        </w:rPr>
        <w:t> </w:t>
      </w:r>
      <w:r>
        <w:rPr>
          <w:color w:val="231F20"/>
          <w:w w:val="110"/>
        </w:rPr>
        <w:t>del</w:t>
      </w:r>
      <w:r>
        <w:rPr>
          <w:color w:val="231F20"/>
          <w:spacing w:val="-7"/>
          <w:w w:val="110"/>
        </w:rPr>
        <w:t> </w:t>
      </w:r>
      <w:r>
        <w:rPr>
          <w:color w:val="231F20"/>
          <w:w w:val="110"/>
        </w:rPr>
        <w:t>los</w:t>
      </w:r>
      <w:r>
        <w:rPr>
          <w:color w:val="231F20"/>
          <w:spacing w:val="-7"/>
          <w:w w:val="110"/>
        </w:rPr>
        <w:t> </w:t>
      </w:r>
      <w:r>
        <w:rPr>
          <w:color w:val="231F20"/>
          <w:w w:val="110"/>
        </w:rPr>
        <w:t>círculos</w:t>
      </w:r>
      <w:r>
        <w:rPr>
          <w:color w:val="231F20"/>
          <w:spacing w:val="-7"/>
          <w:w w:val="110"/>
        </w:rPr>
        <w:t> </w:t>
      </w:r>
      <w:r>
        <w:rPr>
          <w:color w:val="231F20"/>
          <w:w w:val="110"/>
        </w:rPr>
        <w:t>del</w:t>
      </w:r>
      <w:r>
        <w:rPr>
          <w:color w:val="231F20"/>
          <w:spacing w:val="-7"/>
          <w:w w:val="110"/>
        </w:rPr>
        <w:t> </w:t>
      </w:r>
      <w:r>
        <w:rPr>
          <w:color w:val="231F20"/>
          <w:spacing w:val="-3"/>
          <w:w w:val="110"/>
        </w:rPr>
        <w:t>poder.</w:t>
      </w:r>
      <w:r>
        <w:rPr>
          <w:color w:val="231F20"/>
          <w:spacing w:val="-7"/>
          <w:w w:val="110"/>
        </w:rPr>
        <w:t> </w:t>
      </w:r>
      <w:r>
        <w:rPr>
          <w:color w:val="231F20"/>
          <w:w w:val="110"/>
        </w:rPr>
        <w:t>Ahora,</w:t>
      </w:r>
      <w:r>
        <w:rPr>
          <w:color w:val="231F20"/>
          <w:spacing w:val="-7"/>
          <w:w w:val="110"/>
        </w:rPr>
        <w:t> </w:t>
      </w:r>
      <w:r>
        <w:rPr>
          <w:color w:val="231F20"/>
          <w:w w:val="110"/>
        </w:rPr>
        <w:t>ni</w:t>
      </w:r>
      <w:r>
        <w:rPr>
          <w:color w:val="231F20"/>
          <w:spacing w:val="-7"/>
          <w:w w:val="110"/>
        </w:rPr>
        <w:t> </w:t>
      </w:r>
      <w:r>
        <w:rPr>
          <w:color w:val="231F20"/>
          <w:w w:val="110"/>
        </w:rPr>
        <w:t>sus</w:t>
      </w:r>
      <w:r>
        <w:rPr>
          <w:color w:val="231F20"/>
          <w:spacing w:val="-7"/>
          <w:w w:val="110"/>
        </w:rPr>
        <w:t> </w:t>
      </w:r>
      <w:r>
        <w:rPr>
          <w:color w:val="231F20"/>
          <w:w w:val="110"/>
        </w:rPr>
        <w:t>relacio-</w:t>
      </w:r>
      <w:r>
        <w:rPr>
          <w:color w:val="231F20"/>
          <w:w w:val="72"/>
        </w:rPr>
        <w:t> </w:t>
      </w:r>
      <w:r>
        <w:rPr>
          <w:color w:val="231F20"/>
          <w:w w:val="110"/>
        </w:rPr>
        <w:t>nes</w:t>
      </w:r>
      <w:r>
        <w:rPr>
          <w:color w:val="231F20"/>
          <w:spacing w:val="-13"/>
          <w:w w:val="110"/>
        </w:rPr>
        <w:t> </w:t>
      </w:r>
      <w:r>
        <w:rPr>
          <w:color w:val="231F20"/>
          <w:w w:val="110"/>
        </w:rPr>
        <w:t>establecidas</w:t>
      </w:r>
      <w:r>
        <w:rPr>
          <w:color w:val="231F20"/>
          <w:spacing w:val="-13"/>
          <w:w w:val="110"/>
        </w:rPr>
        <w:t> </w:t>
      </w:r>
      <w:r>
        <w:rPr>
          <w:color w:val="231F20"/>
          <w:w w:val="110"/>
        </w:rPr>
        <w:t>dentro</w:t>
      </w:r>
      <w:r>
        <w:rPr>
          <w:color w:val="231F20"/>
          <w:spacing w:val="-13"/>
          <w:w w:val="110"/>
        </w:rPr>
        <w:t> </w:t>
      </w:r>
      <w:r>
        <w:rPr>
          <w:color w:val="231F20"/>
          <w:w w:val="110"/>
        </w:rPr>
        <w:t>del</w:t>
      </w:r>
      <w:r>
        <w:rPr>
          <w:color w:val="231F20"/>
          <w:spacing w:val="-13"/>
          <w:w w:val="110"/>
        </w:rPr>
        <w:t> </w:t>
      </w:r>
      <w:r>
        <w:rPr>
          <w:color w:val="231F20"/>
          <w:w w:val="110"/>
        </w:rPr>
        <w:t>aparato</w:t>
      </w:r>
      <w:r>
        <w:rPr>
          <w:color w:val="231F20"/>
          <w:spacing w:val="-13"/>
          <w:w w:val="110"/>
        </w:rPr>
        <w:t> </w:t>
      </w:r>
      <w:r>
        <w:rPr>
          <w:color w:val="231F20"/>
          <w:w w:val="110"/>
        </w:rPr>
        <w:t>del</w:t>
      </w:r>
      <w:r>
        <w:rPr>
          <w:color w:val="231F20"/>
          <w:spacing w:val="-13"/>
          <w:w w:val="110"/>
        </w:rPr>
        <w:t> </w:t>
      </w:r>
      <w:r>
        <w:rPr>
          <w:color w:val="231F20"/>
          <w:w w:val="110"/>
        </w:rPr>
        <w:t>estado,</w:t>
      </w:r>
      <w:r>
        <w:rPr>
          <w:color w:val="231F20"/>
          <w:spacing w:val="-13"/>
          <w:w w:val="110"/>
        </w:rPr>
        <w:t> </w:t>
      </w:r>
      <w:r>
        <w:rPr>
          <w:color w:val="231F20"/>
          <w:w w:val="110"/>
        </w:rPr>
        <w:t>ni</w:t>
      </w:r>
      <w:r>
        <w:rPr>
          <w:color w:val="231F20"/>
          <w:spacing w:val="-13"/>
          <w:w w:val="110"/>
        </w:rPr>
        <w:t> </w:t>
      </w:r>
      <w:r>
        <w:rPr>
          <w:color w:val="231F20"/>
          <w:w w:val="110"/>
        </w:rPr>
        <w:t>sus</w:t>
      </w:r>
      <w:r>
        <w:rPr>
          <w:color w:val="231F20"/>
          <w:spacing w:val="-13"/>
          <w:w w:val="110"/>
        </w:rPr>
        <w:t> </w:t>
      </w:r>
      <w:r>
        <w:rPr>
          <w:color w:val="231F20"/>
          <w:w w:val="110"/>
        </w:rPr>
        <w:t>“entendimientos</w:t>
      </w:r>
      <w:r>
        <w:rPr>
          <w:color w:val="231F20"/>
          <w:w w:val="110"/>
        </w:rPr>
        <w:t> </w:t>
      </w:r>
      <w:r>
        <w:rPr>
          <w:color w:val="231F20"/>
          <w:w w:val="110"/>
        </w:rPr>
        <w:t>históricos” con el gran capital fueron viables. </w:t>
      </w:r>
      <w:r>
        <w:rPr>
          <w:color w:val="231F20"/>
          <w:spacing w:val="-3"/>
          <w:w w:val="110"/>
        </w:rPr>
        <w:t>Tampoco</w:t>
      </w:r>
      <w:r>
        <w:rPr>
          <w:color w:val="231F20"/>
          <w:spacing w:val="-19"/>
          <w:w w:val="110"/>
        </w:rPr>
        <w:t> </w:t>
      </w:r>
      <w:r>
        <w:rPr>
          <w:color w:val="231F20"/>
          <w:w w:val="110"/>
        </w:rPr>
        <w:t>fueron</w:t>
      </w:r>
      <w:r>
        <w:rPr>
          <w:color w:val="231F20"/>
          <w:spacing w:val="-3"/>
          <w:w w:val="110"/>
        </w:rPr>
        <w:t> </w:t>
      </w:r>
      <w:r>
        <w:rPr>
          <w:color w:val="231F20"/>
          <w:w w:val="110"/>
        </w:rPr>
        <w:t>capa-</w:t>
      </w:r>
      <w:r>
        <w:rPr>
          <w:color w:val="231F20"/>
          <w:w w:val="72"/>
        </w:rPr>
        <w:t> </w:t>
      </w:r>
      <w:r>
        <w:rPr>
          <w:color w:val="231F20"/>
          <w:w w:val="110"/>
        </w:rPr>
        <w:t>ces</w:t>
      </w:r>
      <w:r>
        <w:rPr>
          <w:color w:val="231F20"/>
          <w:spacing w:val="-6"/>
          <w:w w:val="110"/>
        </w:rPr>
        <w:t> </w:t>
      </w:r>
      <w:r>
        <w:rPr>
          <w:color w:val="231F20"/>
          <w:w w:val="110"/>
        </w:rPr>
        <w:t>de</w:t>
      </w:r>
      <w:r>
        <w:rPr>
          <w:color w:val="231F20"/>
          <w:spacing w:val="-6"/>
          <w:w w:val="110"/>
        </w:rPr>
        <w:t> </w:t>
      </w:r>
      <w:r>
        <w:rPr>
          <w:color w:val="231F20"/>
          <w:w w:val="110"/>
        </w:rPr>
        <w:t>usar</w:t>
      </w:r>
      <w:r>
        <w:rPr>
          <w:color w:val="231F20"/>
          <w:spacing w:val="-6"/>
          <w:w w:val="110"/>
        </w:rPr>
        <w:t> </w:t>
      </w:r>
      <w:r>
        <w:rPr>
          <w:color w:val="231F20"/>
          <w:w w:val="110"/>
        </w:rPr>
        <w:t>su</w:t>
      </w:r>
      <w:r>
        <w:rPr>
          <w:color w:val="231F20"/>
          <w:spacing w:val="-6"/>
          <w:w w:val="110"/>
        </w:rPr>
        <w:t> </w:t>
      </w:r>
      <w:r>
        <w:rPr>
          <w:color w:val="231F20"/>
          <w:w w:val="110"/>
        </w:rPr>
        <w:t>arma</w:t>
      </w:r>
      <w:r>
        <w:rPr>
          <w:color w:val="231F20"/>
          <w:spacing w:val="-6"/>
          <w:w w:val="110"/>
        </w:rPr>
        <w:t> </w:t>
      </w:r>
      <w:r>
        <w:rPr>
          <w:color w:val="231F20"/>
          <w:w w:val="110"/>
        </w:rPr>
        <w:t>fuerte</w:t>
      </w:r>
      <w:r>
        <w:rPr>
          <w:color w:val="231F20"/>
          <w:spacing w:val="-6"/>
          <w:w w:val="110"/>
        </w:rPr>
        <w:t> </w:t>
      </w:r>
      <w:r>
        <w:rPr>
          <w:color w:val="231F20"/>
          <w:w w:val="110"/>
        </w:rPr>
        <w:t>tradicional:</w:t>
      </w:r>
      <w:r>
        <w:rPr>
          <w:color w:val="231F20"/>
          <w:spacing w:val="-6"/>
          <w:w w:val="110"/>
        </w:rPr>
        <w:t> </w:t>
      </w:r>
      <w:r>
        <w:rPr>
          <w:color w:val="231F20"/>
          <w:w w:val="110"/>
        </w:rPr>
        <w:t>las</w:t>
      </w:r>
      <w:r>
        <w:rPr>
          <w:color w:val="231F20"/>
          <w:spacing w:val="-6"/>
          <w:w w:val="110"/>
        </w:rPr>
        <w:t> </w:t>
      </w:r>
      <w:r>
        <w:rPr>
          <w:color w:val="231F20"/>
          <w:w w:val="110"/>
        </w:rPr>
        <w:t>huelgas</w:t>
      </w:r>
      <w:r>
        <w:rPr>
          <w:color w:val="231F20"/>
          <w:spacing w:val="-6"/>
          <w:w w:val="110"/>
        </w:rPr>
        <w:t> </w:t>
      </w:r>
      <w:r>
        <w:rPr>
          <w:color w:val="231F20"/>
          <w:w w:val="110"/>
        </w:rPr>
        <w:t>masivas.</w:t>
      </w:r>
      <w:r>
        <w:rPr>
          <w:color w:val="231F20"/>
          <w:spacing w:val="-6"/>
          <w:w w:val="110"/>
        </w:rPr>
        <w:t> </w:t>
      </w:r>
      <w:r>
        <w:rPr>
          <w:color w:val="231F20"/>
          <w:w w:val="110"/>
        </w:rPr>
        <w:t>El</w:t>
      </w:r>
      <w:r>
        <w:rPr>
          <w:color w:val="231F20"/>
          <w:spacing w:val="-6"/>
          <w:w w:val="110"/>
        </w:rPr>
        <w:t> </w:t>
      </w:r>
      <w:r>
        <w:rPr>
          <w:color w:val="231F20"/>
          <w:w w:val="110"/>
        </w:rPr>
        <w:t>último</w:t>
      </w:r>
      <w:r>
        <w:rPr>
          <w:color w:val="231F20"/>
          <w:w w:val="110"/>
        </w:rPr>
        <w:t> </w:t>
      </w:r>
      <w:r>
        <w:rPr>
          <w:color w:val="231F20"/>
          <w:w w:val="110"/>
        </w:rPr>
        <w:t>momento de expresión de esta consagrada forma de lucha</w:t>
      </w:r>
      <w:r>
        <w:rPr>
          <w:color w:val="231F20"/>
          <w:spacing w:val="32"/>
          <w:w w:val="110"/>
        </w:rPr>
        <w:t> </w:t>
      </w:r>
      <w:r>
        <w:rPr>
          <w:color w:val="231F20"/>
          <w:w w:val="110"/>
        </w:rPr>
        <w:t>llegó</w:t>
      </w:r>
      <w:r>
        <w:rPr>
          <w:color w:val="231F20"/>
          <w:spacing w:val="15"/>
          <w:w w:val="110"/>
        </w:rPr>
        <w:t> </w:t>
      </w:r>
      <w:r>
        <w:rPr>
          <w:color w:val="231F20"/>
          <w:w w:val="110"/>
        </w:rPr>
        <w:t>en</w:t>
      </w:r>
      <w:r>
        <w:rPr>
          <w:color w:val="231F20"/>
          <w:w w:val="116"/>
        </w:rPr>
        <w:t> </w:t>
      </w:r>
      <w:r>
        <w:rPr>
          <w:color w:val="231F20"/>
          <w:w w:val="110"/>
        </w:rPr>
        <w:t>1971.</w:t>
      </w:r>
      <w:r>
        <w:rPr>
          <w:color w:val="231F20"/>
          <w:spacing w:val="32"/>
          <w:w w:val="110"/>
        </w:rPr>
        <w:t> </w:t>
      </w:r>
      <w:r>
        <w:rPr>
          <w:color w:val="231F20"/>
          <w:w w:val="110"/>
        </w:rPr>
        <w:t>En</w:t>
      </w:r>
      <w:r>
        <w:rPr>
          <w:color w:val="231F20"/>
          <w:spacing w:val="32"/>
          <w:w w:val="110"/>
        </w:rPr>
        <w:t> </w:t>
      </w:r>
      <w:r>
        <w:rPr>
          <w:color w:val="231F20"/>
          <w:w w:val="110"/>
        </w:rPr>
        <w:t>un</w:t>
      </w:r>
      <w:r>
        <w:rPr>
          <w:color w:val="231F20"/>
          <w:spacing w:val="32"/>
          <w:w w:val="110"/>
        </w:rPr>
        <w:t> </w:t>
      </w:r>
      <w:r>
        <w:rPr>
          <w:color w:val="231F20"/>
          <w:w w:val="110"/>
        </w:rPr>
        <w:t>momento</w:t>
      </w:r>
      <w:r>
        <w:rPr>
          <w:color w:val="231F20"/>
          <w:spacing w:val="32"/>
          <w:w w:val="110"/>
        </w:rPr>
        <w:t> </w:t>
      </w:r>
      <w:r>
        <w:rPr>
          <w:color w:val="231F20"/>
          <w:w w:val="110"/>
        </w:rPr>
        <w:t>crítico</w:t>
      </w:r>
      <w:r>
        <w:rPr>
          <w:color w:val="231F20"/>
          <w:spacing w:val="32"/>
          <w:w w:val="110"/>
        </w:rPr>
        <w:t> </w:t>
      </w:r>
      <w:r>
        <w:rPr>
          <w:color w:val="231F20"/>
          <w:w w:val="110"/>
        </w:rPr>
        <w:t>para</w:t>
      </w:r>
      <w:r>
        <w:rPr>
          <w:color w:val="231F20"/>
          <w:spacing w:val="32"/>
          <w:w w:val="110"/>
        </w:rPr>
        <w:t> </w:t>
      </w:r>
      <w:r>
        <w:rPr>
          <w:color w:val="231F20"/>
          <w:w w:val="110"/>
        </w:rPr>
        <w:t>el</w:t>
      </w:r>
      <w:r>
        <w:rPr>
          <w:color w:val="231F20"/>
          <w:spacing w:val="32"/>
          <w:w w:val="110"/>
        </w:rPr>
        <w:t> </w:t>
      </w:r>
      <w:r>
        <w:rPr>
          <w:color w:val="231F20"/>
          <w:w w:val="110"/>
        </w:rPr>
        <w:t>capital</w:t>
      </w:r>
      <w:r>
        <w:rPr>
          <w:color w:val="231F20"/>
          <w:spacing w:val="32"/>
          <w:w w:val="110"/>
        </w:rPr>
        <w:t> </w:t>
      </w:r>
      <w:r>
        <w:rPr>
          <w:color w:val="231F20"/>
          <w:w w:val="110"/>
        </w:rPr>
        <w:t>(dada</w:t>
      </w:r>
      <w:r>
        <w:rPr>
          <w:color w:val="231F20"/>
          <w:spacing w:val="32"/>
          <w:w w:val="110"/>
        </w:rPr>
        <w:t> </w:t>
      </w:r>
      <w:r>
        <w:rPr>
          <w:color w:val="231F20"/>
          <w:w w:val="110"/>
        </w:rPr>
        <w:t>la</w:t>
      </w:r>
      <w:r>
        <w:rPr>
          <w:color w:val="231F20"/>
          <w:spacing w:val="32"/>
          <w:w w:val="110"/>
        </w:rPr>
        <w:t> </w:t>
      </w:r>
      <w:r>
        <w:rPr>
          <w:color w:val="231F20"/>
          <w:w w:val="110"/>
        </w:rPr>
        <w:t>caída</w:t>
      </w:r>
      <w:r>
        <w:rPr>
          <w:color w:val="231F20"/>
          <w:spacing w:val="32"/>
          <w:w w:val="110"/>
        </w:rPr>
        <w:t> </w:t>
      </w:r>
      <w:r>
        <w:rPr>
          <w:color w:val="231F20"/>
          <w:w w:val="110"/>
        </w:rPr>
        <w:t>de</w:t>
      </w:r>
      <w:r>
        <w:rPr>
          <w:color w:val="231F20"/>
          <w:spacing w:val="32"/>
          <w:w w:val="110"/>
        </w:rPr>
        <w:t> </w:t>
      </w:r>
      <w:r>
        <w:rPr>
          <w:color w:val="231F20"/>
          <w:w w:val="110"/>
        </w:rPr>
        <w:t>la</w:t>
      </w:r>
      <w:r>
        <w:rPr>
          <w:color w:val="231F20"/>
          <w:w w:val="105"/>
        </w:rPr>
        <w:t> </w:t>
      </w:r>
      <w:r>
        <w:rPr>
          <w:color w:val="231F20"/>
          <w:w w:val="110"/>
        </w:rPr>
        <w:t>tasa de ganancia) los obreros incrementaron su</w:t>
      </w:r>
      <w:r>
        <w:rPr>
          <w:color w:val="231F20"/>
          <w:spacing w:val="11"/>
          <w:w w:val="110"/>
        </w:rPr>
        <w:t> </w:t>
      </w:r>
      <w:r>
        <w:rPr>
          <w:color w:val="231F20"/>
          <w:w w:val="110"/>
        </w:rPr>
        <w:t>militancia,</w:t>
      </w:r>
      <w:r>
        <w:rPr>
          <w:color w:val="231F20"/>
          <w:spacing w:val="9"/>
          <w:w w:val="110"/>
        </w:rPr>
        <w:t> </w:t>
      </w:r>
      <w:r>
        <w:rPr>
          <w:color w:val="231F20"/>
          <w:w w:val="110"/>
        </w:rPr>
        <w:t>llevando</w:t>
      </w:r>
      <w:r>
        <w:rPr>
          <w:color w:val="231F20"/>
          <w:w w:val="107"/>
        </w:rPr>
        <w:t> </w:t>
      </w:r>
      <w:r>
        <w:rPr>
          <w:color w:val="231F20"/>
          <w:w w:val="110"/>
        </w:rPr>
        <w:t>a cabo huelgas demandando condiciones de trabajo mejores</w:t>
      </w:r>
      <w:r>
        <w:rPr>
          <w:color w:val="231F20"/>
          <w:spacing w:val="9"/>
          <w:w w:val="110"/>
        </w:rPr>
        <w:t> </w:t>
      </w:r>
      <w:r>
        <w:rPr>
          <w:color w:val="231F20"/>
          <w:w w:val="110"/>
        </w:rPr>
        <w:t>y</w:t>
      </w:r>
      <w:r>
        <w:rPr>
          <w:color w:val="231F20"/>
          <w:spacing w:val="14"/>
          <w:w w:val="110"/>
        </w:rPr>
        <w:t> </w:t>
      </w:r>
      <w:r>
        <w:rPr>
          <w:color w:val="231F20"/>
          <w:w w:val="110"/>
        </w:rPr>
        <w:t>para</w:t>
      </w:r>
      <w:r>
        <w:rPr>
          <w:color w:val="231F20"/>
          <w:w w:val="112"/>
        </w:rPr>
        <w:t> </w:t>
      </w:r>
      <w:r>
        <w:rPr>
          <w:color w:val="231F20"/>
          <w:w w:val="110"/>
        </w:rPr>
        <w:t>ampliar su poder en el lugar de trabajo. En 1971 había</w:t>
      </w:r>
      <w:r>
        <w:rPr>
          <w:color w:val="231F20"/>
          <w:spacing w:val="52"/>
          <w:w w:val="110"/>
        </w:rPr>
        <w:t> </w:t>
      </w:r>
      <w:r>
        <w:rPr>
          <w:color w:val="231F20"/>
          <w:w w:val="110"/>
        </w:rPr>
        <w:t>298</w:t>
      </w:r>
      <w:r>
        <w:rPr>
          <w:color w:val="231F20"/>
          <w:spacing w:val="4"/>
          <w:w w:val="110"/>
        </w:rPr>
        <w:t> </w:t>
      </w:r>
      <w:r>
        <w:rPr>
          <w:color w:val="231F20"/>
          <w:w w:val="110"/>
        </w:rPr>
        <w:t>huelgas,</w:t>
      </w:r>
      <w:r>
        <w:rPr>
          <w:color w:val="231F20"/>
          <w:w w:val="108"/>
        </w:rPr>
        <w:t> </w:t>
      </w:r>
      <w:r>
        <w:rPr>
          <w:color w:val="231F20"/>
          <w:w w:val="110"/>
        </w:rPr>
        <w:t>que</w:t>
      </w:r>
      <w:r>
        <w:rPr>
          <w:color w:val="231F20"/>
          <w:spacing w:val="-14"/>
          <w:w w:val="110"/>
        </w:rPr>
        <w:t> </w:t>
      </w:r>
      <w:r>
        <w:rPr>
          <w:color w:val="231F20"/>
          <w:w w:val="110"/>
        </w:rPr>
        <w:t>con</w:t>
      </w:r>
      <w:r>
        <w:rPr>
          <w:color w:val="231F20"/>
          <w:spacing w:val="-14"/>
          <w:w w:val="110"/>
        </w:rPr>
        <w:t> </w:t>
      </w:r>
      <w:r>
        <w:rPr>
          <w:color w:val="231F20"/>
          <w:w w:val="110"/>
        </w:rPr>
        <w:t>mil</w:t>
      </w:r>
      <w:r>
        <w:rPr>
          <w:color w:val="231F20"/>
          <w:spacing w:val="-14"/>
          <w:w w:val="110"/>
        </w:rPr>
        <w:t> </w:t>
      </w:r>
      <w:r>
        <w:rPr>
          <w:color w:val="231F20"/>
          <w:w w:val="110"/>
        </w:rPr>
        <w:t>sindicalizados</w:t>
      </w:r>
      <w:r>
        <w:rPr>
          <w:color w:val="231F20"/>
          <w:spacing w:val="-14"/>
          <w:w w:val="110"/>
        </w:rPr>
        <w:t> </w:t>
      </w:r>
      <w:r>
        <w:rPr>
          <w:color w:val="231F20"/>
          <w:w w:val="110"/>
        </w:rPr>
        <w:t>se</w:t>
      </w:r>
      <w:r>
        <w:rPr>
          <w:color w:val="231F20"/>
          <w:spacing w:val="-14"/>
          <w:w w:val="110"/>
        </w:rPr>
        <w:t> </w:t>
      </w:r>
      <w:r>
        <w:rPr>
          <w:color w:val="231F20"/>
          <w:w w:val="110"/>
        </w:rPr>
        <w:t>lograron</w:t>
      </w:r>
      <w:r>
        <w:rPr>
          <w:color w:val="231F20"/>
          <w:spacing w:val="-14"/>
          <w:w w:val="110"/>
        </w:rPr>
        <w:t> </w:t>
      </w:r>
      <w:r>
        <w:rPr>
          <w:color w:val="231F20"/>
          <w:w w:val="110"/>
        </w:rPr>
        <w:t>involucrar</w:t>
      </w:r>
      <w:r>
        <w:rPr>
          <w:color w:val="231F20"/>
          <w:spacing w:val="-14"/>
          <w:w w:val="110"/>
        </w:rPr>
        <w:t> </w:t>
      </w:r>
      <w:r>
        <w:rPr>
          <w:color w:val="231F20"/>
          <w:w w:val="110"/>
        </w:rPr>
        <w:t>a</w:t>
      </w:r>
      <w:r>
        <w:rPr>
          <w:color w:val="231F20"/>
          <w:spacing w:val="-14"/>
          <w:w w:val="110"/>
        </w:rPr>
        <w:t> </w:t>
      </w:r>
      <w:r>
        <w:rPr>
          <w:color w:val="231F20"/>
          <w:w w:val="110"/>
        </w:rPr>
        <w:t>2</w:t>
      </w:r>
      <w:r>
        <w:rPr>
          <w:color w:val="231F20"/>
          <w:spacing w:val="-14"/>
          <w:w w:val="110"/>
        </w:rPr>
        <w:t> </w:t>
      </w:r>
      <w:r>
        <w:rPr>
          <w:color w:val="231F20"/>
          <w:w w:val="110"/>
        </w:rPr>
        <w:t>516</w:t>
      </w:r>
      <w:r>
        <w:rPr>
          <w:color w:val="231F20"/>
          <w:spacing w:val="-14"/>
          <w:w w:val="110"/>
        </w:rPr>
        <w:t> </w:t>
      </w:r>
      <w:r>
        <w:rPr>
          <w:color w:val="231F20"/>
          <w:w w:val="110"/>
        </w:rPr>
        <w:t>000</w:t>
      </w:r>
      <w:r>
        <w:rPr>
          <w:color w:val="231F20"/>
          <w:spacing w:val="-14"/>
          <w:w w:val="110"/>
        </w:rPr>
        <w:t> </w:t>
      </w:r>
      <w:r>
        <w:rPr>
          <w:color w:val="231F20"/>
          <w:w w:val="110"/>
        </w:rPr>
        <w:t>obreros</w:t>
      </w:r>
      <w:r>
        <w:rPr>
          <w:color w:val="231F20"/>
          <w:w w:val="111"/>
        </w:rPr>
        <w:t> </w:t>
      </w:r>
      <w:r>
        <w:rPr>
          <w:color w:val="231F20"/>
          <w:w w:val="110"/>
        </w:rPr>
        <w:t>(La</w:t>
      </w:r>
      <w:r>
        <w:rPr>
          <w:color w:val="231F20"/>
          <w:spacing w:val="-21"/>
          <w:w w:val="110"/>
        </w:rPr>
        <w:t> </w:t>
      </w:r>
      <w:r>
        <w:rPr>
          <w:color w:val="231F20"/>
          <w:w w:val="110"/>
        </w:rPr>
        <w:t>Botz,</w:t>
      </w:r>
      <w:r>
        <w:rPr>
          <w:color w:val="231F20"/>
          <w:spacing w:val="-21"/>
          <w:w w:val="110"/>
        </w:rPr>
        <w:t> </w:t>
      </w:r>
      <w:r>
        <w:rPr>
          <w:color w:val="231F20"/>
          <w:w w:val="110"/>
        </w:rPr>
        <w:t>2010:</w:t>
      </w:r>
      <w:r>
        <w:rPr>
          <w:color w:val="231F20"/>
          <w:spacing w:val="-21"/>
          <w:w w:val="110"/>
        </w:rPr>
        <w:t> </w:t>
      </w:r>
      <w:r>
        <w:rPr>
          <w:color w:val="231F20"/>
          <w:w w:val="110"/>
        </w:rPr>
        <w:t>2).</w:t>
      </w:r>
      <w:r>
        <w:rPr>
          <w:color w:val="231F20"/>
          <w:spacing w:val="-21"/>
          <w:w w:val="110"/>
        </w:rPr>
        <w:t> </w:t>
      </w:r>
      <w:r>
        <w:rPr>
          <w:color w:val="231F20"/>
          <w:w w:val="110"/>
        </w:rPr>
        <w:t>Después,</w:t>
      </w:r>
      <w:r>
        <w:rPr>
          <w:color w:val="231F20"/>
          <w:spacing w:val="-21"/>
          <w:w w:val="110"/>
        </w:rPr>
        <w:t> </w:t>
      </w:r>
      <w:r>
        <w:rPr>
          <w:color w:val="231F20"/>
          <w:w w:val="110"/>
        </w:rPr>
        <w:t>como</w:t>
      </w:r>
      <w:r>
        <w:rPr>
          <w:color w:val="231F20"/>
          <w:spacing w:val="-21"/>
          <w:w w:val="110"/>
        </w:rPr>
        <w:t> </w:t>
      </w:r>
      <w:r>
        <w:rPr>
          <w:color w:val="231F20"/>
          <w:w w:val="110"/>
        </w:rPr>
        <w:t>se</w:t>
      </w:r>
      <w:r>
        <w:rPr>
          <w:color w:val="231F20"/>
          <w:spacing w:val="-21"/>
          <w:w w:val="110"/>
        </w:rPr>
        <w:t> </w:t>
      </w:r>
      <w:r>
        <w:rPr>
          <w:color w:val="231F20"/>
          <w:w w:val="110"/>
        </w:rPr>
        <w:t>verá,</w:t>
      </w:r>
      <w:r>
        <w:rPr>
          <w:color w:val="231F20"/>
          <w:spacing w:val="-21"/>
          <w:w w:val="110"/>
        </w:rPr>
        <w:t> </w:t>
      </w:r>
      <w:r>
        <w:rPr>
          <w:color w:val="231F20"/>
          <w:w w:val="110"/>
        </w:rPr>
        <w:t>este</w:t>
      </w:r>
      <w:r>
        <w:rPr>
          <w:color w:val="231F20"/>
          <w:spacing w:val="-21"/>
          <w:w w:val="110"/>
        </w:rPr>
        <w:t> </w:t>
      </w:r>
      <w:r>
        <w:rPr>
          <w:color w:val="231F20"/>
          <w:w w:val="110"/>
        </w:rPr>
        <w:t>brote</w:t>
      </w:r>
      <w:r>
        <w:rPr>
          <w:color w:val="231F20"/>
          <w:spacing w:val="-21"/>
          <w:w w:val="110"/>
        </w:rPr>
        <w:t> </w:t>
      </w:r>
      <w:r>
        <w:rPr>
          <w:color w:val="231F20"/>
          <w:w w:val="110"/>
        </w:rPr>
        <w:t>de</w:t>
      </w:r>
      <w:r>
        <w:rPr>
          <w:color w:val="231F20"/>
          <w:spacing w:val="-21"/>
          <w:w w:val="110"/>
        </w:rPr>
        <w:t> </w:t>
      </w:r>
      <w:r>
        <w:rPr>
          <w:color w:val="231F20"/>
          <w:w w:val="110"/>
        </w:rPr>
        <w:t>militancia</w:t>
      </w:r>
      <w:r>
        <w:rPr>
          <w:color w:val="231F20"/>
          <w:spacing w:val="-21"/>
          <w:w w:val="110"/>
        </w:rPr>
        <w:t> </w:t>
      </w:r>
      <w:r>
        <w:rPr>
          <w:color w:val="231F20"/>
          <w:w w:val="110"/>
        </w:rPr>
        <w:t>fue</w:t>
      </w:r>
      <w:r>
        <w:rPr>
          <w:color w:val="231F20"/>
          <w:w w:val="109"/>
        </w:rPr>
        <w:t> </w:t>
      </w:r>
      <w:r>
        <w:rPr>
          <w:color w:val="231F20"/>
          <w:w w:val="110"/>
        </w:rPr>
        <w:t>seguido por decenios de silencio por parte de los</w:t>
      </w:r>
      <w:r>
        <w:rPr>
          <w:color w:val="231F20"/>
          <w:spacing w:val="15"/>
          <w:w w:val="110"/>
        </w:rPr>
        <w:t> </w:t>
      </w:r>
      <w:r>
        <w:rPr>
          <w:color w:val="231F20"/>
          <w:w w:val="110"/>
        </w:rPr>
        <w:t>líderes</w:t>
      </w:r>
      <w:r>
        <w:rPr>
          <w:color w:val="231F20"/>
          <w:spacing w:val="7"/>
          <w:w w:val="110"/>
        </w:rPr>
        <w:t> </w:t>
      </w:r>
      <w:r>
        <w:rPr>
          <w:color w:val="231F20"/>
          <w:w w:val="110"/>
        </w:rPr>
        <w:t>sindicales.</w:t>
      </w:r>
      <w:r>
        <w:rPr>
          <w:color w:val="231F20"/>
          <w:w w:val="105"/>
        </w:rPr>
        <w:t> </w:t>
      </w:r>
      <w:r>
        <w:rPr>
          <w:color w:val="231F20"/>
          <w:w w:val="110"/>
        </w:rPr>
        <w:t>En el nuevo clima, ya con la amenaza de mover el</w:t>
      </w:r>
      <w:r>
        <w:rPr>
          <w:color w:val="231F20"/>
          <w:spacing w:val="15"/>
          <w:w w:val="110"/>
        </w:rPr>
        <w:t> </w:t>
      </w:r>
      <w:r>
        <w:rPr>
          <w:color w:val="231F20"/>
          <w:w w:val="110"/>
        </w:rPr>
        <w:t>capital</w:t>
      </w:r>
      <w:r>
        <w:rPr>
          <w:color w:val="231F20"/>
          <w:spacing w:val="6"/>
          <w:w w:val="110"/>
        </w:rPr>
        <w:t> </w:t>
      </w:r>
      <w:r>
        <w:rPr>
          <w:color w:val="231F20"/>
          <w:w w:val="110"/>
        </w:rPr>
        <w:t>manu-</w:t>
      </w:r>
      <w:r>
        <w:rPr>
          <w:color w:val="231F20"/>
          <w:w w:val="72"/>
        </w:rPr>
        <w:t> </w:t>
      </w:r>
      <w:r>
        <w:rPr>
          <w:color w:val="231F20"/>
          <w:w w:val="110"/>
        </w:rPr>
        <w:t>facturero hasta el sur de Estados Unidos —una</w:t>
      </w:r>
      <w:r>
        <w:rPr>
          <w:color w:val="231F20"/>
          <w:spacing w:val="42"/>
          <w:w w:val="110"/>
        </w:rPr>
        <w:t> </w:t>
      </w:r>
      <w:r>
        <w:rPr>
          <w:color w:val="231F20"/>
          <w:w w:val="110"/>
        </w:rPr>
        <w:t>zona</w:t>
      </w:r>
      <w:r>
        <w:rPr>
          <w:color w:val="231F20"/>
          <w:spacing w:val="19"/>
          <w:w w:val="110"/>
        </w:rPr>
        <w:t> </w:t>
      </w:r>
      <w:r>
        <w:rPr>
          <w:color w:val="231F20"/>
          <w:w w:val="110"/>
        </w:rPr>
        <w:t>famosamente</w:t>
      </w:r>
      <w:r>
        <w:rPr>
          <w:color w:val="231F20"/>
          <w:w w:val="109"/>
        </w:rPr>
        <w:t> </w:t>
      </w:r>
      <w:r>
        <w:rPr>
          <w:color w:val="231F20"/>
          <w:w w:val="110"/>
        </w:rPr>
        <w:t>antisindical— o aún más lejos, hasta México o Asia,</w:t>
      </w:r>
      <w:r>
        <w:rPr>
          <w:color w:val="231F20"/>
          <w:spacing w:val="3"/>
          <w:w w:val="110"/>
        </w:rPr>
        <w:t> </w:t>
      </w:r>
      <w:r>
        <w:rPr>
          <w:color w:val="231F20"/>
          <w:w w:val="110"/>
        </w:rPr>
        <w:t>los</w:t>
      </w:r>
      <w:r>
        <w:rPr>
          <w:color w:val="231F20"/>
          <w:spacing w:val="12"/>
          <w:w w:val="110"/>
        </w:rPr>
        <w:t> </w:t>
      </w:r>
      <w:r>
        <w:rPr>
          <w:color w:val="231F20"/>
          <w:w w:val="110"/>
        </w:rPr>
        <w:t>sindicatos</w:t>
      </w:r>
      <w:r>
        <w:rPr>
          <w:color w:val="231F20"/>
          <w:w w:val="107"/>
        </w:rPr>
        <w:t> </w:t>
      </w:r>
      <w:r>
        <w:rPr>
          <w:color w:val="231F20"/>
          <w:w w:val="110"/>
        </w:rPr>
        <w:t>rápidamente perdieron sus habilidades de proteger a</w:t>
      </w:r>
      <w:r>
        <w:rPr>
          <w:color w:val="231F20"/>
          <w:spacing w:val="22"/>
          <w:w w:val="110"/>
        </w:rPr>
        <w:t> </w:t>
      </w:r>
      <w:r>
        <w:rPr>
          <w:color w:val="231F20"/>
          <w:w w:val="110"/>
        </w:rPr>
        <w:t>sus</w:t>
      </w:r>
      <w:r>
        <w:rPr>
          <w:color w:val="231F20"/>
          <w:spacing w:val="11"/>
          <w:w w:val="110"/>
        </w:rPr>
        <w:t> </w:t>
      </w:r>
      <w:r>
        <w:rPr>
          <w:color w:val="231F20"/>
          <w:w w:val="110"/>
        </w:rPr>
        <w:t>miembros.</w:t>
      </w:r>
      <w:r>
        <w:rPr>
          <w:color w:val="231F20"/>
          <w:w w:val="109"/>
        </w:rPr>
        <w:t> </w:t>
      </w:r>
      <w:r>
        <w:rPr>
          <w:color w:val="231F20"/>
          <w:w w:val="110"/>
        </w:rPr>
        <w:t>Como resultado, el porcentaje de la fuerza de</w:t>
      </w:r>
      <w:r>
        <w:rPr>
          <w:color w:val="231F20"/>
          <w:spacing w:val="19"/>
          <w:w w:val="110"/>
        </w:rPr>
        <w:t> </w:t>
      </w:r>
      <w:r>
        <w:rPr>
          <w:color w:val="231F20"/>
          <w:w w:val="110"/>
        </w:rPr>
        <w:t>trabajo</w:t>
      </w:r>
      <w:r>
        <w:rPr>
          <w:color w:val="231F20"/>
          <w:spacing w:val="16"/>
          <w:w w:val="110"/>
        </w:rPr>
        <w:t> </w:t>
      </w:r>
      <w:r>
        <w:rPr>
          <w:color w:val="231F20"/>
          <w:w w:val="110"/>
        </w:rPr>
        <w:t>sindicalizada</w:t>
      </w:r>
      <w:r>
        <w:rPr>
          <w:color w:val="231F20"/>
          <w:w w:val="106"/>
        </w:rPr>
        <w:t> </w:t>
      </w:r>
      <w:r>
        <w:rPr>
          <w:color w:val="231F20"/>
          <w:w w:val="110"/>
        </w:rPr>
        <w:t>entró</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w w:val="110"/>
        </w:rPr>
        <w:t>largo</w:t>
      </w:r>
      <w:r>
        <w:rPr>
          <w:color w:val="231F20"/>
          <w:spacing w:val="-8"/>
          <w:w w:val="110"/>
        </w:rPr>
        <w:t> </w:t>
      </w:r>
      <w:r>
        <w:rPr>
          <w:color w:val="231F20"/>
          <w:w w:val="110"/>
        </w:rPr>
        <w:t>proceso</w:t>
      </w:r>
      <w:r>
        <w:rPr>
          <w:color w:val="231F20"/>
          <w:spacing w:val="-8"/>
          <w:w w:val="110"/>
        </w:rPr>
        <w:t> </w:t>
      </w:r>
      <w:r>
        <w:rPr>
          <w:color w:val="231F20"/>
          <w:w w:val="110"/>
        </w:rPr>
        <w:t>de</w:t>
      </w:r>
      <w:r>
        <w:rPr>
          <w:color w:val="231F20"/>
          <w:spacing w:val="-8"/>
          <w:w w:val="110"/>
        </w:rPr>
        <w:t> </w:t>
      </w:r>
      <w:r>
        <w:rPr>
          <w:color w:val="231F20"/>
          <w:w w:val="110"/>
        </w:rPr>
        <w:t>colapso.</w:t>
      </w:r>
      <w:r>
        <w:rPr>
          <w:color w:val="231F20"/>
          <w:spacing w:val="-8"/>
          <w:w w:val="110"/>
        </w:rPr>
        <w:t> </w:t>
      </w:r>
      <w:r>
        <w:rPr>
          <w:color w:val="231F20"/>
          <w:w w:val="110"/>
        </w:rPr>
        <w:t>Aún</w:t>
      </w:r>
      <w:r>
        <w:rPr>
          <w:color w:val="231F20"/>
          <w:spacing w:val="-8"/>
          <w:w w:val="110"/>
        </w:rPr>
        <w:t> </w:t>
      </w:r>
      <w:r>
        <w:rPr>
          <w:color w:val="231F20"/>
          <w:w w:val="110"/>
        </w:rPr>
        <w:t>en</w:t>
      </w:r>
      <w:r>
        <w:rPr>
          <w:color w:val="231F20"/>
          <w:spacing w:val="-8"/>
          <w:w w:val="110"/>
        </w:rPr>
        <w:t> </w:t>
      </w:r>
      <w:r>
        <w:rPr>
          <w:color w:val="231F20"/>
          <w:w w:val="110"/>
        </w:rPr>
        <w:t>1979</w:t>
      </w:r>
      <w:r>
        <w:rPr>
          <w:color w:val="231F20"/>
          <w:spacing w:val="-8"/>
          <w:w w:val="110"/>
        </w:rPr>
        <w:t> </w:t>
      </w:r>
      <w:r>
        <w:rPr>
          <w:color w:val="231F20"/>
          <w:w w:val="110"/>
        </w:rPr>
        <w:t>la</w:t>
      </w:r>
      <w:r>
        <w:rPr>
          <w:color w:val="231F20"/>
          <w:spacing w:val="-8"/>
          <w:w w:val="110"/>
        </w:rPr>
        <w:t> </w:t>
      </w:r>
      <w:r>
        <w:rPr>
          <w:color w:val="231F20"/>
          <w:w w:val="110"/>
        </w:rPr>
        <w:t>tasa</w:t>
      </w:r>
      <w:r>
        <w:rPr>
          <w:color w:val="231F20"/>
          <w:spacing w:val="-8"/>
          <w:w w:val="110"/>
        </w:rPr>
        <w:t> </w:t>
      </w:r>
      <w:r>
        <w:rPr>
          <w:color w:val="231F20"/>
          <w:w w:val="110"/>
        </w:rPr>
        <w:t>de</w:t>
      </w:r>
      <w:r>
        <w:rPr>
          <w:color w:val="231F20"/>
          <w:spacing w:val="-8"/>
          <w:w w:val="110"/>
        </w:rPr>
        <w:t> </w:t>
      </w:r>
      <w:r>
        <w:rPr>
          <w:color w:val="231F20"/>
          <w:w w:val="110"/>
        </w:rPr>
        <w:t>sindica-</w:t>
      </w:r>
      <w:r>
        <w:rPr>
          <w:color w:val="231F20"/>
          <w:w w:val="72"/>
        </w:rPr>
        <w:t> </w:t>
      </w:r>
      <w:r>
        <w:rPr>
          <w:color w:val="231F20"/>
          <w:w w:val="110"/>
        </w:rPr>
        <w:t>lización</w:t>
      </w:r>
      <w:r>
        <w:rPr>
          <w:color w:val="231F20"/>
          <w:spacing w:val="-8"/>
          <w:w w:val="110"/>
        </w:rPr>
        <w:t> </w:t>
      </w:r>
      <w:r>
        <w:rPr>
          <w:color w:val="231F20"/>
          <w:w w:val="110"/>
        </w:rPr>
        <w:t>era</w:t>
      </w:r>
      <w:r>
        <w:rPr>
          <w:color w:val="231F20"/>
          <w:spacing w:val="-8"/>
          <w:w w:val="110"/>
        </w:rPr>
        <w:t> </w:t>
      </w:r>
      <w:r>
        <w:rPr>
          <w:color w:val="231F20"/>
          <w:w w:val="110"/>
        </w:rPr>
        <w:t>relativamente</w:t>
      </w:r>
      <w:r>
        <w:rPr>
          <w:color w:val="231F20"/>
          <w:spacing w:val="-8"/>
          <w:w w:val="110"/>
        </w:rPr>
        <w:t> </w:t>
      </w:r>
      <w:r>
        <w:rPr>
          <w:color w:val="231F20"/>
          <w:w w:val="110"/>
        </w:rPr>
        <w:t>alta</w:t>
      </w:r>
      <w:r>
        <w:rPr>
          <w:color w:val="231F20"/>
          <w:spacing w:val="-8"/>
          <w:w w:val="110"/>
        </w:rPr>
        <w:t> </w:t>
      </w:r>
      <w:r>
        <w:rPr>
          <w:color w:val="231F20"/>
          <w:w w:val="110"/>
        </w:rPr>
        <w:t>para</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27%.</w:t>
      </w:r>
      <w:r>
        <w:rPr>
          <w:color w:val="231F20"/>
          <w:spacing w:val="-8"/>
          <w:w w:val="110"/>
        </w:rPr>
        <w:t> </w:t>
      </w:r>
      <w:r>
        <w:rPr>
          <w:color w:val="231F20"/>
          <w:w w:val="110"/>
        </w:rPr>
        <w:t>Pero</w:t>
      </w:r>
      <w:r>
        <w:rPr>
          <w:color w:val="231F20"/>
          <w:spacing w:val="-8"/>
          <w:w w:val="110"/>
        </w:rPr>
        <w:t> </w:t>
      </w:r>
      <w:r>
        <w:rPr>
          <w:color w:val="231F20"/>
          <w:w w:val="110"/>
        </w:rPr>
        <w:t>en</w:t>
      </w:r>
      <w:r>
        <w:rPr>
          <w:color w:val="231F20"/>
          <w:spacing w:val="-8"/>
          <w:w w:val="110"/>
        </w:rPr>
        <w:t> </w:t>
      </w:r>
      <w:r>
        <w:rPr>
          <w:color w:val="231F20"/>
          <w:w w:val="110"/>
        </w:rPr>
        <w:t>un</w:t>
      </w:r>
      <w:r>
        <w:rPr>
          <w:color w:val="231F20"/>
          <w:w w:val="118"/>
        </w:rPr>
        <w:t> </w:t>
      </w:r>
      <w:r>
        <w:rPr>
          <w:color w:val="231F20"/>
          <w:w w:val="110"/>
        </w:rPr>
        <w:t>desplomé</w:t>
      </w:r>
      <w:r>
        <w:rPr>
          <w:color w:val="231F20"/>
          <w:spacing w:val="-5"/>
          <w:w w:val="110"/>
        </w:rPr>
        <w:t> </w:t>
      </w:r>
      <w:r>
        <w:rPr>
          <w:color w:val="231F20"/>
          <w:w w:val="110"/>
        </w:rPr>
        <w:t>secuencial</w:t>
      </w:r>
      <w:r>
        <w:rPr>
          <w:color w:val="231F20"/>
          <w:spacing w:val="-5"/>
          <w:w w:val="110"/>
        </w:rPr>
        <w:t> </w:t>
      </w:r>
      <w:r>
        <w:rPr>
          <w:color w:val="231F20"/>
          <w:w w:val="110"/>
        </w:rPr>
        <w:t>esta</w:t>
      </w:r>
      <w:r>
        <w:rPr>
          <w:color w:val="231F20"/>
          <w:spacing w:val="-5"/>
          <w:w w:val="110"/>
        </w:rPr>
        <w:t> </w:t>
      </w:r>
      <w:r>
        <w:rPr>
          <w:color w:val="231F20"/>
          <w:w w:val="110"/>
        </w:rPr>
        <w:t>tasa</w:t>
      </w:r>
      <w:r>
        <w:rPr>
          <w:color w:val="231F20"/>
          <w:spacing w:val="-5"/>
          <w:w w:val="110"/>
        </w:rPr>
        <w:t> </w:t>
      </w:r>
      <w:r>
        <w:rPr>
          <w:color w:val="231F20"/>
          <w:w w:val="110"/>
        </w:rPr>
        <w:t>llegó</w:t>
      </w:r>
      <w:r>
        <w:rPr>
          <w:color w:val="231F20"/>
          <w:spacing w:val="-5"/>
          <w:w w:val="110"/>
        </w:rPr>
        <w:t> </w:t>
      </w:r>
      <w:r>
        <w:rPr>
          <w:color w:val="231F20"/>
          <w:w w:val="110"/>
        </w:rPr>
        <w:t>a</w:t>
      </w:r>
      <w:r>
        <w:rPr>
          <w:color w:val="231F20"/>
          <w:spacing w:val="-5"/>
          <w:w w:val="110"/>
        </w:rPr>
        <w:t> </w:t>
      </w:r>
      <w:r>
        <w:rPr>
          <w:color w:val="231F20"/>
          <w:w w:val="110"/>
        </w:rPr>
        <w:t>12.3%</w:t>
      </w:r>
      <w:r>
        <w:rPr>
          <w:color w:val="231F20"/>
          <w:spacing w:val="-5"/>
          <w:w w:val="110"/>
        </w:rPr>
        <w:t> </w:t>
      </w:r>
      <w:r>
        <w:rPr>
          <w:color w:val="231F20"/>
          <w:w w:val="110"/>
        </w:rPr>
        <w:t>en</w:t>
      </w:r>
      <w:r>
        <w:rPr>
          <w:color w:val="231F20"/>
          <w:spacing w:val="-5"/>
          <w:w w:val="110"/>
        </w:rPr>
        <w:t> </w:t>
      </w:r>
      <w:r>
        <w:rPr>
          <w:color w:val="231F20"/>
          <w:w w:val="110"/>
        </w:rPr>
        <w:t>2009,</w:t>
      </w:r>
      <w:r>
        <w:rPr>
          <w:color w:val="231F20"/>
          <w:spacing w:val="-5"/>
          <w:w w:val="110"/>
        </w:rPr>
        <w:t> </w:t>
      </w:r>
      <w:r>
        <w:rPr>
          <w:color w:val="231F20"/>
          <w:w w:val="110"/>
        </w:rPr>
        <w:t>incluyendo</w:t>
      </w:r>
      <w:r>
        <w:rPr>
          <w:color w:val="231F20"/>
          <w:spacing w:val="-5"/>
          <w:w w:val="110"/>
        </w:rPr>
        <w:t> </w:t>
      </w:r>
      <w:r>
        <w:rPr>
          <w:color w:val="231F20"/>
          <w:w w:val="110"/>
        </w:rPr>
        <w:t>los</w:t>
      </w:r>
      <w:r>
        <w:rPr>
          <w:color w:val="231F20"/>
          <w:w w:val="102"/>
        </w:rPr>
        <w:t> </w:t>
      </w:r>
      <w:r>
        <w:rPr>
          <w:color w:val="231F20"/>
          <w:w w:val="110"/>
        </w:rPr>
        <w:t>sindicatos del sector público (Mischel, Bernstein y</w:t>
      </w:r>
      <w:r>
        <w:rPr>
          <w:color w:val="231F20"/>
          <w:spacing w:val="30"/>
          <w:w w:val="110"/>
        </w:rPr>
        <w:t> </w:t>
      </w:r>
      <w:r>
        <w:rPr>
          <w:color w:val="231F20"/>
          <w:w w:val="110"/>
        </w:rPr>
        <w:t>Shierholz,</w:t>
      </w:r>
      <w:r>
        <w:rPr>
          <w:color w:val="231F20"/>
          <w:spacing w:val="4"/>
          <w:w w:val="110"/>
        </w:rPr>
        <w:t> </w:t>
      </w:r>
      <w:r>
        <w:rPr>
          <w:color w:val="231F20"/>
          <w:w w:val="110"/>
        </w:rPr>
        <w:t>2009:</w:t>
      </w:r>
      <w:r>
        <w:rPr>
          <w:color w:val="231F20"/>
          <w:w w:val="102"/>
        </w:rPr>
        <w:t> </w:t>
      </w:r>
      <w:r>
        <w:rPr>
          <w:color w:val="231F20"/>
          <w:w w:val="110"/>
        </w:rPr>
        <w:t>200; Greenhouse, 2010: B5). A partir de una declaración</w:t>
      </w:r>
      <w:r>
        <w:rPr>
          <w:color w:val="231F20"/>
          <w:spacing w:val="50"/>
          <w:w w:val="110"/>
        </w:rPr>
        <w:t> </w:t>
      </w:r>
      <w:r>
        <w:rPr>
          <w:color w:val="231F20"/>
          <w:w w:val="110"/>
        </w:rPr>
        <w:t>de</w:t>
      </w:r>
      <w:r>
        <w:rPr>
          <w:color w:val="231F20"/>
          <w:spacing w:val="11"/>
          <w:w w:val="110"/>
        </w:rPr>
        <w:t> </w:t>
      </w:r>
      <w:r>
        <w:rPr>
          <w:color w:val="231F20"/>
          <w:w w:val="110"/>
        </w:rPr>
        <w:t>guerra</w:t>
      </w:r>
      <w:r>
        <w:rPr>
          <w:color w:val="231F20"/>
          <w:w w:val="112"/>
        </w:rPr>
        <w:t> </w:t>
      </w:r>
      <w:r>
        <w:rPr>
          <w:color w:val="231F20"/>
          <w:w w:val="110"/>
        </w:rPr>
        <w:t>social</w:t>
      </w:r>
      <w:r>
        <w:rPr>
          <w:color w:val="231F20"/>
          <w:spacing w:val="-7"/>
          <w:w w:val="110"/>
        </w:rPr>
        <w:t> </w:t>
      </w:r>
      <w:r>
        <w:rPr>
          <w:color w:val="231F20"/>
          <w:w w:val="110"/>
        </w:rPr>
        <w:t>por</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presidente</w:t>
      </w:r>
      <w:r>
        <w:rPr>
          <w:color w:val="231F20"/>
          <w:spacing w:val="-7"/>
          <w:w w:val="110"/>
        </w:rPr>
        <w:t> </w:t>
      </w:r>
      <w:r>
        <w:rPr>
          <w:color w:val="231F20"/>
          <w:w w:val="110"/>
        </w:rPr>
        <w:t>Reagan,</w:t>
      </w:r>
      <w:r>
        <w:rPr>
          <w:color w:val="231F20"/>
          <w:spacing w:val="-7"/>
          <w:w w:val="110"/>
        </w:rPr>
        <w:t> </w:t>
      </w:r>
      <w:r>
        <w:rPr>
          <w:color w:val="231F20"/>
          <w:w w:val="110"/>
        </w:rPr>
        <w:t>los</w:t>
      </w:r>
      <w:r>
        <w:rPr>
          <w:color w:val="231F20"/>
          <w:spacing w:val="-7"/>
          <w:w w:val="110"/>
        </w:rPr>
        <w:t> </w:t>
      </w:r>
      <w:r>
        <w:rPr>
          <w:color w:val="231F20"/>
          <w:w w:val="110"/>
        </w:rPr>
        <w:t>sindicatos</w:t>
      </w:r>
      <w:r>
        <w:rPr>
          <w:color w:val="231F20"/>
          <w:spacing w:val="-7"/>
          <w:w w:val="110"/>
        </w:rPr>
        <w:t> </w:t>
      </w:r>
      <w:r>
        <w:rPr>
          <w:color w:val="231F20"/>
          <w:w w:val="110"/>
        </w:rPr>
        <w:t>inmediatamente</w:t>
      </w:r>
      <w:r>
        <w:rPr>
          <w:color w:val="231F20"/>
          <w:w w:val="112"/>
        </w:rPr>
        <w:t> </w:t>
      </w:r>
      <w:r>
        <w:rPr>
          <w:color w:val="231F20"/>
          <w:w w:val="110"/>
        </w:rPr>
        <w:t>se doblegaron —en 1981 eran solamente 145 huelgas en lugares </w:t>
      </w:r>
      <w:r>
        <w:rPr>
          <w:color w:val="231F20"/>
          <w:spacing w:val="31"/>
          <w:w w:val="110"/>
        </w:rPr>
        <w:t> </w:t>
      </w:r>
      <w:r>
        <w:rPr>
          <w:color w:val="231F20"/>
          <w:w w:val="110"/>
        </w:rPr>
        <w:t>de</w:t>
      </w:r>
    </w:p>
    <w:p>
      <w:pPr>
        <w:spacing w:after="0" w:line="261" w:lineRule="auto"/>
        <w:jc w:val="right"/>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trabajo</w:t>
      </w:r>
      <w:r>
        <w:rPr>
          <w:color w:val="231F20"/>
          <w:spacing w:val="-19"/>
          <w:w w:val="110"/>
        </w:rPr>
        <w:t> </w:t>
      </w:r>
      <w:r>
        <w:rPr>
          <w:color w:val="231F20"/>
          <w:w w:val="110"/>
        </w:rPr>
        <w:t>con</w:t>
      </w:r>
      <w:r>
        <w:rPr>
          <w:color w:val="231F20"/>
          <w:spacing w:val="-19"/>
          <w:w w:val="110"/>
        </w:rPr>
        <w:t> </w:t>
      </w:r>
      <w:r>
        <w:rPr>
          <w:color w:val="231F20"/>
          <w:w w:val="110"/>
        </w:rPr>
        <w:t>más</w:t>
      </w:r>
      <w:r>
        <w:rPr>
          <w:color w:val="231F20"/>
          <w:spacing w:val="-19"/>
          <w:w w:val="110"/>
        </w:rPr>
        <w:t> </w:t>
      </w:r>
      <w:r>
        <w:rPr>
          <w:color w:val="231F20"/>
          <w:w w:val="110"/>
        </w:rPr>
        <w:t>de</w:t>
      </w:r>
      <w:r>
        <w:rPr>
          <w:color w:val="231F20"/>
          <w:spacing w:val="-19"/>
          <w:w w:val="110"/>
        </w:rPr>
        <w:t> </w:t>
      </w:r>
      <w:r>
        <w:rPr>
          <w:color w:val="231F20"/>
          <w:w w:val="110"/>
        </w:rPr>
        <w:t>mil</w:t>
      </w:r>
      <w:r>
        <w:rPr>
          <w:color w:val="231F20"/>
          <w:spacing w:val="-19"/>
          <w:w w:val="110"/>
        </w:rPr>
        <w:t> </w:t>
      </w:r>
      <w:r>
        <w:rPr>
          <w:color w:val="231F20"/>
          <w:w w:val="110"/>
        </w:rPr>
        <w:t>obreros</w:t>
      </w:r>
      <w:r>
        <w:rPr>
          <w:color w:val="231F20"/>
          <w:spacing w:val="-19"/>
          <w:w w:val="110"/>
        </w:rPr>
        <w:t> </w:t>
      </w:r>
      <w:r>
        <w:rPr>
          <w:color w:val="231F20"/>
          <w:w w:val="110"/>
        </w:rPr>
        <w:t>sindicalizados,</w:t>
      </w:r>
      <w:r>
        <w:rPr>
          <w:color w:val="231F20"/>
          <w:spacing w:val="-19"/>
          <w:w w:val="110"/>
        </w:rPr>
        <w:t> </w:t>
      </w:r>
      <w:r>
        <w:rPr>
          <w:color w:val="231F20"/>
          <w:w w:val="110"/>
        </w:rPr>
        <w:t>involucrando</w:t>
      </w:r>
      <w:r>
        <w:rPr>
          <w:color w:val="231F20"/>
          <w:spacing w:val="-19"/>
          <w:w w:val="110"/>
        </w:rPr>
        <w:t> </w:t>
      </w:r>
      <w:r>
        <w:rPr>
          <w:color w:val="231F20"/>
          <w:w w:val="110"/>
        </w:rPr>
        <w:t>solamen-</w:t>
      </w:r>
      <w:r>
        <w:rPr>
          <w:color w:val="231F20"/>
          <w:w w:val="72"/>
        </w:rPr>
        <w:t> </w:t>
      </w:r>
      <w:r>
        <w:rPr>
          <w:color w:val="231F20"/>
          <w:w w:val="110"/>
        </w:rPr>
        <w:t>te a 729 000 trabajadores— (LaBotz 2010:</w:t>
      </w:r>
      <w:r>
        <w:rPr>
          <w:color w:val="231F20"/>
          <w:spacing w:val="-34"/>
          <w:w w:val="110"/>
        </w:rPr>
        <w:t> </w:t>
      </w:r>
      <w:r>
        <w:rPr>
          <w:color w:val="231F20"/>
          <w:w w:val="110"/>
        </w:rPr>
        <w:t>3).</w:t>
      </w:r>
    </w:p>
    <w:p>
      <w:pPr>
        <w:pStyle w:val="BodyText"/>
        <w:spacing w:line="261" w:lineRule="auto"/>
        <w:ind w:left="100" w:right="115" w:firstLine="240"/>
        <w:jc w:val="both"/>
      </w:pPr>
      <w:r>
        <w:rPr>
          <w:color w:val="231F20"/>
          <w:w w:val="105"/>
        </w:rPr>
        <w:t>Sin los sindicatos luchando por la repartición del pastel, los obre-  ros de producción han perdido la capacidad de recibir un pago mí- nimamente justo. Como podemos ver en la gráfica 1, aunque desde principios de los años setenta la productividad bruta se ha duplicado prácticamente, el pago promedio real por hora ha bajado  casi  en  10%. Entre 1972 y 2009 la “compensación” real (salario + préstamos) por trabajador aumentó, en promedio, 11%. ¿Qué pasó con una cantidad tan gigante de valor que resulta de  la  diferencia  entre  el pago y la productividad? Por supuesto esto ha sido transferido 1] a    los dueños de las acciones, 2] a los gerentes que han decidido darles fuertes “opciones de acciones” y 3] a pagos de salarios multimillona- rios</w:t>
      </w:r>
      <w:r>
        <w:rPr>
          <w:color w:val="231F20"/>
          <w:spacing w:val="35"/>
          <w:w w:val="105"/>
        </w:rPr>
        <w:t> </w:t>
      </w:r>
      <w:r>
        <w:rPr>
          <w:color w:val="231F20"/>
          <w:w w:val="105"/>
        </w:rPr>
        <w:t>sin</w:t>
      </w:r>
      <w:r>
        <w:rPr>
          <w:color w:val="231F20"/>
          <w:spacing w:val="35"/>
          <w:w w:val="105"/>
        </w:rPr>
        <w:t> </w:t>
      </w:r>
      <w:r>
        <w:rPr>
          <w:color w:val="231F20"/>
          <w:w w:val="105"/>
        </w:rPr>
        <w:t>precedentes</w:t>
      </w:r>
      <w:r>
        <w:rPr>
          <w:color w:val="231F20"/>
          <w:spacing w:val="35"/>
          <w:w w:val="105"/>
        </w:rPr>
        <w:t> </w:t>
      </w:r>
      <w:r>
        <w:rPr>
          <w:color w:val="231F20"/>
          <w:w w:val="105"/>
        </w:rPr>
        <w:t>para</w:t>
      </w:r>
      <w:r>
        <w:rPr>
          <w:color w:val="231F20"/>
          <w:spacing w:val="35"/>
          <w:w w:val="105"/>
        </w:rPr>
        <w:t> </w:t>
      </w:r>
      <w:r>
        <w:rPr>
          <w:color w:val="231F20"/>
          <w:w w:val="105"/>
        </w:rPr>
        <w:t>los</w:t>
      </w:r>
      <w:r>
        <w:rPr>
          <w:color w:val="231F20"/>
          <w:spacing w:val="35"/>
          <w:w w:val="105"/>
        </w:rPr>
        <w:t> </w:t>
      </w:r>
      <w:r>
        <w:rPr>
          <w:color w:val="231F20"/>
          <w:w w:val="105"/>
        </w:rPr>
        <w:t>ejecutivos</w:t>
      </w:r>
      <w:r>
        <w:rPr>
          <w:color w:val="231F20"/>
          <w:spacing w:val="35"/>
          <w:w w:val="105"/>
        </w:rPr>
        <w:t> </w:t>
      </w:r>
      <w:r>
        <w:rPr>
          <w:color w:val="231F20"/>
          <w:w w:val="105"/>
        </w:rPr>
        <w:t>de</w:t>
      </w:r>
      <w:r>
        <w:rPr>
          <w:color w:val="231F20"/>
          <w:spacing w:val="35"/>
          <w:w w:val="105"/>
        </w:rPr>
        <w:t> </w:t>
      </w:r>
      <w:r>
        <w:rPr>
          <w:color w:val="231F20"/>
          <w:w w:val="105"/>
        </w:rPr>
        <w:t>primera</w:t>
      </w:r>
      <w:r>
        <w:rPr>
          <w:color w:val="231F20"/>
          <w:spacing w:val="35"/>
          <w:w w:val="105"/>
        </w:rPr>
        <w:t> </w:t>
      </w:r>
      <w:r>
        <w:rPr>
          <w:color w:val="231F20"/>
          <w:w w:val="105"/>
        </w:rPr>
        <w:t>línea.</w:t>
      </w:r>
    </w:p>
    <w:p>
      <w:pPr>
        <w:pStyle w:val="BodyText"/>
        <w:spacing w:line="261" w:lineRule="auto"/>
        <w:ind w:left="100" w:right="117" w:firstLine="240"/>
        <w:jc w:val="both"/>
      </w:pPr>
      <w:r>
        <w:rPr>
          <w:color w:val="231F20"/>
          <w:w w:val="110"/>
        </w:rPr>
        <w:t>Estimamos esta cantidad en 2.15 billones</w:t>
      </w:r>
      <w:r>
        <w:rPr>
          <w:i/>
          <w:color w:val="231F20"/>
          <w:w w:val="110"/>
        </w:rPr>
        <w:t>, </w:t>
      </w:r>
      <w:r>
        <w:rPr>
          <w:color w:val="231F20"/>
          <w:w w:val="110"/>
        </w:rPr>
        <w:t>siendo 15.2% del pib estadunidense en 2009.</w:t>
      </w:r>
      <w:r>
        <w:rPr>
          <w:color w:val="231F20"/>
          <w:w w:val="110"/>
          <w:position w:val="6"/>
          <w:sz w:val="13"/>
        </w:rPr>
        <w:t>1 </w:t>
      </w:r>
      <w:r>
        <w:rPr>
          <w:color w:val="231F20"/>
          <w:w w:val="110"/>
        </w:rPr>
        <w:t>Los resultados de la gráfica 1 están direc- tamente vinculados con la ruptura del </w:t>
      </w:r>
      <w:r>
        <w:rPr>
          <w:i/>
          <w:color w:val="231F20"/>
          <w:spacing w:val="-3"/>
          <w:w w:val="110"/>
        </w:rPr>
        <w:t>Tratado </w:t>
      </w:r>
      <w:r>
        <w:rPr>
          <w:i/>
          <w:color w:val="231F20"/>
          <w:w w:val="110"/>
        </w:rPr>
        <w:t>de Detroit:</w:t>
      </w:r>
      <w:r>
        <w:rPr>
          <w:i/>
          <w:color w:val="231F20"/>
          <w:spacing w:val="-9"/>
          <w:w w:val="110"/>
        </w:rPr>
        <w:t> </w:t>
      </w:r>
      <w:r>
        <w:rPr>
          <w:color w:val="231F20"/>
          <w:w w:val="110"/>
        </w:rPr>
        <w:t>“Mientras que la clase trabajadora estadunidense se enfrentó al asalto patronal más grande desde los años treinta, los oficiales sindicales</w:t>
      </w:r>
      <w:r>
        <w:rPr>
          <w:color w:val="231F20"/>
          <w:spacing w:val="8"/>
          <w:w w:val="110"/>
        </w:rPr>
        <w:t> </w:t>
      </w:r>
      <w:r>
        <w:rPr>
          <w:color w:val="231F20"/>
          <w:w w:val="110"/>
        </w:rPr>
        <w:t>mostraron</w:t>
      </w:r>
    </w:p>
    <w:p>
      <w:pPr>
        <w:pStyle w:val="BodyText"/>
      </w:pPr>
    </w:p>
    <w:p>
      <w:pPr>
        <w:spacing w:before="152"/>
        <w:ind w:left="340" w:right="25" w:firstLine="0"/>
        <w:jc w:val="left"/>
        <w:rPr>
          <w:sz w:val="16"/>
        </w:rPr>
      </w:pPr>
      <w:r>
        <w:rPr>
          <w:color w:val="231F20"/>
          <w:w w:val="110"/>
          <w:position w:val="5"/>
          <w:sz w:val="10"/>
        </w:rPr>
        <w:t>1   </w:t>
      </w:r>
      <w:r>
        <w:rPr>
          <w:color w:val="231F20"/>
          <w:w w:val="110"/>
          <w:sz w:val="16"/>
        </w:rPr>
        <w:t>Este cálculo está basado en el salario promedio recibido en 1972, que era de</w:t>
      </w:r>
    </w:p>
    <w:p>
      <w:pPr>
        <w:spacing w:line="261" w:lineRule="auto" w:before="16"/>
        <w:ind w:left="100" w:right="117" w:firstLine="0"/>
        <w:jc w:val="both"/>
        <w:rPr>
          <w:sz w:val="16"/>
        </w:rPr>
      </w:pPr>
      <w:r>
        <w:rPr>
          <w:color w:val="231F20"/>
          <w:w w:val="110"/>
          <w:sz w:val="16"/>
        </w:rPr>
        <w:t>17.88</w:t>
      </w:r>
      <w:r>
        <w:rPr>
          <w:color w:val="231F20"/>
          <w:spacing w:val="-9"/>
          <w:w w:val="110"/>
          <w:sz w:val="16"/>
        </w:rPr>
        <w:t> </w:t>
      </w:r>
      <w:r>
        <w:rPr>
          <w:color w:val="231F20"/>
          <w:w w:val="110"/>
          <w:sz w:val="16"/>
        </w:rPr>
        <w:t>y</w:t>
      </w:r>
      <w:r>
        <w:rPr>
          <w:color w:val="231F20"/>
          <w:spacing w:val="-9"/>
          <w:w w:val="110"/>
          <w:sz w:val="16"/>
        </w:rPr>
        <w:t> </w:t>
      </w:r>
      <w:r>
        <w:rPr>
          <w:color w:val="231F20"/>
          <w:w w:val="110"/>
          <w:sz w:val="16"/>
        </w:rPr>
        <w:t>el</w:t>
      </w:r>
      <w:r>
        <w:rPr>
          <w:color w:val="231F20"/>
          <w:spacing w:val="-9"/>
          <w:w w:val="110"/>
          <w:sz w:val="16"/>
        </w:rPr>
        <w:t> </w:t>
      </w:r>
      <w:r>
        <w:rPr>
          <w:color w:val="231F20"/>
          <w:w w:val="110"/>
          <w:sz w:val="16"/>
        </w:rPr>
        <w:t>valor</w:t>
      </w:r>
      <w:r>
        <w:rPr>
          <w:color w:val="231F20"/>
          <w:spacing w:val="-9"/>
          <w:w w:val="110"/>
          <w:sz w:val="16"/>
        </w:rPr>
        <w:t> </w:t>
      </w:r>
      <w:r>
        <w:rPr>
          <w:color w:val="231F20"/>
          <w:w w:val="110"/>
          <w:sz w:val="16"/>
        </w:rPr>
        <w:t>de</w:t>
      </w:r>
      <w:r>
        <w:rPr>
          <w:color w:val="231F20"/>
          <w:spacing w:val="-9"/>
          <w:w w:val="110"/>
          <w:sz w:val="16"/>
        </w:rPr>
        <w:t> </w:t>
      </w:r>
      <w:r>
        <w:rPr>
          <w:color w:val="231F20"/>
          <w:w w:val="110"/>
          <w:sz w:val="16"/>
        </w:rPr>
        <w:t>los</w:t>
      </w:r>
      <w:r>
        <w:rPr>
          <w:color w:val="231F20"/>
          <w:spacing w:val="-9"/>
          <w:w w:val="110"/>
          <w:sz w:val="16"/>
        </w:rPr>
        <w:t> </w:t>
      </w:r>
      <w:r>
        <w:rPr>
          <w:color w:val="231F20"/>
          <w:w w:val="110"/>
          <w:sz w:val="16"/>
        </w:rPr>
        <w:t>préstamos</w:t>
      </w:r>
      <w:r>
        <w:rPr>
          <w:color w:val="231F20"/>
          <w:spacing w:val="-9"/>
          <w:w w:val="110"/>
          <w:sz w:val="16"/>
        </w:rPr>
        <w:t> </w:t>
      </w:r>
      <w:r>
        <w:rPr>
          <w:color w:val="231F20"/>
          <w:w w:val="110"/>
          <w:sz w:val="16"/>
        </w:rPr>
        <w:t>por</w:t>
      </w:r>
      <w:r>
        <w:rPr>
          <w:color w:val="231F20"/>
          <w:spacing w:val="-9"/>
          <w:w w:val="110"/>
          <w:sz w:val="16"/>
        </w:rPr>
        <w:t> </w:t>
      </w:r>
      <w:r>
        <w:rPr>
          <w:color w:val="231F20"/>
          <w:w w:val="110"/>
          <w:sz w:val="16"/>
        </w:rPr>
        <w:t>hora</w:t>
      </w:r>
      <w:r>
        <w:rPr>
          <w:color w:val="231F20"/>
          <w:spacing w:val="-9"/>
          <w:w w:val="110"/>
          <w:sz w:val="16"/>
        </w:rPr>
        <w:t> </w:t>
      </w:r>
      <w:r>
        <w:rPr>
          <w:color w:val="231F20"/>
          <w:w w:val="110"/>
          <w:sz w:val="16"/>
        </w:rPr>
        <w:t>eran</w:t>
      </w:r>
      <w:r>
        <w:rPr>
          <w:color w:val="231F20"/>
          <w:spacing w:val="-9"/>
          <w:w w:val="110"/>
          <w:sz w:val="16"/>
        </w:rPr>
        <w:t> </w:t>
      </w:r>
      <w:r>
        <w:rPr>
          <w:color w:val="231F20"/>
          <w:w w:val="110"/>
          <w:sz w:val="16"/>
        </w:rPr>
        <w:t>de</w:t>
      </w:r>
      <w:r>
        <w:rPr>
          <w:color w:val="231F20"/>
          <w:spacing w:val="-9"/>
          <w:w w:val="110"/>
          <w:sz w:val="16"/>
        </w:rPr>
        <w:t> </w:t>
      </w:r>
      <w:r>
        <w:rPr>
          <w:color w:val="231F20"/>
          <w:w w:val="110"/>
          <w:sz w:val="16"/>
        </w:rPr>
        <w:t>2.95</w:t>
      </w:r>
      <w:r>
        <w:rPr>
          <w:color w:val="231F20"/>
          <w:spacing w:val="-9"/>
          <w:w w:val="110"/>
          <w:sz w:val="16"/>
        </w:rPr>
        <w:t> </w:t>
      </w:r>
      <w:r>
        <w:rPr>
          <w:color w:val="231F20"/>
          <w:w w:val="110"/>
          <w:sz w:val="16"/>
        </w:rPr>
        <w:t>en</w:t>
      </w:r>
      <w:r>
        <w:rPr>
          <w:color w:val="231F20"/>
          <w:spacing w:val="-9"/>
          <w:w w:val="110"/>
          <w:sz w:val="16"/>
        </w:rPr>
        <w:t> </w:t>
      </w:r>
      <w:r>
        <w:rPr>
          <w:color w:val="231F20"/>
          <w:w w:val="110"/>
          <w:sz w:val="16"/>
        </w:rPr>
        <w:t>1972</w:t>
      </w:r>
      <w:r>
        <w:rPr>
          <w:color w:val="231F20"/>
          <w:spacing w:val="-9"/>
          <w:w w:val="110"/>
          <w:sz w:val="16"/>
        </w:rPr>
        <w:t> </w:t>
      </w:r>
      <w:r>
        <w:rPr>
          <w:color w:val="231F20"/>
          <w:w w:val="110"/>
          <w:sz w:val="16"/>
        </w:rPr>
        <w:t>(valores</w:t>
      </w:r>
      <w:r>
        <w:rPr>
          <w:color w:val="231F20"/>
          <w:spacing w:val="-9"/>
          <w:w w:val="110"/>
          <w:sz w:val="16"/>
        </w:rPr>
        <w:t> </w:t>
      </w:r>
      <w:r>
        <w:rPr>
          <w:color w:val="231F20"/>
          <w:w w:val="110"/>
          <w:sz w:val="16"/>
        </w:rPr>
        <w:t>expresados</w:t>
      </w:r>
      <w:r>
        <w:rPr>
          <w:color w:val="231F20"/>
          <w:spacing w:val="-9"/>
          <w:w w:val="110"/>
          <w:sz w:val="16"/>
        </w:rPr>
        <w:t> </w:t>
      </w:r>
      <w:r>
        <w:rPr>
          <w:color w:val="231F20"/>
          <w:w w:val="110"/>
          <w:sz w:val="16"/>
        </w:rPr>
        <w:t>en dólares</w:t>
      </w:r>
      <w:r>
        <w:rPr>
          <w:color w:val="231F20"/>
          <w:spacing w:val="-6"/>
          <w:w w:val="110"/>
          <w:sz w:val="16"/>
        </w:rPr>
        <w:t> </w:t>
      </w:r>
      <w:r>
        <w:rPr>
          <w:color w:val="231F20"/>
          <w:w w:val="110"/>
          <w:sz w:val="16"/>
        </w:rPr>
        <w:t>de</w:t>
      </w:r>
      <w:r>
        <w:rPr>
          <w:color w:val="231F20"/>
          <w:spacing w:val="-6"/>
          <w:w w:val="110"/>
          <w:sz w:val="16"/>
        </w:rPr>
        <w:t> </w:t>
      </w:r>
      <w:r>
        <w:rPr>
          <w:color w:val="231F20"/>
          <w:w w:val="110"/>
          <w:sz w:val="16"/>
        </w:rPr>
        <w:t>2009).</w:t>
      </w:r>
      <w:r>
        <w:rPr>
          <w:color w:val="231F20"/>
          <w:spacing w:val="-6"/>
          <w:w w:val="110"/>
          <w:sz w:val="16"/>
        </w:rPr>
        <w:t> </w:t>
      </w:r>
      <w:r>
        <w:rPr>
          <w:color w:val="231F20"/>
          <w:w w:val="110"/>
          <w:sz w:val="16"/>
        </w:rPr>
        <w:t>Entonces,</w:t>
      </w:r>
      <w:r>
        <w:rPr>
          <w:color w:val="231F20"/>
          <w:spacing w:val="-6"/>
          <w:w w:val="110"/>
          <w:sz w:val="16"/>
        </w:rPr>
        <w:t> </w:t>
      </w:r>
      <w:r>
        <w:rPr>
          <w:color w:val="231F20"/>
          <w:w w:val="110"/>
          <w:sz w:val="16"/>
        </w:rPr>
        <w:t>la</w:t>
      </w:r>
      <w:r>
        <w:rPr>
          <w:color w:val="231F20"/>
          <w:spacing w:val="-6"/>
          <w:w w:val="110"/>
          <w:sz w:val="16"/>
        </w:rPr>
        <w:t> </w:t>
      </w:r>
      <w:r>
        <w:rPr>
          <w:color w:val="231F20"/>
          <w:w w:val="110"/>
          <w:sz w:val="16"/>
        </w:rPr>
        <w:t>compensación</w:t>
      </w:r>
      <w:r>
        <w:rPr>
          <w:color w:val="231F20"/>
          <w:spacing w:val="-6"/>
          <w:w w:val="110"/>
          <w:sz w:val="16"/>
        </w:rPr>
        <w:t> </w:t>
      </w:r>
      <w:r>
        <w:rPr>
          <w:color w:val="231F20"/>
          <w:w w:val="110"/>
          <w:sz w:val="16"/>
        </w:rPr>
        <w:t>total</w:t>
      </w:r>
      <w:r>
        <w:rPr>
          <w:color w:val="231F20"/>
          <w:spacing w:val="-6"/>
          <w:w w:val="110"/>
          <w:sz w:val="16"/>
        </w:rPr>
        <w:t> </w:t>
      </w:r>
      <w:r>
        <w:rPr>
          <w:color w:val="231F20"/>
          <w:w w:val="110"/>
          <w:sz w:val="16"/>
        </w:rPr>
        <w:t>por</w:t>
      </w:r>
      <w:r>
        <w:rPr>
          <w:color w:val="231F20"/>
          <w:spacing w:val="-6"/>
          <w:w w:val="110"/>
          <w:sz w:val="16"/>
        </w:rPr>
        <w:t> </w:t>
      </w:r>
      <w:r>
        <w:rPr>
          <w:color w:val="231F20"/>
          <w:w w:val="110"/>
          <w:sz w:val="16"/>
        </w:rPr>
        <w:t>hora</w:t>
      </w:r>
      <w:r>
        <w:rPr>
          <w:color w:val="231F20"/>
          <w:spacing w:val="-6"/>
          <w:w w:val="110"/>
          <w:sz w:val="16"/>
        </w:rPr>
        <w:t> </w:t>
      </w:r>
      <w:r>
        <w:rPr>
          <w:color w:val="231F20"/>
          <w:w w:val="110"/>
          <w:sz w:val="16"/>
        </w:rPr>
        <w:t>en</w:t>
      </w:r>
      <w:r>
        <w:rPr>
          <w:color w:val="231F20"/>
          <w:spacing w:val="-6"/>
          <w:w w:val="110"/>
          <w:sz w:val="16"/>
        </w:rPr>
        <w:t> </w:t>
      </w:r>
      <w:r>
        <w:rPr>
          <w:color w:val="231F20"/>
          <w:w w:val="110"/>
          <w:sz w:val="16"/>
        </w:rPr>
        <w:t>1972</w:t>
      </w:r>
      <w:r>
        <w:rPr>
          <w:color w:val="231F20"/>
          <w:spacing w:val="-6"/>
          <w:w w:val="110"/>
          <w:sz w:val="16"/>
        </w:rPr>
        <w:t> </w:t>
      </w:r>
      <w:r>
        <w:rPr>
          <w:color w:val="231F20"/>
          <w:w w:val="110"/>
          <w:sz w:val="16"/>
        </w:rPr>
        <w:t>fue</w:t>
      </w:r>
      <w:r>
        <w:rPr>
          <w:color w:val="231F20"/>
          <w:spacing w:val="-6"/>
          <w:w w:val="110"/>
          <w:sz w:val="16"/>
        </w:rPr>
        <w:t> </w:t>
      </w:r>
      <w:r>
        <w:rPr>
          <w:color w:val="231F20"/>
          <w:w w:val="110"/>
          <w:sz w:val="16"/>
        </w:rPr>
        <w:t>20.83</w:t>
      </w:r>
      <w:r>
        <w:rPr>
          <w:color w:val="231F20"/>
          <w:spacing w:val="-6"/>
          <w:w w:val="110"/>
          <w:sz w:val="16"/>
        </w:rPr>
        <w:t> </w:t>
      </w:r>
      <w:r>
        <w:rPr>
          <w:color w:val="231F20"/>
          <w:w w:val="110"/>
          <w:sz w:val="16"/>
        </w:rPr>
        <w:t>para</w:t>
      </w:r>
      <w:r>
        <w:rPr>
          <w:color w:val="231F20"/>
          <w:spacing w:val="-6"/>
          <w:w w:val="110"/>
          <w:sz w:val="16"/>
        </w:rPr>
        <w:t> </w:t>
      </w:r>
      <w:r>
        <w:rPr>
          <w:color w:val="231F20"/>
          <w:w w:val="110"/>
          <w:sz w:val="16"/>
        </w:rPr>
        <w:t>los obreros</w:t>
      </w:r>
      <w:r>
        <w:rPr>
          <w:color w:val="231F20"/>
          <w:spacing w:val="-7"/>
          <w:w w:val="110"/>
          <w:sz w:val="16"/>
        </w:rPr>
        <w:t> </w:t>
      </w:r>
      <w:r>
        <w:rPr>
          <w:color w:val="231F20"/>
          <w:w w:val="110"/>
          <w:sz w:val="16"/>
        </w:rPr>
        <w:t>en</w:t>
      </w:r>
      <w:r>
        <w:rPr>
          <w:color w:val="231F20"/>
          <w:spacing w:val="-7"/>
          <w:w w:val="110"/>
          <w:sz w:val="16"/>
        </w:rPr>
        <w:t> </w:t>
      </w:r>
      <w:r>
        <w:rPr>
          <w:color w:val="231F20"/>
          <w:w w:val="110"/>
          <w:sz w:val="16"/>
        </w:rPr>
        <w:t>producción</w:t>
      </w:r>
      <w:r>
        <w:rPr>
          <w:color w:val="231F20"/>
          <w:spacing w:val="-7"/>
          <w:w w:val="110"/>
          <w:sz w:val="16"/>
        </w:rPr>
        <w:t> </w:t>
      </w:r>
      <w:r>
        <w:rPr>
          <w:color w:val="231F20"/>
          <w:w w:val="110"/>
          <w:sz w:val="16"/>
        </w:rPr>
        <w:t>o</w:t>
      </w:r>
      <w:r>
        <w:rPr>
          <w:color w:val="231F20"/>
          <w:spacing w:val="-7"/>
          <w:w w:val="110"/>
          <w:sz w:val="16"/>
        </w:rPr>
        <w:t> </w:t>
      </w:r>
      <w:r>
        <w:rPr>
          <w:color w:val="231F20"/>
          <w:w w:val="110"/>
          <w:sz w:val="16"/>
        </w:rPr>
        <w:t>en</w:t>
      </w:r>
      <w:r>
        <w:rPr>
          <w:color w:val="231F20"/>
          <w:spacing w:val="-7"/>
          <w:w w:val="110"/>
          <w:sz w:val="16"/>
        </w:rPr>
        <w:t> </w:t>
      </w:r>
      <w:r>
        <w:rPr>
          <w:color w:val="231F20"/>
          <w:w w:val="110"/>
          <w:sz w:val="16"/>
        </w:rPr>
        <w:t>una</w:t>
      </w:r>
      <w:r>
        <w:rPr>
          <w:color w:val="231F20"/>
          <w:spacing w:val="-7"/>
          <w:w w:val="110"/>
          <w:sz w:val="16"/>
        </w:rPr>
        <w:t> </w:t>
      </w:r>
      <w:r>
        <w:rPr>
          <w:color w:val="231F20"/>
          <w:w w:val="110"/>
          <w:sz w:val="16"/>
        </w:rPr>
        <w:t>tarea</w:t>
      </w:r>
      <w:r>
        <w:rPr>
          <w:color w:val="231F20"/>
          <w:spacing w:val="-7"/>
          <w:w w:val="110"/>
          <w:sz w:val="16"/>
        </w:rPr>
        <w:t> </w:t>
      </w:r>
      <w:r>
        <w:rPr>
          <w:color w:val="231F20"/>
          <w:w w:val="110"/>
          <w:sz w:val="16"/>
        </w:rPr>
        <w:t>no</w:t>
      </w:r>
      <w:r>
        <w:rPr>
          <w:color w:val="231F20"/>
          <w:spacing w:val="-7"/>
          <w:w w:val="110"/>
          <w:sz w:val="16"/>
        </w:rPr>
        <w:t> </w:t>
      </w:r>
      <w:r>
        <w:rPr>
          <w:color w:val="231F20"/>
          <w:w w:val="110"/>
          <w:sz w:val="16"/>
        </w:rPr>
        <w:t>supervisora</w:t>
      </w:r>
      <w:r>
        <w:rPr>
          <w:color w:val="231F20"/>
          <w:spacing w:val="-7"/>
          <w:w w:val="110"/>
          <w:sz w:val="16"/>
        </w:rPr>
        <w:t> </w:t>
      </w:r>
      <w:r>
        <w:rPr>
          <w:color w:val="231F20"/>
          <w:w w:val="110"/>
          <w:sz w:val="16"/>
        </w:rPr>
        <w:t>(US</w:t>
      </w:r>
      <w:r>
        <w:rPr>
          <w:color w:val="231F20"/>
          <w:spacing w:val="-7"/>
          <w:w w:val="110"/>
          <w:sz w:val="16"/>
        </w:rPr>
        <w:t> </w:t>
      </w:r>
      <w:r>
        <w:rPr>
          <w:color w:val="231F20"/>
          <w:w w:val="110"/>
          <w:sz w:val="16"/>
        </w:rPr>
        <w:t>Department</w:t>
      </w:r>
      <w:r>
        <w:rPr>
          <w:color w:val="231F20"/>
          <w:spacing w:val="-7"/>
          <w:w w:val="110"/>
          <w:sz w:val="16"/>
        </w:rPr>
        <w:t> </w:t>
      </w:r>
      <w:r>
        <w:rPr>
          <w:color w:val="231F20"/>
          <w:w w:val="110"/>
          <w:sz w:val="16"/>
        </w:rPr>
        <w:t>of</w:t>
      </w:r>
      <w:r>
        <w:rPr>
          <w:color w:val="231F20"/>
          <w:spacing w:val="-7"/>
          <w:w w:val="110"/>
          <w:sz w:val="16"/>
        </w:rPr>
        <w:t> </w:t>
      </w:r>
      <w:r>
        <w:rPr>
          <w:color w:val="231F20"/>
          <w:spacing w:val="-3"/>
          <w:w w:val="110"/>
          <w:sz w:val="16"/>
        </w:rPr>
        <w:t>Labor,</w:t>
      </w:r>
      <w:r>
        <w:rPr>
          <w:color w:val="231F20"/>
          <w:spacing w:val="-7"/>
          <w:w w:val="110"/>
          <w:sz w:val="16"/>
        </w:rPr>
        <w:t> </w:t>
      </w:r>
      <w:r>
        <w:rPr>
          <w:color w:val="231F20"/>
          <w:w w:val="110"/>
          <w:sz w:val="16"/>
        </w:rPr>
        <w:t>2010a, 2010b:</w:t>
      </w:r>
      <w:r>
        <w:rPr>
          <w:color w:val="231F20"/>
          <w:spacing w:val="-15"/>
          <w:w w:val="110"/>
          <w:sz w:val="16"/>
        </w:rPr>
        <w:t> </w:t>
      </w:r>
      <w:r>
        <w:rPr>
          <w:color w:val="231F20"/>
          <w:w w:val="110"/>
          <w:sz w:val="16"/>
        </w:rPr>
        <w:t>85-90;</w:t>
      </w:r>
      <w:r>
        <w:rPr>
          <w:color w:val="231F20"/>
          <w:spacing w:val="-15"/>
          <w:w w:val="110"/>
          <w:sz w:val="16"/>
        </w:rPr>
        <w:t> </w:t>
      </w:r>
      <w:r>
        <w:rPr>
          <w:color w:val="231F20"/>
          <w:w w:val="110"/>
          <w:sz w:val="16"/>
        </w:rPr>
        <w:t>Economic</w:t>
      </w:r>
      <w:r>
        <w:rPr>
          <w:color w:val="231F20"/>
          <w:spacing w:val="-15"/>
          <w:w w:val="110"/>
          <w:sz w:val="16"/>
        </w:rPr>
        <w:t> </w:t>
      </w:r>
      <w:r>
        <w:rPr>
          <w:color w:val="231F20"/>
          <w:w w:val="110"/>
          <w:sz w:val="16"/>
        </w:rPr>
        <w:t>Policy</w:t>
      </w:r>
      <w:r>
        <w:rPr>
          <w:color w:val="231F20"/>
          <w:spacing w:val="-15"/>
          <w:w w:val="110"/>
          <w:sz w:val="16"/>
        </w:rPr>
        <w:t> </w:t>
      </w:r>
      <w:r>
        <w:rPr>
          <w:color w:val="231F20"/>
          <w:w w:val="110"/>
          <w:sz w:val="16"/>
        </w:rPr>
        <w:t>Institute,</w:t>
      </w:r>
      <w:r>
        <w:rPr>
          <w:color w:val="231F20"/>
          <w:spacing w:val="-15"/>
          <w:w w:val="110"/>
          <w:sz w:val="16"/>
        </w:rPr>
        <w:t> </w:t>
      </w:r>
      <w:r>
        <w:rPr>
          <w:color w:val="231F20"/>
          <w:w w:val="110"/>
          <w:sz w:val="16"/>
        </w:rPr>
        <w:t>2011).</w:t>
      </w:r>
      <w:r>
        <w:rPr>
          <w:color w:val="231F20"/>
          <w:spacing w:val="-15"/>
          <w:w w:val="110"/>
          <w:sz w:val="16"/>
        </w:rPr>
        <w:t> </w:t>
      </w:r>
      <w:r>
        <w:rPr>
          <w:color w:val="231F20"/>
          <w:w w:val="110"/>
          <w:sz w:val="16"/>
        </w:rPr>
        <w:t>El</w:t>
      </w:r>
      <w:r>
        <w:rPr>
          <w:color w:val="231F20"/>
          <w:spacing w:val="-15"/>
          <w:w w:val="110"/>
          <w:sz w:val="16"/>
        </w:rPr>
        <w:t> </w:t>
      </w:r>
      <w:r>
        <w:rPr>
          <w:color w:val="231F20"/>
          <w:w w:val="110"/>
          <w:sz w:val="16"/>
        </w:rPr>
        <w:t>crecimiento</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productividad</w:t>
      </w:r>
      <w:r>
        <w:rPr>
          <w:color w:val="231F20"/>
          <w:spacing w:val="-15"/>
          <w:w w:val="110"/>
          <w:sz w:val="16"/>
        </w:rPr>
        <w:t> </w:t>
      </w:r>
      <w:r>
        <w:rPr>
          <w:color w:val="231F20"/>
          <w:w w:val="110"/>
          <w:sz w:val="16"/>
        </w:rPr>
        <w:t>fue de</w:t>
      </w:r>
      <w:r>
        <w:rPr>
          <w:color w:val="231F20"/>
          <w:spacing w:val="-17"/>
          <w:w w:val="110"/>
          <w:sz w:val="16"/>
        </w:rPr>
        <w:t> </w:t>
      </w:r>
      <w:r>
        <w:rPr>
          <w:color w:val="231F20"/>
          <w:w w:val="110"/>
          <w:sz w:val="16"/>
        </w:rPr>
        <w:t>92.7%</w:t>
      </w:r>
      <w:r>
        <w:rPr>
          <w:color w:val="231F20"/>
          <w:spacing w:val="-17"/>
          <w:w w:val="110"/>
          <w:sz w:val="16"/>
        </w:rPr>
        <w:t> </w:t>
      </w:r>
      <w:r>
        <w:rPr>
          <w:color w:val="231F20"/>
          <w:w w:val="110"/>
          <w:sz w:val="16"/>
        </w:rPr>
        <w:t>entre</w:t>
      </w:r>
      <w:r>
        <w:rPr>
          <w:color w:val="231F20"/>
          <w:spacing w:val="-17"/>
          <w:w w:val="110"/>
          <w:sz w:val="16"/>
        </w:rPr>
        <w:t> </w:t>
      </w:r>
      <w:r>
        <w:rPr>
          <w:color w:val="231F20"/>
          <w:w w:val="110"/>
          <w:sz w:val="16"/>
        </w:rPr>
        <w:t>1972</w:t>
      </w:r>
      <w:r>
        <w:rPr>
          <w:color w:val="231F20"/>
          <w:spacing w:val="-17"/>
          <w:w w:val="110"/>
          <w:sz w:val="16"/>
        </w:rPr>
        <w:t> </w:t>
      </w:r>
      <w:r>
        <w:rPr>
          <w:color w:val="231F20"/>
          <w:w w:val="110"/>
          <w:sz w:val="16"/>
        </w:rPr>
        <w:t>y</w:t>
      </w:r>
      <w:r>
        <w:rPr>
          <w:color w:val="231F20"/>
          <w:spacing w:val="-17"/>
          <w:w w:val="110"/>
          <w:sz w:val="16"/>
        </w:rPr>
        <w:t> </w:t>
      </w:r>
      <w:r>
        <w:rPr>
          <w:color w:val="231F20"/>
          <w:w w:val="110"/>
          <w:sz w:val="16"/>
        </w:rPr>
        <w:t>2009.</w:t>
      </w:r>
      <w:r>
        <w:rPr>
          <w:color w:val="231F20"/>
          <w:spacing w:val="-17"/>
          <w:w w:val="110"/>
          <w:sz w:val="16"/>
        </w:rPr>
        <w:t> </w:t>
      </w:r>
      <w:r>
        <w:rPr>
          <w:color w:val="231F20"/>
          <w:w w:val="110"/>
          <w:sz w:val="16"/>
        </w:rPr>
        <w:t>Ajustando</w:t>
      </w:r>
      <w:r>
        <w:rPr>
          <w:color w:val="231F20"/>
          <w:spacing w:val="-17"/>
          <w:w w:val="110"/>
          <w:sz w:val="16"/>
        </w:rPr>
        <w:t> </w:t>
      </w:r>
      <w:r>
        <w:rPr>
          <w:color w:val="231F20"/>
          <w:w w:val="110"/>
          <w:sz w:val="16"/>
        </w:rPr>
        <w:t>esta</w:t>
      </w:r>
      <w:r>
        <w:rPr>
          <w:color w:val="231F20"/>
          <w:spacing w:val="-17"/>
          <w:w w:val="110"/>
          <w:sz w:val="16"/>
        </w:rPr>
        <w:t> </w:t>
      </w:r>
      <w:r>
        <w:rPr>
          <w:color w:val="231F20"/>
          <w:w w:val="110"/>
          <w:sz w:val="16"/>
        </w:rPr>
        <w:t>cifra</w:t>
      </w:r>
      <w:r>
        <w:rPr>
          <w:color w:val="231F20"/>
          <w:spacing w:val="-17"/>
          <w:w w:val="110"/>
          <w:sz w:val="16"/>
        </w:rPr>
        <w:t> </w:t>
      </w:r>
      <w:r>
        <w:rPr>
          <w:color w:val="231F20"/>
          <w:w w:val="110"/>
          <w:sz w:val="16"/>
        </w:rPr>
        <w:t>1]</w:t>
      </w:r>
      <w:r>
        <w:rPr>
          <w:color w:val="231F20"/>
          <w:spacing w:val="-17"/>
          <w:w w:val="110"/>
          <w:sz w:val="16"/>
        </w:rPr>
        <w:t> </w:t>
      </w:r>
      <w:r>
        <w:rPr>
          <w:color w:val="231F20"/>
          <w:w w:val="110"/>
          <w:sz w:val="16"/>
        </w:rPr>
        <w:t>para</w:t>
      </w:r>
      <w:r>
        <w:rPr>
          <w:color w:val="231F20"/>
          <w:spacing w:val="-17"/>
          <w:w w:val="110"/>
          <w:sz w:val="16"/>
        </w:rPr>
        <w:t> </w:t>
      </w:r>
      <w:r>
        <w:rPr>
          <w:color w:val="231F20"/>
          <w:w w:val="110"/>
          <w:sz w:val="16"/>
        </w:rPr>
        <w:t>hacer</w:t>
      </w:r>
      <w:r>
        <w:rPr>
          <w:color w:val="231F20"/>
          <w:spacing w:val="-17"/>
          <w:w w:val="110"/>
          <w:sz w:val="16"/>
        </w:rPr>
        <w:t> </w:t>
      </w:r>
      <w:r>
        <w:rPr>
          <w:color w:val="231F20"/>
          <w:w w:val="110"/>
          <w:sz w:val="16"/>
        </w:rPr>
        <w:t>consistentes</w:t>
      </w:r>
      <w:r>
        <w:rPr>
          <w:color w:val="231F20"/>
          <w:spacing w:val="-17"/>
          <w:w w:val="110"/>
          <w:sz w:val="16"/>
        </w:rPr>
        <w:t> </w:t>
      </w:r>
      <w:r>
        <w:rPr>
          <w:color w:val="231F20"/>
          <w:w w:val="110"/>
          <w:sz w:val="16"/>
        </w:rPr>
        <w:t>los</w:t>
      </w:r>
      <w:r>
        <w:rPr>
          <w:color w:val="231F20"/>
          <w:spacing w:val="-17"/>
          <w:w w:val="110"/>
          <w:sz w:val="16"/>
        </w:rPr>
        <w:t> </w:t>
      </w:r>
      <w:r>
        <w:rPr>
          <w:color w:val="231F20"/>
          <w:w w:val="110"/>
          <w:sz w:val="16"/>
        </w:rPr>
        <w:t>cambios en los índices de los precios de los bienes de producción y bienes de consumo, 2]     el crecimiento de la productividad en términos de la economía total —incluyendo el sector del estado— y 3] tomando en cuenta el factor de la depreciación de capital, podemos presentar este crecimiento en términos netos o “utilizables”. Entonces, este crecimiento</w:t>
      </w:r>
      <w:r>
        <w:rPr>
          <w:color w:val="231F20"/>
          <w:spacing w:val="-8"/>
          <w:w w:val="110"/>
          <w:sz w:val="16"/>
        </w:rPr>
        <w:t> </w:t>
      </w:r>
      <w:r>
        <w:rPr>
          <w:color w:val="231F20"/>
          <w:w w:val="110"/>
          <w:sz w:val="16"/>
        </w:rPr>
        <w:t>en</w:t>
      </w:r>
      <w:r>
        <w:rPr>
          <w:color w:val="231F20"/>
          <w:spacing w:val="-8"/>
          <w:w w:val="110"/>
          <w:sz w:val="16"/>
        </w:rPr>
        <w:t> </w:t>
      </w:r>
      <w:r>
        <w:rPr>
          <w:color w:val="231F20"/>
          <w:w w:val="110"/>
          <w:sz w:val="16"/>
        </w:rPr>
        <w:t>la</w:t>
      </w:r>
      <w:r>
        <w:rPr>
          <w:color w:val="231F20"/>
          <w:spacing w:val="-8"/>
          <w:w w:val="110"/>
          <w:sz w:val="16"/>
        </w:rPr>
        <w:t> </w:t>
      </w:r>
      <w:r>
        <w:rPr>
          <w:color w:val="231F20"/>
          <w:w w:val="110"/>
          <w:sz w:val="16"/>
        </w:rPr>
        <w:t>productividad</w:t>
      </w:r>
      <w:r>
        <w:rPr>
          <w:color w:val="231F20"/>
          <w:spacing w:val="-8"/>
          <w:w w:val="110"/>
          <w:sz w:val="16"/>
        </w:rPr>
        <w:t> </w:t>
      </w:r>
      <w:r>
        <w:rPr>
          <w:color w:val="231F20"/>
          <w:w w:val="110"/>
          <w:sz w:val="16"/>
        </w:rPr>
        <w:t>“utilizable”</w:t>
      </w:r>
      <w:r>
        <w:rPr>
          <w:color w:val="231F20"/>
          <w:spacing w:val="-8"/>
          <w:w w:val="110"/>
          <w:sz w:val="16"/>
        </w:rPr>
        <w:t> </w:t>
      </w:r>
      <w:r>
        <w:rPr>
          <w:color w:val="231F20"/>
          <w:w w:val="110"/>
          <w:sz w:val="16"/>
        </w:rPr>
        <w:t>fue</w:t>
      </w:r>
      <w:r>
        <w:rPr>
          <w:color w:val="231F20"/>
          <w:spacing w:val="-8"/>
          <w:w w:val="110"/>
          <w:sz w:val="16"/>
        </w:rPr>
        <w:t> </w:t>
      </w:r>
      <w:r>
        <w:rPr>
          <w:color w:val="231F20"/>
          <w:w w:val="110"/>
          <w:sz w:val="16"/>
        </w:rPr>
        <w:t>de</w:t>
      </w:r>
      <w:r>
        <w:rPr>
          <w:color w:val="231F20"/>
          <w:spacing w:val="-8"/>
          <w:w w:val="110"/>
          <w:sz w:val="16"/>
        </w:rPr>
        <w:t> </w:t>
      </w:r>
      <w:r>
        <w:rPr>
          <w:color w:val="231F20"/>
          <w:w w:val="110"/>
          <w:sz w:val="16"/>
        </w:rPr>
        <w:t>55.5%</w:t>
      </w:r>
      <w:r>
        <w:rPr>
          <w:color w:val="231F20"/>
          <w:spacing w:val="-8"/>
          <w:w w:val="110"/>
          <w:sz w:val="16"/>
        </w:rPr>
        <w:t> </w:t>
      </w:r>
      <w:r>
        <w:rPr>
          <w:color w:val="231F20"/>
          <w:w w:val="110"/>
          <w:sz w:val="16"/>
        </w:rPr>
        <w:t>(Baker,</w:t>
      </w:r>
      <w:r>
        <w:rPr>
          <w:color w:val="231F20"/>
          <w:spacing w:val="-8"/>
          <w:w w:val="110"/>
          <w:sz w:val="16"/>
        </w:rPr>
        <w:t> </w:t>
      </w:r>
      <w:r>
        <w:rPr>
          <w:color w:val="231F20"/>
          <w:w w:val="110"/>
          <w:sz w:val="16"/>
        </w:rPr>
        <w:t>2007).</w:t>
      </w:r>
      <w:r>
        <w:rPr>
          <w:color w:val="231F20"/>
          <w:spacing w:val="-8"/>
          <w:w w:val="110"/>
          <w:sz w:val="16"/>
        </w:rPr>
        <w:t> </w:t>
      </w:r>
      <w:r>
        <w:rPr>
          <w:color w:val="231F20"/>
          <w:w w:val="110"/>
          <w:sz w:val="16"/>
        </w:rPr>
        <w:t>Si</w:t>
      </w:r>
      <w:r>
        <w:rPr>
          <w:color w:val="231F20"/>
          <w:spacing w:val="-8"/>
          <w:w w:val="110"/>
          <w:sz w:val="16"/>
        </w:rPr>
        <w:t> </w:t>
      </w:r>
      <w:r>
        <w:rPr>
          <w:color w:val="231F20"/>
          <w:w w:val="110"/>
          <w:sz w:val="16"/>
        </w:rPr>
        <w:t>se</w:t>
      </w:r>
      <w:r>
        <w:rPr>
          <w:color w:val="231F20"/>
          <w:spacing w:val="-8"/>
          <w:w w:val="110"/>
          <w:sz w:val="16"/>
        </w:rPr>
        <w:t> </w:t>
      </w:r>
      <w:r>
        <w:rPr>
          <w:color w:val="231F20"/>
          <w:w w:val="110"/>
          <w:sz w:val="16"/>
        </w:rPr>
        <w:t>hubiera pagado</w:t>
      </w:r>
      <w:r>
        <w:rPr>
          <w:color w:val="231F20"/>
          <w:spacing w:val="17"/>
          <w:w w:val="110"/>
          <w:sz w:val="16"/>
        </w:rPr>
        <w:t> </w:t>
      </w:r>
      <w:r>
        <w:rPr>
          <w:color w:val="231F20"/>
          <w:w w:val="110"/>
          <w:sz w:val="16"/>
        </w:rPr>
        <w:t>a</w:t>
      </w:r>
      <w:r>
        <w:rPr>
          <w:color w:val="231F20"/>
          <w:spacing w:val="17"/>
          <w:w w:val="110"/>
          <w:sz w:val="16"/>
        </w:rPr>
        <w:t> </w:t>
      </w:r>
      <w:r>
        <w:rPr>
          <w:color w:val="231F20"/>
          <w:w w:val="110"/>
          <w:sz w:val="16"/>
        </w:rPr>
        <w:t>estos</w:t>
      </w:r>
      <w:r>
        <w:rPr>
          <w:color w:val="231F20"/>
          <w:spacing w:val="17"/>
          <w:w w:val="110"/>
          <w:sz w:val="16"/>
        </w:rPr>
        <w:t> </w:t>
      </w:r>
      <w:r>
        <w:rPr>
          <w:color w:val="231F20"/>
          <w:w w:val="110"/>
          <w:sz w:val="16"/>
        </w:rPr>
        <w:t>obreros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acuerdo</w:t>
      </w:r>
      <w:r>
        <w:rPr>
          <w:color w:val="231F20"/>
          <w:spacing w:val="17"/>
          <w:w w:val="110"/>
          <w:sz w:val="16"/>
        </w:rPr>
        <w:t> </w:t>
      </w:r>
      <w:r>
        <w:rPr>
          <w:color w:val="231F20"/>
          <w:w w:val="110"/>
          <w:sz w:val="16"/>
        </w:rPr>
        <w:t>con</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aumento</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valor</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su</w:t>
      </w:r>
      <w:r>
        <w:rPr>
          <w:color w:val="231F20"/>
          <w:spacing w:val="17"/>
          <w:w w:val="110"/>
          <w:sz w:val="16"/>
        </w:rPr>
        <w:t> </w:t>
      </w:r>
      <w:r>
        <w:rPr>
          <w:color w:val="231F20"/>
          <w:w w:val="110"/>
          <w:sz w:val="16"/>
        </w:rPr>
        <w:t>productividad</w:t>
      </w:r>
    </w:p>
    <w:p>
      <w:pPr>
        <w:spacing w:line="261" w:lineRule="auto" w:before="0"/>
        <w:ind w:left="100" w:right="117" w:firstLine="0"/>
        <w:jc w:val="both"/>
        <w:rPr>
          <w:sz w:val="16"/>
        </w:rPr>
      </w:pPr>
      <w:r>
        <w:rPr>
          <w:color w:val="231F20"/>
          <w:w w:val="110"/>
          <w:sz w:val="16"/>
        </w:rPr>
        <w:t>—como</w:t>
      </w:r>
      <w:r>
        <w:rPr>
          <w:color w:val="231F20"/>
          <w:spacing w:val="-8"/>
          <w:w w:val="110"/>
          <w:sz w:val="16"/>
        </w:rPr>
        <w:t> </w:t>
      </w:r>
      <w:r>
        <w:rPr>
          <w:color w:val="231F20"/>
          <w:w w:val="110"/>
          <w:sz w:val="16"/>
        </w:rPr>
        <w:t>fueron</w:t>
      </w:r>
      <w:r>
        <w:rPr>
          <w:color w:val="231F20"/>
          <w:spacing w:val="-8"/>
          <w:w w:val="110"/>
          <w:sz w:val="16"/>
        </w:rPr>
        <w:t> </w:t>
      </w:r>
      <w:r>
        <w:rPr>
          <w:color w:val="231F20"/>
          <w:w w:val="110"/>
          <w:sz w:val="16"/>
        </w:rPr>
        <w:t>desde</w:t>
      </w:r>
      <w:r>
        <w:rPr>
          <w:color w:val="231F20"/>
          <w:spacing w:val="-8"/>
          <w:w w:val="110"/>
          <w:sz w:val="16"/>
        </w:rPr>
        <w:t> </w:t>
      </w:r>
      <w:r>
        <w:rPr>
          <w:color w:val="231F20"/>
          <w:w w:val="110"/>
          <w:sz w:val="16"/>
        </w:rPr>
        <w:t>1947</w:t>
      </w:r>
      <w:r>
        <w:rPr>
          <w:color w:val="231F20"/>
          <w:spacing w:val="-8"/>
          <w:w w:val="110"/>
          <w:sz w:val="16"/>
        </w:rPr>
        <w:t> </w:t>
      </w:r>
      <w:r>
        <w:rPr>
          <w:color w:val="231F20"/>
          <w:w w:val="110"/>
          <w:sz w:val="16"/>
        </w:rPr>
        <w:t>hasta</w:t>
      </w:r>
      <w:r>
        <w:rPr>
          <w:color w:val="231F20"/>
          <w:spacing w:val="-8"/>
          <w:w w:val="110"/>
          <w:sz w:val="16"/>
        </w:rPr>
        <w:t> </w:t>
      </w:r>
      <w:r>
        <w:rPr>
          <w:color w:val="231F20"/>
          <w:w w:val="110"/>
          <w:sz w:val="16"/>
        </w:rPr>
        <w:t>1972—</w:t>
      </w:r>
      <w:r>
        <w:rPr>
          <w:color w:val="231F20"/>
          <w:spacing w:val="-8"/>
          <w:w w:val="110"/>
          <w:sz w:val="16"/>
        </w:rPr>
        <w:t> </w:t>
      </w:r>
      <w:r>
        <w:rPr>
          <w:color w:val="231F20"/>
          <w:w w:val="110"/>
          <w:sz w:val="16"/>
        </w:rPr>
        <w:t>el</w:t>
      </w:r>
      <w:r>
        <w:rPr>
          <w:color w:val="231F20"/>
          <w:spacing w:val="-8"/>
          <w:w w:val="110"/>
          <w:sz w:val="16"/>
        </w:rPr>
        <w:t> </w:t>
      </w:r>
      <w:r>
        <w:rPr>
          <w:color w:val="231F20"/>
          <w:w w:val="110"/>
          <w:sz w:val="16"/>
        </w:rPr>
        <w:t>nivel</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compensación</w:t>
      </w:r>
      <w:r>
        <w:rPr>
          <w:color w:val="231F20"/>
          <w:spacing w:val="-8"/>
          <w:w w:val="110"/>
          <w:sz w:val="16"/>
        </w:rPr>
        <w:t> </w:t>
      </w:r>
      <w:r>
        <w:rPr>
          <w:color w:val="231F20"/>
          <w:w w:val="110"/>
          <w:sz w:val="16"/>
        </w:rPr>
        <w:t>por</w:t>
      </w:r>
      <w:r>
        <w:rPr>
          <w:color w:val="231F20"/>
          <w:spacing w:val="-8"/>
          <w:w w:val="110"/>
          <w:sz w:val="16"/>
        </w:rPr>
        <w:t> </w:t>
      </w:r>
      <w:r>
        <w:rPr>
          <w:color w:val="231F20"/>
          <w:w w:val="110"/>
          <w:sz w:val="16"/>
        </w:rPr>
        <w:t>hora</w:t>
      </w:r>
      <w:r>
        <w:rPr>
          <w:color w:val="231F20"/>
          <w:spacing w:val="-8"/>
          <w:w w:val="110"/>
          <w:sz w:val="16"/>
        </w:rPr>
        <w:t> </w:t>
      </w:r>
      <w:r>
        <w:rPr>
          <w:color w:val="231F20"/>
          <w:w w:val="110"/>
          <w:sz w:val="16"/>
        </w:rPr>
        <w:t>hubiera sido de 35.98 en 2009 en vez de los 23.14 que recibieron. La diferencia fue de 12.84: los</w:t>
      </w:r>
      <w:r>
        <w:rPr>
          <w:color w:val="231F20"/>
          <w:spacing w:val="-8"/>
          <w:w w:val="110"/>
          <w:sz w:val="16"/>
        </w:rPr>
        <w:t> </w:t>
      </w:r>
      <w:r>
        <w:rPr>
          <w:color w:val="231F20"/>
          <w:w w:val="110"/>
          <w:sz w:val="16"/>
        </w:rPr>
        <w:t>obreros</w:t>
      </w:r>
      <w:r>
        <w:rPr>
          <w:color w:val="231F20"/>
          <w:spacing w:val="-8"/>
          <w:w w:val="110"/>
          <w:sz w:val="16"/>
        </w:rPr>
        <w:t> </w:t>
      </w:r>
      <w:r>
        <w:rPr>
          <w:color w:val="231F20"/>
          <w:w w:val="110"/>
          <w:sz w:val="16"/>
        </w:rPr>
        <w:t>tuvieron</w:t>
      </w:r>
      <w:r>
        <w:rPr>
          <w:color w:val="231F20"/>
          <w:spacing w:val="-8"/>
          <w:w w:val="110"/>
          <w:sz w:val="16"/>
        </w:rPr>
        <w:t> </w:t>
      </w:r>
      <w:r>
        <w:rPr>
          <w:color w:val="231F20"/>
          <w:w w:val="110"/>
          <w:sz w:val="16"/>
        </w:rPr>
        <w:t>que</w:t>
      </w:r>
      <w:r>
        <w:rPr>
          <w:color w:val="231F20"/>
          <w:spacing w:val="-8"/>
          <w:w w:val="110"/>
          <w:sz w:val="16"/>
        </w:rPr>
        <w:t> </w:t>
      </w:r>
      <w:r>
        <w:rPr>
          <w:color w:val="231F20"/>
          <w:w w:val="110"/>
          <w:sz w:val="16"/>
        </w:rPr>
        <w:t>trabajar</w:t>
      </w:r>
      <w:r>
        <w:rPr>
          <w:color w:val="231F20"/>
          <w:spacing w:val="-8"/>
          <w:w w:val="110"/>
          <w:sz w:val="16"/>
        </w:rPr>
        <w:t> </w:t>
      </w:r>
      <w:r>
        <w:rPr>
          <w:color w:val="231F20"/>
          <w:w w:val="110"/>
          <w:sz w:val="16"/>
        </w:rPr>
        <w:t>39.8</w:t>
      </w:r>
      <w:r>
        <w:rPr>
          <w:color w:val="231F20"/>
          <w:spacing w:val="-8"/>
          <w:w w:val="110"/>
          <w:sz w:val="16"/>
        </w:rPr>
        <w:t> </w:t>
      </w:r>
      <w:r>
        <w:rPr>
          <w:color w:val="231F20"/>
          <w:w w:val="110"/>
          <w:sz w:val="16"/>
        </w:rPr>
        <w:t>horas</w:t>
      </w:r>
      <w:r>
        <w:rPr>
          <w:color w:val="231F20"/>
          <w:spacing w:val="-8"/>
          <w:w w:val="110"/>
          <w:sz w:val="16"/>
        </w:rPr>
        <w:t> </w:t>
      </w:r>
      <w:r>
        <w:rPr>
          <w:color w:val="231F20"/>
          <w:w w:val="110"/>
          <w:sz w:val="16"/>
        </w:rPr>
        <w:t>semanales.</w:t>
      </w:r>
      <w:r>
        <w:rPr>
          <w:color w:val="231F20"/>
          <w:spacing w:val="-8"/>
          <w:w w:val="110"/>
          <w:sz w:val="16"/>
        </w:rPr>
        <w:t> </w:t>
      </w:r>
      <w:r>
        <w:rPr>
          <w:color w:val="231F20"/>
          <w:w w:val="110"/>
          <w:sz w:val="16"/>
        </w:rPr>
        <w:t>Entonces,</w:t>
      </w:r>
      <w:r>
        <w:rPr>
          <w:color w:val="231F20"/>
          <w:spacing w:val="-8"/>
          <w:w w:val="110"/>
          <w:sz w:val="16"/>
        </w:rPr>
        <w:t> </w:t>
      </w:r>
      <w:r>
        <w:rPr>
          <w:color w:val="231F20"/>
          <w:w w:val="110"/>
          <w:sz w:val="16"/>
        </w:rPr>
        <w:t>511</w:t>
      </w:r>
      <w:r>
        <w:rPr>
          <w:color w:val="231F20"/>
          <w:spacing w:val="-8"/>
          <w:w w:val="110"/>
          <w:sz w:val="16"/>
        </w:rPr>
        <w:t> </w:t>
      </w:r>
      <w:r>
        <w:rPr>
          <w:color w:val="231F20"/>
          <w:w w:val="110"/>
          <w:sz w:val="16"/>
        </w:rPr>
        <w:t>dólares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com- pensación</w:t>
      </w:r>
      <w:r>
        <w:rPr>
          <w:color w:val="231F20"/>
          <w:spacing w:val="-8"/>
          <w:w w:val="110"/>
          <w:sz w:val="16"/>
        </w:rPr>
        <w:t> </w:t>
      </w:r>
      <w:r>
        <w:rPr>
          <w:color w:val="231F20"/>
          <w:w w:val="110"/>
          <w:sz w:val="16"/>
        </w:rPr>
        <w:t>por</w:t>
      </w:r>
      <w:r>
        <w:rPr>
          <w:color w:val="231F20"/>
          <w:spacing w:val="-8"/>
          <w:w w:val="110"/>
          <w:sz w:val="16"/>
        </w:rPr>
        <w:t> </w:t>
      </w:r>
      <w:r>
        <w:rPr>
          <w:color w:val="231F20"/>
          <w:w w:val="110"/>
          <w:sz w:val="16"/>
        </w:rPr>
        <w:t>semana</w:t>
      </w:r>
      <w:r>
        <w:rPr>
          <w:color w:val="231F20"/>
          <w:spacing w:val="-8"/>
          <w:w w:val="110"/>
          <w:sz w:val="16"/>
        </w:rPr>
        <w:t> </w:t>
      </w:r>
      <w:r>
        <w:rPr>
          <w:color w:val="231F20"/>
          <w:w w:val="110"/>
          <w:sz w:val="16"/>
        </w:rPr>
        <w:t>—que</w:t>
      </w:r>
      <w:r>
        <w:rPr>
          <w:color w:val="231F20"/>
          <w:spacing w:val="-8"/>
          <w:w w:val="110"/>
          <w:sz w:val="16"/>
        </w:rPr>
        <w:t> </w:t>
      </w:r>
      <w:r>
        <w:rPr>
          <w:color w:val="231F20"/>
          <w:w w:val="110"/>
          <w:sz w:val="16"/>
        </w:rPr>
        <w:t>pudieron</w:t>
      </w:r>
      <w:r>
        <w:rPr>
          <w:color w:val="231F20"/>
          <w:spacing w:val="-8"/>
          <w:w w:val="110"/>
          <w:sz w:val="16"/>
        </w:rPr>
        <w:t> </w:t>
      </w:r>
      <w:r>
        <w:rPr>
          <w:color w:val="231F20"/>
          <w:w w:val="110"/>
          <w:sz w:val="16"/>
        </w:rPr>
        <w:t>recibir</w:t>
      </w:r>
      <w:r>
        <w:rPr>
          <w:color w:val="231F20"/>
          <w:spacing w:val="-8"/>
          <w:w w:val="110"/>
          <w:sz w:val="16"/>
        </w:rPr>
        <w:t> </w:t>
      </w:r>
      <w:r>
        <w:rPr>
          <w:color w:val="231F20"/>
          <w:w w:val="110"/>
          <w:sz w:val="16"/>
        </w:rPr>
        <w:t>bajo</w:t>
      </w:r>
      <w:r>
        <w:rPr>
          <w:color w:val="231F20"/>
          <w:spacing w:val="-8"/>
          <w:w w:val="110"/>
          <w:sz w:val="16"/>
        </w:rPr>
        <w:t> </w:t>
      </w:r>
      <w:r>
        <w:rPr>
          <w:color w:val="231F20"/>
          <w:w w:val="110"/>
          <w:sz w:val="16"/>
        </w:rPr>
        <w:t>las</w:t>
      </w:r>
      <w:r>
        <w:rPr>
          <w:color w:val="231F20"/>
          <w:spacing w:val="-8"/>
          <w:w w:val="110"/>
          <w:sz w:val="16"/>
        </w:rPr>
        <w:t> </w:t>
      </w:r>
      <w:r>
        <w:rPr>
          <w:color w:val="231F20"/>
          <w:w w:val="110"/>
          <w:sz w:val="16"/>
        </w:rPr>
        <w:t>condiciones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principios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los años setenta— fueron desviados hacia el capital. Sobre el curso del año, cada obrero perdió 25 552 de capital (esto es; 511 × 50). Ajustando la cifra total de los obreros</w:t>
      </w:r>
      <w:r>
        <w:rPr>
          <w:color w:val="231F20"/>
          <w:spacing w:val="-26"/>
          <w:w w:val="110"/>
          <w:sz w:val="16"/>
        </w:rPr>
        <w:t> </w:t>
      </w:r>
      <w:r>
        <w:rPr>
          <w:color w:val="231F20"/>
          <w:w w:val="110"/>
          <w:sz w:val="16"/>
        </w:rPr>
        <w:t>no supervisores</w:t>
      </w:r>
      <w:r>
        <w:rPr>
          <w:color w:val="231F20"/>
          <w:spacing w:val="-10"/>
          <w:w w:val="110"/>
          <w:sz w:val="16"/>
        </w:rPr>
        <w:t> </w:t>
      </w:r>
      <w:r>
        <w:rPr>
          <w:color w:val="231F20"/>
          <w:w w:val="110"/>
          <w:sz w:val="16"/>
        </w:rPr>
        <w:t>para</w:t>
      </w:r>
      <w:r>
        <w:rPr>
          <w:color w:val="231F20"/>
          <w:spacing w:val="-10"/>
          <w:w w:val="110"/>
          <w:sz w:val="16"/>
        </w:rPr>
        <w:t> </w:t>
      </w:r>
      <w:r>
        <w:rPr>
          <w:color w:val="231F20"/>
          <w:w w:val="110"/>
          <w:sz w:val="16"/>
        </w:rPr>
        <w:t>nivelar</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tasa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participación</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fuerza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trabajo</w:t>
      </w:r>
      <w:r>
        <w:rPr>
          <w:color w:val="231F20"/>
          <w:spacing w:val="-10"/>
          <w:w w:val="110"/>
          <w:sz w:val="16"/>
        </w:rPr>
        <w:t> </w:t>
      </w:r>
      <w:r>
        <w:rPr>
          <w:color w:val="231F20"/>
          <w:w w:val="110"/>
          <w:sz w:val="16"/>
        </w:rPr>
        <w:t>al</w:t>
      </w:r>
      <w:r>
        <w:rPr>
          <w:color w:val="231F20"/>
          <w:spacing w:val="-10"/>
          <w:w w:val="110"/>
          <w:sz w:val="16"/>
        </w:rPr>
        <w:t> </w:t>
      </w:r>
      <w:r>
        <w:rPr>
          <w:color w:val="231F20"/>
          <w:w w:val="110"/>
          <w:sz w:val="16"/>
        </w:rPr>
        <w:t>mismo</w:t>
      </w:r>
      <w:r>
        <w:rPr>
          <w:color w:val="231F20"/>
          <w:spacing w:val="-10"/>
          <w:w w:val="110"/>
          <w:sz w:val="16"/>
        </w:rPr>
        <w:t> </w:t>
      </w:r>
      <w:r>
        <w:rPr>
          <w:color w:val="231F20"/>
          <w:w w:val="110"/>
          <w:sz w:val="16"/>
        </w:rPr>
        <w:t>nivel que 1972, los 84 180 000 obreros no supervisores fueron forzados a transferir (por el aumento en la tasa de explotación) 2.15 billones —15.2% del pib— a los capitalistas en</w:t>
      </w:r>
      <w:r>
        <w:rPr>
          <w:color w:val="231F20"/>
          <w:spacing w:val="-4"/>
          <w:w w:val="110"/>
          <w:sz w:val="16"/>
        </w:rPr>
        <w:t> </w:t>
      </w:r>
      <w:r>
        <w:rPr>
          <w:color w:val="231F20"/>
          <w:w w:val="110"/>
          <w:sz w:val="16"/>
        </w:rPr>
        <w:t>2009</w:t>
      </w:r>
      <w:r>
        <w:rPr>
          <w:color w:val="231F20"/>
          <w:spacing w:val="-4"/>
          <w:w w:val="110"/>
          <w:sz w:val="16"/>
        </w:rPr>
        <w:t> </w:t>
      </w:r>
      <w:r>
        <w:rPr>
          <w:color w:val="231F20"/>
          <w:w w:val="110"/>
          <w:sz w:val="16"/>
        </w:rPr>
        <w:t>(Council</w:t>
      </w:r>
      <w:r>
        <w:rPr>
          <w:color w:val="231F20"/>
          <w:spacing w:val="-4"/>
          <w:w w:val="110"/>
          <w:sz w:val="16"/>
        </w:rPr>
        <w:t> </w:t>
      </w:r>
      <w:r>
        <w:rPr>
          <w:color w:val="231F20"/>
          <w:w w:val="110"/>
          <w:sz w:val="16"/>
        </w:rPr>
        <w:t>of</w:t>
      </w:r>
      <w:r>
        <w:rPr>
          <w:color w:val="231F20"/>
          <w:spacing w:val="-4"/>
          <w:w w:val="110"/>
          <w:sz w:val="16"/>
        </w:rPr>
        <w:t> </w:t>
      </w:r>
      <w:r>
        <w:rPr>
          <w:color w:val="231F20"/>
          <w:w w:val="110"/>
          <w:sz w:val="16"/>
        </w:rPr>
        <w:t>Economic</w:t>
      </w:r>
      <w:r>
        <w:rPr>
          <w:color w:val="231F20"/>
          <w:spacing w:val="-4"/>
          <w:w w:val="110"/>
          <w:sz w:val="16"/>
        </w:rPr>
        <w:t> </w:t>
      </w:r>
      <w:r>
        <w:rPr>
          <w:color w:val="231F20"/>
          <w:w w:val="110"/>
          <w:sz w:val="16"/>
        </w:rPr>
        <w:t>Advisors,</w:t>
      </w:r>
      <w:r>
        <w:rPr>
          <w:color w:val="231F20"/>
          <w:spacing w:val="-4"/>
          <w:w w:val="110"/>
          <w:sz w:val="16"/>
        </w:rPr>
        <w:t> </w:t>
      </w:r>
      <w:r>
        <w:rPr>
          <w:color w:val="231F20"/>
          <w:w w:val="110"/>
          <w:sz w:val="16"/>
        </w:rPr>
        <w:t>2010,</w:t>
      </w:r>
      <w:r>
        <w:rPr>
          <w:color w:val="231F20"/>
          <w:spacing w:val="-4"/>
          <w:w w:val="110"/>
          <w:sz w:val="16"/>
        </w:rPr>
        <w:t> </w:t>
      </w:r>
      <w:r>
        <w:rPr>
          <w:color w:val="231F20"/>
          <w:spacing w:val="-3"/>
          <w:w w:val="110"/>
          <w:sz w:val="16"/>
        </w:rPr>
        <w:t>Tables</w:t>
      </w:r>
      <w:r>
        <w:rPr>
          <w:color w:val="231F20"/>
          <w:spacing w:val="-4"/>
          <w:w w:val="110"/>
          <w:sz w:val="16"/>
        </w:rPr>
        <w:t> </w:t>
      </w:r>
      <w:r>
        <w:rPr>
          <w:color w:val="231F20"/>
          <w:w w:val="110"/>
          <w:sz w:val="16"/>
        </w:rPr>
        <w:t>B-47,</w:t>
      </w:r>
      <w:r>
        <w:rPr>
          <w:color w:val="231F20"/>
          <w:spacing w:val="-4"/>
          <w:w w:val="110"/>
          <w:sz w:val="16"/>
        </w:rPr>
        <w:t> </w:t>
      </w:r>
      <w:r>
        <w:rPr>
          <w:color w:val="231F20"/>
          <w:w w:val="110"/>
          <w:sz w:val="16"/>
        </w:rPr>
        <w:t>B-49;</w:t>
      </w:r>
      <w:r>
        <w:rPr>
          <w:color w:val="231F20"/>
          <w:spacing w:val="-4"/>
          <w:w w:val="110"/>
          <w:sz w:val="16"/>
        </w:rPr>
        <w:t> </w:t>
      </w:r>
      <w:r>
        <w:rPr>
          <w:color w:val="231F20"/>
          <w:w w:val="110"/>
          <w:sz w:val="16"/>
        </w:rPr>
        <w:t>US</w:t>
      </w:r>
      <w:r>
        <w:rPr>
          <w:color w:val="231F20"/>
          <w:spacing w:val="-4"/>
          <w:w w:val="110"/>
          <w:sz w:val="16"/>
        </w:rPr>
        <w:t> </w:t>
      </w:r>
      <w:r>
        <w:rPr>
          <w:color w:val="231F20"/>
          <w:w w:val="110"/>
          <w:sz w:val="16"/>
        </w:rPr>
        <w:t>Department</w:t>
      </w:r>
      <w:r>
        <w:rPr>
          <w:color w:val="231F20"/>
          <w:spacing w:val="-4"/>
          <w:w w:val="110"/>
          <w:sz w:val="16"/>
        </w:rPr>
        <w:t> </w:t>
      </w:r>
      <w:r>
        <w:rPr>
          <w:color w:val="231F20"/>
          <w:w w:val="110"/>
          <w:sz w:val="16"/>
        </w:rPr>
        <w:t>of </w:t>
      </w:r>
      <w:r>
        <w:rPr>
          <w:color w:val="231F20"/>
          <w:spacing w:val="-3"/>
          <w:w w:val="110"/>
          <w:sz w:val="16"/>
        </w:rPr>
        <w:t>Labor,</w:t>
      </w:r>
      <w:r>
        <w:rPr>
          <w:color w:val="231F20"/>
          <w:spacing w:val="-8"/>
          <w:w w:val="110"/>
          <w:sz w:val="16"/>
        </w:rPr>
        <w:t> </w:t>
      </w:r>
      <w:r>
        <w:rPr>
          <w:color w:val="231F20"/>
          <w:w w:val="110"/>
          <w:sz w:val="16"/>
        </w:rPr>
        <w:t>Bureau</w:t>
      </w:r>
      <w:r>
        <w:rPr>
          <w:color w:val="231F20"/>
          <w:spacing w:val="-8"/>
          <w:w w:val="110"/>
          <w:sz w:val="16"/>
        </w:rPr>
        <w:t> </w:t>
      </w:r>
      <w:r>
        <w:rPr>
          <w:color w:val="231F20"/>
          <w:w w:val="110"/>
          <w:sz w:val="16"/>
        </w:rPr>
        <w:t>of</w:t>
      </w:r>
      <w:r>
        <w:rPr>
          <w:color w:val="231F20"/>
          <w:spacing w:val="-8"/>
          <w:w w:val="110"/>
          <w:sz w:val="16"/>
        </w:rPr>
        <w:t> </w:t>
      </w:r>
      <w:r>
        <w:rPr>
          <w:color w:val="231F20"/>
          <w:w w:val="110"/>
          <w:sz w:val="16"/>
        </w:rPr>
        <w:t>Labor</w:t>
      </w:r>
      <w:r>
        <w:rPr>
          <w:color w:val="231F20"/>
          <w:spacing w:val="-8"/>
          <w:w w:val="110"/>
          <w:sz w:val="16"/>
        </w:rPr>
        <w:t> </w:t>
      </w:r>
      <w:r>
        <w:rPr>
          <w:color w:val="231F20"/>
          <w:w w:val="110"/>
          <w:sz w:val="16"/>
        </w:rPr>
        <w:t>Statistics,</w:t>
      </w:r>
      <w:r>
        <w:rPr>
          <w:color w:val="231F20"/>
          <w:spacing w:val="-8"/>
          <w:w w:val="110"/>
          <w:sz w:val="16"/>
        </w:rPr>
        <w:t> </w:t>
      </w:r>
      <w:r>
        <w:rPr>
          <w:color w:val="231F20"/>
          <w:w w:val="110"/>
          <w:sz w:val="16"/>
        </w:rPr>
        <w:t>2011,</w:t>
      </w:r>
      <w:r>
        <w:rPr>
          <w:color w:val="231F20"/>
          <w:spacing w:val="-8"/>
          <w:w w:val="110"/>
          <w:sz w:val="16"/>
        </w:rPr>
        <w:t> </w:t>
      </w:r>
      <w:r>
        <w:rPr>
          <w:color w:val="231F20"/>
          <w:spacing w:val="-3"/>
          <w:w w:val="110"/>
          <w:sz w:val="16"/>
        </w:rPr>
        <w:t>Table</w:t>
      </w:r>
      <w:r>
        <w:rPr>
          <w:color w:val="231F20"/>
          <w:spacing w:val="-8"/>
          <w:w w:val="110"/>
          <w:sz w:val="16"/>
        </w:rPr>
        <w:t> </w:t>
      </w:r>
      <w:r>
        <w:rPr>
          <w:color w:val="231F20"/>
          <w:w w:val="110"/>
          <w:sz w:val="16"/>
        </w:rPr>
        <w:t>B-6).</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su desinterés o incapacidad para montar una resistencia al ataque y en su lugar aceptaron contratos concesionarios que, eventualmente, socavaron los sindicatos industriales aún más “(La Botz, 2010: 3).</w:t>
      </w:r>
    </w:p>
    <w:p>
      <w:pPr>
        <w:pStyle w:val="BodyText"/>
        <w:spacing w:before="2"/>
        <w:rPr>
          <w:sz w:val="24"/>
        </w:rPr>
      </w:pPr>
    </w:p>
    <w:p>
      <w:pPr>
        <w:spacing w:line="290" w:lineRule="auto" w:before="0"/>
        <w:ind w:left="100" w:right="713" w:firstLine="0"/>
        <w:jc w:val="left"/>
        <w:rPr>
          <w:sz w:val="18"/>
        </w:rPr>
      </w:pPr>
      <w:r>
        <w:rPr>
          <w:color w:val="231F20"/>
          <w:w w:val="120"/>
          <w:sz w:val="18"/>
        </w:rPr>
        <w:t>gráfica 1: índice de salarios, compensación, productividad utilizable y productividad, obreros no supervisoras en estados unidos, 1972-2009 (1972 = 100)</w:t>
      </w:r>
    </w:p>
    <w:p>
      <w:pPr>
        <w:spacing w:before="90"/>
        <w:ind w:left="472" w:right="25" w:firstLine="0"/>
        <w:jc w:val="left"/>
        <w:rPr>
          <w:sz w:val="16"/>
        </w:rPr>
      </w:pPr>
      <w:r>
        <w:rPr/>
        <w:pict>
          <v:line style="position:absolute;mso-position-horizontal-relative:page;mso-position-vertical-relative:paragraph;z-index:9448" from="86.837997pt,10.297442pt" to="324.437997pt,10.297442pt" stroked="true" strokeweight=".5pt" strokecolor="#a7a9ac">
            <w10:wrap type="none"/>
          </v:line>
        </w:pict>
      </w:r>
      <w:r>
        <w:rPr>
          <w:color w:val="231F20"/>
          <w:sz w:val="16"/>
        </w:rPr>
        <w:t>250 —</w:t>
      </w:r>
    </w:p>
    <w:p>
      <w:pPr>
        <w:pStyle w:val="BodyText"/>
        <w:rPr>
          <w:sz w:val="16"/>
        </w:rPr>
      </w:pPr>
    </w:p>
    <w:p>
      <w:pPr>
        <w:pStyle w:val="BodyText"/>
        <w:rPr>
          <w:sz w:val="16"/>
        </w:rPr>
      </w:pPr>
    </w:p>
    <w:p>
      <w:pPr>
        <w:spacing w:before="138"/>
        <w:ind w:left="472" w:right="25" w:firstLine="0"/>
        <w:jc w:val="left"/>
        <w:rPr>
          <w:sz w:val="16"/>
        </w:rPr>
      </w:pPr>
      <w:r>
        <w:rPr/>
        <w:pict>
          <v:group style="position:absolute;margin-left:86.587997pt;margin-top:12.36944pt;width:238.1pt;height:80.95pt;mso-position-horizontal-relative:page;mso-position-vertical-relative:paragraph;z-index:-347824" coordorigin="1732,247" coordsize="4762,1619">
            <v:line style="position:absolute" from="1737,941" to="6489,941" stroked="true" strokeweight=".5pt" strokecolor="#a7a9ac"/>
            <v:line style="position:absolute" from="1737,252" to="6489,252" stroked="true" strokeweight=".5pt" strokecolor="#a7a9ac"/>
            <v:line style="position:absolute" from="1737,1629" to="6489,1629" stroked="true" strokeweight=".5pt" strokecolor="#a7a9ac"/>
            <v:shape style="position:absolute;left:1791;top:279;width:4626;height:1354" coordorigin="1791,279" coordsize="4626,1354" path="m1791,1633l1817,1620,1911,1573,2061,1621,2289,1519,2537,1465,2697,1489,2817,1459,3051,1489,3165,1399,3411,1369,3537,1297,3669,1309,3915,1267,4059,1225,4185,1201,4287,1111,4437,1105,4659,1093,4791,1033,4941,1003,5057,949,5409,787,5571,667,5751,547,5913,457,6063,439,6177,391,6303,325,6417,279e" filled="false" stroked="true" strokeweight=".5pt" strokecolor="#231f20">
              <v:path arrowok="t"/>
            </v:shape>
            <v:shape style="position:absolute;left:1797;top:865;width:4620;height:768" coordorigin="1797,865" coordsize="4620,768" path="m1797,1633l2061,1579,2223,1567,2355,1549,2517,1525,2691,1513,2817,1483,3039,1459,3177,1441,3417,1411,3549,1381,3687,1359,3807,1339,3909,1319,4161,1297,4317,1249,4449,1249,4551,1219,4671,1207,4839,1171,4995,1135,5177,1123,5301,1081,5439,1069,5703,1009,5823,979,5991,949,6171,919,6417,865e" filled="false" stroked="true" strokeweight=".5pt" strokecolor="#231f20">
              <v:path arrowok="t"/>
            </v:shape>
            <v:shape style="position:absolute;left:1817;top:1489;width:4606;height:210" coordorigin="1817,1489" coordsize="4606,210" path="m1817,1627l1911,1621,2169,1663,2301,1615,2547,1573,2679,1599,2777,1627,3017,1639,3165,1639,3273,1651,3543,1639,3657,1679,3861,1687,4023,1699,4317,1693,4407,1681,4563,1681,4797,1699,5001,1663,5187,1633,5343,1615,5673,1549,5871,1567,6081,1567,6303,1549,6423,1489e" filled="false" stroked="true" strokeweight=".5pt" strokecolor="#231f20">
              <v:path arrowok="t"/>
            </v:shape>
            <v:shape style="position:absolute;left:1793;top:1635;width:4618;height:226" coordorigin="1793,1635" coordsize="4618,226" path="m1793,1635l1923,1645,2067,1699,2181,1711,2427,1679,2541,1681,2781,1789,3057,1819,3183,1799,3327,1799,3483,1783,3663,1819,3987,1843,4161,1861,4329,1861,4697,1855,4887,1843,5067,1799,5199,1777,5319,1789,5661,1735,5865,1747,5961,1771,6165,1729,6291,1753,6411,1693e" filled="false" stroked="true" strokeweight=".5pt" strokecolor="#231f20">
              <v:path arrowok="t"/>
            </v:shape>
            <v:shape style="position:absolute;left:4527;top:252;width:1876;height:640" type="#_x0000_t202" filled="false" stroked="false">
              <v:textbox inset="0,0,0,0">
                <w:txbxContent>
                  <w:p>
                    <w:pPr>
                      <w:spacing w:line="158" w:lineRule="exact" w:before="0"/>
                      <w:ind w:left="0" w:right="-17" w:firstLine="0"/>
                      <w:jc w:val="left"/>
                      <w:rPr>
                        <w:sz w:val="16"/>
                      </w:rPr>
                    </w:pPr>
                    <w:r>
                      <w:rPr>
                        <w:color w:val="231F20"/>
                        <w:w w:val="110"/>
                        <w:sz w:val="16"/>
                      </w:rPr>
                      <w:t>Productividad por hora</w:t>
                    </w:r>
                  </w:p>
                  <w:p>
                    <w:pPr>
                      <w:spacing w:line="240" w:lineRule="auto" w:before="0"/>
                      <w:rPr>
                        <w:sz w:val="16"/>
                      </w:rPr>
                    </w:pPr>
                  </w:p>
                  <w:p>
                    <w:pPr>
                      <w:spacing w:before="112"/>
                      <w:ind w:left="221" w:right="-17" w:firstLine="0"/>
                      <w:jc w:val="left"/>
                      <w:rPr>
                        <w:sz w:val="16"/>
                      </w:rPr>
                    </w:pPr>
                    <w:r>
                      <w:rPr>
                        <w:color w:val="231F20"/>
                        <w:w w:val="105"/>
                        <w:sz w:val="16"/>
                      </w:rPr>
                      <w:t>Productividad  utilizable</w:t>
                    </w:r>
                  </w:p>
                </w:txbxContent>
              </v:textbox>
              <w10:wrap type="none"/>
            </v:shape>
            <v:shape style="position:absolute;left:5355;top:1338;width:1044;height:160" type="#_x0000_t202" filled="false" stroked="false">
              <v:textbox inset="0,0,0,0">
                <w:txbxContent>
                  <w:p>
                    <w:pPr>
                      <w:spacing w:line="158" w:lineRule="exact" w:before="0"/>
                      <w:ind w:left="0" w:right="0" w:firstLine="0"/>
                      <w:jc w:val="left"/>
                      <w:rPr>
                        <w:sz w:val="16"/>
                      </w:rPr>
                    </w:pPr>
                    <w:r>
                      <w:rPr>
                        <w:color w:val="231F20"/>
                        <w:w w:val="105"/>
                        <w:sz w:val="16"/>
                      </w:rPr>
                      <w:t>Compensación</w:t>
                    </w:r>
                  </w:p>
                </w:txbxContent>
              </v:textbox>
              <w10:wrap type="none"/>
            </v:shape>
            <w10:wrap type="none"/>
          </v:group>
        </w:pict>
      </w:r>
      <w:r>
        <w:rPr>
          <w:color w:val="231F20"/>
          <w:sz w:val="16"/>
        </w:rPr>
        <w:t>200 —</w:t>
      </w:r>
    </w:p>
    <w:p>
      <w:pPr>
        <w:pStyle w:val="BodyText"/>
        <w:rPr>
          <w:sz w:val="16"/>
        </w:rPr>
      </w:pPr>
    </w:p>
    <w:p>
      <w:pPr>
        <w:pStyle w:val="BodyText"/>
        <w:rPr>
          <w:sz w:val="16"/>
        </w:rPr>
      </w:pPr>
    </w:p>
    <w:p>
      <w:pPr>
        <w:spacing w:before="138"/>
        <w:ind w:left="472" w:right="25" w:firstLine="0"/>
        <w:jc w:val="left"/>
        <w:rPr>
          <w:sz w:val="16"/>
        </w:rPr>
      </w:pPr>
      <w:r>
        <w:rPr>
          <w:color w:val="231F20"/>
          <w:sz w:val="16"/>
        </w:rPr>
        <w:t>150 —</w:t>
      </w:r>
    </w:p>
    <w:p>
      <w:pPr>
        <w:pStyle w:val="BodyText"/>
      </w:pPr>
    </w:p>
    <w:p>
      <w:pPr>
        <w:pStyle w:val="BodyText"/>
        <w:spacing w:before="6"/>
        <w:rPr>
          <w:sz w:val="17"/>
        </w:rPr>
      </w:pPr>
    </w:p>
    <w:p>
      <w:pPr>
        <w:spacing w:before="74"/>
        <w:ind w:left="113" w:right="4935" w:firstLine="0"/>
        <w:jc w:val="center"/>
        <w:rPr>
          <w:sz w:val="16"/>
        </w:rPr>
      </w:pPr>
      <w:r>
        <w:rPr>
          <w:color w:val="231F20"/>
          <w:sz w:val="16"/>
        </w:rPr>
        <w:t>100 —</w:t>
      </w:r>
    </w:p>
    <w:p>
      <w:pPr>
        <w:spacing w:before="84"/>
        <w:ind w:left="73" w:right="573" w:firstLine="0"/>
        <w:jc w:val="right"/>
        <w:rPr>
          <w:sz w:val="16"/>
        </w:rPr>
      </w:pPr>
      <w:r>
        <w:rPr>
          <w:color w:val="231F20"/>
          <w:w w:val="110"/>
          <w:sz w:val="16"/>
        </w:rPr>
        <w:t>Salario real por hora</w:t>
      </w:r>
    </w:p>
    <w:p>
      <w:pPr>
        <w:pStyle w:val="BodyText"/>
        <w:spacing w:before="7"/>
      </w:pPr>
    </w:p>
    <w:p>
      <w:pPr>
        <w:spacing w:before="0"/>
        <w:ind w:left="555" w:right="25" w:firstLine="0"/>
        <w:jc w:val="left"/>
        <w:rPr>
          <w:sz w:val="16"/>
        </w:rPr>
      </w:pPr>
      <w:r>
        <w:rPr/>
        <w:pict>
          <v:line style="position:absolute;mso-position-horizontal-relative:page;mso-position-vertical-relative:paragraph;z-index:9544" from="86.837997pt,5.493164pt" to="324.437997pt,5.493164pt" stroked="true" strokeweight=".5pt" strokecolor="#a7a9ac">
            <w10:wrap type="none"/>
          </v:line>
        </w:pict>
      </w:r>
      <w:r>
        <w:rPr>
          <w:color w:val="231F20"/>
          <w:sz w:val="16"/>
        </w:rPr>
        <w:t>50 —</w:t>
      </w:r>
    </w:p>
    <w:p>
      <w:pPr>
        <w:pStyle w:val="BodyText"/>
        <w:rPr>
          <w:sz w:val="16"/>
        </w:rPr>
      </w:pPr>
    </w:p>
    <w:p>
      <w:pPr>
        <w:pStyle w:val="BodyText"/>
        <w:rPr>
          <w:sz w:val="16"/>
        </w:rPr>
      </w:pPr>
    </w:p>
    <w:p>
      <w:pPr>
        <w:spacing w:before="138"/>
        <w:ind w:left="113" w:right="4768" w:firstLine="0"/>
        <w:jc w:val="center"/>
        <w:rPr>
          <w:sz w:val="16"/>
        </w:rPr>
      </w:pPr>
      <w:r>
        <w:rPr/>
        <w:pict>
          <v:line style="position:absolute;mso-position-horizontal-relative:page;mso-position-vertical-relative:paragraph;z-index:9568" from="86.837997pt,12.315162pt" to="324.437997pt,12.315162pt" stroked="true" strokeweight=".5pt" strokecolor="#a7a9ac">
            <w10:wrap type="none"/>
          </v:line>
        </w:pict>
      </w:r>
      <w:r>
        <w:rPr/>
        <w:pict>
          <v:shape style="position:absolute;margin-left:81.509201pt;margin-top:13.46436pt;width:247.45pt;height:28.75pt;mso-position-horizontal-relative:page;mso-position-vertical-relative:paragraph;z-index:-347752" type="#_x0000_t202" filled="false" stroked="false">
            <v:textbox inset="0,0,0,0" style="layout-flow:vertical;mso-layout-flow-alt:bottom-to-top">
              <w:txbxContent>
                <w:p>
                  <w:pPr>
                    <w:spacing w:line="178" w:lineRule="exact" w:before="0"/>
                    <w:ind w:left="20" w:right="0" w:firstLine="0"/>
                    <w:jc w:val="left"/>
                    <w:rPr>
                      <w:sz w:val="16"/>
                    </w:rPr>
                  </w:pPr>
                  <w:r>
                    <w:rPr>
                      <w:color w:val="231F20"/>
                      <w:w w:val="104"/>
                      <w:sz w:val="16"/>
                    </w:rPr>
                    <w:t>1972</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1974</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1976</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1978</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1980</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1982</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1984</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1986</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1988</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1990</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1992</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1994</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1996</w:t>
                  </w:r>
                  <w:r>
                    <w:rPr>
                      <w:color w:val="231F20"/>
                      <w:spacing w:val="1"/>
                      <w:sz w:val="16"/>
                    </w:rPr>
                    <w:t> </w:t>
                  </w:r>
                  <w:r>
                    <w:rPr>
                      <w:color w:val="231F20"/>
                      <w:sz w:val="16"/>
                    </w:rPr>
                    <w:t>—</w:t>
                  </w:r>
                </w:p>
                <w:p>
                  <w:pPr>
                    <w:spacing w:before="66"/>
                    <w:ind w:left="20" w:right="0" w:firstLine="0"/>
                    <w:jc w:val="left"/>
                    <w:rPr>
                      <w:sz w:val="16"/>
                    </w:rPr>
                  </w:pPr>
                  <w:r>
                    <w:rPr>
                      <w:color w:val="231F20"/>
                      <w:w w:val="104"/>
                      <w:sz w:val="16"/>
                    </w:rPr>
                    <w:t>1998</w:t>
                  </w:r>
                  <w:r>
                    <w:rPr>
                      <w:color w:val="231F20"/>
                      <w:spacing w:val="1"/>
                      <w:sz w:val="16"/>
                    </w:rPr>
                    <w:t> </w:t>
                  </w:r>
                  <w:r>
                    <w:rPr>
                      <w:color w:val="231F20"/>
                      <w:sz w:val="16"/>
                    </w:rPr>
                    <w:t>—</w:t>
                  </w:r>
                </w:p>
                <w:p>
                  <w:pPr>
                    <w:spacing w:before="66"/>
                    <w:ind w:left="20" w:right="0" w:firstLine="0"/>
                    <w:jc w:val="left"/>
                    <w:rPr>
                      <w:sz w:val="16"/>
                    </w:rPr>
                  </w:pPr>
                  <w:r>
                    <w:rPr>
                      <w:color w:val="231F20"/>
                      <w:w w:val="104"/>
                      <w:sz w:val="16"/>
                    </w:rPr>
                    <w:t>2000</w:t>
                  </w:r>
                  <w:r>
                    <w:rPr>
                      <w:color w:val="231F20"/>
                      <w:spacing w:val="1"/>
                      <w:sz w:val="16"/>
                    </w:rPr>
                    <w:t> </w:t>
                  </w:r>
                  <w:r>
                    <w:rPr>
                      <w:color w:val="231F20"/>
                      <w:sz w:val="16"/>
                    </w:rPr>
                    <w:t>—</w:t>
                  </w:r>
                </w:p>
                <w:p>
                  <w:pPr>
                    <w:spacing w:before="66"/>
                    <w:ind w:left="20" w:right="0" w:firstLine="0"/>
                    <w:jc w:val="left"/>
                    <w:rPr>
                      <w:sz w:val="16"/>
                    </w:rPr>
                  </w:pPr>
                  <w:r>
                    <w:rPr>
                      <w:color w:val="231F20"/>
                      <w:w w:val="104"/>
                      <w:sz w:val="16"/>
                    </w:rPr>
                    <w:t>2002</w:t>
                  </w:r>
                  <w:r>
                    <w:rPr>
                      <w:color w:val="231F20"/>
                      <w:spacing w:val="1"/>
                      <w:sz w:val="16"/>
                    </w:rPr>
                    <w:t> </w:t>
                  </w:r>
                  <w:r>
                    <w:rPr>
                      <w:color w:val="231F20"/>
                      <w:sz w:val="16"/>
                    </w:rPr>
                    <w:t>—</w:t>
                  </w:r>
                </w:p>
                <w:p>
                  <w:pPr>
                    <w:spacing w:before="66"/>
                    <w:ind w:left="20" w:right="0" w:firstLine="0"/>
                    <w:jc w:val="left"/>
                    <w:rPr>
                      <w:sz w:val="16"/>
                    </w:rPr>
                  </w:pPr>
                  <w:r>
                    <w:rPr>
                      <w:color w:val="231F20"/>
                      <w:w w:val="104"/>
                      <w:sz w:val="16"/>
                    </w:rPr>
                    <w:t>2004</w:t>
                  </w:r>
                  <w:r>
                    <w:rPr>
                      <w:color w:val="231F20"/>
                      <w:spacing w:val="1"/>
                      <w:sz w:val="16"/>
                    </w:rPr>
                    <w:t> </w:t>
                  </w:r>
                  <w:r>
                    <w:rPr>
                      <w:color w:val="231F20"/>
                      <w:sz w:val="16"/>
                    </w:rPr>
                    <w:t>—</w:t>
                  </w:r>
                </w:p>
                <w:p>
                  <w:pPr>
                    <w:spacing w:before="66"/>
                    <w:ind w:left="20" w:right="0" w:firstLine="0"/>
                    <w:jc w:val="left"/>
                    <w:rPr>
                      <w:sz w:val="16"/>
                    </w:rPr>
                  </w:pPr>
                  <w:r>
                    <w:rPr>
                      <w:color w:val="231F20"/>
                      <w:w w:val="104"/>
                      <w:sz w:val="16"/>
                    </w:rPr>
                    <w:t>2006</w:t>
                  </w:r>
                  <w:r>
                    <w:rPr>
                      <w:color w:val="231F20"/>
                      <w:spacing w:val="1"/>
                      <w:sz w:val="16"/>
                    </w:rPr>
                    <w:t> </w:t>
                  </w:r>
                  <w:r>
                    <w:rPr>
                      <w:color w:val="231F20"/>
                      <w:sz w:val="16"/>
                    </w:rPr>
                    <w:t>—</w:t>
                  </w:r>
                </w:p>
                <w:p>
                  <w:pPr>
                    <w:spacing w:before="66"/>
                    <w:ind w:left="20" w:right="0" w:firstLine="0"/>
                    <w:jc w:val="left"/>
                    <w:rPr>
                      <w:sz w:val="16"/>
                    </w:rPr>
                  </w:pPr>
                  <w:r>
                    <w:rPr>
                      <w:color w:val="231F20"/>
                      <w:w w:val="104"/>
                      <w:sz w:val="16"/>
                    </w:rPr>
                    <w:t>2008</w:t>
                  </w:r>
                  <w:r>
                    <w:rPr>
                      <w:color w:val="231F20"/>
                      <w:spacing w:val="1"/>
                      <w:sz w:val="16"/>
                    </w:rPr>
                    <w:t> </w:t>
                  </w:r>
                  <w:r>
                    <w:rPr>
                      <w:color w:val="231F20"/>
                      <w:sz w:val="16"/>
                    </w:rPr>
                    <w:t>—</w:t>
                  </w:r>
                </w:p>
                <w:p>
                  <w:pPr>
                    <w:spacing w:before="66"/>
                    <w:ind w:left="0" w:right="18" w:firstLine="0"/>
                    <w:jc w:val="right"/>
                    <w:rPr>
                      <w:sz w:val="16"/>
                    </w:rPr>
                  </w:pPr>
                  <w:r>
                    <w:rPr>
                      <w:color w:val="231F20"/>
                      <w:sz w:val="16"/>
                    </w:rPr>
                    <w:t>—</w:t>
                  </w:r>
                </w:p>
              </w:txbxContent>
            </v:textbox>
            <w10:wrap type="none"/>
          </v:shape>
        </w:pict>
      </w:r>
      <w:r>
        <w:rPr>
          <w:color w:val="231F20"/>
          <w:sz w:val="16"/>
        </w:rPr>
        <w:t>0 —</w:t>
      </w:r>
    </w:p>
    <w:p>
      <w:pPr>
        <w:pStyle w:val="BodyText"/>
      </w:pPr>
    </w:p>
    <w:p>
      <w:pPr>
        <w:pStyle w:val="BodyText"/>
      </w:pPr>
    </w:p>
    <w:p>
      <w:pPr>
        <w:pStyle w:val="BodyText"/>
        <w:spacing w:before="10"/>
        <w:rPr>
          <w:sz w:val="17"/>
        </w:rPr>
      </w:pPr>
    </w:p>
    <w:p>
      <w:pPr>
        <w:spacing w:line="283" w:lineRule="auto" w:before="0"/>
        <w:ind w:left="100" w:right="117" w:firstLine="0"/>
        <w:jc w:val="both"/>
        <w:rPr>
          <w:sz w:val="18"/>
        </w:rPr>
      </w:pPr>
      <w:r>
        <w:rPr>
          <w:rFonts w:ascii="Calibri" w:hAnsi="Calibri"/>
          <w:color w:val="231F20"/>
          <w:w w:val="105"/>
          <w:sz w:val="18"/>
        </w:rPr>
        <w:t>fuentes: </w:t>
      </w:r>
      <w:r>
        <w:rPr>
          <w:color w:val="231F20"/>
          <w:w w:val="105"/>
          <w:sz w:val="18"/>
        </w:rPr>
        <w:t>Baker, 2007; Council of Economic Advisors, </w:t>
      </w:r>
      <w:r>
        <w:rPr>
          <w:i/>
          <w:color w:val="231F20"/>
          <w:w w:val="105"/>
          <w:sz w:val="18"/>
        </w:rPr>
        <w:t>Economic Report of the </w:t>
      </w:r>
      <w:r>
        <w:rPr>
          <w:i/>
          <w:color w:val="231F20"/>
          <w:w w:val="105"/>
          <w:sz w:val="18"/>
        </w:rPr>
        <w:t>President</w:t>
      </w:r>
      <w:r>
        <w:rPr>
          <w:color w:val="231F20"/>
          <w:w w:val="105"/>
          <w:sz w:val="18"/>
        </w:rPr>
        <w:t>, 2010, “Hours and Earnings” Table B-47; “Productivity and Related Data” Table B-49; Economic Policy Institute,  2011.</w:t>
      </w:r>
    </w:p>
    <w:p>
      <w:pPr>
        <w:pStyle w:val="BodyText"/>
        <w:rPr>
          <w:sz w:val="18"/>
        </w:rPr>
      </w:pPr>
    </w:p>
    <w:p>
      <w:pPr>
        <w:pStyle w:val="BodyText"/>
        <w:spacing w:line="261" w:lineRule="auto" w:before="121"/>
        <w:ind w:left="100" w:right="119" w:firstLine="240"/>
        <w:jc w:val="both"/>
      </w:pPr>
      <w:r>
        <w:rPr>
          <w:color w:val="231F20"/>
          <w:w w:val="105"/>
        </w:rPr>
        <w:t>Desde el fin de esta época, la economía estadunidense ha sido trans- formada en lo que podemos llamar la </w:t>
      </w:r>
      <w:r>
        <w:rPr>
          <w:i/>
          <w:color w:val="231F20"/>
          <w:w w:val="105"/>
        </w:rPr>
        <w:t>economía tripartita. </w:t>
      </w:r>
      <w:r>
        <w:rPr>
          <w:color w:val="231F20"/>
          <w:w w:val="105"/>
        </w:rPr>
        <w:t>Este nuevo patrón</w:t>
      </w:r>
      <w:r>
        <w:rPr>
          <w:color w:val="231F20"/>
          <w:spacing w:val="-19"/>
          <w:w w:val="105"/>
        </w:rPr>
        <w:t> </w:t>
      </w:r>
      <w:r>
        <w:rPr>
          <w:color w:val="231F20"/>
          <w:w w:val="105"/>
        </w:rPr>
        <w:t>consta</w:t>
      </w:r>
      <w:r>
        <w:rPr>
          <w:color w:val="231F20"/>
          <w:spacing w:val="-19"/>
          <w:w w:val="105"/>
        </w:rPr>
        <w:t> </w:t>
      </w:r>
      <w:r>
        <w:rPr>
          <w:color w:val="231F20"/>
          <w:w w:val="105"/>
        </w:rPr>
        <w:t>de</w:t>
      </w:r>
      <w:r>
        <w:rPr>
          <w:color w:val="231F20"/>
          <w:spacing w:val="-19"/>
          <w:w w:val="105"/>
        </w:rPr>
        <w:t> </w:t>
      </w:r>
      <w:r>
        <w:rPr>
          <w:color w:val="231F20"/>
          <w:w w:val="105"/>
        </w:rPr>
        <w:t>tres</w:t>
      </w:r>
      <w:r>
        <w:rPr>
          <w:color w:val="231F20"/>
          <w:spacing w:val="-19"/>
          <w:w w:val="105"/>
        </w:rPr>
        <w:t> </w:t>
      </w:r>
      <w:r>
        <w:rPr>
          <w:color w:val="231F20"/>
          <w:w w:val="105"/>
        </w:rPr>
        <w:t>estructuras</w:t>
      </w:r>
      <w:r>
        <w:rPr>
          <w:color w:val="231F20"/>
          <w:spacing w:val="-19"/>
          <w:w w:val="105"/>
        </w:rPr>
        <w:t> </w:t>
      </w:r>
      <w:r>
        <w:rPr>
          <w:color w:val="231F20"/>
          <w:w w:val="105"/>
        </w:rPr>
        <w:t>básicas:</w:t>
      </w:r>
      <w:r>
        <w:rPr>
          <w:color w:val="231F20"/>
          <w:spacing w:val="-19"/>
          <w:w w:val="105"/>
        </w:rPr>
        <w:t> </w:t>
      </w:r>
      <w:r>
        <w:rPr>
          <w:color w:val="231F20"/>
          <w:w w:val="105"/>
        </w:rPr>
        <w:t>1]</w:t>
      </w:r>
      <w:r>
        <w:rPr>
          <w:color w:val="231F20"/>
          <w:spacing w:val="-19"/>
          <w:w w:val="105"/>
        </w:rPr>
        <w:t> </w:t>
      </w:r>
      <w:r>
        <w:rPr>
          <w:i/>
          <w:color w:val="231F20"/>
          <w:w w:val="105"/>
        </w:rPr>
        <w:t>las</w:t>
      </w:r>
      <w:r>
        <w:rPr>
          <w:i/>
          <w:color w:val="231F20"/>
          <w:spacing w:val="-19"/>
          <w:w w:val="105"/>
        </w:rPr>
        <w:t> </w:t>
      </w:r>
      <w:r>
        <w:rPr>
          <w:i/>
          <w:color w:val="231F20"/>
          <w:w w:val="105"/>
        </w:rPr>
        <w:t>empresas</w:t>
      </w:r>
      <w:r>
        <w:rPr>
          <w:i/>
          <w:color w:val="231F20"/>
          <w:spacing w:val="-19"/>
          <w:w w:val="105"/>
        </w:rPr>
        <w:t> </w:t>
      </w:r>
      <w:r>
        <w:rPr>
          <w:i/>
          <w:color w:val="231F20"/>
          <w:w w:val="105"/>
        </w:rPr>
        <w:t>manufactureras </w:t>
      </w:r>
      <w:r>
        <w:rPr>
          <w:i/>
          <w:color w:val="231F20"/>
          <w:w w:val="105"/>
        </w:rPr>
        <w:t>reestructuradas</w:t>
      </w:r>
      <w:r>
        <w:rPr>
          <w:i/>
          <w:color w:val="231F20"/>
          <w:spacing w:val="-11"/>
          <w:w w:val="105"/>
        </w:rPr>
        <w:t> </w:t>
      </w:r>
      <w:r>
        <w:rPr>
          <w:color w:val="231F20"/>
          <w:w w:val="105"/>
        </w:rPr>
        <w:t>—ahora</w:t>
      </w:r>
      <w:r>
        <w:rPr>
          <w:color w:val="231F20"/>
          <w:spacing w:val="-11"/>
          <w:w w:val="105"/>
        </w:rPr>
        <w:t> </w:t>
      </w:r>
      <w:r>
        <w:rPr>
          <w:color w:val="231F20"/>
          <w:w w:val="105"/>
        </w:rPr>
        <w:t>usando</w:t>
      </w:r>
      <w:r>
        <w:rPr>
          <w:color w:val="231F20"/>
          <w:spacing w:val="-11"/>
          <w:w w:val="105"/>
        </w:rPr>
        <w:t> </w:t>
      </w:r>
      <w:r>
        <w:rPr>
          <w:color w:val="231F20"/>
          <w:w w:val="105"/>
        </w:rPr>
        <w:t>el</w:t>
      </w:r>
      <w:r>
        <w:rPr>
          <w:color w:val="231F20"/>
          <w:spacing w:val="-11"/>
          <w:w w:val="105"/>
        </w:rPr>
        <w:t> </w:t>
      </w:r>
      <w:r>
        <w:rPr>
          <w:color w:val="231F20"/>
          <w:w w:val="105"/>
        </w:rPr>
        <w:t>sistema</w:t>
      </w:r>
      <w:r>
        <w:rPr>
          <w:color w:val="231F20"/>
          <w:spacing w:val="-11"/>
          <w:w w:val="105"/>
        </w:rPr>
        <w:t> </w:t>
      </w:r>
      <w:r>
        <w:rPr>
          <w:color w:val="231F20"/>
          <w:w w:val="105"/>
        </w:rPr>
        <w:t>integrado</w:t>
      </w:r>
      <w:r>
        <w:rPr>
          <w:color w:val="231F20"/>
          <w:spacing w:val="-11"/>
          <w:w w:val="105"/>
        </w:rPr>
        <w:t> </w:t>
      </w:r>
      <w:r>
        <w:rPr>
          <w:color w:val="231F20"/>
          <w:w w:val="105"/>
        </w:rPr>
        <w:t>de</w:t>
      </w:r>
      <w:r>
        <w:rPr>
          <w:color w:val="231F20"/>
          <w:spacing w:val="-11"/>
          <w:w w:val="105"/>
        </w:rPr>
        <w:t> </w:t>
      </w:r>
      <w:r>
        <w:rPr>
          <w:color w:val="231F20"/>
          <w:w w:val="105"/>
        </w:rPr>
        <w:t>producción</w:t>
      </w:r>
      <w:r>
        <w:rPr>
          <w:color w:val="231F20"/>
          <w:spacing w:val="-11"/>
          <w:w w:val="105"/>
        </w:rPr>
        <w:t> </w:t>
      </w:r>
      <w:r>
        <w:rPr>
          <w:color w:val="231F20"/>
          <w:w w:val="105"/>
        </w:rPr>
        <w:t>glo- bal—;</w:t>
      </w:r>
      <w:r>
        <w:rPr>
          <w:color w:val="231F20"/>
          <w:spacing w:val="-10"/>
          <w:w w:val="105"/>
        </w:rPr>
        <w:t> </w:t>
      </w:r>
      <w:r>
        <w:rPr>
          <w:color w:val="231F20"/>
          <w:w w:val="105"/>
        </w:rPr>
        <w:t>2]</w:t>
      </w:r>
      <w:r>
        <w:rPr>
          <w:color w:val="231F20"/>
          <w:spacing w:val="-10"/>
          <w:w w:val="105"/>
        </w:rPr>
        <w:t> </w:t>
      </w:r>
      <w:r>
        <w:rPr>
          <w:i/>
          <w:color w:val="231F20"/>
          <w:w w:val="105"/>
        </w:rPr>
        <w:t>las</w:t>
      </w:r>
      <w:r>
        <w:rPr>
          <w:i/>
          <w:color w:val="231F20"/>
          <w:spacing w:val="-10"/>
          <w:w w:val="105"/>
        </w:rPr>
        <w:t> </w:t>
      </w:r>
      <w:r>
        <w:rPr>
          <w:i/>
          <w:color w:val="231F20"/>
          <w:w w:val="105"/>
        </w:rPr>
        <w:t>empresas</w:t>
      </w:r>
      <w:r>
        <w:rPr>
          <w:i/>
          <w:color w:val="231F20"/>
          <w:spacing w:val="-10"/>
          <w:w w:val="105"/>
        </w:rPr>
        <w:t> </w:t>
      </w:r>
      <w:r>
        <w:rPr>
          <w:i/>
          <w:color w:val="231F20"/>
          <w:w w:val="105"/>
        </w:rPr>
        <w:t>de</w:t>
      </w:r>
      <w:r>
        <w:rPr>
          <w:i/>
          <w:color w:val="231F20"/>
          <w:spacing w:val="-10"/>
          <w:w w:val="105"/>
        </w:rPr>
        <w:t> </w:t>
      </w:r>
      <w:r>
        <w:rPr>
          <w:i/>
          <w:color w:val="231F20"/>
          <w:w w:val="105"/>
        </w:rPr>
        <w:t>alta</w:t>
      </w:r>
      <w:r>
        <w:rPr>
          <w:i/>
          <w:color w:val="231F20"/>
          <w:spacing w:val="-10"/>
          <w:w w:val="105"/>
        </w:rPr>
        <w:t> </w:t>
      </w:r>
      <w:r>
        <w:rPr>
          <w:i/>
          <w:color w:val="231F20"/>
          <w:w w:val="105"/>
        </w:rPr>
        <w:t>tecnología</w:t>
      </w:r>
      <w:r>
        <w:rPr>
          <w:color w:val="231F20"/>
          <w:w w:val="105"/>
        </w:rPr>
        <w:t>,</w:t>
      </w:r>
      <w:r>
        <w:rPr>
          <w:color w:val="231F20"/>
          <w:spacing w:val="-10"/>
          <w:w w:val="105"/>
        </w:rPr>
        <w:t> </w:t>
      </w:r>
      <w:r>
        <w:rPr>
          <w:color w:val="231F20"/>
          <w:w w:val="105"/>
        </w:rPr>
        <w:t>sobre</w:t>
      </w:r>
      <w:r>
        <w:rPr>
          <w:color w:val="231F20"/>
          <w:spacing w:val="-10"/>
          <w:w w:val="105"/>
        </w:rPr>
        <w:t> </w:t>
      </w:r>
      <w:r>
        <w:rPr>
          <w:color w:val="231F20"/>
          <w:w w:val="105"/>
        </w:rPr>
        <w:t>todo</w:t>
      </w:r>
      <w:r>
        <w:rPr>
          <w:color w:val="231F20"/>
          <w:spacing w:val="-10"/>
          <w:w w:val="105"/>
        </w:rPr>
        <w:t> </w:t>
      </w:r>
      <w:r>
        <w:rPr>
          <w:color w:val="231F20"/>
          <w:w w:val="105"/>
        </w:rPr>
        <w:t>las</w:t>
      </w:r>
      <w:r>
        <w:rPr>
          <w:color w:val="231F20"/>
          <w:spacing w:val="-10"/>
          <w:w w:val="105"/>
        </w:rPr>
        <w:t> </w:t>
      </w:r>
      <w:r>
        <w:rPr>
          <w:color w:val="231F20"/>
          <w:w w:val="105"/>
        </w:rPr>
        <w:t>aglomeradas</w:t>
      </w:r>
      <w:r>
        <w:rPr>
          <w:color w:val="231F20"/>
          <w:spacing w:val="-10"/>
          <w:w w:val="105"/>
        </w:rPr>
        <w:t> </w:t>
      </w:r>
      <w:r>
        <w:rPr>
          <w:color w:val="231F20"/>
          <w:w w:val="105"/>
        </w:rPr>
        <w:t>en comunicaciones y tecnologías de información —apoyadas en capital  de riesgo, innovaciones financieras y opciones de acción para echar leña</w:t>
      </w:r>
      <w:r>
        <w:rPr>
          <w:color w:val="231F20"/>
          <w:spacing w:val="-5"/>
          <w:w w:val="105"/>
        </w:rPr>
        <w:t> </w:t>
      </w:r>
      <w:r>
        <w:rPr>
          <w:color w:val="231F20"/>
          <w:w w:val="105"/>
        </w:rPr>
        <w:t>al</w:t>
      </w:r>
      <w:r>
        <w:rPr>
          <w:color w:val="231F20"/>
          <w:spacing w:val="-5"/>
          <w:w w:val="105"/>
        </w:rPr>
        <w:t> </w:t>
      </w:r>
      <w:r>
        <w:rPr>
          <w:color w:val="231F20"/>
          <w:w w:val="105"/>
        </w:rPr>
        <w:t>fuego—</w:t>
      </w:r>
      <w:r>
        <w:rPr>
          <w:color w:val="231F20"/>
          <w:spacing w:val="-5"/>
          <w:w w:val="105"/>
        </w:rPr>
        <w:t> </w:t>
      </w:r>
      <w:r>
        <w:rPr>
          <w:color w:val="231F20"/>
          <w:w w:val="105"/>
        </w:rPr>
        <w:t>(Lazonick</w:t>
      </w:r>
      <w:r>
        <w:rPr>
          <w:color w:val="231F20"/>
          <w:spacing w:val="-5"/>
          <w:w w:val="105"/>
        </w:rPr>
        <w:t> </w:t>
      </w:r>
      <w:r>
        <w:rPr>
          <w:color w:val="231F20"/>
          <w:w w:val="105"/>
        </w:rPr>
        <w:t>2008);</w:t>
      </w:r>
      <w:r>
        <w:rPr>
          <w:color w:val="231F20"/>
          <w:spacing w:val="-5"/>
          <w:w w:val="105"/>
        </w:rPr>
        <w:t> </w:t>
      </w:r>
      <w:r>
        <w:rPr>
          <w:color w:val="231F20"/>
          <w:w w:val="105"/>
        </w:rPr>
        <w:t>3]</w:t>
      </w:r>
      <w:r>
        <w:rPr>
          <w:color w:val="231F20"/>
          <w:spacing w:val="-5"/>
          <w:w w:val="105"/>
        </w:rPr>
        <w:t> </w:t>
      </w:r>
      <w:r>
        <w:rPr>
          <w:i/>
          <w:color w:val="231F20"/>
          <w:w w:val="105"/>
        </w:rPr>
        <w:t>las</w:t>
      </w:r>
      <w:r>
        <w:rPr>
          <w:i/>
          <w:color w:val="231F20"/>
          <w:spacing w:val="-5"/>
          <w:w w:val="105"/>
        </w:rPr>
        <w:t> </w:t>
      </w:r>
      <w:r>
        <w:rPr>
          <w:i/>
          <w:color w:val="231F20"/>
          <w:w w:val="105"/>
        </w:rPr>
        <w:t>firmas</w:t>
      </w:r>
      <w:r>
        <w:rPr>
          <w:i/>
          <w:color w:val="231F20"/>
          <w:spacing w:val="-5"/>
          <w:w w:val="105"/>
        </w:rPr>
        <w:t> </w:t>
      </w:r>
      <w:r>
        <w:rPr>
          <w:i/>
          <w:color w:val="231F20"/>
          <w:w w:val="105"/>
        </w:rPr>
        <w:t>financieras</w:t>
      </w:r>
      <w:r>
        <w:rPr>
          <w:i/>
          <w:color w:val="231F20"/>
          <w:spacing w:val="-5"/>
          <w:w w:val="105"/>
        </w:rPr>
        <w:t> </w:t>
      </w:r>
      <w:r>
        <w:rPr>
          <w:i/>
          <w:color w:val="231F20"/>
          <w:w w:val="105"/>
        </w:rPr>
        <w:t>apalancadas </w:t>
      </w:r>
      <w:r>
        <w:rPr>
          <w:color w:val="231F20"/>
          <w:w w:val="105"/>
        </w:rPr>
        <w:t>(bienes raíces comerciales, fondos de cobertura, bancos de inversio- nes,  empresas  de  la  bolsa  o  corredurías  y  aseguradoras) </w:t>
      </w:r>
      <w:r>
        <w:rPr>
          <w:color w:val="231F20"/>
          <w:spacing w:val="6"/>
          <w:w w:val="105"/>
        </w:rPr>
        <w:t> </w:t>
      </w:r>
      <w:r>
        <w:rPr>
          <w:color w:val="231F20"/>
          <w:w w:val="105"/>
        </w:rPr>
        <w:t>—usando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73" w:right="112"/>
        <w:jc w:val="right"/>
      </w:pPr>
      <w:r>
        <w:rPr>
          <w:color w:val="231F20"/>
          <w:w w:val="110"/>
        </w:rPr>
        <w:t>todas la liquidez masiva y las innovaciones financieras</w:t>
      </w:r>
      <w:r>
        <w:rPr>
          <w:color w:val="231F20"/>
          <w:spacing w:val="43"/>
          <w:w w:val="110"/>
        </w:rPr>
        <w:t> </w:t>
      </w:r>
      <w:r>
        <w:rPr>
          <w:color w:val="231F20"/>
          <w:w w:val="110"/>
        </w:rPr>
        <w:t>(como</w:t>
      </w:r>
      <w:r>
        <w:rPr>
          <w:color w:val="231F20"/>
          <w:spacing w:val="26"/>
          <w:w w:val="110"/>
        </w:rPr>
        <w:t> </w:t>
      </w:r>
      <w:r>
        <w:rPr>
          <w:color w:val="231F20"/>
          <w:w w:val="110"/>
        </w:rPr>
        <w:t>los</w:t>
      </w:r>
      <w:r>
        <w:rPr>
          <w:color w:val="231F20"/>
          <w:spacing w:val="1"/>
          <w:w w:val="102"/>
        </w:rPr>
        <w:t> </w:t>
      </w:r>
      <w:r>
        <w:rPr>
          <w:color w:val="231F20"/>
          <w:w w:val="110"/>
        </w:rPr>
        <w:t>derivados)</w:t>
      </w:r>
      <w:r>
        <w:rPr>
          <w:color w:val="231F20"/>
          <w:spacing w:val="-12"/>
          <w:w w:val="110"/>
        </w:rPr>
        <w:t> </w:t>
      </w:r>
      <w:r>
        <w:rPr>
          <w:color w:val="231F20"/>
          <w:w w:val="110"/>
        </w:rPr>
        <w:t>para</w:t>
      </w:r>
      <w:r>
        <w:rPr>
          <w:color w:val="231F20"/>
          <w:spacing w:val="-12"/>
          <w:w w:val="110"/>
        </w:rPr>
        <w:t> </w:t>
      </w:r>
      <w:r>
        <w:rPr>
          <w:color w:val="231F20"/>
          <w:w w:val="110"/>
        </w:rPr>
        <w:t>apropiarse</w:t>
      </w:r>
      <w:r>
        <w:rPr>
          <w:color w:val="231F20"/>
          <w:spacing w:val="-12"/>
          <w:w w:val="110"/>
        </w:rPr>
        <w:t> </w:t>
      </w:r>
      <w:r>
        <w:rPr>
          <w:color w:val="231F20"/>
          <w:w w:val="110"/>
        </w:rPr>
        <w:t>valor</w:t>
      </w:r>
      <w:r>
        <w:rPr>
          <w:color w:val="231F20"/>
          <w:spacing w:val="-12"/>
          <w:w w:val="110"/>
        </w:rPr>
        <w:t> </w:t>
      </w:r>
      <w:r>
        <w:rPr>
          <w:color w:val="231F20"/>
          <w:w w:val="110"/>
        </w:rPr>
        <w:t>desde</w:t>
      </w:r>
      <w:r>
        <w:rPr>
          <w:color w:val="231F20"/>
          <w:spacing w:val="-12"/>
          <w:w w:val="110"/>
        </w:rPr>
        <w:t> </w:t>
      </w:r>
      <w:r>
        <w:rPr>
          <w:color w:val="231F20"/>
          <w:w w:val="110"/>
        </w:rPr>
        <w:t>otros</w:t>
      </w:r>
      <w:r>
        <w:rPr>
          <w:color w:val="231F20"/>
          <w:spacing w:val="-12"/>
          <w:w w:val="110"/>
        </w:rPr>
        <w:t> </w:t>
      </w:r>
      <w:r>
        <w:rPr>
          <w:color w:val="231F20"/>
          <w:w w:val="110"/>
        </w:rPr>
        <w:t>sectores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economía.</w:t>
      </w:r>
      <w:r>
        <w:rPr>
          <w:color w:val="231F20"/>
          <w:spacing w:val="-1"/>
          <w:w w:val="110"/>
        </w:rPr>
        <w:t> </w:t>
      </w:r>
      <w:r>
        <w:rPr>
          <w:color w:val="231F20"/>
          <w:w w:val="110"/>
        </w:rPr>
        <w:t>En cada uno de estos componentes emergentes de</w:t>
      </w:r>
      <w:r>
        <w:rPr>
          <w:color w:val="231F20"/>
          <w:spacing w:val="41"/>
          <w:w w:val="110"/>
        </w:rPr>
        <w:t> </w:t>
      </w:r>
      <w:r>
        <w:rPr>
          <w:color w:val="231F20"/>
          <w:w w:val="110"/>
        </w:rPr>
        <w:t>la</w:t>
      </w:r>
      <w:r>
        <w:rPr>
          <w:color w:val="231F20"/>
          <w:spacing w:val="24"/>
          <w:w w:val="110"/>
        </w:rPr>
        <w:t> </w:t>
      </w:r>
      <w:r>
        <w:rPr>
          <w:i/>
          <w:color w:val="231F20"/>
          <w:w w:val="110"/>
        </w:rPr>
        <w:t>economía</w:t>
      </w:r>
      <w:r>
        <w:rPr>
          <w:i/>
          <w:color w:val="231F20"/>
          <w:w w:val="92"/>
        </w:rPr>
        <w:t> </w:t>
      </w:r>
      <w:r>
        <w:rPr>
          <w:i/>
          <w:color w:val="231F20"/>
          <w:w w:val="110"/>
        </w:rPr>
        <w:t>tripartita</w:t>
      </w:r>
      <w:r>
        <w:rPr>
          <w:color w:val="231F20"/>
          <w:w w:val="110"/>
        </w:rPr>
        <w:t>,</w:t>
      </w:r>
      <w:r>
        <w:rPr>
          <w:color w:val="231F20"/>
          <w:spacing w:val="33"/>
          <w:w w:val="110"/>
        </w:rPr>
        <w:t> </w:t>
      </w:r>
      <w:r>
        <w:rPr>
          <w:color w:val="231F20"/>
          <w:w w:val="110"/>
        </w:rPr>
        <w:t>la</w:t>
      </w:r>
      <w:r>
        <w:rPr>
          <w:color w:val="231F20"/>
          <w:spacing w:val="33"/>
          <w:w w:val="110"/>
        </w:rPr>
        <w:t> </w:t>
      </w:r>
      <w:r>
        <w:rPr>
          <w:color w:val="231F20"/>
          <w:w w:val="110"/>
        </w:rPr>
        <w:t>fuerza</w:t>
      </w:r>
      <w:r>
        <w:rPr>
          <w:color w:val="231F20"/>
          <w:spacing w:val="33"/>
          <w:w w:val="110"/>
        </w:rPr>
        <w:t> </w:t>
      </w:r>
      <w:r>
        <w:rPr>
          <w:color w:val="231F20"/>
          <w:w w:val="110"/>
        </w:rPr>
        <w:t>de</w:t>
      </w:r>
      <w:r>
        <w:rPr>
          <w:color w:val="231F20"/>
          <w:spacing w:val="33"/>
          <w:w w:val="110"/>
        </w:rPr>
        <w:t> </w:t>
      </w:r>
      <w:r>
        <w:rPr>
          <w:color w:val="231F20"/>
          <w:w w:val="110"/>
        </w:rPr>
        <w:t>trabajo</w:t>
      </w:r>
      <w:r>
        <w:rPr>
          <w:color w:val="231F20"/>
          <w:spacing w:val="33"/>
          <w:w w:val="110"/>
        </w:rPr>
        <w:t> </w:t>
      </w:r>
      <w:r>
        <w:rPr>
          <w:color w:val="231F20"/>
          <w:w w:val="110"/>
        </w:rPr>
        <w:t>de</w:t>
      </w:r>
      <w:r>
        <w:rPr>
          <w:color w:val="231F20"/>
          <w:spacing w:val="33"/>
          <w:w w:val="110"/>
        </w:rPr>
        <w:t> </w:t>
      </w:r>
      <w:r>
        <w:rPr>
          <w:color w:val="231F20"/>
          <w:w w:val="110"/>
        </w:rPr>
        <w:t>producción</w:t>
      </w:r>
      <w:r>
        <w:rPr>
          <w:color w:val="231F20"/>
          <w:spacing w:val="33"/>
          <w:w w:val="110"/>
        </w:rPr>
        <w:t> </w:t>
      </w:r>
      <w:r>
        <w:rPr>
          <w:color w:val="231F20"/>
          <w:w w:val="110"/>
        </w:rPr>
        <w:t>ha</w:t>
      </w:r>
      <w:r>
        <w:rPr>
          <w:color w:val="231F20"/>
          <w:spacing w:val="33"/>
          <w:w w:val="110"/>
        </w:rPr>
        <w:t> </w:t>
      </w:r>
      <w:r>
        <w:rPr>
          <w:color w:val="231F20"/>
          <w:w w:val="110"/>
        </w:rPr>
        <w:t>sido</w:t>
      </w:r>
      <w:r>
        <w:rPr>
          <w:color w:val="231F20"/>
          <w:spacing w:val="33"/>
          <w:w w:val="110"/>
        </w:rPr>
        <w:t> </w:t>
      </w:r>
      <w:r>
        <w:rPr>
          <w:color w:val="231F20"/>
          <w:w w:val="110"/>
        </w:rPr>
        <w:t>excluida,</w:t>
      </w:r>
      <w:r>
        <w:rPr>
          <w:color w:val="231F20"/>
          <w:spacing w:val="33"/>
          <w:w w:val="110"/>
        </w:rPr>
        <w:t> </w:t>
      </w:r>
      <w:r>
        <w:rPr>
          <w:color w:val="231F20"/>
          <w:w w:val="110"/>
        </w:rPr>
        <w:t>la</w:t>
      </w:r>
      <w:r>
        <w:rPr>
          <w:color w:val="231F20"/>
          <w:spacing w:val="1"/>
          <w:w w:val="105"/>
        </w:rPr>
        <w:t> </w:t>
      </w:r>
      <w:r>
        <w:rPr>
          <w:color w:val="231F20"/>
          <w:w w:val="110"/>
        </w:rPr>
        <w:t>inestabilidad macroeconómica ha aumentado —como</w:t>
      </w:r>
      <w:r>
        <w:rPr>
          <w:color w:val="231F20"/>
          <w:spacing w:val="4"/>
          <w:w w:val="110"/>
        </w:rPr>
        <w:t> </w:t>
      </w:r>
      <w:r>
        <w:rPr>
          <w:color w:val="231F20"/>
          <w:w w:val="110"/>
        </w:rPr>
        <w:t>podemos</w:t>
      </w:r>
      <w:r>
        <w:rPr>
          <w:color w:val="231F20"/>
          <w:spacing w:val="11"/>
          <w:w w:val="110"/>
        </w:rPr>
        <w:t> </w:t>
      </w:r>
      <w:r>
        <w:rPr>
          <w:color w:val="231F20"/>
          <w:w w:val="110"/>
        </w:rPr>
        <w:t>no-</w:t>
      </w:r>
      <w:r>
        <w:rPr>
          <w:color w:val="231F20"/>
          <w:w w:val="72"/>
        </w:rPr>
        <w:t> </w:t>
      </w:r>
      <w:r>
        <w:rPr>
          <w:color w:val="231F20"/>
          <w:w w:val="110"/>
        </w:rPr>
        <w:t>tar</w:t>
      </w:r>
      <w:r>
        <w:rPr>
          <w:color w:val="231F20"/>
          <w:spacing w:val="19"/>
          <w:w w:val="110"/>
        </w:rPr>
        <w:t> </w:t>
      </w:r>
      <w:r>
        <w:rPr>
          <w:color w:val="231F20"/>
          <w:w w:val="110"/>
        </w:rPr>
        <w:t>entre</w:t>
      </w:r>
      <w:r>
        <w:rPr>
          <w:color w:val="231F20"/>
          <w:spacing w:val="19"/>
          <w:w w:val="110"/>
        </w:rPr>
        <w:t> </w:t>
      </w:r>
      <w:r>
        <w:rPr>
          <w:color w:val="231F20"/>
          <w:w w:val="110"/>
        </w:rPr>
        <w:t>diciembre</w:t>
      </w:r>
      <w:r>
        <w:rPr>
          <w:color w:val="231F20"/>
          <w:spacing w:val="19"/>
          <w:w w:val="110"/>
        </w:rPr>
        <w:t> </w:t>
      </w:r>
      <w:r>
        <w:rPr>
          <w:color w:val="231F20"/>
          <w:w w:val="110"/>
        </w:rPr>
        <w:t>2007</w:t>
      </w:r>
      <w:r>
        <w:rPr>
          <w:color w:val="231F20"/>
          <w:spacing w:val="19"/>
          <w:w w:val="110"/>
        </w:rPr>
        <w:t> </w:t>
      </w:r>
      <w:r>
        <w:rPr>
          <w:color w:val="231F20"/>
          <w:w w:val="110"/>
        </w:rPr>
        <w:t>y</w:t>
      </w:r>
      <w:r>
        <w:rPr>
          <w:color w:val="231F20"/>
          <w:spacing w:val="19"/>
          <w:w w:val="110"/>
        </w:rPr>
        <w:t> </w:t>
      </w:r>
      <w:r>
        <w:rPr>
          <w:color w:val="231F20"/>
          <w:w w:val="110"/>
        </w:rPr>
        <w:t>diciembre</w:t>
      </w:r>
      <w:r>
        <w:rPr>
          <w:color w:val="231F20"/>
          <w:spacing w:val="19"/>
          <w:w w:val="110"/>
        </w:rPr>
        <w:t> </w:t>
      </w:r>
      <w:r>
        <w:rPr>
          <w:color w:val="231F20"/>
          <w:w w:val="110"/>
        </w:rPr>
        <w:t>2009</w:t>
      </w:r>
      <w:r>
        <w:rPr>
          <w:color w:val="231F20"/>
          <w:spacing w:val="19"/>
          <w:w w:val="110"/>
        </w:rPr>
        <w:t> </w:t>
      </w:r>
      <w:r>
        <w:rPr>
          <w:color w:val="231F20"/>
          <w:w w:val="110"/>
        </w:rPr>
        <w:t>cuando</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pérdida</w:t>
      </w:r>
      <w:r>
        <w:rPr>
          <w:color w:val="231F20"/>
          <w:spacing w:val="19"/>
          <w:w w:val="110"/>
        </w:rPr>
        <w:t> </w:t>
      </w:r>
      <w:r>
        <w:rPr>
          <w:color w:val="231F20"/>
          <w:w w:val="110"/>
        </w:rPr>
        <w:t>de</w:t>
      </w:r>
      <w:r>
        <w:rPr>
          <w:color w:val="231F20"/>
          <w:w w:val="114"/>
        </w:rPr>
        <w:t> </w:t>
      </w:r>
      <w:r>
        <w:rPr>
          <w:color w:val="231F20"/>
          <w:w w:val="110"/>
        </w:rPr>
        <w:t>empleos se sumaron 8 millones (los dos peores años desde</w:t>
      </w:r>
      <w:r>
        <w:rPr>
          <w:color w:val="231F20"/>
          <w:spacing w:val="1"/>
          <w:w w:val="110"/>
        </w:rPr>
        <w:t> </w:t>
      </w:r>
      <w:r>
        <w:rPr>
          <w:color w:val="231F20"/>
          <w:w w:val="110"/>
        </w:rPr>
        <w:t>la</w:t>
      </w:r>
      <w:r>
        <w:rPr>
          <w:color w:val="231F20"/>
          <w:spacing w:val="16"/>
          <w:w w:val="110"/>
        </w:rPr>
        <w:t> </w:t>
      </w:r>
      <w:r>
        <w:rPr>
          <w:color w:val="231F20"/>
          <w:w w:val="110"/>
        </w:rPr>
        <w:t>gran</w:t>
      </w:r>
      <w:r>
        <w:rPr>
          <w:color w:val="231F20"/>
          <w:w w:val="112"/>
        </w:rPr>
        <w:t> </w:t>
      </w:r>
      <w:r>
        <w:rPr>
          <w:color w:val="231F20"/>
          <w:w w:val="110"/>
        </w:rPr>
        <w:t>depresión)—; la distribución de ingreso y riqueza se</w:t>
      </w:r>
      <w:r>
        <w:rPr>
          <w:color w:val="231F20"/>
          <w:spacing w:val="6"/>
          <w:w w:val="110"/>
        </w:rPr>
        <w:t> </w:t>
      </w:r>
      <w:r>
        <w:rPr>
          <w:color w:val="231F20"/>
          <w:w w:val="110"/>
        </w:rPr>
        <w:t>ha concentrado</w:t>
      </w:r>
      <w:r>
        <w:rPr>
          <w:color w:val="231F20"/>
          <w:w w:val="112"/>
        </w:rPr>
        <w:t> </w:t>
      </w:r>
      <w:r>
        <w:rPr>
          <w:color w:val="231F20"/>
          <w:w w:val="110"/>
        </w:rPr>
        <w:t>en</w:t>
      </w:r>
      <w:r>
        <w:rPr>
          <w:color w:val="231F20"/>
          <w:spacing w:val="-16"/>
          <w:w w:val="110"/>
        </w:rPr>
        <w:t> </w:t>
      </w:r>
      <w:r>
        <w:rPr>
          <w:color w:val="231F20"/>
          <w:w w:val="110"/>
        </w:rPr>
        <w:t>una</w:t>
      </w:r>
      <w:r>
        <w:rPr>
          <w:color w:val="231F20"/>
          <w:spacing w:val="-16"/>
          <w:w w:val="110"/>
        </w:rPr>
        <w:t> </w:t>
      </w:r>
      <w:r>
        <w:rPr>
          <w:color w:val="231F20"/>
          <w:w w:val="110"/>
        </w:rPr>
        <w:t>forma</w:t>
      </w:r>
      <w:r>
        <w:rPr>
          <w:color w:val="231F20"/>
          <w:spacing w:val="-16"/>
          <w:w w:val="110"/>
        </w:rPr>
        <w:t> </w:t>
      </w:r>
      <w:r>
        <w:rPr>
          <w:color w:val="231F20"/>
          <w:w w:val="110"/>
        </w:rPr>
        <w:t>extrema,</w:t>
      </w:r>
      <w:r>
        <w:rPr>
          <w:color w:val="231F20"/>
          <w:spacing w:val="-16"/>
          <w:w w:val="110"/>
        </w:rPr>
        <w:t> </w:t>
      </w:r>
      <w:r>
        <w:rPr>
          <w:color w:val="231F20"/>
          <w:w w:val="110"/>
        </w:rPr>
        <w:t>la</w:t>
      </w:r>
      <w:r>
        <w:rPr>
          <w:color w:val="231F20"/>
          <w:spacing w:val="-16"/>
          <w:w w:val="110"/>
        </w:rPr>
        <w:t> </w:t>
      </w:r>
      <w:r>
        <w:rPr>
          <w:color w:val="231F20"/>
          <w:w w:val="110"/>
        </w:rPr>
        <w:t>clase</w:t>
      </w:r>
      <w:r>
        <w:rPr>
          <w:color w:val="231F20"/>
          <w:spacing w:val="-16"/>
          <w:w w:val="110"/>
        </w:rPr>
        <w:t> </w:t>
      </w:r>
      <w:r>
        <w:rPr>
          <w:color w:val="231F20"/>
          <w:w w:val="110"/>
        </w:rPr>
        <w:t>trabajadora</w:t>
      </w:r>
      <w:r>
        <w:rPr>
          <w:color w:val="231F20"/>
          <w:spacing w:val="-16"/>
          <w:w w:val="110"/>
        </w:rPr>
        <w:t> </w:t>
      </w:r>
      <w:r>
        <w:rPr>
          <w:color w:val="231F20"/>
          <w:w w:val="110"/>
        </w:rPr>
        <w:t>ha</w:t>
      </w:r>
      <w:r>
        <w:rPr>
          <w:color w:val="231F20"/>
          <w:spacing w:val="-16"/>
          <w:w w:val="110"/>
        </w:rPr>
        <w:t> </w:t>
      </w:r>
      <w:r>
        <w:rPr>
          <w:color w:val="231F20"/>
          <w:w w:val="110"/>
        </w:rPr>
        <w:t>sido</w:t>
      </w:r>
      <w:r>
        <w:rPr>
          <w:color w:val="231F20"/>
          <w:spacing w:val="-16"/>
          <w:w w:val="110"/>
        </w:rPr>
        <w:t> </w:t>
      </w:r>
      <w:r>
        <w:rPr>
          <w:color w:val="231F20"/>
          <w:w w:val="110"/>
        </w:rPr>
        <w:t>diezmada</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clase</w:t>
      </w:r>
      <w:r>
        <w:rPr>
          <w:color w:val="231F20"/>
          <w:w w:val="104"/>
        </w:rPr>
        <w:t> </w:t>
      </w:r>
      <w:r>
        <w:rPr>
          <w:color w:val="231F20"/>
          <w:w w:val="110"/>
        </w:rPr>
        <w:t>media ha sido reducida a un estado de fragilidad y</w:t>
      </w:r>
      <w:r>
        <w:rPr>
          <w:color w:val="231F20"/>
          <w:spacing w:val="-21"/>
          <w:w w:val="110"/>
        </w:rPr>
        <w:t> </w:t>
      </w:r>
      <w:r>
        <w:rPr>
          <w:color w:val="231F20"/>
          <w:w w:val="110"/>
        </w:rPr>
        <w:t>precariedad.</w:t>
      </w:r>
      <w:r>
        <w:rPr>
          <w:color w:val="231F20"/>
          <w:spacing w:val="-3"/>
          <w:w w:val="110"/>
        </w:rPr>
        <w:t> </w:t>
      </w:r>
      <w:r>
        <w:rPr>
          <w:color w:val="231F20"/>
          <w:spacing w:val="-4"/>
          <w:w w:val="110"/>
        </w:rPr>
        <w:t>Hay,</w:t>
      </w:r>
      <w:r>
        <w:rPr>
          <w:color w:val="231F20"/>
          <w:w w:val="104"/>
        </w:rPr>
        <w:t> </w:t>
      </w:r>
      <w:r>
        <w:rPr>
          <w:color w:val="231F20"/>
          <w:w w:val="110"/>
        </w:rPr>
        <w:t>en esta nueva </w:t>
      </w:r>
      <w:r>
        <w:rPr>
          <w:i/>
          <w:color w:val="231F20"/>
          <w:w w:val="110"/>
        </w:rPr>
        <w:t>economía tripartita</w:t>
      </w:r>
      <w:r>
        <w:rPr>
          <w:color w:val="231F20"/>
          <w:w w:val="110"/>
        </w:rPr>
        <w:t>, pocas instituciones</w:t>
      </w:r>
      <w:r>
        <w:rPr>
          <w:color w:val="231F20"/>
          <w:spacing w:val="53"/>
          <w:w w:val="110"/>
        </w:rPr>
        <w:t> </w:t>
      </w:r>
      <w:r>
        <w:rPr>
          <w:color w:val="231F20"/>
          <w:w w:val="110"/>
        </w:rPr>
        <w:t>que</w:t>
      </w:r>
      <w:r>
        <w:rPr>
          <w:color w:val="231F20"/>
          <w:spacing w:val="7"/>
          <w:w w:val="110"/>
        </w:rPr>
        <w:t> </w:t>
      </w:r>
      <w:r>
        <w:rPr>
          <w:color w:val="231F20"/>
          <w:w w:val="110"/>
        </w:rPr>
        <w:t>pudieran</w:t>
      </w:r>
      <w:r>
        <w:rPr>
          <w:color w:val="231F20"/>
          <w:w w:val="114"/>
        </w:rPr>
        <w:t> </w:t>
      </w:r>
      <w:r>
        <w:rPr>
          <w:color w:val="231F20"/>
          <w:w w:val="110"/>
        </w:rPr>
        <w:t>servir para difundir en una forma amplia los beneficios</w:t>
      </w:r>
      <w:r>
        <w:rPr>
          <w:color w:val="231F20"/>
          <w:spacing w:val="51"/>
          <w:w w:val="110"/>
        </w:rPr>
        <w:t> </w:t>
      </w:r>
      <w:r>
        <w:rPr>
          <w:color w:val="231F20"/>
          <w:w w:val="110"/>
        </w:rPr>
        <w:t>del</w:t>
      </w:r>
      <w:r>
        <w:rPr>
          <w:color w:val="231F20"/>
          <w:spacing w:val="11"/>
          <w:w w:val="110"/>
        </w:rPr>
        <w:t> </w:t>
      </w:r>
      <w:r>
        <w:rPr>
          <w:color w:val="231F20"/>
          <w:w w:val="110"/>
        </w:rPr>
        <w:t>sistema</w:t>
      </w:r>
      <w:r>
        <w:rPr>
          <w:color w:val="231F20"/>
          <w:w w:val="105"/>
        </w:rPr>
        <w:t> </w:t>
      </w:r>
      <w:r>
        <w:rPr>
          <w:color w:val="231F20"/>
          <w:w w:val="110"/>
        </w:rPr>
        <w:t>económico. Ni la legalidad del </w:t>
      </w:r>
      <w:r>
        <w:rPr>
          <w:i/>
          <w:color w:val="231F20"/>
          <w:w w:val="110"/>
        </w:rPr>
        <w:t>nuevo trato </w:t>
      </w:r>
      <w:r>
        <w:rPr>
          <w:color w:val="231F20"/>
          <w:w w:val="110"/>
        </w:rPr>
        <w:t>de los años treinta</w:t>
      </w:r>
      <w:r>
        <w:rPr>
          <w:color w:val="231F20"/>
          <w:spacing w:val="30"/>
          <w:w w:val="110"/>
        </w:rPr>
        <w:t> </w:t>
      </w:r>
      <w:r>
        <w:rPr>
          <w:color w:val="231F20"/>
          <w:w w:val="110"/>
        </w:rPr>
        <w:t>ni</w:t>
      </w:r>
      <w:r>
        <w:rPr>
          <w:color w:val="231F20"/>
          <w:spacing w:val="12"/>
          <w:w w:val="110"/>
        </w:rPr>
        <w:t> </w:t>
      </w:r>
      <w:r>
        <w:rPr>
          <w:color w:val="231F20"/>
          <w:w w:val="110"/>
        </w:rPr>
        <w:t>el</w:t>
      </w:r>
      <w:r>
        <w:rPr>
          <w:color w:val="231F20"/>
          <w:w w:val="108"/>
        </w:rPr>
        <w:t> </w:t>
      </w:r>
      <w:r>
        <w:rPr>
          <w:color w:val="231F20"/>
          <w:w w:val="110"/>
        </w:rPr>
        <w:t>Congreso de Organizaciones Industriales (el cio) tienen</w:t>
      </w:r>
      <w:r>
        <w:rPr>
          <w:color w:val="231F20"/>
          <w:spacing w:val="29"/>
          <w:w w:val="110"/>
        </w:rPr>
        <w:t> </w:t>
      </w:r>
      <w:r>
        <w:rPr>
          <w:color w:val="231F20"/>
          <w:w w:val="110"/>
        </w:rPr>
        <w:t>una</w:t>
      </w:r>
      <w:r>
        <w:rPr>
          <w:color w:val="231F20"/>
          <w:spacing w:val="20"/>
          <w:w w:val="110"/>
        </w:rPr>
        <w:t> </w:t>
      </w:r>
      <w:r>
        <w:rPr>
          <w:color w:val="231F20"/>
          <w:w w:val="110"/>
        </w:rPr>
        <w:t>forma</w:t>
      </w:r>
      <w:r>
        <w:rPr>
          <w:color w:val="231F20"/>
          <w:w w:val="109"/>
        </w:rPr>
        <w:t> </w:t>
      </w:r>
      <w:r>
        <w:rPr>
          <w:color w:val="231F20"/>
          <w:w w:val="110"/>
        </w:rPr>
        <w:t>coherente para servir como contrapeso al proceso actual</w:t>
      </w:r>
      <w:r>
        <w:rPr>
          <w:color w:val="231F20"/>
          <w:spacing w:val="19"/>
          <w:w w:val="110"/>
        </w:rPr>
        <w:t> </w:t>
      </w:r>
      <w:r>
        <w:rPr>
          <w:color w:val="231F20"/>
          <w:w w:val="110"/>
        </w:rPr>
        <w:t>de</w:t>
      </w:r>
      <w:r>
        <w:rPr>
          <w:color w:val="231F20"/>
          <w:spacing w:val="9"/>
          <w:w w:val="110"/>
        </w:rPr>
        <w:t> </w:t>
      </w:r>
      <w:r>
        <w:rPr>
          <w:color w:val="231F20"/>
          <w:w w:val="110"/>
        </w:rPr>
        <w:t>acumu-</w:t>
      </w:r>
      <w:r>
        <w:rPr>
          <w:color w:val="231F20"/>
          <w:w w:val="72"/>
        </w:rPr>
        <w:t> </w:t>
      </w:r>
      <w:r>
        <w:rPr>
          <w:color w:val="231F20"/>
          <w:w w:val="110"/>
        </w:rPr>
        <w:t>lación. En este nuevo entorno, la inhabilidad de los</w:t>
      </w:r>
      <w:r>
        <w:rPr>
          <w:color w:val="231F20"/>
          <w:spacing w:val="9"/>
          <w:w w:val="110"/>
        </w:rPr>
        <w:t> </w:t>
      </w:r>
      <w:r>
        <w:rPr>
          <w:color w:val="231F20"/>
          <w:w w:val="110"/>
        </w:rPr>
        <w:t>sindicatos</w:t>
      </w:r>
      <w:r>
        <w:rPr>
          <w:color w:val="231F20"/>
          <w:spacing w:val="13"/>
          <w:w w:val="110"/>
        </w:rPr>
        <w:t> </w:t>
      </w:r>
      <w:r>
        <w:rPr>
          <w:color w:val="231F20"/>
          <w:w w:val="110"/>
        </w:rPr>
        <w:t>para</w:t>
      </w:r>
      <w:r>
        <w:rPr>
          <w:color w:val="231F20"/>
          <w:w w:val="112"/>
        </w:rPr>
        <w:t> </w:t>
      </w:r>
      <w:r>
        <w:rPr>
          <w:color w:val="231F20"/>
          <w:w w:val="110"/>
        </w:rPr>
        <w:t>jugar su papel histórico llama la atención: en 1991</w:t>
      </w:r>
      <w:r>
        <w:rPr>
          <w:color w:val="231F20"/>
          <w:spacing w:val="-16"/>
          <w:w w:val="110"/>
        </w:rPr>
        <w:t> </w:t>
      </w:r>
      <w:r>
        <w:rPr>
          <w:color w:val="231F20"/>
          <w:w w:val="110"/>
        </w:rPr>
        <w:t>fueron</w:t>
      </w:r>
      <w:r>
        <w:rPr>
          <w:color w:val="231F20"/>
          <w:spacing w:val="-2"/>
          <w:w w:val="110"/>
        </w:rPr>
        <w:t> </w:t>
      </w:r>
      <w:r>
        <w:rPr>
          <w:color w:val="231F20"/>
          <w:w w:val="110"/>
        </w:rPr>
        <w:t>solamente</w:t>
      </w:r>
      <w:r>
        <w:rPr>
          <w:color w:val="231F20"/>
          <w:w w:val="110"/>
        </w:rPr>
        <w:t> </w:t>
      </w:r>
      <w:r>
        <w:rPr>
          <w:color w:val="231F20"/>
          <w:w w:val="110"/>
        </w:rPr>
        <w:t>40 huelgas que involucraron a 392 000 obreros; diez</w:t>
      </w:r>
      <w:r>
        <w:rPr>
          <w:color w:val="231F20"/>
          <w:spacing w:val="37"/>
          <w:w w:val="110"/>
        </w:rPr>
        <w:t> </w:t>
      </w:r>
      <w:r>
        <w:rPr>
          <w:color w:val="231F20"/>
          <w:w w:val="110"/>
        </w:rPr>
        <w:t>años</w:t>
      </w:r>
      <w:r>
        <w:rPr>
          <w:color w:val="231F20"/>
          <w:spacing w:val="16"/>
          <w:w w:val="110"/>
        </w:rPr>
        <w:t> </w:t>
      </w:r>
      <w:r>
        <w:rPr>
          <w:color w:val="231F20"/>
          <w:w w:val="110"/>
        </w:rPr>
        <w:t>después</w:t>
      </w:r>
      <w:r>
        <w:rPr>
          <w:color w:val="231F20"/>
          <w:w w:val="109"/>
        </w:rPr>
        <w:t> </w:t>
      </w:r>
      <w:r>
        <w:rPr>
          <w:color w:val="231F20"/>
          <w:w w:val="110"/>
        </w:rPr>
        <w:t>las</w:t>
      </w:r>
      <w:r>
        <w:rPr>
          <w:color w:val="231F20"/>
          <w:spacing w:val="23"/>
          <w:w w:val="110"/>
        </w:rPr>
        <w:t> </w:t>
      </w:r>
      <w:r>
        <w:rPr>
          <w:color w:val="231F20"/>
          <w:w w:val="110"/>
        </w:rPr>
        <w:t>huelgas</w:t>
      </w:r>
      <w:r>
        <w:rPr>
          <w:color w:val="231F20"/>
          <w:spacing w:val="23"/>
          <w:w w:val="110"/>
        </w:rPr>
        <w:t> </w:t>
      </w:r>
      <w:r>
        <w:rPr>
          <w:color w:val="231F20"/>
          <w:w w:val="110"/>
        </w:rPr>
        <w:t>casi</w:t>
      </w:r>
      <w:r>
        <w:rPr>
          <w:color w:val="231F20"/>
          <w:spacing w:val="23"/>
          <w:w w:val="110"/>
        </w:rPr>
        <w:t> </w:t>
      </w:r>
      <w:r>
        <w:rPr>
          <w:color w:val="231F20"/>
          <w:w w:val="110"/>
        </w:rPr>
        <w:t>han</w:t>
      </w:r>
      <w:r>
        <w:rPr>
          <w:color w:val="231F20"/>
          <w:spacing w:val="23"/>
          <w:w w:val="110"/>
        </w:rPr>
        <w:t> </w:t>
      </w:r>
      <w:r>
        <w:rPr>
          <w:color w:val="231F20"/>
          <w:w w:val="110"/>
        </w:rPr>
        <w:t>desaparecido</w:t>
      </w:r>
      <w:r>
        <w:rPr>
          <w:color w:val="231F20"/>
          <w:spacing w:val="23"/>
          <w:w w:val="110"/>
        </w:rPr>
        <w:t> </w:t>
      </w:r>
      <w:r>
        <w:rPr>
          <w:color w:val="231F20"/>
          <w:w w:val="110"/>
        </w:rPr>
        <w:t>—29</w:t>
      </w:r>
      <w:r>
        <w:rPr>
          <w:color w:val="231F20"/>
          <w:spacing w:val="23"/>
          <w:w w:val="110"/>
        </w:rPr>
        <w:t> </w:t>
      </w:r>
      <w:r>
        <w:rPr>
          <w:color w:val="231F20"/>
          <w:w w:val="110"/>
        </w:rPr>
        <w:t>con</w:t>
      </w:r>
      <w:r>
        <w:rPr>
          <w:color w:val="231F20"/>
          <w:spacing w:val="23"/>
          <w:w w:val="110"/>
        </w:rPr>
        <w:t> </w:t>
      </w:r>
      <w:r>
        <w:rPr>
          <w:color w:val="231F20"/>
          <w:w w:val="110"/>
        </w:rPr>
        <w:t>99</w:t>
      </w:r>
      <w:r>
        <w:rPr>
          <w:color w:val="231F20"/>
          <w:spacing w:val="23"/>
          <w:w w:val="110"/>
        </w:rPr>
        <w:t> </w:t>
      </w:r>
      <w:r>
        <w:rPr>
          <w:color w:val="231F20"/>
          <w:w w:val="110"/>
        </w:rPr>
        <w:t>000</w:t>
      </w:r>
      <w:r>
        <w:rPr>
          <w:color w:val="231F20"/>
          <w:spacing w:val="23"/>
          <w:w w:val="110"/>
        </w:rPr>
        <w:t> </w:t>
      </w:r>
      <w:r>
        <w:rPr>
          <w:color w:val="231F20"/>
          <w:w w:val="110"/>
        </w:rPr>
        <w:t>obreros—</w:t>
      </w:r>
      <w:r>
        <w:rPr>
          <w:color w:val="231F20"/>
          <w:spacing w:val="23"/>
          <w:w w:val="110"/>
        </w:rPr>
        <w:t> </w:t>
      </w:r>
      <w:r>
        <w:rPr>
          <w:color w:val="231F20"/>
          <w:w w:val="110"/>
        </w:rPr>
        <w:t>(La</w:t>
      </w:r>
    </w:p>
    <w:p>
      <w:pPr>
        <w:pStyle w:val="BodyText"/>
        <w:ind w:left="100" w:right="25"/>
      </w:pPr>
      <w:r>
        <w:rPr>
          <w:color w:val="231F20"/>
          <w:w w:val="105"/>
        </w:rPr>
        <w:t>Botz, 2010: 5).</w:t>
      </w:r>
    </w:p>
    <w:p>
      <w:pPr>
        <w:pStyle w:val="BodyText"/>
        <w:spacing w:line="261" w:lineRule="auto" w:before="20"/>
        <w:ind w:left="100" w:right="116" w:firstLine="240"/>
        <w:jc w:val="both"/>
      </w:pPr>
      <w:r>
        <w:rPr>
          <w:color w:val="231F20"/>
          <w:w w:val="110"/>
        </w:rPr>
        <w:t>Sin duda el elemento más importante en el nuevo entorno de la </w:t>
      </w:r>
      <w:r>
        <w:rPr>
          <w:i/>
          <w:color w:val="231F20"/>
          <w:w w:val="110"/>
        </w:rPr>
        <w:t>economía</w:t>
      </w:r>
      <w:r>
        <w:rPr>
          <w:i/>
          <w:color w:val="231F20"/>
          <w:spacing w:val="-9"/>
          <w:w w:val="110"/>
        </w:rPr>
        <w:t> </w:t>
      </w:r>
      <w:r>
        <w:rPr>
          <w:i/>
          <w:color w:val="231F20"/>
          <w:w w:val="110"/>
        </w:rPr>
        <w:t>tripartida</w:t>
      </w:r>
      <w:r>
        <w:rPr>
          <w:i/>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trabajadora</w:t>
      </w:r>
      <w:r>
        <w:rPr>
          <w:color w:val="231F20"/>
          <w:spacing w:val="-9"/>
          <w:w w:val="110"/>
        </w:rPr>
        <w:t> </w:t>
      </w:r>
      <w:r>
        <w:rPr>
          <w:color w:val="231F20"/>
        </w:rPr>
        <w:t>y</w:t>
      </w:r>
      <w:r>
        <w:rPr>
          <w:color w:val="231F20"/>
          <w:spacing w:val="-4"/>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media</w:t>
      </w:r>
      <w:r>
        <w:rPr>
          <w:color w:val="231F20"/>
          <w:spacing w:val="-9"/>
          <w:w w:val="110"/>
        </w:rPr>
        <w:t> </w:t>
      </w:r>
      <w:r>
        <w:rPr>
          <w:color w:val="231F20"/>
          <w:w w:val="110"/>
        </w:rPr>
        <w:t>ha</w:t>
      </w:r>
      <w:r>
        <w:rPr>
          <w:color w:val="231F20"/>
          <w:spacing w:val="-9"/>
          <w:w w:val="110"/>
        </w:rPr>
        <w:t> </w:t>
      </w:r>
      <w:r>
        <w:rPr>
          <w:color w:val="231F20"/>
          <w:w w:val="110"/>
        </w:rPr>
        <w:t>sido el proceso excluyente en la reestructuración del aparato productivo manufacturero, orquestado por los dueños del capital estaduniden- se. Tomando las ventajas de las nuevas tecnologías </w:t>
      </w:r>
      <w:r>
        <w:rPr>
          <w:color w:val="231F20"/>
        </w:rPr>
        <w:t>y </w:t>
      </w:r>
      <w:r>
        <w:rPr>
          <w:color w:val="231F20"/>
          <w:w w:val="110"/>
        </w:rPr>
        <w:t>de las institu- ciones que han facilitando la movilidad de capital en la esfera de producción, hoy en día hay pocas, o nulas, ramas industriales que  no hayan sido reordenadas desde medianos de los años setenta. Por los</w:t>
      </w:r>
      <w:r>
        <w:rPr>
          <w:color w:val="231F20"/>
          <w:spacing w:val="-12"/>
          <w:w w:val="110"/>
        </w:rPr>
        <w:t> </w:t>
      </w:r>
      <w:r>
        <w:rPr>
          <w:color w:val="231F20"/>
          <w:w w:val="110"/>
        </w:rPr>
        <w:t>efectos</w:t>
      </w:r>
      <w:r>
        <w:rPr>
          <w:color w:val="231F20"/>
          <w:spacing w:val="-12"/>
          <w:w w:val="110"/>
        </w:rPr>
        <w:t> </w:t>
      </w:r>
      <w:r>
        <w:rPr>
          <w:color w:val="231F20"/>
          <w:w w:val="110"/>
        </w:rPr>
        <w:t>de</w:t>
      </w:r>
      <w:r>
        <w:rPr>
          <w:color w:val="231F20"/>
          <w:spacing w:val="-12"/>
          <w:w w:val="110"/>
        </w:rPr>
        <w:t> </w:t>
      </w:r>
      <w:r>
        <w:rPr>
          <w:i/>
          <w:color w:val="231F20"/>
          <w:w w:val="110"/>
        </w:rPr>
        <w:t>offshoring</w:t>
      </w:r>
      <w:r>
        <w:rPr>
          <w:color w:val="231F20"/>
          <w:w w:val="110"/>
        </w:rPr>
        <w:t>,</w:t>
      </w:r>
      <w:r>
        <w:rPr>
          <w:color w:val="231F20"/>
          <w:spacing w:val="-12"/>
          <w:w w:val="110"/>
        </w:rPr>
        <w:t> </w:t>
      </w:r>
      <w:r>
        <w:rPr>
          <w:color w:val="231F20"/>
          <w:w w:val="110"/>
        </w:rPr>
        <w:t>el</w:t>
      </w:r>
      <w:r>
        <w:rPr>
          <w:color w:val="231F20"/>
          <w:spacing w:val="-12"/>
          <w:w w:val="110"/>
        </w:rPr>
        <w:t> </w:t>
      </w:r>
      <w:r>
        <w:rPr>
          <w:color w:val="231F20"/>
          <w:w w:val="110"/>
        </w:rPr>
        <w:t>sector</w:t>
      </w:r>
      <w:r>
        <w:rPr>
          <w:color w:val="231F20"/>
          <w:spacing w:val="-12"/>
          <w:w w:val="110"/>
        </w:rPr>
        <w:t> </w:t>
      </w:r>
      <w:r>
        <w:rPr>
          <w:color w:val="231F20"/>
          <w:w w:val="110"/>
        </w:rPr>
        <w:t>manufacturero</w:t>
      </w:r>
      <w:r>
        <w:rPr>
          <w:color w:val="231F20"/>
          <w:spacing w:val="-12"/>
          <w:w w:val="110"/>
        </w:rPr>
        <w:t> </w:t>
      </w:r>
      <w:r>
        <w:rPr>
          <w:color w:val="231F20"/>
          <w:w w:val="110"/>
        </w:rPr>
        <w:t>ha</w:t>
      </w:r>
      <w:r>
        <w:rPr>
          <w:color w:val="231F20"/>
          <w:spacing w:val="-12"/>
          <w:w w:val="110"/>
        </w:rPr>
        <w:t> </w:t>
      </w:r>
      <w:r>
        <w:rPr>
          <w:color w:val="231F20"/>
          <w:w w:val="110"/>
        </w:rPr>
        <w:t>despedido</w:t>
      </w:r>
      <w:r>
        <w:rPr>
          <w:color w:val="231F20"/>
          <w:spacing w:val="-12"/>
          <w:w w:val="110"/>
        </w:rPr>
        <w:t> </w:t>
      </w:r>
      <w:r>
        <w:rPr>
          <w:color w:val="231F20"/>
          <w:w w:val="110"/>
        </w:rPr>
        <w:t>a</w:t>
      </w:r>
      <w:r>
        <w:rPr>
          <w:color w:val="231F20"/>
          <w:spacing w:val="-12"/>
          <w:w w:val="110"/>
        </w:rPr>
        <w:t> </w:t>
      </w:r>
      <w:r>
        <w:rPr>
          <w:color w:val="231F20"/>
          <w:w w:val="110"/>
        </w:rPr>
        <w:t>más 6 millones de obreros entre 1990 </w:t>
      </w:r>
      <w:r>
        <w:rPr>
          <w:color w:val="231F20"/>
        </w:rPr>
        <w:t>y </w:t>
      </w:r>
      <w:r>
        <w:rPr>
          <w:color w:val="231F20"/>
          <w:w w:val="110"/>
        </w:rPr>
        <w:t>junio de 2009, una caída del empleo manufacturero por encima del 33% (</w:t>
      </w:r>
      <w:r>
        <w:rPr>
          <w:i/>
          <w:color w:val="231F20"/>
          <w:w w:val="110"/>
        </w:rPr>
        <w:t>Economist</w:t>
      </w:r>
      <w:r>
        <w:rPr>
          <w:color w:val="231F20"/>
          <w:w w:val="110"/>
        </w:rPr>
        <w:t>, 2009: 38). Solamente en 2009, 1.3 millones de puestos de trabajo</w:t>
      </w:r>
      <w:r>
        <w:rPr>
          <w:color w:val="231F20"/>
          <w:spacing w:val="-19"/>
          <w:w w:val="110"/>
        </w:rPr>
        <w:t> </w:t>
      </w:r>
      <w:r>
        <w:rPr>
          <w:color w:val="231F20"/>
          <w:w w:val="110"/>
        </w:rPr>
        <w:t>manufacture- ro fueron extinguidos (Greenhouse, 2010: 5). </w:t>
      </w:r>
      <w:r>
        <w:rPr>
          <w:color w:val="231F20"/>
        </w:rPr>
        <w:t>Y </w:t>
      </w:r>
      <w:r>
        <w:rPr>
          <w:color w:val="231F20"/>
          <w:w w:val="110"/>
        </w:rPr>
        <w:t>desde que empezó la crisis actual, más de 2 millones de obreros manufactureros —los que en tiempos pasados fueron conocidos como la “aristocracia la- boral” por sus altos ingresos </w:t>
      </w:r>
      <w:r>
        <w:rPr>
          <w:color w:val="231F20"/>
        </w:rPr>
        <w:t>y </w:t>
      </w:r>
      <w:r>
        <w:rPr>
          <w:color w:val="231F20"/>
          <w:w w:val="110"/>
        </w:rPr>
        <w:t>buenas condiciones de trabajo— han sido</w:t>
      </w:r>
      <w:r>
        <w:rPr>
          <w:color w:val="231F20"/>
          <w:spacing w:val="10"/>
          <w:w w:val="110"/>
        </w:rPr>
        <w:t> </w:t>
      </w:r>
      <w:r>
        <w:rPr>
          <w:color w:val="231F20"/>
          <w:w w:val="110"/>
        </w:rPr>
        <w:t>despedidos.</w:t>
      </w:r>
    </w:p>
    <w:p>
      <w:pPr>
        <w:pStyle w:val="BodyText"/>
        <w:spacing w:line="261" w:lineRule="auto"/>
        <w:ind w:left="100" w:right="119" w:firstLine="240"/>
        <w:jc w:val="both"/>
      </w:pPr>
      <w:r>
        <w:rPr>
          <w:color w:val="231F20"/>
          <w:w w:val="110"/>
        </w:rPr>
        <w:t>Las grandes empresas estadunidenses siguen siendo grandes pro- ductoras de bienes manufactureros —pero en Asia, en el Caribe,  en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América Central </w:t>
      </w:r>
      <w:r>
        <w:rPr>
          <w:color w:val="231F20"/>
          <w:spacing w:val="-8"/>
          <w:w w:val="110"/>
        </w:rPr>
        <w:t>y, </w:t>
      </w:r>
      <w:r>
        <w:rPr>
          <w:color w:val="231F20"/>
          <w:w w:val="110"/>
        </w:rPr>
        <w:t>principalmente, en México. La exportación de capital</w:t>
      </w:r>
      <w:r>
        <w:rPr>
          <w:color w:val="231F20"/>
          <w:spacing w:val="-15"/>
          <w:w w:val="110"/>
        </w:rPr>
        <w:t> </w:t>
      </w:r>
      <w:r>
        <w:rPr>
          <w:color w:val="231F20"/>
          <w:w w:val="110"/>
        </w:rPr>
        <w:t>productivo</w:t>
      </w:r>
      <w:r>
        <w:rPr>
          <w:color w:val="231F20"/>
          <w:spacing w:val="-15"/>
          <w:w w:val="110"/>
        </w:rPr>
        <w:t> </w:t>
      </w:r>
      <w:r>
        <w:rPr>
          <w:color w:val="231F20"/>
          <w:w w:val="110"/>
        </w:rPr>
        <w:t>ha</w:t>
      </w:r>
      <w:r>
        <w:rPr>
          <w:color w:val="231F20"/>
          <w:spacing w:val="-15"/>
          <w:w w:val="110"/>
        </w:rPr>
        <w:t> </w:t>
      </w:r>
      <w:r>
        <w:rPr>
          <w:color w:val="231F20"/>
          <w:w w:val="110"/>
        </w:rPr>
        <w:t>sido</w:t>
      </w:r>
      <w:r>
        <w:rPr>
          <w:color w:val="231F20"/>
          <w:spacing w:val="-15"/>
          <w:w w:val="110"/>
        </w:rPr>
        <w:t> </w:t>
      </w:r>
      <w:r>
        <w:rPr>
          <w:color w:val="231F20"/>
          <w:w w:val="110"/>
        </w:rPr>
        <w:t>un</w:t>
      </w:r>
      <w:r>
        <w:rPr>
          <w:color w:val="231F20"/>
          <w:spacing w:val="-15"/>
          <w:w w:val="110"/>
        </w:rPr>
        <w:t> </w:t>
      </w:r>
      <w:r>
        <w:rPr>
          <w:color w:val="231F20"/>
          <w:w w:val="110"/>
        </w:rPr>
        <w:t>elemento</w:t>
      </w:r>
      <w:r>
        <w:rPr>
          <w:color w:val="231F20"/>
          <w:spacing w:val="-15"/>
          <w:w w:val="110"/>
        </w:rPr>
        <w:t> </w:t>
      </w:r>
      <w:r>
        <w:rPr>
          <w:i/>
          <w:color w:val="231F20"/>
          <w:w w:val="110"/>
        </w:rPr>
        <w:t>estructural</w:t>
      </w:r>
      <w:r>
        <w:rPr>
          <w:i/>
          <w:color w:val="231F20"/>
          <w:spacing w:val="-15"/>
          <w:w w:val="110"/>
        </w:rPr>
        <w:t> </w:t>
      </w:r>
      <w:r>
        <w:rPr>
          <w:color w:val="231F20"/>
          <w:w w:val="110"/>
        </w:rPr>
        <w:t>del</w:t>
      </w:r>
      <w:r>
        <w:rPr>
          <w:color w:val="231F20"/>
          <w:spacing w:val="-15"/>
          <w:w w:val="110"/>
        </w:rPr>
        <w:t> </w:t>
      </w:r>
      <w:r>
        <w:rPr>
          <w:color w:val="231F20"/>
          <w:w w:val="110"/>
        </w:rPr>
        <w:t>nuevo</w:t>
      </w:r>
      <w:r>
        <w:rPr>
          <w:color w:val="231F20"/>
          <w:spacing w:val="-15"/>
          <w:w w:val="110"/>
        </w:rPr>
        <w:t> </w:t>
      </w:r>
      <w:r>
        <w:rPr>
          <w:color w:val="231F20"/>
          <w:w w:val="110"/>
        </w:rPr>
        <w:t>modelo, anclado en la creación de plataformas exportadoras dirigidas al</w:t>
      </w:r>
      <w:r>
        <w:rPr>
          <w:color w:val="231F20"/>
          <w:spacing w:val="-19"/>
          <w:w w:val="110"/>
        </w:rPr>
        <w:t> </w:t>
      </w:r>
      <w:r>
        <w:rPr>
          <w:color w:val="231F20"/>
          <w:w w:val="110"/>
        </w:rPr>
        <w:t>mer- cado interno estadunidense. La exportación de capital productivo  es, además, la exportación de puestos de trabajo —para conseguir salarios a un décimo de los pagados en Estados Unidos, con un ni- vel de productividad similar de lo que ha sido logrado en este país. Podemos tomar como ejemplo, la ciudad de Mansfield, Ohio, con 129 000 habitantes en su zona metropolitana. Este pueblo ha perdi- do</w:t>
      </w:r>
      <w:r>
        <w:rPr>
          <w:color w:val="231F20"/>
          <w:spacing w:val="-9"/>
          <w:w w:val="110"/>
        </w:rPr>
        <w:t> </w:t>
      </w:r>
      <w:r>
        <w:rPr>
          <w:color w:val="231F20"/>
          <w:w w:val="110"/>
        </w:rPr>
        <w:t>las</w:t>
      </w:r>
      <w:r>
        <w:rPr>
          <w:color w:val="231F20"/>
          <w:spacing w:val="-9"/>
          <w:w w:val="110"/>
        </w:rPr>
        <w:t> </w:t>
      </w:r>
      <w:r>
        <w:rPr>
          <w:color w:val="231F20"/>
          <w:w w:val="110"/>
        </w:rPr>
        <w:t>siguientes</w:t>
      </w:r>
      <w:r>
        <w:rPr>
          <w:color w:val="231F20"/>
          <w:spacing w:val="-9"/>
          <w:w w:val="110"/>
        </w:rPr>
        <w:t> </w:t>
      </w:r>
      <w:r>
        <w:rPr>
          <w:color w:val="231F20"/>
          <w:w w:val="110"/>
        </w:rPr>
        <w:t>fábricas</w:t>
      </w:r>
      <w:r>
        <w:rPr>
          <w:color w:val="231F20"/>
          <w:spacing w:val="-9"/>
          <w:w w:val="110"/>
        </w:rPr>
        <w:t> </w:t>
      </w:r>
      <w:r>
        <w:rPr>
          <w:color w:val="231F20"/>
          <w:w w:val="110"/>
        </w:rPr>
        <w:t>:</w:t>
      </w:r>
      <w:r>
        <w:rPr>
          <w:color w:val="231F20"/>
          <w:spacing w:val="-9"/>
          <w:w w:val="110"/>
        </w:rPr>
        <w:t> </w:t>
      </w:r>
      <w:r>
        <w:rPr>
          <w:color w:val="231F20"/>
          <w:w w:val="110"/>
        </w:rPr>
        <w:t>Dominion</w:t>
      </w:r>
      <w:r>
        <w:rPr>
          <w:color w:val="231F20"/>
          <w:spacing w:val="-9"/>
          <w:w w:val="110"/>
        </w:rPr>
        <w:t> </w:t>
      </w:r>
      <w:r>
        <w:rPr>
          <w:color w:val="231F20"/>
          <w:w w:val="110"/>
        </w:rPr>
        <w:t>Electric</w:t>
      </w:r>
      <w:r>
        <w:rPr>
          <w:color w:val="231F20"/>
          <w:spacing w:val="-9"/>
          <w:w w:val="110"/>
        </w:rPr>
        <w:t> </w:t>
      </w:r>
      <w:r>
        <w:rPr>
          <w:color w:val="231F20"/>
          <w:w w:val="110"/>
        </w:rPr>
        <w:t>(1971),</w:t>
      </w:r>
      <w:r>
        <w:rPr>
          <w:color w:val="231F20"/>
          <w:spacing w:val="-9"/>
          <w:w w:val="110"/>
        </w:rPr>
        <w:t> </w:t>
      </w:r>
      <w:r>
        <w:rPr>
          <w:color w:val="231F20"/>
          <w:w w:val="110"/>
        </w:rPr>
        <w:t>Mansfield</w:t>
      </w:r>
      <w:r>
        <w:rPr>
          <w:color w:val="231F20"/>
          <w:spacing w:val="-9"/>
          <w:w w:val="110"/>
        </w:rPr>
        <w:t> </w:t>
      </w:r>
      <w:r>
        <w:rPr>
          <w:color w:val="231F20"/>
          <w:w w:val="110"/>
        </w:rPr>
        <w:t>Tire and</w:t>
      </w:r>
      <w:r>
        <w:rPr>
          <w:color w:val="231F20"/>
          <w:spacing w:val="-11"/>
          <w:w w:val="110"/>
        </w:rPr>
        <w:t> </w:t>
      </w:r>
      <w:r>
        <w:rPr>
          <w:color w:val="231F20"/>
          <w:w w:val="110"/>
        </w:rPr>
        <w:t>Rubber</w:t>
      </w:r>
      <w:r>
        <w:rPr>
          <w:color w:val="231F20"/>
          <w:spacing w:val="-11"/>
          <w:w w:val="110"/>
        </w:rPr>
        <w:t> </w:t>
      </w:r>
      <w:r>
        <w:rPr>
          <w:color w:val="231F20"/>
          <w:w w:val="110"/>
        </w:rPr>
        <w:t>(1978),</w:t>
      </w:r>
      <w:r>
        <w:rPr>
          <w:color w:val="231F20"/>
          <w:spacing w:val="-11"/>
          <w:w w:val="110"/>
        </w:rPr>
        <w:t> </w:t>
      </w:r>
      <w:r>
        <w:rPr>
          <w:color w:val="231F20"/>
          <w:w w:val="110"/>
        </w:rPr>
        <w:t>Hoover</w:t>
      </w:r>
      <w:r>
        <w:rPr>
          <w:color w:val="231F20"/>
          <w:spacing w:val="-11"/>
          <w:w w:val="110"/>
        </w:rPr>
        <w:t> </w:t>
      </w:r>
      <w:r>
        <w:rPr>
          <w:color w:val="231F20"/>
          <w:w w:val="110"/>
        </w:rPr>
        <w:t>Plastics</w:t>
      </w:r>
      <w:r>
        <w:rPr>
          <w:color w:val="231F20"/>
          <w:spacing w:val="-11"/>
          <w:w w:val="110"/>
        </w:rPr>
        <w:t> </w:t>
      </w:r>
      <w:r>
        <w:rPr>
          <w:color w:val="231F20"/>
          <w:w w:val="110"/>
        </w:rPr>
        <w:t>(1980),</w:t>
      </w:r>
      <w:r>
        <w:rPr>
          <w:color w:val="231F20"/>
          <w:spacing w:val="-11"/>
          <w:w w:val="110"/>
        </w:rPr>
        <w:t> </w:t>
      </w:r>
      <w:r>
        <w:rPr>
          <w:color w:val="231F20"/>
          <w:w w:val="110"/>
        </w:rPr>
        <w:t>National</w:t>
      </w:r>
      <w:r>
        <w:rPr>
          <w:color w:val="231F20"/>
          <w:spacing w:val="-11"/>
          <w:w w:val="110"/>
        </w:rPr>
        <w:t> </w:t>
      </w:r>
      <w:r>
        <w:rPr>
          <w:color w:val="231F20"/>
          <w:w w:val="110"/>
        </w:rPr>
        <w:t>Seating</w:t>
      </w:r>
      <w:r>
        <w:rPr>
          <w:color w:val="231F20"/>
          <w:spacing w:val="-11"/>
          <w:w w:val="110"/>
        </w:rPr>
        <w:t> </w:t>
      </w:r>
      <w:r>
        <w:rPr>
          <w:color w:val="231F20"/>
          <w:w w:val="110"/>
        </w:rPr>
        <w:t>(1985),</w:t>
      </w:r>
    </w:p>
    <w:p>
      <w:pPr>
        <w:pStyle w:val="BodyText"/>
        <w:spacing w:line="261" w:lineRule="auto"/>
        <w:ind w:left="100" w:right="116"/>
        <w:jc w:val="both"/>
      </w:pPr>
      <w:r>
        <w:rPr>
          <w:color w:val="231F20"/>
          <w:spacing w:val="-3"/>
          <w:w w:val="110"/>
        </w:rPr>
        <w:t>Tappan</w:t>
      </w:r>
      <w:r>
        <w:rPr>
          <w:color w:val="231F20"/>
          <w:spacing w:val="-20"/>
          <w:w w:val="110"/>
        </w:rPr>
        <w:t> </w:t>
      </w:r>
      <w:r>
        <w:rPr>
          <w:color w:val="231F20"/>
          <w:w w:val="110"/>
        </w:rPr>
        <w:t>Stoves</w:t>
      </w:r>
      <w:r>
        <w:rPr>
          <w:color w:val="231F20"/>
          <w:spacing w:val="-20"/>
          <w:w w:val="110"/>
        </w:rPr>
        <w:t> </w:t>
      </w:r>
      <w:r>
        <w:rPr>
          <w:color w:val="231F20"/>
          <w:w w:val="110"/>
        </w:rPr>
        <w:t>(1986),</w:t>
      </w:r>
      <w:r>
        <w:rPr>
          <w:color w:val="231F20"/>
          <w:spacing w:val="-20"/>
          <w:w w:val="110"/>
        </w:rPr>
        <w:t> </w:t>
      </w:r>
      <w:r>
        <w:rPr>
          <w:color w:val="231F20"/>
          <w:w w:val="110"/>
        </w:rPr>
        <w:t>Westinghouse</w:t>
      </w:r>
      <w:r>
        <w:rPr>
          <w:color w:val="231F20"/>
          <w:spacing w:val="-20"/>
          <w:w w:val="110"/>
        </w:rPr>
        <w:t> </w:t>
      </w:r>
      <w:r>
        <w:rPr>
          <w:color w:val="231F20"/>
          <w:w w:val="110"/>
        </w:rPr>
        <w:t>(1990),</w:t>
      </w:r>
      <w:r>
        <w:rPr>
          <w:color w:val="231F20"/>
          <w:spacing w:val="-20"/>
          <w:w w:val="110"/>
        </w:rPr>
        <w:t> </w:t>
      </w:r>
      <w:r>
        <w:rPr>
          <w:color w:val="231F20"/>
          <w:w w:val="110"/>
        </w:rPr>
        <w:t>Ohio</w:t>
      </w:r>
      <w:r>
        <w:rPr>
          <w:color w:val="231F20"/>
          <w:spacing w:val="-20"/>
          <w:w w:val="110"/>
        </w:rPr>
        <w:t> </w:t>
      </w:r>
      <w:r>
        <w:rPr>
          <w:color w:val="231F20"/>
          <w:w w:val="110"/>
        </w:rPr>
        <w:t>Brass</w:t>
      </w:r>
      <w:r>
        <w:rPr>
          <w:color w:val="231F20"/>
          <w:spacing w:val="-20"/>
          <w:w w:val="110"/>
        </w:rPr>
        <w:t> </w:t>
      </w:r>
      <w:r>
        <w:rPr>
          <w:color w:val="231F20"/>
          <w:w w:val="110"/>
        </w:rPr>
        <w:t>(1990)</w:t>
      </w:r>
      <w:r>
        <w:rPr>
          <w:color w:val="231F20"/>
          <w:spacing w:val="-20"/>
          <w:w w:val="110"/>
        </w:rPr>
        <w:t> </w:t>
      </w:r>
      <w:r>
        <w:rPr>
          <w:color w:val="231F20"/>
          <w:w w:val="110"/>
        </w:rPr>
        <w:t>Wic- kes Lumber (1997), Crane Plumbing (2003), Neer Manufacturing (2007) y Smurfit-Stone Container (2009). Para colmo, en enero de 2010 la fábrica estampadora más grande y más moderna de General Motors en todo el mundo —con un máximo de empleados de 4   800 en los años ochenta— fue cerrada (Phelps, 2010: 21). Entre los años veinte y las setenta Westinghouse era el empleador más</w:t>
      </w:r>
      <w:r>
        <w:rPr>
          <w:color w:val="231F20"/>
          <w:spacing w:val="-14"/>
          <w:w w:val="110"/>
        </w:rPr>
        <w:t> </w:t>
      </w:r>
      <w:r>
        <w:rPr>
          <w:color w:val="231F20"/>
          <w:w w:val="110"/>
        </w:rPr>
        <w:t>grande</w:t>
      </w:r>
    </w:p>
    <w:p>
      <w:pPr>
        <w:pStyle w:val="BodyText"/>
        <w:spacing w:line="261" w:lineRule="auto"/>
        <w:ind w:left="100" w:right="117"/>
        <w:jc w:val="both"/>
      </w:pPr>
      <w:r>
        <w:rPr>
          <w:color w:val="231F20"/>
          <w:w w:val="110"/>
        </w:rPr>
        <w:t>—con más 8 500 obreros trabajando en 16 edificios, que cubrían 20 hectáreas (Phelps 2010: 23). De este pueblo demasiada típico —una vez parte del corazón industrial estadunidense— poco queda ya. El desastre industrial está impactando todas las ramas industriales en Estados</w:t>
      </w:r>
      <w:r>
        <w:rPr>
          <w:color w:val="231F20"/>
          <w:spacing w:val="-5"/>
          <w:w w:val="110"/>
        </w:rPr>
        <w:t> </w:t>
      </w:r>
      <w:r>
        <w:rPr>
          <w:color w:val="231F20"/>
          <w:w w:val="110"/>
        </w:rPr>
        <w:t>Unidos,</w:t>
      </w:r>
      <w:r>
        <w:rPr>
          <w:color w:val="231F20"/>
          <w:spacing w:val="-5"/>
          <w:w w:val="110"/>
        </w:rPr>
        <w:t> </w:t>
      </w:r>
      <w:r>
        <w:rPr>
          <w:color w:val="231F20"/>
          <w:w w:val="110"/>
        </w:rPr>
        <w:t>salvo</w:t>
      </w:r>
      <w:r>
        <w:rPr>
          <w:color w:val="231F20"/>
          <w:spacing w:val="-5"/>
          <w:w w:val="110"/>
        </w:rPr>
        <w:t> </w:t>
      </w:r>
      <w:r>
        <w:rPr>
          <w:color w:val="231F20"/>
          <w:w w:val="110"/>
        </w:rPr>
        <w:t>los</w:t>
      </w:r>
      <w:r>
        <w:rPr>
          <w:color w:val="231F20"/>
          <w:spacing w:val="-5"/>
          <w:w w:val="110"/>
        </w:rPr>
        <w:t> </w:t>
      </w:r>
      <w:r>
        <w:rPr>
          <w:color w:val="231F20"/>
          <w:w w:val="110"/>
        </w:rPr>
        <w:t>vinculados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producción</w:t>
      </w:r>
      <w:r>
        <w:rPr>
          <w:color w:val="231F20"/>
          <w:spacing w:val="-5"/>
          <w:w w:val="110"/>
        </w:rPr>
        <w:t> </w:t>
      </w:r>
      <w:r>
        <w:rPr>
          <w:color w:val="231F20"/>
          <w:w w:val="110"/>
        </w:rPr>
        <w:t>militar</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de las tecnologías de información (en general, los productores de las ramas de comunicación y tecnologías de información son grandes proveedores del Pentágono). En este país, definido por el concepto gramsciano de “fordismo”, entre 2004 y 2009 fueron cerradas 22 de las mayores plantas de fabricación vehicular por Ford, General Mo- tors</w:t>
      </w:r>
      <w:r>
        <w:rPr>
          <w:color w:val="231F20"/>
          <w:spacing w:val="-20"/>
          <w:w w:val="110"/>
        </w:rPr>
        <w:t> </w:t>
      </w:r>
      <w:r>
        <w:rPr>
          <w:color w:val="231F20"/>
          <w:w w:val="110"/>
        </w:rPr>
        <w:t>y</w:t>
      </w:r>
      <w:r>
        <w:rPr>
          <w:color w:val="231F20"/>
          <w:spacing w:val="-20"/>
          <w:w w:val="110"/>
        </w:rPr>
        <w:t> </w:t>
      </w:r>
      <w:r>
        <w:rPr>
          <w:color w:val="231F20"/>
          <w:w w:val="110"/>
        </w:rPr>
        <w:t>Chrysler.</w:t>
      </w:r>
      <w:r>
        <w:rPr>
          <w:color w:val="231F20"/>
          <w:spacing w:val="-20"/>
          <w:w w:val="110"/>
        </w:rPr>
        <w:t> </w:t>
      </w:r>
      <w:r>
        <w:rPr>
          <w:color w:val="231F20"/>
          <w:w w:val="110"/>
        </w:rPr>
        <w:t>Hay</w:t>
      </w:r>
      <w:r>
        <w:rPr>
          <w:color w:val="231F20"/>
          <w:spacing w:val="-20"/>
          <w:w w:val="110"/>
        </w:rPr>
        <w:t> </w:t>
      </w:r>
      <w:r>
        <w:rPr>
          <w:color w:val="231F20"/>
          <w:w w:val="110"/>
        </w:rPr>
        <w:t>unas</w:t>
      </w:r>
      <w:r>
        <w:rPr>
          <w:color w:val="231F20"/>
          <w:spacing w:val="-20"/>
          <w:w w:val="110"/>
        </w:rPr>
        <w:t> </w:t>
      </w:r>
      <w:r>
        <w:rPr>
          <w:color w:val="231F20"/>
          <w:w w:val="110"/>
        </w:rPr>
        <w:t>pocas</w:t>
      </w:r>
      <w:r>
        <w:rPr>
          <w:color w:val="231F20"/>
          <w:spacing w:val="-20"/>
          <w:w w:val="110"/>
        </w:rPr>
        <w:t> </w:t>
      </w:r>
      <w:r>
        <w:rPr>
          <w:color w:val="231F20"/>
          <w:w w:val="110"/>
        </w:rPr>
        <w:t>nuevas</w:t>
      </w:r>
      <w:r>
        <w:rPr>
          <w:color w:val="231F20"/>
          <w:spacing w:val="-20"/>
          <w:w w:val="110"/>
        </w:rPr>
        <w:t> </w:t>
      </w:r>
      <w:r>
        <w:rPr>
          <w:color w:val="231F20"/>
          <w:w w:val="110"/>
        </w:rPr>
        <w:t>plantas,</w:t>
      </w:r>
      <w:r>
        <w:rPr>
          <w:color w:val="231F20"/>
          <w:spacing w:val="-20"/>
          <w:w w:val="110"/>
        </w:rPr>
        <w:t> </w:t>
      </w:r>
      <w:r>
        <w:rPr>
          <w:color w:val="231F20"/>
          <w:w w:val="110"/>
        </w:rPr>
        <w:t>desde</w:t>
      </w:r>
      <w:r>
        <w:rPr>
          <w:color w:val="231F20"/>
          <w:spacing w:val="-20"/>
          <w:w w:val="110"/>
        </w:rPr>
        <w:t> </w:t>
      </w:r>
      <w:r>
        <w:rPr>
          <w:color w:val="231F20"/>
          <w:w w:val="110"/>
        </w:rPr>
        <w:t>Asia,</w:t>
      </w:r>
      <w:r>
        <w:rPr>
          <w:color w:val="231F20"/>
          <w:spacing w:val="-20"/>
          <w:w w:val="110"/>
        </w:rPr>
        <w:t> </w:t>
      </w:r>
      <w:r>
        <w:rPr>
          <w:color w:val="231F20"/>
          <w:w w:val="110"/>
        </w:rPr>
        <w:t>instaladas recientemente en el sur de país —pero sin sindicatos y con salarios  y beneficios sumamente peores que los de la época del fordismo—. Entre</w:t>
      </w:r>
      <w:r>
        <w:rPr>
          <w:color w:val="231F20"/>
          <w:spacing w:val="-9"/>
          <w:w w:val="110"/>
        </w:rPr>
        <w:t> </w:t>
      </w:r>
      <w:r>
        <w:rPr>
          <w:color w:val="231F20"/>
          <w:w w:val="110"/>
        </w:rPr>
        <w:t>2009</w:t>
      </w:r>
      <w:r>
        <w:rPr>
          <w:color w:val="231F20"/>
          <w:spacing w:val="-9"/>
          <w:w w:val="110"/>
        </w:rPr>
        <w:t> </w:t>
      </w:r>
      <w:r>
        <w:rPr>
          <w:color w:val="231F20"/>
          <w:w w:val="110"/>
        </w:rPr>
        <w:t>y</w:t>
      </w:r>
      <w:r>
        <w:rPr>
          <w:color w:val="231F20"/>
          <w:spacing w:val="-9"/>
          <w:w w:val="110"/>
        </w:rPr>
        <w:t> </w:t>
      </w:r>
      <w:r>
        <w:rPr>
          <w:color w:val="231F20"/>
          <w:w w:val="110"/>
        </w:rPr>
        <w:t>2011</w:t>
      </w:r>
      <w:r>
        <w:rPr>
          <w:color w:val="231F20"/>
          <w:spacing w:val="-9"/>
          <w:w w:val="110"/>
        </w:rPr>
        <w:t> </w:t>
      </w:r>
      <w:r>
        <w:rPr>
          <w:color w:val="231F20"/>
          <w:w w:val="110"/>
        </w:rPr>
        <w:t>Chrysler</w:t>
      </w:r>
      <w:r>
        <w:rPr>
          <w:color w:val="231F20"/>
          <w:spacing w:val="-9"/>
          <w:w w:val="110"/>
        </w:rPr>
        <w:t> </w:t>
      </w:r>
      <w:r>
        <w:rPr>
          <w:color w:val="231F20"/>
          <w:w w:val="110"/>
        </w:rPr>
        <w:t>y</w:t>
      </w:r>
      <w:r>
        <w:rPr>
          <w:color w:val="231F20"/>
          <w:spacing w:val="-9"/>
          <w:w w:val="110"/>
        </w:rPr>
        <w:t> </w:t>
      </w:r>
      <w:r>
        <w:rPr>
          <w:color w:val="231F20"/>
          <w:w w:val="110"/>
        </w:rPr>
        <w:t>General</w:t>
      </w:r>
      <w:r>
        <w:rPr>
          <w:color w:val="231F20"/>
          <w:spacing w:val="-9"/>
          <w:w w:val="110"/>
        </w:rPr>
        <w:t> </w:t>
      </w:r>
      <w:r>
        <w:rPr>
          <w:color w:val="231F20"/>
          <w:w w:val="110"/>
        </w:rPr>
        <w:t>Motors</w:t>
      </w:r>
      <w:r>
        <w:rPr>
          <w:color w:val="231F20"/>
          <w:spacing w:val="-9"/>
          <w:w w:val="110"/>
        </w:rPr>
        <w:t> </w:t>
      </w:r>
      <w:r>
        <w:rPr>
          <w:color w:val="231F20"/>
          <w:w w:val="110"/>
        </w:rPr>
        <w:t>van</w:t>
      </w:r>
      <w:r>
        <w:rPr>
          <w:color w:val="231F20"/>
          <w:spacing w:val="-9"/>
          <w:w w:val="110"/>
        </w:rPr>
        <w:t> </w:t>
      </w:r>
      <w:r>
        <w:rPr>
          <w:color w:val="231F20"/>
          <w:w w:val="110"/>
        </w:rPr>
        <w:t>a</w:t>
      </w:r>
      <w:r>
        <w:rPr>
          <w:color w:val="231F20"/>
          <w:spacing w:val="-9"/>
          <w:w w:val="110"/>
        </w:rPr>
        <w:t> </w:t>
      </w:r>
      <w:r>
        <w:rPr>
          <w:color w:val="231F20"/>
          <w:w w:val="110"/>
        </w:rPr>
        <w:t>cerrar</w:t>
      </w:r>
      <w:r>
        <w:rPr>
          <w:color w:val="231F20"/>
          <w:spacing w:val="-9"/>
          <w:w w:val="110"/>
        </w:rPr>
        <w:t> </w:t>
      </w:r>
      <w:r>
        <w:rPr>
          <w:color w:val="231F20"/>
          <w:w w:val="110"/>
        </w:rPr>
        <w:t>16</w:t>
      </w:r>
      <w:r>
        <w:rPr>
          <w:color w:val="231F20"/>
          <w:spacing w:val="-9"/>
          <w:w w:val="110"/>
        </w:rPr>
        <w:t> </w:t>
      </w:r>
      <w:r>
        <w:rPr>
          <w:color w:val="231F20"/>
          <w:w w:val="110"/>
        </w:rPr>
        <w:t>plantas mayores</w:t>
      </w:r>
      <w:r>
        <w:rPr>
          <w:color w:val="231F20"/>
          <w:spacing w:val="-16"/>
          <w:w w:val="110"/>
        </w:rPr>
        <w:t> </w:t>
      </w:r>
      <w:r>
        <w:rPr>
          <w:color w:val="231F20"/>
          <w:w w:val="110"/>
        </w:rPr>
        <w:t>(Vlasic</w:t>
      </w:r>
      <w:r>
        <w:rPr>
          <w:color w:val="231F20"/>
          <w:spacing w:val="-16"/>
          <w:w w:val="110"/>
        </w:rPr>
        <w:t> </w:t>
      </w:r>
      <w:r>
        <w:rPr>
          <w:color w:val="231F20"/>
          <w:w w:val="110"/>
        </w:rPr>
        <w:t>y</w:t>
      </w:r>
      <w:r>
        <w:rPr>
          <w:color w:val="231F20"/>
          <w:spacing w:val="-16"/>
          <w:w w:val="110"/>
        </w:rPr>
        <w:t> </w:t>
      </w:r>
      <w:r>
        <w:rPr>
          <w:color w:val="231F20"/>
          <w:w w:val="110"/>
        </w:rPr>
        <w:t>Bunkley,</w:t>
      </w:r>
      <w:r>
        <w:rPr>
          <w:color w:val="231F20"/>
          <w:spacing w:val="-16"/>
          <w:w w:val="110"/>
        </w:rPr>
        <w:t> </w:t>
      </w:r>
      <w:r>
        <w:rPr>
          <w:color w:val="231F20"/>
          <w:w w:val="110"/>
        </w:rPr>
        <w:t>2009:</w:t>
      </w:r>
      <w:r>
        <w:rPr>
          <w:color w:val="231F20"/>
          <w:spacing w:val="-16"/>
          <w:w w:val="110"/>
        </w:rPr>
        <w:t> </w:t>
      </w:r>
      <w:r>
        <w:rPr>
          <w:color w:val="231F20"/>
          <w:w w:val="110"/>
        </w:rPr>
        <w:t>B1).</w:t>
      </w:r>
      <w:r>
        <w:rPr>
          <w:color w:val="231F20"/>
          <w:spacing w:val="-16"/>
          <w:w w:val="110"/>
        </w:rPr>
        <w:t> </w:t>
      </w:r>
      <w:r>
        <w:rPr>
          <w:color w:val="231F20"/>
          <w:w w:val="110"/>
        </w:rPr>
        <w:t>Desde</w:t>
      </w:r>
      <w:r>
        <w:rPr>
          <w:color w:val="231F20"/>
          <w:spacing w:val="-16"/>
          <w:w w:val="110"/>
        </w:rPr>
        <w:t> </w:t>
      </w:r>
      <w:r>
        <w:rPr>
          <w:color w:val="231F20"/>
          <w:w w:val="110"/>
        </w:rPr>
        <w:t>2001</w:t>
      </w:r>
      <w:r>
        <w:rPr>
          <w:color w:val="231F20"/>
          <w:spacing w:val="-16"/>
          <w:w w:val="110"/>
        </w:rPr>
        <w:t> </w:t>
      </w:r>
      <w:r>
        <w:rPr>
          <w:color w:val="231F20"/>
          <w:w w:val="110"/>
        </w:rPr>
        <w:t>el</w:t>
      </w:r>
      <w:r>
        <w:rPr>
          <w:color w:val="231F20"/>
          <w:spacing w:val="-16"/>
          <w:w w:val="110"/>
        </w:rPr>
        <w:t> </w:t>
      </w:r>
      <w:r>
        <w:rPr>
          <w:color w:val="231F20"/>
          <w:w w:val="110"/>
        </w:rPr>
        <w:t>país</w:t>
      </w:r>
      <w:r>
        <w:rPr>
          <w:color w:val="231F20"/>
          <w:spacing w:val="-16"/>
          <w:w w:val="110"/>
        </w:rPr>
        <w:t> </w:t>
      </w:r>
      <w:r>
        <w:rPr>
          <w:color w:val="231F20"/>
          <w:w w:val="110"/>
        </w:rPr>
        <w:t>ha</w:t>
      </w:r>
      <w:r>
        <w:rPr>
          <w:color w:val="231F20"/>
          <w:spacing w:val="-16"/>
          <w:w w:val="110"/>
        </w:rPr>
        <w:t> </w:t>
      </w:r>
      <w:r>
        <w:rPr>
          <w:color w:val="231F20"/>
          <w:w w:val="110"/>
        </w:rPr>
        <w:t>perdido 42 400 plantas manufactureras, incluyendo 36% de las fábricas con más de mil obreros y 38% con empleados entre 500 y 999 (McCor- mack, 2010: 1). </w:t>
      </w:r>
      <w:r>
        <w:rPr>
          <w:color w:val="231F20"/>
          <w:spacing w:val="-4"/>
          <w:w w:val="110"/>
        </w:rPr>
        <w:t>Hay, </w:t>
      </w:r>
      <w:r>
        <w:rPr>
          <w:color w:val="231F20"/>
          <w:w w:val="110"/>
        </w:rPr>
        <w:t>hoy en día, 90 000 plantas manufactureras</w:t>
      </w:r>
      <w:r>
        <w:rPr>
          <w:color w:val="231F20"/>
          <w:spacing w:val="-26"/>
          <w:w w:val="110"/>
        </w:rPr>
        <w:t> </w:t>
      </w:r>
      <w:r>
        <w:rPr>
          <w:color w:val="231F20"/>
          <w:w w:val="110"/>
        </w:rPr>
        <w:t>más en riesgo de ser</w:t>
      </w:r>
      <w:r>
        <w:rPr>
          <w:color w:val="231F20"/>
          <w:spacing w:val="38"/>
          <w:w w:val="110"/>
        </w:rPr>
        <w:t> </w:t>
      </w:r>
      <w:r>
        <w:rPr>
          <w:color w:val="231F20"/>
          <w:w w:val="110"/>
        </w:rPr>
        <w:t>cerradas.</w:t>
      </w:r>
    </w:p>
    <w:p>
      <w:pPr>
        <w:pStyle w:val="BodyText"/>
        <w:spacing w:line="261" w:lineRule="auto"/>
        <w:ind w:left="100" w:right="115" w:firstLine="240"/>
      </w:pPr>
      <w:r>
        <w:rPr>
          <w:color w:val="231F20"/>
          <w:w w:val="110"/>
        </w:rPr>
        <w:t>Por efecto de este proceso prolongado de desindustrialización,   el régimen del empleo ha sido drásticamente, casi   </w:t>
      </w:r>
      <w:r>
        <w:rPr>
          <w:color w:val="231F20"/>
          <w:spacing w:val="7"/>
          <w:w w:val="110"/>
        </w:rPr>
        <w:t> </w:t>
      </w:r>
      <w:r>
        <w:rPr>
          <w:color w:val="231F20"/>
          <w:w w:val="110"/>
        </w:rPr>
        <w:t>completamente,</w:t>
      </w:r>
    </w:p>
    <w:p>
      <w:pPr>
        <w:spacing w:after="0" w:line="261" w:lineRule="auto"/>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alterado.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i/>
          <w:color w:val="231F20"/>
          <w:w w:val="110"/>
        </w:rPr>
        <w:t>edad</w:t>
      </w:r>
      <w:r>
        <w:rPr>
          <w:i/>
          <w:color w:val="231F20"/>
          <w:spacing w:val="-6"/>
          <w:w w:val="110"/>
        </w:rPr>
        <w:t> </w:t>
      </w:r>
      <w:r>
        <w:rPr>
          <w:i/>
          <w:color w:val="231F20"/>
          <w:w w:val="110"/>
        </w:rPr>
        <w:t>del</w:t>
      </w:r>
      <w:r>
        <w:rPr>
          <w:i/>
          <w:color w:val="231F20"/>
          <w:spacing w:val="-6"/>
          <w:w w:val="110"/>
        </w:rPr>
        <w:t> </w:t>
      </w:r>
      <w:r>
        <w:rPr>
          <w:i/>
          <w:color w:val="231F20"/>
          <w:w w:val="110"/>
        </w:rPr>
        <w:t>oro</w:t>
      </w:r>
      <w:r>
        <w:rPr>
          <w:i/>
          <w:color w:val="231F20"/>
          <w:spacing w:val="-6"/>
          <w:w w:val="110"/>
        </w:rPr>
        <w:t> </w:t>
      </w:r>
      <w:r>
        <w:rPr>
          <w:color w:val="231F20"/>
          <w:w w:val="110"/>
        </w:rPr>
        <w:t>la</w:t>
      </w:r>
      <w:r>
        <w:rPr>
          <w:color w:val="231F20"/>
          <w:spacing w:val="-6"/>
          <w:w w:val="110"/>
        </w:rPr>
        <w:t> </w:t>
      </w:r>
      <w:r>
        <w:rPr>
          <w:color w:val="231F20"/>
          <w:w w:val="110"/>
        </w:rPr>
        <w:t>clase</w:t>
      </w:r>
      <w:r>
        <w:rPr>
          <w:color w:val="231F20"/>
          <w:spacing w:val="-6"/>
          <w:w w:val="110"/>
        </w:rPr>
        <w:t> </w:t>
      </w:r>
      <w:r>
        <w:rPr>
          <w:color w:val="231F20"/>
          <w:w w:val="110"/>
        </w:rPr>
        <w:t>trabajadora</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clase</w:t>
      </w:r>
      <w:r>
        <w:rPr>
          <w:color w:val="231F20"/>
          <w:spacing w:val="-6"/>
          <w:w w:val="110"/>
        </w:rPr>
        <w:t> </w:t>
      </w:r>
      <w:r>
        <w:rPr>
          <w:color w:val="231F20"/>
          <w:w w:val="110"/>
        </w:rPr>
        <w:t>media</w:t>
      </w:r>
      <w:r>
        <w:rPr>
          <w:color w:val="231F20"/>
          <w:spacing w:val="-6"/>
          <w:w w:val="110"/>
        </w:rPr>
        <w:t> </w:t>
      </w:r>
      <w:r>
        <w:rPr>
          <w:color w:val="231F20"/>
          <w:w w:val="110"/>
        </w:rPr>
        <w:t>(de- finidas como sea) compartieron, más o menos en forma proporcio- nal, el crecimiento de la economía. La estabilidad en el empleo era, normalmente, algo dado —aun en años de recesión—. El paquete  de pago fue complementado por pólizas de jubilación, vacaciones pagadas, programas de salud y otras prestaciones. </w:t>
      </w:r>
      <w:r>
        <w:rPr>
          <w:color w:val="231F20"/>
          <w:spacing w:val="-5"/>
          <w:w w:val="110"/>
        </w:rPr>
        <w:t>Todo </w:t>
      </w:r>
      <w:r>
        <w:rPr>
          <w:color w:val="231F20"/>
          <w:w w:val="110"/>
        </w:rPr>
        <w:t>eso estaba complementado con algo conocido como “el salario social”</w:t>
      </w:r>
      <w:r>
        <w:rPr>
          <w:color w:val="231F20"/>
          <w:spacing w:val="-27"/>
          <w:w w:val="110"/>
        </w:rPr>
        <w:t> </w:t>
      </w:r>
      <w:r>
        <w:rPr>
          <w:color w:val="231F20"/>
          <w:w w:val="110"/>
        </w:rPr>
        <w:t>—inclu- yendo, entre otros elementos, las pólizas de desempleo, seguro de incapacidad, seguro social y seguro médico público para los obreros jubilados.</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mismo</w:t>
      </w:r>
      <w:r>
        <w:rPr>
          <w:color w:val="231F20"/>
          <w:spacing w:val="-16"/>
          <w:w w:val="110"/>
        </w:rPr>
        <w:t> </w:t>
      </w:r>
      <w:r>
        <w:rPr>
          <w:color w:val="231F20"/>
          <w:w w:val="110"/>
        </w:rPr>
        <w:t>momento</w:t>
      </w:r>
      <w:r>
        <w:rPr>
          <w:color w:val="231F20"/>
          <w:spacing w:val="-16"/>
          <w:w w:val="110"/>
        </w:rPr>
        <w:t> </w:t>
      </w:r>
      <w:r>
        <w:rPr>
          <w:color w:val="231F20"/>
          <w:w w:val="110"/>
        </w:rPr>
        <w:t>fue</w:t>
      </w:r>
      <w:r>
        <w:rPr>
          <w:color w:val="231F20"/>
          <w:spacing w:val="-16"/>
          <w:w w:val="110"/>
        </w:rPr>
        <w:t> </w:t>
      </w:r>
      <w:r>
        <w:rPr>
          <w:color w:val="231F20"/>
          <w:w w:val="110"/>
        </w:rPr>
        <w:t>construido</w:t>
      </w:r>
      <w:r>
        <w:rPr>
          <w:color w:val="231F20"/>
          <w:spacing w:val="-16"/>
          <w:w w:val="110"/>
        </w:rPr>
        <w:t> </w:t>
      </w:r>
      <w:r>
        <w:rPr>
          <w:color w:val="231F20"/>
          <w:w w:val="110"/>
        </w:rPr>
        <w:t>un</w:t>
      </w:r>
      <w:r>
        <w:rPr>
          <w:color w:val="231F20"/>
          <w:spacing w:val="-16"/>
          <w:w w:val="110"/>
        </w:rPr>
        <w:t> </w:t>
      </w:r>
      <w:r>
        <w:rPr>
          <w:color w:val="231F20"/>
          <w:w w:val="110"/>
        </w:rPr>
        <w:t>sistema</w:t>
      </w:r>
      <w:r>
        <w:rPr>
          <w:color w:val="231F20"/>
          <w:spacing w:val="-16"/>
          <w:w w:val="110"/>
        </w:rPr>
        <w:t> </w:t>
      </w:r>
      <w:r>
        <w:rPr>
          <w:color w:val="231F20"/>
          <w:w w:val="110"/>
        </w:rPr>
        <w:t>educativo público de alta calidad, disponible para los hijos más ambiciosos de las clases trabajadora y media para subsidiar la educación hasta los niveles</w:t>
      </w:r>
      <w:r>
        <w:rPr>
          <w:color w:val="231F20"/>
          <w:spacing w:val="-22"/>
          <w:w w:val="110"/>
        </w:rPr>
        <w:t> </w:t>
      </w:r>
      <w:r>
        <w:rPr>
          <w:color w:val="231F20"/>
          <w:w w:val="110"/>
        </w:rPr>
        <w:t>profesionales</w:t>
      </w:r>
      <w:r>
        <w:rPr>
          <w:color w:val="231F20"/>
          <w:spacing w:val="-22"/>
          <w:w w:val="110"/>
        </w:rPr>
        <w:t> </w:t>
      </w:r>
      <w:r>
        <w:rPr>
          <w:color w:val="231F20"/>
          <w:w w:val="110"/>
        </w:rPr>
        <w:t>y</w:t>
      </w:r>
      <w:r>
        <w:rPr>
          <w:color w:val="231F20"/>
          <w:spacing w:val="-22"/>
          <w:w w:val="110"/>
        </w:rPr>
        <w:t> </w:t>
      </w:r>
      <w:r>
        <w:rPr>
          <w:color w:val="231F20"/>
          <w:w w:val="110"/>
        </w:rPr>
        <w:t>posgrados.</w:t>
      </w:r>
    </w:p>
    <w:p>
      <w:pPr>
        <w:pStyle w:val="BodyText"/>
        <w:spacing w:line="261" w:lineRule="auto"/>
        <w:ind w:left="100" w:right="114" w:firstLine="240"/>
        <w:jc w:val="right"/>
      </w:pPr>
      <w:r>
        <w:rPr>
          <w:color w:val="231F20"/>
          <w:w w:val="105"/>
        </w:rPr>
        <w:t>Por</w:t>
      </w:r>
      <w:r>
        <w:rPr>
          <w:color w:val="231F20"/>
          <w:spacing w:val="34"/>
          <w:w w:val="105"/>
        </w:rPr>
        <w:t> </w:t>
      </w:r>
      <w:r>
        <w:rPr>
          <w:color w:val="231F20"/>
          <w:w w:val="105"/>
        </w:rPr>
        <w:t>los</w:t>
      </w:r>
      <w:r>
        <w:rPr>
          <w:color w:val="231F20"/>
          <w:spacing w:val="34"/>
          <w:w w:val="105"/>
        </w:rPr>
        <w:t> </w:t>
      </w:r>
      <w:r>
        <w:rPr>
          <w:color w:val="231F20"/>
          <w:w w:val="105"/>
        </w:rPr>
        <w:t>pagos</w:t>
      </w:r>
      <w:r>
        <w:rPr>
          <w:color w:val="231F20"/>
          <w:spacing w:val="34"/>
          <w:w w:val="105"/>
        </w:rPr>
        <w:t> </w:t>
      </w:r>
      <w:r>
        <w:rPr>
          <w:color w:val="231F20"/>
          <w:w w:val="105"/>
        </w:rPr>
        <w:t>directos</w:t>
      </w:r>
      <w:r>
        <w:rPr>
          <w:color w:val="231F20"/>
          <w:spacing w:val="34"/>
          <w:w w:val="105"/>
        </w:rPr>
        <w:t> </w:t>
      </w:r>
      <w:r>
        <w:rPr>
          <w:color w:val="231F20"/>
          <w:w w:val="105"/>
        </w:rPr>
        <w:t>de</w:t>
      </w:r>
      <w:r>
        <w:rPr>
          <w:color w:val="231F20"/>
          <w:spacing w:val="34"/>
          <w:w w:val="105"/>
        </w:rPr>
        <w:t> </w:t>
      </w:r>
      <w:r>
        <w:rPr>
          <w:color w:val="231F20"/>
          <w:w w:val="105"/>
        </w:rPr>
        <w:t>salarios,</w:t>
      </w:r>
      <w:r>
        <w:rPr>
          <w:color w:val="231F20"/>
          <w:spacing w:val="34"/>
          <w:w w:val="105"/>
        </w:rPr>
        <w:t> </w:t>
      </w:r>
      <w:r>
        <w:rPr>
          <w:color w:val="231F20"/>
          <w:w w:val="105"/>
        </w:rPr>
        <w:t>paquetes</w:t>
      </w:r>
      <w:r>
        <w:rPr>
          <w:color w:val="231F20"/>
          <w:spacing w:val="34"/>
          <w:w w:val="105"/>
        </w:rPr>
        <w:t> </w:t>
      </w:r>
      <w:r>
        <w:rPr>
          <w:color w:val="231F20"/>
          <w:w w:val="105"/>
        </w:rPr>
        <w:t>de</w:t>
      </w:r>
      <w:r>
        <w:rPr>
          <w:color w:val="231F20"/>
          <w:spacing w:val="34"/>
          <w:w w:val="105"/>
        </w:rPr>
        <w:t> </w:t>
      </w:r>
      <w:r>
        <w:rPr>
          <w:color w:val="231F20"/>
          <w:w w:val="105"/>
        </w:rPr>
        <w:t>prestaciones</w:t>
      </w:r>
      <w:r>
        <w:rPr>
          <w:color w:val="231F20"/>
          <w:spacing w:val="34"/>
          <w:w w:val="105"/>
        </w:rPr>
        <w:t> </w:t>
      </w:r>
      <w:r>
        <w:rPr>
          <w:color w:val="231F20"/>
          <w:w w:val="105"/>
        </w:rPr>
        <w:t>y</w:t>
      </w:r>
      <w:r>
        <w:rPr>
          <w:color w:val="231F20"/>
          <w:spacing w:val="34"/>
          <w:w w:val="105"/>
        </w:rPr>
        <w:t> </w:t>
      </w:r>
      <w:r>
        <w:rPr>
          <w:color w:val="231F20"/>
          <w:w w:val="105"/>
        </w:rPr>
        <w:t>las</w:t>
      </w:r>
      <w:r>
        <w:rPr>
          <w:color w:val="231F20"/>
          <w:w w:val="100"/>
        </w:rPr>
        <w:t> </w:t>
      </w:r>
      <w:r>
        <w:rPr>
          <w:color w:val="231F20"/>
          <w:w w:val="105"/>
        </w:rPr>
        <w:t>prestaciones</w:t>
      </w:r>
      <w:r>
        <w:rPr>
          <w:color w:val="231F20"/>
          <w:spacing w:val="22"/>
          <w:w w:val="105"/>
        </w:rPr>
        <w:t> </w:t>
      </w:r>
      <w:r>
        <w:rPr>
          <w:color w:val="231F20"/>
          <w:w w:val="105"/>
        </w:rPr>
        <w:t>sociales,</w:t>
      </w:r>
      <w:r>
        <w:rPr>
          <w:color w:val="231F20"/>
          <w:spacing w:val="22"/>
          <w:w w:val="105"/>
        </w:rPr>
        <w:t> </w:t>
      </w:r>
      <w:r>
        <w:rPr>
          <w:color w:val="231F20"/>
          <w:w w:val="105"/>
        </w:rPr>
        <w:t>se</w:t>
      </w:r>
      <w:r>
        <w:rPr>
          <w:color w:val="231F20"/>
          <w:spacing w:val="22"/>
          <w:w w:val="105"/>
        </w:rPr>
        <w:t> </w:t>
      </w:r>
      <w:r>
        <w:rPr>
          <w:color w:val="231F20"/>
          <w:w w:val="105"/>
        </w:rPr>
        <w:t>creó</w:t>
      </w:r>
      <w:r>
        <w:rPr>
          <w:color w:val="231F20"/>
          <w:spacing w:val="22"/>
          <w:w w:val="105"/>
        </w:rPr>
        <w:t> </w:t>
      </w:r>
      <w:r>
        <w:rPr>
          <w:color w:val="231F20"/>
          <w:w w:val="105"/>
        </w:rPr>
        <w:t>un</w:t>
      </w:r>
      <w:r>
        <w:rPr>
          <w:color w:val="231F20"/>
          <w:spacing w:val="22"/>
          <w:w w:val="105"/>
        </w:rPr>
        <w:t> </w:t>
      </w:r>
      <w:r>
        <w:rPr>
          <w:color w:val="231F20"/>
          <w:w w:val="105"/>
        </w:rPr>
        <w:t>clima</w:t>
      </w:r>
      <w:r>
        <w:rPr>
          <w:color w:val="231F20"/>
          <w:spacing w:val="22"/>
          <w:w w:val="105"/>
        </w:rPr>
        <w:t> </w:t>
      </w:r>
      <w:r>
        <w:rPr>
          <w:color w:val="231F20"/>
          <w:w w:val="105"/>
        </w:rPr>
        <w:t>de</w:t>
      </w:r>
      <w:r>
        <w:rPr>
          <w:color w:val="231F20"/>
          <w:spacing w:val="22"/>
          <w:w w:val="105"/>
        </w:rPr>
        <w:t> </w:t>
      </w:r>
      <w:r>
        <w:rPr>
          <w:color w:val="231F20"/>
          <w:w w:val="105"/>
        </w:rPr>
        <w:t>movilidad</w:t>
      </w:r>
      <w:r>
        <w:rPr>
          <w:color w:val="231F20"/>
          <w:spacing w:val="22"/>
          <w:w w:val="105"/>
        </w:rPr>
        <w:t> </w:t>
      </w:r>
      <w:r>
        <w:rPr>
          <w:color w:val="231F20"/>
          <w:w w:val="105"/>
        </w:rPr>
        <w:t>social</w:t>
      </w:r>
      <w:r>
        <w:rPr>
          <w:color w:val="231F20"/>
          <w:spacing w:val="22"/>
          <w:w w:val="105"/>
        </w:rPr>
        <w:t> </w:t>
      </w:r>
      <w:r>
        <w:rPr>
          <w:color w:val="231F20"/>
          <w:w w:val="105"/>
        </w:rPr>
        <w:t>y</w:t>
      </w:r>
      <w:r>
        <w:rPr>
          <w:color w:val="231F20"/>
          <w:spacing w:val="22"/>
          <w:w w:val="105"/>
        </w:rPr>
        <w:t> </w:t>
      </w:r>
      <w:r>
        <w:rPr>
          <w:color w:val="231F20"/>
          <w:w w:val="105"/>
        </w:rPr>
        <w:t>prospe-</w:t>
      </w:r>
      <w:r>
        <w:rPr>
          <w:color w:val="231F20"/>
          <w:w w:val="72"/>
        </w:rPr>
        <w:t> </w:t>
      </w:r>
      <w:r>
        <w:rPr>
          <w:color w:val="231F20"/>
          <w:w w:val="105"/>
        </w:rPr>
        <w:t>ridad compartida. Según Gramsci, este sistema industrial</w:t>
      </w:r>
      <w:r>
        <w:rPr>
          <w:color w:val="231F20"/>
          <w:spacing w:val="11"/>
          <w:w w:val="105"/>
        </w:rPr>
        <w:t> </w:t>
      </w:r>
      <w:r>
        <w:rPr>
          <w:color w:val="231F20"/>
          <w:w w:val="105"/>
        </w:rPr>
        <w:t>era</w:t>
      </w:r>
      <w:r>
        <w:rPr>
          <w:color w:val="231F20"/>
          <w:spacing w:val="16"/>
          <w:w w:val="105"/>
        </w:rPr>
        <w:t> </w:t>
      </w:r>
      <w:r>
        <w:rPr>
          <w:i/>
          <w:color w:val="231F20"/>
          <w:w w:val="105"/>
        </w:rPr>
        <w:t>hegemó-</w:t>
      </w:r>
      <w:r>
        <w:rPr>
          <w:i/>
          <w:color w:val="231F20"/>
          <w:w w:val="72"/>
        </w:rPr>
        <w:t> </w:t>
      </w:r>
      <w:r>
        <w:rPr>
          <w:i/>
          <w:color w:val="231F20"/>
          <w:w w:val="105"/>
        </w:rPr>
        <w:t>nico —</w:t>
      </w:r>
      <w:r>
        <w:rPr>
          <w:color w:val="231F20"/>
          <w:w w:val="105"/>
        </w:rPr>
        <w:t>un sistema construido por las fuerzas de </w:t>
      </w:r>
      <w:r>
        <w:rPr>
          <w:i/>
          <w:color w:val="231F20"/>
          <w:w w:val="105"/>
        </w:rPr>
        <w:t>coerción </w:t>
      </w:r>
      <w:r>
        <w:rPr>
          <w:i/>
          <w:color w:val="231F20"/>
          <w:spacing w:val="40"/>
          <w:w w:val="105"/>
        </w:rPr>
        <w:t> </w:t>
      </w:r>
      <w:r>
        <w:rPr>
          <w:color w:val="231F20"/>
          <w:w w:val="105"/>
        </w:rPr>
        <w:t>del</w:t>
      </w:r>
      <w:r>
        <w:rPr>
          <w:color w:val="231F20"/>
          <w:spacing w:val="16"/>
          <w:w w:val="105"/>
        </w:rPr>
        <w:t> </w:t>
      </w:r>
      <w:r>
        <w:rPr>
          <w:color w:val="231F20"/>
          <w:w w:val="105"/>
        </w:rPr>
        <w:t>mercado</w:t>
      </w:r>
      <w:r>
        <w:rPr>
          <w:color w:val="231F20"/>
          <w:w w:val="111"/>
        </w:rPr>
        <w:t> </w:t>
      </w:r>
      <w:r>
        <w:rPr>
          <w:color w:val="231F20"/>
          <w:w w:val="105"/>
        </w:rPr>
        <w:t>y</w:t>
      </w:r>
      <w:r>
        <w:rPr>
          <w:color w:val="231F20"/>
          <w:spacing w:val="-7"/>
          <w:w w:val="105"/>
        </w:rPr>
        <w:t> </w:t>
      </w:r>
      <w:r>
        <w:rPr>
          <w:color w:val="231F20"/>
          <w:w w:val="105"/>
        </w:rPr>
        <w:t>del</w:t>
      </w:r>
      <w:r>
        <w:rPr>
          <w:color w:val="231F20"/>
          <w:spacing w:val="-7"/>
          <w:w w:val="105"/>
        </w:rPr>
        <w:t> </w:t>
      </w:r>
      <w:r>
        <w:rPr>
          <w:i/>
          <w:color w:val="231F20"/>
          <w:w w:val="105"/>
        </w:rPr>
        <w:t>consentimiento</w:t>
      </w:r>
      <w:r>
        <w:rPr>
          <w:i/>
          <w:color w:val="231F20"/>
          <w:spacing w:val="-7"/>
          <w:w w:val="105"/>
        </w:rPr>
        <w:t> </w:t>
      </w:r>
      <w:r>
        <w:rPr>
          <w:color w:val="231F20"/>
          <w:w w:val="105"/>
        </w:rPr>
        <w:t>de</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Veblen</w:t>
      </w:r>
      <w:r>
        <w:rPr>
          <w:color w:val="231F20"/>
          <w:spacing w:val="-7"/>
          <w:w w:val="105"/>
        </w:rPr>
        <w:t> </w:t>
      </w:r>
      <w:r>
        <w:rPr>
          <w:color w:val="231F20"/>
          <w:w w:val="105"/>
        </w:rPr>
        <w:t>llamó</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subyacente”.</w:t>
      </w:r>
      <w:r>
        <w:rPr>
          <w:color w:val="231F20"/>
          <w:w w:val="105"/>
        </w:rPr>
        <w:t> </w:t>
      </w:r>
      <w:r>
        <w:rPr>
          <w:color w:val="231F20"/>
          <w:w w:val="105"/>
        </w:rPr>
        <w:t>Hoy</w:t>
      </w:r>
      <w:r>
        <w:rPr>
          <w:color w:val="231F20"/>
          <w:spacing w:val="23"/>
          <w:w w:val="105"/>
        </w:rPr>
        <w:t> </w:t>
      </w:r>
      <w:r>
        <w:rPr>
          <w:color w:val="231F20"/>
          <w:w w:val="105"/>
        </w:rPr>
        <w:t>en</w:t>
      </w:r>
      <w:r>
        <w:rPr>
          <w:color w:val="231F20"/>
          <w:spacing w:val="23"/>
          <w:w w:val="105"/>
        </w:rPr>
        <w:t> </w:t>
      </w:r>
      <w:r>
        <w:rPr>
          <w:color w:val="231F20"/>
          <w:w w:val="105"/>
        </w:rPr>
        <w:t>día,</w:t>
      </w:r>
      <w:r>
        <w:rPr>
          <w:color w:val="231F20"/>
          <w:spacing w:val="23"/>
          <w:w w:val="105"/>
        </w:rPr>
        <w:t> </w:t>
      </w:r>
      <w:r>
        <w:rPr>
          <w:color w:val="231F20"/>
          <w:w w:val="105"/>
        </w:rPr>
        <w:t>aunque</w:t>
      </w:r>
      <w:r>
        <w:rPr>
          <w:color w:val="231F20"/>
          <w:spacing w:val="23"/>
          <w:w w:val="105"/>
        </w:rPr>
        <w:t> </w:t>
      </w:r>
      <w:r>
        <w:rPr>
          <w:color w:val="231F20"/>
          <w:w w:val="105"/>
        </w:rPr>
        <w:t>hay</w:t>
      </w:r>
      <w:r>
        <w:rPr>
          <w:color w:val="231F20"/>
          <w:spacing w:val="23"/>
          <w:w w:val="105"/>
        </w:rPr>
        <w:t> </w:t>
      </w:r>
      <w:r>
        <w:rPr>
          <w:color w:val="231F20"/>
          <w:w w:val="105"/>
        </w:rPr>
        <w:t>elementos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clase</w:t>
      </w:r>
      <w:r>
        <w:rPr>
          <w:color w:val="231F20"/>
          <w:spacing w:val="23"/>
          <w:w w:val="105"/>
        </w:rPr>
        <w:t> </w:t>
      </w:r>
      <w:r>
        <w:rPr>
          <w:color w:val="231F20"/>
          <w:w w:val="105"/>
        </w:rPr>
        <w:t>media</w:t>
      </w:r>
      <w:r>
        <w:rPr>
          <w:color w:val="231F20"/>
          <w:spacing w:val="23"/>
          <w:w w:val="105"/>
        </w:rPr>
        <w:t> </w:t>
      </w:r>
      <w:r>
        <w:rPr>
          <w:color w:val="231F20"/>
          <w:w w:val="105"/>
        </w:rPr>
        <w:t>y</w:t>
      </w:r>
      <w:r>
        <w:rPr>
          <w:color w:val="231F20"/>
          <w:spacing w:val="23"/>
          <w:w w:val="105"/>
        </w:rPr>
        <w:t> </w:t>
      </w:r>
      <w:r>
        <w:rPr>
          <w:color w:val="231F20"/>
          <w:w w:val="105"/>
        </w:rPr>
        <w:t>sobre</w:t>
      </w:r>
      <w:r>
        <w:rPr>
          <w:color w:val="231F20"/>
          <w:spacing w:val="23"/>
          <w:w w:val="105"/>
        </w:rPr>
        <w:t> </w:t>
      </w:r>
      <w:r>
        <w:rPr>
          <w:color w:val="231F20"/>
          <w:w w:val="105"/>
        </w:rPr>
        <w:t>todo</w:t>
      </w:r>
      <w:r>
        <w:rPr>
          <w:color w:val="231F20"/>
          <w:w w:val="113"/>
        </w:rPr>
        <w:t> </w:t>
      </w:r>
      <w:r>
        <w:rPr>
          <w:color w:val="231F20"/>
          <w:w w:val="105"/>
        </w:rPr>
        <w:t>de la clase media alta (enumeradas en millones de</w:t>
      </w:r>
      <w:r>
        <w:rPr>
          <w:color w:val="231F20"/>
          <w:spacing w:val="36"/>
          <w:w w:val="105"/>
        </w:rPr>
        <w:t> </w:t>
      </w:r>
      <w:r>
        <w:rPr>
          <w:color w:val="231F20"/>
          <w:w w:val="105"/>
        </w:rPr>
        <w:t>familias)</w:t>
      </w:r>
      <w:r>
        <w:rPr>
          <w:color w:val="231F20"/>
          <w:spacing w:val="9"/>
          <w:w w:val="105"/>
        </w:rPr>
        <w:t> </w:t>
      </w:r>
      <w:r>
        <w:rPr>
          <w:color w:val="231F20"/>
          <w:w w:val="105"/>
        </w:rPr>
        <w:t>que</w:t>
      </w:r>
      <w:r>
        <w:rPr>
          <w:color w:val="231F20"/>
          <w:w w:val="113"/>
        </w:rPr>
        <w:t> </w:t>
      </w:r>
      <w:r>
        <w:rPr>
          <w:color w:val="231F20"/>
          <w:w w:val="105"/>
        </w:rPr>
        <w:t>quedan</w:t>
      </w:r>
      <w:r>
        <w:rPr>
          <w:color w:val="231F20"/>
          <w:spacing w:val="29"/>
          <w:w w:val="105"/>
        </w:rPr>
        <w:t> </w:t>
      </w:r>
      <w:r>
        <w:rPr>
          <w:color w:val="231F20"/>
          <w:w w:val="105"/>
        </w:rPr>
        <w:t>seguros</w:t>
      </w:r>
      <w:r>
        <w:rPr>
          <w:color w:val="231F20"/>
          <w:spacing w:val="29"/>
          <w:w w:val="105"/>
        </w:rPr>
        <w:t> </w:t>
      </w:r>
      <w:r>
        <w:rPr>
          <w:color w:val="231F20"/>
          <w:w w:val="105"/>
        </w:rPr>
        <w:t>—aún</w:t>
      </w:r>
      <w:r>
        <w:rPr>
          <w:color w:val="231F20"/>
          <w:spacing w:val="29"/>
          <w:w w:val="105"/>
        </w:rPr>
        <w:t> </w:t>
      </w:r>
      <w:r>
        <w:rPr>
          <w:color w:val="231F20"/>
          <w:w w:val="105"/>
        </w:rPr>
        <w:t>atrincherados</w:t>
      </w:r>
      <w:r>
        <w:rPr>
          <w:color w:val="231F20"/>
          <w:spacing w:val="29"/>
          <w:w w:val="105"/>
        </w:rPr>
        <w:t> </w:t>
      </w:r>
      <w:r>
        <w:rPr>
          <w:color w:val="231F20"/>
          <w:w w:val="105"/>
        </w:rPr>
        <w:t>en</w:t>
      </w:r>
      <w:r>
        <w:rPr>
          <w:color w:val="231F20"/>
          <w:spacing w:val="29"/>
          <w:w w:val="105"/>
        </w:rPr>
        <w:t> </w:t>
      </w:r>
      <w:r>
        <w:rPr>
          <w:color w:val="231F20"/>
          <w:w w:val="105"/>
        </w:rPr>
        <w:t>un</w:t>
      </w:r>
      <w:r>
        <w:rPr>
          <w:color w:val="231F20"/>
          <w:spacing w:val="29"/>
          <w:w w:val="105"/>
        </w:rPr>
        <w:t> </w:t>
      </w:r>
      <w:r>
        <w:rPr>
          <w:color w:val="231F20"/>
          <w:w w:val="105"/>
        </w:rPr>
        <w:t>estilo</w:t>
      </w:r>
      <w:r>
        <w:rPr>
          <w:color w:val="231F20"/>
          <w:spacing w:val="29"/>
          <w:w w:val="105"/>
        </w:rPr>
        <w:t> </w:t>
      </w:r>
      <w:r>
        <w:rPr>
          <w:color w:val="231F20"/>
          <w:w w:val="105"/>
        </w:rPr>
        <w:t>de</w:t>
      </w:r>
      <w:r>
        <w:rPr>
          <w:color w:val="231F20"/>
          <w:spacing w:val="29"/>
          <w:w w:val="105"/>
        </w:rPr>
        <w:t> </w:t>
      </w:r>
      <w:r>
        <w:rPr>
          <w:color w:val="231F20"/>
          <w:w w:val="105"/>
        </w:rPr>
        <w:t>vida</w:t>
      </w:r>
      <w:r>
        <w:rPr>
          <w:color w:val="231F20"/>
          <w:spacing w:val="29"/>
          <w:w w:val="105"/>
        </w:rPr>
        <w:t> </w:t>
      </w:r>
      <w:r>
        <w:rPr>
          <w:color w:val="231F20"/>
          <w:w w:val="105"/>
        </w:rPr>
        <w:t>lujosa—</w:t>
      </w:r>
      <w:r>
        <w:rPr>
          <w:color w:val="231F20"/>
          <w:spacing w:val="29"/>
          <w:w w:val="105"/>
        </w:rPr>
        <w:t> </w:t>
      </w:r>
      <w:r>
        <w:rPr>
          <w:color w:val="231F20"/>
          <w:w w:val="105"/>
        </w:rPr>
        <w:t>el</w:t>
      </w:r>
      <w:r>
        <w:rPr>
          <w:color w:val="231F20"/>
          <w:w w:val="108"/>
        </w:rPr>
        <w:t> </w:t>
      </w:r>
      <w:r>
        <w:rPr>
          <w:color w:val="231F20"/>
          <w:w w:val="105"/>
        </w:rPr>
        <w:t>sistema socioeconómico de la </w:t>
      </w:r>
      <w:r>
        <w:rPr>
          <w:i/>
          <w:color w:val="231F20"/>
          <w:w w:val="105"/>
        </w:rPr>
        <w:t>edad del oro </w:t>
      </w:r>
      <w:r>
        <w:rPr>
          <w:color w:val="231F20"/>
          <w:w w:val="105"/>
        </w:rPr>
        <w:t>ha sido</w:t>
      </w:r>
      <w:r>
        <w:rPr>
          <w:color w:val="231F20"/>
          <w:spacing w:val="9"/>
          <w:w w:val="105"/>
        </w:rPr>
        <w:t> </w:t>
      </w:r>
      <w:r>
        <w:rPr>
          <w:color w:val="231F20"/>
          <w:w w:val="105"/>
        </w:rPr>
        <w:t>casi</w:t>
      </w:r>
      <w:r>
        <w:rPr>
          <w:color w:val="231F20"/>
          <w:spacing w:val="1"/>
          <w:w w:val="105"/>
        </w:rPr>
        <w:t> </w:t>
      </w:r>
      <w:r>
        <w:rPr>
          <w:color w:val="231F20"/>
          <w:w w:val="105"/>
        </w:rPr>
        <w:t>completamente</w:t>
      </w:r>
      <w:r>
        <w:rPr>
          <w:color w:val="231F20"/>
          <w:w w:val="111"/>
        </w:rPr>
        <w:t> </w:t>
      </w:r>
      <w:r>
        <w:rPr>
          <w:color w:val="231F20"/>
          <w:w w:val="105"/>
        </w:rPr>
        <w:t>borrado.</w:t>
      </w:r>
      <w:r>
        <w:rPr>
          <w:color w:val="231F20"/>
          <w:spacing w:val="32"/>
          <w:w w:val="105"/>
        </w:rPr>
        <w:t> </w:t>
      </w:r>
      <w:r>
        <w:rPr>
          <w:color w:val="231F20"/>
          <w:w w:val="105"/>
        </w:rPr>
        <w:t>La</w:t>
      </w:r>
      <w:r>
        <w:rPr>
          <w:color w:val="231F20"/>
          <w:spacing w:val="32"/>
          <w:w w:val="105"/>
        </w:rPr>
        <w:t> </w:t>
      </w:r>
      <w:r>
        <w:rPr>
          <w:color w:val="231F20"/>
          <w:w w:val="105"/>
        </w:rPr>
        <w:t>tasa</w:t>
      </w:r>
      <w:r>
        <w:rPr>
          <w:color w:val="231F20"/>
          <w:spacing w:val="32"/>
          <w:w w:val="105"/>
        </w:rPr>
        <w:t> </w:t>
      </w:r>
      <w:r>
        <w:rPr>
          <w:color w:val="231F20"/>
          <w:w w:val="105"/>
        </w:rPr>
        <w:t>promedio</w:t>
      </w:r>
      <w:r>
        <w:rPr>
          <w:color w:val="231F20"/>
          <w:spacing w:val="32"/>
          <w:w w:val="105"/>
        </w:rPr>
        <w:t> </w:t>
      </w:r>
      <w:r>
        <w:rPr>
          <w:color w:val="231F20"/>
          <w:w w:val="105"/>
        </w:rPr>
        <w:t>anual</w:t>
      </w:r>
      <w:r>
        <w:rPr>
          <w:color w:val="231F20"/>
          <w:spacing w:val="32"/>
          <w:w w:val="105"/>
        </w:rPr>
        <w:t> </w:t>
      </w:r>
      <w:r>
        <w:rPr>
          <w:color w:val="231F20"/>
          <w:w w:val="105"/>
        </w:rPr>
        <w:t>de</w:t>
      </w:r>
      <w:r>
        <w:rPr>
          <w:color w:val="231F20"/>
          <w:spacing w:val="32"/>
          <w:w w:val="105"/>
        </w:rPr>
        <w:t> </w:t>
      </w:r>
      <w:r>
        <w:rPr>
          <w:color w:val="231F20"/>
          <w:w w:val="105"/>
        </w:rPr>
        <w:t>crecimiento</w:t>
      </w:r>
      <w:r>
        <w:rPr>
          <w:color w:val="231F20"/>
          <w:spacing w:val="32"/>
          <w:w w:val="105"/>
        </w:rPr>
        <w:t> </w:t>
      </w:r>
      <w:r>
        <w:rPr>
          <w:color w:val="231F20"/>
          <w:w w:val="105"/>
        </w:rPr>
        <w:t>real</w:t>
      </w:r>
      <w:r>
        <w:rPr>
          <w:color w:val="231F20"/>
          <w:spacing w:val="32"/>
          <w:w w:val="105"/>
        </w:rPr>
        <w:t> </w:t>
      </w:r>
      <w:r>
        <w:rPr>
          <w:color w:val="231F20"/>
          <w:w w:val="105"/>
        </w:rPr>
        <w:t>del</w:t>
      </w:r>
      <w:r>
        <w:rPr>
          <w:color w:val="231F20"/>
          <w:spacing w:val="34"/>
          <w:w w:val="105"/>
        </w:rPr>
        <w:t> </w:t>
      </w:r>
      <w:r>
        <w:rPr>
          <w:color w:val="231F20"/>
          <w:w w:val="105"/>
        </w:rPr>
        <w:t>pib</w:t>
      </w:r>
      <w:r>
        <w:rPr>
          <w:color w:val="231F20"/>
          <w:spacing w:val="32"/>
          <w:w w:val="105"/>
        </w:rPr>
        <w:t> </w:t>
      </w:r>
      <w:r>
        <w:rPr>
          <w:color w:val="231F20"/>
          <w:w w:val="105"/>
        </w:rPr>
        <w:t>para</w:t>
      </w:r>
      <w:r>
        <w:rPr>
          <w:color w:val="231F20"/>
          <w:spacing w:val="32"/>
          <w:w w:val="105"/>
        </w:rPr>
        <w:t> </w:t>
      </w:r>
      <w:r>
        <w:rPr>
          <w:color w:val="231F20"/>
          <w:w w:val="105"/>
        </w:rPr>
        <w:t>el</w:t>
      </w:r>
      <w:r>
        <w:rPr>
          <w:color w:val="231F20"/>
          <w:w w:val="108"/>
        </w:rPr>
        <w:t> </w:t>
      </w:r>
      <w:r>
        <w:rPr>
          <w:color w:val="231F20"/>
          <w:w w:val="105"/>
        </w:rPr>
        <w:t>primer</w:t>
      </w:r>
      <w:r>
        <w:rPr>
          <w:color w:val="231F20"/>
          <w:spacing w:val="25"/>
          <w:w w:val="105"/>
        </w:rPr>
        <w:t> </w:t>
      </w:r>
      <w:r>
        <w:rPr>
          <w:color w:val="231F20"/>
          <w:w w:val="105"/>
        </w:rPr>
        <w:t>decenio</w:t>
      </w:r>
      <w:r>
        <w:rPr>
          <w:color w:val="231F20"/>
          <w:spacing w:val="25"/>
          <w:w w:val="105"/>
        </w:rPr>
        <w:t> </w:t>
      </w:r>
      <w:r>
        <w:rPr>
          <w:color w:val="231F20"/>
          <w:w w:val="105"/>
        </w:rPr>
        <w:t>del</w:t>
      </w:r>
      <w:r>
        <w:rPr>
          <w:color w:val="231F20"/>
          <w:spacing w:val="25"/>
          <w:w w:val="105"/>
        </w:rPr>
        <w:t> </w:t>
      </w:r>
      <w:r>
        <w:rPr>
          <w:color w:val="231F20"/>
          <w:w w:val="105"/>
        </w:rPr>
        <w:t>siglo</w:t>
      </w:r>
      <w:r>
        <w:rPr>
          <w:color w:val="231F20"/>
          <w:spacing w:val="25"/>
          <w:w w:val="105"/>
        </w:rPr>
        <w:t> </w:t>
      </w:r>
      <w:r>
        <w:rPr>
          <w:color w:val="231F20"/>
          <w:w w:val="105"/>
        </w:rPr>
        <w:t>xxi</w:t>
      </w:r>
      <w:r>
        <w:rPr>
          <w:color w:val="231F20"/>
          <w:spacing w:val="25"/>
          <w:w w:val="105"/>
        </w:rPr>
        <w:t> </w:t>
      </w:r>
      <w:r>
        <w:rPr>
          <w:color w:val="231F20"/>
          <w:w w:val="105"/>
        </w:rPr>
        <w:t>fue</w:t>
      </w:r>
      <w:r>
        <w:rPr>
          <w:color w:val="231F20"/>
          <w:spacing w:val="25"/>
          <w:w w:val="105"/>
        </w:rPr>
        <w:t> </w:t>
      </w:r>
      <w:r>
        <w:rPr>
          <w:color w:val="231F20"/>
          <w:w w:val="105"/>
        </w:rPr>
        <w:t>de</w:t>
      </w:r>
      <w:r>
        <w:rPr>
          <w:color w:val="231F20"/>
          <w:spacing w:val="25"/>
          <w:w w:val="105"/>
        </w:rPr>
        <w:t> </w:t>
      </w:r>
      <w:r>
        <w:rPr>
          <w:color w:val="231F20"/>
          <w:w w:val="105"/>
        </w:rPr>
        <w:t>1.8%,</w:t>
      </w:r>
      <w:r>
        <w:rPr>
          <w:color w:val="231F20"/>
          <w:spacing w:val="25"/>
          <w:w w:val="105"/>
        </w:rPr>
        <w:t> </w:t>
      </w:r>
      <w:r>
        <w:rPr>
          <w:color w:val="231F20"/>
          <w:w w:val="105"/>
        </w:rPr>
        <w:t>menos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mitad</w:t>
      </w:r>
      <w:r>
        <w:rPr>
          <w:color w:val="231F20"/>
          <w:spacing w:val="25"/>
          <w:w w:val="105"/>
        </w:rPr>
        <w:t> </w:t>
      </w:r>
      <w:r>
        <w:rPr>
          <w:color w:val="231F20"/>
          <w:w w:val="105"/>
        </w:rPr>
        <w:t>que</w:t>
      </w:r>
      <w:r>
        <w:rPr>
          <w:color w:val="231F20"/>
          <w:spacing w:val="25"/>
          <w:w w:val="105"/>
        </w:rPr>
        <w:t> </w:t>
      </w:r>
      <w:r>
        <w:rPr>
          <w:color w:val="231F20"/>
          <w:w w:val="105"/>
        </w:rPr>
        <w:t>en</w:t>
      </w:r>
      <w:r>
        <w:rPr>
          <w:color w:val="231F20"/>
          <w:w w:val="116"/>
        </w:rPr>
        <w:t> </w:t>
      </w:r>
      <w:r>
        <w:rPr>
          <w:color w:val="231F20"/>
          <w:w w:val="105"/>
        </w:rPr>
        <w:t>la</w:t>
      </w:r>
      <w:r>
        <w:rPr>
          <w:color w:val="231F20"/>
          <w:spacing w:val="-14"/>
          <w:w w:val="105"/>
        </w:rPr>
        <w:t> </w:t>
      </w:r>
      <w:r>
        <w:rPr>
          <w:i/>
          <w:color w:val="231F20"/>
          <w:w w:val="105"/>
        </w:rPr>
        <w:t>edad</w:t>
      </w:r>
      <w:r>
        <w:rPr>
          <w:i/>
          <w:color w:val="231F20"/>
          <w:spacing w:val="-14"/>
          <w:w w:val="105"/>
        </w:rPr>
        <w:t> </w:t>
      </w:r>
      <w:r>
        <w:rPr>
          <w:i/>
          <w:color w:val="231F20"/>
          <w:w w:val="105"/>
        </w:rPr>
        <w:t>del</w:t>
      </w:r>
      <w:r>
        <w:rPr>
          <w:i/>
          <w:color w:val="231F20"/>
          <w:spacing w:val="-14"/>
          <w:w w:val="105"/>
        </w:rPr>
        <w:t> </w:t>
      </w:r>
      <w:r>
        <w:rPr>
          <w:i/>
          <w:color w:val="231F20"/>
          <w:w w:val="105"/>
        </w:rPr>
        <w:t>oro</w:t>
      </w:r>
      <w:r>
        <w:rPr>
          <w:color w:val="231F20"/>
          <w:w w:val="105"/>
        </w:rPr>
        <w:t>.</w:t>
      </w:r>
      <w:r>
        <w:rPr>
          <w:color w:val="231F20"/>
          <w:spacing w:val="-14"/>
          <w:w w:val="105"/>
        </w:rPr>
        <w:t> </w:t>
      </w:r>
      <w:r>
        <w:rPr>
          <w:color w:val="231F20"/>
          <w:w w:val="105"/>
        </w:rPr>
        <w:t>La</w:t>
      </w:r>
      <w:r>
        <w:rPr>
          <w:color w:val="231F20"/>
          <w:spacing w:val="-14"/>
          <w:w w:val="105"/>
        </w:rPr>
        <w:t> </w:t>
      </w:r>
      <w:r>
        <w:rPr>
          <w:color w:val="231F20"/>
          <w:w w:val="105"/>
        </w:rPr>
        <w:t>contradicción</w:t>
      </w:r>
      <w:r>
        <w:rPr>
          <w:color w:val="231F20"/>
          <w:spacing w:val="-14"/>
          <w:w w:val="105"/>
        </w:rPr>
        <w:t> </w:t>
      </w:r>
      <w:r>
        <w:rPr>
          <w:color w:val="231F20"/>
          <w:w w:val="105"/>
        </w:rPr>
        <w:t>sobresaliente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i/>
          <w:color w:val="231F20"/>
          <w:w w:val="105"/>
        </w:rPr>
        <w:t>economía</w:t>
      </w:r>
      <w:r>
        <w:rPr>
          <w:i/>
          <w:color w:val="231F20"/>
          <w:spacing w:val="-14"/>
          <w:w w:val="105"/>
        </w:rPr>
        <w:t> </w:t>
      </w:r>
      <w:r>
        <w:rPr>
          <w:i/>
          <w:color w:val="231F20"/>
          <w:w w:val="105"/>
        </w:rPr>
        <w:t>tripartida</w:t>
      </w:r>
      <w:r>
        <w:rPr>
          <w:i/>
          <w:color w:val="231F20"/>
          <w:w w:val="100"/>
        </w:rPr>
        <w:t> </w:t>
      </w:r>
      <w:r>
        <w:rPr>
          <w:color w:val="231F20"/>
          <w:w w:val="105"/>
        </w:rPr>
        <w:t>es</w:t>
      </w:r>
      <w:r>
        <w:rPr>
          <w:color w:val="231F20"/>
          <w:spacing w:val="44"/>
          <w:w w:val="105"/>
        </w:rPr>
        <w:t> </w:t>
      </w:r>
      <w:r>
        <w:rPr>
          <w:color w:val="231F20"/>
          <w:w w:val="105"/>
        </w:rPr>
        <w:t>su</w:t>
      </w:r>
      <w:r>
        <w:rPr>
          <w:color w:val="231F20"/>
          <w:spacing w:val="44"/>
          <w:w w:val="105"/>
        </w:rPr>
        <w:t> </w:t>
      </w:r>
      <w:r>
        <w:rPr>
          <w:color w:val="231F20"/>
          <w:w w:val="105"/>
        </w:rPr>
        <w:t>menosprecio</w:t>
      </w:r>
      <w:r>
        <w:rPr>
          <w:color w:val="231F20"/>
          <w:spacing w:val="44"/>
          <w:w w:val="105"/>
        </w:rPr>
        <w:t> </w:t>
      </w:r>
      <w:r>
        <w:rPr>
          <w:color w:val="231F20"/>
          <w:w w:val="105"/>
        </w:rPr>
        <w:t>por</w:t>
      </w:r>
      <w:r>
        <w:rPr>
          <w:color w:val="231F20"/>
          <w:spacing w:val="44"/>
          <w:w w:val="105"/>
        </w:rPr>
        <w:t> </w:t>
      </w:r>
      <w:r>
        <w:rPr>
          <w:color w:val="231F20"/>
          <w:w w:val="105"/>
        </w:rPr>
        <w:t>algo</w:t>
      </w:r>
      <w:r>
        <w:rPr>
          <w:color w:val="231F20"/>
          <w:spacing w:val="44"/>
          <w:w w:val="105"/>
        </w:rPr>
        <w:t> </w:t>
      </w:r>
      <w:r>
        <w:rPr>
          <w:color w:val="231F20"/>
          <w:w w:val="105"/>
        </w:rPr>
        <w:t>que</w:t>
      </w:r>
      <w:r>
        <w:rPr>
          <w:color w:val="231F20"/>
          <w:spacing w:val="44"/>
          <w:w w:val="105"/>
        </w:rPr>
        <w:t> </w:t>
      </w:r>
      <w:r>
        <w:rPr>
          <w:color w:val="231F20"/>
          <w:w w:val="105"/>
        </w:rPr>
        <w:t>era</w:t>
      </w:r>
      <w:r>
        <w:rPr>
          <w:color w:val="231F20"/>
          <w:spacing w:val="44"/>
          <w:w w:val="105"/>
        </w:rPr>
        <w:t> </w:t>
      </w:r>
      <w:r>
        <w:rPr>
          <w:color w:val="231F20"/>
          <w:w w:val="105"/>
        </w:rPr>
        <w:t>antes</w:t>
      </w:r>
      <w:r>
        <w:rPr>
          <w:color w:val="231F20"/>
          <w:spacing w:val="44"/>
          <w:w w:val="105"/>
        </w:rPr>
        <w:t> </w:t>
      </w:r>
      <w:r>
        <w:rPr>
          <w:color w:val="231F20"/>
          <w:w w:val="105"/>
        </w:rPr>
        <w:t>un</w:t>
      </w:r>
      <w:r>
        <w:rPr>
          <w:color w:val="231F20"/>
          <w:spacing w:val="44"/>
          <w:w w:val="105"/>
        </w:rPr>
        <w:t> </w:t>
      </w:r>
      <w:r>
        <w:rPr>
          <w:color w:val="231F20"/>
          <w:w w:val="105"/>
        </w:rPr>
        <w:t>asunto</w:t>
      </w:r>
      <w:r>
        <w:rPr>
          <w:color w:val="231F20"/>
          <w:spacing w:val="44"/>
          <w:w w:val="105"/>
        </w:rPr>
        <w:t> </w:t>
      </w:r>
      <w:r>
        <w:rPr>
          <w:color w:val="231F20"/>
          <w:w w:val="105"/>
        </w:rPr>
        <w:t>importante,</w:t>
      </w:r>
      <w:r>
        <w:rPr>
          <w:color w:val="231F20"/>
          <w:spacing w:val="44"/>
          <w:w w:val="105"/>
        </w:rPr>
        <w:t> </w:t>
      </w:r>
      <w:r>
        <w:rPr>
          <w:color w:val="231F20"/>
          <w:w w:val="105"/>
        </w:rPr>
        <w:t>si</w:t>
      </w:r>
      <w:r>
        <w:rPr>
          <w:color w:val="231F20"/>
          <w:w w:val="95"/>
        </w:rPr>
        <w:t> </w:t>
      </w:r>
      <w:r>
        <w:rPr>
          <w:color w:val="231F20"/>
          <w:w w:val="105"/>
        </w:rPr>
        <w:t>no es que  clave:  ¿en  este  nuevo  sistema  cómo</w:t>
      </w:r>
      <w:r>
        <w:rPr>
          <w:color w:val="231F20"/>
          <w:spacing w:val="22"/>
          <w:w w:val="105"/>
        </w:rPr>
        <w:t> </w:t>
      </w:r>
      <w:r>
        <w:rPr>
          <w:color w:val="231F20"/>
          <w:w w:val="105"/>
        </w:rPr>
        <w:t>pudiera</w:t>
      </w:r>
      <w:r>
        <w:rPr>
          <w:color w:val="231F20"/>
          <w:spacing w:val="49"/>
          <w:w w:val="105"/>
        </w:rPr>
        <w:t> </w:t>
      </w:r>
      <w:r>
        <w:rPr>
          <w:color w:val="231F20"/>
          <w:w w:val="105"/>
        </w:rPr>
        <w:t>enfrentarse</w:t>
      </w:r>
      <w:r>
        <w:rPr>
          <w:color w:val="231F20"/>
          <w:w w:val="112"/>
        </w:rPr>
        <w:t> </w:t>
      </w:r>
      <w:r>
        <w:rPr>
          <w:color w:val="231F20"/>
          <w:w w:val="105"/>
        </w:rPr>
        <w:t>el problema de la </w:t>
      </w:r>
      <w:r>
        <w:rPr>
          <w:i/>
          <w:color w:val="231F20"/>
          <w:w w:val="105"/>
        </w:rPr>
        <w:t>reproducción social </w:t>
      </w:r>
      <w:r>
        <w:rPr>
          <w:color w:val="231F20"/>
          <w:w w:val="105"/>
        </w:rPr>
        <w:t>? Este problema fue</w:t>
      </w:r>
      <w:r>
        <w:rPr>
          <w:color w:val="231F20"/>
          <w:spacing w:val="21"/>
          <w:w w:val="105"/>
        </w:rPr>
        <w:t> </w:t>
      </w:r>
      <w:r>
        <w:rPr>
          <w:color w:val="231F20"/>
          <w:w w:val="105"/>
        </w:rPr>
        <w:t>el</w:t>
      </w:r>
      <w:r>
        <w:rPr>
          <w:color w:val="231F20"/>
          <w:spacing w:val="17"/>
          <w:w w:val="105"/>
        </w:rPr>
        <w:t> </w:t>
      </w:r>
      <w:r>
        <w:rPr>
          <w:color w:val="231F20"/>
          <w:w w:val="105"/>
        </w:rPr>
        <w:t>enfoque</w:t>
      </w:r>
      <w:r>
        <w:rPr>
          <w:color w:val="231F20"/>
          <w:w w:val="112"/>
        </w:rPr>
        <w:t> </w:t>
      </w:r>
      <w:r>
        <w:rPr>
          <w:color w:val="231F20"/>
          <w:w w:val="105"/>
        </w:rPr>
        <w:t>central de la política keynesiana del “crecimiento</w:t>
      </w:r>
      <w:r>
        <w:rPr>
          <w:color w:val="231F20"/>
          <w:spacing w:val="22"/>
          <w:w w:val="105"/>
        </w:rPr>
        <w:t> </w:t>
      </w:r>
      <w:r>
        <w:rPr>
          <w:color w:val="231F20"/>
          <w:w w:val="105"/>
        </w:rPr>
        <w:t>compartido”</w:t>
      </w:r>
      <w:r>
        <w:rPr>
          <w:color w:val="231F20"/>
          <w:spacing w:val="3"/>
          <w:w w:val="105"/>
        </w:rPr>
        <w:t> </w:t>
      </w:r>
      <w:r>
        <w:rPr>
          <w:color w:val="231F20"/>
          <w:w w:val="105"/>
        </w:rPr>
        <w:t>del</w:t>
      </w:r>
      <w:r>
        <w:rPr>
          <w:color w:val="231F20"/>
          <w:w w:val="111"/>
        </w:rPr>
        <w:t> </w:t>
      </w:r>
      <w:r>
        <w:rPr>
          <w:i/>
          <w:color w:val="231F20"/>
          <w:w w:val="105"/>
        </w:rPr>
        <w:t>nuevo</w:t>
      </w:r>
      <w:r>
        <w:rPr>
          <w:i/>
          <w:color w:val="231F20"/>
          <w:spacing w:val="31"/>
          <w:w w:val="105"/>
        </w:rPr>
        <w:t> </w:t>
      </w:r>
      <w:r>
        <w:rPr>
          <w:i/>
          <w:color w:val="231F20"/>
          <w:w w:val="105"/>
        </w:rPr>
        <w:t>trato</w:t>
      </w:r>
      <w:r>
        <w:rPr>
          <w:i/>
          <w:color w:val="231F20"/>
          <w:spacing w:val="31"/>
          <w:w w:val="105"/>
        </w:rPr>
        <w:t> </w:t>
      </w:r>
      <w:r>
        <w:rPr>
          <w:color w:val="231F20"/>
          <w:w w:val="105"/>
        </w:rPr>
        <w:t>en</w:t>
      </w:r>
      <w:r>
        <w:rPr>
          <w:color w:val="231F20"/>
          <w:spacing w:val="31"/>
          <w:w w:val="105"/>
        </w:rPr>
        <w:t> </w:t>
      </w:r>
      <w:r>
        <w:rPr>
          <w:color w:val="231F20"/>
          <w:w w:val="105"/>
        </w:rPr>
        <w:t>los</w:t>
      </w:r>
      <w:r>
        <w:rPr>
          <w:color w:val="231F20"/>
          <w:spacing w:val="31"/>
          <w:w w:val="105"/>
        </w:rPr>
        <w:t> </w:t>
      </w:r>
      <w:r>
        <w:rPr>
          <w:color w:val="231F20"/>
          <w:w w:val="105"/>
        </w:rPr>
        <w:t>años</w:t>
      </w:r>
      <w:r>
        <w:rPr>
          <w:color w:val="231F20"/>
          <w:spacing w:val="31"/>
          <w:w w:val="105"/>
        </w:rPr>
        <w:t> </w:t>
      </w:r>
      <w:r>
        <w:rPr>
          <w:color w:val="231F20"/>
          <w:w w:val="105"/>
        </w:rPr>
        <w:t>treinta,</w:t>
      </w:r>
      <w:r>
        <w:rPr>
          <w:color w:val="231F20"/>
          <w:spacing w:val="31"/>
          <w:w w:val="105"/>
        </w:rPr>
        <w:t> </w:t>
      </w:r>
      <w:r>
        <w:rPr>
          <w:color w:val="231F20"/>
          <w:w w:val="105"/>
        </w:rPr>
        <w:t>un</w:t>
      </w:r>
      <w:r>
        <w:rPr>
          <w:color w:val="231F20"/>
          <w:spacing w:val="31"/>
          <w:w w:val="105"/>
        </w:rPr>
        <w:t> </w:t>
      </w:r>
      <w:r>
        <w:rPr>
          <w:color w:val="231F20"/>
          <w:w w:val="105"/>
        </w:rPr>
        <w:t>legado</w:t>
      </w:r>
      <w:r>
        <w:rPr>
          <w:color w:val="231F20"/>
          <w:spacing w:val="31"/>
          <w:w w:val="105"/>
        </w:rPr>
        <w:t> </w:t>
      </w:r>
      <w:r>
        <w:rPr>
          <w:color w:val="231F20"/>
          <w:w w:val="105"/>
        </w:rPr>
        <w:t>que</w:t>
      </w:r>
      <w:r>
        <w:rPr>
          <w:color w:val="231F20"/>
          <w:spacing w:val="31"/>
          <w:w w:val="105"/>
        </w:rPr>
        <w:t> </w:t>
      </w:r>
      <w:r>
        <w:rPr>
          <w:color w:val="231F20"/>
          <w:w w:val="105"/>
        </w:rPr>
        <w:t>duró</w:t>
      </w:r>
      <w:r>
        <w:rPr>
          <w:color w:val="231F20"/>
          <w:spacing w:val="31"/>
          <w:w w:val="105"/>
        </w:rPr>
        <w:t> </w:t>
      </w:r>
      <w:r>
        <w:rPr>
          <w:color w:val="231F20"/>
          <w:w w:val="105"/>
        </w:rPr>
        <w:t>hasta</w:t>
      </w:r>
      <w:r>
        <w:rPr>
          <w:color w:val="231F20"/>
          <w:spacing w:val="31"/>
          <w:w w:val="105"/>
        </w:rPr>
        <w:t> </w:t>
      </w:r>
      <w:r>
        <w:rPr>
          <w:color w:val="231F20"/>
          <w:w w:val="105"/>
        </w:rPr>
        <w:t>llegado</w:t>
      </w:r>
      <w:r>
        <w:rPr>
          <w:color w:val="231F20"/>
          <w:spacing w:val="31"/>
          <w:w w:val="105"/>
        </w:rPr>
        <w:t> </w:t>
      </w:r>
      <w:r>
        <w:rPr>
          <w:color w:val="231F20"/>
          <w:w w:val="105"/>
        </w:rPr>
        <w:t>el</w:t>
      </w:r>
    </w:p>
    <w:p>
      <w:pPr>
        <w:pStyle w:val="BodyText"/>
        <w:ind w:left="100"/>
        <w:jc w:val="both"/>
      </w:pPr>
      <w:r>
        <w:rPr>
          <w:color w:val="231F20"/>
          <w:w w:val="110"/>
        </w:rPr>
        <w:t>neoliberalismo en los años setenta.</w:t>
      </w:r>
    </w:p>
    <w:p>
      <w:pPr>
        <w:pStyle w:val="BodyText"/>
        <w:spacing w:line="261" w:lineRule="auto" w:before="20"/>
        <w:ind w:left="100" w:right="118" w:firstLine="240"/>
        <w:jc w:val="both"/>
      </w:pPr>
      <w:r>
        <w:rPr>
          <w:color w:val="231F20"/>
          <w:w w:val="105"/>
        </w:rPr>
        <w:t>Después —como resultado de las fuerzas económicas e ideológicas de</w:t>
      </w:r>
      <w:r>
        <w:rPr>
          <w:color w:val="231F20"/>
          <w:spacing w:val="32"/>
          <w:w w:val="105"/>
        </w:rPr>
        <w:t> </w:t>
      </w:r>
      <w:r>
        <w:rPr>
          <w:color w:val="231F20"/>
          <w:w w:val="105"/>
        </w:rPr>
        <w:t>la</w:t>
      </w:r>
      <w:r>
        <w:rPr>
          <w:color w:val="231F20"/>
          <w:spacing w:val="32"/>
          <w:w w:val="105"/>
        </w:rPr>
        <w:t> </w:t>
      </w:r>
      <w:r>
        <w:rPr>
          <w:color w:val="231F20"/>
          <w:w w:val="105"/>
        </w:rPr>
        <w:t>Escuela</w:t>
      </w:r>
      <w:r>
        <w:rPr>
          <w:color w:val="231F20"/>
          <w:spacing w:val="32"/>
          <w:w w:val="105"/>
        </w:rPr>
        <w:t> </w:t>
      </w:r>
      <w:r>
        <w:rPr>
          <w:color w:val="231F20"/>
          <w:w w:val="105"/>
        </w:rPr>
        <w:t>de</w:t>
      </w:r>
      <w:r>
        <w:rPr>
          <w:color w:val="231F20"/>
          <w:spacing w:val="32"/>
          <w:w w:val="105"/>
        </w:rPr>
        <w:t> </w:t>
      </w:r>
      <w:r>
        <w:rPr>
          <w:color w:val="231F20"/>
          <w:w w:val="105"/>
        </w:rPr>
        <w:t>Chicago—</w:t>
      </w:r>
      <w:r>
        <w:rPr>
          <w:color w:val="231F20"/>
          <w:spacing w:val="32"/>
          <w:w w:val="105"/>
        </w:rPr>
        <w:t> </w:t>
      </w:r>
      <w:r>
        <w:rPr>
          <w:color w:val="231F20"/>
          <w:w w:val="105"/>
        </w:rPr>
        <w:t>el</w:t>
      </w:r>
      <w:r>
        <w:rPr>
          <w:color w:val="231F20"/>
          <w:spacing w:val="32"/>
          <w:w w:val="105"/>
        </w:rPr>
        <w:t> </w:t>
      </w:r>
      <w:r>
        <w:rPr>
          <w:color w:val="231F20"/>
          <w:w w:val="105"/>
        </w:rPr>
        <w:t>país</w:t>
      </w:r>
      <w:r>
        <w:rPr>
          <w:color w:val="231F20"/>
          <w:spacing w:val="32"/>
          <w:w w:val="105"/>
        </w:rPr>
        <w:t> </w:t>
      </w:r>
      <w:r>
        <w:rPr>
          <w:color w:val="231F20"/>
          <w:w w:val="105"/>
        </w:rPr>
        <w:t>se</w:t>
      </w:r>
      <w:r>
        <w:rPr>
          <w:color w:val="231F20"/>
          <w:spacing w:val="32"/>
          <w:w w:val="105"/>
        </w:rPr>
        <w:t> </w:t>
      </w:r>
      <w:r>
        <w:rPr>
          <w:color w:val="231F20"/>
          <w:w w:val="105"/>
        </w:rPr>
        <w:t>entró</w:t>
      </w:r>
      <w:r>
        <w:rPr>
          <w:color w:val="231F20"/>
          <w:spacing w:val="32"/>
          <w:w w:val="105"/>
        </w:rPr>
        <w:t> </w:t>
      </w:r>
      <w:r>
        <w:rPr>
          <w:color w:val="231F20"/>
          <w:w w:val="105"/>
        </w:rPr>
        <w:t>en</w:t>
      </w:r>
      <w:r>
        <w:rPr>
          <w:color w:val="231F20"/>
          <w:spacing w:val="32"/>
          <w:w w:val="105"/>
        </w:rPr>
        <w:t> </w:t>
      </w:r>
      <w:r>
        <w:rPr>
          <w:color w:val="231F20"/>
          <w:w w:val="105"/>
        </w:rPr>
        <w:t>una</w:t>
      </w:r>
      <w:r>
        <w:rPr>
          <w:color w:val="231F20"/>
          <w:spacing w:val="32"/>
          <w:w w:val="105"/>
        </w:rPr>
        <w:t> </w:t>
      </w:r>
      <w:r>
        <w:rPr>
          <w:color w:val="231F20"/>
          <w:w w:val="105"/>
        </w:rPr>
        <w:t>nueva</w:t>
      </w:r>
      <w:r>
        <w:rPr>
          <w:color w:val="231F20"/>
          <w:spacing w:val="32"/>
          <w:w w:val="105"/>
        </w:rPr>
        <w:t> </w:t>
      </w:r>
      <w:r>
        <w:rPr>
          <w:color w:val="231F20"/>
          <w:w w:val="105"/>
        </w:rPr>
        <w:t>época</w:t>
      </w:r>
      <w:r>
        <w:rPr>
          <w:color w:val="231F20"/>
          <w:spacing w:val="32"/>
          <w:w w:val="105"/>
        </w:rPr>
        <w:t> </w:t>
      </w:r>
      <w:r>
        <w:rPr>
          <w:color w:val="231F20"/>
          <w:w w:val="105"/>
        </w:rPr>
        <w:t>de</w:t>
      </w:r>
      <w:r>
        <w:rPr>
          <w:color w:val="231F20"/>
          <w:w w:val="114"/>
        </w:rPr>
        <w:t> </w:t>
      </w:r>
      <w:r>
        <w:rPr>
          <w:color w:val="231F20"/>
          <w:w w:val="105"/>
        </w:rPr>
        <w:t>fisuras sociales y declinación para la población subyacente. En Esta- dos Unidos, una tierra definida por un credo, hasta cierto grado no expresado, de “individualismo tosco” y por formulaciones como la de darwinismo</w:t>
      </w:r>
      <w:r>
        <w:rPr>
          <w:color w:val="231F20"/>
          <w:spacing w:val="-21"/>
          <w:w w:val="105"/>
        </w:rPr>
        <w:t> </w:t>
      </w:r>
      <w:r>
        <w:rPr>
          <w:color w:val="231F20"/>
          <w:w w:val="105"/>
        </w:rPr>
        <w:t>social,</w:t>
      </w:r>
      <w:r>
        <w:rPr>
          <w:color w:val="231F20"/>
          <w:spacing w:val="-21"/>
          <w:w w:val="105"/>
        </w:rPr>
        <w:t> </w:t>
      </w:r>
      <w:r>
        <w:rPr>
          <w:color w:val="231F20"/>
          <w:w w:val="105"/>
        </w:rPr>
        <w:t>el</w:t>
      </w:r>
      <w:r>
        <w:rPr>
          <w:color w:val="231F20"/>
          <w:spacing w:val="-21"/>
          <w:w w:val="105"/>
        </w:rPr>
        <w:t> </w:t>
      </w:r>
      <w:r>
        <w:rPr>
          <w:i/>
          <w:color w:val="231F20"/>
          <w:w w:val="105"/>
        </w:rPr>
        <w:t>nuevo</w:t>
      </w:r>
      <w:r>
        <w:rPr>
          <w:i/>
          <w:color w:val="231F20"/>
          <w:spacing w:val="-21"/>
          <w:w w:val="105"/>
        </w:rPr>
        <w:t> </w:t>
      </w:r>
      <w:r>
        <w:rPr>
          <w:i/>
          <w:color w:val="231F20"/>
          <w:w w:val="105"/>
        </w:rPr>
        <w:t>trato</w:t>
      </w:r>
      <w:r>
        <w:rPr>
          <w:i/>
          <w:color w:val="231F20"/>
          <w:spacing w:val="-21"/>
          <w:w w:val="105"/>
        </w:rPr>
        <w:t> </w:t>
      </w:r>
      <w:r>
        <w:rPr>
          <w:color w:val="231F20"/>
          <w:w w:val="105"/>
        </w:rPr>
        <w:t>era</w:t>
      </w:r>
      <w:r>
        <w:rPr>
          <w:color w:val="231F20"/>
          <w:spacing w:val="-21"/>
          <w:w w:val="105"/>
        </w:rPr>
        <w:t> </w:t>
      </w:r>
      <w:r>
        <w:rPr>
          <w:i/>
          <w:color w:val="231F20"/>
          <w:w w:val="105"/>
        </w:rPr>
        <w:t>la</w:t>
      </w:r>
      <w:r>
        <w:rPr>
          <w:i/>
          <w:color w:val="231F20"/>
          <w:spacing w:val="-21"/>
          <w:w w:val="105"/>
        </w:rPr>
        <w:t> </w:t>
      </w:r>
      <w:r>
        <w:rPr>
          <w:i/>
          <w:color w:val="231F20"/>
          <w:w w:val="105"/>
        </w:rPr>
        <w:t>excepción</w:t>
      </w:r>
      <w:r>
        <w:rPr>
          <w:i/>
          <w:color w:val="231F20"/>
          <w:spacing w:val="-21"/>
          <w:w w:val="105"/>
        </w:rPr>
        <w:t> </w:t>
      </w:r>
      <w:r>
        <w:rPr>
          <w:i/>
          <w:color w:val="231F20"/>
          <w:w w:val="105"/>
        </w:rPr>
        <w:t>notable</w:t>
      </w:r>
      <w:r>
        <w:rPr>
          <w:i/>
          <w:color w:val="231F20"/>
          <w:spacing w:val="-21"/>
          <w:w w:val="105"/>
        </w:rPr>
        <w:t> </w:t>
      </w:r>
      <w:r>
        <w:rPr>
          <w:color w:val="231F20"/>
          <w:w w:val="105"/>
        </w:rPr>
        <w:t>(y</w:t>
      </w:r>
      <w:r>
        <w:rPr>
          <w:color w:val="231F20"/>
          <w:spacing w:val="-21"/>
          <w:w w:val="105"/>
        </w:rPr>
        <w:t> </w:t>
      </w:r>
      <w:r>
        <w:rPr>
          <w:color w:val="231F20"/>
          <w:w w:val="105"/>
        </w:rPr>
        <w:t>no</w:t>
      </w:r>
      <w:r>
        <w:rPr>
          <w:color w:val="231F20"/>
          <w:spacing w:val="-21"/>
          <w:w w:val="105"/>
        </w:rPr>
        <w:t> </w:t>
      </w:r>
      <w:r>
        <w:rPr>
          <w:color w:val="231F20"/>
          <w:w w:val="105"/>
        </w:rPr>
        <w:t>la</w:t>
      </w:r>
      <w:r>
        <w:rPr>
          <w:color w:val="231F20"/>
          <w:spacing w:val="-21"/>
          <w:w w:val="105"/>
        </w:rPr>
        <w:t> </w:t>
      </w:r>
      <w:r>
        <w:rPr>
          <w:color w:val="231F20"/>
          <w:w w:val="105"/>
        </w:rPr>
        <w:t>norma, o punto de partida, o de referencia) de una tendencia más larga y profunda</w:t>
      </w:r>
      <w:r>
        <w:rPr>
          <w:color w:val="231F20"/>
          <w:spacing w:val="34"/>
          <w:w w:val="105"/>
        </w:rPr>
        <w:t> </w:t>
      </w:r>
      <w:r>
        <w:rPr>
          <w:color w:val="231F20"/>
          <w:w w:val="105"/>
        </w:rPr>
        <w:t>de</w:t>
      </w:r>
      <w:r>
        <w:rPr>
          <w:color w:val="231F20"/>
          <w:spacing w:val="34"/>
          <w:w w:val="105"/>
        </w:rPr>
        <w:t> </w:t>
      </w:r>
      <w:r>
        <w:rPr>
          <w:color w:val="231F20"/>
          <w:w w:val="105"/>
        </w:rPr>
        <w:t>crecimiento</w:t>
      </w:r>
      <w:r>
        <w:rPr>
          <w:color w:val="231F20"/>
          <w:spacing w:val="34"/>
          <w:w w:val="105"/>
        </w:rPr>
        <w:t> </w:t>
      </w:r>
      <w:r>
        <w:rPr>
          <w:color w:val="231F20"/>
          <w:w w:val="105"/>
        </w:rPr>
        <w:t>exclusivo,</w:t>
      </w:r>
      <w:r>
        <w:rPr>
          <w:color w:val="231F20"/>
          <w:spacing w:val="34"/>
          <w:w w:val="105"/>
        </w:rPr>
        <w:t> </w:t>
      </w:r>
      <w:r>
        <w:rPr>
          <w:color w:val="231F20"/>
          <w:w w:val="105"/>
        </w:rPr>
        <w:t>conflictos</w:t>
      </w:r>
      <w:r>
        <w:rPr>
          <w:color w:val="231F20"/>
          <w:spacing w:val="34"/>
          <w:w w:val="105"/>
        </w:rPr>
        <w:t> </w:t>
      </w:r>
      <w:r>
        <w:rPr>
          <w:color w:val="231F20"/>
          <w:w w:val="105"/>
        </w:rPr>
        <w:t>sociales,</w:t>
      </w:r>
      <w:r>
        <w:rPr>
          <w:color w:val="231F20"/>
          <w:spacing w:val="34"/>
          <w:w w:val="105"/>
        </w:rPr>
        <w:t> </w:t>
      </w:r>
      <w:r>
        <w:rPr>
          <w:color w:val="231F20"/>
          <w:w w:val="105"/>
        </w:rPr>
        <w:t>militancia</w:t>
      </w:r>
      <w:r>
        <w:rPr>
          <w:color w:val="231F20"/>
          <w:spacing w:val="34"/>
          <w:w w:val="105"/>
        </w:rPr>
        <w:t> </w:t>
      </w:r>
      <w:r>
        <w:rPr>
          <w:color w:val="231F20"/>
          <w:w w:val="105"/>
        </w:rPr>
        <w:t>en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los</w:t>
      </w:r>
      <w:r>
        <w:rPr>
          <w:color w:val="231F20"/>
          <w:spacing w:val="-8"/>
          <w:w w:val="110"/>
        </w:rPr>
        <w:t> </w:t>
      </w:r>
      <w:r>
        <w:rPr>
          <w:color w:val="231F20"/>
          <w:w w:val="110"/>
        </w:rPr>
        <w:t>sindicatos</w:t>
      </w:r>
      <w:r>
        <w:rPr>
          <w:color w:val="231F20"/>
          <w:spacing w:val="-8"/>
          <w:w w:val="110"/>
        </w:rPr>
        <w:t> </w:t>
      </w:r>
      <w:r>
        <w:rPr>
          <w:color w:val="231F20"/>
          <w:w w:val="110"/>
        </w:rPr>
        <w:t>y</w:t>
      </w:r>
      <w:r>
        <w:rPr>
          <w:color w:val="231F20"/>
          <w:spacing w:val="-8"/>
          <w:w w:val="110"/>
        </w:rPr>
        <w:t> </w:t>
      </w:r>
      <w:r>
        <w:rPr>
          <w:color w:val="231F20"/>
          <w:w w:val="110"/>
        </w:rPr>
        <w:t>crisis</w:t>
      </w:r>
      <w:r>
        <w:rPr>
          <w:color w:val="231F20"/>
          <w:spacing w:val="-8"/>
          <w:w w:val="110"/>
        </w:rPr>
        <w:t> </w:t>
      </w:r>
      <w:r>
        <w:rPr>
          <w:color w:val="231F20"/>
          <w:w w:val="110"/>
        </w:rPr>
        <w:t>profundas.</w:t>
      </w:r>
      <w:r>
        <w:rPr>
          <w:color w:val="231F20"/>
          <w:spacing w:val="-8"/>
          <w:w w:val="110"/>
        </w:rPr>
        <w:t> </w:t>
      </w:r>
      <w:r>
        <w:rPr>
          <w:color w:val="231F20"/>
          <w:w w:val="110"/>
        </w:rPr>
        <w:t>Claro</w:t>
      </w:r>
      <w:r>
        <w:rPr>
          <w:color w:val="231F20"/>
          <w:spacing w:val="-8"/>
          <w:w w:val="110"/>
        </w:rPr>
        <w:t> </w:t>
      </w:r>
      <w:r>
        <w:rPr>
          <w:color w:val="231F20"/>
          <w:w w:val="110"/>
        </w:rPr>
        <w:t>que</w:t>
      </w:r>
      <w:r>
        <w:rPr>
          <w:color w:val="231F20"/>
          <w:spacing w:val="-8"/>
          <w:w w:val="110"/>
        </w:rPr>
        <w:t> </w:t>
      </w:r>
      <w:r>
        <w:rPr>
          <w:color w:val="231F20"/>
          <w:w w:val="110"/>
        </w:rPr>
        <w:t>esta</w:t>
      </w:r>
      <w:r>
        <w:rPr>
          <w:color w:val="231F20"/>
          <w:spacing w:val="-8"/>
          <w:w w:val="110"/>
        </w:rPr>
        <w:t> </w:t>
      </w:r>
      <w:r>
        <w:rPr>
          <w:color w:val="231F20"/>
          <w:w w:val="110"/>
        </w:rPr>
        <w:t>tendencia</w:t>
      </w:r>
      <w:r>
        <w:rPr>
          <w:color w:val="231F20"/>
          <w:spacing w:val="-8"/>
          <w:w w:val="110"/>
        </w:rPr>
        <w:t> </w:t>
      </w:r>
      <w:r>
        <w:rPr>
          <w:color w:val="231F20"/>
          <w:w w:val="110"/>
        </w:rPr>
        <w:t>de</w:t>
      </w:r>
      <w:r>
        <w:rPr>
          <w:color w:val="231F20"/>
          <w:spacing w:val="-8"/>
          <w:w w:val="110"/>
        </w:rPr>
        <w:t> </w:t>
      </w:r>
      <w:r>
        <w:rPr>
          <w:color w:val="231F20"/>
          <w:w w:val="110"/>
        </w:rPr>
        <w:t>largoal- cance no excluyó pagos de salarios relativamente altos (en relación con otros países capitalistas) como enfatizó Karl Kautsky en 1906, para que, como siempre en Estados Unidos, la clase obrera pudiera aprovechar la disponibilidad de tierras cultivables para retirarse del trabajo salarial. Por supuesto, esta válvula de escape se cerró en la gran</w:t>
      </w:r>
      <w:r>
        <w:rPr>
          <w:color w:val="231F20"/>
          <w:spacing w:val="-8"/>
          <w:w w:val="110"/>
        </w:rPr>
        <w:t> </w:t>
      </w:r>
      <w:r>
        <w:rPr>
          <w:color w:val="231F20"/>
          <w:w w:val="110"/>
        </w:rPr>
        <w:t>depresión,</w:t>
      </w:r>
      <w:r>
        <w:rPr>
          <w:color w:val="231F20"/>
          <w:spacing w:val="-8"/>
          <w:w w:val="110"/>
        </w:rPr>
        <w:t> </w:t>
      </w:r>
      <w:r>
        <w:rPr>
          <w:color w:val="231F20"/>
          <w:w w:val="110"/>
        </w:rPr>
        <w:t>pero</w:t>
      </w:r>
      <w:r>
        <w:rPr>
          <w:color w:val="231F20"/>
          <w:spacing w:val="-8"/>
          <w:w w:val="110"/>
        </w:rPr>
        <w:t> </w:t>
      </w:r>
      <w:r>
        <w:rPr>
          <w:color w:val="231F20"/>
          <w:w w:val="110"/>
        </w:rPr>
        <w:t>este</w:t>
      </w:r>
      <w:r>
        <w:rPr>
          <w:color w:val="231F20"/>
          <w:spacing w:val="-8"/>
          <w:w w:val="110"/>
        </w:rPr>
        <w:t> </w:t>
      </w:r>
      <w:r>
        <w:rPr>
          <w:color w:val="231F20"/>
          <w:w w:val="110"/>
        </w:rPr>
        <w:t>fue</w:t>
      </w:r>
      <w:r>
        <w:rPr>
          <w:color w:val="231F20"/>
          <w:spacing w:val="-8"/>
          <w:w w:val="110"/>
        </w:rPr>
        <w:t> </w:t>
      </w:r>
      <w:r>
        <w:rPr>
          <w:color w:val="231F20"/>
          <w:w w:val="110"/>
        </w:rPr>
        <w:t>el</w:t>
      </w:r>
      <w:r>
        <w:rPr>
          <w:color w:val="231F20"/>
          <w:spacing w:val="-8"/>
          <w:w w:val="110"/>
        </w:rPr>
        <w:t> </w:t>
      </w:r>
      <w:r>
        <w:rPr>
          <w:color w:val="231F20"/>
          <w:w w:val="110"/>
        </w:rPr>
        <w:t>momento</w:t>
      </w:r>
      <w:r>
        <w:rPr>
          <w:color w:val="231F20"/>
          <w:spacing w:val="-8"/>
          <w:w w:val="110"/>
        </w:rPr>
        <w:t> </w:t>
      </w:r>
      <w:r>
        <w:rPr>
          <w:color w:val="231F20"/>
          <w:w w:val="110"/>
        </w:rPr>
        <w:t>en</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válvula</w:t>
      </w:r>
      <w:r>
        <w:rPr>
          <w:color w:val="231F20"/>
          <w:spacing w:val="-8"/>
          <w:w w:val="110"/>
        </w:rPr>
        <w:t> </w:t>
      </w:r>
      <w:r>
        <w:rPr>
          <w:color w:val="231F20"/>
          <w:w w:val="110"/>
        </w:rPr>
        <w:t>de</w:t>
      </w:r>
      <w:r>
        <w:rPr>
          <w:color w:val="231F20"/>
          <w:spacing w:val="-8"/>
          <w:w w:val="110"/>
        </w:rPr>
        <w:t> </w:t>
      </w:r>
      <w:r>
        <w:rPr>
          <w:color w:val="231F20"/>
          <w:w w:val="110"/>
        </w:rPr>
        <w:t>escape keynesiano</w:t>
      </w:r>
      <w:r>
        <w:rPr>
          <w:color w:val="231F20"/>
          <w:spacing w:val="-14"/>
          <w:w w:val="110"/>
        </w:rPr>
        <w:t> </w:t>
      </w:r>
      <w:r>
        <w:rPr>
          <w:color w:val="231F20"/>
          <w:w w:val="110"/>
        </w:rPr>
        <w:t>se</w:t>
      </w:r>
      <w:r>
        <w:rPr>
          <w:color w:val="231F20"/>
          <w:spacing w:val="-14"/>
          <w:w w:val="110"/>
        </w:rPr>
        <w:t> </w:t>
      </w:r>
      <w:r>
        <w:rPr>
          <w:color w:val="231F20"/>
          <w:w w:val="110"/>
        </w:rPr>
        <w:t>abrió.</w:t>
      </w:r>
      <w:r>
        <w:rPr>
          <w:color w:val="231F20"/>
          <w:spacing w:val="-14"/>
          <w:w w:val="110"/>
        </w:rPr>
        <w:t> </w:t>
      </w:r>
      <w:r>
        <w:rPr>
          <w:color w:val="231F20"/>
          <w:w w:val="110"/>
        </w:rPr>
        <w:t>Otra</w:t>
      </w:r>
      <w:r>
        <w:rPr>
          <w:color w:val="231F20"/>
          <w:spacing w:val="-14"/>
          <w:w w:val="110"/>
        </w:rPr>
        <w:t> </w:t>
      </w:r>
      <w:r>
        <w:rPr>
          <w:color w:val="231F20"/>
          <w:w w:val="110"/>
        </w:rPr>
        <w:t>vez,</w:t>
      </w:r>
      <w:r>
        <w:rPr>
          <w:color w:val="231F20"/>
          <w:spacing w:val="-14"/>
          <w:w w:val="110"/>
        </w:rPr>
        <w:t> </w:t>
      </w:r>
      <w:r>
        <w:rPr>
          <w:color w:val="231F20"/>
          <w:w w:val="110"/>
        </w:rPr>
        <w:t>desde</w:t>
      </w:r>
      <w:r>
        <w:rPr>
          <w:color w:val="231F20"/>
          <w:spacing w:val="-14"/>
          <w:w w:val="110"/>
        </w:rPr>
        <w:t> </w:t>
      </w:r>
      <w:r>
        <w:rPr>
          <w:color w:val="231F20"/>
          <w:w w:val="110"/>
        </w:rPr>
        <w:t>1973</w:t>
      </w:r>
      <w:r>
        <w:rPr>
          <w:color w:val="231F20"/>
          <w:spacing w:val="-14"/>
          <w:w w:val="110"/>
        </w:rPr>
        <w:t> </w:t>
      </w:r>
      <w:r>
        <w:rPr>
          <w:color w:val="231F20"/>
          <w:w w:val="110"/>
        </w:rPr>
        <w:t>el</w:t>
      </w:r>
      <w:r>
        <w:rPr>
          <w:color w:val="231F20"/>
          <w:spacing w:val="-14"/>
          <w:w w:val="110"/>
        </w:rPr>
        <w:t> </w:t>
      </w:r>
      <w:r>
        <w:rPr>
          <w:color w:val="231F20"/>
          <w:w w:val="110"/>
        </w:rPr>
        <w:t>sistema</w:t>
      </w:r>
      <w:r>
        <w:rPr>
          <w:color w:val="231F20"/>
          <w:spacing w:val="-14"/>
          <w:w w:val="110"/>
        </w:rPr>
        <w:t> </w:t>
      </w:r>
      <w:r>
        <w:rPr>
          <w:color w:val="231F20"/>
          <w:w w:val="110"/>
        </w:rPr>
        <w:t>socioeconómico estadunidense ha consolidado crecientemente, en términos amplios, sus raíces en el darwinismo</w:t>
      </w:r>
      <w:r>
        <w:rPr>
          <w:color w:val="231F20"/>
          <w:spacing w:val="-34"/>
          <w:w w:val="110"/>
        </w:rPr>
        <w:t> </w:t>
      </w:r>
      <w:r>
        <w:rPr>
          <w:color w:val="231F20"/>
          <w:w w:val="110"/>
        </w:rPr>
        <w:t>social.</w:t>
      </w:r>
    </w:p>
    <w:p>
      <w:pPr>
        <w:pStyle w:val="BodyText"/>
        <w:spacing w:line="261" w:lineRule="auto"/>
        <w:ind w:left="100" w:right="115" w:firstLine="240"/>
        <w:jc w:val="both"/>
      </w:pPr>
      <w:r>
        <w:rPr>
          <w:color w:val="231F20"/>
          <w:w w:val="110"/>
        </w:rPr>
        <w:t>En el siglo xix, y de hecho aproximadamente hasta el fin de la </w:t>
      </w:r>
      <w:r>
        <w:rPr>
          <w:i/>
          <w:color w:val="231F20"/>
          <w:w w:val="110"/>
        </w:rPr>
        <w:t>edad del oro </w:t>
      </w:r>
      <w:r>
        <w:rPr>
          <w:color w:val="231F20"/>
          <w:w w:val="110"/>
        </w:rPr>
        <w:t>(o pocos años después), la militancia laboral era</w:t>
      </w:r>
      <w:r>
        <w:rPr>
          <w:color w:val="231F20"/>
          <w:spacing w:val="-18"/>
          <w:w w:val="110"/>
        </w:rPr>
        <w:t> </w:t>
      </w:r>
      <w:r>
        <w:rPr>
          <w:color w:val="231F20"/>
          <w:w w:val="110"/>
        </w:rPr>
        <w:t>puesta en entredicho y la solidaridad fue apagada por los altos niveles de inmigración laboral. Antes, tales tendencias no fueron exacerbadas por</w:t>
      </w:r>
      <w:r>
        <w:rPr>
          <w:color w:val="231F20"/>
          <w:spacing w:val="-8"/>
          <w:w w:val="110"/>
        </w:rPr>
        <w:t> </w:t>
      </w:r>
      <w:r>
        <w:rPr>
          <w:color w:val="231F20"/>
          <w:w w:val="110"/>
        </w:rPr>
        <w:t>la</w:t>
      </w:r>
      <w:r>
        <w:rPr>
          <w:color w:val="231F20"/>
          <w:spacing w:val="-8"/>
          <w:w w:val="110"/>
        </w:rPr>
        <w:t> </w:t>
      </w:r>
      <w:r>
        <w:rPr>
          <w:color w:val="231F20"/>
          <w:w w:val="110"/>
        </w:rPr>
        <w:t>amenaza</w:t>
      </w:r>
      <w:r>
        <w:rPr>
          <w:color w:val="231F20"/>
          <w:spacing w:val="-8"/>
          <w:w w:val="110"/>
        </w:rPr>
        <w:t> </w:t>
      </w:r>
      <w:r>
        <w:rPr>
          <w:color w:val="231F20"/>
          <w:w w:val="110"/>
        </w:rPr>
        <w:t>o</w:t>
      </w:r>
      <w:r>
        <w:rPr>
          <w:color w:val="231F20"/>
          <w:spacing w:val="-8"/>
          <w:w w:val="110"/>
        </w:rPr>
        <w:t> </w:t>
      </w:r>
      <w:r>
        <w:rPr>
          <w:color w:val="231F20"/>
          <w:w w:val="110"/>
        </w:rPr>
        <w:t>la</w:t>
      </w:r>
      <w:r>
        <w:rPr>
          <w:color w:val="231F20"/>
          <w:spacing w:val="-8"/>
          <w:w w:val="110"/>
        </w:rPr>
        <w:t> </w:t>
      </w:r>
      <w:r>
        <w:rPr>
          <w:color w:val="231F20"/>
          <w:w w:val="110"/>
        </w:rPr>
        <w:t>realidad</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exportación</w:t>
      </w:r>
      <w:r>
        <w:rPr>
          <w:color w:val="231F20"/>
          <w:spacing w:val="-8"/>
          <w:w w:val="110"/>
        </w:rPr>
        <w:t> </w:t>
      </w:r>
      <w:r>
        <w:rPr>
          <w:color w:val="231F20"/>
          <w:w w:val="110"/>
        </w:rPr>
        <w:t>del</w:t>
      </w:r>
      <w:r>
        <w:rPr>
          <w:color w:val="231F20"/>
          <w:spacing w:val="-8"/>
          <w:w w:val="110"/>
        </w:rPr>
        <w:t> </w:t>
      </w:r>
      <w:r>
        <w:rPr>
          <w:color w:val="231F20"/>
          <w:w w:val="110"/>
        </w:rPr>
        <w:t>capital</w:t>
      </w:r>
      <w:r>
        <w:rPr>
          <w:color w:val="231F20"/>
          <w:spacing w:val="-8"/>
          <w:w w:val="110"/>
        </w:rPr>
        <w:t> </w:t>
      </w:r>
      <w:r>
        <w:rPr>
          <w:color w:val="231F20"/>
          <w:w w:val="110"/>
        </w:rPr>
        <w:t>hasta</w:t>
      </w:r>
      <w:r>
        <w:rPr>
          <w:color w:val="231F20"/>
          <w:spacing w:val="-8"/>
          <w:w w:val="110"/>
        </w:rPr>
        <w:t> </w:t>
      </w:r>
      <w:r>
        <w:rPr>
          <w:color w:val="231F20"/>
          <w:w w:val="110"/>
        </w:rPr>
        <w:t>paraí- sos de mano de obra barata. Pero, a partir de los años ochenta, si no es que poco antes, y crecientemente en los noventa, la inmigración en aumento fue complementada por la amenaza (frecuentemente realizada) de sacar el capital productivo del país para moverlo a México, Asia u otro </w:t>
      </w:r>
      <w:r>
        <w:rPr>
          <w:color w:val="231F20"/>
          <w:spacing w:val="-3"/>
          <w:w w:val="110"/>
        </w:rPr>
        <w:t>lugar. </w:t>
      </w:r>
      <w:r>
        <w:rPr>
          <w:color w:val="231F20"/>
          <w:spacing w:val="-5"/>
          <w:w w:val="110"/>
        </w:rPr>
        <w:t>Todo </w:t>
      </w:r>
      <w:r>
        <w:rPr>
          <w:color w:val="231F20"/>
          <w:w w:val="110"/>
        </w:rPr>
        <w:t>eso se sirvió para destruir el poder laboral de la producción </w:t>
      </w:r>
      <w:r>
        <w:rPr>
          <w:color w:val="231F20"/>
          <w:spacing w:val="-8"/>
          <w:w w:val="110"/>
        </w:rPr>
        <w:t>y, </w:t>
      </w:r>
      <w:r>
        <w:rPr>
          <w:color w:val="231F20"/>
          <w:w w:val="110"/>
        </w:rPr>
        <w:t>más importante, el sentido de solidari- dad. En lugar de acción colectiva, los obreros estadunidenses</w:t>
      </w:r>
      <w:r>
        <w:rPr>
          <w:color w:val="231F20"/>
          <w:spacing w:val="-8"/>
          <w:w w:val="110"/>
        </w:rPr>
        <w:t> </w:t>
      </w:r>
      <w:r>
        <w:rPr>
          <w:color w:val="231F20"/>
          <w:w w:val="110"/>
        </w:rPr>
        <w:t>fueron promovidos (por una variedad de fuerzas sociales) al transformarlos en</w:t>
      </w:r>
      <w:r>
        <w:rPr>
          <w:color w:val="231F20"/>
          <w:spacing w:val="-5"/>
          <w:w w:val="110"/>
        </w:rPr>
        <w:t> </w:t>
      </w:r>
      <w:r>
        <w:rPr>
          <w:color w:val="231F20"/>
          <w:w w:val="110"/>
        </w:rPr>
        <w:t>“consultores”</w:t>
      </w:r>
      <w:r>
        <w:rPr>
          <w:color w:val="231F20"/>
          <w:spacing w:val="-5"/>
          <w:w w:val="110"/>
        </w:rPr>
        <w:t> </w:t>
      </w:r>
      <w:r>
        <w:rPr>
          <w:color w:val="231F20"/>
          <w:w w:val="110"/>
        </w:rPr>
        <w:t>y</w:t>
      </w:r>
      <w:r>
        <w:rPr>
          <w:color w:val="231F20"/>
          <w:spacing w:val="-5"/>
          <w:w w:val="110"/>
        </w:rPr>
        <w:t> </w:t>
      </w:r>
      <w:r>
        <w:rPr>
          <w:color w:val="231F20"/>
          <w:w w:val="110"/>
        </w:rPr>
        <w:t>“obreros</w:t>
      </w:r>
      <w:r>
        <w:rPr>
          <w:color w:val="231F20"/>
          <w:spacing w:val="-5"/>
          <w:w w:val="110"/>
        </w:rPr>
        <w:t> </w:t>
      </w:r>
      <w:r>
        <w:rPr>
          <w:color w:val="231F20"/>
          <w:w w:val="110"/>
        </w:rPr>
        <w:t>móviles”</w:t>
      </w:r>
      <w:r>
        <w:rPr>
          <w:color w:val="231F20"/>
          <w:spacing w:val="-5"/>
          <w:w w:val="110"/>
        </w:rPr>
        <w:t> </w:t>
      </w:r>
      <w:r>
        <w:rPr>
          <w:color w:val="231F20"/>
          <w:w w:val="110"/>
        </w:rPr>
        <w:t>o</w:t>
      </w:r>
      <w:r>
        <w:rPr>
          <w:color w:val="231F20"/>
          <w:spacing w:val="-5"/>
          <w:w w:val="110"/>
        </w:rPr>
        <w:t> </w:t>
      </w:r>
      <w:r>
        <w:rPr>
          <w:color w:val="231F20"/>
          <w:w w:val="110"/>
        </w:rPr>
        <w:t>“ágiles”.</w:t>
      </w:r>
      <w:r>
        <w:rPr>
          <w:color w:val="231F20"/>
          <w:spacing w:val="-5"/>
          <w:w w:val="110"/>
        </w:rPr>
        <w:t> </w:t>
      </w:r>
      <w:r>
        <w:rPr>
          <w:color w:val="231F20"/>
          <w:w w:val="110"/>
        </w:rPr>
        <w:t>Ahora</w:t>
      </w:r>
      <w:r>
        <w:rPr>
          <w:color w:val="231F20"/>
          <w:spacing w:val="-5"/>
          <w:w w:val="110"/>
        </w:rPr>
        <w:t> </w:t>
      </w:r>
      <w:r>
        <w:rPr>
          <w:color w:val="231F20"/>
          <w:w w:val="110"/>
        </w:rPr>
        <w:t>no</w:t>
      </w:r>
      <w:r>
        <w:rPr>
          <w:color w:val="231F20"/>
          <w:spacing w:val="-5"/>
          <w:w w:val="110"/>
        </w:rPr>
        <w:t> </w:t>
      </w:r>
      <w:r>
        <w:rPr>
          <w:color w:val="231F20"/>
          <w:w w:val="110"/>
        </w:rPr>
        <w:t>tienen</w:t>
      </w:r>
      <w:r>
        <w:rPr>
          <w:color w:val="231F20"/>
          <w:spacing w:val="-5"/>
          <w:w w:val="110"/>
        </w:rPr>
        <w:t> </w:t>
      </w:r>
      <w:r>
        <w:rPr>
          <w:color w:val="231F20"/>
          <w:w w:val="110"/>
        </w:rPr>
        <w:t>las empresas</w:t>
      </w:r>
      <w:r>
        <w:rPr>
          <w:color w:val="231F20"/>
          <w:spacing w:val="-12"/>
          <w:w w:val="110"/>
        </w:rPr>
        <w:t> </w:t>
      </w:r>
      <w:r>
        <w:rPr>
          <w:color w:val="231F20"/>
          <w:w w:val="110"/>
        </w:rPr>
        <w:t>un</w:t>
      </w:r>
      <w:r>
        <w:rPr>
          <w:color w:val="231F20"/>
          <w:spacing w:val="-12"/>
          <w:w w:val="110"/>
        </w:rPr>
        <w:t> </w:t>
      </w:r>
      <w:r>
        <w:rPr>
          <w:color w:val="231F20"/>
          <w:w w:val="110"/>
        </w:rPr>
        <w:t>compromiso</w:t>
      </w:r>
      <w:r>
        <w:rPr>
          <w:color w:val="231F20"/>
          <w:spacing w:val="-12"/>
          <w:w w:val="110"/>
        </w:rPr>
        <w:t> </w:t>
      </w:r>
      <w:r>
        <w:rPr>
          <w:color w:val="231F20"/>
          <w:w w:val="110"/>
        </w:rPr>
        <w:t>hacia</w:t>
      </w:r>
      <w:r>
        <w:rPr>
          <w:color w:val="231F20"/>
          <w:spacing w:val="-12"/>
          <w:w w:val="110"/>
        </w:rPr>
        <w:t> </w:t>
      </w:r>
      <w:r>
        <w:rPr>
          <w:color w:val="231F20"/>
          <w:w w:val="110"/>
        </w:rPr>
        <w:t>sus</w:t>
      </w:r>
      <w:r>
        <w:rPr>
          <w:color w:val="231F20"/>
          <w:spacing w:val="-12"/>
          <w:w w:val="110"/>
        </w:rPr>
        <w:t> </w:t>
      </w:r>
      <w:r>
        <w:rPr>
          <w:color w:val="231F20"/>
          <w:w w:val="110"/>
        </w:rPr>
        <w:t>empleados</w:t>
      </w:r>
      <w:r>
        <w:rPr>
          <w:color w:val="231F20"/>
          <w:spacing w:val="-12"/>
          <w:w w:val="110"/>
        </w:rPr>
        <w:t> </w:t>
      </w:r>
      <w:r>
        <w:rPr>
          <w:color w:val="231F20"/>
          <w:w w:val="110"/>
        </w:rPr>
        <w:t>y</w:t>
      </w:r>
      <w:r>
        <w:rPr>
          <w:color w:val="231F20"/>
          <w:spacing w:val="-12"/>
          <w:w w:val="110"/>
        </w:rPr>
        <w:t> </w:t>
      </w:r>
      <w:r>
        <w:rPr>
          <w:color w:val="231F20"/>
          <w:w w:val="110"/>
        </w:rPr>
        <w:t>tampoco</w:t>
      </w:r>
      <w:r>
        <w:rPr>
          <w:color w:val="231F20"/>
          <w:spacing w:val="-12"/>
          <w:w w:val="110"/>
        </w:rPr>
        <w:t> </w:t>
      </w:r>
      <w:r>
        <w:rPr>
          <w:color w:val="231F20"/>
          <w:w w:val="110"/>
        </w:rPr>
        <w:t>los</w:t>
      </w:r>
      <w:r>
        <w:rPr>
          <w:color w:val="231F20"/>
          <w:spacing w:val="-12"/>
          <w:w w:val="110"/>
        </w:rPr>
        <w:t> </w:t>
      </w:r>
      <w:r>
        <w:rPr>
          <w:color w:val="231F20"/>
          <w:w w:val="110"/>
        </w:rPr>
        <w:t>obreros hacia las</w:t>
      </w:r>
      <w:r>
        <w:rPr>
          <w:color w:val="231F20"/>
          <w:spacing w:val="-18"/>
          <w:w w:val="110"/>
        </w:rPr>
        <w:t> </w:t>
      </w:r>
      <w:r>
        <w:rPr>
          <w:color w:val="231F20"/>
          <w:w w:val="110"/>
        </w:rPr>
        <w:t>empresas.</w:t>
      </w:r>
    </w:p>
    <w:p>
      <w:pPr>
        <w:pStyle w:val="BodyText"/>
        <w:spacing w:line="261" w:lineRule="auto"/>
        <w:ind w:left="100" w:right="117" w:firstLine="240"/>
        <w:jc w:val="both"/>
      </w:pPr>
      <w:r>
        <w:rPr>
          <w:color w:val="231F20"/>
          <w:w w:val="110"/>
        </w:rPr>
        <w:t>A nivel político, una nueva estructura institucional emergió en el sistema legal y por medio de prácticas corporativas que han servido para dejar a un lado a los sindicatos y diezmar el poder sindical (so- bre</w:t>
      </w:r>
      <w:r>
        <w:rPr>
          <w:color w:val="231F20"/>
          <w:spacing w:val="-9"/>
          <w:w w:val="110"/>
        </w:rPr>
        <w:t> </w:t>
      </w:r>
      <w:r>
        <w:rPr>
          <w:color w:val="231F20"/>
          <w:w w:val="110"/>
        </w:rPr>
        <w:t>todo</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nuevas</w:t>
      </w:r>
      <w:r>
        <w:rPr>
          <w:color w:val="231F20"/>
          <w:spacing w:val="-9"/>
          <w:w w:val="110"/>
        </w:rPr>
        <w:t> </w:t>
      </w:r>
      <w:r>
        <w:rPr>
          <w:color w:val="231F20"/>
          <w:w w:val="110"/>
        </w:rPr>
        <w:t>industrias</w:t>
      </w:r>
      <w:r>
        <w:rPr>
          <w:color w:val="231F20"/>
          <w:spacing w:val="-9"/>
          <w:w w:val="110"/>
        </w:rPr>
        <w:t> </w:t>
      </w:r>
      <w:r>
        <w:rPr>
          <w:color w:val="231F20"/>
          <w:w w:val="110"/>
        </w:rPr>
        <w:t>de</w:t>
      </w:r>
      <w:r>
        <w:rPr>
          <w:color w:val="231F20"/>
          <w:spacing w:val="-9"/>
          <w:w w:val="110"/>
        </w:rPr>
        <w:t> </w:t>
      </w:r>
      <w:r>
        <w:rPr>
          <w:color w:val="231F20"/>
          <w:w w:val="110"/>
        </w:rPr>
        <w:t>comunicaciones</w:t>
      </w:r>
      <w:r>
        <w:rPr>
          <w:color w:val="231F20"/>
          <w:spacing w:val="-9"/>
          <w:w w:val="110"/>
        </w:rPr>
        <w:t> </w:t>
      </w:r>
      <w:r>
        <w:rPr>
          <w:color w:val="231F20"/>
          <w:w w:val="110"/>
        </w:rPr>
        <w:t>y</w:t>
      </w:r>
      <w:r>
        <w:rPr>
          <w:color w:val="231F20"/>
          <w:spacing w:val="-9"/>
          <w:w w:val="110"/>
        </w:rPr>
        <w:t> </w:t>
      </w:r>
      <w:r>
        <w:rPr>
          <w:color w:val="231F20"/>
          <w:w w:val="110"/>
        </w:rPr>
        <w:t>tecnologías</w:t>
      </w:r>
      <w:r>
        <w:rPr>
          <w:color w:val="231F20"/>
          <w:spacing w:val="-9"/>
          <w:w w:val="110"/>
        </w:rPr>
        <w:t> </w:t>
      </w:r>
      <w:r>
        <w:rPr>
          <w:color w:val="231F20"/>
          <w:w w:val="110"/>
        </w:rPr>
        <w:t>de información). Además, hay empresas consultivas que han</w:t>
      </w:r>
      <w:r>
        <w:rPr>
          <w:color w:val="231F20"/>
          <w:spacing w:val="-33"/>
          <w:w w:val="110"/>
        </w:rPr>
        <w:t> </w:t>
      </w:r>
      <w:r>
        <w:rPr>
          <w:color w:val="231F20"/>
          <w:w w:val="110"/>
        </w:rPr>
        <w:t>concebido tácticas para minar intentos de reconstruir la solidaridad laboral.</w:t>
      </w:r>
      <w:r>
        <w:rPr>
          <w:color w:val="231F20"/>
          <w:spacing w:val="-31"/>
          <w:w w:val="110"/>
        </w:rPr>
        <w:t> </w:t>
      </w:r>
      <w:r>
        <w:rPr>
          <w:color w:val="231F20"/>
          <w:w w:val="110"/>
        </w:rPr>
        <w:t>Las batallas legales han proliferado para bloquear las iniciativas labora- les. Mientras tanto, el </w:t>
      </w:r>
      <w:r>
        <w:rPr>
          <w:i/>
          <w:color w:val="231F20"/>
          <w:w w:val="110"/>
        </w:rPr>
        <w:t>offshoring </w:t>
      </w:r>
      <w:r>
        <w:rPr>
          <w:color w:val="231F20"/>
          <w:w w:val="110"/>
        </w:rPr>
        <w:t>y </w:t>
      </w:r>
      <w:r>
        <w:rPr>
          <w:i/>
          <w:color w:val="231F20"/>
          <w:w w:val="110"/>
        </w:rPr>
        <w:t>outsourcing </w:t>
      </w:r>
      <w:r>
        <w:rPr>
          <w:color w:val="231F20"/>
          <w:w w:val="110"/>
        </w:rPr>
        <w:t>(subcontratación</w:t>
      </w:r>
      <w:r>
        <w:rPr>
          <w:color w:val="231F20"/>
          <w:spacing w:val="-26"/>
          <w:w w:val="110"/>
        </w:rPr>
        <w:t> </w:t>
      </w:r>
      <w:r>
        <w:rPr>
          <w:color w:val="231F20"/>
          <w:w w:val="110"/>
        </w:rPr>
        <w:t>con obreros del sector cuasiinformal) han debilitado el poder </w:t>
      </w:r>
      <w:r>
        <w:rPr>
          <w:color w:val="231F20"/>
          <w:spacing w:val="43"/>
          <w:w w:val="110"/>
        </w:rPr>
        <w:t> </w:t>
      </w:r>
      <w:r>
        <w:rPr>
          <w:color w:val="231F20"/>
          <w:w w:val="110"/>
        </w:rPr>
        <w:t>sindical.</w:t>
      </w:r>
    </w:p>
    <w:p>
      <w:pPr>
        <w:pStyle w:val="BodyText"/>
        <w:spacing w:line="261" w:lineRule="auto"/>
        <w:ind w:left="100" w:right="115" w:firstLine="240"/>
        <w:jc w:val="both"/>
      </w:pPr>
      <w:r>
        <w:rPr>
          <w:color w:val="231F20"/>
          <w:w w:val="110"/>
        </w:rPr>
        <w:t>Hasta 2009, el último clavo en el ataúd parece ser martillado </w:t>
      </w:r>
      <w:r>
        <w:rPr>
          <w:color w:val="231F20"/>
          <w:spacing w:val="2"/>
          <w:w w:val="110"/>
        </w:rPr>
        <w:t>por </w:t>
      </w:r>
      <w:r>
        <w:rPr>
          <w:color w:val="231F20"/>
          <w:w w:val="110"/>
        </w:rPr>
        <w:t>lo que en otro tiempo era conocido como el “movimiento laboral </w:t>
      </w:r>
      <w:r>
        <w:rPr>
          <w:color w:val="231F20"/>
          <w:spacing w:val="3"/>
          <w:w w:val="110"/>
        </w:rPr>
        <w:t>estadunidense” cuando </w:t>
      </w:r>
      <w:r>
        <w:rPr>
          <w:color w:val="231F20"/>
          <w:w w:val="110"/>
        </w:rPr>
        <w:t>el  </w:t>
      </w:r>
      <w:r>
        <w:rPr>
          <w:color w:val="231F20"/>
          <w:spacing w:val="2"/>
          <w:w w:val="110"/>
        </w:rPr>
        <w:t>que </w:t>
      </w:r>
      <w:r>
        <w:rPr>
          <w:color w:val="231F20"/>
          <w:spacing w:val="3"/>
          <w:w w:val="110"/>
        </w:rPr>
        <w:t>hasta entonces </w:t>
      </w:r>
      <w:r>
        <w:rPr>
          <w:color w:val="231F20"/>
          <w:w w:val="110"/>
        </w:rPr>
        <w:t>el  </w:t>
      </w:r>
      <w:r>
        <w:rPr>
          <w:color w:val="231F20"/>
          <w:spacing w:val="2"/>
          <w:w w:val="110"/>
        </w:rPr>
        <w:t>más </w:t>
      </w:r>
      <w:r>
        <w:rPr>
          <w:color w:val="231F20"/>
          <w:spacing w:val="3"/>
          <w:w w:val="110"/>
        </w:rPr>
        <w:t>fuerte </w:t>
      </w:r>
      <w:r>
        <w:rPr>
          <w:color w:val="231F20"/>
          <w:spacing w:val="4"/>
          <w:w w:val="110"/>
        </w:rPr>
        <w:t>de   </w:t>
      </w:r>
      <w:r>
        <w:rPr>
          <w:color w:val="231F20"/>
          <w:w w:val="110"/>
        </w:rPr>
        <w:t>los sindicatos —el </w:t>
      </w:r>
      <w:r>
        <w:rPr>
          <w:i/>
          <w:color w:val="231F20"/>
          <w:w w:val="110"/>
        </w:rPr>
        <w:t>United Auto Worke</w:t>
      </w:r>
      <w:r>
        <w:rPr>
          <w:color w:val="231F20"/>
          <w:w w:val="110"/>
        </w:rPr>
        <w:t>rs— fue forzado a </w:t>
      </w:r>
      <w:r>
        <w:rPr>
          <w:color w:val="231F20"/>
          <w:spacing w:val="2"/>
          <w:w w:val="110"/>
        </w:rPr>
        <w:t> </w:t>
      </w:r>
      <w:r>
        <w:rPr>
          <w:color w:val="231F20"/>
          <w:w w:val="110"/>
        </w:rPr>
        <w:t>abandonar</w:t>
      </w:r>
    </w:p>
    <w:p>
      <w:pPr>
        <w:spacing w:after="0" w:line="261" w:lineRule="auto"/>
        <w:jc w:val="both"/>
        <w:sectPr>
          <w:headerReference w:type="even" r:id="rId251"/>
          <w:headerReference w:type="default" r:id="rId252"/>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muchos beneficios ya establecidos, a aceptar un sistema de salarios de primera y segunda clase (encerrando permanentemente a </w:t>
      </w:r>
      <w:r>
        <w:rPr>
          <w:color w:val="231F20"/>
          <w:spacing w:val="2"/>
          <w:w w:val="110"/>
        </w:rPr>
        <w:t>los </w:t>
      </w:r>
      <w:r>
        <w:rPr>
          <w:color w:val="231F20"/>
          <w:w w:val="110"/>
        </w:rPr>
        <w:t>obreros jóvenes en puestos con bajos salarios) mientras que </w:t>
      </w:r>
      <w:r>
        <w:rPr>
          <w:color w:val="231F20"/>
          <w:spacing w:val="2"/>
          <w:w w:val="110"/>
        </w:rPr>
        <w:t>los</w:t>
      </w:r>
      <w:r>
        <w:rPr>
          <w:color w:val="231F20"/>
          <w:spacing w:val="59"/>
          <w:w w:val="110"/>
        </w:rPr>
        <w:t> </w:t>
      </w:r>
      <w:r>
        <w:rPr>
          <w:color w:val="231F20"/>
          <w:w w:val="110"/>
        </w:rPr>
        <w:t>despidos masivos se incrementan y se reduce a este sindicato a </w:t>
      </w:r>
      <w:r>
        <w:rPr>
          <w:color w:val="231F20"/>
          <w:spacing w:val="2"/>
          <w:w w:val="110"/>
        </w:rPr>
        <w:t>una </w:t>
      </w:r>
      <w:r>
        <w:rPr>
          <w:color w:val="231F20"/>
          <w:w w:val="110"/>
        </w:rPr>
        <w:t>mera sombra de lo que antes fue. En 2009 este sindicato perdió 76 000 de sus miembros.</w:t>
      </w:r>
    </w:p>
    <w:p>
      <w:pPr>
        <w:pStyle w:val="BodyText"/>
        <w:spacing w:line="261" w:lineRule="auto"/>
        <w:ind w:left="100" w:right="117" w:firstLine="240"/>
        <w:jc w:val="both"/>
      </w:pPr>
      <w:r>
        <w:rPr>
          <w:color w:val="231F20"/>
          <w:w w:val="105"/>
        </w:rPr>
        <w:t>El sello de la </w:t>
      </w:r>
      <w:r>
        <w:rPr>
          <w:i/>
          <w:color w:val="231F20"/>
          <w:w w:val="105"/>
        </w:rPr>
        <w:t>edad del oro </w:t>
      </w:r>
      <w:r>
        <w:rPr>
          <w:color w:val="231F20"/>
          <w:w w:val="105"/>
        </w:rPr>
        <w:t>era el crecimiento relativamente alto de  la productividad laboral —como resultado de mejorías por la intro- ducción de innovaciones de procesos y organizativos—. La </w:t>
      </w:r>
      <w:r>
        <w:rPr>
          <w:i/>
          <w:color w:val="231F20"/>
          <w:w w:val="105"/>
        </w:rPr>
        <w:t>economía </w:t>
      </w:r>
      <w:r>
        <w:rPr>
          <w:i/>
          <w:color w:val="231F20"/>
          <w:w w:val="105"/>
        </w:rPr>
        <w:t>tripartita </w:t>
      </w:r>
      <w:r>
        <w:rPr>
          <w:color w:val="231F20"/>
          <w:w w:val="105"/>
        </w:rPr>
        <w:t>es marcada a veces por tendencias fuertes y a veces indife- rentes en la productividad, mientras que los salarios para obreros no supervisores quedan estancados o en declinación (gráfica 1). Esto es algo que nunca antes se había dado en toda la historia de Estados Unidos. La contradicción más grande es la incapacidad de abordar       la cuestión de la reproducción social y la incapacidad de llegar a resolver</w:t>
      </w:r>
      <w:r>
        <w:rPr>
          <w:color w:val="231F20"/>
          <w:spacing w:val="31"/>
          <w:w w:val="105"/>
        </w:rPr>
        <w:t> </w:t>
      </w:r>
      <w:r>
        <w:rPr>
          <w:color w:val="231F20"/>
          <w:w w:val="105"/>
        </w:rPr>
        <w:t>este</w:t>
      </w:r>
      <w:r>
        <w:rPr>
          <w:color w:val="231F20"/>
          <w:spacing w:val="31"/>
          <w:w w:val="105"/>
        </w:rPr>
        <w:t> </w:t>
      </w:r>
      <w:r>
        <w:rPr>
          <w:color w:val="231F20"/>
          <w:w w:val="105"/>
        </w:rPr>
        <w:t>problema,</w:t>
      </w:r>
      <w:r>
        <w:rPr>
          <w:color w:val="231F20"/>
          <w:spacing w:val="31"/>
          <w:w w:val="105"/>
        </w:rPr>
        <w:t> </w:t>
      </w:r>
      <w:r>
        <w:rPr>
          <w:color w:val="231F20"/>
          <w:w w:val="105"/>
        </w:rPr>
        <w:t>que</w:t>
      </w:r>
      <w:r>
        <w:rPr>
          <w:color w:val="231F20"/>
          <w:spacing w:val="31"/>
          <w:w w:val="105"/>
        </w:rPr>
        <w:t> </w:t>
      </w:r>
      <w:r>
        <w:rPr>
          <w:color w:val="231F20"/>
          <w:w w:val="105"/>
        </w:rPr>
        <w:t>hoy</w:t>
      </w:r>
      <w:r>
        <w:rPr>
          <w:color w:val="231F20"/>
          <w:spacing w:val="31"/>
          <w:w w:val="105"/>
        </w:rPr>
        <w:t> </w:t>
      </w:r>
      <w:r>
        <w:rPr>
          <w:color w:val="231F20"/>
          <w:w w:val="105"/>
        </w:rPr>
        <w:t>está</w:t>
      </w:r>
      <w:r>
        <w:rPr>
          <w:color w:val="231F20"/>
          <w:spacing w:val="31"/>
          <w:w w:val="105"/>
        </w:rPr>
        <w:t> </w:t>
      </w:r>
      <w:r>
        <w:rPr>
          <w:color w:val="231F20"/>
          <w:w w:val="105"/>
        </w:rPr>
        <w:t>en</w:t>
      </w:r>
      <w:r>
        <w:rPr>
          <w:color w:val="231F20"/>
          <w:spacing w:val="31"/>
          <w:w w:val="105"/>
        </w:rPr>
        <w:t> </w:t>
      </w:r>
      <w:r>
        <w:rPr>
          <w:color w:val="231F20"/>
          <w:w w:val="105"/>
        </w:rPr>
        <w:t>evidencia</w:t>
      </w:r>
      <w:r>
        <w:rPr>
          <w:color w:val="231F20"/>
          <w:spacing w:val="31"/>
          <w:w w:val="105"/>
        </w:rPr>
        <w:t> </w:t>
      </w:r>
      <w:r>
        <w:rPr>
          <w:color w:val="231F20"/>
          <w:w w:val="105"/>
        </w:rPr>
        <w:t>por</w:t>
      </w:r>
      <w:r>
        <w:rPr>
          <w:color w:val="231F20"/>
          <w:spacing w:val="31"/>
          <w:w w:val="105"/>
        </w:rPr>
        <w:t> </w:t>
      </w:r>
      <w:r>
        <w:rPr>
          <w:color w:val="231F20"/>
          <w:w w:val="105"/>
        </w:rPr>
        <w:t>todos</w:t>
      </w:r>
      <w:r>
        <w:rPr>
          <w:color w:val="231F20"/>
          <w:spacing w:val="31"/>
          <w:w w:val="105"/>
        </w:rPr>
        <w:t> </w:t>
      </w:r>
      <w:r>
        <w:rPr>
          <w:color w:val="231F20"/>
          <w:w w:val="105"/>
        </w:rPr>
        <w:t>lados.</w:t>
      </w:r>
    </w:p>
    <w:p>
      <w:pPr>
        <w:pStyle w:val="BodyText"/>
        <w:spacing w:line="261" w:lineRule="auto"/>
        <w:ind w:left="100" w:right="117" w:firstLine="240"/>
        <w:jc w:val="both"/>
      </w:pPr>
      <w:r>
        <w:rPr>
          <w:color w:val="231F20"/>
          <w:w w:val="110"/>
        </w:rPr>
        <w:t>Han sido dos las crisis que han interrumpido el discurso neolibe- ral: primero, la burbuja “punto com” de 2000-2002 que se llevó por el aire a más de 10 billones de dólares en acciones de las empresas nuevas de la nasdaq. En seguida, llegó la crisis de 2007-2010 que empujó</w:t>
      </w:r>
      <w:r>
        <w:rPr>
          <w:color w:val="231F20"/>
          <w:spacing w:val="-11"/>
          <w:w w:val="110"/>
        </w:rPr>
        <w:t> </w:t>
      </w:r>
      <w:r>
        <w:rPr>
          <w:color w:val="231F20"/>
          <w:w w:val="110"/>
        </w:rPr>
        <w:t>la</w:t>
      </w:r>
      <w:r>
        <w:rPr>
          <w:color w:val="231F20"/>
          <w:spacing w:val="-11"/>
          <w:w w:val="110"/>
        </w:rPr>
        <w:t> </w:t>
      </w:r>
      <w:r>
        <w:rPr>
          <w:color w:val="231F20"/>
          <w:w w:val="110"/>
        </w:rPr>
        <w:t>tasa</w:t>
      </w:r>
      <w:r>
        <w:rPr>
          <w:color w:val="231F20"/>
          <w:spacing w:val="-11"/>
          <w:w w:val="110"/>
        </w:rPr>
        <w:t> </w:t>
      </w:r>
      <w:r>
        <w:rPr>
          <w:color w:val="231F20"/>
          <w:w w:val="110"/>
        </w:rPr>
        <w:t>de</w:t>
      </w:r>
      <w:r>
        <w:rPr>
          <w:color w:val="231F20"/>
          <w:spacing w:val="-11"/>
          <w:w w:val="110"/>
        </w:rPr>
        <w:t> </w:t>
      </w:r>
      <w:r>
        <w:rPr>
          <w:color w:val="231F20"/>
          <w:w w:val="110"/>
        </w:rPr>
        <w:t>desempleo</w:t>
      </w:r>
      <w:r>
        <w:rPr>
          <w:color w:val="231F20"/>
          <w:spacing w:val="-11"/>
          <w:w w:val="110"/>
        </w:rPr>
        <w:t> </w:t>
      </w:r>
      <w:r>
        <w:rPr>
          <w:color w:val="231F20"/>
          <w:w w:val="110"/>
        </w:rPr>
        <w:t>hasta</w:t>
      </w:r>
      <w:r>
        <w:rPr>
          <w:color w:val="231F20"/>
          <w:spacing w:val="-11"/>
          <w:w w:val="110"/>
        </w:rPr>
        <w:t> </w:t>
      </w:r>
      <w:r>
        <w:rPr>
          <w:color w:val="231F20"/>
          <w:w w:val="110"/>
        </w:rPr>
        <w:t>más</w:t>
      </w:r>
      <w:r>
        <w:rPr>
          <w:color w:val="231F20"/>
          <w:spacing w:val="-11"/>
          <w:w w:val="110"/>
        </w:rPr>
        <w:t> </w:t>
      </w:r>
      <w:r>
        <w:rPr>
          <w:color w:val="231F20"/>
          <w:w w:val="110"/>
        </w:rPr>
        <w:t>del</w:t>
      </w:r>
      <w:r>
        <w:rPr>
          <w:color w:val="231F20"/>
          <w:spacing w:val="-11"/>
          <w:w w:val="110"/>
        </w:rPr>
        <w:t> </w:t>
      </w:r>
      <w:r>
        <w:rPr>
          <w:color w:val="231F20"/>
          <w:w w:val="110"/>
        </w:rPr>
        <w:t>17%</w:t>
      </w:r>
      <w:r>
        <w:rPr>
          <w:color w:val="231F20"/>
          <w:spacing w:val="-11"/>
          <w:w w:val="110"/>
        </w:rPr>
        <w:t> </w:t>
      </w:r>
      <w:r>
        <w:rPr>
          <w:color w:val="231F20"/>
          <w:w w:val="110"/>
        </w:rPr>
        <w:t>a</w:t>
      </w:r>
      <w:r>
        <w:rPr>
          <w:color w:val="231F20"/>
          <w:spacing w:val="-11"/>
          <w:w w:val="110"/>
        </w:rPr>
        <w:t> </w:t>
      </w:r>
      <w:r>
        <w:rPr>
          <w:color w:val="231F20"/>
          <w:w w:val="110"/>
        </w:rPr>
        <w:t>principios</w:t>
      </w:r>
      <w:r>
        <w:rPr>
          <w:color w:val="231F20"/>
          <w:spacing w:val="-11"/>
          <w:w w:val="110"/>
        </w:rPr>
        <w:t> </w:t>
      </w:r>
      <w:r>
        <w:rPr>
          <w:color w:val="231F20"/>
          <w:w w:val="110"/>
        </w:rPr>
        <w:t>de</w:t>
      </w:r>
      <w:r>
        <w:rPr>
          <w:color w:val="231F20"/>
          <w:spacing w:val="-11"/>
          <w:w w:val="110"/>
        </w:rPr>
        <w:t> </w:t>
      </w:r>
      <w:r>
        <w:rPr>
          <w:color w:val="231F20"/>
          <w:w w:val="110"/>
        </w:rPr>
        <w:t>2010, según el uso del concepto estadístico de medición conocido como U-6.</w:t>
      </w:r>
      <w:r>
        <w:rPr>
          <w:color w:val="231F20"/>
          <w:spacing w:val="-19"/>
          <w:w w:val="110"/>
        </w:rPr>
        <w:t> </w:t>
      </w:r>
      <w:r>
        <w:rPr>
          <w:color w:val="231F20"/>
          <w:w w:val="110"/>
        </w:rPr>
        <w:t>Esto</w:t>
      </w:r>
      <w:r>
        <w:rPr>
          <w:color w:val="231F20"/>
          <w:spacing w:val="-19"/>
          <w:w w:val="110"/>
        </w:rPr>
        <w:t> </w:t>
      </w:r>
      <w:r>
        <w:rPr>
          <w:color w:val="231F20"/>
          <w:w w:val="110"/>
        </w:rPr>
        <w:t>es,</w:t>
      </w:r>
      <w:r>
        <w:rPr>
          <w:color w:val="231F20"/>
          <w:spacing w:val="-19"/>
          <w:w w:val="110"/>
        </w:rPr>
        <w:t> </w:t>
      </w:r>
      <w:r>
        <w:rPr>
          <w:color w:val="231F20"/>
          <w:w w:val="110"/>
        </w:rPr>
        <w:t>una</w:t>
      </w:r>
      <w:r>
        <w:rPr>
          <w:color w:val="231F20"/>
          <w:spacing w:val="-19"/>
          <w:w w:val="110"/>
        </w:rPr>
        <w:t> </w:t>
      </w:r>
      <w:r>
        <w:rPr>
          <w:color w:val="231F20"/>
          <w:w w:val="110"/>
        </w:rPr>
        <w:t>situación</w:t>
      </w:r>
      <w:r>
        <w:rPr>
          <w:color w:val="231F20"/>
          <w:spacing w:val="-19"/>
          <w:w w:val="110"/>
        </w:rPr>
        <w:t> </w:t>
      </w:r>
      <w:r>
        <w:rPr>
          <w:color w:val="231F20"/>
          <w:w w:val="110"/>
        </w:rPr>
        <w:t>laboral</w:t>
      </w:r>
      <w:r>
        <w:rPr>
          <w:color w:val="231F20"/>
          <w:spacing w:val="-19"/>
          <w:w w:val="110"/>
        </w:rPr>
        <w:t> </w:t>
      </w:r>
      <w:r>
        <w:rPr>
          <w:color w:val="231F20"/>
          <w:w w:val="110"/>
        </w:rPr>
        <w:t>peor</w:t>
      </w:r>
      <w:r>
        <w:rPr>
          <w:color w:val="231F20"/>
          <w:spacing w:val="-19"/>
          <w:w w:val="110"/>
        </w:rPr>
        <w:t> </w:t>
      </w:r>
      <w:r>
        <w:rPr>
          <w:color w:val="231F20"/>
          <w:w w:val="110"/>
        </w:rPr>
        <w:t>que</w:t>
      </w:r>
      <w:r>
        <w:rPr>
          <w:color w:val="231F20"/>
          <w:spacing w:val="-19"/>
          <w:w w:val="110"/>
        </w:rPr>
        <w:t> </w:t>
      </w:r>
      <w:r>
        <w:rPr>
          <w:color w:val="231F20"/>
          <w:w w:val="110"/>
        </w:rPr>
        <w:t>cualquier</w:t>
      </w:r>
      <w:r>
        <w:rPr>
          <w:color w:val="231F20"/>
          <w:spacing w:val="-19"/>
          <w:w w:val="110"/>
        </w:rPr>
        <w:t> </w:t>
      </w:r>
      <w:r>
        <w:rPr>
          <w:color w:val="231F20"/>
          <w:w w:val="110"/>
        </w:rPr>
        <w:t>año</w:t>
      </w:r>
      <w:r>
        <w:rPr>
          <w:color w:val="231F20"/>
          <w:spacing w:val="-19"/>
          <w:w w:val="110"/>
        </w:rPr>
        <w:t> </w:t>
      </w:r>
      <w:r>
        <w:rPr>
          <w:color w:val="231F20"/>
          <w:w w:val="110"/>
        </w:rPr>
        <w:t>desde</w:t>
      </w:r>
      <w:r>
        <w:rPr>
          <w:color w:val="231F20"/>
          <w:spacing w:val="-19"/>
          <w:w w:val="110"/>
        </w:rPr>
        <w:t> </w:t>
      </w:r>
      <w:r>
        <w:rPr>
          <w:color w:val="231F20"/>
          <w:w w:val="110"/>
        </w:rPr>
        <w:t>1941. Al mismo tiempo, por el colapso del mercado de bienes raíces y la caída de las bolsas de valor aproximadamente 13 billones de</w:t>
      </w:r>
      <w:r>
        <w:rPr>
          <w:color w:val="231F20"/>
          <w:spacing w:val="-17"/>
          <w:w w:val="110"/>
        </w:rPr>
        <w:t> </w:t>
      </w:r>
      <w:r>
        <w:rPr>
          <w:color w:val="231F20"/>
          <w:w w:val="110"/>
        </w:rPr>
        <w:t>dólares fueron barridos al</w:t>
      </w:r>
      <w:r>
        <w:rPr>
          <w:color w:val="231F20"/>
          <w:spacing w:val="8"/>
          <w:w w:val="110"/>
        </w:rPr>
        <w:t> </w:t>
      </w:r>
      <w:r>
        <w:rPr>
          <w:color w:val="231F20"/>
          <w:w w:val="110"/>
        </w:rPr>
        <w:t>vacío.</w:t>
      </w:r>
    </w:p>
    <w:p>
      <w:pPr>
        <w:pStyle w:val="BodyText"/>
        <w:spacing w:line="261" w:lineRule="auto"/>
        <w:ind w:left="100" w:right="117" w:firstLine="240"/>
        <w:jc w:val="both"/>
      </w:pPr>
      <w:r>
        <w:rPr>
          <w:color w:val="231F20"/>
          <w:w w:val="110"/>
        </w:rPr>
        <w:t>Sin el crecimiento del consumo masivo de la clase trabajadora    y la clase media, el mayor sostén de la economía estadunidense se atrofió. Con la estancamiento secular de los salarios reales, el recur- so mayor fue aceptar el crédito concedido para el sector financiero dada una política expansionista incontenible del banco central. En este entorno, en una situación sin precedente, el crédito extendido   a los hogares se aumentó de 52% del pib en 1980 a 62% del pib en 1990, para alcanzar después 71% en 2000 y 100% en 2007 (Foster  y Magdoff, 2009: 121). Nunca antes fueron apalancados los activos de las familias estadunidenses como lo fueron en las burbujas de los primeros años del siglo</w:t>
      </w:r>
      <w:r>
        <w:rPr>
          <w:color w:val="231F20"/>
          <w:spacing w:val="43"/>
          <w:w w:val="110"/>
        </w:rPr>
        <w:t> </w:t>
      </w:r>
      <w:r>
        <w:rPr>
          <w:color w:val="231F20"/>
          <w:w w:val="110"/>
        </w:rPr>
        <w:t>xxi.</w:t>
      </w:r>
    </w:p>
    <w:p>
      <w:pPr>
        <w:pStyle w:val="BodyText"/>
        <w:spacing w:line="261" w:lineRule="auto"/>
        <w:ind w:left="100" w:right="119" w:firstLine="240"/>
        <w:jc w:val="both"/>
      </w:pPr>
      <w:r>
        <w:rPr>
          <w:color w:val="231F20"/>
          <w:w w:val="110"/>
        </w:rPr>
        <w:t>La situación actual, entonces, es algo fuera de la trayectoria esta- dunidense</w:t>
      </w:r>
      <w:r>
        <w:rPr>
          <w:color w:val="231F20"/>
          <w:spacing w:val="-9"/>
          <w:w w:val="110"/>
        </w:rPr>
        <w:t> </w:t>
      </w:r>
      <w:r>
        <w:rPr>
          <w:color w:val="231F20"/>
          <w:w w:val="110"/>
        </w:rPr>
        <w:t>establecida</w:t>
      </w:r>
      <w:r>
        <w:rPr>
          <w:color w:val="231F20"/>
          <w:spacing w:val="-9"/>
          <w:w w:val="110"/>
        </w:rPr>
        <w:t> </w:t>
      </w:r>
      <w:r>
        <w:rPr>
          <w:color w:val="231F20"/>
          <w:w w:val="110"/>
        </w:rPr>
        <w:t>entre</w:t>
      </w:r>
      <w:r>
        <w:rPr>
          <w:color w:val="231F20"/>
          <w:spacing w:val="-9"/>
          <w:w w:val="110"/>
        </w:rPr>
        <w:t> </w:t>
      </w:r>
      <w:r>
        <w:rPr>
          <w:color w:val="231F20"/>
          <w:w w:val="110"/>
        </w:rPr>
        <w:t>1820</w:t>
      </w:r>
      <w:r>
        <w:rPr>
          <w:color w:val="231F20"/>
          <w:spacing w:val="-9"/>
          <w:w w:val="110"/>
        </w:rPr>
        <w:t> </w:t>
      </w:r>
      <w:r>
        <w:rPr>
          <w:color w:val="231F20"/>
          <w:w w:val="110"/>
        </w:rPr>
        <w:t>y</w:t>
      </w:r>
      <w:r>
        <w:rPr>
          <w:color w:val="231F20"/>
          <w:spacing w:val="-9"/>
          <w:w w:val="110"/>
        </w:rPr>
        <w:t> </w:t>
      </w:r>
      <w:r>
        <w:rPr>
          <w:color w:val="231F20"/>
          <w:w w:val="110"/>
        </w:rPr>
        <w:t>1970,</w:t>
      </w:r>
      <w:r>
        <w:rPr>
          <w:color w:val="231F20"/>
          <w:spacing w:val="-9"/>
          <w:w w:val="110"/>
        </w:rPr>
        <w:t> </w:t>
      </w:r>
      <w:r>
        <w:rPr>
          <w:color w:val="231F20"/>
          <w:w w:val="110"/>
        </w:rPr>
        <w:t>marcada</w:t>
      </w:r>
      <w:r>
        <w:rPr>
          <w:color w:val="231F20"/>
          <w:spacing w:val="-11"/>
          <w:w w:val="110"/>
        </w:rPr>
        <w:t>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crecimiento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real</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salarios.</w:t>
      </w:r>
      <w:r>
        <w:rPr>
          <w:color w:val="231F20"/>
          <w:spacing w:val="-32"/>
          <w:w w:val="110"/>
        </w:rPr>
        <w:t> </w:t>
      </w:r>
      <w:r>
        <w:rPr>
          <w:color w:val="231F20"/>
          <w:w w:val="110"/>
        </w:rPr>
        <w:t>Bajo</w:t>
      </w:r>
      <w:r>
        <w:rPr>
          <w:color w:val="231F20"/>
          <w:spacing w:val="-32"/>
          <w:w w:val="110"/>
        </w:rPr>
        <w:t> </w:t>
      </w:r>
      <w:r>
        <w:rPr>
          <w:color w:val="231F20"/>
          <w:w w:val="110"/>
        </w:rPr>
        <w:t>estas</w:t>
      </w:r>
      <w:r>
        <w:rPr>
          <w:color w:val="231F20"/>
          <w:spacing w:val="-32"/>
          <w:w w:val="110"/>
        </w:rPr>
        <w:t> </w:t>
      </w:r>
      <w:r>
        <w:rPr>
          <w:color w:val="231F20"/>
          <w:w w:val="110"/>
        </w:rPr>
        <w:t>nuevas</w:t>
      </w:r>
      <w:r>
        <w:rPr>
          <w:color w:val="231F20"/>
          <w:spacing w:val="-32"/>
          <w:w w:val="110"/>
        </w:rPr>
        <w:t> </w:t>
      </w:r>
      <w:r>
        <w:rPr>
          <w:color w:val="231F20"/>
          <w:w w:val="110"/>
        </w:rPr>
        <w:t>y</w:t>
      </w:r>
      <w:r>
        <w:rPr>
          <w:color w:val="231F20"/>
          <w:spacing w:val="-32"/>
          <w:w w:val="110"/>
        </w:rPr>
        <w:t> </w:t>
      </w:r>
      <w:r>
        <w:rPr>
          <w:color w:val="231F20"/>
          <w:w w:val="110"/>
        </w:rPr>
        <w:t>notables</w:t>
      </w:r>
      <w:r>
        <w:rPr>
          <w:color w:val="231F20"/>
          <w:spacing w:val="-32"/>
          <w:w w:val="110"/>
        </w:rPr>
        <w:t> </w:t>
      </w:r>
      <w:r>
        <w:rPr>
          <w:color w:val="231F20"/>
          <w:w w:val="110"/>
        </w:rPr>
        <w:t>condiciones,</w:t>
      </w:r>
      <w:r>
        <w:rPr>
          <w:color w:val="231F20"/>
          <w:spacing w:val="-32"/>
          <w:w w:val="110"/>
        </w:rPr>
        <w:t> </w:t>
      </w:r>
      <w:r>
        <w:rPr>
          <w:color w:val="231F20"/>
          <w:w w:val="110"/>
        </w:rPr>
        <w:t>se</w:t>
      </w:r>
      <w:r>
        <w:rPr>
          <w:color w:val="231F20"/>
          <w:spacing w:val="-31"/>
          <w:w w:val="110"/>
        </w:rPr>
        <w:t> </w:t>
      </w:r>
      <w:r>
        <w:rPr>
          <w:color w:val="231F20"/>
          <w:w w:val="110"/>
        </w:rPr>
        <w:t>levanta la pregunta de la estabilidad social </w:t>
      </w:r>
      <w:r>
        <w:rPr>
          <w:color w:val="231F20"/>
          <w:spacing w:val="-8"/>
          <w:w w:val="110"/>
        </w:rPr>
        <w:t>y, </w:t>
      </w:r>
      <w:r>
        <w:rPr>
          <w:color w:val="231F20"/>
          <w:w w:val="110"/>
        </w:rPr>
        <w:t>además, la de la hegemonía de Estados</w:t>
      </w:r>
      <w:r>
        <w:rPr>
          <w:color w:val="231F20"/>
          <w:spacing w:val="-32"/>
          <w:w w:val="110"/>
        </w:rPr>
        <w:t> </w:t>
      </w:r>
      <w:r>
        <w:rPr>
          <w:color w:val="231F20"/>
          <w:w w:val="110"/>
        </w:rPr>
        <w:t>Unidos.</w:t>
      </w:r>
      <w:r>
        <w:rPr>
          <w:color w:val="231F20"/>
          <w:spacing w:val="-32"/>
          <w:w w:val="110"/>
        </w:rPr>
        <w:t> </w:t>
      </w:r>
      <w:r>
        <w:rPr>
          <w:color w:val="231F20"/>
          <w:w w:val="110"/>
        </w:rPr>
        <w:t>Hoy</w:t>
      </w:r>
      <w:r>
        <w:rPr>
          <w:color w:val="231F20"/>
          <w:spacing w:val="-32"/>
          <w:w w:val="110"/>
        </w:rPr>
        <w:t> </w:t>
      </w:r>
      <w:r>
        <w:rPr>
          <w:color w:val="231F20"/>
          <w:w w:val="110"/>
        </w:rPr>
        <w:t>en</w:t>
      </w:r>
      <w:r>
        <w:rPr>
          <w:color w:val="231F20"/>
          <w:spacing w:val="-32"/>
          <w:w w:val="110"/>
        </w:rPr>
        <w:t> </w:t>
      </w:r>
      <w:r>
        <w:rPr>
          <w:color w:val="231F20"/>
          <w:w w:val="110"/>
        </w:rPr>
        <w:t>día,</w:t>
      </w:r>
      <w:r>
        <w:rPr>
          <w:color w:val="231F20"/>
          <w:spacing w:val="-32"/>
          <w:w w:val="110"/>
        </w:rPr>
        <w:t> </w:t>
      </w:r>
      <w:r>
        <w:rPr>
          <w:color w:val="231F20"/>
          <w:w w:val="110"/>
        </w:rPr>
        <w:t>lo</w:t>
      </w:r>
      <w:r>
        <w:rPr>
          <w:color w:val="231F20"/>
          <w:spacing w:val="-32"/>
          <w:w w:val="110"/>
        </w:rPr>
        <w:t> </w:t>
      </w:r>
      <w:r>
        <w:rPr>
          <w:color w:val="231F20"/>
          <w:w w:val="110"/>
        </w:rPr>
        <w:t>que</w:t>
      </w:r>
      <w:r>
        <w:rPr>
          <w:color w:val="231F20"/>
          <w:spacing w:val="-32"/>
          <w:w w:val="110"/>
        </w:rPr>
        <w:t> </w:t>
      </w:r>
      <w:r>
        <w:rPr>
          <w:color w:val="231F20"/>
          <w:w w:val="110"/>
        </w:rPr>
        <w:t>puede</w:t>
      </w:r>
      <w:r>
        <w:rPr>
          <w:color w:val="231F20"/>
          <w:spacing w:val="-32"/>
          <w:w w:val="110"/>
        </w:rPr>
        <w:t> </w:t>
      </w:r>
      <w:r>
        <w:rPr>
          <w:color w:val="231F20"/>
          <w:w w:val="110"/>
        </w:rPr>
        <w:t>ofrecer</w:t>
      </w:r>
      <w:r>
        <w:rPr>
          <w:color w:val="231F20"/>
          <w:spacing w:val="-32"/>
          <w:w w:val="110"/>
        </w:rPr>
        <w:t> </w:t>
      </w:r>
      <w:r>
        <w:rPr>
          <w:color w:val="231F20"/>
          <w:w w:val="110"/>
        </w:rPr>
        <w:t>la</w:t>
      </w:r>
      <w:r>
        <w:rPr>
          <w:color w:val="231F20"/>
          <w:spacing w:val="-32"/>
          <w:w w:val="110"/>
        </w:rPr>
        <w:t> </w:t>
      </w:r>
      <w:r>
        <w:rPr>
          <w:i/>
          <w:color w:val="231F20"/>
          <w:w w:val="110"/>
        </w:rPr>
        <w:t>economía</w:t>
      </w:r>
      <w:r>
        <w:rPr>
          <w:i/>
          <w:color w:val="231F20"/>
          <w:spacing w:val="-32"/>
          <w:w w:val="110"/>
        </w:rPr>
        <w:t> </w:t>
      </w:r>
      <w:r>
        <w:rPr>
          <w:i/>
          <w:color w:val="231F20"/>
          <w:w w:val="110"/>
        </w:rPr>
        <w:t>tripartita</w:t>
      </w:r>
      <w:r>
        <w:rPr>
          <w:i/>
          <w:color w:val="231F20"/>
          <w:w w:val="100"/>
        </w:rPr>
        <w:t> </w:t>
      </w:r>
      <w:r>
        <w:rPr>
          <w:color w:val="231F20"/>
          <w:w w:val="110"/>
        </w:rPr>
        <w:t>son todos los elementos no deseados de la economía desregulada  del siglo xix y pocas, muy pocas, de sus virtudes. Como argumentó Karl</w:t>
      </w:r>
      <w:r>
        <w:rPr>
          <w:color w:val="231F20"/>
          <w:spacing w:val="-9"/>
          <w:w w:val="110"/>
        </w:rPr>
        <w:t> </w:t>
      </w:r>
      <w:r>
        <w:rPr>
          <w:color w:val="231F20"/>
          <w:w w:val="110"/>
        </w:rPr>
        <w:t>Kautsky,</w:t>
      </w:r>
      <w:r>
        <w:rPr>
          <w:color w:val="231F20"/>
          <w:spacing w:val="-9"/>
          <w:w w:val="110"/>
        </w:rPr>
        <w:t> </w:t>
      </w:r>
      <w:r>
        <w:rPr>
          <w:color w:val="231F20"/>
          <w:w w:val="110"/>
        </w:rPr>
        <w:t>en</w:t>
      </w:r>
      <w:r>
        <w:rPr>
          <w:color w:val="231F20"/>
          <w:spacing w:val="-9"/>
          <w:w w:val="110"/>
        </w:rPr>
        <w:t> </w:t>
      </w:r>
      <w:r>
        <w:rPr>
          <w:color w:val="231F20"/>
          <w:w w:val="110"/>
        </w:rPr>
        <w:t>aquel</w:t>
      </w:r>
      <w:r>
        <w:rPr>
          <w:color w:val="231F20"/>
          <w:spacing w:val="-9"/>
          <w:w w:val="110"/>
        </w:rPr>
        <w:t> </w:t>
      </w:r>
      <w:r>
        <w:rPr>
          <w:color w:val="231F20"/>
          <w:w w:val="110"/>
        </w:rPr>
        <w:t>entonces</w:t>
      </w:r>
      <w:r>
        <w:rPr>
          <w:color w:val="231F20"/>
          <w:spacing w:val="-9"/>
          <w:w w:val="110"/>
        </w:rPr>
        <w:t> </w:t>
      </w:r>
      <w:r>
        <w:rPr>
          <w:color w:val="231F20"/>
          <w:w w:val="110"/>
        </w:rPr>
        <w:t>existieron</w:t>
      </w:r>
      <w:r>
        <w:rPr>
          <w:color w:val="231F20"/>
          <w:spacing w:val="-9"/>
          <w:w w:val="110"/>
        </w:rPr>
        <w:t> </w:t>
      </w:r>
      <w:r>
        <w:rPr>
          <w:color w:val="231F20"/>
          <w:w w:val="110"/>
        </w:rPr>
        <w:t>aspectos</w:t>
      </w:r>
      <w:r>
        <w:rPr>
          <w:color w:val="231F20"/>
          <w:spacing w:val="-9"/>
          <w:w w:val="110"/>
        </w:rPr>
        <w:t> </w:t>
      </w:r>
      <w:r>
        <w:rPr>
          <w:color w:val="231F20"/>
          <w:w w:val="110"/>
        </w:rPr>
        <w:t>estructurales</w:t>
      </w:r>
      <w:r>
        <w:rPr>
          <w:color w:val="231F20"/>
          <w:spacing w:val="-9"/>
          <w:w w:val="110"/>
        </w:rPr>
        <w:t> </w:t>
      </w:r>
      <w:r>
        <w:rPr>
          <w:color w:val="231F20"/>
          <w:w w:val="110"/>
        </w:rPr>
        <w:t>su- ficientes para limitar parcialmente el poder de los barones ladrones y también del gobierno dominado por ellos. No era posible excluir  a la clase trabajadora ni a los granjeros de, virtualmente, todos los beneficios del crecimiento económico. Los trabajadores nativos —y en grado menor los inmigrantes— tuvieron la opción de retirarse</w:t>
      </w:r>
      <w:r>
        <w:rPr>
          <w:color w:val="231F20"/>
          <w:spacing w:val="-24"/>
          <w:w w:val="110"/>
        </w:rPr>
        <w:t> </w:t>
      </w:r>
      <w:r>
        <w:rPr>
          <w:color w:val="231F20"/>
          <w:w w:val="110"/>
        </w:rPr>
        <w:t>del ejército</w:t>
      </w:r>
      <w:r>
        <w:rPr>
          <w:color w:val="231F20"/>
          <w:spacing w:val="-16"/>
          <w:w w:val="110"/>
        </w:rPr>
        <w:t> </w:t>
      </w:r>
      <w:r>
        <w:rPr>
          <w:color w:val="231F20"/>
          <w:w w:val="110"/>
        </w:rPr>
        <w:t>industrial</w:t>
      </w:r>
      <w:r>
        <w:rPr>
          <w:color w:val="231F20"/>
          <w:spacing w:val="-16"/>
          <w:w w:val="110"/>
        </w:rPr>
        <w:t> </w:t>
      </w:r>
      <w:r>
        <w:rPr>
          <w:color w:val="231F20"/>
          <w:w w:val="110"/>
        </w:rPr>
        <w:t>y</w:t>
      </w:r>
      <w:r>
        <w:rPr>
          <w:color w:val="231F20"/>
          <w:spacing w:val="-16"/>
          <w:w w:val="110"/>
        </w:rPr>
        <w:t> </w:t>
      </w:r>
      <w:r>
        <w:rPr>
          <w:color w:val="231F20"/>
          <w:w w:val="110"/>
        </w:rPr>
        <w:t>sumarse</w:t>
      </w:r>
      <w:r>
        <w:rPr>
          <w:color w:val="231F20"/>
          <w:spacing w:val="-16"/>
          <w:w w:val="110"/>
        </w:rPr>
        <w:t> </w:t>
      </w:r>
      <w:r>
        <w:rPr>
          <w:color w:val="231F20"/>
          <w:w w:val="110"/>
        </w:rPr>
        <w:t>al</w:t>
      </w:r>
      <w:r>
        <w:rPr>
          <w:color w:val="231F20"/>
          <w:spacing w:val="-16"/>
          <w:w w:val="110"/>
        </w:rPr>
        <w:t> </w:t>
      </w:r>
      <w:r>
        <w:rPr>
          <w:color w:val="231F20"/>
          <w:w w:val="110"/>
        </w:rPr>
        <w:t>cultivo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tierra.</w:t>
      </w:r>
      <w:r>
        <w:rPr>
          <w:color w:val="231F20"/>
          <w:spacing w:val="-16"/>
          <w:w w:val="110"/>
        </w:rPr>
        <w:t> </w:t>
      </w:r>
      <w:r>
        <w:rPr>
          <w:color w:val="231F20"/>
          <w:w w:val="110"/>
        </w:rPr>
        <w:t>La</w:t>
      </w:r>
      <w:r>
        <w:rPr>
          <w:color w:val="231F20"/>
          <w:spacing w:val="-16"/>
          <w:w w:val="110"/>
        </w:rPr>
        <w:t> </w:t>
      </w:r>
      <w:r>
        <w:rPr>
          <w:color w:val="231F20"/>
          <w:w w:val="110"/>
        </w:rPr>
        <w:t>amenaza</w:t>
      </w:r>
      <w:r>
        <w:rPr>
          <w:color w:val="231F20"/>
          <w:spacing w:val="-16"/>
          <w:w w:val="110"/>
        </w:rPr>
        <w:t> </w:t>
      </w:r>
      <w:r>
        <w:rPr>
          <w:color w:val="231F20"/>
          <w:w w:val="110"/>
        </w:rPr>
        <w:t>latente de salir fue un arma fuerte para la clase trabajadora en tiempos de escasez de mano de obra. Con esto, a pesar de la debilidad de los sindicatos, Estados Unidos quedó como un país de “altos</w:t>
      </w:r>
      <w:r>
        <w:rPr>
          <w:color w:val="231F20"/>
          <w:spacing w:val="-24"/>
          <w:w w:val="110"/>
        </w:rPr>
        <w:t> </w:t>
      </w:r>
      <w:r>
        <w:rPr>
          <w:color w:val="231F20"/>
          <w:w w:val="110"/>
        </w:rPr>
        <w:t>salarios”.</w:t>
      </w:r>
    </w:p>
    <w:p>
      <w:pPr>
        <w:pStyle w:val="BodyText"/>
        <w:spacing w:line="261" w:lineRule="auto"/>
        <w:ind w:left="100" w:right="114" w:firstLine="240"/>
        <w:jc w:val="both"/>
      </w:pPr>
      <w:r>
        <w:rPr>
          <w:color w:val="231F20"/>
          <w:spacing w:val="-3"/>
          <w:w w:val="110"/>
        </w:rPr>
        <w:t>También, </w:t>
      </w:r>
      <w:r>
        <w:rPr>
          <w:color w:val="231F20"/>
          <w:w w:val="110"/>
        </w:rPr>
        <w:t>Kautsky hizo mucho énfasis en las oportunidades para los</w:t>
      </w:r>
      <w:r>
        <w:rPr>
          <w:color w:val="231F20"/>
          <w:spacing w:val="-24"/>
          <w:w w:val="110"/>
        </w:rPr>
        <w:t> </w:t>
      </w:r>
      <w:r>
        <w:rPr>
          <w:color w:val="231F20"/>
          <w:w w:val="110"/>
        </w:rPr>
        <w:t>más</w:t>
      </w:r>
      <w:r>
        <w:rPr>
          <w:color w:val="231F20"/>
          <w:spacing w:val="-24"/>
          <w:w w:val="110"/>
        </w:rPr>
        <w:t> </w:t>
      </w:r>
      <w:r>
        <w:rPr>
          <w:color w:val="231F20"/>
          <w:w w:val="110"/>
        </w:rPr>
        <w:t>ambiciosos</w:t>
      </w:r>
      <w:r>
        <w:rPr>
          <w:color w:val="231F20"/>
          <w:spacing w:val="-24"/>
          <w:w w:val="110"/>
        </w:rPr>
        <w:t> </w:t>
      </w:r>
      <w:r>
        <w:rPr>
          <w:color w:val="231F20"/>
          <w:w w:val="110"/>
        </w:rPr>
        <w:t>y</w:t>
      </w:r>
      <w:r>
        <w:rPr>
          <w:color w:val="231F20"/>
          <w:spacing w:val="-24"/>
          <w:w w:val="110"/>
        </w:rPr>
        <w:t> </w:t>
      </w:r>
      <w:r>
        <w:rPr>
          <w:color w:val="231F20"/>
          <w:w w:val="110"/>
        </w:rPr>
        <w:t>privilegiados</w:t>
      </w:r>
      <w:r>
        <w:rPr>
          <w:color w:val="231F20"/>
          <w:spacing w:val="-24"/>
          <w:w w:val="110"/>
        </w:rPr>
        <w:t> </w:t>
      </w:r>
      <w:r>
        <w:rPr>
          <w:color w:val="231F20"/>
          <w:w w:val="110"/>
        </w:rPr>
        <w:t>nativos:</w:t>
      </w:r>
      <w:r>
        <w:rPr>
          <w:color w:val="231F20"/>
          <w:spacing w:val="-24"/>
          <w:w w:val="110"/>
        </w:rPr>
        <w:t> </w:t>
      </w:r>
      <w:r>
        <w:rPr>
          <w:color w:val="231F20"/>
          <w:w w:val="110"/>
        </w:rPr>
        <w:t>no</w:t>
      </w:r>
      <w:r>
        <w:rPr>
          <w:color w:val="231F20"/>
          <w:spacing w:val="-24"/>
          <w:w w:val="110"/>
        </w:rPr>
        <w:t> </w:t>
      </w:r>
      <w:r>
        <w:rPr>
          <w:color w:val="231F20"/>
          <w:w w:val="110"/>
        </w:rPr>
        <w:t>eran</w:t>
      </w:r>
      <w:r>
        <w:rPr>
          <w:color w:val="231F20"/>
          <w:spacing w:val="-24"/>
          <w:w w:val="110"/>
        </w:rPr>
        <w:t> </w:t>
      </w:r>
      <w:r>
        <w:rPr>
          <w:color w:val="231F20"/>
          <w:w w:val="110"/>
        </w:rPr>
        <w:t>en</w:t>
      </w:r>
      <w:r>
        <w:rPr>
          <w:color w:val="231F20"/>
          <w:spacing w:val="-24"/>
          <w:w w:val="110"/>
        </w:rPr>
        <w:t> </w:t>
      </w:r>
      <w:r>
        <w:rPr>
          <w:color w:val="231F20"/>
          <w:w w:val="110"/>
        </w:rPr>
        <w:t>Estados</w:t>
      </w:r>
      <w:r>
        <w:rPr>
          <w:color w:val="231F20"/>
          <w:spacing w:val="-24"/>
          <w:w w:val="110"/>
        </w:rPr>
        <w:t> </w:t>
      </w:r>
      <w:r>
        <w:rPr>
          <w:color w:val="231F20"/>
          <w:w w:val="110"/>
        </w:rPr>
        <w:t>Unidos “clases</w:t>
      </w:r>
      <w:r>
        <w:rPr>
          <w:color w:val="231F20"/>
          <w:spacing w:val="-15"/>
          <w:w w:val="110"/>
        </w:rPr>
        <w:t> </w:t>
      </w:r>
      <w:r>
        <w:rPr>
          <w:color w:val="231F20"/>
          <w:w w:val="110"/>
        </w:rPr>
        <w:t>mantenidas”—como</w:t>
      </w:r>
      <w:r>
        <w:rPr>
          <w:color w:val="231F20"/>
          <w:spacing w:val="-15"/>
          <w:w w:val="110"/>
        </w:rPr>
        <w:t> </w:t>
      </w:r>
      <w:r>
        <w:rPr>
          <w:color w:val="231F20"/>
          <w:w w:val="110"/>
        </w:rPr>
        <w:t>llamó</w:t>
      </w:r>
      <w:r>
        <w:rPr>
          <w:color w:val="231F20"/>
          <w:spacing w:val="-15"/>
          <w:w w:val="110"/>
        </w:rPr>
        <w:t> </w:t>
      </w:r>
      <w:r>
        <w:rPr>
          <w:color w:val="231F20"/>
          <w:w w:val="110"/>
        </w:rPr>
        <w:t>Veblen</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aristocracia</w:t>
      </w:r>
      <w:r>
        <w:rPr>
          <w:color w:val="231F20"/>
          <w:spacing w:val="-15"/>
          <w:w w:val="110"/>
        </w:rPr>
        <w:t> </w:t>
      </w:r>
      <w:r>
        <w:rPr>
          <w:color w:val="231F20"/>
          <w:w w:val="110"/>
        </w:rPr>
        <w:t>de</w:t>
      </w:r>
      <w:r>
        <w:rPr>
          <w:color w:val="231F20"/>
          <w:spacing w:val="-15"/>
          <w:w w:val="110"/>
        </w:rPr>
        <w:t> </w:t>
      </w:r>
      <w:r>
        <w:rPr>
          <w:color w:val="231F20"/>
          <w:w w:val="110"/>
        </w:rPr>
        <w:t>Europa y los parásitos rentistas derivados de los siglos del capitalismo mer- cantil—.</w:t>
      </w:r>
      <w:r>
        <w:rPr>
          <w:color w:val="231F20"/>
          <w:spacing w:val="-21"/>
          <w:w w:val="110"/>
        </w:rPr>
        <w:t> </w:t>
      </w:r>
      <w:r>
        <w:rPr>
          <w:color w:val="231F20"/>
          <w:w w:val="110"/>
        </w:rPr>
        <w:t>En</w:t>
      </w:r>
      <w:r>
        <w:rPr>
          <w:color w:val="231F20"/>
          <w:spacing w:val="-21"/>
          <w:w w:val="110"/>
        </w:rPr>
        <w:t> </w:t>
      </w:r>
      <w:r>
        <w:rPr>
          <w:color w:val="231F20"/>
          <w:w w:val="110"/>
        </w:rPr>
        <w:t>contraste,</w:t>
      </w:r>
      <w:r>
        <w:rPr>
          <w:color w:val="231F20"/>
          <w:spacing w:val="-21"/>
          <w:w w:val="110"/>
        </w:rPr>
        <w:t> </w:t>
      </w:r>
      <w:r>
        <w:rPr>
          <w:color w:val="231F20"/>
          <w:w w:val="110"/>
        </w:rPr>
        <w:t>estos</w:t>
      </w:r>
      <w:r>
        <w:rPr>
          <w:color w:val="231F20"/>
          <w:spacing w:val="-21"/>
          <w:w w:val="110"/>
        </w:rPr>
        <w:t> </w:t>
      </w:r>
      <w:r>
        <w:rPr>
          <w:color w:val="231F20"/>
          <w:w w:val="110"/>
        </w:rPr>
        <w:t>nichos—ofreciendo</w:t>
      </w:r>
      <w:r>
        <w:rPr>
          <w:color w:val="231F20"/>
          <w:spacing w:val="-21"/>
          <w:w w:val="110"/>
        </w:rPr>
        <w:t> </w:t>
      </w:r>
      <w:r>
        <w:rPr>
          <w:color w:val="231F20"/>
          <w:w w:val="110"/>
        </w:rPr>
        <w:t>fuertes</w:t>
      </w:r>
      <w:r>
        <w:rPr>
          <w:color w:val="231F20"/>
          <w:spacing w:val="-21"/>
          <w:w w:val="110"/>
        </w:rPr>
        <w:t> </w:t>
      </w:r>
      <w:r>
        <w:rPr>
          <w:color w:val="231F20"/>
          <w:w w:val="110"/>
        </w:rPr>
        <w:t>posibilidades del ascenso social— fueron llenados por los descendientes de la población</w:t>
      </w:r>
      <w:r>
        <w:rPr>
          <w:color w:val="231F20"/>
          <w:spacing w:val="-11"/>
          <w:w w:val="110"/>
        </w:rPr>
        <w:t> </w:t>
      </w:r>
      <w:r>
        <w:rPr>
          <w:color w:val="231F20"/>
          <w:w w:val="110"/>
        </w:rPr>
        <w:t>nativa.</w:t>
      </w:r>
      <w:r>
        <w:rPr>
          <w:color w:val="231F20"/>
          <w:spacing w:val="-11"/>
          <w:w w:val="110"/>
        </w:rPr>
        <w:t> </w:t>
      </w:r>
      <w:r>
        <w:rPr>
          <w:color w:val="231F20"/>
          <w:w w:val="110"/>
        </w:rPr>
        <w:t>En</w:t>
      </w:r>
      <w:r>
        <w:rPr>
          <w:color w:val="231F20"/>
          <w:spacing w:val="-11"/>
          <w:w w:val="110"/>
        </w:rPr>
        <w:t> </w:t>
      </w:r>
      <w:r>
        <w:rPr>
          <w:color w:val="231F20"/>
          <w:w w:val="110"/>
        </w:rPr>
        <w:t>este</w:t>
      </w:r>
      <w:r>
        <w:rPr>
          <w:color w:val="231F20"/>
          <w:spacing w:val="-11"/>
          <w:w w:val="110"/>
        </w:rPr>
        <w:t> </w:t>
      </w:r>
      <w:r>
        <w:rPr>
          <w:color w:val="231F20"/>
          <w:w w:val="110"/>
        </w:rPr>
        <w:t>entorno,</w:t>
      </w:r>
      <w:r>
        <w:rPr>
          <w:color w:val="231F20"/>
          <w:spacing w:val="-11"/>
          <w:w w:val="110"/>
        </w:rPr>
        <w:t> </w:t>
      </w:r>
      <w:r>
        <w:rPr>
          <w:color w:val="231F20"/>
          <w:w w:val="110"/>
        </w:rPr>
        <w:t>las</w:t>
      </w:r>
      <w:r>
        <w:rPr>
          <w:color w:val="231F20"/>
          <w:spacing w:val="-11"/>
          <w:w w:val="110"/>
        </w:rPr>
        <w:t> </w:t>
      </w:r>
      <w:r>
        <w:rPr>
          <w:color w:val="231F20"/>
          <w:w w:val="110"/>
        </w:rPr>
        <w:t>grandes</w:t>
      </w:r>
      <w:r>
        <w:rPr>
          <w:color w:val="231F20"/>
          <w:spacing w:val="-11"/>
          <w:w w:val="110"/>
        </w:rPr>
        <w:t> </w:t>
      </w:r>
      <w:r>
        <w:rPr>
          <w:color w:val="231F20"/>
          <w:w w:val="110"/>
        </w:rPr>
        <w:t>empresas</w:t>
      </w:r>
      <w:r>
        <w:rPr>
          <w:color w:val="231F20"/>
          <w:spacing w:val="-11"/>
          <w:w w:val="110"/>
        </w:rPr>
        <w:t> </w:t>
      </w:r>
      <w:r>
        <w:rPr>
          <w:color w:val="231F20"/>
          <w:w w:val="110"/>
        </w:rPr>
        <w:t>estaduniden- ses fueron empujadas a sustituir capital por trabajo, introduciendo primero el taylorismo y después el fordismo —dando oportunidad   a salarios altos, porque bajo este régimen la productividad laboral era lo</w:t>
      </w:r>
      <w:r>
        <w:rPr>
          <w:color w:val="231F20"/>
          <w:spacing w:val="32"/>
          <w:w w:val="110"/>
        </w:rPr>
        <w:t> </w:t>
      </w:r>
      <w:r>
        <w:rPr>
          <w:color w:val="231F20"/>
          <w:w w:val="110"/>
        </w:rPr>
        <w:t>fuerte.</w:t>
      </w:r>
    </w:p>
    <w:p>
      <w:pPr>
        <w:pStyle w:val="BodyText"/>
        <w:spacing w:line="261" w:lineRule="auto"/>
        <w:ind w:left="100" w:right="116" w:firstLine="240"/>
        <w:jc w:val="both"/>
      </w:pPr>
      <w:r>
        <w:rPr>
          <w:color w:val="231F20"/>
          <w:w w:val="110"/>
        </w:rPr>
        <w:t>El</w:t>
      </w:r>
      <w:r>
        <w:rPr>
          <w:color w:val="231F20"/>
          <w:spacing w:val="-16"/>
          <w:w w:val="110"/>
        </w:rPr>
        <w:t> </w:t>
      </w:r>
      <w:r>
        <w:rPr>
          <w:color w:val="231F20"/>
          <w:w w:val="110"/>
        </w:rPr>
        <w:t>sistema</w:t>
      </w:r>
      <w:r>
        <w:rPr>
          <w:color w:val="231F20"/>
          <w:spacing w:val="-16"/>
          <w:w w:val="110"/>
        </w:rPr>
        <w:t> </w:t>
      </w:r>
      <w:r>
        <w:rPr>
          <w:color w:val="231F20"/>
          <w:w w:val="110"/>
        </w:rPr>
        <w:t>estadunidense,</w:t>
      </w:r>
      <w:r>
        <w:rPr>
          <w:color w:val="231F20"/>
          <w:spacing w:val="-16"/>
          <w:w w:val="110"/>
        </w:rPr>
        <w:t> </w:t>
      </w:r>
      <w:r>
        <w:rPr>
          <w:color w:val="231F20"/>
          <w:w w:val="110"/>
        </w:rPr>
        <w:t>llamado</w:t>
      </w:r>
      <w:r>
        <w:rPr>
          <w:color w:val="231F20"/>
          <w:spacing w:val="-16"/>
          <w:w w:val="110"/>
        </w:rPr>
        <w:t> </w:t>
      </w:r>
      <w:r>
        <w:rPr>
          <w:color w:val="231F20"/>
          <w:w w:val="110"/>
        </w:rPr>
        <w:t>“americanismo</w:t>
      </w:r>
      <w:r>
        <w:rPr>
          <w:color w:val="231F20"/>
          <w:spacing w:val="-16"/>
          <w:w w:val="110"/>
        </w:rPr>
        <w:t> </w:t>
      </w:r>
      <w:r>
        <w:rPr>
          <w:color w:val="231F20"/>
          <w:w w:val="110"/>
        </w:rPr>
        <w:t>y</w:t>
      </w:r>
      <w:r>
        <w:rPr>
          <w:color w:val="231F20"/>
          <w:spacing w:val="-16"/>
          <w:w w:val="110"/>
        </w:rPr>
        <w:t> </w:t>
      </w:r>
      <w:r>
        <w:rPr>
          <w:color w:val="231F20"/>
          <w:w w:val="110"/>
        </w:rPr>
        <w:t>fordismo”</w:t>
      </w:r>
      <w:r>
        <w:rPr>
          <w:color w:val="231F20"/>
          <w:spacing w:val="-16"/>
          <w:w w:val="110"/>
        </w:rPr>
        <w:t> </w:t>
      </w:r>
      <w:r>
        <w:rPr>
          <w:color w:val="231F20"/>
          <w:w w:val="110"/>
        </w:rPr>
        <w:t>por Gramsci,</w:t>
      </w:r>
      <w:r>
        <w:rPr>
          <w:color w:val="231F20"/>
          <w:spacing w:val="-5"/>
          <w:w w:val="110"/>
        </w:rPr>
        <w:t> </w:t>
      </w:r>
      <w:r>
        <w:rPr>
          <w:color w:val="231F20"/>
          <w:w w:val="110"/>
        </w:rPr>
        <w:t>fue</w:t>
      </w:r>
      <w:r>
        <w:rPr>
          <w:color w:val="231F20"/>
          <w:spacing w:val="-5"/>
          <w:w w:val="110"/>
        </w:rPr>
        <w:t> </w:t>
      </w:r>
      <w:r>
        <w:rPr>
          <w:color w:val="231F20"/>
          <w:w w:val="110"/>
        </w:rPr>
        <w:t>construido</w:t>
      </w:r>
      <w:r>
        <w:rPr>
          <w:color w:val="231F20"/>
          <w:spacing w:val="-5"/>
          <w:w w:val="110"/>
        </w:rPr>
        <w:t> </w:t>
      </w:r>
      <w:r>
        <w:rPr>
          <w:color w:val="231F20"/>
          <w:w w:val="110"/>
        </w:rPr>
        <w:t>sobre:</w:t>
      </w:r>
      <w:r>
        <w:rPr>
          <w:color w:val="231F20"/>
          <w:spacing w:val="-5"/>
          <w:w w:val="110"/>
        </w:rPr>
        <w:t> </w:t>
      </w:r>
      <w:r>
        <w:rPr>
          <w:color w:val="231F20"/>
          <w:w w:val="110"/>
        </w:rPr>
        <w:t>1]</w:t>
      </w:r>
      <w:r>
        <w:rPr>
          <w:color w:val="231F20"/>
          <w:spacing w:val="-5"/>
          <w:w w:val="110"/>
        </w:rPr>
        <w:t> </w:t>
      </w:r>
      <w:r>
        <w:rPr>
          <w:color w:val="231F20"/>
          <w:w w:val="110"/>
        </w:rPr>
        <w:t>una</w:t>
      </w:r>
      <w:r>
        <w:rPr>
          <w:color w:val="231F20"/>
          <w:spacing w:val="-5"/>
          <w:w w:val="110"/>
        </w:rPr>
        <w:t> </w:t>
      </w:r>
      <w:r>
        <w:rPr>
          <w:color w:val="231F20"/>
          <w:w w:val="110"/>
        </w:rPr>
        <w:t>base</w:t>
      </w:r>
      <w:r>
        <w:rPr>
          <w:color w:val="231F20"/>
          <w:spacing w:val="-5"/>
          <w:w w:val="110"/>
        </w:rPr>
        <w:t> </w:t>
      </w:r>
      <w:r>
        <w:rPr>
          <w:color w:val="231F20"/>
          <w:w w:val="110"/>
        </w:rPr>
        <w:t>de</w:t>
      </w:r>
      <w:r>
        <w:rPr>
          <w:color w:val="231F20"/>
          <w:spacing w:val="-5"/>
          <w:w w:val="110"/>
        </w:rPr>
        <w:t> </w:t>
      </w:r>
      <w:r>
        <w:rPr>
          <w:color w:val="231F20"/>
          <w:w w:val="110"/>
        </w:rPr>
        <w:t>materias</w:t>
      </w:r>
      <w:r>
        <w:rPr>
          <w:color w:val="231F20"/>
          <w:spacing w:val="-5"/>
          <w:w w:val="110"/>
        </w:rPr>
        <w:t> </w:t>
      </w:r>
      <w:r>
        <w:rPr>
          <w:color w:val="231F20"/>
          <w:w w:val="110"/>
        </w:rPr>
        <w:t>primas</w:t>
      </w:r>
      <w:r>
        <w:rPr>
          <w:color w:val="231F20"/>
          <w:spacing w:val="-5"/>
          <w:w w:val="110"/>
        </w:rPr>
        <w:t> </w:t>
      </w:r>
      <w:r>
        <w:rPr>
          <w:color w:val="231F20"/>
          <w:w w:val="110"/>
        </w:rPr>
        <w:t>abun- dantes y baratas, 2] un mercado masivo, 3] técnicos de producción intensivos</w:t>
      </w:r>
      <w:r>
        <w:rPr>
          <w:color w:val="231F20"/>
          <w:spacing w:val="-27"/>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w w:val="110"/>
        </w:rPr>
        <w:t>uso</w:t>
      </w:r>
      <w:r>
        <w:rPr>
          <w:color w:val="231F20"/>
          <w:spacing w:val="-27"/>
          <w:w w:val="110"/>
        </w:rPr>
        <w:t> </w:t>
      </w:r>
      <w:r>
        <w:rPr>
          <w:color w:val="231F20"/>
          <w:w w:val="110"/>
        </w:rPr>
        <w:t>de</w:t>
      </w:r>
      <w:r>
        <w:rPr>
          <w:color w:val="231F20"/>
          <w:spacing w:val="-27"/>
          <w:w w:val="110"/>
        </w:rPr>
        <w:t> </w:t>
      </w:r>
      <w:r>
        <w:rPr>
          <w:color w:val="231F20"/>
          <w:w w:val="110"/>
        </w:rPr>
        <w:t>capital</w:t>
      </w:r>
      <w:r>
        <w:rPr>
          <w:color w:val="231F20"/>
          <w:spacing w:val="-27"/>
          <w:w w:val="110"/>
        </w:rPr>
        <w:t> </w:t>
      </w:r>
      <w:r>
        <w:rPr>
          <w:color w:val="231F20"/>
          <w:w w:val="110"/>
        </w:rPr>
        <w:t>y</w:t>
      </w:r>
      <w:r>
        <w:rPr>
          <w:color w:val="231F20"/>
          <w:spacing w:val="-27"/>
          <w:w w:val="110"/>
        </w:rPr>
        <w:t> </w:t>
      </w:r>
      <w:r>
        <w:rPr>
          <w:color w:val="231F20"/>
          <w:w w:val="110"/>
        </w:rPr>
        <w:t>4]</w:t>
      </w:r>
      <w:r>
        <w:rPr>
          <w:color w:val="231F20"/>
          <w:spacing w:val="-27"/>
          <w:w w:val="110"/>
        </w:rPr>
        <w:t> </w:t>
      </w:r>
      <w:r>
        <w:rPr>
          <w:color w:val="231F20"/>
          <w:w w:val="110"/>
        </w:rPr>
        <w:t>economías</w:t>
      </w:r>
      <w:r>
        <w:rPr>
          <w:color w:val="231F20"/>
          <w:spacing w:val="-27"/>
          <w:w w:val="110"/>
        </w:rPr>
        <w:t> </w:t>
      </w:r>
      <w:r>
        <w:rPr>
          <w:color w:val="231F20"/>
          <w:w w:val="110"/>
        </w:rPr>
        <w:t>de</w:t>
      </w:r>
      <w:r>
        <w:rPr>
          <w:color w:val="231F20"/>
          <w:spacing w:val="-27"/>
          <w:w w:val="110"/>
        </w:rPr>
        <w:t> </w:t>
      </w:r>
      <w:r>
        <w:rPr>
          <w:color w:val="231F20"/>
          <w:w w:val="110"/>
        </w:rPr>
        <w:t>escala</w:t>
      </w:r>
      <w:r>
        <w:rPr>
          <w:color w:val="231F20"/>
          <w:spacing w:val="-27"/>
          <w:w w:val="110"/>
        </w:rPr>
        <w:t> </w:t>
      </w:r>
      <w:r>
        <w:rPr>
          <w:color w:val="231F20"/>
          <w:w w:val="110"/>
        </w:rPr>
        <w:t>(Gramsci</w:t>
      </w:r>
      <w:r>
        <w:rPr>
          <w:color w:val="231F20"/>
          <w:spacing w:val="-27"/>
          <w:w w:val="110"/>
        </w:rPr>
        <w:t> </w:t>
      </w:r>
      <w:r>
        <w:rPr>
          <w:color w:val="231F20"/>
          <w:w w:val="110"/>
        </w:rPr>
        <w:t>1971: 277-320).</w:t>
      </w:r>
      <w:r>
        <w:rPr>
          <w:color w:val="231F20"/>
          <w:spacing w:val="-16"/>
          <w:w w:val="110"/>
        </w:rPr>
        <w:t> </w:t>
      </w:r>
      <w:r>
        <w:rPr>
          <w:color w:val="231F20"/>
          <w:w w:val="110"/>
        </w:rPr>
        <w:t>Una</w:t>
      </w:r>
      <w:r>
        <w:rPr>
          <w:color w:val="231F20"/>
          <w:spacing w:val="-16"/>
          <w:w w:val="110"/>
        </w:rPr>
        <w:t> </w:t>
      </w:r>
      <w:r>
        <w:rPr>
          <w:color w:val="231F20"/>
          <w:w w:val="110"/>
        </w:rPr>
        <w:t>estrato</w:t>
      </w:r>
      <w:r>
        <w:rPr>
          <w:color w:val="231F20"/>
          <w:spacing w:val="-16"/>
          <w:w w:val="110"/>
        </w:rPr>
        <w:t> </w:t>
      </w:r>
      <w:r>
        <w:rPr>
          <w:color w:val="231F20"/>
          <w:w w:val="110"/>
        </w:rPr>
        <w:t>social</w:t>
      </w:r>
      <w:r>
        <w:rPr>
          <w:color w:val="231F20"/>
          <w:spacing w:val="-16"/>
          <w:w w:val="110"/>
        </w:rPr>
        <w:t> </w:t>
      </w:r>
      <w:r>
        <w:rPr>
          <w:color w:val="231F20"/>
          <w:w w:val="110"/>
        </w:rPr>
        <w:t>de</w:t>
      </w:r>
      <w:r>
        <w:rPr>
          <w:color w:val="231F20"/>
          <w:spacing w:val="-16"/>
          <w:w w:val="110"/>
        </w:rPr>
        <w:t> </w:t>
      </w:r>
      <w:r>
        <w:rPr>
          <w:color w:val="231F20"/>
          <w:w w:val="110"/>
        </w:rPr>
        <w:t>granjeros</w:t>
      </w:r>
      <w:r>
        <w:rPr>
          <w:color w:val="231F20"/>
          <w:spacing w:val="-16"/>
          <w:w w:val="110"/>
        </w:rPr>
        <w:t> </w:t>
      </w:r>
      <w:r>
        <w:rPr>
          <w:color w:val="231F20"/>
          <w:w w:val="110"/>
        </w:rPr>
        <w:t>prósperos</w:t>
      </w:r>
      <w:r>
        <w:rPr>
          <w:color w:val="231F20"/>
          <w:spacing w:val="-16"/>
          <w:w w:val="110"/>
        </w:rPr>
        <w:t> </w:t>
      </w:r>
      <w:r>
        <w:rPr>
          <w:color w:val="231F20"/>
          <w:w w:val="110"/>
        </w:rPr>
        <w:t>y</w:t>
      </w:r>
      <w:r>
        <w:rPr>
          <w:color w:val="231F20"/>
          <w:spacing w:val="-16"/>
          <w:w w:val="110"/>
        </w:rPr>
        <w:t> </w:t>
      </w:r>
      <w:r>
        <w:rPr>
          <w:color w:val="231F20"/>
          <w:w w:val="110"/>
        </w:rPr>
        <w:t>una</w:t>
      </w:r>
      <w:r>
        <w:rPr>
          <w:color w:val="231F20"/>
          <w:spacing w:val="-16"/>
          <w:w w:val="110"/>
        </w:rPr>
        <w:t> </w:t>
      </w:r>
      <w:r>
        <w:rPr>
          <w:color w:val="231F20"/>
          <w:w w:val="110"/>
        </w:rPr>
        <w:t>capa</w:t>
      </w:r>
      <w:r>
        <w:rPr>
          <w:color w:val="231F20"/>
          <w:spacing w:val="-16"/>
          <w:w w:val="110"/>
        </w:rPr>
        <w:t> </w:t>
      </w:r>
      <w:r>
        <w:rPr>
          <w:color w:val="231F20"/>
          <w:w w:val="110"/>
        </w:rPr>
        <w:t>menor (pero amplia y creciente) de obreros relativamente bien pagados y los</w:t>
      </w:r>
      <w:r>
        <w:rPr>
          <w:color w:val="231F20"/>
          <w:spacing w:val="-9"/>
          <w:w w:val="110"/>
        </w:rPr>
        <w:t> </w:t>
      </w:r>
      <w:r>
        <w:rPr>
          <w:color w:val="231F20"/>
          <w:w w:val="110"/>
        </w:rPr>
        <w:t>profesionales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media,</w:t>
      </w:r>
      <w:r>
        <w:rPr>
          <w:color w:val="231F20"/>
          <w:spacing w:val="-9"/>
          <w:w w:val="110"/>
        </w:rPr>
        <w:t> </w:t>
      </w:r>
      <w:r>
        <w:rPr>
          <w:color w:val="231F20"/>
          <w:w w:val="110"/>
        </w:rPr>
        <w:t>constituyeron</w:t>
      </w:r>
      <w:r>
        <w:rPr>
          <w:color w:val="231F20"/>
          <w:spacing w:val="-9"/>
          <w:w w:val="110"/>
        </w:rPr>
        <w:t> </w:t>
      </w:r>
      <w:r>
        <w:rPr>
          <w:color w:val="231F20"/>
          <w:w w:val="110"/>
        </w:rPr>
        <w:t>el</w:t>
      </w:r>
      <w:r>
        <w:rPr>
          <w:color w:val="231F20"/>
          <w:spacing w:val="-9"/>
          <w:w w:val="110"/>
        </w:rPr>
        <w:t> </w:t>
      </w:r>
      <w:r>
        <w:rPr>
          <w:color w:val="231F20"/>
          <w:w w:val="110"/>
        </w:rPr>
        <w:t>mercado</w:t>
      </w:r>
      <w:r>
        <w:rPr>
          <w:color w:val="231F20"/>
          <w:spacing w:val="-9"/>
          <w:w w:val="110"/>
        </w:rPr>
        <w:t> </w:t>
      </w:r>
      <w:r>
        <w:rPr>
          <w:color w:val="231F20"/>
          <w:w w:val="110"/>
        </w:rPr>
        <w:t>masivo de bienes de consumo ligero y duradero. Además, el mercado para bienes de capital fue impulsado por los granjeros quienes participa- ron directamente en la primera mecanización del campo. El arreglo social estaba muy lejos de ser un proceso fluido, que pudiera ser llamado un “equilibrio móvil” según los economistas neoclásicos. Notablemente, el sistema se deterioró alrededor de 1927  </w:t>
      </w:r>
      <w:r>
        <w:rPr>
          <w:color w:val="231F20"/>
          <w:spacing w:val="27"/>
          <w:w w:val="110"/>
        </w:rPr>
        <w:t> </w:t>
      </w:r>
      <w:r>
        <w:rPr>
          <w:color w:val="231F20"/>
          <w:w w:val="110"/>
        </w:rPr>
        <w:t>—cuando</w:t>
      </w:r>
    </w:p>
    <w:p>
      <w:pPr>
        <w:spacing w:after="0" w:line="261" w:lineRule="auto"/>
        <w:jc w:val="both"/>
        <w:sectPr>
          <w:headerReference w:type="even" r:id="rId253"/>
          <w:headerReference w:type="default" r:id="rId254"/>
          <w:pgSz w:w="7640" w:h="11900"/>
          <w:pgMar w:header="672" w:footer="0" w:top="860" w:bottom="280" w:left="780" w:right="640"/>
          <w:pgNumType w:start="332"/>
        </w:sectPr>
      </w:pPr>
    </w:p>
    <w:p>
      <w:pPr>
        <w:pStyle w:val="BodyText"/>
        <w:spacing w:before="8"/>
        <w:rPr>
          <w:sz w:val="8"/>
        </w:rPr>
      </w:pPr>
    </w:p>
    <w:p>
      <w:pPr>
        <w:pStyle w:val="BodyText"/>
        <w:spacing w:line="261" w:lineRule="auto" w:before="67"/>
        <w:ind w:left="100" w:right="119"/>
        <w:jc w:val="both"/>
        <w:rPr>
          <w:i/>
        </w:rPr>
      </w:pPr>
      <w:r>
        <w:rPr>
          <w:color w:val="231F20"/>
          <w:w w:val="110"/>
        </w:rPr>
        <w:t>hubo sobreproducción masiva y capacidad ociosa, sobre todo en las ramas vinculadas con la industria automotriz. Como</w:t>
      </w:r>
      <w:r>
        <w:rPr>
          <w:color w:val="231F20"/>
          <w:spacing w:val="-27"/>
          <w:w w:val="110"/>
        </w:rPr>
        <w:t> </w:t>
      </w:r>
      <w:r>
        <w:rPr>
          <w:color w:val="231F20"/>
          <w:w w:val="110"/>
        </w:rPr>
        <w:t>respuesta</w:t>
      </w:r>
      <w:r>
        <w:rPr>
          <w:color w:val="231F20"/>
          <w:spacing w:val="-4"/>
          <w:w w:val="110"/>
        </w:rPr>
        <w:t> </w:t>
      </w:r>
      <w:r>
        <w:rPr>
          <w:color w:val="231F20"/>
          <w:w w:val="110"/>
        </w:rPr>
        <w:t>social</w:t>
      </w:r>
      <w:r>
        <w:rPr>
          <w:color w:val="231F20"/>
          <w:w w:val="103"/>
        </w:rPr>
        <w:t> </w:t>
      </w:r>
      <w:r>
        <w:rPr>
          <w:color w:val="231F20"/>
          <w:w w:val="110"/>
        </w:rPr>
        <w:t>a la gran depresión, una nueva estructura social de acumulación fue </w:t>
      </w:r>
      <w:r>
        <w:rPr>
          <w:color w:val="231F20"/>
          <w:w w:val="105"/>
        </w:rPr>
        <w:t>construida,</w:t>
      </w:r>
      <w:r>
        <w:rPr>
          <w:color w:val="231F20"/>
          <w:spacing w:val="-24"/>
          <w:w w:val="105"/>
        </w:rPr>
        <w:t> </w:t>
      </w:r>
      <w:r>
        <w:rPr>
          <w:color w:val="231F20"/>
          <w:w w:val="105"/>
        </w:rPr>
        <w:t>conocida</w:t>
      </w:r>
      <w:r>
        <w:rPr>
          <w:color w:val="231F20"/>
          <w:spacing w:val="-24"/>
          <w:w w:val="105"/>
        </w:rPr>
        <w:t> </w:t>
      </w:r>
      <w:r>
        <w:rPr>
          <w:color w:val="231F20"/>
          <w:w w:val="105"/>
        </w:rPr>
        <w:t>como</w:t>
      </w:r>
      <w:r>
        <w:rPr>
          <w:color w:val="231F20"/>
          <w:spacing w:val="-24"/>
          <w:w w:val="105"/>
        </w:rPr>
        <w:t> </w:t>
      </w:r>
      <w:r>
        <w:rPr>
          <w:color w:val="231F20"/>
          <w:w w:val="105"/>
        </w:rPr>
        <w:t>el</w:t>
      </w:r>
      <w:r>
        <w:rPr>
          <w:color w:val="231F20"/>
          <w:spacing w:val="-24"/>
          <w:w w:val="105"/>
        </w:rPr>
        <w:t> </w:t>
      </w:r>
      <w:r>
        <w:rPr>
          <w:i/>
          <w:color w:val="231F20"/>
          <w:w w:val="105"/>
        </w:rPr>
        <w:t>capitalismo</w:t>
      </w:r>
      <w:r>
        <w:rPr>
          <w:i/>
          <w:color w:val="231F20"/>
          <w:spacing w:val="-24"/>
          <w:w w:val="105"/>
        </w:rPr>
        <w:t> </w:t>
      </w:r>
      <w:r>
        <w:rPr>
          <w:i/>
          <w:color w:val="231F20"/>
          <w:w w:val="105"/>
        </w:rPr>
        <w:t>monopolista</w:t>
      </w:r>
      <w:r>
        <w:rPr>
          <w:i/>
          <w:color w:val="231F20"/>
          <w:spacing w:val="-24"/>
          <w:w w:val="105"/>
        </w:rPr>
        <w:t> </w:t>
      </w:r>
      <w:r>
        <w:rPr>
          <w:i/>
          <w:color w:val="231F20"/>
          <w:w w:val="105"/>
        </w:rPr>
        <w:t>del</w:t>
      </w:r>
      <w:r>
        <w:rPr>
          <w:i/>
          <w:color w:val="231F20"/>
          <w:spacing w:val="-24"/>
          <w:w w:val="105"/>
        </w:rPr>
        <w:t> </w:t>
      </w:r>
      <w:r>
        <w:rPr>
          <w:i/>
          <w:color w:val="231F20"/>
          <w:w w:val="105"/>
        </w:rPr>
        <w:t>estado</w:t>
      </w:r>
      <w:r>
        <w:rPr>
          <w:color w:val="231F20"/>
          <w:w w:val="105"/>
        </w:rPr>
        <w:t>.</w:t>
      </w:r>
      <w:r>
        <w:rPr>
          <w:color w:val="231F20"/>
          <w:spacing w:val="-24"/>
          <w:w w:val="105"/>
        </w:rPr>
        <w:t> </w:t>
      </w:r>
      <w:r>
        <w:rPr>
          <w:color w:val="231F20"/>
          <w:w w:val="105"/>
        </w:rPr>
        <w:t>Hoy</w:t>
      </w:r>
      <w:r>
        <w:rPr>
          <w:color w:val="231F20"/>
          <w:spacing w:val="-24"/>
          <w:w w:val="105"/>
        </w:rPr>
        <w:t> </w:t>
      </w:r>
      <w:r>
        <w:rPr>
          <w:color w:val="231F20"/>
          <w:w w:val="105"/>
        </w:rPr>
        <w:t>en </w:t>
      </w:r>
      <w:r>
        <w:rPr>
          <w:color w:val="231F20"/>
          <w:w w:val="110"/>
        </w:rPr>
        <w:t>día la columna vertebral de esta etapa —el complejo militar indus- trial—</w:t>
      </w:r>
      <w:r>
        <w:rPr>
          <w:color w:val="231F20"/>
          <w:spacing w:val="-17"/>
          <w:w w:val="110"/>
        </w:rPr>
        <w:t> </w:t>
      </w:r>
      <w:r>
        <w:rPr>
          <w:color w:val="231F20"/>
          <w:w w:val="110"/>
        </w:rPr>
        <w:t>se</w:t>
      </w:r>
      <w:r>
        <w:rPr>
          <w:color w:val="231F20"/>
          <w:spacing w:val="-17"/>
          <w:w w:val="110"/>
        </w:rPr>
        <w:t> </w:t>
      </w:r>
      <w:r>
        <w:rPr>
          <w:color w:val="231F20"/>
          <w:w w:val="110"/>
        </w:rPr>
        <w:t>queda</w:t>
      </w:r>
      <w:r>
        <w:rPr>
          <w:color w:val="231F20"/>
          <w:spacing w:val="-17"/>
          <w:w w:val="110"/>
        </w:rPr>
        <w:t> </w:t>
      </w:r>
      <w:r>
        <w:rPr>
          <w:color w:val="231F20"/>
          <w:w w:val="110"/>
        </w:rPr>
        <w:t>como</w:t>
      </w:r>
      <w:r>
        <w:rPr>
          <w:color w:val="231F20"/>
          <w:spacing w:val="-17"/>
          <w:w w:val="110"/>
        </w:rPr>
        <w:t> </w:t>
      </w:r>
      <w:r>
        <w:rPr>
          <w:color w:val="231F20"/>
          <w:w w:val="110"/>
        </w:rPr>
        <w:t>un</w:t>
      </w:r>
      <w:r>
        <w:rPr>
          <w:color w:val="231F20"/>
          <w:spacing w:val="-17"/>
          <w:w w:val="110"/>
        </w:rPr>
        <w:t> </w:t>
      </w:r>
      <w:r>
        <w:rPr>
          <w:color w:val="231F20"/>
          <w:w w:val="110"/>
        </w:rPr>
        <w:t>difusor</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i/>
          <w:color w:val="231F20"/>
          <w:w w:val="110"/>
        </w:rPr>
        <w:t>economía</w:t>
      </w:r>
      <w:r>
        <w:rPr>
          <w:i/>
          <w:color w:val="231F20"/>
          <w:spacing w:val="-17"/>
          <w:w w:val="110"/>
        </w:rPr>
        <w:t> </w:t>
      </w:r>
      <w:r>
        <w:rPr>
          <w:i/>
          <w:color w:val="231F20"/>
          <w:w w:val="110"/>
        </w:rPr>
        <w:t>tripartita.</w:t>
      </w:r>
    </w:p>
    <w:p>
      <w:pPr>
        <w:pStyle w:val="BodyText"/>
        <w:spacing w:line="261" w:lineRule="auto"/>
        <w:ind w:left="100" w:right="117" w:firstLine="240"/>
        <w:jc w:val="both"/>
      </w:pPr>
      <w:r>
        <w:rPr>
          <w:color w:val="231F20"/>
          <w:w w:val="105"/>
        </w:rPr>
        <w:t>Así, la </w:t>
      </w:r>
      <w:r>
        <w:rPr>
          <w:i/>
          <w:color w:val="231F20"/>
          <w:w w:val="105"/>
        </w:rPr>
        <w:t>economía tripartita </w:t>
      </w:r>
      <w:r>
        <w:rPr>
          <w:color w:val="231F20"/>
          <w:w w:val="105"/>
        </w:rPr>
        <w:t>se va a pique por las mismas razones que hemos visto en los años veinte —sobreproducción masiva y fraude       y apalancamiento desenfrenado del sector financiero no regulado. Claro, los dos últimos decenios ha sido marcados por el consumo ostentoso de los nuevos ricos y la legitimación de estas prácticas por parte de un pueblo sumiso. Pero ni con eso, como fue probado, en los años veinte del siglo pasado y en los tiempos de los barones ladrones, sería posible de cerrar la brecha entre la potencial producción del sistema y la demanda agregada   </w:t>
      </w:r>
      <w:r>
        <w:rPr>
          <w:color w:val="231F20"/>
          <w:spacing w:val="2"/>
          <w:w w:val="105"/>
        </w:rPr>
        <w:t> </w:t>
      </w:r>
      <w:r>
        <w:rPr>
          <w:color w:val="231F20"/>
          <w:w w:val="105"/>
        </w:rPr>
        <w:t>limitada.</w:t>
      </w:r>
    </w:p>
    <w:p>
      <w:pPr>
        <w:pStyle w:val="BodyText"/>
        <w:spacing w:line="261" w:lineRule="auto"/>
        <w:ind w:left="100" w:right="117" w:firstLine="252"/>
        <w:jc w:val="both"/>
      </w:pPr>
      <w:r>
        <w:rPr>
          <w:color w:val="231F20"/>
          <w:w w:val="110"/>
        </w:rPr>
        <w:t>El gran misterio de la </w:t>
      </w:r>
      <w:r>
        <w:rPr>
          <w:i/>
          <w:color w:val="231F20"/>
          <w:w w:val="110"/>
        </w:rPr>
        <w:t>economía tripartita </w:t>
      </w:r>
      <w:r>
        <w:rPr>
          <w:color w:val="231F20"/>
          <w:w w:val="110"/>
        </w:rPr>
        <w:t>es ¿por dónde está la sustentabilidad de la demanda efectiva? La respuesta es: no existe, por eso las dos crisis del siglo xxi. Además, sirviendo ambas como “solución” y “causa”, podemos ubicar nuevas formas de apostar, arriesgando la estabilidad individual y la social. Tenemos que poner en relieve cuatro elementos claves del nuevo entorno  económico:</w:t>
      </w:r>
    </w:p>
    <w:p>
      <w:pPr>
        <w:pStyle w:val="BodyText"/>
        <w:spacing w:before="10"/>
      </w:pPr>
    </w:p>
    <w:p>
      <w:pPr>
        <w:pStyle w:val="ListParagraph"/>
        <w:numPr>
          <w:ilvl w:val="0"/>
          <w:numId w:val="8"/>
        </w:numPr>
        <w:tabs>
          <w:tab w:pos="460" w:val="left" w:leader="none"/>
        </w:tabs>
        <w:spacing w:line="261" w:lineRule="auto" w:before="0" w:after="0"/>
        <w:ind w:left="460" w:right="118" w:hanging="160"/>
        <w:jc w:val="both"/>
        <w:rPr>
          <w:sz w:val="20"/>
        </w:rPr>
      </w:pPr>
      <w:r>
        <w:rPr>
          <w:i/>
          <w:color w:val="231F20"/>
          <w:w w:val="110"/>
          <w:sz w:val="20"/>
        </w:rPr>
        <w:t>apostando,</w:t>
      </w:r>
      <w:r>
        <w:rPr>
          <w:i/>
          <w:color w:val="231F20"/>
          <w:spacing w:val="-11"/>
          <w:w w:val="110"/>
          <w:sz w:val="20"/>
        </w:rPr>
        <w:t> </w:t>
      </w:r>
      <w:r>
        <w:rPr>
          <w:i/>
          <w:color w:val="231F20"/>
          <w:w w:val="110"/>
          <w:sz w:val="20"/>
        </w:rPr>
        <w:t>en</w:t>
      </w:r>
      <w:r>
        <w:rPr>
          <w:i/>
          <w:color w:val="231F20"/>
          <w:spacing w:val="-11"/>
          <w:w w:val="110"/>
          <w:sz w:val="20"/>
        </w:rPr>
        <w:t> </w:t>
      </w:r>
      <w:r>
        <w:rPr>
          <w:i/>
          <w:color w:val="231F20"/>
          <w:w w:val="110"/>
          <w:sz w:val="20"/>
        </w:rPr>
        <w:t>forma</w:t>
      </w:r>
      <w:r>
        <w:rPr>
          <w:i/>
          <w:color w:val="231F20"/>
          <w:spacing w:val="-11"/>
          <w:w w:val="110"/>
          <w:sz w:val="20"/>
        </w:rPr>
        <w:t> </w:t>
      </w:r>
      <w:r>
        <w:rPr>
          <w:i/>
          <w:color w:val="231F20"/>
          <w:w w:val="110"/>
          <w:sz w:val="20"/>
        </w:rPr>
        <w:t>literal</w:t>
      </w:r>
      <w:r>
        <w:rPr>
          <w:color w:val="231F20"/>
          <w:w w:val="110"/>
          <w:sz w:val="20"/>
        </w:rPr>
        <w:t>:</w:t>
      </w:r>
      <w:r>
        <w:rPr>
          <w:color w:val="231F20"/>
          <w:spacing w:val="-11"/>
          <w:w w:val="110"/>
          <w:sz w:val="20"/>
        </w:rPr>
        <w:t> </w:t>
      </w:r>
      <w:r>
        <w:rPr>
          <w:color w:val="231F20"/>
          <w:w w:val="110"/>
          <w:sz w:val="20"/>
        </w:rPr>
        <w:t>en</w:t>
      </w:r>
      <w:r>
        <w:rPr>
          <w:color w:val="231F20"/>
          <w:spacing w:val="-11"/>
          <w:w w:val="110"/>
          <w:sz w:val="20"/>
        </w:rPr>
        <w:t> </w:t>
      </w:r>
      <w:r>
        <w:rPr>
          <w:color w:val="231F20"/>
          <w:w w:val="110"/>
          <w:sz w:val="20"/>
        </w:rPr>
        <w:t>casi</w:t>
      </w:r>
      <w:r>
        <w:rPr>
          <w:color w:val="231F20"/>
          <w:spacing w:val="-11"/>
          <w:w w:val="110"/>
          <w:sz w:val="20"/>
        </w:rPr>
        <w:t> </w:t>
      </w:r>
      <w:r>
        <w:rPr>
          <w:color w:val="231F20"/>
          <w:w w:val="110"/>
          <w:sz w:val="20"/>
        </w:rPr>
        <w:t>todos</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estados,</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casinos</w:t>
      </w:r>
      <w:r>
        <w:rPr>
          <w:color w:val="231F20"/>
          <w:w w:val="105"/>
          <w:sz w:val="20"/>
        </w:rPr>
        <w:t> </w:t>
      </w:r>
      <w:r>
        <w:rPr>
          <w:color w:val="231F20"/>
          <w:w w:val="110"/>
          <w:sz w:val="20"/>
        </w:rPr>
        <w:t>han proliferados en los años neoliberales. En los pocos estados en donde estas actividades son prohibidas, frecuentemente es posible abordar un buque e irse al estado vecino y apostar su salario, o su apoyo público (como los ingresos recibidos por el seguro de desempleo). Hay un proceso doblemente perverso en la proliferación de los casinos: primero, dado el estancamiento de</w:t>
      </w:r>
      <w:r>
        <w:rPr>
          <w:color w:val="231F20"/>
          <w:spacing w:val="-21"/>
          <w:w w:val="110"/>
          <w:sz w:val="20"/>
        </w:rPr>
        <w:t> </w:t>
      </w:r>
      <w:r>
        <w:rPr>
          <w:color w:val="231F20"/>
          <w:w w:val="110"/>
          <w:sz w:val="20"/>
        </w:rPr>
        <w:t>los</w:t>
      </w:r>
      <w:r>
        <w:rPr>
          <w:color w:val="231F20"/>
          <w:spacing w:val="-21"/>
          <w:w w:val="110"/>
          <w:sz w:val="20"/>
        </w:rPr>
        <w:t> </w:t>
      </w:r>
      <w:r>
        <w:rPr>
          <w:color w:val="231F20"/>
          <w:w w:val="110"/>
          <w:sz w:val="20"/>
        </w:rPr>
        <w:t>salarios,</w:t>
      </w:r>
      <w:r>
        <w:rPr>
          <w:color w:val="231F20"/>
          <w:spacing w:val="-21"/>
          <w:w w:val="110"/>
          <w:sz w:val="20"/>
        </w:rPr>
        <w:t> </w:t>
      </w:r>
      <w:r>
        <w:rPr>
          <w:color w:val="231F20"/>
          <w:w w:val="110"/>
          <w:sz w:val="20"/>
        </w:rPr>
        <w:t>muchos</w:t>
      </w:r>
      <w:r>
        <w:rPr>
          <w:color w:val="231F20"/>
          <w:spacing w:val="-21"/>
          <w:w w:val="110"/>
          <w:sz w:val="20"/>
        </w:rPr>
        <w:t> </w:t>
      </w:r>
      <w:r>
        <w:rPr>
          <w:color w:val="231F20"/>
          <w:w w:val="110"/>
          <w:sz w:val="20"/>
        </w:rPr>
        <w:t>miembros</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clase</w:t>
      </w:r>
      <w:r>
        <w:rPr>
          <w:color w:val="231F20"/>
          <w:spacing w:val="-21"/>
          <w:w w:val="110"/>
          <w:sz w:val="20"/>
        </w:rPr>
        <w:t> </w:t>
      </w:r>
      <w:r>
        <w:rPr>
          <w:color w:val="231F20"/>
          <w:w w:val="110"/>
          <w:sz w:val="20"/>
        </w:rPr>
        <w:t>trabajadora</w:t>
      </w:r>
      <w:r>
        <w:rPr>
          <w:color w:val="231F20"/>
          <w:spacing w:val="-21"/>
          <w:w w:val="110"/>
          <w:sz w:val="20"/>
        </w:rPr>
        <w:t> </w:t>
      </w:r>
      <w:r>
        <w:rPr>
          <w:color w:val="231F20"/>
          <w:w w:val="110"/>
          <w:sz w:val="20"/>
        </w:rPr>
        <w:t>y</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clase media han decidido que la manera de lograr el sueño americano es apostar en los juegos de los casinos. Del otro lado 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mo-</w:t>
      </w:r>
      <w:r>
        <w:rPr>
          <w:color w:val="231F20"/>
          <w:w w:val="72"/>
          <w:sz w:val="20"/>
        </w:rPr>
        <w:t> </w:t>
      </w:r>
      <w:r>
        <w:rPr>
          <w:color w:val="231F20"/>
          <w:w w:val="110"/>
          <w:sz w:val="20"/>
        </w:rPr>
        <w:t>neda, las inmensas inversiones en casinos, hoteles, restaurantes, etc., han sido un apoyo sustantivo en cuanto a la creación de empleo directo y por la industria de la </w:t>
      </w:r>
      <w:r>
        <w:rPr>
          <w:color w:val="231F20"/>
          <w:spacing w:val="33"/>
          <w:w w:val="110"/>
          <w:sz w:val="20"/>
        </w:rPr>
        <w:t> </w:t>
      </w:r>
      <w:r>
        <w:rPr>
          <w:color w:val="231F20"/>
          <w:w w:val="110"/>
          <w:sz w:val="20"/>
        </w:rPr>
        <w:t>construcción.</w:t>
      </w:r>
    </w:p>
    <w:p>
      <w:pPr>
        <w:pStyle w:val="BodyText"/>
        <w:spacing w:line="261" w:lineRule="auto"/>
        <w:ind w:left="460" w:right="119" w:firstLine="202"/>
        <w:jc w:val="both"/>
      </w:pPr>
      <w:r>
        <w:rPr>
          <w:color w:val="231F20"/>
          <w:w w:val="110"/>
        </w:rPr>
        <w:t>Entrando en serio en este proceso, los gobiernos estatales instauraron loterías con propaganda extensiva sobre enormes premios. Antes de la época neoliberal tales loterías fueron des- conocidas.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460" w:right="115" w:firstLine="200"/>
        <w:jc w:val="both"/>
      </w:pPr>
      <w:r>
        <w:rPr>
          <w:color w:val="231F20"/>
          <w:w w:val="110"/>
        </w:rPr>
        <w:t>En 1988 se promulgó una ley sobre la regulación de casinos operados por las tribus indígenas. Como resultado, hasta 2006 más de 200 de las 562 tribus indígenas han construido “gran- des” casinos. Los ingresos han explotado desde 100 millones  de dólares en 1988 hasta 17 mil millones de dólares en 2006.  Sin embargo, para los que están lejos de un casino, hay juegos “en línea”. Esto ya es permitido en 40 estados en donde los ciudadanos pueden apostar sin límites ni restricciones. Según estimaciones,</w:t>
      </w:r>
      <w:r>
        <w:rPr>
          <w:color w:val="231F20"/>
          <w:spacing w:val="-8"/>
          <w:w w:val="110"/>
        </w:rPr>
        <w:t> </w:t>
      </w:r>
      <w:r>
        <w:rPr>
          <w:color w:val="231F20"/>
          <w:w w:val="110"/>
        </w:rPr>
        <w:t>en</w:t>
      </w:r>
      <w:r>
        <w:rPr>
          <w:color w:val="231F20"/>
          <w:spacing w:val="-8"/>
          <w:w w:val="110"/>
        </w:rPr>
        <w:t> </w:t>
      </w:r>
      <w:r>
        <w:rPr>
          <w:color w:val="231F20"/>
          <w:w w:val="110"/>
        </w:rPr>
        <w:t>2009</w:t>
      </w:r>
      <w:r>
        <w:rPr>
          <w:color w:val="231F20"/>
          <w:spacing w:val="-8"/>
          <w:w w:val="110"/>
        </w:rPr>
        <w:t> </w:t>
      </w:r>
      <w:r>
        <w:rPr>
          <w:color w:val="231F20"/>
          <w:w w:val="110"/>
        </w:rPr>
        <w:t>el</w:t>
      </w:r>
      <w:r>
        <w:rPr>
          <w:color w:val="231F20"/>
          <w:spacing w:val="-8"/>
          <w:w w:val="110"/>
        </w:rPr>
        <w:t> </w:t>
      </w:r>
      <w:r>
        <w:rPr>
          <w:color w:val="231F20"/>
          <w:w w:val="110"/>
        </w:rPr>
        <w:t>volumen</w:t>
      </w:r>
      <w:r>
        <w:rPr>
          <w:color w:val="231F20"/>
          <w:spacing w:val="-8"/>
          <w:w w:val="110"/>
        </w:rPr>
        <w:t> </w:t>
      </w:r>
      <w:r>
        <w:rPr>
          <w:color w:val="231F20"/>
          <w:w w:val="110"/>
        </w:rPr>
        <w:t>de</w:t>
      </w:r>
      <w:r>
        <w:rPr>
          <w:color w:val="231F20"/>
          <w:spacing w:val="-8"/>
          <w:w w:val="110"/>
        </w:rPr>
        <w:t> </w:t>
      </w:r>
      <w:r>
        <w:rPr>
          <w:color w:val="231F20"/>
          <w:w w:val="110"/>
        </w:rPr>
        <w:t>apuestas</w:t>
      </w:r>
      <w:r>
        <w:rPr>
          <w:color w:val="231F20"/>
          <w:spacing w:val="-8"/>
          <w:w w:val="110"/>
        </w:rPr>
        <w:t> </w:t>
      </w:r>
      <w:r>
        <w:rPr>
          <w:color w:val="231F20"/>
          <w:w w:val="110"/>
        </w:rPr>
        <w:t>alcanzó</w:t>
      </w:r>
      <w:r>
        <w:rPr>
          <w:color w:val="231F20"/>
          <w:spacing w:val="-8"/>
          <w:w w:val="110"/>
        </w:rPr>
        <w:t> </w:t>
      </w:r>
      <w:r>
        <w:rPr>
          <w:color w:val="231F20"/>
          <w:w w:val="110"/>
        </w:rPr>
        <w:t>los</w:t>
      </w:r>
      <w:r>
        <w:rPr>
          <w:color w:val="231F20"/>
          <w:spacing w:val="-8"/>
          <w:w w:val="110"/>
        </w:rPr>
        <w:t> </w:t>
      </w:r>
      <w:r>
        <w:rPr>
          <w:color w:val="231F20"/>
          <w:w w:val="110"/>
        </w:rPr>
        <w:t>20</w:t>
      </w:r>
      <w:r>
        <w:rPr>
          <w:color w:val="231F20"/>
          <w:spacing w:val="-8"/>
          <w:w w:val="110"/>
        </w:rPr>
        <w:t> </w:t>
      </w:r>
      <w:r>
        <w:rPr>
          <w:color w:val="231F20"/>
          <w:w w:val="110"/>
        </w:rPr>
        <w:t>mil millones de</w:t>
      </w:r>
      <w:r>
        <w:rPr>
          <w:color w:val="231F20"/>
          <w:spacing w:val="8"/>
          <w:w w:val="110"/>
        </w:rPr>
        <w:t> </w:t>
      </w:r>
      <w:r>
        <w:rPr>
          <w:color w:val="231F20"/>
          <w:w w:val="110"/>
        </w:rPr>
        <w:t>dólares.</w:t>
      </w:r>
    </w:p>
    <w:p>
      <w:pPr>
        <w:pStyle w:val="ListParagraph"/>
        <w:numPr>
          <w:ilvl w:val="0"/>
          <w:numId w:val="8"/>
        </w:numPr>
        <w:tabs>
          <w:tab w:pos="460" w:val="left" w:leader="none"/>
        </w:tabs>
        <w:spacing w:line="261" w:lineRule="auto" w:before="0" w:after="0"/>
        <w:ind w:left="460" w:right="117" w:hanging="160"/>
        <w:jc w:val="both"/>
        <w:rPr>
          <w:sz w:val="20"/>
        </w:rPr>
      </w:pPr>
      <w:r>
        <w:rPr>
          <w:i/>
          <w:color w:val="231F20"/>
          <w:w w:val="105"/>
          <w:sz w:val="20"/>
        </w:rPr>
        <w:t>Apostando</w:t>
      </w:r>
      <w:r>
        <w:rPr>
          <w:i/>
          <w:color w:val="231F20"/>
          <w:spacing w:val="-9"/>
          <w:w w:val="105"/>
          <w:sz w:val="20"/>
        </w:rPr>
        <w:t> </w:t>
      </w:r>
      <w:r>
        <w:rPr>
          <w:i/>
          <w:color w:val="231F20"/>
          <w:w w:val="105"/>
          <w:sz w:val="20"/>
        </w:rPr>
        <w:t>ideologicamente</w:t>
      </w:r>
      <w:r>
        <w:rPr>
          <w:i/>
          <w:color w:val="231F20"/>
          <w:spacing w:val="-35"/>
          <w:w w:val="105"/>
          <w:sz w:val="20"/>
        </w:rPr>
        <w:t> </w:t>
      </w:r>
      <w:r>
        <w:rPr>
          <w:color w:val="231F20"/>
          <w:w w:val="105"/>
          <w:sz w:val="20"/>
        </w:rPr>
        <w:t>:</w:t>
      </w:r>
      <w:r>
        <w:rPr>
          <w:color w:val="231F20"/>
          <w:spacing w:val="-9"/>
          <w:w w:val="105"/>
          <w:sz w:val="20"/>
        </w:rPr>
        <w:t> </w:t>
      </w:r>
      <w:r>
        <w:rPr>
          <w:color w:val="231F20"/>
          <w:w w:val="105"/>
          <w:sz w:val="20"/>
        </w:rPr>
        <w:t>el</w:t>
      </w:r>
      <w:r>
        <w:rPr>
          <w:color w:val="231F20"/>
          <w:spacing w:val="-9"/>
          <w:w w:val="105"/>
          <w:sz w:val="20"/>
        </w:rPr>
        <w:t> </w:t>
      </w:r>
      <w:r>
        <w:rPr>
          <w:color w:val="231F20"/>
          <w:w w:val="105"/>
          <w:sz w:val="20"/>
        </w:rPr>
        <w:t>aumento</w:t>
      </w:r>
      <w:r>
        <w:rPr>
          <w:color w:val="231F20"/>
          <w:spacing w:val="-9"/>
          <w:w w:val="105"/>
          <w:sz w:val="20"/>
        </w:rPr>
        <w:t> </w:t>
      </w:r>
      <w:r>
        <w:rPr>
          <w:color w:val="231F20"/>
          <w:w w:val="105"/>
          <w:sz w:val="20"/>
        </w:rPr>
        <w:t>notable</w:t>
      </w:r>
      <w:r>
        <w:rPr>
          <w:color w:val="231F20"/>
          <w:spacing w:val="-9"/>
          <w:w w:val="105"/>
          <w:sz w:val="20"/>
        </w:rPr>
        <w:t> </w:t>
      </w:r>
      <w:r>
        <w:rPr>
          <w:color w:val="231F20"/>
          <w:w w:val="105"/>
          <w:sz w:val="20"/>
        </w:rPr>
        <w:t>del</w:t>
      </w:r>
      <w:r>
        <w:rPr>
          <w:color w:val="231F20"/>
          <w:spacing w:val="-9"/>
          <w:w w:val="105"/>
          <w:sz w:val="20"/>
        </w:rPr>
        <w:t> </w:t>
      </w:r>
      <w:r>
        <w:rPr>
          <w:color w:val="231F20"/>
          <w:w w:val="105"/>
          <w:sz w:val="20"/>
        </w:rPr>
        <w:t>fundamentalis- </w:t>
      </w:r>
      <w:r>
        <w:rPr>
          <w:color w:val="231F20"/>
          <w:w w:val="110"/>
          <w:sz w:val="20"/>
        </w:rPr>
        <w:t>mo cristiano es aún más un resultado del desplazamiento hacia el</w:t>
      </w:r>
      <w:r>
        <w:rPr>
          <w:color w:val="231F20"/>
          <w:spacing w:val="-4"/>
          <w:w w:val="110"/>
          <w:sz w:val="20"/>
        </w:rPr>
        <w:t> </w:t>
      </w:r>
      <w:r>
        <w:rPr>
          <w:color w:val="231F20"/>
          <w:w w:val="110"/>
          <w:sz w:val="20"/>
        </w:rPr>
        <w:t>neoliberalismo.</w:t>
      </w:r>
    </w:p>
    <w:p>
      <w:pPr>
        <w:pStyle w:val="BodyText"/>
        <w:spacing w:line="261" w:lineRule="auto"/>
        <w:ind w:left="460" w:right="117" w:firstLine="200"/>
        <w:jc w:val="both"/>
      </w:pPr>
      <w:r>
        <w:rPr>
          <w:color w:val="231F20"/>
          <w:w w:val="110"/>
        </w:rPr>
        <w:t>El</w:t>
      </w:r>
      <w:r>
        <w:rPr>
          <w:color w:val="231F20"/>
          <w:spacing w:val="-16"/>
          <w:w w:val="110"/>
        </w:rPr>
        <w:t> </w:t>
      </w:r>
      <w:r>
        <w:rPr>
          <w:color w:val="231F20"/>
          <w:w w:val="110"/>
        </w:rPr>
        <w:t>predicador</w:t>
      </w:r>
      <w:r>
        <w:rPr>
          <w:color w:val="231F20"/>
          <w:spacing w:val="-16"/>
          <w:w w:val="110"/>
        </w:rPr>
        <w:t> </w:t>
      </w:r>
      <w:r>
        <w:rPr>
          <w:color w:val="231F20"/>
          <w:w w:val="110"/>
        </w:rPr>
        <w:t>fundamentalista</w:t>
      </w:r>
      <w:r>
        <w:rPr>
          <w:color w:val="231F20"/>
          <w:spacing w:val="-16"/>
          <w:w w:val="110"/>
        </w:rPr>
        <w:t> </w:t>
      </w:r>
      <w:r>
        <w:rPr>
          <w:color w:val="231F20"/>
          <w:w w:val="110"/>
        </w:rPr>
        <w:t>Oral</w:t>
      </w:r>
      <w:r>
        <w:rPr>
          <w:color w:val="231F20"/>
          <w:spacing w:val="-16"/>
          <w:w w:val="110"/>
        </w:rPr>
        <w:t> </w:t>
      </w:r>
      <w:r>
        <w:rPr>
          <w:color w:val="231F20"/>
          <w:w w:val="110"/>
        </w:rPr>
        <w:t>Roberts</w:t>
      </w:r>
      <w:r>
        <w:rPr>
          <w:color w:val="231F20"/>
          <w:spacing w:val="-16"/>
          <w:w w:val="110"/>
        </w:rPr>
        <w:t> </w:t>
      </w:r>
      <w:r>
        <w:rPr>
          <w:color w:val="231F20"/>
          <w:w w:val="110"/>
        </w:rPr>
        <w:t>(1918-20009)</w:t>
      </w:r>
      <w:r>
        <w:rPr>
          <w:color w:val="231F20"/>
          <w:spacing w:val="-16"/>
          <w:w w:val="110"/>
        </w:rPr>
        <w:t> </w:t>
      </w:r>
      <w:r>
        <w:rPr>
          <w:color w:val="231F20"/>
          <w:w w:val="110"/>
        </w:rPr>
        <w:t>creó el “Evangelio de la prosperidad”. Éste es un artefacto cultural importante de la era neoliberal: se anuncia que los que están en un estado de gracia serán recompensados con una munificencia de bienes terrenales. Dios es listo para dar a sus</w:t>
      </w:r>
      <w:r>
        <w:rPr>
          <w:color w:val="231F20"/>
          <w:spacing w:val="-25"/>
          <w:w w:val="110"/>
        </w:rPr>
        <w:t> </w:t>
      </w:r>
      <w:r>
        <w:rPr>
          <w:color w:val="231F20"/>
          <w:w w:val="110"/>
        </w:rPr>
        <w:t>“seleccionados” la</w:t>
      </w:r>
      <w:r>
        <w:rPr>
          <w:color w:val="231F20"/>
          <w:spacing w:val="-11"/>
          <w:w w:val="110"/>
        </w:rPr>
        <w:t> </w:t>
      </w:r>
      <w:r>
        <w:rPr>
          <w:color w:val="231F20"/>
          <w:w w:val="110"/>
        </w:rPr>
        <w:t>felicidad.</w:t>
      </w:r>
      <w:r>
        <w:rPr>
          <w:color w:val="231F20"/>
          <w:spacing w:val="-11"/>
          <w:w w:val="110"/>
        </w:rPr>
        <w:t> </w:t>
      </w:r>
      <w:r>
        <w:rPr>
          <w:color w:val="231F20"/>
          <w:spacing w:val="-6"/>
          <w:w w:val="110"/>
        </w:rPr>
        <w:t>Tal</w:t>
      </w:r>
      <w:r>
        <w:rPr>
          <w:color w:val="231F20"/>
          <w:spacing w:val="-11"/>
          <w:w w:val="110"/>
        </w:rPr>
        <w:t> </w:t>
      </w:r>
      <w:r>
        <w:rPr>
          <w:color w:val="231F20"/>
          <w:w w:val="110"/>
        </w:rPr>
        <w:t>felicidad</w:t>
      </w:r>
      <w:r>
        <w:rPr>
          <w:color w:val="231F20"/>
          <w:spacing w:val="-11"/>
          <w:w w:val="110"/>
        </w:rPr>
        <w:t> </w:t>
      </w:r>
      <w:r>
        <w:rPr>
          <w:color w:val="231F20"/>
          <w:w w:val="110"/>
        </w:rPr>
        <w:t>está</w:t>
      </w:r>
      <w:r>
        <w:rPr>
          <w:color w:val="231F20"/>
          <w:spacing w:val="-11"/>
          <w:w w:val="110"/>
        </w:rPr>
        <w:t> </w:t>
      </w:r>
      <w:r>
        <w:rPr>
          <w:color w:val="231F20"/>
          <w:w w:val="110"/>
        </w:rPr>
        <w:t>directamente</w:t>
      </w:r>
      <w:r>
        <w:rPr>
          <w:color w:val="231F20"/>
          <w:spacing w:val="-11"/>
          <w:w w:val="110"/>
        </w:rPr>
        <w:t> </w:t>
      </w:r>
      <w:r>
        <w:rPr>
          <w:color w:val="231F20"/>
          <w:w w:val="110"/>
        </w:rPr>
        <w:t>traducida</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casas amplias, coches finos, etc. Para los que tienen fe y para los que son listos en contribuir a los enormes cofres de los predicado- res, hay la promesa de riqueza terrenal. Hoy en día, millones de personas son realmente creyentes del Evangelio de la prosperi- dad, convencidas de que con sus oraciones y contribuciones a las iglesias fundamentalistas, tendrán una salida de su situación económica de</w:t>
      </w:r>
      <w:r>
        <w:rPr>
          <w:color w:val="231F20"/>
          <w:spacing w:val="48"/>
          <w:w w:val="110"/>
        </w:rPr>
        <w:t> </w:t>
      </w:r>
      <w:r>
        <w:rPr>
          <w:color w:val="231F20"/>
          <w:w w:val="110"/>
        </w:rPr>
        <w:t>penuria.</w:t>
      </w:r>
    </w:p>
    <w:p>
      <w:pPr>
        <w:pStyle w:val="ListParagraph"/>
        <w:numPr>
          <w:ilvl w:val="0"/>
          <w:numId w:val="8"/>
        </w:numPr>
        <w:tabs>
          <w:tab w:pos="460" w:val="left" w:leader="none"/>
        </w:tabs>
        <w:spacing w:line="261" w:lineRule="auto" w:before="0" w:after="0"/>
        <w:ind w:left="460" w:right="119" w:hanging="160"/>
        <w:jc w:val="both"/>
        <w:rPr>
          <w:sz w:val="20"/>
        </w:rPr>
      </w:pPr>
      <w:r>
        <w:rPr>
          <w:i/>
          <w:color w:val="231F20"/>
          <w:w w:val="105"/>
          <w:sz w:val="20"/>
        </w:rPr>
        <w:t>Apostando</w:t>
      </w:r>
      <w:r>
        <w:rPr>
          <w:i/>
          <w:color w:val="231F20"/>
          <w:spacing w:val="-8"/>
          <w:w w:val="105"/>
          <w:sz w:val="20"/>
        </w:rPr>
        <w:t> </w:t>
      </w:r>
      <w:r>
        <w:rPr>
          <w:i/>
          <w:color w:val="231F20"/>
          <w:w w:val="105"/>
          <w:sz w:val="20"/>
        </w:rPr>
        <w:t>con</w:t>
      </w:r>
      <w:r>
        <w:rPr>
          <w:i/>
          <w:color w:val="231F20"/>
          <w:spacing w:val="-8"/>
          <w:w w:val="105"/>
          <w:sz w:val="20"/>
        </w:rPr>
        <w:t> </w:t>
      </w:r>
      <w:r>
        <w:rPr>
          <w:i/>
          <w:color w:val="231F20"/>
          <w:w w:val="105"/>
          <w:sz w:val="20"/>
        </w:rPr>
        <w:t>un</w:t>
      </w:r>
      <w:r>
        <w:rPr>
          <w:i/>
          <w:color w:val="231F20"/>
          <w:spacing w:val="-8"/>
          <w:w w:val="105"/>
          <w:sz w:val="20"/>
        </w:rPr>
        <w:t> </w:t>
      </w:r>
      <w:r>
        <w:rPr>
          <w:i/>
          <w:color w:val="231F20"/>
          <w:w w:val="105"/>
          <w:sz w:val="20"/>
        </w:rPr>
        <w:t>crédito</w:t>
      </w:r>
      <w:r>
        <w:rPr>
          <w:i/>
          <w:color w:val="231F20"/>
          <w:spacing w:val="-8"/>
          <w:w w:val="105"/>
          <w:sz w:val="20"/>
        </w:rPr>
        <w:t> </w:t>
      </w:r>
      <w:r>
        <w:rPr>
          <w:i/>
          <w:color w:val="231F20"/>
          <w:w w:val="105"/>
          <w:sz w:val="20"/>
        </w:rPr>
        <w:t>hipotecario</w:t>
      </w:r>
      <w:r>
        <w:rPr>
          <w:color w:val="231F20"/>
          <w:w w:val="105"/>
          <w:sz w:val="20"/>
        </w:rPr>
        <w:t>:</w:t>
      </w:r>
      <w:r>
        <w:rPr>
          <w:color w:val="231F20"/>
          <w:spacing w:val="-8"/>
          <w:w w:val="105"/>
          <w:sz w:val="20"/>
        </w:rPr>
        <w:t> </w:t>
      </w:r>
      <w:r>
        <w:rPr>
          <w:color w:val="231F20"/>
          <w:w w:val="105"/>
          <w:sz w:val="20"/>
        </w:rPr>
        <w:t>el</w:t>
      </w:r>
      <w:r>
        <w:rPr>
          <w:color w:val="231F20"/>
          <w:spacing w:val="-8"/>
          <w:w w:val="105"/>
          <w:sz w:val="20"/>
        </w:rPr>
        <w:t> </w:t>
      </w:r>
      <w:r>
        <w:rPr>
          <w:color w:val="231F20"/>
          <w:w w:val="105"/>
          <w:sz w:val="20"/>
        </w:rPr>
        <w:t>garlito</w:t>
      </w:r>
      <w:r>
        <w:rPr>
          <w:color w:val="231F20"/>
          <w:spacing w:val="-8"/>
          <w:w w:val="105"/>
          <w:sz w:val="20"/>
        </w:rPr>
        <w:t> </w:t>
      </w:r>
      <w:r>
        <w:rPr>
          <w:color w:val="231F20"/>
          <w:w w:val="105"/>
          <w:sz w:val="20"/>
        </w:rPr>
        <w:t>más</w:t>
      </w:r>
      <w:r>
        <w:rPr>
          <w:color w:val="231F20"/>
          <w:spacing w:val="-8"/>
          <w:w w:val="105"/>
          <w:sz w:val="20"/>
        </w:rPr>
        <w:t> </w:t>
      </w:r>
      <w:r>
        <w:rPr>
          <w:color w:val="231F20"/>
          <w:w w:val="105"/>
          <w:sz w:val="20"/>
        </w:rPr>
        <w:t>grande</w:t>
      </w:r>
      <w:r>
        <w:rPr>
          <w:color w:val="231F20"/>
          <w:spacing w:val="-8"/>
          <w:w w:val="105"/>
          <w:sz w:val="20"/>
        </w:rPr>
        <w:t> </w:t>
      </w:r>
      <w:r>
        <w:rPr>
          <w:color w:val="231F20"/>
          <w:w w:val="105"/>
          <w:sz w:val="20"/>
        </w:rPr>
        <w:t>ha</w:t>
      </w:r>
      <w:r>
        <w:rPr>
          <w:color w:val="231F20"/>
          <w:spacing w:val="-8"/>
          <w:w w:val="105"/>
          <w:sz w:val="20"/>
        </w:rPr>
        <w:t> </w:t>
      </w:r>
      <w:r>
        <w:rPr>
          <w:color w:val="231F20"/>
          <w:w w:val="105"/>
          <w:sz w:val="20"/>
        </w:rPr>
        <w:t>sido</w:t>
      </w:r>
      <w:r>
        <w:rPr>
          <w:color w:val="231F20"/>
          <w:spacing w:val="-1"/>
          <w:w w:val="106"/>
          <w:sz w:val="20"/>
        </w:rPr>
        <w:t> </w:t>
      </w:r>
      <w:r>
        <w:rPr>
          <w:color w:val="231F20"/>
          <w:w w:val="110"/>
          <w:sz w:val="20"/>
        </w:rPr>
        <w:t>cuando</w:t>
      </w:r>
      <w:r>
        <w:rPr>
          <w:color w:val="231F20"/>
          <w:spacing w:val="-11"/>
          <w:w w:val="110"/>
          <w:sz w:val="20"/>
        </w:rPr>
        <w:t> </w:t>
      </w:r>
      <w:r>
        <w:rPr>
          <w:color w:val="231F20"/>
          <w:w w:val="110"/>
          <w:sz w:val="20"/>
        </w:rPr>
        <w:t>las</w:t>
      </w:r>
      <w:r>
        <w:rPr>
          <w:color w:val="231F20"/>
          <w:spacing w:val="-11"/>
          <w:w w:val="110"/>
          <w:sz w:val="20"/>
        </w:rPr>
        <w:t> </w:t>
      </w:r>
      <w:r>
        <w:rPr>
          <w:color w:val="231F20"/>
          <w:w w:val="110"/>
          <w:sz w:val="20"/>
        </w:rPr>
        <w:t>familias</w:t>
      </w:r>
      <w:r>
        <w:rPr>
          <w:color w:val="231F20"/>
          <w:spacing w:val="-11"/>
          <w:w w:val="110"/>
          <w:sz w:val="20"/>
        </w:rPr>
        <w:t> </w:t>
      </w:r>
      <w:r>
        <w:rPr>
          <w:color w:val="231F20"/>
          <w:w w:val="110"/>
          <w:sz w:val="20"/>
        </w:rPr>
        <w:t>fueron</w:t>
      </w:r>
      <w:r>
        <w:rPr>
          <w:color w:val="231F20"/>
          <w:spacing w:val="-11"/>
          <w:w w:val="110"/>
          <w:sz w:val="20"/>
        </w:rPr>
        <w:t> </w:t>
      </w:r>
      <w:r>
        <w:rPr>
          <w:color w:val="231F20"/>
          <w:w w:val="110"/>
          <w:sz w:val="20"/>
        </w:rPr>
        <w:t>enganchadas</w:t>
      </w:r>
      <w:r>
        <w:rPr>
          <w:color w:val="231F20"/>
          <w:spacing w:val="-11"/>
          <w:w w:val="110"/>
          <w:sz w:val="20"/>
        </w:rPr>
        <w:t> </w:t>
      </w:r>
      <w:r>
        <w:rPr>
          <w:color w:val="231F20"/>
          <w:w w:val="110"/>
          <w:sz w:val="20"/>
        </w:rPr>
        <w:t>con</w:t>
      </w:r>
      <w:r>
        <w:rPr>
          <w:color w:val="231F20"/>
          <w:spacing w:val="-11"/>
          <w:w w:val="110"/>
          <w:sz w:val="20"/>
        </w:rPr>
        <w:t> </w:t>
      </w:r>
      <w:r>
        <w:rPr>
          <w:color w:val="231F20"/>
          <w:w w:val="110"/>
          <w:sz w:val="20"/>
        </w:rPr>
        <w:t>una</w:t>
      </w:r>
      <w:r>
        <w:rPr>
          <w:color w:val="231F20"/>
          <w:spacing w:val="-11"/>
          <w:w w:val="110"/>
          <w:sz w:val="20"/>
        </w:rPr>
        <w:t> </w:t>
      </w:r>
      <w:r>
        <w:rPr>
          <w:color w:val="231F20"/>
          <w:w w:val="110"/>
          <w:sz w:val="20"/>
        </w:rPr>
        <w:t>póliza</w:t>
      </w:r>
      <w:r>
        <w:rPr>
          <w:color w:val="231F20"/>
          <w:spacing w:val="-11"/>
          <w:w w:val="110"/>
          <w:sz w:val="20"/>
        </w:rPr>
        <w:t> </w:t>
      </w:r>
      <w:r>
        <w:rPr>
          <w:color w:val="231F20"/>
          <w:w w:val="110"/>
          <w:sz w:val="20"/>
        </w:rPr>
        <w:t>hipoteca- ria claramente por arriba de sus capacidades para cancelar su deuda.</w:t>
      </w:r>
      <w:r>
        <w:rPr>
          <w:color w:val="231F20"/>
          <w:spacing w:val="-7"/>
          <w:w w:val="110"/>
          <w:sz w:val="20"/>
        </w:rPr>
        <w:t> </w:t>
      </w:r>
      <w:r>
        <w:rPr>
          <w:color w:val="231F20"/>
          <w:w w:val="110"/>
          <w:sz w:val="20"/>
        </w:rPr>
        <w:t>Por</w:t>
      </w:r>
      <w:r>
        <w:rPr>
          <w:color w:val="231F20"/>
          <w:spacing w:val="-7"/>
          <w:w w:val="110"/>
          <w:sz w:val="20"/>
        </w:rPr>
        <w:t> </w:t>
      </w:r>
      <w:r>
        <w:rPr>
          <w:color w:val="231F20"/>
          <w:w w:val="110"/>
          <w:sz w:val="20"/>
        </w:rPr>
        <w:t>la</w:t>
      </w:r>
      <w:r>
        <w:rPr>
          <w:color w:val="231F20"/>
          <w:spacing w:val="-7"/>
          <w:w w:val="110"/>
          <w:sz w:val="20"/>
        </w:rPr>
        <w:t> </w:t>
      </w:r>
      <w:r>
        <w:rPr>
          <w:color w:val="231F20"/>
          <w:w w:val="110"/>
          <w:sz w:val="20"/>
        </w:rPr>
        <w:t>desregulación</w:t>
      </w:r>
      <w:r>
        <w:rPr>
          <w:color w:val="231F20"/>
          <w:spacing w:val="-7"/>
          <w:w w:val="110"/>
          <w:sz w:val="20"/>
        </w:rPr>
        <w:t> </w:t>
      </w:r>
      <w:r>
        <w:rPr>
          <w:color w:val="231F20"/>
          <w:w w:val="110"/>
          <w:sz w:val="20"/>
        </w:rPr>
        <w:t>de</w:t>
      </w:r>
      <w:r>
        <w:rPr>
          <w:color w:val="231F20"/>
          <w:spacing w:val="-7"/>
          <w:w w:val="110"/>
          <w:sz w:val="20"/>
        </w:rPr>
        <w:t> </w:t>
      </w:r>
      <w:r>
        <w:rPr>
          <w:color w:val="231F20"/>
          <w:w w:val="110"/>
          <w:sz w:val="20"/>
        </w:rPr>
        <w:t>los</w:t>
      </w:r>
      <w:r>
        <w:rPr>
          <w:color w:val="231F20"/>
          <w:spacing w:val="-7"/>
          <w:w w:val="110"/>
          <w:sz w:val="20"/>
        </w:rPr>
        <w:t> </w:t>
      </w:r>
      <w:r>
        <w:rPr>
          <w:color w:val="231F20"/>
          <w:w w:val="110"/>
          <w:sz w:val="20"/>
        </w:rPr>
        <w:t>bancos</w:t>
      </w:r>
      <w:r>
        <w:rPr>
          <w:color w:val="231F20"/>
          <w:spacing w:val="-7"/>
          <w:w w:val="110"/>
          <w:sz w:val="20"/>
        </w:rPr>
        <w:t> </w:t>
      </w:r>
      <w:r>
        <w:rPr>
          <w:color w:val="231F20"/>
          <w:w w:val="110"/>
          <w:sz w:val="20"/>
        </w:rPr>
        <w:t>y</w:t>
      </w:r>
      <w:r>
        <w:rPr>
          <w:color w:val="231F20"/>
          <w:spacing w:val="-7"/>
          <w:w w:val="110"/>
          <w:sz w:val="20"/>
        </w:rPr>
        <w:t> </w:t>
      </w:r>
      <w:r>
        <w:rPr>
          <w:color w:val="231F20"/>
          <w:w w:val="110"/>
          <w:sz w:val="20"/>
        </w:rPr>
        <w:t>el</w:t>
      </w:r>
      <w:r>
        <w:rPr>
          <w:color w:val="231F20"/>
          <w:spacing w:val="-7"/>
          <w:w w:val="110"/>
          <w:sz w:val="20"/>
        </w:rPr>
        <w:t> </w:t>
      </w:r>
      <w:r>
        <w:rPr>
          <w:color w:val="231F20"/>
          <w:w w:val="110"/>
          <w:sz w:val="20"/>
        </w:rPr>
        <w:t>mercado</w:t>
      </w:r>
      <w:r>
        <w:rPr>
          <w:color w:val="231F20"/>
          <w:spacing w:val="-7"/>
          <w:w w:val="110"/>
          <w:sz w:val="20"/>
        </w:rPr>
        <w:t> </w:t>
      </w:r>
      <w:r>
        <w:rPr>
          <w:color w:val="231F20"/>
          <w:w w:val="110"/>
          <w:sz w:val="20"/>
        </w:rPr>
        <w:t>financie- ros</w:t>
      </w:r>
      <w:r>
        <w:rPr>
          <w:color w:val="231F20"/>
          <w:spacing w:val="-7"/>
          <w:w w:val="110"/>
          <w:sz w:val="20"/>
        </w:rPr>
        <w:t> </w:t>
      </w:r>
      <w:r>
        <w:rPr>
          <w:color w:val="231F20"/>
          <w:w w:val="110"/>
          <w:sz w:val="20"/>
        </w:rPr>
        <w:t>—todo</w:t>
      </w:r>
      <w:r>
        <w:rPr>
          <w:color w:val="231F20"/>
          <w:spacing w:val="-7"/>
          <w:w w:val="110"/>
          <w:sz w:val="20"/>
        </w:rPr>
        <w:t> </w:t>
      </w:r>
      <w:r>
        <w:rPr>
          <w:color w:val="231F20"/>
          <w:w w:val="110"/>
          <w:sz w:val="20"/>
        </w:rPr>
        <w:t>en</w:t>
      </w:r>
      <w:r>
        <w:rPr>
          <w:color w:val="231F20"/>
          <w:spacing w:val="-7"/>
          <w:w w:val="110"/>
          <w:sz w:val="20"/>
        </w:rPr>
        <w:t> </w:t>
      </w:r>
      <w:r>
        <w:rPr>
          <w:color w:val="231F20"/>
          <w:w w:val="110"/>
          <w:sz w:val="20"/>
        </w:rPr>
        <w:t>el</w:t>
      </w:r>
      <w:r>
        <w:rPr>
          <w:color w:val="231F20"/>
          <w:spacing w:val="-7"/>
          <w:w w:val="110"/>
          <w:sz w:val="20"/>
        </w:rPr>
        <w:t> </w:t>
      </w:r>
      <w:r>
        <w:rPr>
          <w:color w:val="231F20"/>
          <w:w w:val="110"/>
          <w:sz w:val="20"/>
        </w:rPr>
        <w:t>espíritu</w:t>
      </w:r>
      <w:r>
        <w:rPr>
          <w:color w:val="231F20"/>
          <w:spacing w:val="-7"/>
          <w:w w:val="110"/>
          <w:sz w:val="20"/>
        </w:rPr>
        <w:t> </w:t>
      </w:r>
      <w:r>
        <w:rPr>
          <w:color w:val="231F20"/>
          <w:w w:val="110"/>
          <w:sz w:val="20"/>
        </w:rPr>
        <w:t>neoliberal—</w:t>
      </w:r>
      <w:r>
        <w:rPr>
          <w:color w:val="231F20"/>
          <w:spacing w:val="-7"/>
          <w:w w:val="110"/>
          <w:sz w:val="20"/>
        </w:rPr>
        <w:t> </w:t>
      </w:r>
      <w:r>
        <w:rPr>
          <w:color w:val="231F20"/>
          <w:w w:val="110"/>
          <w:sz w:val="20"/>
        </w:rPr>
        <w:t>desde</w:t>
      </w:r>
      <w:r>
        <w:rPr>
          <w:color w:val="231F20"/>
          <w:spacing w:val="-7"/>
          <w:w w:val="110"/>
          <w:sz w:val="20"/>
        </w:rPr>
        <w:t> </w:t>
      </w:r>
      <w:r>
        <w:rPr>
          <w:color w:val="231F20"/>
          <w:w w:val="110"/>
          <w:sz w:val="20"/>
        </w:rPr>
        <w:t>1980</w:t>
      </w:r>
      <w:r>
        <w:rPr>
          <w:color w:val="231F20"/>
          <w:spacing w:val="-7"/>
          <w:w w:val="110"/>
          <w:sz w:val="20"/>
        </w:rPr>
        <w:t> </w:t>
      </w:r>
      <w:r>
        <w:rPr>
          <w:color w:val="231F20"/>
          <w:w w:val="110"/>
          <w:sz w:val="20"/>
        </w:rPr>
        <w:t>podemos</w:t>
      </w:r>
      <w:r>
        <w:rPr>
          <w:color w:val="231F20"/>
          <w:spacing w:val="-7"/>
          <w:w w:val="110"/>
          <w:sz w:val="20"/>
        </w:rPr>
        <w:t> </w:t>
      </w:r>
      <w:r>
        <w:rPr>
          <w:color w:val="231F20"/>
          <w:w w:val="110"/>
          <w:sz w:val="20"/>
        </w:rPr>
        <w:t>notar una danza entre los apostadores y un sector</w:t>
      </w:r>
      <w:r>
        <w:rPr>
          <w:color w:val="231F20"/>
          <w:spacing w:val="21"/>
          <w:w w:val="110"/>
          <w:sz w:val="20"/>
        </w:rPr>
        <w:t> </w:t>
      </w:r>
      <w:r>
        <w:rPr>
          <w:color w:val="231F20"/>
          <w:w w:val="110"/>
          <w:sz w:val="20"/>
        </w:rPr>
        <w:t>financiero</w:t>
      </w:r>
      <w:r>
        <w:rPr>
          <w:color w:val="231F20"/>
          <w:spacing w:val="9"/>
          <w:w w:val="110"/>
          <w:sz w:val="20"/>
        </w:rPr>
        <w:t> </w:t>
      </w:r>
      <w:r>
        <w:rPr>
          <w:color w:val="231F20"/>
          <w:w w:val="110"/>
          <w:sz w:val="20"/>
        </w:rPr>
        <w:t>constan-</w:t>
      </w:r>
      <w:r>
        <w:rPr>
          <w:color w:val="231F20"/>
          <w:w w:val="72"/>
          <w:sz w:val="20"/>
        </w:rPr>
        <w:t> </w:t>
      </w:r>
      <w:r>
        <w:rPr>
          <w:color w:val="231F20"/>
          <w:w w:val="110"/>
          <w:sz w:val="20"/>
        </w:rPr>
        <w:t>temente más ágil, más audaz, más “innovador” en cuanto a sus habilidad de descargar sus préstamos a los menos calificados y aprovechar nuevas formas de apalancamiento. Esta danza</w:t>
      </w:r>
      <w:r>
        <w:rPr>
          <w:color w:val="231F20"/>
          <w:spacing w:val="-31"/>
          <w:w w:val="110"/>
          <w:sz w:val="20"/>
        </w:rPr>
        <w:t> </w:t>
      </w:r>
      <w:r>
        <w:rPr>
          <w:color w:val="231F20"/>
          <w:w w:val="110"/>
          <w:sz w:val="20"/>
        </w:rPr>
        <w:t>pasó</w:t>
      </w:r>
      <w:r>
        <w:rPr>
          <w:color w:val="231F20"/>
          <w:spacing w:val="-5"/>
          <w:w w:val="110"/>
          <w:sz w:val="20"/>
        </w:rPr>
        <w:t> </w:t>
      </w:r>
      <w:r>
        <w:rPr>
          <w:color w:val="231F20"/>
          <w:w w:val="110"/>
          <w:sz w:val="20"/>
        </w:rPr>
        <w:t>a</w:t>
      </w:r>
      <w:r>
        <w:rPr>
          <w:color w:val="231F20"/>
          <w:w w:val="108"/>
          <w:sz w:val="20"/>
        </w:rPr>
        <w:t> </w:t>
      </w:r>
      <w:r>
        <w:rPr>
          <w:color w:val="231F20"/>
          <w:w w:val="110"/>
          <w:sz w:val="20"/>
        </w:rPr>
        <w:t>ser</w:t>
      </w:r>
      <w:r>
        <w:rPr>
          <w:color w:val="231F20"/>
          <w:spacing w:val="-14"/>
          <w:w w:val="110"/>
          <w:sz w:val="20"/>
        </w:rPr>
        <w:t> </w:t>
      </w:r>
      <w:r>
        <w:rPr>
          <w:color w:val="231F20"/>
          <w:w w:val="110"/>
          <w:sz w:val="20"/>
        </w:rPr>
        <w:t>totalmente</w:t>
      </w:r>
      <w:r>
        <w:rPr>
          <w:color w:val="231F20"/>
          <w:spacing w:val="-14"/>
          <w:w w:val="110"/>
          <w:sz w:val="20"/>
        </w:rPr>
        <w:t> </w:t>
      </w:r>
      <w:r>
        <w:rPr>
          <w:color w:val="231F20"/>
          <w:w w:val="110"/>
          <w:sz w:val="20"/>
        </w:rPr>
        <w:t>frenética</w:t>
      </w:r>
      <w:r>
        <w:rPr>
          <w:color w:val="231F20"/>
          <w:spacing w:val="-14"/>
          <w:w w:val="110"/>
          <w:sz w:val="20"/>
        </w:rPr>
        <w:t> </w:t>
      </w:r>
      <w:r>
        <w:rPr>
          <w:color w:val="231F20"/>
          <w:w w:val="110"/>
          <w:sz w:val="20"/>
        </w:rPr>
        <w:t>a</w:t>
      </w:r>
      <w:r>
        <w:rPr>
          <w:color w:val="231F20"/>
          <w:spacing w:val="-14"/>
          <w:w w:val="110"/>
          <w:sz w:val="20"/>
        </w:rPr>
        <w:t> </w:t>
      </w:r>
      <w:r>
        <w:rPr>
          <w:color w:val="231F20"/>
          <w:w w:val="110"/>
          <w:sz w:val="20"/>
        </w:rPr>
        <w:t>partir</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2003.</w:t>
      </w:r>
      <w:r>
        <w:rPr>
          <w:color w:val="231F20"/>
          <w:spacing w:val="-14"/>
          <w:w w:val="110"/>
          <w:sz w:val="20"/>
        </w:rPr>
        <w:t> </w:t>
      </w:r>
      <w:r>
        <w:rPr>
          <w:color w:val="231F20"/>
          <w:w w:val="110"/>
          <w:sz w:val="20"/>
        </w:rPr>
        <w:t>Echando</w:t>
      </w:r>
      <w:r>
        <w:rPr>
          <w:color w:val="231F20"/>
          <w:spacing w:val="-14"/>
          <w:w w:val="110"/>
          <w:sz w:val="20"/>
        </w:rPr>
        <w:t> </w:t>
      </w:r>
      <w:r>
        <w:rPr>
          <w:color w:val="231F20"/>
          <w:w w:val="110"/>
          <w:sz w:val="20"/>
        </w:rPr>
        <w:t>leña</w:t>
      </w:r>
      <w:r>
        <w:rPr>
          <w:color w:val="231F20"/>
          <w:spacing w:val="-14"/>
          <w:w w:val="110"/>
          <w:sz w:val="20"/>
        </w:rPr>
        <w:t> </w:t>
      </w:r>
      <w:r>
        <w:rPr>
          <w:color w:val="231F20"/>
          <w:w w:val="110"/>
          <w:sz w:val="20"/>
        </w:rPr>
        <w:t>sin</w:t>
      </w:r>
      <w:r>
        <w:rPr>
          <w:color w:val="231F20"/>
          <w:spacing w:val="-14"/>
          <w:w w:val="110"/>
          <w:sz w:val="20"/>
        </w:rPr>
        <w:t> </w:t>
      </w:r>
      <w:r>
        <w:rPr>
          <w:color w:val="231F20"/>
          <w:w w:val="110"/>
          <w:sz w:val="20"/>
        </w:rPr>
        <w:t>límites al</w:t>
      </w:r>
      <w:r>
        <w:rPr>
          <w:color w:val="231F20"/>
          <w:spacing w:val="-20"/>
          <w:w w:val="110"/>
          <w:sz w:val="20"/>
        </w:rPr>
        <w:t> </w:t>
      </w:r>
      <w:r>
        <w:rPr>
          <w:color w:val="231F20"/>
          <w:w w:val="110"/>
          <w:sz w:val="20"/>
        </w:rPr>
        <w:t>fuego</w:t>
      </w:r>
      <w:r>
        <w:rPr>
          <w:color w:val="231F20"/>
          <w:spacing w:val="-20"/>
          <w:w w:val="110"/>
          <w:sz w:val="20"/>
        </w:rPr>
        <w:t> </w:t>
      </w:r>
      <w:r>
        <w:rPr>
          <w:color w:val="231F20"/>
          <w:w w:val="110"/>
          <w:sz w:val="20"/>
        </w:rPr>
        <w:t>del</w:t>
      </w:r>
      <w:r>
        <w:rPr>
          <w:color w:val="231F20"/>
          <w:spacing w:val="-20"/>
          <w:w w:val="110"/>
          <w:sz w:val="20"/>
        </w:rPr>
        <w:t> </w:t>
      </w:r>
      <w:r>
        <w:rPr>
          <w:color w:val="231F20"/>
          <w:w w:val="110"/>
          <w:sz w:val="20"/>
        </w:rPr>
        <w:t>papel</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la</w:t>
      </w:r>
      <w:r>
        <w:rPr>
          <w:color w:val="231F20"/>
          <w:spacing w:val="-20"/>
          <w:w w:val="110"/>
          <w:sz w:val="20"/>
        </w:rPr>
        <w:t> </w:t>
      </w:r>
      <w:r>
        <w:rPr>
          <w:color w:val="231F20"/>
          <w:w w:val="110"/>
          <w:sz w:val="20"/>
        </w:rPr>
        <w:t>Reserva</w:t>
      </w:r>
      <w:r>
        <w:rPr>
          <w:color w:val="231F20"/>
          <w:spacing w:val="-20"/>
          <w:w w:val="110"/>
          <w:sz w:val="20"/>
        </w:rPr>
        <w:t> </w:t>
      </w:r>
      <w:r>
        <w:rPr>
          <w:color w:val="231F20"/>
          <w:w w:val="110"/>
          <w:sz w:val="20"/>
        </w:rPr>
        <w:t>Federal,</w:t>
      </w:r>
      <w:r>
        <w:rPr>
          <w:color w:val="231F20"/>
          <w:spacing w:val="-20"/>
          <w:w w:val="110"/>
          <w:sz w:val="20"/>
        </w:rPr>
        <w:t> </w:t>
      </w:r>
      <w:r>
        <w:rPr>
          <w:color w:val="231F20"/>
          <w:w w:val="110"/>
          <w:sz w:val="20"/>
        </w:rPr>
        <w:t>pasado</w:t>
      </w:r>
      <w:r>
        <w:rPr>
          <w:color w:val="231F20"/>
          <w:spacing w:val="-20"/>
          <w:w w:val="110"/>
          <w:sz w:val="20"/>
        </w:rPr>
        <w:t> </w:t>
      </w:r>
      <w:r>
        <w:rPr>
          <w:color w:val="231F20"/>
          <w:w w:val="110"/>
          <w:sz w:val="20"/>
        </w:rPr>
        <w:t>por</w:t>
      </w:r>
      <w:r>
        <w:rPr>
          <w:color w:val="231F20"/>
          <w:spacing w:val="-20"/>
          <w:w w:val="110"/>
          <w:sz w:val="20"/>
        </w:rPr>
        <w:t> </w:t>
      </w:r>
      <w:r>
        <w:rPr>
          <w:color w:val="231F20"/>
          <w:w w:val="110"/>
          <w:sz w:val="20"/>
        </w:rPr>
        <w:t>alto</w:t>
      </w:r>
      <w:r>
        <w:rPr>
          <w:color w:val="231F20"/>
          <w:spacing w:val="-20"/>
          <w:w w:val="110"/>
          <w:sz w:val="20"/>
        </w:rPr>
        <w:t> </w:t>
      </w:r>
      <w:r>
        <w:rPr>
          <w:color w:val="231F20"/>
          <w:w w:val="110"/>
          <w:sz w:val="20"/>
        </w:rPr>
        <w:t>cualquier señal</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fragilidad</w:t>
      </w:r>
      <w:r>
        <w:rPr>
          <w:color w:val="231F20"/>
          <w:spacing w:val="-24"/>
          <w:w w:val="110"/>
          <w:sz w:val="20"/>
        </w:rPr>
        <w:t> </w:t>
      </w:r>
      <w:r>
        <w:rPr>
          <w:color w:val="231F20"/>
          <w:w w:val="110"/>
          <w:sz w:val="20"/>
        </w:rPr>
        <w:t>financiera</w:t>
      </w:r>
      <w:r>
        <w:rPr>
          <w:color w:val="231F20"/>
          <w:spacing w:val="-24"/>
          <w:w w:val="110"/>
          <w:sz w:val="20"/>
        </w:rPr>
        <w:t> </w:t>
      </w:r>
      <w:r>
        <w:rPr>
          <w:color w:val="231F20"/>
          <w:w w:val="110"/>
          <w:sz w:val="20"/>
        </w:rPr>
        <w:t>en</w:t>
      </w:r>
      <w:r>
        <w:rPr>
          <w:color w:val="231F20"/>
          <w:spacing w:val="-24"/>
          <w:w w:val="110"/>
          <w:sz w:val="20"/>
        </w:rPr>
        <w:t> </w:t>
      </w:r>
      <w:r>
        <w:rPr>
          <w:color w:val="231F20"/>
          <w:w w:val="110"/>
          <w:sz w:val="20"/>
        </w:rPr>
        <w:t>el</w:t>
      </w:r>
      <w:r>
        <w:rPr>
          <w:color w:val="231F20"/>
          <w:spacing w:val="-24"/>
          <w:w w:val="110"/>
          <w:sz w:val="20"/>
        </w:rPr>
        <w:t> </w:t>
      </w:r>
      <w:r>
        <w:rPr>
          <w:color w:val="231F20"/>
          <w:w w:val="110"/>
          <w:sz w:val="20"/>
        </w:rPr>
        <w:t>vasto</w:t>
      </w:r>
      <w:r>
        <w:rPr>
          <w:color w:val="231F20"/>
          <w:spacing w:val="-24"/>
          <w:w w:val="110"/>
          <w:sz w:val="20"/>
        </w:rPr>
        <w:t> </w:t>
      </w:r>
      <w:r>
        <w:rPr>
          <w:color w:val="231F20"/>
          <w:w w:val="110"/>
          <w:sz w:val="20"/>
        </w:rPr>
        <w:t>mercado</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bienes</w:t>
      </w:r>
      <w:r>
        <w:rPr>
          <w:color w:val="231F20"/>
          <w:spacing w:val="-24"/>
          <w:w w:val="110"/>
          <w:sz w:val="20"/>
        </w:rPr>
        <w:t> </w:t>
      </w:r>
      <w:r>
        <w:rPr>
          <w:color w:val="231F20"/>
          <w:w w:val="110"/>
          <w:sz w:val="20"/>
        </w:rPr>
        <w:t>raíces. Por fin, la burbuja estalló en 2007, y empezó así una racha   </w:t>
      </w:r>
      <w:r>
        <w:rPr>
          <w:color w:val="231F20"/>
          <w:spacing w:val="10"/>
          <w:w w:val="110"/>
          <w:sz w:val="20"/>
        </w:rPr>
        <w:t> </w:t>
      </w:r>
      <w:r>
        <w:rPr>
          <w:color w:val="231F20"/>
          <w:w w:val="110"/>
          <w:sz w:val="20"/>
        </w:rPr>
        <w:t>sin</w:t>
      </w:r>
    </w:p>
    <w:p>
      <w:pPr>
        <w:spacing w:after="0" w:line="261" w:lineRule="auto"/>
        <w:jc w:val="both"/>
        <w:rPr>
          <w:sz w:val="20"/>
        </w:rPr>
        <w:sectPr>
          <w:pgSz w:w="7640" w:h="11900"/>
          <w:pgMar w:header="672" w:footer="0" w:top="860" w:bottom="280" w:left="780" w:right="640"/>
        </w:sectPr>
      </w:pPr>
    </w:p>
    <w:p>
      <w:pPr>
        <w:pStyle w:val="BodyText"/>
        <w:spacing w:before="8"/>
        <w:rPr>
          <w:sz w:val="8"/>
        </w:rPr>
      </w:pPr>
    </w:p>
    <w:p>
      <w:pPr>
        <w:pStyle w:val="BodyText"/>
        <w:spacing w:before="67"/>
        <w:ind w:left="460"/>
        <w:jc w:val="both"/>
      </w:pPr>
      <w:r>
        <w:rPr>
          <w:color w:val="231F20"/>
          <w:w w:val="110"/>
        </w:rPr>
        <w:t>precedentes</w:t>
      </w:r>
      <w:r>
        <w:rPr>
          <w:color w:val="231F20"/>
          <w:spacing w:val="-21"/>
          <w:w w:val="110"/>
        </w:rPr>
        <w:t> </w:t>
      </w:r>
      <w:r>
        <w:rPr>
          <w:color w:val="231F20"/>
          <w:w w:val="110"/>
        </w:rPr>
        <w:t>de</w:t>
      </w:r>
      <w:r>
        <w:rPr>
          <w:color w:val="231F20"/>
          <w:spacing w:val="-21"/>
          <w:w w:val="110"/>
        </w:rPr>
        <w:t> </w:t>
      </w:r>
      <w:r>
        <w:rPr>
          <w:color w:val="231F20"/>
          <w:w w:val="110"/>
        </w:rPr>
        <w:t>ejecuciones</w:t>
      </w:r>
      <w:r>
        <w:rPr>
          <w:color w:val="231F20"/>
          <w:spacing w:val="-21"/>
          <w:w w:val="110"/>
        </w:rPr>
        <w:t> </w:t>
      </w:r>
      <w:r>
        <w:rPr>
          <w:color w:val="231F20"/>
          <w:w w:val="110"/>
        </w:rPr>
        <w:t>inmobiliarias</w:t>
      </w:r>
      <w:r>
        <w:rPr>
          <w:color w:val="231F20"/>
          <w:spacing w:val="-21"/>
          <w:w w:val="110"/>
        </w:rPr>
        <w:t> </w:t>
      </w:r>
      <w:r>
        <w:rPr>
          <w:color w:val="231F20"/>
          <w:w w:val="110"/>
        </w:rPr>
        <w:t>—1.3</w:t>
      </w:r>
      <w:r>
        <w:rPr>
          <w:color w:val="231F20"/>
          <w:spacing w:val="-21"/>
          <w:w w:val="110"/>
        </w:rPr>
        <w:t> </w:t>
      </w:r>
      <w:r>
        <w:rPr>
          <w:color w:val="231F20"/>
          <w:w w:val="110"/>
        </w:rPr>
        <w:t>millones</w:t>
      </w:r>
      <w:r>
        <w:rPr>
          <w:color w:val="231F20"/>
          <w:spacing w:val="-21"/>
          <w:w w:val="110"/>
        </w:rPr>
        <w:t> </w:t>
      </w:r>
      <w:r>
        <w:rPr>
          <w:color w:val="231F20"/>
          <w:w w:val="110"/>
        </w:rPr>
        <w:t>en</w:t>
      </w:r>
      <w:r>
        <w:rPr>
          <w:color w:val="231F20"/>
          <w:spacing w:val="-21"/>
          <w:w w:val="110"/>
        </w:rPr>
        <w:t> </w:t>
      </w:r>
      <w:r>
        <w:rPr>
          <w:color w:val="231F20"/>
          <w:w w:val="110"/>
        </w:rPr>
        <w:t>2007;</w:t>
      </w:r>
    </w:p>
    <w:p>
      <w:pPr>
        <w:pStyle w:val="BodyText"/>
        <w:spacing w:line="261" w:lineRule="auto" w:before="20"/>
        <w:ind w:left="460" w:right="119"/>
        <w:jc w:val="both"/>
      </w:pPr>
      <w:r>
        <w:rPr>
          <w:color w:val="231F20"/>
          <w:w w:val="105"/>
        </w:rPr>
        <w:t>2.3 en 2008; 2.8 en 2009 y 3 millones para el año 2010—. De hecho, millones de familias aceptaron contratos bajo condiciones imposibles cubrir con la idea de “dar la vuelta” de su casa. Según esta táctica —exitosa por algunos antes de 2007— de pagar hasta 60% de su ingreso familiar para mantener su póliza hipotecaria,   no era un contrato con el Diablo, al contrario, según muchas familias de la clase trabajadora y de la clase media, la </w:t>
      </w:r>
      <w:r>
        <w:rPr>
          <w:i/>
          <w:color w:val="231F20"/>
          <w:w w:val="105"/>
        </w:rPr>
        <w:t>única </w:t>
      </w:r>
      <w:r>
        <w:rPr>
          <w:color w:val="231F20"/>
          <w:w w:val="105"/>
        </w:rPr>
        <w:t>ma- nera de “ir adelante” y lograr el sueño americano era la de apos- tar todo a la subida desenfrenada del precio de su casa. Dado que  la idea clásica e histórica fue bloqueada, ser un “buen trabajador”, la única manera de subir socialmente, para muchos “individuos toscos”, era entrar en el vasto mercado de bienes raíces. </w:t>
      </w:r>
      <w:r>
        <w:rPr>
          <w:color w:val="231F20"/>
        </w:rPr>
        <w:t>Y </w:t>
      </w:r>
      <w:r>
        <w:rPr>
          <w:color w:val="231F20"/>
          <w:w w:val="105"/>
        </w:rPr>
        <w:t>no fue duro de hacerlo, la liquidez lo hizo   </w:t>
      </w:r>
      <w:r>
        <w:rPr>
          <w:color w:val="231F20"/>
          <w:spacing w:val="7"/>
          <w:w w:val="105"/>
        </w:rPr>
        <w:t> </w:t>
      </w:r>
      <w:r>
        <w:rPr>
          <w:color w:val="231F20"/>
          <w:w w:val="105"/>
        </w:rPr>
        <w:t>fácil.</w:t>
      </w:r>
    </w:p>
    <w:p>
      <w:pPr>
        <w:pStyle w:val="ListParagraph"/>
        <w:numPr>
          <w:ilvl w:val="0"/>
          <w:numId w:val="8"/>
        </w:numPr>
        <w:tabs>
          <w:tab w:pos="460" w:val="left" w:leader="none"/>
        </w:tabs>
        <w:spacing w:line="261" w:lineRule="auto" w:before="0" w:after="0"/>
        <w:ind w:left="460" w:right="117" w:hanging="160"/>
        <w:jc w:val="both"/>
        <w:rPr>
          <w:sz w:val="20"/>
        </w:rPr>
      </w:pPr>
      <w:r>
        <w:rPr>
          <w:i/>
          <w:color w:val="231F20"/>
          <w:w w:val="110"/>
          <w:sz w:val="20"/>
        </w:rPr>
        <w:t>Apostando en la </w:t>
      </w:r>
      <w:r>
        <w:rPr>
          <w:i/>
          <w:color w:val="231F20"/>
          <w:spacing w:val="2"/>
          <w:w w:val="110"/>
          <w:sz w:val="20"/>
        </w:rPr>
        <w:t>bolsa</w:t>
      </w:r>
      <w:r>
        <w:rPr>
          <w:color w:val="231F20"/>
          <w:spacing w:val="2"/>
          <w:w w:val="110"/>
          <w:sz w:val="20"/>
        </w:rPr>
        <w:t>: </w:t>
      </w:r>
      <w:r>
        <w:rPr>
          <w:color w:val="231F20"/>
          <w:w w:val="110"/>
          <w:sz w:val="20"/>
        </w:rPr>
        <w:t>en la </w:t>
      </w:r>
      <w:r>
        <w:rPr>
          <w:i/>
          <w:color w:val="231F20"/>
          <w:w w:val="110"/>
          <w:sz w:val="20"/>
        </w:rPr>
        <w:t>edad del oro</w:t>
      </w:r>
      <w:r>
        <w:rPr>
          <w:color w:val="231F20"/>
          <w:w w:val="110"/>
          <w:sz w:val="20"/>
        </w:rPr>
        <w:t>, las grandes</w:t>
      </w:r>
      <w:r>
        <w:rPr>
          <w:color w:val="231F20"/>
          <w:spacing w:val="-8"/>
          <w:w w:val="110"/>
          <w:sz w:val="20"/>
        </w:rPr>
        <w:t> </w:t>
      </w:r>
      <w:r>
        <w:rPr>
          <w:color w:val="231F20"/>
          <w:w w:val="110"/>
          <w:sz w:val="20"/>
        </w:rPr>
        <w:t>empresas concedieron buenas pólizas de jubilación. Estas pensiones “de- finidas” fueron abrogadas desde los años setenta por un amplia gama</w:t>
      </w:r>
      <w:r>
        <w:rPr>
          <w:color w:val="231F20"/>
          <w:spacing w:val="-7"/>
          <w:w w:val="110"/>
          <w:sz w:val="20"/>
        </w:rPr>
        <w:t> </w:t>
      </w:r>
      <w:r>
        <w:rPr>
          <w:color w:val="231F20"/>
          <w:w w:val="110"/>
          <w:sz w:val="20"/>
        </w:rPr>
        <w:t>de</w:t>
      </w:r>
      <w:r>
        <w:rPr>
          <w:color w:val="231F20"/>
          <w:spacing w:val="-7"/>
          <w:w w:val="110"/>
          <w:sz w:val="20"/>
        </w:rPr>
        <w:t> </w:t>
      </w:r>
      <w:r>
        <w:rPr>
          <w:color w:val="231F20"/>
          <w:w w:val="110"/>
          <w:sz w:val="20"/>
        </w:rPr>
        <w:t>empresas.</w:t>
      </w:r>
      <w:r>
        <w:rPr>
          <w:color w:val="231F20"/>
          <w:spacing w:val="-7"/>
          <w:w w:val="110"/>
          <w:sz w:val="20"/>
        </w:rPr>
        <w:t> </w:t>
      </w:r>
      <w:r>
        <w:rPr>
          <w:color w:val="231F20"/>
          <w:w w:val="110"/>
          <w:sz w:val="20"/>
        </w:rPr>
        <w:t>Por</w:t>
      </w:r>
      <w:r>
        <w:rPr>
          <w:color w:val="231F20"/>
          <w:spacing w:val="-7"/>
          <w:w w:val="110"/>
          <w:sz w:val="20"/>
        </w:rPr>
        <w:t> </w:t>
      </w:r>
      <w:r>
        <w:rPr>
          <w:color w:val="231F20"/>
          <w:w w:val="110"/>
          <w:sz w:val="20"/>
        </w:rPr>
        <w:t>fusiones</w:t>
      </w:r>
      <w:r>
        <w:rPr>
          <w:color w:val="231F20"/>
          <w:spacing w:val="-7"/>
          <w:w w:val="110"/>
          <w:sz w:val="20"/>
        </w:rPr>
        <w:t> </w:t>
      </w:r>
      <w:r>
        <w:rPr>
          <w:color w:val="231F20"/>
          <w:w w:val="110"/>
          <w:sz w:val="20"/>
        </w:rPr>
        <w:t>y</w:t>
      </w:r>
      <w:r>
        <w:rPr>
          <w:color w:val="231F20"/>
          <w:spacing w:val="-7"/>
          <w:w w:val="110"/>
          <w:sz w:val="20"/>
        </w:rPr>
        <w:t> </w:t>
      </w:r>
      <w:r>
        <w:rPr>
          <w:color w:val="231F20"/>
          <w:w w:val="110"/>
          <w:sz w:val="20"/>
        </w:rPr>
        <w:t>adquisiciones,</w:t>
      </w:r>
      <w:r>
        <w:rPr>
          <w:color w:val="231F20"/>
          <w:spacing w:val="-7"/>
          <w:w w:val="110"/>
          <w:sz w:val="20"/>
        </w:rPr>
        <w:t> </w:t>
      </w:r>
      <w:r>
        <w:rPr>
          <w:color w:val="231F20"/>
          <w:w w:val="110"/>
          <w:sz w:val="20"/>
        </w:rPr>
        <w:t>por</w:t>
      </w:r>
      <w:r>
        <w:rPr>
          <w:color w:val="231F20"/>
          <w:spacing w:val="-7"/>
          <w:w w:val="110"/>
          <w:sz w:val="20"/>
        </w:rPr>
        <w:t> </w:t>
      </w:r>
      <w:r>
        <w:rPr>
          <w:color w:val="231F20"/>
          <w:w w:val="110"/>
          <w:sz w:val="20"/>
        </w:rPr>
        <w:t>políticas</w:t>
      </w:r>
      <w:r>
        <w:rPr>
          <w:color w:val="231F20"/>
          <w:spacing w:val="-7"/>
          <w:w w:val="110"/>
          <w:sz w:val="20"/>
        </w:rPr>
        <w:t> </w:t>
      </w:r>
      <w:r>
        <w:rPr>
          <w:color w:val="231F20"/>
          <w:w w:val="110"/>
          <w:sz w:val="20"/>
        </w:rPr>
        <w:t>de “tomar</w:t>
      </w:r>
      <w:r>
        <w:rPr>
          <w:color w:val="231F20"/>
          <w:spacing w:val="-32"/>
          <w:w w:val="110"/>
          <w:sz w:val="20"/>
        </w:rPr>
        <w:t> </w:t>
      </w:r>
      <w:r>
        <w:rPr>
          <w:color w:val="231F20"/>
          <w:w w:val="110"/>
          <w:sz w:val="20"/>
        </w:rPr>
        <w:t>privado”</w:t>
      </w:r>
      <w:r>
        <w:rPr>
          <w:color w:val="231F20"/>
          <w:spacing w:val="-32"/>
          <w:w w:val="110"/>
          <w:sz w:val="20"/>
        </w:rPr>
        <w:t> </w:t>
      </w:r>
      <w:r>
        <w:rPr>
          <w:color w:val="231F20"/>
          <w:w w:val="110"/>
          <w:sz w:val="20"/>
        </w:rPr>
        <w:t>empresas</w:t>
      </w:r>
      <w:r>
        <w:rPr>
          <w:color w:val="231F20"/>
          <w:spacing w:val="-32"/>
          <w:w w:val="110"/>
          <w:sz w:val="20"/>
        </w:rPr>
        <w:t> </w:t>
      </w:r>
      <w:r>
        <w:rPr>
          <w:color w:val="231F20"/>
          <w:w w:val="110"/>
          <w:sz w:val="20"/>
        </w:rPr>
        <w:t>grandes</w:t>
      </w:r>
      <w:r>
        <w:rPr>
          <w:color w:val="231F20"/>
          <w:spacing w:val="-32"/>
          <w:w w:val="110"/>
          <w:sz w:val="20"/>
        </w:rPr>
        <w:t> </w:t>
      </w:r>
      <w:r>
        <w:rPr>
          <w:color w:val="231F20"/>
          <w:w w:val="110"/>
          <w:sz w:val="20"/>
        </w:rPr>
        <w:t>y</w:t>
      </w:r>
      <w:r>
        <w:rPr>
          <w:color w:val="231F20"/>
          <w:spacing w:val="-32"/>
          <w:w w:val="110"/>
          <w:sz w:val="20"/>
        </w:rPr>
        <w:t> </w:t>
      </w:r>
      <w:r>
        <w:rPr>
          <w:color w:val="231F20"/>
          <w:w w:val="110"/>
          <w:sz w:val="20"/>
        </w:rPr>
        <w:t>por</w:t>
      </w:r>
      <w:r>
        <w:rPr>
          <w:color w:val="231F20"/>
          <w:spacing w:val="-32"/>
          <w:w w:val="110"/>
          <w:sz w:val="20"/>
        </w:rPr>
        <w:t> </w:t>
      </w:r>
      <w:r>
        <w:rPr>
          <w:color w:val="231F20"/>
          <w:w w:val="110"/>
          <w:sz w:val="20"/>
        </w:rPr>
        <w:t>movimientos</w:t>
      </w:r>
      <w:r>
        <w:rPr>
          <w:color w:val="231F20"/>
          <w:spacing w:val="-32"/>
          <w:w w:val="110"/>
          <w:sz w:val="20"/>
        </w:rPr>
        <w:t> </w:t>
      </w:r>
      <w:r>
        <w:rPr>
          <w:i/>
          <w:color w:val="231F20"/>
          <w:w w:val="110"/>
          <w:sz w:val="20"/>
        </w:rPr>
        <w:t>offshore</w:t>
      </w:r>
      <w:r>
        <w:rPr>
          <w:color w:val="231F20"/>
          <w:w w:val="110"/>
          <w:sz w:val="20"/>
        </w:rPr>
        <w:t>,</w:t>
      </w:r>
      <w:r>
        <w:rPr>
          <w:color w:val="231F20"/>
          <w:spacing w:val="-32"/>
          <w:w w:val="110"/>
          <w:sz w:val="20"/>
        </w:rPr>
        <w:t> </w:t>
      </w:r>
      <w:r>
        <w:rPr>
          <w:color w:val="231F20"/>
          <w:w w:val="110"/>
          <w:sz w:val="20"/>
        </w:rPr>
        <w:t>las empresas</w:t>
      </w:r>
      <w:r>
        <w:rPr>
          <w:color w:val="231F20"/>
          <w:spacing w:val="-21"/>
          <w:w w:val="110"/>
          <w:sz w:val="20"/>
        </w:rPr>
        <w:t> </w:t>
      </w:r>
      <w:r>
        <w:rPr>
          <w:color w:val="231F20"/>
          <w:w w:val="110"/>
          <w:sz w:val="20"/>
        </w:rPr>
        <w:t>fueron</w:t>
      </w:r>
      <w:r>
        <w:rPr>
          <w:color w:val="231F20"/>
          <w:spacing w:val="-21"/>
          <w:w w:val="110"/>
          <w:sz w:val="20"/>
        </w:rPr>
        <w:t> </w:t>
      </w:r>
      <w:r>
        <w:rPr>
          <w:color w:val="231F20"/>
          <w:w w:val="110"/>
          <w:sz w:val="20"/>
        </w:rPr>
        <w:t>capaces</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evadir</w:t>
      </w:r>
      <w:r>
        <w:rPr>
          <w:color w:val="231F20"/>
          <w:spacing w:val="-21"/>
          <w:w w:val="110"/>
          <w:sz w:val="20"/>
        </w:rPr>
        <w:t> </w:t>
      </w:r>
      <w:r>
        <w:rPr>
          <w:color w:val="231F20"/>
          <w:w w:val="110"/>
          <w:sz w:val="20"/>
        </w:rPr>
        <w:t>sus</w:t>
      </w:r>
      <w:r>
        <w:rPr>
          <w:color w:val="231F20"/>
          <w:spacing w:val="-21"/>
          <w:w w:val="110"/>
          <w:sz w:val="20"/>
        </w:rPr>
        <w:t> </w:t>
      </w:r>
      <w:r>
        <w:rPr>
          <w:color w:val="231F20"/>
          <w:w w:val="110"/>
          <w:sz w:val="20"/>
        </w:rPr>
        <w:t>responsabilidades.</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nue- va táctica era de </w:t>
      </w:r>
      <w:r>
        <w:rPr>
          <w:color w:val="231F20"/>
          <w:spacing w:val="-3"/>
          <w:w w:val="110"/>
          <w:sz w:val="20"/>
        </w:rPr>
        <w:t>empujar, obligar, </w:t>
      </w:r>
      <w:r>
        <w:rPr>
          <w:color w:val="231F20"/>
          <w:w w:val="110"/>
          <w:sz w:val="20"/>
        </w:rPr>
        <w:t>a los empleados a programas llamados “fondos 401K” con los que el obrero mismo</w:t>
      </w:r>
      <w:r>
        <w:rPr>
          <w:color w:val="231F20"/>
          <w:spacing w:val="-37"/>
          <w:w w:val="110"/>
          <w:sz w:val="20"/>
        </w:rPr>
        <w:t> </w:t>
      </w:r>
      <w:r>
        <w:rPr>
          <w:color w:val="231F20"/>
          <w:w w:val="110"/>
          <w:sz w:val="20"/>
        </w:rPr>
        <w:t>financiara su</w:t>
      </w:r>
      <w:r>
        <w:rPr>
          <w:color w:val="231F20"/>
          <w:spacing w:val="-6"/>
          <w:w w:val="110"/>
          <w:sz w:val="20"/>
        </w:rPr>
        <w:t> </w:t>
      </w:r>
      <w:r>
        <w:rPr>
          <w:color w:val="231F20"/>
          <w:w w:val="110"/>
          <w:sz w:val="20"/>
        </w:rPr>
        <w:t>jubilación,</w:t>
      </w:r>
      <w:r>
        <w:rPr>
          <w:color w:val="231F20"/>
          <w:spacing w:val="-6"/>
          <w:w w:val="110"/>
          <w:sz w:val="20"/>
        </w:rPr>
        <w:t> </w:t>
      </w:r>
      <w:r>
        <w:rPr>
          <w:color w:val="231F20"/>
          <w:w w:val="110"/>
          <w:sz w:val="20"/>
        </w:rPr>
        <w:t>a</w:t>
      </w:r>
      <w:r>
        <w:rPr>
          <w:color w:val="231F20"/>
          <w:spacing w:val="-6"/>
          <w:w w:val="110"/>
          <w:sz w:val="20"/>
        </w:rPr>
        <w:t> </w:t>
      </w:r>
      <w:r>
        <w:rPr>
          <w:color w:val="231F20"/>
          <w:w w:val="110"/>
          <w:sz w:val="20"/>
        </w:rPr>
        <w:t>veces</w:t>
      </w:r>
      <w:r>
        <w:rPr>
          <w:color w:val="231F20"/>
          <w:spacing w:val="-6"/>
          <w:w w:val="110"/>
          <w:sz w:val="20"/>
        </w:rPr>
        <w:t> </w:t>
      </w:r>
      <w:r>
        <w:rPr>
          <w:color w:val="231F20"/>
          <w:w w:val="110"/>
          <w:sz w:val="20"/>
        </w:rPr>
        <w:t>con</w:t>
      </w:r>
      <w:r>
        <w:rPr>
          <w:color w:val="231F20"/>
          <w:spacing w:val="-6"/>
          <w:w w:val="110"/>
          <w:sz w:val="20"/>
        </w:rPr>
        <w:t> </w:t>
      </w:r>
      <w:r>
        <w:rPr>
          <w:color w:val="231F20"/>
          <w:w w:val="110"/>
          <w:sz w:val="20"/>
        </w:rPr>
        <w:t>algo</w:t>
      </w:r>
      <w:r>
        <w:rPr>
          <w:color w:val="231F20"/>
          <w:spacing w:val="-6"/>
          <w:w w:val="110"/>
          <w:sz w:val="20"/>
        </w:rPr>
        <w:t> </w:t>
      </w:r>
      <w:r>
        <w:rPr>
          <w:color w:val="231F20"/>
          <w:w w:val="110"/>
          <w:sz w:val="20"/>
        </w:rPr>
        <w:t>de</w:t>
      </w:r>
      <w:r>
        <w:rPr>
          <w:color w:val="231F20"/>
          <w:spacing w:val="-6"/>
          <w:w w:val="110"/>
          <w:sz w:val="20"/>
        </w:rPr>
        <w:t> </w:t>
      </w:r>
      <w:r>
        <w:rPr>
          <w:color w:val="231F20"/>
          <w:w w:val="110"/>
          <w:sz w:val="20"/>
        </w:rPr>
        <w:t>apoyo</w:t>
      </w:r>
      <w:r>
        <w:rPr>
          <w:color w:val="231F20"/>
          <w:spacing w:val="-6"/>
          <w:w w:val="110"/>
          <w:sz w:val="20"/>
        </w:rPr>
        <w:t> </w:t>
      </w:r>
      <w:r>
        <w:rPr>
          <w:color w:val="231F20"/>
          <w:w w:val="110"/>
          <w:sz w:val="20"/>
        </w:rPr>
        <w:t>por</w:t>
      </w:r>
      <w:r>
        <w:rPr>
          <w:color w:val="231F20"/>
          <w:spacing w:val="-6"/>
          <w:w w:val="110"/>
          <w:sz w:val="20"/>
        </w:rPr>
        <w:t> </w:t>
      </w:r>
      <w:r>
        <w:rPr>
          <w:color w:val="231F20"/>
          <w:w w:val="110"/>
          <w:sz w:val="20"/>
        </w:rPr>
        <w:t>parte</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w:t>
      </w:r>
      <w:r>
        <w:rPr>
          <w:color w:val="231F20"/>
          <w:spacing w:val="-6"/>
          <w:w w:val="110"/>
          <w:sz w:val="20"/>
        </w:rPr>
        <w:t> </w:t>
      </w:r>
      <w:r>
        <w:rPr>
          <w:color w:val="231F20"/>
          <w:w w:val="110"/>
          <w:sz w:val="20"/>
        </w:rPr>
        <w:t>empresa. En gran medida esta plata fue invertida en las bolsas de valores. Los</w:t>
      </w:r>
      <w:r>
        <w:rPr>
          <w:color w:val="231F20"/>
          <w:spacing w:val="-4"/>
          <w:w w:val="110"/>
          <w:sz w:val="20"/>
        </w:rPr>
        <w:t> </w:t>
      </w:r>
      <w:r>
        <w:rPr>
          <w:color w:val="231F20"/>
          <w:w w:val="110"/>
          <w:sz w:val="20"/>
        </w:rPr>
        <w:t>obreros</w:t>
      </w:r>
      <w:r>
        <w:rPr>
          <w:color w:val="231F20"/>
          <w:spacing w:val="-4"/>
          <w:w w:val="110"/>
          <w:sz w:val="20"/>
        </w:rPr>
        <w:t> </w:t>
      </w:r>
      <w:r>
        <w:rPr>
          <w:color w:val="231F20"/>
          <w:w w:val="110"/>
          <w:sz w:val="20"/>
        </w:rPr>
        <w:t>nunca</w:t>
      </w:r>
      <w:r>
        <w:rPr>
          <w:color w:val="231F20"/>
          <w:spacing w:val="-4"/>
          <w:w w:val="110"/>
          <w:sz w:val="20"/>
        </w:rPr>
        <w:t> </w:t>
      </w:r>
      <w:r>
        <w:rPr>
          <w:color w:val="231F20"/>
          <w:w w:val="110"/>
          <w:sz w:val="20"/>
        </w:rPr>
        <w:t>supieron</w:t>
      </w:r>
      <w:r>
        <w:rPr>
          <w:color w:val="231F20"/>
          <w:spacing w:val="-4"/>
          <w:w w:val="110"/>
          <w:sz w:val="20"/>
        </w:rPr>
        <w:t> </w:t>
      </w:r>
      <w:r>
        <w:rPr>
          <w:color w:val="231F20"/>
          <w:w w:val="110"/>
          <w:sz w:val="20"/>
        </w:rPr>
        <w:t>de</w:t>
      </w:r>
      <w:r>
        <w:rPr>
          <w:color w:val="231F20"/>
          <w:spacing w:val="-4"/>
          <w:w w:val="110"/>
          <w:sz w:val="20"/>
        </w:rPr>
        <w:t> </w:t>
      </w:r>
      <w:r>
        <w:rPr>
          <w:color w:val="231F20"/>
          <w:w w:val="110"/>
          <w:sz w:val="20"/>
        </w:rPr>
        <w:t>los</w:t>
      </w:r>
      <w:r>
        <w:rPr>
          <w:color w:val="231F20"/>
          <w:spacing w:val="-4"/>
          <w:w w:val="110"/>
          <w:sz w:val="20"/>
        </w:rPr>
        <w:t> </w:t>
      </w:r>
      <w:r>
        <w:rPr>
          <w:color w:val="231F20"/>
          <w:w w:val="110"/>
          <w:sz w:val="20"/>
        </w:rPr>
        <w:t>riesgos</w:t>
      </w:r>
      <w:r>
        <w:rPr>
          <w:color w:val="231F20"/>
          <w:spacing w:val="-4"/>
          <w:w w:val="110"/>
          <w:sz w:val="20"/>
        </w:rPr>
        <w:t> </w:t>
      </w:r>
      <w:r>
        <w:rPr>
          <w:color w:val="231F20"/>
          <w:w w:val="110"/>
          <w:sz w:val="20"/>
        </w:rPr>
        <w:t>o</w:t>
      </w:r>
      <w:r>
        <w:rPr>
          <w:color w:val="231F20"/>
          <w:spacing w:val="-4"/>
          <w:w w:val="110"/>
          <w:sz w:val="20"/>
        </w:rPr>
        <w:t> </w:t>
      </w:r>
      <w:r>
        <w:rPr>
          <w:color w:val="231F20"/>
          <w:w w:val="110"/>
          <w:sz w:val="20"/>
        </w:rPr>
        <w:t>límites</w:t>
      </w:r>
      <w:r>
        <w:rPr>
          <w:color w:val="231F20"/>
          <w:spacing w:val="-4"/>
          <w:w w:val="110"/>
          <w:sz w:val="20"/>
        </w:rPr>
        <w:t> </w:t>
      </w:r>
      <w:r>
        <w:rPr>
          <w:color w:val="231F20"/>
          <w:w w:val="110"/>
          <w:sz w:val="20"/>
        </w:rPr>
        <w:t>de</w:t>
      </w:r>
      <w:r>
        <w:rPr>
          <w:color w:val="231F20"/>
          <w:spacing w:val="-4"/>
          <w:w w:val="110"/>
          <w:sz w:val="20"/>
        </w:rPr>
        <w:t> </w:t>
      </w:r>
      <w:r>
        <w:rPr>
          <w:color w:val="231F20"/>
          <w:w w:val="110"/>
          <w:sz w:val="20"/>
        </w:rPr>
        <w:t>las</w:t>
      </w:r>
      <w:r>
        <w:rPr>
          <w:color w:val="231F20"/>
          <w:spacing w:val="-4"/>
          <w:w w:val="110"/>
          <w:sz w:val="20"/>
        </w:rPr>
        <w:t> </w:t>
      </w:r>
      <w:r>
        <w:rPr>
          <w:color w:val="231F20"/>
          <w:w w:val="110"/>
          <w:sz w:val="20"/>
        </w:rPr>
        <w:t>bolsas de</w:t>
      </w:r>
      <w:r>
        <w:rPr>
          <w:color w:val="231F20"/>
          <w:spacing w:val="-23"/>
          <w:w w:val="110"/>
          <w:sz w:val="20"/>
        </w:rPr>
        <w:t> </w:t>
      </w:r>
      <w:r>
        <w:rPr>
          <w:color w:val="231F20"/>
          <w:w w:val="110"/>
          <w:sz w:val="20"/>
        </w:rPr>
        <w:t>valores.</w:t>
      </w:r>
      <w:r>
        <w:rPr>
          <w:color w:val="231F20"/>
          <w:spacing w:val="-23"/>
          <w:w w:val="110"/>
          <w:sz w:val="20"/>
        </w:rPr>
        <w:t> </w:t>
      </w:r>
      <w:r>
        <w:rPr>
          <w:color w:val="231F20"/>
          <w:w w:val="110"/>
          <w:sz w:val="20"/>
        </w:rPr>
        <w:t>Gran</w:t>
      </w:r>
      <w:r>
        <w:rPr>
          <w:color w:val="231F20"/>
          <w:spacing w:val="-23"/>
          <w:w w:val="110"/>
          <w:sz w:val="20"/>
        </w:rPr>
        <w:t> </w:t>
      </w:r>
      <w:r>
        <w:rPr>
          <w:color w:val="231F20"/>
          <w:w w:val="110"/>
          <w:sz w:val="20"/>
        </w:rPr>
        <w:t>parte</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las</w:t>
      </w:r>
      <w:r>
        <w:rPr>
          <w:color w:val="231F20"/>
          <w:spacing w:val="-23"/>
          <w:w w:val="110"/>
          <w:sz w:val="20"/>
        </w:rPr>
        <w:t> </w:t>
      </w:r>
      <w:r>
        <w:rPr>
          <w:color w:val="231F20"/>
          <w:w w:val="110"/>
          <w:sz w:val="20"/>
        </w:rPr>
        <w:t>burbujas</w:t>
      </w:r>
      <w:r>
        <w:rPr>
          <w:color w:val="231F20"/>
          <w:spacing w:val="-23"/>
          <w:w w:val="110"/>
          <w:sz w:val="20"/>
        </w:rPr>
        <w:t> </w:t>
      </w:r>
      <w:r>
        <w:rPr>
          <w:color w:val="231F20"/>
          <w:w w:val="110"/>
          <w:sz w:val="20"/>
        </w:rPr>
        <w:t>financieras</w:t>
      </w:r>
      <w:r>
        <w:rPr>
          <w:color w:val="231F20"/>
          <w:spacing w:val="-23"/>
          <w:w w:val="110"/>
          <w:sz w:val="20"/>
        </w:rPr>
        <w:t> </w:t>
      </w:r>
      <w:r>
        <w:rPr>
          <w:color w:val="231F20"/>
          <w:w w:val="110"/>
          <w:sz w:val="20"/>
        </w:rPr>
        <w:t>entre</w:t>
      </w:r>
      <w:r>
        <w:rPr>
          <w:color w:val="231F20"/>
          <w:spacing w:val="-23"/>
          <w:w w:val="110"/>
          <w:sz w:val="20"/>
        </w:rPr>
        <w:t> </w:t>
      </w:r>
      <w:r>
        <w:rPr>
          <w:color w:val="231F20"/>
          <w:w w:val="110"/>
          <w:sz w:val="20"/>
        </w:rPr>
        <w:t>1993-2000 y</w:t>
      </w:r>
      <w:r>
        <w:rPr>
          <w:color w:val="231F20"/>
          <w:spacing w:val="-13"/>
          <w:w w:val="110"/>
          <w:sz w:val="20"/>
        </w:rPr>
        <w:t> </w:t>
      </w:r>
      <w:r>
        <w:rPr>
          <w:color w:val="231F20"/>
          <w:w w:val="110"/>
          <w:sz w:val="20"/>
        </w:rPr>
        <w:t>2003-2008</w:t>
      </w:r>
      <w:r>
        <w:rPr>
          <w:color w:val="231F20"/>
          <w:spacing w:val="-13"/>
          <w:w w:val="110"/>
          <w:sz w:val="20"/>
        </w:rPr>
        <w:t> </w:t>
      </w:r>
      <w:r>
        <w:rPr>
          <w:color w:val="231F20"/>
          <w:w w:val="110"/>
          <w:sz w:val="20"/>
        </w:rPr>
        <w:t>fueron</w:t>
      </w:r>
      <w:r>
        <w:rPr>
          <w:color w:val="231F20"/>
          <w:spacing w:val="-13"/>
          <w:w w:val="110"/>
          <w:sz w:val="20"/>
        </w:rPr>
        <w:t> </w:t>
      </w:r>
      <w:r>
        <w:rPr>
          <w:color w:val="231F20"/>
          <w:w w:val="110"/>
          <w:sz w:val="20"/>
        </w:rPr>
        <w:t>impulsadas</w:t>
      </w:r>
      <w:r>
        <w:rPr>
          <w:color w:val="231F20"/>
          <w:spacing w:val="-13"/>
          <w:w w:val="110"/>
          <w:sz w:val="20"/>
        </w:rPr>
        <w:t> </w:t>
      </w:r>
      <w:r>
        <w:rPr>
          <w:color w:val="231F20"/>
          <w:w w:val="110"/>
          <w:sz w:val="20"/>
        </w:rPr>
        <w:t>por</w:t>
      </w:r>
      <w:r>
        <w:rPr>
          <w:color w:val="231F20"/>
          <w:spacing w:val="-13"/>
          <w:w w:val="110"/>
          <w:sz w:val="20"/>
        </w:rPr>
        <w:t> </w:t>
      </w:r>
      <w:r>
        <w:rPr>
          <w:color w:val="231F20"/>
          <w:w w:val="110"/>
          <w:sz w:val="20"/>
        </w:rPr>
        <w:t>esta</w:t>
      </w:r>
      <w:r>
        <w:rPr>
          <w:color w:val="231F20"/>
          <w:spacing w:val="-13"/>
          <w:w w:val="110"/>
          <w:sz w:val="20"/>
        </w:rPr>
        <w:t> </w:t>
      </w:r>
      <w:r>
        <w:rPr>
          <w:color w:val="231F20"/>
          <w:w w:val="110"/>
          <w:sz w:val="20"/>
        </w:rPr>
        <w:t>plata</w:t>
      </w:r>
      <w:r>
        <w:rPr>
          <w:color w:val="231F20"/>
          <w:spacing w:val="-13"/>
          <w:w w:val="110"/>
          <w:sz w:val="20"/>
        </w:rPr>
        <w:t> </w:t>
      </w:r>
      <w:r>
        <w:rPr>
          <w:color w:val="231F20"/>
          <w:w w:val="110"/>
          <w:sz w:val="20"/>
        </w:rPr>
        <w:t>masiva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recursos de</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clase</w:t>
      </w:r>
      <w:r>
        <w:rPr>
          <w:color w:val="231F20"/>
          <w:spacing w:val="-21"/>
          <w:w w:val="110"/>
          <w:sz w:val="20"/>
        </w:rPr>
        <w:t> </w:t>
      </w:r>
      <w:r>
        <w:rPr>
          <w:color w:val="231F20"/>
          <w:w w:val="110"/>
          <w:sz w:val="20"/>
        </w:rPr>
        <w:t>trabajadora</w:t>
      </w:r>
      <w:r>
        <w:rPr>
          <w:color w:val="231F20"/>
          <w:spacing w:val="-21"/>
          <w:w w:val="110"/>
          <w:sz w:val="20"/>
        </w:rPr>
        <w:t> </w:t>
      </w:r>
      <w:r>
        <w:rPr>
          <w:color w:val="231F20"/>
          <w:w w:val="110"/>
          <w:sz w:val="20"/>
        </w:rPr>
        <w:t>y</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clase</w:t>
      </w:r>
      <w:r>
        <w:rPr>
          <w:color w:val="231F20"/>
          <w:spacing w:val="-21"/>
          <w:w w:val="110"/>
          <w:sz w:val="20"/>
        </w:rPr>
        <w:t> </w:t>
      </w:r>
      <w:r>
        <w:rPr>
          <w:color w:val="231F20"/>
          <w:w w:val="110"/>
          <w:sz w:val="20"/>
        </w:rPr>
        <w:t>media,</w:t>
      </w:r>
      <w:r>
        <w:rPr>
          <w:color w:val="231F20"/>
          <w:spacing w:val="-21"/>
          <w:w w:val="110"/>
          <w:sz w:val="20"/>
        </w:rPr>
        <w:t> </w:t>
      </w:r>
      <w:r>
        <w:rPr>
          <w:color w:val="231F20"/>
          <w:w w:val="110"/>
          <w:sz w:val="20"/>
        </w:rPr>
        <w:t>invertidos</w:t>
      </w:r>
      <w:r>
        <w:rPr>
          <w:color w:val="231F20"/>
          <w:spacing w:val="-21"/>
          <w:w w:val="110"/>
          <w:sz w:val="20"/>
        </w:rPr>
        <w:t> </w:t>
      </w:r>
      <w:r>
        <w:rPr>
          <w:color w:val="231F20"/>
          <w:w w:val="110"/>
          <w:sz w:val="20"/>
        </w:rPr>
        <w:t>por</w:t>
      </w:r>
      <w:r>
        <w:rPr>
          <w:color w:val="231F20"/>
          <w:spacing w:val="-21"/>
          <w:w w:val="110"/>
          <w:sz w:val="20"/>
        </w:rPr>
        <w:t> </w:t>
      </w:r>
      <w:r>
        <w:rPr>
          <w:color w:val="231F20"/>
          <w:w w:val="110"/>
          <w:sz w:val="20"/>
        </w:rPr>
        <w:t>los</w:t>
      </w:r>
      <w:r>
        <w:rPr>
          <w:color w:val="231F20"/>
          <w:spacing w:val="-21"/>
          <w:w w:val="110"/>
          <w:sz w:val="20"/>
        </w:rPr>
        <w:t> </w:t>
      </w:r>
      <w:r>
        <w:rPr>
          <w:color w:val="231F20"/>
          <w:w w:val="110"/>
          <w:sz w:val="20"/>
        </w:rPr>
        <w:t>gigantes fondos mutuales. Por muchos, la idea era que la bolsa sería la medida para alcanzar el sueño americano. Lo </w:t>
      </w:r>
      <w:r>
        <w:rPr>
          <w:color w:val="231F20"/>
          <w:spacing w:val="-4"/>
          <w:w w:val="110"/>
          <w:sz w:val="20"/>
        </w:rPr>
        <w:t>peor, </w:t>
      </w:r>
      <w:r>
        <w:rPr>
          <w:color w:val="231F20"/>
          <w:w w:val="110"/>
          <w:sz w:val="20"/>
        </w:rPr>
        <w:t>algo que ha pasado para millones en 2000 y otra vez en 2008, era vender</w:t>
      </w:r>
      <w:r>
        <w:rPr>
          <w:color w:val="231F20"/>
          <w:spacing w:val="-27"/>
          <w:w w:val="110"/>
          <w:sz w:val="20"/>
        </w:rPr>
        <w:t> </w:t>
      </w:r>
      <w:r>
        <w:rPr>
          <w:color w:val="231F20"/>
          <w:w w:val="110"/>
          <w:sz w:val="20"/>
        </w:rPr>
        <w:t>sus acciones en el momento más desfavorable. Por temor e</w:t>
      </w:r>
      <w:r>
        <w:rPr>
          <w:color w:val="231F20"/>
          <w:spacing w:val="-13"/>
          <w:w w:val="110"/>
          <w:sz w:val="20"/>
        </w:rPr>
        <w:t> </w:t>
      </w:r>
      <w:r>
        <w:rPr>
          <w:color w:val="231F20"/>
          <w:w w:val="110"/>
          <w:sz w:val="20"/>
        </w:rPr>
        <w:t>ignoran- cia, esto fue una táctica empleada durante los pánicos en las dos burbujas.</w:t>
      </w:r>
    </w:p>
    <w:p>
      <w:pPr>
        <w:pStyle w:val="BodyText"/>
        <w:spacing w:before="8"/>
        <w:rPr>
          <w:sz w:val="21"/>
        </w:rPr>
      </w:pPr>
    </w:p>
    <w:p>
      <w:pPr>
        <w:pStyle w:val="BodyText"/>
        <w:spacing w:line="261" w:lineRule="auto"/>
        <w:ind w:left="100" w:right="114" w:firstLine="252"/>
        <w:jc w:val="both"/>
      </w:pPr>
      <w:r>
        <w:rPr>
          <w:color w:val="231F20"/>
          <w:w w:val="105"/>
        </w:rPr>
        <w:t>¿Y ahora qué? Totalmente desprotegidos, ignorantes de las fuerzas financieras desreguladas que han destruido su patrimonio, enfrentan una tasa de desempleo </w:t>
      </w:r>
      <w:r>
        <w:rPr>
          <w:i/>
          <w:color w:val="231F20"/>
          <w:w w:val="105"/>
        </w:rPr>
        <w:t>U-6 </w:t>
      </w:r>
      <w:r>
        <w:rPr>
          <w:color w:val="231F20"/>
          <w:w w:val="105"/>
        </w:rPr>
        <w:t>de 16.5%, ignorados por un Estado que     ha  emitido  billones  de  dólares  para  rescatar  a  los    </w:t>
      </w:r>
      <w:r>
        <w:rPr>
          <w:color w:val="231F20"/>
          <w:spacing w:val="14"/>
          <w:w w:val="105"/>
        </w:rPr>
        <w:t> </w:t>
      </w:r>
      <w:r>
        <w:rPr>
          <w:color w:val="231F20"/>
          <w:w w:val="105"/>
        </w:rPr>
        <w:t>intermediarios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financieros, ¿por dónde pudieran ir la clase trabajadora y la clase media? Históricamente, sobre todo en la gran depresión, los obreros tuvieron</w:t>
      </w:r>
      <w:r>
        <w:rPr>
          <w:color w:val="231F20"/>
          <w:spacing w:val="-8"/>
          <w:w w:val="110"/>
        </w:rPr>
        <w:t> </w:t>
      </w:r>
      <w:r>
        <w:rPr>
          <w:color w:val="231F20"/>
          <w:w w:val="110"/>
        </w:rPr>
        <w:t>que</w:t>
      </w:r>
      <w:r>
        <w:rPr>
          <w:color w:val="231F20"/>
          <w:spacing w:val="-8"/>
          <w:w w:val="110"/>
        </w:rPr>
        <w:t> </w:t>
      </w:r>
      <w:r>
        <w:rPr>
          <w:color w:val="231F20"/>
          <w:w w:val="110"/>
        </w:rPr>
        <w:t>pensar</w:t>
      </w:r>
      <w:r>
        <w:rPr>
          <w:color w:val="231F20"/>
          <w:spacing w:val="-8"/>
          <w:w w:val="110"/>
        </w:rPr>
        <w:t> </w:t>
      </w:r>
      <w:r>
        <w:rPr>
          <w:color w:val="231F20"/>
          <w:w w:val="110"/>
        </w:rPr>
        <w:t>en</w:t>
      </w:r>
      <w:r>
        <w:rPr>
          <w:color w:val="231F20"/>
          <w:spacing w:val="-8"/>
          <w:w w:val="110"/>
        </w:rPr>
        <w:t> </w:t>
      </w:r>
      <w:r>
        <w:rPr>
          <w:color w:val="231F20"/>
          <w:w w:val="110"/>
        </w:rPr>
        <w:t>soluciones</w:t>
      </w:r>
      <w:r>
        <w:rPr>
          <w:color w:val="231F20"/>
          <w:spacing w:val="-8"/>
          <w:w w:val="110"/>
        </w:rPr>
        <w:t> </w:t>
      </w:r>
      <w:r>
        <w:rPr>
          <w:color w:val="231F20"/>
          <w:w w:val="110"/>
        </w:rPr>
        <w:t>colectivas,</w:t>
      </w:r>
      <w:r>
        <w:rPr>
          <w:color w:val="231F20"/>
          <w:spacing w:val="-8"/>
          <w:w w:val="110"/>
        </w:rPr>
        <w:t> </w:t>
      </w:r>
      <w:r>
        <w:rPr>
          <w:color w:val="231F20"/>
          <w:w w:val="110"/>
        </w:rPr>
        <w:t>sobre</w:t>
      </w:r>
      <w:r>
        <w:rPr>
          <w:color w:val="231F20"/>
          <w:spacing w:val="-8"/>
          <w:w w:val="110"/>
        </w:rPr>
        <w:t> </w:t>
      </w:r>
      <w:r>
        <w:rPr>
          <w:color w:val="231F20"/>
          <w:w w:val="110"/>
        </w:rPr>
        <w:t>todo</w:t>
      </w:r>
      <w:r>
        <w:rPr>
          <w:color w:val="231F20"/>
          <w:spacing w:val="-8"/>
          <w:w w:val="110"/>
        </w:rPr>
        <w:t> </w:t>
      </w:r>
      <w:r>
        <w:rPr>
          <w:color w:val="231F20"/>
          <w:w w:val="110"/>
        </w:rPr>
        <w:t>en</w:t>
      </w:r>
      <w:r>
        <w:rPr>
          <w:color w:val="231F20"/>
          <w:spacing w:val="-8"/>
          <w:w w:val="110"/>
        </w:rPr>
        <w:t> </w:t>
      </w:r>
      <w:r>
        <w:rPr>
          <w:color w:val="231F20"/>
          <w:w w:val="110"/>
        </w:rPr>
        <w:t>apoyo</w:t>
      </w:r>
      <w:r>
        <w:rPr>
          <w:color w:val="231F20"/>
          <w:spacing w:val="-8"/>
          <w:w w:val="110"/>
        </w:rPr>
        <w:t> </w:t>
      </w:r>
      <w:r>
        <w:rPr>
          <w:color w:val="231F20"/>
          <w:w w:val="110"/>
        </w:rPr>
        <w:t>de nuevas políticas estatales para hacer crecer el “salario social” y en</w:t>
      </w:r>
      <w:r>
        <w:rPr>
          <w:color w:val="231F20"/>
          <w:spacing w:val="-35"/>
          <w:w w:val="110"/>
        </w:rPr>
        <w:t> </w:t>
      </w:r>
      <w:r>
        <w:rPr>
          <w:color w:val="231F20"/>
          <w:w w:val="110"/>
        </w:rPr>
        <w:t>la formación</w:t>
      </w:r>
      <w:r>
        <w:rPr>
          <w:color w:val="231F20"/>
          <w:spacing w:val="-12"/>
          <w:w w:val="110"/>
        </w:rPr>
        <w:t> </w:t>
      </w:r>
      <w:r>
        <w:rPr>
          <w:color w:val="231F20"/>
          <w:w w:val="110"/>
        </w:rPr>
        <w:t>de</w:t>
      </w:r>
      <w:r>
        <w:rPr>
          <w:color w:val="231F20"/>
          <w:spacing w:val="-12"/>
          <w:w w:val="110"/>
        </w:rPr>
        <w:t> </w:t>
      </w:r>
      <w:r>
        <w:rPr>
          <w:color w:val="231F20"/>
          <w:w w:val="110"/>
        </w:rPr>
        <w:t>movimientos</w:t>
      </w:r>
      <w:r>
        <w:rPr>
          <w:color w:val="231F20"/>
          <w:spacing w:val="-12"/>
          <w:w w:val="110"/>
        </w:rPr>
        <w:t> </w:t>
      </w:r>
      <w:r>
        <w:rPr>
          <w:color w:val="231F20"/>
          <w:w w:val="110"/>
        </w:rPr>
        <w:t>sindicales.</w:t>
      </w:r>
      <w:r>
        <w:rPr>
          <w:color w:val="231F20"/>
          <w:spacing w:val="-12"/>
          <w:w w:val="110"/>
        </w:rPr>
        <w:t> </w:t>
      </w:r>
      <w:r>
        <w:rPr>
          <w:color w:val="231F20"/>
          <w:w w:val="110"/>
        </w:rPr>
        <w:t>Esta</w:t>
      </w:r>
      <w:r>
        <w:rPr>
          <w:color w:val="231F20"/>
          <w:spacing w:val="-12"/>
          <w:w w:val="110"/>
        </w:rPr>
        <w:t> </w:t>
      </w:r>
      <w:r>
        <w:rPr>
          <w:color w:val="231F20"/>
          <w:w w:val="110"/>
        </w:rPr>
        <w:t>válvula</w:t>
      </w:r>
      <w:r>
        <w:rPr>
          <w:color w:val="231F20"/>
          <w:spacing w:val="-12"/>
          <w:w w:val="110"/>
        </w:rPr>
        <w:t> </w:t>
      </w:r>
      <w:r>
        <w:rPr>
          <w:color w:val="231F20"/>
          <w:w w:val="110"/>
        </w:rPr>
        <w:t>de</w:t>
      </w:r>
      <w:r>
        <w:rPr>
          <w:color w:val="231F20"/>
          <w:spacing w:val="-12"/>
          <w:w w:val="110"/>
        </w:rPr>
        <w:t> </w:t>
      </w:r>
      <w:r>
        <w:rPr>
          <w:color w:val="231F20"/>
          <w:w w:val="110"/>
        </w:rPr>
        <w:t>escape</w:t>
      </w:r>
      <w:r>
        <w:rPr>
          <w:color w:val="231F20"/>
          <w:spacing w:val="-12"/>
          <w:w w:val="110"/>
        </w:rPr>
        <w:t> </w:t>
      </w:r>
      <w:r>
        <w:rPr>
          <w:color w:val="231F20"/>
          <w:w w:val="110"/>
        </w:rPr>
        <w:t>ya</w:t>
      </w:r>
      <w:r>
        <w:rPr>
          <w:color w:val="231F20"/>
          <w:spacing w:val="-12"/>
          <w:w w:val="110"/>
        </w:rPr>
        <w:t> </w:t>
      </w:r>
      <w:r>
        <w:rPr>
          <w:color w:val="231F20"/>
          <w:w w:val="110"/>
        </w:rPr>
        <w:t>está, casi,</w:t>
      </w:r>
      <w:r>
        <w:rPr>
          <w:color w:val="231F20"/>
          <w:spacing w:val="-10"/>
          <w:w w:val="110"/>
        </w:rPr>
        <w:t> </w:t>
      </w:r>
      <w:r>
        <w:rPr>
          <w:color w:val="231F20"/>
          <w:w w:val="110"/>
        </w:rPr>
        <w:t>cerrada.</w:t>
      </w:r>
    </w:p>
    <w:p>
      <w:pPr>
        <w:pStyle w:val="BodyText"/>
        <w:spacing w:line="261" w:lineRule="auto"/>
        <w:ind w:left="100" w:right="115" w:firstLine="240"/>
        <w:jc w:val="both"/>
      </w:pPr>
      <w:r>
        <w:rPr>
          <w:color w:val="231F20"/>
          <w:w w:val="110"/>
        </w:rPr>
        <w:t>Desafortunadamente, tenemos un ejemplo de un Estado bona- partista, la de Alemania bajo la República de </w:t>
      </w:r>
      <w:r>
        <w:rPr>
          <w:color w:val="231F20"/>
          <w:spacing w:val="-5"/>
          <w:w w:val="110"/>
        </w:rPr>
        <w:t>Weimar. </w:t>
      </w:r>
      <w:r>
        <w:rPr>
          <w:color w:val="231F20"/>
          <w:w w:val="110"/>
        </w:rPr>
        <w:t>No es posible ubicar una tendencia inconfundible hacia algo similar hoy en día   en</w:t>
      </w:r>
      <w:r>
        <w:rPr>
          <w:color w:val="231F20"/>
          <w:spacing w:val="40"/>
          <w:w w:val="110"/>
        </w:rPr>
        <w:t> </w:t>
      </w:r>
      <w:r>
        <w:rPr>
          <w:color w:val="231F20"/>
          <w:w w:val="110"/>
        </w:rPr>
        <w:t>Estados</w:t>
      </w:r>
      <w:r>
        <w:rPr>
          <w:color w:val="231F20"/>
          <w:spacing w:val="40"/>
          <w:w w:val="110"/>
        </w:rPr>
        <w:t> </w:t>
      </w:r>
      <w:r>
        <w:rPr>
          <w:color w:val="231F20"/>
          <w:w w:val="110"/>
        </w:rPr>
        <w:t>Unidos.</w:t>
      </w:r>
      <w:r>
        <w:rPr>
          <w:color w:val="231F20"/>
          <w:spacing w:val="40"/>
          <w:w w:val="110"/>
        </w:rPr>
        <w:t> </w:t>
      </w:r>
      <w:r>
        <w:rPr>
          <w:color w:val="231F20"/>
          <w:w w:val="110"/>
        </w:rPr>
        <w:t>Pero,</w:t>
      </w:r>
      <w:r>
        <w:rPr>
          <w:color w:val="231F20"/>
          <w:spacing w:val="40"/>
          <w:w w:val="110"/>
        </w:rPr>
        <w:t> </w:t>
      </w:r>
      <w:r>
        <w:rPr>
          <w:color w:val="231F20"/>
          <w:w w:val="110"/>
        </w:rPr>
        <w:t>están</w:t>
      </w:r>
      <w:r>
        <w:rPr>
          <w:color w:val="231F20"/>
          <w:spacing w:val="40"/>
          <w:w w:val="110"/>
        </w:rPr>
        <w:t> </w:t>
      </w:r>
      <w:r>
        <w:rPr>
          <w:color w:val="231F20"/>
          <w:w w:val="110"/>
        </w:rPr>
        <w:t>abandonados</w:t>
      </w:r>
      <w:r>
        <w:rPr>
          <w:color w:val="231F20"/>
          <w:spacing w:val="40"/>
          <w:w w:val="110"/>
        </w:rPr>
        <w:t> </w:t>
      </w:r>
      <w:r>
        <w:rPr>
          <w:color w:val="231F20"/>
          <w:w w:val="110"/>
        </w:rPr>
        <w:t>los</w:t>
      </w:r>
      <w:r>
        <w:rPr>
          <w:color w:val="231F20"/>
          <w:spacing w:val="40"/>
          <w:w w:val="110"/>
        </w:rPr>
        <w:t> </w:t>
      </w:r>
      <w:r>
        <w:rPr>
          <w:color w:val="231F20"/>
          <w:w w:val="110"/>
        </w:rPr>
        <w:t>miembros</w:t>
      </w:r>
      <w:r>
        <w:rPr>
          <w:color w:val="231F20"/>
          <w:spacing w:val="40"/>
          <w:w w:val="110"/>
        </w:rPr>
        <w:t> </w:t>
      </w:r>
      <w:r>
        <w:rPr>
          <w:color w:val="231F20"/>
          <w:w w:val="110"/>
        </w:rPr>
        <w:t>de</w:t>
      </w:r>
      <w:r>
        <w:rPr>
          <w:color w:val="231F20"/>
          <w:spacing w:val="40"/>
          <w:w w:val="110"/>
        </w:rPr>
        <w:t> </w:t>
      </w:r>
      <w:r>
        <w:rPr>
          <w:color w:val="231F20"/>
          <w:w w:val="110"/>
        </w:rPr>
        <w:t>la</w:t>
      </w:r>
      <w:r>
        <w:rPr>
          <w:color w:val="231F20"/>
          <w:spacing w:val="1"/>
          <w:w w:val="105"/>
        </w:rPr>
        <w:t> </w:t>
      </w:r>
      <w:r>
        <w:rPr>
          <w:color w:val="231F20"/>
          <w:w w:val="110"/>
        </w:rPr>
        <w:t>población subyacente. Esta es una animosidad creciente en la bús- queda de chivos expiatorios. Pueden ser los inmigrantes, pueden ser las minorías y puede ser el Estado —el blanco constante de la ultra derecha—. Según los que siempre atacan las intervenciones del es- tado, la política keynesiana, impulsada desde la primavera de 2009 está</w:t>
      </w:r>
      <w:r>
        <w:rPr>
          <w:color w:val="231F20"/>
          <w:spacing w:val="-13"/>
          <w:w w:val="110"/>
        </w:rPr>
        <w:t> </w:t>
      </w:r>
      <w:r>
        <w:rPr>
          <w:color w:val="231F20"/>
          <w:w w:val="110"/>
        </w:rPr>
        <w:t>hundiendo</w:t>
      </w:r>
      <w:r>
        <w:rPr>
          <w:color w:val="231F20"/>
          <w:spacing w:val="-13"/>
          <w:w w:val="110"/>
        </w:rPr>
        <w:t> </w:t>
      </w:r>
      <w:r>
        <w:rPr>
          <w:color w:val="231F20"/>
          <w:w w:val="110"/>
        </w:rPr>
        <w:t>el</w:t>
      </w:r>
      <w:r>
        <w:rPr>
          <w:color w:val="231F20"/>
          <w:spacing w:val="-13"/>
          <w:w w:val="110"/>
        </w:rPr>
        <w:t> </w:t>
      </w:r>
      <w:r>
        <w:rPr>
          <w:color w:val="231F20"/>
          <w:w w:val="110"/>
        </w:rPr>
        <w:t>país</w:t>
      </w:r>
      <w:r>
        <w:rPr>
          <w:color w:val="231F20"/>
          <w:spacing w:val="-13"/>
          <w:w w:val="110"/>
        </w:rPr>
        <w:t> </w:t>
      </w:r>
      <w:r>
        <w:rPr>
          <w:color w:val="231F20"/>
          <w:w w:val="110"/>
        </w:rPr>
        <w:t>en</w:t>
      </w:r>
      <w:r>
        <w:rPr>
          <w:color w:val="231F20"/>
          <w:spacing w:val="-13"/>
          <w:w w:val="110"/>
        </w:rPr>
        <w:t> </w:t>
      </w:r>
      <w:r>
        <w:rPr>
          <w:color w:val="231F20"/>
          <w:w w:val="110"/>
        </w:rPr>
        <w:t>deudas</w:t>
      </w:r>
      <w:r>
        <w:rPr>
          <w:color w:val="231F20"/>
          <w:spacing w:val="-13"/>
          <w:w w:val="110"/>
        </w:rPr>
        <w:t> </w:t>
      </w:r>
      <w:r>
        <w:rPr>
          <w:color w:val="231F20"/>
          <w:w w:val="110"/>
        </w:rPr>
        <w:t>públicas</w:t>
      </w:r>
      <w:r>
        <w:rPr>
          <w:color w:val="231F20"/>
          <w:spacing w:val="-13"/>
          <w:w w:val="110"/>
        </w:rPr>
        <w:t> </w:t>
      </w:r>
      <w:r>
        <w:rPr>
          <w:color w:val="231F20"/>
          <w:w w:val="110"/>
        </w:rPr>
        <w:t>impagables,</w:t>
      </w:r>
      <w:r>
        <w:rPr>
          <w:color w:val="231F20"/>
          <w:spacing w:val="-13"/>
          <w:w w:val="110"/>
        </w:rPr>
        <w:t> </w:t>
      </w:r>
      <w:r>
        <w:rPr>
          <w:color w:val="231F20"/>
          <w:w w:val="110"/>
        </w:rPr>
        <w:t>2.5</w:t>
      </w:r>
      <w:r>
        <w:rPr>
          <w:color w:val="231F20"/>
          <w:spacing w:val="-13"/>
          <w:w w:val="110"/>
        </w:rPr>
        <w:t> </w:t>
      </w:r>
      <w:r>
        <w:rPr>
          <w:color w:val="231F20"/>
          <w:w w:val="110"/>
        </w:rPr>
        <w:t>billones</w:t>
      </w:r>
      <w:r>
        <w:rPr>
          <w:color w:val="231F20"/>
          <w:spacing w:val="-13"/>
          <w:w w:val="110"/>
        </w:rPr>
        <w:t> </w:t>
      </w:r>
      <w:r>
        <w:rPr>
          <w:color w:val="231F20"/>
          <w:w w:val="110"/>
        </w:rPr>
        <w:t>de dólares</w:t>
      </w:r>
      <w:r>
        <w:rPr>
          <w:color w:val="231F20"/>
          <w:spacing w:val="-5"/>
          <w:w w:val="110"/>
        </w:rPr>
        <w:t> </w:t>
      </w:r>
      <w:r>
        <w:rPr>
          <w:color w:val="231F20"/>
          <w:w w:val="110"/>
        </w:rPr>
        <w:t>inyectados</w:t>
      </w:r>
      <w:r>
        <w:rPr>
          <w:color w:val="231F20"/>
          <w:spacing w:val="-5"/>
          <w:w w:val="110"/>
        </w:rPr>
        <w:t> </w:t>
      </w:r>
      <w:r>
        <w:rPr>
          <w:color w:val="231F20"/>
          <w:w w:val="110"/>
        </w:rPr>
        <w:t>para</w:t>
      </w:r>
      <w:r>
        <w:rPr>
          <w:color w:val="231F20"/>
          <w:spacing w:val="-5"/>
          <w:w w:val="110"/>
        </w:rPr>
        <w:t> </w:t>
      </w:r>
      <w:r>
        <w:rPr>
          <w:color w:val="231F20"/>
          <w:w w:val="110"/>
        </w:rPr>
        <w:t>gastos</w:t>
      </w:r>
      <w:r>
        <w:rPr>
          <w:color w:val="231F20"/>
          <w:spacing w:val="-5"/>
          <w:w w:val="110"/>
        </w:rPr>
        <w:t> </w:t>
      </w:r>
      <w:r>
        <w:rPr>
          <w:color w:val="231F20"/>
          <w:w w:val="110"/>
        </w:rPr>
        <w:t>públicos</w:t>
      </w:r>
      <w:r>
        <w:rPr>
          <w:color w:val="231F20"/>
          <w:spacing w:val="-5"/>
          <w:w w:val="110"/>
        </w:rPr>
        <w:t> </w:t>
      </w:r>
      <w:r>
        <w:rPr>
          <w:color w:val="231F20"/>
          <w:w w:val="110"/>
        </w:rPr>
        <w:t>deficitarios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2009 y 2010. Para esta vertiente, hoy en día fuerte, la salida es de cortar  la cuerda de la seguridad social. De no hacerlo, aún parcialmente, sería prolongar la agonía</w:t>
      </w:r>
      <w:r>
        <w:rPr>
          <w:color w:val="231F20"/>
          <w:spacing w:val="40"/>
          <w:w w:val="110"/>
        </w:rPr>
        <w:t> </w:t>
      </w:r>
      <w:r>
        <w:rPr>
          <w:color w:val="231F20"/>
          <w:w w:val="110"/>
        </w:rPr>
        <w:t>actual.</w:t>
      </w:r>
    </w:p>
    <w:p>
      <w:pPr>
        <w:pStyle w:val="BodyText"/>
        <w:spacing w:line="261" w:lineRule="auto"/>
        <w:ind w:left="100" w:right="117" w:firstLine="240"/>
        <w:jc w:val="both"/>
      </w:pPr>
      <w:r>
        <w:rPr>
          <w:color w:val="231F20"/>
          <w:w w:val="110"/>
        </w:rPr>
        <w:t>De</w:t>
      </w:r>
      <w:r>
        <w:rPr>
          <w:color w:val="231F20"/>
          <w:spacing w:val="-7"/>
          <w:w w:val="110"/>
        </w:rPr>
        <w:t> </w:t>
      </w:r>
      <w:r>
        <w:rPr>
          <w:color w:val="231F20"/>
          <w:w w:val="110"/>
        </w:rPr>
        <w:t>hecho</w:t>
      </w:r>
      <w:r>
        <w:rPr>
          <w:color w:val="231F20"/>
          <w:spacing w:val="-7"/>
          <w:w w:val="110"/>
        </w:rPr>
        <w:t> </w:t>
      </w:r>
      <w:r>
        <w:rPr>
          <w:color w:val="231F20"/>
          <w:w w:val="110"/>
        </w:rPr>
        <w:t>hay</w:t>
      </w:r>
      <w:r>
        <w:rPr>
          <w:color w:val="231F20"/>
          <w:spacing w:val="-7"/>
          <w:w w:val="110"/>
        </w:rPr>
        <w:t> </w:t>
      </w:r>
      <w:r>
        <w:rPr>
          <w:color w:val="231F20"/>
          <w:w w:val="110"/>
        </w:rPr>
        <w:t>pocas</w:t>
      </w:r>
      <w:r>
        <w:rPr>
          <w:color w:val="231F20"/>
          <w:spacing w:val="-7"/>
          <w:w w:val="110"/>
        </w:rPr>
        <w:t> </w:t>
      </w:r>
      <w:r>
        <w:rPr>
          <w:color w:val="231F20"/>
          <w:w w:val="110"/>
        </w:rPr>
        <w:t>señales</w:t>
      </w:r>
      <w:r>
        <w:rPr>
          <w:color w:val="231F20"/>
          <w:spacing w:val="-7"/>
          <w:w w:val="110"/>
        </w:rPr>
        <w:t> </w:t>
      </w:r>
      <w:r>
        <w:rPr>
          <w:color w:val="231F20"/>
          <w:w w:val="110"/>
        </w:rPr>
        <w:t>del</w:t>
      </w:r>
      <w:r>
        <w:rPr>
          <w:color w:val="231F20"/>
          <w:spacing w:val="-7"/>
          <w:w w:val="110"/>
        </w:rPr>
        <w:t> </w:t>
      </w:r>
      <w:r>
        <w:rPr>
          <w:color w:val="231F20"/>
          <w:w w:val="110"/>
        </w:rPr>
        <w:t>reconocimiento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profundidad del</w:t>
      </w:r>
      <w:r>
        <w:rPr>
          <w:color w:val="231F20"/>
          <w:spacing w:val="-6"/>
          <w:w w:val="110"/>
        </w:rPr>
        <w:t> </w:t>
      </w:r>
      <w:r>
        <w:rPr>
          <w:color w:val="231F20"/>
          <w:w w:val="110"/>
        </w:rPr>
        <w:t>agujero</w:t>
      </w:r>
      <w:r>
        <w:rPr>
          <w:color w:val="231F20"/>
          <w:spacing w:val="-6"/>
          <w:w w:val="110"/>
        </w:rPr>
        <w:t> </w:t>
      </w:r>
      <w:r>
        <w:rPr>
          <w:color w:val="231F20"/>
          <w:w w:val="110"/>
        </w:rPr>
        <w:t>social</w:t>
      </w:r>
      <w:r>
        <w:rPr>
          <w:color w:val="231F20"/>
          <w:spacing w:val="-6"/>
          <w:w w:val="110"/>
        </w:rPr>
        <w:t> </w:t>
      </w:r>
      <w:r>
        <w:rPr>
          <w:color w:val="231F20"/>
          <w:w w:val="110"/>
        </w:rPr>
        <w:t>en</w:t>
      </w:r>
      <w:r>
        <w:rPr>
          <w:color w:val="231F20"/>
          <w:spacing w:val="-6"/>
          <w:w w:val="110"/>
        </w:rPr>
        <w:t> </w:t>
      </w:r>
      <w:r>
        <w:rPr>
          <w:color w:val="231F20"/>
          <w:w w:val="110"/>
        </w:rPr>
        <w:t>donde</w:t>
      </w:r>
      <w:r>
        <w:rPr>
          <w:color w:val="231F20"/>
          <w:spacing w:val="-6"/>
          <w:w w:val="110"/>
        </w:rPr>
        <w:t> </w:t>
      </w:r>
      <w:r>
        <w:rPr>
          <w:color w:val="231F20"/>
          <w:w w:val="110"/>
        </w:rPr>
        <w:t>ha</w:t>
      </w:r>
      <w:r>
        <w:rPr>
          <w:color w:val="231F20"/>
          <w:spacing w:val="-6"/>
          <w:w w:val="110"/>
        </w:rPr>
        <w:t> </w:t>
      </w:r>
      <w:r>
        <w:rPr>
          <w:color w:val="231F20"/>
          <w:w w:val="110"/>
        </w:rPr>
        <w:t>sido</w:t>
      </w:r>
      <w:r>
        <w:rPr>
          <w:color w:val="231F20"/>
          <w:spacing w:val="-6"/>
          <w:w w:val="110"/>
        </w:rPr>
        <w:t> </w:t>
      </w:r>
      <w:r>
        <w:rPr>
          <w:color w:val="231F20"/>
          <w:w w:val="110"/>
        </w:rPr>
        <w:t>dejada</w:t>
      </w:r>
      <w:r>
        <w:rPr>
          <w:color w:val="231F20"/>
          <w:spacing w:val="-6"/>
          <w:w w:val="110"/>
        </w:rPr>
        <w:t> </w:t>
      </w:r>
      <w:r>
        <w:rPr>
          <w:color w:val="231F20"/>
          <w:w w:val="110"/>
        </w:rPr>
        <w:t>la</w:t>
      </w:r>
      <w:r>
        <w:rPr>
          <w:color w:val="231F20"/>
          <w:spacing w:val="-6"/>
          <w:w w:val="110"/>
        </w:rPr>
        <w:t> </w:t>
      </w:r>
      <w:r>
        <w:rPr>
          <w:color w:val="231F20"/>
          <w:w w:val="110"/>
        </w:rPr>
        <w:t>población</w:t>
      </w:r>
      <w:r>
        <w:rPr>
          <w:color w:val="231F20"/>
          <w:spacing w:val="-6"/>
          <w:w w:val="110"/>
        </w:rPr>
        <w:t> </w:t>
      </w:r>
      <w:r>
        <w:rPr>
          <w:color w:val="231F20"/>
          <w:w w:val="110"/>
        </w:rPr>
        <w:t>subyacente</w:t>
      </w:r>
      <w:r>
        <w:rPr>
          <w:color w:val="231F20"/>
          <w:spacing w:val="-6"/>
          <w:w w:val="110"/>
        </w:rPr>
        <w:t> </w:t>
      </w:r>
      <w:r>
        <w:rPr>
          <w:color w:val="231F20"/>
          <w:w w:val="110"/>
        </w:rPr>
        <w:t>y bastantes indicadores de una declinación económica estructural</w:t>
      </w:r>
      <w:r>
        <w:rPr>
          <w:color w:val="231F20"/>
          <w:spacing w:val="-11"/>
          <w:w w:val="110"/>
        </w:rPr>
        <w:t> </w:t>
      </w:r>
      <w:r>
        <w:rPr>
          <w:color w:val="231F20"/>
          <w:w w:val="110"/>
        </w:rPr>
        <w:t>para la mayoría. Se ha esfumado el sueño</w:t>
      </w:r>
      <w:r>
        <w:rPr>
          <w:color w:val="231F20"/>
          <w:spacing w:val="33"/>
          <w:w w:val="110"/>
        </w:rPr>
        <w:t> </w:t>
      </w:r>
      <w:r>
        <w:rPr>
          <w:color w:val="231F20"/>
          <w:w w:val="110"/>
        </w:rPr>
        <w:t>americano.</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spacing w:val="-3"/>
          <w:w w:val="110"/>
          <w:sz w:val="18"/>
        </w:rPr>
        <w:t>Baker,</w:t>
      </w:r>
      <w:r>
        <w:rPr>
          <w:color w:val="231F20"/>
          <w:spacing w:val="-23"/>
          <w:w w:val="110"/>
          <w:sz w:val="18"/>
        </w:rPr>
        <w:t> </w:t>
      </w:r>
      <w:r>
        <w:rPr>
          <w:color w:val="231F20"/>
          <w:w w:val="110"/>
          <w:sz w:val="18"/>
        </w:rPr>
        <w:t>Dean,</w:t>
      </w:r>
      <w:r>
        <w:rPr>
          <w:color w:val="231F20"/>
          <w:spacing w:val="-23"/>
          <w:w w:val="110"/>
          <w:sz w:val="18"/>
        </w:rPr>
        <w:t> </w:t>
      </w:r>
      <w:r>
        <w:rPr>
          <w:color w:val="231F20"/>
          <w:w w:val="110"/>
          <w:sz w:val="18"/>
        </w:rPr>
        <w:t>2007,</w:t>
      </w:r>
      <w:r>
        <w:rPr>
          <w:color w:val="231F20"/>
          <w:spacing w:val="-23"/>
          <w:w w:val="110"/>
          <w:sz w:val="18"/>
        </w:rPr>
        <w:t> </w:t>
      </w:r>
      <w:r>
        <w:rPr>
          <w:color w:val="231F20"/>
          <w:w w:val="110"/>
          <w:sz w:val="18"/>
        </w:rPr>
        <w:t>“The</w:t>
      </w:r>
      <w:r>
        <w:rPr>
          <w:color w:val="231F20"/>
          <w:spacing w:val="-23"/>
          <w:w w:val="110"/>
          <w:sz w:val="18"/>
        </w:rPr>
        <w:t> </w:t>
      </w:r>
      <w:r>
        <w:rPr>
          <w:color w:val="231F20"/>
          <w:w w:val="110"/>
          <w:sz w:val="18"/>
        </w:rPr>
        <w:t>Productivity</w:t>
      </w:r>
      <w:r>
        <w:rPr>
          <w:color w:val="231F20"/>
          <w:spacing w:val="-23"/>
          <w:w w:val="110"/>
          <w:sz w:val="18"/>
        </w:rPr>
        <w:t> </w:t>
      </w:r>
      <w:r>
        <w:rPr>
          <w:color w:val="231F20"/>
          <w:w w:val="110"/>
          <w:sz w:val="18"/>
        </w:rPr>
        <w:t>to</w:t>
      </w:r>
      <w:r>
        <w:rPr>
          <w:color w:val="231F20"/>
          <w:spacing w:val="-23"/>
          <w:w w:val="110"/>
          <w:sz w:val="18"/>
        </w:rPr>
        <w:t> </w:t>
      </w:r>
      <w:r>
        <w:rPr>
          <w:color w:val="231F20"/>
          <w:w w:val="110"/>
          <w:sz w:val="18"/>
        </w:rPr>
        <w:t>Paycheck</w:t>
      </w:r>
      <w:r>
        <w:rPr>
          <w:color w:val="231F20"/>
          <w:spacing w:val="-23"/>
          <w:w w:val="110"/>
          <w:sz w:val="18"/>
        </w:rPr>
        <w:t> </w:t>
      </w:r>
      <w:r>
        <w:rPr>
          <w:color w:val="231F20"/>
          <w:w w:val="110"/>
          <w:sz w:val="18"/>
        </w:rPr>
        <w:t>Gap”,</w:t>
      </w:r>
      <w:r>
        <w:rPr>
          <w:color w:val="231F20"/>
          <w:spacing w:val="-23"/>
          <w:w w:val="110"/>
          <w:sz w:val="18"/>
        </w:rPr>
        <w:t> </w:t>
      </w:r>
      <w:r>
        <w:rPr>
          <w:color w:val="231F20"/>
          <w:w w:val="110"/>
          <w:sz w:val="18"/>
        </w:rPr>
        <w:t>Center</w:t>
      </w:r>
      <w:r>
        <w:rPr>
          <w:color w:val="231F20"/>
          <w:spacing w:val="-23"/>
          <w:w w:val="110"/>
          <w:sz w:val="18"/>
        </w:rPr>
        <w:t> </w:t>
      </w:r>
      <w:r>
        <w:rPr>
          <w:color w:val="231F20"/>
          <w:w w:val="110"/>
          <w:sz w:val="18"/>
        </w:rPr>
        <w:t>for</w:t>
      </w:r>
      <w:r>
        <w:rPr>
          <w:color w:val="231F20"/>
          <w:spacing w:val="-23"/>
          <w:w w:val="110"/>
          <w:sz w:val="18"/>
        </w:rPr>
        <w:t> </w:t>
      </w:r>
      <w:r>
        <w:rPr>
          <w:color w:val="231F20"/>
          <w:w w:val="110"/>
          <w:sz w:val="18"/>
        </w:rPr>
        <w:t>Economic and Policy Research, abril:1-15 &lt;</w:t>
      </w:r>
      <w:hyperlink r:id="rId255">
        <w:r>
          <w:rPr>
            <w:color w:val="231F20"/>
            <w:w w:val="110"/>
            <w:sz w:val="18"/>
          </w:rPr>
          <w:t>www.cepr.net/documents/publications/</w:t>
        </w:r>
      </w:hyperlink>
      <w:r>
        <w:rPr>
          <w:color w:val="231F20"/>
          <w:w w:val="110"/>
          <w:sz w:val="18"/>
        </w:rPr>
        <w:t> growth_failure_2007_04.pdf&gt;.</w:t>
      </w:r>
    </w:p>
    <w:p>
      <w:pPr>
        <w:spacing w:line="254" w:lineRule="auto" w:before="1"/>
        <w:ind w:left="340" w:right="119" w:hanging="240"/>
        <w:jc w:val="both"/>
        <w:rPr>
          <w:sz w:val="18"/>
        </w:rPr>
      </w:pPr>
      <w:r>
        <w:rPr>
          <w:color w:val="231F20"/>
          <w:w w:val="105"/>
          <w:sz w:val="18"/>
        </w:rPr>
        <w:t>Bowles, Sam, Richard Edwards y Frank Roosevelt, 2005, </w:t>
      </w:r>
      <w:r>
        <w:rPr>
          <w:i/>
          <w:color w:val="231F20"/>
          <w:w w:val="105"/>
          <w:sz w:val="18"/>
        </w:rPr>
        <w:t>Understanding</w:t>
      </w:r>
      <w:r>
        <w:rPr>
          <w:i/>
          <w:color w:val="231F20"/>
          <w:spacing w:val="-15"/>
          <w:w w:val="105"/>
          <w:sz w:val="18"/>
        </w:rPr>
        <w:t> </w:t>
      </w:r>
      <w:r>
        <w:rPr>
          <w:i/>
          <w:color w:val="231F20"/>
          <w:w w:val="105"/>
          <w:sz w:val="18"/>
        </w:rPr>
        <w:t>Capi- </w:t>
      </w:r>
      <w:r>
        <w:rPr>
          <w:i/>
          <w:color w:val="231F20"/>
          <w:w w:val="105"/>
          <w:sz w:val="18"/>
        </w:rPr>
        <w:t>talism, </w:t>
      </w:r>
      <w:r>
        <w:rPr>
          <w:color w:val="231F20"/>
          <w:w w:val="105"/>
          <w:sz w:val="18"/>
        </w:rPr>
        <w:t>3a. ed., Oxford, Oxford University </w:t>
      </w:r>
      <w:r>
        <w:rPr>
          <w:color w:val="231F20"/>
          <w:spacing w:val="46"/>
          <w:w w:val="105"/>
          <w:sz w:val="18"/>
        </w:rPr>
        <w:t> </w:t>
      </w:r>
      <w:r>
        <w:rPr>
          <w:color w:val="231F20"/>
          <w:w w:val="105"/>
          <w:sz w:val="18"/>
        </w:rPr>
        <w:t>Press.</w:t>
      </w:r>
    </w:p>
    <w:p>
      <w:pPr>
        <w:spacing w:line="254" w:lineRule="auto" w:before="1"/>
        <w:ind w:left="340" w:right="115" w:hanging="240"/>
        <w:jc w:val="both"/>
        <w:rPr>
          <w:sz w:val="18"/>
        </w:rPr>
      </w:pPr>
      <w:r>
        <w:rPr>
          <w:color w:val="231F20"/>
          <w:w w:val="105"/>
          <w:sz w:val="18"/>
        </w:rPr>
        <w:t>Collins, Chuck, 2004, “The Right-Wing Idea Machine” en Dollars &amp; Sense (eds.), </w:t>
      </w:r>
      <w:r>
        <w:rPr>
          <w:i/>
          <w:color w:val="231F20"/>
          <w:w w:val="105"/>
          <w:sz w:val="18"/>
        </w:rPr>
        <w:t>The Wealth Inequality Reader</w:t>
      </w:r>
      <w:r>
        <w:rPr>
          <w:color w:val="231F20"/>
          <w:w w:val="105"/>
          <w:sz w:val="18"/>
        </w:rPr>
        <w:t>: 53-58</w:t>
      </w:r>
      <w:r>
        <w:rPr>
          <w:i/>
          <w:color w:val="231F20"/>
          <w:w w:val="105"/>
          <w:sz w:val="18"/>
        </w:rPr>
        <w:t>, </w:t>
      </w:r>
      <w:r>
        <w:rPr>
          <w:color w:val="231F20"/>
          <w:w w:val="105"/>
          <w:sz w:val="18"/>
        </w:rPr>
        <w:t>Cambridge, Massachusetts, Economic Affairs Bureau.</w:t>
      </w:r>
    </w:p>
    <w:p>
      <w:pPr>
        <w:spacing w:line="254" w:lineRule="auto" w:before="1"/>
        <w:ind w:left="340" w:right="119" w:hanging="240"/>
        <w:jc w:val="both"/>
        <w:rPr>
          <w:sz w:val="18"/>
        </w:rPr>
      </w:pPr>
      <w:r>
        <w:rPr>
          <w:color w:val="231F20"/>
          <w:sz w:val="18"/>
        </w:rPr>
        <w:t>Council of Economic Advisors, 2010, </w:t>
      </w:r>
      <w:r>
        <w:rPr>
          <w:i/>
          <w:color w:val="231F20"/>
          <w:sz w:val="18"/>
        </w:rPr>
        <w:t>Economic Report of the President,</w:t>
      </w:r>
      <w:r>
        <w:rPr>
          <w:i/>
          <w:color w:val="231F20"/>
          <w:spacing w:val="-8"/>
          <w:sz w:val="18"/>
        </w:rPr>
        <w:t> </w:t>
      </w:r>
      <w:r>
        <w:rPr>
          <w:color w:val="231F20"/>
          <w:sz w:val="18"/>
        </w:rPr>
        <w:t>Washing- ton,  DC,  US  Government  Printing  </w:t>
      </w:r>
      <w:r>
        <w:rPr>
          <w:color w:val="231F20"/>
          <w:spacing w:val="27"/>
          <w:sz w:val="18"/>
        </w:rPr>
        <w:t> </w:t>
      </w:r>
      <w:r>
        <w:rPr>
          <w:color w:val="231F20"/>
          <w:sz w:val="18"/>
        </w:rPr>
        <w:t>Office.</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8" w:hanging="240"/>
        <w:jc w:val="both"/>
        <w:rPr>
          <w:sz w:val="18"/>
        </w:rPr>
      </w:pPr>
      <w:r>
        <w:rPr>
          <w:color w:val="231F20"/>
          <w:w w:val="105"/>
          <w:sz w:val="18"/>
        </w:rPr>
        <w:t>Cypher, James, 1987, “Military Spending, Technical Change and Economic Growth”, </w:t>
      </w:r>
      <w:r>
        <w:rPr>
          <w:i/>
          <w:color w:val="231F20"/>
          <w:w w:val="105"/>
          <w:sz w:val="18"/>
        </w:rPr>
        <w:t>Journal of Economic Issues, </w:t>
      </w:r>
      <w:r>
        <w:rPr>
          <w:color w:val="231F20"/>
          <w:w w:val="105"/>
          <w:sz w:val="18"/>
        </w:rPr>
        <w:t>vol. 21, núm. 1, marzo: 33-60.</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2008, “Del keynesianismo militar al militarismo global-neoliberal” en Salvador Aguilar </w:t>
      </w:r>
      <w:r>
        <w:rPr>
          <w:i/>
          <w:color w:val="231F20"/>
          <w:w w:val="105"/>
          <w:sz w:val="18"/>
        </w:rPr>
        <w:t>et al</w:t>
      </w:r>
      <w:r>
        <w:rPr>
          <w:color w:val="231F20"/>
          <w:w w:val="105"/>
          <w:sz w:val="18"/>
        </w:rPr>
        <w:t>. (comps.), </w:t>
      </w:r>
      <w:r>
        <w:rPr>
          <w:i/>
          <w:color w:val="231F20"/>
          <w:w w:val="105"/>
          <w:sz w:val="18"/>
        </w:rPr>
        <w:t>25 años de neoliberalismo, </w:t>
      </w:r>
      <w:r>
        <w:rPr>
          <w:color w:val="231F20"/>
          <w:w w:val="105"/>
          <w:sz w:val="18"/>
        </w:rPr>
        <w:t>España, Hacer Editorial: 137-159.</w:t>
      </w:r>
    </w:p>
    <w:p>
      <w:pPr>
        <w:spacing w:line="254" w:lineRule="auto" w:before="1"/>
        <w:ind w:left="340" w:right="119" w:hanging="240"/>
        <w:jc w:val="both"/>
        <w:rPr>
          <w:sz w:val="18"/>
        </w:rPr>
      </w:pPr>
      <w:r>
        <w:rPr>
          <w:color w:val="231F20"/>
          <w:w w:val="105"/>
          <w:sz w:val="18"/>
        </w:rPr>
        <w:t>Economic Policy Institute, 2011, “EPI_b_and_b.xlsx”, &lt;www.stateofworkin- </w:t>
      </w:r>
      <w:r>
        <w:rPr>
          <w:color w:val="231F20"/>
          <w:w w:val="110"/>
          <w:sz w:val="18"/>
        </w:rPr>
        <w:t>gamerica.org/charts/view/201&gt;.</w:t>
      </w:r>
    </w:p>
    <w:p>
      <w:pPr>
        <w:spacing w:before="1"/>
        <w:ind w:left="100" w:right="-2" w:firstLine="0"/>
        <w:jc w:val="left"/>
        <w:rPr>
          <w:i/>
          <w:sz w:val="18"/>
        </w:rPr>
      </w:pPr>
      <w:r>
        <w:rPr>
          <w:color w:val="231F20"/>
          <w:w w:val="105"/>
          <w:sz w:val="18"/>
        </w:rPr>
        <w:t>Economist, 2009, “Manufacturing’s future: Wanted new customers”, </w:t>
      </w:r>
      <w:r>
        <w:rPr>
          <w:i/>
          <w:color w:val="231F20"/>
          <w:w w:val="105"/>
          <w:sz w:val="18"/>
        </w:rPr>
        <w:t>Economist</w:t>
      </w:r>
    </w:p>
    <w:p>
      <w:pPr>
        <w:spacing w:before="13"/>
        <w:ind w:left="340" w:right="25" w:firstLine="0"/>
        <w:jc w:val="left"/>
        <w:rPr>
          <w:sz w:val="18"/>
        </w:rPr>
      </w:pPr>
      <w:r>
        <w:rPr>
          <w:color w:val="231F20"/>
          <w:w w:val="105"/>
          <w:sz w:val="18"/>
        </w:rPr>
        <w:t>393, núm. 8651, octubre:  36-38.</w:t>
      </w:r>
    </w:p>
    <w:p>
      <w:pPr>
        <w:spacing w:before="13"/>
        <w:ind w:left="100" w:right="25" w:firstLine="0"/>
        <w:jc w:val="left"/>
        <w:rPr>
          <w:sz w:val="18"/>
        </w:rPr>
      </w:pPr>
      <w:r>
        <w:rPr>
          <w:color w:val="231F20"/>
          <w:w w:val="105"/>
          <w:sz w:val="18"/>
        </w:rPr>
        <w:t>Foster,  John Bellamy and Fred Magdoff, 2009, “The Great Financial    Crisis”,</w:t>
      </w:r>
    </w:p>
    <w:p>
      <w:pPr>
        <w:spacing w:before="13"/>
        <w:ind w:left="340" w:right="25" w:firstLine="0"/>
        <w:jc w:val="left"/>
        <w:rPr>
          <w:sz w:val="18"/>
        </w:rPr>
      </w:pPr>
      <w:r>
        <w:rPr>
          <w:i/>
          <w:color w:val="231F20"/>
          <w:sz w:val="18"/>
        </w:rPr>
        <w:t>Monthly Review, </w:t>
      </w:r>
      <w:r>
        <w:rPr>
          <w:color w:val="231F20"/>
          <w:sz w:val="18"/>
        </w:rPr>
        <w:t>Nueva York.</w:t>
      </w:r>
    </w:p>
    <w:p>
      <w:pPr>
        <w:spacing w:line="254" w:lineRule="auto" w:before="13"/>
        <w:ind w:left="340" w:right="119" w:hanging="240"/>
        <w:jc w:val="both"/>
        <w:rPr>
          <w:sz w:val="18"/>
        </w:rPr>
      </w:pPr>
      <w:r>
        <w:rPr>
          <w:color w:val="231F20"/>
          <w:sz w:val="18"/>
        </w:rPr>
        <w:t>Gramsci, Antonio, 1971, </w:t>
      </w:r>
      <w:r>
        <w:rPr>
          <w:i/>
          <w:color w:val="231F20"/>
          <w:sz w:val="18"/>
        </w:rPr>
        <w:t>Selections from the Prison Notebooks, </w:t>
      </w:r>
      <w:r>
        <w:rPr>
          <w:color w:val="231F20"/>
          <w:sz w:val="18"/>
        </w:rPr>
        <w:t>Nueva York,</w:t>
      </w:r>
      <w:r>
        <w:rPr>
          <w:color w:val="231F20"/>
          <w:spacing w:val="-6"/>
          <w:sz w:val="18"/>
        </w:rPr>
        <w:t> </w:t>
      </w:r>
      <w:r>
        <w:rPr>
          <w:color w:val="231F20"/>
          <w:sz w:val="18"/>
        </w:rPr>
        <w:t>Inter- national   </w:t>
      </w:r>
      <w:r>
        <w:rPr>
          <w:color w:val="231F20"/>
          <w:spacing w:val="7"/>
          <w:sz w:val="18"/>
        </w:rPr>
        <w:t> </w:t>
      </w:r>
      <w:r>
        <w:rPr>
          <w:color w:val="231F20"/>
          <w:sz w:val="18"/>
        </w:rPr>
        <w:t>Publishers.</w:t>
      </w:r>
    </w:p>
    <w:p>
      <w:pPr>
        <w:spacing w:line="254" w:lineRule="auto" w:before="1"/>
        <w:ind w:left="340" w:right="119" w:hanging="240"/>
        <w:jc w:val="both"/>
        <w:rPr>
          <w:sz w:val="18"/>
        </w:rPr>
      </w:pPr>
      <w:r>
        <w:rPr>
          <w:color w:val="231F20"/>
          <w:w w:val="105"/>
          <w:sz w:val="18"/>
        </w:rPr>
        <w:t>Greenhouse, Steven, 2010, “Most US Union Members are Working for the Government”, </w:t>
      </w:r>
      <w:r>
        <w:rPr>
          <w:i/>
          <w:color w:val="231F20"/>
          <w:w w:val="105"/>
          <w:sz w:val="18"/>
        </w:rPr>
        <w:t>New York Times, </w:t>
      </w:r>
      <w:r>
        <w:rPr>
          <w:color w:val="231F20"/>
          <w:w w:val="105"/>
          <w:sz w:val="18"/>
        </w:rPr>
        <w:t>23 de enero 23: B1,  B5.</w:t>
      </w:r>
    </w:p>
    <w:p>
      <w:pPr>
        <w:spacing w:line="254" w:lineRule="auto" w:before="1"/>
        <w:ind w:left="340" w:right="118" w:hanging="240"/>
        <w:jc w:val="both"/>
        <w:rPr>
          <w:sz w:val="18"/>
        </w:rPr>
      </w:pPr>
      <w:r>
        <w:rPr>
          <w:color w:val="231F20"/>
          <w:w w:val="105"/>
          <w:sz w:val="18"/>
        </w:rPr>
        <w:t>Kautsky, Karl, 2003, “The American Worker”, </w:t>
      </w:r>
      <w:r>
        <w:rPr>
          <w:i/>
          <w:color w:val="231F20"/>
          <w:w w:val="105"/>
          <w:sz w:val="18"/>
        </w:rPr>
        <w:t>Historical Materialism</w:t>
      </w:r>
      <w:r>
        <w:rPr>
          <w:color w:val="231F20"/>
          <w:w w:val="105"/>
          <w:sz w:val="18"/>
        </w:rPr>
        <w:t>, vol.</w:t>
      </w:r>
      <w:r>
        <w:rPr>
          <w:color w:val="231F20"/>
          <w:spacing w:val="-7"/>
          <w:w w:val="105"/>
          <w:sz w:val="18"/>
        </w:rPr>
        <w:t> </w:t>
      </w:r>
      <w:r>
        <w:rPr>
          <w:color w:val="231F20"/>
          <w:w w:val="105"/>
          <w:sz w:val="18"/>
        </w:rPr>
        <w:t>11, núm. 4: 15-78 [edición original: 1906 in </w:t>
      </w:r>
      <w:r>
        <w:rPr>
          <w:i/>
          <w:color w:val="231F20"/>
          <w:w w:val="105"/>
          <w:sz w:val="18"/>
        </w:rPr>
        <w:t>Die Neue </w:t>
      </w:r>
      <w:r>
        <w:rPr>
          <w:i/>
          <w:color w:val="231F20"/>
          <w:spacing w:val="26"/>
          <w:w w:val="105"/>
          <w:sz w:val="18"/>
        </w:rPr>
        <w:t> </w:t>
      </w:r>
      <w:r>
        <w:rPr>
          <w:i/>
          <w:color w:val="231F20"/>
          <w:w w:val="105"/>
          <w:sz w:val="18"/>
        </w:rPr>
        <w:t>Zeit</w:t>
      </w:r>
      <w:r>
        <w:rPr>
          <w:color w:val="231F20"/>
          <w:w w:val="105"/>
          <w:sz w:val="18"/>
        </w:rPr>
        <w:t>].</w:t>
      </w:r>
    </w:p>
    <w:p>
      <w:pPr>
        <w:spacing w:before="1"/>
        <w:ind w:left="100" w:right="25" w:firstLine="0"/>
        <w:jc w:val="left"/>
        <w:rPr>
          <w:sz w:val="18"/>
        </w:rPr>
      </w:pPr>
      <w:r>
        <w:rPr>
          <w:color w:val="231F20"/>
          <w:w w:val="105"/>
          <w:sz w:val="18"/>
        </w:rPr>
        <w:t>La Botz, Daniel, 2010, “What Happened to the American Working Class?”,</w:t>
      </w:r>
    </w:p>
    <w:p>
      <w:pPr>
        <w:spacing w:before="13"/>
        <w:ind w:left="340" w:right="25" w:firstLine="0"/>
        <w:jc w:val="left"/>
        <w:rPr>
          <w:sz w:val="18"/>
        </w:rPr>
      </w:pPr>
      <w:r>
        <w:rPr>
          <w:i/>
          <w:color w:val="231F20"/>
          <w:w w:val="105"/>
          <w:sz w:val="18"/>
        </w:rPr>
        <w:t>New Politics</w:t>
      </w:r>
      <w:r>
        <w:rPr>
          <w:color w:val="231F20"/>
          <w:w w:val="105"/>
          <w:sz w:val="18"/>
        </w:rPr>
        <w:t>, vol. 12, núm. 4: 1-7, </w:t>
      </w:r>
      <w:hyperlink r:id="rId256">
        <w:r>
          <w:rPr>
            <w:color w:val="231F20"/>
            <w:w w:val="105"/>
            <w:sz w:val="18"/>
          </w:rPr>
          <w:t>&lt;www.newpol.org/currentissue&gt;.</w:t>
        </w:r>
      </w:hyperlink>
    </w:p>
    <w:p>
      <w:pPr>
        <w:spacing w:line="254" w:lineRule="auto" w:before="13"/>
        <w:ind w:left="340" w:right="117" w:hanging="240"/>
        <w:jc w:val="both"/>
        <w:rPr>
          <w:sz w:val="18"/>
        </w:rPr>
      </w:pPr>
      <w:r>
        <w:rPr>
          <w:color w:val="231F20"/>
          <w:w w:val="105"/>
          <w:sz w:val="18"/>
        </w:rPr>
        <w:t>Lazonick,</w:t>
      </w:r>
      <w:r>
        <w:rPr>
          <w:color w:val="231F20"/>
          <w:spacing w:val="-5"/>
          <w:w w:val="105"/>
          <w:sz w:val="18"/>
        </w:rPr>
        <w:t> </w:t>
      </w:r>
      <w:r>
        <w:rPr>
          <w:color w:val="231F20"/>
          <w:w w:val="105"/>
          <w:sz w:val="18"/>
        </w:rPr>
        <w:t>William,</w:t>
      </w:r>
      <w:r>
        <w:rPr>
          <w:color w:val="231F20"/>
          <w:spacing w:val="-5"/>
          <w:w w:val="105"/>
          <w:sz w:val="18"/>
        </w:rPr>
        <w:t> </w:t>
      </w:r>
      <w:r>
        <w:rPr>
          <w:color w:val="231F20"/>
          <w:w w:val="105"/>
          <w:sz w:val="18"/>
        </w:rPr>
        <w:t>2008,</w:t>
      </w:r>
      <w:r>
        <w:rPr>
          <w:color w:val="231F20"/>
          <w:spacing w:val="-5"/>
          <w:w w:val="105"/>
          <w:sz w:val="18"/>
        </w:rPr>
        <w:t> </w:t>
      </w:r>
      <w:r>
        <w:rPr>
          <w:color w:val="231F20"/>
          <w:w w:val="105"/>
          <w:sz w:val="18"/>
        </w:rPr>
        <w:t>“The</w:t>
      </w:r>
      <w:r>
        <w:rPr>
          <w:color w:val="231F20"/>
          <w:spacing w:val="-5"/>
          <w:w w:val="105"/>
          <w:sz w:val="18"/>
        </w:rPr>
        <w:t> </w:t>
      </w:r>
      <w:r>
        <w:rPr>
          <w:color w:val="231F20"/>
          <w:w w:val="105"/>
          <w:sz w:val="18"/>
        </w:rPr>
        <w:t>New</w:t>
      </w:r>
      <w:r>
        <w:rPr>
          <w:color w:val="231F20"/>
          <w:spacing w:val="-5"/>
          <w:w w:val="105"/>
          <w:sz w:val="18"/>
        </w:rPr>
        <w:t> </w:t>
      </w:r>
      <w:r>
        <w:rPr>
          <w:color w:val="231F20"/>
          <w:w w:val="105"/>
          <w:sz w:val="18"/>
        </w:rPr>
        <w:t>Economy</w:t>
      </w:r>
      <w:r>
        <w:rPr>
          <w:color w:val="231F20"/>
          <w:spacing w:val="-5"/>
          <w:w w:val="105"/>
          <w:sz w:val="18"/>
        </w:rPr>
        <w:t> </w:t>
      </w:r>
      <w:r>
        <w:rPr>
          <w:color w:val="231F20"/>
          <w:w w:val="105"/>
          <w:sz w:val="18"/>
        </w:rPr>
        <w:t>Business</w:t>
      </w:r>
      <w:r>
        <w:rPr>
          <w:color w:val="231F20"/>
          <w:spacing w:val="-5"/>
          <w:w w:val="105"/>
          <w:sz w:val="18"/>
        </w:rPr>
        <w:t> </w:t>
      </w:r>
      <w:r>
        <w:rPr>
          <w:color w:val="231F20"/>
          <w:w w:val="105"/>
          <w:sz w:val="18"/>
        </w:rPr>
        <w:t>Model</w:t>
      </w:r>
      <w:r>
        <w:rPr>
          <w:color w:val="231F20"/>
          <w:spacing w:val="-5"/>
          <w:w w:val="105"/>
          <w:sz w:val="18"/>
        </w:rPr>
        <w:t> </w:t>
      </w:r>
      <w:r>
        <w:rPr>
          <w:color w:val="231F20"/>
          <w:w w:val="105"/>
          <w:sz w:val="18"/>
        </w:rPr>
        <w:t>and</w:t>
      </w:r>
      <w:r>
        <w:rPr>
          <w:color w:val="231F20"/>
          <w:spacing w:val="-5"/>
          <w:w w:val="105"/>
          <w:sz w:val="18"/>
        </w:rPr>
        <w:t> </w:t>
      </w:r>
      <w:r>
        <w:rPr>
          <w:color w:val="231F20"/>
          <w:w w:val="105"/>
          <w:sz w:val="18"/>
        </w:rPr>
        <w:t>Sustainable Prosperity”, Alfred </w:t>
      </w:r>
      <w:r>
        <w:rPr>
          <w:color w:val="231F20"/>
          <w:spacing w:val="-11"/>
          <w:w w:val="105"/>
          <w:sz w:val="18"/>
        </w:rPr>
        <w:t>P. </w:t>
      </w:r>
      <w:r>
        <w:rPr>
          <w:color w:val="231F20"/>
          <w:w w:val="105"/>
          <w:sz w:val="18"/>
        </w:rPr>
        <w:t>Sloan Foundation annual conference, “Industrial Studies   2008”:   1-63 </w:t>
      </w:r>
      <w:r>
        <w:rPr>
          <w:color w:val="231F20"/>
          <w:spacing w:val="26"/>
          <w:w w:val="105"/>
          <w:sz w:val="18"/>
        </w:rPr>
        <w:t> </w:t>
      </w:r>
      <w:r>
        <w:rPr>
          <w:color w:val="231F20"/>
          <w:w w:val="105"/>
          <w:sz w:val="18"/>
        </w:rPr>
        <w:t>&lt;</w:t>
      </w:r>
      <w:hyperlink r:id="rId257">
        <w:r>
          <w:rPr>
            <w:color w:val="231F20"/>
            <w:w w:val="105"/>
            <w:sz w:val="18"/>
          </w:rPr>
          <w:t>http://web.mit.edu/is08/program&gt;.</w:t>
        </w:r>
      </w:hyperlink>
    </w:p>
    <w:p>
      <w:pPr>
        <w:spacing w:line="254" w:lineRule="auto" w:before="1"/>
        <w:ind w:left="340" w:right="119" w:hanging="240"/>
        <w:jc w:val="both"/>
        <w:rPr>
          <w:sz w:val="18"/>
        </w:rPr>
      </w:pPr>
      <w:r>
        <w:rPr>
          <w:color w:val="231F20"/>
          <w:spacing w:val="-3"/>
          <w:w w:val="105"/>
          <w:sz w:val="18"/>
        </w:rPr>
        <w:t>Levy, </w:t>
      </w:r>
      <w:r>
        <w:rPr>
          <w:color w:val="231F20"/>
          <w:w w:val="105"/>
          <w:sz w:val="18"/>
        </w:rPr>
        <w:t>Frank y Peter </w:t>
      </w:r>
      <w:r>
        <w:rPr>
          <w:color w:val="231F20"/>
          <w:spacing w:val="-3"/>
          <w:w w:val="105"/>
          <w:sz w:val="18"/>
        </w:rPr>
        <w:t>Temin, </w:t>
      </w:r>
      <w:r>
        <w:rPr>
          <w:color w:val="231F20"/>
          <w:w w:val="105"/>
          <w:sz w:val="18"/>
        </w:rPr>
        <w:t>2007, “Inequality and Institutions in 20th Century America”,</w:t>
      </w:r>
      <w:r>
        <w:rPr>
          <w:color w:val="231F20"/>
          <w:spacing w:val="-30"/>
          <w:w w:val="105"/>
          <w:sz w:val="18"/>
        </w:rPr>
        <w:t> </w:t>
      </w:r>
      <w:r>
        <w:rPr>
          <w:i/>
          <w:color w:val="231F20"/>
          <w:w w:val="105"/>
          <w:sz w:val="18"/>
        </w:rPr>
        <w:t>Department</w:t>
      </w:r>
      <w:r>
        <w:rPr>
          <w:i/>
          <w:color w:val="231F20"/>
          <w:spacing w:val="-30"/>
          <w:w w:val="105"/>
          <w:sz w:val="18"/>
        </w:rPr>
        <w:t> </w:t>
      </w:r>
      <w:r>
        <w:rPr>
          <w:i/>
          <w:color w:val="231F20"/>
          <w:w w:val="105"/>
          <w:sz w:val="18"/>
        </w:rPr>
        <w:t>of</w:t>
      </w:r>
      <w:r>
        <w:rPr>
          <w:i/>
          <w:color w:val="231F20"/>
          <w:spacing w:val="-30"/>
          <w:w w:val="105"/>
          <w:sz w:val="18"/>
        </w:rPr>
        <w:t> </w:t>
      </w:r>
      <w:r>
        <w:rPr>
          <w:i/>
          <w:color w:val="231F20"/>
          <w:w w:val="105"/>
          <w:sz w:val="18"/>
        </w:rPr>
        <w:t>Economics</w:t>
      </w:r>
      <w:r>
        <w:rPr>
          <w:color w:val="231F20"/>
          <w:w w:val="105"/>
          <w:sz w:val="18"/>
        </w:rPr>
        <w:t>,</w:t>
      </w:r>
      <w:r>
        <w:rPr>
          <w:color w:val="231F20"/>
          <w:spacing w:val="-30"/>
          <w:w w:val="105"/>
          <w:sz w:val="18"/>
        </w:rPr>
        <w:t> </w:t>
      </w:r>
      <w:r>
        <w:rPr>
          <w:color w:val="231F20"/>
          <w:w w:val="105"/>
          <w:sz w:val="18"/>
        </w:rPr>
        <w:t>Working</w:t>
      </w:r>
      <w:r>
        <w:rPr>
          <w:color w:val="231F20"/>
          <w:spacing w:val="-30"/>
          <w:w w:val="105"/>
          <w:sz w:val="18"/>
        </w:rPr>
        <w:t> </w:t>
      </w:r>
      <w:r>
        <w:rPr>
          <w:color w:val="231F20"/>
          <w:w w:val="105"/>
          <w:sz w:val="18"/>
        </w:rPr>
        <w:t>Paper</w:t>
      </w:r>
      <w:r>
        <w:rPr>
          <w:color w:val="231F20"/>
          <w:spacing w:val="-30"/>
          <w:w w:val="105"/>
          <w:sz w:val="18"/>
        </w:rPr>
        <w:t> </w:t>
      </w:r>
      <w:r>
        <w:rPr>
          <w:color w:val="231F20"/>
          <w:w w:val="105"/>
          <w:sz w:val="18"/>
        </w:rPr>
        <w:t>07-17,</w:t>
      </w:r>
      <w:r>
        <w:rPr>
          <w:color w:val="231F20"/>
          <w:spacing w:val="-30"/>
          <w:w w:val="105"/>
          <w:sz w:val="18"/>
        </w:rPr>
        <w:t> </w:t>
      </w:r>
      <w:r>
        <w:rPr>
          <w:color w:val="231F20"/>
          <w:w w:val="105"/>
          <w:sz w:val="18"/>
        </w:rPr>
        <w:t>junio,</w:t>
      </w:r>
      <w:r>
        <w:rPr>
          <w:color w:val="231F20"/>
          <w:spacing w:val="-30"/>
          <w:w w:val="105"/>
          <w:sz w:val="18"/>
        </w:rPr>
        <w:t> </w:t>
      </w:r>
      <w:r>
        <w:rPr>
          <w:color w:val="231F20"/>
          <w:w w:val="105"/>
          <w:sz w:val="18"/>
        </w:rPr>
        <w:t>Cambridge,</w:t>
      </w:r>
      <w:r>
        <w:rPr>
          <w:color w:val="231F20"/>
          <w:w w:val="109"/>
          <w:sz w:val="18"/>
        </w:rPr>
        <w:t> </w:t>
      </w:r>
      <w:r>
        <w:rPr>
          <w:color w:val="231F20"/>
          <w:w w:val="105"/>
          <w:sz w:val="18"/>
        </w:rPr>
        <w:t>MA, Massachusetts Institute of Technology:</w:t>
      </w:r>
      <w:r>
        <w:rPr>
          <w:color w:val="231F20"/>
          <w:spacing w:val="41"/>
          <w:w w:val="105"/>
          <w:sz w:val="18"/>
        </w:rPr>
        <w:t> </w:t>
      </w:r>
      <w:r>
        <w:rPr>
          <w:color w:val="231F20"/>
          <w:w w:val="105"/>
          <w:sz w:val="18"/>
        </w:rPr>
        <w:t>1-59.</w:t>
      </w:r>
    </w:p>
    <w:p>
      <w:pPr>
        <w:spacing w:line="254" w:lineRule="auto" w:before="1"/>
        <w:ind w:left="340" w:right="119" w:hanging="240"/>
        <w:jc w:val="both"/>
        <w:rPr>
          <w:sz w:val="18"/>
        </w:rPr>
      </w:pPr>
      <w:r>
        <w:rPr>
          <w:color w:val="231F20"/>
          <w:w w:val="105"/>
          <w:sz w:val="18"/>
        </w:rPr>
        <w:t>McCormack, Richard, 2010, “The Plight of American Manufacturing”, </w:t>
      </w:r>
      <w:r>
        <w:rPr>
          <w:i/>
          <w:color w:val="231F20"/>
          <w:w w:val="105"/>
          <w:sz w:val="18"/>
        </w:rPr>
        <w:t>The </w:t>
      </w:r>
      <w:r>
        <w:rPr>
          <w:i/>
          <w:color w:val="231F20"/>
          <w:w w:val="105"/>
          <w:sz w:val="18"/>
        </w:rPr>
        <w:t>American Prospect, </w:t>
      </w:r>
      <w:r>
        <w:rPr>
          <w:color w:val="231F20"/>
          <w:w w:val="105"/>
          <w:sz w:val="18"/>
        </w:rPr>
        <w:t>vol. 21, núm. 1: 1-3, &lt;wwwprospect.org/cs/articles&gt;.</w:t>
      </w:r>
    </w:p>
    <w:p>
      <w:pPr>
        <w:spacing w:line="254" w:lineRule="auto" w:before="1"/>
        <w:ind w:left="100" w:right="100" w:firstLine="0"/>
        <w:jc w:val="left"/>
        <w:rPr>
          <w:i/>
          <w:sz w:val="18"/>
        </w:rPr>
      </w:pPr>
      <w:r>
        <w:rPr>
          <w:color w:val="231F20"/>
          <w:w w:val="105"/>
          <w:sz w:val="18"/>
        </w:rPr>
        <w:t>Mills, C. Wright, </w:t>
      </w:r>
      <w:r>
        <w:rPr>
          <w:i/>
          <w:color w:val="231F20"/>
          <w:w w:val="105"/>
          <w:sz w:val="18"/>
        </w:rPr>
        <w:t>The Power Elite, </w:t>
      </w:r>
      <w:r>
        <w:rPr>
          <w:color w:val="231F20"/>
          <w:w w:val="105"/>
          <w:sz w:val="18"/>
        </w:rPr>
        <w:t>Nueva York, Oxford University Press. Mischel, Lawrence, Jared Bernstein y Heidi Sheirholz, 2009, </w:t>
      </w:r>
      <w:r>
        <w:rPr>
          <w:i/>
          <w:color w:val="231F20"/>
          <w:w w:val="105"/>
          <w:sz w:val="18"/>
        </w:rPr>
        <w:t>The State of Wor-</w:t>
      </w:r>
    </w:p>
    <w:p>
      <w:pPr>
        <w:spacing w:before="1"/>
        <w:ind w:left="340" w:right="25" w:firstLine="0"/>
        <w:jc w:val="left"/>
        <w:rPr>
          <w:sz w:val="18"/>
        </w:rPr>
      </w:pPr>
      <w:r>
        <w:rPr>
          <w:i/>
          <w:color w:val="231F20"/>
          <w:w w:val="105"/>
          <w:sz w:val="18"/>
        </w:rPr>
        <w:t>kin America, </w:t>
      </w:r>
      <w:r>
        <w:rPr>
          <w:color w:val="231F20"/>
          <w:w w:val="105"/>
          <w:sz w:val="18"/>
        </w:rPr>
        <w:t>Ithaca, Nueva York, ILR Press.</w:t>
      </w:r>
    </w:p>
    <w:p>
      <w:pPr>
        <w:spacing w:before="13"/>
        <w:ind w:left="100" w:right="25" w:firstLine="0"/>
        <w:jc w:val="left"/>
        <w:rPr>
          <w:sz w:val="18"/>
        </w:rPr>
      </w:pPr>
      <w:r>
        <w:rPr>
          <w:color w:val="231F20"/>
          <w:sz w:val="18"/>
        </w:rPr>
        <w:t>Moody,  Kim, 2007, </w:t>
      </w:r>
      <w:r>
        <w:rPr>
          <w:i/>
          <w:color w:val="231F20"/>
          <w:sz w:val="18"/>
        </w:rPr>
        <w:t>US Labor in Trouble  and Transition, </w:t>
      </w:r>
      <w:r>
        <w:rPr>
          <w:color w:val="231F20"/>
          <w:sz w:val="18"/>
        </w:rPr>
        <w:t>London,   Verso.</w:t>
      </w:r>
    </w:p>
    <w:p>
      <w:pPr>
        <w:spacing w:line="254" w:lineRule="auto" w:before="13"/>
        <w:ind w:left="340" w:right="117" w:hanging="240"/>
        <w:jc w:val="both"/>
        <w:rPr>
          <w:sz w:val="18"/>
        </w:rPr>
      </w:pPr>
      <w:r>
        <w:rPr>
          <w:color w:val="231F20"/>
          <w:w w:val="105"/>
          <w:sz w:val="18"/>
        </w:rPr>
        <w:t>Noble, Holcomb y Charles McGrath, 2010, “Louis Acinchincloss, Chronicler of New York´s Upper Crust”, </w:t>
      </w:r>
      <w:r>
        <w:rPr>
          <w:i/>
          <w:color w:val="231F20"/>
          <w:w w:val="105"/>
          <w:sz w:val="18"/>
        </w:rPr>
        <w:t>New York Times</w:t>
      </w:r>
      <w:r>
        <w:rPr>
          <w:color w:val="231F20"/>
          <w:w w:val="105"/>
          <w:sz w:val="18"/>
        </w:rPr>
        <w:t>, 28 de enero, A23.</w:t>
      </w:r>
    </w:p>
    <w:p>
      <w:pPr>
        <w:spacing w:line="254" w:lineRule="auto" w:before="1"/>
        <w:ind w:left="100" w:right="117" w:firstLine="70"/>
        <w:jc w:val="right"/>
        <w:rPr>
          <w:sz w:val="18"/>
        </w:rPr>
      </w:pPr>
      <w:r>
        <w:rPr>
          <w:color w:val="231F20"/>
          <w:w w:val="105"/>
          <w:sz w:val="18"/>
        </w:rPr>
        <w:t>Pew Research Center, 2010, “The Great Recession at 30 Months”, </w:t>
      </w:r>
      <w:r>
        <w:rPr>
          <w:i/>
          <w:color w:val="231F20"/>
          <w:w w:val="105"/>
          <w:sz w:val="18"/>
        </w:rPr>
        <w:t>Pew Re-</w:t>
      </w:r>
      <w:r>
        <w:rPr>
          <w:i/>
          <w:color w:val="231F20"/>
          <w:w w:val="72"/>
          <w:sz w:val="18"/>
        </w:rPr>
        <w:t> </w:t>
      </w:r>
      <w:r>
        <w:rPr>
          <w:i/>
          <w:color w:val="231F20"/>
          <w:w w:val="105"/>
          <w:sz w:val="18"/>
        </w:rPr>
        <w:t>search Center Publications, </w:t>
      </w:r>
      <w:r>
        <w:rPr>
          <w:color w:val="231F20"/>
          <w:w w:val="105"/>
          <w:sz w:val="18"/>
        </w:rPr>
        <w:t>June 30,  &lt;</w:t>
      </w:r>
      <w:hyperlink r:id="rId258">
        <w:r>
          <w:rPr>
            <w:color w:val="231F20"/>
            <w:w w:val="105"/>
            <w:sz w:val="18"/>
          </w:rPr>
          <w:t>http://pewresearch.org/pubs/1643/&gt;.</w:t>
        </w:r>
      </w:hyperlink>
    </w:p>
    <w:p>
      <w:pPr>
        <w:spacing w:before="1"/>
        <w:ind w:left="100" w:right="25" w:firstLine="0"/>
        <w:jc w:val="left"/>
        <w:rPr>
          <w:sz w:val="18"/>
        </w:rPr>
      </w:pPr>
      <w:r>
        <w:rPr>
          <w:color w:val="231F20"/>
          <w:w w:val="105"/>
          <w:sz w:val="18"/>
        </w:rPr>
        <w:t>Phelps, Christopher, 2010, “American Idle”, </w:t>
      </w:r>
      <w:r>
        <w:rPr>
          <w:i/>
          <w:color w:val="231F20"/>
          <w:w w:val="105"/>
          <w:sz w:val="18"/>
        </w:rPr>
        <w:t>The Nation, </w:t>
      </w:r>
      <w:r>
        <w:rPr>
          <w:color w:val="231F20"/>
          <w:w w:val="105"/>
          <w:sz w:val="18"/>
        </w:rPr>
        <w:t>vol. 290, núm. 5 5</w:t>
      </w:r>
    </w:p>
    <w:p>
      <w:pPr>
        <w:spacing w:before="13"/>
        <w:ind w:left="340" w:right="25" w:firstLine="0"/>
        <w:jc w:val="left"/>
        <w:rPr>
          <w:sz w:val="18"/>
        </w:rPr>
      </w:pPr>
      <w:r>
        <w:rPr>
          <w:color w:val="231F20"/>
          <w:w w:val="110"/>
          <w:sz w:val="18"/>
        </w:rPr>
        <w:t>de febrero, 21-24.</w:t>
      </w:r>
    </w:p>
    <w:p>
      <w:pPr>
        <w:spacing w:line="254" w:lineRule="auto" w:before="13"/>
        <w:ind w:left="340" w:right="117" w:hanging="240"/>
        <w:jc w:val="both"/>
        <w:rPr>
          <w:sz w:val="18"/>
        </w:rPr>
      </w:pPr>
      <w:r>
        <w:rPr>
          <w:color w:val="231F20"/>
          <w:w w:val="105"/>
          <w:sz w:val="18"/>
        </w:rPr>
        <w:t>Sum, Andrew </w:t>
      </w:r>
      <w:r>
        <w:rPr>
          <w:i/>
          <w:color w:val="231F20"/>
          <w:w w:val="105"/>
          <w:sz w:val="18"/>
        </w:rPr>
        <w:t>et al</w:t>
      </w:r>
      <w:r>
        <w:rPr>
          <w:color w:val="231F20"/>
          <w:w w:val="105"/>
          <w:sz w:val="18"/>
        </w:rPr>
        <w:t>., 2010, “The Great Recession of 2008-2009 and the Blue Collar Depression”, </w:t>
      </w:r>
      <w:r>
        <w:rPr>
          <w:i/>
          <w:color w:val="231F20"/>
          <w:w w:val="105"/>
          <w:sz w:val="18"/>
        </w:rPr>
        <w:t>Challenge, </w:t>
      </w:r>
      <w:r>
        <w:rPr>
          <w:color w:val="231F20"/>
          <w:w w:val="105"/>
          <w:sz w:val="18"/>
        </w:rPr>
        <w:t>vol. 53, núm. 4, julio-agosto: 6-24.</w:t>
      </w:r>
    </w:p>
    <w:p>
      <w:pPr>
        <w:spacing w:line="254" w:lineRule="auto" w:before="1"/>
        <w:ind w:left="340" w:right="117" w:hanging="240"/>
        <w:jc w:val="both"/>
        <w:rPr>
          <w:sz w:val="18"/>
        </w:rPr>
      </w:pPr>
      <w:r>
        <w:rPr>
          <w:color w:val="231F20"/>
          <w:w w:val="105"/>
          <w:sz w:val="18"/>
        </w:rPr>
        <w:t>US Department of Labor, Bureau of Labor Statistics, 2011, </w:t>
      </w:r>
      <w:r>
        <w:rPr>
          <w:i/>
          <w:color w:val="231F20"/>
          <w:w w:val="105"/>
          <w:sz w:val="18"/>
        </w:rPr>
        <w:t>Economic News </w:t>
      </w:r>
      <w:r>
        <w:rPr>
          <w:i/>
          <w:color w:val="231F20"/>
          <w:w w:val="105"/>
          <w:sz w:val="18"/>
        </w:rPr>
        <w:t>Release., </w:t>
      </w:r>
      <w:hyperlink r:id="rId259">
        <w:r>
          <w:rPr>
            <w:color w:val="231F20"/>
            <w:w w:val="105"/>
            <w:sz w:val="18"/>
          </w:rPr>
          <w:t>&lt;www.bls.gov/newsrelease/empsit.t22.htm&gt;</w:t>
        </w:r>
      </w:hyperlink>
      <w:r>
        <w:rPr>
          <w:color w:val="231F20"/>
          <w:w w:val="105"/>
          <w:sz w:val="18"/>
        </w:rPr>
        <w:t>.</w:t>
      </w:r>
    </w:p>
    <w:p>
      <w:pPr>
        <w:spacing w:line="254" w:lineRule="auto" w:before="1"/>
        <w:ind w:left="340" w:right="115" w:hanging="240"/>
        <w:jc w:val="both"/>
        <w:rPr>
          <w:sz w:val="18"/>
        </w:rPr>
      </w:pPr>
      <w:r>
        <w:rPr>
          <w:color w:val="231F20"/>
          <w:w w:val="104"/>
          <w:sz w:val="18"/>
          <w:u w:val="single" w:color="221E1F"/>
        </w:rPr>
        <w:t> </w:t>
      </w:r>
      <w:r>
        <w:rPr>
          <w:color w:val="231F20"/>
          <w:sz w:val="18"/>
          <w:u w:val="single" w:color="221E1F"/>
        </w:rPr>
        <w:t>       </w:t>
      </w:r>
      <w:r>
        <w:rPr>
          <w:color w:val="231F20"/>
          <w:sz w:val="18"/>
        </w:rPr>
        <w:t>, 2010a, </w:t>
      </w:r>
      <w:r>
        <w:rPr>
          <w:i/>
          <w:color w:val="231F20"/>
          <w:sz w:val="18"/>
        </w:rPr>
        <w:t>Employer Cost for Employee Compensation, </w:t>
      </w:r>
      <w:r>
        <w:rPr>
          <w:color w:val="231F20"/>
          <w:sz w:val="18"/>
        </w:rPr>
        <w:t>USDL-10-1687, 8 de diciembre.</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tabs>
          <w:tab w:pos="459" w:val="left" w:leader="none"/>
        </w:tabs>
        <w:spacing w:before="71"/>
        <w:ind w:left="100" w:right="25" w:firstLine="0"/>
        <w:jc w:val="left"/>
        <w:rPr>
          <w:sz w:val="18"/>
        </w:rPr>
      </w:pPr>
      <w:r>
        <w:rPr>
          <w:color w:val="231F20"/>
          <w:w w:val="104"/>
          <w:sz w:val="18"/>
          <w:u w:val="single" w:color="221E1F"/>
        </w:rPr>
        <w:t> </w:t>
      </w:r>
      <w:r>
        <w:rPr>
          <w:color w:val="231F20"/>
          <w:sz w:val="18"/>
          <w:u w:val="single" w:color="221E1F"/>
        </w:rPr>
        <w:tab/>
      </w:r>
      <w:r>
        <w:rPr>
          <w:color w:val="231F20"/>
          <w:sz w:val="18"/>
        </w:rPr>
        <w:t>,</w:t>
      </w:r>
      <w:r>
        <w:rPr>
          <w:color w:val="231F20"/>
          <w:spacing w:val="24"/>
          <w:sz w:val="18"/>
        </w:rPr>
        <w:t> </w:t>
      </w:r>
      <w:r>
        <w:rPr>
          <w:color w:val="231F20"/>
          <w:sz w:val="18"/>
        </w:rPr>
        <w:t>2010b,</w:t>
      </w:r>
      <w:r>
        <w:rPr>
          <w:color w:val="231F20"/>
          <w:spacing w:val="24"/>
          <w:sz w:val="18"/>
        </w:rPr>
        <w:t> </w:t>
      </w:r>
      <w:r>
        <w:rPr>
          <w:color w:val="231F20"/>
          <w:sz w:val="18"/>
        </w:rPr>
        <w:t>“Current</w:t>
      </w:r>
      <w:r>
        <w:rPr>
          <w:color w:val="231F20"/>
          <w:spacing w:val="24"/>
          <w:sz w:val="18"/>
        </w:rPr>
        <w:t> </w:t>
      </w:r>
      <w:r>
        <w:rPr>
          <w:color w:val="231F20"/>
          <w:sz w:val="18"/>
        </w:rPr>
        <w:t>Labor</w:t>
      </w:r>
      <w:r>
        <w:rPr>
          <w:color w:val="231F20"/>
          <w:spacing w:val="24"/>
          <w:sz w:val="18"/>
        </w:rPr>
        <w:t> </w:t>
      </w:r>
      <w:r>
        <w:rPr>
          <w:color w:val="231F20"/>
          <w:sz w:val="18"/>
        </w:rPr>
        <w:t>Statistics”,</w:t>
      </w:r>
      <w:r>
        <w:rPr>
          <w:color w:val="231F20"/>
          <w:spacing w:val="24"/>
          <w:sz w:val="18"/>
        </w:rPr>
        <w:t> </w:t>
      </w:r>
      <w:r>
        <w:rPr>
          <w:i/>
          <w:color w:val="231F20"/>
          <w:sz w:val="18"/>
        </w:rPr>
        <w:t>Monthly</w:t>
      </w:r>
      <w:r>
        <w:rPr>
          <w:i/>
          <w:color w:val="231F20"/>
          <w:spacing w:val="24"/>
          <w:sz w:val="18"/>
        </w:rPr>
        <w:t> </w:t>
      </w:r>
      <w:r>
        <w:rPr>
          <w:i/>
          <w:color w:val="231F20"/>
          <w:sz w:val="18"/>
        </w:rPr>
        <w:t>Labor</w:t>
      </w:r>
      <w:r>
        <w:rPr>
          <w:i/>
          <w:color w:val="231F20"/>
          <w:spacing w:val="24"/>
          <w:sz w:val="18"/>
        </w:rPr>
        <w:t> </w:t>
      </w:r>
      <w:r>
        <w:rPr>
          <w:i/>
          <w:color w:val="231F20"/>
          <w:sz w:val="18"/>
        </w:rPr>
        <w:t>Review,</w:t>
      </w:r>
      <w:r>
        <w:rPr>
          <w:i/>
          <w:color w:val="231F20"/>
          <w:spacing w:val="24"/>
          <w:sz w:val="18"/>
        </w:rPr>
        <w:t> </w:t>
      </w:r>
      <w:r>
        <w:rPr>
          <w:color w:val="231F20"/>
          <w:sz w:val="18"/>
        </w:rPr>
        <w:t>vol.</w:t>
      </w:r>
      <w:r>
        <w:rPr>
          <w:color w:val="231F20"/>
          <w:spacing w:val="24"/>
          <w:sz w:val="18"/>
        </w:rPr>
        <w:t> </w:t>
      </w:r>
      <w:r>
        <w:rPr>
          <w:color w:val="231F20"/>
          <w:sz w:val="18"/>
        </w:rPr>
        <w:t>133,</w:t>
      </w:r>
      <w:r>
        <w:rPr>
          <w:color w:val="231F20"/>
          <w:spacing w:val="24"/>
          <w:sz w:val="18"/>
        </w:rPr>
        <w:t> </w:t>
      </w:r>
      <w:r>
        <w:rPr>
          <w:color w:val="231F20"/>
          <w:sz w:val="18"/>
        </w:rPr>
        <w:t>núm.</w:t>
      </w:r>
    </w:p>
    <w:p>
      <w:pPr>
        <w:spacing w:before="13"/>
        <w:ind w:left="340" w:right="25" w:firstLine="0"/>
        <w:jc w:val="left"/>
        <w:rPr>
          <w:sz w:val="18"/>
        </w:rPr>
      </w:pPr>
      <w:r>
        <w:rPr>
          <w:color w:val="231F20"/>
          <w:w w:val="105"/>
          <w:sz w:val="18"/>
        </w:rPr>
        <w:t>7, julio: 85-90.</w:t>
      </w:r>
    </w:p>
    <w:p>
      <w:pPr>
        <w:spacing w:before="13"/>
        <w:ind w:left="100" w:right="25" w:firstLine="0"/>
        <w:jc w:val="left"/>
        <w:rPr>
          <w:i/>
          <w:sz w:val="18"/>
        </w:rPr>
      </w:pPr>
      <w:r>
        <w:rPr>
          <w:color w:val="231F20"/>
          <w:sz w:val="18"/>
        </w:rPr>
        <w:t>Vlasic, Bill y Nick Bunkley, 2009, “Scars of an Ailing Industry”, </w:t>
      </w:r>
      <w:r>
        <w:rPr>
          <w:i/>
          <w:color w:val="231F20"/>
          <w:sz w:val="18"/>
        </w:rPr>
        <w:t>New York  Times,</w:t>
      </w:r>
    </w:p>
    <w:p>
      <w:pPr>
        <w:spacing w:before="13"/>
        <w:ind w:left="340" w:right="25" w:firstLine="0"/>
        <w:jc w:val="left"/>
        <w:rPr>
          <w:sz w:val="18"/>
        </w:rPr>
      </w:pPr>
      <w:r>
        <w:rPr>
          <w:color w:val="231F20"/>
          <w:w w:val="105"/>
          <w:sz w:val="18"/>
        </w:rPr>
        <w:t>31 de julio: B1, B8.</w:t>
      </w:r>
    </w:p>
    <w:p>
      <w:pPr>
        <w:spacing w:after="0"/>
        <w:jc w:val="left"/>
        <w:rPr>
          <w:sz w:val="18"/>
        </w:rPr>
        <w:sectPr>
          <w:pgSz w:w="7640" w:h="11900"/>
          <w:pgMar w:header="672" w:footer="0" w:top="860" w:bottom="280" w:left="780" w:right="640"/>
        </w:sectPr>
      </w:pPr>
    </w:p>
    <w:p>
      <w:pPr>
        <w:pStyle w:val="BodyText"/>
        <w:spacing w:line="261" w:lineRule="auto" w:before="39"/>
        <w:ind w:left="100" w:right="1073"/>
      </w:pPr>
      <w:r>
        <w:rPr>
          <w:color w:val="231F20"/>
        </w:rPr>
        <w:t>ESTADOS UNIDOS:  REDEFINICIONES  IDEOLÓGICAS Y  GEOPOLÍTICA  MUNDIAL BAJO</w:t>
      </w:r>
    </w:p>
    <w:p>
      <w:pPr>
        <w:pStyle w:val="BodyText"/>
        <w:ind w:left="100"/>
        <w:jc w:val="both"/>
      </w:pPr>
      <w:r>
        <w:rPr>
          <w:color w:val="231F20"/>
        </w:rPr>
        <w:t>LA ADMINISTRACIÓN OBAMA</w:t>
      </w:r>
    </w:p>
    <w:p>
      <w:pPr>
        <w:pStyle w:val="BodyText"/>
        <w:spacing w:before="5"/>
        <w:rPr>
          <w:sz w:val="23"/>
        </w:rPr>
      </w:pPr>
    </w:p>
    <w:p>
      <w:pPr>
        <w:pStyle w:val="BodyText"/>
        <w:ind w:left="3560" w:right="25"/>
      </w:pPr>
      <w:r>
        <w:rPr>
          <w:color w:val="231F20"/>
          <w:w w:val="125"/>
        </w:rPr>
        <w:t>jorge hernández martínez</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3"/>
        <w:jc w:val="both"/>
      </w:pPr>
      <w:r>
        <w:rPr>
          <w:color w:val="231F20"/>
          <w:w w:val="110"/>
        </w:rPr>
        <w:t>El análisis que sigue examina los procesos ideológicos que tienen lugar en la sociedad estadunidense en los últimos años bajo una perspectiva global, destacando sus implicaciones para el enfoque de política exterior y de seguridad nacional de Estados Unidos ante la nueva geopolítica mundial, situando el foco analítico en el periodo comprendido entre 2009 y 2010. Este se asume sólo como el mar- co de referencia más inmediato, considerando que los fenómenos actuales responden a tendencias y transiciones en curso durante la etapa</w:t>
      </w:r>
      <w:r>
        <w:rPr>
          <w:color w:val="231F20"/>
          <w:spacing w:val="-11"/>
          <w:w w:val="110"/>
        </w:rPr>
        <w:t> </w:t>
      </w:r>
      <w:r>
        <w:rPr>
          <w:color w:val="231F20"/>
          <w:w w:val="110"/>
        </w:rPr>
        <w:t>iniciada</w:t>
      </w:r>
      <w:r>
        <w:rPr>
          <w:color w:val="231F20"/>
          <w:spacing w:val="-11"/>
          <w:w w:val="110"/>
        </w:rPr>
        <w:t> </w:t>
      </w:r>
      <w:r>
        <w:rPr>
          <w:color w:val="231F20"/>
          <w:w w:val="110"/>
        </w:rPr>
        <w:t>hace</w:t>
      </w:r>
      <w:r>
        <w:rPr>
          <w:color w:val="231F20"/>
          <w:spacing w:val="-11"/>
          <w:w w:val="110"/>
        </w:rPr>
        <w:t> </w:t>
      </w:r>
      <w:r>
        <w:rPr>
          <w:color w:val="231F20"/>
          <w:w w:val="110"/>
        </w:rPr>
        <w:t>casi</w:t>
      </w:r>
      <w:r>
        <w:rPr>
          <w:color w:val="231F20"/>
          <w:spacing w:val="-11"/>
          <w:w w:val="110"/>
        </w:rPr>
        <w:t> </w:t>
      </w:r>
      <w:r>
        <w:rPr>
          <w:color w:val="231F20"/>
          <w:w w:val="110"/>
        </w:rPr>
        <w:t>diez</w:t>
      </w:r>
      <w:r>
        <w:rPr>
          <w:color w:val="231F20"/>
          <w:spacing w:val="-11"/>
          <w:w w:val="110"/>
        </w:rPr>
        <w:t> </w:t>
      </w:r>
      <w:r>
        <w:rPr>
          <w:color w:val="231F20"/>
          <w:w w:val="110"/>
        </w:rPr>
        <w:t>años.</w:t>
      </w:r>
      <w:r>
        <w:rPr>
          <w:color w:val="231F20"/>
          <w:spacing w:val="-11"/>
          <w:w w:val="110"/>
        </w:rPr>
        <w:t> </w:t>
      </w:r>
      <w:r>
        <w:rPr>
          <w:color w:val="231F20"/>
          <w:w w:val="110"/>
        </w:rPr>
        <w:t>Se</w:t>
      </w:r>
      <w:r>
        <w:rPr>
          <w:color w:val="231F20"/>
          <w:spacing w:val="-11"/>
          <w:w w:val="110"/>
        </w:rPr>
        <w:t> </w:t>
      </w:r>
      <w:r>
        <w:rPr>
          <w:color w:val="231F20"/>
          <w:w w:val="110"/>
        </w:rPr>
        <w:t>parte</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premisa</w:t>
      </w:r>
      <w:r>
        <w:rPr>
          <w:color w:val="231F20"/>
          <w:spacing w:val="-11"/>
          <w:w w:val="110"/>
        </w:rPr>
        <w:t> </w:t>
      </w:r>
      <w:r>
        <w:rPr>
          <w:color w:val="231F20"/>
          <w:w w:val="110"/>
        </w:rPr>
        <w:t>de</w:t>
      </w:r>
      <w:r>
        <w:rPr>
          <w:color w:val="231F20"/>
          <w:spacing w:val="-11"/>
          <w:w w:val="110"/>
        </w:rPr>
        <w:t> </w:t>
      </w:r>
      <w:r>
        <w:rPr>
          <w:color w:val="231F20"/>
          <w:w w:val="110"/>
        </w:rPr>
        <w:t>que</w:t>
      </w:r>
      <w:r>
        <w:rPr>
          <w:color w:val="231F20"/>
          <w:spacing w:val="-11"/>
          <w:w w:val="110"/>
        </w:rPr>
        <w:t> </w:t>
      </w:r>
      <w:r>
        <w:rPr>
          <w:color w:val="231F20"/>
          <w:w w:val="110"/>
        </w:rPr>
        <w:t>2001 constituye el punto de inflexión de la historia reciente de este país, en la medida en que es el escenario de dos hechos sobresalientes, que condicionan el legado ideológico y geopolítico que recibe la administración de Obama: el inicio del doble mandato del partido republicano, encabezado por George </w:t>
      </w:r>
      <w:r>
        <w:rPr>
          <w:color w:val="231F20"/>
          <w:spacing w:val="-6"/>
          <w:w w:val="110"/>
        </w:rPr>
        <w:t>W. </w:t>
      </w:r>
      <w:r>
        <w:rPr>
          <w:color w:val="231F20"/>
          <w:w w:val="110"/>
        </w:rPr>
        <w:t>Bush, signado por el acen- tuado enfoque conservador y los efectos de la crisis que comienza con los atentados del 9 de septiembre. La conjugación de ambas cir- cunstancias</w:t>
      </w:r>
      <w:r>
        <w:rPr>
          <w:color w:val="231F20"/>
          <w:spacing w:val="-12"/>
          <w:w w:val="110"/>
        </w:rPr>
        <w:t> </w:t>
      </w:r>
      <w:r>
        <w:rPr>
          <w:color w:val="231F20"/>
          <w:w w:val="110"/>
        </w:rPr>
        <w:t>impregna</w:t>
      </w:r>
      <w:r>
        <w:rPr>
          <w:color w:val="231F20"/>
          <w:spacing w:val="-12"/>
          <w:w w:val="110"/>
        </w:rPr>
        <w:t> </w:t>
      </w:r>
      <w:r>
        <w:rPr>
          <w:color w:val="231F20"/>
          <w:w w:val="110"/>
        </w:rPr>
        <w:t>todo</w:t>
      </w:r>
      <w:r>
        <w:rPr>
          <w:color w:val="231F20"/>
          <w:spacing w:val="-12"/>
          <w:w w:val="110"/>
        </w:rPr>
        <w:t> </w:t>
      </w:r>
      <w:r>
        <w:rPr>
          <w:color w:val="231F20"/>
          <w:w w:val="110"/>
        </w:rPr>
        <w:t>el</w:t>
      </w:r>
      <w:r>
        <w:rPr>
          <w:color w:val="231F20"/>
          <w:spacing w:val="-12"/>
          <w:w w:val="110"/>
        </w:rPr>
        <w:t> </w:t>
      </w:r>
      <w:r>
        <w:rPr>
          <w:color w:val="231F20"/>
          <w:w w:val="110"/>
        </w:rPr>
        <w:t>espectro</w:t>
      </w:r>
      <w:r>
        <w:rPr>
          <w:color w:val="231F20"/>
          <w:spacing w:val="-12"/>
          <w:w w:val="110"/>
        </w:rPr>
        <w:t> </w:t>
      </w:r>
      <w:r>
        <w:rPr>
          <w:color w:val="231F20"/>
          <w:w w:val="110"/>
        </w:rPr>
        <w:t>sociológico,</w:t>
      </w:r>
      <w:r>
        <w:rPr>
          <w:color w:val="231F20"/>
          <w:spacing w:val="-12"/>
          <w:w w:val="110"/>
        </w:rPr>
        <w:t> </w:t>
      </w:r>
      <w:r>
        <w:rPr>
          <w:color w:val="231F20"/>
          <w:w w:val="110"/>
        </w:rPr>
        <w:t>político</w:t>
      </w:r>
      <w:r>
        <w:rPr>
          <w:color w:val="231F20"/>
          <w:spacing w:val="-12"/>
          <w:w w:val="110"/>
        </w:rPr>
        <w:t> </w:t>
      </w:r>
      <w:r>
        <w:rPr>
          <w:color w:val="231F20"/>
          <w:w w:val="110"/>
        </w:rPr>
        <w:t>y</w:t>
      </w:r>
      <w:r>
        <w:rPr>
          <w:color w:val="231F20"/>
          <w:spacing w:val="-12"/>
          <w:w w:val="110"/>
        </w:rPr>
        <w:t> </w:t>
      </w:r>
      <w:r>
        <w:rPr>
          <w:color w:val="231F20"/>
          <w:w w:val="110"/>
        </w:rPr>
        <w:t>cultural que —en su dinamismo y acumulación— conduce a la coyuntura simbolizada</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necesidad</w:t>
      </w:r>
      <w:r>
        <w:rPr>
          <w:color w:val="231F20"/>
          <w:spacing w:val="-12"/>
          <w:w w:val="110"/>
        </w:rPr>
        <w:t> </w:t>
      </w:r>
      <w:r>
        <w:rPr>
          <w:color w:val="231F20"/>
          <w:w w:val="110"/>
        </w:rPr>
        <w:t>de</w:t>
      </w:r>
      <w:r>
        <w:rPr>
          <w:color w:val="231F20"/>
          <w:spacing w:val="-12"/>
          <w:w w:val="110"/>
        </w:rPr>
        <w:t> </w:t>
      </w:r>
      <w:r>
        <w:rPr>
          <w:color w:val="231F20"/>
          <w:w w:val="110"/>
        </w:rPr>
        <w:t>cambios,</w:t>
      </w:r>
      <w:r>
        <w:rPr>
          <w:color w:val="231F20"/>
          <w:spacing w:val="-12"/>
          <w:w w:val="110"/>
        </w:rPr>
        <w:t> </w:t>
      </w:r>
      <w:r>
        <w:rPr>
          <w:color w:val="231F20"/>
          <w:w w:val="110"/>
        </w:rPr>
        <w:t>que</w:t>
      </w:r>
      <w:r>
        <w:rPr>
          <w:color w:val="231F20"/>
          <w:spacing w:val="-12"/>
          <w:w w:val="110"/>
        </w:rPr>
        <w:t> </w:t>
      </w:r>
      <w:r>
        <w:rPr>
          <w:color w:val="231F20"/>
          <w:w w:val="110"/>
        </w:rPr>
        <w:t>culmina</w:t>
      </w:r>
      <w:r>
        <w:rPr>
          <w:color w:val="231F20"/>
          <w:spacing w:val="-12"/>
          <w:w w:val="110"/>
        </w:rPr>
        <w:t> </w:t>
      </w:r>
      <w:r>
        <w:rPr>
          <w:color w:val="231F20"/>
          <w:w w:val="110"/>
        </w:rPr>
        <w:t>con</w:t>
      </w:r>
      <w:r>
        <w:rPr>
          <w:color w:val="231F20"/>
          <w:spacing w:val="-12"/>
          <w:w w:val="110"/>
        </w:rPr>
        <w:t> </w:t>
      </w:r>
      <w:r>
        <w:rPr>
          <w:color w:val="231F20"/>
          <w:w w:val="110"/>
        </w:rPr>
        <w:t>el</w:t>
      </w:r>
      <w:r>
        <w:rPr>
          <w:color w:val="231F20"/>
          <w:spacing w:val="-12"/>
          <w:w w:val="110"/>
        </w:rPr>
        <w:t> </w:t>
      </w:r>
      <w:r>
        <w:rPr>
          <w:color w:val="231F20"/>
          <w:w w:val="110"/>
        </w:rPr>
        <w:t>proceso electoral de 2008 y la victoria</w:t>
      </w:r>
      <w:r>
        <w:rPr>
          <w:color w:val="231F20"/>
          <w:spacing w:val="-13"/>
          <w:w w:val="110"/>
        </w:rPr>
        <w:t> </w:t>
      </w:r>
      <w:r>
        <w:rPr>
          <w:color w:val="231F20"/>
          <w:w w:val="110"/>
        </w:rPr>
        <w:t>demócrata.</w:t>
      </w:r>
    </w:p>
    <w:p>
      <w:pPr>
        <w:pStyle w:val="BodyText"/>
        <w:spacing w:line="261" w:lineRule="auto"/>
        <w:ind w:left="100" w:right="117" w:firstLine="240"/>
        <w:jc w:val="both"/>
      </w:pPr>
      <w:r>
        <w:rPr>
          <w:color w:val="231F20"/>
          <w:w w:val="110"/>
        </w:rPr>
        <w:t>El</w:t>
      </w:r>
      <w:r>
        <w:rPr>
          <w:color w:val="231F20"/>
          <w:spacing w:val="-11"/>
          <w:w w:val="110"/>
        </w:rPr>
        <w:t> </w:t>
      </w:r>
      <w:r>
        <w:rPr>
          <w:color w:val="231F20"/>
          <w:w w:val="110"/>
        </w:rPr>
        <w:t>objetivo</w:t>
      </w:r>
      <w:r>
        <w:rPr>
          <w:color w:val="231F20"/>
          <w:spacing w:val="-11"/>
          <w:w w:val="110"/>
        </w:rPr>
        <w:t> </w:t>
      </w:r>
      <w:r>
        <w:rPr>
          <w:color w:val="231F20"/>
          <w:w w:val="110"/>
        </w:rPr>
        <w:t>del</w:t>
      </w:r>
      <w:r>
        <w:rPr>
          <w:color w:val="231F20"/>
          <w:spacing w:val="-11"/>
          <w:w w:val="110"/>
        </w:rPr>
        <w:t> </w:t>
      </w:r>
      <w:r>
        <w:rPr>
          <w:color w:val="231F20"/>
          <w:w w:val="110"/>
        </w:rPr>
        <w:t>análisis</w:t>
      </w:r>
      <w:r>
        <w:rPr>
          <w:color w:val="231F20"/>
          <w:spacing w:val="-11"/>
          <w:w w:val="110"/>
        </w:rPr>
        <w:t> </w:t>
      </w:r>
      <w:r>
        <w:rPr>
          <w:color w:val="231F20"/>
          <w:w w:val="110"/>
        </w:rPr>
        <w:t>se</w:t>
      </w:r>
      <w:r>
        <w:rPr>
          <w:color w:val="231F20"/>
          <w:spacing w:val="-11"/>
          <w:w w:val="110"/>
        </w:rPr>
        <w:t> </w:t>
      </w:r>
      <w:r>
        <w:rPr>
          <w:color w:val="231F20"/>
          <w:w w:val="110"/>
        </w:rPr>
        <w:t>limita</w:t>
      </w:r>
      <w:r>
        <w:rPr>
          <w:color w:val="231F20"/>
          <w:spacing w:val="-11"/>
          <w:w w:val="110"/>
        </w:rPr>
        <w:t> </w:t>
      </w:r>
      <w:r>
        <w:rPr>
          <w:color w:val="231F20"/>
          <w:w w:val="110"/>
        </w:rPr>
        <w:t>a</w:t>
      </w:r>
      <w:r>
        <w:rPr>
          <w:color w:val="231F20"/>
          <w:spacing w:val="-11"/>
          <w:w w:val="110"/>
        </w:rPr>
        <w:t> </w:t>
      </w:r>
      <w:r>
        <w:rPr>
          <w:color w:val="231F20"/>
          <w:w w:val="110"/>
        </w:rPr>
        <w:t>problematizar</w:t>
      </w:r>
      <w:r>
        <w:rPr>
          <w:color w:val="231F20"/>
          <w:spacing w:val="-11"/>
          <w:w w:val="110"/>
        </w:rPr>
        <w:t> </w:t>
      </w:r>
      <w:r>
        <w:rPr>
          <w:color w:val="231F20"/>
          <w:w w:val="110"/>
        </w:rPr>
        <w:t>el</w:t>
      </w:r>
      <w:r>
        <w:rPr>
          <w:color w:val="231F20"/>
          <w:spacing w:val="-11"/>
          <w:w w:val="110"/>
        </w:rPr>
        <w:t> </w:t>
      </w:r>
      <w:r>
        <w:rPr>
          <w:color w:val="231F20"/>
          <w:w w:val="110"/>
        </w:rPr>
        <w:t>marco</w:t>
      </w:r>
      <w:r>
        <w:rPr>
          <w:color w:val="231F20"/>
          <w:spacing w:val="-11"/>
          <w:w w:val="110"/>
        </w:rPr>
        <w:t> </w:t>
      </w:r>
      <w:r>
        <w:rPr>
          <w:color w:val="231F20"/>
          <w:w w:val="110"/>
        </w:rPr>
        <w:t>político- ideológico</w:t>
      </w:r>
      <w:r>
        <w:rPr>
          <w:color w:val="231F20"/>
          <w:spacing w:val="-9"/>
          <w:w w:val="110"/>
        </w:rPr>
        <w:t> </w:t>
      </w:r>
      <w:r>
        <w:rPr>
          <w:color w:val="231F20"/>
          <w:w w:val="110"/>
        </w:rPr>
        <w:t>actual</w:t>
      </w:r>
      <w:r>
        <w:rPr>
          <w:color w:val="231F20"/>
          <w:spacing w:val="-9"/>
          <w:w w:val="110"/>
        </w:rPr>
        <w:t> </w:t>
      </w:r>
      <w:r>
        <w:rPr>
          <w:color w:val="231F20"/>
          <w:w w:val="110"/>
        </w:rPr>
        <w:t>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bajo</w:t>
      </w:r>
      <w:r>
        <w:rPr>
          <w:color w:val="231F20"/>
          <w:spacing w:val="-9"/>
          <w:w w:val="110"/>
        </w:rPr>
        <w:t> </w:t>
      </w:r>
      <w:r>
        <w:rPr>
          <w:color w:val="231F20"/>
          <w:w w:val="110"/>
        </w:rPr>
        <w:t>la</w:t>
      </w:r>
      <w:r>
        <w:rPr>
          <w:color w:val="231F20"/>
          <w:spacing w:val="-9"/>
          <w:w w:val="110"/>
        </w:rPr>
        <w:t> </w:t>
      </w:r>
      <w:r>
        <w:rPr>
          <w:color w:val="231F20"/>
          <w:w w:val="110"/>
        </w:rPr>
        <w:t>hipótesis</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die- ciocho meses que han transcurrido desde que se instaló la presente administración —e incluso, más allá, la articulación del “momento” Obama en su conjunto, como “cambio de guardia” en el sistema político— no niega, sino confirma, la lógica del imperialismo. Con ese fin, se analizan las redefiniciones ideológicas en curso que en- frenta el país ante la situación latinoamericana e internacional. Se argumenta</w:t>
      </w:r>
      <w:r>
        <w:rPr>
          <w:color w:val="231F20"/>
          <w:spacing w:val="27"/>
          <w:w w:val="110"/>
        </w:rPr>
        <w:t> </w:t>
      </w:r>
      <w:r>
        <w:rPr>
          <w:color w:val="231F20"/>
          <w:w w:val="110"/>
        </w:rPr>
        <w:t>la</w:t>
      </w:r>
      <w:r>
        <w:rPr>
          <w:color w:val="231F20"/>
          <w:spacing w:val="27"/>
          <w:w w:val="110"/>
        </w:rPr>
        <w:t> </w:t>
      </w:r>
      <w:r>
        <w:rPr>
          <w:color w:val="231F20"/>
          <w:w w:val="110"/>
        </w:rPr>
        <w:t>continuidad</w:t>
      </w:r>
      <w:r>
        <w:rPr>
          <w:color w:val="231F20"/>
          <w:spacing w:val="27"/>
          <w:w w:val="110"/>
        </w:rPr>
        <w:t> </w:t>
      </w:r>
      <w:r>
        <w:rPr>
          <w:color w:val="231F20"/>
          <w:w w:val="110"/>
        </w:rPr>
        <w:t>matizada</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política</w:t>
      </w:r>
      <w:r>
        <w:rPr>
          <w:color w:val="231F20"/>
          <w:spacing w:val="27"/>
          <w:w w:val="110"/>
        </w:rPr>
        <w:t> </w:t>
      </w:r>
      <w:r>
        <w:rPr>
          <w:color w:val="231F20"/>
          <w:w w:val="110"/>
        </w:rPr>
        <w:t>exterior,</w:t>
      </w:r>
      <w:r>
        <w:rPr>
          <w:color w:val="231F20"/>
          <w:spacing w:val="27"/>
          <w:w w:val="110"/>
        </w:rPr>
        <w:t> </w:t>
      </w:r>
      <w:r>
        <w:rPr>
          <w:color w:val="231F20"/>
          <w:w w:val="110"/>
        </w:rPr>
        <w:t>a</w:t>
      </w:r>
      <w:r>
        <w:rPr>
          <w:color w:val="231F20"/>
          <w:spacing w:val="27"/>
          <w:w w:val="110"/>
        </w:rPr>
        <w:t> </w:t>
      </w:r>
      <w:r>
        <w:rPr>
          <w:color w:val="231F20"/>
          <w:w w:val="110"/>
        </w:rPr>
        <w:t>partir</w:t>
      </w:r>
    </w:p>
    <w:p>
      <w:pPr>
        <w:pStyle w:val="BodyText"/>
        <w:rPr>
          <w:sz w:val="15"/>
        </w:rPr>
      </w:pPr>
    </w:p>
    <w:p>
      <w:pPr>
        <w:pStyle w:val="BodyText"/>
        <w:spacing w:before="67"/>
        <w:ind w:left="113" w:right="132"/>
        <w:jc w:val="center"/>
      </w:pPr>
      <w:r>
        <w:rPr>
          <w:color w:val="231F20"/>
          <w:w w:val="120"/>
        </w:rPr>
        <w:t>[339]</w:t>
      </w:r>
    </w:p>
    <w:p>
      <w:pPr>
        <w:spacing w:after="0"/>
        <w:jc w:val="center"/>
        <w:sectPr>
          <w:headerReference w:type="default" r:id="rId260"/>
          <w:pgSz w:w="7640" w:h="11900"/>
          <w:pgMar w:header="0" w:footer="0" w:top="100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del reconocimiento de objetivos e intereses permanentes del sistema de dominación imperialista.</w:t>
      </w:r>
    </w:p>
    <w:p>
      <w:pPr>
        <w:pStyle w:val="BodyText"/>
      </w:pPr>
    </w:p>
    <w:p>
      <w:pPr>
        <w:pStyle w:val="BodyText"/>
      </w:pPr>
    </w:p>
    <w:p>
      <w:pPr>
        <w:pStyle w:val="BodyText"/>
        <w:spacing w:before="2"/>
        <w:rPr>
          <w:sz w:val="25"/>
        </w:rPr>
      </w:pPr>
    </w:p>
    <w:p>
      <w:pPr>
        <w:pStyle w:val="BodyText"/>
        <w:ind w:left="100"/>
        <w:jc w:val="both"/>
      </w:pPr>
      <w:r>
        <w:rPr>
          <w:color w:val="231F20"/>
          <w:w w:val="125"/>
        </w:rPr>
        <w:t>obama y la lógica del imperialismo estadunidense</w:t>
      </w:r>
    </w:p>
    <w:p>
      <w:pPr>
        <w:pStyle w:val="BodyText"/>
        <w:spacing w:before="5"/>
        <w:rPr>
          <w:sz w:val="23"/>
        </w:rPr>
      </w:pPr>
    </w:p>
    <w:p>
      <w:pPr>
        <w:pStyle w:val="BodyText"/>
        <w:spacing w:line="261" w:lineRule="auto"/>
        <w:ind w:left="100" w:right="115"/>
        <w:jc w:val="both"/>
      </w:pPr>
      <w:r>
        <w:rPr>
          <w:color w:val="231F20"/>
          <w:w w:val="110"/>
        </w:rPr>
        <w:t>A un año y medio de haber asumido la presidencia, Obama encara, en esencia, promesas incumplidas en un complicado escenario do- méstico e internacional, mostrando un cambio de tono en el discur- so y en el decurso de determinadas políticas, sin producir cambios espectaculares con respecto al legado de </w:t>
      </w:r>
      <w:r>
        <w:rPr>
          <w:color w:val="231F20"/>
          <w:spacing w:val="-6"/>
          <w:w w:val="110"/>
        </w:rPr>
        <w:t>W.  </w:t>
      </w:r>
      <w:r>
        <w:rPr>
          <w:color w:val="231F20"/>
          <w:w w:val="110"/>
        </w:rPr>
        <w:t>Bush o a la herencia  de otros predecesores. A grandes rasgos, y corriendo el riesgo de la esquematización, podría decirse que su habilidad mediática, capa- cidad de seducción, sentido de relaciones públicas, moderación en  el lenguaje político, pragmatismo económico, proyectan una silueta ajena a la estridencia, beligerancia, ideologización, consustanciales a la conducta presidencial de su antecesor. La promoción de una diplomacia multilateral pareciera —pongamos por caso— caracteri- zar su política exterior global, en tanto que las medidas económicas aplicadas han permitido, ante los ojos de muchos, amortiguar el efecto de la crisis financiera. Empero, ante la crisis sistémica que enfrenta</w:t>
      </w:r>
      <w:r>
        <w:rPr>
          <w:color w:val="231F20"/>
          <w:spacing w:val="-5"/>
          <w:w w:val="110"/>
        </w:rPr>
        <w:t> </w:t>
      </w:r>
      <w:r>
        <w:rPr>
          <w:color w:val="231F20"/>
          <w:w w:val="110"/>
        </w:rPr>
        <w:t>la</w:t>
      </w:r>
      <w:r>
        <w:rPr>
          <w:color w:val="231F20"/>
          <w:spacing w:val="-5"/>
          <w:w w:val="110"/>
        </w:rPr>
        <w:t> </w:t>
      </w:r>
      <w:r>
        <w:rPr>
          <w:color w:val="231F20"/>
          <w:w w:val="110"/>
        </w:rPr>
        <w:t>administración,</w:t>
      </w:r>
      <w:r>
        <w:rPr>
          <w:color w:val="231F20"/>
          <w:spacing w:val="-5"/>
          <w:w w:val="110"/>
        </w:rPr>
        <w:t> </w:t>
      </w:r>
      <w:r>
        <w:rPr>
          <w:color w:val="231F20"/>
          <w:w w:val="110"/>
        </w:rPr>
        <w:t>y</w:t>
      </w:r>
      <w:r>
        <w:rPr>
          <w:color w:val="231F20"/>
          <w:spacing w:val="-5"/>
          <w:w w:val="110"/>
        </w:rPr>
        <w:t> </w:t>
      </w:r>
      <w:r>
        <w:rPr>
          <w:color w:val="231F20"/>
          <w:w w:val="110"/>
        </w:rPr>
        <w:t>dados</w:t>
      </w:r>
      <w:r>
        <w:rPr>
          <w:color w:val="231F20"/>
          <w:spacing w:val="-5"/>
          <w:w w:val="110"/>
        </w:rPr>
        <w:t> </w:t>
      </w:r>
      <w:r>
        <w:rPr>
          <w:color w:val="231F20"/>
          <w:w w:val="110"/>
        </w:rPr>
        <w:t>sus</w:t>
      </w:r>
      <w:r>
        <w:rPr>
          <w:color w:val="231F20"/>
          <w:spacing w:val="-5"/>
          <w:w w:val="110"/>
        </w:rPr>
        <w:t> </w:t>
      </w:r>
      <w:r>
        <w:rPr>
          <w:color w:val="231F20"/>
          <w:w w:val="110"/>
        </w:rPr>
        <w:t>esfuerzos</w:t>
      </w:r>
      <w:r>
        <w:rPr>
          <w:color w:val="231F20"/>
          <w:spacing w:val="-5"/>
          <w:w w:val="110"/>
        </w:rPr>
        <w:t> </w:t>
      </w:r>
      <w:r>
        <w:rPr>
          <w:color w:val="231F20"/>
          <w:w w:val="110"/>
        </w:rPr>
        <w:t>declarados</w:t>
      </w:r>
      <w:r>
        <w:rPr>
          <w:color w:val="231F20"/>
          <w:spacing w:val="-5"/>
          <w:w w:val="110"/>
        </w:rPr>
        <w:t> </w:t>
      </w:r>
      <w:r>
        <w:rPr>
          <w:color w:val="231F20"/>
          <w:w w:val="110"/>
        </w:rPr>
        <w:t>por</w:t>
      </w:r>
      <w:r>
        <w:rPr>
          <w:color w:val="231F20"/>
          <w:spacing w:val="-5"/>
          <w:w w:val="110"/>
        </w:rPr>
        <w:t> </w:t>
      </w:r>
      <w:r>
        <w:rPr>
          <w:color w:val="231F20"/>
          <w:w w:val="110"/>
        </w:rPr>
        <w:t>res- tablecer el liderazgo, rescatar la confianza y fortalecer la influencia de Estados Unidos, su accionar expresa básicamente ambigüedades, contradicciones</w:t>
      </w:r>
      <w:r>
        <w:rPr>
          <w:color w:val="231F20"/>
          <w:spacing w:val="-20"/>
          <w:w w:val="110"/>
        </w:rPr>
        <w:t> </w:t>
      </w:r>
      <w:r>
        <w:rPr>
          <w:color w:val="231F20"/>
          <w:w w:val="110"/>
        </w:rPr>
        <w:t>y</w:t>
      </w:r>
      <w:r>
        <w:rPr>
          <w:color w:val="231F20"/>
          <w:spacing w:val="-20"/>
          <w:w w:val="110"/>
        </w:rPr>
        <w:t> </w:t>
      </w:r>
      <w:r>
        <w:rPr>
          <w:color w:val="231F20"/>
          <w:w w:val="110"/>
        </w:rPr>
        <w:t>ambivalencias,</w:t>
      </w:r>
      <w:r>
        <w:rPr>
          <w:color w:val="231F20"/>
          <w:spacing w:val="-20"/>
          <w:w w:val="110"/>
        </w:rPr>
        <w:t> </w:t>
      </w:r>
      <w:r>
        <w:rPr>
          <w:color w:val="231F20"/>
          <w:w w:val="110"/>
        </w:rPr>
        <w:t>aún</w:t>
      </w:r>
      <w:r>
        <w:rPr>
          <w:color w:val="231F20"/>
          <w:spacing w:val="-20"/>
          <w:w w:val="110"/>
        </w:rPr>
        <w:t> </w:t>
      </w:r>
      <w:r>
        <w:rPr>
          <w:color w:val="231F20"/>
          <w:w w:val="110"/>
        </w:rPr>
        <w:t>y</w:t>
      </w:r>
      <w:r>
        <w:rPr>
          <w:color w:val="231F20"/>
          <w:spacing w:val="-20"/>
          <w:w w:val="110"/>
        </w:rPr>
        <w:t> </w:t>
      </w:r>
      <w:r>
        <w:rPr>
          <w:color w:val="231F20"/>
          <w:w w:val="110"/>
        </w:rPr>
        <w:t>cuando</w:t>
      </w:r>
      <w:r>
        <w:rPr>
          <w:color w:val="231F20"/>
          <w:spacing w:val="-20"/>
          <w:w w:val="110"/>
        </w:rPr>
        <w:t> </w:t>
      </w:r>
      <w:r>
        <w:rPr>
          <w:color w:val="231F20"/>
          <w:w w:val="110"/>
        </w:rPr>
        <w:t>se</w:t>
      </w:r>
      <w:r>
        <w:rPr>
          <w:color w:val="231F20"/>
          <w:spacing w:val="-20"/>
          <w:w w:val="110"/>
        </w:rPr>
        <w:t> </w:t>
      </w:r>
      <w:r>
        <w:rPr>
          <w:color w:val="231F20"/>
          <w:w w:val="110"/>
        </w:rPr>
        <w:t>adviertan</w:t>
      </w:r>
      <w:r>
        <w:rPr>
          <w:color w:val="231F20"/>
          <w:spacing w:val="-20"/>
          <w:w w:val="110"/>
        </w:rPr>
        <w:t> </w:t>
      </w:r>
      <w:r>
        <w:rPr>
          <w:color w:val="231F20"/>
          <w:w w:val="110"/>
        </w:rPr>
        <w:t>pasos</w:t>
      </w:r>
      <w:r>
        <w:rPr>
          <w:color w:val="231F20"/>
          <w:spacing w:val="-20"/>
          <w:w w:val="110"/>
        </w:rPr>
        <w:t> </w:t>
      </w:r>
      <w:r>
        <w:rPr>
          <w:color w:val="231F20"/>
          <w:w w:val="110"/>
        </w:rPr>
        <w:t>que le alejen del proyecto neoconservador de </w:t>
      </w:r>
      <w:r>
        <w:rPr>
          <w:color w:val="231F20"/>
          <w:spacing w:val="-6"/>
          <w:w w:val="110"/>
        </w:rPr>
        <w:t>W. </w:t>
      </w:r>
      <w:r>
        <w:rPr>
          <w:color w:val="231F20"/>
          <w:w w:val="110"/>
        </w:rPr>
        <w:t>Bush. En tal sentido cabría retomar el ejemplo citado, ante lo que parece constituir un abandono del unilateralismo diplomático de aquella administración y un diseño funcional de la política económica en tiempos </w:t>
      </w:r>
      <w:r>
        <w:rPr>
          <w:color w:val="231F20"/>
          <w:spacing w:val="15"/>
          <w:w w:val="110"/>
        </w:rPr>
        <w:t> </w:t>
      </w:r>
      <w:r>
        <w:rPr>
          <w:color w:val="231F20"/>
          <w:w w:val="110"/>
        </w:rPr>
        <w:t>críticos.</w:t>
      </w:r>
    </w:p>
    <w:p>
      <w:pPr>
        <w:pStyle w:val="BodyText"/>
        <w:spacing w:line="261" w:lineRule="auto"/>
        <w:ind w:left="100" w:right="117" w:firstLine="240"/>
        <w:jc w:val="right"/>
      </w:pPr>
      <w:r>
        <w:rPr>
          <w:color w:val="231F20"/>
          <w:w w:val="110"/>
        </w:rPr>
        <w:t>Quizá convenga recordar las palabras de Obama,</w:t>
      </w:r>
      <w:r>
        <w:rPr>
          <w:color w:val="231F20"/>
          <w:spacing w:val="53"/>
          <w:w w:val="110"/>
        </w:rPr>
        <w:t> </w:t>
      </w:r>
      <w:r>
        <w:rPr>
          <w:color w:val="231F20"/>
          <w:w w:val="110"/>
        </w:rPr>
        <w:t>cuando</w:t>
      </w:r>
      <w:r>
        <w:rPr>
          <w:color w:val="231F20"/>
          <w:spacing w:val="7"/>
          <w:w w:val="110"/>
        </w:rPr>
        <w:t> </w:t>
      </w:r>
      <w:r>
        <w:rPr>
          <w:color w:val="231F20"/>
          <w:w w:val="110"/>
        </w:rPr>
        <w:t>tomaba</w:t>
      </w:r>
      <w:r>
        <w:rPr>
          <w:color w:val="231F20"/>
          <w:w w:val="110"/>
        </w:rPr>
        <w:t> </w:t>
      </w:r>
      <w:r>
        <w:rPr>
          <w:color w:val="231F20"/>
          <w:w w:val="110"/>
        </w:rPr>
        <w:t>posesión el 20 de enero de 2009 y juraba solemnemente</w:t>
      </w:r>
      <w:r>
        <w:rPr>
          <w:color w:val="231F20"/>
          <w:spacing w:val="-35"/>
          <w:w w:val="110"/>
        </w:rPr>
        <w:t> </w:t>
      </w:r>
      <w:r>
        <w:rPr>
          <w:color w:val="231F20"/>
          <w:w w:val="110"/>
        </w:rPr>
        <w:t>cumplir</w:t>
      </w:r>
      <w:r>
        <w:rPr>
          <w:color w:val="231F20"/>
          <w:spacing w:val="-4"/>
          <w:w w:val="110"/>
        </w:rPr>
        <w:t> </w:t>
      </w:r>
      <w:r>
        <w:rPr>
          <w:color w:val="231F20"/>
          <w:w w:val="110"/>
        </w:rPr>
        <w:t>con</w:t>
      </w:r>
      <w:r>
        <w:rPr>
          <w:color w:val="231F20"/>
          <w:w w:val="112"/>
        </w:rPr>
        <w:t> </w:t>
      </w:r>
      <w:r>
        <w:rPr>
          <w:color w:val="231F20"/>
          <w:w w:val="110"/>
        </w:rPr>
        <w:t>fidelidad</w:t>
      </w:r>
      <w:r>
        <w:rPr>
          <w:color w:val="231F20"/>
          <w:spacing w:val="31"/>
          <w:w w:val="110"/>
        </w:rPr>
        <w:t> </w:t>
      </w:r>
      <w:r>
        <w:rPr>
          <w:color w:val="231F20"/>
          <w:w w:val="110"/>
        </w:rPr>
        <w:t>el</w:t>
      </w:r>
      <w:r>
        <w:rPr>
          <w:color w:val="231F20"/>
          <w:spacing w:val="31"/>
          <w:w w:val="110"/>
        </w:rPr>
        <w:t> </w:t>
      </w:r>
      <w:r>
        <w:rPr>
          <w:color w:val="231F20"/>
          <w:w w:val="110"/>
        </w:rPr>
        <w:t>cargo</w:t>
      </w:r>
      <w:r>
        <w:rPr>
          <w:color w:val="231F20"/>
          <w:spacing w:val="31"/>
          <w:w w:val="110"/>
        </w:rPr>
        <w:t> </w:t>
      </w:r>
      <w:r>
        <w:rPr>
          <w:color w:val="231F20"/>
          <w:w w:val="110"/>
        </w:rPr>
        <w:t>de</w:t>
      </w:r>
      <w:r>
        <w:rPr>
          <w:color w:val="231F20"/>
          <w:spacing w:val="31"/>
          <w:w w:val="110"/>
        </w:rPr>
        <w:t> </w:t>
      </w:r>
      <w:r>
        <w:rPr>
          <w:color w:val="231F20"/>
          <w:w w:val="110"/>
        </w:rPr>
        <w:t>presidente</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nación</w:t>
      </w:r>
      <w:r>
        <w:rPr>
          <w:color w:val="231F20"/>
          <w:spacing w:val="31"/>
          <w:w w:val="110"/>
        </w:rPr>
        <w:t> </w:t>
      </w:r>
      <w:r>
        <w:rPr>
          <w:color w:val="231F20"/>
          <w:w w:val="110"/>
        </w:rPr>
        <w:t>y</w:t>
      </w:r>
      <w:r>
        <w:rPr>
          <w:color w:val="231F20"/>
          <w:spacing w:val="31"/>
          <w:w w:val="110"/>
        </w:rPr>
        <w:t> </w:t>
      </w:r>
      <w:r>
        <w:rPr>
          <w:color w:val="231F20"/>
          <w:w w:val="110"/>
        </w:rPr>
        <w:t>hacer</w:t>
      </w:r>
      <w:r>
        <w:rPr>
          <w:color w:val="231F20"/>
          <w:spacing w:val="31"/>
          <w:w w:val="110"/>
        </w:rPr>
        <w:t> </w:t>
      </w:r>
      <w:r>
        <w:rPr>
          <w:color w:val="231F20"/>
          <w:w w:val="110"/>
        </w:rPr>
        <w:t>todo</w:t>
      </w:r>
      <w:r>
        <w:rPr>
          <w:color w:val="231F20"/>
          <w:spacing w:val="31"/>
          <w:w w:val="110"/>
        </w:rPr>
        <w:t> </w:t>
      </w:r>
      <w:r>
        <w:rPr>
          <w:color w:val="231F20"/>
          <w:w w:val="110"/>
        </w:rPr>
        <w:t>lo</w:t>
      </w:r>
      <w:r>
        <w:rPr>
          <w:color w:val="231F20"/>
          <w:spacing w:val="31"/>
          <w:w w:val="110"/>
        </w:rPr>
        <w:t> </w:t>
      </w:r>
      <w:r>
        <w:rPr>
          <w:color w:val="231F20"/>
          <w:w w:val="110"/>
        </w:rPr>
        <w:t>que</w:t>
      </w:r>
      <w:r>
        <w:rPr>
          <w:color w:val="231F20"/>
          <w:w w:val="113"/>
        </w:rPr>
        <w:t> </w:t>
      </w:r>
      <w:r>
        <w:rPr>
          <w:color w:val="231F20"/>
          <w:w w:val="110"/>
        </w:rPr>
        <w:t>estuviera a su alcance para preservar y defender la</w:t>
      </w:r>
      <w:r>
        <w:rPr>
          <w:color w:val="231F20"/>
          <w:spacing w:val="10"/>
          <w:w w:val="110"/>
        </w:rPr>
        <w:t> </w:t>
      </w:r>
      <w:r>
        <w:rPr>
          <w:color w:val="231F20"/>
          <w:w w:val="110"/>
        </w:rPr>
        <w:t>Constitución</w:t>
      </w:r>
      <w:r>
        <w:rPr>
          <w:color w:val="231F20"/>
          <w:spacing w:val="7"/>
          <w:w w:val="110"/>
        </w:rPr>
        <w:t> </w:t>
      </w:r>
      <w:r>
        <w:rPr>
          <w:color w:val="231F20"/>
          <w:w w:val="110"/>
        </w:rPr>
        <w:t>del</w:t>
      </w:r>
      <w:r>
        <w:rPr>
          <w:color w:val="231F20"/>
          <w:w w:val="111"/>
        </w:rPr>
        <w:t> </w:t>
      </w:r>
      <w:r>
        <w:rPr>
          <w:color w:val="231F20"/>
          <w:w w:val="110"/>
        </w:rPr>
        <w:t>país, con desbordante apoyo </w:t>
      </w:r>
      <w:r>
        <w:rPr>
          <w:color w:val="231F20"/>
          <w:spacing w:val="-3"/>
          <w:w w:val="110"/>
        </w:rPr>
        <w:t>popular. </w:t>
      </w:r>
      <w:r>
        <w:rPr>
          <w:color w:val="231F20"/>
          <w:w w:val="110"/>
        </w:rPr>
        <w:t>Un año después,</w:t>
      </w:r>
      <w:r>
        <w:rPr>
          <w:color w:val="231F20"/>
          <w:spacing w:val="8"/>
          <w:w w:val="110"/>
        </w:rPr>
        <w:t> </w:t>
      </w:r>
      <w:r>
        <w:rPr>
          <w:color w:val="231F20"/>
          <w:w w:val="110"/>
        </w:rPr>
        <w:t>celebraría</w:t>
      </w:r>
      <w:r>
        <w:rPr>
          <w:color w:val="231F20"/>
          <w:spacing w:val="7"/>
          <w:w w:val="110"/>
        </w:rPr>
        <w:t> </w:t>
      </w:r>
      <w:r>
        <w:rPr>
          <w:color w:val="231F20"/>
          <w:w w:val="110"/>
        </w:rPr>
        <w:t>su</w:t>
      </w:r>
      <w:r>
        <w:rPr>
          <w:color w:val="231F20"/>
          <w:w w:val="105"/>
        </w:rPr>
        <w:t> </w:t>
      </w:r>
      <w:r>
        <w:rPr>
          <w:color w:val="231F20"/>
          <w:w w:val="110"/>
        </w:rPr>
        <w:t>primer</w:t>
      </w:r>
      <w:r>
        <w:rPr>
          <w:color w:val="231F20"/>
          <w:spacing w:val="-16"/>
          <w:w w:val="110"/>
        </w:rPr>
        <w:t> </w:t>
      </w:r>
      <w:r>
        <w:rPr>
          <w:color w:val="231F20"/>
          <w:w w:val="110"/>
        </w:rPr>
        <w:t>aniversario</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Casa</w:t>
      </w:r>
      <w:r>
        <w:rPr>
          <w:color w:val="231F20"/>
          <w:spacing w:val="-16"/>
          <w:w w:val="110"/>
        </w:rPr>
        <w:t> </w:t>
      </w:r>
      <w:r>
        <w:rPr>
          <w:color w:val="231F20"/>
          <w:w w:val="110"/>
        </w:rPr>
        <w:t>Blanca</w:t>
      </w:r>
      <w:r>
        <w:rPr>
          <w:color w:val="231F20"/>
          <w:spacing w:val="-16"/>
          <w:w w:val="110"/>
        </w:rPr>
        <w:t> </w:t>
      </w:r>
      <w:r>
        <w:rPr>
          <w:color w:val="231F20"/>
          <w:w w:val="110"/>
        </w:rPr>
        <w:t>con</w:t>
      </w:r>
      <w:r>
        <w:rPr>
          <w:color w:val="231F20"/>
          <w:spacing w:val="-16"/>
          <w:w w:val="110"/>
        </w:rPr>
        <w:t> </w:t>
      </w:r>
      <w:r>
        <w:rPr>
          <w:color w:val="231F20"/>
          <w:w w:val="110"/>
        </w:rPr>
        <w:t>niveles</w:t>
      </w:r>
      <w:r>
        <w:rPr>
          <w:color w:val="231F20"/>
          <w:spacing w:val="-16"/>
          <w:w w:val="110"/>
        </w:rPr>
        <w:t> </w:t>
      </w:r>
      <w:r>
        <w:rPr>
          <w:color w:val="231F20"/>
          <w:w w:val="110"/>
        </w:rPr>
        <w:t>decrecientes</w:t>
      </w:r>
      <w:r>
        <w:rPr>
          <w:color w:val="231F20"/>
          <w:spacing w:val="-16"/>
          <w:w w:val="110"/>
        </w:rPr>
        <w:t> </w:t>
      </w:r>
      <w:r>
        <w:rPr>
          <w:color w:val="231F20"/>
          <w:w w:val="110"/>
        </w:rPr>
        <w:t>de</w:t>
      </w:r>
      <w:r>
        <w:rPr>
          <w:color w:val="231F20"/>
          <w:spacing w:val="-16"/>
          <w:w w:val="110"/>
        </w:rPr>
        <w:t> </w:t>
      </w:r>
      <w:r>
        <w:rPr>
          <w:color w:val="231F20"/>
          <w:w w:val="110"/>
        </w:rPr>
        <w:t>sim-</w:t>
      </w:r>
      <w:r>
        <w:rPr>
          <w:color w:val="231F20"/>
          <w:w w:val="72"/>
        </w:rPr>
        <w:t> </w:t>
      </w:r>
      <w:r>
        <w:rPr>
          <w:color w:val="231F20"/>
          <w:w w:val="110"/>
        </w:rPr>
        <w:t>patía,</w:t>
      </w:r>
      <w:r>
        <w:rPr>
          <w:color w:val="231F20"/>
          <w:spacing w:val="-10"/>
          <w:w w:val="110"/>
        </w:rPr>
        <w:t> </w:t>
      </w:r>
      <w:r>
        <w:rPr>
          <w:color w:val="231F20"/>
          <w:w w:val="110"/>
        </w:rPr>
        <w:t>los</w:t>
      </w:r>
      <w:r>
        <w:rPr>
          <w:color w:val="231F20"/>
          <w:spacing w:val="-10"/>
          <w:w w:val="110"/>
        </w:rPr>
        <w:t> </w:t>
      </w:r>
      <w:r>
        <w:rPr>
          <w:color w:val="231F20"/>
          <w:w w:val="110"/>
        </w:rPr>
        <w:t>que</w:t>
      </w:r>
      <w:r>
        <w:rPr>
          <w:color w:val="231F20"/>
          <w:spacing w:val="-10"/>
          <w:w w:val="110"/>
        </w:rPr>
        <w:t> </w:t>
      </w:r>
      <w:r>
        <w:rPr>
          <w:color w:val="231F20"/>
          <w:w w:val="110"/>
        </w:rPr>
        <w:t>hacia</w:t>
      </w:r>
      <w:r>
        <w:rPr>
          <w:color w:val="231F20"/>
          <w:spacing w:val="-10"/>
          <w:w w:val="110"/>
        </w:rPr>
        <w:t> </w:t>
      </w:r>
      <w:r>
        <w:rPr>
          <w:color w:val="231F20"/>
          <w:w w:val="110"/>
        </w:rPr>
        <w:t>mediados</w:t>
      </w:r>
      <w:r>
        <w:rPr>
          <w:color w:val="231F20"/>
          <w:spacing w:val="-10"/>
          <w:w w:val="110"/>
        </w:rPr>
        <w:t> </w:t>
      </w:r>
      <w:r>
        <w:rPr>
          <w:color w:val="231F20"/>
          <w:w w:val="110"/>
        </w:rPr>
        <w:t>de</w:t>
      </w:r>
      <w:r>
        <w:rPr>
          <w:color w:val="231F20"/>
          <w:spacing w:val="-10"/>
          <w:w w:val="110"/>
        </w:rPr>
        <w:t> </w:t>
      </w:r>
      <w:r>
        <w:rPr>
          <w:color w:val="231F20"/>
          <w:w w:val="110"/>
        </w:rPr>
        <w:t>2010</w:t>
      </w:r>
      <w:r>
        <w:rPr>
          <w:color w:val="231F20"/>
          <w:spacing w:val="-10"/>
          <w:w w:val="110"/>
        </w:rPr>
        <w:t> </w:t>
      </w:r>
      <w:r>
        <w:rPr>
          <w:color w:val="231F20"/>
          <w:w w:val="110"/>
        </w:rPr>
        <w:t>están</w:t>
      </w:r>
      <w:r>
        <w:rPr>
          <w:color w:val="231F20"/>
          <w:spacing w:val="-10"/>
          <w:w w:val="110"/>
        </w:rPr>
        <w:t> </w:t>
      </w:r>
      <w:r>
        <w:rPr>
          <w:color w:val="231F20"/>
          <w:w w:val="110"/>
        </w:rPr>
        <w:t>en</w:t>
      </w:r>
      <w:r>
        <w:rPr>
          <w:color w:val="231F20"/>
          <w:spacing w:val="-10"/>
          <w:w w:val="110"/>
        </w:rPr>
        <w:t> </w:t>
      </w:r>
      <w:r>
        <w:rPr>
          <w:color w:val="231F20"/>
          <w:w w:val="110"/>
        </w:rPr>
        <w:t>torno</w:t>
      </w:r>
      <w:r>
        <w:rPr>
          <w:color w:val="231F20"/>
          <w:spacing w:val="-10"/>
          <w:w w:val="110"/>
        </w:rPr>
        <w:t> </w:t>
      </w:r>
      <w:r>
        <w:rPr>
          <w:color w:val="231F20"/>
          <w:w w:val="110"/>
        </w:rPr>
        <w:t>al</w:t>
      </w:r>
      <w:r>
        <w:rPr>
          <w:color w:val="231F20"/>
          <w:spacing w:val="-10"/>
          <w:w w:val="110"/>
        </w:rPr>
        <w:t> </w:t>
      </w:r>
      <w:r>
        <w:rPr>
          <w:color w:val="231F20"/>
          <w:w w:val="110"/>
        </w:rPr>
        <w:t>50</w:t>
      </w:r>
      <w:r>
        <w:rPr>
          <w:color w:val="231F20"/>
          <w:spacing w:val="-10"/>
          <w:w w:val="110"/>
        </w:rPr>
        <w:t> </w:t>
      </w:r>
      <w:r>
        <w:rPr>
          <w:color w:val="231F20"/>
          <w:w w:val="110"/>
        </w:rPr>
        <w:t>por</w:t>
      </w:r>
      <w:r>
        <w:rPr>
          <w:color w:val="231F20"/>
          <w:spacing w:val="-10"/>
          <w:w w:val="110"/>
        </w:rPr>
        <w:t> </w:t>
      </w:r>
      <w:r>
        <w:rPr>
          <w:color w:val="231F20"/>
          <w:w w:val="110"/>
        </w:rPr>
        <w:t>ciento.</w:t>
      </w:r>
      <w:r>
        <w:rPr>
          <w:color w:val="231F20"/>
          <w:w w:val="110"/>
        </w:rPr>
        <w:t> </w:t>
      </w:r>
      <w:r>
        <w:rPr>
          <w:color w:val="231F20"/>
          <w:w w:val="110"/>
        </w:rPr>
        <w:t>Al</w:t>
      </w:r>
      <w:r>
        <w:rPr>
          <w:color w:val="231F20"/>
          <w:spacing w:val="-10"/>
          <w:w w:val="110"/>
        </w:rPr>
        <w:t> </w:t>
      </w:r>
      <w:r>
        <w:rPr>
          <w:color w:val="231F20"/>
          <w:w w:val="110"/>
        </w:rPr>
        <w:t>dirigirse</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nación</w:t>
      </w:r>
      <w:r>
        <w:rPr>
          <w:color w:val="231F20"/>
          <w:spacing w:val="-10"/>
          <w:w w:val="110"/>
        </w:rPr>
        <w:t> </w:t>
      </w:r>
      <w:r>
        <w:rPr>
          <w:color w:val="231F20"/>
          <w:w w:val="110"/>
        </w:rPr>
        <w:t>el</w:t>
      </w:r>
      <w:r>
        <w:rPr>
          <w:color w:val="231F20"/>
          <w:spacing w:val="-10"/>
          <w:w w:val="110"/>
        </w:rPr>
        <w:t> </w:t>
      </w:r>
      <w:r>
        <w:rPr>
          <w:color w:val="231F20"/>
          <w:w w:val="110"/>
        </w:rPr>
        <w:t>27</w:t>
      </w:r>
      <w:r>
        <w:rPr>
          <w:color w:val="231F20"/>
          <w:spacing w:val="-10"/>
          <w:w w:val="110"/>
        </w:rPr>
        <w:t> </w:t>
      </w:r>
      <w:r>
        <w:rPr>
          <w:color w:val="231F20"/>
          <w:w w:val="110"/>
        </w:rPr>
        <w:t>de</w:t>
      </w:r>
      <w:r>
        <w:rPr>
          <w:color w:val="231F20"/>
          <w:spacing w:val="-10"/>
          <w:w w:val="110"/>
        </w:rPr>
        <w:t> </w:t>
      </w:r>
      <w:r>
        <w:rPr>
          <w:color w:val="231F20"/>
          <w:w w:val="110"/>
        </w:rPr>
        <w:t>enero</w:t>
      </w:r>
      <w:r>
        <w:rPr>
          <w:color w:val="231F20"/>
          <w:spacing w:val="-10"/>
          <w:w w:val="110"/>
        </w:rPr>
        <w:t> </w:t>
      </w:r>
      <w:r>
        <w:rPr>
          <w:color w:val="231F20"/>
          <w:w w:val="110"/>
        </w:rPr>
        <w:t>de</w:t>
      </w:r>
      <w:r>
        <w:rPr>
          <w:color w:val="231F20"/>
          <w:spacing w:val="-10"/>
          <w:w w:val="110"/>
        </w:rPr>
        <w:t> </w:t>
      </w:r>
      <w:r>
        <w:rPr>
          <w:color w:val="231F20"/>
          <w:w w:val="110"/>
        </w:rPr>
        <w:t>2010</w:t>
      </w:r>
      <w:r>
        <w:rPr>
          <w:color w:val="231F20"/>
          <w:spacing w:val="-10"/>
          <w:w w:val="110"/>
        </w:rPr>
        <w:t> </w:t>
      </w:r>
      <w:r>
        <w:rPr>
          <w:color w:val="231F20"/>
          <w:w w:val="110"/>
        </w:rPr>
        <w:t>y</w:t>
      </w:r>
      <w:r>
        <w:rPr>
          <w:color w:val="231F20"/>
          <w:spacing w:val="-10"/>
          <w:w w:val="110"/>
        </w:rPr>
        <w:t> </w:t>
      </w:r>
      <w:r>
        <w:rPr>
          <w:color w:val="231F20"/>
          <w:w w:val="110"/>
        </w:rPr>
        <w:t>celebrar</w:t>
      </w:r>
      <w:r>
        <w:rPr>
          <w:color w:val="231F20"/>
          <w:spacing w:val="-10"/>
          <w:w w:val="110"/>
        </w:rPr>
        <w:t> </w:t>
      </w:r>
      <w:r>
        <w:rPr>
          <w:color w:val="231F20"/>
          <w:w w:val="110"/>
        </w:rPr>
        <w:t>su</w:t>
      </w:r>
      <w:r>
        <w:rPr>
          <w:color w:val="231F20"/>
          <w:spacing w:val="-10"/>
          <w:w w:val="110"/>
        </w:rPr>
        <w:t> </w:t>
      </w:r>
      <w:r>
        <w:rPr>
          <w:color w:val="231F20"/>
          <w:w w:val="110"/>
        </w:rPr>
        <w:t>primer</w:t>
      </w:r>
      <w:r>
        <w:rPr>
          <w:color w:val="231F20"/>
          <w:w w:val="113"/>
        </w:rPr>
        <w:t> </w:t>
      </w:r>
      <w:r>
        <w:rPr>
          <w:color w:val="231F20"/>
          <w:w w:val="110"/>
        </w:rPr>
        <w:t>año de gestión, priorizó la temática socioeconómica —en</w:t>
      </w:r>
      <w:r>
        <w:rPr>
          <w:color w:val="231F20"/>
          <w:spacing w:val="-4"/>
          <w:w w:val="110"/>
        </w:rPr>
        <w:t> </w:t>
      </w:r>
      <w:r>
        <w:rPr>
          <w:color w:val="231F20"/>
          <w:w w:val="110"/>
        </w:rPr>
        <w:t>particular,</w:t>
      </w:r>
    </w:p>
    <w:p>
      <w:pPr>
        <w:spacing w:after="0" w:line="261" w:lineRule="auto"/>
        <w:jc w:val="right"/>
        <w:sectPr>
          <w:headerReference w:type="even" r:id="rId261"/>
          <w:headerReference w:type="default" r:id="rId262"/>
          <w:pgSz w:w="7640" w:h="11900"/>
          <w:pgMar w:header="672" w:footer="0" w:top="860" w:bottom="280" w:left="780" w:right="640"/>
          <w:pgNumType w:start="340"/>
        </w:sectPr>
      </w:pPr>
    </w:p>
    <w:p>
      <w:pPr>
        <w:pStyle w:val="BodyText"/>
        <w:spacing w:before="8"/>
        <w:rPr>
          <w:sz w:val="8"/>
        </w:rPr>
      </w:pPr>
    </w:p>
    <w:p>
      <w:pPr>
        <w:pStyle w:val="BodyText"/>
        <w:spacing w:line="261" w:lineRule="auto" w:before="67"/>
        <w:ind w:left="100" w:right="115"/>
        <w:jc w:val="both"/>
        <w:rPr>
          <w:sz w:val="13"/>
        </w:rPr>
      </w:pPr>
      <w:r>
        <w:rPr>
          <w:color w:val="231F20"/>
          <w:w w:val="110"/>
        </w:rPr>
        <w:t>la cuestión del empleo— insistiendo en que no abandonaría sus pla- nes para hacer cambios de largo plazo en materia de salud, energía</w:t>
      </w:r>
      <w:r>
        <w:rPr>
          <w:color w:val="231F20"/>
          <w:spacing w:val="-33"/>
          <w:w w:val="110"/>
        </w:rPr>
        <w:t> </w:t>
      </w:r>
      <w:r>
        <w:rPr>
          <w:color w:val="231F20"/>
          <w:w w:val="110"/>
        </w:rPr>
        <w:t>y educación. Apeló a los legisladores, llamó a la unidad congresional, y situó en un plano relativamente secundario el tema de la política exterior y la seguridad. Evitó enfrascarse en cuestiones espinosas y procuró recuperar su imagen, aprovechando el simbolismo del mo- mento. Quedó claro entonces que la célebre reforma de salud seguía encontrando piedras en el camino, y que las prometidas reformas migratoria y energética se dilatarían. Con anterioridad, al</w:t>
      </w:r>
      <w:r>
        <w:rPr>
          <w:color w:val="231F20"/>
          <w:spacing w:val="-24"/>
          <w:w w:val="110"/>
        </w:rPr>
        <w:t> </w:t>
      </w:r>
      <w:r>
        <w:rPr>
          <w:color w:val="231F20"/>
          <w:w w:val="110"/>
        </w:rPr>
        <w:t>conmemo- rase</w:t>
      </w:r>
      <w:r>
        <w:rPr>
          <w:color w:val="231F20"/>
          <w:spacing w:val="-16"/>
          <w:w w:val="110"/>
        </w:rPr>
        <w:t> </w:t>
      </w:r>
      <w:r>
        <w:rPr>
          <w:color w:val="231F20"/>
          <w:w w:val="110"/>
        </w:rPr>
        <w:t>el</w:t>
      </w:r>
      <w:r>
        <w:rPr>
          <w:color w:val="231F20"/>
          <w:spacing w:val="-16"/>
          <w:w w:val="110"/>
        </w:rPr>
        <w:t> </w:t>
      </w:r>
      <w:r>
        <w:rPr>
          <w:color w:val="231F20"/>
          <w:w w:val="110"/>
        </w:rPr>
        <w:t>octavo</w:t>
      </w:r>
      <w:r>
        <w:rPr>
          <w:color w:val="231F20"/>
          <w:spacing w:val="-16"/>
          <w:w w:val="110"/>
        </w:rPr>
        <w:t> </w:t>
      </w:r>
      <w:r>
        <w:rPr>
          <w:color w:val="231F20"/>
          <w:w w:val="110"/>
        </w:rPr>
        <w:t>aniversario</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atentados</w:t>
      </w:r>
      <w:r>
        <w:rPr>
          <w:color w:val="231F20"/>
          <w:spacing w:val="-16"/>
          <w:w w:val="110"/>
        </w:rPr>
        <w:t> </w:t>
      </w:r>
      <w:r>
        <w:rPr>
          <w:color w:val="231F20"/>
          <w:w w:val="110"/>
        </w:rPr>
        <w:t>del</w:t>
      </w:r>
      <w:r>
        <w:rPr>
          <w:color w:val="231F20"/>
          <w:spacing w:val="-16"/>
          <w:w w:val="110"/>
        </w:rPr>
        <w:t> </w:t>
      </w:r>
      <w:r>
        <w:rPr>
          <w:color w:val="231F20"/>
          <w:w w:val="110"/>
        </w:rPr>
        <w:t>11</w:t>
      </w:r>
      <w:r>
        <w:rPr>
          <w:color w:val="231F20"/>
          <w:spacing w:val="-16"/>
          <w:w w:val="110"/>
        </w:rPr>
        <w:t> </w:t>
      </w:r>
      <w:r>
        <w:rPr>
          <w:color w:val="231F20"/>
          <w:w w:val="110"/>
        </w:rPr>
        <w:t>de</w:t>
      </w:r>
      <w:r>
        <w:rPr>
          <w:color w:val="231F20"/>
          <w:spacing w:val="-16"/>
          <w:w w:val="110"/>
        </w:rPr>
        <w:t> </w:t>
      </w:r>
      <w:r>
        <w:rPr>
          <w:color w:val="231F20"/>
          <w:w w:val="110"/>
        </w:rPr>
        <w:t>septiembre,</w:t>
      </w:r>
      <w:r>
        <w:rPr>
          <w:color w:val="231F20"/>
          <w:spacing w:val="-16"/>
          <w:w w:val="110"/>
        </w:rPr>
        <w:t> </w:t>
      </w:r>
      <w:r>
        <w:rPr>
          <w:color w:val="231F20"/>
          <w:w w:val="110"/>
        </w:rPr>
        <w:t>había acudido</w:t>
      </w:r>
      <w:r>
        <w:rPr>
          <w:color w:val="231F20"/>
          <w:spacing w:val="-10"/>
          <w:w w:val="110"/>
        </w:rPr>
        <w:t> </w:t>
      </w:r>
      <w:r>
        <w:rPr>
          <w:color w:val="231F20"/>
          <w:w w:val="110"/>
        </w:rPr>
        <w:t>al</w:t>
      </w:r>
      <w:r>
        <w:rPr>
          <w:color w:val="231F20"/>
          <w:spacing w:val="-10"/>
          <w:w w:val="110"/>
        </w:rPr>
        <w:t> </w:t>
      </w:r>
      <w:r>
        <w:rPr>
          <w:color w:val="231F20"/>
          <w:w w:val="110"/>
        </w:rPr>
        <w:t>compromiso</w:t>
      </w:r>
      <w:r>
        <w:rPr>
          <w:color w:val="231F20"/>
          <w:spacing w:val="-10"/>
          <w:w w:val="110"/>
        </w:rPr>
        <w:t> </w:t>
      </w:r>
      <w:r>
        <w:rPr>
          <w:color w:val="231F20"/>
          <w:w w:val="110"/>
        </w:rPr>
        <w:t>nacionalista,</w:t>
      </w:r>
      <w:r>
        <w:rPr>
          <w:color w:val="231F20"/>
          <w:spacing w:val="-10"/>
          <w:w w:val="110"/>
        </w:rPr>
        <w:t> </w:t>
      </w:r>
      <w:r>
        <w:rPr>
          <w:color w:val="231F20"/>
          <w:w w:val="110"/>
        </w:rPr>
        <w:t>al</w:t>
      </w:r>
      <w:r>
        <w:rPr>
          <w:color w:val="231F20"/>
          <w:spacing w:val="-10"/>
          <w:w w:val="110"/>
        </w:rPr>
        <w:t> </w:t>
      </w:r>
      <w:r>
        <w:rPr>
          <w:color w:val="231F20"/>
          <w:w w:val="110"/>
        </w:rPr>
        <w:t>chauvinismo</w:t>
      </w:r>
      <w:r>
        <w:rPr>
          <w:color w:val="231F20"/>
          <w:spacing w:val="-10"/>
          <w:w w:val="110"/>
        </w:rPr>
        <w:t> </w:t>
      </w:r>
      <w:r>
        <w:rPr>
          <w:color w:val="231F20"/>
          <w:w w:val="110"/>
        </w:rPr>
        <w:t>y</w:t>
      </w:r>
      <w:r>
        <w:rPr>
          <w:color w:val="231F20"/>
          <w:spacing w:val="-10"/>
          <w:w w:val="110"/>
        </w:rPr>
        <w:t> </w:t>
      </w:r>
      <w:r>
        <w:rPr>
          <w:color w:val="231F20"/>
          <w:w w:val="110"/>
        </w:rPr>
        <w:t>al</w:t>
      </w:r>
      <w:r>
        <w:rPr>
          <w:color w:val="231F20"/>
          <w:spacing w:val="-10"/>
          <w:w w:val="110"/>
        </w:rPr>
        <w:t> </w:t>
      </w:r>
      <w:r>
        <w:rPr>
          <w:color w:val="231F20"/>
          <w:w w:val="110"/>
        </w:rPr>
        <w:t>sentimiento patriotero, vinculando la necesidad de la defensa de la seguridad in- terna con los imperativos de la seguridad internacional, procurando mantener viva la lucha contra el terrorismo, en un claro empeño por fortalecer la autoestima de la ciudadanía y la identidad </w:t>
      </w:r>
      <w:r>
        <w:rPr>
          <w:color w:val="231F20"/>
          <w:spacing w:val="20"/>
          <w:w w:val="110"/>
        </w:rPr>
        <w:t> </w:t>
      </w:r>
      <w:r>
        <w:rPr>
          <w:color w:val="231F20"/>
          <w:w w:val="110"/>
        </w:rPr>
        <w:t>nacional.</w:t>
      </w:r>
      <w:r>
        <w:rPr>
          <w:color w:val="231F20"/>
          <w:w w:val="110"/>
          <w:position w:val="6"/>
          <w:sz w:val="13"/>
        </w:rPr>
        <w:t>1</w:t>
      </w:r>
    </w:p>
    <w:p>
      <w:pPr>
        <w:pStyle w:val="BodyText"/>
        <w:spacing w:line="261" w:lineRule="auto"/>
        <w:ind w:left="100" w:right="115" w:firstLine="240"/>
        <w:jc w:val="both"/>
      </w:pPr>
      <w:r>
        <w:rPr>
          <w:color w:val="231F20"/>
          <w:w w:val="110"/>
        </w:rPr>
        <w:t>Como es bien conocido, al mismo tiempo que Obama recibía     el Premio Nobel de la Paz, elevaba considerablemente la cifra de tropas en Afganistán, mientras que seguía declarando que de modo paulatino procedería al desmontaje de la presencia militar de Esta- dos Unidos en Irak, sin dar pasos sustanciales. El presupuesto que presentó para incrementar el gasto </w:t>
      </w:r>
      <w:r>
        <w:rPr>
          <w:color w:val="231F20"/>
          <w:spacing w:val="-3"/>
          <w:w w:val="110"/>
        </w:rPr>
        <w:t>militar, </w:t>
      </w:r>
      <w:r>
        <w:rPr>
          <w:color w:val="231F20"/>
          <w:w w:val="110"/>
        </w:rPr>
        <w:t>según los expertos, es el mayor en la historia de ese</w:t>
      </w:r>
      <w:r>
        <w:rPr>
          <w:color w:val="231F20"/>
          <w:spacing w:val="29"/>
          <w:w w:val="110"/>
        </w:rPr>
        <w:t> </w:t>
      </w:r>
      <w:r>
        <w:rPr>
          <w:color w:val="231F20"/>
          <w:w w:val="110"/>
        </w:rPr>
        <w:t>país.</w:t>
      </w:r>
    </w:p>
    <w:p>
      <w:pPr>
        <w:pStyle w:val="BodyText"/>
        <w:spacing w:line="261" w:lineRule="auto"/>
        <w:ind w:left="100" w:right="117" w:firstLine="240"/>
        <w:jc w:val="both"/>
      </w:pPr>
      <w:r>
        <w:rPr>
          <w:color w:val="231F20"/>
          <w:w w:val="110"/>
        </w:rPr>
        <w:t>La</w:t>
      </w:r>
      <w:r>
        <w:rPr>
          <w:color w:val="231F20"/>
          <w:spacing w:val="-8"/>
          <w:w w:val="110"/>
        </w:rPr>
        <w:t> </w:t>
      </w:r>
      <w:r>
        <w:rPr>
          <w:color w:val="231F20"/>
          <w:w w:val="110"/>
        </w:rPr>
        <w:t>presidencia</w:t>
      </w:r>
      <w:r>
        <w:rPr>
          <w:color w:val="231F20"/>
          <w:spacing w:val="-8"/>
          <w:w w:val="110"/>
        </w:rPr>
        <w:t> </w:t>
      </w:r>
      <w:r>
        <w:rPr>
          <w:color w:val="231F20"/>
          <w:w w:val="110"/>
        </w:rPr>
        <w:t>de</w:t>
      </w:r>
      <w:r>
        <w:rPr>
          <w:color w:val="231F20"/>
          <w:spacing w:val="-8"/>
          <w:w w:val="110"/>
        </w:rPr>
        <w:t> </w:t>
      </w:r>
      <w:r>
        <w:rPr>
          <w:color w:val="231F20"/>
          <w:w w:val="110"/>
        </w:rPr>
        <w:t>Obama</w:t>
      </w:r>
      <w:r>
        <w:rPr>
          <w:color w:val="231F20"/>
          <w:spacing w:val="-8"/>
          <w:w w:val="110"/>
        </w:rPr>
        <w:t> </w:t>
      </w:r>
      <w:r>
        <w:rPr>
          <w:color w:val="231F20"/>
          <w:w w:val="110"/>
        </w:rPr>
        <w:t>reviste</w:t>
      </w:r>
      <w:r>
        <w:rPr>
          <w:color w:val="231F20"/>
          <w:spacing w:val="-8"/>
          <w:w w:val="110"/>
        </w:rPr>
        <w:t> </w:t>
      </w:r>
      <w:r>
        <w:rPr>
          <w:color w:val="231F20"/>
          <w:w w:val="110"/>
        </w:rPr>
        <w:t>también</w:t>
      </w:r>
      <w:r>
        <w:rPr>
          <w:color w:val="231F20"/>
          <w:spacing w:val="-8"/>
          <w:w w:val="110"/>
        </w:rPr>
        <w:t> </w:t>
      </w:r>
      <w:r>
        <w:rPr>
          <w:color w:val="231F20"/>
          <w:w w:val="110"/>
        </w:rPr>
        <w:t>una</w:t>
      </w:r>
      <w:r>
        <w:rPr>
          <w:color w:val="231F20"/>
          <w:spacing w:val="-8"/>
          <w:w w:val="110"/>
        </w:rPr>
        <w:t> </w:t>
      </w:r>
      <w:r>
        <w:rPr>
          <w:color w:val="231F20"/>
          <w:w w:val="110"/>
        </w:rPr>
        <w:t>destacada</w:t>
      </w:r>
      <w:r>
        <w:rPr>
          <w:color w:val="231F20"/>
          <w:spacing w:val="-8"/>
          <w:w w:val="110"/>
        </w:rPr>
        <w:t> </w:t>
      </w:r>
      <w:r>
        <w:rPr>
          <w:color w:val="231F20"/>
          <w:w w:val="110"/>
        </w:rPr>
        <w:t>significa- ción cultural, en la medida que simbolizó la ruptura con el patrón étnico,</w:t>
      </w:r>
      <w:r>
        <w:rPr>
          <w:color w:val="231F20"/>
          <w:spacing w:val="-14"/>
          <w:w w:val="110"/>
        </w:rPr>
        <w:t> </w:t>
      </w:r>
      <w:r>
        <w:rPr>
          <w:color w:val="231F20"/>
          <w:w w:val="110"/>
        </w:rPr>
        <w:t>racial</w:t>
      </w:r>
      <w:r>
        <w:rPr>
          <w:color w:val="231F20"/>
          <w:spacing w:val="-14"/>
          <w:w w:val="110"/>
        </w:rPr>
        <w:t> </w:t>
      </w:r>
      <w:r>
        <w:rPr>
          <w:color w:val="231F20"/>
          <w:w w:val="110"/>
        </w:rPr>
        <w:t>y</w:t>
      </w:r>
      <w:r>
        <w:rPr>
          <w:color w:val="231F20"/>
          <w:spacing w:val="-14"/>
          <w:w w:val="110"/>
        </w:rPr>
        <w:t> </w:t>
      </w:r>
      <w:r>
        <w:rPr>
          <w:color w:val="231F20"/>
          <w:w w:val="110"/>
        </w:rPr>
        <w:t>clasista</w:t>
      </w:r>
      <w:r>
        <w:rPr>
          <w:color w:val="231F20"/>
          <w:spacing w:val="-14"/>
          <w:w w:val="110"/>
        </w:rPr>
        <w:t> </w:t>
      </w:r>
      <w:r>
        <w:rPr>
          <w:color w:val="231F20"/>
          <w:w w:val="110"/>
        </w:rPr>
        <w:t>encarnado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figura</w:t>
      </w:r>
      <w:r>
        <w:rPr>
          <w:color w:val="231F20"/>
          <w:spacing w:val="-14"/>
          <w:w w:val="110"/>
        </w:rPr>
        <w:t> </w:t>
      </w:r>
      <w:r>
        <w:rPr>
          <w:color w:val="231F20"/>
          <w:w w:val="110"/>
        </w:rPr>
        <w:t>o</w:t>
      </w:r>
      <w:r>
        <w:rPr>
          <w:color w:val="231F20"/>
          <w:spacing w:val="-14"/>
          <w:w w:val="110"/>
        </w:rPr>
        <w:t> </w:t>
      </w:r>
      <w:r>
        <w:rPr>
          <w:color w:val="231F20"/>
          <w:w w:val="110"/>
        </w:rPr>
        <w:t>tipo</w:t>
      </w:r>
      <w:r>
        <w:rPr>
          <w:color w:val="231F20"/>
          <w:spacing w:val="-14"/>
          <w:w w:val="110"/>
        </w:rPr>
        <w:t> </w:t>
      </w:r>
      <w:r>
        <w:rPr>
          <w:color w:val="231F20"/>
          <w:w w:val="110"/>
        </w:rPr>
        <w:t>ideal</w:t>
      </w:r>
      <w:r>
        <w:rPr>
          <w:color w:val="231F20"/>
          <w:spacing w:val="-14"/>
          <w:w w:val="110"/>
        </w:rPr>
        <w:t> </w:t>
      </w:r>
      <w:r>
        <w:rPr>
          <w:color w:val="231F20"/>
          <w:w w:val="110"/>
        </w:rPr>
        <w:t>del</w:t>
      </w:r>
      <w:r>
        <w:rPr>
          <w:color w:val="231F20"/>
          <w:spacing w:val="-14"/>
          <w:w w:val="110"/>
        </w:rPr>
        <w:t> </w:t>
      </w:r>
      <w:r>
        <w:rPr>
          <w:color w:val="231F20"/>
          <w:w w:val="110"/>
        </w:rPr>
        <w:t>llamado </w:t>
      </w:r>
      <w:r>
        <w:rPr>
          <w:i/>
          <w:color w:val="231F20"/>
          <w:w w:val="110"/>
        </w:rPr>
        <w:t>wasp</w:t>
      </w:r>
      <w:r>
        <w:rPr>
          <w:i/>
          <w:color w:val="231F20"/>
          <w:spacing w:val="-16"/>
          <w:w w:val="110"/>
        </w:rPr>
        <w:t> </w:t>
      </w:r>
      <w:r>
        <w:rPr>
          <w:color w:val="231F20"/>
          <w:w w:val="110"/>
        </w:rPr>
        <w:t>(anglosajón,</w:t>
      </w:r>
      <w:r>
        <w:rPr>
          <w:color w:val="231F20"/>
          <w:spacing w:val="-16"/>
          <w:w w:val="110"/>
        </w:rPr>
        <w:t> </w:t>
      </w:r>
      <w:r>
        <w:rPr>
          <w:color w:val="231F20"/>
          <w:w w:val="110"/>
        </w:rPr>
        <w:t>blanco,</w:t>
      </w:r>
      <w:r>
        <w:rPr>
          <w:color w:val="231F20"/>
          <w:spacing w:val="-16"/>
          <w:w w:val="110"/>
        </w:rPr>
        <w:t> </w:t>
      </w:r>
      <w:r>
        <w:rPr>
          <w:color w:val="231F20"/>
          <w:w w:val="110"/>
        </w:rPr>
        <w:t>protestante,</w:t>
      </w:r>
      <w:r>
        <w:rPr>
          <w:color w:val="231F20"/>
          <w:spacing w:val="-16"/>
          <w:w w:val="110"/>
        </w:rPr>
        <w:t> </w:t>
      </w:r>
      <w:r>
        <w:rPr>
          <w:color w:val="231F20"/>
          <w:w w:val="110"/>
        </w:rPr>
        <w:t>de</w:t>
      </w:r>
      <w:r>
        <w:rPr>
          <w:color w:val="231F20"/>
          <w:spacing w:val="-16"/>
          <w:w w:val="110"/>
        </w:rPr>
        <w:t> </w:t>
      </w:r>
      <w:r>
        <w:rPr>
          <w:color w:val="231F20"/>
          <w:w w:val="110"/>
        </w:rPr>
        <w:t>clase</w:t>
      </w:r>
      <w:r>
        <w:rPr>
          <w:color w:val="231F20"/>
          <w:spacing w:val="-16"/>
          <w:w w:val="110"/>
        </w:rPr>
        <w:t> </w:t>
      </w:r>
      <w:r>
        <w:rPr>
          <w:color w:val="231F20"/>
          <w:w w:val="110"/>
        </w:rPr>
        <w:t>media),</w:t>
      </w:r>
      <w:r>
        <w:rPr>
          <w:color w:val="231F20"/>
          <w:spacing w:val="-16"/>
          <w:w w:val="110"/>
        </w:rPr>
        <w:t> </w:t>
      </w:r>
      <w:r>
        <w:rPr>
          <w:color w:val="231F20"/>
          <w:w w:val="110"/>
        </w:rPr>
        <w:t>cual</w:t>
      </w:r>
      <w:r>
        <w:rPr>
          <w:color w:val="231F20"/>
          <w:spacing w:val="-16"/>
          <w:w w:val="110"/>
        </w:rPr>
        <w:t> </w:t>
      </w:r>
      <w:r>
        <w:rPr>
          <w:color w:val="231F20"/>
          <w:w w:val="110"/>
        </w:rPr>
        <w:t>prototipo del estadunidense, aún y cuando su ubicación en la estructura de clases, en la arquitectura financiera o en el ámbito religioso pueda diferenciarse de aquella visión estereotipada. De ahí que sea</w:t>
      </w:r>
      <w:r>
        <w:rPr>
          <w:color w:val="231F20"/>
          <w:spacing w:val="-28"/>
          <w:w w:val="110"/>
        </w:rPr>
        <w:t> </w:t>
      </w:r>
      <w:r>
        <w:rPr>
          <w:color w:val="231F20"/>
          <w:w w:val="110"/>
        </w:rPr>
        <w:t>previsi- ble que la administración simbolice un trascendente (aunque quizá gradual y lento) impacto cultural, que podrá conducir a eventuales transformaciones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tejido</w:t>
      </w:r>
      <w:r>
        <w:rPr>
          <w:color w:val="231F20"/>
          <w:spacing w:val="-6"/>
          <w:w w:val="110"/>
        </w:rPr>
        <w:t> </w:t>
      </w:r>
      <w:r>
        <w:rPr>
          <w:color w:val="231F20"/>
          <w:w w:val="110"/>
        </w:rPr>
        <w:t>sociológico</w:t>
      </w:r>
      <w:r>
        <w:rPr>
          <w:color w:val="231F20"/>
          <w:spacing w:val="-6"/>
          <w:w w:val="110"/>
        </w:rPr>
        <w:t> </w:t>
      </w:r>
      <w:r>
        <w:rPr>
          <w:color w:val="231F20"/>
          <w:w w:val="110"/>
        </w:rPr>
        <w:t>e</w:t>
      </w:r>
      <w:r>
        <w:rPr>
          <w:color w:val="231F20"/>
          <w:spacing w:val="-6"/>
          <w:w w:val="110"/>
        </w:rPr>
        <w:t> </w:t>
      </w:r>
      <w:r>
        <w:rPr>
          <w:color w:val="231F20"/>
          <w:w w:val="110"/>
        </w:rPr>
        <w:t>ideológico</w:t>
      </w:r>
      <w:r>
        <w:rPr>
          <w:color w:val="231F20"/>
          <w:spacing w:val="-6"/>
          <w:w w:val="110"/>
        </w:rPr>
        <w:t> </w:t>
      </w:r>
      <w:r>
        <w:rPr>
          <w:color w:val="231F20"/>
          <w:w w:val="110"/>
        </w:rPr>
        <w:t>de</w:t>
      </w:r>
      <w:r>
        <w:rPr>
          <w:color w:val="231F20"/>
          <w:spacing w:val="-6"/>
          <w:w w:val="110"/>
        </w:rPr>
        <w:t> </w:t>
      </w:r>
      <w:r>
        <w:rPr>
          <w:color w:val="231F20"/>
          <w:w w:val="110"/>
        </w:rPr>
        <w:t>esa</w:t>
      </w:r>
      <w:r>
        <w:rPr>
          <w:color w:val="231F20"/>
          <w:spacing w:val="-6"/>
          <w:w w:val="110"/>
        </w:rPr>
        <w:t> </w:t>
      </w:r>
      <w:r>
        <w:rPr>
          <w:color w:val="231F20"/>
          <w:w w:val="110"/>
        </w:rPr>
        <w:t>nación, e incluso en sus tradiciones políticas, en el mediano o en el largo plazo (Gandasegui, hijo, 2008a y 2008b; Zibechi, 2008 y</w:t>
      </w:r>
      <w:r>
        <w:rPr>
          <w:color w:val="231F20"/>
          <w:spacing w:val="-27"/>
          <w:w w:val="110"/>
        </w:rPr>
        <w:t> </w:t>
      </w:r>
      <w:r>
        <w:rPr>
          <w:color w:val="231F20"/>
          <w:w w:val="110"/>
        </w:rPr>
        <w:t>Hernández Martínez,</w:t>
      </w:r>
      <w:r>
        <w:rPr>
          <w:color w:val="231F20"/>
          <w:spacing w:val="-20"/>
          <w:w w:val="110"/>
        </w:rPr>
        <w:t> </w:t>
      </w:r>
      <w:r>
        <w:rPr>
          <w:color w:val="231F20"/>
          <w:w w:val="110"/>
        </w:rPr>
        <w:t>2008).</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1</w:t>
      </w:r>
      <w:r>
        <w:rPr>
          <w:color w:val="231F20"/>
          <w:spacing w:val="9"/>
          <w:w w:val="110"/>
          <w:position w:val="5"/>
          <w:sz w:val="10"/>
        </w:rPr>
        <w:t> </w:t>
      </w:r>
      <w:r>
        <w:rPr>
          <w:color w:val="231F20"/>
          <w:w w:val="110"/>
          <w:sz w:val="16"/>
        </w:rPr>
        <w:t>Como</w:t>
      </w:r>
      <w:r>
        <w:rPr>
          <w:color w:val="231F20"/>
          <w:spacing w:val="-13"/>
          <w:w w:val="110"/>
          <w:sz w:val="16"/>
        </w:rPr>
        <w:t> </w:t>
      </w:r>
      <w:r>
        <w:rPr>
          <w:color w:val="231F20"/>
          <w:w w:val="110"/>
          <w:sz w:val="16"/>
        </w:rPr>
        <w:t>complemento,</w:t>
      </w:r>
      <w:r>
        <w:rPr>
          <w:color w:val="231F20"/>
          <w:spacing w:val="-13"/>
          <w:w w:val="110"/>
          <w:sz w:val="16"/>
        </w:rPr>
        <w:t> </w:t>
      </w:r>
      <w:r>
        <w:rPr>
          <w:color w:val="231F20"/>
          <w:w w:val="110"/>
          <w:sz w:val="16"/>
        </w:rPr>
        <w:t>resulta</w:t>
      </w:r>
      <w:r>
        <w:rPr>
          <w:color w:val="231F20"/>
          <w:spacing w:val="-13"/>
          <w:w w:val="110"/>
          <w:sz w:val="16"/>
        </w:rPr>
        <w:t> </w:t>
      </w:r>
      <w:r>
        <w:rPr>
          <w:color w:val="231F20"/>
          <w:w w:val="110"/>
          <w:sz w:val="16"/>
        </w:rPr>
        <w:t>útil</w:t>
      </w:r>
      <w:r>
        <w:rPr>
          <w:color w:val="231F20"/>
          <w:spacing w:val="-13"/>
          <w:w w:val="110"/>
          <w:sz w:val="16"/>
        </w:rPr>
        <w:t> </w:t>
      </w:r>
      <w:r>
        <w:rPr>
          <w:color w:val="231F20"/>
          <w:w w:val="110"/>
          <w:sz w:val="16"/>
        </w:rPr>
        <w:t>revisar</w:t>
      </w:r>
      <w:r>
        <w:rPr>
          <w:color w:val="231F20"/>
          <w:spacing w:val="-13"/>
          <w:w w:val="110"/>
          <w:sz w:val="16"/>
        </w:rPr>
        <w:t> </w:t>
      </w:r>
      <w:r>
        <w:rPr>
          <w:color w:val="231F20"/>
          <w:w w:val="110"/>
          <w:sz w:val="16"/>
        </w:rPr>
        <w:t>los</w:t>
      </w:r>
      <w:r>
        <w:rPr>
          <w:color w:val="231F20"/>
          <w:spacing w:val="-13"/>
          <w:w w:val="110"/>
          <w:sz w:val="16"/>
        </w:rPr>
        <w:t> </w:t>
      </w:r>
      <w:r>
        <w:rPr>
          <w:color w:val="231F20"/>
          <w:w w:val="110"/>
          <w:sz w:val="16"/>
        </w:rPr>
        <w:t>principales</w:t>
      </w:r>
      <w:r>
        <w:rPr>
          <w:color w:val="231F20"/>
          <w:spacing w:val="-13"/>
          <w:w w:val="110"/>
          <w:sz w:val="16"/>
        </w:rPr>
        <w:t> </w:t>
      </w:r>
      <w:r>
        <w:rPr>
          <w:color w:val="231F20"/>
          <w:w w:val="110"/>
          <w:sz w:val="16"/>
        </w:rPr>
        <w:t>discursos</w:t>
      </w:r>
      <w:r>
        <w:rPr>
          <w:color w:val="231F20"/>
          <w:spacing w:val="-13"/>
          <w:w w:val="110"/>
          <w:sz w:val="16"/>
        </w:rPr>
        <w:t> </w:t>
      </w:r>
      <w:r>
        <w:rPr>
          <w:color w:val="231F20"/>
          <w:w w:val="110"/>
          <w:sz w:val="16"/>
        </w:rPr>
        <w:t>e</w:t>
      </w:r>
      <w:r>
        <w:rPr>
          <w:color w:val="231F20"/>
          <w:spacing w:val="-13"/>
          <w:w w:val="110"/>
          <w:sz w:val="16"/>
        </w:rPr>
        <w:t> </w:t>
      </w:r>
      <w:r>
        <w:rPr>
          <w:color w:val="231F20"/>
          <w:w w:val="110"/>
          <w:sz w:val="16"/>
        </w:rPr>
        <w:t>intervenciones de Obama durante 2009 y</w:t>
      </w:r>
      <w:r>
        <w:rPr>
          <w:color w:val="231F20"/>
          <w:spacing w:val="14"/>
          <w:w w:val="110"/>
          <w:sz w:val="16"/>
        </w:rPr>
        <w:t> </w:t>
      </w:r>
      <w:r>
        <w:rPr>
          <w:color w:val="231F20"/>
          <w:w w:val="110"/>
          <w:sz w:val="16"/>
        </w:rPr>
        <w:t>2010.</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La victoria demócrata en el proceso electoral de 2008 en Estados Unidos</w:t>
      </w:r>
      <w:r>
        <w:rPr>
          <w:color w:val="231F20"/>
          <w:spacing w:val="-16"/>
          <w:w w:val="110"/>
        </w:rPr>
        <w:t> </w:t>
      </w:r>
      <w:r>
        <w:rPr>
          <w:color w:val="231F20"/>
          <w:w w:val="110"/>
        </w:rPr>
        <w:t>constituyó,</w:t>
      </w:r>
      <w:r>
        <w:rPr>
          <w:color w:val="231F20"/>
          <w:spacing w:val="-16"/>
          <w:w w:val="110"/>
        </w:rPr>
        <w:t> </w:t>
      </w:r>
      <w:r>
        <w:rPr>
          <w:color w:val="231F20"/>
          <w:w w:val="110"/>
        </w:rPr>
        <w:t>como</w:t>
      </w:r>
      <w:r>
        <w:rPr>
          <w:color w:val="231F20"/>
          <w:spacing w:val="-16"/>
          <w:w w:val="110"/>
        </w:rPr>
        <w:t> </w:t>
      </w:r>
      <w:r>
        <w:rPr>
          <w:color w:val="231F20"/>
          <w:w w:val="110"/>
        </w:rPr>
        <w:t>se</w:t>
      </w:r>
      <w:r>
        <w:rPr>
          <w:color w:val="231F20"/>
          <w:spacing w:val="-16"/>
          <w:w w:val="110"/>
        </w:rPr>
        <w:t> </w:t>
      </w:r>
      <w:r>
        <w:rPr>
          <w:color w:val="231F20"/>
          <w:w w:val="110"/>
        </w:rPr>
        <w:t>sabe,</w:t>
      </w:r>
      <w:r>
        <w:rPr>
          <w:color w:val="231F20"/>
          <w:spacing w:val="-16"/>
          <w:w w:val="110"/>
        </w:rPr>
        <w:t> </w:t>
      </w:r>
      <w:r>
        <w:rPr>
          <w:color w:val="231F20"/>
          <w:w w:val="110"/>
        </w:rPr>
        <w:t>un</w:t>
      </w:r>
      <w:r>
        <w:rPr>
          <w:color w:val="231F20"/>
          <w:spacing w:val="-16"/>
          <w:w w:val="110"/>
        </w:rPr>
        <w:t> </w:t>
      </w:r>
      <w:r>
        <w:rPr>
          <w:color w:val="231F20"/>
          <w:w w:val="110"/>
        </w:rPr>
        <w:t>hecho</w:t>
      </w:r>
      <w:r>
        <w:rPr>
          <w:color w:val="231F20"/>
          <w:spacing w:val="-16"/>
          <w:w w:val="110"/>
        </w:rPr>
        <w:t> </w:t>
      </w:r>
      <w:r>
        <w:rPr>
          <w:color w:val="231F20"/>
          <w:w w:val="110"/>
        </w:rPr>
        <w:t>simbólico</w:t>
      </w:r>
      <w:r>
        <w:rPr>
          <w:color w:val="231F20"/>
          <w:spacing w:val="-16"/>
          <w:w w:val="110"/>
        </w:rPr>
        <w:t> </w:t>
      </w:r>
      <w:r>
        <w:rPr>
          <w:color w:val="231F20"/>
          <w:w w:val="110"/>
        </w:rPr>
        <w:t>sin</w:t>
      </w:r>
      <w:r>
        <w:rPr>
          <w:color w:val="231F20"/>
          <w:spacing w:val="-16"/>
          <w:w w:val="110"/>
        </w:rPr>
        <w:t> </w:t>
      </w:r>
      <w:r>
        <w:rPr>
          <w:color w:val="231F20"/>
          <w:w w:val="110"/>
        </w:rPr>
        <w:t>precedentes en</w:t>
      </w:r>
      <w:r>
        <w:rPr>
          <w:color w:val="231F20"/>
          <w:spacing w:val="-7"/>
          <w:w w:val="110"/>
        </w:rPr>
        <w:t> </w:t>
      </w:r>
      <w:r>
        <w:rPr>
          <w:color w:val="231F20"/>
          <w:w w:val="110"/>
        </w:rPr>
        <w:t>la</w:t>
      </w:r>
      <w:r>
        <w:rPr>
          <w:color w:val="231F20"/>
          <w:spacing w:val="-7"/>
          <w:w w:val="110"/>
        </w:rPr>
        <w:t> </w:t>
      </w:r>
      <w:r>
        <w:rPr>
          <w:color w:val="231F20"/>
          <w:w w:val="110"/>
        </w:rPr>
        <w:t>historia</w:t>
      </w:r>
      <w:r>
        <w:rPr>
          <w:color w:val="231F20"/>
          <w:spacing w:val="-7"/>
          <w:w w:val="110"/>
        </w:rPr>
        <w:t> </w:t>
      </w:r>
      <w:r>
        <w:rPr>
          <w:color w:val="231F20"/>
          <w:w w:val="110"/>
        </w:rPr>
        <w:t>política</w:t>
      </w:r>
      <w:r>
        <w:rPr>
          <w:color w:val="231F20"/>
          <w:spacing w:val="-7"/>
          <w:w w:val="110"/>
        </w:rPr>
        <w:t> </w:t>
      </w:r>
      <w:r>
        <w:rPr>
          <w:color w:val="231F20"/>
          <w:w w:val="110"/>
        </w:rPr>
        <w:t>de</w:t>
      </w:r>
      <w:r>
        <w:rPr>
          <w:color w:val="231F20"/>
          <w:spacing w:val="-7"/>
          <w:w w:val="110"/>
        </w:rPr>
        <w:t> </w:t>
      </w:r>
      <w:r>
        <w:rPr>
          <w:color w:val="231F20"/>
          <w:w w:val="110"/>
        </w:rPr>
        <w:t>ese</w:t>
      </w:r>
      <w:r>
        <w:rPr>
          <w:color w:val="231F20"/>
          <w:spacing w:val="-7"/>
          <w:w w:val="110"/>
        </w:rPr>
        <w:t> </w:t>
      </w:r>
      <w:r>
        <w:rPr>
          <w:color w:val="231F20"/>
          <w:w w:val="110"/>
        </w:rPr>
        <w:t>país.</w:t>
      </w:r>
      <w:r>
        <w:rPr>
          <w:color w:val="231F20"/>
          <w:spacing w:val="-7"/>
          <w:w w:val="110"/>
        </w:rPr>
        <w:t> </w:t>
      </w:r>
      <w:r>
        <w:rPr>
          <w:color w:val="231F20"/>
          <w:w w:val="110"/>
        </w:rPr>
        <w:t>Contrastando</w:t>
      </w:r>
      <w:r>
        <w:rPr>
          <w:color w:val="231F20"/>
          <w:spacing w:val="-7"/>
          <w:w w:val="110"/>
        </w:rPr>
        <w:t> </w:t>
      </w:r>
      <w:r>
        <w:rPr>
          <w:color w:val="231F20"/>
          <w:w w:val="110"/>
        </w:rPr>
        <w:t>con</w:t>
      </w:r>
      <w:r>
        <w:rPr>
          <w:color w:val="231F20"/>
          <w:spacing w:val="-7"/>
          <w:w w:val="110"/>
        </w:rPr>
        <w:t> </w:t>
      </w:r>
      <w:r>
        <w:rPr>
          <w:color w:val="231F20"/>
          <w:w w:val="110"/>
        </w:rPr>
        <w:t>las</w:t>
      </w:r>
      <w:r>
        <w:rPr>
          <w:color w:val="231F20"/>
          <w:spacing w:val="-7"/>
          <w:w w:val="110"/>
        </w:rPr>
        <w:t> </w:t>
      </w:r>
      <w:r>
        <w:rPr>
          <w:color w:val="231F20"/>
          <w:w w:val="110"/>
        </w:rPr>
        <w:t>apreciaciones que cuestionaban la posibilidad de que Obama pudiera ser el presi- dente electo —basadas en la carga histórica de prejuicios profunda- mente enraizados en la cultura nacional, troquelada en torno a la intolerancia, el racismo, la xenofobia, el elitismo, el puritanismo, el fundamentalismo étnico y las convicciones de supremacía</w:t>
      </w:r>
      <w:r>
        <w:rPr>
          <w:color w:val="231F20"/>
          <w:spacing w:val="-16"/>
          <w:w w:val="110"/>
        </w:rPr>
        <w:t> </w:t>
      </w:r>
      <w:r>
        <w:rPr>
          <w:color w:val="231F20"/>
          <w:w w:val="110"/>
        </w:rPr>
        <w:t>blanca—, la realidad confirmó el alcance de los cambios que se habían venido operando en la sociedad </w:t>
      </w:r>
      <w:r>
        <w:rPr>
          <w:color w:val="231F20"/>
          <w:spacing w:val="25"/>
          <w:w w:val="110"/>
        </w:rPr>
        <w:t> </w:t>
      </w:r>
      <w:r>
        <w:rPr>
          <w:color w:val="231F20"/>
          <w:w w:val="110"/>
        </w:rPr>
        <w:t>estadunidense.</w:t>
      </w:r>
    </w:p>
    <w:p>
      <w:pPr>
        <w:pStyle w:val="BodyText"/>
        <w:spacing w:line="261" w:lineRule="auto"/>
        <w:ind w:left="100" w:right="114" w:firstLine="240"/>
        <w:jc w:val="both"/>
      </w:pPr>
      <w:r>
        <w:rPr>
          <w:color w:val="231F20"/>
          <w:w w:val="110"/>
        </w:rPr>
        <w:t>Con diferencias de matices, buena parte de los analistas compar- tían en sus pronósticos preliminares el criterio de que esa sociedad reclamaba cambios tanto en el orden objetivo como en el subjetivo. El cansancio acumulado, la crisis de confianza, el deterioro moral, el </w:t>
      </w:r>
      <w:r>
        <w:rPr>
          <w:color w:val="231F20"/>
          <w:spacing w:val="2"/>
          <w:w w:val="110"/>
        </w:rPr>
        <w:t>agotamiento ideológico </w:t>
      </w:r>
      <w:r>
        <w:rPr>
          <w:color w:val="231F20"/>
          <w:w w:val="110"/>
        </w:rPr>
        <w:t>del </w:t>
      </w:r>
      <w:r>
        <w:rPr>
          <w:color w:val="231F20"/>
          <w:spacing w:val="2"/>
          <w:w w:val="110"/>
        </w:rPr>
        <w:t>proyecto </w:t>
      </w:r>
      <w:r>
        <w:rPr>
          <w:color w:val="231F20"/>
          <w:w w:val="110"/>
        </w:rPr>
        <w:t>conservador, los </w:t>
      </w:r>
      <w:r>
        <w:rPr>
          <w:color w:val="231F20"/>
          <w:spacing w:val="3"/>
          <w:w w:val="110"/>
        </w:rPr>
        <w:t>reveses </w:t>
      </w:r>
      <w:r>
        <w:rPr>
          <w:color w:val="231F20"/>
          <w:w w:val="110"/>
        </w:rPr>
        <w:t>económicos, el desencanto ciudadano, el clima psicológico de</w:t>
      </w:r>
      <w:r>
        <w:rPr>
          <w:color w:val="231F20"/>
          <w:spacing w:val="-25"/>
          <w:w w:val="110"/>
        </w:rPr>
        <w:t> </w:t>
      </w:r>
      <w:r>
        <w:rPr>
          <w:color w:val="231F20"/>
          <w:w w:val="110"/>
        </w:rPr>
        <w:t>incer- tidumbre y </w:t>
      </w:r>
      <w:r>
        <w:rPr>
          <w:color w:val="231F20"/>
          <w:spacing w:val="-3"/>
          <w:w w:val="110"/>
        </w:rPr>
        <w:t>temor, </w:t>
      </w:r>
      <w:r>
        <w:rPr>
          <w:color w:val="231F20"/>
          <w:w w:val="110"/>
        </w:rPr>
        <w:t>la ineficacia de la política exterior, la creciente impopularidad de Bush, las críticas al desempeño de los republica- nos, configuraban un cuadro de desgaste que el candidato demócra- ta capitalizó desde temprano durante el desarrollo de la campaña, codificándolo bajo un discurso y una consigna a favor del</w:t>
      </w:r>
      <w:r>
        <w:rPr>
          <w:color w:val="231F20"/>
          <w:spacing w:val="23"/>
          <w:w w:val="110"/>
        </w:rPr>
        <w:t> </w:t>
      </w:r>
      <w:r>
        <w:rPr>
          <w:color w:val="231F20"/>
          <w:w w:val="110"/>
        </w:rPr>
        <w:t>cambio.</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25"/>
        </w:rPr>
        <w:t>el contexto político y los procesos ideológicos en la sociedad estadunidense</w:t>
      </w:r>
    </w:p>
    <w:p>
      <w:pPr>
        <w:pStyle w:val="BodyText"/>
        <w:spacing w:before="8"/>
        <w:rPr>
          <w:sz w:val="21"/>
        </w:rPr>
      </w:pPr>
    </w:p>
    <w:p>
      <w:pPr>
        <w:pStyle w:val="BodyText"/>
        <w:spacing w:line="261" w:lineRule="auto"/>
        <w:ind w:left="100" w:right="117"/>
        <w:jc w:val="both"/>
      </w:pPr>
      <w:r>
        <w:rPr>
          <w:color w:val="231F20"/>
          <w:w w:val="110"/>
        </w:rPr>
        <w:t>Nadie</w:t>
      </w:r>
      <w:r>
        <w:rPr>
          <w:color w:val="231F20"/>
          <w:spacing w:val="-9"/>
          <w:w w:val="110"/>
        </w:rPr>
        <w:t> </w:t>
      </w:r>
      <w:r>
        <w:rPr>
          <w:color w:val="231F20"/>
          <w:w w:val="110"/>
        </w:rPr>
        <w:t>pondría</w:t>
      </w:r>
      <w:r>
        <w:rPr>
          <w:color w:val="231F20"/>
          <w:spacing w:val="-9"/>
          <w:w w:val="110"/>
        </w:rPr>
        <w:t> </w:t>
      </w:r>
      <w:r>
        <w:rPr>
          <w:color w:val="231F20"/>
          <w:w w:val="110"/>
        </w:rPr>
        <w:t>en</w:t>
      </w:r>
      <w:r>
        <w:rPr>
          <w:color w:val="231F20"/>
          <w:spacing w:val="-9"/>
          <w:w w:val="110"/>
        </w:rPr>
        <w:t> </w:t>
      </w:r>
      <w:r>
        <w:rPr>
          <w:color w:val="231F20"/>
          <w:w w:val="110"/>
        </w:rPr>
        <w:t>duda</w:t>
      </w:r>
      <w:r>
        <w:rPr>
          <w:color w:val="231F20"/>
          <w:spacing w:val="-9"/>
          <w:w w:val="110"/>
        </w:rPr>
        <w:t> </w:t>
      </w:r>
      <w:r>
        <w:rPr>
          <w:color w:val="231F20"/>
          <w:w w:val="110"/>
        </w:rPr>
        <w:t>el</w:t>
      </w:r>
      <w:r>
        <w:rPr>
          <w:color w:val="231F20"/>
          <w:spacing w:val="-9"/>
          <w:w w:val="110"/>
        </w:rPr>
        <w:t> </w:t>
      </w:r>
      <w:r>
        <w:rPr>
          <w:color w:val="231F20"/>
          <w:w w:val="110"/>
        </w:rPr>
        <w:t>significado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elecciones</w:t>
      </w:r>
      <w:r>
        <w:rPr>
          <w:color w:val="231F20"/>
          <w:spacing w:val="-9"/>
          <w:w w:val="110"/>
        </w:rPr>
        <w:t> </w:t>
      </w:r>
      <w:r>
        <w:rPr>
          <w:color w:val="231F20"/>
          <w:w w:val="110"/>
        </w:rPr>
        <w:t>presidenciales en Estados Unidos, desde una perspectiva genérica, como procesos que</w:t>
      </w:r>
      <w:r>
        <w:rPr>
          <w:color w:val="231F20"/>
          <w:spacing w:val="-5"/>
          <w:w w:val="110"/>
        </w:rPr>
        <w:t> </w:t>
      </w:r>
      <w:r>
        <w:rPr>
          <w:color w:val="231F20"/>
          <w:w w:val="110"/>
        </w:rPr>
        <w:t>con</w:t>
      </w:r>
      <w:r>
        <w:rPr>
          <w:color w:val="231F20"/>
          <w:spacing w:val="-5"/>
          <w:w w:val="110"/>
        </w:rPr>
        <w:t> </w:t>
      </w:r>
      <w:r>
        <w:rPr>
          <w:color w:val="231F20"/>
          <w:w w:val="110"/>
        </w:rPr>
        <w:t>un</w:t>
      </w:r>
      <w:r>
        <w:rPr>
          <w:color w:val="231F20"/>
          <w:spacing w:val="-5"/>
          <w:w w:val="110"/>
        </w:rPr>
        <w:t> </w:t>
      </w:r>
      <w:r>
        <w:rPr>
          <w:color w:val="231F20"/>
          <w:w w:val="110"/>
        </w:rPr>
        <w:t>ritmo</w:t>
      </w:r>
      <w:r>
        <w:rPr>
          <w:color w:val="231F20"/>
          <w:spacing w:val="-5"/>
          <w:w w:val="110"/>
        </w:rPr>
        <w:t> </w:t>
      </w:r>
      <w:r>
        <w:rPr>
          <w:color w:val="231F20"/>
          <w:w w:val="110"/>
        </w:rPr>
        <w:t>cíclico</w:t>
      </w:r>
      <w:r>
        <w:rPr>
          <w:color w:val="231F20"/>
          <w:spacing w:val="-5"/>
          <w:w w:val="110"/>
        </w:rPr>
        <w:t> </w:t>
      </w:r>
      <w:r>
        <w:rPr>
          <w:color w:val="231F20"/>
          <w:w w:val="110"/>
        </w:rPr>
        <w:t>se</w:t>
      </w:r>
      <w:r>
        <w:rPr>
          <w:color w:val="231F20"/>
          <w:spacing w:val="-5"/>
          <w:w w:val="110"/>
        </w:rPr>
        <w:t> </w:t>
      </w:r>
      <w:r>
        <w:rPr>
          <w:color w:val="231F20"/>
          <w:w w:val="110"/>
        </w:rPr>
        <w:t>realizan</w:t>
      </w:r>
      <w:r>
        <w:rPr>
          <w:color w:val="231F20"/>
          <w:spacing w:val="-5"/>
          <w:w w:val="110"/>
        </w:rPr>
        <w:t> </w:t>
      </w:r>
      <w:r>
        <w:rPr>
          <w:color w:val="231F20"/>
          <w:w w:val="110"/>
        </w:rPr>
        <w:t>cada</w:t>
      </w:r>
      <w:r>
        <w:rPr>
          <w:color w:val="231F20"/>
          <w:spacing w:val="-5"/>
          <w:w w:val="110"/>
        </w:rPr>
        <w:t> </w:t>
      </w:r>
      <w:r>
        <w:rPr>
          <w:color w:val="231F20"/>
          <w:w w:val="110"/>
        </w:rPr>
        <w:t>cuatro</w:t>
      </w:r>
      <w:r>
        <w:rPr>
          <w:color w:val="231F20"/>
          <w:spacing w:val="-5"/>
          <w:w w:val="110"/>
        </w:rPr>
        <w:t> </w:t>
      </w:r>
      <w:r>
        <w:rPr>
          <w:color w:val="231F20"/>
          <w:w w:val="110"/>
        </w:rPr>
        <w:t>años</w:t>
      </w:r>
      <w:r>
        <w:rPr>
          <w:color w:val="231F20"/>
          <w:spacing w:val="-5"/>
          <w:w w:val="110"/>
        </w:rPr>
        <w:t> </w:t>
      </w:r>
      <w:r>
        <w:rPr>
          <w:color w:val="231F20"/>
          <w:w w:val="110"/>
        </w:rPr>
        <w:t>en</w:t>
      </w:r>
      <w:r>
        <w:rPr>
          <w:color w:val="231F20"/>
          <w:spacing w:val="-5"/>
          <w:w w:val="110"/>
        </w:rPr>
        <w:t> </w:t>
      </w:r>
      <w:r>
        <w:rPr>
          <w:color w:val="231F20"/>
          <w:w w:val="110"/>
        </w:rPr>
        <w:t>ese</w:t>
      </w:r>
      <w:r>
        <w:rPr>
          <w:color w:val="231F20"/>
          <w:spacing w:val="-5"/>
          <w:w w:val="110"/>
        </w:rPr>
        <w:t> </w:t>
      </w:r>
      <w:r>
        <w:rPr>
          <w:color w:val="231F20"/>
          <w:w w:val="110"/>
        </w:rPr>
        <w:t>país,</w:t>
      </w:r>
      <w:r>
        <w:rPr>
          <w:color w:val="231F20"/>
          <w:spacing w:val="-5"/>
          <w:w w:val="110"/>
        </w:rPr>
        <w:t> </w:t>
      </w:r>
      <w:r>
        <w:rPr>
          <w:color w:val="231F20"/>
          <w:w w:val="110"/>
        </w:rPr>
        <w:t>ha- bida cuenta de las implicaciones que conllevan para todo el planeta, pero</w:t>
      </w:r>
      <w:r>
        <w:rPr>
          <w:color w:val="231F20"/>
          <w:spacing w:val="-5"/>
          <w:w w:val="110"/>
        </w:rPr>
        <w:t> </w:t>
      </w:r>
      <w:r>
        <w:rPr>
          <w:color w:val="231F20"/>
          <w:w w:val="110"/>
        </w:rPr>
        <w:t>en</w:t>
      </w:r>
      <w:r>
        <w:rPr>
          <w:color w:val="231F20"/>
          <w:spacing w:val="-5"/>
          <w:w w:val="110"/>
        </w:rPr>
        <w:t> </w:t>
      </w:r>
      <w:r>
        <w:rPr>
          <w:color w:val="231F20"/>
          <w:w w:val="110"/>
        </w:rPr>
        <w:t>especial</w:t>
      </w:r>
      <w:r>
        <w:rPr>
          <w:color w:val="231F20"/>
          <w:spacing w:val="-5"/>
          <w:w w:val="110"/>
        </w:rPr>
        <w:t> </w:t>
      </w:r>
      <w:r>
        <w:rPr>
          <w:color w:val="231F20"/>
          <w:w w:val="110"/>
        </w:rPr>
        <w:t>para</w:t>
      </w:r>
      <w:r>
        <w:rPr>
          <w:color w:val="231F20"/>
          <w:spacing w:val="-5"/>
          <w:w w:val="110"/>
        </w:rPr>
        <w:t> </w:t>
      </w:r>
      <w:r>
        <w:rPr>
          <w:color w:val="231F20"/>
          <w:w w:val="110"/>
        </w:rPr>
        <w:t>los</w:t>
      </w:r>
      <w:r>
        <w:rPr>
          <w:color w:val="231F20"/>
          <w:spacing w:val="-5"/>
          <w:w w:val="110"/>
        </w:rPr>
        <w:t> </w:t>
      </w:r>
      <w:r>
        <w:rPr>
          <w:color w:val="231F20"/>
          <w:w w:val="110"/>
        </w:rPr>
        <w:t>países</w:t>
      </w:r>
      <w:r>
        <w:rPr>
          <w:color w:val="231F20"/>
          <w:spacing w:val="-5"/>
          <w:w w:val="110"/>
        </w:rPr>
        <w:t> </w:t>
      </w:r>
      <w:r>
        <w:rPr>
          <w:color w:val="231F20"/>
          <w:w w:val="110"/>
        </w:rPr>
        <w:t>y</w:t>
      </w:r>
      <w:r>
        <w:rPr>
          <w:color w:val="231F20"/>
          <w:spacing w:val="-5"/>
          <w:w w:val="110"/>
        </w:rPr>
        <w:t> </w:t>
      </w:r>
      <w:r>
        <w:rPr>
          <w:color w:val="231F20"/>
          <w:w w:val="110"/>
        </w:rPr>
        <w:t>regiones</w:t>
      </w:r>
      <w:r>
        <w:rPr>
          <w:color w:val="231F20"/>
          <w:spacing w:val="-5"/>
          <w:w w:val="110"/>
        </w:rPr>
        <w:t> </w:t>
      </w:r>
      <w:r>
        <w:rPr>
          <w:color w:val="231F20"/>
          <w:w w:val="110"/>
        </w:rPr>
        <w:t>de</w:t>
      </w:r>
      <w:r>
        <w:rPr>
          <w:color w:val="231F20"/>
          <w:spacing w:val="-5"/>
          <w:w w:val="110"/>
        </w:rPr>
        <w:t> </w:t>
      </w:r>
      <w:r>
        <w:rPr>
          <w:color w:val="231F20"/>
          <w:w w:val="110"/>
        </w:rPr>
        <w:t>Nuestra</w:t>
      </w:r>
      <w:r>
        <w:rPr>
          <w:color w:val="231F20"/>
          <w:spacing w:val="-5"/>
          <w:w w:val="110"/>
        </w:rPr>
        <w:t> </w:t>
      </w:r>
      <w:r>
        <w:rPr>
          <w:color w:val="231F20"/>
          <w:w w:val="110"/>
        </w:rPr>
        <w:t>América.</w:t>
      </w:r>
      <w:r>
        <w:rPr>
          <w:color w:val="231F20"/>
          <w:spacing w:val="-5"/>
          <w:w w:val="110"/>
        </w:rPr>
        <w:t> Tan- </w:t>
      </w:r>
      <w:r>
        <w:rPr>
          <w:color w:val="231F20"/>
          <w:w w:val="110"/>
        </w:rPr>
        <w:t>to en el diagnóstico como en el pronóstico, se conjugan elementos emocionales y racionales en el complejo ejercicio analítico que</w:t>
      </w:r>
      <w:r>
        <w:rPr>
          <w:color w:val="231F20"/>
          <w:spacing w:val="-5"/>
          <w:w w:val="110"/>
        </w:rPr>
        <w:t> </w:t>
      </w:r>
      <w:r>
        <w:rPr>
          <w:color w:val="231F20"/>
          <w:w w:val="110"/>
        </w:rPr>
        <w:t>trata de entender, describir y explicar el entorno de esos dos momentos, así a la hora de evaluar el resultado de los comicios y de proyectar sus</w:t>
      </w:r>
      <w:r>
        <w:rPr>
          <w:color w:val="231F20"/>
          <w:spacing w:val="-33"/>
          <w:w w:val="110"/>
        </w:rPr>
        <w:t> </w:t>
      </w:r>
      <w:r>
        <w:rPr>
          <w:color w:val="231F20"/>
          <w:w w:val="110"/>
        </w:rPr>
        <w:t>consecuencias.</w:t>
      </w:r>
    </w:p>
    <w:p>
      <w:pPr>
        <w:pStyle w:val="BodyText"/>
        <w:spacing w:line="261" w:lineRule="auto"/>
        <w:ind w:left="100" w:right="119" w:firstLine="240"/>
        <w:jc w:val="both"/>
      </w:pPr>
      <w:r>
        <w:rPr>
          <w:color w:val="231F20"/>
          <w:w w:val="110"/>
        </w:rPr>
        <w:t>La</w:t>
      </w:r>
      <w:r>
        <w:rPr>
          <w:color w:val="231F20"/>
          <w:spacing w:val="-18"/>
          <w:w w:val="110"/>
        </w:rPr>
        <w:t> </w:t>
      </w:r>
      <w:r>
        <w:rPr>
          <w:color w:val="231F20"/>
          <w:w w:val="110"/>
        </w:rPr>
        <w:t>elección</w:t>
      </w:r>
      <w:r>
        <w:rPr>
          <w:color w:val="231F20"/>
          <w:spacing w:val="-18"/>
          <w:w w:val="110"/>
        </w:rPr>
        <w:t> </w:t>
      </w:r>
      <w:r>
        <w:rPr>
          <w:color w:val="231F20"/>
          <w:w w:val="110"/>
        </w:rPr>
        <w:t>presidencial</w:t>
      </w:r>
      <w:r>
        <w:rPr>
          <w:color w:val="231F20"/>
          <w:spacing w:val="-18"/>
          <w:w w:val="110"/>
        </w:rPr>
        <w:t> </w:t>
      </w:r>
      <w:r>
        <w:rPr>
          <w:color w:val="231F20"/>
          <w:w w:val="110"/>
        </w:rPr>
        <w:t>de</w:t>
      </w:r>
      <w:r>
        <w:rPr>
          <w:color w:val="231F20"/>
          <w:spacing w:val="-18"/>
          <w:w w:val="110"/>
        </w:rPr>
        <w:t> </w:t>
      </w:r>
      <w:r>
        <w:rPr>
          <w:color w:val="231F20"/>
          <w:w w:val="110"/>
        </w:rPr>
        <w:t>2008</w:t>
      </w:r>
      <w:r>
        <w:rPr>
          <w:color w:val="231F20"/>
          <w:spacing w:val="-18"/>
          <w:w w:val="110"/>
        </w:rPr>
        <w:t> </w:t>
      </w:r>
      <w:r>
        <w:rPr>
          <w:color w:val="231F20"/>
          <w:w w:val="110"/>
        </w:rPr>
        <w:t>en</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fue</w:t>
      </w:r>
      <w:r>
        <w:rPr>
          <w:color w:val="231F20"/>
          <w:spacing w:val="-18"/>
          <w:w w:val="110"/>
        </w:rPr>
        <w:t> </w:t>
      </w:r>
      <w:r>
        <w:rPr>
          <w:color w:val="231F20"/>
          <w:w w:val="110"/>
        </w:rPr>
        <w:t>vista</w:t>
      </w:r>
      <w:r>
        <w:rPr>
          <w:color w:val="231F20"/>
          <w:spacing w:val="-18"/>
          <w:w w:val="110"/>
        </w:rPr>
        <w:t> </w:t>
      </w:r>
      <w:r>
        <w:rPr>
          <w:color w:val="231F20"/>
          <w:w w:val="110"/>
        </w:rPr>
        <w:t>como un giro crucial en la historia política de ese país, en tanto que  </w:t>
      </w:r>
      <w:r>
        <w:rPr>
          <w:color w:val="231F20"/>
          <w:spacing w:val="50"/>
          <w:w w:val="110"/>
        </w:rPr>
        <w:t> </w:t>
      </w:r>
      <w:r>
        <w:rPr>
          <w:color w:val="231F20"/>
          <w:w w:val="110"/>
        </w:rPr>
        <w:t>sim-</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6"/>
        <w:jc w:val="both"/>
      </w:pPr>
      <w:r>
        <w:rPr>
          <w:color w:val="231F20"/>
          <w:w w:val="110"/>
        </w:rPr>
        <w:t>bolizaba no sólo el retorno al poder del Partido Demócrata —luego de la permanencia de los republicanos durante ochos, bajo el doble periodo de George </w:t>
      </w:r>
      <w:r>
        <w:rPr>
          <w:color w:val="231F20"/>
          <w:spacing w:val="-5"/>
          <w:w w:val="110"/>
        </w:rPr>
        <w:t>W. </w:t>
      </w:r>
      <w:r>
        <w:rPr>
          <w:color w:val="231F20"/>
          <w:w w:val="110"/>
        </w:rPr>
        <w:t>Bush—, sino de un sector progresista de orientación liberal que había tenido su oportunidad con Carter en los comicios de 1980 y había sido marcado con el signo del fracaso durante su único mandato; y que veinte años después sería de nuevo identificado con un saldo negativo, al terminar Clinton su segunda presidencia.</w:t>
      </w:r>
    </w:p>
    <w:p>
      <w:pPr>
        <w:pStyle w:val="BodyText"/>
        <w:spacing w:line="261" w:lineRule="auto"/>
        <w:ind w:left="100" w:right="117" w:firstLine="240"/>
        <w:jc w:val="both"/>
      </w:pPr>
      <w:r>
        <w:rPr>
          <w:color w:val="231F20"/>
          <w:w w:val="110"/>
        </w:rPr>
        <w:t>La euforia, sorpresa, expectativa, deseo, necesidad, que surgen   y se acumulan de modo vertiginoso a través de los primeros meses de 2008 adquieren una expresión sobresaliente a mediados de año, cuando se produce la nominación de Obama como candidato en     la Convención Nacional Demócrata. La decadencia de la adminis- tración Bush, el “nuevo” macarthismo que acompañaba a la “ley patriótica”,</w:t>
      </w:r>
      <w:r>
        <w:rPr>
          <w:color w:val="231F20"/>
          <w:spacing w:val="-16"/>
          <w:w w:val="110"/>
        </w:rPr>
        <w:t> </w:t>
      </w:r>
      <w:r>
        <w:rPr>
          <w:color w:val="231F20"/>
          <w:w w:val="110"/>
        </w:rPr>
        <w:t>las</w:t>
      </w:r>
      <w:r>
        <w:rPr>
          <w:color w:val="231F20"/>
          <w:spacing w:val="-16"/>
          <w:w w:val="110"/>
        </w:rPr>
        <w:t> </w:t>
      </w:r>
      <w:r>
        <w:rPr>
          <w:color w:val="231F20"/>
          <w:w w:val="110"/>
        </w:rPr>
        <w:t>frustraciones</w:t>
      </w:r>
      <w:r>
        <w:rPr>
          <w:color w:val="231F20"/>
          <w:spacing w:val="-16"/>
          <w:w w:val="110"/>
        </w:rPr>
        <w:t> </w:t>
      </w:r>
      <w:r>
        <w:rPr>
          <w:color w:val="231F20"/>
          <w:w w:val="110"/>
        </w:rPr>
        <w:t>acumuladas,</w:t>
      </w:r>
      <w:r>
        <w:rPr>
          <w:color w:val="231F20"/>
          <w:spacing w:val="-16"/>
          <w:w w:val="110"/>
        </w:rPr>
        <w:t> </w:t>
      </w:r>
      <w:r>
        <w:rPr>
          <w:color w:val="231F20"/>
          <w:w w:val="110"/>
        </w:rPr>
        <w:t>su</w:t>
      </w:r>
      <w:r>
        <w:rPr>
          <w:color w:val="231F20"/>
          <w:spacing w:val="-16"/>
          <w:w w:val="110"/>
        </w:rPr>
        <w:t> </w:t>
      </w:r>
      <w:r>
        <w:rPr>
          <w:color w:val="231F20"/>
          <w:w w:val="110"/>
        </w:rPr>
        <w:t>decreciente</w:t>
      </w:r>
      <w:r>
        <w:rPr>
          <w:color w:val="231F20"/>
          <w:spacing w:val="-16"/>
          <w:w w:val="110"/>
        </w:rPr>
        <w:t> </w:t>
      </w:r>
      <w:r>
        <w:rPr>
          <w:color w:val="231F20"/>
          <w:w w:val="110"/>
        </w:rPr>
        <w:t>popularidad, el agotamiento del programa belicista de los republicanos, el color de la piel de Obama y la consigna en torno al cambio que preside su discurso a lo largo de la campaña, serían factores que contribuirían en</w:t>
      </w:r>
      <w:r>
        <w:rPr>
          <w:color w:val="231F20"/>
          <w:spacing w:val="-13"/>
          <w:w w:val="110"/>
        </w:rPr>
        <w:t> </w:t>
      </w:r>
      <w:r>
        <w:rPr>
          <w:color w:val="231F20"/>
          <w:w w:val="110"/>
        </w:rPr>
        <w:t>no</w:t>
      </w:r>
      <w:r>
        <w:rPr>
          <w:color w:val="231F20"/>
          <w:spacing w:val="-13"/>
          <w:w w:val="110"/>
        </w:rPr>
        <w:t> </w:t>
      </w:r>
      <w:r>
        <w:rPr>
          <w:color w:val="231F20"/>
          <w:w w:val="110"/>
        </w:rPr>
        <w:t>poca</w:t>
      </w:r>
      <w:r>
        <w:rPr>
          <w:color w:val="231F20"/>
          <w:spacing w:val="-13"/>
          <w:w w:val="110"/>
        </w:rPr>
        <w:t> </w:t>
      </w:r>
      <w:r>
        <w:rPr>
          <w:color w:val="231F20"/>
          <w:w w:val="110"/>
        </w:rPr>
        <w:t>medida</w:t>
      </w:r>
      <w:r>
        <w:rPr>
          <w:color w:val="231F20"/>
          <w:spacing w:val="-13"/>
          <w:w w:val="110"/>
        </w:rPr>
        <w:t> </w:t>
      </w:r>
      <w:r>
        <w:rPr>
          <w:color w:val="231F20"/>
          <w:w w:val="110"/>
        </w:rPr>
        <w:t>a</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foco</w:t>
      </w:r>
      <w:r>
        <w:rPr>
          <w:color w:val="231F20"/>
          <w:spacing w:val="-13"/>
          <w:w w:val="110"/>
        </w:rPr>
        <w:t> </w:t>
      </w:r>
      <w:r>
        <w:rPr>
          <w:color w:val="231F20"/>
          <w:w w:val="110"/>
        </w:rPr>
        <w:t>inicial</w:t>
      </w:r>
      <w:r>
        <w:rPr>
          <w:color w:val="231F20"/>
          <w:spacing w:val="-13"/>
          <w:w w:val="110"/>
        </w:rPr>
        <w:t> </w:t>
      </w:r>
      <w:r>
        <w:rPr>
          <w:color w:val="231F20"/>
          <w:w w:val="110"/>
        </w:rPr>
        <w:t>de</w:t>
      </w:r>
      <w:r>
        <w:rPr>
          <w:color w:val="231F20"/>
          <w:spacing w:val="-13"/>
          <w:w w:val="110"/>
        </w:rPr>
        <w:t> </w:t>
      </w:r>
      <w:r>
        <w:rPr>
          <w:color w:val="231F20"/>
          <w:w w:val="110"/>
        </w:rPr>
        <w:t>muchos</w:t>
      </w:r>
      <w:r>
        <w:rPr>
          <w:color w:val="231F20"/>
          <w:spacing w:val="-13"/>
          <w:w w:val="110"/>
        </w:rPr>
        <w:t> </w:t>
      </w:r>
      <w:r>
        <w:rPr>
          <w:color w:val="231F20"/>
          <w:w w:val="110"/>
        </w:rPr>
        <w:t>análisis</w:t>
      </w:r>
      <w:r>
        <w:rPr>
          <w:color w:val="231F20"/>
          <w:spacing w:val="-13"/>
          <w:w w:val="110"/>
        </w:rPr>
        <w:t> </w:t>
      </w:r>
      <w:r>
        <w:rPr>
          <w:color w:val="231F20"/>
          <w:w w:val="110"/>
        </w:rPr>
        <w:t>se</w:t>
      </w:r>
      <w:r>
        <w:rPr>
          <w:color w:val="231F20"/>
          <w:spacing w:val="-13"/>
          <w:w w:val="110"/>
        </w:rPr>
        <w:t> </w:t>
      </w:r>
      <w:r>
        <w:rPr>
          <w:color w:val="231F20"/>
          <w:w w:val="110"/>
        </w:rPr>
        <w:t>centrara con preponderancia en las condiciones y necesidades de cambio de la sociedad</w:t>
      </w:r>
      <w:r>
        <w:rPr>
          <w:color w:val="231F20"/>
          <w:spacing w:val="14"/>
          <w:w w:val="110"/>
        </w:rPr>
        <w:t> </w:t>
      </w:r>
      <w:r>
        <w:rPr>
          <w:color w:val="231F20"/>
          <w:w w:val="110"/>
        </w:rPr>
        <w:t>estadunidense.</w:t>
      </w:r>
    </w:p>
    <w:p>
      <w:pPr>
        <w:pStyle w:val="BodyText"/>
        <w:spacing w:line="261" w:lineRule="auto"/>
        <w:ind w:left="100" w:right="117" w:firstLine="240"/>
        <w:jc w:val="both"/>
      </w:pPr>
      <w:r>
        <w:rPr>
          <w:color w:val="231F20"/>
          <w:w w:val="110"/>
        </w:rPr>
        <w:t>Así, se perdía de vista una cuestión mucho más profunda: la</w:t>
      </w:r>
      <w:r>
        <w:rPr>
          <w:color w:val="231F20"/>
          <w:spacing w:val="-15"/>
          <w:w w:val="110"/>
        </w:rPr>
        <w:t> </w:t>
      </w:r>
      <w:r>
        <w:rPr>
          <w:color w:val="231F20"/>
          <w:w w:val="110"/>
        </w:rPr>
        <w:t>elec- ción presidencial no representaba el ocaso definitivo del proyecto neoconservador que había servido de patrón al quehacer estadu- nidense por más de un decenio —desde la primera administración Reagan,</w:t>
      </w:r>
      <w:r>
        <w:rPr>
          <w:color w:val="231F20"/>
          <w:spacing w:val="-5"/>
          <w:w w:val="110"/>
        </w:rPr>
        <w:t> </w:t>
      </w:r>
      <w:r>
        <w:rPr>
          <w:color w:val="231F20"/>
          <w:w w:val="110"/>
        </w:rPr>
        <w:t>resultante</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elecciones</w:t>
      </w:r>
      <w:r>
        <w:rPr>
          <w:color w:val="231F20"/>
          <w:spacing w:val="-5"/>
          <w:w w:val="110"/>
        </w:rPr>
        <w:t> </w:t>
      </w:r>
      <w:r>
        <w:rPr>
          <w:color w:val="231F20"/>
          <w:w w:val="110"/>
        </w:rPr>
        <w:t>de</w:t>
      </w:r>
      <w:r>
        <w:rPr>
          <w:color w:val="231F20"/>
          <w:spacing w:val="-5"/>
          <w:w w:val="110"/>
        </w:rPr>
        <w:t> </w:t>
      </w:r>
      <w:r>
        <w:rPr>
          <w:color w:val="231F20"/>
          <w:w w:val="110"/>
        </w:rPr>
        <w:t>1980</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prolongó</w:t>
      </w:r>
      <w:r>
        <w:rPr>
          <w:color w:val="231F20"/>
          <w:spacing w:val="-5"/>
          <w:w w:val="110"/>
        </w:rPr>
        <w:t> </w:t>
      </w:r>
      <w:r>
        <w:rPr>
          <w:color w:val="231F20"/>
          <w:w w:val="110"/>
        </w:rPr>
        <w:t>hasta la de Bush (padre), que concluye en 1992—, cuya persistencia se impondría luego del paréntesis dibujado por las apariencias</w:t>
      </w:r>
      <w:r>
        <w:rPr>
          <w:color w:val="231F20"/>
          <w:spacing w:val="-28"/>
          <w:w w:val="110"/>
        </w:rPr>
        <w:t> </w:t>
      </w:r>
      <w:r>
        <w:rPr>
          <w:color w:val="231F20"/>
          <w:w w:val="110"/>
        </w:rPr>
        <w:t>liberales iniciales —pero ambivalentes, contradictorios y hasta regresivos</w:t>
      </w:r>
      <w:r>
        <w:rPr>
          <w:color w:val="231F20"/>
          <w:spacing w:val="-25"/>
          <w:w w:val="110"/>
        </w:rPr>
        <w:t> </w:t>
      </w:r>
      <w:r>
        <w:rPr>
          <w:color w:val="231F20"/>
          <w:w w:val="110"/>
        </w:rPr>
        <w:t>go- biernos de Clinton—, arrastrando su decadencia hasta el comienzo del presente siglo. La nueva articulación del neoconservadurismo que tiene lugar a partir del fraudulento y prolongado último proceso electoral del siglo xx, con el establecimiento de </w:t>
      </w:r>
      <w:r>
        <w:rPr>
          <w:color w:val="231F20"/>
          <w:spacing w:val="-6"/>
          <w:w w:val="110"/>
        </w:rPr>
        <w:t>W. </w:t>
      </w:r>
      <w:r>
        <w:rPr>
          <w:color w:val="231F20"/>
          <w:w w:val="110"/>
        </w:rPr>
        <w:t>Bush en la Casa Blanca por decisión —como hecho sin precedentes</w:t>
      </w:r>
      <w:r>
        <w:rPr>
          <w:color w:val="231F20"/>
          <w:spacing w:val="-6"/>
          <w:w w:val="110"/>
        </w:rPr>
        <w:t> </w:t>
      </w:r>
      <w:r>
        <w:rPr>
          <w:color w:val="231F20"/>
          <w:w w:val="110"/>
        </w:rPr>
        <w:t>sobresalientes— de la Corte</w:t>
      </w:r>
      <w:r>
        <w:rPr>
          <w:color w:val="231F20"/>
          <w:spacing w:val="33"/>
          <w:w w:val="110"/>
        </w:rPr>
        <w:t> </w:t>
      </w:r>
      <w:r>
        <w:rPr>
          <w:color w:val="231F20"/>
          <w:w w:val="110"/>
        </w:rPr>
        <w:t>Suprema.</w:t>
      </w:r>
    </w:p>
    <w:p>
      <w:pPr>
        <w:pStyle w:val="BodyText"/>
        <w:spacing w:line="261" w:lineRule="auto"/>
        <w:ind w:left="100" w:right="115" w:firstLine="240"/>
        <w:jc w:val="both"/>
      </w:pPr>
      <w:r>
        <w:rPr>
          <w:color w:val="231F20"/>
          <w:w w:val="105"/>
        </w:rPr>
        <w:t>En rigor, de manera similar a lo ocurrido con la crisis del pro-   </w:t>
      </w:r>
      <w:r>
        <w:rPr>
          <w:color w:val="231F20"/>
          <w:spacing w:val="3"/>
          <w:w w:val="105"/>
        </w:rPr>
        <w:t>yecto nacional liberal </w:t>
      </w:r>
      <w:r>
        <w:rPr>
          <w:color w:val="231F20"/>
          <w:w w:val="105"/>
        </w:rPr>
        <w:t>o </w:t>
      </w:r>
      <w:r>
        <w:rPr>
          <w:color w:val="231F20"/>
          <w:spacing w:val="3"/>
          <w:w w:val="105"/>
        </w:rPr>
        <w:t>“rooseveltiano” </w:t>
      </w:r>
      <w:r>
        <w:rPr>
          <w:color w:val="231F20"/>
          <w:spacing w:val="2"/>
          <w:w w:val="105"/>
        </w:rPr>
        <w:t>que </w:t>
      </w:r>
      <w:r>
        <w:rPr>
          <w:color w:val="231F20"/>
          <w:spacing w:val="3"/>
          <w:w w:val="105"/>
        </w:rPr>
        <w:t>había tenido </w:t>
      </w:r>
      <w:r>
        <w:rPr>
          <w:color w:val="231F20"/>
          <w:spacing w:val="4"/>
          <w:w w:val="105"/>
        </w:rPr>
        <w:t>lugar  </w:t>
      </w:r>
      <w:r>
        <w:rPr>
          <w:color w:val="231F20"/>
          <w:w w:val="105"/>
        </w:rPr>
        <w:t>veinte años atrás —que no era sólo producto de su incapacidad para lidiar</w:t>
      </w:r>
      <w:r>
        <w:rPr>
          <w:color w:val="231F20"/>
          <w:spacing w:val="23"/>
          <w:w w:val="105"/>
        </w:rPr>
        <w:t> </w:t>
      </w:r>
      <w:r>
        <w:rPr>
          <w:color w:val="231F20"/>
          <w:w w:val="105"/>
        </w:rPr>
        <w:t>con</w:t>
      </w:r>
      <w:r>
        <w:rPr>
          <w:color w:val="231F20"/>
          <w:spacing w:val="23"/>
          <w:w w:val="105"/>
        </w:rPr>
        <w:t> </w:t>
      </w:r>
      <w:r>
        <w:rPr>
          <w:color w:val="231F20"/>
          <w:w w:val="105"/>
        </w:rPr>
        <w:t>los</w:t>
      </w:r>
      <w:r>
        <w:rPr>
          <w:color w:val="231F20"/>
          <w:spacing w:val="23"/>
          <w:w w:val="105"/>
        </w:rPr>
        <w:t> </w:t>
      </w:r>
      <w:r>
        <w:rPr>
          <w:color w:val="231F20"/>
          <w:w w:val="105"/>
        </w:rPr>
        <w:t>agudos</w:t>
      </w:r>
      <w:r>
        <w:rPr>
          <w:color w:val="231F20"/>
          <w:spacing w:val="23"/>
          <w:w w:val="105"/>
        </w:rPr>
        <w:t> </w:t>
      </w:r>
      <w:r>
        <w:rPr>
          <w:color w:val="231F20"/>
          <w:w w:val="105"/>
        </w:rPr>
        <w:t>problemas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crisis</w:t>
      </w:r>
      <w:r>
        <w:rPr>
          <w:color w:val="231F20"/>
          <w:spacing w:val="23"/>
          <w:w w:val="105"/>
        </w:rPr>
        <w:t> </w:t>
      </w:r>
      <w:r>
        <w:rPr>
          <w:color w:val="231F20"/>
          <w:w w:val="105"/>
        </w:rPr>
        <w:t>económica</w:t>
      </w:r>
      <w:r>
        <w:rPr>
          <w:color w:val="231F20"/>
          <w:spacing w:val="23"/>
          <w:w w:val="105"/>
        </w:rPr>
        <w:t> </w:t>
      </w:r>
      <w:r>
        <w:rPr>
          <w:color w:val="231F20"/>
          <w:w w:val="105"/>
        </w:rPr>
        <w:t>y</w:t>
      </w:r>
      <w:r>
        <w:rPr>
          <w:color w:val="231F20"/>
          <w:spacing w:val="23"/>
          <w:w w:val="105"/>
        </w:rPr>
        <w:t> </w:t>
      </w:r>
      <w:r>
        <w:rPr>
          <w:color w:val="231F20"/>
          <w:w w:val="105"/>
        </w:rPr>
        <w:t>política</w:t>
      </w:r>
      <w:r>
        <w:rPr>
          <w:color w:val="231F20"/>
          <w:spacing w:val="23"/>
          <w:w w:val="105"/>
        </w:rPr>
        <w:t> </w:t>
      </w:r>
      <w:r>
        <w:rPr>
          <w:color w:val="231F20"/>
          <w:w w:val="105"/>
        </w:rPr>
        <w:t>del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decenio de los setenta e inicios de los ochenta, o para adaptarse a  las realidades de un mundo cambiante en aquél periodo—, el agota- miento de la cosmovisión propuesta por el neoconservadurismo en el primer decenio del siglo xxi tenía que ver con condicionamientos y determinaciones más profundas y</w:t>
      </w:r>
      <w:r>
        <w:rPr>
          <w:color w:val="231F20"/>
          <w:spacing w:val="-17"/>
          <w:w w:val="110"/>
        </w:rPr>
        <w:t> </w:t>
      </w:r>
      <w:r>
        <w:rPr>
          <w:color w:val="231F20"/>
          <w:w w:val="110"/>
        </w:rPr>
        <w:t>complejas.</w:t>
      </w:r>
    </w:p>
    <w:p>
      <w:pPr>
        <w:pStyle w:val="BodyText"/>
        <w:spacing w:line="261" w:lineRule="auto"/>
        <w:ind w:left="100" w:right="117" w:firstLine="240"/>
        <w:jc w:val="both"/>
      </w:pPr>
      <w:r>
        <w:rPr>
          <w:color w:val="231F20"/>
          <w:w w:val="110"/>
        </w:rPr>
        <w:t>En gran medida, ello se debía la confluencia de una multiplicidad de</w:t>
      </w:r>
      <w:r>
        <w:rPr>
          <w:color w:val="231F20"/>
          <w:spacing w:val="-20"/>
          <w:w w:val="110"/>
        </w:rPr>
        <w:t> </w:t>
      </w:r>
      <w:r>
        <w:rPr>
          <w:color w:val="231F20"/>
          <w:w w:val="110"/>
        </w:rPr>
        <w:t>factores</w:t>
      </w:r>
      <w:r>
        <w:rPr>
          <w:color w:val="231F20"/>
          <w:spacing w:val="-20"/>
          <w:w w:val="110"/>
        </w:rPr>
        <w:t> </w:t>
      </w:r>
      <w:r>
        <w:rPr>
          <w:color w:val="231F20"/>
          <w:w w:val="110"/>
        </w:rPr>
        <w:t>y</w:t>
      </w:r>
      <w:r>
        <w:rPr>
          <w:color w:val="231F20"/>
          <w:spacing w:val="-20"/>
          <w:w w:val="110"/>
        </w:rPr>
        <w:t> </w:t>
      </w:r>
      <w:r>
        <w:rPr>
          <w:color w:val="231F20"/>
          <w:w w:val="110"/>
        </w:rPr>
        <w:t>circunstancias.</w:t>
      </w:r>
      <w:r>
        <w:rPr>
          <w:color w:val="231F20"/>
          <w:spacing w:val="-20"/>
          <w:w w:val="110"/>
        </w:rPr>
        <w:t> </w:t>
      </w:r>
      <w:r>
        <w:rPr>
          <w:color w:val="231F20"/>
          <w:w w:val="110"/>
        </w:rPr>
        <w:t>Las</w:t>
      </w:r>
      <w:r>
        <w:rPr>
          <w:color w:val="231F20"/>
          <w:spacing w:val="-20"/>
          <w:w w:val="110"/>
        </w:rPr>
        <w:t> </w:t>
      </w:r>
      <w:r>
        <w:rPr>
          <w:color w:val="231F20"/>
          <w:w w:val="110"/>
        </w:rPr>
        <w:t>condiciones</w:t>
      </w:r>
      <w:r>
        <w:rPr>
          <w:color w:val="231F20"/>
          <w:spacing w:val="-20"/>
          <w:w w:val="110"/>
        </w:rPr>
        <w:t> </w:t>
      </w:r>
      <w:r>
        <w:rPr>
          <w:color w:val="231F20"/>
          <w:w w:val="110"/>
        </w:rPr>
        <w:t>objetivas</w:t>
      </w:r>
      <w:r>
        <w:rPr>
          <w:color w:val="231F20"/>
          <w:spacing w:val="-20"/>
          <w:w w:val="110"/>
        </w:rPr>
        <w:t> </w:t>
      </w:r>
      <w:r>
        <w:rPr>
          <w:color w:val="231F20"/>
          <w:w w:val="110"/>
        </w:rPr>
        <w:t>y</w:t>
      </w:r>
      <w:r>
        <w:rPr>
          <w:color w:val="231F20"/>
          <w:spacing w:val="-20"/>
          <w:w w:val="110"/>
        </w:rPr>
        <w:t> </w:t>
      </w:r>
      <w:r>
        <w:rPr>
          <w:color w:val="231F20"/>
          <w:w w:val="110"/>
        </w:rPr>
        <w:t>subjetivas</w:t>
      </w:r>
      <w:r>
        <w:rPr>
          <w:color w:val="231F20"/>
          <w:spacing w:val="-20"/>
          <w:w w:val="110"/>
        </w:rPr>
        <w:t> </w:t>
      </w:r>
      <w:r>
        <w:rPr>
          <w:color w:val="231F20"/>
          <w:w w:val="110"/>
        </w:rPr>
        <w:t>en que el proyecto neoconservador había resurgido y se había</w:t>
      </w:r>
      <w:r>
        <w:rPr>
          <w:color w:val="231F20"/>
          <w:spacing w:val="-38"/>
          <w:w w:val="110"/>
        </w:rPr>
        <w:t> </w:t>
      </w:r>
      <w:r>
        <w:rPr>
          <w:color w:val="231F20"/>
          <w:w w:val="110"/>
        </w:rPr>
        <w:t>renovado a la altura del año 2000 habían, en efecto, variado. La nación esta- dunidense</w:t>
      </w:r>
      <w:r>
        <w:rPr>
          <w:color w:val="231F20"/>
          <w:spacing w:val="-12"/>
          <w:w w:val="110"/>
        </w:rPr>
        <w:t> </w:t>
      </w:r>
      <w:r>
        <w:rPr>
          <w:color w:val="231F20"/>
          <w:w w:val="110"/>
        </w:rPr>
        <w:t>presentaba,</w:t>
      </w:r>
      <w:r>
        <w:rPr>
          <w:color w:val="231F20"/>
          <w:spacing w:val="-12"/>
          <w:w w:val="110"/>
        </w:rPr>
        <w:t> </w:t>
      </w:r>
      <w:r>
        <w:rPr>
          <w:color w:val="231F20"/>
          <w:w w:val="110"/>
        </w:rPr>
        <w:t>ocho</w:t>
      </w:r>
      <w:r>
        <w:rPr>
          <w:color w:val="231F20"/>
          <w:spacing w:val="-12"/>
          <w:w w:val="110"/>
        </w:rPr>
        <w:t> </w:t>
      </w:r>
      <w:r>
        <w:rPr>
          <w:color w:val="231F20"/>
          <w:w w:val="110"/>
        </w:rPr>
        <w:t>años</w:t>
      </w:r>
      <w:r>
        <w:rPr>
          <w:color w:val="231F20"/>
          <w:spacing w:val="-12"/>
          <w:w w:val="110"/>
        </w:rPr>
        <w:t> </w:t>
      </w:r>
      <w:r>
        <w:rPr>
          <w:color w:val="231F20"/>
          <w:w w:val="110"/>
        </w:rPr>
        <w:t>después,</w:t>
      </w:r>
      <w:r>
        <w:rPr>
          <w:color w:val="231F20"/>
          <w:spacing w:val="-12"/>
          <w:w w:val="110"/>
        </w:rPr>
        <w:t> </w:t>
      </w:r>
      <w:r>
        <w:rPr>
          <w:color w:val="231F20"/>
          <w:w w:val="110"/>
        </w:rPr>
        <w:t>modificaciones</w:t>
      </w:r>
      <w:r>
        <w:rPr>
          <w:color w:val="231F20"/>
          <w:spacing w:val="-12"/>
          <w:w w:val="110"/>
        </w:rPr>
        <w:t> </w:t>
      </w:r>
      <w:r>
        <w:rPr>
          <w:color w:val="231F20"/>
          <w:w w:val="110"/>
        </w:rPr>
        <w:t>y</w:t>
      </w:r>
      <w:r>
        <w:rPr>
          <w:color w:val="231F20"/>
          <w:spacing w:val="-12"/>
          <w:w w:val="110"/>
        </w:rPr>
        <w:t> </w:t>
      </w:r>
      <w:r>
        <w:rPr>
          <w:color w:val="231F20"/>
          <w:w w:val="110"/>
        </w:rPr>
        <w:t>reajustes en aspectos tales como su organización productiva, la magnitud de las innovaciones tecnológicas, la esterilidad de las propuestas ideo- lógicas, la pasividad partidista, el reacomodo de la estructura social, el deterioro del contexto socioeconómico, el incremento de la in- migración, la orientación de los movimientos sociales, la mutación demográfica y el reacomodo de las minorías étnicas y</w:t>
      </w:r>
      <w:r>
        <w:rPr>
          <w:color w:val="231F20"/>
          <w:spacing w:val="-13"/>
          <w:w w:val="110"/>
        </w:rPr>
        <w:t> </w:t>
      </w:r>
      <w:r>
        <w:rPr>
          <w:color w:val="231F20"/>
          <w:w w:val="110"/>
        </w:rPr>
        <w:t>raciales.</w:t>
      </w:r>
    </w:p>
    <w:p>
      <w:pPr>
        <w:pStyle w:val="BodyText"/>
        <w:spacing w:line="261" w:lineRule="auto"/>
        <w:ind w:left="100" w:right="115" w:firstLine="240"/>
        <w:jc w:val="both"/>
      </w:pPr>
      <w:r>
        <w:rPr>
          <w:color w:val="231F20"/>
          <w:w w:val="110"/>
        </w:rPr>
        <w:t>El dinamismo que se advertía en esos factores dibujaba, cierta- mente, una sociedad cambiante. El lugar y papel en ella de una serie de elementos que habían impulsado, encarnado o vanguardizado   las ideas y prácticas neoconservadoras que definen el movimiento central en esa sociedad, no es el mismo. Las bases sociopolíticas</w:t>
      </w:r>
      <w:r>
        <w:rPr>
          <w:color w:val="231F20"/>
          <w:spacing w:val="-12"/>
          <w:w w:val="110"/>
        </w:rPr>
        <w:t> </w:t>
      </w:r>
      <w:r>
        <w:rPr>
          <w:color w:val="231F20"/>
          <w:w w:val="110"/>
        </w:rPr>
        <w:t>del proyecto nacional que promovía la doble administración Bush se</w:t>
      </w:r>
      <w:r>
        <w:rPr>
          <w:color w:val="231F20"/>
          <w:spacing w:val="-5"/>
          <w:w w:val="110"/>
        </w:rPr>
        <w:t> </w:t>
      </w:r>
      <w:r>
        <w:rPr>
          <w:color w:val="231F20"/>
          <w:w w:val="110"/>
        </w:rPr>
        <w:t>re- sienten y debilitan ante las conmociones que afectan la credibilidad ideológica,</w:t>
      </w:r>
      <w:r>
        <w:rPr>
          <w:color w:val="231F20"/>
          <w:spacing w:val="-11"/>
          <w:w w:val="110"/>
        </w:rPr>
        <w:t> </w:t>
      </w:r>
      <w:r>
        <w:rPr>
          <w:color w:val="231F20"/>
          <w:w w:val="110"/>
        </w:rPr>
        <w:t>la</w:t>
      </w:r>
      <w:r>
        <w:rPr>
          <w:color w:val="231F20"/>
          <w:spacing w:val="-11"/>
          <w:w w:val="110"/>
        </w:rPr>
        <w:t> </w:t>
      </w:r>
      <w:r>
        <w:rPr>
          <w:color w:val="231F20"/>
          <w:w w:val="110"/>
        </w:rPr>
        <w:t>legitimidad</w:t>
      </w:r>
      <w:r>
        <w:rPr>
          <w:color w:val="231F20"/>
          <w:spacing w:val="-11"/>
          <w:w w:val="110"/>
        </w:rPr>
        <w:t> </w:t>
      </w:r>
      <w:r>
        <w:rPr>
          <w:color w:val="231F20"/>
          <w:w w:val="110"/>
        </w:rPr>
        <w:t>moral,</w:t>
      </w:r>
      <w:r>
        <w:rPr>
          <w:color w:val="231F20"/>
          <w:spacing w:val="-11"/>
          <w:w w:val="110"/>
        </w:rPr>
        <w:t> </w:t>
      </w:r>
      <w:r>
        <w:rPr>
          <w:color w:val="231F20"/>
          <w:w w:val="110"/>
        </w:rPr>
        <w:t>la</w:t>
      </w:r>
      <w:r>
        <w:rPr>
          <w:color w:val="231F20"/>
          <w:spacing w:val="-11"/>
          <w:w w:val="110"/>
        </w:rPr>
        <w:t> </w:t>
      </w:r>
      <w:r>
        <w:rPr>
          <w:color w:val="231F20"/>
          <w:w w:val="110"/>
        </w:rPr>
        <w:t>confianza</w:t>
      </w:r>
      <w:r>
        <w:rPr>
          <w:color w:val="231F20"/>
          <w:spacing w:val="-11"/>
          <w:w w:val="110"/>
        </w:rPr>
        <w:t> </w:t>
      </w:r>
      <w:r>
        <w:rPr>
          <w:color w:val="231F20"/>
          <w:w w:val="110"/>
        </w:rPr>
        <w:t>política,</w:t>
      </w:r>
      <w:r>
        <w:rPr>
          <w:color w:val="231F20"/>
          <w:spacing w:val="-11"/>
          <w:w w:val="110"/>
        </w:rPr>
        <w:t> </w:t>
      </w:r>
      <w:r>
        <w:rPr>
          <w:color w:val="231F20"/>
          <w:w w:val="110"/>
        </w:rPr>
        <w:t>la</w:t>
      </w:r>
      <w:r>
        <w:rPr>
          <w:color w:val="231F20"/>
          <w:spacing w:val="-11"/>
          <w:w w:val="110"/>
        </w:rPr>
        <w:t> </w:t>
      </w:r>
      <w:r>
        <w:rPr>
          <w:color w:val="231F20"/>
          <w:w w:val="110"/>
        </w:rPr>
        <w:t>popularidad del</w:t>
      </w:r>
      <w:r>
        <w:rPr>
          <w:color w:val="231F20"/>
          <w:spacing w:val="-8"/>
          <w:w w:val="110"/>
        </w:rPr>
        <w:t> </w:t>
      </w:r>
      <w:r>
        <w:rPr>
          <w:color w:val="231F20"/>
          <w:w w:val="110"/>
        </w:rPr>
        <w:t>presidente,</w:t>
      </w:r>
      <w:r>
        <w:rPr>
          <w:color w:val="231F20"/>
          <w:spacing w:val="-8"/>
          <w:w w:val="110"/>
        </w:rPr>
        <w:t> </w:t>
      </w:r>
      <w:r>
        <w:rPr>
          <w:color w:val="231F20"/>
          <w:w w:val="110"/>
        </w:rPr>
        <w:t>la</w:t>
      </w:r>
      <w:r>
        <w:rPr>
          <w:color w:val="231F20"/>
          <w:spacing w:val="-8"/>
          <w:w w:val="110"/>
        </w:rPr>
        <w:t> </w:t>
      </w:r>
      <w:r>
        <w:rPr>
          <w:color w:val="231F20"/>
          <w:w w:val="110"/>
        </w:rPr>
        <w:t>imagen</w:t>
      </w:r>
      <w:r>
        <w:rPr>
          <w:color w:val="231F20"/>
          <w:spacing w:val="-8"/>
          <w:w w:val="110"/>
        </w:rPr>
        <w:t> </w:t>
      </w:r>
      <w:r>
        <w:rPr>
          <w:color w:val="231F20"/>
          <w:w w:val="110"/>
        </w:rPr>
        <w:t>partidista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republicanos</w:t>
      </w:r>
      <w:r>
        <w:rPr>
          <w:color w:val="231F20"/>
          <w:spacing w:val="-8"/>
          <w:w w:val="110"/>
        </w:rPr>
        <w:t> y, </w:t>
      </w:r>
      <w:r>
        <w:rPr>
          <w:color w:val="231F20"/>
          <w:w w:val="110"/>
        </w:rPr>
        <w:t>por</w:t>
      </w:r>
      <w:r>
        <w:rPr>
          <w:color w:val="231F20"/>
          <w:spacing w:val="-8"/>
          <w:w w:val="110"/>
        </w:rPr>
        <w:t> </w:t>
      </w:r>
      <w:r>
        <w:rPr>
          <w:color w:val="231F20"/>
          <w:w w:val="110"/>
        </w:rPr>
        <w:t>si</w:t>
      </w:r>
      <w:r>
        <w:rPr>
          <w:color w:val="231F20"/>
          <w:spacing w:val="-8"/>
          <w:w w:val="110"/>
        </w:rPr>
        <w:t> </w:t>
      </w:r>
      <w:r>
        <w:rPr>
          <w:color w:val="231F20"/>
          <w:w w:val="110"/>
        </w:rPr>
        <w:t>fuera poco,</w:t>
      </w:r>
      <w:r>
        <w:rPr>
          <w:color w:val="231F20"/>
          <w:spacing w:val="-6"/>
          <w:w w:val="110"/>
        </w:rPr>
        <w:t> </w:t>
      </w:r>
      <w:r>
        <w:rPr>
          <w:color w:val="231F20"/>
          <w:w w:val="110"/>
        </w:rPr>
        <w:t>la</w:t>
      </w:r>
      <w:r>
        <w:rPr>
          <w:color w:val="231F20"/>
          <w:spacing w:val="-6"/>
          <w:w w:val="110"/>
        </w:rPr>
        <w:t> </w:t>
      </w:r>
      <w:r>
        <w:rPr>
          <w:color w:val="231F20"/>
          <w:w w:val="110"/>
        </w:rPr>
        <w:t>estabilidad</w:t>
      </w:r>
      <w:r>
        <w:rPr>
          <w:color w:val="231F20"/>
          <w:spacing w:val="-6"/>
          <w:w w:val="110"/>
        </w:rPr>
        <w:t> </w:t>
      </w:r>
      <w:r>
        <w:rPr>
          <w:color w:val="231F20"/>
          <w:w w:val="110"/>
        </w:rPr>
        <w:t>economía</w:t>
      </w:r>
      <w:r>
        <w:rPr>
          <w:color w:val="231F20"/>
          <w:spacing w:val="-6"/>
          <w:w w:val="110"/>
        </w:rPr>
        <w:t> </w:t>
      </w:r>
      <w:r>
        <w:rPr>
          <w:color w:val="231F20"/>
          <w:w w:val="110"/>
        </w:rPr>
        <w:t>del</w:t>
      </w:r>
      <w:r>
        <w:rPr>
          <w:color w:val="231F20"/>
          <w:spacing w:val="-6"/>
          <w:w w:val="110"/>
        </w:rPr>
        <w:t> </w:t>
      </w:r>
      <w:r>
        <w:rPr>
          <w:color w:val="231F20"/>
          <w:w w:val="110"/>
        </w:rPr>
        <w:t>país.</w:t>
      </w:r>
      <w:r>
        <w:rPr>
          <w:color w:val="231F20"/>
          <w:spacing w:val="-6"/>
          <w:w w:val="110"/>
        </w:rPr>
        <w:t> </w:t>
      </w:r>
      <w:r>
        <w:rPr>
          <w:color w:val="231F20"/>
          <w:w w:val="110"/>
        </w:rPr>
        <w:t>En</w:t>
      </w:r>
      <w:r>
        <w:rPr>
          <w:color w:val="231F20"/>
          <w:spacing w:val="-6"/>
          <w:w w:val="110"/>
        </w:rPr>
        <w:t> </w:t>
      </w:r>
      <w:r>
        <w:rPr>
          <w:color w:val="231F20"/>
          <w:w w:val="110"/>
        </w:rPr>
        <w:t>ese</w:t>
      </w:r>
      <w:r>
        <w:rPr>
          <w:color w:val="231F20"/>
          <w:spacing w:val="-6"/>
          <w:w w:val="110"/>
        </w:rPr>
        <w:t> </w:t>
      </w:r>
      <w:r>
        <w:rPr>
          <w:color w:val="231F20"/>
          <w:w w:val="110"/>
        </w:rPr>
        <w:t>marco</w:t>
      </w:r>
      <w:r>
        <w:rPr>
          <w:color w:val="231F20"/>
          <w:spacing w:val="-6"/>
          <w:w w:val="110"/>
        </w:rPr>
        <w:t> </w:t>
      </w:r>
      <w:r>
        <w:rPr>
          <w:color w:val="231F20"/>
          <w:w w:val="110"/>
        </w:rPr>
        <w:t>—y</w:t>
      </w:r>
      <w:r>
        <w:rPr>
          <w:color w:val="231F20"/>
          <w:spacing w:val="-6"/>
          <w:w w:val="110"/>
        </w:rPr>
        <w:t> </w:t>
      </w:r>
      <w:r>
        <w:rPr>
          <w:color w:val="231F20"/>
          <w:w w:val="110"/>
        </w:rPr>
        <w:t>sobre</w:t>
      </w:r>
      <w:r>
        <w:rPr>
          <w:color w:val="231F20"/>
          <w:spacing w:val="-6"/>
          <w:w w:val="110"/>
        </w:rPr>
        <w:t> </w:t>
      </w:r>
      <w:r>
        <w:rPr>
          <w:color w:val="231F20"/>
          <w:w w:val="110"/>
        </w:rPr>
        <w:t>todo, en</w:t>
      </w:r>
      <w:r>
        <w:rPr>
          <w:color w:val="231F20"/>
          <w:spacing w:val="-7"/>
          <w:w w:val="110"/>
        </w:rPr>
        <w:t> </w:t>
      </w:r>
      <w:r>
        <w:rPr>
          <w:color w:val="231F20"/>
          <w:w w:val="110"/>
        </w:rPr>
        <w:t>los</w:t>
      </w:r>
      <w:r>
        <w:rPr>
          <w:color w:val="231F20"/>
          <w:spacing w:val="-7"/>
          <w:w w:val="110"/>
        </w:rPr>
        <w:t> </w:t>
      </w:r>
      <w:r>
        <w:rPr>
          <w:color w:val="231F20"/>
          <w:w w:val="110"/>
        </w:rPr>
        <w:t>últimos</w:t>
      </w:r>
      <w:r>
        <w:rPr>
          <w:color w:val="231F20"/>
          <w:spacing w:val="-7"/>
          <w:w w:val="110"/>
        </w:rPr>
        <w:t> </w:t>
      </w:r>
      <w:r>
        <w:rPr>
          <w:color w:val="231F20"/>
          <w:w w:val="110"/>
        </w:rPr>
        <w:t>meses</w:t>
      </w:r>
      <w:r>
        <w:rPr>
          <w:color w:val="231F20"/>
          <w:spacing w:val="-7"/>
          <w:w w:val="110"/>
        </w:rPr>
        <w:t> </w:t>
      </w:r>
      <w:r>
        <w:rPr>
          <w:color w:val="231F20"/>
          <w:w w:val="110"/>
        </w:rPr>
        <w:t>de</w:t>
      </w:r>
      <w:r>
        <w:rPr>
          <w:color w:val="231F20"/>
          <w:spacing w:val="-7"/>
          <w:w w:val="110"/>
        </w:rPr>
        <w:t> </w:t>
      </w:r>
      <w:r>
        <w:rPr>
          <w:color w:val="231F20"/>
          <w:w w:val="110"/>
        </w:rPr>
        <w:t>2008,</w:t>
      </w:r>
      <w:r>
        <w:rPr>
          <w:color w:val="231F20"/>
          <w:spacing w:val="-7"/>
          <w:w w:val="110"/>
        </w:rPr>
        <w:t> </w:t>
      </w:r>
      <w:r>
        <w:rPr>
          <w:color w:val="231F20"/>
          <w:w w:val="110"/>
        </w:rPr>
        <w:t>en</w:t>
      </w:r>
      <w:r>
        <w:rPr>
          <w:color w:val="231F20"/>
          <w:spacing w:val="-7"/>
          <w:w w:val="110"/>
        </w:rPr>
        <w:t> </w:t>
      </w:r>
      <w:r>
        <w:rPr>
          <w:color w:val="231F20"/>
          <w:w w:val="110"/>
        </w:rPr>
        <w:t>pleno</w:t>
      </w:r>
      <w:r>
        <w:rPr>
          <w:color w:val="231F20"/>
          <w:spacing w:val="-7"/>
          <w:w w:val="110"/>
        </w:rPr>
        <w:t> </w:t>
      </w:r>
      <w:r>
        <w:rPr>
          <w:color w:val="231F20"/>
          <w:w w:val="110"/>
        </w:rPr>
        <w:t>desenlace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campaña</w:t>
      </w:r>
      <w:r>
        <w:rPr>
          <w:color w:val="231F20"/>
          <w:spacing w:val="-7"/>
          <w:w w:val="110"/>
        </w:rPr>
        <w:t> </w:t>
      </w:r>
      <w:r>
        <w:rPr>
          <w:color w:val="231F20"/>
          <w:w w:val="110"/>
        </w:rPr>
        <w:t>pre- sidencial</w:t>
      </w:r>
      <w:r>
        <w:rPr>
          <w:color w:val="231F20"/>
          <w:spacing w:val="-17"/>
          <w:w w:val="110"/>
        </w:rPr>
        <w:t> </w:t>
      </w:r>
      <w:r>
        <w:rPr>
          <w:color w:val="231F20"/>
          <w:w w:val="110"/>
        </w:rPr>
        <w:t>y</w:t>
      </w:r>
      <w:r>
        <w:rPr>
          <w:color w:val="231F20"/>
          <w:spacing w:val="-16"/>
          <w:w w:val="110"/>
        </w:rPr>
        <w:t> </w:t>
      </w:r>
      <w:r>
        <w:rPr>
          <w:color w:val="231F20"/>
          <w:w w:val="110"/>
        </w:rPr>
        <w:t>vísperas</w:t>
      </w:r>
      <w:r>
        <w:rPr>
          <w:color w:val="231F20"/>
          <w:spacing w:val="-17"/>
          <w:w w:val="110"/>
        </w:rPr>
        <w:t> </w:t>
      </w:r>
      <w:r>
        <w:rPr>
          <w:color w:val="231F20"/>
          <w:w w:val="110"/>
        </w:rPr>
        <w:t>de</w:t>
      </w:r>
      <w:r>
        <w:rPr>
          <w:color w:val="231F20"/>
          <w:spacing w:val="-16"/>
          <w:w w:val="110"/>
        </w:rPr>
        <w:t> </w:t>
      </w:r>
      <w:r>
        <w:rPr>
          <w:color w:val="231F20"/>
          <w:w w:val="110"/>
        </w:rPr>
        <w:t>los</w:t>
      </w:r>
      <w:r>
        <w:rPr>
          <w:color w:val="231F20"/>
          <w:spacing w:val="-17"/>
          <w:w w:val="110"/>
        </w:rPr>
        <w:t> </w:t>
      </w:r>
      <w:r>
        <w:rPr>
          <w:color w:val="231F20"/>
          <w:w w:val="110"/>
        </w:rPr>
        <w:t>comicios</w:t>
      </w:r>
      <w:r>
        <w:rPr>
          <w:color w:val="231F20"/>
          <w:spacing w:val="-17"/>
          <w:w w:val="110"/>
        </w:rPr>
        <w:t> </w:t>
      </w:r>
      <w:r>
        <w:rPr>
          <w:color w:val="231F20"/>
          <w:w w:val="110"/>
        </w:rPr>
        <w:t>del</w:t>
      </w:r>
      <w:r>
        <w:rPr>
          <w:color w:val="231F20"/>
          <w:spacing w:val="-16"/>
          <w:w w:val="110"/>
        </w:rPr>
        <w:t> </w:t>
      </w:r>
      <w:r>
        <w:rPr>
          <w:color w:val="231F20"/>
          <w:w w:val="110"/>
        </w:rPr>
        <w:t>4</w:t>
      </w:r>
      <w:r>
        <w:rPr>
          <w:color w:val="231F20"/>
          <w:spacing w:val="-16"/>
          <w:w w:val="110"/>
        </w:rPr>
        <w:t> </w:t>
      </w:r>
      <w:r>
        <w:rPr>
          <w:color w:val="231F20"/>
          <w:w w:val="110"/>
        </w:rPr>
        <w:t>de</w:t>
      </w:r>
      <w:r>
        <w:rPr>
          <w:color w:val="231F20"/>
          <w:spacing w:val="-16"/>
          <w:w w:val="110"/>
        </w:rPr>
        <w:t> </w:t>
      </w:r>
      <w:r>
        <w:rPr>
          <w:color w:val="231F20"/>
          <w:w w:val="110"/>
        </w:rPr>
        <w:t>noviembre—,</w:t>
      </w:r>
      <w:r>
        <w:rPr>
          <w:color w:val="231F20"/>
          <w:spacing w:val="-17"/>
          <w:w w:val="110"/>
        </w:rPr>
        <w:t> </w:t>
      </w:r>
      <w:r>
        <w:rPr>
          <w:color w:val="231F20"/>
          <w:w w:val="110"/>
        </w:rPr>
        <w:t>el</w:t>
      </w:r>
      <w:r>
        <w:rPr>
          <w:color w:val="231F20"/>
          <w:spacing w:val="-16"/>
          <w:w w:val="110"/>
        </w:rPr>
        <w:t> </w:t>
      </w:r>
      <w:r>
        <w:rPr>
          <w:color w:val="231F20"/>
          <w:w w:val="110"/>
        </w:rPr>
        <w:t>mosaico aludido</w:t>
      </w:r>
      <w:r>
        <w:rPr>
          <w:color w:val="231F20"/>
          <w:spacing w:val="-11"/>
          <w:w w:val="110"/>
        </w:rPr>
        <w:t> </w:t>
      </w:r>
      <w:r>
        <w:rPr>
          <w:color w:val="231F20"/>
          <w:w w:val="110"/>
        </w:rPr>
        <w:t>sella</w:t>
      </w:r>
      <w:r>
        <w:rPr>
          <w:color w:val="231F20"/>
          <w:spacing w:val="-11"/>
          <w:w w:val="110"/>
        </w:rPr>
        <w:t> </w:t>
      </w:r>
      <w:r>
        <w:rPr>
          <w:color w:val="231F20"/>
          <w:w w:val="110"/>
        </w:rPr>
        <w:t>un</w:t>
      </w:r>
      <w:r>
        <w:rPr>
          <w:color w:val="231F20"/>
          <w:spacing w:val="-11"/>
          <w:w w:val="110"/>
        </w:rPr>
        <w:t> </w:t>
      </w:r>
      <w:r>
        <w:rPr>
          <w:color w:val="231F20"/>
          <w:w w:val="110"/>
        </w:rPr>
        <w:t>momento</w:t>
      </w:r>
      <w:r>
        <w:rPr>
          <w:color w:val="231F20"/>
          <w:spacing w:val="-11"/>
          <w:w w:val="110"/>
        </w:rPr>
        <w:t> </w:t>
      </w:r>
      <w:r>
        <w:rPr>
          <w:color w:val="231F20"/>
          <w:w w:val="110"/>
        </w:rPr>
        <w:t>peculiar</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historia</w:t>
      </w:r>
      <w:r>
        <w:rPr>
          <w:color w:val="231F20"/>
          <w:spacing w:val="-11"/>
          <w:w w:val="110"/>
        </w:rPr>
        <w:t> </w:t>
      </w:r>
      <w:r>
        <w:rPr>
          <w:color w:val="231F20"/>
          <w:w w:val="110"/>
        </w:rPr>
        <w:t>política</w:t>
      </w:r>
      <w:r>
        <w:rPr>
          <w:color w:val="231F20"/>
          <w:spacing w:val="-11"/>
          <w:w w:val="110"/>
        </w:rPr>
        <w:t> </w:t>
      </w:r>
      <w:r>
        <w:rPr>
          <w:color w:val="231F20"/>
          <w:w w:val="110"/>
        </w:rPr>
        <w:t>más</w:t>
      </w:r>
      <w:r>
        <w:rPr>
          <w:color w:val="231F20"/>
          <w:spacing w:val="-11"/>
          <w:w w:val="110"/>
        </w:rPr>
        <w:t> </w:t>
      </w:r>
      <w:r>
        <w:rPr>
          <w:color w:val="231F20"/>
          <w:w w:val="110"/>
        </w:rPr>
        <w:t>reciente de ese país. El entramado de factores y condicionantes aludido con- fluía hacia un (¿nuevo o diferente?) modelo, que se apartaba del proyecto nacional chauvinista, patriotero, expansionista y agresivo, que por momentos parecía cristalizado o consolidado, fundado en   la ideología neoconservadora. Más que una propuesta alternativa,   lo que emergía era una sensación semejante a la de los </w:t>
      </w:r>
      <w:r>
        <w:rPr>
          <w:color w:val="231F20"/>
          <w:spacing w:val="7"/>
          <w:w w:val="110"/>
        </w:rPr>
        <w:t> </w:t>
      </w:r>
      <w:r>
        <w:rPr>
          <w:color w:val="231F20"/>
          <w:w w:val="110"/>
        </w:rPr>
        <w:t>espejismos.</w:t>
      </w:r>
    </w:p>
    <w:p>
      <w:pPr>
        <w:pStyle w:val="BodyText"/>
        <w:spacing w:line="261" w:lineRule="auto"/>
        <w:ind w:left="100" w:right="117" w:firstLine="240"/>
        <w:jc w:val="both"/>
      </w:pPr>
      <w:r>
        <w:rPr>
          <w:color w:val="231F20"/>
          <w:w w:val="110"/>
        </w:rPr>
        <w:t>La sociedad estadunidense estaba cambiando, eso sí, tanto de</w:t>
      </w:r>
      <w:r>
        <w:rPr>
          <w:color w:val="231F20"/>
          <w:spacing w:val="-21"/>
          <w:w w:val="110"/>
        </w:rPr>
        <w:t> </w:t>
      </w:r>
      <w:r>
        <w:rPr>
          <w:color w:val="231F20"/>
          <w:w w:val="110"/>
        </w:rPr>
        <w:t>for- ma como de contenido. El contexto mundial era también distinto. Las estructuras del capital financiero y del imperialismo contempo- ráneo no eran las mismas, ni dentro ni fuera de dicho país. </w:t>
      </w:r>
      <w:r>
        <w:rPr>
          <w:color w:val="231F20"/>
          <w:spacing w:val="12"/>
          <w:w w:val="110"/>
        </w:rPr>
        <w:t> </w:t>
      </w:r>
      <w:r>
        <w:rPr>
          <w:color w:val="231F20"/>
          <w:w w:val="110"/>
        </w:rPr>
        <w:t>Empero,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4"/>
        <w:jc w:val="both"/>
      </w:pPr>
      <w:r>
        <w:rPr>
          <w:color w:val="231F20"/>
          <w:w w:val="110"/>
        </w:rPr>
        <w:t>el sistema sostenido </w:t>
      </w:r>
      <w:r>
        <w:rPr>
          <w:color w:val="231F20"/>
        </w:rPr>
        <w:t>y </w:t>
      </w:r>
      <w:r>
        <w:rPr>
          <w:color w:val="231F20"/>
          <w:w w:val="110"/>
        </w:rPr>
        <w:t>reproducido por esos soportes mantenía su esencia. La lógica del imperialismo apunta al mantenimiento </w:t>
      </w:r>
      <w:r>
        <w:rPr>
          <w:color w:val="231F20"/>
        </w:rPr>
        <w:t>y </w:t>
      </w:r>
      <w:r>
        <w:rPr>
          <w:color w:val="231F20"/>
          <w:w w:val="110"/>
        </w:rPr>
        <w:t>re- producción del sistema, no a su cambio. Algo parecido sucede con los</w:t>
      </w:r>
      <w:r>
        <w:rPr>
          <w:color w:val="231F20"/>
          <w:spacing w:val="-13"/>
          <w:w w:val="110"/>
        </w:rPr>
        <w:t> </w:t>
      </w:r>
      <w:r>
        <w:rPr>
          <w:color w:val="231F20"/>
          <w:w w:val="110"/>
        </w:rPr>
        <w:t>procesos</w:t>
      </w:r>
      <w:r>
        <w:rPr>
          <w:color w:val="231F20"/>
          <w:spacing w:val="-13"/>
          <w:w w:val="110"/>
        </w:rPr>
        <w:t> </w:t>
      </w:r>
      <w:r>
        <w:rPr>
          <w:color w:val="231F20"/>
          <w:w w:val="110"/>
        </w:rPr>
        <w:t>electorales</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potencias</w:t>
      </w:r>
      <w:r>
        <w:rPr>
          <w:color w:val="231F20"/>
          <w:spacing w:val="-13"/>
          <w:w w:val="110"/>
        </w:rPr>
        <w:t> </w:t>
      </w:r>
      <w:r>
        <w:rPr>
          <w:color w:val="231F20"/>
          <w:w w:val="110"/>
        </w:rPr>
        <w:t>imperialistas.</w:t>
      </w:r>
      <w:r>
        <w:rPr>
          <w:color w:val="231F20"/>
          <w:spacing w:val="-13"/>
          <w:w w:val="110"/>
        </w:rPr>
        <w:t> </w:t>
      </w:r>
      <w:r>
        <w:rPr>
          <w:color w:val="231F20"/>
          <w:w w:val="110"/>
        </w:rPr>
        <w:t>Su</w:t>
      </w:r>
      <w:r>
        <w:rPr>
          <w:color w:val="231F20"/>
          <w:spacing w:val="-13"/>
          <w:w w:val="110"/>
        </w:rPr>
        <w:t> </w:t>
      </w:r>
      <w:r>
        <w:rPr>
          <w:color w:val="231F20"/>
          <w:w w:val="110"/>
        </w:rPr>
        <w:t>mecanismo estructural, de funcionamiento </w:t>
      </w:r>
      <w:r>
        <w:rPr>
          <w:color w:val="231F20"/>
        </w:rPr>
        <w:t>y </w:t>
      </w:r>
      <w:r>
        <w:rPr>
          <w:color w:val="231F20"/>
          <w:w w:val="110"/>
        </w:rPr>
        <w:t>desarrollo, no está concebido ni diseñado para transformar el sistema, sino para perpetuarlo. No se trata de países en revolución, que procuran, justamente, subvertir   las estructuras de poder establecidas, trastocar el </w:t>
      </w:r>
      <w:r>
        <w:rPr>
          <w:i/>
          <w:color w:val="231F20"/>
          <w:w w:val="110"/>
        </w:rPr>
        <w:t>estatu quo</w:t>
      </w:r>
      <w:r>
        <w:rPr>
          <w:color w:val="231F20"/>
          <w:w w:val="110"/>
        </w:rPr>
        <w:t>, para cambiar las reglas clasistas o las relaciones de explotación del juego hegemónico.</w:t>
      </w:r>
      <w:r>
        <w:rPr>
          <w:color w:val="231F20"/>
          <w:spacing w:val="-17"/>
          <w:w w:val="110"/>
        </w:rPr>
        <w:t> </w:t>
      </w:r>
      <w:r>
        <w:rPr>
          <w:color w:val="231F20"/>
          <w:w w:val="110"/>
        </w:rPr>
        <w:t>Los</w:t>
      </w:r>
      <w:r>
        <w:rPr>
          <w:color w:val="231F20"/>
          <w:spacing w:val="-17"/>
          <w:w w:val="110"/>
        </w:rPr>
        <w:t> </w:t>
      </w:r>
      <w:r>
        <w:rPr>
          <w:color w:val="231F20"/>
          <w:w w:val="110"/>
        </w:rPr>
        <w:t>gobiernos</w:t>
      </w:r>
      <w:r>
        <w:rPr>
          <w:color w:val="231F20"/>
          <w:spacing w:val="-17"/>
          <w:w w:val="110"/>
        </w:rPr>
        <w:t> </w:t>
      </w:r>
      <w:r>
        <w:rPr>
          <w:color w:val="231F20"/>
        </w:rPr>
        <w:t>y</w:t>
      </w:r>
      <w:r>
        <w:rPr>
          <w:color w:val="231F20"/>
          <w:spacing w:val="-12"/>
        </w:rPr>
        <w:t> </w:t>
      </w:r>
      <w:r>
        <w:rPr>
          <w:color w:val="231F20"/>
          <w:w w:val="110"/>
        </w:rPr>
        <w:t>los</w:t>
      </w:r>
      <w:r>
        <w:rPr>
          <w:color w:val="231F20"/>
          <w:spacing w:val="-17"/>
          <w:w w:val="110"/>
        </w:rPr>
        <w:t> </w:t>
      </w:r>
      <w:r>
        <w:rPr>
          <w:color w:val="231F20"/>
          <w:w w:val="110"/>
        </w:rPr>
        <w:t>individuos</w:t>
      </w:r>
      <w:r>
        <w:rPr>
          <w:color w:val="231F20"/>
          <w:spacing w:val="-17"/>
          <w:w w:val="110"/>
        </w:rPr>
        <w:t> </w:t>
      </w:r>
      <w:r>
        <w:rPr>
          <w:color w:val="231F20"/>
          <w:w w:val="110"/>
        </w:rPr>
        <w:t>que</w:t>
      </w:r>
      <w:r>
        <w:rPr>
          <w:color w:val="231F20"/>
          <w:spacing w:val="-17"/>
          <w:w w:val="110"/>
        </w:rPr>
        <w:t> </w:t>
      </w:r>
      <w:r>
        <w:rPr>
          <w:color w:val="231F20"/>
          <w:w w:val="110"/>
        </w:rPr>
        <w:t>los</w:t>
      </w:r>
      <w:r>
        <w:rPr>
          <w:color w:val="231F20"/>
          <w:spacing w:val="-17"/>
          <w:w w:val="110"/>
        </w:rPr>
        <w:t> </w:t>
      </w:r>
      <w:r>
        <w:rPr>
          <w:color w:val="231F20"/>
          <w:w w:val="110"/>
        </w:rPr>
        <w:t>dirigen,</w:t>
      </w:r>
      <w:r>
        <w:rPr>
          <w:color w:val="231F20"/>
          <w:spacing w:val="-17"/>
          <w:w w:val="110"/>
        </w:rPr>
        <w:t> </w:t>
      </w:r>
      <w:r>
        <w:rPr>
          <w:color w:val="231F20"/>
          <w:w w:val="110"/>
        </w:rPr>
        <w:t>bajo</w:t>
      </w:r>
      <w:r>
        <w:rPr>
          <w:color w:val="231F20"/>
          <w:spacing w:val="-17"/>
          <w:w w:val="110"/>
        </w:rPr>
        <w:t> </w:t>
      </w:r>
      <w:r>
        <w:rPr>
          <w:color w:val="231F20"/>
          <w:w w:val="110"/>
        </w:rPr>
        <w:t>esas realidades, responden a la lógica del imperialismo. No pretenden  (ni pueden) cambiar el sistema. Son objetos </w:t>
      </w:r>
      <w:r>
        <w:rPr>
          <w:color w:val="231F20"/>
        </w:rPr>
        <w:t>y </w:t>
      </w:r>
      <w:r>
        <w:rPr>
          <w:color w:val="231F20"/>
          <w:w w:val="110"/>
        </w:rPr>
        <w:t>sujetos de un proceso histórico en el que la opción de cambios supondría, como premisa, asumir de modo consciente la meta de quebrar la hegemonía. </w:t>
      </w:r>
      <w:r>
        <w:rPr>
          <w:color w:val="231F20"/>
        </w:rPr>
        <w:t>Y </w:t>
      </w:r>
      <w:r>
        <w:rPr>
          <w:color w:val="231F20"/>
          <w:w w:val="110"/>
        </w:rPr>
        <w:t>desde luego, la figura que se halle al frente de la Casa Blanca, aún </w:t>
      </w:r>
      <w:r>
        <w:rPr>
          <w:color w:val="231F20"/>
        </w:rPr>
        <w:t>y </w:t>
      </w:r>
      <w:r>
        <w:rPr>
          <w:color w:val="231F20"/>
          <w:w w:val="110"/>
        </w:rPr>
        <w:t>cuando esté llena de buenas intenciones, no está en la posición ni en la disposición de protagonizar una orientación </w:t>
      </w:r>
      <w:r>
        <w:rPr>
          <w:color w:val="231F20"/>
          <w:spacing w:val="45"/>
          <w:w w:val="110"/>
        </w:rPr>
        <w:t> </w:t>
      </w:r>
      <w:r>
        <w:rPr>
          <w:color w:val="231F20"/>
          <w:w w:val="110"/>
        </w:rPr>
        <w:t>contrahegemónica.</w:t>
      </w:r>
    </w:p>
    <w:p>
      <w:pPr>
        <w:pStyle w:val="BodyText"/>
        <w:spacing w:line="261" w:lineRule="auto"/>
        <w:ind w:left="100" w:right="117" w:firstLine="240"/>
        <w:jc w:val="both"/>
      </w:pPr>
      <w:r>
        <w:rPr>
          <w:color w:val="231F20"/>
          <w:w w:val="110"/>
        </w:rPr>
        <w:t>Más allá del entorno electoral de 2008, en el mosaico ideológico de Estados Unidos (durante 2009 y la mitad de 2010), se advierte</w:t>
      </w:r>
      <w:r>
        <w:rPr>
          <w:color w:val="231F20"/>
          <w:spacing w:val="-18"/>
          <w:w w:val="110"/>
        </w:rPr>
        <w:t> </w:t>
      </w:r>
      <w:r>
        <w:rPr>
          <w:color w:val="231F20"/>
          <w:w w:val="110"/>
        </w:rPr>
        <w:t>un gran dinamismo, si bien la contracción del movimiento</w:t>
      </w:r>
      <w:r>
        <w:rPr>
          <w:color w:val="231F20"/>
          <w:spacing w:val="-36"/>
          <w:w w:val="110"/>
        </w:rPr>
        <w:t> </w:t>
      </w:r>
      <w:r>
        <w:rPr>
          <w:color w:val="231F20"/>
          <w:w w:val="110"/>
        </w:rPr>
        <w:t>conservador, en</w:t>
      </w:r>
      <w:r>
        <w:rPr>
          <w:color w:val="231F20"/>
          <w:spacing w:val="-9"/>
          <w:w w:val="110"/>
        </w:rPr>
        <w:t> </w:t>
      </w:r>
      <w:r>
        <w:rPr>
          <w:color w:val="231F20"/>
          <w:w w:val="110"/>
        </w:rPr>
        <w:t>su</w:t>
      </w:r>
      <w:r>
        <w:rPr>
          <w:color w:val="231F20"/>
          <w:spacing w:val="-10"/>
          <w:w w:val="110"/>
        </w:rPr>
        <w:t> </w:t>
      </w:r>
      <w:r>
        <w:rPr>
          <w:color w:val="231F20"/>
          <w:w w:val="110"/>
        </w:rPr>
        <w:t>conjunto,</w:t>
      </w:r>
      <w:r>
        <w:rPr>
          <w:color w:val="231F20"/>
          <w:spacing w:val="-10"/>
          <w:w w:val="110"/>
        </w:rPr>
        <w:t> </w:t>
      </w:r>
      <w:r>
        <w:rPr>
          <w:color w:val="231F20"/>
          <w:w w:val="110"/>
        </w:rPr>
        <w:t>podría</w:t>
      </w:r>
      <w:r>
        <w:rPr>
          <w:color w:val="231F20"/>
          <w:spacing w:val="-10"/>
          <w:w w:val="110"/>
        </w:rPr>
        <w:t> </w:t>
      </w:r>
      <w:r>
        <w:rPr>
          <w:color w:val="231F20"/>
          <w:w w:val="110"/>
        </w:rPr>
        <w:t>decirse</w:t>
      </w:r>
      <w:r>
        <w:rPr>
          <w:color w:val="231F20"/>
          <w:spacing w:val="-9"/>
          <w:w w:val="110"/>
        </w:rPr>
        <w:t> </w:t>
      </w:r>
      <w:r>
        <w:rPr>
          <w:color w:val="231F20"/>
          <w:w w:val="110"/>
        </w:rPr>
        <w:t>que</w:t>
      </w:r>
      <w:r>
        <w:rPr>
          <w:color w:val="231F20"/>
          <w:spacing w:val="-10"/>
          <w:w w:val="110"/>
        </w:rPr>
        <w:t> </w:t>
      </w:r>
      <w:r>
        <w:rPr>
          <w:color w:val="231F20"/>
          <w:w w:val="110"/>
        </w:rPr>
        <w:t>está</w:t>
      </w:r>
      <w:r>
        <w:rPr>
          <w:color w:val="231F20"/>
          <w:spacing w:val="-9"/>
          <w:w w:val="110"/>
        </w:rPr>
        <w:t> </w:t>
      </w:r>
      <w:r>
        <w:rPr>
          <w:color w:val="231F20"/>
          <w:w w:val="110"/>
        </w:rPr>
        <w:t>por</w:t>
      </w:r>
      <w:r>
        <w:rPr>
          <w:color w:val="231F20"/>
          <w:spacing w:val="-10"/>
          <w:w w:val="110"/>
        </w:rPr>
        <w:t> </w:t>
      </w:r>
      <w:r>
        <w:rPr>
          <w:color w:val="231F20"/>
          <w:w w:val="110"/>
        </w:rPr>
        <w:t>debajo</w:t>
      </w:r>
      <w:r>
        <w:rPr>
          <w:color w:val="231F20"/>
          <w:spacing w:val="-9"/>
          <w:w w:val="110"/>
        </w:rPr>
        <w:t> </w:t>
      </w:r>
      <w:r>
        <w:rPr>
          <w:color w:val="231F20"/>
          <w:w w:val="110"/>
        </w:rPr>
        <w:t>de</w:t>
      </w:r>
      <w:r>
        <w:rPr>
          <w:color w:val="231F20"/>
          <w:spacing w:val="-10"/>
          <w:w w:val="110"/>
        </w:rPr>
        <w:t> </w:t>
      </w:r>
      <w:r>
        <w:rPr>
          <w:color w:val="231F20"/>
          <w:w w:val="110"/>
        </w:rPr>
        <w:t>las</w:t>
      </w:r>
      <w:r>
        <w:rPr>
          <w:color w:val="231F20"/>
          <w:spacing w:val="-9"/>
          <w:w w:val="110"/>
        </w:rPr>
        <w:t> </w:t>
      </w:r>
      <w:r>
        <w:rPr>
          <w:color w:val="231F20"/>
          <w:w w:val="110"/>
        </w:rPr>
        <w:t>expectativas de buena parte de los análisis y pronósticos, en cuyas evaluaciones se hablaba de un agotamiento, ocaso o hasta de colapso. En este sentido, la pérdida de fuerza y de espacios por parte de la corriente neoconservadora —privilegiada durante el periodo de </w:t>
      </w:r>
      <w:r>
        <w:rPr>
          <w:color w:val="231F20"/>
          <w:spacing w:val="-6"/>
          <w:w w:val="110"/>
        </w:rPr>
        <w:t>W. </w:t>
      </w:r>
      <w:r>
        <w:rPr>
          <w:color w:val="231F20"/>
          <w:w w:val="110"/>
        </w:rPr>
        <w:t>Bush— no significa un abandono de la escena política. De hecho, algunas figuras relevantes de aquella administración mantienen presencia e influencia, al tiempo que se observa una permanencia en determi- nadas</w:t>
      </w:r>
      <w:r>
        <w:rPr>
          <w:color w:val="231F20"/>
          <w:spacing w:val="-10"/>
          <w:w w:val="110"/>
        </w:rPr>
        <w:t> </w:t>
      </w:r>
      <w:r>
        <w:rPr>
          <w:color w:val="231F20"/>
          <w:w w:val="110"/>
        </w:rPr>
        <w:t>publicaciones</w:t>
      </w:r>
      <w:r>
        <w:rPr>
          <w:color w:val="231F20"/>
          <w:spacing w:val="-10"/>
          <w:w w:val="110"/>
        </w:rPr>
        <w:t> </w:t>
      </w:r>
      <w:r>
        <w:rPr>
          <w:color w:val="231F20"/>
          <w:w w:val="110"/>
        </w:rPr>
        <w:t>e</w:t>
      </w:r>
      <w:r>
        <w:rPr>
          <w:color w:val="231F20"/>
          <w:spacing w:val="-10"/>
          <w:w w:val="110"/>
        </w:rPr>
        <w:t> </w:t>
      </w:r>
      <w:r>
        <w:rPr>
          <w:color w:val="231F20"/>
          <w:w w:val="110"/>
        </w:rPr>
        <w:t>instituciones</w:t>
      </w:r>
      <w:r>
        <w:rPr>
          <w:color w:val="231F20"/>
          <w:spacing w:val="-10"/>
          <w:w w:val="110"/>
        </w:rPr>
        <w:t> </w:t>
      </w:r>
      <w:r>
        <w:rPr>
          <w:color w:val="231F20"/>
          <w:w w:val="110"/>
        </w:rPr>
        <w:t>académicas</w:t>
      </w:r>
      <w:r>
        <w:rPr>
          <w:color w:val="231F20"/>
          <w:spacing w:val="-10"/>
          <w:w w:val="110"/>
        </w:rPr>
        <w:t> </w:t>
      </w:r>
      <w:r>
        <w:rPr>
          <w:color w:val="231F20"/>
          <w:w w:val="110"/>
        </w:rPr>
        <w:t>de</w:t>
      </w:r>
      <w:r>
        <w:rPr>
          <w:color w:val="231F20"/>
          <w:spacing w:val="-10"/>
          <w:w w:val="110"/>
        </w:rPr>
        <w:t> </w:t>
      </w:r>
      <w:r>
        <w:rPr>
          <w:color w:val="231F20"/>
          <w:w w:val="110"/>
        </w:rPr>
        <w:t>sus</w:t>
      </w:r>
      <w:r>
        <w:rPr>
          <w:color w:val="231F20"/>
          <w:spacing w:val="-10"/>
          <w:w w:val="110"/>
        </w:rPr>
        <w:t> </w:t>
      </w:r>
      <w:r>
        <w:rPr>
          <w:color w:val="231F20"/>
          <w:w w:val="110"/>
        </w:rPr>
        <w:t>ideólogos</w:t>
      </w:r>
      <w:r>
        <w:rPr>
          <w:color w:val="231F20"/>
          <w:spacing w:val="-10"/>
          <w:w w:val="110"/>
        </w:rPr>
        <w:t> </w:t>
      </w:r>
      <w:r>
        <w:rPr>
          <w:color w:val="231F20"/>
          <w:w w:val="110"/>
        </w:rPr>
        <w:t>más </w:t>
      </w:r>
      <w:r>
        <w:rPr>
          <w:color w:val="231F20"/>
          <w:w w:val="105"/>
        </w:rPr>
        <w:t>importantes,</w:t>
      </w:r>
      <w:r>
        <w:rPr>
          <w:color w:val="231F20"/>
          <w:spacing w:val="-8"/>
          <w:w w:val="105"/>
        </w:rPr>
        <w:t> </w:t>
      </w:r>
      <w:r>
        <w:rPr>
          <w:color w:val="231F20"/>
          <w:w w:val="105"/>
        </w:rPr>
        <w:t>como</w:t>
      </w:r>
      <w:r>
        <w:rPr>
          <w:color w:val="231F20"/>
          <w:spacing w:val="-8"/>
          <w:w w:val="105"/>
        </w:rPr>
        <w:t> </w:t>
      </w:r>
      <w:r>
        <w:rPr>
          <w:color w:val="231F20"/>
          <w:w w:val="105"/>
        </w:rPr>
        <w:t>la</w:t>
      </w:r>
      <w:r>
        <w:rPr>
          <w:color w:val="231F20"/>
          <w:spacing w:val="-8"/>
          <w:w w:val="105"/>
        </w:rPr>
        <w:t> </w:t>
      </w:r>
      <w:r>
        <w:rPr>
          <w:color w:val="231F20"/>
          <w:w w:val="105"/>
        </w:rPr>
        <w:t>revista</w:t>
      </w:r>
      <w:r>
        <w:rPr>
          <w:color w:val="231F20"/>
          <w:spacing w:val="-8"/>
          <w:w w:val="105"/>
        </w:rPr>
        <w:t> </w:t>
      </w:r>
      <w:r>
        <w:rPr>
          <w:i/>
          <w:color w:val="231F20"/>
          <w:w w:val="105"/>
        </w:rPr>
        <w:t>Commentary</w:t>
      </w:r>
      <w:r>
        <w:rPr>
          <w:i/>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i/>
          <w:color w:val="231F20"/>
          <w:w w:val="105"/>
        </w:rPr>
        <w:t>American</w:t>
      </w:r>
      <w:r>
        <w:rPr>
          <w:i/>
          <w:color w:val="231F20"/>
          <w:spacing w:val="-8"/>
          <w:w w:val="105"/>
        </w:rPr>
        <w:t> </w:t>
      </w:r>
      <w:r>
        <w:rPr>
          <w:i/>
          <w:color w:val="231F20"/>
          <w:w w:val="105"/>
        </w:rPr>
        <w:t>Enterprise</w:t>
      </w:r>
      <w:r>
        <w:rPr>
          <w:i/>
          <w:color w:val="231F20"/>
          <w:spacing w:val="-8"/>
          <w:w w:val="105"/>
        </w:rPr>
        <w:t> </w:t>
      </w:r>
      <w:r>
        <w:rPr>
          <w:i/>
          <w:color w:val="231F20"/>
          <w:w w:val="105"/>
        </w:rPr>
        <w:t>Ins- </w:t>
      </w:r>
      <w:r>
        <w:rPr>
          <w:i/>
          <w:color w:val="231F20"/>
          <w:w w:val="110"/>
        </w:rPr>
        <w:t>titute</w:t>
      </w:r>
      <w:r>
        <w:rPr>
          <w:color w:val="231F20"/>
          <w:w w:val="110"/>
        </w:rPr>
        <w:t>. Por esa vía se alimenta la idea de que se necesita un gobierno vigoroso</w:t>
      </w:r>
      <w:r>
        <w:rPr>
          <w:color w:val="231F20"/>
          <w:spacing w:val="-11"/>
          <w:w w:val="110"/>
        </w:rPr>
        <w:t> </w:t>
      </w:r>
      <w:r>
        <w:rPr>
          <w:color w:val="231F20"/>
          <w:w w:val="110"/>
        </w:rPr>
        <w:t>y</w:t>
      </w:r>
      <w:r>
        <w:rPr>
          <w:color w:val="231F20"/>
          <w:spacing w:val="-11"/>
          <w:w w:val="110"/>
        </w:rPr>
        <w:t> </w:t>
      </w:r>
      <w:r>
        <w:rPr>
          <w:color w:val="231F20"/>
          <w:w w:val="110"/>
        </w:rPr>
        <w:t>se</w:t>
      </w:r>
      <w:r>
        <w:rPr>
          <w:color w:val="231F20"/>
          <w:spacing w:val="-11"/>
          <w:w w:val="110"/>
        </w:rPr>
        <w:t> </w:t>
      </w:r>
      <w:r>
        <w:rPr>
          <w:color w:val="231F20"/>
          <w:w w:val="110"/>
        </w:rPr>
        <w:t>legitima</w:t>
      </w:r>
      <w:r>
        <w:rPr>
          <w:color w:val="231F20"/>
          <w:spacing w:val="-11"/>
          <w:w w:val="110"/>
        </w:rPr>
        <w:t> </w:t>
      </w:r>
      <w:r>
        <w:rPr>
          <w:color w:val="231F20"/>
          <w:w w:val="110"/>
        </w:rPr>
        <w:t>el</w:t>
      </w:r>
      <w:r>
        <w:rPr>
          <w:color w:val="231F20"/>
          <w:spacing w:val="-11"/>
          <w:w w:val="110"/>
        </w:rPr>
        <w:t> </w:t>
      </w:r>
      <w:r>
        <w:rPr>
          <w:color w:val="231F20"/>
          <w:w w:val="110"/>
        </w:rPr>
        <w:t>uso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fuerza</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relaciones</w:t>
      </w:r>
      <w:r>
        <w:rPr>
          <w:color w:val="231F20"/>
          <w:spacing w:val="-11"/>
          <w:w w:val="110"/>
        </w:rPr>
        <w:t> </w:t>
      </w:r>
      <w:r>
        <w:rPr>
          <w:color w:val="231F20"/>
          <w:w w:val="110"/>
        </w:rPr>
        <w:t>internacio- nales, incluida la</w:t>
      </w:r>
      <w:r>
        <w:rPr>
          <w:color w:val="231F20"/>
          <w:spacing w:val="9"/>
          <w:w w:val="110"/>
        </w:rPr>
        <w:t> </w:t>
      </w:r>
      <w:r>
        <w:rPr>
          <w:color w:val="231F20"/>
          <w:spacing w:val="-3"/>
          <w:w w:val="110"/>
        </w:rPr>
        <w:t>militar.</w:t>
      </w:r>
    </w:p>
    <w:p>
      <w:pPr>
        <w:pStyle w:val="BodyText"/>
        <w:spacing w:line="261" w:lineRule="auto"/>
        <w:ind w:left="100" w:right="117" w:firstLine="240"/>
        <w:jc w:val="both"/>
      </w:pPr>
      <w:r>
        <w:rPr>
          <w:color w:val="231F20"/>
          <w:w w:val="110"/>
        </w:rPr>
        <w:t>A</w:t>
      </w:r>
      <w:r>
        <w:rPr>
          <w:color w:val="231F20"/>
          <w:spacing w:val="-9"/>
          <w:w w:val="110"/>
        </w:rPr>
        <w:t> </w:t>
      </w:r>
      <w:r>
        <w:rPr>
          <w:color w:val="231F20"/>
          <w:w w:val="110"/>
        </w:rPr>
        <w:t>la</w:t>
      </w:r>
      <w:r>
        <w:rPr>
          <w:color w:val="231F20"/>
          <w:spacing w:val="-9"/>
          <w:w w:val="110"/>
        </w:rPr>
        <w:t> </w:t>
      </w:r>
      <w:r>
        <w:rPr>
          <w:color w:val="231F20"/>
          <w:spacing w:val="-5"/>
          <w:w w:val="110"/>
        </w:rPr>
        <w:t>par,</w:t>
      </w:r>
      <w:r>
        <w:rPr>
          <w:color w:val="231F20"/>
          <w:spacing w:val="-9"/>
          <w:w w:val="110"/>
        </w:rPr>
        <w:t> </w:t>
      </w:r>
      <w:r>
        <w:rPr>
          <w:color w:val="231F20"/>
          <w:w w:val="110"/>
        </w:rPr>
        <w:t>otras</w:t>
      </w:r>
      <w:r>
        <w:rPr>
          <w:color w:val="231F20"/>
          <w:spacing w:val="-9"/>
          <w:w w:val="110"/>
        </w:rPr>
        <w:t> </w:t>
      </w:r>
      <w:r>
        <w:rPr>
          <w:color w:val="231F20"/>
          <w:w w:val="110"/>
        </w:rPr>
        <w:t>concepciones</w:t>
      </w:r>
      <w:r>
        <w:rPr>
          <w:color w:val="231F20"/>
          <w:spacing w:val="-9"/>
          <w:w w:val="110"/>
        </w:rPr>
        <w:t> </w:t>
      </w:r>
      <w:r>
        <w:rPr>
          <w:color w:val="231F20"/>
          <w:w w:val="110"/>
        </w:rPr>
        <w:t>más</w:t>
      </w:r>
      <w:r>
        <w:rPr>
          <w:color w:val="231F20"/>
          <w:spacing w:val="-9"/>
          <w:w w:val="110"/>
        </w:rPr>
        <w:t> </w:t>
      </w:r>
      <w:r>
        <w:rPr>
          <w:color w:val="231F20"/>
          <w:w w:val="110"/>
        </w:rPr>
        <w:t>ligadas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llamada</w:t>
      </w:r>
      <w:r>
        <w:rPr>
          <w:color w:val="231F20"/>
          <w:spacing w:val="-9"/>
          <w:w w:val="110"/>
        </w:rPr>
        <w:t> </w:t>
      </w:r>
      <w:r>
        <w:rPr>
          <w:color w:val="231F20"/>
          <w:w w:val="110"/>
        </w:rPr>
        <w:t>“nueva</w:t>
      </w:r>
      <w:r>
        <w:rPr>
          <w:color w:val="231F20"/>
          <w:spacing w:val="-9"/>
          <w:w w:val="110"/>
        </w:rPr>
        <w:t> </w:t>
      </w:r>
      <w:r>
        <w:rPr>
          <w:color w:val="231F20"/>
          <w:w w:val="110"/>
        </w:rPr>
        <w:t>dere- cha”</w:t>
      </w:r>
      <w:r>
        <w:rPr>
          <w:color w:val="231F20"/>
          <w:spacing w:val="-23"/>
          <w:w w:val="110"/>
        </w:rPr>
        <w:t> </w:t>
      </w:r>
      <w:r>
        <w:rPr>
          <w:color w:val="231F20"/>
          <w:w w:val="110"/>
        </w:rPr>
        <w:t>y</w:t>
      </w:r>
      <w:r>
        <w:rPr>
          <w:color w:val="231F20"/>
          <w:spacing w:val="-23"/>
          <w:w w:val="110"/>
        </w:rPr>
        <w:t> </w:t>
      </w:r>
      <w:r>
        <w:rPr>
          <w:color w:val="231F20"/>
          <w:w w:val="110"/>
        </w:rPr>
        <w:t>a</w:t>
      </w:r>
      <w:r>
        <w:rPr>
          <w:color w:val="231F20"/>
          <w:spacing w:val="-23"/>
          <w:w w:val="110"/>
        </w:rPr>
        <w:t> </w:t>
      </w:r>
      <w:r>
        <w:rPr>
          <w:color w:val="231F20"/>
          <w:w w:val="110"/>
        </w:rPr>
        <w:t>la</w:t>
      </w:r>
      <w:r>
        <w:rPr>
          <w:color w:val="231F20"/>
          <w:spacing w:val="-23"/>
          <w:w w:val="110"/>
        </w:rPr>
        <w:t> </w:t>
      </w:r>
      <w:r>
        <w:rPr>
          <w:color w:val="231F20"/>
          <w:w w:val="110"/>
        </w:rPr>
        <w:t>derecha</w:t>
      </w:r>
      <w:r>
        <w:rPr>
          <w:color w:val="231F20"/>
          <w:spacing w:val="-23"/>
          <w:w w:val="110"/>
        </w:rPr>
        <w:t> </w:t>
      </w:r>
      <w:r>
        <w:rPr>
          <w:color w:val="231F20"/>
          <w:w w:val="110"/>
        </w:rPr>
        <w:t>tradicional</w:t>
      </w:r>
      <w:r>
        <w:rPr>
          <w:color w:val="231F20"/>
          <w:spacing w:val="-23"/>
          <w:w w:val="110"/>
        </w:rPr>
        <w:t> </w:t>
      </w:r>
      <w:r>
        <w:rPr>
          <w:color w:val="231F20"/>
          <w:w w:val="110"/>
        </w:rPr>
        <w:t>gravitan</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w w:val="110"/>
        </w:rPr>
        <w:t>vida</w:t>
      </w:r>
      <w:r>
        <w:rPr>
          <w:color w:val="231F20"/>
          <w:spacing w:val="-23"/>
          <w:w w:val="110"/>
        </w:rPr>
        <w:t> </w:t>
      </w:r>
      <w:r>
        <w:rPr>
          <w:color w:val="231F20"/>
          <w:w w:val="110"/>
        </w:rPr>
        <w:t>intelectual</w:t>
      </w:r>
      <w:r>
        <w:rPr>
          <w:color w:val="231F20"/>
          <w:spacing w:val="-23"/>
          <w:w w:val="110"/>
        </w:rPr>
        <w:t> </w:t>
      </w:r>
      <w:r>
        <w:rPr>
          <w:color w:val="231F20"/>
          <w:w w:val="110"/>
        </w:rPr>
        <w:t>y</w:t>
      </w:r>
      <w:r>
        <w:rPr>
          <w:color w:val="231F20"/>
          <w:spacing w:val="-23"/>
          <w:w w:val="110"/>
        </w:rPr>
        <w:t> </w:t>
      </w:r>
      <w:r>
        <w:rPr>
          <w:color w:val="231F20"/>
          <w:w w:val="110"/>
        </w:rPr>
        <w:t>política, apelando a argumentos que atacan la figura de Obama, señalando que viola la Constitución y descalificándolo a partir de su condición etnorracial, de su posición política, que asocian al liberalismo y al antinorteamericanismo. Estas reacciones se expresan tanto a   </w:t>
      </w:r>
      <w:r>
        <w:rPr>
          <w:color w:val="231F20"/>
          <w:spacing w:val="37"/>
          <w:w w:val="110"/>
        </w:rPr>
        <w:t> </w:t>
      </w:r>
      <w:r>
        <w:rPr>
          <w:color w:val="231F20"/>
          <w:w w:val="110"/>
        </w:rPr>
        <w:t>nivel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de algunas instituciones académicas identificadas como “tanques pensantes”, al estilo de la </w:t>
      </w:r>
      <w:r>
        <w:rPr>
          <w:i/>
          <w:color w:val="231F20"/>
          <w:w w:val="105"/>
        </w:rPr>
        <w:t>Heritage Foundation</w:t>
      </w:r>
      <w:r>
        <w:rPr>
          <w:color w:val="231F20"/>
          <w:w w:val="105"/>
        </w:rPr>
        <w:t>, como de movimien- tos sociopolíticos, como sería el caso del llamado </w:t>
      </w:r>
      <w:r>
        <w:rPr>
          <w:i/>
          <w:color w:val="231F20"/>
          <w:spacing w:val="-7"/>
          <w:w w:val="105"/>
        </w:rPr>
        <w:t>Tea </w:t>
      </w:r>
      <w:r>
        <w:rPr>
          <w:i/>
          <w:color w:val="231F20"/>
          <w:w w:val="105"/>
        </w:rPr>
        <w:t>Party</w:t>
      </w:r>
      <w:r>
        <w:rPr>
          <w:color w:val="231F20"/>
          <w:w w:val="105"/>
        </w:rPr>
        <w:t>, o de la agrupación </w:t>
      </w:r>
      <w:r>
        <w:rPr>
          <w:i/>
          <w:color w:val="231F20"/>
          <w:w w:val="105"/>
        </w:rPr>
        <w:t>Birthers</w:t>
      </w:r>
      <w:r>
        <w:rPr>
          <w:color w:val="231F20"/>
          <w:w w:val="105"/>
        </w:rPr>
        <w:t>, en las que, respectivamente, se distinguen por su activismo populista Sarah Palin y Liza </w:t>
      </w:r>
      <w:r>
        <w:rPr>
          <w:color w:val="231F20"/>
          <w:spacing w:val="-3"/>
          <w:w w:val="105"/>
        </w:rPr>
        <w:t>Cheney, </w:t>
      </w:r>
      <w:r>
        <w:rPr>
          <w:color w:val="231F20"/>
          <w:w w:val="105"/>
        </w:rPr>
        <w:t>esgrimiendo criterios nativistas, racistas y xenófobos. Una conocida organización cuya voz se había silenciado en los últimos años, como la fanática </w:t>
      </w:r>
      <w:r>
        <w:rPr>
          <w:i/>
          <w:color w:val="231F20"/>
          <w:w w:val="105"/>
        </w:rPr>
        <w:t>John Birch </w:t>
      </w:r>
      <w:r>
        <w:rPr>
          <w:i/>
          <w:color w:val="231F20"/>
          <w:w w:val="105"/>
        </w:rPr>
        <w:t>Society</w:t>
      </w:r>
      <w:r>
        <w:rPr>
          <w:color w:val="231F20"/>
          <w:w w:val="105"/>
        </w:rPr>
        <w:t>, reaparece en la vida social estadunidense. Junto a todo ello, permanecen las manifestaciones de derecha radical, como las de la </w:t>
      </w:r>
      <w:r>
        <w:rPr>
          <w:i/>
          <w:color w:val="231F20"/>
          <w:w w:val="105"/>
        </w:rPr>
        <w:t>National Rifle Association</w:t>
      </w:r>
      <w:r>
        <w:rPr>
          <w:color w:val="231F20"/>
          <w:w w:val="105"/>
        </w:rPr>
        <w:t>, y del fundamentalismo protestante, asocia- das a la conocida “derecha religiosa” (George,    </w:t>
      </w:r>
      <w:r>
        <w:rPr>
          <w:color w:val="231F20"/>
          <w:spacing w:val="13"/>
          <w:w w:val="105"/>
        </w:rPr>
        <w:t> </w:t>
      </w:r>
      <w:r>
        <w:rPr>
          <w:color w:val="231F20"/>
          <w:w w:val="105"/>
        </w:rPr>
        <w:t>2007).</w:t>
      </w:r>
    </w:p>
    <w:p>
      <w:pPr>
        <w:pStyle w:val="BodyText"/>
      </w:pPr>
    </w:p>
    <w:p>
      <w:pPr>
        <w:pStyle w:val="BodyText"/>
      </w:pPr>
    </w:p>
    <w:p>
      <w:pPr>
        <w:pStyle w:val="BodyText"/>
        <w:spacing w:before="2"/>
        <w:rPr>
          <w:sz w:val="25"/>
        </w:rPr>
      </w:pPr>
    </w:p>
    <w:p>
      <w:pPr>
        <w:pStyle w:val="BodyText"/>
        <w:spacing w:line="261" w:lineRule="auto"/>
        <w:ind w:left="100" w:right="1581"/>
      </w:pPr>
      <w:r>
        <w:rPr>
          <w:color w:val="231F20"/>
          <w:w w:val="135"/>
        </w:rPr>
        <w:t>américa</w:t>
      </w:r>
      <w:r>
        <w:rPr>
          <w:color w:val="231F20"/>
          <w:spacing w:val="-35"/>
          <w:w w:val="135"/>
        </w:rPr>
        <w:t> </w:t>
      </w:r>
      <w:r>
        <w:rPr>
          <w:color w:val="231F20"/>
          <w:w w:val="135"/>
        </w:rPr>
        <w:t>latina,</w:t>
      </w:r>
      <w:r>
        <w:rPr>
          <w:color w:val="231F20"/>
          <w:spacing w:val="-35"/>
          <w:w w:val="135"/>
        </w:rPr>
        <w:t> </w:t>
      </w:r>
      <w:r>
        <w:rPr>
          <w:color w:val="231F20"/>
          <w:w w:val="135"/>
        </w:rPr>
        <w:t>el</w:t>
      </w:r>
      <w:r>
        <w:rPr>
          <w:color w:val="231F20"/>
          <w:spacing w:val="-35"/>
          <w:w w:val="135"/>
        </w:rPr>
        <w:t> </w:t>
      </w:r>
      <w:r>
        <w:rPr>
          <w:color w:val="231F20"/>
          <w:w w:val="135"/>
        </w:rPr>
        <w:t>tablero</w:t>
      </w:r>
      <w:r>
        <w:rPr>
          <w:color w:val="231F20"/>
          <w:spacing w:val="-35"/>
          <w:w w:val="135"/>
        </w:rPr>
        <w:t> </w:t>
      </w:r>
      <w:r>
        <w:rPr>
          <w:color w:val="231F20"/>
          <w:w w:val="135"/>
        </w:rPr>
        <w:t>geopolítico</w:t>
      </w:r>
      <w:r>
        <w:rPr>
          <w:color w:val="231F20"/>
          <w:spacing w:val="-35"/>
          <w:w w:val="135"/>
        </w:rPr>
        <w:t> </w:t>
      </w:r>
      <w:r>
        <w:rPr>
          <w:color w:val="231F20"/>
          <w:w w:val="135"/>
        </w:rPr>
        <w:t>global </w:t>
      </w:r>
      <w:r>
        <w:rPr>
          <w:color w:val="231F20"/>
          <w:w w:val="130"/>
        </w:rPr>
        <w:t>y</w:t>
      </w:r>
      <w:r>
        <w:rPr>
          <w:color w:val="231F20"/>
          <w:spacing w:val="-24"/>
          <w:w w:val="130"/>
        </w:rPr>
        <w:t> </w:t>
      </w:r>
      <w:r>
        <w:rPr>
          <w:color w:val="231F20"/>
          <w:w w:val="130"/>
        </w:rPr>
        <w:t>la</w:t>
      </w:r>
      <w:r>
        <w:rPr>
          <w:color w:val="231F20"/>
          <w:spacing w:val="-24"/>
          <w:w w:val="130"/>
        </w:rPr>
        <w:t> </w:t>
      </w:r>
      <w:r>
        <w:rPr>
          <w:color w:val="231F20"/>
          <w:w w:val="130"/>
        </w:rPr>
        <w:t>política</w:t>
      </w:r>
      <w:r>
        <w:rPr>
          <w:color w:val="231F20"/>
          <w:spacing w:val="-24"/>
          <w:w w:val="130"/>
        </w:rPr>
        <w:t> </w:t>
      </w:r>
      <w:r>
        <w:rPr>
          <w:color w:val="231F20"/>
          <w:w w:val="130"/>
        </w:rPr>
        <w:t>estadunidense</w:t>
      </w:r>
    </w:p>
    <w:p>
      <w:pPr>
        <w:pStyle w:val="BodyText"/>
        <w:spacing w:before="8"/>
        <w:rPr>
          <w:sz w:val="21"/>
        </w:rPr>
      </w:pPr>
    </w:p>
    <w:p>
      <w:pPr>
        <w:pStyle w:val="BodyText"/>
        <w:spacing w:line="261" w:lineRule="auto"/>
        <w:ind w:left="100" w:right="117"/>
        <w:jc w:val="both"/>
      </w:pPr>
      <w:r>
        <w:rPr>
          <w:color w:val="231F20"/>
          <w:w w:val="110"/>
        </w:rPr>
        <w:t>El</w:t>
      </w:r>
      <w:r>
        <w:rPr>
          <w:color w:val="231F20"/>
          <w:spacing w:val="-10"/>
          <w:w w:val="110"/>
        </w:rPr>
        <w:t> </w:t>
      </w:r>
      <w:r>
        <w:rPr>
          <w:color w:val="231F20"/>
          <w:w w:val="110"/>
        </w:rPr>
        <w:t>proceso</w:t>
      </w:r>
      <w:r>
        <w:rPr>
          <w:color w:val="231F20"/>
          <w:spacing w:val="-10"/>
          <w:w w:val="110"/>
        </w:rPr>
        <w:t> </w:t>
      </w:r>
      <w:r>
        <w:rPr>
          <w:color w:val="231F20"/>
          <w:w w:val="110"/>
        </w:rPr>
        <w:t>electoral</w:t>
      </w:r>
      <w:r>
        <w:rPr>
          <w:color w:val="231F20"/>
          <w:spacing w:val="-10"/>
          <w:w w:val="110"/>
        </w:rPr>
        <w:t> </w:t>
      </w:r>
      <w:r>
        <w:rPr>
          <w:color w:val="231F20"/>
          <w:w w:val="110"/>
        </w:rPr>
        <w:t>de</w:t>
      </w:r>
      <w:r>
        <w:rPr>
          <w:color w:val="231F20"/>
          <w:spacing w:val="-10"/>
          <w:w w:val="110"/>
        </w:rPr>
        <w:t> </w:t>
      </w:r>
      <w:r>
        <w:rPr>
          <w:color w:val="231F20"/>
          <w:w w:val="110"/>
        </w:rPr>
        <w:t>2008</w:t>
      </w:r>
      <w:r>
        <w:rPr>
          <w:color w:val="231F20"/>
          <w:spacing w:val="-10"/>
          <w:w w:val="110"/>
        </w:rPr>
        <w:t> </w:t>
      </w:r>
      <w:r>
        <w:rPr>
          <w:color w:val="231F20"/>
          <w:w w:val="110"/>
        </w:rPr>
        <w:t>conllevaba,</w:t>
      </w:r>
      <w:r>
        <w:rPr>
          <w:color w:val="231F20"/>
          <w:spacing w:val="-10"/>
          <w:w w:val="110"/>
        </w:rPr>
        <w:t> </w:t>
      </w:r>
      <w:r>
        <w:rPr>
          <w:color w:val="231F20"/>
          <w:w w:val="110"/>
        </w:rPr>
        <w:t>para</w:t>
      </w:r>
      <w:r>
        <w:rPr>
          <w:color w:val="231F20"/>
          <w:spacing w:val="-10"/>
          <w:w w:val="110"/>
        </w:rPr>
        <w:t> </w:t>
      </w:r>
      <w:r>
        <w:rPr>
          <w:color w:val="231F20"/>
          <w:w w:val="110"/>
        </w:rPr>
        <w:t>América</w:t>
      </w:r>
      <w:r>
        <w:rPr>
          <w:color w:val="231F20"/>
          <w:spacing w:val="-10"/>
          <w:w w:val="110"/>
        </w:rPr>
        <w:t> </w:t>
      </w:r>
      <w:r>
        <w:rPr>
          <w:color w:val="231F20"/>
          <w:w w:val="110"/>
        </w:rPr>
        <w:t>Latina,</w:t>
      </w:r>
      <w:r>
        <w:rPr>
          <w:color w:val="231F20"/>
          <w:spacing w:val="-10"/>
          <w:w w:val="110"/>
        </w:rPr>
        <w:t> </w:t>
      </w:r>
      <w:r>
        <w:rPr>
          <w:color w:val="231F20"/>
          <w:w w:val="110"/>
        </w:rPr>
        <w:t>un</w:t>
      </w:r>
      <w:r>
        <w:rPr>
          <w:color w:val="231F20"/>
          <w:spacing w:val="-10"/>
          <w:w w:val="110"/>
        </w:rPr>
        <w:t> </w:t>
      </w:r>
      <w:r>
        <w:rPr>
          <w:color w:val="231F20"/>
          <w:w w:val="110"/>
        </w:rPr>
        <w:t>va- lor agregado, en la medida en que estaba en juego la continuidad de una política exterior con un enfoque globalista, de raíz geopolítica, que</w:t>
      </w:r>
      <w:r>
        <w:rPr>
          <w:color w:val="231F20"/>
          <w:spacing w:val="-5"/>
          <w:w w:val="110"/>
        </w:rPr>
        <w:t> </w:t>
      </w:r>
      <w:r>
        <w:rPr>
          <w:color w:val="231F20"/>
          <w:w w:val="110"/>
        </w:rPr>
        <w:t>encuadraba</w:t>
      </w:r>
      <w:r>
        <w:rPr>
          <w:color w:val="231F20"/>
          <w:spacing w:val="-5"/>
          <w:w w:val="110"/>
        </w:rPr>
        <w:t> </w:t>
      </w:r>
      <w:r>
        <w:rPr>
          <w:color w:val="231F20"/>
          <w:w w:val="110"/>
        </w:rPr>
        <w:t>las</w:t>
      </w:r>
      <w:r>
        <w:rPr>
          <w:color w:val="231F20"/>
          <w:spacing w:val="-5"/>
          <w:w w:val="110"/>
        </w:rPr>
        <w:t> </w:t>
      </w:r>
      <w:r>
        <w:rPr>
          <w:color w:val="231F20"/>
          <w:w w:val="110"/>
        </w:rPr>
        <w:t>situaciones</w:t>
      </w:r>
      <w:r>
        <w:rPr>
          <w:color w:val="231F20"/>
          <w:spacing w:val="-5"/>
          <w:w w:val="110"/>
        </w:rPr>
        <w:t> </w:t>
      </w:r>
      <w:r>
        <w:rPr>
          <w:color w:val="231F20"/>
          <w:w w:val="110"/>
        </w:rPr>
        <w:t>mundiales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marco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supuesta lucha contra el terrorismo. </w:t>
      </w:r>
      <w:r>
        <w:rPr>
          <w:color w:val="231F20"/>
        </w:rPr>
        <w:t>Y </w:t>
      </w:r>
      <w:r>
        <w:rPr>
          <w:color w:val="231F20"/>
          <w:w w:val="110"/>
        </w:rPr>
        <w:t>que priorizaba los intereses de la lla- mada seguridad nacional, con implicaciones para el tratamiento de las relaciones con los países del subcontinente </w:t>
      </w:r>
      <w:r>
        <w:rPr>
          <w:color w:val="231F20"/>
          <w:spacing w:val="-8"/>
          <w:w w:val="110"/>
        </w:rPr>
        <w:t>y,</w:t>
      </w:r>
      <w:r>
        <w:rPr>
          <w:color w:val="231F20"/>
          <w:spacing w:val="-23"/>
          <w:w w:val="110"/>
        </w:rPr>
        <w:t> </w:t>
      </w:r>
      <w:r>
        <w:rPr>
          <w:color w:val="231F20"/>
          <w:w w:val="110"/>
        </w:rPr>
        <w:t>fundamentalmente, para la evolución de determinados conflictos, estimulando tensiones y</w:t>
      </w:r>
      <w:r>
        <w:rPr>
          <w:color w:val="231F20"/>
          <w:spacing w:val="-12"/>
          <w:w w:val="110"/>
        </w:rPr>
        <w:t> </w:t>
      </w:r>
      <w:r>
        <w:rPr>
          <w:color w:val="231F20"/>
          <w:w w:val="110"/>
        </w:rPr>
        <w:t>enfrentamientos.</w:t>
      </w:r>
      <w:r>
        <w:rPr>
          <w:color w:val="231F20"/>
          <w:spacing w:val="-12"/>
          <w:w w:val="110"/>
        </w:rPr>
        <w:t> </w:t>
      </w:r>
      <w:r>
        <w:rPr>
          <w:color w:val="231F20"/>
          <w:w w:val="110"/>
        </w:rPr>
        <w:t>Previo</w:t>
      </w:r>
      <w:r>
        <w:rPr>
          <w:color w:val="231F20"/>
          <w:spacing w:val="-12"/>
          <w:w w:val="110"/>
        </w:rPr>
        <w:t> </w:t>
      </w:r>
      <w:r>
        <w:rPr>
          <w:color w:val="231F20"/>
          <w:w w:val="110"/>
        </w:rPr>
        <w:t>al</w:t>
      </w:r>
      <w:r>
        <w:rPr>
          <w:color w:val="231F20"/>
          <w:spacing w:val="-12"/>
          <w:w w:val="110"/>
        </w:rPr>
        <w:t> </w:t>
      </w:r>
      <w:r>
        <w:rPr>
          <w:color w:val="231F20"/>
          <w:w w:val="110"/>
        </w:rPr>
        <w:t>4</w:t>
      </w:r>
      <w:r>
        <w:rPr>
          <w:color w:val="231F20"/>
          <w:spacing w:val="-12"/>
          <w:w w:val="110"/>
        </w:rPr>
        <w:t> </w:t>
      </w:r>
      <w:r>
        <w:rPr>
          <w:color w:val="231F20"/>
          <w:w w:val="110"/>
        </w:rPr>
        <w:t>de</w:t>
      </w:r>
      <w:r>
        <w:rPr>
          <w:color w:val="231F20"/>
          <w:spacing w:val="-12"/>
          <w:w w:val="110"/>
        </w:rPr>
        <w:t> </w:t>
      </w:r>
      <w:r>
        <w:rPr>
          <w:color w:val="231F20"/>
          <w:w w:val="110"/>
        </w:rPr>
        <w:t>noviembre</w:t>
      </w:r>
      <w:r>
        <w:rPr>
          <w:color w:val="231F20"/>
          <w:spacing w:val="-12"/>
          <w:w w:val="110"/>
        </w:rPr>
        <w:t> </w:t>
      </w:r>
      <w:r>
        <w:rPr>
          <w:color w:val="231F20"/>
          <w:w w:val="110"/>
        </w:rPr>
        <w:t>de</w:t>
      </w:r>
      <w:r>
        <w:rPr>
          <w:color w:val="231F20"/>
          <w:spacing w:val="-12"/>
          <w:w w:val="110"/>
        </w:rPr>
        <w:t> </w:t>
      </w:r>
      <w:r>
        <w:rPr>
          <w:color w:val="231F20"/>
          <w:w w:val="110"/>
        </w:rPr>
        <w:t>2008,</w:t>
      </w:r>
      <w:r>
        <w:rPr>
          <w:color w:val="231F20"/>
          <w:spacing w:val="-12"/>
          <w:w w:val="110"/>
        </w:rPr>
        <w:t> </w:t>
      </w:r>
      <w:r>
        <w:rPr>
          <w:color w:val="231F20"/>
          <w:w w:val="110"/>
        </w:rPr>
        <w:t>la</w:t>
      </w:r>
      <w:r>
        <w:rPr>
          <w:color w:val="231F20"/>
          <w:spacing w:val="-12"/>
          <w:w w:val="110"/>
        </w:rPr>
        <w:t> </w:t>
      </w:r>
      <w:r>
        <w:rPr>
          <w:color w:val="231F20"/>
          <w:w w:val="110"/>
        </w:rPr>
        <w:t>construcción del</w:t>
      </w:r>
      <w:r>
        <w:rPr>
          <w:color w:val="231F20"/>
          <w:spacing w:val="-11"/>
          <w:w w:val="110"/>
        </w:rPr>
        <w:t> </w:t>
      </w:r>
      <w:r>
        <w:rPr>
          <w:color w:val="231F20"/>
          <w:w w:val="110"/>
        </w:rPr>
        <w:t>muro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extensa</w:t>
      </w:r>
      <w:r>
        <w:rPr>
          <w:color w:val="231F20"/>
          <w:spacing w:val="-11"/>
          <w:w w:val="110"/>
        </w:rPr>
        <w:t> </w:t>
      </w:r>
      <w:r>
        <w:rPr>
          <w:color w:val="231F20"/>
          <w:w w:val="110"/>
        </w:rPr>
        <w:t>frontera</w:t>
      </w:r>
      <w:r>
        <w:rPr>
          <w:color w:val="231F20"/>
          <w:spacing w:val="-11"/>
          <w:w w:val="110"/>
        </w:rPr>
        <w:t> </w:t>
      </w:r>
      <w:r>
        <w:rPr>
          <w:color w:val="231F20"/>
          <w:w w:val="110"/>
        </w:rPr>
        <w:t>con</w:t>
      </w:r>
      <w:r>
        <w:rPr>
          <w:color w:val="231F20"/>
          <w:spacing w:val="-11"/>
          <w:w w:val="110"/>
        </w:rPr>
        <w:t> </w:t>
      </w:r>
      <w:r>
        <w:rPr>
          <w:color w:val="231F20"/>
          <w:w w:val="110"/>
        </w:rPr>
        <w:t>México,</w:t>
      </w:r>
      <w:r>
        <w:rPr>
          <w:color w:val="231F20"/>
          <w:spacing w:val="-11"/>
          <w:w w:val="110"/>
        </w:rPr>
        <w:t> </w:t>
      </w:r>
      <w:r>
        <w:rPr>
          <w:color w:val="231F20"/>
          <w:w w:val="110"/>
        </w:rPr>
        <w:t>la</w:t>
      </w:r>
      <w:r>
        <w:rPr>
          <w:color w:val="231F20"/>
          <w:spacing w:val="-11"/>
          <w:w w:val="110"/>
        </w:rPr>
        <w:t> </w:t>
      </w:r>
      <w:r>
        <w:rPr>
          <w:color w:val="231F20"/>
          <w:w w:val="110"/>
        </w:rPr>
        <w:t>persistencia</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Plan Colombia,</w:t>
      </w:r>
      <w:r>
        <w:rPr>
          <w:color w:val="231F20"/>
          <w:spacing w:val="-7"/>
          <w:w w:val="110"/>
        </w:rPr>
        <w:t> </w:t>
      </w:r>
      <w:r>
        <w:rPr>
          <w:color w:val="231F20"/>
          <w:w w:val="110"/>
        </w:rPr>
        <w:t>la</w:t>
      </w:r>
      <w:r>
        <w:rPr>
          <w:color w:val="231F20"/>
          <w:spacing w:val="-7"/>
          <w:w w:val="110"/>
        </w:rPr>
        <w:t> </w:t>
      </w:r>
      <w:r>
        <w:rPr>
          <w:color w:val="231F20"/>
          <w:w w:val="110"/>
        </w:rPr>
        <w:t>hostilidad</w:t>
      </w:r>
      <w:r>
        <w:rPr>
          <w:color w:val="231F20"/>
          <w:spacing w:val="-7"/>
          <w:w w:val="110"/>
        </w:rPr>
        <w:t> </w:t>
      </w:r>
      <w:r>
        <w:rPr>
          <w:color w:val="231F20"/>
          <w:w w:val="110"/>
        </w:rPr>
        <w:t>hacia</w:t>
      </w:r>
      <w:r>
        <w:rPr>
          <w:color w:val="231F20"/>
          <w:spacing w:val="-7"/>
          <w:w w:val="110"/>
        </w:rPr>
        <w:t> </w:t>
      </w:r>
      <w:r>
        <w:rPr>
          <w:color w:val="231F20"/>
          <w:w w:val="110"/>
        </w:rPr>
        <w:t>Venezuela</w:t>
      </w:r>
      <w:r>
        <w:rPr>
          <w:color w:val="231F20"/>
          <w:spacing w:val="-7"/>
          <w:w w:val="110"/>
        </w:rPr>
        <w:t> </w:t>
      </w:r>
      <w:r>
        <w:rPr>
          <w:color w:val="231F20"/>
          <w:w w:val="110"/>
        </w:rPr>
        <w:t>y</w:t>
      </w:r>
      <w:r>
        <w:rPr>
          <w:color w:val="231F20"/>
          <w:spacing w:val="-7"/>
          <w:w w:val="110"/>
        </w:rPr>
        <w:t> </w:t>
      </w:r>
      <w:r>
        <w:rPr>
          <w:color w:val="231F20"/>
          <w:w w:val="110"/>
        </w:rPr>
        <w:t>Bolivia,</w:t>
      </w:r>
      <w:r>
        <w:rPr>
          <w:color w:val="231F20"/>
          <w:spacing w:val="-7"/>
          <w:w w:val="110"/>
        </w:rPr>
        <w:t> </w:t>
      </w:r>
      <w:r>
        <w:rPr>
          <w:color w:val="231F20"/>
          <w:w w:val="110"/>
        </w:rPr>
        <w:t>junto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prolon- gada política de guerra fría mantenida hacia Cuba (y hasta profun- dizada con determinados actos), eran ejemplos ilustrativos, que se enriquecerían a lo largo del primer año de la administración</w:t>
      </w:r>
      <w:r>
        <w:rPr>
          <w:color w:val="231F20"/>
          <w:spacing w:val="-10"/>
          <w:w w:val="110"/>
        </w:rPr>
        <w:t> </w:t>
      </w:r>
      <w:r>
        <w:rPr>
          <w:color w:val="231F20"/>
          <w:w w:val="110"/>
        </w:rPr>
        <w:t>Obama, con la ampliación del sistema de bases militares en Colombia, el respaldo real al golpe de Estado en Honduras, la inclusión de Cuba en otra lista negra y la presencia militar en Haití, a raíz del desastre natural que sufrió, entre otros hechos (Fernández </w:t>
      </w:r>
      <w:r>
        <w:rPr>
          <w:color w:val="231F20"/>
          <w:spacing w:val="-3"/>
          <w:w w:val="110"/>
        </w:rPr>
        <w:t>Tabío,  </w:t>
      </w:r>
      <w:r>
        <w:rPr>
          <w:color w:val="231F20"/>
          <w:spacing w:val="22"/>
          <w:w w:val="110"/>
        </w:rPr>
        <w:t> </w:t>
      </w:r>
      <w:r>
        <w:rPr>
          <w:color w:val="231F20"/>
          <w:w w:val="110"/>
        </w:rPr>
        <w:t>2010).</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actual</w:t>
      </w:r>
      <w:r>
        <w:rPr>
          <w:color w:val="231F20"/>
          <w:spacing w:val="-6"/>
          <w:w w:val="110"/>
        </w:rPr>
        <w:t> </w:t>
      </w:r>
      <w:r>
        <w:rPr>
          <w:color w:val="231F20"/>
          <w:w w:val="110"/>
        </w:rPr>
        <w:t>etapa,</w:t>
      </w:r>
      <w:r>
        <w:rPr>
          <w:color w:val="231F20"/>
          <w:spacing w:val="-6"/>
          <w:w w:val="110"/>
        </w:rPr>
        <w:t> </w:t>
      </w:r>
      <w:r>
        <w:rPr>
          <w:color w:val="231F20"/>
          <w:w w:val="110"/>
        </w:rPr>
        <w:t>las</w:t>
      </w:r>
      <w:r>
        <w:rPr>
          <w:color w:val="231F20"/>
          <w:spacing w:val="-6"/>
          <w:w w:val="110"/>
        </w:rPr>
        <w:t> </w:t>
      </w:r>
      <w:r>
        <w:rPr>
          <w:color w:val="231F20"/>
          <w:w w:val="110"/>
        </w:rPr>
        <w:t>extendidas</w:t>
      </w:r>
      <w:r>
        <w:rPr>
          <w:color w:val="231F20"/>
          <w:spacing w:val="-6"/>
          <w:w w:val="110"/>
        </w:rPr>
        <w:t> </w:t>
      </w:r>
      <w:r>
        <w:rPr>
          <w:color w:val="231F20"/>
          <w:w w:val="110"/>
        </w:rPr>
        <w:t>condiciones</w:t>
      </w:r>
      <w:r>
        <w:rPr>
          <w:color w:val="231F20"/>
          <w:spacing w:val="-6"/>
          <w:w w:val="110"/>
        </w:rPr>
        <w:t> </w:t>
      </w:r>
      <w:r>
        <w:rPr>
          <w:color w:val="231F20"/>
          <w:w w:val="110"/>
        </w:rPr>
        <w:t>de</w:t>
      </w:r>
      <w:r>
        <w:rPr>
          <w:color w:val="231F20"/>
          <w:spacing w:val="-6"/>
          <w:w w:val="110"/>
        </w:rPr>
        <w:t> </w:t>
      </w:r>
      <w:r>
        <w:rPr>
          <w:color w:val="231F20"/>
          <w:w w:val="110"/>
        </w:rPr>
        <w:t>crisis</w:t>
      </w:r>
      <w:r>
        <w:rPr>
          <w:color w:val="231F20"/>
          <w:spacing w:val="-6"/>
          <w:w w:val="110"/>
        </w:rPr>
        <w:t> </w:t>
      </w:r>
      <w:r>
        <w:rPr>
          <w:color w:val="231F20"/>
          <w:w w:val="110"/>
        </w:rPr>
        <w:t>económica y financiera, así como otras dificultades socioeconómicas y</w:t>
      </w:r>
      <w:r>
        <w:rPr>
          <w:color w:val="231F20"/>
          <w:spacing w:val="-32"/>
          <w:w w:val="110"/>
        </w:rPr>
        <w:t> </w:t>
      </w:r>
      <w:r>
        <w:rPr>
          <w:color w:val="231F20"/>
          <w:w w:val="110"/>
        </w:rPr>
        <w:t>políticas que estallaron con fuerza en los meses previos a las elecciones y favorecieron la victoria electoral de Obama en el 2008, se han </w:t>
      </w:r>
      <w:r>
        <w:rPr>
          <w:color w:val="231F20"/>
          <w:spacing w:val="37"/>
          <w:w w:val="110"/>
        </w:rPr>
        <w:t> </w:t>
      </w:r>
      <w:r>
        <w:rPr>
          <w:color w:val="231F20"/>
          <w:w w:val="110"/>
        </w:rPr>
        <w:t>con-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vertido, como se previó, en obtáculos significativos para el avance de una política distinta, una vez instalado Obama en la Casa Blanca (Rove, 2009). Ello podría explicarse, en parte, por una combinación de</w:t>
      </w:r>
      <w:r>
        <w:rPr>
          <w:color w:val="231F20"/>
          <w:spacing w:val="-12"/>
          <w:w w:val="110"/>
        </w:rPr>
        <w:t> </w:t>
      </w:r>
      <w:r>
        <w:rPr>
          <w:color w:val="231F20"/>
          <w:w w:val="110"/>
        </w:rPr>
        <w:t>tres</w:t>
      </w:r>
      <w:r>
        <w:rPr>
          <w:color w:val="231F20"/>
          <w:spacing w:val="-12"/>
          <w:w w:val="110"/>
        </w:rPr>
        <w:t> </w:t>
      </w:r>
      <w:r>
        <w:rPr>
          <w:color w:val="231F20"/>
          <w:w w:val="110"/>
        </w:rPr>
        <w:t>grupos</w:t>
      </w:r>
      <w:r>
        <w:rPr>
          <w:color w:val="231F20"/>
          <w:spacing w:val="-12"/>
          <w:w w:val="110"/>
        </w:rPr>
        <w:t> </w:t>
      </w:r>
      <w:r>
        <w:rPr>
          <w:color w:val="231F20"/>
          <w:w w:val="110"/>
        </w:rPr>
        <w:t>de</w:t>
      </w:r>
      <w:r>
        <w:rPr>
          <w:color w:val="231F20"/>
          <w:spacing w:val="-12"/>
          <w:w w:val="110"/>
        </w:rPr>
        <w:t> </w:t>
      </w:r>
      <w:r>
        <w:rPr>
          <w:color w:val="231F20"/>
          <w:w w:val="110"/>
        </w:rPr>
        <w:t>factores</w:t>
      </w:r>
      <w:r>
        <w:rPr>
          <w:color w:val="231F20"/>
          <w:spacing w:val="-12"/>
          <w:w w:val="110"/>
        </w:rPr>
        <w:t> </w:t>
      </w:r>
      <w:r>
        <w:rPr>
          <w:color w:val="231F20"/>
          <w:w w:val="110"/>
        </w:rPr>
        <w:t>principales,</w:t>
      </w:r>
      <w:r>
        <w:rPr>
          <w:color w:val="231F20"/>
          <w:spacing w:val="-12"/>
          <w:w w:val="110"/>
        </w:rPr>
        <w:t> </w:t>
      </w:r>
      <w:r>
        <w:rPr>
          <w:color w:val="231F20"/>
          <w:w w:val="110"/>
        </w:rPr>
        <w:t>que</w:t>
      </w:r>
      <w:r>
        <w:rPr>
          <w:color w:val="231F20"/>
          <w:spacing w:val="-12"/>
          <w:w w:val="110"/>
        </w:rPr>
        <w:t> </w:t>
      </w:r>
      <w:r>
        <w:rPr>
          <w:color w:val="231F20"/>
          <w:w w:val="110"/>
        </w:rPr>
        <w:t>conllevan</w:t>
      </w:r>
      <w:r>
        <w:rPr>
          <w:color w:val="231F20"/>
          <w:spacing w:val="-12"/>
          <w:w w:val="110"/>
        </w:rPr>
        <w:t> </w:t>
      </w:r>
      <w:r>
        <w:rPr>
          <w:color w:val="231F20"/>
          <w:w w:val="110"/>
        </w:rPr>
        <w:t>una</w:t>
      </w:r>
      <w:r>
        <w:rPr>
          <w:color w:val="231F20"/>
          <w:spacing w:val="-12"/>
          <w:w w:val="110"/>
        </w:rPr>
        <w:t> </w:t>
      </w:r>
      <w:r>
        <w:rPr>
          <w:color w:val="231F20"/>
          <w:w w:val="110"/>
        </w:rPr>
        <w:t>redefinición geopolítica</w:t>
      </w:r>
      <w:r>
        <w:rPr>
          <w:color w:val="231F20"/>
          <w:spacing w:val="-4"/>
          <w:w w:val="110"/>
        </w:rPr>
        <w:t> </w:t>
      </w:r>
      <w:r>
        <w:rPr>
          <w:color w:val="231F20"/>
          <w:w w:val="110"/>
        </w:rPr>
        <w:t>global.</w:t>
      </w:r>
      <w:r>
        <w:rPr>
          <w:color w:val="231F20"/>
          <w:spacing w:val="-4"/>
          <w:w w:val="110"/>
        </w:rPr>
        <w:t> </w:t>
      </w:r>
      <w:r>
        <w:rPr>
          <w:color w:val="231F20"/>
          <w:w w:val="110"/>
        </w:rPr>
        <w:t>En</w:t>
      </w:r>
      <w:r>
        <w:rPr>
          <w:color w:val="231F20"/>
          <w:spacing w:val="-4"/>
          <w:w w:val="110"/>
        </w:rPr>
        <w:t> </w:t>
      </w:r>
      <w:r>
        <w:rPr>
          <w:color w:val="231F20"/>
          <w:w w:val="110"/>
        </w:rPr>
        <w:t>primer</w:t>
      </w:r>
      <w:r>
        <w:rPr>
          <w:color w:val="231F20"/>
          <w:spacing w:val="-4"/>
          <w:w w:val="110"/>
        </w:rPr>
        <w:t> </w:t>
      </w:r>
      <w:r>
        <w:rPr>
          <w:color w:val="231F20"/>
          <w:w w:val="110"/>
        </w:rPr>
        <w:t>lugar</w:t>
      </w:r>
      <w:r>
        <w:rPr>
          <w:color w:val="231F20"/>
          <w:spacing w:val="-4"/>
          <w:w w:val="110"/>
        </w:rPr>
        <w:t> </w:t>
      </w:r>
      <w:r>
        <w:rPr>
          <w:color w:val="231F20"/>
          <w:w w:val="110"/>
        </w:rPr>
        <w:t>cabría</w:t>
      </w:r>
      <w:r>
        <w:rPr>
          <w:color w:val="231F20"/>
          <w:spacing w:val="-4"/>
          <w:w w:val="110"/>
        </w:rPr>
        <w:t> </w:t>
      </w:r>
      <w:r>
        <w:rPr>
          <w:color w:val="231F20"/>
          <w:w w:val="110"/>
        </w:rPr>
        <w:t>señalar</w:t>
      </w:r>
      <w:r>
        <w:rPr>
          <w:color w:val="231F20"/>
          <w:spacing w:val="-4"/>
          <w:w w:val="110"/>
        </w:rPr>
        <w:t> </w:t>
      </w:r>
      <w:r>
        <w:rPr>
          <w:color w:val="231F20"/>
          <w:w w:val="110"/>
        </w:rPr>
        <w:t>el</w:t>
      </w:r>
      <w:r>
        <w:rPr>
          <w:color w:val="231F20"/>
          <w:spacing w:val="-4"/>
          <w:w w:val="110"/>
        </w:rPr>
        <w:t> </w:t>
      </w:r>
      <w:r>
        <w:rPr>
          <w:color w:val="231F20"/>
          <w:w w:val="110"/>
        </w:rPr>
        <w:t>legado</w:t>
      </w:r>
      <w:r>
        <w:rPr>
          <w:color w:val="231F20"/>
          <w:spacing w:val="-4"/>
          <w:w w:val="110"/>
        </w:rPr>
        <w:t> </w:t>
      </w:r>
      <w:r>
        <w:rPr>
          <w:color w:val="231F20"/>
          <w:w w:val="110"/>
        </w:rPr>
        <w:t>de</w:t>
      </w:r>
      <w:r>
        <w:rPr>
          <w:color w:val="231F20"/>
          <w:spacing w:val="-4"/>
          <w:w w:val="110"/>
        </w:rPr>
        <w:t> </w:t>
      </w:r>
      <w:r>
        <w:rPr>
          <w:color w:val="231F20"/>
          <w:w w:val="110"/>
        </w:rPr>
        <w:t>Bush, en sentido general. La administración de George </w:t>
      </w:r>
      <w:r>
        <w:rPr>
          <w:color w:val="231F20"/>
          <w:spacing w:val="-6"/>
          <w:w w:val="110"/>
        </w:rPr>
        <w:t>W. </w:t>
      </w:r>
      <w:r>
        <w:rPr>
          <w:color w:val="231F20"/>
          <w:w w:val="110"/>
        </w:rPr>
        <w:t>Bush dejó en marcha muchos proyectos vinculados a su estrategia de seguridad hacia la región —guerra antiterrorista aplicada a los “retos regiona- les” del narcotráfico— que serviría como argumento para extender la</w:t>
      </w:r>
      <w:r>
        <w:rPr>
          <w:color w:val="231F20"/>
          <w:spacing w:val="-12"/>
          <w:w w:val="110"/>
        </w:rPr>
        <w:t> </w:t>
      </w:r>
      <w:r>
        <w:rPr>
          <w:color w:val="231F20"/>
          <w:w w:val="110"/>
        </w:rPr>
        <w:t>presencia</w:t>
      </w:r>
      <w:r>
        <w:rPr>
          <w:color w:val="231F20"/>
          <w:spacing w:val="-12"/>
          <w:w w:val="110"/>
        </w:rPr>
        <w:t> </w:t>
      </w:r>
      <w:r>
        <w:rPr>
          <w:color w:val="231F20"/>
          <w:w w:val="110"/>
        </w:rPr>
        <w:t>militar</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bases</w:t>
      </w:r>
      <w:r>
        <w:rPr>
          <w:color w:val="231F20"/>
          <w:spacing w:val="-12"/>
          <w:w w:val="110"/>
        </w:rPr>
        <w:t> </w:t>
      </w:r>
      <w:r>
        <w:rPr>
          <w:color w:val="231F20"/>
          <w:w w:val="110"/>
        </w:rPr>
        <w:t>militares,</w:t>
      </w:r>
      <w:r>
        <w:rPr>
          <w:color w:val="231F20"/>
          <w:spacing w:val="-12"/>
          <w:w w:val="110"/>
        </w:rPr>
        <w:t> </w:t>
      </w:r>
      <w:r>
        <w:rPr>
          <w:color w:val="231F20"/>
          <w:w w:val="110"/>
        </w:rPr>
        <w:t>y</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administración de Obama ha dado continuidad, en muchos casos profundizándolos. En segundo </w:t>
      </w:r>
      <w:r>
        <w:rPr>
          <w:color w:val="231F20"/>
          <w:spacing w:val="-3"/>
          <w:w w:val="110"/>
        </w:rPr>
        <w:t>lugar, </w:t>
      </w:r>
      <w:r>
        <w:rPr>
          <w:color w:val="231F20"/>
          <w:w w:val="110"/>
        </w:rPr>
        <w:t>las prioridades políticas expresadas: en el plano interno centrada en la problemática económica y los impactos de la crisis y en el plano externo, en la problemática geopolítica, como la impuesta por la guerra en Afganistán e Irak, la proliferación nuclear (Corea del Norte e Irán) y las negociaciones con grandes potencias como China y Rusia (reducción de armamento nuclear). Por últi- mo, la modificación en la correlación de fuerzas regionales en un ámbito internacional con tendencia al multilateralismo que, aunque presenta vaivenes en su inclinación progresista, antineoliberal o de izquierda según el caso, sigue reflejando retos a su hegemonía me- diante la coordinación de políticas y acciones de un grupo de países más progresistas que en distinto grado se oponen a los propósitos</w:t>
      </w:r>
      <w:r>
        <w:rPr>
          <w:color w:val="231F20"/>
          <w:spacing w:val="-12"/>
          <w:w w:val="110"/>
        </w:rPr>
        <w:t> </w:t>
      </w:r>
      <w:r>
        <w:rPr>
          <w:color w:val="231F20"/>
          <w:w w:val="110"/>
        </w:rPr>
        <w:t>de restablecer su sistema de</w:t>
      </w:r>
      <w:r>
        <w:rPr>
          <w:color w:val="231F20"/>
          <w:spacing w:val="22"/>
          <w:w w:val="110"/>
        </w:rPr>
        <w:t> </w:t>
      </w:r>
      <w:r>
        <w:rPr>
          <w:color w:val="231F20"/>
          <w:w w:val="110"/>
        </w:rPr>
        <w:t>dominación.</w:t>
      </w:r>
    </w:p>
    <w:p>
      <w:pPr>
        <w:pStyle w:val="BodyText"/>
        <w:spacing w:line="261" w:lineRule="auto"/>
        <w:ind w:left="100" w:right="117" w:firstLine="240"/>
        <w:jc w:val="right"/>
      </w:pPr>
      <w:r>
        <w:rPr>
          <w:color w:val="231F20"/>
          <w:w w:val="110"/>
        </w:rPr>
        <w:t>La</w:t>
      </w:r>
      <w:r>
        <w:rPr>
          <w:color w:val="231F20"/>
          <w:spacing w:val="-11"/>
          <w:w w:val="110"/>
        </w:rPr>
        <w:t> </w:t>
      </w:r>
      <w:r>
        <w:rPr>
          <w:color w:val="231F20"/>
          <w:w w:val="110"/>
        </w:rPr>
        <w:t>política</w:t>
      </w:r>
      <w:r>
        <w:rPr>
          <w:color w:val="231F20"/>
          <w:spacing w:val="-11"/>
          <w:w w:val="110"/>
        </w:rPr>
        <w:t> </w:t>
      </w:r>
      <w:r>
        <w:rPr>
          <w:color w:val="231F20"/>
          <w:w w:val="110"/>
        </w:rPr>
        <w:t>exterior</w:t>
      </w:r>
      <w:r>
        <w:rPr>
          <w:color w:val="231F20"/>
          <w:spacing w:val="-11"/>
          <w:w w:val="110"/>
        </w:rPr>
        <w:t> </w:t>
      </w:r>
      <w:r>
        <w:rPr>
          <w:color w:val="231F20"/>
          <w:w w:val="110"/>
        </w:rPr>
        <w:t>estadunidense,</w:t>
      </w:r>
      <w:r>
        <w:rPr>
          <w:color w:val="231F20"/>
          <w:spacing w:val="-11"/>
          <w:w w:val="110"/>
        </w:rPr>
        <w:t> </w:t>
      </w:r>
      <w:r>
        <w:rPr>
          <w:color w:val="231F20"/>
          <w:w w:val="110"/>
        </w:rPr>
        <w:t>por</w:t>
      </w:r>
      <w:r>
        <w:rPr>
          <w:color w:val="231F20"/>
          <w:spacing w:val="-11"/>
          <w:w w:val="110"/>
        </w:rPr>
        <w:t> </w:t>
      </w:r>
      <w:r>
        <w:rPr>
          <w:color w:val="231F20"/>
          <w:w w:val="110"/>
        </w:rPr>
        <w:t>su</w:t>
      </w:r>
      <w:r>
        <w:rPr>
          <w:color w:val="231F20"/>
          <w:spacing w:val="-11"/>
          <w:w w:val="110"/>
        </w:rPr>
        <w:t> </w:t>
      </w:r>
      <w:r>
        <w:rPr>
          <w:color w:val="231F20"/>
          <w:w w:val="110"/>
        </w:rPr>
        <w:t>esencia</w:t>
      </w:r>
      <w:r>
        <w:rPr>
          <w:color w:val="231F20"/>
          <w:spacing w:val="-11"/>
          <w:w w:val="110"/>
        </w:rPr>
        <w:t> </w:t>
      </w:r>
      <w:r>
        <w:rPr>
          <w:color w:val="231F20"/>
          <w:w w:val="110"/>
        </w:rPr>
        <w:t>imperialista</w:t>
      </w:r>
      <w:r>
        <w:rPr>
          <w:color w:val="231F20"/>
          <w:spacing w:val="-11"/>
          <w:w w:val="110"/>
        </w:rPr>
        <w:t> </w:t>
      </w:r>
      <w:r>
        <w:rPr>
          <w:color w:val="231F20"/>
          <w:w w:val="110"/>
        </w:rPr>
        <w:t>y</w:t>
      </w:r>
      <w:r>
        <w:rPr>
          <w:color w:val="231F20"/>
          <w:spacing w:val="-11"/>
          <w:w w:val="110"/>
        </w:rPr>
        <w:t> </w:t>
      </w:r>
      <w:r>
        <w:rPr>
          <w:color w:val="231F20"/>
          <w:w w:val="110"/>
        </w:rPr>
        <w:t>en</w:t>
      </w:r>
      <w:r>
        <w:rPr>
          <w:color w:val="231F20"/>
          <w:w w:val="116"/>
        </w:rPr>
        <w:t> </w:t>
      </w:r>
      <w:r>
        <w:rPr>
          <w:color w:val="231F20"/>
          <w:w w:val="110"/>
        </w:rPr>
        <w:t>función de sus intereses geopolíticos transnacionales,</w:t>
      </w:r>
      <w:r>
        <w:rPr>
          <w:color w:val="231F20"/>
          <w:spacing w:val="-34"/>
          <w:w w:val="110"/>
        </w:rPr>
        <w:t> </w:t>
      </w:r>
      <w:r>
        <w:rPr>
          <w:color w:val="231F20"/>
          <w:w w:val="110"/>
        </w:rPr>
        <w:t>tiene</w:t>
      </w:r>
      <w:r>
        <w:rPr>
          <w:color w:val="231F20"/>
          <w:spacing w:val="-6"/>
          <w:w w:val="110"/>
        </w:rPr>
        <w:t> </w:t>
      </w:r>
      <w:r>
        <w:rPr>
          <w:color w:val="231F20"/>
          <w:w w:val="110"/>
        </w:rPr>
        <w:t>objetivos</w:t>
      </w:r>
      <w:r>
        <w:rPr>
          <w:color w:val="231F20"/>
          <w:w w:val="104"/>
        </w:rPr>
        <w:t> </w:t>
      </w:r>
      <w:r>
        <w:rPr>
          <w:color w:val="231F20"/>
          <w:w w:val="110"/>
        </w:rPr>
        <w:t>permanentes en defensa de su particular y</w:t>
      </w:r>
      <w:r>
        <w:rPr>
          <w:color w:val="231F20"/>
          <w:spacing w:val="17"/>
          <w:w w:val="110"/>
        </w:rPr>
        <w:t> </w:t>
      </w:r>
      <w:r>
        <w:rPr>
          <w:color w:val="231F20"/>
          <w:w w:val="110"/>
        </w:rPr>
        <w:t>extendido</w:t>
      </w:r>
      <w:r>
        <w:rPr>
          <w:color w:val="231F20"/>
          <w:spacing w:val="10"/>
          <w:w w:val="110"/>
        </w:rPr>
        <w:t> </w:t>
      </w:r>
      <w:r>
        <w:rPr>
          <w:color w:val="231F20"/>
          <w:w w:val="110"/>
        </w:rPr>
        <w:t>entendimiento</w:t>
      </w:r>
      <w:r>
        <w:rPr>
          <w:color w:val="231F20"/>
          <w:w w:val="113"/>
        </w:rPr>
        <w:t> </w:t>
      </w:r>
      <w:r>
        <w:rPr>
          <w:color w:val="231F20"/>
          <w:w w:val="110"/>
        </w:rPr>
        <w:t>de la “seguridad nacional”. La diferencia entre un periodo y</w:t>
      </w:r>
      <w:r>
        <w:rPr>
          <w:color w:val="231F20"/>
          <w:spacing w:val="-24"/>
          <w:w w:val="110"/>
        </w:rPr>
        <w:t> </w:t>
      </w:r>
      <w:r>
        <w:rPr>
          <w:color w:val="231F20"/>
          <w:w w:val="110"/>
        </w:rPr>
        <w:t>otro</w:t>
      </w:r>
      <w:r>
        <w:rPr>
          <w:color w:val="231F20"/>
          <w:spacing w:val="-3"/>
          <w:w w:val="110"/>
        </w:rPr>
        <w:t> </w:t>
      </w:r>
      <w:r>
        <w:rPr>
          <w:color w:val="231F20"/>
          <w:w w:val="110"/>
        </w:rPr>
        <w:t>por</w:t>
      </w:r>
      <w:r>
        <w:rPr>
          <w:color w:val="231F20"/>
          <w:w w:val="115"/>
        </w:rPr>
        <w:t> </w:t>
      </w:r>
      <w:r>
        <w:rPr>
          <w:color w:val="231F20"/>
          <w:w w:val="110"/>
        </w:rPr>
        <w:t>la</w:t>
      </w:r>
      <w:r>
        <w:rPr>
          <w:color w:val="231F20"/>
          <w:spacing w:val="20"/>
          <w:w w:val="110"/>
        </w:rPr>
        <w:t> </w:t>
      </w:r>
      <w:r>
        <w:rPr>
          <w:color w:val="231F20"/>
          <w:w w:val="110"/>
        </w:rPr>
        <w:t>presencia</w:t>
      </w:r>
      <w:r>
        <w:rPr>
          <w:color w:val="231F20"/>
          <w:spacing w:val="20"/>
          <w:w w:val="110"/>
        </w:rPr>
        <w:t> </w:t>
      </w:r>
      <w:r>
        <w:rPr>
          <w:color w:val="231F20"/>
          <w:w w:val="110"/>
        </w:rPr>
        <w:t>de</w:t>
      </w:r>
      <w:r>
        <w:rPr>
          <w:color w:val="231F20"/>
          <w:spacing w:val="20"/>
          <w:w w:val="110"/>
        </w:rPr>
        <w:t> </w:t>
      </w:r>
      <w:r>
        <w:rPr>
          <w:color w:val="231F20"/>
          <w:w w:val="110"/>
        </w:rPr>
        <w:t>uno</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dos</w:t>
      </w:r>
      <w:r>
        <w:rPr>
          <w:color w:val="231F20"/>
          <w:spacing w:val="20"/>
          <w:w w:val="110"/>
        </w:rPr>
        <w:t> </w:t>
      </w:r>
      <w:r>
        <w:rPr>
          <w:color w:val="231F20"/>
          <w:w w:val="110"/>
        </w:rPr>
        <w:t>partidos</w:t>
      </w:r>
      <w:r>
        <w:rPr>
          <w:color w:val="231F20"/>
          <w:spacing w:val="20"/>
          <w:w w:val="110"/>
        </w:rPr>
        <w:t> </w:t>
      </w:r>
      <w:r>
        <w:rPr>
          <w:color w:val="231F20"/>
          <w:w w:val="110"/>
        </w:rPr>
        <w:t>dominantes</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gobierno</w:t>
      </w:r>
      <w:r>
        <w:rPr>
          <w:color w:val="231F20"/>
          <w:w w:val="111"/>
        </w:rPr>
        <w:t> </w:t>
      </w:r>
      <w:r>
        <w:rPr>
          <w:color w:val="231F20"/>
          <w:w w:val="110"/>
        </w:rPr>
        <w:t>está</w:t>
      </w:r>
      <w:r>
        <w:rPr>
          <w:color w:val="231F20"/>
          <w:spacing w:val="-6"/>
          <w:w w:val="110"/>
        </w:rPr>
        <w:t> </w:t>
      </w:r>
      <w:r>
        <w:rPr>
          <w:color w:val="231F20"/>
          <w:w w:val="110"/>
        </w:rPr>
        <w:t>marcada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forma</w:t>
      </w:r>
      <w:r>
        <w:rPr>
          <w:color w:val="231F20"/>
          <w:spacing w:val="-6"/>
          <w:w w:val="110"/>
        </w:rPr>
        <w:t> </w:t>
      </w:r>
      <w:r>
        <w:rPr>
          <w:color w:val="231F20"/>
          <w:w w:val="110"/>
        </w:rPr>
        <w:t>de</w:t>
      </w:r>
      <w:r>
        <w:rPr>
          <w:color w:val="231F20"/>
          <w:spacing w:val="-6"/>
          <w:w w:val="110"/>
        </w:rPr>
        <w:t> </w:t>
      </w:r>
      <w:r>
        <w:rPr>
          <w:color w:val="231F20"/>
          <w:w w:val="110"/>
        </w:rPr>
        <w:t>lograr</w:t>
      </w:r>
      <w:r>
        <w:rPr>
          <w:color w:val="231F20"/>
          <w:spacing w:val="-6"/>
          <w:w w:val="110"/>
        </w:rPr>
        <w:t> </w:t>
      </w:r>
      <w:r>
        <w:rPr>
          <w:color w:val="231F20"/>
          <w:w w:val="110"/>
        </w:rPr>
        <w:t>esos</w:t>
      </w:r>
      <w:r>
        <w:rPr>
          <w:color w:val="231F20"/>
          <w:spacing w:val="-6"/>
          <w:w w:val="110"/>
        </w:rPr>
        <w:t> </w:t>
      </w:r>
      <w:r>
        <w:rPr>
          <w:color w:val="231F20"/>
          <w:w w:val="110"/>
        </w:rPr>
        <w:t>objetivos,</w:t>
      </w:r>
      <w:r>
        <w:rPr>
          <w:color w:val="231F20"/>
          <w:spacing w:val="-6"/>
          <w:w w:val="110"/>
        </w:rPr>
        <w:t> </w:t>
      </w:r>
      <w:r>
        <w:rPr>
          <w:color w:val="231F20"/>
          <w:w w:val="110"/>
        </w:rPr>
        <w:t>las</w:t>
      </w:r>
      <w:r>
        <w:rPr>
          <w:color w:val="231F20"/>
          <w:spacing w:val="-6"/>
          <w:w w:val="110"/>
        </w:rPr>
        <w:t> </w:t>
      </w:r>
      <w:r>
        <w:rPr>
          <w:color w:val="231F20"/>
          <w:w w:val="110"/>
        </w:rPr>
        <w:t>distintas</w:t>
      </w:r>
      <w:r>
        <w:rPr>
          <w:color w:val="231F20"/>
          <w:spacing w:val="-6"/>
          <w:w w:val="110"/>
        </w:rPr>
        <w:t> </w:t>
      </w:r>
      <w:r>
        <w:rPr>
          <w:color w:val="231F20"/>
          <w:w w:val="110"/>
        </w:rPr>
        <w:t>prio-</w:t>
      </w:r>
      <w:r>
        <w:rPr>
          <w:color w:val="231F20"/>
          <w:w w:val="72"/>
        </w:rPr>
        <w:t> </w:t>
      </w:r>
      <w:r>
        <w:rPr>
          <w:color w:val="231F20"/>
          <w:w w:val="110"/>
        </w:rPr>
        <w:t>ridades y los instrumentos privilegiados para conquistarlos</w:t>
      </w:r>
      <w:r>
        <w:rPr>
          <w:color w:val="231F20"/>
          <w:spacing w:val="49"/>
          <w:w w:val="110"/>
        </w:rPr>
        <w:t> </w:t>
      </w:r>
      <w:r>
        <w:rPr>
          <w:color w:val="231F20"/>
          <w:w w:val="110"/>
        </w:rPr>
        <w:t>en</w:t>
      </w:r>
      <w:r>
        <w:rPr>
          <w:color w:val="231F20"/>
          <w:spacing w:val="30"/>
          <w:w w:val="110"/>
        </w:rPr>
        <w:t> </w:t>
      </w:r>
      <w:r>
        <w:rPr>
          <w:color w:val="231F20"/>
          <w:w w:val="110"/>
        </w:rPr>
        <w:t>un</w:t>
      </w:r>
      <w:r>
        <w:rPr>
          <w:color w:val="231F20"/>
          <w:w w:val="118"/>
        </w:rPr>
        <w:t> </w:t>
      </w:r>
      <w:r>
        <w:rPr>
          <w:color w:val="231F20"/>
          <w:w w:val="110"/>
        </w:rPr>
        <w:t>determinado contexto histórico de la correlación de</w:t>
      </w:r>
      <w:r>
        <w:rPr>
          <w:color w:val="231F20"/>
          <w:spacing w:val="29"/>
          <w:w w:val="110"/>
        </w:rPr>
        <w:t> </w:t>
      </w:r>
      <w:r>
        <w:rPr>
          <w:color w:val="231F20"/>
          <w:w w:val="110"/>
        </w:rPr>
        <w:t>fuerzas</w:t>
      </w:r>
      <w:r>
        <w:rPr>
          <w:color w:val="231F20"/>
          <w:spacing w:val="4"/>
          <w:w w:val="110"/>
        </w:rPr>
        <w:t> </w:t>
      </w:r>
      <w:r>
        <w:rPr>
          <w:color w:val="231F20"/>
          <w:w w:val="110"/>
        </w:rPr>
        <w:t>internas</w:t>
      </w:r>
      <w:r>
        <w:rPr>
          <w:color w:val="231F20"/>
          <w:w w:val="111"/>
        </w:rPr>
        <w:t> </w:t>
      </w:r>
      <w:r>
        <w:rPr>
          <w:color w:val="231F20"/>
          <w:w w:val="110"/>
        </w:rPr>
        <w:t>y</w:t>
      </w:r>
      <w:r>
        <w:rPr>
          <w:color w:val="231F20"/>
          <w:spacing w:val="-20"/>
          <w:w w:val="110"/>
        </w:rPr>
        <w:t> </w:t>
      </w:r>
      <w:r>
        <w:rPr>
          <w:color w:val="231F20"/>
          <w:w w:val="110"/>
        </w:rPr>
        <w:t>externas.</w:t>
      </w:r>
      <w:r>
        <w:rPr>
          <w:color w:val="231F20"/>
          <w:spacing w:val="-20"/>
          <w:w w:val="110"/>
        </w:rPr>
        <w:t> </w:t>
      </w:r>
      <w:r>
        <w:rPr>
          <w:color w:val="231F20"/>
          <w:w w:val="110"/>
        </w:rPr>
        <w:t>Es</w:t>
      </w:r>
      <w:r>
        <w:rPr>
          <w:color w:val="231F20"/>
          <w:spacing w:val="-20"/>
          <w:w w:val="110"/>
        </w:rPr>
        <w:t> </w:t>
      </w:r>
      <w:r>
        <w:rPr>
          <w:color w:val="231F20"/>
          <w:spacing w:val="-3"/>
          <w:w w:val="110"/>
        </w:rPr>
        <w:t>decir,</w:t>
      </w:r>
      <w:r>
        <w:rPr>
          <w:color w:val="231F20"/>
          <w:spacing w:val="-20"/>
          <w:w w:val="110"/>
        </w:rPr>
        <w:t> </w:t>
      </w:r>
      <w:r>
        <w:rPr>
          <w:color w:val="231F20"/>
          <w:w w:val="110"/>
        </w:rPr>
        <w:t>se</w:t>
      </w:r>
      <w:r>
        <w:rPr>
          <w:color w:val="231F20"/>
          <w:spacing w:val="-20"/>
          <w:w w:val="110"/>
        </w:rPr>
        <w:t> </w:t>
      </w:r>
      <w:r>
        <w:rPr>
          <w:color w:val="231F20"/>
          <w:w w:val="110"/>
        </w:rPr>
        <w:t>trata</w:t>
      </w:r>
      <w:r>
        <w:rPr>
          <w:color w:val="231F20"/>
          <w:spacing w:val="-20"/>
          <w:w w:val="110"/>
        </w:rPr>
        <w:t> </w:t>
      </w:r>
      <w:r>
        <w:rPr>
          <w:color w:val="231F20"/>
          <w:w w:val="110"/>
        </w:rPr>
        <w:t>de</w:t>
      </w:r>
      <w:r>
        <w:rPr>
          <w:color w:val="231F20"/>
          <w:spacing w:val="-20"/>
          <w:w w:val="110"/>
        </w:rPr>
        <w:t> </w:t>
      </w:r>
      <w:r>
        <w:rPr>
          <w:color w:val="231F20"/>
          <w:w w:val="110"/>
        </w:rPr>
        <w:t>diferentes</w:t>
      </w:r>
      <w:r>
        <w:rPr>
          <w:color w:val="231F20"/>
          <w:spacing w:val="-20"/>
          <w:w w:val="110"/>
        </w:rPr>
        <w:t> </w:t>
      </w:r>
      <w:r>
        <w:rPr>
          <w:color w:val="231F20"/>
          <w:w w:val="110"/>
        </w:rPr>
        <w:t>estilos,</w:t>
      </w:r>
      <w:r>
        <w:rPr>
          <w:color w:val="231F20"/>
          <w:spacing w:val="-20"/>
          <w:w w:val="110"/>
        </w:rPr>
        <w:t> </w:t>
      </w:r>
      <w:r>
        <w:rPr>
          <w:color w:val="231F20"/>
          <w:w w:val="110"/>
        </w:rPr>
        <w:t>formas</w:t>
      </w:r>
      <w:r>
        <w:rPr>
          <w:color w:val="231F20"/>
          <w:spacing w:val="-20"/>
          <w:w w:val="110"/>
        </w:rPr>
        <w:t> </w:t>
      </w:r>
      <w:r>
        <w:rPr>
          <w:color w:val="231F20"/>
          <w:w w:val="110"/>
        </w:rPr>
        <w:t>y</w:t>
      </w:r>
      <w:r>
        <w:rPr>
          <w:color w:val="231F20"/>
          <w:spacing w:val="-20"/>
          <w:w w:val="110"/>
        </w:rPr>
        <w:t> </w:t>
      </w:r>
      <w:r>
        <w:rPr>
          <w:color w:val="231F20"/>
          <w:w w:val="110"/>
        </w:rPr>
        <w:t>modos</w:t>
      </w:r>
      <w:r>
        <w:rPr>
          <w:color w:val="231F20"/>
          <w:spacing w:val="-20"/>
          <w:w w:val="110"/>
        </w:rPr>
        <w:t> </w:t>
      </w:r>
      <w:r>
        <w:rPr>
          <w:color w:val="231F20"/>
          <w:w w:val="110"/>
        </w:rPr>
        <w:t>de</w:t>
      </w:r>
      <w:r>
        <w:rPr>
          <w:color w:val="231F20"/>
          <w:spacing w:val="-20"/>
          <w:w w:val="110"/>
        </w:rPr>
        <w:t> </w:t>
      </w:r>
      <w:r>
        <w:rPr>
          <w:color w:val="231F20"/>
          <w:w w:val="110"/>
        </w:rPr>
        <w:t>la</w:t>
      </w:r>
      <w:r>
        <w:rPr>
          <w:color w:val="231F20"/>
          <w:w w:val="105"/>
        </w:rPr>
        <w:t> </w:t>
      </w:r>
      <w:r>
        <w:rPr>
          <w:color w:val="231F20"/>
          <w:w w:val="110"/>
        </w:rPr>
        <w:t>política en general y la política exterior en particular</w:t>
      </w:r>
      <w:r>
        <w:rPr>
          <w:color w:val="231F20"/>
          <w:spacing w:val="-3"/>
          <w:w w:val="110"/>
        </w:rPr>
        <w:t> </w:t>
      </w:r>
      <w:r>
        <w:rPr>
          <w:color w:val="231F20"/>
          <w:w w:val="110"/>
        </w:rPr>
        <w:t>que</w:t>
      </w:r>
      <w:r>
        <w:rPr>
          <w:color w:val="231F20"/>
          <w:spacing w:val="-1"/>
          <w:w w:val="110"/>
        </w:rPr>
        <w:t> </w:t>
      </w:r>
      <w:r>
        <w:rPr>
          <w:color w:val="231F20"/>
          <w:w w:val="110"/>
        </w:rPr>
        <w:t>privilegian</w:t>
      </w:r>
      <w:r>
        <w:rPr>
          <w:color w:val="231F20"/>
          <w:w w:val="106"/>
        </w:rPr>
        <w:t> </w:t>
      </w:r>
      <w:r>
        <w:rPr>
          <w:color w:val="231F20"/>
          <w:w w:val="110"/>
        </w:rPr>
        <w:t>el empleo de distintos instrumentos o el modo de</w:t>
      </w:r>
      <w:r>
        <w:rPr>
          <w:color w:val="231F20"/>
          <w:spacing w:val="36"/>
          <w:w w:val="110"/>
        </w:rPr>
        <w:t> </w:t>
      </w:r>
      <w:r>
        <w:rPr>
          <w:color w:val="231F20"/>
          <w:w w:val="110"/>
        </w:rPr>
        <w:t>combinarlos</w:t>
      </w:r>
      <w:r>
        <w:rPr>
          <w:color w:val="231F20"/>
          <w:spacing w:val="10"/>
          <w:w w:val="110"/>
        </w:rPr>
        <w:t> </w:t>
      </w:r>
      <w:r>
        <w:rPr>
          <w:color w:val="231F20"/>
          <w:w w:val="110"/>
        </w:rPr>
        <w:t>para</w:t>
      </w:r>
      <w:r>
        <w:rPr>
          <w:color w:val="231F20"/>
          <w:w w:val="112"/>
        </w:rPr>
        <w:t> </w:t>
      </w:r>
      <w:r>
        <w:rPr>
          <w:color w:val="231F20"/>
          <w:w w:val="110"/>
        </w:rPr>
        <w:t>defender</w:t>
      </w:r>
      <w:r>
        <w:rPr>
          <w:color w:val="231F20"/>
          <w:spacing w:val="-9"/>
          <w:w w:val="110"/>
        </w:rPr>
        <w:t> </w:t>
      </w:r>
      <w:r>
        <w:rPr>
          <w:color w:val="231F20"/>
          <w:w w:val="110"/>
        </w:rPr>
        <w:t>los</w:t>
      </w:r>
      <w:r>
        <w:rPr>
          <w:color w:val="231F20"/>
          <w:spacing w:val="-9"/>
          <w:w w:val="110"/>
        </w:rPr>
        <w:t> </w:t>
      </w:r>
      <w:r>
        <w:rPr>
          <w:color w:val="231F20"/>
          <w:w w:val="110"/>
        </w:rPr>
        <w:t>valores</w:t>
      </w:r>
      <w:r>
        <w:rPr>
          <w:color w:val="231F20"/>
          <w:spacing w:val="-9"/>
          <w:w w:val="110"/>
        </w:rPr>
        <w:t> </w:t>
      </w:r>
      <w:r>
        <w:rPr>
          <w:color w:val="231F20"/>
          <w:w w:val="110"/>
        </w:rPr>
        <w:t>e</w:t>
      </w:r>
      <w:r>
        <w:rPr>
          <w:color w:val="231F20"/>
          <w:spacing w:val="-9"/>
          <w:w w:val="110"/>
        </w:rPr>
        <w:t> </w:t>
      </w:r>
      <w:r>
        <w:rPr>
          <w:color w:val="231F20"/>
          <w:w w:val="110"/>
        </w:rPr>
        <w:t>intereses</w:t>
      </w:r>
      <w:r>
        <w:rPr>
          <w:color w:val="231F20"/>
          <w:spacing w:val="-9"/>
          <w:w w:val="110"/>
        </w:rPr>
        <w:t> </w:t>
      </w:r>
      <w:r>
        <w:rPr>
          <w:color w:val="231F20"/>
          <w:w w:val="110"/>
        </w:rPr>
        <w:t>económicos</w:t>
      </w:r>
      <w:r>
        <w:rPr>
          <w:color w:val="231F20"/>
          <w:spacing w:val="-9"/>
          <w:w w:val="110"/>
        </w:rPr>
        <w:t> </w:t>
      </w:r>
      <w:r>
        <w:rPr>
          <w:color w:val="231F20"/>
          <w:w w:val="110"/>
        </w:rPr>
        <w:t>y</w:t>
      </w:r>
      <w:r>
        <w:rPr>
          <w:color w:val="231F20"/>
          <w:spacing w:val="-9"/>
          <w:w w:val="110"/>
        </w:rPr>
        <w:t> </w:t>
      </w:r>
      <w:r>
        <w:rPr>
          <w:color w:val="231F20"/>
          <w:w w:val="110"/>
        </w:rPr>
        <w:t>políticos</w:t>
      </w:r>
      <w:r>
        <w:rPr>
          <w:color w:val="231F20"/>
          <w:spacing w:val="-9"/>
          <w:w w:val="110"/>
        </w:rPr>
        <w:t> </w:t>
      </w:r>
      <w:r>
        <w:rPr>
          <w:color w:val="231F20"/>
          <w:w w:val="110"/>
        </w:rPr>
        <w:t>imperialistas.</w:t>
      </w:r>
      <w:r>
        <w:rPr>
          <w:color w:val="231F20"/>
          <w:w w:val="106"/>
        </w:rPr>
        <w:t> </w:t>
      </w:r>
      <w:r>
        <w:rPr>
          <w:color w:val="231F20"/>
          <w:w w:val="110"/>
        </w:rPr>
        <w:t>La</w:t>
      </w:r>
      <w:r>
        <w:rPr>
          <w:color w:val="231F20"/>
          <w:spacing w:val="-7"/>
          <w:w w:val="110"/>
        </w:rPr>
        <w:t> </w:t>
      </w:r>
      <w:r>
        <w:rPr>
          <w:color w:val="231F20"/>
          <w:w w:val="110"/>
        </w:rPr>
        <w:t>anterior</w:t>
      </w:r>
      <w:r>
        <w:rPr>
          <w:color w:val="231F20"/>
          <w:spacing w:val="-7"/>
          <w:w w:val="110"/>
        </w:rPr>
        <w:t> </w:t>
      </w:r>
      <w:r>
        <w:rPr>
          <w:color w:val="231F20"/>
          <w:w w:val="110"/>
        </w:rPr>
        <w:t>afirmación</w:t>
      </w:r>
      <w:r>
        <w:rPr>
          <w:color w:val="231F20"/>
          <w:spacing w:val="-7"/>
          <w:w w:val="110"/>
        </w:rPr>
        <w:t> </w:t>
      </w:r>
      <w:r>
        <w:rPr>
          <w:color w:val="231F20"/>
          <w:w w:val="110"/>
        </w:rPr>
        <w:t>no</w:t>
      </w:r>
      <w:r>
        <w:rPr>
          <w:color w:val="231F20"/>
          <w:spacing w:val="-7"/>
          <w:w w:val="110"/>
        </w:rPr>
        <w:t> </w:t>
      </w:r>
      <w:r>
        <w:rPr>
          <w:color w:val="231F20"/>
          <w:w w:val="110"/>
        </w:rPr>
        <w:t>niega</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política</w:t>
      </w:r>
      <w:r>
        <w:rPr>
          <w:color w:val="231F20"/>
          <w:spacing w:val="-7"/>
          <w:w w:val="110"/>
        </w:rPr>
        <w:t> </w:t>
      </w:r>
      <w:r>
        <w:rPr>
          <w:color w:val="231F20"/>
          <w:w w:val="110"/>
        </w:rPr>
        <w:t>exterior</w:t>
      </w:r>
      <w:r>
        <w:rPr>
          <w:color w:val="231F20"/>
          <w:spacing w:val="-7"/>
          <w:w w:val="110"/>
        </w:rPr>
        <w:t> </w:t>
      </w:r>
      <w:r>
        <w:rPr>
          <w:color w:val="231F20"/>
          <w:w w:val="110"/>
        </w:rPr>
        <w:t>de</w:t>
      </w:r>
      <w:r>
        <w:rPr>
          <w:color w:val="231F20"/>
          <w:spacing w:val="-7"/>
          <w:w w:val="110"/>
        </w:rPr>
        <w:t> </w:t>
      </w:r>
      <w:r>
        <w:rPr>
          <w:color w:val="231F20"/>
          <w:w w:val="110"/>
        </w:rPr>
        <w:t>Estados</w:t>
      </w:r>
      <w:r>
        <w:rPr>
          <w:color w:val="231F20"/>
          <w:w w:val="105"/>
        </w:rPr>
        <w:t> </w:t>
      </w:r>
      <w:r>
        <w:rPr>
          <w:color w:val="231F20"/>
          <w:w w:val="110"/>
        </w:rPr>
        <w:t>Unidos sea estática o pueda ser entendida como “un</w:t>
      </w:r>
      <w:r>
        <w:rPr>
          <w:color w:val="231F20"/>
          <w:spacing w:val="37"/>
          <w:w w:val="110"/>
        </w:rPr>
        <w:t> </w:t>
      </w:r>
      <w:r>
        <w:rPr>
          <w:color w:val="231F20"/>
          <w:w w:val="110"/>
        </w:rPr>
        <w:t>actor</w:t>
      </w:r>
      <w:r>
        <w:rPr>
          <w:color w:val="231F20"/>
          <w:spacing w:val="16"/>
          <w:w w:val="110"/>
        </w:rPr>
        <w:t> </w:t>
      </w:r>
      <w:r>
        <w:rPr>
          <w:color w:val="231F20"/>
          <w:w w:val="110"/>
        </w:rPr>
        <w:t>racional</w:t>
      </w:r>
      <w:r>
        <w:rPr>
          <w:color w:val="231F20"/>
          <w:w w:val="109"/>
        </w:rPr>
        <w:t> </w:t>
      </w:r>
      <w:r>
        <w:rPr>
          <w:color w:val="231F20"/>
          <w:w w:val="110"/>
        </w:rPr>
        <w:t>unificado”. Distintas corrientes políticas de la clase dominante  </w:t>
      </w:r>
      <w:r>
        <w:rPr>
          <w:color w:val="231F20"/>
          <w:spacing w:val="15"/>
          <w:w w:val="110"/>
        </w:rPr>
        <w:t> </w:t>
      </w:r>
      <w:r>
        <w:rPr>
          <w:color w:val="231F20"/>
          <w:w w:val="110"/>
        </w:rPr>
        <w:t>con</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10"/>
        </w:rPr>
        <w:t>tendencias</w:t>
      </w:r>
      <w:r>
        <w:rPr>
          <w:color w:val="231F20"/>
          <w:spacing w:val="-7"/>
          <w:w w:val="110"/>
        </w:rPr>
        <w:t> </w:t>
      </w:r>
      <w:r>
        <w:rPr>
          <w:color w:val="231F20"/>
          <w:w w:val="110"/>
        </w:rPr>
        <w:t>más</w:t>
      </w:r>
      <w:r>
        <w:rPr>
          <w:color w:val="231F20"/>
          <w:spacing w:val="-7"/>
          <w:w w:val="110"/>
        </w:rPr>
        <w:t> </w:t>
      </w:r>
      <w:r>
        <w:rPr>
          <w:color w:val="231F20"/>
          <w:w w:val="110"/>
        </w:rPr>
        <w:t>conservadoras</w:t>
      </w:r>
      <w:r>
        <w:rPr>
          <w:color w:val="231F20"/>
          <w:spacing w:val="-7"/>
          <w:w w:val="110"/>
        </w:rPr>
        <w:t> </w:t>
      </w:r>
      <w:r>
        <w:rPr>
          <w:color w:val="231F20"/>
          <w:w w:val="110"/>
        </w:rPr>
        <w:t>y</w:t>
      </w:r>
      <w:r>
        <w:rPr>
          <w:color w:val="231F20"/>
          <w:spacing w:val="-7"/>
          <w:w w:val="110"/>
        </w:rPr>
        <w:t> </w:t>
      </w:r>
      <w:r>
        <w:rPr>
          <w:color w:val="231F20"/>
          <w:w w:val="110"/>
        </w:rPr>
        <w:t>expresiones</w:t>
      </w:r>
      <w:r>
        <w:rPr>
          <w:color w:val="231F20"/>
          <w:spacing w:val="-7"/>
          <w:w w:val="110"/>
        </w:rPr>
        <w:t> </w:t>
      </w:r>
      <w:r>
        <w:rPr>
          <w:color w:val="231F20"/>
          <w:w w:val="110"/>
        </w:rPr>
        <w:t>más</w:t>
      </w:r>
      <w:r>
        <w:rPr>
          <w:color w:val="231F20"/>
          <w:spacing w:val="-7"/>
          <w:w w:val="110"/>
        </w:rPr>
        <w:t> </w:t>
      </w:r>
      <w:r>
        <w:rPr>
          <w:color w:val="231F20"/>
          <w:w w:val="110"/>
        </w:rPr>
        <w:t>liberales</w:t>
      </w:r>
      <w:r>
        <w:rPr>
          <w:color w:val="231F20"/>
          <w:spacing w:val="-7"/>
          <w:w w:val="110"/>
        </w:rPr>
        <w:t> </w:t>
      </w:r>
      <w:r>
        <w:rPr>
          <w:color w:val="231F20"/>
          <w:w w:val="110"/>
        </w:rPr>
        <w:t>se</w:t>
      </w:r>
      <w:r>
        <w:rPr>
          <w:color w:val="231F20"/>
          <w:spacing w:val="-7"/>
          <w:w w:val="110"/>
        </w:rPr>
        <w:t> </w:t>
      </w:r>
      <w:r>
        <w:rPr>
          <w:color w:val="231F20"/>
          <w:w w:val="110"/>
        </w:rPr>
        <w:t>enfren- tan para lograr un máximo impacto en la definición y accionar de   lo que podría denominarse el vector resultante en su proyección externa.</w:t>
      </w:r>
    </w:p>
    <w:p>
      <w:pPr>
        <w:pStyle w:val="BodyText"/>
        <w:spacing w:line="261" w:lineRule="auto"/>
        <w:ind w:left="100" w:right="117" w:firstLine="240"/>
        <w:jc w:val="both"/>
      </w:pP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plano</w:t>
      </w:r>
      <w:r>
        <w:rPr>
          <w:color w:val="231F20"/>
          <w:spacing w:val="-6"/>
          <w:w w:val="110"/>
        </w:rPr>
        <w:t> </w:t>
      </w:r>
      <w:r>
        <w:rPr>
          <w:color w:val="231F20"/>
          <w:w w:val="110"/>
        </w:rPr>
        <w:t>específico</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relaciones</w:t>
      </w:r>
      <w:r>
        <w:rPr>
          <w:color w:val="231F20"/>
          <w:spacing w:val="-6"/>
          <w:w w:val="110"/>
        </w:rPr>
        <w:t> </w:t>
      </w:r>
      <w:r>
        <w:rPr>
          <w:color w:val="231F20"/>
          <w:w w:val="110"/>
        </w:rPr>
        <w:t>interamericanas,</w:t>
      </w:r>
      <w:r>
        <w:rPr>
          <w:color w:val="231F20"/>
          <w:spacing w:val="-6"/>
          <w:w w:val="110"/>
        </w:rPr>
        <w:t> </w:t>
      </w:r>
      <w:r>
        <w:rPr>
          <w:color w:val="231F20"/>
          <w:w w:val="110"/>
        </w:rPr>
        <w:t>expuesto cada vez más a influencias tanto de actores extrarregionales —sea</w:t>
      </w:r>
      <w:r>
        <w:rPr>
          <w:color w:val="231F20"/>
          <w:spacing w:val="-28"/>
          <w:w w:val="110"/>
        </w:rPr>
        <w:t> </w:t>
      </w:r>
      <w:r>
        <w:rPr>
          <w:color w:val="231F20"/>
          <w:w w:val="110"/>
        </w:rPr>
        <w:t>la Unión</w:t>
      </w:r>
      <w:r>
        <w:rPr>
          <w:color w:val="231F20"/>
          <w:spacing w:val="-5"/>
          <w:w w:val="110"/>
        </w:rPr>
        <w:t> </w:t>
      </w:r>
      <w:r>
        <w:rPr>
          <w:color w:val="231F20"/>
          <w:w w:val="110"/>
        </w:rPr>
        <w:t>Europea,</w:t>
      </w:r>
      <w:r>
        <w:rPr>
          <w:color w:val="231F20"/>
          <w:spacing w:val="-5"/>
          <w:w w:val="110"/>
        </w:rPr>
        <w:t> </w:t>
      </w:r>
      <w:r>
        <w:rPr>
          <w:color w:val="231F20"/>
          <w:w w:val="110"/>
        </w:rPr>
        <w:t>China,</w:t>
      </w:r>
      <w:r>
        <w:rPr>
          <w:color w:val="231F20"/>
          <w:spacing w:val="-5"/>
          <w:w w:val="110"/>
        </w:rPr>
        <w:t> </w:t>
      </w:r>
      <w:r>
        <w:rPr>
          <w:color w:val="231F20"/>
          <w:w w:val="110"/>
        </w:rPr>
        <w:t>Rusia</w:t>
      </w:r>
      <w:r>
        <w:rPr>
          <w:color w:val="231F20"/>
          <w:spacing w:val="-5"/>
          <w:w w:val="110"/>
        </w:rPr>
        <w:t> </w:t>
      </w:r>
      <w:r>
        <w:rPr>
          <w:color w:val="231F20"/>
          <w:w w:val="110"/>
        </w:rPr>
        <w:t>o</w:t>
      </w:r>
      <w:r>
        <w:rPr>
          <w:color w:val="231F20"/>
          <w:spacing w:val="-5"/>
          <w:w w:val="110"/>
        </w:rPr>
        <w:t> </w:t>
      </w:r>
      <w:r>
        <w:rPr>
          <w:color w:val="231F20"/>
          <w:w w:val="110"/>
        </w:rPr>
        <w:t>Irán—</w:t>
      </w:r>
      <w:r>
        <w:rPr>
          <w:color w:val="231F20"/>
          <w:spacing w:val="-5"/>
          <w:w w:val="110"/>
        </w:rPr>
        <w:t> </w:t>
      </w:r>
      <w:r>
        <w:rPr>
          <w:color w:val="231F20"/>
          <w:w w:val="110"/>
        </w:rPr>
        <w:t>como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potencias</w:t>
      </w:r>
      <w:r>
        <w:rPr>
          <w:color w:val="231F20"/>
          <w:spacing w:val="-5"/>
          <w:w w:val="110"/>
        </w:rPr>
        <w:t> </w:t>
      </w:r>
      <w:r>
        <w:rPr>
          <w:color w:val="231F20"/>
          <w:w w:val="110"/>
        </w:rPr>
        <w:t>medias regionales</w:t>
      </w:r>
      <w:r>
        <w:rPr>
          <w:color w:val="231F20"/>
          <w:spacing w:val="-6"/>
          <w:w w:val="110"/>
        </w:rPr>
        <w:t> </w:t>
      </w:r>
      <w:r>
        <w:rPr>
          <w:color w:val="231F20"/>
          <w:w w:val="110"/>
        </w:rPr>
        <w:t>como</w:t>
      </w:r>
      <w:r>
        <w:rPr>
          <w:color w:val="231F20"/>
          <w:spacing w:val="-6"/>
          <w:w w:val="110"/>
        </w:rPr>
        <w:t> </w:t>
      </w:r>
      <w:r>
        <w:rPr>
          <w:color w:val="231F20"/>
          <w:w w:val="110"/>
        </w:rPr>
        <w:t>Brasil</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menor</w:t>
      </w:r>
      <w:r>
        <w:rPr>
          <w:color w:val="231F20"/>
          <w:spacing w:val="-6"/>
          <w:w w:val="110"/>
        </w:rPr>
        <w:t> </w:t>
      </w:r>
      <w:r>
        <w:rPr>
          <w:color w:val="231F20"/>
          <w:w w:val="110"/>
        </w:rPr>
        <w:t>grado</w:t>
      </w:r>
      <w:r>
        <w:rPr>
          <w:color w:val="231F20"/>
          <w:spacing w:val="-6"/>
          <w:w w:val="110"/>
        </w:rPr>
        <w:t> </w:t>
      </w:r>
      <w:r>
        <w:rPr>
          <w:color w:val="231F20"/>
          <w:w w:val="110"/>
        </w:rPr>
        <w:t>Venezuela,</w:t>
      </w:r>
      <w:r>
        <w:rPr>
          <w:color w:val="231F20"/>
          <w:spacing w:val="-6"/>
          <w:w w:val="110"/>
        </w:rPr>
        <w:t> </w:t>
      </w:r>
      <w:r>
        <w:rPr>
          <w:color w:val="231F20"/>
          <w:w w:val="110"/>
        </w:rPr>
        <w:t>o</w:t>
      </w:r>
      <w:r>
        <w:rPr>
          <w:color w:val="231F20"/>
          <w:spacing w:val="-6"/>
          <w:w w:val="110"/>
        </w:rPr>
        <w:t> </w:t>
      </w:r>
      <w:r>
        <w:rPr>
          <w:color w:val="231F20"/>
          <w:w w:val="110"/>
        </w:rPr>
        <w:t>agrupaciones como la Alternativa Bolivariana para las Américas (alba), se mani- fiesta</w:t>
      </w:r>
      <w:r>
        <w:rPr>
          <w:color w:val="231F20"/>
          <w:spacing w:val="-6"/>
          <w:w w:val="110"/>
        </w:rPr>
        <w:t> </w:t>
      </w:r>
      <w:r>
        <w:rPr>
          <w:color w:val="231F20"/>
          <w:w w:val="110"/>
        </w:rPr>
        <w:t>un</w:t>
      </w:r>
      <w:r>
        <w:rPr>
          <w:color w:val="231F20"/>
          <w:spacing w:val="-6"/>
          <w:w w:val="110"/>
        </w:rPr>
        <w:t> </w:t>
      </w:r>
      <w:r>
        <w:rPr>
          <w:color w:val="231F20"/>
          <w:w w:val="110"/>
        </w:rPr>
        <w:t>proceso</w:t>
      </w:r>
      <w:r>
        <w:rPr>
          <w:color w:val="231F20"/>
          <w:spacing w:val="-6"/>
          <w:w w:val="110"/>
        </w:rPr>
        <w:t> </w:t>
      </w:r>
      <w:r>
        <w:rPr>
          <w:color w:val="231F20"/>
          <w:w w:val="110"/>
        </w:rPr>
        <w:t>de</w:t>
      </w:r>
      <w:r>
        <w:rPr>
          <w:color w:val="231F20"/>
          <w:spacing w:val="-6"/>
          <w:w w:val="110"/>
        </w:rPr>
        <w:t> </w:t>
      </w:r>
      <w:r>
        <w:rPr>
          <w:color w:val="231F20"/>
          <w:w w:val="110"/>
        </w:rPr>
        <w:t>confrontación</w:t>
      </w:r>
      <w:r>
        <w:rPr>
          <w:color w:val="231F20"/>
          <w:spacing w:val="-6"/>
          <w:w w:val="110"/>
        </w:rPr>
        <w:t> </w:t>
      </w:r>
      <w:r>
        <w:rPr>
          <w:color w:val="231F20"/>
          <w:w w:val="110"/>
        </w:rPr>
        <w:t>entre</w:t>
      </w:r>
      <w:r>
        <w:rPr>
          <w:color w:val="231F20"/>
          <w:spacing w:val="-6"/>
          <w:w w:val="110"/>
        </w:rPr>
        <w:t> </w:t>
      </w:r>
      <w:r>
        <w:rPr>
          <w:color w:val="231F20"/>
          <w:w w:val="110"/>
        </w:rPr>
        <w:t>las</w:t>
      </w:r>
      <w:r>
        <w:rPr>
          <w:color w:val="231F20"/>
          <w:spacing w:val="-6"/>
          <w:w w:val="110"/>
        </w:rPr>
        <w:t> </w:t>
      </w:r>
      <w:r>
        <w:rPr>
          <w:color w:val="231F20"/>
          <w:w w:val="110"/>
        </w:rPr>
        <w:t>fuerzas</w:t>
      </w:r>
      <w:r>
        <w:rPr>
          <w:color w:val="231F20"/>
          <w:spacing w:val="-6"/>
          <w:w w:val="110"/>
        </w:rPr>
        <w:t> </w:t>
      </w:r>
      <w:r>
        <w:rPr>
          <w:color w:val="231F20"/>
          <w:w w:val="110"/>
        </w:rPr>
        <w:t>hegemónicas</w:t>
      </w:r>
      <w:r>
        <w:rPr>
          <w:color w:val="231F20"/>
          <w:spacing w:val="-6"/>
          <w:w w:val="110"/>
        </w:rPr>
        <w:t> </w:t>
      </w:r>
      <w:r>
        <w:rPr>
          <w:color w:val="231F20"/>
          <w:w w:val="110"/>
        </w:rPr>
        <w:t>del imperialismo estadunidense y las que se enfrentan a éstas de</w:t>
      </w:r>
      <w:r>
        <w:rPr>
          <w:color w:val="231F20"/>
          <w:spacing w:val="-17"/>
          <w:w w:val="110"/>
        </w:rPr>
        <w:t> </w:t>
      </w:r>
      <w:r>
        <w:rPr>
          <w:color w:val="231F20"/>
          <w:w w:val="110"/>
        </w:rPr>
        <w:t>manera directa o indirecta. A los cambios en el escenario latinoamericano   y en la correlación internacional de fuerzas se suma el proceso de declinación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hegemonía</w:t>
      </w:r>
      <w:r>
        <w:rPr>
          <w:color w:val="231F20"/>
          <w:spacing w:val="-9"/>
          <w:w w:val="110"/>
        </w:rPr>
        <w:t> </w:t>
      </w:r>
      <w:r>
        <w:rPr>
          <w:color w:val="231F20"/>
          <w:w w:val="110"/>
        </w:rPr>
        <w:t>estadunidense</w:t>
      </w:r>
      <w:r>
        <w:rPr>
          <w:color w:val="231F20"/>
          <w:spacing w:val="-9"/>
          <w:w w:val="110"/>
        </w:rPr>
        <w:t> </w:t>
      </w:r>
      <w:r>
        <w:rPr>
          <w:color w:val="231F20"/>
          <w:w w:val="110"/>
        </w:rPr>
        <w:t>con</w:t>
      </w:r>
      <w:r>
        <w:rPr>
          <w:color w:val="231F20"/>
          <w:spacing w:val="-9"/>
          <w:w w:val="110"/>
        </w:rPr>
        <w:t> </w:t>
      </w:r>
      <w:r>
        <w:rPr>
          <w:color w:val="231F20"/>
          <w:w w:val="110"/>
        </w:rPr>
        <w:t>notables</w:t>
      </w:r>
      <w:r>
        <w:rPr>
          <w:color w:val="231F20"/>
          <w:spacing w:val="-9"/>
          <w:w w:val="110"/>
        </w:rPr>
        <w:t> </w:t>
      </w:r>
      <w:r>
        <w:rPr>
          <w:color w:val="231F20"/>
          <w:w w:val="110"/>
        </w:rPr>
        <w:t>expresiones actuales sobre todo en la esfera socioeconómica a partir de la crisis iniciada en 2007, pero con repercusiones en todos los ámbitos de la vida</w:t>
      </w:r>
      <w:r>
        <w:rPr>
          <w:color w:val="231F20"/>
          <w:spacing w:val="-8"/>
          <w:w w:val="110"/>
        </w:rPr>
        <w:t> </w:t>
      </w:r>
      <w:r>
        <w:rPr>
          <w:color w:val="231F20"/>
          <w:w w:val="110"/>
        </w:rPr>
        <w:t>social</w:t>
      </w:r>
      <w:r>
        <w:rPr>
          <w:color w:val="231F20"/>
          <w:spacing w:val="-8"/>
          <w:w w:val="110"/>
        </w:rPr>
        <w:t> </w:t>
      </w:r>
      <w:r>
        <w:rPr>
          <w:color w:val="231F20"/>
          <w:w w:val="110"/>
        </w:rPr>
        <w:t>y</w:t>
      </w:r>
      <w:r>
        <w:rPr>
          <w:color w:val="231F20"/>
          <w:spacing w:val="-8"/>
          <w:w w:val="110"/>
        </w:rPr>
        <w:t> </w:t>
      </w:r>
      <w:r>
        <w:rPr>
          <w:color w:val="231F20"/>
          <w:w w:val="110"/>
        </w:rPr>
        <w:t>política</w:t>
      </w:r>
      <w:r>
        <w:rPr>
          <w:color w:val="231F20"/>
          <w:spacing w:val="-8"/>
          <w:w w:val="110"/>
        </w:rPr>
        <w:t> </w:t>
      </w:r>
      <w:r>
        <w:rPr>
          <w:color w:val="231F20"/>
          <w:w w:val="110"/>
        </w:rPr>
        <w:t>de</w:t>
      </w:r>
      <w:r>
        <w:rPr>
          <w:color w:val="231F20"/>
          <w:spacing w:val="-8"/>
          <w:w w:val="110"/>
        </w:rPr>
        <w:t> </w:t>
      </w:r>
      <w:r>
        <w:rPr>
          <w:color w:val="231F20"/>
          <w:w w:val="110"/>
        </w:rPr>
        <w:t>ese</w:t>
      </w:r>
      <w:r>
        <w:rPr>
          <w:color w:val="231F20"/>
          <w:spacing w:val="-8"/>
          <w:w w:val="110"/>
        </w:rPr>
        <w:t> </w:t>
      </w:r>
      <w:r>
        <w:rPr>
          <w:color w:val="231F20"/>
          <w:w w:val="110"/>
        </w:rPr>
        <w:t>país.</w:t>
      </w:r>
    </w:p>
    <w:p>
      <w:pPr>
        <w:pStyle w:val="BodyText"/>
        <w:spacing w:line="261" w:lineRule="auto"/>
        <w:ind w:left="100" w:right="114" w:firstLine="240"/>
        <w:jc w:val="both"/>
      </w:pPr>
      <w:r>
        <w:rPr>
          <w:color w:val="231F20"/>
          <w:w w:val="110"/>
        </w:rPr>
        <w:t>Es </w:t>
      </w:r>
      <w:r>
        <w:rPr>
          <w:color w:val="231F20"/>
          <w:spacing w:val="-2"/>
          <w:w w:val="110"/>
        </w:rPr>
        <w:t>decir, </w:t>
      </w:r>
      <w:r>
        <w:rPr>
          <w:color w:val="231F20"/>
          <w:w w:val="110"/>
        </w:rPr>
        <w:t>el objetivo permanente de la proyección externa del imperialismo estadunidense es proteger las condiciones para el fun- cionamiento de su sistema de dominación hemisférico, que supone la reproducción económica y política de las relaciones asimétricas entre</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países</w:t>
      </w:r>
      <w:r>
        <w:rPr>
          <w:color w:val="231F20"/>
          <w:spacing w:val="-7"/>
          <w:w w:val="110"/>
        </w:rPr>
        <w:t> </w:t>
      </w:r>
      <w:r>
        <w:rPr>
          <w:color w:val="231F20"/>
          <w:w w:val="110"/>
        </w:rPr>
        <w:t>de</w:t>
      </w:r>
      <w:r>
        <w:rPr>
          <w:color w:val="231F20"/>
          <w:spacing w:val="-7"/>
          <w:w w:val="11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Caribe.</w:t>
      </w:r>
      <w:r>
        <w:rPr>
          <w:color w:val="231F20"/>
          <w:spacing w:val="-7"/>
          <w:w w:val="110"/>
        </w:rPr>
        <w:t> </w:t>
      </w:r>
      <w:r>
        <w:rPr>
          <w:color w:val="231F20"/>
          <w:w w:val="110"/>
        </w:rPr>
        <w:t>Las políticas imperialistas han logrado perpetuar con bastante éxito la asimetría en las relaciones entre los centros desarrollados y la peri- feria subdesarrollada, rasgo que todavía caracteriza el grueso de las relaciones de Estados Unidos con los países de América Latina y el Caribe.</w:t>
      </w:r>
      <w:r>
        <w:rPr>
          <w:color w:val="231F20"/>
          <w:w w:val="110"/>
          <w:position w:val="6"/>
          <w:sz w:val="13"/>
        </w:rPr>
        <w:t>2 </w:t>
      </w:r>
      <w:r>
        <w:rPr>
          <w:color w:val="231F20"/>
          <w:w w:val="110"/>
        </w:rPr>
        <w:t>No obstante, las crecientes diferencias y complejidades de esta región no permiten la existencia de una política general que se aplique</w:t>
      </w:r>
      <w:r>
        <w:rPr>
          <w:color w:val="231F20"/>
          <w:spacing w:val="-7"/>
          <w:w w:val="110"/>
        </w:rPr>
        <w:t> </w:t>
      </w:r>
      <w:r>
        <w:rPr>
          <w:color w:val="231F20"/>
          <w:w w:val="110"/>
        </w:rPr>
        <w:t>a</w:t>
      </w:r>
      <w:r>
        <w:rPr>
          <w:color w:val="231F20"/>
          <w:spacing w:val="-7"/>
          <w:w w:val="110"/>
        </w:rPr>
        <w:t> </w:t>
      </w:r>
      <w:r>
        <w:rPr>
          <w:color w:val="231F20"/>
          <w:w w:val="110"/>
        </w:rPr>
        <w:t>todas</w:t>
      </w:r>
      <w:r>
        <w:rPr>
          <w:color w:val="231F20"/>
          <w:spacing w:val="-7"/>
          <w:w w:val="110"/>
        </w:rPr>
        <w:t> </w:t>
      </w:r>
      <w:r>
        <w:rPr>
          <w:color w:val="231F20"/>
          <w:w w:val="110"/>
        </w:rPr>
        <w:t>las</w:t>
      </w:r>
      <w:r>
        <w:rPr>
          <w:color w:val="231F20"/>
          <w:spacing w:val="-7"/>
          <w:w w:val="110"/>
        </w:rPr>
        <w:t> </w:t>
      </w:r>
      <w:r>
        <w:rPr>
          <w:color w:val="231F20"/>
          <w:w w:val="110"/>
        </w:rPr>
        <w:t>relaciones,</w:t>
      </w:r>
      <w:r>
        <w:rPr>
          <w:color w:val="231F20"/>
          <w:spacing w:val="-7"/>
          <w:w w:val="110"/>
        </w:rPr>
        <w:t> </w:t>
      </w:r>
      <w:r>
        <w:rPr>
          <w:color w:val="231F20"/>
          <w:w w:val="110"/>
        </w:rPr>
        <w:t>sino</w:t>
      </w:r>
      <w:r>
        <w:rPr>
          <w:color w:val="231F20"/>
          <w:spacing w:val="-7"/>
          <w:w w:val="110"/>
        </w:rPr>
        <w:t> </w:t>
      </w:r>
      <w:r>
        <w:rPr>
          <w:color w:val="231F20"/>
          <w:w w:val="110"/>
        </w:rPr>
        <w:t>más</w:t>
      </w:r>
      <w:r>
        <w:rPr>
          <w:color w:val="231F20"/>
          <w:spacing w:val="-7"/>
          <w:w w:val="110"/>
        </w:rPr>
        <w:t> </w:t>
      </w:r>
      <w:r>
        <w:rPr>
          <w:color w:val="231F20"/>
          <w:w w:val="110"/>
        </w:rPr>
        <w:t>bien</w:t>
      </w:r>
      <w:r>
        <w:rPr>
          <w:color w:val="231F20"/>
          <w:spacing w:val="-7"/>
          <w:w w:val="110"/>
        </w:rPr>
        <w:t> </w:t>
      </w:r>
      <w:r>
        <w:rPr>
          <w:color w:val="231F20"/>
          <w:w w:val="110"/>
        </w:rPr>
        <w:t>identifica</w:t>
      </w:r>
      <w:r>
        <w:rPr>
          <w:color w:val="231F20"/>
          <w:spacing w:val="-7"/>
          <w:w w:val="110"/>
        </w:rPr>
        <w:t> </w:t>
      </w:r>
      <w:r>
        <w:rPr>
          <w:color w:val="231F20"/>
          <w:w w:val="110"/>
        </w:rPr>
        <w:t>algunos</w:t>
      </w:r>
      <w:r>
        <w:rPr>
          <w:color w:val="231F20"/>
          <w:spacing w:val="-7"/>
          <w:w w:val="110"/>
        </w:rPr>
        <w:t> </w:t>
      </w:r>
      <w:r>
        <w:rPr>
          <w:color w:val="231F20"/>
          <w:w w:val="110"/>
        </w:rPr>
        <w:t>linea- mientos generales y proyecciones, que luego se acomodan caso por caso y con algunas expresiones subregionales y con</w:t>
      </w:r>
      <w:r>
        <w:rPr>
          <w:color w:val="231F20"/>
          <w:spacing w:val="-14"/>
          <w:w w:val="110"/>
        </w:rPr>
        <w:t> </w:t>
      </w:r>
      <w:r>
        <w:rPr>
          <w:color w:val="231F20"/>
          <w:w w:val="110"/>
        </w:rPr>
        <w:t>particularidades hacia</w:t>
      </w:r>
      <w:r>
        <w:rPr>
          <w:color w:val="231F20"/>
          <w:spacing w:val="-26"/>
          <w:w w:val="110"/>
        </w:rPr>
        <w:t> </w:t>
      </w:r>
      <w:r>
        <w:rPr>
          <w:color w:val="231F20"/>
          <w:w w:val="110"/>
        </w:rPr>
        <w:t>aquellos</w:t>
      </w:r>
      <w:r>
        <w:rPr>
          <w:color w:val="231F20"/>
          <w:spacing w:val="-26"/>
          <w:w w:val="110"/>
        </w:rPr>
        <w:t> </w:t>
      </w:r>
      <w:r>
        <w:rPr>
          <w:color w:val="231F20"/>
          <w:w w:val="110"/>
        </w:rPr>
        <w:t>países</w:t>
      </w:r>
      <w:r>
        <w:rPr>
          <w:color w:val="231F20"/>
          <w:spacing w:val="-26"/>
          <w:w w:val="110"/>
        </w:rPr>
        <w:t> </w:t>
      </w:r>
      <w:r>
        <w:rPr>
          <w:color w:val="231F20"/>
          <w:w w:val="110"/>
        </w:rPr>
        <w:t>considerados</w:t>
      </w:r>
      <w:r>
        <w:rPr>
          <w:color w:val="231F20"/>
          <w:spacing w:val="-26"/>
          <w:w w:val="110"/>
        </w:rPr>
        <w:t> </w:t>
      </w:r>
      <w:r>
        <w:rPr>
          <w:color w:val="231F20"/>
          <w:w w:val="110"/>
        </w:rPr>
        <w:t>de</w:t>
      </w:r>
      <w:r>
        <w:rPr>
          <w:color w:val="231F20"/>
          <w:spacing w:val="-26"/>
          <w:w w:val="110"/>
        </w:rPr>
        <w:t> </w:t>
      </w:r>
      <w:r>
        <w:rPr>
          <w:color w:val="231F20"/>
          <w:w w:val="110"/>
        </w:rPr>
        <w:t>mayor</w:t>
      </w:r>
      <w:r>
        <w:rPr>
          <w:color w:val="231F20"/>
          <w:spacing w:val="-26"/>
          <w:w w:val="110"/>
        </w:rPr>
        <w:t> </w:t>
      </w:r>
      <w:r>
        <w:rPr>
          <w:color w:val="231F20"/>
          <w:w w:val="110"/>
        </w:rPr>
        <w:t>significación</w:t>
      </w:r>
      <w:r>
        <w:rPr>
          <w:color w:val="231F20"/>
          <w:spacing w:val="-26"/>
          <w:w w:val="110"/>
        </w:rPr>
        <w:t> </w:t>
      </w:r>
      <w:r>
        <w:rPr>
          <w:color w:val="231F20"/>
          <w:w w:val="110"/>
        </w:rPr>
        <w:t>estratégica.</w:t>
      </w:r>
    </w:p>
    <w:p>
      <w:pPr>
        <w:pStyle w:val="BodyText"/>
      </w:pPr>
    </w:p>
    <w:p>
      <w:pPr>
        <w:pStyle w:val="BodyText"/>
        <w:spacing w:before="2"/>
        <w:rPr>
          <w:sz w:val="26"/>
        </w:rPr>
      </w:pPr>
    </w:p>
    <w:p>
      <w:pPr>
        <w:spacing w:line="261" w:lineRule="auto" w:before="1"/>
        <w:ind w:left="100" w:right="116" w:firstLine="240"/>
        <w:jc w:val="both"/>
        <w:rPr>
          <w:sz w:val="16"/>
        </w:rPr>
      </w:pPr>
      <w:r>
        <w:rPr>
          <w:color w:val="231F20"/>
          <w:w w:val="110"/>
          <w:position w:val="5"/>
          <w:sz w:val="10"/>
        </w:rPr>
        <w:t>2 </w:t>
      </w:r>
      <w:r>
        <w:rPr>
          <w:color w:val="231F20"/>
          <w:w w:val="110"/>
          <w:sz w:val="16"/>
        </w:rPr>
        <w:t>Aunque existen elementos comunes para la región definida como América Latina y el Caribe, no cabe duda que se dan también notables diferencias entre las subregiones y países. En ese sentido los grados de dependencia económica y política a Estados Unidos son muy distintos y tales distinciones tienen a ensancharse, siendo en</w:t>
      </w:r>
      <w:r>
        <w:rPr>
          <w:color w:val="231F20"/>
          <w:spacing w:val="-6"/>
          <w:w w:val="110"/>
          <w:sz w:val="16"/>
        </w:rPr>
        <w:t> </w:t>
      </w:r>
      <w:r>
        <w:rPr>
          <w:color w:val="231F20"/>
          <w:w w:val="110"/>
          <w:sz w:val="16"/>
        </w:rPr>
        <w:t>sentido</w:t>
      </w:r>
      <w:r>
        <w:rPr>
          <w:color w:val="231F20"/>
          <w:spacing w:val="-6"/>
          <w:w w:val="110"/>
          <w:sz w:val="16"/>
        </w:rPr>
        <w:t> </w:t>
      </w:r>
      <w:r>
        <w:rPr>
          <w:color w:val="231F20"/>
          <w:w w:val="110"/>
          <w:sz w:val="16"/>
        </w:rPr>
        <w:t>general</w:t>
      </w:r>
      <w:r>
        <w:rPr>
          <w:color w:val="231F20"/>
          <w:spacing w:val="-6"/>
          <w:w w:val="110"/>
          <w:sz w:val="16"/>
        </w:rPr>
        <w:t> </w:t>
      </w:r>
      <w:r>
        <w:rPr>
          <w:color w:val="231F20"/>
          <w:w w:val="110"/>
          <w:sz w:val="16"/>
        </w:rPr>
        <w:t>y</w:t>
      </w:r>
      <w:r>
        <w:rPr>
          <w:color w:val="231F20"/>
          <w:spacing w:val="-6"/>
          <w:w w:val="110"/>
          <w:sz w:val="16"/>
        </w:rPr>
        <w:t> </w:t>
      </w:r>
      <w:r>
        <w:rPr>
          <w:color w:val="231F20"/>
          <w:w w:val="110"/>
          <w:sz w:val="16"/>
        </w:rPr>
        <w:t>con</w:t>
      </w:r>
      <w:r>
        <w:rPr>
          <w:color w:val="231F20"/>
          <w:spacing w:val="-6"/>
          <w:w w:val="110"/>
          <w:sz w:val="16"/>
        </w:rPr>
        <w:t> </w:t>
      </w:r>
      <w:r>
        <w:rPr>
          <w:color w:val="231F20"/>
          <w:w w:val="110"/>
          <w:sz w:val="16"/>
        </w:rPr>
        <w:t>las</w:t>
      </w:r>
      <w:r>
        <w:rPr>
          <w:color w:val="231F20"/>
          <w:spacing w:val="-6"/>
          <w:w w:val="110"/>
          <w:sz w:val="16"/>
        </w:rPr>
        <w:t> </w:t>
      </w:r>
      <w:r>
        <w:rPr>
          <w:color w:val="231F20"/>
          <w:w w:val="110"/>
          <w:sz w:val="16"/>
        </w:rPr>
        <w:t>mismas</w:t>
      </w:r>
      <w:r>
        <w:rPr>
          <w:color w:val="231F20"/>
          <w:spacing w:val="-6"/>
          <w:w w:val="110"/>
          <w:sz w:val="16"/>
        </w:rPr>
        <w:t> </w:t>
      </w:r>
      <w:r>
        <w:rPr>
          <w:color w:val="231F20"/>
          <w:w w:val="110"/>
          <w:sz w:val="16"/>
        </w:rPr>
        <w:t>advertencias,</w:t>
      </w:r>
      <w:r>
        <w:rPr>
          <w:color w:val="231F20"/>
          <w:spacing w:val="-6"/>
          <w:w w:val="110"/>
          <w:sz w:val="16"/>
        </w:rPr>
        <w:t> </w:t>
      </w:r>
      <w:r>
        <w:rPr>
          <w:color w:val="231F20"/>
          <w:w w:val="110"/>
          <w:sz w:val="16"/>
        </w:rPr>
        <w:t>mayores</w:t>
      </w:r>
      <w:r>
        <w:rPr>
          <w:color w:val="231F20"/>
          <w:spacing w:val="-6"/>
          <w:w w:val="110"/>
          <w:sz w:val="16"/>
        </w:rPr>
        <w:t> </w:t>
      </w:r>
      <w:r>
        <w:rPr>
          <w:color w:val="231F20"/>
          <w:w w:val="110"/>
          <w:sz w:val="16"/>
        </w:rPr>
        <w:t>con</w:t>
      </w:r>
      <w:r>
        <w:rPr>
          <w:color w:val="231F20"/>
          <w:spacing w:val="-6"/>
          <w:w w:val="110"/>
          <w:sz w:val="16"/>
        </w:rPr>
        <w:t> </w:t>
      </w:r>
      <w:r>
        <w:rPr>
          <w:color w:val="231F20"/>
          <w:w w:val="110"/>
          <w:sz w:val="16"/>
        </w:rPr>
        <w:t>los</w:t>
      </w:r>
      <w:r>
        <w:rPr>
          <w:color w:val="231F20"/>
          <w:spacing w:val="-6"/>
          <w:w w:val="110"/>
          <w:sz w:val="16"/>
        </w:rPr>
        <w:t> </w:t>
      </w:r>
      <w:r>
        <w:rPr>
          <w:color w:val="231F20"/>
          <w:w w:val="110"/>
          <w:sz w:val="16"/>
        </w:rPr>
        <w:t>países</w:t>
      </w:r>
      <w:r>
        <w:rPr>
          <w:color w:val="231F20"/>
          <w:spacing w:val="-6"/>
          <w:w w:val="110"/>
          <w:sz w:val="16"/>
        </w:rPr>
        <w:t> </w:t>
      </w:r>
      <w:r>
        <w:rPr>
          <w:color w:val="231F20"/>
          <w:w w:val="110"/>
          <w:sz w:val="16"/>
        </w:rPr>
        <w:t>del</w:t>
      </w:r>
      <w:r>
        <w:rPr>
          <w:color w:val="231F20"/>
          <w:spacing w:val="-6"/>
          <w:w w:val="110"/>
          <w:sz w:val="16"/>
        </w:rPr>
        <w:t> </w:t>
      </w:r>
      <w:r>
        <w:rPr>
          <w:color w:val="231F20"/>
          <w:w w:val="110"/>
          <w:sz w:val="16"/>
        </w:rPr>
        <w:t>Caribe</w:t>
      </w:r>
      <w:r>
        <w:rPr>
          <w:color w:val="231F20"/>
          <w:spacing w:val="-6"/>
          <w:w w:val="110"/>
          <w:sz w:val="16"/>
        </w:rPr>
        <w:t> </w:t>
      </w:r>
      <w:r>
        <w:rPr>
          <w:color w:val="231F20"/>
          <w:w w:val="110"/>
          <w:sz w:val="16"/>
        </w:rPr>
        <w:t>y Centroamérica y menores con el Cono</w:t>
      </w:r>
      <w:r>
        <w:rPr>
          <w:color w:val="231F20"/>
          <w:spacing w:val="43"/>
          <w:w w:val="110"/>
          <w:sz w:val="16"/>
        </w:rPr>
        <w:t> </w:t>
      </w:r>
      <w:r>
        <w:rPr>
          <w:color w:val="231F20"/>
          <w:spacing w:val="-4"/>
          <w:w w:val="110"/>
          <w:sz w:val="16"/>
        </w:rPr>
        <w:t>Sur.</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La estrecha vinculación de los mercados regionales con el resto del mundo para favorecer a la principal economía centro del capi- talismo mundial se complementa con el predominio de las tenden- cias neoliberales expresadas en organismos internacionales como la Organización Mundial de Comercio, el Banco Mundial y el Fondo Monetario Internacional.</w:t>
      </w:r>
    </w:p>
    <w:p>
      <w:pPr>
        <w:pStyle w:val="BodyText"/>
        <w:spacing w:line="261" w:lineRule="auto"/>
        <w:ind w:left="100" w:right="117" w:firstLine="240"/>
        <w:jc w:val="both"/>
      </w:pPr>
      <w:r>
        <w:rPr>
          <w:color w:val="231F20"/>
          <w:w w:val="110"/>
        </w:rPr>
        <w:t>El entorno político y económico internacional y las relaciones particulares de los organismos internacionales y regionales con Es- tados Unidos deben ser tenidos en cuenta, tanto si se enmarcan en contradicciones interimperialistas, como en otros retos a su</w:t>
      </w:r>
      <w:r>
        <w:rPr>
          <w:color w:val="231F20"/>
          <w:spacing w:val="-30"/>
          <w:w w:val="110"/>
        </w:rPr>
        <w:t> </w:t>
      </w:r>
      <w:r>
        <w:rPr>
          <w:color w:val="231F20"/>
          <w:w w:val="110"/>
        </w:rPr>
        <w:t>hegemo- nía</w:t>
      </w:r>
      <w:r>
        <w:rPr>
          <w:color w:val="231F20"/>
          <w:spacing w:val="-10"/>
          <w:w w:val="110"/>
        </w:rPr>
        <w:t> </w:t>
      </w:r>
      <w:r>
        <w:rPr>
          <w:color w:val="231F20"/>
          <w:w w:val="110"/>
        </w:rPr>
        <w:t>provenientes</w:t>
      </w:r>
      <w:r>
        <w:rPr>
          <w:color w:val="231F20"/>
          <w:spacing w:val="-10"/>
          <w:w w:val="110"/>
        </w:rPr>
        <w:t> </w:t>
      </w:r>
      <w:r>
        <w:rPr>
          <w:color w:val="231F20"/>
          <w:w w:val="110"/>
        </w:rPr>
        <w:t>del</w:t>
      </w:r>
      <w:r>
        <w:rPr>
          <w:color w:val="231F20"/>
          <w:spacing w:val="-10"/>
          <w:w w:val="110"/>
        </w:rPr>
        <w:t> </w:t>
      </w:r>
      <w:r>
        <w:rPr>
          <w:color w:val="231F20"/>
          <w:w w:val="110"/>
        </w:rPr>
        <w:t>movimiento</w:t>
      </w:r>
      <w:r>
        <w:rPr>
          <w:color w:val="231F20"/>
          <w:spacing w:val="-10"/>
          <w:w w:val="110"/>
        </w:rPr>
        <w:t> </w:t>
      </w:r>
      <w:r>
        <w:rPr>
          <w:color w:val="231F20"/>
          <w:w w:val="110"/>
        </w:rPr>
        <w:t>social</w:t>
      </w:r>
      <w:r>
        <w:rPr>
          <w:color w:val="231F20"/>
          <w:spacing w:val="-10"/>
          <w:w w:val="110"/>
        </w:rPr>
        <w:t> </w:t>
      </w:r>
      <w:r>
        <w:rPr>
          <w:color w:val="231F20"/>
          <w:w w:val="110"/>
        </w:rPr>
        <w:t>progresista</w:t>
      </w:r>
      <w:r>
        <w:rPr>
          <w:color w:val="231F20"/>
          <w:spacing w:val="-10"/>
          <w:w w:val="110"/>
        </w:rPr>
        <w:t> </w:t>
      </w:r>
      <w:r>
        <w:rPr>
          <w:color w:val="231F20"/>
          <w:w w:val="110"/>
        </w:rPr>
        <w:t>y</w:t>
      </w:r>
      <w:r>
        <w:rPr>
          <w:color w:val="231F20"/>
          <w:spacing w:val="-10"/>
          <w:w w:val="110"/>
        </w:rPr>
        <w:t> </w:t>
      </w:r>
      <w:r>
        <w:rPr>
          <w:color w:val="231F20"/>
          <w:w w:val="110"/>
        </w:rPr>
        <w:t>antiimperialista global, que van delineando las etapas de avance y retroceso de su sistema de dominación y</w:t>
      </w:r>
      <w:r>
        <w:rPr>
          <w:color w:val="231F20"/>
          <w:spacing w:val="6"/>
          <w:w w:val="110"/>
        </w:rPr>
        <w:t> </w:t>
      </w:r>
      <w:r>
        <w:rPr>
          <w:color w:val="231F20"/>
          <w:w w:val="110"/>
        </w:rPr>
        <w:t>explotación.</w:t>
      </w:r>
    </w:p>
    <w:p>
      <w:pPr>
        <w:pStyle w:val="BodyText"/>
        <w:spacing w:line="261" w:lineRule="auto"/>
        <w:ind w:left="100" w:right="117" w:firstLine="240"/>
        <w:jc w:val="both"/>
      </w:pPr>
      <w:r>
        <w:rPr>
          <w:color w:val="231F20"/>
          <w:w w:val="110"/>
        </w:rPr>
        <w:t>El avance del proceso de salida de las tropas de Afganistán e Irak puede</w:t>
      </w:r>
      <w:r>
        <w:rPr>
          <w:color w:val="231F20"/>
          <w:spacing w:val="-8"/>
          <w:w w:val="110"/>
        </w:rPr>
        <w:t> </w:t>
      </w:r>
      <w:r>
        <w:rPr>
          <w:color w:val="231F20"/>
          <w:w w:val="110"/>
        </w:rPr>
        <w:t>alentar</w:t>
      </w:r>
      <w:r>
        <w:rPr>
          <w:color w:val="231F20"/>
          <w:spacing w:val="-8"/>
          <w:w w:val="110"/>
        </w:rPr>
        <w:t> </w:t>
      </w:r>
      <w:r>
        <w:rPr>
          <w:color w:val="231F20"/>
          <w:w w:val="110"/>
        </w:rPr>
        <w:t>el</w:t>
      </w:r>
      <w:r>
        <w:rPr>
          <w:color w:val="231F20"/>
          <w:spacing w:val="-8"/>
          <w:w w:val="110"/>
        </w:rPr>
        <w:t> </w:t>
      </w:r>
      <w:r>
        <w:rPr>
          <w:color w:val="231F20"/>
          <w:w w:val="110"/>
        </w:rPr>
        <w:t>expansionismo</w:t>
      </w:r>
      <w:r>
        <w:rPr>
          <w:color w:val="231F20"/>
          <w:spacing w:val="-8"/>
          <w:w w:val="110"/>
        </w:rPr>
        <w:t> </w:t>
      </w:r>
      <w:r>
        <w:rPr>
          <w:color w:val="231F20"/>
          <w:w w:val="110"/>
        </w:rPr>
        <w:t>e</w:t>
      </w:r>
      <w:r>
        <w:rPr>
          <w:color w:val="231F20"/>
          <w:spacing w:val="-8"/>
          <w:w w:val="110"/>
        </w:rPr>
        <w:t> </w:t>
      </w:r>
      <w:r>
        <w:rPr>
          <w:color w:val="231F20"/>
          <w:w w:val="110"/>
        </w:rPr>
        <w:t>intervencionismo</w:t>
      </w:r>
      <w:r>
        <w:rPr>
          <w:color w:val="231F20"/>
          <w:spacing w:val="-8"/>
          <w:w w:val="110"/>
        </w:rPr>
        <w:t> </w:t>
      </w:r>
      <w:r>
        <w:rPr>
          <w:color w:val="231F20"/>
          <w:w w:val="110"/>
        </w:rPr>
        <w:t>en</w:t>
      </w:r>
      <w:r>
        <w:rPr>
          <w:color w:val="231F20"/>
          <w:spacing w:val="-8"/>
          <w:w w:val="110"/>
        </w:rPr>
        <w:t> </w:t>
      </w:r>
      <w:r>
        <w:rPr>
          <w:color w:val="231F20"/>
          <w:w w:val="110"/>
        </w:rPr>
        <w:t>otras</w:t>
      </w:r>
      <w:r>
        <w:rPr>
          <w:color w:val="231F20"/>
          <w:spacing w:val="-8"/>
          <w:w w:val="110"/>
        </w:rPr>
        <w:t> </w:t>
      </w:r>
      <w:r>
        <w:rPr>
          <w:color w:val="231F20"/>
          <w:w w:val="110"/>
        </w:rPr>
        <w:t>regiones y</w:t>
      </w:r>
      <w:r>
        <w:rPr>
          <w:color w:val="231F20"/>
          <w:spacing w:val="-7"/>
          <w:w w:val="110"/>
        </w:rPr>
        <w:t> </w:t>
      </w:r>
      <w:r>
        <w:rPr>
          <w:color w:val="231F20"/>
          <w:w w:val="110"/>
        </w:rPr>
        <w:t>países,</w:t>
      </w:r>
      <w:r>
        <w:rPr>
          <w:color w:val="231F20"/>
          <w:spacing w:val="-7"/>
          <w:w w:val="110"/>
        </w:rPr>
        <w:t> </w:t>
      </w:r>
      <w:r>
        <w:rPr>
          <w:color w:val="231F20"/>
          <w:w w:val="110"/>
        </w:rPr>
        <w:t>del</w:t>
      </w:r>
      <w:r>
        <w:rPr>
          <w:color w:val="231F20"/>
          <w:spacing w:val="-7"/>
          <w:w w:val="110"/>
        </w:rPr>
        <w:t> </w:t>
      </w:r>
      <w:r>
        <w:rPr>
          <w:color w:val="231F20"/>
          <w:w w:val="110"/>
        </w:rPr>
        <w:t>mismo</w:t>
      </w:r>
      <w:r>
        <w:rPr>
          <w:color w:val="231F20"/>
          <w:spacing w:val="-7"/>
          <w:w w:val="110"/>
        </w:rPr>
        <w:t> </w:t>
      </w:r>
      <w:r>
        <w:rPr>
          <w:color w:val="231F20"/>
          <w:w w:val="110"/>
        </w:rPr>
        <w:t>modo</w:t>
      </w:r>
      <w:r>
        <w:rPr>
          <w:color w:val="231F20"/>
          <w:spacing w:val="-7"/>
          <w:w w:val="110"/>
        </w:rPr>
        <w:t> </w:t>
      </w:r>
      <w:r>
        <w:rPr>
          <w:color w:val="231F20"/>
          <w:w w:val="110"/>
        </w:rPr>
        <w:t>que</w:t>
      </w:r>
      <w:r>
        <w:rPr>
          <w:color w:val="231F20"/>
          <w:spacing w:val="-7"/>
          <w:w w:val="110"/>
        </w:rPr>
        <w:t> </w:t>
      </w:r>
      <w:r>
        <w:rPr>
          <w:color w:val="231F20"/>
          <w:w w:val="110"/>
        </w:rPr>
        <w:t>un</w:t>
      </w:r>
      <w:r>
        <w:rPr>
          <w:color w:val="231F20"/>
          <w:spacing w:val="-7"/>
          <w:w w:val="110"/>
        </w:rPr>
        <w:t> </w:t>
      </w:r>
      <w:r>
        <w:rPr>
          <w:color w:val="231F20"/>
          <w:w w:val="110"/>
        </w:rPr>
        <w:t>fracaso</w:t>
      </w:r>
      <w:r>
        <w:rPr>
          <w:color w:val="231F20"/>
          <w:spacing w:val="-7"/>
          <w:w w:val="110"/>
        </w:rPr>
        <w:t> </w:t>
      </w:r>
      <w:r>
        <w:rPr>
          <w:color w:val="231F20"/>
          <w:w w:val="110"/>
        </w:rPr>
        <w:t>o</w:t>
      </w:r>
      <w:r>
        <w:rPr>
          <w:color w:val="231F20"/>
          <w:spacing w:val="-7"/>
          <w:w w:val="110"/>
        </w:rPr>
        <w:t> </w:t>
      </w:r>
      <w:r>
        <w:rPr>
          <w:color w:val="231F20"/>
          <w:w w:val="110"/>
        </w:rPr>
        <w:t>dilatación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presencia militar allí limita la ocurrencia de tales escenarios</w:t>
      </w:r>
      <w:r>
        <w:rPr>
          <w:color w:val="231F20"/>
          <w:spacing w:val="23"/>
          <w:w w:val="110"/>
        </w:rPr>
        <w:t> </w:t>
      </w:r>
      <w:r>
        <w:rPr>
          <w:color w:val="231F20"/>
          <w:w w:val="110"/>
        </w:rPr>
        <w:t>guerreristas.</w:t>
      </w:r>
    </w:p>
    <w:p>
      <w:pPr>
        <w:pStyle w:val="BodyText"/>
        <w:spacing w:line="261" w:lineRule="auto"/>
        <w:ind w:left="100" w:right="117" w:firstLine="240"/>
        <w:jc w:val="both"/>
      </w:pPr>
      <w:r>
        <w:rPr>
          <w:color w:val="231F20"/>
          <w:w w:val="110"/>
        </w:rPr>
        <w:t>En el marco de las relaciones interamericanas también se expresa el balance de poder o fuerza; y en tal sentido las condiciones histó- ricas concretas en cada momento influyen e impactan los modos de aplicar la política imperialista. Aunque no se puedan considerar los procesos de tendencia contrahegemónica —en todas sus variantes   y diferentes grados de profundización— como irreversibles, las vic- torias en América Latina de gobiernos con un signo contrario a los esquemas de dominación del imperialismo estadunidense, sumada a la permanencia de la Revolución cubana, promueven por distintas vías mayores niveles de autonomía, independencia, soberanía de la región y reducen la cuota de poder y el alcance de la hegemonía de Estados</w:t>
      </w:r>
      <w:r>
        <w:rPr>
          <w:color w:val="231F20"/>
          <w:spacing w:val="-25"/>
          <w:w w:val="110"/>
        </w:rPr>
        <w:t> </w:t>
      </w:r>
      <w:r>
        <w:rPr>
          <w:color w:val="231F20"/>
          <w:w w:val="110"/>
        </w:rPr>
        <w:t>Unidos.</w:t>
      </w:r>
    </w:p>
    <w:p>
      <w:pPr>
        <w:pStyle w:val="BodyText"/>
      </w:pPr>
    </w:p>
    <w:p>
      <w:pPr>
        <w:pStyle w:val="BodyText"/>
      </w:pPr>
    </w:p>
    <w:p>
      <w:pPr>
        <w:pStyle w:val="BodyText"/>
        <w:spacing w:before="2"/>
        <w:rPr>
          <w:sz w:val="25"/>
        </w:rPr>
      </w:pPr>
    </w:p>
    <w:p>
      <w:pPr>
        <w:pStyle w:val="BodyText"/>
        <w:ind w:left="100"/>
        <w:jc w:val="both"/>
      </w:pPr>
      <w:r>
        <w:rPr>
          <w:color w:val="231F20"/>
          <w:w w:val="125"/>
        </w:rPr>
        <w:t>obama, la crisis hegemónica y los retos de la economía</w:t>
      </w:r>
    </w:p>
    <w:p>
      <w:pPr>
        <w:pStyle w:val="BodyText"/>
        <w:spacing w:before="5"/>
        <w:rPr>
          <w:sz w:val="23"/>
        </w:rPr>
      </w:pPr>
    </w:p>
    <w:p>
      <w:pPr>
        <w:pStyle w:val="BodyText"/>
        <w:spacing w:line="261" w:lineRule="auto"/>
        <w:ind w:left="100" w:right="119"/>
        <w:jc w:val="both"/>
      </w:pPr>
      <w:r>
        <w:rPr>
          <w:color w:val="231F20"/>
          <w:w w:val="110"/>
        </w:rPr>
        <w:t>Como</w:t>
      </w:r>
      <w:r>
        <w:rPr>
          <w:color w:val="231F20"/>
          <w:spacing w:val="-17"/>
          <w:w w:val="110"/>
        </w:rPr>
        <w:t> </w:t>
      </w:r>
      <w:r>
        <w:rPr>
          <w:color w:val="231F20"/>
          <w:w w:val="110"/>
        </w:rPr>
        <w:t>se</w:t>
      </w:r>
      <w:r>
        <w:rPr>
          <w:color w:val="231F20"/>
          <w:spacing w:val="-17"/>
          <w:w w:val="110"/>
        </w:rPr>
        <w:t> </w:t>
      </w:r>
      <w:r>
        <w:rPr>
          <w:color w:val="231F20"/>
          <w:w w:val="110"/>
        </w:rPr>
        <w:t>sabe,</w:t>
      </w:r>
      <w:r>
        <w:rPr>
          <w:color w:val="231F20"/>
          <w:spacing w:val="-17"/>
          <w:w w:val="110"/>
        </w:rPr>
        <w:t> </w:t>
      </w:r>
      <w:r>
        <w:rPr>
          <w:color w:val="231F20"/>
          <w:w w:val="110"/>
        </w:rPr>
        <w:t>Estados</w:t>
      </w:r>
      <w:r>
        <w:rPr>
          <w:color w:val="231F20"/>
          <w:spacing w:val="-17"/>
          <w:w w:val="110"/>
        </w:rPr>
        <w:t> </w:t>
      </w:r>
      <w:r>
        <w:rPr>
          <w:color w:val="231F20"/>
          <w:w w:val="110"/>
        </w:rPr>
        <w:t>Unidos,</w:t>
      </w:r>
      <w:r>
        <w:rPr>
          <w:color w:val="231F20"/>
          <w:spacing w:val="-17"/>
          <w:w w:val="110"/>
        </w:rPr>
        <w:t> </w:t>
      </w:r>
      <w:r>
        <w:rPr>
          <w:color w:val="231F20"/>
          <w:w w:val="110"/>
        </w:rPr>
        <w:t>como</w:t>
      </w:r>
      <w:r>
        <w:rPr>
          <w:color w:val="231F20"/>
          <w:spacing w:val="-17"/>
          <w:w w:val="110"/>
        </w:rPr>
        <w:t> </w:t>
      </w:r>
      <w:r>
        <w:rPr>
          <w:color w:val="231F20"/>
          <w:w w:val="110"/>
        </w:rPr>
        <w:t>imperialismo,</w:t>
      </w:r>
      <w:r>
        <w:rPr>
          <w:color w:val="231F20"/>
          <w:spacing w:val="-17"/>
          <w:w w:val="110"/>
        </w:rPr>
        <w:t> </w:t>
      </w:r>
      <w:r>
        <w:rPr>
          <w:color w:val="231F20"/>
          <w:w w:val="110"/>
        </w:rPr>
        <w:t>llega</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cima</w:t>
      </w:r>
      <w:r>
        <w:rPr>
          <w:color w:val="231F20"/>
          <w:spacing w:val="-17"/>
          <w:w w:val="110"/>
        </w:rPr>
        <w:t> </w:t>
      </w:r>
      <w:r>
        <w:rPr>
          <w:color w:val="231F20"/>
          <w:w w:val="110"/>
        </w:rPr>
        <w:t>de su hegemonía al término de la segunda guerra mundial y consigue estabilizarse en esa posición hasta los años de 1950. Su declinación imperialista, aunque oscilante, se inicia a finales de los</w:t>
      </w:r>
      <w:r>
        <w:rPr>
          <w:color w:val="231F20"/>
          <w:spacing w:val="22"/>
          <w:w w:val="110"/>
        </w:rPr>
        <w:t> </w:t>
      </w:r>
      <w:r>
        <w:rPr>
          <w:color w:val="231F20"/>
          <w:w w:val="110"/>
        </w:rPr>
        <w:t>años</w:t>
      </w:r>
      <w:r>
        <w:rPr>
          <w:color w:val="231F20"/>
          <w:spacing w:val="2"/>
          <w:w w:val="110"/>
        </w:rPr>
        <w:t> </w:t>
      </w:r>
      <w:r>
        <w:rPr>
          <w:color w:val="231F20"/>
          <w:w w:val="110"/>
        </w:rPr>
        <w:t>sesenta</w:t>
      </w:r>
      <w:r>
        <w:rPr>
          <w:color w:val="231F20"/>
          <w:w w:val="108"/>
        </w:rPr>
        <w:t> </w:t>
      </w:r>
      <w:r>
        <w:rPr>
          <w:color w:val="231F20"/>
          <w:w w:val="110"/>
        </w:rPr>
        <w:t>(Shanon,</w:t>
      </w:r>
      <w:r>
        <w:rPr>
          <w:color w:val="231F20"/>
          <w:spacing w:val="35"/>
          <w:w w:val="110"/>
        </w:rPr>
        <w:t> </w:t>
      </w:r>
      <w:r>
        <w:rPr>
          <w:color w:val="231F20"/>
          <w:w w:val="110"/>
        </w:rPr>
        <w:t>1996)</w:t>
      </w:r>
      <w:r>
        <w:rPr>
          <w:color w:val="231F20"/>
          <w:spacing w:val="4"/>
          <w:w w:val="110"/>
        </w:rPr>
        <w:t> </w:t>
      </w:r>
      <w:r>
        <w:rPr>
          <w:color w:val="231F20"/>
          <w:w w:val="110"/>
        </w:rPr>
        <w:t>y</w:t>
      </w:r>
      <w:r>
        <w:rPr>
          <w:color w:val="231F20"/>
          <w:spacing w:val="35"/>
          <w:w w:val="110"/>
        </w:rPr>
        <w:t> </w:t>
      </w:r>
      <w:r>
        <w:rPr>
          <w:color w:val="231F20"/>
          <w:w w:val="110"/>
        </w:rPr>
        <w:t>desde</w:t>
      </w:r>
      <w:r>
        <w:rPr>
          <w:color w:val="231F20"/>
          <w:spacing w:val="35"/>
          <w:w w:val="110"/>
        </w:rPr>
        <w:t> </w:t>
      </w:r>
      <w:r>
        <w:rPr>
          <w:color w:val="231F20"/>
          <w:w w:val="110"/>
        </w:rPr>
        <w:t>entonces</w:t>
      </w:r>
      <w:r>
        <w:rPr>
          <w:color w:val="231F20"/>
          <w:spacing w:val="35"/>
          <w:w w:val="110"/>
        </w:rPr>
        <w:t> </w:t>
      </w:r>
      <w:r>
        <w:rPr>
          <w:color w:val="231F20"/>
          <w:w w:val="110"/>
        </w:rPr>
        <w:t>los</w:t>
      </w:r>
      <w:r>
        <w:rPr>
          <w:color w:val="231F20"/>
          <w:spacing w:val="35"/>
          <w:w w:val="110"/>
        </w:rPr>
        <w:t> </w:t>
      </w:r>
      <w:r>
        <w:rPr>
          <w:color w:val="231F20"/>
          <w:w w:val="110"/>
        </w:rPr>
        <w:t>círculos</w:t>
      </w:r>
      <w:r>
        <w:rPr>
          <w:color w:val="231F20"/>
          <w:spacing w:val="35"/>
          <w:w w:val="110"/>
        </w:rPr>
        <w:t> </w:t>
      </w:r>
      <w:r>
        <w:rPr>
          <w:color w:val="231F20"/>
          <w:w w:val="110"/>
        </w:rPr>
        <w:t>gobernantes</w:t>
      </w:r>
      <w:r>
        <w:rPr>
          <w:color w:val="231F20"/>
          <w:spacing w:val="35"/>
          <w:w w:val="110"/>
        </w:rPr>
        <w:t> </w:t>
      </w:r>
      <w:r>
        <w:rPr>
          <w:color w:val="231F20"/>
          <w:w w:val="110"/>
        </w:rPr>
        <w:t>de</w:t>
      </w:r>
      <w:r>
        <w:rPr>
          <w:color w:val="231F20"/>
          <w:spacing w:val="35"/>
          <w:w w:val="110"/>
        </w:rPr>
        <w:t> </w:t>
      </w:r>
      <w:r>
        <w:rPr>
          <w:color w:val="231F20"/>
          <w:w w:val="110"/>
        </w:rPr>
        <w:t>ese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right"/>
      </w:pPr>
      <w:r>
        <w:rPr>
          <w:color w:val="231F20"/>
          <w:w w:val="110"/>
        </w:rPr>
        <w:t>país se han enfrascado por distintas vías en la recuperación</w:t>
      </w:r>
      <w:r>
        <w:rPr>
          <w:color w:val="231F20"/>
          <w:spacing w:val="15"/>
          <w:w w:val="110"/>
        </w:rPr>
        <w:t> </w:t>
      </w:r>
      <w:r>
        <w:rPr>
          <w:color w:val="231F20"/>
          <w:w w:val="110"/>
        </w:rPr>
        <w:t>o</w:t>
      </w:r>
      <w:r>
        <w:rPr>
          <w:color w:val="231F20"/>
          <w:spacing w:val="12"/>
          <w:w w:val="110"/>
        </w:rPr>
        <w:t> </w:t>
      </w:r>
      <w:r>
        <w:rPr>
          <w:color w:val="231F20"/>
          <w:w w:val="110"/>
        </w:rPr>
        <w:t>man-</w:t>
      </w:r>
      <w:r>
        <w:rPr>
          <w:color w:val="231F20"/>
          <w:w w:val="72"/>
        </w:rPr>
        <w:t> </w:t>
      </w:r>
      <w:r>
        <w:rPr>
          <w:color w:val="231F20"/>
          <w:w w:val="110"/>
        </w:rPr>
        <w:t>tenimiento</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hegemonía.</w:t>
      </w:r>
      <w:r>
        <w:rPr>
          <w:color w:val="231F20"/>
          <w:spacing w:val="32"/>
          <w:w w:val="110"/>
        </w:rPr>
        <w:t> </w:t>
      </w:r>
      <w:r>
        <w:rPr>
          <w:color w:val="231F20"/>
          <w:w w:val="110"/>
        </w:rPr>
        <w:t>El</w:t>
      </w:r>
      <w:r>
        <w:rPr>
          <w:color w:val="231F20"/>
          <w:spacing w:val="32"/>
          <w:w w:val="110"/>
        </w:rPr>
        <w:t> </w:t>
      </w:r>
      <w:r>
        <w:rPr>
          <w:color w:val="231F20"/>
          <w:w w:val="110"/>
        </w:rPr>
        <w:t>impacto</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crisis</w:t>
      </w:r>
      <w:r>
        <w:rPr>
          <w:color w:val="231F20"/>
          <w:spacing w:val="32"/>
          <w:w w:val="110"/>
        </w:rPr>
        <w:t> </w:t>
      </w:r>
      <w:r>
        <w:rPr>
          <w:color w:val="231F20"/>
          <w:w w:val="110"/>
        </w:rPr>
        <w:t>económica</w:t>
      </w:r>
      <w:r>
        <w:rPr>
          <w:color w:val="231F20"/>
          <w:spacing w:val="32"/>
          <w:w w:val="110"/>
        </w:rPr>
        <w:t> </w:t>
      </w:r>
      <w:r>
        <w:rPr>
          <w:color w:val="231F20"/>
          <w:w w:val="110"/>
        </w:rPr>
        <w:t>y</w:t>
      </w:r>
      <w:r>
        <w:rPr>
          <w:color w:val="231F20"/>
          <w:w w:val="84"/>
        </w:rPr>
        <w:t> </w:t>
      </w:r>
      <w:r>
        <w:rPr>
          <w:color w:val="231F20"/>
          <w:w w:val="110"/>
        </w:rPr>
        <w:t>financiera</w:t>
      </w:r>
      <w:r>
        <w:rPr>
          <w:color w:val="231F20"/>
          <w:spacing w:val="-17"/>
          <w:w w:val="110"/>
        </w:rPr>
        <w:t> </w:t>
      </w:r>
      <w:r>
        <w:rPr>
          <w:color w:val="231F20"/>
          <w:w w:val="110"/>
        </w:rPr>
        <w:t>en</w:t>
      </w:r>
      <w:r>
        <w:rPr>
          <w:color w:val="231F20"/>
          <w:spacing w:val="-17"/>
          <w:w w:val="110"/>
        </w:rPr>
        <w:t> </w:t>
      </w:r>
      <w:r>
        <w:rPr>
          <w:color w:val="231F20"/>
          <w:w w:val="110"/>
        </w:rPr>
        <w:t>ese</w:t>
      </w:r>
      <w:r>
        <w:rPr>
          <w:color w:val="231F20"/>
          <w:spacing w:val="-17"/>
          <w:w w:val="110"/>
        </w:rPr>
        <w:t> </w:t>
      </w:r>
      <w:r>
        <w:rPr>
          <w:color w:val="231F20"/>
          <w:w w:val="110"/>
        </w:rPr>
        <w:t>país,</w:t>
      </w:r>
      <w:r>
        <w:rPr>
          <w:color w:val="231F20"/>
          <w:spacing w:val="-17"/>
          <w:w w:val="110"/>
        </w:rPr>
        <w:t> </w:t>
      </w:r>
      <w:r>
        <w:rPr>
          <w:color w:val="231F20"/>
          <w:w w:val="110"/>
        </w:rPr>
        <w:t>su</w:t>
      </w:r>
      <w:r>
        <w:rPr>
          <w:color w:val="231F20"/>
          <w:spacing w:val="-17"/>
          <w:w w:val="110"/>
        </w:rPr>
        <w:t> </w:t>
      </w:r>
      <w:r>
        <w:rPr>
          <w:color w:val="231F20"/>
          <w:w w:val="110"/>
        </w:rPr>
        <w:t>repercusión</w:t>
      </w:r>
      <w:r>
        <w:rPr>
          <w:color w:val="231F20"/>
          <w:spacing w:val="-17"/>
          <w:w w:val="110"/>
        </w:rPr>
        <w:t> </w:t>
      </w:r>
      <w:r>
        <w:rPr>
          <w:color w:val="231F20"/>
          <w:w w:val="110"/>
        </w:rPr>
        <w:t>global</w:t>
      </w:r>
      <w:r>
        <w:rPr>
          <w:color w:val="231F20"/>
          <w:spacing w:val="-17"/>
          <w:w w:val="110"/>
        </w:rPr>
        <w:t> </w:t>
      </w:r>
      <w:r>
        <w:rPr>
          <w:color w:val="231F20"/>
          <w:w w:val="110"/>
        </w:rPr>
        <w:t>y</w:t>
      </w:r>
      <w:r>
        <w:rPr>
          <w:color w:val="231F20"/>
          <w:spacing w:val="-17"/>
          <w:w w:val="110"/>
        </w:rPr>
        <w:t> </w:t>
      </w:r>
      <w:r>
        <w:rPr>
          <w:color w:val="231F20"/>
          <w:w w:val="110"/>
        </w:rPr>
        <w:t>para</w:t>
      </w:r>
      <w:r>
        <w:rPr>
          <w:color w:val="231F20"/>
          <w:spacing w:val="-17"/>
          <w:w w:val="110"/>
        </w:rPr>
        <w:t> </w:t>
      </w:r>
      <w:r>
        <w:rPr>
          <w:color w:val="231F20"/>
          <w:w w:val="110"/>
        </w:rPr>
        <w:t>las</w:t>
      </w:r>
      <w:r>
        <w:rPr>
          <w:color w:val="231F20"/>
          <w:spacing w:val="-17"/>
          <w:w w:val="110"/>
        </w:rPr>
        <w:t> </w:t>
      </w:r>
      <w:r>
        <w:rPr>
          <w:color w:val="231F20"/>
          <w:w w:val="110"/>
        </w:rPr>
        <w:t>relaciones</w:t>
      </w:r>
      <w:r>
        <w:rPr>
          <w:color w:val="231F20"/>
          <w:spacing w:val="-17"/>
          <w:w w:val="110"/>
        </w:rPr>
        <w:t> </w:t>
      </w:r>
      <w:r>
        <w:rPr>
          <w:color w:val="231F20"/>
          <w:w w:val="110"/>
        </w:rPr>
        <w:t>inte-</w:t>
      </w:r>
      <w:r>
        <w:rPr>
          <w:color w:val="231F20"/>
          <w:w w:val="72"/>
        </w:rPr>
        <w:t> </w:t>
      </w:r>
      <w:r>
        <w:rPr>
          <w:color w:val="231F20"/>
          <w:w w:val="110"/>
        </w:rPr>
        <w:t>ramericanas —sobre todo a partir del 2008— menoscaba</w:t>
      </w:r>
      <w:r>
        <w:rPr>
          <w:color w:val="231F20"/>
          <w:spacing w:val="-29"/>
          <w:w w:val="110"/>
        </w:rPr>
        <w:t> </w:t>
      </w:r>
      <w:r>
        <w:rPr>
          <w:color w:val="231F20"/>
          <w:w w:val="110"/>
        </w:rPr>
        <w:t>la</w:t>
      </w:r>
      <w:r>
        <w:rPr>
          <w:color w:val="231F20"/>
          <w:spacing w:val="-4"/>
          <w:w w:val="110"/>
        </w:rPr>
        <w:t> </w:t>
      </w:r>
      <w:r>
        <w:rPr>
          <w:color w:val="231F20"/>
          <w:w w:val="110"/>
        </w:rPr>
        <w:t>posición</w:t>
      </w:r>
      <w:r>
        <w:rPr>
          <w:color w:val="231F20"/>
          <w:w w:val="108"/>
        </w:rPr>
        <w:t> </w:t>
      </w:r>
      <w:r>
        <w:rPr>
          <w:color w:val="231F20"/>
          <w:w w:val="110"/>
        </w:rPr>
        <w:t>hegemónica del imperialismo estadunidense y su lugar en</w:t>
      </w:r>
      <w:r>
        <w:rPr>
          <w:color w:val="231F20"/>
          <w:spacing w:val="51"/>
          <w:w w:val="110"/>
        </w:rPr>
        <w:t> </w:t>
      </w:r>
      <w:r>
        <w:rPr>
          <w:color w:val="231F20"/>
          <w:w w:val="110"/>
        </w:rPr>
        <w:t>la</w:t>
      </w:r>
      <w:r>
        <w:rPr>
          <w:color w:val="231F20"/>
          <w:spacing w:val="13"/>
          <w:w w:val="110"/>
        </w:rPr>
        <w:t> </w:t>
      </w:r>
      <w:r>
        <w:rPr>
          <w:color w:val="231F20"/>
          <w:w w:val="110"/>
        </w:rPr>
        <w:t>corre-</w:t>
      </w:r>
      <w:r>
        <w:rPr>
          <w:color w:val="231F20"/>
          <w:w w:val="72"/>
        </w:rPr>
        <w:t> </w:t>
      </w:r>
      <w:r>
        <w:rPr>
          <w:color w:val="231F20"/>
          <w:w w:val="110"/>
        </w:rPr>
        <w:t>lación internacional de fuerzas en el escenario</w:t>
      </w:r>
      <w:r>
        <w:rPr>
          <w:color w:val="231F20"/>
          <w:spacing w:val="1"/>
          <w:w w:val="110"/>
        </w:rPr>
        <w:t> </w:t>
      </w:r>
      <w:r>
        <w:rPr>
          <w:color w:val="231F20"/>
          <w:w w:val="110"/>
        </w:rPr>
        <w:t>geopolítico</w:t>
      </w:r>
      <w:r>
        <w:rPr>
          <w:color w:val="231F20"/>
          <w:spacing w:val="8"/>
          <w:w w:val="110"/>
        </w:rPr>
        <w:t> </w:t>
      </w:r>
      <w:r>
        <w:rPr>
          <w:color w:val="231F20"/>
          <w:w w:val="110"/>
        </w:rPr>
        <w:t>mundial.</w:t>
      </w:r>
      <w:r>
        <w:rPr>
          <w:color w:val="231F20"/>
          <w:w w:val="111"/>
        </w:rPr>
        <w:t> </w:t>
      </w:r>
      <w:r>
        <w:rPr>
          <w:color w:val="231F20"/>
          <w:w w:val="110"/>
        </w:rPr>
        <w:t>El</w:t>
      </w:r>
      <w:r>
        <w:rPr>
          <w:color w:val="231F20"/>
          <w:spacing w:val="27"/>
          <w:w w:val="110"/>
        </w:rPr>
        <w:t> </w:t>
      </w:r>
      <w:r>
        <w:rPr>
          <w:color w:val="231F20"/>
          <w:w w:val="110"/>
        </w:rPr>
        <w:t>presidente</w:t>
      </w:r>
      <w:r>
        <w:rPr>
          <w:color w:val="231F20"/>
          <w:spacing w:val="27"/>
          <w:w w:val="110"/>
        </w:rPr>
        <w:t> </w:t>
      </w:r>
      <w:r>
        <w:rPr>
          <w:color w:val="231F20"/>
          <w:w w:val="110"/>
        </w:rPr>
        <w:t>elegido</w:t>
      </w:r>
      <w:r>
        <w:rPr>
          <w:color w:val="231F20"/>
          <w:spacing w:val="27"/>
          <w:w w:val="110"/>
        </w:rPr>
        <w:t> </w:t>
      </w:r>
      <w:r>
        <w:rPr>
          <w:color w:val="231F20"/>
          <w:w w:val="110"/>
        </w:rPr>
        <w:t>en</w:t>
      </w:r>
      <w:r>
        <w:rPr>
          <w:color w:val="231F20"/>
          <w:spacing w:val="27"/>
          <w:w w:val="110"/>
        </w:rPr>
        <w:t> </w:t>
      </w:r>
      <w:r>
        <w:rPr>
          <w:color w:val="231F20"/>
          <w:w w:val="110"/>
        </w:rPr>
        <w:t>2008</w:t>
      </w:r>
      <w:r>
        <w:rPr>
          <w:color w:val="231F20"/>
          <w:spacing w:val="27"/>
          <w:w w:val="110"/>
        </w:rPr>
        <w:t> </w:t>
      </w:r>
      <w:r>
        <w:rPr>
          <w:color w:val="231F20"/>
          <w:w w:val="110"/>
        </w:rPr>
        <w:t>y</w:t>
      </w:r>
      <w:r>
        <w:rPr>
          <w:color w:val="231F20"/>
          <w:spacing w:val="27"/>
          <w:w w:val="110"/>
        </w:rPr>
        <w:t> </w:t>
      </w:r>
      <w:r>
        <w:rPr>
          <w:color w:val="231F20"/>
          <w:w w:val="110"/>
        </w:rPr>
        <w:t>el</w:t>
      </w:r>
      <w:r>
        <w:rPr>
          <w:color w:val="231F20"/>
          <w:spacing w:val="27"/>
          <w:w w:val="110"/>
        </w:rPr>
        <w:t> </w:t>
      </w:r>
      <w:r>
        <w:rPr>
          <w:color w:val="231F20"/>
          <w:w w:val="110"/>
        </w:rPr>
        <w:t>congreso</w:t>
      </w:r>
      <w:r>
        <w:rPr>
          <w:color w:val="231F20"/>
          <w:spacing w:val="27"/>
          <w:w w:val="110"/>
        </w:rPr>
        <w:t> </w:t>
      </w:r>
      <w:r>
        <w:rPr>
          <w:color w:val="231F20"/>
          <w:w w:val="110"/>
        </w:rPr>
        <w:t>estadunidense</w:t>
      </w:r>
      <w:r>
        <w:rPr>
          <w:color w:val="231F20"/>
          <w:spacing w:val="27"/>
          <w:w w:val="110"/>
        </w:rPr>
        <w:t> </w:t>
      </w:r>
      <w:r>
        <w:rPr>
          <w:color w:val="231F20"/>
          <w:w w:val="110"/>
        </w:rPr>
        <w:t>han</w:t>
      </w:r>
      <w:r>
        <w:rPr>
          <w:color w:val="231F20"/>
          <w:w w:val="116"/>
        </w:rPr>
        <w:t> </w:t>
      </w:r>
      <w:r>
        <w:rPr>
          <w:color w:val="231F20"/>
          <w:w w:val="110"/>
        </w:rPr>
        <w:t>tenido</w:t>
      </w:r>
      <w:r>
        <w:rPr>
          <w:color w:val="231F20"/>
          <w:spacing w:val="-11"/>
          <w:w w:val="110"/>
        </w:rPr>
        <w:t> </w:t>
      </w:r>
      <w:r>
        <w:rPr>
          <w:color w:val="231F20"/>
          <w:w w:val="110"/>
        </w:rPr>
        <w:t>que</w:t>
      </w:r>
      <w:r>
        <w:rPr>
          <w:color w:val="231F20"/>
          <w:spacing w:val="-11"/>
          <w:w w:val="110"/>
        </w:rPr>
        <w:t> </w:t>
      </w:r>
      <w:r>
        <w:rPr>
          <w:color w:val="231F20"/>
          <w:w w:val="110"/>
        </w:rPr>
        <w:t>enfrentar</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financiera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recesión</w:t>
      </w:r>
      <w:r>
        <w:rPr>
          <w:color w:val="231F20"/>
          <w:spacing w:val="-11"/>
          <w:w w:val="110"/>
        </w:rPr>
        <w:t> </w:t>
      </w:r>
      <w:r>
        <w:rPr>
          <w:color w:val="231F20"/>
          <w:w w:val="110"/>
        </w:rPr>
        <w:t>global</w:t>
      </w:r>
      <w:r>
        <w:rPr>
          <w:color w:val="231F20"/>
          <w:spacing w:val="-11"/>
          <w:w w:val="110"/>
        </w:rPr>
        <w:t> </w:t>
      </w:r>
      <w:r>
        <w:rPr>
          <w:color w:val="231F20"/>
          <w:spacing w:val="-8"/>
          <w:w w:val="110"/>
        </w:rPr>
        <w:t>y,</w:t>
      </w:r>
      <w:r>
        <w:rPr>
          <w:color w:val="231F20"/>
          <w:spacing w:val="-11"/>
          <w:w w:val="110"/>
        </w:rPr>
        <w:t> </w:t>
      </w:r>
      <w:r>
        <w:rPr>
          <w:color w:val="231F20"/>
          <w:w w:val="110"/>
        </w:rPr>
        <w:t>aunque</w:t>
      </w:r>
      <w:r>
        <w:rPr>
          <w:color w:val="231F20"/>
          <w:w w:val="114"/>
        </w:rPr>
        <w:t> </w:t>
      </w:r>
      <w:r>
        <w:rPr>
          <w:color w:val="231F20"/>
          <w:w w:val="110"/>
        </w:rPr>
        <w:t>se han presentado algunos síntomas de recuperación</w:t>
      </w:r>
      <w:r>
        <w:rPr>
          <w:color w:val="231F20"/>
          <w:spacing w:val="14"/>
          <w:w w:val="110"/>
        </w:rPr>
        <w:t> </w:t>
      </w:r>
      <w:r>
        <w:rPr>
          <w:color w:val="231F20"/>
          <w:w w:val="110"/>
        </w:rPr>
        <w:t>desde</w:t>
      </w:r>
      <w:r>
        <w:rPr>
          <w:color w:val="231F20"/>
          <w:spacing w:val="25"/>
          <w:w w:val="110"/>
        </w:rPr>
        <w:t> </w:t>
      </w:r>
      <w:r>
        <w:rPr>
          <w:color w:val="231F20"/>
          <w:w w:val="110"/>
        </w:rPr>
        <w:t>finales</w:t>
      </w:r>
      <w:r>
        <w:rPr>
          <w:color w:val="231F20"/>
          <w:w w:val="105"/>
        </w:rPr>
        <w:t> </w:t>
      </w:r>
      <w:r>
        <w:rPr>
          <w:color w:val="231F20"/>
          <w:w w:val="110"/>
        </w:rPr>
        <w:t>de 2009, las condiciones recesivas se extienden en 2010.</w:t>
      </w:r>
      <w:r>
        <w:rPr>
          <w:color w:val="231F20"/>
          <w:spacing w:val="37"/>
          <w:w w:val="110"/>
        </w:rPr>
        <w:t> </w:t>
      </w:r>
      <w:r>
        <w:rPr>
          <w:color w:val="231F20"/>
          <w:w w:val="110"/>
        </w:rPr>
        <w:t>Sin</w:t>
      </w:r>
      <w:r>
        <w:rPr>
          <w:color w:val="231F20"/>
          <w:spacing w:val="10"/>
          <w:w w:val="110"/>
        </w:rPr>
        <w:t> </w:t>
      </w:r>
      <w:r>
        <w:rPr>
          <w:color w:val="231F20"/>
          <w:w w:val="110"/>
        </w:rPr>
        <w:t>poder</w:t>
      </w:r>
      <w:r>
        <w:rPr>
          <w:color w:val="231F20"/>
          <w:w w:val="115"/>
        </w:rPr>
        <w:t> </w:t>
      </w:r>
      <w:r>
        <w:rPr>
          <w:color w:val="231F20"/>
          <w:w w:val="110"/>
        </w:rPr>
        <w:t>definir con precisión todas las condiciones, se prevé una</w:t>
      </w:r>
      <w:r>
        <w:rPr>
          <w:color w:val="231F20"/>
          <w:spacing w:val="32"/>
          <w:w w:val="110"/>
        </w:rPr>
        <w:t> </w:t>
      </w:r>
      <w:r>
        <w:rPr>
          <w:color w:val="231F20"/>
          <w:w w:val="110"/>
        </w:rPr>
        <w:t>muy</w:t>
      </w:r>
      <w:r>
        <w:rPr>
          <w:color w:val="231F20"/>
          <w:spacing w:val="9"/>
          <w:w w:val="110"/>
        </w:rPr>
        <w:t> </w:t>
      </w:r>
      <w:r>
        <w:rPr>
          <w:color w:val="231F20"/>
          <w:w w:val="110"/>
        </w:rPr>
        <w:t>larga</w:t>
      </w:r>
      <w:r>
        <w:rPr>
          <w:color w:val="231F20"/>
          <w:w w:val="108"/>
        </w:rPr>
        <w:t> </w:t>
      </w:r>
      <w:r>
        <w:rPr>
          <w:color w:val="231F20"/>
          <w:w w:val="110"/>
        </w:rPr>
        <w:t>y</w:t>
      </w:r>
      <w:r>
        <w:rPr>
          <w:color w:val="231F20"/>
          <w:spacing w:val="-6"/>
          <w:w w:val="110"/>
        </w:rPr>
        <w:t> </w:t>
      </w:r>
      <w:r>
        <w:rPr>
          <w:color w:val="231F20"/>
          <w:w w:val="110"/>
        </w:rPr>
        <w:t>difícil</w:t>
      </w:r>
      <w:r>
        <w:rPr>
          <w:color w:val="231F20"/>
          <w:spacing w:val="-6"/>
          <w:w w:val="110"/>
        </w:rPr>
        <w:t> </w:t>
      </w:r>
      <w:r>
        <w:rPr>
          <w:color w:val="231F20"/>
          <w:w w:val="110"/>
        </w:rPr>
        <w:t>reactivación</w:t>
      </w:r>
      <w:r>
        <w:rPr>
          <w:color w:val="231F20"/>
          <w:spacing w:val="-6"/>
          <w:w w:val="110"/>
        </w:rPr>
        <w:t> </w:t>
      </w:r>
      <w:r>
        <w:rPr>
          <w:color w:val="231F20"/>
          <w:w w:val="110"/>
        </w:rPr>
        <w:t>económica,</w:t>
      </w:r>
      <w:r>
        <w:rPr>
          <w:color w:val="231F20"/>
          <w:spacing w:val="-6"/>
          <w:w w:val="110"/>
        </w:rPr>
        <w:t> </w:t>
      </w:r>
      <w:r>
        <w:rPr>
          <w:color w:val="231F20"/>
          <w:w w:val="110"/>
        </w:rPr>
        <w:t>con</w:t>
      </w:r>
      <w:r>
        <w:rPr>
          <w:color w:val="231F20"/>
          <w:spacing w:val="-6"/>
          <w:w w:val="110"/>
        </w:rPr>
        <w:t> </w:t>
      </w:r>
      <w:r>
        <w:rPr>
          <w:color w:val="231F20"/>
          <w:w w:val="110"/>
        </w:rPr>
        <w:t>recaídas,</w:t>
      </w:r>
      <w:r>
        <w:rPr>
          <w:color w:val="231F20"/>
          <w:spacing w:val="-6"/>
          <w:w w:val="110"/>
        </w:rPr>
        <w:t> </w:t>
      </w:r>
      <w:r>
        <w:rPr>
          <w:color w:val="231F20"/>
          <w:w w:val="110"/>
        </w:rPr>
        <w:t>débiles</w:t>
      </w:r>
      <w:r>
        <w:rPr>
          <w:color w:val="231F20"/>
          <w:spacing w:val="-6"/>
          <w:w w:val="110"/>
        </w:rPr>
        <w:t> </w:t>
      </w:r>
      <w:r>
        <w:rPr>
          <w:color w:val="231F20"/>
          <w:w w:val="110"/>
        </w:rPr>
        <w:t>ritmos</w:t>
      </w:r>
      <w:r>
        <w:rPr>
          <w:color w:val="231F20"/>
          <w:spacing w:val="-6"/>
          <w:w w:val="110"/>
        </w:rPr>
        <w:t> </w:t>
      </w:r>
      <w:r>
        <w:rPr>
          <w:color w:val="231F20"/>
          <w:w w:val="110"/>
        </w:rPr>
        <w:t>de</w:t>
      </w:r>
      <w:r>
        <w:rPr>
          <w:color w:val="231F20"/>
          <w:spacing w:val="-6"/>
          <w:w w:val="110"/>
        </w:rPr>
        <w:t> </w:t>
      </w:r>
      <w:r>
        <w:rPr>
          <w:color w:val="231F20"/>
          <w:w w:val="110"/>
        </w:rPr>
        <w:t>cre-</w:t>
      </w:r>
      <w:r>
        <w:rPr>
          <w:color w:val="231F20"/>
          <w:w w:val="72"/>
        </w:rPr>
        <w:t> </w:t>
      </w:r>
      <w:r>
        <w:rPr>
          <w:color w:val="231F20"/>
          <w:w w:val="110"/>
        </w:rPr>
        <w:t>cimiento y el sostenimiento de los altos índices de desempleo,</w:t>
      </w:r>
      <w:r>
        <w:rPr>
          <w:color w:val="231F20"/>
          <w:spacing w:val="-37"/>
          <w:w w:val="110"/>
        </w:rPr>
        <w:t> </w:t>
      </w:r>
      <w:r>
        <w:rPr>
          <w:color w:val="231F20"/>
          <w:w w:val="110"/>
        </w:rPr>
        <w:t>factor</w:t>
      </w:r>
    </w:p>
    <w:p>
      <w:pPr>
        <w:pStyle w:val="BodyText"/>
        <w:ind w:left="100" w:right="25"/>
      </w:pPr>
      <w:r>
        <w:rPr>
          <w:color w:val="231F20"/>
          <w:w w:val="110"/>
        </w:rPr>
        <w:t>que constituye una de las principales preocupaciones políticas.</w:t>
      </w:r>
    </w:p>
    <w:p>
      <w:pPr>
        <w:pStyle w:val="BodyText"/>
        <w:spacing w:line="261" w:lineRule="auto" w:before="20"/>
        <w:ind w:left="100" w:right="114" w:firstLine="240"/>
        <w:jc w:val="right"/>
      </w:pP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plano</w:t>
      </w:r>
      <w:r>
        <w:rPr>
          <w:color w:val="231F20"/>
          <w:spacing w:val="-15"/>
          <w:w w:val="110"/>
        </w:rPr>
        <w:t> </w:t>
      </w:r>
      <w:r>
        <w:rPr>
          <w:color w:val="231F20"/>
          <w:w w:val="110"/>
        </w:rPr>
        <w:t>más</w:t>
      </w:r>
      <w:r>
        <w:rPr>
          <w:color w:val="231F20"/>
          <w:spacing w:val="-15"/>
          <w:w w:val="110"/>
        </w:rPr>
        <w:t> </w:t>
      </w:r>
      <w:r>
        <w:rPr>
          <w:color w:val="231F20"/>
          <w:w w:val="110"/>
        </w:rPr>
        <w:t>coyuntural,</w:t>
      </w:r>
      <w:r>
        <w:rPr>
          <w:color w:val="231F20"/>
          <w:spacing w:val="-15"/>
          <w:w w:val="110"/>
        </w:rPr>
        <w:t> </w:t>
      </w:r>
      <w:r>
        <w:rPr>
          <w:color w:val="231F20"/>
          <w:w w:val="110"/>
        </w:rPr>
        <w:t>las</w:t>
      </w:r>
      <w:r>
        <w:rPr>
          <w:color w:val="231F20"/>
          <w:spacing w:val="-15"/>
          <w:w w:val="110"/>
        </w:rPr>
        <w:t> </w:t>
      </w:r>
      <w:r>
        <w:rPr>
          <w:color w:val="231F20"/>
          <w:w w:val="110"/>
        </w:rPr>
        <w:t>consecuencias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crisis</w:t>
      </w:r>
      <w:r>
        <w:rPr>
          <w:color w:val="231F20"/>
          <w:spacing w:val="-15"/>
          <w:w w:val="110"/>
        </w:rPr>
        <w:t> </w:t>
      </w:r>
      <w:r>
        <w:rPr>
          <w:color w:val="231F20"/>
          <w:w w:val="110"/>
        </w:rPr>
        <w:t>y</w:t>
      </w:r>
      <w:r>
        <w:rPr>
          <w:color w:val="231F20"/>
          <w:spacing w:val="-15"/>
          <w:w w:val="110"/>
        </w:rPr>
        <w:t> </w:t>
      </w:r>
      <w:r>
        <w:rPr>
          <w:color w:val="231F20"/>
          <w:w w:val="110"/>
        </w:rPr>
        <w:t>su</w:t>
      </w:r>
      <w:r>
        <w:rPr>
          <w:color w:val="231F20"/>
          <w:spacing w:val="-15"/>
          <w:w w:val="110"/>
        </w:rPr>
        <w:t> </w:t>
      </w:r>
      <w:r>
        <w:rPr>
          <w:color w:val="231F20"/>
          <w:w w:val="110"/>
        </w:rPr>
        <w:t>tras-</w:t>
      </w:r>
      <w:r>
        <w:rPr>
          <w:color w:val="231F20"/>
          <w:w w:val="72"/>
        </w:rPr>
        <w:t> </w:t>
      </w:r>
      <w:r>
        <w:rPr>
          <w:color w:val="231F20"/>
          <w:w w:val="110"/>
        </w:rPr>
        <w:t>lado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esfera</w:t>
      </w:r>
      <w:r>
        <w:rPr>
          <w:color w:val="231F20"/>
          <w:spacing w:val="-14"/>
          <w:w w:val="110"/>
        </w:rPr>
        <w:t> </w:t>
      </w:r>
      <w:r>
        <w:rPr>
          <w:color w:val="231F20"/>
          <w:w w:val="110"/>
        </w:rPr>
        <w:t>propiamente</w:t>
      </w:r>
      <w:r>
        <w:rPr>
          <w:color w:val="231F20"/>
          <w:spacing w:val="-14"/>
          <w:w w:val="110"/>
        </w:rPr>
        <w:t> </w:t>
      </w:r>
      <w:r>
        <w:rPr>
          <w:color w:val="231F20"/>
          <w:w w:val="110"/>
        </w:rPr>
        <w:t>financiera</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economía</w:t>
      </w:r>
      <w:r>
        <w:rPr>
          <w:color w:val="231F20"/>
          <w:spacing w:val="-14"/>
          <w:w w:val="110"/>
        </w:rPr>
        <w:t> </w:t>
      </w:r>
      <w:r>
        <w:rPr>
          <w:color w:val="231F20"/>
          <w:w w:val="110"/>
        </w:rPr>
        <w:t>real</w:t>
      </w:r>
      <w:r>
        <w:rPr>
          <w:color w:val="231F20"/>
          <w:spacing w:val="-14"/>
          <w:w w:val="110"/>
        </w:rPr>
        <w:t> </w:t>
      </w:r>
      <w:r>
        <w:rPr>
          <w:color w:val="231F20"/>
          <w:w w:val="110"/>
        </w:rPr>
        <w:t>han</w:t>
      </w:r>
      <w:r>
        <w:rPr>
          <w:color w:val="231F20"/>
          <w:spacing w:val="-14"/>
          <w:w w:val="110"/>
        </w:rPr>
        <w:t> </w:t>
      </w:r>
      <w:r>
        <w:rPr>
          <w:color w:val="231F20"/>
          <w:w w:val="110"/>
        </w:rPr>
        <w:t>hecho</w:t>
      </w:r>
      <w:r>
        <w:rPr>
          <w:color w:val="231F20"/>
          <w:spacing w:val="-1"/>
          <w:w w:val="113"/>
        </w:rPr>
        <w:t> </w:t>
      </w:r>
      <w:r>
        <w:rPr>
          <w:color w:val="231F20"/>
          <w:w w:val="110"/>
        </w:rPr>
        <w:t>disminuir la demanda global. La disminución de la</w:t>
      </w:r>
      <w:r>
        <w:rPr>
          <w:color w:val="231F20"/>
          <w:spacing w:val="20"/>
          <w:w w:val="110"/>
        </w:rPr>
        <w:t> </w:t>
      </w:r>
      <w:r>
        <w:rPr>
          <w:color w:val="231F20"/>
          <w:w w:val="110"/>
        </w:rPr>
        <w:t>demanda</w:t>
      </w:r>
      <w:r>
        <w:rPr>
          <w:color w:val="231F20"/>
          <w:spacing w:val="2"/>
          <w:w w:val="110"/>
        </w:rPr>
        <w:t> </w:t>
      </w:r>
      <w:r>
        <w:rPr>
          <w:color w:val="231F20"/>
          <w:w w:val="110"/>
        </w:rPr>
        <w:t>debido</w:t>
      </w:r>
      <w:r>
        <w:rPr>
          <w:color w:val="231F20"/>
          <w:spacing w:val="-1"/>
          <w:w w:val="112"/>
        </w:rPr>
        <w:t> </w:t>
      </w:r>
      <w:r>
        <w:rPr>
          <w:color w:val="231F20"/>
          <w:w w:val="110"/>
        </w:rPr>
        <w:t>a la extensión de la crisis ha hecho caer los precios del petróleo</w:t>
      </w:r>
      <w:r>
        <w:rPr>
          <w:color w:val="231F20"/>
          <w:spacing w:val="-2"/>
          <w:w w:val="110"/>
        </w:rPr>
        <w:t> </w:t>
      </w:r>
      <w:r>
        <w:rPr>
          <w:color w:val="231F20"/>
          <w:w w:val="110"/>
        </w:rPr>
        <w:t>y</w:t>
      </w:r>
      <w:r>
        <w:rPr>
          <w:color w:val="231F20"/>
          <w:spacing w:val="-1"/>
          <w:w w:val="110"/>
        </w:rPr>
        <w:t> </w:t>
      </w:r>
      <w:r>
        <w:rPr>
          <w:color w:val="231F20"/>
          <w:w w:val="110"/>
        </w:rPr>
        <w:t>de</w:t>
      </w:r>
      <w:r>
        <w:rPr>
          <w:color w:val="231F20"/>
          <w:spacing w:val="-1"/>
          <w:w w:val="114"/>
        </w:rPr>
        <w:t> </w:t>
      </w:r>
      <w:r>
        <w:rPr>
          <w:color w:val="231F20"/>
          <w:w w:val="110"/>
        </w:rPr>
        <w:t>otras</w:t>
      </w:r>
      <w:r>
        <w:rPr>
          <w:color w:val="231F20"/>
          <w:spacing w:val="-17"/>
          <w:w w:val="110"/>
        </w:rPr>
        <w:t> </w:t>
      </w:r>
      <w:r>
        <w:rPr>
          <w:color w:val="231F20"/>
          <w:w w:val="110"/>
        </w:rPr>
        <w:t>materias</w:t>
      </w:r>
      <w:r>
        <w:rPr>
          <w:color w:val="231F20"/>
          <w:spacing w:val="-17"/>
          <w:w w:val="110"/>
        </w:rPr>
        <w:t> </w:t>
      </w:r>
      <w:r>
        <w:rPr>
          <w:color w:val="231F20"/>
          <w:w w:val="110"/>
        </w:rPr>
        <w:t>primas</w:t>
      </w:r>
      <w:r>
        <w:rPr>
          <w:color w:val="231F20"/>
          <w:spacing w:val="-17"/>
          <w:w w:val="110"/>
        </w:rPr>
        <w:t> </w:t>
      </w:r>
      <w:r>
        <w:rPr>
          <w:color w:val="231F20"/>
          <w:w w:val="110"/>
        </w:rPr>
        <w:t>desde</w:t>
      </w:r>
      <w:r>
        <w:rPr>
          <w:color w:val="231F20"/>
          <w:spacing w:val="-17"/>
          <w:w w:val="110"/>
        </w:rPr>
        <w:t> </w:t>
      </w:r>
      <w:r>
        <w:rPr>
          <w:color w:val="231F20"/>
          <w:w w:val="110"/>
        </w:rPr>
        <w:t>mediados</w:t>
      </w:r>
      <w:r>
        <w:rPr>
          <w:color w:val="231F20"/>
          <w:spacing w:val="-17"/>
          <w:w w:val="110"/>
        </w:rPr>
        <w:t> </w:t>
      </w:r>
      <w:r>
        <w:rPr>
          <w:color w:val="231F20"/>
          <w:w w:val="110"/>
        </w:rPr>
        <w:t>del</w:t>
      </w:r>
      <w:r>
        <w:rPr>
          <w:color w:val="231F20"/>
          <w:spacing w:val="-17"/>
          <w:w w:val="110"/>
        </w:rPr>
        <w:t> </w:t>
      </w:r>
      <w:r>
        <w:rPr>
          <w:color w:val="231F20"/>
          <w:w w:val="110"/>
        </w:rPr>
        <w:t>2008</w:t>
      </w:r>
      <w:r>
        <w:rPr>
          <w:color w:val="231F20"/>
          <w:spacing w:val="-17"/>
          <w:w w:val="110"/>
        </w:rPr>
        <w:t> </w:t>
      </w:r>
      <w:r>
        <w:rPr>
          <w:color w:val="231F20"/>
          <w:w w:val="110"/>
        </w:rPr>
        <w:t>y</w:t>
      </w:r>
      <w:r>
        <w:rPr>
          <w:color w:val="231F20"/>
          <w:spacing w:val="-17"/>
          <w:w w:val="110"/>
        </w:rPr>
        <w:t> </w:t>
      </w:r>
      <w:r>
        <w:rPr>
          <w:color w:val="231F20"/>
          <w:w w:val="110"/>
        </w:rPr>
        <w:t>con</w:t>
      </w:r>
      <w:r>
        <w:rPr>
          <w:color w:val="231F20"/>
          <w:spacing w:val="-17"/>
          <w:w w:val="110"/>
        </w:rPr>
        <w:t> </w:t>
      </w:r>
      <w:r>
        <w:rPr>
          <w:color w:val="231F20"/>
          <w:w w:val="110"/>
        </w:rPr>
        <w:t>ello</w:t>
      </w:r>
      <w:r>
        <w:rPr>
          <w:color w:val="231F20"/>
          <w:spacing w:val="-17"/>
          <w:w w:val="110"/>
        </w:rPr>
        <w:t> </w:t>
      </w:r>
      <w:r>
        <w:rPr>
          <w:color w:val="231F20"/>
          <w:w w:val="110"/>
        </w:rPr>
        <w:t>los</w:t>
      </w:r>
      <w:r>
        <w:rPr>
          <w:color w:val="231F20"/>
          <w:spacing w:val="-17"/>
          <w:w w:val="110"/>
        </w:rPr>
        <w:t> </w:t>
      </w:r>
      <w:r>
        <w:rPr>
          <w:color w:val="231F20"/>
          <w:w w:val="110"/>
        </w:rPr>
        <w:t>ingresos</w:t>
      </w:r>
      <w:r>
        <w:rPr>
          <w:color w:val="231F20"/>
          <w:spacing w:val="-1"/>
          <w:w w:val="107"/>
        </w:rPr>
        <w:t> </w:t>
      </w:r>
      <w:r>
        <w:rPr>
          <w:color w:val="231F20"/>
          <w:w w:val="110"/>
        </w:rPr>
        <w:t>de</w:t>
      </w:r>
      <w:r>
        <w:rPr>
          <w:color w:val="231F20"/>
          <w:spacing w:val="-11"/>
          <w:w w:val="110"/>
        </w:rPr>
        <w:t> </w:t>
      </w:r>
      <w:r>
        <w:rPr>
          <w:color w:val="231F20"/>
          <w:w w:val="110"/>
        </w:rPr>
        <w:t>países</w:t>
      </w:r>
      <w:r>
        <w:rPr>
          <w:color w:val="231F20"/>
          <w:spacing w:val="-11"/>
          <w:w w:val="110"/>
        </w:rPr>
        <w:t> </w:t>
      </w:r>
      <w:r>
        <w:rPr>
          <w:color w:val="231F20"/>
          <w:w w:val="110"/>
        </w:rPr>
        <w:t>que</w:t>
      </w:r>
      <w:r>
        <w:rPr>
          <w:color w:val="231F20"/>
          <w:spacing w:val="-11"/>
          <w:w w:val="110"/>
        </w:rPr>
        <w:t> </w:t>
      </w:r>
      <w:r>
        <w:rPr>
          <w:color w:val="231F20"/>
          <w:w w:val="110"/>
        </w:rPr>
        <w:t>tienen</w:t>
      </w:r>
      <w:r>
        <w:rPr>
          <w:color w:val="231F20"/>
          <w:spacing w:val="-11"/>
          <w:w w:val="110"/>
        </w:rPr>
        <w:t> </w:t>
      </w:r>
      <w:r>
        <w:rPr>
          <w:color w:val="231F20"/>
          <w:w w:val="110"/>
        </w:rPr>
        <w:t>vinculada</w:t>
      </w:r>
      <w:r>
        <w:rPr>
          <w:color w:val="231F20"/>
          <w:spacing w:val="-11"/>
          <w:w w:val="110"/>
        </w:rPr>
        <w:t> </w:t>
      </w:r>
      <w:r>
        <w:rPr>
          <w:color w:val="231F20"/>
          <w:w w:val="110"/>
        </w:rPr>
        <w:t>una</w:t>
      </w:r>
      <w:r>
        <w:rPr>
          <w:color w:val="231F20"/>
          <w:spacing w:val="-11"/>
          <w:w w:val="110"/>
        </w:rPr>
        <w:t> </w:t>
      </w:r>
      <w:r>
        <w:rPr>
          <w:color w:val="231F20"/>
          <w:w w:val="110"/>
        </w:rPr>
        <w:t>parte</w:t>
      </w:r>
      <w:r>
        <w:rPr>
          <w:color w:val="231F20"/>
          <w:spacing w:val="-11"/>
          <w:w w:val="110"/>
        </w:rPr>
        <w:t> </w:t>
      </w:r>
      <w:r>
        <w:rPr>
          <w:color w:val="231F20"/>
          <w:w w:val="110"/>
        </w:rPr>
        <w:t>considerable</w:t>
      </w:r>
      <w:r>
        <w:rPr>
          <w:color w:val="231F20"/>
          <w:spacing w:val="-11"/>
          <w:w w:val="110"/>
        </w:rPr>
        <w:t> </w:t>
      </w:r>
      <w:r>
        <w:rPr>
          <w:color w:val="231F20"/>
          <w:w w:val="110"/>
        </w:rPr>
        <w:t>de</w:t>
      </w:r>
      <w:r>
        <w:rPr>
          <w:color w:val="231F20"/>
          <w:spacing w:val="-11"/>
          <w:w w:val="110"/>
        </w:rPr>
        <w:t> </w:t>
      </w:r>
      <w:r>
        <w:rPr>
          <w:color w:val="231F20"/>
          <w:w w:val="110"/>
        </w:rPr>
        <w:t>sus</w:t>
      </w:r>
      <w:r>
        <w:rPr>
          <w:color w:val="231F20"/>
          <w:spacing w:val="-11"/>
          <w:w w:val="110"/>
        </w:rPr>
        <w:t> </w:t>
      </w:r>
      <w:r>
        <w:rPr>
          <w:color w:val="231F20"/>
          <w:w w:val="110"/>
        </w:rPr>
        <w:t>ingresos</w:t>
      </w:r>
      <w:r>
        <w:rPr>
          <w:color w:val="231F20"/>
          <w:spacing w:val="-1"/>
          <w:w w:val="107"/>
        </w:rPr>
        <w:t> </w:t>
      </w:r>
      <w:r>
        <w:rPr>
          <w:color w:val="231F20"/>
          <w:w w:val="110"/>
        </w:rPr>
        <w:t>a la exportación de esos productos, como ocurre con una</w:t>
      </w:r>
      <w:r>
        <w:rPr>
          <w:color w:val="231F20"/>
          <w:spacing w:val="5"/>
          <w:w w:val="110"/>
        </w:rPr>
        <w:t> </w:t>
      </w:r>
      <w:r>
        <w:rPr>
          <w:color w:val="231F20"/>
          <w:w w:val="110"/>
        </w:rPr>
        <w:t>parte</w:t>
      </w:r>
      <w:r>
        <w:rPr>
          <w:color w:val="231F20"/>
          <w:spacing w:val="11"/>
          <w:w w:val="110"/>
        </w:rPr>
        <w:t> </w:t>
      </w:r>
      <w:r>
        <w:rPr>
          <w:color w:val="231F20"/>
          <w:w w:val="110"/>
        </w:rPr>
        <w:t>sig-</w:t>
      </w:r>
      <w:r>
        <w:rPr>
          <w:color w:val="231F20"/>
          <w:w w:val="72"/>
        </w:rPr>
        <w:t> </w:t>
      </w:r>
      <w:r>
        <w:rPr>
          <w:color w:val="231F20"/>
          <w:w w:val="110"/>
        </w:rPr>
        <w:t>nificativa de los ingresos por exportación de la región.</w:t>
      </w:r>
      <w:r>
        <w:rPr>
          <w:color w:val="231F20"/>
          <w:spacing w:val="24"/>
          <w:w w:val="110"/>
        </w:rPr>
        <w:t> </w:t>
      </w:r>
      <w:r>
        <w:rPr>
          <w:color w:val="231F20"/>
          <w:w w:val="110"/>
        </w:rPr>
        <w:t>Este</w:t>
      </w:r>
      <w:r>
        <w:rPr>
          <w:color w:val="231F20"/>
          <w:spacing w:val="14"/>
          <w:w w:val="110"/>
        </w:rPr>
        <w:t> </w:t>
      </w:r>
      <w:r>
        <w:rPr>
          <w:color w:val="231F20"/>
          <w:w w:val="110"/>
        </w:rPr>
        <w:t>último</w:t>
      </w:r>
      <w:r>
        <w:rPr>
          <w:color w:val="231F20"/>
          <w:spacing w:val="-1"/>
          <w:w w:val="110"/>
        </w:rPr>
        <w:t> </w:t>
      </w:r>
      <w:r>
        <w:rPr>
          <w:color w:val="231F20"/>
          <w:w w:val="110"/>
        </w:rPr>
        <w:t>aspecto</w:t>
      </w:r>
      <w:r>
        <w:rPr>
          <w:color w:val="231F20"/>
          <w:spacing w:val="-21"/>
          <w:w w:val="110"/>
        </w:rPr>
        <w:t> </w:t>
      </w:r>
      <w:r>
        <w:rPr>
          <w:color w:val="231F20"/>
          <w:w w:val="110"/>
        </w:rPr>
        <w:t>constituye</w:t>
      </w:r>
      <w:r>
        <w:rPr>
          <w:color w:val="231F20"/>
          <w:spacing w:val="-21"/>
          <w:w w:val="110"/>
        </w:rPr>
        <w:t> </w:t>
      </w:r>
      <w:r>
        <w:rPr>
          <w:color w:val="231F20"/>
          <w:w w:val="110"/>
        </w:rPr>
        <w:t>una</w:t>
      </w:r>
      <w:r>
        <w:rPr>
          <w:color w:val="231F20"/>
          <w:spacing w:val="-21"/>
          <w:w w:val="110"/>
        </w:rPr>
        <w:t> </w:t>
      </w:r>
      <w:r>
        <w:rPr>
          <w:color w:val="231F20"/>
          <w:w w:val="110"/>
        </w:rPr>
        <w:t>variable</w:t>
      </w:r>
      <w:r>
        <w:rPr>
          <w:color w:val="231F20"/>
          <w:spacing w:val="-21"/>
          <w:w w:val="110"/>
        </w:rPr>
        <w:t> </w:t>
      </w:r>
      <w:r>
        <w:rPr>
          <w:color w:val="231F20"/>
          <w:w w:val="110"/>
        </w:rPr>
        <w:t>bastante</w:t>
      </w:r>
      <w:r>
        <w:rPr>
          <w:color w:val="231F20"/>
          <w:spacing w:val="-21"/>
          <w:w w:val="110"/>
        </w:rPr>
        <w:t> </w:t>
      </w:r>
      <w:r>
        <w:rPr>
          <w:color w:val="231F20"/>
          <w:w w:val="110"/>
        </w:rPr>
        <w:t>significativa</w:t>
      </w:r>
      <w:r>
        <w:rPr>
          <w:color w:val="231F20"/>
          <w:spacing w:val="-21"/>
          <w:w w:val="110"/>
        </w:rPr>
        <w:t> </w:t>
      </w:r>
      <w:r>
        <w:rPr>
          <w:color w:val="231F20"/>
          <w:w w:val="110"/>
        </w:rPr>
        <w:t>para</w:t>
      </w:r>
      <w:r>
        <w:rPr>
          <w:color w:val="231F20"/>
          <w:spacing w:val="-21"/>
          <w:w w:val="110"/>
        </w:rPr>
        <w:t> </w:t>
      </w:r>
      <w:r>
        <w:rPr>
          <w:color w:val="231F20"/>
          <w:w w:val="110"/>
        </w:rPr>
        <w:t>el</w:t>
      </w:r>
      <w:r>
        <w:rPr>
          <w:color w:val="231F20"/>
          <w:spacing w:val="-21"/>
          <w:w w:val="110"/>
        </w:rPr>
        <w:t> </w:t>
      </w:r>
      <w:r>
        <w:rPr>
          <w:color w:val="231F20"/>
          <w:w w:val="110"/>
        </w:rPr>
        <w:t>futuro</w:t>
      </w:r>
      <w:r>
        <w:rPr>
          <w:color w:val="231F20"/>
          <w:spacing w:val="-21"/>
          <w:w w:val="110"/>
        </w:rPr>
        <w:t> </w:t>
      </w:r>
      <w:r>
        <w:rPr>
          <w:color w:val="231F20"/>
          <w:w w:val="110"/>
        </w:rPr>
        <w:t>de</w:t>
      </w:r>
      <w:r>
        <w:rPr>
          <w:color w:val="231F20"/>
          <w:spacing w:val="-1"/>
          <w:w w:val="114"/>
        </w:rPr>
        <w:t> </w:t>
      </w:r>
      <w:r>
        <w:rPr>
          <w:color w:val="231F20"/>
          <w:w w:val="110"/>
        </w:rPr>
        <w:t>muchos de los países de la región, obligados a pagar por esta</w:t>
      </w:r>
      <w:r>
        <w:rPr>
          <w:color w:val="231F20"/>
          <w:spacing w:val="-4"/>
          <w:w w:val="110"/>
        </w:rPr>
        <w:t> </w:t>
      </w:r>
      <w:r>
        <w:rPr>
          <w:color w:val="231F20"/>
          <w:w w:val="110"/>
        </w:rPr>
        <w:t>y</w:t>
      </w:r>
      <w:r>
        <w:rPr>
          <w:color w:val="231F20"/>
          <w:spacing w:val="-1"/>
          <w:w w:val="110"/>
        </w:rPr>
        <w:t> </w:t>
      </w:r>
      <w:r>
        <w:rPr>
          <w:color w:val="231F20"/>
          <w:w w:val="110"/>
        </w:rPr>
        <w:t>otras</w:t>
      </w:r>
      <w:r>
        <w:rPr>
          <w:color w:val="231F20"/>
          <w:spacing w:val="-1"/>
          <w:w w:val="109"/>
        </w:rPr>
        <w:t> </w:t>
      </w:r>
      <w:r>
        <w:rPr>
          <w:color w:val="231F20"/>
          <w:w w:val="110"/>
        </w:rPr>
        <w:t>vías una parte importante del ajuste económico global,</w:t>
      </w:r>
      <w:r>
        <w:rPr>
          <w:color w:val="231F20"/>
          <w:spacing w:val="46"/>
          <w:w w:val="110"/>
        </w:rPr>
        <w:t> </w:t>
      </w:r>
      <w:r>
        <w:rPr>
          <w:color w:val="231F20"/>
          <w:w w:val="110"/>
        </w:rPr>
        <w:t>pero</w:t>
      </w:r>
      <w:r>
        <w:rPr>
          <w:color w:val="231F20"/>
          <w:spacing w:val="19"/>
          <w:w w:val="110"/>
        </w:rPr>
        <w:t> </w:t>
      </w:r>
      <w:r>
        <w:rPr>
          <w:color w:val="231F20"/>
          <w:w w:val="110"/>
        </w:rPr>
        <w:t>cuyos</w:t>
      </w:r>
      <w:r>
        <w:rPr>
          <w:color w:val="231F20"/>
          <w:spacing w:val="-1"/>
          <w:w w:val="102"/>
        </w:rPr>
        <w:t> </w:t>
      </w:r>
      <w:r>
        <w:rPr>
          <w:color w:val="231F20"/>
          <w:w w:val="110"/>
        </w:rPr>
        <w:t>desequilibrios</w:t>
      </w:r>
      <w:r>
        <w:rPr>
          <w:color w:val="231F20"/>
          <w:spacing w:val="-10"/>
          <w:w w:val="110"/>
        </w:rPr>
        <w:t> </w:t>
      </w:r>
      <w:r>
        <w:rPr>
          <w:color w:val="231F20"/>
          <w:w w:val="110"/>
        </w:rPr>
        <w:t>mayores</w:t>
      </w:r>
      <w:r>
        <w:rPr>
          <w:color w:val="231F20"/>
          <w:spacing w:val="-10"/>
          <w:w w:val="110"/>
        </w:rPr>
        <w:t> </w:t>
      </w:r>
      <w:r>
        <w:rPr>
          <w:color w:val="231F20"/>
          <w:w w:val="110"/>
        </w:rPr>
        <w:t>se</w:t>
      </w:r>
      <w:r>
        <w:rPr>
          <w:color w:val="231F20"/>
          <w:spacing w:val="-10"/>
          <w:w w:val="110"/>
        </w:rPr>
        <w:t> </w:t>
      </w:r>
      <w:r>
        <w:rPr>
          <w:color w:val="231F20"/>
          <w:w w:val="110"/>
        </w:rPr>
        <w:t>originaron</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economía</w:t>
      </w:r>
      <w:r>
        <w:rPr>
          <w:color w:val="231F20"/>
          <w:spacing w:val="-10"/>
          <w:w w:val="110"/>
        </w:rPr>
        <w:t> </w:t>
      </w:r>
      <w:r>
        <w:rPr>
          <w:color w:val="231F20"/>
          <w:w w:val="110"/>
        </w:rPr>
        <w:t>estadunidense.</w:t>
      </w:r>
      <w:r>
        <w:rPr>
          <w:color w:val="231F20"/>
          <w:spacing w:val="-1"/>
          <w:w w:val="110"/>
        </w:rPr>
        <w:t> </w:t>
      </w:r>
      <w:r>
        <w:rPr>
          <w:color w:val="231F20"/>
          <w:w w:val="110"/>
        </w:rPr>
        <w:t>El</w:t>
      </w:r>
      <w:r>
        <w:rPr>
          <w:color w:val="231F20"/>
          <w:spacing w:val="-16"/>
          <w:w w:val="110"/>
        </w:rPr>
        <w:t> </w:t>
      </w:r>
      <w:r>
        <w:rPr>
          <w:color w:val="231F20"/>
          <w:w w:val="110"/>
        </w:rPr>
        <w:t>acceso</w:t>
      </w:r>
      <w:r>
        <w:rPr>
          <w:color w:val="231F20"/>
          <w:spacing w:val="-16"/>
          <w:w w:val="110"/>
        </w:rPr>
        <w:t> </w:t>
      </w:r>
      <w:r>
        <w:rPr>
          <w:color w:val="231F20"/>
          <w:w w:val="110"/>
        </w:rPr>
        <w:t>de</w:t>
      </w:r>
      <w:r>
        <w:rPr>
          <w:color w:val="231F20"/>
          <w:spacing w:val="-16"/>
          <w:w w:val="110"/>
        </w:rPr>
        <w:t> </w:t>
      </w:r>
      <w:r>
        <w:rPr>
          <w:color w:val="231F20"/>
          <w:w w:val="110"/>
        </w:rPr>
        <w:t>Estados</w:t>
      </w:r>
      <w:r>
        <w:rPr>
          <w:color w:val="231F20"/>
          <w:spacing w:val="-16"/>
          <w:w w:val="110"/>
        </w:rPr>
        <w:t> </w:t>
      </w:r>
      <w:r>
        <w:rPr>
          <w:color w:val="231F20"/>
          <w:w w:val="110"/>
        </w:rPr>
        <w:t>Unidos</w:t>
      </w:r>
      <w:r>
        <w:rPr>
          <w:color w:val="231F20"/>
          <w:spacing w:val="-16"/>
          <w:w w:val="110"/>
        </w:rPr>
        <w:t> </w:t>
      </w:r>
      <w:r>
        <w:rPr>
          <w:color w:val="231F20"/>
          <w:w w:val="110"/>
        </w:rPr>
        <w:t>a</w:t>
      </w:r>
      <w:r>
        <w:rPr>
          <w:color w:val="231F20"/>
          <w:spacing w:val="-16"/>
          <w:w w:val="110"/>
        </w:rPr>
        <w:t> </w:t>
      </w:r>
      <w:r>
        <w:rPr>
          <w:color w:val="231F20"/>
          <w:w w:val="110"/>
        </w:rPr>
        <w:t>los</w:t>
      </w:r>
      <w:r>
        <w:rPr>
          <w:color w:val="231F20"/>
          <w:spacing w:val="-16"/>
          <w:w w:val="110"/>
        </w:rPr>
        <w:t> </w:t>
      </w:r>
      <w:r>
        <w:rPr>
          <w:color w:val="231F20"/>
          <w:w w:val="110"/>
        </w:rPr>
        <w:t>recursos</w:t>
      </w:r>
      <w:r>
        <w:rPr>
          <w:color w:val="231F20"/>
          <w:spacing w:val="-16"/>
          <w:w w:val="110"/>
        </w:rPr>
        <w:t> </w:t>
      </w:r>
      <w:r>
        <w:rPr>
          <w:color w:val="231F20"/>
          <w:w w:val="110"/>
        </w:rPr>
        <w:t>minerales</w:t>
      </w:r>
      <w:r>
        <w:rPr>
          <w:color w:val="231F20"/>
          <w:spacing w:val="-16"/>
          <w:w w:val="110"/>
        </w:rPr>
        <w:t> </w:t>
      </w:r>
      <w:r>
        <w:rPr>
          <w:color w:val="231F20"/>
          <w:w w:val="110"/>
        </w:rPr>
        <w:t>y</w:t>
      </w:r>
      <w:r>
        <w:rPr>
          <w:color w:val="231F20"/>
          <w:spacing w:val="-16"/>
          <w:w w:val="110"/>
        </w:rPr>
        <w:t> </w:t>
      </w:r>
      <w:r>
        <w:rPr>
          <w:color w:val="231F20"/>
          <w:w w:val="110"/>
        </w:rPr>
        <w:t>energéticos</w:t>
      </w:r>
      <w:r>
        <w:rPr>
          <w:color w:val="231F20"/>
          <w:w w:val="109"/>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región</w:t>
      </w:r>
      <w:r>
        <w:rPr>
          <w:color w:val="231F20"/>
          <w:spacing w:val="34"/>
          <w:w w:val="110"/>
        </w:rPr>
        <w:t> </w:t>
      </w:r>
      <w:r>
        <w:rPr>
          <w:color w:val="231F20"/>
          <w:w w:val="110"/>
        </w:rPr>
        <w:t>cobra</w:t>
      </w:r>
      <w:r>
        <w:rPr>
          <w:color w:val="231F20"/>
          <w:spacing w:val="34"/>
          <w:w w:val="110"/>
        </w:rPr>
        <w:t> </w:t>
      </w:r>
      <w:r>
        <w:rPr>
          <w:color w:val="231F20"/>
          <w:w w:val="110"/>
        </w:rPr>
        <w:t>creciente</w:t>
      </w:r>
      <w:r>
        <w:rPr>
          <w:color w:val="231F20"/>
          <w:spacing w:val="34"/>
          <w:w w:val="110"/>
        </w:rPr>
        <w:t> </w:t>
      </w:r>
      <w:r>
        <w:rPr>
          <w:color w:val="231F20"/>
          <w:w w:val="110"/>
        </w:rPr>
        <w:t>significación</w:t>
      </w:r>
      <w:r>
        <w:rPr>
          <w:color w:val="231F20"/>
          <w:spacing w:val="34"/>
          <w:w w:val="110"/>
        </w:rPr>
        <w:t> </w:t>
      </w:r>
      <w:r>
        <w:rPr>
          <w:color w:val="231F20"/>
          <w:w w:val="110"/>
        </w:rPr>
        <w:t>en</w:t>
      </w:r>
      <w:r>
        <w:rPr>
          <w:color w:val="231F20"/>
          <w:spacing w:val="34"/>
          <w:w w:val="110"/>
        </w:rPr>
        <w:t> </w:t>
      </w:r>
      <w:r>
        <w:rPr>
          <w:color w:val="231F20"/>
          <w:w w:val="110"/>
        </w:rPr>
        <w:t>la</w:t>
      </w:r>
      <w:r>
        <w:rPr>
          <w:color w:val="231F20"/>
          <w:spacing w:val="34"/>
          <w:w w:val="110"/>
        </w:rPr>
        <w:t> </w:t>
      </w:r>
      <w:r>
        <w:rPr>
          <w:color w:val="231F20"/>
          <w:w w:val="110"/>
        </w:rPr>
        <w:t>política</w:t>
      </w:r>
      <w:r>
        <w:rPr>
          <w:color w:val="231F20"/>
          <w:spacing w:val="34"/>
          <w:w w:val="110"/>
        </w:rPr>
        <w:t> </w:t>
      </w:r>
      <w:r>
        <w:rPr>
          <w:color w:val="231F20"/>
          <w:w w:val="110"/>
        </w:rPr>
        <w:t>actual</w:t>
      </w:r>
      <w:r>
        <w:rPr>
          <w:color w:val="231F20"/>
          <w:spacing w:val="34"/>
          <w:w w:val="110"/>
        </w:rPr>
        <w:t> </w:t>
      </w:r>
      <w:r>
        <w:rPr>
          <w:color w:val="231F20"/>
          <w:w w:val="110"/>
        </w:rPr>
        <w:t>en</w:t>
      </w:r>
      <w:r>
        <w:rPr>
          <w:color w:val="231F20"/>
          <w:w w:val="116"/>
        </w:rPr>
        <w:t> </w:t>
      </w:r>
      <w:r>
        <w:rPr>
          <w:color w:val="231F20"/>
          <w:w w:val="110"/>
        </w:rPr>
        <w:t>tanto</w:t>
      </w:r>
      <w:r>
        <w:rPr>
          <w:color w:val="231F20"/>
          <w:spacing w:val="36"/>
          <w:w w:val="110"/>
        </w:rPr>
        <w:t> </w:t>
      </w:r>
      <w:r>
        <w:rPr>
          <w:color w:val="231F20"/>
          <w:w w:val="110"/>
        </w:rPr>
        <w:t>afectan</w:t>
      </w:r>
      <w:r>
        <w:rPr>
          <w:color w:val="231F20"/>
          <w:spacing w:val="36"/>
          <w:w w:val="110"/>
        </w:rPr>
        <w:t> </w:t>
      </w:r>
      <w:r>
        <w:rPr>
          <w:color w:val="231F20"/>
          <w:w w:val="110"/>
        </w:rPr>
        <w:t>a</w:t>
      </w:r>
      <w:r>
        <w:rPr>
          <w:color w:val="231F20"/>
          <w:spacing w:val="36"/>
          <w:w w:val="110"/>
        </w:rPr>
        <w:t> </w:t>
      </w:r>
      <w:r>
        <w:rPr>
          <w:color w:val="231F20"/>
          <w:w w:val="110"/>
        </w:rPr>
        <w:t>su</w:t>
      </w:r>
      <w:r>
        <w:rPr>
          <w:color w:val="231F20"/>
          <w:spacing w:val="36"/>
          <w:w w:val="110"/>
        </w:rPr>
        <w:t> </w:t>
      </w:r>
      <w:r>
        <w:rPr>
          <w:color w:val="231F20"/>
          <w:w w:val="110"/>
        </w:rPr>
        <w:t>hegemonía.</w:t>
      </w:r>
      <w:r>
        <w:rPr>
          <w:color w:val="231F20"/>
          <w:spacing w:val="36"/>
          <w:w w:val="110"/>
        </w:rPr>
        <w:t> </w:t>
      </w:r>
      <w:r>
        <w:rPr>
          <w:color w:val="231F20"/>
          <w:w w:val="110"/>
        </w:rPr>
        <w:t>Ello</w:t>
      </w:r>
      <w:r>
        <w:rPr>
          <w:color w:val="231F20"/>
          <w:spacing w:val="36"/>
          <w:w w:val="110"/>
        </w:rPr>
        <w:t> </w:t>
      </w:r>
      <w:r>
        <w:rPr>
          <w:color w:val="231F20"/>
          <w:w w:val="110"/>
        </w:rPr>
        <w:t>hace</w:t>
      </w:r>
      <w:r>
        <w:rPr>
          <w:color w:val="231F20"/>
          <w:spacing w:val="36"/>
          <w:w w:val="110"/>
        </w:rPr>
        <w:t> </w:t>
      </w:r>
      <w:r>
        <w:rPr>
          <w:color w:val="231F20"/>
          <w:w w:val="110"/>
        </w:rPr>
        <w:t>recomendable</w:t>
      </w:r>
      <w:r>
        <w:rPr>
          <w:color w:val="231F20"/>
          <w:spacing w:val="36"/>
          <w:w w:val="110"/>
        </w:rPr>
        <w:t> </w:t>
      </w:r>
      <w:r>
        <w:rPr>
          <w:color w:val="231F20"/>
          <w:w w:val="110"/>
        </w:rPr>
        <w:t>reducir</w:t>
      </w:r>
      <w:r>
        <w:rPr>
          <w:color w:val="231F20"/>
          <w:spacing w:val="36"/>
          <w:w w:val="110"/>
        </w:rPr>
        <w:t> </w:t>
      </w:r>
      <w:r>
        <w:rPr>
          <w:color w:val="231F20"/>
          <w:w w:val="110"/>
        </w:rPr>
        <w:t>la</w:t>
      </w:r>
      <w:r>
        <w:rPr>
          <w:color w:val="231F20"/>
          <w:w w:val="105"/>
        </w:rPr>
        <w:t> </w:t>
      </w:r>
      <w:r>
        <w:rPr>
          <w:color w:val="231F20"/>
          <w:w w:val="110"/>
        </w:rPr>
        <w:t>creciente dependencia de los suministros externos</w:t>
      </w:r>
      <w:r>
        <w:rPr>
          <w:color w:val="231F20"/>
          <w:spacing w:val="54"/>
          <w:w w:val="110"/>
        </w:rPr>
        <w:t> </w:t>
      </w:r>
      <w:r>
        <w:rPr>
          <w:color w:val="231F20"/>
          <w:w w:val="110"/>
        </w:rPr>
        <w:t>de</w:t>
      </w:r>
      <w:r>
        <w:rPr>
          <w:color w:val="231F20"/>
          <w:spacing w:val="9"/>
          <w:w w:val="110"/>
        </w:rPr>
        <w:t> </w:t>
      </w:r>
      <w:r>
        <w:rPr>
          <w:color w:val="231F20"/>
          <w:w w:val="110"/>
        </w:rPr>
        <w:t>hidrocarburos</w:t>
      </w:r>
      <w:r>
        <w:rPr>
          <w:color w:val="231F20"/>
          <w:w w:val="111"/>
        </w:rPr>
        <w:t> </w:t>
      </w:r>
      <w:r>
        <w:rPr>
          <w:color w:val="231F20"/>
          <w:w w:val="110"/>
        </w:rPr>
        <w:t>y</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vez</w:t>
      </w:r>
      <w:r>
        <w:rPr>
          <w:color w:val="231F20"/>
          <w:spacing w:val="19"/>
          <w:w w:val="110"/>
        </w:rPr>
        <w:t> </w:t>
      </w:r>
      <w:r>
        <w:rPr>
          <w:color w:val="231F20"/>
          <w:w w:val="110"/>
        </w:rPr>
        <w:t>diversificar</w:t>
      </w:r>
      <w:r>
        <w:rPr>
          <w:color w:val="231F20"/>
          <w:spacing w:val="19"/>
          <w:w w:val="110"/>
        </w:rPr>
        <w:t> </w:t>
      </w:r>
      <w:r>
        <w:rPr>
          <w:color w:val="231F20"/>
          <w:w w:val="110"/>
        </w:rPr>
        <w:t>sus</w:t>
      </w:r>
      <w:r>
        <w:rPr>
          <w:color w:val="231F20"/>
          <w:spacing w:val="19"/>
          <w:w w:val="110"/>
        </w:rPr>
        <w:t> </w:t>
      </w:r>
      <w:r>
        <w:rPr>
          <w:color w:val="231F20"/>
          <w:w w:val="110"/>
        </w:rPr>
        <w:t>fuentes,</w:t>
      </w:r>
      <w:r>
        <w:rPr>
          <w:color w:val="231F20"/>
          <w:spacing w:val="19"/>
          <w:w w:val="110"/>
        </w:rPr>
        <w:t> </w:t>
      </w:r>
      <w:r>
        <w:rPr>
          <w:color w:val="231F20"/>
          <w:w w:val="110"/>
        </w:rPr>
        <w:t>lo</w:t>
      </w:r>
      <w:r>
        <w:rPr>
          <w:color w:val="231F20"/>
          <w:spacing w:val="19"/>
          <w:w w:val="110"/>
        </w:rPr>
        <w:t> </w:t>
      </w:r>
      <w:r>
        <w:rPr>
          <w:color w:val="231F20"/>
          <w:w w:val="110"/>
        </w:rPr>
        <w:t>cual</w:t>
      </w:r>
      <w:r>
        <w:rPr>
          <w:color w:val="231F20"/>
          <w:spacing w:val="19"/>
          <w:w w:val="110"/>
        </w:rPr>
        <w:t> </w:t>
      </w:r>
      <w:r>
        <w:rPr>
          <w:color w:val="231F20"/>
          <w:w w:val="110"/>
        </w:rPr>
        <w:t>incluye</w:t>
      </w:r>
      <w:r>
        <w:rPr>
          <w:color w:val="231F20"/>
          <w:spacing w:val="19"/>
          <w:w w:val="110"/>
        </w:rPr>
        <w:t> </w:t>
      </w:r>
      <w:r>
        <w:rPr>
          <w:color w:val="231F20"/>
          <w:w w:val="110"/>
        </w:rPr>
        <w:t>la</w:t>
      </w:r>
      <w:r>
        <w:rPr>
          <w:color w:val="231F20"/>
          <w:spacing w:val="19"/>
          <w:w w:val="110"/>
        </w:rPr>
        <w:t> </w:t>
      </w:r>
      <w:r>
        <w:rPr>
          <w:color w:val="231F20"/>
          <w:w w:val="110"/>
        </w:rPr>
        <w:t>extensión</w:t>
      </w:r>
      <w:r>
        <w:rPr>
          <w:color w:val="231F20"/>
          <w:spacing w:val="19"/>
          <w:w w:val="110"/>
        </w:rPr>
        <w:t> </w:t>
      </w:r>
      <w:r>
        <w:rPr>
          <w:color w:val="231F20"/>
          <w:w w:val="110"/>
        </w:rPr>
        <w:t>del</w:t>
      </w:r>
      <w:r>
        <w:rPr>
          <w:color w:val="231F20"/>
          <w:w w:val="111"/>
        </w:rPr>
        <w:t> </w:t>
      </w:r>
      <w:r>
        <w:rPr>
          <w:color w:val="231F20"/>
          <w:w w:val="110"/>
        </w:rPr>
        <w:t>empleo de la energía nuclear y otros recursos</w:t>
      </w:r>
      <w:r>
        <w:rPr>
          <w:color w:val="231F20"/>
          <w:spacing w:val="9"/>
          <w:w w:val="110"/>
        </w:rPr>
        <w:t> </w:t>
      </w:r>
      <w:r>
        <w:rPr>
          <w:color w:val="231F20"/>
          <w:w w:val="110"/>
        </w:rPr>
        <w:t>alternativos.</w:t>
      </w:r>
      <w:r>
        <w:rPr>
          <w:color w:val="231F20"/>
          <w:spacing w:val="14"/>
          <w:w w:val="110"/>
        </w:rPr>
        <w:t> </w:t>
      </w:r>
      <w:r>
        <w:rPr>
          <w:color w:val="231F20"/>
          <w:w w:val="110"/>
        </w:rPr>
        <w:t>Recuér-</w:t>
      </w:r>
      <w:r>
        <w:rPr>
          <w:color w:val="231F20"/>
          <w:w w:val="72"/>
        </w:rPr>
        <w:t> </w:t>
      </w:r>
      <w:r>
        <w:rPr>
          <w:color w:val="231F20"/>
          <w:w w:val="110"/>
        </w:rPr>
        <w:t>dese que Estados Unidos recibe del Hemisferio Occidental</w:t>
      </w:r>
      <w:r>
        <w:rPr>
          <w:color w:val="231F20"/>
          <w:spacing w:val="48"/>
          <w:w w:val="110"/>
        </w:rPr>
        <w:t> </w:t>
      </w:r>
      <w:r>
        <w:rPr>
          <w:color w:val="231F20"/>
          <w:w w:val="110"/>
        </w:rPr>
        <w:t>51%</w:t>
      </w:r>
      <w:r>
        <w:rPr>
          <w:color w:val="231F20"/>
          <w:spacing w:val="13"/>
          <w:w w:val="110"/>
        </w:rPr>
        <w:t> </w:t>
      </w:r>
      <w:r>
        <w:rPr>
          <w:color w:val="231F20"/>
          <w:w w:val="110"/>
        </w:rPr>
        <w:t>de</w:t>
      </w:r>
      <w:r>
        <w:rPr>
          <w:color w:val="231F20"/>
          <w:w w:val="114"/>
        </w:rPr>
        <w:t> </w:t>
      </w:r>
      <w:r>
        <w:rPr>
          <w:color w:val="231F20"/>
          <w:w w:val="110"/>
        </w:rPr>
        <w:t>su energía, de Canadá, México, Venezuela, Ecuador,</w:t>
      </w:r>
      <w:r>
        <w:rPr>
          <w:color w:val="231F20"/>
          <w:spacing w:val="33"/>
          <w:w w:val="110"/>
        </w:rPr>
        <w:t> </w:t>
      </w:r>
      <w:r>
        <w:rPr>
          <w:color w:val="231F20"/>
          <w:w w:val="110"/>
        </w:rPr>
        <w:t>Colombia</w:t>
      </w:r>
      <w:r>
        <w:rPr>
          <w:color w:val="231F20"/>
          <w:spacing w:val="28"/>
          <w:w w:val="110"/>
        </w:rPr>
        <w:t> </w:t>
      </w:r>
      <w:r>
        <w:rPr>
          <w:color w:val="231F20"/>
          <w:w w:val="110"/>
        </w:rPr>
        <w:t>y</w:t>
      </w:r>
      <w:r>
        <w:rPr>
          <w:color w:val="231F20"/>
          <w:w w:val="84"/>
        </w:rPr>
        <w:t> </w:t>
      </w:r>
      <w:r>
        <w:rPr>
          <w:color w:val="231F20"/>
          <w:w w:val="110"/>
        </w:rPr>
        <w:t>Brasil.</w:t>
      </w:r>
      <w:r>
        <w:rPr>
          <w:color w:val="231F20"/>
          <w:w w:val="110"/>
          <w:position w:val="6"/>
          <w:sz w:val="13"/>
        </w:rPr>
        <w:t>3  </w:t>
      </w:r>
      <w:r>
        <w:rPr>
          <w:color w:val="231F20"/>
          <w:w w:val="110"/>
        </w:rPr>
        <w:t>Vinculada a este tema está la explotación de </w:t>
      </w:r>
      <w:r>
        <w:rPr>
          <w:color w:val="231F20"/>
          <w:spacing w:val="48"/>
          <w:w w:val="110"/>
        </w:rPr>
        <w:t> </w:t>
      </w:r>
      <w:r>
        <w:rPr>
          <w:color w:val="231F20"/>
          <w:w w:val="110"/>
        </w:rPr>
        <w:t>hidrocarburos</w:t>
      </w:r>
    </w:p>
    <w:p>
      <w:pPr>
        <w:pStyle w:val="BodyText"/>
      </w:pPr>
    </w:p>
    <w:p>
      <w:pPr>
        <w:pStyle w:val="BodyText"/>
      </w:pPr>
    </w:p>
    <w:p>
      <w:pPr>
        <w:spacing w:line="261" w:lineRule="auto" w:before="122"/>
        <w:ind w:left="100" w:right="202" w:firstLine="240"/>
        <w:jc w:val="left"/>
        <w:rPr>
          <w:sz w:val="16"/>
        </w:rPr>
      </w:pPr>
      <w:r>
        <w:rPr>
          <w:color w:val="231F20"/>
          <w:w w:val="105"/>
          <w:position w:val="5"/>
          <w:sz w:val="10"/>
        </w:rPr>
        <w:t>3 </w:t>
      </w:r>
      <w:r>
        <w:rPr>
          <w:color w:val="231F20"/>
          <w:w w:val="105"/>
          <w:sz w:val="16"/>
        </w:rPr>
        <w:t>Sobre la relación entre geopolítica y recursos naturales véase John Saxe-Fernán-  dez y Gian Carlo Delgado Ramos  </w:t>
      </w:r>
      <w:r>
        <w:rPr>
          <w:color w:val="231F20"/>
          <w:spacing w:val="28"/>
          <w:w w:val="105"/>
          <w:sz w:val="16"/>
        </w:rPr>
        <w:t> </w:t>
      </w:r>
      <w:r>
        <w:rPr>
          <w:color w:val="231F20"/>
          <w:w w:val="105"/>
          <w:sz w:val="16"/>
        </w:rPr>
        <w:t>(2004).</w:t>
      </w:r>
    </w:p>
    <w:p>
      <w:pPr>
        <w:spacing w:after="0" w:line="261" w:lineRule="auto"/>
        <w:jc w:val="left"/>
        <w:rPr>
          <w:sz w:val="16"/>
        </w:rPr>
        <w:sectPr>
          <w:headerReference w:type="even" r:id="rId263"/>
          <w:headerReference w:type="default" r:id="rId264"/>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en plataforma marina, así como la política de estimular los biocom- bustibles, cada una con implicaciones medioambientales y sociales que pueden alcanzar magnitudes catastróficas; y por supuesto para las relaciones entre Estados Unidos y los países de América Latina, poseedores de estos recursos.</w:t>
      </w:r>
      <w:r>
        <w:rPr>
          <w:color w:val="231F20"/>
          <w:w w:val="110"/>
          <w:position w:val="6"/>
          <w:sz w:val="13"/>
        </w:rPr>
        <w:t>4 </w:t>
      </w:r>
      <w:r>
        <w:rPr>
          <w:color w:val="231F20"/>
          <w:w w:val="110"/>
        </w:rPr>
        <w:t>Adquiere relevancia en el enfoque geopolítico</w:t>
      </w:r>
      <w:r>
        <w:rPr>
          <w:color w:val="231F20"/>
          <w:spacing w:val="-12"/>
          <w:w w:val="110"/>
        </w:rPr>
        <w:t> </w:t>
      </w:r>
      <w:r>
        <w:rPr>
          <w:color w:val="231F20"/>
          <w:w w:val="110"/>
        </w:rPr>
        <w:t>de</w:t>
      </w:r>
      <w:r>
        <w:rPr>
          <w:color w:val="231F20"/>
          <w:spacing w:val="-12"/>
          <w:w w:val="110"/>
        </w:rPr>
        <w:t> </w:t>
      </w:r>
      <w:r>
        <w:rPr>
          <w:color w:val="231F20"/>
          <w:w w:val="110"/>
        </w:rPr>
        <w:t>Obama</w:t>
      </w:r>
      <w:r>
        <w:rPr>
          <w:color w:val="231F20"/>
          <w:spacing w:val="-12"/>
          <w:w w:val="110"/>
        </w:rPr>
        <w:t> </w:t>
      </w:r>
      <w:r>
        <w:rPr>
          <w:color w:val="231F20"/>
          <w:w w:val="110"/>
        </w:rPr>
        <w:t>garantizar</w:t>
      </w:r>
      <w:r>
        <w:rPr>
          <w:color w:val="231F20"/>
          <w:spacing w:val="-12"/>
          <w:w w:val="110"/>
        </w:rPr>
        <w:t> </w:t>
      </w:r>
      <w:r>
        <w:rPr>
          <w:color w:val="231F20"/>
          <w:w w:val="110"/>
        </w:rPr>
        <w:t>las</w:t>
      </w:r>
      <w:r>
        <w:rPr>
          <w:color w:val="231F20"/>
          <w:spacing w:val="-12"/>
          <w:w w:val="110"/>
        </w:rPr>
        <w:t> </w:t>
      </w:r>
      <w:r>
        <w:rPr>
          <w:color w:val="231F20"/>
          <w:w w:val="110"/>
        </w:rPr>
        <w:t>reservas</w:t>
      </w:r>
      <w:r>
        <w:rPr>
          <w:color w:val="231F20"/>
          <w:spacing w:val="-12"/>
          <w:w w:val="110"/>
        </w:rPr>
        <w:t> </w:t>
      </w:r>
      <w:r>
        <w:rPr>
          <w:color w:val="231F20"/>
          <w:w w:val="110"/>
        </w:rPr>
        <w:t>energéticas</w:t>
      </w:r>
      <w:r>
        <w:rPr>
          <w:color w:val="231F20"/>
          <w:spacing w:val="-12"/>
          <w:w w:val="110"/>
        </w:rPr>
        <w:t> </w:t>
      </w:r>
      <w:r>
        <w:rPr>
          <w:color w:val="231F20"/>
          <w:w w:val="110"/>
        </w:rPr>
        <w:t>estratégicas como respuesta de corto plazo y en el más largo plazo se propone incrementar el uso de energía renovable, e impulsar el desarrollo de tecnologías para tales efectos, si bien hasta el presente otras priori- dades políticas internas y externas han concentrado los mayores es- fuerzos de esta administración (Bouza, 2008:</w:t>
      </w:r>
      <w:r>
        <w:rPr>
          <w:color w:val="231F20"/>
          <w:spacing w:val="-36"/>
          <w:w w:val="110"/>
        </w:rPr>
        <w:t> </w:t>
      </w:r>
      <w:r>
        <w:rPr>
          <w:color w:val="231F20"/>
          <w:w w:val="110"/>
        </w:rPr>
        <w:t>A11).</w:t>
      </w:r>
    </w:p>
    <w:p>
      <w:pPr>
        <w:pStyle w:val="BodyText"/>
        <w:spacing w:line="261" w:lineRule="auto"/>
        <w:ind w:left="100" w:right="119" w:firstLine="240"/>
        <w:jc w:val="both"/>
      </w:pPr>
      <w:r>
        <w:rPr>
          <w:color w:val="231F20"/>
          <w:w w:val="110"/>
        </w:rPr>
        <w:t>Debe</w:t>
      </w:r>
      <w:r>
        <w:rPr>
          <w:color w:val="231F20"/>
          <w:spacing w:val="-13"/>
          <w:w w:val="110"/>
        </w:rPr>
        <w:t> </w:t>
      </w:r>
      <w:r>
        <w:rPr>
          <w:color w:val="231F20"/>
          <w:w w:val="110"/>
        </w:rPr>
        <w:t>considerarse</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declinar</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bases</w:t>
      </w:r>
      <w:r>
        <w:rPr>
          <w:color w:val="231F20"/>
          <w:spacing w:val="-13"/>
          <w:w w:val="110"/>
        </w:rPr>
        <w:t> </w:t>
      </w:r>
      <w:r>
        <w:rPr>
          <w:color w:val="231F20"/>
          <w:w w:val="110"/>
        </w:rPr>
        <w:t>económicas</w:t>
      </w:r>
      <w:r>
        <w:rPr>
          <w:color w:val="231F20"/>
          <w:spacing w:val="-13"/>
          <w:w w:val="110"/>
        </w:rPr>
        <w:t> </w:t>
      </w:r>
      <w:r>
        <w:rPr>
          <w:color w:val="231F20"/>
          <w:w w:val="110"/>
        </w:rPr>
        <w:t>necesa- rias</w:t>
      </w:r>
      <w:r>
        <w:rPr>
          <w:color w:val="231F20"/>
          <w:spacing w:val="-10"/>
          <w:w w:val="110"/>
        </w:rPr>
        <w:t> </w:t>
      </w:r>
      <w:r>
        <w:rPr>
          <w:color w:val="231F20"/>
          <w:w w:val="110"/>
        </w:rPr>
        <w:t>para</w:t>
      </w:r>
      <w:r>
        <w:rPr>
          <w:color w:val="231F20"/>
          <w:spacing w:val="-10"/>
          <w:w w:val="110"/>
        </w:rPr>
        <w:t> </w:t>
      </w:r>
      <w:r>
        <w:rPr>
          <w:color w:val="231F20"/>
          <w:w w:val="110"/>
        </w:rPr>
        <w:t>el</w:t>
      </w:r>
      <w:r>
        <w:rPr>
          <w:color w:val="231F20"/>
          <w:spacing w:val="-10"/>
          <w:w w:val="110"/>
        </w:rPr>
        <w:t> </w:t>
      </w:r>
      <w:r>
        <w:rPr>
          <w:color w:val="231F20"/>
          <w:w w:val="110"/>
        </w:rPr>
        <w:t>ejercicio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hegemonía</w:t>
      </w:r>
      <w:r>
        <w:rPr>
          <w:color w:val="231F20"/>
          <w:spacing w:val="-10"/>
          <w:w w:val="110"/>
        </w:rPr>
        <w:t> </w:t>
      </w:r>
      <w:r>
        <w:rPr>
          <w:color w:val="231F20"/>
          <w:w w:val="110"/>
        </w:rPr>
        <w:t>estadunidense,</w:t>
      </w:r>
      <w:r>
        <w:rPr>
          <w:color w:val="231F20"/>
          <w:spacing w:val="-10"/>
          <w:w w:val="110"/>
        </w:rPr>
        <w:t> </w:t>
      </w:r>
      <w:r>
        <w:rPr>
          <w:color w:val="231F20"/>
          <w:w w:val="110"/>
        </w:rPr>
        <w:t>aunque</w:t>
      </w:r>
      <w:r>
        <w:rPr>
          <w:color w:val="231F20"/>
          <w:spacing w:val="-10"/>
          <w:w w:val="110"/>
        </w:rPr>
        <w:t> </w:t>
      </w:r>
      <w:r>
        <w:rPr>
          <w:color w:val="231F20"/>
          <w:w w:val="110"/>
        </w:rPr>
        <w:t>gradual, también puede hacer más peligrosa su política en la misma medida que los instrumentos de fuerza se conviertan en un último recurso. Si fracasan las otras vías para el reacomodo geopolítico exitoso de Estados Unidos en el sistema internacional y hemisférico, el impe- rialismo estaría tentado de emplear los instrumentos de fuerza y en particular los militares, para sostener la</w:t>
      </w:r>
      <w:r>
        <w:rPr>
          <w:color w:val="231F20"/>
          <w:spacing w:val="43"/>
          <w:w w:val="110"/>
        </w:rPr>
        <w:t> </w:t>
      </w:r>
      <w:r>
        <w:rPr>
          <w:color w:val="231F20"/>
          <w:w w:val="110"/>
        </w:rPr>
        <w:t>dominación.</w:t>
      </w:r>
    </w:p>
    <w:p>
      <w:pPr>
        <w:pStyle w:val="BodyText"/>
        <w:spacing w:line="261" w:lineRule="auto"/>
        <w:ind w:left="100" w:right="117" w:firstLine="240"/>
        <w:jc w:val="both"/>
      </w:pPr>
      <w:r>
        <w:rPr>
          <w:color w:val="231F20"/>
          <w:w w:val="110"/>
        </w:rPr>
        <w:t>En</w:t>
      </w:r>
      <w:r>
        <w:rPr>
          <w:color w:val="231F20"/>
          <w:spacing w:val="-28"/>
          <w:w w:val="110"/>
        </w:rPr>
        <w:t> </w:t>
      </w:r>
      <w:r>
        <w:rPr>
          <w:color w:val="231F20"/>
          <w:w w:val="110"/>
        </w:rPr>
        <w:t>síntesis,</w:t>
      </w:r>
      <w:r>
        <w:rPr>
          <w:color w:val="231F20"/>
          <w:spacing w:val="-28"/>
          <w:w w:val="110"/>
        </w:rPr>
        <w:t> </w:t>
      </w:r>
      <w:r>
        <w:rPr>
          <w:color w:val="231F20"/>
          <w:w w:val="110"/>
        </w:rPr>
        <w:t>el</w:t>
      </w:r>
      <w:r>
        <w:rPr>
          <w:color w:val="231F20"/>
          <w:spacing w:val="-28"/>
          <w:w w:val="110"/>
        </w:rPr>
        <w:t> </w:t>
      </w:r>
      <w:r>
        <w:rPr>
          <w:color w:val="231F20"/>
          <w:w w:val="110"/>
        </w:rPr>
        <w:t>escenario</w:t>
      </w:r>
      <w:r>
        <w:rPr>
          <w:color w:val="231F20"/>
          <w:spacing w:val="-28"/>
          <w:w w:val="110"/>
        </w:rPr>
        <w:t> </w:t>
      </w:r>
      <w:r>
        <w:rPr>
          <w:color w:val="231F20"/>
          <w:w w:val="110"/>
        </w:rPr>
        <w:t>socioeconómico</w:t>
      </w:r>
      <w:r>
        <w:rPr>
          <w:color w:val="231F20"/>
          <w:spacing w:val="-28"/>
          <w:w w:val="110"/>
        </w:rPr>
        <w:t> </w:t>
      </w:r>
      <w:r>
        <w:rPr>
          <w:color w:val="231F20"/>
          <w:w w:val="110"/>
        </w:rPr>
        <w:t>de</w:t>
      </w:r>
      <w:r>
        <w:rPr>
          <w:color w:val="231F20"/>
          <w:spacing w:val="-28"/>
          <w:w w:val="110"/>
        </w:rPr>
        <w:t> </w:t>
      </w:r>
      <w:r>
        <w:rPr>
          <w:color w:val="231F20"/>
          <w:w w:val="110"/>
        </w:rPr>
        <w:t>crisis</w:t>
      </w:r>
      <w:r>
        <w:rPr>
          <w:color w:val="231F20"/>
          <w:spacing w:val="-28"/>
          <w:w w:val="110"/>
        </w:rPr>
        <w:t> </w:t>
      </w:r>
      <w:r>
        <w:rPr>
          <w:color w:val="231F20"/>
          <w:w w:val="110"/>
        </w:rPr>
        <w:t>y</w:t>
      </w:r>
      <w:r>
        <w:rPr>
          <w:color w:val="231F20"/>
          <w:spacing w:val="-28"/>
          <w:w w:val="110"/>
        </w:rPr>
        <w:t> </w:t>
      </w:r>
      <w:r>
        <w:rPr>
          <w:color w:val="231F20"/>
          <w:w w:val="110"/>
        </w:rPr>
        <w:t>temas</w:t>
      </w:r>
      <w:r>
        <w:rPr>
          <w:color w:val="231F20"/>
          <w:spacing w:val="-28"/>
          <w:w w:val="110"/>
        </w:rPr>
        <w:t> </w:t>
      </w:r>
      <w:r>
        <w:rPr>
          <w:color w:val="231F20"/>
          <w:w w:val="110"/>
        </w:rPr>
        <w:t>asociados</w:t>
      </w:r>
      <w:r>
        <w:rPr>
          <w:color w:val="231F20"/>
          <w:w w:val="105"/>
        </w:rPr>
        <w:t> </w:t>
      </w:r>
      <w:r>
        <w:rPr>
          <w:color w:val="231F20"/>
          <w:w w:val="110"/>
        </w:rPr>
        <w:t>a</w:t>
      </w:r>
      <w:r>
        <w:rPr>
          <w:color w:val="231F20"/>
          <w:spacing w:val="-11"/>
          <w:w w:val="110"/>
        </w:rPr>
        <w:t> </w:t>
      </w:r>
      <w:r>
        <w:rPr>
          <w:color w:val="231F20"/>
          <w:w w:val="110"/>
        </w:rPr>
        <w:t>éste</w:t>
      </w:r>
      <w:r>
        <w:rPr>
          <w:color w:val="231F20"/>
          <w:spacing w:val="-11"/>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reforma</w:t>
      </w:r>
      <w:r>
        <w:rPr>
          <w:color w:val="231F20"/>
          <w:spacing w:val="-11"/>
          <w:w w:val="110"/>
        </w:rPr>
        <w:t> </w:t>
      </w:r>
      <w:r>
        <w:rPr>
          <w:color w:val="231F20"/>
          <w:w w:val="110"/>
        </w:rPr>
        <w:t>del</w:t>
      </w:r>
      <w:r>
        <w:rPr>
          <w:color w:val="231F20"/>
          <w:spacing w:val="-11"/>
          <w:w w:val="110"/>
        </w:rPr>
        <w:t> </w:t>
      </w:r>
      <w:r>
        <w:rPr>
          <w:color w:val="231F20"/>
          <w:w w:val="110"/>
        </w:rPr>
        <w:t>sistema</w:t>
      </w:r>
      <w:r>
        <w:rPr>
          <w:color w:val="231F20"/>
          <w:spacing w:val="-11"/>
          <w:w w:val="110"/>
        </w:rPr>
        <w:t> </w:t>
      </w:r>
      <w:r>
        <w:rPr>
          <w:color w:val="231F20"/>
          <w:w w:val="110"/>
        </w:rPr>
        <w:t>de</w:t>
      </w:r>
      <w:r>
        <w:rPr>
          <w:color w:val="231F20"/>
          <w:spacing w:val="-11"/>
          <w:w w:val="110"/>
        </w:rPr>
        <w:t> </w:t>
      </w:r>
      <w:r>
        <w:rPr>
          <w:color w:val="231F20"/>
          <w:w w:val="110"/>
        </w:rPr>
        <w:t>salud</w:t>
      </w:r>
      <w:r>
        <w:rPr>
          <w:color w:val="231F20"/>
          <w:spacing w:val="-11"/>
          <w:w w:val="110"/>
        </w:rPr>
        <w:t> </w:t>
      </w:r>
      <w:r>
        <w:rPr>
          <w:color w:val="231F20"/>
          <w:w w:val="110"/>
        </w:rPr>
        <w:t>—concluida</w:t>
      </w:r>
      <w:r>
        <w:rPr>
          <w:color w:val="231F20"/>
          <w:spacing w:val="-11"/>
          <w:w w:val="110"/>
        </w:rPr>
        <w:t> </w:t>
      </w:r>
      <w:r>
        <w:rPr>
          <w:color w:val="231F20"/>
          <w:w w:val="110"/>
        </w:rPr>
        <w:t>con</w:t>
      </w:r>
      <w:r>
        <w:rPr>
          <w:color w:val="231F20"/>
          <w:spacing w:val="-11"/>
          <w:w w:val="110"/>
        </w:rPr>
        <w:t> </w:t>
      </w:r>
      <w:r>
        <w:rPr>
          <w:color w:val="231F20"/>
          <w:w w:val="110"/>
        </w:rPr>
        <w:t>una</w:t>
      </w:r>
      <w:r>
        <w:rPr>
          <w:color w:val="231F20"/>
          <w:spacing w:val="-11"/>
          <w:w w:val="110"/>
        </w:rPr>
        <w:t> </w:t>
      </w:r>
      <w:r>
        <w:rPr>
          <w:color w:val="231F20"/>
          <w:w w:val="110"/>
        </w:rPr>
        <w:t>cos- tosa</w:t>
      </w:r>
      <w:r>
        <w:rPr>
          <w:color w:val="231F20"/>
          <w:spacing w:val="-9"/>
          <w:w w:val="110"/>
        </w:rPr>
        <w:t> </w:t>
      </w:r>
      <w:r>
        <w:rPr>
          <w:color w:val="231F20"/>
          <w:w w:val="110"/>
        </w:rPr>
        <w:t>victoria</w:t>
      </w:r>
      <w:r>
        <w:rPr>
          <w:color w:val="231F20"/>
          <w:spacing w:val="-9"/>
          <w:w w:val="110"/>
        </w:rPr>
        <w:t> </w:t>
      </w:r>
      <w:r>
        <w:rPr>
          <w:color w:val="231F20"/>
          <w:w w:val="110"/>
        </w:rPr>
        <w:t>del</w:t>
      </w:r>
      <w:r>
        <w:rPr>
          <w:color w:val="231F20"/>
          <w:spacing w:val="-9"/>
          <w:w w:val="110"/>
        </w:rPr>
        <w:t> </w:t>
      </w:r>
      <w:r>
        <w:rPr>
          <w:color w:val="231F20"/>
          <w:w w:val="110"/>
        </w:rPr>
        <w:t>presidente—,</w:t>
      </w:r>
      <w:r>
        <w:rPr>
          <w:color w:val="231F20"/>
          <w:spacing w:val="-9"/>
          <w:w w:val="110"/>
        </w:rPr>
        <w:t> </w:t>
      </w:r>
      <w:r>
        <w:rPr>
          <w:color w:val="231F20"/>
          <w:w w:val="110"/>
        </w:rPr>
        <w:t>la</w:t>
      </w:r>
      <w:r>
        <w:rPr>
          <w:color w:val="231F20"/>
          <w:spacing w:val="-9"/>
          <w:w w:val="110"/>
        </w:rPr>
        <w:t> </w:t>
      </w:r>
      <w:r>
        <w:rPr>
          <w:color w:val="231F20"/>
          <w:w w:val="110"/>
        </w:rPr>
        <w:t>reforma</w:t>
      </w:r>
      <w:r>
        <w:rPr>
          <w:color w:val="231F20"/>
          <w:spacing w:val="-9"/>
          <w:w w:val="110"/>
        </w:rPr>
        <w:t> </w:t>
      </w:r>
      <w:r>
        <w:rPr>
          <w:color w:val="231F20"/>
          <w:w w:val="110"/>
        </w:rPr>
        <w:t>del</w:t>
      </w:r>
      <w:r>
        <w:rPr>
          <w:color w:val="231F20"/>
          <w:spacing w:val="-9"/>
          <w:w w:val="110"/>
        </w:rPr>
        <w:t> </w:t>
      </w:r>
      <w:r>
        <w:rPr>
          <w:color w:val="231F20"/>
          <w:w w:val="110"/>
        </w:rPr>
        <w:t>sistema</w:t>
      </w:r>
      <w:r>
        <w:rPr>
          <w:color w:val="231F20"/>
          <w:spacing w:val="-9"/>
          <w:w w:val="110"/>
        </w:rPr>
        <w:t> </w:t>
      </w:r>
      <w:r>
        <w:rPr>
          <w:color w:val="231F20"/>
          <w:w w:val="110"/>
        </w:rPr>
        <w:t>financiero</w:t>
      </w:r>
      <w:r>
        <w:rPr>
          <w:color w:val="231F20"/>
          <w:spacing w:val="-9"/>
          <w:w w:val="110"/>
        </w:rPr>
        <w:t> </w:t>
      </w:r>
      <w:r>
        <w:rPr>
          <w:color w:val="231F20"/>
          <w:w w:val="110"/>
        </w:rPr>
        <w:t>—de gran complejidad pero sin duda importante— y la reforma migrato- ria,</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encuentra</w:t>
      </w:r>
      <w:r>
        <w:rPr>
          <w:color w:val="231F20"/>
          <w:spacing w:val="-4"/>
          <w:w w:val="110"/>
        </w:rPr>
        <w:t> </w:t>
      </w:r>
      <w:r>
        <w:rPr>
          <w:color w:val="231F20"/>
          <w:w w:val="110"/>
        </w:rPr>
        <w:t>en</w:t>
      </w:r>
      <w:r>
        <w:rPr>
          <w:color w:val="231F20"/>
          <w:spacing w:val="-4"/>
          <w:w w:val="110"/>
        </w:rPr>
        <w:t> </w:t>
      </w:r>
      <w:r>
        <w:rPr>
          <w:color w:val="231F20"/>
          <w:w w:val="110"/>
        </w:rPr>
        <w:t>un</w:t>
      </w:r>
      <w:r>
        <w:rPr>
          <w:color w:val="231F20"/>
          <w:spacing w:val="-4"/>
          <w:w w:val="110"/>
        </w:rPr>
        <w:t> </w:t>
      </w:r>
      <w:r>
        <w:rPr>
          <w:color w:val="231F20"/>
          <w:w w:val="110"/>
        </w:rPr>
        <w:t>tercer</w:t>
      </w:r>
      <w:r>
        <w:rPr>
          <w:color w:val="231F20"/>
          <w:spacing w:val="-4"/>
          <w:w w:val="110"/>
        </w:rPr>
        <w:t> </w:t>
      </w:r>
      <w:r>
        <w:rPr>
          <w:color w:val="231F20"/>
          <w:w w:val="110"/>
        </w:rPr>
        <w:t>escalón</w:t>
      </w:r>
      <w:r>
        <w:rPr>
          <w:color w:val="231F20"/>
          <w:spacing w:val="-4"/>
          <w:w w:val="110"/>
        </w:rPr>
        <w:t> </w:t>
      </w:r>
      <w:r>
        <w:rPr>
          <w:color w:val="231F20"/>
          <w:w w:val="110"/>
        </w:rPr>
        <w:t>en</w:t>
      </w:r>
      <w:r>
        <w:rPr>
          <w:color w:val="231F20"/>
          <w:spacing w:val="-4"/>
          <w:w w:val="110"/>
        </w:rPr>
        <w:t> </w:t>
      </w:r>
      <w:r>
        <w:rPr>
          <w:color w:val="231F20"/>
          <w:w w:val="110"/>
        </w:rPr>
        <w:t>las</w:t>
      </w:r>
      <w:r>
        <w:rPr>
          <w:color w:val="231F20"/>
          <w:spacing w:val="-4"/>
          <w:w w:val="110"/>
        </w:rPr>
        <w:t> </w:t>
      </w:r>
      <w:r>
        <w:rPr>
          <w:color w:val="231F20"/>
          <w:w w:val="110"/>
        </w:rPr>
        <w:t>prioridades</w:t>
      </w:r>
      <w:r>
        <w:rPr>
          <w:color w:val="231F20"/>
          <w:spacing w:val="-4"/>
          <w:w w:val="110"/>
        </w:rPr>
        <w:t> </w:t>
      </w:r>
      <w:r>
        <w:rPr>
          <w:color w:val="231F20"/>
          <w:w w:val="110"/>
        </w:rPr>
        <w:t>internas, debe consumir una parte importante de las energías políticas del gobierno de Obama (</w:t>
      </w:r>
      <w:r>
        <w:rPr>
          <w:i/>
          <w:color w:val="231F20"/>
          <w:w w:val="110"/>
        </w:rPr>
        <w:t>El Nuevo Herald </w:t>
      </w:r>
      <w:r>
        <w:rPr>
          <w:color w:val="231F20"/>
          <w:w w:val="110"/>
        </w:rPr>
        <w:t>,</w:t>
      </w:r>
      <w:r>
        <w:rPr>
          <w:color w:val="231F20"/>
          <w:w w:val="110"/>
          <w:position w:val="6"/>
          <w:sz w:val="13"/>
        </w:rPr>
        <w:t>5 </w:t>
      </w:r>
      <w:r>
        <w:rPr>
          <w:color w:val="231F20"/>
          <w:w w:val="110"/>
        </w:rPr>
        <w:t>ya que el tema económico, que sin duda es el centro de esos problemas, se mantiene como una prioridad de la administración de cara a las elecciones de</w:t>
      </w:r>
      <w:r>
        <w:rPr>
          <w:color w:val="231F20"/>
          <w:spacing w:val="-15"/>
          <w:w w:val="110"/>
        </w:rPr>
        <w:t> </w:t>
      </w:r>
      <w:r>
        <w:rPr>
          <w:color w:val="231F20"/>
          <w:w w:val="110"/>
        </w:rPr>
        <w:t>noviembre del 2010. Se trata de un escenario poco favorable para reconocer    la agenda latinoamericana como prioridad. Sin embargo, entre los temas de mayor trascendencia política y económica en los</w:t>
      </w:r>
      <w:r>
        <w:rPr>
          <w:color w:val="231F20"/>
          <w:spacing w:val="4"/>
          <w:w w:val="110"/>
        </w:rPr>
        <w:t> </w:t>
      </w:r>
      <w:r>
        <w:rPr>
          <w:color w:val="231F20"/>
          <w:w w:val="110"/>
        </w:rPr>
        <w:t>próximos</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4 </w:t>
      </w:r>
      <w:r>
        <w:rPr>
          <w:color w:val="231F20"/>
          <w:w w:val="110"/>
          <w:sz w:val="16"/>
        </w:rPr>
        <w:t>La catástrofe en el Golfo de México de una plataforma de la British Petroleum  es una alarma de las consecuencias que puede ocasionar la avidez por el consumo de estos</w:t>
      </w:r>
      <w:r>
        <w:rPr>
          <w:color w:val="231F20"/>
          <w:spacing w:val="-4"/>
          <w:w w:val="110"/>
          <w:sz w:val="16"/>
        </w:rPr>
        <w:t> </w:t>
      </w:r>
      <w:r>
        <w:rPr>
          <w:color w:val="231F20"/>
          <w:w w:val="110"/>
          <w:sz w:val="16"/>
        </w:rPr>
        <w:t>recursos</w:t>
      </w:r>
      <w:r>
        <w:rPr>
          <w:color w:val="231F20"/>
          <w:spacing w:val="-4"/>
          <w:w w:val="110"/>
          <w:sz w:val="16"/>
        </w:rPr>
        <w:t> </w:t>
      </w:r>
      <w:r>
        <w:rPr>
          <w:color w:val="231F20"/>
          <w:w w:val="110"/>
          <w:sz w:val="16"/>
        </w:rPr>
        <w:t>precisamente</w:t>
      </w:r>
      <w:r>
        <w:rPr>
          <w:color w:val="231F20"/>
          <w:spacing w:val="-4"/>
          <w:w w:val="110"/>
          <w:sz w:val="16"/>
        </w:rPr>
        <w:t> </w:t>
      </w:r>
      <w:r>
        <w:rPr>
          <w:color w:val="231F20"/>
          <w:w w:val="110"/>
          <w:sz w:val="16"/>
        </w:rPr>
        <w:t>en</w:t>
      </w:r>
      <w:r>
        <w:rPr>
          <w:color w:val="231F20"/>
          <w:spacing w:val="-4"/>
          <w:w w:val="110"/>
          <w:sz w:val="16"/>
        </w:rPr>
        <w:t> </w:t>
      </w:r>
      <w:r>
        <w:rPr>
          <w:color w:val="231F20"/>
          <w:w w:val="110"/>
          <w:sz w:val="16"/>
        </w:rPr>
        <w:t>Estados</w:t>
      </w:r>
      <w:r>
        <w:rPr>
          <w:color w:val="231F20"/>
          <w:spacing w:val="-4"/>
          <w:w w:val="110"/>
          <w:sz w:val="16"/>
        </w:rPr>
        <w:t> </w:t>
      </w:r>
      <w:r>
        <w:rPr>
          <w:color w:val="231F20"/>
          <w:w w:val="110"/>
          <w:sz w:val="16"/>
        </w:rPr>
        <w:t>Unidos.</w:t>
      </w:r>
      <w:r>
        <w:rPr>
          <w:color w:val="231F20"/>
          <w:spacing w:val="-4"/>
          <w:w w:val="110"/>
          <w:sz w:val="16"/>
        </w:rPr>
        <w:t> </w:t>
      </w:r>
      <w:r>
        <w:rPr>
          <w:color w:val="231F20"/>
          <w:w w:val="110"/>
          <w:sz w:val="16"/>
        </w:rPr>
        <w:t>Veáse,</w:t>
      </w:r>
      <w:r>
        <w:rPr>
          <w:color w:val="231F20"/>
          <w:spacing w:val="-4"/>
          <w:w w:val="110"/>
          <w:sz w:val="16"/>
        </w:rPr>
        <w:t> </w:t>
      </w:r>
      <w:r>
        <w:rPr>
          <w:color w:val="231F20"/>
          <w:w w:val="110"/>
          <w:sz w:val="16"/>
        </w:rPr>
        <w:t>por</w:t>
      </w:r>
      <w:r>
        <w:rPr>
          <w:color w:val="231F20"/>
          <w:spacing w:val="-4"/>
          <w:w w:val="110"/>
          <w:sz w:val="16"/>
        </w:rPr>
        <w:t> </w:t>
      </w:r>
      <w:r>
        <w:rPr>
          <w:color w:val="231F20"/>
          <w:w w:val="110"/>
          <w:sz w:val="16"/>
        </w:rPr>
        <w:t>ejemplo,</w:t>
      </w:r>
      <w:r>
        <w:rPr>
          <w:color w:val="231F20"/>
          <w:spacing w:val="-4"/>
          <w:w w:val="110"/>
          <w:sz w:val="16"/>
        </w:rPr>
        <w:t> </w:t>
      </w:r>
      <w:r>
        <w:rPr>
          <w:i/>
          <w:color w:val="231F20"/>
          <w:w w:val="110"/>
          <w:sz w:val="16"/>
        </w:rPr>
        <w:t>El</w:t>
      </w:r>
      <w:r>
        <w:rPr>
          <w:i/>
          <w:color w:val="231F20"/>
          <w:spacing w:val="-4"/>
          <w:w w:val="110"/>
          <w:sz w:val="16"/>
        </w:rPr>
        <w:t> </w:t>
      </w:r>
      <w:r>
        <w:rPr>
          <w:i/>
          <w:color w:val="231F20"/>
          <w:w w:val="110"/>
          <w:sz w:val="16"/>
        </w:rPr>
        <w:t>Nuevo</w:t>
      </w:r>
      <w:r>
        <w:rPr>
          <w:i/>
          <w:color w:val="231F20"/>
          <w:spacing w:val="-4"/>
          <w:w w:val="110"/>
          <w:sz w:val="16"/>
        </w:rPr>
        <w:t> </w:t>
      </w:r>
      <w:r>
        <w:rPr>
          <w:i/>
          <w:color w:val="231F20"/>
          <w:w w:val="110"/>
          <w:sz w:val="16"/>
        </w:rPr>
        <w:t>Herald </w:t>
      </w:r>
      <w:r>
        <w:rPr>
          <w:color w:val="231F20"/>
          <w:w w:val="105"/>
          <w:sz w:val="16"/>
        </w:rPr>
        <w:t>(2010a:</w:t>
      </w:r>
      <w:r>
        <w:rPr>
          <w:color w:val="231F20"/>
          <w:spacing w:val="15"/>
          <w:w w:val="105"/>
          <w:sz w:val="16"/>
        </w:rPr>
        <w:t> </w:t>
      </w:r>
      <w:r>
        <w:rPr>
          <w:color w:val="231F20"/>
          <w:w w:val="105"/>
          <w:sz w:val="16"/>
        </w:rPr>
        <w:t>A09).</w:t>
      </w:r>
    </w:p>
    <w:p>
      <w:pPr>
        <w:spacing w:line="261" w:lineRule="auto" w:before="0"/>
        <w:ind w:left="100" w:right="117" w:firstLine="240"/>
        <w:jc w:val="both"/>
        <w:rPr>
          <w:sz w:val="16"/>
        </w:rPr>
      </w:pPr>
      <w:r>
        <w:rPr>
          <w:color w:val="231F20"/>
          <w:w w:val="110"/>
          <w:position w:val="5"/>
          <w:sz w:val="10"/>
        </w:rPr>
        <w:t>5 </w:t>
      </w:r>
      <w:r>
        <w:rPr>
          <w:color w:val="231F20"/>
          <w:w w:val="110"/>
          <w:sz w:val="16"/>
        </w:rPr>
        <w:t>El tema migratorio se hace más complejo por la aprobación de una Ley anti- inmigrantes en Arizona, aumentando la escala del conflicto. Véase </w:t>
      </w:r>
      <w:r>
        <w:rPr>
          <w:i/>
          <w:color w:val="231F20"/>
          <w:w w:val="110"/>
          <w:sz w:val="16"/>
        </w:rPr>
        <w:t>El Nuevo Herald </w:t>
      </w:r>
      <w:r>
        <w:rPr>
          <w:color w:val="231F20"/>
          <w:w w:val="105"/>
          <w:sz w:val="16"/>
        </w:rPr>
        <w:t>(2010b: A04).</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años tanto desde el punto de vista de “política interna” como para  su proyección externa, sin duda el energético y el migratorio junto   a la “seguridad” como enfoque aglutinador tendrán importancia en las relaciones de Estados Unidos con los países de América</w:t>
      </w:r>
      <w:r>
        <w:rPr>
          <w:color w:val="231F20"/>
          <w:spacing w:val="-14"/>
          <w:w w:val="110"/>
        </w:rPr>
        <w:t> </w:t>
      </w:r>
      <w:r>
        <w:rPr>
          <w:color w:val="231F20"/>
          <w:w w:val="110"/>
        </w:rPr>
        <w:t>Latina.</w:t>
      </w:r>
    </w:p>
    <w:p>
      <w:pPr>
        <w:pStyle w:val="BodyText"/>
        <w:spacing w:line="261" w:lineRule="auto"/>
        <w:ind w:left="100" w:right="117" w:firstLine="240"/>
        <w:jc w:val="both"/>
      </w:pPr>
      <w:r>
        <w:rPr>
          <w:color w:val="231F20"/>
          <w:w w:val="110"/>
        </w:rPr>
        <w:t>El énfasis que puso la administración Obama en la aprobación de un programa de salud, aunque finalmente haya resultado un éxito para la administración demócrata, ha implicado altos costos políti- cos que deben afectar al cumplimiento de los restantes puntos de    la agenda de un modo u otro. El presidente declaró la regulación financiera como el siguiente punto de su agenda, sobre el que ya había</w:t>
      </w:r>
      <w:r>
        <w:rPr>
          <w:color w:val="231F20"/>
          <w:spacing w:val="-8"/>
          <w:w w:val="110"/>
        </w:rPr>
        <w:t> </w:t>
      </w:r>
      <w:r>
        <w:rPr>
          <w:color w:val="231F20"/>
          <w:w w:val="110"/>
        </w:rPr>
        <w:t>avanzado</w:t>
      </w:r>
      <w:r>
        <w:rPr>
          <w:color w:val="231F20"/>
          <w:spacing w:val="-8"/>
          <w:w w:val="110"/>
        </w:rPr>
        <w:t> </w:t>
      </w:r>
      <w:r>
        <w:rPr>
          <w:color w:val="231F20"/>
          <w:w w:val="110"/>
        </w:rPr>
        <w:t>una</w:t>
      </w:r>
      <w:r>
        <w:rPr>
          <w:color w:val="231F20"/>
          <w:spacing w:val="-8"/>
          <w:w w:val="110"/>
        </w:rPr>
        <w:t> </w:t>
      </w:r>
      <w:r>
        <w:rPr>
          <w:color w:val="231F20"/>
          <w:w w:val="110"/>
        </w:rPr>
        <w:t>propuesta,</w:t>
      </w:r>
      <w:r>
        <w:rPr>
          <w:color w:val="231F20"/>
          <w:spacing w:val="-8"/>
          <w:w w:val="110"/>
        </w:rPr>
        <w:t> </w:t>
      </w:r>
      <w:r>
        <w:rPr>
          <w:color w:val="231F20"/>
          <w:w w:val="110"/>
        </w:rPr>
        <w:t>tema</w:t>
      </w:r>
      <w:r>
        <w:rPr>
          <w:color w:val="231F20"/>
          <w:spacing w:val="-8"/>
          <w:w w:val="110"/>
        </w:rPr>
        <w:t> </w:t>
      </w:r>
      <w:r>
        <w:rPr>
          <w:color w:val="231F20"/>
          <w:w w:val="110"/>
        </w:rPr>
        <w:t>que</w:t>
      </w:r>
      <w:r>
        <w:rPr>
          <w:color w:val="231F20"/>
          <w:spacing w:val="-8"/>
          <w:w w:val="110"/>
        </w:rPr>
        <w:t> </w:t>
      </w:r>
      <w:r>
        <w:rPr>
          <w:color w:val="231F20"/>
          <w:w w:val="110"/>
        </w:rPr>
        <w:t>cuenta</w:t>
      </w:r>
      <w:r>
        <w:rPr>
          <w:color w:val="231F20"/>
          <w:spacing w:val="-8"/>
          <w:w w:val="110"/>
        </w:rPr>
        <w:t> </w:t>
      </w:r>
      <w:r>
        <w:rPr>
          <w:color w:val="231F20"/>
          <w:w w:val="110"/>
        </w:rPr>
        <w:t>con</w:t>
      </w:r>
      <w:r>
        <w:rPr>
          <w:color w:val="231F20"/>
          <w:spacing w:val="-8"/>
          <w:w w:val="110"/>
        </w:rPr>
        <w:t> </w:t>
      </w:r>
      <w:r>
        <w:rPr>
          <w:color w:val="231F20"/>
          <w:w w:val="110"/>
        </w:rPr>
        <w:t>apoyo</w:t>
      </w:r>
      <w:r>
        <w:rPr>
          <w:color w:val="231F20"/>
          <w:spacing w:val="-8"/>
          <w:w w:val="110"/>
        </w:rPr>
        <w:t> </w:t>
      </w:r>
      <w:r>
        <w:rPr>
          <w:color w:val="231F20"/>
          <w:w w:val="110"/>
        </w:rPr>
        <w:t>mayorita- rio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votantes</w:t>
      </w:r>
      <w:r>
        <w:rPr>
          <w:color w:val="231F20"/>
          <w:spacing w:val="-5"/>
          <w:w w:val="110"/>
        </w:rPr>
        <w:t> </w:t>
      </w:r>
      <w:r>
        <w:rPr>
          <w:color w:val="231F20"/>
          <w:w w:val="110"/>
        </w:rPr>
        <w:t>encuestados.</w:t>
      </w:r>
      <w:r>
        <w:rPr>
          <w:color w:val="231F20"/>
          <w:spacing w:val="-5"/>
          <w:w w:val="110"/>
        </w:rPr>
        <w:t> </w:t>
      </w: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los</w:t>
      </w:r>
      <w:r>
        <w:rPr>
          <w:color w:val="231F20"/>
          <w:spacing w:val="-5"/>
          <w:w w:val="110"/>
        </w:rPr>
        <w:t> </w:t>
      </w:r>
      <w:r>
        <w:rPr>
          <w:color w:val="231F20"/>
          <w:w w:val="110"/>
        </w:rPr>
        <w:t>analistas</w:t>
      </w:r>
      <w:r>
        <w:rPr>
          <w:color w:val="231F20"/>
          <w:spacing w:val="-5"/>
          <w:w w:val="110"/>
        </w:rPr>
        <w:t> </w:t>
      </w:r>
      <w:r>
        <w:rPr>
          <w:color w:val="231F20"/>
          <w:w w:val="110"/>
        </w:rPr>
        <w:t>coinciden que se trata de un asunto de gran dificultad por el tiempo que resta hasta</w:t>
      </w:r>
      <w:r>
        <w:rPr>
          <w:color w:val="231F20"/>
          <w:spacing w:val="-14"/>
          <w:w w:val="110"/>
        </w:rPr>
        <w:t> </w:t>
      </w:r>
      <w:r>
        <w:rPr>
          <w:color w:val="231F20"/>
          <w:w w:val="110"/>
        </w:rPr>
        <w:t>las</w:t>
      </w:r>
      <w:r>
        <w:rPr>
          <w:color w:val="231F20"/>
          <w:spacing w:val="-14"/>
          <w:w w:val="110"/>
        </w:rPr>
        <w:t> </w:t>
      </w:r>
      <w:r>
        <w:rPr>
          <w:color w:val="231F20"/>
          <w:w w:val="110"/>
        </w:rPr>
        <w:t>elecciones</w:t>
      </w:r>
      <w:r>
        <w:rPr>
          <w:color w:val="231F20"/>
          <w:spacing w:val="-14"/>
          <w:w w:val="110"/>
        </w:rPr>
        <w:t> </w:t>
      </w:r>
      <w:r>
        <w:rPr>
          <w:color w:val="231F20"/>
          <w:w w:val="110"/>
        </w:rPr>
        <w:t>y</w:t>
      </w:r>
      <w:r>
        <w:rPr>
          <w:color w:val="231F20"/>
          <w:spacing w:val="-14"/>
          <w:w w:val="110"/>
        </w:rPr>
        <w:t> </w:t>
      </w:r>
      <w:r>
        <w:rPr>
          <w:color w:val="231F20"/>
          <w:w w:val="110"/>
        </w:rPr>
        <w:t>por</w:t>
      </w:r>
      <w:r>
        <w:rPr>
          <w:color w:val="231F20"/>
          <w:spacing w:val="-14"/>
          <w:w w:val="110"/>
        </w:rPr>
        <w:t> </w:t>
      </w:r>
      <w:r>
        <w:rPr>
          <w:color w:val="231F20"/>
          <w:w w:val="110"/>
        </w:rPr>
        <w:t>el</w:t>
      </w:r>
      <w:r>
        <w:rPr>
          <w:color w:val="231F20"/>
          <w:spacing w:val="-14"/>
          <w:w w:val="110"/>
        </w:rPr>
        <w:t> </w:t>
      </w:r>
      <w:r>
        <w:rPr>
          <w:color w:val="231F20"/>
          <w:w w:val="110"/>
        </w:rPr>
        <w:t>fuerte</w:t>
      </w:r>
      <w:r>
        <w:rPr>
          <w:color w:val="231F20"/>
          <w:spacing w:val="-14"/>
          <w:w w:val="110"/>
        </w:rPr>
        <w:t> </w:t>
      </w:r>
      <w:r>
        <w:rPr>
          <w:color w:val="231F20"/>
          <w:w w:val="110"/>
        </w:rPr>
        <w:t>apoyo</w:t>
      </w:r>
      <w:r>
        <w:rPr>
          <w:color w:val="231F20"/>
          <w:spacing w:val="-14"/>
          <w:w w:val="110"/>
        </w:rPr>
        <w:t> </w:t>
      </w:r>
      <w:r>
        <w:rPr>
          <w:color w:val="231F20"/>
          <w:w w:val="110"/>
        </w:rPr>
        <w:t>financiero</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congresistas aportado</w:t>
      </w:r>
      <w:r>
        <w:rPr>
          <w:color w:val="231F20"/>
          <w:spacing w:val="-5"/>
          <w:w w:val="110"/>
        </w:rPr>
        <w:t> </w:t>
      </w:r>
      <w:r>
        <w:rPr>
          <w:color w:val="231F20"/>
          <w:w w:val="110"/>
        </w:rPr>
        <w:t>por</w:t>
      </w:r>
      <w:r>
        <w:rPr>
          <w:color w:val="231F20"/>
          <w:spacing w:val="-5"/>
          <w:w w:val="110"/>
        </w:rPr>
        <w:t> </w:t>
      </w:r>
      <w:r>
        <w:rPr>
          <w:color w:val="231F20"/>
          <w:w w:val="110"/>
        </w:rPr>
        <w:t>los</w:t>
      </w:r>
      <w:r>
        <w:rPr>
          <w:color w:val="231F20"/>
          <w:spacing w:val="-5"/>
          <w:w w:val="110"/>
        </w:rPr>
        <w:t> </w:t>
      </w:r>
      <w:r>
        <w:rPr>
          <w:i/>
          <w:color w:val="231F20"/>
          <w:w w:val="110"/>
        </w:rPr>
        <w:t>lobbies</w:t>
      </w:r>
      <w:r>
        <w:rPr>
          <w:i/>
          <w:color w:val="231F20"/>
          <w:spacing w:val="-5"/>
          <w:w w:val="110"/>
        </w:rPr>
        <w:t> </w:t>
      </w:r>
      <w:r>
        <w:rPr>
          <w:color w:val="231F20"/>
          <w:w w:val="110"/>
        </w:rPr>
        <w:t>que</w:t>
      </w:r>
      <w:r>
        <w:rPr>
          <w:color w:val="231F20"/>
          <w:spacing w:val="-5"/>
          <w:w w:val="110"/>
        </w:rPr>
        <w:t> </w:t>
      </w:r>
      <w:r>
        <w:rPr>
          <w:color w:val="231F20"/>
          <w:w w:val="110"/>
        </w:rPr>
        <w:t>decididamente</w:t>
      </w:r>
      <w:r>
        <w:rPr>
          <w:color w:val="231F20"/>
          <w:spacing w:val="-5"/>
          <w:w w:val="110"/>
        </w:rPr>
        <w:t> </w:t>
      </w:r>
      <w:r>
        <w:rPr>
          <w:color w:val="231F20"/>
          <w:w w:val="110"/>
        </w:rPr>
        <w:t>se</w:t>
      </w:r>
      <w:r>
        <w:rPr>
          <w:color w:val="231F20"/>
          <w:spacing w:val="-5"/>
          <w:w w:val="110"/>
        </w:rPr>
        <w:t> </w:t>
      </w:r>
      <w:r>
        <w:rPr>
          <w:color w:val="231F20"/>
          <w:w w:val="110"/>
        </w:rPr>
        <w:t>oponen</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propuesta de regulación</w:t>
      </w:r>
      <w:r>
        <w:rPr>
          <w:color w:val="231F20"/>
          <w:spacing w:val="45"/>
          <w:w w:val="110"/>
        </w:rPr>
        <w:t> </w:t>
      </w:r>
      <w:r>
        <w:rPr>
          <w:color w:val="231F20"/>
          <w:w w:val="110"/>
        </w:rPr>
        <w:t>anunciada.</w:t>
      </w:r>
    </w:p>
    <w:p>
      <w:pPr>
        <w:pStyle w:val="BodyText"/>
        <w:spacing w:line="261" w:lineRule="auto"/>
        <w:ind w:left="100" w:right="118" w:firstLine="240"/>
        <w:jc w:val="both"/>
      </w:pPr>
      <w:r>
        <w:rPr>
          <w:color w:val="231F20"/>
          <w:w w:val="110"/>
        </w:rPr>
        <w:t>Asimismo, aunque las estadísticas presentadas sobre algunos in- dicadores económicos daban cuenta del inicio de la recuperación desde el último trimestre del 2009, la persistencia del desempleo hace que se mantenga como prioridad política la lucha contra este problema de cara a las elecciones de medio término. Un elevado ín-</w:t>
      </w:r>
      <w:r>
        <w:rPr>
          <w:color w:val="231F20"/>
          <w:w w:val="72"/>
        </w:rPr>
        <w:t> </w:t>
      </w:r>
      <w:r>
        <w:rPr>
          <w:color w:val="231F20"/>
          <w:w w:val="110"/>
        </w:rPr>
        <w:t>dice de desempleo podría minar de modo más profundo a las bases demócratas, creando mayores dificultades a la administración en los</w:t>
      </w:r>
      <w:r>
        <w:rPr>
          <w:color w:val="231F20"/>
          <w:w w:val="102"/>
        </w:rPr>
        <w:t> </w:t>
      </w:r>
      <w:r>
        <w:rPr>
          <w:color w:val="231F20"/>
          <w:w w:val="110"/>
        </w:rPr>
        <w:t>años finales de este mandato.</w:t>
      </w:r>
    </w:p>
    <w:p>
      <w:pPr>
        <w:pStyle w:val="BodyText"/>
      </w:pPr>
    </w:p>
    <w:p>
      <w:pPr>
        <w:pStyle w:val="BodyText"/>
      </w:pPr>
    </w:p>
    <w:p>
      <w:pPr>
        <w:pStyle w:val="BodyText"/>
        <w:spacing w:before="2"/>
        <w:rPr>
          <w:sz w:val="25"/>
        </w:rPr>
      </w:pPr>
    </w:p>
    <w:p>
      <w:pPr>
        <w:pStyle w:val="BodyText"/>
        <w:ind w:left="100"/>
        <w:jc w:val="both"/>
      </w:pPr>
      <w:r>
        <w:rPr>
          <w:color w:val="231F20"/>
          <w:w w:val="125"/>
        </w:rPr>
        <w:t>seguridad nacional y redefiniciones conceptuales</w:t>
      </w:r>
    </w:p>
    <w:p>
      <w:pPr>
        <w:pStyle w:val="BodyText"/>
        <w:spacing w:before="5"/>
        <w:rPr>
          <w:sz w:val="23"/>
        </w:rPr>
      </w:pPr>
    </w:p>
    <w:p>
      <w:pPr>
        <w:pStyle w:val="BodyText"/>
        <w:spacing w:line="261" w:lineRule="auto"/>
        <w:ind w:left="100" w:right="117"/>
        <w:jc w:val="both"/>
      </w:pPr>
      <w:r>
        <w:rPr>
          <w:color w:val="231F20"/>
          <w:w w:val="110"/>
        </w:rPr>
        <w:t>En el mes de mayo, Obama dio a conocer la Estrategia de</w:t>
      </w:r>
      <w:r>
        <w:rPr>
          <w:color w:val="231F20"/>
          <w:spacing w:val="-18"/>
          <w:w w:val="110"/>
        </w:rPr>
        <w:t> </w:t>
      </w:r>
      <w:r>
        <w:rPr>
          <w:color w:val="231F20"/>
          <w:w w:val="110"/>
        </w:rPr>
        <w:t>Seguridad Nacional 2010.</w:t>
      </w:r>
      <w:r>
        <w:rPr>
          <w:color w:val="231F20"/>
          <w:w w:val="110"/>
          <w:position w:val="6"/>
          <w:sz w:val="13"/>
        </w:rPr>
        <w:t>6 </w:t>
      </w:r>
      <w:r>
        <w:rPr>
          <w:color w:val="231F20"/>
          <w:w w:val="110"/>
        </w:rPr>
        <w:t>En la misma se trazaban, de manera general, los</w:t>
      </w:r>
      <w:r>
        <w:rPr>
          <w:color w:val="231F20"/>
          <w:spacing w:val="-28"/>
          <w:w w:val="110"/>
        </w:rPr>
        <w:t> </w:t>
      </w:r>
      <w:r>
        <w:rPr>
          <w:color w:val="231F20"/>
          <w:w w:val="110"/>
        </w:rPr>
        <w:t>ob- jetivos de la administración en política exterior, ante el cambiante, contradictorio y complejo entorno geopolítico mundial. En buena medida, se trata de una posición que podía anticiparse, en la medida que no constituye un punto de inflexión ni doctrinal ni práctico </w:t>
      </w:r>
      <w:r>
        <w:rPr>
          <w:color w:val="231F20"/>
          <w:spacing w:val="17"/>
          <w:w w:val="110"/>
        </w:rPr>
        <w:t> </w:t>
      </w:r>
      <w:r>
        <w:rPr>
          <w:color w:val="231F20"/>
          <w:w w:val="110"/>
        </w:rPr>
        <w:t>con</w:t>
      </w:r>
    </w:p>
    <w:p>
      <w:pPr>
        <w:pStyle w:val="BodyText"/>
      </w:pPr>
    </w:p>
    <w:p>
      <w:pPr>
        <w:spacing w:line="261" w:lineRule="auto" w:before="152"/>
        <w:ind w:left="100" w:right="119" w:firstLine="240"/>
        <w:jc w:val="both"/>
        <w:rPr>
          <w:sz w:val="16"/>
        </w:rPr>
      </w:pPr>
      <w:r>
        <w:rPr>
          <w:color w:val="231F20"/>
          <w:w w:val="105"/>
          <w:position w:val="5"/>
          <w:sz w:val="10"/>
        </w:rPr>
        <w:t>6 </w:t>
      </w:r>
      <w:r>
        <w:rPr>
          <w:color w:val="231F20"/>
          <w:w w:val="105"/>
          <w:sz w:val="16"/>
        </w:rPr>
        <w:t>El análisis de la misma debe realizarse tomando en cuenta las anteriores versiones, presentadas bajo los gobiernos de </w:t>
      </w:r>
      <w:r>
        <w:rPr>
          <w:color w:val="231F20"/>
          <w:spacing w:val="-5"/>
          <w:w w:val="105"/>
          <w:sz w:val="16"/>
        </w:rPr>
        <w:t>W.  </w:t>
      </w:r>
      <w:r>
        <w:rPr>
          <w:color w:val="231F20"/>
          <w:w w:val="105"/>
          <w:sz w:val="16"/>
        </w:rPr>
        <w:t>Bush, en 2002 y 2006. Véase: García Cuñarro,  Luis M. (2006) y Hernández Martínez, Jorge    </w:t>
      </w:r>
      <w:r>
        <w:rPr>
          <w:color w:val="231F20"/>
          <w:spacing w:val="3"/>
          <w:w w:val="105"/>
          <w:sz w:val="16"/>
        </w:rPr>
        <w:t> </w:t>
      </w:r>
      <w:r>
        <w:rPr>
          <w:color w:val="231F20"/>
          <w:w w:val="105"/>
          <w:sz w:val="16"/>
        </w:rPr>
        <w:t>(2007).</w:t>
      </w:r>
    </w:p>
    <w:p>
      <w:pPr>
        <w:spacing w:after="0" w:line="261" w:lineRule="auto"/>
        <w:jc w:val="both"/>
        <w:rPr>
          <w:sz w:val="16"/>
        </w:rPr>
        <w:sectPr>
          <w:headerReference w:type="even" r:id="rId265"/>
          <w:headerReference w:type="default" r:id="rId266"/>
          <w:pgSz w:w="7640" w:h="11900"/>
          <w:pgMar w:header="672" w:footer="0" w:top="860" w:bottom="280" w:left="780" w:right="640"/>
          <w:pgNumType w:start="352"/>
        </w:sectPr>
      </w:pPr>
    </w:p>
    <w:p>
      <w:pPr>
        <w:pStyle w:val="BodyText"/>
        <w:spacing w:before="8"/>
        <w:rPr>
          <w:sz w:val="8"/>
        </w:rPr>
      </w:pPr>
    </w:p>
    <w:p>
      <w:pPr>
        <w:pStyle w:val="BodyText"/>
        <w:spacing w:line="261" w:lineRule="auto" w:before="67"/>
        <w:ind w:left="100" w:right="117"/>
        <w:jc w:val="both"/>
      </w:pPr>
      <w:r>
        <w:rPr>
          <w:color w:val="231F20"/>
          <w:w w:val="110"/>
        </w:rPr>
        <w:t>respecto al legado estratégico que recibió Obama. En este sentido, vendría a confirmarse el hecho de que las redefiniciones</w:t>
      </w:r>
      <w:r>
        <w:rPr>
          <w:color w:val="231F20"/>
          <w:spacing w:val="-12"/>
          <w:w w:val="110"/>
        </w:rPr>
        <w:t> </w:t>
      </w:r>
      <w:r>
        <w:rPr>
          <w:color w:val="231F20"/>
          <w:w w:val="110"/>
        </w:rPr>
        <w:t>ideológicas que tienen lugar en la sociedad estadunidense, con implicaciones</w:t>
      </w:r>
      <w:r>
        <w:rPr>
          <w:color w:val="231F20"/>
          <w:spacing w:val="-26"/>
          <w:w w:val="110"/>
        </w:rPr>
        <w:t> </w:t>
      </w:r>
      <w:r>
        <w:rPr>
          <w:color w:val="231F20"/>
          <w:w w:val="110"/>
        </w:rPr>
        <w:t>es- tatales</w:t>
      </w:r>
      <w:r>
        <w:rPr>
          <w:color w:val="231F20"/>
          <w:spacing w:val="-18"/>
          <w:w w:val="110"/>
        </w:rPr>
        <w:t> </w:t>
      </w:r>
      <w:r>
        <w:rPr>
          <w:color w:val="231F20"/>
          <w:w w:val="110"/>
        </w:rPr>
        <w:t>o</w:t>
      </w:r>
      <w:r>
        <w:rPr>
          <w:color w:val="231F20"/>
          <w:spacing w:val="-18"/>
          <w:w w:val="110"/>
        </w:rPr>
        <w:t> </w:t>
      </w:r>
      <w:r>
        <w:rPr>
          <w:color w:val="231F20"/>
          <w:w w:val="110"/>
        </w:rPr>
        <w:t>gubernamentales,</w:t>
      </w:r>
      <w:r>
        <w:rPr>
          <w:color w:val="231F20"/>
          <w:spacing w:val="-18"/>
          <w:w w:val="110"/>
        </w:rPr>
        <w:t> </w:t>
      </w:r>
      <w:r>
        <w:rPr>
          <w:color w:val="231F20"/>
          <w:w w:val="110"/>
        </w:rPr>
        <w:t>se</w:t>
      </w:r>
      <w:r>
        <w:rPr>
          <w:color w:val="231F20"/>
          <w:spacing w:val="-18"/>
          <w:w w:val="110"/>
        </w:rPr>
        <w:t> </w:t>
      </w:r>
      <w:r>
        <w:rPr>
          <w:color w:val="231F20"/>
          <w:w w:val="110"/>
        </w:rPr>
        <w:t>alejan</w:t>
      </w:r>
      <w:r>
        <w:rPr>
          <w:color w:val="231F20"/>
          <w:spacing w:val="-18"/>
          <w:w w:val="110"/>
        </w:rPr>
        <w:t> </w:t>
      </w:r>
      <w:r>
        <w:rPr>
          <w:color w:val="231F20"/>
          <w:w w:val="110"/>
        </w:rPr>
        <w:t>de</w:t>
      </w:r>
      <w:r>
        <w:rPr>
          <w:color w:val="231F20"/>
          <w:spacing w:val="-18"/>
          <w:w w:val="110"/>
        </w:rPr>
        <w:t> </w:t>
      </w:r>
      <w:r>
        <w:rPr>
          <w:color w:val="231F20"/>
          <w:w w:val="110"/>
        </w:rPr>
        <w:t>reformulaciones</w:t>
      </w:r>
      <w:r>
        <w:rPr>
          <w:color w:val="231F20"/>
          <w:spacing w:val="-18"/>
          <w:w w:val="110"/>
        </w:rPr>
        <w:t> </w:t>
      </w:r>
      <w:r>
        <w:rPr>
          <w:color w:val="231F20"/>
          <w:w w:val="110"/>
        </w:rPr>
        <w:t>significativas (sean</w:t>
      </w:r>
      <w:r>
        <w:rPr>
          <w:color w:val="231F20"/>
          <w:spacing w:val="-20"/>
          <w:w w:val="110"/>
        </w:rPr>
        <w:t> </w:t>
      </w:r>
      <w:r>
        <w:rPr>
          <w:color w:val="231F20"/>
          <w:w w:val="110"/>
        </w:rPr>
        <w:t>más</w:t>
      </w:r>
      <w:r>
        <w:rPr>
          <w:color w:val="231F20"/>
          <w:spacing w:val="-20"/>
          <w:w w:val="110"/>
        </w:rPr>
        <w:t> </w:t>
      </w:r>
      <w:r>
        <w:rPr>
          <w:color w:val="231F20"/>
          <w:w w:val="110"/>
        </w:rPr>
        <w:t>discretas</w:t>
      </w:r>
      <w:r>
        <w:rPr>
          <w:color w:val="231F20"/>
          <w:spacing w:val="-20"/>
          <w:w w:val="110"/>
        </w:rPr>
        <w:t> </w:t>
      </w:r>
      <w:r>
        <w:rPr>
          <w:color w:val="231F20"/>
          <w:w w:val="110"/>
        </w:rPr>
        <w:t>o</w:t>
      </w:r>
      <w:r>
        <w:rPr>
          <w:color w:val="231F20"/>
          <w:spacing w:val="-20"/>
          <w:w w:val="110"/>
        </w:rPr>
        <w:t> </w:t>
      </w:r>
      <w:r>
        <w:rPr>
          <w:color w:val="231F20"/>
          <w:w w:val="110"/>
        </w:rPr>
        <w:t>más</w:t>
      </w:r>
      <w:r>
        <w:rPr>
          <w:color w:val="231F20"/>
          <w:spacing w:val="-20"/>
          <w:w w:val="110"/>
        </w:rPr>
        <w:t> </w:t>
      </w:r>
      <w:r>
        <w:rPr>
          <w:color w:val="231F20"/>
          <w:w w:val="110"/>
        </w:rPr>
        <w:t>espectaculares),</w:t>
      </w:r>
      <w:r>
        <w:rPr>
          <w:color w:val="231F20"/>
          <w:spacing w:val="-20"/>
          <w:w w:val="110"/>
        </w:rPr>
        <w:t> </w:t>
      </w:r>
      <w:r>
        <w:rPr>
          <w:color w:val="231F20"/>
          <w:w w:val="110"/>
        </w:rPr>
        <w:t>por</w:t>
      </w:r>
      <w:r>
        <w:rPr>
          <w:color w:val="231F20"/>
          <w:spacing w:val="-20"/>
          <w:w w:val="110"/>
        </w:rPr>
        <w:t> </w:t>
      </w:r>
      <w:r>
        <w:rPr>
          <w:color w:val="231F20"/>
          <w:w w:val="110"/>
        </w:rPr>
        <w:t>lo</w:t>
      </w:r>
      <w:r>
        <w:rPr>
          <w:color w:val="231F20"/>
          <w:spacing w:val="-20"/>
          <w:w w:val="110"/>
        </w:rPr>
        <w:t> </w:t>
      </w:r>
      <w:r>
        <w:rPr>
          <w:color w:val="231F20"/>
          <w:w w:val="110"/>
        </w:rPr>
        <w:t>cual,</w:t>
      </w:r>
      <w:r>
        <w:rPr>
          <w:color w:val="231F20"/>
          <w:spacing w:val="-20"/>
          <w:w w:val="110"/>
        </w:rPr>
        <w:t> </w:t>
      </w:r>
      <w:r>
        <w:rPr>
          <w:color w:val="231F20"/>
          <w:w w:val="110"/>
        </w:rPr>
        <w:t>no</w:t>
      </w:r>
      <w:r>
        <w:rPr>
          <w:color w:val="231F20"/>
          <w:spacing w:val="-20"/>
          <w:w w:val="110"/>
        </w:rPr>
        <w:t> </w:t>
      </w:r>
      <w:r>
        <w:rPr>
          <w:color w:val="231F20"/>
          <w:w w:val="110"/>
        </w:rPr>
        <w:t>es</w:t>
      </w:r>
      <w:r>
        <w:rPr>
          <w:color w:val="231F20"/>
          <w:spacing w:val="-20"/>
          <w:w w:val="110"/>
        </w:rPr>
        <w:t> </w:t>
      </w:r>
      <w:r>
        <w:rPr>
          <w:color w:val="231F20"/>
          <w:w w:val="110"/>
        </w:rPr>
        <w:t>previsible en el corto plazo una ruptura definitiva con el pensamiento conser- vador más extendido o una reformulación elocuente del liberalismo adormecido.</w:t>
      </w:r>
      <w:r>
        <w:rPr>
          <w:color w:val="231F20"/>
          <w:spacing w:val="-7"/>
          <w:w w:val="110"/>
        </w:rPr>
        <w:t> </w:t>
      </w:r>
      <w:r>
        <w:rPr>
          <w:color w:val="231F20"/>
          <w:w w:val="110"/>
        </w:rPr>
        <w:t>Las</w:t>
      </w:r>
      <w:r>
        <w:rPr>
          <w:color w:val="231F20"/>
          <w:spacing w:val="-7"/>
          <w:w w:val="110"/>
        </w:rPr>
        <w:t> </w:t>
      </w:r>
      <w:r>
        <w:rPr>
          <w:color w:val="231F20"/>
          <w:w w:val="110"/>
        </w:rPr>
        <w:t>mismas</w:t>
      </w:r>
      <w:r>
        <w:rPr>
          <w:color w:val="231F20"/>
          <w:spacing w:val="-7"/>
          <w:w w:val="110"/>
        </w:rPr>
        <w:t> </w:t>
      </w:r>
      <w:r>
        <w:rPr>
          <w:color w:val="231F20"/>
          <w:w w:val="110"/>
        </w:rPr>
        <w:t>se</w:t>
      </w:r>
      <w:r>
        <w:rPr>
          <w:color w:val="231F20"/>
          <w:spacing w:val="-7"/>
          <w:w w:val="110"/>
        </w:rPr>
        <w:t> </w:t>
      </w:r>
      <w:r>
        <w:rPr>
          <w:color w:val="231F20"/>
          <w:w w:val="110"/>
        </w:rPr>
        <w:t>mueven,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mejor</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casos,</w:t>
      </w:r>
      <w:r>
        <w:rPr>
          <w:color w:val="231F20"/>
          <w:spacing w:val="-7"/>
          <w:w w:val="110"/>
        </w:rPr>
        <w:t> </w:t>
      </w:r>
      <w:r>
        <w:rPr>
          <w:color w:val="231F20"/>
          <w:w w:val="110"/>
        </w:rPr>
        <w:t>dentro de zonas de consenso enmarcadas por el sentido pragmático de un realismo político </w:t>
      </w:r>
      <w:r>
        <w:rPr>
          <w:i/>
          <w:color w:val="231F20"/>
          <w:w w:val="110"/>
        </w:rPr>
        <w:t>(realpolitik</w:t>
      </w:r>
      <w:r>
        <w:rPr>
          <w:color w:val="231F20"/>
          <w:w w:val="110"/>
        </w:rPr>
        <w:t>), cuya esencia reconoce ante todo el protagonismo de los Estados en la arena internacional, el uso de la fuerza —incluida la militar— y la ubicuidad de los</w:t>
      </w:r>
      <w:r>
        <w:rPr>
          <w:color w:val="231F20"/>
          <w:spacing w:val="-33"/>
          <w:w w:val="110"/>
        </w:rPr>
        <w:t> </w:t>
      </w:r>
      <w:r>
        <w:rPr>
          <w:color w:val="231F20"/>
          <w:w w:val="110"/>
        </w:rPr>
        <w:t>conflictos.</w:t>
      </w:r>
    </w:p>
    <w:p>
      <w:pPr>
        <w:pStyle w:val="BodyText"/>
        <w:spacing w:line="261" w:lineRule="auto"/>
        <w:ind w:left="100" w:right="115" w:firstLine="240"/>
        <w:jc w:val="right"/>
      </w:pPr>
      <w:r>
        <w:rPr>
          <w:color w:val="231F20"/>
          <w:w w:val="105"/>
        </w:rPr>
        <w:t>Eso sí, en correspondencia con el enfoque</w:t>
      </w:r>
      <w:r>
        <w:rPr>
          <w:color w:val="231F20"/>
          <w:spacing w:val="18"/>
          <w:w w:val="105"/>
        </w:rPr>
        <w:t> </w:t>
      </w:r>
      <w:r>
        <w:rPr>
          <w:color w:val="231F20"/>
          <w:w w:val="105"/>
        </w:rPr>
        <w:t>explícito</w:t>
      </w:r>
      <w:r>
        <w:rPr>
          <w:color w:val="231F20"/>
          <w:spacing w:val="10"/>
          <w:w w:val="105"/>
        </w:rPr>
        <w:t> </w:t>
      </w:r>
      <w:r>
        <w:rPr>
          <w:color w:val="231F20"/>
          <w:w w:val="105"/>
        </w:rPr>
        <w:t>discursivo</w:t>
      </w:r>
      <w:r>
        <w:rPr>
          <w:color w:val="231F20"/>
          <w:w w:val="104"/>
        </w:rPr>
        <w:t> </w:t>
      </w:r>
      <w:r>
        <w:rPr>
          <w:color w:val="231F20"/>
          <w:w w:val="105"/>
        </w:rPr>
        <w:t>mantenido desde que asumió la presidencia, y a diferencia</w:t>
      </w:r>
      <w:r>
        <w:rPr>
          <w:color w:val="231F20"/>
          <w:spacing w:val="25"/>
          <w:w w:val="105"/>
        </w:rPr>
        <w:t> </w:t>
      </w:r>
      <w:r>
        <w:rPr>
          <w:color w:val="231F20"/>
          <w:w w:val="105"/>
        </w:rPr>
        <w:t>de</w:t>
      </w:r>
      <w:r>
        <w:rPr>
          <w:color w:val="231F20"/>
          <w:spacing w:val="8"/>
          <w:w w:val="105"/>
        </w:rPr>
        <w:t> </w:t>
      </w:r>
      <w:r>
        <w:rPr>
          <w:color w:val="231F20"/>
          <w:w w:val="105"/>
        </w:rPr>
        <w:t>su</w:t>
      </w:r>
      <w:r>
        <w:rPr>
          <w:color w:val="231F20"/>
          <w:w w:val="116"/>
        </w:rPr>
        <w:t> </w:t>
      </w:r>
      <w:r>
        <w:rPr>
          <w:color w:val="231F20"/>
          <w:w w:val="105"/>
        </w:rPr>
        <w:t>predecesor, que comenzaba su estrategia anunciando</w:t>
      </w:r>
      <w:r>
        <w:rPr>
          <w:color w:val="231F20"/>
          <w:spacing w:val="36"/>
          <w:w w:val="105"/>
        </w:rPr>
        <w:t> </w:t>
      </w:r>
      <w:r>
        <w:rPr>
          <w:color w:val="231F20"/>
          <w:w w:val="105"/>
        </w:rPr>
        <w:t>que</w:t>
      </w:r>
      <w:r>
        <w:rPr>
          <w:color w:val="231F20"/>
          <w:spacing w:val="6"/>
          <w:w w:val="105"/>
        </w:rPr>
        <w:t> </w:t>
      </w:r>
      <w:r>
        <w:rPr>
          <w:color w:val="231F20"/>
          <w:w w:val="105"/>
        </w:rPr>
        <w:t>“Estados</w:t>
      </w:r>
      <w:r>
        <w:rPr>
          <w:color w:val="231F20"/>
          <w:w w:val="103"/>
        </w:rPr>
        <w:t> </w:t>
      </w:r>
      <w:r>
        <w:rPr>
          <w:color w:val="231F20"/>
          <w:w w:val="105"/>
        </w:rPr>
        <w:t>Unidos está en guerra”, en este documento se enfatiza la </w:t>
      </w:r>
      <w:r>
        <w:rPr>
          <w:color w:val="231F20"/>
          <w:spacing w:val="29"/>
          <w:w w:val="105"/>
        </w:rPr>
        <w:t> </w:t>
      </w:r>
      <w:r>
        <w:rPr>
          <w:color w:val="231F20"/>
          <w:w w:val="105"/>
        </w:rPr>
        <w:t>idea </w:t>
      </w:r>
      <w:r>
        <w:rPr>
          <w:color w:val="231F20"/>
          <w:spacing w:val="2"/>
          <w:w w:val="105"/>
        </w:rPr>
        <w:t> </w:t>
      </w:r>
      <w:r>
        <w:rPr>
          <w:color w:val="231F20"/>
          <w:w w:val="105"/>
        </w:rPr>
        <w:t>de</w:t>
      </w:r>
      <w:r>
        <w:rPr>
          <w:color w:val="231F20"/>
          <w:w w:val="114"/>
        </w:rPr>
        <w:t> </w:t>
      </w:r>
      <w:r>
        <w:rPr>
          <w:color w:val="231F20"/>
          <w:w w:val="105"/>
        </w:rPr>
        <w:t>evitar la confrontación para alcanzar los</w:t>
      </w:r>
      <w:r>
        <w:rPr>
          <w:color w:val="231F20"/>
          <w:spacing w:val="6"/>
          <w:w w:val="105"/>
        </w:rPr>
        <w:t> </w:t>
      </w:r>
      <w:r>
        <w:rPr>
          <w:color w:val="231F20"/>
          <w:w w:val="105"/>
        </w:rPr>
        <w:t>objetivos</w:t>
      </w:r>
      <w:r>
        <w:rPr>
          <w:color w:val="231F20"/>
          <w:spacing w:val="9"/>
          <w:w w:val="105"/>
        </w:rPr>
        <w:t> </w:t>
      </w:r>
      <w:r>
        <w:rPr>
          <w:color w:val="231F20"/>
          <w:w w:val="105"/>
        </w:rPr>
        <w:t>internacionales,</w:t>
      </w:r>
      <w:r>
        <w:rPr>
          <w:color w:val="231F20"/>
          <w:w w:val="110"/>
        </w:rPr>
        <w:t> </w:t>
      </w:r>
      <w:r>
        <w:rPr>
          <w:color w:val="231F20"/>
          <w:w w:val="105"/>
        </w:rPr>
        <w:t>priorizando, siempre que sea posible, la negociación y</w:t>
      </w:r>
      <w:r>
        <w:rPr>
          <w:color w:val="231F20"/>
          <w:spacing w:val="47"/>
          <w:w w:val="105"/>
        </w:rPr>
        <w:t> </w:t>
      </w:r>
      <w:r>
        <w:rPr>
          <w:color w:val="231F20"/>
          <w:w w:val="105"/>
        </w:rPr>
        <w:t>la</w:t>
      </w:r>
      <w:r>
        <w:rPr>
          <w:color w:val="231F20"/>
          <w:spacing w:val="25"/>
          <w:w w:val="105"/>
        </w:rPr>
        <w:t> </w:t>
      </w:r>
      <w:r>
        <w:rPr>
          <w:color w:val="231F20"/>
          <w:w w:val="105"/>
        </w:rPr>
        <w:t>persuasión.</w:t>
      </w:r>
      <w:r>
        <w:rPr>
          <w:color w:val="231F20"/>
          <w:w w:val="109"/>
        </w:rPr>
        <w:t> </w:t>
      </w:r>
      <w:r>
        <w:rPr>
          <w:color w:val="231F20"/>
          <w:w w:val="105"/>
        </w:rPr>
        <w:t>Si</w:t>
      </w:r>
      <w:r>
        <w:rPr>
          <w:color w:val="231F20"/>
          <w:spacing w:val="42"/>
          <w:w w:val="105"/>
        </w:rPr>
        <w:t> </w:t>
      </w:r>
      <w:r>
        <w:rPr>
          <w:color w:val="231F20"/>
          <w:w w:val="105"/>
        </w:rPr>
        <w:t>bien</w:t>
      </w:r>
      <w:r>
        <w:rPr>
          <w:color w:val="231F20"/>
          <w:spacing w:val="42"/>
          <w:w w:val="105"/>
        </w:rPr>
        <w:t> </w:t>
      </w:r>
      <w:r>
        <w:rPr>
          <w:color w:val="231F20"/>
          <w:w w:val="105"/>
        </w:rPr>
        <w:t>en</w:t>
      </w:r>
      <w:r>
        <w:rPr>
          <w:color w:val="231F20"/>
          <w:spacing w:val="42"/>
          <w:w w:val="105"/>
        </w:rPr>
        <w:t> </w:t>
      </w:r>
      <w:r>
        <w:rPr>
          <w:color w:val="231F20"/>
          <w:w w:val="105"/>
        </w:rPr>
        <w:t>esta</w:t>
      </w:r>
      <w:r>
        <w:rPr>
          <w:color w:val="231F20"/>
          <w:spacing w:val="42"/>
          <w:w w:val="105"/>
        </w:rPr>
        <w:t> </w:t>
      </w:r>
      <w:r>
        <w:rPr>
          <w:color w:val="231F20"/>
          <w:w w:val="105"/>
        </w:rPr>
        <w:t>declaración</w:t>
      </w:r>
      <w:r>
        <w:rPr>
          <w:color w:val="231F20"/>
          <w:spacing w:val="42"/>
          <w:w w:val="105"/>
        </w:rPr>
        <w:t> </w:t>
      </w:r>
      <w:r>
        <w:rPr>
          <w:color w:val="231F20"/>
          <w:w w:val="105"/>
        </w:rPr>
        <w:t>no</w:t>
      </w:r>
      <w:r>
        <w:rPr>
          <w:color w:val="231F20"/>
          <w:spacing w:val="42"/>
          <w:w w:val="105"/>
        </w:rPr>
        <w:t> </w:t>
      </w:r>
      <w:r>
        <w:rPr>
          <w:color w:val="231F20"/>
          <w:w w:val="105"/>
        </w:rPr>
        <w:t>deja</w:t>
      </w:r>
      <w:r>
        <w:rPr>
          <w:color w:val="231F20"/>
          <w:spacing w:val="42"/>
          <w:w w:val="105"/>
        </w:rPr>
        <w:t> </w:t>
      </w:r>
      <w:r>
        <w:rPr>
          <w:color w:val="231F20"/>
          <w:w w:val="105"/>
        </w:rPr>
        <w:t>de</w:t>
      </w:r>
      <w:r>
        <w:rPr>
          <w:color w:val="231F20"/>
          <w:spacing w:val="42"/>
          <w:w w:val="105"/>
        </w:rPr>
        <w:t> </w:t>
      </w:r>
      <w:r>
        <w:rPr>
          <w:color w:val="231F20"/>
          <w:w w:val="105"/>
        </w:rPr>
        <w:t>recalcarse</w:t>
      </w:r>
      <w:r>
        <w:rPr>
          <w:color w:val="231F20"/>
          <w:spacing w:val="42"/>
          <w:w w:val="105"/>
        </w:rPr>
        <w:t> </w:t>
      </w:r>
      <w:r>
        <w:rPr>
          <w:color w:val="231F20"/>
          <w:w w:val="105"/>
        </w:rPr>
        <w:t>una</w:t>
      </w:r>
      <w:r>
        <w:rPr>
          <w:color w:val="231F20"/>
          <w:spacing w:val="42"/>
          <w:w w:val="105"/>
        </w:rPr>
        <w:t> </w:t>
      </w:r>
      <w:r>
        <w:rPr>
          <w:color w:val="231F20"/>
          <w:w w:val="105"/>
        </w:rPr>
        <w:t>fuerte</w:t>
      </w:r>
      <w:r>
        <w:rPr>
          <w:color w:val="231F20"/>
          <w:spacing w:val="42"/>
          <w:w w:val="105"/>
        </w:rPr>
        <w:t> </w:t>
      </w:r>
      <w:r>
        <w:rPr>
          <w:color w:val="231F20"/>
          <w:w w:val="105"/>
        </w:rPr>
        <w:t>ini-</w:t>
      </w:r>
      <w:r>
        <w:rPr>
          <w:color w:val="231F20"/>
          <w:w w:val="72"/>
        </w:rPr>
        <w:t> </w:t>
      </w:r>
      <w:r>
        <w:rPr>
          <w:color w:val="231F20"/>
          <w:w w:val="105"/>
        </w:rPr>
        <w:t>ciativa contra el terrorismo, también se destacan asuntos</w:t>
      </w:r>
      <w:r>
        <w:rPr>
          <w:color w:val="231F20"/>
          <w:spacing w:val="7"/>
          <w:w w:val="105"/>
        </w:rPr>
        <w:t> </w:t>
      </w:r>
      <w:r>
        <w:rPr>
          <w:color w:val="231F20"/>
          <w:w w:val="105"/>
        </w:rPr>
        <w:t>como</w:t>
      </w:r>
      <w:r>
        <w:rPr>
          <w:color w:val="231F20"/>
          <w:spacing w:val="7"/>
          <w:w w:val="105"/>
        </w:rPr>
        <w:t> </w:t>
      </w:r>
      <w:r>
        <w:rPr>
          <w:color w:val="231F20"/>
          <w:w w:val="105"/>
        </w:rPr>
        <w:t>el</w:t>
      </w:r>
      <w:r>
        <w:rPr>
          <w:color w:val="231F20"/>
          <w:w w:val="108"/>
        </w:rPr>
        <w:t> </w:t>
      </w:r>
      <w:r>
        <w:rPr>
          <w:color w:val="231F20"/>
          <w:w w:val="105"/>
        </w:rPr>
        <w:t>cambio climático y la economía, subrayando el importante </w:t>
      </w:r>
      <w:r>
        <w:rPr>
          <w:color w:val="231F20"/>
          <w:spacing w:val="33"/>
          <w:w w:val="105"/>
        </w:rPr>
        <w:t> </w:t>
      </w:r>
      <w:r>
        <w:rPr>
          <w:color w:val="231F20"/>
          <w:w w:val="105"/>
        </w:rPr>
        <w:t>papel</w:t>
      </w:r>
      <w:r>
        <w:rPr>
          <w:color w:val="231F20"/>
          <w:spacing w:val="23"/>
          <w:w w:val="105"/>
        </w:rPr>
        <w:t> </w:t>
      </w:r>
      <w:r>
        <w:rPr>
          <w:color w:val="231F20"/>
          <w:w w:val="105"/>
        </w:rPr>
        <w:t>que</w:t>
      </w:r>
      <w:r>
        <w:rPr>
          <w:color w:val="231F20"/>
          <w:w w:val="113"/>
        </w:rPr>
        <w:t> </w:t>
      </w:r>
      <w:r>
        <w:rPr>
          <w:color w:val="231F20"/>
          <w:w w:val="105"/>
        </w:rPr>
        <w:t>el gobierno estadunidense debe jugar ante ellos, con lo cual</w:t>
      </w:r>
      <w:r>
        <w:rPr>
          <w:color w:val="231F20"/>
          <w:spacing w:val="11"/>
          <w:w w:val="105"/>
        </w:rPr>
        <w:t> </w:t>
      </w:r>
      <w:r>
        <w:rPr>
          <w:color w:val="231F20"/>
          <w:w w:val="105"/>
        </w:rPr>
        <w:t>hace</w:t>
      </w:r>
      <w:r>
        <w:rPr>
          <w:color w:val="231F20"/>
          <w:spacing w:val="11"/>
          <w:w w:val="105"/>
        </w:rPr>
        <w:t> </w:t>
      </w:r>
      <w:r>
        <w:rPr>
          <w:color w:val="231F20"/>
          <w:w w:val="105"/>
        </w:rPr>
        <w:t>suya</w:t>
      </w:r>
      <w:r>
        <w:rPr>
          <w:color w:val="231F20"/>
          <w:w w:val="100"/>
        </w:rPr>
        <w:t> </w:t>
      </w:r>
      <w:r>
        <w:rPr>
          <w:color w:val="231F20"/>
          <w:w w:val="105"/>
        </w:rPr>
        <w:t>una</w:t>
      </w:r>
      <w:r>
        <w:rPr>
          <w:color w:val="231F20"/>
          <w:spacing w:val="26"/>
          <w:w w:val="105"/>
        </w:rPr>
        <w:t> </w:t>
      </w:r>
      <w:r>
        <w:rPr>
          <w:color w:val="231F20"/>
          <w:w w:val="105"/>
        </w:rPr>
        <w:t>concepción</w:t>
      </w:r>
      <w:r>
        <w:rPr>
          <w:color w:val="231F20"/>
          <w:spacing w:val="26"/>
          <w:w w:val="105"/>
        </w:rPr>
        <w:t> </w:t>
      </w:r>
      <w:r>
        <w:rPr>
          <w:color w:val="231F20"/>
          <w:w w:val="105"/>
        </w:rPr>
        <w:t>amplia</w:t>
      </w:r>
      <w:r>
        <w:rPr>
          <w:color w:val="231F20"/>
          <w:spacing w:val="26"/>
          <w:w w:val="105"/>
        </w:rPr>
        <w:t> </w:t>
      </w:r>
      <w:r>
        <w:rPr>
          <w:color w:val="231F20"/>
          <w:w w:val="105"/>
        </w:rPr>
        <w:t>o</w:t>
      </w:r>
      <w:r>
        <w:rPr>
          <w:color w:val="231F20"/>
          <w:spacing w:val="26"/>
          <w:w w:val="105"/>
        </w:rPr>
        <w:t> </w:t>
      </w:r>
      <w:r>
        <w:rPr>
          <w:color w:val="231F20"/>
          <w:w w:val="105"/>
        </w:rPr>
        <w:t>extendida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seguridad</w:t>
      </w:r>
      <w:r>
        <w:rPr>
          <w:color w:val="231F20"/>
          <w:spacing w:val="26"/>
          <w:w w:val="105"/>
        </w:rPr>
        <w:t> </w:t>
      </w:r>
      <w:r>
        <w:rPr>
          <w:color w:val="231F20"/>
          <w:w w:val="105"/>
        </w:rPr>
        <w:t>nacional,</w:t>
      </w:r>
      <w:r>
        <w:rPr>
          <w:color w:val="231F20"/>
          <w:spacing w:val="26"/>
          <w:w w:val="105"/>
        </w:rPr>
        <w:t> </w:t>
      </w:r>
      <w:r>
        <w:rPr>
          <w:color w:val="231F20"/>
          <w:w w:val="105"/>
        </w:rPr>
        <w:t>de</w:t>
      </w:r>
      <w:r>
        <w:rPr>
          <w:color w:val="231F20"/>
          <w:spacing w:val="26"/>
          <w:w w:val="105"/>
        </w:rPr>
        <w:t> </w:t>
      </w:r>
      <w:r>
        <w:rPr>
          <w:color w:val="231F20"/>
          <w:w w:val="105"/>
        </w:rPr>
        <w:t>ma-</w:t>
      </w:r>
      <w:r>
        <w:rPr>
          <w:color w:val="231F20"/>
          <w:w w:val="72"/>
        </w:rPr>
        <w:t> </w:t>
      </w:r>
      <w:r>
        <w:rPr>
          <w:color w:val="231F20"/>
          <w:w w:val="105"/>
        </w:rPr>
        <w:t>nera</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misma</w:t>
      </w:r>
      <w:r>
        <w:rPr>
          <w:color w:val="231F20"/>
          <w:spacing w:val="26"/>
          <w:w w:val="105"/>
        </w:rPr>
        <w:t> </w:t>
      </w:r>
      <w:r>
        <w:rPr>
          <w:color w:val="231F20"/>
          <w:w w:val="105"/>
        </w:rPr>
        <w:t>no</w:t>
      </w:r>
      <w:r>
        <w:rPr>
          <w:color w:val="231F20"/>
          <w:spacing w:val="26"/>
          <w:w w:val="105"/>
        </w:rPr>
        <w:t> </w:t>
      </w:r>
      <w:r>
        <w:rPr>
          <w:color w:val="231F20"/>
          <w:w w:val="105"/>
        </w:rPr>
        <w:t>se</w:t>
      </w:r>
      <w:r>
        <w:rPr>
          <w:color w:val="231F20"/>
          <w:spacing w:val="26"/>
          <w:w w:val="105"/>
        </w:rPr>
        <w:t> </w:t>
      </w:r>
      <w:r>
        <w:rPr>
          <w:color w:val="231F20"/>
          <w:w w:val="105"/>
        </w:rPr>
        <w:t>restringe</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dimensión</w:t>
      </w:r>
      <w:r>
        <w:rPr>
          <w:color w:val="231F20"/>
          <w:spacing w:val="26"/>
          <w:w w:val="105"/>
        </w:rPr>
        <w:t> </w:t>
      </w:r>
      <w:r>
        <w:rPr>
          <w:color w:val="231F20"/>
          <w:w w:val="105"/>
        </w:rPr>
        <w:t>estratégico-militar.</w:t>
      </w:r>
      <w:r>
        <w:rPr>
          <w:color w:val="231F20"/>
          <w:w w:val="104"/>
        </w:rPr>
        <w:t> </w:t>
      </w:r>
      <w:r>
        <w:rPr>
          <w:color w:val="231F20"/>
          <w:w w:val="105"/>
        </w:rPr>
        <w:t>Obama</w:t>
      </w:r>
      <w:r>
        <w:rPr>
          <w:color w:val="231F20"/>
          <w:spacing w:val="43"/>
          <w:w w:val="105"/>
        </w:rPr>
        <w:t> </w:t>
      </w:r>
      <w:r>
        <w:rPr>
          <w:color w:val="231F20"/>
          <w:w w:val="105"/>
        </w:rPr>
        <w:t>se</w:t>
      </w:r>
      <w:r>
        <w:rPr>
          <w:color w:val="231F20"/>
          <w:spacing w:val="43"/>
          <w:w w:val="105"/>
        </w:rPr>
        <w:t> </w:t>
      </w:r>
      <w:r>
        <w:rPr>
          <w:color w:val="231F20"/>
          <w:w w:val="105"/>
        </w:rPr>
        <w:t>refiere</w:t>
      </w:r>
      <w:r>
        <w:rPr>
          <w:color w:val="231F20"/>
          <w:spacing w:val="43"/>
          <w:w w:val="105"/>
        </w:rPr>
        <w:t> </w:t>
      </w:r>
      <w:r>
        <w:rPr>
          <w:color w:val="231F20"/>
          <w:w w:val="105"/>
        </w:rPr>
        <w:t>a</w:t>
      </w:r>
      <w:r>
        <w:rPr>
          <w:color w:val="231F20"/>
          <w:spacing w:val="43"/>
          <w:w w:val="105"/>
        </w:rPr>
        <w:t> </w:t>
      </w:r>
      <w:r>
        <w:rPr>
          <w:color w:val="231F20"/>
          <w:w w:val="105"/>
        </w:rPr>
        <w:t>la</w:t>
      </w:r>
      <w:r>
        <w:rPr>
          <w:color w:val="231F20"/>
          <w:spacing w:val="43"/>
          <w:w w:val="105"/>
        </w:rPr>
        <w:t> </w:t>
      </w:r>
      <w:r>
        <w:rPr>
          <w:color w:val="231F20"/>
          <w:w w:val="105"/>
        </w:rPr>
        <w:t>globalización,</w:t>
      </w:r>
      <w:r>
        <w:rPr>
          <w:color w:val="231F20"/>
          <w:spacing w:val="43"/>
          <w:w w:val="105"/>
        </w:rPr>
        <w:t> </w:t>
      </w:r>
      <w:r>
        <w:rPr>
          <w:color w:val="231F20"/>
          <w:w w:val="105"/>
        </w:rPr>
        <w:t>por</w:t>
      </w:r>
      <w:r>
        <w:rPr>
          <w:color w:val="231F20"/>
          <w:spacing w:val="43"/>
          <w:w w:val="105"/>
        </w:rPr>
        <w:t> </w:t>
      </w:r>
      <w:r>
        <w:rPr>
          <w:color w:val="231F20"/>
          <w:w w:val="105"/>
        </w:rPr>
        <w:t>un</w:t>
      </w:r>
      <w:r>
        <w:rPr>
          <w:color w:val="231F20"/>
          <w:spacing w:val="43"/>
          <w:w w:val="105"/>
        </w:rPr>
        <w:t> </w:t>
      </w:r>
      <w:r>
        <w:rPr>
          <w:color w:val="231F20"/>
          <w:w w:val="105"/>
        </w:rPr>
        <w:t>lado,</w:t>
      </w:r>
      <w:r>
        <w:rPr>
          <w:color w:val="231F20"/>
          <w:spacing w:val="43"/>
          <w:w w:val="105"/>
        </w:rPr>
        <w:t> </w:t>
      </w:r>
      <w:r>
        <w:rPr>
          <w:color w:val="231F20"/>
          <w:w w:val="105"/>
        </w:rPr>
        <w:t>como</w:t>
      </w:r>
      <w:r>
        <w:rPr>
          <w:color w:val="231F20"/>
          <w:spacing w:val="43"/>
          <w:w w:val="105"/>
        </w:rPr>
        <w:t> </w:t>
      </w:r>
      <w:r>
        <w:rPr>
          <w:color w:val="231F20"/>
          <w:w w:val="105"/>
        </w:rPr>
        <w:t>un</w:t>
      </w:r>
      <w:r>
        <w:rPr>
          <w:color w:val="231F20"/>
          <w:spacing w:val="43"/>
          <w:w w:val="105"/>
        </w:rPr>
        <w:t> </w:t>
      </w:r>
      <w:r>
        <w:rPr>
          <w:color w:val="231F20"/>
          <w:w w:val="105"/>
        </w:rPr>
        <w:t>algo</w:t>
      </w:r>
      <w:r>
        <w:rPr>
          <w:color w:val="231F20"/>
          <w:spacing w:val="2"/>
          <w:w w:val="106"/>
        </w:rPr>
        <w:t> </w:t>
      </w:r>
      <w:r>
        <w:rPr>
          <w:color w:val="231F20"/>
          <w:w w:val="105"/>
        </w:rPr>
        <w:t>que</w:t>
      </w:r>
      <w:r>
        <w:rPr>
          <w:color w:val="231F20"/>
          <w:spacing w:val="37"/>
          <w:w w:val="105"/>
        </w:rPr>
        <w:t> </w:t>
      </w:r>
      <w:r>
        <w:rPr>
          <w:color w:val="231F20"/>
          <w:w w:val="105"/>
        </w:rPr>
        <w:t>“ha</w:t>
      </w:r>
      <w:r>
        <w:rPr>
          <w:color w:val="231F20"/>
          <w:spacing w:val="37"/>
          <w:w w:val="105"/>
        </w:rPr>
        <w:t> </w:t>
      </w:r>
      <w:r>
        <w:rPr>
          <w:color w:val="231F20"/>
          <w:w w:val="105"/>
        </w:rPr>
        <w:t>abierto</w:t>
      </w:r>
      <w:r>
        <w:rPr>
          <w:color w:val="231F20"/>
          <w:spacing w:val="37"/>
          <w:w w:val="105"/>
        </w:rPr>
        <w:t> </w:t>
      </w:r>
      <w:r>
        <w:rPr>
          <w:color w:val="231F20"/>
          <w:w w:val="105"/>
        </w:rPr>
        <w:t>las</w:t>
      </w:r>
      <w:r>
        <w:rPr>
          <w:color w:val="231F20"/>
          <w:spacing w:val="37"/>
          <w:w w:val="105"/>
        </w:rPr>
        <w:t> </w:t>
      </w:r>
      <w:r>
        <w:rPr>
          <w:color w:val="231F20"/>
          <w:w w:val="105"/>
        </w:rPr>
        <w:t>puertas</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oportunidades</w:t>
      </w:r>
      <w:r>
        <w:rPr>
          <w:color w:val="231F20"/>
          <w:spacing w:val="37"/>
          <w:w w:val="105"/>
        </w:rPr>
        <w:t> </w:t>
      </w:r>
      <w:r>
        <w:rPr>
          <w:color w:val="231F20"/>
          <w:w w:val="105"/>
        </w:rPr>
        <w:t>en</w:t>
      </w:r>
      <w:r>
        <w:rPr>
          <w:color w:val="231F20"/>
          <w:spacing w:val="37"/>
          <w:w w:val="105"/>
        </w:rPr>
        <w:t> </w:t>
      </w:r>
      <w:r>
        <w:rPr>
          <w:color w:val="231F20"/>
          <w:w w:val="105"/>
        </w:rPr>
        <w:t>todo</w:t>
      </w:r>
      <w:r>
        <w:rPr>
          <w:color w:val="231F20"/>
          <w:spacing w:val="37"/>
          <w:w w:val="105"/>
        </w:rPr>
        <w:t> </w:t>
      </w:r>
      <w:r>
        <w:rPr>
          <w:color w:val="231F20"/>
          <w:w w:val="105"/>
        </w:rPr>
        <w:t>el</w:t>
      </w:r>
      <w:r>
        <w:rPr>
          <w:color w:val="231F20"/>
          <w:spacing w:val="37"/>
          <w:w w:val="105"/>
        </w:rPr>
        <w:t> </w:t>
      </w:r>
      <w:r>
        <w:rPr>
          <w:color w:val="231F20"/>
          <w:spacing w:val="2"/>
          <w:w w:val="105"/>
        </w:rPr>
        <w:t>mundo,</w:t>
      </w:r>
      <w:r>
        <w:rPr>
          <w:color w:val="231F20"/>
          <w:spacing w:val="2"/>
          <w:w w:val="113"/>
        </w:rPr>
        <w:t> </w:t>
      </w:r>
      <w:r>
        <w:rPr>
          <w:color w:val="231F20"/>
          <w:w w:val="105"/>
        </w:rPr>
        <w:t>ampliado</w:t>
      </w:r>
      <w:r>
        <w:rPr>
          <w:color w:val="231F20"/>
          <w:spacing w:val="42"/>
          <w:w w:val="105"/>
        </w:rPr>
        <w:t> </w:t>
      </w:r>
      <w:r>
        <w:rPr>
          <w:color w:val="231F20"/>
          <w:w w:val="105"/>
        </w:rPr>
        <w:t>la</w:t>
      </w:r>
      <w:r>
        <w:rPr>
          <w:color w:val="231F20"/>
          <w:spacing w:val="42"/>
          <w:w w:val="105"/>
        </w:rPr>
        <w:t> </w:t>
      </w:r>
      <w:r>
        <w:rPr>
          <w:color w:val="231F20"/>
          <w:w w:val="105"/>
        </w:rPr>
        <w:t>democracia</w:t>
      </w:r>
      <w:r>
        <w:rPr>
          <w:color w:val="231F20"/>
          <w:spacing w:val="42"/>
          <w:w w:val="105"/>
        </w:rPr>
        <w:t> </w:t>
      </w:r>
      <w:r>
        <w:rPr>
          <w:color w:val="231F20"/>
          <w:w w:val="105"/>
        </w:rPr>
        <w:t>a</w:t>
      </w:r>
      <w:r>
        <w:rPr>
          <w:color w:val="231F20"/>
          <w:spacing w:val="42"/>
          <w:w w:val="105"/>
        </w:rPr>
        <w:t> </w:t>
      </w:r>
      <w:r>
        <w:rPr>
          <w:color w:val="231F20"/>
          <w:w w:val="105"/>
        </w:rPr>
        <w:t>cientos</w:t>
      </w:r>
      <w:r>
        <w:rPr>
          <w:color w:val="231F20"/>
          <w:spacing w:val="42"/>
          <w:w w:val="105"/>
        </w:rPr>
        <w:t> </w:t>
      </w:r>
      <w:r>
        <w:rPr>
          <w:color w:val="231F20"/>
          <w:w w:val="105"/>
        </w:rPr>
        <w:t>de</w:t>
      </w:r>
      <w:r>
        <w:rPr>
          <w:color w:val="231F20"/>
          <w:spacing w:val="42"/>
          <w:w w:val="105"/>
        </w:rPr>
        <w:t> </w:t>
      </w:r>
      <w:r>
        <w:rPr>
          <w:color w:val="231F20"/>
          <w:w w:val="105"/>
        </w:rPr>
        <w:t>millones</w:t>
      </w:r>
      <w:r>
        <w:rPr>
          <w:color w:val="231F20"/>
          <w:spacing w:val="42"/>
          <w:w w:val="105"/>
        </w:rPr>
        <w:t> </w:t>
      </w:r>
      <w:r>
        <w:rPr>
          <w:color w:val="231F20"/>
          <w:w w:val="105"/>
        </w:rPr>
        <w:t>de</w:t>
      </w:r>
      <w:r>
        <w:rPr>
          <w:color w:val="231F20"/>
          <w:spacing w:val="42"/>
          <w:w w:val="105"/>
        </w:rPr>
        <w:t> </w:t>
      </w:r>
      <w:r>
        <w:rPr>
          <w:color w:val="231F20"/>
          <w:w w:val="105"/>
        </w:rPr>
        <w:t>personas</w:t>
      </w:r>
      <w:r>
        <w:rPr>
          <w:color w:val="231F20"/>
          <w:spacing w:val="42"/>
          <w:w w:val="105"/>
        </w:rPr>
        <w:t> </w:t>
      </w:r>
      <w:r>
        <w:rPr>
          <w:color w:val="231F20"/>
          <w:w w:val="105"/>
        </w:rPr>
        <w:t>y</w:t>
      </w:r>
      <w:r>
        <w:rPr>
          <w:color w:val="231F20"/>
          <w:spacing w:val="42"/>
          <w:w w:val="105"/>
        </w:rPr>
        <w:t> </w:t>
      </w:r>
      <w:r>
        <w:rPr>
          <w:color w:val="231F20"/>
          <w:w w:val="105"/>
        </w:rPr>
        <w:t>hecho</w:t>
      </w:r>
      <w:r>
        <w:rPr>
          <w:color w:val="231F20"/>
          <w:spacing w:val="2"/>
          <w:w w:val="113"/>
        </w:rPr>
        <w:t> </w:t>
      </w:r>
      <w:r>
        <w:rPr>
          <w:color w:val="231F20"/>
          <w:w w:val="105"/>
        </w:rPr>
        <w:t>posible la paz entre las  principales  potencias”,  en  tanto </w:t>
      </w:r>
      <w:r>
        <w:rPr>
          <w:color w:val="231F20"/>
          <w:spacing w:val="6"/>
          <w:w w:val="105"/>
        </w:rPr>
        <w:t> </w:t>
      </w:r>
      <w:r>
        <w:rPr>
          <w:color w:val="231F20"/>
          <w:w w:val="105"/>
        </w:rPr>
        <w:t>que, </w:t>
      </w:r>
      <w:r>
        <w:rPr>
          <w:color w:val="231F20"/>
          <w:spacing w:val="12"/>
          <w:w w:val="105"/>
        </w:rPr>
        <w:t> </w:t>
      </w:r>
      <w:r>
        <w:rPr>
          <w:color w:val="231F20"/>
          <w:spacing w:val="2"/>
          <w:w w:val="105"/>
        </w:rPr>
        <w:t>por</w:t>
      </w:r>
      <w:r>
        <w:rPr>
          <w:color w:val="231F20"/>
          <w:spacing w:val="2"/>
          <w:w w:val="115"/>
        </w:rPr>
        <w:t> </w:t>
      </w:r>
      <w:r>
        <w:rPr>
          <w:color w:val="231F20"/>
          <w:w w:val="105"/>
        </w:rPr>
        <w:t>otro</w:t>
      </w:r>
      <w:r>
        <w:rPr>
          <w:color w:val="231F20"/>
          <w:spacing w:val="39"/>
          <w:w w:val="105"/>
        </w:rPr>
        <w:t> </w:t>
      </w:r>
      <w:r>
        <w:rPr>
          <w:color w:val="231F20"/>
          <w:w w:val="105"/>
        </w:rPr>
        <w:t>lado,</w:t>
      </w:r>
      <w:r>
        <w:rPr>
          <w:color w:val="231F20"/>
          <w:spacing w:val="39"/>
          <w:w w:val="105"/>
        </w:rPr>
        <w:t> </w:t>
      </w:r>
      <w:r>
        <w:rPr>
          <w:color w:val="231F20"/>
          <w:w w:val="105"/>
        </w:rPr>
        <w:t>señala</w:t>
      </w:r>
      <w:r>
        <w:rPr>
          <w:color w:val="231F20"/>
          <w:spacing w:val="39"/>
          <w:w w:val="105"/>
        </w:rPr>
        <w:t> </w:t>
      </w:r>
      <w:r>
        <w:rPr>
          <w:color w:val="231F20"/>
          <w:w w:val="105"/>
        </w:rPr>
        <w:t>que</w:t>
      </w:r>
      <w:r>
        <w:rPr>
          <w:color w:val="231F20"/>
          <w:spacing w:val="39"/>
          <w:w w:val="105"/>
        </w:rPr>
        <w:t> </w:t>
      </w:r>
      <w:r>
        <w:rPr>
          <w:color w:val="231F20"/>
          <w:w w:val="105"/>
        </w:rPr>
        <w:t>“la</w:t>
      </w:r>
      <w:r>
        <w:rPr>
          <w:color w:val="231F20"/>
          <w:spacing w:val="39"/>
          <w:w w:val="105"/>
        </w:rPr>
        <w:t> </w:t>
      </w:r>
      <w:r>
        <w:rPr>
          <w:color w:val="231F20"/>
          <w:w w:val="105"/>
        </w:rPr>
        <w:t>globalización</w:t>
      </w:r>
      <w:r>
        <w:rPr>
          <w:color w:val="231F20"/>
          <w:spacing w:val="39"/>
          <w:w w:val="105"/>
        </w:rPr>
        <w:t> </w:t>
      </w:r>
      <w:r>
        <w:rPr>
          <w:color w:val="231F20"/>
          <w:w w:val="105"/>
        </w:rPr>
        <w:t>también</w:t>
      </w:r>
      <w:r>
        <w:rPr>
          <w:color w:val="231F20"/>
          <w:spacing w:val="39"/>
          <w:w w:val="105"/>
        </w:rPr>
        <w:t> </w:t>
      </w:r>
      <w:r>
        <w:rPr>
          <w:color w:val="231F20"/>
          <w:w w:val="105"/>
        </w:rPr>
        <w:t>ha</w:t>
      </w:r>
      <w:r>
        <w:rPr>
          <w:color w:val="231F20"/>
          <w:spacing w:val="39"/>
          <w:w w:val="105"/>
        </w:rPr>
        <w:t> </w:t>
      </w:r>
      <w:r>
        <w:rPr>
          <w:color w:val="231F20"/>
          <w:w w:val="105"/>
        </w:rPr>
        <w:t>intensificado</w:t>
      </w:r>
      <w:r>
        <w:rPr>
          <w:color w:val="231F20"/>
          <w:spacing w:val="39"/>
          <w:w w:val="105"/>
        </w:rPr>
        <w:t> </w:t>
      </w:r>
      <w:r>
        <w:rPr>
          <w:color w:val="231F20"/>
          <w:spacing w:val="2"/>
          <w:w w:val="105"/>
        </w:rPr>
        <w:t>los</w:t>
      </w:r>
      <w:r>
        <w:rPr>
          <w:color w:val="231F20"/>
          <w:spacing w:val="2"/>
          <w:w w:val="102"/>
        </w:rPr>
        <w:t> </w:t>
      </w:r>
      <w:r>
        <w:rPr>
          <w:color w:val="231F20"/>
          <w:w w:val="105"/>
        </w:rPr>
        <w:t>peligros que enfrentamos, desde el terrorismo internacional</w:t>
      </w:r>
      <w:r>
        <w:rPr>
          <w:color w:val="231F20"/>
          <w:spacing w:val="45"/>
          <w:w w:val="105"/>
        </w:rPr>
        <w:t> </w:t>
      </w:r>
      <w:r>
        <w:rPr>
          <w:color w:val="231F20"/>
          <w:w w:val="105"/>
        </w:rPr>
        <w:t>y</w:t>
      </w:r>
      <w:r>
        <w:rPr>
          <w:color w:val="231F20"/>
          <w:spacing w:val="29"/>
          <w:w w:val="105"/>
        </w:rPr>
        <w:t> </w:t>
      </w:r>
      <w:r>
        <w:rPr>
          <w:color w:val="231F20"/>
          <w:w w:val="105"/>
        </w:rPr>
        <w:t>la</w:t>
      </w:r>
      <w:r>
        <w:rPr>
          <w:color w:val="231F20"/>
          <w:spacing w:val="2"/>
          <w:w w:val="105"/>
        </w:rPr>
        <w:t> </w:t>
      </w:r>
      <w:r>
        <w:rPr>
          <w:color w:val="231F20"/>
          <w:w w:val="105"/>
        </w:rPr>
        <w:t>propagación  de  tecnologías  mortíferas,  a  los  desórdenes  </w:t>
      </w:r>
      <w:r>
        <w:rPr>
          <w:color w:val="231F20"/>
          <w:spacing w:val="33"/>
          <w:w w:val="105"/>
        </w:rPr>
        <w:t> </w:t>
      </w:r>
      <w:r>
        <w:rPr>
          <w:color w:val="231F20"/>
          <w:w w:val="105"/>
        </w:rPr>
        <w:t>económi-</w:t>
      </w:r>
    </w:p>
    <w:p>
      <w:pPr>
        <w:pStyle w:val="BodyText"/>
        <w:ind w:left="100"/>
        <w:jc w:val="both"/>
      </w:pPr>
      <w:r>
        <w:rPr>
          <w:color w:val="231F20"/>
          <w:w w:val="105"/>
        </w:rPr>
        <w:t>cos y el cambio   climático”.</w:t>
      </w:r>
    </w:p>
    <w:p>
      <w:pPr>
        <w:pStyle w:val="BodyText"/>
        <w:spacing w:line="261" w:lineRule="auto" w:before="20"/>
        <w:ind w:left="100" w:right="119" w:firstLine="240"/>
        <w:jc w:val="both"/>
      </w:pPr>
      <w:r>
        <w:rPr>
          <w:color w:val="231F20"/>
        </w:rPr>
        <w:t>El presidente subraya la importancia de  empezar  la  estrategia haciendo crecer la economía doméstica y reduciendo el déficit, convocando a mejorar la educación de los niños, a impulsar más la investigación científica y al deber de  desarrollar  una  energía  limpia  “que pueda impulsar nuevas industrias, desatarnos del petróleo ex-  tranjero  y  preservar  nuestro  planeta”,  haciendo  referencia  también  a  la  importancia  de  la  reforma  del  sistema  de  salud.  Y  esto  es </w:t>
      </w:r>
      <w:r>
        <w:rPr>
          <w:color w:val="231F20"/>
          <w:spacing w:val="40"/>
        </w:rPr>
        <w:t> </w:t>
      </w:r>
      <w:r>
        <w:rPr>
          <w:color w:val="231F20"/>
        </w:rPr>
        <w:t>porque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para Obama —según lo enunciado en el documento— el reconoci- miento de la fuerza e influencia de Estados Unidos en el extranjero, su liderazgo, comienza con los pasos que se den al interior del país. Deben</w:t>
      </w:r>
      <w:r>
        <w:rPr>
          <w:color w:val="231F20"/>
          <w:spacing w:val="-11"/>
          <w:w w:val="110"/>
        </w:rPr>
        <w:t> </w:t>
      </w:r>
      <w:r>
        <w:rPr>
          <w:color w:val="231F20"/>
          <w:w w:val="110"/>
        </w:rPr>
        <w:t>ponerse</w:t>
      </w:r>
      <w:r>
        <w:rPr>
          <w:color w:val="231F20"/>
          <w:spacing w:val="-11"/>
          <w:w w:val="110"/>
        </w:rPr>
        <w:t> </w:t>
      </w:r>
      <w:r>
        <w:rPr>
          <w:color w:val="231F20"/>
          <w:w w:val="110"/>
        </w:rPr>
        <w:t>“nuevos</w:t>
      </w:r>
      <w:r>
        <w:rPr>
          <w:color w:val="231F20"/>
          <w:spacing w:val="-11"/>
          <w:w w:val="110"/>
        </w:rPr>
        <w:t> </w:t>
      </w:r>
      <w:r>
        <w:rPr>
          <w:color w:val="231F20"/>
          <w:w w:val="110"/>
        </w:rPr>
        <w:t>cimientos”.</w:t>
      </w:r>
      <w:r>
        <w:rPr>
          <w:color w:val="231F20"/>
          <w:spacing w:val="-11"/>
          <w:w w:val="110"/>
        </w:rPr>
        <w:t> </w:t>
      </w:r>
      <w:r>
        <w:rPr>
          <w:color w:val="231F20"/>
          <w:w w:val="110"/>
        </w:rPr>
        <w:t>Sólo</w:t>
      </w:r>
      <w:r>
        <w:rPr>
          <w:color w:val="231F20"/>
          <w:spacing w:val="-11"/>
          <w:w w:val="110"/>
        </w:rPr>
        <w:t> </w:t>
      </w:r>
      <w:r>
        <w:rPr>
          <w:color w:val="231F20"/>
          <w:w w:val="110"/>
        </w:rPr>
        <w:t>así</w:t>
      </w:r>
      <w:r>
        <w:rPr>
          <w:color w:val="231F20"/>
          <w:spacing w:val="-11"/>
          <w:w w:val="110"/>
        </w:rPr>
        <w:t> </w:t>
      </w:r>
      <w:r>
        <w:rPr>
          <w:color w:val="231F20"/>
          <w:w w:val="110"/>
        </w:rPr>
        <w:t>es</w:t>
      </w:r>
      <w:r>
        <w:rPr>
          <w:color w:val="231F20"/>
          <w:spacing w:val="-11"/>
          <w:w w:val="110"/>
        </w:rPr>
        <w:t> </w:t>
      </w:r>
      <w:r>
        <w:rPr>
          <w:color w:val="231F20"/>
          <w:w w:val="110"/>
        </w:rPr>
        <w:t>que</w:t>
      </w:r>
      <w:r>
        <w:rPr>
          <w:color w:val="231F20"/>
          <w:spacing w:val="-11"/>
          <w:w w:val="110"/>
        </w:rPr>
        <w:t> </w:t>
      </w:r>
      <w:r>
        <w:rPr>
          <w:color w:val="231F20"/>
          <w:w w:val="110"/>
        </w:rPr>
        <w:t>podrán</w:t>
      </w:r>
      <w:r>
        <w:rPr>
          <w:color w:val="231F20"/>
          <w:spacing w:val="-11"/>
          <w:w w:val="110"/>
        </w:rPr>
        <w:t> </w:t>
      </w:r>
      <w:r>
        <w:rPr>
          <w:color w:val="231F20"/>
          <w:w w:val="110"/>
        </w:rPr>
        <w:t>impulsar- se</w:t>
      </w:r>
      <w:r>
        <w:rPr>
          <w:color w:val="231F20"/>
          <w:spacing w:val="-19"/>
          <w:w w:val="110"/>
        </w:rPr>
        <w:t> </w:t>
      </w:r>
      <w:r>
        <w:rPr>
          <w:color w:val="231F20"/>
          <w:w w:val="110"/>
        </w:rPr>
        <w:t>con</w:t>
      </w:r>
      <w:r>
        <w:rPr>
          <w:color w:val="231F20"/>
          <w:spacing w:val="-19"/>
          <w:w w:val="110"/>
        </w:rPr>
        <w:t> </w:t>
      </w:r>
      <w:r>
        <w:rPr>
          <w:color w:val="231F20"/>
          <w:w w:val="110"/>
        </w:rPr>
        <w:t>más</w:t>
      </w:r>
      <w:r>
        <w:rPr>
          <w:color w:val="231F20"/>
          <w:spacing w:val="-19"/>
          <w:w w:val="110"/>
        </w:rPr>
        <w:t> </w:t>
      </w:r>
      <w:r>
        <w:rPr>
          <w:color w:val="231F20"/>
          <w:w w:val="110"/>
        </w:rPr>
        <w:t>efectividad</w:t>
      </w:r>
      <w:r>
        <w:rPr>
          <w:color w:val="231F20"/>
          <w:spacing w:val="-19"/>
          <w:w w:val="110"/>
        </w:rPr>
        <w:t> </w:t>
      </w:r>
      <w:r>
        <w:rPr>
          <w:color w:val="231F20"/>
          <w:w w:val="110"/>
        </w:rPr>
        <w:t>los</w:t>
      </w:r>
      <w:r>
        <w:rPr>
          <w:color w:val="231F20"/>
          <w:spacing w:val="-19"/>
          <w:w w:val="110"/>
        </w:rPr>
        <w:t> </w:t>
      </w:r>
      <w:r>
        <w:rPr>
          <w:color w:val="231F20"/>
          <w:w w:val="110"/>
        </w:rPr>
        <w:t>intereses</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De</w:t>
      </w:r>
      <w:r>
        <w:rPr>
          <w:color w:val="231F20"/>
          <w:spacing w:val="-19"/>
          <w:w w:val="110"/>
        </w:rPr>
        <w:t> </w:t>
      </w:r>
      <w:r>
        <w:rPr>
          <w:color w:val="231F20"/>
          <w:w w:val="110"/>
        </w:rPr>
        <w:t>este</w:t>
      </w:r>
      <w:r>
        <w:rPr>
          <w:color w:val="231F20"/>
          <w:spacing w:val="-19"/>
          <w:w w:val="110"/>
        </w:rPr>
        <w:t> </w:t>
      </w:r>
      <w:r>
        <w:rPr>
          <w:color w:val="231F20"/>
          <w:w w:val="110"/>
        </w:rPr>
        <w:t>modo, persiste la mirada que vincula orgánicamente la seguridad nacional (tanto en su versión tradicional como en la novedosa) con la seguri- dad</w:t>
      </w:r>
      <w:r>
        <w:rPr>
          <w:color w:val="231F20"/>
          <w:spacing w:val="-13"/>
          <w:w w:val="110"/>
        </w:rPr>
        <w:t> </w:t>
      </w:r>
      <w:r>
        <w:rPr>
          <w:color w:val="231F20"/>
          <w:w w:val="110"/>
        </w:rPr>
        <w:t>interna</w:t>
      </w:r>
      <w:r>
        <w:rPr>
          <w:color w:val="231F20"/>
          <w:spacing w:val="-13"/>
          <w:w w:val="110"/>
        </w:rPr>
        <w:t> </w:t>
      </w:r>
      <w:r>
        <w:rPr>
          <w:color w:val="231F20"/>
          <w:w w:val="110"/>
        </w:rPr>
        <w:t>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patria</w:t>
      </w:r>
      <w:r>
        <w:rPr>
          <w:color w:val="231F20"/>
          <w:spacing w:val="-13"/>
          <w:w w:val="110"/>
        </w:rPr>
        <w:t> </w:t>
      </w:r>
      <w:r>
        <w:rPr>
          <w:color w:val="231F20"/>
          <w:w w:val="110"/>
        </w:rPr>
        <w:t>(</w:t>
      </w:r>
      <w:r>
        <w:rPr>
          <w:i/>
          <w:color w:val="231F20"/>
          <w:w w:val="110"/>
        </w:rPr>
        <w:t>Homeland</w:t>
      </w:r>
      <w:r>
        <w:rPr>
          <w:i/>
          <w:color w:val="231F20"/>
          <w:spacing w:val="-13"/>
          <w:w w:val="110"/>
        </w:rPr>
        <w:t> </w:t>
      </w:r>
      <w:r>
        <w:rPr>
          <w:i/>
          <w:color w:val="231F20"/>
          <w:w w:val="110"/>
        </w:rPr>
        <w:t>Security)</w:t>
      </w:r>
      <w:r>
        <w:rPr>
          <w:color w:val="231F20"/>
          <w:w w:val="110"/>
        </w:rPr>
        <w:t>,</w:t>
      </w:r>
      <w:r>
        <w:rPr>
          <w:color w:val="231F20"/>
          <w:spacing w:val="-13"/>
          <w:w w:val="110"/>
        </w:rPr>
        <w:t> </w:t>
      </w:r>
      <w:r>
        <w:rPr>
          <w:color w:val="231F20"/>
          <w:w w:val="110"/>
        </w:rPr>
        <w:t>según</w:t>
      </w:r>
      <w:r>
        <w:rPr>
          <w:color w:val="231F20"/>
          <w:spacing w:val="-13"/>
          <w:w w:val="110"/>
        </w:rPr>
        <w:t> </w:t>
      </w:r>
      <w:r>
        <w:rPr>
          <w:color w:val="231F20"/>
          <w:w w:val="110"/>
        </w:rPr>
        <w:t>las</w:t>
      </w:r>
      <w:r>
        <w:rPr>
          <w:color w:val="231F20"/>
          <w:spacing w:val="-13"/>
          <w:w w:val="110"/>
        </w:rPr>
        <w:t> </w:t>
      </w:r>
      <w:r>
        <w:rPr>
          <w:color w:val="231F20"/>
          <w:w w:val="110"/>
        </w:rPr>
        <w:t>definiciones impuestas por el 11 de</w:t>
      </w:r>
      <w:r>
        <w:rPr>
          <w:color w:val="231F20"/>
          <w:spacing w:val="46"/>
          <w:w w:val="110"/>
        </w:rPr>
        <w:t> </w:t>
      </w:r>
      <w:r>
        <w:rPr>
          <w:color w:val="231F20"/>
          <w:w w:val="110"/>
        </w:rPr>
        <w:t>septiembre.</w:t>
      </w:r>
    </w:p>
    <w:p>
      <w:pPr>
        <w:pStyle w:val="BodyText"/>
        <w:spacing w:line="261" w:lineRule="auto"/>
        <w:ind w:left="100" w:right="116" w:firstLine="240"/>
        <w:jc w:val="right"/>
      </w:pPr>
      <w:r>
        <w:rPr>
          <w:color w:val="231F20"/>
          <w:w w:val="110"/>
        </w:rPr>
        <w:t>Si</w:t>
      </w:r>
      <w:r>
        <w:rPr>
          <w:color w:val="231F20"/>
          <w:spacing w:val="-27"/>
          <w:w w:val="110"/>
        </w:rPr>
        <w:t> </w:t>
      </w:r>
      <w:r>
        <w:rPr>
          <w:color w:val="231F20"/>
          <w:w w:val="110"/>
        </w:rPr>
        <w:t>bien</w:t>
      </w:r>
      <w:r>
        <w:rPr>
          <w:color w:val="231F20"/>
          <w:spacing w:val="-27"/>
          <w:w w:val="110"/>
        </w:rPr>
        <w:t> </w:t>
      </w:r>
      <w:r>
        <w:rPr>
          <w:color w:val="231F20"/>
          <w:w w:val="110"/>
        </w:rPr>
        <w:t>en</w:t>
      </w:r>
      <w:r>
        <w:rPr>
          <w:color w:val="231F20"/>
          <w:spacing w:val="-27"/>
          <w:w w:val="110"/>
        </w:rPr>
        <w:t> </w:t>
      </w:r>
      <w:r>
        <w:rPr>
          <w:color w:val="231F20"/>
          <w:w w:val="110"/>
        </w:rPr>
        <w:t>estrategias</w:t>
      </w:r>
      <w:r>
        <w:rPr>
          <w:color w:val="231F20"/>
          <w:spacing w:val="-27"/>
          <w:w w:val="110"/>
        </w:rPr>
        <w:t> </w:t>
      </w:r>
      <w:r>
        <w:rPr>
          <w:color w:val="231F20"/>
          <w:w w:val="110"/>
        </w:rPr>
        <w:t>lanzadas</w:t>
      </w:r>
      <w:r>
        <w:rPr>
          <w:color w:val="231F20"/>
          <w:spacing w:val="-27"/>
          <w:w w:val="110"/>
        </w:rPr>
        <w:t> </w:t>
      </w:r>
      <w:r>
        <w:rPr>
          <w:color w:val="231F20"/>
          <w:w w:val="110"/>
        </w:rPr>
        <w:t>por</w:t>
      </w:r>
      <w:r>
        <w:rPr>
          <w:color w:val="231F20"/>
          <w:spacing w:val="-27"/>
          <w:w w:val="110"/>
        </w:rPr>
        <w:t> </w:t>
      </w:r>
      <w:r>
        <w:rPr>
          <w:color w:val="231F20"/>
          <w:w w:val="110"/>
        </w:rPr>
        <w:t>administraciones</w:t>
      </w:r>
      <w:r>
        <w:rPr>
          <w:color w:val="231F20"/>
          <w:spacing w:val="-27"/>
          <w:w w:val="110"/>
        </w:rPr>
        <w:t> </w:t>
      </w:r>
      <w:r>
        <w:rPr>
          <w:color w:val="231F20"/>
          <w:w w:val="110"/>
        </w:rPr>
        <w:t>anteriores</w:t>
      </w:r>
      <w:r>
        <w:rPr>
          <w:color w:val="231F20"/>
          <w:spacing w:val="-27"/>
          <w:w w:val="110"/>
        </w:rPr>
        <w:t> </w:t>
      </w:r>
      <w:r>
        <w:rPr>
          <w:color w:val="231F20"/>
          <w:w w:val="110"/>
        </w:rPr>
        <w:t>ya</w:t>
      </w:r>
      <w:r>
        <w:rPr>
          <w:color w:val="231F20"/>
          <w:spacing w:val="-27"/>
          <w:w w:val="110"/>
        </w:rPr>
        <w:t> </w:t>
      </w:r>
      <w:r>
        <w:rPr>
          <w:color w:val="231F20"/>
          <w:w w:val="110"/>
        </w:rPr>
        <w:t>se</w:t>
      </w:r>
      <w:r>
        <w:rPr>
          <w:color w:val="231F20"/>
          <w:spacing w:val="-2"/>
          <w:w w:val="103"/>
        </w:rPr>
        <w:t> </w:t>
      </w:r>
      <w:r>
        <w:rPr>
          <w:color w:val="231F20"/>
          <w:w w:val="110"/>
        </w:rPr>
        <w:t>señalaba</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crisis</w:t>
      </w:r>
      <w:r>
        <w:rPr>
          <w:color w:val="231F20"/>
          <w:spacing w:val="-24"/>
          <w:w w:val="110"/>
        </w:rPr>
        <w:t> </w:t>
      </w:r>
      <w:r>
        <w:rPr>
          <w:color w:val="231F20"/>
          <w:w w:val="110"/>
        </w:rPr>
        <w:t>económica</w:t>
      </w:r>
      <w:r>
        <w:rPr>
          <w:color w:val="231F20"/>
          <w:spacing w:val="-24"/>
          <w:w w:val="110"/>
        </w:rPr>
        <w:t> </w:t>
      </w:r>
      <w:r>
        <w:rPr>
          <w:color w:val="231F20"/>
          <w:w w:val="110"/>
        </w:rPr>
        <w:t>como</w:t>
      </w:r>
      <w:r>
        <w:rPr>
          <w:color w:val="231F20"/>
          <w:spacing w:val="-24"/>
          <w:w w:val="110"/>
        </w:rPr>
        <w:t> </w:t>
      </w:r>
      <w:r>
        <w:rPr>
          <w:color w:val="231F20"/>
          <w:w w:val="110"/>
        </w:rPr>
        <w:t>un</w:t>
      </w:r>
      <w:r>
        <w:rPr>
          <w:color w:val="231F20"/>
          <w:spacing w:val="-24"/>
          <w:w w:val="110"/>
        </w:rPr>
        <w:t> </w:t>
      </w:r>
      <w:r>
        <w:rPr>
          <w:color w:val="231F20"/>
          <w:w w:val="110"/>
        </w:rPr>
        <w:t>factor</w:t>
      </w:r>
      <w:r>
        <w:rPr>
          <w:color w:val="231F20"/>
          <w:spacing w:val="-24"/>
          <w:w w:val="110"/>
        </w:rPr>
        <w:t> </w:t>
      </w:r>
      <w:r>
        <w:rPr>
          <w:color w:val="231F20"/>
          <w:w w:val="110"/>
        </w:rPr>
        <w:t>que</w:t>
      </w:r>
      <w:r>
        <w:rPr>
          <w:color w:val="231F20"/>
          <w:spacing w:val="-24"/>
          <w:w w:val="110"/>
        </w:rPr>
        <w:t> </w:t>
      </w:r>
      <w:r>
        <w:rPr>
          <w:color w:val="231F20"/>
          <w:w w:val="110"/>
        </w:rPr>
        <w:t>podía</w:t>
      </w:r>
      <w:r>
        <w:rPr>
          <w:color w:val="231F20"/>
          <w:spacing w:val="-24"/>
          <w:w w:val="110"/>
        </w:rPr>
        <w:t> </w:t>
      </w:r>
      <w:r>
        <w:rPr>
          <w:color w:val="231F20"/>
          <w:w w:val="110"/>
        </w:rPr>
        <w:t>convertirse</w:t>
      </w:r>
      <w:r>
        <w:rPr>
          <w:color w:val="231F20"/>
          <w:spacing w:val="-24"/>
          <w:w w:val="110"/>
        </w:rPr>
        <w:t> </w:t>
      </w:r>
      <w:r>
        <w:rPr>
          <w:color w:val="231F20"/>
          <w:w w:val="110"/>
        </w:rPr>
        <w:t>en</w:t>
      </w:r>
      <w:r>
        <w:rPr>
          <w:color w:val="231F20"/>
          <w:spacing w:val="-2"/>
          <w:w w:val="116"/>
        </w:rPr>
        <w:t> </w:t>
      </w:r>
      <w:r>
        <w:rPr>
          <w:color w:val="231F20"/>
          <w:w w:val="110"/>
        </w:rPr>
        <w:t>amenaza</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seguridad</w:t>
      </w:r>
      <w:r>
        <w:rPr>
          <w:color w:val="231F20"/>
          <w:spacing w:val="-20"/>
          <w:w w:val="110"/>
        </w:rPr>
        <w:t> </w:t>
      </w:r>
      <w:r>
        <w:rPr>
          <w:color w:val="231F20"/>
          <w:w w:val="110"/>
        </w:rPr>
        <w:t>nacional,</w:t>
      </w:r>
      <w:r>
        <w:rPr>
          <w:color w:val="231F20"/>
          <w:spacing w:val="-20"/>
          <w:w w:val="110"/>
        </w:rPr>
        <w:t> </w:t>
      </w:r>
      <w:r>
        <w:rPr>
          <w:color w:val="231F20"/>
          <w:w w:val="110"/>
        </w:rPr>
        <w:t>es</w:t>
      </w:r>
      <w:r>
        <w:rPr>
          <w:color w:val="231F20"/>
          <w:spacing w:val="-20"/>
          <w:w w:val="110"/>
        </w:rPr>
        <w:t> </w:t>
      </w:r>
      <w:r>
        <w:rPr>
          <w:color w:val="231F20"/>
          <w:w w:val="110"/>
        </w:rPr>
        <w:t>muy</w:t>
      </w:r>
      <w:r>
        <w:rPr>
          <w:color w:val="231F20"/>
          <w:spacing w:val="-20"/>
          <w:w w:val="110"/>
        </w:rPr>
        <w:t> </w:t>
      </w:r>
      <w:r>
        <w:rPr>
          <w:color w:val="231F20"/>
          <w:w w:val="110"/>
        </w:rPr>
        <w:t>llamativa</w:t>
      </w:r>
      <w:r>
        <w:rPr>
          <w:color w:val="231F20"/>
          <w:spacing w:val="-20"/>
          <w:w w:val="110"/>
        </w:rPr>
        <w:t> </w:t>
      </w:r>
      <w:r>
        <w:rPr>
          <w:color w:val="231F20"/>
          <w:w w:val="110"/>
        </w:rPr>
        <w:t>la</w:t>
      </w:r>
      <w:r>
        <w:rPr>
          <w:color w:val="231F20"/>
          <w:spacing w:val="-20"/>
          <w:w w:val="110"/>
        </w:rPr>
        <w:t> </w:t>
      </w:r>
      <w:r>
        <w:rPr>
          <w:color w:val="231F20"/>
          <w:w w:val="110"/>
        </w:rPr>
        <w:t>manera</w:t>
      </w:r>
      <w:r>
        <w:rPr>
          <w:color w:val="231F20"/>
          <w:spacing w:val="-20"/>
          <w:w w:val="110"/>
        </w:rPr>
        <w:t> </w:t>
      </w:r>
      <w:r>
        <w:rPr>
          <w:color w:val="231F20"/>
          <w:w w:val="110"/>
        </w:rPr>
        <w:t>en</w:t>
      </w:r>
      <w:r>
        <w:rPr>
          <w:color w:val="231F20"/>
          <w:spacing w:val="-20"/>
          <w:w w:val="110"/>
        </w:rPr>
        <w:t> </w:t>
      </w:r>
      <w:r>
        <w:rPr>
          <w:color w:val="231F20"/>
          <w:w w:val="110"/>
        </w:rPr>
        <w:t>que</w:t>
      </w:r>
      <w:r>
        <w:rPr>
          <w:color w:val="231F20"/>
          <w:spacing w:val="-20"/>
          <w:w w:val="110"/>
        </w:rPr>
        <w:t> </w:t>
      </w:r>
      <w:r>
        <w:rPr>
          <w:color w:val="231F20"/>
          <w:w w:val="110"/>
        </w:rPr>
        <w:t>el</w:t>
      </w:r>
      <w:r>
        <w:rPr>
          <w:color w:val="231F20"/>
          <w:spacing w:val="-2"/>
          <w:w w:val="108"/>
        </w:rPr>
        <w:t> </w:t>
      </w:r>
      <w:r>
        <w:rPr>
          <w:color w:val="231F20"/>
          <w:w w:val="110"/>
        </w:rPr>
        <w:t>documento</w:t>
      </w:r>
      <w:r>
        <w:rPr>
          <w:color w:val="231F20"/>
          <w:spacing w:val="-6"/>
          <w:w w:val="110"/>
        </w:rPr>
        <w:t> </w:t>
      </w:r>
      <w:r>
        <w:rPr>
          <w:color w:val="231F20"/>
          <w:w w:val="110"/>
        </w:rPr>
        <w:t>(referido</w:t>
      </w:r>
      <w:r>
        <w:rPr>
          <w:color w:val="231F20"/>
          <w:spacing w:val="-6"/>
          <w:w w:val="110"/>
        </w:rPr>
        <w:t> </w:t>
      </w:r>
      <w:r>
        <w:rPr>
          <w:color w:val="231F20"/>
          <w:w w:val="110"/>
        </w:rPr>
        <w:t>a</w:t>
      </w:r>
      <w:r>
        <w:rPr>
          <w:color w:val="231F20"/>
          <w:spacing w:val="-6"/>
          <w:w w:val="110"/>
        </w:rPr>
        <w:t> </w:t>
      </w:r>
      <w:r>
        <w:rPr>
          <w:color w:val="231F20"/>
          <w:w w:val="110"/>
        </w:rPr>
        <w:t>cuestiones</w:t>
      </w:r>
      <w:r>
        <w:rPr>
          <w:color w:val="231F20"/>
          <w:spacing w:val="-6"/>
          <w:w w:val="110"/>
        </w:rPr>
        <w:t> </w:t>
      </w:r>
      <w:r>
        <w:rPr>
          <w:color w:val="231F20"/>
          <w:w w:val="110"/>
        </w:rPr>
        <w:t>de</w:t>
      </w:r>
      <w:r>
        <w:rPr>
          <w:color w:val="231F20"/>
          <w:spacing w:val="-6"/>
          <w:w w:val="110"/>
        </w:rPr>
        <w:t> </w:t>
      </w:r>
      <w:r>
        <w:rPr>
          <w:color w:val="231F20"/>
          <w:w w:val="110"/>
        </w:rPr>
        <w:t>seguridad</w:t>
      </w:r>
      <w:r>
        <w:rPr>
          <w:color w:val="231F20"/>
          <w:spacing w:val="-6"/>
          <w:w w:val="110"/>
        </w:rPr>
        <w:t> </w:t>
      </w:r>
      <w:r>
        <w:rPr>
          <w:color w:val="231F20"/>
          <w:w w:val="110"/>
        </w:rPr>
        <w:t>nacional</w:t>
      </w:r>
      <w:r>
        <w:rPr>
          <w:color w:val="231F20"/>
          <w:spacing w:val="-6"/>
          <w:w w:val="110"/>
        </w:rPr>
        <w:t> </w:t>
      </w:r>
      <w:r>
        <w:rPr>
          <w:color w:val="231F20"/>
          <w:w w:val="110"/>
        </w:rPr>
        <w:t>y</w:t>
      </w:r>
      <w:r>
        <w:rPr>
          <w:color w:val="231F20"/>
          <w:spacing w:val="-6"/>
          <w:w w:val="110"/>
        </w:rPr>
        <w:t> </w:t>
      </w:r>
      <w:r>
        <w:rPr>
          <w:color w:val="231F20"/>
          <w:w w:val="110"/>
        </w:rPr>
        <w:t>al</w:t>
      </w:r>
      <w:r>
        <w:rPr>
          <w:color w:val="231F20"/>
          <w:spacing w:val="-6"/>
          <w:w w:val="110"/>
        </w:rPr>
        <w:t> </w:t>
      </w:r>
      <w:r>
        <w:rPr>
          <w:color w:val="231F20"/>
          <w:w w:val="110"/>
        </w:rPr>
        <w:t>enfoque</w:t>
      </w:r>
      <w:r>
        <w:rPr>
          <w:color w:val="231F20"/>
          <w:spacing w:val="-2"/>
          <w:w w:val="112"/>
        </w:rPr>
        <w:t> </w:t>
      </w:r>
      <w:r>
        <w:rPr>
          <w:color w:val="231F20"/>
          <w:w w:val="110"/>
        </w:rPr>
        <w:t>geopolítico de la nación) trata con tanta fuerza la</w:t>
      </w:r>
      <w:r>
        <w:rPr>
          <w:color w:val="231F20"/>
          <w:spacing w:val="27"/>
          <w:w w:val="110"/>
        </w:rPr>
        <w:t> </w:t>
      </w:r>
      <w:r>
        <w:rPr>
          <w:color w:val="231F20"/>
          <w:w w:val="110"/>
        </w:rPr>
        <w:t>necesidad</w:t>
      </w:r>
      <w:r>
        <w:rPr>
          <w:color w:val="231F20"/>
          <w:spacing w:val="15"/>
          <w:w w:val="110"/>
        </w:rPr>
        <w:t> </w:t>
      </w:r>
      <w:r>
        <w:rPr>
          <w:color w:val="231F20"/>
          <w:w w:val="110"/>
        </w:rPr>
        <w:t>(como</w:t>
      </w:r>
      <w:r>
        <w:rPr>
          <w:color w:val="231F20"/>
          <w:spacing w:val="-2"/>
          <w:w w:val="112"/>
        </w:rPr>
        <w:t> </w:t>
      </w:r>
      <w:r>
        <w:rPr>
          <w:color w:val="231F20"/>
          <w:w w:val="110"/>
        </w:rPr>
        <w:t>una prioridad) de fortalecer el sistema económico. “Evitar</w:t>
      </w:r>
      <w:r>
        <w:rPr>
          <w:color w:val="231F20"/>
          <w:spacing w:val="-13"/>
          <w:w w:val="110"/>
        </w:rPr>
        <w:t> </w:t>
      </w:r>
      <w:r>
        <w:rPr>
          <w:color w:val="231F20"/>
          <w:w w:val="110"/>
        </w:rPr>
        <w:t>otra</w:t>
      </w:r>
      <w:r>
        <w:rPr>
          <w:color w:val="231F20"/>
          <w:spacing w:val="-2"/>
          <w:w w:val="110"/>
        </w:rPr>
        <w:t> crisis</w:t>
      </w:r>
      <w:r>
        <w:rPr>
          <w:color w:val="231F20"/>
          <w:spacing w:val="-2"/>
          <w:w w:val="101"/>
        </w:rPr>
        <w:t> </w:t>
      </w:r>
      <w:r>
        <w:rPr>
          <w:color w:val="231F20"/>
          <w:w w:val="110"/>
        </w:rPr>
        <w:t>económica</w:t>
      </w:r>
      <w:r>
        <w:rPr>
          <w:color w:val="231F20"/>
          <w:spacing w:val="-7"/>
          <w:w w:val="110"/>
        </w:rPr>
        <w:t> </w:t>
      </w:r>
      <w:r>
        <w:rPr>
          <w:color w:val="231F20"/>
          <w:w w:val="110"/>
        </w:rPr>
        <w:t>generalizada”,</w:t>
      </w:r>
      <w:r>
        <w:rPr>
          <w:color w:val="231F20"/>
          <w:spacing w:val="-7"/>
          <w:w w:val="110"/>
        </w:rPr>
        <w:t> </w:t>
      </w:r>
      <w:r>
        <w:rPr>
          <w:color w:val="231F20"/>
          <w:w w:val="110"/>
        </w:rPr>
        <w:t>dando</w:t>
      </w:r>
      <w:r>
        <w:rPr>
          <w:color w:val="231F20"/>
          <w:spacing w:val="-7"/>
          <w:w w:val="110"/>
        </w:rPr>
        <w:t> </w:t>
      </w:r>
      <w:r>
        <w:rPr>
          <w:color w:val="231F20"/>
          <w:w w:val="110"/>
        </w:rPr>
        <w:t>pasos</w:t>
      </w:r>
      <w:r>
        <w:rPr>
          <w:color w:val="231F20"/>
          <w:spacing w:val="-7"/>
          <w:w w:val="110"/>
        </w:rPr>
        <w:t> </w:t>
      </w:r>
      <w:r>
        <w:rPr>
          <w:color w:val="231F20"/>
          <w:w w:val="110"/>
        </w:rPr>
        <w:t>locales</w:t>
      </w:r>
      <w:r>
        <w:rPr>
          <w:color w:val="231F20"/>
          <w:spacing w:val="-7"/>
          <w:w w:val="110"/>
        </w:rPr>
        <w:t> </w:t>
      </w:r>
      <w:r>
        <w:rPr>
          <w:color w:val="231F20"/>
          <w:w w:val="110"/>
        </w:rPr>
        <w:t>y</w:t>
      </w:r>
      <w:r>
        <w:rPr>
          <w:color w:val="231F20"/>
          <w:spacing w:val="-7"/>
          <w:w w:val="110"/>
        </w:rPr>
        <w:t> </w:t>
      </w:r>
      <w:r>
        <w:rPr>
          <w:color w:val="231F20"/>
          <w:w w:val="110"/>
        </w:rPr>
        <w:t>mundiales.</w:t>
      </w:r>
      <w:r>
        <w:rPr>
          <w:color w:val="231F20"/>
          <w:spacing w:val="-7"/>
          <w:w w:val="110"/>
        </w:rPr>
        <w:t> </w:t>
      </w:r>
      <w:r>
        <w:rPr>
          <w:color w:val="231F20"/>
          <w:w w:val="110"/>
        </w:rPr>
        <w:t>Es</w:t>
      </w:r>
      <w:r>
        <w:rPr>
          <w:color w:val="231F20"/>
          <w:spacing w:val="-7"/>
          <w:w w:val="110"/>
        </w:rPr>
        <w:t> </w:t>
      </w:r>
      <w:r>
        <w:rPr>
          <w:color w:val="231F20"/>
          <w:spacing w:val="-5"/>
          <w:w w:val="110"/>
        </w:rPr>
        <w:t>decir,</w:t>
      </w:r>
      <w:r>
        <w:rPr>
          <w:color w:val="231F20"/>
          <w:w w:val="104"/>
        </w:rPr>
        <w:t> </w:t>
      </w:r>
      <w:r>
        <w:rPr>
          <w:color w:val="231F20"/>
          <w:w w:val="110"/>
        </w:rPr>
        <w:t>un</w:t>
      </w:r>
      <w:r>
        <w:rPr>
          <w:color w:val="231F20"/>
          <w:spacing w:val="-18"/>
          <w:w w:val="110"/>
        </w:rPr>
        <w:t> </w:t>
      </w:r>
      <w:r>
        <w:rPr>
          <w:color w:val="231F20"/>
          <w:w w:val="110"/>
        </w:rPr>
        <w:t>impulso</w:t>
      </w:r>
      <w:r>
        <w:rPr>
          <w:color w:val="231F20"/>
          <w:spacing w:val="-18"/>
          <w:w w:val="110"/>
        </w:rPr>
        <w:t> </w:t>
      </w:r>
      <w:r>
        <w:rPr>
          <w:color w:val="231F20"/>
          <w:w w:val="110"/>
        </w:rPr>
        <w:t>equilibrado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economía</w:t>
      </w:r>
      <w:r>
        <w:rPr>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conllevaría</w:t>
      </w:r>
      <w:r>
        <w:rPr>
          <w:color w:val="231F20"/>
          <w:spacing w:val="-2"/>
          <w:w w:val="107"/>
        </w:rPr>
        <w:t> </w:t>
      </w:r>
      <w:r>
        <w:rPr>
          <w:color w:val="231F20"/>
          <w:w w:val="110"/>
        </w:rPr>
        <w:t>la</w:t>
      </w:r>
      <w:r>
        <w:rPr>
          <w:color w:val="231F20"/>
          <w:spacing w:val="-26"/>
          <w:w w:val="110"/>
        </w:rPr>
        <w:t> </w:t>
      </w:r>
      <w:r>
        <w:rPr>
          <w:color w:val="231F20"/>
          <w:w w:val="110"/>
        </w:rPr>
        <w:t>prosperidad</w:t>
      </w:r>
      <w:r>
        <w:rPr>
          <w:color w:val="231F20"/>
          <w:spacing w:val="-26"/>
          <w:w w:val="110"/>
        </w:rPr>
        <w:t> </w:t>
      </w:r>
      <w:r>
        <w:rPr>
          <w:color w:val="231F20"/>
          <w:w w:val="110"/>
        </w:rPr>
        <w:t>y</w:t>
      </w:r>
      <w:r>
        <w:rPr>
          <w:color w:val="231F20"/>
          <w:spacing w:val="-26"/>
          <w:w w:val="110"/>
        </w:rPr>
        <w:t> </w:t>
      </w:r>
      <w:r>
        <w:rPr>
          <w:color w:val="231F20"/>
          <w:w w:val="110"/>
        </w:rPr>
        <w:t>estabilidad</w:t>
      </w:r>
      <w:r>
        <w:rPr>
          <w:color w:val="231F20"/>
          <w:spacing w:val="-26"/>
          <w:w w:val="110"/>
        </w:rPr>
        <w:t> </w:t>
      </w:r>
      <w:r>
        <w:rPr>
          <w:color w:val="231F20"/>
          <w:w w:val="110"/>
        </w:rPr>
        <w:t>mundial.</w:t>
      </w:r>
      <w:r>
        <w:rPr>
          <w:color w:val="231F20"/>
          <w:spacing w:val="-26"/>
          <w:w w:val="110"/>
        </w:rPr>
        <w:t> </w:t>
      </w:r>
      <w:r>
        <w:rPr>
          <w:color w:val="231F20"/>
          <w:w w:val="110"/>
        </w:rPr>
        <w:t>Desde</w:t>
      </w:r>
      <w:r>
        <w:rPr>
          <w:color w:val="231F20"/>
          <w:spacing w:val="-26"/>
          <w:w w:val="110"/>
        </w:rPr>
        <w:t> </w:t>
      </w:r>
      <w:r>
        <w:rPr>
          <w:color w:val="231F20"/>
          <w:w w:val="110"/>
        </w:rPr>
        <w:t>esta</w:t>
      </w:r>
      <w:r>
        <w:rPr>
          <w:color w:val="231F20"/>
          <w:spacing w:val="-26"/>
          <w:w w:val="110"/>
        </w:rPr>
        <w:t> </w:t>
      </w:r>
      <w:r>
        <w:rPr>
          <w:color w:val="231F20"/>
          <w:w w:val="110"/>
        </w:rPr>
        <w:t>óptica,</w:t>
      </w:r>
      <w:r>
        <w:rPr>
          <w:color w:val="231F20"/>
          <w:spacing w:val="-26"/>
          <w:w w:val="110"/>
        </w:rPr>
        <w:t> </w:t>
      </w:r>
      <w:r>
        <w:rPr>
          <w:color w:val="231F20"/>
          <w:w w:val="110"/>
        </w:rPr>
        <w:t>resultarían</w:t>
      </w:r>
      <w:r>
        <w:rPr>
          <w:color w:val="231F20"/>
          <w:spacing w:val="-26"/>
          <w:w w:val="110"/>
        </w:rPr>
        <w:t> </w:t>
      </w:r>
      <w:r>
        <w:rPr>
          <w:color w:val="231F20"/>
          <w:w w:val="110"/>
        </w:rPr>
        <w:t>de-</w:t>
      </w:r>
      <w:r>
        <w:rPr>
          <w:color w:val="231F20"/>
          <w:w w:val="72"/>
        </w:rPr>
        <w:t> </w:t>
      </w:r>
      <w:r>
        <w:rPr>
          <w:color w:val="231F20"/>
          <w:w w:val="110"/>
        </w:rPr>
        <w:t>cisivos</w:t>
      </w:r>
      <w:r>
        <w:rPr>
          <w:color w:val="231F20"/>
          <w:spacing w:val="-26"/>
          <w:w w:val="110"/>
        </w:rPr>
        <w:t> </w:t>
      </w:r>
      <w:r>
        <w:rPr>
          <w:color w:val="231F20"/>
          <w:w w:val="110"/>
        </w:rPr>
        <w:t>aquí</w:t>
      </w:r>
      <w:r>
        <w:rPr>
          <w:color w:val="231F20"/>
          <w:spacing w:val="-26"/>
          <w:w w:val="110"/>
        </w:rPr>
        <w:t> </w:t>
      </w:r>
      <w:r>
        <w:rPr>
          <w:color w:val="231F20"/>
          <w:w w:val="110"/>
        </w:rPr>
        <w:t>los</w:t>
      </w:r>
      <w:r>
        <w:rPr>
          <w:color w:val="231F20"/>
          <w:spacing w:val="-26"/>
          <w:w w:val="110"/>
        </w:rPr>
        <w:t> </w:t>
      </w:r>
      <w:r>
        <w:rPr>
          <w:color w:val="231F20"/>
          <w:w w:val="110"/>
        </w:rPr>
        <w:t>acuerdos</w:t>
      </w:r>
      <w:r>
        <w:rPr>
          <w:color w:val="231F20"/>
          <w:spacing w:val="-26"/>
          <w:w w:val="110"/>
        </w:rPr>
        <w:t> </w:t>
      </w:r>
      <w:r>
        <w:rPr>
          <w:color w:val="231F20"/>
          <w:w w:val="110"/>
        </w:rPr>
        <w:t>bilaterales</w:t>
      </w:r>
      <w:r>
        <w:rPr>
          <w:color w:val="231F20"/>
          <w:spacing w:val="-26"/>
          <w:w w:val="110"/>
        </w:rPr>
        <w:t> </w:t>
      </w:r>
      <w:r>
        <w:rPr>
          <w:color w:val="231F20"/>
          <w:w w:val="110"/>
        </w:rPr>
        <w:t>y</w:t>
      </w:r>
      <w:r>
        <w:rPr>
          <w:color w:val="231F20"/>
          <w:spacing w:val="-26"/>
          <w:w w:val="110"/>
        </w:rPr>
        <w:t> </w:t>
      </w:r>
      <w:r>
        <w:rPr>
          <w:color w:val="231F20"/>
          <w:w w:val="110"/>
        </w:rPr>
        <w:t>multilaterales</w:t>
      </w:r>
      <w:r>
        <w:rPr>
          <w:color w:val="231F20"/>
          <w:spacing w:val="-26"/>
          <w:w w:val="110"/>
        </w:rPr>
        <w:t> </w:t>
      </w:r>
      <w:r>
        <w:rPr>
          <w:color w:val="231F20"/>
          <w:w w:val="110"/>
        </w:rPr>
        <w:t>de</w:t>
      </w:r>
      <w:r>
        <w:rPr>
          <w:color w:val="231F20"/>
          <w:spacing w:val="-26"/>
          <w:w w:val="110"/>
        </w:rPr>
        <w:t> </w:t>
      </w:r>
      <w:r>
        <w:rPr>
          <w:color w:val="231F20"/>
          <w:w w:val="110"/>
        </w:rPr>
        <w:t>libre</w:t>
      </w:r>
      <w:r>
        <w:rPr>
          <w:color w:val="231F20"/>
          <w:spacing w:val="-26"/>
          <w:w w:val="110"/>
        </w:rPr>
        <w:t> </w:t>
      </w:r>
      <w:r>
        <w:rPr>
          <w:color w:val="231F20"/>
          <w:w w:val="110"/>
        </w:rPr>
        <w:t>comercio.</w:t>
      </w:r>
      <w:r>
        <w:rPr>
          <w:color w:val="231F20"/>
          <w:spacing w:val="-2"/>
          <w:w w:val="109"/>
        </w:rPr>
        <w:t> </w:t>
      </w:r>
      <w:r>
        <w:rPr>
          <w:color w:val="231F20"/>
          <w:w w:val="110"/>
        </w:rPr>
        <w:t>En la estrategia se identifican una serie de amenazas</w:t>
      </w:r>
      <w:r>
        <w:rPr>
          <w:color w:val="231F20"/>
          <w:spacing w:val="14"/>
          <w:w w:val="110"/>
        </w:rPr>
        <w:t> </w:t>
      </w:r>
      <w:r>
        <w:rPr>
          <w:color w:val="231F20"/>
          <w:w w:val="110"/>
        </w:rPr>
        <w:t>—reales</w:t>
      </w:r>
      <w:r>
        <w:rPr>
          <w:color w:val="231F20"/>
          <w:spacing w:val="19"/>
          <w:w w:val="110"/>
        </w:rPr>
        <w:t> </w:t>
      </w:r>
      <w:r>
        <w:rPr>
          <w:color w:val="231F20"/>
          <w:w w:val="110"/>
        </w:rPr>
        <w:t>o</w:t>
      </w:r>
      <w:r>
        <w:rPr>
          <w:color w:val="231F20"/>
          <w:w w:val="112"/>
        </w:rPr>
        <w:t> </w:t>
      </w:r>
      <w:r>
        <w:rPr>
          <w:color w:val="231F20"/>
          <w:w w:val="110"/>
        </w:rPr>
        <w:t>potenciales—, a la seguridad. Para contrarrestarlas se</w:t>
      </w:r>
      <w:r>
        <w:rPr>
          <w:color w:val="231F20"/>
          <w:spacing w:val="36"/>
          <w:w w:val="110"/>
        </w:rPr>
        <w:t> </w:t>
      </w:r>
      <w:r>
        <w:rPr>
          <w:color w:val="231F20"/>
          <w:w w:val="110"/>
        </w:rPr>
        <w:t>propone</w:t>
      </w:r>
      <w:r>
        <w:rPr>
          <w:color w:val="231F20"/>
          <w:spacing w:val="13"/>
          <w:w w:val="110"/>
        </w:rPr>
        <w:t> </w:t>
      </w:r>
      <w:r>
        <w:rPr>
          <w:color w:val="231F20"/>
          <w:w w:val="110"/>
        </w:rPr>
        <w:t>que,</w:t>
      </w:r>
      <w:r>
        <w:rPr>
          <w:color w:val="231F20"/>
          <w:w w:val="112"/>
        </w:rPr>
        <w:t> </w:t>
      </w:r>
      <w:r>
        <w:rPr>
          <w:color w:val="231F20"/>
          <w:w w:val="110"/>
        </w:rPr>
        <w:t>además</w:t>
      </w:r>
      <w:r>
        <w:rPr>
          <w:color w:val="231F20"/>
          <w:spacing w:val="40"/>
          <w:w w:val="110"/>
        </w:rPr>
        <w:t> </w:t>
      </w:r>
      <w:r>
        <w:rPr>
          <w:color w:val="231F20"/>
          <w:w w:val="110"/>
        </w:rPr>
        <w:t>de</w:t>
      </w:r>
      <w:r>
        <w:rPr>
          <w:color w:val="231F20"/>
          <w:spacing w:val="40"/>
          <w:w w:val="110"/>
        </w:rPr>
        <w:t> </w:t>
      </w:r>
      <w:r>
        <w:rPr>
          <w:color w:val="231F20"/>
          <w:w w:val="110"/>
        </w:rPr>
        <w:t>atender</w:t>
      </w:r>
      <w:r>
        <w:rPr>
          <w:color w:val="231F20"/>
          <w:spacing w:val="40"/>
          <w:w w:val="110"/>
        </w:rPr>
        <w:t> </w:t>
      </w:r>
      <w:r>
        <w:rPr>
          <w:color w:val="231F20"/>
          <w:w w:val="110"/>
        </w:rPr>
        <w:t>al</w:t>
      </w:r>
      <w:r>
        <w:rPr>
          <w:color w:val="231F20"/>
          <w:spacing w:val="40"/>
          <w:w w:val="110"/>
        </w:rPr>
        <w:t> </w:t>
      </w:r>
      <w:r>
        <w:rPr>
          <w:color w:val="231F20"/>
          <w:w w:val="110"/>
        </w:rPr>
        <w:t>cambio</w:t>
      </w:r>
      <w:r>
        <w:rPr>
          <w:color w:val="231F20"/>
          <w:spacing w:val="40"/>
          <w:w w:val="110"/>
        </w:rPr>
        <w:t> </w:t>
      </w:r>
      <w:r>
        <w:rPr>
          <w:color w:val="231F20"/>
          <w:w w:val="110"/>
        </w:rPr>
        <w:t>climático,</w:t>
      </w:r>
      <w:r>
        <w:rPr>
          <w:color w:val="231F20"/>
          <w:spacing w:val="40"/>
          <w:w w:val="110"/>
        </w:rPr>
        <w:t> </w:t>
      </w:r>
      <w:r>
        <w:rPr>
          <w:color w:val="231F20"/>
          <w:w w:val="110"/>
        </w:rPr>
        <w:t>mantener</w:t>
      </w:r>
      <w:r>
        <w:rPr>
          <w:color w:val="231F20"/>
          <w:spacing w:val="40"/>
          <w:w w:val="110"/>
        </w:rPr>
        <w:t> </w:t>
      </w:r>
      <w:r>
        <w:rPr>
          <w:color w:val="231F20"/>
          <w:w w:val="110"/>
        </w:rPr>
        <w:t>el</w:t>
      </w:r>
      <w:r>
        <w:rPr>
          <w:color w:val="231F20"/>
          <w:spacing w:val="40"/>
          <w:w w:val="110"/>
        </w:rPr>
        <w:t> </w:t>
      </w:r>
      <w:r>
        <w:rPr>
          <w:color w:val="231F20"/>
          <w:w w:val="110"/>
        </w:rPr>
        <w:t>crecimiento</w:t>
      </w:r>
      <w:r>
        <w:rPr>
          <w:color w:val="231F20"/>
          <w:w w:val="110"/>
        </w:rPr>
        <w:t> </w:t>
      </w:r>
      <w:r>
        <w:rPr>
          <w:color w:val="231F20"/>
          <w:w w:val="110"/>
        </w:rPr>
        <w:t>económico o combatir el terrorismo, es necesario reducir</w:t>
      </w:r>
      <w:r>
        <w:rPr>
          <w:color w:val="231F20"/>
          <w:spacing w:val="-10"/>
          <w:w w:val="110"/>
        </w:rPr>
        <w:t> </w:t>
      </w:r>
      <w:r>
        <w:rPr>
          <w:color w:val="231F20"/>
          <w:w w:val="110"/>
        </w:rPr>
        <w:t>las</w:t>
      </w:r>
      <w:r>
        <w:rPr>
          <w:color w:val="231F20"/>
          <w:spacing w:val="-2"/>
          <w:w w:val="110"/>
        </w:rPr>
        <w:t> </w:t>
      </w:r>
      <w:r>
        <w:rPr>
          <w:color w:val="231F20"/>
          <w:w w:val="110"/>
        </w:rPr>
        <w:t>amena-</w:t>
      </w:r>
      <w:r>
        <w:rPr>
          <w:color w:val="231F20"/>
          <w:w w:val="72"/>
        </w:rPr>
        <w:t> </w:t>
      </w:r>
      <w:r>
        <w:rPr>
          <w:color w:val="231F20"/>
          <w:w w:val="110"/>
        </w:rPr>
        <w:t>zas cibernéticas, dejar de depender del petróleo, así</w:t>
      </w:r>
      <w:r>
        <w:rPr>
          <w:color w:val="231F20"/>
          <w:spacing w:val="16"/>
          <w:w w:val="110"/>
        </w:rPr>
        <w:t> </w:t>
      </w:r>
      <w:r>
        <w:rPr>
          <w:color w:val="231F20"/>
          <w:w w:val="110"/>
        </w:rPr>
        <w:t>como</w:t>
      </w:r>
      <w:r>
        <w:rPr>
          <w:color w:val="231F20"/>
          <w:spacing w:val="8"/>
          <w:w w:val="110"/>
        </w:rPr>
        <w:t> </w:t>
      </w:r>
      <w:r>
        <w:rPr>
          <w:color w:val="231F20"/>
          <w:w w:val="110"/>
        </w:rPr>
        <w:t>“resolver</w:t>
      </w:r>
      <w:r>
        <w:rPr>
          <w:color w:val="231F20"/>
          <w:w w:val="104"/>
        </w:rPr>
        <w:t> </w:t>
      </w:r>
      <w:r>
        <w:rPr>
          <w:color w:val="231F20"/>
          <w:w w:val="110"/>
        </w:rPr>
        <w:t>y prevenir los conflictos”. La principal amenaza que se</w:t>
      </w:r>
      <w:r>
        <w:rPr>
          <w:color w:val="231F20"/>
          <w:spacing w:val="12"/>
          <w:w w:val="110"/>
        </w:rPr>
        <w:t> </w:t>
      </w:r>
      <w:r>
        <w:rPr>
          <w:color w:val="231F20"/>
          <w:w w:val="110"/>
        </w:rPr>
        <w:t>considera</w:t>
      </w:r>
      <w:r>
        <w:rPr>
          <w:color w:val="231F20"/>
          <w:spacing w:val="1"/>
          <w:w w:val="110"/>
        </w:rPr>
        <w:t> </w:t>
      </w:r>
      <w:r>
        <w:rPr>
          <w:color w:val="231F20"/>
          <w:w w:val="110"/>
        </w:rPr>
        <w:t>es</w:t>
      </w:r>
      <w:r>
        <w:rPr>
          <w:color w:val="231F20"/>
          <w:w w:val="103"/>
        </w:rPr>
        <w:t> </w:t>
      </w:r>
      <w:r>
        <w:rPr>
          <w:color w:val="231F20"/>
          <w:w w:val="110"/>
        </w:rPr>
        <w:t>la expansión de las armas de destrucción masiva </w:t>
      </w:r>
      <w:r>
        <w:rPr>
          <w:color w:val="231F20"/>
          <w:spacing w:val="-8"/>
          <w:w w:val="110"/>
        </w:rPr>
        <w:t>y, </w:t>
      </w:r>
      <w:r>
        <w:rPr>
          <w:color w:val="231F20"/>
          <w:w w:val="110"/>
        </w:rPr>
        <w:t>de</w:t>
      </w:r>
      <w:r>
        <w:rPr>
          <w:color w:val="231F20"/>
          <w:spacing w:val="35"/>
          <w:w w:val="110"/>
        </w:rPr>
        <w:t> </w:t>
      </w:r>
      <w:r>
        <w:rPr>
          <w:color w:val="231F20"/>
          <w:w w:val="110"/>
        </w:rPr>
        <w:t>modo</w:t>
      </w:r>
      <w:r>
        <w:rPr>
          <w:color w:val="231F20"/>
          <w:spacing w:val="2"/>
          <w:w w:val="110"/>
        </w:rPr>
        <w:t> </w:t>
      </w:r>
      <w:r>
        <w:rPr>
          <w:color w:val="231F20"/>
          <w:w w:val="110"/>
        </w:rPr>
        <w:t>especí-</w:t>
      </w:r>
      <w:r>
        <w:rPr>
          <w:color w:val="231F20"/>
          <w:w w:val="72"/>
        </w:rPr>
        <w:t> </w:t>
      </w:r>
      <w:r>
        <w:rPr>
          <w:color w:val="231F20"/>
          <w:w w:val="110"/>
        </w:rPr>
        <w:t>fico, Obama señala el peligro planteado por la búsqueda</w:t>
      </w:r>
      <w:r>
        <w:rPr>
          <w:color w:val="231F20"/>
          <w:spacing w:val="23"/>
          <w:w w:val="110"/>
        </w:rPr>
        <w:t> </w:t>
      </w:r>
      <w:r>
        <w:rPr>
          <w:color w:val="231F20"/>
          <w:w w:val="110"/>
        </w:rPr>
        <w:t>de</w:t>
      </w:r>
      <w:r>
        <w:rPr>
          <w:color w:val="231F20"/>
          <w:spacing w:val="20"/>
          <w:w w:val="110"/>
        </w:rPr>
        <w:t> </w:t>
      </w:r>
      <w:r>
        <w:rPr>
          <w:color w:val="231F20"/>
          <w:w w:val="110"/>
        </w:rPr>
        <w:t>armas</w:t>
      </w:r>
      <w:r>
        <w:rPr>
          <w:color w:val="231F20"/>
          <w:w w:val="108"/>
        </w:rPr>
        <w:t> </w:t>
      </w:r>
      <w:r>
        <w:rPr>
          <w:color w:val="231F20"/>
          <w:w w:val="110"/>
        </w:rPr>
        <w:t>nucleares por parte de “extremistas” y “otros</w:t>
      </w:r>
      <w:r>
        <w:rPr>
          <w:color w:val="231F20"/>
          <w:spacing w:val="38"/>
          <w:w w:val="110"/>
        </w:rPr>
        <w:t> </w:t>
      </w:r>
      <w:r>
        <w:rPr>
          <w:color w:val="231F20"/>
          <w:w w:val="110"/>
        </w:rPr>
        <w:t>Estados”</w:t>
      </w:r>
      <w:r>
        <w:rPr>
          <w:color w:val="231F20"/>
          <w:spacing w:val="13"/>
          <w:w w:val="110"/>
        </w:rPr>
        <w:t> </w:t>
      </w:r>
      <w:r>
        <w:rPr>
          <w:color w:val="231F20"/>
          <w:w w:val="110"/>
        </w:rPr>
        <w:t>(destacando</w:t>
      </w:r>
      <w:r>
        <w:rPr>
          <w:color w:val="231F20"/>
          <w:w w:val="112"/>
        </w:rPr>
        <w:t> </w:t>
      </w:r>
      <w:r>
        <w:rPr>
          <w:color w:val="231F20"/>
          <w:w w:val="110"/>
        </w:rPr>
        <w:t>los</w:t>
      </w:r>
      <w:r>
        <w:rPr>
          <w:color w:val="231F20"/>
          <w:spacing w:val="29"/>
          <w:w w:val="110"/>
        </w:rPr>
        <w:t> </w:t>
      </w:r>
      <w:r>
        <w:rPr>
          <w:color w:val="231F20"/>
          <w:w w:val="110"/>
        </w:rPr>
        <w:t>programas</w:t>
      </w:r>
      <w:r>
        <w:rPr>
          <w:color w:val="231F20"/>
          <w:spacing w:val="29"/>
          <w:w w:val="110"/>
        </w:rPr>
        <w:t> </w:t>
      </w:r>
      <w:r>
        <w:rPr>
          <w:color w:val="231F20"/>
          <w:w w:val="110"/>
        </w:rPr>
        <w:t>nucleares</w:t>
      </w:r>
      <w:r>
        <w:rPr>
          <w:color w:val="231F20"/>
          <w:spacing w:val="29"/>
          <w:w w:val="110"/>
        </w:rPr>
        <w:t> </w:t>
      </w:r>
      <w:r>
        <w:rPr>
          <w:color w:val="231F20"/>
          <w:w w:val="110"/>
        </w:rPr>
        <w:t>de</w:t>
      </w:r>
      <w:r>
        <w:rPr>
          <w:color w:val="231F20"/>
          <w:spacing w:val="29"/>
          <w:w w:val="110"/>
        </w:rPr>
        <w:t> </w:t>
      </w:r>
      <w:r>
        <w:rPr>
          <w:color w:val="231F20"/>
          <w:w w:val="110"/>
        </w:rPr>
        <w:t>Irán</w:t>
      </w:r>
      <w:r>
        <w:rPr>
          <w:color w:val="231F20"/>
          <w:spacing w:val="29"/>
          <w:w w:val="110"/>
        </w:rPr>
        <w:t> </w:t>
      </w:r>
      <w:r>
        <w:rPr>
          <w:color w:val="231F20"/>
          <w:w w:val="110"/>
        </w:rPr>
        <w:t>y</w:t>
      </w:r>
      <w:r>
        <w:rPr>
          <w:color w:val="231F20"/>
          <w:spacing w:val="29"/>
          <w:w w:val="110"/>
        </w:rPr>
        <w:t> </w:t>
      </w:r>
      <w:r>
        <w:rPr>
          <w:color w:val="231F20"/>
          <w:w w:val="110"/>
        </w:rPr>
        <w:t>Corea</w:t>
      </w:r>
      <w:r>
        <w:rPr>
          <w:color w:val="231F20"/>
          <w:spacing w:val="29"/>
          <w:w w:val="110"/>
        </w:rPr>
        <w:t> </w:t>
      </w:r>
      <w:r>
        <w:rPr>
          <w:color w:val="231F20"/>
          <w:w w:val="110"/>
        </w:rPr>
        <w:t>del</w:t>
      </w:r>
      <w:r>
        <w:rPr>
          <w:color w:val="231F20"/>
          <w:spacing w:val="29"/>
          <w:w w:val="110"/>
        </w:rPr>
        <w:t> </w:t>
      </w:r>
      <w:r>
        <w:rPr>
          <w:color w:val="231F20"/>
          <w:w w:val="110"/>
        </w:rPr>
        <w:t>Norte).</w:t>
      </w:r>
      <w:r>
        <w:rPr>
          <w:color w:val="231F20"/>
          <w:spacing w:val="29"/>
          <w:w w:val="110"/>
        </w:rPr>
        <w:t> </w:t>
      </w:r>
      <w:r>
        <w:rPr>
          <w:color w:val="231F20"/>
          <w:w w:val="110"/>
        </w:rPr>
        <w:t>De</w:t>
      </w:r>
      <w:r>
        <w:rPr>
          <w:color w:val="231F20"/>
          <w:spacing w:val="29"/>
          <w:w w:val="110"/>
        </w:rPr>
        <w:t> </w:t>
      </w:r>
      <w:r>
        <w:rPr>
          <w:color w:val="231F20"/>
          <w:w w:val="110"/>
        </w:rPr>
        <w:t>aquí</w:t>
      </w:r>
      <w:r>
        <w:rPr>
          <w:color w:val="231F20"/>
          <w:spacing w:val="29"/>
          <w:w w:val="110"/>
        </w:rPr>
        <w:t> </w:t>
      </w:r>
      <w:r>
        <w:rPr>
          <w:color w:val="231F20"/>
          <w:w w:val="110"/>
        </w:rPr>
        <w:t>que</w:t>
      </w:r>
      <w:r>
        <w:rPr>
          <w:color w:val="231F20"/>
          <w:w w:val="113"/>
        </w:rPr>
        <w:t> </w:t>
      </w:r>
      <w:r>
        <w:rPr>
          <w:color w:val="231F20"/>
          <w:w w:val="110"/>
        </w:rPr>
        <w:t>se</w:t>
      </w:r>
      <w:r>
        <w:rPr>
          <w:color w:val="231F20"/>
          <w:spacing w:val="29"/>
          <w:w w:val="110"/>
        </w:rPr>
        <w:t> </w:t>
      </w:r>
      <w:r>
        <w:rPr>
          <w:color w:val="231F20"/>
          <w:w w:val="110"/>
        </w:rPr>
        <w:t>acentúe</w:t>
      </w:r>
      <w:r>
        <w:rPr>
          <w:color w:val="231F20"/>
          <w:spacing w:val="29"/>
          <w:w w:val="110"/>
        </w:rPr>
        <w:t> </w:t>
      </w:r>
      <w:r>
        <w:rPr>
          <w:color w:val="231F20"/>
          <w:w w:val="110"/>
        </w:rPr>
        <w:t>la</w:t>
      </w:r>
      <w:r>
        <w:rPr>
          <w:color w:val="231F20"/>
          <w:spacing w:val="29"/>
          <w:w w:val="110"/>
        </w:rPr>
        <w:t> </w:t>
      </w:r>
      <w:r>
        <w:rPr>
          <w:color w:val="231F20"/>
          <w:w w:val="110"/>
        </w:rPr>
        <w:t>importancia</w:t>
      </w:r>
      <w:r>
        <w:rPr>
          <w:color w:val="231F20"/>
          <w:spacing w:val="29"/>
          <w:w w:val="110"/>
        </w:rPr>
        <w:t> </w:t>
      </w:r>
      <w:r>
        <w:rPr>
          <w:color w:val="231F20"/>
          <w:w w:val="110"/>
        </w:rPr>
        <w:t>de</w:t>
      </w:r>
      <w:r>
        <w:rPr>
          <w:color w:val="231F20"/>
          <w:spacing w:val="29"/>
          <w:w w:val="110"/>
        </w:rPr>
        <w:t> </w:t>
      </w:r>
      <w:r>
        <w:rPr>
          <w:color w:val="231F20"/>
          <w:w w:val="110"/>
        </w:rPr>
        <w:t>acudir</w:t>
      </w:r>
      <w:r>
        <w:rPr>
          <w:color w:val="231F20"/>
          <w:spacing w:val="29"/>
          <w:w w:val="110"/>
        </w:rPr>
        <w:t> </w:t>
      </w:r>
      <w:r>
        <w:rPr>
          <w:color w:val="231F20"/>
          <w:w w:val="110"/>
        </w:rPr>
        <w:t>a</w:t>
      </w:r>
      <w:r>
        <w:rPr>
          <w:color w:val="231F20"/>
          <w:spacing w:val="29"/>
          <w:w w:val="110"/>
        </w:rPr>
        <w:t> </w:t>
      </w:r>
      <w:r>
        <w:rPr>
          <w:color w:val="231F20"/>
          <w:w w:val="110"/>
        </w:rPr>
        <w:t>una</w:t>
      </w:r>
      <w:r>
        <w:rPr>
          <w:color w:val="231F20"/>
          <w:spacing w:val="29"/>
          <w:w w:val="110"/>
        </w:rPr>
        <w:t> </w:t>
      </w:r>
      <w:r>
        <w:rPr>
          <w:color w:val="231F20"/>
          <w:w w:val="110"/>
        </w:rPr>
        <w:t>agenda</w:t>
      </w:r>
      <w:r>
        <w:rPr>
          <w:color w:val="231F20"/>
          <w:spacing w:val="29"/>
          <w:w w:val="110"/>
        </w:rPr>
        <w:t> </w:t>
      </w:r>
      <w:r>
        <w:rPr>
          <w:color w:val="231F20"/>
          <w:w w:val="110"/>
        </w:rPr>
        <w:t>integral</w:t>
      </w:r>
      <w:r>
        <w:rPr>
          <w:color w:val="231F20"/>
          <w:spacing w:val="29"/>
          <w:w w:val="110"/>
        </w:rPr>
        <w:t> </w:t>
      </w:r>
      <w:r>
        <w:rPr>
          <w:color w:val="231F20"/>
          <w:w w:val="110"/>
        </w:rPr>
        <w:t>para</w:t>
      </w:r>
      <w:r>
        <w:rPr>
          <w:color w:val="231F20"/>
          <w:spacing w:val="29"/>
          <w:w w:val="110"/>
        </w:rPr>
        <w:t> </w:t>
      </w:r>
      <w:r>
        <w:rPr>
          <w:color w:val="231F20"/>
          <w:w w:val="110"/>
        </w:rPr>
        <w:t>la</w:t>
      </w:r>
      <w:r>
        <w:rPr>
          <w:color w:val="231F20"/>
          <w:w w:val="105"/>
        </w:rPr>
        <w:t> </w:t>
      </w:r>
      <w:r>
        <w:rPr>
          <w:color w:val="231F20"/>
          <w:w w:val="110"/>
        </w:rPr>
        <w:t>no proliferación y para la seguridad </w:t>
      </w:r>
      <w:r>
        <w:rPr>
          <w:color w:val="231F20"/>
          <w:spacing w:val="-3"/>
          <w:w w:val="110"/>
        </w:rPr>
        <w:t>nuclear, </w:t>
      </w:r>
      <w:r>
        <w:rPr>
          <w:color w:val="231F20"/>
          <w:w w:val="110"/>
        </w:rPr>
        <w:t>y que se insista en  </w:t>
      </w:r>
      <w:r>
        <w:rPr>
          <w:color w:val="231F20"/>
          <w:spacing w:val="49"/>
          <w:w w:val="110"/>
        </w:rPr>
        <w:t> </w:t>
      </w:r>
      <w:r>
        <w:rPr>
          <w:color w:val="231F20"/>
          <w:w w:val="110"/>
        </w:rPr>
        <w:t>los</w:t>
      </w:r>
    </w:p>
    <w:p>
      <w:pPr>
        <w:pStyle w:val="BodyText"/>
        <w:ind w:left="100"/>
        <w:jc w:val="both"/>
      </w:pPr>
      <w:r>
        <w:rPr>
          <w:color w:val="231F20"/>
          <w:w w:val="105"/>
        </w:rPr>
        <w:t>derechos y las responsabilidades de cada    país.</w:t>
      </w:r>
    </w:p>
    <w:p>
      <w:pPr>
        <w:pStyle w:val="BodyText"/>
        <w:spacing w:line="261" w:lineRule="auto" w:before="20"/>
        <w:ind w:left="100" w:right="117" w:firstLine="240"/>
        <w:jc w:val="both"/>
      </w:pPr>
      <w:r>
        <w:rPr>
          <w:color w:val="231F20"/>
          <w:w w:val="105"/>
        </w:rPr>
        <w:t>A diferencia de la doctrina Bush acerca de la llamada guerra pre- ventiva y el enfoque unilateral expresado en ella, la reciente estrategia de 2010 subraya que el conflicto armado debe ser el último recurso, “una vez agotadas las vías  diplomáticas”.</w:t>
      </w:r>
    </w:p>
    <w:p>
      <w:pPr>
        <w:pStyle w:val="BodyText"/>
        <w:spacing w:line="261" w:lineRule="auto"/>
        <w:ind w:left="100" w:right="119" w:firstLine="240"/>
        <w:jc w:val="both"/>
      </w:pPr>
      <w:r>
        <w:rPr>
          <w:color w:val="231F20"/>
          <w:w w:val="110"/>
        </w:rPr>
        <w:t>Se anuncia seguir adelante con la estrategia para desmantelar     al grupo terrorista Al Qaeda (mencionado reiteradamente) y a sus afiliados,</w:t>
      </w:r>
      <w:r>
        <w:rPr>
          <w:color w:val="231F20"/>
          <w:spacing w:val="-6"/>
          <w:w w:val="110"/>
        </w:rPr>
        <w:t> </w:t>
      </w:r>
      <w:r>
        <w:rPr>
          <w:color w:val="231F20"/>
          <w:w w:val="110"/>
        </w:rPr>
        <w:t>incluyendo</w:t>
      </w:r>
      <w:r>
        <w:rPr>
          <w:color w:val="231F20"/>
          <w:spacing w:val="-6"/>
          <w:w w:val="110"/>
        </w:rPr>
        <w:t> </w:t>
      </w:r>
      <w:r>
        <w:rPr>
          <w:color w:val="231F20"/>
          <w:w w:val="110"/>
        </w:rPr>
        <w:t>para</w:t>
      </w:r>
      <w:r>
        <w:rPr>
          <w:color w:val="231F20"/>
          <w:spacing w:val="-6"/>
          <w:w w:val="110"/>
        </w:rPr>
        <w:t> </w:t>
      </w:r>
      <w:r>
        <w:rPr>
          <w:color w:val="231F20"/>
          <w:w w:val="110"/>
        </w:rPr>
        <w:t>este</w:t>
      </w:r>
      <w:r>
        <w:rPr>
          <w:color w:val="231F20"/>
          <w:spacing w:val="-6"/>
          <w:w w:val="110"/>
        </w:rPr>
        <w:t> </w:t>
      </w:r>
      <w:r>
        <w:rPr>
          <w:color w:val="231F20"/>
          <w:w w:val="110"/>
        </w:rPr>
        <w:t>fin</w:t>
      </w:r>
      <w:r>
        <w:rPr>
          <w:color w:val="231F20"/>
          <w:spacing w:val="-6"/>
          <w:w w:val="110"/>
        </w:rPr>
        <w:t> </w:t>
      </w:r>
      <w:r>
        <w:rPr>
          <w:color w:val="231F20"/>
          <w:w w:val="110"/>
        </w:rPr>
        <w:t>la</w:t>
      </w:r>
      <w:r>
        <w:rPr>
          <w:color w:val="231F20"/>
          <w:spacing w:val="-6"/>
          <w:w w:val="110"/>
        </w:rPr>
        <w:t> </w:t>
      </w:r>
      <w:r>
        <w:rPr>
          <w:color w:val="231F20"/>
          <w:w w:val="110"/>
        </w:rPr>
        <w:t>negación</w:t>
      </w:r>
      <w:r>
        <w:rPr>
          <w:color w:val="231F20"/>
          <w:spacing w:val="-6"/>
          <w:w w:val="110"/>
        </w:rPr>
        <w:t> </w:t>
      </w:r>
      <w:r>
        <w:rPr>
          <w:color w:val="231F20"/>
          <w:w w:val="110"/>
        </w:rPr>
        <w:t>de</w:t>
      </w:r>
      <w:r>
        <w:rPr>
          <w:color w:val="231F20"/>
          <w:spacing w:val="-6"/>
          <w:w w:val="110"/>
        </w:rPr>
        <w:t> </w:t>
      </w:r>
      <w:r>
        <w:rPr>
          <w:color w:val="231F20"/>
          <w:w w:val="110"/>
        </w:rPr>
        <w:t>refugios,</w:t>
      </w:r>
      <w:r>
        <w:rPr>
          <w:color w:val="231F20"/>
          <w:spacing w:val="-6"/>
          <w:w w:val="110"/>
        </w:rPr>
        <w:t> </w:t>
      </w:r>
      <w:r>
        <w:rPr>
          <w:color w:val="231F20"/>
          <w:w w:val="110"/>
        </w:rPr>
        <w:t>el</w:t>
      </w:r>
      <w:r>
        <w:rPr>
          <w:color w:val="231F20"/>
          <w:spacing w:val="-6"/>
          <w:w w:val="110"/>
        </w:rPr>
        <w:t> </w:t>
      </w:r>
      <w:r>
        <w:rPr>
          <w:color w:val="231F20"/>
          <w:w w:val="110"/>
        </w:rPr>
        <w:t>fortale-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cimiento de los aliados que cooperan en esta línea, la búsqueda de  la justicia a través de métodos legales duraderos y una política que contrarreste “la fracasada agenda del extremismo y el crimen con</w:t>
      </w:r>
      <w:r>
        <w:rPr>
          <w:color w:val="231F20"/>
          <w:spacing w:val="-27"/>
          <w:w w:val="110"/>
        </w:rPr>
        <w:t> </w:t>
      </w:r>
      <w:r>
        <w:rPr>
          <w:color w:val="231F20"/>
          <w:w w:val="110"/>
        </w:rPr>
        <w:t>un plan basado en la esperanza y la oportunidad”. Para esto, se insta a reforzar las instituciones internacionales, adhiriéndose a las normas establecidas para, de esta forma, afianzar los lazos con los aliados, incluyendo a países como India, Brasil y</w:t>
      </w:r>
      <w:r>
        <w:rPr>
          <w:color w:val="231F20"/>
          <w:spacing w:val="-19"/>
          <w:w w:val="110"/>
        </w:rPr>
        <w:t> </w:t>
      </w:r>
      <w:r>
        <w:rPr>
          <w:color w:val="231F20"/>
          <w:w w:val="110"/>
        </w:rPr>
        <w:t>China.</w:t>
      </w:r>
    </w:p>
    <w:p>
      <w:pPr>
        <w:pStyle w:val="BodyText"/>
        <w:spacing w:line="261" w:lineRule="auto"/>
        <w:ind w:left="100" w:right="119" w:firstLine="240"/>
        <w:jc w:val="both"/>
      </w:pPr>
      <w:r>
        <w:rPr>
          <w:color w:val="231F20"/>
          <w:w w:val="110"/>
        </w:rPr>
        <w:t>Con</w:t>
      </w:r>
      <w:r>
        <w:rPr>
          <w:color w:val="231F20"/>
          <w:spacing w:val="-14"/>
          <w:w w:val="110"/>
        </w:rPr>
        <w:t> </w:t>
      </w:r>
      <w:r>
        <w:rPr>
          <w:color w:val="231F20"/>
          <w:w w:val="110"/>
        </w:rPr>
        <w:t>respecto</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inversión</w:t>
      </w:r>
      <w:r>
        <w:rPr>
          <w:color w:val="231F20"/>
          <w:spacing w:val="-14"/>
          <w:w w:val="110"/>
        </w:rPr>
        <w:t> </w:t>
      </w:r>
      <w:r>
        <w:rPr>
          <w:color w:val="231F20"/>
          <w:w w:val="110"/>
        </w:rPr>
        <w:t>en</w:t>
      </w:r>
      <w:r>
        <w:rPr>
          <w:color w:val="231F20"/>
          <w:spacing w:val="-14"/>
          <w:w w:val="110"/>
        </w:rPr>
        <w:t> </w:t>
      </w:r>
      <w:r>
        <w:rPr>
          <w:color w:val="231F20"/>
          <w:w w:val="110"/>
        </w:rPr>
        <w:t>guerras,</w:t>
      </w:r>
      <w:r>
        <w:rPr>
          <w:color w:val="231F20"/>
          <w:spacing w:val="-14"/>
          <w:w w:val="110"/>
        </w:rPr>
        <w:t> </w:t>
      </w:r>
      <w:r>
        <w:rPr>
          <w:color w:val="231F20"/>
          <w:w w:val="110"/>
        </w:rPr>
        <w:t>como</w:t>
      </w:r>
      <w:r>
        <w:rPr>
          <w:color w:val="231F20"/>
          <w:spacing w:val="-14"/>
          <w:w w:val="110"/>
        </w:rPr>
        <w:t> </w:t>
      </w:r>
      <w:r>
        <w:rPr>
          <w:color w:val="231F20"/>
          <w:w w:val="110"/>
        </w:rPr>
        <w:t>las</w:t>
      </w:r>
      <w:r>
        <w:rPr>
          <w:color w:val="231F20"/>
          <w:spacing w:val="-14"/>
          <w:w w:val="110"/>
        </w:rPr>
        <w:t> </w:t>
      </w:r>
      <w:r>
        <w:rPr>
          <w:color w:val="231F20"/>
          <w:w w:val="110"/>
        </w:rPr>
        <w:t>de</w:t>
      </w:r>
      <w:r>
        <w:rPr>
          <w:color w:val="231F20"/>
          <w:spacing w:val="-14"/>
          <w:w w:val="110"/>
        </w:rPr>
        <w:t> </w:t>
      </w:r>
      <w:r>
        <w:rPr>
          <w:color w:val="231F20"/>
          <w:w w:val="110"/>
        </w:rPr>
        <w:t>Irak</w:t>
      </w:r>
      <w:r>
        <w:rPr>
          <w:color w:val="231F20"/>
          <w:spacing w:val="-14"/>
          <w:w w:val="110"/>
        </w:rPr>
        <w:t> </w:t>
      </w:r>
      <w:r>
        <w:rPr>
          <w:color w:val="231F20"/>
          <w:w w:val="110"/>
        </w:rPr>
        <w:t>y</w:t>
      </w:r>
      <w:r>
        <w:rPr>
          <w:color w:val="231F20"/>
          <w:spacing w:val="-14"/>
          <w:w w:val="110"/>
        </w:rPr>
        <w:t> </w:t>
      </w:r>
      <w:r>
        <w:rPr>
          <w:color w:val="231F20"/>
          <w:w w:val="110"/>
        </w:rPr>
        <w:t>Afganis- tán,</w:t>
      </w:r>
      <w:r>
        <w:rPr>
          <w:color w:val="231F20"/>
          <w:spacing w:val="-15"/>
          <w:w w:val="110"/>
        </w:rPr>
        <w:t> </w:t>
      </w:r>
      <w:r>
        <w:rPr>
          <w:color w:val="231F20"/>
          <w:w w:val="110"/>
        </w:rPr>
        <w:t>Obama</w:t>
      </w:r>
      <w:r>
        <w:rPr>
          <w:color w:val="231F20"/>
          <w:spacing w:val="-15"/>
          <w:w w:val="110"/>
        </w:rPr>
        <w:t> </w:t>
      </w:r>
      <w:r>
        <w:rPr>
          <w:color w:val="231F20"/>
          <w:w w:val="110"/>
        </w:rPr>
        <w:t>se</w:t>
      </w:r>
      <w:r>
        <w:rPr>
          <w:color w:val="231F20"/>
          <w:spacing w:val="-15"/>
          <w:w w:val="110"/>
        </w:rPr>
        <w:t> </w:t>
      </w:r>
      <w:r>
        <w:rPr>
          <w:color w:val="231F20"/>
          <w:w w:val="110"/>
        </w:rPr>
        <w:t>compromete</w:t>
      </w:r>
      <w:r>
        <w:rPr>
          <w:color w:val="231F20"/>
          <w:spacing w:val="-15"/>
          <w:w w:val="110"/>
        </w:rPr>
        <w:t> </w:t>
      </w:r>
      <w:r>
        <w:rPr>
          <w:color w:val="231F20"/>
          <w:w w:val="110"/>
        </w:rPr>
        <w:t>a</w:t>
      </w:r>
      <w:r>
        <w:rPr>
          <w:color w:val="231F20"/>
          <w:spacing w:val="-15"/>
          <w:w w:val="110"/>
        </w:rPr>
        <w:t> </w:t>
      </w:r>
      <w:r>
        <w:rPr>
          <w:color w:val="231F20"/>
          <w:w w:val="110"/>
        </w:rPr>
        <w:t>“equilibrar</w:t>
      </w:r>
      <w:r>
        <w:rPr>
          <w:color w:val="231F20"/>
          <w:spacing w:val="-15"/>
          <w:w w:val="110"/>
        </w:rPr>
        <w:t> </w:t>
      </w:r>
      <w:r>
        <w:rPr>
          <w:color w:val="231F20"/>
          <w:w w:val="110"/>
        </w:rPr>
        <w:t>cuidadosamente</w:t>
      </w:r>
      <w:r>
        <w:rPr>
          <w:color w:val="231F20"/>
          <w:spacing w:val="-15"/>
          <w:w w:val="110"/>
        </w:rPr>
        <w:t> </w:t>
      </w:r>
      <w:r>
        <w:rPr>
          <w:color w:val="231F20"/>
          <w:w w:val="110"/>
        </w:rPr>
        <w:t>los</w:t>
      </w:r>
      <w:r>
        <w:rPr>
          <w:color w:val="231F20"/>
          <w:spacing w:val="-15"/>
          <w:w w:val="110"/>
        </w:rPr>
        <w:t> </w:t>
      </w:r>
      <w:r>
        <w:rPr>
          <w:color w:val="231F20"/>
          <w:w w:val="110"/>
        </w:rPr>
        <w:t>costos</w:t>
      </w:r>
      <w:r>
        <w:rPr>
          <w:color w:val="231F20"/>
          <w:spacing w:val="-15"/>
          <w:w w:val="110"/>
        </w:rPr>
        <w:t> </w:t>
      </w:r>
      <w:r>
        <w:rPr>
          <w:color w:val="231F20"/>
          <w:w w:val="110"/>
        </w:rPr>
        <w:t>y riesgos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falta</w:t>
      </w:r>
      <w:r>
        <w:rPr>
          <w:color w:val="231F20"/>
          <w:spacing w:val="-20"/>
          <w:w w:val="110"/>
        </w:rPr>
        <w:t> </w:t>
      </w:r>
      <w:r>
        <w:rPr>
          <w:color w:val="231F20"/>
          <w:w w:val="110"/>
        </w:rPr>
        <w:t>de</w:t>
      </w:r>
      <w:r>
        <w:rPr>
          <w:color w:val="231F20"/>
          <w:spacing w:val="-20"/>
          <w:w w:val="110"/>
        </w:rPr>
        <w:t> </w:t>
      </w:r>
      <w:r>
        <w:rPr>
          <w:color w:val="231F20"/>
          <w:w w:val="110"/>
        </w:rPr>
        <w:t>acción”,</w:t>
      </w:r>
      <w:r>
        <w:rPr>
          <w:color w:val="231F20"/>
          <w:spacing w:val="-20"/>
          <w:w w:val="110"/>
        </w:rPr>
        <w:t> </w:t>
      </w:r>
      <w:r>
        <w:rPr>
          <w:color w:val="231F20"/>
          <w:w w:val="110"/>
        </w:rPr>
        <w:t>así</w:t>
      </w:r>
      <w:r>
        <w:rPr>
          <w:color w:val="231F20"/>
          <w:spacing w:val="-20"/>
          <w:w w:val="110"/>
        </w:rPr>
        <w:t> </w:t>
      </w:r>
      <w:r>
        <w:rPr>
          <w:color w:val="231F20"/>
          <w:w w:val="110"/>
        </w:rPr>
        <w:t>como</w:t>
      </w:r>
      <w:r>
        <w:rPr>
          <w:color w:val="231F20"/>
          <w:spacing w:val="-20"/>
          <w:w w:val="110"/>
        </w:rPr>
        <w:t> </w:t>
      </w:r>
      <w:r>
        <w:rPr>
          <w:color w:val="231F20"/>
          <w:w w:val="110"/>
        </w:rPr>
        <w:t>a</w:t>
      </w:r>
      <w:r>
        <w:rPr>
          <w:color w:val="231F20"/>
          <w:spacing w:val="-20"/>
          <w:w w:val="110"/>
        </w:rPr>
        <w:t> </w:t>
      </w:r>
      <w:r>
        <w:rPr>
          <w:color w:val="231F20"/>
          <w:w w:val="110"/>
        </w:rPr>
        <w:t>buscar</w:t>
      </w:r>
      <w:r>
        <w:rPr>
          <w:color w:val="231F20"/>
          <w:spacing w:val="-20"/>
          <w:w w:val="110"/>
        </w:rPr>
        <w:t> </w:t>
      </w:r>
      <w:r>
        <w:rPr>
          <w:color w:val="231F20"/>
          <w:w w:val="110"/>
        </w:rPr>
        <w:t>apoyo</w:t>
      </w:r>
      <w:r>
        <w:rPr>
          <w:color w:val="231F20"/>
          <w:spacing w:val="-20"/>
          <w:w w:val="110"/>
        </w:rPr>
        <w:t> </w:t>
      </w:r>
      <w:r>
        <w:rPr>
          <w:color w:val="231F20"/>
          <w:w w:val="110"/>
        </w:rPr>
        <w:t>de</w:t>
      </w:r>
      <w:r>
        <w:rPr>
          <w:color w:val="231F20"/>
          <w:spacing w:val="-20"/>
          <w:w w:val="110"/>
        </w:rPr>
        <w:t> </w:t>
      </w:r>
      <w:r>
        <w:rPr>
          <w:color w:val="231F20"/>
          <w:w w:val="110"/>
        </w:rPr>
        <w:t>instituciones</w:t>
      </w:r>
      <w:r>
        <w:rPr>
          <w:color w:val="231F20"/>
          <w:w w:val="108"/>
        </w:rPr>
        <w:t> </w:t>
      </w:r>
      <w:r>
        <w:rPr>
          <w:color w:val="231F20"/>
          <w:w w:val="110"/>
        </w:rPr>
        <w:t>como la otan y el Consejo de Seguridad de la  </w:t>
      </w:r>
      <w:r>
        <w:rPr>
          <w:color w:val="231F20"/>
          <w:spacing w:val="41"/>
          <w:w w:val="110"/>
        </w:rPr>
        <w:t> </w:t>
      </w:r>
      <w:r>
        <w:rPr>
          <w:color w:val="231F20"/>
          <w:w w:val="110"/>
        </w:rPr>
        <w:t>onu”.</w:t>
      </w:r>
    </w:p>
    <w:p>
      <w:pPr>
        <w:pStyle w:val="BodyText"/>
        <w:spacing w:line="261" w:lineRule="auto"/>
        <w:ind w:left="100" w:right="117" w:firstLine="240"/>
        <w:jc w:val="both"/>
      </w:pPr>
      <w:r>
        <w:rPr>
          <w:color w:val="231F20"/>
          <w:w w:val="110"/>
        </w:rPr>
        <w:t>El limitado tratamiento que reciben determinadas áreas geográfi- cas y países en el documento no debe interpretarse, necesariamente, como una evidencia de la baja prioridad. Ese es el caso de América Latina y el Caribe, que como región es abordada en un breve pá- rrafo. En cuanto a las naciones que son tratadas de manera aislada sobresalen Brasil, México, Haití y Argentina. Cabría preguntarse si es posible que fuesen olvidados países latinoamericanos y caribeños (o zonas) que protagonizan escenarios de conflicto para el funcio- namiento del sistema de dominación hemisférico de Estados Unidos</w:t>
      </w:r>
    </w:p>
    <w:p>
      <w:pPr>
        <w:pStyle w:val="BodyText"/>
        <w:spacing w:line="261" w:lineRule="auto"/>
        <w:ind w:left="100" w:right="117"/>
        <w:jc w:val="both"/>
      </w:pPr>
      <w:r>
        <w:rPr>
          <w:color w:val="231F20"/>
          <w:w w:val="110"/>
        </w:rPr>
        <w:t>—como por ejemplo, Colombia, Venezuela, Bolivia, Cuba, el istmo centroamericano—, cuyo valor estratégico en el tablero geopolítico regional ha sido siempre muy alto.</w:t>
      </w:r>
    </w:p>
    <w:p>
      <w:pPr>
        <w:pStyle w:val="BodyText"/>
        <w:spacing w:line="261" w:lineRule="auto"/>
        <w:ind w:left="100" w:right="117" w:firstLine="240"/>
        <w:jc w:val="both"/>
      </w:pPr>
      <w:r>
        <w:rPr>
          <w:color w:val="231F20"/>
          <w:w w:val="110"/>
        </w:rPr>
        <w:t>Así, Brasil es considerado un “centro de influencia emergente”, solo superado en prioridad por potencias como China, India y</w:t>
      </w:r>
      <w:r>
        <w:rPr>
          <w:color w:val="231F20"/>
          <w:spacing w:val="-37"/>
          <w:w w:val="110"/>
        </w:rPr>
        <w:t> </w:t>
      </w:r>
      <w:r>
        <w:rPr>
          <w:color w:val="231F20"/>
          <w:w w:val="110"/>
        </w:rPr>
        <w:t>Rusia. El informe afirma que el gigante sudamericano es “guardián de un patrimonio ambiental único y líder de los combustibles</w:t>
      </w:r>
      <w:r>
        <w:rPr>
          <w:color w:val="231F20"/>
          <w:spacing w:val="-6"/>
          <w:w w:val="110"/>
        </w:rPr>
        <w:t> </w:t>
      </w:r>
      <w:r>
        <w:rPr>
          <w:color w:val="231F20"/>
          <w:w w:val="110"/>
        </w:rPr>
        <w:t>renovables”, lo que explica su tratamiento privilegiado y evidencia el interés de Estados Unidos por establecer mecanismos de control sobre su</w:t>
      </w:r>
      <w:r>
        <w:rPr>
          <w:color w:val="231F20"/>
          <w:spacing w:val="-30"/>
          <w:w w:val="110"/>
        </w:rPr>
        <w:t> </w:t>
      </w:r>
      <w:r>
        <w:rPr>
          <w:color w:val="231F20"/>
          <w:w w:val="110"/>
        </w:rPr>
        <w:t>vasta riqueza</w:t>
      </w:r>
      <w:r>
        <w:rPr>
          <w:color w:val="231F20"/>
          <w:spacing w:val="20"/>
          <w:w w:val="110"/>
        </w:rPr>
        <w:t> </w:t>
      </w:r>
      <w:r>
        <w:rPr>
          <w:color w:val="231F20"/>
          <w:w w:val="110"/>
        </w:rPr>
        <w:t>natural.</w:t>
      </w:r>
    </w:p>
    <w:p>
      <w:pPr>
        <w:pStyle w:val="BodyText"/>
        <w:spacing w:line="261" w:lineRule="auto"/>
        <w:ind w:left="100" w:right="117" w:firstLine="240"/>
        <w:jc w:val="both"/>
      </w:pPr>
      <w:r>
        <w:rPr>
          <w:color w:val="231F20"/>
          <w:w w:val="110"/>
        </w:rPr>
        <w:t>El</w:t>
      </w:r>
      <w:r>
        <w:rPr>
          <w:color w:val="231F20"/>
          <w:spacing w:val="-9"/>
          <w:w w:val="110"/>
        </w:rPr>
        <w:t> </w:t>
      </w:r>
      <w:r>
        <w:rPr>
          <w:color w:val="231F20"/>
          <w:w w:val="110"/>
        </w:rPr>
        <w:t>caso</w:t>
      </w:r>
      <w:r>
        <w:rPr>
          <w:color w:val="231F20"/>
          <w:spacing w:val="-9"/>
          <w:w w:val="110"/>
        </w:rPr>
        <w:t> </w:t>
      </w:r>
      <w:r>
        <w:rPr>
          <w:color w:val="231F20"/>
          <w:w w:val="110"/>
        </w:rPr>
        <w:t>de</w:t>
      </w:r>
      <w:r>
        <w:rPr>
          <w:color w:val="231F20"/>
          <w:spacing w:val="-9"/>
          <w:w w:val="110"/>
        </w:rPr>
        <w:t> </w:t>
      </w:r>
      <w:r>
        <w:rPr>
          <w:color w:val="231F20"/>
          <w:w w:val="110"/>
        </w:rPr>
        <w:t>Haití</w:t>
      </w:r>
      <w:r>
        <w:rPr>
          <w:color w:val="231F20"/>
          <w:spacing w:val="-9"/>
          <w:w w:val="110"/>
        </w:rPr>
        <w:t> </w:t>
      </w:r>
      <w:r>
        <w:rPr>
          <w:color w:val="231F20"/>
          <w:w w:val="110"/>
        </w:rPr>
        <w:t>es</w:t>
      </w:r>
      <w:r>
        <w:rPr>
          <w:color w:val="231F20"/>
          <w:spacing w:val="-9"/>
          <w:w w:val="110"/>
        </w:rPr>
        <w:t> </w:t>
      </w:r>
      <w:r>
        <w:rPr>
          <w:color w:val="231F20"/>
          <w:w w:val="110"/>
        </w:rPr>
        <w:t>calificado</w:t>
      </w:r>
      <w:r>
        <w:rPr>
          <w:color w:val="231F20"/>
          <w:spacing w:val="-9"/>
          <w:w w:val="110"/>
        </w:rPr>
        <w:t> </w:t>
      </w:r>
      <w:r>
        <w:rPr>
          <w:color w:val="231F20"/>
          <w:w w:val="110"/>
        </w:rPr>
        <w:t>como</w:t>
      </w:r>
      <w:r>
        <w:rPr>
          <w:color w:val="231F20"/>
          <w:spacing w:val="-9"/>
          <w:w w:val="110"/>
        </w:rPr>
        <w:t> </w:t>
      </w:r>
      <w:r>
        <w:rPr>
          <w:color w:val="231F20"/>
          <w:w w:val="110"/>
        </w:rPr>
        <w:t>un</w:t>
      </w:r>
      <w:r>
        <w:rPr>
          <w:color w:val="231F20"/>
          <w:spacing w:val="-9"/>
          <w:w w:val="110"/>
        </w:rPr>
        <w:t> </w:t>
      </w:r>
      <w:r>
        <w:rPr>
          <w:color w:val="231F20"/>
          <w:w w:val="110"/>
        </w:rPr>
        <w:t>“Estado</w:t>
      </w:r>
      <w:r>
        <w:rPr>
          <w:color w:val="231F20"/>
          <w:spacing w:val="-9"/>
          <w:w w:val="110"/>
        </w:rPr>
        <w:t> </w:t>
      </w:r>
      <w:r>
        <w:rPr>
          <w:color w:val="231F20"/>
          <w:w w:val="110"/>
        </w:rPr>
        <w:t>frágil”</w:t>
      </w:r>
      <w:r>
        <w:rPr>
          <w:color w:val="231F20"/>
          <w:spacing w:val="-9"/>
          <w:w w:val="110"/>
        </w:rPr>
        <w:t> </w:t>
      </w:r>
      <w:r>
        <w:rPr>
          <w:color w:val="231F20"/>
          <w:w w:val="110"/>
        </w:rPr>
        <w:t>y</w:t>
      </w:r>
      <w:r>
        <w:rPr>
          <w:color w:val="231F20"/>
          <w:spacing w:val="-9"/>
          <w:w w:val="110"/>
        </w:rPr>
        <w:t> </w:t>
      </w:r>
      <w:r>
        <w:rPr>
          <w:color w:val="231F20"/>
          <w:w w:val="110"/>
        </w:rPr>
        <w:t>lo</w:t>
      </w:r>
      <w:r>
        <w:rPr>
          <w:color w:val="231F20"/>
          <w:spacing w:val="-9"/>
          <w:w w:val="110"/>
        </w:rPr>
        <w:t> </w:t>
      </w:r>
      <w:r>
        <w:rPr>
          <w:color w:val="231F20"/>
          <w:w w:val="110"/>
        </w:rPr>
        <w:t>señalan como ejemplo más reciente del desastre humano y material que</w:t>
      </w:r>
      <w:r>
        <w:rPr>
          <w:color w:val="231F20"/>
          <w:spacing w:val="-26"/>
          <w:w w:val="110"/>
        </w:rPr>
        <w:t> </w:t>
      </w:r>
      <w:r>
        <w:rPr>
          <w:color w:val="231F20"/>
          <w:w w:val="110"/>
        </w:rPr>
        <w:t>pue- de provocar el cambio climático. Con un lenguaje enérgico y para evidenciar la supuesta preocupación estadunidense, se refiere a que Washington debe estar preparado para “ejercer un fuerte liderazgo en función de ayudar a enfrentar necesidades humanitarias críticas”. El contingente militar desplegado en Haití fue una expresión ade- lantada de este precepto, que no es nuevo dentro de la proyección externa</w:t>
      </w:r>
      <w:r>
        <w:rPr>
          <w:color w:val="231F20"/>
          <w:spacing w:val="37"/>
          <w:w w:val="110"/>
        </w:rPr>
        <w:t> </w:t>
      </w:r>
      <w:r>
        <w:rPr>
          <w:color w:val="231F20"/>
          <w:w w:val="110"/>
        </w:rPr>
        <w:t>estadunidense.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México</w:t>
      </w:r>
      <w:r>
        <w:rPr>
          <w:color w:val="231F20"/>
          <w:spacing w:val="-16"/>
          <w:w w:val="110"/>
        </w:rPr>
        <w:t> </w:t>
      </w:r>
      <w:r>
        <w:rPr>
          <w:color w:val="231F20"/>
          <w:w w:val="110"/>
        </w:rPr>
        <w:t>es</w:t>
      </w:r>
      <w:r>
        <w:rPr>
          <w:color w:val="231F20"/>
          <w:spacing w:val="-16"/>
          <w:w w:val="110"/>
        </w:rPr>
        <w:t> </w:t>
      </w:r>
      <w:r>
        <w:rPr>
          <w:color w:val="231F20"/>
          <w:w w:val="110"/>
        </w:rPr>
        <w:t>abordado,</w:t>
      </w:r>
      <w:r>
        <w:rPr>
          <w:color w:val="231F20"/>
          <w:spacing w:val="-16"/>
          <w:w w:val="110"/>
        </w:rPr>
        <w:t> </w:t>
      </w:r>
      <w:r>
        <w:rPr>
          <w:color w:val="231F20"/>
          <w:w w:val="110"/>
        </w:rPr>
        <w:t>por</w:t>
      </w:r>
      <w:r>
        <w:rPr>
          <w:color w:val="231F20"/>
          <w:spacing w:val="-16"/>
          <w:w w:val="110"/>
        </w:rPr>
        <w:t> </w:t>
      </w:r>
      <w:r>
        <w:rPr>
          <w:color w:val="231F20"/>
          <w:w w:val="110"/>
        </w:rPr>
        <w:t>su</w:t>
      </w:r>
      <w:r>
        <w:rPr>
          <w:color w:val="231F20"/>
          <w:spacing w:val="-16"/>
          <w:w w:val="110"/>
        </w:rPr>
        <w:t> </w:t>
      </w:r>
      <w:r>
        <w:rPr>
          <w:color w:val="231F20"/>
          <w:w w:val="110"/>
        </w:rPr>
        <w:t>parte,</w:t>
      </w:r>
      <w:r>
        <w:rPr>
          <w:color w:val="231F20"/>
          <w:spacing w:val="-16"/>
          <w:w w:val="110"/>
        </w:rPr>
        <w:t> </w:t>
      </w:r>
      <w:r>
        <w:rPr>
          <w:color w:val="231F20"/>
          <w:w w:val="110"/>
        </w:rPr>
        <w:t>como</w:t>
      </w:r>
      <w:r>
        <w:rPr>
          <w:color w:val="231F20"/>
          <w:spacing w:val="-16"/>
          <w:w w:val="110"/>
        </w:rPr>
        <w:t> </w:t>
      </w:r>
      <w:r>
        <w:rPr>
          <w:color w:val="231F20"/>
          <w:w w:val="110"/>
        </w:rPr>
        <w:t>un</w:t>
      </w:r>
      <w:r>
        <w:rPr>
          <w:color w:val="231F20"/>
          <w:spacing w:val="-16"/>
          <w:w w:val="110"/>
        </w:rPr>
        <w:t> </w:t>
      </w:r>
      <w:r>
        <w:rPr>
          <w:color w:val="231F20"/>
          <w:w w:val="110"/>
        </w:rPr>
        <w:t>socio</w:t>
      </w:r>
      <w:r>
        <w:rPr>
          <w:color w:val="231F20"/>
          <w:spacing w:val="-16"/>
          <w:w w:val="110"/>
        </w:rPr>
        <w:t> </w:t>
      </w:r>
      <w:r>
        <w:rPr>
          <w:color w:val="231F20"/>
          <w:w w:val="110"/>
        </w:rPr>
        <w:t>estratégico</w:t>
      </w:r>
      <w:r>
        <w:rPr>
          <w:color w:val="231F20"/>
          <w:spacing w:val="-16"/>
          <w:w w:val="110"/>
        </w:rPr>
        <w:t> </w:t>
      </w:r>
      <w:r>
        <w:rPr>
          <w:color w:val="231F20"/>
          <w:w w:val="110"/>
        </w:rPr>
        <w:t>clave; Argentina</w:t>
      </w:r>
      <w:r>
        <w:rPr>
          <w:color w:val="231F20"/>
          <w:spacing w:val="-4"/>
          <w:w w:val="110"/>
        </w:rPr>
        <w:t> </w:t>
      </w:r>
      <w:r>
        <w:rPr>
          <w:color w:val="231F20"/>
          <w:w w:val="110"/>
        </w:rPr>
        <w:t>es</w:t>
      </w:r>
      <w:r>
        <w:rPr>
          <w:color w:val="231F20"/>
          <w:spacing w:val="-4"/>
          <w:w w:val="110"/>
        </w:rPr>
        <w:t> </w:t>
      </w:r>
      <w:r>
        <w:rPr>
          <w:color w:val="231F20"/>
          <w:w w:val="110"/>
        </w:rPr>
        <w:t>apenas</w:t>
      </w:r>
      <w:r>
        <w:rPr>
          <w:color w:val="231F20"/>
          <w:spacing w:val="-4"/>
          <w:w w:val="110"/>
        </w:rPr>
        <w:t> </w:t>
      </w:r>
      <w:r>
        <w:rPr>
          <w:color w:val="231F20"/>
          <w:w w:val="110"/>
        </w:rPr>
        <w:t>nombrada</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Organización</w:t>
      </w:r>
      <w:r>
        <w:rPr>
          <w:color w:val="231F20"/>
          <w:spacing w:val="-4"/>
          <w:w w:val="110"/>
        </w:rPr>
        <w:t> </w:t>
      </w:r>
      <w:r>
        <w:rPr>
          <w:color w:val="231F20"/>
          <w:w w:val="110"/>
        </w:rPr>
        <w:t>de</w:t>
      </w:r>
      <w:r>
        <w:rPr>
          <w:color w:val="231F20"/>
          <w:spacing w:val="-4"/>
          <w:w w:val="110"/>
        </w:rPr>
        <w:t> </w:t>
      </w:r>
      <w:r>
        <w:rPr>
          <w:color w:val="231F20"/>
          <w:w w:val="110"/>
        </w:rPr>
        <w:t>Estados</w:t>
      </w:r>
      <w:r>
        <w:rPr>
          <w:color w:val="231F20"/>
          <w:spacing w:val="-4"/>
          <w:w w:val="110"/>
        </w:rPr>
        <w:t> </w:t>
      </w:r>
      <w:r>
        <w:rPr>
          <w:color w:val="231F20"/>
          <w:w w:val="110"/>
        </w:rPr>
        <w:t>Ame- ricanos se le “recuerda” su papel tradicional de mecanismo de</w:t>
      </w:r>
      <w:r>
        <w:rPr>
          <w:color w:val="231F20"/>
          <w:spacing w:val="-35"/>
          <w:w w:val="110"/>
        </w:rPr>
        <w:t> </w:t>
      </w:r>
      <w:r>
        <w:rPr>
          <w:color w:val="231F20"/>
          <w:w w:val="110"/>
        </w:rPr>
        <w:t>domi- nación política en la región. Como parte del interés estadunidense, se</w:t>
      </w:r>
      <w:r>
        <w:rPr>
          <w:color w:val="231F20"/>
          <w:spacing w:val="-11"/>
          <w:w w:val="110"/>
        </w:rPr>
        <w:t> </w:t>
      </w:r>
      <w:r>
        <w:rPr>
          <w:color w:val="231F20"/>
          <w:w w:val="110"/>
        </w:rPr>
        <w:t>señala</w:t>
      </w:r>
      <w:r>
        <w:rPr>
          <w:color w:val="231F20"/>
          <w:spacing w:val="-11"/>
          <w:w w:val="110"/>
        </w:rPr>
        <w:t> </w:t>
      </w:r>
      <w:r>
        <w:rPr>
          <w:color w:val="231F20"/>
          <w:w w:val="110"/>
        </w:rPr>
        <w:t>el</w:t>
      </w:r>
      <w:r>
        <w:rPr>
          <w:color w:val="231F20"/>
          <w:spacing w:val="-11"/>
          <w:w w:val="110"/>
        </w:rPr>
        <w:t> </w:t>
      </w:r>
      <w:r>
        <w:rPr>
          <w:color w:val="231F20"/>
          <w:w w:val="110"/>
        </w:rPr>
        <w:t>apoyo</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valores</w:t>
      </w:r>
      <w:r>
        <w:rPr>
          <w:color w:val="231F20"/>
          <w:spacing w:val="-11"/>
          <w:w w:val="110"/>
        </w:rPr>
        <w:t> </w:t>
      </w:r>
      <w:r>
        <w:rPr>
          <w:color w:val="231F20"/>
          <w:w w:val="110"/>
        </w:rPr>
        <w:t>democráticos</w:t>
      </w:r>
      <w:r>
        <w:rPr>
          <w:color w:val="231F20"/>
          <w:spacing w:val="-11"/>
          <w:w w:val="110"/>
        </w:rPr>
        <w:t> </w:t>
      </w:r>
      <w:r>
        <w:rPr>
          <w:color w:val="231F20"/>
          <w:w w:val="110"/>
        </w:rPr>
        <w:t>entre</w:t>
      </w:r>
      <w:r>
        <w:rPr>
          <w:color w:val="231F20"/>
          <w:spacing w:val="-11"/>
          <w:w w:val="110"/>
        </w:rPr>
        <w:t> </w:t>
      </w:r>
      <w:r>
        <w:rPr>
          <w:color w:val="231F20"/>
          <w:w w:val="110"/>
        </w:rPr>
        <w:t>las</w:t>
      </w:r>
      <w:r>
        <w:rPr>
          <w:color w:val="231F20"/>
          <w:spacing w:val="-11"/>
          <w:w w:val="110"/>
        </w:rPr>
        <w:t> </w:t>
      </w:r>
      <w:r>
        <w:rPr>
          <w:color w:val="231F20"/>
          <w:w w:val="110"/>
        </w:rPr>
        <w:t>naciones</w:t>
      </w:r>
      <w:r>
        <w:rPr>
          <w:color w:val="231F20"/>
          <w:spacing w:val="-11"/>
          <w:w w:val="110"/>
        </w:rPr>
        <w:t> </w:t>
      </w:r>
      <w:r>
        <w:rPr>
          <w:color w:val="231F20"/>
          <w:w w:val="110"/>
        </w:rPr>
        <w:t>y</w:t>
      </w:r>
      <w:r>
        <w:rPr>
          <w:color w:val="231F20"/>
          <w:spacing w:val="-11"/>
          <w:w w:val="110"/>
        </w:rPr>
        <w:t> </w:t>
      </w:r>
      <w:r>
        <w:rPr>
          <w:color w:val="231F20"/>
          <w:w w:val="110"/>
        </w:rPr>
        <w:t>a</w:t>
      </w:r>
      <w:r>
        <w:rPr>
          <w:color w:val="231F20"/>
          <w:spacing w:val="-11"/>
          <w:w w:val="110"/>
        </w:rPr>
        <w:t> </w:t>
      </w:r>
      <w:r>
        <w:rPr>
          <w:color w:val="231F20"/>
          <w:w w:val="110"/>
        </w:rPr>
        <w:t>la defensa</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derechos</w:t>
      </w:r>
      <w:r>
        <w:rPr>
          <w:color w:val="231F20"/>
          <w:spacing w:val="-6"/>
          <w:w w:val="110"/>
        </w:rPr>
        <w:t> </w:t>
      </w:r>
      <w:r>
        <w:rPr>
          <w:color w:val="231F20"/>
          <w:w w:val="110"/>
        </w:rPr>
        <w:t>humanos,</w:t>
      </w:r>
      <w:r>
        <w:rPr>
          <w:color w:val="231F20"/>
          <w:spacing w:val="-6"/>
          <w:w w:val="110"/>
        </w:rPr>
        <w:t> </w:t>
      </w:r>
      <w:r>
        <w:rPr>
          <w:color w:val="231F20"/>
          <w:w w:val="110"/>
        </w:rPr>
        <w:t>reconociéndose</w:t>
      </w:r>
      <w:r>
        <w:rPr>
          <w:color w:val="231F20"/>
          <w:spacing w:val="-6"/>
          <w:w w:val="110"/>
        </w:rPr>
        <w:t> </w:t>
      </w:r>
      <w:r>
        <w:rPr>
          <w:color w:val="231F20"/>
          <w:w w:val="110"/>
        </w:rPr>
        <w:t>el</w:t>
      </w:r>
      <w:r>
        <w:rPr>
          <w:color w:val="231F20"/>
          <w:spacing w:val="-6"/>
          <w:w w:val="110"/>
        </w:rPr>
        <w:t> </w:t>
      </w:r>
      <w:r>
        <w:rPr>
          <w:color w:val="231F20"/>
          <w:w w:val="110"/>
        </w:rPr>
        <w:t>compromiso</w:t>
      </w:r>
      <w:r>
        <w:rPr>
          <w:color w:val="231F20"/>
          <w:spacing w:val="-6"/>
          <w:w w:val="110"/>
        </w:rPr>
        <w:t> </w:t>
      </w:r>
      <w:r>
        <w:rPr>
          <w:color w:val="231F20"/>
          <w:w w:val="110"/>
        </w:rPr>
        <w:t>de Estados</w:t>
      </w:r>
      <w:r>
        <w:rPr>
          <w:color w:val="231F20"/>
          <w:spacing w:val="-20"/>
          <w:w w:val="110"/>
        </w:rPr>
        <w:t> </w:t>
      </w:r>
      <w:r>
        <w:rPr>
          <w:color w:val="231F20"/>
          <w:w w:val="110"/>
        </w:rPr>
        <w:t>Unidos</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sociedad</w:t>
      </w:r>
      <w:r>
        <w:rPr>
          <w:color w:val="231F20"/>
          <w:spacing w:val="-20"/>
          <w:w w:val="110"/>
        </w:rPr>
        <w:t> </w:t>
      </w:r>
      <w:r>
        <w:rPr>
          <w:color w:val="231F20"/>
          <w:w w:val="110"/>
        </w:rPr>
        <w:t>civil</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oposición</w:t>
      </w:r>
      <w:r>
        <w:rPr>
          <w:color w:val="231F20"/>
          <w:spacing w:val="-20"/>
          <w:w w:val="110"/>
        </w:rPr>
        <w:t> </w:t>
      </w:r>
      <w:r>
        <w:rPr>
          <w:color w:val="231F20"/>
          <w:w w:val="110"/>
        </w:rPr>
        <w:t>política</w:t>
      </w:r>
      <w:r>
        <w:rPr>
          <w:color w:val="231F20"/>
          <w:spacing w:val="-20"/>
          <w:w w:val="110"/>
        </w:rPr>
        <w:t> </w:t>
      </w:r>
      <w:r>
        <w:rPr>
          <w:color w:val="231F20"/>
          <w:w w:val="110"/>
        </w:rPr>
        <w:t>pacífica,</w:t>
      </w:r>
      <w:r>
        <w:rPr>
          <w:color w:val="231F20"/>
          <w:spacing w:val="-20"/>
          <w:w w:val="110"/>
        </w:rPr>
        <w:t> </w:t>
      </w:r>
      <w:r>
        <w:rPr>
          <w:color w:val="231F20"/>
          <w:w w:val="110"/>
        </w:rPr>
        <w:t>y que</w:t>
      </w:r>
      <w:r>
        <w:rPr>
          <w:color w:val="231F20"/>
          <w:spacing w:val="-17"/>
          <w:w w:val="110"/>
        </w:rPr>
        <w:t> </w:t>
      </w:r>
      <w:r>
        <w:rPr>
          <w:color w:val="231F20"/>
          <w:w w:val="110"/>
        </w:rPr>
        <w:t>continuará</w:t>
      </w:r>
      <w:r>
        <w:rPr>
          <w:color w:val="231F20"/>
          <w:spacing w:val="-17"/>
          <w:w w:val="110"/>
        </w:rPr>
        <w:t> </w:t>
      </w:r>
      <w:r>
        <w:rPr>
          <w:color w:val="231F20"/>
          <w:w w:val="110"/>
        </w:rPr>
        <w:t>el</w:t>
      </w:r>
      <w:r>
        <w:rPr>
          <w:color w:val="231F20"/>
          <w:spacing w:val="-17"/>
          <w:w w:val="110"/>
        </w:rPr>
        <w:t> </w:t>
      </w:r>
      <w:r>
        <w:rPr>
          <w:color w:val="231F20"/>
          <w:w w:val="110"/>
        </w:rPr>
        <w:t>apoyo</w:t>
      </w:r>
      <w:r>
        <w:rPr>
          <w:color w:val="231F20"/>
          <w:spacing w:val="-17"/>
          <w:w w:val="110"/>
        </w:rPr>
        <w:t> </w:t>
      </w:r>
      <w:r>
        <w:rPr>
          <w:color w:val="231F20"/>
          <w:w w:val="110"/>
        </w:rPr>
        <w:t>abierto</w:t>
      </w:r>
      <w:r>
        <w:rPr>
          <w:color w:val="231F20"/>
          <w:spacing w:val="-17"/>
          <w:w w:val="110"/>
        </w:rPr>
        <w:t> </w:t>
      </w:r>
      <w:r>
        <w:rPr>
          <w:color w:val="231F20"/>
          <w:w w:val="110"/>
        </w:rPr>
        <w:t>y</w:t>
      </w:r>
      <w:r>
        <w:rPr>
          <w:color w:val="231F20"/>
          <w:spacing w:val="-17"/>
          <w:w w:val="110"/>
        </w:rPr>
        <w:t> </w:t>
      </w:r>
      <w:r>
        <w:rPr>
          <w:color w:val="231F20"/>
          <w:w w:val="110"/>
        </w:rPr>
        <w:t>encubierto</w:t>
      </w:r>
      <w:r>
        <w:rPr>
          <w:color w:val="231F20"/>
          <w:spacing w:val="-17"/>
          <w:w w:val="110"/>
        </w:rPr>
        <w:t> </w:t>
      </w:r>
      <w:r>
        <w:rPr>
          <w:color w:val="231F20"/>
          <w:w w:val="110"/>
        </w:rPr>
        <w:t>a</w:t>
      </w:r>
      <w:r>
        <w:rPr>
          <w:color w:val="231F20"/>
          <w:spacing w:val="-17"/>
          <w:w w:val="110"/>
        </w:rPr>
        <w:t> </w:t>
      </w:r>
      <w:r>
        <w:rPr>
          <w:color w:val="231F20"/>
          <w:w w:val="110"/>
        </w:rPr>
        <w:t>las</w:t>
      </w:r>
      <w:r>
        <w:rPr>
          <w:color w:val="231F20"/>
          <w:spacing w:val="-17"/>
          <w:w w:val="110"/>
        </w:rPr>
        <w:t> </w:t>
      </w:r>
      <w:r>
        <w:rPr>
          <w:color w:val="231F20"/>
          <w:w w:val="110"/>
        </w:rPr>
        <w:t>iniciativas</w:t>
      </w:r>
      <w:r>
        <w:rPr>
          <w:color w:val="231F20"/>
          <w:spacing w:val="-17"/>
          <w:w w:val="110"/>
        </w:rPr>
        <w:t> </w:t>
      </w:r>
      <w:r>
        <w:rPr>
          <w:color w:val="231F20"/>
          <w:w w:val="110"/>
        </w:rPr>
        <w:t>dirigidas a impedir la consolidación de movimientos y fuerzas políticas que obstaculicen sus planes de dominación en diferentes países. Podría pensarse en los casos de Venezuela y</w:t>
      </w:r>
      <w:r>
        <w:rPr>
          <w:color w:val="231F20"/>
          <w:spacing w:val="-34"/>
          <w:w w:val="110"/>
        </w:rPr>
        <w:t> </w:t>
      </w:r>
      <w:r>
        <w:rPr>
          <w:color w:val="231F20"/>
          <w:w w:val="110"/>
        </w:rPr>
        <w:t>Cuba.</w:t>
      </w:r>
    </w:p>
    <w:p>
      <w:pPr>
        <w:pStyle w:val="BodyText"/>
        <w:spacing w:line="261" w:lineRule="auto"/>
        <w:ind w:left="100" w:right="117" w:firstLine="240"/>
        <w:jc w:val="both"/>
      </w:pPr>
      <w:r>
        <w:rPr>
          <w:color w:val="231F20"/>
          <w:w w:val="110"/>
        </w:rPr>
        <w:t>Aunque</w:t>
      </w:r>
      <w:r>
        <w:rPr>
          <w:color w:val="231F20"/>
          <w:spacing w:val="-12"/>
          <w:w w:val="110"/>
        </w:rPr>
        <w:t> </w:t>
      </w:r>
      <w:r>
        <w:rPr>
          <w:color w:val="231F20"/>
          <w:w w:val="110"/>
        </w:rPr>
        <w:t>Obama</w:t>
      </w:r>
      <w:r>
        <w:rPr>
          <w:color w:val="231F20"/>
          <w:spacing w:val="-12"/>
          <w:w w:val="110"/>
        </w:rPr>
        <w:t> </w:t>
      </w:r>
      <w:r>
        <w:rPr>
          <w:color w:val="231F20"/>
          <w:w w:val="110"/>
        </w:rPr>
        <w:t>se</w:t>
      </w:r>
      <w:r>
        <w:rPr>
          <w:color w:val="231F20"/>
          <w:spacing w:val="-12"/>
          <w:w w:val="110"/>
        </w:rPr>
        <w:t> </w:t>
      </w:r>
      <w:r>
        <w:rPr>
          <w:color w:val="231F20"/>
          <w:w w:val="110"/>
        </w:rPr>
        <w:t>aparta</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lenguaje</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administración</w:t>
      </w:r>
      <w:r>
        <w:rPr>
          <w:color w:val="231F20"/>
          <w:spacing w:val="-12"/>
          <w:w w:val="110"/>
        </w:rPr>
        <w:t> </w:t>
      </w:r>
      <w:r>
        <w:rPr>
          <w:color w:val="231F20"/>
          <w:w w:val="110"/>
        </w:rPr>
        <w:t>Bush al</w:t>
      </w:r>
      <w:r>
        <w:rPr>
          <w:color w:val="231F20"/>
          <w:spacing w:val="-5"/>
          <w:w w:val="110"/>
        </w:rPr>
        <w:t> </w:t>
      </w:r>
      <w:r>
        <w:rPr>
          <w:color w:val="231F20"/>
          <w:w w:val="110"/>
        </w:rPr>
        <w:t>priorizar</w:t>
      </w:r>
      <w:r>
        <w:rPr>
          <w:color w:val="231F20"/>
          <w:spacing w:val="-5"/>
          <w:w w:val="110"/>
        </w:rPr>
        <w:t> </w:t>
      </w:r>
      <w:r>
        <w:rPr>
          <w:color w:val="231F20"/>
          <w:w w:val="110"/>
        </w:rPr>
        <w:t>—como</w:t>
      </w:r>
      <w:r>
        <w:rPr>
          <w:color w:val="231F20"/>
          <w:spacing w:val="-5"/>
          <w:w w:val="110"/>
        </w:rPr>
        <w:t> </w:t>
      </w:r>
      <w:r>
        <w:rPr>
          <w:color w:val="231F20"/>
          <w:w w:val="110"/>
        </w:rPr>
        <w:t>medio</w:t>
      </w:r>
      <w:r>
        <w:rPr>
          <w:color w:val="231F20"/>
          <w:spacing w:val="-5"/>
          <w:w w:val="110"/>
        </w:rPr>
        <w:t> </w:t>
      </w:r>
      <w:r>
        <w:rPr>
          <w:color w:val="231F20"/>
          <w:w w:val="110"/>
        </w:rPr>
        <w:t>para</w:t>
      </w:r>
      <w:r>
        <w:rPr>
          <w:color w:val="231F20"/>
          <w:spacing w:val="-5"/>
          <w:w w:val="110"/>
        </w:rPr>
        <w:t> </w:t>
      </w:r>
      <w:r>
        <w:rPr>
          <w:color w:val="231F20"/>
          <w:w w:val="110"/>
        </w:rPr>
        <w:t>alcanzar</w:t>
      </w:r>
      <w:r>
        <w:rPr>
          <w:color w:val="231F20"/>
          <w:spacing w:val="-5"/>
          <w:w w:val="110"/>
        </w:rPr>
        <w:t> </w:t>
      </w:r>
      <w:r>
        <w:rPr>
          <w:color w:val="231F20"/>
          <w:w w:val="110"/>
        </w:rPr>
        <w:t>los</w:t>
      </w:r>
      <w:r>
        <w:rPr>
          <w:color w:val="231F20"/>
          <w:spacing w:val="-5"/>
          <w:w w:val="110"/>
        </w:rPr>
        <w:t> </w:t>
      </w:r>
      <w:r>
        <w:rPr>
          <w:color w:val="231F20"/>
          <w:w w:val="110"/>
        </w:rPr>
        <w:t>objetivos</w:t>
      </w:r>
      <w:r>
        <w:rPr>
          <w:color w:val="231F20"/>
          <w:spacing w:val="-5"/>
          <w:w w:val="110"/>
        </w:rPr>
        <w:t> </w:t>
      </w:r>
      <w:r>
        <w:rPr>
          <w:color w:val="231F20"/>
          <w:w w:val="110"/>
        </w:rPr>
        <w:t>de</w:t>
      </w:r>
      <w:r>
        <w:rPr>
          <w:color w:val="231F20"/>
          <w:spacing w:val="-5"/>
          <w:w w:val="110"/>
        </w:rPr>
        <w:t> </w:t>
      </w:r>
      <w:r>
        <w:rPr>
          <w:color w:val="231F20"/>
          <w:w w:val="110"/>
        </w:rPr>
        <w:t>política</w:t>
      </w:r>
      <w:r>
        <w:rPr>
          <w:color w:val="231F20"/>
          <w:spacing w:val="-5"/>
          <w:w w:val="110"/>
        </w:rPr>
        <w:t> </w:t>
      </w:r>
      <w:r>
        <w:rPr>
          <w:color w:val="231F20"/>
          <w:w w:val="110"/>
        </w:rPr>
        <w:t>ex- terior—, la diplomacia frente al conflicto armado, poniendo acento en</w:t>
      </w:r>
      <w:r>
        <w:rPr>
          <w:color w:val="231F20"/>
          <w:spacing w:val="-11"/>
          <w:w w:val="110"/>
        </w:rPr>
        <w:t> </w:t>
      </w:r>
      <w:r>
        <w:rPr>
          <w:color w:val="231F20"/>
          <w:w w:val="110"/>
        </w:rPr>
        <w:t>la</w:t>
      </w:r>
      <w:r>
        <w:rPr>
          <w:color w:val="231F20"/>
          <w:spacing w:val="-11"/>
          <w:w w:val="110"/>
        </w:rPr>
        <w:t> </w:t>
      </w:r>
      <w:r>
        <w:rPr>
          <w:color w:val="231F20"/>
          <w:w w:val="110"/>
        </w:rPr>
        <w:t>cooperación</w:t>
      </w:r>
      <w:r>
        <w:rPr>
          <w:color w:val="231F20"/>
          <w:spacing w:val="-11"/>
          <w:w w:val="110"/>
        </w:rPr>
        <w:t> </w:t>
      </w:r>
      <w:r>
        <w:rPr>
          <w:color w:val="231F20"/>
          <w:w w:val="110"/>
        </w:rPr>
        <w:t>global</w:t>
      </w:r>
      <w:r>
        <w:rPr>
          <w:color w:val="231F20"/>
          <w:spacing w:val="-11"/>
          <w:w w:val="110"/>
        </w:rPr>
        <w:t> </w:t>
      </w:r>
      <w:r>
        <w:rPr>
          <w:color w:val="231F20"/>
          <w:w w:val="110"/>
        </w:rPr>
        <w:t>así</w:t>
      </w:r>
      <w:r>
        <w:rPr>
          <w:color w:val="231F20"/>
          <w:spacing w:val="-11"/>
          <w:w w:val="110"/>
        </w:rPr>
        <w:t> </w:t>
      </w:r>
      <w:r>
        <w:rPr>
          <w:color w:val="231F20"/>
          <w:w w:val="110"/>
        </w:rPr>
        <w:t>como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conformación</w:t>
      </w:r>
      <w:r>
        <w:rPr>
          <w:color w:val="231F20"/>
          <w:spacing w:val="-11"/>
          <w:w w:val="110"/>
        </w:rPr>
        <w:t> </w:t>
      </w:r>
      <w:r>
        <w:rPr>
          <w:color w:val="231F20"/>
          <w:w w:val="110"/>
        </w:rPr>
        <w:t>de</w:t>
      </w:r>
      <w:r>
        <w:rPr>
          <w:color w:val="231F20"/>
          <w:spacing w:val="-11"/>
          <w:w w:val="110"/>
        </w:rPr>
        <w:t> </w:t>
      </w:r>
      <w:r>
        <w:rPr>
          <w:color w:val="231F20"/>
          <w:w w:val="110"/>
        </w:rPr>
        <w:t>alianzas,</w:t>
      </w:r>
      <w:r>
        <w:rPr>
          <w:color w:val="231F20"/>
          <w:spacing w:val="-11"/>
          <w:w w:val="110"/>
        </w:rPr>
        <w:t> </w:t>
      </w:r>
      <w:r>
        <w:rPr>
          <w:color w:val="231F20"/>
          <w:w w:val="110"/>
        </w:rPr>
        <w:t>no llega a expresar un distanciamiento absoluto en cuanto a la doctrina de</w:t>
      </w:r>
      <w:r>
        <w:rPr>
          <w:color w:val="231F20"/>
          <w:spacing w:val="-5"/>
          <w:w w:val="110"/>
        </w:rPr>
        <w:t> </w:t>
      </w:r>
      <w:r>
        <w:rPr>
          <w:color w:val="231F20"/>
          <w:w w:val="110"/>
        </w:rPr>
        <w:t>la</w:t>
      </w:r>
      <w:r>
        <w:rPr>
          <w:color w:val="231F20"/>
          <w:spacing w:val="-5"/>
          <w:w w:val="110"/>
        </w:rPr>
        <w:t> </w:t>
      </w:r>
      <w:r>
        <w:rPr>
          <w:color w:val="231F20"/>
          <w:w w:val="110"/>
        </w:rPr>
        <w:t>guerra</w:t>
      </w:r>
      <w:r>
        <w:rPr>
          <w:color w:val="231F20"/>
          <w:spacing w:val="-5"/>
          <w:w w:val="110"/>
        </w:rPr>
        <w:t> </w:t>
      </w:r>
      <w:r>
        <w:rPr>
          <w:color w:val="231F20"/>
          <w:w w:val="110"/>
        </w:rPr>
        <w:t>preventiva.</w:t>
      </w:r>
      <w:r>
        <w:rPr>
          <w:color w:val="231F20"/>
          <w:spacing w:val="-5"/>
          <w:w w:val="110"/>
        </w:rPr>
        <w:t> </w:t>
      </w:r>
      <w:r>
        <w:rPr>
          <w:color w:val="231F20"/>
          <w:w w:val="110"/>
        </w:rPr>
        <w:t>A</w:t>
      </w:r>
      <w:r>
        <w:rPr>
          <w:color w:val="231F20"/>
          <w:spacing w:val="-5"/>
          <w:w w:val="110"/>
        </w:rPr>
        <w:t> </w:t>
      </w:r>
      <w:r>
        <w:rPr>
          <w:color w:val="231F20"/>
          <w:w w:val="110"/>
        </w:rPr>
        <w:t>pesar</w:t>
      </w:r>
      <w:r>
        <w:rPr>
          <w:color w:val="231F20"/>
          <w:spacing w:val="-5"/>
          <w:w w:val="110"/>
        </w:rPr>
        <w:t> </w:t>
      </w:r>
      <w:r>
        <w:rPr>
          <w:color w:val="231F20"/>
          <w:w w:val="110"/>
        </w:rPr>
        <w:t>del</w:t>
      </w:r>
      <w:r>
        <w:rPr>
          <w:color w:val="231F20"/>
          <w:spacing w:val="-5"/>
          <w:w w:val="110"/>
        </w:rPr>
        <w:t> </w:t>
      </w:r>
      <w:r>
        <w:rPr>
          <w:color w:val="231F20"/>
          <w:w w:val="110"/>
        </w:rPr>
        <w:t>esfuerzo</w:t>
      </w:r>
      <w:r>
        <w:rPr>
          <w:color w:val="231F20"/>
          <w:spacing w:val="-5"/>
          <w:w w:val="110"/>
        </w:rPr>
        <w:t> </w:t>
      </w:r>
      <w:r>
        <w:rPr>
          <w:color w:val="231F20"/>
          <w:w w:val="110"/>
        </w:rPr>
        <w:t>por</w:t>
      </w:r>
      <w:r>
        <w:rPr>
          <w:color w:val="231F20"/>
          <w:spacing w:val="-5"/>
          <w:w w:val="110"/>
        </w:rPr>
        <w:t> </w:t>
      </w:r>
      <w:r>
        <w:rPr>
          <w:color w:val="231F20"/>
          <w:w w:val="110"/>
        </w:rPr>
        <w:t>emplear</w:t>
      </w:r>
      <w:r>
        <w:rPr>
          <w:color w:val="231F20"/>
          <w:spacing w:val="-5"/>
          <w:w w:val="110"/>
        </w:rPr>
        <w:t> </w:t>
      </w:r>
      <w:r>
        <w:rPr>
          <w:color w:val="231F20"/>
          <w:w w:val="110"/>
        </w:rPr>
        <w:t>matices,</w:t>
      </w:r>
      <w:r>
        <w:rPr>
          <w:color w:val="231F20"/>
          <w:spacing w:val="-5"/>
          <w:w w:val="110"/>
        </w:rPr>
        <w:t> </w:t>
      </w:r>
      <w:r>
        <w:rPr>
          <w:color w:val="231F20"/>
          <w:w w:val="110"/>
        </w:rPr>
        <w:t>el documento ratifica la tradicional proyección belicista, al afirmar</w:t>
      </w:r>
      <w:r>
        <w:rPr>
          <w:color w:val="231F20"/>
          <w:spacing w:val="-33"/>
          <w:w w:val="110"/>
        </w:rPr>
        <w:t> </w:t>
      </w:r>
      <w:r>
        <w:rPr>
          <w:color w:val="231F20"/>
          <w:w w:val="110"/>
        </w:rPr>
        <w:t>que “mantendremos la superioridad militar que ha asegurado a nuestro país,</w:t>
      </w:r>
      <w:r>
        <w:rPr>
          <w:color w:val="231F20"/>
          <w:spacing w:val="-14"/>
          <w:w w:val="110"/>
        </w:rPr>
        <w:t> </w:t>
      </w:r>
      <w:r>
        <w:rPr>
          <w:color w:val="231F20"/>
          <w:w w:val="110"/>
        </w:rPr>
        <w:t>y</w:t>
      </w:r>
      <w:r>
        <w:rPr>
          <w:color w:val="231F20"/>
          <w:spacing w:val="-14"/>
          <w:w w:val="110"/>
        </w:rPr>
        <w:t> </w:t>
      </w:r>
      <w:r>
        <w:rPr>
          <w:color w:val="231F20"/>
          <w:w w:val="110"/>
        </w:rPr>
        <w:t>ha</w:t>
      </w:r>
      <w:r>
        <w:rPr>
          <w:color w:val="231F20"/>
          <w:spacing w:val="-14"/>
          <w:w w:val="110"/>
        </w:rPr>
        <w:t> </w:t>
      </w:r>
      <w:r>
        <w:rPr>
          <w:color w:val="231F20"/>
          <w:w w:val="110"/>
        </w:rPr>
        <w:t>apoyado</w:t>
      </w:r>
      <w:r>
        <w:rPr>
          <w:color w:val="231F20"/>
          <w:spacing w:val="-14"/>
          <w:w w:val="110"/>
        </w:rPr>
        <w:t> </w:t>
      </w:r>
      <w:r>
        <w:rPr>
          <w:color w:val="231F20"/>
          <w:w w:val="110"/>
        </w:rPr>
        <w:t>la</w:t>
      </w:r>
      <w:r>
        <w:rPr>
          <w:color w:val="231F20"/>
          <w:spacing w:val="-14"/>
          <w:w w:val="110"/>
        </w:rPr>
        <w:t> </w:t>
      </w:r>
      <w:r>
        <w:rPr>
          <w:color w:val="231F20"/>
          <w:w w:val="110"/>
        </w:rPr>
        <w:t>seguridad</w:t>
      </w:r>
      <w:r>
        <w:rPr>
          <w:color w:val="231F20"/>
          <w:spacing w:val="-14"/>
          <w:w w:val="110"/>
        </w:rPr>
        <w:t> </w:t>
      </w:r>
      <w:r>
        <w:rPr>
          <w:color w:val="231F20"/>
          <w:w w:val="110"/>
        </w:rPr>
        <w:t>mundial,</w:t>
      </w:r>
      <w:r>
        <w:rPr>
          <w:color w:val="231F20"/>
          <w:spacing w:val="-14"/>
          <w:w w:val="110"/>
        </w:rPr>
        <w:t> </w:t>
      </w:r>
      <w:r>
        <w:rPr>
          <w:color w:val="231F20"/>
          <w:w w:val="110"/>
        </w:rPr>
        <w:t>durante</w:t>
      </w:r>
      <w:r>
        <w:rPr>
          <w:color w:val="231F20"/>
          <w:spacing w:val="-14"/>
          <w:w w:val="110"/>
        </w:rPr>
        <w:t> </w:t>
      </w:r>
      <w:r>
        <w:rPr>
          <w:color w:val="231F20"/>
          <w:w w:val="110"/>
        </w:rPr>
        <w:t>decenios</w:t>
      </w:r>
      <w:r>
        <w:rPr>
          <w:color w:val="231F20"/>
          <w:spacing w:val="-14"/>
          <w:w w:val="110"/>
        </w:rPr>
        <w:t> </w:t>
      </w:r>
      <w:r>
        <w:rPr>
          <w:color w:val="231F20"/>
          <w:w w:val="110"/>
        </w:rPr>
        <w:t>[…]</w:t>
      </w:r>
      <w:r>
        <w:rPr>
          <w:color w:val="231F20"/>
          <w:spacing w:val="-14"/>
          <w:w w:val="110"/>
        </w:rPr>
        <w:t> </w:t>
      </w:r>
      <w:r>
        <w:rPr>
          <w:color w:val="231F20"/>
          <w:w w:val="110"/>
        </w:rPr>
        <w:t>Nues- tras fuerzas armadas siempre serán la piedra fundamental de nuestra seguridad”. Es </w:t>
      </w:r>
      <w:r>
        <w:rPr>
          <w:color w:val="231F20"/>
          <w:spacing w:val="-3"/>
          <w:w w:val="110"/>
        </w:rPr>
        <w:t>decir, </w:t>
      </w:r>
      <w:r>
        <w:rPr>
          <w:color w:val="231F20"/>
          <w:w w:val="110"/>
        </w:rPr>
        <w:t>si bien se destaca un contraste con la estrategia de</w:t>
      </w:r>
      <w:r>
        <w:rPr>
          <w:color w:val="231F20"/>
          <w:spacing w:val="-8"/>
          <w:w w:val="110"/>
        </w:rPr>
        <w:t> </w:t>
      </w:r>
      <w:r>
        <w:rPr>
          <w:color w:val="231F20"/>
          <w:w w:val="110"/>
        </w:rPr>
        <w:t>2006,</w:t>
      </w:r>
      <w:r>
        <w:rPr>
          <w:color w:val="231F20"/>
          <w:spacing w:val="-8"/>
          <w:w w:val="110"/>
        </w:rPr>
        <w:t> </w:t>
      </w:r>
      <w:r>
        <w:rPr>
          <w:color w:val="231F20"/>
          <w:w w:val="110"/>
        </w:rPr>
        <w:t>al</w:t>
      </w:r>
      <w:r>
        <w:rPr>
          <w:color w:val="231F20"/>
          <w:spacing w:val="-8"/>
          <w:w w:val="110"/>
        </w:rPr>
        <w:t> </w:t>
      </w:r>
      <w:r>
        <w:rPr>
          <w:color w:val="231F20"/>
          <w:w w:val="110"/>
        </w:rPr>
        <w:t>subrayarse</w:t>
      </w:r>
      <w:r>
        <w:rPr>
          <w:color w:val="231F20"/>
          <w:spacing w:val="-8"/>
          <w:w w:val="110"/>
        </w:rPr>
        <w:t> </w:t>
      </w:r>
      <w:r>
        <w:rPr>
          <w:color w:val="231F20"/>
          <w:w w:val="110"/>
        </w:rPr>
        <w:t>el</w:t>
      </w:r>
      <w:r>
        <w:rPr>
          <w:color w:val="231F20"/>
          <w:spacing w:val="-8"/>
          <w:w w:val="110"/>
        </w:rPr>
        <w:t> </w:t>
      </w:r>
      <w:r>
        <w:rPr>
          <w:color w:val="231F20"/>
          <w:w w:val="110"/>
        </w:rPr>
        <w:t>papel</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diplomacia</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compromiso,</w:t>
      </w:r>
      <w:r>
        <w:rPr>
          <w:color w:val="231F20"/>
          <w:spacing w:val="-8"/>
          <w:w w:val="110"/>
        </w:rPr>
        <w:t> </w:t>
      </w:r>
      <w:r>
        <w:rPr>
          <w:color w:val="231F20"/>
          <w:w w:val="110"/>
        </w:rPr>
        <w:t>no se deja de reconocer lo imperioso que resulta conjugar, junto a una política de “poder inteligente”, los instrumentos que conforman un enfoque integral, que incluye también los del llamado “poder duro” y poder blando” ante los procesos y escenarios actuales, que retan su</w:t>
      </w:r>
      <w:r>
        <w:rPr>
          <w:color w:val="231F20"/>
          <w:spacing w:val="18"/>
          <w:w w:val="110"/>
        </w:rPr>
        <w:t> </w:t>
      </w:r>
      <w:r>
        <w:rPr>
          <w:color w:val="231F20"/>
          <w:w w:val="110"/>
        </w:rPr>
        <w:t>hegemonía.</w:t>
      </w:r>
    </w:p>
    <w:p>
      <w:pPr>
        <w:pStyle w:val="BodyText"/>
      </w:pPr>
    </w:p>
    <w:p>
      <w:pPr>
        <w:pStyle w:val="BodyText"/>
      </w:pPr>
    </w:p>
    <w:p>
      <w:pPr>
        <w:pStyle w:val="BodyText"/>
        <w:spacing w:before="2"/>
        <w:rPr>
          <w:sz w:val="25"/>
        </w:rPr>
      </w:pPr>
    </w:p>
    <w:p>
      <w:pPr>
        <w:pStyle w:val="BodyText"/>
        <w:spacing w:line="261" w:lineRule="auto"/>
        <w:ind w:left="100" w:right="2212"/>
      </w:pPr>
      <w:r>
        <w:rPr>
          <w:color w:val="231F20"/>
          <w:w w:val="125"/>
        </w:rPr>
        <w:t>estados unidos ante la crisis sistémica: vigencia de una geopolítica “olvidada”</w:t>
      </w:r>
    </w:p>
    <w:p>
      <w:pPr>
        <w:pStyle w:val="BodyText"/>
        <w:spacing w:before="8"/>
        <w:rPr>
          <w:sz w:val="21"/>
        </w:rPr>
      </w:pPr>
    </w:p>
    <w:p>
      <w:pPr>
        <w:pStyle w:val="BodyText"/>
        <w:spacing w:line="261" w:lineRule="auto"/>
        <w:ind w:left="100" w:right="119"/>
        <w:jc w:val="both"/>
      </w:pPr>
      <w:r>
        <w:rPr>
          <w:color w:val="231F20"/>
          <w:w w:val="110"/>
        </w:rPr>
        <w:t>Obama</w:t>
      </w:r>
      <w:r>
        <w:rPr>
          <w:color w:val="231F20"/>
          <w:spacing w:val="26"/>
          <w:w w:val="110"/>
        </w:rPr>
        <w:t> </w:t>
      </w:r>
      <w:r>
        <w:rPr>
          <w:color w:val="231F20"/>
          <w:w w:val="110"/>
        </w:rPr>
        <w:t>asume</w:t>
      </w:r>
      <w:r>
        <w:rPr>
          <w:color w:val="231F20"/>
          <w:spacing w:val="26"/>
          <w:w w:val="110"/>
        </w:rPr>
        <w:t> </w:t>
      </w:r>
      <w:r>
        <w:rPr>
          <w:color w:val="231F20"/>
          <w:w w:val="110"/>
        </w:rPr>
        <w:t>la</w:t>
      </w:r>
      <w:r>
        <w:rPr>
          <w:color w:val="231F20"/>
          <w:spacing w:val="26"/>
          <w:w w:val="110"/>
        </w:rPr>
        <w:t> </w:t>
      </w:r>
      <w:r>
        <w:rPr>
          <w:color w:val="231F20"/>
          <w:w w:val="110"/>
        </w:rPr>
        <w:t>presidencia</w:t>
      </w:r>
      <w:r>
        <w:rPr>
          <w:color w:val="231F20"/>
          <w:spacing w:val="26"/>
          <w:w w:val="110"/>
        </w:rPr>
        <w:t> </w:t>
      </w:r>
      <w:r>
        <w:rPr>
          <w:color w:val="231F20"/>
          <w:w w:val="110"/>
        </w:rPr>
        <w:t>en</w:t>
      </w:r>
      <w:r>
        <w:rPr>
          <w:color w:val="231F20"/>
          <w:spacing w:val="26"/>
          <w:w w:val="110"/>
        </w:rPr>
        <w:t> </w:t>
      </w:r>
      <w:r>
        <w:rPr>
          <w:color w:val="231F20"/>
          <w:w w:val="110"/>
        </w:rPr>
        <w:t>un</w:t>
      </w:r>
      <w:r>
        <w:rPr>
          <w:color w:val="231F20"/>
          <w:spacing w:val="26"/>
          <w:w w:val="110"/>
        </w:rPr>
        <w:t> </w:t>
      </w:r>
      <w:r>
        <w:rPr>
          <w:color w:val="231F20"/>
          <w:w w:val="110"/>
        </w:rPr>
        <w:t>momento</w:t>
      </w:r>
      <w:r>
        <w:rPr>
          <w:color w:val="231F20"/>
          <w:spacing w:val="26"/>
          <w:w w:val="110"/>
        </w:rPr>
        <w:t> </w:t>
      </w:r>
      <w:r>
        <w:rPr>
          <w:color w:val="231F20"/>
          <w:w w:val="110"/>
        </w:rPr>
        <w:t>de</w:t>
      </w:r>
      <w:r>
        <w:rPr>
          <w:color w:val="231F20"/>
          <w:spacing w:val="26"/>
          <w:w w:val="110"/>
        </w:rPr>
        <w:t> </w:t>
      </w:r>
      <w:r>
        <w:rPr>
          <w:color w:val="231F20"/>
          <w:w w:val="110"/>
        </w:rPr>
        <w:t>crisis</w:t>
      </w:r>
      <w:r>
        <w:rPr>
          <w:color w:val="231F20"/>
          <w:spacing w:val="26"/>
          <w:w w:val="110"/>
        </w:rPr>
        <w:t> </w:t>
      </w:r>
      <w:r>
        <w:rPr>
          <w:color w:val="231F20"/>
          <w:w w:val="110"/>
        </w:rPr>
        <w:t>en</w:t>
      </w:r>
      <w:r>
        <w:rPr>
          <w:color w:val="231F20"/>
          <w:spacing w:val="26"/>
          <w:w w:val="110"/>
        </w:rPr>
        <w:t> </w:t>
      </w:r>
      <w:r>
        <w:rPr>
          <w:color w:val="231F20"/>
          <w:w w:val="110"/>
        </w:rPr>
        <w:t>Estados</w:t>
      </w:r>
      <w:r>
        <w:rPr>
          <w:color w:val="231F20"/>
          <w:w w:val="105"/>
        </w:rPr>
        <w:t> </w:t>
      </w:r>
      <w:r>
        <w:rPr>
          <w:color w:val="231F20"/>
          <w:w w:val="110"/>
        </w:rPr>
        <w:t>Unidos, derivada de la acumulación de procesos objetivos y de la adopción subjetiva de políticas que agotaron esperanza,</w:t>
      </w:r>
      <w:r>
        <w:rPr>
          <w:color w:val="231F20"/>
          <w:spacing w:val="27"/>
          <w:w w:val="110"/>
        </w:rPr>
        <w:t> </w:t>
      </w:r>
      <w:r>
        <w:rPr>
          <w:color w:val="231F20"/>
          <w:w w:val="110"/>
        </w:rPr>
        <w:t>confianza</w:t>
      </w:r>
      <w:r>
        <w:rPr>
          <w:color w:val="231F20"/>
          <w:spacing w:val="4"/>
          <w:w w:val="110"/>
        </w:rPr>
        <w:t> </w:t>
      </w:r>
      <w:r>
        <w:rPr>
          <w:color w:val="231F20"/>
          <w:w w:val="110"/>
        </w:rPr>
        <w:t>y</w:t>
      </w:r>
      <w:r>
        <w:rPr>
          <w:color w:val="231F20"/>
          <w:w w:val="84"/>
        </w:rPr>
        <w:t> </w:t>
      </w:r>
      <w:r>
        <w:rPr>
          <w:color w:val="231F20"/>
          <w:w w:val="110"/>
        </w:rPr>
        <w:t>credibilidad,</w:t>
      </w:r>
      <w:r>
        <w:rPr>
          <w:color w:val="231F20"/>
          <w:spacing w:val="-14"/>
          <w:w w:val="110"/>
        </w:rPr>
        <w:t> </w:t>
      </w:r>
      <w:r>
        <w:rPr>
          <w:color w:val="231F20"/>
          <w:w w:val="110"/>
        </w:rPr>
        <w:t>de</w:t>
      </w:r>
      <w:r>
        <w:rPr>
          <w:color w:val="231F20"/>
          <w:spacing w:val="-14"/>
          <w:w w:val="110"/>
        </w:rPr>
        <w:t> </w:t>
      </w:r>
      <w:r>
        <w:rPr>
          <w:color w:val="231F20"/>
          <w:w w:val="110"/>
        </w:rPr>
        <w:t>amplios</w:t>
      </w:r>
      <w:r>
        <w:rPr>
          <w:color w:val="231F20"/>
          <w:spacing w:val="-14"/>
          <w:w w:val="110"/>
        </w:rPr>
        <w:t> </w:t>
      </w:r>
      <w:r>
        <w:rPr>
          <w:color w:val="231F20"/>
          <w:w w:val="110"/>
        </w:rPr>
        <w:t>sectores</w:t>
      </w:r>
      <w:r>
        <w:rPr>
          <w:color w:val="231F20"/>
          <w:spacing w:val="-14"/>
          <w:w w:val="110"/>
        </w:rPr>
        <w:t> </w:t>
      </w:r>
      <w:r>
        <w:rPr>
          <w:color w:val="231F20"/>
          <w:w w:val="110"/>
        </w:rPr>
        <w:t>poblacionales.</w:t>
      </w:r>
      <w:r>
        <w:rPr>
          <w:color w:val="231F20"/>
          <w:spacing w:val="-14"/>
          <w:w w:val="110"/>
        </w:rPr>
        <w:t> </w:t>
      </w:r>
      <w:r>
        <w:rPr>
          <w:color w:val="231F20"/>
          <w:w w:val="110"/>
        </w:rPr>
        <w:t>En</w:t>
      </w:r>
      <w:r>
        <w:rPr>
          <w:color w:val="231F20"/>
          <w:spacing w:val="-14"/>
          <w:w w:val="110"/>
        </w:rPr>
        <w:t> </w:t>
      </w:r>
      <w:r>
        <w:rPr>
          <w:color w:val="231F20"/>
          <w:w w:val="110"/>
        </w:rPr>
        <w:t>semejante</w:t>
      </w:r>
      <w:r>
        <w:rPr>
          <w:color w:val="231F20"/>
          <w:spacing w:val="-14"/>
          <w:w w:val="110"/>
        </w:rPr>
        <w:t> </w:t>
      </w:r>
      <w:r>
        <w:rPr>
          <w:color w:val="231F20"/>
          <w:w w:val="110"/>
        </w:rPr>
        <w:t>marco,</w:t>
      </w:r>
      <w:r>
        <w:rPr>
          <w:color w:val="231F20"/>
          <w:w w:val="109"/>
        </w:rPr>
        <w:t> </w:t>
      </w:r>
      <w:r>
        <w:rPr>
          <w:color w:val="231F20"/>
          <w:w w:val="110"/>
        </w:rPr>
        <w:t>el neonservadurismo que prevalecía se descartaba como </w:t>
      </w:r>
      <w:r>
        <w:rPr>
          <w:color w:val="231F20"/>
          <w:spacing w:val="35"/>
          <w:w w:val="110"/>
        </w:rPr>
        <w:t> </w:t>
      </w:r>
      <w:r>
        <w:rPr>
          <w:color w:val="231F20"/>
          <w:w w:val="110"/>
        </w:rPr>
        <w:t>alternativa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ideológica, del mismo modo que la opción republicana se invalidaba como partido (al menos en la coyuntura aludida).</w:t>
      </w:r>
      <w:r>
        <w:rPr>
          <w:color w:val="231F20"/>
          <w:w w:val="105"/>
          <w:position w:val="6"/>
          <w:sz w:val="13"/>
        </w:rPr>
        <w:t>7 </w:t>
      </w:r>
      <w:r>
        <w:rPr>
          <w:color w:val="231F20"/>
          <w:w w:val="105"/>
        </w:rPr>
        <w:t>La imagen de los políticos tradicionales tampoco satisfacía las expectativas ni lo que la sociedad concebía como sus necesidades de cambio. La transforma- ción experimentada en las estructuras sociales, técnico-productivas y demográficas creaban un terreno fértil, según se ha venido argumen- tando, junto a otros factores que, en su entrelazamiento, propiciaban   la</w:t>
      </w:r>
      <w:r>
        <w:rPr>
          <w:color w:val="231F20"/>
          <w:spacing w:val="29"/>
          <w:w w:val="105"/>
        </w:rPr>
        <w:t> </w:t>
      </w:r>
      <w:r>
        <w:rPr>
          <w:color w:val="231F20"/>
          <w:w w:val="105"/>
        </w:rPr>
        <w:t>viabilidad</w:t>
      </w:r>
      <w:r>
        <w:rPr>
          <w:color w:val="231F20"/>
          <w:spacing w:val="29"/>
          <w:w w:val="105"/>
        </w:rPr>
        <w:t> </w:t>
      </w:r>
      <w:r>
        <w:rPr>
          <w:color w:val="231F20"/>
          <w:w w:val="105"/>
        </w:rPr>
        <w:t>del</w:t>
      </w:r>
      <w:r>
        <w:rPr>
          <w:color w:val="231F20"/>
          <w:spacing w:val="29"/>
          <w:w w:val="105"/>
        </w:rPr>
        <w:t> </w:t>
      </w:r>
      <w:r>
        <w:rPr>
          <w:color w:val="231F20"/>
          <w:w w:val="105"/>
        </w:rPr>
        <w:t>“momento”</w:t>
      </w:r>
      <w:r>
        <w:rPr>
          <w:color w:val="231F20"/>
          <w:spacing w:val="29"/>
          <w:w w:val="105"/>
        </w:rPr>
        <w:t> </w:t>
      </w:r>
      <w:r>
        <w:rPr>
          <w:color w:val="231F20"/>
          <w:w w:val="105"/>
        </w:rPr>
        <w:t>Obama</w:t>
      </w:r>
      <w:r>
        <w:rPr>
          <w:color w:val="231F20"/>
          <w:spacing w:val="29"/>
          <w:w w:val="105"/>
        </w:rPr>
        <w:t> </w:t>
      </w:r>
      <w:r>
        <w:rPr>
          <w:color w:val="231F20"/>
          <w:w w:val="105"/>
        </w:rPr>
        <w:t>o</w:t>
      </w:r>
      <w:r>
        <w:rPr>
          <w:color w:val="231F20"/>
          <w:spacing w:val="29"/>
          <w:w w:val="105"/>
        </w:rPr>
        <w:t> </w:t>
      </w:r>
      <w:r>
        <w:rPr>
          <w:color w:val="231F20"/>
          <w:w w:val="105"/>
        </w:rPr>
        <w:t>del</w:t>
      </w:r>
      <w:r>
        <w:rPr>
          <w:color w:val="231F20"/>
          <w:spacing w:val="29"/>
          <w:w w:val="105"/>
        </w:rPr>
        <w:t> </w:t>
      </w:r>
      <w:r>
        <w:rPr>
          <w:color w:val="231F20"/>
          <w:w w:val="105"/>
        </w:rPr>
        <w:t>“cambio</w:t>
      </w:r>
      <w:r>
        <w:rPr>
          <w:color w:val="231F20"/>
          <w:spacing w:val="29"/>
          <w:w w:val="105"/>
        </w:rPr>
        <w:t> </w:t>
      </w:r>
      <w:r>
        <w:rPr>
          <w:color w:val="231F20"/>
          <w:w w:val="105"/>
        </w:rPr>
        <w:t>de</w:t>
      </w:r>
      <w:r>
        <w:rPr>
          <w:color w:val="231F20"/>
          <w:spacing w:val="29"/>
          <w:w w:val="105"/>
        </w:rPr>
        <w:t> </w:t>
      </w:r>
      <w:r>
        <w:rPr>
          <w:color w:val="231F20"/>
          <w:w w:val="105"/>
        </w:rPr>
        <w:t>guardia”.</w:t>
      </w:r>
    </w:p>
    <w:p>
      <w:pPr>
        <w:pStyle w:val="BodyText"/>
        <w:spacing w:line="261" w:lineRule="auto"/>
        <w:ind w:left="100" w:right="113" w:firstLine="240"/>
        <w:jc w:val="both"/>
      </w:pPr>
      <w:r>
        <w:rPr>
          <w:color w:val="231F20"/>
          <w:w w:val="110"/>
        </w:rPr>
        <w:t>La situación descrita conduce la reflexión por un camino analí- tico que recuerda situaciones anteriores. Por ejemplo, el contexto  en el cual la sociedad estadunidense parecía abocarse a una suerte de callejón sin salida, hacia finales de los años setenta, cuando era sacudida por los efectos entrelazados de varios estremecimientos, que conmocionaban a todo el tejido socioeconómico, el entramado ideológico, la política doméstica, la proyección internacional y el consenso fraguado desde los tiempos del conocido “nuevo trato”, que como recurso ante la crisis de los años de la gran depresión, estableció el presidente</w:t>
      </w:r>
      <w:r>
        <w:rPr>
          <w:color w:val="231F20"/>
          <w:spacing w:val="-37"/>
          <w:w w:val="110"/>
        </w:rPr>
        <w:t> </w:t>
      </w:r>
      <w:r>
        <w:rPr>
          <w:color w:val="231F20"/>
          <w:w w:val="110"/>
        </w:rPr>
        <w:t>Roossevelt.</w:t>
      </w:r>
    </w:p>
    <w:p>
      <w:pPr>
        <w:pStyle w:val="BodyText"/>
        <w:spacing w:line="261" w:lineRule="auto"/>
        <w:ind w:left="100" w:right="114" w:firstLine="240"/>
        <w:jc w:val="both"/>
      </w:pPr>
      <w:r>
        <w:rPr>
          <w:color w:val="231F20"/>
          <w:w w:val="110"/>
        </w:rPr>
        <w:t>En aquella circunstancia, la administración demócrata de Carter simbolizó el estancamiento de una política que no garantizaba el logro de los intereses nacionales de Estados Unidos, que afectaba la solidez</w:t>
      </w:r>
      <w:r>
        <w:rPr>
          <w:color w:val="231F20"/>
          <w:spacing w:val="-18"/>
          <w:w w:val="110"/>
        </w:rPr>
        <w:t> </w:t>
      </w:r>
      <w:r>
        <w:rPr>
          <w:color w:val="231F20"/>
          <w:w w:val="110"/>
        </w:rPr>
        <w:t>económica</w:t>
      </w:r>
      <w:r>
        <w:rPr>
          <w:color w:val="231F20"/>
          <w:spacing w:val="-18"/>
          <w:w w:val="110"/>
        </w:rPr>
        <w:t> </w:t>
      </w:r>
      <w:r>
        <w:rPr>
          <w:color w:val="231F20"/>
          <w:w w:val="110"/>
        </w:rPr>
        <w:t>del</w:t>
      </w:r>
      <w:r>
        <w:rPr>
          <w:color w:val="231F20"/>
          <w:spacing w:val="-18"/>
          <w:w w:val="110"/>
        </w:rPr>
        <w:t> </w:t>
      </w:r>
      <w:r>
        <w:rPr>
          <w:color w:val="231F20"/>
          <w:w w:val="110"/>
        </w:rPr>
        <w:t>país,</w:t>
      </w:r>
      <w:r>
        <w:rPr>
          <w:color w:val="231F20"/>
          <w:spacing w:val="-18"/>
          <w:w w:val="110"/>
        </w:rPr>
        <w:t> </w:t>
      </w:r>
      <w:r>
        <w:rPr>
          <w:color w:val="231F20"/>
          <w:w w:val="110"/>
        </w:rPr>
        <w:t>la</w:t>
      </w:r>
      <w:r>
        <w:rPr>
          <w:color w:val="231F20"/>
          <w:spacing w:val="-18"/>
          <w:w w:val="110"/>
        </w:rPr>
        <w:t> </w:t>
      </w:r>
      <w:r>
        <w:rPr>
          <w:color w:val="231F20"/>
          <w:w w:val="110"/>
        </w:rPr>
        <w:t>autoestima</w:t>
      </w:r>
      <w:r>
        <w:rPr>
          <w:color w:val="231F20"/>
          <w:spacing w:val="-18"/>
          <w:w w:val="110"/>
        </w:rPr>
        <w:t> </w:t>
      </w:r>
      <w:r>
        <w:rPr>
          <w:color w:val="231F20"/>
          <w:w w:val="110"/>
        </w:rPr>
        <w:t>de</w:t>
      </w:r>
      <w:r>
        <w:rPr>
          <w:color w:val="231F20"/>
          <w:spacing w:val="-18"/>
          <w:w w:val="110"/>
        </w:rPr>
        <w:t> </w:t>
      </w:r>
      <w:r>
        <w:rPr>
          <w:color w:val="231F20"/>
          <w:w w:val="110"/>
        </w:rPr>
        <w:t>sus</w:t>
      </w:r>
      <w:r>
        <w:rPr>
          <w:color w:val="231F20"/>
          <w:spacing w:val="-18"/>
          <w:w w:val="110"/>
        </w:rPr>
        <w:t> </w:t>
      </w:r>
      <w:r>
        <w:rPr>
          <w:color w:val="231F20"/>
          <w:w w:val="110"/>
        </w:rPr>
        <w:t>habitantes</w:t>
      </w:r>
      <w:r>
        <w:rPr>
          <w:color w:val="231F20"/>
          <w:spacing w:val="-18"/>
          <w:w w:val="110"/>
        </w:rPr>
        <w:t> </w:t>
      </w:r>
      <w:r>
        <w:rPr>
          <w:color w:val="231F20"/>
          <w:w w:val="110"/>
        </w:rPr>
        <w:t>y</w:t>
      </w:r>
      <w:r>
        <w:rPr>
          <w:color w:val="231F20"/>
          <w:spacing w:val="-18"/>
          <w:w w:val="110"/>
        </w:rPr>
        <w:t> </w:t>
      </w:r>
      <w:r>
        <w:rPr>
          <w:color w:val="231F20"/>
          <w:w w:val="110"/>
        </w:rPr>
        <w:t>reflejaba debilidad partidista y gubernamental, traduciéndose en una crisis de hegemonía que reclamaba la necesidad de un viraje, encaminado a un cambio que permitiese restaurar las heridas materiales y morales que había sufrido el imperio. Con ello, la emergencia de una</w:t>
      </w:r>
      <w:r>
        <w:rPr>
          <w:color w:val="231F20"/>
          <w:spacing w:val="-24"/>
          <w:w w:val="110"/>
        </w:rPr>
        <w:t> </w:t>
      </w:r>
      <w:r>
        <w:rPr>
          <w:color w:val="231F20"/>
          <w:w w:val="110"/>
        </w:rPr>
        <w:t>pujante coalición conservadora en la oposición, que con rapidez</w:t>
      </w:r>
      <w:r>
        <w:rPr>
          <w:color w:val="231F20"/>
          <w:spacing w:val="-13"/>
          <w:w w:val="110"/>
        </w:rPr>
        <w:t> </w:t>
      </w:r>
      <w:r>
        <w:rPr>
          <w:color w:val="231F20"/>
          <w:w w:val="110"/>
        </w:rPr>
        <w:t>desbordaría el seno del partido republicano, iba acompañada de un discurso a favor del cambio, que con efectos contagiosos contaminaban el</w:t>
      </w:r>
      <w:r>
        <w:rPr>
          <w:color w:val="231F20"/>
          <w:spacing w:val="-17"/>
          <w:w w:val="110"/>
        </w:rPr>
        <w:t> </w:t>
      </w:r>
      <w:r>
        <w:rPr>
          <w:color w:val="231F20"/>
          <w:w w:val="110"/>
        </w:rPr>
        <w:t>pen- samiento académico, las actitudes políticas, los medios de comuni- cación, la mentalidad religiosa y la cultura </w:t>
      </w:r>
      <w:r>
        <w:rPr>
          <w:color w:val="231F20"/>
          <w:spacing w:val="-3"/>
          <w:w w:val="110"/>
        </w:rPr>
        <w:t>popular. </w:t>
      </w:r>
      <w:r>
        <w:rPr>
          <w:color w:val="231F20"/>
          <w:w w:val="110"/>
        </w:rPr>
        <w:t>La denominada “revolución conservadora”, promovida por la doble administración Reagan y proseguida por la de George Bush (padre) encarnó la via- bilidad de un</w:t>
      </w:r>
      <w:r>
        <w:rPr>
          <w:color w:val="231F20"/>
          <w:spacing w:val="40"/>
          <w:w w:val="110"/>
        </w:rPr>
        <w:t> </w:t>
      </w:r>
      <w:r>
        <w:rPr>
          <w:color w:val="231F20"/>
          <w:w w:val="110"/>
        </w:rPr>
        <w:t>cambio.</w:t>
      </w:r>
    </w:p>
    <w:p>
      <w:pPr>
        <w:pStyle w:val="BodyText"/>
      </w:pPr>
    </w:p>
    <w:p>
      <w:pPr>
        <w:pStyle w:val="BodyText"/>
      </w:pPr>
    </w:p>
    <w:p>
      <w:pPr>
        <w:spacing w:line="261" w:lineRule="auto" w:before="172"/>
        <w:ind w:left="100" w:right="119" w:firstLine="240"/>
        <w:jc w:val="both"/>
        <w:rPr>
          <w:sz w:val="16"/>
        </w:rPr>
      </w:pPr>
      <w:r>
        <w:rPr>
          <w:color w:val="231F20"/>
          <w:w w:val="105"/>
          <w:position w:val="5"/>
          <w:sz w:val="10"/>
        </w:rPr>
        <w:t>7 </w:t>
      </w:r>
      <w:r>
        <w:rPr>
          <w:color w:val="231F20"/>
          <w:w w:val="105"/>
          <w:sz w:val="16"/>
        </w:rPr>
        <w:t>Diferentes visiones acerca del acontecer contemporáneo en la sociedad estaduni- dense se encuentran, por ejemplo, en: Joseph Nye (2002); Hohn Micklethwait y Adrian</w:t>
      </w:r>
      <w:r>
        <w:rPr>
          <w:color w:val="231F20"/>
          <w:w w:val="108"/>
          <w:sz w:val="16"/>
        </w:rPr>
        <w:t> </w:t>
      </w:r>
      <w:r>
        <w:rPr>
          <w:color w:val="231F20"/>
          <w:w w:val="105"/>
          <w:sz w:val="16"/>
        </w:rPr>
        <w:t>Wooldridge (2007); Robert Kagan (2008) y Francis Fukuyama (2006).</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firstLine="240"/>
        <w:jc w:val="both"/>
      </w:pPr>
      <w:r>
        <w:rPr>
          <w:color w:val="231F20"/>
          <w:w w:val="110"/>
        </w:rPr>
        <w:t>Ello conllevó nuevas políticas económicas, basadas en tesis neo- clásicas que extendieron el neoliberalismo, un reavivamiento del militarismo, la agresividad en la política exterior y el espíritu de cruzada anticomunista, colocando la proyección hacia lo que se consideraban como “casos críticos” en los mejores enfoques de la vieja guerra fría. El caso de Cuba, por supuesto, encabezaba aquella lista, unos 30 años atrás. La efervescencia que define a Estados</w:t>
      </w:r>
      <w:r>
        <w:rPr>
          <w:color w:val="231F20"/>
          <w:spacing w:val="-22"/>
          <w:w w:val="110"/>
        </w:rPr>
        <w:t> </w:t>
      </w:r>
      <w:r>
        <w:rPr>
          <w:color w:val="231F20"/>
          <w:w w:val="110"/>
        </w:rPr>
        <w:t>Uni- dos desde los últimos meses de la campaña presidencial de 2008, y durante los primeros años de la administración Obama, coloca</w:t>
      </w:r>
      <w:r>
        <w:rPr>
          <w:color w:val="231F20"/>
          <w:spacing w:val="-20"/>
          <w:w w:val="110"/>
        </w:rPr>
        <w:t> </w:t>
      </w:r>
      <w:r>
        <w:rPr>
          <w:color w:val="231F20"/>
          <w:w w:val="110"/>
        </w:rPr>
        <w:t>sobre la mesa una suerte de pauta que apunta hacia un dinamismo socio- lógico y político que podría ser tan fecundo como el de entonces, aunque con un signo diferente y más bien contrapuesto. De manera análoga a lo que significó desde el punto de vista cultural la</w:t>
      </w:r>
      <w:r>
        <w:rPr>
          <w:color w:val="231F20"/>
          <w:spacing w:val="-19"/>
          <w:w w:val="110"/>
        </w:rPr>
        <w:t> </w:t>
      </w:r>
      <w:r>
        <w:rPr>
          <w:color w:val="231F20"/>
          <w:w w:val="110"/>
        </w:rPr>
        <w:t>llamada revolución conservadora al finalizar el periodo de 1970 y durante los años ochenta —que para muchos especialistas representaba una “ruptura” impensable con la tendencia tradicional de esa sociedad (</w:t>
      </w:r>
      <w:r>
        <w:rPr>
          <w:i/>
          <w:color w:val="231F20"/>
          <w:w w:val="110"/>
        </w:rPr>
        <w:t>main stream</w:t>
      </w:r>
      <w:r>
        <w:rPr>
          <w:color w:val="231F20"/>
          <w:w w:val="110"/>
        </w:rPr>
        <w:t>)—, ahora, finalizando el primer decenio del siglo xxi, la historia pareciera repetirse, si bien con una orientación diferente, que podría </w:t>
      </w:r>
      <w:r>
        <w:rPr>
          <w:color w:val="231F20"/>
          <w:spacing w:val="-5"/>
          <w:w w:val="110"/>
        </w:rPr>
        <w:t>ser, </w:t>
      </w:r>
      <w:r>
        <w:rPr>
          <w:color w:val="231F20"/>
          <w:w w:val="110"/>
        </w:rPr>
        <w:t>inclusive, hasta</w:t>
      </w:r>
      <w:r>
        <w:rPr>
          <w:color w:val="231F20"/>
          <w:spacing w:val="40"/>
          <w:w w:val="110"/>
        </w:rPr>
        <w:t> </w:t>
      </w:r>
      <w:r>
        <w:rPr>
          <w:color w:val="231F20"/>
          <w:w w:val="110"/>
        </w:rPr>
        <w:t>contraria.</w:t>
      </w:r>
    </w:p>
    <w:p>
      <w:pPr>
        <w:pStyle w:val="BodyText"/>
        <w:spacing w:line="261" w:lineRule="auto"/>
        <w:ind w:left="100" w:right="115" w:firstLine="240"/>
        <w:jc w:val="both"/>
        <w:rPr>
          <w:sz w:val="13"/>
        </w:rPr>
      </w:pPr>
      <w:r>
        <w:rPr>
          <w:color w:val="231F20"/>
          <w:w w:val="110"/>
        </w:rPr>
        <w:t>No obstante, la eventualidad de que la presente administración</w:t>
      </w:r>
      <w:r>
        <w:rPr>
          <w:color w:val="231F20"/>
          <w:spacing w:val="-9"/>
          <w:w w:val="110"/>
        </w:rPr>
        <w:t> </w:t>
      </w:r>
      <w:r>
        <w:rPr>
          <w:color w:val="231F20"/>
          <w:w w:val="110"/>
        </w:rPr>
        <w:t>dé un</w:t>
      </w:r>
      <w:r>
        <w:rPr>
          <w:color w:val="231F20"/>
          <w:spacing w:val="-10"/>
          <w:w w:val="110"/>
        </w:rPr>
        <w:t> </w:t>
      </w:r>
      <w:r>
        <w:rPr>
          <w:color w:val="231F20"/>
          <w:w w:val="110"/>
        </w:rPr>
        <w:t>giro</w:t>
      </w:r>
      <w:r>
        <w:rPr>
          <w:color w:val="231F20"/>
          <w:spacing w:val="-10"/>
          <w:w w:val="110"/>
        </w:rPr>
        <w:t> </w:t>
      </w:r>
      <w:r>
        <w:rPr>
          <w:color w:val="231F20"/>
          <w:w w:val="110"/>
        </w:rPr>
        <w:t>significativo,</w:t>
      </w:r>
      <w:r>
        <w:rPr>
          <w:color w:val="231F20"/>
          <w:spacing w:val="-10"/>
          <w:w w:val="110"/>
        </w:rPr>
        <w:t> </w:t>
      </w:r>
      <w:r>
        <w:rPr>
          <w:color w:val="231F20"/>
          <w:w w:val="110"/>
        </w:rPr>
        <w:t>de</w:t>
      </w:r>
      <w:r>
        <w:rPr>
          <w:color w:val="231F20"/>
          <w:spacing w:val="-10"/>
          <w:w w:val="110"/>
        </w:rPr>
        <w:t> </w:t>
      </w:r>
      <w:r>
        <w:rPr>
          <w:color w:val="231F20"/>
          <w:w w:val="110"/>
        </w:rPr>
        <w:t>180</w:t>
      </w:r>
      <w:r>
        <w:rPr>
          <w:color w:val="231F20"/>
          <w:spacing w:val="-10"/>
          <w:w w:val="110"/>
        </w:rPr>
        <w:t> </w:t>
      </w:r>
      <w:r>
        <w:rPr>
          <w:color w:val="231F20"/>
          <w:w w:val="110"/>
        </w:rPr>
        <w:t>o</w:t>
      </w:r>
      <w:r>
        <w:rPr>
          <w:color w:val="231F20"/>
          <w:spacing w:val="-10"/>
          <w:w w:val="110"/>
        </w:rPr>
        <w:t> </w:t>
      </w:r>
      <w:r>
        <w:rPr>
          <w:color w:val="231F20"/>
          <w:w w:val="110"/>
        </w:rPr>
        <w:t>360</w:t>
      </w:r>
      <w:r>
        <w:rPr>
          <w:color w:val="231F20"/>
          <w:spacing w:val="-10"/>
          <w:w w:val="110"/>
        </w:rPr>
        <w:t> </w:t>
      </w:r>
      <w:r>
        <w:rPr>
          <w:color w:val="231F20"/>
          <w:w w:val="110"/>
        </w:rPr>
        <w:t>grados,</w:t>
      </w:r>
      <w:r>
        <w:rPr>
          <w:color w:val="231F20"/>
          <w:spacing w:val="-10"/>
          <w:w w:val="110"/>
        </w:rPr>
        <w:t> </w:t>
      </w:r>
      <w:r>
        <w:rPr>
          <w:color w:val="231F20"/>
          <w:w w:val="110"/>
        </w:rPr>
        <w:t>es</w:t>
      </w:r>
      <w:r>
        <w:rPr>
          <w:color w:val="231F20"/>
          <w:spacing w:val="-10"/>
          <w:w w:val="110"/>
        </w:rPr>
        <w:t> </w:t>
      </w:r>
      <w:r>
        <w:rPr>
          <w:color w:val="231F20"/>
          <w:w w:val="110"/>
        </w:rPr>
        <w:t>altamente</w:t>
      </w:r>
      <w:r>
        <w:rPr>
          <w:color w:val="231F20"/>
          <w:spacing w:val="-10"/>
          <w:w w:val="110"/>
        </w:rPr>
        <w:t> </w:t>
      </w:r>
      <w:r>
        <w:rPr>
          <w:color w:val="231F20"/>
          <w:w w:val="110"/>
        </w:rPr>
        <w:t>cuestionable. La concepción aplicada a muchos periodos de la historia estaduni- dense, más o menos reciente, basada en el movimiento pendular  que conlleva, como ciclos casi inevitables, olas de conservadurismo y</w:t>
      </w:r>
      <w:r>
        <w:rPr>
          <w:color w:val="231F20"/>
          <w:spacing w:val="43"/>
          <w:w w:val="110"/>
        </w:rPr>
        <w:t> </w:t>
      </w:r>
      <w:r>
        <w:rPr>
          <w:color w:val="231F20"/>
          <w:w w:val="110"/>
        </w:rPr>
        <w:t>de</w:t>
      </w:r>
      <w:r>
        <w:rPr>
          <w:color w:val="231F20"/>
          <w:spacing w:val="43"/>
          <w:w w:val="110"/>
        </w:rPr>
        <w:t> </w:t>
      </w:r>
      <w:r>
        <w:rPr>
          <w:color w:val="231F20"/>
          <w:w w:val="110"/>
        </w:rPr>
        <w:t>liberalismo,</w:t>
      </w:r>
      <w:r>
        <w:rPr>
          <w:color w:val="231F20"/>
          <w:spacing w:val="43"/>
          <w:w w:val="110"/>
        </w:rPr>
        <w:t> </w:t>
      </w:r>
      <w:r>
        <w:rPr>
          <w:color w:val="231F20"/>
          <w:w w:val="110"/>
        </w:rPr>
        <w:t>que</w:t>
      </w:r>
      <w:r>
        <w:rPr>
          <w:color w:val="231F20"/>
          <w:spacing w:val="43"/>
          <w:w w:val="110"/>
        </w:rPr>
        <w:t> </w:t>
      </w:r>
      <w:r>
        <w:rPr>
          <w:color w:val="231F20"/>
          <w:w w:val="110"/>
        </w:rPr>
        <w:t>suelen</w:t>
      </w:r>
      <w:r>
        <w:rPr>
          <w:color w:val="231F20"/>
          <w:spacing w:val="43"/>
          <w:w w:val="110"/>
        </w:rPr>
        <w:t> </w:t>
      </w:r>
      <w:r>
        <w:rPr>
          <w:color w:val="231F20"/>
          <w:w w:val="110"/>
        </w:rPr>
        <w:t>alternar</w:t>
      </w:r>
      <w:r>
        <w:rPr>
          <w:color w:val="231F20"/>
          <w:spacing w:val="43"/>
          <w:w w:val="110"/>
        </w:rPr>
        <w:t> </w:t>
      </w:r>
      <w:r>
        <w:rPr>
          <w:color w:val="231F20"/>
          <w:w w:val="110"/>
        </w:rPr>
        <w:t>cada</w:t>
      </w:r>
      <w:r>
        <w:rPr>
          <w:color w:val="231F20"/>
          <w:spacing w:val="43"/>
          <w:w w:val="110"/>
        </w:rPr>
        <w:t> </w:t>
      </w:r>
      <w:r>
        <w:rPr>
          <w:color w:val="231F20"/>
          <w:w w:val="110"/>
        </w:rPr>
        <w:t>cierto</w:t>
      </w:r>
      <w:r>
        <w:rPr>
          <w:color w:val="231F20"/>
          <w:spacing w:val="43"/>
          <w:w w:val="110"/>
        </w:rPr>
        <w:t> </w:t>
      </w:r>
      <w:r>
        <w:rPr>
          <w:color w:val="231F20"/>
          <w:w w:val="110"/>
        </w:rPr>
        <w:t>tiempo,</w:t>
      </w:r>
      <w:r>
        <w:rPr>
          <w:color w:val="231F20"/>
          <w:spacing w:val="43"/>
          <w:w w:val="110"/>
        </w:rPr>
        <w:t> </w:t>
      </w:r>
      <w:r>
        <w:rPr>
          <w:color w:val="231F20"/>
          <w:w w:val="110"/>
        </w:rPr>
        <w:t>parecía</w:t>
      </w:r>
      <w:r>
        <w:rPr>
          <w:color w:val="231F20"/>
          <w:spacing w:val="1"/>
          <w:w w:val="110"/>
        </w:rPr>
        <w:t> </w:t>
      </w:r>
      <w:r>
        <w:rPr>
          <w:color w:val="231F20"/>
          <w:w w:val="110"/>
        </w:rPr>
        <w:t>cumplirse cuando se ponderaba el marco que establecía el final del doble</w:t>
      </w:r>
      <w:r>
        <w:rPr>
          <w:color w:val="231F20"/>
          <w:spacing w:val="-15"/>
          <w:w w:val="110"/>
        </w:rPr>
        <w:t> </w:t>
      </w:r>
      <w:r>
        <w:rPr>
          <w:color w:val="231F20"/>
          <w:w w:val="110"/>
        </w:rPr>
        <w:t>mandato</w:t>
      </w:r>
      <w:r>
        <w:rPr>
          <w:color w:val="231F20"/>
          <w:spacing w:val="-15"/>
          <w:w w:val="110"/>
        </w:rPr>
        <w:t> </w:t>
      </w:r>
      <w:r>
        <w:rPr>
          <w:color w:val="231F20"/>
          <w:w w:val="110"/>
        </w:rPr>
        <w:t>de</w:t>
      </w:r>
      <w:r>
        <w:rPr>
          <w:color w:val="231F20"/>
          <w:spacing w:val="-15"/>
          <w:w w:val="110"/>
        </w:rPr>
        <w:t> </w:t>
      </w:r>
      <w:r>
        <w:rPr>
          <w:color w:val="231F20"/>
          <w:spacing w:val="-6"/>
          <w:w w:val="110"/>
        </w:rPr>
        <w:t>W.</w:t>
      </w:r>
      <w:r>
        <w:rPr>
          <w:color w:val="231F20"/>
          <w:spacing w:val="-15"/>
          <w:w w:val="110"/>
        </w:rPr>
        <w:t> </w:t>
      </w:r>
      <w:r>
        <w:rPr>
          <w:color w:val="231F20"/>
          <w:w w:val="110"/>
        </w:rPr>
        <w:t>Bush</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propuestas</w:t>
      </w:r>
      <w:r>
        <w:rPr>
          <w:color w:val="231F20"/>
          <w:spacing w:val="-15"/>
          <w:w w:val="110"/>
        </w:rPr>
        <w:t> </w:t>
      </w:r>
      <w:r>
        <w:rPr>
          <w:color w:val="231F20"/>
          <w:w w:val="110"/>
        </w:rPr>
        <w:t>demócratas</w:t>
      </w:r>
      <w:r>
        <w:rPr>
          <w:color w:val="231F20"/>
          <w:spacing w:val="-15"/>
          <w:w w:val="110"/>
        </w:rPr>
        <w:t> </w:t>
      </w:r>
      <w:r>
        <w:rPr>
          <w:color w:val="231F20"/>
          <w:w w:val="110"/>
        </w:rPr>
        <w:t>que</w:t>
      </w:r>
      <w:r>
        <w:rPr>
          <w:color w:val="231F20"/>
          <w:spacing w:val="-15"/>
          <w:w w:val="110"/>
        </w:rPr>
        <w:t> </w:t>
      </w:r>
      <w:r>
        <w:rPr>
          <w:color w:val="231F20"/>
          <w:w w:val="110"/>
        </w:rPr>
        <w:t>emergían alrededor del entonces precandidato presidencial, y luego</w:t>
      </w:r>
      <w:r>
        <w:rPr>
          <w:color w:val="231F20"/>
          <w:spacing w:val="-20"/>
          <w:w w:val="110"/>
        </w:rPr>
        <w:t> </w:t>
      </w:r>
      <w:r>
        <w:rPr>
          <w:color w:val="231F20"/>
          <w:w w:val="110"/>
        </w:rPr>
        <w:t>candidato, Barack Obama. En la actualidad, existen razones para dudar de que el péndulo se moverá hacia una etapa definida por un ascenso o una “revolución” de índole</w:t>
      </w:r>
      <w:r>
        <w:rPr>
          <w:color w:val="231F20"/>
          <w:spacing w:val="-10"/>
          <w:w w:val="110"/>
        </w:rPr>
        <w:t> </w:t>
      </w:r>
      <w:r>
        <w:rPr>
          <w:color w:val="231F20"/>
          <w:w w:val="110"/>
        </w:rPr>
        <w:t>liberal.</w:t>
      </w:r>
      <w:r>
        <w:rPr>
          <w:color w:val="231F20"/>
          <w:w w:val="110"/>
          <w:position w:val="6"/>
          <w:sz w:val="13"/>
        </w:rPr>
        <w:t>8</w:t>
      </w:r>
    </w:p>
    <w:p>
      <w:pPr>
        <w:pStyle w:val="BodyText"/>
        <w:spacing w:line="261" w:lineRule="auto"/>
        <w:ind w:left="100" w:right="117" w:firstLine="240"/>
        <w:jc w:val="both"/>
      </w:pPr>
      <w:r>
        <w:rPr>
          <w:color w:val="231F20"/>
          <w:w w:val="110"/>
        </w:rPr>
        <w:t>Si se observa la situación internacional, no pocos son los hechos que expresan la continuidad de un enfoque ideológico, de política exterior y de seguridad nacional, que sigue apostando a codifica- ciones que recuerdan fórmulas de los tiempos de la guerra fría.    En</w:t>
      </w:r>
    </w:p>
    <w:p>
      <w:pPr>
        <w:pStyle w:val="BodyText"/>
      </w:pPr>
    </w:p>
    <w:p>
      <w:pPr>
        <w:pStyle w:val="BodyText"/>
      </w:pPr>
    </w:p>
    <w:p>
      <w:pPr>
        <w:spacing w:line="261" w:lineRule="auto" w:before="122"/>
        <w:ind w:left="100" w:right="118" w:firstLine="240"/>
        <w:jc w:val="both"/>
        <w:rPr>
          <w:sz w:val="16"/>
        </w:rPr>
      </w:pPr>
      <w:r>
        <w:rPr>
          <w:color w:val="231F20"/>
          <w:w w:val="110"/>
          <w:position w:val="5"/>
          <w:sz w:val="10"/>
        </w:rPr>
        <w:t>8 </w:t>
      </w:r>
      <w:r>
        <w:rPr>
          <w:color w:val="231F20"/>
          <w:w w:val="110"/>
          <w:sz w:val="16"/>
        </w:rPr>
        <w:t>Estas ideas las desarrollamos en un trabajo anterior. Véase: Jorge Hernández Martínez (2010).</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rPr>
          <w:sz w:val="13"/>
        </w:rPr>
      </w:pPr>
      <w:r>
        <w:rPr>
          <w:color w:val="231F20"/>
          <w:w w:val="105"/>
        </w:rPr>
        <w:t>este sentido, por ejemplo, Estados Unidos no deja de respaldar las posiciones de Israel ante el conflicto palestino; prosigue</w:t>
      </w:r>
      <w:r>
        <w:rPr>
          <w:color w:val="231F20"/>
          <w:spacing w:val="7"/>
          <w:w w:val="105"/>
        </w:rPr>
        <w:t> </w:t>
      </w:r>
      <w:r>
        <w:rPr>
          <w:color w:val="231F20"/>
          <w:w w:val="105"/>
        </w:rPr>
        <w:t>una</w:t>
      </w:r>
      <w:r>
        <w:rPr>
          <w:color w:val="231F20"/>
          <w:spacing w:val="20"/>
          <w:w w:val="105"/>
        </w:rPr>
        <w:t> </w:t>
      </w:r>
      <w:r>
        <w:rPr>
          <w:color w:val="231F20"/>
          <w:w w:val="105"/>
        </w:rPr>
        <w:t>filosofía</w:t>
      </w:r>
      <w:r>
        <w:rPr>
          <w:color w:val="231F20"/>
          <w:w w:val="103"/>
        </w:rPr>
        <w:t> </w:t>
      </w:r>
      <w:r>
        <w:rPr>
          <w:color w:val="231F20"/>
          <w:w w:val="105"/>
        </w:rPr>
        <w:t>militarista, patente no sólo en la “nueva” estrategia de seguridad, sino en</w:t>
      </w:r>
      <w:r>
        <w:rPr>
          <w:color w:val="231F20"/>
          <w:spacing w:val="28"/>
          <w:w w:val="105"/>
        </w:rPr>
        <w:t> </w:t>
      </w:r>
      <w:r>
        <w:rPr>
          <w:color w:val="231F20"/>
          <w:w w:val="105"/>
        </w:rPr>
        <w:t>la</w:t>
      </w:r>
      <w:r>
        <w:rPr>
          <w:color w:val="231F20"/>
          <w:spacing w:val="28"/>
          <w:w w:val="105"/>
        </w:rPr>
        <w:t> </w:t>
      </w:r>
      <w:r>
        <w:rPr>
          <w:color w:val="231F20"/>
          <w:w w:val="105"/>
        </w:rPr>
        <w:t>conducta</w:t>
      </w:r>
      <w:r>
        <w:rPr>
          <w:color w:val="231F20"/>
          <w:spacing w:val="28"/>
          <w:w w:val="105"/>
        </w:rPr>
        <w:t> </w:t>
      </w:r>
      <w:r>
        <w:rPr>
          <w:color w:val="231F20"/>
          <w:w w:val="105"/>
        </w:rPr>
        <w:t>seguida</w:t>
      </w:r>
      <w:r>
        <w:rPr>
          <w:color w:val="231F20"/>
          <w:spacing w:val="28"/>
          <w:w w:val="105"/>
        </w:rPr>
        <w:t> </w:t>
      </w:r>
      <w:r>
        <w:rPr>
          <w:color w:val="231F20"/>
          <w:w w:val="105"/>
        </w:rPr>
        <w:t>con</w:t>
      </w:r>
      <w:r>
        <w:rPr>
          <w:color w:val="231F20"/>
          <w:spacing w:val="28"/>
          <w:w w:val="105"/>
        </w:rPr>
        <w:t> </w:t>
      </w:r>
      <w:r>
        <w:rPr>
          <w:color w:val="231F20"/>
          <w:w w:val="105"/>
        </w:rPr>
        <w:t>respecto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militarización</w:t>
      </w:r>
      <w:r>
        <w:rPr>
          <w:color w:val="231F20"/>
          <w:spacing w:val="28"/>
          <w:w w:val="105"/>
        </w:rPr>
        <w:t> </w:t>
      </w:r>
      <w:r>
        <w:rPr>
          <w:color w:val="231F20"/>
          <w:w w:val="105"/>
        </w:rPr>
        <w:t>en</w:t>
      </w:r>
      <w:r>
        <w:rPr>
          <w:color w:val="231F20"/>
          <w:spacing w:val="28"/>
          <w:w w:val="105"/>
        </w:rPr>
        <w:t> </w:t>
      </w:r>
      <w:r>
        <w:rPr>
          <w:color w:val="231F20"/>
          <w:w w:val="105"/>
        </w:rPr>
        <w:t>territorios</w:t>
      </w:r>
      <w:r>
        <w:rPr>
          <w:color w:val="231F20"/>
          <w:w w:val="111"/>
        </w:rPr>
        <w:t> </w:t>
      </w:r>
      <w:r>
        <w:rPr>
          <w:color w:val="231F20"/>
          <w:w w:val="105"/>
        </w:rPr>
        <w:t>europeos; en América Latina, resalta el compromiso con el golpe de Estado en Honduras, con las bases militares en Colombia, la reac- tivación de la IV Flota en el Caribe, el despliegue del Plan Mérida desde México hasta Centroamérica, el mantenimiento del bloqueo contra Cuba y el despliegue de la estrategia subversiva contra </w:t>
      </w:r>
      <w:r>
        <w:rPr>
          <w:color w:val="231F20"/>
          <w:spacing w:val="-3"/>
          <w:w w:val="105"/>
        </w:rPr>
        <w:t>Vene- </w:t>
      </w:r>
      <w:r>
        <w:rPr>
          <w:color w:val="231F20"/>
          <w:w w:val="105"/>
        </w:rPr>
        <w:t>zuela y Bolivia a través de la constante penetración e injerencia en      la sociedad civil de estos países, fomentando la oposición interna y      la  desestabilización</w:t>
      </w:r>
      <w:r>
        <w:rPr>
          <w:color w:val="231F20"/>
          <w:spacing w:val="18"/>
          <w:w w:val="105"/>
        </w:rPr>
        <w:t> </w:t>
      </w:r>
      <w:r>
        <w:rPr>
          <w:color w:val="231F20"/>
          <w:w w:val="105"/>
        </w:rPr>
        <w:t>política.</w:t>
      </w:r>
      <w:r>
        <w:rPr>
          <w:color w:val="231F20"/>
          <w:w w:val="105"/>
          <w:position w:val="6"/>
          <w:sz w:val="13"/>
        </w:rPr>
        <w:t>9</w:t>
      </w:r>
    </w:p>
    <w:p>
      <w:pPr>
        <w:pStyle w:val="BodyText"/>
        <w:spacing w:line="261" w:lineRule="auto"/>
        <w:ind w:left="100" w:right="115" w:firstLine="240"/>
        <w:jc w:val="both"/>
      </w:pPr>
      <w:r>
        <w:rPr>
          <w:color w:val="231F20"/>
          <w:w w:val="110"/>
        </w:rPr>
        <w:t>Estados Unidos no abandona la aspiración a mantener, bajo nue- vas coordenadas, su hegemonía mundial, y en ese sentido, acepta la multipolarización que tiene lugar en la sociedad internacional actual y es capaz de conceder a sus aliados una determinada autonomía a cambio de su participación más activa en los esfuerzos tendientes    a contrarrestar el alcance de los procesos de cambio —planetario y hemisférico— que afecten sus proyecciones</w:t>
      </w:r>
      <w:r>
        <w:rPr>
          <w:color w:val="231F20"/>
          <w:spacing w:val="-23"/>
          <w:w w:val="110"/>
        </w:rPr>
        <w:t> </w:t>
      </w:r>
      <w:r>
        <w:rPr>
          <w:color w:val="231F20"/>
          <w:w w:val="110"/>
        </w:rPr>
        <w:t>mundiales.</w:t>
      </w:r>
    </w:p>
    <w:p>
      <w:pPr>
        <w:pStyle w:val="BodyText"/>
        <w:spacing w:line="261" w:lineRule="auto"/>
        <w:ind w:left="100" w:right="115" w:firstLine="240"/>
        <w:jc w:val="right"/>
      </w:pPr>
      <w:r>
        <w:rPr>
          <w:color w:val="231F20"/>
          <w:w w:val="110"/>
        </w:rPr>
        <w:t>En ese sentido, podría considerarse que renace</w:t>
      </w:r>
      <w:r>
        <w:rPr>
          <w:color w:val="231F20"/>
          <w:spacing w:val="37"/>
          <w:w w:val="110"/>
        </w:rPr>
        <w:t> </w:t>
      </w:r>
      <w:r>
        <w:rPr>
          <w:color w:val="231F20"/>
          <w:w w:val="110"/>
        </w:rPr>
        <w:t>una</w:t>
      </w:r>
      <w:r>
        <w:rPr>
          <w:color w:val="231F20"/>
          <w:spacing w:val="29"/>
          <w:w w:val="110"/>
        </w:rPr>
        <w:t> </w:t>
      </w:r>
      <w:r>
        <w:rPr>
          <w:color w:val="231F20"/>
          <w:w w:val="110"/>
        </w:rPr>
        <w:t>concepción</w:t>
      </w:r>
      <w:r>
        <w:rPr>
          <w:color w:val="231F20"/>
          <w:w w:val="111"/>
        </w:rPr>
        <w:t> </w:t>
      </w:r>
      <w:r>
        <w:rPr>
          <w:color w:val="231F20"/>
          <w:w w:val="110"/>
        </w:rPr>
        <w:t>de equilibrio de poder al estilo de las concepciones</w:t>
      </w:r>
      <w:r>
        <w:rPr>
          <w:color w:val="231F20"/>
          <w:spacing w:val="6"/>
          <w:w w:val="110"/>
        </w:rPr>
        <w:t> </w:t>
      </w:r>
      <w:r>
        <w:rPr>
          <w:color w:val="231F20"/>
          <w:w w:val="110"/>
        </w:rPr>
        <w:t>geopolíticas</w:t>
      </w:r>
      <w:r>
        <w:rPr>
          <w:color w:val="231F20"/>
          <w:spacing w:val="12"/>
          <w:w w:val="110"/>
        </w:rPr>
        <w:t> </w:t>
      </w:r>
      <w:r>
        <w:rPr>
          <w:color w:val="231F20"/>
          <w:w w:val="110"/>
        </w:rPr>
        <w:t>de</w:t>
      </w:r>
      <w:r>
        <w:rPr>
          <w:color w:val="231F20"/>
          <w:w w:val="114"/>
        </w:rPr>
        <w:t> </w:t>
      </w:r>
      <w:r>
        <w:rPr>
          <w:color w:val="231F20"/>
          <w:w w:val="110"/>
        </w:rPr>
        <w:t>Nicholas Spykmann, o de la versión modernizada que</w:t>
      </w:r>
      <w:r>
        <w:rPr>
          <w:color w:val="231F20"/>
          <w:spacing w:val="31"/>
          <w:w w:val="110"/>
        </w:rPr>
        <w:t> </w:t>
      </w:r>
      <w:r>
        <w:rPr>
          <w:color w:val="231F20"/>
          <w:w w:val="110"/>
        </w:rPr>
        <w:t>asumieron</w:t>
      </w:r>
      <w:r>
        <w:rPr>
          <w:color w:val="231F20"/>
          <w:w w:val="110"/>
        </w:rPr>
        <w:t> </w:t>
      </w:r>
      <w:r>
        <w:rPr>
          <w:color w:val="231F20"/>
          <w:w w:val="110"/>
        </w:rPr>
        <w:t>con</w:t>
      </w:r>
      <w:r>
        <w:rPr>
          <w:color w:val="231F20"/>
          <w:spacing w:val="32"/>
          <w:w w:val="110"/>
        </w:rPr>
        <w:t> </w:t>
      </w:r>
      <w:r>
        <w:rPr>
          <w:color w:val="231F20"/>
          <w:w w:val="110"/>
        </w:rPr>
        <w:t>el</w:t>
      </w:r>
      <w:r>
        <w:rPr>
          <w:color w:val="231F20"/>
          <w:spacing w:val="32"/>
          <w:w w:val="110"/>
        </w:rPr>
        <w:t> </w:t>
      </w:r>
      <w:r>
        <w:rPr>
          <w:color w:val="231F20"/>
          <w:w w:val="110"/>
        </w:rPr>
        <w:t>enfoque</w:t>
      </w:r>
      <w:r>
        <w:rPr>
          <w:color w:val="231F20"/>
          <w:spacing w:val="32"/>
          <w:w w:val="110"/>
        </w:rPr>
        <w:t> </w:t>
      </w:r>
      <w:r>
        <w:rPr>
          <w:color w:val="231F20"/>
          <w:w w:val="110"/>
        </w:rPr>
        <w:t>de</w:t>
      </w:r>
      <w:r>
        <w:rPr>
          <w:color w:val="231F20"/>
          <w:spacing w:val="32"/>
          <w:w w:val="110"/>
        </w:rPr>
        <w:t> </w:t>
      </w:r>
      <w:r>
        <w:rPr>
          <w:color w:val="231F20"/>
          <w:spacing w:val="2"/>
          <w:w w:val="110"/>
        </w:rPr>
        <w:t>Henry</w:t>
      </w:r>
      <w:r>
        <w:rPr>
          <w:color w:val="231F20"/>
          <w:spacing w:val="32"/>
          <w:w w:val="110"/>
        </w:rPr>
        <w:t> </w:t>
      </w:r>
      <w:r>
        <w:rPr>
          <w:color w:val="231F20"/>
          <w:w w:val="110"/>
        </w:rPr>
        <w:t>Kissinger.</w:t>
      </w:r>
      <w:r>
        <w:rPr>
          <w:color w:val="231F20"/>
          <w:spacing w:val="32"/>
          <w:w w:val="110"/>
        </w:rPr>
        <w:t> </w:t>
      </w:r>
      <w:r>
        <w:rPr>
          <w:color w:val="231F20"/>
          <w:w w:val="110"/>
        </w:rPr>
        <w:t>Ante</w:t>
      </w:r>
      <w:r>
        <w:rPr>
          <w:color w:val="231F20"/>
          <w:spacing w:val="32"/>
          <w:w w:val="110"/>
        </w:rPr>
        <w:t> </w:t>
      </w:r>
      <w:r>
        <w:rPr>
          <w:color w:val="231F20"/>
          <w:w w:val="110"/>
        </w:rPr>
        <w:t>el</w:t>
      </w:r>
      <w:r>
        <w:rPr>
          <w:color w:val="231F20"/>
          <w:spacing w:val="32"/>
          <w:w w:val="110"/>
        </w:rPr>
        <w:t> </w:t>
      </w:r>
      <w:r>
        <w:rPr>
          <w:color w:val="231F20"/>
          <w:w w:val="110"/>
        </w:rPr>
        <w:t>significativo</w:t>
      </w:r>
      <w:r>
        <w:rPr>
          <w:color w:val="231F20"/>
          <w:spacing w:val="32"/>
          <w:w w:val="110"/>
        </w:rPr>
        <w:t> </w:t>
      </w:r>
      <w:r>
        <w:rPr>
          <w:color w:val="231F20"/>
          <w:spacing w:val="2"/>
          <w:w w:val="110"/>
        </w:rPr>
        <w:t>cambio</w:t>
      </w:r>
      <w:r>
        <w:rPr>
          <w:color w:val="231F20"/>
          <w:spacing w:val="2"/>
          <w:w w:val="108"/>
        </w:rPr>
        <w:t> </w:t>
      </w:r>
      <w:r>
        <w:rPr>
          <w:color w:val="231F20"/>
          <w:w w:val="110"/>
        </w:rPr>
        <w:t>que</w:t>
      </w:r>
      <w:r>
        <w:rPr>
          <w:color w:val="231F20"/>
          <w:spacing w:val="30"/>
          <w:w w:val="110"/>
        </w:rPr>
        <w:t> </w:t>
      </w:r>
      <w:r>
        <w:rPr>
          <w:color w:val="231F20"/>
          <w:w w:val="110"/>
        </w:rPr>
        <w:t>se</w:t>
      </w:r>
      <w:r>
        <w:rPr>
          <w:color w:val="231F20"/>
          <w:spacing w:val="30"/>
          <w:w w:val="110"/>
        </w:rPr>
        <w:t> </w:t>
      </w:r>
      <w:r>
        <w:rPr>
          <w:color w:val="231F20"/>
          <w:w w:val="110"/>
        </w:rPr>
        <w:t>viene</w:t>
      </w:r>
      <w:r>
        <w:rPr>
          <w:color w:val="231F20"/>
          <w:spacing w:val="30"/>
          <w:w w:val="110"/>
        </w:rPr>
        <w:t> </w:t>
      </w:r>
      <w:r>
        <w:rPr>
          <w:color w:val="231F20"/>
          <w:w w:val="110"/>
        </w:rPr>
        <w:t>operando</w:t>
      </w:r>
      <w:r>
        <w:rPr>
          <w:color w:val="231F20"/>
          <w:spacing w:val="30"/>
          <w:w w:val="110"/>
        </w:rPr>
        <w:t> </w:t>
      </w:r>
      <w:r>
        <w:rPr>
          <w:color w:val="231F20"/>
          <w:w w:val="110"/>
        </w:rPr>
        <w:t>en</w:t>
      </w:r>
      <w:r>
        <w:rPr>
          <w:color w:val="231F20"/>
          <w:spacing w:val="30"/>
          <w:w w:val="110"/>
        </w:rPr>
        <w:t> </w:t>
      </w:r>
      <w:r>
        <w:rPr>
          <w:color w:val="231F20"/>
          <w:w w:val="110"/>
        </w:rPr>
        <w:t>las</w:t>
      </w:r>
      <w:r>
        <w:rPr>
          <w:color w:val="231F20"/>
          <w:spacing w:val="30"/>
          <w:w w:val="110"/>
        </w:rPr>
        <w:t> </w:t>
      </w:r>
      <w:r>
        <w:rPr>
          <w:color w:val="231F20"/>
          <w:w w:val="110"/>
        </w:rPr>
        <w:t>estructuras</w:t>
      </w:r>
      <w:r>
        <w:rPr>
          <w:color w:val="231F20"/>
          <w:spacing w:val="30"/>
          <w:w w:val="110"/>
        </w:rPr>
        <w:t> </w:t>
      </w:r>
      <w:r>
        <w:rPr>
          <w:color w:val="231F20"/>
          <w:w w:val="110"/>
        </w:rPr>
        <w:t>del</w:t>
      </w:r>
      <w:r>
        <w:rPr>
          <w:color w:val="231F20"/>
          <w:spacing w:val="30"/>
          <w:w w:val="110"/>
        </w:rPr>
        <w:t> </w:t>
      </w:r>
      <w:r>
        <w:rPr>
          <w:color w:val="231F20"/>
          <w:w w:val="110"/>
        </w:rPr>
        <w:t>poder</w:t>
      </w:r>
      <w:r>
        <w:rPr>
          <w:color w:val="231F20"/>
          <w:spacing w:val="30"/>
          <w:w w:val="110"/>
        </w:rPr>
        <w:t> </w:t>
      </w:r>
      <w:r>
        <w:rPr>
          <w:color w:val="231F20"/>
          <w:w w:val="110"/>
        </w:rPr>
        <w:t>geopolítico</w:t>
      </w:r>
      <w:r>
        <w:rPr>
          <w:color w:val="231F20"/>
          <w:spacing w:val="30"/>
          <w:w w:val="110"/>
        </w:rPr>
        <w:t> </w:t>
      </w:r>
      <w:r>
        <w:rPr>
          <w:color w:val="231F20"/>
          <w:w w:val="110"/>
        </w:rPr>
        <w:t>(y</w:t>
      </w:r>
      <w:r>
        <w:rPr>
          <w:color w:val="231F20"/>
          <w:w w:val="103"/>
        </w:rPr>
        <w:t> </w:t>
      </w:r>
      <w:r>
        <w:rPr>
          <w:color w:val="231F20"/>
          <w:w w:val="110"/>
        </w:rPr>
        <w:t>geoeconómico) mundial, parece imponerse una visión </w:t>
      </w:r>
      <w:r>
        <w:rPr>
          <w:color w:val="231F20"/>
          <w:spacing w:val="15"/>
          <w:w w:val="110"/>
        </w:rPr>
        <w:t> </w:t>
      </w:r>
      <w:r>
        <w:rPr>
          <w:color w:val="231F20"/>
          <w:w w:val="110"/>
        </w:rPr>
        <w:t>más</w:t>
      </w:r>
      <w:r>
        <w:rPr>
          <w:color w:val="231F20"/>
          <w:spacing w:val="20"/>
          <w:w w:val="110"/>
        </w:rPr>
        <w:t> </w:t>
      </w:r>
      <w:r>
        <w:rPr>
          <w:color w:val="231F20"/>
          <w:w w:val="110"/>
        </w:rPr>
        <w:t>realista</w:t>
      </w:r>
      <w:r>
        <w:rPr>
          <w:color w:val="231F20"/>
          <w:w w:val="107"/>
        </w:rPr>
        <w:t> </w:t>
      </w:r>
      <w:r>
        <w:rPr>
          <w:color w:val="231F20"/>
          <w:w w:val="110"/>
        </w:rPr>
        <w:t>y</w:t>
      </w:r>
      <w:r>
        <w:rPr>
          <w:color w:val="231F20"/>
          <w:spacing w:val="-13"/>
          <w:w w:val="110"/>
        </w:rPr>
        <w:t> </w:t>
      </w:r>
      <w:r>
        <w:rPr>
          <w:color w:val="231F20"/>
          <w:w w:val="110"/>
        </w:rPr>
        <w:t>pragmática,</w:t>
      </w:r>
      <w:r>
        <w:rPr>
          <w:color w:val="231F20"/>
          <w:spacing w:val="-13"/>
          <w:w w:val="110"/>
        </w:rPr>
        <w:t> </w:t>
      </w:r>
      <w:r>
        <w:rPr>
          <w:color w:val="231F20"/>
          <w:w w:val="110"/>
        </w:rPr>
        <w:t>acorde</w:t>
      </w:r>
      <w:r>
        <w:rPr>
          <w:color w:val="231F20"/>
          <w:spacing w:val="-13"/>
          <w:w w:val="110"/>
        </w:rPr>
        <w:t> </w:t>
      </w:r>
      <w:r>
        <w:rPr>
          <w:color w:val="231F20"/>
          <w:w w:val="110"/>
        </w:rPr>
        <w:t>con</w:t>
      </w:r>
      <w:r>
        <w:rPr>
          <w:color w:val="231F20"/>
          <w:spacing w:val="-13"/>
          <w:w w:val="110"/>
        </w:rPr>
        <w:t> </w:t>
      </w:r>
      <w:r>
        <w:rPr>
          <w:color w:val="231F20"/>
          <w:w w:val="110"/>
        </w:rPr>
        <w:t>las</w:t>
      </w:r>
      <w:r>
        <w:rPr>
          <w:color w:val="231F20"/>
          <w:spacing w:val="-13"/>
          <w:w w:val="110"/>
        </w:rPr>
        <w:t> </w:t>
      </w:r>
      <w:r>
        <w:rPr>
          <w:color w:val="231F20"/>
          <w:w w:val="110"/>
        </w:rPr>
        <w:t>tradiciones</w:t>
      </w:r>
      <w:r>
        <w:rPr>
          <w:color w:val="231F20"/>
          <w:spacing w:val="-13"/>
          <w:w w:val="110"/>
        </w:rPr>
        <w:t> </w:t>
      </w:r>
      <w:r>
        <w:rPr>
          <w:color w:val="231F20"/>
          <w:w w:val="110"/>
        </w:rPr>
        <w:t>de</w:t>
      </w:r>
      <w:r>
        <w:rPr>
          <w:color w:val="231F20"/>
          <w:spacing w:val="-13"/>
          <w:w w:val="110"/>
        </w:rPr>
        <w:t> </w:t>
      </w:r>
      <w:r>
        <w:rPr>
          <w:color w:val="231F20"/>
          <w:w w:val="110"/>
        </w:rPr>
        <w:t>una</w:t>
      </w:r>
      <w:r>
        <w:rPr>
          <w:color w:val="231F20"/>
          <w:spacing w:val="-13"/>
          <w:w w:val="110"/>
        </w:rPr>
        <w:t> </w:t>
      </w:r>
      <w:r>
        <w:rPr>
          <w:i/>
          <w:color w:val="231F20"/>
          <w:w w:val="110"/>
        </w:rPr>
        <w:t>realpolitik</w:t>
      </w:r>
      <w:r>
        <w:rPr>
          <w:i/>
          <w:color w:val="231F20"/>
          <w:spacing w:val="-13"/>
          <w:w w:val="110"/>
        </w:rPr>
        <w:t> </w:t>
      </w:r>
      <w:r>
        <w:rPr>
          <w:color w:val="231F20"/>
          <w:w w:val="110"/>
        </w:rPr>
        <w:t>remozada.</w:t>
      </w:r>
      <w:r>
        <w:rPr>
          <w:color w:val="231F20"/>
          <w:w w:val="109"/>
        </w:rPr>
        <w:t> </w:t>
      </w:r>
      <w:r>
        <w:rPr>
          <w:color w:val="231F20"/>
          <w:w w:val="110"/>
        </w:rPr>
        <w:t>Sobre</w:t>
      </w:r>
      <w:r>
        <w:rPr>
          <w:color w:val="231F20"/>
          <w:spacing w:val="-9"/>
          <w:w w:val="110"/>
        </w:rPr>
        <w:t> </w:t>
      </w:r>
      <w:r>
        <w:rPr>
          <w:color w:val="231F20"/>
          <w:w w:val="110"/>
        </w:rPr>
        <w:t>esta</w:t>
      </w:r>
      <w:r>
        <w:rPr>
          <w:color w:val="231F20"/>
          <w:spacing w:val="-9"/>
          <w:w w:val="110"/>
        </w:rPr>
        <w:t> </w:t>
      </w:r>
      <w:r>
        <w:rPr>
          <w:color w:val="231F20"/>
          <w:w w:val="110"/>
        </w:rPr>
        <w:t>base,</w:t>
      </w:r>
      <w:r>
        <w:rPr>
          <w:color w:val="231F20"/>
          <w:spacing w:val="-9"/>
          <w:w w:val="110"/>
        </w:rPr>
        <w:t> </w:t>
      </w:r>
      <w:r>
        <w:rPr>
          <w:color w:val="231F20"/>
          <w:w w:val="110"/>
        </w:rPr>
        <w:t>de</w:t>
      </w:r>
      <w:r>
        <w:rPr>
          <w:color w:val="231F20"/>
          <w:spacing w:val="-9"/>
          <w:w w:val="110"/>
        </w:rPr>
        <w:t> </w:t>
      </w:r>
      <w:r>
        <w:rPr>
          <w:color w:val="231F20"/>
          <w:w w:val="110"/>
        </w:rPr>
        <w:t>cierto</w:t>
      </w:r>
      <w:r>
        <w:rPr>
          <w:color w:val="231F20"/>
          <w:spacing w:val="-9"/>
          <w:w w:val="110"/>
        </w:rPr>
        <w:t> </w:t>
      </w:r>
      <w:r>
        <w:rPr>
          <w:color w:val="231F20"/>
          <w:w w:val="110"/>
        </w:rPr>
        <w:t>modo,</w:t>
      </w:r>
      <w:r>
        <w:rPr>
          <w:color w:val="231F20"/>
          <w:spacing w:val="-9"/>
          <w:w w:val="110"/>
        </w:rPr>
        <w:t> </w:t>
      </w:r>
      <w:r>
        <w:rPr>
          <w:color w:val="231F20"/>
          <w:w w:val="110"/>
        </w:rPr>
        <w:t>conserva</w:t>
      </w:r>
      <w:r>
        <w:rPr>
          <w:color w:val="231F20"/>
          <w:spacing w:val="-9"/>
          <w:w w:val="110"/>
        </w:rPr>
        <w:t> </w:t>
      </w:r>
      <w:r>
        <w:rPr>
          <w:color w:val="231F20"/>
          <w:w w:val="110"/>
        </w:rPr>
        <w:t>vigencia</w:t>
      </w:r>
      <w:r>
        <w:rPr>
          <w:color w:val="231F20"/>
          <w:spacing w:val="-9"/>
          <w:w w:val="110"/>
        </w:rPr>
        <w:t> </w:t>
      </w:r>
      <w:r>
        <w:rPr>
          <w:color w:val="231F20"/>
          <w:w w:val="110"/>
        </w:rPr>
        <w:t>el</w:t>
      </w:r>
      <w:r>
        <w:rPr>
          <w:color w:val="231F20"/>
          <w:spacing w:val="-9"/>
          <w:w w:val="110"/>
        </w:rPr>
        <w:t> </w:t>
      </w:r>
      <w:r>
        <w:rPr>
          <w:color w:val="231F20"/>
          <w:w w:val="110"/>
        </w:rPr>
        <w:t>análisis</w:t>
      </w:r>
      <w:r>
        <w:rPr>
          <w:color w:val="231F20"/>
          <w:spacing w:val="-9"/>
          <w:w w:val="110"/>
        </w:rPr>
        <w:t> </w:t>
      </w:r>
      <w:r>
        <w:rPr>
          <w:color w:val="231F20"/>
          <w:w w:val="110"/>
        </w:rPr>
        <w:t>pro-</w:t>
      </w:r>
      <w:r>
        <w:rPr>
          <w:color w:val="231F20"/>
          <w:w w:val="72"/>
        </w:rPr>
        <w:t> </w:t>
      </w:r>
      <w:r>
        <w:rPr>
          <w:color w:val="231F20"/>
          <w:w w:val="110"/>
        </w:rPr>
        <w:t>puesto hace algún tiempo por Zbigniew Brzezinski,</w:t>
      </w:r>
      <w:r>
        <w:rPr>
          <w:color w:val="231F20"/>
          <w:spacing w:val="22"/>
          <w:w w:val="110"/>
        </w:rPr>
        <w:t> </w:t>
      </w:r>
      <w:r>
        <w:rPr>
          <w:color w:val="231F20"/>
          <w:w w:val="110"/>
        </w:rPr>
        <w:t>cuando</w:t>
      </w:r>
      <w:r>
        <w:rPr>
          <w:color w:val="231F20"/>
          <w:spacing w:val="11"/>
          <w:w w:val="110"/>
        </w:rPr>
        <w:t> </w:t>
      </w:r>
      <w:r>
        <w:rPr>
          <w:color w:val="231F20"/>
          <w:w w:val="110"/>
        </w:rPr>
        <w:t>situaba</w:t>
      </w:r>
      <w:r>
        <w:rPr>
          <w:color w:val="231F20"/>
          <w:w w:val="108"/>
        </w:rPr>
        <w:t> </w:t>
      </w:r>
      <w:r>
        <w:rPr>
          <w:color w:val="231F20"/>
          <w:w w:val="110"/>
        </w:rPr>
        <w:t>las</w:t>
      </w:r>
      <w:r>
        <w:rPr>
          <w:color w:val="231F20"/>
          <w:spacing w:val="-7"/>
          <w:w w:val="110"/>
        </w:rPr>
        <w:t> </w:t>
      </w:r>
      <w:r>
        <w:rPr>
          <w:color w:val="231F20"/>
          <w:w w:val="110"/>
        </w:rPr>
        <w:t>principales</w:t>
      </w:r>
      <w:r>
        <w:rPr>
          <w:color w:val="231F20"/>
          <w:spacing w:val="-7"/>
          <w:w w:val="110"/>
        </w:rPr>
        <w:t> </w:t>
      </w:r>
      <w:r>
        <w:rPr>
          <w:color w:val="231F20"/>
          <w:w w:val="110"/>
        </w:rPr>
        <w:t>tendencias</w:t>
      </w:r>
      <w:r>
        <w:rPr>
          <w:color w:val="231F20"/>
          <w:spacing w:val="-7"/>
          <w:w w:val="110"/>
        </w:rPr>
        <w:t> </w:t>
      </w:r>
      <w:r>
        <w:rPr>
          <w:color w:val="231F20"/>
          <w:w w:val="110"/>
        </w:rPr>
        <w:t>geopolíticas</w:t>
      </w:r>
      <w:r>
        <w:rPr>
          <w:color w:val="231F20"/>
          <w:spacing w:val="-7"/>
          <w:w w:val="110"/>
        </w:rPr>
        <w:t> </w:t>
      </w:r>
      <w:r>
        <w:rPr>
          <w:color w:val="231F20"/>
          <w:w w:val="110"/>
        </w:rPr>
        <w:t>adversas</w:t>
      </w:r>
      <w:r>
        <w:rPr>
          <w:color w:val="231F20"/>
          <w:spacing w:val="-7"/>
          <w:w w:val="110"/>
        </w:rPr>
        <w:t> </w:t>
      </w:r>
      <w:r>
        <w:rPr>
          <w:color w:val="231F20"/>
          <w:w w:val="110"/>
        </w:rPr>
        <w:t>que</w:t>
      </w:r>
      <w:r>
        <w:rPr>
          <w:color w:val="231F20"/>
          <w:spacing w:val="-7"/>
          <w:w w:val="110"/>
        </w:rPr>
        <w:t> </w:t>
      </w:r>
      <w:r>
        <w:rPr>
          <w:color w:val="231F20"/>
          <w:w w:val="110"/>
        </w:rPr>
        <w:t>enfrentaba</w:t>
      </w:r>
      <w:r>
        <w:rPr>
          <w:color w:val="231F20"/>
          <w:spacing w:val="-7"/>
          <w:w w:val="110"/>
        </w:rPr>
        <w:t> </w:t>
      </w:r>
      <w:r>
        <w:rPr>
          <w:color w:val="231F20"/>
          <w:w w:val="110"/>
        </w:rPr>
        <w:t>Esta-</w:t>
      </w:r>
      <w:r>
        <w:rPr>
          <w:color w:val="231F20"/>
          <w:w w:val="72"/>
        </w:rPr>
        <w:t> </w:t>
      </w:r>
      <w:r>
        <w:rPr>
          <w:color w:val="231F20"/>
          <w:w w:val="110"/>
        </w:rPr>
        <w:t>dos</w:t>
      </w:r>
      <w:r>
        <w:rPr>
          <w:color w:val="231F20"/>
          <w:spacing w:val="22"/>
          <w:w w:val="110"/>
        </w:rPr>
        <w:t> </w:t>
      </w:r>
      <w:r>
        <w:rPr>
          <w:color w:val="231F20"/>
          <w:w w:val="110"/>
        </w:rPr>
        <w:t>Unidos</w:t>
      </w:r>
      <w:r>
        <w:rPr>
          <w:color w:val="231F20"/>
          <w:spacing w:val="22"/>
          <w:w w:val="110"/>
        </w:rPr>
        <w:t> </w:t>
      </w:r>
      <w:r>
        <w:rPr>
          <w:color w:val="231F20"/>
          <w:w w:val="110"/>
        </w:rPr>
        <w:t>en</w:t>
      </w:r>
      <w:r>
        <w:rPr>
          <w:color w:val="231F20"/>
          <w:spacing w:val="22"/>
          <w:w w:val="110"/>
        </w:rPr>
        <w:t> </w:t>
      </w:r>
      <w:r>
        <w:rPr>
          <w:color w:val="231F20"/>
          <w:w w:val="110"/>
        </w:rPr>
        <w:t>2007,</w:t>
      </w:r>
      <w:r>
        <w:rPr>
          <w:color w:val="231F20"/>
          <w:spacing w:val="22"/>
          <w:w w:val="110"/>
        </w:rPr>
        <w:t> </w:t>
      </w:r>
      <w:r>
        <w:rPr>
          <w:color w:val="231F20"/>
          <w:w w:val="110"/>
        </w:rPr>
        <w:t>y</w:t>
      </w:r>
      <w:r>
        <w:rPr>
          <w:color w:val="231F20"/>
          <w:spacing w:val="22"/>
          <w:w w:val="110"/>
        </w:rPr>
        <w:t> </w:t>
      </w:r>
      <w:r>
        <w:rPr>
          <w:color w:val="231F20"/>
          <w:w w:val="110"/>
        </w:rPr>
        <w:t>hacerse</w:t>
      </w:r>
      <w:r>
        <w:rPr>
          <w:color w:val="231F20"/>
          <w:spacing w:val="22"/>
          <w:w w:val="110"/>
        </w:rPr>
        <w:t> </w:t>
      </w:r>
      <w:r>
        <w:rPr>
          <w:color w:val="231F20"/>
          <w:w w:val="110"/>
        </w:rPr>
        <w:t>partícipe</w:t>
      </w:r>
      <w:r>
        <w:rPr>
          <w:color w:val="231F20"/>
          <w:spacing w:val="22"/>
          <w:w w:val="110"/>
        </w:rPr>
        <w:t> </w:t>
      </w:r>
      <w:r>
        <w:rPr>
          <w:color w:val="231F20"/>
          <w:w w:val="110"/>
        </w:rPr>
        <w:t>de</w:t>
      </w:r>
      <w:r>
        <w:rPr>
          <w:color w:val="231F20"/>
          <w:spacing w:val="22"/>
          <w:w w:val="110"/>
        </w:rPr>
        <w:t> </w:t>
      </w:r>
      <w:r>
        <w:rPr>
          <w:color w:val="231F20"/>
          <w:w w:val="110"/>
        </w:rPr>
        <w:t>un</w:t>
      </w:r>
      <w:r>
        <w:rPr>
          <w:color w:val="231F20"/>
          <w:spacing w:val="22"/>
          <w:w w:val="110"/>
        </w:rPr>
        <w:t> </w:t>
      </w:r>
      <w:r>
        <w:rPr>
          <w:color w:val="231F20"/>
          <w:w w:val="110"/>
        </w:rPr>
        <w:t>enfoque</w:t>
      </w:r>
      <w:r>
        <w:rPr>
          <w:color w:val="231F20"/>
          <w:spacing w:val="22"/>
          <w:w w:val="110"/>
        </w:rPr>
        <w:t> </w:t>
      </w:r>
      <w:r>
        <w:rPr>
          <w:color w:val="231F20"/>
          <w:w w:val="110"/>
        </w:rPr>
        <w:t>basado</w:t>
      </w:r>
      <w:r>
        <w:rPr>
          <w:color w:val="231F20"/>
          <w:spacing w:val="22"/>
          <w:w w:val="110"/>
        </w:rPr>
        <w:t> </w:t>
      </w:r>
      <w:r>
        <w:rPr>
          <w:color w:val="231F20"/>
          <w:w w:val="110"/>
        </w:rPr>
        <w:t>en</w:t>
      </w:r>
    </w:p>
    <w:p>
      <w:pPr>
        <w:pStyle w:val="BodyText"/>
        <w:ind w:left="100"/>
        <w:jc w:val="both"/>
      </w:pPr>
      <w:r>
        <w:rPr>
          <w:color w:val="231F20"/>
          <w:w w:val="105"/>
        </w:rPr>
        <w:t>las tesis del realismo  político:</w:t>
      </w:r>
    </w:p>
    <w:p>
      <w:pPr>
        <w:pStyle w:val="BodyText"/>
        <w:spacing w:before="7"/>
        <w:rPr>
          <w:sz w:val="22"/>
        </w:rPr>
      </w:pPr>
    </w:p>
    <w:p>
      <w:pPr>
        <w:pStyle w:val="ListParagraph"/>
        <w:numPr>
          <w:ilvl w:val="0"/>
          <w:numId w:val="9"/>
        </w:numPr>
        <w:tabs>
          <w:tab w:pos="460" w:val="left" w:leader="none"/>
        </w:tabs>
        <w:spacing w:line="261" w:lineRule="auto" w:before="0" w:after="0"/>
        <w:ind w:left="460" w:right="119" w:hanging="160"/>
        <w:jc w:val="left"/>
        <w:rPr>
          <w:sz w:val="20"/>
        </w:rPr>
      </w:pPr>
      <w:r>
        <w:rPr>
          <w:color w:val="231F20"/>
          <w:w w:val="110"/>
          <w:sz w:val="20"/>
        </w:rPr>
        <w:t>Hostilidad intensificada hacia Occidente a lo largo</w:t>
      </w:r>
      <w:r>
        <w:rPr>
          <w:color w:val="231F20"/>
          <w:spacing w:val="12"/>
          <w:w w:val="110"/>
          <w:sz w:val="20"/>
        </w:rPr>
        <w:t> </w:t>
      </w:r>
      <w:r>
        <w:rPr>
          <w:color w:val="231F20"/>
          <w:w w:val="110"/>
          <w:sz w:val="20"/>
        </w:rPr>
        <w:t>del</w:t>
      </w:r>
      <w:r>
        <w:rPr>
          <w:color w:val="231F20"/>
          <w:spacing w:val="25"/>
          <w:w w:val="110"/>
          <w:sz w:val="20"/>
        </w:rPr>
        <w:t> </w:t>
      </w:r>
      <w:r>
        <w:rPr>
          <w:color w:val="231F20"/>
          <w:w w:val="110"/>
          <w:sz w:val="20"/>
        </w:rPr>
        <w:t>mundo</w:t>
      </w:r>
      <w:r>
        <w:rPr>
          <w:color w:val="231F20"/>
          <w:w w:val="114"/>
          <w:sz w:val="20"/>
        </w:rPr>
        <w:t> </w:t>
      </w:r>
      <w:r>
        <w:rPr>
          <w:color w:val="231F20"/>
          <w:w w:val="110"/>
          <w:sz w:val="20"/>
        </w:rPr>
        <w:t>islámico</w:t>
      </w:r>
    </w:p>
    <w:p>
      <w:pPr>
        <w:pStyle w:val="ListParagraph"/>
        <w:numPr>
          <w:ilvl w:val="0"/>
          <w:numId w:val="9"/>
        </w:numPr>
        <w:tabs>
          <w:tab w:pos="460" w:val="left" w:leader="none"/>
        </w:tabs>
        <w:spacing w:line="240" w:lineRule="auto" w:before="0" w:after="0"/>
        <w:ind w:left="460" w:right="0" w:hanging="160"/>
        <w:jc w:val="left"/>
        <w:rPr>
          <w:sz w:val="20"/>
        </w:rPr>
      </w:pPr>
      <w:r>
        <w:rPr>
          <w:color w:val="231F20"/>
          <w:w w:val="110"/>
          <w:sz w:val="20"/>
        </w:rPr>
        <w:t>Un Medio Oriente</w:t>
      </w:r>
      <w:r>
        <w:rPr>
          <w:color w:val="231F20"/>
          <w:spacing w:val="3"/>
          <w:w w:val="110"/>
          <w:sz w:val="20"/>
        </w:rPr>
        <w:t> </w:t>
      </w:r>
      <w:r>
        <w:rPr>
          <w:color w:val="231F20"/>
          <w:w w:val="110"/>
          <w:sz w:val="20"/>
        </w:rPr>
        <w:t>explosivo</w:t>
      </w:r>
    </w:p>
    <w:p>
      <w:pPr>
        <w:pStyle w:val="BodyText"/>
      </w:pPr>
    </w:p>
    <w:p>
      <w:pPr>
        <w:pStyle w:val="BodyText"/>
      </w:pPr>
    </w:p>
    <w:p>
      <w:pPr>
        <w:spacing w:line="261" w:lineRule="auto" w:before="152"/>
        <w:ind w:left="100" w:right="117" w:firstLine="240"/>
        <w:jc w:val="both"/>
        <w:rPr>
          <w:sz w:val="16"/>
        </w:rPr>
      </w:pPr>
      <w:r>
        <w:rPr>
          <w:color w:val="231F20"/>
          <w:w w:val="110"/>
          <w:position w:val="5"/>
          <w:sz w:val="10"/>
        </w:rPr>
        <w:t>9</w:t>
      </w:r>
      <w:r>
        <w:rPr>
          <w:color w:val="231F20"/>
          <w:spacing w:val="7"/>
          <w:w w:val="110"/>
          <w:position w:val="5"/>
          <w:sz w:val="10"/>
        </w:rPr>
        <w:t> </w:t>
      </w:r>
      <w:r>
        <w:rPr>
          <w:color w:val="231F20"/>
          <w:w w:val="110"/>
          <w:sz w:val="16"/>
        </w:rPr>
        <w:t>Sobre</w:t>
      </w:r>
      <w:r>
        <w:rPr>
          <w:color w:val="231F20"/>
          <w:spacing w:val="-10"/>
          <w:w w:val="110"/>
          <w:sz w:val="16"/>
        </w:rPr>
        <w:t> </w:t>
      </w:r>
      <w:r>
        <w:rPr>
          <w:color w:val="231F20"/>
          <w:w w:val="110"/>
          <w:sz w:val="16"/>
        </w:rPr>
        <w:t>este</w:t>
      </w:r>
      <w:r>
        <w:rPr>
          <w:color w:val="231F20"/>
          <w:spacing w:val="-10"/>
          <w:w w:val="110"/>
          <w:sz w:val="16"/>
        </w:rPr>
        <w:t> </w:t>
      </w:r>
      <w:r>
        <w:rPr>
          <w:color w:val="231F20"/>
          <w:w w:val="110"/>
          <w:sz w:val="16"/>
        </w:rPr>
        <w:t>contexto,</w:t>
      </w:r>
      <w:r>
        <w:rPr>
          <w:color w:val="231F20"/>
          <w:spacing w:val="-10"/>
          <w:w w:val="110"/>
          <w:sz w:val="16"/>
        </w:rPr>
        <w:t> </w:t>
      </w:r>
      <w:r>
        <w:rPr>
          <w:color w:val="231F20"/>
          <w:w w:val="110"/>
          <w:sz w:val="16"/>
        </w:rPr>
        <w:t>véase:</w:t>
      </w:r>
      <w:r>
        <w:rPr>
          <w:color w:val="231F20"/>
          <w:spacing w:val="-10"/>
          <w:w w:val="110"/>
          <w:sz w:val="16"/>
        </w:rPr>
        <w:t> </w:t>
      </w:r>
      <w:r>
        <w:rPr>
          <w:color w:val="231F20"/>
          <w:w w:val="110"/>
          <w:sz w:val="16"/>
        </w:rPr>
        <w:t>Luis</w:t>
      </w:r>
      <w:r>
        <w:rPr>
          <w:color w:val="231F20"/>
          <w:spacing w:val="-10"/>
          <w:w w:val="110"/>
          <w:sz w:val="16"/>
        </w:rPr>
        <w:t> </w:t>
      </w:r>
      <w:r>
        <w:rPr>
          <w:color w:val="231F20"/>
          <w:w w:val="110"/>
          <w:sz w:val="16"/>
        </w:rPr>
        <w:t>Suárez</w:t>
      </w:r>
      <w:r>
        <w:rPr>
          <w:color w:val="231F20"/>
          <w:spacing w:val="-10"/>
          <w:w w:val="110"/>
          <w:sz w:val="16"/>
        </w:rPr>
        <w:t> </w:t>
      </w:r>
      <w:r>
        <w:rPr>
          <w:color w:val="231F20"/>
          <w:w w:val="110"/>
          <w:sz w:val="16"/>
        </w:rPr>
        <w:t>Salazar</w:t>
      </w:r>
      <w:r>
        <w:rPr>
          <w:color w:val="231F20"/>
          <w:spacing w:val="-10"/>
          <w:w w:val="110"/>
          <w:sz w:val="16"/>
        </w:rPr>
        <w:t> </w:t>
      </w:r>
      <w:r>
        <w:rPr>
          <w:color w:val="231F20"/>
          <w:w w:val="110"/>
          <w:sz w:val="16"/>
        </w:rPr>
        <w:t>(2009)</w:t>
      </w:r>
      <w:r>
        <w:rPr>
          <w:color w:val="231F20"/>
          <w:spacing w:val="-10"/>
          <w:w w:val="110"/>
          <w:sz w:val="16"/>
        </w:rPr>
        <w:t> </w:t>
      </w:r>
      <w:r>
        <w:rPr>
          <w:color w:val="231F20"/>
          <w:w w:val="110"/>
          <w:sz w:val="16"/>
        </w:rPr>
        <w:t>y</w:t>
      </w:r>
      <w:r>
        <w:rPr>
          <w:color w:val="231F20"/>
          <w:spacing w:val="-10"/>
          <w:w w:val="110"/>
          <w:sz w:val="16"/>
        </w:rPr>
        <w:t> </w:t>
      </w:r>
      <w:r>
        <w:rPr>
          <w:color w:val="231F20"/>
          <w:w w:val="110"/>
          <w:sz w:val="16"/>
        </w:rPr>
        <w:t>Raúl</w:t>
      </w:r>
      <w:r>
        <w:rPr>
          <w:color w:val="231F20"/>
          <w:spacing w:val="-10"/>
          <w:w w:val="110"/>
          <w:sz w:val="16"/>
        </w:rPr>
        <w:t> </w:t>
      </w:r>
      <w:r>
        <w:rPr>
          <w:color w:val="231F20"/>
          <w:w w:val="110"/>
          <w:sz w:val="16"/>
        </w:rPr>
        <w:t>Zibechi</w:t>
      </w:r>
      <w:r>
        <w:rPr>
          <w:color w:val="231F20"/>
          <w:spacing w:val="-10"/>
          <w:w w:val="110"/>
          <w:sz w:val="16"/>
        </w:rPr>
        <w:t> </w:t>
      </w:r>
      <w:r>
        <w:rPr>
          <w:color w:val="231F20"/>
          <w:w w:val="110"/>
          <w:sz w:val="16"/>
        </w:rPr>
        <w:t>(2009),</w:t>
      </w:r>
      <w:r>
        <w:rPr>
          <w:color w:val="231F20"/>
          <w:spacing w:val="-10"/>
          <w:w w:val="110"/>
          <w:sz w:val="16"/>
        </w:rPr>
        <w:t> </w:t>
      </w:r>
      <w:r>
        <w:rPr>
          <w:color w:val="231F20"/>
          <w:w w:val="110"/>
          <w:sz w:val="16"/>
        </w:rPr>
        <w:t>así como</w:t>
      </w:r>
      <w:r>
        <w:rPr>
          <w:color w:val="231F20"/>
          <w:spacing w:val="-17"/>
          <w:w w:val="110"/>
          <w:sz w:val="16"/>
        </w:rPr>
        <w:t> </w:t>
      </w:r>
      <w:r>
        <w:rPr>
          <w:color w:val="231F20"/>
          <w:w w:val="110"/>
          <w:sz w:val="16"/>
        </w:rPr>
        <w:t>diversos</w:t>
      </w:r>
      <w:r>
        <w:rPr>
          <w:color w:val="231F20"/>
          <w:spacing w:val="-17"/>
          <w:w w:val="110"/>
          <w:sz w:val="16"/>
        </w:rPr>
        <w:t> </w:t>
      </w:r>
      <w:r>
        <w:rPr>
          <w:color w:val="231F20"/>
          <w:w w:val="110"/>
          <w:sz w:val="16"/>
        </w:rPr>
        <w:t>trabajos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Ana</w:t>
      </w:r>
      <w:r>
        <w:rPr>
          <w:color w:val="231F20"/>
          <w:spacing w:val="-17"/>
          <w:w w:val="110"/>
          <w:sz w:val="16"/>
        </w:rPr>
        <w:t> </w:t>
      </w:r>
      <w:r>
        <w:rPr>
          <w:color w:val="231F20"/>
          <w:w w:val="110"/>
          <w:sz w:val="16"/>
        </w:rPr>
        <w:t>Esther</w:t>
      </w:r>
      <w:r>
        <w:rPr>
          <w:color w:val="231F20"/>
          <w:spacing w:val="-17"/>
          <w:w w:val="110"/>
          <w:sz w:val="16"/>
        </w:rPr>
        <w:t> </w:t>
      </w:r>
      <w:r>
        <w:rPr>
          <w:color w:val="231F20"/>
          <w:w w:val="110"/>
          <w:sz w:val="16"/>
        </w:rPr>
        <w:t>Ceceña,</w:t>
      </w:r>
      <w:r>
        <w:rPr>
          <w:color w:val="231F20"/>
          <w:spacing w:val="-17"/>
          <w:w w:val="110"/>
          <w:sz w:val="16"/>
        </w:rPr>
        <w:t> </w:t>
      </w:r>
      <w:r>
        <w:rPr>
          <w:color w:val="231F20"/>
          <w:w w:val="110"/>
          <w:sz w:val="16"/>
        </w:rPr>
        <w:t>Atilio</w:t>
      </w:r>
      <w:r>
        <w:rPr>
          <w:color w:val="231F20"/>
          <w:spacing w:val="-17"/>
          <w:w w:val="110"/>
          <w:sz w:val="16"/>
        </w:rPr>
        <w:t> </w:t>
      </w:r>
      <w:r>
        <w:rPr>
          <w:color w:val="231F20"/>
          <w:w w:val="110"/>
          <w:sz w:val="16"/>
        </w:rPr>
        <w:t>Borón</w:t>
      </w:r>
      <w:r>
        <w:rPr>
          <w:color w:val="231F20"/>
          <w:spacing w:val="-17"/>
          <w:w w:val="110"/>
          <w:sz w:val="16"/>
        </w:rPr>
        <w:t> </w:t>
      </w:r>
      <w:r>
        <w:rPr>
          <w:color w:val="231F20"/>
          <w:w w:val="110"/>
          <w:sz w:val="16"/>
        </w:rPr>
        <w:t>y</w:t>
      </w:r>
      <w:r>
        <w:rPr>
          <w:color w:val="231F20"/>
          <w:spacing w:val="-17"/>
          <w:w w:val="110"/>
          <w:sz w:val="16"/>
        </w:rPr>
        <w:t> </w:t>
      </w:r>
      <w:r>
        <w:rPr>
          <w:color w:val="231F20"/>
          <w:w w:val="110"/>
          <w:sz w:val="16"/>
        </w:rPr>
        <w:t>Eva</w:t>
      </w:r>
      <w:r>
        <w:rPr>
          <w:color w:val="231F20"/>
          <w:spacing w:val="-17"/>
          <w:w w:val="110"/>
          <w:sz w:val="16"/>
        </w:rPr>
        <w:t> </w:t>
      </w:r>
      <w:r>
        <w:rPr>
          <w:color w:val="231F20"/>
          <w:w w:val="110"/>
          <w:sz w:val="16"/>
        </w:rPr>
        <w:t>Golinger,</w:t>
      </w:r>
      <w:r>
        <w:rPr>
          <w:color w:val="231F20"/>
          <w:spacing w:val="-17"/>
          <w:w w:val="110"/>
          <w:sz w:val="16"/>
        </w:rPr>
        <w:t> </w:t>
      </w:r>
      <w:r>
        <w:rPr>
          <w:color w:val="231F20"/>
          <w:w w:val="110"/>
          <w:sz w:val="16"/>
        </w:rPr>
        <w:t>entre</w:t>
      </w:r>
      <w:r>
        <w:rPr>
          <w:color w:val="231F20"/>
          <w:spacing w:val="-17"/>
          <w:w w:val="110"/>
          <w:sz w:val="16"/>
        </w:rPr>
        <w:t> </w:t>
      </w:r>
      <w:r>
        <w:rPr>
          <w:color w:val="231F20"/>
          <w:w w:val="110"/>
          <w:sz w:val="16"/>
        </w:rPr>
        <w:t>otros.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ListParagraph"/>
        <w:numPr>
          <w:ilvl w:val="0"/>
          <w:numId w:val="9"/>
        </w:numPr>
        <w:tabs>
          <w:tab w:pos="460" w:val="left" w:leader="none"/>
        </w:tabs>
        <w:spacing w:line="240" w:lineRule="auto" w:before="67" w:after="0"/>
        <w:ind w:left="460" w:right="0" w:hanging="160"/>
        <w:jc w:val="left"/>
        <w:rPr>
          <w:sz w:val="20"/>
        </w:rPr>
      </w:pPr>
      <w:r>
        <w:rPr>
          <w:color w:val="231F20"/>
          <w:w w:val="110"/>
          <w:sz w:val="20"/>
        </w:rPr>
        <w:t>Un Irán predominante en el Golfo </w:t>
      </w:r>
      <w:r>
        <w:rPr>
          <w:color w:val="231F20"/>
          <w:spacing w:val="37"/>
          <w:w w:val="110"/>
          <w:sz w:val="20"/>
        </w:rPr>
        <w:t> </w:t>
      </w:r>
      <w:r>
        <w:rPr>
          <w:color w:val="231F20"/>
          <w:w w:val="110"/>
          <w:sz w:val="20"/>
        </w:rPr>
        <w:t>Pérsico</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10"/>
          <w:sz w:val="20"/>
        </w:rPr>
        <w:t>Una Europa</w:t>
      </w:r>
      <w:r>
        <w:rPr>
          <w:color w:val="231F20"/>
          <w:spacing w:val="15"/>
          <w:w w:val="110"/>
          <w:sz w:val="20"/>
        </w:rPr>
        <w:t> </w:t>
      </w:r>
      <w:r>
        <w:rPr>
          <w:color w:val="231F20"/>
          <w:w w:val="110"/>
          <w:sz w:val="20"/>
        </w:rPr>
        <w:t>desafecta</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10"/>
          <w:sz w:val="20"/>
        </w:rPr>
        <w:t>Una Rusia</w:t>
      </w:r>
      <w:r>
        <w:rPr>
          <w:color w:val="231F20"/>
          <w:spacing w:val="6"/>
          <w:w w:val="110"/>
          <w:sz w:val="20"/>
        </w:rPr>
        <w:t> </w:t>
      </w:r>
      <w:r>
        <w:rPr>
          <w:color w:val="231F20"/>
          <w:w w:val="110"/>
          <w:sz w:val="20"/>
        </w:rPr>
        <w:t>resentida</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10"/>
          <w:sz w:val="20"/>
        </w:rPr>
        <w:t>China tratando de crear una comunidad en Asia  </w:t>
      </w:r>
      <w:r>
        <w:rPr>
          <w:color w:val="231F20"/>
          <w:spacing w:val="29"/>
          <w:w w:val="110"/>
          <w:sz w:val="20"/>
        </w:rPr>
        <w:t> </w:t>
      </w:r>
      <w:r>
        <w:rPr>
          <w:color w:val="231F20"/>
          <w:w w:val="110"/>
          <w:sz w:val="20"/>
        </w:rPr>
        <w:t>Oriental</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05"/>
          <w:sz w:val="20"/>
        </w:rPr>
        <w:t>Japón más aislado en </w:t>
      </w:r>
      <w:r>
        <w:rPr>
          <w:color w:val="231F20"/>
          <w:spacing w:val="23"/>
          <w:w w:val="105"/>
          <w:sz w:val="20"/>
        </w:rPr>
        <w:t> </w:t>
      </w:r>
      <w:r>
        <w:rPr>
          <w:color w:val="231F20"/>
          <w:w w:val="105"/>
          <w:sz w:val="20"/>
        </w:rPr>
        <w:t>Asia</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10"/>
          <w:sz w:val="20"/>
        </w:rPr>
        <w:t>Una ola populista antiestadunidense en América  Latina</w:t>
      </w:r>
    </w:p>
    <w:p>
      <w:pPr>
        <w:pStyle w:val="ListParagraph"/>
        <w:numPr>
          <w:ilvl w:val="0"/>
          <w:numId w:val="9"/>
        </w:numPr>
        <w:tabs>
          <w:tab w:pos="460" w:val="left" w:leader="none"/>
        </w:tabs>
        <w:spacing w:line="240" w:lineRule="auto" w:before="20" w:after="0"/>
        <w:ind w:left="460" w:right="0" w:hanging="160"/>
        <w:jc w:val="left"/>
        <w:rPr>
          <w:sz w:val="20"/>
        </w:rPr>
      </w:pPr>
      <w:r>
        <w:rPr>
          <w:color w:val="231F20"/>
          <w:w w:val="110"/>
          <w:sz w:val="20"/>
        </w:rPr>
        <w:t>La quiebra del régimen de no proliferación  </w:t>
      </w:r>
      <w:r>
        <w:rPr>
          <w:color w:val="231F20"/>
          <w:spacing w:val="11"/>
          <w:w w:val="110"/>
          <w:sz w:val="20"/>
        </w:rPr>
        <w:t> </w:t>
      </w:r>
      <w:r>
        <w:rPr>
          <w:color w:val="231F20"/>
          <w:w w:val="110"/>
          <w:sz w:val="20"/>
        </w:rPr>
        <w:t>nuclear</w:t>
      </w:r>
    </w:p>
    <w:p>
      <w:pPr>
        <w:pStyle w:val="BodyText"/>
        <w:spacing w:before="5"/>
        <w:rPr>
          <w:sz w:val="23"/>
        </w:rPr>
      </w:pPr>
    </w:p>
    <w:p>
      <w:pPr>
        <w:pStyle w:val="BodyText"/>
        <w:spacing w:line="261" w:lineRule="auto"/>
        <w:ind w:left="100" w:right="117" w:firstLine="252"/>
        <w:jc w:val="both"/>
      </w:pPr>
      <w:r>
        <w:rPr>
          <w:color w:val="231F20"/>
          <w:w w:val="110"/>
        </w:rPr>
        <w:t>La</w:t>
      </w:r>
      <w:r>
        <w:rPr>
          <w:color w:val="231F20"/>
          <w:spacing w:val="-12"/>
          <w:w w:val="110"/>
        </w:rPr>
        <w:t> </w:t>
      </w:r>
      <w:r>
        <w:rPr>
          <w:color w:val="231F20"/>
          <w:w w:val="110"/>
        </w:rPr>
        <w:t>administración</w:t>
      </w:r>
      <w:r>
        <w:rPr>
          <w:color w:val="231F20"/>
          <w:spacing w:val="-12"/>
          <w:w w:val="110"/>
        </w:rPr>
        <w:t> </w:t>
      </w:r>
      <w:r>
        <w:rPr>
          <w:color w:val="231F20"/>
          <w:w w:val="110"/>
        </w:rPr>
        <w:t>de</w:t>
      </w:r>
      <w:r>
        <w:rPr>
          <w:color w:val="231F20"/>
          <w:spacing w:val="-12"/>
          <w:w w:val="110"/>
        </w:rPr>
        <w:t> </w:t>
      </w:r>
      <w:r>
        <w:rPr>
          <w:color w:val="231F20"/>
          <w:spacing w:val="-6"/>
          <w:w w:val="110"/>
        </w:rPr>
        <w:t>W.</w:t>
      </w:r>
      <w:r>
        <w:rPr>
          <w:color w:val="231F20"/>
          <w:spacing w:val="-12"/>
          <w:w w:val="110"/>
        </w:rPr>
        <w:t> </w:t>
      </w:r>
      <w:r>
        <w:rPr>
          <w:color w:val="231F20"/>
          <w:w w:val="110"/>
        </w:rPr>
        <w:t>Bush</w:t>
      </w:r>
      <w:r>
        <w:rPr>
          <w:color w:val="231F20"/>
          <w:spacing w:val="-12"/>
          <w:w w:val="110"/>
        </w:rPr>
        <w:t> </w:t>
      </w:r>
      <w:r>
        <w:rPr>
          <w:color w:val="231F20"/>
          <w:w w:val="110"/>
        </w:rPr>
        <w:t>no</w:t>
      </w:r>
      <w:r>
        <w:rPr>
          <w:color w:val="231F20"/>
          <w:spacing w:val="-12"/>
          <w:w w:val="110"/>
        </w:rPr>
        <w:t> </w:t>
      </w:r>
      <w:r>
        <w:rPr>
          <w:color w:val="231F20"/>
          <w:w w:val="110"/>
        </w:rPr>
        <w:t>pudo</w:t>
      </w:r>
      <w:r>
        <w:rPr>
          <w:color w:val="231F20"/>
          <w:spacing w:val="-12"/>
          <w:w w:val="110"/>
        </w:rPr>
        <w:t> </w:t>
      </w:r>
      <w:r>
        <w:rPr>
          <w:color w:val="231F20"/>
          <w:w w:val="110"/>
        </w:rPr>
        <w:t>resolver</w:t>
      </w:r>
      <w:r>
        <w:rPr>
          <w:color w:val="231F20"/>
          <w:spacing w:val="-12"/>
          <w:w w:val="110"/>
        </w:rPr>
        <w:t> </w:t>
      </w:r>
      <w:r>
        <w:rPr>
          <w:color w:val="231F20"/>
          <w:w w:val="110"/>
        </w:rPr>
        <w:t>los</w:t>
      </w:r>
      <w:r>
        <w:rPr>
          <w:color w:val="231F20"/>
          <w:spacing w:val="-12"/>
          <w:w w:val="110"/>
        </w:rPr>
        <w:t> </w:t>
      </w:r>
      <w:r>
        <w:rPr>
          <w:color w:val="231F20"/>
          <w:w w:val="110"/>
        </w:rPr>
        <w:t>problemas</w:t>
      </w:r>
      <w:r>
        <w:rPr>
          <w:color w:val="231F20"/>
          <w:spacing w:val="-12"/>
          <w:w w:val="110"/>
        </w:rPr>
        <w:t> </w:t>
      </w:r>
      <w:r>
        <w:rPr>
          <w:color w:val="231F20"/>
          <w:w w:val="110"/>
        </w:rPr>
        <w:t>que tales retos le planteaban a Estados Unidos en materia de seguridad, a pesar de que la supremacía militar de ese país fuese avasallante. Según</w:t>
      </w:r>
      <w:r>
        <w:rPr>
          <w:color w:val="231F20"/>
          <w:spacing w:val="-17"/>
          <w:w w:val="110"/>
        </w:rPr>
        <w:t> </w:t>
      </w:r>
      <w:r>
        <w:rPr>
          <w:color w:val="231F20"/>
          <w:w w:val="110"/>
        </w:rPr>
        <w:t>Brzezinski,</w:t>
      </w:r>
      <w:r>
        <w:rPr>
          <w:color w:val="231F20"/>
          <w:spacing w:val="-17"/>
          <w:w w:val="110"/>
        </w:rPr>
        <w:t> </w:t>
      </w:r>
      <w:r>
        <w:rPr>
          <w:color w:val="231F20"/>
          <w:w w:val="110"/>
        </w:rPr>
        <w:t>el</w:t>
      </w:r>
      <w:r>
        <w:rPr>
          <w:color w:val="231F20"/>
          <w:spacing w:val="-17"/>
          <w:w w:val="110"/>
        </w:rPr>
        <w:t> </w:t>
      </w:r>
      <w:r>
        <w:rPr>
          <w:color w:val="231F20"/>
          <w:w w:val="110"/>
        </w:rPr>
        <w:t>liderazgo</w:t>
      </w:r>
      <w:r>
        <w:rPr>
          <w:color w:val="231F20"/>
          <w:spacing w:val="-17"/>
          <w:w w:val="110"/>
        </w:rPr>
        <w:t> </w:t>
      </w:r>
      <w:r>
        <w:rPr>
          <w:color w:val="231F20"/>
          <w:w w:val="110"/>
        </w:rPr>
        <w:t>estadunidense</w:t>
      </w:r>
      <w:r>
        <w:rPr>
          <w:color w:val="231F20"/>
          <w:spacing w:val="-17"/>
          <w:w w:val="110"/>
        </w:rPr>
        <w:t> </w:t>
      </w:r>
      <w:r>
        <w:rPr>
          <w:color w:val="231F20"/>
          <w:w w:val="110"/>
        </w:rPr>
        <w:t>se</w:t>
      </w:r>
      <w:r>
        <w:rPr>
          <w:color w:val="231F20"/>
          <w:spacing w:val="-17"/>
          <w:w w:val="110"/>
        </w:rPr>
        <w:t> </w:t>
      </w:r>
      <w:r>
        <w:rPr>
          <w:color w:val="231F20"/>
          <w:w w:val="110"/>
        </w:rPr>
        <w:t>veía</w:t>
      </w:r>
      <w:r>
        <w:rPr>
          <w:color w:val="231F20"/>
          <w:spacing w:val="-17"/>
          <w:w w:val="110"/>
        </w:rPr>
        <w:t> </w:t>
      </w:r>
      <w:r>
        <w:rPr>
          <w:color w:val="231F20"/>
          <w:w w:val="110"/>
        </w:rPr>
        <w:t>muy</w:t>
      </w:r>
      <w:r>
        <w:rPr>
          <w:color w:val="231F20"/>
          <w:spacing w:val="-17"/>
          <w:w w:val="110"/>
        </w:rPr>
        <w:t> </w:t>
      </w:r>
      <w:r>
        <w:rPr>
          <w:color w:val="231F20"/>
          <w:w w:val="110"/>
        </w:rPr>
        <w:t>afectado</w:t>
      </w:r>
      <w:r>
        <w:rPr>
          <w:color w:val="231F20"/>
          <w:spacing w:val="-17"/>
          <w:w w:val="110"/>
        </w:rPr>
        <w:t> </w:t>
      </w:r>
      <w:r>
        <w:rPr>
          <w:color w:val="231F20"/>
          <w:w w:val="110"/>
        </w:rPr>
        <w:t>en las</w:t>
      </w:r>
      <w:r>
        <w:rPr>
          <w:color w:val="231F20"/>
          <w:spacing w:val="-9"/>
          <w:w w:val="110"/>
        </w:rPr>
        <w:t> </w:t>
      </w:r>
      <w:r>
        <w:rPr>
          <w:color w:val="231F20"/>
          <w:w w:val="110"/>
        </w:rPr>
        <w:t>postrimerías</w:t>
      </w:r>
      <w:r>
        <w:rPr>
          <w:color w:val="231F20"/>
          <w:spacing w:val="-9"/>
          <w:w w:val="110"/>
        </w:rPr>
        <w:t> </w:t>
      </w:r>
      <w:r>
        <w:rPr>
          <w:color w:val="231F20"/>
          <w:w w:val="110"/>
        </w:rPr>
        <w:t>del</w:t>
      </w:r>
      <w:r>
        <w:rPr>
          <w:color w:val="231F20"/>
          <w:spacing w:val="-9"/>
          <w:w w:val="110"/>
        </w:rPr>
        <w:t> </w:t>
      </w:r>
      <w:r>
        <w:rPr>
          <w:color w:val="231F20"/>
          <w:w w:val="110"/>
        </w:rPr>
        <w:t>segundo</w:t>
      </w:r>
      <w:r>
        <w:rPr>
          <w:color w:val="231F20"/>
          <w:spacing w:val="-9"/>
          <w:w w:val="110"/>
        </w:rPr>
        <w:t> </w:t>
      </w:r>
      <w:r>
        <w:rPr>
          <w:color w:val="231F20"/>
          <w:w w:val="110"/>
        </w:rPr>
        <w:t>periodo</w:t>
      </w:r>
      <w:r>
        <w:rPr>
          <w:color w:val="231F20"/>
          <w:spacing w:val="-9"/>
          <w:w w:val="110"/>
        </w:rPr>
        <w:t> </w:t>
      </w:r>
      <w:r>
        <w:rPr>
          <w:color w:val="231F20"/>
          <w:w w:val="110"/>
        </w:rPr>
        <w:t>presidencial</w:t>
      </w:r>
      <w:r>
        <w:rPr>
          <w:color w:val="231F20"/>
          <w:spacing w:val="-9"/>
          <w:w w:val="110"/>
        </w:rPr>
        <w:t> </w:t>
      </w:r>
      <w:r>
        <w:rPr>
          <w:color w:val="231F20"/>
          <w:w w:val="110"/>
        </w:rPr>
        <w:t>de</w:t>
      </w:r>
      <w:r>
        <w:rPr>
          <w:color w:val="231F20"/>
          <w:spacing w:val="-9"/>
          <w:w w:val="110"/>
        </w:rPr>
        <w:t> </w:t>
      </w:r>
      <w:r>
        <w:rPr>
          <w:color w:val="231F20"/>
          <w:w w:val="110"/>
        </w:rPr>
        <w:t>Bush.</w:t>
      </w:r>
      <w:r>
        <w:rPr>
          <w:color w:val="231F20"/>
          <w:spacing w:val="-9"/>
          <w:w w:val="110"/>
        </w:rPr>
        <w:t> </w:t>
      </w:r>
      <w:r>
        <w:rPr>
          <w:color w:val="231F20"/>
          <w:w w:val="110"/>
        </w:rPr>
        <w:t>Afirmaba que aunque en algunas dimensiones, tales como la </w:t>
      </w:r>
      <w:r>
        <w:rPr>
          <w:color w:val="231F20"/>
          <w:spacing w:val="-3"/>
          <w:w w:val="110"/>
        </w:rPr>
        <w:t>militar, </w:t>
      </w:r>
      <w:r>
        <w:rPr>
          <w:color w:val="231F20"/>
          <w:w w:val="110"/>
        </w:rPr>
        <w:t>el pode- río de Estados Unidos pudiera ser mayor en 2006 que en 1991, la capacidad del país para movilizar, inspirar, apuntar en una</w:t>
      </w:r>
      <w:r>
        <w:rPr>
          <w:color w:val="231F20"/>
          <w:spacing w:val="-6"/>
          <w:w w:val="110"/>
        </w:rPr>
        <w:t> </w:t>
      </w:r>
      <w:r>
        <w:rPr>
          <w:color w:val="231F20"/>
          <w:w w:val="110"/>
        </w:rPr>
        <w:t>dirección compartida</w:t>
      </w:r>
      <w:r>
        <w:rPr>
          <w:color w:val="231F20"/>
          <w:spacing w:val="-7"/>
          <w:w w:val="110"/>
        </w:rPr>
        <w:t> </w:t>
      </w:r>
      <w:r>
        <w:rPr>
          <w:color w:val="231F20"/>
          <w:w w:val="110"/>
        </w:rPr>
        <w:t>y</w:t>
      </w:r>
      <w:r>
        <w:rPr>
          <w:color w:val="231F20"/>
          <w:spacing w:val="-7"/>
          <w:w w:val="110"/>
        </w:rPr>
        <w:t> </w:t>
      </w:r>
      <w:r>
        <w:rPr>
          <w:color w:val="231F20"/>
          <w:w w:val="110"/>
        </w:rPr>
        <w:t>así</w:t>
      </w:r>
      <w:r>
        <w:rPr>
          <w:color w:val="231F20"/>
          <w:spacing w:val="-7"/>
          <w:w w:val="110"/>
        </w:rPr>
        <w:t> </w:t>
      </w:r>
      <w:r>
        <w:rPr>
          <w:color w:val="231F20"/>
          <w:w w:val="110"/>
        </w:rPr>
        <w:t>darle</w:t>
      </w:r>
      <w:r>
        <w:rPr>
          <w:color w:val="231F20"/>
          <w:spacing w:val="-7"/>
          <w:w w:val="110"/>
        </w:rPr>
        <w:t> </w:t>
      </w:r>
      <w:r>
        <w:rPr>
          <w:color w:val="231F20"/>
          <w:w w:val="110"/>
        </w:rPr>
        <w:t>forma</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realidades</w:t>
      </w:r>
      <w:r>
        <w:rPr>
          <w:color w:val="231F20"/>
          <w:spacing w:val="-7"/>
          <w:w w:val="110"/>
        </w:rPr>
        <w:t> </w:t>
      </w:r>
      <w:r>
        <w:rPr>
          <w:color w:val="231F20"/>
          <w:w w:val="110"/>
        </w:rPr>
        <w:t>globales,</w:t>
      </w:r>
      <w:r>
        <w:rPr>
          <w:color w:val="231F20"/>
          <w:spacing w:val="-7"/>
          <w:w w:val="110"/>
        </w:rPr>
        <w:t> </w:t>
      </w:r>
      <w:r>
        <w:rPr>
          <w:color w:val="231F20"/>
          <w:w w:val="110"/>
        </w:rPr>
        <w:t>había</w:t>
      </w:r>
      <w:r>
        <w:rPr>
          <w:color w:val="231F20"/>
          <w:spacing w:val="-7"/>
          <w:w w:val="110"/>
        </w:rPr>
        <w:t> </w:t>
      </w:r>
      <w:r>
        <w:rPr>
          <w:color w:val="231F20"/>
          <w:w w:val="110"/>
        </w:rPr>
        <w:t>declina- do.</w:t>
      </w:r>
      <w:r>
        <w:rPr>
          <w:color w:val="231F20"/>
          <w:spacing w:val="-9"/>
          <w:w w:val="110"/>
        </w:rPr>
        <w:t> </w:t>
      </w:r>
      <w:r>
        <w:rPr>
          <w:color w:val="231F20"/>
          <w:w w:val="110"/>
        </w:rPr>
        <w:t>En</w:t>
      </w:r>
      <w:r>
        <w:rPr>
          <w:color w:val="231F20"/>
          <w:spacing w:val="-9"/>
          <w:w w:val="110"/>
        </w:rPr>
        <w:t> </w:t>
      </w:r>
      <w:r>
        <w:rPr>
          <w:color w:val="231F20"/>
          <w:w w:val="110"/>
        </w:rPr>
        <w:t>sus</w:t>
      </w:r>
      <w:r>
        <w:rPr>
          <w:color w:val="231F20"/>
          <w:spacing w:val="-9"/>
          <w:w w:val="110"/>
        </w:rPr>
        <w:t> </w:t>
      </w:r>
      <w:r>
        <w:rPr>
          <w:color w:val="231F20"/>
          <w:w w:val="110"/>
        </w:rPr>
        <w:t>propias</w:t>
      </w:r>
      <w:r>
        <w:rPr>
          <w:color w:val="231F20"/>
          <w:spacing w:val="-9"/>
          <w:w w:val="110"/>
        </w:rPr>
        <w:t> </w:t>
      </w:r>
      <w:r>
        <w:rPr>
          <w:color w:val="231F20"/>
          <w:w w:val="110"/>
        </w:rPr>
        <w:t>palabras,</w:t>
      </w:r>
      <w:r>
        <w:rPr>
          <w:color w:val="231F20"/>
          <w:spacing w:val="-9"/>
          <w:w w:val="110"/>
        </w:rPr>
        <w:t> </w:t>
      </w:r>
      <w:r>
        <w:rPr>
          <w:color w:val="231F20"/>
          <w:w w:val="110"/>
        </w:rPr>
        <w:t>se</w:t>
      </w:r>
      <w:r>
        <w:rPr>
          <w:color w:val="231F20"/>
          <w:spacing w:val="-9"/>
          <w:w w:val="110"/>
        </w:rPr>
        <w:t> </w:t>
      </w:r>
      <w:r>
        <w:rPr>
          <w:color w:val="231F20"/>
          <w:w w:val="110"/>
        </w:rPr>
        <w:t>trataba</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quince</w:t>
      </w:r>
      <w:r>
        <w:rPr>
          <w:color w:val="231F20"/>
          <w:spacing w:val="-9"/>
          <w:w w:val="110"/>
        </w:rPr>
        <w:t> </w:t>
      </w:r>
      <w:r>
        <w:rPr>
          <w:color w:val="231F20"/>
          <w:w w:val="110"/>
        </w:rPr>
        <w:t>años</w:t>
      </w:r>
      <w:r>
        <w:rPr>
          <w:color w:val="231F20"/>
          <w:spacing w:val="-9"/>
          <w:w w:val="110"/>
        </w:rPr>
        <w:t> </w:t>
      </w:r>
      <w:r>
        <w:rPr>
          <w:color w:val="231F20"/>
          <w:w w:val="110"/>
        </w:rPr>
        <w:t>después</w:t>
      </w:r>
      <w:r>
        <w:rPr>
          <w:color w:val="231F20"/>
          <w:spacing w:val="-9"/>
          <w:w w:val="110"/>
        </w:rPr>
        <w:t> </w:t>
      </w:r>
      <w:r>
        <w:rPr>
          <w:color w:val="231F20"/>
          <w:w w:val="110"/>
        </w:rPr>
        <w:t>de su</w:t>
      </w:r>
      <w:r>
        <w:rPr>
          <w:color w:val="231F20"/>
          <w:spacing w:val="-10"/>
          <w:w w:val="110"/>
        </w:rPr>
        <w:t> </w:t>
      </w:r>
      <w:r>
        <w:rPr>
          <w:color w:val="231F20"/>
          <w:w w:val="110"/>
        </w:rPr>
        <w:t>coronación</w:t>
      </w:r>
      <w:r>
        <w:rPr>
          <w:color w:val="231F20"/>
          <w:spacing w:val="-10"/>
          <w:w w:val="110"/>
        </w:rPr>
        <w:t> </w:t>
      </w:r>
      <w:r>
        <w:rPr>
          <w:color w:val="231F20"/>
          <w:w w:val="110"/>
        </w:rPr>
        <w:t>como</w:t>
      </w:r>
      <w:r>
        <w:rPr>
          <w:color w:val="231F20"/>
          <w:spacing w:val="-10"/>
          <w:w w:val="110"/>
        </w:rPr>
        <w:t> </w:t>
      </w:r>
      <w:r>
        <w:rPr>
          <w:color w:val="231F20"/>
          <w:w w:val="110"/>
        </w:rPr>
        <w:t>líder</w:t>
      </w:r>
      <w:r>
        <w:rPr>
          <w:color w:val="231F20"/>
          <w:spacing w:val="-10"/>
          <w:w w:val="110"/>
        </w:rPr>
        <w:t> </w:t>
      </w:r>
      <w:r>
        <w:rPr>
          <w:color w:val="231F20"/>
          <w:w w:val="110"/>
        </w:rPr>
        <w:t>global,</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se</w:t>
      </w:r>
      <w:r>
        <w:rPr>
          <w:color w:val="231F20"/>
          <w:spacing w:val="-10"/>
          <w:w w:val="110"/>
        </w:rPr>
        <w:t> </w:t>
      </w:r>
      <w:r>
        <w:rPr>
          <w:color w:val="231F20"/>
          <w:w w:val="110"/>
        </w:rPr>
        <w:t>había</w:t>
      </w:r>
      <w:r>
        <w:rPr>
          <w:color w:val="231F20"/>
          <w:spacing w:val="-10"/>
          <w:w w:val="110"/>
        </w:rPr>
        <w:t> </w:t>
      </w:r>
      <w:r>
        <w:rPr>
          <w:color w:val="231F20"/>
          <w:w w:val="110"/>
        </w:rPr>
        <w:t>convertido en una democracia temerosa y aislada, en un mundo políticamente antagonizado</w:t>
      </w:r>
      <w:r>
        <w:rPr>
          <w:color w:val="231F20"/>
          <w:spacing w:val="-21"/>
          <w:w w:val="110"/>
        </w:rPr>
        <w:t> </w:t>
      </w:r>
      <w:r>
        <w:rPr>
          <w:color w:val="231F20"/>
          <w:w w:val="110"/>
        </w:rPr>
        <w:t>(Brzezinski,</w:t>
      </w:r>
      <w:r>
        <w:rPr>
          <w:color w:val="231F20"/>
          <w:spacing w:val="-17"/>
          <w:w w:val="110"/>
        </w:rPr>
        <w:t> </w:t>
      </w:r>
      <w:r>
        <w:rPr>
          <w:color w:val="231F20"/>
          <w:w w:val="110"/>
        </w:rPr>
        <w:t>2007:</w:t>
      </w:r>
      <w:r>
        <w:rPr>
          <w:color w:val="231F20"/>
          <w:spacing w:val="-17"/>
          <w:w w:val="110"/>
        </w:rPr>
        <w:t> </w:t>
      </w:r>
      <w:r>
        <w:rPr>
          <w:color w:val="231F20"/>
          <w:w w:val="110"/>
        </w:rPr>
        <w:t>41).</w:t>
      </w:r>
    </w:p>
    <w:p>
      <w:pPr>
        <w:pStyle w:val="BodyText"/>
        <w:spacing w:line="261" w:lineRule="auto"/>
        <w:ind w:left="100" w:right="116" w:firstLine="240"/>
        <w:jc w:val="both"/>
      </w:pPr>
      <w:r>
        <w:rPr>
          <w:color w:val="231F20"/>
          <w:w w:val="110"/>
        </w:rPr>
        <w:t>En la actualidad, Estados Unidos es escenario de una crisis sis- témica. O, dicho de otro modo, de varias crisis entrelazadas, que   no son el resultado únicamente de las acciones llevadas a cabo por la administración de Bush, sino de un expediente de acciones que venían ejecutando diversos gobiernos anteriores, que compartían un proyecto de dominación que, justamente, como parte de un tejido donde se anudan factores objetivos y subjetivos. Los efectos de</w:t>
      </w:r>
      <w:r>
        <w:rPr>
          <w:color w:val="231F20"/>
          <w:spacing w:val="-33"/>
          <w:w w:val="110"/>
        </w:rPr>
        <w:t> </w:t>
      </w:r>
      <w:r>
        <w:rPr>
          <w:color w:val="231F20"/>
          <w:w w:val="110"/>
        </w:rPr>
        <w:t>tales crisis, naturalmente, limitan los grados de libertad del quehacer imperialista. Junto a la aludida crisis de hegemonía, que se mani- fiesta en el plano diplomático-internacional, se hallan la</w:t>
      </w:r>
      <w:r>
        <w:rPr>
          <w:color w:val="231F20"/>
          <w:spacing w:val="-17"/>
          <w:w w:val="110"/>
        </w:rPr>
        <w:t> </w:t>
      </w:r>
      <w:r>
        <w:rPr>
          <w:color w:val="231F20"/>
          <w:w w:val="110"/>
        </w:rPr>
        <w:t>económico- financiera y la político-ideológica, que se expresa ante todo a nivel interno (Alzugaray </w:t>
      </w:r>
      <w:r>
        <w:rPr>
          <w:color w:val="231F20"/>
          <w:spacing w:val="-3"/>
          <w:w w:val="110"/>
        </w:rPr>
        <w:t>Treto, </w:t>
      </w:r>
      <w:r>
        <w:rPr>
          <w:color w:val="231F20"/>
          <w:w w:val="110"/>
        </w:rPr>
        <w:t>2009). En este cuadro es que se ubican las posibilidades y límites de la administración Obama, cuyo desempe- ño ante los desafíos mencionados estará marcado, probablemente, por la actualidad de una concepción geopolítica nunca olvidada, definida por un realismo político atemperado a las circunstancias  del presente. Como ocurrirá con su gestión gubernamental en otros terrenos, la situación estará matizada por los resultados, en el</w:t>
      </w:r>
      <w:r>
        <w:rPr>
          <w:color w:val="231F20"/>
          <w:spacing w:val="54"/>
          <w:w w:val="110"/>
        </w:rPr>
        <w:t> </w:t>
      </w:r>
      <w:r>
        <w:rPr>
          <w:color w:val="231F20"/>
          <w:w w:val="110"/>
        </w:rPr>
        <w:t>orden</w:t>
      </w:r>
    </w:p>
    <w:p>
      <w:pPr>
        <w:spacing w:after="0" w:line="261" w:lineRule="auto"/>
        <w:jc w:val="both"/>
        <w:sectPr>
          <w:headerReference w:type="even" r:id="rId267"/>
          <w:headerReference w:type="default" r:id="rId268"/>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doméstico, de las elecciones que tendrán lugar en el próximo mes  de noviembre, donde están en juego importantes posiciones en las dos cámaras del congreso y en una serie de</w:t>
      </w:r>
      <w:r>
        <w:rPr>
          <w:color w:val="231F20"/>
          <w:spacing w:val="6"/>
          <w:w w:val="110"/>
        </w:rPr>
        <w:t> </w:t>
      </w:r>
      <w:r>
        <w:rPr>
          <w:color w:val="231F20"/>
          <w:w w:val="110"/>
        </w:rPr>
        <w:t>gobernaturas estaduales,</w:t>
      </w:r>
      <w:r>
        <w:rPr>
          <w:color w:val="231F20"/>
          <w:w w:val="107"/>
        </w:rPr>
        <w:t> </w:t>
      </w:r>
      <w:r>
        <w:rPr>
          <w:color w:val="231F20"/>
          <w:w w:val="110"/>
        </w:rPr>
        <w:t>así como en el ámbito internacional por el éxito que pueda tener al sortear los escenarios de alianzas y conflictos (sobre todo bélicos) y las</w:t>
      </w:r>
      <w:r>
        <w:rPr>
          <w:color w:val="231F20"/>
          <w:spacing w:val="-12"/>
          <w:w w:val="110"/>
        </w:rPr>
        <w:t> </w:t>
      </w:r>
      <w:r>
        <w:rPr>
          <w:color w:val="231F20"/>
          <w:w w:val="110"/>
        </w:rPr>
        <w:t>disyuntivas</w:t>
      </w:r>
      <w:r>
        <w:rPr>
          <w:color w:val="231F20"/>
          <w:spacing w:val="-12"/>
          <w:w w:val="110"/>
        </w:rPr>
        <w:t> </w:t>
      </w:r>
      <w:r>
        <w:rPr>
          <w:color w:val="231F20"/>
          <w:w w:val="110"/>
        </w:rPr>
        <w:t>ante</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mundial.</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9" w:hanging="240"/>
        <w:jc w:val="both"/>
        <w:rPr>
          <w:sz w:val="18"/>
        </w:rPr>
      </w:pPr>
      <w:r>
        <w:rPr>
          <w:color w:val="231F20"/>
          <w:w w:val="110"/>
          <w:sz w:val="18"/>
        </w:rPr>
        <w:t>Alzugaray</w:t>
      </w:r>
      <w:r>
        <w:rPr>
          <w:color w:val="231F20"/>
          <w:spacing w:val="-15"/>
          <w:w w:val="110"/>
          <w:sz w:val="18"/>
        </w:rPr>
        <w:t> </w:t>
      </w:r>
      <w:r>
        <w:rPr>
          <w:color w:val="231F20"/>
          <w:spacing w:val="-3"/>
          <w:w w:val="110"/>
          <w:sz w:val="18"/>
        </w:rPr>
        <w:t>Treto,</w:t>
      </w:r>
      <w:r>
        <w:rPr>
          <w:color w:val="231F20"/>
          <w:spacing w:val="-15"/>
          <w:w w:val="110"/>
          <w:sz w:val="18"/>
        </w:rPr>
        <w:t> </w:t>
      </w:r>
      <w:r>
        <w:rPr>
          <w:color w:val="231F20"/>
          <w:w w:val="110"/>
          <w:sz w:val="18"/>
        </w:rPr>
        <w:t>Carlos,</w:t>
      </w:r>
      <w:r>
        <w:rPr>
          <w:color w:val="231F20"/>
          <w:spacing w:val="-15"/>
          <w:w w:val="110"/>
          <w:sz w:val="18"/>
        </w:rPr>
        <w:t> </w:t>
      </w:r>
      <w:r>
        <w:rPr>
          <w:color w:val="231F20"/>
          <w:w w:val="110"/>
          <w:sz w:val="18"/>
        </w:rPr>
        <w:t>2009,</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administración</w:t>
      </w:r>
      <w:r>
        <w:rPr>
          <w:color w:val="231F20"/>
          <w:spacing w:val="-15"/>
          <w:w w:val="110"/>
          <w:sz w:val="18"/>
        </w:rPr>
        <w:t> </w:t>
      </w:r>
      <w:r>
        <w:rPr>
          <w:color w:val="231F20"/>
          <w:w w:val="110"/>
          <w:sz w:val="18"/>
        </w:rPr>
        <w:t>Bush</w:t>
      </w:r>
      <w:r>
        <w:rPr>
          <w:color w:val="231F20"/>
          <w:spacing w:val="-15"/>
          <w:w w:val="110"/>
          <w:sz w:val="18"/>
        </w:rPr>
        <w:t> </w:t>
      </w:r>
      <w:r>
        <w:rPr>
          <w:color w:val="231F20"/>
          <w:w w:val="110"/>
          <w:sz w:val="18"/>
        </w:rPr>
        <w:t>y</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historia</w:t>
      </w:r>
      <w:r>
        <w:rPr>
          <w:color w:val="231F20"/>
          <w:spacing w:val="-15"/>
          <w:w w:val="110"/>
          <w:sz w:val="18"/>
        </w:rPr>
        <w:t> </w:t>
      </w:r>
      <w:r>
        <w:rPr>
          <w:color w:val="231F20"/>
          <w:w w:val="110"/>
          <w:sz w:val="18"/>
        </w:rPr>
        <w:t>reciente de</w:t>
      </w:r>
      <w:r>
        <w:rPr>
          <w:color w:val="231F20"/>
          <w:spacing w:val="-14"/>
          <w:w w:val="110"/>
          <w:sz w:val="18"/>
        </w:rPr>
        <w:t> </w:t>
      </w:r>
      <w:r>
        <w:rPr>
          <w:color w:val="231F20"/>
          <w:w w:val="110"/>
          <w:sz w:val="18"/>
        </w:rPr>
        <w:t>Estados</w:t>
      </w:r>
      <w:r>
        <w:rPr>
          <w:color w:val="231F20"/>
          <w:spacing w:val="-14"/>
          <w:w w:val="110"/>
          <w:sz w:val="18"/>
        </w:rPr>
        <w:t> </w:t>
      </w:r>
      <w:r>
        <w:rPr>
          <w:color w:val="231F20"/>
          <w:w w:val="110"/>
          <w:sz w:val="18"/>
        </w:rPr>
        <w:t>Unidos:</w:t>
      </w:r>
      <w:r>
        <w:rPr>
          <w:color w:val="231F20"/>
          <w:spacing w:val="-14"/>
          <w:w w:val="110"/>
          <w:sz w:val="18"/>
        </w:rPr>
        <w:t> </w:t>
      </w:r>
      <w:r>
        <w:rPr>
          <w:color w:val="231F20"/>
          <w:w w:val="110"/>
          <w:sz w:val="18"/>
        </w:rPr>
        <w:t>crisis</w:t>
      </w:r>
      <w:r>
        <w:rPr>
          <w:color w:val="231F20"/>
          <w:spacing w:val="-14"/>
          <w:w w:val="110"/>
          <w:sz w:val="18"/>
        </w:rPr>
        <w:t> </w:t>
      </w:r>
      <w:r>
        <w:rPr>
          <w:color w:val="231F20"/>
          <w:w w:val="110"/>
          <w:sz w:val="18"/>
        </w:rPr>
        <w:t>hegemónica,</w:t>
      </w:r>
      <w:r>
        <w:rPr>
          <w:color w:val="231F20"/>
          <w:spacing w:val="-14"/>
          <w:w w:val="110"/>
          <w:sz w:val="18"/>
        </w:rPr>
        <w:t> </w:t>
      </w:r>
      <w:r>
        <w:rPr>
          <w:color w:val="231F20"/>
          <w:w w:val="110"/>
          <w:sz w:val="18"/>
        </w:rPr>
        <w:t>sobredimensionamiento</w:t>
      </w:r>
      <w:r>
        <w:rPr>
          <w:color w:val="231F20"/>
          <w:spacing w:val="-14"/>
          <w:w w:val="110"/>
          <w:sz w:val="18"/>
        </w:rPr>
        <w:t> </w:t>
      </w:r>
      <w:r>
        <w:rPr>
          <w:color w:val="231F20"/>
          <w:w w:val="110"/>
          <w:sz w:val="18"/>
        </w:rPr>
        <w:t>imperial</w:t>
      </w:r>
      <w:r>
        <w:rPr>
          <w:color w:val="231F20"/>
          <w:spacing w:val="-14"/>
          <w:w w:val="110"/>
          <w:sz w:val="18"/>
        </w:rPr>
        <w:t> </w:t>
      </w:r>
      <w:r>
        <w:rPr>
          <w:color w:val="231F20"/>
          <w:w w:val="110"/>
          <w:sz w:val="18"/>
        </w:rPr>
        <w:t>o</w:t>
      </w:r>
      <w:r>
        <w:rPr>
          <w:color w:val="231F20"/>
          <w:w w:val="112"/>
          <w:sz w:val="18"/>
        </w:rPr>
        <w:t> </w:t>
      </w:r>
      <w:r>
        <w:rPr>
          <w:color w:val="231F20"/>
          <w:w w:val="105"/>
          <w:sz w:val="18"/>
        </w:rPr>
        <w:t>comienzo</w:t>
      </w:r>
      <w:r>
        <w:rPr>
          <w:color w:val="231F20"/>
          <w:spacing w:val="-8"/>
          <w:w w:val="105"/>
          <w:sz w:val="18"/>
        </w:rPr>
        <w:t> </w:t>
      </w:r>
      <w:r>
        <w:rPr>
          <w:color w:val="231F20"/>
          <w:w w:val="105"/>
          <w:sz w:val="18"/>
        </w:rPr>
        <w:t>de</w:t>
      </w:r>
      <w:r>
        <w:rPr>
          <w:color w:val="231F20"/>
          <w:spacing w:val="-8"/>
          <w:w w:val="105"/>
          <w:sz w:val="18"/>
        </w:rPr>
        <w:t> </w:t>
      </w:r>
      <w:r>
        <w:rPr>
          <w:color w:val="231F20"/>
          <w:w w:val="105"/>
          <w:sz w:val="18"/>
        </w:rPr>
        <w:t>la</w:t>
      </w:r>
      <w:r>
        <w:rPr>
          <w:color w:val="231F20"/>
          <w:spacing w:val="-8"/>
          <w:w w:val="105"/>
          <w:sz w:val="18"/>
        </w:rPr>
        <w:t> </w:t>
      </w:r>
      <w:r>
        <w:rPr>
          <w:color w:val="231F20"/>
          <w:w w:val="105"/>
          <w:sz w:val="18"/>
        </w:rPr>
        <w:t>decandencia</w:t>
      </w:r>
      <w:r>
        <w:rPr>
          <w:color w:val="231F20"/>
          <w:spacing w:val="-8"/>
          <w:w w:val="105"/>
          <w:sz w:val="18"/>
        </w:rPr>
        <w:t> </w:t>
      </w:r>
      <w:r>
        <w:rPr>
          <w:color w:val="231F20"/>
          <w:w w:val="105"/>
          <w:sz w:val="18"/>
        </w:rPr>
        <w:t>final”,</w:t>
      </w:r>
      <w:r>
        <w:rPr>
          <w:color w:val="231F20"/>
          <w:spacing w:val="-8"/>
          <w:w w:val="105"/>
          <w:sz w:val="18"/>
        </w:rPr>
        <w:t> </w:t>
      </w:r>
      <w:r>
        <w:rPr>
          <w:color w:val="231F20"/>
          <w:w w:val="105"/>
          <w:sz w:val="18"/>
        </w:rPr>
        <w:t>en</w:t>
      </w:r>
      <w:r>
        <w:rPr>
          <w:color w:val="231F20"/>
          <w:spacing w:val="-8"/>
          <w:w w:val="105"/>
          <w:sz w:val="18"/>
        </w:rPr>
        <w:t> </w:t>
      </w:r>
      <w:r>
        <w:rPr>
          <w:i/>
          <w:color w:val="231F20"/>
          <w:w w:val="105"/>
          <w:sz w:val="18"/>
        </w:rPr>
        <w:t>Pensar</w:t>
      </w:r>
      <w:r>
        <w:rPr>
          <w:i/>
          <w:color w:val="231F20"/>
          <w:spacing w:val="-8"/>
          <w:w w:val="105"/>
          <w:sz w:val="18"/>
        </w:rPr>
        <w:t> </w:t>
      </w:r>
      <w:r>
        <w:rPr>
          <w:i/>
          <w:color w:val="231F20"/>
          <w:w w:val="105"/>
          <w:sz w:val="18"/>
        </w:rPr>
        <w:t>a</w:t>
      </w:r>
      <w:r>
        <w:rPr>
          <w:i/>
          <w:color w:val="231F20"/>
          <w:spacing w:val="-8"/>
          <w:w w:val="105"/>
          <w:sz w:val="18"/>
        </w:rPr>
        <w:t> </w:t>
      </w:r>
      <w:r>
        <w:rPr>
          <w:i/>
          <w:color w:val="231F20"/>
          <w:w w:val="105"/>
          <w:sz w:val="18"/>
        </w:rPr>
        <w:t>Contracorriente</w:t>
      </w:r>
      <w:r>
        <w:rPr>
          <w:i/>
          <w:color w:val="231F20"/>
          <w:spacing w:val="-8"/>
          <w:w w:val="105"/>
          <w:sz w:val="18"/>
        </w:rPr>
        <w:t> </w:t>
      </w:r>
      <w:r>
        <w:rPr>
          <w:i/>
          <w:color w:val="231F20"/>
          <w:w w:val="105"/>
          <w:sz w:val="18"/>
        </w:rPr>
        <w:t>VI</w:t>
      </w:r>
      <w:r>
        <w:rPr>
          <w:i/>
          <w:color w:val="231F20"/>
          <w:spacing w:val="-8"/>
          <w:w w:val="105"/>
          <w:sz w:val="18"/>
        </w:rPr>
        <w:t> </w:t>
      </w:r>
      <w:r>
        <w:rPr>
          <w:color w:val="231F20"/>
          <w:w w:val="105"/>
          <w:sz w:val="18"/>
        </w:rPr>
        <w:t>(Concur- </w:t>
      </w:r>
      <w:r>
        <w:rPr>
          <w:color w:val="231F20"/>
          <w:w w:val="110"/>
          <w:sz w:val="18"/>
        </w:rPr>
        <w:t>so Internacional de Ensayo), La Habana, Editorial de Ciencias</w:t>
      </w:r>
      <w:r>
        <w:rPr>
          <w:color w:val="231F20"/>
          <w:spacing w:val="-5"/>
          <w:w w:val="110"/>
          <w:sz w:val="18"/>
        </w:rPr>
        <w:t> </w:t>
      </w:r>
      <w:r>
        <w:rPr>
          <w:color w:val="231F20"/>
          <w:w w:val="110"/>
          <w:sz w:val="18"/>
        </w:rPr>
        <w:t>Sociales.</w:t>
      </w:r>
    </w:p>
    <w:p>
      <w:pPr>
        <w:spacing w:line="254" w:lineRule="auto" w:before="1"/>
        <w:ind w:left="340" w:right="119" w:hanging="240"/>
        <w:jc w:val="both"/>
        <w:rPr>
          <w:sz w:val="18"/>
        </w:rPr>
      </w:pPr>
      <w:r>
        <w:rPr>
          <w:color w:val="231F20"/>
          <w:w w:val="105"/>
          <w:sz w:val="18"/>
        </w:rPr>
        <w:t>Bouza, Teresa, 2008, “Las energías en el centro de la batalla electoral”, </w:t>
      </w:r>
      <w:r>
        <w:rPr>
          <w:i/>
          <w:color w:val="231F20"/>
          <w:w w:val="105"/>
          <w:sz w:val="18"/>
        </w:rPr>
        <w:t>El </w:t>
      </w:r>
      <w:r>
        <w:rPr>
          <w:i/>
          <w:color w:val="231F20"/>
          <w:w w:val="105"/>
          <w:sz w:val="18"/>
        </w:rPr>
        <w:t>Nuevo Herald</w:t>
      </w:r>
      <w:r>
        <w:rPr>
          <w:color w:val="231F20"/>
          <w:w w:val="105"/>
          <w:sz w:val="18"/>
        </w:rPr>
        <w:t>, 6 de agosto: A11.</w:t>
      </w:r>
    </w:p>
    <w:p>
      <w:pPr>
        <w:spacing w:line="254" w:lineRule="auto" w:before="1"/>
        <w:ind w:left="340" w:right="121" w:hanging="240"/>
        <w:jc w:val="both"/>
        <w:rPr>
          <w:sz w:val="18"/>
        </w:rPr>
      </w:pPr>
      <w:r>
        <w:rPr>
          <w:color w:val="231F20"/>
          <w:sz w:val="18"/>
        </w:rPr>
        <w:t>Brzezinski, Zbigniew, 2007, </w:t>
      </w:r>
      <w:r>
        <w:rPr>
          <w:i/>
          <w:color w:val="231F20"/>
          <w:sz w:val="18"/>
        </w:rPr>
        <w:t>Second Chance: Three Presidents and the Crisis of </w:t>
      </w:r>
      <w:r>
        <w:rPr>
          <w:i/>
          <w:color w:val="231F20"/>
          <w:sz w:val="18"/>
        </w:rPr>
        <w:t>American Superpower</w:t>
      </w:r>
      <w:r>
        <w:rPr>
          <w:color w:val="231F20"/>
          <w:sz w:val="18"/>
        </w:rPr>
        <w:t>, New York, Basic Books: 41.</w:t>
      </w:r>
    </w:p>
    <w:p>
      <w:pPr>
        <w:spacing w:line="254" w:lineRule="auto" w:before="1"/>
        <w:ind w:left="340" w:right="119" w:hanging="240"/>
        <w:jc w:val="both"/>
        <w:rPr>
          <w:sz w:val="18"/>
        </w:rPr>
      </w:pPr>
      <w:r>
        <w:rPr>
          <w:i/>
          <w:color w:val="231F20"/>
          <w:w w:val="105"/>
          <w:sz w:val="18"/>
        </w:rPr>
        <w:t>El Nuevo Herald</w:t>
      </w:r>
      <w:r>
        <w:rPr>
          <w:color w:val="231F20"/>
          <w:w w:val="105"/>
          <w:sz w:val="18"/>
        </w:rPr>
        <w:t>, 2010a, “Aumenta derrame de crudo por plataforma hundi- da”, </w:t>
      </w:r>
      <w:r>
        <w:rPr>
          <w:i/>
          <w:color w:val="231F20"/>
          <w:w w:val="105"/>
          <w:sz w:val="18"/>
        </w:rPr>
        <w:t>El Nuevo Herald</w:t>
      </w:r>
      <w:r>
        <w:rPr>
          <w:color w:val="231F20"/>
          <w:w w:val="105"/>
          <w:sz w:val="18"/>
        </w:rPr>
        <w:t>, 26 de abril: A09.</w:t>
      </w:r>
    </w:p>
    <w:p>
      <w:pPr>
        <w:spacing w:line="254" w:lineRule="auto" w:before="1"/>
        <w:ind w:left="340" w:right="119" w:hanging="240"/>
        <w:jc w:val="both"/>
        <w:rPr>
          <w:sz w:val="18"/>
        </w:rPr>
      </w:pPr>
      <w:r>
        <w:rPr>
          <w:i/>
          <w:color w:val="231F20"/>
          <w:w w:val="105"/>
          <w:sz w:val="18"/>
        </w:rPr>
        <w:t>El Nuevo Herald</w:t>
      </w:r>
      <w:r>
        <w:rPr>
          <w:color w:val="231F20"/>
          <w:w w:val="105"/>
          <w:sz w:val="18"/>
        </w:rPr>
        <w:t>, 2010b, “Piden a Obama que combata nueva Ley de Inmigra- ción en Arizona”, </w:t>
      </w:r>
      <w:r>
        <w:rPr>
          <w:i/>
          <w:color w:val="231F20"/>
          <w:w w:val="105"/>
          <w:sz w:val="18"/>
        </w:rPr>
        <w:t>El Nuevo Herald</w:t>
      </w:r>
      <w:r>
        <w:rPr>
          <w:color w:val="231F20"/>
          <w:w w:val="105"/>
          <w:sz w:val="18"/>
        </w:rPr>
        <w:t>, 26 de abril: A04.</w:t>
      </w:r>
    </w:p>
    <w:p>
      <w:pPr>
        <w:spacing w:line="254" w:lineRule="auto" w:before="1"/>
        <w:ind w:left="340" w:right="116" w:hanging="240"/>
        <w:jc w:val="both"/>
        <w:rPr>
          <w:sz w:val="18"/>
        </w:rPr>
      </w:pPr>
      <w:r>
        <w:rPr>
          <w:color w:val="231F20"/>
          <w:w w:val="105"/>
          <w:sz w:val="18"/>
        </w:rPr>
        <w:t>Fernández </w:t>
      </w:r>
      <w:r>
        <w:rPr>
          <w:color w:val="231F20"/>
          <w:spacing w:val="-3"/>
          <w:w w:val="105"/>
          <w:sz w:val="18"/>
        </w:rPr>
        <w:t>Tabío, </w:t>
      </w:r>
      <w:r>
        <w:rPr>
          <w:color w:val="231F20"/>
          <w:w w:val="105"/>
          <w:sz w:val="18"/>
        </w:rPr>
        <w:t>Luis René, 2010, </w:t>
      </w:r>
      <w:r>
        <w:rPr>
          <w:i/>
          <w:color w:val="231F20"/>
          <w:w w:val="105"/>
          <w:sz w:val="18"/>
        </w:rPr>
        <w:t>Nuestra América frente a los desafíos de la </w:t>
      </w:r>
      <w:r>
        <w:rPr>
          <w:i/>
          <w:color w:val="231F20"/>
          <w:w w:val="105"/>
          <w:sz w:val="18"/>
        </w:rPr>
        <w:t>administración Obama</w:t>
      </w:r>
      <w:r>
        <w:rPr>
          <w:color w:val="231F20"/>
          <w:w w:val="105"/>
          <w:sz w:val="18"/>
        </w:rPr>
        <w:t>, ponencia presentada en el Panel de la Alianza Martiana para las Américas, organizado en el marco del XII Encuentro Internacional sobre Globalización y Problemas del Desarrollo, realizado  </w:t>
      </w:r>
      <w:r>
        <w:rPr>
          <w:color w:val="231F20"/>
          <w:spacing w:val="47"/>
          <w:w w:val="105"/>
          <w:sz w:val="18"/>
        </w:rPr>
        <w:t> </w:t>
      </w:r>
      <w:r>
        <w:rPr>
          <w:color w:val="231F20"/>
          <w:w w:val="105"/>
          <w:sz w:val="18"/>
        </w:rPr>
        <w:t>en</w:t>
      </w:r>
      <w:r>
        <w:rPr>
          <w:color w:val="231F20"/>
          <w:spacing w:val="23"/>
          <w:w w:val="105"/>
          <w:sz w:val="18"/>
        </w:rPr>
        <w:t> </w:t>
      </w:r>
      <w:r>
        <w:rPr>
          <w:color w:val="231F20"/>
          <w:w w:val="105"/>
          <w:sz w:val="18"/>
        </w:rPr>
        <w:t>el</w:t>
      </w:r>
      <w:r>
        <w:rPr>
          <w:color w:val="231F20"/>
          <w:spacing w:val="23"/>
          <w:w w:val="105"/>
          <w:sz w:val="18"/>
        </w:rPr>
        <w:t> </w:t>
      </w:r>
      <w:r>
        <w:rPr>
          <w:color w:val="231F20"/>
          <w:w w:val="105"/>
          <w:sz w:val="18"/>
        </w:rPr>
        <w:t>Palacio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Convenciones,</w:t>
      </w:r>
      <w:r>
        <w:rPr>
          <w:color w:val="231F20"/>
          <w:spacing w:val="23"/>
          <w:w w:val="105"/>
          <w:sz w:val="18"/>
        </w:rPr>
        <w:t> </w:t>
      </w:r>
      <w:r>
        <w:rPr>
          <w:color w:val="231F20"/>
          <w:w w:val="105"/>
          <w:sz w:val="18"/>
        </w:rPr>
        <w:t>La</w:t>
      </w:r>
      <w:r>
        <w:rPr>
          <w:color w:val="231F20"/>
          <w:spacing w:val="23"/>
          <w:w w:val="105"/>
          <w:sz w:val="18"/>
        </w:rPr>
        <w:t> </w:t>
      </w:r>
      <w:r>
        <w:rPr>
          <w:color w:val="231F20"/>
          <w:w w:val="105"/>
          <w:sz w:val="18"/>
        </w:rPr>
        <w:t>Habana,</w:t>
      </w:r>
      <w:r>
        <w:rPr>
          <w:color w:val="231F20"/>
          <w:spacing w:val="23"/>
          <w:w w:val="105"/>
          <w:sz w:val="18"/>
        </w:rPr>
        <w:t> </w:t>
      </w:r>
      <w:r>
        <w:rPr>
          <w:color w:val="231F20"/>
          <w:w w:val="105"/>
          <w:sz w:val="18"/>
        </w:rPr>
        <w:t>del</w:t>
      </w:r>
      <w:r>
        <w:rPr>
          <w:color w:val="231F20"/>
          <w:spacing w:val="23"/>
          <w:w w:val="105"/>
          <w:sz w:val="18"/>
        </w:rPr>
        <w:t> </w:t>
      </w:r>
      <w:r>
        <w:rPr>
          <w:color w:val="231F20"/>
          <w:w w:val="105"/>
          <w:sz w:val="18"/>
        </w:rPr>
        <w:t>1</w:t>
      </w:r>
      <w:r>
        <w:rPr>
          <w:color w:val="231F20"/>
          <w:spacing w:val="23"/>
          <w:w w:val="105"/>
          <w:sz w:val="18"/>
        </w:rPr>
        <w:t> </w:t>
      </w:r>
      <w:r>
        <w:rPr>
          <w:color w:val="231F20"/>
          <w:w w:val="105"/>
          <w:sz w:val="18"/>
        </w:rPr>
        <w:t>al</w:t>
      </w:r>
      <w:r>
        <w:rPr>
          <w:color w:val="231F20"/>
          <w:spacing w:val="23"/>
          <w:w w:val="105"/>
          <w:sz w:val="18"/>
        </w:rPr>
        <w:t> </w:t>
      </w:r>
      <w:r>
        <w:rPr>
          <w:color w:val="231F20"/>
          <w:w w:val="105"/>
          <w:sz w:val="18"/>
        </w:rPr>
        <w:t>4</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marzo.</w:t>
      </w:r>
    </w:p>
    <w:p>
      <w:pPr>
        <w:spacing w:line="254" w:lineRule="auto" w:before="1"/>
        <w:ind w:left="340" w:right="117" w:hanging="240"/>
        <w:jc w:val="both"/>
        <w:rPr>
          <w:sz w:val="18"/>
        </w:rPr>
      </w:pPr>
      <w:r>
        <w:rPr>
          <w:color w:val="231F20"/>
          <w:sz w:val="18"/>
        </w:rPr>
        <w:t>Fukuyama, Francis, 2006, </w:t>
      </w:r>
      <w:r>
        <w:rPr>
          <w:i/>
          <w:color w:val="231F20"/>
          <w:sz w:val="18"/>
        </w:rPr>
        <w:t>America at the Crossroads. Democracy, Power and the </w:t>
      </w:r>
      <w:r>
        <w:rPr>
          <w:i/>
          <w:color w:val="231F20"/>
          <w:sz w:val="18"/>
        </w:rPr>
        <w:t>Neoconservative Legacy</w:t>
      </w:r>
      <w:r>
        <w:rPr>
          <w:color w:val="231F20"/>
          <w:sz w:val="18"/>
        </w:rPr>
        <w:t>, New Haven, Yale University Press.</w:t>
      </w:r>
    </w:p>
    <w:p>
      <w:pPr>
        <w:spacing w:before="1"/>
        <w:ind w:left="100" w:right="25" w:firstLine="0"/>
        <w:jc w:val="left"/>
        <w:rPr>
          <w:i/>
          <w:sz w:val="18"/>
        </w:rPr>
      </w:pPr>
      <w:r>
        <w:rPr>
          <w:color w:val="231F20"/>
          <w:w w:val="105"/>
          <w:sz w:val="18"/>
        </w:rPr>
        <w:t>Gandasegui, hijo, Marco A., 2008a, “El presidente Obama”, </w:t>
      </w:r>
      <w:r>
        <w:rPr>
          <w:i/>
          <w:color w:val="231F20"/>
          <w:w w:val="105"/>
          <w:sz w:val="18"/>
        </w:rPr>
        <w:t>Buscando Camino.</w:t>
      </w:r>
    </w:p>
    <w:p>
      <w:pPr>
        <w:spacing w:before="13"/>
        <w:ind w:left="113" w:right="134" w:firstLine="0"/>
        <w:jc w:val="center"/>
        <w:rPr>
          <w:sz w:val="18"/>
        </w:rPr>
      </w:pPr>
      <w:r>
        <w:rPr>
          <w:i/>
          <w:color w:val="231F20"/>
          <w:w w:val="110"/>
          <w:sz w:val="18"/>
        </w:rPr>
        <w:t>Camino Alternativo</w:t>
      </w:r>
      <w:r>
        <w:rPr>
          <w:color w:val="231F20"/>
          <w:w w:val="110"/>
          <w:sz w:val="18"/>
        </w:rPr>
        <w:t>, Panamá, núm. 198, año vii, 9 al 15 de noviembre.</w:t>
      </w:r>
    </w:p>
    <w:p>
      <w:pPr>
        <w:spacing w:line="254" w:lineRule="auto" w:before="13"/>
        <w:ind w:left="340" w:right="119" w:hanging="240"/>
        <w:jc w:val="both"/>
        <w:rPr>
          <w:sz w:val="18"/>
        </w:rPr>
      </w:pPr>
      <w:r>
        <w:rPr>
          <w:color w:val="231F20"/>
          <w:w w:val="105"/>
          <w:sz w:val="18"/>
        </w:rPr>
        <w:t>Gandasegui,</w:t>
      </w:r>
      <w:r>
        <w:rPr>
          <w:color w:val="231F20"/>
          <w:spacing w:val="-8"/>
          <w:w w:val="105"/>
          <w:sz w:val="18"/>
        </w:rPr>
        <w:t> </w:t>
      </w:r>
      <w:r>
        <w:rPr>
          <w:color w:val="231F20"/>
          <w:w w:val="105"/>
          <w:sz w:val="18"/>
        </w:rPr>
        <w:t>hijo,</w:t>
      </w:r>
      <w:r>
        <w:rPr>
          <w:color w:val="231F20"/>
          <w:spacing w:val="-8"/>
          <w:w w:val="105"/>
          <w:sz w:val="18"/>
        </w:rPr>
        <w:t> </w:t>
      </w:r>
      <w:r>
        <w:rPr>
          <w:color w:val="231F20"/>
          <w:w w:val="105"/>
          <w:sz w:val="18"/>
        </w:rPr>
        <w:t>Marco</w:t>
      </w:r>
      <w:r>
        <w:rPr>
          <w:color w:val="231F20"/>
          <w:spacing w:val="-8"/>
          <w:w w:val="105"/>
          <w:sz w:val="18"/>
        </w:rPr>
        <w:t> </w:t>
      </w:r>
      <w:r>
        <w:rPr>
          <w:color w:val="231F20"/>
          <w:w w:val="105"/>
          <w:sz w:val="18"/>
        </w:rPr>
        <w:t>A.,</w:t>
      </w:r>
      <w:r>
        <w:rPr>
          <w:color w:val="231F20"/>
          <w:spacing w:val="-8"/>
          <w:w w:val="105"/>
          <w:sz w:val="18"/>
        </w:rPr>
        <w:t> </w:t>
      </w:r>
      <w:r>
        <w:rPr>
          <w:color w:val="231F20"/>
          <w:w w:val="105"/>
          <w:sz w:val="18"/>
        </w:rPr>
        <w:t>2008b,</w:t>
      </w:r>
      <w:r>
        <w:rPr>
          <w:color w:val="231F20"/>
          <w:spacing w:val="-8"/>
          <w:w w:val="105"/>
          <w:sz w:val="18"/>
        </w:rPr>
        <w:t> </w:t>
      </w:r>
      <w:r>
        <w:rPr>
          <w:color w:val="231F20"/>
          <w:w w:val="105"/>
          <w:sz w:val="18"/>
        </w:rPr>
        <w:t>“Obama,</w:t>
      </w:r>
      <w:r>
        <w:rPr>
          <w:color w:val="231F20"/>
          <w:spacing w:val="-8"/>
          <w:w w:val="105"/>
          <w:sz w:val="18"/>
        </w:rPr>
        <w:t> </w:t>
      </w:r>
      <w:r>
        <w:rPr>
          <w:color w:val="231F20"/>
          <w:w w:val="105"/>
          <w:sz w:val="18"/>
        </w:rPr>
        <w:t>crisis</w:t>
      </w:r>
      <w:r>
        <w:rPr>
          <w:color w:val="231F20"/>
          <w:spacing w:val="-8"/>
          <w:w w:val="105"/>
          <w:sz w:val="18"/>
        </w:rPr>
        <w:t> </w:t>
      </w:r>
      <w:r>
        <w:rPr>
          <w:color w:val="231F20"/>
          <w:w w:val="105"/>
          <w:sz w:val="18"/>
        </w:rPr>
        <w:t>y</w:t>
      </w:r>
      <w:r>
        <w:rPr>
          <w:color w:val="231F20"/>
          <w:spacing w:val="-8"/>
          <w:w w:val="105"/>
          <w:sz w:val="18"/>
        </w:rPr>
        <w:t> </w:t>
      </w:r>
      <w:r>
        <w:rPr>
          <w:color w:val="231F20"/>
          <w:w w:val="105"/>
          <w:sz w:val="18"/>
        </w:rPr>
        <w:t>América</w:t>
      </w:r>
      <w:r>
        <w:rPr>
          <w:color w:val="231F20"/>
          <w:spacing w:val="-8"/>
          <w:w w:val="105"/>
          <w:sz w:val="18"/>
        </w:rPr>
        <w:t> </w:t>
      </w:r>
      <w:r>
        <w:rPr>
          <w:color w:val="231F20"/>
          <w:w w:val="105"/>
          <w:sz w:val="18"/>
        </w:rPr>
        <w:t>Latina”,</w:t>
      </w:r>
      <w:r>
        <w:rPr>
          <w:color w:val="231F20"/>
          <w:spacing w:val="-8"/>
          <w:w w:val="105"/>
          <w:sz w:val="18"/>
        </w:rPr>
        <w:t> </w:t>
      </w:r>
      <w:r>
        <w:rPr>
          <w:i/>
          <w:color w:val="231F20"/>
          <w:w w:val="105"/>
          <w:sz w:val="18"/>
        </w:rPr>
        <w:t>América </w:t>
      </w:r>
      <w:r>
        <w:rPr>
          <w:i/>
          <w:color w:val="231F20"/>
          <w:w w:val="105"/>
          <w:sz w:val="18"/>
        </w:rPr>
        <w:t>Latina en Movimiento</w:t>
      </w:r>
      <w:r>
        <w:rPr>
          <w:color w:val="231F20"/>
          <w:w w:val="105"/>
          <w:sz w:val="18"/>
        </w:rPr>
        <w:t>, alai, núm. 438-439, 26 de  </w:t>
      </w:r>
      <w:r>
        <w:rPr>
          <w:color w:val="231F20"/>
          <w:spacing w:val="36"/>
          <w:w w:val="105"/>
          <w:sz w:val="18"/>
        </w:rPr>
        <w:t> </w:t>
      </w:r>
      <w:r>
        <w:rPr>
          <w:color w:val="231F20"/>
          <w:w w:val="105"/>
          <w:sz w:val="18"/>
        </w:rPr>
        <w:t>noviembre.</w:t>
      </w:r>
    </w:p>
    <w:p>
      <w:pPr>
        <w:spacing w:line="254" w:lineRule="auto" w:before="1"/>
        <w:ind w:left="340" w:right="117" w:hanging="240"/>
        <w:jc w:val="both"/>
        <w:rPr>
          <w:sz w:val="18"/>
        </w:rPr>
      </w:pPr>
      <w:r>
        <w:rPr>
          <w:color w:val="231F20"/>
          <w:w w:val="105"/>
          <w:sz w:val="18"/>
        </w:rPr>
        <w:t>García Cuñarro, Luis M., 2006, “El militarismo contemporáneo de los Es- tados Unidos. Influencia en América Latina y el Caribe”, en </w:t>
      </w:r>
      <w:r>
        <w:rPr>
          <w:i/>
          <w:color w:val="231F20"/>
          <w:w w:val="105"/>
          <w:sz w:val="18"/>
        </w:rPr>
        <w:t>Seguridad y </w:t>
      </w:r>
      <w:r>
        <w:rPr>
          <w:i/>
          <w:color w:val="231F20"/>
          <w:w w:val="105"/>
          <w:sz w:val="18"/>
        </w:rPr>
        <w:t>Defensa</w:t>
      </w:r>
      <w:r>
        <w:rPr>
          <w:color w:val="231F20"/>
          <w:w w:val="105"/>
          <w:sz w:val="18"/>
        </w:rPr>
        <w:t>, La Habana</w:t>
      </w:r>
      <w:r>
        <w:rPr>
          <w:i/>
          <w:color w:val="231F20"/>
          <w:w w:val="105"/>
          <w:sz w:val="18"/>
        </w:rPr>
        <w:t>, </w:t>
      </w:r>
      <w:r>
        <w:rPr>
          <w:color w:val="231F20"/>
          <w:w w:val="105"/>
          <w:sz w:val="18"/>
        </w:rPr>
        <w:t>Centro de Estudios e Información para la Defensa, núm.  3, diciembre.</w:t>
      </w:r>
    </w:p>
    <w:p>
      <w:pPr>
        <w:spacing w:line="254" w:lineRule="auto" w:before="1"/>
        <w:ind w:left="340" w:right="117" w:hanging="240"/>
        <w:jc w:val="both"/>
        <w:rPr>
          <w:sz w:val="18"/>
        </w:rPr>
      </w:pPr>
      <w:r>
        <w:rPr>
          <w:color w:val="231F20"/>
          <w:sz w:val="18"/>
        </w:rPr>
        <w:t>George,</w:t>
      </w:r>
      <w:r>
        <w:rPr>
          <w:color w:val="231F20"/>
          <w:spacing w:val="-27"/>
          <w:sz w:val="18"/>
        </w:rPr>
        <w:t> </w:t>
      </w:r>
      <w:r>
        <w:rPr>
          <w:color w:val="231F20"/>
          <w:sz w:val="18"/>
        </w:rPr>
        <w:t>Susan,</w:t>
      </w:r>
      <w:r>
        <w:rPr>
          <w:color w:val="231F20"/>
          <w:spacing w:val="-27"/>
          <w:sz w:val="18"/>
        </w:rPr>
        <w:t> </w:t>
      </w:r>
      <w:r>
        <w:rPr>
          <w:color w:val="231F20"/>
          <w:sz w:val="18"/>
        </w:rPr>
        <w:t>2007,</w:t>
      </w:r>
      <w:r>
        <w:rPr>
          <w:color w:val="231F20"/>
          <w:spacing w:val="-27"/>
          <w:sz w:val="18"/>
        </w:rPr>
        <w:t> </w:t>
      </w:r>
      <w:r>
        <w:rPr>
          <w:i/>
          <w:color w:val="231F20"/>
          <w:sz w:val="18"/>
        </w:rPr>
        <w:t>El</w:t>
      </w:r>
      <w:r>
        <w:rPr>
          <w:i/>
          <w:color w:val="231F20"/>
          <w:spacing w:val="-27"/>
          <w:sz w:val="18"/>
        </w:rPr>
        <w:t> </w:t>
      </w:r>
      <w:r>
        <w:rPr>
          <w:i/>
          <w:color w:val="231F20"/>
          <w:sz w:val="18"/>
        </w:rPr>
        <w:t>pensamiento</w:t>
      </w:r>
      <w:r>
        <w:rPr>
          <w:i/>
          <w:color w:val="231F20"/>
          <w:spacing w:val="-27"/>
          <w:sz w:val="18"/>
        </w:rPr>
        <w:t> </w:t>
      </w:r>
      <w:r>
        <w:rPr>
          <w:i/>
          <w:color w:val="231F20"/>
          <w:sz w:val="18"/>
        </w:rPr>
        <w:t>secuestrado:</w:t>
      </w:r>
      <w:r>
        <w:rPr>
          <w:i/>
          <w:color w:val="231F20"/>
          <w:spacing w:val="-27"/>
          <w:sz w:val="18"/>
        </w:rPr>
        <w:t> </w:t>
      </w:r>
      <w:r>
        <w:rPr>
          <w:i/>
          <w:color w:val="231F20"/>
          <w:sz w:val="18"/>
        </w:rPr>
        <w:t>cómo</w:t>
      </w:r>
      <w:r>
        <w:rPr>
          <w:i/>
          <w:color w:val="231F20"/>
          <w:spacing w:val="-27"/>
          <w:sz w:val="18"/>
        </w:rPr>
        <w:t> </w:t>
      </w:r>
      <w:r>
        <w:rPr>
          <w:i/>
          <w:color w:val="231F20"/>
          <w:sz w:val="18"/>
        </w:rPr>
        <w:t>la</w:t>
      </w:r>
      <w:r>
        <w:rPr>
          <w:i/>
          <w:color w:val="231F20"/>
          <w:spacing w:val="-27"/>
          <w:sz w:val="18"/>
        </w:rPr>
        <w:t> </w:t>
      </w:r>
      <w:r>
        <w:rPr>
          <w:i/>
          <w:color w:val="231F20"/>
          <w:sz w:val="18"/>
        </w:rPr>
        <w:t>derecha</w:t>
      </w:r>
      <w:r>
        <w:rPr>
          <w:i/>
          <w:color w:val="231F20"/>
          <w:spacing w:val="-27"/>
          <w:sz w:val="18"/>
        </w:rPr>
        <w:t> </w:t>
      </w:r>
      <w:r>
        <w:rPr>
          <w:i/>
          <w:color w:val="231F20"/>
          <w:sz w:val="18"/>
        </w:rPr>
        <w:t>laica</w:t>
      </w:r>
      <w:r>
        <w:rPr>
          <w:i/>
          <w:color w:val="231F20"/>
          <w:spacing w:val="-27"/>
          <w:sz w:val="18"/>
        </w:rPr>
        <w:t> </w:t>
      </w:r>
      <w:r>
        <w:rPr>
          <w:i/>
          <w:color w:val="231F20"/>
          <w:sz w:val="18"/>
        </w:rPr>
        <w:t>y</w:t>
      </w:r>
      <w:r>
        <w:rPr>
          <w:i/>
          <w:color w:val="231F20"/>
          <w:spacing w:val="-27"/>
          <w:sz w:val="18"/>
        </w:rPr>
        <w:t> </w:t>
      </w:r>
      <w:r>
        <w:rPr>
          <w:i/>
          <w:color w:val="231F20"/>
          <w:sz w:val="18"/>
        </w:rPr>
        <w:t>la</w:t>
      </w:r>
      <w:r>
        <w:rPr>
          <w:i/>
          <w:color w:val="231F20"/>
          <w:spacing w:val="-27"/>
          <w:sz w:val="18"/>
        </w:rPr>
        <w:t> </w:t>
      </w:r>
      <w:r>
        <w:rPr>
          <w:i/>
          <w:color w:val="231F20"/>
          <w:sz w:val="18"/>
        </w:rPr>
        <w:t>religiosa </w:t>
      </w:r>
      <w:r>
        <w:rPr>
          <w:i/>
          <w:color w:val="231F20"/>
          <w:sz w:val="18"/>
        </w:rPr>
        <w:t>se han apoderado de Estados Unidos</w:t>
      </w:r>
      <w:r>
        <w:rPr>
          <w:color w:val="231F20"/>
          <w:sz w:val="18"/>
        </w:rPr>
        <w:t>, Barcelona,</w:t>
      </w:r>
      <w:r>
        <w:rPr>
          <w:color w:val="231F20"/>
          <w:spacing w:val="36"/>
          <w:sz w:val="18"/>
        </w:rPr>
        <w:t> </w:t>
      </w:r>
      <w:r>
        <w:rPr>
          <w:color w:val="231F20"/>
          <w:sz w:val="18"/>
        </w:rPr>
        <w:t>Icaria.</w:t>
      </w:r>
    </w:p>
    <w:p>
      <w:pPr>
        <w:spacing w:line="254" w:lineRule="auto" w:before="1"/>
        <w:ind w:left="340" w:right="118" w:hanging="240"/>
        <w:jc w:val="both"/>
        <w:rPr>
          <w:sz w:val="18"/>
        </w:rPr>
      </w:pPr>
      <w:r>
        <w:rPr>
          <w:color w:val="231F20"/>
          <w:w w:val="105"/>
          <w:sz w:val="18"/>
        </w:rPr>
        <w:t>Hernández Martínez, Jorge, 2007, “Estados Unidos y la redefinición de la seguridad</w:t>
      </w:r>
      <w:r>
        <w:rPr>
          <w:color w:val="231F20"/>
          <w:spacing w:val="-7"/>
          <w:w w:val="105"/>
          <w:sz w:val="18"/>
        </w:rPr>
        <w:t> </w:t>
      </w:r>
      <w:r>
        <w:rPr>
          <w:color w:val="231F20"/>
          <w:w w:val="105"/>
          <w:sz w:val="18"/>
        </w:rPr>
        <w:t>nacional</w:t>
      </w:r>
      <w:r>
        <w:rPr>
          <w:color w:val="231F20"/>
          <w:spacing w:val="-7"/>
          <w:w w:val="105"/>
          <w:sz w:val="18"/>
        </w:rPr>
        <w:t> </w:t>
      </w:r>
      <w:r>
        <w:rPr>
          <w:color w:val="231F20"/>
          <w:w w:val="105"/>
          <w:sz w:val="18"/>
        </w:rPr>
        <w:t>en</w:t>
      </w:r>
      <w:r>
        <w:rPr>
          <w:color w:val="231F20"/>
          <w:spacing w:val="-7"/>
          <w:w w:val="105"/>
          <w:sz w:val="18"/>
        </w:rPr>
        <w:t> </w:t>
      </w:r>
      <w:r>
        <w:rPr>
          <w:color w:val="231F20"/>
          <w:w w:val="105"/>
          <w:sz w:val="18"/>
        </w:rPr>
        <w:t>América</w:t>
      </w:r>
      <w:r>
        <w:rPr>
          <w:color w:val="231F20"/>
          <w:spacing w:val="-7"/>
          <w:w w:val="105"/>
          <w:sz w:val="18"/>
        </w:rPr>
        <w:t> </w:t>
      </w:r>
      <w:r>
        <w:rPr>
          <w:color w:val="231F20"/>
          <w:w w:val="105"/>
          <w:sz w:val="18"/>
        </w:rPr>
        <w:t>Latina”,</w:t>
      </w:r>
      <w:r>
        <w:rPr>
          <w:color w:val="231F20"/>
          <w:spacing w:val="-7"/>
          <w:w w:val="105"/>
          <w:sz w:val="18"/>
        </w:rPr>
        <w:t> </w:t>
      </w:r>
      <w:r>
        <w:rPr>
          <w:color w:val="231F20"/>
          <w:w w:val="105"/>
          <w:sz w:val="18"/>
        </w:rPr>
        <w:t>en</w:t>
      </w:r>
      <w:r>
        <w:rPr>
          <w:color w:val="231F20"/>
          <w:spacing w:val="-7"/>
          <w:w w:val="105"/>
          <w:sz w:val="18"/>
        </w:rPr>
        <w:t> </w:t>
      </w:r>
      <w:r>
        <w:rPr>
          <w:i/>
          <w:color w:val="231F20"/>
          <w:w w:val="105"/>
          <w:sz w:val="18"/>
        </w:rPr>
        <w:t>Seguridad</w:t>
      </w:r>
      <w:r>
        <w:rPr>
          <w:i/>
          <w:color w:val="231F20"/>
          <w:spacing w:val="-7"/>
          <w:w w:val="105"/>
          <w:sz w:val="18"/>
        </w:rPr>
        <w:t> </w:t>
      </w:r>
      <w:r>
        <w:rPr>
          <w:i/>
          <w:color w:val="231F20"/>
          <w:w w:val="105"/>
          <w:sz w:val="18"/>
        </w:rPr>
        <w:t>y</w:t>
      </w:r>
      <w:r>
        <w:rPr>
          <w:i/>
          <w:color w:val="231F20"/>
          <w:spacing w:val="-7"/>
          <w:w w:val="105"/>
          <w:sz w:val="18"/>
        </w:rPr>
        <w:t> </w:t>
      </w:r>
      <w:r>
        <w:rPr>
          <w:i/>
          <w:color w:val="231F20"/>
          <w:w w:val="105"/>
          <w:sz w:val="18"/>
        </w:rPr>
        <w:t>Defensa</w:t>
      </w:r>
      <w:r>
        <w:rPr>
          <w:color w:val="231F20"/>
          <w:w w:val="105"/>
          <w:sz w:val="18"/>
        </w:rPr>
        <w:t>,</w:t>
      </w:r>
      <w:r>
        <w:rPr>
          <w:color w:val="231F20"/>
          <w:spacing w:val="-7"/>
          <w:w w:val="105"/>
          <w:sz w:val="18"/>
        </w:rPr>
        <w:t> </w:t>
      </w:r>
      <w:r>
        <w:rPr>
          <w:color w:val="231F20"/>
          <w:w w:val="105"/>
          <w:sz w:val="18"/>
        </w:rPr>
        <w:t>La</w:t>
      </w:r>
      <w:r>
        <w:rPr>
          <w:color w:val="231F20"/>
          <w:spacing w:val="-7"/>
          <w:w w:val="105"/>
          <w:sz w:val="18"/>
        </w:rPr>
        <w:t> </w:t>
      </w:r>
      <w:r>
        <w:rPr>
          <w:color w:val="231F20"/>
          <w:w w:val="105"/>
          <w:sz w:val="18"/>
        </w:rPr>
        <w:t>Habana, Centro</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Estudios</w:t>
      </w:r>
      <w:r>
        <w:rPr>
          <w:color w:val="231F20"/>
          <w:spacing w:val="30"/>
          <w:w w:val="105"/>
          <w:sz w:val="18"/>
        </w:rPr>
        <w:t> </w:t>
      </w:r>
      <w:r>
        <w:rPr>
          <w:color w:val="231F20"/>
          <w:w w:val="105"/>
          <w:sz w:val="18"/>
        </w:rPr>
        <w:t>e</w:t>
      </w:r>
      <w:r>
        <w:rPr>
          <w:color w:val="231F20"/>
          <w:spacing w:val="30"/>
          <w:w w:val="105"/>
          <w:sz w:val="18"/>
        </w:rPr>
        <w:t> </w:t>
      </w:r>
      <w:r>
        <w:rPr>
          <w:color w:val="231F20"/>
          <w:w w:val="105"/>
          <w:sz w:val="18"/>
        </w:rPr>
        <w:t>Información</w:t>
      </w:r>
      <w:r>
        <w:rPr>
          <w:color w:val="231F20"/>
          <w:spacing w:val="30"/>
          <w:w w:val="105"/>
          <w:sz w:val="18"/>
        </w:rPr>
        <w:t> </w:t>
      </w:r>
      <w:r>
        <w:rPr>
          <w:color w:val="231F20"/>
          <w:w w:val="105"/>
          <w:sz w:val="18"/>
        </w:rPr>
        <w:t>para</w:t>
      </w:r>
      <w:r>
        <w:rPr>
          <w:color w:val="231F20"/>
          <w:spacing w:val="30"/>
          <w:w w:val="105"/>
          <w:sz w:val="18"/>
        </w:rPr>
        <w:t> </w:t>
      </w:r>
      <w:r>
        <w:rPr>
          <w:color w:val="231F20"/>
          <w:w w:val="105"/>
          <w:sz w:val="18"/>
        </w:rPr>
        <w:t>la</w:t>
      </w:r>
      <w:r>
        <w:rPr>
          <w:color w:val="231F20"/>
          <w:spacing w:val="30"/>
          <w:w w:val="105"/>
          <w:sz w:val="18"/>
        </w:rPr>
        <w:t> </w:t>
      </w:r>
      <w:r>
        <w:rPr>
          <w:color w:val="231F20"/>
          <w:w w:val="105"/>
          <w:sz w:val="18"/>
        </w:rPr>
        <w:t>Defensa,</w:t>
      </w:r>
      <w:r>
        <w:rPr>
          <w:color w:val="231F20"/>
          <w:spacing w:val="30"/>
          <w:w w:val="105"/>
          <w:sz w:val="18"/>
        </w:rPr>
        <w:t> </w:t>
      </w:r>
      <w:r>
        <w:rPr>
          <w:color w:val="231F20"/>
          <w:w w:val="105"/>
          <w:sz w:val="18"/>
        </w:rPr>
        <w:t>núm.</w:t>
      </w:r>
      <w:r>
        <w:rPr>
          <w:color w:val="231F20"/>
          <w:spacing w:val="30"/>
          <w:w w:val="105"/>
          <w:sz w:val="18"/>
        </w:rPr>
        <w:t> </w:t>
      </w:r>
      <w:r>
        <w:rPr>
          <w:color w:val="231F20"/>
          <w:w w:val="105"/>
          <w:sz w:val="18"/>
        </w:rPr>
        <w:t>2,</w:t>
      </w:r>
      <w:r>
        <w:rPr>
          <w:color w:val="231F20"/>
          <w:spacing w:val="30"/>
          <w:w w:val="105"/>
          <w:sz w:val="18"/>
        </w:rPr>
        <w:t> </w:t>
      </w:r>
      <w:r>
        <w:rPr>
          <w:color w:val="231F20"/>
          <w:w w:val="105"/>
          <w:sz w:val="18"/>
        </w:rPr>
        <w:t>agosto.</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2010, “Obama y el ciclo de la política norteamericana: ¿hacia un nuevo proyecto nacional?”, </w:t>
      </w:r>
      <w:r>
        <w:rPr>
          <w:i/>
          <w:color w:val="231F20"/>
          <w:w w:val="105"/>
          <w:sz w:val="18"/>
        </w:rPr>
        <w:t>Cuadernos de Nuestra América</w:t>
      </w:r>
      <w:r>
        <w:rPr>
          <w:color w:val="231F20"/>
          <w:w w:val="105"/>
          <w:sz w:val="18"/>
        </w:rPr>
        <w:t>, La Habana, cea, núm. 45,  enero-junio.</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05"/>
          <w:sz w:val="18"/>
        </w:rPr>
        <w:t>, 2008, “Los Estados Unidos después de Bush: la política hacia Cuba</w:t>
      </w:r>
      <w:r>
        <w:rPr>
          <w:color w:val="231F20"/>
          <w:spacing w:val="47"/>
          <w:w w:val="105"/>
          <w:sz w:val="18"/>
        </w:rPr>
        <w:t> </w:t>
      </w:r>
      <w:r>
        <w:rPr>
          <w:color w:val="231F20"/>
          <w:w w:val="105"/>
          <w:sz w:val="18"/>
        </w:rPr>
        <w:t>entre la continuidad y el cambio”, </w:t>
      </w:r>
      <w:r>
        <w:rPr>
          <w:i/>
          <w:color w:val="231F20"/>
          <w:w w:val="105"/>
          <w:sz w:val="18"/>
        </w:rPr>
        <w:t>América Latina en Movimiento</w:t>
      </w:r>
      <w:r>
        <w:rPr>
          <w:color w:val="231F20"/>
          <w:w w:val="105"/>
          <w:sz w:val="18"/>
        </w:rPr>
        <w:t>, alai, núms. 438-439, 26 de </w:t>
      </w:r>
      <w:r>
        <w:rPr>
          <w:color w:val="231F20"/>
          <w:spacing w:val="40"/>
          <w:w w:val="105"/>
          <w:sz w:val="18"/>
        </w:rPr>
        <w:t> </w:t>
      </w:r>
      <w:r>
        <w:rPr>
          <w:color w:val="231F20"/>
          <w:w w:val="105"/>
          <w:sz w:val="18"/>
        </w:rPr>
        <w:t>noviembre.</w:t>
      </w:r>
    </w:p>
    <w:p>
      <w:pPr>
        <w:spacing w:line="222" w:lineRule="exact" w:before="0"/>
        <w:ind w:left="100" w:right="-19" w:firstLine="0"/>
        <w:jc w:val="left"/>
        <w:rPr>
          <w:sz w:val="18"/>
        </w:rPr>
      </w:pPr>
      <w:r>
        <w:rPr>
          <w:color w:val="231F20"/>
          <w:sz w:val="18"/>
        </w:rPr>
        <w:t>Kagan, Robert, 2008, </w:t>
      </w:r>
      <w:r>
        <w:rPr>
          <w:i/>
          <w:color w:val="231F20"/>
          <w:sz w:val="18"/>
        </w:rPr>
        <w:t>El retorno de la historia y el fin de los sueños</w:t>
      </w:r>
      <w:r>
        <w:rPr>
          <w:rFonts w:ascii="Sitka Heading" w:hAnsi="Sitka Heading"/>
          <w:b/>
          <w:color w:val="231F20"/>
          <w:sz w:val="18"/>
        </w:rPr>
        <w:t>, </w:t>
      </w:r>
      <w:r>
        <w:rPr>
          <w:color w:val="231F20"/>
          <w:sz w:val="18"/>
        </w:rPr>
        <w:t>Madrid, </w:t>
      </w:r>
      <w:r>
        <w:rPr>
          <w:color w:val="231F20"/>
          <w:spacing w:val="-3"/>
          <w:sz w:val="18"/>
        </w:rPr>
        <w:t>Taurus.</w:t>
      </w:r>
    </w:p>
    <w:p>
      <w:pPr>
        <w:spacing w:line="254" w:lineRule="auto" w:before="0"/>
        <w:ind w:left="44" w:right="117" w:firstLine="0"/>
        <w:jc w:val="right"/>
        <w:rPr>
          <w:i/>
          <w:sz w:val="18"/>
        </w:rPr>
      </w:pPr>
      <w:r>
        <w:rPr>
          <w:color w:val="231F20"/>
          <w:sz w:val="18"/>
        </w:rPr>
        <w:t>Micklethwait, Hohn y Adrian Wooldridge, 2007, </w:t>
      </w:r>
      <w:r>
        <w:rPr>
          <w:i/>
          <w:color w:val="231F20"/>
          <w:sz w:val="18"/>
        </w:rPr>
        <w:t>Una nación conservadora: el</w:t>
      </w:r>
      <w:r>
        <w:rPr>
          <w:i/>
          <w:color w:val="231F20"/>
          <w:w w:val="83"/>
          <w:sz w:val="18"/>
        </w:rPr>
        <w:t> </w:t>
      </w:r>
      <w:r>
        <w:rPr>
          <w:i/>
          <w:color w:val="231F20"/>
          <w:sz w:val="18"/>
        </w:rPr>
        <w:t>poder de la derecha en Estados Unidos</w:t>
      </w:r>
      <w:r>
        <w:rPr>
          <w:color w:val="231F20"/>
          <w:sz w:val="18"/>
        </w:rPr>
        <w:t>, Buenos Aires, Editorial Sudamericana.</w:t>
      </w:r>
      <w:r>
        <w:rPr>
          <w:color w:val="231F20"/>
          <w:w w:val="109"/>
          <w:sz w:val="18"/>
        </w:rPr>
        <w:t> </w:t>
      </w:r>
      <w:r>
        <w:rPr>
          <w:color w:val="231F20"/>
          <w:sz w:val="18"/>
        </w:rPr>
        <w:t>Nye, Joseph, 2002, </w:t>
      </w:r>
      <w:r>
        <w:rPr>
          <w:i/>
          <w:color w:val="231F20"/>
          <w:sz w:val="18"/>
        </w:rPr>
        <w:t>The Paradox of American Power: Why the World´s Only Super-</w:t>
      </w:r>
    </w:p>
    <w:p>
      <w:pPr>
        <w:spacing w:before="1"/>
        <w:ind w:left="340" w:right="25" w:firstLine="0"/>
        <w:jc w:val="left"/>
        <w:rPr>
          <w:sz w:val="18"/>
        </w:rPr>
      </w:pPr>
      <w:r>
        <w:rPr>
          <w:i/>
          <w:color w:val="231F20"/>
          <w:sz w:val="18"/>
        </w:rPr>
        <w:t>power Can´t Go it Alone</w:t>
      </w:r>
      <w:r>
        <w:rPr>
          <w:color w:val="231F20"/>
          <w:sz w:val="18"/>
        </w:rPr>
        <w:t>, Oxford, Oxford University    Press.</w:t>
      </w:r>
    </w:p>
    <w:p>
      <w:pPr>
        <w:spacing w:line="254" w:lineRule="auto" w:before="13"/>
        <w:ind w:left="340" w:right="118" w:hanging="240"/>
        <w:jc w:val="both"/>
        <w:rPr>
          <w:sz w:val="18"/>
        </w:rPr>
      </w:pPr>
      <w:r>
        <w:rPr>
          <w:color w:val="231F20"/>
          <w:w w:val="105"/>
          <w:sz w:val="18"/>
        </w:rPr>
        <w:t>Rove, Karl, 2009, “It´s the Economy Stupid. The Obama presidency will rise or fall on results”, </w:t>
      </w:r>
      <w:r>
        <w:rPr>
          <w:i/>
          <w:color w:val="231F20"/>
          <w:w w:val="105"/>
          <w:sz w:val="18"/>
        </w:rPr>
        <w:t>The Wall Street Journal</w:t>
      </w:r>
      <w:r>
        <w:rPr>
          <w:color w:val="231F20"/>
          <w:w w:val="105"/>
          <w:sz w:val="18"/>
        </w:rPr>
        <w:t>, 4 de junio:</w:t>
      </w:r>
      <w:r>
        <w:rPr>
          <w:color w:val="231F20"/>
          <w:spacing w:val="-22"/>
          <w:w w:val="105"/>
          <w:sz w:val="18"/>
        </w:rPr>
        <w:t> </w:t>
      </w:r>
      <w:r>
        <w:rPr>
          <w:color w:val="231F20"/>
          <w:w w:val="105"/>
          <w:sz w:val="18"/>
        </w:rPr>
        <w:t>A13.</w:t>
      </w:r>
    </w:p>
    <w:p>
      <w:pPr>
        <w:spacing w:line="254" w:lineRule="auto" w:before="1"/>
        <w:ind w:left="340" w:right="117" w:hanging="240"/>
        <w:jc w:val="both"/>
        <w:rPr>
          <w:sz w:val="18"/>
        </w:rPr>
      </w:pPr>
      <w:r>
        <w:rPr>
          <w:color w:val="231F20"/>
          <w:w w:val="110"/>
          <w:sz w:val="18"/>
        </w:rPr>
        <w:t>Salazar, Luis Suárez, 2009, “La ambivalente política hemisférica de Barack Obama”, </w:t>
      </w:r>
      <w:r>
        <w:rPr>
          <w:i/>
          <w:color w:val="231F20"/>
          <w:w w:val="110"/>
          <w:sz w:val="18"/>
        </w:rPr>
        <w:t>América Latina en Movimiento</w:t>
      </w:r>
      <w:r>
        <w:rPr>
          <w:color w:val="231F20"/>
          <w:w w:val="110"/>
          <w:sz w:val="18"/>
        </w:rPr>
        <w:t>, alai, 16 de julio.</w:t>
      </w:r>
    </w:p>
    <w:p>
      <w:pPr>
        <w:spacing w:line="254" w:lineRule="auto" w:before="1"/>
        <w:ind w:left="340" w:right="119" w:hanging="240"/>
        <w:jc w:val="both"/>
        <w:rPr>
          <w:sz w:val="18"/>
        </w:rPr>
      </w:pPr>
      <w:r>
        <w:rPr>
          <w:color w:val="231F20"/>
          <w:w w:val="105"/>
          <w:sz w:val="18"/>
        </w:rPr>
        <w:t>Saxe-Fernández, John y Gian Carlo Delgado Ramos, 2004, </w:t>
      </w:r>
      <w:r>
        <w:rPr>
          <w:i/>
          <w:color w:val="231F20"/>
          <w:w w:val="105"/>
          <w:sz w:val="18"/>
        </w:rPr>
        <w:t>Imperialismo y </w:t>
      </w:r>
      <w:r>
        <w:rPr>
          <w:i/>
          <w:color w:val="231F20"/>
          <w:w w:val="105"/>
          <w:sz w:val="18"/>
        </w:rPr>
        <w:t>Banco Mundial en América Latina</w:t>
      </w:r>
      <w:r>
        <w:rPr>
          <w:color w:val="231F20"/>
          <w:w w:val="105"/>
          <w:sz w:val="18"/>
        </w:rPr>
        <w:t>, La Habana, Centro de Investigación y Desarrollo de la Cultura Cubana Juan Marinello:     48–54.</w:t>
      </w:r>
    </w:p>
    <w:p>
      <w:pPr>
        <w:spacing w:line="254" w:lineRule="auto" w:before="1"/>
        <w:ind w:left="340" w:right="119" w:hanging="240"/>
        <w:jc w:val="both"/>
        <w:rPr>
          <w:sz w:val="18"/>
        </w:rPr>
      </w:pPr>
      <w:r>
        <w:rPr>
          <w:color w:val="231F20"/>
          <w:sz w:val="18"/>
        </w:rPr>
        <w:t>Shanon, Thomas R., 1996, </w:t>
      </w:r>
      <w:r>
        <w:rPr>
          <w:i/>
          <w:color w:val="231F20"/>
          <w:sz w:val="18"/>
        </w:rPr>
        <w:t>An Introduction to the World-System Perspective</w:t>
      </w:r>
      <w:r>
        <w:rPr>
          <w:color w:val="231F20"/>
          <w:sz w:val="18"/>
        </w:rPr>
        <w:t>, Wes- tview  Press,  Colorado,  Boulder:  138.</w:t>
      </w:r>
    </w:p>
    <w:p>
      <w:pPr>
        <w:spacing w:before="1"/>
        <w:ind w:left="100" w:right="25" w:firstLine="0"/>
        <w:jc w:val="left"/>
        <w:rPr>
          <w:sz w:val="18"/>
        </w:rPr>
      </w:pPr>
      <w:r>
        <w:rPr>
          <w:color w:val="231F20"/>
          <w:w w:val="105"/>
          <w:sz w:val="18"/>
        </w:rPr>
        <w:t>Zibechi,</w:t>
      </w:r>
      <w:r>
        <w:rPr>
          <w:color w:val="231F20"/>
          <w:spacing w:val="-14"/>
          <w:w w:val="105"/>
          <w:sz w:val="18"/>
        </w:rPr>
        <w:t> </w:t>
      </w:r>
      <w:r>
        <w:rPr>
          <w:color w:val="231F20"/>
          <w:w w:val="105"/>
          <w:sz w:val="18"/>
        </w:rPr>
        <w:t>Raúl,</w:t>
      </w:r>
      <w:r>
        <w:rPr>
          <w:color w:val="231F20"/>
          <w:spacing w:val="-14"/>
          <w:w w:val="105"/>
          <w:sz w:val="18"/>
        </w:rPr>
        <w:t> </w:t>
      </w:r>
      <w:r>
        <w:rPr>
          <w:color w:val="231F20"/>
          <w:w w:val="105"/>
          <w:sz w:val="18"/>
        </w:rPr>
        <w:t>2008,</w:t>
      </w:r>
      <w:r>
        <w:rPr>
          <w:color w:val="231F20"/>
          <w:spacing w:val="-14"/>
          <w:w w:val="105"/>
          <w:sz w:val="18"/>
        </w:rPr>
        <w:t> </w:t>
      </w:r>
      <w:r>
        <w:rPr>
          <w:color w:val="231F20"/>
          <w:w w:val="105"/>
          <w:sz w:val="18"/>
        </w:rPr>
        <w:t>“Obama</w:t>
      </w:r>
      <w:r>
        <w:rPr>
          <w:color w:val="231F20"/>
          <w:spacing w:val="-14"/>
          <w:w w:val="105"/>
          <w:sz w:val="18"/>
        </w:rPr>
        <w:t> </w:t>
      </w:r>
      <w:r>
        <w:rPr>
          <w:color w:val="231F20"/>
          <w:w w:val="105"/>
          <w:sz w:val="18"/>
        </w:rPr>
        <w:t>y</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tiempo</w:t>
      </w:r>
      <w:r>
        <w:rPr>
          <w:color w:val="231F20"/>
          <w:spacing w:val="-14"/>
          <w:w w:val="105"/>
          <w:sz w:val="18"/>
        </w:rPr>
        <w:t> </w:t>
      </w:r>
      <w:r>
        <w:rPr>
          <w:color w:val="231F20"/>
          <w:w w:val="105"/>
          <w:sz w:val="18"/>
        </w:rPr>
        <w:t>largo”,</w:t>
      </w:r>
      <w:r>
        <w:rPr>
          <w:color w:val="231F20"/>
          <w:spacing w:val="-14"/>
          <w:w w:val="105"/>
          <w:sz w:val="18"/>
        </w:rPr>
        <w:t> </w:t>
      </w:r>
      <w:r>
        <w:rPr>
          <w:i/>
          <w:color w:val="231F20"/>
          <w:w w:val="105"/>
          <w:sz w:val="18"/>
        </w:rPr>
        <w:t>América</w:t>
      </w:r>
      <w:r>
        <w:rPr>
          <w:i/>
          <w:color w:val="231F20"/>
          <w:spacing w:val="-14"/>
          <w:w w:val="105"/>
          <w:sz w:val="18"/>
        </w:rPr>
        <w:t> </w:t>
      </w:r>
      <w:r>
        <w:rPr>
          <w:i/>
          <w:color w:val="231F20"/>
          <w:w w:val="105"/>
          <w:sz w:val="18"/>
        </w:rPr>
        <w:t>Latina</w:t>
      </w:r>
      <w:r>
        <w:rPr>
          <w:i/>
          <w:color w:val="231F20"/>
          <w:spacing w:val="-14"/>
          <w:w w:val="105"/>
          <w:sz w:val="18"/>
        </w:rPr>
        <w:t> </w:t>
      </w:r>
      <w:r>
        <w:rPr>
          <w:i/>
          <w:color w:val="231F20"/>
          <w:w w:val="105"/>
          <w:sz w:val="18"/>
        </w:rPr>
        <w:t>en</w:t>
      </w:r>
      <w:r>
        <w:rPr>
          <w:i/>
          <w:color w:val="231F20"/>
          <w:spacing w:val="-14"/>
          <w:w w:val="105"/>
          <w:sz w:val="18"/>
        </w:rPr>
        <w:t> </w:t>
      </w:r>
      <w:r>
        <w:rPr>
          <w:i/>
          <w:color w:val="231F20"/>
          <w:w w:val="105"/>
          <w:sz w:val="18"/>
        </w:rPr>
        <w:t>Movimiento</w:t>
      </w:r>
      <w:r>
        <w:rPr>
          <w:color w:val="231F20"/>
          <w:w w:val="105"/>
          <w:sz w:val="18"/>
        </w:rPr>
        <w:t>,</w:t>
      </w:r>
    </w:p>
    <w:p>
      <w:pPr>
        <w:spacing w:before="13"/>
        <w:ind w:left="340" w:right="25" w:firstLine="0"/>
        <w:jc w:val="left"/>
        <w:rPr>
          <w:sz w:val="18"/>
        </w:rPr>
      </w:pPr>
      <w:r>
        <w:rPr>
          <w:color w:val="231F20"/>
          <w:w w:val="110"/>
          <w:sz w:val="18"/>
        </w:rPr>
        <w:t>alai, núms. 438-439, 26 de noviembre.</w:t>
      </w:r>
    </w:p>
    <w:p>
      <w:pPr>
        <w:spacing w:line="254" w:lineRule="auto" w:before="13"/>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2009, “El estilo Obama y América Latina”, </w:t>
      </w:r>
      <w:r>
        <w:rPr>
          <w:i/>
          <w:color w:val="231F20"/>
          <w:w w:val="105"/>
          <w:sz w:val="18"/>
        </w:rPr>
        <w:t>La Jornada</w:t>
      </w:r>
      <w:r>
        <w:rPr>
          <w:color w:val="231F20"/>
          <w:w w:val="105"/>
          <w:sz w:val="18"/>
        </w:rPr>
        <w:t>, 31 de julio de 2009.</w:t>
      </w:r>
    </w:p>
    <w:p>
      <w:pPr>
        <w:spacing w:after="0" w:line="254" w:lineRule="auto"/>
        <w:jc w:val="both"/>
        <w:rPr>
          <w:sz w:val="18"/>
        </w:rPr>
        <w:sectPr>
          <w:headerReference w:type="even" r:id="rId269"/>
          <w:pgSz w:w="7640" w:h="11900"/>
          <w:pgMar w:header="672" w:footer="0" w:top="860" w:bottom="280" w:left="780" w:right="640"/>
        </w:sectPr>
      </w:pPr>
    </w:p>
    <w:p>
      <w:pPr>
        <w:pStyle w:val="BodyText"/>
        <w:spacing w:line="261" w:lineRule="auto" w:before="39"/>
        <w:ind w:left="100" w:right="921"/>
      </w:pPr>
      <w:r>
        <w:rPr>
          <w:color w:val="231F20"/>
        </w:rPr>
        <w:t>NUEVA GEOPOLÍTICA DE ESTADOS UNIDOS. ESCENARIOS PARA AMÉRICA LATINA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spacing w:before="67"/>
        <w:ind w:left="2820" w:right="2560"/>
        <w:jc w:val="center"/>
      </w:pPr>
      <w:r>
        <w:rPr>
          <w:color w:val="231F20"/>
          <w:w w:val="120"/>
        </w:rPr>
        <w:t>[363]</w:t>
      </w:r>
    </w:p>
    <w:p>
      <w:pPr>
        <w:spacing w:after="0"/>
        <w:jc w:val="center"/>
        <w:sectPr>
          <w:headerReference w:type="default" r:id="rId270"/>
          <w:pgSz w:w="7640" w:h="11900"/>
          <w:pgMar w:header="0" w:footer="0" w:top="1000" w:bottom="280" w:left="660" w:right="1040"/>
        </w:sectPr>
      </w:pPr>
    </w:p>
    <w:p>
      <w:pPr>
        <w:pStyle w:val="BodyText"/>
        <w:spacing w:before="4"/>
        <w:rPr>
          <w:sz w:val="17"/>
        </w:rPr>
      </w:pPr>
    </w:p>
    <w:p>
      <w:pPr>
        <w:spacing w:after="0"/>
        <w:rPr>
          <w:sz w:val="17"/>
        </w:rPr>
        <w:sectPr>
          <w:headerReference w:type="even" r:id="rId271"/>
          <w:pgSz w:w="7640" w:h="11900"/>
          <w:pgMar w:header="0" w:footer="0" w:top="1100" w:bottom="280" w:left="1040" w:right="1040"/>
        </w:sectPr>
      </w:pPr>
    </w:p>
    <w:p>
      <w:pPr>
        <w:pStyle w:val="BodyText"/>
        <w:spacing w:line="261" w:lineRule="auto" w:before="39"/>
        <w:ind w:left="100" w:right="25"/>
      </w:pPr>
      <w:r>
        <w:rPr>
          <w:color w:val="231F20"/>
        </w:rPr>
        <w:t>ESTADOS UNIDOS: SEGURIDAD Y DEFENSA EN LAS NUEVAS RELACIONES HEMISFÉRICAS</w:t>
      </w:r>
    </w:p>
    <w:p>
      <w:pPr>
        <w:pStyle w:val="BodyText"/>
        <w:spacing w:before="8"/>
        <w:rPr>
          <w:sz w:val="21"/>
        </w:rPr>
      </w:pPr>
    </w:p>
    <w:p>
      <w:pPr>
        <w:pStyle w:val="BodyText"/>
        <w:ind w:left="3795" w:right="25"/>
      </w:pPr>
      <w:r>
        <w:rPr>
          <w:color w:val="231F20"/>
          <w:w w:val="125"/>
        </w:rPr>
        <w:t>darío salinas figueredo</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5"/>
        <w:jc w:val="both"/>
      </w:pPr>
      <w:r>
        <w:rPr>
          <w:color w:val="231F20"/>
          <w:w w:val="110"/>
        </w:rPr>
        <w:t>Seguridad y defensa son conceptos distintos pero indisociables. Su movilización en tanto referente de la política, remite a un campo   de preocupación que reconoce una larga tradición que se ha ali- mentado desde muy diversas vertientes de interpretación. Encarar  su vigencia desde una perspectiva latinoamericana implica la tarea de asumir el significado de las condiciones geopolíticas actuales,</w:t>
      </w:r>
      <w:r>
        <w:rPr>
          <w:color w:val="231F20"/>
          <w:spacing w:val="-16"/>
          <w:w w:val="110"/>
        </w:rPr>
        <w:t> </w:t>
      </w:r>
      <w:r>
        <w:rPr>
          <w:color w:val="231F20"/>
          <w:w w:val="110"/>
        </w:rPr>
        <w:t>las percepciones</w:t>
      </w:r>
      <w:r>
        <w:rPr>
          <w:color w:val="231F20"/>
          <w:spacing w:val="-22"/>
          <w:w w:val="110"/>
        </w:rPr>
        <w:t> </w:t>
      </w:r>
      <w:r>
        <w:rPr>
          <w:color w:val="231F20"/>
          <w:w w:val="110"/>
        </w:rPr>
        <w:t>políticas</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amenazas,</w:t>
      </w:r>
      <w:r>
        <w:rPr>
          <w:color w:val="231F20"/>
          <w:spacing w:val="-22"/>
          <w:w w:val="110"/>
        </w:rPr>
        <w:t> </w:t>
      </w:r>
      <w:r>
        <w:rPr>
          <w:color w:val="231F20"/>
          <w:w w:val="110"/>
        </w:rPr>
        <w:t>las</w:t>
      </w:r>
      <w:r>
        <w:rPr>
          <w:color w:val="231F20"/>
          <w:spacing w:val="-22"/>
          <w:w w:val="110"/>
        </w:rPr>
        <w:t> </w:t>
      </w:r>
      <w:r>
        <w:rPr>
          <w:color w:val="231F20"/>
          <w:w w:val="110"/>
        </w:rPr>
        <w:t>vulnerabilidades</w:t>
      </w:r>
      <w:r>
        <w:rPr>
          <w:color w:val="231F20"/>
          <w:spacing w:val="-22"/>
          <w:w w:val="110"/>
        </w:rPr>
        <w:t> </w:t>
      </w:r>
      <w:r>
        <w:rPr>
          <w:color w:val="231F20"/>
          <w:w w:val="110"/>
        </w:rPr>
        <w:t>y</w:t>
      </w:r>
      <w:r>
        <w:rPr>
          <w:color w:val="231F20"/>
          <w:spacing w:val="-22"/>
          <w:w w:val="110"/>
        </w:rPr>
        <w:t> </w:t>
      </w:r>
      <w:r>
        <w:rPr>
          <w:color w:val="231F20"/>
          <w:w w:val="110"/>
        </w:rPr>
        <w:t>las</w:t>
      </w:r>
      <w:r>
        <w:rPr>
          <w:color w:val="231F20"/>
          <w:spacing w:val="-22"/>
          <w:w w:val="110"/>
        </w:rPr>
        <w:t> </w:t>
      </w:r>
      <w:r>
        <w:rPr>
          <w:color w:val="231F20"/>
          <w:w w:val="110"/>
        </w:rPr>
        <w:t>nue- vas tendencias en las relaciones hemisféricas. Esta forma de coloca- ción de las cosas ya obliga a considerar, de un lado, las condiciones económicas y políticas que encierran los procesos de la región </w:t>
      </w:r>
      <w:r>
        <w:rPr>
          <w:color w:val="231F20"/>
          <w:spacing w:val="-8"/>
          <w:w w:val="110"/>
        </w:rPr>
        <w:t>y,</w:t>
      </w:r>
      <w:r>
        <w:rPr>
          <w:color w:val="231F20"/>
          <w:spacing w:val="-36"/>
          <w:w w:val="110"/>
        </w:rPr>
        <w:t> </w:t>
      </w:r>
      <w:r>
        <w:rPr>
          <w:color w:val="231F20"/>
          <w:w w:val="110"/>
        </w:rPr>
        <w:t>por otro</w:t>
      </w:r>
      <w:r>
        <w:rPr>
          <w:color w:val="231F20"/>
          <w:spacing w:val="-8"/>
          <w:w w:val="110"/>
        </w:rPr>
        <w:t> </w:t>
      </w:r>
      <w:r>
        <w:rPr>
          <w:color w:val="231F20"/>
          <w:w w:val="110"/>
        </w:rPr>
        <w:t>lado,</w:t>
      </w:r>
      <w:r>
        <w:rPr>
          <w:color w:val="231F20"/>
          <w:spacing w:val="-8"/>
          <w:w w:val="110"/>
        </w:rPr>
        <w:t> </w:t>
      </w:r>
      <w:r>
        <w:rPr>
          <w:color w:val="231F20"/>
          <w:w w:val="110"/>
        </w:rPr>
        <w:t>la</w:t>
      </w:r>
      <w:r>
        <w:rPr>
          <w:color w:val="231F20"/>
          <w:spacing w:val="-8"/>
          <w:w w:val="110"/>
        </w:rPr>
        <w:t> </w:t>
      </w:r>
      <w:r>
        <w:rPr>
          <w:color w:val="231F20"/>
          <w:w w:val="110"/>
        </w:rPr>
        <w:t>correlación</w:t>
      </w:r>
      <w:r>
        <w:rPr>
          <w:color w:val="231F20"/>
          <w:spacing w:val="-8"/>
          <w:w w:val="110"/>
        </w:rPr>
        <w:t> </w:t>
      </w:r>
      <w:r>
        <w:rPr>
          <w:color w:val="231F20"/>
          <w:w w:val="110"/>
        </w:rPr>
        <w:t>internacional</w:t>
      </w:r>
      <w:r>
        <w:rPr>
          <w:color w:val="231F20"/>
          <w:spacing w:val="-8"/>
          <w:w w:val="110"/>
        </w:rPr>
        <w:t> </w:t>
      </w:r>
      <w:r>
        <w:rPr>
          <w:color w:val="231F20"/>
          <w:w w:val="110"/>
        </w:rPr>
        <w:t>de</w:t>
      </w:r>
      <w:r>
        <w:rPr>
          <w:color w:val="231F20"/>
          <w:spacing w:val="-8"/>
          <w:w w:val="110"/>
        </w:rPr>
        <w:t> </w:t>
      </w:r>
      <w:r>
        <w:rPr>
          <w:color w:val="231F20"/>
          <w:w w:val="110"/>
        </w:rPr>
        <w:t>fuerzas.</w:t>
      </w:r>
      <w:r>
        <w:rPr>
          <w:color w:val="231F20"/>
          <w:spacing w:val="-8"/>
          <w:w w:val="110"/>
        </w:rPr>
        <w:t> </w:t>
      </w:r>
      <w:r>
        <w:rPr>
          <w:color w:val="231F20"/>
          <w:w w:val="110"/>
        </w:rPr>
        <w:t>En</w:t>
      </w:r>
      <w:r>
        <w:rPr>
          <w:color w:val="231F20"/>
          <w:spacing w:val="-8"/>
          <w:w w:val="110"/>
        </w:rPr>
        <w:t> </w:t>
      </w:r>
      <w:r>
        <w:rPr>
          <w:color w:val="231F20"/>
          <w:w w:val="110"/>
        </w:rPr>
        <w:t>esta</w:t>
      </w:r>
      <w:r>
        <w:rPr>
          <w:color w:val="231F20"/>
          <w:spacing w:val="-8"/>
          <w:w w:val="110"/>
        </w:rPr>
        <w:t> </w:t>
      </w:r>
      <w:r>
        <w:rPr>
          <w:color w:val="231F20"/>
          <w:w w:val="110"/>
        </w:rPr>
        <w:t>perspectiva asumen un especial significado los procesos inherentes al llamado fin de la guerra fría, las mutaciones que se advierten en el sistema internacional y las prioridades que aparecen en las formulaciones estratégicas estadunidenses. Dentro de estas referencias de análisis adquiere especial importancia la pregunta sobre el lugar estratégico que ocupa América Latina en los ajustes sistémicos de la posguerra fría y la capacidad de respuesta regional en el campo de la defensa  y la</w:t>
      </w:r>
      <w:r>
        <w:rPr>
          <w:color w:val="231F20"/>
          <w:spacing w:val="-16"/>
          <w:w w:val="110"/>
        </w:rPr>
        <w:t> </w:t>
      </w:r>
      <w:r>
        <w:rPr>
          <w:color w:val="231F20"/>
          <w:w w:val="110"/>
        </w:rPr>
        <w:t>seguridad.</w:t>
      </w:r>
    </w:p>
    <w:p>
      <w:pPr>
        <w:pStyle w:val="BodyText"/>
      </w:pPr>
    </w:p>
    <w:p>
      <w:pPr>
        <w:pStyle w:val="BodyText"/>
      </w:pPr>
    </w:p>
    <w:p>
      <w:pPr>
        <w:pStyle w:val="BodyText"/>
        <w:spacing w:before="2"/>
        <w:rPr>
          <w:sz w:val="25"/>
        </w:rPr>
      </w:pPr>
    </w:p>
    <w:p>
      <w:pPr>
        <w:pStyle w:val="BodyText"/>
        <w:ind w:left="100"/>
        <w:jc w:val="both"/>
      </w:pPr>
      <w:r>
        <w:rPr>
          <w:color w:val="231F20"/>
          <w:w w:val="125"/>
        </w:rPr>
        <w:t>aristas de la supremacía estadunidense</w:t>
      </w:r>
    </w:p>
    <w:p>
      <w:pPr>
        <w:pStyle w:val="BodyText"/>
        <w:spacing w:before="5"/>
        <w:rPr>
          <w:sz w:val="23"/>
        </w:rPr>
      </w:pPr>
    </w:p>
    <w:p>
      <w:pPr>
        <w:pStyle w:val="BodyText"/>
        <w:spacing w:line="261" w:lineRule="auto"/>
        <w:ind w:left="100" w:right="117"/>
        <w:jc w:val="both"/>
      </w:pPr>
      <w:r>
        <w:rPr>
          <w:color w:val="231F20"/>
          <w:w w:val="110"/>
        </w:rPr>
        <w:t>Lo que prevalece de manera contundente sobre los escombros de la guerra fría es la hegemonía estadunidense, la estrategia para repro- ducir</w:t>
      </w:r>
      <w:r>
        <w:rPr>
          <w:color w:val="231F20"/>
          <w:spacing w:val="-10"/>
          <w:w w:val="110"/>
        </w:rPr>
        <w:t> </w:t>
      </w:r>
      <w:r>
        <w:rPr>
          <w:color w:val="231F20"/>
          <w:w w:val="110"/>
        </w:rPr>
        <w:t>las</w:t>
      </w:r>
      <w:r>
        <w:rPr>
          <w:color w:val="231F20"/>
          <w:spacing w:val="-10"/>
          <w:w w:val="110"/>
        </w:rPr>
        <w:t> </w:t>
      </w:r>
      <w:r>
        <w:rPr>
          <w:color w:val="231F20"/>
          <w:w w:val="110"/>
        </w:rPr>
        <w:t>condiciones</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liderazgo</w:t>
      </w:r>
      <w:r>
        <w:rPr>
          <w:color w:val="231F20"/>
          <w:spacing w:val="-10"/>
          <w:w w:val="110"/>
        </w:rPr>
        <w:t> </w:t>
      </w:r>
      <w:r>
        <w:rPr>
          <w:color w:val="231F20"/>
          <w:w w:val="110"/>
        </w:rPr>
        <w:t>mundial</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supremacía</w:t>
      </w:r>
      <w:r>
        <w:rPr>
          <w:color w:val="231F20"/>
          <w:spacing w:val="-10"/>
          <w:w w:val="110"/>
        </w:rPr>
        <w:t> </w:t>
      </w:r>
      <w:r>
        <w:rPr>
          <w:color w:val="231F20"/>
          <w:w w:val="110"/>
        </w:rPr>
        <w:t>militar que le sirve de soporte. Desde la teoría del poder esto remite a la clásica</w:t>
      </w:r>
      <w:r>
        <w:rPr>
          <w:color w:val="231F20"/>
          <w:spacing w:val="-15"/>
          <w:w w:val="110"/>
        </w:rPr>
        <w:t> </w:t>
      </w:r>
      <w:r>
        <w:rPr>
          <w:color w:val="231F20"/>
          <w:w w:val="110"/>
        </w:rPr>
        <w:t>representación</w:t>
      </w:r>
      <w:r>
        <w:rPr>
          <w:color w:val="231F20"/>
          <w:spacing w:val="-15"/>
          <w:w w:val="110"/>
        </w:rPr>
        <w:t> </w:t>
      </w:r>
      <w:r>
        <w:rPr>
          <w:color w:val="231F20"/>
          <w:w w:val="110"/>
        </w:rPr>
        <w:t>del</w:t>
      </w:r>
      <w:r>
        <w:rPr>
          <w:color w:val="231F20"/>
          <w:spacing w:val="-15"/>
          <w:w w:val="110"/>
        </w:rPr>
        <w:t> </w:t>
      </w:r>
      <w:r>
        <w:rPr>
          <w:color w:val="231F20"/>
          <w:w w:val="110"/>
        </w:rPr>
        <w:t>consenso</w:t>
      </w:r>
      <w:r>
        <w:rPr>
          <w:color w:val="231F20"/>
          <w:spacing w:val="-15"/>
          <w:w w:val="110"/>
        </w:rPr>
        <w:t> </w:t>
      </w:r>
      <w:r>
        <w:rPr>
          <w:color w:val="231F20"/>
          <w:w w:val="110"/>
        </w:rPr>
        <w:t>ideológico</w:t>
      </w:r>
      <w:r>
        <w:rPr>
          <w:color w:val="231F20"/>
          <w:spacing w:val="-15"/>
          <w:w w:val="110"/>
        </w:rPr>
        <w:t> </w:t>
      </w:r>
      <w:r>
        <w:rPr>
          <w:color w:val="231F20"/>
          <w:w w:val="110"/>
        </w:rPr>
        <w:t>revestido</w:t>
      </w:r>
      <w:r>
        <w:rPr>
          <w:color w:val="231F20"/>
          <w:spacing w:val="-15"/>
          <w:w w:val="110"/>
        </w:rPr>
        <w:t> </w:t>
      </w:r>
      <w:r>
        <w:rPr>
          <w:color w:val="231F20"/>
          <w:w w:val="110"/>
        </w:rPr>
        <w:t>de</w:t>
      </w:r>
      <w:r>
        <w:rPr>
          <w:color w:val="231F20"/>
          <w:spacing w:val="-15"/>
          <w:w w:val="110"/>
        </w:rPr>
        <w:t> </w:t>
      </w:r>
      <w:r>
        <w:rPr>
          <w:color w:val="231F20"/>
          <w:w w:val="110"/>
        </w:rPr>
        <w:t>coerción. La recuperación de esta articulación conceptual, de filiación</w:t>
      </w:r>
      <w:r>
        <w:rPr>
          <w:color w:val="231F20"/>
          <w:spacing w:val="39"/>
          <w:w w:val="110"/>
        </w:rPr>
        <w:t> </w:t>
      </w:r>
      <w:r>
        <w:rPr>
          <w:color w:val="231F20"/>
          <w:w w:val="110"/>
        </w:rPr>
        <w:t>grams-</w:t>
      </w:r>
    </w:p>
    <w:p>
      <w:pPr>
        <w:pStyle w:val="BodyText"/>
        <w:rPr>
          <w:sz w:val="15"/>
        </w:rPr>
      </w:pPr>
    </w:p>
    <w:p>
      <w:pPr>
        <w:pStyle w:val="BodyText"/>
        <w:spacing w:before="67"/>
        <w:ind w:left="113" w:right="132"/>
        <w:jc w:val="center"/>
      </w:pPr>
      <w:r>
        <w:rPr>
          <w:color w:val="231F20"/>
          <w:w w:val="120"/>
        </w:rPr>
        <w:t>[365]</w:t>
      </w:r>
    </w:p>
    <w:p>
      <w:pPr>
        <w:spacing w:after="0"/>
        <w:jc w:val="center"/>
        <w:sectPr>
          <w:headerReference w:type="default" r:id="rId272"/>
          <w:pgSz w:w="7640" w:h="11900"/>
          <w:pgMar w:header="0" w:footer="0" w:top="1000" w:bottom="280" w:left="660" w:right="760"/>
        </w:sectPr>
      </w:pPr>
    </w:p>
    <w:p>
      <w:pPr>
        <w:pStyle w:val="BodyText"/>
        <w:spacing w:before="8"/>
        <w:rPr>
          <w:sz w:val="8"/>
        </w:rPr>
      </w:pPr>
    </w:p>
    <w:p>
      <w:pPr>
        <w:pStyle w:val="BodyText"/>
        <w:spacing w:line="261" w:lineRule="auto" w:before="67"/>
        <w:ind w:left="28" w:right="117"/>
        <w:jc w:val="right"/>
      </w:pPr>
      <w:r>
        <w:rPr>
          <w:color w:val="231F20"/>
          <w:w w:val="110"/>
        </w:rPr>
        <w:t>ciana, ayuda a ordenar la comprensión acerca de cómo se ejerce el</w:t>
      </w:r>
      <w:r>
        <w:rPr>
          <w:color w:val="231F20"/>
          <w:w w:val="108"/>
        </w:rPr>
        <w:t> </w:t>
      </w:r>
      <w:r>
        <w:rPr>
          <w:color w:val="231F20"/>
          <w:w w:val="110"/>
        </w:rPr>
        <w:t>poder en la actual mundialización (Osorio, 2004). La estructuración</w:t>
      </w:r>
      <w:r>
        <w:rPr>
          <w:color w:val="231F20"/>
          <w:w w:val="111"/>
        </w:rPr>
        <w:t> </w:t>
      </w:r>
      <w:r>
        <w:rPr>
          <w:color w:val="231F20"/>
          <w:w w:val="110"/>
        </w:rPr>
        <w:t>y reestructuración de la hegemonía estadunidense sigue siendo un</w:t>
      </w:r>
      <w:r>
        <w:rPr>
          <w:color w:val="231F20"/>
          <w:w w:val="118"/>
        </w:rPr>
        <w:t> </w:t>
      </w:r>
      <w:r>
        <w:rPr>
          <w:color w:val="231F20"/>
          <w:w w:val="110"/>
        </w:rPr>
        <w:t>desafío de grandes consecuencias para la estabilidad del sistema in-</w:t>
      </w:r>
      <w:r>
        <w:rPr>
          <w:color w:val="231F20"/>
          <w:w w:val="72"/>
        </w:rPr>
        <w:t> </w:t>
      </w:r>
      <w:r>
        <w:rPr>
          <w:color w:val="231F20"/>
          <w:w w:val="110"/>
        </w:rPr>
        <w:t>ternacional y para la gobernabilidad regional de América Latina. De</w:t>
      </w:r>
      <w:r>
        <w:rPr>
          <w:color w:val="231F20"/>
          <w:w w:val="106"/>
        </w:rPr>
        <w:t> </w:t>
      </w:r>
      <w:r>
        <w:rPr>
          <w:color w:val="231F20"/>
          <w:w w:val="110"/>
        </w:rPr>
        <w:t>cualquier modo, esa capacidad hegemónica no constituye un atributo</w:t>
      </w:r>
      <w:r>
        <w:rPr>
          <w:color w:val="231F20"/>
          <w:w w:val="112"/>
        </w:rPr>
        <w:t> </w:t>
      </w:r>
      <w:r>
        <w:rPr>
          <w:color w:val="231F20"/>
          <w:w w:val="110"/>
        </w:rPr>
        <w:t>inmutable del poderío estadunidense, empezando por esa capacidad</w:t>
      </w:r>
      <w:r>
        <w:rPr>
          <w:color w:val="231F20"/>
          <w:w w:val="109"/>
        </w:rPr>
        <w:t> </w:t>
      </w:r>
      <w:r>
        <w:rPr>
          <w:color w:val="231F20"/>
          <w:w w:val="110"/>
        </w:rPr>
        <w:t>para producir y reproducir ideológicamente una visión de seguridad.</w:t>
      </w:r>
    </w:p>
    <w:p>
      <w:pPr>
        <w:pStyle w:val="BodyText"/>
        <w:spacing w:line="261" w:lineRule="auto"/>
        <w:ind w:left="100" w:right="117" w:firstLine="240"/>
        <w:jc w:val="both"/>
      </w:pPr>
      <w:r>
        <w:rPr>
          <w:color w:val="231F20"/>
          <w:w w:val="110"/>
        </w:rPr>
        <w:t>Si</w:t>
      </w:r>
      <w:r>
        <w:rPr>
          <w:color w:val="231F20"/>
          <w:spacing w:val="-13"/>
          <w:w w:val="110"/>
        </w:rPr>
        <w:t> </w:t>
      </w:r>
      <w:r>
        <w:rPr>
          <w:color w:val="231F20"/>
          <w:w w:val="110"/>
        </w:rPr>
        <w:t>su</w:t>
      </w:r>
      <w:r>
        <w:rPr>
          <w:color w:val="231F20"/>
          <w:spacing w:val="-13"/>
          <w:w w:val="110"/>
        </w:rPr>
        <w:t> </w:t>
      </w:r>
      <w:r>
        <w:rPr>
          <w:color w:val="231F20"/>
          <w:w w:val="110"/>
        </w:rPr>
        <w:t>capacidad</w:t>
      </w:r>
      <w:r>
        <w:rPr>
          <w:color w:val="231F20"/>
          <w:spacing w:val="-13"/>
          <w:w w:val="110"/>
        </w:rPr>
        <w:t> </w:t>
      </w:r>
      <w:r>
        <w:rPr>
          <w:color w:val="231F20"/>
          <w:w w:val="110"/>
        </w:rPr>
        <w:t>política</w:t>
      </w:r>
      <w:r>
        <w:rPr>
          <w:color w:val="231F20"/>
          <w:spacing w:val="-13"/>
          <w:w w:val="110"/>
        </w:rPr>
        <w:t> </w:t>
      </w:r>
      <w:r>
        <w:rPr>
          <w:color w:val="231F20"/>
          <w:w w:val="110"/>
        </w:rPr>
        <w:t>de</w:t>
      </w:r>
      <w:r>
        <w:rPr>
          <w:color w:val="231F20"/>
          <w:spacing w:val="-13"/>
          <w:w w:val="110"/>
        </w:rPr>
        <w:t> </w:t>
      </w:r>
      <w:r>
        <w:rPr>
          <w:color w:val="231F20"/>
          <w:w w:val="110"/>
        </w:rPr>
        <w:t>persuasión</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esfera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hegemonía se encuentra en entredicho, no puede decirse lo mismo de su</w:t>
      </w:r>
      <w:r>
        <w:rPr>
          <w:color w:val="231F20"/>
          <w:spacing w:val="-16"/>
          <w:w w:val="110"/>
        </w:rPr>
        <w:t> </w:t>
      </w:r>
      <w:r>
        <w:rPr>
          <w:color w:val="231F20"/>
          <w:w w:val="110"/>
        </w:rPr>
        <w:t>capaci- dad militar </w:t>
      </w:r>
      <w:r>
        <w:rPr>
          <w:color w:val="231F20"/>
        </w:rPr>
        <w:t>y </w:t>
      </w:r>
      <w:r>
        <w:rPr>
          <w:color w:val="231F20"/>
          <w:w w:val="110"/>
        </w:rPr>
        <w:t>el engrosamiento de sus alianzas en la reconfiguración del “poder duro”. Es exactamente aquí el punto en que se sitúa la posibilidad de conceptualizar el referente unipolar en el</w:t>
      </w:r>
      <w:r>
        <w:rPr>
          <w:color w:val="231F20"/>
          <w:spacing w:val="-11"/>
          <w:w w:val="110"/>
        </w:rPr>
        <w:t> </w:t>
      </w:r>
      <w:r>
        <w:rPr>
          <w:color w:val="231F20"/>
          <w:w w:val="110"/>
        </w:rPr>
        <w:t>paralelogra- mo mundial de fuerzas (Nye, 2003). Se alude a esa característica de estructuración del poder en el campo político </w:t>
      </w:r>
      <w:r>
        <w:rPr>
          <w:color w:val="231F20"/>
          <w:spacing w:val="-3"/>
          <w:w w:val="110"/>
        </w:rPr>
        <w:t>militar, </w:t>
      </w:r>
      <w:r>
        <w:rPr>
          <w:color w:val="231F20"/>
          <w:w w:val="110"/>
        </w:rPr>
        <w:t>que coincide con el desplome del socialismo en Europa </w:t>
      </w:r>
      <w:r>
        <w:rPr>
          <w:color w:val="231F20"/>
        </w:rPr>
        <w:t>y </w:t>
      </w:r>
      <w:r>
        <w:rPr>
          <w:color w:val="231F20"/>
          <w:w w:val="110"/>
        </w:rPr>
        <w:t>la desintegración de la Unión Soviética que, como experiencia histórica, se desencadenó entre 1989 </w:t>
      </w:r>
      <w:r>
        <w:rPr>
          <w:color w:val="231F20"/>
        </w:rPr>
        <w:t>y </w:t>
      </w:r>
      <w:r>
        <w:rPr>
          <w:color w:val="231F20"/>
          <w:w w:val="110"/>
        </w:rPr>
        <w:t>1991 </w:t>
      </w:r>
      <w:r>
        <w:rPr>
          <w:color w:val="231F20"/>
        </w:rPr>
        <w:t>y </w:t>
      </w:r>
      <w:r>
        <w:rPr>
          <w:color w:val="231F20"/>
          <w:w w:val="110"/>
        </w:rPr>
        <w:t>que se consolida conceptual </w:t>
      </w:r>
      <w:r>
        <w:rPr>
          <w:color w:val="231F20"/>
        </w:rPr>
        <w:t>y </w:t>
      </w:r>
      <w:r>
        <w:rPr>
          <w:color w:val="231F20"/>
          <w:w w:val="110"/>
        </w:rPr>
        <w:t>operacionalmen- te luego de los ataques del martes 11 de septiembre de 2001.</w:t>
      </w:r>
      <w:r>
        <w:rPr>
          <w:color w:val="231F20"/>
          <w:w w:val="110"/>
          <w:position w:val="6"/>
          <w:sz w:val="13"/>
        </w:rPr>
        <w:t>1 </w:t>
      </w:r>
      <w:r>
        <w:rPr>
          <w:color w:val="231F20"/>
          <w:w w:val="110"/>
        </w:rPr>
        <w:t>La prosecución con variantes se prolonga hasta nuestros días. Lejos de una política de acatamiento al principio de equilibrio, el apego a   los compromisos internacionales </w:t>
      </w:r>
      <w:r>
        <w:rPr>
          <w:color w:val="231F20"/>
        </w:rPr>
        <w:t>y </w:t>
      </w:r>
      <w:r>
        <w:rPr>
          <w:color w:val="231F20"/>
          <w:w w:val="110"/>
        </w:rPr>
        <w:t>al derecho internacional, lo que sobresale</w:t>
      </w:r>
      <w:r>
        <w:rPr>
          <w:color w:val="231F20"/>
          <w:spacing w:val="-12"/>
          <w:w w:val="110"/>
        </w:rPr>
        <w:t> </w:t>
      </w:r>
      <w:r>
        <w:rPr>
          <w:color w:val="231F20"/>
          <w:w w:val="110"/>
        </w:rPr>
        <w:t>es</w:t>
      </w:r>
      <w:r>
        <w:rPr>
          <w:color w:val="231F20"/>
          <w:spacing w:val="-12"/>
          <w:w w:val="110"/>
        </w:rPr>
        <w:t> </w:t>
      </w:r>
      <w:r>
        <w:rPr>
          <w:color w:val="231F20"/>
          <w:w w:val="110"/>
        </w:rPr>
        <w:t>la</w:t>
      </w:r>
      <w:r>
        <w:rPr>
          <w:color w:val="231F20"/>
          <w:spacing w:val="-12"/>
          <w:w w:val="110"/>
        </w:rPr>
        <w:t> </w:t>
      </w:r>
      <w:r>
        <w:rPr>
          <w:color w:val="231F20"/>
          <w:w w:val="110"/>
        </w:rPr>
        <w:t>disposición</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potencia</w:t>
      </w:r>
      <w:r>
        <w:rPr>
          <w:color w:val="231F20"/>
          <w:spacing w:val="-12"/>
          <w:w w:val="110"/>
        </w:rPr>
        <w:t> </w:t>
      </w:r>
      <w:r>
        <w:rPr>
          <w:color w:val="231F20"/>
          <w:w w:val="110"/>
        </w:rPr>
        <w:t>que</w:t>
      </w:r>
      <w:r>
        <w:rPr>
          <w:color w:val="231F20"/>
          <w:spacing w:val="-12"/>
          <w:w w:val="110"/>
        </w:rPr>
        <w:t> </w:t>
      </w:r>
      <w:r>
        <w:rPr>
          <w:color w:val="231F20"/>
          <w:w w:val="110"/>
        </w:rPr>
        <w:t>actúa</w:t>
      </w:r>
      <w:r>
        <w:rPr>
          <w:color w:val="231F20"/>
          <w:spacing w:val="-12"/>
          <w:w w:val="110"/>
        </w:rPr>
        <w:t> </w:t>
      </w:r>
      <w:r>
        <w:rPr>
          <w:color w:val="231F20"/>
          <w:w w:val="110"/>
        </w:rPr>
        <w:t>sin</w:t>
      </w:r>
      <w:r>
        <w:rPr>
          <w:color w:val="231F20"/>
          <w:spacing w:val="-12"/>
          <w:w w:val="110"/>
        </w:rPr>
        <w:t> </w:t>
      </w:r>
      <w:r>
        <w:rPr>
          <w:color w:val="231F20"/>
          <w:w w:val="110"/>
        </w:rPr>
        <w:t>contrapesos. </w:t>
      </w:r>
      <w:r>
        <w:rPr>
          <w:color w:val="231F20"/>
        </w:rPr>
        <w:t>Y </w:t>
      </w:r>
      <w:r>
        <w:rPr>
          <w:color w:val="231F20"/>
          <w:w w:val="110"/>
        </w:rPr>
        <w:t>en esa medida se siente capaz de imponer unilateralmente una visión del</w:t>
      </w:r>
      <w:r>
        <w:rPr>
          <w:color w:val="231F20"/>
          <w:spacing w:val="7"/>
          <w:w w:val="110"/>
        </w:rPr>
        <w:t> </w:t>
      </w:r>
      <w:r>
        <w:rPr>
          <w:color w:val="231F20"/>
          <w:w w:val="110"/>
        </w:rPr>
        <w:t>mundo.</w:t>
      </w:r>
    </w:p>
    <w:p>
      <w:pPr>
        <w:pStyle w:val="BodyText"/>
        <w:spacing w:line="261" w:lineRule="auto"/>
        <w:ind w:left="100" w:right="119" w:firstLine="240"/>
        <w:jc w:val="both"/>
      </w:pPr>
      <w:r>
        <w:rPr>
          <w:color w:val="231F20"/>
          <w:w w:val="110"/>
        </w:rPr>
        <w:t>A contrapelo de la prudencia y los principios del</w:t>
      </w:r>
      <w:r>
        <w:rPr>
          <w:color w:val="231F20"/>
          <w:spacing w:val="-16"/>
          <w:w w:val="110"/>
        </w:rPr>
        <w:t> </w:t>
      </w:r>
      <w:r>
        <w:rPr>
          <w:color w:val="231F20"/>
          <w:w w:val="110"/>
        </w:rPr>
        <w:t>multilateralismo se</w:t>
      </w:r>
      <w:r>
        <w:rPr>
          <w:color w:val="231F20"/>
          <w:spacing w:val="-9"/>
          <w:w w:val="110"/>
        </w:rPr>
        <w:t> </w:t>
      </w:r>
      <w:r>
        <w:rPr>
          <w:color w:val="231F20"/>
          <w:w w:val="110"/>
        </w:rPr>
        <w:t>pueden</w:t>
      </w:r>
      <w:r>
        <w:rPr>
          <w:color w:val="231F20"/>
          <w:spacing w:val="-9"/>
          <w:w w:val="110"/>
        </w:rPr>
        <w:t> </w:t>
      </w:r>
      <w:r>
        <w:rPr>
          <w:color w:val="231F20"/>
          <w:w w:val="110"/>
        </w:rPr>
        <w:t>constatar</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10"/>
        </w:rPr>
        <w:t>concepciones</w:t>
      </w:r>
      <w:r>
        <w:rPr>
          <w:color w:val="231F20"/>
          <w:spacing w:val="-9"/>
          <w:w w:val="110"/>
        </w:rPr>
        <w:t> </w:t>
      </w:r>
      <w:r>
        <w:rPr>
          <w:color w:val="231F20"/>
          <w:w w:val="110"/>
        </w:rPr>
        <w:t>unilaterales</w:t>
      </w:r>
      <w:r>
        <w:rPr>
          <w:color w:val="231F20"/>
          <w:spacing w:val="-9"/>
          <w:w w:val="110"/>
        </w:rPr>
        <w:t> </w:t>
      </w:r>
      <w:r>
        <w:rPr>
          <w:color w:val="231F20"/>
          <w:w w:val="110"/>
        </w:rPr>
        <w:t>y</w:t>
      </w:r>
      <w:r>
        <w:rPr>
          <w:color w:val="231F20"/>
          <w:spacing w:val="-9"/>
          <w:w w:val="110"/>
        </w:rPr>
        <w:t> </w:t>
      </w:r>
      <w:r>
        <w:rPr>
          <w:color w:val="231F20"/>
          <w:w w:val="110"/>
        </w:rPr>
        <w:t>belicistas,</w:t>
      </w:r>
      <w:r>
        <w:rPr>
          <w:color w:val="231F20"/>
          <w:spacing w:val="-9"/>
          <w:w w:val="110"/>
        </w:rPr>
        <w:t> </w:t>
      </w:r>
      <w:r>
        <w:rPr>
          <w:color w:val="231F20"/>
          <w:w w:val="110"/>
        </w:rPr>
        <w:t>no obstante el fin de la guerra fría, siguen prevaleciente en la política del Norte. Los acuerdos para equilibrar las fuerzas de disuasión que antes existieron son, en el contexto posguerra fría, asumidas como prohibiciones para la actual política de seguridad. Su proceder es tal que después del bipolarismo no se justifica ninguna restricción a los </w:t>
      </w:r>
      <w:r>
        <w:rPr>
          <w:color w:val="231F20"/>
          <w:w w:val="105"/>
        </w:rPr>
        <w:t>objetivos</w:t>
      </w:r>
      <w:r>
        <w:rPr>
          <w:color w:val="231F20"/>
          <w:spacing w:val="26"/>
          <w:w w:val="105"/>
        </w:rPr>
        <w:t> </w:t>
      </w:r>
      <w:r>
        <w:rPr>
          <w:color w:val="231F20"/>
          <w:w w:val="105"/>
        </w:rPr>
        <w:t>estratégicos.</w:t>
      </w:r>
    </w:p>
    <w:p>
      <w:pPr>
        <w:pStyle w:val="BodyText"/>
        <w:spacing w:line="261" w:lineRule="auto"/>
        <w:ind w:left="100" w:right="119" w:firstLine="240"/>
        <w:jc w:val="both"/>
      </w:pPr>
      <w:r>
        <w:rPr>
          <w:color w:val="231F20"/>
          <w:w w:val="110"/>
        </w:rPr>
        <w:t>Resultan emblemáticas algunas conductas, porque dibujan con precisión la índole de una estrategia vigente. En efecto, por sobre</w:t>
      </w:r>
    </w:p>
    <w:p>
      <w:pPr>
        <w:pStyle w:val="BodyText"/>
      </w:pPr>
    </w:p>
    <w:p>
      <w:pPr>
        <w:pStyle w:val="BodyText"/>
      </w:pPr>
    </w:p>
    <w:p>
      <w:pPr>
        <w:spacing w:line="261" w:lineRule="auto" w:before="122"/>
        <w:ind w:left="100" w:right="119" w:firstLine="240"/>
        <w:jc w:val="both"/>
        <w:rPr>
          <w:sz w:val="16"/>
        </w:rPr>
      </w:pPr>
      <w:r>
        <w:rPr>
          <w:color w:val="231F20"/>
          <w:w w:val="105"/>
          <w:position w:val="5"/>
          <w:sz w:val="10"/>
        </w:rPr>
        <w:t>1 </w:t>
      </w:r>
      <w:r>
        <w:rPr>
          <w:color w:val="231F20"/>
          <w:w w:val="105"/>
          <w:sz w:val="16"/>
        </w:rPr>
        <w:t>Este aspecto está desarrollado en Darío Salinas Figueredo (2004) y Michel Chos- sudovsky (2002).</w:t>
      </w:r>
    </w:p>
    <w:p>
      <w:pPr>
        <w:spacing w:after="0" w:line="261" w:lineRule="auto"/>
        <w:jc w:val="both"/>
        <w:rPr>
          <w:sz w:val="16"/>
        </w:rPr>
        <w:sectPr>
          <w:headerReference w:type="even" r:id="rId273"/>
          <w:headerReference w:type="default" r:id="rId274"/>
          <w:pgSz w:w="7640" w:h="11900"/>
          <w:pgMar w:header="672" w:footer="0" w:top="860" w:bottom="280" w:left="780" w:right="640"/>
          <w:pgNumType w:start="366"/>
        </w:sectPr>
      </w:pPr>
    </w:p>
    <w:p>
      <w:pPr>
        <w:pStyle w:val="BodyText"/>
        <w:spacing w:before="8"/>
        <w:rPr>
          <w:sz w:val="8"/>
        </w:rPr>
      </w:pPr>
    </w:p>
    <w:p>
      <w:pPr>
        <w:pStyle w:val="BodyText"/>
        <w:spacing w:line="261" w:lineRule="auto" w:before="67"/>
        <w:ind w:left="100" w:right="117"/>
        <w:jc w:val="both"/>
      </w:pPr>
      <w:r>
        <w:rPr>
          <w:color w:val="231F20"/>
          <w:w w:val="110"/>
        </w:rPr>
        <w:t>algunos razonables posicionamientos en el escenario internacional, ha</w:t>
      </w:r>
      <w:r>
        <w:rPr>
          <w:color w:val="231F20"/>
          <w:spacing w:val="-13"/>
          <w:w w:val="110"/>
        </w:rPr>
        <w:t> </w:t>
      </w:r>
      <w:r>
        <w:rPr>
          <w:color w:val="231F20"/>
          <w:w w:val="110"/>
        </w:rPr>
        <w:t>prevalecido</w:t>
      </w:r>
      <w:r>
        <w:rPr>
          <w:color w:val="231F20"/>
          <w:spacing w:val="-13"/>
          <w:w w:val="110"/>
        </w:rPr>
        <w:t> </w:t>
      </w:r>
      <w:r>
        <w:rPr>
          <w:color w:val="231F20"/>
          <w:w w:val="110"/>
        </w:rPr>
        <w:t>la</w:t>
      </w:r>
      <w:r>
        <w:rPr>
          <w:color w:val="231F20"/>
          <w:spacing w:val="-13"/>
          <w:w w:val="110"/>
        </w:rPr>
        <w:t> </w:t>
      </w:r>
      <w:r>
        <w:rPr>
          <w:color w:val="231F20"/>
          <w:w w:val="110"/>
        </w:rPr>
        <w:t>negativa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política</w:t>
      </w:r>
      <w:r>
        <w:rPr>
          <w:color w:val="231F20"/>
          <w:spacing w:val="-13"/>
          <w:w w:val="110"/>
        </w:rPr>
        <w:t> </w:t>
      </w:r>
      <w:r>
        <w:rPr>
          <w:color w:val="231F20"/>
          <w:w w:val="110"/>
        </w:rPr>
        <w:t>estadunidense</w:t>
      </w:r>
      <w:r>
        <w:rPr>
          <w:color w:val="231F20"/>
          <w:spacing w:val="-13"/>
          <w:w w:val="110"/>
        </w:rPr>
        <w:t> </w:t>
      </w:r>
      <w:r>
        <w:rPr>
          <w:color w:val="231F20"/>
          <w:w w:val="110"/>
        </w:rPr>
        <w:t>de</w:t>
      </w:r>
      <w:r>
        <w:rPr>
          <w:color w:val="231F20"/>
          <w:spacing w:val="-13"/>
          <w:w w:val="110"/>
        </w:rPr>
        <w:t> </w:t>
      </w:r>
      <w:r>
        <w:rPr>
          <w:color w:val="231F20"/>
          <w:w w:val="110"/>
        </w:rPr>
        <w:t>hacer</w:t>
      </w:r>
      <w:r>
        <w:rPr>
          <w:color w:val="231F20"/>
          <w:spacing w:val="-13"/>
          <w:w w:val="110"/>
        </w:rPr>
        <w:t> </w:t>
      </w:r>
      <w:r>
        <w:rPr>
          <w:color w:val="231F20"/>
          <w:w w:val="110"/>
        </w:rPr>
        <w:t>sentir su peso sobre Israel en el conflicto con los palestinos. Su obstinada oposición al “Protocolo de Kioto” para acuerdos ambientales sobre calentamiento global. El anuncio de terminar unilateralmente con el tratado</w:t>
      </w:r>
      <w:r>
        <w:rPr>
          <w:color w:val="231F20"/>
          <w:spacing w:val="-13"/>
          <w:w w:val="110"/>
        </w:rPr>
        <w:t> </w:t>
      </w:r>
      <w:r>
        <w:rPr>
          <w:color w:val="231F20"/>
          <w:w w:val="110"/>
        </w:rPr>
        <w:t>de</w:t>
      </w:r>
      <w:r>
        <w:rPr>
          <w:color w:val="231F20"/>
          <w:spacing w:val="-13"/>
          <w:w w:val="110"/>
        </w:rPr>
        <w:t> </w:t>
      </w:r>
      <w:r>
        <w:rPr>
          <w:color w:val="231F20"/>
          <w:w w:val="110"/>
        </w:rPr>
        <w:t>misiles</w:t>
      </w:r>
      <w:r>
        <w:rPr>
          <w:color w:val="231F20"/>
          <w:spacing w:val="-13"/>
          <w:w w:val="110"/>
        </w:rPr>
        <w:t> </w:t>
      </w:r>
      <w:r>
        <w:rPr>
          <w:color w:val="231F20"/>
          <w:w w:val="110"/>
        </w:rPr>
        <w:t>antibalísticos.</w:t>
      </w:r>
      <w:r>
        <w:rPr>
          <w:color w:val="231F20"/>
          <w:spacing w:val="-13"/>
          <w:w w:val="110"/>
        </w:rPr>
        <w:t> </w:t>
      </w:r>
      <w:r>
        <w:rPr>
          <w:color w:val="231F20"/>
          <w:w w:val="110"/>
        </w:rPr>
        <w:t>El</w:t>
      </w:r>
      <w:r>
        <w:rPr>
          <w:color w:val="231F20"/>
          <w:spacing w:val="-13"/>
          <w:w w:val="110"/>
        </w:rPr>
        <w:t> </w:t>
      </w:r>
      <w:r>
        <w:rPr>
          <w:color w:val="231F20"/>
          <w:w w:val="110"/>
        </w:rPr>
        <w:t>haberse</w:t>
      </w:r>
      <w:r>
        <w:rPr>
          <w:color w:val="231F20"/>
          <w:spacing w:val="-13"/>
          <w:w w:val="110"/>
        </w:rPr>
        <w:t> </w:t>
      </w:r>
      <w:r>
        <w:rPr>
          <w:color w:val="231F20"/>
          <w:w w:val="110"/>
        </w:rPr>
        <w:t>sustraído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esfuerzos encaminados a controlar las armas biológicas y a limitar de manera efectiva la proliferación </w:t>
      </w:r>
      <w:r>
        <w:rPr>
          <w:color w:val="231F20"/>
          <w:spacing w:val="-3"/>
          <w:w w:val="110"/>
        </w:rPr>
        <w:t>nuclear. </w:t>
      </w:r>
      <w:r>
        <w:rPr>
          <w:color w:val="231F20"/>
          <w:w w:val="110"/>
        </w:rPr>
        <w:t>El despliegue de una política dis- crecional o selectiva de no proliferación nuclear: intransigencia en este campo frente Corea del Norte e Irán y permisividad ante los proyectos</w:t>
      </w:r>
      <w:r>
        <w:rPr>
          <w:color w:val="231F20"/>
          <w:spacing w:val="-5"/>
          <w:w w:val="110"/>
        </w:rPr>
        <w:t> </w:t>
      </w:r>
      <w:r>
        <w:rPr>
          <w:color w:val="231F20"/>
          <w:w w:val="110"/>
        </w:rPr>
        <w:t>nucleares</w:t>
      </w:r>
      <w:r>
        <w:rPr>
          <w:color w:val="231F20"/>
          <w:spacing w:val="-5"/>
          <w:w w:val="110"/>
        </w:rPr>
        <w:t> </w:t>
      </w:r>
      <w:r>
        <w:rPr>
          <w:color w:val="231F20"/>
          <w:w w:val="110"/>
        </w:rPr>
        <w:t>de</w:t>
      </w:r>
      <w:r>
        <w:rPr>
          <w:color w:val="231F20"/>
          <w:spacing w:val="-5"/>
          <w:w w:val="110"/>
        </w:rPr>
        <w:t> </w:t>
      </w:r>
      <w:r>
        <w:rPr>
          <w:color w:val="231F20"/>
          <w:w w:val="110"/>
        </w:rPr>
        <w:t>Israel</w:t>
      </w:r>
      <w:r>
        <w:rPr>
          <w:color w:val="231F20"/>
          <w:spacing w:val="-5"/>
          <w:w w:val="110"/>
        </w:rPr>
        <w:t> </w:t>
      </w:r>
      <w:r>
        <w:rPr>
          <w:color w:val="231F20"/>
          <w:w w:val="110"/>
        </w:rPr>
        <w:t>y</w:t>
      </w:r>
      <w:r>
        <w:rPr>
          <w:color w:val="231F20"/>
          <w:spacing w:val="-5"/>
          <w:w w:val="110"/>
        </w:rPr>
        <w:t> </w:t>
      </w:r>
      <w:r>
        <w:rPr>
          <w:color w:val="231F20"/>
          <w:w w:val="110"/>
        </w:rPr>
        <w:t>Paquistán.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dirección</w:t>
      </w:r>
      <w:r>
        <w:rPr>
          <w:color w:val="231F20"/>
          <w:spacing w:val="-5"/>
          <w:w w:val="110"/>
        </w:rPr>
        <w:t> </w:t>
      </w:r>
      <w:r>
        <w:rPr>
          <w:color w:val="231F20"/>
          <w:w w:val="110"/>
        </w:rPr>
        <w:t>de</w:t>
      </w:r>
      <w:r>
        <w:rPr>
          <w:color w:val="231F20"/>
          <w:spacing w:val="-5"/>
          <w:w w:val="110"/>
        </w:rPr>
        <w:t> </w:t>
      </w:r>
      <w:r>
        <w:rPr>
          <w:color w:val="231F20"/>
          <w:w w:val="110"/>
        </w:rPr>
        <w:t>esa</w:t>
      </w:r>
      <w:r>
        <w:rPr>
          <w:color w:val="231F20"/>
          <w:spacing w:val="-5"/>
          <w:w w:val="110"/>
        </w:rPr>
        <w:t> </w:t>
      </w:r>
      <w:r>
        <w:rPr>
          <w:color w:val="231F20"/>
          <w:w w:val="110"/>
        </w:rPr>
        <w:t>for- ma de conducta puede inscribirse también su negativa a ratificar el tratado para la creación del </w:t>
      </w:r>
      <w:r>
        <w:rPr>
          <w:color w:val="231F20"/>
          <w:spacing w:val="-3"/>
          <w:w w:val="110"/>
        </w:rPr>
        <w:t>Tribunal </w:t>
      </w:r>
      <w:r>
        <w:rPr>
          <w:color w:val="231F20"/>
          <w:w w:val="110"/>
        </w:rPr>
        <w:t>Penal Internacional destinado   a enjuiciar actos calificados como crímenes de guerra, genocidio y otras violaciones a los derechos</w:t>
      </w:r>
      <w:r>
        <w:rPr>
          <w:color w:val="231F20"/>
          <w:spacing w:val="2"/>
          <w:w w:val="110"/>
        </w:rPr>
        <w:t> </w:t>
      </w:r>
      <w:r>
        <w:rPr>
          <w:color w:val="231F20"/>
          <w:w w:val="110"/>
        </w:rPr>
        <w:t>humanos.</w:t>
      </w:r>
    </w:p>
    <w:p>
      <w:pPr>
        <w:pStyle w:val="BodyText"/>
        <w:spacing w:line="261" w:lineRule="auto"/>
        <w:ind w:left="100" w:right="112" w:firstLine="240"/>
        <w:jc w:val="both"/>
      </w:pPr>
      <w:r>
        <w:rPr>
          <w:color w:val="231F20"/>
          <w:w w:val="110"/>
        </w:rPr>
        <w:t>A ese proceso de concentración de fuerzas, se corresponde una política dirigida a la ampliación de la Organización del Tratado del Atlántico Norte, </w:t>
      </w:r>
      <w:r>
        <w:rPr>
          <w:color w:val="231F20"/>
          <w:w w:val="115"/>
        </w:rPr>
        <w:t>otan, </w:t>
      </w:r>
      <w:r>
        <w:rPr>
          <w:color w:val="231F20"/>
          <w:w w:val="110"/>
        </w:rPr>
        <w:t>concebida inicialmente como una alianza defensiva por las potencias capitalistas frente al otrora poder del bloque socialista. Al desaparecer correlativamente la Unión Sovié- tica, el sistema socialista en la vieja Europa y el Pacto de Varsovia, la </w:t>
      </w:r>
      <w:r>
        <w:rPr>
          <w:color w:val="231F20"/>
          <w:w w:val="115"/>
        </w:rPr>
        <w:t>otan </w:t>
      </w:r>
      <w:r>
        <w:rPr>
          <w:color w:val="231F20"/>
          <w:w w:val="110"/>
        </w:rPr>
        <w:t>se quedó sin enemigo de quien defenderse, formalmente desprovista de los propósitos que le dieron origen. Sin embargo, dada la fuerza constitutiva envolvente del capitalismo triunfante, la formulación de un nuevo tratado estaba lejos de ser una cuestión simplemente formal. Obviamente no era cosa de dar por cumplida  la misión y finiquitar la institución. Para Estados Unidos la situa- </w:t>
      </w:r>
      <w:r>
        <w:rPr>
          <w:color w:val="231F20"/>
          <w:spacing w:val="2"/>
          <w:w w:val="110"/>
        </w:rPr>
        <w:t>ción </w:t>
      </w:r>
      <w:r>
        <w:rPr>
          <w:color w:val="231F20"/>
          <w:w w:val="110"/>
        </w:rPr>
        <w:t>era </w:t>
      </w:r>
      <w:r>
        <w:rPr>
          <w:color w:val="231F20"/>
          <w:spacing w:val="2"/>
          <w:w w:val="110"/>
        </w:rPr>
        <w:t>mucho </w:t>
      </w:r>
      <w:r>
        <w:rPr>
          <w:color w:val="231F20"/>
          <w:w w:val="110"/>
        </w:rPr>
        <w:t>más </w:t>
      </w:r>
      <w:r>
        <w:rPr>
          <w:color w:val="231F20"/>
          <w:spacing w:val="2"/>
          <w:w w:val="110"/>
        </w:rPr>
        <w:t>complicada </w:t>
      </w:r>
      <w:r>
        <w:rPr>
          <w:color w:val="231F20"/>
          <w:w w:val="110"/>
        </w:rPr>
        <w:t>por su </w:t>
      </w:r>
      <w:r>
        <w:rPr>
          <w:color w:val="231F20"/>
          <w:spacing w:val="2"/>
          <w:w w:val="110"/>
        </w:rPr>
        <w:t>estrategia </w:t>
      </w:r>
      <w:r>
        <w:rPr>
          <w:color w:val="231F20"/>
          <w:w w:val="110"/>
        </w:rPr>
        <w:t>de </w:t>
      </w:r>
      <w:r>
        <w:rPr>
          <w:color w:val="231F20"/>
          <w:spacing w:val="3"/>
          <w:w w:val="110"/>
        </w:rPr>
        <w:t>liderazgo </w:t>
      </w:r>
      <w:r>
        <w:rPr>
          <w:color w:val="231F20"/>
          <w:w w:val="110"/>
        </w:rPr>
        <w:t>mundial. La Unión Europea seguía creciendo, y desde los intereses estadunidenses no era una exageración ver en su fortalecimiento  una inminente potencia. Esa lectura, inherente a la naturaleza del capitalismo, toda vez que el crecimiento de cualquier fuerza intra o extra sistema corre el riesgo de convertirse en competidora </w:t>
      </w:r>
      <w:r>
        <w:rPr>
          <w:color w:val="231F20"/>
          <w:spacing w:val="-7"/>
          <w:w w:val="110"/>
        </w:rPr>
        <w:t>y, </w:t>
      </w:r>
      <w:r>
        <w:rPr>
          <w:color w:val="231F20"/>
          <w:w w:val="110"/>
        </w:rPr>
        <w:t>even- tualmente, adversaria de Estados Unidos. Antes de que China,</w:t>
      </w:r>
      <w:r>
        <w:rPr>
          <w:color w:val="231F20"/>
          <w:spacing w:val="-36"/>
          <w:w w:val="110"/>
        </w:rPr>
        <w:t> </w:t>
      </w:r>
      <w:r>
        <w:rPr>
          <w:color w:val="231F20"/>
          <w:w w:val="110"/>
        </w:rPr>
        <w:t>India, Rusia o Pakistán complicaran en ciertos registros el paralelogramo de fuerzas, y considerando que no era fácil imponer condiciones a  la Unión Europea en aras de “un nuevo tratado”, para la estrategia estadunidense fue vital que se mantuvieran los vínculos en materia de seguridad en el rango de  </w:t>
      </w:r>
      <w:r>
        <w:rPr>
          <w:color w:val="231F20"/>
          <w:spacing w:val="2"/>
          <w:w w:val="110"/>
        </w:rPr>
        <w:t> </w:t>
      </w:r>
      <w:r>
        <w:rPr>
          <w:color w:val="231F20"/>
          <w:w w:val="110"/>
        </w:rPr>
        <w:t>alianza.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Lo que a la postre resultó fue lanzar la opción de promover inter- venciones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conflictos</w:t>
      </w:r>
      <w:r>
        <w:rPr>
          <w:color w:val="231F20"/>
          <w:spacing w:val="-5"/>
          <w:w w:val="110"/>
        </w:rPr>
        <w:t> </w:t>
      </w:r>
      <w:r>
        <w:rPr>
          <w:color w:val="231F20"/>
          <w:w w:val="110"/>
        </w:rPr>
        <w:t>que</w:t>
      </w:r>
      <w:r>
        <w:rPr>
          <w:color w:val="231F20"/>
          <w:spacing w:val="-5"/>
          <w:w w:val="110"/>
        </w:rPr>
        <w:t> </w:t>
      </w:r>
      <w:r>
        <w:rPr>
          <w:color w:val="231F20"/>
          <w:w w:val="110"/>
        </w:rPr>
        <w:t>quedaron</w:t>
      </w:r>
      <w:r>
        <w:rPr>
          <w:color w:val="231F20"/>
          <w:spacing w:val="-5"/>
          <w:w w:val="110"/>
        </w:rPr>
        <w:t> </w:t>
      </w:r>
      <w:r>
        <w:rPr>
          <w:color w:val="231F20"/>
          <w:w w:val="110"/>
        </w:rPr>
        <w:t>latentes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tercer</w:t>
      </w:r>
      <w:r>
        <w:rPr>
          <w:color w:val="231F20"/>
          <w:spacing w:val="-5"/>
          <w:w w:val="110"/>
        </w:rPr>
        <w:t> </w:t>
      </w:r>
      <w:r>
        <w:rPr>
          <w:color w:val="231F20"/>
          <w:w w:val="110"/>
        </w:rPr>
        <w:t>mundo durante la guerra fría. El más importante teatro de operaciones, en tal sentido, fue montado por fuerzas estadunidenses contra Iraq en  la guerra del Golfo Pérsico de 1991. El despliegue descomunal de fuerzas en aquella operación denominada “Tormenta del desierto” ocurría</w:t>
      </w:r>
      <w:r>
        <w:rPr>
          <w:color w:val="231F20"/>
          <w:spacing w:val="-11"/>
          <w:w w:val="110"/>
        </w:rPr>
        <w:t> </w:t>
      </w:r>
      <w:r>
        <w:rPr>
          <w:color w:val="231F20"/>
          <w:w w:val="110"/>
        </w:rPr>
        <w:t>inmediatamente</w:t>
      </w:r>
      <w:r>
        <w:rPr>
          <w:color w:val="231F20"/>
          <w:spacing w:val="-11"/>
          <w:w w:val="110"/>
        </w:rPr>
        <w:t> </w:t>
      </w:r>
      <w:r>
        <w:rPr>
          <w:color w:val="231F20"/>
          <w:w w:val="110"/>
        </w:rPr>
        <w:t>después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desaparición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URSS.</w:t>
      </w:r>
      <w:r>
        <w:rPr>
          <w:color w:val="231F20"/>
          <w:spacing w:val="-11"/>
          <w:w w:val="110"/>
        </w:rPr>
        <w:t> </w:t>
      </w:r>
      <w:r>
        <w:rPr>
          <w:color w:val="231F20"/>
          <w:w w:val="110"/>
        </w:rPr>
        <w:t>Des- de 1991 se han sucedido otros conflictos fundamentales: la guerra del Golfo Pérsico, los ataques de la otan a Yugoslavia y el ataque estadunidense a Afganistán. En cada caso se produjeron avances de consolidación</w:t>
      </w:r>
      <w:r>
        <w:rPr>
          <w:color w:val="231F20"/>
          <w:spacing w:val="-22"/>
          <w:w w:val="110"/>
        </w:rPr>
        <w:t> </w:t>
      </w:r>
      <w:r>
        <w:rPr>
          <w:color w:val="231F20"/>
          <w:w w:val="110"/>
        </w:rPr>
        <w:t>hacia</w:t>
      </w:r>
      <w:r>
        <w:rPr>
          <w:color w:val="231F20"/>
          <w:spacing w:val="-22"/>
          <w:w w:val="110"/>
        </w:rPr>
        <w:t> </w:t>
      </w:r>
      <w:r>
        <w:rPr>
          <w:color w:val="231F20"/>
          <w:w w:val="110"/>
        </w:rPr>
        <w:t>la</w:t>
      </w:r>
      <w:r>
        <w:rPr>
          <w:color w:val="231F20"/>
          <w:spacing w:val="-22"/>
          <w:w w:val="110"/>
        </w:rPr>
        <w:t> </w:t>
      </w:r>
      <w:r>
        <w:rPr>
          <w:color w:val="231F20"/>
          <w:w w:val="110"/>
        </w:rPr>
        <w:t>reconfiguración</w:t>
      </w:r>
      <w:r>
        <w:rPr>
          <w:color w:val="231F20"/>
          <w:spacing w:val="-22"/>
          <w:w w:val="110"/>
        </w:rPr>
        <w:t> </w:t>
      </w:r>
      <w:r>
        <w:rPr>
          <w:color w:val="231F20"/>
          <w:w w:val="110"/>
        </w:rPr>
        <w:t>geopolítica</w:t>
      </w:r>
      <w:r>
        <w:rPr>
          <w:color w:val="231F20"/>
          <w:spacing w:val="-22"/>
          <w:w w:val="110"/>
        </w:rPr>
        <w:t> </w:t>
      </w:r>
      <w:r>
        <w:rPr>
          <w:color w:val="231F20"/>
          <w:w w:val="110"/>
        </w:rPr>
        <w:t>y</w:t>
      </w:r>
      <w:r>
        <w:rPr>
          <w:color w:val="231F20"/>
          <w:spacing w:val="-22"/>
          <w:w w:val="110"/>
        </w:rPr>
        <w:t> </w:t>
      </w:r>
      <w:r>
        <w:rPr>
          <w:color w:val="231F20"/>
          <w:w w:val="110"/>
        </w:rPr>
        <w:t>la</w:t>
      </w:r>
      <w:r>
        <w:rPr>
          <w:color w:val="231F20"/>
          <w:spacing w:val="-22"/>
          <w:w w:val="110"/>
        </w:rPr>
        <w:t> </w:t>
      </w:r>
      <w:r>
        <w:rPr>
          <w:color w:val="231F20"/>
          <w:w w:val="110"/>
        </w:rPr>
        <w:t>evidencia</w:t>
      </w:r>
      <w:r>
        <w:rPr>
          <w:color w:val="231F20"/>
          <w:spacing w:val="-22"/>
          <w:w w:val="110"/>
        </w:rPr>
        <w:t> </w:t>
      </w:r>
      <w:r>
        <w:rPr>
          <w:color w:val="231F20"/>
          <w:w w:val="110"/>
        </w:rPr>
        <w:t>de</w:t>
      </w:r>
      <w:r>
        <w:rPr>
          <w:color w:val="231F20"/>
          <w:spacing w:val="-22"/>
          <w:w w:val="110"/>
        </w:rPr>
        <w:t> </w:t>
      </w:r>
      <w:r>
        <w:rPr>
          <w:color w:val="231F20"/>
          <w:w w:val="110"/>
        </w:rPr>
        <w:t>la supremacía estadunidense en el terreno </w:t>
      </w:r>
      <w:r>
        <w:rPr>
          <w:color w:val="231F20"/>
          <w:spacing w:val="47"/>
          <w:w w:val="110"/>
        </w:rPr>
        <w:t> </w:t>
      </w:r>
      <w:r>
        <w:rPr>
          <w:color w:val="231F20"/>
          <w:spacing w:val="-3"/>
          <w:w w:val="110"/>
        </w:rPr>
        <w:t>militar.</w:t>
      </w:r>
    </w:p>
    <w:p>
      <w:pPr>
        <w:pStyle w:val="BodyText"/>
        <w:spacing w:line="261" w:lineRule="auto"/>
        <w:ind w:left="100" w:right="117" w:firstLine="240"/>
        <w:jc w:val="both"/>
      </w:pPr>
      <w:r>
        <w:rPr>
          <w:color w:val="231F20"/>
          <w:w w:val="110"/>
        </w:rPr>
        <w:t>Contradictoriamente a ese poderío, prácticamente sin contrape- sos, su posición dominante en el terreno económico global no se ha venido fortaleciendo en la misma proporción. “Indicadores como la dimensión de su economía con relación a su economía mundial, su participación en los flujos internacionales de comercio e inversión, el posicionamiento de sus empresas trasnacionales y la propia crisis económica generada en su mercado financiero, ente otros, han sido esgrimidos para demostrar que la preeminencia estadunidense en    el terreno económico ha declinado significativamente” (Cobarru- bias, 2010: 81). El proceso de recuperación de algunas economías europeas, especialmente Alemania, Japón y la República Popular China por otro lado, ha contribuido a la creación de un portentoso mercado capitalista con centros comerciales y financieros interco- nectados, con gran incidencia exportadora a la que gradualmente    se articularían otras nuevas economías industriales asiáticas. Es esto a lo que corresponde aquella noción que se refiere a la tendencia que hay en la formación, en este periodo, de un sistema económico y comercial</w:t>
      </w:r>
      <w:r>
        <w:rPr>
          <w:color w:val="231F20"/>
          <w:spacing w:val="-30"/>
          <w:w w:val="110"/>
        </w:rPr>
        <w:t> </w:t>
      </w:r>
      <w:r>
        <w:rPr>
          <w:color w:val="231F20"/>
          <w:w w:val="110"/>
        </w:rPr>
        <w:t>multipolar.</w:t>
      </w:r>
    </w:p>
    <w:p>
      <w:pPr>
        <w:pStyle w:val="BodyText"/>
        <w:spacing w:line="261" w:lineRule="auto"/>
        <w:ind w:left="100" w:right="119" w:firstLine="240"/>
        <w:jc w:val="both"/>
      </w:pPr>
      <w:r>
        <w:rPr>
          <w:color w:val="231F20"/>
          <w:w w:val="110"/>
        </w:rPr>
        <w:t>Esa tendencia hacia un mundo multipolar se ha ido</w:t>
      </w:r>
      <w:r>
        <w:rPr>
          <w:color w:val="231F20"/>
          <w:spacing w:val="-21"/>
          <w:w w:val="110"/>
        </w:rPr>
        <w:t> </w:t>
      </w:r>
      <w:r>
        <w:rPr>
          <w:color w:val="231F20"/>
          <w:w w:val="110"/>
        </w:rPr>
        <w:t>constituyendo en</w:t>
      </w:r>
      <w:r>
        <w:rPr>
          <w:color w:val="231F20"/>
          <w:spacing w:val="-9"/>
          <w:w w:val="110"/>
        </w:rPr>
        <w:t> </w:t>
      </w:r>
      <w:r>
        <w:rPr>
          <w:color w:val="231F20"/>
          <w:w w:val="110"/>
        </w:rPr>
        <w:t>un</w:t>
      </w:r>
      <w:r>
        <w:rPr>
          <w:color w:val="231F20"/>
          <w:spacing w:val="-9"/>
          <w:w w:val="110"/>
        </w:rPr>
        <w:t> </w:t>
      </w:r>
      <w:r>
        <w:rPr>
          <w:color w:val="231F20"/>
          <w:w w:val="110"/>
        </w:rPr>
        <w:t>referente</w:t>
      </w:r>
      <w:r>
        <w:rPr>
          <w:color w:val="231F20"/>
          <w:spacing w:val="-9"/>
          <w:w w:val="110"/>
        </w:rPr>
        <w:t> </w:t>
      </w:r>
      <w:r>
        <w:rPr>
          <w:color w:val="231F20"/>
          <w:w w:val="110"/>
        </w:rPr>
        <w:t>inomitible</w:t>
      </w:r>
      <w:r>
        <w:rPr>
          <w:color w:val="231F20"/>
          <w:spacing w:val="-9"/>
          <w:w w:val="110"/>
        </w:rPr>
        <w:t> </w:t>
      </w:r>
      <w:r>
        <w:rPr>
          <w:color w:val="231F20"/>
          <w:w w:val="110"/>
        </w:rPr>
        <w:t>para</w:t>
      </w:r>
      <w:r>
        <w:rPr>
          <w:color w:val="231F20"/>
          <w:spacing w:val="-9"/>
          <w:w w:val="110"/>
        </w:rPr>
        <w:t> </w:t>
      </w:r>
      <w:r>
        <w:rPr>
          <w:color w:val="231F20"/>
          <w:w w:val="110"/>
        </w:rPr>
        <w:t>analizar</w:t>
      </w:r>
      <w:r>
        <w:rPr>
          <w:color w:val="231F20"/>
          <w:spacing w:val="-9"/>
          <w:w w:val="110"/>
        </w:rPr>
        <w:t> </w:t>
      </w:r>
      <w:r>
        <w:rPr>
          <w:color w:val="231F20"/>
          <w:w w:val="110"/>
        </w:rPr>
        <w:t>el</w:t>
      </w:r>
      <w:r>
        <w:rPr>
          <w:color w:val="231F20"/>
          <w:spacing w:val="-9"/>
          <w:w w:val="110"/>
        </w:rPr>
        <w:t> </w:t>
      </w:r>
      <w:r>
        <w:rPr>
          <w:color w:val="231F20"/>
          <w:w w:val="110"/>
        </w:rPr>
        <w:t>comportamiento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ba- lances</w:t>
      </w:r>
      <w:r>
        <w:rPr>
          <w:color w:val="231F20"/>
          <w:spacing w:val="-11"/>
          <w:w w:val="110"/>
        </w:rPr>
        <w:t> </w:t>
      </w:r>
      <w:r>
        <w:rPr>
          <w:color w:val="231F20"/>
          <w:w w:val="110"/>
        </w:rPr>
        <w:t>geopolíticos.</w:t>
      </w:r>
      <w:r>
        <w:rPr>
          <w:color w:val="231F20"/>
          <w:spacing w:val="-11"/>
          <w:w w:val="110"/>
        </w:rPr>
        <w:t> </w:t>
      </w:r>
      <w:r>
        <w:rPr>
          <w:color w:val="231F20"/>
          <w:w w:val="110"/>
        </w:rPr>
        <w:t>El</w:t>
      </w:r>
      <w:r>
        <w:rPr>
          <w:color w:val="231F20"/>
          <w:spacing w:val="-11"/>
          <w:w w:val="110"/>
        </w:rPr>
        <w:t> </w:t>
      </w:r>
      <w:r>
        <w:rPr>
          <w:color w:val="231F20"/>
          <w:w w:val="110"/>
        </w:rPr>
        <w:t>juego</w:t>
      </w:r>
      <w:r>
        <w:rPr>
          <w:color w:val="231F20"/>
          <w:spacing w:val="-11"/>
          <w:w w:val="110"/>
        </w:rPr>
        <w:t> </w:t>
      </w:r>
      <w:r>
        <w:rPr>
          <w:color w:val="231F20"/>
          <w:w w:val="110"/>
        </w:rPr>
        <w:t>de</w:t>
      </w:r>
      <w:r>
        <w:rPr>
          <w:color w:val="231F20"/>
          <w:spacing w:val="-11"/>
          <w:w w:val="110"/>
        </w:rPr>
        <w:t> </w:t>
      </w:r>
      <w:r>
        <w:rPr>
          <w:color w:val="231F20"/>
          <w:w w:val="110"/>
        </w:rPr>
        <w:t>alianzas</w:t>
      </w:r>
      <w:r>
        <w:rPr>
          <w:color w:val="231F20"/>
          <w:spacing w:val="-11"/>
          <w:w w:val="110"/>
        </w:rPr>
        <w:t> </w:t>
      </w:r>
      <w:r>
        <w:rPr>
          <w:color w:val="231F20"/>
          <w:w w:val="110"/>
        </w:rPr>
        <w:t>internacionales,</w:t>
      </w:r>
      <w:r>
        <w:rPr>
          <w:color w:val="231F20"/>
          <w:spacing w:val="-11"/>
          <w:w w:val="110"/>
        </w:rPr>
        <w:t> </w:t>
      </w:r>
      <w:r>
        <w:rPr>
          <w:color w:val="231F20"/>
          <w:w w:val="110"/>
        </w:rPr>
        <w:t>en</w:t>
      </w:r>
      <w:r>
        <w:rPr>
          <w:color w:val="231F20"/>
          <w:spacing w:val="-11"/>
          <w:w w:val="110"/>
        </w:rPr>
        <w:t> </w:t>
      </w:r>
      <w:r>
        <w:rPr>
          <w:color w:val="231F20"/>
          <w:w w:val="110"/>
        </w:rPr>
        <w:t>esa</w:t>
      </w:r>
      <w:r>
        <w:rPr>
          <w:color w:val="231F20"/>
          <w:spacing w:val="-11"/>
          <w:w w:val="110"/>
        </w:rPr>
        <w:t> </w:t>
      </w:r>
      <w:r>
        <w:rPr>
          <w:color w:val="231F20"/>
          <w:w w:val="110"/>
        </w:rPr>
        <w:t>pers- pectiva,</w:t>
      </w:r>
      <w:r>
        <w:rPr>
          <w:color w:val="231F20"/>
          <w:spacing w:val="-8"/>
          <w:w w:val="110"/>
        </w:rPr>
        <w:t> </w:t>
      </w:r>
      <w:r>
        <w:rPr>
          <w:color w:val="231F20"/>
          <w:w w:val="110"/>
        </w:rPr>
        <w:t>se</w:t>
      </w:r>
      <w:r>
        <w:rPr>
          <w:color w:val="231F20"/>
          <w:spacing w:val="-8"/>
          <w:w w:val="110"/>
        </w:rPr>
        <w:t> </w:t>
      </w:r>
      <w:r>
        <w:rPr>
          <w:color w:val="231F20"/>
          <w:w w:val="110"/>
        </w:rPr>
        <w:t>va</w:t>
      </w:r>
      <w:r>
        <w:rPr>
          <w:color w:val="231F20"/>
          <w:spacing w:val="-8"/>
          <w:w w:val="110"/>
        </w:rPr>
        <w:t> </w:t>
      </w:r>
      <w:r>
        <w:rPr>
          <w:color w:val="231F20"/>
          <w:w w:val="110"/>
        </w:rPr>
        <w:t>convirtiendo</w:t>
      </w:r>
      <w:r>
        <w:rPr>
          <w:color w:val="231F20"/>
          <w:spacing w:val="-8"/>
          <w:w w:val="110"/>
        </w:rPr>
        <w:t> </w:t>
      </w:r>
      <w:r>
        <w:rPr>
          <w:color w:val="231F20"/>
          <w:w w:val="110"/>
        </w:rPr>
        <w:t>en</w:t>
      </w:r>
      <w:r>
        <w:rPr>
          <w:color w:val="231F20"/>
          <w:spacing w:val="-8"/>
          <w:w w:val="110"/>
        </w:rPr>
        <w:t> </w:t>
      </w:r>
      <w:r>
        <w:rPr>
          <w:color w:val="231F20"/>
          <w:w w:val="110"/>
        </w:rPr>
        <w:t>una</w:t>
      </w:r>
      <w:r>
        <w:rPr>
          <w:color w:val="231F20"/>
          <w:spacing w:val="-8"/>
          <w:w w:val="110"/>
        </w:rPr>
        <w:t> </w:t>
      </w:r>
      <w:r>
        <w:rPr>
          <w:color w:val="231F20"/>
          <w:w w:val="110"/>
        </w:rPr>
        <w:t>pieza</w:t>
      </w:r>
      <w:r>
        <w:rPr>
          <w:color w:val="231F20"/>
          <w:spacing w:val="-8"/>
          <w:w w:val="110"/>
        </w:rPr>
        <w:t> </w:t>
      </w:r>
      <w:r>
        <w:rPr>
          <w:color w:val="231F20"/>
          <w:w w:val="110"/>
        </w:rPr>
        <w:t>clave</w:t>
      </w:r>
      <w:r>
        <w:rPr>
          <w:color w:val="231F20"/>
          <w:spacing w:val="-8"/>
          <w:w w:val="110"/>
        </w:rPr>
        <w:t> </w:t>
      </w:r>
      <w:r>
        <w:rPr>
          <w:color w:val="231F20"/>
          <w:w w:val="110"/>
        </w:rPr>
        <w:t>para</w:t>
      </w:r>
      <w:r>
        <w:rPr>
          <w:color w:val="231F20"/>
          <w:spacing w:val="-8"/>
          <w:w w:val="110"/>
        </w:rPr>
        <w:t> </w:t>
      </w:r>
      <w:r>
        <w:rPr>
          <w:color w:val="231F20"/>
          <w:w w:val="110"/>
        </w:rPr>
        <w:t>entender</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ac- tualidad</w:t>
      </w:r>
      <w:r>
        <w:rPr>
          <w:color w:val="231F20"/>
          <w:spacing w:val="-17"/>
          <w:w w:val="110"/>
        </w:rPr>
        <w:t> </w:t>
      </w:r>
      <w:r>
        <w:rPr>
          <w:color w:val="231F20"/>
          <w:w w:val="110"/>
        </w:rPr>
        <w:t>los</w:t>
      </w:r>
      <w:r>
        <w:rPr>
          <w:color w:val="231F20"/>
          <w:spacing w:val="-17"/>
          <w:w w:val="110"/>
        </w:rPr>
        <w:t> </w:t>
      </w:r>
      <w:r>
        <w:rPr>
          <w:color w:val="231F20"/>
          <w:w w:val="110"/>
        </w:rPr>
        <w:t>equilibrios</w:t>
      </w:r>
      <w:r>
        <w:rPr>
          <w:color w:val="231F20"/>
          <w:spacing w:val="-17"/>
          <w:w w:val="110"/>
        </w:rPr>
        <w:t> </w:t>
      </w:r>
      <w:r>
        <w:rPr>
          <w:color w:val="231F20"/>
          <w:w w:val="110"/>
        </w:rPr>
        <w:t>globales</w:t>
      </w:r>
      <w:r>
        <w:rPr>
          <w:color w:val="231F20"/>
          <w:spacing w:val="-17"/>
          <w:w w:val="110"/>
        </w:rPr>
        <w:t> </w:t>
      </w:r>
      <w:r>
        <w:rPr>
          <w:color w:val="231F20"/>
          <w:w w:val="110"/>
        </w:rPr>
        <w:t>del</w:t>
      </w:r>
      <w:r>
        <w:rPr>
          <w:color w:val="231F20"/>
          <w:spacing w:val="-17"/>
          <w:w w:val="110"/>
        </w:rPr>
        <w:t> </w:t>
      </w:r>
      <w:r>
        <w:rPr>
          <w:color w:val="231F20"/>
          <w:w w:val="110"/>
        </w:rPr>
        <w:t>mundo</w:t>
      </w:r>
      <w:r>
        <w:rPr>
          <w:color w:val="231F20"/>
          <w:spacing w:val="-17"/>
          <w:w w:val="110"/>
        </w:rPr>
        <w:t> </w:t>
      </w:r>
      <w:r>
        <w:rPr>
          <w:color w:val="231F20"/>
          <w:w w:val="110"/>
        </w:rPr>
        <w:t>más</w:t>
      </w:r>
      <w:r>
        <w:rPr>
          <w:color w:val="231F20"/>
          <w:spacing w:val="-17"/>
          <w:w w:val="110"/>
        </w:rPr>
        <w:t> </w:t>
      </w:r>
      <w:r>
        <w:rPr>
          <w:color w:val="231F20"/>
          <w:w w:val="110"/>
        </w:rPr>
        <w:t>allá</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referencias ideológicas. En este sentido, la atención suele concentrarse, incluso sobre</w:t>
      </w:r>
      <w:r>
        <w:rPr>
          <w:color w:val="231F20"/>
          <w:spacing w:val="-17"/>
          <w:w w:val="110"/>
        </w:rPr>
        <w:t> </w:t>
      </w:r>
      <w:r>
        <w:rPr>
          <w:color w:val="231F20"/>
          <w:w w:val="110"/>
        </w:rPr>
        <w:t>las</w:t>
      </w:r>
      <w:r>
        <w:rPr>
          <w:color w:val="231F20"/>
          <w:spacing w:val="-17"/>
          <w:w w:val="110"/>
        </w:rPr>
        <w:t> </w:t>
      </w:r>
      <w:r>
        <w:rPr>
          <w:color w:val="231F20"/>
          <w:w w:val="110"/>
        </w:rPr>
        <w:t>hipótesis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declinación</w:t>
      </w:r>
      <w:r>
        <w:rPr>
          <w:color w:val="231F20"/>
          <w:spacing w:val="-17"/>
          <w:w w:val="110"/>
        </w:rPr>
        <w:t> </w:t>
      </w:r>
      <w:r>
        <w:rPr>
          <w:color w:val="231F20"/>
          <w:w w:val="110"/>
        </w:rPr>
        <w:t>relativa</w:t>
      </w:r>
      <w:r>
        <w:rPr>
          <w:color w:val="231F20"/>
          <w:spacing w:val="-17"/>
          <w:w w:val="110"/>
        </w:rPr>
        <w:t> </w:t>
      </w:r>
      <w:r>
        <w:rPr>
          <w:color w:val="231F20"/>
          <w:w w:val="110"/>
        </w:rPr>
        <w:t>de</w:t>
      </w:r>
      <w:r>
        <w:rPr>
          <w:color w:val="231F20"/>
          <w:spacing w:val="-17"/>
          <w:w w:val="110"/>
        </w:rPr>
        <w:t> </w:t>
      </w:r>
      <w:r>
        <w:rPr>
          <w:color w:val="231F20"/>
          <w:w w:val="110"/>
        </w:rPr>
        <w:t>Estados</w:t>
      </w:r>
      <w:r>
        <w:rPr>
          <w:color w:val="231F20"/>
          <w:spacing w:val="-17"/>
          <w:w w:val="110"/>
        </w:rPr>
        <w:t> </w:t>
      </w:r>
      <w:r>
        <w:rPr>
          <w:color w:val="231F20"/>
          <w:w w:val="110"/>
        </w:rPr>
        <w:t>Unidos,</w:t>
      </w:r>
      <w:r>
        <w:rPr>
          <w:color w:val="231F20"/>
          <w:spacing w:val="-17"/>
          <w:w w:val="110"/>
        </w:rPr>
        <w:t> </w:t>
      </w:r>
      <w:r>
        <w:rPr>
          <w:color w:val="231F20"/>
          <w:w w:val="110"/>
        </w:rPr>
        <w:t>en</w:t>
      </w:r>
      <w:r>
        <w:rPr>
          <w:color w:val="231F20"/>
          <w:spacing w:val="-17"/>
          <w:w w:val="110"/>
        </w:rPr>
        <w:t> </w:t>
      </w:r>
      <w:r>
        <w:rPr>
          <w:color w:val="231F20"/>
          <w:w w:val="110"/>
        </w:rPr>
        <w:t>las implicaciones de la rápida expansión de China en las aéreas</w:t>
      </w:r>
      <w:r>
        <w:rPr>
          <w:color w:val="231F20"/>
          <w:spacing w:val="-32"/>
          <w:w w:val="110"/>
        </w:rPr>
        <w:t> </w:t>
      </w:r>
      <w:r>
        <w:rPr>
          <w:color w:val="231F20"/>
          <w:w w:val="110"/>
        </w:rPr>
        <w:t>política, económica,</w:t>
      </w:r>
      <w:r>
        <w:rPr>
          <w:color w:val="231F20"/>
          <w:spacing w:val="-22"/>
          <w:w w:val="110"/>
        </w:rPr>
        <w:t> </w:t>
      </w:r>
      <w:r>
        <w:rPr>
          <w:color w:val="231F20"/>
          <w:w w:val="110"/>
        </w:rPr>
        <w:t>tecnológica,</w:t>
      </w:r>
      <w:r>
        <w:rPr>
          <w:color w:val="231F20"/>
          <w:spacing w:val="-22"/>
          <w:w w:val="110"/>
        </w:rPr>
        <w:t> </w:t>
      </w:r>
      <w:r>
        <w:rPr>
          <w:color w:val="231F20"/>
          <w:w w:val="110"/>
        </w:rPr>
        <w:t>financiera,</w:t>
      </w:r>
      <w:r>
        <w:rPr>
          <w:color w:val="231F20"/>
          <w:spacing w:val="-22"/>
          <w:w w:val="110"/>
        </w:rPr>
        <w:t> </w:t>
      </w:r>
      <w:r>
        <w:rPr>
          <w:color w:val="231F20"/>
          <w:w w:val="110"/>
        </w:rPr>
        <w:t>ambiental,</w:t>
      </w:r>
      <w:r>
        <w:rPr>
          <w:color w:val="231F20"/>
          <w:spacing w:val="-22"/>
          <w:w w:val="110"/>
        </w:rPr>
        <w:t> </w:t>
      </w:r>
      <w:r>
        <w:rPr>
          <w:color w:val="231F20"/>
          <w:w w:val="110"/>
        </w:rPr>
        <w:t>cultural</w:t>
      </w:r>
      <w:r>
        <w:rPr>
          <w:color w:val="231F20"/>
          <w:spacing w:val="-22"/>
          <w:w w:val="110"/>
        </w:rPr>
        <w:t> </w:t>
      </w:r>
      <w:r>
        <w:rPr>
          <w:color w:val="231F20"/>
          <w:w w:val="110"/>
        </w:rPr>
        <w:t>y</w:t>
      </w:r>
      <w:r>
        <w:rPr>
          <w:color w:val="231F20"/>
          <w:spacing w:val="-22"/>
          <w:w w:val="110"/>
        </w:rPr>
        <w:t> </w:t>
      </w:r>
      <w:r>
        <w:rPr>
          <w:color w:val="231F20"/>
          <w:w w:val="110"/>
        </w:rPr>
        <w:t>militar;</w:t>
      </w:r>
      <w:r>
        <w:rPr>
          <w:color w:val="231F20"/>
          <w:spacing w:val="-22"/>
          <w:w w:val="110"/>
        </w:rPr>
        <w:t> </w:t>
      </w:r>
      <w:r>
        <w:rPr>
          <w:color w:val="231F20"/>
          <w:w w:val="110"/>
        </w:rPr>
        <w:t>en</w:t>
      </w:r>
      <w:r>
        <w:rPr>
          <w:color w:val="231F20"/>
          <w:spacing w:val="-22"/>
          <w:w w:val="110"/>
        </w:rPr>
        <w:t> </w:t>
      </w:r>
      <w:r>
        <w:rPr>
          <w:color w:val="231F20"/>
          <w:w w:val="110"/>
        </w:rPr>
        <w:t>el</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proceso</w:t>
      </w:r>
      <w:r>
        <w:rPr>
          <w:color w:val="231F20"/>
          <w:spacing w:val="-10"/>
          <w:w w:val="110"/>
        </w:rPr>
        <w:t> </w:t>
      </w:r>
      <w:r>
        <w:rPr>
          <w:color w:val="231F20"/>
          <w:w w:val="110"/>
        </w:rPr>
        <w:t>de</w:t>
      </w:r>
      <w:r>
        <w:rPr>
          <w:color w:val="231F20"/>
          <w:spacing w:val="-10"/>
          <w:w w:val="110"/>
        </w:rPr>
        <w:t> </w:t>
      </w:r>
      <w:r>
        <w:rPr>
          <w:color w:val="231F20"/>
          <w:w w:val="110"/>
        </w:rPr>
        <w:t>ampliación</w:t>
      </w:r>
      <w:r>
        <w:rPr>
          <w:color w:val="231F20"/>
          <w:spacing w:val="-10"/>
          <w:w w:val="110"/>
        </w:rPr>
        <w:t> </w:t>
      </w:r>
      <w:r>
        <w:rPr>
          <w:color w:val="231F20"/>
          <w:w w:val="110"/>
        </w:rPr>
        <w:t>y</w:t>
      </w:r>
      <w:r>
        <w:rPr>
          <w:color w:val="231F20"/>
          <w:spacing w:val="-10"/>
          <w:w w:val="110"/>
        </w:rPr>
        <w:t> </w:t>
      </w:r>
      <w:r>
        <w:rPr>
          <w:color w:val="231F20"/>
          <w:w w:val="110"/>
        </w:rPr>
        <w:t>profundización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Unión</w:t>
      </w:r>
      <w:r>
        <w:rPr>
          <w:color w:val="231F20"/>
          <w:spacing w:val="-10"/>
          <w:w w:val="110"/>
        </w:rPr>
        <w:t> </w:t>
      </w:r>
      <w:r>
        <w:rPr>
          <w:color w:val="231F20"/>
          <w:w w:val="110"/>
        </w:rPr>
        <w:t>Europea,</w:t>
      </w:r>
      <w:r>
        <w:rPr>
          <w:color w:val="231F20"/>
          <w:spacing w:val="-10"/>
          <w:w w:val="110"/>
        </w:rPr>
        <w:t> </w:t>
      </w:r>
      <w:r>
        <w:rPr>
          <w:color w:val="231F20"/>
          <w:w w:val="110"/>
        </w:rPr>
        <w:t>que</w:t>
      </w:r>
      <w:r>
        <w:rPr>
          <w:color w:val="231F20"/>
          <w:spacing w:val="-10"/>
          <w:w w:val="110"/>
        </w:rPr>
        <w:t> </w:t>
      </w:r>
      <w:r>
        <w:rPr>
          <w:color w:val="231F20"/>
          <w:w w:val="110"/>
        </w:rPr>
        <w:t>ha conllevado dificultades aún en trance de resolución; en la transición económica</w:t>
      </w:r>
      <w:r>
        <w:rPr>
          <w:color w:val="231F20"/>
          <w:spacing w:val="-15"/>
          <w:w w:val="110"/>
        </w:rPr>
        <w:t> </w:t>
      </w:r>
      <w:r>
        <w:rPr>
          <w:color w:val="231F20"/>
          <w:w w:val="110"/>
        </w:rPr>
        <w:t>y</w:t>
      </w:r>
      <w:r>
        <w:rPr>
          <w:color w:val="231F20"/>
          <w:spacing w:val="-15"/>
          <w:w w:val="110"/>
        </w:rPr>
        <w:t> </w:t>
      </w:r>
      <w:r>
        <w:rPr>
          <w:color w:val="231F20"/>
          <w:w w:val="110"/>
        </w:rPr>
        <w:t>política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Federación</w:t>
      </w:r>
      <w:r>
        <w:rPr>
          <w:color w:val="231F20"/>
          <w:spacing w:val="-15"/>
          <w:w w:val="110"/>
        </w:rPr>
        <w:t> </w:t>
      </w:r>
      <w:r>
        <w:rPr>
          <w:color w:val="231F20"/>
          <w:w w:val="110"/>
        </w:rPr>
        <w:t>Rusa</w:t>
      </w:r>
      <w:r>
        <w:rPr>
          <w:color w:val="231F20"/>
          <w:spacing w:val="-15"/>
          <w:w w:val="110"/>
        </w:rPr>
        <w:t> </w:t>
      </w:r>
      <w:r>
        <w:rPr>
          <w:color w:val="231F20"/>
          <w:w w:val="110"/>
        </w:rPr>
        <w:t>y</w:t>
      </w:r>
      <w:r>
        <w:rPr>
          <w:color w:val="231F20"/>
          <w:spacing w:val="-15"/>
          <w:w w:val="110"/>
        </w:rPr>
        <w:t> </w:t>
      </w:r>
      <w:r>
        <w:rPr>
          <w:color w:val="231F20"/>
          <w:w w:val="110"/>
        </w:rPr>
        <w:t>su</w:t>
      </w:r>
      <w:r>
        <w:rPr>
          <w:color w:val="231F20"/>
          <w:spacing w:val="-15"/>
          <w:w w:val="110"/>
        </w:rPr>
        <w:t> </w:t>
      </w:r>
      <w:r>
        <w:rPr>
          <w:color w:val="231F20"/>
          <w:w w:val="110"/>
        </w:rPr>
        <w:t>empeño</w:t>
      </w:r>
      <w:r>
        <w:rPr>
          <w:color w:val="231F20"/>
          <w:spacing w:val="-15"/>
          <w:w w:val="110"/>
        </w:rPr>
        <w:t> </w:t>
      </w:r>
      <w:r>
        <w:rPr>
          <w:color w:val="231F20"/>
          <w:w w:val="110"/>
        </w:rPr>
        <w:t>en</w:t>
      </w:r>
      <w:r>
        <w:rPr>
          <w:color w:val="231F20"/>
          <w:spacing w:val="-15"/>
          <w:w w:val="110"/>
        </w:rPr>
        <w:t> </w:t>
      </w:r>
      <w:r>
        <w:rPr>
          <w:color w:val="231F20"/>
          <w:w w:val="110"/>
        </w:rPr>
        <w:t>recuperar el estatus de potencia global; en el sorpresivo avance de India como proveedor mundial de servicios de alta tecnología, motor de un cre- cimiento considerable; la constitución de la Unión de Naciones</w:t>
      </w:r>
      <w:r>
        <w:rPr>
          <w:color w:val="231F20"/>
          <w:spacing w:val="-34"/>
          <w:w w:val="110"/>
        </w:rPr>
        <w:t> </w:t>
      </w:r>
      <w:r>
        <w:rPr>
          <w:color w:val="231F20"/>
          <w:w w:val="110"/>
        </w:rPr>
        <w:t>Sud- americanas, unasur, alrededor del ascenso económico y diplomático de</w:t>
      </w:r>
      <w:r>
        <w:rPr>
          <w:color w:val="231F20"/>
          <w:spacing w:val="-10"/>
          <w:w w:val="110"/>
        </w:rPr>
        <w:t> </w:t>
      </w:r>
      <w:r>
        <w:rPr>
          <w:color w:val="231F20"/>
          <w:w w:val="110"/>
        </w:rPr>
        <w:t>Brasil</w:t>
      </w:r>
      <w:r>
        <w:rPr>
          <w:color w:val="231F20"/>
          <w:spacing w:val="-11"/>
          <w:w w:val="110"/>
        </w:rPr>
        <w:t> </w:t>
      </w:r>
      <w:r>
        <w:rPr>
          <w:color w:val="231F20"/>
          <w:w w:val="110"/>
        </w:rPr>
        <w:t>como</w:t>
      </w:r>
      <w:r>
        <w:rPr>
          <w:color w:val="231F20"/>
          <w:spacing w:val="-10"/>
          <w:w w:val="110"/>
        </w:rPr>
        <w:t> </w:t>
      </w:r>
      <w:r>
        <w:rPr>
          <w:color w:val="231F20"/>
          <w:w w:val="110"/>
        </w:rPr>
        <w:t>actor</w:t>
      </w:r>
      <w:r>
        <w:rPr>
          <w:color w:val="231F20"/>
          <w:spacing w:val="-11"/>
          <w:w w:val="110"/>
        </w:rPr>
        <w:t> </w:t>
      </w:r>
      <w:r>
        <w:rPr>
          <w:color w:val="231F20"/>
          <w:w w:val="110"/>
        </w:rPr>
        <w:t>global</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1"/>
          <w:w w:val="110"/>
        </w:rPr>
        <w:t> </w:t>
      </w:r>
      <w:r>
        <w:rPr>
          <w:color w:val="231F20"/>
          <w:w w:val="110"/>
        </w:rPr>
        <w:t>Alternativa</w:t>
      </w:r>
      <w:r>
        <w:rPr>
          <w:color w:val="231F20"/>
          <w:spacing w:val="-10"/>
          <w:w w:val="110"/>
        </w:rPr>
        <w:t> </w:t>
      </w:r>
      <w:r>
        <w:rPr>
          <w:color w:val="231F20"/>
          <w:w w:val="110"/>
        </w:rPr>
        <w:t>Bolivariana,</w:t>
      </w:r>
      <w:r>
        <w:rPr>
          <w:color w:val="231F20"/>
          <w:spacing w:val="-11"/>
          <w:w w:val="110"/>
        </w:rPr>
        <w:t> </w:t>
      </w:r>
      <w:r>
        <w:rPr>
          <w:color w:val="231F20"/>
          <w:w w:val="110"/>
        </w:rPr>
        <w:t>alba,</w:t>
      </w:r>
      <w:r>
        <w:rPr>
          <w:color w:val="231F20"/>
          <w:spacing w:val="-10"/>
          <w:w w:val="110"/>
        </w:rPr>
        <w:t> </w:t>
      </w:r>
      <w:r>
        <w:rPr>
          <w:color w:val="231F20"/>
          <w:w w:val="110"/>
        </w:rPr>
        <w:t>con notoria presencia de </w:t>
      </w:r>
      <w:r>
        <w:rPr>
          <w:color w:val="231F20"/>
          <w:spacing w:val="-3"/>
          <w:w w:val="110"/>
        </w:rPr>
        <w:t>Venezuela </w:t>
      </w:r>
      <w:r>
        <w:rPr>
          <w:color w:val="231F20"/>
          <w:w w:val="110"/>
        </w:rPr>
        <w:t>y</w:t>
      </w:r>
      <w:r>
        <w:rPr>
          <w:color w:val="231F20"/>
          <w:spacing w:val="-5"/>
          <w:w w:val="110"/>
        </w:rPr>
        <w:t> </w:t>
      </w:r>
      <w:r>
        <w:rPr>
          <w:color w:val="231F20"/>
          <w:w w:val="110"/>
        </w:rPr>
        <w:t>Cuba.</w:t>
      </w:r>
    </w:p>
    <w:p>
      <w:pPr>
        <w:pStyle w:val="BodyText"/>
        <w:spacing w:line="261" w:lineRule="auto"/>
        <w:ind w:left="100" w:right="114" w:firstLine="240"/>
        <w:jc w:val="both"/>
      </w:pPr>
      <w:r>
        <w:rPr>
          <w:color w:val="231F20"/>
          <w:w w:val="110"/>
        </w:rPr>
        <w:t>Cada segmento de esta globalidad, en efecto, ha ido mostrando distinta consistencia y capacidad en los diferentes ámbitos. Sin em- bargo, la expansión de las transnacionales en sus interconexiones, fusiones y mecanismos de adquisición, el debilitamiento del protec- cionismo y la liberación de las trabas para el movimiento de capital y de todas las mercancías rentables fueron articulando mercados    en complejos procesos de integración, impulsando a su turno una interdependencia y eslabonamientos productivos globales. Un lado vulnerable de este formidable proceso global se ha expresando en   el sistema financiero mundial bajo la envoltura de la crisis. La crisis constituye</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lectura</w:t>
      </w:r>
      <w:r>
        <w:rPr>
          <w:color w:val="231F20"/>
          <w:spacing w:val="-8"/>
          <w:w w:val="110"/>
        </w:rPr>
        <w:t> </w:t>
      </w:r>
      <w:r>
        <w:rPr>
          <w:color w:val="231F20"/>
          <w:w w:val="110"/>
        </w:rPr>
        <w:t>hegemónica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globalización</w:t>
      </w:r>
      <w:r>
        <w:rPr>
          <w:color w:val="231F20"/>
          <w:spacing w:val="-8"/>
          <w:w w:val="110"/>
        </w:rPr>
        <w:t> </w:t>
      </w:r>
      <w:r>
        <w:rPr>
          <w:color w:val="231F20"/>
          <w:w w:val="110"/>
        </w:rPr>
        <w:t>una</w:t>
      </w:r>
      <w:r>
        <w:rPr>
          <w:color w:val="231F20"/>
          <w:spacing w:val="-8"/>
          <w:w w:val="110"/>
        </w:rPr>
        <w:t> </w:t>
      </w:r>
      <w:r>
        <w:rPr>
          <w:color w:val="231F20"/>
          <w:w w:val="110"/>
        </w:rPr>
        <w:t>amenaza a la seguridad</w:t>
      </w:r>
      <w:r>
        <w:rPr>
          <w:color w:val="231F20"/>
          <w:spacing w:val="38"/>
          <w:w w:val="110"/>
        </w:rPr>
        <w:t> </w:t>
      </w:r>
      <w:r>
        <w:rPr>
          <w:color w:val="231F20"/>
          <w:w w:val="110"/>
        </w:rPr>
        <w:t>internacional.</w:t>
      </w:r>
    </w:p>
    <w:p>
      <w:pPr>
        <w:pStyle w:val="BodyText"/>
        <w:spacing w:line="261" w:lineRule="auto"/>
        <w:ind w:left="100" w:right="117" w:firstLine="240"/>
        <w:jc w:val="both"/>
      </w:pPr>
      <w:r>
        <w:rPr>
          <w:color w:val="231F20"/>
          <w:w w:val="110"/>
        </w:rPr>
        <w:t>La</w:t>
      </w:r>
      <w:r>
        <w:rPr>
          <w:color w:val="231F20"/>
          <w:spacing w:val="-19"/>
          <w:w w:val="110"/>
        </w:rPr>
        <w:t> </w:t>
      </w:r>
      <w:r>
        <w:rPr>
          <w:color w:val="231F20"/>
          <w:w w:val="110"/>
        </w:rPr>
        <w:t>tesis</w:t>
      </w:r>
      <w:r>
        <w:rPr>
          <w:color w:val="231F20"/>
          <w:spacing w:val="-19"/>
          <w:w w:val="110"/>
        </w:rPr>
        <w:t> </w:t>
      </w:r>
      <w:r>
        <w:rPr>
          <w:color w:val="231F20"/>
          <w:w w:val="110"/>
        </w:rPr>
        <w:t>del</w:t>
      </w:r>
      <w:r>
        <w:rPr>
          <w:color w:val="231F20"/>
          <w:spacing w:val="-19"/>
          <w:w w:val="110"/>
        </w:rPr>
        <w:t> </w:t>
      </w:r>
      <w:r>
        <w:rPr>
          <w:color w:val="231F20"/>
          <w:w w:val="110"/>
        </w:rPr>
        <w:t>multipolarismo</w:t>
      </w:r>
      <w:r>
        <w:rPr>
          <w:color w:val="231F20"/>
          <w:spacing w:val="-19"/>
          <w:w w:val="110"/>
        </w:rPr>
        <w:t> </w:t>
      </w:r>
      <w:r>
        <w:rPr>
          <w:color w:val="231F20"/>
          <w:w w:val="110"/>
        </w:rPr>
        <w:t>económico</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hipótesis</w:t>
      </w:r>
      <w:r>
        <w:rPr>
          <w:color w:val="231F20"/>
          <w:spacing w:val="-19"/>
          <w:w w:val="110"/>
        </w:rPr>
        <w:t> </w:t>
      </w:r>
      <w:r>
        <w:rPr>
          <w:color w:val="231F20"/>
          <w:w w:val="110"/>
        </w:rPr>
        <w:t>sobre</w:t>
      </w:r>
      <w:r>
        <w:rPr>
          <w:color w:val="231F20"/>
          <w:spacing w:val="-19"/>
          <w:w w:val="110"/>
        </w:rPr>
        <w:t> </w:t>
      </w:r>
      <w:r>
        <w:rPr>
          <w:color w:val="231F20"/>
          <w:w w:val="110"/>
        </w:rPr>
        <w:t>el</w:t>
      </w:r>
      <w:r>
        <w:rPr>
          <w:color w:val="231F20"/>
          <w:spacing w:val="-19"/>
          <w:w w:val="110"/>
        </w:rPr>
        <w:t> </w:t>
      </w:r>
      <w:r>
        <w:rPr>
          <w:color w:val="231F20"/>
          <w:w w:val="110"/>
        </w:rPr>
        <w:t>decli- ve de la hegemonía estadunidense deben manejarse con prudencia porque se trata de un proceso. Puede ser cierto que la economía estadunidense, aunque siga creciendo, ya no tenga el peso que logró mantener a la cabeza del sistema capitalista global. Sin embargo, el capitalismo como sistema no tiene globalmente ningún contrapeso alternativo. Es allí donde hay que valorar la importancia específica de la supremacía militar y de la contribución que a su vez aporta al sistema como totalidad el llamado complejo</w:t>
      </w:r>
      <w:r>
        <w:rPr>
          <w:color w:val="231F20"/>
          <w:spacing w:val="-28"/>
          <w:w w:val="110"/>
        </w:rPr>
        <w:t> </w:t>
      </w:r>
      <w:r>
        <w:rPr>
          <w:color w:val="231F20"/>
          <w:w w:val="110"/>
        </w:rPr>
        <w:t>industrial-militar.</w:t>
      </w:r>
    </w:p>
    <w:p>
      <w:pPr>
        <w:pStyle w:val="BodyText"/>
        <w:spacing w:line="261" w:lineRule="auto"/>
        <w:ind w:left="100" w:right="115" w:firstLine="240"/>
        <w:jc w:val="both"/>
      </w:pPr>
      <w:r>
        <w:rPr>
          <w:color w:val="231F20"/>
          <w:w w:val="110"/>
        </w:rPr>
        <w:t>En los periodos de crisis, como el actual, ningún criterio extra- sistémico le impone la agenda. Las propuestas para encarar la crisis son enteramente coherentes con las necesidades de la reproducción del</w:t>
      </w:r>
      <w:r>
        <w:rPr>
          <w:color w:val="231F20"/>
          <w:spacing w:val="-12"/>
          <w:w w:val="110"/>
        </w:rPr>
        <w:t> </w:t>
      </w:r>
      <w:r>
        <w:rPr>
          <w:color w:val="231F20"/>
          <w:w w:val="110"/>
        </w:rPr>
        <w:t>sistema</w:t>
      </w:r>
      <w:r>
        <w:rPr>
          <w:color w:val="231F20"/>
          <w:spacing w:val="-12"/>
          <w:w w:val="110"/>
        </w:rPr>
        <w:t> </w:t>
      </w:r>
      <w:r>
        <w:rPr>
          <w:color w:val="231F20"/>
          <w:w w:val="110"/>
        </w:rPr>
        <w:t>capitalista.</w:t>
      </w:r>
      <w:r>
        <w:rPr>
          <w:color w:val="231F20"/>
          <w:spacing w:val="-12"/>
          <w:w w:val="110"/>
        </w:rPr>
        <w:t> </w:t>
      </w:r>
      <w:r>
        <w:rPr>
          <w:color w:val="231F20"/>
          <w:w w:val="110"/>
        </w:rPr>
        <w:t>Esto</w:t>
      </w:r>
      <w:r>
        <w:rPr>
          <w:color w:val="231F20"/>
          <w:spacing w:val="-12"/>
          <w:w w:val="110"/>
        </w:rPr>
        <w:t> </w:t>
      </w:r>
      <w:r>
        <w:rPr>
          <w:color w:val="231F20"/>
          <w:w w:val="110"/>
        </w:rPr>
        <w:t>no</w:t>
      </w:r>
      <w:r>
        <w:rPr>
          <w:color w:val="231F20"/>
          <w:spacing w:val="-12"/>
          <w:w w:val="110"/>
        </w:rPr>
        <w:t> </w:t>
      </w:r>
      <w:r>
        <w:rPr>
          <w:color w:val="231F20"/>
          <w:w w:val="110"/>
        </w:rPr>
        <w:t>implica</w:t>
      </w:r>
      <w:r>
        <w:rPr>
          <w:color w:val="231F20"/>
          <w:spacing w:val="-12"/>
          <w:w w:val="110"/>
        </w:rPr>
        <w:t> </w:t>
      </w:r>
      <w:r>
        <w:rPr>
          <w:color w:val="231F20"/>
          <w:w w:val="110"/>
        </w:rPr>
        <w:t>desconocer</w:t>
      </w:r>
      <w:r>
        <w:rPr>
          <w:color w:val="231F20"/>
          <w:spacing w:val="-12"/>
          <w:w w:val="110"/>
        </w:rPr>
        <w:t> </w:t>
      </w:r>
      <w:r>
        <w:rPr>
          <w:color w:val="231F20"/>
          <w:w w:val="110"/>
        </w:rPr>
        <w:t>la</w:t>
      </w:r>
      <w:r>
        <w:rPr>
          <w:color w:val="231F20"/>
          <w:spacing w:val="-12"/>
          <w:w w:val="110"/>
        </w:rPr>
        <w:t> </w:t>
      </w:r>
      <w:r>
        <w:rPr>
          <w:color w:val="231F20"/>
          <w:w w:val="110"/>
        </w:rPr>
        <w:t>importancia</w:t>
      </w:r>
      <w:r>
        <w:rPr>
          <w:color w:val="231F20"/>
          <w:spacing w:val="-12"/>
          <w:w w:val="110"/>
        </w:rPr>
        <w:t> </w:t>
      </w:r>
      <w:r>
        <w:rPr>
          <w:color w:val="231F20"/>
          <w:spacing w:val="-2"/>
          <w:w w:val="110"/>
        </w:rPr>
        <w:t>del </w:t>
      </w:r>
      <w:r>
        <w:rPr>
          <w:color w:val="231F20"/>
          <w:w w:val="110"/>
        </w:rPr>
        <w:t>debate, que sigue su curso, sobre la solidez de la hegemonía estadu- nidense</w:t>
      </w:r>
      <w:r>
        <w:rPr>
          <w:color w:val="231F20"/>
          <w:spacing w:val="-5"/>
          <w:w w:val="110"/>
        </w:rPr>
        <w:t> </w:t>
      </w:r>
      <w:r>
        <w:rPr>
          <w:color w:val="231F20"/>
          <w:w w:val="110"/>
        </w:rPr>
        <w:t>tras</w:t>
      </w:r>
      <w:r>
        <w:rPr>
          <w:color w:val="231F20"/>
          <w:spacing w:val="-5"/>
          <w:w w:val="110"/>
        </w:rPr>
        <w:t> </w:t>
      </w:r>
      <w:r>
        <w:rPr>
          <w:color w:val="231F20"/>
          <w:w w:val="110"/>
        </w:rPr>
        <w:t>su</w:t>
      </w:r>
      <w:r>
        <w:rPr>
          <w:color w:val="231F20"/>
          <w:spacing w:val="-5"/>
          <w:w w:val="110"/>
        </w:rPr>
        <w:t> </w:t>
      </w:r>
      <w:r>
        <w:rPr>
          <w:color w:val="231F20"/>
          <w:w w:val="110"/>
        </w:rPr>
        <w:t>reacomodo</w:t>
      </w:r>
      <w:r>
        <w:rPr>
          <w:color w:val="231F20"/>
          <w:spacing w:val="-5"/>
          <w:w w:val="110"/>
        </w:rPr>
        <w:t> </w:t>
      </w:r>
      <w:r>
        <w:rPr>
          <w:color w:val="231F20"/>
          <w:w w:val="110"/>
        </w:rPr>
        <w:t>conceptual</w:t>
      </w:r>
      <w:r>
        <w:rPr>
          <w:color w:val="231F20"/>
          <w:spacing w:val="-5"/>
          <w:w w:val="110"/>
        </w:rPr>
        <w:t> </w:t>
      </w:r>
      <w:r>
        <w:rPr>
          <w:color w:val="231F20"/>
          <w:w w:val="110"/>
        </w:rPr>
        <w:t>y</w:t>
      </w:r>
      <w:r>
        <w:rPr>
          <w:color w:val="231F20"/>
          <w:spacing w:val="-5"/>
          <w:w w:val="110"/>
        </w:rPr>
        <w:t> </w:t>
      </w:r>
      <w:r>
        <w:rPr>
          <w:color w:val="231F20"/>
          <w:w w:val="110"/>
        </w:rPr>
        <w:t>político,</w:t>
      </w:r>
      <w:r>
        <w:rPr>
          <w:color w:val="231F20"/>
          <w:spacing w:val="-5"/>
          <w:w w:val="110"/>
        </w:rPr>
        <w:t> </w:t>
      </w:r>
      <w:r>
        <w:rPr>
          <w:color w:val="231F20"/>
          <w:w w:val="110"/>
        </w:rPr>
        <w:t>tanto</w:t>
      </w:r>
      <w:r>
        <w:rPr>
          <w:color w:val="231F20"/>
          <w:spacing w:val="-5"/>
          <w:w w:val="110"/>
        </w:rPr>
        <w:t> </w:t>
      </w:r>
      <w:r>
        <w:rPr>
          <w:color w:val="231F20"/>
          <w:w w:val="110"/>
        </w:rPr>
        <w:t>para</w:t>
      </w:r>
      <w:r>
        <w:rPr>
          <w:color w:val="231F20"/>
          <w:spacing w:val="-5"/>
          <w:w w:val="110"/>
        </w:rPr>
        <w:t> </w:t>
      </w:r>
      <w:r>
        <w:rPr>
          <w:color w:val="231F20"/>
          <w:w w:val="110"/>
        </w:rPr>
        <w:t>su</w:t>
      </w:r>
      <w:r>
        <w:rPr>
          <w:color w:val="231F20"/>
          <w:spacing w:val="-5"/>
          <w:w w:val="110"/>
        </w:rPr>
        <w:t> </w:t>
      </w:r>
      <w:r>
        <w:rPr>
          <w:color w:val="231F20"/>
          <w:w w:val="110"/>
        </w:rPr>
        <w:t>esfera interna como para su política exterior. El arco del debate va desde quienes argumentan la continuidad de su hegemonía en proceso    de</w:t>
      </w:r>
      <w:r>
        <w:rPr>
          <w:color w:val="231F20"/>
          <w:spacing w:val="20"/>
          <w:w w:val="110"/>
        </w:rPr>
        <w:t> </w:t>
      </w:r>
      <w:r>
        <w:rPr>
          <w:color w:val="231F20"/>
          <w:w w:val="110"/>
        </w:rPr>
        <w:t>rearticulación</w:t>
      </w:r>
      <w:r>
        <w:rPr>
          <w:color w:val="231F20"/>
          <w:spacing w:val="20"/>
          <w:w w:val="110"/>
        </w:rPr>
        <w:t> </w:t>
      </w:r>
      <w:r>
        <w:rPr>
          <w:color w:val="231F20"/>
          <w:w w:val="110"/>
        </w:rPr>
        <w:t>hasta</w:t>
      </w:r>
      <w:r>
        <w:rPr>
          <w:color w:val="231F20"/>
          <w:spacing w:val="20"/>
          <w:w w:val="110"/>
        </w:rPr>
        <w:t> </w:t>
      </w:r>
      <w:r>
        <w:rPr>
          <w:color w:val="231F20"/>
          <w:w w:val="110"/>
        </w:rPr>
        <w:t>posturas</w:t>
      </w:r>
      <w:r>
        <w:rPr>
          <w:color w:val="231F20"/>
          <w:spacing w:val="20"/>
          <w:w w:val="110"/>
        </w:rPr>
        <w:t> </w:t>
      </w:r>
      <w:r>
        <w:rPr>
          <w:color w:val="231F20"/>
          <w:w w:val="110"/>
        </w:rPr>
        <w:t>que,</w:t>
      </w:r>
      <w:r>
        <w:rPr>
          <w:color w:val="231F20"/>
          <w:spacing w:val="20"/>
          <w:w w:val="110"/>
        </w:rPr>
        <w:t> </w:t>
      </w:r>
      <w:r>
        <w:rPr>
          <w:color w:val="231F20"/>
          <w:w w:val="110"/>
        </w:rPr>
        <w:t>más</w:t>
      </w:r>
      <w:r>
        <w:rPr>
          <w:color w:val="231F20"/>
          <w:spacing w:val="20"/>
          <w:w w:val="110"/>
        </w:rPr>
        <w:t> </w:t>
      </w:r>
      <w:r>
        <w:rPr>
          <w:color w:val="231F20"/>
          <w:w w:val="110"/>
        </w:rPr>
        <w:t>allá</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evidente</w:t>
      </w:r>
      <w:r>
        <w:rPr>
          <w:color w:val="231F20"/>
          <w:spacing w:val="20"/>
          <w:w w:val="110"/>
        </w:rPr>
        <w:t> </w:t>
      </w:r>
      <w:r>
        <w:rPr>
          <w:color w:val="231F20"/>
          <w:w w:val="110"/>
        </w:rPr>
        <w:t>supe-</w:t>
      </w:r>
    </w:p>
    <w:p>
      <w:pPr>
        <w:spacing w:after="0" w:line="261" w:lineRule="auto"/>
        <w:jc w:val="both"/>
        <w:sectPr>
          <w:pgSz w:w="7640" w:h="11900"/>
          <w:pgMar w:header="672" w:footer="0" w:top="860" w:bottom="280" w:left="660" w:right="760"/>
        </w:sectPr>
      </w:pPr>
    </w:p>
    <w:p>
      <w:pPr>
        <w:pStyle w:val="BodyText"/>
        <w:spacing w:line="261" w:lineRule="auto" w:before="167"/>
        <w:ind w:left="100" w:right="117"/>
        <w:jc w:val="both"/>
      </w:pPr>
      <w:r>
        <w:rPr>
          <w:color w:val="231F20"/>
          <w:w w:val="110"/>
        </w:rPr>
        <w:t>rioridad </w:t>
      </w:r>
      <w:r>
        <w:rPr>
          <w:color w:val="231F20"/>
          <w:spacing w:val="-3"/>
          <w:w w:val="110"/>
        </w:rPr>
        <w:t>militar, </w:t>
      </w:r>
      <w:r>
        <w:rPr>
          <w:color w:val="231F20"/>
          <w:w w:val="110"/>
        </w:rPr>
        <w:t>plantean la decadencia del poder estadunidense.</w:t>
      </w:r>
      <w:r>
        <w:rPr>
          <w:color w:val="231F20"/>
          <w:w w:val="110"/>
          <w:position w:val="6"/>
          <w:sz w:val="13"/>
        </w:rPr>
        <w:t>2 </w:t>
      </w:r>
      <w:r>
        <w:rPr>
          <w:color w:val="231F20"/>
          <w:w w:val="110"/>
        </w:rPr>
        <w:t>Por nuestra parte y desde una lectura latinoamericana tendremos que subrayar la importancia de preguntarnos sobre la solidez de los referentes sobre los que descansa la capacidad hegemónica estadu- nidense, incluyendo su poderío mediático, la eficacia de sus ajustes y el peso de las tendencias contrahegemónicas. Como sea, lo que difícilmente resulta refutable es que la política estadunidense puede mantener, más allá de la competencia global y las diferencias de</w:t>
      </w:r>
      <w:r>
        <w:rPr>
          <w:color w:val="231F20"/>
          <w:spacing w:val="-12"/>
          <w:w w:val="110"/>
        </w:rPr>
        <w:t> </w:t>
      </w:r>
      <w:r>
        <w:rPr>
          <w:color w:val="231F20"/>
          <w:w w:val="110"/>
        </w:rPr>
        <w:t>cri- terios entre los países del capitalismo desarrollado, la interlocución y su liderazgo</w:t>
      </w:r>
      <w:r>
        <w:rPr>
          <w:color w:val="231F20"/>
          <w:spacing w:val="-34"/>
          <w:w w:val="110"/>
        </w:rPr>
        <w:t> </w:t>
      </w:r>
      <w:r>
        <w:rPr>
          <w:color w:val="231F20"/>
          <w:w w:val="110"/>
        </w:rPr>
        <w:t>estratégico.</w:t>
      </w:r>
    </w:p>
    <w:p>
      <w:pPr>
        <w:pStyle w:val="BodyText"/>
      </w:pPr>
    </w:p>
    <w:p>
      <w:pPr>
        <w:pStyle w:val="BodyText"/>
      </w:pPr>
    </w:p>
    <w:p>
      <w:pPr>
        <w:pStyle w:val="BodyText"/>
        <w:spacing w:before="2"/>
        <w:rPr>
          <w:sz w:val="25"/>
        </w:rPr>
      </w:pPr>
    </w:p>
    <w:p>
      <w:pPr>
        <w:pStyle w:val="BodyText"/>
        <w:ind w:left="100"/>
        <w:jc w:val="both"/>
      </w:pPr>
      <w:r>
        <w:rPr>
          <w:color w:val="231F20"/>
          <w:w w:val="130"/>
        </w:rPr>
        <w:t>el trasfondo de la seguridad</w:t>
      </w:r>
    </w:p>
    <w:p>
      <w:pPr>
        <w:pStyle w:val="BodyText"/>
        <w:spacing w:before="5"/>
        <w:rPr>
          <w:sz w:val="23"/>
        </w:rPr>
      </w:pPr>
    </w:p>
    <w:p>
      <w:pPr>
        <w:pStyle w:val="BodyText"/>
        <w:spacing w:line="261" w:lineRule="auto"/>
        <w:ind w:left="100" w:right="117"/>
        <w:jc w:val="both"/>
      </w:pPr>
      <w:r>
        <w:rPr>
          <w:color w:val="231F20"/>
          <w:w w:val="110"/>
        </w:rPr>
        <w:t>¿Hay</w:t>
      </w:r>
      <w:r>
        <w:rPr>
          <w:color w:val="231F20"/>
          <w:spacing w:val="-5"/>
          <w:w w:val="110"/>
        </w:rPr>
        <w:t> </w:t>
      </w:r>
      <w:r>
        <w:rPr>
          <w:color w:val="231F20"/>
          <w:w w:val="110"/>
        </w:rPr>
        <w:t>alguna</w:t>
      </w:r>
      <w:r>
        <w:rPr>
          <w:color w:val="231F20"/>
          <w:spacing w:val="-5"/>
          <w:w w:val="110"/>
        </w:rPr>
        <w:t> </w:t>
      </w:r>
      <w:r>
        <w:rPr>
          <w:color w:val="231F20"/>
          <w:w w:val="110"/>
        </w:rPr>
        <w:t>razón</w:t>
      </w:r>
      <w:r>
        <w:rPr>
          <w:color w:val="231F20"/>
          <w:spacing w:val="-5"/>
          <w:w w:val="110"/>
        </w:rPr>
        <w:t> </w:t>
      </w:r>
      <w:r>
        <w:rPr>
          <w:color w:val="231F20"/>
          <w:w w:val="110"/>
        </w:rPr>
        <w:t>de</w:t>
      </w:r>
      <w:r>
        <w:rPr>
          <w:color w:val="231F20"/>
          <w:spacing w:val="-5"/>
          <w:w w:val="110"/>
        </w:rPr>
        <w:t> </w:t>
      </w:r>
      <w:r>
        <w:rPr>
          <w:color w:val="231F20"/>
          <w:w w:val="110"/>
        </w:rPr>
        <w:t>peso</w:t>
      </w:r>
      <w:r>
        <w:rPr>
          <w:color w:val="231F20"/>
          <w:spacing w:val="-5"/>
          <w:w w:val="110"/>
        </w:rPr>
        <w:t> </w:t>
      </w:r>
      <w:r>
        <w:rPr>
          <w:color w:val="231F20"/>
          <w:w w:val="110"/>
        </w:rPr>
        <w:t>para</w:t>
      </w:r>
      <w:r>
        <w:rPr>
          <w:color w:val="231F20"/>
          <w:spacing w:val="-5"/>
          <w:w w:val="110"/>
        </w:rPr>
        <w:t> </w:t>
      </w:r>
      <w:r>
        <w:rPr>
          <w:color w:val="231F20"/>
          <w:w w:val="110"/>
        </w:rPr>
        <w:t>revalorar</w:t>
      </w:r>
      <w:r>
        <w:rPr>
          <w:color w:val="231F20"/>
          <w:spacing w:val="-5"/>
          <w:w w:val="110"/>
        </w:rPr>
        <w:t> </w:t>
      </w:r>
      <w:r>
        <w:rPr>
          <w:color w:val="231F20"/>
          <w:w w:val="110"/>
        </w:rPr>
        <w:t>la</w:t>
      </w:r>
      <w:r>
        <w:rPr>
          <w:color w:val="231F20"/>
          <w:spacing w:val="-5"/>
          <w:w w:val="110"/>
        </w:rPr>
        <w:t> </w:t>
      </w:r>
      <w:r>
        <w:rPr>
          <w:color w:val="231F20"/>
          <w:w w:val="110"/>
        </w:rPr>
        <w:t>importancia</w:t>
      </w:r>
      <w:r>
        <w:rPr>
          <w:color w:val="231F20"/>
          <w:spacing w:val="-5"/>
          <w:w w:val="110"/>
        </w:rPr>
        <w:t> </w:t>
      </w:r>
      <w:r>
        <w:rPr>
          <w:color w:val="231F20"/>
          <w:w w:val="110"/>
        </w:rPr>
        <w:t>de</w:t>
      </w:r>
      <w:r>
        <w:rPr>
          <w:color w:val="231F20"/>
          <w:spacing w:val="-5"/>
          <w:w w:val="110"/>
        </w:rPr>
        <w:t> </w:t>
      </w:r>
      <w:r>
        <w:rPr>
          <w:color w:val="231F20"/>
          <w:w w:val="110"/>
        </w:rPr>
        <w:t>América Latina en el nuevo orden internacional? ¿Sobresale por alguna</w:t>
      </w:r>
      <w:r>
        <w:rPr>
          <w:color w:val="231F20"/>
          <w:spacing w:val="-31"/>
          <w:w w:val="110"/>
        </w:rPr>
        <w:t> </w:t>
      </w:r>
      <w:r>
        <w:rPr>
          <w:color w:val="231F20"/>
          <w:w w:val="110"/>
        </w:rPr>
        <w:t>razón importante América Latina en la actual globalización? Sí, por dos cosas. Pero de ningún modo tranquilizadoras en la perspectiva de lo que aquí interesa. Sobresale la región por su abultada deuda</w:t>
      </w:r>
      <w:r>
        <w:rPr>
          <w:color w:val="231F20"/>
          <w:spacing w:val="-28"/>
          <w:w w:val="110"/>
        </w:rPr>
        <w:t> </w:t>
      </w:r>
      <w:r>
        <w:rPr>
          <w:color w:val="231F20"/>
          <w:w w:val="110"/>
        </w:rPr>
        <w:t>externa, que hoy por hoy bordea los 750 mil millones de dólares, cerca del 35%</w:t>
      </w:r>
      <w:r>
        <w:rPr>
          <w:color w:val="231F20"/>
          <w:spacing w:val="-12"/>
          <w:w w:val="110"/>
        </w:rPr>
        <w:t> </w:t>
      </w:r>
      <w:r>
        <w:rPr>
          <w:color w:val="231F20"/>
          <w:w w:val="110"/>
        </w:rPr>
        <w:t>del</w:t>
      </w:r>
      <w:r>
        <w:rPr>
          <w:color w:val="231F20"/>
          <w:spacing w:val="-12"/>
          <w:w w:val="110"/>
        </w:rPr>
        <w:t> </w:t>
      </w:r>
      <w:r>
        <w:rPr>
          <w:color w:val="231F20"/>
          <w:w w:val="110"/>
        </w:rPr>
        <w:t>pib</w:t>
      </w:r>
      <w:r>
        <w:rPr>
          <w:color w:val="231F20"/>
          <w:spacing w:val="-12"/>
          <w:w w:val="110"/>
        </w:rPr>
        <w:t> </w:t>
      </w:r>
      <w:r>
        <w:rPr>
          <w:color w:val="231F20"/>
          <w:w w:val="110"/>
        </w:rPr>
        <w:t>regional,</w:t>
      </w:r>
      <w:r>
        <w:rPr>
          <w:color w:val="231F20"/>
          <w:spacing w:val="-12"/>
          <w:w w:val="110"/>
        </w:rPr>
        <w:t> </w:t>
      </w:r>
      <w:r>
        <w:rPr>
          <w:color w:val="231F20"/>
          <w:w w:val="110"/>
        </w:rPr>
        <w:t>y</w:t>
      </w:r>
      <w:r>
        <w:rPr>
          <w:color w:val="231F20"/>
          <w:spacing w:val="-12"/>
          <w:w w:val="110"/>
        </w:rPr>
        <w:t> </w:t>
      </w:r>
      <w:r>
        <w:rPr>
          <w:color w:val="231F20"/>
          <w:w w:val="110"/>
        </w:rPr>
        <w:t>por</w:t>
      </w:r>
      <w:r>
        <w:rPr>
          <w:color w:val="231F20"/>
          <w:spacing w:val="-12"/>
          <w:w w:val="110"/>
        </w:rPr>
        <w:t> </w:t>
      </w:r>
      <w:r>
        <w:rPr>
          <w:color w:val="231F20"/>
          <w:spacing w:val="-5"/>
          <w:w w:val="110"/>
        </w:rPr>
        <w:t>ser,</w:t>
      </w:r>
      <w:r>
        <w:rPr>
          <w:color w:val="231F20"/>
          <w:spacing w:val="-12"/>
          <w:w w:val="110"/>
        </w:rPr>
        <w:t> </w:t>
      </w:r>
      <w:r>
        <w:rPr>
          <w:color w:val="231F20"/>
          <w:w w:val="110"/>
        </w:rPr>
        <w:t>según</w:t>
      </w:r>
      <w:r>
        <w:rPr>
          <w:color w:val="231F20"/>
          <w:spacing w:val="-12"/>
          <w:w w:val="110"/>
        </w:rPr>
        <w:t> </w:t>
      </w:r>
      <w:r>
        <w:rPr>
          <w:color w:val="231F20"/>
          <w:w w:val="110"/>
        </w:rPr>
        <w:t>el</w:t>
      </w:r>
      <w:r>
        <w:rPr>
          <w:color w:val="231F20"/>
          <w:spacing w:val="-12"/>
          <w:w w:val="110"/>
        </w:rPr>
        <w:t> </w:t>
      </w:r>
      <w:r>
        <w:rPr>
          <w:color w:val="231F20"/>
          <w:w w:val="110"/>
        </w:rPr>
        <w:t>Bando</w:t>
      </w:r>
      <w:r>
        <w:rPr>
          <w:color w:val="231F20"/>
          <w:spacing w:val="-12"/>
          <w:w w:val="110"/>
        </w:rPr>
        <w:t> </w:t>
      </w:r>
      <w:r>
        <w:rPr>
          <w:color w:val="231F20"/>
          <w:w w:val="110"/>
        </w:rPr>
        <w:t>Mundial,</w:t>
      </w:r>
      <w:r>
        <w:rPr>
          <w:color w:val="231F20"/>
          <w:spacing w:val="-12"/>
          <w:w w:val="110"/>
        </w:rPr>
        <w:t> </w:t>
      </w:r>
      <w:r>
        <w:rPr>
          <w:color w:val="231F20"/>
          <w:w w:val="110"/>
        </w:rPr>
        <w:t>el</w:t>
      </w:r>
      <w:r>
        <w:rPr>
          <w:color w:val="231F20"/>
          <w:spacing w:val="-12"/>
          <w:w w:val="110"/>
        </w:rPr>
        <w:t> </w:t>
      </w:r>
      <w:r>
        <w:rPr>
          <w:color w:val="231F20"/>
          <w:w w:val="110"/>
        </w:rPr>
        <w:t>domicilio de la mayor desigualdad que se registra en todo el planeta. Sobre lo primero, la política predominante ha impuesto, por regla general, una especie de conspiración del silencio. Durante mucho tiempo ni siquiera se ejercía el derecho al regateo y si esto llegaba a ocurrir era siempre dentro del marco estrictamente fijado por los criterios financieros vinculados a la economía de los países centrales. Sobre lo segundo, se ha argumentado que no se puede incrementar más el gasto social por falta de recursos y tampoco resulta “realista”</w:t>
      </w:r>
      <w:r>
        <w:rPr>
          <w:color w:val="231F20"/>
          <w:spacing w:val="-18"/>
          <w:w w:val="110"/>
        </w:rPr>
        <w:t> </w:t>
      </w:r>
      <w:r>
        <w:rPr>
          <w:color w:val="231F20"/>
          <w:w w:val="110"/>
        </w:rPr>
        <w:t>pensar en una política de pleno empleo. Sin embargo, los recursos no</w:t>
      </w:r>
      <w:r>
        <w:rPr>
          <w:color w:val="231F20"/>
          <w:spacing w:val="-26"/>
          <w:w w:val="110"/>
        </w:rPr>
        <w:t> </w:t>
      </w:r>
      <w:r>
        <w:rPr>
          <w:color w:val="231F20"/>
          <w:w w:val="110"/>
        </w:rPr>
        <w:t>faltan cuando</w:t>
      </w:r>
      <w:r>
        <w:rPr>
          <w:color w:val="231F20"/>
          <w:spacing w:val="-11"/>
          <w:w w:val="110"/>
        </w:rPr>
        <w:t> </w:t>
      </w:r>
      <w:r>
        <w:rPr>
          <w:color w:val="231F20"/>
          <w:w w:val="110"/>
        </w:rPr>
        <w:t>se</w:t>
      </w:r>
      <w:r>
        <w:rPr>
          <w:color w:val="231F20"/>
          <w:spacing w:val="-11"/>
          <w:w w:val="110"/>
        </w:rPr>
        <w:t> </w:t>
      </w:r>
      <w:r>
        <w:rPr>
          <w:color w:val="231F20"/>
          <w:w w:val="110"/>
        </w:rPr>
        <w:t>trata</w:t>
      </w:r>
      <w:r>
        <w:rPr>
          <w:color w:val="231F20"/>
          <w:spacing w:val="-11"/>
          <w:w w:val="110"/>
        </w:rPr>
        <w:t> </w:t>
      </w:r>
      <w:r>
        <w:rPr>
          <w:color w:val="231F20"/>
          <w:w w:val="110"/>
        </w:rPr>
        <w:t>de</w:t>
      </w:r>
      <w:r>
        <w:rPr>
          <w:color w:val="231F20"/>
          <w:spacing w:val="-11"/>
          <w:w w:val="110"/>
        </w:rPr>
        <w:t> </w:t>
      </w:r>
      <w:r>
        <w:rPr>
          <w:color w:val="231F20"/>
          <w:w w:val="110"/>
        </w:rPr>
        <w:t>amortizar</w:t>
      </w:r>
      <w:r>
        <w:rPr>
          <w:color w:val="231F20"/>
          <w:spacing w:val="-11"/>
          <w:w w:val="110"/>
        </w:rPr>
        <w:t> </w:t>
      </w:r>
      <w:r>
        <w:rPr>
          <w:color w:val="231F20"/>
          <w:w w:val="110"/>
        </w:rPr>
        <w:t>la</w:t>
      </w:r>
      <w:r>
        <w:rPr>
          <w:color w:val="231F20"/>
          <w:spacing w:val="-11"/>
          <w:w w:val="110"/>
        </w:rPr>
        <w:t> </w:t>
      </w:r>
      <w:r>
        <w:rPr>
          <w:color w:val="231F20"/>
          <w:w w:val="110"/>
        </w:rPr>
        <w:t>deuda,</w:t>
      </w:r>
      <w:r>
        <w:rPr>
          <w:color w:val="231F20"/>
          <w:spacing w:val="-11"/>
          <w:w w:val="110"/>
        </w:rPr>
        <w:t> </w:t>
      </w:r>
      <w:r>
        <w:rPr>
          <w:color w:val="231F20"/>
          <w:w w:val="110"/>
        </w:rPr>
        <w:t>pagar</w:t>
      </w:r>
      <w:r>
        <w:rPr>
          <w:color w:val="231F20"/>
          <w:spacing w:val="-11"/>
          <w:w w:val="110"/>
        </w:rPr>
        <w:t> </w:t>
      </w:r>
      <w:r>
        <w:rPr>
          <w:color w:val="231F20"/>
          <w:w w:val="110"/>
        </w:rPr>
        <w:t>los</w:t>
      </w:r>
      <w:r>
        <w:rPr>
          <w:color w:val="231F20"/>
          <w:spacing w:val="-11"/>
          <w:w w:val="110"/>
        </w:rPr>
        <w:t> </w:t>
      </w:r>
      <w:r>
        <w:rPr>
          <w:color w:val="231F20"/>
          <w:w w:val="110"/>
        </w:rPr>
        <w:t>intereses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misma o registrar las transferencias de divisas. He aquí una fotografía que nos</w:t>
      </w:r>
      <w:r>
        <w:rPr>
          <w:color w:val="231F20"/>
          <w:spacing w:val="-10"/>
          <w:w w:val="110"/>
        </w:rPr>
        <w:t> </w:t>
      </w:r>
      <w:r>
        <w:rPr>
          <w:color w:val="231F20"/>
          <w:w w:val="110"/>
        </w:rPr>
        <w:t>retrata</w:t>
      </w:r>
      <w:r>
        <w:rPr>
          <w:color w:val="231F20"/>
          <w:spacing w:val="-10"/>
          <w:w w:val="110"/>
        </w:rPr>
        <w:t> </w:t>
      </w:r>
      <w:r>
        <w:rPr>
          <w:color w:val="231F20"/>
          <w:w w:val="110"/>
        </w:rPr>
        <w:t>de</w:t>
      </w:r>
      <w:r>
        <w:rPr>
          <w:color w:val="231F20"/>
          <w:spacing w:val="-10"/>
          <w:w w:val="110"/>
        </w:rPr>
        <w:t> </w:t>
      </w:r>
      <w:r>
        <w:rPr>
          <w:color w:val="231F20"/>
          <w:w w:val="110"/>
        </w:rPr>
        <w:t>cuerpo</w:t>
      </w:r>
      <w:r>
        <w:rPr>
          <w:color w:val="231F20"/>
          <w:spacing w:val="-10"/>
          <w:w w:val="110"/>
        </w:rPr>
        <w:t> </w:t>
      </w:r>
      <w:r>
        <w:rPr>
          <w:color w:val="231F20"/>
          <w:w w:val="110"/>
        </w:rPr>
        <w:t>entero:</w:t>
      </w:r>
      <w:r>
        <w:rPr>
          <w:color w:val="231F20"/>
          <w:spacing w:val="-10"/>
          <w:w w:val="110"/>
        </w:rPr>
        <w:t> </w:t>
      </w:r>
      <w:r>
        <w:rPr>
          <w:color w:val="231F20"/>
          <w:w w:val="110"/>
        </w:rPr>
        <w:t>América</w:t>
      </w:r>
      <w:r>
        <w:rPr>
          <w:color w:val="231F20"/>
          <w:spacing w:val="-10"/>
          <w:w w:val="110"/>
        </w:rPr>
        <w:t> </w:t>
      </w:r>
      <w:r>
        <w:rPr>
          <w:color w:val="231F20"/>
          <w:w w:val="110"/>
        </w:rPr>
        <w:t>Latina</w:t>
      </w:r>
      <w:r>
        <w:rPr>
          <w:color w:val="231F20"/>
          <w:spacing w:val="-10"/>
          <w:w w:val="110"/>
        </w:rPr>
        <w:t> </w:t>
      </w:r>
      <w:r>
        <w:rPr>
          <w:color w:val="231F20"/>
          <w:w w:val="110"/>
        </w:rPr>
        <w:t>representa</w:t>
      </w:r>
      <w:r>
        <w:rPr>
          <w:color w:val="231F20"/>
          <w:spacing w:val="-10"/>
          <w:w w:val="110"/>
        </w:rPr>
        <w:t> </w:t>
      </w:r>
      <w:r>
        <w:rPr>
          <w:color w:val="231F20"/>
          <w:w w:val="110"/>
        </w:rPr>
        <w:t>cerca</w:t>
      </w:r>
      <w:r>
        <w:rPr>
          <w:color w:val="231F20"/>
          <w:spacing w:val="-10"/>
          <w:w w:val="110"/>
        </w:rPr>
        <w:t> </w:t>
      </w:r>
      <w:r>
        <w:rPr>
          <w:color w:val="231F20"/>
          <w:w w:val="110"/>
        </w:rPr>
        <w:t>del</w:t>
      </w:r>
      <w:r>
        <w:rPr>
          <w:color w:val="231F20"/>
          <w:spacing w:val="-10"/>
          <w:w w:val="110"/>
        </w:rPr>
        <w:t> </w:t>
      </w:r>
      <w:r>
        <w:rPr>
          <w:color w:val="231F20"/>
          <w:w w:val="110"/>
        </w:rPr>
        <w:t>9% de la población mundial, participa con no más de 5% del  </w:t>
      </w:r>
      <w:r>
        <w:rPr>
          <w:color w:val="231F20"/>
          <w:spacing w:val="20"/>
          <w:w w:val="110"/>
        </w:rPr>
        <w:t> </w:t>
      </w:r>
      <w:r>
        <w:rPr>
          <w:color w:val="231F20"/>
          <w:w w:val="110"/>
        </w:rPr>
        <w:t>comercio</w:t>
      </w:r>
    </w:p>
    <w:p>
      <w:pPr>
        <w:pStyle w:val="BodyText"/>
      </w:pPr>
    </w:p>
    <w:p>
      <w:pPr>
        <w:spacing w:line="261" w:lineRule="auto" w:before="152"/>
        <w:ind w:left="100" w:right="117" w:firstLine="240"/>
        <w:jc w:val="both"/>
        <w:rPr>
          <w:sz w:val="16"/>
        </w:rPr>
      </w:pPr>
      <w:r>
        <w:rPr>
          <w:color w:val="231F20"/>
          <w:w w:val="110"/>
          <w:position w:val="5"/>
          <w:sz w:val="10"/>
        </w:rPr>
        <w:t>2 </w:t>
      </w:r>
      <w:r>
        <w:rPr>
          <w:color w:val="231F20"/>
          <w:w w:val="110"/>
          <w:sz w:val="16"/>
        </w:rPr>
        <w:t>Entre las aportaciones, distintas entre sí y sugerentes en este debate, podemos reconocer</w:t>
      </w:r>
      <w:r>
        <w:rPr>
          <w:color w:val="231F20"/>
          <w:spacing w:val="-6"/>
          <w:w w:val="110"/>
          <w:sz w:val="16"/>
        </w:rPr>
        <w:t> </w:t>
      </w:r>
      <w:r>
        <w:rPr>
          <w:color w:val="231F20"/>
          <w:w w:val="110"/>
          <w:sz w:val="16"/>
        </w:rPr>
        <w:t>a</w:t>
      </w:r>
      <w:r>
        <w:rPr>
          <w:color w:val="231F20"/>
          <w:spacing w:val="-6"/>
          <w:w w:val="110"/>
          <w:sz w:val="16"/>
        </w:rPr>
        <w:t> </w:t>
      </w:r>
      <w:r>
        <w:rPr>
          <w:color w:val="231F20"/>
          <w:w w:val="110"/>
          <w:sz w:val="16"/>
        </w:rPr>
        <w:t>Hernández</w:t>
      </w:r>
      <w:r>
        <w:rPr>
          <w:color w:val="231F20"/>
          <w:spacing w:val="-6"/>
          <w:w w:val="110"/>
          <w:sz w:val="16"/>
        </w:rPr>
        <w:t> </w:t>
      </w:r>
      <w:r>
        <w:rPr>
          <w:color w:val="231F20"/>
          <w:w w:val="110"/>
          <w:sz w:val="16"/>
        </w:rPr>
        <w:t>(2010),</w:t>
      </w:r>
      <w:r>
        <w:rPr>
          <w:color w:val="231F20"/>
          <w:spacing w:val="-6"/>
          <w:w w:val="110"/>
          <w:sz w:val="16"/>
        </w:rPr>
        <w:t> </w:t>
      </w:r>
      <w:r>
        <w:rPr>
          <w:color w:val="231F20"/>
          <w:w w:val="110"/>
          <w:sz w:val="16"/>
        </w:rPr>
        <w:t>Wallerstein</w:t>
      </w:r>
      <w:r>
        <w:rPr>
          <w:color w:val="231F20"/>
          <w:spacing w:val="-6"/>
          <w:w w:val="110"/>
          <w:sz w:val="16"/>
        </w:rPr>
        <w:t> </w:t>
      </w:r>
      <w:r>
        <w:rPr>
          <w:color w:val="231F20"/>
          <w:w w:val="110"/>
          <w:sz w:val="16"/>
        </w:rPr>
        <w:t>(2005),</w:t>
      </w:r>
      <w:r>
        <w:rPr>
          <w:color w:val="231F20"/>
          <w:spacing w:val="-6"/>
          <w:w w:val="110"/>
          <w:sz w:val="16"/>
        </w:rPr>
        <w:t> </w:t>
      </w:r>
      <w:r>
        <w:rPr>
          <w:color w:val="231F20"/>
          <w:w w:val="110"/>
          <w:sz w:val="16"/>
        </w:rPr>
        <w:t>Hardt</w:t>
      </w:r>
      <w:r>
        <w:rPr>
          <w:color w:val="231F20"/>
          <w:spacing w:val="-6"/>
          <w:w w:val="110"/>
          <w:sz w:val="16"/>
        </w:rPr>
        <w:t> </w:t>
      </w:r>
      <w:r>
        <w:rPr>
          <w:color w:val="231F20"/>
          <w:w w:val="110"/>
          <w:sz w:val="16"/>
        </w:rPr>
        <w:t>y</w:t>
      </w:r>
      <w:r>
        <w:rPr>
          <w:color w:val="231F20"/>
          <w:spacing w:val="-6"/>
          <w:w w:val="110"/>
          <w:sz w:val="16"/>
        </w:rPr>
        <w:t> </w:t>
      </w:r>
      <w:r>
        <w:rPr>
          <w:color w:val="231F20"/>
          <w:w w:val="110"/>
          <w:sz w:val="16"/>
        </w:rPr>
        <w:t>Negri</w:t>
      </w:r>
      <w:r>
        <w:rPr>
          <w:color w:val="231F20"/>
          <w:spacing w:val="-6"/>
          <w:w w:val="110"/>
          <w:sz w:val="16"/>
        </w:rPr>
        <w:t> </w:t>
      </w:r>
      <w:r>
        <w:rPr>
          <w:color w:val="231F20"/>
          <w:w w:val="110"/>
          <w:sz w:val="16"/>
        </w:rPr>
        <w:t>(2000),</w:t>
      </w:r>
      <w:r>
        <w:rPr>
          <w:color w:val="231F20"/>
          <w:spacing w:val="-6"/>
          <w:w w:val="110"/>
          <w:sz w:val="16"/>
        </w:rPr>
        <w:t> </w:t>
      </w:r>
      <w:r>
        <w:rPr>
          <w:color w:val="231F20"/>
          <w:w w:val="110"/>
          <w:sz w:val="16"/>
        </w:rPr>
        <w:t>Gandásegui (2007).</w:t>
      </w:r>
    </w:p>
    <w:p>
      <w:pPr>
        <w:spacing w:after="0" w:line="261" w:lineRule="auto"/>
        <w:jc w:val="both"/>
        <w:rPr>
          <w:sz w:val="16"/>
        </w:rPr>
        <w:sectPr>
          <w:headerReference w:type="even" r:id="rId275"/>
          <w:headerReference w:type="default" r:id="rId276"/>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10"/>
        </w:rPr>
        <w:t>internacional, controla sólo cerca de 1.6% de las exportaciones de bienes de capital. Realiza aproximadamente apenas el 1.98% de las inversiones</w:t>
      </w:r>
      <w:r>
        <w:rPr>
          <w:color w:val="231F20"/>
          <w:spacing w:val="-22"/>
          <w:w w:val="110"/>
        </w:rPr>
        <w:t> </w:t>
      </w:r>
      <w:r>
        <w:rPr>
          <w:color w:val="231F20"/>
          <w:w w:val="110"/>
        </w:rPr>
        <w:t>mundiales</w:t>
      </w:r>
      <w:r>
        <w:rPr>
          <w:color w:val="231F20"/>
          <w:spacing w:val="-22"/>
          <w:w w:val="110"/>
        </w:rPr>
        <w:t> </w:t>
      </w:r>
      <w:r>
        <w:rPr>
          <w:color w:val="231F20"/>
          <w:w w:val="110"/>
        </w:rPr>
        <w:t>en</w:t>
      </w:r>
      <w:r>
        <w:rPr>
          <w:color w:val="231F20"/>
          <w:spacing w:val="-22"/>
          <w:w w:val="110"/>
        </w:rPr>
        <w:t> </w:t>
      </w:r>
      <w:r>
        <w:rPr>
          <w:color w:val="231F20"/>
          <w:w w:val="110"/>
        </w:rPr>
        <w:t>investigación</w:t>
      </w:r>
      <w:r>
        <w:rPr>
          <w:color w:val="231F20"/>
          <w:spacing w:val="-22"/>
          <w:w w:val="110"/>
        </w:rPr>
        <w:t> </w:t>
      </w:r>
      <w:r>
        <w:rPr>
          <w:color w:val="231F20"/>
          <w:w w:val="110"/>
        </w:rPr>
        <w:t>y</w:t>
      </w:r>
      <w:r>
        <w:rPr>
          <w:color w:val="231F20"/>
          <w:spacing w:val="-22"/>
          <w:w w:val="110"/>
        </w:rPr>
        <w:t> </w:t>
      </w:r>
      <w:r>
        <w:rPr>
          <w:color w:val="231F20"/>
          <w:w w:val="110"/>
        </w:rPr>
        <w:t>desarrollo</w:t>
      </w:r>
      <w:r>
        <w:rPr>
          <w:color w:val="231F20"/>
          <w:spacing w:val="-22"/>
          <w:w w:val="110"/>
        </w:rPr>
        <w:t> </w:t>
      </w:r>
      <w:r>
        <w:rPr>
          <w:color w:val="231F20"/>
          <w:w w:val="110"/>
        </w:rPr>
        <w:t>tecnológico,</w:t>
      </w:r>
      <w:r>
        <w:rPr>
          <w:color w:val="231F20"/>
          <w:spacing w:val="-22"/>
          <w:w w:val="110"/>
        </w:rPr>
        <w:t> </w:t>
      </w:r>
      <w:r>
        <w:rPr>
          <w:color w:val="231F20"/>
          <w:w w:val="110"/>
        </w:rPr>
        <w:t>unas 20</w:t>
      </w:r>
      <w:r>
        <w:rPr>
          <w:color w:val="231F20"/>
          <w:spacing w:val="-5"/>
          <w:w w:val="110"/>
        </w:rPr>
        <w:t> </w:t>
      </w:r>
      <w:r>
        <w:rPr>
          <w:color w:val="231F20"/>
          <w:w w:val="110"/>
        </w:rPr>
        <w:t>veces</w:t>
      </w:r>
      <w:r>
        <w:rPr>
          <w:color w:val="231F20"/>
          <w:spacing w:val="-5"/>
          <w:w w:val="110"/>
        </w:rPr>
        <w:t> </w:t>
      </w:r>
      <w:r>
        <w:rPr>
          <w:color w:val="231F20"/>
          <w:w w:val="110"/>
        </w:rPr>
        <w:t>menos</w:t>
      </w:r>
      <w:r>
        <w:rPr>
          <w:color w:val="231F20"/>
          <w:spacing w:val="-5"/>
          <w:w w:val="110"/>
        </w:rPr>
        <w:t> </w:t>
      </w:r>
      <w:r>
        <w:rPr>
          <w:color w:val="231F20"/>
          <w:w w:val="110"/>
        </w:rPr>
        <w:t>que</w:t>
      </w:r>
      <w:r>
        <w:rPr>
          <w:color w:val="231F20"/>
          <w:spacing w:val="-5"/>
          <w:w w:val="110"/>
        </w:rPr>
        <w:t> </w:t>
      </w:r>
      <w:r>
        <w:rPr>
          <w:color w:val="231F20"/>
          <w:w w:val="110"/>
        </w:rPr>
        <w:t>las</w:t>
      </w:r>
      <w:r>
        <w:rPr>
          <w:color w:val="231F20"/>
          <w:spacing w:val="-5"/>
          <w:w w:val="110"/>
        </w:rPr>
        <w:t> </w:t>
      </w:r>
      <w:r>
        <w:rPr>
          <w:color w:val="231F20"/>
          <w:w w:val="110"/>
        </w:rPr>
        <w:t>estadunidenses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mismo</w:t>
      </w:r>
      <w:r>
        <w:rPr>
          <w:color w:val="231F20"/>
          <w:spacing w:val="-5"/>
          <w:w w:val="110"/>
        </w:rPr>
        <w:t> </w:t>
      </w:r>
      <w:r>
        <w:rPr>
          <w:color w:val="231F20"/>
          <w:w w:val="110"/>
        </w:rPr>
        <w:t>rubro.</w:t>
      </w:r>
      <w:r>
        <w:rPr>
          <w:color w:val="231F20"/>
          <w:spacing w:val="-5"/>
          <w:w w:val="110"/>
        </w:rPr>
        <w:t> </w:t>
      </w:r>
      <w:r>
        <w:rPr>
          <w:color w:val="231F20"/>
          <w:w w:val="110"/>
        </w:rPr>
        <w:t>Su</w:t>
      </w:r>
      <w:r>
        <w:rPr>
          <w:color w:val="231F20"/>
          <w:spacing w:val="-5"/>
          <w:w w:val="110"/>
        </w:rPr>
        <w:t> </w:t>
      </w:r>
      <w:r>
        <w:rPr>
          <w:color w:val="231F20"/>
          <w:w w:val="110"/>
        </w:rPr>
        <w:t>aporte al producto bruto de la economía mundial no es más de 7.02%, una cuarta parte del pib estadunidense. Si sumáramos teóricamente los votos</w:t>
      </w:r>
      <w:r>
        <w:rPr>
          <w:color w:val="231F20"/>
          <w:spacing w:val="-8"/>
          <w:w w:val="110"/>
        </w:rPr>
        <w:t> </w:t>
      </w:r>
      <w:r>
        <w:rPr>
          <w:color w:val="231F20"/>
          <w:w w:val="110"/>
        </w:rPr>
        <w:t>de</w:t>
      </w:r>
      <w:r>
        <w:rPr>
          <w:color w:val="231F20"/>
          <w:spacing w:val="-8"/>
          <w:w w:val="110"/>
        </w:rPr>
        <w:t> </w:t>
      </w:r>
      <w:r>
        <w:rPr>
          <w:color w:val="231F20"/>
          <w:w w:val="110"/>
        </w:rPr>
        <w:t>todos</w:t>
      </w:r>
      <w:r>
        <w:rPr>
          <w:color w:val="231F20"/>
          <w:spacing w:val="-8"/>
          <w:w w:val="110"/>
        </w:rPr>
        <w:t> </w:t>
      </w:r>
      <w:r>
        <w:rPr>
          <w:color w:val="231F20"/>
          <w:w w:val="110"/>
        </w:rPr>
        <w:t>los</w:t>
      </w:r>
      <w:r>
        <w:rPr>
          <w:color w:val="231F20"/>
          <w:spacing w:val="-8"/>
          <w:w w:val="110"/>
        </w:rPr>
        <w:t> </w:t>
      </w:r>
      <w:r>
        <w:rPr>
          <w:color w:val="231F20"/>
          <w:w w:val="110"/>
        </w:rPr>
        <w:t>países</w:t>
      </w:r>
      <w:r>
        <w:rPr>
          <w:color w:val="231F20"/>
          <w:spacing w:val="-8"/>
          <w:w w:val="110"/>
        </w:rPr>
        <w:t> </w:t>
      </w:r>
      <w:r>
        <w:rPr>
          <w:color w:val="231F20"/>
          <w:w w:val="110"/>
        </w:rPr>
        <w:t>de</w:t>
      </w:r>
      <w:r>
        <w:rPr>
          <w:color w:val="231F20"/>
          <w:spacing w:val="-8"/>
          <w:w w:val="110"/>
        </w:rPr>
        <w:t> </w:t>
      </w:r>
      <w:r>
        <w:rPr>
          <w:color w:val="231F20"/>
          <w:w w:val="110"/>
        </w:rPr>
        <w:t>América</w:t>
      </w:r>
      <w:r>
        <w:rPr>
          <w:color w:val="231F20"/>
          <w:spacing w:val="-8"/>
          <w:w w:val="110"/>
        </w:rPr>
        <w:t> </w:t>
      </w:r>
      <w:r>
        <w:rPr>
          <w:color w:val="231F20"/>
          <w:w w:val="110"/>
        </w:rPr>
        <w:t>Latina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fmi,</w:t>
      </w:r>
      <w:r>
        <w:rPr>
          <w:color w:val="231F20"/>
          <w:spacing w:val="-8"/>
          <w:w w:val="110"/>
        </w:rPr>
        <w:t> </w:t>
      </w:r>
      <w:r>
        <w:rPr>
          <w:color w:val="231F20"/>
          <w:w w:val="110"/>
        </w:rPr>
        <w:t>éstos</w:t>
      </w:r>
      <w:r>
        <w:rPr>
          <w:color w:val="231F20"/>
          <w:spacing w:val="-8"/>
          <w:w w:val="110"/>
        </w:rPr>
        <w:t> </w:t>
      </w:r>
      <w:r>
        <w:rPr>
          <w:color w:val="231F20"/>
          <w:w w:val="110"/>
        </w:rPr>
        <w:t>llegarían apenas a 7.6% del total, mientras que el G-8 dispone, y solo para mostrar el abismo, cerca 46% del total de</w:t>
      </w:r>
      <w:r>
        <w:rPr>
          <w:color w:val="231F20"/>
          <w:spacing w:val="15"/>
          <w:w w:val="110"/>
        </w:rPr>
        <w:t> </w:t>
      </w:r>
      <w:r>
        <w:rPr>
          <w:color w:val="231F20"/>
          <w:w w:val="110"/>
        </w:rPr>
        <w:t>votos.</w:t>
      </w:r>
      <w:r>
        <w:rPr>
          <w:color w:val="231F20"/>
          <w:w w:val="110"/>
          <w:position w:val="6"/>
          <w:sz w:val="13"/>
        </w:rPr>
        <w:t>3</w:t>
      </w:r>
    </w:p>
    <w:p>
      <w:pPr>
        <w:pStyle w:val="BodyText"/>
        <w:spacing w:line="261" w:lineRule="auto"/>
        <w:ind w:left="100" w:right="119" w:firstLine="240"/>
        <w:jc w:val="both"/>
      </w:pPr>
      <w:r>
        <w:rPr>
          <w:color w:val="231F20"/>
          <w:w w:val="110"/>
        </w:rPr>
        <w:t>Frente a este cuadro, instantáneo, ninguna política podría soste- nerse si no proyectara algún esquema alternativo. Si el concepto de amenaza (a la seguridad) tiene relación con todo aquello que nos hace más vulnerables, qué duda cabe que en una escala de priorida- des se tendría preferentemente que preguntar sobre las implicacio-</w:t>
      </w:r>
      <w:r>
        <w:rPr>
          <w:color w:val="231F20"/>
          <w:w w:val="72"/>
        </w:rPr>
        <w:t> </w:t>
      </w:r>
      <w:r>
        <w:rPr>
          <w:color w:val="231F20"/>
          <w:w w:val="110"/>
        </w:rPr>
        <w:t>nes de las asimetrías estructurales y la situación de dependencia que caracteriza la ubicación de la región.</w:t>
      </w:r>
    </w:p>
    <w:p>
      <w:pPr>
        <w:pStyle w:val="BodyText"/>
        <w:spacing w:line="261" w:lineRule="auto"/>
        <w:ind w:left="100" w:right="117" w:firstLine="240"/>
        <w:jc w:val="both"/>
      </w:pPr>
      <w:r>
        <w:rPr>
          <w:color w:val="231F20"/>
          <w:w w:val="110"/>
        </w:rPr>
        <w:t>De acuerdo con este cuadro, expuesto de un modo esquemático, América</w:t>
      </w:r>
      <w:r>
        <w:rPr>
          <w:color w:val="231F20"/>
          <w:spacing w:val="-11"/>
          <w:w w:val="110"/>
        </w:rPr>
        <w:t> </w:t>
      </w:r>
      <w:r>
        <w:rPr>
          <w:color w:val="231F20"/>
          <w:w w:val="110"/>
        </w:rPr>
        <w:t>Latina</w:t>
      </w:r>
      <w:r>
        <w:rPr>
          <w:color w:val="231F20"/>
          <w:spacing w:val="-11"/>
          <w:w w:val="110"/>
        </w:rPr>
        <w:t> </w:t>
      </w:r>
      <w:r>
        <w:rPr>
          <w:color w:val="231F20"/>
          <w:w w:val="110"/>
        </w:rPr>
        <w:t>enfrenta</w:t>
      </w:r>
      <w:r>
        <w:rPr>
          <w:color w:val="231F20"/>
          <w:spacing w:val="-11"/>
          <w:w w:val="110"/>
        </w:rPr>
        <w:t> </w:t>
      </w:r>
      <w:r>
        <w:rPr>
          <w:color w:val="231F20"/>
          <w:w w:val="110"/>
        </w:rPr>
        <w:t>riesgos</w:t>
      </w:r>
      <w:r>
        <w:rPr>
          <w:color w:val="231F20"/>
          <w:spacing w:val="-11"/>
          <w:w w:val="110"/>
        </w:rPr>
        <w:t> </w:t>
      </w:r>
      <w:r>
        <w:rPr>
          <w:color w:val="231F20"/>
          <w:w w:val="110"/>
        </w:rPr>
        <w:t>de</w:t>
      </w:r>
      <w:r>
        <w:rPr>
          <w:color w:val="231F20"/>
          <w:spacing w:val="-11"/>
          <w:w w:val="110"/>
        </w:rPr>
        <w:t> </w:t>
      </w:r>
      <w:r>
        <w:rPr>
          <w:color w:val="231F20"/>
          <w:w w:val="110"/>
        </w:rPr>
        <w:t>marginalidad</w:t>
      </w:r>
      <w:r>
        <w:rPr>
          <w:color w:val="231F20"/>
          <w:spacing w:val="-11"/>
          <w:w w:val="110"/>
        </w:rPr>
        <w:t> </w:t>
      </w:r>
      <w:r>
        <w:rPr>
          <w:color w:val="231F20"/>
          <w:w w:val="110"/>
        </w:rPr>
        <w:t>estratégica</w:t>
      </w:r>
      <w:r>
        <w:rPr>
          <w:color w:val="231F20"/>
          <w:spacing w:val="-11"/>
          <w:w w:val="110"/>
        </w:rPr>
        <w:t> </w:t>
      </w:r>
      <w:r>
        <w:rPr>
          <w:color w:val="231F20"/>
          <w:w w:val="110"/>
        </w:rPr>
        <w:t>en</w:t>
      </w:r>
      <w:r>
        <w:rPr>
          <w:color w:val="231F20"/>
          <w:spacing w:val="-11"/>
          <w:w w:val="110"/>
        </w:rPr>
        <w:t> </w:t>
      </w:r>
      <w:r>
        <w:rPr>
          <w:color w:val="231F20"/>
          <w:w w:val="110"/>
        </w:rPr>
        <w:t>cues- tiones globales de desarrollo. De allí que la relación Norte-Sur en tanto referente analítico mantiene toda su vigencia. Más allá de las expresiones de buena voluntad, la región es parte de una realidad periférica en cuanto a las decisiones que comprometen el orden glo- bal. El orden que se construye en la posguerra fría no modifica esta situación estructural para América Latina. Ciertamente en el</w:t>
      </w:r>
      <w:r>
        <w:rPr>
          <w:color w:val="231F20"/>
          <w:spacing w:val="-30"/>
          <w:w w:val="110"/>
        </w:rPr>
        <w:t> </w:t>
      </w:r>
      <w:r>
        <w:rPr>
          <w:color w:val="231F20"/>
          <w:w w:val="110"/>
        </w:rPr>
        <w:t>periodo que coincide con el desarrollo del reciente decenio han emergido tendencias que resitúan a la región en nuevos esquemas de negocia- ción, tanto en su dimensión multilateral como hemisférica, a la vez que mantienen las tensiones por la falta de acuerdos con las econo- mías del capitalismo desarrollado.</w:t>
      </w:r>
      <w:r>
        <w:rPr>
          <w:color w:val="231F20"/>
          <w:w w:val="110"/>
          <w:position w:val="6"/>
          <w:sz w:val="13"/>
        </w:rPr>
        <w:t>4 </w:t>
      </w:r>
      <w:r>
        <w:rPr>
          <w:color w:val="231F20"/>
          <w:w w:val="110"/>
        </w:rPr>
        <w:t>La inserción en la globalización es segmentada y consecuentemente profunda, en muchos aspectos, de la heterogeneidad estructural interna históricamente existente. Es aquí el lugar desde donde se debiera partir en un trabajo que</w:t>
      </w:r>
      <w:r>
        <w:rPr>
          <w:color w:val="231F20"/>
          <w:spacing w:val="42"/>
          <w:w w:val="110"/>
        </w:rPr>
        <w:t> </w:t>
      </w:r>
      <w:r>
        <w:rPr>
          <w:color w:val="231F20"/>
          <w:w w:val="110"/>
        </w:rPr>
        <w:t>intente</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10"/>
          <w:position w:val="5"/>
          <w:sz w:val="10"/>
        </w:rPr>
        <w:t>3 </w:t>
      </w:r>
      <w:r>
        <w:rPr>
          <w:color w:val="231F20"/>
          <w:w w:val="110"/>
          <w:sz w:val="16"/>
        </w:rPr>
        <w:t>Estos datos son una aproximación instantánea de algunos rasgos estructurales</w:t>
      </w:r>
      <w:r>
        <w:rPr>
          <w:color w:val="231F20"/>
          <w:spacing w:val="-21"/>
          <w:w w:val="110"/>
          <w:sz w:val="16"/>
        </w:rPr>
        <w:t> </w:t>
      </w:r>
      <w:r>
        <w:rPr>
          <w:color w:val="231F20"/>
          <w:w w:val="110"/>
          <w:sz w:val="16"/>
        </w:rPr>
        <w:t>de la región construidos a partir de World Data Bank (2011), cepal (2010), De Ferranti  y otros</w:t>
      </w:r>
      <w:r>
        <w:rPr>
          <w:color w:val="231F20"/>
          <w:spacing w:val="-3"/>
          <w:w w:val="110"/>
          <w:sz w:val="16"/>
        </w:rPr>
        <w:t> </w:t>
      </w:r>
      <w:r>
        <w:rPr>
          <w:color w:val="231F20"/>
          <w:w w:val="110"/>
          <w:sz w:val="16"/>
        </w:rPr>
        <w:t>(2004).</w:t>
      </w:r>
    </w:p>
    <w:p>
      <w:pPr>
        <w:spacing w:line="261" w:lineRule="auto" w:before="0"/>
        <w:ind w:left="100" w:right="117" w:firstLine="240"/>
        <w:jc w:val="both"/>
        <w:rPr>
          <w:sz w:val="16"/>
        </w:rPr>
      </w:pPr>
      <w:r>
        <w:rPr>
          <w:color w:val="231F20"/>
          <w:w w:val="105"/>
          <w:position w:val="5"/>
          <w:sz w:val="10"/>
        </w:rPr>
        <w:t>4   </w:t>
      </w:r>
      <w:r>
        <w:rPr>
          <w:color w:val="231F20"/>
          <w:w w:val="105"/>
          <w:sz w:val="16"/>
        </w:rPr>
        <w:t>Entre los análisis más actuales sobre este campo de preocupación y que man- </w:t>
      </w:r>
      <w:r>
        <w:rPr>
          <w:color w:val="231F20"/>
          <w:spacing w:val="42"/>
          <w:w w:val="105"/>
          <w:sz w:val="16"/>
        </w:rPr>
        <w:t> </w:t>
      </w:r>
      <w:r>
        <w:rPr>
          <w:color w:val="231F20"/>
          <w:w w:val="105"/>
          <w:sz w:val="16"/>
        </w:rPr>
        <w:t>tiene una perspectiva latinoamericana se encuentran en Jaime Estay (2008) y López Castellanos y Oliver Costilla </w:t>
      </w:r>
      <w:r>
        <w:rPr>
          <w:color w:val="231F20"/>
          <w:spacing w:val="14"/>
          <w:w w:val="105"/>
          <w:sz w:val="16"/>
        </w:rPr>
        <w:t> </w:t>
      </w:r>
      <w:r>
        <w:rPr>
          <w:color w:val="231F20"/>
          <w:w w:val="105"/>
          <w:sz w:val="16"/>
        </w:rPr>
        <w:t>(2009).</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rastrear las condiciones que particularizan las amenazas y las vulne- rabilidades de América Latina y  el  Caribe.  Del  reconocimiento  de las características endógenas y las formas de inserción internacional pueden alimentarse las ideas básicas en la perspectiva de lograr arti- cular criterios y conceptos que en materia de seguridad hemisférica respondan a los intereses de la     región.</w:t>
      </w:r>
    </w:p>
    <w:p>
      <w:pPr>
        <w:pStyle w:val="BodyText"/>
      </w:pPr>
    </w:p>
    <w:p>
      <w:pPr>
        <w:pStyle w:val="BodyText"/>
      </w:pPr>
    </w:p>
    <w:p>
      <w:pPr>
        <w:pStyle w:val="BodyText"/>
        <w:spacing w:before="2"/>
        <w:rPr>
          <w:sz w:val="25"/>
        </w:rPr>
      </w:pPr>
    </w:p>
    <w:p>
      <w:pPr>
        <w:pStyle w:val="BodyText"/>
        <w:ind w:left="100"/>
        <w:jc w:val="both"/>
      </w:pPr>
      <w:r>
        <w:rPr>
          <w:color w:val="231F20"/>
          <w:w w:val="130"/>
        </w:rPr>
        <w:t>el potencial defensivo de la región</w:t>
      </w:r>
    </w:p>
    <w:p>
      <w:pPr>
        <w:pStyle w:val="BodyText"/>
        <w:spacing w:before="5"/>
        <w:rPr>
          <w:sz w:val="23"/>
        </w:rPr>
      </w:pPr>
    </w:p>
    <w:p>
      <w:pPr>
        <w:pStyle w:val="BodyText"/>
        <w:spacing w:line="261" w:lineRule="auto"/>
        <w:ind w:left="100" w:right="112"/>
        <w:jc w:val="both"/>
      </w:pPr>
      <w:r>
        <w:rPr>
          <w:color w:val="231F20"/>
          <w:w w:val="110"/>
        </w:rPr>
        <w:t>Un </w:t>
      </w:r>
      <w:r>
        <w:rPr>
          <w:color w:val="231F20"/>
          <w:spacing w:val="2"/>
          <w:w w:val="110"/>
        </w:rPr>
        <w:t>contrapeso importante </w:t>
      </w:r>
      <w:r>
        <w:rPr>
          <w:color w:val="231F20"/>
          <w:w w:val="110"/>
        </w:rPr>
        <w:t>con </w:t>
      </w:r>
      <w:r>
        <w:rPr>
          <w:color w:val="231F20"/>
          <w:spacing w:val="2"/>
          <w:w w:val="110"/>
        </w:rPr>
        <w:t>repercusiones </w:t>
      </w:r>
      <w:r>
        <w:rPr>
          <w:color w:val="231F20"/>
          <w:w w:val="110"/>
        </w:rPr>
        <w:t>en el </w:t>
      </w:r>
      <w:r>
        <w:rPr>
          <w:color w:val="231F20"/>
          <w:spacing w:val="2"/>
          <w:w w:val="110"/>
        </w:rPr>
        <w:t>plano </w:t>
      </w:r>
      <w:r>
        <w:rPr>
          <w:color w:val="231F20"/>
          <w:w w:val="110"/>
        </w:rPr>
        <w:t>de </w:t>
      </w:r>
      <w:r>
        <w:rPr>
          <w:color w:val="231F20"/>
          <w:spacing w:val="3"/>
          <w:w w:val="110"/>
        </w:rPr>
        <w:t>la </w:t>
      </w:r>
      <w:r>
        <w:rPr>
          <w:color w:val="231F20"/>
          <w:w w:val="110"/>
        </w:rPr>
        <w:t>defensa y la seguridad son las dinámicas políticas que se articulan en sentido distinto y a veces hasta con perfiles alternativos a los cri- terios que fundamentan el unilateralismo y la hegemonía. Más allá de la facticidad de las experiencias concretas o coyunturas guberna- mentales, en América Latina hay un expediente importante en esta búsqueda para la conjunción de esfuerzos a favor de </w:t>
      </w:r>
      <w:r>
        <w:rPr>
          <w:color w:val="333333"/>
          <w:w w:val="110"/>
        </w:rPr>
        <w:t>la cooperación política </w:t>
      </w:r>
      <w:r>
        <w:rPr>
          <w:color w:val="231F20"/>
          <w:w w:val="110"/>
        </w:rPr>
        <w:t>que se prolonga en un esquema diplomático de consultas     y de cumbres. Identificar las amenazas comunes, trabajar para la instalación</w:t>
      </w:r>
      <w:r>
        <w:rPr>
          <w:color w:val="231F20"/>
          <w:spacing w:val="-8"/>
          <w:w w:val="110"/>
        </w:rPr>
        <w:t> </w:t>
      </w:r>
      <w:r>
        <w:rPr>
          <w:color w:val="231F20"/>
          <w:w w:val="110"/>
        </w:rPr>
        <w:t>de</w:t>
      </w:r>
      <w:r>
        <w:rPr>
          <w:color w:val="231F20"/>
          <w:spacing w:val="-8"/>
          <w:w w:val="110"/>
        </w:rPr>
        <w:t> </w:t>
      </w:r>
      <w:r>
        <w:rPr>
          <w:color w:val="231F20"/>
          <w:w w:val="110"/>
        </w:rPr>
        <w:t>nuevos</w:t>
      </w:r>
      <w:r>
        <w:rPr>
          <w:color w:val="231F20"/>
          <w:spacing w:val="-8"/>
          <w:w w:val="110"/>
        </w:rPr>
        <w:t> </w:t>
      </w:r>
      <w:r>
        <w:rPr>
          <w:color w:val="231F20"/>
          <w:w w:val="110"/>
        </w:rPr>
        <w:t>criterios</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colectiva</w:t>
      </w:r>
      <w:r>
        <w:rPr>
          <w:color w:val="231F20"/>
          <w:spacing w:val="-8"/>
          <w:w w:val="110"/>
        </w:rPr>
        <w:t> </w:t>
      </w:r>
      <w:r>
        <w:rPr>
          <w:color w:val="231F20"/>
          <w:w w:val="110"/>
        </w:rPr>
        <w:t>y</w:t>
      </w:r>
      <w:r>
        <w:rPr>
          <w:color w:val="231F20"/>
          <w:spacing w:val="-8"/>
          <w:w w:val="110"/>
        </w:rPr>
        <w:t> </w:t>
      </w:r>
      <w:r>
        <w:rPr>
          <w:color w:val="231F20"/>
          <w:w w:val="110"/>
        </w:rPr>
        <w:t>fortalecer</w:t>
      </w:r>
      <w:r>
        <w:rPr>
          <w:color w:val="231F20"/>
          <w:spacing w:val="-8"/>
          <w:w w:val="110"/>
        </w:rPr>
        <w:t> </w:t>
      </w:r>
      <w:r>
        <w:rPr>
          <w:color w:val="231F20"/>
          <w:w w:val="110"/>
        </w:rPr>
        <w:t>los recursos disponibles constituye un desafío de grandes proporciones que trascienden a las</w:t>
      </w:r>
      <w:r>
        <w:rPr>
          <w:color w:val="231F20"/>
          <w:spacing w:val="26"/>
          <w:w w:val="110"/>
        </w:rPr>
        <w:t> </w:t>
      </w:r>
      <w:r>
        <w:rPr>
          <w:color w:val="231F20"/>
          <w:w w:val="110"/>
        </w:rPr>
        <w:t>coyunturas.</w:t>
      </w:r>
    </w:p>
    <w:p>
      <w:pPr>
        <w:pStyle w:val="BodyText"/>
        <w:spacing w:line="261" w:lineRule="auto"/>
        <w:ind w:left="100" w:right="117" w:firstLine="240"/>
        <w:jc w:val="both"/>
      </w:pPr>
      <w:r>
        <w:rPr>
          <w:color w:val="231F20"/>
          <w:w w:val="115"/>
        </w:rPr>
        <w:t>Miremos atrás para valorar el cambio producido en la región. Desde</w:t>
      </w:r>
      <w:r>
        <w:rPr>
          <w:color w:val="231F20"/>
          <w:spacing w:val="-29"/>
          <w:w w:val="115"/>
        </w:rPr>
        <w:t> </w:t>
      </w:r>
      <w:r>
        <w:rPr>
          <w:color w:val="231F20"/>
          <w:w w:val="115"/>
        </w:rPr>
        <w:t>su</w:t>
      </w:r>
      <w:r>
        <w:rPr>
          <w:color w:val="231F20"/>
          <w:spacing w:val="-29"/>
          <w:w w:val="115"/>
        </w:rPr>
        <w:t> </w:t>
      </w:r>
      <w:r>
        <w:rPr>
          <w:color w:val="231F20"/>
          <w:w w:val="115"/>
        </w:rPr>
        <w:t>creación</w:t>
      </w:r>
      <w:r>
        <w:rPr>
          <w:color w:val="231F20"/>
          <w:spacing w:val="-29"/>
          <w:w w:val="115"/>
        </w:rPr>
        <w:t> </w:t>
      </w:r>
      <w:r>
        <w:rPr>
          <w:color w:val="231F20"/>
          <w:w w:val="115"/>
        </w:rPr>
        <w:t>en</w:t>
      </w:r>
      <w:r>
        <w:rPr>
          <w:color w:val="231F20"/>
          <w:spacing w:val="-29"/>
          <w:w w:val="115"/>
        </w:rPr>
        <w:t> </w:t>
      </w:r>
      <w:r>
        <w:rPr>
          <w:color w:val="231F20"/>
          <w:w w:val="115"/>
        </w:rPr>
        <w:t>1948,</w:t>
      </w:r>
      <w:r>
        <w:rPr>
          <w:color w:val="231F20"/>
          <w:spacing w:val="-29"/>
          <w:w w:val="115"/>
        </w:rPr>
        <w:t> </w:t>
      </w:r>
      <w:r>
        <w:rPr>
          <w:color w:val="231F20"/>
          <w:w w:val="115"/>
        </w:rPr>
        <w:t>la</w:t>
      </w:r>
      <w:r>
        <w:rPr>
          <w:color w:val="231F20"/>
          <w:spacing w:val="-29"/>
          <w:w w:val="115"/>
        </w:rPr>
        <w:t> </w:t>
      </w:r>
      <w:r>
        <w:rPr>
          <w:color w:val="231F20"/>
          <w:w w:val="115"/>
        </w:rPr>
        <w:t>Organización</w:t>
      </w:r>
      <w:r>
        <w:rPr>
          <w:color w:val="231F20"/>
          <w:spacing w:val="-29"/>
          <w:w w:val="115"/>
        </w:rPr>
        <w:t> </w:t>
      </w:r>
      <w:r>
        <w:rPr>
          <w:color w:val="231F20"/>
          <w:w w:val="115"/>
        </w:rPr>
        <w:t>de</w:t>
      </w:r>
      <w:r>
        <w:rPr>
          <w:color w:val="231F20"/>
          <w:spacing w:val="-29"/>
          <w:w w:val="115"/>
        </w:rPr>
        <w:t> </w:t>
      </w:r>
      <w:r>
        <w:rPr>
          <w:color w:val="231F20"/>
          <w:w w:val="115"/>
        </w:rPr>
        <w:t>Estados</w:t>
      </w:r>
      <w:r>
        <w:rPr>
          <w:color w:val="231F20"/>
          <w:spacing w:val="-29"/>
          <w:w w:val="115"/>
        </w:rPr>
        <w:t> </w:t>
      </w:r>
      <w:r>
        <w:rPr>
          <w:color w:val="231F20"/>
          <w:w w:val="115"/>
        </w:rPr>
        <w:t>Americanos</w:t>
      </w:r>
      <w:r>
        <w:rPr>
          <w:color w:val="231F20"/>
          <w:w w:val="106"/>
        </w:rPr>
        <w:t> </w:t>
      </w:r>
      <w:r>
        <w:rPr>
          <w:color w:val="231F20"/>
          <w:w w:val="115"/>
        </w:rPr>
        <w:t>(oea), respondió a los intereses de Washington. Cuando Cuba</w:t>
      </w:r>
      <w:r>
        <w:rPr>
          <w:color w:val="231F20"/>
          <w:spacing w:val="-12"/>
          <w:w w:val="115"/>
        </w:rPr>
        <w:t> </w:t>
      </w:r>
      <w:r>
        <w:rPr>
          <w:color w:val="231F20"/>
          <w:w w:val="115"/>
        </w:rPr>
        <w:t>fue expulsada</w:t>
      </w:r>
      <w:r>
        <w:rPr>
          <w:color w:val="231F20"/>
          <w:spacing w:val="-22"/>
          <w:w w:val="115"/>
        </w:rPr>
        <w:t> </w:t>
      </w:r>
      <w:r>
        <w:rPr>
          <w:color w:val="231F20"/>
          <w:w w:val="115"/>
        </w:rPr>
        <w:t>en</w:t>
      </w:r>
      <w:r>
        <w:rPr>
          <w:color w:val="231F20"/>
          <w:spacing w:val="-22"/>
          <w:w w:val="115"/>
        </w:rPr>
        <w:t> </w:t>
      </w:r>
      <w:r>
        <w:rPr>
          <w:color w:val="231F20"/>
          <w:w w:val="115"/>
        </w:rPr>
        <w:t>1962,</w:t>
      </w:r>
      <w:r>
        <w:rPr>
          <w:color w:val="231F20"/>
          <w:spacing w:val="-22"/>
          <w:w w:val="115"/>
        </w:rPr>
        <w:t> </w:t>
      </w:r>
      <w:r>
        <w:rPr>
          <w:color w:val="231F20"/>
          <w:w w:val="115"/>
        </w:rPr>
        <w:t>ningún</w:t>
      </w:r>
      <w:r>
        <w:rPr>
          <w:color w:val="231F20"/>
          <w:spacing w:val="-22"/>
          <w:w w:val="115"/>
        </w:rPr>
        <w:t> </w:t>
      </w:r>
      <w:r>
        <w:rPr>
          <w:color w:val="231F20"/>
          <w:w w:val="115"/>
        </w:rPr>
        <w:t>país</w:t>
      </w:r>
      <w:r>
        <w:rPr>
          <w:color w:val="231F20"/>
          <w:spacing w:val="-22"/>
          <w:w w:val="115"/>
        </w:rPr>
        <w:t> </w:t>
      </w:r>
      <w:r>
        <w:rPr>
          <w:color w:val="231F20"/>
          <w:w w:val="115"/>
        </w:rPr>
        <w:t>votó</w:t>
      </w:r>
      <w:r>
        <w:rPr>
          <w:color w:val="231F20"/>
          <w:spacing w:val="-22"/>
          <w:w w:val="115"/>
        </w:rPr>
        <w:t> </w:t>
      </w:r>
      <w:r>
        <w:rPr>
          <w:color w:val="231F20"/>
          <w:w w:val="115"/>
        </w:rPr>
        <w:t>en</w:t>
      </w:r>
      <w:r>
        <w:rPr>
          <w:color w:val="231F20"/>
          <w:spacing w:val="-22"/>
          <w:w w:val="115"/>
        </w:rPr>
        <w:t> </w:t>
      </w:r>
      <w:r>
        <w:rPr>
          <w:color w:val="231F20"/>
          <w:w w:val="115"/>
        </w:rPr>
        <w:t>contra</w:t>
      </w:r>
      <w:r>
        <w:rPr>
          <w:color w:val="231F20"/>
          <w:spacing w:val="-22"/>
          <w:w w:val="115"/>
        </w:rPr>
        <w:t> </w:t>
      </w:r>
      <w:r>
        <w:rPr>
          <w:color w:val="231F20"/>
          <w:w w:val="115"/>
        </w:rPr>
        <w:t>para</w:t>
      </w:r>
      <w:r>
        <w:rPr>
          <w:color w:val="231F20"/>
          <w:spacing w:val="-22"/>
          <w:w w:val="115"/>
        </w:rPr>
        <w:t> </w:t>
      </w:r>
      <w:r>
        <w:rPr>
          <w:color w:val="231F20"/>
          <w:w w:val="115"/>
        </w:rPr>
        <w:t>evitarse</w:t>
      </w:r>
      <w:r>
        <w:rPr>
          <w:color w:val="231F20"/>
          <w:spacing w:val="-22"/>
          <w:w w:val="115"/>
        </w:rPr>
        <w:t> </w:t>
      </w:r>
      <w:r>
        <w:rPr>
          <w:color w:val="231F20"/>
          <w:w w:val="115"/>
        </w:rPr>
        <w:t>proble-</w:t>
      </w:r>
      <w:r>
        <w:rPr>
          <w:color w:val="231F20"/>
          <w:w w:val="72"/>
        </w:rPr>
        <w:t> </w:t>
      </w:r>
      <w:r>
        <w:rPr>
          <w:color w:val="231F20"/>
          <w:w w:val="115"/>
        </w:rPr>
        <w:t>mas</w:t>
      </w:r>
      <w:r>
        <w:rPr>
          <w:color w:val="231F20"/>
          <w:spacing w:val="-21"/>
          <w:w w:val="115"/>
        </w:rPr>
        <w:t> </w:t>
      </w:r>
      <w:r>
        <w:rPr>
          <w:color w:val="231F20"/>
          <w:w w:val="115"/>
        </w:rPr>
        <w:t>con</w:t>
      </w:r>
      <w:r>
        <w:rPr>
          <w:color w:val="231F20"/>
          <w:spacing w:val="-21"/>
          <w:w w:val="115"/>
        </w:rPr>
        <w:t> </w:t>
      </w:r>
      <w:r>
        <w:rPr>
          <w:color w:val="231F20"/>
          <w:w w:val="115"/>
        </w:rPr>
        <w:t>Estados</w:t>
      </w:r>
      <w:r>
        <w:rPr>
          <w:color w:val="231F20"/>
          <w:spacing w:val="-21"/>
          <w:w w:val="115"/>
        </w:rPr>
        <w:t> </w:t>
      </w:r>
      <w:r>
        <w:rPr>
          <w:color w:val="231F20"/>
          <w:w w:val="115"/>
        </w:rPr>
        <w:t>Unidos,</w:t>
      </w:r>
      <w:r>
        <w:rPr>
          <w:color w:val="231F20"/>
          <w:spacing w:val="-21"/>
          <w:w w:val="115"/>
        </w:rPr>
        <w:t> </w:t>
      </w:r>
      <w:r>
        <w:rPr>
          <w:color w:val="231F20"/>
          <w:w w:val="115"/>
        </w:rPr>
        <w:t>aunque</w:t>
      </w:r>
      <w:r>
        <w:rPr>
          <w:color w:val="231F20"/>
          <w:spacing w:val="-21"/>
          <w:w w:val="115"/>
        </w:rPr>
        <w:t> </w:t>
      </w:r>
      <w:r>
        <w:rPr>
          <w:color w:val="231F20"/>
          <w:w w:val="115"/>
        </w:rPr>
        <w:t>Argentina,</w:t>
      </w:r>
      <w:r>
        <w:rPr>
          <w:color w:val="231F20"/>
          <w:spacing w:val="-21"/>
          <w:w w:val="115"/>
        </w:rPr>
        <w:t> </w:t>
      </w:r>
      <w:r>
        <w:rPr>
          <w:color w:val="231F20"/>
          <w:w w:val="115"/>
        </w:rPr>
        <w:t>Brasil,</w:t>
      </w:r>
      <w:r>
        <w:rPr>
          <w:color w:val="231F20"/>
          <w:spacing w:val="-21"/>
          <w:w w:val="115"/>
        </w:rPr>
        <w:t> </w:t>
      </w:r>
      <w:r>
        <w:rPr>
          <w:color w:val="231F20"/>
          <w:w w:val="115"/>
        </w:rPr>
        <w:t>Chile,</w:t>
      </w:r>
      <w:r>
        <w:rPr>
          <w:color w:val="231F20"/>
          <w:spacing w:val="-21"/>
          <w:w w:val="115"/>
        </w:rPr>
        <w:t> </w:t>
      </w:r>
      <w:r>
        <w:rPr>
          <w:color w:val="231F20"/>
          <w:w w:val="115"/>
        </w:rPr>
        <w:t>México, Ecuador</w:t>
      </w:r>
      <w:r>
        <w:rPr>
          <w:color w:val="231F20"/>
          <w:spacing w:val="-20"/>
          <w:w w:val="115"/>
        </w:rPr>
        <w:t> </w:t>
      </w:r>
      <w:r>
        <w:rPr>
          <w:color w:val="231F20"/>
          <w:w w:val="115"/>
        </w:rPr>
        <w:t>y</w:t>
      </w:r>
      <w:r>
        <w:rPr>
          <w:color w:val="231F20"/>
          <w:spacing w:val="-20"/>
          <w:w w:val="115"/>
        </w:rPr>
        <w:t> </w:t>
      </w:r>
      <w:r>
        <w:rPr>
          <w:color w:val="231F20"/>
          <w:w w:val="115"/>
        </w:rPr>
        <w:t>Bolivia</w:t>
      </w:r>
      <w:r>
        <w:rPr>
          <w:color w:val="231F20"/>
          <w:spacing w:val="-20"/>
          <w:w w:val="115"/>
        </w:rPr>
        <w:t> </w:t>
      </w:r>
      <w:r>
        <w:rPr>
          <w:color w:val="231F20"/>
          <w:w w:val="115"/>
        </w:rPr>
        <w:t>se</w:t>
      </w:r>
      <w:r>
        <w:rPr>
          <w:color w:val="231F20"/>
          <w:spacing w:val="-20"/>
          <w:w w:val="115"/>
        </w:rPr>
        <w:t> </w:t>
      </w:r>
      <w:r>
        <w:rPr>
          <w:color w:val="231F20"/>
          <w:w w:val="115"/>
        </w:rPr>
        <w:t>abstuvieron.</w:t>
      </w:r>
      <w:r>
        <w:rPr>
          <w:color w:val="231F20"/>
          <w:spacing w:val="-20"/>
          <w:w w:val="115"/>
        </w:rPr>
        <w:t> </w:t>
      </w:r>
      <w:r>
        <w:rPr>
          <w:color w:val="231F20"/>
          <w:w w:val="115"/>
        </w:rPr>
        <w:t>Otro</w:t>
      </w:r>
      <w:r>
        <w:rPr>
          <w:color w:val="231F20"/>
          <w:spacing w:val="-20"/>
          <w:w w:val="115"/>
        </w:rPr>
        <w:t> </w:t>
      </w:r>
      <w:r>
        <w:rPr>
          <w:color w:val="231F20"/>
          <w:w w:val="115"/>
        </w:rPr>
        <w:t>tanto</w:t>
      </w:r>
      <w:r>
        <w:rPr>
          <w:color w:val="231F20"/>
          <w:spacing w:val="-20"/>
          <w:w w:val="115"/>
        </w:rPr>
        <w:t> </w:t>
      </w:r>
      <w:r>
        <w:rPr>
          <w:color w:val="231F20"/>
          <w:w w:val="115"/>
        </w:rPr>
        <w:t>puede</w:t>
      </w:r>
      <w:r>
        <w:rPr>
          <w:color w:val="231F20"/>
          <w:spacing w:val="-20"/>
          <w:w w:val="115"/>
        </w:rPr>
        <w:t> </w:t>
      </w:r>
      <w:r>
        <w:rPr>
          <w:color w:val="231F20"/>
          <w:w w:val="115"/>
        </w:rPr>
        <w:t>decirse</w:t>
      </w:r>
      <w:r>
        <w:rPr>
          <w:color w:val="231F20"/>
          <w:spacing w:val="-20"/>
          <w:w w:val="115"/>
        </w:rPr>
        <w:t> </w:t>
      </w:r>
      <w:r>
        <w:rPr>
          <w:color w:val="231F20"/>
          <w:w w:val="115"/>
        </w:rPr>
        <w:t>del</w:t>
      </w:r>
      <w:r>
        <w:rPr>
          <w:color w:val="231F20"/>
          <w:spacing w:val="-20"/>
          <w:w w:val="115"/>
        </w:rPr>
        <w:t> </w:t>
      </w:r>
      <w:r>
        <w:rPr>
          <w:color w:val="231F20"/>
          <w:spacing w:val="-5"/>
          <w:w w:val="115"/>
        </w:rPr>
        <w:t>Tra- </w:t>
      </w:r>
      <w:r>
        <w:rPr>
          <w:color w:val="231F20"/>
          <w:w w:val="115"/>
        </w:rPr>
        <w:t>tado</w:t>
      </w:r>
      <w:r>
        <w:rPr>
          <w:color w:val="231F20"/>
          <w:spacing w:val="-27"/>
          <w:w w:val="115"/>
        </w:rPr>
        <w:t> </w:t>
      </w:r>
      <w:r>
        <w:rPr>
          <w:color w:val="231F20"/>
          <w:w w:val="115"/>
        </w:rPr>
        <w:t>Interamericano</w:t>
      </w:r>
      <w:r>
        <w:rPr>
          <w:color w:val="231F20"/>
          <w:spacing w:val="-27"/>
          <w:w w:val="115"/>
        </w:rPr>
        <w:t> </w:t>
      </w:r>
      <w:r>
        <w:rPr>
          <w:color w:val="231F20"/>
          <w:w w:val="115"/>
        </w:rPr>
        <w:t>de</w:t>
      </w:r>
      <w:r>
        <w:rPr>
          <w:color w:val="231F20"/>
          <w:spacing w:val="-27"/>
          <w:w w:val="115"/>
        </w:rPr>
        <w:t> </w:t>
      </w:r>
      <w:r>
        <w:rPr>
          <w:color w:val="231F20"/>
          <w:w w:val="115"/>
        </w:rPr>
        <w:t>Asistencia</w:t>
      </w:r>
      <w:r>
        <w:rPr>
          <w:color w:val="231F20"/>
          <w:spacing w:val="-27"/>
          <w:w w:val="115"/>
        </w:rPr>
        <w:t> </w:t>
      </w:r>
      <w:r>
        <w:rPr>
          <w:color w:val="231F20"/>
          <w:w w:val="115"/>
        </w:rPr>
        <w:t>Recíproca</w:t>
      </w:r>
      <w:r>
        <w:rPr>
          <w:color w:val="231F20"/>
          <w:spacing w:val="-27"/>
          <w:w w:val="115"/>
        </w:rPr>
        <w:t> </w:t>
      </w:r>
      <w:r>
        <w:rPr>
          <w:color w:val="231F20"/>
          <w:w w:val="115"/>
        </w:rPr>
        <w:t>(tiar).</w:t>
      </w:r>
      <w:r>
        <w:rPr>
          <w:color w:val="231F20"/>
          <w:spacing w:val="-27"/>
          <w:w w:val="115"/>
        </w:rPr>
        <w:t> </w:t>
      </w:r>
      <w:r>
        <w:rPr>
          <w:color w:val="231F20"/>
          <w:w w:val="115"/>
        </w:rPr>
        <w:t>Este</w:t>
      </w:r>
      <w:r>
        <w:rPr>
          <w:color w:val="231F20"/>
          <w:spacing w:val="-27"/>
          <w:w w:val="115"/>
        </w:rPr>
        <w:t> </w:t>
      </w:r>
      <w:r>
        <w:rPr>
          <w:color w:val="231F20"/>
          <w:w w:val="115"/>
        </w:rPr>
        <w:t>organismo regional fue creado en 1947, dos años antes de la formación de</w:t>
      </w:r>
      <w:r>
        <w:rPr>
          <w:color w:val="231F20"/>
          <w:spacing w:val="-15"/>
          <w:w w:val="115"/>
        </w:rPr>
        <w:t> </w:t>
      </w:r>
      <w:r>
        <w:rPr>
          <w:color w:val="231F20"/>
          <w:w w:val="115"/>
        </w:rPr>
        <w:t>la otan, lo cual por sí mismo ya anticipa la importancia de la región para</w:t>
      </w:r>
      <w:r>
        <w:rPr>
          <w:color w:val="231F20"/>
          <w:spacing w:val="-34"/>
          <w:w w:val="115"/>
        </w:rPr>
        <w:t> </w:t>
      </w:r>
      <w:r>
        <w:rPr>
          <w:color w:val="231F20"/>
          <w:w w:val="115"/>
        </w:rPr>
        <w:t>la</w:t>
      </w:r>
      <w:r>
        <w:rPr>
          <w:color w:val="231F20"/>
          <w:spacing w:val="-34"/>
          <w:w w:val="115"/>
        </w:rPr>
        <w:t> </w:t>
      </w:r>
      <w:r>
        <w:rPr>
          <w:color w:val="231F20"/>
          <w:w w:val="115"/>
        </w:rPr>
        <w:t>seguridad</w:t>
      </w:r>
      <w:r>
        <w:rPr>
          <w:color w:val="231F20"/>
          <w:spacing w:val="-34"/>
          <w:w w:val="115"/>
        </w:rPr>
        <w:t> </w:t>
      </w:r>
      <w:r>
        <w:rPr>
          <w:color w:val="231F20"/>
          <w:w w:val="115"/>
        </w:rPr>
        <w:t>estadunidense.</w:t>
      </w:r>
      <w:r>
        <w:rPr>
          <w:color w:val="231F20"/>
          <w:spacing w:val="-34"/>
          <w:w w:val="115"/>
        </w:rPr>
        <w:t> </w:t>
      </w:r>
      <w:r>
        <w:rPr>
          <w:color w:val="231F20"/>
          <w:w w:val="115"/>
        </w:rPr>
        <w:t>Como</w:t>
      </w:r>
      <w:r>
        <w:rPr>
          <w:color w:val="231F20"/>
          <w:spacing w:val="-34"/>
          <w:w w:val="115"/>
        </w:rPr>
        <w:t> </w:t>
      </w:r>
      <w:r>
        <w:rPr>
          <w:color w:val="231F20"/>
          <w:w w:val="115"/>
        </w:rPr>
        <w:t>instrumento</w:t>
      </w:r>
      <w:r>
        <w:rPr>
          <w:color w:val="231F20"/>
          <w:spacing w:val="-34"/>
          <w:w w:val="115"/>
        </w:rPr>
        <w:t> </w:t>
      </w:r>
      <w:r>
        <w:rPr>
          <w:color w:val="231F20"/>
          <w:w w:val="115"/>
        </w:rPr>
        <w:t>para</w:t>
      </w:r>
      <w:r>
        <w:rPr>
          <w:color w:val="231F20"/>
          <w:spacing w:val="-34"/>
          <w:w w:val="115"/>
        </w:rPr>
        <w:t> </w:t>
      </w:r>
      <w:r>
        <w:rPr>
          <w:color w:val="231F20"/>
          <w:w w:val="115"/>
        </w:rPr>
        <w:t>la</w:t>
      </w:r>
      <w:r>
        <w:rPr>
          <w:color w:val="231F20"/>
          <w:spacing w:val="-34"/>
          <w:w w:val="115"/>
        </w:rPr>
        <w:t> </w:t>
      </w:r>
      <w:r>
        <w:rPr>
          <w:color w:val="231F20"/>
          <w:w w:val="115"/>
        </w:rPr>
        <w:t>solución </w:t>
      </w:r>
      <w:r>
        <w:rPr>
          <w:color w:val="231F20"/>
          <w:w w:val="110"/>
        </w:rPr>
        <w:t>pacífica</w:t>
      </w:r>
      <w:r>
        <w:rPr>
          <w:color w:val="231F20"/>
          <w:spacing w:val="-28"/>
          <w:w w:val="110"/>
        </w:rPr>
        <w:t> </w:t>
      </w:r>
      <w:r>
        <w:rPr>
          <w:color w:val="231F20"/>
          <w:w w:val="110"/>
        </w:rPr>
        <w:t>de</w:t>
      </w:r>
      <w:r>
        <w:rPr>
          <w:color w:val="231F20"/>
          <w:spacing w:val="-28"/>
          <w:w w:val="110"/>
        </w:rPr>
        <w:t> </w:t>
      </w:r>
      <w:r>
        <w:rPr>
          <w:color w:val="231F20"/>
          <w:w w:val="110"/>
        </w:rPr>
        <w:t>controversias</w:t>
      </w:r>
      <w:r>
        <w:rPr>
          <w:color w:val="231F20"/>
          <w:spacing w:val="-28"/>
          <w:w w:val="110"/>
        </w:rPr>
        <w:t> </w:t>
      </w:r>
      <w:r>
        <w:rPr>
          <w:color w:val="231F20"/>
          <w:w w:val="110"/>
        </w:rPr>
        <w:t>o</w:t>
      </w:r>
      <w:r>
        <w:rPr>
          <w:color w:val="231F20"/>
          <w:spacing w:val="-28"/>
          <w:w w:val="110"/>
        </w:rPr>
        <w:t> </w:t>
      </w:r>
      <w:r>
        <w:rPr>
          <w:color w:val="231F20"/>
          <w:w w:val="110"/>
        </w:rPr>
        <w:t>como</w:t>
      </w:r>
      <w:r>
        <w:rPr>
          <w:color w:val="231F20"/>
          <w:spacing w:val="-28"/>
          <w:w w:val="110"/>
        </w:rPr>
        <w:t> </w:t>
      </w:r>
      <w:r>
        <w:rPr>
          <w:color w:val="231F20"/>
          <w:w w:val="110"/>
        </w:rPr>
        <w:t>sistema</w:t>
      </w:r>
      <w:r>
        <w:rPr>
          <w:color w:val="231F20"/>
          <w:spacing w:val="-28"/>
          <w:w w:val="110"/>
        </w:rPr>
        <w:t> </w:t>
      </w:r>
      <w:r>
        <w:rPr>
          <w:color w:val="231F20"/>
          <w:w w:val="110"/>
        </w:rPr>
        <w:t>de</w:t>
      </w:r>
      <w:r>
        <w:rPr>
          <w:color w:val="231F20"/>
          <w:spacing w:val="-28"/>
          <w:w w:val="110"/>
        </w:rPr>
        <w:t> </w:t>
      </w:r>
      <w:r>
        <w:rPr>
          <w:color w:val="231F20"/>
          <w:w w:val="110"/>
        </w:rPr>
        <w:t>defensa</w:t>
      </w:r>
      <w:r>
        <w:rPr>
          <w:color w:val="231F20"/>
          <w:spacing w:val="-28"/>
          <w:w w:val="110"/>
        </w:rPr>
        <w:t> </w:t>
      </w:r>
      <w:r>
        <w:rPr>
          <w:color w:val="231F20"/>
          <w:w w:val="110"/>
        </w:rPr>
        <w:t>y</w:t>
      </w:r>
      <w:r>
        <w:rPr>
          <w:color w:val="231F20"/>
          <w:spacing w:val="-28"/>
          <w:w w:val="110"/>
        </w:rPr>
        <w:t> </w:t>
      </w:r>
      <w:r>
        <w:rPr>
          <w:color w:val="231F20"/>
          <w:w w:val="110"/>
        </w:rPr>
        <w:t>seguridad</w:t>
      </w:r>
      <w:r>
        <w:rPr>
          <w:color w:val="231F20"/>
          <w:spacing w:val="-28"/>
          <w:w w:val="110"/>
        </w:rPr>
        <w:t> </w:t>
      </w:r>
      <w:r>
        <w:rPr>
          <w:color w:val="231F20"/>
          <w:w w:val="110"/>
        </w:rPr>
        <w:t>colec- </w:t>
      </w:r>
      <w:r>
        <w:rPr>
          <w:color w:val="231F20"/>
          <w:w w:val="115"/>
        </w:rPr>
        <w:t>tiva</w:t>
      </w:r>
      <w:r>
        <w:rPr>
          <w:color w:val="231F20"/>
          <w:spacing w:val="-41"/>
          <w:w w:val="115"/>
        </w:rPr>
        <w:t> </w:t>
      </w:r>
      <w:r>
        <w:rPr>
          <w:color w:val="231F20"/>
          <w:w w:val="115"/>
        </w:rPr>
        <w:t>en</w:t>
      </w:r>
      <w:r>
        <w:rPr>
          <w:color w:val="231F20"/>
          <w:spacing w:val="-41"/>
          <w:w w:val="115"/>
        </w:rPr>
        <w:t> </w:t>
      </w:r>
      <w:r>
        <w:rPr>
          <w:color w:val="231F20"/>
          <w:w w:val="115"/>
        </w:rPr>
        <w:t>contra</w:t>
      </w:r>
      <w:r>
        <w:rPr>
          <w:color w:val="231F20"/>
          <w:spacing w:val="-41"/>
          <w:w w:val="115"/>
        </w:rPr>
        <w:t> </w:t>
      </w:r>
      <w:r>
        <w:rPr>
          <w:color w:val="231F20"/>
          <w:w w:val="115"/>
        </w:rPr>
        <w:t>de</w:t>
      </w:r>
      <w:r>
        <w:rPr>
          <w:color w:val="231F20"/>
          <w:spacing w:val="-41"/>
          <w:w w:val="115"/>
        </w:rPr>
        <w:t> </w:t>
      </w:r>
      <w:r>
        <w:rPr>
          <w:color w:val="231F20"/>
          <w:w w:val="115"/>
        </w:rPr>
        <w:t>agresiones</w:t>
      </w:r>
      <w:r>
        <w:rPr>
          <w:color w:val="231F20"/>
          <w:spacing w:val="-41"/>
          <w:w w:val="115"/>
        </w:rPr>
        <w:t> </w:t>
      </w:r>
      <w:r>
        <w:rPr>
          <w:color w:val="231F20"/>
          <w:w w:val="115"/>
        </w:rPr>
        <w:t>externas</w:t>
      </w:r>
      <w:r>
        <w:rPr>
          <w:color w:val="231F20"/>
          <w:spacing w:val="-41"/>
          <w:w w:val="115"/>
        </w:rPr>
        <w:t> </w:t>
      </w:r>
      <w:r>
        <w:rPr>
          <w:color w:val="231F20"/>
          <w:w w:val="115"/>
        </w:rPr>
        <w:t>ha</w:t>
      </w:r>
      <w:r>
        <w:rPr>
          <w:color w:val="231F20"/>
          <w:spacing w:val="-41"/>
          <w:w w:val="115"/>
        </w:rPr>
        <w:t> </w:t>
      </w:r>
      <w:r>
        <w:rPr>
          <w:color w:val="231F20"/>
          <w:w w:val="115"/>
        </w:rPr>
        <w:t>demostrado,</w:t>
      </w:r>
      <w:r>
        <w:rPr>
          <w:color w:val="231F20"/>
          <w:spacing w:val="-41"/>
          <w:w w:val="115"/>
        </w:rPr>
        <w:t> </w:t>
      </w:r>
      <w:r>
        <w:rPr>
          <w:color w:val="231F20"/>
          <w:w w:val="115"/>
        </w:rPr>
        <w:t>reiteradamente, su</w:t>
      </w:r>
      <w:r>
        <w:rPr>
          <w:color w:val="231F20"/>
          <w:spacing w:val="-17"/>
          <w:w w:val="115"/>
        </w:rPr>
        <w:t> </w:t>
      </w:r>
      <w:r>
        <w:rPr>
          <w:color w:val="231F20"/>
          <w:w w:val="115"/>
        </w:rPr>
        <w:t>total</w:t>
      </w:r>
      <w:r>
        <w:rPr>
          <w:color w:val="231F20"/>
          <w:spacing w:val="-17"/>
          <w:w w:val="115"/>
        </w:rPr>
        <w:t> </w:t>
      </w:r>
      <w:r>
        <w:rPr>
          <w:color w:val="231F20"/>
          <w:w w:val="115"/>
        </w:rPr>
        <w:t>inutilidad.</w:t>
      </w:r>
      <w:r>
        <w:rPr>
          <w:color w:val="231F20"/>
          <w:spacing w:val="-17"/>
          <w:w w:val="115"/>
        </w:rPr>
        <w:t> </w:t>
      </w:r>
      <w:r>
        <w:rPr>
          <w:color w:val="231F20"/>
          <w:w w:val="115"/>
        </w:rPr>
        <w:t>La</w:t>
      </w:r>
      <w:r>
        <w:rPr>
          <w:color w:val="231F20"/>
          <w:spacing w:val="-17"/>
          <w:w w:val="115"/>
        </w:rPr>
        <w:t> </w:t>
      </w:r>
      <w:r>
        <w:rPr>
          <w:color w:val="231F20"/>
          <w:w w:val="115"/>
        </w:rPr>
        <w:t>invasión</w:t>
      </w:r>
      <w:r>
        <w:rPr>
          <w:color w:val="231F20"/>
          <w:spacing w:val="-17"/>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w w:val="115"/>
        </w:rPr>
        <w:t>Malvinas</w:t>
      </w:r>
      <w:r>
        <w:rPr>
          <w:color w:val="231F20"/>
          <w:spacing w:val="-17"/>
          <w:w w:val="115"/>
        </w:rPr>
        <w:t> </w:t>
      </w:r>
      <w:r>
        <w:rPr>
          <w:color w:val="231F20"/>
          <w:w w:val="115"/>
        </w:rPr>
        <w:t>en</w:t>
      </w:r>
      <w:r>
        <w:rPr>
          <w:color w:val="231F20"/>
          <w:spacing w:val="-17"/>
          <w:w w:val="115"/>
        </w:rPr>
        <w:t> </w:t>
      </w:r>
      <w:r>
        <w:rPr>
          <w:color w:val="231F20"/>
          <w:w w:val="115"/>
        </w:rPr>
        <w:t>1982</w:t>
      </w:r>
      <w:r>
        <w:rPr>
          <w:color w:val="231F20"/>
          <w:spacing w:val="-17"/>
          <w:w w:val="115"/>
        </w:rPr>
        <w:t> </w:t>
      </w:r>
      <w:r>
        <w:rPr>
          <w:color w:val="231F20"/>
          <w:w w:val="115"/>
        </w:rPr>
        <w:t>por</w:t>
      </w:r>
      <w:r>
        <w:rPr>
          <w:color w:val="231F20"/>
          <w:spacing w:val="-17"/>
          <w:w w:val="115"/>
        </w:rPr>
        <w:t> </w:t>
      </w:r>
      <w:r>
        <w:rPr>
          <w:color w:val="231F20"/>
          <w:w w:val="115"/>
        </w:rPr>
        <w:t>fuerzas británicas,</w:t>
      </w:r>
      <w:r>
        <w:rPr>
          <w:color w:val="231F20"/>
          <w:spacing w:val="-37"/>
          <w:w w:val="115"/>
        </w:rPr>
        <w:t> </w:t>
      </w:r>
      <w:r>
        <w:rPr>
          <w:color w:val="231F20"/>
          <w:w w:val="115"/>
        </w:rPr>
        <w:t>la</w:t>
      </w:r>
      <w:r>
        <w:rPr>
          <w:color w:val="231F20"/>
          <w:spacing w:val="-37"/>
          <w:w w:val="115"/>
        </w:rPr>
        <w:t> </w:t>
      </w:r>
      <w:r>
        <w:rPr>
          <w:color w:val="231F20"/>
          <w:w w:val="115"/>
        </w:rPr>
        <w:t>violación</w:t>
      </w:r>
      <w:r>
        <w:rPr>
          <w:color w:val="231F20"/>
          <w:spacing w:val="-37"/>
          <w:w w:val="115"/>
        </w:rPr>
        <w:t> </w:t>
      </w:r>
      <w:r>
        <w:rPr>
          <w:color w:val="231F20"/>
          <w:w w:val="115"/>
        </w:rPr>
        <w:t>a</w:t>
      </w:r>
      <w:r>
        <w:rPr>
          <w:color w:val="231F20"/>
          <w:spacing w:val="-37"/>
          <w:w w:val="115"/>
        </w:rPr>
        <w:t> </w:t>
      </w:r>
      <w:r>
        <w:rPr>
          <w:color w:val="231F20"/>
          <w:w w:val="115"/>
        </w:rPr>
        <w:t>la</w:t>
      </w:r>
      <w:r>
        <w:rPr>
          <w:color w:val="231F20"/>
          <w:spacing w:val="-37"/>
          <w:w w:val="115"/>
        </w:rPr>
        <w:t> </w:t>
      </w:r>
      <w:r>
        <w:rPr>
          <w:color w:val="231F20"/>
          <w:w w:val="115"/>
        </w:rPr>
        <w:t>integridad</w:t>
      </w:r>
      <w:r>
        <w:rPr>
          <w:color w:val="231F20"/>
          <w:spacing w:val="-37"/>
          <w:w w:val="115"/>
        </w:rPr>
        <w:t> </w:t>
      </w:r>
      <w:r>
        <w:rPr>
          <w:color w:val="231F20"/>
          <w:w w:val="115"/>
        </w:rPr>
        <w:t>territorial</w:t>
      </w:r>
      <w:r>
        <w:rPr>
          <w:color w:val="231F20"/>
          <w:spacing w:val="-37"/>
          <w:w w:val="115"/>
        </w:rPr>
        <w:t> </w:t>
      </w:r>
      <w:r>
        <w:rPr>
          <w:color w:val="231F20"/>
          <w:w w:val="115"/>
        </w:rPr>
        <w:t>de</w:t>
      </w:r>
      <w:r>
        <w:rPr>
          <w:color w:val="231F20"/>
          <w:spacing w:val="-37"/>
          <w:w w:val="115"/>
        </w:rPr>
        <w:t> </w:t>
      </w:r>
      <w:r>
        <w:rPr>
          <w:color w:val="231F20"/>
          <w:w w:val="115"/>
        </w:rPr>
        <w:t>un</w:t>
      </w:r>
      <w:r>
        <w:rPr>
          <w:color w:val="231F20"/>
          <w:spacing w:val="-37"/>
          <w:w w:val="115"/>
        </w:rPr>
        <w:t> </w:t>
      </w:r>
      <w:r>
        <w:rPr>
          <w:color w:val="231F20"/>
          <w:w w:val="115"/>
        </w:rPr>
        <w:t>Estado</w:t>
      </w:r>
      <w:r>
        <w:rPr>
          <w:color w:val="231F20"/>
          <w:spacing w:val="-37"/>
          <w:w w:val="115"/>
        </w:rPr>
        <w:t> </w:t>
      </w:r>
      <w:r>
        <w:rPr>
          <w:color w:val="231F20"/>
          <w:w w:val="115"/>
        </w:rPr>
        <w:t>a</w:t>
      </w:r>
      <w:r>
        <w:rPr>
          <w:color w:val="231F20"/>
          <w:spacing w:val="-37"/>
          <w:w w:val="115"/>
        </w:rPr>
        <w:t> </w:t>
      </w:r>
      <w:r>
        <w:rPr>
          <w:color w:val="231F20"/>
          <w:w w:val="115"/>
        </w:rPr>
        <w:t>través</w:t>
      </w:r>
      <w:r>
        <w:rPr>
          <w:color w:val="231F20"/>
          <w:w w:val="103"/>
        </w:rPr>
        <w:t> </w:t>
      </w:r>
      <w:r>
        <w:rPr>
          <w:color w:val="231F20"/>
          <w:w w:val="115"/>
        </w:rPr>
        <w:t>de la implantación de minas en puertos nicaragüenses en los</w:t>
      </w:r>
      <w:r>
        <w:rPr>
          <w:color w:val="231F20"/>
          <w:spacing w:val="-16"/>
          <w:w w:val="115"/>
        </w:rPr>
        <w:t> </w:t>
      </w:r>
      <w:r>
        <w:rPr>
          <w:color w:val="231F20"/>
          <w:w w:val="115"/>
        </w:rPr>
        <w:t>años ochenta,</w:t>
      </w:r>
      <w:r>
        <w:rPr>
          <w:color w:val="231F20"/>
          <w:spacing w:val="-24"/>
          <w:w w:val="115"/>
        </w:rPr>
        <w:t> </w:t>
      </w:r>
      <w:r>
        <w:rPr>
          <w:color w:val="231F20"/>
          <w:w w:val="115"/>
        </w:rPr>
        <w:t>la</w:t>
      </w:r>
      <w:r>
        <w:rPr>
          <w:color w:val="231F20"/>
          <w:spacing w:val="-24"/>
          <w:w w:val="115"/>
        </w:rPr>
        <w:t> </w:t>
      </w:r>
      <w:r>
        <w:rPr>
          <w:color w:val="231F20"/>
          <w:w w:val="115"/>
        </w:rPr>
        <w:t>intervención</w:t>
      </w:r>
      <w:r>
        <w:rPr>
          <w:color w:val="231F20"/>
          <w:spacing w:val="-24"/>
          <w:w w:val="115"/>
        </w:rPr>
        <w:t> </w:t>
      </w:r>
      <w:r>
        <w:rPr>
          <w:color w:val="231F20"/>
          <w:w w:val="115"/>
        </w:rPr>
        <w:t>militar</w:t>
      </w:r>
      <w:r>
        <w:rPr>
          <w:color w:val="231F20"/>
          <w:spacing w:val="-24"/>
          <w:w w:val="115"/>
        </w:rPr>
        <w:t> </w:t>
      </w:r>
      <w:r>
        <w:rPr>
          <w:color w:val="231F20"/>
          <w:w w:val="115"/>
        </w:rPr>
        <w:t>estadunidense</w:t>
      </w:r>
      <w:r>
        <w:rPr>
          <w:color w:val="231F20"/>
          <w:spacing w:val="-24"/>
          <w:w w:val="115"/>
        </w:rPr>
        <w:t> </w:t>
      </w:r>
      <w:r>
        <w:rPr>
          <w:color w:val="231F20"/>
          <w:w w:val="115"/>
        </w:rPr>
        <w:t>en</w:t>
      </w:r>
      <w:r>
        <w:rPr>
          <w:color w:val="231F20"/>
          <w:spacing w:val="-24"/>
          <w:w w:val="115"/>
        </w:rPr>
        <w:t> </w:t>
      </w:r>
      <w:r>
        <w:rPr>
          <w:color w:val="231F20"/>
          <w:w w:val="115"/>
        </w:rPr>
        <w:t>la</w:t>
      </w:r>
      <w:r>
        <w:rPr>
          <w:color w:val="231F20"/>
          <w:spacing w:val="-24"/>
          <w:w w:val="115"/>
        </w:rPr>
        <w:t> </w:t>
      </w:r>
      <w:r>
        <w:rPr>
          <w:color w:val="231F20"/>
          <w:w w:val="115"/>
        </w:rPr>
        <w:t>isla</w:t>
      </w:r>
      <w:r>
        <w:rPr>
          <w:color w:val="231F20"/>
          <w:spacing w:val="-24"/>
          <w:w w:val="115"/>
        </w:rPr>
        <w:t> </w:t>
      </w:r>
      <w:r>
        <w:rPr>
          <w:color w:val="231F20"/>
          <w:w w:val="115"/>
        </w:rPr>
        <w:t>de</w:t>
      </w:r>
      <w:r>
        <w:rPr>
          <w:color w:val="231F20"/>
          <w:spacing w:val="-24"/>
          <w:w w:val="115"/>
        </w:rPr>
        <w:t> </w:t>
      </w:r>
      <w:r>
        <w:rPr>
          <w:color w:val="231F20"/>
          <w:w w:val="115"/>
        </w:rPr>
        <w:t>Granada</w:t>
      </w:r>
    </w:p>
    <w:p>
      <w:pPr>
        <w:spacing w:after="0" w:line="261" w:lineRule="auto"/>
        <w:jc w:val="both"/>
        <w:sectPr>
          <w:headerReference w:type="even" r:id="rId277"/>
          <w:headerReference w:type="default" r:id="rId278"/>
          <w:pgSz w:w="7640" w:h="11900"/>
          <w:pgMar w:header="672" w:footer="0" w:top="860" w:bottom="280" w:left="780" w:right="640"/>
          <w:pgNumType w:start="372"/>
        </w:sectPr>
      </w:pPr>
    </w:p>
    <w:p>
      <w:pPr>
        <w:pStyle w:val="BodyText"/>
        <w:spacing w:before="8"/>
        <w:rPr>
          <w:sz w:val="8"/>
        </w:rPr>
      </w:pPr>
    </w:p>
    <w:p>
      <w:pPr>
        <w:pStyle w:val="BodyText"/>
        <w:spacing w:line="261" w:lineRule="auto" w:before="67"/>
        <w:ind w:left="100" w:right="117"/>
        <w:jc w:val="both"/>
      </w:pPr>
      <w:r>
        <w:rPr>
          <w:color w:val="231F20"/>
          <w:w w:val="110"/>
        </w:rPr>
        <w:t>en 1983 y la invasión llevada a cabo por tropas estadunidenses en Panamá en 1989, son muestras emblemáticas de que como sistema nada tiene que ver con la defensa de la   región.</w:t>
      </w:r>
    </w:p>
    <w:p>
      <w:pPr>
        <w:pStyle w:val="BodyText"/>
        <w:spacing w:line="261" w:lineRule="auto"/>
        <w:ind w:left="100" w:right="117" w:firstLine="240"/>
        <w:jc w:val="both"/>
      </w:pPr>
      <w:r>
        <w:rPr>
          <w:color w:val="231F20"/>
          <w:w w:val="110"/>
        </w:rPr>
        <w:t>Durante la guerra fría la política exterior de Estados Unidos</w:t>
      </w:r>
      <w:r>
        <w:rPr>
          <w:color w:val="231F20"/>
          <w:spacing w:val="-23"/>
          <w:w w:val="110"/>
        </w:rPr>
        <w:t> </w:t>
      </w:r>
      <w:r>
        <w:rPr>
          <w:color w:val="231F20"/>
          <w:w w:val="110"/>
        </w:rPr>
        <w:t>hacia América</w:t>
      </w:r>
      <w:r>
        <w:rPr>
          <w:color w:val="231F20"/>
          <w:spacing w:val="-5"/>
          <w:w w:val="110"/>
        </w:rPr>
        <w:t> </w:t>
      </w:r>
      <w:r>
        <w:rPr>
          <w:color w:val="231F20"/>
          <w:w w:val="110"/>
        </w:rPr>
        <w:t>Latina</w:t>
      </w:r>
      <w:r>
        <w:rPr>
          <w:color w:val="231F20"/>
          <w:spacing w:val="-5"/>
          <w:w w:val="110"/>
        </w:rPr>
        <w:t> </w:t>
      </w:r>
      <w:r>
        <w:rPr>
          <w:color w:val="231F20"/>
          <w:w w:val="110"/>
        </w:rPr>
        <w:t>se</w:t>
      </w:r>
      <w:r>
        <w:rPr>
          <w:color w:val="231F20"/>
          <w:spacing w:val="-5"/>
          <w:w w:val="110"/>
        </w:rPr>
        <w:t> </w:t>
      </w:r>
      <w:r>
        <w:rPr>
          <w:color w:val="231F20"/>
          <w:w w:val="110"/>
        </w:rPr>
        <w:t>centró</w:t>
      </w:r>
      <w:r>
        <w:rPr>
          <w:color w:val="231F20"/>
          <w:spacing w:val="-5"/>
          <w:w w:val="110"/>
        </w:rPr>
        <w:t> </w:t>
      </w:r>
      <w:r>
        <w:rPr>
          <w:color w:val="231F20"/>
          <w:w w:val="110"/>
        </w:rPr>
        <w:t>en</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dado</w:t>
      </w:r>
      <w:r>
        <w:rPr>
          <w:color w:val="231F20"/>
          <w:spacing w:val="-5"/>
          <w:w w:val="110"/>
        </w:rPr>
        <w:t> </w:t>
      </w:r>
      <w:r>
        <w:rPr>
          <w:color w:val="231F20"/>
          <w:w w:val="110"/>
        </w:rPr>
        <w:t>en</w:t>
      </w:r>
      <w:r>
        <w:rPr>
          <w:color w:val="231F20"/>
          <w:spacing w:val="-5"/>
          <w:w w:val="110"/>
        </w:rPr>
        <w:t> </w:t>
      </w:r>
      <w:r>
        <w:rPr>
          <w:color w:val="231F20"/>
          <w:w w:val="110"/>
        </w:rPr>
        <w:t>llamar</w:t>
      </w:r>
      <w:r>
        <w:rPr>
          <w:color w:val="231F20"/>
          <w:spacing w:val="-5"/>
          <w:w w:val="110"/>
        </w:rPr>
        <w:t> </w:t>
      </w:r>
      <w:r>
        <w:rPr>
          <w:color w:val="231F20"/>
          <w:w w:val="110"/>
        </w:rPr>
        <w:t>la</w:t>
      </w:r>
      <w:r>
        <w:rPr>
          <w:color w:val="231F20"/>
          <w:spacing w:val="-5"/>
          <w:w w:val="110"/>
        </w:rPr>
        <w:t> </w:t>
      </w:r>
      <w:r>
        <w:rPr>
          <w:color w:val="231F20"/>
          <w:w w:val="110"/>
        </w:rPr>
        <w:t>estrategia de contención del comunismo en esta área que ha sido tradicional- mente su zona de influencia. Nos parece acertada la caracterización que sobre esto hace un estudio cuando concluye que: “la relación entre Estados Unidos y América Latina fue de una normalidad</w:t>
      </w:r>
      <w:r>
        <w:rPr>
          <w:color w:val="231F20"/>
          <w:spacing w:val="-18"/>
          <w:w w:val="110"/>
        </w:rPr>
        <w:t> </w:t>
      </w:r>
      <w:r>
        <w:rPr>
          <w:color w:val="231F20"/>
          <w:w w:val="110"/>
        </w:rPr>
        <w:t>basa- da en la subordinación o el acatamiento de los países en la región    a los lineamientos de las políticas implementadas en Washington” (Aguirre, 2006:</w:t>
      </w:r>
      <w:r>
        <w:rPr>
          <w:color w:val="231F20"/>
          <w:spacing w:val="-18"/>
          <w:w w:val="110"/>
        </w:rPr>
        <w:t> </w:t>
      </w:r>
      <w:r>
        <w:rPr>
          <w:color w:val="231F20"/>
          <w:w w:val="110"/>
        </w:rPr>
        <w:t>44).</w:t>
      </w:r>
    </w:p>
    <w:p>
      <w:pPr>
        <w:pStyle w:val="BodyText"/>
        <w:spacing w:line="261" w:lineRule="auto"/>
        <w:ind w:left="100" w:right="117" w:firstLine="292"/>
        <w:jc w:val="both"/>
      </w:pPr>
      <w:r>
        <w:rPr>
          <w:color w:val="231F20"/>
          <w:w w:val="110"/>
        </w:rPr>
        <w:t>Destinado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prohibición</w:t>
      </w:r>
      <w:r>
        <w:rPr>
          <w:color w:val="231F20"/>
          <w:spacing w:val="-6"/>
          <w:w w:val="110"/>
        </w:rPr>
        <w:t> </w:t>
      </w:r>
      <w:r>
        <w:rPr>
          <w:color w:val="231F20"/>
          <w:w w:val="110"/>
        </w:rPr>
        <w:t>de</w:t>
      </w:r>
      <w:r>
        <w:rPr>
          <w:color w:val="231F20"/>
          <w:spacing w:val="-6"/>
          <w:w w:val="110"/>
        </w:rPr>
        <w:t> </w:t>
      </w:r>
      <w:r>
        <w:rPr>
          <w:color w:val="231F20"/>
          <w:w w:val="110"/>
        </w:rPr>
        <w:t>armas</w:t>
      </w:r>
      <w:r>
        <w:rPr>
          <w:color w:val="231F20"/>
          <w:spacing w:val="-6"/>
          <w:w w:val="110"/>
        </w:rPr>
        <w:t> </w:t>
      </w:r>
      <w:r>
        <w:rPr>
          <w:color w:val="231F20"/>
          <w:w w:val="110"/>
        </w:rPr>
        <w:t>nucleares</w:t>
      </w:r>
      <w:r>
        <w:rPr>
          <w:color w:val="231F20"/>
          <w:spacing w:val="-6"/>
          <w:w w:val="110"/>
        </w:rPr>
        <w:t> </w:t>
      </w:r>
      <w:r>
        <w:rPr>
          <w:color w:val="231F20"/>
          <w:w w:val="110"/>
        </w:rPr>
        <w:t>en</w:t>
      </w:r>
      <w:r>
        <w:rPr>
          <w:color w:val="231F20"/>
          <w:spacing w:val="-6"/>
          <w:w w:val="110"/>
        </w:rPr>
        <w:t> </w:t>
      </w:r>
      <w:r>
        <w:rPr>
          <w:color w:val="231F20"/>
          <w:w w:val="110"/>
        </w:rPr>
        <w:t>América</w:t>
      </w:r>
      <w:r>
        <w:rPr>
          <w:color w:val="231F20"/>
          <w:spacing w:val="-6"/>
          <w:w w:val="110"/>
        </w:rPr>
        <w:t> </w:t>
      </w:r>
      <w:r>
        <w:rPr>
          <w:color w:val="231F20"/>
          <w:w w:val="110"/>
        </w:rPr>
        <w:t>Latina y</w:t>
      </w:r>
      <w:r>
        <w:rPr>
          <w:color w:val="231F20"/>
          <w:spacing w:val="-16"/>
          <w:w w:val="110"/>
        </w:rPr>
        <w:t> </w:t>
      </w:r>
      <w:r>
        <w:rPr>
          <w:color w:val="231F20"/>
          <w:w w:val="110"/>
        </w:rPr>
        <w:t>el</w:t>
      </w:r>
      <w:r>
        <w:rPr>
          <w:color w:val="231F20"/>
          <w:spacing w:val="-16"/>
          <w:w w:val="110"/>
        </w:rPr>
        <w:t> </w:t>
      </w:r>
      <w:r>
        <w:rPr>
          <w:color w:val="231F20"/>
          <w:w w:val="110"/>
        </w:rPr>
        <w:t>Caribe,</w:t>
      </w:r>
      <w:r>
        <w:rPr>
          <w:color w:val="231F20"/>
          <w:spacing w:val="-16"/>
          <w:w w:val="110"/>
        </w:rPr>
        <w:t> </w:t>
      </w:r>
      <w:r>
        <w:rPr>
          <w:color w:val="231F20"/>
          <w:w w:val="110"/>
        </w:rPr>
        <w:t>la</w:t>
      </w:r>
      <w:r>
        <w:rPr>
          <w:color w:val="231F20"/>
          <w:spacing w:val="-16"/>
          <w:w w:val="110"/>
        </w:rPr>
        <w:t> </w:t>
      </w:r>
      <w:r>
        <w:rPr>
          <w:color w:val="231F20"/>
          <w:w w:val="110"/>
        </w:rPr>
        <w:t>firma</w:t>
      </w:r>
      <w:r>
        <w:rPr>
          <w:color w:val="231F20"/>
          <w:spacing w:val="-16"/>
          <w:w w:val="110"/>
        </w:rPr>
        <w:t> </w:t>
      </w:r>
      <w:r>
        <w:rPr>
          <w:color w:val="231F20"/>
          <w:w w:val="110"/>
        </w:rPr>
        <w:t>en</w:t>
      </w:r>
      <w:r>
        <w:rPr>
          <w:color w:val="231F20"/>
          <w:spacing w:val="-16"/>
          <w:w w:val="110"/>
        </w:rPr>
        <w:t> </w:t>
      </w:r>
      <w:r>
        <w:rPr>
          <w:color w:val="231F20"/>
          <w:w w:val="110"/>
        </w:rPr>
        <w:t>1967</w:t>
      </w:r>
      <w:r>
        <w:rPr>
          <w:color w:val="231F20"/>
          <w:spacing w:val="-16"/>
          <w:w w:val="110"/>
        </w:rPr>
        <w:t> </w:t>
      </w:r>
      <w:r>
        <w:rPr>
          <w:color w:val="231F20"/>
          <w:w w:val="110"/>
        </w:rPr>
        <w:t>y</w:t>
      </w:r>
      <w:r>
        <w:rPr>
          <w:color w:val="231F20"/>
          <w:spacing w:val="-16"/>
          <w:w w:val="110"/>
        </w:rPr>
        <w:t> </w:t>
      </w:r>
      <w:r>
        <w:rPr>
          <w:color w:val="231F20"/>
          <w:w w:val="110"/>
        </w:rPr>
        <w:t>entrado</w:t>
      </w:r>
      <w:r>
        <w:rPr>
          <w:color w:val="231F20"/>
          <w:spacing w:val="-16"/>
          <w:w w:val="110"/>
        </w:rPr>
        <w:t> </w:t>
      </w:r>
      <w:r>
        <w:rPr>
          <w:color w:val="231F20"/>
          <w:w w:val="110"/>
        </w:rPr>
        <w:t>en</w:t>
      </w:r>
      <w:r>
        <w:rPr>
          <w:color w:val="231F20"/>
          <w:spacing w:val="-16"/>
          <w:w w:val="110"/>
        </w:rPr>
        <w:t> </w:t>
      </w:r>
      <w:r>
        <w:rPr>
          <w:color w:val="231F20"/>
          <w:w w:val="110"/>
        </w:rPr>
        <w:t>vigor</w:t>
      </w:r>
      <w:r>
        <w:rPr>
          <w:color w:val="231F20"/>
          <w:spacing w:val="-16"/>
          <w:w w:val="110"/>
        </w:rPr>
        <w:t> </w:t>
      </w:r>
      <w:r>
        <w:rPr>
          <w:color w:val="231F20"/>
          <w:w w:val="110"/>
        </w:rPr>
        <w:t>desde</w:t>
      </w:r>
      <w:r>
        <w:rPr>
          <w:color w:val="231F20"/>
          <w:spacing w:val="-16"/>
          <w:w w:val="110"/>
        </w:rPr>
        <w:t> </w:t>
      </w:r>
      <w:r>
        <w:rPr>
          <w:color w:val="231F20"/>
          <w:w w:val="110"/>
        </w:rPr>
        <w:t>abril</w:t>
      </w:r>
      <w:r>
        <w:rPr>
          <w:color w:val="231F20"/>
          <w:spacing w:val="-16"/>
          <w:w w:val="110"/>
        </w:rPr>
        <w:t> </w:t>
      </w:r>
      <w:r>
        <w:rPr>
          <w:color w:val="231F20"/>
          <w:w w:val="110"/>
        </w:rPr>
        <w:t>de</w:t>
      </w:r>
      <w:r>
        <w:rPr>
          <w:color w:val="231F20"/>
          <w:spacing w:val="-16"/>
          <w:w w:val="110"/>
        </w:rPr>
        <w:t> </w:t>
      </w:r>
      <w:r>
        <w:rPr>
          <w:color w:val="231F20"/>
          <w:w w:val="110"/>
        </w:rPr>
        <w:t>1969,</w:t>
      </w:r>
      <w:r>
        <w:rPr>
          <w:color w:val="231F20"/>
          <w:spacing w:val="-16"/>
          <w:w w:val="110"/>
        </w:rPr>
        <w:t> </w:t>
      </w:r>
      <w:r>
        <w:rPr>
          <w:color w:val="231F20"/>
          <w:w w:val="110"/>
        </w:rPr>
        <w:t>el </w:t>
      </w:r>
      <w:r>
        <w:rPr>
          <w:color w:val="231F20"/>
          <w:spacing w:val="-3"/>
          <w:w w:val="110"/>
        </w:rPr>
        <w:t>Tratado </w:t>
      </w:r>
      <w:r>
        <w:rPr>
          <w:color w:val="231F20"/>
          <w:w w:val="110"/>
        </w:rPr>
        <w:t>de Tlatelolco constituye un antecedente de grandes proyec- ciones en esta búsqueda de crear instrumentos multilaterales frente  a</w:t>
      </w:r>
      <w:r>
        <w:rPr>
          <w:color w:val="231F20"/>
          <w:spacing w:val="-14"/>
          <w:w w:val="110"/>
        </w:rPr>
        <w:t> </w:t>
      </w:r>
      <w:r>
        <w:rPr>
          <w:color w:val="231F20"/>
          <w:w w:val="110"/>
        </w:rPr>
        <w:t>las</w:t>
      </w:r>
      <w:r>
        <w:rPr>
          <w:color w:val="231F20"/>
          <w:spacing w:val="-14"/>
          <w:w w:val="110"/>
        </w:rPr>
        <w:t> </w:t>
      </w:r>
      <w:r>
        <w:rPr>
          <w:color w:val="231F20"/>
          <w:w w:val="110"/>
        </w:rPr>
        <w:t>amenazas</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seguridad</w:t>
      </w:r>
      <w:r>
        <w:rPr>
          <w:color w:val="231F20"/>
          <w:spacing w:val="-14"/>
          <w:w w:val="110"/>
        </w:rPr>
        <w:t> </w:t>
      </w:r>
      <w:r>
        <w:rPr>
          <w:color w:val="231F20"/>
          <w:w w:val="110"/>
        </w:rPr>
        <w:t>colectiva</w:t>
      </w:r>
      <w:r>
        <w:rPr>
          <w:color w:val="231F20"/>
          <w:spacing w:val="-14"/>
          <w:w w:val="110"/>
        </w:rPr>
        <w:t> </w:t>
      </w:r>
      <w:r>
        <w:rPr>
          <w:color w:val="231F20"/>
          <w:w w:val="110"/>
        </w:rPr>
        <w:t>(Velázquez</w:t>
      </w:r>
      <w:r>
        <w:rPr>
          <w:color w:val="231F20"/>
          <w:spacing w:val="-14"/>
          <w:w w:val="110"/>
        </w:rPr>
        <w:t> </w:t>
      </w:r>
      <w:r>
        <w:rPr>
          <w:color w:val="231F20"/>
          <w:w w:val="110"/>
        </w:rPr>
        <w:t>Elizárraraz,</w:t>
      </w:r>
      <w:r>
        <w:rPr>
          <w:color w:val="231F20"/>
          <w:spacing w:val="-14"/>
          <w:w w:val="110"/>
        </w:rPr>
        <w:t> </w:t>
      </w:r>
      <w:r>
        <w:rPr>
          <w:color w:val="231F20"/>
          <w:w w:val="110"/>
        </w:rPr>
        <w:t>2007: 319-338). Cuando la ofensiva de la política estadunidense contra Nicaragua,</w:t>
      </w:r>
      <w:r>
        <w:rPr>
          <w:color w:val="231F20"/>
          <w:spacing w:val="-10"/>
          <w:w w:val="110"/>
        </w:rPr>
        <w:t> </w:t>
      </w:r>
      <w:r>
        <w:rPr>
          <w:color w:val="231F20"/>
          <w:w w:val="110"/>
        </w:rPr>
        <w:t>El</w:t>
      </w:r>
      <w:r>
        <w:rPr>
          <w:color w:val="231F20"/>
          <w:spacing w:val="-10"/>
          <w:w w:val="110"/>
        </w:rPr>
        <w:t> </w:t>
      </w:r>
      <w:r>
        <w:rPr>
          <w:color w:val="231F20"/>
          <w:w w:val="110"/>
        </w:rPr>
        <w:t>Salvador</w:t>
      </w:r>
      <w:r>
        <w:rPr>
          <w:color w:val="231F20"/>
          <w:spacing w:val="-10"/>
          <w:w w:val="110"/>
        </w:rPr>
        <w:t> </w:t>
      </w:r>
      <w:r>
        <w:rPr>
          <w:color w:val="231F20"/>
          <w:w w:val="110"/>
        </w:rPr>
        <w:t>y</w:t>
      </w:r>
      <w:r>
        <w:rPr>
          <w:color w:val="231F20"/>
          <w:spacing w:val="-10"/>
          <w:w w:val="110"/>
        </w:rPr>
        <w:t> </w:t>
      </w:r>
      <w:r>
        <w:rPr>
          <w:color w:val="231F20"/>
          <w:w w:val="110"/>
        </w:rPr>
        <w:t>Guatemala</w:t>
      </w:r>
      <w:r>
        <w:rPr>
          <w:color w:val="231F20"/>
          <w:spacing w:val="-10"/>
          <w:w w:val="110"/>
        </w:rPr>
        <w:t> </w:t>
      </w:r>
      <w:r>
        <w:rPr>
          <w:color w:val="231F20"/>
          <w:w w:val="110"/>
        </w:rPr>
        <w:t>parecía</w:t>
      </w:r>
      <w:r>
        <w:rPr>
          <w:color w:val="231F20"/>
          <w:spacing w:val="-10"/>
          <w:w w:val="110"/>
        </w:rPr>
        <w:t> </w:t>
      </w:r>
      <w:r>
        <w:rPr>
          <w:color w:val="231F20"/>
          <w:w w:val="110"/>
        </w:rPr>
        <w:t>omnipotente</w:t>
      </w:r>
      <w:r>
        <w:rPr>
          <w:color w:val="231F20"/>
          <w:spacing w:val="-10"/>
          <w:w w:val="110"/>
        </w:rPr>
        <w:t> </w:t>
      </w:r>
      <w:r>
        <w:rPr>
          <w:color w:val="231F20"/>
          <w:w w:val="110"/>
        </w:rPr>
        <w:t>se</w:t>
      </w:r>
      <w:r>
        <w:rPr>
          <w:color w:val="231F20"/>
          <w:spacing w:val="-10"/>
          <w:w w:val="110"/>
        </w:rPr>
        <w:t> </w:t>
      </w:r>
      <w:r>
        <w:rPr>
          <w:color w:val="231F20"/>
          <w:w w:val="110"/>
        </w:rPr>
        <w:t>articula, en aquella coyuntura de 1983, la creación del Grupo de Contadora por</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Colombia,</w:t>
      </w:r>
      <w:r>
        <w:rPr>
          <w:color w:val="231F20"/>
          <w:spacing w:val="-10"/>
          <w:w w:val="110"/>
        </w:rPr>
        <w:t> </w:t>
      </w:r>
      <w:r>
        <w:rPr>
          <w:color w:val="231F20"/>
          <w:w w:val="110"/>
        </w:rPr>
        <w:t>México,</w:t>
      </w:r>
      <w:r>
        <w:rPr>
          <w:color w:val="231F20"/>
          <w:spacing w:val="-10"/>
          <w:w w:val="110"/>
        </w:rPr>
        <w:t> </w:t>
      </w:r>
      <w:r>
        <w:rPr>
          <w:color w:val="231F20"/>
          <w:w w:val="110"/>
        </w:rPr>
        <w:t>Panamá</w:t>
      </w:r>
      <w:r>
        <w:rPr>
          <w:color w:val="231F20"/>
          <w:spacing w:val="-10"/>
          <w:w w:val="110"/>
        </w:rPr>
        <w:t> </w:t>
      </w:r>
      <w:r>
        <w:rPr>
          <w:color w:val="231F20"/>
          <w:w w:val="110"/>
        </w:rPr>
        <w:t>y</w:t>
      </w:r>
      <w:r>
        <w:rPr>
          <w:color w:val="231F20"/>
          <w:spacing w:val="-10"/>
          <w:w w:val="110"/>
        </w:rPr>
        <w:t> </w:t>
      </w:r>
      <w:r>
        <w:rPr>
          <w:color w:val="231F20"/>
          <w:w w:val="110"/>
        </w:rPr>
        <w:t>Venezuela.</w:t>
      </w:r>
      <w:r>
        <w:rPr>
          <w:color w:val="231F20"/>
          <w:spacing w:val="-10"/>
          <w:w w:val="110"/>
        </w:rPr>
        <w:t> </w:t>
      </w:r>
      <w:r>
        <w:rPr>
          <w:color w:val="231F20"/>
          <w:w w:val="110"/>
        </w:rPr>
        <w:t>Su</w:t>
      </w:r>
      <w:r>
        <w:rPr>
          <w:color w:val="231F20"/>
          <w:spacing w:val="-10"/>
          <w:w w:val="110"/>
        </w:rPr>
        <w:t> </w:t>
      </w:r>
      <w:r>
        <w:rPr>
          <w:color w:val="231F20"/>
          <w:w w:val="110"/>
        </w:rPr>
        <w:t>objetivo</w:t>
      </w:r>
      <w:r>
        <w:rPr>
          <w:color w:val="231F20"/>
          <w:spacing w:val="-10"/>
          <w:w w:val="110"/>
        </w:rPr>
        <w:t> </w:t>
      </w:r>
      <w:r>
        <w:rPr>
          <w:color w:val="231F20"/>
          <w:w w:val="110"/>
        </w:rPr>
        <w:t>de buscar salidas a las guerras civiles centroamericanas representó otro peldaño importante en el intento por dotar a la región de instrumen- tos políticos y diplomáticos que se aparten de la estrategia diseñada por</w:t>
      </w:r>
      <w:r>
        <w:rPr>
          <w:color w:val="231F20"/>
          <w:spacing w:val="-6"/>
          <w:w w:val="110"/>
        </w:rPr>
        <w:t> </w:t>
      </w:r>
      <w:r>
        <w:rPr>
          <w:color w:val="231F20"/>
          <w:w w:val="110"/>
        </w:rPr>
        <w:t>la</w:t>
      </w:r>
      <w:r>
        <w:rPr>
          <w:color w:val="231F20"/>
          <w:spacing w:val="-6"/>
          <w:w w:val="110"/>
        </w:rPr>
        <w:t> </w:t>
      </w:r>
      <w:r>
        <w:rPr>
          <w:color w:val="231F20"/>
          <w:w w:val="110"/>
        </w:rPr>
        <w:t>Casa</w:t>
      </w:r>
      <w:r>
        <w:rPr>
          <w:color w:val="231F20"/>
          <w:spacing w:val="-6"/>
          <w:w w:val="110"/>
        </w:rPr>
        <w:t> </w:t>
      </w:r>
      <w:r>
        <w:rPr>
          <w:color w:val="231F20"/>
          <w:w w:val="110"/>
        </w:rPr>
        <w:t>Blanca</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Pentágono</w:t>
      </w:r>
      <w:r>
        <w:rPr>
          <w:color w:val="231F20"/>
          <w:spacing w:val="-6"/>
          <w:w w:val="110"/>
        </w:rPr>
        <w:t> </w:t>
      </w:r>
      <w:r>
        <w:rPr>
          <w:color w:val="231F20"/>
          <w:w w:val="110"/>
        </w:rPr>
        <w:t>(Ojeda</w:t>
      </w:r>
      <w:r>
        <w:rPr>
          <w:color w:val="231F20"/>
          <w:spacing w:val="-6"/>
          <w:w w:val="110"/>
        </w:rPr>
        <w:t> </w:t>
      </w:r>
      <w:r>
        <w:rPr>
          <w:color w:val="231F20"/>
          <w:w w:val="110"/>
        </w:rPr>
        <w:t>Gómez,</w:t>
      </w:r>
      <w:r>
        <w:rPr>
          <w:color w:val="231F20"/>
          <w:spacing w:val="-6"/>
          <w:w w:val="110"/>
        </w:rPr>
        <w:t> </w:t>
      </w:r>
      <w:r>
        <w:rPr>
          <w:color w:val="231F20"/>
          <w:w w:val="110"/>
        </w:rPr>
        <w:t>2007:</w:t>
      </w:r>
      <w:r>
        <w:rPr>
          <w:color w:val="231F20"/>
          <w:spacing w:val="-6"/>
          <w:w w:val="110"/>
        </w:rPr>
        <w:t> </w:t>
      </w:r>
      <w:r>
        <w:rPr>
          <w:color w:val="231F20"/>
          <w:w w:val="110"/>
        </w:rPr>
        <w:t>31-61).</w:t>
      </w:r>
      <w:r>
        <w:rPr>
          <w:color w:val="231F20"/>
          <w:spacing w:val="-6"/>
          <w:w w:val="110"/>
        </w:rPr>
        <w:t> </w:t>
      </w:r>
      <w:r>
        <w:rPr>
          <w:color w:val="231F20"/>
          <w:w w:val="110"/>
        </w:rPr>
        <w:t>Fue la intervención del primer ministro sueco, Olof Palme,</w:t>
      </w:r>
      <w:r>
        <w:rPr>
          <w:color w:val="231F20"/>
          <w:w w:val="110"/>
          <w:position w:val="6"/>
          <w:sz w:val="13"/>
        </w:rPr>
        <w:t>5 </w:t>
      </w:r>
      <w:r>
        <w:rPr>
          <w:color w:val="231F20"/>
          <w:w w:val="110"/>
        </w:rPr>
        <w:t>la que con- tribuyó de manera decisiva para que se constituyera este grupo que se fue ampliando, pese al rechazo de la diplomacia estadunidense (Wallerstein,</w:t>
      </w:r>
      <w:r>
        <w:rPr>
          <w:color w:val="231F20"/>
          <w:spacing w:val="-6"/>
          <w:w w:val="110"/>
        </w:rPr>
        <w:t> </w:t>
      </w:r>
      <w:r>
        <w:rPr>
          <w:color w:val="231F20"/>
          <w:w w:val="110"/>
        </w:rPr>
        <w:t>1988).</w:t>
      </w:r>
      <w:r>
        <w:rPr>
          <w:color w:val="231F20"/>
          <w:spacing w:val="-6"/>
          <w:w w:val="110"/>
        </w:rPr>
        <w:t> </w:t>
      </w:r>
      <w:r>
        <w:rPr>
          <w:color w:val="231F20"/>
          <w:w w:val="110"/>
        </w:rPr>
        <w:t>En</w:t>
      </w:r>
      <w:r>
        <w:rPr>
          <w:color w:val="231F20"/>
          <w:spacing w:val="-6"/>
          <w:w w:val="110"/>
        </w:rPr>
        <w:t> </w:t>
      </w:r>
      <w:r>
        <w:rPr>
          <w:color w:val="231F20"/>
          <w:w w:val="110"/>
        </w:rPr>
        <w:t>1986</w:t>
      </w:r>
      <w:r>
        <w:rPr>
          <w:color w:val="231F20"/>
          <w:spacing w:val="-6"/>
          <w:w w:val="110"/>
        </w:rPr>
        <w:t> </w:t>
      </w:r>
      <w:r>
        <w:rPr>
          <w:color w:val="231F20"/>
          <w:w w:val="110"/>
        </w:rPr>
        <w:t>el</w:t>
      </w:r>
      <w:r>
        <w:rPr>
          <w:color w:val="231F20"/>
          <w:spacing w:val="-6"/>
          <w:w w:val="110"/>
        </w:rPr>
        <w:t> </w:t>
      </w:r>
      <w:r>
        <w:rPr>
          <w:color w:val="231F20"/>
          <w:w w:val="110"/>
        </w:rPr>
        <w:t>Mecanismo</w:t>
      </w:r>
      <w:r>
        <w:rPr>
          <w:color w:val="231F20"/>
          <w:spacing w:val="-6"/>
          <w:w w:val="110"/>
        </w:rPr>
        <w:t> </w:t>
      </w:r>
      <w:r>
        <w:rPr>
          <w:color w:val="231F20"/>
          <w:w w:val="110"/>
        </w:rPr>
        <w:t>Permanente</w:t>
      </w:r>
      <w:r>
        <w:rPr>
          <w:color w:val="231F20"/>
          <w:spacing w:val="-6"/>
          <w:w w:val="110"/>
        </w:rPr>
        <w:t> </w:t>
      </w:r>
      <w:r>
        <w:rPr>
          <w:color w:val="231F20"/>
          <w:w w:val="110"/>
        </w:rPr>
        <w:t>de</w:t>
      </w:r>
      <w:r>
        <w:rPr>
          <w:color w:val="231F20"/>
          <w:spacing w:val="-6"/>
          <w:w w:val="110"/>
        </w:rPr>
        <w:t> </w:t>
      </w:r>
      <w:r>
        <w:rPr>
          <w:color w:val="231F20"/>
          <w:w w:val="110"/>
        </w:rPr>
        <w:t>Consulta y Concertación Política (conocido como El Grupo de Río) se creó en seguimiento a la labor de los Grupos de Contadora y de Apoyo   a Contadora (ya convertido en Grupo de los Ocho), y en 1990 se amplió con la incorporación de los países sudamericanos que hasta ese momento no lo integraban, más la Comunidad del Caribe y los países</w:t>
      </w:r>
      <w:r>
        <w:rPr>
          <w:color w:val="231F20"/>
          <w:spacing w:val="-16"/>
          <w:w w:val="110"/>
        </w:rPr>
        <w:t> </w:t>
      </w:r>
      <w:r>
        <w:rPr>
          <w:color w:val="231F20"/>
          <w:w w:val="110"/>
        </w:rPr>
        <w:t>de</w:t>
      </w:r>
      <w:r>
        <w:rPr>
          <w:color w:val="231F20"/>
          <w:spacing w:val="-16"/>
          <w:w w:val="110"/>
        </w:rPr>
        <w:t> </w:t>
      </w:r>
      <w:r>
        <w:rPr>
          <w:color w:val="231F20"/>
          <w:w w:val="110"/>
        </w:rPr>
        <w:t>Centroamérica.</w:t>
      </w:r>
      <w:r>
        <w:rPr>
          <w:color w:val="231F20"/>
          <w:spacing w:val="-16"/>
          <w:w w:val="110"/>
        </w:rPr>
        <w:t> </w:t>
      </w:r>
      <w:r>
        <w:rPr>
          <w:color w:val="231F20"/>
          <w:w w:val="110"/>
        </w:rPr>
        <w:t>No</w:t>
      </w:r>
      <w:r>
        <w:rPr>
          <w:color w:val="231F20"/>
          <w:spacing w:val="-16"/>
          <w:w w:val="110"/>
        </w:rPr>
        <w:t> </w:t>
      </w:r>
      <w:r>
        <w:rPr>
          <w:color w:val="231F20"/>
          <w:w w:val="110"/>
        </w:rPr>
        <w:t>hay</w:t>
      </w:r>
      <w:r>
        <w:rPr>
          <w:color w:val="231F20"/>
          <w:spacing w:val="-16"/>
          <w:w w:val="110"/>
        </w:rPr>
        <w:t> </w:t>
      </w:r>
      <w:r>
        <w:rPr>
          <w:color w:val="231F20"/>
          <w:w w:val="110"/>
        </w:rPr>
        <w:t>que</w:t>
      </w:r>
      <w:r>
        <w:rPr>
          <w:color w:val="231F20"/>
          <w:spacing w:val="-16"/>
          <w:w w:val="110"/>
        </w:rPr>
        <w:t> </w:t>
      </w:r>
      <w:r>
        <w:rPr>
          <w:color w:val="231F20"/>
          <w:w w:val="110"/>
        </w:rPr>
        <w:t>subestimar</w:t>
      </w:r>
      <w:r>
        <w:rPr>
          <w:color w:val="231F20"/>
          <w:spacing w:val="-16"/>
          <w:w w:val="110"/>
        </w:rPr>
        <w:t> </w:t>
      </w:r>
      <w:r>
        <w:rPr>
          <w:color w:val="231F20"/>
          <w:w w:val="110"/>
        </w:rPr>
        <w:t>el</w:t>
      </w:r>
      <w:r>
        <w:rPr>
          <w:color w:val="231F20"/>
          <w:spacing w:val="-16"/>
          <w:w w:val="110"/>
        </w:rPr>
        <w:t> </w:t>
      </w:r>
      <w:r>
        <w:rPr>
          <w:color w:val="231F20"/>
          <w:w w:val="110"/>
        </w:rPr>
        <w:t>impulso</w:t>
      </w:r>
      <w:r>
        <w:rPr>
          <w:color w:val="231F20"/>
          <w:spacing w:val="-16"/>
          <w:w w:val="110"/>
        </w:rPr>
        <w:t> </w:t>
      </w:r>
      <w:r>
        <w:rPr>
          <w:color w:val="231F20"/>
          <w:w w:val="110"/>
        </w:rPr>
        <w:t>político</w:t>
      </w:r>
      <w:r>
        <w:rPr>
          <w:color w:val="231F20"/>
          <w:spacing w:val="-16"/>
          <w:w w:val="110"/>
        </w:rPr>
        <w:t> </w:t>
      </w:r>
      <w:r>
        <w:rPr>
          <w:color w:val="231F20"/>
          <w:w w:val="110"/>
        </w:rPr>
        <w:t>y</w:t>
      </w:r>
    </w:p>
    <w:p>
      <w:pPr>
        <w:pStyle w:val="BodyText"/>
      </w:pPr>
    </w:p>
    <w:p>
      <w:pPr>
        <w:spacing w:line="261" w:lineRule="auto" w:before="152"/>
        <w:ind w:left="100" w:right="117" w:firstLine="240"/>
        <w:jc w:val="both"/>
        <w:rPr>
          <w:sz w:val="16"/>
        </w:rPr>
      </w:pPr>
      <w:r>
        <w:rPr>
          <w:color w:val="231F20"/>
          <w:w w:val="110"/>
          <w:position w:val="5"/>
          <w:sz w:val="10"/>
        </w:rPr>
        <w:t>5 </w:t>
      </w:r>
      <w:r>
        <w:rPr>
          <w:color w:val="231F20"/>
          <w:w w:val="110"/>
          <w:sz w:val="16"/>
        </w:rPr>
        <w:t>Para un análisis ampliado de la labor de Olof Palme en la construcción de las condiciones políticas a favor de la paz en las relaciones internacionales y el diálogo Norte-Sur, puede consultarse a Hadjor (1988).</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diplomático de esta propuesta para la generación de las condiciones que más tarde propiciaron el diálogo que puso fin a la guerra en El Salvador (Zamudio González, 2007: 137-139).</w:t>
      </w:r>
    </w:p>
    <w:p>
      <w:pPr>
        <w:pStyle w:val="BodyText"/>
        <w:spacing w:line="261" w:lineRule="auto"/>
        <w:ind w:left="100" w:right="114" w:firstLine="240"/>
        <w:jc w:val="both"/>
      </w:pPr>
      <w:r>
        <w:rPr>
          <w:color w:val="231F20"/>
          <w:w w:val="110"/>
        </w:rPr>
        <w:t>En 2008 el Grupo de Río adquirió su actual fisonomía con la in- corporación de Guyana, Haití y un poco más tarde Cuba. En 2010 durante</w:t>
      </w:r>
      <w:r>
        <w:rPr>
          <w:color w:val="231F20"/>
          <w:spacing w:val="-4"/>
          <w:w w:val="110"/>
        </w:rPr>
        <w:t> </w:t>
      </w:r>
      <w:r>
        <w:rPr>
          <w:color w:val="231F20"/>
          <w:w w:val="110"/>
        </w:rPr>
        <w:t>la</w:t>
      </w:r>
      <w:r>
        <w:rPr>
          <w:color w:val="231F20"/>
          <w:spacing w:val="-4"/>
          <w:w w:val="110"/>
        </w:rPr>
        <w:t> </w:t>
      </w:r>
      <w:r>
        <w:rPr>
          <w:color w:val="231F20"/>
          <w:w w:val="110"/>
        </w:rPr>
        <w:t>celebración</w:t>
      </w:r>
      <w:r>
        <w:rPr>
          <w:color w:val="231F20"/>
          <w:spacing w:val="-4"/>
          <w:w w:val="110"/>
        </w:rPr>
        <w:t> </w:t>
      </w:r>
      <w:r>
        <w:rPr>
          <w:color w:val="231F20"/>
          <w:w w:val="110"/>
        </w:rPr>
        <w:t>de</w:t>
      </w:r>
      <w:r>
        <w:rPr>
          <w:color w:val="231F20"/>
          <w:spacing w:val="-4"/>
          <w:w w:val="110"/>
        </w:rPr>
        <w:t> </w:t>
      </w:r>
      <w:r>
        <w:rPr>
          <w:color w:val="231F20"/>
          <w:w w:val="110"/>
        </w:rPr>
        <w:t>su</w:t>
      </w:r>
      <w:r>
        <w:rPr>
          <w:color w:val="231F20"/>
          <w:spacing w:val="-4"/>
          <w:w w:val="110"/>
        </w:rPr>
        <w:t> </w:t>
      </w:r>
      <w:r>
        <w:rPr>
          <w:color w:val="231F20"/>
          <w:w w:val="110"/>
        </w:rPr>
        <w:t>21a.</w:t>
      </w:r>
      <w:r>
        <w:rPr>
          <w:color w:val="231F20"/>
          <w:spacing w:val="-4"/>
          <w:w w:val="110"/>
        </w:rPr>
        <w:t> </w:t>
      </w:r>
      <w:r>
        <w:rPr>
          <w:color w:val="231F20"/>
          <w:w w:val="110"/>
        </w:rPr>
        <w:t>reunión,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denominada</w:t>
      </w:r>
      <w:r>
        <w:rPr>
          <w:color w:val="231F20"/>
          <w:spacing w:val="-4"/>
          <w:w w:val="110"/>
        </w:rPr>
        <w:t> </w:t>
      </w:r>
      <w:r>
        <w:rPr>
          <w:color w:val="231F20"/>
          <w:w w:val="110"/>
        </w:rPr>
        <w:t>Cumbre de</w:t>
      </w:r>
      <w:r>
        <w:rPr>
          <w:color w:val="231F20"/>
          <w:spacing w:val="-14"/>
          <w:w w:val="110"/>
        </w:rPr>
        <w:t> </w:t>
      </w:r>
      <w:r>
        <w:rPr>
          <w:color w:val="231F20"/>
          <w:w w:val="110"/>
        </w:rPr>
        <w:t>la</w:t>
      </w:r>
      <w:r>
        <w:rPr>
          <w:color w:val="231F20"/>
          <w:spacing w:val="-14"/>
          <w:w w:val="110"/>
        </w:rPr>
        <w:t> </w:t>
      </w:r>
      <w:r>
        <w:rPr>
          <w:color w:val="231F20"/>
          <w:w w:val="110"/>
        </w:rPr>
        <w:t>Unidad</w:t>
      </w:r>
      <w:r>
        <w:rPr>
          <w:color w:val="231F20"/>
          <w:spacing w:val="-14"/>
          <w:w w:val="110"/>
        </w:rPr>
        <w:t> </w:t>
      </w:r>
      <w:r>
        <w:rPr>
          <w:color w:val="231F20"/>
          <w:w w:val="110"/>
        </w:rPr>
        <w:t>celebrada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Rivera</w:t>
      </w:r>
      <w:r>
        <w:rPr>
          <w:color w:val="231F20"/>
          <w:spacing w:val="-14"/>
          <w:w w:val="110"/>
        </w:rPr>
        <w:t> </w:t>
      </w:r>
      <w:r>
        <w:rPr>
          <w:color w:val="231F20"/>
          <w:w w:val="110"/>
        </w:rPr>
        <w:t>Maya,</w:t>
      </w:r>
      <w:r>
        <w:rPr>
          <w:color w:val="231F20"/>
          <w:spacing w:val="-14"/>
          <w:w w:val="110"/>
        </w:rPr>
        <w:t> </w:t>
      </w:r>
      <w:r>
        <w:rPr>
          <w:color w:val="231F20"/>
          <w:w w:val="110"/>
        </w:rPr>
        <w:t>dio</w:t>
      </w:r>
      <w:r>
        <w:rPr>
          <w:color w:val="231F20"/>
          <w:spacing w:val="-14"/>
          <w:w w:val="110"/>
        </w:rPr>
        <w:t> </w:t>
      </w:r>
      <w:r>
        <w:rPr>
          <w:color w:val="231F20"/>
          <w:w w:val="110"/>
        </w:rPr>
        <w:t>el</w:t>
      </w:r>
      <w:r>
        <w:rPr>
          <w:color w:val="231F20"/>
          <w:spacing w:val="-14"/>
          <w:w w:val="110"/>
        </w:rPr>
        <w:t> </w:t>
      </w:r>
      <w:r>
        <w:rPr>
          <w:color w:val="231F20"/>
          <w:w w:val="110"/>
        </w:rPr>
        <w:t>paso</w:t>
      </w:r>
      <w:r>
        <w:rPr>
          <w:color w:val="231F20"/>
          <w:spacing w:val="-14"/>
          <w:w w:val="110"/>
        </w:rPr>
        <w:t> </w:t>
      </w:r>
      <w:r>
        <w:rPr>
          <w:color w:val="231F20"/>
          <w:w w:val="110"/>
        </w:rPr>
        <w:t>más</w:t>
      </w:r>
      <w:r>
        <w:rPr>
          <w:color w:val="231F20"/>
          <w:spacing w:val="-14"/>
          <w:w w:val="110"/>
        </w:rPr>
        <w:t> </w:t>
      </w:r>
      <w:r>
        <w:rPr>
          <w:color w:val="231F20"/>
          <w:w w:val="110"/>
        </w:rPr>
        <w:t>definido</w:t>
      </w:r>
      <w:r>
        <w:rPr>
          <w:color w:val="231F20"/>
          <w:spacing w:val="-14"/>
          <w:w w:val="110"/>
        </w:rPr>
        <w:t> </w:t>
      </w:r>
      <w:r>
        <w:rPr>
          <w:color w:val="231F20"/>
          <w:w w:val="110"/>
        </w:rPr>
        <w:t>al generar</w:t>
      </w:r>
      <w:r>
        <w:rPr>
          <w:color w:val="231F20"/>
          <w:spacing w:val="-7"/>
          <w:w w:val="110"/>
        </w:rPr>
        <w:t> </w:t>
      </w:r>
      <w:r>
        <w:rPr>
          <w:color w:val="231F20"/>
          <w:w w:val="110"/>
        </w:rPr>
        <w:t>la</w:t>
      </w:r>
      <w:r>
        <w:rPr>
          <w:color w:val="231F20"/>
          <w:spacing w:val="-7"/>
          <w:w w:val="110"/>
        </w:rPr>
        <w:t> </w:t>
      </w:r>
      <w:r>
        <w:rPr>
          <w:color w:val="231F20"/>
          <w:w w:val="110"/>
        </w:rPr>
        <w:t>nueva</w:t>
      </w:r>
      <w:r>
        <w:rPr>
          <w:color w:val="231F20"/>
          <w:spacing w:val="-7"/>
          <w:w w:val="110"/>
        </w:rPr>
        <w:t> </w:t>
      </w:r>
      <w:r>
        <w:rPr>
          <w:color w:val="231F20"/>
          <w:w w:val="110"/>
        </w:rPr>
        <w:t>Comunidad</w:t>
      </w:r>
      <w:r>
        <w:rPr>
          <w:color w:val="231F20"/>
          <w:spacing w:val="-7"/>
          <w:w w:val="110"/>
        </w:rPr>
        <w:t> </w:t>
      </w:r>
      <w:r>
        <w:rPr>
          <w:color w:val="231F20"/>
          <w:w w:val="110"/>
        </w:rPr>
        <w:t>de</w:t>
      </w:r>
      <w:r>
        <w:rPr>
          <w:color w:val="231F20"/>
          <w:spacing w:val="-7"/>
          <w:w w:val="110"/>
        </w:rPr>
        <w:t> </w:t>
      </w:r>
      <w:r>
        <w:rPr>
          <w:color w:val="231F20"/>
          <w:w w:val="110"/>
        </w:rPr>
        <w:t>Estados</w:t>
      </w:r>
      <w:r>
        <w:rPr>
          <w:color w:val="231F20"/>
          <w:spacing w:val="-7"/>
          <w:w w:val="110"/>
        </w:rPr>
        <w:t> </w:t>
      </w:r>
      <w:r>
        <w:rPr>
          <w:color w:val="231F20"/>
          <w:w w:val="110"/>
        </w:rPr>
        <w:t>Latinoamericanos</w:t>
      </w:r>
      <w:r>
        <w:rPr>
          <w:color w:val="231F20"/>
          <w:spacing w:val="-7"/>
          <w:w w:val="110"/>
        </w:rPr>
        <w:t> </w:t>
      </w:r>
      <w:r>
        <w:rPr>
          <w:color w:val="231F20"/>
          <w:w w:val="110"/>
        </w:rPr>
        <w:t>y</w:t>
      </w:r>
      <w:r>
        <w:rPr>
          <w:color w:val="231F20"/>
          <w:spacing w:val="-7"/>
          <w:w w:val="110"/>
        </w:rPr>
        <w:t> </w:t>
      </w:r>
      <w:r>
        <w:rPr>
          <w:color w:val="231F20"/>
          <w:w w:val="110"/>
        </w:rPr>
        <w:t>Caribe- ños (celac) (Rojas Aravena, 2011). Son prácticamente dos decenios y media de construcción que culmina un proceso de integración. La </w:t>
      </w:r>
      <w:r>
        <w:rPr>
          <w:i/>
          <w:color w:val="231F20"/>
          <w:w w:val="110"/>
        </w:rPr>
        <w:t>Declaración</w:t>
      </w:r>
      <w:r>
        <w:rPr>
          <w:i/>
          <w:color w:val="231F20"/>
          <w:spacing w:val="-6"/>
          <w:w w:val="110"/>
        </w:rPr>
        <w:t> </w:t>
      </w:r>
      <w:r>
        <w:rPr>
          <w:i/>
          <w:color w:val="231F20"/>
          <w:w w:val="110"/>
        </w:rPr>
        <w:t>de</w:t>
      </w:r>
      <w:r>
        <w:rPr>
          <w:i/>
          <w:color w:val="231F20"/>
          <w:spacing w:val="-6"/>
          <w:w w:val="110"/>
        </w:rPr>
        <w:t> </w:t>
      </w:r>
      <w:r>
        <w:rPr>
          <w:i/>
          <w:color w:val="231F20"/>
          <w:w w:val="110"/>
        </w:rPr>
        <w:t>Cancún</w:t>
      </w:r>
      <w:r>
        <w:rPr>
          <w:color w:val="231F20"/>
          <w:w w:val="110"/>
        </w:rPr>
        <w:t>,</w:t>
      </w:r>
      <w:r>
        <w:rPr>
          <w:color w:val="231F20"/>
          <w:spacing w:val="-6"/>
          <w:w w:val="110"/>
        </w:rPr>
        <w:t> </w:t>
      </w:r>
      <w:r>
        <w:rPr>
          <w:color w:val="231F20"/>
          <w:w w:val="110"/>
        </w:rPr>
        <w:t>suscrita</w:t>
      </w:r>
      <w:r>
        <w:rPr>
          <w:color w:val="231F20"/>
          <w:spacing w:val="-6"/>
          <w:w w:val="110"/>
        </w:rPr>
        <w:t> </w:t>
      </w:r>
      <w:r>
        <w:rPr>
          <w:color w:val="231F20"/>
          <w:w w:val="110"/>
        </w:rPr>
        <w:t>por</w:t>
      </w:r>
      <w:r>
        <w:rPr>
          <w:color w:val="231F20"/>
          <w:spacing w:val="-6"/>
          <w:w w:val="110"/>
        </w:rPr>
        <w:t> </w:t>
      </w:r>
      <w:r>
        <w:rPr>
          <w:color w:val="231F20"/>
          <w:w w:val="110"/>
        </w:rPr>
        <w:t>los</w:t>
      </w:r>
      <w:r>
        <w:rPr>
          <w:color w:val="231F20"/>
          <w:spacing w:val="-6"/>
          <w:w w:val="110"/>
        </w:rPr>
        <w:t> </w:t>
      </w:r>
      <w:r>
        <w:rPr>
          <w:color w:val="231F20"/>
          <w:w w:val="110"/>
        </w:rPr>
        <w:t>32</w:t>
      </w:r>
      <w:r>
        <w:rPr>
          <w:color w:val="231F20"/>
          <w:spacing w:val="-6"/>
          <w:w w:val="110"/>
        </w:rPr>
        <w:t> </w:t>
      </w:r>
      <w:r>
        <w:rPr>
          <w:color w:val="231F20"/>
          <w:w w:val="110"/>
        </w:rPr>
        <w:t>presidentes</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única y comprensible ausencia de Honduras), señala que el objetivo del nuevo organismo es “profundizar la integración política,</w:t>
      </w:r>
      <w:r>
        <w:rPr>
          <w:color w:val="231F20"/>
          <w:spacing w:val="-29"/>
          <w:w w:val="110"/>
        </w:rPr>
        <w:t> </w:t>
      </w:r>
      <w:r>
        <w:rPr>
          <w:color w:val="231F20"/>
          <w:w w:val="110"/>
        </w:rPr>
        <w:t>económica, social y cultural de nuestra región”, defender el “multilateralismo”  y “pronunciarse sobre los grandes temas y acontecimientos de la agenda</w:t>
      </w:r>
      <w:r>
        <w:rPr>
          <w:color w:val="231F20"/>
          <w:spacing w:val="-16"/>
          <w:w w:val="110"/>
        </w:rPr>
        <w:t> </w:t>
      </w:r>
      <w:r>
        <w:rPr>
          <w:color w:val="231F20"/>
          <w:w w:val="110"/>
        </w:rPr>
        <w:t>global”.</w:t>
      </w:r>
    </w:p>
    <w:p>
      <w:pPr>
        <w:pStyle w:val="BodyText"/>
        <w:spacing w:line="261" w:lineRule="auto"/>
        <w:ind w:left="100" w:right="117" w:firstLine="240"/>
        <w:jc w:val="both"/>
      </w:pP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apartado</w:t>
      </w:r>
      <w:r>
        <w:rPr>
          <w:color w:val="231F20"/>
          <w:spacing w:val="-5"/>
          <w:w w:val="110"/>
        </w:rPr>
        <w:t> </w:t>
      </w:r>
      <w:r>
        <w:rPr>
          <w:color w:val="231F20"/>
          <w:w w:val="110"/>
        </w:rPr>
        <w:t>dedicado</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económica</w:t>
      </w:r>
      <w:r>
        <w:rPr>
          <w:color w:val="231F20"/>
          <w:spacing w:val="-5"/>
          <w:w w:val="110"/>
        </w:rPr>
        <w:t> </w:t>
      </w:r>
      <w:r>
        <w:rPr>
          <w:color w:val="231F20"/>
          <w:w w:val="110"/>
        </w:rPr>
        <w:t>el</w:t>
      </w:r>
      <w:r>
        <w:rPr>
          <w:color w:val="231F20"/>
          <w:spacing w:val="-5"/>
          <w:w w:val="110"/>
        </w:rPr>
        <w:t> </w:t>
      </w:r>
      <w:r>
        <w:rPr>
          <w:color w:val="231F20"/>
          <w:w w:val="110"/>
        </w:rPr>
        <w:t>nuevo</w:t>
      </w:r>
      <w:r>
        <w:rPr>
          <w:color w:val="231F20"/>
          <w:spacing w:val="-5"/>
          <w:w w:val="110"/>
        </w:rPr>
        <w:t> </w:t>
      </w:r>
      <w:r>
        <w:rPr>
          <w:color w:val="231F20"/>
          <w:w w:val="110"/>
        </w:rPr>
        <w:t>organismo se pronuncia a favor de la creación de una nueva arquitectura finan- ciera regional, incluyendo la posibilidad de realizar pagos en mone- das</w:t>
      </w:r>
      <w:r>
        <w:rPr>
          <w:color w:val="231F20"/>
          <w:spacing w:val="-9"/>
          <w:w w:val="110"/>
        </w:rPr>
        <w:t> </w:t>
      </w:r>
      <w:r>
        <w:rPr>
          <w:color w:val="231F20"/>
          <w:w w:val="110"/>
        </w:rPr>
        <w:t>nacionales</w:t>
      </w:r>
      <w:r>
        <w:rPr>
          <w:color w:val="231F20"/>
          <w:spacing w:val="-9"/>
          <w:w w:val="110"/>
        </w:rPr>
        <w:t> </w:t>
      </w:r>
      <w:r>
        <w:rPr>
          <w:color w:val="231F20"/>
          <w:w w:val="110"/>
        </w:rPr>
        <w:t>y</w:t>
      </w:r>
      <w:r>
        <w:rPr>
          <w:color w:val="231F20"/>
          <w:spacing w:val="-9"/>
          <w:w w:val="110"/>
        </w:rPr>
        <w:t> </w:t>
      </w:r>
      <w:r>
        <w:rPr>
          <w:color w:val="231F20"/>
          <w:w w:val="110"/>
        </w:rPr>
        <w:t>evaluar</w:t>
      </w:r>
      <w:r>
        <w:rPr>
          <w:color w:val="231F20"/>
          <w:spacing w:val="-9"/>
          <w:w w:val="110"/>
        </w:rPr>
        <w:t> </w:t>
      </w:r>
      <w:r>
        <w:rPr>
          <w:color w:val="231F20"/>
          <w:w w:val="110"/>
        </w:rPr>
        <w:t>la</w:t>
      </w:r>
      <w:r>
        <w:rPr>
          <w:color w:val="231F20"/>
          <w:spacing w:val="-9"/>
          <w:w w:val="110"/>
        </w:rPr>
        <w:t> </w:t>
      </w:r>
      <w:r>
        <w:rPr>
          <w:color w:val="231F20"/>
          <w:w w:val="110"/>
        </w:rPr>
        <w:t>creación</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moneda</w:t>
      </w:r>
      <w:r>
        <w:rPr>
          <w:color w:val="231F20"/>
          <w:spacing w:val="-9"/>
          <w:w w:val="110"/>
        </w:rPr>
        <w:t> </w:t>
      </w:r>
      <w:r>
        <w:rPr>
          <w:color w:val="231F20"/>
          <w:w w:val="110"/>
        </w:rPr>
        <w:t>común,</w:t>
      </w:r>
      <w:r>
        <w:rPr>
          <w:color w:val="231F20"/>
          <w:spacing w:val="-9"/>
          <w:w w:val="110"/>
        </w:rPr>
        <w:t> </w:t>
      </w:r>
      <w:r>
        <w:rPr>
          <w:color w:val="231F20"/>
          <w:w w:val="110"/>
        </w:rPr>
        <w:t>así</w:t>
      </w:r>
      <w:r>
        <w:rPr>
          <w:color w:val="231F20"/>
          <w:spacing w:val="-9"/>
          <w:w w:val="110"/>
        </w:rPr>
        <w:t> </w:t>
      </w:r>
      <w:r>
        <w:rPr>
          <w:color w:val="231F20"/>
          <w:w w:val="110"/>
        </w:rPr>
        <w:t>como la</w:t>
      </w:r>
      <w:r>
        <w:rPr>
          <w:color w:val="231F20"/>
          <w:spacing w:val="-6"/>
          <w:w w:val="110"/>
        </w:rPr>
        <w:t> </w:t>
      </w:r>
      <w:r>
        <w:rPr>
          <w:color w:val="231F20"/>
          <w:w w:val="110"/>
        </w:rPr>
        <w:t>cooperación</w:t>
      </w:r>
      <w:r>
        <w:rPr>
          <w:color w:val="231F20"/>
          <w:spacing w:val="-6"/>
          <w:w w:val="110"/>
        </w:rPr>
        <w:t> </w:t>
      </w:r>
      <w:r>
        <w:rPr>
          <w:color w:val="231F20"/>
          <w:w w:val="110"/>
        </w:rPr>
        <w:t>entre</w:t>
      </w:r>
      <w:r>
        <w:rPr>
          <w:color w:val="231F20"/>
          <w:spacing w:val="-6"/>
          <w:w w:val="110"/>
        </w:rPr>
        <w:t> </w:t>
      </w:r>
      <w:r>
        <w:rPr>
          <w:color w:val="231F20"/>
          <w:w w:val="110"/>
        </w:rPr>
        <w:t>bancos</w:t>
      </w:r>
      <w:r>
        <w:rPr>
          <w:color w:val="231F20"/>
          <w:spacing w:val="-6"/>
          <w:w w:val="110"/>
        </w:rPr>
        <w:t> </w:t>
      </w:r>
      <w:r>
        <w:rPr>
          <w:color w:val="231F20"/>
          <w:w w:val="110"/>
        </w:rPr>
        <w:t>nacionales</w:t>
      </w:r>
      <w:r>
        <w:rPr>
          <w:color w:val="231F20"/>
          <w:spacing w:val="-6"/>
          <w:w w:val="110"/>
        </w:rPr>
        <w:t> </w:t>
      </w:r>
      <w:r>
        <w:rPr>
          <w:color w:val="231F20"/>
          <w:w w:val="110"/>
        </w:rPr>
        <w:t>y</w:t>
      </w:r>
      <w:r>
        <w:rPr>
          <w:color w:val="231F20"/>
          <w:spacing w:val="-6"/>
          <w:w w:val="110"/>
        </w:rPr>
        <w:t> </w:t>
      </w:r>
      <w:r>
        <w:rPr>
          <w:color w:val="231F20"/>
          <w:w w:val="110"/>
        </w:rPr>
        <w:t>regionales</w:t>
      </w:r>
      <w:r>
        <w:rPr>
          <w:color w:val="231F20"/>
          <w:spacing w:val="-6"/>
          <w:w w:val="110"/>
        </w:rPr>
        <w:t> </w:t>
      </w:r>
      <w:r>
        <w:rPr>
          <w:color w:val="231F20"/>
          <w:w w:val="110"/>
        </w:rPr>
        <w:t>de</w:t>
      </w:r>
      <w:r>
        <w:rPr>
          <w:color w:val="231F20"/>
          <w:spacing w:val="-6"/>
          <w:w w:val="110"/>
        </w:rPr>
        <w:t> </w:t>
      </w:r>
      <w:r>
        <w:rPr>
          <w:color w:val="231F20"/>
          <w:w w:val="110"/>
        </w:rPr>
        <w:t>fomento.</w:t>
      </w:r>
      <w:r>
        <w:rPr>
          <w:color w:val="231F20"/>
          <w:spacing w:val="-6"/>
          <w:w w:val="110"/>
        </w:rPr>
        <w:t> </w:t>
      </w:r>
      <w:r>
        <w:rPr>
          <w:color w:val="231F20"/>
          <w:w w:val="110"/>
        </w:rPr>
        <w:t>Los dos</w:t>
      </w:r>
      <w:r>
        <w:rPr>
          <w:color w:val="231F20"/>
          <w:spacing w:val="-8"/>
          <w:w w:val="110"/>
        </w:rPr>
        <w:t> </w:t>
      </w:r>
      <w:r>
        <w:rPr>
          <w:color w:val="231F20"/>
          <w:w w:val="110"/>
        </w:rPr>
        <w:t>aspectos</w:t>
      </w:r>
      <w:r>
        <w:rPr>
          <w:color w:val="231F20"/>
          <w:spacing w:val="-8"/>
          <w:w w:val="110"/>
        </w:rPr>
        <w:t> </w:t>
      </w:r>
      <w:r>
        <w:rPr>
          <w:color w:val="231F20"/>
          <w:w w:val="110"/>
        </w:rPr>
        <w:t>centrales</w:t>
      </w:r>
      <w:r>
        <w:rPr>
          <w:color w:val="231F20"/>
          <w:spacing w:val="-8"/>
          <w:w w:val="110"/>
        </w:rPr>
        <w:t> </w:t>
      </w:r>
      <w:r>
        <w:rPr>
          <w:color w:val="231F20"/>
          <w:w w:val="110"/>
        </w:rPr>
        <w:t>y</w:t>
      </w:r>
      <w:r>
        <w:rPr>
          <w:color w:val="231F20"/>
          <w:spacing w:val="-8"/>
          <w:w w:val="110"/>
        </w:rPr>
        <w:t> </w:t>
      </w:r>
      <w:r>
        <w:rPr>
          <w:color w:val="231F20"/>
          <w:w w:val="110"/>
        </w:rPr>
        <w:t>probablemente</w:t>
      </w:r>
      <w:r>
        <w:rPr>
          <w:color w:val="231F20"/>
          <w:spacing w:val="-8"/>
          <w:w w:val="110"/>
        </w:rPr>
        <w:t> </w:t>
      </w:r>
      <w:r>
        <w:rPr>
          <w:color w:val="231F20"/>
          <w:w w:val="110"/>
        </w:rPr>
        <w:t>los</w:t>
      </w:r>
      <w:r>
        <w:rPr>
          <w:color w:val="231F20"/>
          <w:spacing w:val="-8"/>
          <w:w w:val="110"/>
        </w:rPr>
        <w:t> </w:t>
      </w:r>
      <w:r>
        <w:rPr>
          <w:color w:val="231F20"/>
          <w:w w:val="110"/>
        </w:rPr>
        <w:t>más</w:t>
      </w:r>
      <w:r>
        <w:rPr>
          <w:color w:val="231F20"/>
          <w:spacing w:val="-8"/>
          <w:w w:val="110"/>
        </w:rPr>
        <w:t> </w:t>
      </w:r>
      <w:r>
        <w:rPr>
          <w:color w:val="231F20"/>
          <w:w w:val="110"/>
        </w:rPr>
        <w:t>concretos</w:t>
      </w:r>
      <w:r>
        <w:rPr>
          <w:color w:val="231F20"/>
          <w:spacing w:val="-8"/>
          <w:w w:val="110"/>
        </w:rPr>
        <w:t> </w:t>
      </w:r>
      <w:r>
        <w:rPr>
          <w:color w:val="231F20"/>
          <w:w w:val="110"/>
        </w:rPr>
        <w:t>que</w:t>
      </w:r>
      <w:r>
        <w:rPr>
          <w:color w:val="231F20"/>
          <w:spacing w:val="-8"/>
          <w:w w:val="110"/>
        </w:rPr>
        <w:t> </w:t>
      </w:r>
      <w:r>
        <w:rPr>
          <w:color w:val="231F20"/>
          <w:w w:val="110"/>
        </w:rPr>
        <w:t>firma- ron los presidentes en Cancún son los rubros dedicados a energía y  a la integración física en infraestructura. Sin perder de vista que se trata de un proceso, no es menos significativo que haya aparecido con especial fuerza el desafío energético. Son planteamientos muy avanzados</w:t>
      </w:r>
      <w:r>
        <w:rPr>
          <w:color w:val="231F20"/>
          <w:spacing w:val="-22"/>
          <w:w w:val="110"/>
        </w:rPr>
        <w:t> </w:t>
      </w:r>
      <w:r>
        <w:rPr>
          <w:color w:val="231F20"/>
          <w:w w:val="110"/>
        </w:rPr>
        <w:t>e</w:t>
      </w:r>
      <w:r>
        <w:rPr>
          <w:color w:val="231F20"/>
          <w:spacing w:val="-22"/>
          <w:w w:val="110"/>
        </w:rPr>
        <w:t> </w:t>
      </w:r>
      <w:r>
        <w:rPr>
          <w:color w:val="231F20"/>
          <w:w w:val="110"/>
        </w:rPr>
        <w:t>imprescindibles</w:t>
      </w:r>
      <w:r>
        <w:rPr>
          <w:color w:val="231F20"/>
          <w:spacing w:val="-22"/>
          <w:w w:val="110"/>
        </w:rPr>
        <w:t> </w:t>
      </w:r>
      <w:r>
        <w:rPr>
          <w:color w:val="231F20"/>
          <w:w w:val="110"/>
        </w:rPr>
        <w:t>si</w:t>
      </w:r>
      <w:r>
        <w:rPr>
          <w:color w:val="231F20"/>
          <w:spacing w:val="-22"/>
          <w:w w:val="110"/>
        </w:rPr>
        <w:t> </w:t>
      </w:r>
      <w:r>
        <w:rPr>
          <w:color w:val="231F20"/>
          <w:w w:val="110"/>
        </w:rPr>
        <w:t>se</w:t>
      </w:r>
      <w:r>
        <w:rPr>
          <w:color w:val="231F20"/>
          <w:spacing w:val="-22"/>
          <w:w w:val="110"/>
        </w:rPr>
        <w:t> </w:t>
      </w:r>
      <w:r>
        <w:rPr>
          <w:color w:val="231F20"/>
          <w:w w:val="110"/>
        </w:rPr>
        <w:t>considera</w:t>
      </w:r>
      <w:r>
        <w:rPr>
          <w:color w:val="231F20"/>
          <w:spacing w:val="-22"/>
          <w:w w:val="110"/>
        </w:rPr>
        <w:t> </w:t>
      </w:r>
      <w:r>
        <w:rPr>
          <w:color w:val="231F20"/>
          <w:w w:val="110"/>
        </w:rPr>
        <w:t>la</w:t>
      </w:r>
      <w:r>
        <w:rPr>
          <w:color w:val="231F20"/>
          <w:spacing w:val="-22"/>
          <w:w w:val="110"/>
        </w:rPr>
        <w:t> </w:t>
      </w:r>
      <w:r>
        <w:rPr>
          <w:color w:val="231F20"/>
          <w:w w:val="110"/>
        </w:rPr>
        <w:t>importancia</w:t>
      </w:r>
      <w:r>
        <w:rPr>
          <w:color w:val="231F20"/>
          <w:spacing w:val="-22"/>
          <w:w w:val="110"/>
        </w:rPr>
        <w:t> </w:t>
      </w:r>
      <w:r>
        <w:rPr>
          <w:color w:val="231F20"/>
          <w:w w:val="110"/>
        </w:rPr>
        <w:t>estratégica de promover la expansión de fuentes de energía, la socialización de experiencias y transferencia de tecnología sobre programas</w:t>
      </w:r>
      <w:r>
        <w:rPr>
          <w:color w:val="231F20"/>
          <w:spacing w:val="-20"/>
          <w:w w:val="110"/>
        </w:rPr>
        <w:t> </w:t>
      </w:r>
      <w:r>
        <w:rPr>
          <w:color w:val="231F20"/>
          <w:w w:val="110"/>
        </w:rPr>
        <w:t>naciona- les de biocombustibles y la producción de</w:t>
      </w:r>
      <w:r>
        <w:rPr>
          <w:color w:val="231F20"/>
          <w:spacing w:val="41"/>
          <w:w w:val="110"/>
        </w:rPr>
        <w:t> </w:t>
      </w:r>
      <w:r>
        <w:rPr>
          <w:color w:val="231F20"/>
          <w:w w:val="110"/>
        </w:rPr>
        <w:t>etanol.</w:t>
      </w:r>
    </w:p>
    <w:p>
      <w:pPr>
        <w:pStyle w:val="BodyText"/>
        <w:spacing w:line="261" w:lineRule="auto"/>
        <w:ind w:left="100" w:right="119" w:firstLine="240"/>
        <w:jc w:val="both"/>
      </w:pPr>
      <w:r>
        <w:rPr>
          <w:color w:val="231F20"/>
          <w:w w:val="110"/>
        </w:rPr>
        <w:t>Aunque</w:t>
      </w:r>
      <w:r>
        <w:rPr>
          <w:color w:val="231F20"/>
          <w:spacing w:val="-7"/>
          <w:w w:val="110"/>
        </w:rPr>
        <w:t> </w:t>
      </w:r>
      <w:r>
        <w:rPr>
          <w:color w:val="231F20"/>
          <w:w w:val="110"/>
        </w:rPr>
        <w:t>la</w:t>
      </w:r>
      <w:r>
        <w:rPr>
          <w:color w:val="231F20"/>
          <w:spacing w:val="-7"/>
          <w:w w:val="110"/>
        </w:rPr>
        <w:t> </w:t>
      </w:r>
      <w:r>
        <w:rPr>
          <w:color w:val="231F20"/>
          <w:spacing w:val="-3"/>
          <w:w w:val="110"/>
        </w:rPr>
        <w:t>celac</w:t>
      </w:r>
      <w:r>
        <w:rPr>
          <w:color w:val="231F20"/>
          <w:spacing w:val="-7"/>
          <w:w w:val="110"/>
        </w:rPr>
        <w:t> </w:t>
      </w:r>
      <w:r>
        <w:rPr>
          <w:color w:val="231F20"/>
          <w:w w:val="110"/>
        </w:rPr>
        <w:t>puede</w:t>
      </w:r>
      <w:r>
        <w:rPr>
          <w:color w:val="231F20"/>
          <w:spacing w:val="-7"/>
          <w:w w:val="110"/>
        </w:rPr>
        <w:t> </w:t>
      </w:r>
      <w:r>
        <w:rPr>
          <w:color w:val="231F20"/>
          <w:w w:val="110"/>
        </w:rPr>
        <w:t>situarse</w:t>
      </w:r>
      <w:r>
        <w:rPr>
          <w:color w:val="231F20"/>
          <w:spacing w:val="-7"/>
          <w:w w:val="110"/>
        </w:rPr>
        <w:t> </w:t>
      </w:r>
      <w:r>
        <w:rPr>
          <w:color w:val="231F20"/>
          <w:w w:val="110"/>
        </w:rPr>
        <w:t>todavía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plano</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declara- ción de intenciones, que habrá de dar sus otros pasos en las</w:t>
      </w:r>
      <w:r>
        <w:rPr>
          <w:color w:val="231F20"/>
          <w:spacing w:val="-16"/>
          <w:w w:val="110"/>
        </w:rPr>
        <w:t> </w:t>
      </w:r>
      <w:r>
        <w:rPr>
          <w:color w:val="231F20"/>
          <w:w w:val="110"/>
        </w:rPr>
        <w:t>cumbres de Caracas próximamente y Chile en 2012, el hecho de que se haya puesto</w:t>
      </w:r>
      <w:r>
        <w:rPr>
          <w:color w:val="231F20"/>
          <w:spacing w:val="-31"/>
          <w:w w:val="110"/>
        </w:rPr>
        <w:t> </w:t>
      </w:r>
      <w:r>
        <w:rPr>
          <w:color w:val="231F20"/>
          <w:w w:val="110"/>
        </w:rPr>
        <w:t>en</w:t>
      </w:r>
      <w:r>
        <w:rPr>
          <w:color w:val="231F20"/>
          <w:spacing w:val="-31"/>
          <w:w w:val="110"/>
        </w:rPr>
        <w:t> </w:t>
      </w:r>
      <w:r>
        <w:rPr>
          <w:color w:val="231F20"/>
          <w:w w:val="110"/>
        </w:rPr>
        <w:t>marcha</w:t>
      </w:r>
      <w:r>
        <w:rPr>
          <w:color w:val="231F20"/>
          <w:spacing w:val="-31"/>
          <w:w w:val="110"/>
        </w:rPr>
        <w:t> </w:t>
      </w:r>
      <w:r>
        <w:rPr>
          <w:color w:val="231F20"/>
          <w:w w:val="110"/>
        </w:rPr>
        <w:t>es</w:t>
      </w:r>
      <w:r>
        <w:rPr>
          <w:color w:val="231F20"/>
          <w:spacing w:val="-31"/>
          <w:w w:val="110"/>
        </w:rPr>
        <w:t> </w:t>
      </w:r>
      <w:r>
        <w:rPr>
          <w:color w:val="231F20"/>
          <w:w w:val="110"/>
        </w:rPr>
        <w:t>lo</w:t>
      </w:r>
      <w:r>
        <w:rPr>
          <w:color w:val="231F20"/>
          <w:spacing w:val="-31"/>
          <w:w w:val="110"/>
        </w:rPr>
        <w:t> </w:t>
      </w:r>
      <w:r>
        <w:rPr>
          <w:color w:val="231F20"/>
          <w:w w:val="110"/>
        </w:rPr>
        <w:t>más</w:t>
      </w:r>
      <w:r>
        <w:rPr>
          <w:color w:val="231F20"/>
          <w:spacing w:val="-31"/>
          <w:w w:val="110"/>
        </w:rPr>
        <w:t> </w:t>
      </w:r>
      <w:r>
        <w:rPr>
          <w:color w:val="231F20"/>
          <w:w w:val="110"/>
        </w:rPr>
        <w:t>significativo.</w:t>
      </w:r>
      <w:r>
        <w:rPr>
          <w:color w:val="231F20"/>
          <w:spacing w:val="-31"/>
          <w:w w:val="110"/>
        </w:rPr>
        <w:t> </w:t>
      </w:r>
      <w:r>
        <w:rPr>
          <w:color w:val="231F20"/>
          <w:w w:val="110"/>
        </w:rPr>
        <w:t>La</w:t>
      </w:r>
      <w:r>
        <w:rPr>
          <w:color w:val="231F20"/>
          <w:spacing w:val="-31"/>
          <w:w w:val="110"/>
        </w:rPr>
        <w:t> </w:t>
      </w:r>
      <w:r>
        <w:rPr>
          <w:color w:val="231F20"/>
          <w:w w:val="110"/>
        </w:rPr>
        <w:t>voluntad</w:t>
      </w:r>
      <w:r>
        <w:rPr>
          <w:color w:val="231F20"/>
          <w:spacing w:val="-31"/>
          <w:w w:val="110"/>
        </w:rPr>
        <w:t> </w:t>
      </w:r>
      <w:r>
        <w:rPr>
          <w:color w:val="231F20"/>
          <w:w w:val="110"/>
        </w:rPr>
        <w:t>política</w:t>
      </w:r>
      <w:r>
        <w:rPr>
          <w:color w:val="231F20"/>
          <w:spacing w:val="-31"/>
          <w:w w:val="110"/>
        </w:rPr>
        <w:t> </w:t>
      </w:r>
      <w:r>
        <w:rPr>
          <w:color w:val="231F20"/>
          <w:w w:val="110"/>
        </w:rPr>
        <w:t>que</w:t>
      </w:r>
      <w:r>
        <w:rPr>
          <w:color w:val="231F20"/>
          <w:spacing w:val="-31"/>
          <w:w w:val="110"/>
        </w:rPr>
        <w:t> </w:t>
      </w:r>
      <w:r>
        <w:rPr>
          <w:color w:val="231F20"/>
          <w:w w:val="110"/>
        </w:rPr>
        <w:t>logra </w:t>
      </w:r>
      <w:r>
        <w:rPr>
          <w:color w:val="231F20"/>
          <w:spacing w:val="-4"/>
          <w:w w:val="110"/>
        </w:rPr>
        <w:t>amalgamar,</w:t>
      </w:r>
      <w:r>
        <w:rPr>
          <w:color w:val="231F20"/>
          <w:spacing w:val="-27"/>
          <w:w w:val="110"/>
        </w:rPr>
        <w:t> </w:t>
      </w:r>
      <w:r>
        <w:rPr>
          <w:color w:val="231F20"/>
          <w:w w:val="110"/>
        </w:rPr>
        <w:t>no</w:t>
      </w:r>
      <w:r>
        <w:rPr>
          <w:color w:val="231F20"/>
          <w:spacing w:val="-27"/>
          <w:w w:val="110"/>
        </w:rPr>
        <w:t> </w:t>
      </w:r>
      <w:r>
        <w:rPr>
          <w:color w:val="231F20"/>
          <w:w w:val="110"/>
        </w:rPr>
        <w:t>exenta</w:t>
      </w:r>
      <w:r>
        <w:rPr>
          <w:color w:val="231F20"/>
          <w:spacing w:val="-27"/>
          <w:w w:val="110"/>
        </w:rPr>
        <w:t> </w:t>
      </w:r>
      <w:r>
        <w:rPr>
          <w:color w:val="231F20"/>
          <w:w w:val="110"/>
        </w:rPr>
        <w:t>de</w:t>
      </w:r>
      <w:r>
        <w:rPr>
          <w:color w:val="231F20"/>
          <w:spacing w:val="-27"/>
          <w:w w:val="110"/>
        </w:rPr>
        <w:t> </w:t>
      </w:r>
      <w:r>
        <w:rPr>
          <w:color w:val="231F20"/>
          <w:w w:val="110"/>
        </w:rPr>
        <w:t>dificultades,</w:t>
      </w:r>
      <w:r>
        <w:rPr>
          <w:color w:val="231F20"/>
          <w:spacing w:val="-27"/>
          <w:w w:val="110"/>
        </w:rPr>
        <w:t> </w:t>
      </w:r>
      <w:r>
        <w:rPr>
          <w:color w:val="231F20"/>
          <w:w w:val="110"/>
        </w:rPr>
        <w:t>adquiere</w:t>
      </w:r>
      <w:r>
        <w:rPr>
          <w:color w:val="231F20"/>
          <w:spacing w:val="-27"/>
          <w:w w:val="110"/>
        </w:rPr>
        <w:t> </w:t>
      </w:r>
      <w:r>
        <w:rPr>
          <w:color w:val="231F20"/>
          <w:w w:val="110"/>
        </w:rPr>
        <w:t>significación,</w:t>
      </w:r>
      <w:r>
        <w:rPr>
          <w:color w:val="231F20"/>
          <w:spacing w:val="-27"/>
          <w:w w:val="110"/>
        </w:rPr>
        <w:t> </w:t>
      </w:r>
      <w:r>
        <w:rPr>
          <w:color w:val="231F20"/>
          <w:w w:val="110"/>
        </w:rPr>
        <w:t>a</w:t>
      </w:r>
      <w:r>
        <w:rPr>
          <w:color w:val="231F20"/>
          <w:spacing w:val="-27"/>
          <w:w w:val="110"/>
        </w:rPr>
        <w:t> </w:t>
      </w:r>
      <w:r>
        <w:rPr>
          <w:color w:val="231F20"/>
          <w:w w:val="110"/>
        </w:rPr>
        <w:t>nuestro juicio,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medida</w:t>
      </w:r>
      <w:r>
        <w:rPr>
          <w:color w:val="231F20"/>
          <w:spacing w:val="-6"/>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proceso</w:t>
      </w:r>
      <w:r>
        <w:rPr>
          <w:color w:val="231F20"/>
          <w:spacing w:val="-6"/>
          <w:w w:val="110"/>
        </w:rPr>
        <w:t> </w:t>
      </w:r>
      <w:r>
        <w:rPr>
          <w:color w:val="231F20"/>
          <w:w w:val="110"/>
        </w:rPr>
        <w:t>de</w:t>
      </w:r>
      <w:r>
        <w:rPr>
          <w:color w:val="231F20"/>
          <w:spacing w:val="-6"/>
          <w:w w:val="110"/>
        </w:rPr>
        <w:t> </w:t>
      </w:r>
      <w:r>
        <w:rPr>
          <w:color w:val="231F20"/>
          <w:w w:val="110"/>
        </w:rPr>
        <w:t>constitución</w:t>
      </w:r>
      <w:r>
        <w:rPr>
          <w:color w:val="231F20"/>
          <w:spacing w:val="-6"/>
          <w:w w:val="110"/>
        </w:rPr>
        <w:t> </w:t>
      </w:r>
      <w:r>
        <w:rPr>
          <w:color w:val="231F20"/>
          <w:w w:val="110"/>
        </w:rPr>
        <w:t>se</w:t>
      </w:r>
      <w:r>
        <w:rPr>
          <w:color w:val="231F20"/>
          <w:spacing w:val="-6"/>
          <w:w w:val="110"/>
        </w:rPr>
        <w:t> </w:t>
      </w:r>
      <w:r>
        <w:rPr>
          <w:color w:val="231F20"/>
          <w:w w:val="110"/>
        </w:rPr>
        <w:t>hilvanan importantes argumentos para proyectar una estrategia</w:t>
      </w:r>
      <w:r>
        <w:rPr>
          <w:color w:val="231F20"/>
          <w:spacing w:val="-7"/>
          <w:w w:val="110"/>
        </w:rPr>
        <w:t> </w:t>
      </w:r>
      <w:r>
        <w:rPr>
          <w:color w:val="231F20"/>
          <w:spacing w:val="-2"/>
          <w:w w:val="110"/>
        </w:rPr>
        <w:t>común.</w:t>
      </w:r>
    </w:p>
    <w:p>
      <w:pPr>
        <w:pStyle w:val="BodyText"/>
        <w:spacing w:line="261" w:lineRule="auto"/>
        <w:ind w:left="100" w:right="113" w:firstLine="240"/>
        <w:jc w:val="both"/>
      </w:pPr>
      <w:r>
        <w:rPr>
          <w:color w:val="231F20"/>
          <w:w w:val="110"/>
        </w:rPr>
        <w:t>En esa medida representa una respuesta política y diplomática     a la estrategia de Estados Unidos. Ocurre precisamente en una  </w:t>
      </w:r>
      <w:r>
        <w:rPr>
          <w:color w:val="231F20"/>
          <w:spacing w:val="54"/>
          <w:w w:val="110"/>
        </w:rPr>
        <w:t> </w:t>
      </w:r>
      <w:r>
        <w:rPr>
          <w:color w:val="231F20"/>
          <w:w w:val="110"/>
        </w:rPr>
        <w:t>cir-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4"/>
        <w:jc w:val="both"/>
      </w:pPr>
      <w:r>
        <w:rPr>
          <w:color w:val="231F20"/>
          <w:w w:val="110"/>
        </w:rPr>
        <w:t>cunstancia</w:t>
      </w:r>
      <w:r>
        <w:rPr>
          <w:color w:val="231F20"/>
          <w:spacing w:val="-9"/>
          <w:w w:val="110"/>
        </w:rPr>
        <w:t> </w:t>
      </w:r>
      <w:r>
        <w:rPr>
          <w:color w:val="231F20"/>
          <w:w w:val="110"/>
        </w:rPr>
        <w:t>especial</w:t>
      </w:r>
      <w:r>
        <w:rPr>
          <w:color w:val="231F20"/>
          <w:spacing w:val="-9"/>
          <w:w w:val="110"/>
        </w:rPr>
        <w:t> </w:t>
      </w:r>
      <w:r>
        <w:rPr>
          <w:color w:val="231F20"/>
          <w:w w:val="110"/>
        </w:rPr>
        <w:t>pautada</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reposicionamiento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intereses estadunidenses en Colombia, Panamá, Centro América</w:t>
      </w:r>
      <w:r>
        <w:rPr>
          <w:color w:val="231F20"/>
          <w:spacing w:val="-9"/>
          <w:w w:val="110"/>
        </w:rPr>
        <w:t> </w:t>
      </w:r>
      <w:r>
        <w:rPr>
          <w:color w:val="231F20"/>
          <w:w w:val="110"/>
        </w:rPr>
        <w:t>y</w:t>
      </w:r>
      <w:r>
        <w:rPr>
          <w:color w:val="231F20"/>
          <w:spacing w:val="44"/>
          <w:w w:val="110"/>
        </w:rPr>
        <w:t> </w:t>
      </w:r>
      <w:r>
        <w:rPr>
          <w:color w:val="231F20"/>
          <w:w w:val="110"/>
        </w:rPr>
        <w:t>Caribe,</w:t>
      </w:r>
      <w:r>
        <w:rPr>
          <w:color w:val="231F20"/>
          <w:spacing w:val="2"/>
          <w:w w:val="108"/>
        </w:rPr>
        <w:t> </w:t>
      </w:r>
      <w:r>
        <w:rPr>
          <w:color w:val="231F20"/>
          <w:w w:val="110"/>
        </w:rPr>
        <w:t>una de cuyas expresiones se vincula con los proyectos de ocupación territorial por medio de la política de cooperación para el llamado “combate al narcotráfico”, “lucha contra el terrorismo”. Esto supo- ne en todos los casos ampliar la presencia de bases militares o el establecimiento de convenios de colaboración en el terreno </w:t>
      </w:r>
      <w:r>
        <w:rPr>
          <w:color w:val="231F20"/>
          <w:spacing w:val="-3"/>
          <w:w w:val="110"/>
        </w:rPr>
        <w:t>militar. </w:t>
      </w:r>
      <w:r>
        <w:rPr>
          <w:color w:val="231F20"/>
          <w:w w:val="110"/>
        </w:rPr>
        <w:t>El punto nodal a este respecto gira alrededor de la posibilidad de privilegiar</w:t>
      </w:r>
      <w:r>
        <w:rPr>
          <w:color w:val="231F20"/>
          <w:spacing w:val="-9"/>
          <w:w w:val="110"/>
        </w:rPr>
        <w:t> </w:t>
      </w:r>
      <w:r>
        <w:rPr>
          <w:color w:val="231F20"/>
          <w:w w:val="110"/>
        </w:rPr>
        <w:t>los</w:t>
      </w:r>
      <w:r>
        <w:rPr>
          <w:color w:val="231F20"/>
          <w:spacing w:val="-9"/>
          <w:w w:val="110"/>
        </w:rPr>
        <w:t> </w:t>
      </w:r>
      <w:r>
        <w:rPr>
          <w:color w:val="231F20"/>
          <w:w w:val="110"/>
        </w:rPr>
        <w:t>intereses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región</w:t>
      </w:r>
      <w:r>
        <w:rPr>
          <w:color w:val="231F20"/>
          <w:spacing w:val="-9"/>
          <w:w w:val="110"/>
        </w:rPr>
        <w:t> </w:t>
      </w:r>
      <w:r>
        <w:rPr>
          <w:color w:val="231F20"/>
          <w:w w:val="110"/>
        </w:rPr>
        <w:t>y</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10"/>
        </w:rPr>
        <w:t>decisiones</w:t>
      </w:r>
      <w:r>
        <w:rPr>
          <w:color w:val="231F20"/>
          <w:spacing w:val="-9"/>
          <w:w w:val="110"/>
        </w:rPr>
        <w:t> </w:t>
      </w:r>
      <w:r>
        <w:rPr>
          <w:color w:val="231F20"/>
          <w:w w:val="110"/>
        </w:rPr>
        <w:t>se</w:t>
      </w:r>
      <w:r>
        <w:rPr>
          <w:color w:val="231F20"/>
          <w:spacing w:val="-9"/>
          <w:w w:val="110"/>
        </w:rPr>
        <w:t> </w:t>
      </w:r>
      <w:r>
        <w:rPr>
          <w:color w:val="231F20"/>
          <w:w w:val="110"/>
        </w:rPr>
        <w:t>adopten</w:t>
      </w:r>
      <w:r>
        <w:rPr>
          <w:color w:val="231F20"/>
          <w:spacing w:val="-9"/>
          <w:w w:val="110"/>
        </w:rPr>
        <w:t> </w:t>
      </w:r>
      <w:r>
        <w:rPr>
          <w:color w:val="231F20"/>
          <w:w w:val="110"/>
        </w:rPr>
        <w:t>a partir de un diagnóstico propio, es </w:t>
      </w:r>
      <w:r>
        <w:rPr>
          <w:color w:val="231F20"/>
          <w:spacing w:val="-3"/>
          <w:w w:val="110"/>
        </w:rPr>
        <w:t>decir, </w:t>
      </w:r>
      <w:r>
        <w:rPr>
          <w:color w:val="231F20"/>
          <w:w w:val="110"/>
        </w:rPr>
        <w:t>no impuesto. Recordemos que cuando se produjo el ataque de Colombia a </w:t>
      </w:r>
      <w:r>
        <w:rPr>
          <w:color w:val="231F20"/>
          <w:spacing w:val="-3"/>
          <w:w w:val="110"/>
        </w:rPr>
        <w:t>Ecuador, </w:t>
      </w:r>
      <w:r>
        <w:rPr>
          <w:color w:val="231F20"/>
          <w:w w:val="110"/>
        </w:rPr>
        <w:t>el prime- ro de marzo de 2008, con el bombardeo del campamento de Raúl Reyes, se aceleraron los tiempos políticos que llevaron a la creación de la Unión de Naciones Suramericanas y de su Consejo de</w:t>
      </w:r>
      <w:r>
        <w:rPr>
          <w:color w:val="231F20"/>
          <w:spacing w:val="-9"/>
          <w:w w:val="110"/>
        </w:rPr>
        <w:t> </w:t>
      </w:r>
      <w:r>
        <w:rPr>
          <w:color w:val="231F20"/>
          <w:w w:val="110"/>
        </w:rPr>
        <w:t>Defensa Suramericano cuyo propósito es contribuir a la construcción de una doctrina de defensa acorde con los intereses de la  </w:t>
      </w:r>
      <w:r>
        <w:rPr>
          <w:color w:val="231F20"/>
          <w:spacing w:val="2"/>
          <w:w w:val="110"/>
        </w:rPr>
        <w:t> </w:t>
      </w:r>
      <w:r>
        <w:rPr>
          <w:color w:val="231F20"/>
          <w:w w:val="110"/>
        </w:rPr>
        <w:t>región.</w:t>
      </w:r>
    </w:p>
    <w:p>
      <w:pPr>
        <w:pStyle w:val="BodyText"/>
        <w:spacing w:line="261" w:lineRule="auto"/>
        <w:ind w:left="100" w:right="115" w:firstLine="240"/>
        <w:jc w:val="both"/>
      </w:pPr>
      <w:r>
        <w:rPr>
          <w:color w:val="231F20"/>
          <w:w w:val="110"/>
        </w:rPr>
        <w:t>Sobre la base de la diversidad, hay criterios germinales de una nueva conceptualización que no incluye preocupaciones ajenas a  los temas regionales, a la vez que reafirma el principio de respeto irrestricto a la soberanía nacional de los países miembros. Exenta  de pretensiones hegemónicas, las metas de integración apuntan al fortalecimiento de los principios de cooperación y solidaridad de cara un proceso creciente de acuerdos supranacionales y de relacio- nes multidireccionales en el plano internacional. La eficacia de los acuerdos</w:t>
      </w:r>
      <w:r>
        <w:rPr>
          <w:color w:val="231F20"/>
          <w:spacing w:val="-6"/>
          <w:w w:val="110"/>
        </w:rPr>
        <w:t> </w:t>
      </w:r>
      <w:r>
        <w:rPr>
          <w:color w:val="231F20"/>
          <w:w w:val="110"/>
        </w:rPr>
        <w:t>pasa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posibilidad</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estrategia</w:t>
      </w:r>
      <w:r>
        <w:rPr>
          <w:color w:val="231F20"/>
          <w:spacing w:val="-6"/>
          <w:w w:val="110"/>
        </w:rPr>
        <w:t> </w:t>
      </w:r>
      <w:r>
        <w:rPr>
          <w:color w:val="231F20"/>
          <w:w w:val="110"/>
        </w:rPr>
        <w:t>de</w:t>
      </w:r>
      <w:r>
        <w:rPr>
          <w:color w:val="231F20"/>
          <w:spacing w:val="-6"/>
          <w:w w:val="110"/>
        </w:rPr>
        <w:t> </w:t>
      </w:r>
      <w:r>
        <w:rPr>
          <w:color w:val="231F20"/>
          <w:w w:val="110"/>
        </w:rPr>
        <w:t>defensa</w:t>
      </w:r>
      <w:r>
        <w:rPr>
          <w:color w:val="231F20"/>
          <w:spacing w:val="-6"/>
          <w:w w:val="110"/>
        </w:rPr>
        <w:t> </w:t>
      </w:r>
      <w:r>
        <w:rPr>
          <w:color w:val="231F20"/>
          <w:w w:val="110"/>
        </w:rPr>
        <w:t>común. El escenario regional lógicamente no minimiza la importancia del combate a la criminalidad transnacional, en especial el narcotráfi- co en su cadena productiva que desemboca principalmente en el mercado estadunidense. Con variantes según las particularidades     y vulnerabilidades de cada situación, los criterios y resultados de    la estrategia estadunidense “comparten un rasgo común: son par- cialmente el resultado del fracaso de una guerra contra el cultivo, procesamiento, elaboración y comercio de narcóticos” (Loveman, 2010: 13). El irrefrenable consumo de drogas como la producción y comercialización ilegal de armas que constituye también un</w:t>
      </w:r>
      <w:r>
        <w:rPr>
          <w:color w:val="231F20"/>
          <w:spacing w:val="-15"/>
          <w:w w:val="110"/>
        </w:rPr>
        <w:t> </w:t>
      </w:r>
      <w:r>
        <w:rPr>
          <w:color w:val="231F20"/>
          <w:w w:val="110"/>
        </w:rPr>
        <w:t>negocio muy rentable, colocan a las autoridades de Estados Unidos en un lu- gar</w:t>
      </w:r>
      <w:r>
        <w:rPr>
          <w:color w:val="231F20"/>
          <w:spacing w:val="-13"/>
          <w:w w:val="110"/>
        </w:rPr>
        <w:t> </w:t>
      </w:r>
      <w:r>
        <w:rPr>
          <w:color w:val="231F20"/>
          <w:w w:val="110"/>
        </w:rPr>
        <w:t>primordial</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procesos</w:t>
      </w:r>
      <w:r>
        <w:rPr>
          <w:color w:val="231F20"/>
          <w:spacing w:val="-13"/>
          <w:w w:val="110"/>
        </w:rPr>
        <w:t> </w:t>
      </w:r>
      <w:r>
        <w:rPr>
          <w:color w:val="231F20"/>
          <w:w w:val="110"/>
        </w:rPr>
        <w:t>comprensivos.</w:t>
      </w:r>
      <w:r>
        <w:rPr>
          <w:color w:val="231F20"/>
          <w:spacing w:val="-13"/>
          <w:w w:val="110"/>
        </w:rPr>
        <w:t> </w:t>
      </w:r>
      <w:r>
        <w:rPr>
          <w:color w:val="231F20"/>
          <w:w w:val="110"/>
        </w:rPr>
        <w:t>La</w:t>
      </w:r>
      <w:r>
        <w:rPr>
          <w:color w:val="231F20"/>
          <w:spacing w:val="-13"/>
          <w:w w:val="110"/>
        </w:rPr>
        <w:t> </w:t>
      </w:r>
      <w:r>
        <w:rPr>
          <w:color w:val="231F20"/>
          <w:w w:val="110"/>
        </w:rPr>
        <w:t>experiencia</w:t>
      </w:r>
      <w:r>
        <w:rPr>
          <w:color w:val="231F20"/>
          <w:spacing w:val="-13"/>
          <w:w w:val="110"/>
        </w:rPr>
        <w:t> </w:t>
      </w:r>
      <w:r>
        <w:rPr>
          <w:color w:val="231F20"/>
          <w:w w:val="110"/>
        </w:rPr>
        <w:t>reciente de</w:t>
      </w:r>
      <w:r>
        <w:rPr>
          <w:color w:val="231F20"/>
          <w:spacing w:val="-17"/>
          <w:w w:val="110"/>
        </w:rPr>
        <w:t> </w:t>
      </w:r>
      <w:r>
        <w:rPr>
          <w:color w:val="231F20"/>
          <w:w w:val="110"/>
        </w:rPr>
        <w:t>algunos</w:t>
      </w:r>
      <w:r>
        <w:rPr>
          <w:color w:val="231F20"/>
          <w:spacing w:val="-17"/>
          <w:w w:val="110"/>
        </w:rPr>
        <w:t> </w:t>
      </w:r>
      <w:r>
        <w:rPr>
          <w:color w:val="231F20"/>
          <w:w w:val="110"/>
        </w:rPr>
        <w:t>países,</w:t>
      </w:r>
      <w:r>
        <w:rPr>
          <w:color w:val="231F20"/>
          <w:spacing w:val="-17"/>
          <w:w w:val="110"/>
        </w:rPr>
        <w:t> </w:t>
      </w:r>
      <w:r>
        <w:rPr>
          <w:color w:val="231F20"/>
          <w:w w:val="110"/>
        </w:rPr>
        <w:t>como</w:t>
      </w:r>
      <w:r>
        <w:rPr>
          <w:color w:val="231F20"/>
          <w:spacing w:val="-17"/>
          <w:w w:val="110"/>
        </w:rPr>
        <w:t> </w:t>
      </w:r>
      <w:r>
        <w:rPr>
          <w:color w:val="231F20"/>
          <w:w w:val="110"/>
        </w:rPr>
        <w:t>Bolivia,</w:t>
      </w:r>
      <w:r>
        <w:rPr>
          <w:color w:val="231F20"/>
          <w:spacing w:val="-17"/>
          <w:w w:val="110"/>
        </w:rPr>
        <w:t> </w:t>
      </w:r>
      <w:r>
        <w:rPr>
          <w:color w:val="231F20"/>
          <w:w w:val="110"/>
        </w:rPr>
        <w:t>sugiere</w:t>
      </w:r>
      <w:r>
        <w:rPr>
          <w:color w:val="231F20"/>
          <w:spacing w:val="-17"/>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asistencia</w:t>
      </w:r>
      <w:r>
        <w:rPr>
          <w:color w:val="231F20"/>
          <w:spacing w:val="-17"/>
          <w:w w:val="110"/>
        </w:rPr>
        <w:t> </w:t>
      </w:r>
      <w:r>
        <w:rPr>
          <w:color w:val="231F20"/>
          <w:w w:val="110"/>
        </w:rPr>
        <w:t>de</w:t>
      </w:r>
      <w:r>
        <w:rPr>
          <w:color w:val="231F20"/>
          <w:spacing w:val="-17"/>
          <w:w w:val="110"/>
        </w:rPr>
        <w:t> </w:t>
      </w:r>
      <w:r>
        <w:rPr>
          <w:color w:val="231F20"/>
          <w:w w:val="110"/>
        </w:rPr>
        <w:t>agencias extrarregionales</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combate</w:t>
      </w:r>
      <w:r>
        <w:rPr>
          <w:color w:val="231F20"/>
          <w:spacing w:val="-17"/>
          <w:w w:val="110"/>
        </w:rPr>
        <w:t> </w:t>
      </w:r>
      <w:r>
        <w:rPr>
          <w:color w:val="231F20"/>
          <w:w w:val="110"/>
        </w:rPr>
        <w:t>al</w:t>
      </w:r>
      <w:r>
        <w:rPr>
          <w:color w:val="231F20"/>
          <w:spacing w:val="-17"/>
          <w:w w:val="110"/>
        </w:rPr>
        <w:t> </w:t>
      </w:r>
      <w:r>
        <w:rPr>
          <w:color w:val="231F20"/>
          <w:w w:val="110"/>
        </w:rPr>
        <w:t>narcotráfico,</w:t>
      </w:r>
      <w:r>
        <w:rPr>
          <w:color w:val="231F20"/>
          <w:spacing w:val="-17"/>
          <w:w w:val="110"/>
        </w:rPr>
        <w:t> </w:t>
      </w:r>
      <w:r>
        <w:rPr>
          <w:color w:val="231F20"/>
          <w:w w:val="110"/>
        </w:rPr>
        <w:t>conlleva</w:t>
      </w:r>
      <w:r>
        <w:rPr>
          <w:color w:val="231F20"/>
          <w:spacing w:val="-17"/>
          <w:w w:val="110"/>
        </w:rPr>
        <w:t> </w:t>
      </w:r>
      <w:r>
        <w:rPr>
          <w:color w:val="231F20"/>
          <w:w w:val="110"/>
        </w:rPr>
        <w:t>el</w:t>
      </w:r>
      <w:r>
        <w:rPr>
          <w:color w:val="231F20"/>
          <w:spacing w:val="-17"/>
          <w:w w:val="110"/>
        </w:rPr>
        <w:t> </w:t>
      </w:r>
      <w:r>
        <w:rPr>
          <w:color w:val="231F20"/>
          <w:w w:val="110"/>
        </w:rPr>
        <w:t>riesgo</w:t>
      </w:r>
      <w:r>
        <w:rPr>
          <w:color w:val="231F20"/>
          <w:spacing w:val="-17"/>
          <w:w w:val="110"/>
        </w:rPr>
        <w:t> </w:t>
      </w:r>
      <w:r>
        <w:rPr>
          <w:color w:val="231F20"/>
          <w:w w:val="110"/>
        </w:rPr>
        <w:t>de</w:t>
      </w:r>
      <w:r>
        <w:rPr>
          <w:color w:val="231F20"/>
          <w:spacing w:val="-17"/>
          <w:w w:val="110"/>
        </w:rPr>
        <w:t> </w:t>
      </w:r>
      <w:r>
        <w:rPr>
          <w:color w:val="231F20"/>
          <w:w w:val="110"/>
        </w:rPr>
        <w:t>la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5"/>
        <w:jc w:val="both"/>
      </w:pPr>
      <w:r>
        <w:rPr>
          <w:color w:val="231F20"/>
          <w:w w:val="110"/>
        </w:rPr>
        <w:t>injerencia</w:t>
      </w:r>
      <w:r>
        <w:rPr>
          <w:color w:val="231F20"/>
          <w:spacing w:val="-19"/>
          <w:w w:val="110"/>
        </w:rPr>
        <w:t> </w:t>
      </w:r>
      <w:r>
        <w:rPr>
          <w:color w:val="231F20"/>
          <w:w w:val="110"/>
        </w:rPr>
        <w:t>en</w:t>
      </w:r>
      <w:r>
        <w:rPr>
          <w:color w:val="231F20"/>
          <w:spacing w:val="-19"/>
          <w:w w:val="110"/>
        </w:rPr>
        <w:t> </w:t>
      </w:r>
      <w:r>
        <w:rPr>
          <w:color w:val="231F20"/>
          <w:w w:val="110"/>
        </w:rPr>
        <w:t>asuntos</w:t>
      </w:r>
      <w:r>
        <w:rPr>
          <w:color w:val="231F20"/>
          <w:spacing w:val="-19"/>
          <w:w w:val="110"/>
        </w:rPr>
        <w:t> </w:t>
      </w:r>
      <w:r>
        <w:rPr>
          <w:color w:val="231F20"/>
          <w:w w:val="110"/>
        </w:rPr>
        <w:t>internos</w:t>
      </w:r>
      <w:r>
        <w:rPr>
          <w:color w:val="231F20"/>
          <w:spacing w:val="-19"/>
          <w:w w:val="110"/>
        </w:rPr>
        <w:t> </w:t>
      </w:r>
      <w:r>
        <w:rPr>
          <w:color w:val="231F20"/>
          <w:w w:val="110"/>
        </w:rPr>
        <w:t>que</w:t>
      </w:r>
      <w:r>
        <w:rPr>
          <w:color w:val="231F20"/>
          <w:spacing w:val="-19"/>
          <w:w w:val="110"/>
        </w:rPr>
        <w:t> </w:t>
      </w:r>
      <w:r>
        <w:rPr>
          <w:color w:val="231F20"/>
          <w:w w:val="110"/>
        </w:rPr>
        <w:t>muchas</w:t>
      </w:r>
      <w:r>
        <w:rPr>
          <w:color w:val="231F20"/>
          <w:spacing w:val="-19"/>
          <w:w w:val="110"/>
        </w:rPr>
        <w:t> </w:t>
      </w:r>
      <w:r>
        <w:rPr>
          <w:color w:val="231F20"/>
          <w:w w:val="110"/>
        </w:rPr>
        <w:t>veces,</w:t>
      </w:r>
      <w:r>
        <w:rPr>
          <w:color w:val="231F20"/>
          <w:spacing w:val="-19"/>
          <w:w w:val="110"/>
        </w:rPr>
        <w:t> </w:t>
      </w:r>
      <w:r>
        <w:rPr>
          <w:color w:val="231F20"/>
          <w:w w:val="110"/>
        </w:rPr>
        <w:t>además</w:t>
      </w:r>
      <w:r>
        <w:rPr>
          <w:color w:val="231F20"/>
          <w:spacing w:val="-19"/>
          <w:w w:val="110"/>
        </w:rPr>
        <w:t> </w:t>
      </w:r>
      <w:r>
        <w:rPr>
          <w:color w:val="231F20"/>
          <w:w w:val="110"/>
        </w:rPr>
        <w:t>de</w:t>
      </w:r>
      <w:r>
        <w:rPr>
          <w:color w:val="231F20"/>
          <w:spacing w:val="-19"/>
          <w:w w:val="110"/>
        </w:rPr>
        <w:t> </w:t>
      </w:r>
      <w:r>
        <w:rPr>
          <w:color w:val="231F20"/>
          <w:w w:val="110"/>
        </w:rPr>
        <w:t>ser</w:t>
      </w:r>
      <w:r>
        <w:rPr>
          <w:color w:val="231F20"/>
          <w:spacing w:val="-19"/>
          <w:w w:val="110"/>
        </w:rPr>
        <w:t> </w:t>
      </w:r>
      <w:r>
        <w:rPr>
          <w:color w:val="231F20"/>
          <w:w w:val="110"/>
        </w:rPr>
        <w:t>lesivo para la soberanía, no parece tener relación con la genuina necesi- dad de enfrentar a la criminalidad como problemática multicausal. El desarrollo de este razonamiento se vincula con la decisión de los países que conforman la unasur, que firmaron el pasado 9 de abril de 2010 en la ciudad de Quito, la aprobación del Estatuto del Con- sejo Suramericano de Lucha contra el Narcotráfico. El documento aprobado, contiene los principios y objetivos generales, estructura y definiciones que regirán al Consejo sin menoscabo y respetando en todos los casos la soberanía de los países miembros. Esta iniciativa surge tras el reconocimiento que hicieran los presidentes de los Estados miembros de la unasur, con relación a la problemática y el impacto que tiene el narcotráfico, como una de las amenazas que atentan contra la seguridad de los</w:t>
      </w:r>
      <w:r>
        <w:rPr>
          <w:color w:val="231F20"/>
          <w:spacing w:val="53"/>
          <w:w w:val="110"/>
        </w:rPr>
        <w:t> </w:t>
      </w:r>
      <w:r>
        <w:rPr>
          <w:color w:val="231F20"/>
          <w:w w:val="110"/>
        </w:rPr>
        <w:t>Estados.</w:t>
      </w:r>
    </w:p>
    <w:p>
      <w:pPr>
        <w:pStyle w:val="BodyText"/>
      </w:pPr>
    </w:p>
    <w:p>
      <w:pPr>
        <w:pStyle w:val="BodyText"/>
      </w:pPr>
    </w:p>
    <w:p>
      <w:pPr>
        <w:pStyle w:val="BodyText"/>
        <w:spacing w:before="2"/>
        <w:rPr>
          <w:sz w:val="25"/>
        </w:rPr>
      </w:pPr>
    </w:p>
    <w:p>
      <w:pPr>
        <w:pStyle w:val="BodyText"/>
        <w:ind w:left="100"/>
        <w:jc w:val="both"/>
      </w:pPr>
      <w:r>
        <w:rPr>
          <w:color w:val="231F20"/>
          <w:w w:val="130"/>
        </w:rPr>
        <w:t>la problemática construcción de la agenda propia</w:t>
      </w:r>
    </w:p>
    <w:p>
      <w:pPr>
        <w:pStyle w:val="BodyText"/>
        <w:spacing w:before="5"/>
        <w:rPr>
          <w:sz w:val="23"/>
        </w:rPr>
      </w:pPr>
    </w:p>
    <w:p>
      <w:pPr>
        <w:pStyle w:val="BodyText"/>
        <w:spacing w:line="261" w:lineRule="auto"/>
        <w:ind w:left="100" w:right="117"/>
        <w:jc w:val="both"/>
      </w:pPr>
      <w:r>
        <w:rPr>
          <w:color w:val="231F20"/>
          <w:w w:val="110"/>
        </w:rPr>
        <w:t>La trayectoria reconstruida por diferentes escalones de integración para la cooperación política, muestra las dificultades que implica forjar una agenda propia. Agenda propia no significa darle la es- palda a los procesos contemporáneos en su dimensión hemisférica   e internacional. No implica tampoco aislarse. Por el contrario, todo ello está encaminado hacia una mejor integración en condiciones de autodeterminación acorde con nuestros problemas y potencialidades de</w:t>
      </w:r>
      <w:r>
        <w:rPr>
          <w:color w:val="231F20"/>
          <w:spacing w:val="14"/>
          <w:w w:val="110"/>
        </w:rPr>
        <w:t> </w:t>
      </w:r>
      <w:r>
        <w:rPr>
          <w:color w:val="231F20"/>
          <w:w w:val="110"/>
        </w:rPr>
        <w:t>resolución.</w:t>
      </w:r>
    </w:p>
    <w:p>
      <w:pPr>
        <w:pStyle w:val="BodyText"/>
        <w:spacing w:line="261" w:lineRule="auto"/>
        <w:ind w:left="100" w:right="119" w:firstLine="240"/>
        <w:jc w:val="both"/>
      </w:pPr>
      <w:r>
        <w:rPr>
          <w:color w:val="231F20"/>
          <w:w w:val="110"/>
        </w:rPr>
        <w:t>La</w:t>
      </w:r>
      <w:r>
        <w:rPr>
          <w:color w:val="231F20"/>
          <w:spacing w:val="-16"/>
          <w:w w:val="110"/>
        </w:rPr>
        <w:t> </w:t>
      </w:r>
      <w:r>
        <w:rPr>
          <w:color w:val="231F20"/>
          <w:w w:val="110"/>
        </w:rPr>
        <w:t>creación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celac,</w:t>
      </w:r>
      <w:r>
        <w:rPr>
          <w:color w:val="231F20"/>
          <w:spacing w:val="-16"/>
          <w:w w:val="110"/>
        </w:rPr>
        <w:t> </w:t>
      </w:r>
      <w:r>
        <w:rPr>
          <w:color w:val="231F20"/>
          <w:w w:val="110"/>
        </w:rPr>
        <w:t>se</w:t>
      </w:r>
      <w:r>
        <w:rPr>
          <w:color w:val="231F20"/>
          <w:spacing w:val="-16"/>
          <w:w w:val="110"/>
        </w:rPr>
        <w:t> </w:t>
      </w:r>
      <w:r>
        <w:rPr>
          <w:color w:val="231F20"/>
          <w:w w:val="110"/>
        </w:rPr>
        <w:t>inscribe</w:t>
      </w:r>
      <w:r>
        <w:rPr>
          <w:color w:val="231F20"/>
          <w:spacing w:val="-16"/>
          <w:w w:val="110"/>
        </w:rPr>
        <w:t> </w:t>
      </w:r>
      <w:r>
        <w:rPr>
          <w:color w:val="231F20"/>
          <w:w w:val="110"/>
        </w:rPr>
        <w:t>en</w:t>
      </w:r>
      <w:r>
        <w:rPr>
          <w:color w:val="231F20"/>
          <w:spacing w:val="-16"/>
          <w:w w:val="110"/>
        </w:rPr>
        <w:t> </w:t>
      </w:r>
      <w:r>
        <w:rPr>
          <w:color w:val="231F20"/>
          <w:w w:val="110"/>
        </w:rPr>
        <w:t>esa</w:t>
      </w:r>
      <w:r>
        <w:rPr>
          <w:color w:val="231F20"/>
          <w:spacing w:val="-16"/>
          <w:w w:val="110"/>
        </w:rPr>
        <w:t> </w:t>
      </w:r>
      <w:r>
        <w:rPr>
          <w:color w:val="231F20"/>
          <w:w w:val="110"/>
        </w:rPr>
        <w:t>perspectiva</w:t>
      </w:r>
      <w:r>
        <w:rPr>
          <w:color w:val="231F20"/>
          <w:spacing w:val="-16"/>
          <w:w w:val="110"/>
        </w:rPr>
        <w:t> </w:t>
      </w:r>
      <w:r>
        <w:rPr>
          <w:color w:val="231F20"/>
          <w:w w:val="110"/>
        </w:rPr>
        <w:t>y</w:t>
      </w:r>
      <w:r>
        <w:rPr>
          <w:color w:val="231F20"/>
          <w:spacing w:val="-16"/>
          <w:w w:val="110"/>
        </w:rPr>
        <w:t> </w:t>
      </w:r>
      <w:r>
        <w:rPr>
          <w:color w:val="231F20"/>
          <w:w w:val="110"/>
        </w:rPr>
        <w:t>forma</w:t>
      </w:r>
      <w:r>
        <w:rPr>
          <w:color w:val="231F20"/>
          <w:spacing w:val="-16"/>
          <w:w w:val="110"/>
        </w:rPr>
        <w:t> </w:t>
      </w:r>
      <w:r>
        <w:rPr>
          <w:color w:val="231F20"/>
          <w:w w:val="110"/>
        </w:rPr>
        <w:t>parte del</w:t>
      </w:r>
      <w:r>
        <w:rPr>
          <w:color w:val="231F20"/>
          <w:spacing w:val="-13"/>
          <w:w w:val="110"/>
        </w:rPr>
        <w:t> </w:t>
      </w:r>
      <w:r>
        <w:rPr>
          <w:color w:val="231F20"/>
          <w:w w:val="110"/>
        </w:rPr>
        <w:t>reacomodo</w:t>
      </w:r>
      <w:r>
        <w:rPr>
          <w:color w:val="231F20"/>
          <w:spacing w:val="-13"/>
          <w:w w:val="110"/>
        </w:rPr>
        <w:t> </w:t>
      </w:r>
      <w:r>
        <w:rPr>
          <w:color w:val="231F20"/>
          <w:w w:val="110"/>
        </w:rPr>
        <w:t>de</w:t>
      </w:r>
      <w:r>
        <w:rPr>
          <w:color w:val="231F20"/>
          <w:spacing w:val="-13"/>
          <w:w w:val="110"/>
        </w:rPr>
        <w:t> </w:t>
      </w:r>
      <w:r>
        <w:rPr>
          <w:color w:val="231F20"/>
          <w:w w:val="110"/>
        </w:rPr>
        <w:t>fuerzas</w:t>
      </w:r>
      <w:r>
        <w:rPr>
          <w:color w:val="231F20"/>
          <w:spacing w:val="-13"/>
          <w:w w:val="110"/>
        </w:rPr>
        <w:t> </w:t>
      </w:r>
      <w:r>
        <w:rPr>
          <w:color w:val="231F20"/>
          <w:w w:val="110"/>
        </w:rPr>
        <w:t>a</w:t>
      </w:r>
      <w:r>
        <w:rPr>
          <w:color w:val="231F20"/>
          <w:spacing w:val="-13"/>
          <w:w w:val="110"/>
        </w:rPr>
        <w:t> </w:t>
      </w:r>
      <w:r>
        <w:rPr>
          <w:color w:val="231F20"/>
          <w:w w:val="110"/>
        </w:rPr>
        <w:t>escala</w:t>
      </w:r>
      <w:r>
        <w:rPr>
          <w:color w:val="231F20"/>
          <w:spacing w:val="-13"/>
          <w:w w:val="110"/>
        </w:rPr>
        <w:t> </w:t>
      </w:r>
      <w:r>
        <w:rPr>
          <w:color w:val="231F20"/>
          <w:w w:val="110"/>
        </w:rPr>
        <w:t>mundial</w:t>
      </w:r>
      <w:r>
        <w:rPr>
          <w:color w:val="231F20"/>
          <w:spacing w:val="-13"/>
          <w:w w:val="110"/>
        </w:rPr>
        <w:t> </w:t>
      </w:r>
      <w:r>
        <w:rPr>
          <w:color w:val="231F20"/>
          <w:w w:val="110"/>
        </w:rPr>
        <w:t>y</w:t>
      </w:r>
      <w:r>
        <w:rPr>
          <w:color w:val="231F20"/>
          <w:spacing w:val="-13"/>
          <w:w w:val="110"/>
        </w:rPr>
        <w:t> </w:t>
      </w:r>
      <w:r>
        <w:rPr>
          <w:color w:val="231F20"/>
          <w:w w:val="110"/>
        </w:rPr>
        <w:t>continental,</w:t>
      </w:r>
      <w:r>
        <w:rPr>
          <w:color w:val="231F20"/>
          <w:spacing w:val="-13"/>
          <w:w w:val="110"/>
        </w:rPr>
        <w:t> </w:t>
      </w:r>
      <w:r>
        <w:rPr>
          <w:color w:val="231F20"/>
          <w:w w:val="110"/>
        </w:rPr>
        <w:t>caracteriza- do por el declive de la hegemonía estadunidense y el ascenso de un conjunto de bloques regionales que tienden a dar forma a un nuevo equilibrio.</w:t>
      </w:r>
      <w:r>
        <w:rPr>
          <w:color w:val="231F20"/>
          <w:spacing w:val="-8"/>
          <w:w w:val="110"/>
        </w:rPr>
        <w:t> </w:t>
      </w:r>
      <w:r>
        <w:rPr>
          <w:color w:val="231F20"/>
          <w:w w:val="110"/>
        </w:rPr>
        <w:t>La</w:t>
      </w:r>
      <w:r>
        <w:rPr>
          <w:color w:val="231F20"/>
          <w:spacing w:val="-8"/>
          <w:w w:val="110"/>
        </w:rPr>
        <w:t> </w:t>
      </w:r>
      <w:r>
        <w:rPr>
          <w:color w:val="231F20"/>
          <w:w w:val="110"/>
        </w:rPr>
        <w:t>creación</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organismo</w:t>
      </w:r>
      <w:r>
        <w:rPr>
          <w:color w:val="231F20"/>
          <w:spacing w:val="-8"/>
          <w:w w:val="110"/>
        </w:rPr>
        <w:t> </w:t>
      </w:r>
      <w:r>
        <w:rPr>
          <w:color w:val="231F20"/>
          <w:w w:val="110"/>
        </w:rPr>
        <w:t>sin</w:t>
      </w:r>
      <w:r>
        <w:rPr>
          <w:color w:val="231F20"/>
          <w:spacing w:val="-8"/>
          <w:w w:val="110"/>
        </w:rPr>
        <w:t> </w:t>
      </w:r>
      <w:r>
        <w:rPr>
          <w:color w:val="231F20"/>
          <w:w w:val="110"/>
        </w:rPr>
        <w:t>la</w:t>
      </w:r>
      <w:r>
        <w:rPr>
          <w:color w:val="231F20"/>
          <w:spacing w:val="-8"/>
          <w:w w:val="110"/>
        </w:rPr>
        <w:t> </w:t>
      </w:r>
      <w:r>
        <w:rPr>
          <w:color w:val="231F20"/>
          <w:w w:val="110"/>
        </w:rPr>
        <w:t>influencia</w:t>
      </w:r>
      <w:r>
        <w:rPr>
          <w:color w:val="231F20"/>
          <w:spacing w:val="-8"/>
          <w:w w:val="110"/>
        </w:rPr>
        <w:t> </w:t>
      </w:r>
      <w:r>
        <w:rPr>
          <w:color w:val="231F20"/>
          <w:w w:val="110"/>
        </w:rPr>
        <w:t>de</w:t>
      </w:r>
      <w:r>
        <w:rPr>
          <w:color w:val="231F20"/>
          <w:spacing w:val="-8"/>
          <w:w w:val="110"/>
        </w:rPr>
        <w:t> </w:t>
      </w:r>
      <w:r>
        <w:rPr>
          <w:color w:val="231F20"/>
          <w:spacing w:val="-2"/>
          <w:w w:val="110"/>
        </w:rPr>
        <w:t>Canadá </w:t>
      </w:r>
      <w:r>
        <w:rPr>
          <w:color w:val="231F20"/>
          <w:w w:val="110"/>
        </w:rPr>
        <w:t>y</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se</w:t>
      </w:r>
      <w:r>
        <w:rPr>
          <w:color w:val="231F20"/>
          <w:spacing w:val="-18"/>
          <w:w w:val="110"/>
        </w:rPr>
        <w:t> </w:t>
      </w:r>
      <w:r>
        <w:rPr>
          <w:color w:val="231F20"/>
          <w:w w:val="110"/>
        </w:rPr>
        <w:t>venía</w:t>
      </w:r>
      <w:r>
        <w:rPr>
          <w:color w:val="231F20"/>
          <w:spacing w:val="-18"/>
          <w:w w:val="110"/>
        </w:rPr>
        <w:t> </w:t>
      </w:r>
      <w:r>
        <w:rPr>
          <w:color w:val="231F20"/>
          <w:w w:val="110"/>
        </w:rPr>
        <w:t>gestando</w:t>
      </w:r>
      <w:r>
        <w:rPr>
          <w:color w:val="231F20"/>
          <w:spacing w:val="-18"/>
          <w:w w:val="110"/>
        </w:rPr>
        <w:t> </w:t>
      </w:r>
      <w:r>
        <w:rPr>
          <w:color w:val="231F20"/>
          <w:w w:val="110"/>
        </w:rPr>
        <w:t>desde</w:t>
      </w:r>
      <w:r>
        <w:rPr>
          <w:color w:val="231F20"/>
          <w:spacing w:val="-18"/>
          <w:w w:val="110"/>
        </w:rPr>
        <w:t> </w:t>
      </w:r>
      <w:r>
        <w:rPr>
          <w:color w:val="231F20"/>
          <w:w w:val="110"/>
        </w:rPr>
        <w:t>tiempo</w:t>
      </w:r>
      <w:r>
        <w:rPr>
          <w:color w:val="231F20"/>
          <w:spacing w:val="-18"/>
          <w:w w:val="110"/>
        </w:rPr>
        <w:t> </w:t>
      </w:r>
      <w:r>
        <w:rPr>
          <w:color w:val="231F20"/>
          <w:w w:val="110"/>
        </w:rPr>
        <w:t>atrás.</w:t>
      </w:r>
      <w:r>
        <w:rPr>
          <w:color w:val="231F20"/>
          <w:spacing w:val="-18"/>
          <w:w w:val="110"/>
        </w:rPr>
        <w:t> </w:t>
      </w:r>
      <w:r>
        <w:rPr>
          <w:color w:val="231F20"/>
          <w:w w:val="110"/>
        </w:rPr>
        <w:t>Sin</w:t>
      </w:r>
      <w:r>
        <w:rPr>
          <w:color w:val="231F20"/>
          <w:spacing w:val="-18"/>
          <w:w w:val="110"/>
        </w:rPr>
        <w:t> </w:t>
      </w:r>
      <w:r>
        <w:rPr>
          <w:color w:val="231F20"/>
          <w:w w:val="110"/>
        </w:rPr>
        <w:t>embargo, adquiere un mayor perfil después de la diplomacia fallida de la </w:t>
      </w:r>
      <w:r>
        <w:rPr>
          <w:color w:val="231F20"/>
          <w:spacing w:val="-2"/>
          <w:w w:val="110"/>
        </w:rPr>
        <w:t>oea </w:t>
      </w:r>
      <w:r>
        <w:rPr>
          <w:color w:val="231F20"/>
          <w:w w:val="110"/>
        </w:rPr>
        <w:t>en su intento por resolver la crisis gestada por el golpe de Estado en Honduras</w:t>
      </w:r>
      <w:r>
        <w:rPr>
          <w:color w:val="231F20"/>
          <w:spacing w:val="-10"/>
          <w:w w:val="110"/>
        </w:rPr>
        <w:t> </w:t>
      </w:r>
      <w:r>
        <w:rPr>
          <w:color w:val="231F20"/>
          <w:w w:val="110"/>
        </w:rPr>
        <w:t>que</w:t>
      </w:r>
      <w:r>
        <w:rPr>
          <w:color w:val="231F20"/>
          <w:spacing w:val="-10"/>
          <w:w w:val="110"/>
        </w:rPr>
        <w:t> </w:t>
      </w:r>
      <w:r>
        <w:rPr>
          <w:color w:val="231F20"/>
          <w:w w:val="110"/>
        </w:rPr>
        <w:t>desalojó</w:t>
      </w:r>
      <w:r>
        <w:rPr>
          <w:color w:val="231F20"/>
          <w:spacing w:val="-10"/>
          <w:w w:val="110"/>
        </w:rPr>
        <w:t> </w:t>
      </w:r>
      <w:r>
        <w:rPr>
          <w:color w:val="231F20"/>
          <w:w w:val="110"/>
        </w:rPr>
        <w:t>al</w:t>
      </w:r>
      <w:r>
        <w:rPr>
          <w:color w:val="231F20"/>
          <w:spacing w:val="-10"/>
          <w:w w:val="110"/>
        </w:rPr>
        <w:t> </w:t>
      </w:r>
      <w:r>
        <w:rPr>
          <w:color w:val="231F20"/>
          <w:w w:val="110"/>
        </w:rPr>
        <w:t>presidente</w:t>
      </w:r>
      <w:r>
        <w:rPr>
          <w:color w:val="231F20"/>
          <w:spacing w:val="-10"/>
          <w:w w:val="110"/>
        </w:rPr>
        <w:t> </w:t>
      </w:r>
      <w:r>
        <w:rPr>
          <w:color w:val="231F20"/>
          <w:w w:val="110"/>
        </w:rPr>
        <w:t>Zelaya</w:t>
      </w:r>
      <w:r>
        <w:rPr>
          <w:color w:val="231F20"/>
          <w:spacing w:val="-10"/>
          <w:w w:val="110"/>
        </w:rPr>
        <w:t> </w:t>
      </w:r>
      <w:r>
        <w:rPr>
          <w:color w:val="231F20"/>
          <w:w w:val="110"/>
        </w:rPr>
        <w:t>en</w:t>
      </w:r>
      <w:r>
        <w:rPr>
          <w:color w:val="231F20"/>
          <w:spacing w:val="-10"/>
          <w:w w:val="110"/>
        </w:rPr>
        <w:t> </w:t>
      </w:r>
      <w:r>
        <w:rPr>
          <w:color w:val="231F20"/>
          <w:w w:val="110"/>
        </w:rPr>
        <w:t>2009.</w:t>
      </w:r>
    </w:p>
    <w:p>
      <w:pPr>
        <w:pStyle w:val="BodyText"/>
        <w:spacing w:line="261" w:lineRule="auto"/>
        <w:ind w:left="100" w:right="111" w:firstLine="240"/>
        <w:jc w:val="both"/>
      </w:pPr>
      <w:r>
        <w:rPr>
          <w:color w:val="231F20"/>
          <w:w w:val="110"/>
        </w:rPr>
        <w:t>La </w:t>
      </w:r>
      <w:r>
        <w:rPr>
          <w:color w:val="231F20"/>
          <w:spacing w:val="3"/>
          <w:w w:val="110"/>
        </w:rPr>
        <w:t>diplomacia estadunidense expresó </w:t>
      </w:r>
      <w:r>
        <w:rPr>
          <w:color w:val="231F20"/>
          <w:w w:val="110"/>
        </w:rPr>
        <w:t>su </w:t>
      </w:r>
      <w:r>
        <w:rPr>
          <w:color w:val="231F20"/>
          <w:spacing w:val="3"/>
          <w:w w:val="110"/>
        </w:rPr>
        <w:t>coincidencia </w:t>
      </w:r>
      <w:r>
        <w:rPr>
          <w:color w:val="231F20"/>
          <w:spacing w:val="2"/>
          <w:w w:val="110"/>
        </w:rPr>
        <w:t>con </w:t>
      </w:r>
      <w:r>
        <w:rPr>
          <w:color w:val="231F20"/>
          <w:spacing w:val="4"/>
          <w:w w:val="110"/>
        </w:rPr>
        <w:t>la </w:t>
      </w:r>
      <w:r>
        <w:rPr>
          <w:color w:val="231F20"/>
          <w:w w:val="110"/>
        </w:rPr>
        <w:t>posición oea. Sin embargo, Estados Unidos no condenó el golpe     ni</w:t>
      </w:r>
      <w:r>
        <w:rPr>
          <w:color w:val="231F20"/>
          <w:spacing w:val="41"/>
          <w:w w:val="110"/>
        </w:rPr>
        <w:t> </w:t>
      </w:r>
      <w:r>
        <w:rPr>
          <w:color w:val="231F20"/>
          <w:w w:val="110"/>
        </w:rPr>
        <w:t>retiró</w:t>
      </w:r>
      <w:r>
        <w:rPr>
          <w:color w:val="231F20"/>
          <w:spacing w:val="41"/>
          <w:w w:val="110"/>
        </w:rPr>
        <w:t> </w:t>
      </w:r>
      <w:r>
        <w:rPr>
          <w:color w:val="231F20"/>
          <w:w w:val="110"/>
        </w:rPr>
        <w:t>a</w:t>
      </w:r>
      <w:r>
        <w:rPr>
          <w:color w:val="231F20"/>
          <w:spacing w:val="41"/>
          <w:w w:val="110"/>
        </w:rPr>
        <w:t> </w:t>
      </w:r>
      <w:r>
        <w:rPr>
          <w:color w:val="231F20"/>
          <w:w w:val="110"/>
        </w:rPr>
        <w:t>su</w:t>
      </w:r>
      <w:r>
        <w:rPr>
          <w:color w:val="231F20"/>
          <w:spacing w:val="41"/>
          <w:w w:val="110"/>
        </w:rPr>
        <w:t> </w:t>
      </w:r>
      <w:r>
        <w:rPr>
          <w:color w:val="231F20"/>
          <w:w w:val="110"/>
        </w:rPr>
        <w:t>embajador</w:t>
      </w:r>
      <w:r>
        <w:rPr>
          <w:color w:val="231F20"/>
          <w:spacing w:val="41"/>
          <w:w w:val="110"/>
        </w:rPr>
        <w:t> </w:t>
      </w:r>
      <w:r>
        <w:rPr>
          <w:color w:val="231F20"/>
          <w:w w:val="110"/>
        </w:rPr>
        <w:t>acreditado</w:t>
      </w:r>
      <w:r>
        <w:rPr>
          <w:color w:val="231F20"/>
          <w:spacing w:val="41"/>
          <w:w w:val="110"/>
        </w:rPr>
        <w:t> </w:t>
      </w:r>
      <w:r>
        <w:rPr>
          <w:color w:val="231F20"/>
          <w:w w:val="110"/>
        </w:rPr>
        <w:t>en</w:t>
      </w:r>
      <w:r>
        <w:rPr>
          <w:color w:val="231F20"/>
          <w:spacing w:val="41"/>
          <w:w w:val="110"/>
        </w:rPr>
        <w:t> </w:t>
      </w:r>
      <w:r>
        <w:rPr>
          <w:color w:val="231F20"/>
          <w:w w:val="110"/>
        </w:rPr>
        <w:t>Tegucigalpa,</w:t>
      </w:r>
      <w:r>
        <w:rPr>
          <w:color w:val="231F20"/>
          <w:spacing w:val="41"/>
          <w:w w:val="110"/>
        </w:rPr>
        <w:t> </w:t>
      </w:r>
      <w:r>
        <w:rPr>
          <w:color w:val="231F20"/>
          <w:w w:val="110"/>
        </w:rPr>
        <w:t>tal</w:t>
      </w:r>
      <w:r>
        <w:rPr>
          <w:color w:val="231F20"/>
          <w:spacing w:val="41"/>
          <w:w w:val="110"/>
        </w:rPr>
        <w:t> </w:t>
      </w:r>
      <w:r>
        <w:rPr>
          <w:color w:val="231F20"/>
          <w:w w:val="110"/>
        </w:rPr>
        <w:t>como</w:t>
      </w:r>
      <w:r>
        <w:rPr>
          <w:color w:val="231F20"/>
          <w:spacing w:val="41"/>
          <w:w w:val="110"/>
        </w:rPr>
        <w:t> </w:t>
      </w:r>
      <w:r>
        <w:rPr>
          <w:color w:val="231F20"/>
          <w:w w:val="110"/>
        </w:rPr>
        <w:t>lo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3"/>
        <w:jc w:val="both"/>
      </w:pPr>
      <w:r>
        <w:rPr>
          <w:color w:val="231F20"/>
          <w:w w:val="110"/>
        </w:rPr>
        <w:t>hicieron los gobiernos latinoamericanos. Es más, Estados Unidos mantuvo su política de cooperación </w:t>
      </w:r>
      <w:r>
        <w:rPr>
          <w:color w:val="231F20"/>
        </w:rPr>
        <w:t>y </w:t>
      </w:r>
      <w:r>
        <w:rPr>
          <w:color w:val="231F20"/>
          <w:w w:val="110"/>
        </w:rPr>
        <w:t>continuó entrenando a los oficiales hondureños, al tiempo que el Fondo Monetario Internacio- nal, proporcionaba un préstamo financiero importante al régimen golpista (Chomsky, 2010: 89). La fractura generada por el golpe en la relación entre Honduras </w:t>
      </w:r>
      <w:r>
        <w:rPr>
          <w:color w:val="231F20"/>
        </w:rPr>
        <w:t>y </w:t>
      </w:r>
      <w:r>
        <w:rPr>
          <w:color w:val="231F20"/>
          <w:w w:val="110"/>
        </w:rPr>
        <w:t>la comunidad latinoamericana afectó también, en sentido negativo, a la relación entre Estados Unidos </w:t>
      </w:r>
      <w:r>
        <w:rPr>
          <w:color w:val="231F20"/>
        </w:rPr>
        <w:t>y </w:t>
      </w:r>
      <w:r>
        <w:rPr>
          <w:color w:val="231F20"/>
          <w:w w:val="110"/>
        </w:rPr>
        <w:t>América</w:t>
      </w:r>
      <w:r>
        <w:rPr>
          <w:color w:val="231F20"/>
          <w:spacing w:val="-13"/>
          <w:w w:val="110"/>
        </w:rPr>
        <w:t> </w:t>
      </w:r>
      <w:r>
        <w:rPr>
          <w:color w:val="231F20"/>
          <w:w w:val="110"/>
        </w:rPr>
        <w:t>Latina,</w:t>
      </w:r>
      <w:r>
        <w:rPr>
          <w:color w:val="231F20"/>
          <w:spacing w:val="-13"/>
          <w:w w:val="110"/>
        </w:rPr>
        <w:t> </w:t>
      </w:r>
      <w:r>
        <w:rPr>
          <w:color w:val="231F20"/>
          <w:w w:val="110"/>
        </w:rPr>
        <w:t>considerando</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mandatario</w:t>
      </w:r>
      <w:r>
        <w:rPr>
          <w:color w:val="231F20"/>
          <w:spacing w:val="-13"/>
          <w:w w:val="110"/>
        </w:rPr>
        <w:t> </w:t>
      </w:r>
      <w:r>
        <w:rPr>
          <w:color w:val="231F20"/>
          <w:w w:val="110"/>
        </w:rPr>
        <w:t>demócrata</w:t>
      </w:r>
      <w:r>
        <w:rPr>
          <w:color w:val="231F20"/>
          <w:spacing w:val="-13"/>
          <w:w w:val="110"/>
        </w:rPr>
        <w:t> </w:t>
      </w:r>
      <w:r>
        <w:rPr>
          <w:color w:val="231F20"/>
          <w:w w:val="110"/>
        </w:rPr>
        <w:t>reciente- mente ungido a la presidencia había proyectado durante su campaña la imagen de un cambio político en las relaciones interamericanas. Se sabe, además, que Estados Unidos no solo mantuvo su coheren- cia tradicional frente al fenómeno del golpe de Estado, sino que su diplomacia trabajó en contra de una propuesta de resolución de la oea que apuntaba a no reconocer las elecciones hondureñas que se celebraron bajo el régimen de facto. El episodio aquí evocado sirve para resaltar una hebra de esta madeja. </w:t>
      </w:r>
      <w:r>
        <w:rPr>
          <w:color w:val="231F20"/>
        </w:rPr>
        <w:t>Y </w:t>
      </w:r>
      <w:r>
        <w:rPr>
          <w:color w:val="231F20"/>
          <w:w w:val="110"/>
        </w:rPr>
        <w:t>es que el comportamiento de la comunidad latinoamericana supo, más allá de sus diferencias, privilegiar</w:t>
      </w:r>
      <w:r>
        <w:rPr>
          <w:color w:val="231F20"/>
          <w:spacing w:val="-13"/>
          <w:w w:val="110"/>
        </w:rPr>
        <w:t> </w:t>
      </w:r>
      <w:r>
        <w:rPr>
          <w:color w:val="231F20"/>
          <w:w w:val="110"/>
        </w:rPr>
        <w:t>el</w:t>
      </w:r>
      <w:r>
        <w:rPr>
          <w:color w:val="231F20"/>
          <w:spacing w:val="-13"/>
          <w:w w:val="110"/>
        </w:rPr>
        <w:t> </w:t>
      </w:r>
      <w:r>
        <w:rPr>
          <w:color w:val="231F20"/>
          <w:w w:val="110"/>
        </w:rPr>
        <w:t>principio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soberanía,</w:t>
      </w:r>
      <w:r>
        <w:rPr>
          <w:color w:val="231F20"/>
          <w:spacing w:val="-13"/>
          <w:w w:val="110"/>
        </w:rPr>
        <w:t> </w:t>
      </w:r>
      <w:r>
        <w:rPr>
          <w:color w:val="231F20"/>
          <w:w w:val="110"/>
        </w:rPr>
        <w:t>el</w:t>
      </w:r>
      <w:r>
        <w:rPr>
          <w:color w:val="231F20"/>
          <w:spacing w:val="-13"/>
          <w:w w:val="110"/>
        </w:rPr>
        <w:t> </w:t>
      </w:r>
      <w:r>
        <w:rPr>
          <w:color w:val="231F20"/>
          <w:w w:val="110"/>
        </w:rPr>
        <w:t>respeto</w:t>
      </w:r>
      <w:r>
        <w:rPr>
          <w:color w:val="231F20"/>
          <w:spacing w:val="-13"/>
          <w:w w:val="110"/>
        </w:rPr>
        <w:t> </w:t>
      </w:r>
      <w:r>
        <w:rPr>
          <w:color w:val="231F20"/>
          <w:w w:val="110"/>
        </w:rPr>
        <w:t>a</w:t>
      </w:r>
      <w:r>
        <w:rPr>
          <w:color w:val="231F20"/>
          <w:spacing w:val="-13"/>
          <w:w w:val="110"/>
        </w:rPr>
        <w:t> </w:t>
      </w:r>
      <w:r>
        <w:rPr>
          <w:color w:val="231F20"/>
          <w:w w:val="110"/>
        </w:rPr>
        <w:t>un</w:t>
      </w:r>
      <w:r>
        <w:rPr>
          <w:color w:val="231F20"/>
          <w:spacing w:val="-13"/>
          <w:w w:val="110"/>
        </w:rPr>
        <w:t> </w:t>
      </w:r>
      <w:r>
        <w:rPr>
          <w:color w:val="231F20"/>
          <w:w w:val="110"/>
        </w:rPr>
        <w:t>gobierno</w:t>
      </w:r>
      <w:r>
        <w:rPr>
          <w:color w:val="231F20"/>
          <w:spacing w:val="-13"/>
          <w:w w:val="110"/>
        </w:rPr>
        <w:t> </w:t>
      </w:r>
      <w:r>
        <w:rPr>
          <w:color w:val="231F20"/>
          <w:w w:val="110"/>
        </w:rPr>
        <w:t>legal- mente constituido, la oposición al uso de la fuerza para resolver los problemas</w:t>
      </w:r>
      <w:r>
        <w:rPr>
          <w:color w:val="231F20"/>
          <w:spacing w:val="-11"/>
          <w:w w:val="110"/>
        </w:rPr>
        <w:t> </w:t>
      </w:r>
      <w:r>
        <w:rPr>
          <w:color w:val="231F20"/>
          <w:w w:val="110"/>
        </w:rPr>
        <w:t>políticos</w:t>
      </w:r>
      <w:r>
        <w:rPr>
          <w:color w:val="231F20"/>
          <w:spacing w:val="-11"/>
          <w:w w:val="110"/>
        </w:rPr>
        <w:t> </w:t>
      </w:r>
      <w:r>
        <w:rPr>
          <w:color w:val="231F20"/>
        </w:rPr>
        <w:t>y</w:t>
      </w:r>
      <w:r>
        <w:rPr>
          <w:color w:val="231F20"/>
          <w:spacing w:val="-6"/>
        </w:rPr>
        <w:t> </w:t>
      </w:r>
      <w:r>
        <w:rPr>
          <w:color w:val="231F20"/>
          <w:w w:val="110"/>
        </w:rPr>
        <w:t>tomar</w:t>
      </w:r>
      <w:r>
        <w:rPr>
          <w:color w:val="231F20"/>
          <w:spacing w:val="-11"/>
          <w:w w:val="110"/>
        </w:rPr>
        <w:t> </w:t>
      </w:r>
      <w:r>
        <w:rPr>
          <w:color w:val="231F20"/>
          <w:w w:val="110"/>
        </w:rPr>
        <w:t>distancia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tradicionales</w:t>
      </w:r>
      <w:r>
        <w:rPr>
          <w:color w:val="231F20"/>
          <w:spacing w:val="-11"/>
          <w:w w:val="110"/>
        </w:rPr>
        <w:t> </w:t>
      </w:r>
      <w:r>
        <w:rPr>
          <w:color w:val="231F20"/>
          <w:w w:val="110"/>
        </w:rPr>
        <w:t>intenciones hegemónicas en el</w:t>
      </w:r>
      <w:r>
        <w:rPr>
          <w:color w:val="231F20"/>
          <w:spacing w:val="23"/>
          <w:w w:val="110"/>
        </w:rPr>
        <w:t> </w:t>
      </w:r>
      <w:r>
        <w:rPr>
          <w:color w:val="231F20"/>
          <w:w w:val="110"/>
        </w:rPr>
        <w:t>hemisferio.</w:t>
      </w:r>
    </w:p>
    <w:p>
      <w:pPr>
        <w:pStyle w:val="BodyText"/>
        <w:spacing w:line="261" w:lineRule="auto"/>
        <w:ind w:left="100" w:right="116" w:firstLine="240"/>
        <w:jc w:val="both"/>
      </w:pPr>
      <w:r>
        <w:rPr>
          <w:color w:val="231F20"/>
          <w:w w:val="110"/>
        </w:rPr>
        <w:t>De allí nuestra línea argumental de valorar las dificultades que supone el desarrollo de una comunidad latinoamericana con agen- da propia que constituye un asunto de seguridad. Hacerlo implica enfrentar el sentido de sus necesidades nacionales y los criterios de seguridad colectiva en el marco de la integración. La ocupación militar</w:t>
      </w:r>
      <w:r>
        <w:rPr>
          <w:color w:val="231F20"/>
          <w:spacing w:val="41"/>
          <w:w w:val="110"/>
        </w:rPr>
        <w:t> </w:t>
      </w:r>
      <w:r>
        <w:rPr>
          <w:color w:val="231F20"/>
          <w:w w:val="110"/>
        </w:rPr>
        <w:t>de</w:t>
      </w:r>
      <w:r>
        <w:rPr>
          <w:color w:val="231F20"/>
          <w:spacing w:val="41"/>
          <w:w w:val="110"/>
        </w:rPr>
        <w:t> </w:t>
      </w:r>
      <w:r>
        <w:rPr>
          <w:color w:val="231F20"/>
          <w:w w:val="110"/>
        </w:rPr>
        <w:t>Irak</w:t>
      </w:r>
      <w:r>
        <w:rPr>
          <w:color w:val="231F20"/>
          <w:spacing w:val="41"/>
          <w:w w:val="110"/>
        </w:rPr>
        <w:t> </w:t>
      </w:r>
      <w:r>
        <w:rPr>
          <w:color w:val="231F20"/>
          <w:w w:val="110"/>
        </w:rPr>
        <w:t>por</w:t>
      </w:r>
      <w:r>
        <w:rPr>
          <w:color w:val="231F20"/>
          <w:spacing w:val="41"/>
          <w:w w:val="110"/>
        </w:rPr>
        <w:t> </w:t>
      </w:r>
      <w:r>
        <w:rPr>
          <w:color w:val="231F20"/>
          <w:w w:val="110"/>
        </w:rPr>
        <w:t>fuerzas</w:t>
      </w:r>
      <w:r>
        <w:rPr>
          <w:color w:val="231F20"/>
          <w:spacing w:val="41"/>
          <w:w w:val="110"/>
        </w:rPr>
        <w:t> </w:t>
      </w:r>
      <w:r>
        <w:rPr>
          <w:color w:val="231F20"/>
          <w:w w:val="110"/>
        </w:rPr>
        <w:t>militares</w:t>
      </w:r>
      <w:r>
        <w:rPr>
          <w:color w:val="231F20"/>
          <w:spacing w:val="41"/>
          <w:w w:val="110"/>
        </w:rPr>
        <w:t> </w:t>
      </w:r>
      <w:r>
        <w:rPr>
          <w:color w:val="231F20"/>
          <w:w w:val="110"/>
        </w:rPr>
        <w:t>estadunidenses</w:t>
      </w:r>
      <w:r>
        <w:rPr>
          <w:color w:val="231F20"/>
          <w:spacing w:val="41"/>
          <w:w w:val="110"/>
        </w:rPr>
        <w:t> </w:t>
      </w:r>
      <w:r>
        <w:rPr>
          <w:color w:val="231F20"/>
          <w:w w:val="110"/>
        </w:rPr>
        <w:t>en</w:t>
      </w:r>
      <w:r>
        <w:rPr>
          <w:color w:val="231F20"/>
          <w:spacing w:val="41"/>
          <w:w w:val="110"/>
        </w:rPr>
        <w:t> </w:t>
      </w:r>
      <w:r>
        <w:rPr>
          <w:color w:val="231F20"/>
          <w:w w:val="110"/>
        </w:rPr>
        <w:t>marzo</w:t>
      </w:r>
      <w:r>
        <w:rPr>
          <w:color w:val="231F20"/>
          <w:spacing w:val="41"/>
          <w:w w:val="110"/>
        </w:rPr>
        <w:t> </w:t>
      </w:r>
      <w:r>
        <w:rPr>
          <w:color w:val="231F20"/>
          <w:w w:val="110"/>
        </w:rPr>
        <w:t>de</w:t>
      </w:r>
      <w:r>
        <w:rPr>
          <w:color w:val="231F20"/>
          <w:spacing w:val="1"/>
          <w:w w:val="114"/>
        </w:rPr>
        <w:t> </w:t>
      </w:r>
      <w:r>
        <w:rPr>
          <w:color w:val="231F20"/>
          <w:w w:val="110"/>
        </w:rPr>
        <w:t>2003 se puede considerar otro momento importante en esa línea     de distanciamiento de la política latinoamericana de las decisiones estadunidenses</w:t>
      </w:r>
      <w:r>
        <w:rPr>
          <w:color w:val="231F20"/>
          <w:spacing w:val="-19"/>
          <w:w w:val="110"/>
        </w:rPr>
        <w:t> </w:t>
      </w:r>
      <w:r>
        <w:rPr>
          <w:color w:val="231F20"/>
          <w:w w:val="110"/>
        </w:rPr>
        <w:t>materia</w:t>
      </w:r>
      <w:r>
        <w:rPr>
          <w:color w:val="231F20"/>
          <w:spacing w:val="-19"/>
          <w:w w:val="110"/>
        </w:rPr>
        <w:t> </w:t>
      </w:r>
      <w:r>
        <w:rPr>
          <w:color w:val="231F20"/>
          <w:w w:val="110"/>
        </w:rPr>
        <w:t>de</w:t>
      </w:r>
      <w:r>
        <w:rPr>
          <w:color w:val="231F20"/>
          <w:spacing w:val="-19"/>
          <w:w w:val="110"/>
        </w:rPr>
        <w:t> </w:t>
      </w:r>
      <w:r>
        <w:rPr>
          <w:color w:val="231F20"/>
          <w:w w:val="110"/>
        </w:rPr>
        <w:t>seguridad.</w:t>
      </w:r>
      <w:r>
        <w:rPr>
          <w:color w:val="231F20"/>
          <w:spacing w:val="-19"/>
          <w:w w:val="110"/>
        </w:rPr>
        <w:t> </w:t>
      </w:r>
      <w:r>
        <w:rPr>
          <w:color w:val="231F20"/>
          <w:w w:val="110"/>
        </w:rPr>
        <w:t>México</w:t>
      </w:r>
      <w:r>
        <w:rPr>
          <w:color w:val="231F20"/>
          <w:spacing w:val="-19"/>
          <w:w w:val="110"/>
        </w:rPr>
        <w:t> </w:t>
      </w:r>
      <w:r>
        <w:rPr>
          <w:color w:val="231F20"/>
          <w:w w:val="110"/>
        </w:rPr>
        <w:t>y</w:t>
      </w:r>
      <w:r>
        <w:rPr>
          <w:color w:val="231F20"/>
          <w:spacing w:val="-19"/>
          <w:w w:val="110"/>
        </w:rPr>
        <w:t> </w:t>
      </w:r>
      <w:r>
        <w:rPr>
          <w:color w:val="231F20"/>
          <w:w w:val="110"/>
        </w:rPr>
        <w:t>Chile,</w:t>
      </w:r>
      <w:r>
        <w:rPr>
          <w:color w:val="231F20"/>
          <w:spacing w:val="-19"/>
          <w:w w:val="110"/>
        </w:rPr>
        <w:t> </w:t>
      </w:r>
      <w:r>
        <w:rPr>
          <w:color w:val="231F20"/>
          <w:w w:val="110"/>
        </w:rPr>
        <w:t>en</w:t>
      </w:r>
      <w:r>
        <w:rPr>
          <w:color w:val="231F20"/>
          <w:spacing w:val="-19"/>
          <w:w w:val="110"/>
        </w:rPr>
        <w:t> </w:t>
      </w:r>
      <w:r>
        <w:rPr>
          <w:color w:val="231F20"/>
          <w:w w:val="110"/>
        </w:rPr>
        <w:t>ese</w:t>
      </w:r>
      <w:r>
        <w:rPr>
          <w:color w:val="231F20"/>
          <w:spacing w:val="-19"/>
          <w:w w:val="110"/>
        </w:rPr>
        <w:t> </w:t>
      </w:r>
      <w:r>
        <w:rPr>
          <w:color w:val="231F20"/>
          <w:w w:val="110"/>
        </w:rPr>
        <w:t>entonces miembros no permanentes del Consejo de Seguridad de las Nacio- nes Unidas, se vieron obligados a enfrentarse a la difícil decisión de oponerse o apoyar la intervención estadunidense en Irak. La postura adoptada, en contra de la guerra, fue respaldada por un segmento   de la comunidad internacional, incluyendo a miembros del propio Consejo. Esa tendencia, de desarrollar una diplomacia no subordi- nada en la definición de la agenda de seguridad, es una dinámica presente. Su prosecución la podemos encontrar, por ejemplo, en el reciente posicionamiento de Brasil con su abstención en el voto </w:t>
      </w:r>
      <w:r>
        <w:rPr>
          <w:color w:val="231F20"/>
          <w:spacing w:val="29"/>
          <w:w w:val="110"/>
        </w:rPr>
        <w:t> </w:t>
      </w:r>
      <w:r>
        <w:rPr>
          <w:color w:val="231F20"/>
          <w:w w:val="110"/>
        </w:rPr>
        <w:t>del</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rPr>
          <w:sz w:val="13"/>
        </w:rPr>
      </w:pPr>
      <w:r>
        <w:rPr>
          <w:color w:val="231F20"/>
          <w:w w:val="110"/>
        </w:rPr>
        <w:t>Consejo de Seguridad de la onu, en la resolución 1973 adoptada en su</w:t>
      </w:r>
      <w:r>
        <w:rPr>
          <w:color w:val="231F20"/>
          <w:spacing w:val="-5"/>
          <w:w w:val="110"/>
        </w:rPr>
        <w:t> </w:t>
      </w:r>
      <w:r>
        <w:rPr>
          <w:color w:val="231F20"/>
          <w:w w:val="110"/>
        </w:rPr>
        <w:t>sesión</w:t>
      </w:r>
      <w:r>
        <w:rPr>
          <w:color w:val="231F20"/>
          <w:spacing w:val="-5"/>
          <w:w w:val="110"/>
        </w:rPr>
        <w:t> </w:t>
      </w:r>
      <w:r>
        <w:rPr>
          <w:color w:val="231F20"/>
          <w:w w:val="110"/>
        </w:rPr>
        <w:t>6498</w:t>
      </w:r>
      <w:r>
        <w:rPr>
          <w:color w:val="231F20"/>
          <w:spacing w:val="-5"/>
          <w:w w:val="110"/>
        </w:rPr>
        <w:t> </w:t>
      </w:r>
      <w:r>
        <w:rPr>
          <w:color w:val="231F20"/>
          <w:w w:val="110"/>
        </w:rPr>
        <w:t>del</w:t>
      </w:r>
      <w:r>
        <w:rPr>
          <w:color w:val="231F20"/>
          <w:spacing w:val="-5"/>
          <w:w w:val="110"/>
        </w:rPr>
        <w:t> </w:t>
      </w:r>
      <w:r>
        <w:rPr>
          <w:color w:val="231F20"/>
          <w:w w:val="110"/>
        </w:rPr>
        <w:t>17</w:t>
      </w:r>
      <w:r>
        <w:rPr>
          <w:color w:val="231F20"/>
          <w:spacing w:val="-5"/>
          <w:w w:val="110"/>
        </w:rPr>
        <w:t> </w:t>
      </w:r>
      <w:r>
        <w:rPr>
          <w:color w:val="231F20"/>
          <w:w w:val="110"/>
        </w:rPr>
        <w:t>de</w:t>
      </w:r>
      <w:r>
        <w:rPr>
          <w:color w:val="231F20"/>
          <w:spacing w:val="-5"/>
          <w:w w:val="110"/>
        </w:rPr>
        <w:t> </w:t>
      </w:r>
      <w:r>
        <w:rPr>
          <w:color w:val="231F20"/>
          <w:w w:val="110"/>
        </w:rPr>
        <w:t>marzo</w:t>
      </w:r>
      <w:r>
        <w:rPr>
          <w:color w:val="231F20"/>
          <w:spacing w:val="-5"/>
          <w:w w:val="110"/>
        </w:rPr>
        <w:t> </w:t>
      </w:r>
      <w:r>
        <w:rPr>
          <w:color w:val="231F20"/>
          <w:w w:val="110"/>
        </w:rPr>
        <w:t>de</w:t>
      </w:r>
      <w:r>
        <w:rPr>
          <w:color w:val="231F20"/>
          <w:spacing w:val="-5"/>
          <w:w w:val="110"/>
        </w:rPr>
        <w:t> </w:t>
      </w:r>
      <w:r>
        <w:rPr>
          <w:color w:val="231F20"/>
          <w:w w:val="110"/>
        </w:rPr>
        <w:t>2011,</w:t>
      </w:r>
      <w:r>
        <w:rPr>
          <w:color w:val="231F20"/>
          <w:spacing w:val="-5"/>
          <w:w w:val="110"/>
        </w:rPr>
        <w:t> </w:t>
      </w:r>
      <w:r>
        <w:rPr>
          <w:color w:val="231F20"/>
          <w:w w:val="110"/>
        </w:rPr>
        <w:t>para</w:t>
      </w:r>
      <w:r>
        <w:rPr>
          <w:color w:val="231F20"/>
          <w:spacing w:val="-5"/>
          <w:w w:val="110"/>
        </w:rPr>
        <w:t> </w:t>
      </w:r>
      <w:r>
        <w:rPr>
          <w:color w:val="231F20"/>
          <w:w w:val="110"/>
        </w:rPr>
        <w:t>establecer</w:t>
      </w:r>
      <w:r>
        <w:rPr>
          <w:color w:val="231F20"/>
          <w:spacing w:val="-5"/>
          <w:w w:val="110"/>
        </w:rPr>
        <w:t> </w:t>
      </w:r>
      <w:r>
        <w:rPr>
          <w:color w:val="231F20"/>
          <w:w w:val="110"/>
        </w:rPr>
        <w:t>una</w:t>
      </w:r>
      <w:r>
        <w:rPr>
          <w:color w:val="231F20"/>
          <w:spacing w:val="-5"/>
          <w:w w:val="110"/>
        </w:rPr>
        <w:t> </w:t>
      </w:r>
      <w:r>
        <w:rPr>
          <w:color w:val="231F20"/>
          <w:w w:val="110"/>
        </w:rPr>
        <w:t>zona</w:t>
      </w:r>
      <w:r>
        <w:rPr>
          <w:color w:val="231F20"/>
          <w:spacing w:val="-5"/>
          <w:w w:val="110"/>
        </w:rPr>
        <w:t> </w:t>
      </w:r>
      <w:r>
        <w:rPr>
          <w:color w:val="231F20"/>
          <w:w w:val="110"/>
        </w:rPr>
        <w:t>de exclusión aérea sobre el territorio de</w:t>
      </w:r>
      <w:r>
        <w:rPr>
          <w:color w:val="231F20"/>
          <w:spacing w:val="51"/>
          <w:w w:val="110"/>
        </w:rPr>
        <w:t> </w:t>
      </w:r>
      <w:r>
        <w:rPr>
          <w:color w:val="231F20"/>
          <w:w w:val="110"/>
        </w:rPr>
        <w:t>Libia.</w:t>
      </w:r>
      <w:r>
        <w:rPr>
          <w:color w:val="231F20"/>
          <w:w w:val="110"/>
          <w:position w:val="6"/>
          <w:sz w:val="13"/>
        </w:rPr>
        <w:t>6</w:t>
      </w:r>
    </w:p>
    <w:p>
      <w:pPr>
        <w:pStyle w:val="BodyText"/>
        <w:spacing w:line="261" w:lineRule="auto"/>
        <w:ind w:left="100" w:right="119" w:firstLine="240"/>
        <w:jc w:val="both"/>
      </w:pPr>
      <w:r>
        <w:rPr>
          <w:color w:val="231F20"/>
          <w:w w:val="110"/>
        </w:rPr>
        <w:t>Aunque no se puedan considerar como irreversibles los actuales procesos de la política latinoamericana en sus nuevas tendencias, es importante valorar que si existe un nuevo mapa político regional es debido</w:t>
      </w:r>
      <w:r>
        <w:rPr>
          <w:color w:val="231F20"/>
          <w:spacing w:val="-28"/>
          <w:w w:val="110"/>
        </w:rPr>
        <w:t> </w:t>
      </w:r>
      <w:r>
        <w:rPr>
          <w:color w:val="231F20"/>
          <w:w w:val="110"/>
        </w:rPr>
        <w:t>justamente</w:t>
      </w:r>
      <w:r>
        <w:rPr>
          <w:color w:val="231F20"/>
          <w:spacing w:val="-28"/>
          <w:w w:val="110"/>
        </w:rPr>
        <w:t> </w:t>
      </w:r>
      <w:r>
        <w:rPr>
          <w:color w:val="231F20"/>
          <w:w w:val="110"/>
        </w:rPr>
        <w:t>al</w:t>
      </w:r>
      <w:r>
        <w:rPr>
          <w:color w:val="231F20"/>
          <w:spacing w:val="-28"/>
          <w:w w:val="110"/>
        </w:rPr>
        <w:t> </w:t>
      </w:r>
      <w:r>
        <w:rPr>
          <w:color w:val="231F20"/>
          <w:w w:val="110"/>
        </w:rPr>
        <w:t>peso</w:t>
      </w:r>
      <w:r>
        <w:rPr>
          <w:color w:val="231F20"/>
          <w:spacing w:val="-28"/>
          <w:w w:val="110"/>
        </w:rPr>
        <w:t> </w:t>
      </w:r>
      <w:r>
        <w:rPr>
          <w:color w:val="231F20"/>
          <w:w w:val="110"/>
        </w:rPr>
        <w:t>económico,</w:t>
      </w:r>
      <w:r>
        <w:rPr>
          <w:color w:val="231F20"/>
          <w:spacing w:val="-28"/>
          <w:w w:val="110"/>
        </w:rPr>
        <w:t> </w:t>
      </w:r>
      <w:r>
        <w:rPr>
          <w:color w:val="231F20"/>
          <w:w w:val="110"/>
        </w:rPr>
        <w:t>político</w:t>
      </w:r>
      <w:r>
        <w:rPr>
          <w:color w:val="231F20"/>
          <w:spacing w:val="-28"/>
          <w:w w:val="110"/>
        </w:rPr>
        <w:t> </w:t>
      </w:r>
      <w:r>
        <w:rPr>
          <w:color w:val="231F20"/>
          <w:w w:val="110"/>
        </w:rPr>
        <w:t>y</w:t>
      </w:r>
      <w:r>
        <w:rPr>
          <w:color w:val="231F20"/>
          <w:spacing w:val="-28"/>
          <w:w w:val="110"/>
        </w:rPr>
        <w:t> </w:t>
      </w:r>
      <w:r>
        <w:rPr>
          <w:color w:val="231F20"/>
          <w:w w:val="110"/>
        </w:rPr>
        <w:t>diplomático</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go- biernos</w:t>
      </w:r>
      <w:r>
        <w:rPr>
          <w:color w:val="231F20"/>
          <w:spacing w:val="-21"/>
          <w:w w:val="110"/>
        </w:rPr>
        <w:t> </w:t>
      </w:r>
      <w:r>
        <w:rPr>
          <w:color w:val="231F20"/>
          <w:w w:val="110"/>
        </w:rPr>
        <w:t>electoralmente</w:t>
      </w:r>
      <w:r>
        <w:rPr>
          <w:color w:val="231F20"/>
          <w:spacing w:val="-21"/>
          <w:w w:val="110"/>
        </w:rPr>
        <w:t> </w:t>
      </w:r>
      <w:r>
        <w:rPr>
          <w:color w:val="231F20"/>
          <w:w w:val="110"/>
        </w:rPr>
        <w:t>triunfantes</w:t>
      </w:r>
      <w:r>
        <w:rPr>
          <w:color w:val="231F20"/>
          <w:spacing w:val="-21"/>
          <w:w w:val="110"/>
        </w:rPr>
        <w:t> </w:t>
      </w:r>
      <w:r>
        <w:rPr>
          <w:color w:val="231F20"/>
          <w:w w:val="110"/>
        </w:rPr>
        <w:t>de</w:t>
      </w:r>
      <w:r>
        <w:rPr>
          <w:color w:val="231F20"/>
          <w:spacing w:val="-21"/>
          <w:w w:val="110"/>
        </w:rPr>
        <w:t> </w:t>
      </w:r>
      <w:r>
        <w:rPr>
          <w:color w:val="231F20"/>
          <w:w w:val="110"/>
        </w:rPr>
        <w:t>2002</w:t>
      </w:r>
      <w:r>
        <w:rPr>
          <w:color w:val="231F20"/>
          <w:spacing w:val="-21"/>
          <w:w w:val="110"/>
        </w:rPr>
        <w:t> </w:t>
      </w:r>
      <w:r>
        <w:rPr>
          <w:color w:val="231F20"/>
          <w:w w:val="110"/>
        </w:rPr>
        <w:t>en</w:t>
      </w:r>
      <w:r>
        <w:rPr>
          <w:color w:val="231F20"/>
          <w:spacing w:val="-21"/>
          <w:w w:val="110"/>
        </w:rPr>
        <w:t> </w:t>
      </w:r>
      <w:r>
        <w:rPr>
          <w:color w:val="231F20"/>
          <w:w w:val="110"/>
        </w:rPr>
        <w:t>adelante.</w:t>
      </w:r>
      <w:r>
        <w:rPr>
          <w:color w:val="231F20"/>
          <w:spacing w:val="-21"/>
          <w:w w:val="110"/>
        </w:rPr>
        <w:t> </w:t>
      </w:r>
      <w:r>
        <w:rPr>
          <w:color w:val="231F20"/>
          <w:w w:val="110"/>
        </w:rPr>
        <w:t>Son</w:t>
      </w:r>
      <w:r>
        <w:rPr>
          <w:color w:val="231F20"/>
          <w:spacing w:val="-21"/>
          <w:w w:val="110"/>
        </w:rPr>
        <w:t> </w:t>
      </w:r>
      <w:r>
        <w:rPr>
          <w:color w:val="231F20"/>
          <w:w w:val="110"/>
        </w:rPr>
        <w:t>proyectos</w:t>
      </w:r>
      <w:r>
        <w:rPr>
          <w:color w:val="231F20"/>
          <w:spacing w:val="-2"/>
          <w:w w:val="107"/>
        </w:rPr>
        <w:t> </w:t>
      </w:r>
      <w:r>
        <w:rPr>
          <w:color w:val="231F20"/>
          <w:w w:val="110"/>
        </w:rPr>
        <w:t>distintos</w:t>
      </w:r>
      <w:r>
        <w:rPr>
          <w:color w:val="231F20"/>
          <w:spacing w:val="-20"/>
          <w:w w:val="110"/>
        </w:rPr>
        <w:t> </w:t>
      </w:r>
      <w:r>
        <w:rPr>
          <w:color w:val="231F20"/>
          <w:w w:val="110"/>
        </w:rPr>
        <w:t>e</w:t>
      </w:r>
      <w:r>
        <w:rPr>
          <w:color w:val="231F20"/>
          <w:spacing w:val="-20"/>
          <w:w w:val="110"/>
        </w:rPr>
        <w:t> </w:t>
      </w:r>
      <w:r>
        <w:rPr>
          <w:color w:val="231F20"/>
          <w:w w:val="110"/>
        </w:rPr>
        <w:t>incluso</w:t>
      </w:r>
      <w:r>
        <w:rPr>
          <w:color w:val="231F20"/>
          <w:spacing w:val="-20"/>
          <w:w w:val="110"/>
        </w:rPr>
        <w:t> </w:t>
      </w:r>
      <w:r>
        <w:rPr>
          <w:color w:val="231F20"/>
          <w:w w:val="110"/>
        </w:rPr>
        <w:t>contrarios</w:t>
      </w:r>
      <w:r>
        <w:rPr>
          <w:color w:val="231F20"/>
          <w:spacing w:val="-20"/>
          <w:w w:val="110"/>
        </w:rPr>
        <w:t> </w:t>
      </w:r>
      <w:r>
        <w:rPr>
          <w:color w:val="231F20"/>
          <w:w w:val="110"/>
        </w:rPr>
        <w:t>a</w:t>
      </w:r>
      <w:r>
        <w:rPr>
          <w:color w:val="231F20"/>
          <w:spacing w:val="-20"/>
          <w:w w:val="110"/>
        </w:rPr>
        <w:t> </w:t>
      </w:r>
      <w:r>
        <w:rPr>
          <w:color w:val="231F20"/>
          <w:w w:val="110"/>
        </w:rPr>
        <w:t>los</w:t>
      </w:r>
      <w:r>
        <w:rPr>
          <w:color w:val="231F20"/>
          <w:spacing w:val="-20"/>
          <w:w w:val="110"/>
        </w:rPr>
        <w:t> </w:t>
      </w:r>
      <w:r>
        <w:rPr>
          <w:color w:val="231F20"/>
          <w:w w:val="110"/>
        </w:rPr>
        <w:t>esquemas</w:t>
      </w:r>
      <w:r>
        <w:rPr>
          <w:color w:val="231F20"/>
          <w:spacing w:val="-20"/>
          <w:w w:val="110"/>
        </w:rPr>
        <w:t> </w:t>
      </w:r>
      <w:r>
        <w:rPr>
          <w:color w:val="231F20"/>
          <w:w w:val="110"/>
        </w:rPr>
        <w:t>de</w:t>
      </w:r>
      <w:r>
        <w:rPr>
          <w:color w:val="231F20"/>
          <w:spacing w:val="-20"/>
          <w:w w:val="110"/>
        </w:rPr>
        <w:t> </w:t>
      </w:r>
      <w:r>
        <w:rPr>
          <w:color w:val="231F20"/>
          <w:w w:val="110"/>
        </w:rPr>
        <w:t>dominación,</w:t>
      </w:r>
      <w:r>
        <w:rPr>
          <w:color w:val="231F20"/>
          <w:spacing w:val="-20"/>
          <w:w w:val="110"/>
        </w:rPr>
        <w:t> </w:t>
      </w:r>
      <w:r>
        <w:rPr>
          <w:color w:val="231F20"/>
          <w:w w:val="110"/>
        </w:rPr>
        <w:t>sumada</w:t>
      </w:r>
      <w:r>
        <w:rPr>
          <w:color w:val="231F20"/>
          <w:spacing w:val="-20"/>
          <w:w w:val="110"/>
        </w:rPr>
        <w:t> </w:t>
      </w:r>
      <w:r>
        <w:rPr>
          <w:color w:val="231F20"/>
          <w:w w:val="110"/>
        </w:rPr>
        <w:t>a la permanencia de la Revolución cubana, que en su conjunto impul- san por distintas vías mayores niveles de</w:t>
      </w:r>
      <w:r>
        <w:rPr>
          <w:color w:val="231F20"/>
          <w:spacing w:val="3"/>
          <w:w w:val="110"/>
        </w:rPr>
        <w:t> </w:t>
      </w:r>
      <w:r>
        <w:rPr>
          <w:color w:val="231F20"/>
          <w:w w:val="110"/>
        </w:rPr>
        <w:t>independencia,</w:t>
      </w:r>
      <w:r>
        <w:rPr>
          <w:color w:val="231F20"/>
          <w:spacing w:val="8"/>
          <w:w w:val="110"/>
        </w:rPr>
        <w:t> </w:t>
      </w:r>
      <w:r>
        <w:rPr>
          <w:color w:val="231F20"/>
          <w:w w:val="110"/>
        </w:rPr>
        <w:t>replantean</w:t>
      </w:r>
      <w:r>
        <w:rPr>
          <w:color w:val="231F20"/>
          <w:spacing w:val="-2"/>
          <w:w w:val="113"/>
        </w:rPr>
        <w:t> </w:t>
      </w:r>
      <w:r>
        <w:rPr>
          <w:color w:val="231F20"/>
          <w:w w:val="110"/>
        </w:rPr>
        <w:t>la soberanía de la región y consecuentemente reducen el margen de influencia de la de la hegemonía de Estados</w:t>
      </w:r>
      <w:r>
        <w:rPr>
          <w:color w:val="231F20"/>
          <w:spacing w:val="-24"/>
          <w:w w:val="110"/>
        </w:rPr>
        <w:t> </w:t>
      </w:r>
      <w:r>
        <w:rPr>
          <w:color w:val="231F20"/>
          <w:w w:val="110"/>
        </w:rPr>
        <w:t>Unidos.</w:t>
      </w:r>
    </w:p>
    <w:p>
      <w:pPr>
        <w:pStyle w:val="BodyText"/>
      </w:pPr>
    </w:p>
    <w:p>
      <w:pPr>
        <w:pStyle w:val="BodyText"/>
      </w:pPr>
    </w:p>
    <w:p>
      <w:pPr>
        <w:pStyle w:val="BodyText"/>
        <w:spacing w:before="2"/>
        <w:rPr>
          <w:sz w:val="25"/>
        </w:rPr>
      </w:pPr>
    </w:p>
    <w:p>
      <w:pPr>
        <w:pStyle w:val="BodyText"/>
        <w:ind w:left="100"/>
        <w:jc w:val="both"/>
      </w:pPr>
      <w:r>
        <w:rPr>
          <w:color w:val="231F20"/>
          <w:w w:val="130"/>
        </w:rPr>
        <w:t>cambios en la continuidad de la estrategia hegemónica</w:t>
      </w:r>
    </w:p>
    <w:p>
      <w:pPr>
        <w:pStyle w:val="BodyText"/>
        <w:spacing w:before="5"/>
        <w:rPr>
          <w:sz w:val="23"/>
        </w:rPr>
      </w:pPr>
    </w:p>
    <w:p>
      <w:pPr>
        <w:pStyle w:val="BodyText"/>
        <w:spacing w:line="261" w:lineRule="auto"/>
        <w:ind w:left="100" w:right="117"/>
        <w:jc w:val="both"/>
      </w:pPr>
      <w:r>
        <w:rPr>
          <w:color w:val="231F20"/>
          <w:w w:val="110"/>
        </w:rPr>
        <w:t>En mayo de 2010, el gobierno estadunidense dio a conocer su más reciente estrategia de seguridad nacional.</w:t>
      </w:r>
      <w:r>
        <w:rPr>
          <w:color w:val="231F20"/>
          <w:w w:val="110"/>
          <w:position w:val="6"/>
          <w:sz w:val="13"/>
        </w:rPr>
        <w:t>7 </w:t>
      </w:r>
      <w:r>
        <w:rPr>
          <w:color w:val="231F20"/>
          <w:w w:val="110"/>
        </w:rPr>
        <w:t>El documento oficial tra- za, de modo general, los objetivos estratégicos en política exterior frente al dinámico y complejo contexto geopolítico global al que    se enfrenta la administración demócrata. La pregunta obligada gira inevitablemente alrededor de si hay cambios o no en la estrategia, en la percepción de las amenazas y cuáles son nuevos ingredientes de la</w:t>
      </w:r>
      <w:r>
        <w:rPr>
          <w:color w:val="231F20"/>
          <w:spacing w:val="10"/>
          <w:w w:val="110"/>
        </w:rPr>
        <w:t> </w:t>
      </w:r>
      <w:r>
        <w:rPr>
          <w:color w:val="231F20"/>
          <w:w w:val="110"/>
        </w:rPr>
        <w:t>política.</w:t>
      </w:r>
    </w:p>
    <w:p>
      <w:pPr>
        <w:pStyle w:val="BodyText"/>
        <w:spacing w:line="261" w:lineRule="auto"/>
        <w:ind w:left="100" w:right="117" w:firstLine="240"/>
        <w:jc w:val="both"/>
      </w:pPr>
      <w:r>
        <w:rPr>
          <w:color w:val="231F20"/>
          <w:w w:val="110"/>
        </w:rPr>
        <w:t>Aún cuando se trata de un documento público sobre seguridad,  de entrada conviene señalar que de modo explícito no se advierte ninguna señal que anticipe algún giro importante en su concepción. Si esto es así, el marco doctrinario sigue siendo coherente con el legado</w:t>
      </w:r>
      <w:r>
        <w:rPr>
          <w:color w:val="231F20"/>
          <w:spacing w:val="-14"/>
          <w:w w:val="110"/>
        </w:rPr>
        <w:t> </w:t>
      </w:r>
      <w:r>
        <w:rPr>
          <w:color w:val="231F20"/>
          <w:w w:val="110"/>
        </w:rPr>
        <w:t>estratégico</w:t>
      </w:r>
      <w:r>
        <w:rPr>
          <w:color w:val="231F20"/>
          <w:spacing w:val="-14"/>
          <w:w w:val="110"/>
        </w:rPr>
        <w:t> </w:t>
      </w:r>
      <w:r>
        <w:rPr>
          <w:color w:val="231F20"/>
          <w:w w:val="110"/>
        </w:rPr>
        <w:t>conservador</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voluntad</w:t>
      </w:r>
      <w:r>
        <w:rPr>
          <w:color w:val="231F20"/>
          <w:spacing w:val="-14"/>
          <w:w w:val="110"/>
        </w:rPr>
        <w:t> </w:t>
      </w:r>
      <w:r>
        <w:rPr>
          <w:color w:val="231F20"/>
          <w:w w:val="110"/>
        </w:rPr>
        <w:t>de</w:t>
      </w:r>
      <w:r>
        <w:rPr>
          <w:color w:val="231F20"/>
          <w:spacing w:val="-14"/>
          <w:w w:val="110"/>
        </w:rPr>
        <w:t> </w:t>
      </w:r>
      <w:r>
        <w:rPr>
          <w:color w:val="231F20"/>
          <w:w w:val="110"/>
        </w:rPr>
        <w:t>proyectar</w:t>
      </w:r>
      <w:r>
        <w:rPr>
          <w:color w:val="231F20"/>
          <w:spacing w:val="-14"/>
          <w:w w:val="110"/>
        </w:rPr>
        <w:t> </w:t>
      </w:r>
      <w:r>
        <w:rPr>
          <w:color w:val="231F20"/>
          <w:w w:val="110"/>
        </w:rPr>
        <w:t>y</w:t>
      </w:r>
      <w:r>
        <w:rPr>
          <w:color w:val="231F20"/>
          <w:spacing w:val="-14"/>
          <w:w w:val="110"/>
        </w:rPr>
        <w:t> </w:t>
      </w:r>
      <w:r>
        <w:rPr>
          <w:color w:val="231F20"/>
          <w:w w:val="110"/>
        </w:rPr>
        <w:t>preservar</w:t>
      </w:r>
    </w:p>
    <w:p>
      <w:pPr>
        <w:pStyle w:val="BodyText"/>
      </w:pPr>
    </w:p>
    <w:p>
      <w:pPr>
        <w:spacing w:line="261" w:lineRule="auto" w:before="151"/>
        <w:ind w:left="100" w:right="119" w:firstLine="240"/>
        <w:jc w:val="both"/>
        <w:rPr>
          <w:sz w:val="16"/>
        </w:rPr>
      </w:pPr>
      <w:r>
        <w:rPr>
          <w:color w:val="231F20"/>
          <w:w w:val="110"/>
          <w:position w:val="5"/>
          <w:sz w:val="10"/>
        </w:rPr>
        <w:t>6 </w:t>
      </w:r>
      <w:r>
        <w:rPr>
          <w:color w:val="231F20"/>
          <w:w w:val="110"/>
          <w:sz w:val="16"/>
        </w:rPr>
        <w:t>Alemania, Brasil, China, India y Rusia son los miembros que junto con Brasil expresaron su voto de abstención. No deja de ser significativa la composición de los países que se abstuvieron en el Consejo de Seguridad porque sugieren</w:t>
      </w:r>
      <w:r>
        <w:rPr>
          <w:color w:val="231F20"/>
          <w:spacing w:val="16"/>
          <w:w w:val="110"/>
          <w:sz w:val="16"/>
        </w:rPr>
        <w:t> </w:t>
      </w:r>
      <w:r>
        <w:rPr>
          <w:color w:val="231F20"/>
          <w:w w:val="110"/>
          <w:sz w:val="16"/>
        </w:rPr>
        <w:t>las</w:t>
      </w:r>
      <w:r>
        <w:rPr>
          <w:color w:val="231F20"/>
          <w:spacing w:val="1"/>
          <w:w w:val="110"/>
          <w:sz w:val="16"/>
        </w:rPr>
        <w:t> </w:t>
      </w:r>
      <w:r>
        <w:rPr>
          <w:color w:val="231F20"/>
          <w:w w:val="110"/>
          <w:sz w:val="16"/>
        </w:rPr>
        <w:t>referencias</w:t>
      </w:r>
      <w:r>
        <w:rPr>
          <w:color w:val="231F20"/>
          <w:w w:val="109"/>
          <w:sz w:val="16"/>
        </w:rPr>
        <w:t> </w:t>
      </w:r>
      <w:r>
        <w:rPr>
          <w:color w:val="231F20"/>
          <w:w w:val="110"/>
          <w:sz w:val="16"/>
        </w:rPr>
        <w:t>de los análisis actuales sobre los contrapesos de la geopolítica internacional. De</w:t>
      </w:r>
      <w:r>
        <w:rPr>
          <w:color w:val="231F20"/>
          <w:spacing w:val="-13"/>
          <w:w w:val="110"/>
          <w:sz w:val="16"/>
        </w:rPr>
        <w:t> </w:t>
      </w:r>
      <w:r>
        <w:rPr>
          <w:color w:val="231F20"/>
          <w:w w:val="110"/>
          <w:sz w:val="16"/>
        </w:rPr>
        <w:t>igual modo,</w:t>
      </w:r>
      <w:r>
        <w:rPr>
          <w:color w:val="231F20"/>
          <w:spacing w:val="-8"/>
          <w:w w:val="110"/>
          <w:sz w:val="16"/>
        </w:rPr>
        <w:t> </w:t>
      </w:r>
      <w:r>
        <w:rPr>
          <w:color w:val="231F20"/>
          <w:w w:val="110"/>
          <w:sz w:val="16"/>
        </w:rPr>
        <w:t>es</w:t>
      </w:r>
      <w:r>
        <w:rPr>
          <w:color w:val="231F20"/>
          <w:spacing w:val="-8"/>
          <w:w w:val="110"/>
          <w:sz w:val="16"/>
        </w:rPr>
        <w:t> </w:t>
      </w:r>
      <w:r>
        <w:rPr>
          <w:color w:val="231F20"/>
          <w:w w:val="110"/>
          <w:sz w:val="16"/>
        </w:rPr>
        <w:t>significativa</w:t>
      </w:r>
      <w:r>
        <w:rPr>
          <w:color w:val="231F20"/>
          <w:spacing w:val="-8"/>
          <w:w w:val="110"/>
          <w:sz w:val="16"/>
        </w:rPr>
        <w:t> </w:t>
      </w:r>
      <w:r>
        <w:rPr>
          <w:color w:val="231F20"/>
          <w:w w:val="110"/>
          <w:sz w:val="16"/>
        </w:rPr>
        <w:t>la</w:t>
      </w:r>
      <w:r>
        <w:rPr>
          <w:color w:val="231F20"/>
          <w:spacing w:val="-8"/>
          <w:w w:val="110"/>
          <w:sz w:val="16"/>
        </w:rPr>
        <w:t> </w:t>
      </w:r>
      <w:r>
        <w:rPr>
          <w:color w:val="231F20"/>
          <w:w w:val="110"/>
          <w:sz w:val="16"/>
        </w:rPr>
        <w:t>posición</w:t>
      </w:r>
      <w:r>
        <w:rPr>
          <w:color w:val="231F20"/>
          <w:spacing w:val="-8"/>
          <w:w w:val="110"/>
          <w:sz w:val="16"/>
        </w:rPr>
        <w:t> </w:t>
      </w:r>
      <w:r>
        <w:rPr>
          <w:color w:val="231F20"/>
          <w:w w:val="110"/>
          <w:sz w:val="16"/>
        </w:rPr>
        <w:t>adoptada</w:t>
      </w:r>
      <w:r>
        <w:rPr>
          <w:color w:val="231F20"/>
          <w:spacing w:val="-8"/>
          <w:w w:val="110"/>
          <w:sz w:val="16"/>
        </w:rPr>
        <w:t> </w:t>
      </w:r>
      <w:r>
        <w:rPr>
          <w:color w:val="231F20"/>
          <w:w w:val="110"/>
          <w:sz w:val="16"/>
        </w:rPr>
        <w:t>por</w:t>
      </w:r>
      <w:r>
        <w:rPr>
          <w:color w:val="231F20"/>
          <w:spacing w:val="-8"/>
          <w:w w:val="110"/>
          <w:sz w:val="16"/>
        </w:rPr>
        <w:t> </w:t>
      </w:r>
      <w:r>
        <w:rPr>
          <w:color w:val="231F20"/>
          <w:w w:val="110"/>
          <w:sz w:val="16"/>
        </w:rPr>
        <w:t>Colombia,</w:t>
      </w:r>
      <w:r>
        <w:rPr>
          <w:color w:val="231F20"/>
          <w:spacing w:val="-8"/>
          <w:w w:val="110"/>
          <w:sz w:val="16"/>
        </w:rPr>
        <w:t> </w:t>
      </w:r>
      <w:r>
        <w:rPr>
          <w:color w:val="231F20"/>
          <w:w w:val="110"/>
          <w:sz w:val="16"/>
        </w:rPr>
        <w:t>que</w:t>
      </w:r>
      <w:r>
        <w:rPr>
          <w:color w:val="231F20"/>
          <w:spacing w:val="-8"/>
          <w:w w:val="110"/>
          <w:sz w:val="16"/>
        </w:rPr>
        <w:t> </w:t>
      </w:r>
      <w:r>
        <w:rPr>
          <w:color w:val="231F20"/>
          <w:w w:val="110"/>
          <w:sz w:val="16"/>
        </w:rPr>
        <w:t>como</w:t>
      </w:r>
      <w:r>
        <w:rPr>
          <w:color w:val="231F20"/>
          <w:spacing w:val="-8"/>
          <w:w w:val="110"/>
          <w:sz w:val="16"/>
        </w:rPr>
        <w:t> </w:t>
      </w:r>
      <w:r>
        <w:rPr>
          <w:color w:val="231F20"/>
          <w:w w:val="110"/>
          <w:sz w:val="16"/>
        </w:rPr>
        <w:t>ratificación</w:t>
      </w:r>
      <w:r>
        <w:rPr>
          <w:color w:val="231F20"/>
          <w:spacing w:val="-8"/>
          <w:w w:val="110"/>
          <w:sz w:val="16"/>
        </w:rPr>
        <w:t> </w:t>
      </w:r>
      <w:r>
        <w:rPr>
          <w:color w:val="231F20"/>
          <w:w w:val="110"/>
          <w:sz w:val="16"/>
        </w:rPr>
        <w:t>de</w:t>
      </w:r>
      <w:r>
        <w:rPr>
          <w:color w:val="231F20"/>
          <w:spacing w:val="-8"/>
          <w:w w:val="110"/>
          <w:sz w:val="16"/>
        </w:rPr>
        <w:t> </w:t>
      </w:r>
      <w:r>
        <w:rPr>
          <w:color w:val="231F20"/>
          <w:w w:val="110"/>
          <w:sz w:val="16"/>
        </w:rPr>
        <w:t>su papel de aliado estadunidense en la América Latina no tuvo inconvenientes de votar a favor de otorgarle legalidad internacional al uso de la fuerza sobre territorio </w:t>
      </w:r>
      <w:r>
        <w:rPr>
          <w:color w:val="231F20"/>
          <w:spacing w:val="30"/>
          <w:w w:val="110"/>
          <w:sz w:val="16"/>
        </w:rPr>
        <w:t> </w:t>
      </w:r>
      <w:r>
        <w:rPr>
          <w:color w:val="231F20"/>
          <w:w w:val="110"/>
          <w:sz w:val="16"/>
        </w:rPr>
        <w:t>Libio.</w:t>
      </w:r>
    </w:p>
    <w:p>
      <w:pPr>
        <w:spacing w:before="0"/>
        <w:ind w:left="340" w:right="-3" w:firstLine="0"/>
        <w:jc w:val="left"/>
        <w:rPr>
          <w:sz w:val="16"/>
        </w:rPr>
      </w:pPr>
      <w:r>
        <w:rPr>
          <w:color w:val="231F20"/>
          <w:w w:val="110"/>
          <w:position w:val="5"/>
          <w:sz w:val="10"/>
        </w:rPr>
        <w:t>7  </w:t>
      </w:r>
      <w:r>
        <w:rPr>
          <w:color w:val="231F20"/>
          <w:w w:val="110"/>
          <w:sz w:val="16"/>
        </w:rPr>
        <w:t>The White House, “National Security Strategy”, Washington, DC, mayo de 2010.</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su liderazgo mundial. A diferencia de los documentos emitidos por la administración republicana, en los que explícitamente se recono- cía que “Estados Unidos está en guerra” (“América está en guerra”, “combatiremos a nuestros enemigos en el exterior en vez de esperar a</w:t>
      </w:r>
      <w:r>
        <w:rPr>
          <w:color w:val="231F20"/>
          <w:spacing w:val="-9"/>
          <w:w w:val="110"/>
        </w:rPr>
        <w:t> </w:t>
      </w:r>
      <w:r>
        <w:rPr>
          <w:color w:val="231F20"/>
          <w:w w:val="110"/>
        </w:rPr>
        <w:t>que</w:t>
      </w:r>
      <w:r>
        <w:rPr>
          <w:color w:val="231F20"/>
          <w:spacing w:val="-9"/>
          <w:w w:val="110"/>
        </w:rPr>
        <w:t> </w:t>
      </w:r>
      <w:r>
        <w:rPr>
          <w:color w:val="231F20"/>
          <w:w w:val="110"/>
        </w:rPr>
        <w:t>ellos</w:t>
      </w:r>
      <w:r>
        <w:rPr>
          <w:color w:val="231F20"/>
          <w:spacing w:val="-9"/>
          <w:w w:val="110"/>
        </w:rPr>
        <w:t> </w:t>
      </w:r>
      <w:r>
        <w:rPr>
          <w:color w:val="231F20"/>
          <w:w w:val="110"/>
        </w:rPr>
        <w:t>lleguen</w:t>
      </w:r>
      <w:r>
        <w:rPr>
          <w:color w:val="231F20"/>
          <w:spacing w:val="-9"/>
          <w:w w:val="110"/>
        </w:rPr>
        <w:t> </w:t>
      </w:r>
      <w:r>
        <w:rPr>
          <w:color w:val="231F20"/>
          <w:w w:val="110"/>
        </w:rPr>
        <w:t>a</w:t>
      </w:r>
      <w:r>
        <w:rPr>
          <w:color w:val="231F20"/>
          <w:spacing w:val="-9"/>
          <w:w w:val="110"/>
        </w:rPr>
        <w:t> </w:t>
      </w:r>
      <w:r>
        <w:rPr>
          <w:color w:val="231F20"/>
          <w:w w:val="110"/>
        </w:rPr>
        <w:t>nuestro</w:t>
      </w:r>
      <w:r>
        <w:rPr>
          <w:color w:val="231F20"/>
          <w:spacing w:val="-9"/>
          <w:w w:val="110"/>
        </w:rPr>
        <w:t> </w:t>
      </w:r>
      <w:r>
        <w:rPr>
          <w:color w:val="231F20"/>
          <w:w w:val="110"/>
        </w:rPr>
        <w:t>país”,</w:t>
      </w:r>
      <w:r>
        <w:rPr>
          <w:color w:val="231F20"/>
          <w:spacing w:val="-9"/>
          <w:w w:val="110"/>
        </w:rPr>
        <w:t> </w:t>
      </w:r>
      <w:r>
        <w:rPr>
          <w:color w:val="231F20"/>
          <w:w w:val="110"/>
        </w:rPr>
        <w:t>“apoyaremos</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movimientos</w:t>
      </w:r>
      <w:r>
        <w:rPr>
          <w:color w:val="231F20"/>
          <w:spacing w:val="-9"/>
          <w:w w:val="110"/>
        </w:rPr>
        <w:t> </w:t>
      </w:r>
      <w:r>
        <w:rPr>
          <w:color w:val="231F20"/>
          <w:w w:val="110"/>
        </w:rPr>
        <w:t>e instituciones</w:t>
      </w:r>
      <w:r>
        <w:rPr>
          <w:color w:val="231F20"/>
          <w:spacing w:val="-11"/>
          <w:w w:val="110"/>
        </w:rPr>
        <w:t> </w:t>
      </w:r>
      <w:r>
        <w:rPr>
          <w:color w:val="231F20"/>
          <w:w w:val="110"/>
        </w:rPr>
        <w:t>democráticas</w:t>
      </w:r>
      <w:r>
        <w:rPr>
          <w:color w:val="231F20"/>
          <w:spacing w:val="-11"/>
          <w:w w:val="110"/>
        </w:rPr>
        <w:t> </w:t>
      </w:r>
      <w:r>
        <w:rPr>
          <w:color w:val="231F20"/>
          <w:w w:val="110"/>
        </w:rPr>
        <w:t>de</w:t>
      </w:r>
      <w:r>
        <w:rPr>
          <w:color w:val="231F20"/>
          <w:spacing w:val="-11"/>
          <w:w w:val="110"/>
        </w:rPr>
        <w:t> </w:t>
      </w:r>
      <w:r>
        <w:rPr>
          <w:color w:val="231F20"/>
          <w:w w:val="110"/>
        </w:rPr>
        <w:t>cada</w:t>
      </w:r>
      <w:r>
        <w:rPr>
          <w:color w:val="231F20"/>
          <w:spacing w:val="-11"/>
          <w:w w:val="110"/>
        </w:rPr>
        <w:t> </w:t>
      </w:r>
      <w:r>
        <w:rPr>
          <w:color w:val="231F20"/>
          <w:w w:val="110"/>
        </w:rPr>
        <w:t>nación</w:t>
      </w:r>
      <w:r>
        <w:rPr>
          <w:color w:val="231F20"/>
          <w:spacing w:val="-11"/>
          <w:w w:val="110"/>
        </w:rPr>
        <w:t> </w:t>
      </w:r>
      <w:r>
        <w:rPr>
          <w:color w:val="231F20"/>
          <w:w w:val="110"/>
        </w:rPr>
        <w:t>y</w:t>
      </w:r>
      <w:r>
        <w:rPr>
          <w:color w:val="231F20"/>
          <w:spacing w:val="-11"/>
          <w:w w:val="110"/>
        </w:rPr>
        <w:t> </w:t>
      </w:r>
      <w:r>
        <w:rPr>
          <w:color w:val="231F20"/>
          <w:w w:val="110"/>
        </w:rPr>
        <w:t>cultura”,</w:t>
      </w:r>
      <w:r>
        <w:rPr>
          <w:color w:val="231F20"/>
          <w:spacing w:val="-11"/>
          <w:w w:val="110"/>
        </w:rPr>
        <w:t> </w:t>
      </w:r>
      <w:r>
        <w:rPr>
          <w:color w:val="231F20"/>
          <w:w w:val="110"/>
        </w:rPr>
        <w:t>“erradicaremos la</w:t>
      </w:r>
      <w:r>
        <w:rPr>
          <w:color w:val="231F20"/>
          <w:spacing w:val="-8"/>
          <w:w w:val="110"/>
        </w:rPr>
        <w:t> </w:t>
      </w:r>
      <w:r>
        <w:rPr>
          <w:color w:val="231F20"/>
          <w:w w:val="110"/>
        </w:rPr>
        <w:t>tiranía</w:t>
      </w:r>
      <w:r>
        <w:rPr>
          <w:color w:val="231F20"/>
          <w:spacing w:val="-8"/>
          <w:w w:val="110"/>
        </w:rPr>
        <w:t> </w:t>
      </w:r>
      <w:r>
        <w:rPr>
          <w:color w:val="231F20"/>
          <w:w w:val="110"/>
        </w:rPr>
        <w:t>del</w:t>
      </w:r>
      <w:r>
        <w:rPr>
          <w:color w:val="231F20"/>
          <w:spacing w:val="-8"/>
          <w:w w:val="110"/>
        </w:rPr>
        <w:t> </w:t>
      </w:r>
      <w:r>
        <w:rPr>
          <w:color w:val="231F20"/>
          <w:w w:val="110"/>
        </w:rPr>
        <w:t>mundo”,</w:t>
      </w:r>
      <w:r>
        <w:rPr>
          <w:color w:val="231F20"/>
          <w:spacing w:val="-8"/>
          <w:w w:val="110"/>
        </w:rPr>
        <w:t> </w:t>
      </w:r>
      <w:r>
        <w:rPr>
          <w:color w:val="231F20"/>
          <w:w w:val="110"/>
        </w:rPr>
        <w:t>etcétera),</w:t>
      </w:r>
      <w:r>
        <w:rPr>
          <w:color w:val="231F20"/>
          <w:w w:val="110"/>
          <w:position w:val="6"/>
          <w:sz w:val="13"/>
        </w:rPr>
        <w:t>8</w:t>
      </w:r>
      <w:r>
        <w:rPr>
          <w:color w:val="231F20"/>
          <w:spacing w:val="11"/>
          <w:w w:val="110"/>
          <w:position w:val="6"/>
          <w:sz w:val="13"/>
        </w:rPr>
        <w:t> </w:t>
      </w:r>
      <w:r>
        <w:rPr>
          <w:color w:val="231F20"/>
          <w:w w:val="110"/>
        </w:rPr>
        <w:t>en</w:t>
      </w:r>
      <w:r>
        <w:rPr>
          <w:color w:val="231F20"/>
          <w:spacing w:val="-8"/>
          <w:w w:val="110"/>
        </w:rPr>
        <w:t> </w:t>
      </w:r>
      <w:r>
        <w:rPr>
          <w:color w:val="231F20"/>
          <w:w w:val="110"/>
        </w:rPr>
        <w:t>éste</w:t>
      </w:r>
      <w:r>
        <w:rPr>
          <w:color w:val="231F20"/>
          <w:spacing w:val="-8"/>
          <w:w w:val="110"/>
        </w:rPr>
        <w:t> </w:t>
      </w:r>
      <w:r>
        <w:rPr>
          <w:color w:val="231F20"/>
          <w:w w:val="110"/>
        </w:rPr>
        <w:t>se</w:t>
      </w:r>
      <w:r>
        <w:rPr>
          <w:color w:val="231F20"/>
          <w:spacing w:val="-8"/>
          <w:w w:val="110"/>
        </w:rPr>
        <w:t> </w:t>
      </w:r>
      <w:r>
        <w:rPr>
          <w:color w:val="231F20"/>
          <w:w w:val="110"/>
        </w:rPr>
        <w:t>subraya</w:t>
      </w:r>
      <w:r>
        <w:rPr>
          <w:color w:val="231F20"/>
          <w:spacing w:val="-8"/>
          <w:w w:val="110"/>
        </w:rPr>
        <w:t> </w:t>
      </w:r>
      <w:r>
        <w:rPr>
          <w:color w:val="231F20"/>
          <w:w w:val="110"/>
        </w:rPr>
        <w:t>la</w:t>
      </w:r>
      <w:r>
        <w:rPr>
          <w:color w:val="231F20"/>
          <w:spacing w:val="-8"/>
          <w:w w:val="110"/>
        </w:rPr>
        <w:t> </w:t>
      </w:r>
      <w:r>
        <w:rPr>
          <w:color w:val="231F20"/>
          <w:w w:val="110"/>
        </w:rPr>
        <w:t>importancia</w:t>
      </w:r>
      <w:r>
        <w:rPr>
          <w:color w:val="231F20"/>
          <w:spacing w:val="-8"/>
          <w:w w:val="110"/>
        </w:rPr>
        <w:t> </w:t>
      </w:r>
      <w:r>
        <w:rPr>
          <w:color w:val="231F20"/>
          <w:w w:val="110"/>
        </w:rPr>
        <w:t>de evitar la confrontación para lograr los objetivos estratégicos. En un intento por proyectar una mirada pretendidamente más integral, se alude al uso de todos los recursos del </w:t>
      </w:r>
      <w:r>
        <w:rPr>
          <w:color w:val="231F20"/>
          <w:spacing w:val="-3"/>
          <w:w w:val="110"/>
        </w:rPr>
        <w:t>poder, </w:t>
      </w:r>
      <w:r>
        <w:rPr>
          <w:color w:val="231F20"/>
          <w:w w:val="110"/>
        </w:rPr>
        <w:t>incluida, desde luego,  la fuerza militar y la anticipación en la ubicación de los conflictos. Esto parece querer dejar en evidencia que, al menos en su expresión documental, la nueva formulación estratégica no estaría dispuesta a sobrevalorar la dimensión </w:t>
      </w:r>
      <w:r>
        <w:rPr>
          <w:color w:val="231F20"/>
          <w:spacing w:val="-3"/>
          <w:w w:val="110"/>
        </w:rPr>
        <w:t>militar. </w:t>
      </w:r>
      <w:r>
        <w:rPr>
          <w:color w:val="231F20"/>
          <w:w w:val="110"/>
        </w:rPr>
        <w:t>Sin embargo, en otro documento, también de carácter estratégico, pero elaborado por el</w:t>
      </w:r>
      <w:r>
        <w:rPr>
          <w:color w:val="231F20"/>
          <w:spacing w:val="-17"/>
          <w:w w:val="110"/>
        </w:rPr>
        <w:t> </w:t>
      </w:r>
      <w:r>
        <w:rPr>
          <w:color w:val="231F20"/>
          <w:w w:val="110"/>
        </w:rPr>
        <w:t>Departamento de Defensa, divulgado en febrero de 2010, se señala expresamente que los intereses de Estados Unidos y su papel en el mundo</w:t>
      </w:r>
      <w:r>
        <w:rPr>
          <w:color w:val="231F20"/>
          <w:spacing w:val="-28"/>
          <w:w w:val="110"/>
        </w:rPr>
        <w:t> </w:t>
      </w:r>
      <w:r>
        <w:rPr>
          <w:color w:val="231F20"/>
          <w:w w:val="110"/>
        </w:rPr>
        <w:t>precisan de unas fuerzas armadas con un poderío inigualable, así como la predisposición de emplearlas cuando están en juego la defensa de sus intereses y el bien</w:t>
      </w:r>
      <w:r>
        <w:rPr>
          <w:color w:val="231F20"/>
          <w:spacing w:val="13"/>
          <w:w w:val="110"/>
        </w:rPr>
        <w:t> </w:t>
      </w:r>
      <w:r>
        <w:rPr>
          <w:color w:val="231F20"/>
          <w:w w:val="110"/>
        </w:rPr>
        <w:t>común.</w:t>
      </w:r>
    </w:p>
    <w:p>
      <w:pPr>
        <w:pStyle w:val="BodyText"/>
        <w:spacing w:line="261" w:lineRule="auto"/>
        <w:ind w:left="100" w:right="117" w:firstLine="240"/>
        <w:jc w:val="both"/>
        <w:rPr>
          <w:sz w:val="13"/>
        </w:rPr>
      </w:pPr>
      <w:r>
        <w:rPr>
          <w:color w:val="231F20"/>
          <w:w w:val="110"/>
        </w:rPr>
        <w:t>Esta</w:t>
      </w:r>
      <w:r>
        <w:rPr>
          <w:color w:val="231F20"/>
          <w:spacing w:val="-19"/>
          <w:w w:val="110"/>
        </w:rPr>
        <w:t> </w:t>
      </w:r>
      <w:r>
        <w:rPr>
          <w:color w:val="231F20"/>
          <w:w w:val="110"/>
        </w:rPr>
        <w:t>forma</w:t>
      </w:r>
      <w:r>
        <w:rPr>
          <w:color w:val="231F20"/>
          <w:spacing w:val="-19"/>
          <w:w w:val="110"/>
        </w:rPr>
        <w:t> </w:t>
      </w:r>
      <w:r>
        <w:rPr>
          <w:color w:val="231F20"/>
          <w:w w:val="110"/>
        </w:rPr>
        <w:t>de</w:t>
      </w:r>
      <w:r>
        <w:rPr>
          <w:color w:val="231F20"/>
          <w:spacing w:val="-19"/>
          <w:w w:val="110"/>
        </w:rPr>
        <w:t> </w:t>
      </w:r>
      <w:r>
        <w:rPr>
          <w:color w:val="231F20"/>
          <w:w w:val="110"/>
        </w:rPr>
        <w:t>conceptualización</w:t>
      </w:r>
      <w:r>
        <w:rPr>
          <w:color w:val="231F20"/>
          <w:spacing w:val="-19"/>
          <w:w w:val="110"/>
        </w:rPr>
        <w:t> </w:t>
      </w:r>
      <w:r>
        <w:rPr>
          <w:color w:val="231F20"/>
          <w:w w:val="110"/>
        </w:rPr>
        <w:t>se</w:t>
      </w:r>
      <w:r>
        <w:rPr>
          <w:color w:val="231F20"/>
          <w:spacing w:val="-19"/>
          <w:w w:val="110"/>
        </w:rPr>
        <w:t> </w:t>
      </w:r>
      <w:r>
        <w:rPr>
          <w:color w:val="231F20"/>
          <w:w w:val="110"/>
        </w:rPr>
        <w:t>precisa</w:t>
      </w:r>
      <w:r>
        <w:rPr>
          <w:color w:val="231F20"/>
          <w:spacing w:val="-19"/>
          <w:w w:val="110"/>
        </w:rPr>
        <w:t> </w:t>
      </w:r>
      <w:r>
        <w:rPr>
          <w:color w:val="231F20"/>
          <w:w w:val="110"/>
        </w:rPr>
        <w:t>con</w:t>
      </w:r>
      <w:r>
        <w:rPr>
          <w:color w:val="231F20"/>
          <w:spacing w:val="-19"/>
          <w:w w:val="110"/>
        </w:rPr>
        <w:t> </w:t>
      </w:r>
      <w:r>
        <w:rPr>
          <w:color w:val="231F20"/>
          <w:w w:val="110"/>
        </w:rPr>
        <w:t>el</w:t>
      </w:r>
      <w:r>
        <w:rPr>
          <w:color w:val="231F20"/>
          <w:spacing w:val="-19"/>
          <w:w w:val="110"/>
        </w:rPr>
        <w:t> </w:t>
      </w:r>
      <w:r>
        <w:rPr>
          <w:color w:val="231F20"/>
          <w:w w:val="110"/>
        </w:rPr>
        <w:t>señalamiento</w:t>
      </w:r>
      <w:r>
        <w:rPr>
          <w:color w:val="231F20"/>
          <w:spacing w:val="-19"/>
          <w:w w:val="110"/>
        </w:rPr>
        <w:t> </w:t>
      </w:r>
      <w:r>
        <w:rPr>
          <w:color w:val="231F20"/>
          <w:w w:val="110"/>
        </w:rPr>
        <w:t>ex- preso de que su poderío es capaz de proteger y sostener operaciones a</w:t>
      </w:r>
      <w:r>
        <w:rPr>
          <w:color w:val="231F20"/>
          <w:spacing w:val="-22"/>
          <w:w w:val="110"/>
        </w:rPr>
        <w:t> </w:t>
      </w:r>
      <w:r>
        <w:rPr>
          <w:color w:val="231F20"/>
          <w:w w:val="110"/>
        </w:rPr>
        <w:t>gran</w:t>
      </w:r>
      <w:r>
        <w:rPr>
          <w:color w:val="231F20"/>
          <w:spacing w:val="-22"/>
          <w:w w:val="110"/>
        </w:rPr>
        <w:t> </w:t>
      </w:r>
      <w:r>
        <w:rPr>
          <w:color w:val="231F20"/>
          <w:w w:val="110"/>
        </w:rPr>
        <w:t>escala</w:t>
      </w:r>
      <w:r>
        <w:rPr>
          <w:color w:val="231F20"/>
          <w:spacing w:val="-22"/>
          <w:w w:val="110"/>
        </w:rPr>
        <w:t> </w:t>
      </w:r>
      <w:r>
        <w:rPr>
          <w:color w:val="231F20"/>
          <w:w w:val="110"/>
        </w:rPr>
        <w:t>sobre</w:t>
      </w:r>
      <w:r>
        <w:rPr>
          <w:color w:val="231F20"/>
          <w:spacing w:val="-22"/>
          <w:w w:val="110"/>
        </w:rPr>
        <w:t> </w:t>
      </w:r>
      <w:r>
        <w:rPr>
          <w:color w:val="231F20"/>
          <w:w w:val="110"/>
        </w:rPr>
        <w:t>amplias</w:t>
      </w:r>
      <w:r>
        <w:rPr>
          <w:color w:val="231F20"/>
          <w:spacing w:val="-22"/>
          <w:w w:val="110"/>
        </w:rPr>
        <w:t> </w:t>
      </w:r>
      <w:r>
        <w:rPr>
          <w:color w:val="231F20"/>
          <w:w w:val="110"/>
        </w:rPr>
        <w:t>distancias.</w:t>
      </w:r>
      <w:r>
        <w:rPr>
          <w:color w:val="231F20"/>
          <w:spacing w:val="-22"/>
          <w:w w:val="110"/>
        </w:rPr>
        <w:t> </w:t>
      </w:r>
      <w:r>
        <w:rPr>
          <w:color w:val="231F20"/>
          <w:w w:val="110"/>
        </w:rPr>
        <w:t>Sobre</w:t>
      </w:r>
      <w:r>
        <w:rPr>
          <w:color w:val="231F20"/>
          <w:spacing w:val="-22"/>
          <w:w w:val="110"/>
        </w:rPr>
        <w:t> </w:t>
      </w:r>
      <w:r>
        <w:rPr>
          <w:color w:val="231F20"/>
          <w:w w:val="110"/>
        </w:rPr>
        <w:t>su</w:t>
      </w:r>
      <w:r>
        <w:rPr>
          <w:color w:val="231F20"/>
          <w:spacing w:val="-22"/>
          <w:w w:val="110"/>
        </w:rPr>
        <w:t> </w:t>
      </w:r>
      <w:r>
        <w:rPr>
          <w:color w:val="231F20"/>
          <w:w w:val="110"/>
        </w:rPr>
        <w:t>función</w:t>
      </w:r>
      <w:r>
        <w:rPr>
          <w:color w:val="231F20"/>
          <w:spacing w:val="-22"/>
          <w:w w:val="110"/>
        </w:rPr>
        <w:t> </w:t>
      </w:r>
      <w:r>
        <w:rPr>
          <w:color w:val="231F20"/>
          <w:w w:val="110"/>
        </w:rPr>
        <w:t>planetaria</w:t>
      </w:r>
      <w:r>
        <w:rPr>
          <w:color w:val="231F20"/>
          <w:spacing w:val="-22"/>
          <w:w w:val="110"/>
        </w:rPr>
        <w:t> </w:t>
      </w:r>
      <w:r>
        <w:rPr>
          <w:color w:val="231F20"/>
          <w:w w:val="110"/>
        </w:rPr>
        <w:t>y</w:t>
      </w:r>
      <w:r>
        <w:rPr>
          <w:color w:val="231F20"/>
          <w:spacing w:val="-22"/>
          <w:w w:val="110"/>
        </w:rPr>
        <w:t> </w:t>
      </w:r>
      <w:r>
        <w:rPr>
          <w:color w:val="231F20"/>
          <w:w w:val="110"/>
        </w:rPr>
        <w:t>la voluntad</w:t>
      </w:r>
      <w:r>
        <w:rPr>
          <w:color w:val="231F20"/>
          <w:spacing w:val="-5"/>
          <w:w w:val="110"/>
        </w:rPr>
        <w:t> </w:t>
      </w:r>
      <w:r>
        <w:rPr>
          <w:color w:val="231F20"/>
          <w:w w:val="110"/>
        </w:rPr>
        <w:t>de</w:t>
      </w:r>
      <w:r>
        <w:rPr>
          <w:color w:val="231F20"/>
          <w:spacing w:val="-5"/>
          <w:w w:val="110"/>
        </w:rPr>
        <w:t> </w:t>
      </w:r>
      <w:r>
        <w:rPr>
          <w:color w:val="231F20"/>
          <w:w w:val="110"/>
        </w:rPr>
        <w:t>utilizar</w:t>
      </w:r>
      <w:r>
        <w:rPr>
          <w:color w:val="231F20"/>
          <w:spacing w:val="-5"/>
          <w:w w:val="110"/>
        </w:rPr>
        <w:t> </w:t>
      </w:r>
      <w:r>
        <w:rPr>
          <w:color w:val="231F20"/>
          <w:w w:val="110"/>
        </w:rPr>
        <w:t>el</w:t>
      </w:r>
      <w:r>
        <w:rPr>
          <w:color w:val="231F20"/>
          <w:spacing w:val="-5"/>
          <w:w w:val="110"/>
        </w:rPr>
        <w:t> </w:t>
      </w:r>
      <w:r>
        <w:rPr>
          <w:color w:val="231F20"/>
          <w:w w:val="110"/>
        </w:rPr>
        <w:t>poderío</w:t>
      </w:r>
      <w:r>
        <w:rPr>
          <w:color w:val="231F20"/>
          <w:spacing w:val="-5"/>
          <w:w w:val="110"/>
        </w:rPr>
        <w:t> </w:t>
      </w:r>
      <w:r>
        <w:rPr>
          <w:color w:val="231F20"/>
          <w:w w:val="110"/>
        </w:rPr>
        <w:t>disponible</w:t>
      </w:r>
      <w:r>
        <w:rPr>
          <w:color w:val="231F20"/>
          <w:spacing w:val="-5"/>
          <w:w w:val="110"/>
        </w:rPr>
        <w:t> </w:t>
      </w:r>
      <w:r>
        <w:rPr>
          <w:color w:val="231F20"/>
          <w:w w:val="110"/>
        </w:rPr>
        <w:t>en</w:t>
      </w:r>
      <w:r>
        <w:rPr>
          <w:color w:val="231F20"/>
          <w:spacing w:val="-5"/>
          <w:w w:val="110"/>
        </w:rPr>
        <w:t> </w:t>
      </w:r>
      <w:r>
        <w:rPr>
          <w:color w:val="231F20"/>
          <w:w w:val="110"/>
        </w:rPr>
        <w:t>defensa</w:t>
      </w:r>
      <w:r>
        <w:rPr>
          <w:color w:val="231F20"/>
          <w:spacing w:val="-5"/>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intereses en</w:t>
      </w:r>
      <w:r>
        <w:rPr>
          <w:color w:val="231F20"/>
          <w:spacing w:val="-11"/>
          <w:w w:val="110"/>
        </w:rPr>
        <w:t> </w:t>
      </w:r>
      <w:r>
        <w:rPr>
          <w:color w:val="231F20"/>
          <w:w w:val="110"/>
        </w:rPr>
        <w:t>cualquier</w:t>
      </w:r>
      <w:r>
        <w:rPr>
          <w:color w:val="231F20"/>
          <w:spacing w:val="-11"/>
          <w:w w:val="110"/>
        </w:rPr>
        <w:t> </w:t>
      </w:r>
      <w:r>
        <w:rPr>
          <w:color w:val="231F20"/>
          <w:w w:val="110"/>
        </w:rPr>
        <w:t>lugar</w:t>
      </w:r>
      <w:r>
        <w:rPr>
          <w:color w:val="231F20"/>
          <w:spacing w:val="-11"/>
          <w:w w:val="110"/>
        </w:rPr>
        <w:t> </w:t>
      </w:r>
      <w:r>
        <w:rPr>
          <w:color w:val="231F20"/>
          <w:w w:val="110"/>
        </w:rPr>
        <w:t>en</w:t>
      </w:r>
      <w:r>
        <w:rPr>
          <w:color w:val="231F20"/>
          <w:spacing w:val="-11"/>
          <w:w w:val="110"/>
        </w:rPr>
        <w:t> </w:t>
      </w:r>
      <w:r>
        <w:rPr>
          <w:color w:val="231F20"/>
          <w:w w:val="110"/>
        </w:rPr>
        <w:t>que</w:t>
      </w:r>
      <w:r>
        <w:rPr>
          <w:color w:val="231F20"/>
          <w:spacing w:val="-11"/>
          <w:w w:val="110"/>
        </w:rPr>
        <w:t> </w:t>
      </w:r>
      <w:r>
        <w:rPr>
          <w:color w:val="231F20"/>
          <w:w w:val="110"/>
        </w:rPr>
        <w:t>éstos</w:t>
      </w:r>
      <w:r>
        <w:rPr>
          <w:color w:val="231F20"/>
          <w:spacing w:val="-11"/>
          <w:w w:val="110"/>
        </w:rPr>
        <w:t> </w:t>
      </w:r>
      <w:r>
        <w:rPr>
          <w:color w:val="231F20"/>
          <w:w w:val="110"/>
        </w:rPr>
        <w:t>se</w:t>
      </w:r>
      <w:r>
        <w:rPr>
          <w:color w:val="231F20"/>
          <w:spacing w:val="-11"/>
          <w:w w:val="110"/>
        </w:rPr>
        <w:t> </w:t>
      </w:r>
      <w:r>
        <w:rPr>
          <w:color w:val="231F20"/>
          <w:w w:val="110"/>
        </w:rPr>
        <w:t>vean</w:t>
      </w:r>
      <w:r>
        <w:rPr>
          <w:color w:val="231F20"/>
          <w:spacing w:val="-11"/>
          <w:w w:val="110"/>
        </w:rPr>
        <w:t> </w:t>
      </w:r>
      <w:r>
        <w:rPr>
          <w:color w:val="231F20"/>
          <w:w w:val="110"/>
        </w:rPr>
        <w:t>amenazados,</w:t>
      </w:r>
      <w:r>
        <w:rPr>
          <w:color w:val="231F20"/>
          <w:spacing w:val="-11"/>
          <w:w w:val="110"/>
        </w:rPr>
        <w:t> </w:t>
      </w:r>
      <w:r>
        <w:rPr>
          <w:color w:val="231F20"/>
          <w:w w:val="110"/>
        </w:rPr>
        <w:t>son</w:t>
      </w:r>
      <w:r>
        <w:rPr>
          <w:color w:val="231F20"/>
          <w:spacing w:val="-11"/>
          <w:w w:val="110"/>
        </w:rPr>
        <w:t> </w:t>
      </w:r>
      <w:r>
        <w:rPr>
          <w:color w:val="231F20"/>
          <w:w w:val="110"/>
        </w:rPr>
        <w:t>nociones</w:t>
      </w:r>
      <w:r>
        <w:rPr>
          <w:color w:val="231F20"/>
          <w:spacing w:val="-11"/>
          <w:w w:val="110"/>
        </w:rPr>
        <w:t> </w:t>
      </w:r>
      <w:r>
        <w:rPr>
          <w:color w:val="231F20"/>
          <w:w w:val="110"/>
        </w:rPr>
        <w:t>re- currentes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contenido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documentos</w:t>
      </w:r>
      <w:r>
        <w:rPr>
          <w:color w:val="231F20"/>
          <w:spacing w:val="-13"/>
          <w:w w:val="110"/>
        </w:rPr>
        <w:t> </w:t>
      </w:r>
      <w:r>
        <w:rPr>
          <w:color w:val="231F20"/>
          <w:w w:val="110"/>
        </w:rPr>
        <w:t>estratégicos.</w:t>
      </w:r>
      <w:r>
        <w:rPr>
          <w:color w:val="231F20"/>
          <w:spacing w:val="-13"/>
          <w:w w:val="110"/>
        </w:rPr>
        <w:t> </w:t>
      </w:r>
      <w:r>
        <w:rPr>
          <w:color w:val="231F20"/>
          <w:w w:val="110"/>
        </w:rPr>
        <w:t>Más</w:t>
      </w:r>
      <w:r>
        <w:rPr>
          <w:color w:val="231F20"/>
          <w:spacing w:val="-13"/>
          <w:w w:val="110"/>
        </w:rPr>
        <w:t> </w:t>
      </w:r>
      <w:r>
        <w:rPr>
          <w:color w:val="231F20"/>
          <w:w w:val="110"/>
        </w:rPr>
        <w:t>allá</w:t>
      </w:r>
      <w:r>
        <w:rPr>
          <w:color w:val="231F20"/>
          <w:spacing w:val="-13"/>
          <w:w w:val="110"/>
        </w:rPr>
        <w:t> </w:t>
      </w:r>
      <w:r>
        <w:rPr>
          <w:color w:val="231F20"/>
          <w:w w:val="110"/>
        </w:rPr>
        <w:t>de los intentos por introducir matices, la actual formulación estratégica del gobierno demócrata ratifica la vigencia de la tradicional proyec- ción</w:t>
      </w:r>
      <w:r>
        <w:rPr>
          <w:color w:val="231F20"/>
          <w:spacing w:val="-14"/>
          <w:w w:val="110"/>
        </w:rPr>
        <w:t> </w:t>
      </w:r>
      <w:r>
        <w:rPr>
          <w:color w:val="231F20"/>
          <w:w w:val="110"/>
        </w:rPr>
        <w:t>belicista,</w:t>
      </w:r>
      <w:r>
        <w:rPr>
          <w:color w:val="231F20"/>
          <w:spacing w:val="-14"/>
          <w:w w:val="110"/>
        </w:rPr>
        <w:t> </w:t>
      </w:r>
      <w:r>
        <w:rPr>
          <w:color w:val="231F20"/>
          <w:w w:val="110"/>
        </w:rPr>
        <w:t>toda</w:t>
      </w:r>
      <w:r>
        <w:rPr>
          <w:color w:val="231F20"/>
          <w:spacing w:val="-14"/>
          <w:w w:val="110"/>
        </w:rPr>
        <w:t> </w:t>
      </w:r>
      <w:r>
        <w:rPr>
          <w:color w:val="231F20"/>
          <w:w w:val="110"/>
        </w:rPr>
        <w:t>vez</w:t>
      </w:r>
      <w:r>
        <w:rPr>
          <w:color w:val="231F20"/>
          <w:spacing w:val="-14"/>
          <w:w w:val="110"/>
        </w:rPr>
        <w:t> </w:t>
      </w:r>
      <w:r>
        <w:rPr>
          <w:color w:val="231F20"/>
          <w:w w:val="110"/>
        </w:rPr>
        <w:t>que</w:t>
      </w:r>
      <w:r>
        <w:rPr>
          <w:color w:val="231F20"/>
          <w:spacing w:val="-14"/>
          <w:w w:val="110"/>
        </w:rPr>
        <w:t> </w:t>
      </w:r>
      <w:r>
        <w:rPr>
          <w:color w:val="231F20"/>
          <w:w w:val="110"/>
        </w:rPr>
        <w:t>reafirma</w:t>
      </w:r>
      <w:r>
        <w:rPr>
          <w:color w:val="231F20"/>
          <w:spacing w:val="-14"/>
          <w:w w:val="110"/>
        </w:rPr>
        <w:t> </w:t>
      </w:r>
      <w:r>
        <w:rPr>
          <w:color w:val="231F20"/>
          <w:w w:val="110"/>
        </w:rPr>
        <w:t>la</w:t>
      </w:r>
      <w:r>
        <w:rPr>
          <w:color w:val="231F20"/>
          <w:spacing w:val="-14"/>
          <w:w w:val="110"/>
        </w:rPr>
        <w:t> </w:t>
      </w:r>
      <w:r>
        <w:rPr>
          <w:color w:val="231F20"/>
          <w:w w:val="110"/>
        </w:rPr>
        <w:t>importancia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superioridad militar como garante de la seguridad nacional y mundial. Si esto es así, podríamos razonablemente plantear una hipótesis que resulta cada</w:t>
      </w:r>
      <w:r>
        <w:rPr>
          <w:color w:val="231F20"/>
          <w:spacing w:val="-23"/>
          <w:w w:val="110"/>
        </w:rPr>
        <w:t> </w:t>
      </w:r>
      <w:r>
        <w:rPr>
          <w:color w:val="231F20"/>
          <w:w w:val="110"/>
        </w:rPr>
        <w:t>vez</w:t>
      </w:r>
      <w:r>
        <w:rPr>
          <w:color w:val="231F20"/>
          <w:spacing w:val="-23"/>
          <w:w w:val="110"/>
        </w:rPr>
        <w:t> </w:t>
      </w:r>
      <w:r>
        <w:rPr>
          <w:color w:val="231F20"/>
          <w:w w:val="110"/>
        </w:rPr>
        <w:t>más</w:t>
      </w:r>
      <w:r>
        <w:rPr>
          <w:color w:val="231F20"/>
          <w:spacing w:val="-23"/>
          <w:w w:val="110"/>
        </w:rPr>
        <w:t> </w:t>
      </w:r>
      <w:r>
        <w:rPr>
          <w:color w:val="231F20"/>
          <w:w w:val="110"/>
        </w:rPr>
        <w:t>plausible:</w:t>
      </w:r>
      <w:r>
        <w:rPr>
          <w:color w:val="231F20"/>
          <w:spacing w:val="-23"/>
          <w:w w:val="110"/>
        </w:rPr>
        <w:t> </w:t>
      </w:r>
      <w:r>
        <w:rPr>
          <w:color w:val="231F20"/>
          <w:w w:val="110"/>
        </w:rPr>
        <w:t>los</w:t>
      </w:r>
      <w:r>
        <w:rPr>
          <w:color w:val="231F20"/>
          <w:spacing w:val="-23"/>
          <w:w w:val="110"/>
        </w:rPr>
        <w:t> </w:t>
      </w:r>
      <w:r>
        <w:rPr>
          <w:color w:val="231F20"/>
          <w:w w:val="110"/>
        </w:rPr>
        <w:t>cambios</w:t>
      </w:r>
      <w:r>
        <w:rPr>
          <w:color w:val="231F20"/>
          <w:spacing w:val="-23"/>
          <w:w w:val="110"/>
        </w:rPr>
        <w:t> </w:t>
      </w:r>
      <w:r>
        <w:rPr>
          <w:color w:val="231F20"/>
          <w:w w:val="110"/>
        </w:rPr>
        <w:t>bajo</w:t>
      </w:r>
      <w:r>
        <w:rPr>
          <w:color w:val="231F20"/>
          <w:spacing w:val="-23"/>
          <w:w w:val="110"/>
        </w:rPr>
        <w:t> </w:t>
      </w:r>
      <w:r>
        <w:rPr>
          <w:color w:val="231F20"/>
          <w:w w:val="110"/>
        </w:rPr>
        <w:t>el</w:t>
      </w:r>
      <w:r>
        <w:rPr>
          <w:color w:val="231F20"/>
          <w:spacing w:val="-23"/>
          <w:w w:val="110"/>
        </w:rPr>
        <w:t> </w:t>
      </w:r>
      <w:r>
        <w:rPr>
          <w:color w:val="231F20"/>
          <w:w w:val="110"/>
        </w:rPr>
        <w:t>actual</w:t>
      </w:r>
      <w:r>
        <w:rPr>
          <w:color w:val="231F20"/>
          <w:spacing w:val="-23"/>
          <w:w w:val="110"/>
        </w:rPr>
        <w:t> </w:t>
      </w:r>
      <w:r>
        <w:rPr>
          <w:color w:val="231F20"/>
          <w:w w:val="110"/>
        </w:rPr>
        <w:t>gobierno</w:t>
      </w:r>
      <w:r>
        <w:rPr>
          <w:color w:val="231F20"/>
          <w:spacing w:val="-23"/>
          <w:w w:val="110"/>
        </w:rPr>
        <w:t> </w:t>
      </w:r>
      <w:r>
        <w:rPr>
          <w:color w:val="231F20"/>
          <w:w w:val="110"/>
        </w:rPr>
        <w:t>demócrata están proyectados para apuntalar y agigantar la continuidad de una estrategia de</w:t>
      </w:r>
      <w:r>
        <w:rPr>
          <w:color w:val="231F20"/>
          <w:spacing w:val="22"/>
          <w:w w:val="110"/>
        </w:rPr>
        <w:t> </w:t>
      </w:r>
      <w:r>
        <w:rPr>
          <w:color w:val="231F20"/>
          <w:w w:val="110"/>
        </w:rPr>
        <w:t>dominación.</w:t>
      </w:r>
      <w:r>
        <w:rPr>
          <w:color w:val="231F20"/>
          <w:w w:val="110"/>
          <w:position w:val="6"/>
          <w:sz w:val="13"/>
        </w:rPr>
        <w:t>9</w:t>
      </w:r>
    </w:p>
    <w:p>
      <w:pPr>
        <w:pStyle w:val="BodyText"/>
      </w:pPr>
    </w:p>
    <w:p>
      <w:pPr>
        <w:pStyle w:val="BodyText"/>
      </w:pPr>
    </w:p>
    <w:p>
      <w:pPr>
        <w:pStyle w:val="BodyText"/>
      </w:pPr>
    </w:p>
    <w:p>
      <w:pPr>
        <w:spacing w:before="142"/>
        <w:ind w:left="340" w:right="25" w:firstLine="0"/>
        <w:jc w:val="left"/>
        <w:rPr>
          <w:sz w:val="16"/>
        </w:rPr>
      </w:pPr>
      <w:r>
        <w:rPr>
          <w:color w:val="231F20"/>
          <w:w w:val="110"/>
          <w:position w:val="5"/>
          <w:sz w:val="10"/>
        </w:rPr>
        <w:t>8   </w:t>
      </w:r>
      <w:r>
        <w:rPr>
          <w:color w:val="231F20"/>
          <w:w w:val="110"/>
          <w:sz w:val="16"/>
        </w:rPr>
        <w:t>The White House, 2006; 2002.</w:t>
      </w:r>
    </w:p>
    <w:p>
      <w:pPr>
        <w:spacing w:before="16"/>
        <w:ind w:left="340" w:right="25" w:firstLine="0"/>
        <w:jc w:val="left"/>
        <w:rPr>
          <w:sz w:val="16"/>
        </w:rPr>
      </w:pPr>
      <w:r>
        <w:rPr>
          <w:color w:val="231F20"/>
          <w:w w:val="110"/>
          <w:position w:val="5"/>
          <w:sz w:val="10"/>
        </w:rPr>
        <w:t>9  </w:t>
      </w:r>
      <w:r>
        <w:rPr>
          <w:color w:val="231F20"/>
          <w:w w:val="110"/>
          <w:sz w:val="16"/>
        </w:rPr>
        <w:t>Department of Defense, 2010; 2006; 2001.</w:t>
      </w:r>
    </w:p>
    <w:p>
      <w:pPr>
        <w:spacing w:after="0"/>
        <w:jc w:val="left"/>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8" w:firstLine="240"/>
        <w:jc w:val="both"/>
      </w:pPr>
      <w:r>
        <w:rPr>
          <w:color w:val="231F20"/>
          <w:w w:val="110"/>
        </w:rPr>
        <w:t>Retomando la construcción argumental de la estrategia</w:t>
      </w:r>
      <w:r>
        <w:rPr>
          <w:color w:val="231F20"/>
          <w:spacing w:val="-2"/>
          <w:w w:val="110"/>
        </w:rPr>
        <w:t> </w:t>
      </w:r>
      <w:r>
        <w:rPr>
          <w:color w:val="231F20"/>
          <w:w w:val="110"/>
        </w:rPr>
        <w:t>expresada por el Departamento de Estado, hay dos referencias que mantienen una constante, aunque con matices. Se refuerza la importancia de mantener</w:t>
      </w:r>
      <w:r>
        <w:rPr>
          <w:color w:val="231F20"/>
          <w:spacing w:val="-10"/>
          <w:w w:val="110"/>
        </w:rPr>
        <w:t> </w:t>
      </w:r>
      <w:r>
        <w:rPr>
          <w:color w:val="231F20"/>
          <w:w w:val="110"/>
        </w:rPr>
        <w:t>la</w:t>
      </w:r>
      <w:r>
        <w:rPr>
          <w:color w:val="231F20"/>
          <w:spacing w:val="-10"/>
          <w:w w:val="110"/>
        </w:rPr>
        <w:t> </w:t>
      </w:r>
      <w:r>
        <w:rPr>
          <w:color w:val="231F20"/>
          <w:w w:val="110"/>
        </w:rPr>
        <w:t>iniciativa</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lucha</w:t>
      </w:r>
      <w:r>
        <w:rPr>
          <w:color w:val="231F20"/>
          <w:spacing w:val="-10"/>
          <w:w w:val="110"/>
        </w:rPr>
        <w:t> </w:t>
      </w:r>
      <w:r>
        <w:rPr>
          <w:color w:val="231F20"/>
          <w:w w:val="110"/>
        </w:rPr>
        <w:t>contra</w:t>
      </w:r>
      <w:r>
        <w:rPr>
          <w:color w:val="231F20"/>
          <w:spacing w:val="-10"/>
          <w:w w:val="110"/>
        </w:rPr>
        <w:t> </w:t>
      </w:r>
      <w:r>
        <w:rPr>
          <w:color w:val="231F20"/>
          <w:w w:val="110"/>
        </w:rPr>
        <w:t>el</w:t>
      </w:r>
      <w:r>
        <w:rPr>
          <w:color w:val="231F20"/>
          <w:spacing w:val="-10"/>
          <w:w w:val="110"/>
        </w:rPr>
        <w:t> </w:t>
      </w:r>
      <w:r>
        <w:rPr>
          <w:color w:val="231F20"/>
          <w:w w:val="110"/>
        </w:rPr>
        <w:t>terrorismo,</w:t>
      </w:r>
      <w:r>
        <w:rPr>
          <w:color w:val="231F20"/>
          <w:spacing w:val="-10"/>
          <w:w w:val="110"/>
        </w:rPr>
        <w:t> </w:t>
      </w:r>
      <w:r>
        <w:rPr>
          <w:color w:val="231F20"/>
          <w:w w:val="110"/>
        </w:rPr>
        <w:t>en</w:t>
      </w:r>
      <w:r>
        <w:rPr>
          <w:color w:val="231F20"/>
          <w:spacing w:val="-10"/>
          <w:w w:val="110"/>
        </w:rPr>
        <w:t> </w:t>
      </w:r>
      <w:r>
        <w:rPr>
          <w:color w:val="231F20"/>
          <w:w w:val="110"/>
        </w:rPr>
        <w:t>tanto</w:t>
      </w:r>
      <w:r>
        <w:rPr>
          <w:color w:val="231F20"/>
          <w:spacing w:val="-10"/>
          <w:w w:val="110"/>
        </w:rPr>
        <w:t> </w:t>
      </w:r>
      <w:r>
        <w:rPr>
          <w:color w:val="231F20"/>
          <w:w w:val="110"/>
        </w:rPr>
        <w:t>que</w:t>
      </w:r>
      <w:r>
        <w:rPr>
          <w:color w:val="231F20"/>
          <w:spacing w:val="-10"/>
          <w:w w:val="110"/>
        </w:rPr>
        <w:t> </w:t>
      </w:r>
      <w:r>
        <w:rPr>
          <w:color w:val="231F20"/>
          <w:w w:val="110"/>
        </w:rPr>
        <w:t>la otra</w:t>
      </w:r>
      <w:r>
        <w:rPr>
          <w:color w:val="231F20"/>
          <w:spacing w:val="-19"/>
          <w:w w:val="110"/>
        </w:rPr>
        <w:t> </w:t>
      </w:r>
      <w:r>
        <w:rPr>
          <w:color w:val="231F20"/>
          <w:w w:val="110"/>
        </w:rPr>
        <w:t>amenaza</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seguridad</w:t>
      </w:r>
      <w:r>
        <w:rPr>
          <w:color w:val="231F20"/>
          <w:spacing w:val="-19"/>
          <w:w w:val="110"/>
        </w:rPr>
        <w:t> </w:t>
      </w:r>
      <w:r>
        <w:rPr>
          <w:color w:val="231F20"/>
          <w:w w:val="110"/>
        </w:rPr>
        <w:t>nacional</w:t>
      </w:r>
      <w:r>
        <w:rPr>
          <w:color w:val="231F20"/>
          <w:spacing w:val="-19"/>
          <w:w w:val="110"/>
        </w:rPr>
        <w:t> </w:t>
      </w:r>
      <w:r>
        <w:rPr>
          <w:color w:val="231F20"/>
          <w:w w:val="110"/>
        </w:rPr>
        <w:t>aparece</w:t>
      </w:r>
      <w:r>
        <w:rPr>
          <w:color w:val="231F20"/>
          <w:spacing w:val="-19"/>
          <w:w w:val="110"/>
        </w:rPr>
        <w:t> </w:t>
      </w:r>
      <w:r>
        <w:rPr>
          <w:color w:val="231F20"/>
          <w:w w:val="110"/>
        </w:rPr>
        <w:t>vinculada</w:t>
      </w:r>
      <w:r>
        <w:rPr>
          <w:color w:val="231F20"/>
          <w:spacing w:val="-19"/>
          <w:w w:val="110"/>
        </w:rPr>
        <w:t> </w:t>
      </w:r>
      <w:r>
        <w:rPr>
          <w:color w:val="231F20"/>
          <w:w w:val="110"/>
        </w:rPr>
        <w:t>con</w:t>
      </w:r>
      <w:r>
        <w:rPr>
          <w:color w:val="231F20"/>
          <w:spacing w:val="-19"/>
          <w:w w:val="110"/>
        </w:rPr>
        <w:t> </w:t>
      </w:r>
      <w:r>
        <w:rPr>
          <w:color w:val="231F20"/>
          <w:w w:val="110"/>
        </w:rPr>
        <w:t>las</w:t>
      </w:r>
      <w:r>
        <w:rPr>
          <w:color w:val="231F20"/>
          <w:spacing w:val="-19"/>
          <w:w w:val="110"/>
        </w:rPr>
        <w:t> </w:t>
      </w:r>
      <w:r>
        <w:rPr>
          <w:color w:val="231F20"/>
          <w:w w:val="110"/>
        </w:rPr>
        <w:t>conse- cuencias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crisis</w:t>
      </w:r>
      <w:r>
        <w:rPr>
          <w:color w:val="231F20"/>
          <w:spacing w:val="-6"/>
          <w:w w:val="110"/>
        </w:rPr>
        <w:t> </w:t>
      </w:r>
      <w:r>
        <w:rPr>
          <w:color w:val="231F20"/>
          <w:w w:val="110"/>
        </w:rPr>
        <w:t>económica.</w:t>
      </w:r>
      <w:r>
        <w:rPr>
          <w:color w:val="231F20"/>
          <w:spacing w:val="-6"/>
          <w:w w:val="110"/>
        </w:rPr>
        <w:t> </w:t>
      </w:r>
      <w:r>
        <w:rPr>
          <w:color w:val="231F20"/>
          <w:w w:val="110"/>
        </w:rPr>
        <w:t>Estas</w:t>
      </w:r>
      <w:r>
        <w:rPr>
          <w:color w:val="231F20"/>
          <w:spacing w:val="-6"/>
          <w:w w:val="110"/>
        </w:rPr>
        <w:t> </w:t>
      </w:r>
      <w:r>
        <w:rPr>
          <w:color w:val="231F20"/>
          <w:w w:val="110"/>
        </w:rPr>
        <w:t>constantes</w:t>
      </w:r>
      <w:r>
        <w:rPr>
          <w:color w:val="231F20"/>
          <w:spacing w:val="-6"/>
          <w:w w:val="110"/>
        </w:rPr>
        <w:t> </w:t>
      </w:r>
      <w:r>
        <w:rPr>
          <w:color w:val="231F20"/>
          <w:w w:val="110"/>
        </w:rPr>
        <w:t>están</w:t>
      </w:r>
      <w:r>
        <w:rPr>
          <w:color w:val="231F20"/>
          <w:spacing w:val="-6"/>
          <w:w w:val="110"/>
        </w:rPr>
        <w:t> </w:t>
      </w:r>
      <w:r>
        <w:rPr>
          <w:color w:val="231F20"/>
          <w:w w:val="110"/>
        </w:rPr>
        <w:t>referenciadas en el marco de la globalización, fenómeno trasnacional que aunque por un lado, ha abierto las oportunidades en todo el mundo, según expresa el documento, ampliando la cobertura de la democracia, posibilitando mejores opciones de paz entre las potencias, también ha intensificado los “peligros que enfrentamos, desde el terrorismo internacional y la propagación de tecnologías mortíferas, hasta los desórdenes</w:t>
      </w:r>
      <w:r>
        <w:rPr>
          <w:color w:val="231F20"/>
          <w:spacing w:val="-14"/>
          <w:w w:val="110"/>
        </w:rPr>
        <w:t> </w:t>
      </w:r>
      <w:r>
        <w:rPr>
          <w:color w:val="231F20"/>
          <w:w w:val="110"/>
        </w:rPr>
        <w:t>económicos</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cambio</w:t>
      </w:r>
      <w:r>
        <w:rPr>
          <w:color w:val="231F20"/>
          <w:spacing w:val="-14"/>
          <w:w w:val="110"/>
        </w:rPr>
        <w:t> </w:t>
      </w:r>
      <w:r>
        <w:rPr>
          <w:color w:val="231F20"/>
          <w:w w:val="110"/>
        </w:rPr>
        <w:t>climático”.</w:t>
      </w:r>
      <w:r>
        <w:rPr>
          <w:color w:val="231F20"/>
          <w:spacing w:val="-14"/>
          <w:w w:val="110"/>
        </w:rPr>
        <w:t> </w:t>
      </w:r>
      <w:r>
        <w:rPr>
          <w:color w:val="231F20"/>
          <w:w w:val="110"/>
        </w:rPr>
        <w:t>Para</w:t>
      </w:r>
      <w:r>
        <w:rPr>
          <w:color w:val="231F20"/>
          <w:spacing w:val="-14"/>
          <w:w w:val="110"/>
        </w:rPr>
        <w:t> </w:t>
      </w:r>
      <w:r>
        <w:rPr>
          <w:color w:val="231F20"/>
          <w:w w:val="110"/>
        </w:rPr>
        <w:t>colocarlas</w:t>
      </w:r>
      <w:r>
        <w:rPr>
          <w:color w:val="231F20"/>
          <w:spacing w:val="-14"/>
          <w:w w:val="110"/>
        </w:rPr>
        <w:t> </w:t>
      </w:r>
      <w:r>
        <w:rPr>
          <w:color w:val="231F20"/>
          <w:w w:val="110"/>
        </w:rPr>
        <w:t>de</w:t>
      </w:r>
      <w:r>
        <w:rPr>
          <w:color w:val="231F20"/>
          <w:spacing w:val="-14"/>
          <w:w w:val="110"/>
        </w:rPr>
        <w:t> </w:t>
      </w:r>
      <w:r>
        <w:rPr>
          <w:color w:val="231F20"/>
          <w:w w:val="110"/>
        </w:rPr>
        <w:t>un modo esquemático: se consideran, de un lado, una amenaza la bús- queda</w:t>
      </w:r>
      <w:r>
        <w:rPr>
          <w:color w:val="231F20"/>
          <w:spacing w:val="-22"/>
          <w:w w:val="110"/>
        </w:rPr>
        <w:t> </w:t>
      </w:r>
      <w:r>
        <w:rPr>
          <w:color w:val="231F20"/>
          <w:w w:val="110"/>
        </w:rPr>
        <w:t>de</w:t>
      </w:r>
      <w:r>
        <w:rPr>
          <w:color w:val="231F20"/>
          <w:spacing w:val="-22"/>
          <w:w w:val="110"/>
        </w:rPr>
        <w:t> </w:t>
      </w:r>
      <w:r>
        <w:rPr>
          <w:color w:val="231F20"/>
          <w:w w:val="110"/>
        </w:rPr>
        <w:t>armas</w:t>
      </w:r>
      <w:r>
        <w:rPr>
          <w:color w:val="231F20"/>
          <w:spacing w:val="-22"/>
          <w:w w:val="110"/>
        </w:rPr>
        <w:t> </w:t>
      </w:r>
      <w:r>
        <w:rPr>
          <w:color w:val="231F20"/>
          <w:w w:val="110"/>
        </w:rPr>
        <w:t>nucleares</w:t>
      </w:r>
      <w:r>
        <w:rPr>
          <w:color w:val="231F20"/>
          <w:spacing w:val="-22"/>
          <w:w w:val="110"/>
        </w:rPr>
        <w:t> </w:t>
      </w:r>
      <w:r>
        <w:rPr>
          <w:color w:val="231F20"/>
          <w:w w:val="110"/>
        </w:rPr>
        <w:t>por</w:t>
      </w:r>
      <w:r>
        <w:rPr>
          <w:color w:val="231F20"/>
          <w:spacing w:val="-22"/>
          <w:w w:val="110"/>
        </w:rPr>
        <w:t> </w:t>
      </w:r>
      <w:r>
        <w:rPr>
          <w:color w:val="231F20"/>
          <w:w w:val="110"/>
        </w:rPr>
        <w:t>parte</w:t>
      </w:r>
      <w:r>
        <w:rPr>
          <w:color w:val="231F20"/>
          <w:spacing w:val="-22"/>
          <w:w w:val="110"/>
        </w:rPr>
        <w:t> </w:t>
      </w:r>
      <w:r>
        <w:rPr>
          <w:color w:val="231F20"/>
          <w:w w:val="110"/>
        </w:rPr>
        <w:t>de</w:t>
      </w:r>
      <w:r>
        <w:rPr>
          <w:color w:val="231F20"/>
          <w:spacing w:val="-22"/>
          <w:w w:val="110"/>
        </w:rPr>
        <w:t> </w:t>
      </w:r>
      <w:r>
        <w:rPr>
          <w:color w:val="231F20"/>
          <w:w w:val="110"/>
        </w:rPr>
        <w:t>“extremistas”</w:t>
      </w:r>
      <w:r>
        <w:rPr>
          <w:color w:val="231F20"/>
          <w:spacing w:val="-22"/>
          <w:w w:val="110"/>
        </w:rPr>
        <w:t> </w:t>
      </w:r>
      <w:r>
        <w:rPr>
          <w:color w:val="231F20"/>
          <w:w w:val="110"/>
        </w:rPr>
        <w:t>y</w:t>
      </w:r>
      <w:r>
        <w:rPr>
          <w:color w:val="231F20"/>
          <w:spacing w:val="-22"/>
          <w:w w:val="110"/>
        </w:rPr>
        <w:t> </w:t>
      </w:r>
      <w:r>
        <w:rPr>
          <w:color w:val="231F20"/>
          <w:w w:val="110"/>
        </w:rPr>
        <w:t>“otros</w:t>
      </w:r>
      <w:r>
        <w:rPr>
          <w:color w:val="231F20"/>
          <w:spacing w:val="-22"/>
          <w:w w:val="110"/>
        </w:rPr>
        <w:t> </w:t>
      </w:r>
      <w:r>
        <w:rPr>
          <w:color w:val="231F20"/>
          <w:w w:val="110"/>
        </w:rPr>
        <w:t>Estados” en referencia a los programas nucleares de Irán y Corea del Norte. De</w:t>
      </w:r>
      <w:r>
        <w:rPr>
          <w:color w:val="231F20"/>
          <w:spacing w:val="-5"/>
          <w:w w:val="110"/>
        </w:rPr>
        <w:t> </w:t>
      </w:r>
      <w:r>
        <w:rPr>
          <w:color w:val="231F20"/>
          <w:w w:val="110"/>
        </w:rPr>
        <w:t>otro</w:t>
      </w:r>
      <w:r>
        <w:rPr>
          <w:color w:val="231F20"/>
          <w:spacing w:val="-5"/>
          <w:w w:val="110"/>
        </w:rPr>
        <w:t> </w:t>
      </w:r>
      <w:r>
        <w:rPr>
          <w:color w:val="231F20"/>
          <w:w w:val="110"/>
        </w:rPr>
        <w:t>lado,</w:t>
      </w:r>
      <w:r>
        <w:rPr>
          <w:color w:val="231F20"/>
          <w:spacing w:val="-5"/>
          <w:w w:val="110"/>
        </w:rPr>
        <w:t> </w:t>
      </w:r>
      <w:r>
        <w:rPr>
          <w:color w:val="231F20"/>
          <w:w w:val="110"/>
        </w:rPr>
        <w:t>la</w:t>
      </w:r>
      <w:r>
        <w:rPr>
          <w:color w:val="231F20"/>
          <w:spacing w:val="-5"/>
          <w:w w:val="110"/>
        </w:rPr>
        <w:t> </w:t>
      </w:r>
      <w:r>
        <w:rPr>
          <w:color w:val="231F20"/>
          <w:w w:val="110"/>
        </w:rPr>
        <w:t>posibilidad</w:t>
      </w:r>
      <w:r>
        <w:rPr>
          <w:color w:val="231F20"/>
          <w:spacing w:val="-5"/>
          <w:w w:val="110"/>
        </w:rPr>
        <w:t> </w:t>
      </w:r>
      <w:r>
        <w:rPr>
          <w:color w:val="231F20"/>
          <w:w w:val="110"/>
        </w:rPr>
        <w:t>de</w:t>
      </w:r>
      <w:r>
        <w:rPr>
          <w:color w:val="231F20"/>
          <w:spacing w:val="-5"/>
          <w:w w:val="110"/>
        </w:rPr>
        <w:t> </w:t>
      </w:r>
      <w:r>
        <w:rPr>
          <w:color w:val="231F20"/>
          <w:w w:val="110"/>
        </w:rPr>
        <w:t>nuevas</w:t>
      </w:r>
      <w:r>
        <w:rPr>
          <w:color w:val="231F20"/>
          <w:spacing w:val="-5"/>
          <w:w w:val="110"/>
        </w:rPr>
        <w:t> </w:t>
      </w:r>
      <w:r>
        <w:rPr>
          <w:color w:val="231F20"/>
          <w:w w:val="110"/>
        </w:rPr>
        <w:t>crisis</w:t>
      </w:r>
      <w:r>
        <w:rPr>
          <w:color w:val="231F20"/>
          <w:spacing w:val="-5"/>
          <w:w w:val="110"/>
        </w:rPr>
        <w:t> </w:t>
      </w:r>
      <w:r>
        <w:rPr>
          <w:color w:val="231F20"/>
          <w:w w:val="110"/>
        </w:rPr>
        <w:t>económicas</w:t>
      </w:r>
      <w:r>
        <w:rPr>
          <w:color w:val="231F20"/>
          <w:spacing w:val="-5"/>
          <w:w w:val="110"/>
        </w:rPr>
        <w:t> </w:t>
      </w:r>
      <w:r>
        <w:rPr>
          <w:color w:val="231F20"/>
          <w:w w:val="110"/>
        </w:rPr>
        <w:t>que</w:t>
      </w:r>
      <w:r>
        <w:rPr>
          <w:color w:val="231F20"/>
          <w:spacing w:val="-5"/>
          <w:w w:val="110"/>
        </w:rPr>
        <w:t> </w:t>
      </w:r>
      <w:r>
        <w:rPr>
          <w:color w:val="231F20"/>
          <w:w w:val="110"/>
        </w:rPr>
        <w:t>son</w:t>
      </w:r>
      <w:r>
        <w:rPr>
          <w:color w:val="231F20"/>
          <w:spacing w:val="-5"/>
          <w:w w:val="110"/>
        </w:rPr>
        <w:t> </w:t>
      </w:r>
      <w:r>
        <w:rPr>
          <w:color w:val="231F20"/>
          <w:w w:val="110"/>
        </w:rPr>
        <w:t>una</w:t>
      </w:r>
      <w:r>
        <w:rPr>
          <w:color w:val="231F20"/>
          <w:w w:val="114"/>
        </w:rPr>
        <w:t> </w:t>
      </w:r>
      <w:r>
        <w:rPr>
          <w:color w:val="231F20"/>
          <w:w w:val="110"/>
        </w:rPr>
        <w:t>amenaza</w:t>
      </w:r>
      <w:r>
        <w:rPr>
          <w:color w:val="231F20"/>
          <w:spacing w:val="-9"/>
          <w:w w:val="110"/>
        </w:rPr>
        <w:t> </w:t>
      </w:r>
      <w:r>
        <w:rPr>
          <w:color w:val="231F20"/>
          <w:w w:val="110"/>
        </w:rPr>
        <w:t>que</w:t>
      </w:r>
      <w:r>
        <w:rPr>
          <w:color w:val="231F20"/>
          <w:spacing w:val="-9"/>
          <w:w w:val="110"/>
        </w:rPr>
        <w:t> </w:t>
      </w:r>
      <w:r>
        <w:rPr>
          <w:color w:val="231F20"/>
          <w:w w:val="110"/>
        </w:rPr>
        <w:t>hay</w:t>
      </w:r>
      <w:r>
        <w:rPr>
          <w:color w:val="231F20"/>
          <w:spacing w:val="-9"/>
          <w:w w:val="110"/>
        </w:rPr>
        <w:t> </w:t>
      </w:r>
      <w:r>
        <w:rPr>
          <w:color w:val="231F20"/>
          <w:w w:val="110"/>
        </w:rPr>
        <w:t>que</w:t>
      </w:r>
      <w:r>
        <w:rPr>
          <w:color w:val="231F20"/>
          <w:spacing w:val="-9"/>
          <w:w w:val="110"/>
        </w:rPr>
        <w:t> </w:t>
      </w:r>
      <w:r>
        <w:rPr>
          <w:color w:val="231F20"/>
          <w:spacing w:val="-3"/>
          <w:w w:val="110"/>
        </w:rPr>
        <w:t>evitar.</w:t>
      </w:r>
      <w:r>
        <w:rPr>
          <w:color w:val="231F20"/>
          <w:spacing w:val="-9"/>
          <w:w w:val="110"/>
        </w:rPr>
        <w:t> </w:t>
      </w:r>
      <w:r>
        <w:rPr>
          <w:color w:val="231F20"/>
          <w:w w:val="110"/>
        </w:rPr>
        <w:t>Sin</w:t>
      </w:r>
      <w:r>
        <w:rPr>
          <w:color w:val="231F20"/>
          <w:spacing w:val="-9"/>
          <w:w w:val="110"/>
        </w:rPr>
        <w:t> </w:t>
      </w:r>
      <w:r>
        <w:rPr>
          <w:color w:val="231F20"/>
          <w:w w:val="110"/>
        </w:rPr>
        <w:t>embargo,</w:t>
      </w:r>
      <w:r>
        <w:rPr>
          <w:color w:val="231F20"/>
          <w:spacing w:val="-9"/>
          <w:w w:val="110"/>
        </w:rPr>
        <w:t> </w:t>
      </w:r>
      <w:r>
        <w:rPr>
          <w:color w:val="231F20"/>
          <w:w w:val="110"/>
        </w:rPr>
        <w:t>más</w:t>
      </w:r>
      <w:r>
        <w:rPr>
          <w:color w:val="231F20"/>
          <w:spacing w:val="-9"/>
          <w:w w:val="110"/>
        </w:rPr>
        <w:t> </w:t>
      </w:r>
      <w:r>
        <w:rPr>
          <w:color w:val="231F20"/>
          <w:w w:val="110"/>
        </w:rPr>
        <w:t>allá</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menciones a no depender de las energías tradicionales, petróleo incluido, y de los</w:t>
      </w:r>
      <w:r>
        <w:rPr>
          <w:color w:val="231F20"/>
          <w:spacing w:val="41"/>
          <w:w w:val="110"/>
        </w:rPr>
        <w:t> </w:t>
      </w:r>
      <w:r>
        <w:rPr>
          <w:color w:val="231F20"/>
          <w:w w:val="110"/>
        </w:rPr>
        <w:t>asuntos</w:t>
      </w:r>
      <w:r>
        <w:rPr>
          <w:color w:val="231F20"/>
          <w:spacing w:val="41"/>
          <w:w w:val="110"/>
        </w:rPr>
        <w:t> </w:t>
      </w:r>
      <w:r>
        <w:rPr>
          <w:color w:val="231F20"/>
          <w:w w:val="110"/>
        </w:rPr>
        <w:t>que</w:t>
      </w:r>
      <w:r>
        <w:rPr>
          <w:color w:val="231F20"/>
          <w:spacing w:val="41"/>
          <w:w w:val="110"/>
        </w:rPr>
        <w:t> </w:t>
      </w:r>
      <w:r>
        <w:rPr>
          <w:color w:val="231F20"/>
          <w:w w:val="110"/>
        </w:rPr>
        <w:t>conciernen</w:t>
      </w:r>
      <w:r>
        <w:rPr>
          <w:color w:val="231F20"/>
          <w:spacing w:val="41"/>
          <w:w w:val="110"/>
        </w:rPr>
        <w:t> </w:t>
      </w:r>
      <w:r>
        <w:rPr>
          <w:color w:val="231F20"/>
          <w:w w:val="110"/>
        </w:rPr>
        <w:t>al</w:t>
      </w:r>
      <w:r>
        <w:rPr>
          <w:color w:val="231F20"/>
          <w:spacing w:val="41"/>
          <w:w w:val="110"/>
        </w:rPr>
        <w:t> </w:t>
      </w:r>
      <w:r>
        <w:rPr>
          <w:color w:val="231F20"/>
          <w:w w:val="110"/>
        </w:rPr>
        <w:t>cambio</w:t>
      </w:r>
      <w:r>
        <w:rPr>
          <w:color w:val="231F20"/>
          <w:spacing w:val="41"/>
          <w:w w:val="110"/>
        </w:rPr>
        <w:t> </w:t>
      </w:r>
      <w:r>
        <w:rPr>
          <w:color w:val="231F20"/>
          <w:w w:val="110"/>
        </w:rPr>
        <w:t>climático</w:t>
      </w:r>
      <w:r>
        <w:rPr>
          <w:color w:val="231F20"/>
          <w:spacing w:val="41"/>
          <w:w w:val="110"/>
        </w:rPr>
        <w:t> </w:t>
      </w:r>
      <w:r>
        <w:rPr>
          <w:color w:val="231F20"/>
          <w:w w:val="110"/>
        </w:rPr>
        <w:t>que</w:t>
      </w:r>
      <w:r>
        <w:rPr>
          <w:color w:val="231F20"/>
          <w:spacing w:val="41"/>
          <w:w w:val="110"/>
        </w:rPr>
        <w:t> </w:t>
      </w:r>
      <w:r>
        <w:rPr>
          <w:color w:val="231F20"/>
          <w:w w:val="110"/>
        </w:rPr>
        <w:t>desde</w:t>
      </w:r>
      <w:r>
        <w:rPr>
          <w:color w:val="231F20"/>
          <w:spacing w:val="41"/>
          <w:w w:val="110"/>
        </w:rPr>
        <w:t> </w:t>
      </w:r>
      <w:r>
        <w:rPr>
          <w:color w:val="231F20"/>
          <w:w w:val="110"/>
        </w:rPr>
        <w:t>luego</w:t>
      </w:r>
      <w:r>
        <w:rPr>
          <w:color w:val="231F20"/>
          <w:spacing w:val="1"/>
          <w:w w:val="109"/>
        </w:rPr>
        <w:t> </w:t>
      </w:r>
      <w:r>
        <w:rPr>
          <w:color w:val="231F20"/>
          <w:w w:val="110"/>
        </w:rPr>
        <w:t>no incumben al protocolo de Kioto, lo más importante —a nuestro entender— es cómo al enfrentar la crisis, el documento proyecta la importancia</w:t>
      </w:r>
      <w:r>
        <w:rPr>
          <w:color w:val="231F20"/>
          <w:spacing w:val="-15"/>
          <w:w w:val="110"/>
        </w:rPr>
        <w:t> </w:t>
      </w:r>
      <w:r>
        <w:rPr>
          <w:color w:val="231F20"/>
          <w:w w:val="110"/>
        </w:rPr>
        <w:t>estratégica</w:t>
      </w:r>
      <w:r>
        <w:rPr>
          <w:color w:val="231F20"/>
          <w:spacing w:val="-15"/>
          <w:w w:val="110"/>
        </w:rPr>
        <w:t> </w:t>
      </w:r>
      <w:r>
        <w:rPr>
          <w:color w:val="231F20"/>
          <w:w w:val="110"/>
        </w:rPr>
        <w:t>de</w:t>
      </w:r>
      <w:r>
        <w:rPr>
          <w:color w:val="231F20"/>
          <w:spacing w:val="-15"/>
          <w:w w:val="110"/>
        </w:rPr>
        <w:t> </w:t>
      </w:r>
      <w:r>
        <w:rPr>
          <w:color w:val="231F20"/>
          <w:w w:val="110"/>
        </w:rPr>
        <w:t>fortalecer</w:t>
      </w:r>
      <w:r>
        <w:rPr>
          <w:color w:val="231F20"/>
          <w:spacing w:val="-15"/>
          <w:w w:val="110"/>
        </w:rPr>
        <w:t> </w:t>
      </w: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económico</w:t>
      </w:r>
      <w:r>
        <w:rPr>
          <w:color w:val="231F20"/>
          <w:spacing w:val="-15"/>
          <w:w w:val="110"/>
        </w:rPr>
        <w:t> </w:t>
      </w:r>
      <w:r>
        <w:rPr>
          <w:color w:val="231F20"/>
          <w:w w:val="110"/>
        </w:rPr>
        <w:t>capitalista</w:t>
      </w:r>
      <w:r>
        <w:rPr>
          <w:color w:val="231F20"/>
          <w:w w:val="106"/>
        </w:rPr>
        <w:t> </w:t>
      </w:r>
      <w:r>
        <w:rPr>
          <w:color w:val="231F20"/>
          <w:w w:val="110"/>
        </w:rPr>
        <w:t>como un asunto fundamental de seguridad con implicaciones</w:t>
      </w:r>
      <w:r>
        <w:rPr>
          <w:color w:val="231F20"/>
          <w:spacing w:val="-37"/>
          <w:w w:val="110"/>
        </w:rPr>
        <w:t> </w:t>
      </w:r>
      <w:r>
        <w:rPr>
          <w:color w:val="231F20"/>
          <w:w w:val="110"/>
        </w:rPr>
        <w:t>geopo- líticas</w:t>
      </w:r>
      <w:r>
        <w:rPr>
          <w:color w:val="231F20"/>
          <w:spacing w:val="-11"/>
          <w:w w:val="110"/>
        </w:rPr>
        <w:t> </w:t>
      </w:r>
      <w:r>
        <w:rPr>
          <w:color w:val="231F20"/>
          <w:w w:val="110"/>
        </w:rPr>
        <w:t>globales.</w:t>
      </w:r>
      <w:r>
        <w:rPr>
          <w:color w:val="231F20"/>
          <w:spacing w:val="-11"/>
          <w:w w:val="110"/>
        </w:rPr>
        <w:t> </w:t>
      </w:r>
      <w:r>
        <w:rPr>
          <w:color w:val="231F20"/>
          <w:w w:val="110"/>
        </w:rPr>
        <w:t>Un</w:t>
      </w:r>
      <w:r>
        <w:rPr>
          <w:color w:val="231F20"/>
          <w:spacing w:val="-11"/>
          <w:w w:val="110"/>
        </w:rPr>
        <w:t> </w:t>
      </w:r>
      <w:r>
        <w:rPr>
          <w:color w:val="231F20"/>
          <w:w w:val="110"/>
        </w:rPr>
        <w:t>alcance</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desprende</w:t>
      </w:r>
      <w:r>
        <w:rPr>
          <w:color w:val="231F20"/>
          <w:spacing w:val="-11"/>
          <w:w w:val="110"/>
        </w:rPr>
        <w:t> </w:t>
      </w:r>
      <w:r>
        <w:rPr>
          <w:color w:val="231F20"/>
          <w:w w:val="110"/>
        </w:rPr>
        <w:t>de</w:t>
      </w:r>
      <w:r>
        <w:rPr>
          <w:color w:val="231F20"/>
          <w:spacing w:val="-11"/>
          <w:w w:val="110"/>
        </w:rPr>
        <w:t> </w:t>
      </w:r>
      <w:r>
        <w:rPr>
          <w:color w:val="231F20"/>
          <w:w w:val="110"/>
        </w:rPr>
        <w:t>esto</w:t>
      </w:r>
      <w:r>
        <w:rPr>
          <w:color w:val="231F20"/>
          <w:spacing w:val="-11"/>
          <w:w w:val="110"/>
        </w:rPr>
        <w:t> </w:t>
      </w:r>
      <w:r>
        <w:rPr>
          <w:color w:val="231F20"/>
          <w:w w:val="110"/>
        </w:rPr>
        <w:t>último,</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una perspectiva</w:t>
      </w:r>
      <w:r>
        <w:rPr>
          <w:color w:val="231F20"/>
          <w:spacing w:val="-8"/>
          <w:w w:val="110"/>
        </w:rPr>
        <w:t> </w:t>
      </w:r>
      <w:r>
        <w:rPr>
          <w:color w:val="231F20"/>
          <w:w w:val="110"/>
        </w:rPr>
        <w:t>crítica</w:t>
      </w:r>
      <w:r>
        <w:rPr>
          <w:color w:val="231F20"/>
          <w:spacing w:val="-8"/>
          <w:w w:val="110"/>
        </w:rPr>
        <w:t> </w:t>
      </w:r>
      <w:r>
        <w:rPr>
          <w:color w:val="231F20"/>
          <w:w w:val="110"/>
        </w:rPr>
        <w:t>desde</w:t>
      </w:r>
      <w:r>
        <w:rPr>
          <w:color w:val="231F20"/>
          <w:spacing w:val="-8"/>
          <w:w w:val="110"/>
        </w:rPr>
        <w:t> </w:t>
      </w:r>
      <w:r>
        <w:rPr>
          <w:color w:val="231F20"/>
          <w:w w:val="110"/>
        </w:rPr>
        <w:t>el</w:t>
      </w:r>
      <w:r>
        <w:rPr>
          <w:color w:val="231F20"/>
          <w:spacing w:val="-8"/>
          <w:w w:val="110"/>
        </w:rPr>
        <w:t> </w:t>
      </w:r>
      <w:r>
        <w:rPr>
          <w:color w:val="231F20"/>
          <w:spacing w:val="-5"/>
          <w:w w:val="110"/>
        </w:rPr>
        <w:t>sur,</w:t>
      </w:r>
      <w:r>
        <w:rPr>
          <w:color w:val="231F20"/>
          <w:spacing w:val="-8"/>
          <w:w w:val="110"/>
        </w:rPr>
        <w:t> </w:t>
      </w:r>
      <w:r>
        <w:rPr>
          <w:color w:val="231F20"/>
          <w:w w:val="110"/>
        </w:rPr>
        <w:t>América</w:t>
      </w:r>
      <w:r>
        <w:rPr>
          <w:color w:val="231F20"/>
          <w:spacing w:val="-8"/>
          <w:w w:val="110"/>
        </w:rPr>
        <w:t> </w:t>
      </w:r>
      <w:r>
        <w:rPr>
          <w:color w:val="231F20"/>
          <w:w w:val="110"/>
        </w:rPr>
        <w:t>Latina</w:t>
      </w:r>
      <w:r>
        <w:rPr>
          <w:color w:val="231F20"/>
          <w:spacing w:val="-8"/>
          <w:w w:val="110"/>
        </w:rPr>
        <w:t> </w:t>
      </w:r>
      <w:r>
        <w:rPr>
          <w:color w:val="231F20"/>
          <w:w w:val="110"/>
        </w:rPr>
        <w:t>incluida,</w:t>
      </w:r>
      <w:r>
        <w:rPr>
          <w:color w:val="231F20"/>
          <w:spacing w:val="-8"/>
          <w:w w:val="110"/>
        </w:rPr>
        <w:t> </w:t>
      </w:r>
      <w:r>
        <w:rPr>
          <w:color w:val="231F20"/>
          <w:w w:val="110"/>
        </w:rPr>
        <w:t>implica</w:t>
      </w:r>
      <w:r>
        <w:rPr>
          <w:color w:val="231F20"/>
          <w:spacing w:val="-8"/>
          <w:w w:val="110"/>
        </w:rPr>
        <w:t> </w:t>
      </w:r>
      <w:r>
        <w:rPr>
          <w:color w:val="231F20"/>
          <w:w w:val="110"/>
        </w:rPr>
        <w:t>que hay que tomar nota sobre la importancia decisiva que la estrategia</w:t>
      </w:r>
      <w:r>
        <w:rPr>
          <w:color w:val="231F20"/>
          <w:spacing w:val="-18"/>
          <w:w w:val="110"/>
        </w:rPr>
        <w:t> </w:t>
      </w:r>
      <w:r>
        <w:rPr>
          <w:color w:val="231F20"/>
          <w:w w:val="110"/>
        </w:rPr>
        <w:t>le otorga a los acuerdos de libre comercio, bajo todas</w:t>
      </w:r>
      <w:r>
        <w:rPr>
          <w:color w:val="231F20"/>
          <w:spacing w:val="6"/>
          <w:w w:val="110"/>
        </w:rPr>
        <w:t> </w:t>
      </w:r>
      <w:r>
        <w:rPr>
          <w:color w:val="231F20"/>
          <w:w w:val="110"/>
        </w:rPr>
        <w:t>las</w:t>
      </w:r>
      <w:r>
        <w:rPr>
          <w:color w:val="231F20"/>
          <w:spacing w:val="6"/>
          <w:w w:val="110"/>
        </w:rPr>
        <w:t> </w:t>
      </w:r>
      <w:r>
        <w:rPr>
          <w:color w:val="231F20"/>
          <w:w w:val="110"/>
        </w:rPr>
        <w:t>modalidades</w:t>
      </w:r>
      <w:r>
        <w:rPr>
          <w:color w:val="231F20"/>
          <w:w w:val="109"/>
        </w:rPr>
        <w:t> </w:t>
      </w:r>
      <w:r>
        <w:rPr>
          <w:color w:val="231F20"/>
          <w:w w:val="110"/>
        </w:rPr>
        <w:t>posibles. </w:t>
      </w:r>
      <w:r>
        <w:rPr>
          <w:color w:val="231F20"/>
          <w:spacing w:val="-4"/>
          <w:w w:val="110"/>
        </w:rPr>
        <w:t>Todos </w:t>
      </w:r>
      <w:r>
        <w:rPr>
          <w:color w:val="231F20"/>
          <w:w w:val="110"/>
        </w:rPr>
        <w:t>los proyectos, bajo el esquema de libre comercio, propuestos por Estados Unidos para América Latina históricamente han implicado grandes amenazas para el desarrollo y la </w:t>
      </w:r>
      <w:r>
        <w:rPr>
          <w:color w:val="231F20"/>
          <w:spacing w:val="6"/>
          <w:w w:val="110"/>
        </w:rPr>
        <w:t> </w:t>
      </w:r>
      <w:r>
        <w:rPr>
          <w:color w:val="231F20"/>
          <w:w w:val="110"/>
        </w:rPr>
        <w:t>soberanía.</w:t>
      </w:r>
    </w:p>
    <w:p>
      <w:pPr>
        <w:pStyle w:val="BodyText"/>
        <w:spacing w:line="261" w:lineRule="auto"/>
        <w:ind w:left="100" w:right="117" w:firstLine="240"/>
        <w:jc w:val="both"/>
      </w:pPr>
      <w:r>
        <w:rPr>
          <w:color w:val="231F20"/>
          <w:w w:val="110"/>
        </w:rPr>
        <w:t>En cuanto a la valoración de los llamados “centros de influencia” en</w:t>
      </w:r>
      <w:r>
        <w:rPr>
          <w:color w:val="231F20"/>
          <w:spacing w:val="-15"/>
          <w:w w:val="110"/>
        </w:rPr>
        <w:t> </w:t>
      </w:r>
      <w:r>
        <w:rPr>
          <w:color w:val="231F20"/>
          <w:w w:val="110"/>
        </w:rPr>
        <w:t>la</w:t>
      </w:r>
      <w:r>
        <w:rPr>
          <w:color w:val="231F20"/>
          <w:spacing w:val="-15"/>
          <w:w w:val="110"/>
        </w:rPr>
        <w:t> </w:t>
      </w:r>
      <w:r>
        <w:rPr>
          <w:color w:val="231F20"/>
          <w:w w:val="110"/>
        </w:rPr>
        <w:t>perspectiva</w:t>
      </w:r>
      <w:r>
        <w:rPr>
          <w:color w:val="231F20"/>
          <w:spacing w:val="-15"/>
          <w:w w:val="110"/>
        </w:rPr>
        <w:t> </w:t>
      </w:r>
      <w:r>
        <w:rPr>
          <w:color w:val="231F20"/>
          <w:w w:val="110"/>
        </w:rPr>
        <w:t>del</w:t>
      </w:r>
      <w:r>
        <w:rPr>
          <w:color w:val="231F20"/>
          <w:spacing w:val="-15"/>
          <w:w w:val="110"/>
        </w:rPr>
        <w:t> </w:t>
      </w:r>
      <w:r>
        <w:rPr>
          <w:color w:val="231F20"/>
          <w:w w:val="110"/>
        </w:rPr>
        <w:t>siglo</w:t>
      </w:r>
      <w:r>
        <w:rPr>
          <w:color w:val="231F20"/>
          <w:spacing w:val="-15"/>
          <w:w w:val="110"/>
        </w:rPr>
        <w:t> </w:t>
      </w:r>
      <w:r>
        <w:rPr>
          <w:color w:val="231F20"/>
          <w:w w:val="110"/>
        </w:rPr>
        <w:t>xxi,</w:t>
      </w:r>
      <w:r>
        <w:rPr>
          <w:color w:val="231F20"/>
          <w:spacing w:val="-15"/>
          <w:w w:val="110"/>
        </w:rPr>
        <w:t> </w:t>
      </w:r>
      <w:r>
        <w:rPr>
          <w:color w:val="231F20"/>
          <w:w w:val="110"/>
        </w:rPr>
        <w:t>la</w:t>
      </w:r>
      <w:r>
        <w:rPr>
          <w:color w:val="231F20"/>
          <w:spacing w:val="-15"/>
          <w:w w:val="110"/>
        </w:rPr>
        <w:t> </w:t>
      </w:r>
      <w:r>
        <w:rPr>
          <w:color w:val="231F20"/>
          <w:w w:val="110"/>
        </w:rPr>
        <w:t>proyección</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estrategia</w:t>
      </w:r>
      <w:r>
        <w:rPr>
          <w:color w:val="231F20"/>
          <w:spacing w:val="-15"/>
          <w:w w:val="110"/>
        </w:rPr>
        <w:t> </w:t>
      </w:r>
      <w:r>
        <w:rPr>
          <w:color w:val="231F20"/>
          <w:w w:val="110"/>
        </w:rPr>
        <w:t>establece los vínculos clave en dirección a Rusia, China e India. Es enfático</w:t>
      </w:r>
      <w:r>
        <w:rPr>
          <w:color w:val="231F20"/>
          <w:spacing w:val="-27"/>
          <w:w w:val="110"/>
        </w:rPr>
        <w:t> </w:t>
      </w:r>
      <w:r>
        <w:rPr>
          <w:color w:val="231F20"/>
          <w:w w:val="110"/>
        </w:rPr>
        <w:t>el reconocimiento creciente de la influencia de China, lo que hace</w:t>
      </w:r>
      <w:r>
        <w:rPr>
          <w:color w:val="231F20"/>
          <w:spacing w:val="-36"/>
          <w:w w:val="110"/>
        </w:rPr>
        <w:t> </w:t>
      </w:r>
      <w:r>
        <w:rPr>
          <w:color w:val="231F20"/>
          <w:w w:val="110"/>
        </w:rPr>
        <w:t>pen- sar en una verdadera preocupación dentro de su estrategia global, aunque considera que la relación debe orientarse hacia la prosperi- dad</w:t>
      </w:r>
      <w:r>
        <w:rPr>
          <w:color w:val="231F20"/>
          <w:spacing w:val="-12"/>
          <w:w w:val="110"/>
        </w:rPr>
        <w:t> </w:t>
      </w:r>
      <w:r>
        <w:rPr>
          <w:color w:val="231F20"/>
          <w:w w:val="110"/>
        </w:rPr>
        <w:t>compartida.</w:t>
      </w:r>
      <w:r>
        <w:rPr>
          <w:color w:val="231F20"/>
          <w:spacing w:val="-12"/>
          <w:w w:val="110"/>
        </w:rPr>
        <w:t> </w:t>
      </w:r>
      <w:r>
        <w:rPr>
          <w:color w:val="231F20"/>
          <w:w w:val="110"/>
        </w:rPr>
        <w:t>Su</w:t>
      </w:r>
      <w:r>
        <w:rPr>
          <w:color w:val="231F20"/>
          <w:spacing w:val="-12"/>
          <w:w w:val="110"/>
        </w:rPr>
        <w:t> </w:t>
      </w:r>
      <w:r>
        <w:rPr>
          <w:color w:val="231F20"/>
          <w:w w:val="110"/>
        </w:rPr>
        <w:t>ascenso</w:t>
      </w:r>
      <w:r>
        <w:rPr>
          <w:color w:val="231F20"/>
          <w:spacing w:val="-12"/>
          <w:w w:val="110"/>
        </w:rPr>
        <w:t> </w:t>
      </w:r>
      <w:r>
        <w:rPr>
          <w:color w:val="231F20"/>
          <w:w w:val="110"/>
        </w:rPr>
        <w:t>militar</w:t>
      </w:r>
      <w:r>
        <w:rPr>
          <w:color w:val="231F20"/>
          <w:spacing w:val="-12"/>
          <w:w w:val="110"/>
        </w:rPr>
        <w:t> </w:t>
      </w:r>
      <w:r>
        <w:rPr>
          <w:color w:val="231F20"/>
          <w:w w:val="110"/>
        </w:rPr>
        <w:t>se</w:t>
      </w:r>
      <w:r>
        <w:rPr>
          <w:color w:val="231F20"/>
          <w:spacing w:val="-12"/>
          <w:w w:val="110"/>
        </w:rPr>
        <w:t> </w:t>
      </w:r>
      <w:r>
        <w:rPr>
          <w:color w:val="231F20"/>
          <w:w w:val="110"/>
        </w:rPr>
        <w:t>debe</w:t>
      </w:r>
      <w:r>
        <w:rPr>
          <w:color w:val="231F20"/>
          <w:spacing w:val="-12"/>
          <w:w w:val="110"/>
        </w:rPr>
        <w:t> </w:t>
      </w:r>
      <w:r>
        <w:rPr>
          <w:color w:val="231F20"/>
          <w:w w:val="110"/>
        </w:rPr>
        <w:t>abordar</w:t>
      </w:r>
      <w:r>
        <w:rPr>
          <w:color w:val="231F20"/>
          <w:spacing w:val="-12"/>
          <w:w w:val="110"/>
        </w:rPr>
        <w:t> </w:t>
      </w:r>
      <w:r>
        <w:rPr>
          <w:color w:val="231F20"/>
          <w:w w:val="110"/>
        </w:rPr>
        <w:t>pragmáticamente de</w:t>
      </w:r>
      <w:r>
        <w:rPr>
          <w:color w:val="231F20"/>
          <w:spacing w:val="24"/>
          <w:w w:val="110"/>
        </w:rPr>
        <w:t> </w:t>
      </w:r>
      <w:r>
        <w:rPr>
          <w:color w:val="231F20"/>
          <w:w w:val="110"/>
        </w:rPr>
        <w:t>tal</w:t>
      </w:r>
      <w:r>
        <w:rPr>
          <w:color w:val="231F20"/>
          <w:spacing w:val="24"/>
          <w:w w:val="110"/>
        </w:rPr>
        <w:t> </w:t>
      </w:r>
      <w:r>
        <w:rPr>
          <w:color w:val="231F20"/>
          <w:w w:val="110"/>
        </w:rPr>
        <w:t>suerte</w:t>
      </w:r>
      <w:r>
        <w:rPr>
          <w:color w:val="231F20"/>
          <w:spacing w:val="24"/>
          <w:w w:val="110"/>
        </w:rPr>
        <w:t> </w:t>
      </w:r>
      <w:r>
        <w:rPr>
          <w:color w:val="231F20"/>
          <w:w w:val="110"/>
        </w:rPr>
        <w:t>que</w:t>
      </w:r>
      <w:r>
        <w:rPr>
          <w:color w:val="231F20"/>
          <w:spacing w:val="24"/>
          <w:w w:val="110"/>
        </w:rPr>
        <w:t> </w:t>
      </w:r>
      <w:r>
        <w:rPr>
          <w:color w:val="231F20"/>
          <w:w w:val="110"/>
        </w:rPr>
        <w:t>no</w:t>
      </w:r>
      <w:r>
        <w:rPr>
          <w:color w:val="231F20"/>
          <w:spacing w:val="24"/>
          <w:w w:val="110"/>
        </w:rPr>
        <w:t> </w:t>
      </w:r>
      <w:r>
        <w:rPr>
          <w:color w:val="231F20"/>
          <w:w w:val="110"/>
        </w:rPr>
        <w:t>se</w:t>
      </w:r>
      <w:r>
        <w:rPr>
          <w:color w:val="231F20"/>
          <w:spacing w:val="24"/>
          <w:w w:val="110"/>
        </w:rPr>
        <w:t> </w:t>
      </w:r>
      <w:r>
        <w:rPr>
          <w:color w:val="231F20"/>
          <w:w w:val="110"/>
        </w:rPr>
        <w:t>consideren</w:t>
      </w:r>
      <w:r>
        <w:rPr>
          <w:color w:val="231F20"/>
          <w:spacing w:val="24"/>
          <w:w w:val="110"/>
        </w:rPr>
        <w:t> </w:t>
      </w:r>
      <w:r>
        <w:rPr>
          <w:color w:val="231F20"/>
          <w:w w:val="110"/>
        </w:rPr>
        <w:t>incompatibles</w:t>
      </w:r>
      <w:r>
        <w:rPr>
          <w:color w:val="231F20"/>
          <w:spacing w:val="24"/>
          <w:w w:val="110"/>
        </w:rPr>
        <w:t> </w:t>
      </w:r>
      <w:r>
        <w:rPr>
          <w:color w:val="231F20"/>
          <w:w w:val="110"/>
        </w:rPr>
        <w:t>con</w:t>
      </w:r>
      <w:r>
        <w:rPr>
          <w:color w:val="231F20"/>
          <w:spacing w:val="24"/>
          <w:w w:val="110"/>
        </w:rPr>
        <w:t> </w:t>
      </w:r>
      <w:r>
        <w:rPr>
          <w:color w:val="231F20"/>
          <w:w w:val="110"/>
        </w:rPr>
        <w:t>los</w:t>
      </w:r>
      <w:r>
        <w:rPr>
          <w:color w:val="231F20"/>
          <w:spacing w:val="24"/>
          <w:w w:val="110"/>
        </w:rPr>
        <w:t> </w:t>
      </w:r>
      <w:r>
        <w:rPr>
          <w:color w:val="231F20"/>
          <w:w w:val="110"/>
        </w:rPr>
        <w:t>intereses</w:t>
      </w:r>
    </w:p>
    <w:p>
      <w:pPr>
        <w:spacing w:after="0" w:line="261" w:lineRule="auto"/>
        <w:jc w:val="both"/>
        <w:sectPr>
          <w:headerReference w:type="even" r:id="rId279"/>
          <w:headerReference w:type="default" r:id="rId280"/>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de Estados Unidos y sus aliados. La creciente influencia regional y global de India fortalecerá su asociación y cooperación con Estados Unidos. Con Rusia prevé la más amplia gama de cooperación política, militar,  nuclear  y económica.</w:t>
      </w:r>
    </w:p>
    <w:p>
      <w:pPr>
        <w:pStyle w:val="BodyText"/>
        <w:spacing w:line="261" w:lineRule="auto"/>
        <w:ind w:left="100" w:right="117" w:firstLine="240"/>
        <w:jc w:val="both"/>
      </w:pPr>
      <w:r>
        <w:rPr>
          <w:color w:val="231F20"/>
          <w:w w:val="110"/>
        </w:rPr>
        <w:t>Entre los centros de influencia emergentes, aunque en otro gru- po, son considerados a Indonesia y Brasil como países de creciente influencia global. Con ellos deben tenderse lazos de colaboración  en campos que van desde el comercio y la inversión hasta visiones estratégicas que se pueden construir frente a los desafíos del medio ambiente y la problemática disponibilidad de recursos</w:t>
      </w:r>
      <w:r>
        <w:rPr>
          <w:color w:val="231F20"/>
          <w:spacing w:val="46"/>
          <w:w w:val="110"/>
        </w:rPr>
        <w:t> </w:t>
      </w:r>
      <w:r>
        <w:rPr>
          <w:color w:val="231F20"/>
          <w:w w:val="110"/>
        </w:rPr>
        <w:t>energéticos.</w:t>
      </w:r>
    </w:p>
    <w:p>
      <w:pPr>
        <w:pStyle w:val="BodyText"/>
        <w:spacing w:line="261" w:lineRule="auto"/>
        <w:ind w:left="100" w:right="112" w:firstLine="240"/>
        <w:jc w:val="both"/>
      </w:pPr>
      <w:r>
        <w:rPr>
          <w:color w:val="231F20"/>
          <w:w w:val="110"/>
        </w:rPr>
        <w:t>Una</w:t>
      </w:r>
      <w:r>
        <w:rPr>
          <w:color w:val="231F20"/>
          <w:spacing w:val="-11"/>
          <w:w w:val="110"/>
        </w:rPr>
        <w:t> </w:t>
      </w:r>
      <w:r>
        <w:rPr>
          <w:color w:val="231F20"/>
          <w:w w:val="110"/>
        </w:rPr>
        <w:t>última</w:t>
      </w:r>
      <w:r>
        <w:rPr>
          <w:color w:val="231F20"/>
          <w:spacing w:val="-11"/>
          <w:w w:val="110"/>
        </w:rPr>
        <w:t> </w:t>
      </w:r>
      <w:r>
        <w:rPr>
          <w:color w:val="231F20"/>
          <w:w w:val="110"/>
        </w:rPr>
        <w:t>consideración</w:t>
      </w:r>
      <w:r>
        <w:rPr>
          <w:color w:val="231F20"/>
          <w:spacing w:val="-11"/>
          <w:w w:val="110"/>
        </w:rPr>
        <w:t> </w:t>
      </w:r>
      <w:r>
        <w:rPr>
          <w:color w:val="231F20"/>
          <w:w w:val="110"/>
        </w:rPr>
        <w:t>antes</w:t>
      </w:r>
      <w:r>
        <w:rPr>
          <w:color w:val="231F20"/>
          <w:spacing w:val="-11"/>
          <w:w w:val="110"/>
        </w:rPr>
        <w:t> </w:t>
      </w:r>
      <w:r>
        <w:rPr>
          <w:color w:val="231F20"/>
          <w:w w:val="110"/>
        </w:rPr>
        <w:t>de</w:t>
      </w:r>
      <w:r>
        <w:rPr>
          <w:color w:val="231F20"/>
          <w:spacing w:val="-11"/>
          <w:w w:val="110"/>
        </w:rPr>
        <w:t> </w:t>
      </w:r>
      <w:r>
        <w:rPr>
          <w:color w:val="231F20"/>
          <w:w w:val="110"/>
        </w:rPr>
        <w:t>concluir.</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nueva</w:t>
      </w:r>
      <w:r>
        <w:rPr>
          <w:color w:val="231F20"/>
          <w:spacing w:val="-11"/>
          <w:w w:val="110"/>
        </w:rPr>
        <w:t> </w:t>
      </w:r>
      <w:r>
        <w:rPr>
          <w:color w:val="231F20"/>
          <w:w w:val="110"/>
        </w:rPr>
        <w:t>estrategia de seguridad nacional prácticamente no aparece América Latina, incluso las referencias parcialmente explícitas que en documentos anteriores se hacían sobre algunos gobiernos se diluyen. Entre los países</w:t>
      </w:r>
      <w:r>
        <w:rPr>
          <w:color w:val="231F20"/>
          <w:spacing w:val="-6"/>
          <w:w w:val="110"/>
        </w:rPr>
        <w:t> </w:t>
      </w:r>
      <w:r>
        <w:rPr>
          <w:color w:val="231F20"/>
          <w:w w:val="110"/>
        </w:rPr>
        <w:t>que</w:t>
      </w:r>
      <w:r>
        <w:rPr>
          <w:color w:val="231F20"/>
          <w:spacing w:val="-6"/>
          <w:w w:val="110"/>
        </w:rPr>
        <w:t> </w:t>
      </w:r>
      <w:r>
        <w:rPr>
          <w:color w:val="231F20"/>
          <w:w w:val="110"/>
        </w:rPr>
        <w:t>son</w:t>
      </w:r>
      <w:r>
        <w:rPr>
          <w:color w:val="231F20"/>
          <w:spacing w:val="-6"/>
          <w:w w:val="110"/>
        </w:rPr>
        <w:t> </w:t>
      </w:r>
      <w:r>
        <w:rPr>
          <w:color w:val="231F20"/>
          <w:w w:val="110"/>
        </w:rPr>
        <w:t>tratados</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aislada</w:t>
      </w:r>
      <w:r>
        <w:rPr>
          <w:color w:val="231F20"/>
          <w:spacing w:val="-6"/>
          <w:w w:val="110"/>
        </w:rPr>
        <w:t> </w:t>
      </w:r>
      <w:r>
        <w:rPr>
          <w:color w:val="231F20"/>
          <w:w w:val="110"/>
        </w:rPr>
        <w:t>sobresalen</w:t>
      </w:r>
      <w:r>
        <w:rPr>
          <w:color w:val="231F20"/>
          <w:spacing w:val="-6"/>
          <w:w w:val="110"/>
        </w:rPr>
        <w:t> </w:t>
      </w:r>
      <w:r>
        <w:rPr>
          <w:color w:val="231F20"/>
          <w:w w:val="110"/>
        </w:rPr>
        <w:t>México,</w:t>
      </w:r>
      <w:r>
        <w:rPr>
          <w:color w:val="231F20"/>
          <w:spacing w:val="-6"/>
          <w:w w:val="110"/>
        </w:rPr>
        <w:t> </w:t>
      </w:r>
      <w:r>
        <w:rPr>
          <w:color w:val="231F20"/>
          <w:w w:val="110"/>
        </w:rPr>
        <w:t>Brasil, Haití y Argentina. Sin embargo, el escaso tratamiento que recibe    la región latinoamericana en el documento no debe interpretarse como una evidencia empírica de la baja prioridad. Cometeríamos  un grave error de apreciación si concluyéramos que su gran frontera geográfica</w:t>
      </w:r>
      <w:r>
        <w:rPr>
          <w:color w:val="231F20"/>
          <w:spacing w:val="-4"/>
          <w:w w:val="110"/>
        </w:rPr>
        <w:t> </w:t>
      </w:r>
      <w:r>
        <w:rPr>
          <w:color w:val="231F20"/>
          <w:w w:val="110"/>
        </w:rPr>
        <w:t>del</w:t>
      </w:r>
      <w:r>
        <w:rPr>
          <w:color w:val="231F20"/>
          <w:spacing w:val="-4"/>
          <w:w w:val="110"/>
        </w:rPr>
        <w:t> </w:t>
      </w:r>
      <w:r>
        <w:rPr>
          <w:color w:val="231F20"/>
          <w:w w:val="110"/>
        </w:rPr>
        <w:t>sur</w:t>
      </w:r>
      <w:r>
        <w:rPr>
          <w:color w:val="231F20"/>
          <w:spacing w:val="-4"/>
          <w:w w:val="110"/>
        </w:rPr>
        <w:t> </w:t>
      </w:r>
      <w:r>
        <w:rPr>
          <w:color w:val="231F20"/>
          <w:w w:val="110"/>
        </w:rPr>
        <w:t>ya</w:t>
      </w:r>
      <w:r>
        <w:rPr>
          <w:color w:val="231F20"/>
          <w:spacing w:val="-4"/>
          <w:w w:val="110"/>
        </w:rPr>
        <w:t> </w:t>
      </w:r>
      <w:r>
        <w:rPr>
          <w:color w:val="231F20"/>
          <w:w w:val="110"/>
        </w:rPr>
        <w:t>no</w:t>
      </w:r>
      <w:r>
        <w:rPr>
          <w:color w:val="231F20"/>
          <w:spacing w:val="-4"/>
          <w:w w:val="110"/>
        </w:rPr>
        <w:t> </w:t>
      </w:r>
      <w:r>
        <w:rPr>
          <w:color w:val="231F20"/>
          <w:w w:val="110"/>
        </w:rPr>
        <w:t>le</w:t>
      </w:r>
      <w:r>
        <w:rPr>
          <w:color w:val="231F20"/>
          <w:spacing w:val="-4"/>
          <w:w w:val="110"/>
        </w:rPr>
        <w:t> </w:t>
      </w:r>
      <w:r>
        <w:rPr>
          <w:color w:val="231F20"/>
          <w:w w:val="110"/>
        </w:rPr>
        <w:t>resulta</w:t>
      </w:r>
      <w:r>
        <w:rPr>
          <w:color w:val="231F20"/>
          <w:spacing w:val="-4"/>
          <w:w w:val="110"/>
        </w:rPr>
        <w:t> </w:t>
      </w:r>
      <w:r>
        <w:rPr>
          <w:color w:val="231F20"/>
          <w:w w:val="110"/>
        </w:rPr>
        <w:t>importante.</w:t>
      </w:r>
      <w:r>
        <w:rPr>
          <w:color w:val="231F20"/>
          <w:spacing w:val="-4"/>
          <w:w w:val="110"/>
        </w:rPr>
        <w:t> </w:t>
      </w:r>
      <w:r>
        <w:rPr>
          <w:color w:val="231F20"/>
          <w:w w:val="110"/>
        </w:rPr>
        <w:t>Es</w:t>
      </w:r>
      <w:r>
        <w:rPr>
          <w:color w:val="231F20"/>
          <w:spacing w:val="-4"/>
          <w:w w:val="110"/>
        </w:rPr>
        <w:t> </w:t>
      </w:r>
      <w:r>
        <w:rPr>
          <w:color w:val="231F20"/>
          <w:w w:val="110"/>
        </w:rPr>
        <w:t>más,</w:t>
      </w:r>
      <w:r>
        <w:rPr>
          <w:color w:val="231F20"/>
          <w:spacing w:val="-4"/>
          <w:w w:val="110"/>
        </w:rPr>
        <w:t> </w:t>
      </w:r>
      <w:r>
        <w:rPr>
          <w:color w:val="231F20"/>
          <w:w w:val="110"/>
        </w:rPr>
        <w:t>cuanto</w:t>
      </w:r>
      <w:r>
        <w:rPr>
          <w:color w:val="231F20"/>
          <w:spacing w:val="-4"/>
          <w:w w:val="110"/>
        </w:rPr>
        <w:t> </w:t>
      </w:r>
      <w:r>
        <w:rPr>
          <w:color w:val="231F20"/>
          <w:w w:val="110"/>
        </w:rPr>
        <w:t>menos explícito resulta un documento estratégico estadunidense sobre un asunto, mayor debiera ser nuestra preocupación analítica. Sabemos que en el escenario geopolítico regional hay zonas importantes de tensión y conflictos no resueltos, de cuya dinámica y orientación depende el sistema de dominación estadunidense. Algunos procesos actuales como el de Bolivia, </w:t>
      </w:r>
      <w:r>
        <w:rPr>
          <w:color w:val="231F20"/>
          <w:spacing w:val="-3"/>
          <w:w w:val="110"/>
        </w:rPr>
        <w:t>Ecuador, </w:t>
      </w:r>
      <w:r>
        <w:rPr>
          <w:color w:val="231F20"/>
          <w:w w:val="110"/>
        </w:rPr>
        <w:t>Venezuela, Colombia, Cuba y desde</w:t>
      </w:r>
      <w:r>
        <w:rPr>
          <w:color w:val="231F20"/>
          <w:spacing w:val="-5"/>
          <w:w w:val="110"/>
        </w:rPr>
        <w:t> </w:t>
      </w:r>
      <w:r>
        <w:rPr>
          <w:color w:val="231F20"/>
          <w:w w:val="110"/>
        </w:rPr>
        <w:t>luego</w:t>
      </w:r>
      <w:r>
        <w:rPr>
          <w:color w:val="231F20"/>
          <w:spacing w:val="-5"/>
          <w:w w:val="110"/>
        </w:rPr>
        <w:t> </w:t>
      </w:r>
      <w:r>
        <w:rPr>
          <w:color w:val="231F20"/>
          <w:w w:val="110"/>
        </w:rPr>
        <w:t>los</w:t>
      </w:r>
      <w:r>
        <w:rPr>
          <w:color w:val="231F20"/>
          <w:spacing w:val="-5"/>
          <w:w w:val="110"/>
        </w:rPr>
        <w:t> </w:t>
      </w:r>
      <w:r>
        <w:rPr>
          <w:color w:val="231F20"/>
          <w:w w:val="110"/>
        </w:rPr>
        <w:t>de</w:t>
      </w:r>
      <w:r>
        <w:rPr>
          <w:color w:val="231F20"/>
          <w:spacing w:val="-5"/>
          <w:w w:val="110"/>
        </w:rPr>
        <w:t> </w:t>
      </w:r>
      <w:r>
        <w:rPr>
          <w:color w:val="231F20"/>
          <w:w w:val="110"/>
        </w:rPr>
        <w:t>Centroamérica</w:t>
      </w:r>
      <w:r>
        <w:rPr>
          <w:color w:val="231F20"/>
          <w:spacing w:val="-5"/>
          <w:w w:val="110"/>
        </w:rPr>
        <w:t> </w:t>
      </w:r>
      <w:r>
        <w:rPr>
          <w:color w:val="231F20"/>
          <w:w w:val="110"/>
        </w:rPr>
        <w:t>son</w:t>
      </w:r>
      <w:r>
        <w:rPr>
          <w:color w:val="231F20"/>
          <w:spacing w:val="-5"/>
          <w:w w:val="110"/>
        </w:rPr>
        <w:t> </w:t>
      </w:r>
      <w:r>
        <w:rPr>
          <w:color w:val="231F20"/>
          <w:w w:val="110"/>
        </w:rPr>
        <w:t>de</w:t>
      </w:r>
      <w:r>
        <w:rPr>
          <w:color w:val="231F20"/>
          <w:spacing w:val="-5"/>
          <w:w w:val="110"/>
        </w:rPr>
        <w:t> </w:t>
      </w:r>
      <w:r>
        <w:rPr>
          <w:color w:val="231F20"/>
          <w:w w:val="110"/>
        </w:rPr>
        <w:t>enorme</w:t>
      </w:r>
      <w:r>
        <w:rPr>
          <w:color w:val="231F20"/>
          <w:spacing w:val="-5"/>
          <w:w w:val="110"/>
        </w:rPr>
        <w:t> </w:t>
      </w:r>
      <w:r>
        <w:rPr>
          <w:color w:val="231F20"/>
          <w:w w:val="110"/>
        </w:rPr>
        <w:t>significación</w:t>
      </w:r>
      <w:r>
        <w:rPr>
          <w:color w:val="231F20"/>
          <w:spacing w:val="-5"/>
          <w:w w:val="110"/>
        </w:rPr>
        <w:t> </w:t>
      </w:r>
      <w:r>
        <w:rPr>
          <w:color w:val="231F20"/>
          <w:w w:val="110"/>
        </w:rPr>
        <w:t>estra- tégica</w:t>
      </w:r>
      <w:r>
        <w:rPr>
          <w:color w:val="231F20"/>
          <w:spacing w:val="-7"/>
          <w:w w:val="110"/>
        </w:rPr>
        <w:t> </w:t>
      </w:r>
      <w:r>
        <w:rPr>
          <w:color w:val="231F20"/>
          <w:w w:val="110"/>
        </w:rPr>
        <w:t>para</w:t>
      </w:r>
      <w:r>
        <w:rPr>
          <w:color w:val="231F20"/>
          <w:spacing w:val="-7"/>
          <w:w w:val="110"/>
        </w:rPr>
        <w:t> </w:t>
      </w:r>
      <w:r>
        <w:rPr>
          <w:color w:val="231F20"/>
          <w:w w:val="110"/>
        </w:rPr>
        <w:t>los</w:t>
      </w:r>
      <w:r>
        <w:rPr>
          <w:color w:val="231F20"/>
          <w:spacing w:val="-7"/>
          <w:w w:val="110"/>
        </w:rPr>
        <w:t> </w:t>
      </w:r>
      <w:r>
        <w:rPr>
          <w:color w:val="231F20"/>
          <w:w w:val="110"/>
        </w:rPr>
        <w:t>intereses</w:t>
      </w:r>
      <w:r>
        <w:rPr>
          <w:color w:val="231F20"/>
          <w:spacing w:val="-7"/>
          <w:w w:val="110"/>
        </w:rPr>
        <w:t> </w:t>
      </w:r>
      <w:r>
        <w:rPr>
          <w:color w:val="231F20"/>
          <w:w w:val="110"/>
        </w:rPr>
        <w:t>globales</w:t>
      </w:r>
      <w:r>
        <w:rPr>
          <w:color w:val="231F20"/>
          <w:spacing w:val="-7"/>
          <w:w w:val="110"/>
        </w:rPr>
        <w:t> </w:t>
      </w:r>
      <w:r>
        <w:rPr>
          <w:color w:val="231F20"/>
          <w:w w:val="110"/>
        </w:rPr>
        <w:t>de</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Esto</w:t>
      </w:r>
      <w:r>
        <w:rPr>
          <w:color w:val="231F20"/>
          <w:spacing w:val="-7"/>
          <w:w w:val="110"/>
        </w:rPr>
        <w:t> </w:t>
      </w:r>
      <w:r>
        <w:rPr>
          <w:color w:val="231F20"/>
          <w:w w:val="110"/>
        </w:rPr>
        <w:t>explica</w:t>
      </w:r>
      <w:r>
        <w:rPr>
          <w:color w:val="231F20"/>
          <w:spacing w:val="-7"/>
          <w:w w:val="110"/>
        </w:rPr>
        <w:t> </w:t>
      </w:r>
      <w:r>
        <w:rPr>
          <w:color w:val="231F20"/>
          <w:w w:val="110"/>
        </w:rPr>
        <w:t>las razones</w:t>
      </w:r>
      <w:r>
        <w:rPr>
          <w:color w:val="231F20"/>
          <w:spacing w:val="-6"/>
          <w:w w:val="110"/>
        </w:rPr>
        <w:t> </w:t>
      </w:r>
      <w:r>
        <w:rPr>
          <w:color w:val="231F20"/>
          <w:w w:val="110"/>
        </w:rPr>
        <w:t>por</w:t>
      </w:r>
      <w:r>
        <w:rPr>
          <w:color w:val="231F20"/>
          <w:spacing w:val="-6"/>
          <w:w w:val="110"/>
        </w:rPr>
        <w:t> </w:t>
      </w:r>
      <w:r>
        <w:rPr>
          <w:color w:val="231F20"/>
          <w:w w:val="110"/>
        </w:rPr>
        <w:t>las</w:t>
      </w:r>
      <w:r>
        <w:rPr>
          <w:color w:val="231F20"/>
          <w:spacing w:val="-6"/>
          <w:w w:val="110"/>
        </w:rPr>
        <w:t> </w:t>
      </w:r>
      <w:r>
        <w:rPr>
          <w:color w:val="231F20"/>
          <w:w w:val="110"/>
        </w:rPr>
        <w:t>cuales</w:t>
      </w:r>
      <w:r>
        <w:rPr>
          <w:color w:val="231F20"/>
          <w:spacing w:val="-6"/>
          <w:w w:val="110"/>
        </w:rPr>
        <w:t> </w:t>
      </w:r>
      <w:r>
        <w:rPr>
          <w:color w:val="231F20"/>
          <w:w w:val="110"/>
        </w:rPr>
        <w:t>no</w:t>
      </w:r>
      <w:r>
        <w:rPr>
          <w:color w:val="231F20"/>
          <w:spacing w:val="-6"/>
          <w:w w:val="110"/>
        </w:rPr>
        <w:t> </w:t>
      </w:r>
      <w:r>
        <w:rPr>
          <w:color w:val="231F20"/>
          <w:w w:val="110"/>
        </w:rPr>
        <w:t>puede</w:t>
      </w:r>
      <w:r>
        <w:rPr>
          <w:color w:val="231F20"/>
          <w:spacing w:val="-6"/>
          <w:w w:val="110"/>
        </w:rPr>
        <w:t> </w:t>
      </w:r>
      <w:r>
        <w:rPr>
          <w:color w:val="231F20"/>
          <w:w w:val="110"/>
        </w:rPr>
        <w:t>verificarse</w:t>
      </w:r>
      <w:r>
        <w:rPr>
          <w:color w:val="231F20"/>
          <w:spacing w:val="-6"/>
          <w:w w:val="110"/>
        </w:rPr>
        <w:t> </w:t>
      </w:r>
      <w:r>
        <w:rPr>
          <w:color w:val="231F20"/>
          <w:w w:val="110"/>
        </w:rPr>
        <w:t>ningún</w:t>
      </w:r>
      <w:r>
        <w:rPr>
          <w:color w:val="231F20"/>
          <w:spacing w:val="-6"/>
          <w:w w:val="110"/>
        </w:rPr>
        <w:t> </w:t>
      </w:r>
      <w:r>
        <w:rPr>
          <w:color w:val="231F20"/>
          <w:w w:val="110"/>
        </w:rPr>
        <w:t>cambio</w:t>
      </w:r>
      <w:r>
        <w:rPr>
          <w:color w:val="231F20"/>
          <w:spacing w:val="-6"/>
          <w:w w:val="110"/>
        </w:rPr>
        <w:t> </w:t>
      </w:r>
      <w:r>
        <w:rPr>
          <w:color w:val="231F20"/>
          <w:w w:val="110"/>
        </w:rPr>
        <w:t>sustancial en la actual política estadunidense hacia América Latina y el</w:t>
      </w:r>
      <w:r>
        <w:rPr>
          <w:color w:val="231F20"/>
          <w:spacing w:val="-32"/>
          <w:w w:val="110"/>
        </w:rPr>
        <w:t> </w:t>
      </w:r>
      <w:r>
        <w:rPr>
          <w:color w:val="231F20"/>
          <w:w w:val="110"/>
        </w:rPr>
        <w:t>Caribe.</w:t>
      </w:r>
    </w:p>
    <w:p>
      <w:pPr>
        <w:pStyle w:val="BodyText"/>
      </w:pPr>
    </w:p>
    <w:p>
      <w:pPr>
        <w:pStyle w:val="BodyText"/>
      </w:pPr>
    </w:p>
    <w:p>
      <w:pPr>
        <w:pStyle w:val="BodyText"/>
        <w:spacing w:before="2"/>
        <w:rPr>
          <w:sz w:val="25"/>
        </w:rPr>
      </w:pPr>
    </w:p>
    <w:p>
      <w:pPr>
        <w:pStyle w:val="BodyText"/>
        <w:ind w:left="100"/>
        <w:jc w:val="both"/>
      </w:pPr>
      <w:r>
        <w:rPr>
          <w:color w:val="231F20"/>
          <w:w w:val="125"/>
        </w:rPr>
        <w:t>a manera de conclusión</w:t>
      </w:r>
    </w:p>
    <w:p>
      <w:pPr>
        <w:pStyle w:val="BodyText"/>
        <w:spacing w:before="5"/>
        <w:rPr>
          <w:sz w:val="23"/>
        </w:rPr>
      </w:pPr>
    </w:p>
    <w:p>
      <w:pPr>
        <w:pStyle w:val="BodyText"/>
        <w:spacing w:line="261" w:lineRule="auto"/>
        <w:ind w:left="100" w:right="119"/>
        <w:jc w:val="both"/>
      </w:pPr>
      <w:r>
        <w:rPr>
          <w:color w:val="231F20"/>
          <w:w w:val="105"/>
        </w:rPr>
        <w:t>América Latina requiere forjar avances sobre su seguridad, un mejor</w:t>
      </w:r>
      <w:r>
        <w:rPr>
          <w:color w:val="231F20"/>
          <w:w w:val="110"/>
        </w:rPr>
        <w:t> </w:t>
      </w:r>
      <w:r>
        <w:rPr>
          <w:color w:val="231F20"/>
          <w:w w:val="105"/>
        </w:rPr>
        <w:t>análisis sobre sus amenazas y consecuentemente el rediseño de sus so- portes defensivos. Los proyectos alternativos difícilmente cristalizarán</w:t>
      </w:r>
      <w:r>
        <w:rPr>
          <w:color w:val="231F20"/>
          <w:w w:val="107"/>
        </w:rPr>
        <w:t> </w:t>
      </w:r>
      <w:r>
        <w:rPr>
          <w:color w:val="231F20"/>
          <w:w w:val="105"/>
        </w:rPr>
        <w:t>si no se es capaz de pensar y conceptualizar lo que se quiere hacer,</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empezando por lo que no se quiere. Las tendencias emergentes en  el primer decenio del presente siglo van mostrando que conforme se profundizan</w:t>
      </w:r>
      <w:r>
        <w:rPr>
          <w:color w:val="231F20"/>
          <w:spacing w:val="-6"/>
          <w:w w:val="110"/>
        </w:rPr>
        <w:t> </w:t>
      </w:r>
      <w:r>
        <w:rPr>
          <w:color w:val="231F20"/>
          <w:w w:val="110"/>
        </w:rPr>
        <w:t>los</w:t>
      </w:r>
      <w:r>
        <w:rPr>
          <w:color w:val="231F20"/>
          <w:spacing w:val="-6"/>
          <w:w w:val="110"/>
        </w:rPr>
        <w:t> </w:t>
      </w:r>
      <w:r>
        <w:rPr>
          <w:color w:val="231F20"/>
          <w:w w:val="110"/>
        </w:rPr>
        <w:t>proyectos</w:t>
      </w:r>
      <w:r>
        <w:rPr>
          <w:color w:val="231F20"/>
          <w:spacing w:val="-6"/>
          <w:w w:val="110"/>
        </w:rPr>
        <w:t> </w:t>
      </w:r>
      <w:r>
        <w:rPr>
          <w:color w:val="231F20"/>
          <w:w w:val="110"/>
        </w:rPr>
        <w:t>de</w:t>
      </w:r>
      <w:r>
        <w:rPr>
          <w:color w:val="231F20"/>
          <w:spacing w:val="-6"/>
          <w:w w:val="110"/>
        </w:rPr>
        <w:t> </w:t>
      </w:r>
      <w:r>
        <w:rPr>
          <w:color w:val="231F20"/>
          <w:w w:val="110"/>
        </w:rPr>
        <w:t>democratización,</w:t>
      </w:r>
      <w:r>
        <w:rPr>
          <w:color w:val="231F20"/>
          <w:spacing w:val="-6"/>
          <w:w w:val="110"/>
        </w:rPr>
        <w:t> </w:t>
      </w:r>
      <w:r>
        <w:rPr>
          <w:color w:val="231F20"/>
          <w:w w:val="110"/>
        </w:rPr>
        <w:t>con</w:t>
      </w:r>
      <w:r>
        <w:rPr>
          <w:color w:val="231F20"/>
          <w:spacing w:val="-6"/>
          <w:w w:val="110"/>
        </w:rPr>
        <w:t> </w:t>
      </w:r>
      <w:r>
        <w:rPr>
          <w:color w:val="231F20"/>
          <w:w w:val="110"/>
        </w:rPr>
        <w:t>sus</w:t>
      </w:r>
      <w:r>
        <w:rPr>
          <w:color w:val="231F20"/>
          <w:spacing w:val="-6"/>
          <w:w w:val="110"/>
        </w:rPr>
        <w:t> </w:t>
      </w:r>
      <w:r>
        <w:rPr>
          <w:color w:val="231F20"/>
          <w:w w:val="110"/>
        </w:rPr>
        <w:t>componentes de soberanía y autodeterminación, inevitablemente se produce un cuestionamiento del sistema de dominación en sus fundamentos in- ternos</w:t>
      </w:r>
      <w:r>
        <w:rPr>
          <w:color w:val="231F20"/>
          <w:spacing w:val="-21"/>
          <w:w w:val="110"/>
        </w:rPr>
        <w:t> </w:t>
      </w:r>
      <w:r>
        <w:rPr>
          <w:color w:val="231F20"/>
          <w:w w:val="110"/>
        </w:rPr>
        <w:t>y</w:t>
      </w:r>
      <w:r>
        <w:rPr>
          <w:color w:val="231F20"/>
          <w:spacing w:val="-21"/>
          <w:w w:val="110"/>
        </w:rPr>
        <w:t> </w:t>
      </w:r>
      <w:r>
        <w:rPr>
          <w:color w:val="231F20"/>
          <w:w w:val="110"/>
        </w:rPr>
        <w:t>externos.</w:t>
      </w:r>
      <w:r>
        <w:rPr>
          <w:color w:val="231F20"/>
          <w:spacing w:val="-21"/>
          <w:w w:val="110"/>
        </w:rPr>
        <w:t> </w:t>
      </w:r>
      <w:r>
        <w:rPr>
          <w:color w:val="231F20"/>
          <w:w w:val="110"/>
        </w:rPr>
        <w:t>En</w:t>
      </w:r>
      <w:r>
        <w:rPr>
          <w:color w:val="231F20"/>
          <w:spacing w:val="-21"/>
          <w:w w:val="110"/>
        </w:rPr>
        <w:t> </w:t>
      </w:r>
      <w:r>
        <w:rPr>
          <w:color w:val="231F20"/>
          <w:w w:val="110"/>
        </w:rPr>
        <w:t>esta</w:t>
      </w:r>
      <w:r>
        <w:rPr>
          <w:color w:val="231F20"/>
          <w:spacing w:val="-21"/>
          <w:w w:val="110"/>
        </w:rPr>
        <w:t> </w:t>
      </w:r>
      <w:r>
        <w:rPr>
          <w:color w:val="231F20"/>
          <w:w w:val="110"/>
        </w:rPr>
        <w:t>perspectiva,</w:t>
      </w:r>
      <w:r>
        <w:rPr>
          <w:color w:val="231F20"/>
          <w:spacing w:val="-21"/>
          <w:w w:val="110"/>
        </w:rPr>
        <w:t> </w:t>
      </w:r>
      <w:r>
        <w:rPr>
          <w:color w:val="231F20"/>
          <w:w w:val="110"/>
        </w:rPr>
        <w:t>pensar</w:t>
      </w:r>
      <w:r>
        <w:rPr>
          <w:color w:val="231F20"/>
          <w:spacing w:val="-21"/>
          <w:w w:val="110"/>
        </w:rPr>
        <w:t> </w:t>
      </w:r>
      <w:r>
        <w:rPr>
          <w:color w:val="231F20"/>
          <w:w w:val="110"/>
        </w:rPr>
        <w:t>la</w:t>
      </w:r>
      <w:r>
        <w:rPr>
          <w:color w:val="231F20"/>
          <w:spacing w:val="-21"/>
          <w:w w:val="110"/>
        </w:rPr>
        <w:t> </w:t>
      </w:r>
      <w:r>
        <w:rPr>
          <w:color w:val="231F20"/>
          <w:w w:val="110"/>
        </w:rPr>
        <w:t>seguridad</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defensa más allá de visión hegemónica es un gran desafío teórico y político. </w:t>
      </w:r>
      <w:r>
        <w:rPr>
          <w:color w:val="231F20"/>
          <w:spacing w:val="-5"/>
          <w:w w:val="110"/>
        </w:rPr>
        <w:t>Todo </w:t>
      </w:r>
      <w:r>
        <w:rPr>
          <w:color w:val="231F20"/>
          <w:w w:val="110"/>
        </w:rPr>
        <w:t>avance en tal sentido adquiere una enorme significación un campo amplio de consecuencias, incluso si las cosas no lograran concretarse</w:t>
      </w:r>
      <w:r>
        <w:rPr>
          <w:color w:val="231F20"/>
          <w:spacing w:val="-5"/>
          <w:w w:val="110"/>
        </w:rPr>
        <w:t> </w:t>
      </w: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pensado.</w:t>
      </w:r>
      <w:r>
        <w:rPr>
          <w:color w:val="231F20"/>
          <w:spacing w:val="-5"/>
          <w:w w:val="110"/>
        </w:rPr>
        <w:t> </w:t>
      </w:r>
      <w:r>
        <w:rPr>
          <w:color w:val="231F20"/>
          <w:w w:val="110"/>
        </w:rPr>
        <w:t>Las</w:t>
      </w:r>
      <w:r>
        <w:rPr>
          <w:color w:val="231F20"/>
          <w:spacing w:val="-5"/>
          <w:w w:val="110"/>
        </w:rPr>
        <w:t> </w:t>
      </w:r>
      <w:r>
        <w:rPr>
          <w:color w:val="231F20"/>
          <w:w w:val="110"/>
        </w:rPr>
        <w:t>resistencias</w:t>
      </w:r>
      <w:r>
        <w:rPr>
          <w:color w:val="231F20"/>
          <w:spacing w:val="-5"/>
          <w:w w:val="110"/>
        </w:rPr>
        <w:t> </w:t>
      </w:r>
      <w:r>
        <w:rPr>
          <w:color w:val="231F20"/>
          <w:w w:val="110"/>
        </w:rPr>
        <w:t>frente</w:t>
      </w:r>
      <w:r>
        <w:rPr>
          <w:color w:val="231F20"/>
          <w:spacing w:val="-5"/>
          <w:w w:val="110"/>
        </w:rPr>
        <w:t> </w:t>
      </w:r>
      <w:r>
        <w:rPr>
          <w:color w:val="231F20"/>
          <w:w w:val="110"/>
        </w:rPr>
        <w:t>a</w:t>
      </w:r>
      <w:r>
        <w:rPr>
          <w:color w:val="231F20"/>
          <w:spacing w:val="-5"/>
          <w:w w:val="110"/>
        </w:rPr>
        <w:t> </w:t>
      </w:r>
      <w:r>
        <w:rPr>
          <w:color w:val="231F20"/>
          <w:w w:val="110"/>
        </w:rPr>
        <w:t>cada</w:t>
      </w:r>
      <w:r>
        <w:rPr>
          <w:color w:val="231F20"/>
          <w:spacing w:val="-5"/>
          <w:w w:val="110"/>
        </w:rPr>
        <w:t> </w:t>
      </w:r>
      <w:r>
        <w:rPr>
          <w:color w:val="231F20"/>
          <w:w w:val="110"/>
        </w:rPr>
        <w:t>avan- ce en cada uno de nuestros países son muy considerables. Repensar en la seguridad de América Latina implica conocer mejor a Estados Unidos</w:t>
      </w:r>
      <w:r>
        <w:rPr>
          <w:color w:val="231F20"/>
          <w:spacing w:val="-20"/>
          <w:w w:val="110"/>
        </w:rPr>
        <w:t> </w:t>
      </w:r>
      <w:r>
        <w:rPr>
          <w:color w:val="231F20"/>
          <w:w w:val="110"/>
        </w:rPr>
        <w:t>en</w:t>
      </w:r>
      <w:r>
        <w:rPr>
          <w:color w:val="231F20"/>
          <w:spacing w:val="-20"/>
          <w:w w:val="110"/>
        </w:rPr>
        <w:t> </w:t>
      </w:r>
      <w:r>
        <w:rPr>
          <w:color w:val="231F20"/>
          <w:w w:val="110"/>
        </w:rPr>
        <w:t>sus</w:t>
      </w:r>
      <w:r>
        <w:rPr>
          <w:color w:val="231F20"/>
          <w:spacing w:val="-20"/>
          <w:w w:val="110"/>
        </w:rPr>
        <w:t> </w:t>
      </w:r>
      <w:r>
        <w:rPr>
          <w:color w:val="231F20"/>
          <w:w w:val="110"/>
        </w:rPr>
        <w:t>estrategias</w:t>
      </w:r>
      <w:r>
        <w:rPr>
          <w:color w:val="231F20"/>
          <w:spacing w:val="-20"/>
          <w:w w:val="110"/>
        </w:rPr>
        <w:t> </w:t>
      </w:r>
      <w:r>
        <w:rPr>
          <w:color w:val="231F20"/>
          <w:w w:val="110"/>
        </w:rPr>
        <w:t>políticas.</w:t>
      </w:r>
      <w:r>
        <w:rPr>
          <w:color w:val="231F20"/>
          <w:spacing w:val="-20"/>
          <w:w w:val="110"/>
        </w:rPr>
        <w:t> </w:t>
      </w:r>
      <w:r>
        <w:rPr>
          <w:color w:val="231F20"/>
          <w:w w:val="110"/>
        </w:rPr>
        <w:t>De</w:t>
      </w:r>
      <w:r>
        <w:rPr>
          <w:color w:val="231F20"/>
          <w:spacing w:val="-20"/>
          <w:w w:val="110"/>
        </w:rPr>
        <w:t> </w:t>
      </w:r>
      <w:r>
        <w:rPr>
          <w:color w:val="231F20"/>
          <w:w w:val="110"/>
        </w:rPr>
        <w:t>allí</w:t>
      </w:r>
      <w:r>
        <w:rPr>
          <w:color w:val="231F20"/>
          <w:spacing w:val="-20"/>
          <w:w w:val="110"/>
        </w:rPr>
        <w:t> </w:t>
      </w:r>
      <w:r>
        <w:rPr>
          <w:color w:val="231F20"/>
          <w:w w:val="110"/>
        </w:rPr>
        <w:t>que</w:t>
      </w:r>
      <w:r>
        <w:rPr>
          <w:color w:val="231F20"/>
          <w:spacing w:val="-20"/>
          <w:w w:val="110"/>
        </w:rPr>
        <w:t> </w:t>
      </w:r>
      <w:r>
        <w:rPr>
          <w:color w:val="231F20"/>
          <w:w w:val="110"/>
        </w:rPr>
        <w:t>cuanto</w:t>
      </w:r>
      <w:r>
        <w:rPr>
          <w:color w:val="231F20"/>
          <w:spacing w:val="-20"/>
          <w:w w:val="110"/>
        </w:rPr>
        <w:t> </w:t>
      </w:r>
      <w:r>
        <w:rPr>
          <w:color w:val="231F20"/>
          <w:w w:val="110"/>
        </w:rPr>
        <w:t>menos</w:t>
      </w:r>
      <w:r>
        <w:rPr>
          <w:color w:val="231F20"/>
          <w:spacing w:val="-20"/>
          <w:w w:val="110"/>
        </w:rPr>
        <w:t> </w:t>
      </w:r>
      <w:r>
        <w:rPr>
          <w:color w:val="231F20"/>
          <w:w w:val="110"/>
        </w:rPr>
        <w:t>aparezca mencionada</w:t>
      </w:r>
      <w:r>
        <w:rPr>
          <w:color w:val="231F20"/>
          <w:spacing w:val="-9"/>
          <w:w w:val="110"/>
        </w:rPr>
        <w:t> </w:t>
      </w:r>
      <w:r>
        <w:rPr>
          <w:color w:val="231F20"/>
          <w:w w:val="110"/>
        </w:rPr>
        <w:t>directamente</w:t>
      </w:r>
      <w:r>
        <w:rPr>
          <w:color w:val="231F20"/>
          <w:spacing w:val="-9"/>
          <w:w w:val="110"/>
        </w:rPr>
        <w:t> </w:t>
      </w:r>
      <w:r>
        <w:rPr>
          <w:color w:val="231F20"/>
          <w:w w:val="110"/>
        </w:rPr>
        <w:t>nuestra</w:t>
      </w:r>
      <w:r>
        <w:rPr>
          <w:color w:val="231F20"/>
          <w:spacing w:val="-9"/>
          <w:w w:val="110"/>
        </w:rPr>
        <w:t> </w:t>
      </w:r>
      <w:r>
        <w:rPr>
          <w:color w:val="231F20"/>
          <w:w w:val="110"/>
        </w:rPr>
        <w:t>región</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documentos</w:t>
      </w:r>
      <w:r>
        <w:rPr>
          <w:color w:val="231F20"/>
          <w:spacing w:val="-9"/>
          <w:w w:val="110"/>
        </w:rPr>
        <w:t> </w:t>
      </w:r>
      <w:r>
        <w:rPr>
          <w:color w:val="231F20"/>
          <w:w w:val="110"/>
        </w:rPr>
        <w:t>oficiales y proyectos de la diplomacia estadunidense, mayor debe ser nuestra preocupación. Porque ciertamente su liderazgo mundial no se</w:t>
      </w:r>
      <w:r>
        <w:rPr>
          <w:color w:val="231F20"/>
          <w:spacing w:val="-18"/>
          <w:w w:val="110"/>
        </w:rPr>
        <w:t> </w:t>
      </w:r>
      <w:r>
        <w:rPr>
          <w:color w:val="231F20"/>
          <w:w w:val="110"/>
        </w:rPr>
        <w:t>define en nuestra región. Sin embargo, el debilitamiento de su influencia en América Latina y el Caribe es una amenaza que se cierne sobre los requerimientos de su liderazgo</w:t>
      </w:r>
      <w:r>
        <w:rPr>
          <w:color w:val="231F20"/>
          <w:spacing w:val="47"/>
          <w:w w:val="110"/>
        </w:rPr>
        <w:t> </w:t>
      </w:r>
      <w:r>
        <w:rPr>
          <w:color w:val="231F20"/>
          <w:w w:val="110"/>
        </w:rPr>
        <w:t>mundial.</w:t>
      </w:r>
    </w:p>
    <w:p>
      <w:pPr>
        <w:pStyle w:val="BodyText"/>
      </w:pPr>
    </w:p>
    <w:p>
      <w:pPr>
        <w:pStyle w:val="BodyText"/>
      </w:pPr>
    </w:p>
    <w:p>
      <w:pPr>
        <w:pStyle w:val="BodyText"/>
        <w:spacing w:before="2"/>
        <w:rPr>
          <w:sz w:val="25"/>
        </w:rPr>
      </w:pPr>
    </w:p>
    <w:p>
      <w:pPr>
        <w:pStyle w:val="BodyText"/>
        <w:ind w:left="100"/>
        <w:jc w:val="both"/>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w w:val="105"/>
          <w:sz w:val="18"/>
        </w:rPr>
        <w:t>Cobarrubias Hernández, Katia, 2010, “El desequilibrio externo de Estados Unidos</w:t>
      </w:r>
      <w:r>
        <w:rPr>
          <w:color w:val="231F20"/>
          <w:spacing w:val="-12"/>
          <w:w w:val="105"/>
          <w:sz w:val="18"/>
        </w:rPr>
        <w:t> </w:t>
      </w:r>
      <w:r>
        <w:rPr>
          <w:color w:val="231F20"/>
          <w:w w:val="105"/>
          <w:sz w:val="18"/>
        </w:rPr>
        <w:t>tras</w:t>
      </w:r>
      <w:r>
        <w:rPr>
          <w:color w:val="231F20"/>
          <w:spacing w:val="-12"/>
          <w:w w:val="105"/>
          <w:sz w:val="18"/>
        </w:rPr>
        <w:t> </w:t>
      </w:r>
      <w:r>
        <w:rPr>
          <w:color w:val="231F20"/>
          <w:w w:val="105"/>
          <w:sz w:val="18"/>
        </w:rPr>
        <w:t>las</w:t>
      </w:r>
      <w:r>
        <w:rPr>
          <w:color w:val="231F20"/>
          <w:spacing w:val="-12"/>
          <w:w w:val="105"/>
          <w:sz w:val="18"/>
        </w:rPr>
        <w:t> </w:t>
      </w:r>
      <w:r>
        <w:rPr>
          <w:color w:val="231F20"/>
          <w:w w:val="105"/>
          <w:sz w:val="18"/>
        </w:rPr>
        <w:t>fisuras</w:t>
      </w:r>
      <w:r>
        <w:rPr>
          <w:color w:val="231F20"/>
          <w:spacing w:val="-12"/>
          <w:w w:val="105"/>
          <w:sz w:val="18"/>
        </w:rPr>
        <w:t> </w:t>
      </w:r>
      <w:r>
        <w:rPr>
          <w:color w:val="231F20"/>
          <w:w w:val="105"/>
          <w:sz w:val="18"/>
        </w:rPr>
        <w:t>del</w:t>
      </w:r>
      <w:r>
        <w:rPr>
          <w:color w:val="231F20"/>
          <w:spacing w:val="-12"/>
          <w:w w:val="105"/>
          <w:sz w:val="18"/>
        </w:rPr>
        <w:t> </w:t>
      </w:r>
      <w:r>
        <w:rPr>
          <w:color w:val="231F20"/>
          <w:w w:val="105"/>
          <w:sz w:val="18"/>
        </w:rPr>
        <w:t>liderazgo</w:t>
      </w:r>
      <w:r>
        <w:rPr>
          <w:color w:val="231F20"/>
          <w:spacing w:val="-12"/>
          <w:w w:val="105"/>
          <w:sz w:val="18"/>
        </w:rPr>
        <w:t> </w:t>
      </w:r>
      <w:r>
        <w:rPr>
          <w:color w:val="231F20"/>
          <w:w w:val="105"/>
          <w:sz w:val="18"/>
        </w:rPr>
        <w:t>económico”,</w:t>
      </w:r>
      <w:r>
        <w:rPr>
          <w:color w:val="231F20"/>
          <w:spacing w:val="-12"/>
          <w:w w:val="105"/>
          <w:sz w:val="18"/>
        </w:rPr>
        <w:t> </w:t>
      </w:r>
      <w:r>
        <w:rPr>
          <w:color w:val="231F20"/>
          <w:w w:val="105"/>
          <w:sz w:val="18"/>
        </w:rPr>
        <w:t>en</w:t>
      </w:r>
      <w:r>
        <w:rPr>
          <w:color w:val="231F20"/>
          <w:spacing w:val="-12"/>
          <w:w w:val="105"/>
          <w:sz w:val="18"/>
        </w:rPr>
        <w:t> </w:t>
      </w:r>
      <w:r>
        <w:rPr>
          <w:i/>
          <w:color w:val="231F20"/>
          <w:w w:val="105"/>
          <w:sz w:val="18"/>
        </w:rPr>
        <w:t>Estados</w:t>
      </w:r>
      <w:r>
        <w:rPr>
          <w:i/>
          <w:color w:val="231F20"/>
          <w:spacing w:val="-12"/>
          <w:w w:val="105"/>
          <w:sz w:val="18"/>
        </w:rPr>
        <w:t> </w:t>
      </w:r>
      <w:r>
        <w:rPr>
          <w:i/>
          <w:color w:val="231F20"/>
          <w:w w:val="105"/>
          <w:sz w:val="18"/>
        </w:rPr>
        <w:t>Unidos:</w:t>
      </w:r>
      <w:r>
        <w:rPr>
          <w:i/>
          <w:color w:val="231F20"/>
          <w:spacing w:val="-12"/>
          <w:w w:val="105"/>
          <w:sz w:val="18"/>
        </w:rPr>
        <w:t> </w:t>
      </w:r>
      <w:r>
        <w:rPr>
          <w:i/>
          <w:color w:val="231F20"/>
          <w:w w:val="105"/>
          <w:sz w:val="18"/>
        </w:rPr>
        <w:t>la</w:t>
      </w:r>
      <w:r>
        <w:rPr>
          <w:i/>
          <w:color w:val="231F20"/>
          <w:spacing w:val="-12"/>
          <w:w w:val="105"/>
          <w:sz w:val="18"/>
        </w:rPr>
        <w:t> </w:t>
      </w:r>
      <w:r>
        <w:rPr>
          <w:i/>
          <w:color w:val="231F20"/>
          <w:w w:val="105"/>
          <w:sz w:val="18"/>
        </w:rPr>
        <w:t>crisis </w:t>
      </w:r>
      <w:r>
        <w:rPr>
          <w:i/>
          <w:color w:val="231F20"/>
          <w:w w:val="105"/>
          <w:sz w:val="18"/>
        </w:rPr>
        <w:t>sistémica</w:t>
      </w:r>
      <w:r>
        <w:rPr>
          <w:i/>
          <w:color w:val="231F20"/>
          <w:spacing w:val="-15"/>
          <w:w w:val="105"/>
          <w:sz w:val="18"/>
        </w:rPr>
        <w:t> </w:t>
      </w:r>
      <w:r>
        <w:rPr>
          <w:i/>
          <w:color w:val="231F20"/>
          <w:w w:val="105"/>
          <w:sz w:val="18"/>
        </w:rPr>
        <w:t>y</w:t>
      </w:r>
      <w:r>
        <w:rPr>
          <w:i/>
          <w:color w:val="231F20"/>
          <w:spacing w:val="-15"/>
          <w:w w:val="105"/>
          <w:sz w:val="18"/>
        </w:rPr>
        <w:t> </w:t>
      </w:r>
      <w:r>
        <w:rPr>
          <w:i/>
          <w:color w:val="231F20"/>
          <w:w w:val="105"/>
          <w:sz w:val="18"/>
        </w:rPr>
        <w:t>las</w:t>
      </w:r>
      <w:r>
        <w:rPr>
          <w:i/>
          <w:color w:val="231F20"/>
          <w:spacing w:val="-15"/>
          <w:w w:val="105"/>
          <w:sz w:val="18"/>
        </w:rPr>
        <w:t> </w:t>
      </w:r>
      <w:r>
        <w:rPr>
          <w:i/>
          <w:color w:val="231F20"/>
          <w:w w:val="105"/>
          <w:sz w:val="18"/>
        </w:rPr>
        <w:t>nuevas</w:t>
      </w:r>
      <w:r>
        <w:rPr>
          <w:i/>
          <w:color w:val="231F20"/>
          <w:spacing w:val="-15"/>
          <w:w w:val="105"/>
          <w:sz w:val="18"/>
        </w:rPr>
        <w:t> </w:t>
      </w:r>
      <w:r>
        <w:rPr>
          <w:i/>
          <w:color w:val="231F20"/>
          <w:w w:val="105"/>
          <w:sz w:val="18"/>
        </w:rPr>
        <w:t>condiciones</w:t>
      </w:r>
      <w:r>
        <w:rPr>
          <w:i/>
          <w:color w:val="231F20"/>
          <w:spacing w:val="-15"/>
          <w:w w:val="105"/>
          <w:sz w:val="18"/>
        </w:rPr>
        <w:t> </w:t>
      </w:r>
      <w:r>
        <w:rPr>
          <w:i/>
          <w:color w:val="231F20"/>
          <w:w w:val="105"/>
          <w:sz w:val="18"/>
        </w:rPr>
        <w:t>de</w:t>
      </w:r>
      <w:r>
        <w:rPr>
          <w:i/>
          <w:color w:val="231F20"/>
          <w:spacing w:val="-15"/>
          <w:w w:val="105"/>
          <w:sz w:val="18"/>
        </w:rPr>
        <w:t> </w:t>
      </w:r>
      <w:r>
        <w:rPr>
          <w:i/>
          <w:color w:val="231F20"/>
          <w:w w:val="105"/>
          <w:sz w:val="18"/>
        </w:rPr>
        <w:t>legitimación</w:t>
      </w:r>
      <w:r>
        <w:rPr>
          <w:i/>
          <w:color w:val="231F20"/>
          <w:spacing w:val="-15"/>
          <w:w w:val="105"/>
          <w:sz w:val="18"/>
        </w:rPr>
        <w:t> </w:t>
      </w:r>
      <w:r>
        <w:rPr>
          <w:color w:val="231F20"/>
          <w:w w:val="105"/>
          <w:sz w:val="18"/>
        </w:rPr>
        <w:t>de</w:t>
      </w:r>
      <w:r>
        <w:rPr>
          <w:color w:val="231F20"/>
          <w:spacing w:val="-15"/>
          <w:w w:val="105"/>
          <w:sz w:val="18"/>
        </w:rPr>
        <w:t> </w:t>
      </w:r>
      <w:r>
        <w:rPr>
          <w:color w:val="231F20"/>
          <w:w w:val="105"/>
          <w:sz w:val="18"/>
        </w:rPr>
        <w:t>Marco</w:t>
      </w:r>
      <w:r>
        <w:rPr>
          <w:color w:val="231F20"/>
          <w:spacing w:val="-15"/>
          <w:w w:val="105"/>
          <w:sz w:val="18"/>
        </w:rPr>
        <w:t> </w:t>
      </w:r>
      <w:r>
        <w:rPr>
          <w:color w:val="231F20"/>
          <w:w w:val="105"/>
          <w:sz w:val="18"/>
        </w:rPr>
        <w:t>A.</w:t>
      </w:r>
      <w:r>
        <w:rPr>
          <w:color w:val="231F20"/>
          <w:spacing w:val="-15"/>
          <w:w w:val="105"/>
          <w:sz w:val="18"/>
        </w:rPr>
        <w:t> </w:t>
      </w:r>
      <w:r>
        <w:rPr>
          <w:color w:val="231F20"/>
          <w:w w:val="105"/>
          <w:sz w:val="18"/>
        </w:rPr>
        <w:t>Gandásegui</w:t>
      </w:r>
      <w:r>
        <w:rPr>
          <w:color w:val="231F20"/>
          <w:spacing w:val="-15"/>
          <w:w w:val="105"/>
          <w:sz w:val="18"/>
        </w:rPr>
        <w:t> </w:t>
      </w:r>
      <w:r>
        <w:rPr>
          <w:color w:val="231F20"/>
          <w:w w:val="105"/>
          <w:sz w:val="18"/>
        </w:rPr>
        <w:t>y Dídimo  Castillo  Fernández,  México,  clacso/Siglo  XXI  Editores:</w:t>
      </w:r>
      <w:r>
        <w:rPr>
          <w:color w:val="231F20"/>
          <w:spacing w:val="-19"/>
          <w:w w:val="105"/>
          <w:sz w:val="18"/>
        </w:rPr>
        <w:t> </w:t>
      </w:r>
      <w:r>
        <w:rPr>
          <w:color w:val="231F20"/>
          <w:w w:val="105"/>
          <w:sz w:val="18"/>
        </w:rPr>
        <w:t>81-99.</w:t>
      </w:r>
    </w:p>
    <w:p>
      <w:pPr>
        <w:spacing w:line="254" w:lineRule="auto" w:before="1"/>
        <w:ind w:left="100" w:right="118" w:firstLine="0"/>
        <w:jc w:val="both"/>
        <w:rPr>
          <w:i/>
          <w:sz w:val="18"/>
        </w:rPr>
      </w:pPr>
      <w:r>
        <w:rPr>
          <w:color w:val="231F20"/>
          <w:spacing w:val="-4"/>
          <w:sz w:val="18"/>
        </w:rPr>
        <w:t>Chomsky, </w:t>
      </w:r>
      <w:r>
        <w:rPr>
          <w:color w:val="231F20"/>
          <w:sz w:val="18"/>
        </w:rPr>
        <w:t>Noam, 2010, </w:t>
      </w:r>
      <w:r>
        <w:rPr>
          <w:i/>
          <w:color w:val="231F20"/>
          <w:sz w:val="18"/>
        </w:rPr>
        <w:t>Esperanzas y </w:t>
      </w:r>
      <w:r>
        <w:rPr>
          <w:i/>
          <w:color w:val="231F20"/>
          <w:spacing w:val="-3"/>
          <w:sz w:val="18"/>
        </w:rPr>
        <w:t>realidades, </w:t>
      </w:r>
      <w:r>
        <w:rPr>
          <w:color w:val="231F20"/>
          <w:sz w:val="18"/>
        </w:rPr>
        <w:t>Barcelona, </w:t>
      </w:r>
      <w:r>
        <w:rPr>
          <w:color w:val="231F20"/>
          <w:spacing w:val="-4"/>
          <w:sz w:val="18"/>
        </w:rPr>
        <w:t>Tendencias </w:t>
      </w:r>
      <w:r>
        <w:rPr>
          <w:color w:val="231F20"/>
          <w:sz w:val="18"/>
        </w:rPr>
        <w:t>Editoras. </w:t>
      </w:r>
      <w:r>
        <w:rPr>
          <w:color w:val="231F20"/>
          <w:spacing w:val="-3"/>
          <w:sz w:val="18"/>
        </w:rPr>
        <w:t>Chossudovsky, </w:t>
      </w:r>
      <w:r>
        <w:rPr>
          <w:color w:val="231F20"/>
          <w:sz w:val="18"/>
        </w:rPr>
        <w:t>Michel, </w:t>
      </w:r>
      <w:r>
        <w:rPr>
          <w:i/>
          <w:color w:val="231F20"/>
          <w:sz w:val="18"/>
        </w:rPr>
        <w:t>Guerra y globalización, </w:t>
      </w:r>
      <w:r>
        <w:rPr>
          <w:color w:val="231F20"/>
          <w:sz w:val="18"/>
        </w:rPr>
        <w:t>México, Siglo XXI Editores, 2002. Comisión Económica para América Latina, 2010, </w:t>
      </w:r>
      <w:r>
        <w:rPr>
          <w:i/>
          <w:color w:val="231F20"/>
          <w:sz w:val="18"/>
        </w:rPr>
        <w:t>Anuario estadístico de   América</w:t>
      </w:r>
    </w:p>
    <w:p>
      <w:pPr>
        <w:spacing w:before="1"/>
        <w:ind w:left="113" w:right="455" w:firstLine="0"/>
        <w:jc w:val="center"/>
        <w:rPr>
          <w:sz w:val="18"/>
        </w:rPr>
      </w:pPr>
      <w:r>
        <w:rPr>
          <w:i/>
          <w:color w:val="231F20"/>
          <w:sz w:val="18"/>
        </w:rPr>
        <w:t>Latina y el Caribe, </w:t>
      </w:r>
      <w:r>
        <w:rPr>
          <w:color w:val="231F20"/>
          <w:sz w:val="18"/>
        </w:rPr>
        <w:t>Santiago de Chile, United Nations Publications.</w:t>
      </w:r>
    </w:p>
    <w:p>
      <w:pPr>
        <w:spacing w:line="254" w:lineRule="auto" w:before="13"/>
        <w:ind w:left="340" w:right="118" w:hanging="240"/>
        <w:jc w:val="both"/>
        <w:rPr>
          <w:sz w:val="18"/>
        </w:rPr>
      </w:pPr>
      <w:r>
        <w:rPr>
          <w:color w:val="231F20"/>
          <w:w w:val="105"/>
          <w:sz w:val="18"/>
        </w:rPr>
        <w:t>De Ferranti, David, Guillermo E. Perry, Francisco H. G. Ferreira, y Michael Walton, 2004, </w:t>
      </w:r>
      <w:r>
        <w:rPr>
          <w:i/>
          <w:color w:val="231F20"/>
          <w:w w:val="105"/>
          <w:sz w:val="18"/>
        </w:rPr>
        <w:t>Inequality in Latin America &amp; the Caribbean: Breaking with </w:t>
      </w:r>
      <w:r>
        <w:rPr>
          <w:i/>
          <w:color w:val="231F20"/>
          <w:w w:val="105"/>
          <w:sz w:val="18"/>
        </w:rPr>
        <w:t>History? </w:t>
      </w:r>
      <w:r>
        <w:rPr>
          <w:color w:val="231F20"/>
          <w:w w:val="105"/>
          <w:sz w:val="18"/>
        </w:rPr>
        <w:t>Washington, World Bank.</w:t>
      </w:r>
    </w:p>
    <w:p>
      <w:pPr>
        <w:spacing w:line="254" w:lineRule="auto" w:before="1"/>
        <w:ind w:left="340" w:right="114" w:hanging="240"/>
        <w:jc w:val="both"/>
        <w:rPr>
          <w:sz w:val="18"/>
        </w:rPr>
      </w:pPr>
      <w:r>
        <w:rPr>
          <w:color w:val="231F20"/>
          <w:w w:val="110"/>
          <w:sz w:val="18"/>
        </w:rPr>
        <w:t>Department of Defense, 2001, “Quadrennial Defense Review Report”, Washington, DC.</w:t>
      </w:r>
    </w:p>
    <w:p>
      <w:pPr>
        <w:spacing w:before="1"/>
        <w:ind w:left="100" w:right="0" w:firstLine="0"/>
        <w:jc w:val="both"/>
        <w:rPr>
          <w:sz w:val="18"/>
        </w:rPr>
      </w:pPr>
      <w:r>
        <w:rPr>
          <w:color w:val="231F20"/>
          <w:w w:val="104"/>
          <w:sz w:val="18"/>
          <w:u w:val="single" w:color="221E1F"/>
        </w:rPr>
        <w:t> </w:t>
      </w:r>
      <w:r>
        <w:rPr>
          <w:color w:val="231F20"/>
          <w:sz w:val="18"/>
          <w:u w:val="single" w:color="221E1F"/>
        </w:rPr>
        <w:t>       </w:t>
      </w:r>
      <w:r>
        <w:rPr>
          <w:color w:val="231F20"/>
          <w:w w:val="110"/>
          <w:sz w:val="18"/>
        </w:rPr>
        <w:t>, 2010, “Quadrennial Defense Review Report”, Washington, DC.</w:t>
      </w:r>
    </w:p>
    <w:p>
      <w:pPr>
        <w:spacing w:before="13"/>
        <w:ind w:left="100" w:right="0" w:firstLine="0"/>
        <w:jc w:val="both"/>
        <w:rPr>
          <w:sz w:val="18"/>
        </w:rPr>
      </w:pPr>
      <w:r>
        <w:rPr>
          <w:color w:val="231F20"/>
          <w:w w:val="104"/>
          <w:sz w:val="18"/>
          <w:u w:val="single" w:color="221E1F"/>
        </w:rPr>
        <w:t> </w:t>
      </w:r>
      <w:r>
        <w:rPr>
          <w:color w:val="231F20"/>
          <w:sz w:val="18"/>
          <w:u w:val="single" w:color="221E1F"/>
        </w:rPr>
        <w:t>       </w:t>
      </w:r>
      <w:r>
        <w:rPr>
          <w:color w:val="231F20"/>
          <w:w w:val="110"/>
          <w:sz w:val="18"/>
        </w:rPr>
        <w:t>, 2006, “Quadrennial Defense Review Report”, Washington, DC.</w:t>
      </w:r>
    </w:p>
    <w:p>
      <w:pPr>
        <w:spacing w:before="13"/>
        <w:ind w:left="100" w:right="0" w:firstLine="0"/>
        <w:jc w:val="both"/>
        <w:rPr>
          <w:i/>
          <w:sz w:val="18"/>
        </w:rPr>
      </w:pPr>
      <w:r>
        <w:rPr>
          <w:color w:val="231F20"/>
          <w:sz w:val="18"/>
        </w:rPr>
        <w:t>Estay Reino, Jaime (comp.), 2008, </w:t>
      </w:r>
      <w:r>
        <w:rPr>
          <w:i/>
          <w:color w:val="231F20"/>
          <w:sz w:val="18"/>
        </w:rPr>
        <w:t>América Latina en la economía   internacional,</w:t>
      </w:r>
    </w:p>
    <w:p>
      <w:pPr>
        <w:spacing w:before="13"/>
        <w:ind w:left="340" w:right="25" w:firstLine="0"/>
        <w:jc w:val="left"/>
        <w:rPr>
          <w:sz w:val="18"/>
        </w:rPr>
      </w:pPr>
      <w:r>
        <w:rPr>
          <w:color w:val="231F20"/>
          <w:w w:val="115"/>
          <w:sz w:val="18"/>
        </w:rPr>
        <w:t>México, clacso/Siglo XXI Editores.</w:t>
      </w:r>
    </w:p>
    <w:p>
      <w:pPr>
        <w:spacing w:after="0"/>
        <w:jc w:val="left"/>
        <w:rPr>
          <w:sz w:val="18"/>
        </w:rPr>
        <w:sectPr>
          <w:headerReference w:type="even" r:id="rId281"/>
          <w:headerReference w:type="default" r:id="rId282"/>
          <w:pgSz w:w="7640" w:h="11900"/>
          <w:pgMar w:header="672" w:footer="0" w:top="860" w:bottom="280" w:left="780" w:right="640"/>
        </w:sectPr>
      </w:pPr>
    </w:p>
    <w:p>
      <w:pPr>
        <w:pStyle w:val="BodyText"/>
        <w:spacing w:before="8"/>
        <w:rPr>
          <w:sz w:val="8"/>
        </w:rPr>
      </w:pPr>
    </w:p>
    <w:p>
      <w:pPr>
        <w:spacing w:before="71"/>
        <w:ind w:left="100" w:right="25" w:firstLine="0"/>
        <w:jc w:val="left"/>
        <w:rPr>
          <w:i/>
          <w:sz w:val="18"/>
        </w:rPr>
      </w:pPr>
      <w:r>
        <w:rPr>
          <w:color w:val="231F20"/>
          <w:sz w:val="18"/>
        </w:rPr>
        <w:t>Gandásegui hijo, Marco Antonio, 2007, </w:t>
      </w:r>
      <w:r>
        <w:rPr>
          <w:i/>
          <w:color w:val="231F20"/>
          <w:sz w:val="18"/>
        </w:rPr>
        <w:t>Crisis de hegemonía de Estados Unidos,</w:t>
      </w:r>
    </w:p>
    <w:p>
      <w:pPr>
        <w:spacing w:before="13"/>
        <w:ind w:left="340" w:right="25" w:firstLine="0"/>
        <w:jc w:val="left"/>
        <w:rPr>
          <w:sz w:val="18"/>
        </w:rPr>
      </w:pPr>
      <w:r>
        <w:rPr>
          <w:color w:val="231F20"/>
          <w:w w:val="110"/>
          <w:sz w:val="18"/>
        </w:rPr>
        <w:t>México, Siglo XXI  Editores/clacso.</w:t>
      </w:r>
    </w:p>
    <w:p>
      <w:pPr>
        <w:spacing w:line="254" w:lineRule="auto" w:before="13"/>
        <w:ind w:left="340" w:right="118" w:hanging="240"/>
        <w:jc w:val="both"/>
        <w:rPr>
          <w:sz w:val="18"/>
        </w:rPr>
      </w:pPr>
      <w:r>
        <w:rPr>
          <w:color w:val="231F20"/>
          <w:sz w:val="18"/>
        </w:rPr>
        <w:t>Hadjor, Kofi Buenor (coord.), 1988, </w:t>
      </w:r>
      <w:r>
        <w:rPr>
          <w:i/>
          <w:color w:val="231F20"/>
          <w:sz w:val="18"/>
        </w:rPr>
        <w:t>New perspectives in North-South Dialogue: </w:t>
      </w:r>
      <w:r>
        <w:rPr>
          <w:i/>
          <w:color w:val="231F20"/>
          <w:sz w:val="18"/>
        </w:rPr>
        <w:t>essays in honour of Olof Palme, </w:t>
      </w:r>
      <w:r>
        <w:rPr>
          <w:color w:val="231F20"/>
          <w:sz w:val="18"/>
        </w:rPr>
        <w:t>Londres, J. B.   Tauris.</w:t>
      </w:r>
    </w:p>
    <w:p>
      <w:pPr>
        <w:spacing w:before="1"/>
        <w:ind w:left="100" w:right="25" w:firstLine="0"/>
        <w:jc w:val="left"/>
        <w:rPr>
          <w:sz w:val="18"/>
        </w:rPr>
      </w:pPr>
      <w:r>
        <w:rPr>
          <w:color w:val="231F20"/>
          <w:w w:val="105"/>
          <w:sz w:val="18"/>
        </w:rPr>
        <w:t>Hardt, Michael y Antonio Negri, 2000, </w:t>
      </w:r>
      <w:r>
        <w:rPr>
          <w:i/>
          <w:color w:val="231F20"/>
          <w:w w:val="105"/>
          <w:sz w:val="18"/>
        </w:rPr>
        <w:t>Imperio, </w:t>
      </w:r>
      <w:r>
        <w:rPr>
          <w:color w:val="231F20"/>
          <w:w w:val="105"/>
          <w:sz w:val="18"/>
        </w:rPr>
        <w:t>Buenos Aires,  Paidós.</w:t>
      </w:r>
    </w:p>
    <w:p>
      <w:pPr>
        <w:spacing w:line="254" w:lineRule="auto" w:before="13"/>
        <w:ind w:left="340" w:right="117" w:hanging="240"/>
        <w:jc w:val="both"/>
        <w:rPr>
          <w:sz w:val="18"/>
        </w:rPr>
      </w:pPr>
      <w:r>
        <w:rPr>
          <w:color w:val="231F20"/>
          <w:sz w:val="18"/>
        </w:rPr>
        <w:t>Hernández,</w:t>
      </w:r>
      <w:r>
        <w:rPr>
          <w:color w:val="231F20"/>
          <w:spacing w:val="-4"/>
          <w:sz w:val="18"/>
        </w:rPr>
        <w:t> </w:t>
      </w:r>
      <w:r>
        <w:rPr>
          <w:color w:val="231F20"/>
          <w:sz w:val="18"/>
        </w:rPr>
        <w:t>Jorge,</w:t>
      </w:r>
      <w:r>
        <w:rPr>
          <w:color w:val="231F20"/>
          <w:spacing w:val="-4"/>
          <w:sz w:val="18"/>
        </w:rPr>
        <w:t> </w:t>
      </w:r>
      <w:r>
        <w:rPr>
          <w:color w:val="231F20"/>
          <w:sz w:val="18"/>
        </w:rPr>
        <w:t>2010,</w:t>
      </w:r>
      <w:r>
        <w:rPr>
          <w:color w:val="231F20"/>
          <w:spacing w:val="-4"/>
          <w:sz w:val="18"/>
        </w:rPr>
        <w:t> </w:t>
      </w:r>
      <w:r>
        <w:rPr>
          <w:i/>
          <w:color w:val="231F20"/>
          <w:sz w:val="18"/>
        </w:rPr>
        <w:t>Estados</w:t>
      </w:r>
      <w:r>
        <w:rPr>
          <w:i/>
          <w:color w:val="231F20"/>
          <w:spacing w:val="-4"/>
          <w:sz w:val="18"/>
        </w:rPr>
        <w:t> </w:t>
      </w:r>
      <w:r>
        <w:rPr>
          <w:i/>
          <w:color w:val="231F20"/>
          <w:sz w:val="18"/>
        </w:rPr>
        <w:t>Unidos.</w:t>
      </w:r>
      <w:r>
        <w:rPr>
          <w:i/>
          <w:color w:val="231F20"/>
          <w:spacing w:val="-4"/>
          <w:sz w:val="18"/>
        </w:rPr>
        <w:t> </w:t>
      </w:r>
      <w:r>
        <w:rPr>
          <w:i/>
          <w:color w:val="231F20"/>
          <w:sz w:val="18"/>
        </w:rPr>
        <w:t>Hegemonía,</w:t>
      </w:r>
      <w:r>
        <w:rPr>
          <w:i/>
          <w:color w:val="231F20"/>
          <w:spacing w:val="-4"/>
          <w:sz w:val="18"/>
        </w:rPr>
        <w:t> </w:t>
      </w:r>
      <w:r>
        <w:rPr>
          <w:i/>
          <w:color w:val="231F20"/>
          <w:sz w:val="18"/>
        </w:rPr>
        <w:t>seguridad</w:t>
      </w:r>
      <w:r>
        <w:rPr>
          <w:i/>
          <w:color w:val="231F20"/>
          <w:spacing w:val="-4"/>
          <w:sz w:val="18"/>
        </w:rPr>
        <w:t> </w:t>
      </w:r>
      <w:r>
        <w:rPr>
          <w:i/>
          <w:color w:val="231F20"/>
          <w:sz w:val="18"/>
        </w:rPr>
        <w:t>nacional</w:t>
      </w:r>
      <w:r>
        <w:rPr>
          <w:i/>
          <w:color w:val="231F20"/>
          <w:spacing w:val="-4"/>
          <w:sz w:val="18"/>
        </w:rPr>
        <w:t> </w:t>
      </w:r>
      <w:r>
        <w:rPr>
          <w:i/>
          <w:color w:val="231F20"/>
          <w:sz w:val="18"/>
        </w:rPr>
        <w:t>y</w:t>
      </w:r>
      <w:r>
        <w:rPr>
          <w:i/>
          <w:color w:val="231F20"/>
          <w:spacing w:val="-4"/>
          <w:sz w:val="18"/>
        </w:rPr>
        <w:t> </w:t>
      </w:r>
      <w:r>
        <w:rPr>
          <w:i/>
          <w:color w:val="231F20"/>
          <w:sz w:val="18"/>
        </w:rPr>
        <w:t>cultura </w:t>
      </w:r>
      <w:r>
        <w:rPr>
          <w:i/>
          <w:color w:val="231F20"/>
          <w:sz w:val="18"/>
        </w:rPr>
        <w:t>política,  </w:t>
      </w:r>
      <w:r>
        <w:rPr>
          <w:color w:val="231F20"/>
          <w:sz w:val="18"/>
        </w:rPr>
        <w:t>La  Habana,  Editorial  de  Ciencias</w:t>
      </w:r>
      <w:r>
        <w:rPr>
          <w:color w:val="231F20"/>
          <w:spacing w:val="34"/>
          <w:sz w:val="18"/>
        </w:rPr>
        <w:t> </w:t>
      </w:r>
      <w:r>
        <w:rPr>
          <w:color w:val="231F20"/>
          <w:sz w:val="18"/>
        </w:rPr>
        <w:t>Sociales.</w:t>
      </w:r>
    </w:p>
    <w:p>
      <w:pPr>
        <w:spacing w:line="254" w:lineRule="auto" w:before="1"/>
        <w:ind w:left="340" w:right="118" w:hanging="240"/>
        <w:jc w:val="both"/>
        <w:rPr>
          <w:sz w:val="18"/>
        </w:rPr>
      </w:pPr>
      <w:r>
        <w:rPr>
          <w:color w:val="231F20"/>
          <w:sz w:val="18"/>
        </w:rPr>
        <w:t>López Castellanos, Nayar y Lucio Oliver Costilla, 2009, </w:t>
      </w:r>
      <w:r>
        <w:rPr>
          <w:i/>
          <w:color w:val="231F20"/>
          <w:sz w:val="18"/>
        </w:rPr>
        <w:t>América Latina y el </w:t>
      </w:r>
      <w:r>
        <w:rPr>
          <w:i/>
          <w:color w:val="231F20"/>
          <w:sz w:val="18"/>
        </w:rPr>
        <w:t>Caribe. Una región en conflicto, </w:t>
      </w:r>
      <w:r>
        <w:rPr>
          <w:color w:val="231F20"/>
          <w:sz w:val="18"/>
        </w:rPr>
        <w:t>México, unam/Plaza y   Valdés.</w:t>
      </w:r>
    </w:p>
    <w:p>
      <w:pPr>
        <w:spacing w:line="254" w:lineRule="auto" w:before="1"/>
        <w:ind w:left="340" w:right="119" w:hanging="240"/>
        <w:jc w:val="both"/>
        <w:rPr>
          <w:sz w:val="18"/>
        </w:rPr>
      </w:pPr>
      <w:r>
        <w:rPr>
          <w:color w:val="231F20"/>
          <w:w w:val="105"/>
          <w:sz w:val="18"/>
        </w:rPr>
        <w:t>Maira Aguirre, Luis, 2006, “Las relaciones entre América Latina y Estados Unidos: balance y perspectivas”, en </w:t>
      </w:r>
      <w:r>
        <w:rPr>
          <w:i/>
          <w:color w:val="231F20"/>
          <w:w w:val="105"/>
          <w:sz w:val="18"/>
        </w:rPr>
        <w:t>Política y movimientos sociales en un </w:t>
      </w:r>
      <w:r>
        <w:rPr>
          <w:i/>
          <w:color w:val="231F20"/>
          <w:sz w:val="18"/>
        </w:rPr>
        <w:t>mundo</w:t>
      </w:r>
      <w:r>
        <w:rPr>
          <w:i/>
          <w:color w:val="231F20"/>
          <w:spacing w:val="-12"/>
          <w:sz w:val="18"/>
        </w:rPr>
        <w:t> </w:t>
      </w:r>
      <w:r>
        <w:rPr>
          <w:i/>
          <w:color w:val="231F20"/>
          <w:sz w:val="18"/>
        </w:rPr>
        <w:t>hegemónico.</w:t>
      </w:r>
      <w:r>
        <w:rPr>
          <w:i/>
          <w:color w:val="231F20"/>
          <w:spacing w:val="-12"/>
          <w:sz w:val="18"/>
        </w:rPr>
        <w:t> </w:t>
      </w:r>
      <w:r>
        <w:rPr>
          <w:i/>
          <w:color w:val="231F20"/>
          <w:sz w:val="18"/>
        </w:rPr>
        <w:t>Lecciones</w:t>
      </w:r>
      <w:r>
        <w:rPr>
          <w:i/>
          <w:color w:val="231F20"/>
          <w:spacing w:val="-12"/>
          <w:sz w:val="18"/>
        </w:rPr>
        <w:t> </w:t>
      </w:r>
      <w:r>
        <w:rPr>
          <w:i/>
          <w:color w:val="231F20"/>
          <w:sz w:val="18"/>
        </w:rPr>
        <w:t>desde</w:t>
      </w:r>
      <w:r>
        <w:rPr>
          <w:i/>
          <w:color w:val="231F20"/>
          <w:spacing w:val="-12"/>
          <w:sz w:val="18"/>
        </w:rPr>
        <w:t> </w:t>
      </w:r>
      <w:r>
        <w:rPr>
          <w:i/>
          <w:color w:val="231F20"/>
          <w:sz w:val="18"/>
        </w:rPr>
        <w:t>África,</w:t>
      </w:r>
      <w:r>
        <w:rPr>
          <w:i/>
          <w:color w:val="231F20"/>
          <w:spacing w:val="-12"/>
          <w:sz w:val="18"/>
        </w:rPr>
        <w:t> </w:t>
      </w:r>
      <w:r>
        <w:rPr>
          <w:i/>
          <w:color w:val="231F20"/>
          <w:sz w:val="18"/>
        </w:rPr>
        <w:t>Asia</w:t>
      </w:r>
      <w:r>
        <w:rPr>
          <w:i/>
          <w:color w:val="231F20"/>
          <w:spacing w:val="-12"/>
          <w:sz w:val="18"/>
        </w:rPr>
        <w:t> </w:t>
      </w:r>
      <w:r>
        <w:rPr>
          <w:i/>
          <w:color w:val="231F20"/>
          <w:sz w:val="18"/>
        </w:rPr>
        <w:t>y</w:t>
      </w:r>
      <w:r>
        <w:rPr>
          <w:i/>
          <w:color w:val="231F20"/>
          <w:spacing w:val="-12"/>
          <w:sz w:val="18"/>
        </w:rPr>
        <w:t> </w:t>
      </w:r>
      <w:r>
        <w:rPr>
          <w:i/>
          <w:color w:val="231F20"/>
          <w:sz w:val="18"/>
        </w:rPr>
        <w:t>América</w:t>
      </w:r>
      <w:r>
        <w:rPr>
          <w:i/>
          <w:color w:val="231F20"/>
          <w:spacing w:val="-12"/>
          <w:sz w:val="18"/>
        </w:rPr>
        <w:t> </w:t>
      </w:r>
      <w:r>
        <w:rPr>
          <w:i/>
          <w:color w:val="231F20"/>
          <w:sz w:val="18"/>
        </w:rPr>
        <w:t>Latina</w:t>
      </w:r>
      <w:r>
        <w:rPr>
          <w:color w:val="231F20"/>
          <w:sz w:val="18"/>
        </w:rPr>
        <w:t>,</w:t>
      </w:r>
      <w:r>
        <w:rPr>
          <w:color w:val="231F20"/>
          <w:spacing w:val="-12"/>
          <w:sz w:val="18"/>
        </w:rPr>
        <w:t> </w:t>
      </w:r>
      <w:r>
        <w:rPr>
          <w:color w:val="231F20"/>
          <w:sz w:val="18"/>
        </w:rPr>
        <w:t>Atilio</w:t>
      </w:r>
      <w:r>
        <w:rPr>
          <w:color w:val="231F20"/>
          <w:spacing w:val="-12"/>
          <w:sz w:val="18"/>
        </w:rPr>
        <w:t> </w:t>
      </w:r>
      <w:r>
        <w:rPr>
          <w:color w:val="231F20"/>
          <w:sz w:val="18"/>
        </w:rPr>
        <w:t>Borón</w:t>
      </w:r>
      <w:r>
        <w:rPr>
          <w:color w:val="231F20"/>
          <w:w w:val="110"/>
          <w:sz w:val="18"/>
        </w:rPr>
        <w:t> </w:t>
      </w:r>
      <w:r>
        <w:rPr>
          <w:color w:val="231F20"/>
          <w:w w:val="105"/>
          <w:sz w:val="18"/>
        </w:rPr>
        <w:t>y Gladys Lechini, Buenos Aires, clacso,  </w:t>
      </w:r>
      <w:r>
        <w:rPr>
          <w:color w:val="231F20"/>
          <w:spacing w:val="34"/>
          <w:w w:val="105"/>
          <w:sz w:val="18"/>
        </w:rPr>
        <w:t> </w:t>
      </w:r>
      <w:r>
        <w:rPr>
          <w:color w:val="231F20"/>
          <w:w w:val="105"/>
          <w:sz w:val="18"/>
        </w:rPr>
        <w:t>37-49.</w:t>
      </w:r>
    </w:p>
    <w:p>
      <w:pPr>
        <w:spacing w:before="1"/>
        <w:ind w:left="100" w:right="25" w:firstLine="0"/>
        <w:jc w:val="left"/>
        <w:rPr>
          <w:sz w:val="18"/>
        </w:rPr>
      </w:pPr>
      <w:r>
        <w:rPr>
          <w:color w:val="231F20"/>
          <w:sz w:val="18"/>
        </w:rPr>
        <w:t>Nye, Joseph, 2003, </w:t>
      </w:r>
      <w:r>
        <w:rPr>
          <w:i/>
          <w:color w:val="231F20"/>
          <w:sz w:val="18"/>
        </w:rPr>
        <w:t>Las paradojas del poder estadunidense, </w:t>
      </w:r>
      <w:r>
        <w:rPr>
          <w:color w:val="231F20"/>
          <w:sz w:val="18"/>
        </w:rPr>
        <w:t>Madrid,    Taurus.</w:t>
      </w:r>
    </w:p>
    <w:p>
      <w:pPr>
        <w:spacing w:line="254" w:lineRule="auto" w:before="13"/>
        <w:ind w:left="340" w:right="117" w:hanging="240"/>
        <w:jc w:val="both"/>
        <w:rPr>
          <w:sz w:val="18"/>
        </w:rPr>
      </w:pPr>
      <w:r>
        <w:rPr>
          <w:color w:val="231F20"/>
          <w:sz w:val="18"/>
        </w:rPr>
        <w:t>Ojeda Gómez, Mario, 2007, </w:t>
      </w:r>
      <w:r>
        <w:rPr>
          <w:i/>
          <w:color w:val="231F20"/>
          <w:sz w:val="18"/>
        </w:rPr>
        <w:t>Retrospección de Contadora. Los esfuerzos de México </w:t>
      </w:r>
      <w:r>
        <w:rPr>
          <w:i/>
          <w:color w:val="231F20"/>
          <w:sz w:val="18"/>
        </w:rPr>
        <w:t>para la paz en Centroamérica (1983-1985), </w:t>
      </w:r>
      <w:r>
        <w:rPr>
          <w:color w:val="231F20"/>
          <w:sz w:val="18"/>
        </w:rPr>
        <w:t>México, El Colegio de México, Centro   de   Estudios   Internacionales.</w:t>
      </w:r>
    </w:p>
    <w:p>
      <w:pPr>
        <w:spacing w:line="254" w:lineRule="auto" w:before="1"/>
        <w:ind w:left="340" w:right="117" w:hanging="240"/>
        <w:jc w:val="both"/>
        <w:rPr>
          <w:sz w:val="18"/>
        </w:rPr>
      </w:pPr>
      <w:r>
        <w:rPr>
          <w:color w:val="231F20"/>
          <w:sz w:val="18"/>
        </w:rPr>
        <w:t>Osorio, Jaime, 2004, </w:t>
      </w:r>
      <w:r>
        <w:rPr>
          <w:i/>
          <w:color w:val="231F20"/>
          <w:sz w:val="18"/>
        </w:rPr>
        <w:t>El Estado en el centro de la mundialización, </w:t>
      </w:r>
      <w:r>
        <w:rPr>
          <w:color w:val="231F20"/>
          <w:sz w:val="18"/>
        </w:rPr>
        <w:t>México, Fondo de   Cultura  Económica.</w:t>
      </w:r>
    </w:p>
    <w:p>
      <w:pPr>
        <w:spacing w:line="254" w:lineRule="auto" w:before="1"/>
        <w:ind w:left="340" w:right="117" w:hanging="240"/>
        <w:jc w:val="both"/>
        <w:rPr>
          <w:sz w:val="18"/>
        </w:rPr>
      </w:pPr>
      <w:r>
        <w:rPr>
          <w:color w:val="231F20"/>
          <w:sz w:val="18"/>
        </w:rPr>
        <w:t>Rojas Aravena, Francisco, 2011, </w:t>
      </w:r>
      <w:r>
        <w:rPr>
          <w:i/>
          <w:color w:val="231F20"/>
          <w:sz w:val="18"/>
        </w:rPr>
        <w:t>América Latina y el Caribe; multilateralismo    </w:t>
      </w:r>
      <w:r>
        <w:rPr>
          <w:i/>
          <w:color w:val="231F20"/>
          <w:sz w:val="18"/>
        </w:rPr>
        <w:t>vs.</w:t>
      </w:r>
      <w:r>
        <w:rPr>
          <w:i/>
          <w:color w:val="231F20"/>
          <w:spacing w:val="-7"/>
          <w:sz w:val="18"/>
        </w:rPr>
        <w:t> </w:t>
      </w:r>
      <w:r>
        <w:rPr>
          <w:i/>
          <w:color w:val="231F20"/>
          <w:sz w:val="18"/>
        </w:rPr>
        <w:t>soberanía:</w:t>
      </w:r>
      <w:r>
        <w:rPr>
          <w:i/>
          <w:color w:val="231F20"/>
          <w:spacing w:val="-7"/>
          <w:sz w:val="18"/>
        </w:rPr>
        <w:t> </w:t>
      </w:r>
      <w:r>
        <w:rPr>
          <w:i/>
          <w:color w:val="231F20"/>
          <w:sz w:val="18"/>
        </w:rPr>
        <w:t>La</w:t>
      </w:r>
      <w:r>
        <w:rPr>
          <w:i/>
          <w:color w:val="231F20"/>
          <w:spacing w:val="-7"/>
          <w:sz w:val="18"/>
        </w:rPr>
        <w:t> </w:t>
      </w:r>
      <w:r>
        <w:rPr>
          <w:i/>
          <w:color w:val="231F20"/>
          <w:sz w:val="18"/>
        </w:rPr>
        <w:t>construcción</w:t>
      </w:r>
      <w:r>
        <w:rPr>
          <w:i/>
          <w:color w:val="231F20"/>
          <w:spacing w:val="-7"/>
          <w:sz w:val="18"/>
        </w:rPr>
        <w:t> </w:t>
      </w:r>
      <w:r>
        <w:rPr>
          <w:i/>
          <w:color w:val="231F20"/>
          <w:sz w:val="18"/>
        </w:rPr>
        <w:t>de</w:t>
      </w:r>
      <w:r>
        <w:rPr>
          <w:i/>
          <w:color w:val="231F20"/>
          <w:spacing w:val="-7"/>
          <w:sz w:val="18"/>
        </w:rPr>
        <w:t> </w:t>
      </w:r>
      <w:r>
        <w:rPr>
          <w:i/>
          <w:color w:val="231F20"/>
          <w:sz w:val="18"/>
        </w:rPr>
        <w:t>la</w:t>
      </w:r>
      <w:r>
        <w:rPr>
          <w:i/>
          <w:color w:val="231F20"/>
          <w:spacing w:val="-7"/>
          <w:sz w:val="18"/>
        </w:rPr>
        <w:t> </w:t>
      </w:r>
      <w:r>
        <w:rPr>
          <w:i/>
          <w:color w:val="231F20"/>
          <w:sz w:val="18"/>
        </w:rPr>
        <w:t>Comunidad</w:t>
      </w:r>
      <w:r>
        <w:rPr>
          <w:i/>
          <w:color w:val="231F20"/>
          <w:spacing w:val="-7"/>
          <w:sz w:val="18"/>
        </w:rPr>
        <w:t> </w:t>
      </w:r>
      <w:r>
        <w:rPr>
          <w:i/>
          <w:color w:val="231F20"/>
          <w:sz w:val="18"/>
        </w:rPr>
        <w:t>de</w:t>
      </w:r>
      <w:r>
        <w:rPr>
          <w:i/>
          <w:color w:val="231F20"/>
          <w:spacing w:val="-7"/>
          <w:sz w:val="18"/>
        </w:rPr>
        <w:t> </w:t>
      </w:r>
      <w:r>
        <w:rPr>
          <w:i/>
          <w:color w:val="231F20"/>
          <w:sz w:val="18"/>
        </w:rPr>
        <w:t>Estados</w:t>
      </w:r>
      <w:r>
        <w:rPr>
          <w:i/>
          <w:color w:val="231F20"/>
          <w:spacing w:val="-7"/>
          <w:sz w:val="18"/>
        </w:rPr>
        <w:t> </w:t>
      </w:r>
      <w:r>
        <w:rPr>
          <w:i/>
          <w:color w:val="231F20"/>
          <w:sz w:val="18"/>
        </w:rPr>
        <w:t>Latinoamericanos</w:t>
      </w:r>
      <w:r>
        <w:rPr>
          <w:i/>
          <w:color w:val="231F20"/>
          <w:spacing w:val="-7"/>
          <w:sz w:val="18"/>
        </w:rPr>
        <w:t> </w:t>
      </w:r>
      <w:r>
        <w:rPr>
          <w:i/>
          <w:color w:val="231F20"/>
          <w:sz w:val="18"/>
        </w:rPr>
        <w:t>y Caribeños,  </w:t>
      </w:r>
      <w:r>
        <w:rPr>
          <w:color w:val="231F20"/>
          <w:sz w:val="18"/>
        </w:rPr>
        <w:t>Buenos  Aires,  </w:t>
      </w:r>
      <w:r>
        <w:rPr>
          <w:color w:val="231F20"/>
          <w:spacing w:val="3"/>
          <w:sz w:val="18"/>
        </w:rPr>
        <w:t> </w:t>
      </w:r>
      <w:r>
        <w:rPr>
          <w:color w:val="231F20"/>
          <w:w w:val="105"/>
          <w:sz w:val="18"/>
        </w:rPr>
        <w:t>Teseo/flacso.</w:t>
      </w:r>
    </w:p>
    <w:p>
      <w:pPr>
        <w:spacing w:line="254" w:lineRule="auto" w:before="1"/>
        <w:ind w:left="340" w:right="117" w:hanging="240"/>
        <w:jc w:val="both"/>
        <w:rPr>
          <w:sz w:val="18"/>
        </w:rPr>
      </w:pPr>
      <w:r>
        <w:rPr>
          <w:color w:val="231F20"/>
          <w:w w:val="105"/>
          <w:sz w:val="18"/>
        </w:rPr>
        <w:t>Salinas Figueredo, Darío, 2004, “Terrorismo y seguridad: reflexiones desde América</w:t>
      </w:r>
      <w:r>
        <w:rPr>
          <w:color w:val="231F20"/>
          <w:spacing w:val="-8"/>
          <w:w w:val="105"/>
          <w:sz w:val="18"/>
        </w:rPr>
        <w:t> </w:t>
      </w:r>
      <w:r>
        <w:rPr>
          <w:color w:val="231F20"/>
          <w:w w:val="105"/>
          <w:sz w:val="18"/>
        </w:rPr>
        <w:t>Latina”,</w:t>
      </w:r>
      <w:r>
        <w:rPr>
          <w:color w:val="231F20"/>
          <w:spacing w:val="-8"/>
          <w:w w:val="105"/>
          <w:sz w:val="18"/>
        </w:rPr>
        <w:t> </w:t>
      </w:r>
      <w:r>
        <w:rPr>
          <w:color w:val="231F20"/>
          <w:w w:val="105"/>
          <w:sz w:val="18"/>
        </w:rPr>
        <w:t>en</w:t>
      </w:r>
      <w:r>
        <w:rPr>
          <w:color w:val="231F20"/>
          <w:spacing w:val="-8"/>
          <w:w w:val="105"/>
          <w:sz w:val="18"/>
        </w:rPr>
        <w:t> </w:t>
      </w:r>
      <w:r>
        <w:rPr>
          <w:i/>
          <w:color w:val="231F20"/>
          <w:w w:val="105"/>
          <w:sz w:val="18"/>
        </w:rPr>
        <w:t>La</w:t>
      </w:r>
      <w:r>
        <w:rPr>
          <w:i/>
          <w:color w:val="231F20"/>
          <w:spacing w:val="-8"/>
          <w:w w:val="105"/>
          <w:sz w:val="18"/>
        </w:rPr>
        <w:t> </w:t>
      </w:r>
      <w:r>
        <w:rPr>
          <w:i/>
          <w:color w:val="231F20"/>
          <w:w w:val="105"/>
          <w:sz w:val="18"/>
        </w:rPr>
        <w:t>Seguridad</w:t>
      </w:r>
      <w:r>
        <w:rPr>
          <w:i/>
          <w:color w:val="231F20"/>
          <w:spacing w:val="-8"/>
          <w:w w:val="105"/>
          <w:sz w:val="18"/>
        </w:rPr>
        <w:t> </w:t>
      </w:r>
      <w:r>
        <w:rPr>
          <w:i/>
          <w:color w:val="231F20"/>
          <w:w w:val="105"/>
          <w:sz w:val="18"/>
        </w:rPr>
        <w:t>Nacional</w:t>
      </w:r>
      <w:r>
        <w:rPr>
          <w:i/>
          <w:color w:val="231F20"/>
          <w:spacing w:val="-8"/>
          <w:w w:val="105"/>
          <w:sz w:val="18"/>
        </w:rPr>
        <w:t> </w:t>
      </w:r>
      <w:r>
        <w:rPr>
          <w:i/>
          <w:color w:val="231F20"/>
          <w:w w:val="105"/>
          <w:sz w:val="18"/>
        </w:rPr>
        <w:t>en</w:t>
      </w:r>
      <w:r>
        <w:rPr>
          <w:i/>
          <w:color w:val="231F20"/>
          <w:spacing w:val="-8"/>
          <w:w w:val="105"/>
          <w:sz w:val="18"/>
        </w:rPr>
        <w:t> </w:t>
      </w:r>
      <w:r>
        <w:rPr>
          <w:i/>
          <w:color w:val="231F20"/>
          <w:w w:val="105"/>
          <w:sz w:val="18"/>
        </w:rPr>
        <w:t>México</w:t>
      </w:r>
      <w:r>
        <w:rPr>
          <w:color w:val="231F20"/>
          <w:w w:val="105"/>
          <w:sz w:val="18"/>
        </w:rPr>
        <w:t>,</w:t>
      </w:r>
      <w:r>
        <w:rPr>
          <w:color w:val="231F20"/>
          <w:spacing w:val="-8"/>
          <w:w w:val="105"/>
          <w:sz w:val="18"/>
        </w:rPr>
        <w:t> </w:t>
      </w:r>
      <w:r>
        <w:rPr>
          <w:color w:val="231F20"/>
          <w:w w:val="105"/>
          <w:sz w:val="18"/>
        </w:rPr>
        <w:t>de</w:t>
      </w:r>
      <w:r>
        <w:rPr>
          <w:color w:val="231F20"/>
          <w:spacing w:val="-8"/>
          <w:w w:val="105"/>
          <w:sz w:val="18"/>
        </w:rPr>
        <w:t> </w:t>
      </w:r>
      <w:r>
        <w:rPr>
          <w:color w:val="231F20"/>
          <w:w w:val="105"/>
          <w:sz w:val="18"/>
        </w:rPr>
        <w:t>José</w:t>
      </w:r>
      <w:r>
        <w:rPr>
          <w:color w:val="231F20"/>
          <w:spacing w:val="-8"/>
          <w:w w:val="105"/>
          <w:sz w:val="18"/>
        </w:rPr>
        <w:t> </w:t>
      </w:r>
      <w:r>
        <w:rPr>
          <w:color w:val="231F20"/>
          <w:w w:val="105"/>
          <w:sz w:val="18"/>
        </w:rPr>
        <w:t>Luis</w:t>
      </w:r>
      <w:r>
        <w:rPr>
          <w:color w:val="231F20"/>
          <w:spacing w:val="-8"/>
          <w:w w:val="105"/>
          <w:sz w:val="18"/>
        </w:rPr>
        <w:t> </w:t>
      </w:r>
      <w:r>
        <w:rPr>
          <w:color w:val="231F20"/>
          <w:w w:val="105"/>
          <w:sz w:val="18"/>
        </w:rPr>
        <w:t>Piñeyro Piñeyro, México, uam Azcapotzalco:</w:t>
      </w:r>
      <w:r>
        <w:rPr>
          <w:color w:val="231F20"/>
          <w:spacing w:val="26"/>
          <w:w w:val="105"/>
          <w:sz w:val="18"/>
        </w:rPr>
        <w:t> </w:t>
      </w:r>
      <w:r>
        <w:rPr>
          <w:color w:val="231F20"/>
          <w:w w:val="105"/>
          <w:sz w:val="18"/>
        </w:rPr>
        <w:t>155-174.</w:t>
      </w:r>
    </w:p>
    <w:p>
      <w:pPr>
        <w:spacing w:before="1"/>
        <w:ind w:left="100" w:right="25" w:firstLine="0"/>
        <w:jc w:val="left"/>
        <w:rPr>
          <w:sz w:val="18"/>
        </w:rPr>
      </w:pPr>
      <w:r>
        <w:rPr>
          <w:color w:val="231F20"/>
          <w:w w:val="105"/>
          <w:sz w:val="18"/>
        </w:rPr>
        <w:t>The White House, 2010, </w:t>
      </w:r>
      <w:r>
        <w:rPr>
          <w:i/>
          <w:color w:val="231F20"/>
          <w:w w:val="105"/>
          <w:sz w:val="18"/>
        </w:rPr>
        <w:t>National Security Strategy</w:t>
      </w:r>
      <w:r>
        <w:rPr>
          <w:color w:val="231F20"/>
          <w:w w:val="105"/>
          <w:sz w:val="18"/>
        </w:rPr>
        <w:t>, Washington, DC, mayo.</w:t>
      </w:r>
    </w:p>
    <w:p>
      <w:pPr>
        <w:spacing w:line="254" w:lineRule="auto" w:before="13"/>
        <w:ind w:left="340" w:right="119" w:hanging="240"/>
        <w:jc w:val="both"/>
        <w:rPr>
          <w:sz w:val="18"/>
        </w:rPr>
      </w:pPr>
      <w:r>
        <w:rPr>
          <w:color w:val="231F20"/>
          <w:w w:val="104"/>
          <w:sz w:val="18"/>
          <w:u w:val="single" w:color="221E1F"/>
        </w:rPr>
        <w:t> </w:t>
      </w:r>
      <w:r>
        <w:rPr>
          <w:color w:val="231F20"/>
          <w:sz w:val="18"/>
          <w:u w:val="single" w:color="221E1F"/>
        </w:rPr>
        <w:t>       </w:t>
      </w:r>
      <w:r>
        <w:rPr>
          <w:color w:val="231F20"/>
          <w:w w:val="110"/>
          <w:sz w:val="18"/>
        </w:rPr>
        <w:t>, 2002, “The National Security Strategy”, Washington, DC, 17 de sep- tiembre.</w:t>
      </w:r>
    </w:p>
    <w:p>
      <w:pPr>
        <w:tabs>
          <w:tab w:pos="459" w:val="left" w:leader="none"/>
        </w:tabs>
        <w:spacing w:line="254" w:lineRule="auto" w:before="1"/>
        <w:ind w:left="100" w:right="118" w:firstLine="0"/>
        <w:jc w:val="right"/>
        <w:rPr>
          <w:i/>
          <w:sz w:val="18"/>
        </w:rPr>
      </w:pPr>
      <w:r>
        <w:rPr>
          <w:color w:val="231F20"/>
          <w:w w:val="104"/>
          <w:sz w:val="18"/>
          <w:u w:val="single" w:color="221E1F"/>
        </w:rPr>
        <w:t> </w:t>
      </w:r>
      <w:r>
        <w:rPr>
          <w:color w:val="231F20"/>
          <w:sz w:val="18"/>
          <w:u w:val="single" w:color="221E1F"/>
        </w:rPr>
        <w:tab/>
      </w:r>
      <w:r>
        <w:rPr>
          <w:color w:val="231F20"/>
          <w:sz w:val="18"/>
        </w:rPr>
        <w:t>,</w:t>
      </w:r>
      <w:r>
        <w:rPr>
          <w:color w:val="231F20"/>
          <w:spacing w:val="37"/>
          <w:sz w:val="18"/>
        </w:rPr>
        <w:t> </w:t>
      </w:r>
      <w:r>
        <w:rPr>
          <w:color w:val="231F20"/>
          <w:sz w:val="18"/>
        </w:rPr>
        <w:t>2006,</w:t>
      </w:r>
      <w:r>
        <w:rPr>
          <w:color w:val="231F20"/>
          <w:spacing w:val="37"/>
          <w:sz w:val="18"/>
        </w:rPr>
        <w:t> </w:t>
      </w:r>
      <w:r>
        <w:rPr>
          <w:color w:val="231F20"/>
          <w:sz w:val="18"/>
        </w:rPr>
        <w:t>“The</w:t>
      </w:r>
      <w:r>
        <w:rPr>
          <w:color w:val="231F20"/>
          <w:spacing w:val="37"/>
          <w:sz w:val="18"/>
        </w:rPr>
        <w:t> </w:t>
      </w:r>
      <w:r>
        <w:rPr>
          <w:color w:val="231F20"/>
          <w:sz w:val="18"/>
        </w:rPr>
        <w:t>National</w:t>
      </w:r>
      <w:r>
        <w:rPr>
          <w:color w:val="231F20"/>
          <w:spacing w:val="37"/>
          <w:sz w:val="18"/>
        </w:rPr>
        <w:t> </w:t>
      </w:r>
      <w:r>
        <w:rPr>
          <w:color w:val="231F20"/>
          <w:sz w:val="18"/>
        </w:rPr>
        <w:t>Security</w:t>
      </w:r>
      <w:r>
        <w:rPr>
          <w:color w:val="231F20"/>
          <w:spacing w:val="37"/>
          <w:sz w:val="18"/>
        </w:rPr>
        <w:t> </w:t>
      </w:r>
      <w:r>
        <w:rPr>
          <w:color w:val="231F20"/>
          <w:sz w:val="18"/>
        </w:rPr>
        <w:t>Strategy”,</w:t>
      </w:r>
      <w:r>
        <w:rPr>
          <w:color w:val="231F20"/>
          <w:spacing w:val="37"/>
          <w:sz w:val="18"/>
        </w:rPr>
        <w:t> </w:t>
      </w:r>
      <w:r>
        <w:rPr>
          <w:color w:val="231F20"/>
          <w:sz w:val="18"/>
        </w:rPr>
        <w:t>Washington,</w:t>
      </w:r>
      <w:r>
        <w:rPr>
          <w:color w:val="231F20"/>
          <w:spacing w:val="37"/>
          <w:sz w:val="18"/>
        </w:rPr>
        <w:t> </w:t>
      </w:r>
      <w:r>
        <w:rPr>
          <w:color w:val="231F20"/>
          <w:sz w:val="18"/>
        </w:rPr>
        <w:t>DC,</w:t>
      </w:r>
      <w:r>
        <w:rPr>
          <w:color w:val="231F20"/>
          <w:spacing w:val="37"/>
          <w:sz w:val="18"/>
        </w:rPr>
        <w:t> </w:t>
      </w:r>
      <w:r>
        <w:rPr>
          <w:color w:val="231F20"/>
          <w:sz w:val="18"/>
        </w:rPr>
        <w:t>16</w:t>
      </w:r>
      <w:r>
        <w:rPr>
          <w:color w:val="231F20"/>
          <w:spacing w:val="37"/>
          <w:sz w:val="18"/>
        </w:rPr>
        <w:t> </w:t>
      </w:r>
      <w:r>
        <w:rPr>
          <w:color w:val="231F20"/>
          <w:sz w:val="18"/>
        </w:rPr>
        <w:t>de</w:t>
      </w:r>
      <w:r>
        <w:rPr>
          <w:color w:val="231F20"/>
          <w:spacing w:val="37"/>
          <w:sz w:val="18"/>
        </w:rPr>
        <w:t> </w:t>
      </w:r>
      <w:r>
        <w:rPr>
          <w:color w:val="231F20"/>
          <w:sz w:val="18"/>
        </w:rPr>
        <w:t>marzo.</w:t>
      </w:r>
      <w:r>
        <w:rPr>
          <w:color w:val="231F20"/>
          <w:w w:val="108"/>
          <w:sz w:val="18"/>
        </w:rPr>
        <w:t> </w:t>
      </w:r>
      <w:r>
        <w:rPr>
          <w:color w:val="231F20"/>
          <w:sz w:val="18"/>
        </w:rPr>
        <w:t>Velázquez</w:t>
      </w:r>
      <w:r>
        <w:rPr>
          <w:color w:val="231F20"/>
          <w:spacing w:val="30"/>
          <w:sz w:val="18"/>
        </w:rPr>
        <w:t> </w:t>
      </w:r>
      <w:r>
        <w:rPr>
          <w:color w:val="231F20"/>
          <w:sz w:val="18"/>
        </w:rPr>
        <w:t>Elizárraraz,</w:t>
      </w:r>
      <w:r>
        <w:rPr>
          <w:color w:val="231F20"/>
          <w:spacing w:val="30"/>
          <w:sz w:val="18"/>
        </w:rPr>
        <w:t> </w:t>
      </w:r>
      <w:r>
        <w:rPr>
          <w:color w:val="231F20"/>
          <w:sz w:val="18"/>
        </w:rPr>
        <w:t>Juan</w:t>
      </w:r>
      <w:r>
        <w:rPr>
          <w:color w:val="231F20"/>
          <w:spacing w:val="30"/>
          <w:sz w:val="18"/>
        </w:rPr>
        <w:t> </w:t>
      </w:r>
      <w:r>
        <w:rPr>
          <w:color w:val="231F20"/>
          <w:sz w:val="18"/>
        </w:rPr>
        <w:t>Carlos,</w:t>
      </w:r>
      <w:r>
        <w:rPr>
          <w:color w:val="231F20"/>
          <w:spacing w:val="30"/>
          <w:sz w:val="18"/>
        </w:rPr>
        <w:t> </w:t>
      </w:r>
      <w:r>
        <w:rPr>
          <w:color w:val="231F20"/>
          <w:sz w:val="18"/>
        </w:rPr>
        <w:t>2007,</w:t>
      </w:r>
      <w:r>
        <w:rPr>
          <w:color w:val="231F20"/>
          <w:spacing w:val="31"/>
          <w:sz w:val="18"/>
        </w:rPr>
        <w:t> </w:t>
      </w:r>
      <w:r>
        <w:rPr>
          <w:i/>
          <w:color w:val="231F20"/>
          <w:sz w:val="18"/>
        </w:rPr>
        <w:t>El</w:t>
      </w:r>
      <w:r>
        <w:rPr>
          <w:i/>
          <w:color w:val="231F20"/>
          <w:spacing w:val="30"/>
          <w:sz w:val="18"/>
        </w:rPr>
        <w:t> </w:t>
      </w:r>
      <w:r>
        <w:rPr>
          <w:i/>
          <w:color w:val="231F20"/>
          <w:sz w:val="18"/>
        </w:rPr>
        <w:t>estudio</w:t>
      </w:r>
      <w:r>
        <w:rPr>
          <w:i/>
          <w:color w:val="231F20"/>
          <w:spacing w:val="30"/>
          <w:sz w:val="18"/>
        </w:rPr>
        <w:t> </w:t>
      </w:r>
      <w:r>
        <w:rPr>
          <w:i/>
          <w:color w:val="231F20"/>
          <w:sz w:val="18"/>
        </w:rPr>
        <w:t>de</w:t>
      </w:r>
      <w:r>
        <w:rPr>
          <w:i/>
          <w:color w:val="231F20"/>
          <w:spacing w:val="30"/>
          <w:sz w:val="18"/>
        </w:rPr>
        <w:t> </w:t>
      </w:r>
      <w:r>
        <w:rPr>
          <w:i/>
          <w:color w:val="231F20"/>
          <w:sz w:val="18"/>
        </w:rPr>
        <w:t>caso</w:t>
      </w:r>
      <w:r>
        <w:rPr>
          <w:i/>
          <w:color w:val="231F20"/>
          <w:spacing w:val="30"/>
          <w:sz w:val="18"/>
        </w:rPr>
        <w:t> </w:t>
      </w:r>
      <w:r>
        <w:rPr>
          <w:i/>
          <w:color w:val="231F20"/>
          <w:sz w:val="18"/>
        </w:rPr>
        <w:t>en</w:t>
      </w:r>
      <w:r>
        <w:rPr>
          <w:i/>
          <w:color w:val="231F20"/>
          <w:spacing w:val="30"/>
          <w:sz w:val="18"/>
        </w:rPr>
        <w:t> </w:t>
      </w:r>
      <w:r>
        <w:rPr>
          <w:i/>
          <w:color w:val="231F20"/>
          <w:sz w:val="18"/>
        </w:rPr>
        <w:t>las</w:t>
      </w:r>
      <w:r>
        <w:rPr>
          <w:i/>
          <w:color w:val="231F20"/>
          <w:spacing w:val="30"/>
          <w:sz w:val="18"/>
        </w:rPr>
        <w:t> </w:t>
      </w:r>
      <w:r>
        <w:rPr>
          <w:i/>
          <w:color w:val="231F20"/>
          <w:sz w:val="18"/>
        </w:rPr>
        <w:t>relaciones</w:t>
      </w:r>
      <w:r>
        <w:rPr>
          <w:i/>
          <w:color w:val="231F20"/>
          <w:w w:val="90"/>
          <w:sz w:val="18"/>
        </w:rPr>
        <w:t> </w:t>
      </w:r>
      <w:r>
        <w:rPr>
          <w:i/>
          <w:color w:val="231F20"/>
          <w:sz w:val="18"/>
        </w:rPr>
        <w:t>jurídicas</w:t>
      </w:r>
      <w:r>
        <w:rPr>
          <w:i/>
          <w:color w:val="231F20"/>
          <w:spacing w:val="-14"/>
          <w:sz w:val="18"/>
        </w:rPr>
        <w:t> </w:t>
      </w:r>
      <w:r>
        <w:rPr>
          <w:i/>
          <w:color w:val="231F20"/>
          <w:sz w:val="18"/>
        </w:rPr>
        <w:t>internacionales.</w:t>
      </w:r>
      <w:r>
        <w:rPr>
          <w:i/>
          <w:color w:val="231F20"/>
          <w:spacing w:val="-14"/>
          <w:sz w:val="18"/>
        </w:rPr>
        <w:t> </w:t>
      </w:r>
      <w:r>
        <w:rPr>
          <w:i/>
          <w:color w:val="231F20"/>
          <w:sz w:val="18"/>
        </w:rPr>
        <w:t>Modalidades</w:t>
      </w:r>
      <w:r>
        <w:rPr>
          <w:i/>
          <w:color w:val="231F20"/>
          <w:spacing w:val="-14"/>
          <w:sz w:val="18"/>
        </w:rPr>
        <w:t> </w:t>
      </w:r>
      <w:r>
        <w:rPr>
          <w:i/>
          <w:color w:val="231F20"/>
          <w:sz w:val="18"/>
        </w:rPr>
        <w:t>de</w:t>
      </w:r>
      <w:r>
        <w:rPr>
          <w:i/>
          <w:color w:val="231F20"/>
          <w:spacing w:val="-14"/>
          <w:sz w:val="18"/>
        </w:rPr>
        <w:t> </w:t>
      </w:r>
      <w:r>
        <w:rPr>
          <w:i/>
          <w:color w:val="231F20"/>
          <w:sz w:val="18"/>
        </w:rPr>
        <w:t>aplicación</w:t>
      </w:r>
      <w:r>
        <w:rPr>
          <w:i/>
          <w:color w:val="231F20"/>
          <w:spacing w:val="-14"/>
          <w:sz w:val="18"/>
        </w:rPr>
        <w:t> </w:t>
      </w:r>
      <w:r>
        <w:rPr>
          <w:i/>
          <w:color w:val="231F20"/>
          <w:sz w:val="18"/>
        </w:rPr>
        <w:t>del</w:t>
      </w:r>
      <w:r>
        <w:rPr>
          <w:i/>
          <w:color w:val="231F20"/>
          <w:spacing w:val="-14"/>
          <w:sz w:val="18"/>
        </w:rPr>
        <w:t> </w:t>
      </w:r>
      <w:r>
        <w:rPr>
          <w:i/>
          <w:color w:val="231F20"/>
          <w:sz w:val="18"/>
        </w:rPr>
        <w:t>Derecho</w:t>
      </w:r>
      <w:r>
        <w:rPr>
          <w:i/>
          <w:color w:val="231F20"/>
          <w:spacing w:val="-14"/>
          <w:sz w:val="18"/>
        </w:rPr>
        <w:t> </w:t>
      </w:r>
      <w:r>
        <w:rPr>
          <w:i/>
          <w:color w:val="231F20"/>
          <w:sz w:val="18"/>
        </w:rPr>
        <w:t>Internacional,</w:t>
      </w:r>
    </w:p>
    <w:p>
      <w:pPr>
        <w:spacing w:before="1"/>
        <w:ind w:left="340" w:right="25" w:firstLine="0"/>
        <w:jc w:val="left"/>
        <w:rPr>
          <w:sz w:val="18"/>
        </w:rPr>
      </w:pPr>
      <w:r>
        <w:rPr>
          <w:color w:val="231F20"/>
          <w:w w:val="105"/>
          <w:sz w:val="18"/>
        </w:rPr>
        <w:t>México, unam, Facultad de Ciencias Sociales y   Políticas.</w:t>
      </w:r>
    </w:p>
    <w:p>
      <w:pPr>
        <w:spacing w:line="254" w:lineRule="auto" w:before="13"/>
        <w:ind w:left="340" w:right="114" w:hanging="240"/>
        <w:jc w:val="both"/>
        <w:rPr>
          <w:sz w:val="18"/>
        </w:rPr>
      </w:pPr>
      <w:r>
        <w:rPr>
          <w:color w:val="231F20"/>
          <w:sz w:val="18"/>
        </w:rPr>
        <w:t>Wallerstein, Immanuel, 2005, </w:t>
      </w:r>
      <w:r>
        <w:rPr>
          <w:i/>
          <w:color w:val="231F20"/>
          <w:sz w:val="18"/>
        </w:rPr>
        <w:t>La decadencia del poder estadunidense. Estados </w:t>
      </w:r>
      <w:r>
        <w:rPr>
          <w:i/>
          <w:color w:val="231F20"/>
          <w:sz w:val="18"/>
        </w:rPr>
        <w:t>Unidos en un mundo caótico, </w:t>
      </w:r>
      <w:r>
        <w:rPr>
          <w:color w:val="231F20"/>
          <w:sz w:val="18"/>
        </w:rPr>
        <w:t>Santiago de Chile, lom Ediciones.</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1988, “The art of the possible, or the politics of radical transformation”, </w:t>
      </w:r>
      <w:r>
        <w:rPr>
          <w:color w:val="231F20"/>
          <w:sz w:val="18"/>
        </w:rPr>
        <w:t>en </w:t>
      </w:r>
      <w:r>
        <w:rPr>
          <w:i/>
          <w:color w:val="231F20"/>
          <w:sz w:val="18"/>
        </w:rPr>
        <w:t>New Perspectives in North-South Dialogue. Essays in honour of Olof Palme</w:t>
      </w:r>
      <w:r>
        <w:rPr>
          <w:color w:val="231F20"/>
          <w:sz w:val="18"/>
        </w:rPr>
        <w:t>, </w:t>
      </w:r>
      <w:r>
        <w:rPr>
          <w:color w:val="231F20"/>
          <w:w w:val="105"/>
          <w:sz w:val="18"/>
        </w:rPr>
        <w:t>Kofi Buenor Hadjor,  Londres, I. B. Tauris:   38-45.</w:t>
      </w:r>
    </w:p>
    <w:p>
      <w:pPr>
        <w:spacing w:line="254" w:lineRule="auto" w:before="1"/>
        <w:ind w:left="340" w:right="114" w:hanging="240"/>
        <w:jc w:val="both"/>
        <w:rPr>
          <w:sz w:val="18"/>
        </w:rPr>
      </w:pPr>
      <w:r>
        <w:rPr>
          <w:color w:val="231F20"/>
          <w:spacing w:val="-3"/>
          <w:w w:val="105"/>
          <w:sz w:val="18"/>
        </w:rPr>
        <w:t>World</w:t>
      </w:r>
      <w:r>
        <w:rPr>
          <w:color w:val="231F20"/>
          <w:spacing w:val="-6"/>
          <w:w w:val="105"/>
          <w:sz w:val="18"/>
        </w:rPr>
        <w:t> </w:t>
      </w:r>
      <w:r>
        <w:rPr>
          <w:color w:val="231F20"/>
          <w:w w:val="105"/>
          <w:sz w:val="18"/>
        </w:rPr>
        <w:t>Data</w:t>
      </w:r>
      <w:r>
        <w:rPr>
          <w:color w:val="231F20"/>
          <w:spacing w:val="-6"/>
          <w:w w:val="105"/>
          <w:sz w:val="18"/>
        </w:rPr>
        <w:t> </w:t>
      </w:r>
      <w:r>
        <w:rPr>
          <w:color w:val="231F20"/>
          <w:w w:val="105"/>
          <w:sz w:val="18"/>
        </w:rPr>
        <w:t>Bank,</w:t>
      </w:r>
      <w:r>
        <w:rPr>
          <w:color w:val="231F20"/>
          <w:spacing w:val="-6"/>
          <w:w w:val="105"/>
          <w:sz w:val="18"/>
        </w:rPr>
        <w:t> </w:t>
      </w:r>
      <w:r>
        <w:rPr>
          <w:color w:val="231F20"/>
          <w:w w:val="105"/>
          <w:sz w:val="18"/>
        </w:rPr>
        <w:t>2011,</w:t>
      </w:r>
      <w:r>
        <w:rPr>
          <w:color w:val="231F20"/>
          <w:spacing w:val="-5"/>
          <w:w w:val="105"/>
          <w:sz w:val="18"/>
        </w:rPr>
        <w:t> </w:t>
      </w:r>
      <w:r>
        <w:rPr>
          <w:i/>
          <w:color w:val="231F20"/>
          <w:w w:val="105"/>
          <w:sz w:val="18"/>
        </w:rPr>
        <w:t>World</w:t>
      </w:r>
      <w:r>
        <w:rPr>
          <w:i/>
          <w:color w:val="231F20"/>
          <w:spacing w:val="-6"/>
          <w:w w:val="105"/>
          <w:sz w:val="18"/>
        </w:rPr>
        <w:t> </w:t>
      </w:r>
      <w:r>
        <w:rPr>
          <w:i/>
          <w:color w:val="231F20"/>
          <w:w w:val="105"/>
          <w:sz w:val="18"/>
        </w:rPr>
        <w:t>Development</w:t>
      </w:r>
      <w:r>
        <w:rPr>
          <w:i/>
          <w:color w:val="231F20"/>
          <w:spacing w:val="-6"/>
          <w:w w:val="105"/>
          <w:sz w:val="18"/>
        </w:rPr>
        <w:t> </w:t>
      </w:r>
      <w:r>
        <w:rPr>
          <w:i/>
          <w:color w:val="231F20"/>
          <w:w w:val="105"/>
          <w:sz w:val="18"/>
        </w:rPr>
        <w:t>Indicators</w:t>
      </w:r>
      <w:r>
        <w:rPr>
          <w:i/>
          <w:color w:val="231F20"/>
          <w:spacing w:val="-6"/>
          <w:w w:val="105"/>
          <w:sz w:val="18"/>
        </w:rPr>
        <w:t> </w:t>
      </w:r>
      <w:r>
        <w:rPr>
          <w:i/>
          <w:color w:val="231F20"/>
          <w:w w:val="105"/>
          <w:sz w:val="18"/>
        </w:rPr>
        <w:t>&amp;</w:t>
      </w:r>
      <w:r>
        <w:rPr>
          <w:i/>
          <w:color w:val="231F20"/>
          <w:spacing w:val="-6"/>
          <w:w w:val="105"/>
          <w:sz w:val="18"/>
        </w:rPr>
        <w:t> </w:t>
      </w:r>
      <w:r>
        <w:rPr>
          <w:i/>
          <w:color w:val="231F20"/>
          <w:w w:val="105"/>
          <w:sz w:val="18"/>
        </w:rPr>
        <w:t>Global</w:t>
      </w:r>
      <w:r>
        <w:rPr>
          <w:i/>
          <w:color w:val="231F20"/>
          <w:spacing w:val="-6"/>
          <w:w w:val="105"/>
          <w:sz w:val="18"/>
        </w:rPr>
        <w:t> </w:t>
      </w:r>
      <w:r>
        <w:rPr>
          <w:i/>
          <w:color w:val="231F20"/>
          <w:w w:val="105"/>
          <w:sz w:val="18"/>
        </w:rPr>
        <w:t>Development </w:t>
      </w:r>
      <w:r>
        <w:rPr>
          <w:i/>
          <w:color w:val="231F20"/>
          <w:w w:val="105"/>
          <w:sz w:val="18"/>
        </w:rPr>
        <w:t>Finance, </w:t>
      </w:r>
      <w:r>
        <w:rPr>
          <w:color w:val="231F20"/>
          <w:w w:val="105"/>
          <w:sz w:val="18"/>
        </w:rPr>
        <w:t>&lt;</w:t>
      </w:r>
      <w:hyperlink r:id="rId283">
        <w:r>
          <w:rPr>
            <w:color w:val="231F20"/>
            <w:w w:val="105"/>
            <w:sz w:val="18"/>
          </w:rPr>
          <w:t>http://databank.worldbank.org/ddp/home.do?Step=2&amp;id=4&amp;</w:t>
        </w:r>
      </w:hyperlink>
      <w:r>
        <w:rPr>
          <w:color w:val="231F20"/>
          <w:w w:val="105"/>
          <w:sz w:val="18"/>
        </w:rPr>
        <w:t> hActiveDimensionId=WDI_Series&gt;, 26 de</w:t>
      </w:r>
      <w:r>
        <w:rPr>
          <w:color w:val="231F20"/>
          <w:spacing w:val="36"/>
          <w:w w:val="105"/>
          <w:sz w:val="18"/>
        </w:rPr>
        <w:t> </w:t>
      </w:r>
      <w:r>
        <w:rPr>
          <w:color w:val="231F20"/>
          <w:w w:val="105"/>
          <w:sz w:val="18"/>
        </w:rPr>
        <w:t>abril.</w:t>
      </w:r>
    </w:p>
    <w:p>
      <w:pPr>
        <w:spacing w:line="254" w:lineRule="auto" w:before="1"/>
        <w:ind w:left="340" w:right="119" w:hanging="240"/>
        <w:jc w:val="both"/>
        <w:rPr>
          <w:sz w:val="18"/>
        </w:rPr>
      </w:pPr>
      <w:r>
        <w:rPr>
          <w:color w:val="231F20"/>
          <w:sz w:val="18"/>
        </w:rPr>
        <w:t>Zamudio González, Laura, 2007, </w:t>
      </w:r>
      <w:r>
        <w:rPr>
          <w:i/>
          <w:color w:val="231F20"/>
          <w:sz w:val="18"/>
        </w:rPr>
        <w:t>Pacificadores vs. oportunistas. La difícil imple- </w:t>
      </w:r>
      <w:r>
        <w:rPr>
          <w:i/>
          <w:color w:val="231F20"/>
          <w:sz w:val="18"/>
        </w:rPr>
        <w:t>mentación de un acuerdo de paz, el caso de El Salvador 1992-1994, </w:t>
      </w:r>
      <w:r>
        <w:rPr>
          <w:color w:val="231F20"/>
          <w:sz w:val="18"/>
        </w:rPr>
        <w:t>México, Universidad     Iberoamericana.</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2441"/>
        <w:rPr>
          <w:sz w:val="13"/>
        </w:rPr>
      </w:pPr>
      <w:r>
        <w:rPr>
          <w:color w:val="231F20"/>
        </w:rPr>
        <w:t>OBAMA CONTRA NUESTRA AMÉRICA:</w:t>
      </w:r>
      <w:r>
        <w:rPr>
          <w:color w:val="231F20"/>
          <w:w w:val="97"/>
        </w:rPr>
        <w:t> </w:t>
      </w:r>
      <w:r>
        <w:rPr>
          <w:color w:val="231F20"/>
        </w:rPr>
        <w:t>LO NUEVO Y LO  VIEJO</w:t>
      </w:r>
      <w:r>
        <w:rPr>
          <w:color w:val="231F20"/>
          <w:position w:val="6"/>
          <w:sz w:val="13"/>
        </w:rPr>
        <w:t>1</w:t>
      </w:r>
    </w:p>
    <w:p>
      <w:pPr>
        <w:pStyle w:val="BodyText"/>
        <w:spacing w:before="10"/>
        <w:rPr>
          <w:sz w:val="15"/>
        </w:rPr>
      </w:pPr>
    </w:p>
    <w:p>
      <w:pPr>
        <w:pStyle w:val="BodyText"/>
        <w:spacing w:before="67"/>
        <w:ind w:left="73" w:right="119"/>
        <w:jc w:val="right"/>
      </w:pPr>
      <w:r>
        <w:rPr>
          <w:color w:val="231F20"/>
          <w:w w:val="130"/>
        </w:rPr>
        <w:t>luis suárez salazar</w:t>
      </w:r>
    </w:p>
    <w:p>
      <w:pPr>
        <w:pStyle w:val="BodyText"/>
      </w:pPr>
    </w:p>
    <w:p>
      <w:pPr>
        <w:pStyle w:val="BodyText"/>
      </w:pPr>
    </w:p>
    <w:p>
      <w:pPr>
        <w:pStyle w:val="BodyText"/>
        <w:spacing w:before="1"/>
        <w:rPr>
          <w:sz w:val="21"/>
        </w:rPr>
      </w:pPr>
    </w:p>
    <w:p>
      <w:pPr>
        <w:pStyle w:val="BodyText"/>
        <w:spacing w:before="67"/>
        <w:ind w:left="100"/>
        <w:jc w:val="both"/>
      </w:pPr>
      <w:r>
        <w:rPr>
          <w:color w:val="231F20"/>
          <w:w w:val="130"/>
        </w:rPr>
        <w:t>introducción</w:t>
      </w:r>
    </w:p>
    <w:p>
      <w:pPr>
        <w:pStyle w:val="BodyText"/>
        <w:spacing w:before="5"/>
        <w:rPr>
          <w:sz w:val="23"/>
        </w:rPr>
      </w:pPr>
    </w:p>
    <w:p>
      <w:pPr>
        <w:pStyle w:val="BodyText"/>
        <w:spacing w:line="261" w:lineRule="auto"/>
        <w:ind w:left="100" w:right="117"/>
        <w:jc w:val="both"/>
      </w:pPr>
      <w:r>
        <w:rPr>
          <w:color w:val="231F20"/>
          <w:w w:val="110"/>
        </w:rPr>
        <w:t>Este ensayo va dirigido a realizar una valoración crítica de las lla- madas “estrategias inteligentes” (una nueva combinación entre los instrumentos del </w:t>
      </w:r>
      <w:r>
        <w:rPr>
          <w:i/>
          <w:color w:val="231F20"/>
          <w:w w:val="110"/>
        </w:rPr>
        <w:t>hard </w:t>
      </w:r>
      <w:r>
        <w:rPr>
          <w:color w:val="231F20"/>
          <w:w w:val="110"/>
        </w:rPr>
        <w:t>y el </w:t>
      </w:r>
      <w:r>
        <w:rPr>
          <w:i/>
          <w:color w:val="231F20"/>
          <w:w w:val="110"/>
        </w:rPr>
        <w:t>soft power</w:t>
      </w:r>
      <w:r>
        <w:rPr>
          <w:color w:val="231F20"/>
          <w:w w:val="110"/>
        </w:rPr>
        <w:t>) contra los pueblos y</w:t>
      </w:r>
      <w:r>
        <w:rPr>
          <w:color w:val="231F20"/>
          <w:spacing w:val="-9"/>
          <w:w w:val="110"/>
        </w:rPr>
        <w:t> </w:t>
      </w:r>
      <w:r>
        <w:rPr>
          <w:color w:val="231F20"/>
          <w:w w:val="110"/>
        </w:rPr>
        <w:t>naciones de América Latina y el Caribe emprendidas durante sus primeros dos</w:t>
      </w:r>
      <w:r>
        <w:rPr>
          <w:color w:val="231F20"/>
          <w:spacing w:val="-31"/>
          <w:w w:val="110"/>
        </w:rPr>
        <w:t> </w:t>
      </w:r>
      <w:r>
        <w:rPr>
          <w:color w:val="231F20"/>
          <w:w w:val="110"/>
        </w:rPr>
        <w:t>años</w:t>
      </w:r>
      <w:r>
        <w:rPr>
          <w:color w:val="231F20"/>
          <w:spacing w:val="-31"/>
          <w:w w:val="110"/>
        </w:rPr>
        <w:t> </w:t>
      </w:r>
      <w:r>
        <w:rPr>
          <w:color w:val="231F20"/>
          <w:w w:val="110"/>
        </w:rPr>
        <w:t>por</w:t>
      </w:r>
      <w:r>
        <w:rPr>
          <w:color w:val="231F20"/>
          <w:spacing w:val="-31"/>
          <w:w w:val="110"/>
        </w:rPr>
        <w:t> </w:t>
      </w:r>
      <w:r>
        <w:rPr>
          <w:color w:val="231F20"/>
          <w:w w:val="110"/>
        </w:rPr>
        <w:t>el</w:t>
      </w:r>
      <w:r>
        <w:rPr>
          <w:color w:val="231F20"/>
          <w:spacing w:val="-31"/>
          <w:w w:val="110"/>
        </w:rPr>
        <w:t> </w:t>
      </w:r>
      <w:r>
        <w:rPr>
          <w:i/>
          <w:color w:val="231F20"/>
          <w:w w:val="110"/>
        </w:rPr>
        <w:t>gobierno</w:t>
      </w:r>
      <w:r>
        <w:rPr>
          <w:i/>
          <w:color w:val="231F20"/>
          <w:spacing w:val="-31"/>
          <w:w w:val="110"/>
        </w:rPr>
        <w:t> </w:t>
      </w:r>
      <w:r>
        <w:rPr>
          <w:i/>
          <w:color w:val="231F20"/>
          <w:w w:val="110"/>
        </w:rPr>
        <w:t>temporal</w:t>
      </w:r>
      <w:r>
        <w:rPr>
          <w:i/>
          <w:color w:val="231F20"/>
          <w:spacing w:val="-31"/>
          <w:w w:val="110"/>
        </w:rPr>
        <w:t> </w:t>
      </w:r>
      <w:r>
        <w:rPr>
          <w:color w:val="231F20"/>
          <w:w w:val="110"/>
        </w:rPr>
        <w:t>del</w:t>
      </w:r>
      <w:r>
        <w:rPr>
          <w:color w:val="231F20"/>
          <w:spacing w:val="-31"/>
          <w:w w:val="110"/>
        </w:rPr>
        <w:t> </w:t>
      </w:r>
      <w:r>
        <w:rPr>
          <w:color w:val="231F20"/>
          <w:w w:val="110"/>
        </w:rPr>
        <w:t>demócrata-liberal</w:t>
      </w:r>
      <w:r>
        <w:rPr>
          <w:color w:val="231F20"/>
          <w:spacing w:val="-31"/>
          <w:w w:val="110"/>
        </w:rPr>
        <w:t> </w:t>
      </w:r>
      <w:r>
        <w:rPr>
          <w:color w:val="231F20"/>
          <w:w w:val="110"/>
        </w:rPr>
        <w:t>estadunidense Barack Obama.</w:t>
      </w:r>
      <w:r>
        <w:rPr>
          <w:color w:val="231F20"/>
          <w:w w:val="110"/>
          <w:position w:val="6"/>
          <w:sz w:val="13"/>
        </w:rPr>
        <w:t>2 </w:t>
      </w:r>
      <w:r>
        <w:rPr>
          <w:color w:val="231F20"/>
          <w:spacing w:val="-3"/>
          <w:w w:val="110"/>
        </w:rPr>
        <w:t>También </w:t>
      </w:r>
      <w:r>
        <w:rPr>
          <w:color w:val="231F20"/>
          <w:w w:val="110"/>
        </w:rPr>
        <w:t>a presentar algunas anticipaciones de las políticas hacia “el sur” del continente americano que éste</w:t>
      </w:r>
      <w:r>
        <w:rPr>
          <w:color w:val="231F20"/>
          <w:spacing w:val="-33"/>
          <w:w w:val="110"/>
        </w:rPr>
        <w:t> </w:t>
      </w:r>
      <w:r>
        <w:rPr>
          <w:color w:val="231F20"/>
          <w:w w:val="110"/>
        </w:rPr>
        <w:t>emprende- rá hasta el final de su primer </w:t>
      </w:r>
      <w:r>
        <w:rPr>
          <w:color w:val="231F20"/>
          <w:spacing w:val="-8"/>
          <w:w w:val="110"/>
        </w:rPr>
        <w:t>y, </w:t>
      </w:r>
      <w:r>
        <w:rPr>
          <w:color w:val="231F20"/>
          <w:w w:val="110"/>
        </w:rPr>
        <w:t>quizá, único </w:t>
      </w:r>
      <w:r>
        <w:rPr>
          <w:color w:val="231F20"/>
          <w:spacing w:val="37"/>
          <w:w w:val="110"/>
        </w:rPr>
        <w:t> </w:t>
      </w:r>
      <w:r>
        <w:rPr>
          <w:color w:val="231F20"/>
          <w:w w:val="110"/>
        </w:rPr>
        <w:t>mandato.</w:t>
      </w:r>
    </w:p>
    <w:p>
      <w:pPr>
        <w:pStyle w:val="BodyText"/>
        <w:spacing w:line="261" w:lineRule="auto"/>
        <w:ind w:left="100" w:right="116" w:firstLine="240"/>
        <w:jc w:val="both"/>
      </w:pPr>
      <w:r>
        <w:rPr>
          <w:color w:val="231F20"/>
          <w:w w:val="110"/>
        </w:rPr>
        <w:t>Sin desconocer la ruptura que su elección significó en la historia racista y en otras dimensiones de la </w:t>
      </w:r>
      <w:r>
        <w:rPr>
          <w:i/>
          <w:color w:val="231F20"/>
          <w:w w:val="110"/>
        </w:rPr>
        <w:t>proyección externa </w:t>
      </w:r>
      <w:r>
        <w:rPr>
          <w:color w:val="231F20"/>
          <w:w w:val="110"/>
        </w:rPr>
        <w:t>de Estados Unidos,</w:t>
      </w:r>
      <w:r>
        <w:rPr>
          <w:color w:val="231F20"/>
          <w:w w:val="110"/>
          <w:position w:val="6"/>
          <w:sz w:val="13"/>
        </w:rPr>
        <w:t>3</w:t>
      </w:r>
      <w:r>
        <w:rPr>
          <w:color w:val="231F20"/>
          <w:spacing w:val="8"/>
          <w:w w:val="110"/>
          <w:position w:val="6"/>
          <w:sz w:val="13"/>
        </w:rPr>
        <w:t> </w:t>
      </w:r>
      <w:r>
        <w:rPr>
          <w:color w:val="231F20"/>
          <w:w w:val="110"/>
        </w:rPr>
        <w:t>en</w:t>
      </w:r>
      <w:r>
        <w:rPr>
          <w:color w:val="231F20"/>
          <w:spacing w:val="-11"/>
          <w:w w:val="110"/>
        </w:rPr>
        <w:t> </w:t>
      </w:r>
      <w:r>
        <w:rPr>
          <w:color w:val="231F20"/>
          <w:w w:val="110"/>
        </w:rPr>
        <w:t>razón</w:t>
      </w:r>
      <w:r>
        <w:rPr>
          <w:color w:val="231F20"/>
          <w:spacing w:val="-11"/>
          <w:w w:val="110"/>
        </w:rPr>
        <w:t> </w:t>
      </w:r>
      <w:r>
        <w:rPr>
          <w:color w:val="231F20"/>
          <w:w w:val="110"/>
        </w:rPr>
        <w:t>del</w:t>
      </w:r>
      <w:r>
        <w:rPr>
          <w:color w:val="231F20"/>
          <w:spacing w:val="-11"/>
          <w:w w:val="110"/>
        </w:rPr>
        <w:t> </w:t>
      </w:r>
      <w:r>
        <w:rPr>
          <w:color w:val="231F20"/>
          <w:w w:val="110"/>
        </w:rPr>
        <w:t>relativamente</w:t>
      </w:r>
      <w:r>
        <w:rPr>
          <w:color w:val="231F20"/>
          <w:spacing w:val="-11"/>
          <w:w w:val="110"/>
        </w:rPr>
        <w:t> </w:t>
      </w:r>
      <w:r>
        <w:rPr>
          <w:color w:val="231F20"/>
          <w:w w:val="110"/>
        </w:rPr>
        <w:t>inmutable</w:t>
      </w:r>
      <w:r>
        <w:rPr>
          <w:color w:val="231F20"/>
          <w:spacing w:val="-11"/>
          <w:w w:val="110"/>
        </w:rPr>
        <w:t> </w:t>
      </w:r>
      <w:r>
        <w:rPr>
          <w:color w:val="231F20"/>
          <w:w w:val="110"/>
        </w:rPr>
        <w:t>carácter</w:t>
      </w:r>
      <w:r>
        <w:rPr>
          <w:color w:val="231F20"/>
          <w:spacing w:val="-11"/>
          <w:w w:val="110"/>
        </w:rPr>
        <w:t> </w:t>
      </w:r>
      <w:r>
        <w:rPr>
          <w:color w:val="231F20"/>
          <w:w w:val="110"/>
        </w:rPr>
        <w:t>socio-clasista</w:t>
      </w:r>
    </w:p>
    <w:p>
      <w:pPr>
        <w:pStyle w:val="BodyText"/>
      </w:pPr>
    </w:p>
    <w:p>
      <w:pPr>
        <w:pStyle w:val="BodyText"/>
        <w:spacing w:before="2"/>
        <w:rPr>
          <w:sz w:val="26"/>
        </w:rPr>
      </w:pPr>
    </w:p>
    <w:p>
      <w:pPr>
        <w:spacing w:line="261" w:lineRule="auto" w:before="1"/>
        <w:ind w:left="100" w:right="119" w:firstLine="240"/>
        <w:jc w:val="both"/>
        <w:rPr>
          <w:sz w:val="16"/>
        </w:rPr>
      </w:pPr>
      <w:r>
        <w:rPr>
          <w:color w:val="231F20"/>
          <w:w w:val="105"/>
          <w:position w:val="5"/>
          <w:sz w:val="10"/>
        </w:rPr>
        <w:t>1  </w:t>
      </w:r>
      <w:r>
        <w:rPr>
          <w:color w:val="231F20"/>
          <w:w w:val="105"/>
          <w:sz w:val="16"/>
        </w:rPr>
        <w:t>Este artículo es una versión sintética y a la vez una actualizada del ensayo </w:t>
      </w:r>
      <w:r>
        <w:rPr>
          <w:i/>
          <w:color w:val="231F20"/>
          <w:w w:val="105"/>
          <w:sz w:val="16"/>
        </w:rPr>
        <w:t>Oba-  </w:t>
      </w:r>
      <w:r>
        <w:rPr>
          <w:i/>
          <w:color w:val="231F20"/>
          <w:w w:val="105"/>
          <w:sz w:val="16"/>
        </w:rPr>
        <w:t>ma:</w:t>
      </w:r>
      <w:r>
        <w:rPr>
          <w:i/>
          <w:color w:val="231F20"/>
          <w:spacing w:val="11"/>
          <w:w w:val="105"/>
          <w:sz w:val="16"/>
        </w:rPr>
        <w:t> </w:t>
      </w:r>
      <w:r>
        <w:rPr>
          <w:i/>
          <w:color w:val="231F20"/>
          <w:w w:val="105"/>
          <w:sz w:val="16"/>
        </w:rPr>
        <w:t>La</w:t>
      </w:r>
      <w:r>
        <w:rPr>
          <w:i/>
          <w:color w:val="231F20"/>
          <w:spacing w:val="11"/>
          <w:w w:val="105"/>
          <w:sz w:val="16"/>
        </w:rPr>
        <w:t> </w:t>
      </w:r>
      <w:r>
        <w:rPr>
          <w:i/>
          <w:color w:val="231F20"/>
          <w:w w:val="105"/>
          <w:sz w:val="16"/>
        </w:rPr>
        <w:t>máscara</w:t>
      </w:r>
      <w:r>
        <w:rPr>
          <w:i/>
          <w:color w:val="231F20"/>
          <w:spacing w:val="11"/>
          <w:w w:val="105"/>
          <w:sz w:val="16"/>
        </w:rPr>
        <w:t> </w:t>
      </w:r>
      <w:r>
        <w:rPr>
          <w:i/>
          <w:color w:val="231F20"/>
          <w:w w:val="105"/>
          <w:sz w:val="16"/>
        </w:rPr>
        <w:t>del</w:t>
      </w:r>
      <w:r>
        <w:rPr>
          <w:i/>
          <w:color w:val="231F20"/>
          <w:spacing w:val="11"/>
          <w:w w:val="105"/>
          <w:sz w:val="16"/>
        </w:rPr>
        <w:t> </w:t>
      </w:r>
      <w:r>
        <w:rPr>
          <w:i/>
          <w:color w:val="231F20"/>
          <w:w w:val="105"/>
          <w:sz w:val="16"/>
        </w:rPr>
        <w:t>smart</w:t>
      </w:r>
      <w:r>
        <w:rPr>
          <w:i/>
          <w:color w:val="231F20"/>
          <w:spacing w:val="11"/>
          <w:w w:val="105"/>
          <w:sz w:val="16"/>
        </w:rPr>
        <w:t> </w:t>
      </w:r>
      <w:r>
        <w:rPr>
          <w:i/>
          <w:color w:val="231F20"/>
          <w:w w:val="105"/>
          <w:sz w:val="16"/>
        </w:rPr>
        <w:t>power</w:t>
      </w:r>
      <w:r>
        <w:rPr>
          <w:color w:val="231F20"/>
          <w:w w:val="105"/>
          <w:sz w:val="16"/>
        </w:rPr>
        <w:t>,</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próximamente</w:t>
      </w:r>
      <w:r>
        <w:rPr>
          <w:color w:val="231F20"/>
          <w:spacing w:val="11"/>
          <w:w w:val="105"/>
          <w:sz w:val="16"/>
        </w:rPr>
        <w:t> </w:t>
      </w:r>
      <w:r>
        <w:rPr>
          <w:color w:val="231F20"/>
          <w:w w:val="105"/>
          <w:sz w:val="16"/>
        </w:rPr>
        <w:t>será</w:t>
      </w:r>
      <w:r>
        <w:rPr>
          <w:color w:val="231F20"/>
          <w:spacing w:val="11"/>
          <w:w w:val="105"/>
          <w:sz w:val="16"/>
        </w:rPr>
        <w:t> </w:t>
      </w:r>
      <w:r>
        <w:rPr>
          <w:color w:val="231F20"/>
          <w:w w:val="105"/>
          <w:sz w:val="16"/>
        </w:rPr>
        <w:t>publicado</w:t>
      </w:r>
      <w:r>
        <w:rPr>
          <w:color w:val="231F20"/>
          <w:spacing w:val="11"/>
          <w:w w:val="105"/>
          <w:sz w:val="16"/>
        </w:rPr>
        <w:t> </w:t>
      </w:r>
      <w:r>
        <w:rPr>
          <w:color w:val="231F20"/>
          <w:w w:val="105"/>
          <w:sz w:val="16"/>
        </w:rPr>
        <w:t>por</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Editorial</w:t>
      </w:r>
      <w:r>
        <w:rPr>
          <w:color w:val="231F20"/>
          <w:spacing w:val="11"/>
          <w:w w:val="105"/>
          <w:sz w:val="16"/>
        </w:rPr>
        <w:t> </w:t>
      </w:r>
      <w:r>
        <w:rPr>
          <w:color w:val="231F20"/>
          <w:w w:val="105"/>
          <w:sz w:val="16"/>
        </w:rPr>
        <w:t>de</w:t>
      </w:r>
      <w:r>
        <w:rPr>
          <w:color w:val="231F20"/>
          <w:w w:val="114"/>
          <w:sz w:val="16"/>
        </w:rPr>
        <w:t> </w:t>
      </w:r>
      <w:r>
        <w:rPr>
          <w:color w:val="231F20"/>
          <w:w w:val="105"/>
          <w:sz w:val="16"/>
        </w:rPr>
        <w:t>Ciencias Sociales de La Habana,  </w:t>
      </w:r>
      <w:r>
        <w:rPr>
          <w:color w:val="231F20"/>
          <w:spacing w:val="20"/>
          <w:w w:val="105"/>
          <w:sz w:val="16"/>
        </w:rPr>
        <w:t> </w:t>
      </w:r>
      <w:r>
        <w:rPr>
          <w:color w:val="231F20"/>
          <w:w w:val="105"/>
          <w:sz w:val="16"/>
        </w:rPr>
        <w:t>Cuba.</w:t>
      </w:r>
    </w:p>
    <w:p>
      <w:pPr>
        <w:spacing w:line="261" w:lineRule="auto" w:before="0"/>
        <w:ind w:left="100" w:right="114" w:firstLine="240"/>
        <w:jc w:val="both"/>
        <w:rPr>
          <w:sz w:val="16"/>
        </w:rPr>
      </w:pPr>
      <w:r>
        <w:rPr>
          <w:color w:val="231F20"/>
          <w:w w:val="110"/>
          <w:position w:val="5"/>
          <w:sz w:val="10"/>
        </w:rPr>
        <w:t>2 </w:t>
      </w:r>
      <w:r>
        <w:rPr>
          <w:color w:val="231F20"/>
          <w:w w:val="110"/>
          <w:sz w:val="16"/>
        </w:rPr>
        <w:t>En la literatura marxista, siempre se ha diferenciado los términos Estado y gobierno. Desde el reconocimiento del carácter socio-clasista de cualquier Estado nación, el primero alude a lo que se denomina “la maquinaria burocrática-militar” y los diferentes aparatos ideológico-culturales que de manera permanente garantizan   la reproducción del sistema de dominación. Mientras que el “gobierno” alude a los representantes políticos de las clases dominantes o de sectores de ellas que se alter- nan en la conducción de la política interna y externa de ese Estado. Curiosamente la diferenciación entre los “gobiernos permanentes y temporales” fue retomada por los redactores del famoso documento Santa Fe I. Con los primeros se referían a lo que</w:t>
      </w:r>
      <w:r>
        <w:rPr>
          <w:color w:val="231F20"/>
          <w:spacing w:val="-26"/>
          <w:w w:val="110"/>
          <w:sz w:val="16"/>
        </w:rPr>
        <w:t> </w:t>
      </w:r>
      <w:r>
        <w:rPr>
          <w:color w:val="231F20"/>
          <w:w w:val="110"/>
          <w:sz w:val="16"/>
        </w:rPr>
        <w:t>en ese texto llamaban “grupos de poder y poderes fácticos”, mientras que los segundos aludían a los gobiernos surgidos de los diversos ciclos electorales u otros cambios no democráticos que se producen en diferentes países del mundo. De ahí la validez de emplear el término “gobierno temporal” para referirse a la administración de Barack Obama; quien, al igual que otros mandatarios estadunidenses, de una u otra forma, está subordinado al “gobierno permanente” de ese potencia </w:t>
      </w:r>
      <w:r>
        <w:rPr>
          <w:color w:val="231F20"/>
          <w:spacing w:val="30"/>
          <w:w w:val="110"/>
          <w:sz w:val="16"/>
        </w:rPr>
        <w:t> </w:t>
      </w:r>
      <w:r>
        <w:rPr>
          <w:color w:val="231F20"/>
          <w:w w:val="110"/>
          <w:sz w:val="16"/>
        </w:rPr>
        <w:t>imperialista.</w:t>
      </w:r>
    </w:p>
    <w:p>
      <w:pPr>
        <w:spacing w:line="261" w:lineRule="auto" w:before="0"/>
        <w:ind w:left="100" w:right="119" w:firstLine="240"/>
        <w:jc w:val="both"/>
        <w:rPr>
          <w:sz w:val="16"/>
        </w:rPr>
      </w:pPr>
      <w:r>
        <w:rPr>
          <w:color w:val="231F20"/>
          <w:w w:val="105"/>
          <w:position w:val="5"/>
          <w:sz w:val="10"/>
        </w:rPr>
        <w:t>3 </w:t>
      </w:r>
      <w:r>
        <w:rPr>
          <w:color w:val="231F20"/>
          <w:w w:val="105"/>
          <w:sz w:val="16"/>
        </w:rPr>
        <w:t>Como en otros de mis trabajos, utilizo el concepto “proyección externa” para connotar acontecimientos y definiciones de las políticas internas, económicas o ideo- lógico-culturales  de  cualquier  Estado-nación  que  contribuyen  o  no  al  cumplimiento</w:t>
      </w:r>
    </w:p>
    <w:p>
      <w:pPr>
        <w:pStyle w:val="BodyText"/>
        <w:spacing w:before="7"/>
        <w:rPr>
          <w:sz w:val="16"/>
        </w:rPr>
      </w:pPr>
    </w:p>
    <w:p>
      <w:pPr>
        <w:pStyle w:val="BodyText"/>
        <w:spacing w:before="67"/>
        <w:ind w:left="113" w:right="132"/>
        <w:jc w:val="center"/>
      </w:pPr>
      <w:r>
        <w:rPr>
          <w:color w:val="231F20"/>
          <w:w w:val="120"/>
        </w:rPr>
        <w:t>[384]</w:t>
      </w:r>
    </w:p>
    <w:p>
      <w:pPr>
        <w:spacing w:after="0"/>
        <w:jc w:val="center"/>
        <w:sectPr>
          <w:headerReference w:type="even" r:id="rId284"/>
          <w:pgSz w:w="7640" w:h="11900"/>
          <w:pgMar w:header="0" w:footer="0" w:top="1000" w:bottom="280" w:left="780" w:right="640"/>
        </w:sectPr>
      </w:pPr>
    </w:p>
    <w:p>
      <w:pPr>
        <w:pStyle w:val="BodyText"/>
        <w:spacing w:before="8"/>
        <w:rPr>
          <w:sz w:val="8"/>
        </w:rPr>
      </w:pPr>
    </w:p>
    <w:p>
      <w:pPr>
        <w:pStyle w:val="BodyText"/>
        <w:spacing w:line="261" w:lineRule="auto" w:before="67"/>
        <w:ind w:left="120" w:right="117"/>
        <w:jc w:val="both"/>
      </w:pPr>
      <w:r>
        <w:rPr>
          <w:color w:val="231F20"/>
          <w:w w:val="105"/>
        </w:rPr>
        <w:t>de</w:t>
      </w:r>
      <w:r>
        <w:rPr>
          <w:color w:val="231F20"/>
          <w:spacing w:val="-17"/>
          <w:w w:val="105"/>
        </w:rPr>
        <w:t> </w:t>
      </w:r>
      <w:r>
        <w:rPr>
          <w:color w:val="231F20"/>
          <w:w w:val="105"/>
        </w:rPr>
        <w:t>su</w:t>
      </w:r>
      <w:r>
        <w:rPr>
          <w:color w:val="231F20"/>
          <w:spacing w:val="-17"/>
          <w:w w:val="105"/>
        </w:rPr>
        <w:t> </w:t>
      </w:r>
      <w:r>
        <w:rPr>
          <w:i/>
          <w:color w:val="231F20"/>
          <w:w w:val="105"/>
        </w:rPr>
        <w:t>gobierno</w:t>
      </w:r>
      <w:r>
        <w:rPr>
          <w:i/>
          <w:color w:val="231F20"/>
          <w:spacing w:val="-17"/>
          <w:w w:val="105"/>
        </w:rPr>
        <w:t> </w:t>
      </w:r>
      <w:r>
        <w:rPr>
          <w:i/>
          <w:color w:val="231F20"/>
          <w:w w:val="105"/>
        </w:rPr>
        <w:t>permanente</w:t>
      </w:r>
      <w:r>
        <w:rPr>
          <w:i/>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manera</w:t>
      </w:r>
      <w:r>
        <w:rPr>
          <w:color w:val="231F20"/>
          <w:spacing w:val="-17"/>
          <w:w w:val="105"/>
        </w:rPr>
        <w:t> </w:t>
      </w:r>
      <w:r>
        <w:rPr>
          <w:color w:val="231F20"/>
          <w:w w:val="105"/>
        </w:rPr>
        <w:t>“unipartidista”</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—salvo </w:t>
      </w:r>
      <w:r>
        <w:rPr>
          <w:color w:val="231F20"/>
          <w:w w:val="110"/>
        </w:rPr>
        <w:t>en</w:t>
      </w:r>
      <w:r>
        <w:rPr>
          <w:color w:val="231F20"/>
          <w:spacing w:val="-11"/>
          <w:w w:val="110"/>
        </w:rPr>
        <w:t> </w:t>
      </w:r>
      <w:r>
        <w:rPr>
          <w:color w:val="231F20"/>
          <w:w w:val="110"/>
        </w:rPr>
        <w:t>momentos</w:t>
      </w:r>
      <w:r>
        <w:rPr>
          <w:color w:val="231F20"/>
          <w:spacing w:val="-11"/>
          <w:w w:val="110"/>
        </w:rPr>
        <w:t> </w:t>
      </w:r>
      <w:r>
        <w:rPr>
          <w:color w:val="231F20"/>
          <w:w w:val="110"/>
        </w:rPr>
        <w:t>de</w:t>
      </w:r>
      <w:r>
        <w:rPr>
          <w:color w:val="231F20"/>
          <w:spacing w:val="-11"/>
          <w:w w:val="110"/>
        </w:rPr>
        <w:t> </w:t>
      </w:r>
      <w:r>
        <w:rPr>
          <w:color w:val="231F20"/>
          <w:w w:val="110"/>
        </w:rPr>
        <w:t>agudas</w:t>
      </w:r>
      <w:r>
        <w:rPr>
          <w:color w:val="231F20"/>
          <w:spacing w:val="-11"/>
          <w:w w:val="110"/>
        </w:rPr>
        <w:t> </w:t>
      </w:r>
      <w:r>
        <w:rPr>
          <w:color w:val="231F20"/>
          <w:w w:val="110"/>
        </w:rPr>
        <w:t>crisis—</w:t>
      </w:r>
      <w:r>
        <w:rPr>
          <w:color w:val="231F20"/>
          <w:spacing w:val="-11"/>
          <w:w w:val="110"/>
        </w:rPr>
        <w:t> </w:t>
      </w:r>
      <w:r>
        <w:rPr>
          <w:color w:val="231F20"/>
          <w:w w:val="110"/>
        </w:rPr>
        <w:t>éste</w:t>
      </w:r>
      <w:r>
        <w:rPr>
          <w:color w:val="231F20"/>
          <w:spacing w:val="-11"/>
          <w:w w:val="110"/>
        </w:rPr>
        <w:t> </w:t>
      </w:r>
      <w:r>
        <w:rPr>
          <w:color w:val="231F20"/>
          <w:w w:val="110"/>
        </w:rPr>
        <w:t>ha</w:t>
      </w:r>
      <w:r>
        <w:rPr>
          <w:color w:val="231F20"/>
          <w:spacing w:val="-11"/>
          <w:w w:val="110"/>
        </w:rPr>
        <w:t> </w:t>
      </w:r>
      <w:r>
        <w:rPr>
          <w:color w:val="231F20"/>
          <w:w w:val="110"/>
        </w:rPr>
        <w:t>elaborado</w:t>
      </w:r>
      <w:r>
        <w:rPr>
          <w:color w:val="231F20"/>
          <w:spacing w:val="-11"/>
          <w:w w:val="110"/>
        </w:rPr>
        <w:t> </w:t>
      </w:r>
      <w:r>
        <w:rPr>
          <w:color w:val="231F20"/>
          <w:w w:val="110"/>
        </w:rPr>
        <w:t>sus</w:t>
      </w:r>
      <w:r>
        <w:rPr>
          <w:color w:val="231F20"/>
          <w:spacing w:val="-11"/>
          <w:w w:val="110"/>
        </w:rPr>
        <w:t> </w:t>
      </w:r>
      <w:r>
        <w:rPr>
          <w:color w:val="231F20"/>
          <w:w w:val="110"/>
        </w:rPr>
        <w:t>políticas</w:t>
      </w:r>
      <w:r>
        <w:rPr>
          <w:color w:val="231F20"/>
          <w:spacing w:val="-11"/>
          <w:w w:val="110"/>
        </w:rPr>
        <w:t> </w:t>
      </w:r>
      <w:r>
        <w:rPr>
          <w:color w:val="231F20"/>
          <w:w w:val="110"/>
        </w:rPr>
        <w:t>inter- na y externa, esta crítica acentuará las continuidades y los cambios de las estrategias arriba referidas respecto a las impulsadas por la administración neoconservadora presidida, entre el 20 de enero de 2001 y de 2009, por el republicano George </w:t>
      </w:r>
      <w:r>
        <w:rPr>
          <w:color w:val="231F20"/>
          <w:spacing w:val="-6"/>
          <w:w w:val="110"/>
        </w:rPr>
        <w:t>W.</w:t>
      </w:r>
      <w:r>
        <w:rPr>
          <w:color w:val="231F20"/>
          <w:spacing w:val="-2"/>
          <w:w w:val="110"/>
        </w:rPr>
        <w:t> </w:t>
      </w:r>
      <w:r>
        <w:rPr>
          <w:color w:val="231F20"/>
          <w:w w:val="110"/>
        </w:rPr>
        <w:t>Bush.</w:t>
      </w:r>
    </w:p>
    <w:p>
      <w:pPr>
        <w:pStyle w:val="BodyText"/>
      </w:pPr>
    </w:p>
    <w:p>
      <w:pPr>
        <w:pStyle w:val="BodyText"/>
      </w:pPr>
    </w:p>
    <w:p>
      <w:pPr>
        <w:pStyle w:val="BodyText"/>
        <w:spacing w:before="2"/>
        <w:rPr>
          <w:sz w:val="25"/>
        </w:rPr>
      </w:pPr>
    </w:p>
    <w:p>
      <w:pPr>
        <w:pStyle w:val="BodyText"/>
        <w:ind w:left="120"/>
        <w:jc w:val="both"/>
      </w:pPr>
      <w:r>
        <w:rPr>
          <w:color w:val="231F20"/>
          <w:w w:val="125"/>
        </w:rPr>
        <w:t>continuidades y cambios en las estrategias dirigidas</w:t>
      </w:r>
    </w:p>
    <w:p>
      <w:pPr>
        <w:pStyle w:val="BodyText"/>
        <w:spacing w:before="20"/>
        <w:ind w:left="120"/>
        <w:jc w:val="both"/>
      </w:pPr>
      <w:r>
        <w:rPr>
          <w:color w:val="231F20"/>
          <w:w w:val="125"/>
        </w:rPr>
        <w:t>a restablecer su dominación sobre américa latina y al caribe</w:t>
      </w:r>
    </w:p>
    <w:p>
      <w:pPr>
        <w:pStyle w:val="BodyText"/>
        <w:spacing w:before="5"/>
        <w:rPr>
          <w:sz w:val="23"/>
        </w:rPr>
      </w:pPr>
    </w:p>
    <w:p>
      <w:pPr>
        <w:pStyle w:val="BodyText"/>
        <w:spacing w:line="261" w:lineRule="auto"/>
        <w:ind w:left="120" w:right="116"/>
        <w:jc w:val="both"/>
      </w:pPr>
      <w:r>
        <w:rPr>
          <w:color w:val="231F20"/>
          <w:w w:val="110"/>
        </w:rPr>
        <w:t>En</w:t>
      </w:r>
      <w:r>
        <w:rPr>
          <w:color w:val="231F20"/>
          <w:spacing w:val="-5"/>
          <w:w w:val="110"/>
        </w:rPr>
        <w:t> </w:t>
      </w:r>
      <w:r>
        <w:rPr>
          <w:color w:val="231F20"/>
          <w:w w:val="110"/>
        </w:rPr>
        <w:t>ese</w:t>
      </w:r>
      <w:r>
        <w:rPr>
          <w:color w:val="231F20"/>
          <w:spacing w:val="-5"/>
          <w:w w:val="110"/>
        </w:rPr>
        <w:t> </w:t>
      </w:r>
      <w:r>
        <w:rPr>
          <w:color w:val="231F20"/>
          <w:w w:val="110"/>
        </w:rPr>
        <w:t>sentido,</w:t>
      </w:r>
      <w:r>
        <w:rPr>
          <w:color w:val="231F20"/>
          <w:spacing w:val="-5"/>
          <w:w w:val="110"/>
        </w:rPr>
        <w:t> </w:t>
      </w:r>
      <w:r>
        <w:rPr>
          <w:color w:val="231F20"/>
          <w:w w:val="110"/>
        </w:rPr>
        <w:t>lo</w:t>
      </w:r>
      <w:r>
        <w:rPr>
          <w:color w:val="231F20"/>
          <w:spacing w:val="-5"/>
          <w:w w:val="110"/>
        </w:rPr>
        <w:t> </w:t>
      </w:r>
      <w:r>
        <w:rPr>
          <w:color w:val="231F20"/>
          <w:w w:val="110"/>
        </w:rPr>
        <w:t>primero</w:t>
      </w:r>
      <w:r>
        <w:rPr>
          <w:color w:val="231F20"/>
          <w:spacing w:val="-5"/>
          <w:w w:val="110"/>
        </w:rPr>
        <w:t> </w:t>
      </w:r>
      <w:r>
        <w:rPr>
          <w:color w:val="231F20"/>
          <w:w w:val="110"/>
        </w:rPr>
        <w:t>que</w:t>
      </w:r>
      <w:r>
        <w:rPr>
          <w:color w:val="231F20"/>
          <w:spacing w:val="-5"/>
          <w:w w:val="110"/>
        </w:rPr>
        <w:t> </w:t>
      </w:r>
      <w:r>
        <w:rPr>
          <w:color w:val="231F20"/>
          <w:w w:val="110"/>
        </w:rPr>
        <w:t>hay</w:t>
      </w:r>
      <w:r>
        <w:rPr>
          <w:color w:val="231F20"/>
          <w:spacing w:val="-5"/>
          <w:w w:val="110"/>
        </w:rPr>
        <w:t> </w:t>
      </w:r>
      <w:r>
        <w:rPr>
          <w:color w:val="231F20"/>
          <w:w w:val="110"/>
        </w:rPr>
        <w:t>que</w:t>
      </w:r>
      <w:r>
        <w:rPr>
          <w:color w:val="231F20"/>
          <w:spacing w:val="-5"/>
          <w:w w:val="110"/>
        </w:rPr>
        <w:t> </w:t>
      </w:r>
      <w:r>
        <w:rPr>
          <w:color w:val="231F20"/>
          <w:w w:val="110"/>
        </w:rPr>
        <w:t>resaltar</w:t>
      </w:r>
      <w:r>
        <w:rPr>
          <w:color w:val="231F20"/>
          <w:spacing w:val="-5"/>
          <w:w w:val="110"/>
        </w:rPr>
        <w:t> </w:t>
      </w:r>
      <w:r>
        <w:rPr>
          <w:color w:val="231F20"/>
          <w:w w:val="110"/>
        </w:rPr>
        <w:t>es</w:t>
      </w:r>
      <w:r>
        <w:rPr>
          <w:color w:val="231F20"/>
          <w:spacing w:val="-5"/>
          <w:w w:val="110"/>
        </w:rPr>
        <w:t> </w:t>
      </w:r>
      <w:r>
        <w:rPr>
          <w:color w:val="231F20"/>
          <w:w w:val="110"/>
        </w:rPr>
        <w:t>que,</w:t>
      </w:r>
      <w:r>
        <w:rPr>
          <w:color w:val="231F20"/>
          <w:spacing w:val="-5"/>
          <w:w w:val="110"/>
        </w:rPr>
        <w:t> </w:t>
      </w:r>
      <w:r>
        <w:rPr>
          <w:color w:val="231F20"/>
          <w:w w:val="110"/>
        </w:rPr>
        <w:t>a</w:t>
      </w:r>
      <w:r>
        <w:rPr>
          <w:color w:val="231F20"/>
          <w:spacing w:val="-5"/>
          <w:w w:val="110"/>
        </w:rPr>
        <w:t> </w:t>
      </w:r>
      <w:r>
        <w:rPr>
          <w:color w:val="231F20"/>
          <w:w w:val="110"/>
        </w:rPr>
        <w:t>pesar</w:t>
      </w:r>
      <w:r>
        <w:rPr>
          <w:color w:val="231F20"/>
          <w:spacing w:val="-5"/>
          <w:w w:val="110"/>
        </w:rPr>
        <w:t> </w:t>
      </w:r>
      <w:r>
        <w:rPr>
          <w:color w:val="231F20"/>
          <w:w w:val="110"/>
        </w:rPr>
        <w:t>de</w:t>
      </w:r>
      <w:r>
        <w:rPr>
          <w:color w:val="231F20"/>
          <w:spacing w:val="-5"/>
          <w:w w:val="110"/>
        </w:rPr>
        <w:t> </w:t>
      </w:r>
      <w:r>
        <w:rPr>
          <w:color w:val="231F20"/>
          <w:w w:val="110"/>
        </w:rPr>
        <w:t>sus críticas</w:t>
      </w:r>
      <w:r>
        <w:rPr>
          <w:color w:val="231F20"/>
          <w:spacing w:val="-13"/>
          <w:w w:val="110"/>
        </w:rPr>
        <w:t> </w:t>
      </w:r>
      <w:r>
        <w:rPr>
          <w:color w:val="231F20"/>
          <w:w w:val="110"/>
        </w:rPr>
        <w:t>a</w:t>
      </w:r>
      <w:r>
        <w:rPr>
          <w:color w:val="231F20"/>
          <w:spacing w:val="-13"/>
          <w:w w:val="110"/>
        </w:rPr>
        <w:t> </w:t>
      </w:r>
      <w:r>
        <w:rPr>
          <w:color w:val="231F20"/>
          <w:w w:val="110"/>
        </w:rPr>
        <w:t>las</w:t>
      </w:r>
      <w:r>
        <w:rPr>
          <w:color w:val="231F20"/>
          <w:spacing w:val="-13"/>
          <w:w w:val="110"/>
        </w:rPr>
        <w:t> </w:t>
      </w:r>
      <w:r>
        <w:rPr>
          <w:color w:val="231F20"/>
          <w:w w:val="110"/>
        </w:rPr>
        <w:t>estrategias</w:t>
      </w:r>
      <w:r>
        <w:rPr>
          <w:color w:val="231F20"/>
          <w:spacing w:val="-13"/>
          <w:w w:val="110"/>
        </w:rPr>
        <w:t> </w:t>
      </w:r>
      <w:r>
        <w:rPr>
          <w:color w:val="231F20"/>
          <w:w w:val="110"/>
        </w:rPr>
        <w:t>escasamente</w:t>
      </w:r>
      <w:r>
        <w:rPr>
          <w:color w:val="231F20"/>
          <w:spacing w:val="-13"/>
          <w:w w:val="110"/>
        </w:rPr>
        <w:t> </w:t>
      </w:r>
      <w:r>
        <w:rPr>
          <w:color w:val="231F20"/>
          <w:w w:val="110"/>
        </w:rPr>
        <w:t>inteligentes</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lo</w:t>
      </w:r>
      <w:r>
        <w:rPr>
          <w:color w:val="231F20"/>
          <w:spacing w:val="-13"/>
          <w:w w:val="110"/>
        </w:rPr>
        <w:t> </w:t>
      </w:r>
      <w:r>
        <w:rPr>
          <w:color w:val="231F20"/>
          <w:w w:val="110"/>
        </w:rPr>
        <w:t>fundamental sustentadas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instrumentos</w:t>
      </w:r>
      <w:r>
        <w:rPr>
          <w:color w:val="231F20"/>
          <w:spacing w:val="-6"/>
          <w:w w:val="110"/>
        </w:rPr>
        <w:t> </w:t>
      </w:r>
      <w:r>
        <w:rPr>
          <w:color w:val="231F20"/>
          <w:w w:val="110"/>
        </w:rPr>
        <w:t>del</w:t>
      </w:r>
      <w:r>
        <w:rPr>
          <w:color w:val="231F20"/>
          <w:spacing w:val="-6"/>
          <w:w w:val="110"/>
        </w:rPr>
        <w:t> </w:t>
      </w:r>
      <w:r>
        <w:rPr>
          <w:color w:val="231F20"/>
          <w:w w:val="110"/>
        </w:rPr>
        <w:t>llamado</w:t>
      </w:r>
      <w:r>
        <w:rPr>
          <w:color w:val="231F20"/>
          <w:spacing w:val="-7"/>
          <w:w w:val="110"/>
        </w:rPr>
        <w:t> </w:t>
      </w:r>
      <w:r>
        <w:rPr>
          <w:i/>
          <w:color w:val="231F20"/>
          <w:w w:val="110"/>
        </w:rPr>
        <w:t>hard</w:t>
      </w:r>
      <w:r>
        <w:rPr>
          <w:i/>
          <w:color w:val="231F20"/>
          <w:spacing w:val="-6"/>
          <w:w w:val="110"/>
        </w:rPr>
        <w:t> </w:t>
      </w:r>
      <w:r>
        <w:rPr>
          <w:i/>
          <w:color w:val="231F20"/>
          <w:w w:val="110"/>
        </w:rPr>
        <w:t>power</w:t>
      </w:r>
      <w:r>
        <w:rPr>
          <w:i/>
          <w:color w:val="231F20"/>
          <w:spacing w:val="-7"/>
          <w:w w:val="110"/>
        </w:rPr>
        <w:t> </w:t>
      </w:r>
      <w:r>
        <w:rPr>
          <w:color w:val="231F20"/>
          <w:w w:val="110"/>
        </w:rPr>
        <w:t>desplegadas por el  antes  mencionado  gobierno  temporal  estadunidense,  pero al igual que éste, desde su campaña electoral, Barack Obama se planteó expresamente “la renovación del liderazgo, la credibilidad y la influencia” de su país sobre el hemisferio occidental. </w:t>
      </w:r>
      <w:r>
        <w:rPr>
          <w:color w:val="231F20"/>
          <w:spacing w:val="-4"/>
          <w:w w:val="110"/>
        </w:rPr>
        <w:t>Todas </w:t>
      </w:r>
      <w:r>
        <w:rPr>
          <w:color w:val="231F20"/>
          <w:w w:val="110"/>
        </w:rPr>
        <w:t>ellas deterioradas —según su sesgado diagnóstico— porque la adminis- tración de George </w:t>
      </w:r>
      <w:r>
        <w:rPr>
          <w:color w:val="231F20"/>
          <w:spacing w:val="-6"/>
          <w:w w:val="110"/>
        </w:rPr>
        <w:t>W. </w:t>
      </w:r>
      <w:r>
        <w:rPr>
          <w:color w:val="231F20"/>
          <w:w w:val="110"/>
        </w:rPr>
        <w:t>Bush “se embarcó en una guerra desquiciada con Irak” y abandonó su promesa de “hacer de Latinoamérica un compromiso</w:t>
      </w:r>
      <w:r>
        <w:rPr>
          <w:color w:val="231F20"/>
          <w:spacing w:val="-16"/>
          <w:w w:val="110"/>
        </w:rPr>
        <w:t> </w:t>
      </w:r>
      <w:r>
        <w:rPr>
          <w:color w:val="231F20"/>
          <w:w w:val="110"/>
        </w:rPr>
        <w:t>fundamental</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presidencia”.</w:t>
      </w:r>
      <w:r>
        <w:rPr>
          <w:color w:val="231F20"/>
          <w:spacing w:val="-16"/>
          <w:w w:val="110"/>
        </w:rPr>
        <w:t> </w:t>
      </w:r>
      <w:r>
        <w:rPr>
          <w:color w:val="231F20"/>
          <w:w w:val="110"/>
        </w:rPr>
        <w:t>Como</w:t>
      </w:r>
      <w:r>
        <w:rPr>
          <w:color w:val="231F20"/>
          <w:spacing w:val="-16"/>
          <w:w w:val="110"/>
        </w:rPr>
        <w:t> </w:t>
      </w:r>
      <w:r>
        <w:rPr>
          <w:color w:val="231F20"/>
          <w:w w:val="110"/>
        </w:rPr>
        <w:t>consecuencia,</w:t>
      </w:r>
      <w:r>
        <w:rPr>
          <w:color w:val="231F20"/>
          <w:spacing w:val="-16"/>
          <w:w w:val="110"/>
        </w:rPr>
        <w:t> </w:t>
      </w:r>
      <w:r>
        <w:rPr>
          <w:color w:val="231F20"/>
          <w:w w:val="110"/>
        </w:rPr>
        <w:t>su política</w:t>
      </w:r>
      <w:r>
        <w:rPr>
          <w:color w:val="231F20"/>
          <w:spacing w:val="-12"/>
          <w:w w:val="110"/>
        </w:rPr>
        <w:t> </w:t>
      </w:r>
      <w:r>
        <w:rPr>
          <w:color w:val="231F20"/>
          <w:w w:val="110"/>
        </w:rPr>
        <w:t>habría</w:t>
      </w:r>
      <w:r>
        <w:rPr>
          <w:color w:val="231F20"/>
          <w:spacing w:val="-12"/>
          <w:w w:val="110"/>
        </w:rPr>
        <w:t> </w:t>
      </w:r>
      <w:r>
        <w:rPr>
          <w:color w:val="231F20"/>
          <w:w w:val="110"/>
        </w:rPr>
        <w:t>sido</w:t>
      </w:r>
      <w:r>
        <w:rPr>
          <w:color w:val="231F20"/>
          <w:spacing w:val="-12"/>
          <w:w w:val="110"/>
        </w:rPr>
        <w:t> </w:t>
      </w:r>
      <w:r>
        <w:rPr>
          <w:color w:val="231F20"/>
          <w:w w:val="110"/>
        </w:rPr>
        <w:t>“de</w:t>
      </w:r>
      <w:r>
        <w:rPr>
          <w:color w:val="231F20"/>
          <w:spacing w:val="-12"/>
          <w:w w:val="110"/>
        </w:rPr>
        <w:t> </w:t>
      </w:r>
      <w:r>
        <w:rPr>
          <w:color w:val="231F20"/>
          <w:w w:val="110"/>
        </w:rPr>
        <w:t>negligencia</w:t>
      </w:r>
      <w:r>
        <w:rPr>
          <w:color w:val="231F20"/>
          <w:spacing w:val="-12"/>
          <w:w w:val="110"/>
        </w:rPr>
        <w:t> </w:t>
      </w:r>
      <w:r>
        <w:rPr>
          <w:color w:val="231F20"/>
          <w:w w:val="110"/>
        </w:rPr>
        <w:t>hacia</w:t>
      </w:r>
      <w:r>
        <w:rPr>
          <w:color w:val="231F20"/>
          <w:spacing w:val="-12"/>
          <w:w w:val="110"/>
        </w:rPr>
        <w:t> </w:t>
      </w:r>
      <w:r>
        <w:rPr>
          <w:color w:val="231F20"/>
          <w:w w:val="110"/>
        </w:rPr>
        <w:t>nuestros</w:t>
      </w:r>
      <w:r>
        <w:rPr>
          <w:color w:val="231F20"/>
          <w:spacing w:val="-12"/>
          <w:w w:val="110"/>
        </w:rPr>
        <w:t> </w:t>
      </w:r>
      <w:r>
        <w:rPr>
          <w:color w:val="231F20"/>
          <w:w w:val="110"/>
        </w:rPr>
        <w:t>amigos,</w:t>
      </w:r>
      <w:r>
        <w:rPr>
          <w:color w:val="231F20"/>
          <w:spacing w:val="-12"/>
          <w:w w:val="110"/>
        </w:rPr>
        <w:t> </w:t>
      </w:r>
      <w:r>
        <w:rPr>
          <w:color w:val="231F20"/>
          <w:w w:val="110"/>
        </w:rPr>
        <w:t>inefectiva con nuestros adversarios, desinteresada por los problemas que sufre la gente e incapaz de hacer avanzar nuestros intereses en la región” (Obama, 2008 y</w:t>
      </w:r>
      <w:r>
        <w:rPr>
          <w:color w:val="231F20"/>
          <w:spacing w:val="-18"/>
          <w:w w:val="110"/>
        </w:rPr>
        <w:t> </w:t>
      </w:r>
      <w:r>
        <w:rPr>
          <w:color w:val="231F20"/>
          <w:w w:val="110"/>
        </w:rPr>
        <w:t>2008a).</w:t>
      </w:r>
    </w:p>
    <w:p>
      <w:pPr>
        <w:pStyle w:val="BodyText"/>
        <w:spacing w:line="261" w:lineRule="auto"/>
        <w:ind w:left="120" w:right="113" w:firstLine="240"/>
        <w:jc w:val="both"/>
      </w:pPr>
      <w:r>
        <w:rPr>
          <w:color w:val="231F20"/>
          <w:w w:val="110"/>
        </w:rPr>
        <w:t>Ese “vacío” —a decir de Obama— habría sido ocupado por “de- magogos como [el presidente venezolano] Hugo Chávez”, así como por otros países de Europa y Asia; entre los que destacó a la Repú- blica Popular China y a la República Islámica de Irán. Tal enfoque fue acentuado por el ratificado Secretario de Defensa de Estados Unidos, el republicano Robert Gates, en la audiencia que sostuvo en el senado a fines de enero de 2009. En ésta expresó su preocupación por las “actividades subversivas” que está desarrollando el gobierno</w:t>
      </w:r>
    </w:p>
    <w:p>
      <w:pPr>
        <w:pStyle w:val="BodyText"/>
        <w:spacing w:before="11"/>
        <w:rPr>
          <w:sz w:val="24"/>
        </w:rPr>
      </w:pPr>
      <w:r>
        <w:rPr/>
        <w:pict>
          <v:line style="position:absolute;mso-position-horizontal-relative:page;mso-position-vertical-relative:paragraph;z-index:9616;mso-wrap-distance-left:0;mso-wrap-distance-right:0" from="38pt,16.557932pt" to="98pt,16.557932pt" stroked="true" strokeweight=".5pt" strokecolor="#231f20">
            <w10:wrap type="topAndBottom"/>
          </v:line>
        </w:pict>
      </w:r>
    </w:p>
    <w:p>
      <w:pPr>
        <w:spacing w:line="261" w:lineRule="auto" w:before="16"/>
        <w:ind w:left="120" w:right="119" w:firstLine="0"/>
        <w:jc w:val="both"/>
        <w:rPr>
          <w:sz w:val="16"/>
        </w:rPr>
      </w:pPr>
      <w:r>
        <w:rPr>
          <w:color w:val="231F20"/>
          <w:w w:val="110"/>
          <w:sz w:val="16"/>
        </w:rPr>
        <w:t>de los objetivos de su “política exterior”. En ese orden, hay que reconocer que la</w:t>
      </w:r>
      <w:r>
        <w:rPr>
          <w:color w:val="231F20"/>
          <w:spacing w:val="-12"/>
          <w:w w:val="110"/>
          <w:sz w:val="16"/>
        </w:rPr>
        <w:t> </w:t>
      </w:r>
      <w:r>
        <w:rPr>
          <w:color w:val="231F20"/>
          <w:w w:val="110"/>
          <w:sz w:val="16"/>
        </w:rPr>
        <w:t>sola elección</w:t>
      </w:r>
      <w:r>
        <w:rPr>
          <w:color w:val="231F20"/>
          <w:spacing w:val="-8"/>
          <w:w w:val="110"/>
          <w:sz w:val="16"/>
        </w:rPr>
        <w:t> </w:t>
      </w:r>
      <w:r>
        <w:rPr>
          <w:color w:val="231F20"/>
          <w:w w:val="110"/>
          <w:sz w:val="16"/>
        </w:rPr>
        <w:t>del</w:t>
      </w:r>
      <w:r>
        <w:rPr>
          <w:color w:val="231F20"/>
          <w:spacing w:val="-8"/>
          <w:w w:val="110"/>
          <w:sz w:val="16"/>
        </w:rPr>
        <w:t> </w:t>
      </w:r>
      <w:r>
        <w:rPr>
          <w:color w:val="231F20"/>
          <w:w w:val="110"/>
          <w:sz w:val="16"/>
        </w:rPr>
        <w:t>afro</w:t>
      </w:r>
      <w:r>
        <w:rPr>
          <w:color w:val="231F20"/>
          <w:spacing w:val="-8"/>
          <w:w w:val="110"/>
          <w:sz w:val="16"/>
        </w:rPr>
        <w:t> </w:t>
      </w:r>
      <w:r>
        <w:rPr>
          <w:color w:val="231F20"/>
          <w:w w:val="110"/>
          <w:sz w:val="16"/>
        </w:rPr>
        <w:t>descendiente</w:t>
      </w:r>
      <w:r>
        <w:rPr>
          <w:color w:val="231F20"/>
          <w:spacing w:val="-8"/>
          <w:w w:val="110"/>
          <w:sz w:val="16"/>
        </w:rPr>
        <w:t> </w:t>
      </w:r>
      <w:r>
        <w:rPr>
          <w:color w:val="231F20"/>
          <w:w w:val="110"/>
          <w:sz w:val="16"/>
        </w:rPr>
        <w:t>Barack</w:t>
      </w:r>
      <w:r>
        <w:rPr>
          <w:color w:val="231F20"/>
          <w:spacing w:val="-8"/>
          <w:w w:val="110"/>
          <w:sz w:val="16"/>
        </w:rPr>
        <w:t> </w:t>
      </w:r>
      <w:r>
        <w:rPr>
          <w:color w:val="231F20"/>
          <w:w w:val="110"/>
          <w:sz w:val="16"/>
        </w:rPr>
        <w:t>Obama</w:t>
      </w:r>
      <w:r>
        <w:rPr>
          <w:color w:val="231F20"/>
          <w:spacing w:val="-8"/>
          <w:w w:val="110"/>
          <w:sz w:val="16"/>
        </w:rPr>
        <w:t> </w:t>
      </w:r>
      <w:r>
        <w:rPr>
          <w:color w:val="231F20"/>
          <w:w w:val="110"/>
          <w:sz w:val="16"/>
        </w:rPr>
        <w:t>modificó</w:t>
      </w:r>
      <w:r>
        <w:rPr>
          <w:color w:val="231F20"/>
          <w:spacing w:val="-8"/>
          <w:w w:val="110"/>
          <w:sz w:val="16"/>
        </w:rPr>
        <w:t> </w:t>
      </w:r>
      <w:r>
        <w:rPr>
          <w:color w:val="231F20"/>
          <w:w w:val="110"/>
          <w:sz w:val="16"/>
        </w:rPr>
        <w:t>la</w:t>
      </w:r>
      <w:r>
        <w:rPr>
          <w:color w:val="231F20"/>
          <w:spacing w:val="-8"/>
          <w:w w:val="110"/>
          <w:sz w:val="16"/>
        </w:rPr>
        <w:t> </w:t>
      </w:r>
      <w:r>
        <w:rPr>
          <w:color w:val="231F20"/>
          <w:w w:val="110"/>
          <w:sz w:val="16"/>
        </w:rPr>
        <w:t>proyección</w:t>
      </w:r>
      <w:r>
        <w:rPr>
          <w:color w:val="231F20"/>
          <w:spacing w:val="-8"/>
          <w:w w:val="110"/>
          <w:sz w:val="16"/>
        </w:rPr>
        <w:t> </w:t>
      </w:r>
      <w:r>
        <w:rPr>
          <w:color w:val="231F20"/>
          <w:w w:val="110"/>
          <w:sz w:val="16"/>
        </w:rPr>
        <w:t>externa</w:t>
      </w:r>
      <w:r>
        <w:rPr>
          <w:color w:val="231F20"/>
          <w:spacing w:val="-8"/>
          <w:w w:val="110"/>
          <w:sz w:val="16"/>
        </w:rPr>
        <w:t> </w:t>
      </w:r>
      <w:r>
        <w:rPr>
          <w:color w:val="231F20"/>
          <w:w w:val="110"/>
          <w:sz w:val="16"/>
        </w:rPr>
        <w:t>de</w:t>
      </w:r>
      <w:r>
        <w:rPr>
          <w:color w:val="231F20"/>
          <w:spacing w:val="-8"/>
          <w:w w:val="110"/>
          <w:sz w:val="16"/>
        </w:rPr>
        <w:t> </w:t>
      </w:r>
      <w:r>
        <w:rPr>
          <w:color w:val="231F20"/>
          <w:w w:val="110"/>
          <w:sz w:val="16"/>
        </w:rPr>
        <w:t>Esta- dos Unidos; lo que le facilita el cumplimiento de los objetivos de su política exterior.</w:t>
      </w:r>
    </w:p>
    <w:p>
      <w:pPr>
        <w:spacing w:after="0" w:line="261" w:lineRule="auto"/>
        <w:jc w:val="both"/>
        <w:rPr>
          <w:sz w:val="16"/>
        </w:rPr>
        <w:sectPr>
          <w:headerReference w:type="default" r:id="rId285"/>
          <w:headerReference w:type="even" r:id="rId286"/>
          <w:pgSz w:w="7640" w:h="11900"/>
          <w:pgMar w:header="672" w:footer="0" w:top="860" w:bottom="280" w:left="640" w:right="760"/>
          <w:pgNumType w:start="385"/>
        </w:sectPr>
      </w:pPr>
    </w:p>
    <w:p>
      <w:pPr>
        <w:pStyle w:val="BodyText"/>
        <w:spacing w:before="8"/>
        <w:rPr>
          <w:sz w:val="8"/>
        </w:rPr>
      </w:pPr>
    </w:p>
    <w:p>
      <w:pPr>
        <w:pStyle w:val="BodyText"/>
        <w:spacing w:line="261" w:lineRule="auto" w:before="67"/>
        <w:ind w:left="100" w:right="117"/>
        <w:jc w:val="both"/>
      </w:pPr>
      <w:r>
        <w:rPr>
          <w:color w:val="231F20"/>
          <w:w w:val="110"/>
        </w:rPr>
        <w:t>iraní en América Latina (BBC, 2009). Entre ellas, las estrechas</w:t>
      </w:r>
      <w:r>
        <w:rPr>
          <w:color w:val="231F20"/>
          <w:spacing w:val="-10"/>
          <w:w w:val="110"/>
        </w:rPr>
        <w:t> </w:t>
      </w:r>
      <w:r>
        <w:rPr>
          <w:color w:val="231F20"/>
          <w:w w:val="110"/>
        </w:rPr>
        <w:t>rela- ciones oficiales que éste ha venido estableciendo con los gobiernos de</w:t>
      </w:r>
      <w:r>
        <w:rPr>
          <w:color w:val="231F20"/>
          <w:spacing w:val="-26"/>
          <w:w w:val="110"/>
        </w:rPr>
        <w:t> </w:t>
      </w:r>
      <w:r>
        <w:rPr>
          <w:color w:val="231F20"/>
          <w:w w:val="110"/>
        </w:rPr>
        <w:t>Bolivia,</w:t>
      </w:r>
      <w:r>
        <w:rPr>
          <w:color w:val="231F20"/>
          <w:spacing w:val="-26"/>
          <w:w w:val="110"/>
        </w:rPr>
        <w:t> </w:t>
      </w:r>
      <w:r>
        <w:rPr>
          <w:color w:val="231F20"/>
          <w:w w:val="110"/>
        </w:rPr>
        <w:t>Brasil,</w:t>
      </w:r>
      <w:r>
        <w:rPr>
          <w:color w:val="231F20"/>
          <w:spacing w:val="-26"/>
          <w:w w:val="110"/>
        </w:rPr>
        <w:t> </w:t>
      </w:r>
      <w:r>
        <w:rPr>
          <w:color w:val="231F20"/>
          <w:w w:val="110"/>
        </w:rPr>
        <w:t>Cuba,</w:t>
      </w:r>
      <w:r>
        <w:rPr>
          <w:color w:val="231F20"/>
          <w:spacing w:val="-26"/>
          <w:w w:val="110"/>
        </w:rPr>
        <w:t> </w:t>
      </w:r>
      <w:r>
        <w:rPr>
          <w:color w:val="231F20"/>
          <w:spacing w:val="-3"/>
          <w:w w:val="110"/>
        </w:rPr>
        <w:t>Ecuador,</w:t>
      </w:r>
      <w:r>
        <w:rPr>
          <w:color w:val="231F20"/>
          <w:spacing w:val="-26"/>
          <w:w w:val="110"/>
        </w:rPr>
        <w:t> </w:t>
      </w:r>
      <w:r>
        <w:rPr>
          <w:color w:val="231F20"/>
          <w:w w:val="110"/>
        </w:rPr>
        <w:t>Nicaragua</w:t>
      </w:r>
      <w:r>
        <w:rPr>
          <w:color w:val="231F20"/>
          <w:spacing w:val="-26"/>
          <w:w w:val="110"/>
        </w:rPr>
        <w:t> </w:t>
      </w:r>
      <w:r>
        <w:rPr>
          <w:color w:val="231F20"/>
          <w:w w:val="110"/>
        </w:rPr>
        <w:t>y</w:t>
      </w:r>
      <w:r>
        <w:rPr>
          <w:color w:val="231F20"/>
          <w:spacing w:val="-26"/>
          <w:w w:val="110"/>
        </w:rPr>
        <w:t> </w:t>
      </w:r>
      <w:r>
        <w:rPr>
          <w:color w:val="231F20"/>
          <w:w w:val="110"/>
        </w:rPr>
        <w:t>la</w:t>
      </w:r>
      <w:r>
        <w:rPr>
          <w:color w:val="231F20"/>
          <w:spacing w:val="-26"/>
          <w:w w:val="110"/>
        </w:rPr>
        <w:t> </w:t>
      </w:r>
      <w:r>
        <w:rPr>
          <w:color w:val="231F20"/>
          <w:w w:val="110"/>
        </w:rPr>
        <w:t>República</w:t>
      </w:r>
      <w:r>
        <w:rPr>
          <w:color w:val="231F20"/>
          <w:spacing w:val="-26"/>
          <w:w w:val="110"/>
        </w:rPr>
        <w:t> </w:t>
      </w:r>
      <w:r>
        <w:rPr>
          <w:color w:val="231F20"/>
          <w:w w:val="110"/>
        </w:rPr>
        <w:t>Bolivaria- na de Venezuela (RBV): argumento que también ha sido aducido desde entonces por la secretaria de Estado Hillary Clinton </w:t>
      </w:r>
      <w:r>
        <w:rPr>
          <w:color w:val="231F20"/>
          <w:spacing w:val="-8"/>
          <w:w w:val="110"/>
        </w:rPr>
        <w:t>y, </w:t>
      </w:r>
      <w:r>
        <w:rPr>
          <w:color w:val="231F20"/>
          <w:w w:val="110"/>
        </w:rPr>
        <w:t>de una u otra forma, ha sido utilizado por Barack Obama como parte de</w:t>
      </w:r>
      <w:r>
        <w:rPr>
          <w:color w:val="231F20"/>
          <w:spacing w:val="-10"/>
          <w:w w:val="110"/>
        </w:rPr>
        <w:t> </w:t>
      </w:r>
      <w:r>
        <w:rPr>
          <w:color w:val="231F20"/>
          <w:w w:val="110"/>
        </w:rPr>
        <w:t>sus diversas acciones dirigidas a lograr el aislamiento internacional, “la contención”</w:t>
      </w:r>
      <w:r>
        <w:rPr>
          <w:color w:val="231F20"/>
          <w:spacing w:val="-14"/>
          <w:w w:val="110"/>
        </w:rPr>
        <w:t> </w:t>
      </w:r>
      <w:r>
        <w:rPr>
          <w:color w:val="231F20"/>
          <w:w w:val="110"/>
        </w:rPr>
        <w:t>o</w:t>
      </w:r>
      <w:r>
        <w:rPr>
          <w:color w:val="231F20"/>
          <w:spacing w:val="-14"/>
          <w:w w:val="110"/>
        </w:rPr>
        <w:t> </w:t>
      </w:r>
      <w:r>
        <w:rPr>
          <w:color w:val="231F20"/>
          <w:w w:val="110"/>
        </w:rPr>
        <w:t>la</w:t>
      </w:r>
      <w:r>
        <w:rPr>
          <w:color w:val="231F20"/>
          <w:spacing w:val="-14"/>
          <w:w w:val="110"/>
        </w:rPr>
        <w:t> </w:t>
      </w:r>
      <w:r>
        <w:rPr>
          <w:color w:val="231F20"/>
          <w:w w:val="110"/>
        </w:rPr>
        <w:t>derrota</w:t>
      </w:r>
      <w:r>
        <w:rPr>
          <w:color w:val="231F20"/>
          <w:spacing w:val="-14"/>
          <w:w w:val="110"/>
        </w:rPr>
        <w:t> </w:t>
      </w:r>
      <w:r>
        <w:rPr>
          <w:color w:val="231F20"/>
          <w:w w:val="110"/>
        </w:rPr>
        <w:t>(</w:t>
      </w:r>
      <w:r>
        <w:rPr>
          <w:i/>
          <w:color w:val="231F20"/>
          <w:w w:val="110"/>
        </w:rPr>
        <w:t>roll</w:t>
      </w:r>
      <w:r>
        <w:rPr>
          <w:i/>
          <w:color w:val="231F20"/>
          <w:spacing w:val="-14"/>
          <w:w w:val="110"/>
        </w:rPr>
        <w:t> </w:t>
      </w:r>
      <w:r>
        <w:rPr>
          <w:i/>
          <w:color w:val="231F20"/>
          <w:w w:val="110"/>
        </w:rPr>
        <w:t>back</w:t>
      </w:r>
      <w:r>
        <w:rPr>
          <w:color w:val="231F20"/>
          <w:w w:val="110"/>
        </w:rPr>
        <w:t>)</w:t>
      </w:r>
      <w:r>
        <w:rPr>
          <w:color w:val="231F20"/>
          <w:spacing w:val="-14"/>
          <w:w w:val="110"/>
        </w:rPr>
        <w:t> </w:t>
      </w:r>
      <w:r>
        <w:rPr>
          <w:color w:val="231F20"/>
          <w:w w:val="110"/>
        </w:rPr>
        <w:t>del</w:t>
      </w:r>
      <w:r>
        <w:rPr>
          <w:color w:val="231F20"/>
          <w:spacing w:val="-14"/>
          <w:w w:val="110"/>
        </w:rPr>
        <w:t> </w:t>
      </w:r>
      <w:r>
        <w:rPr>
          <w:color w:val="231F20"/>
          <w:w w:val="110"/>
        </w:rPr>
        <w:t>actual</w:t>
      </w:r>
      <w:r>
        <w:rPr>
          <w:color w:val="231F20"/>
          <w:spacing w:val="-14"/>
          <w:w w:val="110"/>
        </w:rPr>
        <w:t> </w:t>
      </w:r>
      <w:r>
        <w:rPr>
          <w:color w:val="231F20"/>
          <w:w w:val="110"/>
        </w:rPr>
        <w:t>gobierno</w:t>
      </w:r>
      <w:r>
        <w:rPr>
          <w:color w:val="231F20"/>
          <w:spacing w:val="-14"/>
          <w:w w:val="110"/>
        </w:rPr>
        <w:t> </w:t>
      </w:r>
      <w:r>
        <w:rPr>
          <w:color w:val="231F20"/>
          <w:w w:val="110"/>
        </w:rPr>
        <w:t>iraní</w:t>
      </w:r>
      <w:r>
        <w:rPr>
          <w:color w:val="231F20"/>
          <w:spacing w:val="-14"/>
          <w:w w:val="110"/>
        </w:rPr>
        <w:t> </w:t>
      </w:r>
      <w:r>
        <w:rPr>
          <w:color w:val="231F20"/>
          <w:w w:val="110"/>
        </w:rPr>
        <w:t>(Obama, 2010 y</w:t>
      </w:r>
      <w:r>
        <w:rPr>
          <w:color w:val="231F20"/>
          <w:spacing w:val="-43"/>
          <w:w w:val="110"/>
        </w:rPr>
        <w:t> </w:t>
      </w:r>
      <w:r>
        <w:rPr>
          <w:color w:val="231F20"/>
          <w:w w:val="110"/>
        </w:rPr>
        <w:t>2011).</w:t>
      </w:r>
    </w:p>
    <w:p>
      <w:pPr>
        <w:pStyle w:val="BodyText"/>
        <w:spacing w:line="261" w:lineRule="auto"/>
        <w:ind w:left="100" w:right="115" w:firstLine="240"/>
        <w:jc w:val="both"/>
      </w:pPr>
      <w:r>
        <w:rPr>
          <w:color w:val="231F20"/>
          <w:w w:val="110"/>
        </w:rPr>
        <w:t>De ahí que, con vistas a enfrentar esas situaciones “globales” y a “liderar el hemisferio [occidental] en el siglo xxi”, desde su campa- ña electoral, Obama anunció que emprendería la que indistintamen- te denominó una “diplomacia directa, fuerte, agresiva, principista y sostenida”</w:t>
      </w:r>
      <w:r>
        <w:rPr>
          <w:color w:val="231F20"/>
          <w:spacing w:val="-33"/>
          <w:w w:val="110"/>
        </w:rPr>
        <w:t> </w:t>
      </w:r>
      <w:r>
        <w:rPr>
          <w:color w:val="231F20"/>
          <w:w w:val="110"/>
        </w:rPr>
        <w:t>hacia</w:t>
      </w:r>
      <w:r>
        <w:rPr>
          <w:color w:val="231F20"/>
          <w:spacing w:val="-33"/>
          <w:w w:val="110"/>
        </w:rPr>
        <w:t> </w:t>
      </w:r>
      <w:r>
        <w:rPr>
          <w:color w:val="231F20"/>
          <w:w w:val="110"/>
        </w:rPr>
        <w:t>todos</w:t>
      </w:r>
      <w:r>
        <w:rPr>
          <w:color w:val="231F20"/>
          <w:spacing w:val="-33"/>
          <w:w w:val="110"/>
        </w:rPr>
        <w:t> </w:t>
      </w:r>
      <w:r>
        <w:rPr>
          <w:color w:val="231F20"/>
          <w:w w:val="110"/>
        </w:rPr>
        <w:t>“los</w:t>
      </w:r>
      <w:r>
        <w:rPr>
          <w:color w:val="231F20"/>
          <w:spacing w:val="-33"/>
          <w:w w:val="110"/>
        </w:rPr>
        <w:t> </w:t>
      </w:r>
      <w:r>
        <w:rPr>
          <w:color w:val="231F20"/>
          <w:w w:val="110"/>
        </w:rPr>
        <w:t>gobiernos</w:t>
      </w:r>
      <w:r>
        <w:rPr>
          <w:color w:val="231F20"/>
          <w:spacing w:val="-33"/>
          <w:w w:val="110"/>
        </w:rPr>
        <w:t> </w:t>
      </w:r>
      <w:r>
        <w:rPr>
          <w:color w:val="231F20"/>
          <w:w w:val="110"/>
        </w:rPr>
        <w:t>amigos,</w:t>
      </w:r>
      <w:r>
        <w:rPr>
          <w:color w:val="231F20"/>
          <w:spacing w:val="-33"/>
          <w:w w:val="110"/>
        </w:rPr>
        <w:t> </w:t>
      </w:r>
      <w:r>
        <w:rPr>
          <w:color w:val="231F20"/>
          <w:w w:val="110"/>
        </w:rPr>
        <w:t>adversarios</w:t>
      </w:r>
      <w:r>
        <w:rPr>
          <w:color w:val="231F20"/>
          <w:spacing w:val="-33"/>
          <w:w w:val="110"/>
        </w:rPr>
        <w:t> </w:t>
      </w:r>
      <w:r>
        <w:rPr>
          <w:color w:val="231F20"/>
          <w:w w:val="110"/>
        </w:rPr>
        <w:t>y</w:t>
      </w:r>
      <w:r>
        <w:rPr>
          <w:color w:val="231F20"/>
          <w:spacing w:val="-33"/>
          <w:w w:val="110"/>
        </w:rPr>
        <w:t> </w:t>
      </w:r>
      <w:r>
        <w:rPr>
          <w:color w:val="231F20"/>
          <w:w w:val="110"/>
        </w:rPr>
        <w:t>enemigos” de Estados Unidos; en primer lugar contra los gobiernos revolucio- narios, reformadores, reformistas o calificados como “antiestaduni- denses” que, a comienzos de 2009, integraban la ahora llamada Alianza Bolivariana para los Pueblos de Nuestra América (alba): Antigua y Barbuda, Bolivia, Cuba, Dominica, Honduras, </w:t>
      </w:r>
      <w:r>
        <w:rPr>
          <w:color w:val="231F20"/>
          <w:spacing w:val="-3"/>
          <w:w w:val="110"/>
        </w:rPr>
        <w:t>Ecuador, </w:t>
      </w:r>
      <w:r>
        <w:rPr>
          <w:color w:val="231F20"/>
          <w:w w:val="110"/>
        </w:rPr>
        <w:t>Nicaragua,</w:t>
      </w:r>
      <w:r>
        <w:rPr>
          <w:color w:val="231F20"/>
          <w:spacing w:val="-15"/>
          <w:w w:val="110"/>
        </w:rPr>
        <w:t> </w:t>
      </w:r>
      <w:r>
        <w:rPr>
          <w:color w:val="231F20"/>
          <w:w w:val="110"/>
        </w:rPr>
        <w:t>Venezuela,</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San</w:t>
      </w:r>
      <w:r>
        <w:rPr>
          <w:color w:val="231F20"/>
          <w:spacing w:val="-15"/>
          <w:w w:val="110"/>
        </w:rPr>
        <w:t> </w:t>
      </w:r>
      <w:r>
        <w:rPr>
          <w:color w:val="231F20"/>
          <w:w w:val="110"/>
        </w:rPr>
        <w:t>Vicente</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Granadinas.</w:t>
      </w:r>
      <w:r>
        <w:rPr>
          <w:color w:val="231F20"/>
          <w:spacing w:val="-15"/>
          <w:w w:val="110"/>
        </w:rPr>
        <w:t> </w:t>
      </w:r>
      <w:r>
        <w:rPr>
          <w:color w:val="231F20"/>
          <w:w w:val="110"/>
        </w:rPr>
        <w:t>Como se</w:t>
      </w:r>
      <w:r>
        <w:rPr>
          <w:color w:val="231F20"/>
          <w:spacing w:val="-10"/>
          <w:w w:val="110"/>
        </w:rPr>
        <w:t> </w:t>
      </w:r>
      <w:r>
        <w:rPr>
          <w:color w:val="231F20"/>
          <w:w w:val="110"/>
        </w:rPr>
        <w:t>conoce,</w:t>
      </w:r>
      <w:r>
        <w:rPr>
          <w:color w:val="231F20"/>
          <w:spacing w:val="-10"/>
          <w:w w:val="110"/>
        </w:rPr>
        <w:t> </w:t>
      </w:r>
      <w:r>
        <w:rPr>
          <w:color w:val="231F20"/>
          <w:w w:val="110"/>
        </w:rPr>
        <w:t>la</w:t>
      </w:r>
      <w:r>
        <w:rPr>
          <w:color w:val="231F20"/>
          <w:spacing w:val="-10"/>
          <w:w w:val="110"/>
        </w:rPr>
        <w:t> </w:t>
      </w:r>
      <w:r>
        <w:rPr>
          <w:color w:val="231F20"/>
          <w:w w:val="110"/>
        </w:rPr>
        <w:t>desestabilización</w:t>
      </w:r>
      <w:r>
        <w:rPr>
          <w:color w:val="231F20"/>
          <w:spacing w:val="-10"/>
          <w:w w:val="110"/>
        </w:rPr>
        <w:t> </w:t>
      </w:r>
      <w:r>
        <w:rPr>
          <w:color w:val="231F20"/>
          <w:w w:val="110"/>
        </w:rPr>
        <w:t>o</w:t>
      </w:r>
      <w:r>
        <w:rPr>
          <w:color w:val="231F20"/>
          <w:spacing w:val="-10"/>
          <w:w w:val="110"/>
        </w:rPr>
        <w:t> </w:t>
      </w:r>
      <w:r>
        <w:rPr>
          <w:color w:val="231F20"/>
          <w:w w:val="110"/>
        </w:rPr>
        <w:t>el</w:t>
      </w:r>
      <w:r>
        <w:rPr>
          <w:color w:val="231F20"/>
          <w:spacing w:val="-10"/>
          <w:w w:val="110"/>
        </w:rPr>
        <w:t> </w:t>
      </w:r>
      <w:r>
        <w:rPr>
          <w:color w:val="231F20"/>
          <w:w w:val="110"/>
        </w:rPr>
        <w:t>derrocamiento</w:t>
      </w:r>
      <w:r>
        <w:rPr>
          <w:color w:val="231F20"/>
          <w:spacing w:val="-10"/>
          <w:w w:val="110"/>
        </w:rPr>
        <w:t> </w:t>
      </w:r>
      <w:r>
        <w:rPr>
          <w:color w:val="231F20"/>
          <w:w w:val="110"/>
        </w:rPr>
        <w:t>de</w:t>
      </w:r>
      <w:r>
        <w:rPr>
          <w:color w:val="231F20"/>
          <w:spacing w:val="-10"/>
          <w:w w:val="110"/>
        </w:rPr>
        <w:t> </w:t>
      </w:r>
      <w:r>
        <w:rPr>
          <w:color w:val="231F20"/>
          <w:w w:val="110"/>
        </w:rPr>
        <w:t>algunos</w:t>
      </w:r>
      <w:r>
        <w:rPr>
          <w:color w:val="231F20"/>
          <w:spacing w:val="-10"/>
          <w:w w:val="110"/>
        </w:rPr>
        <w:t> </w:t>
      </w:r>
      <w:r>
        <w:rPr>
          <w:color w:val="231F20"/>
          <w:w w:val="110"/>
        </w:rPr>
        <w:t>de</w:t>
      </w:r>
      <w:r>
        <w:rPr>
          <w:color w:val="231F20"/>
          <w:spacing w:val="-10"/>
          <w:w w:val="110"/>
        </w:rPr>
        <w:t> </w:t>
      </w:r>
      <w:r>
        <w:rPr>
          <w:color w:val="231F20"/>
          <w:w w:val="110"/>
        </w:rPr>
        <w:t>esos gobiernos (en particular los de Bolivia, Cuba, </w:t>
      </w:r>
      <w:r>
        <w:rPr>
          <w:color w:val="231F20"/>
          <w:spacing w:val="-3"/>
          <w:w w:val="110"/>
        </w:rPr>
        <w:t>Ecuador, </w:t>
      </w:r>
      <w:r>
        <w:rPr>
          <w:color w:val="231F20"/>
          <w:w w:val="110"/>
        </w:rPr>
        <w:t>Nicaragua y Venezuela) formaron parte de las estrategias contrarreformadoras    y contrarrevolucionarias desplegadas por la administración de</w:t>
      </w:r>
      <w:r>
        <w:rPr>
          <w:color w:val="231F20"/>
          <w:spacing w:val="-19"/>
          <w:w w:val="110"/>
        </w:rPr>
        <w:t> </w:t>
      </w:r>
      <w:r>
        <w:rPr>
          <w:color w:val="231F20"/>
          <w:w w:val="110"/>
        </w:rPr>
        <w:t>Geor- ge </w:t>
      </w:r>
      <w:r>
        <w:rPr>
          <w:color w:val="231F20"/>
          <w:spacing w:val="-6"/>
          <w:w w:val="110"/>
        </w:rPr>
        <w:t>W.</w:t>
      </w:r>
      <w:r>
        <w:rPr>
          <w:color w:val="231F20"/>
          <w:spacing w:val="-33"/>
          <w:w w:val="110"/>
        </w:rPr>
        <w:t> </w:t>
      </w:r>
      <w:r>
        <w:rPr>
          <w:color w:val="231F20"/>
          <w:w w:val="110"/>
        </w:rPr>
        <w:t>Bush.</w:t>
      </w:r>
    </w:p>
    <w:p>
      <w:pPr>
        <w:pStyle w:val="BodyText"/>
        <w:spacing w:line="261" w:lineRule="auto"/>
        <w:ind w:left="100" w:right="119" w:firstLine="240"/>
        <w:jc w:val="both"/>
      </w:pPr>
      <w:r>
        <w:rPr>
          <w:color w:val="231F20"/>
          <w:w w:val="110"/>
        </w:rPr>
        <w:t>Sin embargo, a diferencia de ésta, Obama anunció que potencia- ría la diplomacia pública (uno de los componentes del llamado </w:t>
      </w:r>
      <w:r>
        <w:rPr>
          <w:i/>
          <w:color w:val="231F20"/>
          <w:w w:val="110"/>
        </w:rPr>
        <w:t>soft </w:t>
      </w:r>
      <w:r>
        <w:rPr>
          <w:i/>
          <w:color w:val="231F20"/>
          <w:w w:val="110"/>
        </w:rPr>
        <w:t>power</w:t>
      </w:r>
      <w:r>
        <w:rPr>
          <w:color w:val="231F20"/>
          <w:w w:val="110"/>
        </w:rPr>
        <w:t>) utilizando a “los emigrantes latinoamericanos” que viven en</w:t>
      </w:r>
      <w:r>
        <w:rPr>
          <w:color w:val="231F20"/>
          <w:w w:val="116"/>
        </w:rPr>
        <w:t> </w:t>
      </w:r>
      <w:r>
        <w:rPr>
          <w:color w:val="231F20"/>
          <w:w w:val="110"/>
        </w:rPr>
        <w:t>Estados Unidos (incluidos los cubano-americanos),</w:t>
      </w:r>
      <w:r>
        <w:rPr>
          <w:color w:val="231F20"/>
          <w:w w:val="110"/>
          <w:position w:val="6"/>
          <w:sz w:val="13"/>
        </w:rPr>
        <w:t>4 </w:t>
      </w:r>
      <w:r>
        <w:rPr>
          <w:color w:val="231F20"/>
          <w:w w:val="110"/>
        </w:rPr>
        <w:t>que aumentaría</w:t>
      </w:r>
      <w:r>
        <w:rPr>
          <w:color w:val="231F20"/>
          <w:w w:val="112"/>
        </w:rPr>
        <w:t> </w:t>
      </w:r>
      <w:r>
        <w:rPr>
          <w:color w:val="231F20"/>
          <w:w w:val="110"/>
        </w:rPr>
        <w:t>la presencia de funcionarios del Departamento de Estado en    Amé-</w:t>
      </w:r>
    </w:p>
    <w:p>
      <w:pPr>
        <w:pStyle w:val="BodyText"/>
      </w:pPr>
    </w:p>
    <w:p>
      <w:pPr>
        <w:pStyle w:val="BodyText"/>
        <w:spacing w:before="6"/>
        <w:rPr>
          <w:sz w:val="17"/>
        </w:rPr>
      </w:pPr>
    </w:p>
    <w:p>
      <w:pPr>
        <w:spacing w:line="261" w:lineRule="auto" w:before="0"/>
        <w:ind w:left="100" w:right="117" w:firstLine="240"/>
        <w:jc w:val="both"/>
        <w:rPr>
          <w:sz w:val="16"/>
        </w:rPr>
      </w:pPr>
      <w:r>
        <w:rPr>
          <w:color w:val="231F20"/>
          <w:w w:val="110"/>
          <w:position w:val="5"/>
          <w:sz w:val="10"/>
        </w:rPr>
        <w:t>4</w:t>
      </w:r>
      <w:r>
        <w:rPr>
          <w:color w:val="231F20"/>
          <w:spacing w:val="1"/>
          <w:w w:val="110"/>
          <w:position w:val="5"/>
          <w:sz w:val="10"/>
        </w:rPr>
        <w:t> </w:t>
      </w:r>
      <w:r>
        <w:rPr>
          <w:color w:val="231F20"/>
          <w:w w:val="110"/>
          <w:sz w:val="16"/>
        </w:rPr>
        <w:t>En</w:t>
      </w:r>
      <w:r>
        <w:rPr>
          <w:color w:val="231F20"/>
          <w:spacing w:val="-7"/>
          <w:w w:val="110"/>
          <w:sz w:val="16"/>
        </w:rPr>
        <w:t> </w:t>
      </w:r>
      <w:r>
        <w:rPr>
          <w:color w:val="231F20"/>
          <w:w w:val="110"/>
          <w:sz w:val="16"/>
        </w:rPr>
        <w:t>correspondencia</w:t>
      </w:r>
      <w:r>
        <w:rPr>
          <w:color w:val="231F20"/>
          <w:spacing w:val="-7"/>
          <w:w w:val="110"/>
          <w:sz w:val="16"/>
        </w:rPr>
        <w:t> </w:t>
      </w:r>
      <w:r>
        <w:rPr>
          <w:color w:val="231F20"/>
          <w:w w:val="110"/>
          <w:sz w:val="16"/>
        </w:rPr>
        <w:t>con</w:t>
      </w:r>
      <w:r>
        <w:rPr>
          <w:color w:val="231F20"/>
          <w:spacing w:val="-7"/>
          <w:w w:val="110"/>
          <w:sz w:val="16"/>
        </w:rPr>
        <w:t> </w:t>
      </w:r>
      <w:r>
        <w:rPr>
          <w:color w:val="231F20"/>
          <w:w w:val="110"/>
          <w:sz w:val="16"/>
        </w:rPr>
        <w:t>ese</w:t>
      </w:r>
      <w:r>
        <w:rPr>
          <w:color w:val="231F20"/>
          <w:spacing w:val="-7"/>
          <w:w w:val="110"/>
          <w:sz w:val="16"/>
        </w:rPr>
        <w:t> </w:t>
      </w:r>
      <w:r>
        <w:rPr>
          <w:color w:val="231F20"/>
          <w:w w:val="110"/>
          <w:sz w:val="16"/>
        </w:rPr>
        <w:t>anunciado,</w:t>
      </w:r>
      <w:r>
        <w:rPr>
          <w:color w:val="231F20"/>
          <w:spacing w:val="-7"/>
          <w:w w:val="110"/>
          <w:sz w:val="16"/>
        </w:rPr>
        <w:t> </w:t>
      </w:r>
      <w:r>
        <w:rPr>
          <w:color w:val="231F20"/>
          <w:w w:val="110"/>
          <w:sz w:val="16"/>
        </w:rPr>
        <w:t>Obama</w:t>
      </w:r>
      <w:r>
        <w:rPr>
          <w:color w:val="231F20"/>
          <w:spacing w:val="-7"/>
          <w:w w:val="110"/>
          <w:sz w:val="16"/>
        </w:rPr>
        <w:t> </w:t>
      </w:r>
      <w:r>
        <w:rPr>
          <w:color w:val="231F20"/>
          <w:w w:val="110"/>
          <w:sz w:val="16"/>
        </w:rPr>
        <w:t>nombró</w:t>
      </w:r>
      <w:r>
        <w:rPr>
          <w:color w:val="231F20"/>
          <w:spacing w:val="-7"/>
          <w:w w:val="110"/>
          <w:sz w:val="16"/>
        </w:rPr>
        <w:t> </w:t>
      </w:r>
      <w:r>
        <w:rPr>
          <w:color w:val="231F20"/>
          <w:w w:val="110"/>
          <w:sz w:val="16"/>
        </w:rPr>
        <w:t>a</w:t>
      </w:r>
      <w:r>
        <w:rPr>
          <w:color w:val="231F20"/>
          <w:spacing w:val="-7"/>
          <w:w w:val="110"/>
          <w:sz w:val="16"/>
        </w:rPr>
        <w:t> </w:t>
      </w:r>
      <w:r>
        <w:rPr>
          <w:color w:val="231F20"/>
          <w:w w:val="110"/>
          <w:sz w:val="16"/>
        </w:rPr>
        <w:t>Daniel</w:t>
      </w:r>
      <w:r>
        <w:rPr>
          <w:color w:val="231F20"/>
          <w:spacing w:val="-7"/>
          <w:w w:val="110"/>
          <w:sz w:val="16"/>
        </w:rPr>
        <w:t> </w:t>
      </w:r>
      <w:r>
        <w:rPr>
          <w:color w:val="231F20"/>
          <w:w w:val="110"/>
          <w:sz w:val="16"/>
        </w:rPr>
        <w:t>(Dan)</w:t>
      </w:r>
      <w:r>
        <w:rPr>
          <w:color w:val="231F20"/>
          <w:spacing w:val="-7"/>
          <w:w w:val="110"/>
          <w:sz w:val="16"/>
        </w:rPr>
        <w:t> </w:t>
      </w:r>
      <w:r>
        <w:rPr>
          <w:color w:val="231F20"/>
          <w:w w:val="110"/>
          <w:sz w:val="16"/>
        </w:rPr>
        <w:t>Restrepo (de</w:t>
      </w:r>
      <w:r>
        <w:rPr>
          <w:color w:val="231F20"/>
          <w:spacing w:val="-6"/>
          <w:w w:val="110"/>
          <w:sz w:val="16"/>
        </w:rPr>
        <w:t> </w:t>
      </w:r>
      <w:r>
        <w:rPr>
          <w:color w:val="231F20"/>
          <w:w w:val="110"/>
          <w:sz w:val="16"/>
        </w:rPr>
        <w:t>origen</w:t>
      </w:r>
      <w:r>
        <w:rPr>
          <w:color w:val="231F20"/>
          <w:spacing w:val="-6"/>
          <w:w w:val="110"/>
          <w:sz w:val="16"/>
        </w:rPr>
        <w:t> </w:t>
      </w:r>
      <w:r>
        <w:rPr>
          <w:color w:val="231F20"/>
          <w:w w:val="110"/>
          <w:sz w:val="16"/>
        </w:rPr>
        <w:t>colombiano)</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director</w:t>
      </w:r>
      <w:r>
        <w:rPr>
          <w:color w:val="231F20"/>
          <w:spacing w:val="-6"/>
          <w:w w:val="110"/>
          <w:sz w:val="16"/>
        </w:rPr>
        <w:t> </w:t>
      </w:r>
      <w:r>
        <w:rPr>
          <w:color w:val="231F20"/>
          <w:w w:val="110"/>
          <w:sz w:val="16"/>
        </w:rPr>
        <w:t>de</w:t>
      </w:r>
      <w:r>
        <w:rPr>
          <w:color w:val="231F20"/>
          <w:spacing w:val="-6"/>
          <w:w w:val="110"/>
          <w:sz w:val="16"/>
        </w:rPr>
        <w:t> </w:t>
      </w:r>
      <w:r>
        <w:rPr>
          <w:color w:val="231F20"/>
          <w:w w:val="110"/>
          <w:sz w:val="16"/>
        </w:rPr>
        <w:t>Asuntos</w:t>
      </w:r>
      <w:r>
        <w:rPr>
          <w:color w:val="231F20"/>
          <w:spacing w:val="-6"/>
          <w:w w:val="110"/>
          <w:sz w:val="16"/>
        </w:rPr>
        <w:t> </w:t>
      </w:r>
      <w:r>
        <w:rPr>
          <w:color w:val="231F20"/>
          <w:w w:val="110"/>
          <w:sz w:val="16"/>
        </w:rPr>
        <w:t>Hemisféricos</w:t>
      </w:r>
      <w:r>
        <w:rPr>
          <w:color w:val="231F20"/>
          <w:spacing w:val="-6"/>
          <w:w w:val="110"/>
          <w:sz w:val="16"/>
        </w:rPr>
        <w:t> </w:t>
      </w:r>
      <w:r>
        <w:rPr>
          <w:color w:val="231F20"/>
          <w:w w:val="110"/>
          <w:sz w:val="16"/>
        </w:rPr>
        <w:t>del</w:t>
      </w:r>
      <w:r>
        <w:rPr>
          <w:color w:val="231F20"/>
          <w:spacing w:val="-6"/>
          <w:w w:val="110"/>
          <w:sz w:val="16"/>
        </w:rPr>
        <w:t> </w:t>
      </w:r>
      <w:r>
        <w:rPr>
          <w:color w:val="231F20"/>
          <w:w w:val="110"/>
          <w:sz w:val="16"/>
        </w:rPr>
        <w:t>Consejo</w:t>
      </w:r>
      <w:r>
        <w:rPr>
          <w:color w:val="231F20"/>
          <w:spacing w:val="-6"/>
          <w:w w:val="110"/>
          <w:sz w:val="16"/>
        </w:rPr>
        <w:t> </w:t>
      </w:r>
      <w:r>
        <w:rPr>
          <w:color w:val="231F20"/>
          <w:w w:val="110"/>
          <w:sz w:val="16"/>
        </w:rPr>
        <w:t>Nacional de Seguridad. Igualmente nombró a Arturo Valenzuela (de origen chileno) como subsecretario de Estado para el Hemisferio Occidental; a María Otero (de origen boliviano) como subsecretaria de Asuntos Globales del Departamento de Estado, a Carlos Pascual (de origen cubano) como embajador en México y a la abogada Vilma Socorro Martínez como embajadora en Buenos Aires. A ello agregó su trascendente nombramiento de la puertorriqueña Sonia Sotomayor como integrante de la Corte Suprema de Estados</w:t>
      </w:r>
      <w:r>
        <w:rPr>
          <w:color w:val="231F20"/>
          <w:spacing w:val="4"/>
          <w:w w:val="110"/>
          <w:sz w:val="16"/>
        </w:rPr>
        <w:t> </w:t>
      </w:r>
      <w:r>
        <w:rPr>
          <w:color w:val="231F20"/>
          <w:w w:val="110"/>
          <w:sz w:val="16"/>
        </w:rPr>
        <w:t>Unidos.</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rica Latina y el Caribe, así como que duplicaría para el año 2011 la Ayuda Oficial del Desarrollo que ofrece Estados Unidos a través de su Agencia para el Desarrollo Internacional (usaid) y el número de los</w:t>
      </w:r>
      <w:r>
        <w:rPr>
          <w:color w:val="231F20"/>
          <w:spacing w:val="-13"/>
          <w:w w:val="110"/>
        </w:rPr>
        <w:t> </w:t>
      </w:r>
      <w:r>
        <w:rPr>
          <w:color w:val="231F20"/>
          <w:w w:val="110"/>
        </w:rPr>
        <w:t>integrantes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controvertidos</w:t>
      </w:r>
      <w:r>
        <w:rPr>
          <w:color w:val="231F20"/>
          <w:spacing w:val="-13"/>
          <w:w w:val="110"/>
        </w:rPr>
        <w:t> </w:t>
      </w:r>
      <w:r>
        <w:rPr>
          <w:color w:val="231F20"/>
          <w:w w:val="110"/>
        </w:rPr>
        <w:t>Cuerpos</w:t>
      </w:r>
      <w:r>
        <w:rPr>
          <w:color w:val="231F20"/>
          <w:spacing w:val="-13"/>
          <w:w w:val="110"/>
        </w:rPr>
        <w:t> </w:t>
      </w:r>
      <w:r>
        <w:rPr>
          <w:color w:val="231F20"/>
          <w:w w:val="110"/>
        </w:rPr>
        <w:t>de</w:t>
      </w:r>
      <w:r>
        <w:rPr>
          <w:color w:val="231F20"/>
          <w:spacing w:val="-13"/>
          <w:w w:val="110"/>
        </w:rPr>
        <w:t> </w:t>
      </w:r>
      <w:r>
        <w:rPr>
          <w:color w:val="231F20"/>
          <w:w w:val="110"/>
        </w:rPr>
        <w:t>Paz</w:t>
      </w:r>
      <w:r>
        <w:rPr>
          <w:color w:val="231F20"/>
          <w:spacing w:val="-13"/>
          <w:w w:val="110"/>
        </w:rPr>
        <w:t> </w:t>
      </w:r>
      <w:r>
        <w:rPr>
          <w:color w:val="231F20"/>
          <w:w w:val="110"/>
        </w:rPr>
        <w:t>que,</w:t>
      </w:r>
      <w:r>
        <w:rPr>
          <w:color w:val="231F20"/>
          <w:spacing w:val="-13"/>
          <w:w w:val="110"/>
        </w:rPr>
        <w:t> </w:t>
      </w:r>
      <w:r>
        <w:rPr>
          <w:color w:val="231F20"/>
          <w:w w:val="110"/>
        </w:rPr>
        <w:t>desde</w:t>
      </w:r>
      <w:r>
        <w:rPr>
          <w:color w:val="231F20"/>
          <w:spacing w:val="-13"/>
          <w:w w:val="110"/>
        </w:rPr>
        <w:t> </w:t>
      </w:r>
      <w:r>
        <w:rPr>
          <w:color w:val="231F20"/>
          <w:w w:val="110"/>
        </w:rPr>
        <w:t>la</w:t>
      </w:r>
      <w:r>
        <w:rPr>
          <w:color w:val="231F20"/>
          <w:spacing w:val="-13"/>
          <w:w w:val="110"/>
        </w:rPr>
        <w:t> </w:t>
      </w:r>
      <w:r>
        <w:rPr>
          <w:color w:val="231F20"/>
          <w:w w:val="110"/>
        </w:rPr>
        <w:t>ad- ministración de John </w:t>
      </w:r>
      <w:r>
        <w:rPr>
          <w:color w:val="231F20"/>
          <w:spacing w:val="-9"/>
          <w:w w:val="110"/>
        </w:rPr>
        <w:t>F. </w:t>
      </w:r>
      <w:r>
        <w:rPr>
          <w:color w:val="231F20"/>
          <w:w w:val="110"/>
        </w:rPr>
        <w:t>Kennedy, han venido actuando en ese conti- nente</w:t>
      </w:r>
      <w:r>
        <w:rPr>
          <w:color w:val="231F20"/>
          <w:spacing w:val="-15"/>
          <w:w w:val="110"/>
        </w:rPr>
        <w:t> </w:t>
      </w:r>
      <w:r>
        <w:rPr>
          <w:color w:val="231F20"/>
          <w:w w:val="110"/>
        </w:rPr>
        <w:t>(Obama,</w:t>
      </w:r>
      <w:r>
        <w:rPr>
          <w:color w:val="231F20"/>
          <w:spacing w:val="-15"/>
          <w:w w:val="110"/>
        </w:rPr>
        <w:t> </w:t>
      </w:r>
      <w:r>
        <w:rPr>
          <w:color w:val="231F20"/>
          <w:w w:val="110"/>
        </w:rPr>
        <w:t>2008a).</w:t>
      </w:r>
      <w:r>
        <w:rPr>
          <w:color w:val="231F20"/>
          <w:spacing w:val="-15"/>
          <w:w w:val="110"/>
        </w:rPr>
        <w:t> </w:t>
      </w:r>
      <w:r>
        <w:rPr>
          <w:color w:val="231F20"/>
          <w:w w:val="110"/>
        </w:rPr>
        <w:t>A</w:t>
      </w:r>
      <w:r>
        <w:rPr>
          <w:color w:val="231F20"/>
          <w:spacing w:val="-15"/>
          <w:w w:val="110"/>
        </w:rPr>
        <w:t> </w:t>
      </w:r>
      <w:r>
        <w:rPr>
          <w:color w:val="231F20"/>
          <w:w w:val="110"/>
        </w:rPr>
        <w:t>decir</w:t>
      </w:r>
      <w:r>
        <w:rPr>
          <w:color w:val="231F20"/>
          <w:spacing w:val="-15"/>
          <w:w w:val="110"/>
        </w:rPr>
        <w:t> </w:t>
      </w:r>
      <w:r>
        <w:rPr>
          <w:color w:val="231F20"/>
          <w:w w:val="110"/>
        </w:rPr>
        <w:t>de</w:t>
      </w:r>
      <w:r>
        <w:rPr>
          <w:color w:val="231F20"/>
          <w:spacing w:val="-15"/>
          <w:w w:val="110"/>
        </w:rPr>
        <w:t> </w:t>
      </w:r>
      <w:r>
        <w:rPr>
          <w:color w:val="231F20"/>
          <w:w w:val="110"/>
        </w:rPr>
        <w:t>Silvina</w:t>
      </w:r>
      <w:r>
        <w:rPr>
          <w:color w:val="231F20"/>
          <w:spacing w:val="-15"/>
          <w:w w:val="110"/>
        </w:rPr>
        <w:t> </w:t>
      </w:r>
      <w:r>
        <w:rPr>
          <w:color w:val="231F20"/>
          <w:w w:val="110"/>
        </w:rPr>
        <w:t>Romano,</w:t>
      </w:r>
      <w:r>
        <w:rPr>
          <w:color w:val="231F20"/>
          <w:spacing w:val="-15"/>
          <w:w w:val="110"/>
        </w:rPr>
        <w:t> </w:t>
      </w:r>
      <w:r>
        <w:rPr>
          <w:color w:val="231F20"/>
          <w:w w:val="110"/>
        </w:rPr>
        <w:t>esas</w:t>
      </w:r>
      <w:r>
        <w:rPr>
          <w:color w:val="231F20"/>
          <w:spacing w:val="-15"/>
          <w:w w:val="110"/>
        </w:rPr>
        <w:t> </w:t>
      </w:r>
      <w:r>
        <w:rPr>
          <w:color w:val="231F20"/>
          <w:w w:val="110"/>
        </w:rPr>
        <w:t>y</w:t>
      </w:r>
      <w:r>
        <w:rPr>
          <w:color w:val="231F20"/>
          <w:spacing w:val="-15"/>
          <w:w w:val="110"/>
        </w:rPr>
        <w:t> </w:t>
      </w:r>
      <w:r>
        <w:rPr>
          <w:color w:val="231F20"/>
          <w:w w:val="110"/>
        </w:rPr>
        <w:t>otras</w:t>
      </w:r>
      <w:r>
        <w:rPr>
          <w:color w:val="231F20"/>
          <w:spacing w:val="-15"/>
          <w:w w:val="110"/>
        </w:rPr>
        <w:t> </w:t>
      </w:r>
      <w:r>
        <w:rPr>
          <w:color w:val="231F20"/>
          <w:w w:val="110"/>
        </w:rPr>
        <w:t>metas se han incorporado orgánicamente a “las reformas” de la labor de la usaid que ha emprendido el gobierno temporal de Barack Obama; en particular, en lo relativo a la intrincada interrelación que —desde la</w:t>
      </w:r>
      <w:r>
        <w:rPr>
          <w:color w:val="231F20"/>
          <w:spacing w:val="-17"/>
          <w:w w:val="110"/>
        </w:rPr>
        <w:t> </w:t>
      </w:r>
      <w:r>
        <w:rPr>
          <w:color w:val="231F20"/>
          <w:w w:val="110"/>
        </w:rPr>
        <w:t>administración</w:t>
      </w:r>
      <w:r>
        <w:rPr>
          <w:color w:val="231F20"/>
          <w:spacing w:val="-17"/>
          <w:w w:val="110"/>
        </w:rPr>
        <w:t> </w:t>
      </w:r>
      <w:r>
        <w:rPr>
          <w:color w:val="231F20"/>
          <w:w w:val="110"/>
        </w:rPr>
        <w:t>de</w:t>
      </w:r>
      <w:r>
        <w:rPr>
          <w:color w:val="231F20"/>
          <w:spacing w:val="-17"/>
          <w:w w:val="110"/>
        </w:rPr>
        <w:t> </w:t>
      </w:r>
      <w:r>
        <w:rPr>
          <w:color w:val="231F20"/>
          <w:w w:val="110"/>
        </w:rPr>
        <w:t>John</w:t>
      </w:r>
      <w:r>
        <w:rPr>
          <w:color w:val="231F20"/>
          <w:spacing w:val="-17"/>
          <w:w w:val="110"/>
        </w:rPr>
        <w:t> </w:t>
      </w:r>
      <w:r>
        <w:rPr>
          <w:color w:val="231F20"/>
          <w:spacing w:val="-9"/>
          <w:w w:val="110"/>
        </w:rPr>
        <w:t>F.</w:t>
      </w:r>
      <w:r>
        <w:rPr>
          <w:color w:val="231F20"/>
          <w:spacing w:val="-17"/>
          <w:w w:val="110"/>
        </w:rPr>
        <w:t> </w:t>
      </w:r>
      <w:r>
        <w:rPr>
          <w:color w:val="231F20"/>
          <w:w w:val="110"/>
        </w:rPr>
        <w:t>Kennedy</w:t>
      </w:r>
      <w:r>
        <w:rPr>
          <w:color w:val="231F20"/>
          <w:spacing w:val="-17"/>
          <w:w w:val="110"/>
        </w:rPr>
        <w:t> </w:t>
      </w:r>
      <w:r>
        <w:rPr>
          <w:color w:val="231F20"/>
          <w:w w:val="110"/>
        </w:rPr>
        <w:t>(1961-1963)</w:t>
      </w:r>
      <w:r>
        <w:rPr>
          <w:color w:val="231F20"/>
          <w:spacing w:val="-17"/>
          <w:w w:val="110"/>
        </w:rPr>
        <w:t> </w:t>
      </w:r>
      <w:r>
        <w:rPr>
          <w:color w:val="231F20"/>
          <w:w w:val="110"/>
        </w:rPr>
        <w:t>hasta</w:t>
      </w:r>
      <w:r>
        <w:rPr>
          <w:color w:val="231F20"/>
          <w:spacing w:val="-17"/>
          <w:w w:val="110"/>
        </w:rPr>
        <w:t> </w:t>
      </w:r>
      <w:r>
        <w:rPr>
          <w:color w:val="231F20"/>
          <w:w w:val="110"/>
        </w:rPr>
        <w:t>la</w:t>
      </w:r>
      <w:r>
        <w:rPr>
          <w:color w:val="231F20"/>
          <w:spacing w:val="-17"/>
          <w:w w:val="110"/>
        </w:rPr>
        <w:t> </w:t>
      </w:r>
      <w:r>
        <w:rPr>
          <w:color w:val="231F20"/>
          <w:w w:val="110"/>
        </w:rPr>
        <w:t>de</w:t>
      </w:r>
      <w:r>
        <w:rPr>
          <w:color w:val="231F20"/>
          <w:spacing w:val="-17"/>
          <w:w w:val="110"/>
        </w:rPr>
        <w:t> </w:t>
      </w:r>
      <w:r>
        <w:rPr>
          <w:color w:val="231F20"/>
          <w:w w:val="110"/>
        </w:rPr>
        <w:t>George</w:t>
      </w:r>
    </w:p>
    <w:p>
      <w:pPr>
        <w:pStyle w:val="BodyText"/>
        <w:spacing w:line="261" w:lineRule="auto"/>
        <w:ind w:left="100" w:right="117"/>
        <w:jc w:val="both"/>
      </w:pPr>
      <w:r>
        <w:rPr>
          <w:color w:val="231F20"/>
          <w:w w:val="110"/>
        </w:rPr>
        <w:t>W. Bush— siempre le han atribuido a esa agencia en la defensa (de Estados Unidos), en la promoción de la democracia (procedimental- representativa) y en el desarrollo (dependiente y distorsionado) de América Latina y el Caribe (Romano, 2009).</w:t>
      </w:r>
    </w:p>
    <w:p>
      <w:pPr>
        <w:pStyle w:val="BodyText"/>
        <w:spacing w:line="261" w:lineRule="auto"/>
        <w:ind w:left="100" w:right="117" w:firstLine="240"/>
        <w:jc w:val="both"/>
      </w:pPr>
      <w:r>
        <w:rPr>
          <w:color w:val="231F20"/>
          <w:w w:val="110"/>
        </w:rPr>
        <w:t>No obstante, durante la administración de George </w:t>
      </w:r>
      <w:r>
        <w:rPr>
          <w:color w:val="231F20"/>
          <w:spacing w:val="-6"/>
          <w:w w:val="110"/>
        </w:rPr>
        <w:t>W. </w:t>
      </w:r>
      <w:r>
        <w:rPr>
          <w:color w:val="231F20"/>
          <w:w w:val="110"/>
        </w:rPr>
        <w:t>Bush esos viciados conceptos sobre “el desarrollo” fueron intencionadamente sustituidos por el impulso de los mal llamados “acuerdos bilaterales o plurilaterales de libre comercio” signados con diferentes gobier- nos latinoamericanos, como fueron los casos del Acuerdo de Libre Comercio entre Estados Unidos, Centroamérica y República Do- minicana (dr-cafta), al igual que de los acuerdos libre comercio </w:t>
      </w:r>
      <w:r>
        <w:rPr>
          <w:color w:val="231F20"/>
          <w:w w:val="120"/>
        </w:rPr>
        <w:t>(tlc) </w:t>
      </w:r>
      <w:r>
        <w:rPr>
          <w:color w:val="231F20"/>
          <w:w w:val="110"/>
        </w:rPr>
        <w:t>o los tratados de promoción comercial (tpc) suscritos con los gobiernos de Chile, Haití, Perú, Colombia y Panamá. En razón de la profunda</w:t>
      </w:r>
      <w:r>
        <w:rPr>
          <w:color w:val="231F20"/>
          <w:spacing w:val="-11"/>
          <w:w w:val="110"/>
        </w:rPr>
        <w:t> </w:t>
      </w:r>
      <w:r>
        <w:rPr>
          <w:color w:val="231F20"/>
          <w:w w:val="110"/>
        </w:rPr>
        <w:t>crisis</w:t>
      </w:r>
      <w:r>
        <w:rPr>
          <w:color w:val="231F20"/>
          <w:spacing w:val="-11"/>
          <w:w w:val="110"/>
        </w:rPr>
        <w:t> </w:t>
      </w:r>
      <w:r>
        <w:rPr>
          <w:color w:val="231F20"/>
          <w:w w:val="110"/>
        </w:rPr>
        <w:t>que</w:t>
      </w:r>
      <w:r>
        <w:rPr>
          <w:color w:val="231F20"/>
          <w:spacing w:val="-11"/>
          <w:w w:val="110"/>
        </w:rPr>
        <w:t> </w:t>
      </w:r>
      <w:r>
        <w:rPr>
          <w:color w:val="231F20"/>
          <w:w w:val="110"/>
        </w:rPr>
        <w:t>desde</w:t>
      </w:r>
      <w:r>
        <w:rPr>
          <w:color w:val="231F20"/>
          <w:spacing w:val="-11"/>
          <w:w w:val="110"/>
        </w:rPr>
        <w:t> </w:t>
      </w:r>
      <w:r>
        <w:rPr>
          <w:color w:val="231F20"/>
          <w:w w:val="110"/>
        </w:rPr>
        <w:t>fines</w:t>
      </w:r>
      <w:r>
        <w:rPr>
          <w:color w:val="231F20"/>
          <w:spacing w:val="-11"/>
          <w:w w:val="110"/>
        </w:rPr>
        <w:t> </w:t>
      </w:r>
      <w:r>
        <w:rPr>
          <w:color w:val="231F20"/>
          <w:w w:val="110"/>
        </w:rPr>
        <w:t>de</w:t>
      </w:r>
      <w:r>
        <w:rPr>
          <w:color w:val="231F20"/>
          <w:spacing w:val="-11"/>
          <w:w w:val="110"/>
        </w:rPr>
        <w:t> </w:t>
      </w:r>
      <w:r>
        <w:rPr>
          <w:color w:val="231F20"/>
          <w:w w:val="110"/>
        </w:rPr>
        <w:t>2008</w:t>
      </w:r>
      <w:r>
        <w:rPr>
          <w:color w:val="231F20"/>
          <w:spacing w:val="-11"/>
          <w:w w:val="110"/>
        </w:rPr>
        <w:t> </w:t>
      </w:r>
      <w:r>
        <w:rPr>
          <w:color w:val="231F20"/>
          <w:w w:val="110"/>
        </w:rPr>
        <w:t>ha</w:t>
      </w:r>
      <w:r>
        <w:rPr>
          <w:color w:val="231F20"/>
          <w:spacing w:val="-11"/>
          <w:w w:val="110"/>
        </w:rPr>
        <w:t> </w:t>
      </w:r>
      <w:r>
        <w:rPr>
          <w:color w:val="231F20"/>
          <w:w w:val="110"/>
        </w:rPr>
        <w:t>venido</w:t>
      </w:r>
      <w:r>
        <w:rPr>
          <w:color w:val="231F20"/>
          <w:spacing w:val="-11"/>
          <w:w w:val="110"/>
        </w:rPr>
        <w:t> </w:t>
      </w:r>
      <w:r>
        <w:rPr>
          <w:color w:val="231F20"/>
          <w:w w:val="110"/>
        </w:rPr>
        <w:t>afectando</w:t>
      </w:r>
      <w:r>
        <w:rPr>
          <w:color w:val="231F20"/>
          <w:spacing w:val="-11"/>
          <w:w w:val="110"/>
        </w:rPr>
        <w:t> </w:t>
      </w:r>
      <w:r>
        <w:rPr>
          <w:color w:val="231F20"/>
          <w:w w:val="110"/>
        </w:rPr>
        <w:t>la</w:t>
      </w:r>
      <w:r>
        <w:rPr>
          <w:color w:val="231F20"/>
          <w:spacing w:val="-11"/>
          <w:w w:val="110"/>
        </w:rPr>
        <w:t> </w:t>
      </w:r>
      <w:r>
        <w:rPr>
          <w:color w:val="231F20"/>
          <w:w w:val="110"/>
        </w:rPr>
        <w:t>socio- economía estadunidense y a pesar de las presiones provenientes de diversos congresistas republicanos, el gobierno temporal de Barack Obama</w:t>
      </w:r>
      <w:r>
        <w:rPr>
          <w:color w:val="231F20"/>
          <w:spacing w:val="-8"/>
          <w:w w:val="110"/>
        </w:rPr>
        <w:t> </w:t>
      </w:r>
      <w:r>
        <w:rPr>
          <w:color w:val="231F20"/>
          <w:w w:val="110"/>
        </w:rPr>
        <w:t>no</w:t>
      </w:r>
      <w:r>
        <w:rPr>
          <w:color w:val="231F20"/>
          <w:spacing w:val="-8"/>
          <w:w w:val="110"/>
        </w:rPr>
        <w:t> </w:t>
      </w:r>
      <w:r>
        <w:rPr>
          <w:color w:val="231F20"/>
          <w:w w:val="110"/>
        </w:rPr>
        <w:t>ha</w:t>
      </w:r>
      <w:r>
        <w:rPr>
          <w:color w:val="231F20"/>
          <w:spacing w:val="-8"/>
          <w:w w:val="110"/>
        </w:rPr>
        <w:t> </w:t>
      </w:r>
      <w:r>
        <w:rPr>
          <w:color w:val="231F20"/>
          <w:w w:val="110"/>
        </w:rPr>
        <w:t>colocado</w:t>
      </w:r>
      <w:r>
        <w:rPr>
          <w:color w:val="231F20"/>
          <w:spacing w:val="-8"/>
          <w:w w:val="110"/>
        </w:rPr>
        <w:t> </w:t>
      </w:r>
      <w:r>
        <w:rPr>
          <w:color w:val="231F20"/>
          <w:w w:val="110"/>
        </w:rPr>
        <w:t>la</w:t>
      </w:r>
      <w:r>
        <w:rPr>
          <w:color w:val="231F20"/>
          <w:spacing w:val="-8"/>
          <w:w w:val="110"/>
        </w:rPr>
        <w:t> </w:t>
      </w:r>
      <w:r>
        <w:rPr>
          <w:color w:val="231F20"/>
          <w:w w:val="110"/>
        </w:rPr>
        <w:t>ratificación</w:t>
      </w:r>
      <w:r>
        <w:rPr>
          <w:color w:val="231F20"/>
          <w:spacing w:val="-8"/>
          <w:w w:val="110"/>
        </w:rPr>
        <w:t> </w:t>
      </w:r>
      <w:r>
        <w:rPr>
          <w:color w:val="231F20"/>
          <w:w w:val="110"/>
        </w:rPr>
        <w:t>de</w:t>
      </w:r>
      <w:r>
        <w:rPr>
          <w:color w:val="231F20"/>
          <w:spacing w:val="-8"/>
          <w:w w:val="110"/>
        </w:rPr>
        <w:t> </w:t>
      </w:r>
      <w:r>
        <w:rPr>
          <w:color w:val="231F20"/>
          <w:w w:val="110"/>
        </w:rPr>
        <w:t>esos</w:t>
      </w:r>
      <w:r>
        <w:rPr>
          <w:color w:val="231F20"/>
          <w:spacing w:val="-8"/>
          <w:w w:val="110"/>
        </w:rPr>
        <w:t> </w:t>
      </w:r>
      <w:r>
        <w:rPr>
          <w:color w:val="231F20"/>
          <w:w w:val="110"/>
        </w:rPr>
        <w:t>dos</w:t>
      </w:r>
      <w:r>
        <w:rPr>
          <w:color w:val="231F20"/>
          <w:spacing w:val="-8"/>
          <w:w w:val="110"/>
        </w:rPr>
        <w:t> </w:t>
      </w:r>
      <w:r>
        <w:rPr>
          <w:color w:val="231F20"/>
          <w:w w:val="110"/>
        </w:rPr>
        <w:t>últimos</w:t>
      </w:r>
      <w:r>
        <w:rPr>
          <w:color w:val="231F20"/>
          <w:spacing w:val="-8"/>
          <w:w w:val="110"/>
        </w:rPr>
        <w:t> </w:t>
      </w:r>
      <w:r>
        <w:rPr>
          <w:color w:val="231F20"/>
          <w:w w:val="110"/>
        </w:rPr>
        <w:t>tratados</w:t>
      </w:r>
      <w:r>
        <w:rPr>
          <w:color w:val="231F20"/>
          <w:spacing w:val="-8"/>
          <w:w w:val="110"/>
        </w:rPr>
        <w:t> </w:t>
      </w:r>
      <w:r>
        <w:rPr>
          <w:color w:val="231F20"/>
          <w:w w:val="110"/>
        </w:rPr>
        <w:t>en la agenda del senado. Por el contrario, en su más reciente discurso sobre el estado de la Unión expresó: “Antes de tomar posesión, dejé claro que iba a hacer respetar nuestros acuerdos comerciales y que sólo firmaría tratados que contaran con el apoyo de nuestros traba- jadores y promovieran el empleo en nuestro país. Es lo que hicimos con Corea [del Sur] y es lo que tenemos intención de hacer en los acuerdos que estamos negociando con Panamá y Colombia” (Oba- ma,</w:t>
      </w:r>
      <w:r>
        <w:rPr>
          <w:color w:val="231F20"/>
          <w:spacing w:val="-10"/>
          <w:w w:val="110"/>
        </w:rPr>
        <w:t> </w:t>
      </w:r>
      <w:r>
        <w:rPr>
          <w:color w:val="231F20"/>
          <w:w w:val="110"/>
        </w:rPr>
        <w:t>2011):</w:t>
      </w:r>
      <w:r>
        <w:rPr>
          <w:color w:val="231F20"/>
          <w:spacing w:val="-10"/>
          <w:w w:val="110"/>
        </w:rPr>
        <w:t> </w:t>
      </w:r>
      <w:r>
        <w:rPr>
          <w:color w:val="231F20"/>
          <w:w w:val="110"/>
        </w:rPr>
        <w:t>países</w:t>
      </w:r>
      <w:r>
        <w:rPr>
          <w:color w:val="231F20"/>
          <w:spacing w:val="-10"/>
          <w:w w:val="110"/>
        </w:rPr>
        <w:t> </w:t>
      </w:r>
      <w:r>
        <w:rPr>
          <w:color w:val="231F20"/>
          <w:w w:val="110"/>
        </w:rPr>
        <w:t>previamente</w:t>
      </w:r>
      <w:r>
        <w:rPr>
          <w:color w:val="231F20"/>
          <w:spacing w:val="-10"/>
          <w:w w:val="110"/>
        </w:rPr>
        <w:t> </w:t>
      </w:r>
      <w:r>
        <w:rPr>
          <w:color w:val="231F20"/>
          <w:w w:val="110"/>
        </w:rPr>
        <w:t>calificados</w:t>
      </w:r>
      <w:r>
        <w:rPr>
          <w:color w:val="231F20"/>
          <w:spacing w:val="-10"/>
          <w:w w:val="110"/>
        </w:rPr>
        <w:t> </w:t>
      </w:r>
      <w:r>
        <w:rPr>
          <w:color w:val="231F20"/>
          <w:w w:val="110"/>
        </w:rPr>
        <w:t>como</w:t>
      </w:r>
      <w:r>
        <w:rPr>
          <w:color w:val="231F20"/>
          <w:spacing w:val="-10"/>
          <w:w w:val="110"/>
        </w:rPr>
        <w:t> </w:t>
      </w:r>
      <w:r>
        <w:rPr>
          <w:color w:val="231F20"/>
          <w:w w:val="110"/>
        </w:rPr>
        <w:t>“socios</w:t>
      </w:r>
      <w:r>
        <w:rPr>
          <w:color w:val="231F20"/>
          <w:spacing w:val="-10"/>
          <w:w w:val="110"/>
        </w:rPr>
        <w:t> </w:t>
      </w:r>
      <w:r>
        <w:rPr>
          <w:color w:val="231F20"/>
          <w:w w:val="110"/>
        </w:rPr>
        <w:t>claves”</w:t>
      </w:r>
      <w:r>
        <w:rPr>
          <w:color w:val="231F20"/>
          <w:spacing w:val="-10"/>
          <w:w w:val="110"/>
        </w:rPr>
        <w:t> </w:t>
      </w:r>
      <w:r>
        <w:rPr>
          <w:color w:val="231F20"/>
          <w:w w:val="110"/>
        </w:rPr>
        <w:t>para</w:t>
      </w:r>
      <w:r>
        <w:rPr>
          <w:color w:val="231F20"/>
          <w:w w:val="112"/>
        </w:rPr>
        <w:t> </w:t>
      </w:r>
      <w:r>
        <w:rPr>
          <w:color w:val="231F20"/>
          <w:w w:val="110"/>
        </w:rPr>
        <w:t>la “renovación del liderazgo de Estados Unidos sobre el hemisferio occidental” (Obama, 2008a y</w:t>
      </w:r>
      <w:r>
        <w:rPr>
          <w:color w:val="231F20"/>
          <w:spacing w:val="-26"/>
          <w:w w:val="110"/>
        </w:rPr>
        <w:t> </w:t>
      </w:r>
      <w:r>
        <w:rPr>
          <w:color w:val="231F20"/>
          <w:w w:val="110"/>
        </w:rPr>
        <w:t>2010).</w:t>
      </w:r>
    </w:p>
    <w:p>
      <w:pPr>
        <w:pStyle w:val="BodyText"/>
        <w:spacing w:line="261" w:lineRule="auto"/>
        <w:ind w:left="100" w:right="117" w:firstLine="240"/>
        <w:jc w:val="both"/>
      </w:pPr>
      <w:r>
        <w:rPr>
          <w:color w:val="231F20"/>
          <w:w w:val="105"/>
        </w:rPr>
        <w:t>En esa lógica y según se infiere de las palabras de Obama, las antes referidas “reformas” de la usaid y la participación de “voluntarios”   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5"/>
        <w:jc w:val="both"/>
      </w:pPr>
      <w:r>
        <w:rPr>
          <w:color w:val="231F20"/>
          <w:w w:val="110"/>
        </w:rPr>
        <w:t>los</w:t>
      </w:r>
      <w:r>
        <w:rPr>
          <w:color w:val="231F20"/>
          <w:spacing w:val="-13"/>
          <w:w w:val="110"/>
        </w:rPr>
        <w:t> </w:t>
      </w:r>
      <w:r>
        <w:rPr>
          <w:color w:val="231F20"/>
          <w:w w:val="110"/>
        </w:rPr>
        <w:t>Cuerpos</w:t>
      </w:r>
      <w:r>
        <w:rPr>
          <w:color w:val="231F20"/>
          <w:spacing w:val="-13"/>
          <w:w w:val="110"/>
        </w:rPr>
        <w:t> </w:t>
      </w:r>
      <w:r>
        <w:rPr>
          <w:color w:val="231F20"/>
          <w:w w:val="110"/>
        </w:rPr>
        <w:t>de</w:t>
      </w:r>
      <w:r>
        <w:rPr>
          <w:color w:val="231F20"/>
          <w:spacing w:val="-13"/>
          <w:w w:val="110"/>
        </w:rPr>
        <w:t> </w:t>
      </w:r>
      <w:r>
        <w:rPr>
          <w:color w:val="231F20"/>
          <w:w w:val="110"/>
        </w:rPr>
        <w:t>Paz</w:t>
      </w:r>
      <w:r>
        <w:rPr>
          <w:color w:val="231F20"/>
          <w:spacing w:val="-13"/>
          <w:w w:val="110"/>
        </w:rPr>
        <w:t> </w:t>
      </w:r>
      <w:r>
        <w:rPr>
          <w:color w:val="231F20"/>
          <w:w w:val="110"/>
        </w:rPr>
        <w:t>en</w:t>
      </w:r>
      <w:r>
        <w:rPr>
          <w:color w:val="231F20"/>
          <w:spacing w:val="-13"/>
          <w:w w:val="110"/>
        </w:rPr>
        <w:t> </w:t>
      </w:r>
      <w:r>
        <w:rPr>
          <w:color w:val="231F20"/>
          <w:w w:val="110"/>
        </w:rPr>
        <w:t>actividades</w:t>
      </w:r>
      <w:r>
        <w:rPr>
          <w:color w:val="231F20"/>
          <w:spacing w:val="-13"/>
          <w:w w:val="110"/>
        </w:rPr>
        <w:t> </w:t>
      </w:r>
      <w:r>
        <w:rPr>
          <w:color w:val="231F20"/>
          <w:w w:val="110"/>
        </w:rPr>
        <w:t>dirigidas</w:t>
      </w:r>
      <w:r>
        <w:rPr>
          <w:color w:val="231F20"/>
          <w:spacing w:val="-13"/>
          <w:w w:val="110"/>
        </w:rPr>
        <w:t> </w:t>
      </w:r>
      <w:r>
        <w:rPr>
          <w:color w:val="231F20"/>
          <w:w w:val="110"/>
        </w:rPr>
        <w:t>a</w:t>
      </w:r>
      <w:r>
        <w:rPr>
          <w:color w:val="231F20"/>
          <w:spacing w:val="-13"/>
          <w:w w:val="110"/>
        </w:rPr>
        <w:t> </w:t>
      </w:r>
      <w:r>
        <w:rPr>
          <w:color w:val="231F20"/>
          <w:w w:val="110"/>
        </w:rPr>
        <w:t>“disminuir</w:t>
      </w:r>
      <w:r>
        <w:rPr>
          <w:color w:val="231F20"/>
          <w:spacing w:val="-13"/>
          <w:w w:val="110"/>
        </w:rPr>
        <w:t> </w:t>
      </w:r>
      <w:r>
        <w:rPr>
          <w:color w:val="231F20"/>
          <w:w w:val="110"/>
        </w:rPr>
        <w:t>la</w:t>
      </w:r>
      <w:r>
        <w:rPr>
          <w:color w:val="231F20"/>
          <w:spacing w:val="-13"/>
          <w:w w:val="110"/>
        </w:rPr>
        <w:t> </w:t>
      </w:r>
      <w:r>
        <w:rPr>
          <w:color w:val="231F20"/>
          <w:w w:val="110"/>
        </w:rPr>
        <w:t>pobreza,</w:t>
      </w:r>
      <w:r>
        <w:rPr>
          <w:color w:val="231F20"/>
          <w:spacing w:val="-13"/>
          <w:w w:val="110"/>
        </w:rPr>
        <w:t> </w:t>
      </w:r>
      <w:r>
        <w:rPr>
          <w:color w:val="231F20"/>
          <w:w w:val="110"/>
        </w:rPr>
        <w:t>a combatir enfermedades como la malaria y a apoyar el desarrollo de la sociedad civil”, han estado orientadas a contrarrestar el negativo impacto que han tenido “en la influencia de Estados Unidos” en varios</w:t>
      </w:r>
      <w:r>
        <w:rPr>
          <w:color w:val="231F20"/>
          <w:spacing w:val="-20"/>
          <w:w w:val="110"/>
        </w:rPr>
        <w:t> </w:t>
      </w:r>
      <w:r>
        <w:rPr>
          <w:color w:val="231F20"/>
          <w:w w:val="110"/>
        </w:rPr>
        <w:t>países</w:t>
      </w:r>
      <w:r>
        <w:rPr>
          <w:color w:val="231F20"/>
          <w:spacing w:val="-20"/>
          <w:w w:val="110"/>
        </w:rPr>
        <w:t> </w:t>
      </w:r>
      <w:r>
        <w:rPr>
          <w:color w:val="231F20"/>
          <w:w w:val="110"/>
        </w:rPr>
        <w:t>latinoamericanos</w:t>
      </w:r>
      <w:r>
        <w:rPr>
          <w:color w:val="231F20"/>
          <w:spacing w:val="-20"/>
          <w:w w:val="110"/>
        </w:rPr>
        <w:t> </w:t>
      </w:r>
      <w:r>
        <w:rPr>
          <w:color w:val="231F20"/>
          <w:w w:val="110"/>
        </w:rPr>
        <w:t>y</w:t>
      </w:r>
      <w:r>
        <w:rPr>
          <w:color w:val="231F20"/>
          <w:spacing w:val="-20"/>
          <w:w w:val="110"/>
        </w:rPr>
        <w:t> </w:t>
      </w:r>
      <w:r>
        <w:rPr>
          <w:color w:val="231F20"/>
          <w:w w:val="110"/>
        </w:rPr>
        <w:t>caribeños</w:t>
      </w:r>
      <w:r>
        <w:rPr>
          <w:color w:val="231F20"/>
          <w:spacing w:val="-20"/>
          <w:w w:val="110"/>
        </w:rPr>
        <w:t> </w:t>
      </w:r>
      <w:r>
        <w:rPr>
          <w:color w:val="231F20"/>
          <w:w w:val="110"/>
        </w:rPr>
        <w:t>los</w:t>
      </w:r>
      <w:r>
        <w:rPr>
          <w:color w:val="231F20"/>
          <w:spacing w:val="-20"/>
          <w:w w:val="110"/>
        </w:rPr>
        <w:t> </w:t>
      </w:r>
      <w:r>
        <w:rPr>
          <w:color w:val="231F20"/>
          <w:w w:val="110"/>
        </w:rPr>
        <w:t>diversos</w:t>
      </w:r>
      <w:r>
        <w:rPr>
          <w:color w:val="231F20"/>
          <w:spacing w:val="-20"/>
          <w:w w:val="110"/>
        </w:rPr>
        <w:t> </w:t>
      </w:r>
      <w:r>
        <w:rPr>
          <w:color w:val="231F20"/>
          <w:w w:val="110"/>
        </w:rPr>
        <w:t>programas</w:t>
      </w:r>
      <w:r>
        <w:rPr>
          <w:color w:val="231F20"/>
          <w:spacing w:val="-20"/>
          <w:w w:val="110"/>
        </w:rPr>
        <w:t> </w:t>
      </w:r>
      <w:r>
        <w:rPr>
          <w:color w:val="231F20"/>
          <w:w w:val="110"/>
        </w:rPr>
        <w:t>so- ciales</w:t>
      </w:r>
      <w:r>
        <w:rPr>
          <w:color w:val="231F20"/>
          <w:spacing w:val="-7"/>
          <w:w w:val="110"/>
        </w:rPr>
        <w:t> </w:t>
      </w:r>
      <w:r>
        <w:rPr>
          <w:color w:val="231F20"/>
          <w:w w:val="110"/>
        </w:rPr>
        <w:t>emprendidos</w:t>
      </w:r>
      <w:r>
        <w:rPr>
          <w:color w:val="231F20"/>
          <w:spacing w:val="-7"/>
          <w:w w:val="110"/>
        </w:rPr>
        <w:t> </w:t>
      </w:r>
      <w:r>
        <w:rPr>
          <w:color w:val="231F20"/>
          <w:w w:val="110"/>
        </w:rPr>
        <w:t>por</w:t>
      </w:r>
      <w:r>
        <w:rPr>
          <w:color w:val="231F20"/>
          <w:spacing w:val="-7"/>
          <w:w w:val="110"/>
        </w:rPr>
        <w:t> </w:t>
      </w:r>
      <w:r>
        <w:rPr>
          <w:color w:val="231F20"/>
          <w:w w:val="110"/>
        </w:rPr>
        <w:t>Cuba</w:t>
      </w:r>
      <w:r>
        <w:rPr>
          <w:color w:val="231F20"/>
          <w:spacing w:val="-7"/>
          <w:w w:val="110"/>
        </w:rPr>
        <w:t> </w:t>
      </w:r>
      <w:r>
        <w:rPr>
          <w:color w:val="231F20"/>
          <w:w w:val="110"/>
        </w:rPr>
        <w:t>y</w:t>
      </w:r>
      <w:r>
        <w:rPr>
          <w:color w:val="231F20"/>
          <w:spacing w:val="-7"/>
          <w:w w:val="110"/>
        </w:rPr>
        <w:t> </w:t>
      </w:r>
      <w:r>
        <w:rPr>
          <w:color w:val="231F20"/>
          <w:w w:val="110"/>
        </w:rPr>
        <w:t>Venezuela,</w:t>
      </w:r>
      <w:r>
        <w:rPr>
          <w:color w:val="231F20"/>
          <w:spacing w:val="-7"/>
          <w:w w:val="110"/>
        </w:rPr>
        <w:t> </w:t>
      </w:r>
      <w:r>
        <w:rPr>
          <w:color w:val="231F20"/>
          <w:w w:val="110"/>
        </w:rPr>
        <w:t>tanto</w:t>
      </w:r>
      <w:r>
        <w:rPr>
          <w:color w:val="231F20"/>
          <w:spacing w:val="-7"/>
          <w:w w:val="110"/>
        </w:rPr>
        <w:t> </w:t>
      </w:r>
      <w:r>
        <w:rPr>
          <w:color w:val="231F20"/>
          <w:w w:val="110"/>
        </w:rPr>
        <w:t>de</w:t>
      </w:r>
      <w:r>
        <w:rPr>
          <w:color w:val="231F20"/>
          <w:spacing w:val="-7"/>
          <w:w w:val="110"/>
        </w:rPr>
        <w:t> </w:t>
      </w:r>
      <w:r>
        <w:rPr>
          <w:color w:val="231F20"/>
          <w:w w:val="110"/>
        </w:rPr>
        <w:t>manera</w:t>
      </w:r>
      <w:r>
        <w:rPr>
          <w:color w:val="231F20"/>
          <w:spacing w:val="-7"/>
          <w:w w:val="110"/>
        </w:rPr>
        <w:t> </w:t>
      </w:r>
      <w:r>
        <w:rPr>
          <w:color w:val="231F20"/>
          <w:w w:val="110"/>
        </w:rPr>
        <w:t>bilateral, como dentro de los marcos del alba y de los acuerdos alba-Caribe, signados en 2005 con la mayor parte de los gobiernos integrantes</w:t>
      </w:r>
      <w:r>
        <w:rPr>
          <w:color w:val="231F20"/>
          <w:spacing w:val="-14"/>
          <w:w w:val="110"/>
        </w:rPr>
        <w:t> </w:t>
      </w:r>
      <w:r>
        <w:rPr>
          <w:color w:val="231F20"/>
          <w:w w:val="110"/>
        </w:rPr>
        <w:t>de la Comunidad del Caribe (caricom), con excepción de los de Barba- dos y </w:t>
      </w:r>
      <w:r>
        <w:rPr>
          <w:color w:val="231F20"/>
          <w:spacing w:val="-3"/>
          <w:w w:val="110"/>
        </w:rPr>
        <w:t>Trinidad </w:t>
      </w:r>
      <w:r>
        <w:rPr>
          <w:color w:val="231F20"/>
          <w:w w:val="110"/>
        </w:rPr>
        <w:t>y </w:t>
      </w:r>
      <w:r>
        <w:rPr>
          <w:color w:val="231F20"/>
          <w:spacing w:val="-3"/>
          <w:w w:val="110"/>
        </w:rPr>
        <w:t>Tobago. </w:t>
      </w:r>
      <w:r>
        <w:rPr>
          <w:color w:val="231F20"/>
          <w:w w:val="110"/>
        </w:rPr>
        <w:t>Según anticiparon sus principales artífices (Fidel Castro y Hugo Chávez), además de contribuir a resolver los agudos problemas económicos y sociales que afectan a esos países, todos esos acuerdos estarían orientados a fortalecer las relaciones</w:t>
      </w:r>
      <w:r>
        <w:rPr>
          <w:color w:val="231F20"/>
          <w:spacing w:val="-17"/>
          <w:w w:val="110"/>
        </w:rPr>
        <w:t> </w:t>
      </w:r>
      <w:r>
        <w:rPr>
          <w:color w:val="231F20"/>
          <w:w w:val="110"/>
        </w:rPr>
        <w:t>de solidaridad y complementariedad entre sus Estados miembros, así como a disminuir su dependencia estructural y funcional de Estados Unidos</w:t>
      </w:r>
      <w:r>
        <w:rPr>
          <w:color w:val="231F20"/>
          <w:spacing w:val="-26"/>
          <w:w w:val="110"/>
        </w:rPr>
        <w:t> </w:t>
      </w:r>
      <w:r>
        <w:rPr>
          <w:color w:val="231F20"/>
          <w:w w:val="110"/>
        </w:rPr>
        <w:t>(</w:t>
      </w:r>
      <w:r>
        <w:rPr>
          <w:i/>
          <w:color w:val="231F20"/>
          <w:w w:val="110"/>
        </w:rPr>
        <w:t>Granma,</w:t>
      </w:r>
      <w:r>
        <w:rPr>
          <w:i/>
          <w:color w:val="231F20"/>
          <w:spacing w:val="-26"/>
          <w:w w:val="110"/>
        </w:rPr>
        <w:t> </w:t>
      </w:r>
      <w:r>
        <w:rPr>
          <w:color w:val="231F20"/>
          <w:w w:val="110"/>
        </w:rPr>
        <w:t>2004)</w:t>
      </w:r>
    </w:p>
    <w:p>
      <w:pPr>
        <w:pStyle w:val="BodyText"/>
        <w:spacing w:line="261" w:lineRule="auto"/>
        <w:ind w:left="100" w:right="115" w:firstLine="240"/>
        <w:jc w:val="both"/>
      </w:pPr>
      <w:r>
        <w:rPr>
          <w:color w:val="231F20"/>
          <w:w w:val="105"/>
        </w:rPr>
        <w:t>Por consiguiente, a la erosión de la “influencia” de Cuba </w:t>
      </w:r>
      <w:r>
        <w:rPr>
          <w:color w:val="231F20"/>
        </w:rPr>
        <w:t>y </w:t>
      </w:r>
      <w:r>
        <w:rPr>
          <w:color w:val="231F20"/>
          <w:spacing w:val="-4"/>
          <w:w w:val="105"/>
        </w:rPr>
        <w:t>Vene- </w:t>
      </w:r>
      <w:r>
        <w:rPr>
          <w:color w:val="231F20"/>
          <w:w w:val="105"/>
        </w:rPr>
        <w:t>zuela en la Cuenca del Caribe </w:t>
      </w:r>
      <w:r>
        <w:rPr>
          <w:color w:val="231F20"/>
        </w:rPr>
        <w:t>y </w:t>
      </w:r>
      <w:r>
        <w:rPr>
          <w:color w:val="231F20"/>
          <w:w w:val="105"/>
        </w:rPr>
        <w:t>en Suramérica también apunta la re- definición de “la democracia” realizada por Barack Obama. En efecto, retomando algunos de los pretextos utilizados por la administración    de George </w:t>
      </w:r>
      <w:r>
        <w:rPr>
          <w:color w:val="231F20"/>
          <w:spacing w:val="-6"/>
          <w:w w:val="105"/>
        </w:rPr>
        <w:t>W. </w:t>
      </w:r>
      <w:r>
        <w:rPr>
          <w:color w:val="231F20"/>
          <w:w w:val="105"/>
        </w:rPr>
        <w:t>Bush para agredir a los procesos de cambios favorables  a los intereses nacionales </w:t>
      </w:r>
      <w:r>
        <w:rPr>
          <w:color w:val="231F20"/>
        </w:rPr>
        <w:t>y </w:t>
      </w:r>
      <w:r>
        <w:rPr>
          <w:color w:val="231F20"/>
          <w:w w:val="105"/>
        </w:rPr>
        <w:t>populares que se desarrollan en diversos países de América Latina </w:t>
      </w:r>
      <w:r>
        <w:rPr>
          <w:color w:val="231F20"/>
        </w:rPr>
        <w:t>y </w:t>
      </w:r>
      <w:r>
        <w:rPr>
          <w:color w:val="231F20"/>
          <w:w w:val="105"/>
        </w:rPr>
        <w:t>el Caribe </w:t>
      </w:r>
      <w:r>
        <w:rPr>
          <w:color w:val="231F20"/>
          <w:spacing w:val="-8"/>
          <w:w w:val="105"/>
        </w:rPr>
        <w:t>y, </w:t>
      </w:r>
      <w:r>
        <w:rPr>
          <w:color w:val="231F20"/>
          <w:w w:val="105"/>
        </w:rPr>
        <w:t>sobre todo, a las revoluciones cubana </w:t>
      </w:r>
      <w:r>
        <w:rPr>
          <w:color w:val="231F20"/>
        </w:rPr>
        <w:t>y </w:t>
      </w:r>
      <w:r>
        <w:rPr>
          <w:color w:val="231F20"/>
          <w:w w:val="105"/>
        </w:rPr>
        <w:t>bolivariana, durante su campaña electoral, Obama señaló: “Sabemos que la libertad a través del hemisferio debe ir más allá de  las elecciones […] Hugo Chávez es un líder elegido democráticamen- te. Pero también sabemos que él no gobierna democráticamente”. </w:t>
      </w:r>
      <w:r>
        <w:rPr>
          <w:color w:val="231F20"/>
        </w:rPr>
        <w:t>Y </w:t>
      </w:r>
      <w:r>
        <w:rPr>
          <w:color w:val="231F20"/>
          <w:w w:val="105"/>
        </w:rPr>
        <w:t>agregó: “Debemos impulsar una visión de la democracia que vaya más allá de las urnas. Debemos incrementar nuestro apoyo a legislaturas fuertes, sistemas judiciales independientes, prensa libre, vibrante sociedad civil, policía honesta, libertad de religión </w:t>
      </w:r>
      <w:r>
        <w:rPr>
          <w:color w:val="231F20"/>
        </w:rPr>
        <w:t>y </w:t>
      </w:r>
      <w:r>
        <w:rPr>
          <w:color w:val="231F20"/>
          <w:w w:val="105"/>
        </w:rPr>
        <w:t>el imperio de la ley” (Obama,</w:t>
      </w:r>
      <w:r>
        <w:rPr>
          <w:color w:val="231F20"/>
          <w:spacing w:val="41"/>
          <w:w w:val="105"/>
        </w:rPr>
        <w:t> </w:t>
      </w:r>
      <w:r>
        <w:rPr>
          <w:color w:val="231F20"/>
          <w:w w:val="105"/>
        </w:rPr>
        <w:t>2008).</w:t>
      </w:r>
    </w:p>
    <w:p>
      <w:pPr>
        <w:pStyle w:val="BodyText"/>
        <w:spacing w:line="261" w:lineRule="auto"/>
        <w:ind w:left="100" w:right="117" w:firstLine="240"/>
        <w:jc w:val="both"/>
      </w:pPr>
      <w:r>
        <w:rPr>
          <w:color w:val="231F20"/>
          <w:w w:val="110"/>
        </w:rPr>
        <w:t>Además de otros elementos que veremos más adelante, el sentido de</w:t>
      </w:r>
      <w:r>
        <w:rPr>
          <w:color w:val="231F20"/>
          <w:spacing w:val="-7"/>
          <w:w w:val="110"/>
        </w:rPr>
        <w:t> </w:t>
      </w:r>
      <w:r>
        <w:rPr>
          <w:color w:val="231F20"/>
          <w:w w:val="110"/>
        </w:rPr>
        <w:t>esas</w:t>
      </w:r>
      <w:r>
        <w:rPr>
          <w:color w:val="231F20"/>
          <w:spacing w:val="-7"/>
          <w:w w:val="110"/>
        </w:rPr>
        <w:t> </w:t>
      </w:r>
      <w:r>
        <w:rPr>
          <w:color w:val="231F20"/>
          <w:w w:val="110"/>
        </w:rPr>
        <w:t>palabras</w:t>
      </w:r>
      <w:r>
        <w:rPr>
          <w:color w:val="231F20"/>
          <w:spacing w:val="-7"/>
          <w:w w:val="110"/>
        </w:rPr>
        <w:t> </w:t>
      </w:r>
      <w:r>
        <w:rPr>
          <w:color w:val="231F20"/>
          <w:w w:val="110"/>
        </w:rPr>
        <w:t>quedó</w:t>
      </w:r>
      <w:r>
        <w:rPr>
          <w:color w:val="231F20"/>
          <w:spacing w:val="-7"/>
          <w:w w:val="110"/>
        </w:rPr>
        <w:t> </w:t>
      </w:r>
      <w:r>
        <w:rPr>
          <w:color w:val="231F20"/>
          <w:w w:val="110"/>
        </w:rPr>
        <w:t>totalmente</w:t>
      </w:r>
      <w:r>
        <w:rPr>
          <w:color w:val="231F20"/>
          <w:spacing w:val="-7"/>
          <w:w w:val="110"/>
        </w:rPr>
        <w:t> </w:t>
      </w:r>
      <w:r>
        <w:rPr>
          <w:color w:val="231F20"/>
          <w:w w:val="110"/>
        </w:rPr>
        <w:t>claro</w:t>
      </w:r>
      <w:r>
        <w:rPr>
          <w:color w:val="231F20"/>
          <w:spacing w:val="-7"/>
          <w:w w:val="110"/>
        </w:rPr>
        <w:t> </w:t>
      </w:r>
      <w:r>
        <w:rPr>
          <w:color w:val="231F20"/>
          <w:w w:val="110"/>
        </w:rPr>
        <w:t>durante</w:t>
      </w:r>
      <w:r>
        <w:rPr>
          <w:color w:val="231F20"/>
          <w:spacing w:val="-7"/>
          <w:w w:val="110"/>
        </w:rPr>
        <w:t> </w:t>
      </w:r>
      <w:r>
        <w:rPr>
          <w:color w:val="231F20"/>
          <w:w w:val="110"/>
        </w:rPr>
        <w:t>y</w:t>
      </w:r>
      <w:r>
        <w:rPr>
          <w:color w:val="231F20"/>
          <w:spacing w:val="-7"/>
          <w:w w:val="110"/>
        </w:rPr>
        <w:t> </w:t>
      </w:r>
      <w:r>
        <w:rPr>
          <w:color w:val="231F20"/>
          <w:w w:val="110"/>
        </w:rPr>
        <w:t>después</w:t>
      </w:r>
      <w:r>
        <w:rPr>
          <w:color w:val="231F20"/>
          <w:spacing w:val="-7"/>
          <w:w w:val="110"/>
        </w:rPr>
        <w:t> </w:t>
      </w:r>
      <w:r>
        <w:rPr>
          <w:color w:val="231F20"/>
          <w:w w:val="110"/>
        </w:rPr>
        <w:t>del</w:t>
      </w:r>
      <w:r>
        <w:rPr>
          <w:color w:val="231F20"/>
          <w:spacing w:val="-7"/>
          <w:w w:val="110"/>
        </w:rPr>
        <w:t> </w:t>
      </w:r>
      <w:r>
        <w:rPr>
          <w:color w:val="231F20"/>
          <w:w w:val="110"/>
        </w:rPr>
        <w:t>cruen- to golpe de Estado que en junio del 2009 y encabezado por Roberto Micheletti, derrocó al presidente constitucional hondureño, Manuel Zelaya. Como ya se sabe, ese “cuartelazo” fue impulsado por los sectores más reaccionarios del Partido Republicano y por diferentes agencias</w:t>
      </w:r>
      <w:r>
        <w:rPr>
          <w:color w:val="231F20"/>
          <w:spacing w:val="-18"/>
          <w:w w:val="110"/>
        </w:rPr>
        <w:t> </w:t>
      </w:r>
      <w:r>
        <w:rPr>
          <w:color w:val="231F20"/>
          <w:w w:val="110"/>
        </w:rPr>
        <w:t>del</w:t>
      </w:r>
      <w:r>
        <w:rPr>
          <w:color w:val="231F20"/>
          <w:spacing w:val="-18"/>
          <w:w w:val="110"/>
        </w:rPr>
        <w:t> </w:t>
      </w:r>
      <w:r>
        <w:rPr>
          <w:i/>
          <w:color w:val="231F20"/>
          <w:w w:val="110"/>
        </w:rPr>
        <w:t>gobierno</w:t>
      </w:r>
      <w:r>
        <w:rPr>
          <w:i/>
          <w:color w:val="231F20"/>
          <w:spacing w:val="-18"/>
          <w:w w:val="110"/>
        </w:rPr>
        <w:t> </w:t>
      </w:r>
      <w:r>
        <w:rPr>
          <w:i/>
          <w:color w:val="231F20"/>
          <w:w w:val="110"/>
        </w:rPr>
        <w:t>permanente</w:t>
      </w:r>
      <w:r>
        <w:rPr>
          <w:i/>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Unidos</w:t>
      </w:r>
      <w:r>
        <w:rPr>
          <w:color w:val="231F20"/>
          <w:spacing w:val="-18"/>
          <w:w w:val="110"/>
        </w:rPr>
        <w:t> </w:t>
      </w:r>
      <w:r>
        <w:rPr>
          <w:color w:val="231F20"/>
          <w:w w:val="110"/>
        </w:rPr>
        <w:t>(lap,</w:t>
      </w:r>
      <w:r>
        <w:rPr>
          <w:color w:val="231F20"/>
          <w:spacing w:val="-18"/>
          <w:w w:val="110"/>
        </w:rPr>
        <w:t> </w:t>
      </w:r>
      <w:r>
        <w:rPr>
          <w:color w:val="231F20"/>
          <w:w w:val="110"/>
        </w:rPr>
        <w:t>2010).</w:t>
      </w:r>
      <w:r>
        <w:rPr>
          <w:color w:val="231F20"/>
          <w:spacing w:val="-18"/>
          <w:w w:val="110"/>
        </w:rPr>
        <w:t> </w:t>
      </w:r>
      <w:r>
        <w:rPr>
          <w:color w:val="231F20"/>
          <w:w w:val="110"/>
        </w:rPr>
        <w:t>Por</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6"/>
        <w:jc w:val="both"/>
      </w:pPr>
      <w:r>
        <w:rPr>
          <w:color w:val="231F20"/>
          <w:w w:val="110"/>
        </w:rPr>
        <w:t>consiguiente, luego de algunas vacilaciones, la administración de Barack Obama terminó convalidándolo, al igual que impulsando y reconociendo los fraudulentos comicios generales en los que resultó “electo”</w:t>
      </w:r>
      <w:r>
        <w:rPr>
          <w:color w:val="231F20"/>
          <w:spacing w:val="-13"/>
          <w:w w:val="110"/>
        </w:rPr>
        <w:t> </w:t>
      </w:r>
      <w:r>
        <w:rPr>
          <w:color w:val="231F20"/>
          <w:w w:val="110"/>
        </w:rPr>
        <w:t>el</w:t>
      </w:r>
      <w:r>
        <w:rPr>
          <w:color w:val="231F20"/>
          <w:spacing w:val="-13"/>
          <w:w w:val="110"/>
        </w:rPr>
        <w:t> </w:t>
      </w:r>
      <w:r>
        <w:rPr>
          <w:color w:val="231F20"/>
          <w:w w:val="110"/>
        </w:rPr>
        <w:t>espurio</w:t>
      </w:r>
      <w:r>
        <w:rPr>
          <w:color w:val="231F20"/>
          <w:spacing w:val="-13"/>
          <w:w w:val="110"/>
        </w:rPr>
        <w:t> </w:t>
      </w:r>
      <w:r>
        <w:rPr>
          <w:color w:val="231F20"/>
          <w:w w:val="110"/>
        </w:rPr>
        <w:t>presidente</w:t>
      </w:r>
      <w:r>
        <w:rPr>
          <w:color w:val="231F20"/>
          <w:spacing w:val="-13"/>
          <w:w w:val="110"/>
        </w:rPr>
        <w:t> </w:t>
      </w:r>
      <w:r>
        <w:rPr>
          <w:color w:val="231F20"/>
          <w:w w:val="110"/>
        </w:rPr>
        <w:t>hondureño</w:t>
      </w:r>
      <w:r>
        <w:rPr>
          <w:color w:val="231F20"/>
          <w:spacing w:val="-13"/>
          <w:w w:val="110"/>
        </w:rPr>
        <w:t> </w:t>
      </w:r>
      <w:r>
        <w:rPr>
          <w:color w:val="231F20"/>
          <w:w w:val="110"/>
        </w:rPr>
        <w:t>Porfirio</w:t>
      </w:r>
      <w:r>
        <w:rPr>
          <w:color w:val="231F20"/>
          <w:spacing w:val="-13"/>
          <w:w w:val="110"/>
        </w:rPr>
        <w:t> </w:t>
      </w:r>
      <w:r>
        <w:rPr>
          <w:color w:val="231F20"/>
          <w:w w:val="110"/>
        </w:rPr>
        <w:t>Lobo.</w:t>
      </w:r>
      <w:r>
        <w:rPr>
          <w:color w:val="231F20"/>
          <w:spacing w:val="-13"/>
          <w:w w:val="110"/>
        </w:rPr>
        <w:t> </w:t>
      </w:r>
      <w:r>
        <w:rPr>
          <w:color w:val="231F20"/>
          <w:w w:val="110"/>
        </w:rPr>
        <w:t>Éste</w:t>
      </w:r>
      <w:r>
        <w:rPr>
          <w:color w:val="231F20"/>
          <w:spacing w:val="-13"/>
          <w:w w:val="110"/>
        </w:rPr>
        <w:t> </w:t>
      </w:r>
      <w:r>
        <w:rPr>
          <w:color w:val="231F20"/>
          <w:w w:val="110"/>
        </w:rPr>
        <w:t>—luego de reiterar la ruptura de todos los compromisos que el gobierno de Zelaya había asumido con el alba— fue oficialmente reconocido  por</w:t>
      </w:r>
      <w:r>
        <w:rPr>
          <w:color w:val="231F20"/>
          <w:spacing w:val="-11"/>
          <w:w w:val="110"/>
        </w:rPr>
        <w:t> </w:t>
      </w:r>
      <w:r>
        <w:rPr>
          <w:color w:val="231F20"/>
          <w:w w:val="110"/>
        </w:rPr>
        <w:t>la</w:t>
      </w:r>
      <w:r>
        <w:rPr>
          <w:color w:val="231F20"/>
          <w:spacing w:val="-11"/>
          <w:w w:val="110"/>
        </w:rPr>
        <w:t> </w:t>
      </w:r>
      <w:r>
        <w:rPr>
          <w:color w:val="231F20"/>
          <w:w w:val="110"/>
        </w:rPr>
        <w:t>Casa</w:t>
      </w:r>
      <w:r>
        <w:rPr>
          <w:color w:val="231F20"/>
          <w:spacing w:val="-11"/>
          <w:w w:val="110"/>
        </w:rPr>
        <w:t> </w:t>
      </w:r>
      <w:r>
        <w:rPr>
          <w:color w:val="231F20"/>
          <w:w w:val="110"/>
        </w:rPr>
        <w:t>Blanca</w:t>
      </w:r>
      <w:r>
        <w:rPr>
          <w:color w:val="231F20"/>
          <w:spacing w:val="-11"/>
          <w:w w:val="110"/>
        </w:rPr>
        <w:t> </w:t>
      </w:r>
      <w:r>
        <w:rPr>
          <w:color w:val="231F20"/>
          <w:w w:val="110"/>
        </w:rPr>
        <w:t>y</w:t>
      </w:r>
      <w:r>
        <w:rPr>
          <w:color w:val="231F20"/>
          <w:spacing w:val="-11"/>
          <w:w w:val="110"/>
        </w:rPr>
        <w:t> </w:t>
      </w:r>
      <w:r>
        <w:rPr>
          <w:color w:val="231F20"/>
          <w:w w:val="110"/>
        </w:rPr>
        <w:t>por</w:t>
      </w:r>
      <w:r>
        <w:rPr>
          <w:color w:val="231F20"/>
          <w:spacing w:val="-11"/>
          <w:w w:val="110"/>
        </w:rPr>
        <w:t> </w:t>
      </w:r>
      <w:r>
        <w:rPr>
          <w:color w:val="231F20"/>
          <w:w w:val="110"/>
        </w:rPr>
        <w:t>sus</w:t>
      </w:r>
      <w:r>
        <w:rPr>
          <w:color w:val="231F20"/>
          <w:spacing w:val="-11"/>
          <w:w w:val="110"/>
        </w:rPr>
        <w:t> </w:t>
      </w:r>
      <w:r>
        <w:rPr>
          <w:color w:val="231F20"/>
          <w:w w:val="110"/>
        </w:rPr>
        <w:t>principales</w:t>
      </w:r>
      <w:r>
        <w:rPr>
          <w:color w:val="231F20"/>
          <w:spacing w:val="-11"/>
          <w:w w:val="110"/>
        </w:rPr>
        <w:t> </w:t>
      </w:r>
      <w:r>
        <w:rPr>
          <w:color w:val="231F20"/>
          <w:w w:val="110"/>
        </w:rPr>
        <w:t>aliados</w:t>
      </w:r>
      <w:r>
        <w:rPr>
          <w:color w:val="231F20"/>
          <w:spacing w:val="-11"/>
          <w:w w:val="110"/>
        </w:rPr>
        <w:t> </w:t>
      </w:r>
      <w:r>
        <w:rPr>
          <w:color w:val="231F20"/>
          <w:w w:val="110"/>
        </w:rPr>
        <w:t>hemisféricos</w:t>
      </w:r>
      <w:r>
        <w:rPr>
          <w:color w:val="231F20"/>
          <w:spacing w:val="-11"/>
          <w:w w:val="110"/>
        </w:rPr>
        <w:t> </w:t>
      </w:r>
      <w:r>
        <w:rPr>
          <w:color w:val="231F20"/>
          <w:w w:val="110"/>
        </w:rPr>
        <w:t>y</w:t>
      </w:r>
      <w:r>
        <w:rPr>
          <w:color w:val="231F20"/>
          <w:spacing w:val="-11"/>
          <w:w w:val="110"/>
        </w:rPr>
        <w:t> </w:t>
      </w:r>
      <w:r>
        <w:rPr>
          <w:color w:val="231F20"/>
          <w:w w:val="110"/>
        </w:rPr>
        <w:t>extra- hemisféricos. No obstante el costo político que ello le ha implicado en sus interrelaciones con diversos gobiernos y “actores” políticos latinoamericanos y caribeños, la búsqueda del reconocimiento inter- nacional y hemisférico del antes referido gobierno hondureño se ha convertido en uno de los principales objetivos de la actual adminis- tración</w:t>
      </w:r>
      <w:r>
        <w:rPr>
          <w:color w:val="231F20"/>
          <w:spacing w:val="30"/>
          <w:w w:val="110"/>
        </w:rPr>
        <w:t> </w:t>
      </w:r>
      <w:r>
        <w:rPr>
          <w:color w:val="231F20"/>
          <w:w w:val="110"/>
        </w:rPr>
        <w:t>estadunidense.</w:t>
      </w:r>
    </w:p>
    <w:p>
      <w:pPr>
        <w:pStyle w:val="BodyText"/>
        <w:spacing w:line="261" w:lineRule="auto"/>
        <w:ind w:left="100" w:right="112" w:firstLine="240"/>
        <w:jc w:val="both"/>
      </w:pPr>
      <w:r>
        <w:rPr>
          <w:color w:val="231F20"/>
          <w:w w:val="110"/>
        </w:rPr>
        <w:t>Paralelamente, ésta ha continuado financiando a través de la usaid, del Centro de  la  Empresa  Privada  Internacional  (cipe)  y de la National Endowment for Democracy (ned), sus diversos pro- </w:t>
      </w:r>
      <w:r>
        <w:rPr>
          <w:color w:val="231F20"/>
          <w:spacing w:val="2"/>
          <w:w w:val="110"/>
        </w:rPr>
        <w:t>gramas dirigidos </w:t>
      </w:r>
      <w:r>
        <w:rPr>
          <w:color w:val="231F20"/>
          <w:w w:val="110"/>
        </w:rPr>
        <w:t>a </w:t>
      </w:r>
      <w:r>
        <w:rPr>
          <w:color w:val="231F20"/>
          <w:spacing w:val="2"/>
          <w:w w:val="110"/>
        </w:rPr>
        <w:t>fortalecer </w:t>
      </w:r>
      <w:r>
        <w:rPr>
          <w:color w:val="231F20"/>
          <w:w w:val="110"/>
        </w:rPr>
        <w:t>a </w:t>
      </w:r>
      <w:r>
        <w:rPr>
          <w:color w:val="231F20"/>
          <w:spacing w:val="2"/>
          <w:w w:val="110"/>
        </w:rPr>
        <w:t>aquellas institucionales </w:t>
      </w:r>
      <w:r>
        <w:rPr>
          <w:color w:val="231F20"/>
          <w:spacing w:val="3"/>
          <w:w w:val="110"/>
        </w:rPr>
        <w:t>privadas, </w:t>
      </w:r>
      <w:r>
        <w:rPr>
          <w:color w:val="231F20"/>
          <w:w w:val="110"/>
        </w:rPr>
        <w:t>organizaciones no gubernamentales, partidos políticos y medios de desinformación</w:t>
      </w:r>
      <w:r>
        <w:rPr>
          <w:color w:val="231F20"/>
          <w:spacing w:val="-6"/>
          <w:w w:val="110"/>
        </w:rPr>
        <w:t> </w:t>
      </w:r>
      <w:r>
        <w:rPr>
          <w:color w:val="231F20"/>
          <w:w w:val="110"/>
        </w:rPr>
        <w:t>masiva</w:t>
      </w:r>
      <w:r>
        <w:rPr>
          <w:color w:val="231F20"/>
          <w:spacing w:val="-6"/>
          <w:w w:val="110"/>
        </w:rPr>
        <w:t> </w:t>
      </w:r>
      <w:r>
        <w:rPr>
          <w:color w:val="231F20"/>
          <w:w w:val="110"/>
        </w:rPr>
        <w:t>que</w:t>
      </w:r>
      <w:r>
        <w:rPr>
          <w:color w:val="231F20"/>
          <w:spacing w:val="-6"/>
          <w:w w:val="110"/>
        </w:rPr>
        <w:t> </w:t>
      </w:r>
      <w:r>
        <w:rPr>
          <w:color w:val="231F20"/>
          <w:w w:val="110"/>
        </w:rPr>
        <w:t>—desde</w:t>
      </w:r>
      <w:r>
        <w:rPr>
          <w:color w:val="231F20"/>
          <w:spacing w:val="-6"/>
          <w:w w:val="110"/>
        </w:rPr>
        <w:t> </w:t>
      </w:r>
      <w:r>
        <w:rPr>
          <w:color w:val="231F20"/>
          <w:w w:val="110"/>
        </w:rPr>
        <w:t>la</w:t>
      </w:r>
      <w:r>
        <w:rPr>
          <w:color w:val="231F20"/>
          <w:spacing w:val="-6"/>
          <w:w w:val="110"/>
        </w:rPr>
        <w:t> </w:t>
      </w:r>
      <w:r>
        <w:rPr>
          <w:color w:val="231F20"/>
          <w:w w:val="110"/>
        </w:rPr>
        <w:t>administración</w:t>
      </w:r>
      <w:r>
        <w:rPr>
          <w:color w:val="231F20"/>
          <w:spacing w:val="-6"/>
          <w:w w:val="110"/>
        </w:rPr>
        <w:t> </w:t>
      </w:r>
      <w:r>
        <w:rPr>
          <w:color w:val="231F20"/>
          <w:w w:val="110"/>
        </w:rPr>
        <w:t>de</w:t>
      </w:r>
      <w:r>
        <w:rPr>
          <w:color w:val="231F20"/>
          <w:spacing w:val="-6"/>
          <w:w w:val="110"/>
        </w:rPr>
        <w:t> </w:t>
      </w:r>
      <w:r>
        <w:rPr>
          <w:color w:val="231F20"/>
          <w:w w:val="110"/>
        </w:rPr>
        <w:t>George</w:t>
      </w:r>
      <w:r>
        <w:rPr>
          <w:color w:val="231F20"/>
          <w:spacing w:val="-6"/>
          <w:w w:val="110"/>
        </w:rPr>
        <w:t> W. </w:t>
      </w:r>
      <w:r>
        <w:rPr>
          <w:color w:val="231F20"/>
          <w:w w:val="110"/>
        </w:rPr>
        <w:t>Bush— vienen tratando de desestabilizar y eventualmente derrocar (</w:t>
      </w:r>
      <w:r>
        <w:rPr>
          <w:i/>
          <w:color w:val="231F20"/>
          <w:w w:val="110"/>
        </w:rPr>
        <w:t>roll</w:t>
      </w:r>
      <w:r>
        <w:rPr>
          <w:i/>
          <w:color w:val="231F20"/>
          <w:spacing w:val="-17"/>
          <w:w w:val="110"/>
        </w:rPr>
        <w:t> </w:t>
      </w:r>
      <w:r>
        <w:rPr>
          <w:i/>
          <w:color w:val="231F20"/>
          <w:w w:val="110"/>
        </w:rPr>
        <w:t>back</w:t>
      </w:r>
      <w:r>
        <w:rPr>
          <w:color w:val="231F20"/>
          <w:w w:val="110"/>
        </w:rPr>
        <w:t>)</w:t>
      </w:r>
      <w:r>
        <w:rPr>
          <w:color w:val="231F20"/>
          <w:spacing w:val="-17"/>
          <w:w w:val="110"/>
        </w:rPr>
        <w:t> </w:t>
      </w:r>
      <w:r>
        <w:rPr>
          <w:color w:val="231F20"/>
          <w:w w:val="110"/>
        </w:rPr>
        <w:t>a</w:t>
      </w:r>
      <w:r>
        <w:rPr>
          <w:color w:val="231F20"/>
          <w:spacing w:val="-17"/>
          <w:w w:val="110"/>
        </w:rPr>
        <w:t> </w:t>
      </w:r>
      <w:r>
        <w:rPr>
          <w:color w:val="231F20"/>
          <w:w w:val="110"/>
        </w:rPr>
        <w:t>los</w:t>
      </w:r>
      <w:r>
        <w:rPr>
          <w:color w:val="231F20"/>
          <w:spacing w:val="-17"/>
          <w:w w:val="110"/>
        </w:rPr>
        <w:t> </w:t>
      </w:r>
      <w:r>
        <w:rPr>
          <w:color w:val="231F20"/>
          <w:w w:val="110"/>
        </w:rPr>
        <w:t>actuales</w:t>
      </w:r>
      <w:r>
        <w:rPr>
          <w:color w:val="231F20"/>
          <w:spacing w:val="-17"/>
          <w:w w:val="110"/>
        </w:rPr>
        <w:t> </w:t>
      </w:r>
      <w:r>
        <w:rPr>
          <w:color w:val="231F20"/>
          <w:w w:val="110"/>
        </w:rPr>
        <w:t>gobiernos</w:t>
      </w:r>
      <w:r>
        <w:rPr>
          <w:color w:val="231F20"/>
          <w:spacing w:val="-17"/>
          <w:w w:val="110"/>
        </w:rPr>
        <w:t> </w:t>
      </w:r>
      <w:r>
        <w:rPr>
          <w:color w:val="231F20"/>
          <w:w w:val="110"/>
        </w:rPr>
        <w:t>constitucionales</w:t>
      </w:r>
      <w:r>
        <w:rPr>
          <w:color w:val="231F20"/>
          <w:spacing w:val="-17"/>
          <w:w w:val="110"/>
        </w:rPr>
        <w:t> </w:t>
      </w:r>
      <w:r>
        <w:rPr>
          <w:color w:val="231F20"/>
          <w:w w:val="110"/>
        </w:rPr>
        <w:t>de</w:t>
      </w:r>
      <w:r>
        <w:rPr>
          <w:color w:val="231F20"/>
          <w:spacing w:val="-17"/>
          <w:w w:val="110"/>
        </w:rPr>
        <w:t> </w:t>
      </w:r>
      <w:r>
        <w:rPr>
          <w:color w:val="231F20"/>
          <w:w w:val="110"/>
        </w:rPr>
        <w:t>Bolivia,</w:t>
      </w:r>
      <w:r>
        <w:rPr>
          <w:color w:val="231F20"/>
          <w:spacing w:val="-17"/>
          <w:w w:val="110"/>
        </w:rPr>
        <w:t> </w:t>
      </w:r>
      <w:r>
        <w:rPr>
          <w:color w:val="231F20"/>
          <w:w w:val="110"/>
        </w:rPr>
        <w:t>Cuba, </w:t>
      </w:r>
      <w:r>
        <w:rPr>
          <w:color w:val="231F20"/>
          <w:spacing w:val="-3"/>
          <w:w w:val="110"/>
        </w:rPr>
        <w:t>Ecuador, </w:t>
      </w:r>
      <w:r>
        <w:rPr>
          <w:color w:val="231F20"/>
          <w:w w:val="110"/>
        </w:rPr>
        <w:t>Nicaragua y Venezuela (Golinger, 2009 y 2010). En con- secuencia, con excepción del de </w:t>
      </w:r>
      <w:r>
        <w:rPr>
          <w:color w:val="231F20"/>
          <w:spacing w:val="-3"/>
          <w:w w:val="110"/>
        </w:rPr>
        <w:t>Ecuador, </w:t>
      </w:r>
      <w:r>
        <w:rPr>
          <w:color w:val="231F20"/>
          <w:w w:val="110"/>
        </w:rPr>
        <w:t>estos últimos gobiernos, juntos a los de Irán, Siria y Sudán, fueron incluidos en la antojadiza lista de gobiernos “patrocinadores del terrorismo” (aquellos que, a su </w:t>
      </w:r>
      <w:r>
        <w:rPr>
          <w:color w:val="231F20"/>
          <w:spacing w:val="-3"/>
          <w:w w:val="110"/>
        </w:rPr>
        <w:t>decir, </w:t>
      </w:r>
      <w:r>
        <w:rPr>
          <w:color w:val="231F20"/>
          <w:w w:val="110"/>
        </w:rPr>
        <w:t>proporcionan “apoyo crítico a grupos violentos” </w:t>
      </w:r>
      <w:r>
        <w:rPr>
          <w:color w:val="231F20"/>
          <w:spacing w:val="-8"/>
          <w:w w:val="110"/>
        </w:rPr>
        <w:t>y, </w:t>
      </w:r>
      <w:r>
        <w:rPr>
          <w:color w:val="231F20"/>
          <w:w w:val="110"/>
        </w:rPr>
        <w:t>por lo tanto, no pueden recibir ayuda económica de Estados Unidos ni go- zar de beneficios comerciales, ni de tratados financieros) difundida por el Departamento de Estado en sus informes correspondientes a 2009</w:t>
      </w:r>
      <w:r>
        <w:rPr>
          <w:color w:val="231F20"/>
          <w:spacing w:val="-17"/>
          <w:w w:val="110"/>
        </w:rPr>
        <w:t> </w:t>
      </w:r>
      <w:r>
        <w:rPr>
          <w:color w:val="231F20"/>
          <w:w w:val="110"/>
        </w:rPr>
        <w:t>y</w:t>
      </w:r>
      <w:r>
        <w:rPr>
          <w:color w:val="231F20"/>
          <w:spacing w:val="-17"/>
          <w:w w:val="110"/>
        </w:rPr>
        <w:t> </w:t>
      </w:r>
      <w:r>
        <w:rPr>
          <w:color w:val="231F20"/>
          <w:w w:val="110"/>
        </w:rPr>
        <w:t>a</w:t>
      </w:r>
      <w:r>
        <w:rPr>
          <w:color w:val="231F20"/>
          <w:spacing w:val="-17"/>
          <w:w w:val="110"/>
        </w:rPr>
        <w:t> </w:t>
      </w:r>
      <w:r>
        <w:rPr>
          <w:color w:val="231F20"/>
          <w:w w:val="110"/>
        </w:rPr>
        <w:t>2010.</w:t>
      </w:r>
    </w:p>
    <w:p>
      <w:pPr>
        <w:pStyle w:val="BodyText"/>
        <w:spacing w:line="261" w:lineRule="auto"/>
        <w:ind w:left="100" w:right="117" w:firstLine="240"/>
        <w:jc w:val="both"/>
      </w:pPr>
      <w:r>
        <w:rPr>
          <w:color w:val="231F20"/>
          <w:w w:val="110"/>
        </w:rPr>
        <w:t>Sin negar la novedad de los contactos directos, individuales o grupales que, durante la Quinta Cumbre de las Américas (efectuada en Trinidad y Tobago en abril del 2009), desplegó el presidente Barack Obama con los mandatarios de Bolivia, Ecuador, Nicaragua y Venezuela, así como de las conversaciones sobre temas puntuales que después de esa cita se han emprendido entre funcionarios es- tadunidenses de diversas jerarquías (incluida la secretaria de Estado Hillary Clinton) con sus correspondientes contrapartes de esos paí- ses, al igual que de Cuba, lo dicho en los párrafos anteriores sería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suficiente para demostrar algunas de las continuidades de la política hemisférica del gobierno temporal de Barack Obama respecto a la desplegada por la administración precedente: su hostilidad hacia los gobiernos integrantes del alba, al igual que sus antojadizas inter- pretaciones de la Carta Democrática Interamericana y de “la lucha contra el terrorismo”.</w:t>
      </w:r>
    </w:p>
    <w:p>
      <w:pPr>
        <w:pStyle w:val="BodyText"/>
        <w:spacing w:line="261" w:lineRule="auto"/>
        <w:ind w:left="100" w:right="117" w:firstLine="240"/>
        <w:jc w:val="both"/>
      </w:pPr>
      <w:r>
        <w:rPr>
          <w:color w:val="231F20"/>
          <w:w w:val="110"/>
        </w:rPr>
        <w:t>No obstante, a ello hay que agregar la perduración del bloqueo económico, comercial y financiero, así como el empleo de diversos instrumentos del </w:t>
      </w:r>
      <w:r>
        <w:rPr>
          <w:i/>
          <w:color w:val="231F20"/>
          <w:w w:val="110"/>
        </w:rPr>
        <w:t>soft power </w:t>
      </w:r>
      <w:r>
        <w:rPr>
          <w:color w:val="231F20"/>
          <w:w w:val="110"/>
        </w:rPr>
        <w:t>contra la Revolución cubana (Morales, 2009</w:t>
      </w:r>
      <w:r>
        <w:rPr>
          <w:color w:val="231F20"/>
          <w:spacing w:val="-25"/>
          <w:w w:val="110"/>
        </w:rPr>
        <w:t> </w:t>
      </w:r>
      <w:r>
        <w:rPr>
          <w:color w:val="231F20"/>
          <w:w w:val="110"/>
        </w:rPr>
        <w:t>y</w:t>
      </w:r>
      <w:r>
        <w:rPr>
          <w:color w:val="231F20"/>
          <w:spacing w:val="-24"/>
          <w:w w:val="110"/>
        </w:rPr>
        <w:t> </w:t>
      </w:r>
      <w:r>
        <w:rPr>
          <w:color w:val="231F20"/>
          <w:w w:val="110"/>
        </w:rPr>
        <w:t>2011);</w:t>
      </w:r>
      <w:r>
        <w:rPr>
          <w:color w:val="231F20"/>
          <w:spacing w:val="-25"/>
          <w:w w:val="110"/>
        </w:rPr>
        <w:t> </w:t>
      </w:r>
      <w:r>
        <w:rPr>
          <w:color w:val="231F20"/>
          <w:w w:val="110"/>
        </w:rPr>
        <w:t>las</w:t>
      </w:r>
      <w:r>
        <w:rPr>
          <w:color w:val="231F20"/>
          <w:spacing w:val="-25"/>
          <w:w w:val="110"/>
        </w:rPr>
        <w:t> </w:t>
      </w:r>
      <w:r>
        <w:rPr>
          <w:color w:val="231F20"/>
          <w:w w:val="110"/>
        </w:rPr>
        <w:t>sanciones</w:t>
      </w:r>
      <w:r>
        <w:rPr>
          <w:color w:val="231F20"/>
          <w:spacing w:val="-25"/>
          <w:w w:val="110"/>
        </w:rPr>
        <w:t> </w:t>
      </w:r>
      <w:r>
        <w:rPr>
          <w:color w:val="231F20"/>
          <w:w w:val="110"/>
        </w:rPr>
        <w:t>económicas</w:t>
      </w:r>
      <w:r>
        <w:rPr>
          <w:color w:val="231F20"/>
          <w:spacing w:val="-25"/>
          <w:w w:val="110"/>
        </w:rPr>
        <w:t> </w:t>
      </w:r>
      <w:r>
        <w:rPr>
          <w:color w:val="231F20"/>
          <w:w w:val="110"/>
        </w:rPr>
        <w:t>impuestas</w:t>
      </w:r>
      <w:r>
        <w:rPr>
          <w:color w:val="231F20"/>
          <w:spacing w:val="-25"/>
          <w:w w:val="110"/>
        </w:rPr>
        <w:t> </w:t>
      </w:r>
      <w:r>
        <w:rPr>
          <w:color w:val="231F20"/>
          <w:w w:val="110"/>
        </w:rPr>
        <w:t>por</w:t>
      </w:r>
      <w:r>
        <w:rPr>
          <w:color w:val="231F20"/>
          <w:spacing w:val="-25"/>
          <w:w w:val="110"/>
        </w:rPr>
        <w:t> </w:t>
      </w:r>
      <w:r>
        <w:rPr>
          <w:color w:val="231F20"/>
          <w:w w:val="110"/>
        </w:rPr>
        <w:t>esa</w:t>
      </w:r>
      <w:r>
        <w:rPr>
          <w:color w:val="231F20"/>
          <w:spacing w:val="-25"/>
          <w:w w:val="110"/>
        </w:rPr>
        <w:t> </w:t>
      </w:r>
      <w:r>
        <w:rPr>
          <w:color w:val="231F20"/>
          <w:w w:val="110"/>
        </w:rPr>
        <w:t>administra- ción al actual gobierno de Nicaragua acusándolo de haber cometido fraudes</w:t>
      </w:r>
      <w:r>
        <w:rPr>
          <w:color w:val="231F20"/>
          <w:spacing w:val="-27"/>
          <w:w w:val="110"/>
        </w:rPr>
        <w:t> </w:t>
      </w:r>
      <w:r>
        <w:rPr>
          <w:color w:val="231F20"/>
          <w:w w:val="110"/>
        </w:rPr>
        <w:t>en</w:t>
      </w:r>
      <w:r>
        <w:rPr>
          <w:color w:val="231F20"/>
          <w:spacing w:val="-27"/>
          <w:w w:val="110"/>
        </w:rPr>
        <w:t> </w:t>
      </w:r>
      <w:r>
        <w:rPr>
          <w:color w:val="231F20"/>
          <w:w w:val="110"/>
        </w:rPr>
        <w:t>las</w:t>
      </w:r>
      <w:r>
        <w:rPr>
          <w:color w:val="231F20"/>
          <w:spacing w:val="-27"/>
          <w:w w:val="110"/>
        </w:rPr>
        <w:t> </w:t>
      </w:r>
      <w:r>
        <w:rPr>
          <w:color w:val="231F20"/>
          <w:w w:val="110"/>
        </w:rPr>
        <w:t>elecciones</w:t>
      </w:r>
      <w:r>
        <w:rPr>
          <w:color w:val="231F20"/>
          <w:spacing w:val="-27"/>
          <w:w w:val="110"/>
        </w:rPr>
        <w:t> </w:t>
      </w:r>
      <w:r>
        <w:rPr>
          <w:color w:val="231F20"/>
          <w:w w:val="110"/>
        </w:rPr>
        <w:t>municipales</w:t>
      </w:r>
      <w:r>
        <w:rPr>
          <w:color w:val="231F20"/>
          <w:spacing w:val="-27"/>
          <w:w w:val="110"/>
        </w:rPr>
        <w:t> </w:t>
      </w:r>
      <w:r>
        <w:rPr>
          <w:color w:val="231F20"/>
          <w:w w:val="110"/>
        </w:rPr>
        <w:t>realizadas</w:t>
      </w:r>
      <w:r>
        <w:rPr>
          <w:color w:val="231F20"/>
          <w:spacing w:val="-27"/>
          <w:w w:val="110"/>
        </w:rPr>
        <w:t> </w:t>
      </w:r>
      <w:r>
        <w:rPr>
          <w:color w:val="231F20"/>
          <w:w w:val="110"/>
        </w:rPr>
        <w:t>en</w:t>
      </w:r>
      <w:r>
        <w:rPr>
          <w:color w:val="231F20"/>
          <w:spacing w:val="-27"/>
          <w:w w:val="110"/>
        </w:rPr>
        <w:t> </w:t>
      </w:r>
      <w:r>
        <w:rPr>
          <w:color w:val="231F20"/>
          <w:w w:val="110"/>
        </w:rPr>
        <w:t>2008</w:t>
      </w:r>
      <w:r>
        <w:rPr>
          <w:color w:val="231F20"/>
          <w:spacing w:val="-27"/>
          <w:w w:val="110"/>
        </w:rPr>
        <w:t> </w:t>
      </w:r>
      <w:r>
        <w:rPr>
          <w:color w:val="231F20"/>
          <w:w w:val="110"/>
        </w:rPr>
        <w:t>y</w:t>
      </w:r>
      <w:r>
        <w:rPr>
          <w:color w:val="231F20"/>
          <w:spacing w:val="-27"/>
          <w:w w:val="110"/>
        </w:rPr>
        <w:t> </w:t>
      </w:r>
      <w:r>
        <w:rPr>
          <w:color w:val="231F20"/>
          <w:w w:val="110"/>
        </w:rPr>
        <w:t>las</w:t>
      </w:r>
      <w:r>
        <w:rPr>
          <w:color w:val="231F20"/>
          <w:spacing w:val="-27"/>
          <w:w w:val="110"/>
        </w:rPr>
        <w:t> </w:t>
      </w:r>
      <w:r>
        <w:rPr>
          <w:color w:val="231F20"/>
          <w:w w:val="110"/>
        </w:rPr>
        <w:t>acciones emprendidas para evitar la reelección Daniel Ortega en los</w:t>
      </w:r>
      <w:r>
        <w:rPr>
          <w:color w:val="231F20"/>
          <w:spacing w:val="-12"/>
          <w:w w:val="110"/>
        </w:rPr>
        <w:t> </w:t>
      </w:r>
      <w:r>
        <w:rPr>
          <w:color w:val="231F20"/>
          <w:w w:val="110"/>
        </w:rPr>
        <w:t>comicios presidenciales</w:t>
      </w:r>
      <w:r>
        <w:rPr>
          <w:color w:val="231F20"/>
          <w:spacing w:val="-9"/>
          <w:w w:val="110"/>
        </w:rPr>
        <w:t> </w:t>
      </w:r>
      <w:r>
        <w:rPr>
          <w:color w:val="231F20"/>
          <w:w w:val="110"/>
        </w:rPr>
        <w:t>de</w:t>
      </w:r>
      <w:r>
        <w:rPr>
          <w:color w:val="231F20"/>
          <w:spacing w:val="-9"/>
          <w:w w:val="110"/>
        </w:rPr>
        <w:t> </w:t>
      </w:r>
      <w:r>
        <w:rPr>
          <w:color w:val="231F20"/>
          <w:w w:val="110"/>
        </w:rPr>
        <w:t>fines</w:t>
      </w:r>
      <w:r>
        <w:rPr>
          <w:color w:val="231F20"/>
          <w:spacing w:val="-9"/>
          <w:w w:val="110"/>
        </w:rPr>
        <w:t> </w:t>
      </w:r>
      <w:r>
        <w:rPr>
          <w:color w:val="231F20"/>
          <w:w w:val="110"/>
        </w:rPr>
        <w:t>del</w:t>
      </w:r>
      <w:r>
        <w:rPr>
          <w:color w:val="231F20"/>
          <w:spacing w:val="-9"/>
          <w:w w:val="110"/>
        </w:rPr>
        <w:t> </w:t>
      </w:r>
      <w:r>
        <w:rPr>
          <w:color w:val="231F20"/>
          <w:w w:val="110"/>
        </w:rPr>
        <w:t>2011</w:t>
      </w:r>
      <w:r>
        <w:rPr>
          <w:color w:val="231F20"/>
          <w:spacing w:val="-9"/>
          <w:w w:val="110"/>
        </w:rPr>
        <w:t> </w:t>
      </w:r>
      <w:r>
        <w:rPr>
          <w:color w:val="231F20"/>
          <w:w w:val="110"/>
        </w:rPr>
        <w:t>(Solano,</w:t>
      </w:r>
      <w:r>
        <w:rPr>
          <w:color w:val="231F20"/>
          <w:spacing w:val="-9"/>
          <w:w w:val="110"/>
        </w:rPr>
        <w:t> </w:t>
      </w:r>
      <w:r>
        <w:rPr>
          <w:color w:val="231F20"/>
          <w:w w:val="110"/>
        </w:rPr>
        <w:t>2010).</w:t>
      </w:r>
      <w:r>
        <w:rPr>
          <w:color w:val="231F20"/>
          <w:spacing w:val="-9"/>
          <w:w w:val="110"/>
        </w:rPr>
        <w:t> </w:t>
      </w:r>
      <w:r>
        <w:rPr>
          <w:color w:val="231F20"/>
          <w:w w:val="110"/>
        </w:rPr>
        <w:t>Igualmente,</w:t>
      </w:r>
      <w:r>
        <w:rPr>
          <w:color w:val="231F20"/>
          <w:spacing w:val="-9"/>
          <w:w w:val="110"/>
        </w:rPr>
        <w:t> </w:t>
      </w:r>
      <w:r>
        <w:rPr>
          <w:color w:val="231F20"/>
          <w:w w:val="110"/>
        </w:rPr>
        <w:t>los</w:t>
      </w:r>
      <w:r>
        <w:rPr>
          <w:color w:val="231F20"/>
          <w:spacing w:val="-9"/>
          <w:w w:val="110"/>
        </w:rPr>
        <w:t> </w:t>
      </w:r>
      <w:r>
        <w:rPr>
          <w:color w:val="231F20"/>
          <w:w w:val="110"/>
        </w:rPr>
        <w:t>obs- táculos</w:t>
      </w:r>
      <w:r>
        <w:rPr>
          <w:color w:val="231F20"/>
          <w:spacing w:val="-10"/>
          <w:w w:val="110"/>
        </w:rPr>
        <w:t> </w:t>
      </w:r>
      <w:r>
        <w:rPr>
          <w:color w:val="231F20"/>
          <w:w w:val="110"/>
        </w:rPr>
        <w:t>que</w:t>
      </w:r>
      <w:r>
        <w:rPr>
          <w:color w:val="231F20"/>
          <w:spacing w:val="-10"/>
          <w:w w:val="110"/>
        </w:rPr>
        <w:t> </w:t>
      </w:r>
      <w:r>
        <w:rPr>
          <w:color w:val="231F20"/>
          <w:w w:val="110"/>
        </w:rPr>
        <w:t>sigue</w:t>
      </w:r>
      <w:r>
        <w:rPr>
          <w:color w:val="231F20"/>
          <w:spacing w:val="-10"/>
          <w:w w:val="110"/>
        </w:rPr>
        <w:t> </w:t>
      </w:r>
      <w:r>
        <w:rPr>
          <w:color w:val="231F20"/>
          <w:w w:val="110"/>
        </w:rPr>
        <w:t>imponiendo</w:t>
      </w:r>
      <w:r>
        <w:rPr>
          <w:color w:val="231F20"/>
          <w:spacing w:val="-10"/>
          <w:w w:val="110"/>
        </w:rPr>
        <w:t> </w:t>
      </w:r>
      <w:r>
        <w:rPr>
          <w:color w:val="231F20"/>
          <w:w w:val="110"/>
        </w:rPr>
        <w:t>la</w:t>
      </w:r>
      <w:r>
        <w:rPr>
          <w:color w:val="231F20"/>
          <w:spacing w:val="-10"/>
          <w:w w:val="110"/>
        </w:rPr>
        <w:t> </w:t>
      </w:r>
      <w:r>
        <w:rPr>
          <w:color w:val="231F20"/>
          <w:w w:val="110"/>
        </w:rPr>
        <w:t>actual</w:t>
      </w:r>
      <w:r>
        <w:rPr>
          <w:color w:val="231F20"/>
          <w:spacing w:val="-10"/>
          <w:w w:val="110"/>
        </w:rPr>
        <w:t> </w:t>
      </w:r>
      <w:r>
        <w:rPr>
          <w:color w:val="231F20"/>
          <w:w w:val="110"/>
        </w:rPr>
        <w:t>administración</w:t>
      </w:r>
      <w:r>
        <w:rPr>
          <w:color w:val="231F20"/>
          <w:spacing w:val="-10"/>
          <w:w w:val="110"/>
        </w:rPr>
        <w:t> </w:t>
      </w:r>
      <w:r>
        <w:rPr>
          <w:color w:val="231F20"/>
          <w:w w:val="110"/>
        </w:rPr>
        <w:t>estadunidense a las importaciones de productos bolivianos con el pretexto de que el gobierno de ese país no ha cumplido con los compromisos de erradicación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cultivos</w:t>
      </w:r>
      <w:r>
        <w:rPr>
          <w:color w:val="231F20"/>
          <w:spacing w:val="-17"/>
          <w:w w:val="110"/>
        </w:rPr>
        <w:t> </w:t>
      </w:r>
      <w:r>
        <w:rPr>
          <w:color w:val="231F20"/>
          <w:w w:val="110"/>
        </w:rPr>
        <w:t>de</w:t>
      </w:r>
      <w:r>
        <w:rPr>
          <w:color w:val="231F20"/>
          <w:spacing w:val="-17"/>
          <w:w w:val="110"/>
        </w:rPr>
        <w:t> </w:t>
      </w:r>
      <w:r>
        <w:rPr>
          <w:color w:val="231F20"/>
          <w:w w:val="110"/>
        </w:rPr>
        <w:t>hojas</w:t>
      </w:r>
      <w:r>
        <w:rPr>
          <w:color w:val="231F20"/>
          <w:spacing w:val="-17"/>
          <w:w w:val="110"/>
        </w:rPr>
        <w:t> </w:t>
      </w:r>
      <w:r>
        <w:rPr>
          <w:color w:val="231F20"/>
          <w:w w:val="110"/>
        </w:rPr>
        <w:t>de</w:t>
      </w:r>
      <w:r>
        <w:rPr>
          <w:color w:val="231F20"/>
          <w:spacing w:val="-17"/>
          <w:w w:val="110"/>
        </w:rPr>
        <w:t> </w:t>
      </w:r>
      <w:r>
        <w:rPr>
          <w:color w:val="231F20"/>
          <w:w w:val="110"/>
        </w:rPr>
        <w:t>coca</w:t>
      </w:r>
      <w:r>
        <w:rPr>
          <w:color w:val="231F20"/>
          <w:spacing w:val="-17"/>
          <w:w w:val="110"/>
        </w:rPr>
        <w:t> </w:t>
      </w:r>
      <w:r>
        <w:rPr>
          <w:color w:val="231F20"/>
          <w:w w:val="110"/>
        </w:rPr>
        <w:t>y</w:t>
      </w:r>
      <w:r>
        <w:rPr>
          <w:color w:val="231F20"/>
          <w:spacing w:val="-17"/>
          <w:w w:val="110"/>
        </w:rPr>
        <w:t> </w:t>
      </w:r>
      <w:r>
        <w:rPr>
          <w:color w:val="231F20"/>
          <w:w w:val="110"/>
        </w:rPr>
        <w:t>las</w:t>
      </w:r>
      <w:r>
        <w:rPr>
          <w:color w:val="231F20"/>
          <w:spacing w:val="-17"/>
          <w:w w:val="110"/>
        </w:rPr>
        <w:t> </w:t>
      </w:r>
      <w:r>
        <w:rPr>
          <w:color w:val="231F20"/>
          <w:w w:val="110"/>
        </w:rPr>
        <w:t>presuntas</w:t>
      </w:r>
      <w:r>
        <w:rPr>
          <w:color w:val="231F20"/>
          <w:spacing w:val="-17"/>
          <w:w w:val="110"/>
        </w:rPr>
        <w:t> </w:t>
      </w:r>
      <w:r>
        <w:rPr>
          <w:color w:val="231F20"/>
          <w:w w:val="110"/>
        </w:rPr>
        <w:t>limitacio- nes que impone su nueva carta magna a las propiedades extranjeras (Antunes, 2010). Acusaciones parecidas también han sido</w:t>
      </w:r>
      <w:r>
        <w:rPr>
          <w:color w:val="231F20"/>
          <w:spacing w:val="-34"/>
          <w:w w:val="110"/>
        </w:rPr>
        <w:t> </w:t>
      </w:r>
      <w:r>
        <w:rPr>
          <w:color w:val="231F20"/>
          <w:w w:val="110"/>
        </w:rPr>
        <w:t>realizadas contra</w:t>
      </w:r>
      <w:r>
        <w:rPr>
          <w:color w:val="231F20"/>
          <w:spacing w:val="-22"/>
          <w:w w:val="110"/>
        </w:rPr>
        <w:t> </w:t>
      </w:r>
      <w:r>
        <w:rPr>
          <w:color w:val="231F20"/>
          <w:w w:val="110"/>
        </w:rPr>
        <w:t>los</w:t>
      </w:r>
      <w:r>
        <w:rPr>
          <w:color w:val="231F20"/>
          <w:spacing w:val="-22"/>
          <w:w w:val="110"/>
        </w:rPr>
        <w:t> </w:t>
      </w:r>
      <w:r>
        <w:rPr>
          <w:color w:val="231F20"/>
          <w:w w:val="110"/>
        </w:rPr>
        <w:t>actuales</w:t>
      </w:r>
      <w:r>
        <w:rPr>
          <w:color w:val="231F20"/>
          <w:spacing w:val="-22"/>
          <w:w w:val="110"/>
        </w:rPr>
        <w:t> </w:t>
      </w:r>
      <w:r>
        <w:rPr>
          <w:color w:val="231F20"/>
          <w:w w:val="110"/>
        </w:rPr>
        <w:t>gobiernos</w:t>
      </w:r>
      <w:r>
        <w:rPr>
          <w:color w:val="231F20"/>
          <w:spacing w:val="-22"/>
          <w:w w:val="110"/>
        </w:rPr>
        <w:t> </w:t>
      </w:r>
      <w:r>
        <w:rPr>
          <w:color w:val="231F20"/>
          <w:w w:val="110"/>
        </w:rPr>
        <w:t>de</w:t>
      </w:r>
      <w:r>
        <w:rPr>
          <w:color w:val="231F20"/>
          <w:spacing w:val="-22"/>
          <w:w w:val="110"/>
        </w:rPr>
        <w:t> </w:t>
      </w:r>
      <w:r>
        <w:rPr>
          <w:color w:val="231F20"/>
          <w:w w:val="110"/>
        </w:rPr>
        <w:t>Ecuador</w:t>
      </w:r>
      <w:r>
        <w:rPr>
          <w:color w:val="231F20"/>
          <w:spacing w:val="-22"/>
          <w:w w:val="110"/>
        </w:rPr>
        <w:t> </w:t>
      </w:r>
      <w:r>
        <w:rPr>
          <w:color w:val="231F20"/>
          <w:w w:val="110"/>
        </w:rPr>
        <w:t>y</w:t>
      </w:r>
      <w:r>
        <w:rPr>
          <w:color w:val="231F20"/>
          <w:spacing w:val="-22"/>
          <w:w w:val="110"/>
        </w:rPr>
        <w:t> </w:t>
      </w:r>
      <w:r>
        <w:rPr>
          <w:color w:val="231F20"/>
          <w:w w:val="110"/>
        </w:rPr>
        <w:t>Venezuela.</w:t>
      </w:r>
      <w:r>
        <w:rPr>
          <w:color w:val="231F20"/>
          <w:spacing w:val="-22"/>
          <w:w w:val="110"/>
        </w:rPr>
        <w:t> </w:t>
      </w:r>
      <w:r>
        <w:rPr>
          <w:color w:val="231F20"/>
          <w:w w:val="110"/>
        </w:rPr>
        <w:t>Como</w:t>
      </w:r>
      <w:r>
        <w:rPr>
          <w:color w:val="231F20"/>
          <w:spacing w:val="-22"/>
          <w:w w:val="110"/>
        </w:rPr>
        <w:t> </w:t>
      </w:r>
      <w:r>
        <w:rPr>
          <w:color w:val="231F20"/>
          <w:w w:val="110"/>
        </w:rPr>
        <w:t>veremos en el próximo acápite, en los más recientes dos años este último país ha sido sometido por el Comando Sur de las Fuerzas Armadas estadunidenses (southcom) a un poderoso “cerco militar”, típico   del arsenal del </w:t>
      </w:r>
      <w:r>
        <w:rPr>
          <w:i/>
          <w:color w:val="231F20"/>
          <w:w w:val="110"/>
        </w:rPr>
        <w:t>hard power </w:t>
      </w:r>
      <w:r>
        <w:rPr>
          <w:color w:val="231F20"/>
          <w:w w:val="110"/>
        </w:rPr>
        <w:t>históricamente empleado por el</w:t>
      </w:r>
      <w:r>
        <w:rPr>
          <w:color w:val="231F20"/>
          <w:spacing w:val="-7"/>
          <w:w w:val="110"/>
        </w:rPr>
        <w:t> </w:t>
      </w:r>
      <w:r>
        <w:rPr>
          <w:color w:val="231F20"/>
          <w:w w:val="110"/>
        </w:rPr>
        <w:t>gobierno permanente</w:t>
      </w:r>
      <w:r>
        <w:rPr>
          <w:color w:val="231F20"/>
          <w:spacing w:val="-10"/>
          <w:w w:val="110"/>
        </w:rPr>
        <w:t> </w:t>
      </w:r>
      <w:r>
        <w:rPr>
          <w:color w:val="231F20"/>
          <w:w w:val="110"/>
        </w:rPr>
        <w:t>y</w:t>
      </w:r>
      <w:r>
        <w:rPr>
          <w:color w:val="231F20"/>
          <w:spacing w:val="-10"/>
          <w:w w:val="110"/>
        </w:rPr>
        <w:t> </w:t>
      </w:r>
      <w:r>
        <w:rPr>
          <w:color w:val="231F20"/>
          <w:w w:val="110"/>
        </w:rPr>
        <w:t>por</w:t>
      </w:r>
      <w:r>
        <w:rPr>
          <w:color w:val="231F20"/>
          <w:spacing w:val="-10"/>
          <w:w w:val="110"/>
        </w:rPr>
        <w:t> </w:t>
      </w:r>
      <w:r>
        <w:rPr>
          <w:color w:val="231F20"/>
          <w:w w:val="110"/>
        </w:rPr>
        <w:t>sucesivos</w:t>
      </w:r>
      <w:r>
        <w:rPr>
          <w:color w:val="231F20"/>
          <w:spacing w:val="-10"/>
          <w:w w:val="110"/>
        </w:rPr>
        <w:t> </w:t>
      </w:r>
      <w:r>
        <w:rPr>
          <w:color w:val="231F20"/>
          <w:w w:val="110"/>
        </w:rPr>
        <w:t>gobiernos</w:t>
      </w:r>
      <w:r>
        <w:rPr>
          <w:color w:val="231F20"/>
          <w:spacing w:val="-10"/>
          <w:w w:val="110"/>
        </w:rPr>
        <w:t> </w:t>
      </w:r>
      <w:r>
        <w:rPr>
          <w:color w:val="231F20"/>
          <w:w w:val="110"/>
        </w:rPr>
        <w:t>temporales</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 contra</w:t>
      </w:r>
      <w:r>
        <w:rPr>
          <w:color w:val="231F20"/>
          <w:spacing w:val="-29"/>
          <w:w w:val="110"/>
        </w:rPr>
        <w:t> </w:t>
      </w:r>
      <w:r>
        <w:rPr>
          <w:color w:val="231F20"/>
          <w:w w:val="110"/>
        </w:rPr>
        <w:t>América</w:t>
      </w:r>
      <w:r>
        <w:rPr>
          <w:color w:val="231F20"/>
          <w:spacing w:val="-29"/>
          <w:w w:val="110"/>
        </w:rPr>
        <w:t> </w:t>
      </w:r>
      <w:r>
        <w:rPr>
          <w:color w:val="231F20"/>
          <w:w w:val="110"/>
        </w:rPr>
        <w:t>Latina</w:t>
      </w:r>
      <w:r>
        <w:rPr>
          <w:color w:val="231F20"/>
          <w:spacing w:val="-29"/>
          <w:w w:val="110"/>
        </w:rPr>
        <w:t> </w:t>
      </w:r>
      <w:r>
        <w:rPr>
          <w:color w:val="231F20"/>
          <w:w w:val="110"/>
        </w:rPr>
        <w:t>y</w:t>
      </w:r>
      <w:r>
        <w:rPr>
          <w:color w:val="231F20"/>
          <w:spacing w:val="-29"/>
          <w:w w:val="110"/>
        </w:rPr>
        <w:t> </w:t>
      </w:r>
      <w:r>
        <w:rPr>
          <w:color w:val="231F20"/>
          <w:w w:val="110"/>
        </w:rPr>
        <w:t>el</w:t>
      </w:r>
      <w:r>
        <w:rPr>
          <w:color w:val="231F20"/>
          <w:spacing w:val="-29"/>
          <w:w w:val="110"/>
        </w:rPr>
        <w:t> </w:t>
      </w:r>
      <w:r>
        <w:rPr>
          <w:color w:val="231F20"/>
          <w:w w:val="110"/>
        </w:rPr>
        <w:t>Caribe</w:t>
      </w:r>
      <w:r>
        <w:rPr>
          <w:color w:val="231F20"/>
          <w:spacing w:val="-29"/>
          <w:w w:val="110"/>
        </w:rPr>
        <w:t> </w:t>
      </w:r>
      <w:r>
        <w:rPr>
          <w:color w:val="231F20"/>
          <w:w w:val="110"/>
        </w:rPr>
        <w:t>(Moniz,</w:t>
      </w:r>
      <w:r>
        <w:rPr>
          <w:color w:val="231F20"/>
          <w:spacing w:val="-29"/>
          <w:w w:val="110"/>
        </w:rPr>
        <w:t> </w:t>
      </w:r>
      <w:r>
        <w:rPr>
          <w:color w:val="231F20"/>
          <w:w w:val="110"/>
        </w:rPr>
        <w:t>2010;</w:t>
      </w:r>
      <w:r>
        <w:rPr>
          <w:color w:val="231F20"/>
          <w:spacing w:val="-29"/>
          <w:w w:val="110"/>
        </w:rPr>
        <w:t> </w:t>
      </w:r>
      <w:r>
        <w:rPr>
          <w:color w:val="231F20"/>
          <w:w w:val="110"/>
        </w:rPr>
        <w:t>Suárez,</w:t>
      </w:r>
      <w:r>
        <w:rPr>
          <w:color w:val="231F20"/>
          <w:spacing w:val="-29"/>
          <w:w w:val="110"/>
        </w:rPr>
        <w:t> </w:t>
      </w:r>
      <w:r>
        <w:rPr>
          <w:color w:val="231F20"/>
          <w:w w:val="110"/>
        </w:rPr>
        <w:t>2006</w:t>
      </w:r>
      <w:r>
        <w:rPr>
          <w:color w:val="231F20"/>
          <w:spacing w:val="-29"/>
          <w:w w:val="110"/>
        </w:rPr>
        <w:t> </w:t>
      </w:r>
      <w:r>
        <w:rPr>
          <w:color w:val="231F20"/>
          <w:w w:val="110"/>
        </w:rPr>
        <w:t>y</w:t>
      </w:r>
      <w:r>
        <w:rPr>
          <w:color w:val="231F20"/>
          <w:spacing w:val="-29"/>
          <w:w w:val="110"/>
        </w:rPr>
        <w:t> </w:t>
      </w:r>
      <w:r>
        <w:rPr>
          <w:color w:val="231F20"/>
          <w:w w:val="110"/>
        </w:rPr>
        <w:t>2010).</w:t>
      </w:r>
    </w:p>
    <w:p>
      <w:pPr>
        <w:pStyle w:val="BodyText"/>
      </w:pPr>
    </w:p>
    <w:p>
      <w:pPr>
        <w:pStyle w:val="BodyText"/>
      </w:pPr>
    </w:p>
    <w:p>
      <w:pPr>
        <w:pStyle w:val="BodyText"/>
        <w:spacing w:before="2"/>
        <w:rPr>
          <w:sz w:val="25"/>
        </w:rPr>
      </w:pPr>
    </w:p>
    <w:p>
      <w:pPr>
        <w:pStyle w:val="BodyText"/>
        <w:spacing w:line="261" w:lineRule="auto"/>
        <w:ind w:left="100" w:right="1073"/>
      </w:pPr>
      <w:r>
        <w:rPr>
          <w:color w:val="231F20"/>
          <w:w w:val="125"/>
        </w:rPr>
        <w:t>las escandalosas continuidades en las estrategias de defensa y seguridad</w:t>
      </w:r>
    </w:p>
    <w:p>
      <w:pPr>
        <w:pStyle w:val="BodyText"/>
        <w:spacing w:before="8"/>
        <w:rPr>
          <w:sz w:val="21"/>
        </w:rPr>
      </w:pPr>
    </w:p>
    <w:p>
      <w:pPr>
        <w:pStyle w:val="BodyText"/>
        <w:spacing w:line="261" w:lineRule="auto"/>
        <w:ind w:left="100" w:right="118"/>
        <w:jc w:val="both"/>
      </w:pPr>
      <w:r>
        <w:rPr>
          <w:color w:val="231F20"/>
          <w:w w:val="110"/>
        </w:rPr>
        <w:t>Todo lo antes dicho —al igual que las denuncias acerca de la im- plicación de algunas agencias oficiales y congresistas de la derecha estadunidenses en el abortado golpe de Estado que se produjo en Ecuador el 30 de septiembre del 2010 (Steinsleger, 2010; Ramonet, 2011)— le han restado credibilidad a “la nueva alianza entre las Américas” propugnada por Obama desde su  campaña     electoral</w:t>
      </w:r>
    </w:p>
    <w:p>
      <w:pPr>
        <w:spacing w:after="0" w:line="261" w:lineRule="auto"/>
        <w:jc w:val="both"/>
        <w:sectPr>
          <w:headerReference w:type="even" r:id="rId287"/>
          <w:headerReference w:type="default" r:id="rId288"/>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05"/>
        </w:rPr>
        <w:t>(Obama, 2008, 2008a, 2009 y 2009a). Mucho más por las escandalosas continuidades existentes entre sus estrategias político-militares y las impulsadas por el gobierno temporal de George </w:t>
      </w:r>
      <w:r>
        <w:rPr>
          <w:color w:val="231F20"/>
          <w:spacing w:val="-6"/>
          <w:w w:val="105"/>
        </w:rPr>
        <w:t>W.  </w:t>
      </w:r>
      <w:r>
        <w:rPr>
          <w:color w:val="231F20"/>
          <w:w w:val="105"/>
        </w:rPr>
        <w:t>Bush. De hecho,   el actual  mandatario  estadunidense  ha  convalidado  o  potenciado  los principales componentes de las intervencionistas estrategias de “defensa” y “seguridad” hacia México, la Cuenca del Caribe (inclui-  da Centroamérica) y la región andino-amazónica impulsadas por la administración  </w:t>
      </w:r>
      <w:r>
        <w:rPr>
          <w:color w:val="231F20"/>
          <w:spacing w:val="45"/>
          <w:w w:val="105"/>
        </w:rPr>
        <w:t> </w:t>
      </w:r>
      <w:r>
        <w:rPr>
          <w:color w:val="231F20"/>
          <w:w w:val="105"/>
        </w:rPr>
        <w:t>precedente.</w:t>
      </w:r>
    </w:p>
    <w:p>
      <w:pPr>
        <w:pStyle w:val="BodyText"/>
        <w:spacing w:line="261" w:lineRule="auto"/>
        <w:ind w:left="100" w:right="117" w:firstLine="240"/>
        <w:jc w:val="both"/>
      </w:pPr>
      <w:r>
        <w:rPr>
          <w:color w:val="231F20"/>
          <w:w w:val="105"/>
        </w:rPr>
        <w:t>Por lo tanto, abandonó su promesa de renegociar el  </w:t>
      </w:r>
      <w:r>
        <w:rPr>
          <w:color w:val="231F20"/>
          <w:spacing w:val="-3"/>
          <w:w w:val="105"/>
        </w:rPr>
        <w:t>Tratado  </w:t>
      </w:r>
      <w:r>
        <w:rPr>
          <w:color w:val="231F20"/>
          <w:w w:val="105"/>
        </w:rPr>
        <w:t>de Libre Comercio de América del Norte </w:t>
      </w:r>
      <w:r>
        <w:rPr>
          <w:color w:val="231F20"/>
          <w:w w:val="120"/>
        </w:rPr>
        <w:t>(tlcan) </w:t>
      </w:r>
      <w:r>
        <w:rPr>
          <w:color w:val="231F20"/>
          <w:w w:val="105"/>
        </w:rPr>
        <w:t>y mantuvo  su  res- paldo a la Alianza para la Seguridad y la Prosperidad de América      del Norte (aspan), signada en 2005 por George </w:t>
      </w:r>
      <w:r>
        <w:rPr>
          <w:color w:val="231F20"/>
          <w:spacing w:val="-6"/>
          <w:w w:val="105"/>
        </w:rPr>
        <w:t>W. </w:t>
      </w:r>
      <w:r>
        <w:rPr>
          <w:color w:val="231F20"/>
          <w:w w:val="105"/>
        </w:rPr>
        <w:t>Bush con el en- tonces primer ministro de Canadá, Paul Martin, y el presidente de México, Vicente Fox, así como a los sistemáticos acuerdos al respecto adoptados por sus sucesores: Stephen Harper y Felipe Calderón, respectivamente (Rodríguez </w:t>
      </w:r>
      <w:r>
        <w:rPr>
          <w:color w:val="231F20"/>
          <w:spacing w:val="-3"/>
          <w:w w:val="105"/>
        </w:rPr>
        <w:t>Torres, </w:t>
      </w:r>
      <w:r>
        <w:rPr>
          <w:color w:val="231F20"/>
          <w:w w:val="105"/>
        </w:rPr>
        <w:t>2008). Adicionalmente, el actual mandatario estadunidense ha respaldado política  y  financieramente los propósitos geopolíticos y geoeconómicos del inicialmente deno- minado Plan Puebla Panamá (rebautizado desde 2008 como Proyecto Mesoamericano, al cual se  incorporó  el  gobierno  de  Colombia)  y  su complemento político-militar: la Iniciativa Mérida, inicialmente </w:t>
      </w:r>
      <w:r>
        <w:rPr>
          <w:color w:val="231F20"/>
        </w:rPr>
        <w:t>denominada </w:t>
      </w:r>
      <w:r>
        <w:rPr>
          <w:i/>
          <w:color w:val="231F20"/>
        </w:rPr>
        <w:t>Mexico and Central America Security Cooperation Initiative</w:t>
      </w:r>
      <w:r>
        <w:rPr>
          <w:color w:val="231F20"/>
        </w:rPr>
        <w:t>. </w:t>
      </w:r>
      <w:r>
        <w:rPr>
          <w:color w:val="231F20"/>
          <w:w w:val="105"/>
        </w:rPr>
        <w:t>Esta última orientada a apoyar la lucha contra “el crimen organizado” en Centroamérica, Haití y República Dominicana; pero sobre todo,      la cada vez más militarizada y cruenta “guerra contra el narcotráfico” emprendida por el gobierno mexicano de Felipe Calderón  (Rodrí-  guez  </w:t>
      </w:r>
      <w:r>
        <w:rPr>
          <w:color w:val="231F20"/>
          <w:spacing w:val="-3"/>
          <w:w w:val="105"/>
        </w:rPr>
        <w:t>Torres,</w:t>
      </w:r>
      <w:r>
        <w:rPr>
          <w:color w:val="231F20"/>
          <w:spacing w:val="26"/>
          <w:w w:val="105"/>
        </w:rPr>
        <w:t> </w:t>
      </w:r>
      <w:r>
        <w:rPr>
          <w:color w:val="231F20"/>
          <w:w w:val="105"/>
        </w:rPr>
        <w:t>2008a).</w:t>
      </w:r>
    </w:p>
    <w:p>
      <w:pPr>
        <w:pStyle w:val="BodyText"/>
        <w:spacing w:line="261" w:lineRule="auto"/>
        <w:ind w:left="100" w:right="114" w:firstLine="240"/>
        <w:jc w:val="both"/>
      </w:pPr>
      <w:r>
        <w:rPr>
          <w:color w:val="231F20"/>
          <w:w w:val="110"/>
        </w:rPr>
        <w:t>Además</w:t>
      </w:r>
      <w:r>
        <w:rPr>
          <w:color w:val="231F20"/>
          <w:spacing w:val="-34"/>
          <w:w w:val="110"/>
        </w:rPr>
        <w:t> </w:t>
      </w:r>
      <w:r>
        <w:rPr>
          <w:color w:val="231F20"/>
          <w:w w:val="110"/>
        </w:rPr>
        <w:t>de</w:t>
      </w:r>
      <w:r>
        <w:rPr>
          <w:color w:val="231F20"/>
          <w:spacing w:val="-34"/>
          <w:w w:val="110"/>
        </w:rPr>
        <w:t> </w:t>
      </w:r>
      <w:r>
        <w:rPr>
          <w:color w:val="231F20"/>
          <w:w w:val="110"/>
        </w:rPr>
        <w:t>las</w:t>
      </w:r>
      <w:r>
        <w:rPr>
          <w:color w:val="231F20"/>
          <w:spacing w:val="-34"/>
          <w:w w:val="110"/>
        </w:rPr>
        <w:t> </w:t>
      </w:r>
      <w:r>
        <w:rPr>
          <w:color w:val="231F20"/>
          <w:w w:val="110"/>
        </w:rPr>
        <w:t>millonarias</w:t>
      </w:r>
      <w:r>
        <w:rPr>
          <w:color w:val="231F20"/>
          <w:spacing w:val="-34"/>
          <w:w w:val="110"/>
        </w:rPr>
        <w:t> </w:t>
      </w:r>
      <w:r>
        <w:rPr>
          <w:color w:val="231F20"/>
          <w:w w:val="110"/>
        </w:rPr>
        <w:t>asignaciones</w:t>
      </w:r>
      <w:r>
        <w:rPr>
          <w:color w:val="231F20"/>
          <w:spacing w:val="-34"/>
          <w:w w:val="110"/>
        </w:rPr>
        <w:t> </w:t>
      </w:r>
      <w:r>
        <w:rPr>
          <w:color w:val="231F20"/>
          <w:w w:val="110"/>
        </w:rPr>
        <w:t>de</w:t>
      </w:r>
      <w:r>
        <w:rPr>
          <w:color w:val="231F20"/>
          <w:spacing w:val="-34"/>
          <w:w w:val="110"/>
        </w:rPr>
        <w:t> </w:t>
      </w:r>
      <w:r>
        <w:rPr>
          <w:color w:val="231F20"/>
          <w:w w:val="110"/>
        </w:rPr>
        <w:t>fondos</w:t>
      </w:r>
      <w:r>
        <w:rPr>
          <w:color w:val="231F20"/>
          <w:spacing w:val="-34"/>
          <w:w w:val="110"/>
        </w:rPr>
        <w:t> </w:t>
      </w:r>
      <w:r>
        <w:rPr>
          <w:color w:val="231F20"/>
          <w:w w:val="110"/>
        </w:rPr>
        <w:t>para</w:t>
      </w:r>
      <w:r>
        <w:rPr>
          <w:color w:val="231F20"/>
          <w:spacing w:val="-34"/>
          <w:w w:val="110"/>
        </w:rPr>
        <w:t> </w:t>
      </w:r>
      <w:r>
        <w:rPr>
          <w:color w:val="231F20"/>
          <w:w w:val="110"/>
        </w:rPr>
        <w:t>esa</w:t>
      </w:r>
      <w:r>
        <w:rPr>
          <w:color w:val="231F20"/>
          <w:spacing w:val="-34"/>
          <w:w w:val="110"/>
        </w:rPr>
        <w:t> </w:t>
      </w:r>
      <w:r>
        <w:rPr>
          <w:color w:val="231F20"/>
          <w:w w:val="110"/>
        </w:rPr>
        <w:t>iniciativa incluidos</w:t>
      </w:r>
      <w:r>
        <w:rPr>
          <w:color w:val="231F20"/>
          <w:spacing w:val="-23"/>
          <w:w w:val="110"/>
        </w:rPr>
        <w:t> </w:t>
      </w:r>
      <w:r>
        <w:rPr>
          <w:color w:val="231F20"/>
          <w:w w:val="110"/>
        </w:rPr>
        <w:t>en</w:t>
      </w:r>
      <w:r>
        <w:rPr>
          <w:color w:val="231F20"/>
          <w:spacing w:val="-23"/>
          <w:w w:val="110"/>
        </w:rPr>
        <w:t> </w:t>
      </w:r>
      <w:r>
        <w:rPr>
          <w:color w:val="231F20"/>
          <w:w w:val="110"/>
        </w:rPr>
        <w:t>los</w:t>
      </w:r>
      <w:r>
        <w:rPr>
          <w:color w:val="231F20"/>
          <w:spacing w:val="-23"/>
          <w:w w:val="110"/>
        </w:rPr>
        <w:t> </w:t>
      </w:r>
      <w:r>
        <w:rPr>
          <w:color w:val="231F20"/>
          <w:w w:val="110"/>
        </w:rPr>
        <w:t>presupuestos</w:t>
      </w:r>
      <w:r>
        <w:rPr>
          <w:color w:val="231F20"/>
          <w:spacing w:val="-23"/>
          <w:w w:val="110"/>
        </w:rPr>
        <w:t> </w:t>
      </w:r>
      <w:r>
        <w:rPr>
          <w:color w:val="231F20"/>
          <w:w w:val="110"/>
        </w:rPr>
        <w:t>federales</w:t>
      </w:r>
      <w:r>
        <w:rPr>
          <w:color w:val="231F20"/>
          <w:spacing w:val="-23"/>
          <w:w w:val="110"/>
        </w:rPr>
        <w:t> </w:t>
      </w:r>
      <w:r>
        <w:rPr>
          <w:color w:val="231F20"/>
          <w:w w:val="110"/>
        </w:rPr>
        <w:t>de</w:t>
      </w:r>
      <w:r>
        <w:rPr>
          <w:color w:val="231F20"/>
          <w:spacing w:val="-23"/>
          <w:w w:val="110"/>
        </w:rPr>
        <w:t> </w:t>
      </w:r>
      <w:r>
        <w:rPr>
          <w:color w:val="231F20"/>
          <w:w w:val="110"/>
        </w:rPr>
        <w:t>2009</w:t>
      </w:r>
      <w:r>
        <w:rPr>
          <w:color w:val="231F20"/>
          <w:spacing w:val="-23"/>
          <w:w w:val="110"/>
        </w:rPr>
        <w:t> </w:t>
      </w:r>
      <w:r>
        <w:rPr>
          <w:color w:val="231F20"/>
          <w:w w:val="110"/>
        </w:rPr>
        <w:t>y</w:t>
      </w:r>
      <w:r>
        <w:rPr>
          <w:color w:val="231F20"/>
          <w:spacing w:val="-23"/>
          <w:w w:val="110"/>
        </w:rPr>
        <w:t> </w:t>
      </w:r>
      <w:r>
        <w:rPr>
          <w:color w:val="231F20"/>
          <w:w w:val="110"/>
        </w:rPr>
        <w:t>2010,</w:t>
      </w:r>
      <w:r>
        <w:rPr>
          <w:color w:val="231F20"/>
          <w:spacing w:val="-23"/>
          <w:w w:val="110"/>
        </w:rPr>
        <w:t> </w:t>
      </w:r>
      <w:r>
        <w:rPr>
          <w:color w:val="231F20"/>
          <w:w w:val="110"/>
        </w:rPr>
        <w:t>para</w:t>
      </w:r>
      <w:r>
        <w:rPr>
          <w:color w:val="231F20"/>
          <w:spacing w:val="-23"/>
          <w:w w:val="110"/>
        </w:rPr>
        <w:t> </w:t>
      </w:r>
      <w:r>
        <w:rPr>
          <w:color w:val="231F20"/>
          <w:w w:val="110"/>
        </w:rPr>
        <w:t>movilizar el apoyo centroamericano a la “guerra” antes referida, el reconoci- miento del espurio gobierno hondureño presidido por Porfirio</w:t>
      </w:r>
      <w:r>
        <w:rPr>
          <w:color w:val="231F20"/>
          <w:spacing w:val="-12"/>
          <w:w w:val="110"/>
        </w:rPr>
        <w:t> </w:t>
      </w:r>
      <w:r>
        <w:rPr>
          <w:color w:val="231F20"/>
          <w:w w:val="110"/>
        </w:rPr>
        <w:t>Lobo, así como para continuar debilitando la influencia del Frente Fara- bundo Martí para la Liberación Nacional (fmln) sobre el gobierno salvadoreño</w:t>
      </w:r>
      <w:r>
        <w:rPr>
          <w:color w:val="231F20"/>
          <w:spacing w:val="-19"/>
          <w:w w:val="110"/>
        </w:rPr>
        <w:t> </w:t>
      </w:r>
      <w:r>
        <w:rPr>
          <w:color w:val="231F20"/>
          <w:w w:val="110"/>
        </w:rPr>
        <w:t>presidido,</w:t>
      </w:r>
      <w:r>
        <w:rPr>
          <w:color w:val="231F20"/>
          <w:spacing w:val="-19"/>
          <w:w w:val="110"/>
        </w:rPr>
        <w:t> </w:t>
      </w:r>
      <w:r>
        <w:rPr>
          <w:color w:val="231F20"/>
          <w:w w:val="110"/>
        </w:rPr>
        <w:t>desde</w:t>
      </w:r>
      <w:r>
        <w:rPr>
          <w:color w:val="231F20"/>
          <w:spacing w:val="-19"/>
          <w:w w:val="110"/>
        </w:rPr>
        <w:t> </w:t>
      </w:r>
      <w:r>
        <w:rPr>
          <w:color w:val="231F20"/>
          <w:w w:val="110"/>
        </w:rPr>
        <w:t>comienzos</w:t>
      </w:r>
      <w:r>
        <w:rPr>
          <w:color w:val="231F20"/>
          <w:spacing w:val="-19"/>
          <w:w w:val="110"/>
        </w:rPr>
        <w:t> </w:t>
      </w:r>
      <w:r>
        <w:rPr>
          <w:color w:val="231F20"/>
          <w:w w:val="110"/>
        </w:rPr>
        <w:t>de</w:t>
      </w:r>
      <w:r>
        <w:rPr>
          <w:color w:val="231F20"/>
          <w:spacing w:val="-19"/>
          <w:w w:val="110"/>
        </w:rPr>
        <w:t> </w:t>
      </w:r>
      <w:r>
        <w:rPr>
          <w:color w:val="231F20"/>
          <w:w w:val="110"/>
        </w:rPr>
        <w:t>2009,</w:t>
      </w:r>
      <w:r>
        <w:rPr>
          <w:color w:val="231F20"/>
          <w:spacing w:val="-19"/>
          <w:w w:val="110"/>
        </w:rPr>
        <w:t> </w:t>
      </w:r>
      <w:r>
        <w:rPr>
          <w:color w:val="231F20"/>
          <w:w w:val="110"/>
        </w:rPr>
        <w:t>por</w:t>
      </w:r>
      <w:r>
        <w:rPr>
          <w:color w:val="231F20"/>
          <w:spacing w:val="-19"/>
          <w:w w:val="110"/>
        </w:rPr>
        <w:t> </w:t>
      </w:r>
      <w:r>
        <w:rPr>
          <w:color w:val="231F20"/>
          <w:w w:val="110"/>
        </w:rPr>
        <w:t>Mauricio</w:t>
      </w:r>
      <w:r>
        <w:rPr>
          <w:color w:val="231F20"/>
          <w:spacing w:val="-19"/>
          <w:w w:val="110"/>
        </w:rPr>
        <w:t> </w:t>
      </w:r>
      <w:r>
        <w:rPr>
          <w:color w:val="231F20"/>
          <w:w w:val="110"/>
        </w:rPr>
        <w:t>Funes (Dalton, 2009), en febrero de 2010, la secretaria de Estado Hilary Clinton se reunió en Guatemala con los mandatarios de ese país, de El</w:t>
      </w:r>
      <w:r>
        <w:rPr>
          <w:color w:val="231F20"/>
          <w:spacing w:val="-20"/>
          <w:w w:val="110"/>
        </w:rPr>
        <w:t> </w:t>
      </w:r>
      <w:r>
        <w:rPr>
          <w:color w:val="231F20"/>
          <w:spacing w:val="-4"/>
          <w:w w:val="110"/>
        </w:rPr>
        <w:t>Salvador,</w:t>
      </w:r>
      <w:r>
        <w:rPr>
          <w:color w:val="231F20"/>
          <w:spacing w:val="-20"/>
          <w:w w:val="110"/>
        </w:rPr>
        <w:t> </w:t>
      </w:r>
      <w:r>
        <w:rPr>
          <w:color w:val="231F20"/>
          <w:w w:val="110"/>
        </w:rPr>
        <w:t>Honduras,</w:t>
      </w:r>
      <w:r>
        <w:rPr>
          <w:color w:val="231F20"/>
          <w:spacing w:val="-20"/>
          <w:w w:val="110"/>
        </w:rPr>
        <w:t> </w:t>
      </w:r>
      <w:r>
        <w:rPr>
          <w:color w:val="231F20"/>
          <w:w w:val="110"/>
        </w:rPr>
        <w:t>Costa</w:t>
      </w:r>
      <w:r>
        <w:rPr>
          <w:color w:val="231F20"/>
          <w:spacing w:val="-20"/>
          <w:w w:val="110"/>
        </w:rPr>
        <w:t> </w:t>
      </w:r>
      <w:r>
        <w:rPr>
          <w:color w:val="231F20"/>
          <w:w w:val="110"/>
        </w:rPr>
        <w:t>Rica</w:t>
      </w:r>
      <w:r>
        <w:rPr>
          <w:color w:val="231F20"/>
          <w:spacing w:val="-20"/>
          <w:w w:val="110"/>
        </w:rPr>
        <w:t> </w:t>
      </w:r>
      <w:r>
        <w:rPr>
          <w:color w:val="231F20"/>
          <w:w w:val="110"/>
        </w:rPr>
        <w:t>y</w:t>
      </w:r>
      <w:r>
        <w:rPr>
          <w:color w:val="231F20"/>
          <w:spacing w:val="-20"/>
          <w:w w:val="110"/>
        </w:rPr>
        <w:t> </w:t>
      </w:r>
      <w:r>
        <w:rPr>
          <w:color w:val="231F20"/>
          <w:w w:val="110"/>
        </w:rPr>
        <w:t>República</w:t>
      </w:r>
      <w:r>
        <w:rPr>
          <w:color w:val="231F20"/>
          <w:spacing w:val="-20"/>
          <w:w w:val="110"/>
        </w:rPr>
        <w:t> </w:t>
      </w:r>
      <w:r>
        <w:rPr>
          <w:color w:val="231F20"/>
          <w:w w:val="110"/>
        </w:rPr>
        <w:t>Dominicana,</w:t>
      </w:r>
      <w:r>
        <w:rPr>
          <w:color w:val="231F20"/>
          <w:spacing w:val="-20"/>
          <w:w w:val="110"/>
        </w:rPr>
        <w:t> </w:t>
      </w:r>
      <w:r>
        <w:rPr>
          <w:color w:val="231F20"/>
          <w:w w:val="110"/>
        </w:rPr>
        <w:t>así</w:t>
      </w:r>
      <w:r>
        <w:rPr>
          <w:color w:val="231F20"/>
          <w:spacing w:val="-20"/>
          <w:w w:val="110"/>
        </w:rPr>
        <w:t> </w:t>
      </w:r>
      <w:r>
        <w:rPr>
          <w:color w:val="231F20"/>
          <w:w w:val="110"/>
        </w:rPr>
        <w:t>como con el primer ministro de Belice. En esa reunión, a la cual no asistió ningún representante del gobierno nicaragüense, se analizó la</w:t>
      </w:r>
      <w:r>
        <w:rPr>
          <w:color w:val="231F20"/>
          <w:spacing w:val="50"/>
          <w:w w:val="110"/>
        </w:rPr>
        <w:t> </w:t>
      </w:r>
      <w:r>
        <w:rPr>
          <w:color w:val="231F20"/>
          <w:w w:val="110"/>
        </w:rPr>
        <w:t>ahora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denominada Iniciativa para la Seguridad de Centroamérica (carsi), cuyos detalles fueron precisados durante el recorrido por esa subre- gión</w:t>
      </w:r>
      <w:r>
        <w:rPr>
          <w:color w:val="231F20"/>
          <w:spacing w:val="-13"/>
          <w:w w:val="110"/>
        </w:rPr>
        <w:t> </w:t>
      </w:r>
      <w:r>
        <w:rPr>
          <w:color w:val="231F20"/>
          <w:w w:val="110"/>
        </w:rPr>
        <w:t>que</w:t>
      </w:r>
      <w:r>
        <w:rPr>
          <w:color w:val="231F20"/>
          <w:spacing w:val="-13"/>
          <w:w w:val="110"/>
        </w:rPr>
        <w:t> </w:t>
      </w:r>
      <w:r>
        <w:rPr>
          <w:color w:val="231F20"/>
          <w:w w:val="110"/>
        </w:rPr>
        <w:t>realizó</w:t>
      </w:r>
      <w:r>
        <w:rPr>
          <w:color w:val="231F20"/>
          <w:spacing w:val="-13"/>
          <w:w w:val="110"/>
        </w:rPr>
        <w:t> </w:t>
      </w:r>
      <w:r>
        <w:rPr>
          <w:color w:val="231F20"/>
          <w:w w:val="110"/>
        </w:rPr>
        <w:t>tres</w:t>
      </w:r>
      <w:r>
        <w:rPr>
          <w:color w:val="231F20"/>
          <w:spacing w:val="-13"/>
          <w:w w:val="110"/>
        </w:rPr>
        <w:t> </w:t>
      </w:r>
      <w:r>
        <w:rPr>
          <w:color w:val="231F20"/>
          <w:w w:val="110"/>
        </w:rPr>
        <w:t>meses</w:t>
      </w:r>
      <w:r>
        <w:rPr>
          <w:color w:val="231F20"/>
          <w:spacing w:val="-13"/>
          <w:w w:val="110"/>
        </w:rPr>
        <w:t> </w:t>
      </w:r>
      <w:r>
        <w:rPr>
          <w:color w:val="231F20"/>
          <w:w w:val="110"/>
        </w:rPr>
        <w:t>después</w:t>
      </w:r>
      <w:r>
        <w:rPr>
          <w:color w:val="231F20"/>
          <w:spacing w:val="-13"/>
          <w:w w:val="110"/>
        </w:rPr>
        <w:t> </w:t>
      </w:r>
      <w:r>
        <w:rPr>
          <w:color w:val="231F20"/>
          <w:w w:val="110"/>
        </w:rPr>
        <w:t>el</w:t>
      </w:r>
      <w:r>
        <w:rPr>
          <w:color w:val="231F20"/>
          <w:spacing w:val="-13"/>
          <w:w w:val="110"/>
        </w:rPr>
        <w:t> </w:t>
      </w:r>
      <w:r>
        <w:rPr>
          <w:color w:val="231F20"/>
          <w:w w:val="110"/>
        </w:rPr>
        <w:t>subsecretario</w:t>
      </w:r>
      <w:r>
        <w:rPr>
          <w:color w:val="231F20"/>
          <w:spacing w:val="-13"/>
          <w:w w:val="110"/>
        </w:rPr>
        <w:t> </w:t>
      </w:r>
      <w:r>
        <w:rPr>
          <w:color w:val="231F20"/>
          <w:w w:val="110"/>
        </w:rPr>
        <w:t>de</w:t>
      </w:r>
      <w:r>
        <w:rPr>
          <w:color w:val="231F20"/>
          <w:spacing w:val="-13"/>
          <w:w w:val="110"/>
        </w:rPr>
        <w:t> </w:t>
      </w:r>
      <w:r>
        <w:rPr>
          <w:color w:val="231F20"/>
          <w:w w:val="110"/>
        </w:rPr>
        <w:t>Estado</w:t>
      </w:r>
      <w:r>
        <w:rPr>
          <w:color w:val="231F20"/>
          <w:spacing w:val="-13"/>
          <w:w w:val="110"/>
        </w:rPr>
        <w:t> </w:t>
      </w:r>
      <w:r>
        <w:rPr>
          <w:color w:val="231F20"/>
          <w:w w:val="110"/>
        </w:rPr>
        <w:t>para</w:t>
      </w:r>
      <w:r>
        <w:rPr>
          <w:color w:val="231F20"/>
          <w:spacing w:val="-13"/>
          <w:w w:val="110"/>
        </w:rPr>
        <w:t> </w:t>
      </w:r>
      <w:r>
        <w:rPr>
          <w:color w:val="231F20"/>
          <w:w w:val="110"/>
        </w:rPr>
        <w:t>el Hemisferio</w:t>
      </w:r>
      <w:r>
        <w:rPr>
          <w:color w:val="231F20"/>
          <w:spacing w:val="-19"/>
          <w:w w:val="110"/>
        </w:rPr>
        <w:t> </w:t>
      </w:r>
      <w:r>
        <w:rPr>
          <w:color w:val="231F20"/>
          <w:w w:val="110"/>
        </w:rPr>
        <w:t>Occidental,</w:t>
      </w:r>
      <w:r>
        <w:rPr>
          <w:color w:val="231F20"/>
          <w:spacing w:val="-19"/>
          <w:w w:val="110"/>
        </w:rPr>
        <w:t> </w:t>
      </w:r>
      <w:r>
        <w:rPr>
          <w:color w:val="231F20"/>
          <w:w w:val="110"/>
        </w:rPr>
        <w:t>Arturo</w:t>
      </w:r>
      <w:r>
        <w:rPr>
          <w:color w:val="231F20"/>
          <w:spacing w:val="-19"/>
          <w:w w:val="110"/>
        </w:rPr>
        <w:t> </w:t>
      </w:r>
      <w:r>
        <w:rPr>
          <w:color w:val="231F20"/>
          <w:spacing w:val="-3"/>
          <w:w w:val="110"/>
        </w:rPr>
        <w:t>Valenzuela</w:t>
      </w:r>
      <w:r>
        <w:rPr>
          <w:color w:val="231F20"/>
          <w:spacing w:val="-19"/>
          <w:w w:val="110"/>
        </w:rPr>
        <w:t> </w:t>
      </w:r>
      <w:r>
        <w:rPr>
          <w:color w:val="231F20"/>
          <w:w w:val="110"/>
        </w:rPr>
        <w:t>(Mora,</w:t>
      </w:r>
      <w:r>
        <w:rPr>
          <w:color w:val="231F20"/>
          <w:spacing w:val="-19"/>
          <w:w w:val="110"/>
        </w:rPr>
        <w:t> </w:t>
      </w:r>
      <w:r>
        <w:rPr>
          <w:color w:val="231F20"/>
          <w:spacing w:val="-2"/>
          <w:w w:val="110"/>
        </w:rPr>
        <w:t>2010).</w:t>
      </w:r>
    </w:p>
    <w:p>
      <w:pPr>
        <w:pStyle w:val="BodyText"/>
        <w:spacing w:line="261" w:lineRule="auto"/>
        <w:ind w:left="100" w:right="114" w:firstLine="240"/>
        <w:jc w:val="both"/>
      </w:pPr>
      <w:r>
        <w:rPr>
          <w:color w:val="231F20"/>
          <w:w w:val="115"/>
        </w:rPr>
        <w:t>Como</w:t>
      </w:r>
      <w:r>
        <w:rPr>
          <w:color w:val="231F20"/>
          <w:spacing w:val="-17"/>
          <w:w w:val="115"/>
        </w:rPr>
        <w:t> </w:t>
      </w:r>
      <w:r>
        <w:rPr>
          <w:color w:val="231F20"/>
          <w:w w:val="115"/>
        </w:rPr>
        <w:t>parte</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carsi,</w:t>
      </w:r>
      <w:r>
        <w:rPr>
          <w:color w:val="231F20"/>
          <w:spacing w:val="-17"/>
          <w:w w:val="115"/>
        </w:rPr>
        <w:t> </w:t>
      </w:r>
      <w:r>
        <w:rPr>
          <w:color w:val="231F20"/>
          <w:w w:val="115"/>
        </w:rPr>
        <w:t>la</w:t>
      </w:r>
      <w:r>
        <w:rPr>
          <w:color w:val="231F20"/>
          <w:spacing w:val="-17"/>
          <w:w w:val="115"/>
        </w:rPr>
        <w:t> </w:t>
      </w:r>
      <w:r>
        <w:rPr>
          <w:color w:val="231F20"/>
          <w:w w:val="115"/>
        </w:rPr>
        <w:t>actual</w:t>
      </w:r>
      <w:r>
        <w:rPr>
          <w:color w:val="231F20"/>
          <w:spacing w:val="-17"/>
          <w:w w:val="115"/>
        </w:rPr>
        <w:t> </w:t>
      </w:r>
      <w:r>
        <w:rPr>
          <w:color w:val="231F20"/>
          <w:w w:val="115"/>
        </w:rPr>
        <w:t>presidente</w:t>
      </w:r>
      <w:r>
        <w:rPr>
          <w:color w:val="231F20"/>
          <w:spacing w:val="-17"/>
          <w:w w:val="115"/>
        </w:rPr>
        <w:t> </w:t>
      </w:r>
      <w:r>
        <w:rPr>
          <w:color w:val="231F20"/>
          <w:w w:val="115"/>
        </w:rPr>
        <w:t>de</w:t>
      </w:r>
      <w:r>
        <w:rPr>
          <w:color w:val="231F20"/>
          <w:spacing w:val="-17"/>
          <w:w w:val="115"/>
        </w:rPr>
        <w:t> </w:t>
      </w:r>
      <w:r>
        <w:rPr>
          <w:color w:val="231F20"/>
          <w:w w:val="115"/>
        </w:rPr>
        <w:t>Costa</w:t>
      </w:r>
      <w:r>
        <w:rPr>
          <w:color w:val="231F20"/>
          <w:spacing w:val="-17"/>
          <w:w w:val="115"/>
        </w:rPr>
        <w:t> </w:t>
      </w:r>
      <w:r>
        <w:rPr>
          <w:color w:val="231F20"/>
          <w:w w:val="115"/>
        </w:rPr>
        <w:t>Rica,</w:t>
      </w:r>
      <w:r>
        <w:rPr>
          <w:color w:val="231F20"/>
          <w:spacing w:val="-17"/>
          <w:w w:val="115"/>
        </w:rPr>
        <w:t> </w:t>
      </w:r>
      <w:r>
        <w:rPr>
          <w:color w:val="231F20"/>
          <w:w w:val="115"/>
        </w:rPr>
        <w:t>Laura Chinchilla</w:t>
      </w:r>
      <w:r>
        <w:rPr>
          <w:color w:val="231F20"/>
          <w:spacing w:val="-32"/>
          <w:w w:val="115"/>
        </w:rPr>
        <w:t> </w:t>
      </w:r>
      <w:r>
        <w:rPr>
          <w:color w:val="231F20"/>
          <w:w w:val="115"/>
        </w:rPr>
        <w:t>(2010-2014),</w:t>
      </w:r>
      <w:r>
        <w:rPr>
          <w:color w:val="231F20"/>
          <w:spacing w:val="-32"/>
          <w:w w:val="115"/>
        </w:rPr>
        <w:t> </w:t>
      </w:r>
      <w:r>
        <w:rPr>
          <w:color w:val="231F20"/>
          <w:w w:val="115"/>
        </w:rPr>
        <w:t>firmó</w:t>
      </w:r>
      <w:r>
        <w:rPr>
          <w:color w:val="231F20"/>
          <w:spacing w:val="-32"/>
          <w:w w:val="115"/>
        </w:rPr>
        <w:t> </w:t>
      </w:r>
      <w:r>
        <w:rPr>
          <w:color w:val="231F20"/>
          <w:w w:val="115"/>
        </w:rPr>
        <w:t>un</w:t>
      </w:r>
      <w:r>
        <w:rPr>
          <w:color w:val="231F20"/>
          <w:spacing w:val="-32"/>
          <w:w w:val="115"/>
        </w:rPr>
        <w:t> </w:t>
      </w:r>
      <w:r>
        <w:rPr>
          <w:color w:val="231F20"/>
          <w:w w:val="115"/>
        </w:rPr>
        <w:t>acuerdo</w:t>
      </w:r>
      <w:r>
        <w:rPr>
          <w:color w:val="231F20"/>
          <w:spacing w:val="-32"/>
          <w:w w:val="115"/>
        </w:rPr>
        <w:t> </w:t>
      </w:r>
      <w:r>
        <w:rPr>
          <w:color w:val="231F20"/>
          <w:w w:val="115"/>
        </w:rPr>
        <w:t>con</w:t>
      </w:r>
      <w:r>
        <w:rPr>
          <w:color w:val="231F20"/>
          <w:spacing w:val="-32"/>
          <w:w w:val="115"/>
        </w:rPr>
        <w:t> </w:t>
      </w:r>
      <w:r>
        <w:rPr>
          <w:color w:val="231F20"/>
          <w:w w:val="115"/>
        </w:rPr>
        <w:t>el</w:t>
      </w:r>
      <w:r>
        <w:rPr>
          <w:color w:val="231F20"/>
          <w:spacing w:val="-32"/>
          <w:w w:val="115"/>
        </w:rPr>
        <w:t> </w:t>
      </w:r>
      <w:r>
        <w:rPr>
          <w:color w:val="231F20"/>
          <w:w w:val="115"/>
        </w:rPr>
        <w:t>gobierno</w:t>
      </w:r>
      <w:r>
        <w:rPr>
          <w:color w:val="231F20"/>
          <w:spacing w:val="-32"/>
          <w:w w:val="115"/>
        </w:rPr>
        <w:t> </w:t>
      </w:r>
      <w:r>
        <w:rPr>
          <w:color w:val="231F20"/>
          <w:w w:val="115"/>
        </w:rPr>
        <w:t>estaduni- dense</w:t>
      </w:r>
      <w:r>
        <w:rPr>
          <w:color w:val="231F20"/>
          <w:spacing w:val="-23"/>
          <w:w w:val="115"/>
        </w:rPr>
        <w:t> </w:t>
      </w:r>
      <w:r>
        <w:rPr>
          <w:color w:val="231F20"/>
          <w:w w:val="115"/>
        </w:rPr>
        <w:t>(pendiente</w:t>
      </w:r>
      <w:r>
        <w:rPr>
          <w:color w:val="231F20"/>
          <w:spacing w:val="-23"/>
          <w:w w:val="115"/>
        </w:rPr>
        <w:t> </w:t>
      </w:r>
      <w:r>
        <w:rPr>
          <w:color w:val="231F20"/>
          <w:w w:val="115"/>
        </w:rPr>
        <w:t>de</w:t>
      </w:r>
      <w:r>
        <w:rPr>
          <w:color w:val="231F20"/>
          <w:spacing w:val="-23"/>
          <w:w w:val="115"/>
        </w:rPr>
        <w:t> </w:t>
      </w:r>
      <w:r>
        <w:rPr>
          <w:color w:val="231F20"/>
          <w:w w:val="115"/>
        </w:rPr>
        <w:t>validación</w:t>
      </w:r>
      <w:r>
        <w:rPr>
          <w:color w:val="231F20"/>
          <w:spacing w:val="-23"/>
          <w:w w:val="115"/>
        </w:rPr>
        <w:t> </w:t>
      </w:r>
      <w:r>
        <w:rPr>
          <w:color w:val="231F20"/>
          <w:w w:val="115"/>
        </w:rPr>
        <w:t>por</w:t>
      </w:r>
      <w:r>
        <w:rPr>
          <w:color w:val="231F20"/>
          <w:spacing w:val="-23"/>
          <w:w w:val="115"/>
        </w:rPr>
        <w:t> </w:t>
      </w:r>
      <w:r>
        <w:rPr>
          <w:color w:val="231F20"/>
          <w:w w:val="115"/>
        </w:rPr>
        <w:t>el</w:t>
      </w:r>
      <w:r>
        <w:rPr>
          <w:color w:val="231F20"/>
          <w:spacing w:val="-23"/>
          <w:w w:val="115"/>
        </w:rPr>
        <w:t> </w:t>
      </w:r>
      <w:r>
        <w:rPr>
          <w:color w:val="231F20"/>
          <w:w w:val="115"/>
        </w:rPr>
        <w:t>poder</w:t>
      </w:r>
      <w:r>
        <w:rPr>
          <w:color w:val="231F20"/>
          <w:spacing w:val="-23"/>
          <w:w w:val="115"/>
        </w:rPr>
        <w:t> </w:t>
      </w:r>
      <w:r>
        <w:rPr>
          <w:color w:val="231F20"/>
          <w:w w:val="115"/>
        </w:rPr>
        <w:t>judicial)</w:t>
      </w:r>
      <w:r>
        <w:rPr>
          <w:color w:val="231F20"/>
          <w:spacing w:val="-23"/>
          <w:w w:val="115"/>
        </w:rPr>
        <w:t> </w:t>
      </w:r>
      <w:r>
        <w:rPr>
          <w:color w:val="231F20"/>
          <w:w w:val="115"/>
        </w:rPr>
        <w:t>que</w:t>
      </w:r>
      <w:r>
        <w:rPr>
          <w:color w:val="231F20"/>
          <w:spacing w:val="-23"/>
          <w:w w:val="115"/>
        </w:rPr>
        <w:t> </w:t>
      </w:r>
      <w:r>
        <w:rPr>
          <w:color w:val="231F20"/>
          <w:w w:val="115"/>
        </w:rPr>
        <w:t>—además de continuar “la modernización” del Centro de Seguridad</w:t>
      </w:r>
      <w:r>
        <w:rPr>
          <w:color w:val="231F20"/>
          <w:spacing w:val="-14"/>
          <w:w w:val="115"/>
        </w:rPr>
        <w:t> </w:t>
      </w:r>
      <w:r>
        <w:rPr>
          <w:color w:val="231F20"/>
          <w:w w:val="115"/>
        </w:rPr>
        <w:t>Coope- rativa (scl) que funciona en el aeropuerto de Liberia (aprobada por</w:t>
      </w:r>
      <w:r>
        <w:rPr>
          <w:color w:val="231F20"/>
          <w:spacing w:val="-15"/>
          <w:w w:val="115"/>
        </w:rPr>
        <w:t> </w:t>
      </w:r>
      <w:r>
        <w:rPr>
          <w:color w:val="231F20"/>
          <w:w w:val="115"/>
        </w:rPr>
        <w:t>su</w:t>
      </w:r>
      <w:r>
        <w:rPr>
          <w:color w:val="231F20"/>
          <w:spacing w:val="-15"/>
          <w:w w:val="115"/>
        </w:rPr>
        <w:t> </w:t>
      </w:r>
      <w:r>
        <w:rPr>
          <w:color w:val="231F20"/>
          <w:w w:val="115"/>
        </w:rPr>
        <w:t>antecesor,</w:t>
      </w:r>
      <w:r>
        <w:rPr>
          <w:color w:val="231F20"/>
          <w:spacing w:val="-15"/>
          <w:w w:val="115"/>
        </w:rPr>
        <w:t> </w:t>
      </w:r>
      <w:r>
        <w:rPr>
          <w:color w:val="231F20"/>
          <w:w w:val="115"/>
        </w:rPr>
        <w:t>Oscar</w:t>
      </w:r>
      <w:r>
        <w:rPr>
          <w:color w:val="231F20"/>
          <w:spacing w:val="-15"/>
          <w:w w:val="115"/>
        </w:rPr>
        <w:t> </w:t>
      </w:r>
      <w:r>
        <w:rPr>
          <w:color w:val="231F20"/>
          <w:w w:val="115"/>
        </w:rPr>
        <w:t>Arias)—</w:t>
      </w:r>
      <w:r>
        <w:rPr>
          <w:color w:val="231F20"/>
          <w:spacing w:val="-15"/>
          <w:w w:val="115"/>
        </w:rPr>
        <w:t> </w:t>
      </w:r>
      <w:r>
        <w:rPr>
          <w:color w:val="231F20"/>
          <w:w w:val="115"/>
        </w:rPr>
        <w:t>autorizó</w:t>
      </w:r>
      <w:r>
        <w:rPr>
          <w:color w:val="231F20"/>
          <w:spacing w:val="-15"/>
          <w:w w:val="115"/>
        </w:rPr>
        <w:t> </w:t>
      </w:r>
      <w:r>
        <w:rPr>
          <w:color w:val="231F20"/>
          <w:w w:val="115"/>
        </w:rPr>
        <w:t>el</w:t>
      </w:r>
      <w:r>
        <w:rPr>
          <w:color w:val="231F20"/>
          <w:spacing w:val="-15"/>
          <w:w w:val="115"/>
        </w:rPr>
        <w:t> </w:t>
      </w:r>
      <w:r>
        <w:rPr>
          <w:color w:val="231F20"/>
          <w:w w:val="115"/>
        </w:rPr>
        <w:t>arribo</w:t>
      </w:r>
      <w:r>
        <w:rPr>
          <w:color w:val="231F20"/>
          <w:spacing w:val="-15"/>
          <w:w w:val="115"/>
        </w:rPr>
        <w:t> </w:t>
      </w:r>
      <w:r>
        <w:rPr>
          <w:color w:val="231F20"/>
          <w:w w:val="115"/>
        </w:rPr>
        <w:t>a</w:t>
      </w:r>
      <w:r>
        <w:rPr>
          <w:color w:val="231F20"/>
          <w:spacing w:val="-15"/>
          <w:w w:val="115"/>
        </w:rPr>
        <w:t> </w:t>
      </w:r>
      <w:r>
        <w:rPr>
          <w:color w:val="231F20"/>
          <w:w w:val="115"/>
        </w:rPr>
        <w:t>sus</w:t>
      </w:r>
      <w:r>
        <w:rPr>
          <w:color w:val="231F20"/>
          <w:spacing w:val="-15"/>
          <w:w w:val="115"/>
        </w:rPr>
        <w:t> </w:t>
      </w:r>
      <w:r>
        <w:rPr>
          <w:color w:val="231F20"/>
          <w:w w:val="115"/>
        </w:rPr>
        <w:t>costas</w:t>
      </w:r>
      <w:r>
        <w:rPr>
          <w:color w:val="231F20"/>
          <w:spacing w:val="-15"/>
          <w:w w:val="115"/>
        </w:rPr>
        <w:t> </w:t>
      </w:r>
      <w:r>
        <w:rPr>
          <w:color w:val="231F20"/>
          <w:w w:val="115"/>
        </w:rPr>
        <w:t>y</w:t>
      </w:r>
      <w:r>
        <w:rPr>
          <w:color w:val="231F20"/>
          <w:spacing w:val="-15"/>
          <w:w w:val="115"/>
        </w:rPr>
        <w:t> </w:t>
      </w:r>
      <w:r>
        <w:rPr>
          <w:color w:val="231F20"/>
          <w:w w:val="115"/>
        </w:rPr>
        <w:t>el despliegue en su territorio “de 46 buques de guerra y 7 mil</w:t>
      </w:r>
      <w:r>
        <w:rPr>
          <w:color w:val="231F20"/>
          <w:spacing w:val="-18"/>
          <w:w w:val="115"/>
        </w:rPr>
        <w:t> </w:t>
      </w:r>
      <w:r>
        <w:rPr>
          <w:color w:val="231F20"/>
          <w:w w:val="115"/>
        </w:rPr>
        <w:t>tropas estadunidenses”</w:t>
      </w:r>
      <w:r>
        <w:rPr>
          <w:color w:val="231F20"/>
          <w:spacing w:val="-36"/>
          <w:w w:val="115"/>
        </w:rPr>
        <w:t> </w:t>
      </w:r>
      <w:r>
        <w:rPr>
          <w:color w:val="231F20"/>
          <w:w w:val="115"/>
        </w:rPr>
        <w:t>con</w:t>
      </w:r>
      <w:r>
        <w:rPr>
          <w:color w:val="231F20"/>
          <w:spacing w:val="-36"/>
          <w:w w:val="115"/>
        </w:rPr>
        <w:t> </w:t>
      </w:r>
      <w:r>
        <w:rPr>
          <w:color w:val="231F20"/>
          <w:w w:val="115"/>
        </w:rPr>
        <w:t>el</w:t>
      </w:r>
      <w:r>
        <w:rPr>
          <w:color w:val="231F20"/>
          <w:spacing w:val="-36"/>
          <w:w w:val="115"/>
        </w:rPr>
        <w:t> </w:t>
      </w:r>
      <w:r>
        <w:rPr>
          <w:color w:val="231F20"/>
          <w:w w:val="115"/>
        </w:rPr>
        <w:t>propósito</w:t>
      </w:r>
      <w:r>
        <w:rPr>
          <w:color w:val="231F20"/>
          <w:spacing w:val="-36"/>
          <w:w w:val="115"/>
        </w:rPr>
        <w:t> </w:t>
      </w:r>
      <w:r>
        <w:rPr>
          <w:color w:val="231F20"/>
          <w:w w:val="115"/>
        </w:rPr>
        <w:t>declarado</w:t>
      </w:r>
      <w:r>
        <w:rPr>
          <w:color w:val="231F20"/>
          <w:spacing w:val="-36"/>
          <w:w w:val="115"/>
        </w:rPr>
        <w:t> </w:t>
      </w:r>
      <w:r>
        <w:rPr>
          <w:color w:val="231F20"/>
          <w:w w:val="115"/>
        </w:rPr>
        <w:t>de</w:t>
      </w:r>
      <w:r>
        <w:rPr>
          <w:color w:val="231F20"/>
          <w:spacing w:val="-36"/>
          <w:w w:val="115"/>
        </w:rPr>
        <w:t> </w:t>
      </w:r>
      <w:r>
        <w:rPr>
          <w:color w:val="231F20"/>
          <w:w w:val="115"/>
        </w:rPr>
        <w:t>“realizar</w:t>
      </w:r>
      <w:r>
        <w:rPr>
          <w:color w:val="231F20"/>
          <w:spacing w:val="-36"/>
          <w:w w:val="115"/>
        </w:rPr>
        <w:t> </w:t>
      </w:r>
      <w:r>
        <w:rPr>
          <w:color w:val="231F20"/>
          <w:w w:val="115"/>
        </w:rPr>
        <w:t>operaciones </w:t>
      </w:r>
      <w:r>
        <w:rPr>
          <w:color w:val="231F20"/>
          <w:w w:val="110"/>
        </w:rPr>
        <w:t>militares, misiones antinarcóticos y supuestas acciones</w:t>
      </w:r>
      <w:r>
        <w:rPr>
          <w:color w:val="231F20"/>
          <w:spacing w:val="-20"/>
          <w:w w:val="110"/>
        </w:rPr>
        <w:t> </w:t>
      </w:r>
      <w:r>
        <w:rPr>
          <w:color w:val="231F20"/>
          <w:w w:val="110"/>
        </w:rPr>
        <w:t>humanitarias en</w:t>
      </w:r>
      <w:r>
        <w:rPr>
          <w:color w:val="231F20"/>
          <w:spacing w:val="-18"/>
          <w:w w:val="110"/>
        </w:rPr>
        <w:t> </w:t>
      </w:r>
      <w:r>
        <w:rPr>
          <w:color w:val="231F20"/>
          <w:w w:val="110"/>
        </w:rPr>
        <w:t>la</w:t>
      </w:r>
      <w:r>
        <w:rPr>
          <w:color w:val="231F20"/>
          <w:spacing w:val="-18"/>
          <w:w w:val="110"/>
        </w:rPr>
        <w:t> </w:t>
      </w:r>
      <w:r>
        <w:rPr>
          <w:color w:val="231F20"/>
          <w:w w:val="110"/>
        </w:rPr>
        <w:t>región”</w:t>
      </w:r>
      <w:r>
        <w:rPr>
          <w:color w:val="231F20"/>
          <w:spacing w:val="-18"/>
          <w:w w:val="110"/>
        </w:rPr>
        <w:t> </w:t>
      </w:r>
      <w:r>
        <w:rPr>
          <w:color w:val="231F20"/>
          <w:w w:val="110"/>
        </w:rPr>
        <w:t>(Golinger,</w:t>
      </w:r>
      <w:r>
        <w:rPr>
          <w:color w:val="231F20"/>
          <w:spacing w:val="-18"/>
          <w:w w:val="110"/>
        </w:rPr>
        <w:t> </w:t>
      </w:r>
      <w:r>
        <w:rPr>
          <w:color w:val="231F20"/>
          <w:w w:val="110"/>
        </w:rPr>
        <w:t>2010).</w:t>
      </w:r>
      <w:r>
        <w:rPr>
          <w:color w:val="231F20"/>
          <w:spacing w:val="-18"/>
          <w:w w:val="110"/>
        </w:rPr>
        <w:t> </w:t>
      </w:r>
      <w:r>
        <w:rPr>
          <w:color w:val="231F20"/>
          <w:w w:val="110"/>
        </w:rPr>
        <w:t>Esas</w:t>
      </w:r>
      <w:r>
        <w:rPr>
          <w:color w:val="231F20"/>
          <w:spacing w:val="-18"/>
          <w:w w:val="110"/>
        </w:rPr>
        <w:t> </w:t>
      </w:r>
      <w:r>
        <w:rPr>
          <w:color w:val="231F20"/>
          <w:w w:val="110"/>
        </w:rPr>
        <w:t>“facilidades”</w:t>
      </w:r>
      <w:r>
        <w:rPr>
          <w:color w:val="231F20"/>
          <w:spacing w:val="-18"/>
          <w:w w:val="110"/>
        </w:rPr>
        <w:t> </w:t>
      </w:r>
      <w:r>
        <w:rPr>
          <w:color w:val="231F20"/>
          <w:w w:val="110"/>
        </w:rPr>
        <w:t>se</w:t>
      </w:r>
      <w:r>
        <w:rPr>
          <w:color w:val="231F20"/>
          <w:spacing w:val="-18"/>
          <w:w w:val="110"/>
        </w:rPr>
        <w:t> </w:t>
      </w:r>
      <w:r>
        <w:rPr>
          <w:color w:val="231F20"/>
          <w:w w:val="110"/>
        </w:rPr>
        <w:t>unen</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llama- </w:t>
      </w:r>
      <w:r>
        <w:rPr>
          <w:color w:val="231F20"/>
          <w:w w:val="115"/>
        </w:rPr>
        <w:t>dos</w:t>
      </w:r>
      <w:r>
        <w:rPr>
          <w:color w:val="231F20"/>
          <w:spacing w:val="-40"/>
          <w:w w:val="115"/>
        </w:rPr>
        <w:t> </w:t>
      </w:r>
      <w:r>
        <w:rPr>
          <w:color w:val="231F20"/>
          <w:w w:val="115"/>
        </w:rPr>
        <w:t>Centros</w:t>
      </w:r>
      <w:r>
        <w:rPr>
          <w:color w:val="231F20"/>
          <w:spacing w:val="-40"/>
          <w:w w:val="115"/>
        </w:rPr>
        <w:t> </w:t>
      </w:r>
      <w:r>
        <w:rPr>
          <w:color w:val="231F20"/>
          <w:w w:val="115"/>
        </w:rPr>
        <w:t>de</w:t>
      </w:r>
      <w:r>
        <w:rPr>
          <w:color w:val="231F20"/>
          <w:spacing w:val="-40"/>
          <w:w w:val="115"/>
        </w:rPr>
        <w:t> </w:t>
      </w:r>
      <w:r>
        <w:rPr>
          <w:color w:val="231F20"/>
          <w:w w:val="115"/>
        </w:rPr>
        <w:t>Operaciones</w:t>
      </w:r>
      <w:r>
        <w:rPr>
          <w:color w:val="231F20"/>
          <w:spacing w:val="-40"/>
          <w:w w:val="115"/>
        </w:rPr>
        <w:t> </w:t>
      </w:r>
      <w:r>
        <w:rPr>
          <w:color w:val="231F20"/>
          <w:w w:val="115"/>
        </w:rPr>
        <w:t>Avanzadas</w:t>
      </w:r>
      <w:r>
        <w:rPr>
          <w:color w:val="231F20"/>
          <w:spacing w:val="-40"/>
          <w:w w:val="115"/>
        </w:rPr>
        <w:t> </w:t>
      </w:r>
      <w:r>
        <w:rPr>
          <w:color w:val="231F20"/>
          <w:w w:val="115"/>
        </w:rPr>
        <w:t>(fol)</w:t>
      </w:r>
      <w:r>
        <w:rPr>
          <w:color w:val="231F20"/>
          <w:spacing w:val="-40"/>
          <w:w w:val="115"/>
        </w:rPr>
        <w:t> </w:t>
      </w:r>
      <w:r>
        <w:rPr>
          <w:color w:val="231F20"/>
          <w:w w:val="115"/>
        </w:rPr>
        <w:t>previamente</w:t>
      </w:r>
      <w:r>
        <w:rPr>
          <w:color w:val="231F20"/>
          <w:spacing w:val="-40"/>
          <w:w w:val="115"/>
        </w:rPr>
        <w:t> </w:t>
      </w:r>
      <w:r>
        <w:rPr>
          <w:color w:val="231F20"/>
          <w:w w:val="115"/>
        </w:rPr>
        <w:t>instalados en</w:t>
      </w:r>
      <w:r>
        <w:rPr>
          <w:color w:val="231F20"/>
          <w:spacing w:val="-30"/>
          <w:w w:val="115"/>
        </w:rPr>
        <w:t> </w:t>
      </w:r>
      <w:r>
        <w:rPr>
          <w:color w:val="231F20"/>
          <w:w w:val="115"/>
        </w:rPr>
        <w:t>El</w:t>
      </w:r>
      <w:r>
        <w:rPr>
          <w:color w:val="231F20"/>
          <w:spacing w:val="-30"/>
          <w:w w:val="115"/>
        </w:rPr>
        <w:t> </w:t>
      </w:r>
      <w:r>
        <w:rPr>
          <w:color w:val="231F20"/>
          <w:w w:val="115"/>
        </w:rPr>
        <w:t>Salvador</w:t>
      </w:r>
      <w:r>
        <w:rPr>
          <w:color w:val="231F20"/>
          <w:spacing w:val="-30"/>
          <w:w w:val="115"/>
        </w:rPr>
        <w:t> </w:t>
      </w:r>
      <w:r>
        <w:rPr>
          <w:color w:val="231F20"/>
          <w:w w:val="115"/>
        </w:rPr>
        <w:t>y</w:t>
      </w:r>
      <w:r>
        <w:rPr>
          <w:color w:val="231F20"/>
          <w:spacing w:val="-30"/>
          <w:w w:val="115"/>
        </w:rPr>
        <w:t> </w:t>
      </w:r>
      <w:r>
        <w:rPr>
          <w:color w:val="231F20"/>
          <w:w w:val="115"/>
        </w:rPr>
        <w:t>en</w:t>
      </w:r>
      <w:r>
        <w:rPr>
          <w:color w:val="231F20"/>
          <w:spacing w:val="-30"/>
          <w:w w:val="115"/>
        </w:rPr>
        <w:t> </w:t>
      </w:r>
      <w:r>
        <w:rPr>
          <w:color w:val="231F20"/>
          <w:w w:val="115"/>
        </w:rPr>
        <w:t>Honduras.</w:t>
      </w:r>
      <w:r>
        <w:rPr>
          <w:color w:val="231F20"/>
          <w:spacing w:val="-30"/>
          <w:w w:val="115"/>
        </w:rPr>
        <w:t> </w:t>
      </w:r>
      <w:r>
        <w:rPr>
          <w:color w:val="231F20"/>
          <w:w w:val="115"/>
        </w:rPr>
        <w:t>Asimismo,</w:t>
      </w:r>
      <w:r>
        <w:rPr>
          <w:color w:val="231F20"/>
          <w:spacing w:val="-30"/>
          <w:w w:val="115"/>
        </w:rPr>
        <w:t> </w:t>
      </w:r>
      <w:r>
        <w:rPr>
          <w:color w:val="231F20"/>
          <w:w w:val="115"/>
        </w:rPr>
        <w:t>a</w:t>
      </w:r>
      <w:r>
        <w:rPr>
          <w:color w:val="231F20"/>
          <w:spacing w:val="-30"/>
          <w:w w:val="115"/>
        </w:rPr>
        <w:t> </w:t>
      </w:r>
      <w:r>
        <w:rPr>
          <w:color w:val="231F20"/>
          <w:w w:val="115"/>
        </w:rPr>
        <w:t>la</w:t>
      </w:r>
      <w:r>
        <w:rPr>
          <w:color w:val="231F20"/>
          <w:spacing w:val="-30"/>
          <w:w w:val="115"/>
        </w:rPr>
        <w:t> </w:t>
      </w:r>
      <w:r>
        <w:rPr>
          <w:color w:val="231F20"/>
          <w:w w:val="115"/>
        </w:rPr>
        <w:t>División</w:t>
      </w:r>
      <w:r>
        <w:rPr>
          <w:color w:val="231F20"/>
          <w:spacing w:val="-30"/>
          <w:w w:val="115"/>
        </w:rPr>
        <w:t> </w:t>
      </w:r>
      <w:r>
        <w:rPr>
          <w:color w:val="231F20"/>
          <w:w w:val="115"/>
        </w:rPr>
        <w:t>de</w:t>
      </w:r>
      <w:r>
        <w:rPr>
          <w:color w:val="231F20"/>
          <w:spacing w:val="-30"/>
          <w:w w:val="115"/>
        </w:rPr>
        <w:t> </w:t>
      </w:r>
      <w:r>
        <w:rPr>
          <w:color w:val="231F20"/>
          <w:w w:val="115"/>
        </w:rPr>
        <w:t>Análisis</w:t>
      </w:r>
      <w:r>
        <w:rPr>
          <w:color w:val="231F20"/>
          <w:spacing w:val="-30"/>
          <w:w w:val="115"/>
        </w:rPr>
        <w:t> </w:t>
      </w:r>
      <w:r>
        <w:rPr>
          <w:color w:val="231F20"/>
          <w:w w:val="115"/>
        </w:rPr>
        <w:t>e </w:t>
      </w:r>
      <w:r>
        <w:rPr>
          <w:color w:val="231F20"/>
          <w:w w:val="110"/>
        </w:rPr>
        <w:t>Información</w:t>
      </w:r>
      <w:r>
        <w:rPr>
          <w:color w:val="231F20"/>
          <w:spacing w:val="-8"/>
          <w:w w:val="110"/>
        </w:rPr>
        <w:t> </w:t>
      </w:r>
      <w:r>
        <w:rPr>
          <w:color w:val="231F20"/>
          <w:w w:val="110"/>
        </w:rPr>
        <w:t>Antinarcóticos</w:t>
      </w:r>
      <w:r>
        <w:rPr>
          <w:color w:val="231F20"/>
          <w:spacing w:val="-8"/>
          <w:w w:val="110"/>
        </w:rPr>
        <w:t> </w:t>
      </w:r>
      <w:r>
        <w:rPr>
          <w:color w:val="231F20"/>
          <w:w w:val="110"/>
        </w:rPr>
        <w:t>que,</w:t>
      </w:r>
      <w:r>
        <w:rPr>
          <w:color w:val="231F20"/>
          <w:spacing w:val="-8"/>
          <w:w w:val="110"/>
        </w:rPr>
        <w:t> </w:t>
      </w:r>
      <w:r>
        <w:rPr>
          <w:color w:val="231F20"/>
          <w:w w:val="110"/>
        </w:rPr>
        <w:t>bajo</w:t>
      </w:r>
      <w:r>
        <w:rPr>
          <w:color w:val="231F20"/>
          <w:spacing w:val="-8"/>
          <w:w w:val="110"/>
        </w:rPr>
        <w:t> </w:t>
      </w:r>
      <w:r>
        <w:rPr>
          <w:color w:val="231F20"/>
          <w:w w:val="110"/>
        </w:rPr>
        <w:t>control</w:t>
      </w:r>
      <w:r>
        <w:rPr>
          <w:color w:val="231F20"/>
          <w:spacing w:val="-8"/>
          <w:w w:val="110"/>
        </w:rPr>
        <w:t> </w:t>
      </w:r>
      <w:r>
        <w:rPr>
          <w:color w:val="231F20"/>
          <w:w w:val="110"/>
        </w:rPr>
        <w:t>militar-policial</w:t>
      </w:r>
      <w:r>
        <w:rPr>
          <w:color w:val="231F20"/>
          <w:spacing w:val="-8"/>
          <w:w w:val="110"/>
        </w:rPr>
        <w:t> </w:t>
      </w:r>
      <w:r>
        <w:rPr>
          <w:color w:val="231F20"/>
          <w:w w:val="110"/>
        </w:rPr>
        <w:t>estadu- </w:t>
      </w:r>
      <w:r>
        <w:rPr>
          <w:color w:val="231F20"/>
          <w:w w:val="115"/>
        </w:rPr>
        <w:t>nidense, comenzó a funcionar en enero de 2010 en Puerto de San </w:t>
      </w:r>
      <w:r>
        <w:rPr>
          <w:color w:val="231F20"/>
          <w:w w:val="110"/>
        </w:rPr>
        <w:t>José,</w:t>
      </w:r>
      <w:r>
        <w:rPr>
          <w:color w:val="231F20"/>
          <w:spacing w:val="-32"/>
          <w:w w:val="110"/>
        </w:rPr>
        <w:t> </w:t>
      </w:r>
      <w:r>
        <w:rPr>
          <w:color w:val="231F20"/>
          <w:w w:val="110"/>
        </w:rPr>
        <w:t>Guatemala.</w:t>
      </w:r>
    </w:p>
    <w:p>
      <w:pPr>
        <w:pStyle w:val="BodyText"/>
        <w:spacing w:line="261" w:lineRule="auto"/>
        <w:ind w:left="100" w:right="117" w:firstLine="240"/>
        <w:jc w:val="both"/>
      </w:pP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futuro</w:t>
      </w:r>
      <w:r>
        <w:rPr>
          <w:color w:val="231F20"/>
          <w:spacing w:val="-16"/>
          <w:w w:val="110"/>
        </w:rPr>
        <w:t> </w:t>
      </w:r>
      <w:r>
        <w:rPr>
          <w:color w:val="231F20"/>
          <w:w w:val="110"/>
        </w:rPr>
        <w:t>próximo</w:t>
      </w:r>
      <w:r>
        <w:rPr>
          <w:color w:val="231F20"/>
          <w:spacing w:val="-16"/>
          <w:w w:val="110"/>
        </w:rPr>
        <w:t> </w:t>
      </w:r>
      <w:r>
        <w:rPr>
          <w:color w:val="231F20"/>
          <w:w w:val="110"/>
        </w:rPr>
        <w:t>a</w:t>
      </w:r>
      <w:r>
        <w:rPr>
          <w:color w:val="231F20"/>
          <w:spacing w:val="-16"/>
          <w:w w:val="110"/>
        </w:rPr>
        <w:t> </w:t>
      </w:r>
      <w:r>
        <w:rPr>
          <w:color w:val="231F20"/>
          <w:w w:val="110"/>
        </w:rPr>
        <w:t>esas</w:t>
      </w:r>
      <w:r>
        <w:rPr>
          <w:color w:val="231F20"/>
          <w:spacing w:val="-16"/>
          <w:w w:val="110"/>
        </w:rPr>
        <w:t> </w:t>
      </w:r>
      <w:r>
        <w:rPr>
          <w:color w:val="231F20"/>
          <w:w w:val="110"/>
        </w:rPr>
        <w:t>instalaciones</w:t>
      </w:r>
      <w:r>
        <w:rPr>
          <w:color w:val="231F20"/>
          <w:spacing w:val="-16"/>
          <w:w w:val="110"/>
        </w:rPr>
        <w:t> </w:t>
      </w:r>
      <w:r>
        <w:rPr>
          <w:color w:val="231F20"/>
          <w:w w:val="110"/>
        </w:rPr>
        <w:t>se</w:t>
      </w:r>
      <w:r>
        <w:rPr>
          <w:color w:val="231F20"/>
          <w:spacing w:val="-16"/>
          <w:w w:val="110"/>
        </w:rPr>
        <w:t> </w:t>
      </w:r>
      <w:r>
        <w:rPr>
          <w:color w:val="231F20"/>
          <w:w w:val="110"/>
        </w:rPr>
        <w:t>agregarán,</w:t>
      </w:r>
      <w:r>
        <w:rPr>
          <w:color w:val="231F20"/>
          <w:spacing w:val="-16"/>
          <w:w w:val="110"/>
        </w:rPr>
        <w:t> </w:t>
      </w:r>
      <w:r>
        <w:rPr>
          <w:color w:val="231F20"/>
          <w:w w:val="110"/>
        </w:rPr>
        <w:t>la</w:t>
      </w:r>
      <w:r>
        <w:rPr>
          <w:color w:val="231F20"/>
          <w:spacing w:val="-16"/>
          <w:w w:val="110"/>
        </w:rPr>
        <w:t> </w:t>
      </w:r>
      <w:r>
        <w:rPr>
          <w:color w:val="231F20"/>
          <w:w w:val="110"/>
        </w:rPr>
        <w:t>aún</w:t>
      </w:r>
      <w:r>
        <w:rPr>
          <w:color w:val="231F20"/>
          <w:spacing w:val="-16"/>
          <w:w w:val="110"/>
        </w:rPr>
        <w:t> </w:t>
      </w:r>
      <w:r>
        <w:rPr>
          <w:color w:val="231F20"/>
          <w:w w:val="110"/>
        </w:rPr>
        <w:t>inde- terminada</w:t>
      </w:r>
      <w:r>
        <w:rPr>
          <w:color w:val="231F20"/>
          <w:spacing w:val="-18"/>
          <w:w w:val="110"/>
        </w:rPr>
        <w:t> </w:t>
      </w:r>
      <w:r>
        <w:rPr>
          <w:color w:val="231F20"/>
          <w:w w:val="110"/>
        </w:rPr>
        <w:t>cantidad</w:t>
      </w:r>
      <w:r>
        <w:rPr>
          <w:color w:val="231F20"/>
          <w:spacing w:val="-18"/>
          <w:w w:val="110"/>
        </w:rPr>
        <w:t> </w:t>
      </w:r>
      <w:r>
        <w:rPr>
          <w:color w:val="231F20"/>
          <w:w w:val="110"/>
        </w:rPr>
        <w:t>de</w:t>
      </w:r>
      <w:r>
        <w:rPr>
          <w:color w:val="231F20"/>
          <w:spacing w:val="-18"/>
          <w:w w:val="110"/>
        </w:rPr>
        <w:t> </w:t>
      </w:r>
      <w:r>
        <w:rPr>
          <w:color w:val="231F20"/>
          <w:w w:val="110"/>
        </w:rPr>
        <w:t>bases</w:t>
      </w:r>
      <w:r>
        <w:rPr>
          <w:color w:val="231F20"/>
          <w:spacing w:val="-18"/>
          <w:w w:val="110"/>
        </w:rPr>
        <w:t> </w:t>
      </w:r>
      <w:r>
        <w:rPr>
          <w:color w:val="231F20"/>
          <w:w w:val="110"/>
        </w:rPr>
        <w:t>aeronavales</w:t>
      </w:r>
      <w:r>
        <w:rPr>
          <w:color w:val="231F20"/>
          <w:spacing w:val="-18"/>
          <w:w w:val="110"/>
        </w:rPr>
        <w:t> </w:t>
      </w:r>
      <w:r>
        <w:rPr>
          <w:color w:val="231F20"/>
          <w:w w:val="110"/>
        </w:rPr>
        <w:t>y</w:t>
      </w:r>
      <w:r>
        <w:rPr>
          <w:color w:val="231F20"/>
          <w:spacing w:val="-18"/>
          <w:w w:val="110"/>
        </w:rPr>
        <w:t> </w:t>
      </w:r>
      <w:r>
        <w:rPr>
          <w:color w:val="231F20"/>
          <w:w w:val="110"/>
        </w:rPr>
        <w:t>policiales</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instalarán en Panamá como consecuencia de las tratativas realizadas a fines de 2009</w:t>
      </w:r>
      <w:r>
        <w:rPr>
          <w:color w:val="231F20"/>
          <w:spacing w:val="-10"/>
          <w:w w:val="110"/>
        </w:rPr>
        <w:t> </w:t>
      </w:r>
      <w:r>
        <w:rPr>
          <w:color w:val="231F20"/>
          <w:w w:val="110"/>
        </w:rPr>
        <w:t>entre</w:t>
      </w:r>
      <w:r>
        <w:rPr>
          <w:color w:val="231F20"/>
          <w:spacing w:val="-10"/>
          <w:w w:val="110"/>
        </w:rPr>
        <w:t> </w:t>
      </w:r>
      <w:r>
        <w:rPr>
          <w:color w:val="231F20"/>
          <w:w w:val="110"/>
        </w:rPr>
        <w:t>la</w:t>
      </w:r>
      <w:r>
        <w:rPr>
          <w:color w:val="231F20"/>
          <w:spacing w:val="-10"/>
          <w:w w:val="110"/>
        </w:rPr>
        <w:t> </w:t>
      </w:r>
      <w:r>
        <w:rPr>
          <w:color w:val="231F20"/>
          <w:w w:val="110"/>
        </w:rPr>
        <w:t>administración</w:t>
      </w:r>
      <w:r>
        <w:rPr>
          <w:color w:val="231F20"/>
          <w:spacing w:val="-10"/>
          <w:w w:val="110"/>
        </w:rPr>
        <w:t> </w:t>
      </w:r>
      <w:r>
        <w:rPr>
          <w:color w:val="231F20"/>
          <w:w w:val="110"/>
        </w:rPr>
        <w:t>de</w:t>
      </w:r>
      <w:r>
        <w:rPr>
          <w:color w:val="231F20"/>
          <w:spacing w:val="-10"/>
          <w:w w:val="110"/>
        </w:rPr>
        <w:t> </w:t>
      </w:r>
      <w:r>
        <w:rPr>
          <w:color w:val="231F20"/>
          <w:w w:val="110"/>
        </w:rPr>
        <w:t>Barack</w:t>
      </w:r>
      <w:r>
        <w:rPr>
          <w:color w:val="231F20"/>
          <w:spacing w:val="-10"/>
          <w:w w:val="110"/>
        </w:rPr>
        <w:t> </w:t>
      </w:r>
      <w:r>
        <w:rPr>
          <w:color w:val="231F20"/>
          <w:w w:val="110"/>
        </w:rPr>
        <w:t>Obama</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“empresario-pre- sidente” panameño, Ricardo Martinelli (2009-2014), comprometido en diversos planes de “la derecha” latinoamericana y del gobierno permanente de Estados Unidos dirigidos a fortalecer su dominación sobre América Latina </w:t>
      </w:r>
      <w:r>
        <w:rPr>
          <w:color w:val="231F20"/>
          <w:spacing w:val="-8"/>
          <w:w w:val="110"/>
        </w:rPr>
        <w:t>y, </w:t>
      </w:r>
      <w:r>
        <w:rPr>
          <w:color w:val="231F20"/>
          <w:w w:val="110"/>
        </w:rPr>
        <w:t>en particular, sobre la Cuenca del Caribe (Gandásegui, 2009; Ceceña </w:t>
      </w:r>
      <w:r>
        <w:rPr>
          <w:i/>
          <w:color w:val="231F20"/>
          <w:w w:val="110"/>
        </w:rPr>
        <w:t>et al.</w:t>
      </w:r>
      <w:r>
        <w:rPr>
          <w:color w:val="231F20"/>
          <w:w w:val="110"/>
        </w:rPr>
        <w:t>, 2010). Entre ellos, los dirigidos a la lucha conjunta contra el “narcoterrorismo”, a “la protección” del Canal de Panamá y a transformar a Colombia en la principal base del southcom fuera del territorio   </w:t>
      </w:r>
      <w:r>
        <w:rPr>
          <w:color w:val="231F20"/>
          <w:spacing w:val="28"/>
          <w:w w:val="110"/>
        </w:rPr>
        <w:t> </w:t>
      </w:r>
      <w:r>
        <w:rPr>
          <w:color w:val="231F20"/>
          <w:w w:val="110"/>
        </w:rPr>
        <w:t>estadunidense.</w:t>
      </w:r>
    </w:p>
    <w:p>
      <w:pPr>
        <w:pStyle w:val="BodyText"/>
        <w:spacing w:line="261" w:lineRule="auto"/>
        <w:ind w:left="100" w:right="117" w:firstLine="240"/>
        <w:jc w:val="both"/>
      </w:pPr>
      <w:r>
        <w:rPr>
          <w:color w:val="231F20"/>
          <w:w w:val="110"/>
        </w:rPr>
        <w:t>Esto se desprende del Acuerdo Complementario para la Coope- ración y Asistencia Técnica en Defensa y Seguridad firmado en oc- tubre de 2009 entre el actual gobierno estadunidense y el entonces presidente de Colombia Álvaro Uribe (2002-2010). A pesar de (o quizá por) las masivas y flagrantes violaciones de los derechos hu- manos perpetradas durante su mandato por las fuerzas militares de ese país, ese acuerdo (pendiente de aprobación por parte del poder legislativo) autorizó a las fuerzas armadas, así como a centenares de</w:t>
      </w:r>
    </w:p>
    <w:p>
      <w:pPr>
        <w:spacing w:after="0" w:line="261" w:lineRule="auto"/>
        <w:jc w:val="both"/>
        <w:sectPr>
          <w:headerReference w:type="even" r:id="rId289"/>
          <w:headerReference w:type="default" r:id="rId290"/>
          <w:pgSz w:w="7640" w:h="11900"/>
          <w:pgMar w:header="672" w:footer="0" w:top="860" w:bottom="280" w:left="780" w:right="640"/>
          <w:pgNumType w:start="392"/>
        </w:sectPr>
      </w:pPr>
    </w:p>
    <w:p>
      <w:pPr>
        <w:pStyle w:val="BodyText"/>
        <w:spacing w:before="8"/>
        <w:rPr>
          <w:sz w:val="8"/>
        </w:rPr>
      </w:pPr>
    </w:p>
    <w:p>
      <w:pPr>
        <w:pStyle w:val="BodyText"/>
        <w:spacing w:line="261" w:lineRule="auto" w:before="67"/>
        <w:ind w:left="100" w:right="117"/>
        <w:jc w:val="both"/>
      </w:pPr>
      <w:r>
        <w:rPr>
          <w:color w:val="231F20"/>
          <w:w w:val="110"/>
        </w:rPr>
        <w:t>“contratistas” (mercenarios) estadunidenses a continuar utilizando  al menos durante un decenio y con total impunidad, siete bases militares, al igual que otras instalaciones terrestres, navales y aéreas ya</w:t>
      </w:r>
      <w:r>
        <w:rPr>
          <w:color w:val="231F20"/>
          <w:spacing w:val="-5"/>
          <w:w w:val="110"/>
        </w:rPr>
        <w:t> </w:t>
      </w:r>
      <w:r>
        <w:rPr>
          <w:color w:val="231F20"/>
          <w:w w:val="110"/>
        </w:rPr>
        <w:t>sean</w:t>
      </w:r>
      <w:r>
        <w:rPr>
          <w:color w:val="231F20"/>
          <w:spacing w:val="-5"/>
          <w:w w:val="110"/>
        </w:rPr>
        <w:t> </w:t>
      </w:r>
      <w:r>
        <w:rPr>
          <w:color w:val="231F20"/>
          <w:w w:val="110"/>
        </w:rPr>
        <w:t>civiles</w:t>
      </w:r>
      <w:r>
        <w:rPr>
          <w:color w:val="231F20"/>
          <w:spacing w:val="-5"/>
          <w:w w:val="110"/>
        </w:rPr>
        <w:t> </w:t>
      </w:r>
      <w:r>
        <w:rPr>
          <w:color w:val="231F20"/>
          <w:w w:val="110"/>
        </w:rPr>
        <w:t>o</w:t>
      </w:r>
      <w:r>
        <w:rPr>
          <w:color w:val="231F20"/>
          <w:spacing w:val="-5"/>
          <w:w w:val="110"/>
        </w:rPr>
        <w:t> </w:t>
      </w:r>
      <w:r>
        <w:rPr>
          <w:color w:val="231F20"/>
          <w:w w:val="110"/>
        </w:rPr>
        <w:t>militares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territorio</w:t>
      </w:r>
      <w:r>
        <w:rPr>
          <w:color w:val="231F20"/>
          <w:spacing w:val="-5"/>
          <w:w w:val="110"/>
        </w:rPr>
        <w:t> </w:t>
      </w:r>
      <w:r>
        <w:rPr>
          <w:color w:val="231F20"/>
          <w:w w:val="110"/>
        </w:rPr>
        <w:t>colombiano</w:t>
      </w:r>
      <w:r>
        <w:rPr>
          <w:color w:val="231F20"/>
          <w:spacing w:val="-5"/>
          <w:w w:val="110"/>
        </w:rPr>
        <w:t> </w:t>
      </w:r>
      <w:r>
        <w:rPr>
          <w:color w:val="231F20"/>
          <w:w w:val="110"/>
        </w:rPr>
        <w:t>(Bigott,</w:t>
      </w:r>
      <w:r>
        <w:rPr>
          <w:color w:val="231F20"/>
          <w:spacing w:val="-5"/>
          <w:w w:val="110"/>
        </w:rPr>
        <w:t> </w:t>
      </w:r>
      <w:r>
        <w:rPr>
          <w:color w:val="231F20"/>
          <w:w w:val="110"/>
        </w:rPr>
        <w:t>2010). Como se ha denunciado, algunas de esas instalaciones están situa- das en las cercanías de sus fronteras con Ecuador y con Venezuela; otras</w:t>
      </w:r>
      <w:r>
        <w:rPr>
          <w:color w:val="231F20"/>
          <w:spacing w:val="-6"/>
          <w:w w:val="110"/>
        </w:rPr>
        <w:t> </w:t>
      </w:r>
      <w:r>
        <w:rPr>
          <w:color w:val="231F20"/>
          <w:w w:val="110"/>
        </w:rPr>
        <w:t>apuntan</w:t>
      </w:r>
      <w:r>
        <w:rPr>
          <w:color w:val="231F20"/>
          <w:spacing w:val="-6"/>
          <w:w w:val="110"/>
        </w:rPr>
        <w:t> </w:t>
      </w:r>
      <w:r>
        <w:rPr>
          <w:color w:val="231F20"/>
          <w:w w:val="110"/>
        </w:rPr>
        <w:t>hacia</w:t>
      </w:r>
      <w:r>
        <w:rPr>
          <w:color w:val="231F20"/>
          <w:spacing w:val="-6"/>
          <w:w w:val="110"/>
        </w:rPr>
        <w:t> </w:t>
      </w:r>
      <w:r>
        <w:rPr>
          <w:color w:val="231F20"/>
          <w:w w:val="110"/>
        </w:rPr>
        <w:t>las</w:t>
      </w:r>
      <w:r>
        <w:rPr>
          <w:color w:val="231F20"/>
          <w:spacing w:val="-6"/>
          <w:w w:val="110"/>
        </w:rPr>
        <w:t> </w:t>
      </w:r>
      <w:r>
        <w:rPr>
          <w:color w:val="231F20"/>
          <w:w w:val="110"/>
        </w:rPr>
        <w:t>islas,</w:t>
      </w:r>
      <w:r>
        <w:rPr>
          <w:color w:val="231F20"/>
          <w:spacing w:val="-6"/>
          <w:w w:val="110"/>
        </w:rPr>
        <w:t> </w:t>
      </w:r>
      <w:r>
        <w:rPr>
          <w:color w:val="231F20"/>
          <w:w w:val="110"/>
        </w:rPr>
        <w:t>islotes</w:t>
      </w:r>
      <w:r>
        <w:rPr>
          <w:color w:val="231F20"/>
          <w:spacing w:val="-6"/>
          <w:w w:val="110"/>
        </w:rPr>
        <w:t> </w:t>
      </w:r>
      <w:r>
        <w:rPr>
          <w:color w:val="231F20"/>
          <w:w w:val="110"/>
        </w:rPr>
        <w:t>y</w:t>
      </w:r>
      <w:r>
        <w:rPr>
          <w:color w:val="231F20"/>
          <w:spacing w:val="-6"/>
          <w:w w:val="110"/>
        </w:rPr>
        <w:t> </w:t>
      </w:r>
      <w:r>
        <w:rPr>
          <w:color w:val="231F20"/>
          <w:w w:val="110"/>
        </w:rPr>
        <w:t>cayos</w:t>
      </w:r>
      <w:r>
        <w:rPr>
          <w:color w:val="231F20"/>
          <w:spacing w:val="-6"/>
          <w:w w:val="110"/>
        </w:rPr>
        <w:t> </w:t>
      </w:r>
      <w:r>
        <w:rPr>
          <w:color w:val="231F20"/>
          <w:w w:val="110"/>
        </w:rPr>
        <w:t>causantes</w:t>
      </w:r>
      <w:r>
        <w:rPr>
          <w:color w:val="231F20"/>
          <w:spacing w:val="-6"/>
          <w:w w:val="110"/>
        </w:rPr>
        <w:t> </w:t>
      </w:r>
      <w:r>
        <w:rPr>
          <w:color w:val="231F20"/>
          <w:w w:val="110"/>
        </w:rPr>
        <w:t>del</w:t>
      </w:r>
      <w:r>
        <w:rPr>
          <w:color w:val="231F20"/>
          <w:spacing w:val="-6"/>
          <w:w w:val="110"/>
        </w:rPr>
        <w:t> </w:t>
      </w:r>
      <w:r>
        <w:rPr>
          <w:color w:val="231F20"/>
          <w:w w:val="110"/>
        </w:rPr>
        <w:t>persistente conflicto limítrofe colombo-nicaragüense; mientras que el Centro</w:t>
      </w:r>
      <w:r>
        <w:rPr>
          <w:color w:val="231F20"/>
          <w:spacing w:val="-31"/>
          <w:w w:val="110"/>
        </w:rPr>
        <w:t> </w:t>
      </w:r>
      <w:r>
        <w:rPr>
          <w:color w:val="231F20"/>
          <w:w w:val="110"/>
        </w:rPr>
        <w:t>de Seguridad</w:t>
      </w:r>
      <w:r>
        <w:rPr>
          <w:color w:val="231F20"/>
          <w:spacing w:val="-9"/>
          <w:w w:val="110"/>
        </w:rPr>
        <w:t> </w:t>
      </w:r>
      <w:r>
        <w:rPr>
          <w:color w:val="231F20"/>
          <w:w w:val="110"/>
        </w:rPr>
        <w:t>Cooperativa</w:t>
      </w:r>
      <w:r>
        <w:rPr>
          <w:color w:val="231F20"/>
          <w:spacing w:val="-9"/>
          <w:w w:val="110"/>
        </w:rPr>
        <w:t> </w:t>
      </w:r>
      <w:r>
        <w:rPr>
          <w:color w:val="231F20"/>
          <w:w w:val="110"/>
        </w:rPr>
        <w:t>que</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costo</w:t>
      </w:r>
      <w:r>
        <w:rPr>
          <w:color w:val="231F20"/>
          <w:spacing w:val="-9"/>
          <w:w w:val="110"/>
        </w:rPr>
        <w:t> </w:t>
      </w:r>
      <w:r>
        <w:rPr>
          <w:color w:val="231F20"/>
          <w:w w:val="110"/>
        </w:rPr>
        <w:t>de</w:t>
      </w:r>
      <w:r>
        <w:rPr>
          <w:color w:val="231F20"/>
          <w:spacing w:val="-9"/>
          <w:w w:val="110"/>
        </w:rPr>
        <w:t> </w:t>
      </w:r>
      <w:r>
        <w:rPr>
          <w:color w:val="231F20"/>
          <w:w w:val="110"/>
        </w:rPr>
        <w:t>46</w:t>
      </w:r>
      <w:r>
        <w:rPr>
          <w:color w:val="231F20"/>
          <w:spacing w:val="-9"/>
          <w:w w:val="110"/>
        </w:rPr>
        <w:t> </w:t>
      </w:r>
      <w:r>
        <w:rPr>
          <w:color w:val="231F20"/>
          <w:w w:val="110"/>
        </w:rPr>
        <w:t>millones</w:t>
      </w:r>
      <w:r>
        <w:rPr>
          <w:color w:val="231F20"/>
          <w:spacing w:val="-9"/>
          <w:w w:val="110"/>
        </w:rPr>
        <w:t> </w:t>
      </w:r>
      <w:r>
        <w:rPr>
          <w:color w:val="231F20"/>
          <w:w w:val="110"/>
        </w:rPr>
        <w:t>de</w:t>
      </w:r>
      <w:r>
        <w:rPr>
          <w:color w:val="231F20"/>
          <w:spacing w:val="-9"/>
          <w:w w:val="110"/>
        </w:rPr>
        <w:t> </w:t>
      </w:r>
      <w:r>
        <w:rPr>
          <w:color w:val="231F20"/>
          <w:w w:val="110"/>
        </w:rPr>
        <w:t>dólares— ya</w:t>
      </w:r>
      <w:r>
        <w:rPr>
          <w:color w:val="231F20"/>
          <w:spacing w:val="-5"/>
          <w:w w:val="110"/>
        </w:rPr>
        <w:t> </w:t>
      </w:r>
      <w:r>
        <w:rPr>
          <w:color w:val="231F20"/>
          <w:w w:val="110"/>
        </w:rPr>
        <w:t>se</w:t>
      </w:r>
      <w:r>
        <w:rPr>
          <w:color w:val="231F20"/>
          <w:spacing w:val="-5"/>
          <w:w w:val="110"/>
        </w:rPr>
        <w:t> </w:t>
      </w:r>
      <w:r>
        <w:rPr>
          <w:color w:val="231F20"/>
          <w:w w:val="110"/>
        </w:rPr>
        <w:t>está</w:t>
      </w:r>
      <w:r>
        <w:rPr>
          <w:color w:val="231F20"/>
          <w:spacing w:val="-5"/>
          <w:w w:val="110"/>
        </w:rPr>
        <w:t> </w:t>
      </w:r>
      <w:r>
        <w:rPr>
          <w:color w:val="231F20"/>
          <w:w w:val="110"/>
        </w:rPr>
        <w:t>instalando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estratégica</w:t>
      </w:r>
      <w:r>
        <w:rPr>
          <w:color w:val="231F20"/>
          <w:spacing w:val="-5"/>
          <w:w w:val="110"/>
        </w:rPr>
        <w:t> </w:t>
      </w:r>
      <w:r>
        <w:rPr>
          <w:color w:val="231F20"/>
          <w:w w:val="110"/>
        </w:rPr>
        <w:t>base</w:t>
      </w:r>
      <w:r>
        <w:rPr>
          <w:color w:val="231F20"/>
          <w:spacing w:val="-5"/>
          <w:w w:val="110"/>
        </w:rPr>
        <w:t> </w:t>
      </w:r>
      <w:r>
        <w:rPr>
          <w:color w:val="231F20"/>
          <w:w w:val="110"/>
        </w:rPr>
        <w:t>aérea</w:t>
      </w:r>
      <w:r>
        <w:rPr>
          <w:color w:val="231F20"/>
          <w:spacing w:val="-5"/>
          <w:w w:val="110"/>
        </w:rPr>
        <w:t> </w:t>
      </w:r>
      <w:r>
        <w:rPr>
          <w:color w:val="231F20"/>
          <w:w w:val="110"/>
        </w:rPr>
        <w:t>de</w:t>
      </w:r>
      <w:r>
        <w:rPr>
          <w:color w:val="231F20"/>
          <w:spacing w:val="-5"/>
          <w:w w:val="110"/>
        </w:rPr>
        <w:t> </w:t>
      </w:r>
      <w:r>
        <w:rPr>
          <w:color w:val="231F20"/>
          <w:w w:val="110"/>
        </w:rPr>
        <w:t>Palanquero</w:t>
      </w:r>
      <w:r>
        <w:rPr>
          <w:color w:val="231F20"/>
          <w:spacing w:val="-5"/>
          <w:w w:val="110"/>
        </w:rPr>
        <w:t> </w:t>
      </w:r>
      <w:r>
        <w:rPr>
          <w:color w:val="231F20"/>
          <w:w w:val="110"/>
        </w:rPr>
        <w:t>ame- naza</w:t>
      </w:r>
      <w:r>
        <w:rPr>
          <w:color w:val="231F20"/>
          <w:spacing w:val="-6"/>
          <w:w w:val="110"/>
        </w:rPr>
        <w:t> </w:t>
      </w:r>
      <w:r>
        <w:rPr>
          <w:color w:val="231F20"/>
          <w:w w:val="110"/>
        </w:rPr>
        <w:t>a</w:t>
      </w:r>
      <w:r>
        <w:rPr>
          <w:color w:val="231F20"/>
          <w:spacing w:val="-6"/>
          <w:w w:val="110"/>
        </w:rPr>
        <w:t> </w:t>
      </w:r>
      <w:r>
        <w:rPr>
          <w:color w:val="231F20"/>
          <w:w w:val="110"/>
        </w:rPr>
        <w:t>todos</w:t>
      </w:r>
      <w:r>
        <w:rPr>
          <w:color w:val="231F20"/>
          <w:spacing w:val="-6"/>
          <w:w w:val="110"/>
        </w:rPr>
        <w:t> </w:t>
      </w:r>
      <w:r>
        <w:rPr>
          <w:color w:val="231F20"/>
          <w:w w:val="110"/>
        </w:rPr>
        <w:t>los</w:t>
      </w:r>
      <w:r>
        <w:rPr>
          <w:color w:val="231F20"/>
          <w:spacing w:val="-6"/>
          <w:w w:val="110"/>
        </w:rPr>
        <w:t> </w:t>
      </w:r>
      <w:r>
        <w:rPr>
          <w:color w:val="231F20"/>
          <w:w w:val="110"/>
        </w:rPr>
        <w:t>países</w:t>
      </w:r>
      <w:r>
        <w:rPr>
          <w:color w:val="231F20"/>
          <w:spacing w:val="-6"/>
          <w:w w:val="110"/>
        </w:rPr>
        <w:t> </w:t>
      </w:r>
      <w:r>
        <w:rPr>
          <w:color w:val="231F20"/>
          <w:w w:val="110"/>
        </w:rPr>
        <w:t>caribeños,</w:t>
      </w:r>
      <w:r>
        <w:rPr>
          <w:color w:val="231F20"/>
          <w:spacing w:val="-6"/>
          <w:w w:val="110"/>
        </w:rPr>
        <w:t> </w:t>
      </w:r>
      <w:r>
        <w:rPr>
          <w:color w:val="231F20"/>
          <w:w w:val="110"/>
        </w:rPr>
        <w:t>centroamericanos</w:t>
      </w:r>
      <w:r>
        <w:rPr>
          <w:color w:val="231F20"/>
          <w:spacing w:val="-6"/>
          <w:w w:val="110"/>
        </w:rPr>
        <w:t> </w:t>
      </w:r>
      <w:r>
        <w:rPr>
          <w:color w:val="231F20"/>
          <w:w w:val="110"/>
        </w:rPr>
        <w:t>y</w:t>
      </w:r>
      <w:r>
        <w:rPr>
          <w:color w:val="231F20"/>
          <w:spacing w:val="-6"/>
          <w:w w:val="110"/>
        </w:rPr>
        <w:t> </w:t>
      </w:r>
      <w:r>
        <w:rPr>
          <w:color w:val="231F20"/>
          <w:w w:val="110"/>
        </w:rPr>
        <w:t>suramericanos (Ceceña </w:t>
      </w:r>
      <w:r>
        <w:rPr>
          <w:i/>
          <w:color w:val="231F20"/>
          <w:w w:val="110"/>
        </w:rPr>
        <w:t>et al.</w:t>
      </w:r>
      <w:r>
        <w:rPr>
          <w:color w:val="231F20"/>
          <w:w w:val="110"/>
        </w:rPr>
        <w:t>,</w:t>
      </w:r>
      <w:r>
        <w:rPr>
          <w:color w:val="231F20"/>
          <w:spacing w:val="-27"/>
          <w:w w:val="110"/>
        </w:rPr>
        <w:t> </w:t>
      </w:r>
      <w:r>
        <w:rPr>
          <w:color w:val="231F20"/>
          <w:w w:val="110"/>
        </w:rPr>
        <w:t>2010).</w:t>
      </w:r>
    </w:p>
    <w:p>
      <w:pPr>
        <w:pStyle w:val="BodyText"/>
        <w:spacing w:line="261" w:lineRule="auto"/>
        <w:ind w:left="100" w:right="117" w:firstLine="240"/>
        <w:jc w:val="both"/>
      </w:pPr>
      <w:r>
        <w:rPr>
          <w:color w:val="231F20"/>
          <w:w w:val="110"/>
        </w:rPr>
        <w:t>Lo antes dicho se confirma en la fundamentación que le presentó en mayo del 2009 el Departamento de la Fuerza Aérea al congreso estadunidense. Según dicho documento, la Fuerza Aérea instalada en Palanquero le garantizará a la aviación militar estadunidense el acceso a toda “el área de responsabilidad del Comando Sur” </w:t>
      </w:r>
      <w:r>
        <w:rPr>
          <w:color w:val="231F20"/>
          <w:spacing w:val="-8"/>
          <w:w w:val="110"/>
        </w:rPr>
        <w:t>y, </w:t>
      </w:r>
      <w:r>
        <w:rPr>
          <w:color w:val="231F20"/>
          <w:w w:val="110"/>
        </w:rPr>
        <w:t>en particular, al “continente de Sudamérica con la excepción de Cabo de Hornos”. </w:t>
      </w:r>
      <w:r>
        <w:rPr>
          <w:color w:val="231F20"/>
          <w:spacing w:val="-3"/>
          <w:w w:val="110"/>
        </w:rPr>
        <w:t>También </w:t>
      </w:r>
      <w:r>
        <w:rPr>
          <w:color w:val="231F20"/>
          <w:w w:val="110"/>
        </w:rPr>
        <w:t>le conferirá “una oportunidad única para las operaciones de espectro completo [incluido el espionaje y la inter- vención militar directa] en una subregión crítica en nuestro hemis- ferio, donde la seguridad y estabilidad están bajo amenaza</w:t>
      </w:r>
      <w:r>
        <w:rPr>
          <w:color w:val="231F20"/>
          <w:spacing w:val="-19"/>
          <w:w w:val="110"/>
        </w:rPr>
        <w:t> </w:t>
      </w:r>
      <w:r>
        <w:rPr>
          <w:color w:val="231F20"/>
          <w:w w:val="110"/>
        </w:rPr>
        <w:t>constante por las insurgencias terroristas financiadas con el narcotráfico, los gobiernos antiestadunidenses, la pobreza endémica y los frecuentes desastres naturales” (afd,</w:t>
      </w:r>
      <w:r>
        <w:rPr>
          <w:color w:val="231F20"/>
          <w:spacing w:val="35"/>
          <w:w w:val="110"/>
        </w:rPr>
        <w:t> </w:t>
      </w:r>
      <w:r>
        <w:rPr>
          <w:color w:val="231F20"/>
          <w:w w:val="110"/>
        </w:rPr>
        <w:t>2009).</w:t>
      </w:r>
    </w:p>
    <w:p>
      <w:pPr>
        <w:pStyle w:val="BodyText"/>
        <w:spacing w:line="261" w:lineRule="auto"/>
        <w:ind w:left="100" w:right="117" w:firstLine="240"/>
        <w:jc w:val="both"/>
      </w:pPr>
      <w:r>
        <w:rPr>
          <w:color w:val="231F20"/>
          <w:w w:val="110"/>
        </w:rPr>
        <w:t>Dicho fundamento fue antecedido por la visita realizada a me- diados de 2009 a Brasil, Colombia, Chile y Perú por el actual jefe del Estado Mayor Conjunto de las fuerzas armadas estadunidenses, almirante Michael Mullen. En esa última, las fuerzas militares de ambos</w:t>
      </w:r>
      <w:r>
        <w:rPr>
          <w:color w:val="231F20"/>
          <w:spacing w:val="-11"/>
          <w:w w:val="110"/>
        </w:rPr>
        <w:t> </w:t>
      </w:r>
      <w:r>
        <w:rPr>
          <w:color w:val="231F20"/>
          <w:w w:val="110"/>
        </w:rPr>
        <w:t>países</w:t>
      </w:r>
      <w:r>
        <w:rPr>
          <w:color w:val="231F20"/>
          <w:spacing w:val="-11"/>
          <w:w w:val="110"/>
        </w:rPr>
        <w:t> </w:t>
      </w:r>
      <w:r>
        <w:rPr>
          <w:color w:val="231F20"/>
          <w:w w:val="110"/>
        </w:rPr>
        <w:t>ratificaron</w:t>
      </w:r>
      <w:r>
        <w:rPr>
          <w:color w:val="231F20"/>
          <w:spacing w:val="-11"/>
          <w:w w:val="110"/>
        </w:rPr>
        <w:t> </w:t>
      </w:r>
      <w:r>
        <w:rPr>
          <w:color w:val="231F20"/>
          <w:w w:val="110"/>
        </w:rPr>
        <w:t>los</w:t>
      </w:r>
      <w:r>
        <w:rPr>
          <w:color w:val="231F20"/>
          <w:spacing w:val="-11"/>
          <w:w w:val="110"/>
        </w:rPr>
        <w:t> </w:t>
      </w:r>
      <w:r>
        <w:rPr>
          <w:color w:val="231F20"/>
          <w:w w:val="110"/>
        </w:rPr>
        <w:t>acuerdos</w:t>
      </w:r>
      <w:r>
        <w:rPr>
          <w:color w:val="231F20"/>
          <w:spacing w:val="-11"/>
          <w:w w:val="110"/>
        </w:rPr>
        <w:t> </w:t>
      </w:r>
      <w:r>
        <w:rPr>
          <w:color w:val="231F20"/>
          <w:w w:val="110"/>
        </w:rPr>
        <w:t>vinculados</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lucha</w:t>
      </w:r>
      <w:r>
        <w:rPr>
          <w:color w:val="231F20"/>
          <w:spacing w:val="-11"/>
          <w:w w:val="110"/>
        </w:rPr>
        <w:t> </w:t>
      </w:r>
      <w:r>
        <w:rPr>
          <w:color w:val="231F20"/>
          <w:w w:val="110"/>
        </w:rPr>
        <w:t>contra</w:t>
      </w:r>
      <w:r>
        <w:rPr>
          <w:color w:val="231F20"/>
          <w:spacing w:val="-11"/>
          <w:w w:val="110"/>
        </w:rPr>
        <w:t> </w:t>
      </w:r>
      <w:r>
        <w:rPr>
          <w:color w:val="231F20"/>
          <w:w w:val="110"/>
        </w:rPr>
        <w:t>“el narcoterrorismo” firmados en 2006 por el actual presidente</w:t>
      </w:r>
      <w:r>
        <w:rPr>
          <w:color w:val="231F20"/>
          <w:spacing w:val="-22"/>
          <w:w w:val="110"/>
        </w:rPr>
        <w:t> </w:t>
      </w:r>
      <w:r>
        <w:rPr>
          <w:color w:val="231F20"/>
          <w:w w:val="110"/>
        </w:rPr>
        <w:t>peruano, Alan</w:t>
      </w:r>
      <w:r>
        <w:rPr>
          <w:color w:val="231F20"/>
          <w:spacing w:val="-7"/>
          <w:w w:val="110"/>
        </w:rPr>
        <w:t> </w:t>
      </w:r>
      <w:r>
        <w:rPr>
          <w:color w:val="231F20"/>
          <w:w w:val="110"/>
        </w:rPr>
        <w:t>García</w:t>
      </w:r>
      <w:r>
        <w:rPr>
          <w:color w:val="231F20"/>
          <w:spacing w:val="-7"/>
          <w:w w:val="110"/>
        </w:rPr>
        <w:t> </w:t>
      </w:r>
      <w:r>
        <w:rPr>
          <w:color w:val="231F20"/>
          <w:w w:val="110"/>
        </w:rPr>
        <w:t>(2006-2011),</w:t>
      </w:r>
      <w:r>
        <w:rPr>
          <w:color w:val="231F20"/>
          <w:spacing w:val="-7"/>
          <w:w w:val="110"/>
        </w:rPr>
        <w:t> </w:t>
      </w:r>
      <w:r>
        <w:rPr>
          <w:color w:val="231F20"/>
          <w:w w:val="110"/>
        </w:rPr>
        <w:t>y</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entonces</w:t>
      </w:r>
      <w:r>
        <w:rPr>
          <w:color w:val="231F20"/>
          <w:spacing w:val="-7"/>
          <w:w w:val="110"/>
        </w:rPr>
        <w:t> </w:t>
      </w:r>
      <w:r>
        <w:rPr>
          <w:color w:val="231F20"/>
          <w:w w:val="110"/>
        </w:rPr>
        <w:t>mandatario</w:t>
      </w:r>
      <w:r>
        <w:rPr>
          <w:color w:val="231F20"/>
          <w:spacing w:val="-7"/>
          <w:w w:val="110"/>
        </w:rPr>
        <w:t> </w:t>
      </w:r>
      <w:r>
        <w:rPr>
          <w:color w:val="231F20"/>
          <w:w w:val="110"/>
        </w:rPr>
        <w:t>estaduniden- se, George </w:t>
      </w:r>
      <w:r>
        <w:rPr>
          <w:color w:val="231F20"/>
          <w:spacing w:val="-6"/>
          <w:w w:val="110"/>
        </w:rPr>
        <w:t>W. </w:t>
      </w:r>
      <w:r>
        <w:rPr>
          <w:color w:val="231F20"/>
          <w:w w:val="110"/>
        </w:rPr>
        <w:t>Bush (Bellina, 2009), como parte de la militarizada Iniciativa Regional Andina. Respaldando esa política, Obama</w:t>
      </w:r>
      <w:r>
        <w:rPr>
          <w:color w:val="231F20"/>
          <w:spacing w:val="-32"/>
          <w:w w:val="110"/>
        </w:rPr>
        <w:t> </w:t>
      </w:r>
      <w:r>
        <w:rPr>
          <w:color w:val="231F20"/>
          <w:w w:val="110"/>
        </w:rPr>
        <w:t>indicó que esa iniciativa debe seguir dirigida “a batallar contra todo tipo  de violencia en Colombia”, tanto la proveniente de “los paramilita- res derechistas” como de la que calificó como “brutal insurgencia terrorista” encabezada por las Fuerzas Armadas Revolucionarias de Colombia</w:t>
      </w:r>
      <w:r>
        <w:rPr>
          <w:color w:val="231F20"/>
          <w:spacing w:val="22"/>
          <w:w w:val="110"/>
        </w:rPr>
        <w:t> </w:t>
      </w:r>
      <w:r>
        <w:rPr>
          <w:color w:val="231F20"/>
          <w:w w:val="115"/>
        </w:rPr>
        <w:t>(farc)</w:t>
      </w:r>
      <w:r>
        <w:rPr>
          <w:color w:val="231F20"/>
          <w:spacing w:val="19"/>
          <w:w w:val="115"/>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Ejército</w:t>
      </w:r>
      <w:r>
        <w:rPr>
          <w:color w:val="231F20"/>
          <w:spacing w:val="22"/>
          <w:w w:val="110"/>
        </w:rPr>
        <w:t> </w:t>
      </w:r>
      <w:r>
        <w:rPr>
          <w:color w:val="231F20"/>
          <w:w w:val="110"/>
        </w:rPr>
        <w:t>de</w:t>
      </w:r>
      <w:r>
        <w:rPr>
          <w:color w:val="231F20"/>
          <w:spacing w:val="22"/>
          <w:w w:val="110"/>
        </w:rPr>
        <w:t> </w:t>
      </w:r>
      <w:r>
        <w:rPr>
          <w:color w:val="231F20"/>
          <w:w w:val="110"/>
        </w:rPr>
        <w:t>Liberación</w:t>
      </w:r>
      <w:r>
        <w:rPr>
          <w:color w:val="231F20"/>
          <w:spacing w:val="22"/>
          <w:w w:val="110"/>
        </w:rPr>
        <w:t> </w:t>
      </w:r>
      <w:r>
        <w:rPr>
          <w:color w:val="231F20"/>
          <w:w w:val="110"/>
        </w:rPr>
        <w:t>Nacional</w:t>
      </w:r>
      <w:r>
        <w:rPr>
          <w:color w:val="231F20"/>
          <w:spacing w:val="22"/>
          <w:w w:val="110"/>
        </w:rPr>
        <w:t> </w:t>
      </w:r>
      <w:r>
        <w:rPr>
          <w:color w:val="231F20"/>
          <w:w w:val="115"/>
        </w:rPr>
        <w:t>(eln)</w:t>
      </w:r>
      <w:r>
        <w:rPr>
          <w:color w:val="231F20"/>
          <w:spacing w:val="19"/>
          <w:w w:val="115"/>
        </w:rPr>
        <w:t> </w:t>
      </w:r>
      <w:r>
        <w:rPr>
          <w:color w:val="231F20"/>
          <w:w w:val="110"/>
        </w:rPr>
        <w:t>de</w:t>
      </w:r>
      <w:r>
        <w:rPr>
          <w:color w:val="231F20"/>
          <w:spacing w:val="22"/>
          <w:w w:val="110"/>
        </w:rPr>
        <w:t> </w:t>
      </w:r>
      <w:r>
        <w:rPr>
          <w:color w:val="231F20"/>
          <w:w w:val="110"/>
        </w:rPr>
        <w:t>ese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país (Obama, 2008a). Esas definiciones fueron reiteradas durante la visita</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abril</w:t>
      </w:r>
      <w:r>
        <w:rPr>
          <w:color w:val="231F20"/>
          <w:spacing w:val="-13"/>
          <w:w w:val="110"/>
        </w:rPr>
        <w:t> </w:t>
      </w:r>
      <w:r>
        <w:rPr>
          <w:color w:val="231F20"/>
          <w:w w:val="110"/>
        </w:rPr>
        <w:t>de</w:t>
      </w:r>
      <w:r>
        <w:rPr>
          <w:color w:val="231F20"/>
          <w:spacing w:val="-13"/>
          <w:w w:val="110"/>
        </w:rPr>
        <w:t> </w:t>
      </w:r>
      <w:r>
        <w:rPr>
          <w:color w:val="231F20"/>
          <w:w w:val="110"/>
        </w:rPr>
        <w:t>2010</w:t>
      </w:r>
      <w:r>
        <w:rPr>
          <w:color w:val="231F20"/>
          <w:spacing w:val="-13"/>
          <w:w w:val="110"/>
        </w:rPr>
        <w:t> </w:t>
      </w:r>
      <w:r>
        <w:rPr>
          <w:color w:val="231F20"/>
          <w:w w:val="110"/>
        </w:rPr>
        <w:t>realizó</w:t>
      </w:r>
      <w:r>
        <w:rPr>
          <w:color w:val="231F20"/>
          <w:spacing w:val="-13"/>
          <w:w w:val="110"/>
        </w:rPr>
        <w:t> </w:t>
      </w:r>
      <w:r>
        <w:rPr>
          <w:color w:val="231F20"/>
          <w:w w:val="110"/>
        </w:rPr>
        <w:t>el</w:t>
      </w:r>
      <w:r>
        <w:rPr>
          <w:color w:val="231F20"/>
          <w:spacing w:val="-13"/>
          <w:w w:val="110"/>
        </w:rPr>
        <w:t> </w:t>
      </w:r>
      <w:r>
        <w:rPr>
          <w:color w:val="231F20"/>
          <w:w w:val="110"/>
        </w:rPr>
        <w:t>secretario</w:t>
      </w:r>
      <w:r>
        <w:rPr>
          <w:color w:val="231F20"/>
          <w:spacing w:val="-13"/>
          <w:w w:val="110"/>
        </w:rPr>
        <w:t> </w:t>
      </w:r>
      <w:r>
        <w:rPr>
          <w:color w:val="231F20"/>
          <w:w w:val="110"/>
        </w:rPr>
        <w:t>de</w:t>
      </w:r>
      <w:r>
        <w:rPr>
          <w:color w:val="231F20"/>
          <w:spacing w:val="-13"/>
          <w:w w:val="110"/>
        </w:rPr>
        <w:t> </w:t>
      </w:r>
      <w:r>
        <w:rPr>
          <w:color w:val="231F20"/>
          <w:w w:val="110"/>
        </w:rPr>
        <w:t>Defensa</w:t>
      </w:r>
      <w:r>
        <w:rPr>
          <w:color w:val="231F20"/>
          <w:spacing w:val="-13"/>
          <w:w w:val="110"/>
        </w:rPr>
        <w:t> </w:t>
      </w:r>
      <w:r>
        <w:rPr>
          <w:color w:val="231F20"/>
          <w:w w:val="110"/>
        </w:rPr>
        <w:t>de</w:t>
      </w:r>
      <w:r>
        <w:rPr>
          <w:color w:val="231F20"/>
          <w:spacing w:val="-13"/>
          <w:w w:val="110"/>
        </w:rPr>
        <w:t> </w:t>
      </w:r>
      <w:r>
        <w:rPr>
          <w:color w:val="231F20"/>
          <w:w w:val="110"/>
        </w:rPr>
        <w:t>Estados Unidos, Robert Gate, a diversos países latinoamericanos, incluidos Brasil y Perú (lap,</w:t>
      </w:r>
      <w:r>
        <w:rPr>
          <w:color w:val="231F20"/>
          <w:spacing w:val="26"/>
          <w:w w:val="110"/>
        </w:rPr>
        <w:t> </w:t>
      </w:r>
      <w:r>
        <w:rPr>
          <w:color w:val="231F20"/>
          <w:w w:val="110"/>
        </w:rPr>
        <w:t>2010).</w:t>
      </w:r>
    </w:p>
    <w:p>
      <w:pPr>
        <w:pStyle w:val="BodyText"/>
        <w:spacing w:line="261" w:lineRule="auto"/>
        <w:ind w:left="100" w:right="115" w:firstLine="240"/>
        <w:jc w:val="both"/>
      </w:pPr>
      <w:r>
        <w:rPr>
          <w:color w:val="231F20"/>
          <w:w w:val="110"/>
        </w:rPr>
        <w:t>Paralelamente, tanto el gobierno permanente, como el </w:t>
      </w:r>
      <w:r>
        <w:rPr>
          <w:color w:val="231F20"/>
          <w:spacing w:val="2"/>
          <w:w w:val="110"/>
        </w:rPr>
        <w:t>actual </w:t>
      </w:r>
      <w:r>
        <w:rPr>
          <w:color w:val="231F20"/>
          <w:w w:val="110"/>
        </w:rPr>
        <w:t>gobierno temporal estadunidenses continuaron impulsando la cre- ciente presencia de sus órganos de seguridad e inteligencia en di- versos países sudamericanos </w:t>
      </w:r>
      <w:r>
        <w:rPr>
          <w:color w:val="231F20"/>
          <w:spacing w:val="-8"/>
          <w:w w:val="110"/>
        </w:rPr>
        <w:t>y, </w:t>
      </w:r>
      <w:r>
        <w:rPr>
          <w:color w:val="231F20"/>
          <w:w w:val="110"/>
        </w:rPr>
        <w:t>en particular, en la “triple frontera” argentina-brasileña-paraguaya. Debe recordarse que, siguiendo los acuerdos militares signados con el entonces presidente de ese</w:t>
      </w:r>
      <w:r>
        <w:rPr>
          <w:color w:val="231F20"/>
          <w:spacing w:val="-30"/>
          <w:w w:val="110"/>
        </w:rPr>
        <w:t> </w:t>
      </w:r>
      <w:r>
        <w:rPr>
          <w:color w:val="231F20"/>
          <w:w w:val="110"/>
        </w:rPr>
        <w:t>último país, Nicanor Duarte (2003-2008) y la administración de George </w:t>
      </w:r>
      <w:r>
        <w:rPr>
          <w:color w:val="231F20"/>
          <w:spacing w:val="-6"/>
          <w:w w:val="110"/>
        </w:rPr>
        <w:t>W. </w:t>
      </w:r>
      <w:r>
        <w:rPr>
          <w:color w:val="231F20"/>
          <w:w w:val="110"/>
        </w:rPr>
        <w:t>Bush, el southcom había realizado importantes inversiones para remodelar la base aérea Mariscal Estigarribia, ubicada cerca de la frontera con Bolivia y “llamada a jugar un papel central en el abas- tecimiento logístico y los movimientos de tropas estadunidenses en América del Sur” (Ceceña y Motto,</w:t>
      </w:r>
      <w:r>
        <w:rPr>
          <w:color w:val="231F20"/>
          <w:spacing w:val="-30"/>
          <w:w w:val="110"/>
        </w:rPr>
        <w:t> </w:t>
      </w:r>
      <w:r>
        <w:rPr>
          <w:color w:val="231F20"/>
          <w:w w:val="110"/>
        </w:rPr>
        <w:t>2005).</w:t>
      </w:r>
    </w:p>
    <w:p>
      <w:pPr>
        <w:pStyle w:val="BodyText"/>
        <w:spacing w:line="261" w:lineRule="auto"/>
        <w:ind w:left="100" w:right="113" w:firstLine="240"/>
        <w:jc w:val="both"/>
      </w:pPr>
      <w:r>
        <w:rPr>
          <w:color w:val="231F20"/>
          <w:w w:val="110"/>
        </w:rPr>
        <w:t>Con el pretexto de ayudar a combatir a los “grupos narcoterro- ristas” que presuntamente actúan en Paraguay y como parte de su recorrido por diversos países de la Cuenca del Río de la Plata, el actual jefe del southcom, general Douglas </w:t>
      </w:r>
      <w:r>
        <w:rPr>
          <w:color w:val="231F20"/>
          <w:spacing w:val="-4"/>
          <w:w w:val="110"/>
        </w:rPr>
        <w:t>Fraser, </w:t>
      </w:r>
      <w:r>
        <w:rPr>
          <w:color w:val="231F20"/>
          <w:w w:val="110"/>
        </w:rPr>
        <w:t>realizó una visita</w:t>
      </w:r>
      <w:r>
        <w:rPr>
          <w:color w:val="231F20"/>
          <w:spacing w:val="-30"/>
          <w:w w:val="110"/>
        </w:rPr>
        <w:t> </w:t>
      </w:r>
      <w:r>
        <w:rPr>
          <w:color w:val="231F20"/>
          <w:w w:val="110"/>
        </w:rPr>
        <w:t>a Paraguay</w:t>
      </w:r>
      <w:r>
        <w:rPr>
          <w:color w:val="231F20"/>
          <w:spacing w:val="-8"/>
          <w:w w:val="110"/>
        </w:rPr>
        <w:t> </w:t>
      </w:r>
      <w:r>
        <w:rPr>
          <w:color w:val="231F20"/>
          <w:w w:val="110"/>
        </w:rPr>
        <w:t>a</w:t>
      </w:r>
      <w:r>
        <w:rPr>
          <w:color w:val="231F20"/>
          <w:spacing w:val="-8"/>
          <w:w w:val="110"/>
        </w:rPr>
        <w:t> </w:t>
      </w:r>
      <w:r>
        <w:rPr>
          <w:color w:val="231F20"/>
          <w:w w:val="110"/>
        </w:rPr>
        <w:t>fines</w:t>
      </w:r>
      <w:r>
        <w:rPr>
          <w:color w:val="231F20"/>
          <w:spacing w:val="-8"/>
          <w:w w:val="110"/>
        </w:rPr>
        <w:t> </w:t>
      </w:r>
      <w:r>
        <w:rPr>
          <w:color w:val="231F20"/>
          <w:w w:val="110"/>
        </w:rPr>
        <w:t>de</w:t>
      </w:r>
      <w:r>
        <w:rPr>
          <w:color w:val="231F20"/>
          <w:spacing w:val="-8"/>
          <w:w w:val="110"/>
        </w:rPr>
        <w:t> </w:t>
      </w:r>
      <w:r>
        <w:rPr>
          <w:color w:val="231F20"/>
          <w:w w:val="110"/>
        </w:rPr>
        <w:t>2009.</w:t>
      </w:r>
      <w:r>
        <w:rPr>
          <w:color w:val="231F20"/>
          <w:spacing w:val="-8"/>
          <w:w w:val="110"/>
        </w:rPr>
        <w:t> </w:t>
      </w:r>
      <w:r>
        <w:rPr>
          <w:color w:val="231F20"/>
          <w:w w:val="110"/>
        </w:rPr>
        <w:t>ésta</w:t>
      </w:r>
      <w:r>
        <w:rPr>
          <w:color w:val="231F20"/>
          <w:spacing w:val="-8"/>
          <w:w w:val="110"/>
        </w:rPr>
        <w:t> </w:t>
      </w:r>
      <w:r>
        <w:rPr>
          <w:color w:val="231F20"/>
          <w:w w:val="110"/>
        </w:rPr>
        <w:t>fue</w:t>
      </w:r>
      <w:r>
        <w:rPr>
          <w:color w:val="231F20"/>
          <w:spacing w:val="-8"/>
          <w:w w:val="110"/>
        </w:rPr>
        <w:t> </w:t>
      </w:r>
      <w:r>
        <w:rPr>
          <w:color w:val="231F20"/>
          <w:w w:val="110"/>
        </w:rPr>
        <w:t>seguida</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entrevista</w:t>
      </w:r>
      <w:r>
        <w:rPr>
          <w:color w:val="231F20"/>
          <w:spacing w:val="-8"/>
          <w:w w:val="110"/>
        </w:rPr>
        <w:t> </w:t>
      </w:r>
      <w:r>
        <w:rPr>
          <w:color w:val="231F20"/>
          <w:w w:val="110"/>
        </w:rPr>
        <w:t>sostenida en</w:t>
      </w:r>
      <w:r>
        <w:rPr>
          <w:color w:val="231F20"/>
          <w:spacing w:val="-12"/>
          <w:w w:val="110"/>
        </w:rPr>
        <w:t> </w:t>
      </w:r>
      <w:r>
        <w:rPr>
          <w:color w:val="231F20"/>
          <w:w w:val="110"/>
        </w:rPr>
        <w:t>Asunción</w:t>
      </w:r>
      <w:r>
        <w:rPr>
          <w:color w:val="231F20"/>
          <w:spacing w:val="-11"/>
          <w:w w:val="110"/>
        </w:rPr>
        <w:t> </w:t>
      </w:r>
      <w:r>
        <w:rPr>
          <w:color w:val="231F20"/>
          <w:w w:val="110"/>
        </w:rPr>
        <w:t>en</w:t>
      </w:r>
      <w:r>
        <w:rPr>
          <w:color w:val="231F20"/>
          <w:spacing w:val="-11"/>
          <w:w w:val="110"/>
        </w:rPr>
        <w:t> </w:t>
      </w:r>
      <w:r>
        <w:rPr>
          <w:color w:val="231F20"/>
          <w:w w:val="110"/>
        </w:rPr>
        <w:t>enero</w:t>
      </w:r>
      <w:r>
        <w:rPr>
          <w:color w:val="231F20"/>
          <w:spacing w:val="-12"/>
          <w:w w:val="110"/>
        </w:rPr>
        <w:t> </w:t>
      </w:r>
      <w:r>
        <w:rPr>
          <w:color w:val="231F20"/>
          <w:w w:val="110"/>
        </w:rPr>
        <w:t>de</w:t>
      </w:r>
      <w:r>
        <w:rPr>
          <w:color w:val="231F20"/>
          <w:spacing w:val="-11"/>
          <w:w w:val="110"/>
        </w:rPr>
        <w:t> </w:t>
      </w:r>
      <w:r>
        <w:rPr>
          <w:color w:val="231F20"/>
          <w:w w:val="110"/>
        </w:rPr>
        <w:t>2010</w:t>
      </w:r>
      <w:r>
        <w:rPr>
          <w:color w:val="231F20"/>
          <w:spacing w:val="-11"/>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presidente</w:t>
      </w:r>
      <w:r>
        <w:rPr>
          <w:color w:val="231F20"/>
          <w:spacing w:val="-12"/>
          <w:w w:val="110"/>
        </w:rPr>
        <w:t> </w:t>
      </w:r>
      <w:r>
        <w:rPr>
          <w:color w:val="231F20"/>
          <w:w w:val="110"/>
        </w:rPr>
        <w:t>paraguayo,</w:t>
      </w:r>
      <w:r>
        <w:rPr>
          <w:color w:val="231F20"/>
          <w:spacing w:val="-11"/>
          <w:w w:val="110"/>
        </w:rPr>
        <w:t> </w:t>
      </w:r>
      <w:r>
        <w:rPr>
          <w:color w:val="231F20"/>
          <w:w w:val="110"/>
        </w:rPr>
        <w:t>Fernando Lugo, con el subsecretario de Estado para el Hemisferio Occidental, Arturo</w:t>
      </w:r>
      <w:r>
        <w:rPr>
          <w:color w:val="231F20"/>
          <w:spacing w:val="-41"/>
          <w:w w:val="110"/>
        </w:rPr>
        <w:t> </w:t>
      </w:r>
      <w:r>
        <w:rPr>
          <w:color w:val="231F20"/>
          <w:w w:val="110"/>
        </w:rPr>
        <w:t>Valenzuela;</w:t>
      </w:r>
      <w:r>
        <w:rPr>
          <w:color w:val="231F20"/>
          <w:spacing w:val="-41"/>
          <w:w w:val="110"/>
        </w:rPr>
        <w:t> </w:t>
      </w:r>
      <w:r>
        <w:rPr>
          <w:color w:val="231F20"/>
          <w:w w:val="110"/>
        </w:rPr>
        <w:t>quien</w:t>
      </w:r>
      <w:r>
        <w:rPr>
          <w:color w:val="231F20"/>
          <w:spacing w:val="-41"/>
          <w:w w:val="110"/>
        </w:rPr>
        <w:t> </w:t>
      </w:r>
      <w:r>
        <w:rPr>
          <w:color w:val="231F20"/>
          <w:w w:val="110"/>
        </w:rPr>
        <w:t>previamente</w:t>
      </w:r>
      <w:r>
        <w:rPr>
          <w:color w:val="231F20"/>
          <w:spacing w:val="-41"/>
          <w:w w:val="110"/>
        </w:rPr>
        <w:t> </w:t>
      </w:r>
      <w:r>
        <w:rPr>
          <w:color w:val="231F20"/>
          <w:w w:val="110"/>
        </w:rPr>
        <w:t>había</w:t>
      </w:r>
      <w:r>
        <w:rPr>
          <w:color w:val="231F20"/>
          <w:spacing w:val="-41"/>
          <w:w w:val="110"/>
        </w:rPr>
        <w:t> </w:t>
      </w:r>
      <w:r>
        <w:rPr>
          <w:color w:val="231F20"/>
          <w:w w:val="110"/>
        </w:rPr>
        <w:t>visitado</w:t>
      </w:r>
      <w:r>
        <w:rPr>
          <w:color w:val="231F20"/>
          <w:spacing w:val="-41"/>
          <w:w w:val="110"/>
        </w:rPr>
        <w:t> </w:t>
      </w:r>
      <w:r>
        <w:rPr>
          <w:color w:val="231F20"/>
          <w:w w:val="110"/>
        </w:rPr>
        <w:t>Argentina,</w:t>
      </w:r>
      <w:r>
        <w:rPr>
          <w:color w:val="231F20"/>
          <w:spacing w:val="-41"/>
          <w:w w:val="110"/>
        </w:rPr>
        <w:t> </w:t>
      </w:r>
      <w:r>
        <w:rPr>
          <w:color w:val="231F20"/>
          <w:w w:val="110"/>
        </w:rPr>
        <w:t>Brasil, Chile</w:t>
      </w:r>
      <w:r>
        <w:rPr>
          <w:color w:val="231F20"/>
          <w:spacing w:val="-13"/>
          <w:w w:val="110"/>
        </w:rPr>
        <w:t> </w:t>
      </w:r>
      <w:r>
        <w:rPr>
          <w:color w:val="231F20"/>
          <w:w w:val="110"/>
        </w:rPr>
        <w:t>y</w:t>
      </w:r>
      <w:r>
        <w:rPr>
          <w:color w:val="231F20"/>
          <w:spacing w:val="-13"/>
          <w:w w:val="110"/>
        </w:rPr>
        <w:t> </w:t>
      </w:r>
      <w:r>
        <w:rPr>
          <w:color w:val="231F20"/>
          <w:spacing w:val="-3"/>
          <w:w w:val="110"/>
        </w:rPr>
        <w:t>Uruguay.</w:t>
      </w:r>
      <w:r>
        <w:rPr>
          <w:color w:val="231F20"/>
          <w:spacing w:val="-13"/>
          <w:w w:val="110"/>
        </w:rPr>
        <w:t> </w:t>
      </w:r>
      <w:r>
        <w:rPr>
          <w:color w:val="231F20"/>
          <w:w w:val="110"/>
        </w:rPr>
        <w:t>Según</w:t>
      </w:r>
      <w:r>
        <w:rPr>
          <w:color w:val="231F20"/>
          <w:spacing w:val="-13"/>
          <w:w w:val="110"/>
        </w:rPr>
        <w:t> </w:t>
      </w:r>
      <w:r>
        <w:rPr>
          <w:color w:val="231F20"/>
          <w:w w:val="110"/>
        </w:rPr>
        <w:t>la</w:t>
      </w:r>
      <w:r>
        <w:rPr>
          <w:color w:val="231F20"/>
          <w:spacing w:val="-13"/>
          <w:w w:val="110"/>
        </w:rPr>
        <w:t> </w:t>
      </w:r>
      <w:r>
        <w:rPr>
          <w:color w:val="231F20"/>
          <w:w w:val="110"/>
        </w:rPr>
        <w:t>información</w:t>
      </w:r>
      <w:r>
        <w:rPr>
          <w:color w:val="231F20"/>
          <w:spacing w:val="-13"/>
          <w:w w:val="110"/>
        </w:rPr>
        <w:t> </w:t>
      </w:r>
      <w:r>
        <w:rPr>
          <w:color w:val="231F20"/>
          <w:w w:val="110"/>
        </w:rPr>
        <w:t>difundida,</w:t>
      </w:r>
      <w:r>
        <w:rPr>
          <w:color w:val="231F20"/>
          <w:spacing w:val="-13"/>
          <w:w w:val="110"/>
        </w:rPr>
        <w:t> </w:t>
      </w:r>
      <w:r>
        <w:rPr>
          <w:color w:val="231F20"/>
          <w:w w:val="110"/>
        </w:rPr>
        <w:t>como</w:t>
      </w:r>
      <w:r>
        <w:rPr>
          <w:color w:val="231F20"/>
          <w:spacing w:val="-13"/>
          <w:w w:val="110"/>
        </w:rPr>
        <w:t> </w:t>
      </w:r>
      <w:r>
        <w:rPr>
          <w:color w:val="231F20"/>
          <w:w w:val="110"/>
        </w:rPr>
        <w:t>fruto</w:t>
      </w:r>
      <w:r>
        <w:rPr>
          <w:color w:val="231F20"/>
          <w:spacing w:val="-13"/>
          <w:w w:val="110"/>
        </w:rPr>
        <w:t> </w:t>
      </w:r>
      <w:r>
        <w:rPr>
          <w:color w:val="231F20"/>
          <w:w w:val="110"/>
        </w:rPr>
        <w:t>de</w:t>
      </w:r>
      <w:r>
        <w:rPr>
          <w:color w:val="231F20"/>
          <w:spacing w:val="-13"/>
          <w:w w:val="110"/>
        </w:rPr>
        <w:t> </w:t>
      </w:r>
      <w:r>
        <w:rPr>
          <w:color w:val="231F20"/>
          <w:w w:val="110"/>
        </w:rPr>
        <w:t>esos diálogos</w:t>
      </w:r>
      <w:r>
        <w:rPr>
          <w:color w:val="231F20"/>
          <w:spacing w:val="-28"/>
          <w:w w:val="110"/>
        </w:rPr>
        <w:t> </w:t>
      </w:r>
      <w:r>
        <w:rPr>
          <w:color w:val="231F20"/>
          <w:w w:val="110"/>
        </w:rPr>
        <w:t>y</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w w:val="110"/>
        </w:rPr>
        <w:t>presiones</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w w:val="110"/>
        </w:rPr>
        <w:t>fuerzas</w:t>
      </w:r>
      <w:r>
        <w:rPr>
          <w:color w:val="231F20"/>
          <w:spacing w:val="-28"/>
          <w:w w:val="110"/>
        </w:rPr>
        <w:t> </w:t>
      </w:r>
      <w:r>
        <w:rPr>
          <w:color w:val="231F20"/>
          <w:w w:val="110"/>
        </w:rPr>
        <w:t>armadas</w:t>
      </w:r>
      <w:r>
        <w:rPr>
          <w:color w:val="231F20"/>
          <w:spacing w:val="-28"/>
          <w:w w:val="110"/>
        </w:rPr>
        <w:t> </w:t>
      </w:r>
      <w:r>
        <w:rPr>
          <w:color w:val="231F20"/>
          <w:w w:val="110"/>
        </w:rPr>
        <w:t>paraguayas,</w:t>
      </w:r>
      <w:r>
        <w:rPr>
          <w:color w:val="231F20"/>
          <w:spacing w:val="-28"/>
          <w:w w:val="110"/>
        </w:rPr>
        <w:t> </w:t>
      </w:r>
      <w:r>
        <w:rPr>
          <w:color w:val="231F20"/>
          <w:w w:val="110"/>
        </w:rPr>
        <w:t>se</w:t>
      </w:r>
      <w:r>
        <w:rPr>
          <w:color w:val="231F20"/>
          <w:spacing w:val="-28"/>
          <w:w w:val="110"/>
        </w:rPr>
        <w:t> </w:t>
      </w:r>
      <w:r>
        <w:rPr>
          <w:color w:val="231F20"/>
          <w:w w:val="110"/>
        </w:rPr>
        <w:t>incre- mentó</w:t>
      </w:r>
      <w:r>
        <w:rPr>
          <w:color w:val="231F20"/>
          <w:spacing w:val="-20"/>
          <w:w w:val="110"/>
        </w:rPr>
        <w:t> </w:t>
      </w:r>
      <w:r>
        <w:rPr>
          <w:color w:val="231F20"/>
          <w:w w:val="110"/>
        </w:rPr>
        <w:t>la</w:t>
      </w:r>
      <w:r>
        <w:rPr>
          <w:color w:val="231F20"/>
          <w:spacing w:val="-20"/>
          <w:w w:val="110"/>
        </w:rPr>
        <w:t> </w:t>
      </w:r>
      <w:r>
        <w:rPr>
          <w:color w:val="231F20"/>
          <w:w w:val="110"/>
        </w:rPr>
        <w:t>sibilina</w:t>
      </w:r>
      <w:r>
        <w:rPr>
          <w:color w:val="231F20"/>
          <w:spacing w:val="-20"/>
          <w:w w:val="110"/>
        </w:rPr>
        <w:t> </w:t>
      </w:r>
      <w:r>
        <w:rPr>
          <w:color w:val="231F20"/>
          <w:w w:val="110"/>
        </w:rPr>
        <w:t>presencia</w:t>
      </w:r>
      <w:r>
        <w:rPr>
          <w:color w:val="231F20"/>
          <w:spacing w:val="-20"/>
          <w:w w:val="110"/>
        </w:rPr>
        <w:t> </w:t>
      </w:r>
      <w:r>
        <w:rPr>
          <w:color w:val="231F20"/>
          <w:w w:val="110"/>
        </w:rPr>
        <w:t>de</w:t>
      </w:r>
      <w:r>
        <w:rPr>
          <w:color w:val="231F20"/>
          <w:spacing w:val="-20"/>
          <w:w w:val="110"/>
        </w:rPr>
        <w:t> </w:t>
      </w:r>
      <w:r>
        <w:rPr>
          <w:color w:val="231F20"/>
          <w:w w:val="110"/>
        </w:rPr>
        <w:t>asesores</w:t>
      </w:r>
      <w:r>
        <w:rPr>
          <w:color w:val="231F20"/>
          <w:spacing w:val="-20"/>
          <w:w w:val="110"/>
        </w:rPr>
        <w:t> </w:t>
      </w:r>
      <w:r>
        <w:rPr>
          <w:color w:val="231F20"/>
          <w:w w:val="110"/>
        </w:rPr>
        <w:t>militares</w:t>
      </w:r>
      <w:r>
        <w:rPr>
          <w:color w:val="231F20"/>
          <w:spacing w:val="-20"/>
          <w:w w:val="110"/>
        </w:rPr>
        <w:t> </w:t>
      </w:r>
      <w:r>
        <w:rPr>
          <w:color w:val="231F20"/>
          <w:w w:val="110"/>
        </w:rPr>
        <w:t>y</w:t>
      </w:r>
      <w:r>
        <w:rPr>
          <w:color w:val="231F20"/>
          <w:spacing w:val="-20"/>
          <w:w w:val="110"/>
        </w:rPr>
        <w:t> </w:t>
      </w:r>
      <w:r>
        <w:rPr>
          <w:color w:val="231F20"/>
          <w:w w:val="110"/>
        </w:rPr>
        <w:t>de</w:t>
      </w:r>
      <w:r>
        <w:rPr>
          <w:color w:val="231F20"/>
          <w:spacing w:val="-20"/>
          <w:w w:val="110"/>
        </w:rPr>
        <w:t> </w:t>
      </w:r>
      <w:r>
        <w:rPr>
          <w:color w:val="231F20"/>
          <w:w w:val="110"/>
        </w:rPr>
        <w:t>otras</w:t>
      </w:r>
      <w:r>
        <w:rPr>
          <w:color w:val="231F20"/>
          <w:spacing w:val="-20"/>
          <w:w w:val="110"/>
        </w:rPr>
        <w:t> </w:t>
      </w:r>
      <w:r>
        <w:rPr>
          <w:color w:val="231F20"/>
          <w:w w:val="110"/>
        </w:rPr>
        <w:t>agencias</w:t>
      </w:r>
      <w:r>
        <w:rPr>
          <w:color w:val="231F20"/>
          <w:spacing w:val="-20"/>
          <w:w w:val="110"/>
        </w:rPr>
        <w:t> </w:t>
      </w:r>
      <w:r>
        <w:rPr>
          <w:color w:val="231F20"/>
          <w:w w:val="110"/>
        </w:rPr>
        <w:t>de seguridad estadunidenses que venía desplegándose desde los meses anteriores</w:t>
      </w:r>
      <w:r>
        <w:rPr>
          <w:color w:val="231F20"/>
          <w:spacing w:val="-18"/>
          <w:w w:val="110"/>
        </w:rPr>
        <w:t> </w:t>
      </w:r>
      <w:r>
        <w:rPr>
          <w:color w:val="231F20"/>
          <w:w w:val="110"/>
        </w:rPr>
        <w:t>(Castillo,</w:t>
      </w:r>
      <w:r>
        <w:rPr>
          <w:color w:val="231F20"/>
          <w:spacing w:val="-18"/>
          <w:w w:val="110"/>
        </w:rPr>
        <w:t> </w:t>
      </w:r>
      <w:r>
        <w:rPr>
          <w:color w:val="231F20"/>
          <w:w w:val="110"/>
        </w:rPr>
        <w:t>2009).</w:t>
      </w:r>
      <w:r>
        <w:rPr>
          <w:color w:val="231F20"/>
          <w:spacing w:val="-18"/>
          <w:w w:val="110"/>
        </w:rPr>
        <w:t> </w:t>
      </w:r>
      <w:r>
        <w:rPr>
          <w:color w:val="231F20"/>
          <w:w w:val="110"/>
        </w:rPr>
        <w:t>Sin</w:t>
      </w:r>
      <w:r>
        <w:rPr>
          <w:color w:val="231F20"/>
          <w:spacing w:val="-18"/>
          <w:w w:val="110"/>
        </w:rPr>
        <w:t> </w:t>
      </w:r>
      <w:r>
        <w:rPr>
          <w:color w:val="231F20"/>
          <w:w w:val="110"/>
        </w:rPr>
        <w:t>embargo,</w:t>
      </w:r>
      <w:r>
        <w:rPr>
          <w:color w:val="231F20"/>
          <w:spacing w:val="-18"/>
          <w:w w:val="110"/>
        </w:rPr>
        <w:t> </w:t>
      </w:r>
      <w:r>
        <w:rPr>
          <w:color w:val="231F20"/>
          <w:w w:val="110"/>
        </w:rPr>
        <w:t>la</w:t>
      </w:r>
      <w:r>
        <w:rPr>
          <w:color w:val="231F20"/>
          <w:spacing w:val="-18"/>
          <w:w w:val="110"/>
        </w:rPr>
        <w:t> </w:t>
      </w:r>
      <w:r>
        <w:rPr>
          <w:color w:val="231F20"/>
          <w:w w:val="110"/>
        </w:rPr>
        <w:t>embajada</w:t>
      </w:r>
      <w:r>
        <w:rPr>
          <w:color w:val="231F20"/>
          <w:spacing w:val="-18"/>
          <w:w w:val="110"/>
        </w:rPr>
        <w:t> </w:t>
      </w:r>
      <w:r>
        <w:rPr>
          <w:color w:val="231F20"/>
          <w:w w:val="110"/>
        </w:rPr>
        <w:t>de</w:t>
      </w:r>
      <w:r>
        <w:rPr>
          <w:color w:val="231F20"/>
          <w:spacing w:val="-18"/>
          <w:w w:val="110"/>
        </w:rPr>
        <w:t> </w:t>
      </w:r>
      <w:r>
        <w:rPr>
          <w:color w:val="231F20"/>
          <w:w w:val="110"/>
        </w:rPr>
        <w:t>Estados</w:t>
      </w:r>
      <w:r>
        <w:rPr>
          <w:color w:val="231F20"/>
          <w:spacing w:val="-18"/>
          <w:w w:val="110"/>
        </w:rPr>
        <w:t> </w:t>
      </w:r>
      <w:r>
        <w:rPr>
          <w:color w:val="231F20"/>
          <w:w w:val="110"/>
        </w:rPr>
        <w:t>Uni- dos en Asunción sigue conspirando con los partidos políticos y</w:t>
      </w:r>
      <w:r>
        <w:rPr>
          <w:color w:val="231F20"/>
          <w:spacing w:val="-27"/>
          <w:w w:val="110"/>
        </w:rPr>
        <w:t> </w:t>
      </w:r>
      <w:r>
        <w:rPr>
          <w:color w:val="231F20"/>
          <w:w w:val="110"/>
        </w:rPr>
        <w:t>otras fuerzas</w:t>
      </w:r>
      <w:r>
        <w:rPr>
          <w:color w:val="231F20"/>
          <w:spacing w:val="-33"/>
          <w:w w:val="110"/>
        </w:rPr>
        <w:t> </w:t>
      </w:r>
      <w:r>
        <w:rPr>
          <w:color w:val="231F20"/>
          <w:w w:val="110"/>
        </w:rPr>
        <w:t>“narcofascistas”</w:t>
      </w:r>
      <w:r>
        <w:rPr>
          <w:color w:val="231F20"/>
          <w:spacing w:val="-33"/>
          <w:w w:val="110"/>
        </w:rPr>
        <w:t> </w:t>
      </w:r>
      <w:r>
        <w:rPr>
          <w:color w:val="231F20"/>
          <w:w w:val="110"/>
        </w:rPr>
        <w:t>paraguayas</w:t>
      </w:r>
      <w:r>
        <w:rPr>
          <w:color w:val="231F20"/>
          <w:spacing w:val="-33"/>
          <w:w w:val="110"/>
        </w:rPr>
        <w:t> </w:t>
      </w:r>
      <w:r>
        <w:rPr>
          <w:color w:val="231F20"/>
          <w:w w:val="110"/>
        </w:rPr>
        <w:t>para</w:t>
      </w:r>
      <w:r>
        <w:rPr>
          <w:color w:val="231F20"/>
          <w:spacing w:val="-33"/>
          <w:w w:val="110"/>
        </w:rPr>
        <w:t> </w:t>
      </w:r>
      <w:r>
        <w:rPr>
          <w:color w:val="231F20"/>
          <w:w w:val="110"/>
        </w:rPr>
        <w:t>provocar</w:t>
      </w:r>
      <w:r>
        <w:rPr>
          <w:color w:val="231F20"/>
          <w:spacing w:val="-33"/>
          <w:w w:val="110"/>
        </w:rPr>
        <w:t> </w:t>
      </w:r>
      <w:r>
        <w:rPr>
          <w:color w:val="231F20"/>
          <w:w w:val="110"/>
        </w:rPr>
        <w:t>un</w:t>
      </w:r>
      <w:r>
        <w:rPr>
          <w:color w:val="231F20"/>
          <w:spacing w:val="-33"/>
          <w:w w:val="110"/>
        </w:rPr>
        <w:t> </w:t>
      </w:r>
      <w:r>
        <w:rPr>
          <w:color w:val="231F20"/>
          <w:w w:val="110"/>
        </w:rPr>
        <w:t>“golpe</w:t>
      </w:r>
      <w:r>
        <w:rPr>
          <w:color w:val="231F20"/>
          <w:spacing w:val="-33"/>
          <w:w w:val="110"/>
        </w:rPr>
        <w:t> </w:t>
      </w:r>
      <w:r>
        <w:rPr>
          <w:color w:val="231F20"/>
          <w:w w:val="110"/>
        </w:rPr>
        <w:t>de</w:t>
      </w:r>
      <w:r>
        <w:rPr>
          <w:color w:val="231F20"/>
          <w:spacing w:val="-33"/>
          <w:w w:val="110"/>
        </w:rPr>
        <w:t> </w:t>
      </w:r>
      <w:r>
        <w:rPr>
          <w:color w:val="231F20"/>
          <w:w w:val="110"/>
        </w:rPr>
        <w:t>Estado institucional” contra el actual presidente de ese país, así como para evitar</w:t>
      </w:r>
      <w:r>
        <w:rPr>
          <w:color w:val="231F20"/>
          <w:spacing w:val="-17"/>
          <w:w w:val="110"/>
        </w:rPr>
        <w:t> </w:t>
      </w:r>
      <w:r>
        <w:rPr>
          <w:color w:val="231F20"/>
          <w:w w:val="110"/>
        </w:rPr>
        <w:t>que</w:t>
      </w:r>
      <w:r>
        <w:rPr>
          <w:color w:val="231F20"/>
          <w:spacing w:val="-17"/>
          <w:w w:val="110"/>
        </w:rPr>
        <w:t> </w:t>
      </w:r>
      <w:r>
        <w:rPr>
          <w:color w:val="231F20"/>
          <w:w w:val="110"/>
        </w:rPr>
        <w:t>su</w:t>
      </w:r>
      <w:r>
        <w:rPr>
          <w:color w:val="231F20"/>
          <w:spacing w:val="-17"/>
          <w:w w:val="110"/>
        </w:rPr>
        <w:t> </w:t>
      </w:r>
      <w:r>
        <w:rPr>
          <w:color w:val="231F20"/>
          <w:w w:val="110"/>
        </w:rPr>
        <w:t>parlamento</w:t>
      </w:r>
      <w:r>
        <w:rPr>
          <w:color w:val="231F20"/>
          <w:spacing w:val="-17"/>
          <w:w w:val="110"/>
        </w:rPr>
        <w:t> </w:t>
      </w:r>
      <w:r>
        <w:rPr>
          <w:color w:val="231F20"/>
          <w:w w:val="110"/>
        </w:rPr>
        <w:t>ratifique</w:t>
      </w:r>
      <w:r>
        <w:rPr>
          <w:color w:val="231F20"/>
          <w:spacing w:val="-17"/>
          <w:w w:val="110"/>
        </w:rPr>
        <w:t> </w:t>
      </w:r>
      <w:r>
        <w:rPr>
          <w:color w:val="231F20"/>
          <w:w w:val="110"/>
        </w:rPr>
        <w:t>el</w:t>
      </w:r>
      <w:r>
        <w:rPr>
          <w:color w:val="231F20"/>
          <w:spacing w:val="-17"/>
          <w:w w:val="110"/>
        </w:rPr>
        <w:t> </w:t>
      </w:r>
      <w:r>
        <w:rPr>
          <w:color w:val="231F20"/>
          <w:w w:val="110"/>
        </w:rPr>
        <w:t>ingreso</w:t>
      </w:r>
      <w:r>
        <w:rPr>
          <w:color w:val="231F20"/>
          <w:spacing w:val="-17"/>
          <w:w w:val="110"/>
        </w:rPr>
        <w:t> </w:t>
      </w:r>
      <w:r>
        <w:rPr>
          <w:color w:val="231F20"/>
          <w:w w:val="110"/>
        </w:rPr>
        <w:t>de</w:t>
      </w:r>
      <w:r>
        <w:rPr>
          <w:color w:val="231F20"/>
          <w:spacing w:val="-17"/>
          <w:w w:val="110"/>
        </w:rPr>
        <w:t> </w:t>
      </w:r>
      <w:r>
        <w:rPr>
          <w:color w:val="231F20"/>
          <w:spacing w:val="-3"/>
          <w:w w:val="110"/>
        </w:rPr>
        <w:t>Venezuela</w:t>
      </w:r>
      <w:r>
        <w:rPr>
          <w:color w:val="231F20"/>
          <w:spacing w:val="-17"/>
          <w:w w:val="110"/>
        </w:rPr>
        <w:t> </w:t>
      </w:r>
      <w:r>
        <w:rPr>
          <w:color w:val="231F20"/>
          <w:w w:val="110"/>
        </w:rPr>
        <w:t>al</w:t>
      </w:r>
      <w:r>
        <w:rPr>
          <w:color w:val="231F20"/>
          <w:spacing w:val="-17"/>
          <w:w w:val="110"/>
        </w:rPr>
        <w:t> </w:t>
      </w:r>
      <w:r>
        <w:rPr>
          <w:color w:val="231F20"/>
          <w:w w:val="110"/>
        </w:rPr>
        <w:t>Mercado Común del Sur (mercosur) y el </w:t>
      </w:r>
      <w:r>
        <w:rPr>
          <w:color w:val="231F20"/>
          <w:spacing w:val="-4"/>
          <w:w w:val="110"/>
        </w:rPr>
        <w:t>Tratado </w:t>
      </w:r>
      <w:r>
        <w:rPr>
          <w:color w:val="231F20"/>
          <w:w w:val="110"/>
        </w:rPr>
        <w:t>Constitutivo de la Unión de Naciones Suramericanas (unasur) (Borón, </w:t>
      </w:r>
      <w:r>
        <w:rPr>
          <w:color w:val="231F20"/>
          <w:spacing w:val="26"/>
          <w:w w:val="110"/>
        </w:rPr>
        <w:t> </w:t>
      </w:r>
      <w:r>
        <w:rPr>
          <w:color w:val="231F20"/>
          <w:w w:val="110"/>
        </w:rPr>
        <w:t>2010).</w:t>
      </w:r>
    </w:p>
    <w:p>
      <w:pPr>
        <w:pStyle w:val="BodyText"/>
        <w:spacing w:line="261" w:lineRule="auto"/>
        <w:ind w:left="100" w:right="119" w:firstLine="240"/>
        <w:jc w:val="both"/>
      </w:pP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perspectiva</w:t>
      </w:r>
      <w:r>
        <w:rPr>
          <w:color w:val="231F20"/>
          <w:spacing w:val="-8"/>
          <w:w w:val="110"/>
        </w:rPr>
        <w:t> </w:t>
      </w:r>
      <w:r>
        <w:rPr>
          <w:color w:val="231F20"/>
          <w:w w:val="110"/>
        </w:rPr>
        <w:t>del</w:t>
      </w:r>
      <w:r>
        <w:rPr>
          <w:color w:val="231F20"/>
          <w:spacing w:val="-8"/>
          <w:w w:val="110"/>
        </w:rPr>
        <w:t> </w:t>
      </w:r>
      <w:r>
        <w:rPr>
          <w:color w:val="231F20"/>
          <w:w w:val="110"/>
        </w:rPr>
        <w:t>poderoso</w:t>
      </w:r>
      <w:r>
        <w:rPr>
          <w:color w:val="231F20"/>
          <w:spacing w:val="-8"/>
          <w:w w:val="110"/>
        </w:rPr>
        <w:t> </w:t>
      </w:r>
      <w:r>
        <w:rPr>
          <w:color w:val="231F20"/>
          <w:w w:val="110"/>
        </w:rPr>
        <w:t>aparato</w:t>
      </w:r>
      <w:r>
        <w:rPr>
          <w:color w:val="231F20"/>
          <w:spacing w:val="-8"/>
          <w:w w:val="110"/>
        </w:rPr>
        <w:t> </w:t>
      </w:r>
      <w:r>
        <w:rPr>
          <w:color w:val="231F20"/>
          <w:w w:val="110"/>
        </w:rPr>
        <w:t>burocrático-militar</w:t>
      </w:r>
      <w:r>
        <w:rPr>
          <w:color w:val="231F20"/>
          <w:spacing w:val="-8"/>
          <w:w w:val="110"/>
        </w:rPr>
        <w:t> </w:t>
      </w:r>
      <w:r>
        <w:rPr>
          <w:color w:val="231F20"/>
          <w:w w:val="110"/>
        </w:rPr>
        <w:t>estadu- nidense</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administración</w:t>
      </w:r>
      <w:r>
        <w:rPr>
          <w:color w:val="231F20"/>
          <w:spacing w:val="-5"/>
          <w:w w:val="110"/>
        </w:rPr>
        <w:t> </w:t>
      </w:r>
      <w:r>
        <w:rPr>
          <w:color w:val="231F20"/>
          <w:w w:val="110"/>
        </w:rPr>
        <w:t>de</w:t>
      </w:r>
      <w:r>
        <w:rPr>
          <w:color w:val="231F20"/>
          <w:spacing w:val="-5"/>
          <w:w w:val="110"/>
        </w:rPr>
        <w:t> </w:t>
      </w:r>
      <w:r>
        <w:rPr>
          <w:color w:val="231F20"/>
          <w:w w:val="110"/>
        </w:rPr>
        <w:t>Barack</w:t>
      </w:r>
      <w:r>
        <w:rPr>
          <w:color w:val="231F20"/>
          <w:spacing w:val="-5"/>
          <w:w w:val="110"/>
        </w:rPr>
        <w:t> </w:t>
      </w:r>
      <w:r>
        <w:rPr>
          <w:color w:val="231F20"/>
          <w:w w:val="110"/>
        </w:rPr>
        <w:t>Obama,</w:t>
      </w:r>
      <w:r>
        <w:rPr>
          <w:color w:val="231F20"/>
          <w:spacing w:val="-5"/>
          <w:w w:val="110"/>
        </w:rPr>
        <w:t> </w:t>
      </w:r>
      <w:r>
        <w:rPr>
          <w:color w:val="231F20"/>
          <w:w w:val="110"/>
        </w:rPr>
        <w:t>todos</w:t>
      </w:r>
      <w:r>
        <w:rPr>
          <w:color w:val="231F20"/>
          <w:spacing w:val="-5"/>
          <w:w w:val="110"/>
        </w:rPr>
        <w:t> </w:t>
      </w:r>
      <w:r>
        <w:rPr>
          <w:color w:val="231F20"/>
          <w:w w:val="110"/>
        </w:rPr>
        <w:t>los</w:t>
      </w:r>
      <w:r>
        <w:rPr>
          <w:color w:val="231F20"/>
          <w:spacing w:val="-5"/>
          <w:w w:val="110"/>
        </w:rPr>
        <w:t> </w:t>
      </w:r>
      <w:r>
        <w:rPr>
          <w:color w:val="231F20"/>
          <w:w w:val="110"/>
        </w:rPr>
        <w:t>acuerdos en</w:t>
      </w:r>
      <w:r>
        <w:rPr>
          <w:color w:val="231F20"/>
          <w:spacing w:val="-11"/>
          <w:w w:val="110"/>
        </w:rPr>
        <w:t> </w:t>
      </w:r>
      <w:r>
        <w:rPr>
          <w:color w:val="231F20"/>
          <w:w w:val="110"/>
        </w:rPr>
        <w:t>el</w:t>
      </w:r>
      <w:r>
        <w:rPr>
          <w:color w:val="231F20"/>
          <w:spacing w:val="-11"/>
          <w:w w:val="110"/>
        </w:rPr>
        <w:t> </w:t>
      </w:r>
      <w:r>
        <w:rPr>
          <w:color w:val="231F20"/>
          <w:w w:val="110"/>
        </w:rPr>
        <w:t>campo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seguridad”</w:t>
      </w:r>
      <w:r>
        <w:rPr>
          <w:color w:val="231F20"/>
          <w:spacing w:val="-11"/>
          <w:w w:val="110"/>
        </w:rPr>
        <w:t> </w:t>
      </w:r>
      <w:r>
        <w:rPr>
          <w:color w:val="231F20"/>
          <w:w w:val="110"/>
        </w:rPr>
        <w:t>antes</w:t>
      </w:r>
      <w:r>
        <w:rPr>
          <w:color w:val="231F20"/>
          <w:spacing w:val="-11"/>
          <w:w w:val="110"/>
        </w:rPr>
        <w:t> </w:t>
      </w:r>
      <w:r>
        <w:rPr>
          <w:color w:val="231F20"/>
          <w:w w:val="110"/>
        </w:rPr>
        <w:t>mencionados</w:t>
      </w:r>
      <w:r>
        <w:rPr>
          <w:color w:val="231F20"/>
          <w:spacing w:val="-11"/>
          <w:w w:val="110"/>
        </w:rPr>
        <w:t> </w:t>
      </w:r>
      <w:r>
        <w:rPr>
          <w:color w:val="231F20"/>
          <w:w w:val="110"/>
        </w:rPr>
        <w:t>se</w:t>
      </w:r>
      <w:r>
        <w:rPr>
          <w:color w:val="231F20"/>
          <w:spacing w:val="-11"/>
          <w:w w:val="110"/>
        </w:rPr>
        <w:t> </w:t>
      </w:r>
      <w:r>
        <w:rPr>
          <w:color w:val="231F20"/>
          <w:w w:val="110"/>
        </w:rPr>
        <w:t>imbrican</w:t>
      </w:r>
      <w:r>
        <w:rPr>
          <w:color w:val="231F20"/>
          <w:spacing w:val="-11"/>
          <w:w w:val="110"/>
        </w:rPr>
        <w:t> </w:t>
      </w:r>
      <w:r>
        <w:rPr>
          <w:color w:val="231F20"/>
          <w:w w:val="110"/>
        </w:rPr>
        <w:t>con</w:t>
      </w:r>
      <w:r>
        <w:rPr>
          <w:color w:val="231F20"/>
          <w:spacing w:val="-11"/>
          <w:w w:val="110"/>
        </w:rPr>
        <w:t> </w:t>
      </w:r>
      <w:r>
        <w:rPr>
          <w:color w:val="231F20"/>
          <w:w w:val="110"/>
        </w:rPr>
        <w:t>las</w:t>
      </w:r>
      <w:r>
        <w:rPr>
          <w:color w:val="231F20"/>
          <w:w w:val="100"/>
        </w:rPr>
        <w:t> </w:t>
      </w:r>
      <w:r>
        <w:rPr>
          <w:color w:val="231F20"/>
          <w:w w:val="110"/>
        </w:rPr>
        <w:t>resoluciones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Cumbres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Américas</w:t>
      </w:r>
      <w:r>
        <w:rPr>
          <w:color w:val="231F20"/>
          <w:spacing w:val="-8"/>
          <w:w w:val="110"/>
        </w:rPr>
        <w:t> </w:t>
      </w:r>
      <w:r>
        <w:rPr>
          <w:color w:val="231F20"/>
          <w:w w:val="110"/>
        </w:rPr>
        <w:t>(ordinarias</w:t>
      </w:r>
      <w:r>
        <w:rPr>
          <w:color w:val="231F20"/>
          <w:spacing w:val="-8"/>
          <w:w w:val="110"/>
        </w:rPr>
        <w:t> </w:t>
      </w:r>
      <w:r>
        <w:rPr>
          <w:color w:val="231F20"/>
          <w:w w:val="110"/>
        </w:rPr>
        <w:t>y</w:t>
      </w:r>
      <w:r>
        <w:rPr>
          <w:color w:val="231F20"/>
          <w:spacing w:val="-8"/>
          <w:w w:val="110"/>
        </w:rPr>
        <w:t> </w:t>
      </w:r>
      <w:r>
        <w:rPr>
          <w:color w:val="231F20"/>
          <w:w w:val="110"/>
        </w:rPr>
        <w:t>extraordi-</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narias)</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han</w:t>
      </w:r>
      <w:r>
        <w:rPr>
          <w:color w:val="231F20"/>
          <w:spacing w:val="-8"/>
          <w:w w:val="110"/>
        </w:rPr>
        <w:t> </w:t>
      </w:r>
      <w:r>
        <w:rPr>
          <w:color w:val="231F20"/>
          <w:w w:val="110"/>
        </w:rPr>
        <w:t>venido</w:t>
      </w:r>
      <w:r>
        <w:rPr>
          <w:color w:val="231F20"/>
          <w:spacing w:val="-8"/>
          <w:w w:val="110"/>
        </w:rPr>
        <w:t> </w:t>
      </w:r>
      <w:r>
        <w:rPr>
          <w:color w:val="231F20"/>
          <w:w w:val="110"/>
        </w:rPr>
        <w:t>efectuando</w:t>
      </w:r>
      <w:r>
        <w:rPr>
          <w:color w:val="231F20"/>
          <w:spacing w:val="-8"/>
          <w:w w:val="110"/>
        </w:rPr>
        <w:t> </w:t>
      </w:r>
      <w:r>
        <w:rPr>
          <w:color w:val="231F20"/>
          <w:w w:val="110"/>
        </w:rPr>
        <w:t>desde</w:t>
      </w:r>
      <w:r>
        <w:rPr>
          <w:color w:val="231F20"/>
          <w:spacing w:val="-8"/>
          <w:w w:val="110"/>
        </w:rPr>
        <w:t> </w:t>
      </w:r>
      <w:r>
        <w:rPr>
          <w:color w:val="231F20"/>
          <w:w w:val="110"/>
        </w:rPr>
        <w:t>1994</w:t>
      </w:r>
      <w:r>
        <w:rPr>
          <w:color w:val="231F20"/>
          <w:spacing w:val="-8"/>
          <w:w w:val="110"/>
        </w:rPr>
        <w:t> </w:t>
      </w:r>
      <w:r>
        <w:rPr>
          <w:color w:val="231F20"/>
          <w:w w:val="110"/>
        </w:rPr>
        <w:t>y</w:t>
      </w:r>
      <w:r>
        <w:rPr>
          <w:color w:val="231F20"/>
          <w:spacing w:val="-8"/>
          <w:w w:val="110"/>
        </w:rPr>
        <w:t> </w:t>
      </w:r>
      <w:r>
        <w:rPr>
          <w:color w:val="231F20"/>
          <w:w w:val="110"/>
        </w:rPr>
        <w:t>con</w:t>
      </w:r>
      <w:r>
        <w:rPr>
          <w:color w:val="231F20"/>
          <w:spacing w:val="-8"/>
          <w:w w:val="110"/>
        </w:rPr>
        <w:t> </w:t>
      </w:r>
      <w:r>
        <w:rPr>
          <w:color w:val="231F20"/>
          <w:w w:val="110"/>
        </w:rPr>
        <w:t>los</w:t>
      </w:r>
      <w:r>
        <w:rPr>
          <w:color w:val="231F20"/>
          <w:spacing w:val="-8"/>
          <w:w w:val="110"/>
        </w:rPr>
        <w:t> </w:t>
      </w:r>
      <w:r>
        <w:rPr>
          <w:color w:val="231F20"/>
          <w:w w:val="110"/>
        </w:rPr>
        <w:t>diferentes tratados</w:t>
      </w:r>
      <w:r>
        <w:rPr>
          <w:color w:val="231F20"/>
          <w:spacing w:val="-14"/>
          <w:w w:val="110"/>
        </w:rPr>
        <w:t> </w:t>
      </w:r>
      <w:r>
        <w:rPr>
          <w:color w:val="231F20"/>
          <w:w w:val="110"/>
        </w:rPr>
        <w:t>y</w:t>
      </w:r>
      <w:r>
        <w:rPr>
          <w:color w:val="231F20"/>
          <w:spacing w:val="-14"/>
          <w:w w:val="110"/>
        </w:rPr>
        <w:t> </w:t>
      </w:r>
      <w:r>
        <w:rPr>
          <w:color w:val="231F20"/>
          <w:w w:val="110"/>
        </w:rPr>
        <w:t>acuerdos</w:t>
      </w:r>
      <w:r>
        <w:rPr>
          <w:color w:val="231F20"/>
          <w:spacing w:val="-14"/>
          <w:w w:val="110"/>
        </w:rPr>
        <w:t> </w:t>
      </w:r>
      <w:r>
        <w:rPr>
          <w:color w:val="231F20"/>
          <w:w w:val="110"/>
        </w:rPr>
        <w:t>aprobados</w:t>
      </w:r>
      <w:r>
        <w:rPr>
          <w:color w:val="231F20"/>
          <w:spacing w:val="-14"/>
          <w:w w:val="110"/>
        </w:rPr>
        <w:t> </w:t>
      </w:r>
      <w:r>
        <w:rPr>
          <w:color w:val="231F20"/>
          <w:w w:val="110"/>
        </w:rPr>
        <w:t>por</w:t>
      </w:r>
      <w:r>
        <w:rPr>
          <w:color w:val="231F20"/>
          <w:spacing w:val="-14"/>
          <w:w w:val="110"/>
        </w:rPr>
        <w:t> </w:t>
      </w:r>
      <w:r>
        <w:rPr>
          <w:color w:val="231F20"/>
          <w:w w:val="110"/>
        </w:rPr>
        <w:t>sucesivas</w:t>
      </w:r>
      <w:r>
        <w:rPr>
          <w:color w:val="231F20"/>
          <w:spacing w:val="-14"/>
          <w:w w:val="110"/>
        </w:rPr>
        <w:t> </w:t>
      </w:r>
      <w:r>
        <w:rPr>
          <w:color w:val="231F20"/>
          <w:w w:val="110"/>
        </w:rPr>
        <w:t>Asambleas</w:t>
      </w:r>
      <w:r>
        <w:rPr>
          <w:color w:val="231F20"/>
          <w:spacing w:val="-14"/>
          <w:w w:val="110"/>
        </w:rPr>
        <w:t> </w:t>
      </w:r>
      <w:r>
        <w:rPr>
          <w:color w:val="231F20"/>
          <w:w w:val="110"/>
        </w:rPr>
        <w:t>Generales</w:t>
      </w:r>
      <w:r>
        <w:rPr>
          <w:color w:val="231F20"/>
          <w:spacing w:val="-14"/>
          <w:w w:val="110"/>
        </w:rPr>
        <w:t> </w:t>
      </w:r>
      <w:r>
        <w:rPr>
          <w:color w:val="231F20"/>
          <w:w w:val="110"/>
        </w:rPr>
        <w:t>de la Organización de Estados Americanos (oea). En particular, los</w:t>
      </w:r>
      <w:r>
        <w:rPr>
          <w:color w:val="231F20"/>
          <w:spacing w:val="-18"/>
          <w:w w:val="110"/>
        </w:rPr>
        <w:t> </w:t>
      </w:r>
      <w:r>
        <w:rPr>
          <w:color w:val="231F20"/>
          <w:w w:val="110"/>
        </w:rPr>
        <w:t>que desde 2006 regulan el funcionamiento de la Junta Interamericana de Defensa</w:t>
      </w:r>
      <w:r>
        <w:rPr>
          <w:color w:val="231F20"/>
          <w:spacing w:val="-16"/>
          <w:w w:val="110"/>
        </w:rPr>
        <w:t> </w:t>
      </w:r>
      <w:r>
        <w:rPr>
          <w:color w:val="231F20"/>
          <w:w w:val="110"/>
        </w:rPr>
        <w:t>(iadb),</w:t>
      </w:r>
      <w:r>
        <w:rPr>
          <w:color w:val="231F20"/>
          <w:spacing w:val="-16"/>
          <w:w w:val="110"/>
        </w:rPr>
        <w:t> </w:t>
      </w:r>
      <w:r>
        <w:rPr>
          <w:color w:val="231F20"/>
          <w:w w:val="110"/>
        </w:rPr>
        <w:t>así</w:t>
      </w:r>
      <w:r>
        <w:rPr>
          <w:color w:val="231F20"/>
          <w:spacing w:val="-16"/>
          <w:w w:val="110"/>
        </w:rPr>
        <w:t> </w:t>
      </w:r>
      <w:r>
        <w:rPr>
          <w:color w:val="231F20"/>
          <w:w w:val="110"/>
        </w:rPr>
        <w:t>como</w:t>
      </w:r>
      <w:r>
        <w:rPr>
          <w:color w:val="231F20"/>
          <w:spacing w:val="-16"/>
          <w:w w:val="110"/>
        </w:rPr>
        <w:t> </w:t>
      </w:r>
      <w:r>
        <w:rPr>
          <w:color w:val="231F20"/>
          <w:w w:val="110"/>
        </w:rPr>
        <w:t>las</w:t>
      </w:r>
      <w:r>
        <w:rPr>
          <w:color w:val="231F20"/>
          <w:spacing w:val="-16"/>
          <w:w w:val="110"/>
        </w:rPr>
        <w:t> </w:t>
      </w:r>
      <w:r>
        <w:rPr>
          <w:color w:val="231F20"/>
          <w:w w:val="110"/>
        </w:rPr>
        <w:t>conferencias</w:t>
      </w:r>
      <w:r>
        <w:rPr>
          <w:color w:val="231F20"/>
          <w:spacing w:val="-16"/>
          <w:w w:val="110"/>
        </w:rPr>
        <w:t> </w:t>
      </w:r>
      <w:r>
        <w:rPr>
          <w:color w:val="231F20"/>
          <w:w w:val="110"/>
        </w:rPr>
        <w:t>de</w:t>
      </w:r>
      <w:r>
        <w:rPr>
          <w:color w:val="231F20"/>
          <w:spacing w:val="-16"/>
          <w:w w:val="110"/>
        </w:rPr>
        <w:t> </w:t>
      </w:r>
      <w:r>
        <w:rPr>
          <w:color w:val="231F20"/>
          <w:w w:val="110"/>
        </w:rPr>
        <w:t>jefes</w:t>
      </w:r>
      <w:r>
        <w:rPr>
          <w:color w:val="231F20"/>
          <w:spacing w:val="-16"/>
          <w:w w:val="110"/>
        </w:rPr>
        <w:t> </w:t>
      </w:r>
      <w:r>
        <w:rPr>
          <w:color w:val="231F20"/>
          <w:w w:val="110"/>
        </w:rPr>
        <w:t>de</w:t>
      </w:r>
      <w:r>
        <w:rPr>
          <w:color w:val="231F20"/>
          <w:spacing w:val="-16"/>
          <w:w w:val="110"/>
        </w:rPr>
        <w:t> </w:t>
      </w:r>
      <w:r>
        <w:rPr>
          <w:color w:val="231F20"/>
          <w:w w:val="110"/>
        </w:rPr>
        <w:t>Ejército,</w:t>
      </w:r>
      <w:r>
        <w:rPr>
          <w:color w:val="231F20"/>
          <w:spacing w:val="-16"/>
          <w:w w:val="110"/>
        </w:rPr>
        <w:t> </w:t>
      </w:r>
      <w:r>
        <w:rPr>
          <w:color w:val="231F20"/>
          <w:w w:val="110"/>
        </w:rPr>
        <w:t>Marina y Aviación de sus Estados miembros que continúan realizándose al amparo del </w:t>
      </w:r>
      <w:r>
        <w:rPr>
          <w:color w:val="231F20"/>
          <w:spacing w:val="-3"/>
          <w:w w:val="110"/>
        </w:rPr>
        <w:t>Tratado </w:t>
      </w:r>
      <w:r>
        <w:rPr>
          <w:color w:val="231F20"/>
          <w:w w:val="110"/>
        </w:rPr>
        <w:t>Interamericano de Asistencia Reciproca </w:t>
      </w:r>
      <w:r>
        <w:rPr>
          <w:color w:val="231F20"/>
          <w:w w:val="120"/>
        </w:rPr>
        <w:t>(tiar) </w:t>
      </w:r>
      <w:r>
        <w:rPr>
          <w:color w:val="231F20"/>
          <w:w w:val="110"/>
        </w:rPr>
        <w:t>de</w:t>
      </w:r>
      <w:r>
        <w:rPr>
          <w:color w:val="231F20"/>
          <w:spacing w:val="-17"/>
          <w:w w:val="110"/>
        </w:rPr>
        <w:t> </w:t>
      </w:r>
      <w:r>
        <w:rPr>
          <w:color w:val="231F20"/>
          <w:w w:val="110"/>
        </w:rPr>
        <w:t>1947</w:t>
      </w:r>
      <w:r>
        <w:rPr>
          <w:color w:val="231F20"/>
          <w:spacing w:val="-17"/>
          <w:w w:val="110"/>
        </w:rPr>
        <w:t> </w:t>
      </w:r>
      <w:r>
        <w:rPr>
          <w:color w:val="231F20"/>
          <w:w w:val="110"/>
        </w:rPr>
        <w:t>y</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cooperación”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Comisión</w:t>
      </w:r>
      <w:r>
        <w:rPr>
          <w:color w:val="231F20"/>
          <w:spacing w:val="-17"/>
          <w:w w:val="110"/>
        </w:rPr>
        <w:t> </w:t>
      </w:r>
      <w:r>
        <w:rPr>
          <w:color w:val="231F20"/>
          <w:w w:val="110"/>
        </w:rPr>
        <w:t>Especial</w:t>
      </w:r>
      <w:r>
        <w:rPr>
          <w:color w:val="231F20"/>
          <w:spacing w:val="-17"/>
          <w:w w:val="110"/>
        </w:rPr>
        <w:t> </w:t>
      </w:r>
      <w:r>
        <w:rPr>
          <w:color w:val="231F20"/>
          <w:w w:val="110"/>
        </w:rPr>
        <w:t>de</w:t>
      </w:r>
      <w:r>
        <w:rPr>
          <w:color w:val="231F20"/>
          <w:spacing w:val="-17"/>
          <w:w w:val="110"/>
        </w:rPr>
        <w:t> </w:t>
      </w:r>
      <w:r>
        <w:rPr>
          <w:color w:val="231F20"/>
          <w:w w:val="110"/>
        </w:rPr>
        <w:t>Seguridad Hemisférica de la oea (Chateau, 2007; Foo Kong,</w:t>
      </w:r>
      <w:r>
        <w:rPr>
          <w:color w:val="231F20"/>
          <w:spacing w:val="25"/>
          <w:w w:val="110"/>
        </w:rPr>
        <w:t> </w:t>
      </w:r>
      <w:r>
        <w:rPr>
          <w:color w:val="231F20"/>
          <w:w w:val="110"/>
        </w:rPr>
        <w:t>2009).</w:t>
      </w:r>
    </w:p>
    <w:p>
      <w:pPr>
        <w:pStyle w:val="BodyText"/>
        <w:spacing w:line="261" w:lineRule="auto"/>
        <w:ind w:left="100" w:right="117" w:firstLine="240"/>
        <w:jc w:val="both"/>
      </w:pPr>
      <w:r>
        <w:rPr>
          <w:color w:val="231F20"/>
          <w:w w:val="110"/>
        </w:rPr>
        <w:t>Así</w:t>
      </w:r>
      <w:r>
        <w:rPr>
          <w:color w:val="231F20"/>
          <w:spacing w:val="-10"/>
          <w:w w:val="110"/>
        </w:rPr>
        <w:t> </w:t>
      </w:r>
      <w:r>
        <w:rPr>
          <w:color w:val="231F20"/>
          <w:w w:val="110"/>
        </w:rPr>
        <w:t>lo</w:t>
      </w:r>
      <w:r>
        <w:rPr>
          <w:color w:val="231F20"/>
          <w:spacing w:val="-10"/>
          <w:w w:val="110"/>
        </w:rPr>
        <w:t> </w:t>
      </w:r>
      <w:r>
        <w:rPr>
          <w:color w:val="231F20"/>
          <w:w w:val="110"/>
        </w:rPr>
        <w:t>confirman,</w:t>
      </w:r>
      <w:r>
        <w:rPr>
          <w:color w:val="231F20"/>
          <w:spacing w:val="-10"/>
          <w:w w:val="110"/>
        </w:rPr>
        <w:t> </w:t>
      </w:r>
      <w:r>
        <w:rPr>
          <w:color w:val="231F20"/>
          <w:w w:val="110"/>
        </w:rPr>
        <w:t>entre</w:t>
      </w:r>
      <w:r>
        <w:rPr>
          <w:color w:val="231F20"/>
          <w:spacing w:val="-10"/>
          <w:w w:val="110"/>
        </w:rPr>
        <w:t> </w:t>
      </w:r>
      <w:r>
        <w:rPr>
          <w:color w:val="231F20"/>
          <w:w w:val="110"/>
        </w:rPr>
        <w:t>otras</w:t>
      </w:r>
      <w:r>
        <w:rPr>
          <w:color w:val="231F20"/>
          <w:spacing w:val="-10"/>
          <w:w w:val="110"/>
        </w:rPr>
        <w:t> </w:t>
      </w:r>
      <w:r>
        <w:rPr>
          <w:color w:val="231F20"/>
          <w:w w:val="110"/>
        </w:rPr>
        <w:t>evidencias,</w:t>
      </w:r>
      <w:r>
        <w:rPr>
          <w:color w:val="231F20"/>
          <w:spacing w:val="-10"/>
          <w:w w:val="110"/>
        </w:rPr>
        <w:t> </w:t>
      </w:r>
      <w:r>
        <w:rPr>
          <w:color w:val="231F20"/>
          <w:w w:val="110"/>
        </w:rPr>
        <w:t>la</w:t>
      </w:r>
      <w:r>
        <w:rPr>
          <w:color w:val="231F20"/>
          <w:spacing w:val="-10"/>
          <w:w w:val="110"/>
        </w:rPr>
        <w:t> </w:t>
      </w:r>
      <w:r>
        <w:rPr>
          <w:color w:val="231F20"/>
          <w:w w:val="110"/>
        </w:rPr>
        <w:t>sibilina</w:t>
      </w:r>
      <w:r>
        <w:rPr>
          <w:color w:val="231F20"/>
          <w:spacing w:val="-10"/>
          <w:w w:val="110"/>
        </w:rPr>
        <w:t> </w:t>
      </w:r>
      <w:r>
        <w:rPr>
          <w:color w:val="231F20"/>
          <w:w w:val="110"/>
        </w:rPr>
        <w:t>continuidad</w:t>
      </w:r>
      <w:r>
        <w:rPr>
          <w:color w:val="231F20"/>
          <w:spacing w:val="-10"/>
          <w:w w:val="110"/>
        </w:rPr>
        <w:t> </w:t>
      </w:r>
      <w:r>
        <w:rPr>
          <w:color w:val="231F20"/>
          <w:w w:val="110"/>
        </w:rPr>
        <w:t>de algunos</w:t>
      </w:r>
      <w:r>
        <w:rPr>
          <w:color w:val="231F20"/>
          <w:spacing w:val="-6"/>
          <w:w w:val="110"/>
        </w:rPr>
        <w:t> </w:t>
      </w:r>
      <w:r>
        <w:rPr>
          <w:color w:val="231F20"/>
          <w:w w:val="110"/>
        </w:rPr>
        <w:t>de</w:t>
      </w:r>
      <w:r>
        <w:rPr>
          <w:color w:val="231F20"/>
          <w:spacing w:val="-6"/>
          <w:w w:val="110"/>
        </w:rPr>
        <w:t> </w:t>
      </w:r>
      <w:r>
        <w:rPr>
          <w:color w:val="231F20"/>
          <w:w w:val="110"/>
        </w:rPr>
        <w:t>esos</w:t>
      </w:r>
      <w:r>
        <w:rPr>
          <w:color w:val="231F20"/>
          <w:spacing w:val="-6"/>
          <w:w w:val="110"/>
        </w:rPr>
        <w:t> </w:t>
      </w:r>
      <w:r>
        <w:rPr>
          <w:color w:val="231F20"/>
          <w:w w:val="110"/>
        </w:rPr>
        <w:t>cónclaves,</w:t>
      </w:r>
      <w:r>
        <w:rPr>
          <w:color w:val="231F20"/>
          <w:spacing w:val="-6"/>
          <w:w w:val="110"/>
        </w:rPr>
        <w:t> </w:t>
      </w:r>
      <w:r>
        <w:rPr>
          <w:color w:val="231F20"/>
          <w:w w:val="110"/>
        </w:rPr>
        <w:t>al</w:t>
      </w:r>
      <w:r>
        <w:rPr>
          <w:color w:val="231F20"/>
          <w:spacing w:val="-6"/>
          <w:w w:val="110"/>
        </w:rPr>
        <w:t> </w:t>
      </w:r>
      <w:r>
        <w:rPr>
          <w:color w:val="231F20"/>
          <w:w w:val="110"/>
        </w:rPr>
        <w:t>igual</w:t>
      </w:r>
      <w:r>
        <w:rPr>
          <w:color w:val="231F20"/>
          <w:spacing w:val="-6"/>
          <w:w w:val="110"/>
        </w:rPr>
        <w:t> </w:t>
      </w:r>
      <w:r>
        <w:rPr>
          <w:color w:val="231F20"/>
          <w:w w:val="110"/>
        </w:rPr>
        <w:t>que</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Cumbres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Minis- tros</w:t>
      </w:r>
      <w:r>
        <w:rPr>
          <w:color w:val="231F20"/>
          <w:spacing w:val="-12"/>
          <w:w w:val="110"/>
        </w:rPr>
        <w:t> </w:t>
      </w:r>
      <w:r>
        <w:rPr>
          <w:color w:val="231F20"/>
          <w:w w:val="110"/>
        </w:rPr>
        <w:t>de</w:t>
      </w:r>
      <w:r>
        <w:rPr>
          <w:color w:val="231F20"/>
          <w:spacing w:val="-12"/>
          <w:w w:val="110"/>
        </w:rPr>
        <w:t> </w:t>
      </w:r>
      <w:r>
        <w:rPr>
          <w:color w:val="231F20"/>
          <w:w w:val="110"/>
        </w:rPr>
        <w:t>Defensa</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Américas</w:t>
      </w:r>
      <w:r>
        <w:rPr>
          <w:color w:val="231F20"/>
          <w:spacing w:val="-12"/>
          <w:w w:val="110"/>
        </w:rPr>
        <w:t> </w:t>
      </w:r>
      <w:r>
        <w:rPr>
          <w:color w:val="231F20"/>
          <w:w w:val="110"/>
        </w:rPr>
        <w:t>(la</w:t>
      </w:r>
      <w:r>
        <w:rPr>
          <w:color w:val="231F20"/>
          <w:spacing w:val="-12"/>
          <w:w w:val="110"/>
        </w:rPr>
        <w:t> </w:t>
      </w:r>
      <w:r>
        <w:rPr>
          <w:color w:val="231F20"/>
          <w:w w:val="110"/>
        </w:rPr>
        <w:t>más</w:t>
      </w:r>
      <w:r>
        <w:rPr>
          <w:color w:val="231F20"/>
          <w:spacing w:val="-12"/>
          <w:w w:val="110"/>
        </w:rPr>
        <w:t> </w:t>
      </w:r>
      <w:r>
        <w:rPr>
          <w:color w:val="231F20"/>
          <w:w w:val="110"/>
        </w:rPr>
        <w:t>reciente</w:t>
      </w:r>
      <w:r>
        <w:rPr>
          <w:color w:val="231F20"/>
          <w:spacing w:val="-12"/>
          <w:w w:val="110"/>
        </w:rPr>
        <w:t> </w:t>
      </w:r>
      <w:r>
        <w:rPr>
          <w:color w:val="231F20"/>
          <w:w w:val="110"/>
        </w:rPr>
        <w:t>se</w:t>
      </w:r>
      <w:r>
        <w:rPr>
          <w:color w:val="231F20"/>
          <w:spacing w:val="-12"/>
          <w:w w:val="110"/>
        </w:rPr>
        <w:t> </w:t>
      </w:r>
      <w:r>
        <w:rPr>
          <w:color w:val="231F20"/>
          <w:w w:val="110"/>
        </w:rPr>
        <w:t>realizó</w:t>
      </w:r>
      <w:r>
        <w:rPr>
          <w:color w:val="231F20"/>
          <w:spacing w:val="-12"/>
          <w:w w:val="110"/>
        </w:rPr>
        <w:t> </w:t>
      </w:r>
      <w:r>
        <w:rPr>
          <w:color w:val="231F20"/>
          <w:w w:val="110"/>
        </w:rPr>
        <w:t>en</w:t>
      </w:r>
      <w:r>
        <w:rPr>
          <w:color w:val="231F20"/>
          <w:spacing w:val="-12"/>
          <w:w w:val="110"/>
        </w:rPr>
        <w:t> </w:t>
      </w:r>
      <w:r>
        <w:rPr>
          <w:color w:val="231F20"/>
          <w:w w:val="110"/>
        </w:rPr>
        <w:t>Bolivia a</w:t>
      </w:r>
      <w:r>
        <w:rPr>
          <w:color w:val="231F20"/>
          <w:spacing w:val="-5"/>
          <w:w w:val="110"/>
        </w:rPr>
        <w:t> </w:t>
      </w:r>
      <w:r>
        <w:rPr>
          <w:color w:val="231F20"/>
          <w:w w:val="110"/>
        </w:rPr>
        <w:t>fines</w:t>
      </w:r>
      <w:r>
        <w:rPr>
          <w:color w:val="231F20"/>
          <w:spacing w:val="-5"/>
          <w:w w:val="110"/>
        </w:rPr>
        <w:t> </w:t>
      </w:r>
      <w:r>
        <w:rPr>
          <w:color w:val="231F20"/>
          <w:w w:val="110"/>
        </w:rPr>
        <w:t>de</w:t>
      </w:r>
      <w:r>
        <w:rPr>
          <w:color w:val="231F20"/>
          <w:spacing w:val="-5"/>
          <w:w w:val="110"/>
        </w:rPr>
        <w:t> </w:t>
      </w:r>
      <w:r>
        <w:rPr>
          <w:color w:val="231F20"/>
          <w:w w:val="110"/>
        </w:rPr>
        <w:t>2010),</w:t>
      </w:r>
      <w:r>
        <w:rPr>
          <w:color w:val="231F20"/>
          <w:spacing w:val="-5"/>
          <w:w w:val="110"/>
        </w:rPr>
        <w:t> </w:t>
      </w:r>
      <w:r>
        <w:rPr>
          <w:color w:val="231F20"/>
          <w:w w:val="110"/>
        </w:rPr>
        <w:t>al</w:t>
      </w:r>
      <w:r>
        <w:rPr>
          <w:color w:val="231F20"/>
          <w:spacing w:val="-5"/>
          <w:w w:val="110"/>
        </w:rPr>
        <w:t> </w:t>
      </w:r>
      <w:r>
        <w:rPr>
          <w:color w:val="231F20"/>
          <w:w w:val="110"/>
        </w:rPr>
        <w:t>igual</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participación</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maniobras</w:t>
      </w:r>
      <w:r>
        <w:rPr>
          <w:color w:val="231F20"/>
          <w:spacing w:val="-5"/>
          <w:w w:val="110"/>
        </w:rPr>
        <w:t> </w:t>
      </w:r>
      <w:r>
        <w:rPr>
          <w:color w:val="231F20"/>
          <w:w w:val="110"/>
        </w:rPr>
        <w:t>nava- les unitas Gold-09, organizadas por la Marina de Guerra estaduni- dense en abril de 2009, de destacamentos castrenses de Argentina, Brasil, Canadá, Chile, Colombia, </w:t>
      </w:r>
      <w:r>
        <w:rPr>
          <w:color w:val="231F20"/>
          <w:spacing w:val="-3"/>
          <w:w w:val="110"/>
        </w:rPr>
        <w:t>Ecuador, </w:t>
      </w:r>
      <w:r>
        <w:rPr>
          <w:color w:val="231F20"/>
          <w:w w:val="110"/>
        </w:rPr>
        <w:t>Perú, República Domini- cana y Uruguay, así como, por primera vez en la historia de las</w:t>
      </w:r>
      <w:r>
        <w:rPr>
          <w:color w:val="231F20"/>
          <w:spacing w:val="-12"/>
          <w:w w:val="110"/>
        </w:rPr>
        <w:t> </w:t>
      </w:r>
      <w:r>
        <w:rPr>
          <w:color w:val="231F20"/>
          <w:w w:val="110"/>
        </w:rPr>
        <w:t>rela- ciones militares de ambos países, de más de 350 elementos de la Secretaria</w:t>
      </w:r>
      <w:r>
        <w:rPr>
          <w:color w:val="231F20"/>
          <w:spacing w:val="-8"/>
          <w:w w:val="110"/>
        </w:rPr>
        <w:t> </w:t>
      </w:r>
      <w:r>
        <w:rPr>
          <w:color w:val="231F20"/>
          <w:w w:val="110"/>
        </w:rPr>
        <w:t>de</w:t>
      </w:r>
      <w:r>
        <w:rPr>
          <w:color w:val="231F20"/>
          <w:spacing w:val="-8"/>
          <w:w w:val="110"/>
        </w:rPr>
        <w:t> </w:t>
      </w:r>
      <w:r>
        <w:rPr>
          <w:color w:val="231F20"/>
          <w:w w:val="110"/>
        </w:rPr>
        <w:t>Marina</w:t>
      </w:r>
      <w:r>
        <w:rPr>
          <w:color w:val="231F20"/>
          <w:spacing w:val="-8"/>
          <w:w w:val="110"/>
        </w:rPr>
        <w:t> </w:t>
      </w:r>
      <w:r>
        <w:rPr>
          <w:color w:val="231F20"/>
          <w:w w:val="110"/>
        </w:rPr>
        <w:t>Armada</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w w:val="110"/>
        </w:rPr>
        <w:t>(</w:t>
      </w:r>
      <w:r>
        <w:rPr>
          <w:i/>
          <w:color w:val="231F20"/>
          <w:w w:val="110"/>
        </w:rPr>
        <w:t>La</w:t>
      </w:r>
      <w:r>
        <w:rPr>
          <w:i/>
          <w:color w:val="231F20"/>
          <w:spacing w:val="-8"/>
          <w:w w:val="110"/>
        </w:rPr>
        <w:t> </w:t>
      </w:r>
      <w:r>
        <w:rPr>
          <w:i/>
          <w:color w:val="231F20"/>
          <w:w w:val="110"/>
        </w:rPr>
        <w:t>Jornada,</w:t>
      </w:r>
      <w:r>
        <w:rPr>
          <w:i/>
          <w:color w:val="231F20"/>
          <w:spacing w:val="-8"/>
          <w:w w:val="110"/>
        </w:rPr>
        <w:t> </w:t>
      </w:r>
      <w:r>
        <w:rPr>
          <w:color w:val="231F20"/>
          <w:w w:val="110"/>
        </w:rPr>
        <w:t>2009).</w:t>
      </w:r>
      <w:r>
        <w:rPr>
          <w:color w:val="231F20"/>
          <w:spacing w:val="-8"/>
          <w:w w:val="110"/>
        </w:rPr>
        <w:t> </w:t>
      </w:r>
      <w:r>
        <w:rPr>
          <w:color w:val="231F20"/>
          <w:spacing w:val="-9"/>
          <w:w w:val="110"/>
        </w:rPr>
        <w:t>Y,</w:t>
      </w:r>
      <w:r>
        <w:rPr>
          <w:color w:val="231F20"/>
          <w:spacing w:val="-8"/>
          <w:w w:val="110"/>
        </w:rPr>
        <w:t> </w:t>
      </w:r>
      <w:r>
        <w:rPr>
          <w:color w:val="231F20"/>
          <w:w w:val="110"/>
        </w:rPr>
        <w:t>más recientemente, la presencia de unidades navales o representantes de 16 países latinoamericanos y caribeños (Argentina, Belice, Brasil, Chile,</w:t>
      </w:r>
      <w:r>
        <w:rPr>
          <w:color w:val="231F20"/>
          <w:spacing w:val="-14"/>
          <w:w w:val="110"/>
        </w:rPr>
        <w:t> </w:t>
      </w:r>
      <w:r>
        <w:rPr>
          <w:color w:val="231F20"/>
          <w:w w:val="110"/>
        </w:rPr>
        <w:t>Colombia,</w:t>
      </w:r>
      <w:r>
        <w:rPr>
          <w:color w:val="231F20"/>
          <w:spacing w:val="-14"/>
          <w:w w:val="110"/>
        </w:rPr>
        <w:t> </w:t>
      </w:r>
      <w:r>
        <w:rPr>
          <w:color w:val="231F20"/>
          <w:spacing w:val="-3"/>
          <w:w w:val="110"/>
        </w:rPr>
        <w:t>Ecuador,</w:t>
      </w:r>
      <w:r>
        <w:rPr>
          <w:color w:val="231F20"/>
          <w:spacing w:val="-14"/>
          <w:w w:val="110"/>
        </w:rPr>
        <w:t> </w:t>
      </w:r>
      <w:r>
        <w:rPr>
          <w:color w:val="231F20"/>
          <w:w w:val="110"/>
        </w:rPr>
        <w:t>El</w:t>
      </w:r>
      <w:r>
        <w:rPr>
          <w:color w:val="231F20"/>
          <w:spacing w:val="-14"/>
          <w:w w:val="110"/>
        </w:rPr>
        <w:t> </w:t>
      </w:r>
      <w:r>
        <w:rPr>
          <w:color w:val="231F20"/>
          <w:w w:val="110"/>
        </w:rPr>
        <w:t>Salvador,</w:t>
      </w:r>
      <w:r>
        <w:rPr>
          <w:color w:val="231F20"/>
          <w:spacing w:val="-14"/>
          <w:w w:val="110"/>
        </w:rPr>
        <w:t> </w:t>
      </w:r>
      <w:r>
        <w:rPr>
          <w:color w:val="231F20"/>
          <w:w w:val="110"/>
        </w:rPr>
        <w:t>Guatemala,</w:t>
      </w:r>
      <w:r>
        <w:rPr>
          <w:color w:val="231F20"/>
          <w:spacing w:val="-14"/>
          <w:w w:val="110"/>
        </w:rPr>
        <w:t> </w:t>
      </w:r>
      <w:r>
        <w:rPr>
          <w:color w:val="231F20"/>
          <w:w w:val="110"/>
        </w:rPr>
        <w:t>Honduras,</w:t>
      </w:r>
      <w:r>
        <w:rPr>
          <w:color w:val="231F20"/>
          <w:spacing w:val="-14"/>
          <w:w w:val="110"/>
        </w:rPr>
        <w:t> </w:t>
      </w:r>
      <w:r>
        <w:rPr>
          <w:color w:val="231F20"/>
          <w:w w:val="110"/>
        </w:rPr>
        <w:t>Méxi- co, Nicaragua, Panamá, Paraguay, Perú, República Dominicana y Uruguay), al igual que de Canadá en el ejercicio panamax, organi- zado entre el 18 al 26 de agosto del 2010 por el southcom y por la Segunda Flota de la Marina de Guerra estadunidense, con el propó- sito declarado de “mejorar las capacidades terrestres, navales,</w:t>
      </w:r>
      <w:r>
        <w:rPr>
          <w:color w:val="231F20"/>
          <w:spacing w:val="-35"/>
          <w:w w:val="110"/>
        </w:rPr>
        <w:t> </w:t>
      </w:r>
      <w:r>
        <w:rPr>
          <w:color w:val="231F20"/>
          <w:w w:val="110"/>
        </w:rPr>
        <w:t>aéreas y de fuerzas especiales de las naciones participantes para responder a posibles amenazas al Canal de Panamá y planear asistencia huma- nitaria en caso de desastre” (afp, </w:t>
      </w:r>
      <w:r>
        <w:rPr>
          <w:color w:val="231F20"/>
          <w:spacing w:val="4"/>
          <w:w w:val="110"/>
        </w:rPr>
        <w:t> </w:t>
      </w:r>
      <w:r>
        <w:rPr>
          <w:color w:val="231F20"/>
          <w:w w:val="110"/>
        </w:rPr>
        <w:t>2010).</w:t>
      </w:r>
    </w:p>
    <w:p>
      <w:pPr>
        <w:pStyle w:val="BodyText"/>
        <w:spacing w:line="261" w:lineRule="auto"/>
        <w:ind w:left="100" w:right="113" w:firstLine="240"/>
        <w:jc w:val="both"/>
      </w:pPr>
      <w:r>
        <w:rPr>
          <w:color w:val="231F20"/>
          <w:w w:val="110"/>
        </w:rPr>
        <w:t>Hay que destacar que estas últimas maniobras fueron antecedidas por la ocupación militar y por el virtual “protectorado” establecido en Haití por parte del gobierno de Estados Unidos, nuevamente con el apoyo del antidemocrático Consejo de Seguridad de la onu y de las</w:t>
      </w:r>
      <w:r>
        <w:rPr>
          <w:color w:val="231F20"/>
          <w:spacing w:val="-6"/>
          <w:w w:val="110"/>
        </w:rPr>
        <w:t> </w:t>
      </w:r>
      <w:r>
        <w:rPr>
          <w:color w:val="231F20"/>
          <w:w w:val="110"/>
        </w:rPr>
        <w:t>fuerzas</w:t>
      </w:r>
      <w:r>
        <w:rPr>
          <w:color w:val="231F20"/>
          <w:spacing w:val="-6"/>
          <w:w w:val="110"/>
        </w:rPr>
        <w:t> </w:t>
      </w:r>
      <w:r>
        <w:rPr>
          <w:color w:val="231F20"/>
          <w:w w:val="110"/>
        </w:rPr>
        <w:t>armadas</w:t>
      </w:r>
      <w:r>
        <w:rPr>
          <w:color w:val="231F20"/>
          <w:spacing w:val="-6"/>
          <w:w w:val="110"/>
        </w:rPr>
        <w:t> </w:t>
      </w:r>
      <w:r>
        <w:rPr>
          <w:color w:val="231F20"/>
          <w:w w:val="110"/>
        </w:rPr>
        <w:t>y</w:t>
      </w:r>
      <w:r>
        <w:rPr>
          <w:color w:val="231F20"/>
          <w:spacing w:val="-6"/>
          <w:w w:val="110"/>
        </w:rPr>
        <w:t> </w:t>
      </w:r>
      <w:r>
        <w:rPr>
          <w:color w:val="231F20"/>
          <w:w w:val="110"/>
        </w:rPr>
        <w:t>policiales</w:t>
      </w:r>
      <w:r>
        <w:rPr>
          <w:color w:val="231F20"/>
          <w:spacing w:val="-6"/>
          <w:w w:val="110"/>
        </w:rPr>
        <w:t> </w:t>
      </w:r>
      <w:r>
        <w:rPr>
          <w:color w:val="231F20"/>
          <w:w w:val="110"/>
        </w:rPr>
        <w:t>de</w:t>
      </w:r>
      <w:r>
        <w:rPr>
          <w:color w:val="231F20"/>
          <w:spacing w:val="-6"/>
          <w:w w:val="110"/>
        </w:rPr>
        <w:t> </w:t>
      </w:r>
      <w:r>
        <w:rPr>
          <w:color w:val="231F20"/>
          <w:w w:val="110"/>
        </w:rPr>
        <w:t>todos</w:t>
      </w:r>
      <w:r>
        <w:rPr>
          <w:color w:val="231F20"/>
          <w:spacing w:val="-6"/>
          <w:w w:val="110"/>
        </w:rPr>
        <w:t> </w:t>
      </w:r>
      <w:r>
        <w:rPr>
          <w:color w:val="231F20"/>
          <w:w w:val="110"/>
        </w:rPr>
        <w:t>los</w:t>
      </w:r>
      <w:r>
        <w:rPr>
          <w:color w:val="231F20"/>
          <w:spacing w:val="-6"/>
          <w:w w:val="110"/>
        </w:rPr>
        <w:t> </w:t>
      </w:r>
      <w:r>
        <w:rPr>
          <w:color w:val="231F20"/>
          <w:w w:val="110"/>
        </w:rPr>
        <w:t>países</w:t>
      </w:r>
      <w:r>
        <w:rPr>
          <w:color w:val="231F20"/>
          <w:spacing w:val="-6"/>
          <w:w w:val="110"/>
        </w:rPr>
        <w:t> </w:t>
      </w:r>
      <w:r>
        <w:rPr>
          <w:color w:val="231F20"/>
          <w:w w:val="110"/>
        </w:rPr>
        <w:t>latinoamericanos y caribeños que integran la cada vez más mal llamada Misión de las Naciones Unidas para la Estabilización de Haití (minustah) (García Lorenzo, 2010). Como se sabe, a diferencia de las intervenciones emprendidas</w:t>
      </w:r>
      <w:r>
        <w:rPr>
          <w:color w:val="231F20"/>
          <w:spacing w:val="-21"/>
          <w:w w:val="110"/>
        </w:rPr>
        <w:t> </w:t>
      </w:r>
      <w:r>
        <w:rPr>
          <w:color w:val="231F20"/>
          <w:w w:val="110"/>
        </w:rPr>
        <w:t>por</w:t>
      </w:r>
      <w:r>
        <w:rPr>
          <w:color w:val="231F20"/>
          <w:spacing w:val="-21"/>
          <w:w w:val="110"/>
        </w:rPr>
        <w:t> </w:t>
      </w:r>
      <w:r>
        <w:rPr>
          <w:color w:val="231F20"/>
          <w:w w:val="110"/>
        </w:rPr>
        <w:t>William</w:t>
      </w:r>
      <w:r>
        <w:rPr>
          <w:color w:val="231F20"/>
          <w:spacing w:val="-21"/>
          <w:w w:val="110"/>
        </w:rPr>
        <w:t> </w:t>
      </w:r>
      <w:r>
        <w:rPr>
          <w:color w:val="231F20"/>
          <w:w w:val="110"/>
        </w:rPr>
        <w:t>Clinton</w:t>
      </w:r>
      <w:r>
        <w:rPr>
          <w:color w:val="231F20"/>
          <w:spacing w:val="-21"/>
          <w:w w:val="110"/>
        </w:rPr>
        <w:t> </w:t>
      </w:r>
      <w:r>
        <w:rPr>
          <w:color w:val="231F20"/>
          <w:w w:val="110"/>
        </w:rPr>
        <w:t>en</w:t>
      </w:r>
      <w:r>
        <w:rPr>
          <w:color w:val="231F20"/>
          <w:spacing w:val="-21"/>
          <w:w w:val="110"/>
        </w:rPr>
        <w:t> </w:t>
      </w:r>
      <w:r>
        <w:rPr>
          <w:color w:val="231F20"/>
          <w:w w:val="110"/>
        </w:rPr>
        <w:t>1994</w:t>
      </w:r>
      <w:r>
        <w:rPr>
          <w:color w:val="231F20"/>
          <w:spacing w:val="-21"/>
          <w:w w:val="110"/>
        </w:rPr>
        <w:t> </w:t>
      </w:r>
      <w:r>
        <w:rPr>
          <w:color w:val="231F20"/>
          <w:w w:val="110"/>
        </w:rPr>
        <w:t>y</w:t>
      </w:r>
      <w:r>
        <w:rPr>
          <w:color w:val="231F20"/>
          <w:spacing w:val="-21"/>
          <w:w w:val="110"/>
        </w:rPr>
        <w:t> </w:t>
      </w:r>
      <w:r>
        <w:rPr>
          <w:color w:val="231F20"/>
          <w:w w:val="110"/>
        </w:rPr>
        <w:t>George</w:t>
      </w:r>
      <w:r>
        <w:rPr>
          <w:color w:val="231F20"/>
          <w:spacing w:val="-21"/>
          <w:w w:val="110"/>
        </w:rPr>
        <w:t> </w:t>
      </w:r>
      <w:r>
        <w:rPr>
          <w:color w:val="231F20"/>
          <w:spacing w:val="-6"/>
          <w:w w:val="110"/>
        </w:rPr>
        <w:t>W.</w:t>
      </w:r>
      <w:r>
        <w:rPr>
          <w:color w:val="231F20"/>
          <w:spacing w:val="-21"/>
          <w:w w:val="110"/>
        </w:rPr>
        <w:t> </w:t>
      </w:r>
      <w:r>
        <w:rPr>
          <w:color w:val="231F20"/>
          <w:w w:val="110"/>
        </w:rPr>
        <w:t>Bush</w:t>
      </w:r>
      <w:r>
        <w:rPr>
          <w:color w:val="231F20"/>
          <w:spacing w:val="-21"/>
          <w:w w:val="110"/>
        </w:rPr>
        <w:t> </w:t>
      </w:r>
      <w:r>
        <w:rPr>
          <w:color w:val="231F20"/>
          <w:w w:val="110"/>
        </w:rPr>
        <w:t>en</w:t>
      </w:r>
      <w:r>
        <w:rPr>
          <w:color w:val="231F20"/>
          <w:spacing w:val="-21"/>
          <w:w w:val="110"/>
        </w:rPr>
        <w:t> </w:t>
      </w:r>
      <w:r>
        <w:rPr>
          <w:color w:val="231F20"/>
          <w:w w:val="110"/>
        </w:rPr>
        <w:t>2004,</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la administración de Obama tomó como pretexto la profunda crisis humanitaria que se produjo en Haití como consecuencia del devas- tador sismo del 12 de enero de 2010, “la incapacidad” del gobierno presidido</w:t>
      </w:r>
      <w:r>
        <w:rPr>
          <w:color w:val="231F20"/>
          <w:spacing w:val="-5"/>
          <w:w w:val="110"/>
        </w:rPr>
        <w:t> </w:t>
      </w:r>
      <w:r>
        <w:rPr>
          <w:color w:val="231F20"/>
          <w:w w:val="110"/>
        </w:rPr>
        <w:t>por</w:t>
      </w:r>
      <w:r>
        <w:rPr>
          <w:color w:val="231F20"/>
          <w:spacing w:val="-5"/>
          <w:w w:val="110"/>
        </w:rPr>
        <w:t> </w:t>
      </w:r>
      <w:r>
        <w:rPr>
          <w:color w:val="231F20"/>
          <w:w w:val="110"/>
        </w:rPr>
        <w:t>René</w:t>
      </w:r>
      <w:r>
        <w:rPr>
          <w:color w:val="231F20"/>
          <w:spacing w:val="-5"/>
          <w:w w:val="110"/>
        </w:rPr>
        <w:t> </w:t>
      </w:r>
      <w:r>
        <w:rPr>
          <w:color w:val="231F20"/>
          <w:w w:val="110"/>
        </w:rPr>
        <w:t>Préval</w:t>
      </w:r>
      <w:r>
        <w:rPr>
          <w:color w:val="231F20"/>
          <w:spacing w:val="-5"/>
          <w:w w:val="110"/>
        </w:rPr>
        <w:t> </w:t>
      </w:r>
      <w:r>
        <w:rPr>
          <w:color w:val="231F20"/>
          <w:w w:val="110"/>
        </w:rPr>
        <w:t>para</w:t>
      </w:r>
      <w:r>
        <w:rPr>
          <w:color w:val="231F20"/>
          <w:spacing w:val="-5"/>
          <w:w w:val="110"/>
        </w:rPr>
        <w:t> </w:t>
      </w:r>
      <w:r>
        <w:rPr>
          <w:color w:val="231F20"/>
          <w:w w:val="110"/>
        </w:rPr>
        <w:t>garantizar</w:t>
      </w:r>
      <w:r>
        <w:rPr>
          <w:color w:val="231F20"/>
          <w:spacing w:val="-5"/>
          <w:w w:val="110"/>
        </w:rPr>
        <w:t> </w:t>
      </w:r>
      <w:r>
        <w:rPr>
          <w:color w:val="231F20"/>
          <w:w w:val="110"/>
        </w:rPr>
        <w:t>“la</w:t>
      </w:r>
      <w:r>
        <w:rPr>
          <w:color w:val="231F20"/>
          <w:spacing w:val="-5"/>
          <w:w w:val="110"/>
        </w:rPr>
        <w:t> </w:t>
      </w:r>
      <w:r>
        <w:rPr>
          <w:color w:val="231F20"/>
          <w:w w:val="110"/>
        </w:rPr>
        <w:t>gobernabilidad”</w:t>
      </w:r>
      <w:r>
        <w:rPr>
          <w:color w:val="231F20"/>
          <w:spacing w:val="-5"/>
          <w:w w:val="110"/>
        </w:rPr>
        <w:t> </w:t>
      </w:r>
      <w:r>
        <w:rPr>
          <w:color w:val="231F20"/>
          <w:w w:val="110"/>
        </w:rPr>
        <w:t>de</w:t>
      </w:r>
      <w:r>
        <w:rPr>
          <w:color w:val="231F20"/>
          <w:spacing w:val="-5"/>
          <w:w w:val="110"/>
        </w:rPr>
        <w:t> </w:t>
      </w:r>
      <w:r>
        <w:rPr>
          <w:color w:val="231F20"/>
          <w:w w:val="110"/>
        </w:rPr>
        <w:t>ese país</w:t>
      </w:r>
      <w:r>
        <w:rPr>
          <w:color w:val="231F20"/>
          <w:spacing w:val="-7"/>
          <w:w w:val="110"/>
        </w:rPr>
        <w:t> </w:t>
      </w:r>
      <w:r>
        <w:rPr>
          <w:color w:val="231F20"/>
          <w:w w:val="110"/>
        </w:rPr>
        <w:t>y</w:t>
      </w:r>
      <w:r>
        <w:rPr>
          <w:color w:val="231F20"/>
          <w:spacing w:val="-7"/>
          <w:w w:val="110"/>
        </w:rPr>
        <w:t> </w:t>
      </w:r>
      <w:r>
        <w:rPr>
          <w:color w:val="231F20"/>
          <w:w w:val="110"/>
        </w:rPr>
        <w:t>las</w:t>
      </w:r>
      <w:r>
        <w:rPr>
          <w:color w:val="231F20"/>
          <w:spacing w:val="-7"/>
          <w:w w:val="110"/>
        </w:rPr>
        <w:t> </w:t>
      </w:r>
      <w:r>
        <w:rPr>
          <w:color w:val="231F20"/>
          <w:w w:val="110"/>
        </w:rPr>
        <w:t>tareas</w:t>
      </w:r>
      <w:r>
        <w:rPr>
          <w:color w:val="231F20"/>
          <w:spacing w:val="-7"/>
          <w:w w:val="110"/>
        </w:rPr>
        <w:t> </w:t>
      </w:r>
      <w:r>
        <w:rPr>
          <w:color w:val="231F20"/>
          <w:w w:val="110"/>
        </w:rPr>
        <w:t>dirigidas</w:t>
      </w:r>
      <w:r>
        <w:rPr>
          <w:color w:val="231F20"/>
          <w:spacing w:val="-7"/>
          <w:w w:val="110"/>
        </w:rPr>
        <w:t> </w:t>
      </w:r>
      <w:r>
        <w:rPr>
          <w:color w:val="231F20"/>
          <w:w w:val="110"/>
        </w:rPr>
        <w:t>a</w:t>
      </w:r>
      <w:r>
        <w:rPr>
          <w:color w:val="231F20"/>
          <w:spacing w:val="-7"/>
          <w:w w:val="110"/>
        </w:rPr>
        <w:t> </w:t>
      </w:r>
      <w:r>
        <w:rPr>
          <w:color w:val="231F20"/>
          <w:w w:val="110"/>
        </w:rPr>
        <w:t>su</w:t>
      </w:r>
      <w:r>
        <w:rPr>
          <w:color w:val="231F20"/>
          <w:spacing w:val="-7"/>
          <w:w w:val="110"/>
        </w:rPr>
        <w:t> </w:t>
      </w:r>
      <w:r>
        <w:rPr>
          <w:color w:val="231F20"/>
          <w:w w:val="110"/>
        </w:rPr>
        <w:t>“reconstrucción”.</w:t>
      </w:r>
    </w:p>
    <w:p>
      <w:pPr>
        <w:pStyle w:val="BodyText"/>
        <w:spacing w:line="261" w:lineRule="auto"/>
        <w:ind w:left="100" w:right="117" w:firstLine="240"/>
        <w:jc w:val="both"/>
      </w:pPr>
      <w:r>
        <w:rPr>
          <w:color w:val="231F20"/>
          <w:w w:val="110"/>
        </w:rPr>
        <w:t>Como ha venido demostrando el Observatorio Latinoamericano de</w:t>
      </w:r>
      <w:r>
        <w:rPr>
          <w:color w:val="231F20"/>
          <w:spacing w:val="-11"/>
          <w:w w:val="110"/>
        </w:rPr>
        <w:t> </w:t>
      </w:r>
      <w:r>
        <w:rPr>
          <w:color w:val="231F20"/>
          <w:w w:val="110"/>
        </w:rPr>
        <w:t>Geopolítica,</w:t>
      </w:r>
      <w:r>
        <w:rPr>
          <w:color w:val="231F20"/>
          <w:spacing w:val="-11"/>
          <w:w w:val="110"/>
        </w:rPr>
        <w:t> </w:t>
      </w:r>
      <w:r>
        <w:rPr>
          <w:color w:val="231F20"/>
          <w:w w:val="110"/>
        </w:rPr>
        <w:t>las</w:t>
      </w:r>
      <w:r>
        <w:rPr>
          <w:color w:val="231F20"/>
          <w:spacing w:val="-11"/>
          <w:w w:val="110"/>
        </w:rPr>
        <w:t> </w:t>
      </w:r>
      <w:r>
        <w:rPr>
          <w:color w:val="231F20"/>
          <w:w w:val="110"/>
        </w:rPr>
        <w:t>voluminosas</w:t>
      </w:r>
      <w:r>
        <w:rPr>
          <w:color w:val="231F20"/>
          <w:spacing w:val="-11"/>
          <w:w w:val="110"/>
        </w:rPr>
        <w:t> </w:t>
      </w:r>
      <w:r>
        <w:rPr>
          <w:color w:val="231F20"/>
          <w:w w:val="110"/>
        </w:rPr>
        <w:t>fuerzas</w:t>
      </w:r>
      <w:r>
        <w:rPr>
          <w:color w:val="231F20"/>
          <w:spacing w:val="-11"/>
          <w:w w:val="110"/>
        </w:rPr>
        <w:t> </w:t>
      </w:r>
      <w:r>
        <w:rPr>
          <w:color w:val="231F20"/>
          <w:w w:val="110"/>
        </w:rPr>
        <w:t>militares</w:t>
      </w:r>
      <w:r>
        <w:rPr>
          <w:color w:val="231F20"/>
          <w:spacing w:val="-11"/>
          <w:w w:val="110"/>
        </w:rPr>
        <w:t> </w:t>
      </w:r>
      <w:r>
        <w:rPr>
          <w:color w:val="231F20"/>
          <w:w w:val="110"/>
        </w:rPr>
        <w:t>estadunidenses</w:t>
      </w:r>
      <w:r>
        <w:rPr>
          <w:color w:val="231F20"/>
          <w:spacing w:val="-11"/>
          <w:w w:val="110"/>
        </w:rPr>
        <w:t> </w:t>
      </w:r>
      <w:r>
        <w:rPr>
          <w:color w:val="231F20"/>
          <w:w w:val="110"/>
        </w:rPr>
        <w:t>que rodean a ese empobrecido y devastado país caribeño se “triangulan” con</w:t>
      </w:r>
      <w:r>
        <w:rPr>
          <w:color w:val="231F20"/>
          <w:spacing w:val="-14"/>
          <w:w w:val="110"/>
        </w:rPr>
        <w:t> </w:t>
      </w:r>
      <w:r>
        <w:rPr>
          <w:color w:val="231F20"/>
          <w:w w:val="110"/>
        </w:rPr>
        <w:t>todas</w:t>
      </w:r>
      <w:r>
        <w:rPr>
          <w:color w:val="231F20"/>
          <w:spacing w:val="-14"/>
          <w:w w:val="110"/>
        </w:rPr>
        <w:t> </w:t>
      </w:r>
      <w:r>
        <w:rPr>
          <w:color w:val="231F20"/>
          <w:w w:val="110"/>
        </w:rPr>
        <w:t>las</w:t>
      </w:r>
      <w:r>
        <w:rPr>
          <w:color w:val="231F20"/>
          <w:spacing w:val="-14"/>
          <w:w w:val="110"/>
        </w:rPr>
        <w:t> </w:t>
      </w:r>
      <w:r>
        <w:rPr>
          <w:color w:val="231F20"/>
          <w:w w:val="110"/>
        </w:rPr>
        <w:t>capacidades</w:t>
      </w:r>
      <w:r>
        <w:rPr>
          <w:color w:val="231F20"/>
          <w:spacing w:val="-14"/>
          <w:w w:val="110"/>
        </w:rPr>
        <w:t> </w:t>
      </w:r>
      <w:r>
        <w:rPr>
          <w:color w:val="231F20"/>
          <w:w w:val="110"/>
        </w:rPr>
        <w:t>que</w:t>
      </w:r>
      <w:r>
        <w:rPr>
          <w:color w:val="231F20"/>
          <w:spacing w:val="-14"/>
          <w:w w:val="110"/>
        </w:rPr>
        <w:t> </w:t>
      </w:r>
      <w:r>
        <w:rPr>
          <w:color w:val="231F20"/>
          <w:w w:val="110"/>
        </w:rPr>
        <w:t>éstas</w:t>
      </w:r>
      <w:r>
        <w:rPr>
          <w:color w:val="231F20"/>
          <w:spacing w:val="-14"/>
          <w:w w:val="110"/>
        </w:rPr>
        <w:t> </w:t>
      </w:r>
      <w:r>
        <w:rPr>
          <w:color w:val="231F20"/>
          <w:w w:val="110"/>
        </w:rPr>
        <w:t>conservan</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mal</w:t>
      </w:r>
      <w:r>
        <w:rPr>
          <w:color w:val="231F20"/>
          <w:spacing w:val="-14"/>
          <w:w w:val="110"/>
        </w:rPr>
        <w:t> </w:t>
      </w:r>
      <w:r>
        <w:rPr>
          <w:color w:val="231F20"/>
          <w:w w:val="110"/>
        </w:rPr>
        <w:t>llamada</w:t>
      </w:r>
      <w:r>
        <w:rPr>
          <w:color w:val="231F20"/>
          <w:spacing w:val="-14"/>
          <w:w w:val="110"/>
        </w:rPr>
        <w:t> </w:t>
      </w:r>
      <w:r>
        <w:rPr>
          <w:color w:val="231F20"/>
          <w:w w:val="110"/>
        </w:rPr>
        <w:t>Base Naval</w:t>
      </w:r>
      <w:r>
        <w:rPr>
          <w:color w:val="231F20"/>
          <w:spacing w:val="-11"/>
          <w:w w:val="110"/>
        </w:rPr>
        <w:t> </w:t>
      </w:r>
      <w:r>
        <w:rPr>
          <w:color w:val="231F20"/>
          <w:w w:val="110"/>
        </w:rPr>
        <w:t>de</w:t>
      </w:r>
      <w:r>
        <w:rPr>
          <w:color w:val="231F20"/>
          <w:spacing w:val="-11"/>
          <w:w w:val="110"/>
        </w:rPr>
        <w:t> </w:t>
      </w:r>
      <w:r>
        <w:rPr>
          <w:color w:val="231F20"/>
          <w:w w:val="110"/>
        </w:rPr>
        <w:t>Guantánamo,</w:t>
      </w:r>
      <w:r>
        <w:rPr>
          <w:color w:val="231F20"/>
          <w:spacing w:val="-11"/>
          <w:w w:val="110"/>
        </w:rPr>
        <w:t> </w:t>
      </w:r>
      <w:r>
        <w:rPr>
          <w:color w:val="231F20"/>
          <w:w w:val="110"/>
        </w:rPr>
        <w:t>Cuba,</w:t>
      </w:r>
      <w:r>
        <w:rPr>
          <w:color w:val="231F20"/>
          <w:spacing w:val="-11"/>
          <w:w w:val="110"/>
        </w:rPr>
        <w:t> </w:t>
      </w:r>
      <w:r>
        <w:rPr>
          <w:color w:val="231F20"/>
          <w:w w:val="110"/>
        </w:rPr>
        <w:t>al</w:t>
      </w:r>
      <w:r>
        <w:rPr>
          <w:color w:val="231F20"/>
          <w:spacing w:val="-11"/>
          <w:w w:val="110"/>
        </w:rPr>
        <w:t> </w:t>
      </w:r>
      <w:r>
        <w:rPr>
          <w:color w:val="231F20"/>
          <w:w w:val="110"/>
        </w:rPr>
        <w:t>igual</w:t>
      </w:r>
      <w:r>
        <w:rPr>
          <w:color w:val="231F20"/>
          <w:spacing w:val="-11"/>
          <w:w w:val="110"/>
        </w:rPr>
        <w:t> </w:t>
      </w:r>
      <w:r>
        <w:rPr>
          <w:color w:val="231F20"/>
          <w:w w:val="110"/>
        </w:rPr>
        <w:t>que</w:t>
      </w:r>
      <w:r>
        <w:rPr>
          <w:color w:val="231F20"/>
          <w:spacing w:val="-11"/>
          <w:w w:val="110"/>
        </w:rPr>
        <w:t> </w:t>
      </w:r>
      <w:r>
        <w:rPr>
          <w:color w:val="231F20"/>
          <w:w w:val="110"/>
        </w:rPr>
        <w:t>con</w:t>
      </w:r>
      <w:r>
        <w:rPr>
          <w:color w:val="231F20"/>
          <w:spacing w:val="-11"/>
          <w:w w:val="110"/>
        </w:rPr>
        <w:t> </w:t>
      </w:r>
      <w:r>
        <w:rPr>
          <w:color w:val="231F20"/>
          <w:w w:val="110"/>
        </w:rPr>
        <w:t>los</w:t>
      </w:r>
      <w:r>
        <w:rPr>
          <w:color w:val="231F20"/>
          <w:spacing w:val="-11"/>
          <w:w w:val="110"/>
        </w:rPr>
        <w:t> </w:t>
      </w:r>
      <w:r>
        <w:rPr>
          <w:color w:val="231F20"/>
          <w:w w:val="110"/>
        </w:rPr>
        <w:t>mandos</w:t>
      </w:r>
      <w:r>
        <w:rPr>
          <w:color w:val="231F20"/>
          <w:spacing w:val="-11"/>
          <w:w w:val="110"/>
        </w:rPr>
        <w:t> </w:t>
      </w:r>
      <w:r>
        <w:rPr>
          <w:color w:val="231F20"/>
          <w:w w:val="110"/>
        </w:rPr>
        <w:t>y</w:t>
      </w:r>
      <w:r>
        <w:rPr>
          <w:color w:val="231F20"/>
          <w:spacing w:val="-11"/>
          <w:w w:val="110"/>
        </w:rPr>
        <w:t> </w:t>
      </w:r>
      <w:r>
        <w:rPr>
          <w:color w:val="231F20"/>
          <w:w w:val="110"/>
        </w:rPr>
        <w:t>efectivos del Comando Norte (northcom), fundado en 2002 y encargado de “la defensa” de Canadá, Estados Unidos, México, Bahamas, Cuba, Islas</w:t>
      </w:r>
      <w:r>
        <w:rPr>
          <w:color w:val="231F20"/>
          <w:spacing w:val="-15"/>
          <w:w w:val="110"/>
        </w:rPr>
        <w:t> </w:t>
      </w:r>
      <w:r>
        <w:rPr>
          <w:color w:val="231F20"/>
          <w:w w:val="110"/>
        </w:rPr>
        <w:t>Vírgenes</w:t>
      </w:r>
      <w:r>
        <w:rPr>
          <w:color w:val="231F20"/>
          <w:spacing w:val="-15"/>
          <w:w w:val="110"/>
        </w:rPr>
        <w:t> </w:t>
      </w:r>
      <w:r>
        <w:rPr>
          <w:color w:val="231F20"/>
          <w:w w:val="110"/>
        </w:rPr>
        <w:t>y</w:t>
      </w:r>
      <w:r>
        <w:rPr>
          <w:color w:val="231F20"/>
          <w:spacing w:val="-15"/>
          <w:w w:val="110"/>
        </w:rPr>
        <w:t> </w:t>
      </w:r>
      <w:r>
        <w:rPr>
          <w:color w:val="231F20"/>
          <w:w w:val="110"/>
        </w:rPr>
        <w:t>Puerto</w:t>
      </w:r>
      <w:r>
        <w:rPr>
          <w:color w:val="231F20"/>
          <w:spacing w:val="-15"/>
          <w:w w:val="110"/>
        </w:rPr>
        <w:t> </w:t>
      </w:r>
      <w:r>
        <w:rPr>
          <w:color w:val="231F20"/>
          <w:w w:val="110"/>
        </w:rPr>
        <w:t>Rico,</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Cuarta</w:t>
      </w:r>
      <w:r>
        <w:rPr>
          <w:color w:val="231F20"/>
          <w:spacing w:val="-15"/>
          <w:w w:val="110"/>
        </w:rPr>
        <w:t> </w:t>
      </w:r>
      <w:r>
        <w:rPr>
          <w:color w:val="231F20"/>
          <w:w w:val="110"/>
        </w:rPr>
        <w:t>Flota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marina de guerra estadunidense (Ceceña </w:t>
      </w:r>
      <w:r>
        <w:rPr>
          <w:i/>
          <w:color w:val="231F20"/>
          <w:w w:val="110"/>
        </w:rPr>
        <w:t>et al.</w:t>
      </w:r>
      <w:r>
        <w:rPr>
          <w:color w:val="231F20"/>
          <w:w w:val="110"/>
        </w:rPr>
        <w:t>, 2010a). Como se recordará, esa flota fue reactivada en 2008 por la administración de George </w:t>
      </w:r>
      <w:r>
        <w:rPr>
          <w:color w:val="231F20"/>
          <w:spacing w:val="-6"/>
          <w:w w:val="110"/>
        </w:rPr>
        <w:t>W. </w:t>
      </w:r>
      <w:r>
        <w:rPr>
          <w:color w:val="231F20"/>
          <w:w w:val="110"/>
        </w:rPr>
        <w:t>Bush</w:t>
      </w:r>
      <w:r>
        <w:rPr>
          <w:color w:val="231F20"/>
          <w:spacing w:val="-11"/>
          <w:w w:val="110"/>
        </w:rPr>
        <w:t> </w:t>
      </w:r>
      <w:r>
        <w:rPr>
          <w:color w:val="231F20"/>
          <w:w w:val="110"/>
        </w:rPr>
        <w:t>con</w:t>
      </w:r>
      <w:r>
        <w:rPr>
          <w:color w:val="231F20"/>
          <w:spacing w:val="-11"/>
          <w:w w:val="110"/>
        </w:rPr>
        <w:t> </w:t>
      </w:r>
      <w:r>
        <w:rPr>
          <w:color w:val="231F20"/>
          <w:w w:val="110"/>
        </w:rPr>
        <w:t>misiones</w:t>
      </w:r>
      <w:r>
        <w:rPr>
          <w:color w:val="231F20"/>
          <w:spacing w:val="-11"/>
          <w:w w:val="110"/>
        </w:rPr>
        <w:t> </w:t>
      </w:r>
      <w:r>
        <w:rPr>
          <w:color w:val="231F20"/>
          <w:w w:val="110"/>
        </w:rPr>
        <w:t>de</w:t>
      </w:r>
      <w:r>
        <w:rPr>
          <w:color w:val="231F20"/>
          <w:spacing w:val="-11"/>
          <w:w w:val="110"/>
        </w:rPr>
        <w:t> </w:t>
      </w:r>
      <w:r>
        <w:rPr>
          <w:color w:val="231F20"/>
          <w:w w:val="110"/>
        </w:rPr>
        <w:t>vigilancia</w:t>
      </w:r>
      <w:r>
        <w:rPr>
          <w:color w:val="231F20"/>
          <w:spacing w:val="-11"/>
          <w:w w:val="110"/>
        </w:rPr>
        <w:t> </w:t>
      </w:r>
      <w:r>
        <w:rPr>
          <w:color w:val="231F20"/>
          <w:w w:val="110"/>
        </w:rPr>
        <w:t>y</w:t>
      </w:r>
      <w:r>
        <w:rPr>
          <w:color w:val="231F20"/>
          <w:spacing w:val="-11"/>
          <w:w w:val="110"/>
        </w:rPr>
        <w:t> </w:t>
      </w:r>
      <w:r>
        <w:rPr>
          <w:color w:val="231F20"/>
          <w:w w:val="110"/>
        </w:rPr>
        <w:t>“protección”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“aguas</w:t>
      </w:r>
      <w:r>
        <w:rPr>
          <w:color w:val="231F20"/>
          <w:spacing w:val="-11"/>
          <w:w w:val="110"/>
        </w:rPr>
        <w:t> </w:t>
      </w:r>
      <w:r>
        <w:rPr>
          <w:color w:val="231F20"/>
          <w:w w:val="110"/>
        </w:rPr>
        <w:t>azules” (océanos), “aguas verdes” (litorales) y “aguas marrones” (fluviales) que, orientadas de Norte a </w:t>
      </w:r>
      <w:r>
        <w:rPr>
          <w:color w:val="231F20"/>
          <w:spacing w:val="-5"/>
          <w:w w:val="110"/>
        </w:rPr>
        <w:t>Sur, </w:t>
      </w:r>
      <w:r>
        <w:rPr>
          <w:color w:val="231F20"/>
          <w:w w:val="110"/>
        </w:rPr>
        <w:t>bañan a las Bahamas, a la costa</w:t>
      </w:r>
      <w:r>
        <w:rPr>
          <w:color w:val="231F20"/>
          <w:spacing w:val="-31"/>
          <w:w w:val="110"/>
        </w:rPr>
        <w:t> </w:t>
      </w:r>
      <w:r>
        <w:rPr>
          <w:color w:val="231F20"/>
          <w:w w:val="110"/>
        </w:rPr>
        <w:t>norte u</w:t>
      </w:r>
      <w:r>
        <w:rPr>
          <w:color w:val="231F20"/>
          <w:spacing w:val="-11"/>
          <w:w w:val="110"/>
        </w:rPr>
        <w:t> </w:t>
      </w:r>
      <w:r>
        <w:rPr>
          <w:color w:val="231F20"/>
          <w:w w:val="110"/>
        </w:rPr>
        <w:t>oriental,</w:t>
      </w:r>
      <w:r>
        <w:rPr>
          <w:color w:val="231F20"/>
          <w:spacing w:val="-11"/>
          <w:w w:val="110"/>
        </w:rPr>
        <w:t> </w:t>
      </w:r>
      <w:r>
        <w:rPr>
          <w:color w:val="231F20"/>
          <w:w w:val="110"/>
        </w:rPr>
        <w:t>según</w:t>
      </w:r>
      <w:r>
        <w:rPr>
          <w:color w:val="231F20"/>
          <w:spacing w:val="-11"/>
          <w:w w:val="110"/>
        </w:rPr>
        <w:t> </w:t>
      </w:r>
      <w:r>
        <w:rPr>
          <w:color w:val="231F20"/>
          <w:w w:val="110"/>
        </w:rPr>
        <w:t>el</w:t>
      </w:r>
      <w:r>
        <w:rPr>
          <w:color w:val="231F20"/>
          <w:spacing w:val="-11"/>
          <w:w w:val="110"/>
        </w:rPr>
        <w:t> </w:t>
      </w:r>
      <w:r>
        <w:rPr>
          <w:color w:val="231F20"/>
          <w:w w:val="110"/>
        </w:rPr>
        <w:t>caso,</w:t>
      </w:r>
      <w:r>
        <w:rPr>
          <w:color w:val="231F20"/>
          <w:spacing w:val="-11"/>
          <w:w w:val="110"/>
        </w:rPr>
        <w:t> </w:t>
      </w:r>
      <w:r>
        <w:rPr>
          <w:color w:val="231F20"/>
          <w:w w:val="110"/>
        </w:rPr>
        <w:t>de</w:t>
      </w:r>
      <w:r>
        <w:rPr>
          <w:color w:val="231F20"/>
          <w:spacing w:val="-11"/>
          <w:w w:val="110"/>
        </w:rPr>
        <w:t> </w:t>
      </w:r>
      <w:r>
        <w:rPr>
          <w:color w:val="231F20"/>
          <w:w w:val="110"/>
        </w:rPr>
        <w:t>Cuba,</w:t>
      </w:r>
      <w:r>
        <w:rPr>
          <w:color w:val="231F20"/>
          <w:spacing w:val="-11"/>
          <w:w w:val="110"/>
        </w:rPr>
        <w:t> </w:t>
      </w:r>
      <w:r>
        <w:rPr>
          <w:color w:val="231F20"/>
          <w:w w:val="110"/>
        </w:rPr>
        <w:t>de</w:t>
      </w:r>
      <w:r>
        <w:rPr>
          <w:color w:val="231F20"/>
          <w:spacing w:val="-11"/>
          <w:w w:val="110"/>
        </w:rPr>
        <w:t> </w:t>
      </w:r>
      <w:r>
        <w:rPr>
          <w:color w:val="231F20"/>
          <w:w w:val="110"/>
        </w:rPr>
        <w:t>otros</w:t>
      </w:r>
      <w:r>
        <w:rPr>
          <w:color w:val="231F20"/>
          <w:spacing w:val="-11"/>
          <w:w w:val="110"/>
        </w:rPr>
        <w:t> </w:t>
      </w:r>
      <w:r>
        <w:rPr>
          <w:color w:val="231F20"/>
          <w:w w:val="110"/>
        </w:rPr>
        <w:t>Estados</w:t>
      </w:r>
      <w:r>
        <w:rPr>
          <w:color w:val="231F20"/>
          <w:spacing w:val="-11"/>
          <w:w w:val="110"/>
        </w:rPr>
        <w:t> </w:t>
      </w:r>
      <w:r>
        <w:rPr>
          <w:color w:val="231F20"/>
          <w:w w:val="110"/>
        </w:rPr>
        <w:t>del</w:t>
      </w:r>
      <w:r>
        <w:rPr>
          <w:color w:val="231F20"/>
          <w:spacing w:val="-11"/>
          <w:w w:val="110"/>
        </w:rPr>
        <w:t> </w:t>
      </w:r>
      <w:r>
        <w:rPr>
          <w:color w:val="231F20"/>
          <w:w w:val="110"/>
        </w:rPr>
        <w:t>Caribe</w:t>
      </w:r>
      <w:r>
        <w:rPr>
          <w:color w:val="231F20"/>
          <w:spacing w:val="-11"/>
          <w:w w:val="110"/>
        </w:rPr>
        <w:t> </w:t>
      </w:r>
      <w:r>
        <w:rPr>
          <w:color w:val="231F20"/>
          <w:w w:val="110"/>
        </w:rPr>
        <w:t>insular (incluidos Haití y República Dominicana), al igual que Venezuela, Guyana,</w:t>
      </w:r>
      <w:r>
        <w:rPr>
          <w:color w:val="231F20"/>
          <w:spacing w:val="-28"/>
          <w:w w:val="110"/>
        </w:rPr>
        <w:t> </w:t>
      </w:r>
      <w:r>
        <w:rPr>
          <w:color w:val="231F20"/>
          <w:w w:val="110"/>
        </w:rPr>
        <w:t>Surinam,</w:t>
      </w:r>
      <w:r>
        <w:rPr>
          <w:color w:val="231F20"/>
          <w:spacing w:val="-28"/>
          <w:w w:val="110"/>
        </w:rPr>
        <w:t> </w:t>
      </w:r>
      <w:r>
        <w:rPr>
          <w:color w:val="231F20"/>
          <w:w w:val="110"/>
        </w:rPr>
        <w:t>Guyana</w:t>
      </w:r>
      <w:r>
        <w:rPr>
          <w:color w:val="231F20"/>
          <w:spacing w:val="-28"/>
          <w:w w:val="110"/>
        </w:rPr>
        <w:t> </w:t>
      </w:r>
      <w:r>
        <w:rPr>
          <w:color w:val="231F20"/>
          <w:w w:val="110"/>
        </w:rPr>
        <w:t>francesa,</w:t>
      </w:r>
      <w:r>
        <w:rPr>
          <w:color w:val="231F20"/>
          <w:spacing w:val="-28"/>
          <w:w w:val="110"/>
        </w:rPr>
        <w:t> </w:t>
      </w:r>
      <w:r>
        <w:rPr>
          <w:color w:val="231F20"/>
          <w:w w:val="110"/>
        </w:rPr>
        <w:t>así</w:t>
      </w:r>
      <w:r>
        <w:rPr>
          <w:color w:val="231F20"/>
          <w:spacing w:val="-28"/>
          <w:w w:val="110"/>
        </w:rPr>
        <w:t> </w:t>
      </w:r>
      <w:r>
        <w:rPr>
          <w:color w:val="231F20"/>
          <w:w w:val="110"/>
        </w:rPr>
        <w:t>como</w:t>
      </w:r>
      <w:r>
        <w:rPr>
          <w:color w:val="231F20"/>
          <w:spacing w:val="-28"/>
          <w:w w:val="110"/>
        </w:rPr>
        <w:t> </w:t>
      </w:r>
      <w:r>
        <w:rPr>
          <w:color w:val="231F20"/>
          <w:w w:val="110"/>
        </w:rPr>
        <w:t>de</w:t>
      </w:r>
      <w:r>
        <w:rPr>
          <w:color w:val="231F20"/>
          <w:spacing w:val="-28"/>
          <w:w w:val="110"/>
        </w:rPr>
        <w:t> </w:t>
      </w:r>
      <w:r>
        <w:rPr>
          <w:color w:val="231F20"/>
          <w:w w:val="110"/>
        </w:rPr>
        <w:t>Brasil,</w:t>
      </w:r>
      <w:r>
        <w:rPr>
          <w:color w:val="231F20"/>
          <w:spacing w:val="-28"/>
          <w:w w:val="110"/>
        </w:rPr>
        <w:t> </w:t>
      </w:r>
      <w:r>
        <w:rPr>
          <w:color w:val="231F20"/>
          <w:w w:val="110"/>
        </w:rPr>
        <w:t>Uruguay</w:t>
      </w:r>
      <w:r>
        <w:rPr>
          <w:color w:val="231F20"/>
          <w:spacing w:val="-28"/>
          <w:w w:val="110"/>
        </w:rPr>
        <w:t> </w:t>
      </w:r>
      <w:r>
        <w:rPr>
          <w:color w:val="231F20"/>
          <w:w w:val="110"/>
        </w:rPr>
        <w:t>y</w:t>
      </w:r>
      <w:r>
        <w:rPr>
          <w:color w:val="231F20"/>
          <w:spacing w:val="-28"/>
          <w:w w:val="110"/>
        </w:rPr>
        <w:t> </w:t>
      </w:r>
      <w:r>
        <w:rPr>
          <w:color w:val="231F20"/>
          <w:w w:val="110"/>
        </w:rPr>
        <w:t>Ar- gentina. Por lo tanto, también interactúa con los centros de sociedad cooperativa de que ya disponen las fuerzas armadas estadunidenses en Bahamas y en Guyana. Igualmente, con todas las fuerzas e insta- laciones</w:t>
      </w:r>
      <w:r>
        <w:rPr>
          <w:color w:val="231F20"/>
          <w:spacing w:val="-7"/>
          <w:w w:val="110"/>
        </w:rPr>
        <w:t> </w:t>
      </w:r>
      <w:r>
        <w:rPr>
          <w:color w:val="231F20"/>
          <w:w w:val="110"/>
        </w:rPr>
        <w:t>que</w:t>
      </w:r>
      <w:r>
        <w:rPr>
          <w:color w:val="231F20"/>
          <w:spacing w:val="-7"/>
          <w:w w:val="110"/>
        </w:rPr>
        <w:t> </w:t>
      </w:r>
      <w:r>
        <w:rPr>
          <w:color w:val="231F20"/>
          <w:w w:val="110"/>
        </w:rPr>
        <w:t>éstas</w:t>
      </w:r>
      <w:r>
        <w:rPr>
          <w:color w:val="231F20"/>
          <w:spacing w:val="-7"/>
          <w:w w:val="110"/>
        </w:rPr>
        <w:t> </w:t>
      </w:r>
      <w:r>
        <w:rPr>
          <w:color w:val="231F20"/>
          <w:w w:val="110"/>
        </w:rPr>
        <w:t>conservan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colonizado</w:t>
      </w:r>
      <w:r>
        <w:rPr>
          <w:color w:val="231F20"/>
          <w:spacing w:val="-7"/>
          <w:w w:val="110"/>
        </w:rPr>
        <w:t> </w:t>
      </w:r>
      <w:r>
        <w:rPr>
          <w:color w:val="231F20"/>
          <w:w w:val="110"/>
        </w:rPr>
        <w:t>archipiélago</w:t>
      </w:r>
      <w:r>
        <w:rPr>
          <w:color w:val="231F20"/>
          <w:spacing w:val="-7"/>
          <w:w w:val="110"/>
        </w:rPr>
        <w:t> </w:t>
      </w:r>
      <w:r>
        <w:rPr>
          <w:color w:val="231F20"/>
          <w:w w:val="110"/>
        </w:rPr>
        <w:t>de</w:t>
      </w:r>
      <w:r>
        <w:rPr>
          <w:color w:val="231F20"/>
          <w:spacing w:val="-7"/>
          <w:w w:val="110"/>
        </w:rPr>
        <w:t> </w:t>
      </w:r>
      <w:r>
        <w:rPr>
          <w:color w:val="231F20"/>
          <w:w w:val="110"/>
        </w:rPr>
        <w:t>Puerto Rico </w:t>
      </w:r>
      <w:r>
        <w:rPr>
          <w:color w:val="231F20"/>
          <w:spacing w:val="-3"/>
          <w:w w:val="110"/>
        </w:rPr>
        <w:t>(Torres,</w:t>
      </w:r>
      <w:r>
        <w:rPr>
          <w:color w:val="231F20"/>
          <w:spacing w:val="3"/>
          <w:w w:val="110"/>
        </w:rPr>
        <w:t> </w:t>
      </w:r>
      <w:r>
        <w:rPr>
          <w:color w:val="231F20"/>
          <w:w w:val="110"/>
        </w:rPr>
        <w:t>2009).</w:t>
      </w:r>
    </w:p>
    <w:p>
      <w:pPr>
        <w:pStyle w:val="BodyText"/>
        <w:spacing w:line="261" w:lineRule="auto"/>
        <w:ind w:left="100" w:right="117" w:firstLine="240"/>
        <w:jc w:val="both"/>
      </w:pPr>
      <w:r>
        <w:rPr>
          <w:color w:val="231F20"/>
          <w:spacing w:val="-4"/>
          <w:w w:val="110"/>
        </w:rPr>
        <w:t>Todas </w:t>
      </w:r>
      <w:r>
        <w:rPr>
          <w:color w:val="231F20"/>
          <w:w w:val="110"/>
        </w:rPr>
        <w:t>esas fuerzas —al igual que las fol instaladas, desde 2000, en Aruba y Curazao— también tributan al “cerco militar” estableci- do contra Venezuela, a la institucionalización del “espacio común de seguridad”, así como a los acuerdos vinculados a “la seguridad   y a la prosperidad” de todos los Estados integrantes de la Comu- nidad del Caribe (caricom) que, desde 2007, venía impulsando la administración de George </w:t>
      </w:r>
      <w:r>
        <w:rPr>
          <w:color w:val="231F20"/>
          <w:spacing w:val="-5"/>
          <w:w w:val="110"/>
        </w:rPr>
        <w:t>W. </w:t>
      </w:r>
      <w:r>
        <w:rPr>
          <w:color w:val="231F20"/>
          <w:w w:val="110"/>
        </w:rPr>
        <w:t>Bush (Joint Statement, 2007). Esos acuerdos fueron actualizados y en algunos casos ampliados en “la reunión informal” que sostuvo en Barbados, el 10 de junio de 2010, la Secretaria de Estado, Hillary Clinton, con los cancilleres de los  14 países independientes que integran la caricom.</w:t>
      </w:r>
      <w:r>
        <w:rPr>
          <w:color w:val="231F20"/>
          <w:w w:val="110"/>
          <w:position w:val="6"/>
          <w:sz w:val="13"/>
        </w:rPr>
        <w:t>5  </w:t>
      </w:r>
      <w:r>
        <w:rPr>
          <w:color w:val="231F20"/>
          <w:w w:val="110"/>
        </w:rPr>
        <w:t>Acorde con  </w:t>
      </w:r>
      <w:r>
        <w:rPr>
          <w:color w:val="231F20"/>
          <w:spacing w:val="43"/>
          <w:w w:val="110"/>
        </w:rPr>
        <w:t> </w:t>
      </w:r>
      <w:r>
        <w:rPr>
          <w:color w:val="231F20"/>
          <w:w w:val="110"/>
        </w:rPr>
        <w:t>los</w:t>
      </w:r>
    </w:p>
    <w:p>
      <w:pPr>
        <w:pStyle w:val="BodyText"/>
      </w:pPr>
    </w:p>
    <w:p>
      <w:pPr>
        <w:spacing w:before="152"/>
        <w:ind w:left="340" w:right="25" w:firstLine="0"/>
        <w:jc w:val="left"/>
        <w:rPr>
          <w:sz w:val="16"/>
        </w:rPr>
      </w:pPr>
      <w:r>
        <w:rPr>
          <w:color w:val="231F20"/>
          <w:w w:val="110"/>
          <w:position w:val="5"/>
          <w:sz w:val="10"/>
        </w:rPr>
        <w:t>5          </w:t>
      </w:r>
      <w:r>
        <w:rPr>
          <w:color w:val="231F20"/>
          <w:w w:val="110"/>
          <w:sz w:val="16"/>
        </w:rPr>
        <w:t>En la actualidad, la caricom está integrada por Antigua y Barbuda, Bahamas,</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20" w:right="117"/>
        <w:jc w:val="both"/>
      </w:pPr>
      <w:r>
        <w:rPr>
          <w:color w:val="231F20"/>
          <w:w w:val="110"/>
        </w:rPr>
        <w:t>enunciados de la Iniciativa para la Seguridad de la Cuenca del Cari- be impulsada por el gobierno temporal de Barack Obama (Ceceña  </w:t>
      </w:r>
      <w:r>
        <w:rPr>
          <w:i/>
          <w:color w:val="231F20"/>
          <w:w w:val="110"/>
        </w:rPr>
        <w:t>et al.</w:t>
      </w:r>
      <w:r>
        <w:rPr>
          <w:color w:val="231F20"/>
          <w:w w:val="110"/>
        </w:rPr>
        <w:t>, 2010a), en esa reunión se firmó el llamado “Compromiso de Bridgetown:</w:t>
      </w:r>
      <w:r>
        <w:rPr>
          <w:color w:val="231F20"/>
          <w:spacing w:val="-18"/>
          <w:w w:val="110"/>
        </w:rPr>
        <w:t> </w:t>
      </w:r>
      <w:r>
        <w:rPr>
          <w:color w:val="231F20"/>
          <w:w w:val="110"/>
        </w:rPr>
        <w:t>Asociación</w:t>
      </w:r>
      <w:r>
        <w:rPr>
          <w:color w:val="231F20"/>
          <w:spacing w:val="-18"/>
          <w:w w:val="110"/>
        </w:rPr>
        <w:t> </w:t>
      </w:r>
      <w:r>
        <w:rPr>
          <w:color w:val="231F20"/>
          <w:w w:val="110"/>
        </w:rPr>
        <w:t>para</w:t>
      </w:r>
      <w:r>
        <w:rPr>
          <w:color w:val="231F20"/>
          <w:spacing w:val="-18"/>
          <w:w w:val="110"/>
        </w:rPr>
        <w:t> </w:t>
      </w:r>
      <w:r>
        <w:rPr>
          <w:color w:val="231F20"/>
          <w:w w:val="110"/>
        </w:rPr>
        <w:t>la</w:t>
      </w:r>
      <w:r>
        <w:rPr>
          <w:color w:val="231F20"/>
          <w:spacing w:val="-18"/>
          <w:w w:val="110"/>
        </w:rPr>
        <w:t> </w:t>
      </w:r>
      <w:r>
        <w:rPr>
          <w:color w:val="231F20"/>
          <w:w w:val="110"/>
        </w:rPr>
        <w:t>Prosperidad</w:t>
      </w:r>
      <w:r>
        <w:rPr>
          <w:color w:val="231F20"/>
          <w:spacing w:val="-18"/>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Seguridad”</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que los</w:t>
      </w:r>
      <w:r>
        <w:rPr>
          <w:color w:val="231F20"/>
          <w:spacing w:val="-10"/>
          <w:w w:val="110"/>
        </w:rPr>
        <w:t> </w:t>
      </w:r>
      <w:r>
        <w:rPr>
          <w:color w:val="231F20"/>
          <w:w w:val="110"/>
        </w:rPr>
        <w:t>participantes</w:t>
      </w:r>
      <w:r>
        <w:rPr>
          <w:color w:val="231F20"/>
          <w:spacing w:val="-10"/>
          <w:w w:val="110"/>
        </w:rPr>
        <w:t> </w:t>
      </w:r>
      <w:r>
        <w:rPr>
          <w:color w:val="231F20"/>
          <w:w w:val="110"/>
        </w:rPr>
        <w:t>respaldaron</w:t>
      </w:r>
      <w:r>
        <w:rPr>
          <w:color w:val="231F20"/>
          <w:spacing w:val="-10"/>
          <w:w w:val="110"/>
        </w:rPr>
        <w:t> </w:t>
      </w:r>
      <w:r>
        <w:rPr>
          <w:color w:val="231F20"/>
          <w:w w:val="110"/>
        </w:rPr>
        <w:t>todos</w:t>
      </w:r>
      <w:r>
        <w:rPr>
          <w:color w:val="231F20"/>
          <w:spacing w:val="-10"/>
          <w:w w:val="110"/>
        </w:rPr>
        <w:t> </w:t>
      </w:r>
      <w:r>
        <w:rPr>
          <w:color w:val="231F20"/>
          <w:w w:val="110"/>
        </w:rPr>
        <w:t>los</w:t>
      </w:r>
      <w:r>
        <w:rPr>
          <w:color w:val="231F20"/>
          <w:spacing w:val="-10"/>
          <w:w w:val="110"/>
        </w:rPr>
        <w:t> </w:t>
      </w:r>
      <w:r>
        <w:rPr>
          <w:color w:val="231F20"/>
          <w:w w:val="110"/>
        </w:rPr>
        <w:t>acuerdos</w:t>
      </w:r>
      <w:r>
        <w:rPr>
          <w:color w:val="231F20"/>
          <w:spacing w:val="-10"/>
          <w:w w:val="110"/>
        </w:rPr>
        <w:t> </w:t>
      </w:r>
      <w:r>
        <w:rPr>
          <w:color w:val="231F20"/>
          <w:w w:val="110"/>
        </w:rPr>
        <w:t>adoptados</w:t>
      </w:r>
      <w:r>
        <w:rPr>
          <w:color w:val="231F20"/>
          <w:spacing w:val="-10"/>
          <w:w w:val="110"/>
        </w:rPr>
        <w:t> </w:t>
      </w:r>
      <w:r>
        <w:rPr>
          <w:color w:val="231F20"/>
          <w:w w:val="110"/>
        </w:rPr>
        <w:t>durante</w:t>
      </w:r>
      <w:r>
        <w:rPr>
          <w:color w:val="231F20"/>
          <w:spacing w:val="-10"/>
          <w:w w:val="110"/>
        </w:rPr>
        <w:t> </w:t>
      </w:r>
      <w:r>
        <w:rPr>
          <w:color w:val="231F20"/>
          <w:w w:val="110"/>
        </w:rPr>
        <w:t>el Diálogo</w:t>
      </w:r>
      <w:r>
        <w:rPr>
          <w:color w:val="231F20"/>
          <w:spacing w:val="-13"/>
          <w:w w:val="110"/>
        </w:rPr>
        <w:t> </w:t>
      </w:r>
      <w:r>
        <w:rPr>
          <w:color w:val="231F20"/>
          <w:w w:val="110"/>
        </w:rPr>
        <w:t>sobre</w:t>
      </w:r>
      <w:r>
        <w:rPr>
          <w:color w:val="231F20"/>
          <w:spacing w:val="-13"/>
          <w:w w:val="110"/>
        </w:rPr>
        <w:t> </w:t>
      </w:r>
      <w:r>
        <w:rPr>
          <w:color w:val="231F20"/>
          <w:w w:val="110"/>
        </w:rPr>
        <w:t>la</w:t>
      </w:r>
      <w:r>
        <w:rPr>
          <w:color w:val="231F20"/>
          <w:spacing w:val="-13"/>
          <w:w w:val="110"/>
        </w:rPr>
        <w:t> </w:t>
      </w:r>
      <w:r>
        <w:rPr>
          <w:color w:val="231F20"/>
          <w:w w:val="110"/>
        </w:rPr>
        <w:t>Cooperación</w:t>
      </w:r>
      <w:r>
        <w:rPr>
          <w:color w:val="231F20"/>
          <w:spacing w:val="-13"/>
          <w:w w:val="110"/>
        </w:rPr>
        <w:t> </w:t>
      </w:r>
      <w:r>
        <w:rPr>
          <w:color w:val="231F20"/>
          <w:w w:val="110"/>
        </w:rPr>
        <w:t>en</w:t>
      </w:r>
      <w:r>
        <w:rPr>
          <w:color w:val="231F20"/>
          <w:spacing w:val="-13"/>
          <w:w w:val="110"/>
        </w:rPr>
        <w:t> </w:t>
      </w:r>
      <w:r>
        <w:rPr>
          <w:color w:val="231F20"/>
          <w:w w:val="110"/>
        </w:rPr>
        <w:t>Asuntos</w:t>
      </w:r>
      <w:r>
        <w:rPr>
          <w:color w:val="231F20"/>
          <w:spacing w:val="-13"/>
          <w:w w:val="110"/>
        </w:rPr>
        <w:t> </w:t>
      </w:r>
      <w:r>
        <w:rPr>
          <w:color w:val="231F20"/>
          <w:w w:val="110"/>
        </w:rPr>
        <w:t>de</w:t>
      </w:r>
      <w:r>
        <w:rPr>
          <w:color w:val="231F20"/>
          <w:spacing w:val="-13"/>
          <w:w w:val="110"/>
        </w:rPr>
        <w:t> </w:t>
      </w:r>
      <w:r>
        <w:rPr>
          <w:color w:val="231F20"/>
          <w:w w:val="110"/>
        </w:rPr>
        <w:t>Seguridad</w:t>
      </w:r>
      <w:r>
        <w:rPr>
          <w:color w:val="231F20"/>
          <w:spacing w:val="-13"/>
          <w:w w:val="110"/>
        </w:rPr>
        <w:t> </w:t>
      </w:r>
      <w:r>
        <w:rPr>
          <w:color w:val="231F20"/>
          <w:w w:val="110"/>
        </w:rPr>
        <w:t>entre</w:t>
      </w:r>
      <w:r>
        <w:rPr>
          <w:color w:val="231F20"/>
          <w:spacing w:val="-13"/>
          <w:w w:val="110"/>
        </w:rPr>
        <w:t> </w:t>
      </w:r>
      <w:r>
        <w:rPr>
          <w:color w:val="231F20"/>
          <w:w w:val="110"/>
        </w:rPr>
        <w:t>Estados Unidos</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Caribe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cual</w:t>
      </w:r>
      <w:r>
        <w:rPr>
          <w:color w:val="231F20"/>
          <w:spacing w:val="-9"/>
          <w:w w:val="110"/>
        </w:rPr>
        <w:t> </w:t>
      </w:r>
      <w:r>
        <w:rPr>
          <w:color w:val="231F20"/>
          <w:w w:val="110"/>
        </w:rPr>
        <w:t>también</w:t>
      </w:r>
      <w:r>
        <w:rPr>
          <w:color w:val="231F20"/>
          <w:spacing w:val="-9"/>
          <w:w w:val="110"/>
        </w:rPr>
        <w:t> </w:t>
      </w:r>
      <w:r>
        <w:rPr>
          <w:color w:val="231F20"/>
          <w:w w:val="110"/>
        </w:rPr>
        <w:t>participaron</w:t>
      </w:r>
      <w:r>
        <w:rPr>
          <w:color w:val="231F20"/>
          <w:spacing w:val="-9"/>
          <w:w w:val="110"/>
        </w:rPr>
        <w:t> </w:t>
      </w:r>
      <w:r>
        <w:rPr>
          <w:color w:val="231F20"/>
          <w:w w:val="110"/>
        </w:rPr>
        <w:t>representantes</w:t>
      </w:r>
      <w:r>
        <w:rPr>
          <w:color w:val="231F20"/>
          <w:spacing w:val="-9"/>
          <w:w w:val="110"/>
        </w:rPr>
        <w:t> </w:t>
      </w:r>
      <w:r>
        <w:rPr>
          <w:color w:val="231F20"/>
          <w:w w:val="110"/>
        </w:rPr>
        <w:t>de la República Dominicana), efectuado en Washington el 27 de mayo de 2010; particularmente: The Caribbean-United States Declaration of Principles, The Caribbean-United States Plan of Action on Secu- rity Cooperation y el Joint Caribbean-United States Framework for Security Cooperation Engagement (crnm, </w:t>
      </w:r>
      <w:r>
        <w:rPr>
          <w:color w:val="231F20"/>
          <w:spacing w:val="4"/>
          <w:w w:val="110"/>
        </w:rPr>
        <w:t> </w:t>
      </w:r>
      <w:r>
        <w:rPr>
          <w:color w:val="231F20"/>
          <w:w w:val="110"/>
        </w:rPr>
        <w:t>2010).</w:t>
      </w:r>
    </w:p>
    <w:p>
      <w:pPr>
        <w:pStyle w:val="BodyText"/>
        <w:spacing w:line="261" w:lineRule="auto"/>
        <w:ind w:left="120" w:right="114" w:firstLine="240"/>
        <w:jc w:val="both"/>
      </w:pPr>
      <w:r>
        <w:rPr>
          <w:color w:val="231F20"/>
          <w:w w:val="110"/>
        </w:rPr>
        <w:t>Como veremos en el próximo acápite, siguiendo algunos de los enunciados de la “nueva alianza de las Américas” que ha venido</w:t>
      </w:r>
      <w:r>
        <w:rPr>
          <w:color w:val="231F20"/>
          <w:spacing w:val="-29"/>
          <w:w w:val="110"/>
        </w:rPr>
        <w:t> </w:t>
      </w:r>
      <w:r>
        <w:rPr>
          <w:color w:val="231F20"/>
          <w:w w:val="110"/>
        </w:rPr>
        <w:t>im- pulsando la administración de Barack Obama, en el Compromiso de Bridgetown también se incluyeron diversos acuerdos vinculados</w:t>
      </w:r>
      <w:r>
        <w:rPr>
          <w:color w:val="231F20"/>
          <w:spacing w:val="-39"/>
          <w:w w:val="110"/>
        </w:rPr>
        <w:t> </w:t>
      </w:r>
      <w:r>
        <w:rPr>
          <w:color w:val="231F20"/>
          <w:w w:val="110"/>
        </w:rPr>
        <w:t>a la </w:t>
      </w:r>
      <w:r>
        <w:rPr>
          <w:color w:val="231F20"/>
          <w:spacing w:val="3"/>
          <w:w w:val="110"/>
        </w:rPr>
        <w:t>Cooperación </w:t>
      </w:r>
      <w:r>
        <w:rPr>
          <w:color w:val="231F20"/>
          <w:w w:val="110"/>
        </w:rPr>
        <w:t>y a la </w:t>
      </w:r>
      <w:r>
        <w:rPr>
          <w:color w:val="231F20"/>
          <w:spacing w:val="3"/>
          <w:w w:val="110"/>
        </w:rPr>
        <w:t>Asistencia para </w:t>
      </w:r>
      <w:r>
        <w:rPr>
          <w:color w:val="231F20"/>
          <w:spacing w:val="2"/>
          <w:w w:val="110"/>
        </w:rPr>
        <w:t>“la </w:t>
      </w:r>
      <w:r>
        <w:rPr>
          <w:color w:val="231F20"/>
          <w:spacing w:val="3"/>
          <w:w w:val="110"/>
        </w:rPr>
        <w:t>reconstrucción </w:t>
      </w:r>
      <w:r>
        <w:rPr>
          <w:color w:val="231F20"/>
          <w:w w:val="110"/>
        </w:rPr>
        <w:t>de </w:t>
      </w:r>
      <w:r>
        <w:rPr>
          <w:color w:val="231F20"/>
          <w:spacing w:val="4"/>
          <w:w w:val="110"/>
        </w:rPr>
        <w:t>Haití”,   </w:t>
      </w:r>
      <w:r>
        <w:rPr>
          <w:color w:val="231F20"/>
          <w:w w:val="110"/>
        </w:rPr>
        <w:t>a la cooperación mutua en el terreno de “la seguridad energética”,  al igual que diversos temas vinculados al cambio climático y a la salud pública. A pesar de que los cancilleres de la caricom tenían expectativas superiores, como complemento de los acuerdos antes referidos, se extendió unilateralmente hasta el año 2020 el acceso preferencial al mercado estadunidense de los productos caribeños incluidos en la llamada Ley de Asociación Comercial de la Cuenca del Caribe, aprobada por la administración Obama en abril de 2010 (Compromiso</w:t>
      </w:r>
      <w:r>
        <w:rPr>
          <w:color w:val="231F20"/>
          <w:spacing w:val="-16"/>
          <w:w w:val="110"/>
        </w:rPr>
        <w:t> </w:t>
      </w:r>
      <w:r>
        <w:rPr>
          <w:color w:val="231F20"/>
          <w:w w:val="110"/>
        </w:rPr>
        <w:t>de</w:t>
      </w:r>
      <w:r>
        <w:rPr>
          <w:color w:val="231F20"/>
          <w:spacing w:val="-16"/>
          <w:w w:val="110"/>
        </w:rPr>
        <w:t> </w:t>
      </w:r>
      <w:r>
        <w:rPr>
          <w:color w:val="231F20"/>
          <w:w w:val="110"/>
        </w:rPr>
        <w:t>Bridgetown,</w:t>
      </w:r>
      <w:r>
        <w:rPr>
          <w:color w:val="231F20"/>
          <w:spacing w:val="-16"/>
          <w:w w:val="110"/>
        </w:rPr>
        <w:t> </w:t>
      </w:r>
      <w:r>
        <w:rPr>
          <w:color w:val="231F20"/>
          <w:w w:val="110"/>
        </w:rPr>
        <w:t>2010),</w:t>
      </w:r>
      <w:r>
        <w:rPr>
          <w:color w:val="231F20"/>
          <w:spacing w:val="-16"/>
          <w:w w:val="110"/>
        </w:rPr>
        <w:t> </w:t>
      </w:r>
      <w:r>
        <w:rPr>
          <w:color w:val="231F20"/>
          <w:w w:val="110"/>
        </w:rPr>
        <w:t>como</w:t>
      </w:r>
      <w:r>
        <w:rPr>
          <w:color w:val="231F20"/>
          <w:spacing w:val="-16"/>
          <w:w w:val="110"/>
        </w:rPr>
        <w:t> </w:t>
      </w:r>
      <w:r>
        <w:rPr>
          <w:color w:val="231F20"/>
          <w:w w:val="110"/>
        </w:rPr>
        <w:t>sucedánea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Iniciativa para</w:t>
      </w:r>
      <w:r>
        <w:rPr>
          <w:color w:val="231F20"/>
          <w:spacing w:val="-9"/>
          <w:w w:val="110"/>
        </w:rPr>
        <w:t> </w:t>
      </w:r>
      <w:r>
        <w:rPr>
          <w:color w:val="231F20"/>
          <w:w w:val="110"/>
        </w:rPr>
        <w:t>la</w:t>
      </w:r>
      <w:r>
        <w:rPr>
          <w:color w:val="231F20"/>
          <w:spacing w:val="-9"/>
          <w:w w:val="110"/>
        </w:rPr>
        <w:t> </w:t>
      </w:r>
      <w:r>
        <w:rPr>
          <w:color w:val="231F20"/>
          <w:w w:val="110"/>
        </w:rPr>
        <w:t>Cuenca</w:t>
      </w:r>
      <w:r>
        <w:rPr>
          <w:color w:val="231F20"/>
          <w:spacing w:val="-9"/>
          <w:w w:val="110"/>
        </w:rPr>
        <w:t> </w:t>
      </w:r>
      <w:r>
        <w:rPr>
          <w:color w:val="231F20"/>
          <w:w w:val="110"/>
        </w:rPr>
        <w:t>del</w:t>
      </w:r>
      <w:r>
        <w:rPr>
          <w:color w:val="231F20"/>
          <w:spacing w:val="-9"/>
          <w:w w:val="110"/>
        </w:rPr>
        <w:t> </w:t>
      </w:r>
      <w:r>
        <w:rPr>
          <w:color w:val="231F20"/>
          <w:w w:val="110"/>
        </w:rPr>
        <w:t>Caribe</w:t>
      </w:r>
      <w:r>
        <w:rPr>
          <w:color w:val="231F20"/>
          <w:spacing w:val="-9"/>
          <w:w w:val="110"/>
        </w:rPr>
        <w:t> </w:t>
      </w:r>
      <w:r>
        <w:rPr>
          <w:color w:val="231F20"/>
          <w:w w:val="110"/>
        </w:rPr>
        <w:t>impulsada,</w:t>
      </w:r>
      <w:r>
        <w:rPr>
          <w:color w:val="231F20"/>
          <w:spacing w:val="-9"/>
          <w:w w:val="110"/>
        </w:rPr>
        <w:t> </w:t>
      </w:r>
      <w:r>
        <w:rPr>
          <w:color w:val="231F20"/>
          <w:w w:val="110"/>
        </w:rPr>
        <w:t>desde</w:t>
      </w:r>
      <w:r>
        <w:rPr>
          <w:color w:val="231F20"/>
          <w:spacing w:val="-9"/>
          <w:w w:val="110"/>
        </w:rPr>
        <w:t> </w:t>
      </w:r>
      <w:r>
        <w:rPr>
          <w:color w:val="231F20"/>
          <w:w w:val="110"/>
        </w:rPr>
        <w:t>1983,</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reaccionaria administración de Ronald</w:t>
      </w:r>
      <w:r>
        <w:rPr>
          <w:color w:val="231F20"/>
          <w:spacing w:val="20"/>
          <w:w w:val="110"/>
        </w:rPr>
        <w:t> </w:t>
      </w:r>
      <w:r>
        <w:rPr>
          <w:color w:val="231F20"/>
          <w:w w:val="110"/>
        </w:rPr>
        <w:t>Reagan.</w:t>
      </w:r>
    </w:p>
    <w:p>
      <w:pPr>
        <w:pStyle w:val="BodyText"/>
        <w:spacing w:line="261" w:lineRule="auto"/>
        <w:ind w:left="120" w:right="117" w:firstLine="240"/>
        <w:jc w:val="both"/>
      </w:pPr>
      <w:r>
        <w:rPr>
          <w:color w:val="231F20"/>
          <w:w w:val="110"/>
        </w:rPr>
        <w:t>La prorroga antes mencionada también abarcó el virtual </w:t>
      </w:r>
      <w:r>
        <w:rPr>
          <w:color w:val="231F20"/>
          <w:spacing w:val="-3"/>
          <w:w w:val="110"/>
        </w:rPr>
        <w:t>Tratado </w:t>
      </w:r>
      <w:r>
        <w:rPr>
          <w:color w:val="231F20"/>
          <w:w w:val="110"/>
        </w:rPr>
        <w:t>de Libre Comercio con Haití (conocido con “la Ley hope”: </w:t>
      </w:r>
      <w:r>
        <w:rPr>
          <w:i/>
          <w:color w:val="231F20"/>
          <w:w w:val="110"/>
        </w:rPr>
        <w:t>Haitian </w:t>
      </w:r>
      <w:r>
        <w:rPr>
          <w:i/>
          <w:color w:val="231F20"/>
          <w:w w:val="105"/>
        </w:rPr>
        <w:t>Opportunity for Economic Enhancement</w:t>
      </w:r>
      <w:r>
        <w:rPr>
          <w:color w:val="231F20"/>
          <w:w w:val="105"/>
        </w:rPr>
        <w:t>), firmado por René Préval</w:t>
      </w:r>
      <w:r>
        <w:rPr>
          <w:color w:val="231F20"/>
          <w:spacing w:val="-17"/>
          <w:w w:val="105"/>
        </w:rPr>
        <w:t> </w:t>
      </w:r>
      <w:r>
        <w:rPr>
          <w:color w:val="231F20"/>
          <w:w w:val="105"/>
        </w:rPr>
        <w:t>con </w:t>
      </w:r>
      <w:r>
        <w:rPr>
          <w:color w:val="231F20"/>
          <w:w w:val="110"/>
        </w:rPr>
        <w:t>la</w:t>
      </w:r>
      <w:r>
        <w:rPr>
          <w:color w:val="231F20"/>
          <w:spacing w:val="-16"/>
          <w:w w:val="110"/>
        </w:rPr>
        <w:t> </w:t>
      </w:r>
      <w:r>
        <w:rPr>
          <w:color w:val="231F20"/>
          <w:w w:val="110"/>
        </w:rPr>
        <w:t>administración</w:t>
      </w:r>
      <w:r>
        <w:rPr>
          <w:color w:val="231F20"/>
          <w:spacing w:val="-16"/>
          <w:w w:val="110"/>
        </w:rPr>
        <w:t> </w:t>
      </w:r>
      <w:r>
        <w:rPr>
          <w:color w:val="231F20"/>
          <w:w w:val="110"/>
        </w:rPr>
        <w:t>de</w:t>
      </w:r>
      <w:r>
        <w:rPr>
          <w:color w:val="231F20"/>
          <w:spacing w:val="-16"/>
          <w:w w:val="110"/>
        </w:rPr>
        <w:t> </w:t>
      </w:r>
      <w:r>
        <w:rPr>
          <w:color w:val="231F20"/>
          <w:w w:val="110"/>
        </w:rPr>
        <w:t>George</w:t>
      </w:r>
      <w:r>
        <w:rPr>
          <w:color w:val="231F20"/>
          <w:spacing w:val="-16"/>
          <w:w w:val="110"/>
        </w:rPr>
        <w:t> </w:t>
      </w:r>
      <w:r>
        <w:rPr>
          <w:color w:val="231F20"/>
          <w:spacing w:val="-6"/>
          <w:w w:val="110"/>
        </w:rPr>
        <w:t>W.</w:t>
      </w:r>
      <w:r>
        <w:rPr>
          <w:color w:val="231F20"/>
          <w:spacing w:val="-16"/>
          <w:w w:val="110"/>
        </w:rPr>
        <w:t> </w:t>
      </w:r>
      <w:r>
        <w:rPr>
          <w:color w:val="231F20"/>
          <w:w w:val="110"/>
        </w:rPr>
        <w:t>Bush.</w:t>
      </w:r>
      <w:r>
        <w:rPr>
          <w:color w:val="231F20"/>
          <w:spacing w:val="-16"/>
          <w:w w:val="110"/>
        </w:rPr>
        <w:t> </w:t>
      </w:r>
      <w:r>
        <w:rPr>
          <w:color w:val="231F20"/>
          <w:w w:val="110"/>
        </w:rPr>
        <w:t>Adicionalmente</w:t>
      </w:r>
      <w:r>
        <w:rPr>
          <w:color w:val="231F20"/>
          <w:spacing w:val="-16"/>
          <w:w w:val="110"/>
        </w:rPr>
        <w:t> </w:t>
      </w:r>
      <w:r>
        <w:rPr>
          <w:color w:val="231F20"/>
          <w:w w:val="110"/>
        </w:rPr>
        <w:t>y</w:t>
      </w:r>
      <w:r>
        <w:rPr>
          <w:color w:val="231F20"/>
          <w:spacing w:val="-16"/>
          <w:w w:val="110"/>
        </w:rPr>
        <w:t> </w:t>
      </w:r>
      <w:r>
        <w:rPr>
          <w:color w:val="231F20"/>
          <w:w w:val="110"/>
        </w:rPr>
        <w:t>continuando la política de esa administración, el gobierno temporal de Barack Obama —con el respaldo de los gobiernos de Francia y Canadá,</w:t>
      </w:r>
      <w:r>
        <w:rPr>
          <w:color w:val="231F20"/>
          <w:spacing w:val="44"/>
          <w:w w:val="110"/>
        </w:rPr>
        <w:t> </w:t>
      </w:r>
      <w:r>
        <w:rPr>
          <w:color w:val="231F20"/>
          <w:w w:val="110"/>
        </w:rPr>
        <w:t>así</w:t>
      </w:r>
    </w:p>
    <w:p>
      <w:pPr>
        <w:pStyle w:val="BodyText"/>
        <w:spacing w:before="3"/>
        <w:rPr>
          <w:sz w:val="29"/>
        </w:rPr>
      </w:pPr>
      <w:r>
        <w:rPr/>
        <w:pict>
          <v:line style="position:absolute;mso-position-horizontal-relative:page;mso-position-vertical-relative:paragraph;z-index:9640;mso-wrap-distance-left:0;mso-wrap-distance-right:0" from="38pt,19.060236pt" to="98pt,19.060236pt" stroked="true" strokeweight=".5pt" strokecolor="#231f20">
            <w10:wrap type="topAndBottom"/>
          </v:line>
        </w:pict>
      </w:r>
    </w:p>
    <w:p>
      <w:pPr>
        <w:spacing w:line="261" w:lineRule="auto" w:before="16"/>
        <w:ind w:left="120" w:right="117" w:firstLine="0"/>
        <w:jc w:val="both"/>
        <w:rPr>
          <w:sz w:val="16"/>
        </w:rPr>
      </w:pPr>
      <w:r>
        <w:rPr>
          <w:color w:val="231F20"/>
          <w:w w:val="105"/>
          <w:sz w:val="16"/>
        </w:rPr>
        <w:t>Barbados, Belice, Dominica, Granada, Guyana, Haití, Jamaica, Montserrat, Saint Kits y Nevis, Santa Lucía, San Vicente y las Granadinas, Surinam y Trinidad y </w:t>
      </w:r>
      <w:r>
        <w:rPr>
          <w:color w:val="231F20"/>
          <w:spacing w:val="-3"/>
          <w:w w:val="105"/>
          <w:sz w:val="16"/>
        </w:rPr>
        <w:t>Tobago; </w:t>
      </w:r>
      <w:r>
        <w:rPr>
          <w:color w:val="231F20"/>
          <w:w w:val="105"/>
          <w:sz w:val="16"/>
        </w:rPr>
        <w:t>pero como Montserrat continúa siendo una dependencia colonial británica, sus autoridades   no  suscribieron  los  acuerdos  mencionados  en  el</w:t>
      </w:r>
      <w:r>
        <w:rPr>
          <w:color w:val="231F20"/>
          <w:spacing w:val="-7"/>
          <w:w w:val="105"/>
          <w:sz w:val="16"/>
        </w:rPr>
        <w:t> </w:t>
      </w:r>
      <w:r>
        <w:rPr>
          <w:color w:val="231F20"/>
          <w:w w:val="105"/>
          <w:sz w:val="16"/>
        </w:rPr>
        <w:t>párrafo.</w:t>
      </w:r>
    </w:p>
    <w:p>
      <w:pPr>
        <w:spacing w:after="0" w:line="261" w:lineRule="auto"/>
        <w:jc w:val="both"/>
        <w:rPr>
          <w:sz w:val="16"/>
        </w:rPr>
        <w:sectPr>
          <w:pgSz w:w="7640" w:h="11900"/>
          <w:pgMar w:header="672" w:footer="0" w:top="860" w:bottom="280" w:left="640" w:right="760"/>
        </w:sectPr>
      </w:pPr>
    </w:p>
    <w:p>
      <w:pPr>
        <w:pStyle w:val="BodyText"/>
        <w:spacing w:before="8"/>
        <w:rPr>
          <w:sz w:val="8"/>
        </w:rPr>
      </w:pPr>
    </w:p>
    <w:p>
      <w:pPr>
        <w:pStyle w:val="BodyText"/>
        <w:spacing w:line="261" w:lineRule="auto" w:before="67"/>
        <w:ind w:left="100" w:right="117"/>
        <w:jc w:val="both"/>
      </w:pPr>
      <w:r>
        <w:rPr>
          <w:color w:val="231F20"/>
          <w:w w:val="110"/>
        </w:rPr>
        <w:t>como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burocracia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OEA—</w:t>
      </w:r>
      <w:r>
        <w:rPr>
          <w:color w:val="231F20"/>
          <w:spacing w:val="-14"/>
          <w:w w:val="110"/>
        </w:rPr>
        <w:t> </w:t>
      </w:r>
      <w:r>
        <w:rPr>
          <w:color w:val="231F20"/>
          <w:w w:val="110"/>
        </w:rPr>
        <w:t>emprendió</w:t>
      </w:r>
      <w:r>
        <w:rPr>
          <w:color w:val="231F20"/>
          <w:spacing w:val="-14"/>
          <w:w w:val="110"/>
        </w:rPr>
        <w:t> </w:t>
      </w:r>
      <w:r>
        <w:rPr>
          <w:color w:val="231F20"/>
          <w:w w:val="110"/>
        </w:rPr>
        <w:t>diversas</w:t>
      </w:r>
      <w:r>
        <w:rPr>
          <w:color w:val="231F20"/>
          <w:spacing w:val="-14"/>
          <w:w w:val="110"/>
        </w:rPr>
        <w:t> </w:t>
      </w:r>
      <w:r>
        <w:rPr>
          <w:color w:val="231F20"/>
          <w:w w:val="110"/>
        </w:rPr>
        <w:t>acciones</w:t>
      </w:r>
      <w:r>
        <w:rPr>
          <w:color w:val="231F20"/>
          <w:spacing w:val="-14"/>
          <w:w w:val="110"/>
        </w:rPr>
        <w:t> </w:t>
      </w:r>
      <w:r>
        <w:rPr>
          <w:color w:val="231F20"/>
          <w:w w:val="110"/>
        </w:rPr>
        <w:t>“di- plomáticas”</w:t>
      </w:r>
      <w:r>
        <w:rPr>
          <w:color w:val="231F20"/>
          <w:spacing w:val="-19"/>
          <w:w w:val="110"/>
        </w:rPr>
        <w:t> </w:t>
      </w:r>
      <w:r>
        <w:rPr>
          <w:color w:val="231F20"/>
          <w:w w:val="110"/>
        </w:rPr>
        <w:t>(incluidas</w:t>
      </w:r>
      <w:r>
        <w:rPr>
          <w:color w:val="231F20"/>
          <w:spacing w:val="-19"/>
          <w:w w:val="110"/>
        </w:rPr>
        <w:t> </w:t>
      </w:r>
      <w:r>
        <w:rPr>
          <w:color w:val="231F20"/>
          <w:w w:val="110"/>
        </w:rPr>
        <w:t>la</w:t>
      </w:r>
      <w:r>
        <w:rPr>
          <w:color w:val="231F20"/>
          <w:spacing w:val="-19"/>
          <w:w w:val="110"/>
        </w:rPr>
        <w:t> </w:t>
      </w:r>
      <w:r>
        <w:rPr>
          <w:color w:val="231F20"/>
          <w:w w:val="110"/>
        </w:rPr>
        <w:t>amenaza</w:t>
      </w:r>
      <w:r>
        <w:rPr>
          <w:color w:val="231F20"/>
          <w:spacing w:val="-19"/>
          <w:w w:val="110"/>
        </w:rPr>
        <w:t> </w:t>
      </w:r>
      <w:r>
        <w:rPr>
          <w:color w:val="231F20"/>
          <w:w w:val="110"/>
        </w:rPr>
        <w:t>de</w:t>
      </w:r>
      <w:r>
        <w:rPr>
          <w:color w:val="231F20"/>
          <w:spacing w:val="-19"/>
          <w:w w:val="110"/>
        </w:rPr>
        <w:t> </w:t>
      </w:r>
      <w:r>
        <w:rPr>
          <w:color w:val="231F20"/>
          <w:w w:val="110"/>
        </w:rPr>
        <w:t>deportar</w:t>
      </w:r>
      <w:r>
        <w:rPr>
          <w:color w:val="231F20"/>
          <w:spacing w:val="-19"/>
          <w:w w:val="110"/>
        </w:rPr>
        <w:t> </w:t>
      </w:r>
      <w:r>
        <w:rPr>
          <w:color w:val="231F20"/>
          <w:w w:val="110"/>
        </w:rPr>
        <w:t>a</w:t>
      </w:r>
      <w:r>
        <w:rPr>
          <w:color w:val="231F20"/>
          <w:spacing w:val="-19"/>
          <w:w w:val="110"/>
        </w:rPr>
        <w:t> </w:t>
      </w:r>
      <w:r>
        <w:rPr>
          <w:color w:val="231F20"/>
          <w:w w:val="110"/>
        </w:rPr>
        <w:t>Préval</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visita</w:t>
      </w:r>
      <w:r>
        <w:rPr>
          <w:color w:val="231F20"/>
          <w:spacing w:val="-19"/>
          <w:w w:val="110"/>
        </w:rPr>
        <w:t> </w:t>
      </w:r>
      <w:r>
        <w:rPr>
          <w:color w:val="231F20"/>
          <w:w w:val="110"/>
        </w:rPr>
        <w:t>de</w:t>
      </w:r>
      <w:r>
        <w:rPr>
          <w:color w:val="231F20"/>
          <w:spacing w:val="-19"/>
          <w:w w:val="110"/>
        </w:rPr>
        <w:t> </w:t>
      </w:r>
      <w:r>
        <w:rPr>
          <w:color w:val="231F20"/>
          <w:w w:val="110"/>
        </w:rPr>
        <w:t>la secretaria</w:t>
      </w:r>
      <w:r>
        <w:rPr>
          <w:color w:val="231F20"/>
          <w:spacing w:val="-11"/>
          <w:w w:val="110"/>
        </w:rPr>
        <w:t> </w:t>
      </w:r>
      <w:r>
        <w:rPr>
          <w:color w:val="231F20"/>
          <w:w w:val="110"/>
        </w:rPr>
        <w:t>de</w:t>
      </w:r>
      <w:r>
        <w:rPr>
          <w:color w:val="231F20"/>
          <w:spacing w:val="-11"/>
          <w:w w:val="110"/>
        </w:rPr>
        <w:t> </w:t>
      </w:r>
      <w:r>
        <w:rPr>
          <w:color w:val="231F20"/>
          <w:w w:val="110"/>
        </w:rPr>
        <w:t>Estado</w:t>
      </w:r>
      <w:r>
        <w:rPr>
          <w:color w:val="231F20"/>
          <w:spacing w:val="-11"/>
          <w:w w:val="110"/>
        </w:rPr>
        <w:t> </w:t>
      </w:r>
      <w:r>
        <w:rPr>
          <w:color w:val="231F20"/>
          <w:w w:val="110"/>
        </w:rPr>
        <w:t>Hillary</w:t>
      </w:r>
      <w:r>
        <w:rPr>
          <w:color w:val="231F20"/>
          <w:spacing w:val="-11"/>
          <w:w w:val="110"/>
        </w:rPr>
        <w:t> </w:t>
      </w:r>
      <w:r>
        <w:rPr>
          <w:color w:val="231F20"/>
          <w:w w:val="110"/>
        </w:rPr>
        <w:t>Clinton</w:t>
      </w:r>
      <w:r>
        <w:rPr>
          <w:color w:val="231F20"/>
          <w:spacing w:val="-11"/>
          <w:w w:val="110"/>
        </w:rPr>
        <w:t> </w:t>
      </w:r>
      <w:r>
        <w:rPr>
          <w:color w:val="231F20"/>
          <w:w w:val="110"/>
        </w:rPr>
        <w:t>efectuada</w:t>
      </w:r>
      <w:r>
        <w:rPr>
          <w:color w:val="231F20"/>
          <w:spacing w:val="-11"/>
          <w:w w:val="110"/>
        </w:rPr>
        <w:t> </w:t>
      </w:r>
      <w:r>
        <w:rPr>
          <w:color w:val="231F20"/>
          <w:w w:val="110"/>
        </w:rPr>
        <w:t>a</w:t>
      </w:r>
      <w:r>
        <w:rPr>
          <w:color w:val="231F20"/>
          <w:spacing w:val="-11"/>
          <w:w w:val="110"/>
        </w:rPr>
        <w:t> </w:t>
      </w:r>
      <w:r>
        <w:rPr>
          <w:color w:val="231F20"/>
          <w:w w:val="110"/>
        </w:rPr>
        <w:t>comienzos</w:t>
      </w:r>
      <w:r>
        <w:rPr>
          <w:color w:val="231F20"/>
          <w:spacing w:val="-11"/>
          <w:w w:val="110"/>
        </w:rPr>
        <w:t> </w:t>
      </w:r>
      <w:r>
        <w:rPr>
          <w:color w:val="231F20"/>
          <w:w w:val="110"/>
        </w:rPr>
        <w:t>del</w:t>
      </w:r>
      <w:r>
        <w:rPr>
          <w:color w:val="231F20"/>
          <w:spacing w:val="-11"/>
          <w:w w:val="110"/>
        </w:rPr>
        <w:t> </w:t>
      </w:r>
      <w:r>
        <w:rPr>
          <w:color w:val="231F20"/>
          <w:w w:val="110"/>
        </w:rPr>
        <w:t>2011) dirigidas a impedir la participación del “candidato oficialista”, Jude Celestin,</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segunda</w:t>
      </w:r>
      <w:r>
        <w:rPr>
          <w:color w:val="231F20"/>
          <w:spacing w:val="-7"/>
          <w:w w:val="110"/>
        </w:rPr>
        <w:t> </w:t>
      </w:r>
      <w:r>
        <w:rPr>
          <w:color w:val="231F20"/>
          <w:w w:val="110"/>
        </w:rPr>
        <w:t>vuelta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espurias</w:t>
      </w:r>
      <w:r>
        <w:rPr>
          <w:color w:val="231F20"/>
          <w:spacing w:val="-7"/>
          <w:w w:val="110"/>
        </w:rPr>
        <w:t> </w:t>
      </w:r>
      <w:r>
        <w:rPr>
          <w:color w:val="231F20"/>
          <w:w w:val="110"/>
        </w:rPr>
        <w:t>elecciones</w:t>
      </w:r>
      <w:r>
        <w:rPr>
          <w:color w:val="231F20"/>
          <w:spacing w:val="-7"/>
          <w:w w:val="110"/>
        </w:rPr>
        <w:t> </w:t>
      </w:r>
      <w:r>
        <w:rPr>
          <w:color w:val="231F20"/>
          <w:w w:val="110"/>
        </w:rPr>
        <w:t>presidencia- les pautadas para marzo del ese año. Esto —junto a la inhabilitación por</w:t>
      </w:r>
      <w:r>
        <w:rPr>
          <w:color w:val="231F20"/>
          <w:spacing w:val="-19"/>
          <w:w w:val="110"/>
        </w:rPr>
        <w:t> </w:t>
      </w:r>
      <w:r>
        <w:rPr>
          <w:color w:val="231F20"/>
          <w:w w:val="110"/>
        </w:rPr>
        <w:t>parte</w:t>
      </w:r>
      <w:r>
        <w:rPr>
          <w:color w:val="231F20"/>
          <w:spacing w:val="-19"/>
          <w:w w:val="110"/>
        </w:rPr>
        <w:t> </w:t>
      </w:r>
      <w:r>
        <w:rPr>
          <w:color w:val="231F20"/>
          <w:w w:val="110"/>
        </w:rPr>
        <w:t>del</w:t>
      </w:r>
      <w:r>
        <w:rPr>
          <w:color w:val="231F20"/>
          <w:spacing w:val="-19"/>
          <w:w w:val="110"/>
        </w:rPr>
        <w:t> </w:t>
      </w:r>
      <w:r>
        <w:rPr>
          <w:color w:val="231F20"/>
          <w:w w:val="110"/>
        </w:rPr>
        <w:t>Consejo</w:t>
      </w:r>
      <w:r>
        <w:rPr>
          <w:color w:val="231F20"/>
          <w:spacing w:val="-19"/>
          <w:w w:val="110"/>
        </w:rPr>
        <w:t> </w:t>
      </w:r>
      <w:r>
        <w:rPr>
          <w:color w:val="231F20"/>
          <w:w w:val="110"/>
        </w:rPr>
        <w:t>Electoral</w:t>
      </w:r>
      <w:r>
        <w:rPr>
          <w:color w:val="231F20"/>
          <w:spacing w:val="-19"/>
          <w:w w:val="110"/>
        </w:rPr>
        <w:t> </w:t>
      </w:r>
      <w:r>
        <w:rPr>
          <w:color w:val="231F20"/>
          <w:w w:val="110"/>
        </w:rPr>
        <w:t>Provisional</w:t>
      </w:r>
      <w:r>
        <w:rPr>
          <w:color w:val="231F20"/>
          <w:spacing w:val="-19"/>
          <w:w w:val="110"/>
        </w:rPr>
        <w:t> </w:t>
      </w:r>
      <w:r>
        <w:rPr>
          <w:color w:val="231F20"/>
          <w:w w:val="110"/>
        </w:rPr>
        <w:t>de</w:t>
      </w:r>
      <w:r>
        <w:rPr>
          <w:color w:val="231F20"/>
          <w:spacing w:val="-19"/>
          <w:w w:val="110"/>
        </w:rPr>
        <w:t> </w:t>
      </w:r>
      <w:r>
        <w:rPr>
          <w:color w:val="231F20"/>
          <w:w w:val="110"/>
        </w:rPr>
        <w:t>muchos</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candida- tos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llamada</w:t>
      </w:r>
      <w:r>
        <w:rPr>
          <w:color w:val="231F20"/>
          <w:spacing w:val="-15"/>
          <w:w w:val="110"/>
        </w:rPr>
        <w:t> </w:t>
      </w:r>
      <w:r>
        <w:rPr>
          <w:i/>
          <w:color w:val="231F20"/>
          <w:w w:val="110"/>
        </w:rPr>
        <w:t>Fammy</w:t>
      </w:r>
      <w:r>
        <w:rPr>
          <w:i/>
          <w:color w:val="231F20"/>
          <w:spacing w:val="-15"/>
          <w:w w:val="110"/>
        </w:rPr>
        <w:t> </w:t>
      </w:r>
      <w:r>
        <w:rPr>
          <w:i/>
          <w:color w:val="231F20"/>
          <w:w w:val="110"/>
        </w:rPr>
        <w:t>Lavalas</w:t>
      </w:r>
      <w:r>
        <w:rPr>
          <w:color w:val="231F20"/>
          <w:w w:val="110"/>
        </w:rPr>
        <w:t>,</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alta</w:t>
      </w:r>
      <w:r>
        <w:rPr>
          <w:color w:val="231F20"/>
          <w:spacing w:val="-15"/>
          <w:w w:val="110"/>
        </w:rPr>
        <w:t> </w:t>
      </w:r>
      <w:r>
        <w:rPr>
          <w:color w:val="231F20"/>
          <w:w w:val="110"/>
        </w:rPr>
        <w:t>abstención</w:t>
      </w:r>
      <w:r>
        <w:rPr>
          <w:color w:val="231F20"/>
          <w:spacing w:val="-15"/>
          <w:w w:val="110"/>
        </w:rPr>
        <w:t> </w:t>
      </w:r>
      <w:r>
        <w:rPr>
          <w:color w:val="231F20"/>
          <w:w w:val="110"/>
        </w:rPr>
        <w:t>electoral</w:t>
      </w:r>
      <w:r>
        <w:rPr>
          <w:color w:val="231F20"/>
          <w:spacing w:val="-15"/>
          <w:w w:val="110"/>
        </w:rPr>
        <w:t> </w:t>
      </w:r>
      <w:r>
        <w:rPr>
          <w:color w:val="231F20"/>
          <w:w w:val="110"/>
        </w:rPr>
        <w:t>(75%) que se registró en la primera vuelta de esas elecciones (noviembre del 2010), así como al impune y consentido retorno a Haití del sanguinario y corrupto dictador Jean Claude Duvalier (</w:t>
      </w:r>
      <w:r>
        <w:rPr>
          <w:i/>
          <w:color w:val="231F20"/>
          <w:w w:val="110"/>
        </w:rPr>
        <w:t>Baby</w:t>
      </w:r>
      <w:r>
        <w:rPr>
          <w:i/>
          <w:color w:val="231F20"/>
          <w:spacing w:val="-11"/>
          <w:w w:val="110"/>
        </w:rPr>
        <w:t> </w:t>
      </w:r>
      <w:r>
        <w:rPr>
          <w:i/>
          <w:color w:val="231F20"/>
          <w:w w:val="110"/>
        </w:rPr>
        <w:t>Doc</w:t>
      </w:r>
      <w:r>
        <w:rPr>
          <w:color w:val="231F20"/>
          <w:w w:val="110"/>
        </w:rPr>
        <w:t>)— debe favorecer la elección como presidente de la septuagenaria y derechista ex primera dama Mirlande Manigat;</w:t>
      </w:r>
      <w:r>
        <w:rPr>
          <w:color w:val="231F20"/>
          <w:w w:val="110"/>
          <w:position w:val="6"/>
          <w:sz w:val="13"/>
        </w:rPr>
        <w:t>6 </w:t>
      </w:r>
      <w:r>
        <w:rPr>
          <w:color w:val="231F20"/>
          <w:w w:val="110"/>
        </w:rPr>
        <w:t>quien —según los resultados</w:t>
      </w:r>
      <w:r>
        <w:rPr>
          <w:color w:val="231F20"/>
          <w:spacing w:val="-14"/>
          <w:w w:val="110"/>
        </w:rPr>
        <w:t> </w:t>
      </w:r>
      <w:r>
        <w:rPr>
          <w:color w:val="231F20"/>
          <w:w w:val="110"/>
        </w:rPr>
        <w:t>oficiales—</w:t>
      </w:r>
      <w:r>
        <w:rPr>
          <w:color w:val="231F20"/>
          <w:spacing w:val="-14"/>
          <w:w w:val="110"/>
        </w:rPr>
        <w:t> </w:t>
      </w:r>
      <w:r>
        <w:rPr>
          <w:color w:val="231F20"/>
          <w:w w:val="110"/>
        </w:rPr>
        <w:t>obtuvo</w:t>
      </w:r>
      <w:r>
        <w:rPr>
          <w:color w:val="231F20"/>
          <w:spacing w:val="-14"/>
          <w:w w:val="110"/>
        </w:rPr>
        <w:t> </w:t>
      </w:r>
      <w:r>
        <w:rPr>
          <w:color w:val="231F20"/>
          <w:w w:val="110"/>
        </w:rPr>
        <w:t>el</w:t>
      </w:r>
      <w:r>
        <w:rPr>
          <w:color w:val="231F20"/>
          <w:spacing w:val="-14"/>
          <w:w w:val="110"/>
        </w:rPr>
        <w:t> </w:t>
      </w:r>
      <w:r>
        <w:rPr>
          <w:color w:val="231F20"/>
          <w:w w:val="110"/>
        </w:rPr>
        <w:t>37%</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escasos</w:t>
      </w:r>
      <w:r>
        <w:rPr>
          <w:color w:val="231F20"/>
          <w:spacing w:val="-14"/>
          <w:w w:val="110"/>
        </w:rPr>
        <w:t> </w:t>
      </w:r>
      <w:r>
        <w:rPr>
          <w:color w:val="231F20"/>
          <w:w w:val="110"/>
        </w:rPr>
        <w:t>votos</w:t>
      </w:r>
      <w:r>
        <w:rPr>
          <w:color w:val="231F20"/>
          <w:spacing w:val="-14"/>
          <w:w w:val="110"/>
        </w:rPr>
        <w:t> </w:t>
      </w:r>
      <w:r>
        <w:rPr>
          <w:color w:val="231F20"/>
          <w:w w:val="110"/>
        </w:rPr>
        <w:t>válidos</w:t>
      </w:r>
      <w:r>
        <w:rPr>
          <w:color w:val="231F20"/>
          <w:spacing w:val="-14"/>
          <w:w w:val="110"/>
        </w:rPr>
        <w:t> </w:t>
      </w:r>
      <w:r>
        <w:rPr>
          <w:color w:val="231F20"/>
          <w:w w:val="110"/>
        </w:rPr>
        <w:t>que se</w:t>
      </w:r>
      <w:r>
        <w:rPr>
          <w:color w:val="231F20"/>
          <w:spacing w:val="-5"/>
          <w:w w:val="110"/>
        </w:rPr>
        <w:t> </w:t>
      </w:r>
      <w:r>
        <w:rPr>
          <w:color w:val="231F20"/>
          <w:w w:val="110"/>
        </w:rPr>
        <w:t>emitieron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primera</w:t>
      </w:r>
      <w:r>
        <w:rPr>
          <w:color w:val="231F20"/>
          <w:spacing w:val="-5"/>
          <w:w w:val="110"/>
        </w:rPr>
        <w:t> </w:t>
      </w:r>
      <w:r>
        <w:rPr>
          <w:color w:val="231F20"/>
          <w:w w:val="110"/>
        </w:rPr>
        <w:t>vuelta</w:t>
      </w:r>
      <w:r>
        <w:rPr>
          <w:color w:val="231F20"/>
          <w:spacing w:val="-5"/>
          <w:w w:val="110"/>
        </w:rPr>
        <w:t> </w:t>
      </w:r>
      <w:r>
        <w:rPr>
          <w:color w:val="231F20"/>
          <w:w w:val="110"/>
        </w:rPr>
        <w:t>de</w:t>
      </w:r>
      <w:r>
        <w:rPr>
          <w:color w:val="231F20"/>
          <w:spacing w:val="-5"/>
          <w:w w:val="110"/>
        </w:rPr>
        <w:t> </w:t>
      </w:r>
      <w:r>
        <w:rPr>
          <w:color w:val="231F20"/>
          <w:w w:val="110"/>
        </w:rPr>
        <w:t>esos</w:t>
      </w:r>
      <w:r>
        <w:rPr>
          <w:color w:val="231F20"/>
          <w:spacing w:val="-5"/>
          <w:w w:val="110"/>
        </w:rPr>
        <w:t> </w:t>
      </w:r>
      <w:r>
        <w:rPr>
          <w:color w:val="231F20"/>
          <w:w w:val="110"/>
        </w:rPr>
        <w:t>comicios</w:t>
      </w:r>
      <w:r>
        <w:rPr>
          <w:color w:val="231F20"/>
          <w:spacing w:val="-5"/>
          <w:w w:val="110"/>
        </w:rPr>
        <w:t> </w:t>
      </w:r>
      <w:r>
        <w:rPr>
          <w:color w:val="231F20"/>
          <w:w w:val="110"/>
        </w:rPr>
        <w:t>(Wiesbrot,</w:t>
      </w:r>
      <w:r>
        <w:rPr>
          <w:color w:val="231F20"/>
          <w:spacing w:val="-5"/>
          <w:w w:val="110"/>
        </w:rPr>
        <w:t> </w:t>
      </w:r>
      <w:r>
        <w:rPr>
          <w:color w:val="231F20"/>
          <w:w w:val="110"/>
        </w:rPr>
        <w:t>2011).</w:t>
      </w:r>
    </w:p>
    <w:p>
      <w:pPr>
        <w:pStyle w:val="BodyText"/>
      </w:pPr>
    </w:p>
    <w:p>
      <w:pPr>
        <w:pStyle w:val="BodyText"/>
      </w:pPr>
    </w:p>
    <w:p>
      <w:pPr>
        <w:pStyle w:val="BodyText"/>
        <w:spacing w:before="2"/>
        <w:rPr>
          <w:sz w:val="25"/>
        </w:rPr>
      </w:pPr>
    </w:p>
    <w:p>
      <w:pPr>
        <w:pStyle w:val="BodyText"/>
        <w:spacing w:line="261" w:lineRule="auto"/>
        <w:ind w:left="100" w:right="1851"/>
      </w:pPr>
      <w:r>
        <w:rPr>
          <w:color w:val="231F20"/>
          <w:w w:val="125"/>
        </w:rPr>
        <w:t>el “nuevo” pacto para la seguridad pública y la alianza “verde” de las américas</w:t>
      </w:r>
    </w:p>
    <w:p>
      <w:pPr>
        <w:pStyle w:val="BodyText"/>
        <w:spacing w:before="8"/>
        <w:rPr>
          <w:sz w:val="21"/>
        </w:rPr>
      </w:pPr>
    </w:p>
    <w:p>
      <w:pPr>
        <w:pStyle w:val="BodyText"/>
        <w:spacing w:line="261" w:lineRule="auto"/>
        <w:ind w:left="100" w:right="118"/>
        <w:jc w:val="both"/>
      </w:pPr>
      <w:r>
        <w:rPr>
          <w:color w:val="231F20"/>
          <w:w w:val="110"/>
        </w:rPr>
        <w:t>En cualquier caso, todos los elementos antes indicados y otros ex- cluidos en beneficio de la síntesis, confirman que, a pesar de los cambios</w:t>
      </w:r>
      <w:r>
        <w:rPr>
          <w:color w:val="231F20"/>
          <w:spacing w:val="-20"/>
          <w:w w:val="110"/>
        </w:rPr>
        <w:t> </w:t>
      </w:r>
      <w:r>
        <w:rPr>
          <w:color w:val="231F20"/>
          <w:w w:val="110"/>
        </w:rPr>
        <w:t>en</w:t>
      </w:r>
      <w:r>
        <w:rPr>
          <w:color w:val="231F20"/>
          <w:spacing w:val="-20"/>
          <w:w w:val="110"/>
        </w:rPr>
        <w:t> </w:t>
      </w:r>
      <w:r>
        <w:rPr>
          <w:color w:val="231F20"/>
          <w:w w:val="110"/>
        </w:rPr>
        <w:t>su</w:t>
      </w:r>
      <w:r>
        <w:rPr>
          <w:color w:val="231F20"/>
          <w:spacing w:val="-20"/>
          <w:w w:val="110"/>
        </w:rPr>
        <w:t> </w:t>
      </w:r>
      <w:r>
        <w:rPr>
          <w:color w:val="231F20"/>
          <w:w w:val="110"/>
        </w:rPr>
        <w:t>retórica</w:t>
      </w:r>
      <w:r>
        <w:rPr>
          <w:color w:val="231F20"/>
          <w:spacing w:val="-20"/>
          <w:w w:val="110"/>
        </w:rPr>
        <w:t> </w:t>
      </w:r>
      <w:r>
        <w:rPr>
          <w:color w:val="231F20"/>
          <w:w w:val="110"/>
        </w:rPr>
        <w:t>y</w:t>
      </w:r>
      <w:r>
        <w:rPr>
          <w:color w:val="231F20"/>
          <w:spacing w:val="-20"/>
          <w:w w:val="110"/>
        </w:rPr>
        <w:t> </w:t>
      </w:r>
      <w:r>
        <w:rPr>
          <w:color w:val="231F20"/>
          <w:w w:val="110"/>
        </w:rPr>
        <w:t>en</w:t>
      </w:r>
      <w:r>
        <w:rPr>
          <w:color w:val="231F20"/>
          <w:spacing w:val="-20"/>
          <w:w w:val="110"/>
        </w:rPr>
        <w:t> </w:t>
      </w:r>
      <w:r>
        <w:rPr>
          <w:color w:val="231F20"/>
          <w:w w:val="110"/>
        </w:rPr>
        <w:t>algunas</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prácticas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diplomacia” estadunidense precedente, al igual que de su reticencia a ratificar el </w:t>
      </w:r>
      <w:r>
        <w:rPr>
          <w:color w:val="231F20"/>
          <w:w w:val="135"/>
        </w:rPr>
        <w:t>tlc </w:t>
      </w:r>
      <w:r>
        <w:rPr>
          <w:color w:val="231F20"/>
          <w:w w:val="110"/>
        </w:rPr>
        <w:t>con Colombia y el tpc con Panamá, durante sus primeros dos años en la Casa Blanca Barack Obama le ha dado continuidad a las superpuestas estrategias de defensa y seguridad, así como para la promoción</w:t>
      </w:r>
      <w:r>
        <w:rPr>
          <w:color w:val="231F20"/>
          <w:spacing w:val="-21"/>
          <w:w w:val="110"/>
        </w:rPr>
        <w:t> </w:t>
      </w:r>
      <w:r>
        <w:rPr>
          <w:color w:val="231F20"/>
          <w:w w:val="110"/>
        </w:rPr>
        <w:t>(</w:t>
      </w:r>
      <w:r>
        <w:rPr>
          <w:i/>
          <w:color w:val="231F20"/>
          <w:w w:val="110"/>
        </w:rPr>
        <w:t>enlargement</w:t>
      </w:r>
      <w:r>
        <w:rPr>
          <w:color w:val="231F20"/>
          <w:w w:val="110"/>
        </w:rPr>
        <w:t>),</w:t>
      </w:r>
      <w:r>
        <w:rPr>
          <w:color w:val="231F20"/>
          <w:spacing w:val="-21"/>
          <w:w w:val="110"/>
        </w:rPr>
        <w:t> </w:t>
      </w:r>
      <w:r>
        <w:rPr>
          <w:color w:val="231F20"/>
          <w:w w:val="110"/>
        </w:rPr>
        <w:t>más</w:t>
      </w:r>
      <w:r>
        <w:rPr>
          <w:color w:val="231F20"/>
          <w:spacing w:val="-21"/>
          <w:w w:val="110"/>
        </w:rPr>
        <w:t> </w:t>
      </w:r>
      <w:r>
        <w:rPr>
          <w:color w:val="231F20"/>
          <w:w w:val="110"/>
        </w:rPr>
        <w:t>o</w:t>
      </w:r>
      <w:r>
        <w:rPr>
          <w:color w:val="231F20"/>
          <w:spacing w:val="-21"/>
          <w:w w:val="110"/>
        </w:rPr>
        <w:t> </w:t>
      </w:r>
      <w:r>
        <w:rPr>
          <w:color w:val="231F20"/>
          <w:w w:val="110"/>
        </w:rPr>
        <w:t>menos</w:t>
      </w:r>
      <w:r>
        <w:rPr>
          <w:color w:val="231F20"/>
          <w:spacing w:val="-21"/>
          <w:w w:val="110"/>
        </w:rPr>
        <w:t> </w:t>
      </w:r>
      <w:r>
        <w:rPr>
          <w:color w:val="231F20"/>
          <w:w w:val="110"/>
        </w:rPr>
        <w:t>compulsiva,</w:t>
      </w:r>
      <w:r>
        <w:rPr>
          <w:color w:val="231F20"/>
          <w:spacing w:val="-21"/>
          <w:w w:val="110"/>
        </w:rPr>
        <w:t> </w:t>
      </w:r>
      <w:r>
        <w:rPr>
          <w:color w:val="231F20"/>
          <w:w w:val="110"/>
        </w:rPr>
        <w:t>según</w:t>
      </w:r>
      <w:r>
        <w:rPr>
          <w:color w:val="231F20"/>
          <w:spacing w:val="-21"/>
          <w:w w:val="110"/>
        </w:rPr>
        <w:t> </w:t>
      </w:r>
      <w:r>
        <w:rPr>
          <w:color w:val="231F20"/>
          <w:w w:val="110"/>
        </w:rPr>
        <w:t>el</w:t>
      </w:r>
      <w:r>
        <w:rPr>
          <w:color w:val="231F20"/>
          <w:spacing w:val="-21"/>
          <w:w w:val="110"/>
        </w:rPr>
        <w:t> </w:t>
      </w:r>
      <w:r>
        <w:rPr>
          <w:color w:val="231F20"/>
          <w:w w:val="110"/>
        </w:rPr>
        <w:t>caso,</w:t>
      </w:r>
      <w:r>
        <w:rPr>
          <w:color w:val="231F20"/>
          <w:spacing w:val="-21"/>
          <w:w w:val="110"/>
        </w:rPr>
        <w:t> </w:t>
      </w:r>
      <w:r>
        <w:rPr>
          <w:color w:val="231F20"/>
          <w:w w:val="110"/>
        </w:rPr>
        <w:t>de</w:t>
      </w:r>
      <w:r>
        <w:rPr>
          <w:color w:val="231F20"/>
          <w:w w:val="114"/>
        </w:rPr>
        <w:t> </w:t>
      </w:r>
      <w:r>
        <w:rPr>
          <w:color w:val="231F20"/>
          <w:w w:val="110"/>
        </w:rPr>
        <w:t>las “democracias de libre mercado” (o poliarquías)</w:t>
      </w:r>
      <w:r>
        <w:rPr>
          <w:color w:val="231F20"/>
          <w:spacing w:val="8"/>
          <w:w w:val="110"/>
        </w:rPr>
        <w:t> </w:t>
      </w:r>
      <w:r>
        <w:rPr>
          <w:color w:val="231F20"/>
          <w:w w:val="110"/>
        </w:rPr>
        <w:t>impulsadas</w:t>
      </w:r>
      <w:r>
        <w:rPr>
          <w:color w:val="231F20"/>
          <w:spacing w:val="16"/>
          <w:w w:val="110"/>
        </w:rPr>
        <w:t> </w:t>
      </w:r>
      <w:r>
        <w:rPr>
          <w:color w:val="231F20"/>
          <w:w w:val="110"/>
        </w:rPr>
        <w:t>por</w:t>
      </w:r>
      <w:r>
        <w:rPr>
          <w:color w:val="231F20"/>
          <w:w w:val="115"/>
        </w:rPr>
        <w:t> </w:t>
      </w:r>
      <w:r>
        <w:rPr>
          <w:color w:val="231F20"/>
          <w:w w:val="110"/>
        </w:rPr>
        <w:t>el gobierno temporal de George </w:t>
      </w:r>
      <w:r>
        <w:rPr>
          <w:color w:val="231F20"/>
          <w:spacing w:val="-6"/>
          <w:w w:val="110"/>
        </w:rPr>
        <w:t>W.</w:t>
      </w:r>
      <w:r>
        <w:rPr>
          <w:color w:val="231F20"/>
          <w:spacing w:val="41"/>
          <w:w w:val="110"/>
        </w:rPr>
        <w:t> </w:t>
      </w:r>
      <w:r>
        <w:rPr>
          <w:color w:val="231F20"/>
          <w:w w:val="110"/>
        </w:rPr>
        <w:t>Bush.</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6 </w:t>
      </w:r>
      <w:r>
        <w:rPr>
          <w:color w:val="231F20"/>
          <w:w w:val="110"/>
          <w:sz w:val="16"/>
        </w:rPr>
        <w:t>Marilande es la viuda Leslie Manigat que —con el respaldo oficial estaduniden- se— ocupó la presidencia de Haití entre enero y junio de 1988. Como parte de la heterogénea coalición Convergencia Democrática (apoyada por Estados Unidos)</w:t>
      </w:r>
      <w:r>
        <w:rPr>
          <w:color w:val="231F20"/>
          <w:spacing w:val="-15"/>
          <w:w w:val="110"/>
          <w:sz w:val="16"/>
        </w:rPr>
        <w:t> </w:t>
      </w:r>
      <w:r>
        <w:rPr>
          <w:color w:val="231F20"/>
          <w:w w:val="110"/>
          <w:sz w:val="16"/>
        </w:rPr>
        <w:t>Ma- nigat presentó su candidatura a las elecciones presidenciales del 2006. Fue derrotado por el actual presidente René Préval, candidato de uno de los desprendimientos del otrora llamado Movimiento </w:t>
      </w:r>
      <w:r>
        <w:rPr>
          <w:i/>
          <w:color w:val="231F20"/>
          <w:w w:val="110"/>
          <w:sz w:val="16"/>
        </w:rPr>
        <w:t>Lavalas</w:t>
      </w:r>
      <w:r>
        <w:rPr>
          <w:color w:val="231F20"/>
          <w:w w:val="110"/>
          <w:sz w:val="16"/>
        </w:rPr>
        <w:t>, fundado por el varias veces derrocado ex presi- dente Jean Bertrand</w:t>
      </w:r>
      <w:r>
        <w:rPr>
          <w:color w:val="231F20"/>
          <w:spacing w:val="20"/>
          <w:w w:val="110"/>
          <w:sz w:val="16"/>
        </w:rPr>
        <w:t> </w:t>
      </w:r>
      <w:r>
        <w:rPr>
          <w:color w:val="231F20"/>
          <w:w w:val="110"/>
          <w:sz w:val="16"/>
        </w:rPr>
        <w:t>Aristide.</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En lo que atañe a “la seguridad hemisférica”, lo nuevo parece ser que, en el futuro previsible, el pretexto legitimador de esos empren- dimientos no serán únicamente la llamada “guerra contra el narco- terrorismo” impulsada por la antes mencionada administración, sino también la promoción de un Pacto para la Seguridad Pública de las Américas orientado —en palabras de Obama— a combatir “el trá- fico de drogas, la actividad delictiva doméstica y transnacional”, “el crimen organizado”, el “tráfico humano” y la “inmigración ilegal”, así como a fortalecer la cooperación en materia de inteligencia y    de investigación de las actividades criminales, entre “las fuerzas de la ley” y las instituciones judiciales, al igual que “la salvaguarda de éstas contra la corrupción” (Obama, 2008 y 2008a): componentes</w:t>
      </w:r>
      <w:r>
        <w:rPr>
          <w:color w:val="231F20"/>
          <w:spacing w:val="-37"/>
          <w:w w:val="110"/>
        </w:rPr>
        <w:t> </w:t>
      </w:r>
      <w:r>
        <w:rPr>
          <w:color w:val="231F20"/>
          <w:w w:val="110"/>
        </w:rPr>
        <w:t>ya presentes,</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u</w:t>
      </w:r>
      <w:r>
        <w:rPr>
          <w:color w:val="231F20"/>
          <w:spacing w:val="-11"/>
          <w:w w:val="110"/>
        </w:rPr>
        <w:t> </w:t>
      </w:r>
      <w:r>
        <w:rPr>
          <w:color w:val="231F20"/>
          <w:w w:val="110"/>
        </w:rPr>
        <w:t>otra</w:t>
      </w:r>
      <w:r>
        <w:rPr>
          <w:color w:val="231F20"/>
          <w:spacing w:val="-11"/>
          <w:w w:val="110"/>
        </w:rPr>
        <w:t> </w:t>
      </w:r>
      <w:r>
        <w:rPr>
          <w:color w:val="231F20"/>
          <w:w w:val="110"/>
        </w:rPr>
        <w:t>forma,</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discurso</w:t>
      </w:r>
      <w:r>
        <w:rPr>
          <w:color w:val="231F20"/>
          <w:spacing w:val="-11"/>
          <w:w w:val="110"/>
        </w:rPr>
        <w:t> </w:t>
      </w:r>
      <w:r>
        <w:rPr>
          <w:color w:val="231F20"/>
          <w:w w:val="110"/>
        </w:rPr>
        <w:t>y</w:t>
      </w:r>
      <w:r>
        <w:rPr>
          <w:color w:val="231F20"/>
          <w:spacing w:val="-10"/>
          <w:w w:val="110"/>
        </w:rPr>
        <w:t> </w:t>
      </w:r>
      <w:r>
        <w:rPr>
          <w:i/>
          <w:color w:val="231F20"/>
          <w:w w:val="110"/>
        </w:rPr>
        <w:t>la</w:t>
      </w:r>
      <w:r>
        <w:rPr>
          <w:i/>
          <w:color w:val="231F20"/>
          <w:spacing w:val="-11"/>
          <w:w w:val="110"/>
        </w:rPr>
        <w:t> </w:t>
      </w:r>
      <w:r>
        <w:rPr>
          <w:i/>
          <w:color w:val="231F20"/>
          <w:w w:val="110"/>
        </w:rPr>
        <w:t>praxis</w:t>
      </w:r>
      <w:r>
        <w:rPr>
          <w:i/>
          <w:color w:val="231F20"/>
          <w:spacing w:val="-11"/>
          <w:w w:val="110"/>
        </w:rPr>
        <w:t> </w:t>
      </w:r>
      <w:r>
        <w:rPr>
          <w:color w:val="231F20"/>
          <w:w w:val="110"/>
        </w:rPr>
        <w:t>del</w:t>
      </w:r>
      <w:r>
        <w:rPr>
          <w:color w:val="231F20"/>
          <w:spacing w:val="-11"/>
          <w:w w:val="110"/>
        </w:rPr>
        <w:t> </w:t>
      </w:r>
      <w:r>
        <w:rPr>
          <w:color w:val="231F20"/>
          <w:w w:val="110"/>
        </w:rPr>
        <w:t>gobierno temporal </w:t>
      </w:r>
      <w:r>
        <w:rPr>
          <w:color w:val="231F20"/>
          <w:spacing w:val="1"/>
          <w:w w:val="110"/>
        </w:rPr>
        <w:t> </w:t>
      </w:r>
      <w:r>
        <w:rPr>
          <w:color w:val="231F20"/>
          <w:w w:val="110"/>
        </w:rPr>
        <w:t>precedente.</w:t>
      </w:r>
    </w:p>
    <w:p>
      <w:pPr>
        <w:pStyle w:val="BodyText"/>
        <w:spacing w:line="261" w:lineRule="auto"/>
        <w:ind w:left="100" w:right="117" w:firstLine="240"/>
        <w:jc w:val="both"/>
      </w:pPr>
      <w:r>
        <w:rPr>
          <w:color w:val="231F20"/>
          <w:w w:val="110"/>
        </w:rPr>
        <w:t>Aunque sin ofrecer detalles al respecto, esas ideas se reiteraron en el mensaje que Obama difundió previo a la Quinta Cumbre de   las Américas (Obama, 2009), y en el discurso que pronunció en esa cita. En éste —además de mencionar la necesidad de combatir las causalidades sociales del consumo y el “comercio de drogas” (ele- mento escasamente presente en el discurso y la </w:t>
      </w:r>
      <w:r>
        <w:rPr>
          <w:i/>
          <w:color w:val="231F20"/>
          <w:w w:val="110"/>
        </w:rPr>
        <w:t>praxis </w:t>
      </w:r>
      <w:r>
        <w:rPr>
          <w:color w:val="231F20"/>
          <w:w w:val="110"/>
        </w:rPr>
        <w:t>de su antece- sor)— reiteró su hasta ahora incumplida intención de convertir en una prioridad de su proyección externa la ratificación por parte del senado</w:t>
      </w:r>
      <w:r>
        <w:rPr>
          <w:color w:val="231F20"/>
          <w:spacing w:val="-11"/>
          <w:w w:val="110"/>
        </w:rPr>
        <w:t> </w:t>
      </w:r>
      <w:r>
        <w:rPr>
          <w:color w:val="231F20"/>
          <w:w w:val="110"/>
        </w:rPr>
        <w:t>de</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Convención</w:t>
      </w:r>
      <w:r>
        <w:rPr>
          <w:color w:val="231F20"/>
          <w:spacing w:val="-11"/>
          <w:w w:val="110"/>
        </w:rPr>
        <w:t> </w:t>
      </w:r>
      <w:r>
        <w:rPr>
          <w:color w:val="231F20"/>
          <w:w w:val="110"/>
        </w:rPr>
        <w:t>Interamericana</w:t>
      </w:r>
      <w:r>
        <w:rPr>
          <w:color w:val="231F20"/>
          <w:spacing w:val="-11"/>
          <w:w w:val="110"/>
        </w:rPr>
        <w:t> </w:t>
      </w:r>
      <w:r>
        <w:rPr>
          <w:color w:val="231F20"/>
          <w:w w:val="110"/>
        </w:rPr>
        <w:t>contra</w:t>
      </w:r>
      <w:r>
        <w:rPr>
          <w:color w:val="231F20"/>
          <w:spacing w:val="-11"/>
          <w:w w:val="110"/>
        </w:rPr>
        <w:t> </w:t>
      </w:r>
      <w:r>
        <w:rPr>
          <w:color w:val="231F20"/>
          <w:w w:val="110"/>
        </w:rPr>
        <w:t>la Fabricación</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spacing w:val="-3"/>
          <w:w w:val="110"/>
        </w:rPr>
        <w:t>Tráfico</w:t>
      </w:r>
      <w:r>
        <w:rPr>
          <w:color w:val="231F20"/>
          <w:spacing w:val="-12"/>
          <w:w w:val="110"/>
        </w:rPr>
        <w:t> </w:t>
      </w:r>
      <w:r>
        <w:rPr>
          <w:color w:val="231F20"/>
          <w:w w:val="110"/>
        </w:rPr>
        <w:t>de</w:t>
      </w:r>
      <w:r>
        <w:rPr>
          <w:color w:val="231F20"/>
          <w:spacing w:val="-12"/>
          <w:w w:val="110"/>
        </w:rPr>
        <w:t> </w:t>
      </w:r>
      <w:r>
        <w:rPr>
          <w:color w:val="231F20"/>
          <w:w w:val="110"/>
        </w:rPr>
        <w:t>Armas</w:t>
      </w:r>
      <w:r>
        <w:rPr>
          <w:color w:val="231F20"/>
          <w:spacing w:val="-12"/>
          <w:w w:val="110"/>
        </w:rPr>
        <w:t> </w:t>
      </w:r>
      <w:r>
        <w:rPr>
          <w:color w:val="231F20"/>
          <w:w w:val="110"/>
        </w:rPr>
        <w:t>de</w:t>
      </w:r>
      <w:r>
        <w:rPr>
          <w:color w:val="231F20"/>
          <w:spacing w:val="-12"/>
          <w:w w:val="110"/>
        </w:rPr>
        <w:t> </w:t>
      </w:r>
      <w:r>
        <w:rPr>
          <w:color w:val="231F20"/>
          <w:w w:val="110"/>
        </w:rPr>
        <w:t>Fuego,</w:t>
      </w:r>
      <w:r>
        <w:rPr>
          <w:color w:val="231F20"/>
          <w:spacing w:val="-12"/>
          <w:w w:val="110"/>
        </w:rPr>
        <w:t> </w:t>
      </w:r>
      <w:r>
        <w:rPr>
          <w:color w:val="231F20"/>
          <w:w w:val="110"/>
        </w:rPr>
        <w:t>Municiones,</w:t>
      </w:r>
      <w:r>
        <w:rPr>
          <w:color w:val="231F20"/>
          <w:spacing w:val="-12"/>
          <w:w w:val="110"/>
        </w:rPr>
        <w:t> </w:t>
      </w:r>
      <w:r>
        <w:rPr>
          <w:color w:val="231F20"/>
          <w:w w:val="110"/>
        </w:rPr>
        <w:t>Explosivos y otros Materiales Relacionados, aprobada por la Asamblea General de la oea en 1997 (Obama, </w:t>
      </w:r>
      <w:r>
        <w:rPr>
          <w:color w:val="231F20"/>
          <w:spacing w:val="25"/>
          <w:w w:val="110"/>
        </w:rPr>
        <w:t> </w:t>
      </w:r>
      <w:r>
        <w:rPr>
          <w:color w:val="231F20"/>
          <w:w w:val="110"/>
        </w:rPr>
        <w:t>2009a).</w:t>
      </w:r>
    </w:p>
    <w:p>
      <w:pPr>
        <w:pStyle w:val="BodyText"/>
        <w:spacing w:line="261" w:lineRule="auto"/>
        <w:ind w:left="100" w:right="117" w:firstLine="240"/>
        <w:jc w:val="both"/>
      </w:pPr>
      <w:r>
        <w:rPr>
          <w:color w:val="231F20"/>
          <w:w w:val="110"/>
        </w:rPr>
        <w:t>En ese contexto, merece recordar que, previamente, los nego- ciadores oficiales estadunidenses, al igual que los de la mayoría de los otros países del hemisferio habían aceptado que en el llamado Compromiso de Puerto España (que debían haber signado todos los mandatarios asistentes a la antes referida cumbre) se incluyera un acápite dirigido a “reforzar la seguridad pública en las Américas”. Por consiguiente, estaba previsto que todos los jefes de Estado y de gobierno participantes en esa cita expresaran con sus firmas (cosa que no hicieron) “su voluntad de implementar el Compromiso con la Seguridad Pública de las Américas” adoptado en la primera reu- nión de Ministros encargados de esa tarea (conocida como mispa  en el lenguaje de la oea) efectuada en México en octubre del 2008 (gric, </w:t>
      </w:r>
      <w:r>
        <w:rPr>
          <w:color w:val="231F20"/>
          <w:spacing w:val="23"/>
          <w:w w:val="110"/>
        </w:rPr>
        <w:t> </w:t>
      </w:r>
      <w:r>
        <w:rPr>
          <w:color w:val="231F20"/>
          <w:w w:val="110"/>
        </w:rPr>
        <w:t>2009).</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Igualmente, debían haberse comprometido a implementar los acuerdos emanados de las reuniones de ministros de justicia u otros ministros,</w:t>
      </w:r>
      <w:r>
        <w:rPr>
          <w:color w:val="231F20"/>
          <w:spacing w:val="-12"/>
          <w:w w:val="110"/>
        </w:rPr>
        <w:t> </w:t>
      </w:r>
      <w:r>
        <w:rPr>
          <w:color w:val="231F20"/>
          <w:w w:val="110"/>
        </w:rPr>
        <w:t>procuradores</w:t>
      </w:r>
      <w:r>
        <w:rPr>
          <w:color w:val="231F20"/>
          <w:spacing w:val="-12"/>
          <w:w w:val="110"/>
        </w:rPr>
        <w:t> </w:t>
      </w:r>
      <w:r>
        <w:rPr>
          <w:color w:val="231F20"/>
          <w:w w:val="110"/>
        </w:rPr>
        <w:t>o</w:t>
      </w:r>
      <w:r>
        <w:rPr>
          <w:color w:val="231F20"/>
          <w:spacing w:val="-12"/>
          <w:w w:val="110"/>
        </w:rPr>
        <w:t> </w:t>
      </w:r>
      <w:r>
        <w:rPr>
          <w:color w:val="231F20"/>
          <w:w w:val="110"/>
        </w:rPr>
        <w:t>fiscales</w:t>
      </w:r>
      <w:r>
        <w:rPr>
          <w:color w:val="231F20"/>
          <w:spacing w:val="-12"/>
          <w:w w:val="110"/>
        </w:rPr>
        <w:t> </w:t>
      </w:r>
      <w:r>
        <w:rPr>
          <w:color w:val="231F20"/>
          <w:w w:val="110"/>
        </w:rPr>
        <w:t>generales</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Américas</w:t>
      </w:r>
      <w:r>
        <w:rPr>
          <w:color w:val="231F20"/>
          <w:spacing w:val="-12"/>
          <w:w w:val="110"/>
        </w:rPr>
        <w:t> </w:t>
      </w:r>
      <w:r>
        <w:rPr>
          <w:color w:val="231F20"/>
          <w:w w:val="110"/>
        </w:rPr>
        <w:t>(conoci- das como remja en el lenguaje de la oea) que ya se habían</w:t>
      </w:r>
      <w:r>
        <w:rPr>
          <w:color w:val="231F20"/>
          <w:spacing w:val="-11"/>
          <w:w w:val="110"/>
        </w:rPr>
        <w:t> </w:t>
      </w:r>
      <w:r>
        <w:rPr>
          <w:color w:val="231F20"/>
          <w:w w:val="110"/>
        </w:rPr>
        <w:t>efectuado en los años precedentes. Asimismo, estaba previsto que dichos</w:t>
      </w:r>
      <w:r>
        <w:rPr>
          <w:color w:val="231F20"/>
          <w:spacing w:val="-18"/>
          <w:w w:val="110"/>
        </w:rPr>
        <w:t> </w:t>
      </w:r>
      <w:r>
        <w:rPr>
          <w:color w:val="231F20"/>
          <w:w w:val="110"/>
        </w:rPr>
        <w:t>man- datarios</w:t>
      </w:r>
      <w:r>
        <w:rPr>
          <w:color w:val="231F20"/>
          <w:spacing w:val="-13"/>
          <w:w w:val="110"/>
        </w:rPr>
        <w:t> </w:t>
      </w:r>
      <w:r>
        <w:rPr>
          <w:color w:val="231F20"/>
          <w:w w:val="110"/>
        </w:rPr>
        <w:t>le</w:t>
      </w:r>
      <w:r>
        <w:rPr>
          <w:color w:val="231F20"/>
          <w:spacing w:val="-13"/>
          <w:w w:val="110"/>
        </w:rPr>
        <w:t> </w:t>
      </w:r>
      <w:r>
        <w:rPr>
          <w:color w:val="231F20"/>
          <w:w w:val="110"/>
        </w:rPr>
        <w:t>solicitaran</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Secretaría</w:t>
      </w:r>
      <w:r>
        <w:rPr>
          <w:color w:val="231F20"/>
          <w:spacing w:val="-13"/>
          <w:w w:val="110"/>
        </w:rPr>
        <w:t> </w:t>
      </w:r>
      <w:r>
        <w:rPr>
          <w:color w:val="231F20"/>
          <w:w w:val="110"/>
        </w:rPr>
        <w:t>General</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oea</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Sexta Cumbre de las Américas (se celebrará en Colombia en el año 2013) presentara un informe sobre “el avance en el cumplimiento” de los compromisos asumidos en las remja o en las reuniones de mispa ya realizadas</w:t>
      </w:r>
      <w:r>
        <w:rPr>
          <w:color w:val="231F20"/>
          <w:spacing w:val="-6"/>
          <w:w w:val="110"/>
        </w:rPr>
        <w:t> </w:t>
      </w:r>
      <w:r>
        <w:rPr>
          <w:color w:val="231F20"/>
          <w:w w:val="110"/>
        </w:rPr>
        <w:t>o</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efectuaran</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venideros;</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como</w:t>
      </w:r>
      <w:r>
        <w:rPr>
          <w:color w:val="231F20"/>
          <w:spacing w:val="-6"/>
          <w:w w:val="110"/>
        </w:rPr>
        <w:t> </w:t>
      </w:r>
      <w:r>
        <w:rPr>
          <w:color w:val="231F20"/>
          <w:w w:val="110"/>
        </w:rPr>
        <w:t>se demostró en la segunda mispa realizada en República Dominicana a comienzos de 2010, le garantizó a la actual administración</w:t>
      </w:r>
      <w:r>
        <w:rPr>
          <w:color w:val="231F20"/>
          <w:spacing w:val="-16"/>
          <w:w w:val="110"/>
        </w:rPr>
        <w:t> </w:t>
      </w:r>
      <w:r>
        <w:rPr>
          <w:color w:val="231F20"/>
          <w:w w:val="110"/>
        </w:rPr>
        <w:t>estaduni- dense el respaldo mayoritario de los 32 gobiernos latinoamericanos y caribeños integrantes de la oea a su llamada “alianza hemisférica contra el crimen y por la seguridad” (Obama, 2009 y</w:t>
      </w:r>
      <w:r>
        <w:rPr>
          <w:color w:val="231F20"/>
          <w:spacing w:val="38"/>
          <w:w w:val="110"/>
        </w:rPr>
        <w:t> </w:t>
      </w:r>
      <w:r>
        <w:rPr>
          <w:color w:val="231F20"/>
          <w:w w:val="110"/>
        </w:rPr>
        <w:t>2009a).</w:t>
      </w:r>
    </w:p>
    <w:p>
      <w:pPr>
        <w:pStyle w:val="BodyText"/>
        <w:spacing w:line="261" w:lineRule="auto"/>
        <w:ind w:left="100" w:right="112" w:firstLine="240"/>
        <w:jc w:val="both"/>
      </w:pPr>
      <w:r>
        <w:rPr>
          <w:color w:val="231F20"/>
          <w:w w:val="105"/>
        </w:rPr>
        <w:t>Mucho más porque las ideas  acerca  de  esa  alianza  expresadas  por Obama desde su campaña electoral parecen inspiradas en las definiciones  sobre  la  “seguridad  multidimensional”  adoptadas  </w:t>
      </w:r>
      <w:r>
        <w:rPr>
          <w:color w:val="231F20"/>
          <w:spacing w:val="2"/>
          <w:w w:val="105"/>
        </w:rPr>
        <w:t>en   la </w:t>
      </w:r>
      <w:r>
        <w:rPr>
          <w:color w:val="231F20"/>
          <w:spacing w:val="4"/>
          <w:w w:val="105"/>
        </w:rPr>
        <w:t>Conferencia Especial  sobre  Seguridad  Hemisférica  realizada  </w:t>
      </w:r>
      <w:r>
        <w:rPr>
          <w:color w:val="231F20"/>
          <w:w w:val="105"/>
        </w:rPr>
        <w:t>en México en octubre de 2003. Por lo tanto, lo único “nuevo” es la sistemática incorporación de esas definiciones al discurso del actual ocupante de la Casa Blanca. Éste —a diferencia de su predecesor “neoconservador”— también ha incluido en los enunciados de su política interna y exterior varios términos provenientes del legado </w:t>
      </w:r>
      <w:r>
        <w:rPr>
          <w:i/>
          <w:color w:val="231F20"/>
          <w:w w:val="105"/>
        </w:rPr>
        <w:t>keynesiano </w:t>
      </w:r>
      <w:r>
        <w:rPr>
          <w:color w:val="231F20"/>
          <w:w w:val="105"/>
        </w:rPr>
        <w:t>y reformista del renombrado presidente demócrata esta- dunidense Franklin Delano Roosevelt (1933-1945). Igualmente, del discurso neodesarrollista, ambientalista y asistencialista aprobado, a partir de los años noventa, por diversas conferencias especializadas de la onu. Entre ellas, la que en 2005 analizó los “Desafíos del Milenio”   y adoptó un plan de acción dirigido a disminuir antes de 2015 la galopante pobreza crítica y crónica que afecta a diversos países del  todo el mundo: objetivo incluido en la retórica del Banco Mundial, controlado  por  el  Departamento  del  </w:t>
      </w:r>
      <w:r>
        <w:rPr>
          <w:color w:val="231F20"/>
          <w:spacing w:val="-4"/>
          <w:w w:val="105"/>
        </w:rPr>
        <w:t>Tesoro  </w:t>
      </w:r>
      <w:r>
        <w:rPr>
          <w:color w:val="231F20"/>
          <w:w w:val="105"/>
        </w:rPr>
        <w:t>de  Estados</w:t>
      </w:r>
      <w:r>
        <w:rPr>
          <w:color w:val="231F20"/>
          <w:spacing w:val="3"/>
          <w:w w:val="105"/>
        </w:rPr>
        <w:t> </w:t>
      </w:r>
      <w:r>
        <w:rPr>
          <w:color w:val="231F20"/>
          <w:w w:val="105"/>
        </w:rPr>
        <w:t>Unidos.</w:t>
      </w:r>
    </w:p>
    <w:p>
      <w:pPr>
        <w:pStyle w:val="BodyText"/>
        <w:spacing w:line="261" w:lineRule="auto"/>
        <w:ind w:left="100" w:right="116" w:firstLine="240"/>
        <w:jc w:val="both"/>
      </w:pPr>
      <w:r>
        <w:rPr>
          <w:color w:val="231F20"/>
          <w:w w:val="110"/>
        </w:rPr>
        <w:t>Sin duda, en ese orden, y en correspondencia con “los cambios” reiteradamente prometidos en sus diversos discursos sobre su polí- tica interna, Obama ha asumido públicamente un compromiso más firme que su antecesor republicano, ya que en más de una ocasión ha hecho referencias “a los problemas que sufre la gente” de me- nores ingresos, tanto en Estados Unidos, como en América    Latina</w:t>
      </w:r>
    </w:p>
    <w:p>
      <w:pPr>
        <w:spacing w:after="0" w:line="261" w:lineRule="auto"/>
        <w:jc w:val="both"/>
        <w:sectPr>
          <w:headerReference w:type="even" r:id="rId291"/>
          <w:headerReference w:type="default" r:id="rId292"/>
          <w:pgSz w:w="7640" w:h="11900"/>
          <w:pgMar w:header="672" w:footer="0" w:top="860" w:bottom="280" w:left="780" w:right="640"/>
        </w:sectPr>
      </w:pPr>
    </w:p>
    <w:p>
      <w:pPr>
        <w:pStyle w:val="BodyText"/>
        <w:spacing w:before="8"/>
        <w:rPr>
          <w:sz w:val="8"/>
        </w:rPr>
      </w:pPr>
    </w:p>
    <w:p>
      <w:pPr>
        <w:pStyle w:val="BodyText"/>
        <w:spacing w:line="261" w:lineRule="auto" w:before="67"/>
        <w:ind w:left="100" w:right="116"/>
        <w:jc w:val="both"/>
      </w:pPr>
      <w:r>
        <w:rPr>
          <w:color w:val="231F20"/>
          <w:w w:val="110"/>
        </w:rPr>
        <w:t>y el Caribe (Obama, 2009, 2010 y 2011). Para tratar de mitigar esos sufrimientos (sin resolver las causas estructurales que los determi- nan) y luego de reconocer el negativo impacto social de “la crisis económica y financiera” que estalló a fines del 2008, en su discurso en la Quinta Cumbre de las Américas indicó que le había solicitado al Congreso 448 millones de dólares dirigidos a ofrecer asistencia inmediata a “las poblaciones vulnerables” de esa parte del mundo. También</w:t>
      </w:r>
      <w:r>
        <w:rPr>
          <w:color w:val="231F20"/>
          <w:spacing w:val="-10"/>
          <w:w w:val="110"/>
        </w:rPr>
        <w:t> </w:t>
      </w:r>
      <w:r>
        <w:rPr>
          <w:color w:val="231F20"/>
          <w:w w:val="110"/>
        </w:rPr>
        <w:t>anunció</w:t>
      </w:r>
      <w:r>
        <w:rPr>
          <w:color w:val="231F20"/>
          <w:spacing w:val="-10"/>
          <w:w w:val="110"/>
        </w:rPr>
        <w:t> </w:t>
      </w:r>
      <w:r>
        <w:rPr>
          <w:color w:val="231F20"/>
          <w:w w:val="110"/>
        </w:rPr>
        <w:t>que</w:t>
      </w:r>
      <w:r>
        <w:rPr>
          <w:color w:val="231F20"/>
          <w:spacing w:val="-10"/>
          <w:w w:val="110"/>
        </w:rPr>
        <w:t> </w:t>
      </w:r>
      <w:r>
        <w:rPr>
          <w:color w:val="231F20"/>
          <w:w w:val="110"/>
        </w:rPr>
        <w:t>trabajará</w:t>
      </w:r>
      <w:r>
        <w:rPr>
          <w:color w:val="231F20"/>
          <w:spacing w:val="-10"/>
          <w:w w:val="110"/>
        </w:rPr>
        <w:t> </w:t>
      </w:r>
      <w:r>
        <w:rPr>
          <w:color w:val="231F20"/>
          <w:w w:val="110"/>
        </w:rPr>
        <w:t>con</w:t>
      </w:r>
      <w:r>
        <w:rPr>
          <w:color w:val="231F20"/>
          <w:spacing w:val="-10"/>
          <w:w w:val="110"/>
        </w:rPr>
        <w:t> </w:t>
      </w:r>
      <w:r>
        <w:rPr>
          <w:color w:val="231F20"/>
          <w:w w:val="110"/>
        </w:rPr>
        <w:t>sus</w:t>
      </w:r>
      <w:r>
        <w:rPr>
          <w:color w:val="231F20"/>
          <w:spacing w:val="-10"/>
          <w:w w:val="110"/>
        </w:rPr>
        <w:t> </w:t>
      </w:r>
      <w:r>
        <w:rPr>
          <w:color w:val="231F20"/>
          <w:w w:val="110"/>
        </w:rPr>
        <w:t>“aliados</w:t>
      </w:r>
      <w:r>
        <w:rPr>
          <w:color w:val="231F20"/>
          <w:spacing w:val="-10"/>
          <w:w w:val="110"/>
        </w:rPr>
        <w:t> </w:t>
      </w:r>
      <w:r>
        <w:rPr>
          <w:color w:val="231F20"/>
          <w:w w:val="110"/>
        </w:rPr>
        <w:t>del</w:t>
      </w:r>
      <w:r>
        <w:rPr>
          <w:color w:val="231F20"/>
          <w:spacing w:val="-10"/>
          <w:w w:val="110"/>
        </w:rPr>
        <w:t> </w:t>
      </w:r>
      <w:r>
        <w:rPr>
          <w:color w:val="231F20"/>
          <w:w w:val="110"/>
        </w:rPr>
        <w:t>G20</w:t>
      </w:r>
      <w:r>
        <w:rPr>
          <w:color w:val="231F20"/>
          <w:spacing w:val="-10"/>
          <w:w w:val="110"/>
        </w:rPr>
        <w:t> </w:t>
      </w:r>
      <w:r>
        <w:rPr>
          <w:color w:val="231F20"/>
          <w:w w:val="110"/>
        </w:rPr>
        <w:t>para</w:t>
      </w:r>
      <w:r>
        <w:rPr>
          <w:color w:val="231F20"/>
          <w:spacing w:val="-10"/>
          <w:w w:val="110"/>
        </w:rPr>
        <w:t> </w:t>
      </w:r>
      <w:r>
        <w:rPr>
          <w:color w:val="231F20"/>
          <w:w w:val="110"/>
        </w:rPr>
        <w:t>asignar recursos</w:t>
      </w:r>
      <w:r>
        <w:rPr>
          <w:color w:val="231F20"/>
          <w:spacing w:val="-12"/>
          <w:w w:val="110"/>
        </w:rPr>
        <w:t> </w:t>
      </w:r>
      <w:r>
        <w:rPr>
          <w:color w:val="231F20"/>
          <w:w w:val="110"/>
        </w:rPr>
        <w:t>considerables</w:t>
      </w:r>
      <w:r>
        <w:rPr>
          <w:color w:val="231F20"/>
          <w:spacing w:val="-12"/>
          <w:w w:val="110"/>
        </w:rPr>
        <w:t> </w:t>
      </w:r>
      <w:r>
        <w:rPr>
          <w:color w:val="231F20"/>
          <w:w w:val="110"/>
        </w:rPr>
        <w:t>para</w:t>
      </w:r>
      <w:r>
        <w:rPr>
          <w:color w:val="231F20"/>
          <w:spacing w:val="-12"/>
          <w:w w:val="110"/>
        </w:rPr>
        <w:t> </w:t>
      </w:r>
      <w:r>
        <w:rPr>
          <w:color w:val="231F20"/>
          <w:w w:val="110"/>
        </w:rPr>
        <w:t>ayudar</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países</w:t>
      </w:r>
      <w:r>
        <w:rPr>
          <w:color w:val="231F20"/>
          <w:spacing w:val="-12"/>
          <w:w w:val="110"/>
        </w:rPr>
        <w:t> </w:t>
      </w:r>
      <w:r>
        <w:rPr>
          <w:color w:val="231F20"/>
          <w:w w:val="110"/>
        </w:rPr>
        <w:t>a</w:t>
      </w:r>
      <w:r>
        <w:rPr>
          <w:color w:val="231F20"/>
          <w:spacing w:val="-12"/>
          <w:w w:val="110"/>
        </w:rPr>
        <w:t> </w:t>
      </w:r>
      <w:r>
        <w:rPr>
          <w:color w:val="231F20"/>
          <w:w w:val="110"/>
        </w:rPr>
        <w:t>sobrellevar</w:t>
      </w:r>
      <w:r>
        <w:rPr>
          <w:color w:val="231F20"/>
          <w:spacing w:val="-12"/>
          <w:w w:val="110"/>
        </w:rPr>
        <w:t> </w:t>
      </w:r>
      <w:r>
        <w:rPr>
          <w:color w:val="231F20"/>
          <w:w w:val="110"/>
        </w:rPr>
        <w:t>momen- tos difíciles” (Obama,</w:t>
      </w:r>
      <w:r>
        <w:rPr>
          <w:color w:val="231F20"/>
          <w:spacing w:val="-1"/>
          <w:w w:val="110"/>
        </w:rPr>
        <w:t> </w:t>
      </w:r>
      <w:r>
        <w:rPr>
          <w:color w:val="231F20"/>
          <w:w w:val="110"/>
        </w:rPr>
        <w:t>2009a).</w:t>
      </w:r>
    </w:p>
    <w:p>
      <w:pPr>
        <w:pStyle w:val="BodyText"/>
        <w:spacing w:line="261" w:lineRule="auto"/>
        <w:ind w:left="100" w:right="119" w:firstLine="240"/>
        <w:jc w:val="both"/>
      </w:pPr>
      <w:r>
        <w:rPr>
          <w:color w:val="231F20"/>
          <w:w w:val="110"/>
        </w:rPr>
        <w:t>No obstante, hasta ahora no ha realizado ningún otro compro- miso para incrementar los menguados fondos de Ayuda Oficial del Desarrollo que sucesivos gobiernos de Estados Unidos les ha</w:t>
      </w:r>
      <w:r>
        <w:rPr>
          <w:color w:val="231F20"/>
          <w:spacing w:val="-34"/>
          <w:w w:val="110"/>
        </w:rPr>
        <w:t> </w:t>
      </w:r>
      <w:r>
        <w:rPr>
          <w:color w:val="231F20"/>
          <w:w w:val="110"/>
        </w:rPr>
        <w:t>venido ofreciendo</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Estados</w:t>
      </w:r>
      <w:r>
        <w:rPr>
          <w:color w:val="231F20"/>
          <w:spacing w:val="-11"/>
          <w:w w:val="110"/>
        </w:rPr>
        <w:t> </w:t>
      </w:r>
      <w:r>
        <w:rPr>
          <w:color w:val="231F20"/>
          <w:w w:val="110"/>
        </w:rPr>
        <w:t>“de</w:t>
      </w:r>
      <w:r>
        <w:rPr>
          <w:color w:val="231F20"/>
          <w:spacing w:val="-11"/>
          <w:w w:val="110"/>
        </w:rPr>
        <w:t> </w:t>
      </w:r>
      <w:r>
        <w:rPr>
          <w:color w:val="231F20"/>
          <w:w w:val="110"/>
        </w:rPr>
        <w:t>menor</w:t>
      </w:r>
      <w:r>
        <w:rPr>
          <w:color w:val="231F20"/>
          <w:spacing w:val="-11"/>
          <w:w w:val="110"/>
        </w:rPr>
        <w:t> </w:t>
      </w:r>
      <w:r>
        <w:rPr>
          <w:color w:val="231F20"/>
          <w:w w:val="110"/>
        </w:rPr>
        <w:t>desarrollo</w:t>
      </w:r>
      <w:r>
        <w:rPr>
          <w:color w:val="231F20"/>
          <w:spacing w:val="-11"/>
          <w:w w:val="110"/>
        </w:rPr>
        <w:t> </w:t>
      </w:r>
      <w:r>
        <w:rPr>
          <w:color w:val="231F20"/>
          <w:w w:val="110"/>
        </w:rPr>
        <w:t>relativo”</w:t>
      </w:r>
      <w:r>
        <w:rPr>
          <w:color w:val="231F20"/>
          <w:spacing w:val="-11"/>
          <w:w w:val="110"/>
        </w:rPr>
        <w:t> </w:t>
      </w:r>
      <w:r>
        <w:rPr>
          <w:color w:val="231F20"/>
          <w:w w:val="110"/>
        </w:rPr>
        <w:t>del</w:t>
      </w:r>
      <w:r>
        <w:rPr>
          <w:color w:val="231F20"/>
          <w:spacing w:val="-11"/>
          <w:w w:val="110"/>
        </w:rPr>
        <w:t> </w:t>
      </w:r>
      <w:r>
        <w:rPr>
          <w:color w:val="231F20"/>
          <w:w w:val="110"/>
        </w:rPr>
        <w:t>continen- te americano. Siguiendo la práctica de la administración de </w:t>
      </w:r>
      <w:r>
        <w:rPr>
          <w:color w:val="231F20"/>
          <w:spacing w:val="42"/>
          <w:w w:val="110"/>
        </w:rPr>
        <w:t> </w:t>
      </w:r>
      <w:r>
        <w:rPr>
          <w:color w:val="231F20"/>
          <w:w w:val="110"/>
        </w:rPr>
        <w:t>George</w:t>
      </w:r>
    </w:p>
    <w:p>
      <w:pPr>
        <w:pStyle w:val="BodyText"/>
        <w:spacing w:line="261" w:lineRule="auto"/>
        <w:ind w:left="124" w:right="117"/>
        <w:jc w:val="right"/>
      </w:pPr>
      <w:r>
        <w:rPr>
          <w:color w:val="231F20"/>
          <w:spacing w:val="-6"/>
          <w:w w:val="105"/>
        </w:rPr>
        <w:t>W. </w:t>
      </w:r>
      <w:r>
        <w:rPr>
          <w:color w:val="231F20"/>
          <w:w w:val="105"/>
        </w:rPr>
        <w:t>Bush, sólo indicó que exhortaría a todos los accionistas del Banco</w:t>
      </w:r>
      <w:r>
        <w:rPr>
          <w:color w:val="231F20"/>
          <w:w w:val="107"/>
        </w:rPr>
        <w:t> </w:t>
      </w:r>
      <w:r>
        <w:rPr>
          <w:color w:val="231F20"/>
          <w:w w:val="105"/>
        </w:rPr>
        <w:t>Interamericano de Desarrollo (bid) —entre ellos a los 22 Estados</w:t>
      </w:r>
      <w:r>
        <w:rPr>
          <w:color w:val="231F20"/>
          <w:w w:val="105"/>
        </w:rPr>
        <w:t> </w:t>
      </w:r>
      <w:r>
        <w:rPr>
          <w:color w:val="231F20"/>
          <w:w w:val="105"/>
        </w:rPr>
        <w:t>latinoamericanos y caribeños que lo integran— a que “maximicen los</w:t>
      </w:r>
      <w:r>
        <w:rPr>
          <w:color w:val="231F20"/>
          <w:w w:val="102"/>
        </w:rPr>
        <w:t> </w:t>
      </w:r>
      <w:r>
        <w:rPr>
          <w:color w:val="231F20"/>
          <w:w w:val="105"/>
        </w:rPr>
        <w:t>préstamos y reanuden el flujo de créditos” (Obama, 2009a). </w:t>
      </w:r>
      <w:r>
        <w:rPr>
          <w:color w:val="231F20"/>
          <w:spacing w:val="-3"/>
          <w:w w:val="105"/>
        </w:rPr>
        <w:t>También</w:t>
      </w:r>
      <w:r>
        <w:rPr>
          <w:color w:val="231F20"/>
          <w:w w:val="111"/>
        </w:rPr>
        <w:t> </w:t>
      </w:r>
      <w:r>
        <w:rPr>
          <w:color w:val="231F20"/>
          <w:w w:val="105"/>
        </w:rPr>
        <w:t>expresó la disposición de su gobierno a examinar la recapitalización</w:t>
      </w:r>
      <w:r>
        <w:rPr>
          <w:color w:val="231F20"/>
          <w:w w:val="108"/>
        </w:rPr>
        <w:t> </w:t>
      </w:r>
      <w:r>
        <w:rPr>
          <w:color w:val="231F20"/>
          <w:w w:val="105"/>
        </w:rPr>
        <w:t>y modernización de esa institución controlada en cerca de 50% por</w:t>
      </w:r>
      <w:r>
        <w:rPr>
          <w:color w:val="231F20"/>
          <w:w w:val="115"/>
        </w:rPr>
        <w:t> </w:t>
      </w:r>
      <w:r>
        <w:rPr>
          <w:color w:val="231F20"/>
          <w:w w:val="105"/>
        </w:rPr>
        <w:t>el Departamento del </w:t>
      </w:r>
      <w:r>
        <w:rPr>
          <w:color w:val="231F20"/>
          <w:spacing w:val="-4"/>
          <w:w w:val="105"/>
        </w:rPr>
        <w:t>Tesoro </w:t>
      </w:r>
      <w:r>
        <w:rPr>
          <w:color w:val="231F20"/>
          <w:w w:val="105"/>
        </w:rPr>
        <w:t>de Estados Unidos y por los gobiernos</w:t>
      </w:r>
      <w:r>
        <w:rPr>
          <w:color w:val="231F20"/>
          <w:w w:val="110"/>
        </w:rPr>
        <w:t> </w:t>
      </w:r>
      <w:r>
        <w:rPr>
          <w:color w:val="231F20"/>
          <w:w w:val="105"/>
        </w:rPr>
        <w:t>de otros países extrahemisféricos. En esa lógica, ensalzó los acuerdos</w:t>
      </w:r>
      <w:r>
        <w:rPr>
          <w:color w:val="231F20"/>
          <w:w w:val="110"/>
        </w:rPr>
        <w:t> </w:t>
      </w:r>
      <w:r>
        <w:rPr>
          <w:color w:val="231F20"/>
          <w:w w:val="105"/>
        </w:rPr>
        <w:t>adoptados al respecto por la Asamblea de Gobernadores del</w:t>
      </w:r>
      <w:r>
        <w:rPr>
          <w:color w:val="231F20"/>
          <w:spacing w:val="52"/>
          <w:w w:val="105"/>
        </w:rPr>
        <w:t> </w:t>
      </w:r>
      <w:r>
        <w:rPr>
          <w:color w:val="231F20"/>
          <w:w w:val="105"/>
        </w:rPr>
        <w:t>bid efec-</w:t>
      </w:r>
      <w:r>
        <w:rPr>
          <w:color w:val="231F20"/>
          <w:w w:val="72"/>
        </w:rPr>
        <w:t> </w:t>
      </w:r>
      <w:r>
        <w:rPr>
          <w:color w:val="231F20"/>
          <w:w w:val="105"/>
        </w:rPr>
        <w:t>tuada en ocasión de su 50 Aniversario (abril de 2009); pero insistien-</w:t>
      </w:r>
      <w:r>
        <w:rPr>
          <w:color w:val="231F20"/>
          <w:w w:val="72"/>
        </w:rPr>
        <w:t> </w:t>
      </w:r>
      <w:r>
        <w:rPr>
          <w:color w:val="231F20"/>
          <w:w w:val="105"/>
        </w:rPr>
        <w:t>do explícitamente que su primera tarea es impulsar la recuperación</w:t>
      </w:r>
      <w:r>
        <w:rPr>
          <w:color w:val="231F20"/>
          <w:w w:val="112"/>
        </w:rPr>
        <w:t> </w:t>
      </w:r>
      <w:r>
        <w:rPr>
          <w:color w:val="231F20"/>
          <w:w w:val="105"/>
        </w:rPr>
        <w:t>de la economía estadunidense. Al hacerlo —agregó—“ayudaremos a</w:t>
      </w:r>
      <w:r>
        <w:rPr>
          <w:color w:val="231F20"/>
          <w:w w:val="108"/>
        </w:rPr>
        <w:t> </w:t>
      </w:r>
      <w:r>
        <w:rPr>
          <w:color w:val="231F20"/>
          <w:w w:val="105"/>
        </w:rPr>
        <w:t>estimular el comercio, la inversión, las remesas y el turismo”, lo que</w:t>
      </w:r>
      <w:r>
        <w:rPr>
          <w:color w:val="231F20"/>
          <w:w w:val="113"/>
        </w:rPr>
        <w:t> </w:t>
      </w:r>
      <w:r>
        <w:rPr>
          <w:color w:val="231F20"/>
          <w:w w:val="105"/>
        </w:rPr>
        <w:t>le dará una base más amplia a la creación de empleos, al flujo de</w:t>
      </w:r>
      <w:r>
        <w:rPr>
          <w:color w:val="231F20"/>
          <w:w w:val="114"/>
        </w:rPr>
        <w:t> </w:t>
      </w:r>
      <w:r>
        <w:rPr>
          <w:color w:val="231F20"/>
          <w:w w:val="105"/>
        </w:rPr>
        <w:t>créditos y a la “prosperidad común del continente” (Obama, 2009a).</w:t>
      </w:r>
      <w:r>
        <w:rPr>
          <w:color w:val="231F20"/>
          <w:w w:val="107"/>
        </w:rPr>
        <w:t> </w:t>
      </w:r>
      <w:r>
        <w:rPr>
          <w:color w:val="231F20"/>
          <w:w w:val="105"/>
        </w:rPr>
        <w:t>Desde ese falaz y nunca demostrado argumento, en la Quinta</w:t>
      </w:r>
      <w:r>
        <w:rPr>
          <w:color w:val="231F20"/>
          <w:w w:val="112"/>
        </w:rPr>
        <w:t> </w:t>
      </w:r>
      <w:r>
        <w:rPr>
          <w:color w:val="231F20"/>
          <w:w w:val="105"/>
        </w:rPr>
        <w:t>Cumbre</w:t>
      </w:r>
      <w:r>
        <w:rPr>
          <w:color w:val="231F20"/>
          <w:spacing w:val="28"/>
          <w:w w:val="105"/>
        </w:rPr>
        <w:t> </w:t>
      </w:r>
      <w:r>
        <w:rPr>
          <w:color w:val="231F20"/>
          <w:w w:val="105"/>
        </w:rPr>
        <w:t>de las Américas, el actual presidente estadunidense se detu-</w:t>
      </w:r>
      <w:r>
        <w:rPr>
          <w:color w:val="231F20"/>
          <w:w w:val="72"/>
        </w:rPr>
        <w:t> </w:t>
      </w:r>
      <w:r>
        <w:rPr>
          <w:color w:val="231F20"/>
          <w:w w:val="105"/>
        </w:rPr>
        <w:t>vo en la</w:t>
      </w:r>
      <w:r>
        <w:rPr>
          <w:color w:val="231F20"/>
          <w:spacing w:val="34"/>
          <w:w w:val="105"/>
        </w:rPr>
        <w:t> </w:t>
      </w:r>
      <w:r>
        <w:rPr>
          <w:color w:val="231F20"/>
          <w:w w:val="105"/>
        </w:rPr>
        <w:t>explicación de la que probablemente sea su propuesta más</w:t>
      </w:r>
      <w:r>
        <w:rPr>
          <w:color w:val="231F20"/>
          <w:w w:val="105"/>
        </w:rPr>
        <w:t> </w:t>
      </w:r>
      <w:r>
        <w:rPr>
          <w:color w:val="231F20"/>
          <w:w w:val="105"/>
        </w:rPr>
        <w:t>novedosa: la Alianza de las Américas para la producción y el trans-</w:t>
      </w:r>
      <w:r>
        <w:rPr>
          <w:color w:val="231F20"/>
          <w:w w:val="72"/>
        </w:rPr>
        <w:t> </w:t>
      </w:r>
      <w:r>
        <w:rPr>
          <w:color w:val="231F20"/>
          <w:w w:val="105"/>
        </w:rPr>
        <w:t>porte de energía renovable y para enfrentar y mitigar los efectos del</w:t>
      </w:r>
      <w:r>
        <w:rPr>
          <w:color w:val="231F20"/>
          <w:w w:val="111"/>
        </w:rPr>
        <w:t> </w:t>
      </w:r>
      <w:r>
        <w:rPr>
          <w:color w:val="231F20"/>
          <w:w w:val="105"/>
        </w:rPr>
        <w:t>cambio climático. El espacio destinado a este artículo no me permite</w:t>
      </w:r>
      <w:r>
        <w:rPr>
          <w:color w:val="231F20"/>
          <w:w w:val="112"/>
        </w:rPr>
        <w:t> </w:t>
      </w:r>
      <w:r>
        <w:rPr>
          <w:color w:val="231F20"/>
          <w:w w:val="105"/>
        </w:rPr>
        <w:t>explicar todos los enunciados y componentes de la susodicha alianza;</w:t>
      </w:r>
      <w:r>
        <w:rPr>
          <w:color w:val="231F20"/>
          <w:w w:val="105"/>
        </w:rPr>
        <w:t> </w:t>
      </w:r>
      <w:r>
        <w:rPr>
          <w:color w:val="231F20"/>
          <w:w w:val="105"/>
        </w:rPr>
        <w:t>pero basta decir que ésta formará parte constitutiva de   “la seguridad”</w:t>
      </w:r>
      <w:r>
        <w:rPr>
          <w:color w:val="231F20"/>
          <w:w w:val="108"/>
        </w:rPr>
        <w:t> </w:t>
      </w:r>
      <w:r>
        <w:rPr>
          <w:color w:val="231F20"/>
          <w:w w:val="105"/>
        </w:rPr>
        <w:t>y “la prosperidad” de los países “democráticos” y que no sean “pa-</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25"/>
      </w:pPr>
      <w:r>
        <w:rPr>
          <w:color w:val="231F20"/>
          <w:w w:val="110"/>
        </w:rPr>
        <w:t>trocinadores del terrorismo” del hemisferio occidental que acepten incorporarse a ella bajo “el liderazgo” estadunidense.</w:t>
      </w:r>
    </w:p>
    <w:p>
      <w:pPr>
        <w:pStyle w:val="BodyText"/>
        <w:spacing w:line="261" w:lineRule="auto"/>
        <w:ind w:left="100" w:right="117" w:firstLine="240"/>
        <w:jc w:val="both"/>
      </w:pPr>
      <w:r>
        <w:rPr>
          <w:color w:val="231F20"/>
          <w:w w:val="105"/>
        </w:rPr>
        <w:t>A decir de Obama, esa “alianza pragmática” y presuntamente despojada de “las controversias ideológicas del pasado” ayudará “por igual” a Estados Unidos y a los países de América Latina y el Caribe    a ser “más independientes en materia de energía” y a promover su “crecimiento sustentable” mediante el incremento de fondos dirigi-  dos a la investigación y desarrollo de tecnologías limpias de carbón,  así como de una nueva generación de “biocombustibles sustentables”   y de energía eólica, solar y </w:t>
      </w:r>
      <w:r>
        <w:rPr>
          <w:color w:val="231F20"/>
          <w:spacing w:val="-3"/>
          <w:w w:val="105"/>
        </w:rPr>
        <w:t>nuclear. También  </w:t>
      </w:r>
      <w:r>
        <w:rPr>
          <w:color w:val="231F20"/>
          <w:w w:val="105"/>
        </w:rPr>
        <w:t>a coordinar el transpor-  te de “energía verde” a través de las fronteras nacionales y a crear mercados adicionales para los biocombustibles y para las “tecnologías verdes” que se produzcan en todo el continente </w:t>
      </w:r>
      <w:r>
        <w:rPr>
          <w:color w:val="231F20"/>
          <w:spacing w:val="-8"/>
          <w:w w:val="105"/>
        </w:rPr>
        <w:t>y, </w:t>
      </w:r>
      <w:r>
        <w:rPr>
          <w:color w:val="231F20"/>
          <w:w w:val="105"/>
        </w:rPr>
        <w:t>en particular, en Estados Unidos, Brasil y México (Obama,  </w:t>
      </w:r>
      <w:r>
        <w:rPr>
          <w:color w:val="231F20"/>
          <w:spacing w:val="28"/>
          <w:w w:val="105"/>
        </w:rPr>
        <w:t> </w:t>
      </w:r>
      <w:r>
        <w:rPr>
          <w:color w:val="231F20"/>
          <w:w w:val="105"/>
        </w:rPr>
        <w:t>2008a).</w:t>
      </w:r>
    </w:p>
    <w:p>
      <w:pPr>
        <w:pStyle w:val="BodyText"/>
        <w:spacing w:line="261" w:lineRule="auto"/>
        <w:ind w:left="100" w:right="117" w:firstLine="240"/>
        <w:jc w:val="right"/>
      </w:pPr>
      <w:r>
        <w:rPr>
          <w:color w:val="231F20"/>
          <w:w w:val="110"/>
        </w:rPr>
        <w:t>Para ello y en correspondencia con sus reiterados</w:t>
      </w:r>
      <w:r>
        <w:rPr>
          <w:color w:val="231F20"/>
          <w:spacing w:val="-13"/>
          <w:w w:val="110"/>
        </w:rPr>
        <w:t> </w:t>
      </w:r>
      <w:r>
        <w:rPr>
          <w:color w:val="231F20"/>
          <w:w w:val="110"/>
        </w:rPr>
        <w:t>planes</w:t>
      </w:r>
      <w:r>
        <w:rPr>
          <w:color w:val="231F20"/>
          <w:spacing w:val="-2"/>
          <w:w w:val="110"/>
        </w:rPr>
        <w:t> </w:t>
      </w:r>
      <w:r>
        <w:rPr>
          <w:color w:val="231F20"/>
          <w:w w:val="110"/>
        </w:rPr>
        <w:t>internos,</w:t>
      </w:r>
      <w:r>
        <w:rPr>
          <w:color w:val="231F20"/>
          <w:w w:val="111"/>
        </w:rPr>
        <w:t> </w:t>
      </w:r>
      <w:r>
        <w:rPr>
          <w:color w:val="231F20"/>
          <w:w w:val="110"/>
        </w:rPr>
        <w:t>Obama</w:t>
      </w:r>
      <w:r>
        <w:rPr>
          <w:color w:val="231F20"/>
          <w:spacing w:val="30"/>
          <w:w w:val="110"/>
        </w:rPr>
        <w:t> </w:t>
      </w:r>
      <w:r>
        <w:rPr>
          <w:color w:val="231F20"/>
          <w:w w:val="110"/>
        </w:rPr>
        <w:t>se</w:t>
      </w:r>
      <w:r>
        <w:rPr>
          <w:color w:val="231F20"/>
          <w:spacing w:val="30"/>
          <w:w w:val="110"/>
        </w:rPr>
        <w:t> </w:t>
      </w:r>
      <w:r>
        <w:rPr>
          <w:color w:val="231F20"/>
          <w:w w:val="110"/>
        </w:rPr>
        <w:t>comprometió</w:t>
      </w:r>
      <w:r>
        <w:rPr>
          <w:color w:val="231F20"/>
          <w:spacing w:val="30"/>
          <w:w w:val="110"/>
        </w:rPr>
        <w:t> </w:t>
      </w:r>
      <w:r>
        <w:rPr>
          <w:color w:val="231F20"/>
          <w:w w:val="110"/>
        </w:rPr>
        <w:t>a</w:t>
      </w:r>
      <w:r>
        <w:rPr>
          <w:color w:val="231F20"/>
          <w:spacing w:val="30"/>
          <w:w w:val="110"/>
        </w:rPr>
        <w:t> </w:t>
      </w:r>
      <w:r>
        <w:rPr>
          <w:color w:val="231F20"/>
          <w:w w:val="110"/>
        </w:rPr>
        <w:t>crear</w:t>
      </w:r>
      <w:r>
        <w:rPr>
          <w:color w:val="231F20"/>
          <w:spacing w:val="30"/>
          <w:w w:val="110"/>
        </w:rPr>
        <w:t> </w:t>
      </w:r>
      <w:r>
        <w:rPr>
          <w:color w:val="231F20"/>
          <w:w w:val="110"/>
        </w:rPr>
        <w:t>un</w:t>
      </w:r>
      <w:r>
        <w:rPr>
          <w:color w:val="231F20"/>
          <w:spacing w:val="30"/>
          <w:w w:val="110"/>
        </w:rPr>
        <w:t> </w:t>
      </w:r>
      <w:r>
        <w:rPr>
          <w:color w:val="231F20"/>
          <w:w w:val="110"/>
        </w:rPr>
        <w:t>Programa</w:t>
      </w:r>
      <w:r>
        <w:rPr>
          <w:color w:val="231F20"/>
          <w:spacing w:val="30"/>
          <w:w w:val="110"/>
        </w:rPr>
        <w:t> </w:t>
      </w:r>
      <w:r>
        <w:rPr>
          <w:color w:val="231F20"/>
          <w:w w:val="110"/>
        </w:rPr>
        <w:t>de</w:t>
      </w:r>
      <w:r>
        <w:rPr>
          <w:color w:val="231F20"/>
          <w:spacing w:val="30"/>
          <w:w w:val="110"/>
        </w:rPr>
        <w:t> </w:t>
      </w:r>
      <w:r>
        <w:rPr>
          <w:color w:val="231F20"/>
          <w:w w:val="110"/>
        </w:rPr>
        <w:t>Transferencia</w:t>
      </w:r>
      <w:r>
        <w:rPr>
          <w:color w:val="231F20"/>
          <w:spacing w:val="30"/>
          <w:w w:val="110"/>
        </w:rPr>
        <w:t> </w:t>
      </w:r>
      <w:r>
        <w:rPr>
          <w:color w:val="231F20"/>
          <w:w w:val="110"/>
        </w:rPr>
        <w:t>de</w:t>
      </w:r>
      <w:r>
        <w:rPr>
          <w:color w:val="231F20"/>
          <w:w w:val="114"/>
        </w:rPr>
        <w:t> </w:t>
      </w:r>
      <w:r>
        <w:rPr>
          <w:color w:val="231F20"/>
          <w:w w:val="110"/>
        </w:rPr>
        <w:t>Tecnología</w:t>
      </w:r>
      <w:r>
        <w:rPr>
          <w:color w:val="231F20"/>
          <w:spacing w:val="-9"/>
          <w:w w:val="110"/>
        </w:rPr>
        <w:t> </w:t>
      </w:r>
      <w:r>
        <w:rPr>
          <w:color w:val="231F20"/>
          <w:w w:val="110"/>
        </w:rPr>
        <w:t>dentro</w:t>
      </w:r>
      <w:r>
        <w:rPr>
          <w:color w:val="231F20"/>
          <w:spacing w:val="-9"/>
          <w:w w:val="110"/>
        </w:rPr>
        <w:t> </w:t>
      </w:r>
      <w:r>
        <w:rPr>
          <w:color w:val="231F20"/>
          <w:w w:val="110"/>
        </w:rPr>
        <w:t>del</w:t>
      </w:r>
      <w:r>
        <w:rPr>
          <w:color w:val="231F20"/>
          <w:spacing w:val="-9"/>
          <w:w w:val="110"/>
        </w:rPr>
        <w:t> </w:t>
      </w:r>
      <w:r>
        <w:rPr>
          <w:color w:val="231F20"/>
          <w:w w:val="110"/>
        </w:rPr>
        <w:t>Departamento</w:t>
      </w:r>
      <w:r>
        <w:rPr>
          <w:color w:val="231F20"/>
          <w:spacing w:val="-9"/>
          <w:w w:val="110"/>
        </w:rPr>
        <w:t> </w:t>
      </w:r>
      <w:r>
        <w:rPr>
          <w:color w:val="231F20"/>
          <w:w w:val="110"/>
        </w:rPr>
        <w:t>de</w:t>
      </w:r>
      <w:r>
        <w:rPr>
          <w:color w:val="231F20"/>
          <w:spacing w:val="-9"/>
          <w:w w:val="110"/>
        </w:rPr>
        <w:t> </w:t>
      </w:r>
      <w:r>
        <w:rPr>
          <w:color w:val="231F20"/>
          <w:w w:val="110"/>
        </w:rPr>
        <w:t>Energía</w:t>
      </w:r>
      <w:r>
        <w:rPr>
          <w:color w:val="231F20"/>
          <w:spacing w:val="-9"/>
          <w:w w:val="110"/>
        </w:rPr>
        <w:t> </w:t>
      </w:r>
      <w:r>
        <w:rPr>
          <w:color w:val="231F20"/>
          <w:w w:val="110"/>
        </w:rPr>
        <w:t>dedicado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expor-</w:t>
      </w:r>
      <w:r>
        <w:rPr>
          <w:color w:val="231F20"/>
          <w:w w:val="72"/>
        </w:rPr>
        <w:t> </w:t>
      </w:r>
      <w:r>
        <w:rPr>
          <w:color w:val="231F20"/>
          <w:w w:val="110"/>
        </w:rPr>
        <w:t>tación de “tecnologías amistosas con el clima”; incluida</w:t>
      </w:r>
      <w:r>
        <w:rPr>
          <w:color w:val="231F20"/>
          <w:spacing w:val="-9"/>
          <w:w w:val="110"/>
        </w:rPr>
        <w:t> </w:t>
      </w:r>
      <w:r>
        <w:rPr>
          <w:color w:val="231F20"/>
          <w:w w:val="110"/>
        </w:rPr>
        <w:t>la</w:t>
      </w:r>
      <w:r>
        <w:rPr>
          <w:color w:val="231F20"/>
          <w:spacing w:val="-2"/>
          <w:w w:val="110"/>
        </w:rPr>
        <w:t> </w:t>
      </w:r>
      <w:r>
        <w:rPr>
          <w:color w:val="231F20"/>
          <w:w w:val="110"/>
        </w:rPr>
        <w:t>construc-</w:t>
      </w:r>
      <w:r>
        <w:rPr>
          <w:color w:val="231F20"/>
          <w:w w:val="72"/>
        </w:rPr>
        <w:t> </w:t>
      </w:r>
      <w:r>
        <w:rPr>
          <w:color w:val="231F20"/>
          <w:w w:val="110"/>
        </w:rPr>
        <w:t>ción</w:t>
      </w:r>
      <w:r>
        <w:rPr>
          <w:color w:val="231F20"/>
          <w:spacing w:val="-20"/>
          <w:w w:val="110"/>
        </w:rPr>
        <w:t> </w:t>
      </w:r>
      <w:r>
        <w:rPr>
          <w:color w:val="231F20"/>
          <w:w w:val="110"/>
        </w:rPr>
        <w:t>de</w:t>
      </w:r>
      <w:r>
        <w:rPr>
          <w:color w:val="231F20"/>
          <w:spacing w:val="-20"/>
          <w:w w:val="110"/>
        </w:rPr>
        <w:t> </w:t>
      </w:r>
      <w:r>
        <w:rPr>
          <w:color w:val="231F20"/>
          <w:w w:val="110"/>
        </w:rPr>
        <w:t>“edificios</w:t>
      </w:r>
      <w:r>
        <w:rPr>
          <w:color w:val="231F20"/>
          <w:spacing w:val="-21"/>
          <w:w w:val="110"/>
        </w:rPr>
        <w:t> </w:t>
      </w:r>
      <w:r>
        <w:rPr>
          <w:color w:val="231F20"/>
          <w:w w:val="110"/>
        </w:rPr>
        <w:t>verdes”</w:t>
      </w:r>
      <w:r>
        <w:rPr>
          <w:color w:val="231F20"/>
          <w:spacing w:val="-20"/>
          <w:w w:val="110"/>
        </w:rPr>
        <w:t> </w:t>
      </w:r>
      <w:r>
        <w:rPr>
          <w:color w:val="231F20"/>
          <w:w w:val="110"/>
        </w:rPr>
        <w:t>y</w:t>
      </w:r>
      <w:r>
        <w:rPr>
          <w:color w:val="231F20"/>
          <w:spacing w:val="-21"/>
          <w:w w:val="110"/>
        </w:rPr>
        <w:t> </w:t>
      </w:r>
      <w:r>
        <w:rPr>
          <w:color w:val="231F20"/>
          <w:w w:val="110"/>
        </w:rPr>
        <w:t>de</w:t>
      </w:r>
      <w:r>
        <w:rPr>
          <w:color w:val="231F20"/>
          <w:spacing w:val="-20"/>
          <w:w w:val="110"/>
        </w:rPr>
        <w:t> </w:t>
      </w:r>
      <w:r>
        <w:rPr>
          <w:color w:val="231F20"/>
          <w:w w:val="110"/>
        </w:rPr>
        <w:t>técnicas</w:t>
      </w:r>
      <w:r>
        <w:rPr>
          <w:color w:val="231F20"/>
          <w:spacing w:val="-21"/>
          <w:w w:val="110"/>
        </w:rPr>
        <w:t> </w:t>
      </w:r>
      <w:r>
        <w:rPr>
          <w:color w:val="231F20"/>
          <w:w w:val="110"/>
        </w:rPr>
        <w:t>avanzadas</w:t>
      </w:r>
      <w:r>
        <w:rPr>
          <w:color w:val="231F20"/>
          <w:spacing w:val="-21"/>
          <w:w w:val="110"/>
        </w:rPr>
        <w:t> </w:t>
      </w:r>
      <w:r>
        <w:rPr>
          <w:color w:val="231F20"/>
          <w:w w:val="110"/>
        </w:rPr>
        <w:t>en</w:t>
      </w:r>
      <w:r>
        <w:rPr>
          <w:color w:val="231F20"/>
          <w:spacing w:val="-20"/>
          <w:w w:val="110"/>
        </w:rPr>
        <w:t> </w:t>
      </w:r>
      <w:r>
        <w:rPr>
          <w:color w:val="231F20"/>
          <w:w w:val="110"/>
        </w:rPr>
        <w:t>la</w:t>
      </w:r>
      <w:r>
        <w:rPr>
          <w:color w:val="231F20"/>
          <w:spacing w:val="-21"/>
          <w:w w:val="110"/>
        </w:rPr>
        <w:t> </w:t>
      </w:r>
      <w:r>
        <w:rPr>
          <w:color w:val="231F20"/>
          <w:w w:val="110"/>
        </w:rPr>
        <w:t>producción</w:t>
      </w:r>
      <w:r>
        <w:rPr>
          <w:color w:val="231F20"/>
          <w:spacing w:val="-21"/>
          <w:w w:val="110"/>
        </w:rPr>
        <w:t> </w:t>
      </w:r>
      <w:r>
        <w:rPr>
          <w:color w:val="231F20"/>
          <w:w w:val="110"/>
        </w:rPr>
        <w:t>de</w:t>
      </w:r>
      <w:r>
        <w:rPr>
          <w:color w:val="231F20"/>
          <w:w w:val="114"/>
        </w:rPr>
        <w:t> </w:t>
      </w:r>
      <w:r>
        <w:rPr>
          <w:color w:val="231F20"/>
          <w:w w:val="110"/>
        </w:rPr>
        <w:t>nuevos</w:t>
      </w:r>
      <w:r>
        <w:rPr>
          <w:color w:val="231F20"/>
          <w:spacing w:val="-25"/>
          <w:w w:val="110"/>
        </w:rPr>
        <w:t> </w:t>
      </w:r>
      <w:r>
        <w:rPr>
          <w:color w:val="231F20"/>
          <w:w w:val="110"/>
        </w:rPr>
        <w:t>automóviles</w:t>
      </w:r>
      <w:r>
        <w:rPr>
          <w:color w:val="231F20"/>
          <w:spacing w:val="-25"/>
          <w:w w:val="110"/>
        </w:rPr>
        <w:t> </w:t>
      </w:r>
      <w:r>
        <w:rPr>
          <w:color w:val="231F20"/>
          <w:w w:val="110"/>
        </w:rPr>
        <w:t>que</w:t>
      </w:r>
      <w:r>
        <w:rPr>
          <w:color w:val="231F20"/>
          <w:spacing w:val="-25"/>
          <w:w w:val="110"/>
        </w:rPr>
        <w:t> </w:t>
      </w:r>
      <w:r>
        <w:rPr>
          <w:color w:val="231F20"/>
          <w:w w:val="110"/>
        </w:rPr>
        <w:t>“ayuden</w:t>
      </w:r>
      <w:r>
        <w:rPr>
          <w:color w:val="231F20"/>
          <w:spacing w:val="-25"/>
          <w:w w:val="110"/>
        </w:rPr>
        <w:t> </w:t>
      </w:r>
      <w:r>
        <w:rPr>
          <w:color w:val="231F20"/>
          <w:w w:val="110"/>
        </w:rPr>
        <w:t>a</w:t>
      </w:r>
      <w:r>
        <w:rPr>
          <w:color w:val="231F20"/>
          <w:spacing w:val="-25"/>
          <w:w w:val="110"/>
        </w:rPr>
        <w:t> </w:t>
      </w:r>
      <w:r>
        <w:rPr>
          <w:color w:val="231F20"/>
          <w:w w:val="110"/>
        </w:rPr>
        <w:t>las</w:t>
      </w:r>
      <w:r>
        <w:rPr>
          <w:color w:val="231F20"/>
          <w:spacing w:val="-25"/>
          <w:w w:val="110"/>
        </w:rPr>
        <w:t> </w:t>
      </w:r>
      <w:r>
        <w:rPr>
          <w:color w:val="231F20"/>
          <w:w w:val="110"/>
        </w:rPr>
        <w:t>naciones</w:t>
      </w:r>
      <w:r>
        <w:rPr>
          <w:color w:val="231F20"/>
          <w:spacing w:val="-25"/>
          <w:w w:val="110"/>
        </w:rPr>
        <w:t> </w:t>
      </w:r>
      <w:r>
        <w:rPr>
          <w:color w:val="231F20"/>
          <w:w w:val="110"/>
        </w:rPr>
        <w:t>de</w:t>
      </w:r>
      <w:r>
        <w:rPr>
          <w:color w:val="231F20"/>
          <w:spacing w:val="-25"/>
          <w:w w:val="110"/>
        </w:rPr>
        <w:t> </w:t>
      </w:r>
      <w:r>
        <w:rPr>
          <w:color w:val="231F20"/>
          <w:w w:val="110"/>
        </w:rPr>
        <w:t>América</w:t>
      </w:r>
      <w:r>
        <w:rPr>
          <w:color w:val="231F20"/>
          <w:spacing w:val="-25"/>
          <w:w w:val="110"/>
        </w:rPr>
        <w:t> </w:t>
      </w:r>
      <w:r>
        <w:rPr>
          <w:color w:val="231F20"/>
          <w:w w:val="110"/>
        </w:rPr>
        <w:t>Latina</w:t>
      </w:r>
      <w:r>
        <w:rPr>
          <w:color w:val="231F20"/>
          <w:spacing w:val="-25"/>
          <w:w w:val="110"/>
        </w:rPr>
        <w:t> </w:t>
      </w:r>
      <w:r>
        <w:rPr>
          <w:color w:val="231F20"/>
          <w:w w:val="110"/>
        </w:rPr>
        <w:t>y</w:t>
      </w:r>
      <w:r>
        <w:rPr>
          <w:color w:val="231F20"/>
          <w:spacing w:val="-25"/>
          <w:w w:val="110"/>
        </w:rPr>
        <w:t> </w:t>
      </w:r>
      <w:r>
        <w:rPr>
          <w:color w:val="231F20"/>
          <w:w w:val="110"/>
        </w:rPr>
        <w:t>el</w:t>
      </w:r>
      <w:r>
        <w:rPr>
          <w:color w:val="231F20"/>
          <w:w w:val="108"/>
        </w:rPr>
        <w:t> </w:t>
      </w:r>
      <w:r>
        <w:rPr>
          <w:color w:val="231F20"/>
          <w:w w:val="110"/>
        </w:rPr>
        <w:t>Caribe</w:t>
      </w:r>
      <w:r>
        <w:rPr>
          <w:color w:val="231F20"/>
          <w:spacing w:val="-12"/>
          <w:w w:val="110"/>
        </w:rPr>
        <w:t> </w:t>
      </w:r>
      <w:r>
        <w:rPr>
          <w:color w:val="231F20"/>
          <w:w w:val="110"/>
        </w:rPr>
        <w:t>a</w:t>
      </w:r>
      <w:r>
        <w:rPr>
          <w:color w:val="231F20"/>
          <w:spacing w:val="-12"/>
          <w:w w:val="110"/>
        </w:rPr>
        <w:t> </w:t>
      </w:r>
      <w:r>
        <w:rPr>
          <w:color w:val="231F20"/>
          <w:w w:val="110"/>
        </w:rPr>
        <w:t>combatir</w:t>
      </w:r>
      <w:r>
        <w:rPr>
          <w:color w:val="231F20"/>
          <w:spacing w:val="-12"/>
          <w:w w:val="110"/>
        </w:rPr>
        <w:t> </w:t>
      </w:r>
      <w:r>
        <w:rPr>
          <w:color w:val="231F20"/>
          <w:w w:val="110"/>
        </w:rPr>
        <w:t>el</w:t>
      </w:r>
      <w:r>
        <w:rPr>
          <w:color w:val="231F20"/>
          <w:spacing w:val="-12"/>
          <w:w w:val="110"/>
        </w:rPr>
        <w:t> </w:t>
      </w:r>
      <w:r>
        <w:rPr>
          <w:color w:val="231F20"/>
          <w:w w:val="110"/>
        </w:rPr>
        <w:t>cambio</w:t>
      </w:r>
      <w:r>
        <w:rPr>
          <w:color w:val="231F20"/>
          <w:spacing w:val="-12"/>
          <w:w w:val="110"/>
        </w:rPr>
        <w:t> </w:t>
      </w:r>
      <w:r>
        <w:rPr>
          <w:color w:val="231F20"/>
          <w:w w:val="110"/>
        </w:rPr>
        <w:t>climático”.</w:t>
      </w:r>
      <w:r>
        <w:rPr>
          <w:color w:val="231F20"/>
          <w:spacing w:val="-12"/>
          <w:w w:val="110"/>
        </w:rPr>
        <w:t> </w:t>
      </w:r>
      <w:r>
        <w:rPr>
          <w:color w:val="231F20"/>
          <w:w w:val="110"/>
        </w:rPr>
        <w:t>Igualmente,</w:t>
      </w:r>
      <w:r>
        <w:rPr>
          <w:color w:val="231F20"/>
          <w:spacing w:val="-12"/>
          <w:w w:val="110"/>
        </w:rPr>
        <w:t> </w:t>
      </w:r>
      <w:r>
        <w:rPr>
          <w:color w:val="231F20"/>
          <w:w w:val="110"/>
        </w:rPr>
        <w:t>se</w:t>
      </w:r>
      <w:r>
        <w:rPr>
          <w:color w:val="231F20"/>
          <w:spacing w:val="-12"/>
          <w:w w:val="110"/>
        </w:rPr>
        <w:t> </w:t>
      </w:r>
      <w:r>
        <w:rPr>
          <w:color w:val="231F20"/>
          <w:w w:val="110"/>
        </w:rPr>
        <w:t>comprometió</w:t>
      </w:r>
      <w:r>
        <w:rPr>
          <w:color w:val="231F20"/>
          <w:w w:val="111"/>
        </w:rPr>
        <w:t> </w:t>
      </w:r>
      <w:r>
        <w:rPr>
          <w:color w:val="231F20"/>
          <w:w w:val="110"/>
        </w:rPr>
        <w:t>a</w:t>
      </w:r>
      <w:r>
        <w:rPr>
          <w:color w:val="231F20"/>
          <w:spacing w:val="24"/>
          <w:w w:val="110"/>
        </w:rPr>
        <w:t> </w:t>
      </w:r>
      <w:r>
        <w:rPr>
          <w:color w:val="231F20"/>
          <w:w w:val="110"/>
        </w:rPr>
        <w:t>invertir</w:t>
      </w:r>
      <w:r>
        <w:rPr>
          <w:color w:val="231F20"/>
          <w:spacing w:val="24"/>
          <w:w w:val="110"/>
        </w:rPr>
        <w:t> </w:t>
      </w:r>
      <w:r>
        <w:rPr>
          <w:color w:val="231F20"/>
          <w:w w:val="110"/>
        </w:rPr>
        <w:t>en</w:t>
      </w:r>
      <w:r>
        <w:rPr>
          <w:color w:val="231F20"/>
          <w:spacing w:val="24"/>
          <w:w w:val="110"/>
        </w:rPr>
        <w:t> </w:t>
      </w:r>
      <w:r>
        <w:rPr>
          <w:color w:val="231F20"/>
          <w:w w:val="110"/>
        </w:rPr>
        <w:t>proyectos</w:t>
      </w:r>
      <w:r>
        <w:rPr>
          <w:color w:val="231F20"/>
          <w:spacing w:val="24"/>
          <w:w w:val="110"/>
        </w:rPr>
        <w:t> </w:t>
      </w:r>
      <w:r>
        <w:rPr>
          <w:color w:val="231F20"/>
          <w:w w:val="110"/>
        </w:rPr>
        <w:t>de</w:t>
      </w:r>
      <w:r>
        <w:rPr>
          <w:color w:val="231F20"/>
          <w:spacing w:val="24"/>
          <w:w w:val="110"/>
        </w:rPr>
        <w:t> </w:t>
      </w:r>
      <w:r>
        <w:rPr>
          <w:color w:val="231F20"/>
          <w:w w:val="110"/>
        </w:rPr>
        <w:t>producción</w:t>
      </w:r>
      <w:r>
        <w:rPr>
          <w:color w:val="231F20"/>
          <w:spacing w:val="24"/>
          <w:w w:val="110"/>
        </w:rPr>
        <w:t> </w:t>
      </w:r>
      <w:r>
        <w:rPr>
          <w:color w:val="231F20"/>
          <w:w w:val="110"/>
        </w:rPr>
        <w:t>de</w:t>
      </w:r>
      <w:r>
        <w:rPr>
          <w:color w:val="231F20"/>
          <w:spacing w:val="24"/>
          <w:w w:val="110"/>
        </w:rPr>
        <w:t> </w:t>
      </w:r>
      <w:r>
        <w:rPr>
          <w:color w:val="231F20"/>
          <w:w w:val="110"/>
        </w:rPr>
        <w:t>energías</w:t>
      </w:r>
      <w:r>
        <w:rPr>
          <w:color w:val="231F20"/>
          <w:spacing w:val="24"/>
          <w:w w:val="110"/>
        </w:rPr>
        <w:t> </w:t>
      </w:r>
      <w:r>
        <w:rPr>
          <w:color w:val="231F20"/>
          <w:w w:val="110"/>
        </w:rPr>
        <w:t>bajas</w:t>
      </w:r>
      <w:r>
        <w:rPr>
          <w:color w:val="231F20"/>
          <w:spacing w:val="24"/>
          <w:w w:val="110"/>
        </w:rPr>
        <w:t> </w:t>
      </w:r>
      <w:r>
        <w:rPr>
          <w:color w:val="231F20"/>
          <w:w w:val="110"/>
        </w:rPr>
        <w:t>en</w:t>
      </w:r>
      <w:r>
        <w:rPr>
          <w:color w:val="231F20"/>
          <w:spacing w:val="24"/>
          <w:w w:val="110"/>
        </w:rPr>
        <w:t> </w:t>
      </w:r>
      <w:r>
        <w:rPr>
          <w:color w:val="231F20"/>
          <w:w w:val="110"/>
        </w:rPr>
        <w:t>carbón</w:t>
      </w:r>
      <w:r>
        <w:rPr>
          <w:color w:val="231F20"/>
          <w:w w:val="112"/>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mundo</w:t>
      </w:r>
      <w:r>
        <w:rPr>
          <w:color w:val="231F20"/>
          <w:spacing w:val="28"/>
          <w:w w:val="110"/>
        </w:rPr>
        <w:t> </w:t>
      </w:r>
      <w:r>
        <w:rPr>
          <w:color w:val="231F20"/>
          <w:w w:val="110"/>
        </w:rPr>
        <w:t>en</w:t>
      </w:r>
      <w:r>
        <w:rPr>
          <w:color w:val="231F20"/>
          <w:spacing w:val="28"/>
          <w:w w:val="110"/>
        </w:rPr>
        <w:t> </w:t>
      </w:r>
      <w:r>
        <w:rPr>
          <w:color w:val="231F20"/>
          <w:w w:val="110"/>
        </w:rPr>
        <w:t>desarrollo”.</w:t>
      </w:r>
      <w:r>
        <w:rPr>
          <w:color w:val="231F20"/>
          <w:spacing w:val="28"/>
          <w:w w:val="110"/>
        </w:rPr>
        <w:t> </w:t>
      </w:r>
      <w:r>
        <w:rPr>
          <w:color w:val="231F20"/>
          <w:w w:val="110"/>
        </w:rPr>
        <w:t>Asimismo</w:t>
      </w:r>
      <w:r>
        <w:rPr>
          <w:color w:val="231F20"/>
          <w:spacing w:val="28"/>
          <w:w w:val="110"/>
        </w:rPr>
        <w:t> </w:t>
      </w:r>
      <w:r>
        <w:rPr>
          <w:color w:val="231F20"/>
          <w:w w:val="110"/>
        </w:rPr>
        <w:t>a</w:t>
      </w:r>
      <w:r>
        <w:rPr>
          <w:color w:val="231F20"/>
          <w:spacing w:val="28"/>
          <w:w w:val="110"/>
        </w:rPr>
        <w:t> </w:t>
      </w:r>
      <w:r>
        <w:rPr>
          <w:color w:val="231F20"/>
          <w:w w:val="110"/>
        </w:rPr>
        <w:t>ofrecer</w:t>
      </w:r>
      <w:r>
        <w:rPr>
          <w:color w:val="231F20"/>
          <w:spacing w:val="28"/>
          <w:w w:val="110"/>
        </w:rPr>
        <w:t> </w:t>
      </w:r>
      <w:r>
        <w:rPr>
          <w:color w:val="231F20"/>
          <w:w w:val="110"/>
        </w:rPr>
        <w:t>incentivos</w:t>
      </w:r>
      <w:r>
        <w:rPr>
          <w:color w:val="231F20"/>
          <w:spacing w:val="28"/>
          <w:w w:val="110"/>
        </w:rPr>
        <w:t> </w:t>
      </w:r>
      <w:r>
        <w:rPr>
          <w:color w:val="231F20"/>
          <w:w w:val="110"/>
        </w:rPr>
        <w:t>para</w:t>
      </w:r>
      <w:r>
        <w:rPr>
          <w:color w:val="231F20"/>
          <w:w w:val="112"/>
        </w:rPr>
        <w:t> </w:t>
      </w:r>
      <w:r>
        <w:rPr>
          <w:color w:val="231F20"/>
          <w:w w:val="110"/>
        </w:rPr>
        <w:t>mantener y explotar de manera sustentable las extensas</w:t>
      </w:r>
      <w:r>
        <w:rPr>
          <w:color w:val="231F20"/>
          <w:spacing w:val="-5"/>
          <w:w w:val="110"/>
        </w:rPr>
        <w:t> </w:t>
      </w:r>
      <w:r>
        <w:rPr>
          <w:color w:val="231F20"/>
          <w:w w:val="110"/>
        </w:rPr>
        <w:t>áreas</w:t>
      </w:r>
      <w:r>
        <w:rPr>
          <w:color w:val="231F20"/>
          <w:spacing w:val="-1"/>
          <w:w w:val="110"/>
        </w:rPr>
        <w:t> </w:t>
      </w:r>
      <w:r>
        <w:rPr>
          <w:color w:val="231F20"/>
          <w:w w:val="110"/>
        </w:rPr>
        <w:t>bosco-</w:t>
      </w:r>
      <w:r>
        <w:rPr>
          <w:color w:val="231F20"/>
          <w:w w:val="72"/>
        </w:rPr>
        <w:t> </w:t>
      </w:r>
      <w:r>
        <w:rPr>
          <w:color w:val="231F20"/>
          <w:w w:val="110"/>
        </w:rPr>
        <w:t>sas existentes en América Latina y en particular en América</w:t>
      </w:r>
      <w:r>
        <w:rPr>
          <w:color w:val="231F20"/>
          <w:spacing w:val="-3"/>
          <w:w w:val="110"/>
        </w:rPr>
        <w:t> </w:t>
      </w:r>
      <w:r>
        <w:rPr>
          <w:color w:val="231F20"/>
          <w:w w:val="110"/>
        </w:rPr>
        <w:t>del</w:t>
      </w:r>
      <w:r>
        <w:rPr>
          <w:color w:val="231F20"/>
          <w:spacing w:val="-1"/>
          <w:w w:val="110"/>
        </w:rPr>
        <w:t> </w:t>
      </w:r>
      <w:r>
        <w:rPr>
          <w:color w:val="231F20"/>
          <w:spacing w:val="-5"/>
          <w:w w:val="110"/>
        </w:rPr>
        <w:t>Sur.</w:t>
      </w:r>
      <w:r>
        <w:rPr>
          <w:color w:val="231F20"/>
          <w:w w:val="104"/>
        </w:rPr>
        <w:t> </w:t>
      </w:r>
      <w:r>
        <w:rPr>
          <w:color w:val="231F20"/>
          <w:w w:val="110"/>
        </w:rPr>
        <w:t>Aunque ninguna de esas promesas han sido</w:t>
      </w:r>
      <w:r>
        <w:rPr>
          <w:color w:val="231F20"/>
          <w:spacing w:val="36"/>
          <w:w w:val="110"/>
        </w:rPr>
        <w:t> </w:t>
      </w:r>
      <w:r>
        <w:rPr>
          <w:color w:val="231F20"/>
          <w:w w:val="110"/>
        </w:rPr>
        <w:t>cumplidas,</w:t>
      </w:r>
      <w:r>
        <w:rPr>
          <w:color w:val="231F20"/>
          <w:spacing w:val="28"/>
          <w:w w:val="110"/>
        </w:rPr>
        <w:t> </w:t>
      </w:r>
      <w:r>
        <w:rPr>
          <w:color w:val="231F20"/>
          <w:w w:val="110"/>
        </w:rPr>
        <w:t>Obama</w:t>
      </w:r>
      <w:r>
        <w:rPr>
          <w:color w:val="231F20"/>
          <w:w w:val="110"/>
        </w:rPr>
        <w:t> </w:t>
      </w:r>
      <w:r>
        <w:rPr>
          <w:color w:val="231F20"/>
          <w:w w:val="110"/>
        </w:rPr>
        <w:t>respaldó la Alianza para la Producción y la Exportación de Biocom-</w:t>
      </w:r>
      <w:r>
        <w:rPr>
          <w:color w:val="231F20"/>
          <w:w w:val="72"/>
        </w:rPr>
        <w:t> </w:t>
      </w:r>
      <w:r>
        <w:rPr>
          <w:color w:val="231F20"/>
          <w:w w:val="110"/>
        </w:rPr>
        <w:t>bustibles firmada en el año 2007 entre los gobiernos de</w:t>
      </w:r>
      <w:r>
        <w:rPr>
          <w:color w:val="231F20"/>
          <w:spacing w:val="7"/>
          <w:w w:val="110"/>
        </w:rPr>
        <w:t> </w:t>
      </w:r>
      <w:r>
        <w:rPr>
          <w:color w:val="231F20"/>
          <w:w w:val="110"/>
        </w:rPr>
        <w:t>George</w:t>
      </w:r>
      <w:r>
        <w:rPr>
          <w:color w:val="231F20"/>
          <w:spacing w:val="11"/>
          <w:w w:val="110"/>
        </w:rPr>
        <w:t> </w:t>
      </w:r>
      <w:r>
        <w:rPr>
          <w:color w:val="231F20"/>
          <w:spacing w:val="-6"/>
          <w:w w:val="110"/>
        </w:rPr>
        <w:t>W.</w:t>
      </w:r>
      <w:r>
        <w:rPr>
          <w:color w:val="231F20"/>
          <w:w w:val="104"/>
        </w:rPr>
        <w:t> </w:t>
      </w:r>
      <w:r>
        <w:rPr>
          <w:color w:val="231F20"/>
          <w:w w:val="110"/>
        </w:rPr>
        <w:t>Bush</w:t>
      </w:r>
      <w:r>
        <w:rPr>
          <w:color w:val="231F20"/>
          <w:spacing w:val="-8"/>
          <w:w w:val="110"/>
        </w:rPr>
        <w:t> </w:t>
      </w:r>
      <w:r>
        <w:rPr>
          <w:color w:val="231F20"/>
          <w:w w:val="110"/>
        </w:rPr>
        <w:t>y</w:t>
      </w:r>
      <w:r>
        <w:rPr>
          <w:color w:val="231F20"/>
          <w:spacing w:val="-8"/>
          <w:w w:val="110"/>
        </w:rPr>
        <w:t> </w:t>
      </w:r>
      <w:r>
        <w:rPr>
          <w:color w:val="231F20"/>
          <w:w w:val="110"/>
        </w:rPr>
        <w:t>Luiz</w:t>
      </w:r>
      <w:r>
        <w:rPr>
          <w:color w:val="231F20"/>
          <w:spacing w:val="-8"/>
          <w:w w:val="110"/>
        </w:rPr>
        <w:t> </w:t>
      </w:r>
      <w:r>
        <w:rPr>
          <w:color w:val="231F20"/>
          <w:w w:val="110"/>
        </w:rPr>
        <w:t>Inácio</w:t>
      </w:r>
      <w:r>
        <w:rPr>
          <w:color w:val="231F20"/>
          <w:spacing w:val="-8"/>
          <w:w w:val="110"/>
        </w:rPr>
        <w:t> </w:t>
      </w:r>
      <w:r>
        <w:rPr>
          <w:color w:val="231F20"/>
          <w:w w:val="110"/>
        </w:rPr>
        <w:t>Lula</w:t>
      </w:r>
      <w:r>
        <w:rPr>
          <w:color w:val="231F20"/>
          <w:spacing w:val="-8"/>
          <w:w w:val="110"/>
        </w:rPr>
        <w:t> </w:t>
      </w:r>
      <w:r>
        <w:rPr>
          <w:color w:val="231F20"/>
          <w:w w:val="110"/>
        </w:rPr>
        <w:t>da</w:t>
      </w:r>
      <w:r>
        <w:rPr>
          <w:color w:val="231F20"/>
          <w:spacing w:val="-8"/>
          <w:w w:val="110"/>
        </w:rPr>
        <w:t> </w:t>
      </w:r>
      <w:r>
        <w:rPr>
          <w:color w:val="231F20"/>
          <w:w w:val="110"/>
        </w:rPr>
        <w:t>Silva;</w:t>
      </w:r>
      <w:r>
        <w:rPr>
          <w:color w:val="231F20"/>
          <w:spacing w:val="-8"/>
          <w:w w:val="110"/>
        </w:rPr>
        <w:t> </w:t>
      </w:r>
      <w:r>
        <w:rPr>
          <w:color w:val="231F20"/>
          <w:w w:val="110"/>
        </w:rPr>
        <w:t>quien</w:t>
      </w:r>
      <w:r>
        <w:rPr>
          <w:color w:val="231F20"/>
          <w:spacing w:val="-8"/>
          <w:w w:val="110"/>
        </w:rPr>
        <w:t> </w:t>
      </w:r>
      <w:r>
        <w:rPr>
          <w:color w:val="231F20"/>
          <w:w w:val="110"/>
        </w:rPr>
        <w:t>—al</w:t>
      </w:r>
      <w:r>
        <w:rPr>
          <w:color w:val="231F20"/>
          <w:spacing w:val="-8"/>
          <w:w w:val="110"/>
        </w:rPr>
        <w:t> </w:t>
      </w:r>
      <w:r>
        <w:rPr>
          <w:color w:val="231F20"/>
          <w:w w:val="110"/>
        </w:rPr>
        <w:t>menos</w:t>
      </w:r>
      <w:r>
        <w:rPr>
          <w:color w:val="231F20"/>
          <w:spacing w:val="-8"/>
          <w:w w:val="110"/>
        </w:rPr>
        <w:t> </w:t>
      </w:r>
      <w:r>
        <w:rPr>
          <w:color w:val="231F20"/>
          <w:w w:val="110"/>
        </w:rPr>
        <w:t>hasta</w:t>
      </w:r>
      <w:r>
        <w:rPr>
          <w:color w:val="231F20"/>
          <w:spacing w:val="-8"/>
          <w:w w:val="110"/>
        </w:rPr>
        <w:t> </w:t>
      </w:r>
      <w:r>
        <w:rPr>
          <w:color w:val="231F20"/>
          <w:w w:val="110"/>
        </w:rPr>
        <w:t>comienzos</w:t>
      </w:r>
      <w:r>
        <w:rPr>
          <w:color w:val="231F20"/>
          <w:w w:val="107"/>
        </w:rPr>
        <w:t> </w:t>
      </w:r>
      <w:r>
        <w:rPr>
          <w:color w:val="231F20"/>
          <w:w w:val="110"/>
        </w:rPr>
        <w:t>de diciembre de 2009— se había convertido en uno de</w:t>
      </w:r>
      <w:r>
        <w:rPr>
          <w:color w:val="231F20"/>
          <w:spacing w:val="-19"/>
          <w:w w:val="110"/>
        </w:rPr>
        <w:t> </w:t>
      </w:r>
      <w:r>
        <w:rPr>
          <w:color w:val="231F20"/>
          <w:w w:val="110"/>
        </w:rPr>
        <w:t>los</w:t>
      </w:r>
      <w:r>
        <w:rPr>
          <w:color w:val="231F20"/>
          <w:spacing w:val="-2"/>
          <w:w w:val="110"/>
        </w:rPr>
        <w:t> </w:t>
      </w:r>
      <w:r>
        <w:rPr>
          <w:color w:val="231F20"/>
          <w:w w:val="110"/>
        </w:rPr>
        <w:t>interlocu-</w:t>
      </w:r>
      <w:r>
        <w:rPr>
          <w:color w:val="231F20"/>
          <w:w w:val="72"/>
        </w:rPr>
        <w:t> </w:t>
      </w:r>
      <w:r>
        <w:rPr>
          <w:color w:val="231F20"/>
          <w:w w:val="110"/>
        </w:rPr>
        <w:t>tores privilegiados de Obama en el hemisferio occidental.</w:t>
      </w:r>
      <w:r>
        <w:rPr>
          <w:color w:val="231F20"/>
          <w:spacing w:val="-17"/>
          <w:w w:val="110"/>
        </w:rPr>
        <w:t> </w:t>
      </w:r>
      <w:r>
        <w:rPr>
          <w:color w:val="231F20"/>
          <w:w w:val="110"/>
        </w:rPr>
        <w:t>Pero</w:t>
      </w:r>
      <w:r>
        <w:rPr>
          <w:color w:val="231F20"/>
          <w:spacing w:val="-3"/>
          <w:w w:val="110"/>
        </w:rPr>
        <w:t> </w:t>
      </w:r>
      <w:r>
        <w:rPr>
          <w:color w:val="231F20"/>
          <w:w w:val="110"/>
        </w:rPr>
        <w:t>—en</w:t>
      </w:r>
      <w:r>
        <w:rPr>
          <w:color w:val="231F20"/>
          <w:w w:val="108"/>
        </w:rPr>
        <w:t> </w:t>
      </w:r>
      <w:r>
        <w:rPr>
          <w:color w:val="231F20"/>
          <w:w w:val="110"/>
        </w:rPr>
        <w:t>el</w:t>
      </w:r>
      <w:r>
        <w:rPr>
          <w:color w:val="231F20"/>
          <w:spacing w:val="-17"/>
          <w:w w:val="110"/>
        </w:rPr>
        <w:t> </w:t>
      </w:r>
      <w:r>
        <w:rPr>
          <w:color w:val="231F20"/>
          <w:w w:val="110"/>
        </w:rPr>
        <w:t>criterio</w:t>
      </w:r>
      <w:r>
        <w:rPr>
          <w:color w:val="231F20"/>
          <w:spacing w:val="-17"/>
          <w:w w:val="110"/>
        </w:rPr>
        <w:t> </w:t>
      </w:r>
      <w:r>
        <w:rPr>
          <w:color w:val="231F20"/>
          <w:w w:val="110"/>
        </w:rPr>
        <w:t>de</w:t>
      </w:r>
      <w:r>
        <w:rPr>
          <w:color w:val="231F20"/>
          <w:spacing w:val="-17"/>
          <w:w w:val="110"/>
        </w:rPr>
        <w:t> </w:t>
      </w:r>
      <w:r>
        <w:rPr>
          <w:color w:val="231F20"/>
          <w:w w:val="110"/>
        </w:rPr>
        <w:t>algunos</w:t>
      </w:r>
      <w:r>
        <w:rPr>
          <w:color w:val="231F20"/>
          <w:spacing w:val="-17"/>
          <w:w w:val="110"/>
        </w:rPr>
        <w:t> </w:t>
      </w:r>
      <w:r>
        <w:rPr>
          <w:color w:val="231F20"/>
          <w:w w:val="110"/>
        </w:rPr>
        <w:t>analistas—</w:t>
      </w:r>
      <w:r>
        <w:rPr>
          <w:color w:val="231F20"/>
          <w:spacing w:val="-17"/>
          <w:w w:val="110"/>
        </w:rPr>
        <w:t> </w:t>
      </w:r>
      <w:r>
        <w:rPr>
          <w:color w:val="231F20"/>
          <w:w w:val="110"/>
        </w:rPr>
        <w:t>esa</w:t>
      </w:r>
      <w:r>
        <w:rPr>
          <w:color w:val="231F20"/>
          <w:spacing w:val="-17"/>
          <w:w w:val="110"/>
        </w:rPr>
        <w:t> </w:t>
      </w:r>
      <w:r>
        <w:rPr>
          <w:color w:val="231F20"/>
          <w:w w:val="110"/>
        </w:rPr>
        <w:t>“luna</w:t>
      </w:r>
      <w:r>
        <w:rPr>
          <w:color w:val="231F20"/>
          <w:spacing w:val="-17"/>
          <w:w w:val="110"/>
        </w:rPr>
        <w:t> </w:t>
      </w:r>
      <w:r>
        <w:rPr>
          <w:color w:val="231F20"/>
          <w:w w:val="110"/>
        </w:rPr>
        <w:t>de</w:t>
      </w:r>
      <w:r>
        <w:rPr>
          <w:color w:val="231F20"/>
          <w:spacing w:val="-17"/>
          <w:w w:val="110"/>
        </w:rPr>
        <w:t> </w:t>
      </w:r>
      <w:r>
        <w:rPr>
          <w:color w:val="231F20"/>
          <w:w w:val="110"/>
        </w:rPr>
        <w:t>miel”</w:t>
      </w:r>
      <w:r>
        <w:rPr>
          <w:color w:val="231F20"/>
          <w:spacing w:val="-17"/>
          <w:w w:val="110"/>
        </w:rPr>
        <w:t> </w:t>
      </w:r>
      <w:r>
        <w:rPr>
          <w:color w:val="231F20"/>
          <w:w w:val="110"/>
        </w:rPr>
        <w:t>se</w:t>
      </w:r>
      <w:r>
        <w:rPr>
          <w:color w:val="231F20"/>
          <w:spacing w:val="-17"/>
          <w:w w:val="110"/>
        </w:rPr>
        <w:t> </w:t>
      </w:r>
      <w:r>
        <w:rPr>
          <w:color w:val="231F20"/>
          <w:w w:val="110"/>
        </w:rPr>
        <w:t>habría</w:t>
      </w:r>
      <w:r>
        <w:rPr>
          <w:color w:val="231F20"/>
          <w:spacing w:val="-17"/>
          <w:w w:val="110"/>
        </w:rPr>
        <w:t> </w:t>
      </w:r>
      <w:r>
        <w:rPr>
          <w:color w:val="231F20"/>
          <w:w w:val="110"/>
        </w:rPr>
        <w:t>acabado</w:t>
      </w:r>
      <w:r>
        <w:rPr>
          <w:color w:val="231F20"/>
          <w:w w:val="109"/>
        </w:rPr>
        <w:t> </w:t>
      </w:r>
      <w:r>
        <w:rPr>
          <w:color w:val="231F20"/>
          <w:w w:val="110"/>
        </w:rPr>
        <w:t>a</w:t>
      </w:r>
      <w:r>
        <w:rPr>
          <w:color w:val="231F20"/>
          <w:spacing w:val="-8"/>
          <w:w w:val="110"/>
        </w:rPr>
        <w:t> </w:t>
      </w:r>
      <w:r>
        <w:rPr>
          <w:color w:val="231F20"/>
          <w:w w:val="110"/>
        </w:rPr>
        <w:t>causa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diferencias</w:t>
      </w:r>
      <w:r>
        <w:rPr>
          <w:color w:val="231F20"/>
          <w:spacing w:val="-8"/>
          <w:w w:val="110"/>
        </w:rPr>
        <w:t> </w:t>
      </w:r>
      <w:r>
        <w:rPr>
          <w:color w:val="231F20"/>
          <w:w w:val="110"/>
        </w:rPr>
        <w:t>de</w:t>
      </w:r>
      <w:r>
        <w:rPr>
          <w:color w:val="231F20"/>
          <w:spacing w:val="-8"/>
          <w:w w:val="110"/>
        </w:rPr>
        <w:t> </w:t>
      </w:r>
      <w:r>
        <w:rPr>
          <w:color w:val="231F20"/>
          <w:w w:val="110"/>
        </w:rPr>
        <w:t>enfoques</w:t>
      </w:r>
      <w:r>
        <w:rPr>
          <w:color w:val="231F20"/>
          <w:spacing w:val="-8"/>
          <w:w w:val="110"/>
        </w:rPr>
        <w:t> </w:t>
      </w:r>
      <w:r>
        <w:rPr>
          <w:color w:val="231F20"/>
          <w:w w:val="110"/>
        </w:rPr>
        <w:t>existentes</w:t>
      </w:r>
      <w:r>
        <w:rPr>
          <w:color w:val="231F20"/>
          <w:spacing w:val="-8"/>
          <w:w w:val="110"/>
        </w:rPr>
        <w:t> </w:t>
      </w:r>
      <w:r>
        <w:rPr>
          <w:color w:val="231F20"/>
          <w:w w:val="110"/>
        </w:rPr>
        <w:t>entre</w:t>
      </w:r>
      <w:r>
        <w:rPr>
          <w:color w:val="231F20"/>
          <w:spacing w:val="-8"/>
          <w:w w:val="110"/>
        </w:rPr>
        <w:t> </w:t>
      </w:r>
      <w:r>
        <w:rPr>
          <w:color w:val="231F20"/>
          <w:w w:val="110"/>
        </w:rPr>
        <w:t>ambos</w:t>
      </w:r>
      <w:r>
        <w:rPr>
          <w:color w:val="231F20"/>
          <w:spacing w:val="-8"/>
          <w:w w:val="110"/>
        </w:rPr>
        <w:t> </w:t>
      </w:r>
      <w:r>
        <w:rPr>
          <w:color w:val="231F20"/>
          <w:w w:val="110"/>
        </w:rPr>
        <w:t>gobier-</w:t>
      </w:r>
      <w:r>
        <w:rPr>
          <w:color w:val="231F20"/>
          <w:w w:val="72"/>
        </w:rPr>
        <w:t> </w:t>
      </w:r>
      <w:r>
        <w:rPr>
          <w:color w:val="231F20"/>
          <w:w w:val="110"/>
        </w:rPr>
        <w:t>nos en diversos asuntos de la agenda internacional y</w:t>
      </w:r>
      <w:r>
        <w:rPr>
          <w:color w:val="231F20"/>
          <w:spacing w:val="-29"/>
          <w:w w:val="110"/>
        </w:rPr>
        <w:t> </w:t>
      </w:r>
      <w:r>
        <w:rPr>
          <w:color w:val="231F20"/>
          <w:w w:val="110"/>
        </w:rPr>
        <w:t>hemisférica,</w:t>
      </w:r>
      <w:r>
        <w:rPr>
          <w:color w:val="231F20"/>
          <w:spacing w:val="-4"/>
          <w:w w:val="110"/>
        </w:rPr>
        <w:t> </w:t>
      </w:r>
      <w:r>
        <w:rPr>
          <w:color w:val="231F20"/>
          <w:w w:val="110"/>
        </w:rPr>
        <w:t>así</w:t>
      </w:r>
      <w:r>
        <w:rPr>
          <w:color w:val="231F20"/>
          <w:w w:val="102"/>
        </w:rPr>
        <w:t> </w:t>
      </w:r>
      <w:r>
        <w:rPr>
          <w:color w:val="231F20"/>
          <w:w w:val="110"/>
        </w:rPr>
        <w:t>como del rechazo de la Casa Blanca a la visita realizada a</w:t>
      </w:r>
      <w:r>
        <w:rPr>
          <w:color w:val="231F20"/>
          <w:spacing w:val="43"/>
          <w:w w:val="110"/>
        </w:rPr>
        <w:t> </w:t>
      </w:r>
      <w:r>
        <w:rPr>
          <w:color w:val="231F20"/>
          <w:w w:val="110"/>
        </w:rPr>
        <w:t>Brasil</w:t>
      </w:r>
      <w:r>
        <w:rPr>
          <w:color w:val="231F20"/>
          <w:spacing w:val="3"/>
          <w:w w:val="110"/>
        </w:rPr>
        <w:t> </w:t>
      </w:r>
      <w:r>
        <w:rPr>
          <w:color w:val="231F20"/>
          <w:w w:val="110"/>
        </w:rPr>
        <w:t>(al</w:t>
      </w:r>
      <w:r>
        <w:rPr>
          <w:color w:val="231F20"/>
          <w:w w:val="113"/>
        </w:rPr>
        <w:t> </w:t>
      </w:r>
      <w:r>
        <w:rPr>
          <w:color w:val="231F20"/>
          <w:w w:val="110"/>
        </w:rPr>
        <w:t>igual que a Bolivia y a Venezuela) por el presidente de</w:t>
      </w:r>
      <w:r>
        <w:rPr>
          <w:color w:val="231F20"/>
          <w:spacing w:val="8"/>
          <w:w w:val="110"/>
        </w:rPr>
        <w:t> </w:t>
      </w:r>
      <w:r>
        <w:rPr>
          <w:color w:val="231F20"/>
          <w:w w:val="110"/>
        </w:rPr>
        <w:t>la República</w:t>
      </w:r>
      <w:r>
        <w:rPr>
          <w:color w:val="231F20"/>
          <w:w w:val="108"/>
        </w:rPr>
        <w:t> </w:t>
      </w:r>
      <w:r>
        <w:rPr>
          <w:color w:val="231F20"/>
          <w:w w:val="110"/>
        </w:rPr>
        <w:t>Islámica de Irán, Mahmoud Ahmadinejad. A ello se agregó</w:t>
      </w:r>
      <w:r>
        <w:rPr>
          <w:color w:val="231F20"/>
          <w:spacing w:val="-32"/>
          <w:w w:val="110"/>
        </w:rPr>
        <w:t> </w:t>
      </w:r>
      <w:r>
        <w:rPr>
          <w:color w:val="231F20"/>
          <w:w w:val="110"/>
        </w:rPr>
        <w:t>el</w:t>
      </w:r>
      <w:r>
        <w:rPr>
          <w:color w:val="231F20"/>
          <w:spacing w:val="-4"/>
          <w:w w:val="110"/>
        </w:rPr>
        <w:t> </w:t>
      </w:r>
      <w:r>
        <w:rPr>
          <w:color w:val="231F20"/>
          <w:w w:val="110"/>
        </w:rPr>
        <w:t>recha-</w:t>
      </w:r>
      <w:r>
        <w:rPr>
          <w:color w:val="231F20"/>
          <w:w w:val="72"/>
        </w:rPr>
        <w:t> </w:t>
      </w:r>
      <w:r>
        <w:rPr>
          <w:color w:val="231F20"/>
          <w:w w:val="110"/>
        </w:rPr>
        <w:t>zo</w:t>
      </w:r>
      <w:r>
        <w:rPr>
          <w:color w:val="231F20"/>
          <w:spacing w:val="32"/>
          <w:w w:val="110"/>
        </w:rPr>
        <w:t> </w:t>
      </w:r>
      <w:r>
        <w:rPr>
          <w:color w:val="231F20"/>
          <w:w w:val="110"/>
        </w:rPr>
        <w:t>por</w:t>
      </w:r>
      <w:r>
        <w:rPr>
          <w:color w:val="231F20"/>
          <w:spacing w:val="32"/>
          <w:w w:val="110"/>
        </w:rPr>
        <w:t> </w:t>
      </w:r>
      <w:r>
        <w:rPr>
          <w:color w:val="231F20"/>
          <w:w w:val="110"/>
        </w:rPr>
        <w:t>parte</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administración</w:t>
      </w:r>
      <w:r>
        <w:rPr>
          <w:color w:val="231F20"/>
          <w:spacing w:val="32"/>
          <w:w w:val="110"/>
        </w:rPr>
        <w:t> </w:t>
      </w:r>
      <w:r>
        <w:rPr>
          <w:color w:val="231F20"/>
          <w:w w:val="110"/>
        </w:rPr>
        <w:t>de</w:t>
      </w:r>
      <w:r>
        <w:rPr>
          <w:color w:val="231F20"/>
          <w:spacing w:val="32"/>
          <w:w w:val="110"/>
        </w:rPr>
        <w:t> </w:t>
      </w:r>
      <w:r>
        <w:rPr>
          <w:color w:val="231F20"/>
          <w:w w:val="110"/>
        </w:rPr>
        <w:t>Obama</w:t>
      </w:r>
      <w:r>
        <w:rPr>
          <w:color w:val="231F20"/>
          <w:spacing w:val="32"/>
          <w:w w:val="110"/>
        </w:rPr>
        <w:t> </w:t>
      </w:r>
      <w:r>
        <w:rPr>
          <w:color w:val="231F20"/>
          <w:w w:val="110"/>
        </w:rPr>
        <w:t>del</w:t>
      </w:r>
      <w:r>
        <w:rPr>
          <w:color w:val="231F20"/>
          <w:spacing w:val="32"/>
          <w:w w:val="110"/>
        </w:rPr>
        <w:t> </w:t>
      </w:r>
      <w:r>
        <w:rPr>
          <w:color w:val="231F20"/>
          <w:w w:val="110"/>
        </w:rPr>
        <w:t>acuerdo</w:t>
      </w:r>
      <w:r>
        <w:rPr>
          <w:color w:val="231F20"/>
          <w:spacing w:val="32"/>
          <w:w w:val="110"/>
        </w:rPr>
        <w:t> </w:t>
      </w:r>
      <w:r>
        <w:rPr>
          <w:color w:val="231F20"/>
          <w:w w:val="110"/>
        </w:rPr>
        <w:t>firmado</w:t>
      </w:r>
      <w:r>
        <w:rPr>
          <w:color w:val="231F20"/>
          <w:w w:val="109"/>
        </w:rPr>
        <w:t> </w:t>
      </w:r>
      <w:r>
        <w:rPr>
          <w:color w:val="231F20"/>
          <w:w w:val="110"/>
        </w:rPr>
        <w:t>entre los gobiernos de Brasil, </w:t>
      </w:r>
      <w:r>
        <w:rPr>
          <w:color w:val="231F20"/>
          <w:spacing w:val="-3"/>
          <w:w w:val="110"/>
        </w:rPr>
        <w:t>Turquía </w:t>
      </w:r>
      <w:r>
        <w:rPr>
          <w:color w:val="231F20"/>
          <w:w w:val="110"/>
        </w:rPr>
        <w:t>e Irán orientado a  </w:t>
      </w:r>
      <w:r>
        <w:rPr>
          <w:color w:val="231F20"/>
          <w:spacing w:val="53"/>
          <w:w w:val="110"/>
        </w:rPr>
        <w:t> </w:t>
      </w:r>
      <w:r>
        <w:rPr>
          <w:color w:val="231F20"/>
          <w:w w:val="110"/>
        </w:rPr>
        <w:t>garantizar</w:t>
      </w:r>
    </w:p>
    <w:p>
      <w:pPr>
        <w:spacing w:after="0" w:line="261" w:lineRule="auto"/>
        <w:jc w:val="right"/>
        <w:sectPr>
          <w:headerReference w:type="even" r:id="rId293"/>
          <w:headerReference w:type="default" r:id="rId294"/>
          <w:pgSz w:w="7640" w:h="11900"/>
          <w:pgMar w:header="672" w:footer="0" w:top="860" w:bottom="280" w:left="780" w:right="640"/>
          <w:pgNumType w:start="402"/>
        </w:sectPr>
      </w:pPr>
    </w:p>
    <w:p>
      <w:pPr>
        <w:pStyle w:val="BodyText"/>
        <w:spacing w:before="8"/>
        <w:rPr>
          <w:sz w:val="8"/>
        </w:rPr>
      </w:pPr>
    </w:p>
    <w:p>
      <w:pPr>
        <w:pStyle w:val="BodyText"/>
        <w:spacing w:line="261" w:lineRule="auto" w:before="67"/>
        <w:ind w:left="100" w:right="25"/>
      </w:pPr>
      <w:r>
        <w:rPr>
          <w:color w:val="231F20"/>
          <w:w w:val="110"/>
        </w:rPr>
        <w:t>sus empeños de utilizar la energía atómica únicamente con fines pacíficos (Lula, 2010).</w:t>
      </w:r>
    </w:p>
    <w:p>
      <w:pPr>
        <w:pStyle w:val="BodyText"/>
        <w:spacing w:line="261" w:lineRule="auto"/>
        <w:ind w:left="100" w:right="117" w:firstLine="240"/>
        <w:jc w:val="both"/>
      </w:pPr>
      <w:r>
        <w:rPr>
          <w:color w:val="231F20"/>
          <w:w w:val="110"/>
        </w:rPr>
        <w:t>No obstante, debe recordarse que previo a ese y otros conflictos entre los actuales gobiernos temporales de Brasil y Estados Unidos (como el atinente al reconocimiento del espurio gobierno hondure- ño),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llamada</w:t>
      </w:r>
      <w:r>
        <w:rPr>
          <w:color w:val="231F20"/>
          <w:spacing w:val="-8"/>
          <w:w w:val="110"/>
        </w:rPr>
        <w:t> </w:t>
      </w:r>
      <w:r>
        <w:rPr>
          <w:color w:val="231F20"/>
          <w:w w:val="110"/>
        </w:rPr>
        <w:t>“Revisión</w:t>
      </w:r>
      <w:r>
        <w:rPr>
          <w:color w:val="231F20"/>
          <w:spacing w:val="-8"/>
          <w:w w:val="110"/>
        </w:rPr>
        <w:t> </w:t>
      </w:r>
      <w:r>
        <w:rPr>
          <w:color w:val="231F20"/>
          <w:w w:val="110"/>
        </w:rPr>
        <w:t>Cuatrianual</w:t>
      </w:r>
      <w:r>
        <w:rPr>
          <w:color w:val="231F20"/>
          <w:spacing w:val="-8"/>
          <w:w w:val="110"/>
        </w:rPr>
        <w:t> </w:t>
      </w:r>
      <w:r>
        <w:rPr>
          <w:color w:val="231F20"/>
          <w:w w:val="110"/>
        </w:rPr>
        <w:t>de</w:t>
      </w:r>
      <w:r>
        <w:rPr>
          <w:color w:val="231F20"/>
          <w:spacing w:val="-8"/>
          <w:w w:val="110"/>
        </w:rPr>
        <w:t> </w:t>
      </w:r>
      <w:r>
        <w:rPr>
          <w:color w:val="231F20"/>
          <w:w w:val="110"/>
        </w:rPr>
        <w:t>Defensa”</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primero de</w:t>
      </w:r>
      <w:r>
        <w:rPr>
          <w:color w:val="231F20"/>
          <w:spacing w:val="-15"/>
          <w:w w:val="110"/>
        </w:rPr>
        <w:t> </w:t>
      </w:r>
      <w:r>
        <w:rPr>
          <w:color w:val="231F20"/>
          <w:w w:val="110"/>
        </w:rPr>
        <w:t>febrero</w:t>
      </w:r>
      <w:r>
        <w:rPr>
          <w:color w:val="231F20"/>
          <w:spacing w:val="-15"/>
          <w:w w:val="110"/>
        </w:rPr>
        <w:t> </w:t>
      </w:r>
      <w:r>
        <w:rPr>
          <w:color w:val="231F20"/>
          <w:w w:val="110"/>
        </w:rPr>
        <w:t>del</w:t>
      </w:r>
      <w:r>
        <w:rPr>
          <w:color w:val="231F20"/>
          <w:spacing w:val="-15"/>
          <w:w w:val="110"/>
        </w:rPr>
        <w:t> </w:t>
      </w:r>
      <w:r>
        <w:rPr>
          <w:color w:val="231F20"/>
          <w:w w:val="110"/>
        </w:rPr>
        <w:t>2010</w:t>
      </w:r>
      <w:r>
        <w:rPr>
          <w:color w:val="231F20"/>
          <w:spacing w:val="-16"/>
          <w:w w:val="110"/>
        </w:rPr>
        <w:t> </w:t>
      </w:r>
      <w:r>
        <w:rPr>
          <w:color w:val="231F20"/>
          <w:w w:val="110"/>
        </w:rPr>
        <w:t>le</w:t>
      </w:r>
      <w:r>
        <w:rPr>
          <w:color w:val="231F20"/>
          <w:spacing w:val="-15"/>
          <w:w w:val="110"/>
        </w:rPr>
        <w:t> </w:t>
      </w:r>
      <w:r>
        <w:rPr>
          <w:color w:val="231F20"/>
          <w:w w:val="110"/>
        </w:rPr>
        <w:t>presentó</w:t>
      </w:r>
      <w:r>
        <w:rPr>
          <w:color w:val="231F20"/>
          <w:spacing w:val="-15"/>
          <w:w w:val="110"/>
        </w:rPr>
        <w:t> </w:t>
      </w:r>
      <w:r>
        <w:rPr>
          <w:color w:val="231F20"/>
          <w:w w:val="110"/>
        </w:rPr>
        <w:t>el</w:t>
      </w:r>
      <w:r>
        <w:rPr>
          <w:color w:val="231F20"/>
          <w:spacing w:val="-15"/>
          <w:w w:val="110"/>
        </w:rPr>
        <w:t> </w:t>
      </w:r>
      <w:r>
        <w:rPr>
          <w:color w:val="231F20"/>
          <w:w w:val="110"/>
        </w:rPr>
        <w:t>secretario</w:t>
      </w:r>
      <w:r>
        <w:rPr>
          <w:color w:val="231F20"/>
          <w:spacing w:val="-16"/>
          <w:w w:val="110"/>
        </w:rPr>
        <w:t> </w:t>
      </w:r>
      <w:r>
        <w:rPr>
          <w:color w:val="231F20"/>
          <w:w w:val="110"/>
        </w:rPr>
        <w:t>de</w:t>
      </w:r>
      <w:r>
        <w:rPr>
          <w:color w:val="231F20"/>
          <w:spacing w:val="-16"/>
          <w:w w:val="110"/>
        </w:rPr>
        <w:t> </w:t>
      </w:r>
      <w:r>
        <w:rPr>
          <w:color w:val="231F20"/>
          <w:w w:val="110"/>
        </w:rPr>
        <w:t>Defensa,</w:t>
      </w:r>
      <w:r>
        <w:rPr>
          <w:color w:val="231F20"/>
          <w:spacing w:val="-15"/>
          <w:w w:val="110"/>
        </w:rPr>
        <w:t> </w:t>
      </w:r>
      <w:r>
        <w:rPr>
          <w:color w:val="231F20"/>
          <w:w w:val="110"/>
        </w:rPr>
        <w:t>Robert</w:t>
      </w:r>
      <w:r>
        <w:rPr>
          <w:color w:val="231F20"/>
          <w:spacing w:val="-15"/>
          <w:w w:val="110"/>
        </w:rPr>
        <w:t> </w:t>
      </w:r>
      <w:r>
        <w:rPr>
          <w:color w:val="231F20"/>
          <w:w w:val="110"/>
        </w:rPr>
        <w:t>Gates al congreso, se subrayó “el compromiso estadunidense de fortalecer la relación con Brasil [tanto] en toda la gama de asuntos regionales, como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de</w:t>
      </w:r>
      <w:r>
        <w:rPr>
          <w:color w:val="231F20"/>
          <w:spacing w:val="-11"/>
          <w:w w:val="110"/>
        </w:rPr>
        <w:t> </w:t>
      </w:r>
      <w:r>
        <w:rPr>
          <w:color w:val="231F20"/>
          <w:w w:val="110"/>
        </w:rPr>
        <w:t>seguridad</w:t>
      </w:r>
      <w:r>
        <w:rPr>
          <w:color w:val="231F20"/>
          <w:spacing w:val="-11"/>
          <w:w w:val="110"/>
        </w:rPr>
        <w:t> </w:t>
      </w:r>
      <w:r>
        <w:rPr>
          <w:color w:val="231F20"/>
          <w:w w:val="110"/>
        </w:rPr>
        <w:t>global”</w:t>
      </w:r>
      <w:r>
        <w:rPr>
          <w:color w:val="231F20"/>
          <w:spacing w:val="-11"/>
          <w:w w:val="110"/>
        </w:rPr>
        <w:t> </w:t>
      </w:r>
      <w:r>
        <w:rPr>
          <w:color w:val="231F20"/>
          <w:w w:val="110"/>
        </w:rPr>
        <w:t>(Brooks,</w:t>
      </w:r>
      <w:r>
        <w:rPr>
          <w:color w:val="231F20"/>
          <w:spacing w:val="-11"/>
          <w:w w:val="110"/>
        </w:rPr>
        <w:t> </w:t>
      </w:r>
      <w:r>
        <w:rPr>
          <w:color w:val="231F20"/>
          <w:w w:val="110"/>
        </w:rPr>
        <w:t>2010).</w:t>
      </w:r>
      <w:r>
        <w:rPr>
          <w:color w:val="231F20"/>
          <w:spacing w:val="-11"/>
          <w:w w:val="110"/>
        </w:rPr>
        <w:t> </w:t>
      </w:r>
      <w:r>
        <w:rPr>
          <w:color w:val="231F20"/>
          <w:spacing w:val="-3"/>
          <w:w w:val="110"/>
        </w:rPr>
        <w:t>También</w:t>
      </w:r>
      <w:r>
        <w:rPr>
          <w:color w:val="231F20"/>
          <w:spacing w:val="-11"/>
          <w:w w:val="110"/>
        </w:rPr>
        <w:t> </w:t>
      </w:r>
      <w:r>
        <w:rPr>
          <w:color w:val="231F20"/>
          <w:w w:val="110"/>
        </w:rPr>
        <w:t>se</w:t>
      </w:r>
      <w:r>
        <w:rPr>
          <w:color w:val="231F20"/>
          <w:spacing w:val="-11"/>
          <w:w w:val="110"/>
        </w:rPr>
        <w:t> </w:t>
      </w:r>
      <w:r>
        <w:rPr>
          <w:color w:val="231F20"/>
          <w:w w:val="110"/>
        </w:rPr>
        <w:t>abor- dó la necesidad de continuar “trabajando de cerca con [el gobierno de] México para mejorar nuestra forma cooperativa de abordar la seguridad fronteriza”, mejorar “la capacidad de defensa” y empren- der</w:t>
      </w:r>
      <w:r>
        <w:rPr>
          <w:color w:val="231F20"/>
          <w:spacing w:val="-10"/>
          <w:w w:val="110"/>
        </w:rPr>
        <w:t> </w:t>
      </w:r>
      <w:r>
        <w:rPr>
          <w:color w:val="231F20"/>
          <w:w w:val="110"/>
        </w:rPr>
        <w:t>“operaciones</w:t>
      </w:r>
      <w:r>
        <w:rPr>
          <w:color w:val="231F20"/>
          <w:spacing w:val="-10"/>
          <w:w w:val="110"/>
        </w:rPr>
        <w:t> </w:t>
      </w:r>
      <w:r>
        <w:rPr>
          <w:color w:val="231F20"/>
          <w:w w:val="110"/>
        </w:rPr>
        <w:t>coordinadas”.</w:t>
      </w:r>
      <w:r>
        <w:rPr>
          <w:color w:val="231F20"/>
          <w:spacing w:val="-10"/>
          <w:w w:val="110"/>
        </w:rPr>
        <w:t> </w:t>
      </w:r>
      <w:r>
        <w:rPr>
          <w:color w:val="231F20"/>
          <w:w w:val="110"/>
        </w:rPr>
        <w:t>Asimismo,</w:t>
      </w:r>
      <w:r>
        <w:rPr>
          <w:color w:val="231F20"/>
          <w:spacing w:val="-10"/>
          <w:w w:val="110"/>
        </w:rPr>
        <w:t> </w:t>
      </w:r>
      <w:r>
        <w:rPr>
          <w:color w:val="231F20"/>
          <w:w w:val="110"/>
        </w:rPr>
        <w:t>se</w:t>
      </w:r>
      <w:r>
        <w:rPr>
          <w:color w:val="231F20"/>
          <w:spacing w:val="-10"/>
          <w:w w:val="110"/>
        </w:rPr>
        <w:t> </w:t>
      </w:r>
      <w:r>
        <w:rPr>
          <w:color w:val="231F20"/>
          <w:w w:val="110"/>
        </w:rPr>
        <w:t>indicó</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objetivo estratégico</w:t>
      </w:r>
      <w:r>
        <w:rPr>
          <w:color w:val="231F20"/>
          <w:spacing w:val="-8"/>
          <w:w w:val="110"/>
        </w:rPr>
        <w:t> </w:t>
      </w:r>
      <w:r>
        <w:rPr>
          <w:color w:val="231F20"/>
          <w:w w:val="110"/>
        </w:rPr>
        <w:t>[del</w:t>
      </w:r>
      <w:r>
        <w:rPr>
          <w:color w:val="231F20"/>
          <w:spacing w:val="-8"/>
          <w:w w:val="110"/>
        </w:rPr>
        <w:t> </w:t>
      </w:r>
      <w:r>
        <w:rPr>
          <w:color w:val="231F20"/>
          <w:w w:val="110"/>
        </w:rPr>
        <w:t>Pentágono</w:t>
      </w:r>
      <w:r>
        <w:rPr>
          <w:color w:val="231F20"/>
          <w:spacing w:val="-8"/>
          <w:w w:val="110"/>
        </w:rPr>
        <w:t> </w:t>
      </w:r>
      <w:r>
        <w:rPr>
          <w:color w:val="231F20"/>
          <w:w w:val="110"/>
        </w:rPr>
        <w:t>era]</w:t>
      </w:r>
      <w:r>
        <w:rPr>
          <w:color w:val="231F20"/>
          <w:spacing w:val="-8"/>
          <w:w w:val="110"/>
        </w:rPr>
        <w:t> </w:t>
      </w:r>
      <w:r>
        <w:rPr>
          <w:color w:val="231F20"/>
          <w:w w:val="110"/>
        </w:rPr>
        <w:t>trabajar</w:t>
      </w:r>
      <w:r>
        <w:rPr>
          <w:color w:val="231F20"/>
          <w:spacing w:val="-8"/>
          <w:w w:val="110"/>
        </w:rPr>
        <w:t> </w:t>
      </w:r>
      <w:r>
        <w:rPr>
          <w:color w:val="231F20"/>
          <w:w w:val="110"/>
        </w:rPr>
        <w:t>hacia</w:t>
      </w:r>
      <w:r>
        <w:rPr>
          <w:color w:val="231F20"/>
          <w:spacing w:val="-8"/>
          <w:w w:val="110"/>
        </w:rPr>
        <w:t> </w:t>
      </w:r>
      <w:r>
        <w:rPr>
          <w:color w:val="231F20"/>
          <w:w w:val="110"/>
        </w:rPr>
        <w:t>un</w:t>
      </w:r>
      <w:r>
        <w:rPr>
          <w:color w:val="231F20"/>
          <w:spacing w:val="-8"/>
          <w:w w:val="110"/>
        </w:rPr>
        <w:t> </w:t>
      </w:r>
      <w:r>
        <w:rPr>
          <w:color w:val="231F20"/>
          <w:w w:val="110"/>
        </w:rPr>
        <w:t>hemisferio</w:t>
      </w:r>
      <w:r>
        <w:rPr>
          <w:color w:val="231F20"/>
          <w:spacing w:val="-8"/>
          <w:w w:val="110"/>
        </w:rPr>
        <w:t> </w:t>
      </w:r>
      <w:r>
        <w:rPr>
          <w:color w:val="231F20"/>
          <w:w w:val="110"/>
        </w:rPr>
        <w:t>occiden- tal seguro y [presuntamente] democrático al desarrollar relaciones de</w:t>
      </w:r>
      <w:r>
        <w:rPr>
          <w:color w:val="231F20"/>
          <w:spacing w:val="-17"/>
          <w:w w:val="110"/>
        </w:rPr>
        <w:t> </w:t>
      </w:r>
      <w:r>
        <w:rPr>
          <w:color w:val="231F20"/>
          <w:w w:val="110"/>
        </w:rPr>
        <w:t>defensa</w:t>
      </w:r>
      <w:r>
        <w:rPr>
          <w:color w:val="231F20"/>
          <w:spacing w:val="-17"/>
          <w:w w:val="110"/>
        </w:rPr>
        <w:t> </w:t>
      </w:r>
      <w:r>
        <w:rPr>
          <w:color w:val="231F20"/>
          <w:w w:val="110"/>
        </w:rPr>
        <w:t>regionales”</w:t>
      </w:r>
      <w:r>
        <w:rPr>
          <w:color w:val="231F20"/>
          <w:spacing w:val="-17"/>
          <w:w w:val="110"/>
        </w:rPr>
        <w:t> </w:t>
      </w:r>
      <w:r>
        <w:rPr>
          <w:color w:val="231F20"/>
          <w:w w:val="110"/>
        </w:rPr>
        <w:t>que</w:t>
      </w:r>
      <w:r>
        <w:rPr>
          <w:color w:val="231F20"/>
          <w:spacing w:val="-17"/>
          <w:w w:val="110"/>
        </w:rPr>
        <w:t> </w:t>
      </w:r>
      <w:r>
        <w:rPr>
          <w:color w:val="231F20"/>
          <w:w w:val="110"/>
        </w:rPr>
        <w:t>permitan</w:t>
      </w:r>
      <w:r>
        <w:rPr>
          <w:color w:val="231F20"/>
          <w:spacing w:val="-17"/>
          <w:w w:val="110"/>
        </w:rPr>
        <w:t> </w:t>
      </w:r>
      <w:r>
        <w:rPr>
          <w:color w:val="231F20"/>
          <w:w w:val="110"/>
        </w:rPr>
        <w:t>abordar</w:t>
      </w:r>
      <w:r>
        <w:rPr>
          <w:color w:val="231F20"/>
          <w:spacing w:val="-17"/>
          <w:w w:val="110"/>
        </w:rPr>
        <w:t> </w:t>
      </w:r>
      <w:r>
        <w:rPr>
          <w:color w:val="231F20"/>
          <w:w w:val="110"/>
        </w:rPr>
        <w:t>“amenazas</w:t>
      </w:r>
      <w:r>
        <w:rPr>
          <w:color w:val="231F20"/>
          <w:spacing w:val="-17"/>
          <w:w w:val="110"/>
        </w:rPr>
        <w:t> </w:t>
      </w:r>
      <w:r>
        <w:rPr>
          <w:color w:val="231F20"/>
          <w:w w:val="110"/>
        </w:rPr>
        <w:t>domésticas</w:t>
      </w:r>
      <w:r>
        <w:rPr>
          <w:color w:val="231F20"/>
          <w:spacing w:val="-17"/>
          <w:w w:val="110"/>
        </w:rPr>
        <w:t> </w:t>
      </w:r>
      <w:r>
        <w:rPr>
          <w:color w:val="231F20"/>
          <w:w w:val="110"/>
        </w:rPr>
        <w:t>y transnacionales, como organizaciones narcoterroristas, tráfico</w:t>
      </w:r>
      <w:r>
        <w:rPr>
          <w:color w:val="231F20"/>
          <w:spacing w:val="-5"/>
          <w:w w:val="110"/>
        </w:rPr>
        <w:t> </w:t>
      </w:r>
      <w:r>
        <w:rPr>
          <w:color w:val="231F20"/>
          <w:w w:val="110"/>
        </w:rPr>
        <w:t>ilícito [de drogas] y [el] disturbio social” (Brooks,</w:t>
      </w:r>
      <w:r>
        <w:rPr>
          <w:color w:val="231F20"/>
          <w:spacing w:val="28"/>
          <w:w w:val="110"/>
        </w:rPr>
        <w:t> </w:t>
      </w:r>
      <w:r>
        <w:rPr>
          <w:color w:val="231F20"/>
          <w:w w:val="110"/>
        </w:rPr>
        <w:t>2010).</w:t>
      </w:r>
    </w:p>
    <w:p>
      <w:pPr>
        <w:pStyle w:val="BodyText"/>
        <w:spacing w:line="261" w:lineRule="auto"/>
        <w:ind w:left="100" w:right="117" w:firstLine="240"/>
        <w:jc w:val="both"/>
      </w:pPr>
      <w:r>
        <w:rPr>
          <w:color w:val="231F20"/>
          <w:w w:val="110"/>
        </w:rPr>
        <w:t>Para</w:t>
      </w:r>
      <w:r>
        <w:rPr>
          <w:color w:val="231F20"/>
          <w:spacing w:val="-14"/>
          <w:w w:val="110"/>
        </w:rPr>
        <w:t> </w:t>
      </w:r>
      <w:r>
        <w:rPr>
          <w:color w:val="231F20"/>
          <w:w w:val="110"/>
        </w:rPr>
        <w:t>ello</w:t>
      </w:r>
      <w:r>
        <w:rPr>
          <w:color w:val="231F20"/>
          <w:spacing w:val="-14"/>
          <w:w w:val="110"/>
        </w:rPr>
        <w:t> </w:t>
      </w:r>
      <w:r>
        <w:rPr>
          <w:color w:val="231F20"/>
          <w:w w:val="110"/>
        </w:rPr>
        <w:t>—se</w:t>
      </w:r>
      <w:r>
        <w:rPr>
          <w:color w:val="231F20"/>
          <w:spacing w:val="-14"/>
          <w:w w:val="110"/>
        </w:rPr>
        <w:t> </w:t>
      </w:r>
      <w:r>
        <w:rPr>
          <w:color w:val="231F20"/>
          <w:w w:val="110"/>
        </w:rPr>
        <w:t>agregó</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Revisión</w:t>
      </w:r>
      <w:r>
        <w:rPr>
          <w:color w:val="231F20"/>
          <w:spacing w:val="-14"/>
          <w:w w:val="110"/>
        </w:rPr>
        <w:t> </w:t>
      </w:r>
      <w:r>
        <w:rPr>
          <w:color w:val="231F20"/>
          <w:w w:val="110"/>
        </w:rPr>
        <w:t>Cuatrianual—</w:t>
      </w:r>
      <w:r>
        <w:rPr>
          <w:color w:val="231F20"/>
          <w:spacing w:val="-14"/>
          <w:w w:val="110"/>
        </w:rPr>
        <w:t> </w:t>
      </w:r>
      <w:r>
        <w:rPr>
          <w:color w:val="231F20"/>
          <w:w w:val="110"/>
        </w:rPr>
        <w:t>“no</w:t>
      </w:r>
      <w:r>
        <w:rPr>
          <w:color w:val="231F20"/>
          <w:spacing w:val="-14"/>
          <w:w w:val="110"/>
        </w:rPr>
        <w:t> </w:t>
      </w:r>
      <w:r>
        <w:rPr>
          <w:color w:val="231F20"/>
          <w:w w:val="110"/>
        </w:rPr>
        <w:t>se</w:t>
      </w:r>
      <w:r>
        <w:rPr>
          <w:color w:val="231F20"/>
          <w:spacing w:val="-14"/>
          <w:w w:val="110"/>
        </w:rPr>
        <w:t> </w:t>
      </w:r>
      <w:r>
        <w:rPr>
          <w:color w:val="231F20"/>
          <w:w w:val="110"/>
        </w:rPr>
        <w:t>requiere de una presencia militar amplia” en ese hemisferio, sino mantener “una presencia limitada mientras buscamos mejorar relaciones con [los]</w:t>
      </w:r>
      <w:r>
        <w:rPr>
          <w:color w:val="231F20"/>
          <w:spacing w:val="-12"/>
          <w:w w:val="110"/>
        </w:rPr>
        <w:t> </w:t>
      </w:r>
      <w:r>
        <w:rPr>
          <w:color w:val="231F20"/>
          <w:w w:val="110"/>
        </w:rPr>
        <w:t>Estados</w:t>
      </w:r>
      <w:r>
        <w:rPr>
          <w:color w:val="231F20"/>
          <w:spacing w:val="-12"/>
          <w:w w:val="110"/>
        </w:rPr>
        <w:t> </w:t>
      </w:r>
      <w:r>
        <w:rPr>
          <w:color w:val="231F20"/>
          <w:w w:val="110"/>
        </w:rPr>
        <w:t>regionales</w:t>
      </w:r>
      <w:r>
        <w:rPr>
          <w:color w:val="231F20"/>
          <w:spacing w:val="-12"/>
          <w:w w:val="110"/>
        </w:rPr>
        <w:t> </w:t>
      </w:r>
      <w:r>
        <w:rPr>
          <w:color w:val="231F20"/>
          <w:w w:val="110"/>
        </w:rPr>
        <w:t>y</w:t>
      </w:r>
      <w:r>
        <w:rPr>
          <w:color w:val="231F20"/>
          <w:spacing w:val="-12"/>
          <w:w w:val="110"/>
        </w:rPr>
        <w:t> </w:t>
      </w:r>
      <w:r>
        <w:rPr>
          <w:color w:val="231F20"/>
          <w:w w:val="110"/>
        </w:rPr>
        <w:t>sus</w:t>
      </w:r>
      <w:r>
        <w:rPr>
          <w:color w:val="231F20"/>
          <w:spacing w:val="-12"/>
          <w:w w:val="110"/>
        </w:rPr>
        <w:t> </w:t>
      </w:r>
      <w:r>
        <w:rPr>
          <w:color w:val="231F20"/>
          <w:w w:val="110"/>
        </w:rPr>
        <w:t>militares”</w:t>
      </w:r>
      <w:r>
        <w:rPr>
          <w:color w:val="231F20"/>
          <w:spacing w:val="-12"/>
          <w:w w:val="110"/>
        </w:rPr>
        <w:t> </w:t>
      </w:r>
      <w:r>
        <w:rPr>
          <w:color w:val="231F20"/>
          <w:w w:val="110"/>
        </w:rPr>
        <w:t>para</w:t>
      </w:r>
      <w:r>
        <w:rPr>
          <w:color w:val="231F20"/>
          <w:spacing w:val="-12"/>
          <w:w w:val="110"/>
        </w:rPr>
        <w:t> </w:t>
      </w:r>
      <w:r>
        <w:rPr>
          <w:color w:val="231F20"/>
          <w:w w:val="110"/>
        </w:rPr>
        <w:t>“promover</w:t>
      </w:r>
      <w:r>
        <w:rPr>
          <w:color w:val="231F20"/>
          <w:spacing w:val="-12"/>
          <w:w w:val="110"/>
        </w:rPr>
        <w:t> </w:t>
      </w:r>
      <w:r>
        <w:rPr>
          <w:color w:val="231F20"/>
          <w:w w:val="110"/>
        </w:rPr>
        <w:t>nuestros</w:t>
      </w:r>
      <w:r>
        <w:rPr>
          <w:color w:val="231F20"/>
          <w:spacing w:val="-12"/>
          <w:w w:val="110"/>
        </w:rPr>
        <w:t> </w:t>
      </w:r>
      <w:r>
        <w:rPr>
          <w:color w:val="231F20"/>
          <w:w w:val="110"/>
        </w:rPr>
        <w:t>ob- jetivos</w:t>
      </w:r>
      <w:r>
        <w:rPr>
          <w:color w:val="231F20"/>
          <w:spacing w:val="-26"/>
          <w:w w:val="110"/>
        </w:rPr>
        <w:t> </w:t>
      </w:r>
      <w:r>
        <w:rPr>
          <w:color w:val="231F20"/>
          <w:w w:val="110"/>
        </w:rPr>
        <w:t>comunes</w:t>
      </w:r>
      <w:r>
        <w:rPr>
          <w:color w:val="231F20"/>
          <w:spacing w:val="-26"/>
          <w:w w:val="110"/>
        </w:rPr>
        <w:t> </w:t>
      </w:r>
      <w:r>
        <w:rPr>
          <w:color w:val="231F20"/>
          <w:w w:val="110"/>
        </w:rPr>
        <w:t>de</w:t>
      </w:r>
      <w:r>
        <w:rPr>
          <w:color w:val="231F20"/>
          <w:spacing w:val="-26"/>
          <w:w w:val="110"/>
        </w:rPr>
        <w:t> </w:t>
      </w:r>
      <w:r>
        <w:rPr>
          <w:color w:val="231F20"/>
          <w:w w:val="110"/>
        </w:rPr>
        <w:t>seguridad</w:t>
      </w:r>
      <w:r>
        <w:rPr>
          <w:color w:val="231F20"/>
          <w:spacing w:val="-26"/>
          <w:w w:val="110"/>
        </w:rPr>
        <w:t> </w:t>
      </w:r>
      <w:r>
        <w:rPr>
          <w:color w:val="231F20"/>
          <w:w w:val="110"/>
        </w:rPr>
        <w:t>hemisférica”.</w:t>
      </w:r>
      <w:r>
        <w:rPr>
          <w:color w:val="231F20"/>
          <w:spacing w:val="-26"/>
          <w:w w:val="110"/>
        </w:rPr>
        <w:t> </w:t>
      </w:r>
      <w:r>
        <w:rPr>
          <w:color w:val="231F20"/>
          <w:w w:val="110"/>
        </w:rPr>
        <w:t>Entre</w:t>
      </w:r>
      <w:r>
        <w:rPr>
          <w:color w:val="231F20"/>
          <w:spacing w:val="-26"/>
          <w:w w:val="110"/>
        </w:rPr>
        <w:t> </w:t>
      </w:r>
      <w:r>
        <w:rPr>
          <w:color w:val="231F20"/>
          <w:w w:val="110"/>
        </w:rPr>
        <w:t>ellos,</w:t>
      </w:r>
      <w:r>
        <w:rPr>
          <w:color w:val="231F20"/>
          <w:spacing w:val="-26"/>
          <w:w w:val="110"/>
        </w:rPr>
        <w:t> </w:t>
      </w:r>
      <w:r>
        <w:rPr>
          <w:color w:val="231F20"/>
          <w:w w:val="110"/>
        </w:rPr>
        <w:t>los</w:t>
      </w:r>
      <w:r>
        <w:rPr>
          <w:color w:val="231F20"/>
          <w:spacing w:val="-26"/>
          <w:w w:val="110"/>
        </w:rPr>
        <w:t> </w:t>
      </w:r>
      <w:r>
        <w:rPr>
          <w:color w:val="231F20"/>
          <w:w w:val="110"/>
        </w:rPr>
        <w:t>vinculados</w:t>
      </w:r>
      <w:r>
        <w:rPr>
          <w:color w:val="231F20"/>
          <w:w w:val="106"/>
        </w:rPr>
        <w:t> </w:t>
      </w:r>
      <w:r>
        <w:rPr>
          <w:color w:val="231F20"/>
          <w:w w:val="110"/>
        </w:rPr>
        <w:t>al “impacto geopolítico” que tendrá en todo el mundo “el cambio climático”, con su consiguiente influencia en el incremento de la pobreza y la degradación ambiental, en el “mayor debilitamiento de gobiernos frágiles”, en el incremento de las “amenazas letales” pro- venientes</w:t>
      </w:r>
      <w:r>
        <w:rPr>
          <w:color w:val="231F20"/>
          <w:spacing w:val="-17"/>
          <w:w w:val="110"/>
        </w:rPr>
        <w:t> </w:t>
      </w:r>
      <w:r>
        <w:rPr>
          <w:color w:val="231F20"/>
          <w:w w:val="110"/>
        </w:rPr>
        <w:t>de</w:t>
      </w:r>
      <w:r>
        <w:rPr>
          <w:color w:val="231F20"/>
          <w:spacing w:val="-17"/>
          <w:w w:val="110"/>
        </w:rPr>
        <w:t> </w:t>
      </w:r>
      <w:r>
        <w:rPr>
          <w:color w:val="231F20"/>
          <w:w w:val="110"/>
        </w:rPr>
        <w:t>“Estados</w:t>
      </w:r>
      <w:r>
        <w:rPr>
          <w:color w:val="231F20"/>
          <w:spacing w:val="-17"/>
          <w:w w:val="110"/>
        </w:rPr>
        <w:t> </w:t>
      </w:r>
      <w:r>
        <w:rPr>
          <w:color w:val="231F20"/>
          <w:w w:val="110"/>
        </w:rPr>
        <w:t>fracasados</w:t>
      </w:r>
      <w:r>
        <w:rPr>
          <w:color w:val="231F20"/>
          <w:spacing w:val="-17"/>
          <w:w w:val="110"/>
        </w:rPr>
        <w:t> </w:t>
      </w:r>
      <w:r>
        <w:rPr>
          <w:color w:val="231F20"/>
          <w:w w:val="110"/>
        </w:rPr>
        <w:t>o</w:t>
      </w:r>
      <w:r>
        <w:rPr>
          <w:color w:val="231F20"/>
          <w:spacing w:val="-17"/>
          <w:w w:val="110"/>
        </w:rPr>
        <w:t> </w:t>
      </w:r>
      <w:r>
        <w:rPr>
          <w:color w:val="231F20"/>
          <w:w w:val="110"/>
        </w:rPr>
        <w:t>fracturados”</w:t>
      </w:r>
      <w:r>
        <w:rPr>
          <w:color w:val="231F20"/>
          <w:spacing w:val="-17"/>
          <w:w w:val="110"/>
        </w:rPr>
        <w:t> </w:t>
      </w:r>
      <w:r>
        <w:rPr>
          <w:color w:val="231F20"/>
          <w:w w:val="110"/>
        </w:rPr>
        <w:t>(como</w:t>
      </w:r>
      <w:r>
        <w:rPr>
          <w:color w:val="231F20"/>
          <w:spacing w:val="-17"/>
          <w:w w:val="110"/>
        </w:rPr>
        <w:t> </w:t>
      </w:r>
      <w:r>
        <w:rPr>
          <w:color w:val="231F20"/>
          <w:w w:val="110"/>
        </w:rPr>
        <w:t>han</w:t>
      </w:r>
      <w:r>
        <w:rPr>
          <w:color w:val="231F20"/>
          <w:spacing w:val="-17"/>
          <w:w w:val="110"/>
        </w:rPr>
        <w:t> </w:t>
      </w:r>
      <w:r>
        <w:rPr>
          <w:color w:val="231F20"/>
          <w:w w:val="110"/>
        </w:rPr>
        <w:t>calificado a Haití y en ocasiones a México), en la escasez de alimentos y agua, así</w:t>
      </w:r>
      <w:r>
        <w:rPr>
          <w:color w:val="231F20"/>
          <w:spacing w:val="-16"/>
          <w:w w:val="110"/>
        </w:rPr>
        <w:t> </w:t>
      </w:r>
      <w:r>
        <w:rPr>
          <w:color w:val="231F20"/>
          <w:w w:val="110"/>
        </w:rPr>
        <w:t>como</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dispersión</w:t>
      </w:r>
      <w:r>
        <w:rPr>
          <w:color w:val="231F20"/>
          <w:spacing w:val="-16"/>
          <w:w w:val="110"/>
        </w:rPr>
        <w:t> </w:t>
      </w:r>
      <w:r>
        <w:rPr>
          <w:color w:val="231F20"/>
          <w:w w:val="110"/>
        </w:rPr>
        <w:t>de</w:t>
      </w:r>
      <w:r>
        <w:rPr>
          <w:color w:val="231F20"/>
          <w:spacing w:val="-16"/>
          <w:w w:val="110"/>
        </w:rPr>
        <w:t> </w:t>
      </w:r>
      <w:r>
        <w:rPr>
          <w:color w:val="231F20"/>
          <w:w w:val="110"/>
        </w:rPr>
        <w:t>enfermedades”</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migración</w:t>
      </w:r>
      <w:r>
        <w:rPr>
          <w:color w:val="231F20"/>
          <w:spacing w:val="-16"/>
          <w:w w:val="110"/>
        </w:rPr>
        <w:t> </w:t>
      </w:r>
      <w:r>
        <w:rPr>
          <w:color w:val="231F20"/>
          <w:w w:val="110"/>
        </w:rPr>
        <w:t>masiva” (Brooks,</w:t>
      </w:r>
      <w:r>
        <w:rPr>
          <w:color w:val="231F20"/>
          <w:spacing w:val="-19"/>
          <w:w w:val="110"/>
        </w:rPr>
        <w:t> </w:t>
      </w:r>
      <w:r>
        <w:rPr>
          <w:color w:val="231F20"/>
          <w:w w:val="110"/>
        </w:rPr>
        <w:t>2010).</w:t>
      </w:r>
    </w:p>
    <w:p>
      <w:pPr>
        <w:pStyle w:val="BodyText"/>
        <w:spacing w:line="261" w:lineRule="auto"/>
        <w:ind w:left="100" w:right="119" w:firstLine="240"/>
        <w:jc w:val="both"/>
      </w:pPr>
      <w:r>
        <w:rPr>
          <w:color w:val="231F20"/>
          <w:spacing w:val="-3"/>
          <w:w w:val="105"/>
        </w:rPr>
        <w:t>Merece recordar </w:t>
      </w:r>
      <w:r>
        <w:rPr>
          <w:color w:val="231F20"/>
          <w:w w:val="105"/>
        </w:rPr>
        <w:t>que la </w:t>
      </w:r>
      <w:r>
        <w:rPr>
          <w:color w:val="231F20"/>
          <w:spacing w:val="-3"/>
          <w:w w:val="105"/>
        </w:rPr>
        <w:t>antes mencionada Alianza para </w:t>
      </w:r>
      <w:r>
        <w:rPr>
          <w:color w:val="231F20"/>
          <w:w w:val="105"/>
        </w:rPr>
        <w:t>la </w:t>
      </w:r>
      <w:r>
        <w:rPr>
          <w:color w:val="231F20"/>
          <w:spacing w:val="-3"/>
          <w:w w:val="105"/>
        </w:rPr>
        <w:t>Produc-  ción </w:t>
      </w:r>
      <w:r>
        <w:rPr>
          <w:color w:val="231F20"/>
          <w:w w:val="105"/>
        </w:rPr>
        <w:t>y la </w:t>
      </w:r>
      <w:r>
        <w:rPr>
          <w:color w:val="231F20"/>
          <w:spacing w:val="-3"/>
          <w:w w:val="105"/>
        </w:rPr>
        <w:t>Exportación </w:t>
      </w:r>
      <w:r>
        <w:rPr>
          <w:color w:val="231F20"/>
          <w:w w:val="105"/>
        </w:rPr>
        <w:t>de </w:t>
      </w:r>
      <w:r>
        <w:rPr>
          <w:color w:val="231F20"/>
          <w:spacing w:val="-3"/>
          <w:w w:val="105"/>
        </w:rPr>
        <w:t>Biocombustibles signada  entre  </w:t>
      </w:r>
      <w:r>
        <w:rPr>
          <w:color w:val="231F20"/>
          <w:w w:val="105"/>
        </w:rPr>
        <w:t>los </w:t>
      </w:r>
      <w:r>
        <w:rPr>
          <w:color w:val="231F20"/>
          <w:spacing w:val="-3"/>
          <w:w w:val="105"/>
        </w:rPr>
        <w:t>gobiernos </w:t>
      </w:r>
      <w:r>
        <w:rPr>
          <w:color w:val="231F20"/>
          <w:w w:val="105"/>
        </w:rPr>
        <w:t>de </w:t>
      </w:r>
      <w:r>
        <w:rPr>
          <w:color w:val="231F20"/>
          <w:spacing w:val="-3"/>
          <w:w w:val="105"/>
        </w:rPr>
        <w:t>Estados Unidos </w:t>
      </w:r>
      <w:r>
        <w:rPr>
          <w:color w:val="231F20"/>
          <w:w w:val="105"/>
        </w:rPr>
        <w:t>y </w:t>
      </w:r>
      <w:r>
        <w:rPr>
          <w:color w:val="231F20"/>
          <w:spacing w:val="-3"/>
          <w:w w:val="105"/>
        </w:rPr>
        <w:t>Brasil, </w:t>
      </w:r>
      <w:r>
        <w:rPr>
          <w:color w:val="231F20"/>
          <w:w w:val="105"/>
        </w:rPr>
        <w:t>así </w:t>
      </w:r>
      <w:r>
        <w:rPr>
          <w:color w:val="231F20"/>
          <w:spacing w:val="-3"/>
          <w:w w:val="105"/>
        </w:rPr>
        <w:t>como </w:t>
      </w:r>
      <w:r>
        <w:rPr>
          <w:color w:val="231F20"/>
          <w:w w:val="105"/>
        </w:rPr>
        <w:t>sus </w:t>
      </w:r>
      <w:r>
        <w:rPr>
          <w:color w:val="231F20"/>
          <w:spacing w:val="-3"/>
          <w:w w:val="105"/>
        </w:rPr>
        <w:t>implicaciones negativas para   </w:t>
      </w:r>
      <w:r>
        <w:rPr>
          <w:color w:val="231F20"/>
          <w:w w:val="105"/>
        </w:rPr>
        <w:t>la </w:t>
      </w:r>
      <w:r>
        <w:rPr>
          <w:color w:val="231F20"/>
          <w:spacing w:val="-3"/>
          <w:w w:val="105"/>
        </w:rPr>
        <w:t>ecología, </w:t>
      </w:r>
      <w:r>
        <w:rPr>
          <w:color w:val="231F20"/>
          <w:w w:val="105"/>
        </w:rPr>
        <w:t>la </w:t>
      </w:r>
      <w:r>
        <w:rPr>
          <w:color w:val="231F20"/>
          <w:spacing w:val="-3"/>
          <w:w w:val="105"/>
        </w:rPr>
        <w:t>seguridad alimentaria </w:t>
      </w:r>
      <w:r>
        <w:rPr>
          <w:color w:val="231F20"/>
          <w:w w:val="105"/>
        </w:rPr>
        <w:t>y las </w:t>
      </w:r>
      <w:r>
        <w:rPr>
          <w:color w:val="231F20"/>
          <w:spacing w:val="-3"/>
          <w:w w:val="105"/>
        </w:rPr>
        <w:t>deterioradas condiciones de vida </w:t>
      </w:r>
      <w:r>
        <w:rPr>
          <w:color w:val="231F20"/>
          <w:w w:val="105"/>
        </w:rPr>
        <w:t>de los </w:t>
      </w:r>
      <w:r>
        <w:rPr>
          <w:color w:val="231F20"/>
          <w:spacing w:val="-3"/>
          <w:w w:val="105"/>
        </w:rPr>
        <w:t>trabajadores, </w:t>
      </w:r>
      <w:r>
        <w:rPr>
          <w:color w:val="231F20"/>
          <w:w w:val="105"/>
        </w:rPr>
        <w:t>fue </w:t>
      </w:r>
      <w:r>
        <w:rPr>
          <w:color w:val="231F20"/>
          <w:spacing w:val="-3"/>
          <w:w w:val="105"/>
        </w:rPr>
        <w:t>duramente criticada </w:t>
      </w:r>
      <w:r>
        <w:rPr>
          <w:color w:val="231F20"/>
          <w:w w:val="105"/>
        </w:rPr>
        <w:t>por </w:t>
      </w:r>
      <w:r>
        <w:rPr>
          <w:color w:val="231F20"/>
          <w:spacing w:val="-3"/>
          <w:w w:val="105"/>
        </w:rPr>
        <w:t>diferentes fuerzas sociales </w:t>
      </w:r>
      <w:r>
        <w:rPr>
          <w:color w:val="231F20"/>
          <w:w w:val="105"/>
        </w:rPr>
        <w:t>y </w:t>
      </w:r>
      <w:r>
        <w:rPr>
          <w:color w:val="231F20"/>
          <w:spacing w:val="-3"/>
          <w:w w:val="105"/>
        </w:rPr>
        <w:t>políticas </w:t>
      </w:r>
      <w:r>
        <w:rPr>
          <w:color w:val="231F20"/>
          <w:w w:val="105"/>
        </w:rPr>
        <w:t>de ese </w:t>
      </w:r>
      <w:r>
        <w:rPr>
          <w:color w:val="231F20"/>
          <w:spacing w:val="-3"/>
          <w:w w:val="105"/>
        </w:rPr>
        <w:t>último país (entre  ellos,  </w:t>
      </w:r>
      <w:r>
        <w:rPr>
          <w:color w:val="231F20"/>
          <w:w w:val="105"/>
        </w:rPr>
        <w:t>el </w:t>
      </w:r>
      <w:r>
        <w:rPr>
          <w:color w:val="231F20"/>
          <w:spacing w:val="-3"/>
          <w:w w:val="105"/>
        </w:rPr>
        <w:t>Movimiento  de  </w:t>
      </w:r>
      <w:r>
        <w:rPr>
          <w:color w:val="231F20"/>
          <w:w w:val="105"/>
        </w:rPr>
        <w:t>los </w:t>
      </w:r>
      <w:r>
        <w:rPr>
          <w:color w:val="231F20"/>
          <w:spacing w:val="-5"/>
          <w:w w:val="105"/>
        </w:rPr>
        <w:t>Trabajadores  </w:t>
      </w:r>
      <w:r>
        <w:rPr>
          <w:color w:val="231F20"/>
          <w:w w:val="105"/>
        </w:rPr>
        <w:t>Sin </w:t>
      </w:r>
      <w:r>
        <w:rPr>
          <w:color w:val="231F20"/>
          <w:spacing w:val="-3"/>
          <w:w w:val="105"/>
        </w:rPr>
        <w:t>Tierra),  </w:t>
      </w:r>
      <w:r>
        <w:rPr>
          <w:color w:val="231F20"/>
          <w:w w:val="105"/>
        </w:rPr>
        <w:t>al </w:t>
      </w:r>
      <w:r>
        <w:rPr>
          <w:color w:val="231F20"/>
          <w:spacing w:val="-3"/>
          <w:w w:val="105"/>
        </w:rPr>
        <w:t>igual  </w:t>
      </w:r>
      <w:r>
        <w:rPr>
          <w:color w:val="231F20"/>
          <w:w w:val="105"/>
        </w:rPr>
        <w:t>que por </w:t>
      </w:r>
      <w:r>
        <w:rPr>
          <w:color w:val="231F20"/>
          <w:spacing w:val="-3"/>
          <w:w w:val="105"/>
        </w:rPr>
        <w:t>importantes  sectores   </w:t>
      </w:r>
      <w:r>
        <w:rPr>
          <w:color w:val="231F20"/>
          <w:spacing w:val="24"/>
          <w:w w:val="105"/>
        </w:rPr>
        <w:t> </w:t>
      </w:r>
      <w:r>
        <w:rPr>
          <w:color w:val="231F20"/>
          <w:spacing w:val="-3"/>
          <w:w w:val="105"/>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1"/>
        <w:jc w:val="right"/>
      </w:pPr>
      <w:r>
        <w:rPr>
          <w:color w:val="231F20"/>
          <w:w w:val="110"/>
        </w:rPr>
        <w:t>la </w:t>
      </w:r>
      <w:r>
        <w:rPr>
          <w:color w:val="231F20"/>
          <w:spacing w:val="-3"/>
          <w:w w:val="110"/>
        </w:rPr>
        <w:t>izquierda política, social </w:t>
      </w:r>
      <w:r>
        <w:rPr>
          <w:color w:val="231F20"/>
          <w:w w:val="110"/>
        </w:rPr>
        <w:t>e </w:t>
      </w:r>
      <w:r>
        <w:rPr>
          <w:color w:val="231F20"/>
          <w:spacing w:val="-3"/>
          <w:w w:val="110"/>
        </w:rPr>
        <w:t>intelectual latinoamericana</w:t>
      </w:r>
      <w:r>
        <w:rPr>
          <w:color w:val="231F20"/>
          <w:spacing w:val="-26"/>
          <w:w w:val="110"/>
        </w:rPr>
        <w:t> </w:t>
      </w:r>
      <w:r>
        <w:rPr>
          <w:color w:val="231F20"/>
          <w:w w:val="110"/>
        </w:rPr>
        <w:t>y</w:t>
      </w:r>
      <w:r>
        <w:rPr>
          <w:color w:val="231F20"/>
          <w:spacing w:val="24"/>
          <w:w w:val="110"/>
        </w:rPr>
        <w:t> </w:t>
      </w:r>
      <w:r>
        <w:rPr>
          <w:color w:val="231F20"/>
          <w:spacing w:val="-3"/>
          <w:w w:val="110"/>
        </w:rPr>
        <w:t>caribeña.</w:t>
      </w:r>
      <w:r>
        <w:rPr>
          <w:color w:val="231F20"/>
          <w:spacing w:val="-3"/>
          <w:w w:val="110"/>
        </w:rPr>
        <w:t> </w:t>
      </w:r>
      <w:r>
        <w:rPr>
          <w:color w:val="231F20"/>
          <w:spacing w:val="-3"/>
          <w:w w:val="110"/>
        </w:rPr>
        <w:t>Haciéndose</w:t>
      </w:r>
      <w:r>
        <w:rPr>
          <w:color w:val="231F20"/>
          <w:spacing w:val="-14"/>
          <w:w w:val="110"/>
        </w:rPr>
        <w:t> </w:t>
      </w:r>
      <w:r>
        <w:rPr>
          <w:color w:val="231F20"/>
          <w:w w:val="110"/>
        </w:rPr>
        <w:t>eco</w:t>
      </w:r>
      <w:r>
        <w:rPr>
          <w:color w:val="231F20"/>
          <w:spacing w:val="-14"/>
          <w:w w:val="110"/>
        </w:rPr>
        <w:t> </w:t>
      </w:r>
      <w:r>
        <w:rPr>
          <w:color w:val="231F20"/>
          <w:w w:val="110"/>
        </w:rPr>
        <w:t>de</w:t>
      </w:r>
      <w:r>
        <w:rPr>
          <w:color w:val="231F20"/>
          <w:spacing w:val="-14"/>
          <w:w w:val="110"/>
        </w:rPr>
        <w:t> </w:t>
      </w:r>
      <w:r>
        <w:rPr>
          <w:color w:val="231F20"/>
          <w:spacing w:val="-3"/>
          <w:w w:val="110"/>
        </w:rPr>
        <w:t>esas</w:t>
      </w:r>
      <w:r>
        <w:rPr>
          <w:color w:val="231F20"/>
          <w:spacing w:val="-14"/>
          <w:w w:val="110"/>
        </w:rPr>
        <w:t> </w:t>
      </w:r>
      <w:r>
        <w:rPr>
          <w:color w:val="231F20"/>
          <w:spacing w:val="-3"/>
          <w:w w:val="110"/>
        </w:rPr>
        <w:t>críticas,</w:t>
      </w:r>
      <w:r>
        <w:rPr>
          <w:color w:val="231F20"/>
          <w:spacing w:val="-14"/>
          <w:w w:val="110"/>
        </w:rPr>
        <w:t> </w:t>
      </w:r>
      <w:r>
        <w:rPr>
          <w:color w:val="231F20"/>
          <w:w w:val="110"/>
        </w:rPr>
        <w:t>la</w:t>
      </w:r>
      <w:r>
        <w:rPr>
          <w:color w:val="231F20"/>
          <w:spacing w:val="-14"/>
          <w:w w:val="110"/>
        </w:rPr>
        <w:t> </w:t>
      </w:r>
      <w:r>
        <w:rPr>
          <w:color w:val="231F20"/>
          <w:spacing w:val="-3"/>
          <w:w w:val="110"/>
        </w:rPr>
        <w:t>Declaración</w:t>
      </w:r>
      <w:r>
        <w:rPr>
          <w:color w:val="231F20"/>
          <w:spacing w:val="-14"/>
          <w:w w:val="110"/>
        </w:rPr>
        <w:t> </w:t>
      </w:r>
      <w:r>
        <w:rPr>
          <w:color w:val="231F20"/>
          <w:w w:val="110"/>
        </w:rPr>
        <w:t>de</w:t>
      </w:r>
      <w:r>
        <w:rPr>
          <w:color w:val="231F20"/>
          <w:spacing w:val="-14"/>
          <w:w w:val="110"/>
        </w:rPr>
        <w:t> </w:t>
      </w:r>
      <w:r>
        <w:rPr>
          <w:color w:val="231F20"/>
          <w:spacing w:val="-3"/>
          <w:w w:val="110"/>
        </w:rPr>
        <w:t>Cumaná,</w:t>
      </w:r>
      <w:r>
        <w:rPr>
          <w:color w:val="231F20"/>
          <w:spacing w:val="-14"/>
          <w:w w:val="110"/>
        </w:rPr>
        <w:t> </w:t>
      </w:r>
      <w:r>
        <w:rPr>
          <w:color w:val="231F20"/>
          <w:spacing w:val="-5"/>
          <w:w w:val="110"/>
        </w:rPr>
        <w:t>Venezuela,</w:t>
      </w:r>
      <w:r>
        <w:rPr>
          <w:color w:val="231F20"/>
          <w:spacing w:val="-3"/>
          <w:w w:val="109"/>
        </w:rPr>
        <w:t> </w:t>
      </w:r>
      <w:r>
        <w:rPr>
          <w:color w:val="231F20"/>
          <w:spacing w:val="-3"/>
          <w:w w:val="110"/>
        </w:rPr>
        <w:t>aprobada </w:t>
      </w:r>
      <w:r>
        <w:rPr>
          <w:color w:val="231F20"/>
          <w:w w:val="110"/>
        </w:rPr>
        <w:t>en </w:t>
      </w:r>
      <w:r>
        <w:rPr>
          <w:color w:val="231F20"/>
          <w:spacing w:val="-3"/>
          <w:w w:val="110"/>
        </w:rPr>
        <w:t>abril </w:t>
      </w:r>
      <w:r>
        <w:rPr>
          <w:color w:val="231F20"/>
          <w:w w:val="110"/>
        </w:rPr>
        <w:t>de </w:t>
      </w:r>
      <w:r>
        <w:rPr>
          <w:color w:val="231F20"/>
          <w:spacing w:val="-3"/>
          <w:w w:val="110"/>
        </w:rPr>
        <w:t>2009 </w:t>
      </w:r>
      <w:r>
        <w:rPr>
          <w:color w:val="231F20"/>
          <w:w w:val="110"/>
        </w:rPr>
        <w:t>por los </w:t>
      </w:r>
      <w:r>
        <w:rPr>
          <w:color w:val="231F20"/>
          <w:spacing w:val="-3"/>
          <w:w w:val="110"/>
        </w:rPr>
        <w:t>mandatarios integrantes</w:t>
      </w:r>
      <w:r>
        <w:rPr>
          <w:color w:val="231F20"/>
          <w:spacing w:val="12"/>
          <w:w w:val="110"/>
        </w:rPr>
        <w:t> </w:t>
      </w:r>
      <w:r>
        <w:rPr>
          <w:color w:val="231F20"/>
          <w:w w:val="110"/>
        </w:rPr>
        <w:t>del</w:t>
      </w:r>
      <w:r>
        <w:rPr>
          <w:color w:val="231F20"/>
          <w:spacing w:val="29"/>
          <w:w w:val="110"/>
        </w:rPr>
        <w:t> </w:t>
      </w:r>
      <w:r>
        <w:rPr>
          <w:color w:val="231F20"/>
          <w:spacing w:val="-4"/>
          <w:w w:val="110"/>
        </w:rPr>
        <w:t>alba</w:t>
      </w:r>
      <w:r>
        <w:rPr>
          <w:color w:val="231F20"/>
          <w:w w:val="125"/>
        </w:rPr>
        <w:t> </w:t>
      </w:r>
      <w:r>
        <w:rPr>
          <w:color w:val="231F20"/>
          <w:spacing w:val="-3"/>
          <w:w w:val="110"/>
        </w:rPr>
        <w:t>señaló:</w:t>
      </w:r>
      <w:r>
        <w:rPr>
          <w:color w:val="231F20"/>
          <w:spacing w:val="-15"/>
          <w:w w:val="110"/>
        </w:rPr>
        <w:t> </w:t>
      </w:r>
      <w:r>
        <w:rPr>
          <w:color w:val="231F20"/>
          <w:spacing w:val="-3"/>
          <w:w w:val="110"/>
        </w:rPr>
        <w:t>“Las</w:t>
      </w:r>
      <w:r>
        <w:rPr>
          <w:color w:val="231F20"/>
          <w:spacing w:val="-15"/>
          <w:w w:val="110"/>
        </w:rPr>
        <w:t> </w:t>
      </w:r>
      <w:r>
        <w:rPr>
          <w:color w:val="231F20"/>
          <w:spacing w:val="-3"/>
          <w:w w:val="110"/>
        </w:rPr>
        <w:t>soluciones</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spacing w:val="-3"/>
          <w:w w:val="110"/>
        </w:rPr>
        <w:t>crisis</w:t>
      </w:r>
      <w:r>
        <w:rPr>
          <w:color w:val="231F20"/>
          <w:spacing w:val="-15"/>
          <w:w w:val="110"/>
        </w:rPr>
        <w:t> </w:t>
      </w:r>
      <w:r>
        <w:rPr>
          <w:color w:val="231F20"/>
          <w:spacing w:val="-3"/>
          <w:w w:val="110"/>
        </w:rPr>
        <w:t>energética,</w:t>
      </w:r>
      <w:r>
        <w:rPr>
          <w:color w:val="231F20"/>
          <w:spacing w:val="-15"/>
          <w:w w:val="110"/>
        </w:rPr>
        <w:t> </w:t>
      </w:r>
      <w:r>
        <w:rPr>
          <w:color w:val="231F20"/>
          <w:spacing w:val="-3"/>
          <w:w w:val="110"/>
        </w:rPr>
        <w:t>alimentaria</w:t>
      </w:r>
      <w:r>
        <w:rPr>
          <w:color w:val="231F20"/>
          <w:spacing w:val="-15"/>
          <w:w w:val="110"/>
        </w:rPr>
        <w:t> </w:t>
      </w:r>
      <w:r>
        <w:rPr>
          <w:color w:val="231F20"/>
          <w:w w:val="110"/>
        </w:rPr>
        <w:t>y</w:t>
      </w:r>
      <w:r>
        <w:rPr>
          <w:color w:val="231F20"/>
          <w:spacing w:val="-15"/>
          <w:w w:val="110"/>
        </w:rPr>
        <w:t> </w:t>
      </w:r>
      <w:r>
        <w:rPr>
          <w:color w:val="231F20"/>
          <w:w w:val="110"/>
        </w:rPr>
        <w:t>del</w:t>
      </w:r>
      <w:r>
        <w:rPr>
          <w:color w:val="231F20"/>
          <w:spacing w:val="-15"/>
          <w:w w:val="110"/>
        </w:rPr>
        <w:t> </w:t>
      </w:r>
      <w:r>
        <w:rPr>
          <w:color w:val="231F20"/>
          <w:spacing w:val="-3"/>
          <w:w w:val="110"/>
        </w:rPr>
        <w:t>cambio</w:t>
      </w:r>
      <w:r>
        <w:rPr>
          <w:color w:val="231F20"/>
          <w:spacing w:val="-3"/>
          <w:w w:val="108"/>
        </w:rPr>
        <w:t> </w:t>
      </w:r>
      <w:r>
        <w:rPr>
          <w:color w:val="231F20"/>
          <w:spacing w:val="-3"/>
          <w:w w:val="110"/>
        </w:rPr>
        <w:t>climático tienen </w:t>
      </w:r>
      <w:r>
        <w:rPr>
          <w:color w:val="231F20"/>
          <w:w w:val="110"/>
        </w:rPr>
        <w:t>que ser </w:t>
      </w:r>
      <w:r>
        <w:rPr>
          <w:color w:val="231F20"/>
          <w:spacing w:val="-3"/>
          <w:w w:val="110"/>
        </w:rPr>
        <w:t>integrales </w:t>
      </w:r>
      <w:r>
        <w:rPr>
          <w:color w:val="231F20"/>
          <w:w w:val="110"/>
        </w:rPr>
        <w:t>e </w:t>
      </w:r>
      <w:r>
        <w:rPr>
          <w:color w:val="231F20"/>
          <w:spacing w:val="-3"/>
          <w:w w:val="110"/>
        </w:rPr>
        <w:t>interdependientes.</w:t>
      </w:r>
      <w:r>
        <w:rPr>
          <w:color w:val="231F20"/>
          <w:spacing w:val="34"/>
          <w:w w:val="110"/>
        </w:rPr>
        <w:t> </w:t>
      </w:r>
      <w:r>
        <w:rPr>
          <w:color w:val="231F20"/>
          <w:w w:val="110"/>
        </w:rPr>
        <w:t>No</w:t>
      </w:r>
      <w:r>
        <w:rPr>
          <w:color w:val="231F20"/>
          <w:spacing w:val="18"/>
          <w:w w:val="110"/>
        </w:rPr>
        <w:t> </w:t>
      </w:r>
      <w:r>
        <w:rPr>
          <w:color w:val="231F20"/>
          <w:spacing w:val="-3"/>
          <w:w w:val="110"/>
        </w:rPr>
        <w:t>podemos</w:t>
      </w:r>
      <w:r>
        <w:rPr>
          <w:color w:val="231F20"/>
          <w:spacing w:val="-3"/>
          <w:w w:val="110"/>
        </w:rPr>
        <w:t> </w:t>
      </w:r>
      <w:r>
        <w:rPr>
          <w:color w:val="231F20"/>
          <w:spacing w:val="-3"/>
          <w:w w:val="110"/>
        </w:rPr>
        <w:t>resolver </w:t>
      </w:r>
      <w:r>
        <w:rPr>
          <w:color w:val="231F20"/>
          <w:w w:val="110"/>
        </w:rPr>
        <w:t>un </w:t>
      </w:r>
      <w:r>
        <w:rPr>
          <w:color w:val="231F20"/>
          <w:spacing w:val="-3"/>
          <w:w w:val="110"/>
        </w:rPr>
        <w:t>problema creando otros </w:t>
      </w:r>
      <w:r>
        <w:rPr>
          <w:color w:val="231F20"/>
          <w:w w:val="110"/>
        </w:rPr>
        <w:t>en </w:t>
      </w:r>
      <w:r>
        <w:rPr>
          <w:color w:val="231F20"/>
          <w:spacing w:val="-3"/>
          <w:w w:val="110"/>
        </w:rPr>
        <w:t>áreas fundamentales</w:t>
      </w:r>
      <w:r>
        <w:rPr>
          <w:color w:val="231F20"/>
          <w:spacing w:val="5"/>
          <w:w w:val="110"/>
        </w:rPr>
        <w:t> </w:t>
      </w:r>
      <w:r>
        <w:rPr>
          <w:color w:val="231F20"/>
          <w:spacing w:val="-3"/>
          <w:w w:val="110"/>
        </w:rPr>
        <w:t>para</w:t>
      </w:r>
      <w:r>
        <w:rPr>
          <w:color w:val="231F20"/>
          <w:spacing w:val="31"/>
          <w:w w:val="110"/>
        </w:rPr>
        <w:t> </w:t>
      </w:r>
      <w:r>
        <w:rPr>
          <w:color w:val="231F20"/>
          <w:spacing w:val="-3"/>
          <w:w w:val="110"/>
        </w:rPr>
        <w:t>la</w:t>
      </w:r>
      <w:r>
        <w:rPr>
          <w:color w:val="231F20"/>
          <w:spacing w:val="-3"/>
          <w:w w:val="105"/>
        </w:rPr>
        <w:t> </w:t>
      </w:r>
      <w:r>
        <w:rPr>
          <w:color w:val="231F20"/>
          <w:spacing w:val="-3"/>
          <w:w w:val="110"/>
        </w:rPr>
        <w:t>vida.</w:t>
      </w:r>
      <w:r>
        <w:rPr>
          <w:color w:val="231F20"/>
          <w:spacing w:val="-24"/>
          <w:w w:val="110"/>
        </w:rPr>
        <w:t> </w:t>
      </w:r>
      <w:r>
        <w:rPr>
          <w:color w:val="231F20"/>
          <w:w w:val="110"/>
        </w:rPr>
        <w:t>Por</w:t>
      </w:r>
      <w:r>
        <w:rPr>
          <w:color w:val="231F20"/>
          <w:spacing w:val="-24"/>
          <w:w w:val="110"/>
        </w:rPr>
        <w:t> </w:t>
      </w:r>
      <w:r>
        <w:rPr>
          <w:color w:val="231F20"/>
          <w:spacing w:val="-3"/>
          <w:w w:val="110"/>
        </w:rPr>
        <w:t>ejemplo,</w:t>
      </w:r>
      <w:r>
        <w:rPr>
          <w:color w:val="231F20"/>
          <w:spacing w:val="-24"/>
          <w:w w:val="110"/>
        </w:rPr>
        <w:t> </w:t>
      </w:r>
      <w:r>
        <w:rPr>
          <w:color w:val="231F20"/>
          <w:spacing w:val="-3"/>
          <w:w w:val="110"/>
        </w:rPr>
        <w:t>generalizar</w:t>
      </w:r>
      <w:r>
        <w:rPr>
          <w:color w:val="231F20"/>
          <w:spacing w:val="-24"/>
          <w:w w:val="110"/>
        </w:rPr>
        <w:t> </w:t>
      </w:r>
      <w:r>
        <w:rPr>
          <w:color w:val="231F20"/>
          <w:w w:val="110"/>
        </w:rPr>
        <w:t>el</w:t>
      </w:r>
      <w:r>
        <w:rPr>
          <w:color w:val="231F20"/>
          <w:spacing w:val="-24"/>
          <w:w w:val="110"/>
        </w:rPr>
        <w:t> </w:t>
      </w:r>
      <w:r>
        <w:rPr>
          <w:color w:val="231F20"/>
          <w:w w:val="110"/>
        </w:rPr>
        <w:t>uso</w:t>
      </w:r>
      <w:r>
        <w:rPr>
          <w:color w:val="231F20"/>
          <w:spacing w:val="-24"/>
          <w:w w:val="110"/>
        </w:rPr>
        <w:t> </w:t>
      </w:r>
      <w:r>
        <w:rPr>
          <w:color w:val="231F20"/>
          <w:w w:val="110"/>
        </w:rPr>
        <w:t>de</w:t>
      </w:r>
      <w:r>
        <w:rPr>
          <w:color w:val="231F20"/>
          <w:spacing w:val="-24"/>
          <w:w w:val="110"/>
        </w:rPr>
        <w:t> </w:t>
      </w:r>
      <w:r>
        <w:rPr>
          <w:color w:val="231F20"/>
          <w:spacing w:val="-3"/>
          <w:w w:val="110"/>
        </w:rPr>
        <w:t>agrocombustibles</w:t>
      </w:r>
      <w:r>
        <w:rPr>
          <w:color w:val="231F20"/>
          <w:spacing w:val="-24"/>
          <w:w w:val="110"/>
        </w:rPr>
        <w:t> </w:t>
      </w:r>
      <w:r>
        <w:rPr>
          <w:color w:val="231F20"/>
          <w:spacing w:val="-3"/>
          <w:w w:val="110"/>
        </w:rPr>
        <w:t>solo</w:t>
      </w:r>
      <w:r>
        <w:rPr>
          <w:color w:val="231F20"/>
          <w:spacing w:val="-24"/>
          <w:w w:val="110"/>
        </w:rPr>
        <w:t> </w:t>
      </w:r>
      <w:r>
        <w:rPr>
          <w:color w:val="231F20"/>
          <w:spacing w:val="-3"/>
          <w:w w:val="110"/>
        </w:rPr>
        <w:t>puede</w:t>
      </w:r>
      <w:r>
        <w:rPr>
          <w:color w:val="231F20"/>
          <w:spacing w:val="-24"/>
          <w:w w:val="110"/>
        </w:rPr>
        <w:t> </w:t>
      </w:r>
      <w:r>
        <w:rPr>
          <w:color w:val="231F20"/>
          <w:spacing w:val="-3"/>
          <w:w w:val="110"/>
        </w:rPr>
        <w:t>in-</w:t>
      </w:r>
      <w:r>
        <w:rPr>
          <w:color w:val="231F20"/>
          <w:w w:val="72"/>
        </w:rPr>
        <w:t> </w:t>
      </w:r>
      <w:r>
        <w:rPr>
          <w:color w:val="231F20"/>
          <w:spacing w:val="-3"/>
          <w:w w:val="110"/>
        </w:rPr>
        <w:t>cidir</w:t>
      </w:r>
      <w:r>
        <w:rPr>
          <w:color w:val="231F20"/>
          <w:spacing w:val="-21"/>
          <w:w w:val="110"/>
        </w:rPr>
        <w:t> </w:t>
      </w:r>
      <w:r>
        <w:rPr>
          <w:color w:val="231F20"/>
          <w:spacing w:val="-3"/>
          <w:w w:val="110"/>
        </w:rPr>
        <w:t>negativamente</w:t>
      </w:r>
      <w:r>
        <w:rPr>
          <w:color w:val="231F20"/>
          <w:spacing w:val="-21"/>
          <w:w w:val="110"/>
        </w:rPr>
        <w:t> </w:t>
      </w:r>
      <w:r>
        <w:rPr>
          <w:color w:val="231F20"/>
          <w:w w:val="110"/>
        </w:rPr>
        <w:t>en</w:t>
      </w:r>
      <w:r>
        <w:rPr>
          <w:color w:val="231F20"/>
          <w:spacing w:val="-21"/>
          <w:w w:val="110"/>
        </w:rPr>
        <w:t> </w:t>
      </w:r>
      <w:r>
        <w:rPr>
          <w:color w:val="231F20"/>
          <w:w w:val="110"/>
        </w:rPr>
        <w:t>los</w:t>
      </w:r>
      <w:r>
        <w:rPr>
          <w:color w:val="231F20"/>
          <w:spacing w:val="-21"/>
          <w:w w:val="110"/>
        </w:rPr>
        <w:t> </w:t>
      </w:r>
      <w:r>
        <w:rPr>
          <w:color w:val="231F20"/>
          <w:spacing w:val="-3"/>
          <w:w w:val="110"/>
        </w:rPr>
        <w:t>precios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spacing w:val="-3"/>
          <w:w w:val="110"/>
        </w:rPr>
        <w:t>alimentos</w:t>
      </w:r>
      <w:r>
        <w:rPr>
          <w:color w:val="231F20"/>
          <w:spacing w:val="-21"/>
          <w:w w:val="110"/>
        </w:rPr>
        <w:t> </w:t>
      </w:r>
      <w:r>
        <w:rPr>
          <w:color w:val="231F20"/>
          <w:w w:val="110"/>
        </w:rPr>
        <w:t>y</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spacing w:val="-3"/>
          <w:w w:val="110"/>
        </w:rPr>
        <w:t>utilización</w:t>
      </w:r>
      <w:r>
        <w:rPr>
          <w:color w:val="231F20"/>
          <w:spacing w:val="-21"/>
          <w:w w:val="110"/>
        </w:rPr>
        <w:t> </w:t>
      </w:r>
      <w:r>
        <w:rPr>
          <w:color w:val="231F20"/>
          <w:spacing w:val="-3"/>
          <w:w w:val="110"/>
        </w:rPr>
        <w:t>de</w:t>
      </w:r>
      <w:r>
        <w:rPr>
          <w:color w:val="231F20"/>
          <w:spacing w:val="-3"/>
          <w:w w:val="114"/>
        </w:rPr>
        <w:t> </w:t>
      </w:r>
      <w:r>
        <w:rPr>
          <w:color w:val="231F20"/>
          <w:spacing w:val="-3"/>
          <w:w w:val="110"/>
        </w:rPr>
        <w:t>recursos esenciales como </w:t>
      </w:r>
      <w:r>
        <w:rPr>
          <w:color w:val="231F20"/>
          <w:w w:val="110"/>
        </w:rPr>
        <w:t>el </w:t>
      </w:r>
      <w:r>
        <w:rPr>
          <w:color w:val="231F20"/>
          <w:spacing w:val="-3"/>
          <w:w w:val="110"/>
        </w:rPr>
        <w:t>agua, </w:t>
      </w:r>
      <w:r>
        <w:rPr>
          <w:color w:val="231F20"/>
          <w:w w:val="110"/>
        </w:rPr>
        <w:t>la </w:t>
      </w:r>
      <w:r>
        <w:rPr>
          <w:color w:val="231F20"/>
          <w:spacing w:val="-3"/>
          <w:w w:val="110"/>
        </w:rPr>
        <w:t>tierra </w:t>
      </w:r>
      <w:r>
        <w:rPr>
          <w:color w:val="231F20"/>
          <w:w w:val="110"/>
        </w:rPr>
        <w:t>y los </w:t>
      </w:r>
      <w:r>
        <w:rPr>
          <w:color w:val="231F20"/>
          <w:spacing w:val="-3"/>
          <w:w w:val="110"/>
        </w:rPr>
        <w:t>bosques”</w:t>
      </w:r>
      <w:r>
        <w:rPr>
          <w:color w:val="231F20"/>
          <w:spacing w:val="-29"/>
          <w:w w:val="110"/>
        </w:rPr>
        <w:t> </w:t>
      </w:r>
      <w:r>
        <w:rPr>
          <w:color w:val="231F20"/>
          <w:spacing w:val="-4"/>
          <w:w w:val="110"/>
        </w:rPr>
        <w:t>(alba,</w:t>
      </w:r>
      <w:r>
        <w:rPr>
          <w:color w:val="231F20"/>
          <w:spacing w:val="-5"/>
          <w:w w:val="110"/>
        </w:rPr>
        <w:t> </w:t>
      </w:r>
      <w:r>
        <w:rPr>
          <w:color w:val="231F20"/>
          <w:spacing w:val="-3"/>
          <w:w w:val="110"/>
        </w:rPr>
        <w:t>2009).</w:t>
      </w:r>
      <w:r>
        <w:rPr>
          <w:color w:val="231F20"/>
          <w:spacing w:val="-3"/>
          <w:w w:val="107"/>
        </w:rPr>
        <w:t> </w:t>
      </w:r>
      <w:r>
        <w:rPr>
          <w:color w:val="231F20"/>
          <w:w w:val="110"/>
        </w:rPr>
        <w:t>Como anticipó la Octava Cumbre del alba realizada en</w:t>
      </w:r>
      <w:r>
        <w:rPr>
          <w:color w:val="231F20"/>
          <w:spacing w:val="1"/>
          <w:w w:val="110"/>
        </w:rPr>
        <w:t> </w:t>
      </w:r>
      <w:r>
        <w:rPr>
          <w:color w:val="231F20"/>
          <w:w w:val="110"/>
        </w:rPr>
        <w:t>La</w:t>
      </w:r>
      <w:r>
        <w:rPr>
          <w:color w:val="231F20"/>
          <w:spacing w:val="6"/>
          <w:w w:val="110"/>
        </w:rPr>
        <w:t> </w:t>
      </w:r>
      <w:r>
        <w:rPr>
          <w:color w:val="231F20"/>
          <w:w w:val="110"/>
        </w:rPr>
        <w:t>Haba-</w:t>
      </w:r>
      <w:r>
        <w:rPr>
          <w:color w:val="231F20"/>
          <w:w w:val="72"/>
        </w:rPr>
        <w:t> </w:t>
      </w:r>
      <w:r>
        <w:rPr>
          <w:color w:val="231F20"/>
          <w:w w:val="114"/>
        </w:rPr>
        <w:t> </w:t>
      </w:r>
      <w:r>
        <w:rPr>
          <w:color w:val="231F20"/>
          <w:w w:val="110"/>
        </w:rPr>
        <w:t>na entre el 13 y el 14 de diciembre de 2009, esa posición</w:t>
      </w:r>
      <w:r>
        <w:rPr>
          <w:color w:val="231F20"/>
          <w:spacing w:val="6"/>
          <w:w w:val="110"/>
        </w:rPr>
        <w:t> </w:t>
      </w:r>
      <w:r>
        <w:rPr>
          <w:color w:val="231F20"/>
          <w:w w:val="110"/>
        </w:rPr>
        <w:t>cobró toda</w:t>
      </w:r>
      <w:r>
        <w:rPr>
          <w:color w:val="231F20"/>
          <w:w w:val="112"/>
        </w:rPr>
        <w:t> </w:t>
      </w:r>
      <w:r>
        <w:rPr>
          <w:color w:val="231F20"/>
          <w:w w:val="110"/>
        </w:rPr>
        <w:t>su importancia a causa de los sucesivos fracasos de la</w:t>
      </w:r>
      <w:r>
        <w:rPr>
          <w:color w:val="231F20"/>
          <w:spacing w:val="-36"/>
          <w:w w:val="110"/>
        </w:rPr>
        <w:t> </w:t>
      </w:r>
      <w:r>
        <w:rPr>
          <w:color w:val="231F20"/>
          <w:w w:val="110"/>
        </w:rPr>
        <w:t>Cumbre</w:t>
      </w:r>
      <w:r>
        <w:rPr>
          <w:color w:val="231F20"/>
          <w:spacing w:val="-4"/>
          <w:w w:val="110"/>
        </w:rPr>
        <w:t> </w:t>
      </w:r>
      <w:r>
        <w:rPr>
          <w:color w:val="231F20"/>
          <w:w w:val="110"/>
        </w:rPr>
        <w:t>Mun-</w:t>
      </w:r>
      <w:r>
        <w:rPr>
          <w:color w:val="231F20"/>
          <w:w w:val="72"/>
        </w:rPr>
        <w:t> </w:t>
      </w:r>
      <w:r>
        <w:rPr>
          <w:color w:val="231F20"/>
          <w:w w:val="110"/>
        </w:rPr>
        <w:t>dial sobre la Seguridad Alimentaria que se realizó en Roma</w:t>
      </w:r>
      <w:r>
        <w:rPr>
          <w:color w:val="231F20"/>
          <w:spacing w:val="48"/>
          <w:w w:val="110"/>
        </w:rPr>
        <w:t> </w:t>
      </w:r>
      <w:r>
        <w:rPr>
          <w:color w:val="231F20"/>
          <w:w w:val="110"/>
        </w:rPr>
        <w:t>entre</w:t>
      </w:r>
      <w:r>
        <w:rPr>
          <w:color w:val="231F20"/>
          <w:spacing w:val="4"/>
          <w:w w:val="110"/>
        </w:rPr>
        <w:t> </w:t>
      </w:r>
      <w:r>
        <w:rPr>
          <w:color w:val="231F20"/>
          <w:w w:val="110"/>
        </w:rPr>
        <w:t>el</w:t>
      </w:r>
      <w:r>
        <w:rPr>
          <w:color w:val="231F20"/>
          <w:w w:val="108"/>
        </w:rPr>
        <w:t> </w:t>
      </w:r>
      <w:r>
        <w:rPr>
          <w:color w:val="231F20"/>
          <w:w w:val="110"/>
        </w:rPr>
        <w:t>16 al 18 de noviembre del ese año, así como de las</w:t>
      </w:r>
      <w:r>
        <w:rPr>
          <w:color w:val="231F20"/>
          <w:spacing w:val="37"/>
          <w:w w:val="110"/>
        </w:rPr>
        <w:t> </w:t>
      </w:r>
      <w:r>
        <w:rPr>
          <w:color w:val="231F20"/>
          <w:w w:val="110"/>
        </w:rPr>
        <w:t>Cumbres</w:t>
      </w:r>
      <w:r>
        <w:rPr>
          <w:color w:val="231F20"/>
          <w:spacing w:val="12"/>
          <w:w w:val="110"/>
        </w:rPr>
        <w:t> </w:t>
      </w:r>
      <w:r>
        <w:rPr>
          <w:color w:val="231F20"/>
          <w:w w:val="110"/>
        </w:rPr>
        <w:t>sobre</w:t>
      </w:r>
      <w:r>
        <w:rPr>
          <w:color w:val="231F20"/>
          <w:w w:val="109"/>
        </w:rPr>
        <w:t> </w:t>
      </w:r>
      <w:r>
        <w:rPr>
          <w:color w:val="231F20"/>
          <w:w w:val="110"/>
        </w:rPr>
        <w:t>el Cambio Climático efectuadas en Copenhague,</w:t>
      </w:r>
      <w:r>
        <w:rPr>
          <w:color w:val="231F20"/>
          <w:spacing w:val="26"/>
          <w:w w:val="110"/>
        </w:rPr>
        <w:t> </w:t>
      </w:r>
      <w:r>
        <w:rPr>
          <w:color w:val="231F20"/>
          <w:w w:val="110"/>
        </w:rPr>
        <w:t>Dinamarca,</w:t>
      </w:r>
      <w:r>
        <w:rPr>
          <w:color w:val="231F20"/>
          <w:spacing w:val="50"/>
          <w:w w:val="110"/>
        </w:rPr>
        <w:t> </w:t>
      </w:r>
      <w:r>
        <w:rPr>
          <w:color w:val="231F20"/>
          <w:w w:val="110"/>
        </w:rPr>
        <w:t>en</w:t>
      </w:r>
      <w:r>
        <w:rPr>
          <w:color w:val="231F20"/>
          <w:spacing w:val="2"/>
          <w:w w:val="116"/>
        </w:rPr>
        <w:t> </w:t>
      </w:r>
      <w:r>
        <w:rPr>
          <w:color w:val="231F20"/>
          <w:w w:val="110"/>
        </w:rPr>
        <w:t>2009, y en Cancún, México, en 2010. Cual se ha denunciado,</w:t>
      </w:r>
      <w:r>
        <w:rPr>
          <w:color w:val="231F20"/>
          <w:spacing w:val="-35"/>
          <w:w w:val="110"/>
        </w:rPr>
        <w:t> </w:t>
      </w:r>
      <w:r>
        <w:rPr>
          <w:color w:val="231F20"/>
          <w:w w:val="110"/>
        </w:rPr>
        <w:t>una</w:t>
      </w:r>
      <w:r>
        <w:rPr>
          <w:color w:val="231F20"/>
          <w:spacing w:val="-4"/>
          <w:w w:val="110"/>
        </w:rPr>
        <w:t> </w:t>
      </w:r>
      <w:r>
        <w:rPr>
          <w:color w:val="231F20"/>
          <w:w w:val="110"/>
        </w:rPr>
        <w:t>de</w:t>
      </w:r>
      <w:r>
        <w:rPr>
          <w:color w:val="231F20"/>
          <w:w w:val="114"/>
        </w:rPr>
        <w:t> </w:t>
      </w:r>
      <w:r>
        <w:rPr>
          <w:color w:val="231F20"/>
          <w:w w:val="110"/>
        </w:rPr>
        <w:t>las</w:t>
      </w:r>
      <w:r>
        <w:rPr>
          <w:color w:val="231F20"/>
          <w:spacing w:val="-7"/>
          <w:w w:val="110"/>
        </w:rPr>
        <w:t> </w:t>
      </w:r>
      <w:r>
        <w:rPr>
          <w:color w:val="231F20"/>
          <w:w w:val="110"/>
        </w:rPr>
        <w:t>causas</w:t>
      </w:r>
      <w:r>
        <w:rPr>
          <w:color w:val="231F20"/>
          <w:spacing w:val="-7"/>
          <w:w w:val="110"/>
        </w:rPr>
        <w:t> </w:t>
      </w:r>
      <w:r>
        <w:rPr>
          <w:color w:val="231F20"/>
          <w:w w:val="110"/>
        </w:rPr>
        <w:t>del</w:t>
      </w:r>
      <w:r>
        <w:rPr>
          <w:color w:val="231F20"/>
          <w:spacing w:val="-7"/>
          <w:w w:val="110"/>
        </w:rPr>
        <w:t> </w:t>
      </w:r>
      <w:r>
        <w:rPr>
          <w:color w:val="231F20"/>
          <w:w w:val="110"/>
        </w:rPr>
        <w:t>fracaso</w:t>
      </w:r>
      <w:r>
        <w:rPr>
          <w:color w:val="231F20"/>
          <w:spacing w:val="-7"/>
          <w:w w:val="110"/>
        </w:rPr>
        <w:t> </w:t>
      </w:r>
      <w:r>
        <w:rPr>
          <w:color w:val="231F20"/>
          <w:w w:val="110"/>
        </w:rPr>
        <w:t>de</w:t>
      </w:r>
      <w:r>
        <w:rPr>
          <w:color w:val="231F20"/>
          <w:spacing w:val="-7"/>
          <w:w w:val="110"/>
        </w:rPr>
        <w:t> </w:t>
      </w:r>
      <w:r>
        <w:rPr>
          <w:color w:val="231F20"/>
          <w:w w:val="110"/>
        </w:rPr>
        <w:t>esas</w:t>
      </w:r>
      <w:r>
        <w:rPr>
          <w:color w:val="231F20"/>
          <w:spacing w:val="-7"/>
          <w:w w:val="110"/>
        </w:rPr>
        <w:t> </w:t>
      </w:r>
      <w:r>
        <w:rPr>
          <w:color w:val="231F20"/>
          <w:w w:val="110"/>
        </w:rPr>
        <w:t>citas</w:t>
      </w:r>
      <w:r>
        <w:rPr>
          <w:color w:val="231F20"/>
          <w:spacing w:val="-7"/>
          <w:w w:val="110"/>
        </w:rPr>
        <w:t> </w:t>
      </w:r>
      <w:r>
        <w:rPr>
          <w:color w:val="231F20"/>
          <w:w w:val="110"/>
        </w:rPr>
        <w:t>fue</w:t>
      </w:r>
      <w:r>
        <w:rPr>
          <w:color w:val="231F20"/>
          <w:spacing w:val="-7"/>
          <w:w w:val="110"/>
        </w:rPr>
        <w:t> </w:t>
      </w:r>
      <w:r>
        <w:rPr>
          <w:color w:val="231F20"/>
          <w:w w:val="110"/>
        </w:rPr>
        <w:t>el</w:t>
      </w:r>
      <w:r>
        <w:rPr>
          <w:color w:val="231F20"/>
          <w:spacing w:val="-7"/>
          <w:w w:val="110"/>
        </w:rPr>
        <w:t> </w:t>
      </w:r>
      <w:r>
        <w:rPr>
          <w:color w:val="231F20"/>
          <w:w w:val="110"/>
        </w:rPr>
        <w:t>rechazo</w:t>
      </w:r>
      <w:r>
        <w:rPr>
          <w:color w:val="231F20"/>
          <w:spacing w:val="-7"/>
          <w:w w:val="110"/>
        </w:rPr>
        <w:t> </w:t>
      </w:r>
      <w:r>
        <w:rPr>
          <w:color w:val="231F20"/>
          <w:w w:val="110"/>
        </w:rPr>
        <w:t>de</w:t>
      </w:r>
      <w:r>
        <w:rPr>
          <w:color w:val="231F20"/>
          <w:spacing w:val="-7"/>
          <w:w w:val="110"/>
        </w:rPr>
        <w:t> </w:t>
      </w:r>
      <w:r>
        <w:rPr>
          <w:color w:val="231F20"/>
          <w:w w:val="110"/>
        </w:rPr>
        <w:t>Obama</w:t>
      </w:r>
      <w:r>
        <w:rPr>
          <w:color w:val="231F20"/>
          <w:spacing w:val="-7"/>
          <w:w w:val="110"/>
        </w:rPr>
        <w:t> </w:t>
      </w:r>
      <w:r>
        <w:rPr>
          <w:color w:val="231F20"/>
          <w:w w:val="110"/>
        </w:rPr>
        <w:t>a</w:t>
      </w:r>
      <w:r>
        <w:rPr>
          <w:color w:val="231F20"/>
          <w:spacing w:val="-7"/>
          <w:w w:val="110"/>
        </w:rPr>
        <w:t> </w:t>
      </w:r>
      <w:r>
        <w:rPr>
          <w:color w:val="231F20"/>
          <w:w w:val="110"/>
        </w:rPr>
        <w:t>asumir</w:t>
      </w:r>
      <w:r>
        <w:rPr>
          <w:color w:val="231F20"/>
          <w:w w:val="108"/>
        </w:rPr>
        <w:t> </w:t>
      </w:r>
      <w:r>
        <w:rPr>
          <w:color w:val="231F20"/>
          <w:w w:val="110"/>
        </w:rPr>
        <w:t>significativos</w:t>
      </w:r>
      <w:r>
        <w:rPr>
          <w:color w:val="231F20"/>
          <w:spacing w:val="-14"/>
          <w:w w:val="110"/>
        </w:rPr>
        <w:t> </w:t>
      </w:r>
      <w:r>
        <w:rPr>
          <w:color w:val="231F20"/>
          <w:w w:val="110"/>
        </w:rPr>
        <w:t>compromisos</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reducción</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desproporcionadas</w:t>
      </w:r>
      <w:r>
        <w:rPr>
          <w:color w:val="231F20"/>
          <w:w w:val="110"/>
        </w:rPr>
        <w:t> </w:t>
      </w:r>
      <w:r>
        <w:rPr>
          <w:color w:val="231F20"/>
          <w:w w:val="110"/>
        </w:rPr>
        <w:t>emisiones de gases de efecto invernadero que</w:t>
      </w:r>
      <w:r>
        <w:rPr>
          <w:color w:val="231F20"/>
          <w:spacing w:val="14"/>
          <w:w w:val="110"/>
        </w:rPr>
        <w:t> </w:t>
      </w:r>
      <w:r>
        <w:rPr>
          <w:color w:val="231F20"/>
          <w:w w:val="110"/>
        </w:rPr>
        <w:t>constantemente</w:t>
      </w:r>
      <w:r>
        <w:rPr>
          <w:color w:val="231F20"/>
          <w:spacing w:val="17"/>
          <w:w w:val="110"/>
        </w:rPr>
        <w:t> </w:t>
      </w:r>
      <w:r>
        <w:rPr>
          <w:color w:val="231F20"/>
          <w:w w:val="110"/>
        </w:rPr>
        <w:t>pro-</w:t>
      </w:r>
      <w:r>
        <w:rPr>
          <w:color w:val="231F20"/>
          <w:w w:val="72"/>
        </w:rPr>
        <w:t> </w:t>
      </w:r>
      <w:r>
        <w:rPr>
          <w:color w:val="231F20"/>
          <w:w w:val="110"/>
        </w:rPr>
        <w:t>duce la socio-economía estadunidense. A ello se agregó su</w:t>
      </w:r>
      <w:r>
        <w:rPr>
          <w:color w:val="231F20"/>
          <w:spacing w:val="47"/>
          <w:w w:val="110"/>
        </w:rPr>
        <w:t> </w:t>
      </w:r>
      <w:r>
        <w:rPr>
          <w:color w:val="231F20"/>
          <w:w w:val="110"/>
        </w:rPr>
        <w:t>decisión</w:t>
      </w:r>
    </w:p>
    <w:p>
      <w:pPr>
        <w:pStyle w:val="BodyText"/>
        <w:spacing w:line="261" w:lineRule="auto"/>
        <w:ind w:left="100" w:right="117"/>
        <w:jc w:val="both"/>
      </w:pPr>
      <w:r>
        <w:rPr>
          <w:color w:val="231F20"/>
          <w:w w:val="110"/>
        </w:rPr>
        <w:t>—compartida por otras potencias del “primer mundo”— de abando- nar el principio de responsabilidad común, pero diferenciada entre los llamados países desarrollados y “en vías de desarrollo” (estos</w:t>
      </w:r>
      <w:r>
        <w:rPr>
          <w:color w:val="231F20"/>
          <w:spacing w:val="-27"/>
          <w:w w:val="110"/>
        </w:rPr>
        <w:t> </w:t>
      </w:r>
      <w:r>
        <w:rPr>
          <w:color w:val="231F20"/>
          <w:w w:val="110"/>
        </w:rPr>
        <w:t>úl- timos agrupados en el denominado Grupo 77+China) que sirvió de base a la Convención Marco de Cambio Climático aprobada por la onu</w:t>
      </w:r>
      <w:r>
        <w:rPr>
          <w:color w:val="231F20"/>
          <w:spacing w:val="-4"/>
          <w:w w:val="110"/>
        </w:rPr>
        <w:t> </w:t>
      </w:r>
      <w:r>
        <w:rPr>
          <w:color w:val="231F20"/>
          <w:w w:val="110"/>
        </w:rPr>
        <w:t>a</w:t>
      </w:r>
      <w:r>
        <w:rPr>
          <w:color w:val="231F20"/>
          <w:spacing w:val="-4"/>
          <w:w w:val="110"/>
        </w:rPr>
        <w:t> </w:t>
      </w:r>
      <w:r>
        <w:rPr>
          <w:color w:val="231F20"/>
          <w:w w:val="110"/>
        </w:rPr>
        <w:t>comienzos</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años</w:t>
      </w:r>
      <w:r>
        <w:rPr>
          <w:color w:val="231F20"/>
          <w:spacing w:val="-4"/>
          <w:w w:val="110"/>
        </w:rPr>
        <w:t> </w:t>
      </w:r>
      <w:r>
        <w:rPr>
          <w:color w:val="231F20"/>
          <w:w w:val="110"/>
        </w:rPr>
        <w:t>noventa</w:t>
      </w:r>
      <w:r>
        <w:rPr>
          <w:color w:val="231F20"/>
          <w:spacing w:val="-4"/>
          <w:w w:val="110"/>
        </w:rPr>
        <w:t> </w:t>
      </w:r>
      <w:r>
        <w:rPr>
          <w:color w:val="231F20"/>
          <w:w w:val="110"/>
        </w:rPr>
        <w:t>y</w:t>
      </w:r>
      <w:r>
        <w:rPr>
          <w:color w:val="231F20"/>
          <w:spacing w:val="-4"/>
          <w:w w:val="110"/>
        </w:rPr>
        <w:t> </w:t>
      </w:r>
      <w:r>
        <w:rPr>
          <w:color w:val="231F20"/>
          <w:w w:val="110"/>
        </w:rPr>
        <w:t>del</w:t>
      </w:r>
      <w:r>
        <w:rPr>
          <w:color w:val="231F20"/>
          <w:spacing w:val="-4"/>
          <w:w w:val="110"/>
        </w:rPr>
        <w:t> </w:t>
      </w:r>
      <w:r>
        <w:rPr>
          <w:color w:val="231F20"/>
          <w:w w:val="110"/>
        </w:rPr>
        <w:t>Protocolo</w:t>
      </w:r>
      <w:r>
        <w:rPr>
          <w:color w:val="231F20"/>
          <w:spacing w:val="-4"/>
          <w:w w:val="110"/>
        </w:rPr>
        <w:t> </w:t>
      </w:r>
      <w:r>
        <w:rPr>
          <w:color w:val="231F20"/>
          <w:w w:val="110"/>
        </w:rPr>
        <w:t>de</w:t>
      </w:r>
      <w:r>
        <w:rPr>
          <w:color w:val="231F20"/>
          <w:spacing w:val="-4"/>
          <w:w w:val="110"/>
        </w:rPr>
        <w:t> </w:t>
      </w:r>
      <w:r>
        <w:rPr>
          <w:color w:val="231F20"/>
          <w:w w:val="110"/>
        </w:rPr>
        <w:t>Kioto</w:t>
      </w:r>
      <w:r>
        <w:rPr>
          <w:color w:val="231F20"/>
          <w:spacing w:val="-4"/>
          <w:w w:val="110"/>
        </w:rPr>
        <w:t> </w:t>
      </w:r>
      <w:r>
        <w:rPr>
          <w:color w:val="231F20"/>
          <w:w w:val="110"/>
        </w:rPr>
        <w:t>nego- ciado en 1997, pero que —en razón, entre otras, del rechazo de la administración</w:t>
      </w:r>
      <w:r>
        <w:rPr>
          <w:color w:val="231F20"/>
          <w:spacing w:val="-12"/>
          <w:w w:val="110"/>
        </w:rPr>
        <w:t> </w:t>
      </w:r>
      <w:r>
        <w:rPr>
          <w:color w:val="231F20"/>
          <w:w w:val="110"/>
        </w:rPr>
        <w:t>de</w:t>
      </w:r>
      <w:r>
        <w:rPr>
          <w:color w:val="231F20"/>
          <w:spacing w:val="-12"/>
          <w:w w:val="110"/>
        </w:rPr>
        <w:t> </w:t>
      </w:r>
      <w:r>
        <w:rPr>
          <w:color w:val="231F20"/>
          <w:w w:val="110"/>
        </w:rPr>
        <w:t>George</w:t>
      </w:r>
      <w:r>
        <w:rPr>
          <w:color w:val="231F20"/>
          <w:spacing w:val="-12"/>
          <w:w w:val="110"/>
        </w:rPr>
        <w:t> </w:t>
      </w:r>
      <w:r>
        <w:rPr>
          <w:color w:val="231F20"/>
          <w:spacing w:val="-6"/>
          <w:w w:val="110"/>
        </w:rPr>
        <w:t>W.</w:t>
      </w:r>
      <w:r>
        <w:rPr>
          <w:color w:val="231F20"/>
          <w:spacing w:val="-12"/>
          <w:w w:val="110"/>
        </w:rPr>
        <w:t> </w:t>
      </w:r>
      <w:r>
        <w:rPr>
          <w:color w:val="231F20"/>
          <w:w w:val="110"/>
        </w:rPr>
        <w:t>Bush—</w:t>
      </w:r>
      <w:r>
        <w:rPr>
          <w:color w:val="231F20"/>
          <w:spacing w:val="-12"/>
          <w:w w:val="110"/>
        </w:rPr>
        <w:t> </w:t>
      </w:r>
      <w:r>
        <w:rPr>
          <w:color w:val="231F20"/>
          <w:w w:val="110"/>
        </w:rPr>
        <w:t>sólo</w:t>
      </w:r>
      <w:r>
        <w:rPr>
          <w:color w:val="231F20"/>
          <w:spacing w:val="-12"/>
          <w:w w:val="110"/>
        </w:rPr>
        <w:t> </w:t>
      </w:r>
      <w:r>
        <w:rPr>
          <w:color w:val="231F20"/>
          <w:w w:val="110"/>
        </w:rPr>
        <w:t>encontró</w:t>
      </w:r>
      <w:r>
        <w:rPr>
          <w:color w:val="231F20"/>
          <w:spacing w:val="-12"/>
          <w:w w:val="110"/>
        </w:rPr>
        <w:t> </w:t>
      </w:r>
      <w:r>
        <w:rPr>
          <w:color w:val="231F20"/>
          <w:w w:val="110"/>
        </w:rPr>
        <w:t>las</w:t>
      </w:r>
      <w:r>
        <w:rPr>
          <w:color w:val="231F20"/>
          <w:spacing w:val="-12"/>
          <w:w w:val="110"/>
        </w:rPr>
        <w:t> </w:t>
      </w:r>
      <w:r>
        <w:rPr>
          <w:color w:val="231F20"/>
          <w:w w:val="110"/>
        </w:rPr>
        <w:t>ratificaciones necesarias en 2005 (Rodríguez Parrilla,</w:t>
      </w:r>
      <w:r>
        <w:rPr>
          <w:color w:val="231F20"/>
          <w:spacing w:val="-6"/>
          <w:w w:val="110"/>
        </w:rPr>
        <w:t> </w:t>
      </w:r>
      <w:r>
        <w:rPr>
          <w:color w:val="231F20"/>
          <w:w w:val="110"/>
        </w:rPr>
        <w:t>2010).</w:t>
      </w:r>
    </w:p>
    <w:p>
      <w:pPr>
        <w:pStyle w:val="BodyText"/>
        <w:spacing w:line="261" w:lineRule="auto"/>
        <w:ind w:left="100" w:right="114" w:firstLine="240"/>
        <w:jc w:val="both"/>
      </w:pPr>
      <w:r>
        <w:rPr>
          <w:color w:val="231F20"/>
          <w:w w:val="110"/>
        </w:rPr>
        <w:t>Esto, junto a la arrogante pretensión de Obama de imponer una antidemocrática Declaración Final en la Cumbre de Copenhague (negociada a puertas cerradas con una pequeña parte de los man- datarios y delegaciones asistentes a esa cita), indica que —a pesar de su referida retórica neodesarrollista y ambientalista (reiterada en su segundo discurso sobre el Estado de la Unión pronunciado el 25 de enero de 2011)— en lo que queda de su primera y tal vez única administración, Obama continuará menoscabando las negociacio- nes vinculadas al llamado Segundo Protocolo de Kioto. Mucho más porque</w:t>
      </w:r>
      <w:r>
        <w:rPr>
          <w:color w:val="231F20"/>
          <w:spacing w:val="22"/>
          <w:w w:val="110"/>
        </w:rPr>
        <w:t> </w:t>
      </w:r>
      <w:r>
        <w:rPr>
          <w:color w:val="231F20"/>
          <w:w w:val="110"/>
        </w:rPr>
        <w:t>esas</w:t>
      </w:r>
      <w:r>
        <w:rPr>
          <w:color w:val="231F20"/>
          <w:spacing w:val="22"/>
          <w:w w:val="110"/>
        </w:rPr>
        <w:t> </w:t>
      </w:r>
      <w:r>
        <w:rPr>
          <w:color w:val="231F20"/>
          <w:w w:val="110"/>
        </w:rPr>
        <w:t>posiciones</w:t>
      </w:r>
      <w:r>
        <w:rPr>
          <w:color w:val="231F20"/>
          <w:spacing w:val="22"/>
          <w:w w:val="110"/>
        </w:rPr>
        <w:t> </w:t>
      </w:r>
      <w:r>
        <w:rPr>
          <w:color w:val="231F20"/>
          <w:w w:val="110"/>
        </w:rPr>
        <w:t>han</w:t>
      </w:r>
      <w:r>
        <w:rPr>
          <w:color w:val="231F20"/>
          <w:spacing w:val="22"/>
          <w:w w:val="110"/>
        </w:rPr>
        <w:t> </w:t>
      </w:r>
      <w:r>
        <w:rPr>
          <w:color w:val="231F20"/>
          <w:w w:val="110"/>
        </w:rPr>
        <w:t>logrado</w:t>
      </w:r>
      <w:r>
        <w:rPr>
          <w:color w:val="231F20"/>
          <w:spacing w:val="22"/>
          <w:w w:val="110"/>
        </w:rPr>
        <w:t> </w:t>
      </w:r>
      <w:r>
        <w:rPr>
          <w:color w:val="231F20"/>
          <w:w w:val="110"/>
        </w:rPr>
        <w:t>arrastrar</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gobiernos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de algunos “países emergentes” y por el control sobre importantes comisiones de la Cámara de Representantes y del senado que deten- tarán</w:t>
      </w:r>
      <w:r>
        <w:rPr>
          <w:color w:val="231F20"/>
          <w:spacing w:val="-13"/>
          <w:w w:val="110"/>
        </w:rPr>
        <w:t> </w:t>
      </w:r>
      <w:r>
        <w:rPr>
          <w:color w:val="231F20"/>
          <w:w w:val="110"/>
        </w:rPr>
        <w:t>los</w:t>
      </w:r>
      <w:r>
        <w:rPr>
          <w:color w:val="231F20"/>
          <w:spacing w:val="-13"/>
          <w:w w:val="110"/>
        </w:rPr>
        <w:t> </w:t>
      </w:r>
      <w:r>
        <w:rPr>
          <w:color w:val="231F20"/>
          <w:w w:val="110"/>
        </w:rPr>
        <w:t>sectores</w:t>
      </w:r>
      <w:r>
        <w:rPr>
          <w:color w:val="231F20"/>
          <w:spacing w:val="-13"/>
          <w:w w:val="110"/>
        </w:rPr>
        <w:t> </w:t>
      </w:r>
      <w:r>
        <w:rPr>
          <w:color w:val="231F20"/>
          <w:w w:val="110"/>
        </w:rPr>
        <w:t>más</w:t>
      </w:r>
      <w:r>
        <w:rPr>
          <w:color w:val="231F20"/>
          <w:spacing w:val="-13"/>
          <w:w w:val="110"/>
        </w:rPr>
        <w:t> </w:t>
      </w:r>
      <w:r>
        <w:rPr>
          <w:color w:val="231F20"/>
          <w:w w:val="110"/>
        </w:rPr>
        <w:t>conservadores</w:t>
      </w:r>
      <w:r>
        <w:rPr>
          <w:color w:val="231F20"/>
          <w:spacing w:val="-13"/>
          <w:w w:val="110"/>
        </w:rPr>
        <w:t> </w:t>
      </w:r>
      <w:r>
        <w:rPr>
          <w:color w:val="231F20"/>
          <w:w w:val="110"/>
        </w:rPr>
        <w:t>del</w:t>
      </w:r>
      <w:r>
        <w:rPr>
          <w:color w:val="231F20"/>
          <w:spacing w:val="-13"/>
          <w:w w:val="110"/>
        </w:rPr>
        <w:t> </w:t>
      </w:r>
      <w:r>
        <w:rPr>
          <w:color w:val="231F20"/>
          <w:w w:val="110"/>
        </w:rPr>
        <w:t>Partido</w:t>
      </w:r>
      <w:r>
        <w:rPr>
          <w:color w:val="231F20"/>
          <w:spacing w:val="-13"/>
          <w:w w:val="110"/>
        </w:rPr>
        <w:t> </w:t>
      </w:r>
      <w:r>
        <w:rPr>
          <w:color w:val="231F20"/>
          <w:w w:val="110"/>
        </w:rPr>
        <w:t>Republicano</w:t>
      </w:r>
      <w:r>
        <w:rPr>
          <w:color w:val="231F20"/>
          <w:spacing w:val="-13"/>
          <w:w w:val="110"/>
        </w:rPr>
        <w:t> </w:t>
      </w:r>
      <w:r>
        <w:rPr>
          <w:color w:val="231F20"/>
          <w:w w:val="110"/>
        </w:rPr>
        <w:t>a</w:t>
      </w:r>
      <w:r>
        <w:rPr>
          <w:color w:val="231F20"/>
          <w:spacing w:val="-13"/>
          <w:w w:val="110"/>
        </w:rPr>
        <w:t> </w:t>
      </w:r>
      <w:r>
        <w:rPr>
          <w:color w:val="231F20"/>
          <w:w w:val="110"/>
        </w:rPr>
        <w:t>causa de “la paliza” que recibió el Partido Demócrata en las elecciones intermedias de noviembre de</w:t>
      </w:r>
      <w:r>
        <w:rPr>
          <w:color w:val="231F20"/>
          <w:spacing w:val="30"/>
          <w:w w:val="110"/>
        </w:rPr>
        <w:t> </w:t>
      </w:r>
      <w:r>
        <w:rPr>
          <w:color w:val="231F20"/>
          <w:w w:val="110"/>
        </w:rPr>
        <w:t>2010.</w:t>
      </w:r>
    </w:p>
    <w:p>
      <w:pPr>
        <w:pStyle w:val="BodyText"/>
        <w:spacing w:line="261" w:lineRule="auto"/>
        <w:ind w:left="100" w:right="117" w:firstLine="240"/>
        <w:jc w:val="both"/>
      </w:pPr>
      <w:r>
        <w:rPr>
          <w:color w:val="231F20"/>
          <w:w w:val="105"/>
        </w:rPr>
        <w:t>Como de una u otra manera aceptó Obama en su demagógico discurso sobre el estado  de  la  Unión  (Obama,  2011),  ese  cambio  en la correlación de fuerzas en el congreso lo llevará a negociar, de buena o mala manera, su política interna y externa con los antes mencionados congresistas republicanos (incluidos los partidarios del neofascista </w:t>
      </w:r>
      <w:r>
        <w:rPr>
          <w:i/>
          <w:color w:val="231F20"/>
          <w:spacing w:val="-7"/>
          <w:w w:val="105"/>
        </w:rPr>
        <w:t>Tea </w:t>
      </w:r>
      <w:r>
        <w:rPr>
          <w:i/>
          <w:color w:val="231F20"/>
          <w:w w:val="105"/>
        </w:rPr>
        <w:t>Party</w:t>
      </w:r>
      <w:r>
        <w:rPr>
          <w:color w:val="231F20"/>
          <w:w w:val="105"/>
        </w:rPr>
        <w:t>) y con los sectores que previamente el propio Obama había calificado como “la derecha” y “los grupos de presión” que actúan en el sistema político y en la sociedad estadunidense (Obama, 2010). Esto, la irresuelta y multifacética crisis que afecta a    la socio-economía estadunidense, así como su pretensión de resolver los múltiples conflictos que se están desarrollando en Asia Central, en el Golfo Arábigo Pérsico, en Medio Oriente, al igual que en la penín- sula de Corea acudiendo a las presiones económicas y a la amenaza    de emplear la fuerza  militar  acentuarán  aún  más  los  instrumentos  de </w:t>
      </w:r>
      <w:r>
        <w:rPr>
          <w:i/>
          <w:color w:val="231F20"/>
          <w:w w:val="105"/>
        </w:rPr>
        <w:t>hard power </w:t>
      </w:r>
      <w:r>
        <w:rPr>
          <w:color w:val="231F20"/>
          <w:w w:val="105"/>
        </w:rPr>
        <w:t>ya presentes en sus “estrategias inteligentes” contra las naciones</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pueblos</w:t>
      </w:r>
      <w:r>
        <w:rPr>
          <w:color w:val="231F20"/>
          <w:spacing w:val="21"/>
          <w:w w:val="105"/>
        </w:rPr>
        <w:t> </w:t>
      </w:r>
      <w:r>
        <w:rPr>
          <w:color w:val="231F20"/>
          <w:w w:val="105"/>
        </w:rPr>
        <w:t>de</w:t>
      </w:r>
      <w:r>
        <w:rPr>
          <w:color w:val="231F20"/>
          <w:spacing w:val="21"/>
          <w:w w:val="105"/>
        </w:rPr>
        <w:t> </w:t>
      </w:r>
      <w:r>
        <w:rPr>
          <w:color w:val="231F20"/>
          <w:w w:val="105"/>
        </w:rPr>
        <w:t>América</w:t>
      </w:r>
      <w:r>
        <w:rPr>
          <w:color w:val="231F20"/>
          <w:spacing w:val="21"/>
          <w:w w:val="105"/>
        </w:rPr>
        <w:t> </w:t>
      </w:r>
      <w:r>
        <w:rPr>
          <w:color w:val="231F20"/>
          <w:w w:val="105"/>
        </w:rPr>
        <w:t>Latina</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Caribe.</w:t>
      </w:r>
    </w:p>
    <w:p>
      <w:pPr>
        <w:pStyle w:val="BodyText"/>
      </w:pPr>
    </w:p>
    <w:p>
      <w:pPr>
        <w:pStyle w:val="BodyText"/>
      </w:pPr>
    </w:p>
    <w:p>
      <w:pPr>
        <w:pStyle w:val="BodyText"/>
        <w:spacing w:before="2"/>
        <w:rPr>
          <w:sz w:val="25"/>
        </w:rPr>
      </w:pPr>
    </w:p>
    <w:p>
      <w:pPr>
        <w:pStyle w:val="BodyText"/>
        <w:ind w:left="100"/>
        <w:jc w:val="both"/>
      </w:pPr>
      <w:r>
        <w:rPr>
          <w:color w:val="231F20"/>
          <w:w w:val="130"/>
        </w:rPr>
        <w:t>como conclusión: una mirada al futuro</w:t>
      </w:r>
    </w:p>
    <w:p>
      <w:pPr>
        <w:pStyle w:val="BodyText"/>
        <w:spacing w:before="5"/>
        <w:rPr>
          <w:sz w:val="23"/>
        </w:rPr>
      </w:pPr>
    </w:p>
    <w:p>
      <w:pPr>
        <w:pStyle w:val="BodyText"/>
        <w:spacing w:line="261" w:lineRule="auto"/>
        <w:ind w:left="100" w:right="114"/>
        <w:jc w:val="both"/>
      </w:pPr>
      <w:r>
        <w:rPr>
          <w:color w:val="231F20"/>
          <w:w w:val="110"/>
        </w:rPr>
        <w:t>De ahí que, en el tiempo que le queda a la que pudiera ser su única administración, Obama, los sectores de las clases dominantes, del sistema político y del poderoso aparato estatal estadunidense que lo respaldan o adversan, así como sus principales aliados hemisféricos (Honduras, Costa Rica, Colombia, Chile, México, Panamá, Perú…) o extrahemisféricos (en particular, los principales gobiernos de la Unión Europea) concentrarán sus esfuerzos en debilitar </w:t>
      </w:r>
      <w:r>
        <w:rPr>
          <w:color w:val="231F20"/>
          <w:spacing w:val="-8"/>
          <w:w w:val="110"/>
        </w:rPr>
        <w:t>y, </w:t>
      </w:r>
      <w:r>
        <w:rPr>
          <w:color w:val="231F20"/>
          <w:w w:val="110"/>
        </w:rPr>
        <w:t>si le fue- ra posible, derrotar (</w:t>
      </w:r>
      <w:r>
        <w:rPr>
          <w:i/>
          <w:color w:val="231F20"/>
          <w:w w:val="110"/>
        </w:rPr>
        <w:t>roll back</w:t>
      </w:r>
      <w:r>
        <w:rPr>
          <w:color w:val="231F20"/>
          <w:w w:val="110"/>
        </w:rPr>
        <w:t>) a todos o a algunos de los gobiernos latinoamericanos integrantes del alba (Bolivia, Cuba, </w:t>
      </w:r>
      <w:r>
        <w:rPr>
          <w:color w:val="231F20"/>
          <w:spacing w:val="-3"/>
          <w:w w:val="110"/>
        </w:rPr>
        <w:t>Ecuador, </w:t>
      </w:r>
      <w:r>
        <w:rPr>
          <w:color w:val="231F20"/>
          <w:w w:val="110"/>
        </w:rPr>
        <w:t>Ni- caragua y Venezuela), así como en tratar de separar de esa alianza   a los tres gobiernos integrantes de la caricom y de la Organización de Estados del Caribe Oriental (oeco) que la integran: Barbuda, Dominica</w:t>
      </w:r>
      <w:r>
        <w:rPr>
          <w:color w:val="231F20"/>
          <w:spacing w:val="-12"/>
          <w:w w:val="110"/>
        </w:rPr>
        <w:t> </w:t>
      </w:r>
      <w:r>
        <w:rPr>
          <w:color w:val="231F20"/>
          <w:w w:val="110"/>
        </w:rPr>
        <w:t>y</w:t>
      </w:r>
      <w:r>
        <w:rPr>
          <w:color w:val="231F20"/>
          <w:spacing w:val="-12"/>
          <w:w w:val="110"/>
        </w:rPr>
        <w:t> </w:t>
      </w:r>
      <w:r>
        <w:rPr>
          <w:color w:val="231F20"/>
          <w:w w:val="110"/>
        </w:rPr>
        <w:t>San</w:t>
      </w:r>
      <w:r>
        <w:rPr>
          <w:color w:val="231F20"/>
          <w:spacing w:val="-12"/>
          <w:w w:val="110"/>
        </w:rPr>
        <w:t> </w:t>
      </w:r>
      <w:r>
        <w:rPr>
          <w:color w:val="231F20"/>
          <w:w w:val="110"/>
        </w:rPr>
        <w:t>Vicente</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Granadinas.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En esa subregión, el actual gobierno temporal estadunidense, asi- métricamente aliado con “la derecha” de ese último país y con otros Estados integrantes de la caricom o de la oeco, al igual que con los gobiernos</w:t>
      </w:r>
      <w:r>
        <w:rPr>
          <w:color w:val="231F20"/>
          <w:spacing w:val="-13"/>
          <w:w w:val="110"/>
        </w:rPr>
        <w:t> </w:t>
      </w:r>
      <w:r>
        <w:rPr>
          <w:color w:val="231F20"/>
          <w:w w:val="110"/>
        </w:rPr>
        <w:t>británico</w:t>
      </w:r>
      <w:r>
        <w:rPr>
          <w:color w:val="231F20"/>
          <w:spacing w:val="-13"/>
          <w:w w:val="110"/>
        </w:rPr>
        <w:t> </w:t>
      </w:r>
      <w:r>
        <w:rPr>
          <w:color w:val="231F20"/>
          <w:w w:val="110"/>
        </w:rPr>
        <w:t>y</w:t>
      </w:r>
      <w:r>
        <w:rPr>
          <w:color w:val="231F20"/>
          <w:spacing w:val="-13"/>
          <w:w w:val="110"/>
        </w:rPr>
        <w:t> </w:t>
      </w:r>
      <w:r>
        <w:rPr>
          <w:color w:val="231F20"/>
          <w:w w:val="110"/>
        </w:rPr>
        <w:t>canadiense</w:t>
      </w:r>
      <w:r>
        <w:rPr>
          <w:color w:val="231F20"/>
          <w:spacing w:val="-13"/>
          <w:w w:val="110"/>
        </w:rPr>
        <w:t> </w:t>
      </w:r>
      <w:r>
        <w:rPr>
          <w:color w:val="231F20"/>
          <w:w w:val="110"/>
        </w:rPr>
        <w:t>multiplicarán</w:t>
      </w:r>
      <w:r>
        <w:rPr>
          <w:color w:val="231F20"/>
          <w:spacing w:val="-13"/>
          <w:w w:val="110"/>
        </w:rPr>
        <w:t> </w:t>
      </w:r>
      <w:r>
        <w:rPr>
          <w:color w:val="231F20"/>
          <w:w w:val="110"/>
        </w:rPr>
        <w:t>sus</w:t>
      </w:r>
      <w:r>
        <w:rPr>
          <w:color w:val="231F20"/>
          <w:spacing w:val="-13"/>
          <w:w w:val="110"/>
        </w:rPr>
        <w:t> </w:t>
      </w:r>
      <w:r>
        <w:rPr>
          <w:color w:val="231F20"/>
          <w:w w:val="110"/>
        </w:rPr>
        <w:t>acciones</w:t>
      </w:r>
      <w:r>
        <w:rPr>
          <w:color w:val="231F20"/>
          <w:spacing w:val="-13"/>
          <w:w w:val="110"/>
        </w:rPr>
        <w:t> </w:t>
      </w:r>
      <w:r>
        <w:rPr>
          <w:color w:val="231F20"/>
          <w:w w:val="110"/>
        </w:rPr>
        <w:t>dirigidas a</w:t>
      </w:r>
      <w:r>
        <w:rPr>
          <w:color w:val="231F20"/>
          <w:spacing w:val="-7"/>
          <w:w w:val="110"/>
        </w:rPr>
        <w:t> </w:t>
      </w:r>
      <w:r>
        <w:rPr>
          <w:color w:val="231F20"/>
          <w:w w:val="110"/>
        </w:rPr>
        <w:t>desestabilizar</w:t>
      </w:r>
      <w:r>
        <w:rPr>
          <w:color w:val="231F20"/>
          <w:spacing w:val="-7"/>
          <w:w w:val="110"/>
        </w:rPr>
        <w:t> </w:t>
      </w:r>
      <w:r>
        <w:rPr>
          <w:color w:val="231F20"/>
          <w:w w:val="110"/>
        </w:rPr>
        <w:t>y</w:t>
      </w:r>
      <w:r>
        <w:rPr>
          <w:color w:val="231F20"/>
          <w:spacing w:val="-7"/>
          <w:w w:val="110"/>
        </w:rPr>
        <w:t> </w:t>
      </w:r>
      <w:r>
        <w:rPr>
          <w:color w:val="231F20"/>
          <w:w w:val="110"/>
        </w:rPr>
        <w:t>eventualmente</w:t>
      </w:r>
      <w:r>
        <w:rPr>
          <w:color w:val="231F20"/>
          <w:spacing w:val="-7"/>
          <w:w w:val="110"/>
        </w:rPr>
        <w:t> </w:t>
      </w:r>
      <w:r>
        <w:rPr>
          <w:color w:val="231F20"/>
          <w:w w:val="110"/>
        </w:rPr>
        <w:t>derrocar</w:t>
      </w:r>
      <w:r>
        <w:rPr>
          <w:color w:val="231F20"/>
          <w:spacing w:val="-7"/>
          <w:w w:val="110"/>
        </w:rPr>
        <w:t> </w:t>
      </w:r>
      <w:r>
        <w:rPr>
          <w:color w:val="231F20"/>
          <w:w w:val="110"/>
        </w:rPr>
        <w:t>mediante</w:t>
      </w:r>
      <w:r>
        <w:rPr>
          <w:color w:val="231F20"/>
          <w:spacing w:val="-7"/>
          <w:w w:val="110"/>
        </w:rPr>
        <w:t> </w:t>
      </w:r>
      <w:r>
        <w:rPr>
          <w:color w:val="231F20"/>
          <w:w w:val="110"/>
        </w:rPr>
        <w:t>la</w:t>
      </w:r>
      <w:r>
        <w:rPr>
          <w:color w:val="231F20"/>
          <w:spacing w:val="-7"/>
          <w:w w:val="110"/>
        </w:rPr>
        <w:t> </w:t>
      </w:r>
      <w:r>
        <w:rPr>
          <w:color w:val="231F20"/>
          <w:w w:val="110"/>
        </w:rPr>
        <w:t>celebración</w:t>
      </w:r>
      <w:r>
        <w:rPr>
          <w:color w:val="231F20"/>
          <w:spacing w:val="-7"/>
          <w:w w:val="110"/>
        </w:rPr>
        <w:t> </w:t>
      </w:r>
      <w:r>
        <w:rPr>
          <w:color w:val="231F20"/>
          <w:w w:val="110"/>
        </w:rPr>
        <w:t>de elecciones anticipadas al recientemente reelecto (por un estrecho margen de votos) primer ministro de San Vicente y las Grananidas, Ralph Gonzálves. En la percepción de “la derecha” de ese país y de sus congéneres caribeños, estadunidenses, canadienses y británicos “la</w:t>
      </w:r>
      <w:r>
        <w:rPr>
          <w:color w:val="231F20"/>
          <w:spacing w:val="-29"/>
          <w:w w:val="110"/>
        </w:rPr>
        <w:t> </w:t>
      </w:r>
      <w:r>
        <w:rPr>
          <w:color w:val="231F20"/>
          <w:w w:val="110"/>
        </w:rPr>
        <w:t>contención”</w:t>
      </w:r>
      <w:r>
        <w:rPr>
          <w:color w:val="231F20"/>
          <w:spacing w:val="-29"/>
          <w:w w:val="110"/>
        </w:rPr>
        <w:t> </w:t>
      </w:r>
      <w:r>
        <w:rPr>
          <w:color w:val="231F20"/>
          <w:w w:val="110"/>
        </w:rPr>
        <w:t>de</w:t>
      </w:r>
      <w:r>
        <w:rPr>
          <w:color w:val="231F20"/>
          <w:spacing w:val="-29"/>
          <w:w w:val="110"/>
        </w:rPr>
        <w:t> </w:t>
      </w:r>
      <w:r>
        <w:rPr>
          <w:color w:val="231F20"/>
          <w:w w:val="110"/>
        </w:rPr>
        <w:t>Gonzálves</w:t>
      </w:r>
      <w:r>
        <w:rPr>
          <w:color w:val="231F20"/>
          <w:spacing w:val="-29"/>
          <w:w w:val="110"/>
        </w:rPr>
        <w:t> </w:t>
      </w:r>
      <w:r>
        <w:rPr>
          <w:color w:val="231F20"/>
          <w:w w:val="110"/>
        </w:rPr>
        <w:t>debilitará</w:t>
      </w:r>
      <w:r>
        <w:rPr>
          <w:color w:val="231F20"/>
          <w:spacing w:val="-29"/>
          <w:w w:val="110"/>
        </w:rPr>
        <w:t> </w:t>
      </w:r>
      <w:r>
        <w:rPr>
          <w:color w:val="231F20"/>
          <w:w w:val="110"/>
        </w:rPr>
        <w:t>a</w:t>
      </w:r>
      <w:r>
        <w:rPr>
          <w:color w:val="231F20"/>
          <w:spacing w:val="-29"/>
          <w:w w:val="110"/>
        </w:rPr>
        <w:t> </w:t>
      </w:r>
      <w:r>
        <w:rPr>
          <w:color w:val="231F20"/>
          <w:w w:val="110"/>
        </w:rPr>
        <w:t>las</w:t>
      </w:r>
      <w:r>
        <w:rPr>
          <w:color w:val="231F20"/>
          <w:spacing w:val="-29"/>
          <w:w w:val="110"/>
        </w:rPr>
        <w:t> </w:t>
      </w:r>
      <w:r>
        <w:rPr>
          <w:color w:val="231F20"/>
          <w:w w:val="110"/>
        </w:rPr>
        <w:t>fuerzas</w:t>
      </w:r>
      <w:r>
        <w:rPr>
          <w:color w:val="231F20"/>
          <w:spacing w:val="-29"/>
          <w:w w:val="110"/>
        </w:rPr>
        <w:t> </w:t>
      </w:r>
      <w:r>
        <w:rPr>
          <w:color w:val="231F20"/>
          <w:w w:val="110"/>
        </w:rPr>
        <w:t>sociales,</w:t>
      </w:r>
      <w:r>
        <w:rPr>
          <w:color w:val="231F20"/>
          <w:spacing w:val="-29"/>
          <w:w w:val="110"/>
        </w:rPr>
        <w:t> </w:t>
      </w:r>
      <w:r>
        <w:rPr>
          <w:color w:val="231F20"/>
          <w:w w:val="110"/>
        </w:rPr>
        <w:t>políticas e intelectuales, así como a los demás gobiernos de la caricom o de  la oeco que apoyan la presencia de Barbuda, de Dominica y de San Vicente y las Granadinas en el alba, al igual que la continuidad de los acuerdos</w:t>
      </w:r>
      <w:r>
        <w:rPr>
          <w:color w:val="231F20"/>
          <w:spacing w:val="33"/>
          <w:w w:val="110"/>
        </w:rPr>
        <w:t> </w:t>
      </w:r>
      <w:r>
        <w:rPr>
          <w:color w:val="231F20"/>
          <w:w w:val="110"/>
        </w:rPr>
        <w:t>alba-Caribe.</w:t>
      </w:r>
    </w:p>
    <w:p>
      <w:pPr>
        <w:pStyle w:val="BodyText"/>
        <w:spacing w:line="261" w:lineRule="auto"/>
        <w:ind w:left="100" w:right="116" w:firstLine="240"/>
        <w:jc w:val="both"/>
      </w:pPr>
      <w:r>
        <w:rPr>
          <w:color w:val="231F20"/>
          <w:w w:val="110"/>
        </w:rPr>
        <w:t>Sin</w:t>
      </w:r>
      <w:r>
        <w:rPr>
          <w:color w:val="231F20"/>
          <w:spacing w:val="-15"/>
          <w:w w:val="110"/>
        </w:rPr>
        <w:t> </w:t>
      </w:r>
      <w:r>
        <w:rPr>
          <w:color w:val="231F20"/>
          <w:w w:val="110"/>
        </w:rPr>
        <w:t>duda,</w:t>
      </w:r>
      <w:r>
        <w:rPr>
          <w:color w:val="231F20"/>
          <w:spacing w:val="-15"/>
          <w:w w:val="110"/>
        </w:rPr>
        <w:t> </w:t>
      </w:r>
      <w:r>
        <w:rPr>
          <w:color w:val="231F20"/>
          <w:w w:val="110"/>
        </w:rPr>
        <w:t>el</w:t>
      </w:r>
      <w:r>
        <w:rPr>
          <w:color w:val="231F20"/>
          <w:spacing w:val="-15"/>
          <w:w w:val="110"/>
        </w:rPr>
        <w:t> </w:t>
      </w:r>
      <w:r>
        <w:rPr>
          <w:color w:val="231F20"/>
          <w:w w:val="110"/>
        </w:rPr>
        <w:t>debilitamiento</w:t>
      </w:r>
      <w:r>
        <w:rPr>
          <w:color w:val="231F20"/>
          <w:spacing w:val="-15"/>
          <w:w w:val="110"/>
        </w:rPr>
        <w:t> </w:t>
      </w:r>
      <w:r>
        <w:rPr>
          <w:color w:val="231F20"/>
          <w:w w:val="110"/>
        </w:rPr>
        <w:t>de</w:t>
      </w:r>
      <w:r>
        <w:rPr>
          <w:color w:val="231F20"/>
          <w:spacing w:val="-15"/>
          <w:w w:val="110"/>
        </w:rPr>
        <w:t> </w:t>
      </w:r>
      <w:r>
        <w:rPr>
          <w:color w:val="231F20"/>
          <w:w w:val="110"/>
        </w:rPr>
        <w:t>esas</w:t>
      </w:r>
      <w:r>
        <w:rPr>
          <w:color w:val="231F20"/>
          <w:spacing w:val="-15"/>
          <w:w w:val="110"/>
        </w:rPr>
        <w:t> </w:t>
      </w:r>
      <w:r>
        <w:rPr>
          <w:color w:val="231F20"/>
          <w:w w:val="110"/>
        </w:rPr>
        <w:t>posiciones</w:t>
      </w:r>
      <w:r>
        <w:rPr>
          <w:color w:val="231F20"/>
          <w:spacing w:val="-15"/>
          <w:w w:val="110"/>
        </w:rPr>
        <w:t> </w:t>
      </w:r>
      <w:r>
        <w:rPr>
          <w:color w:val="231F20"/>
          <w:w w:val="110"/>
        </w:rPr>
        <w:t>facilitaría</w:t>
      </w:r>
      <w:r>
        <w:rPr>
          <w:color w:val="231F20"/>
          <w:spacing w:val="-15"/>
          <w:w w:val="110"/>
        </w:rPr>
        <w:t> </w:t>
      </w:r>
      <w:r>
        <w:rPr>
          <w:color w:val="231F20"/>
          <w:w w:val="110"/>
        </w:rPr>
        <w:t>el</w:t>
      </w:r>
      <w:r>
        <w:rPr>
          <w:color w:val="231F20"/>
          <w:spacing w:val="-15"/>
          <w:w w:val="110"/>
        </w:rPr>
        <w:t> </w:t>
      </w:r>
      <w:r>
        <w:rPr>
          <w:color w:val="231F20"/>
          <w:w w:val="110"/>
        </w:rPr>
        <w:t>cumpli- miento de todos los acuerdos “comerciales” y de la “seguridad mul- tidimensional” incluidos en el referido Compromiso de Bridgetown de 2010. A esto también contribuirá la casi segura victoria de un candidato presidencial haitiano anuente hacia el virtual</w:t>
      </w:r>
      <w:r>
        <w:rPr>
          <w:color w:val="231F20"/>
          <w:spacing w:val="-8"/>
          <w:w w:val="110"/>
        </w:rPr>
        <w:t> </w:t>
      </w:r>
      <w:r>
        <w:rPr>
          <w:color w:val="231F20"/>
          <w:w w:val="110"/>
        </w:rPr>
        <w:t>protectorado instalado en su país y hacia la política hemisférica estadunidense. </w:t>
      </w:r>
      <w:r>
        <w:rPr>
          <w:color w:val="231F20"/>
          <w:spacing w:val="-3"/>
          <w:w w:val="110"/>
        </w:rPr>
        <w:t>También </w:t>
      </w:r>
      <w:r>
        <w:rPr>
          <w:color w:val="231F20"/>
          <w:w w:val="110"/>
        </w:rPr>
        <w:t>el fortalecimiento de las (ahora inconstitucionales) aspi- raciones reeleccionistas del actual presidente dominicano, Leonel Fernández</w:t>
      </w:r>
      <w:r>
        <w:rPr>
          <w:color w:val="231F20"/>
          <w:spacing w:val="-16"/>
          <w:w w:val="110"/>
        </w:rPr>
        <w:t> </w:t>
      </w:r>
      <w:r>
        <w:rPr>
          <w:color w:val="231F20"/>
          <w:w w:val="110"/>
        </w:rPr>
        <w:t>(Isa</w:t>
      </w:r>
      <w:r>
        <w:rPr>
          <w:color w:val="231F20"/>
          <w:spacing w:val="-16"/>
          <w:w w:val="110"/>
        </w:rPr>
        <w:t> </w:t>
      </w:r>
      <w:r>
        <w:rPr>
          <w:color w:val="231F20"/>
          <w:w w:val="110"/>
        </w:rPr>
        <w:t>Conde,</w:t>
      </w:r>
      <w:r>
        <w:rPr>
          <w:color w:val="231F20"/>
          <w:spacing w:val="-16"/>
          <w:w w:val="110"/>
        </w:rPr>
        <w:t> </w:t>
      </w:r>
      <w:r>
        <w:rPr>
          <w:color w:val="231F20"/>
          <w:w w:val="110"/>
        </w:rPr>
        <w:t>2011),</w:t>
      </w:r>
      <w:r>
        <w:rPr>
          <w:color w:val="231F20"/>
          <w:spacing w:val="-16"/>
          <w:w w:val="110"/>
        </w:rPr>
        <w:t> </w:t>
      </w:r>
      <w:r>
        <w:rPr>
          <w:color w:val="231F20"/>
          <w:w w:val="110"/>
        </w:rPr>
        <w:t>quien,</w:t>
      </w:r>
      <w:r>
        <w:rPr>
          <w:color w:val="231F20"/>
          <w:spacing w:val="-16"/>
          <w:w w:val="110"/>
        </w:rPr>
        <w:t> </w:t>
      </w:r>
      <w:r>
        <w:rPr>
          <w:color w:val="231F20"/>
          <w:w w:val="110"/>
        </w:rPr>
        <w:t>como</w:t>
      </w:r>
      <w:r>
        <w:rPr>
          <w:color w:val="231F20"/>
          <w:spacing w:val="-16"/>
          <w:w w:val="110"/>
        </w:rPr>
        <w:t> </w:t>
      </w:r>
      <w:r>
        <w:rPr>
          <w:color w:val="231F20"/>
          <w:w w:val="110"/>
        </w:rPr>
        <w:t>ya</w:t>
      </w:r>
      <w:r>
        <w:rPr>
          <w:color w:val="231F20"/>
          <w:spacing w:val="-16"/>
          <w:w w:val="110"/>
        </w:rPr>
        <w:t> </w:t>
      </w:r>
      <w:r>
        <w:rPr>
          <w:color w:val="231F20"/>
          <w:w w:val="110"/>
        </w:rPr>
        <w:t>se</w:t>
      </w:r>
      <w:r>
        <w:rPr>
          <w:color w:val="231F20"/>
          <w:spacing w:val="-16"/>
          <w:w w:val="110"/>
        </w:rPr>
        <w:t> </w:t>
      </w:r>
      <w:r>
        <w:rPr>
          <w:color w:val="231F20"/>
          <w:w w:val="110"/>
        </w:rPr>
        <w:t>indicó,</w:t>
      </w:r>
      <w:r>
        <w:rPr>
          <w:color w:val="231F20"/>
          <w:spacing w:val="-16"/>
          <w:w w:val="110"/>
        </w:rPr>
        <w:t> </w:t>
      </w:r>
      <w:r>
        <w:rPr>
          <w:color w:val="231F20"/>
          <w:w w:val="110"/>
        </w:rPr>
        <w:t>ha</w:t>
      </w:r>
      <w:r>
        <w:rPr>
          <w:color w:val="231F20"/>
          <w:spacing w:val="-16"/>
          <w:w w:val="110"/>
        </w:rPr>
        <w:t> </w:t>
      </w:r>
      <w:r>
        <w:rPr>
          <w:color w:val="231F20"/>
          <w:w w:val="110"/>
        </w:rPr>
        <w:t>impulsado la participación de su país en el dr-cafta, en la carsi y en todos los acuerdos en materia de “seguridad” signado entre Estados Unidos   y la caricom dentro de los marcos de la ya mencionada Iniciativa para la Seguridad de la Cuenca del </w:t>
      </w:r>
      <w:r>
        <w:rPr>
          <w:color w:val="231F20"/>
          <w:spacing w:val="23"/>
          <w:w w:val="110"/>
        </w:rPr>
        <w:t> </w:t>
      </w:r>
      <w:r>
        <w:rPr>
          <w:color w:val="231F20"/>
          <w:w w:val="110"/>
        </w:rPr>
        <w:t>Caribe.</w:t>
      </w:r>
    </w:p>
    <w:p>
      <w:pPr>
        <w:pStyle w:val="BodyText"/>
        <w:spacing w:line="261" w:lineRule="auto"/>
        <w:ind w:left="100" w:right="117" w:firstLine="240"/>
        <w:jc w:val="both"/>
      </w:pPr>
      <w:r>
        <w:rPr>
          <w:color w:val="231F20"/>
          <w:w w:val="110"/>
        </w:rPr>
        <w:t>Sin descartar totalmente las posibilidades de una nueva intentona golpista</w:t>
      </w:r>
      <w:r>
        <w:rPr>
          <w:color w:val="231F20"/>
          <w:spacing w:val="-20"/>
          <w:w w:val="110"/>
        </w:rPr>
        <w:t> </w:t>
      </w:r>
      <w:r>
        <w:rPr>
          <w:color w:val="231F20"/>
          <w:w w:val="110"/>
        </w:rPr>
        <w:t>(estimulada</w:t>
      </w:r>
      <w:r>
        <w:rPr>
          <w:color w:val="231F20"/>
          <w:spacing w:val="-20"/>
          <w:w w:val="110"/>
        </w:rPr>
        <w:t> </w:t>
      </w:r>
      <w:r>
        <w:rPr>
          <w:color w:val="231F20"/>
          <w:w w:val="110"/>
        </w:rPr>
        <w:t>por</w:t>
      </w:r>
      <w:r>
        <w:rPr>
          <w:color w:val="231F20"/>
          <w:spacing w:val="-20"/>
          <w:w w:val="110"/>
        </w:rPr>
        <w:t> </w:t>
      </w:r>
      <w:r>
        <w:rPr>
          <w:color w:val="231F20"/>
          <w:w w:val="110"/>
        </w:rPr>
        <w:t>los</w:t>
      </w:r>
      <w:r>
        <w:rPr>
          <w:color w:val="231F20"/>
          <w:spacing w:val="-20"/>
          <w:w w:val="110"/>
        </w:rPr>
        <w:t> </w:t>
      </w:r>
      <w:r>
        <w:rPr>
          <w:color w:val="231F20"/>
          <w:w w:val="110"/>
        </w:rPr>
        <w:t>sectores</w:t>
      </w:r>
      <w:r>
        <w:rPr>
          <w:color w:val="231F20"/>
          <w:spacing w:val="-20"/>
          <w:w w:val="110"/>
        </w:rPr>
        <w:t> </w:t>
      </w:r>
      <w:r>
        <w:rPr>
          <w:color w:val="231F20"/>
          <w:w w:val="110"/>
        </w:rPr>
        <w:t>más</w:t>
      </w:r>
      <w:r>
        <w:rPr>
          <w:color w:val="231F20"/>
          <w:spacing w:val="-20"/>
          <w:w w:val="110"/>
        </w:rPr>
        <w:t> </w:t>
      </w:r>
      <w:r>
        <w:rPr>
          <w:color w:val="231F20"/>
          <w:w w:val="110"/>
        </w:rPr>
        <w:t>reaccionarios</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partidos Demócrata</w:t>
      </w:r>
      <w:r>
        <w:rPr>
          <w:color w:val="231F20"/>
          <w:spacing w:val="-19"/>
          <w:w w:val="110"/>
        </w:rPr>
        <w:t> </w:t>
      </w:r>
      <w:r>
        <w:rPr>
          <w:color w:val="231F20"/>
          <w:w w:val="110"/>
        </w:rPr>
        <w:t>y</w:t>
      </w:r>
      <w:r>
        <w:rPr>
          <w:color w:val="231F20"/>
          <w:spacing w:val="-19"/>
          <w:w w:val="110"/>
        </w:rPr>
        <w:t> </w:t>
      </w:r>
      <w:r>
        <w:rPr>
          <w:color w:val="231F20"/>
          <w:w w:val="110"/>
        </w:rPr>
        <w:t>Republicano</w:t>
      </w:r>
      <w:r>
        <w:rPr>
          <w:color w:val="231F20"/>
          <w:spacing w:val="-19"/>
          <w:w w:val="110"/>
        </w:rPr>
        <w:t> </w:t>
      </w:r>
      <w:r>
        <w:rPr>
          <w:color w:val="231F20"/>
          <w:w w:val="110"/>
        </w:rPr>
        <w:t>y</w:t>
      </w:r>
      <w:r>
        <w:rPr>
          <w:color w:val="231F20"/>
          <w:spacing w:val="-19"/>
          <w:w w:val="110"/>
        </w:rPr>
        <w:t> </w:t>
      </w:r>
      <w:r>
        <w:rPr>
          <w:color w:val="231F20"/>
          <w:w w:val="110"/>
        </w:rPr>
        <w:t>del</w:t>
      </w:r>
      <w:r>
        <w:rPr>
          <w:color w:val="231F20"/>
          <w:spacing w:val="-19"/>
          <w:w w:val="110"/>
        </w:rPr>
        <w:t> </w:t>
      </w:r>
      <w:r>
        <w:rPr>
          <w:color w:val="231F20"/>
          <w:w w:val="110"/>
        </w:rPr>
        <w:t>gobierno</w:t>
      </w:r>
      <w:r>
        <w:rPr>
          <w:color w:val="231F20"/>
          <w:spacing w:val="-19"/>
          <w:w w:val="110"/>
        </w:rPr>
        <w:t> </w:t>
      </w:r>
      <w:r>
        <w:rPr>
          <w:color w:val="231F20"/>
          <w:w w:val="110"/>
        </w:rPr>
        <w:t>permanente</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 dos), en lo que atañe a Venezuela las “estrategias inteligentes” de la administración</w:t>
      </w:r>
      <w:r>
        <w:rPr>
          <w:color w:val="231F20"/>
          <w:spacing w:val="-8"/>
          <w:w w:val="110"/>
        </w:rPr>
        <w:t> </w:t>
      </w:r>
      <w:r>
        <w:rPr>
          <w:color w:val="231F20"/>
          <w:w w:val="110"/>
        </w:rPr>
        <w:t>de</w:t>
      </w:r>
      <w:r>
        <w:rPr>
          <w:color w:val="231F20"/>
          <w:spacing w:val="-8"/>
          <w:w w:val="110"/>
        </w:rPr>
        <w:t> </w:t>
      </w:r>
      <w:r>
        <w:rPr>
          <w:color w:val="231F20"/>
          <w:w w:val="110"/>
        </w:rPr>
        <w:t>Barack</w:t>
      </w:r>
      <w:r>
        <w:rPr>
          <w:color w:val="231F20"/>
          <w:spacing w:val="-8"/>
          <w:w w:val="110"/>
        </w:rPr>
        <w:t> </w:t>
      </w:r>
      <w:r>
        <w:rPr>
          <w:color w:val="231F20"/>
          <w:w w:val="110"/>
        </w:rPr>
        <w:t>Obama,</w:t>
      </w:r>
      <w:r>
        <w:rPr>
          <w:color w:val="231F20"/>
          <w:spacing w:val="-8"/>
          <w:w w:val="110"/>
        </w:rPr>
        <w:t> </w:t>
      </w:r>
      <w:r>
        <w:rPr>
          <w:color w:val="231F20"/>
          <w:w w:val="110"/>
        </w:rPr>
        <w:t>en</w:t>
      </w:r>
      <w:r>
        <w:rPr>
          <w:color w:val="231F20"/>
          <w:spacing w:val="-8"/>
          <w:w w:val="110"/>
        </w:rPr>
        <w:t> </w:t>
      </w:r>
      <w:r>
        <w:rPr>
          <w:color w:val="231F20"/>
          <w:w w:val="110"/>
        </w:rPr>
        <w:t>lo</w:t>
      </w:r>
      <w:r>
        <w:rPr>
          <w:color w:val="231F20"/>
          <w:spacing w:val="-8"/>
          <w:w w:val="110"/>
        </w:rPr>
        <w:t> </w:t>
      </w:r>
      <w:r>
        <w:rPr>
          <w:color w:val="231F20"/>
          <w:w w:val="110"/>
        </w:rPr>
        <w:t>fundamental,</w:t>
      </w:r>
      <w:r>
        <w:rPr>
          <w:color w:val="231F20"/>
          <w:spacing w:val="-8"/>
          <w:w w:val="110"/>
        </w:rPr>
        <w:t> </w:t>
      </w:r>
      <w:r>
        <w:rPr>
          <w:color w:val="231F20"/>
          <w:w w:val="110"/>
        </w:rPr>
        <w:t>irán</w:t>
      </w:r>
      <w:r>
        <w:rPr>
          <w:color w:val="231F20"/>
          <w:spacing w:val="-8"/>
          <w:w w:val="110"/>
        </w:rPr>
        <w:t> </w:t>
      </w:r>
      <w:r>
        <w:rPr>
          <w:color w:val="231F20"/>
          <w:w w:val="110"/>
        </w:rPr>
        <w:t>dirigidas</w:t>
      </w:r>
      <w:r>
        <w:rPr>
          <w:color w:val="231F20"/>
          <w:spacing w:val="-8"/>
          <w:w w:val="110"/>
        </w:rPr>
        <w:t> </w:t>
      </w:r>
      <w:r>
        <w:rPr>
          <w:color w:val="231F20"/>
          <w:w w:val="110"/>
        </w:rPr>
        <w:t>a lograr la derrota del actual presidente Hugo Chávez en los comicios presidenciales que se efectuarán a fines de 2012. Para el cumpli- miento de ese propósito continuarán respaldando “diplomática” y financieramente a todas las fuerzas sociales y políticas opuestas a la Revolución</w:t>
      </w:r>
      <w:r>
        <w:rPr>
          <w:color w:val="231F20"/>
          <w:spacing w:val="-13"/>
          <w:w w:val="110"/>
        </w:rPr>
        <w:t> </w:t>
      </w:r>
      <w:r>
        <w:rPr>
          <w:color w:val="231F20"/>
          <w:w w:val="110"/>
        </w:rPr>
        <w:t>bolivariana.</w:t>
      </w:r>
      <w:r>
        <w:rPr>
          <w:color w:val="231F20"/>
          <w:spacing w:val="-13"/>
          <w:w w:val="110"/>
        </w:rPr>
        <w:t> </w:t>
      </w:r>
      <w:r>
        <w:rPr>
          <w:color w:val="231F20"/>
          <w:w w:val="110"/>
        </w:rPr>
        <w:t>Apoyados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65</w:t>
      </w:r>
      <w:r>
        <w:rPr>
          <w:color w:val="231F20"/>
          <w:spacing w:val="-13"/>
          <w:w w:val="110"/>
        </w:rPr>
        <w:t> </w:t>
      </w:r>
      <w:r>
        <w:rPr>
          <w:color w:val="231F20"/>
          <w:w w:val="110"/>
        </w:rPr>
        <w:t>diputados</w:t>
      </w:r>
      <w:r>
        <w:rPr>
          <w:color w:val="231F20"/>
          <w:spacing w:val="-13"/>
          <w:w w:val="110"/>
        </w:rPr>
        <w:t> </w:t>
      </w:r>
      <w:r>
        <w:rPr>
          <w:color w:val="231F20"/>
          <w:w w:val="110"/>
        </w:rPr>
        <w:t>con</w:t>
      </w:r>
      <w:r>
        <w:rPr>
          <w:color w:val="231F20"/>
          <w:spacing w:val="-13"/>
          <w:w w:val="110"/>
        </w:rPr>
        <w:t> </w:t>
      </w:r>
      <w:r>
        <w:rPr>
          <w:color w:val="231F20"/>
          <w:w w:val="110"/>
        </w:rPr>
        <w:t>que</w:t>
      </w:r>
      <w:r>
        <w:rPr>
          <w:color w:val="231F20"/>
          <w:spacing w:val="-13"/>
          <w:w w:val="110"/>
        </w:rPr>
        <w:t> </w:t>
      </w:r>
      <w:r>
        <w:rPr>
          <w:color w:val="231F20"/>
          <w:w w:val="110"/>
        </w:rPr>
        <w:t>ahora cuentan esas fuerzas políticas en la unicameral Asamblea Nacional </w:t>
      </w:r>
      <w:r>
        <w:rPr>
          <w:color w:val="231F20"/>
          <w:spacing w:val="-3"/>
          <w:w w:val="110"/>
        </w:rPr>
        <w:t>(Lander, </w:t>
      </w:r>
      <w:r>
        <w:rPr>
          <w:color w:val="231F20"/>
          <w:w w:val="110"/>
        </w:rPr>
        <w:t>2011), así como en su abrumador control sobre los </w:t>
      </w:r>
      <w:r>
        <w:rPr>
          <w:color w:val="231F20"/>
          <w:spacing w:val="20"/>
          <w:w w:val="110"/>
        </w:rPr>
        <w:t> </w:t>
      </w:r>
      <w:r>
        <w:rPr>
          <w:color w:val="231F20"/>
          <w:w w:val="110"/>
        </w:rPr>
        <w:t>medios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73" w:right="116"/>
        <w:jc w:val="right"/>
      </w:pPr>
      <w:r>
        <w:rPr>
          <w:color w:val="231F20"/>
          <w:w w:val="110"/>
        </w:rPr>
        <w:t>privados de desinformación masiva y en particular de</w:t>
      </w:r>
      <w:r>
        <w:rPr>
          <w:color w:val="231F20"/>
          <w:spacing w:val="30"/>
          <w:w w:val="110"/>
        </w:rPr>
        <w:t> </w:t>
      </w:r>
      <w:r>
        <w:rPr>
          <w:color w:val="231F20"/>
          <w:w w:val="110"/>
        </w:rPr>
        <w:t>la</w:t>
      </w:r>
      <w:r>
        <w:rPr>
          <w:color w:val="231F20"/>
          <w:spacing w:val="17"/>
          <w:w w:val="110"/>
        </w:rPr>
        <w:t> </w:t>
      </w:r>
      <w:r>
        <w:rPr>
          <w:color w:val="231F20"/>
          <w:w w:val="110"/>
        </w:rPr>
        <w:t>televisión</w:t>
      </w:r>
      <w:r>
        <w:rPr>
          <w:color w:val="231F20"/>
          <w:w w:val="105"/>
        </w:rPr>
        <w:t> </w:t>
      </w:r>
      <w:r>
        <w:rPr>
          <w:color w:val="231F20"/>
          <w:w w:val="110"/>
        </w:rPr>
        <w:t>(Weisbrot y Ruttenberg, 2011), el gobierno permanente</w:t>
      </w:r>
      <w:r>
        <w:rPr>
          <w:color w:val="231F20"/>
          <w:spacing w:val="36"/>
          <w:w w:val="110"/>
        </w:rPr>
        <w:t> </w:t>
      </w:r>
      <w:r>
        <w:rPr>
          <w:color w:val="231F20"/>
          <w:w w:val="110"/>
        </w:rPr>
        <w:t>y</w:t>
      </w:r>
      <w:r>
        <w:rPr>
          <w:color w:val="231F20"/>
          <w:spacing w:val="20"/>
          <w:w w:val="110"/>
        </w:rPr>
        <w:t> </w:t>
      </w:r>
      <w:r>
        <w:rPr>
          <w:color w:val="231F20"/>
          <w:w w:val="110"/>
        </w:rPr>
        <w:t>diversas</w:t>
      </w:r>
      <w:r>
        <w:rPr>
          <w:color w:val="231F20"/>
          <w:w w:val="103"/>
        </w:rPr>
        <w:t> </w:t>
      </w:r>
      <w:r>
        <w:rPr>
          <w:color w:val="231F20"/>
          <w:w w:val="110"/>
        </w:rPr>
        <w:t>agencias del aparato estatal estadunidense</w:t>
      </w:r>
      <w:r>
        <w:rPr>
          <w:color w:val="231F20"/>
          <w:spacing w:val="26"/>
          <w:w w:val="110"/>
        </w:rPr>
        <w:t> </w:t>
      </w:r>
      <w:r>
        <w:rPr>
          <w:color w:val="231F20"/>
          <w:w w:val="110"/>
        </w:rPr>
        <w:t>continuarán</w:t>
      </w:r>
      <w:r>
        <w:rPr>
          <w:color w:val="231F20"/>
          <w:spacing w:val="38"/>
          <w:w w:val="110"/>
        </w:rPr>
        <w:t> </w:t>
      </w:r>
      <w:r>
        <w:rPr>
          <w:color w:val="231F20"/>
          <w:w w:val="110"/>
        </w:rPr>
        <w:t>trabajando</w:t>
      </w:r>
      <w:r>
        <w:rPr>
          <w:color w:val="231F20"/>
          <w:w w:val="111"/>
        </w:rPr>
        <w:t> </w:t>
      </w:r>
      <w:r>
        <w:rPr>
          <w:color w:val="231F20"/>
          <w:w w:val="110"/>
        </w:rPr>
        <w:t>para</w:t>
      </w:r>
      <w:r>
        <w:rPr>
          <w:color w:val="231F20"/>
          <w:spacing w:val="-19"/>
          <w:w w:val="110"/>
        </w:rPr>
        <w:t> </w:t>
      </w:r>
      <w:r>
        <w:rPr>
          <w:color w:val="231F20"/>
          <w:w w:val="110"/>
        </w:rPr>
        <w:t>cooptar</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dirigentes,</w:t>
      </w:r>
      <w:r>
        <w:rPr>
          <w:color w:val="231F20"/>
          <w:spacing w:val="-19"/>
          <w:w w:val="110"/>
        </w:rPr>
        <w:t> </w:t>
      </w:r>
      <w:r>
        <w:rPr>
          <w:color w:val="231F20"/>
          <w:w w:val="110"/>
        </w:rPr>
        <w:t>los</w:t>
      </w:r>
      <w:r>
        <w:rPr>
          <w:color w:val="231F20"/>
          <w:spacing w:val="-19"/>
          <w:w w:val="110"/>
        </w:rPr>
        <w:t> </w:t>
      </w:r>
      <w:r>
        <w:rPr>
          <w:color w:val="231F20"/>
          <w:w w:val="110"/>
        </w:rPr>
        <w:t>diputados</w:t>
      </w:r>
      <w:r>
        <w:rPr>
          <w:color w:val="231F20"/>
          <w:spacing w:val="-19"/>
          <w:w w:val="110"/>
        </w:rPr>
        <w:t> </w:t>
      </w:r>
      <w:r>
        <w:rPr>
          <w:color w:val="231F20"/>
          <w:w w:val="110"/>
        </w:rPr>
        <w:t>y</w:t>
      </w:r>
      <w:r>
        <w:rPr>
          <w:color w:val="231F20"/>
          <w:spacing w:val="-19"/>
          <w:w w:val="110"/>
        </w:rPr>
        <w:t> </w:t>
      </w:r>
      <w:r>
        <w:rPr>
          <w:color w:val="231F20"/>
          <w:w w:val="110"/>
        </w:rPr>
        <w:t>las</w:t>
      </w:r>
      <w:r>
        <w:rPr>
          <w:color w:val="231F20"/>
          <w:spacing w:val="-19"/>
          <w:w w:val="110"/>
        </w:rPr>
        <w:t> </w:t>
      </w:r>
      <w:r>
        <w:rPr>
          <w:color w:val="231F20"/>
          <w:w w:val="110"/>
        </w:rPr>
        <w:t>bases</w:t>
      </w:r>
      <w:r>
        <w:rPr>
          <w:color w:val="231F20"/>
          <w:spacing w:val="-19"/>
          <w:w w:val="110"/>
        </w:rPr>
        <w:t> </w:t>
      </w:r>
      <w:r>
        <w:rPr>
          <w:color w:val="231F20"/>
          <w:w w:val="110"/>
        </w:rPr>
        <w:t>del</w:t>
      </w:r>
      <w:r>
        <w:rPr>
          <w:color w:val="231F20"/>
          <w:spacing w:val="-19"/>
          <w:w w:val="110"/>
        </w:rPr>
        <w:t> </w:t>
      </w:r>
      <w:r>
        <w:rPr>
          <w:color w:val="231F20"/>
          <w:w w:val="110"/>
        </w:rPr>
        <w:t>movimiento</w:t>
      </w:r>
      <w:r>
        <w:rPr>
          <w:color w:val="231F20"/>
          <w:w w:val="108"/>
        </w:rPr>
        <w:t> </w:t>
      </w:r>
      <w:r>
        <w:rPr>
          <w:color w:val="231F20"/>
          <w:w w:val="110"/>
        </w:rPr>
        <w:t>Patria para </w:t>
      </w:r>
      <w:r>
        <w:rPr>
          <w:color w:val="231F20"/>
          <w:spacing w:val="-4"/>
          <w:w w:val="110"/>
        </w:rPr>
        <w:t>Todos </w:t>
      </w:r>
      <w:r>
        <w:rPr>
          <w:color w:val="231F20"/>
          <w:w w:val="110"/>
        </w:rPr>
        <w:t>(ppt), al igual que para tratar de dividir</w:t>
      </w:r>
      <w:r>
        <w:rPr>
          <w:color w:val="231F20"/>
          <w:spacing w:val="37"/>
          <w:w w:val="110"/>
        </w:rPr>
        <w:t> </w:t>
      </w:r>
      <w:r>
        <w:rPr>
          <w:color w:val="231F20"/>
          <w:w w:val="110"/>
        </w:rPr>
        <w:t>y</w:t>
      </w:r>
      <w:r>
        <w:rPr>
          <w:color w:val="231F20"/>
          <w:spacing w:val="3"/>
          <w:w w:val="110"/>
        </w:rPr>
        <w:t> </w:t>
      </w:r>
      <w:r>
        <w:rPr>
          <w:color w:val="231F20"/>
          <w:w w:val="110"/>
        </w:rPr>
        <w:t>debilitar</w:t>
      </w:r>
      <w:r>
        <w:rPr>
          <w:color w:val="231F20"/>
          <w:w w:val="110"/>
        </w:rPr>
        <w:t> </w:t>
      </w:r>
      <w:r>
        <w:rPr>
          <w:color w:val="231F20"/>
          <w:w w:val="110"/>
        </w:rPr>
        <w:t>al Partido Socialista Unido de Venezuela (psuv). Con</w:t>
      </w:r>
      <w:r>
        <w:rPr>
          <w:color w:val="231F20"/>
          <w:spacing w:val="50"/>
          <w:w w:val="110"/>
        </w:rPr>
        <w:t> </w:t>
      </w:r>
      <w:r>
        <w:rPr>
          <w:color w:val="231F20"/>
          <w:w w:val="110"/>
        </w:rPr>
        <w:t>ello</w:t>
      </w:r>
      <w:r>
        <w:rPr>
          <w:color w:val="231F20"/>
          <w:spacing w:val="20"/>
          <w:w w:val="110"/>
        </w:rPr>
        <w:t> </w:t>
      </w:r>
      <w:r>
        <w:rPr>
          <w:color w:val="231F20"/>
          <w:w w:val="110"/>
        </w:rPr>
        <w:t>esperan</w:t>
      </w:r>
      <w:r>
        <w:rPr>
          <w:color w:val="231F20"/>
          <w:w w:val="111"/>
        </w:rPr>
        <w:t> </w:t>
      </w:r>
      <w:r>
        <w:rPr>
          <w:color w:val="231F20"/>
          <w:w w:val="110"/>
        </w:rPr>
        <w:t>entorpecer “la gobernabilidad democrática” de ese país, al</w:t>
      </w:r>
      <w:r>
        <w:rPr>
          <w:color w:val="231F20"/>
          <w:spacing w:val="10"/>
          <w:w w:val="110"/>
        </w:rPr>
        <w:t> </w:t>
      </w:r>
      <w:r>
        <w:rPr>
          <w:color w:val="231F20"/>
          <w:w w:val="110"/>
        </w:rPr>
        <w:t>igual</w:t>
      </w:r>
      <w:r>
        <w:rPr>
          <w:color w:val="231F20"/>
          <w:spacing w:val="1"/>
          <w:w w:val="110"/>
        </w:rPr>
        <w:t> </w:t>
      </w:r>
      <w:r>
        <w:rPr>
          <w:color w:val="231F20"/>
          <w:w w:val="110"/>
        </w:rPr>
        <w:t>que</w:t>
      </w:r>
      <w:r>
        <w:rPr>
          <w:color w:val="231F20"/>
          <w:w w:val="113"/>
        </w:rPr>
        <w:t> </w:t>
      </w:r>
      <w:r>
        <w:rPr>
          <w:color w:val="231F20"/>
          <w:w w:val="110"/>
        </w:rPr>
        <w:t>“contener” las transformaciones internas, así como la</w:t>
      </w:r>
      <w:r>
        <w:rPr>
          <w:color w:val="231F20"/>
          <w:spacing w:val="17"/>
          <w:w w:val="110"/>
        </w:rPr>
        <w:t> </w:t>
      </w:r>
      <w:r>
        <w:rPr>
          <w:color w:val="231F20"/>
          <w:w w:val="110"/>
        </w:rPr>
        <w:t>activa</w:t>
      </w:r>
      <w:r>
        <w:rPr>
          <w:color w:val="231F20"/>
          <w:spacing w:val="2"/>
          <w:w w:val="110"/>
        </w:rPr>
        <w:t> </w:t>
      </w:r>
      <w:r>
        <w:rPr>
          <w:color w:val="231F20"/>
          <w:w w:val="110"/>
        </w:rPr>
        <w:t>política</w:t>
      </w:r>
      <w:r>
        <w:rPr>
          <w:color w:val="231F20"/>
          <w:w w:val="108"/>
        </w:rPr>
        <w:t> </w:t>
      </w:r>
      <w:r>
        <w:rPr>
          <w:color w:val="231F20"/>
          <w:w w:val="110"/>
        </w:rPr>
        <w:t>internacional y hemisférica desplegada por el</w:t>
      </w:r>
      <w:r>
        <w:rPr>
          <w:color w:val="231F20"/>
          <w:spacing w:val="35"/>
          <w:w w:val="110"/>
        </w:rPr>
        <w:t> </w:t>
      </w:r>
      <w:r>
        <w:rPr>
          <w:color w:val="231F20"/>
          <w:w w:val="110"/>
        </w:rPr>
        <w:t>gobierno</w:t>
      </w:r>
      <w:r>
        <w:rPr>
          <w:color w:val="231F20"/>
          <w:spacing w:val="5"/>
          <w:w w:val="110"/>
        </w:rPr>
        <w:t> </w:t>
      </w:r>
      <w:r>
        <w:rPr>
          <w:color w:val="231F20"/>
          <w:w w:val="110"/>
        </w:rPr>
        <w:t>bolivariano.</w:t>
      </w:r>
      <w:r>
        <w:rPr>
          <w:color w:val="231F20"/>
          <w:w w:val="107"/>
        </w:rPr>
        <w:t> </w:t>
      </w:r>
      <w:r>
        <w:rPr>
          <w:color w:val="231F20"/>
          <w:w w:val="110"/>
        </w:rPr>
        <w:t>Paralelamente, las estrategias del gobierno temporal</w:t>
      </w:r>
      <w:r>
        <w:rPr>
          <w:color w:val="231F20"/>
          <w:spacing w:val="26"/>
          <w:w w:val="110"/>
        </w:rPr>
        <w:t> </w:t>
      </w:r>
      <w:r>
        <w:rPr>
          <w:color w:val="231F20"/>
          <w:w w:val="110"/>
        </w:rPr>
        <w:t>de</w:t>
      </w:r>
      <w:r>
        <w:rPr>
          <w:color w:val="231F20"/>
          <w:spacing w:val="31"/>
          <w:w w:val="110"/>
        </w:rPr>
        <w:t> </w:t>
      </w:r>
      <w:r>
        <w:rPr>
          <w:color w:val="231F20"/>
          <w:w w:val="110"/>
        </w:rPr>
        <w:t>Barack</w:t>
      </w:r>
      <w:r>
        <w:rPr>
          <w:color w:val="231F20"/>
          <w:w w:val="105"/>
        </w:rPr>
        <w:t> </w:t>
      </w:r>
      <w:r>
        <w:rPr>
          <w:color w:val="231F20"/>
          <w:w w:val="110"/>
        </w:rPr>
        <w:t>Obama</w:t>
      </w:r>
      <w:r>
        <w:rPr>
          <w:color w:val="231F20"/>
          <w:spacing w:val="-22"/>
          <w:w w:val="110"/>
        </w:rPr>
        <w:t> </w:t>
      </w:r>
      <w:r>
        <w:rPr>
          <w:color w:val="231F20"/>
          <w:w w:val="110"/>
        </w:rPr>
        <w:t>contra</w:t>
      </w:r>
      <w:r>
        <w:rPr>
          <w:color w:val="231F20"/>
          <w:spacing w:val="-22"/>
          <w:w w:val="110"/>
        </w:rPr>
        <w:t> </w:t>
      </w:r>
      <w:r>
        <w:rPr>
          <w:color w:val="231F20"/>
          <w:w w:val="110"/>
        </w:rPr>
        <w:t>la</w:t>
      </w:r>
      <w:r>
        <w:rPr>
          <w:color w:val="231F20"/>
          <w:spacing w:val="-22"/>
          <w:w w:val="110"/>
        </w:rPr>
        <w:t> </w:t>
      </w:r>
      <w:r>
        <w:rPr>
          <w:color w:val="231F20"/>
          <w:w w:val="110"/>
        </w:rPr>
        <w:t>Revolución</w:t>
      </w:r>
      <w:r>
        <w:rPr>
          <w:color w:val="231F20"/>
          <w:spacing w:val="-22"/>
          <w:w w:val="110"/>
        </w:rPr>
        <w:t> </w:t>
      </w:r>
      <w:r>
        <w:rPr>
          <w:color w:val="231F20"/>
          <w:w w:val="110"/>
        </w:rPr>
        <w:t>cubana</w:t>
      </w:r>
      <w:r>
        <w:rPr>
          <w:color w:val="231F20"/>
          <w:spacing w:val="-22"/>
          <w:w w:val="110"/>
        </w:rPr>
        <w:t> </w:t>
      </w:r>
      <w:r>
        <w:rPr>
          <w:color w:val="231F20"/>
          <w:w w:val="110"/>
        </w:rPr>
        <w:t>irán</w:t>
      </w:r>
      <w:r>
        <w:rPr>
          <w:color w:val="231F20"/>
          <w:spacing w:val="-22"/>
          <w:w w:val="110"/>
        </w:rPr>
        <w:t> </w:t>
      </w:r>
      <w:r>
        <w:rPr>
          <w:color w:val="231F20"/>
          <w:w w:val="110"/>
        </w:rPr>
        <w:t>dirigidas</w:t>
      </w:r>
      <w:r>
        <w:rPr>
          <w:color w:val="231F20"/>
          <w:spacing w:val="-22"/>
          <w:w w:val="110"/>
        </w:rPr>
        <w:t> </w:t>
      </w:r>
      <w:r>
        <w:rPr>
          <w:color w:val="231F20"/>
          <w:w w:val="110"/>
        </w:rPr>
        <w:t>a</w:t>
      </w:r>
      <w:r>
        <w:rPr>
          <w:color w:val="231F20"/>
          <w:spacing w:val="-22"/>
          <w:w w:val="110"/>
        </w:rPr>
        <w:t> </w:t>
      </w:r>
      <w:r>
        <w:rPr>
          <w:color w:val="231F20"/>
          <w:w w:val="110"/>
        </w:rPr>
        <w:t>“socavar</w:t>
      </w:r>
      <w:r>
        <w:rPr>
          <w:color w:val="231F20"/>
          <w:spacing w:val="-22"/>
          <w:w w:val="110"/>
        </w:rPr>
        <w:t> </w:t>
      </w:r>
      <w:r>
        <w:rPr>
          <w:color w:val="231F20"/>
          <w:w w:val="110"/>
        </w:rPr>
        <w:t>el</w:t>
      </w:r>
      <w:r>
        <w:rPr>
          <w:color w:val="231F20"/>
          <w:spacing w:val="-22"/>
          <w:w w:val="110"/>
        </w:rPr>
        <w:t> </w:t>
      </w:r>
      <w:r>
        <w:rPr>
          <w:color w:val="231F20"/>
          <w:w w:val="110"/>
        </w:rPr>
        <w:t>apoyo</w:t>
      </w:r>
      <w:r>
        <w:rPr>
          <w:color w:val="231F20"/>
          <w:w w:val="106"/>
        </w:rPr>
        <w:t> </w:t>
      </w:r>
      <w:r>
        <w:rPr>
          <w:color w:val="231F20"/>
          <w:w w:val="110"/>
        </w:rPr>
        <w:t>popular</w:t>
      </w:r>
      <w:r>
        <w:rPr>
          <w:color w:val="231F20"/>
          <w:spacing w:val="-14"/>
          <w:w w:val="110"/>
        </w:rPr>
        <w:t> </w:t>
      </w:r>
      <w:r>
        <w:rPr>
          <w:color w:val="231F20"/>
          <w:w w:val="110"/>
        </w:rPr>
        <w:t>al</w:t>
      </w:r>
      <w:r>
        <w:rPr>
          <w:color w:val="231F20"/>
          <w:spacing w:val="-14"/>
          <w:w w:val="110"/>
        </w:rPr>
        <w:t> </w:t>
      </w:r>
      <w:r>
        <w:rPr>
          <w:color w:val="231F20"/>
          <w:w w:val="110"/>
        </w:rPr>
        <w:t>gobierno</w:t>
      </w:r>
      <w:r>
        <w:rPr>
          <w:color w:val="231F20"/>
          <w:spacing w:val="-14"/>
          <w:w w:val="110"/>
        </w:rPr>
        <w:t> </w:t>
      </w:r>
      <w:r>
        <w:rPr>
          <w:color w:val="231F20"/>
          <w:w w:val="110"/>
        </w:rPr>
        <w:t>presidido</w:t>
      </w:r>
      <w:r>
        <w:rPr>
          <w:color w:val="231F20"/>
          <w:spacing w:val="-14"/>
          <w:w w:val="110"/>
        </w:rPr>
        <w:t> </w:t>
      </w:r>
      <w:r>
        <w:rPr>
          <w:color w:val="231F20"/>
          <w:w w:val="110"/>
        </w:rPr>
        <w:t>por</w:t>
      </w:r>
      <w:r>
        <w:rPr>
          <w:color w:val="231F20"/>
          <w:spacing w:val="-14"/>
          <w:w w:val="110"/>
        </w:rPr>
        <w:t> </w:t>
      </w:r>
      <w:r>
        <w:rPr>
          <w:color w:val="231F20"/>
          <w:w w:val="110"/>
        </w:rPr>
        <w:t>Raúl</w:t>
      </w:r>
      <w:r>
        <w:rPr>
          <w:color w:val="231F20"/>
          <w:spacing w:val="-14"/>
          <w:w w:val="110"/>
        </w:rPr>
        <w:t> </w:t>
      </w:r>
      <w:r>
        <w:rPr>
          <w:color w:val="231F20"/>
          <w:w w:val="110"/>
        </w:rPr>
        <w:t>Castro”</w:t>
      </w:r>
      <w:r>
        <w:rPr>
          <w:color w:val="231F20"/>
          <w:spacing w:val="-14"/>
          <w:w w:val="110"/>
        </w:rPr>
        <w:t> </w:t>
      </w:r>
      <w:r>
        <w:rPr>
          <w:color w:val="231F20"/>
          <w:w w:val="110"/>
        </w:rPr>
        <w:t>(Morales,</w:t>
      </w:r>
      <w:r>
        <w:rPr>
          <w:color w:val="231F20"/>
          <w:spacing w:val="-14"/>
          <w:w w:val="110"/>
        </w:rPr>
        <w:t> </w:t>
      </w:r>
      <w:r>
        <w:rPr>
          <w:color w:val="231F20"/>
          <w:w w:val="110"/>
        </w:rPr>
        <w:t>2009),</w:t>
      </w:r>
      <w:r>
        <w:rPr>
          <w:color w:val="231F20"/>
          <w:spacing w:val="-14"/>
          <w:w w:val="110"/>
        </w:rPr>
        <w:t> </w:t>
      </w:r>
      <w:r>
        <w:rPr>
          <w:color w:val="231F20"/>
          <w:w w:val="110"/>
        </w:rPr>
        <w:t>con-</w:t>
      </w:r>
      <w:r>
        <w:rPr>
          <w:color w:val="231F20"/>
          <w:w w:val="72"/>
        </w:rPr>
        <w:t> </w:t>
      </w:r>
      <w:r>
        <w:rPr>
          <w:color w:val="231F20"/>
          <w:w w:val="110"/>
        </w:rPr>
        <w:t>fiando en que, en el mediano plazo, la “transición</w:t>
      </w:r>
      <w:r>
        <w:rPr>
          <w:color w:val="231F20"/>
          <w:spacing w:val="-12"/>
          <w:w w:val="110"/>
        </w:rPr>
        <w:t> </w:t>
      </w:r>
      <w:r>
        <w:rPr>
          <w:color w:val="231F20"/>
          <w:w w:val="110"/>
        </w:rPr>
        <w:t>generacional”</w:t>
      </w:r>
      <w:r>
        <w:rPr>
          <w:color w:val="231F20"/>
          <w:spacing w:val="-2"/>
          <w:w w:val="110"/>
        </w:rPr>
        <w:t> </w:t>
      </w:r>
      <w:r>
        <w:rPr>
          <w:color w:val="231F20"/>
          <w:w w:val="110"/>
        </w:rPr>
        <w:t>que</w:t>
      </w:r>
      <w:r>
        <w:rPr>
          <w:color w:val="231F20"/>
          <w:w w:val="113"/>
        </w:rPr>
        <w:t> </w:t>
      </w:r>
      <w:r>
        <w:rPr>
          <w:color w:val="231F20"/>
          <w:w w:val="110"/>
        </w:rPr>
        <w:t>se</w:t>
      </w:r>
      <w:r>
        <w:rPr>
          <w:color w:val="231F20"/>
          <w:spacing w:val="-11"/>
          <w:w w:val="110"/>
        </w:rPr>
        <w:t> </w:t>
      </w:r>
      <w:r>
        <w:rPr>
          <w:color w:val="231F20"/>
          <w:w w:val="110"/>
        </w:rPr>
        <w:t>está</w:t>
      </w:r>
      <w:r>
        <w:rPr>
          <w:color w:val="231F20"/>
          <w:spacing w:val="-11"/>
          <w:w w:val="110"/>
        </w:rPr>
        <w:t> </w:t>
      </w:r>
      <w:r>
        <w:rPr>
          <w:color w:val="231F20"/>
          <w:w w:val="110"/>
        </w:rPr>
        <w:t>produciendo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sociedad</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sistema</w:t>
      </w:r>
      <w:r>
        <w:rPr>
          <w:color w:val="231F20"/>
          <w:spacing w:val="-11"/>
          <w:w w:val="110"/>
        </w:rPr>
        <w:t> </w:t>
      </w:r>
      <w:r>
        <w:rPr>
          <w:color w:val="231F20"/>
          <w:w w:val="110"/>
        </w:rPr>
        <w:t>político</w:t>
      </w:r>
      <w:r>
        <w:rPr>
          <w:color w:val="231F20"/>
          <w:spacing w:val="-11"/>
          <w:w w:val="110"/>
        </w:rPr>
        <w:t> </w:t>
      </w:r>
      <w:r>
        <w:rPr>
          <w:color w:val="231F20"/>
          <w:w w:val="110"/>
        </w:rPr>
        <w:t>cubano,</w:t>
      </w:r>
      <w:r>
        <w:rPr>
          <w:color w:val="231F20"/>
          <w:spacing w:val="-11"/>
          <w:w w:val="110"/>
        </w:rPr>
        <w:t> </w:t>
      </w:r>
      <w:r>
        <w:rPr>
          <w:color w:val="231F20"/>
          <w:w w:val="110"/>
        </w:rPr>
        <w:t>junto</w:t>
      </w:r>
      <w:r>
        <w:rPr>
          <w:color w:val="231F20"/>
          <w:w w:val="112"/>
        </w:rPr>
        <w:t> </w:t>
      </w:r>
      <w:r>
        <w:rPr>
          <w:color w:val="231F20"/>
          <w:w w:val="110"/>
        </w:rPr>
        <w:t>a</w:t>
      </w:r>
      <w:r>
        <w:rPr>
          <w:color w:val="231F20"/>
          <w:spacing w:val="-18"/>
          <w:w w:val="110"/>
        </w:rPr>
        <w:t> </w:t>
      </w:r>
      <w:r>
        <w:rPr>
          <w:color w:val="231F20"/>
          <w:w w:val="110"/>
        </w:rPr>
        <w:t>las</w:t>
      </w:r>
      <w:r>
        <w:rPr>
          <w:color w:val="231F20"/>
          <w:spacing w:val="-18"/>
          <w:w w:val="110"/>
        </w:rPr>
        <w:t> </w:t>
      </w:r>
      <w:r>
        <w:rPr>
          <w:color w:val="231F20"/>
          <w:w w:val="110"/>
        </w:rPr>
        <w:t>serias</w:t>
      </w:r>
      <w:r>
        <w:rPr>
          <w:color w:val="231F20"/>
          <w:spacing w:val="-18"/>
          <w:w w:val="110"/>
        </w:rPr>
        <w:t> </w:t>
      </w:r>
      <w:r>
        <w:rPr>
          <w:color w:val="231F20"/>
          <w:w w:val="110"/>
        </w:rPr>
        <w:t>dificultades</w:t>
      </w:r>
      <w:r>
        <w:rPr>
          <w:color w:val="231F20"/>
          <w:spacing w:val="-18"/>
          <w:w w:val="110"/>
        </w:rPr>
        <w:t> </w:t>
      </w:r>
      <w:r>
        <w:rPr>
          <w:color w:val="231F20"/>
          <w:w w:val="110"/>
        </w:rPr>
        <w:t>que</w:t>
      </w:r>
      <w:r>
        <w:rPr>
          <w:color w:val="231F20"/>
          <w:spacing w:val="-18"/>
          <w:w w:val="110"/>
        </w:rPr>
        <w:t> </w:t>
      </w:r>
      <w:r>
        <w:rPr>
          <w:color w:val="231F20"/>
          <w:w w:val="110"/>
        </w:rPr>
        <w:t>afectarán</w:t>
      </w:r>
      <w:r>
        <w:rPr>
          <w:color w:val="231F20"/>
          <w:spacing w:val="-18"/>
          <w:w w:val="110"/>
        </w:rPr>
        <w:t> </w:t>
      </w:r>
      <w:r>
        <w:rPr>
          <w:color w:val="231F20"/>
          <w:w w:val="110"/>
        </w:rPr>
        <w:t>a</w:t>
      </w:r>
      <w:r>
        <w:rPr>
          <w:color w:val="231F20"/>
          <w:spacing w:val="-18"/>
          <w:w w:val="110"/>
        </w:rPr>
        <w:t> </w:t>
      </w:r>
      <w:r>
        <w:rPr>
          <w:color w:val="231F20"/>
          <w:w w:val="110"/>
        </w:rPr>
        <w:t>su</w:t>
      </w:r>
      <w:r>
        <w:rPr>
          <w:color w:val="231F20"/>
          <w:spacing w:val="-18"/>
          <w:w w:val="110"/>
        </w:rPr>
        <w:t> </w:t>
      </w:r>
      <w:r>
        <w:rPr>
          <w:color w:val="231F20"/>
          <w:w w:val="110"/>
        </w:rPr>
        <w:t>socio-economía,</w:t>
      </w:r>
      <w:r>
        <w:rPr>
          <w:color w:val="231F20"/>
          <w:spacing w:val="-18"/>
          <w:w w:val="110"/>
        </w:rPr>
        <w:t> </w:t>
      </w:r>
      <w:r>
        <w:rPr>
          <w:color w:val="231F20"/>
          <w:w w:val="110"/>
        </w:rPr>
        <w:t>crearán</w:t>
      </w:r>
      <w:r>
        <w:rPr>
          <w:color w:val="231F20"/>
          <w:spacing w:val="-18"/>
          <w:w w:val="110"/>
        </w:rPr>
        <w:t> </w:t>
      </w:r>
      <w:r>
        <w:rPr>
          <w:color w:val="231F20"/>
          <w:w w:val="110"/>
        </w:rPr>
        <w:t>las</w:t>
      </w:r>
      <w:r>
        <w:rPr>
          <w:color w:val="231F20"/>
          <w:w w:val="100"/>
        </w:rPr>
        <w:t> </w:t>
      </w:r>
      <w:r>
        <w:rPr>
          <w:color w:val="231F20"/>
          <w:w w:val="110"/>
        </w:rPr>
        <w:t>condiciones</w:t>
      </w:r>
      <w:r>
        <w:rPr>
          <w:color w:val="231F20"/>
          <w:spacing w:val="-16"/>
          <w:w w:val="110"/>
        </w:rPr>
        <w:t> </w:t>
      </w:r>
      <w:r>
        <w:rPr>
          <w:color w:val="231F20"/>
          <w:w w:val="110"/>
        </w:rPr>
        <w:t>para</w:t>
      </w:r>
      <w:r>
        <w:rPr>
          <w:color w:val="231F20"/>
          <w:spacing w:val="-16"/>
          <w:w w:val="110"/>
        </w:rPr>
        <w:t> </w:t>
      </w:r>
      <w:r>
        <w:rPr>
          <w:color w:val="231F20"/>
          <w:w w:val="110"/>
        </w:rPr>
        <w:t>“el</w:t>
      </w:r>
      <w:r>
        <w:rPr>
          <w:color w:val="231F20"/>
          <w:spacing w:val="-16"/>
          <w:w w:val="110"/>
        </w:rPr>
        <w:t> </w:t>
      </w:r>
      <w:r>
        <w:rPr>
          <w:color w:val="231F20"/>
          <w:w w:val="110"/>
        </w:rPr>
        <w:t>cambio</w:t>
      </w:r>
      <w:r>
        <w:rPr>
          <w:color w:val="231F20"/>
          <w:spacing w:val="-16"/>
          <w:w w:val="110"/>
        </w:rPr>
        <w:t> </w:t>
      </w:r>
      <w:r>
        <w:rPr>
          <w:color w:val="231F20"/>
          <w:w w:val="110"/>
        </w:rPr>
        <w:t>del</w:t>
      </w:r>
      <w:r>
        <w:rPr>
          <w:color w:val="231F20"/>
          <w:spacing w:val="-16"/>
          <w:w w:val="110"/>
        </w:rPr>
        <w:t> </w:t>
      </w:r>
      <w:r>
        <w:rPr>
          <w:color w:val="231F20"/>
          <w:w w:val="110"/>
        </w:rPr>
        <w:t>régimen”</w:t>
      </w:r>
      <w:r>
        <w:rPr>
          <w:color w:val="231F20"/>
          <w:spacing w:val="-16"/>
          <w:w w:val="110"/>
        </w:rPr>
        <w:t> </w:t>
      </w:r>
      <w:r>
        <w:rPr>
          <w:color w:val="231F20"/>
          <w:w w:val="110"/>
        </w:rPr>
        <w:t>instaurado</w:t>
      </w:r>
      <w:r>
        <w:rPr>
          <w:color w:val="231F20"/>
          <w:spacing w:val="-16"/>
          <w:w w:val="110"/>
        </w:rPr>
        <w:t> </w:t>
      </w:r>
      <w:r>
        <w:rPr>
          <w:color w:val="231F20"/>
          <w:w w:val="110"/>
        </w:rPr>
        <w:t>en</w:t>
      </w:r>
      <w:r>
        <w:rPr>
          <w:color w:val="231F20"/>
          <w:spacing w:val="-16"/>
          <w:w w:val="110"/>
        </w:rPr>
        <w:t> </w:t>
      </w:r>
      <w:r>
        <w:rPr>
          <w:color w:val="231F20"/>
          <w:w w:val="110"/>
        </w:rPr>
        <w:t>ese</w:t>
      </w:r>
      <w:r>
        <w:rPr>
          <w:color w:val="231F20"/>
          <w:spacing w:val="-16"/>
          <w:w w:val="110"/>
        </w:rPr>
        <w:t> </w:t>
      </w:r>
      <w:r>
        <w:rPr>
          <w:color w:val="231F20"/>
          <w:w w:val="110"/>
        </w:rPr>
        <w:t>país.</w:t>
      </w:r>
      <w:r>
        <w:rPr>
          <w:color w:val="231F20"/>
          <w:spacing w:val="-16"/>
          <w:w w:val="110"/>
        </w:rPr>
        <w:t> </w:t>
      </w:r>
      <w:r>
        <w:rPr>
          <w:color w:val="231F20"/>
          <w:w w:val="110"/>
        </w:rPr>
        <w:t>Con</w:t>
      </w:r>
      <w:r>
        <w:rPr>
          <w:color w:val="231F20"/>
          <w:w w:val="110"/>
        </w:rPr>
        <w:t> </w:t>
      </w:r>
      <w:r>
        <w:rPr>
          <w:color w:val="231F20"/>
          <w:w w:val="110"/>
        </w:rPr>
        <w:t>tal fin, la actual administración estadunidense</w:t>
      </w:r>
      <w:r>
        <w:rPr>
          <w:color w:val="231F20"/>
          <w:spacing w:val="25"/>
          <w:w w:val="110"/>
        </w:rPr>
        <w:t> </w:t>
      </w:r>
      <w:r>
        <w:rPr>
          <w:color w:val="231F20"/>
          <w:w w:val="110"/>
        </w:rPr>
        <w:t>modificará</w:t>
      </w:r>
      <w:r>
        <w:rPr>
          <w:color w:val="231F20"/>
          <w:spacing w:val="31"/>
          <w:w w:val="110"/>
        </w:rPr>
        <w:t> </w:t>
      </w:r>
      <w:r>
        <w:rPr>
          <w:color w:val="231F20"/>
          <w:w w:val="110"/>
        </w:rPr>
        <w:t>algunos</w:t>
      </w:r>
      <w:r>
        <w:rPr>
          <w:color w:val="231F20"/>
          <w:w w:val="108"/>
        </w:rPr>
        <w:t> </w:t>
      </w:r>
      <w:r>
        <w:rPr>
          <w:color w:val="231F20"/>
          <w:w w:val="110"/>
        </w:rPr>
        <w:t>componentes secundarios de las “leyes del embargo” y</w:t>
      </w:r>
      <w:r>
        <w:rPr>
          <w:color w:val="231F20"/>
          <w:spacing w:val="10"/>
          <w:w w:val="110"/>
        </w:rPr>
        <w:t> </w:t>
      </w:r>
      <w:r>
        <w:rPr>
          <w:color w:val="231F20"/>
          <w:w w:val="110"/>
        </w:rPr>
        <w:t>utilizará</w:t>
      </w:r>
      <w:r>
        <w:rPr>
          <w:color w:val="231F20"/>
          <w:spacing w:val="8"/>
          <w:w w:val="110"/>
        </w:rPr>
        <w:t> </w:t>
      </w:r>
      <w:r>
        <w:rPr>
          <w:color w:val="231F20"/>
          <w:w w:val="110"/>
        </w:rPr>
        <w:t>los</w:t>
      </w:r>
      <w:r>
        <w:rPr>
          <w:color w:val="231F20"/>
          <w:w w:val="102"/>
        </w:rPr>
        <w:t> </w:t>
      </w:r>
      <w:r>
        <w:rPr>
          <w:color w:val="231F20"/>
          <w:w w:val="110"/>
        </w:rPr>
        <w:t>instrumentos del otrora llamado </w:t>
      </w:r>
      <w:r>
        <w:rPr>
          <w:i/>
          <w:color w:val="231F20"/>
          <w:w w:val="110"/>
        </w:rPr>
        <w:t>track dos </w:t>
      </w:r>
      <w:r>
        <w:rPr>
          <w:color w:val="231F20"/>
          <w:w w:val="110"/>
        </w:rPr>
        <w:t>de la política</w:t>
      </w:r>
      <w:r>
        <w:rPr>
          <w:color w:val="231F20"/>
          <w:spacing w:val="9"/>
          <w:w w:val="110"/>
        </w:rPr>
        <w:t> </w:t>
      </w:r>
      <w:r>
        <w:rPr>
          <w:color w:val="231F20"/>
          <w:w w:val="110"/>
        </w:rPr>
        <w:t>contra</w:t>
      </w:r>
      <w:r>
        <w:rPr>
          <w:color w:val="231F20"/>
          <w:spacing w:val="1"/>
          <w:w w:val="110"/>
        </w:rPr>
        <w:t> </w:t>
      </w:r>
      <w:r>
        <w:rPr>
          <w:color w:val="231F20"/>
          <w:w w:val="110"/>
        </w:rPr>
        <w:t>Cuba</w:t>
      </w:r>
      <w:r>
        <w:rPr>
          <w:color w:val="231F20"/>
          <w:w w:val="108"/>
        </w:rPr>
        <w:t> </w:t>
      </w:r>
      <w:r>
        <w:rPr>
          <w:color w:val="231F20"/>
          <w:w w:val="110"/>
        </w:rPr>
        <w:t>seguida por la administración de William Clinton; en</w:t>
      </w:r>
      <w:r>
        <w:rPr>
          <w:color w:val="231F20"/>
          <w:spacing w:val="29"/>
          <w:w w:val="110"/>
        </w:rPr>
        <w:t> </w:t>
      </w:r>
      <w:r>
        <w:rPr>
          <w:color w:val="231F20"/>
          <w:w w:val="110"/>
        </w:rPr>
        <w:t>particular,</w:t>
      </w:r>
      <w:r>
        <w:rPr>
          <w:color w:val="231F20"/>
          <w:spacing w:val="17"/>
          <w:w w:val="110"/>
        </w:rPr>
        <w:t> </w:t>
      </w:r>
      <w:r>
        <w:rPr>
          <w:color w:val="231F20"/>
          <w:w w:val="110"/>
        </w:rPr>
        <w:t>el</w:t>
      </w:r>
      <w:r>
        <w:rPr>
          <w:color w:val="231F20"/>
          <w:w w:val="108"/>
        </w:rPr>
        <w:t> </w:t>
      </w:r>
      <w:r>
        <w:rPr>
          <w:color w:val="231F20"/>
          <w:w w:val="110"/>
        </w:rPr>
        <w:t>llamado “intercambio pueblo a pueblo”. Como ha</w:t>
      </w:r>
      <w:r>
        <w:rPr>
          <w:color w:val="231F20"/>
          <w:spacing w:val="1"/>
          <w:w w:val="110"/>
        </w:rPr>
        <w:t> </w:t>
      </w:r>
      <w:r>
        <w:rPr>
          <w:color w:val="231F20"/>
          <w:w w:val="110"/>
        </w:rPr>
        <w:t>indicado,</w:t>
      </w:r>
      <w:r>
        <w:rPr>
          <w:color w:val="231F20"/>
          <w:spacing w:val="31"/>
          <w:w w:val="110"/>
        </w:rPr>
        <w:t> </w:t>
      </w:r>
      <w:r>
        <w:rPr>
          <w:color w:val="231F20"/>
          <w:w w:val="110"/>
        </w:rPr>
        <w:t>entre</w:t>
      </w:r>
      <w:r>
        <w:rPr>
          <w:color w:val="231F20"/>
          <w:w w:val="116"/>
        </w:rPr>
        <w:t> </w:t>
      </w:r>
      <w:r>
        <w:rPr>
          <w:color w:val="231F20"/>
          <w:w w:val="110"/>
        </w:rPr>
        <w:t>otros, Esteban Morales así lo indican las “nuevas” medidas</w:t>
      </w:r>
      <w:r>
        <w:rPr>
          <w:color w:val="231F20"/>
          <w:spacing w:val="12"/>
          <w:w w:val="110"/>
        </w:rPr>
        <w:t> </w:t>
      </w:r>
      <w:r>
        <w:rPr>
          <w:color w:val="231F20"/>
          <w:w w:val="110"/>
        </w:rPr>
        <w:t>tomadas</w:t>
      </w:r>
    </w:p>
    <w:p>
      <w:pPr>
        <w:pStyle w:val="BodyText"/>
        <w:ind w:left="100" w:right="25"/>
      </w:pPr>
      <w:r>
        <w:rPr>
          <w:color w:val="231F20"/>
          <w:w w:val="110"/>
        </w:rPr>
        <w:t>respecto a Cuba en enero de  2011.</w:t>
      </w:r>
    </w:p>
    <w:p>
      <w:pPr>
        <w:pStyle w:val="BodyText"/>
        <w:spacing w:line="261" w:lineRule="auto" w:before="20"/>
        <w:ind w:left="100" w:right="114" w:firstLine="240"/>
        <w:jc w:val="both"/>
      </w:pPr>
      <w:r>
        <w:rPr>
          <w:color w:val="231F20"/>
          <w:w w:val="110"/>
        </w:rPr>
        <w:t>De manera convergente y apoyándose en los gobiernos “social- demócratas” de Costa Rica y Guatemala o de la derecha centroame- ricana (Honduras y Panamá), el gobierno permanente y el actual gobierno temporal estadunidense, al igual que las fundaciones de  los partidos Demócrata y Republicano continuarán trabajando con vistas a unificar a todos los sectores políticos nicaragüenses opues- tos a la reelección del líder del Frente Sandinista de Liberación Nacional (fsln) y presidente de Nicaragua, Daniel Ortega, en los comicios presidenciales de fines de 2011. En caso de que no pueda impedirla, la actual administración estadunidense y sus principales aliados</w:t>
      </w:r>
      <w:r>
        <w:rPr>
          <w:color w:val="231F20"/>
          <w:spacing w:val="-33"/>
          <w:w w:val="110"/>
        </w:rPr>
        <w:t> </w:t>
      </w:r>
      <w:r>
        <w:rPr>
          <w:color w:val="231F20"/>
          <w:w w:val="110"/>
        </w:rPr>
        <w:t>hemisféricos</w:t>
      </w:r>
      <w:r>
        <w:rPr>
          <w:color w:val="231F20"/>
          <w:spacing w:val="-33"/>
          <w:w w:val="110"/>
        </w:rPr>
        <w:t> </w:t>
      </w:r>
      <w:r>
        <w:rPr>
          <w:color w:val="231F20"/>
          <w:w w:val="110"/>
        </w:rPr>
        <w:t>y</w:t>
      </w:r>
      <w:r>
        <w:rPr>
          <w:color w:val="231F20"/>
          <w:spacing w:val="-33"/>
          <w:w w:val="110"/>
        </w:rPr>
        <w:t> </w:t>
      </w:r>
      <w:r>
        <w:rPr>
          <w:color w:val="231F20"/>
          <w:w w:val="110"/>
        </w:rPr>
        <w:t>extrahemisféricos</w:t>
      </w:r>
      <w:r>
        <w:rPr>
          <w:color w:val="231F20"/>
          <w:spacing w:val="-33"/>
          <w:w w:val="110"/>
        </w:rPr>
        <w:t> </w:t>
      </w:r>
      <w:r>
        <w:rPr>
          <w:color w:val="231F20"/>
          <w:w w:val="110"/>
        </w:rPr>
        <w:t>amplificarán</w:t>
      </w:r>
      <w:r>
        <w:rPr>
          <w:color w:val="231F20"/>
          <w:spacing w:val="-33"/>
          <w:w w:val="110"/>
        </w:rPr>
        <w:t> </w:t>
      </w:r>
      <w:r>
        <w:rPr>
          <w:color w:val="231F20"/>
          <w:w w:val="110"/>
        </w:rPr>
        <w:t>sus</w:t>
      </w:r>
      <w:r>
        <w:rPr>
          <w:color w:val="231F20"/>
          <w:spacing w:val="-33"/>
          <w:w w:val="110"/>
        </w:rPr>
        <w:t> </w:t>
      </w:r>
      <w:r>
        <w:rPr>
          <w:color w:val="231F20"/>
          <w:w w:val="110"/>
        </w:rPr>
        <w:t>acusaciones de inconstitucionalidad y fraude electoral, así como las presiones económicas con el propósito de aislar al gobierno nicaragüense, al menos, dentro de los principales órganos del Sistema de Integración Centroamericana (sica). Éstos seguirán cada vez más debilitados</w:t>
      </w:r>
      <w:r>
        <w:rPr>
          <w:color w:val="231F20"/>
          <w:spacing w:val="-36"/>
          <w:w w:val="110"/>
        </w:rPr>
        <w:t> </w:t>
      </w:r>
      <w:r>
        <w:rPr>
          <w:color w:val="231F20"/>
          <w:w w:val="110"/>
        </w:rPr>
        <w:t>por todos los compromisos en los campos de “la seguridad” y el  </w:t>
      </w:r>
      <w:r>
        <w:rPr>
          <w:color w:val="231F20"/>
          <w:spacing w:val="35"/>
          <w:w w:val="110"/>
        </w:rPr>
        <w:t> </w:t>
      </w:r>
      <w:r>
        <w:rPr>
          <w:color w:val="231F20"/>
          <w:w w:val="110"/>
        </w:rPr>
        <w:t>“libre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comercio” que han asumido con Estados Unidos la mayoría de los gobiernos que lo integran, incluido el gobierno salvadoreño presidi- do por Mauricio Funes. Seguramente, esos vínculos se fortalecerán durante la anunciada visita que realizará Obama a ese país en marzo de 2011 (Obama, 2011); ya que —a decir del actual canciller salva- doreño— esa visita permitirá “sellar una alianza estratégica” con</w:t>
      </w:r>
      <w:r>
        <w:rPr>
          <w:color w:val="231F20"/>
          <w:spacing w:val="-22"/>
          <w:w w:val="110"/>
        </w:rPr>
        <w:t> </w:t>
      </w:r>
      <w:r>
        <w:rPr>
          <w:color w:val="231F20"/>
          <w:w w:val="110"/>
        </w:rPr>
        <w:t>los Estados Unidos, en las áreas de seguridad regional, combate a la pobreza, comercio, migración y energía” (Pineda,</w:t>
      </w:r>
      <w:r>
        <w:rPr>
          <w:color w:val="231F20"/>
          <w:spacing w:val="25"/>
          <w:w w:val="110"/>
        </w:rPr>
        <w:t> </w:t>
      </w:r>
      <w:r>
        <w:rPr>
          <w:color w:val="231F20"/>
          <w:w w:val="110"/>
        </w:rPr>
        <w:t>2011).</w:t>
      </w:r>
    </w:p>
    <w:p>
      <w:pPr>
        <w:pStyle w:val="BodyText"/>
        <w:spacing w:line="261" w:lineRule="auto"/>
        <w:ind w:left="100" w:right="115" w:firstLine="240"/>
        <w:jc w:val="both"/>
      </w:pPr>
      <w:r>
        <w:rPr>
          <w:color w:val="231F20"/>
          <w:w w:val="110"/>
        </w:rPr>
        <w:t>Por otra parte, los gobiernos permanente y temporal de Estados Unidos continuarán conspirando con todas las fuerzas sociales y políticas, incluidas las provenientes de ciertos sectores populares, opuestas a la “revolución democrática y cultural” que se despliega en Bolivia, así como a “la revolución ciudadana” que se desarrolla en </w:t>
      </w:r>
      <w:r>
        <w:rPr>
          <w:color w:val="231F20"/>
          <w:spacing w:val="-3"/>
          <w:w w:val="110"/>
        </w:rPr>
        <w:t>Ecuador, </w:t>
      </w:r>
      <w:r>
        <w:rPr>
          <w:color w:val="231F20"/>
          <w:w w:val="110"/>
        </w:rPr>
        <w:t>bajo las presidencias de Evo Morales y Rafael Correa, respectivamente, con el propósito de tratar de evitar la reelección  de estos últimos en los comicios presidenciales de 2013 y de impe- dir que las fuerzas que apoyan al primero impulsen una reforma constitucional que permita su reelección para un nuevo periodo de gobierno (Antunes,</w:t>
      </w:r>
      <w:r>
        <w:rPr>
          <w:color w:val="231F20"/>
          <w:spacing w:val="24"/>
          <w:w w:val="110"/>
        </w:rPr>
        <w:t> </w:t>
      </w:r>
      <w:r>
        <w:rPr>
          <w:color w:val="231F20"/>
          <w:w w:val="110"/>
        </w:rPr>
        <w:t>2010).</w:t>
      </w:r>
    </w:p>
    <w:p>
      <w:pPr>
        <w:pStyle w:val="BodyText"/>
        <w:spacing w:line="261" w:lineRule="auto"/>
        <w:ind w:left="100" w:right="117" w:firstLine="240"/>
        <w:jc w:val="both"/>
      </w:pPr>
      <w:r>
        <w:rPr>
          <w:color w:val="231F20"/>
          <w:w w:val="110"/>
        </w:rPr>
        <w:t>Como parte de sus acciones contra esos procesos reformadores revolucionarios,</w:t>
      </w:r>
      <w:r>
        <w:rPr>
          <w:color w:val="231F20"/>
          <w:spacing w:val="-29"/>
          <w:w w:val="110"/>
        </w:rPr>
        <w:t> </w:t>
      </w:r>
      <w:r>
        <w:rPr>
          <w:color w:val="231F20"/>
          <w:w w:val="110"/>
        </w:rPr>
        <w:t>así</w:t>
      </w:r>
      <w:r>
        <w:rPr>
          <w:color w:val="231F20"/>
          <w:spacing w:val="-29"/>
          <w:w w:val="110"/>
        </w:rPr>
        <w:t> </w:t>
      </w:r>
      <w:r>
        <w:rPr>
          <w:color w:val="231F20"/>
          <w:w w:val="110"/>
        </w:rPr>
        <w:t>como</w:t>
      </w:r>
      <w:r>
        <w:rPr>
          <w:color w:val="231F20"/>
          <w:spacing w:val="-29"/>
          <w:w w:val="110"/>
        </w:rPr>
        <w:t> </w:t>
      </w:r>
      <w:r>
        <w:rPr>
          <w:color w:val="231F20"/>
          <w:w w:val="110"/>
        </w:rPr>
        <w:t>con</w:t>
      </w:r>
      <w:r>
        <w:rPr>
          <w:color w:val="231F20"/>
          <w:spacing w:val="-29"/>
          <w:w w:val="110"/>
        </w:rPr>
        <w:t> </w:t>
      </w:r>
      <w:r>
        <w:rPr>
          <w:color w:val="231F20"/>
          <w:w w:val="110"/>
        </w:rPr>
        <w:t>vistas</w:t>
      </w:r>
      <w:r>
        <w:rPr>
          <w:color w:val="231F20"/>
          <w:spacing w:val="-29"/>
          <w:w w:val="110"/>
        </w:rPr>
        <w:t> </w:t>
      </w:r>
      <w:r>
        <w:rPr>
          <w:color w:val="231F20"/>
          <w:w w:val="110"/>
        </w:rPr>
        <w:t>a</w:t>
      </w:r>
      <w:r>
        <w:rPr>
          <w:color w:val="231F20"/>
          <w:spacing w:val="-29"/>
          <w:w w:val="110"/>
        </w:rPr>
        <w:t> </w:t>
      </w:r>
      <w:r>
        <w:rPr>
          <w:color w:val="231F20"/>
          <w:w w:val="110"/>
        </w:rPr>
        <w:t>preservar</w:t>
      </w:r>
      <w:r>
        <w:rPr>
          <w:color w:val="231F20"/>
          <w:spacing w:val="-29"/>
          <w:w w:val="110"/>
        </w:rPr>
        <w:t> </w:t>
      </w:r>
      <w:r>
        <w:rPr>
          <w:color w:val="231F20"/>
          <w:w w:val="110"/>
        </w:rPr>
        <w:t>sus</w:t>
      </w:r>
      <w:r>
        <w:rPr>
          <w:color w:val="231F20"/>
          <w:spacing w:val="-29"/>
          <w:w w:val="110"/>
        </w:rPr>
        <w:t> </w:t>
      </w:r>
      <w:r>
        <w:rPr>
          <w:color w:val="231F20"/>
          <w:w w:val="110"/>
        </w:rPr>
        <w:t>intereses</w:t>
      </w:r>
      <w:r>
        <w:rPr>
          <w:color w:val="231F20"/>
          <w:spacing w:val="-29"/>
          <w:w w:val="110"/>
        </w:rPr>
        <w:t> </w:t>
      </w:r>
      <w:r>
        <w:rPr>
          <w:color w:val="231F20"/>
          <w:w w:val="110"/>
        </w:rPr>
        <w:t>estratégi- cos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región</w:t>
      </w:r>
      <w:r>
        <w:rPr>
          <w:color w:val="231F20"/>
          <w:spacing w:val="-12"/>
          <w:w w:val="110"/>
        </w:rPr>
        <w:t> </w:t>
      </w:r>
      <w:r>
        <w:rPr>
          <w:color w:val="231F20"/>
          <w:w w:val="110"/>
        </w:rPr>
        <w:t>andino-amazónica</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llamado</w:t>
      </w:r>
      <w:r>
        <w:rPr>
          <w:color w:val="231F20"/>
          <w:spacing w:val="-12"/>
          <w:w w:val="110"/>
        </w:rPr>
        <w:t> </w:t>
      </w:r>
      <w:r>
        <w:rPr>
          <w:color w:val="231F20"/>
          <w:w w:val="110"/>
        </w:rPr>
        <w:t>“eje</w:t>
      </w:r>
      <w:r>
        <w:rPr>
          <w:color w:val="231F20"/>
          <w:spacing w:val="-12"/>
          <w:w w:val="110"/>
        </w:rPr>
        <w:t> </w:t>
      </w:r>
      <w:r>
        <w:rPr>
          <w:color w:val="231F20"/>
          <w:w w:val="110"/>
        </w:rPr>
        <w:t>del</w:t>
      </w:r>
      <w:r>
        <w:rPr>
          <w:color w:val="231F20"/>
          <w:spacing w:val="-12"/>
          <w:w w:val="110"/>
        </w:rPr>
        <w:t> </w:t>
      </w:r>
      <w:r>
        <w:rPr>
          <w:color w:val="231F20"/>
          <w:w w:val="110"/>
        </w:rPr>
        <w:t>Pacífico”, los poderes fácticos, el poderoso aparato estatal y el gobierno tem- poral de Barack Obama respaldarán a los candidatos de la derecha en las elecciones presidenciales que se realizarán en Perú en abril</w:t>
      </w:r>
      <w:r>
        <w:rPr>
          <w:color w:val="231F20"/>
          <w:spacing w:val="-26"/>
          <w:w w:val="110"/>
        </w:rPr>
        <w:t> </w:t>
      </w:r>
      <w:r>
        <w:rPr>
          <w:color w:val="231F20"/>
          <w:w w:val="110"/>
        </w:rPr>
        <w:t>de 2011; tanto para impedir la victoria del candidato del Partido</w:t>
      </w:r>
      <w:r>
        <w:rPr>
          <w:color w:val="231F20"/>
          <w:spacing w:val="-14"/>
          <w:w w:val="110"/>
        </w:rPr>
        <w:t> </w:t>
      </w:r>
      <w:r>
        <w:rPr>
          <w:color w:val="231F20"/>
          <w:w w:val="110"/>
        </w:rPr>
        <w:t>Nacio- nalista, Ollanta Humala, como para entorpecer el funcionamiento</w:t>
      </w:r>
      <w:r>
        <w:rPr>
          <w:color w:val="231F20"/>
          <w:spacing w:val="-16"/>
          <w:w w:val="110"/>
        </w:rPr>
        <w:t> </w:t>
      </w:r>
      <w:r>
        <w:rPr>
          <w:color w:val="231F20"/>
          <w:w w:val="110"/>
        </w:rPr>
        <w:t>de la unasur. En este último empeño la antes referida administración estadunidense tratará de cooptar al presidente surinamés, ex coronel Désiré Bouterse (2010-2014), así como al presidente que</w:t>
      </w:r>
      <w:r>
        <w:rPr>
          <w:color w:val="231F20"/>
          <w:spacing w:val="-5"/>
          <w:w w:val="110"/>
        </w:rPr>
        <w:t> </w:t>
      </w:r>
      <w:r>
        <w:rPr>
          <w:color w:val="231F20"/>
          <w:w w:val="110"/>
        </w:rPr>
        <w:t>finalmente resulte electo en los comicios presidenciales que se realizarán en la Guyana en agosto de</w:t>
      </w:r>
      <w:r>
        <w:rPr>
          <w:color w:val="231F20"/>
          <w:spacing w:val="-5"/>
          <w:w w:val="110"/>
        </w:rPr>
        <w:t> </w:t>
      </w:r>
      <w:r>
        <w:rPr>
          <w:color w:val="231F20"/>
          <w:w w:val="110"/>
        </w:rPr>
        <w:t>2011.</w:t>
      </w:r>
    </w:p>
    <w:p>
      <w:pPr>
        <w:pStyle w:val="BodyText"/>
        <w:spacing w:line="261" w:lineRule="auto"/>
        <w:ind w:left="100" w:right="117" w:firstLine="240"/>
        <w:jc w:val="both"/>
      </w:pPr>
      <w:r>
        <w:rPr>
          <w:color w:val="231F20"/>
          <w:w w:val="110"/>
        </w:rPr>
        <w:t>A</w:t>
      </w:r>
      <w:r>
        <w:rPr>
          <w:color w:val="231F20"/>
          <w:spacing w:val="-19"/>
          <w:w w:val="110"/>
        </w:rPr>
        <w:t> </w:t>
      </w:r>
      <w:r>
        <w:rPr>
          <w:color w:val="231F20"/>
          <w:w w:val="110"/>
        </w:rPr>
        <w:t>pesar</w:t>
      </w:r>
      <w:r>
        <w:rPr>
          <w:color w:val="231F20"/>
          <w:spacing w:val="-19"/>
          <w:w w:val="110"/>
        </w:rPr>
        <w:t> </w:t>
      </w:r>
      <w:r>
        <w:rPr>
          <w:color w:val="231F20"/>
          <w:w w:val="110"/>
        </w:rPr>
        <w:t>del</w:t>
      </w:r>
      <w:r>
        <w:rPr>
          <w:color w:val="231F20"/>
          <w:spacing w:val="-19"/>
          <w:w w:val="110"/>
        </w:rPr>
        <w:t> </w:t>
      </w:r>
      <w:r>
        <w:rPr>
          <w:color w:val="231F20"/>
          <w:w w:val="110"/>
        </w:rPr>
        <w:t>litigio</w:t>
      </w:r>
      <w:r>
        <w:rPr>
          <w:color w:val="231F20"/>
          <w:spacing w:val="-19"/>
          <w:w w:val="110"/>
        </w:rPr>
        <w:t> </w:t>
      </w:r>
      <w:r>
        <w:rPr>
          <w:color w:val="231F20"/>
          <w:w w:val="110"/>
        </w:rPr>
        <w:t>todavía</w:t>
      </w:r>
      <w:r>
        <w:rPr>
          <w:color w:val="231F20"/>
          <w:spacing w:val="-19"/>
          <w:w w:val="110"/>
        </w:rPr>
        <w:t> </w:t>
      </w:r>
      <w:r>
        <w:rPr>
          <w:color w:val="231F20"/>
          <w:w w:val="110"/>
        </w:rPr>
        <w:t>existente</w:t>
      </w:r>
      <w:r>
        <w:rPr>
          <w:color w:val="231F20"/>
          <w:spacing w:val="-19"/>
          <w:w w:val="110"/>
        </w:rPr>
        <w:t> </w:t>
      </w:r>
      <w:r>
        <w:rPr>
          <w:color w:val="231F20"/>
          <w:w w:val="110"/>
        </w:rPr>
        <w:t>a</w:t>
      </w:r>
      <w:r>
        <w:rPr>
          <w:color w:val="231F20"/>
          <w:spacing w:val="-19"/>
          <w:w w:val="110"/>
        </w:rPr>
        <w:t> </w:t>
      </w:r>
      <w:r>
        <w:rPr>
          <w:color w:val="231F20"/>
          <w:w w:val="110"/>
        </w:rPr>
        <w:t>causa</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no</w:t>
      </w:r>
      <w:r>
        <w:rPr>
          <w:color w:val="231F20"/>
          <w:spacing w:val="-19"/>
          <w:w w:val="110"/>
        </w:rPr>
        <w:t> </w:t>
      </w:r>
      <w:r>
        <w:rPr>
          <w:color w:val="231F20"/>
          <w:w w:val="110"/>
        </w:rPr>
        <w:t>ratificación</w:t>
      </w:r>
      <w:r>
        <w:rPr>
          <w:color w:val="231F20"/>
          <w:spacing w:val="-19"/>
          <w:w w:val="110"/>
        </w:rPr>
        <w:t> </w:t>
      </w:r>
      <w:r>
        <w:rPr>
          <w:color w:val="231F20"/>
          <w:w w:val="110"/>
        </w:rPr>
        <w:t>por parte del senado estadunidense del </w:t>
      </w:r>
      <w:r>
        <w:rPr>
          <w:color w:val="231F20"/>
          <w:w w:val="120"/>
        </w:rPr>
        <w:t>tlc, </w:t>
      </w:r>
      <w:r>
        <w:rPr>
          <w:color w:val="231F20"/>
          <w:w w:val="110"/>
        </w:rPr>
        <w:t>de las dificultades político- jurídicas que se le han presentado al actual gobierno de Colombia para ratificar el referido Acuerdo Complementario para la Coopera- ción</w:t>
      </w:r>
      <w:r>
        <w:rPr>
          <w:color w:val="231F20"/>
          <w:spacing w:val="-28"/>
          <w:w w:val="110"/>
        </w:rPr>
        <w:t> </w:t>
      </w:r>
      <w:r>
        <w:rPr>
          <w:color w:val="231F20"/>
          <w:w w:val="110"/>
        </w:rPr>
        <w:t>y</w:t>
      </w:r>
      <w:r>
        <w:rPr>
          <w:color w:val="231F20"/>
          <w:spacing w:val="-28"/>
          <w:w w:val="110"/>
        </w:rPr>
        <w:t> </w:t>
      </w:r>
      <w:r>
        <w:rPr>
          <w:color w:val="231F20"/>
          <w:w w:val="110"/>
        </w:rPr>
        <w:t>Asistencia</w:t>
      </w:r>
      <w:r>
        <w:rPr>
          <w:color w:val="231F20"/>
          <w:spacing w:val="-28"/>
          <w:w w:val="110"/>
        </w:rPr>
        <w:t> </w:t>
      </w:r>
      <w:r>
        <w:rPr>
          <w:color w:val="231F20"/>
          <w:w w:val="110"/>
        </w:rPr>
        <w:t>Técnica</w:t>
      </w:r>
      <w:r>
        <w:rPr>
          <w:color w:val="231F20"/>
          <w:spacing w:val="-28"/>
          <w:w w:val="110"/>
        </w:rPr>
        <w:t> </w:t>
      </w:r>
      <w:r>
        <w:rPr>
          <w:color w:val="231F20"/>
          <w:w w:val="110"/>
        </w:rPr>
        <w:t>en</w:t>
      </w:r>
      <w:r>
        <w:rPr>
          <w:color w:val="231F20"/>
          <w:spacing w:val="-28"/>
          <w:w w:val="110"/>
        </w:rPr>
        <w:t> </w:t>
      </w:r>
      <w:r>
        <w:rPr>
          <w:color w:val="231F20"/>
          <w:w w:val="110"/>
        </w:rPr>
        <w:t>Defensa</w:t>
      </w:r>
      <w:r>
        <w:rPr>
          <w:color w:val="231F20"/>
          <w:spacing w:val="-28"/>
          <w:w w:val="110"/>
        </w:rPr>
        <w:t> </w:t>
      </w:r>
      <w:r>
        <w:rPr>
          <w:color w:val="231F20"/>
          <w:w w:val="110"/>
        </w:rPr>
        <w:t>y</w:t>
      </w:r>
      <w:r>
        <w:rPr>
          <w:color w:val="231F20"/>
          <w:spacing w:val="-28"/>
          <w:w w:val="110"/>
        </w:rPr>
        <w:t> </w:t>
      </w:r>
      <w:r>
        <w:rPr>
          <w:color w:val="231F20"/>
          <w:w w:val="110"/>
        </w:rPr>
        <w:t>Seguridad</w:t>
      </w:r>
      <w:r>
        <w:rPr>
          <w:color w:val="231F20"/>
          <w:spacing w:val="-28"/>
          <w:w w:val="110"/>
        </w:rPr>
        <w:t> </w:t>
      </w:r>
      <w:r>
        <w:rPr>
          <w:color w:val="231F20"/>
          <w:w w:val="110"/>
        </w:rPr>
        <w:t>firmado</w:t>
      </w:r>
      <w:r>
        <w:rPr>
          <w:color w:val="231F20"/>
          <w:spacing w:val="-28"/>
          <w:w w:val="110"/>
        </w:rPr>
        <w:t> </w:t>
      </w:r>
      <w:r>
        <w:rPr>
          <w:color w:val="231F20"/>
          <w:w w:val="110"/>
        </w:rPr>
        <w:t>con</w:t>
      </w:r>
      <w:r>
        <w:rPr>
          <w:color w:val="231F20"/>
          <w:spacing w:val="-28"/>
          <w:w w:val="110"/>
        </w:rPr>
        <w:t> </w:t>
      </w:r>
      <w:r>
        <w:rPr>
          <w:color w:val="231F20"/>
          <w:w w:val="110"/>
        </w:rPr>
        <w:t>Estados</w:t>
      </w:r>
      <w:r>
        <w:rPr>
          <w:color w:val="231F20"/>
          <w:w w:val="105"/>
        </w:rPr>
        <w:t> </w:t>
      </w:r>
      <w:r>
        <w:rPr>
          <w:color w:val="231F20"/>
          <w:w w:val="110"/>
        </w:rPr>
        <w:t>Unidos en octubre de 2009 y de la decisión de Obama de no incluir a</w:t>
      </w:r>
      <w:r>
        <w:rPr>
          <w:color w:val="231F20"/>
          <w:spacing w:val="-5"/>
          <w:w w:val="110"/>
        </w:rPr>
        <w:t> </w:t>
      </w:r>
      <w:r>
        <w:rPr>
          <w:color w:val="231F20"/>
          <w:w w:val="110"/>
        </w:rPr>
        <w:t>Colombia</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primera</w:t>
      </w:r>
      <w:r>
        <w:rPr>
          <w:color w:val="231F20"/>
          <w:spacing w:val="-5"/>
          <w:w w:val="110"/>
        </w:rPr>
        <w:t> </w:t>
      </w:r>
      <w:r>
        <w:rPr>
          <w:color w:val="231F20"/>
          <w:w w:val="110"/>
        </w:rPr>
        <w:t>visita</w:t>
      </w:r>
      <w:r>
        <w:rPr>
          <w:color w:val="231F20"/>
          <w:spacing w:val="-5"/>
          <w:w w:val="110"/>
        </w:rPr>
        <w:t> </w:t>
      </w:r>
      <w:r>
        <w:rPr>
          <w:color w:val="231F20"/>
          <w:w w:val="110"/>
        </w:rPr>
        <w:t>a</w:t>
      </w:r>
      <w:r>
        <w:rPr>
          <w:color w:val="231F20"/>
          <w:spacing w:val="-5"/>
          <w:w w:val="110"/>
        </w:rPr>
        <w:t> </w:t>
      </w:r>
      <w:r>
        <w:rPr>
          <w:color w:val="231F20"/>
          <w:w w:val="110"/>
        </w:rPr>
        <w:t>América</w:t>
      </w:r>
      <w:r>
        <w:rPr>
          <w:color w:val="231F20"/>
          <w:spacing w:val="-5"/>
          <w:w w:val="110"/>
        </w:rPr>
        <w:t> </w:t>
      </w:r>
      <w:r>
        <w:rPr>
          <w:color w:val="231F20"/>
          <w:w w:val="110"/>
        </w:rPr>
        <w:t>del</w:t>
      </w:r>
      <w:r>
        <w:rPr>
          <w:color w:val="231F20"/>
          <w:spacing w:val="-5"/>
          <w:w w:val="110"/>
        </w:rPr>
        <w:t> Sur, </w:t>
      </w:r>
      <w:r>
        <w:rPr>
          <w:color w:val="231F20"/>
          <w:w w:val="110"/>
        </w:rPr>
        <w:t>en</w:t>
      </w:r>
      <w:r>
        <w:rPr>
          <w:color w:val="231F20"/>
          <w:spacing w:val="-5"/>
          <w:w w:val="110"/>
        </w:rPr>
        <w:t> </w:t>
      </w:r>
      <w:r>
        <w:rPr>
          <w:color w:val="231F20"/>
          <w:w w:val="110"/>
        </w:rPr>
        <w:t>esas</w:t>
      </w:r>
      <w:r>
        <w:rPr>
          <w:color w:val="231F20"/>
          <w:spacing w:val="-5"/>
          <w:w w:val="110"/>
        </w:rPr>
        <w:t> </w:t>
      </w:r>
      <w:r>
        <w:rPr>
          <w:color w:val="231F20"/>
          <w:w w:val="110"/>
        </w:rPr>
        <w:t>gestiones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por entorpecer el funcionamiento y la profundización de unasur,     el gobierno temporal de Barack Obama seguramente contará con    el respaldo del actual presidente colombiano Juan Manuel </w:t>
      </w:r>
      <w:r>
        <w:rPr>
          <w:color w:val="231F20"/>
          <w:spacing w:val="11"/>
          <w:w w:val="110"/>
        </w:rPr>
        <w:t> </w:t>
      </w:r>
      <w:r>
        <w:rPr>
          <w:color w:val="231F20"/>
          <w:w w:val="110"/>
        </w:rPr>
        <w:t>Santos.</w:t>
      </w:r>
    </w:p>
    <w:p>
      <w:pPr>
        <w:pStyle w:val="BodyText"/>
        <w:ind w:left="340" w:right="25"/>
      </w:pPr>
      <w:r>
        <w:rPr>
          <w:color w:val="231F20"/>
          <w:w w:val="110"/>
        </w:rPr>
        <w:t>Igualmente, del actual presidente chileno Sebastián Piñera; quien</w:t>
      </w:r>
    </w:p>
    <w:p>
      <w:pPr>
        <w:pStyle w:val="BodyText"/>
        <w:spacing w:line="261" w:lineRule="auto" w:before="20"/>
        <w:ind w:left="100" w:right="118"/>
        <w:jc w:val="both"/>
      </w:pPr>
      <w:r>
        <w:rPr>
          <w:color w:val="231F20"/>
          <w:w w:val="110"/>
        </w:rPr>
        <w:t>—en</w:t>
      </w:r>
      <w:r>
        <w:rPr>
          <w:color w:val="231F20"/>
          <w:spacing w:val="-23"/>
          <w:w w:val="110"/>
        </w:rPr>
        <w:t> </w:t>
      </w:r>
      <w:r>
        <w:rPr>
          <w:color w:val="231F20"/>
          <w:w w:val="110"/>
        </w:rPr>
        <w:t>su</w:t>
      </w:r>
      <w:r>
        <w:rPr>
          <w:color w:val="231F20"/>
          <w:spacing w:val="-23"/>
          <w:w w:val="110"/>
        </w:rPr>
        <w:t> </w:t>
      </w:r>
      <w:r>
        <w:rPr>
          <w:color w:val="231F20"/>
          <w:w w:val="110"/>
        </w:rPr>
        <w:t>carácter</w:t>
      </w:r>
      <w:r>
        <w:rPr>
          <w:color w:val="231F20"/>
          <w:spacing w:val="-23"/>
          <w:w w:val="110"/>
        </w:rPr>
        <w:t> </w:t>
      </w:r>
      <w:r>
        <w:rPr>
          <w:color w:val="231F20"/>
          <w:w w:val="110"/>
        </w:rPr>
        <w:t>de</w:t>
      </w:r>
      <w:r>
        <w:rPr>
          <w:color w:val="231F20"/>
          <w:spacing w:val="-23"/>
          <w:w w:val="110"/>
        </w:rPr>
        <w:t> </w:t>
      </w:r>
      <w:r>
        <w:rPr>
          <w:color w:val="231F20"/>
          <w:w w:val="110"/>
        </w:rPr>
        <w:t>presidente</w:t>
      </w:r>
      <w:r>
        <w:rPr>
          <w:color w:val="231F20"/>
          <w:spacing w:val="-23"/>
          <w:w w:val="110"/>
        </w:rPr>
        <w:t> </w:t>
      </w:r>
      <w:r>
        <w:rPr>
          <w:i/>
          <w:color w:val="231F20"/>
          <w:w w:val="110"/>
        </w:rPr>
        <w:t>pro</w:t>
      </w:r>
      <w:r>
        <w:rPr>
          <w:i/>
          <w:color w:val="231F20"/>
          <w:spacing w:val="-23"/>
          <w:w w:val="110"/>
        </w:rPr>
        <w:t> </w:t>
      </w:r>
      <w:r>
        <w:rPr>
          <w:i/>
          <w:color w:val="231F20"/>
          <w:w w:val="110"/>
        </w:rPr>
        <w:t>tempore</w:t>
      </w:r>
      <w:r>
        <w:rPr>
          <w:i/>
          <w:color w:val="231F20"/>
          <w:spacing w:val="-23"/>
          <w:w w:val="110"/>
        </w:rPr>
        <w:t> </w:t>
      </w:r>
      <w:r>
        <w:rPr>
          <w:color w:val="231F20"/>
          <w:w w:val="110"/>
        </w:rPr>
        <w:t>del</w:t>
      </w:r>
      <w:r>
        <w:rPr>
          <w:color w:val="231F20"/>
          <w:spacing w:val="-23"/>
          <w:w w:val="110"/>
        </w:rPr>
        <w:t> </w:t>
      </w:r>
      <w:r>
        <w:rPr>
          <w:color w:val="231F20"/>
          <w:w w:val="110"/>
        </w:rPr>
        <w:t>Grupo</w:t>
      </w:r>
      <w:r>
        <w:rPr>
          <w:color w:val="231F20"/>
          <w:spacing w:val="-23"/>
          <w:w w:val="110"/>
        </w:rPr>
        <w:t> </w:t>
      </w:r>
      <w:r>
        <w:rPr>
          <w:color w:val="231F20"/>
          <w:w w:val="110"/>
        </w:rPr>
        <w:t>de</w:t>
      </w:r>
      <w:r>
        <w:rPr>
          <w:color w:val="231F20"/>
          <w:spacing w:val="-23"/>
          <w:w w:val="110"/>
        </w:rPr>
        <w:t> </w:t>
      </w:r>
      <w:r>
        <w:rPr>
          <w:color w:val="231F20"/>
          <w:w w:val="110"/>
        </w:rPr>
        <w:t>Concertación y</w:t>
      </w:r>
      <w:r>
        <w:rPr>
          <w:color w:val="231F20"/>
          <w:spacing w:val="-11"/>
          <w:w w:val="110"/>
        </w:rPr>
        <w:t> </w:t>
      </w:r>
      <w:r>
        <w:rPr>
          <w:color w:val="231F20"/>
          <w:w w:val="110"/>
        </w:rPr>
        <w:t>Cooperación</w:t>
      </w:r>
      <w:r>
        <w:rPr>
          <w:color w:val="231F20"/>
          <w:spacing w:val="-11"/>
          <w:w w:val="110"/>
        </w:rPr>
        <w:t> </w:t>
      </w:r>
      <w:r>
        <w:rPr>
          <w:color w:val="231F20"/>
          <w:w w:val="110"/>
        </w:rPr>
        <w:t>de</w:t>
      </w:r>
      <w:r>
        <w:rPr>
          <w:color w:val="231F20"/>
          <w:spacing w:val="-11"/>
          <w:w w:val="110"/>
        </w:rPr>
        <w:t> </w:t>
      </w:r>
      <w:r>
        <w:rPr>
          <w:color w:val="231F20"/>
          <w:w w:val="110"/>
        </w:rPr>
        <w:t>Río</w:t>
      </w:r>
      <w:r>
        <w:rPr>
          <w:color w:val="231F20"/>
          <w:spacing w:val="-11"/>
          <w:w w:val="110"/>
        </w:rPr>
        <w:t> </w:t>
      </w:r>
      <w:r>
        <w:rPr>
          <w:color w:val="231F20"/>
          <w:w w:val="110"/>
        </w:rPr>
        <w:t>de</w:t>
      </w:r>
      <w:r>
        <w:rPr>
          <w:color w:val="231F20"/>
          <w:spacing w:val="-11"/>
          <w:w w:val="110"/>
        </w:rPr>
        <w:t> </w:t>
      </w:r>
      <w:r>
        <w:rPr>
          <w:color w:val="231F20"/>
          <w:w w:val="110"/>
        </w:rPr>
        <w:t>Janeiro—</w:t>
      </w:r>
      <w:r>
        <w:rPr>
          <w:color w:val="231F20"/>
          <w:spacing w:val="-11"/>
          <w:w w:val="110"/>
        </w:rPr>
        <w:t> </w:t>
      </w:r>
      <w:r>
        <w:rPr>
          <w:color w:val="231F20"/>
          <w:w w:val="110"/>
        </w:rPr>
        <w:t>también</w:t>
      </w:r>
      <w:r>
        <w:rPr>
          <w:color w:val="231F20"/>
          <w:spacing w:val="-11"/>
          <w:w w:val="110"/>
        </w:rPr>
        <w:t> </w:t>
      </w:r>
      <w:r>
        <w:rPr>
          <w:color w:val="231F20"/>
          <w:w w:val="110"/>
        </w:rPr>
        <w:t>hará</w:t>
      </w:r>
      <w:r>
        <w:rPr>
          <w:color w:val="231F20"/>
          <w:spacing w:val="-11"/>
          <w:w w:val="110"/>
        </w:rPr>
        <w:t> </w:t>
      </w:r>
      <w:r>
        <w:rPr>
          <w:color w:val="231F20"/>
          <w:w w:val="110"/>
        </w:rPr>
        <w:t>todo</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esté</w:t>
      </w:r>
      <w:r>
        <w:rPr>
          <w:color w:val="231F20"/>
          <w:spacing w:val="-11"/>
          <w:w w:val="110"/>
        </w:rPr>
        <w:t> </w:t>
      </w:r>
      <w:r>
        <w:rPr>
          <w:color w:val="231F20"/>
          <w:w w:val="110"/>
        </w:rPr>
        <w:t>a</w:t>
      </w:r>
      <w:r>
        <w:rPr>
          <w:color w:val="231F20"/>
          <w:spacing w:val="-11"/>
          <w:w w:val="110"/>
        </w:rPr>
        <w:t> </w:t>
      </w:r>
      <w:r>
        <w:rPr>
          <w:color w:val="231F20"/>
          <w:w w:val="110"/>
        </w:rPr>
        <w:t>su</w:t>
      </w:r>
      <w:r>
        <w:rPr>
          <w:color w:val="231F20"/>
          <w:w w:val="105"/>
        </w:rPr>
        <w:t> </w:t>
      </w:r>
      <w:r>
        <w:rPr>
          <w:color w:val="231F20"/>
          <w:w w:val="110"/>
        </w:rPr>
        <w:t>alcance</w:t>
      </w:r>
      <w:r>
        <w:rPr>
          <w:color w:val="231F20"/>
          <w:spacing w:val="-12"/>
          <w:w w:val="110"/>
        </w:rPr>
        <w:t> </w:t>
      </w:r>
      <w:r>
        <w:rPr>
          <w:color w:val="231F20"/>
          <w:w w:val="110"/>
        </w:rPr>
        <w:t>por</w:t>
      </w:r>
      <w:r>
        <w:rPr>
          <w:color w:val="231F20"/>
          <w:spacing w:val="-12"/>
          <w:w w:val="110"/>
        </w:rPr>
        <w:t> </w:t>
      </w:r>
      <w:r>
        <w:rPr>
          <w:color w:val="231F20"/>
          <w:w w:val="110"/>
        </w:rPr>
        <w:t>aglutinar</w:t>
      </w:r>
      <w:r>
        <w:rPr>
          <w:color w:val="231F20"/>
          <w:spacing w:val="-12"/>
          <w:w w:val="110"/>
        </w:rPr>
        <w:t> </w:t>
      </w:r>
      <w:r>
        <w:rPr>
          <w:color w:val="231F20"/>
          <w:w w:val="110"/>
        </w:rPr>
        <w:t>a</w:t>
      </w:r>
      <w:r>
        <w:rPr>
          <w:color w:val="231F20"/>
          <w:spacing w:val="-12"/>
          <w:w w:val="110"/>
        </w:rPr>
        <w:t> </w:t>
      </w:r>
      <w:r>
        <w:rPr>
          <w:color w:val="231F20"/>
          <w:w w:val="110"/>
        </w:rPr>
        <w:t>su</w:t>
      </w:r>
      <w:r>
        <w:rPr>
          <w:color w:val="231F20"/>
          <w:spacing w:val="-12"/>
          <w:w w:val="110"/>
        </w:rPr>
        <w:t> </w:t>
      </w:r>
      <w:r>
        <w:rPr>
          <w:color w:val="231F20"/>
          <w:w w:val="110"/>
        </w:rPr>
        <w:t>alrededor</w:t>
      </w:r>
      <w:r>
        <w:rPr>
          <w:color w:val="231F20"/>
          <w:spacing w:val="-12"/>
          <w:w w:val="110"/>
        </w:rPr>
        <w:t> </w:t>
      </w:r>
      <w:r>
        <w:rPr>
          <w:color w:val="231F20"/>
          <w:w w:val="110"/>
        </w:rPr>
        <w:t>a</w:t>
      </w:r>
      <w:r>
        <w:rPr>
          <w:color w:val="231F20"/>
          <w:spacing w:val="-12"/>
          <w:w w:val="110"/>
        </w:rPr>
        <w:t> </w:t>
      </w:r>
      <w:r>
        <w:rPr>
          <w:color w:val="231F20"/>
          <w:w w:val="110"/>
        </w:rPr>
        <w:t>todos</w:t>
      </w:r>
      <w:r>
        <w:rPr>
          <w:color w:val="231F20"/>
          <w:spacing w:val="-12"/>
          <w:w w:val="110"/>
        </w:rPr>
        <w:t> </w:t>
      </w:r>
      <w:r>
        <w:rPr>
          <w:color w:val="231F20"/>
          <w:w w:val="110"/>
        </w:rPr>
        <w:t>los</w:t>
      </w:r>
      <w:r>
        <w:rPr>
          <w:color w:val="231F20"/>
          <w:spacing w:val="-12"/>
          <w:w w:val="110"/>
        </w:rPr>
        <w:t> </w:t>
      </w:r>
      <w:r>
        <w:rPr>
          <w:color w:val="231F20"/>
          <w:w w:val="110"/>
        </w:rPr>
        <w:t>gobiernos</w:t>
      </w:r>
      <w:r>
        <w:rPr>
          <w:color w:val="231F20"/>
          <w:spacing w:val="-12"/>
          <w:w w:val="110"/>
        </w:rPr>
        <w:t> </w:t>
      </w:r>
      <w:r>
        <w:rPr>
          <w:color w:val="231F20"/>
          <w:w w:val="110"/>
        </w:rPr>
        <w:t>de</w:t>
      </w:r>
      <w:r>
        <w:rPr>
          <w:color w:val="231F20"/>
          <w:spacing w:val="-12"/>
          <w:w w:val="110"/>
        </w:rPr>
        <w:t> </w:t>
      </w:r>
      <w:r>
        <w:rPr>
          <w:color w:val="231F20"/>
          <w:w w:val="110"/>
        </w:rPr>
        <w:t>América Latina</w:t>
      </w:r>
      <w:r>
        <w:rPr>
          <w:color w:val="231F20"/>
          <w:spacing w:val="-26"/>
          <w:w w:val="110"/>
        </w:rPr>
        <w:t> </w:t>
      </w:r>
      <w:r>
        <w:rPr>
          <w:color w:val="231F20"/>
          <w:w w:val="110"/>
        </w:rPr>
        <w:t>y</w:t>
      </w:r>
      <w:r>
        <w:rPr>
          <w:color w:val="231F20"/>
          <w:spacing w:val="-26"/>
          <w:w w:val="110"/>
        </w:rPr>
        <w:t> </w:t>
      </w:r>
      <w:r>
        <w:rPr>
          <w:color w:val="231F20"/>
          <w:w w:val="110"/>
        </w:rPr>
        <w:t>el</w:t>
      </w:r>
      <w:r>
        <w:rPr>
          <w:color w:val="231F20"/>
          <w:spacing w:val="-26"/>
          <w:w w:val="110"/>
        </w:rPr>
        <w:t> </w:t>
      </w:r>
      <w:r>
        <w:rPr>
          <w:color w:val="231F20"/>
          <w:w w:val="110"/>
        </w:rPr>
        <w:t>Caribe</w:t>
      </w:r>
      <w:r>
        <w:rPr>
          <w:color w:val="231F20"/>
          <w:spacing w:val="-26"/>
          <w:w w:val="110"/>
        </w:rPr>
        <w:t> </w:t>
      </w:r>
      <w:r>
        <w:rPr>
          <w:color w:val="231F20"/>
          <w:w w:val="110"/>
        </w:rPr>
        <w:t>interesados</w:t>
      </w:r>
      <w:r>
        <w:rPr>
          <w:color w:val="231F20"/>
          <w:spacing w:val="-26"/>
          <w:w w:val="110"/>
        </w:rPr>
        <w:t> </w:t>
      </w:r>
      <w:r>
        <w:rPr>
          <w:color w:val="231F20"/>
          <w:w w:val="110"/>
        </w:rPr>
        <w:t>en</w:t>
      </w:r>
      <w:r>
        <w:rPr>
          <w:color w:val="231F20"/>
          <w:spacing w:val="-26"/>
          <w:w w:val="110"/>
        </w:rPr>
        <w:t> </w:t>
      </w:r>
      <w:r>
        <w:rPr>
          <w:color w:val="231F20"/>
          <w:w w:val="110"/>
        </w:rPr>
        <w:t>“mediatizar”</w:t>
      </w:r>
      <w:r>
        <w:rPr>
          <w:color w:val="231F20"/>
          <w:spacing w:val="-26"/>
          <w:w w:val="110"/>
        </w:rPr>
        <w:t> </w:t>
      </w:r>
      <w:r>
        <w:rPr>
          <w:color w:val="231F20"/>
          <w:spacing w:val="-8"/>
          <w:w w:val="110"/>
        </w:rPr>
        <w:t>y,</w:t>
      </w:r>
      <w:r>
        <w:rPr>
          <w:color w:val="231F20"/>
          <w:spacing w:val="-26"/>
          <w:w w:val="110"/>
        </w:rPr>
        <w:t> </w:t>
      </w:r>
      <w:r>
        <w:rPr>
          <w:color w:val="231F20"/>
          <w:w w:val="110"/>
        </w:rPr>
        <w:t>si</w:t>
      </w:r>
      <w:r>
        <w:rPr>
          <w:color w:val="231F20"/>
          <w:spacing w:val="-26"/>
          <w:w w:val="110"/>
        </w:rPr>
        <w:t> </w:t>
      </w:r>
      <w:r>
        <w:rPr>
          <w:color w:val="231F20"/>
          <w:w w:val="110"/>
        </w:rPr>
        <w:t>fuera</w:t>
      </w:r>
      <w:r>
        <w:rPr>
          <w:color w:val="231F20"/>
          <w:spacing w:val="-26"/>
          <w:w w:val="110"/>
        </w:rPr>
        <w:t> </w:t>
      </w:r>
      <w:r>
        <w:rPr>
          <w:color w:val="231F20"/>
          <w:w w:val="110"/>
        </w:rPr>
        <w:t>posible,</w:t>
      </w:r>
      <w:r>
        <w:rPr>
          <w:color w:val="231F20"/>
          <w:spacing w:val="-26"/>
          <w:w w:val="110"/>
        </w:rPr>
        <w:t> </w:t>
      </w:r>
      <w:r>
        <w:rPr>
          <w:color w:val="231F20"/>
          <w:w w:val="110"/>
        </w:rPr>
        <w:t>evitar la</w:t>
      </w:r>
      <w:r>
        <w:rPr>
          <w:color w:val="231F20"/>
          <w:spacing w:val="-19"/>
          <w:w w:val="110"/>
        </w:rPr>
        <w:t> </w:t>
      </w:r>
      <w:r>
        <w:rPr>
          <w:color w:val="231F20"/>
          <w:w w:val="110"/>
        </w:rPr>
        <w:t>institucionalización</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Comunidad</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Latinoamericanos y Caribeños (celac) acordada en la Segunda Cumbre para la Uni- dad de América Latina y el Caribe realizada en México en febrero de 2010. </w:t>
      </w:r>
      <w:r>
        <w:rPr>
          <w:color w:val="231F20"/>
          <w:spacing w:val="-6"/>
          <w:w w:val="110"/>
        </w:rPr>
        <w:t>Tal </w:t>
      </w:r>
      <w:r>
        <w:rPr>
          <w:color w:val="231F20"/>
          <w:w w:val="110"/>
        </w:rPr>
        <w:t>vez esto contribuya a entender el porqué Obama visitó Chile en marzo del</w:t>
      </w:r>
      <w:r>
        <w:rPr>
          <w:color w:val="231F20"/>
          <w:spacing w:val="14"/>
          <w:w w:val="110"/>
        </w:rPr>
        <w:t> </w:t>
      </w:r>
      <w:r>
        <w:rPr>
          <w:color w:val="231F20"/>
          <w:w w:val="110"/>
        </w:rPr>
        <w:t>2011.</w:t>
      </w:r>
    </w:p>
    <w:p>
      <w:pPr>
        <w:pStyle w:val="BodyText"/>
        <w:spacing w:line="261" w:lineRule="auto"/>
        <w:ind w:left="100" w:right="117" w:firstLine="240"/>
        <w:jc w:val="both"/>
      </w:pPr>
      <w:r>
        <w:rPr>
          <w:color w:val="231F20"/>
          <w:w w:val="110"/>
        </w:rPr>
        <w:t>En cualquier caso, en la tercera Cumbre de América Latina y el Caribe pautada para realizarse en Venezuela en los primeros días de julio</w:t>
      </w:r>
      <w:r>
        <w:rPr>
          <w:color w:val="231F20"/>
          <w:spacing w:val="-11"/>
          <w:w w:val="110"/>
        </w:rPr>
        <w:t> </w:t>
      </w:r>
      <w:r>
        <w:rPr>
          <w:color w:val="231F20"/>
          <w:w w:val="110"/>
        </w:rPr>
        <w:t>de</w:t>
      </w:r>
      <w:r>
        <w:rPr>
          <w:color w:val="231F20"/>
          <w:spacing w:val="-11"/>
          <w:w w:val="110"/>
        </w:rPr>
        <w:t> </w:t>
      </w:r>
      <w:r>
        <w:rPr>
          <w:color w:val="231F20"/>
          <w:w w:val="110"/>
        </w:rPr>
        <w:t>2011,</w:t>
      </w:r>
      <w:r>
        <w:rPr>
          <w:color w:val="231F20"/>
          <w:spacing w:val="-11"/>
          <w:w w:val="110"/>
        </w:rPr>
        <w:t> </w:t>
      </w:r>
      <w:r>
        <w:rPr>
          <w:color w:val="231F20"/>
          <w:w w:val="110"/>
        </w:rPr>
        <w:t>todos</w:t>
      </w:r>
      <w:r>
        <w:rPr>
          <w:color w:val="231F20"/>
          <w:spacing w:val="-11"/>
          <w:w w:val="110"/>
        </w:rPr>
        <w:t> </w:t>
      </w:r>
      <w:r>
        <w:rPr>
          <w:color w:val="231F20"/>
          <w:w w:val="110"/>
        </w:rPr>
        <w:t>los</w:t>
      </w:r>
      <w:r>
        <w:rPr>
          <w:color w:val="231F20"/>
          <w:spacing w:val="-11"/>
          <w:w w:val="110"/>
        </w:rPr>
        <w:t> </w:t>
      </w:r>
      <w:r>
        <w:rPr>
          <w:color w:val="231F20"/>
          <w:w w:val="110"/>
        </w:rPr>
        <w:t>gobiernos</w:t>
      </w:r>
      <w:r>
        <w:rPr>
          <w:color w:val="231F20"/>
          <w:spacing w:val="-11"/>
          <w:w w:val="110"/>
        </w:rPr>
        <w:t> </w:t>
      </w:r>
      <w:r>
        <w:rPr>
          <w:color w:val="231F20"/>
          <w:w w:val="110"/>
        </w:rPr>
        <w:t>temporales</w:t>
      </w:r>
      <w:r>
        <w:rPr>
          <w:color w:val="231F20"/>
          <w:spacing w:val="-11"/>
          <w:w w:val="110"/>
        </w:rPr>
        <w:t> </w:t>
      </w:r>
      <w:r>
        <w:rPr>
          <w:color w:val="231F20"/>
          <w:w w:val="110"/>
        </w:rPr>
        <w:t>de</w:t>
      </w:r>
      <w:r>
        <w:rPr>
          <w:color w:val="231F20"/>
          <w:spacing w:val="-11"/>
          <w:w w:val="110"/>
        </w:rPr>
        <w:t> </w:t>
      </w:r>
      <w:r>
        <w:rPr>
          <w:color w:val="231F20"/>
          <w:w w:val="110"/>
        </w:rPr>
        <w:t>esa</w:t>
      </w:r>
      <w:r>
        <w:rPr>
          <w:color w:val="231F20"/>
          <w:spacing w:val="-11"/>
          <w:w w:val="110"/>
        </w:rPr>
        <w:t> </w:t>
      </w:r>
      <w:r>
        <w:rPr>
          <w:color w:val="231F20"/>
          <w:w w:val="110"/>
        </w:rPr>
        <w:t>región,</w:t>
      </w:r>
      <w:r>
        <w:rPr>
          <w:color w:val="231F20"/>
          <w:spacing w:val="-11"/>
          <w:w w:val="110"/>
        </w:rPr>
        <w:t> </w:t>
      </w:r>
      <w:r>
        <w:rPr>
          <w:color w:val="231F20"/>
          <w:w w:val="110"/>
        </w:rPr>
        <w:t>asimétri- camente aliados con el de Estados Unidos, tratarán de impedir que esa recién nacida “comunidad” adopte acuerdos que menoscaben    el sistemático funcionamiento de las cumbres de las Américas, al igual</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fundamentos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actuales</w:t>
      </w:r>
      <w:r>
        <w:rPr>
          <w:color w:val="231F20"/>
          <w:spacing w:val="-7"/>
          <w:w w:val="110"/>
        </w:rPr>
        <w:t> </w:t>
      </w:r>
      <w:r>
        <w:rPr>
          <w:color w:val="231F20"/>
          <w:w w:val="110"/>
        </w:rPr>
        <w:t>pilares</w:t>
      </w:r>
      <w:r>
        <w:rPr>
          <w:color w:val="231F20"/>
          <w:spacing w:val="-7"/>
          <w:w w:val="110"/>
        </w:rPr>
        <w:t> </w:t>
      </w:r>
      <w:r>
        <w:rPr>
          <w:color w:val="231F20"/>
          <w:w w:val="110"/>
        </w:rPr>
        <w:t>políticos,</w:t>
      </w:r>
      <w:r>
        <w:rPr>
          <w:color w:val="231F20"/>
          <w:spacing w:val="-7"/>
          <w:w w:val="110"/>
        </w:rPr>
        <w:t> </w:t>
      </w:r>
      <w:r>
        <w:rPr>
          <w:color w:val="231F20"/>
          <w:w w:val="110"/>
        </w:rPr>
        <w:t>jurídicos</w:t>
      </w:r>
      <w:r>
        <w:rPr>
          <w:color w:val="231F20"/>
          <w:spacing w:val="-7"/>
          <w:w w:val="110"/>
        </w:rPr>
        <w:t> </w:t>
      </w:r>
      <w:r>
        <w:rPr>
          <w:color w:val="231F20"/>
          <w:w w:val="110"/>
        </w:rPr>
        <w:t>y militares del Sistema Interamericano. Entre ellos, todos los </w:t>
      </w:r>
      <w:r>
        <w:rPr>
          <w:color w:val="231F20"/>
          <w:spacing w:val="-3"/>
          <w:w w:val="110"/>
        </w:rPr>
        <w:t>Tratados </w:t>
      </w:r>
      <w:r>
        <w:rPr>
          <w:color w:val="231F20"/>
          <w:w w:val="110"/>
        </w:rPr>
        <w:t>firmados</w:t>
      </w:r>
      <w:r>
        <w:rPr>
          <w:color w:val="231F20"/>
          <w:spacing w:val="-9"/>
          <w:w w:val="110"/>
        </w:rPr>
        <w:t> </w:t>
      </w:r>
      <w:r>
        <w:rPr>
          <w:color w:val="231F20"/>
          <w:w w:val="110"/>
        </w:rPr>
        <w:t>por</w:t>
      </w:r>
      <w:r>
        <w:rPr>
          <w:color w:val="231F20"/>
          <w:spacing w:val="-9"/>
          <w:w w:val="110"/>
        </w:rPr>
        <w:t> </w:t>
      </w:r>
      <w:r>
        <w:rPr>
          <w:color w:val="231F20"/>
          <w:w w:val="110"/>
        </w:rPr>
        <w:t>sus</w:t>
      </w:r>
      <w:r>
        <w:rPr>
          <w:color w:val="231F20"/>
          <w:spacing w:val="-9"/>
          <w:w w:val="110"/>
        </w:rPr>
        <w:t> </w:t>
      </w:r>
      <w:r>
        <w:rPr>
          <w:color w:val="231F20"/>
          <w:w w:val="110"/>
        </w:rPr>
        <w:t>34</w:t>
      </w:r>
      <w:r>
        <w:rPr>
          <w:color w:val="231F20"/>
          <w:spacing w:val="-9"/>
          <w:w w:val="110"/>
        </w:rPr>
        <w:t> </w:t>
      </w:r>
      <w:r>
        <w:rPr>
          <w:color w:val="231F20"/>
          <w:w w:val="110"/>
        </w:rPr>
        <w:t>Estados</w:t>
      </w:r>
      <w:r>
        <w:rPr>
          <w:color w:val="231F20"/>
          <w:spacing w:val="-9"/>
          <w:w w:val="110"/>
        </w:rPr>
        <w:t> </w:t>
      </w:r>
      <w:r>
        <w:rPr>
          <w:color w:val="231F20"/>
          <w:w w:val="110"/>
        </w:rPr>
        <w:t>Miembros</w:t>
      </w:r>
      <w:r>
        <w:rPr>
          <w:color w:val="231F20"/>
          <w:spacing w:val="-9"/>
          <w:w w:val="110"/>
        </w:rPr>
        <w:t> </w:t>
      </w:r>
      <w:r>
        <w:rPr>
          <w:color w:val="231F20"/>
          <w:w w:val="110"/>
        </w:rPr>
        <w:t>entre</w:t>
      </w:r>
      <w:r>
        <w:rPr>
          <w:color w:val="231F20"/>
          <w:spacing w:val="-9"/>
          <w:w w:val="110"/>
        </w:rPr>
        <w:t> </w:t>
      </w:r>
      <w:r>
        <w:rPr>
          <w:color w:val="231F20"/>
          <w:w w:val="110"/>
        </w:rPr>
        <w:t>1990</w:t>
      </w:r>
      <w:r>
        <w:rPr>
          <w:color w:val="231F20"/>
          <w:spacing w:val="-9"/>
          <w:w w:val="110"/>
        </w:rPr>
        <w:t> </w:t>
      </w:r>
      <w:r>
        <w:rPr>
          <w:color w:val="231F20"/>
          <w:w w:val="110"/>
        </w:rPr>
        <w:t>y</w:t>
      </w:r>
      <w:r>
        <w:rPr>
          <w:color w:val="231F20"/>
          <w:spacing w:val="-9"/>
          <w:w w:val="110"/>
        </w:rPr>
        <w:t> </w:t>
      </w:r>
      <w:r>
        <w:rPr>
          <w:color w:val="231F20"/>
          <w:w w:val="110"/>
        </w:rPr>
        <w:t>2002</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pro- pósito</w:t>
      </w:r>
      <w:r>
        <w:rPr>
          <w:color w:val="231F20"/>
          <w:spacing w:val="-11"/>
          <w:w w:val="110"/>
        </w:rPr>
        <w:t> </w:t>
      </w:r>
      <w:r>
        <w:rPr>
          <w:color w:val="231F20"/>
          <w:w w:val="110"/>
        </w:rPr>
        <w:t>de</w:t>
      </w:r>
      <w:r>
        <w:rPr>
          <w:color w:val="231F20"/>
          <w:spacing w:val="-11"/>
          <w:w w:val="110"/>
        </w:rPr>
        <w:t> </w:t>
      </w:r>
      <w:r>
        <w:rPr>
          <w:color w:val="231F20"/>
          <w:w w:val="110"/>
        </w:rPr>
        <w:t>institucionalizar</w:t>
      </w:r>
      <w:r>
        <w:rPr>
          <w:color w:val="231F20"/>
          <w:spacing w:val="-11"/>
          <w:w w:val="110"/>
        </w:rPr>
        <w:t> </w:t>
      </w:r>
      <w:r>
        <w:rPr>
          <w:color w:val="231F20"/>
          <w:w w:val="110"/>
        </w:rPr>
        <w:t>un</w:t>
      </w:r>
      <w:r>
        <w:rPr>
          <w:color w:val="231F20"/>
          <w:spacing w:val="-11"/>
          <w:w w:val="110"/>
        </w:rPr>
        <w:t> </w:t>
      </w:r>
      <w:r>
        <w:rPr>
          <w:color w:val="231F20"/>
          <w:w w:val="110"/>
        </w:rPr>
        <w:t>“nuevo</w:t>
      </w:r>
      <w:r>
        <w:rPr>
          <w:color w:val="231F20"/>
          <w:spacing w:val="-11"/>
          <w:w w:val="110"/>
        </w:rPr>
        <w:t> </w:t>
      </w:r>
      <w:r>
        <w:rPr>
          <w:color w:val="231F20"/>
          <w:w w:val="110"/>
        </w:rPr>
        <w:t>orden</w:t>
      </w:r>
      <w:r>
        <w:rPr>
          <w:color w:val="231F20"/>
          <w:spacing w:val="-11"/>
          <w:w w:val="110"/>
        </w:rPr>
        <w:t> </w:t>
      </w:r>
      <w:r>
        <w:rPr>
          <w:color w:val="231F20"/>
          <w:w w:val="110"/>
        </w:rPr>
        <w:t>panamericano”</w:t>
      </w:r>
      <w:r>
        <w:rPr>
          <w:color w:val="231F20"/>
          <w:spacing w:val="-11"/>
          <w:w w:val="110"/>
        </w:rPr>
        <w:t> </w:t>
      </w:r>
      <w:r>
        <w:rPr>
          <w:color w:val="231F20"/>
          <w:w w:val="110"/>
        </w:rPr>
        <w:t>funcional a los intentos de sucesivos gobiernos temporales de Estados Unidos de “gobernar” el mundo de la posguerra fría (Suárez, 2007; Suárez  y García,</w:t>
      </w:r>
      <w:r>
        <w:rPr>
          <w:color w:val="231F20"/>
          <w:spacing w:val="-33"/>
          <w:w w:val="110"/>
        </w:rPr>
        <w:t> </w:t>
      </w:r>
      <w:r>
        <w:rPr>
          <w:color w:val="231F20"/>
          <w:w w:val="110"/>
        </w:rPr>
        <w:t>2008)</w:t>
      </w:r>
    </w:p>
    <w:p>
      <w:pPr>
        <w:pStyle w:val="BodyText"/>
        <w:spacing w:line="261" w:lineRule="auto"/>
        <w:ind w:left="100" w:right="115" w:firstLine="240"/>
        <w:jc w:val="both"/>
      </w:pPr>
      <w:r>
        <w:rPr>
          <w:color w:val="231F20"/>
          <w:w w:val="110"/>
        </w:rPr>
        <w:t>Con ese y otros fines, la administración de Barack Obama, la bu- rocracia</w:t>
      </w:r>
      <w:r>
        <w:rPr>
          <w:color w:val="231F20"/>
          <w:spacing w:val="-16"/>
          <w:w w:val="110"/>
        </w:rPr>
        <w:t> </w:t>
      </w:r>
      <w:r>
        <w:rPr>
          <w:color w:val="231F20"/>
          <w:w w:val="110"/>
        </w:rPr>
        <w:t>político-militar</w:t>
      </w:r>
      <w:r>
        <w:rPr>
          <w:color w:val="231F20"/>
          <w:spacing w:val="-16"/>
          <w:w w:val="110"/>
        </w:rPr>
        <w:t> </w:t>
      </w:r>
      <w:r>
        <w:rPr>
          <w:color w:val="231F20"/>
          <w:w w:val="110"/>
        </w:rPr>
        <w:t>estadunidense</w:t>
      </w:r>
      <w:r>
        <w:rPr>
          <w:color w:val="231F20"/>
          <w:spacing w:val="-16"/>
          <w:w w:val="110"/>
        </w:rPr>
        <w:t> </w:t>
      </w:r>
      <w:r>
        <w:rPr>
          <w:color w:val="231F20"/>
          <w:w w:val="110"/>
        </w:rPr>
        <w:t>y</w:t>
      </w:r>
      <w:r>
        <w:rPr>
          <w:color w:val="231F20"/>
          <w:spacing w:val="-16"/>
          <w:w w:val="110"/>
        </w:rPr>
        <w:t> </w:t>
      </w:r>
      <w:r>
        <w:rPr>
          <w:color w:val="231F20"/>
          <w:w w:val="110"/>
        </w:rPr>
        <w:t>las</w:t>
      </w:r>
      <w:r>
        <w:rPr>
          <w:color w:val="231F20"/>
          <w:spacing w:val="-16"/>
          <w:w w:val="110"/>
        </w:rPr>
        <w:t> </w:t>
      </w:r>
      <w:r>
        <w:rPr>
          <w:color w:val="231F20"/>
          <w:w w:val="110"/>
        </w:rPr>
        <w:t>fuerzas</w:t>
      </w:r>
      <w:r>
        <w:rPr>
          <w:color w:val="231F20"/>
          <w:spacing w:val="-16"/>
          <w:w w:val="110"/>
        </w:rPr>
        <w:t> </w:t>
      </w:r>
      <w:r>
        <w:rPr>
          <w:color w:val="231F20"/>
          <w:w w:val="110"/>
        </w:rPr>
        <w:t>“narco-fascistas” </w:t>
      </w:r>
      <w:r>
        <w:rPr>
          <w:color w:val="231F20"/>
          <w:spacing w:val="2"/>
          <w:w w:val="110"/>
        </w:rPr>
        <w:t>paraguayas continuarán </w:t>
      </w:r>
      <w:r>
        <w:rPr>
          <w:color w:val="231F20"/>
          <w:w w:val="110"/>
        </w:rPr>
        <w:t>sus </w:t>
      </w:r>
      <w:r>
        <w:rPr>
          <w:color w:val="231F20"/>
          <w:spacing w:val="2"/>
          <w:w w:val="110"/>
        </w:rPr>
        <w:t>esfuerzos dirigidos </w:t>
      </w:r>
      <w:r>
        <w:rPr>
          <w:color w:val="231F20"/>
          <w:w w:val="110"/>
        </w:rPr>
        <w:t>a </w:t>
      </w:r>
      <w:r>
        <w:rPr>
          <w:color w:val="231F20"/>
          <w:spacing w:val="2"/>
          <w:w w:val="110"/>
        </w:rPr>
        <w:t>debilitar </w:t>
      </w:r>
      <w:r>
        <w:rPr>
          <w:color w:val="231F20"/>
          <w:spacing w:val="-6"/>
          <w:w w:val="110"/>
        </w:rPr>
        <w:t>y, </w:t>
      </w:r>
      <w:r>
        <w:rPr>
          <w:color w:val="231F20"/>
          <w:spacing w:val="3"/>
          <w:w w:val="110"/>
        </w:rPr>
        <w:t>en </w:t>
      </w:r>
      <w:r>
        <w:rPr>
          <w:color w:val="231F20"/>
          <w:w w:val="110"/>
        </w:rPr>
        <w:t>ciertas condiciones, a inhabilitar constitucionalmente al presiden-   te Fernando Lugo, tomando como pretexto la enfermedad que lo afecta. Por otra parte, y aliados con los sectores de “la derecha” y   la “centro-derecha” argentina, en los comicios presidenciales que se realizarán a fines de 2011 los gobiernos permanente y temporal de Estados Unidos también tratarán de lograr la derrota del candidato de las fuerzas “neoperonistas” y de ciertos sectores de la izquierda que han venido respaldando, desde 2003, a los sucesivos gobiernos encabezados por el difunto Néstor Kirchner y por la actual presi- dente</w:t>
      </w:r>
      <w:r>
        <w:rPr>
          <w:color w:val="231F20"/>
          <w:spacing w:val="43"/>
          <w:w w:val="110"/>
        </w:rPr>
        <w:t> </w:t>
      </w:r>
      <w:r>
        <w:rPr>
          <w:color w:val="231F20"/>
          <w:w w:val="110"/>
        </w:rPr>
        <w:t>Cristina</w:t>
      </w:r>
      <w:r>
        <w:rPr>
          <w:color w:val="231F20"/>
          <w:spacing w:val="43"/>
          <w:w w:val="110"/>
        </w:rPr>
        <w:t> </w:t>
      </w:r>
      <w:r>
        <w:rPr>
          <w:color w:val="231F20"/>
          <w:w w:val="110"/>
        </w:rPr>
        <w:t>Fernández</w:t>
      </w:r>
      <w:r>
        <w:rPr>
          <w:color w:val="231F20"/>
          <w:spacing w:val="43"/>
          <w:w w:val="110"/>
        </w:rPr>
        <w:t> </w:t>
      </w:r>
      <w:r>
        <w:rPr>
          <w:color w:val="231F20"/>
          <w:w w:val="110"/>
        </w:rPr>
        <w:t>de</w:t>
      </w:r>
      <w:r>
        <w:rPr>
          <w:color w:val="231F20"/>
          <w:spacing w:val="43"/>
          <w:w w:val="110"/>
        </w:rPr>
        <w:t> </w:t>
      </w:r>
      <w:r>
        <w:rPr>
          <w:color w:val="231F20"/>
          <w:w w:val="110"/>
        </w:rPr>
        <w:t>Kirchner.</w:t>
      </w:r>
      <w:r>
        <w:rPr>
          <w:color w:val="231F20"/>
          <w:spacing w:val="43"/>
          <w:w w:val="110"/>
        </w:rPr>
        <w:t> </w:t>
      </w:r>
      <w:r>
        <w:rPr>
          <w:color w:val="231F20"/>
          <w:w w:val="110"/>
        </w:rPr>
        <w:t>Así</w:t>
      </w:r>
      <w:r>
        <w:rPr>
          <w:color w:val="231F20"/>
          <w:spacing w:val="43"/>
          <w:w w:val="110"/>
        </w:rPr>
        <w:t> </w:t>
      </w:r>
      <w:r>
        <w:rPr>
          <w:color w:val="231F20"/>
          <w:w w:val="110"/>
        </w:rPr>
        <w:t>parece</w:t>
      </w:r>
      <w:r>
        <w:rPr>
          <w:color w:val="231F20"/>
          <w:spacing w:val="43"/>
          <w:w w:val="110"/>
        </w:rPr>
        <w:t> </w:t>
      </w:r>
      <w:r>
        <w:rPr>
          <w:color w:val="231F20"/>
          <w:w w:val="110"/>
        </w:rPr>
        <w:t>confirmarlo</w:t>
      </w:r>
      <w:r>
        <w:rPr>
          <w:color w:val="231F20"/>
          <w:spacing w:val="43"/>
          <w:w w:val="110"/>
        </w:rPr>
        <w:t> </w:t>
      </w:r>
      <w:r>
        <w:rPr>
          <w:color w:val="231F20"/>
          <w:w w:val="110"/>
        </w:rPr>
        <w:t>la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decisión de Obama de excluir a Argentina de su primer recorrido por América del Sur.</w:t>
      </w:r>
    </w:p>
    <w:p>
      <w:pPr>
        <w:pStyle w:val="BodyText"/>
        <w:spacing w:line="261" w:lineRule="auto"/>
        <w:ind w:left="100" w:right="116" w:firstLine="240"/>
        <w:jc w:val="both"/>
      </w:pPr>
      <w:r>
        <w:rPr>
          <w:color w:val="231F20"/>
          <w:w w:val="110"/>
        </w:rPr>
        <w:t>En la percepción geopolítica prevaleciente en la burocracia</w:t>
      </w:r>
      <w:r>
        <w:rPr>
          <w:color w:val="231F20"/>
          <w:spacing w:val="-31"/>
          <w:w w:val="110"/>
        </w:rPr>
        <w:t> </w:t>
      </w:r>
      <w:r>
        <w:rPr>
          <w:color w:val="231F20"/>
          <w:w w:val="110"/>
        </w:rPr>
        <w:t>políti- co-militar</w:t>
      </w:r>
      <w:r>
        <w:rPr>
          <w:color w:val="231F20"/>
          <w:spacing w:val="-20"/>
          <w:w w:val="110"/>
        </w:rPr>
        <w:t> </w:t>
      </w:r>
      <w:r>
        <w:rPr>
          <w:color w:val="231F20"/>
          <w:w w:val="110"/>
        </w:rPr>
        <w:t>estadunidense,</w:t>
      </w:r>
      <w:r>
        <w:rPr>
          <w:color w:val="231F20"/>
          <w:spacing w:val="-20"/>
          <w:w w:val="110"/>
        </w:rPr>
        <w:t> </w:t>
      </w:r>
      <w:r>
        <w:rPr>
          <w:color w:val="231F20"/>
          <w:w w:val="110"/>
        </w:rPr>
        <w:t>la</w:t>
      </w:r>
      <w:r>
        <w:rPr>
          <w:color w:val="231F20"/>
          <w:spacing w:val="-20"/>
          <w:w w:val="110"/>
        </w:rPr>
        <w:t> </w:t>
      </w:r>
      <w:r>
        <w:rPr>
          <w:color w:val="231F20"/>
          <w:w w:val="110"/>
        </w:rPr>
        <w:t>derrota</w:t>
      </w:r>
      <w:r>
        <w:rPr>
          <w:color w:val="231F20"/>
          <w:spacing w:val="-20"/>
          <w:w w:val="110"/>
        </w:rPr>
        <w:t> </w:t>
      </w:r>
      <w:r>
        <w:rPr>
          <w:color w:val="231F20"/>
          <w:w w:val="110"/>
        </w:rPr>
        <w:t>de</w:t>
      </w:r>
      <w:r>
        <w:rPr>
          <w:color w:val="231F20"/>
          <w:spacing w:val="-20"/>
          <w:w w:val="110"/>
        </w:rPr>
        <w:t> </w:t>
      </w:r>
      <w:r>
        <w:rPr>
          <w:color w:val="231F20"/>
          <w:w w:val="110"/>
        </w:rPr>
        <w:t>esas</w:t>
      </w:r>
      <w:r>
        <w:rPr>
          <w:color w:val="231F20"/>
          <w:spacing w:val="-20"/>
          <w:w w:val="110"/>
        </w:rPr>
        <w:t> </w:t>
      </w:r>
      <w:r>
        <w:rPr>
          <w:color w:val="231F20"/>
          <w:w w:val="110"/>
        </w:rPr>
        <w:t>fuerzas</w:t>
      </w:r>
      <w:r>
        <w:rPr>
          <w:color w:val="231F20"/>
          <w:spacing w:val="-20"/>
          <w:w w:val="110"/>
        </w:rPr>
        <w:t> </w:t>
      </w:r>
      <w:r>
        <w:rPr>
          <w:color w:val="231F20"/>
          <w:w w:val="110"/>
        </w:rPr>
        <w:t>“neoperonistas”</w:t>
      </w:r>
      <w:r>
        <w:rPr>
          <w:color w:val="231F20"/>
          <w:spacing w:val="-20"/>
          <w:w w:val="110"/>
        </w:rPr>
        <w:t> </w:t>
      </w:r>
      <w:r>
        <w:rPr>
          <w:color w:val="231F20"/>
          <w:w w:val="110"/>
        </w:rPr>
        <w:t>le permitirán</w:t>
      </w:r>
      <w:r>
        <w:rPr>
          <w:color w:val="231F20"/>
          <w:spacing w:val="-15"/>
          <w:w w:val="110"/>
        </w:rPr>
        <w:t> </w:t>
      </w:r>
      <w:r>
        <w:rPr>
          <w:color w:val="231F20"/>
          <w:w w:val="110"/>
        </w:rPr>
        <w:t>debilitar</w:t>
      </w:r>
      <w:r>
        <w:rPr>
          <w:color w:val="231F20"/>
          <w:spacing w:val="-15"/>
          <w:w w:val="110"/>
        </w:rPr>
        <w:t> </w:t>
      </w:r>
      <w:r>
        <w:rPr>
          <w:color w:val="231F20"/>
          <w:w w:val="110"/>
        </w:rPr>
        <w:t>los</w:t>
      </w:r>
      <w:r>
        <w:rPr>
          <w:color w:val="231F20"/>
          <w:spacing w:val="-15"/>
          <w:w w:val="110"/>
        </w:rPr>
        <w:t> </w:t>
      </w:r>
      <w:r>
        <w:rPr>
          <w:color w:val="231F20"/>
          <w:w w:val="110"/>
        </w:rPr>
        <w:t>diversos</w:t>
      </w:r>
      <w:r>
        <w:rPr>
          <w:color w:val="231F20"/>
          <w:spacing w:val="-15"/>
          <w:w w:val="110"/>
        </w:rPr>
        <w:t> </w:t>
      </w:r>
      <w:r>
        <w:rPr>
          <w:color w:val="231F20"/>
          <w:w w:val="110"/>
        </w:rPr>
        <w:t>acuerdos</w:t>
      </w:r>
      <w:r>
        <w:rPr>
          <w:color w:val="231F20"/>
          <w:spacing w:val="-15"/>
          <w:w w:val="110"/>
        </w:rPr>
        <w:t> </w:t>
      </w:r>
      <w:r>
        <w:rPr>
          <w:color w:val="231F20"/>
          <w:w w:val="110"/>
        </w:rPr>
        <w:t>argentino-brasileños</w:t>
      </w:r>
      <w:r>
        <w:rPr>
          <w:color w:val="231F20"/>
          <w:spacing w:val="-15"/>
          <w:w w:val="110"/>
        </w:rPr>
        <w:t> </w:t>
      </w:r>
      <w:r>
        <w:rPr>
          <w:color w:val="231F20"/>
          <w:w w:val="110"/>
        </w:rPr>
        <w:t>que</w:t>
      </w:r>
      <w:r>
        <w:rPr>
          <w:color w:val="231F20"/>
          <w:spacing w:val="-15"/>
          <w:w w:val="110"/>
        </w:rPr>
        <w:t> </w:t>
      </w:r>
      <w:r>
        <w:rPr>
          <w:color w:val="231F20"/>
          <w:w w:val="110"/>
        </w:rPr>
        <w:t>se han logrado en los últimos años, así como contrarrestar el innegable peso</w:t>
      </w:r>
      <w:r>
        <w:rPr>
          <w:color w:val="231F20"/>
          <w:spacing w:val="-7"/>
          <w:w w:val="110"/>
        </w:rPr>
        <w:t> </w:t>
      </w:r>
      <w:r>
        <w:rPr>
          <w:color w:val="231F20"/>
          <w:w w:val="110"/>
        </w:rPr>
        <w:t>adquirido</w:t>
      </w:r>
      <w:r>
        <w:rPr>
          <w:color w:val="231F20"/>
          <w:spacing w:val="-7"/>
          <w:w w:val="110"/>
        </w:rPr>
        <w:t> </w:t>
      </w:r>
      <w:r>
        <w:rPr>
          <w:color w:val="231F20"/>
          <w:w w:val="110"/>
        </w:rPr>
        <w:t>por</w:t>
      </w:r>
      <w:r>
        <w:rPr>
          <w:color w:val="231F20"/>
          <w:spacing w:val="-7"/>
          <w:w w:val="110"/>
        </w:rPr>
        <w:t> </w:t>
      </w:r>
      <w:r>
        <w:rPr>
          <w:color w:val="231F20"/>
          <w:w w:val="110"/>
        </w:rPr>
        <w:t>Brasil</w:t>
      </w:r>
      <w:r>
        <w:rPr>
          <w:color w:val="231F20"/>
          <w:spacing w:val="-7"/>
          <w:w w:val="110"/>
        </w:rPr>
        <w:t> </w:t>
      </w:r>
      <w:r>
        <w:rPr>
          <w:color w:val="231F20"/>
          <w:w w:val="110"/>
        </w:rPr>
        <w:t>en</w:t>
      </w:r>
      <w:r>
        <w:rPr>
          <w:color w:val="231F20"/>
          <w:spacing w:val="-7"/>
          <w:w w:val="110"/>
        </w:rPr>
        <w:t> </w:t>
      </w:r>
      <w:r>
        <w:rPr>
          <w:color w:val="231F20"/>
          <w:w w:val="110"/>
        </w:rPr>
        <w:t>diversos</w:t>
      </w:r>
      <w:r>
        <w:rPr>
          <w:color w:val="231F20"/>
          <w:spacing w:val="-7"/>
          <w:w w:val="110"/>
        </w:rPr>
        <w:t> </w:t>
      </w:r>
      <w:r>
        <w:rPr>
          <w:color w:val="231F20"/>
          <w:w w:val="110"/>
        </w:rPr>
        <w:t>foros</w:t>
      </w:r>
      <w:r>
        <w:rPr>
          <w:color w:val="231F20"/>
          <w:spacing w:val="-7"/>
          <w:w w:val="110"/>
        </w:rPr>
        <w:t> </w:t>
      </w:r>
      <w:r>
        <w:rPr>
          <w:color w:val="231F20"/>
          <w:w w:val="110"/>
        </w:rPr>
        <w:t>y</w:t>
      </w:r>
      <w:r>
        <w:rPr>
          <w:color w:val="231F20"/>
          <w:spacing w:val="-7"/>
          <w:w w:val="110"/>
        </w:rPr>
        <w:t> </w:t>
      </w:r>
      <w:r>
        <w:rPr>
          <w:color w:val="231F20"/>
          <w:w w:val="110"/>
        </w:rPr>
        <w:t>asuntos</w:t>
      </w:r>
      <w:r>
        <w:rPr>
          <w:color w:val="231F20"/>
          <w:spacing w:val="-7"/>
          <w:w w:val="110"/>
        </w:rPr>
        <w:t> </w:t>
      </w:r>
      <w:r>
        <w:rPr>
          <w:color w:val="231F20"/>
          <w:w w:val="110"/>
        </w:rPr>
        <w:t>internacionales y</w:t>
      </w:r>
      <w:r>
        <w:rPr>
          <w:color w:val="231F20"/>
          <w:spacing w:val="-14"/>
          <w:w w:val="110"/>
        </w:rPr>
        <w:t> </w:t>
      </w:r>
      <w:r>
        <w:rPr>
          <w:color w:val="231F20"/>
          <w:w w:val="110"/>
        </w:rPr>
        <w:t>hemisféricos</w:t>
      </w:r>
      <w:r>
        <w:rPr>
          <w:color w:val="231F20"/>
          <w:spacing w:val="-14"/>
          <w:w w:val="110"/>
        </w:rPr>
        <w:t> </w:t>
      </w:r>
      <w:r>
        <w:rPr>
          <w:color w:val="231F20"/>
          <w:w w:val="110"/>
        </w:rPr>
        <w:t>durante</w:t>
      </w:r>
      <w:r>
        <w:rPr>
          <w:color w:val="231F20"/>
          <w:spacing w:val="-14"/>
          <w:w w:val="110"/>
        </w:rPr>
        <w:t> </w:t>
      </w:r>
      <w:r>
        <w:rPr>
          <w:color w:val="231F20"/>
          <w:w w:val="110"/>
        </w:rPr>
        <w:t>las</w:t>
      </w:r>
      <w:r>
        <w:rPr>
          <w:color w:val="231F20"/>
          <w:spacing w:val="-14"/>
          <w:w w:val="110"/>
        </w:rPr>
        <w:t> </w:t>
      </w:r>
      <w:r>
        <w:rPr>
          <w:color w:val="231F20"/>
          <w:w w:val="110"/>
        </w:rPr>
        <w:t>dos</w:t>
      </w:r>
      <w:r>
        <w:rPr>
          <w:color w:val="231F20"/>
          <w:spacing w:val="-14"/>
          <w:w w:val="110"/>
        </w:rPr>
        <w:t> </w:t>
      </w:r>
      <w:r>
        <w:rPr>
          <w:color w:val="231F20"/>
          <w:w w:val="110"/>
        </w:rPr>
        <w:t>administraciones</w:t>
      </w:r>
      <w:r>
        <w:rPr>
          <w:color w:val="231F20"/>
          <w:spacing w:val="-14"/>
          <w:w w:val="110"/>
        </w:rPr>
        <w:t> </w:t>
      </w:r>
      <w:r>
        <w:rPr>
          <w:color w:val="231F20"/>
          <w:w w:val="110"/>
        </w:rPr>
        <w:t>consecutivas</w:t>
      </w:r>
      <w:r>
        <w:rPr>
          <w:color w:val="231F20"/>
          <w:spacing w:val="-14"/>
          <w:w w:val="110"/>
        </w:rPr>
        <w:t> </w:t>
      </w:r>
      <w:r>
        <w:rPr>
          <w:color w:val="231F20"/>
          <w:w w:val="110"/>
        </w:rPr>
        <w:t>de</w:t>
      </w:r>
      <w:r>
        <w:rPr>
          <w:color w:val="231F20"/>
          <w:spacing w:val="-14"/>
          <w:w w:val="110"/>
        </w:rPr>
        <w:t> </w:t>
      </w:r>
      <w:r>
        <w:rPr>
          <w:color w:val="231F20"/>
          <w:w w:val="110"/>
        </w:rPr>
        <w:t>Luiz Inácio Lula da Silva (2002-2010). En función de lo antes dicho y de su marcado interés por concertar sus políticas globales y hemisféri- cas con la recién posicionada mandataria brasileña, Dilma Rousseff (comprometida a darle continuidad a la política interna y externa desarrollada por su antecesor), Obama escogió a Brasil como su primera escala</w:t>
      </w:r>
      <w:r>
        <w:rPr>
          <w:color w:val="231F20"/>
          <w:spacing w:val="11"/>
          <w:w w:val="110"/>
        </w:rPr>
        <w:t> </w:t>
      </w:r>
      <w:r>
        <w:rPr>
          <w:color w:val="231F20"/>
          <w:w w:val="110"/>
        </w:rPr>
        <w:t>suramericana.</w:t>
      </w:r>
    </w:p>
    <w:p>
      <w:pPr>
        <w:pStyle w:val="BodyText"/>
        <w:spacing w:line="261" w:lineRule="auto"/>
        <w:ind w:left="100" w:right="117" w:firstLine="240"/>
        <w:jc w:val="both"/>
      </w:pPr>
      <w:r>
        <w:rPr>
          <w:color w:val="231F20"/>
          <w:w w:val="110"/>
        </w:rPr>
        <w:t>A</w:t>
      </w:r>
      <w:r>
        <w:rPr>
          <w:color w:val="231F20"/>
          <w:spacing w:val="-9"/>
          <w:w w:val="110"/>
        </w:rPr>
        <w:t> </w:t>
      </w:r>
      <w:r>
        <w:rPr>
          <w:color w:val="231F20"/>
          <w:w w:val="110"/>
        </w:rPr>
        <w:t>pesar</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diferencias</w:t>
      </w:r>
      <w:r>
        <w:rPr>
          <w:color w:val="231F20"/>
          <w:spacing w:val="-9"/>
          <w:w w:val="110"/>
        </w:rPr>
        <w:t> </w:t>
      </w:r>
      <w:r>
        <w:rPr>
          <w:color w:val="231F20"/>
          <w:w w:val="110"/>
        </w:rPr>
        <w:t>políticas</w:t>
      </w:r>
      <w:r>
        <w:rPr>
          <w:color w:val="231F20"/>
          <w:spacing w:val="-9"/>
          <w:w w:val="110"/>
        </w:rPr>
        <w:t> </w:t>
      </w:r>
      <w:r>
        <w:rPr>
          <w:color w:val="231F20"/>
          <w:w w:val="110"/>
        </w:rPr>
        <w:t>que</w:t>
      </w:r>
      <w:r>
        <w:rPr>
          <w:color w:val="231F20"/>
          <w:spacing w:val="-9"/>
          <w:w w:val="110"/>
        </w:rPr>
        <w:t> </w:t>
      </w:r>
      <w:r>
        <w:rPr>
          <w:color w:val="231F20"/>
          <w:w w:val="110"/>
        </w:rPr>
        <w:t>seguramente</w:t>
      </w:r>
      <w:r>
        <w:rPr>
          <w:color w:val="231F20"/>
          <w:spacing w:val="-9"/>
          <w:w w:val="110"/>
        </w:rPr>
        <w:t> </w:t>
      </w:r>
      <w:r>
        <w:rPr>
          <w:color w:val="231F20"/>
          <w:w w:val="110"/>
        </w:rPr>
        <w:t>se</w:t>
      </w:r>
      <w:r>
        <w:rPr>
          <w:color w:val="231F20"/>
          <w:spacing w:val="-9"/>
          <w:w w:val="110"/>
        </w:rPr>
        <w:t> </w:t>
      </w:r>
      <w:r>
        <w:rPr>
          <w:color w:val="231F20"/>
          <w:w w:val="110"/>
        </w:rPr>
        <w:t>registrarán entre ambos gobiernos durante esa visita, en lo que queda de su pri- mera administración el actual mandatario estadunidense tratará de mantener su diálogo privilegiado con la actual presidente brasileña; ya que ese gobierno es considerado por el Departamento de Estado, el</w:t>
      </w:r>
      <w:r>
        <w:rPr>
          <w:color w:val="231F20"/>
          <w:spacing w:val="-11"/>
          <w:w w:val="110"/>
        </w:rPr>
        <w:t> </w:t>
      </w:r>
      <w:r>
        <w:rPr>
          <w:color w:val="231F20"/>
          <w:w w:val="110"/>
        </w:rPr>
        <w:t>Pentágono</w:t>
      </w:r>
      <w:r>
        <w:rPr>
          <w:color w:val="231F20"/>
          <w:spacing w:val="-11"/>
          <w:w w:val="110"/>
        </w:rPr>
        <w:t> </w:t>
      </w:r>
      <w:r>
        <w:rPr>
          <w:color w:val="231F20"/>
          <w:w w:val="110"/>
        </w:rPr>
        <w:t>y</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Inteligencia</w:t>
      </w:r>
      <w:r>
        <w:rPr>
          <w:color w:val="231F20"/>
          <w:spacing w:val="-11"/>
          <w:w w:val="110"/>
        </w:rPr>
        <w:t> </w:t>
      </w:r>
      <w:r>
        <w:rPr>
          <w:color w:val="231F20"/>
          <w:w w:val="110"/>
        </w:rPr>
        <w:t>Nacional</w:t>
      </w:r>
      <w:r>
        <w:rPr>
          <w:color w:val="231F20"/>
          <w:spacing w:val="-11"/>
          <w:w w:val="110"/>
        </w:rPr>
        <w:t> </w:t>
      </w:r>
      <w:r>
        <w:rPr>
          <w:color w:val="231F20"/>
          <w:w w:val="110"/>
        </w:rPr>
        <w:t>de</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como un contrapeso a la que su director, Dennis </w:t>
      </w:r>
      <w:r>
        <w:rPr>
          <w:color w:val="231F20"/>
          <w:spacing w:val="-3"/>
          <w:w w:val="110"/>
        </w:rPr>
        <w:t>Blair, </w:t>
      </w:r>
      <w:r>
        <w:rPr>
          <w:color w:val="231F20"/>
          <w:w w:val="110"/>
        </w:rPr>
        <w:t>denominó</w:t>
      </w:r>
      <w:r>
        <w:rPr>
          <w:color w:val="231F20"/>
          <w:spacing w:val="-6"/>
          <w:w w:val="110"/>
        </w:rPr>
        <w:t> </w:t>
      </w:r>
      <w:r>
        <w:rPr>
          <w:color w:val="231F20"/>
          <w:w w:val="110"/>
        </w:rPr>
        <w:t>“influen- cia regional de [Hugo] Chávez”, su capacidad para continuar apo- yando</w:t>
      </w:r>
      <w:r>
        <w:rPr>
          <w:color w:val="231F20"/>
          <w:spacing w:val="-6"/>
          <w:w w:val="110"/>
        </w:rPr>
        <w:t> </w:t>
      </w:r>
      <w:r>
        <w:rPr>
          <w:color w:val="231F20"/>
          <w:w w:val="110"/>
        </w:rPr>
        <w:t>las</w:t>
      </w:r>
      <w:r>
        <w:rPr>
          <w:color w:val="231F20"/>
          <w:spacing w:val="-6"/>
          <w:w w:val="110"/>
        </w:rPr>
        <w:t> </w:t>
      </w:r>
      <w:r>
        <w:rPr>
          <w:color w:val="231F20"/>
          <w:w w:val="110"/>
        </w:rPr>
        <w:t>“posturas</w:t>
      </w:r>
      <w:r>
        <w:rPr>
          <w:color w:val="231F20"/>
          <w:spacing w:val="-6"/>
          <w:w w:val="110"/>
        </w:rPr>
        <w:t> </w:t>
      </w:r>
      <w:r>
        <w:rPr>
          <w:color w:val="231F20"/>
          <w:w w:val="110"/>
        </w:rPr>
        <w:t>antiestadunidense</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aliados”,</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para “minar a [los] gobiernos moderados pro Estados Unidos” instalados en América Latina y el Caribe (Notimex,</w:t>
      </w:r>
      <w:r>
        <w:rPr>
          <w:color w:val="231F20"/>
          <w:spacing w:val="1"/>
          <w:w w:val="110"/>
        </w:rPr>
        <w:t> </w:t>
      </w:r>
      <w:r>
        <w:rPr>
          <w:color w:val="231F20"/>
          <w:w w:val="110"/>
        </w:rPr>
        <w:t>2010).</w:t>
      </w:r>
    </w:p>
    <w:p>
      <w:pPr>
        <w:pStyle w:val="BodyText"/>
        <w:spacing w:line="261" w:lineRule="auto"/>
        <w:ind w:left="100" w:right="117" w:firstLine="240"/>
        <w:jc w:val="both"/>
      </w:pPr>
      <w:r>
        <w:rPr>
          <w:color w:val="231F20"/>
          <w:w w:val="110"/>
        </w:rPr>
        <w:t>No</w:t>
      </w:r>
      <w:r>
        <w:rPr>
          <w:color w:val="231F20"/>
          <w:spacing w:val="-16"/>
          <w:w w:val="110"/>
        </w:rPr>
        <w:t> </w:t>
      </w:r>
      <w:r>
        <w:rPr>
          <w:color w:val="231F20"/>
          <w:w w:val="110"/>
        </w:rPr>
        <w:t>obstante</w:t>
      </w:r>
      <w:r>
        <w:rPr>
          <w:color w:val="231F20"/>
          <w:spacing w:val="-16"/>
          <w:w w:val="110"/>
        </w:rPr>
        <w:t> </w:t>
      </w:r>
      <w:r>
        <w:rPr>
          <w:color w:val="231F20"/>
          <w:w w:val="110"/>
        </w:rPr>
        <w:t>“los</w:t>
      </w:r>
      <w:r>
        <w:rPr>
          <w:color w:val="231F20"/>
          <w:spacing w:val="-16"/>
          <w:w w:val="110"/>
        </w:rPr>
        <w:t> </w:t>
      </w:r>
      <w:r>
        <w:rPr>
          <w:color w:val="231F20"/>
          <w:w w:val="110"/>
        </w:rPr>
        <w:t>inequívocos</w:t>
      </w:r>
      <w:r>
        <w:rPr>
          <w:color w:val="231F20"/>
          <w:spacing w:val="-16"/>
          <w:w w:val="110"/>
        </w:rPr>
        <w:t> </w:t>
      </w:r>
      <w:r>
        <w:rPr>
          <w:color w:val="231F20"/>
          <w:w w:val="110"/>
        </w:rPr>
        <w:t>signos</w:t>
      </w:r>
      <w:r>
        <w:rPr>
          <w:color w:val="231F20"/>
          <w:spacing w:val="-16"/>
          <w:w w:val="110"/>
        </w:rPr>
        <w:t> </w:t>
      </w:r>
      <w:r>
        <w:rPr>
          <w:color w:val="231F20"/>
          <w:w w:val="110"/>
        </w:rPr>
        <w:t>de</w:t>
      </w:r>
      <w:r>
        <w:rPr>
          <w:color w:val="231F20"/>
          <w:spacing w:val="-16"/>
          <w:w w:val="110"/>
        </w:rPr>
        <w:t> </w:t>
      </w:r>
      <w:r>
        <w:rPr>
          <w:color w:val="231F20"/>
          <w:w w:val="110"/>
        </w:rPr>
        <w:t>deterioro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popularidad y la credibilidad de Obama” (Borón, 2010a), esas y otras realidades tendrán que ser tomadas en consideración por los gobiernos inte- grantes</w:t>
      </w:r>
      <w:r>
        <w:rPr>
          <w:color w:val="231F20"/>
          <w:spacing w:val="-9"/>
          <w:w w:val="110"/>
        </w:rPr>
        <w:t> </w:t>
      </w:r>
      <w:r>
        <w:rPr>
          <w:color w:val="231F20"/>
          <w:w w:val="110"/>
        </w:rPr>
        <w:t>del</w:t>
      </w:r>
      <w:r>
        <w:rPr>
          <w:color w:val="231F20"/>
          <w:spacing w:val="-9"/>
          <w:w w:val="110"/>
        </w:rPr>
        <w:t> </w:t>
      </w:r>
      <w:r>
        <w:rPr>
          <w:color w:val="231F20"/>
          <w:w w:val="110"/>
        </w:rPr>
        <w:t>alba,</w:t>
      </w:r>
      <w:r>
        <w:rPr>
          <w:color w:val="231F20"/>
          <w:spacing w:val="-9"/>
          <w:w w:val="110"/>
        </w:rPr>
        <w:t> </w:t>
      </w:r>
      <w:r>
        <w:rPr>
          <w:color w:val="231F20"/>
          <w:w w:val="110"/>
        </w:rPr>
        <w:t>al</w:t>
      </w:r>
      <w:r>
        <w:rPr>
          <w:color w:val="231F20"/>
          <w:spacing w:val="-9"/>
          <w:w w:val="110"/>
        </w:rPr>
        <w:t> </w:t>
      </w:r>
      <w:r>
        <w:rPr>
          <w:color w:val="231F20"/>
          <w:w w:val="110"/>
        </w:rPr>
        <w:t>igual</w:t>
      </w:r>
      <w:r>
        <w:rPr>
          <w:color w:val="231F20"/>
          <w:spacing w:val="-9"/>
          <w:w w:val="110"/>
        </w:rPr>
        <w:t> </w:t>
      </w:r>
      <w:r>
        <w:rPr>
          <w:color w:val="231F20"/>
          <w:w w:val="110"/>
        </w:rPr>
        <w:t>que</w:t>
      </w:r>
      <w:r>
        <w:rPr>
          <w:color w:val="231F20"/>
          <w:spacing w:val="-9"/>
          <w:w w:val="110"/>
        </w:rPr>
        <w:t> </w:t>
      </w:r>
      <w:r>
        <w:rPr>
          <w:color w:val="231F20"/>
          <w:w w:val="110"/>
        </w:rPr>
        <w:t>por</w:t>
      </w:r>
      <w:r>
        <w:rPr>
          <w:color w:val="231F20"/>
          <w:spacing w:val="-9"/>
          <w:w w:val="110"/>
        </w:rPr>
        <w:t> </w:t>
      </w:r>
      <w:r>
        <w:rPr>
          <w:color w:val="231F20"/>
          <w:w w:val="110"/>
        </w:rPr>
        <w:t>todas</w:t>
      </w:r>
      <w:r>
        <w:rPr>
          <w:color w:val="231F20"/>
          <w:spacing w:val="-9"/>
          <w:w w:val="110"/>
        </w:rPr>
        <w:t> </w:t>
      </w:r>
      <w:r>
        <w:rPr>
          <w:color w:val="231F20"/>
          <w:w w:val="110"/>
        </w:rPr>
        <w:t>las</w:t>
      </w:r>
      <w:r>
        <w:rPr>
          <w:color w:val="231F20"/>
          <w:spacing w:val="-9"/>
          <w:w w:val="110"/>
        </w:rPr>
        <w:t> </w:t>
      </w:r>
      <w:r>
        <w:rPr>
          <w:color w:val="231F20"/>
          <w:w w:val="110"/>
        </w:rPr>
        <w:t>fuerzas</w:t>
      </w:r>
      <w:r>
        <w:rPr>
          <w:color w:val="231F20"/>
          <w:spacing w:val="-9"/>
          <w:w w:val="110"/>
        </w:rPr>
        <w:t> </w:t>
      </w:r>
      <w:r>
        <w:rPr>
          <w:color w:val="231F20"/>
          <w:w w:val="110"/>
        </w:rPr>
        <w:t>sociales</w:t>
      </w:r>
      <w:r>
        <w:rPr>
          <w:color w:val="231F20"/>
          <w:spacing w:val="-9"/>
          <w:w w:val="110"/>
        </w:rPr>
        <w:t> </w:t>
      </w:r>
      <w:r>
        <w:rPr>
          <w:color w:val="231F20"/>
          <w:w w:val="110"/>
        </w:rPr>
        <w:t>y</w:t>
      </w:r>
      <w:r>
        <w:rPr>
          <w:color w:val="231F20"/>
          <w:spacing w:val="-9"/>
          <w:w w:val="110"/>
        </w:rPr>
        <w:t> </w:t>
      </w:r>
      <w:r>
        <w:rPr>
          <w:color w:val="231F20"/>
          <w:w w:val="110"/>
        </w:rPr>
        <w:t>políticas que los respaldan o critican desde “la izquierda”, ya que, al menos en los próximos veinticuatro meses, se verán compelidos a</w:t>
      </w:r>
      <w:r>
        <w:rPr>
          <w:color w:val="231F20"/>
          <w:spacing w:val="-13"/>
          <w:w w:val="110"/>
        </w:rPr>
        <w:t> </w:t>
      </w:r>
      <w:r>
        <w:rPr>
          <w:color w:val="231F20"/>
          <w:w w:val="110"/>
        </w:rPr>
        <w:t>enfrentar</w:t>
      </w:r>
    </w:p>
    <w:p>
      <w:pPr>
        <w:pStyle w:val="BodyText"/>
        <w:spacing w:line="261" w:lineRule="auto"/>
        <w:ind w:left="100" w:right="117"/>
        <w:jc w:val="both"/>
      </w:pPr>
      <w:r>
        <w:rPr>
          <w:color w:val="231F20"/>
          <w:w w:val="110"/>
        </w:rPr>
        <w:t>–además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redobladas</w:t>
      </w:r>
      <w:r>
        <w:rPr>
          <w:color w:val="231F20"/>
          <w:spacing w:val="-11"/>
          <w:w w:val="110"/>
        </w:rPr>
        <w:t> </w:t>
      </w:r>
      <w:r>
        <w:rPr>
          <w:color w:val="231F20"/>
          <w:w w:val="110"/>
        </w:rPr>
        <w:t>acciones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derecha”</w:t>
      </w:r>
      <w:r>
        <w:rPr>
          <w:color w:val="231F20"/>
          <w:spacing w:val="-11"/>
          <w:w w:val="110"/>
        </w:rPr>
        <w:t> </w:t>
      </w:r>
      <w:r>
        <w:rPr>
          <w:color w:val="231F20"/>
          <w:w w:val="110"/>
        </w:rPr>
        <w:t>interna</w:t>
      </w:r>
      <w:r>
        <w:rPr>
          <w:color w:val="231F20"/>
          <w:spacing w:val="-11"/>
          <w:w w:val="110"/>
        </w:rPr>
        <w:t> </w:t>
      </w:r>
      <w:r>
        <w:rPr>
          <w:color w:val="231F20"/>
          <w:w w:val="110"/>
        </w:rPr>
        <w:t>(apoyada por diversas instituciones “no gubernamentales” y por los sectores más reaccionarios que actúan en el sistema político  </w:t>
      </w:r>
      <w:r>
        <w:rPr>
          <w:color w:val="231F20"/>
          <w:spacing w:val="21"/>
          <w:w w:val="110"/>
        </w:rPr>
        <w:t> </w:t>
      </w:r>
      <w:r>
        <w:rPr>
          <w:color w:val="231F20"/>
          <w:w w:val="110"/>
        </w:rPr>
        <w:t>estadunidense)</w:t>
      </w:r>
    </w:p>
    <w:p>
      <w:pPr>
        <w:pStyle w:val="BodyText"/>
        <w:spacing w:line="261" w:lineRule="auto"/>
        <w:ind w:left="100" w:right="117"/>
        <w:jc w:val="both"/>
      </w:pPr>
      <w:r>
        <w:rPr>
          <w:color w:val="231F20"/>
          <w:w w:val="105"/>
        </w:rPr>
        <w:t>—</w:t>
      </w:r>
      <w:r>
        <w:rPr>
          <w:color w:val="231F20"/>
          <w:spacing w:val="-7"/>
          <w:w w:val="105"/>
        </w:rPr>
        <w:t> </w:t>
      </w:r>
      <w:r>
        <w:rPr>
          <w:color w:val="231F20"/>
          <w:w w:val="105"/>
        </w:rPr>
        <w:t>una</w:t>
      </w:r>
      <w:r>
        <w:rPr>
          <w:color w:val="231F20"/>
          <w:spacing w:val="-7"/>
          <w:w w:val="105"/>
        </w:rPr>
        <w:t> </w:t>
      </w:r>
      <w:r>
        <w:rPr>
          <w:color w:val="231F20"/>
          <w:w w:val="105"/>
        </w:rPr>
        <w:t>peligrosa</w:t>
      </w:r>
      <w:r>
        <w:rPr>
          <w:color w:val="231F20"/>
          <w:spacing w:val="-7"/>
          <w:w w:val="105"/>
        </w:rPr>
        <w:t> </w:t>
      </w:r>
      <w:r>
        <w:rPr>
          <w:color w:val="231F20"/>
          <w:w w:val="105"/>
        </w:rPr>
        <w:t>combinación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instrumentos</w:t>
      </w:r>
      <w:r>
        <w:rPr>
          <w:color w:val="231F20"/>
          <w:spacing w:val="-7"/>
          <w:w w:val="105"/>
        </w:rPr>
        <w:t> </w:t>
      </w:r>
      <w:r>
        <w:rPr>
          <w:color w:val="231F20"/>
          <w:w w:val="105"/>
        </w:rPr>
        <w:t>del</w:t>
      </w:r>
      <w:r>
        <w:rPr>
          <w:color w:val="231F20"/>
          <w:spacing w:val="-7"/>
          <w:w w:val="105"/>
        </w:rPr>
        <w:t> </w:t>
      </w:r>
      <w:r>
        <w:rPr>
          <w:i/>
          <w:color w:val="231F20"/>
          <w:w w:val="105"/>
        </w:rPr>
        <w:t>soft</w:t>
      </w:r>
      <w:r>
        <w:rPr>
          <w:i/>
          <w:color w:val="231F20"/>
          <w:spacing w:val="-7"/>
          <w:w w:val="105"/>
        </w:rPr>
        <w:t> </w:t>
      </w:r>
      <w:r>
        <w:rPr>
          <w:color w:val="231F20"/>
          <w:w w:val="105"/>
        </w:rPr>
        <w:t>y</w:t>
      </w:r>
      <w:r>
        <w:rPr>
          <w:color w:val="231F20"/>
          <w:spacing w:val="-7"/>
          <w:w w:val="105"/>
        </w:rPr>
        <w:t> </w:t>
      </w:r>
      <w:r>
        <w:rPr>
          <w:i/>
          <w:color w:val="231F20"/>
          <w:w w:val="105"/>
        </w:rPr>
        <w:t>hard</w:t>
      </w:r>
      <w:r>
        <w:rPr>
          <w:i/>
          <w:color w:val="231F20"/>
          <w:spacing w:val="-7"/>
          <w:w w:val="105"/>
        </w:rPr>
        <w:t> </w:t>
      </w:r>
      <w:r>
        <w:rPr>
          <w:i/>
          <w:color w:val="231F20"/>
          <w:w w:val="105"/>
        </w:rPr>
        <w:t>power </w:t>
      </w:r>
      <w:r>
        <w:rPr>
          <w:color w:val="231F20"/>
          <w:w w:val="105"/>
        </w:rPr>
        <w:t>históricamente empleados por  la  llamada  “potencia  hegemónica  en el  hemisferio</w:t>
      </w:r>
      <w:r>
        <w:rPr>
          <w:color w:val="231F20"/>
          <w:spacing w:val="38"/>
          <w:w w:val="105"/>
        </w:rPr>
        <w:t> </w:t>
      </w:r>
      <w:r>
        <w:rPr>
          <w:color w:val="231F20"/>
          <w:w w:val="105"/>
        </w:rPr>
        <w:t>occidental”.</w:t>
      </w:r>
    </w:p>
    <w:p>
      <w:pPr>
        <w:pStyle w:val="BodyText"/>
        <w:spacing w:line="261" w:lineRule="auto"/>
        <w:ind w:left="100" w:right="119" w:firstLine="240"/>
        <w:jc w:val="both"/>
      </w:pPr>
      <w:r>
        <w:rPr>
          <w:color w:val="231F20"/>
          <w:w w:val="110"/>
        </w:rPr>
        <w:t>De la capacidad que demuestren los gobiernos del alba y las</w:t>
      </w:r>
      <w:r>
        <w:rPr>
          <w:color w:val="231F20"/>
          <w:spacing w:val="-17"/>
          <w:w w:val="110"/>
        </w:rPr>
        <w:t> </w:t>
      </w:r>
      <w:r>
        <w:rPr>
          <w:color w:val="231F20"/>
          <w:w w:val="110"/>
        </w:rPr>
        <w:t>fuer- zas</w:t>
      </w:r>
      <w:r>
        <w:rPr>
          <w:color w:val="231F20"/>
          <w:spacing w:val="-28"/>
          <w:w w:val="110"/>
        </w:rPr>
        <w:t> </w:t>
      </w:r>
      <w:r>
        <w:rPr>
          <w:color w:val="231F20"/>
          <w:w w:val="110"/>
        </w:rPr>
        <w:t>sociales</w:t>
      </w:r>
      <w:r>
        <w:rPr>
          <w:color w:val="231F20"/>
          <w:spacing w:val="-28"/>
          <w:w w:val="110"/>
        </w:rPr>
        <w:t> </w:t>
      </w:r>
      <w:r>
        <w:rPr>
          <w:color w:val="231F20"/>
          <w:w w:val="110"/>
        </w:rPr>
        <w:t>y</w:t>
      </w:r>
      <w:r>
        <w:rPr>
          <w:color w:val="231F20"/>
          <w:spacing w:val="-28"/>
          <w:w w:val="110"/>
        </w:rPr>
        <w:t> </w:t>
      </w:r>
      <w:r>
        <w:rPr>
          <w:color w:val="231F20"/>
          <w:w w:val="110"/>
        </w:rPr>
        <w:t>políticas</w:t>
      </w:r>
      <w:r>
        <w:rPr>
          <w:color w:val="231F20"/>
          <w:spacing w:val="-28"/>
          <w:w w:val="110"/>
        </w:rPr>
        <w:t> </w:t>
      </w:r>
      <w:r>
        <w:rPr>
          <w:color w:val="231F20"/>
          <w:w w:val="110"/>
        </w:rPr>
        <w:t>que</w:t>
      </w:r>
      <w:r>
        <w:rPr>
          <w:color w:val="231F20"/>
          <w:spacing w:val="-28"/>
          <w:w w:val="110"/>
        </w:rPr>
        <w:t> </w:t>
      </w:r>
      <w:r>
        <w:rPr>
          <w:color w:val="231F20"/>
          <w:w w:val="110"/>
        </w:rPr>
        <w:t>los</w:t>
      </w:r>
      <w:r>
        <w:rPr>
          <w:color w:val="231F20"/>
          <w:spacing w:val="-28"/>
          <w:w w:val="110"/>
        </w:rPr>
        <w:t> </w:t>
      </w:r>
      <w:r>
        <w:rPr>
          <w:color w:val="231F20"/>
          <w:w w:val="110"/>
        </w:rPr>
        <w:t>respaldan</w:t>
      </w:r>
      <w:r>
        <w:rPr>
          <w:color w:val="231F20"/>
          <w:spacing w:val="-28"/>
          <w:w w:val="110"/>
        </w:rPr>
        <w:t> </w:t>
      </w:r>
      <w:r>
        <w:rPr>
          <w:color w:val="231F20"/>
          <w:w w:val="110"/>
        </w:rPr>
        <w:t>para</w:t>
      </w:r>
      <w:r>
        <w:rPr>
          <w:color w:val="231F20"/>
          <w:spacing w:val="-28"/>
          <w:w w:val="110"/>
        </w:rPr>
        <w:t> </w:t>
      </w:r>
      <w:r>
        <w:rPr>
          <w:color w:val="231F20"/>
          <w:w w:val="110"/>
        </w:rPr>
        <w:t>derrotar</w:t>
      </w:r>
      <w:r>
        <w:rPr>
          <w:color w:val="231F20"/>
          <w:spacing w:val="-28"/>
          <w:w w:val="110"/>
        </w:rPr>
        <w:t> </w:t>
      </w:r>
      <w:r>
        <w:rPr>
          <w:color w:val="231F20"/>
          <w:w w:val="110"/>
        </w:rPr>
        <w:t>esas</w:t>
      </w:r>
      <w:r>
        <w:rPr>
          <w:color w:val="231F20"/>
          <w:spacing w:val="-28"/>
          <w:w w:val="110"/>
        </w:rPr>
        <w:t> </w:t>
      </w:r>
      <w:r>
        <w:rPr>
          <w:color w:val="231F20"/>
          <w:w w:val="110"/>
        </w:rPr>
        <w:t>“estrategias</w:t>
      </w:r>
    </w:p>
    <w:p>
      <w:pPr>
        <w:spacing w:after="0" w:line="261" w:lineRule="auto"/>
        <w:jc w:val="both"/>
        <w:sectPr>
          <w:headerReference w:type="even" r:id="rId295"/>
          <w:headerReference w:type="default" r:id="rId296"/>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inteligentes”</w:t>
      </w:r>
      <w:r>
        <w:rPr>
          <w:color w:val="231F20"/>
          <w:spacing w:val="-16"/>
          <w:w w:val="110"/>
        </w:rPr>
        <w:t> </w:t>
      </w:r>
      <w:r>
        <w:rPr>
          <w:color w:val="231F20"/>
          <w:w w:val="110"/>
        </w:rPr>
        <w:t>y</w:t>
      </w:r>
      <w:r>
        <w:rPr>
          <w:color w:val="231F20"/>
          <w:spacing w:val="-16"/>
          <w:w w:val="110"/>
        </w:rPr>
        <w:t> </w:t>
      </w:r>
      <w:r>
        <w:rPr>
          <w:color w:val="231F20"/>
          <w:w w:val="110"/>
        </w:rPr>
        <w:t>para</w:t>
      </w:r>
      <w:r>
        <w:rPr>
          <w:color w:val="231F20"/>
          <w:spacing w:val="-16"/>
          <w:w w:val="110"/>
        </w:rPr>
        <w:t> </w:t>
      </w:r>
      <w:r>
        <w:rPr>
          <w:color w:val="231F20"/>
          <w:w w:val="110"/>
        </w:rPr>
        <w:t>congregar</w:t>
      </w:r>
      <w:r>
        <w:rPr>
          <w:color w:val="231F20"/>
          <w:spacing w:val="-16"/>
          <w:w w:val="110"/>
        </w:rPr>
        <w:t> </w:t>
      </w:r>
      <w:r>
        <w:rPr>
          <w:color w:val="231F20"/>
          <w:w w:val="110"/>
        </w:rPr>
        <w:t>a</w:t>
      </w:r>
      <w:r>
        <w:rPr>
          <w:color w:val="231F20"/>
          <w:spacing w:val="-16"/>
          <w:w w:val="110"/>
        </w:rPr>
        <w:t> </w:t>
      </w:r>
      <w:r>
        <w:rPr>
          <w:color w:val="231F20"/>
          <w:w w:val="110"/>
        </w:rPr>
        <w:t>su</w:t>
      </w:r>
      <w:r>
        <w:rPr>
          <w:color w:val="231F20"/>
          <w:spacing w:val="-16"/>
          <w:w w:val="110"/>
        </w:rPr>
        <w:t> </w:t>
      </w:r>
      <w:r>
        <w:rPr>
          <w:color w:val="231F20"/>
          <w:w w:val="110"/>
        </w:rPr>
        <w:t>alrededor</w:t>
      </w:r>
      <w:r>
        <w:rPr>
          <w:color w:val="231F20"/>
          <w:spacing w:val="-16"/>
          <w:w w:val="110"/>
        </w:rPr>
        <w:t> </w:t>
      </w:r>
      <w:r>
        <w:rPr>
          <w:color w:val="231F20"/>
          <w:w w:val="110"/>
        </w:rPr>
        <w:t>a</w:t>
      </w:r>
      <w:r>
        <w:rPr>
          <w:color w:val="231F20"/>
          <w:spacing w:val="-16"/>
          <w:w w:val="110"/>
        </w:rPr>
        <w:t> </w:t>
      </w:r>
      <w:r>
        <w:rPr>
          <w:color w:val="231F20"/>
          <w:w w:val="110"/>
        </w:rPr>
        <w:t>los</w:t>
      </w:r>
      <w:r>
        <w:rPr>
          <w:color w:val="231F20"/>
          <w:spacing w:val="-16"/>
          <w:w w:val="110"/>
        </w:rPr>
        <w:t> </w:t>
      </w:r>
      <w:r>
        <w:rPr>
          <w:color w:val="231F20"/>
          <w:w w:val="110"/>
        </w:rPr>
        <w:t>destacamentos</w:t>
      </w:r>
      <w:r>
        <w:rPr>
          <w:color w:val="231F20"/>
          <w:spacing w:val="-16"/>
          <w:w w:val="110"/>
        </w:rPr>
        <w:t> </w:t>
      </w:r>
      <w:r>
        <w:rPr>
          <w:color w:val="231F20"/>
          <w:w w:val="110"/>
        </w:rPr>
        <w:t>más consecuentes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llamada</w:t>
      </w:r>
      <w:r>
        <w:rPr>
          <w:color w:val="231F20"/>
          <w:spacing w:val="-25"/>
          <w:w w:val="110"/>
        </w:rPr>
        <w:t> </w:t>
      </w:r>
      <w:r>
        <w:rPr>
          <w:color w:val="231F20"/>
          <w:w w:val="110"/>
        </w:rPr>
        <w:t>“vieja”</w:t>
      </w:r>
      <w:r>
        <w:rPr>
          <w:color w:val="231F20"/>
          <w:spacing w:val="-25"/>
          <w:w w:val="110"/>
        </w:rPr>
        <w:t> </w:t>
      </w:r>
      <w:r>
        <w:rPr>
          <w:color w:val="231F20"/>
          <w:w w:val="110"/>
        </w:rPr>
        <w:t>y</w:t>
      </w:r>
      <w:r>
        <w:rPr>
          <w:color w:val="231F20"/>
          <w:spacing w:val="-25"/>
          <w:w w:val="110"/>
        </w:rPr>
        <w:t> </w:t>
      </w:r>
      <w:r>
        <w:rPr>
          <w:color w:val="231F20"/>
          <w:w w:val="110"/>
        </w:rPr>
        <w:t>“nueva”</w:t>
      </w:r>
      <w:r>
        <w:rPr>
          <w:color w:val="231F20"/>
          <w:spacing w:val="-25"/>
          <w:w w:val="110"/>
        </w:rPr>
        <w:t> </w:t>
      </w:r>
      <w:r>
        <w:rPr>
          <w:color w:val="231F20"/>
          <w:w w:val="110"/>
        </w:rPr>
        <w:t>izquierda</w:t>
      </w:r>
      <w:r>
        <w:rPr>
          <w:color w:val="231F20"/>
          <w:spacing w:val="-25"/>
          <w:w w:val="110"/>
        </w:rPr>
        <w:t> </w:t>
      </w:r>
      <w:r>
        <w:rPr>
          <w:color w:val="231F20"/>
          <w:w w:val="110"/>
        </w:rPr>
        <w:t>social,</w:t>
      </w:r>
      <w:r>
        <w:rPr>
          <w:color w:val="231F20"/>
          <w:spacing w:val="-25"/>
          <w:w w:val="110"/>
        </w:rPr>
        <w:t> </w:t>
      </w:r>
      <w:r>
        <w:rPr>
          <w:color w:val="231F20"/>
          <w:w w:val="110"/>
        </w:rPr>
        <w:t>política e intelectual, así como a otros gobiernos reformadores, reformistas  o simplemente progresistas de América Latina y el Caribe mucho dependerá el futuro de ese y otros acuerdos de concertación polí- tica, cooperación e integración multinacional que en la actualidad   se</w:t>
      </w:r>
      <w:r>
        <w:rPr>
          <w:color w:val="231F20"/>
          <w:spacing w:val="-7"/>
          <w:w w:val="110"/>
        </w:rPr>
        <w:t> </w:t>
      </w:r>
      <w:r>
        <w:rPr>
          <w:color w:val="231F20"/>
          <w:w w:val="110"/>
        </w:rPr>
        <w:t>están</w:t>
      </w:r>
      <w:r>
        <w:rPr>
          <w:color w:val="231F20"/>
          <w:spacing w:val="-7"/>
          <w:w w:val="110"/>
        </w:rPr>
        <w:t> </w:t>
      </w:r>
      <w:r>
        <w:rPr>
          <w:color w:val="231F20"/>
          <w:w w:val="110"/>
        </w:rPr>
        <w:t>desarrollando.</w:t>
      </w:r>
      <w:r>
        <w:rPr>
          <w:color w:val="231F20"/>
          <w:spacing w:val="-7"/>
          <w:w w:val="110"/>
        </w:rPr>
        <w:t> </w:t>
      </w:r>
      <w:r>
        <w:rPr>
          <w:color w:val="231F20"/>
          <w:w w:val="110"/>
        </w:rPr>
        <w:t>Asimismo,</w:t>
      </w:r>
      <w:r>
        <w:rPr>
          <w:color w:val="231F20"/>
          <w:spacing w:val="-7"/>
          <w:w w:val="110"/>
        </w:rPr>
        <w:t> </w:t>
      </w:r>
      <w:r>
        <w:rPr>
          <w:color w:val="231F20"/>
          <w:w w:val="110"/>
        </w:rPr>
        <w:t>el</w:t>
      </w:r>
      <w:r>
        <w:rPr>
          <w:color w:val="231F20"/>
          <w:spacing w:val="-7"/>
          <w:w w:val="110"/>
        </w:rPr>
        <w:t> </w:t>
      </w:r>
      <w:r>
        <w:rPr>
          <w:color w:val="231F20"/>
          <w:w w:val="110"/>
        </w:rPr>
        <w:t>imprescindible</w:t>
      </w:r>
      <w:r>
        <w:rPr>
          <w:color w:val="231F20"/>
          <w:spacing w:val="-7"/>
          <w:w w:val="110"/>
        </w:rPr>
        <w:t> </w:t>
      </w:r>
      <w:r>
        <w:rPr>
          <w:color w:val="231F20"/>
          <w:w w:val="110"/>
        </w:rPr>
        <w:t>salto</w:t>
      </w:r>
      <w:r>
        <w:rPr>
          <w:color w:val="231F20"/>
          <w:spacing w:val="-7"/>
          <w:w w:val="110"/>
        </w:rPr>
        <w:t> </w:t>
      </w:r>
      <w:r>
        <w:rPr>
          <w:color w:val="231F20"/>
          <w:w w:val="110"/>
        </w:rPr>
        <w:t>cualitativo que es necesario producir en las multiformes resistencias estatales y no</w:t>
      </w:r>
      <w:r>
        <w:rPr>
          <w:color w:val="231F20"/>
          <w:spacing w:val="-20"/>
          <w:w w:val="110"/>
        </w:rPr>
        <w:t> </w:t>
      </w:r>
      <w:r>
        <w:rPr>
          <w:color w:val="231F20"/>
          <w:w w:val="110"/>
        </w:rPr>
        <w:t>estatales,</w:t>
      </w:r>
      <w:r>
        <w:rPr>
          <w:color w:val="231F20"/>
          <w:spacing w:val="-20"/>
          <w:w w:val="110"/>
        </w:rPr>
        <w:t> </w:t>
      </w:r>
      <w:r>
        <w:rPr>
          <w:color w:val="231F20"/>
          <w:w w:val="110"/>
        </w:rPr>
        <w:t>nacionales</w:t>
      </w:r>
      <w:r>
        <w:rPr>
          <w:color w:val="231F20"/>
          <w:spacing w:val="-20"/>
          <w:w w:val="110"/>
        </w:rPr>
        <w:t> </w:t>
      </w:r>
      <w:r>
        <w:rPr>
          <w:color w:val="231F20"/>
          <w:w w:val="110"/>
        </w:rPr>
        <w:t>o</w:t>
      </w:r>
      <w:r>
        <w:rPr>
          <w:color w:val="231F20"/>
          <w:spacing w:val="-20"/>
          <w:w w:val="110"/>
        </w:rPr>
        <w:t> </w:t>
      </w:r>
      <w:r>
        <w:rPr>
          <w:color w:val="231F20"/>
          <w:w w:val="110"/>
        </w:rPr>
        <w:t>supranacionales,</w:t>
      </w:r>
      <w:r>
        <w:rPr>
          <w:color w:val="231F20"/>
          <w:spacing w:val="-20"/>
          <w:w w:val="110"/>
        </w:rPr>
        <w:t> </w:t>
      </w:r>
      <w:r>
        <w:rPr>
          <w:color w:val="231F20"/>
          <w:w w:val="110"/>
        </w:rPr>
        <w:t>y</w:t>
      </w:r>
      <w:r>
        <w:rPr>
          <w:color w:val="231F20"/>
          <w:spacing w:val="-20"/>
          <w:w w:val="110"/>
        </w:rPr>
        <w:t> </w:t>
      </w:r>
      <w:r>
        <w:rPr>
          <w:color w:val="231F20"/>
          <w:w w:val="110"/>
        </w:rPr>
        <w:t>en</w:t>
      </w:r>
      <w:r>
        <w:rPr>
          <w:color w:val="231F20"/>
          <w:spacing w:val="-20"/>
          <w:w w:val="110"/>
        </w:rPr>
        <w:t> </w:t>
      </w:r>
      <w:r>
        <w:rPr>
          <w:color w:val="231F20"/>
          <w:w w:val="110"/>
        </w:rPr>
        <w:t>los</w:t>
      </w:r>
      <w:r>
        <w:rPr>
          <w:color w:val="231F20"/>
          <w:spacing w:val="-20"/>
          <w:w w:val="110"/>
        </w:rPr>
        <w:t> </w:t>
      </w:r>
      <w:r>
        <w:rPr>
          <w:color w:val="231F20"/>
          <w:w w:val="110"/>
        </w:rPr>
        <w:t>diversos</w:t>
      </w:r>
      <w:r>
        <w:rPr>
          <w:color w:val="231F20"/>
          <w:spacing w:val="-20"/>
          <w:w w:val="110"/>
        </w:rPr>
        <w:t> </w:t>
      </w:r>
      <w:r>
        <w:rPr>
          <w:color w:val="231F20"/>
          <w:w w:val="110"/>
        </w:rPr>
        <w:t>proyectos posneoliberales,</w:t>
      </w:r>
      <w:r>
        <w:rPr>
          <w:color w:val="231F20"/>
          <w:spacing w:val="-10"/>
          <w:w w:val="110"/>
        </w:rPr>
        <w:t> </w:t>
      </w:r>
      <w:r>
        <w:rPr>
          <w:color w:val="231F20"/>
          <w:w w:val="110"/>
        </w:rPr>
        <w:t>poscapitalistas</w:t>
      </w:r>
      <w:r>
        <w:rPr>
          <w:color w:val="231F20"/>
          <w:spacing w:val="-10"/>
          <w:w w:val="110"/>
        </w:rPr>
        <w:t> </w:t>
      </w:r>
      <w:r>
        <w:rPr>
          <w:color w:val="231F20"/>
          <w:w w:val="110"/>
        </w:rPr>
        <w:t>y</w:t>
      </w:r>
      <w:r>
        <w:rPr>
          <w:color w:val="231F20"/>
          <w:spacing w:val="-10"/>
          <w:w w:val="110"/>
        </w:rPr>
        <w:t> </w:t>
      </w:r>
      <w:r>
        <w:rPr>
          <w:color w:val="231F20"/>
          <w:w w:val="110"/>
        </w:rPr>
        <w:t>antiimperialistas</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desenvuel- ven en la</w:t>
      </w:r>
      <w:r>
        <w:rPr>
          <w:color w:val="231F20"/>
          <w:spacing w:val="18"/>
          <w:w w:val="110"/>
        </w:rPr>
        <w:t> </w:t>
      </w:r>
      <w:r>
        <w:rPr>
          <w:color w:val="231F20"/>
          <w:w w:val="110"/>
        </w:rPr>
        <w:t>actualidad.</w:t>
      </w:r>
    </w:p>
    <w:p>
      <w:pPr>
        <w:pStyle w:val="BodyText"/>
        <w:spacing w:line="261" w:lineRule="auto"/>
        <w:ind w:left="100" w:right="119" w:firstLine="240"/>
        <w:jc w:val="both"/>
      </w:pPr>
      <w:r>
        <w:rPr>
          <w:color w:val="231F20"/>
          <w:spacing w:val="-4"/>
          <w:w w:val="110"/>
        </w:rPr>
        <w:t>Mucho</w:t>
      </w:r>
      <w:r>
        <w:rPr>
          <w:color w:val="231F20"/>
          <w:spacing w:val="-13"/>
          <w:w w:val="110"/>
        </w:rPr>
        <w:t> </w:t>
      </w:r>
      <w:r>
        <w:rPr>
          <w:color w:val="231F20"/>
          <w:spacing w:val="-3"/>
          <w:w w:val="110"/>
        </w:rPr>
        <w:t>más</w:t>
      </w:r>
      <w:r>
        <w:rPr>
          <w:color w:val="231F20"/>
          <w:spacing w:val="-13"/>
          <w:w w:val="110"/>
        </w:rPr>
        <w:t> </w:t>
      </w:r>
      <w:r>
        <w:rPr>
          <w:color w:val="231F20"/>
          <w:w w:val="110"/>
        </w:rPr>
        <w:t>en</w:t>
      </w:r>
      <w:r>
        <w:rPr>
          <w:color w:val="231F20"/>
          <w:spacing w:val="-13"/>
          <w:w w:val="110"/>
        </w:rPr>
        <w:t> </w:t>
      </w:r>
      <w:r>
        <w:rPr>
          <w:color w:val="231F20"/>
          <w:spacing w:val="-4"/>
          <w:w w:val="110"/>
        </w:rPr>
        <w:t>medio</w:t>
      </w:r>
      <w:r>
        <w:rPr>
          <w:color w:val="231F20"/>
          <w:spacing w:val="-13"/>
          <w:w w:val="110"/>
        </w:rPr>
        <w:t> </w:t>
      </w:r>
      <w:r>
        <w:rPr>
          <w:color w:val="231F20"/>
          <w:w w:val="110"/>
        </w:rPr>
        <w:t>de</w:t>
      </w:r>
      <w:r>
        <w:rPr>
          <w:color w:val="231F20"/>
          <w:spacing w:val="-13"/>
          <w:w w:val="110"/>
        </w:rPr>
        <w:t> </w:t>
      </w:r>
      <w:r>
        <w:rPr>
          <w:color w:val="231F20"/>
          <w:spacing w:val="-3"/>
          <w:w w:val="110"/>
        </w:rPr>
        <w:t>una</w:t>
      </w:r>
      <w:r>
        <w:rPr>
          <w:color w:val="231F20"/>
          <w:spacing w:val="-13"/>
          <w:w w:val="110"/>
        </w:rPr>
        <w:t> </w:t>
      </w:r>
      <w:r>
        <w:rPr>
          <w:color w:val="231F20"/>
          <w:spacing w:val="-4"/>
          <w:w w:val="110"/>
        </w:rPr>
        <w:t>crisis</w:t>
      </w:r>
      <w:r>
        <w:rPr>
          <w:color w:val="231F20"/>
          <w:spacing w:val="-13"/>
          <w:w w:val="110"/>
        </w:rPr>
        <w:t> </w:t>
      </w:r>
      <w:r>
        <w:rPr>
          <w:color w:val="231F20"/>
          <w:spacing w:val="-3"/>
          <w:w w:val="110"/>
        </w:rPr>
        <w:t>tan</w:t>
      </w:r>
      <w:r>
        <w:rPr>
          <w:color w:val="231F20"/>
          <w:spacing w:val="-13"/>
          <w:w w:val="110"/>
        </w:rPr>
        <w:t> </w:t>
      </w:r>
      <w:r>
        <w:rPr>
          <w:color w:val="231F20"/>
          <w:spacing w:val="-4"/>
          <w:w w:val="110"/>
        </w:rPr>
        <w:t>multifacética,</w:t>
      </w:r>
      <w:r>
        <w:rPr>
          <w:color w:val="231F20"/>
          <w:spacing w:val="-13"/>
          <w:w w:val="110"/>
        </w:rPr>
        <w:t> </w:t>
      </w:r>
      <w:r>
        <w:rPr>
          <w:color w:val="231F20"/>
          <w:spacing w:val="-4"/>
          <w:w w:val="110"/>
        </w:rPr>
        <w:t>sistémica</w:t>
      </w:r>
      <w:r>
        <w:rPr>
          <w:color w:val="231F20"/>
          <w:spacing w:val="-13"/>
          <w:w w:val="110"/>
        </w:rPr>
        <w:t> </w:t>
      </w:r>
      <w:r>
        <w:rPr>
          <w:color w:val="231F20"/>
          <w:w w:val="110"/>
        </w:rPr>
        <w:t>y</w:t>
      </w:r>
      <w:r>
        <w:rPr>
          <w:color w:val="231F20"/>
          <w:spacing w:val="-13"/>
          <w:w w:val="110"/>
        </w:rPr>
        <w:t> </w:t>
      </w:r>
      <w:r>
        <w:rPr>
          <w:color w:val="231F20"/>
          <w:spacing w:val="-4"/>
          <w:w w:val="110"/>
        </w:rPr>
        <w:t>pro- funda</w:t>
      </w:r>
      <w:r>
        <w:rPr>
          <w:color w:val="231F20"/>
          <w:spacing w:val="-24"/>
          <w:w w:val="110"/>
        </w:rPr>
        <w:t> </w:t>
      </w:r>
      <w:r>
        <w:rPr>
          <w:color w:val="231F20"/>
          <w:spacing w:val="-3"/>
          <w:w w:val="110"/>
        </w:rPr>
        <w:t>como</w:t>
      </w:r>
      <w:r>
        <w:rPr>
          <w:color w:val="231F20"/>
          <w:spacing w:val="-24"/>
          <w:w w:val="110"/>
        </w:rPr>
        <w:t> </w:t>
      </w:r>
      <w:r>
        <w:rPr>
          <w:color w:val="231F20"/>
          <w:w w:val="110"/>
        </w:rPr>
        <w:t>la</w:t>
      </w:r>
      <w:r>
        <w:rPr>
          <w:color w:val="231F20"/>
          <w:spacing w:val="-24"/>
          <w:w w:val="110"/>
        </w:rPr>
        <w:t> </w:t>
      </w:r>
      <w:r>
        <w:rPr>
          <w:color w:val="231F20"/>
          <w:spacing w:val="-3"/>
          <w:w w:val="110"/>
        </w:rPr>
        <w:t>que</w:t>
      </w:r>
      <w:r>
        <w:rPr>
          <w:color w:val="231F20"/>
          <w:spacing w:val="-24"/>
          <w:w w:val="110"/>
        </w:rPr>
        <w:t> </w:t>
      </w:r>
      <w:r>
        <w:rPr>
          <w:color w:val="231F20"/>
          <w:spacing w:val="-3"/>
          <w:w w:val="110"/>
        </w:rPr>
        <w:t>está</w:t>
      </w:r>
      <w:r>
        <w:rPr>
          <w:color w:val="231F20"/>
          <w:spacing w:val="-24"/>
          <w:w w:val="110"/>
        </w:rPr>
        <w:t> </w:t>
      </w:r>
      <w:r>
        <w:rPr>
          <w:color w:val="231F20"/>
          <w:spacing w:val="-4"/>
          <w:w w:val="110"/>
        </w:rPr>
        <w:t>viviendo</w:t>
      </w:r>
      <w:r>
        <w:rPr>
          <w:color w:val="231F20"/>
          <w:spacing w:val="-24"/>
          <w:w w:val="110"/>
        </w:rPr>
        <w:t> </w:t>
      </w:r>
      <w:r>
        <w:rPr>
          <w:color w:val="231F20"/>
          <w:w w:val="110"/>
        </w:rPr>
        <w:t>y</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spacing w:val="-4"/>
          <w:w w:val="110"/>
        </w:rPr>
        <w:t>futuro</w:t>
      </w:r>
      <w:r>
        <w:rPr>
          <w:color w:val="231F20"/>
          <w:spacing w:val="-24"/>
          <w:w w:val="110"/>
        </w:rPr>
        <w:t> </w:t>
      </w:r>
      <w:r>
        <w:rPr>
          <w:color w:val="231F20"/>
          <w:spacing w:val="-4"/>
          <w:w w:val="110"/>
        </w:rPr>
        <w:t>previsible</w:t>
      </w:r>
      <w:r>
        <w:rPr>
          <w:color w:val="231F20"/>
          <w:spacing w:val="-24"/>
          <w:w w:val="110"/>
        </w:rPr>
        <w:t> </w:t>
      </w:r>
      <w:r>
        <w:rPr>
          <w:color w:val="231F20"/>
          <w:spacing w:val="-4"/>
          <w:w w:val="110"/>
        </w:rPr>
        <w:t>vivirá</w:t>
      </w:r>
      <w:r>
        <w:rPr>
          <w:color w:val="231F20"/>
          <w:spacing w:val="-24"/>
          <w:w w:val="110"/>
        </w:rPr>
        <w:t> </w:t>
      </w:r>
      <w:r>
        <w:rPr>
          <w:color w:val="231F20"/>
          <w:w w:val="110"/>
        </w:rPr>
        <w:t>el</w:t>
      </w:r>
      <w:r>
        <w:rPr>
          <w:color w:val="231F20"/>
          <w:spacing w:val="-24"/>
          <w:w w:val="110"/>
        </w:rPr>
        <w:t> </w:t>
      </w:r>
      <w:r>
        <w:rPr>
          <w:color w:val="231F20"/>
          <w:spacing w:val="-4"/>
          <w:w w:val="110"/>
        </w:rPr>
        <w:t>sistema capitalista mundial </w:t>
      </w:r>
      <w:r>
        <w:rPr>
          <w:color w:val="231F20"/>
          <w:spacing w:val="-10"/>
          <w:w w:val="110"/>
        </w:rPr>
        <w:t>y, </w:t>
      </w:r>
      <w:r>
        <w:rPr>
          <w:color w:val="231F20"/>
          <w:w w:val="110"/>
        </w:rPr>
        <w:t>a </w:t>
      </w:r>
      <w:r>
        <w:rPr>
          <w:color w:val="231F20"/>
          <w:spacing w:val="-4"/>
          <w:w w:val="110"/>
        </w:rPr>
        <w:t>causa </w:t>
      </w:r>
      <w:r>
        <w:rPr>
          <w:color w:val="231F20"/>
          <w:w w:val="110"/>
        </w:rPr>
        <w:t>de </w:t>
      </w:r>
      <w:r>
        <w:rPr>
          <w:color w:val="231F20"/>
          <w:spacing w:val="-4"/>
          <w:w w:val="110"/>
        </w:rPr>
        <w:t>éste, nuestra “madre Tierra” (</w:t>
      </w:r>
      <w:r>
        <w:rPr>
          <w:i/>
          <w:color w:val="231F20"/>
          <w:spacing w:val="-4"/>
          <w:w w:val="110"/>
        </w:rPr>
        <w:t>pasha </w:t>
      </w:r>
      <w:r>
        <w:rPr>
          <w:i/>
          <w:color w:val="231F20"/>
          <w:spacing w:val="-4"/>
          <w:w w:val="110"/>
        </w:rPr>
        <w:t>mama)</w:t>
      </w:r>
      <w:r>
        <w:rPr>
          <w:color w:val="231F20"/>
          <w:spacing w:val="-4"/>
          <w:w w:val="110"/>
        </w:rPr>
        <w:t>. Coincidiendo </w:t>
      </w:r>
      <w:r>
        <w:rPr>
          <w:color w:val="231F20"/>
          <w:spacing w:val="-3"/>
          <w:w w:val="110"/>
        </w:rPr>
        <w:t>con </w:t>
      </w:r>
      <w:r>
        <w:rPr>
          <w:color w:val="231F20"/>
          <w:w w:val="110"/>
        </w:rPr>
        <w:t>lo </w:t>
      </w:r>
      <w:r>
        <w:rPr>
          <w:color w:val="231F20"/>
          <w:spacing w:val="-4"/>
          <w:w w:val="110"/>
        </w:rPr>
        <w:t>indicado </w:t>
      </w:r>
      <w:r>
        <w:rPr>
          <w:color w:val="231F20"/>
          <w:spacing w:val="-3"/>
          <w:w w:val="110"/>
        </w:rPr>
        <w:t>por </w:t>
      </w:r>
      <w:r>
        <w:rPr>
          <w:color w:val="231F20"/>
          <w:spacing w:val="-4"/>
          <w:w w:val="110"/>
        </w:rPr>
        <w:t>Fidel Castro (2010),</w:t>
      </w:r>
      <w:r>
        <w:rPr>
          <w:color w:val="231F20"/>
          <w:spacing w:val="-2"/>
          <w:w w:val="110"/>
        </w:rPr>
        <w:t> </w:t>
      </w:r>
      <w:r>
        <w:rPr>
          <w:color w:val="231F20"/>
          <w:spacing w:val="-3"/>
          <w:w w:val="110"/>
        </w:rPr>
        <w:t>esas</w:t>
      </w:r>
      <w:r>
        <w:rPr>
          <w:color w:val="231F20"/>
          <w:spacing w:val="-4"/>
          <w:w w:val="110"/>
        </w:rPr>
        <w:t> </w:t>
      </w:r>
      <w:r>
        <w:rPr>
          <w:color w:val="231F20"/>
          <w:spacing w:val="-3"/>
          <w:w w:val="110"/>
        </w:rPr>
        <w:t>su-</w:t>
      </w:r>
      <w:r>
        <w:rPr>
          <w:color w:val="231F20"/>
          <w:w w:val="72"/>
        </w:rPr>
        <w:t> </w:t>
      </w:r>
      <w:r>
        <w:rPr>
          <w:color w:val="231F20"/>
          <w:spacing w:val="-4"/>
          <w:w w:val="110"/>
        </w:rPr>
        <w:t>perpuestas</w:t>
      </w:r>
      <w:r>
        <w:rPr>
          <w:color w:val="231F20"/>
          <w:spacing w:val="-11"/>
          <w:w w:val="110"/>
        </w:rPr>
        <w:t> </w:t>
      </w:r>
      <w:r>
        <w:rPr>
          <w:color w:val="231F20"/>
          <w:spacing w:val="-4"/>
          <w:w w:val="110"/>
        </w:rPr>
        <w:t>crisis</w:t>
      </w:r>
      <w:r>
        <w:rPr>
          <w:color w:val="231F20"/>
          <w:spacing w:val="-11"/>
          <w:w w:val="110"/>
        </w:rPr>
        <w:t> </w:t>
      </w:r>
      <w:r>
        <w:rPr>
          <w:color w:val="231F20"/>
          <w:spacing w:val="-4"/>
          <w:w w:val="110"/>
        </w:rPr>
        <w:t>imponen</w:t>
      </w:r>
      <w:r>
        <w:rPr>
          <w:color w:val="231F20"/>
          <w:spacing w:val="-11"/>
          <w:w w:val="110"/>
        </w:rPr>
        <w:t> </w:t>
      </w:r>
      <w:r>
        <w:rPr>
          <w:color w:val="231F20"/>
          <w:w w:val="110"/>
        </w:rPr>
        <w:t>la</w:t>
      </w:r>
      <w:r>
        <w:rPr>
          <w:color w:val="231F20"/>
          <w:spacing w:val="-11"/>
          <w:w w:val="110"/>
        </w:rPr>
        <w:t> </w:t>
      </w:r>
      <w:r>
        <w:rPr>
          <w:color w:val="231F20"/>
          <w:spacing w:val="-4"/>
          <w:w w:val="110"/>
        </w:rPr>
        <w:t>búsqueda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4"/>
          <w:w w:val="110"/>
        </w:rPr>
        <w:t>mayor</w:t>
      </w:r>
      <w:r>
        <w:rPr>
          <w:color w:val="231F20"/>
          <w:spacing w:val="-11"/>
          <w:w w:val="110"/>
        </w:rPr>
        <w:t> </w:t>
      </w:r>
      <w:r>
        <w:rPr>
          <w:color w:val="231F20"/>
          <w:spacing w:val="-4"/>
          <w:w w:val="110"/>
        </w:rPr>
        <w:t>unidad</w:t>
      </w:r>
      <w:r>
        <w:rPr>
          <w:color w:val="231F20"/>
          <w:spacing w:val="-11"/>
          <w:w w:val="110"/>
        </w:rPr>
        <w:t> </w:t>
      </w:r>
      <w:r>
        <w:rPr>
          <w:color w:val="231F20"/>
          <w:spacing w:val="-4"/>
          <w:w w:val="110"/>
        </w:rPr>
        <w:t>posible</w:t>
      </w:r>
      <w:r>
        <w:rPr>
          <w:color w:val="231F20"/>
          <w:spacing w:val="-11"/>
          <w:w w:val="110"/>
        </w:rPr>
        <w:t> </w:t>
      </w:r>
      <w:r>
        <w:rPr>
          <w:color w:val="231F20"/>
          <w:spacing w:val="-4"/>
          <w:w w:val="110"/>
        </w:rPr>
        <w:t>entre </w:t>
      </w:r>
      <w:r>
        <w:rPr>
          <w:color w:val="231F20"/>
          <w:spacing w:val="-3"/>
          <w:w w:val="110"/>
        </w:rPr>
        <w:t>los</w:t>
      </w:r>
      <w:r>
        <w:rPr>
          <w:color w:val="231F20"/>
          <w:spacing w:val="-28"/>
          <w:w w:val="110"/>
        </w:rPr>
        <w:t> </w:t>
      </w:r>
      <w:r>
        <w:rPr>
          <w:color w:val="231F20"/>
          <w:spacing w:val="-3"/>
          <w:w w:val="110"/>
        </w:rPr>
        <w:t>más</w:t>
      </w:r>
      <w:r>
        <w:rPr>
          <w:color w:val="231F20"/>
          <w:spacing w:val="-28"/>
          <w:w w:val="110"/>
        </w:rPr>
        <w:t> </w:t>
      </w:r>
      <w:r>
        <w:rPr>
          <w:color w:val="231F20"/>
          <w:spacing w:val="-4"/>
          <w:w w:val="110"/>
        </w:rPr>
        <w:t>diversos</w:t>
      </w:r>
      <w:r>
        <w:rPr>
          <w:color w:val="231F20"/>
          <w:spacing w:val="-28"/>
          <w:w w:val="110"/>
        </w:rPr>
        <w:t> </w:t>
      </w:r>
      <w:r>
        <w:rPr>
          <w:color w:val="231F20"/>
          <w:spacing w:val="-4"/>
          <w:w w:val="110"/>
        </w:rPr>
        <w:t>“actores”</w:t>
      </w:r>
      <w:r>
        <w:rPr>
          <w:color w:val="231F20"/>
          <w:spacing w:val="-28"/>
          <w:w w:val="110"/>
        </w:rPr>
        <w:t> </w:t>
      </w:r>
      <w:r>
        <w:rPr>
          <w:color w:val="231F20"/>
          <w:spacing w:val="-4"/>
          <w:w w:val="110"/>
        </w:rPr>
        <w:t>sociales</w:t>
      </w:r>
      <w:r>
        <w:rPr>
          <w:color w:val="231F20"/>
          <w:spacing w:val="-28"/>
          <w:w w:val="110"/>
        </w:rPr>
        <w:t> </w:t>
      </w:r>
      <w:r>
        <w:rPr>
          <w:color w:val="231F20"/>
          <w:w w:val="110"/>
        </w:rPr>
        <w:t>y</w:t>
      </w:r>
      <w:r>
        <w:rPr>
          <w:color w:val="231F20"/>
          <w:spacing w:val="-28"/>
          <w:w w:val="110"/>
        </w:rPr>
        <w:t> </w:t>
      </w:r>
      <w:r>
        <w:rPr>
          <w:color w:val="231F20"/>
          <w:spacing w:val="-4"/>
          <w:w w:val="110"/>
        </w:rPr>
        <w:t>políticos,</w:t>
      </w:r>
      <w:r>
        <w:rPr>
          <w:color w:val="231F20"/>
          <w:spacing w:val="-28"/>
          <w:w w:val="110"/>
        </w:rPr>
        <w:t> </w:t>
      </w:r>
      <w:r>
        <w:rPr>
          <w:color w:val="231F20"/>
          <w:spacing w:val="-4"/>
          <w:w w:val="110"/>
        </w:rPr>
        <w:t>estatales</w:t>
      </w:r>
      <w:r>
        <w:rPr>
          <w:color w:val="231F20"/>
          <w:spacing w:val="-28"/>
          <w:w w:val="110"/>
        </w:rPr>
        <w:t> </w:t>
      </w:r>
      <w:r>
        <w:rPr>
          <w:color w:val="231F20"/>
          <w:w w:val="110"/>
        </w:rPr>
        <w:t>y</w:t>
      </w:r>
      <w:r>
        <w:rPr>
          <w:color w:val="231F20"/>
          <w:spacing w:val="-28"/>
          <w:w w:val="110"/>
        </w:rPr>
        <w:t> </w:t>
      </w:r>
      <w:r>
        <w:rPr>
          <w:color w:val="231F20"/>
          <w:w w:val="110"/>
        </w:rPr>
        <w:t>no</w:t>
      </w:r>
      <w:r>
        <w:rPr>
          <w:color w:val="231F20"/>
          <w:spacing w:val="-28"/>
          <w:w w:val="110"/>
        </w:rPr>
        <w:t> </w:t>
      </w:r>
      <w:r>
        <w:rPr>
          <w:color w:val="231F20"/>
          <w:spacing w:val="-4"/>
          <w:w w:val="110"/>
        </w:rPr>
        <w:t>estatales,</w:t>
      </w:r>
      <w:r>
        <w:rPr>
          <w:color w:val="231F20"/>
          <w:spacing w:val="-28"/>
          <w:w w:val="110"/>
        </w:rPr>
        <w:t> </w:t>
      </w:r>
      <w:r>
        <w:rPr>
          <w:color w:val="231F20"/>
          <w:spacing w:val="-3"/>
          <w:w w:val="110"/>
        </w:rPr>
        <w:t>he-</w:t>
      </w:r>
      <w:r>
        <w:rPr>
          <w:color w:val="231F20"/>
          <w:w w:val="72"/>
        </w:rPr>
        <w:t> </w:t>
      </w:r>
      <w:r>
        <w:rPr>
          <w:color w:val="231F20"/>
          <w:spacing w:val="-4"/>
          <w:w w:val="110"/>
        </w:rPr>
        <w:t>misféricos </w:t>
      </w:r>
      <w:r>
        <w:rPr>
          <w:color w:val="231F20"/>
          <w:w w:val="110"/>
        </w:rPr>
        <w:t>y </w:t>
      </w:r>
      <w:r>
        <w:rPr>
          <w:color w:val="231F20"/>
          <w:spacing w:val="-4"/>
          <w:w w:val="110"/>
        </w:rPr>
        <w:t>extrahemisféricos, interesados </w:t>
      </w:r>
      <w:r>
        <w:rPr>
          <w:color w:val="231F20"/>
          <w:w w:val="110"/>
        </w:rPr>
        <w:t>en </w:t>
      </w:r>
      <w:r>
        <w:rPr>
          <w:color w:val="231F20"/>
          <w:spacing w:val="-4"/>
          <w:w w:val="110"/>
        </w:rPr>
        <w:t>evitar </w:t>
      </w:r>
      <w:r>
        <w:rPr>
          <w:color w:val="231F20"/>
          <w:spacing w:val="-3"/>
          <w:w w:val="110"/>
        </w:rPr>
        <w:t>que </w:t>
      </w:r>
      <w:r>
        <w:rPr>
          <w:color w:val="231F20"/>
          <w:w w:val="110"/>
        </w:rPr>
        <w:t>la </w:t>
      </w:r>
      <w:r>
        <w:rPr>
          <w:color w:val="231F20"/>
          <w:spacing w:val="-4"/>
          <w:w w:val="110"/>
        </w:rPr>
        <w:t>humanidad </w:t>
      </w:r>
      <w:r>
        <w:rPr>
          <w:color w:val="231F20"/>
          <w:spacing w:val="-3"/>
          <w:w w:val="110"/>
        </w:rPr>
        <w:t>sea </w:t>
      </w:r>
      <w:r>
        <w:rPr>
          <w:color w:val="231F20"/>
          <w:spacing w:val="-4"/>
          <w:w w:val="110"/>
        </w:rPr>
        <w:t>arrastrada </w:t>
      </w:r>
      <w:r>
        <w:rPr>
          <w:color w:val="231F20"/>
          <w:w w:val="110"/>
        </w:rPr>
        <w:t>a </w:t>
      </w:r>
      <w:r>
        <w:rPr>
          <w:color w:val="231F20"/>
          <w:spacing w:val="-3"/>
          <w:w w:val="110"/>
        </w:rPr>
        <w:t>“una </w:t>
      </w:r>
      <w:r>
        <w:rPr>
          <w:color w:val="231F20"/>
          <w:spacing w:val="-4"/>
          <w:w w:val="110"/>
        </w:rPr>
        <w:t>catástrofe </w:t>
      </w:r>
      <w:r>
        <w:rPr>
          <w:color w:val="231F20"/>
          <w:spacing w:val="-3"/>
          <w:w w:val="110"/>
        </w:rPr>
        <w:t>que </w:t>
      </w:r>
      <w:r>
        <w:rPr>
          <w:color w:val="231F20"/>
          <w:spacing w:val="-4"/>
          <w:w w:val="110"/>
        </w:rPr>
        <w:t>puede conducir </w:t>
      </w:r>
      <w:r>
        <w:rPr>
          <w:color w:val="231F20"/>
          <w:w w:val="110"/>
        </w:rPr>
        <w:t>a la </w:t>
      </w:r>
      <w:r>
        <w:rPr>
          <w:color w:val="231F20"/>
          <w:spacing w:val="-4"/>
          <w:w w:val="110"/>
        </w:rPr>
        <w:t>extinción de nuestra especie”; </w:t>
      </w:r>
      <w:r>
        <w:rPr>
          <w:color w:val="231F20"/>
          <w:w w:val="110"/>
        </w:rPr>
        <w:t>ya </w:t>
      </w:r>
      <w:r>
        <w:rPr>
          <w:color w:val="231F20"/>
          <w:spacing w:val="-3"/>
          <w:w w:val="110"/>
        </w:rPr>
        <w:t>que </w:t>
      </w:r>
      <w:r>
        <w:rPr>
          <w:color w:val="231F20"/>
          <w:w w:val="110"/>
        </w:rPr>
        <w:t>si no se </w:t>
      </w:r>
      <w:r>
        <w:rPr>
          <w:color w:val="231F20"/>
          <w:spacing w:val="-4"/>
          <w:w w:val="110"/>
        </w:rPr>
        <w:t>evita </w:t>
      </w:r>
      <w:r>
        <w:rPr>
          <w:color w:val="231F20"/>
          <w:spacing w:val="-3"/>
          <w:w w:val="110"/>
        </w:rPr>
        <w:t>esa </w:t>
      </w:r>
      <w:r>
        <w:rPr>
          <w:color w:val="231F20"/>
          <w:spacing w:val="-4"/>
          <w:w w:val="110"/>
        </w:rPr>
        <w:t>catástrofe </w:t>
      </w:r>
      <w:r>
        <w:rPr>
          <w:color w:val="231F20"/>
          <w:spacing w:val="-3"/>
          <w:w w:val="110"/>
        </w:rPr>
        <w:t>será </w:t>
      </w:r>
      <w:r>
        <w:rPr>
          <w:color w:val="231F20"/>
          <w:spacing w:val="-4"/>
          <w:w w:val="110"/>
        </w:rPr>
        <w:t>inviable</w:t>
      </w:r>
      <w:r>
        <w:rPr>
          <w:color w:val="231F20"/>
          <w:spacing w:val="-15"/>
          <w:w w:val="110"/>
        </w:rPr>
        <w:t> </w:t>
      </w:r>
      <w:r>
        <w:rPr>
          <w:color w:val="231F20"/>
          <w:spacing w:val="-4"/>
          <w:w w:val="110"/>
        </w:rPr>
        <w:t>cual- quier proyecto </w:t>
      </w:r>
      <w:r>
        <w:rPr>
          <w:color w:val="231F20"/>
          <w:w w:val="110"/>
        </w:rPr>
        <w:t>de </w:t>
      </w:r>
      <w:r>
        <w:rPr>
          <w:color w:val="231F20"/>
          <w:spacing w:val="-4"/>
          <w:w w:val="110"/>
        </w:rPr>
        <w:t>emancipación nacional, social </w:t>
      </w:r>
      <w:r>
        <w:rPr>
          <w:color w:val="231F20"/>
          <w:w w:val="110"/>
        </w:rPr>
        <w:t>y </w:t>
      </w:r>
      <w:r>
        <w:rPr>
          <w:color w:val="231F20"/>
          <w:spacing w:val="-4"/>
          <w:w w:val="110"/>
        </w:rPr>
        <w:t>humana, </w:t>
      </w:r>
      <w:r>
        <w:rPr>
          <w:color w:val="231F20"/>
          <w:spacing w:val="-3"/>
          <w:w w:val="110"/>
        </w:rPr>
        <w:t>así </w:t>
      </w:r>
      <w:r>
        <w:rPr>
          <w:color w:val="231F20"/>
          <w:spacing w:val="-4"/>
          <w:w w:val="110"/>
        </w:rPr>
        <w:t>como, </w:t>
      </w:r>
      <w:r>
        <w:rPr>
          <w:color w:val="231F20"/>
          <w:w w:val="110"/>
        </w:rPr>
        <w:t>de </w:t>
      </w:r>
      <w:r>
        <w:rPr>
          <w:color w:val="231F20"/>
          <w:spacing w:val="-4"/>
          <w:w w:val="110"/>
        </w:rPr>
        <w:t>manera concomitante, </w:t>
      </w:r>
      <w:r>
        <w:rPr>
          <w:color w:val="231F20"/>
          <w:w w:val="110"/>
        </w:rPr>
        <w:t>de </w:t>
      </w:r>
      <w:r>
        <w:rPr>
          <w:color w:val="231F20"/>
          <w:spacing w:val="-4"/>
          <w:w w:val="110"/>
        </w:rPr>
        <w:t>unidad </w:t>
      </w:r>
      <w:r>
        <w:rPr>
          <w:color w:val="231F20"/>
          <w:w w:val="110"/>
        </w:rPr>
        <w:t>o </w:t>
      </w:r>
      <w:r>
        <w:rPr>
          <w:color w:val="231F20"/>
          <w:spacing w:val="-4"/>
          <w:w w:val="110"/>
        </w:rPr>
        <w:t>integración multidimensional de América</w:t>
      </w:r>
      <w:r>
        <w:rPr>
          <w:color w:val="231F20"/>
          <w:spacing w:val="-16"/>
          <w:w w:val="110"/>
        </w:rPr>
        <w:t> </w:t>
      </w:r>
      <w:r>
        <w:rPr>
          <w:color w:val="231F20"/>
          <w:spacing w:val="-4"/>
          <w:w w:val="110"/>
        </w:rPr>
        <w:t>Latina</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spacing w:val="-4"/>
          <w:w w:val="110"/>
        </w:rPr>
        <w:t>Caribe</w:t>
      </w:r>
      <w:r>
        <w:rPr>
          <w:color w:val="231F20"/>
          <w:spacing w:val="-16"/>
          <w:w w:val="110"/>
        </w:rPr>
        <w:t> </w:t>
      </w:r>
      <w:r>
        <w:rPr>
          <w:color w:val="231F20"/>
          <w:w w:val="110"/>
        </w:rPr>
        <w:t>o</w:t>
      </w:r>
      <w:r>
        <w:rPr>
          <w:color w:val="231F20"/>
          <w:spacing w:val="-16"/>
          <w:w w:val="110"/>
        </w:rPr>
        <w:t> </w:t>
      </w:r>
      <w:r>
        <w:rPr>
          <w:color w:val="231F20"/>
          <w:spacing w:val="-3"/>
          <w:w w:val="110"/>
        </w:rPr>
        <w:t>del</w:t>
      </w:r>
      <w:r>
        <w:rPr>
          <w:color w:val="231F20"/>
          <w:spacing w:val="-16"/>
          <w:w w:val="110"/>
        </w:rPr>
        <w:t> </w:t>
      </w:r>
      <w:r>
        <w:rPr>
          <w:color w:val="231F20"/>
          <w:spacing w:val="-4"/>
          <w:w w:val="110"/>
        </w:rPr>
        <w:t>“continente</w:t>
      </w:r>
      <w:r>
        <w:rPr>
          <w:color w:val="231F20"/>
          <w:spacing w:val="-16"/>
          <w:w w:val="110"/>
        </w:rPr>
        <w:t> </w:t>
      </w:r>
      <w:r>
        <w:rPr>
          <w:color w:val="231F20"/>
          <w:spacing w:val="-3"/>
          <w:w w:val="110"/>
        </w:rPr>
        <w:t>del</w:t>
      </w:r>
      <w:r>
        <w:rPr>
          <w:color w:val="231F20"/>
          <w:spacing w:val="-16"/>
          <w:w w:val="110"/>
        </w:rPr>
        <w:t> </w:t>
      </w:r>
      <w:r>
        <w:rPr>
          <w:i/>
          <w:color w:val="231F20"/>
          <w:spacing w:val="-3"/>
          <w:w w:val="110"/>
        </w:rPr>
        <w:t>Abya</w:t>
      </w:r>
      <w:r>
        <w:rPr>
          <w:i/>
          <w:color w:val="231F20"/>
          <w:spacing w:val="-16"/>
          <w:w w:val="110"/>
        </w:rPr>
        <w:t> </w:t>
      </w:r>
      <w:r>
        <w:rPr>
          <w:i/>
          <w:color w:val="231F20"/>
          <w:spacing w:val="-7"/>
          <w:w w:val="110"/>
        </w:rPr>
        <w:t>Yala”</w:t>
      </w:r>
      <w:r>
        <w:rPr>
          <w:color w:val="231F20"/>
          <w:spacing w:val="-7"/>
          <w:w w:val="110"/>
        </w:rPr>
        <w:t>.</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7" w:hanging="240"/>
        <w:jc w:val="both"/>
        <w:rPr>
          <w:sz w:val="18"/>
        </w:rPr>
      </w:pPr>
      <w:r>
        <w:rPr>
          <w:color w:val="231F20"/>
          <w:w w:val="110"/>
          <w:sz w:val="18"/>
        </w:rPr>
        <w:t>afd, 2009, “Programa de Construcción Militar/Año Fiscal 2010/Presupues- </w:t>
      </w:r>
      <w:r>
        <w:rPr>
          <w:color w:val="231F20"/>
          <w:w w:val="115"/>
          <w:sz w:val="18"/>
        </w:rPr>
        <w:t>t</w:t>
      </w:r>
      <w:r>
        <w:rPr>
          <w:color w:val="231F20"/>
          <w:w w:val="112"/>
          <w:sz w:val="18"/>
        </w:rPr>
        <w:t>o</w:t>
      </w:r>
      <w:r>
        <w:rPr>
          <w:color w:val="231F20"/>
          <w:w w:val="208"/>
          <w:sz w:val="18"/>
        </w:rPr>
        <w:t>/</w:t>
      </w:r>
      <w:r>
        <w:rPr>
          <w:color w:val="231F20"/>
          <w:w w:val="104"/>
          <w:sz w:val="18"/>
        </w:rPr>
        <w:t>Da</w:t>
      </w:r>
      <w:r>
        <w:rPr>
          <w:color w:val="231F20"/>
          <w:w w:val="115"/>
          <w:sz w:val="18"/>
        </w:rPr>
        <w:t>t</w:t>
      </w:r>
      <w:r>
        <w:rPr>
          <w:color w:val="231F20"/>
          <w:w w:val="112"/>
          <w:sz w:val="18"/>
        </w:rPr>
        <w:t>o</w:t>
      </w:r>
      <w:r>
        <w:rPr>
          <w:color w:val="231F20"/>
          <w:w w:val="92"/>
          <w:sz w:val="18"/>
        </w:rPr>
        <w:t>s</w:t>
      </w:r>
      <w:r>
        <w:rPr>
          <w:color w:val="231F20"/>
          <w:sz w:val="18"/>
        </w:rPr>
        <w:t> </w:t>
      </w:r>
      <w:r>
        <w:rPr>
          <w:color w:val="231F20"/>
          <w:spacing w:val="-8"/>
          <w:sz w:val="18"/>
        </w:rPr>
        <w:t> </w:t>
      </w:r>
      <w:r>
        <w:rPr>
          <w:color w:val="231F20"/>
          <w:w w:val="116"/>
          <w:sz w:val="18"/>
        </w:rPr>
        <w:t>d</w:t>
      </w:r>
      <w:r>
        <w:rPr>
          <w:color w:val="231F20"/>
          <w:w w:val="112"/>
          <w:sz w:val="18"/>
        </w:rPr>
        <w:t>e</w:t>
      </w:r>
      <w:r>
        <w:rPr>
          <w:color w:val="231F20"/>
          <w:sz w:val="18"/>
        </w:rPr>
        <w:t> </w:t>
      </w:r>
      <w:r>
        <w:rPr>
          <w:color w:val="231F20"/>
          <w:spacing w:val="-8"/>
          <w:sz w:val="18"/>
        </w:rPr>
        <w:t> </w:t>
      </w:r>
      <w:r>
        <w:rPr>
          <w:color w:val="231F20"/>
          <w:w w:val="87"/>
          <w:sz w:val="18"/>
        </w:rPr>
        <w:t>J</w:t>
      </w:r>
      <w:r>
        <w:rPr>
          <w:color w:val="231F20"/>
          <w:w w:val="116"/>
          <w:sz w:val="18"/>
        </w:rPr>
        <w:t>u</w:t>
      </w:r>
      <w:r>
        <w:rPr>
          <w:color w:val="231F20"/>
          <w:w w:val="92"/>
          <w:sz w:val="18"/>
        </w:rPr>
        <w:t>s</w:t>
      </w:r>
      <w:r>
        <w:rPr>
          <w:color w:val="231F20"/>
          <w:w w:val="115"/>
          <w:sz w:val="18"/>
        </w:rPr>
        <w:t>t</w:t>
      </w:r>
      <w:r>
        <w:rPr>
          <w:color w:val="231F20"/>
          <w:w w:val="99"/>
          <w:sz w:val="18"/>
        </w:rPr>
        <w:t>ifi</w:t>
      </w:r>
      <w:r>
        <w:rPr>
          <w:color w:val="231F20"/>
          <w:w w:val="103"/>
          <w:sz w:val="18"/>
        </w:rPr>
        <w:t>c</w:t>
      </w:r>
      <w:r>
        <w:rPr>
          <w:color w:val="231F20"/>
          <w:w w:val="108"/>
          <w:sz w:val="18"/>
        </w:rPr>
        <w:t>a</w:t>
      </w:r>
      <w:r>
        <w:rPr>
          <w:color w:val="231F20"/>
          <w:w w:val="103"/>
          <w:sz w:val="18"/>
        </w:rPr>
        <w:t>c</w:t>
      </w:r>
      <w:r>
        <w:rPr>
          <w:color w:val="231F20"/>
          <w:w w:val="100"/>
          <w:sz w:val="18"/>
        </w:rPr>
        <w:t>i</w:t>
      </w:r>
      <w:r>
        <w:rPr>
          <w:color w:val="231F20"/>
          <w:w w:val="116"/>
          <w:sz w:val="18"/>
        </w:rPr>
        <w:t>ón</w:t>
      </w:r>
      <w:r>
        <w:rPr>
          <w:color w:val="231F20"/>
          <w:sz w:val="18"/>
        </w:rPr>
        <w:t> </w:t>
      </w:r>
      <w:r>
        <w:rPr>
          <w:color w:val="231F20"/>
          <w:spacing w:val="-8"/>
          <w:sz w:val="18"/>
        </w:rPr>
        <w:t> </w:t>
      </w:r>
      <w:r>
        <w:rPr>
          <w:color w:val="231F20"/>
          <w:w w:val="112"/>
          <w:sz w:val="18"/>
        </w:rPr>
        <w:t>e</w:t>
      </w:r>
      <w:r>
        <w:rPr>
          <w:color w:val="231F20"/>
          <w:w w:val="120"/>
          <w:sz w:val="18"/>
        </w:rPr>
        <w:t>n</w:t>
      </w:r>
      <w:r>
        <w:rPr>
          <w:color w:val="231F20"/>
          <w:w w:val="115"/>
          <w:sz w:val="18"/>
        </w:rPr>
        <w:t>t</w:t>
      </w:r>
      <w:r>
        <w:rPr>
          <w:color w:val="231F20"/>
          <w:w w:val="120"/>
          <w:sz w:val="18"/>
        </w:rPr>
        <w:t>r</w:t>
      </w:r>
      <w:r>
        <w:rPr>
          <w:color w:val="231F20"/>
          <w:w w:val="108"/>
          <w:sz w:val="18"/>
        </w:rPr>
        <w:t>eg</w:t>
      </w:r>
      <w:r>
        <w:rPr>
          <w:color w:val="231F20"/>
          <w:w w:val="108"/>
          <w:sz w:val="18"/>
        </w:rPr>
        <w:t>a</w:t>
      </w:r>
      <w:r>
        <w:rPr>
          <w:color w:val="231F20"/>
          <w:w w:val="116"/>
          <w:sz w:val="18"/>
        </w:rPr>
        <w:t>d</w:t>
      </w:r>
      <w:r>
        <w:rPr>
          <w:color w:val="231F20"/>
          <w:w w:val="112"/>
          <w:sz w:val="18"/>
        </w:rPr>
        <w:t>o</w:t>
      </w:r>
      <w:r>
        <w:rPr>
          <w:color w:val="231F20"/>
          <w:w w:val="92"/>
          <w:sz w:val="18"/>
        </w:rPr>
        <w:t>s</w:t>
      </w:r>
      <w:r>
        <w:rPr>
          <w:color w:val="231F20"/>
          <w:sz w:val="18"/>
        </w:rPr>
        <w:t> </w:t>
      </w:r>
      <w:r>
        <w:rPr>
          <w:color w:val="231F20"/>
          <w:spacing w:val="-8"/>
          <w:sz w:val="18"/>
        </w:rPr>
        <w:t> </w:t>
      </w:r>
      <w:r>
        <w:rPr>
          <w:color w:val="231F20"/>
          <w:w w:val="108"/>
          <w:sz w:val="18"/>
        </w:rPr>
        <w:t>a</w:t>
      </w:r>
      <w:r>
        <w:rPr>
          <w:color w:val="231F20"/>
          <w:w w:val="100"/>
          <w:sz w:val="18"/>
        </w:rPr>
        <w:t>l</w:t>
      </w:r>
      <w:r>
        <w:rPr>
          <w:color w:val="231F20"/>
          <w:sz w:val="18"/>
        </w:rPr>
        <w:t> </w:t>
      </w:r>
      <w:r>
        <w:rPr>
          <w:color w:val="231F20"/>
          <w:spacing w:val="-8"/>
          <w:sz w:val="18"/>
        </w:rPr>
        <w:t> </w:t>
      </w:r>
      <w:r>
        <w:rPr>
          <w:color w:val="231F20"/>
          <w:w w:val="101"/>
          <w:sz w:val="18"/>
        </w:rPr>
        <w:t>C</w:t>
      </w:r>
      <w:r>
        <w:rPr>
          <w:color w:val="231F20"/>
          <w:w w:val="112"/>
          <w:sz w:val="18"/>
        </w:rPr>
        <w:t>ong</w:t>
      </w:r>
      <w:r>
        <w:rPr>
          <w:color w:val="231F20"/>
          <w:w w:val="120"/>
          <w:sz w:val="18"/>
        </w:rPr>
        <w:t>r</w:t>
      </w:r>
      <w:r>
        <w:rPr>
          <w:color w:val="231F20"/>
          <w:w w:val="112"/>
          <w:sz w:val="18"/>
        </w:rPr>
        <w:t>e</w:t>
      </w:r>
      <w:r>
        <w:rPr>
          <w:color w:val="231F20"/>
          <w:w w:val="92"/>
          <w:sz w:val="18"/>
        </w:rPr>
        <w:t>s</w:t>
      </w:r>
      <w:r>
        <w:rPr>
          <w:color w:val="231F20"/>
          <w:w w:val="112"/>
          <w:sz w:val="18"/>
        </w:rPr>
        <w:t>o</w:t>
      </w:r>
      <w:r>
        <w:rPr>
          <w:color w:val="231F20"/>
          <w:sz w:val="18"/>
        </w:rPr>
        <w:t> </w:t>
      </w:r>
      <w:r>
        <w:rPr>
          <w:color w:val="231F20"/>
          <w:spacing w:val="-8"/>
          <w:sz w:val="18"/>
        </w:rPr>
        <w:t> </w:t>
      </w:r>
      <w:r>
        <w:rPr>
          <w:color w:val="231F20"/>
          <w:w w:val="114"/>
          <w:sz w:val="18"/>
        </w:rPr>
        <w:t>de</w:t>
      </w:r>
      <w:r>
        <w:rPr>
          <w:color w:val="231F20"/>
          <w:sz w:val="18"/>
        </w:rPr>
        <w:t> </w:t>
      </w:r>
      <w:r>
        <w:rPr>
          <w:color w:val="231F20"/>
          <w:spacing w:val="-8"/>
          <w:sz w:val="18"/>
        </w:rPr>
        <w:t> </w:t>
      </w:r>
      <w:r>
        <w:rPr>
          <w:color w:val="231F20"/>
          <w:w w:val="101"/>
          <w:sz w:val="18"/>
        </w:rPr>
        <w:t>E</w:t>
      </w:r>
      <w:r>
        <w:rPr>
          <w:color w:val="231F20"/>
          <w:w w:val="92"/>
          <w:sz w:val="18"/>
        </w:rPr>
        <w:t>s</w:t>
      </w:r>
      <w:r>
        <w:rPr>
          <w:color w:val="231F20"/>
          <w:w w:val="115"/>
          <w:sz w:val="18"/>
        </w:rPr>
        <w:t>t</w:t>
      </w:r>
      <w:r>
        <w:rPr>
          <w:color w:val="231F20"/>
          <w:w w:val="108"/>
          <w:sz w:val="18"/>
        </w:rPr>
        <w:t>a</w:t>
      </w:r>
      <w:r>
        <w:rPr>
          <w:color w:val="231F20"/>
          <w:w w:val="114"/>
          <w:sz w:val="18"/>
        </w:rPr>
        <w:t>do</w:t>
      </w:r>
      <w:r>
        <w:rPr>
          <w:color w:val="231F20"/>
          <w:w w:val="92"/>
          <w:sz w:val="18"/>
        </w:rPr>
        <w:t>s</w:t>
      </w:r>
      <w:r>
        <w:rPr>
          <w:color w:val="231F20"/>
          <w:sz w:val="18"/>
        </w:rPr>
        <w:t> </w:t>
      </w:r>
      <w:r>
        <w:rPr>
          <w:color w:val="231F20"/>
          <w:spacing w:val="-8"/>
          <w:sz w:val="18"/>
        </w:rPr>
        <w:t> </w:t>
      </w:r>
      <w:r>
        <w:rPr>
          <w:color w:val="231F20"/>
          <w:w w:val="108"/>
          <w:sz w:val="18"/>
        </w:rPr>
        <w:t>U</w:t>
      </w:r>
      <w:r>
        <w:rPr>
          <w:color w:val="231F20"/>
          <w:w w:val="120"/>
          <w:sz w:val="18"/>
        </w:rPr>
        <w:t>n</w:t>
      </w:r>
      <w:r>
        <w:rPr>
          <w:color w:val="231F20"/>
          <w:w w:val="110"/>
          <w:sz w:val="18"/>
        </w:rPr>
        <w:t>id</w:t>
      </w:r>
      <w:r>
        <w:rPr>
          <w:color w:val="231F20"/>
          <w:w w:val="112"/>
          <w:sz w:val="18"/>
        </w:rPr>
        <w:t>o</w:t>
      </w:r>
      <w:r>
        <w:rPr>
          <w:color w:val="231F20"/>
          <w:w w:val="92"/>
          <w:sz w:val="18"/>
        </w:rPr>
        <w:t>s</w:t>
      </w:r>
      <w:r>
        <w:rPr>
          <w:color w:val="231F20"/>
          <w:w w:val="90"/>
          <w:sz w:val="18"/>
        </w:rPr>
        <w:t>”</w:t>
      </w:r>
      <w:r>
        <w:rPr>
          <w:color w:val="231F20"/>
          <w:w w:val="104"/>
          <w:sz w:val="18"/>
        </w:rPr>
        <w:t>, </w:t>
      </w:r>
      <w:r>
        <w:rPr>
          <w:color w:val="231F20"/>
          <w:w w:val="110"/>
          <w:sz w:val="18"/>
        </w:rPr>
        <w:t>mayo, traducción no oficial realizada por Eva</w:t>
      </w:r>
      <w:r>
        <w:rPr>
          <w:color w:val="231F20"/>
          <w:spacing w:val="-26"/>
          <w:w w:val="110"/>
          <w:sz w:val="18"/>
        </w:rPr>
        <w:t> </w:t>
      </w:r>
      <w:r>
        <w:rPr>
          <w:color w:val="231F20"/>
          <w:w w:val="110"/>
          <w:sz w:val="18"/>
        </w:rPr>
        <w:t>Golinger.</w:t>
      </w:r>
    </w:p>
    <w:p>
      <w:pPr>
        <w:spacing w:line="254" w:lineRule="auto" w:before="1"/>
        <w:ind w:left="340" w:right="119" w:hanging="240"/>
        <w:jc w:val="both"/>
        <w:rPr>
          <w:sz w:val="18"/>
        </w:rPr>
      </w:pPr>
      <w:r>
        <w:rPr>
          <w:color w:val="231F20"/>
          <w:w w:val="105"/>
          <w:sz w:val="18"/>
        </w:rPr>
        <w:t>afp, 2010, “EEUU realizará ejercicios militares con 16 países latinoamerica- nos”, Washington, 13 de  agosto.</w:t>
      </w:r>
    </w:p>
    <w:p>
      <w:pPr>
        <w:spacing w:line="254" w:lineRule="auto" w:before="1"/>
        <w:ind w:left="340" w:right="117" w:hanging="240"/>
        <w:jc w:val="both"/>
        <w:rPr>
          <w:sz w:val="18"/>
        </w:rPr>
      </w:pPr>
      <w:r>
        <w:rPr>
          <w:color w:val="231F20"/>
          <w:w w:val="110"/>
          <w:sz w:val="18"/>
        </w:rPr>
        <w:t>alba,</w:t>
      </w:r>
      <w:r>
        <w:rPr>
          <w:color w:val="231F20"/>
          <w:spacing w:val="-7"/>
          <w:w w:val="110"/>
          <w:sz w:val="18"/>
        </w:rPr>
        <w:t> </w:t>
      </w:r>
      <w:r>
        <w:rPr>
          <w:color w:val="231F20"/>
          <w:w w:val="110"/>
          <w:sz w:val="18"/>
        </w:rPr>
        <w:t>2009,</w:t>
      </w:r>
      <w:r>
        <w:rPr>
          <w:color w:val="231F20"/>
          <w:spacing w:val="-7"/>
          <w:w w:val="110"/>
          <w:sz w:val="18"/>
        </w:rPr>
        <w:t> </w:t>
      </w:r>
      <w:r>
        <w:rPr>
          <w:color w:val="231F20"/>
          <w:w w:val="110"/>
          <w:sz w:val="18"/>
        </w:rPr>
        <w:t>“Declaración</w:t>
      </w:r>
      <w:r>
        <w:rPr>
          <w:color w:val="231F20"/>
          <w:spacing w:val="-7"/>
          <w:w w:val="110"/>
          <w:sz w:val="18"/>
        </w:rPr>
        <w:t> </w:t>
      </w:r>
      <w:r>
        <w:rPr>
          <w:color w:val="231F20"/>
          <w:w w:val="110"/>
          <w:sz w:val="18"/>
        </w:rPr>
        <w:t>de</w:t>
      </w:r>
      <w:r>
        <w:rPr>
          <w:color w:val="231F20"/>
          <w:spacing w:val="-7"/>
          <w:w w:val="110"/>
          <w:sz w:val="18"/>
        </w:rPr>
        <w:t> </w:t>
      </w:r>
      <w:r>
        <w:rPr>
          <w:color w:val="231F20"/>
          <w:w w:val="110"/>
          <w:sz w:val="18"/>
        </w:rPr>
        <w:t>Cumaná”,</w:t>
      </w:r>
      <w:r>
        <w:rPr>
          <w:color w:val="231F20"/>
          <w:spacing w:val="-7"/>
          <w:w w:val="110"/>
          <w:sz w:val="18"/>
        </w:rPr>
        <w:t> </w:t>
      </w:r>
      <w:r>
        <w:rPr>
          <w:color w:val="231F20"/>
          <w:w w:val="110"/>
          <w:sz w:val="18"/>
        </w:rPr>
        <w:t>República</w:t>
      </w:r>
      <w:r>
        <w:rPr>
          <w:color w:val="231F20"/>
          <w:spacing w:val="-7"/>
          <w:w w:val="110"/>
          <w:sz w:val="18"/>
        </w:rPr>
        <w:t> </w:t>
      </w:r>
      <w:r>
        <w:rPr>
          <w:color w:val="231F20"/>
          <w:w w:val="110"/>
          <w:sz w:val="18"/>
        </w:rPr>
        <w:t>Bolivariana</w:t>
      </w:r>
      <w:r>
        <w:rPr>
          <w:color w:val="231F20"/>
          <w:spacing w:val="-7"/>
          <w:w w:val="110"/>
          <w:sz w:val="18"/>
        </w:rPr>
        <w:t> </w:t>
      </w:r>
      <w:r>
        <w:rPr>
          <w:color w:val="231F20"/>
          <w:w w:val="110"/>
          <w:sz w:val="18"/>
        </w:rPr>
        <w:t>de</w:t>
      </w:r>
      <w:r>
        <w:rPr>
          <w:color w:val="231F20"/>
          <w:spacing w:val="-7"/>
          <w:w w:val="110"/>
          <w:sz w:val="18"/>
        </w:rPr>
        <w:t> </w:t>
      </w:r>
      <w:r>
        <w:rPr>
          <w:color w:val="231F20"/>
          <w:w w:val="110"/>
          <w:sz w:val="18"/>
        </w:rPr>
        <w:t>Venezuela, 17 de abril, mimeografiado, La</w:t>
      </w:r>
      <w:r>
        <w:rPr>
          <w:color w:val="231F20"/>
          <w:spacing w:val="21"/>
          <w:w w:val="110"/>
          <w:sz w:val="18"/>
        </w:rPr>
        <w:t> </w:t>
      </w:r>
      <w:r>
        <w:rPr>
          <w:color w:val="231F20"/>
          <w:w w:val="110"/>
          <w:sz w:val="18"/>
        </w:rPr>
        <w:t>Habana.</w:t>
      </w:r>
    </w:p>
    <w:p>
      <w:pPr>
        <w:spacing w:line="222" w:lineRule="exact" w:before="0"/>
        <w:ind w:left="340" w:right="0" w:hanging="240"/>
        <w:jc w:val="both"/>
        <w:rPr>
          <w:sz w:val="18"/>
        </w:rPr>
      </w:pPr>
      <w:r>
        <w:rPr>
          <w:color w:val="231F20"/>
          <w:w w:val="105"/>
          <w:sz w:val="18"/>
        </w:rPr>
        <w:t>Antunes,  Claudia,  2010,  </w:t>
      </w:r>
      <w:r>
        <w:rPr>
          <w:rFonts w:ascii="Sitka Heading" w:hAnsi="Sitka Heading"/>
          <w:b/>
          <w:color w:val="231F20"/>
          <w:w w:val="105"/>
          <w:sz w:val="18"/>
        </w:rPr>
        <w:t>“</w:t>
      </w:r>
      <w:r>
        <w:rPr>
          <w:color w:val="231F20"/>
          <w:w w:val="105"/>
          <w:sz w:val="18"/>
        </w:rPr>
        <w:t>Estados  Unidos  fazem  “espionagem  decadente”,</w:t>
      </w:r>
    </w:p>
    <w:p>
      <w:pPr>
        <w:spacing w:line="254" w:lineRule="auto" w:before="0"/>
        <w:ind w:left="340" w:right="25" w:firstLine="0"/>
        <w:jc w:val="left"/>
        <w:rPr>
          <w:sz w:val="18"/>
        </w:rPr>
      </w:pPr>
      <w:r>
        <w:rPr>
          <w:color w:val="231F20"/>
          <w:sz w:val="18"/>
        </w:rPr>
        <w:t>diz vice-presidente da Bolívia”, en </w:t>
      </w:r>
      <w:r>
        <w:rPr>
          <w:i/>
          <w:color w:val="231F20"/>
          <w:sz w:val="18"/>
        </w:rPr>
        <w:t>Servicio Informativo del Movimiento de los </w:t>
      </w:r>
      <w:r>
        <w:rPr>
          <w:i/>
          <w:color w:val="231F20"/>
          <w:sz w:val="18"/>
        </w:rPr>
        <w:t>Trabajadores sin Tierra, </w:t>
      </w:r>
      <w:r>
        <w:rPr>
          <w:color w:val="231F20"/>
          <w:sz w:val="18"/>
        </w:rPr>
        <w:t>Brasil, 16 de   diciembre.</w:t>
      </w:r>
    </w:p>
    <w:p>
      <w:pPr>
        <w:spacing w:line="254" w:lineRule="auto" w:before="1"/>
        <w:ind w:left="340" w:right="117" w:hanging="240"/>
        <w:jc w:val="both"/>
        <w:rPr>
          <w:sz w:val="18"/>
        </w:rPr>
      </w:pPr>
      <w:r>
        <w:rPr>
          <w:color w:val="231F20"/>
          <w:w w:val="105"/>
          <w:sz w:val="18"/>
        </w:rPr>
        <w:t>bbc, 2009, “Irán ‘subversivo con América Latina”, </w:t>
      </w:r>
      <w:r>
        <w:rPr>
          <w:i/>
          <w:color w:val="231F20"/>
          <w:w w:val="105"/>
          <w:sz w:val="18"/>
        </w:rPr>
        <w:t>Redacción BBC Mundo</w:t>
      </w:r>
      <w:r>
        <w:rPr>
          <w:color w:val="231F20"/>
          <w:w w:val="105"/>
          <w:sz w:val="18"/>
        </w:rPr>
        <w:t>, 28 de  enero.</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60" w:right="117" w:hanging="240"/>
        <w:jc w:val="both"/>
        <w:rPr>
          <w:sz w:val="18"/>
        </w:rPr>
      </w:pPr>
      <w:r>
        <w:rPr>
          <w:color w:val="231F20"/>
          <w:w w:val="110"/>
          <w:sz w:val="18"/>
        </w:rPr>
        <w:t>Bellina,</w:t>
      </w:r>
      <w:r>
        <w:rPr>
          <w:color w:val="231F20"/>
          <w:spacing w:val="-25"/>
          <w:w w:val="110"/>
          <w:sz w:val="18"/>
        </w:rPr>
        <w:t> </w:t>
      </w:r>
      <w:r>
        <w:rPr>
          <w:color w:val="231F20"/>
          <w:w w:val="110"/>
          <w:sz w:val="18"/>
        </w:rPr>
        <w:t>José</w:t>
      </w:r>
      <w:r>
        <w:rPr>
          <w:color w:val="231F20"/>
          <w:spacing w:val="-25"/>
          <w:w w:val="110"/>
          <w:sz w:val="18"/>
        </w:rPr>
        <w:t> </w:t>
      </w:r>
      <w:r>
        <w:rPr>
          <w:color w:val="231F20"/>
          <w:w w:val="110"/>
          <w:sz w:val="18"/>
        </w:rPr>
        <w:t>Antonio,</w:t>
      </w:r>
      <w:r>
        <w:rPr>
          <w:color w:val="231F20"/>
          <w:spacing w:val="-25"/>
          <w:w w:val="110"/>
          <w:sz w:val="18"/>
        </w:rPr>
        <w:t> </w:t>
      </w:r>
      <w:r>
        <w:rPr>
          <w:color w:val="231F20"/>
          <w:w w:val="110"/>
          <w:sz w:val="18"/>
        </w:rPr>
        <w:t>2009,</w:t>
      </w:r>
      <w:r>
        <w:rPr>
          <w:color w:val="231F20"/>
          <w:spacing w:val="-25"/>
          <w:w w:val="110"/>
          <w:sz w:val="18"/>
        </w:rPr>
        <w:t> </w:t>
      </w:r>
      <w:r>
        <w:rPr>
          <w:color w:val="231F20"/>
          <w:w w:val="110"/>
          <w:sz w:val="18"/>
        </w:rPr>
        <w:t>“Perú</w:t>
      </w:r>
      <w:r>
        <w:rPr>
          <w:color w:val="231F20"/>
          <w:spacing w:val="-25"/>
          <w:w w:val="110"/>
          <w:sz w:val="18"/>
        </w:rPr>
        <w:t> </w:t>
      </w:r>
      <w:r>
        <w:rPr>
          <w:color w:val="231F20"/>
          <w:w w:val="110"/>
          <w:sz w:val="18"/>
        </w:rPr>
        <w:t>y</w:t>
      </w:r>
      <w:r>
        <w:rPr>
          <w:color w:val="231F20"/>
          <w:spacing w:val="-25"/>
          <w:w w:val="110"/>
          <w:sz w:val="18"/>
        </w:rPr>
        <w:t> </w:t>
      </w:r>
      <w:r>
        <w:rPr>
          <w:color w:val="231F20"/>
          <w:w w:val="110"/>
          <w:sz w:val="18"/>
        </w:rPr>
        <w:t>Estados</w:t>
      </w:r>
      <w:r>
        <w:rPr>
          <w:color w:val="231F20"/>
          <w:spacing w:val="-25"/>
          <w:w w:val="110"/>
          <w:sz w:val="18"/>
        </w:rPr>
        <w:t> </w:t>
      </w:r>
      <w:r>
        <w:rPr>
          <w:color w:val="231F20"/>
          <w:w w:val="110"/>
          <w:sz w:val="18"/>
        </w:rPr>
        <w:t>Unidos:</w:t>
      </w:r>
      <w:r>
        <w:rPr>
          <w:color w:val="231F20"/>
          <w:spacing w:val="-25"/>
          <w:w w:val="110"/>
          <w:sz w:val="18"/>
        </w:rPr>
        <w:t> </w:t>
      </w:r>
      <w:r>
        <w:rPr>
          <w:color w:val="231F20"/>
          <w:w w:val="110"/>
          <w:sz w:val="18"/>
        </w:rPr>
        <w:t>una</w:t>
      </w:r>
      <w:r>
        <w:rPr>
          <w:color w:val="231F20"/>
          <w:spacing w:val="-25"/>
          <w:w w:val="110"/>
          <w:sz w:val="18"/>
        </w:rPr>
        <w:t> </w:t>
      </w:r>
      <w:r>
        <w:rPr>
          <w:color w:val="231F20"/>
          <w:w w:val="110"/>
          <w:sz w:val="18"/>
        </w:rPr>
        <w:t>nueva</w:t>
      </w:r>
      <w:r>
        <w:rPr>
          <w:color w:val="231F20"/>
          <w:spacing w:val="-25"/>
          <w:w w:val="110"/>
          <w:sz w:val="18"/>
        </w:rPr>
        <w:t> </w:t>
      </w:r>
      <w:r>
        <w:rPr>
          <w:color w:val="231F20"/>
          <w:w w:val="110"/>
          <w:sz w:val="18"/>
        </w:rPr>
        <w:t>aproximación en materia de defensa”, </w:t>
      </w:r>
      <w:r>
        <w:rPr>
          <w:i/>
          <w:color w:val="231F20"/>
          <w:w w:val="110"/>
          <w:sz w:val="18"/>
        </w:rPr>
        <w:t>Boletín electrónico del </w:t>
      </w:r>
      <w:r>
        <w:rPr>
          <w:i/>
          <w:color w:val="231F20"/>
          <w:w w:val="110"/>
          <w:sz w:val="13"/>
        </w:rPr>
        <w:t>idei</w:t>
      </w:r>
      <w:r>
        <w:rPr>
          <w:color w:val="231F20"/>
          <w:w w:val="110"/>
          <w:sz w:val="18"/>
        </w:rPr>
        <w:t>, año 1, núm. 4, Lima, septiembre-octubre.</w:t>
      </w:r>
    </w:p>
    <w:p>
      <w:pPr>
        <w:spacing w:line="254" w:lineRule="auto" w:before="1"/>
        <w:ind w:left="120" w:right="111" w:firstLine="0"/>
        <w:jc w:val="left"/>
        <w:rPr>
          <w:sz w:val="18"/>
        </w:rPr>
      </w:pPr>
      <w:r>
        <w:rPr>
          <w:color w:val="231F20"/>
          <w:sz w:val="18"/>
        </w:rPr>
        <w:t>Bigott, Luis, 2010, </w:t>
      </w:r>
      <w:r>
        <w:rPr>
          <w:i/>
          <w:color w:val="231F20"/>
          <w:sz w:val="18"/>
        </w:rPr>
        <w:t>Otra vez y ahora sí Bolívar contra Monroe</w:t>
      </w:r>
      <w:r>
        <w:rPr>
          <w:color w:val="231F20"/>
          <w:sz w:val="18"/>
        </w:rPr>
        <w:t>, Trinchera, Caracas. Borón,  Atilio,  2010,  “Lugo  y  el  narcofascismo”,  La  Habana,  </w:t>
      </w:r>
      <w:r>
        <w:rPr>
          <w:i/>
          <w:color w:val="231F20"/>
          <w:sz w:val="18"/>
        </w:rPr>
        <w:t>Entorno</w:t>
      </w:r>
      <w:r>
        <w:rPr>
          <w:color w:val="231F20"/>
          <w:sz w:val="18"/>
        </w:rPr>
        <w:t>,  año 8,</w:t>
      </w:r>
    </w:p>
    <w:p>
      <w:pPr>
        <w:spacing w:before="1"/>
        <w:ind w:left="360" w:right="25" w:firstLine="0"/>
        <w:jc w:val="left"/>
        <w:rPr>
          <w:sz w:val="18"/>
        </w:rPr>
      </w:pPr>
      <w:r>
        <w:rPr>
          <w:color w:val="231F20"/>
          <w:w w:val="110"/>
          <w:sz w:val="18"/>
        </w:rPr>
        <w:t>núm. 66.</w:t>
      </w:r>
    </w:p>
    <w:p>
      <w:pPr>
        <w:spacing w:line="254" w:lineRule="auto" w:before="13"/>
        <w:ind w:left="360" w:right="112" w:hanging="240"/>
        <w:jc w:val="both"/>
        <w:rPr>
          <w:sz w:val="18"/>
        </w:rPr>
      </w:pPr>
      <w:r>
        <w:rPr>
          <w:color w:val="231F20"/>
          <w:w w:val="105"/>
          <w:sz w:val="18"/>
        </w:rPr>
        <w:t>Boron, Atilio, 2010a, “Obama, un año después” en </w:t>
      </w:r>
      <w:r>
        <w:rPr>
          <w:i/>
          <w:color w:val="231F20"/>
          <w:w w:val="105"/>
          <w:sz w:val="18"/>
        </w:rPr>
        <w:t>Servicio Informativo </w:t>
      </w:r>
      <w:r>
        <w:rPr>
          <w:i/>
          <w:color w:val="231F20"/>
          <w:w w:val="105"/>
          <w:sz w:val="18"/>
        </w:rPr>
        <w:t>Alai-amlatina</w:t>
      </w:r>
      <w:r>
        <w:rPr>
          <w:color w:val="231F20"/>
          <w:w w:val="105"/>
          <w:sz w:val="18"/>
        </w:rPr>
        <w:t>, 28 de  enero.</w:t>
      </w:r>
    </w:p>
    <w:p>
      <w:pPr>
        <w:spacing w:line="254" w:lineRule="auto" w:before="1"/>
        <w:ind w:left="360" w:right="117" w:hanging="240"/>
        <w:jc w:val="both"/>
        <w:rPr>
          <w:sz w:val="18"/>
        </w:rPr>
      </w:pPr>
      <w:r>
        <w:rPr>
          <w:color w:val="231F20"/>
          <w:w w:val="105"/>
          <w:sz w:val="18"/>
        </w:rPr>
        <w:t>Brooks, David, 2010, “Para el gobierno de Barack Obama el mundo es cada vez más peligroso”, México, </w:t>
      </w:r>
      <w:r>
        <w:rPr>
          <w:i/>
          <w:color w:val="231F20"/>
          <w:w w:val="105"/>
          <w:sz w:val="18"/>
        </w:rPr>
        <w:t>La Jornada</w:t>
      </w:r>
      <w:r>
        <w:rPr>
          <w:color w:val="231F20"/>
          <w:w w:val="105"/>
          <w:sz w:val="18"/>
        </w:rPr>
        <w:t>, 2 de  febrero.</w:t>
      </w:r>
    </w:p>
    <w:p>
      <w:pPr>
        <w:spacing w:line="254" w:lineRule="auto" w:before="1"/>
        <w:ind w:left="360" w:right="115" w:hanging="240"/>
        <w:jc w:val="both"/>
        <w:rPr>
          <w:sz w:val="18"/>
        </w:rPr>
      </w:pPr>
      <w:r>
        <w:rPr>
          <w:color w:val="231F20"/>
          <w:w w:val="110"/>
          <w:sz w:val="18"/>
        </w:rPr>
        <w:t>Castillo Caballero, Orlando, 2009, “Peligrosamente disfrazados: ejercicios militares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EEUU</w:t>
      </w:r>
      <w:r>
        <w:rPr>
          <w:color w:val="231F20"/>
          <w:spacing w:val="-12"/>
          <w:w w:val="110"/>
          <w:sz w:val="18"/>
        </w:rPr>
        <w:t> </w:t>
      </w:r>
      <w:r>
        <w:rPr>
          <w:color w:val="231F20"/>
          <w:w w:val="110"/>
          <w:sz w:val="18"/>
        </w:rPr>
        <w:t>continúan</w:t>
      </w:r>
      <w:r>
        <w:rPr>
          <w:color w:val="231F20"/>
          <w:spacing w:val="-12"/>
          <w:w w:val="110"/>
          <w:sz w:val="18"/>
        </w:rPr>
        <w:t> </w:t>
      </w:r>
      <w:r>
        <w:rPr>
          <w:color w:val="231F20"/>
          <w:w w:val="110"/>
          <w:sz w:val="18"/>
        </w:rPr>
        <w:t>en</w:t>
      </w:r>
      <w:r>
        <w:rPr>
          <w:color w:val="231F20"/>
          <w:spacing w:val="-12"/>
          <w:w w:val="110"/>
          <w:sz w:val="18"/>
        </w:rPr>
        <w:t> </w:t>
      </w:r>
      <w:r>
        <w:rPr>
          <w:color w:val="231F20"/>
          <w:w w:val="110"/>
          <w:sz w:val="18"/>
        </w:rPr>
        <w:t>Paraguay”,</w:t>
      </w:r>
      <w:r>
        <w:rPr>
          <w:color w:val="231F20"/>
          <w:spacing w:val="-12"/>
          <w:w w:val="110"/>
          <w:sz w:val="18"/>
        </w:rPr>
        <w:t> </w:t>
      </w:r>
      <w:r>
        <w:rPr>
          <w:color w:val="231F20"/>
          <w:w w:val="110"/>
          <w:sz w:val="18"/>
        </w:rPr>
        <w:t>en</w:t>
      </w:r>
      <w:r>
        <w:rPr>
          <w:color w:val="231F20"/>
          <w:spacing w:val="-12"/>
          <w:w w:val="110"/>
          <w:sz w:val="18"/>
        </w:rPr>
        <w:t> </w:t>
      </w:r>
      <w:r>
        <w:rPr>
          <w:i/>
          <w:color w:val="231F20"/>
          <w:w w:val="110"/>
          <w:sz w:val="18"/>
        </w:rPr>
        <w:t>Servicio</w:t>
      </w:r>
      <w:r>
        <w:rPr>
          <w:i/>
          <w:color w:val="231F20"/>
          <w:spacing w:val="-12"/>
          <w:w w:val="110"/>
          <w:sz w:val="18"/>
        </w:rPr>
        <w:t> </w:t>
      </w:r>
      <w:r>
        <w:rPr>
          <w:i/>
          <w:color w:val="231F20"/>
          <w:w w:val="110"/>
          <w:sz w:val="18"/>
        </w:rPr>
        <w:t>Informativo</w:t>
      </w:r>
      <w:r>
        <w:rPr>
          <w:i/>
          <w:color w:val="231F20"/>
          <w:spacing w:val="-12"/>
          <w:w w:val="110"/>
          <w:sz w:val="18"/>
        </w:rPr>
        <w:t> </w:t>
      </w:r>
      <w:r>
        <w:rPr>
          <w:i/>
          <w:color w:val="231F20"/>
          <w:w w:val="110"/>
          <w:sz w:val="18"/>
        </w:rPr>
        <w:t>Alai- </w:t>
      </w:r>
      <w:r>
        <w:rPr>
          <w:i/>
          <w:color w:val="231F20"/>
          <w:w w:val="110"/>
          <w:sz w:val="18"/>
        </w:rPr>
        <w:t>amlatina</w:t>
      </w:r>
      <w:r>
        <w:rPr>
          <w:color w:val="231F20"/>
          <w:w w:val="110"/>
          <w:sz w:val="18"/>
        </w:rPr>
        <w:t>, 11 de</w:t>
      </w:r>
      <w:r>
        <w:rPr>
          <w:color w:val="231F20"/>
          <w:spacing w:val="-36"/>
          <w:w w:val="110"/>
          <w:sz w:val="18"/>
        </w:rPr>
        <w:t> </w:t>
      </w:r>
      <w:r>
        <w:rPr>
          <w:color w:val="231F20"/>
          <w:w w:val="110"/>
          <w:sz w:val="18"/>
        </w:rPr>
        <w:t>junio.</w:t>
      </w:r>
    </w:p>
    <w:p>
      <w:pPr>
        <w:spacing w:line="254" w:lineRule="auto" w:before="1"/>
        <w:ind w:left="360" w:right="118" w:hanging="240"/>
        <w:jc w:val="both"/>
        <w:rPr>
          <w:sz w:val="18"/>
        </w:rPr>
      </w:pPr>
      <w:r>
        <w:rPr>
          <w:color w:val="231F20"/>
          <w:w w:val="105"/>
          <w:sz w:val="18"/>
        </w:rPr>
        <w:t>Castro,</w:t>
      </w:r>
      <w:r>
        <w:rPr>
          <w:color w:val="231F20"/>
          <w:spacing w:val="-7"/>
          <w:w w:val="105"/>
          <w:sz w:val="18"/>
        </w:rPr>
        <w:t> </w:t>
      </w:r>
      <w:r>
        <w:rPr>
          <w:color w:val="231F20"/>
          <w:w w:val="105"/>
          <w:sz w:val="18"/>
        </w:rPr>
        <w:t>Fidel,</w:t>
      </w:r>
      <w:r>
        <w:rPr>
          <w:color w:val="231F20"/>
          <w:spacing w:val="-7"/>
          <w:w w:val="105"/>
          <w:sz w:val="18"/>
        </w:rPr>
        <w:t> </w:t>
      </w:r>
      <w:r>
        <w:rPr>
          <w:color w:val="231F20"/>
          <w:w w:val="105"/>
          <w:sz w:val="18"/>
        </w:rPr>
        <w:t>[2009]</w:t>
      </w:r>
      <w:r>
        <w:rPr>
          <w:color w:val="231F20"/>
          <w:spacing w:val="-7"/>
          <w:w w:val="105"/>
          <w:sz w:val="18"/>
        </w:rPr>
        <w:t> </w:t>
      </w:r>
      <w:r>
        <w:rPr>
          <w:color w:val="231F20"/>
          <w:w w:val="105"/>
          <w:sz w:val="18"/>
        </w:rPr>
        <w:t>2010,</w:t>
      </w:r>
      <w:r>
        <w:rPr>
          <w:color w:val="231F20"/>
          <w:spacing w:val="-7"/>
          <w:w w:val="105"/>
          <w:sz w:val="18"/>
        </w:rPr>
        <w:t> </w:t>
      </w:r>
      <w:r>
        <w:rPr>
          <w:color w:val="231F20"/>
          <w:w w:val="105"/>
          <w:sz w:val="18"/>
        </w:rPr>
        <w:t>“El</w:t>
      </w:r>
      <w:r>
        <w:rPr>
          <w:color w:val="231F20"/>
          <w:spacing w:val="-7"/>
          <w:w w:val="105"/>
          <w:sz w:val="18"/>
        </w:rPr>
        <w:t> </w:t>
      </w:r>
      <w:r>
        <w:rPr>
          <w:color w:val="231F20"/>
          <w:w w:val="105"/>
          <w:sz w:val="18"/>
        </w:rPr>
        <w:t>mundo</w:t>
      </w:r>
      <w:r>
        <w:rPr>
          <w:color w:val="231F20"/>
          <w:spacing w:val="-7"/>
          <w:w w:val="105"/>
          <w:sz w:val="18"/>
        </w:rPr>
        <w:t> </w:t>
      </w:r>
      <w:r>
        <w:rPr>
          <w:color w:val="231F20"/>
          <w:w w:val="105"/>
          <w:sz w:val="18"/>
        </w:rPr>
        <w:t>medio</w:t>
      </w:r>
      <w:r>
        <w:rPr>
          <w:color w:val="231F20"/>
          <w:spacing w:val="-7"/>
          <w:w w:val="105"/>
          <w:sz w:val="18"/>
        </w:rPr>
        <w:t> </w:t>
      </w:r>
      <w:r>
        <w:rPr>
          <w:color w:val="231F20"/>
          <w:w w:val="105"/>
          <w:sz w:val="18"/>
        </w:rPr>
        <w:t>siglo</w:t>
      </w:r>
      <w:r>
        <w:rPr>
          <w:color w:val="231F20"/>
          <w:spacing w:val="-7"/>
          <w:w w:val="105"/>
          <w:sz w:val="18"/>
        </w:rPr>
        <w:t> </w:t>
      </w:r>
      <w:r>
        <w:rPr>
          <w:color w:val="231F20"/>
          <w:w w:val="105"/>
          <w:sz w:val="18"/>
        </w:rPr>
        <w:t>después”,</w:t>
      </w:r>
      <w:r>
        <w:rPr>
          <w:color w:val="231F20"/>
          <w:spacing w:val="-7"/>
          <w:w w:val="105"/>
          <w:sz w:val="18"/>
        </w:rPr>
        <w:t> </w:t>
      </w:r>
      <w:r>
        <w:rPr>
          <w:i/>
          <w:color w:val="231F20"/>
          <w:w w:val="105"/>
          <w:sz w:val="18"/>
        </w:rPr>
        <w:t>Juventud</w:t>
      </w:r>
      <w:r>
        <w:rPr>
          <w:i/>
          <w:color w:val="231F20"/>
          <w:spacing w:val="-7"/>
          <w:w w:val="105"/>
          <w:sz w:val="18"/>
        </w:rPr>
        <w:t> </w:t>
      </w:r>
      <w:r>
        <w:rPr>
          <w:i/>
          <w:color w:val="231F20"/>
          <w:w w:val="105"/>
          <w:sz w:val="18"/>
        </w:rPr>
        <w:t>Rebelde, </w:t>
      </w:r>
      <w:r>
        <w:rPr>
          <w:i/>
          <w:color w:val="231F20"/>
          <w:spacing w:val="-3"/>
          <w:w w:val="105"/>
          <w:sz w:val="18"/>
        </w:rPr>
        <w:t>Tabloide </w:t>
      </w:r>
      <w:r>
        <w:rPr>
          <w:i/>
          <w:color w:val="231F20"/>
          <w:w w:val="105"/>
          <w:sz w:val="18"/>
        </w:rPr>
        <w:t>Especial, </w:t>
      </w:r>
      <w:r>
        <w:rPr>
          <w:color w:val="231F20"/>
          <w:w w:val="105"/>
          <w:sz w:val="18"/>
        </w:rPr>
        <w:t>núm. 1, La</w:t>
      </w:r>
      <w:r>
        <w:rPr>
          <w:color w:val="231F20"/>
          <w:spacing w:val="-25"/>
          <w:w w:val="105"/>
          <w:sz w:val="18"/>
        </w:rPr>
        <w:t> </w:t>
      </w:r>
      <w:r>
        <w:rPr>
          <w:color w:val="231F20"/>
          <w:w w:val="105"/>
          <w:sz w:val="18"/>
        </w:rPr>
        <w:t>Habana.</w:t>
      </w:r>
    </w:p>
    <w:p>
      <w:pPr>
        <w:spacing w:line="254" w:lineRule="auto" w:before="1"/>
        <w:ind w:left="360" w:right="117" w:hanging="240"/>
        <w:jc w:val="both"/>
        <w:rPr>
          <w:sz w:val="18"/>
        </w:rPr>
      </w:pPr>
      <w:r>
        <w:rPr>
          <w:color w:val="231F20"/>
          <w:w w:val="105"/>
          <w:sz w:val="18"/>
        </w:rPr>
        <w:t>Ceceña,</w:t>
      </w:r>
      <w:r>
        <w:rPr>
          <w:color w:val="231F20"/>
          <w:spacing w:val="-8"/>
          <w:w w:val="105"/>
          <w:sz w:val="18"/>
        </w:rPr>
        <w:t> </w:t>
      </w:r>
      <w:r>
        <w:rPr>
          <w:color w:val="231F20"/>
          <w:w w:val="105"/>
          <w:sz w:val="18"/>
        </w:rPr>
        <w:t>Ana</w:t>
      </w:r>
      <w:r>
        <w:rPr>
          <w:color w:val="231F20"/>
          <w:spacing w:val="-8"/>
          <w:w w:val="105"/>
          <w:sz w:val="18"/>
        </w:rPr>
        <w:t> </w:t>
      </w:r>
      <w:r>
        <w:rPr>
          <w:color w:val="231F20"/>
          <w:w w:val="105"/>
          <w:sz w:val="18"/>
        </w:rPr>
        <w:t>Esther</w:t>
      </w:r>
      <w:r>
        <w:rPr>
          <w:color w:val="231F20"/>
          <w:spacing w:val="-8"/>
          <w:w w:val="105"/>
          <w:sz w:val="18"/>
        </w:rPr>
        <w:t> </w:t>
      </w:r>
      <w:r>
        <w:rPr>
          <w:color w:val="231F20"/>
          <w:w w:val="105"/>
          <w:sz w:val="18"/>
        </w:rPr>
        <w:t>y</w:t>
      </w:r>
      <w:r>
        <w:rPr>
          <w:color w:val="231F20"/>
          <w:spacing w:val="-8"/>
          <w:w w:val="105"/>
          <w:sz w:val="18"/>
        </w:rPr>
        <w:t> </w:t>
      </w:r>
      <w:r>
        <w:rPr>
          <w:color w:val="231F20"/>
          <w:w w:val="105"/>
          <w:sz w:val="18"/>
        </w:rPr>
        <w:t>Carlos</w:t>
      </w:r>
      <w:r>
        <w:rPr>
          <w:color w:val="231F20"/>
          <w:spacing w:val="-8"/>
          <w:w w:val="105"/>
          <w:sz w:val="18"/>
        </w:rPr>
        <w:t> </w:t>
      </w:r>
      <w:r>
        <w:rPr>
          <w:color w:val="231F20"/>
          <w:w w:val="105"/>
          <w:sz w:val="18"/>
        </w:rPr>
        <w:t>Ernesto</w:t>
      </w:r>
      <w:r>
        <w:rPr>
          <w:color w:val="231F20"/>
          <w:spacing w:val="-8"/>
          <w:w w:val="105"/>
          <w:sz w:val="18"/>
        </w:rPr>
        <w:t> </w:t>
      </w:r>
      <w:r>
        <w:rPr>
          <w:color w:val="231F20"/>
          <w:w w:val="105"/>
          <w:sz w:val="18"/>
        </w:rPr>
        <w:t>Motto,</w:t>
      </w:r>
      <w:r>
        <w:rPr>
          <w:color w:val="231F20"/>
          <w:spacing w:val="-8"/>
          <w:w w:val="105"/>
          <w:sz w:val="18"/>
        </w:rPr>
        <w:t> </w:t>
      </w:r>
      <w:r>
        <w:rPr>
          <w:color w:val="231F20"/>
          <w:w w:val="105"/>
          <w:sz w:val="18"/>
        </w:rPr>
        <w:t>2005,</w:t>
      </w:r>
      <w:r>
        <w:rPr>
          <w:color w:val="231F20"/>
          <w:spacing w:val="-8"/>
          <w:w w:val="105"/>
          <w:sz w:val="18"/>
        </w:rPr>
        <w:t> </w:t>
      </w:r>
      <w:r>
        <w:rPr>
          <w:i/>
          <w:color w:val="231F20"/>
          <w:w w:val="105"/>
          <w:sz w:val="18"/>
        </w:rPr>
        <w:t>Paraguay:</w:t>
      </w:r>
      <w:r>
        <w:rPr>
          <w:i/>
          <w:color w:val="231F20"/>
          <w:spacing w:val="-8"/>
          <w:w w:val="105"/>
          <w:sz w:val="18"/>
        </w:rPr>
        <w:t> </w:t>
      </w:r>
      <w:r>
        <w:rPr>
          <w:i/>
          <w:color w:val="231F20"/>
          <w:w w:val="105"/>
          <w:sz w:val="18"/>
        </w:rPr>
        <w:t>Eje</w:t>
      </w:r>
      <w:r>
        <w:rPr>
          <w:i/>
          <w:color w:val="231F20"/>
          <w:spacing w:val="-8"/>
          <w:w w:val="105"/>
          <w:sz w:val="18"/>
        </w:rPr>
        <w:t> </w:t>
      </w:r>
      <w:r>
        <w:rPr>
          <w:i/>
          <w:color w:val="231F20"/>
          <w:w w:val="105"/>
          <w:sz w:val="18"/>
        </w:rPr>
        <w:t>de</w:t>
      </w:r>
      <w:r>
        <w:rPr>
          <w:i/>
          <w:color w:val="231F20"/>
          <w:spacing w:val="-8"/>
          <w:w w:val="105"/>
          <w:sz w:val="18"/>
        </w:rPr>
        <w:t> </w:t>
      </w:r>
      <w:r>
        <w:rPr>
          <w:i/>
          <w:color w:val="231F20"/>
          <w:w w:val="105"/>
          <w:sz w:val="18"/>
        </w:rPr>
        <w:t>la</w:t>
      </w:r>
      <w:r>
        <w:rPr>
          <w:i/>
          <w:color w:val="231F20"/>
          <w:spacing w:val="-8"/>
          <w:w w:val="105"/>
          <w:sz w:val="18"/>
        </w:rPr>
        <w:t> </w:t>
      </w:r>
      <w:r>
        <w:rPr>
          <w:i/>
          <w:color w:val="231F20"/>
          <w:w w:val="105"/>
          <w:sz w:val="18"/>
        </w:rPr>
        <w:t>domina- </w:t>
      </w:r>
      <w:r>
        <w:rPr>
          <w:i/>
          <w:color w:val="231F20"/>
          <w:w w:val="105"/>
          <w:sz w:val="18"/>
        </w:rPr>
        <w:t>ción del Cono Sur</w:t>
      </w:r>
      <w:r>
        <w:rPr>
          <w:color w:val="231F20"/>
          <w:w w:val="105"/>
          <w:sz w:val="18"/>
        </w:rPr>
        <w:t>, Observatorio Latinoamericano de Geopolítica, Buenos Aires.</w:t>
      </w:r>
    </w:p>
    <w:p>
      <w:pPr>
        <w:spacing w:line="254" w:lineRule="auto" w:before="1"/>
        <w:ind w:left="360" w:right="114" w:hanging="240"/>
        <w:jc w:val="both"/>
        <w:rPr>
          <w:sz w:val="18"/>
        </w:rPr>
      </w:pPr>
      <w:r>
        <w:rPr>
          <w:color w:val="231F20"/>
          <w:w w:val="110"/>
          <w:sz w:val="18"/>
        </w:rPr>
        <w:t>Ceceña, Ana Esther; Humberto Miranda; David Barrios y Rodrigo Yedra, 2010, “La nueva ofensiva imperialista en América Latina: la jugada del Caribe”, en </w:t>
      </w:r>
      <w:r>
        <w:rPr>
          <w:i/>
          <w:color w:val="231F20"/>
          <w:w w:val="110"/>
          <w:sz w:val="18"/>
        </w:rPr>
        <w:t>Rebelión</w:t>
      </w:r>
      <w:r>
        <w:rPr>
          <w:color w:val="231F20"/>
          <w:w w:val="110"/>
          <w:sz w:val="18"/>
        </w:rPr>
        <w:t>, 2 de febrero.</w:t>
      </w:r>
    </w:p>
    <w:p>
      <w:pPr>
        <w:tabs>
          <w:tab w:pos="479" w:val="left" w:leader="none"/>
        </w:tabs>
        <w:spacing w:before="1"/>
        <w:ind w:left="120" w:right="25" w:firstLine="0"/>
        <w:jc w:val="left"/>
        <w:rPr>
          <w:sz w:val="18"/>
        </w:rPr>
      </w:pPr>
      <w:r>
        <w:rPr>
          <w:color w:val="231F20"/>
          <w:w w:val="104"/>
          <w:sz w:val="18"/>
          <w:u w:val="single" w:color="221E1F"/>
        </w:rPr>
        <w:t> </w:t>
      </w:r>
      <w:r>
        <w:rPr>
          <w:color w:val="231F20"/>
          <w:sz w:val="18"/>
          <w:u w:val="single" w:color="221E1F"/>
        </w:rPr>
        <w:tab/>
      </w:r>
      <w:r>
        <w:rPr>
          <w:color w:val="231F20"/>
          <w:sz w:val="18"/>
        </w:rPr>
        <w:t>, 2010a: </w:t>
      </w:r>
      <w:r>
        <w:rPr>
          <w:i/>
          <w:color w:val="231F20"/>
          <w:sz w:val="18"/>
        </w:rPr>
        <w:t>El Gran Caribe: umbral de la geopolítica mundial</w:t>
      </w:r>
      <w:r>
        <w:rPr>
          <w:color w:val="231F20"/>
          <w:sz w:val="18"/>
        </w:rPr>
        <w:t>, fedaeps.  </w:t>
      </w:r>
      <w:r>
        <w:rPr>
          <w:color w:val="231F20"/>
          <w:spacing w:val="34"/>
          <w:sz w:val="18"/>
        </w:rPr>
        <w:t> </w:t>
      </w:r>
      <w:r>
        <w:rPr>
          <w:color w:val="231F20"/>
          <w:sz w:val="18"/>
        </w:rPr>
        <w:t>Quito.</w:t>
      </w:r>
    </w:p>
    <w:p>
      <w:pPr>
        <w:spacing w:line="254" w:lineRule="auto" w:before="13"/>
        <w:ind w:left="360" w:right="119" w:hanging="240"/>
        <w:jc w:val="both"/>
        <w:rPr>
          <w:sz w:val="18"/>
        </w:rPr>
      </w:pPr>
      <w:r>
        <w:rPr>
          <w:color w:val="231F20"/>
          <w:w w:val="105"/>
          <w:sz w:val="18"/>
        </w:rPr>
        <w:t>Chateau Magalhaes, Cristian,  2007,  “Diplomacia  y  cooperación  militar  en el ámbito multilateral: la Conferencia de Jefes de Ejércitos Americanos: Historia y Perspectiva”, en </w:t>
      </w:r>
      <w:r>
        <w:rPr>
          <w:i/>
          <w:color w:val="231F20"/>
          <w:w w:val="105"/>
          <w:sz w:val="18"/>
        </w:rPr>
        <w:t>Military Review</w:t>
      </w:r>
      <w:r>
        <w:rPr>
          <w:color w:val="231F20"/>
          <w:w w:val="105"/>
          <w:sz w:val="18"/>
        </w:rPr>
        <w:t>, Edición Hispanoamericana, Combined Arms Center,  Fort Leavenworth, Kansas, enero-febrero:   39-55.</w:t>
      </w:r>
    </w:p>
    <w:p>
      <w:pPr>
        <w:spacing w:before="1"/>
        <w:ind w:left="120" w:right="25" w:firstLine="0"/>
        <w:jc w:val="left"/>
        <w:rPr>
          <w:sz w:val="18"/>
        </w:rPr>
      </w:pPr>
      <w:r>
        <w:rPr>
          <w:color w:val="231F20"/>
          <w:w w:val="110"/>
          <w:sz w:val="18"/>
        </w:rPr>
        <w:t>Compromiso de Bridgetown, 2010, </w:t>
      </w:r>
      <w:hyperlink r:id="rId299">
        <w:r>
          <w:rPr>
            <w:color w:val="231F20"/>
            <w:w w:val="110"/>
            <w:sz w:val="18"/>
          </w:rPr>
          <w:t>&lt;www.crnm.org&gt;,</w:t>
        </w:r>
      </w:hyperlink>
      <w:r>
        <w:rPr>
          <w:color w:val="231F20"/>
          <w:w w:val="110"/>
          <w:sz w:val="18"/>
        </w:rPr>
        <w:t> 10 de junio.</w:t>
      </w:r>
    </w:p>
    <w:p>
      <w:pPr>
        <w:spacing w:line="254" w:lineRule="auto" w:before="13"/>
        <w:ind w:left="360" w:right="112" w:hanging="240"/>
        <w:jc w:val="both"/>
        <w:rPr>
          <w:sz w:val="18"/>
        </w:rPr>
      </w:pPr>
      <w:r>
        <w:rPr>
          <w:color w:val="231F20"/>
          <w:w w:val="110"/>
          <w:sz w:val="18"/>
        </w:rPr>
        <w:t>crnm, 2010, “The Caribbean-United States Declaration of Principles, The Caribbean-United States Plan of Action on Security Cooperation and Joint Caribbean-United States Framework for Security Cooperation En- gagement”, </w:t>
      </w:r>
      <w:hyperlink r:id="rId299">
        <w:r>
          <w:rPr>
            <w:color w:val="231F20"/>
            <w:w w:val="110"/>
            <w:sz w:val="18"/>
          </w:rPr>
          <w:t>&lt;www.crnm.org&gt;,</w:t>
        </w:r>
      </w:hyperlink>
      <w:r>
        <w:rPr>
          <w:color w:val="231F20"/>
          <w:w w:val="110"/>
          <w:sz w:val="18"/>
        </w:rPr>
        <w:t> consultado el 10 de junio.</w:t>
      </w:r>
    </w:p>
    <w:p>
      <w:pPr>
        <w:spacing w:line="254" w:lineRule="auto" w:before="1"/>
        <w:ind w:left="360" w:right="118" w:hanging="240"/>
        <w:jc w:val="both"/>
        <w:rPr>
          <w:sz w:val="18"/>
        </w:rPr>
      </w:pPr>
      <w:r>
        <w:rPr>
          <w:color w:val="231F20"/>
          <w:w w:val="105"/>
          <w:sz w:val="18"/>
        </w:rPr>
        <w:t>da Silva, Luiz Inácio Lula, 2010, “Ninguém vai destruir minha relação com      a sociedade”, entrevista a </w:t>
      </w:r>
      <w:r>
        <w:rPr>
          <w:i/>
          <w:color w:val="231F20"/>
          <w:w w:val="105"/>
          <w:sz w:val="18"/>
        </w:rPr>
        <w:t>Isto é</w:t>
      </w:r>
      <w:r>
        <w:rPr>
          <w:color w:val="231F20"/>
          <w:w w:val="105"/>
          <w:sz w:val="18"/>
        </w:rPr>
        <w:t>, 7 de </w:t>
      </w:r>
      <w:r>
        <w:rPr>
          <w:color w:val="231F20"/>
          <w:spacing w:val="44"/>
          <w:w w:val="105"/>
          <w:sz w:val="18"/>
        </w:rPr>
        <w:t> </w:t>
      </w:r>
      <w:r>
        <w:rPr>
          <w:color w:val="231F20"/>
          <w:w w:val="105"/>
          <w:sz w:val="18"/>
        </w:rPr>
        <w:t>agosto.</w:t>
      </w:r>
    </w:p>
    <w:p>
      <w:pPr>
        <w:spacing w:before="1"/>
        <w:ind w:left="120" w:right="25" w:firstLine="0"/>
        <w:jc w:val="left"/>
        <w:rPr>
          <w:sz w:val="18"/>
        </w:rPr>
      </w:pPr>
      <w:r>
        <w:rPr>
          <w:color w:val="231F20"/>
          <w:w w:val="105"/>
          <w:sz w:val="18"/>
        </w:rPr>
        <w:t>Dalton, Juan José, 2009, “¡Obama sí, Chávez no!, dice Mauricio Funes”, en</w:t>
      </w:r>
    </w:p>
    <w:p>
      <w:pPr>
        <w:spacing w:before="13"/>
        <w:ind w:left="360" w:right="25" w:firstLine="0"/>
        <w:jc w:val="left"/>
        <w:rPr>
          <w:sz w:val="18"/>
        </w:rPr>
      </w:pPr>
      <w:r>
        <w:rPr>
          <w:i/>
          <w:color w:val="231F20"/>
          <w:w w:val="105"/>
          <w:sz w:val="18"/>
        </w:rPr>
        <w:t>ContraPunto</w:t>
      </w:r>
      <w:r>
        <w:rPr>
          <w:color w:val="231F20"/>
          <w:w w:val="105"/>
          <w:sz w:val="18"/>
        </w:rPr>
        <w:t>, El Salvador, 10 diciembre.</w:t>
      </w:r>
    </w:p>
    <w:p>
      <w:pPr>
        <w:spacing w:line="254" w:lineRule="auto" w:before="13"/>
        <w:ind w:left="359" w:right="117" w:hanging="240"/>
        <w:jc w:val="both"/>
        <w:rPr>
          <w:sz w:val="18"/>
        </w:rPr>
      </w:pPr>
      <w:r>
        <w:rPr>
          <w:color w:val="231F20"/>
          <w:w w:val="110"/>
          <w:sz w:val="18"/>
        </w:rPr>
        <w:t>Foo Kong, Herminia, 2009, “La política exterior de Estados Unidos hacia América Latina y los nuevos instrumentos de la nueva doctrina para la seguridad hemisférica: la Conferencia de Ministros de Defensas de las Américas”, ponencia presentada al Grupo de </w:t>
      </w:r>
      <w:r>
        <w:rPr>
          <w:color w:val="231F20"/>
          <w:spacing w:val="-3"/>
          <w:w w:val="110"/>
          <w:sz w:val="18"/>
        </w:rPr>
        <w:t>Trabajo </w:t>
      </w:r>
      <w:r>
        <w:rPr>
          <w:color w:val="231F20"/>
          <w:w w:val="110"/>
          <w:sz w:val="18"/>
        </w:rPr>
        <w:t>de clacso</w:t>
      </w:r>
      <w:r>
        <w:rPr>
          <w:color w:val="231F20"/>
          <w:spacing w:val="-30"/>
          <w:w w:val="110"/>
          <w:sz w:val="18"/>
        </w:rPr>
        <w:t> </w:t>
      </w:r>
      <w:r>
        <w:rPr>
          <w:color w:val="231F20"/>
          <w:w w:val="110"/>
          <w:sz w:val="18"/>
        </w:rPr>
        <w:t>“Estudios sobre</w:t>
      </w:r>
      <w:r>
        <w:rPr>
          <w:color w:val="231F20"/>
          <w:spacing w:val="-10"/>
          <w:w w:val="110"/>
          <w:sz w:val="18"/>
        </w:rPr>
        <w:t> </w:t>
      </w:r>
      <w:r>
        <w:rPr>
          <w:color w:val="231F20"/>
          <w:w w:val="110"/>
          <w:sz w:val="18"/>
        </w:rPr>
        <w:t>Estados</w:t>
      </w:r>
      <w:r>
        <w:rPr>
          <w:color w:val="231F20"/>
          <w:spacing w:val="-10"/>
          <w:w w:val="110"/>
          <w:sz w:val="18"/>
        </w:rPr>
        <w:t> </w:t>
      </w:r>
      <w:r>
        <w:rPr>
          <w:color w:val="231F20"/>
          <w:w w:val="110"/>
          <w:sz w:val="18"/>
        </w:rPr>
        <w:t>Unidos”,</w:t>
      </w:r>
      <w:r>
        <w:rPr>
          <w:color w:val="231F20"/>
          <w:spacing w:val="-10"/>
          <w:w w:val="110"/>
          <w:sz w:val="18"/>
        </w:rPr>
        <w:t> </w:t>
      </w:r>
      <w:r>
        <w:rPr>
          <w:color w:val="231F20"/>
          <w:w w:val="110"/>
          <w:sz w:val="18"/>
        </w:rPr>
        <w:t>Buenos</w:t>
      </w:r>
      <w:r>
        <w:rPr>
          <w:color w:val="231F20"/>
          <w:spacing w:val="-10"/>
          <w:w w:val="110"/>
          <w:sz w:val="18"/>
        </w:rPr>
        <w:t> </w:t>
      </w:r>
      <w:r>
        <w:rPr>
          <w:color w:val="231F20"/>
          <w:w w:val="110"/>
          <w:sz w:val="18"/>
        </w:rPr>
        <w:t>Aires,</w:t>
      </w:r>
      <w:r>
        <w:rPr>
          <w:color w:val="231F20"/>
          <w:spacing w:val="-10"/>
          <w:w w:val="110"/>
          <w:sz w:val="18"/>
        </w:rPr>
        <w:t> </w:t>
      </w:r>
      <w:r>
        <w:rPr>
          <w:color w:val="231F20"/>
          <w:w w:val="110"/>
          <w:sz w:val="18"/>
        </w:rPr>
        <w:t>septiembre.</w:t>
      </w:r>
    </w:p>
    <w:p>
      <w:pPr>
        <w:spacing w:before="1"/>
        <w:ind w:left="119" w:right="0" w:firstLine="0"/>
        <w:jc w:val="left"/>
        <w:rPr>
          <w:sz w:val="18"/>
        </w:rPr>
      </w:pPr>
      <w:r>
        <w:rPr>
          <w:color w:val="231F20"/>
          <w:w w:val="110"/>
          <w:sz w:val="18"/>
        </w:rPr>
        <w:t>Gandásegui, Marcos A., 2009, “2009: Las promesas de cambio no llegaron”,</w:t>
      </w:r>
    </w:p>
    <w:p>
      <w:pPr>
        <w:spacing w:before="13"/>
        <w:ind w:left="359" w:right="25" w:firstLine="0"/>
        <w:jc w:val="left"/>
        <w:rPr>
          <w:sz w:val="18"/>
        </w:rPr>
      </w:pPr>
      <w:hyperlink r:id="rId300">
        <w:r>
          <w:rPr>
            <w:color w:val="231F20"/>
            <w:w w:val="110"/>
            <w:sz w:val="18"/>
          </w:rPr>
          <w:t>&lt;http://marcoagandasegui.blogspot.com&gt;,</w:t>
        </w:r>
      </w:hyperlink>
      <w:r>
        <w:rPr>
          <w:color w:val="231F20"/>
          <w:w w:val="110"/>
          <w:sz w:val="18"/>
        </w:rPr>
        <w:t> 31 de  diciembre.</w:t>
      </w:r>
    </w:p>
    <w:p>
      <w:pPr>
        <w:spacing w:after="0"/>
        <w:jc w:val="left"/>
        <w:rPr>
          <w:sz w:val="18"/>
        </w:rPr>
        <w:sectPr>
          <w:headerReference w:type="even" r:id="rId297"/>
          <w:headerReference w:type="default" r:id="rId298"/>
          <w:pgSz w:w="7640" w:h="11900"/>
          <w:pgMar w:header="672" w:footer="0" w:top="860" w:bottom="280" w:left="760" w:right="640"/>
          <w:pgNumType w:start="412"/>
        </w:sectPr>
      </w:pPr>
    </w:p>
    <w:p>
      <w:pPr>
        <w:pStyle w:val="BodyText"/>
        <w:spacing w:before="8"/>
        <w:rPr>
          <w:sz w:val="8"/>
        </w:rPr>
      </w:pPr>
    </w:p>
    <w:p>
      <w:pPr>
        <w:spacing w:line="254" w:lineRule="auto" w:before="71"/>
        <w:ind w:left="340" w:right="119" w:hanging="240"/>
        <w:jc w:val="both"/>
        <w:rPr>
          <w:sz w:val="18"/>
        </w:rPr>
      </w:pPr>
      <w:r>
        <w:rPr>
          <w:color w:val="231F20"/>
          <w:w w:val="110"/>
          <w:sz w:val="18"/>
        </w:rPr>
        <w:t>García</w:t>
      </w:r>
      <w:r>
        <w:rPr>
          <w:color w:val="231F20"/>
          <w:spacing w:val="-11"/>
          <w:w w:val="110"/>
          <w:sz w:val="18"/>
        </w:rPr>
        <w:t> </w:t>
      </w:r>
      <w:r>
        <w:rPr>
          <w:color w:val="231F20"/>
          <w:w w:val="110"/>
          <w:sz w:val="18"/>
        </w:rPr>
        <w:t>Lorenzo,</w:t>
      </w:r>
      <w:r>
        <w:rPr>
          <w:color w:val="231F20"/>
          <w:spacing w:val="-11"/>
          <w:w w:val="110"/>
          <w:sz w:val="18"/>
        </w:rPr>
        <w:t> </w:t>
      </w:r>
      <w:r>
        <w:rPr>
          <w:color w:val="231F20"/>
          <w:spacing w:val="-3"/>
          <w:w w:val="110"/>
          <w:sz w:val="18"/>
        </w:rPr>
        <w:t>Tania,</w:t>
      </w:r>
      <w:r>
        <w:rPr>
          <w:color w:val="231F20"/>
          <w:spacing w:val="-11"/>
          <w:w w:val="110"/>
          <w:sz w:val="18"/>
        </w:rPr>
        <w:t> </w:t>
      </w:r>
      <w:r>
        <w:rPr>
          <w:color w:val="231F20"/>
          <w:w w:val="110"/>
          <w:sz w:val="18"/>
        </w:rPr>
        <w:t>2010,</w:t>
      </w:r>
      <w:r>
        <w:rPr>
          <w:color w:val="231F20"/>
          <w:spacing w:val="-11"/>
          <w:w w:val="110"/>
          <w:sz w:val="18"/>
        </w:rPr>
        <w:t> </w:t>
      </w:r>
      <w:r>
        <w:rPr>
          <w:color w:val="231F20"/>
          <w:w w:val="110"/>
          <w:sz w:val="18"/>
        </w:rPr>
        <w:t>“Algunas</w:t>
      </w:r>
      <w:r>
        <w:rPr>
          <w:color w:val="231F20"/>
          <w:spacing w:val="-11"/>
          <w:w w:val="110"/>
          <w:sz w:val="18"/>
        </w:rPr>
        <w:t> </w:t>
      </w:r>
      <w:r>
        <w:rPr>
          <w:color w:val="231F20"/>
          <w:w w:val="110"/>
          <w:sz w:val="18"/>
        </w:rPr>
        <w:t>lecciones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Haití:</w:t>
      </w:r>
      <w:r>
        <w:rPr>
          <w:color w:val="231F20"/>
          <w:spacing w:val="-11"/>
          <w:w w:val="110"/>
          <w:sz w:val="18"/>
        </w:rPr>
        <w:t> </w:t>
      </w:r>
      <w:r>
        <w:rPr>
          <w:color w:val="231F20"/>
          <w:w w:val="110"/>
          <w:sz w:val="18"/>
        </w:rPr>
        <w:t>necesidad</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coo- peración</w:t>
      </w:r>
      <w:r>
        <w:rPr>
          <w:color w:val="231F20"/>
          <w:spacing w:val="-13"/>
          <w:w w:val="110"/>
          <w:sz w:val="18"/>
        </w:rPr>
        <w:t> </w:t>
      </w:r>
      <w:r>
        <w:rPr>
          <w:color w:val="231F20"/>
          <w:w w:val="110"/>
          <w:sz w:val="18"/>
        </w:rPr>
        <w:t>para</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desarrollo”,</w:t>
      </w:r>
      <w:r>
        <w:rPr>
          <w:color w:val="231F20"/>
          <w:spacing w:val="-13"/>
          <w:w w:val="110"/>
          <w:sz w:val="18"/>
        </w:rPr>
        <w:t> </w:t>
      </w:r>
      <w:r>
        <w:rPr>
          <w:color w:val="231F20"/>
          <w:w w:val="110"/>
          <w:sz w:val="18"/>
        </w:rPr>
        <w:t>ponencia</w:t>
      </w:r>
      <w:r>
        <w:rPr>
          <w:color w:val="231F20"/>
          <w:spacing w:val="-13"/>
          <w:w w:val="110"/>
          <w:sz w:val="18"/>
        </w:rPr>
        <w:t> </w:t>
      </w:r>
      <w:r>
        <w:rPr>
          <w:color w:val="231F20"/>
          <w:w w:val="110"/>
          <w:sz w:val="18"/>
        </w:rPr>
        <w:t>presentada</w:t>
      </w:r>
      <w:r>
        <w:rPr>
          <w:color w:val="231F20"/>
          <w:spacing w:val="-13"/>
          <w:w w:val="110"/>
          <w:sz w:val="18"/>
        </w:rPr>
        <w:t> </w:t>
      </w:r>
      <w:r>
        <w:rPr>
          <w:color w:val="231F20"/>
          <w:w w:val="110"/>
          <w:sz w:val="18"/>
        </w:rPr>
        <w:t>a</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XXXV</w:t>
      </w:r>
      <w:r>
        <w:rPr>
          <w:color w:val="231F20"/>
          <w:spacing w:val="-13"/>
          <w:w w:val="110"/>
          <w:sz w:val="18"/>
        </w:rPr>
        <w:t> </w:t>
      </w:r>
      <w:r>
        <w:rPr>
          <w:color w:val="231F20"/>
          <w:w w:val="110"/>
          <w:sz w:val="18"/>
        </w:rPr>
        <w:t>Conferencia 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Caribbean</w:t>
      </w:r>
      <w:r>
        <w:rPr>
          <w:color w:val="231F20"/>
          <w:spacing w:val="-5"/>
          <w:w w:val="110"/>
          <w:sz w:val="18"/>
        </w:rPr>
        <w:t> </w:t>
      </w:r>
      <w:r>
        <w:rPr>
          <w:color w:val="231F20"/>
          <w:w w:val="110"/>
          <w:sz w:val="18"/>
        </w:rPr>
        <w:t>Studies</w:t>
      </w:r>
      <w:r>
        <w:rPr>
          <w:color w:val="231F20"/>
          <w:spacing w:val="-5"/>
          <w:w w:val="110"/>
          <w:sz w:val="18"/>
        </w:rPr>
        <w:t> </w:t>
      </w:r>
      <w:r>
        <w:rPr>
          <w:color w:val="231F20"/>
          <w:w w:val="110"/>
          <w:sz w:val="18"/>
        </w:rPr>
        <w:t>Association,</w:t>
      </w:r>
      <w:r>
        <w:rPr>
          <w:color w:val="231F20"/>
          <w:spacing w:val="-5"/>
          <w:w w:val="110"/>
          <w:sz w:val="18"/>
        </w:rPr>
        <w:t> </w:t>
      </w:r>
      <w:r>
        <w:rPr>
          <w:color w:val="231F20"/>
          <w:w w:val="110"/>
          <w:sz w:val="18"/>
        </w:rPr>
        <w:t>24</w:t>
      </w:r>
      <w:r>
        <w:rPr>
          <w:color w:val="231F20"/>
          <w:spacing w:val="-5"/>
          <w:w w:val="110"/>
          <w:sz w:val="18"/>
        </w:rPr>
        <w:t> </w:t>
      </w:r>
      <w:r>
        <w:rPr>
          <w:color w:val="231F20"/>
          <w:w w:val="110"/>
          <w:sz w:val="18"/>
        </w:rPr>
        <w:t>al</w:t>
      </w:r>
      <w:r>
        <w:rPr>
          <w:color w:val="231F20"/>
          <w:spacing w:val="-5"/>
          <w:w w:val="110"/>
          <w:sz w:val="18"/>
        </w:rPr>
        <w:t> </w:t>
      </w:r>
      <w:r>
        <w:rPr>
          <w:color w:val="231F20"/>
          <w:w w:val="110"/>
          <w:sz w:val="18"/>
        </w:rPr>
        <w:t>28</w:t>
      </w:r>
      <w:r>
        <w:rPr>
          <w:color w:val="231F20"/>
          <w:spacing w:val="-5"/>
          <w:w w:val="110"/>
          <w:sz w:val="18"/>
        </w:rPr>
        <w:t> </w:t>
      </w:r>
      <w:r>
        <w:rPr>
          <w:color w:val="231F20"/>
          <w:w w:val="110"/>
          <w:sz w:val="18"/>
        </w:rPr>
        <w:t>de</w:t>
      </w:r>
      <w:r>
        <w:rPr>
          <w:color w:val="231F20"/>
          <w:spacing w:val="-5"/>
          <w:w w:val="110"/>
          <w:sz w:val="18"/>
        </w:rPr>
        <w:t> </w:t>
      </w:r>
      <w:r>
        <w:rPr>
          <w:color w:val="231F20"/>
          <w:w w:val="110"/>
          <w:sz w:val="18"/>
        </w:rPr>
        <w:t>mayo,</w:t>
      </w:r>
      <w:r>
        <w:rPr>
          <w:color w:val="231F20"/>
          <w:spacing w:val="-5"/>
          <w:w w:val="110"/>
          <w:sz w:val="18"/>
        </w:rPr>
        <w:t> </w:t>
      </w:r>
      <w:r>
        <w:rPr>
          <w:color w:val="231F20"/>
          <w:w w:val="110"/>
          <w:sz w:val="18"/>
        </w:rPr>
        <w:t>Barbados.</w:t>
      </w:r>
    </w:p>
    <w:p>
      <w:pPr>
        <w:spacing w:line="254" w:lineRule="auto" w:before="1"/>
        <w:ind w:left="340" w:right="118" w:hanging="240"/>
        <w:jc w:val="both"/>
        <w:rPr>
          <w:sz w:val="18"/>
        </w:rPr>
      </w:pPr>
      <w:r>
        <w:rPr>
          <w:color w:val="231F20"/>
          <w:w w:val="105"/>
          <w:sz w:val="18"/>
        </w:rPr>
        <w:t>Golinger, Eva, 2009, “Sigue el dinero: la ofensiva imperial en América Latina se evidencia en dólares”, en </w:t>
      </w:r>
      <w:r>
        <w:rPr>
          <w:i/>
          <w:color w:val="231F20"/>
          <w:w w:val="105"/>
          <w:sz w:val="18"/>
        </w:rPr>
        <w:t>Rebelión, </w:t>
      </w:r>
      <w:r>
        <w:rPr>
          <w:color w:val="231F20"/>
          <w:w w:val="105"/>
          <w:sz w:val="18"/>
        </w:rPr>
        <w:t>1 de  agosto.</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 2010, “EEUU: Más de 6.4 millones de dólares para la oposición en países</w:t>
      </w:r>
      <w:r>
        <w:rPr>
          <w:color w:val="231F20"/>
          <w:spacing w:val="-18"/>
          <w:w w:val="110"/>
          <w:sz w:val="18"/>
        </w:rPr>
        <w:t> </w:t>
      </w:r>
      <w:r>
        <w:rPr>
          <w:color w:val="231F20"/>
          <w:w w:val="110"/>
          <w:sz w:val="18"/>
        </w:rPr>
        <w:t>del</w:t>
      </w:r>
      <w:r>
        <w:rPr>
          <w:color w:val="231F20"/>
          <w:spacing w:val="-17"/>
          <w:w w:val="110"/>
          <w:sz w:val="18"/>
        </w:rPr>
        <w:t> </w:t>
      </w:r>
      <w:r>
        <w:rPr>
          <w:color w:val="231F20"/>
          <w:w w:val="110"/>
          <w:sz w:val="18"/>
        </w:rPr>
        <w:t>alba”,</w:t>
      </w:r>
      <w:r>
        <w:rPr>
          <w:color w:val="231F20"/>
          <w:spacing w:val="-18"/>
          <w:w w:val="110"/>
          <w:sz w:val="18"/>
        </w:rPr>
        <w:t> </w:t>
      </w:r>
      <w:r>
        <w:rPr>
          <w:color w:val="231F20"/>
          <w:w w:val="110"/>
          <w:sz w:val="18"/>
        </w:rPr>
        <w:t>en</w:t>
      </w:r>
      <w:r>
        <w:rPr>
          <w:color w:val="231F20"/>
          <w:spacing w:val="-18"/>
          <w:w w:val="110"/>
          <w:sz w:val="18"/>
        </w:rPr>
        <w:t> </w:t>
      </w:r>
      <w:hyperlink r:id="rId301">
        <w:r>
          <w:rPr>
            <w:color w:val="231F20"/>
            <w:w w:val="110"/>
            <w:sz w:val="18"/>
          </w:rPr>
          <w:t>&lt;www.centrodealerta.org/noticias/estados_unidos_fi</w:t>
        </w:r>
      </w:hyperlink>
      <w:r>
        <w:rPr>
          <w:color w:val="231F20"/>
          <w:w w:val="110"/>
          <w:sz w:val="18"/>
        </w:rPr>
        <w:t>- nancia_con.html&gt;, 2 de</w:t>
      </w:r>
      <w:r>
        <w:rPr>
          <w:color w:val="231F20"/>
          <w:spacing w:val="-2"/>
          <w:w w:val="110"/>
          <w:sz w:val="18"/>
        </w:rPr>
        <w:t> </w:t>
      </w:r>
      <w:r>
        <w:rPr>
          <w:color w:val="231F20"/>
          <w:w w:val="110"/>
          <w:sz w:val="18"/>
        </w:rPr>
        <w:t>agosto.</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10"/>
          <w:sz w:val="18"/>
        </w:rPr>
        <w:t>,</w:t>
      </w:r>
      <w:r>
        <w:rPr>
          <w:color w:val="231F20"/>
          <w:spacing w:val="-8"/>
          <w:w w:val="110"/>
          <w:sz w:val="18"/>
        </w:rPr>
        <w:t> </w:t>
      </w:r>
      <w:r>
        <w:rPr>
          <w:color w:val="231F20"/>
          <w:w w:val="110"/>
          <w:sz w:val="18"/>
        </w:rPr>
        <w:t>2010a</w:t>
      </w:r>
      <w:r>
        <w:rPr>
          <w:color w:val="231F20"/>
          <w:spacing w:val="-8"/>
          <w:w w:val="110"/>
          <w:sz w:val="18"/>
        </w:rPr>
        <w:t> </w:t>
      </w:r>
      <w:r>
        <w:rPr>
          <w:color w:val="231F20"/>
          <w:w w:val="110"/>
          <w:sz w:val="18"/>
        </w:rPr>
        <w:t>“Masiva</w:t>
      </w:r>
      <w:r>
        <w:rPr>
          <w:color w:val="231F20"/>
          <w:spacing w:val="-8"/>
          <w:w w:val="110"/>
          <w:sz w:val="18"/>
        </w:rPr>
        <w:t> </w:t>
      </w:r>
      <w:r>
        <w:rPr>
          <w:color w:val="231F20"/>
          <w:w w:val="110"/>
          <w:sz w:val="18"/>
        </w:rPr>
        <w:t>presencia</w:t>
      </w:r>
      <w:r>
        <w:rPr>
          <w:color w:val="231F20"/>
          <w:spacing w:val="-8"/>
          <w:w w:val="110"/>
          <w:sz w:val="18"/>
        </w:rPr>
        <w:t> </w:t>
      </w:r>
      <w:r>
        <w:rPr>
          <w:color w:val="231F20"/>
          <w:w w:val="110"/>
          <w:sz w:val="18"/>
        </w:rPr>
        <w:t>militar</w:t>
      </w:r>
      <w:r>
        <w:rPr>
          <w:color w:val="231F20"/>
          <w:spacing w:val="-8"/>
          <w:w w:val="110"/>
          <w:sz w:val="18"/>
        </w:rPr>
        <w:t> </w:t>
      </w:r>
      <w:r>
        <w:rPr>
          <w:color w:val="231F20"/>
          <w:w w:val="110"/>
          <w:sz w:val="18"/>
        </w:rPr>
        <w:t>de</w:t>
      </w:r>
      <w:r>
        <w:rPr>
          <w:color w:val="231F20"/>
          <w:spacing w:val="-8"/>
          <w:w w:val="110"/>
          <w:sz w:val="18"/>
        </w:rPr>
        <w:t> </w:t>
      </w:r>
      <w:r>
        <w:rPr>
          <w:color w:val="231F20"/>
          <w:w w:val="110"/>
          <w:sz w:val="18"/>
        </w:rPr>
        <w:t>Estados</w:t>
      </w:r>
      <w:r>
        <w:rPr>
          <w:color w:val="231F20"/>
          <w:spacing w:val="-8"/>
          <w:w w:val="110"/>
          <w:sz w:val="18"/>
        </w:rPr>
        <w:t> </w:t>
      </w:r>
      <w:r>
        <w:rPr>
          <w:color w:val="231F20"/>
          <w:w w:val="110"/>
          <w:sz w:val="18"/>
        </w:rPr>
        <w:t>Unidos</w:t>
      </w:r>
      <w:r>
        <w:rPr>
          <w:color w:val="231F20"/>
          <w:spacing w:val="-8"/>
          <w:w w:val="110"/>
          <w:sz w:val="18"/>
        </w:rPr>
        <w:t> </w:t>
      </w:r>
      <w:r>
        <w:rPr>
          <w:color w:val="231F20"/>
          <w:w w:val="110"/>
          <w:sz w:val="18"/>
        </w:rPr>
        <w:t>en</w:t>
      </w:r>
      <w:r>
        <w:rPr>
          <w:color w:val="231F20"/>
          <w:spacing w:val="-8"/>
          <w:w w:val="110"/>
          <w:sz w:val="18"/>
        </w:rPr>
        <w:t> </w:t>
      </w:r>
      <w:r>
        <w:rPr>
          <w:color w:val="231F20"/>
          <w:w w:val="110"/>
          <w:sz w:val="18"/>
        </w:rPr>
        <w:t>Costa</w:t>
      </w:r>
      <w:r>
        <w:rPr>
          <w:color w:val="231F20"/>
          <w:spacing w:val="-8"/>
          <w:w w:val="110"/>
          <w:sz w:val="18"/>
        </w:rPr>
        <w:t> </w:t>
      </w:r>
      <w:r>
        <w:rPr>
          <w:color w:val="231F20"/>
          <w:w w:val="110"/>
          <w:sz w:val="18"/>
        </w:rPr>
        <w:t>Rica”,</w:t>
      </w:r>
      <w:r>
        <w:rPr>
          <w:color w:val="231F20"/>
          <w:spacing w:val="-8"/>
          <w:w w:val="110"/>
          <w:sz w:val="18"/>
        </w:rPr>
        <w:t> </w:t>
      </w:r>
      <w:r>
        <w:rPr>
          <w:color w:val="231F20"/>
          <w:w w:val="110"/>
          <w:sz w:val="18"/>
        </w:rPr>
        <w:t>en</w:t>
      </w:r>
    </w:p>
    <w:p>
      <w:pPr>
        <w:spacing w:before="13"/>
        <w:ind w:left="340" w:right="25" w:firstLine="0"/>
        <w:jc w:val="left"/>
        <w:rPr>
          <w:sz w:val="18"/>
        </w:rPr>
      </w:pPr>
      <w:r>
        <w:rPr>
          <w:i/>
          <w:color w:val="231F20"/>
          <w:w w:val="105"/>
          <w:sz w:val="18"/>
        </w:rPr>
        <w:t>Entorno</w:t>
      </w:r>
      <w:r>
        <w:rPr>
          <w:color w:val="231F20"/>
          <w:w w:val="105"/>
          <w:sz w:val="18"/>
        </w:rPr>
        <w:t>, La Habana, año 8, núm.   56.</w:t>
      </w:r>
    </w:p>
    <w:p>
      <w:pPr>
        <w:spacing w:line="254" w:lineRule="auto" w:before="13"/>
        <w:ind w:left="340" w:right="117" w:hanging="240"/>
        <w:jc w:val="both"/>
        <w:rPr>
          <w:sz w:val="18"/>
        </w:rPr>
      </w:pPr>
      <w:r>
        <w:rPr>
          <w:i/>
          <w:color w:val="231F20"/>
          <w:w w:val="105"/>
          <w:sz w:val="18"/>
        </w:rPr>
        <w:t>Granma, </w:t>
      </w:r>
      <w:r>
        <w:rPr>
          <w:color w:val="231F20"/>
          <w:w w:val="105"/>
          <w:sz w:val="18"/>
        </w:rPr>
        <w:t>2004, “Declaración conjunta del Presidente de los Consejos de Esta- do y de Ministro de la República de Cuba, Fidel Castro, y del Presidente </w:t>
      </w:r>
      <w:r>
        <w:rPr>
          <w:color w:val="231F20"/>
          <w:spacing w:val="47"/>
          <w:w w:val="105"/>
          <w:sz w:val="18"/>
        </w:rPr>
        <w:t> </w:t>
      </w:r>
      <w:r>
        <w:rPr>
          <w:color w:val="231F20"/>
          <w:w w:val="105"/>
          <w:sz w:val="18"/>
        </w:rPr>
        <w:t>de la República Bolivariana de Venezuela, Hugo Chávez”, La Habana, 15 de </w:t>
      </w:r>
      <w:r>
        <w:rPr>
          <w:color w:val="231F20"/>
          <w:spacing w:val="19"/>
          <w:w w:val="105"/>
          <w:sz w:val="18"/>
        </w:rPr>
        <w:t> </w:t>
      </w:r>
      <w:r>
        <w:rPr>
          <w:color w:val="231F20"/>
          <w:w w:val="105"/>
          <w:sz w:val="18"/>
        </w:rPr>
        <w:t>diciembre.</w:t>
      </w:r>
    </w:p>
    <w:p>
      <w:pPr>
        <w:spacing w:line="254" w:lineRule="auto" w:before="1"/>
        <w:ind w:left="340" w:right="117" w:hanging="240"/>
        <w:jc w:val="both"/>
        <w:rPr>
          <w:sz w:val="18"/>
        </w:rPr>
      </w:pPr>
      <w:r>
        <w:rPr>
          <w:color w:val="231F20"/>
          <w:w w:val="110"/>
          <w:sz w:val="18"/>
        </w:rPr>
        <w:t>gric,</w:t>
      </w:r>
      <w:r>
        <w:rPr>
          <w:color w:val="231F20"/>
          <w:spacing w:val="-5"/>
          <w:w w:val="110"/>
          <w:sz w:val="18"/>
        </w:rPr>
        <w:t> </w:t>
      </w:r>
      <w:r>
        <w:rPr>
          <w:color w:val="231F20"/>
          <w:w w:val="110"/>
          <w:sz w:val="18"/>
        </w:rPr>
        <w:t>2009,</w:t>
      </w:r>
      <w:r>
        <w:rPr>
          <w:color w:val="231F20"/>
          <w:spacing w:val="-5"/>
          <w:w w:val="110"/>
          <w:sz w:val="18"/>
        </w:rPr>
        <w:t> </w:t>
      </w:r>
      <w:r>
        <w:rPr>
          <w:color w:val="231F20"/>
          <w:w w:val="110"/>
          <w:sz w:val="18"/>
        </w:rPr>
        <w:t>“Proyecto</w:t>
      </w:r>
      <w:r>
        <w:rPr>
          <w:color w:val="231F20"/>
          <w:spacing w:val="-5"/>
          <w:w w:val="110"/>
          <w:sz w:val="18"/>
        </w:rPr>
        <w:t> </w:t>
      </w:r>
      <w:r>
        <w:rPr>
          <w:color w:val="231F20"/>
          <w:w w:val="110"/>
          <w:sz w:val="18"/>
        </w:rPr>
        <w:t>de</w:t>
      </w:r>
      <w:r>
        <w:rPr>
          <w:color w:val="231F20"/>
          <w:spacing w:val="-5"/>
          <w:w w:val="110"/>
          <w:sz w:val="18"/>
        </w:rPr>
        <w:t> </w:t>
      </w:r>
      <w:r>
        <w:rPr>
          <w:color w:val="231F20"/>
          <w:w w:val="110"/>
          <w:sz w:val="18"/>
        </w:rPr>
        <w:t>Declaración</w:t>
      </w:r>
      <w:r>
        <w:rPr>
          <w:color w:val="231F20"/>
          <w:spacing w:val="-5"/>
          <w:w w:val="110"/>
          <w:sz w:val="18"/>
        </w:rPr>
        <w:t> </w:t>
      </w:r>
      <w:r>
        <w:rPr>
          <w:color w:val="231F20"/>
          <w:w w:val="110"/>
          <w:sz w:val="18"/>
        </w:rPr>
        <w:t>de</w:t>
      </w:r>
      <w:r>
        <w:rPr>
          <w:color w:val="231F20"/>
          <w:spacing w:val="-5"/>
          <w:w w:val="110"/>
          <w:sz w:val="18"/>
        </w:rPr>
        <w:t> </w:t>
      </w:r>
      <w:r>
        <w:rPr>
          <w:color w:val="231F20"/>
          <w:w w:val="110"/>
          <w:sz w:val="18"/>
        </w:rPr>
        <w:t>Compromisos</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Quinta</w:t>
      </w:r>
      <w:r>
        <w:rPr>
          <w:color w:val="231F20"/>
          <w:spacing w:val="-5"/>
          <w:w w:val="110"/>
          <w:sz w:val="18"/>
        </w:rPr>
        <w:t> </w:t>
      </w:r>
      <w:r>
        <w:rPr>
          <w:color w:val="231F20"/>
          <w:w w:val="110"/>
          <w:sz w:val="18"/>
        </w:rPr>
        <w:t>Cumbre de las Américas”, Puerto España, </w:t>
      </w:r>
      <w:r>
        <w:rPr>
          <w:color w:val="231F20"/>
          <w:spacing w:val="-3"/>
          <w:w w:val="110"/>
          <w:sz w:val="18"/>
        </w:rPr>
        <w:t>Trinidad </w:t>
      </w:r>
      <w:r>
        <w:rPr>
          <w:color w:val="231F20"/>
          <w:w w:val="110"/>
          <w:sz w:val="18"/>
        </w:rPr>
        <w:t>y </w:t>
      </w:r>
      <w:r>
        <w:rPr>
          <w:color w:val="231F20"/>
          <w:spacing w:val="-3"/>
          <w:w w:val="110"/>
          <w:sz w:val="18"/>
        </w:rPr>
        <w:t>Tobago, </w:t>
      </w:r>
      <w:r>
        <w:rPr>
          <w:color w:val="231F20"/>
          <w:w w:val="110"/>
          <w:sz w:val="18"/>
        </w:rPr>
        <w:t>19 de abril, GRIC/ DC-V/doc. 1/08 rev.10/ OEA/Ser </w:t>
      </w:r>
      <w:r>
        <w:rPr>
          <w:color w:val="231F20"/>
          <w:spacing w:val="3"/>
          <w:w w:val="110"/>
          <w:sz w:val="18"/>
        </w:rPr>
        <w:t> </w:t>
      </w:r>
      <w:r>
        <w:rPr>
          <w:color w:val="231F20"/>
          <w:w w:val="110"/>
          <w:sz w:val="18"/>
        </w:rPr>
        <w:t>E.</w:t>
      </w:r>
    </w:p>
    <w:p>
      <w:pPr>
        <w:spacing w:line="254" w:lineRule="auto" w:before="1"/>
        <w:ind w:left="340" w:right="119" w:hanging="240"/>
        <w:jc w:val="both"/>
        <w:rPr>
          <w:sz w:val="18"/>
        </w:rPr>
      </w:pPr>
      <w:r>
        <w:rPr>
          <w:color w:val="231F20"/>
          <w:w w:val="105"/>
          <w:sz w:val="18"/>
        </w:rPr>
        <w:t>Isa Conde, Narciso, 2011, “Dictadura institucional, poder militar y mediáti- co”, en &lt;www.noticiassin&gt;, 25 de enero.</w:t>
      </w:r>
    </w:p>
    <w:p>
      <w:pPr>
        <w:spacing w:line="254" w:lineRule="auto" w:before="1"/>
        <w:ind w:left="340" w:right="119" w:hanging="240"/>
        <w:jc w:val="both"/>
        <w:rPr>
          <w:sz w:val="18"/>
        </w:rPr>
      </w:pPr>
      <w:r>
        <w:rPr>
          <w:color w:val="231F20"/>
          <w:sz w:val="18"/>
        </w:rPr>
        <w:t>Joint Statement, 2007, </w:t>
      </w:r>
      <w:r>
        <w:rPr>
          <w:i/>
          <w:color w:val="231F20"/>
          <w:sz w:val="18"/>
        </w:rPr>
        <w:t>Conference on the Caribbean </w:t>
      </w:r>
      <w:r>
        <w:rPr>
          <w:i/>
          <w:color w:val="231F20"/>
          <w:sz w:val="13"/>
        </w:rPr>
        <w:t>caricom</w:t>
      </w:r>
      <w:r>
        <w:rPr>
          <w:i/>
          <w:color w:val="231F20"/>
          <w:sz w:val="18"/>
        </w:rPr>
        <w:t>-United States of Ame- </w:t>
      </w:r>
      <w:r>
        <w:rPr>
          <w:i/>
          <w:color w:val="231F20"/>
          <w:sz w:val="18"/>
        </w:rPr>
        <w:t>rica,  </w:t>
      </w:r>
      <w:r>
        <w:rPr>
          <w:color w:val="231F20"/>
          <w:sz w:val="18"/>
        </w:rPr>
        <w:t>Washington,  20  de junio.</w:t>
      </w:r>
    </w:p>
    <w:p>
      <w:pPr>
        <w:spacing w:line="254" w:lineRule="auto" w:before="1"/>
        <w:ind w:left="340" w:right="119" w:hanging="240"/>
        <w:jc w:val="both"/>
        <w:rPr>
          <w:sz w:val="18"/>
        </w:rPr>
      </w:pPr>
      <w:r>
        <w:rPr>
          <w:color w:val="231F20"/>
          <w:w w:val="105"/>
          <w:sz w:val="18"/>
        </w:rPr>
        <w:t>Lander, Edgardo, 2011, “¿Quién ganó las elecciones parlamentarias en Ve- nezuela”, Caracas, </w:t>
      </w:r>
      <w:r>
        <w:rPr>
          <w:i/>
          <w:color w:val="231F20"/>
          <w:w w:val="105"/>
          <w:sz w:val="18"/>
        </w:rPr>
        <w:t>Cal y Arena</w:t>
      </w:r>
      <w:r>
        <w:rPr>
          <w:color w:val="231F20"/>
          <w:w w:val="105"/>
          <w:sz w:val="18"/>
        </w:rPr>
        <w:t>, núm. 1,  enero.</w:t>
      </w:r>
    </w:p>
    <w:p>
      <w:pPr>
        <w:spacing w:line="254" w:lineRule="auto" w:before="1"/>
        <w:ind w:left="340" w:right="117" w:hanging="240"/>
        <w:jc w:val="both"/>
        <w:rPr>
          <w:sz w:val="18"/>
        </w:rPr>
      </w:pPr>
      <w:r>
        <w:rPr>
          <w:color w:val="231F20"/>
          <w:sz w:val="18"/>
        </w:rPr>
        <w:t>lap, 2010, </w:t>
      </w:r>
      <w:r>
        <w:rPr>
          <w:i/>
          <w:color w:val="231F20"/>
          <w:sz w:val="18"/>
        </w:rPr>
        <w:t>Dangerous Complacencies: Obama, Latin America, and the Misconcep- </w:t>
      </w:r>
      <w:r>
        <w:rPr>
          <w:i/>
          <w:color w:val="231F20"/>
          <w:w w:val="105"/>
          <w:sz w:val="18"/>
        </w:rPr>
        <w:t>tions of </w:t>
      </w:r>
      <w:r>
        <w:rPr>
          <w:i/>
          <w:color w:val="231F20"/>
          <w:spacing w:val="-3"/>
          <w:w w:val="105"/>
          <w:sz w:val="18"/>
        </w:rPr>
        <w:t>Power, </w:t>
      </w:r>
      <w:r>
        <w:rPr>
          <w:color w:val="231F20"/>
          <w:w w:val="105"/>
          <w:sz w:val="18"/>
        </w:rPr>
        <w:t>documento presentado al Congreso de la Asociación de Estadios  Latinoamericanos  (lasa)  efectuado  en  </w:t>
      </w:r>
      <w:r>
        <w:rPr>
          <w:color w:val="231F20"/>
          <w:spacing w:val="-3"/>
          <w:w w:val="105"/>
          <w:sz w:val="18"/>
        </w:rPr>
        <w:t>Toronto,  </w:t>
      </w:r>
      <w:r>
        <w:rPr>
          <w:color w:val="231F20"/>
          <w:w w:val="105"/>
          <w:sz w:val="18"/>
        </w:rPr>
        <w:t>Canadá,  entre</w:t>
      </w:r>
      <w:r>
        <w:rPr>
          <w:color w:val="231F20"/>
          <w:spacing w:val="47"/>
          <w:w w:val="105"/>
          <w:sz w:val="18"/>
        </w:rPr>
        <w:t> </w:t>
      </w:r>
      <w:r>
        <w:rPr>
          <w:color w:val="231F20"/>
          <w:w w:val="105"/>
          <w:sz w:val="18"/>
        </w:rPr>
        <w:t>el 6 y el 9 de  </w:t>
      </w:r>
      <w:r>
        <w:rPr>
          <w:color w:val="231F20"/>
          <w:spacing w:val="14"/>
          <w:w w:val="105"/>
          <w:sz w:val="18"/>
        </w:rPr>
        <w:t> </w:t>
      </w:r>
      <w:r>
        <w:rPr>
          <w:color w:val="231F20"/>
          <w:w w:val="105"/>
          <w:sz w:val="18"/>
        </w:rPr>
        <w:t>octubre.</w:t>
      </w:r>
    </w:p>
    <w:p>
      <w:pPr>
        <w:spacing w:line="254" w:lineRule="auto" w:before="1"/>
        <w:ind w:left="340" w:right="118" w:hanging="240"/>
        <w:jc w:val="both"/>
        <w:rPr>
          <w:sz w:val="18"/>
        </w:rPr>
      </w:pPr>
      <w:r>
        <w:rPr>
          <w:i/>
          <w:color w:val="231F20"/>
          <w:w w:val="105"/>
          <w:sz w:val="18"/>
        </w:rPr>
        <w:t>La Jornada, </w:t>
      </w:r>
      <w:r>
        <w:rPr>
          <w:color w:val="231F20"/>
          <w:w w:val="105"/>
          <w:sz w:val="18"/>
        </w:rPr>
        <w:t>2009, “México por primera vez en maniobras navales yanquis”, México, 21 de  abril.</w:t>
      </w:r>
    </w:p>
    <w:p>
      <w:pPr>
        <w:spacing w:line="254" w:lineRule="auto" w:before="1"/>
        <w:ind w:left="340" w:right="117" w:hanging="240"/>
        <w:jc w:val="both"/>
        <w:rPr>
          <w:i/>
          <w:sz w:val="18"/>
        </w:rPr>
      </w:pPr>
      <w:r>
        <w:rPr>
          <w:color w:val="231F20"/>
          <w:sz w:val="18"/>
        </w:rPr>
        <w:t>Moniz Banderia, Luiz Alberto: </w:t>
      </w:r>
      <w:r>
        <w:rPr>
          <w:i/>
          <w:color w:val="231F20"/>
          <w:sz w:val="18"/>
        </w:rPr>
        <w:t>La formación del imperio americano: de la guerra </w:t>
      </w:r>
      <w:r>
        <w:rPr>
          <w:i/>
          <w:color w:val="231F20"/>
          <w:sz w:val="18"/>
        </w:rPr>
        <w:t>contra España a la guerra en Irak</w:t>
      </w:r>
      <w:r>
        <w:rPr>
          <w:color w:val="231F20"/>
          <w:sz w:val="18"/>
        </w:rPr>
        <w:t>, La Habana</w:t>
      </w:r>
      <w:r>
        <w:rPr>
          <w:i/>
          <w:color w:val="231F20"/>
          <w:sz w:val="18"/>
        </w:rPr>
        <w:t>, </w:t>
      </w:r>
      <w:r>
        <w:rPr>
          <w:color w:val="231F20"/>
          <w:sz w:val="18"/>
        </w:rPr>
        <w:t>Casa de las Américas</w:t>
      </w:r>
      <w:r>
        <w:rPr>
          <w:i/>
          <w:color w:val="231F20"/>
          <w:sz w:val="18"/>
        </w:rPr>
        <w:t>.</w:t>
      </w:r>
    </w:p>
    <w:p>
      <w:pPr>
        <w:spacing w:line="254" w:lineRule="auto" w:before="1"/>
        <w:ind w:left="340" w:right="119" w:hanging="240"/>
        <w:jc w:val="both"/>
        <w:rPr>
          <w:sz w:val="18"/>
        </w:rPr>
      </w:pPr>
      <w:r>
        <w:rPr>
          <w:color w:val="231F20"/>
          <w:w w:val="110"/>
          <w:sz w:val="18"/>
        </w:rPr>
        <w:t>Mora Ramírez, Andrés, 2010, “¿Hacia un Plan Centroamérica?, auna-Costa Rica, </w:t>
      </w:r>
      <w:hyperlink r:id="rId302">
        <w:r>
          <w:rPr>
            <w:color w:val="231F20"/>
            <w:w w:val="110"/>
            <w:sz w:val="18"/>
          </w:rPr>
          <w:t>&lt;http://marcoagandasegui10.blogspot.com&gt;.</w:t>
        </w:r>
      </w:hyperlink>
    </w:p>
    <w:p>
      <w:pPr>
        <w:spacing w:line="254" w:lineRule="auto" w:before="1"/>
        <w:ind w:left="340" w:right="118" w:hanging="240"/>
        <w:jc w:val="both"/>
        <w:rPr>
          <w:sz w:val="18"/>
        </w:rPr>
      </w:pPr>
      <w:r>
        <w:rPr>
          <w:color w:val="231F20"/>
          <w:w w:val="110"/>
          <w:sz w:val="18"/>
        </w:rPr>
        <w:t>Morales, Esteban, 2009, “Una hipótesis sobre la estrategia de Obama hacia </w:t>
      </w:r>
      <w:r>
        <w:rPr>
          <w:color w:val="231F20"/>
          <w:w w:val="105"/>
          <w:sz w:val="18"/>
        </w:rPr>
        <w:t>Cuba”, en </w:t>
      </w:r>
      <w:r>
        <w:rPr>
          <w:i/>
          <w:color w:val="231F20"/>
          <w:w w:val="105"/>
          <w:sz w:val="18"/>
        </w:rPr>
        <w:t>Argenpress.info</w:t>
      </w:r>
      <w:r>
        <w:rPr>
          <w:color w:val="231F20"/>
          <w:w w:val="105"/>
          <w:sz w:val="18"/>
        </w:rPr>
        <w:t>, 27 de mayo.</w:t>
      </w:r>
    </w:p>
    <w:p>
      <w:pPr>
        <w:spacing w:line="254" w:lineRule="auto" w:before="1"/>
        <w:ind w:left="340" w:right="119" w:hanging="240"/>
        <w:jc w:val="both"/>
        <w:rPr>
          <w:sz w:val="18"/>
        </w:rPr>
      </w:pPr>
      <w:r>
        <w:rPr>
          <w:color w:val="231F20"/>
          <w:w w:val="105"/>
          <w:sz w:val="18"/>
        </w:rPr>
        <w:t>Morales, Esteban, 2011 “Obama continúa su estrategia contra Cuba”, </w:t>
      </w:r>
      <w:r>
        <w:rPr>
          <w:i/>
          <w:color w:val="231F20"/>
          <w:w w:val="105"/>
          <w:sz w:val="18"/>
        </w:rPr>
        <w:t>Desde   </w:t>
      </w:r>
      <w:r>
        <w:rPr>
          <w:i/>
          <w:color w:val="231F20"/>
          <w:w w:val="105"/>
          <w:sz w:val="18"/>
        </w:rPr>
        <w:t>la Ceiba</w:t>
      </w:r>
      <w:r>
        <w:rPr>
          <w:color w:val="231F20"/>
          <w:w w:val="105"/>
          <w:sz w:val="18"/>
        </w:rPr>
        <w:t>, 15 de enero, La </w:t>
      </w:r>
      <w:r>
        <w:rPr>
          <w:color w:val="231F20"/>
          <w:spacing w:val="35"/>
          <w:w w:val="105"/>
          <w:sz w:val="18"/>
        </w:rPr>
        <w:t> </w:t>
      </w:r>
      <w:r>
        <w:rPr>
          <w:color w:val="231F20"/>
          <w:w w:val="105"/>
          <w:sz w:val="18"/>
        </w:rPr>
        <w:t>Habana.</w:t>
      </w:r>
    </w:p>
    <w:p>
      <w:pPr>
        <w:spacing w:line="254" w:lineRule="auto" w:before="1"/>
        <w:ind w:left="340" w:right="118" w:hanging="240"/>
        <w:jc w:val="both"/>
        <w:rPr>
          <w:sz w:val="18"/>
        </w:rPr>
      </w:pPr>
      <w:r>
        <w:rPr>
          <w:color w:val="231F20"/>
          <w:w w:val="110"/>
          <w:sz w:val="18"/>
        </w:rPr>
        <w:t>Notimex,</w:t>
      </w:r>
      <w:r>
        <w:rPr>
          <w:color w:val="231F20"/>
          <w:spacing w:val="-10"/>
          <w:w w:val="110"/>
          <w:sz w:val="18"/>
        </w:rPr>
        <w:t> </w:t>
      </w:r>
      <w:r>
        <w:rPr>
          <w:color w:val="231F20"/>
          <w:w w:val="110"/>
          <w:sz w:val="18"/>
        </w:rPr>
        <w:t>2010</w:t>
      </w:r>
      <w:r>
        <w:rPr>
          <w:color w:val="231F20"/>
          <w:spacing w:val="-10"/>
          <w:w w:val="110"/>
          <w:sz w:val="18"/>
        </w:rPr>
        <w:t> </w:t>
      </w:r>
      <w:r>
        <w:rPr>
          <w:color w:val="231F20"/>
          <w:w w:val="110"/>
          <w:sz w:val="18"/>
        </w:rPr>
        <w:t>“Reporte</w:t>
      </w:r>
      <w:r>
        <w:rPr>
          <w:color w:val="231F20"/>
          <w:spacing w:val="-10"/>
          <w:w w:val="110"/>
          <w:sz w:val="18"/>
        </w:rPr>
        <w:t> </w:t>
      </w:r>
      <w:r>
        <w:rPr>
          <w:color w:val="231F20"/>
          <w:w w:val="110"/>
          <w:sz w:val="18"/>
        </w:rPr>
        <w:t>al</w:t>
      </w:r>
      <w:r>
        <w:rPr>
          <w:color w:val="231F20"/>
          <w:spacing w:val="-10"/>
          <w:w w:val="110"/>
          <w:sz w:val="18"/>
        </w:rPr>
        <w:t> </w:t>
      </w:r>
      <w:r>
        <w:rPr>
          <w:color w:val="231F20"/>
          <w:w w:val="110"/>
          <w:sz w:val="18"/>
        </w:rPr>
        <w:t>Congreso</w:t>
      </w:r>
      <w:r>
        <w:rPr>
          <w:color w:val="231F20"/>
          <w:spacing w:val="-10"/>
          <w:w w:val="110"/>
          <w:sz w:val="18"/>
        </w:rPr>
        <w:t> </w:t>
      </w:r>
      <w:r>
        <w:rPr>
          <w:color w:val="231F20"/>
          <w:w w:val="110"/>
          <w:sz w:val="18"/>
        </w:rPr>
        <w:t>del</w:t>
      </w:r>
      <w:r>
        <w:rPr>
          <w:color w:val="231F20"/>
          <w:spacing w:val="-10"/>
          <w:w w:val="110"/>
          <w:sz w:val="18"/>
        </w:rPr>
        <w:t> </w:t>
      </w:r>
      <w:r>
        <w:rPr>
          <w:color w:val="231F20"/>
          <w:w w:val="110"/>
          <w:sz w:val="18"/>
        </w:rPr>
        <w:t>director</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Inteligencia</w:t>
      </w:r>
      <w:r>
        <w:rPr>
          <w:color w:val="231F20"/>
          <w:spacing w:val="-10"/>
          <w:w w:val="110"/>
          <w:sz w:val="18"/>
        </w:rPr>
        <w:t> </w:t>
      </w:r>
      <w:r>
        <w:rPr>
          <w:color w:val="231F20"/>
          <w:w w:val="110"/>
          <w:sz w:val="18"/>
        </w:rPr>
        <w:t>Nacional de Estados Unidos, Dennis Blair”, 2 de febrero,</w:t>
      </w:r>
      <w:r>
        <w:rPr>
          <w:color w:val="231F20"/>
          <w:spacing w:val="-19"/>
          <w:w w:val="110"/>
          <w:sz w:val="18"/>
        </w:rPr>
        <w:t> </w:t>
      </w:r>
      <w:r>
        <w:rPr>
          <w:color w:val="231F20"/>
          <w:w w:val="110"/>
          <w:sz w:val="18"/>
        </w:rPr>
        <w:t>Washington.</w:t>
      </w:r>
    </w:p>
    <w:p>
      <w:pPr>
        <w:spacing w:line="254" w:lineRule="auto" w:before="1"/>
        <w:ind w:left="340" w:right="118" w:hanging="240"/>
        <w:jc w:val="both"/>
        <w:rPr>
          <w:sz w:val="18"/>
        </w:rPr>
      </w:pPr>
      <w:r>
        <w:rPr>
          <w:color w:val="231F20"/>
          <w:w w:val="110"/>
          <w:sz w:val="18"/>
        </w:rPr>
        <w:t>Obama,</w:t>
      </w:r>
      <w:r>
        <w:rPr>
          <w:color w:val="231F20"/>
          <w:spacing w:val="-13"/>
          <w:w w:val="110"/>
          <w:sz w:val="18"/>
        </w:rPr>
        <w:t> </w:t>
      </w:r>
      <w:r>
        <w:rPr>
          <w:color w:val="231F20"/>
          <w:w w:val="110"/>
          <w:sz w:val="18"/>
        </w:rPr>
        <w:t>Barack,</w:t>
      </w:r>
      <w:r>
        <w:rPr>
          <w:color w:val="231F20"/>
          <w:spacing w:val="-13"/>
          <w:w w:val="110"/>
          <w:sz w:val="18"/>
        </w:rPr>
        <w:t> </w:t>
      </w:r>
      <w:r>
        <w:rPr>
          <w:color w:val="231F20"/>
          <w:w w:val="110"/>
          <w:sz w:val="18"/>
        </w:rPr>
        <w:t>2008,</w:t>
      </w:r>
      <w:r>
        <w:rPr>
          <w:color w:val="231F20"/>
          <w:spacing w:val="-13"/>
          <w:w w:val="110"/>
          <w:sz w:val="18"/>
        </w:rPr>
        <w:t> </w:t>
      </w:r>
      <w:r>
        <w:rPr>
          <w:color w:val="231F20"/>
          <w:w w:val="110"/>
          <w:sz w:val="18"/>
        </w:rPr>
        <w:t>“Discurso</w:t>
      </w:r>
      <w:r>
        <w:rPr>
          <w:color w:val="231F20"/>
          <w:spacing w:val="-13"/>
          <w:w w:val="110"/>
          <w:sz w:val="18"/>
        </w:rPr>
        <w:t> </w:t>
      </w:r>
      <w:r>
        <w:rPr>
          <w:color w:val="231F20"/>
          <w:w w:val="110"/>
          <w:sz w:val="18"/>
        </w:rPr>
        <w:t>pronunciado</w:t>
      </w:r>
      <w:r>
        <w:rPr>
          <w:color w:val="231F20"/>
          <w:spacing w:val="-13"/>
          <w:w w:val="110"/>
          <w:sz w:val="18"/>
        </w:rPr>
        <w:t> </w:t>
      </w:r>
      <w:r>
        <w:rPr>
          <w:color w:val="231F20"/>
          <w:w w:val="110"/>
          <w:sz w:val="18"/>
        </w:rPr>
        <w:t>por</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senador</w:t>
      </w:r>
      <w:r>
        <w:rPr>
          <w:color w:val="231F20"/>
          <w:spacing w:val="-13"/>
          <w:w w:val="110"/>
          <w:sz w:val="18"/>
        </w:rPr>
        <w:t> </w:t>
      </w:r>
      <w:r>
        <w:rPr>
          <w:color w:val="231F20"/>
          <w:w w:val="110"/>
          <w:sz w:val="18"/>
        </w:rPr>
        <w:t>Barack</w:t>
      </w:r>
      <w:r>
        <w:rPr>
          <w:color w:val="231F20"/>
          <w:spacing w:val="-13"/>
          <w:w w:val="110"/>
          <w:sz w:val="18"/>
        </w:rPr>
        <w:t> </w:t>
      </w:r>
      <w:r>
        <w:rPr>
          <w:color w:val="231F20"/>
          <w:w w:val="110"/>
          <w:sz w:val="18"/>
        </w:rPr>
        <w:t>Obama, el 23 de mayo del 2008”, mimeografiado, La</w:t>
      </w:r>
      <w:r>
        <w:rPr>
          <w:color w:val="231F20"/>
          <w:spacing w:val="-10"/>
          <w:w w:val="110"/>
          <w:sz w:val="18"/>
        </w:rPr>
        <w:t> </w:t>
      </w:r>
      <w:r>
        <w:rPr>
          <w:color w:val="231F20"/>
          <w:w w:val="110"/>
          <w:sz w:val="18"/>
        </w:rPr>
        <w:t>Habana.</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2008a, </w:t>
      </w:r>
      <w:r>
        <w:rPr>
          <w:i/>
          <w:color w:val="231F20"/>
          <w:w w:val="105"/>
          <w:sz w:val="18"/>
        </w:rPr>
        <w:t>Renewing U.S. Leadership in the Americas</w:t>
      </w:r>
      <w:r>
        <w:rPr>
          <w:color w:val="231F20"/>
          <w:w w:val="105"/>
          <w:sz w:val="18"/>
        </w:rPr>
        <w:t>, Obama for America, Washington.</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w:t>
      </w:r>
      <w:r>
        <w:rPr>
          <w:color w:val="231F20"/>
          <w:spacing w:val="-15"/>
          <w:w w:val="110"/>
          <w:sz w:val="18"/>
        </w:rPr>
        <w:t> </w:t>
      </w:r>
      <w:r>
        <w:rPr>
          <w:color w:val="231F20"/>
          <w:w w:val="110"/>
          <w:sz w:val="18"/>
        </w:rPr>
        <w:t>2009,</w:t>
      </w:r>
      <w:r>
        <w:rPr>
          <w:color w:val="231F20"/>
          <w:spacing w:val="-15"/>
          <w:w w:val="110"/>
          <w:sz w:val="18"/>
        </w:rPr>
        <w:t> </w:t>
      </w:r>
      <w:r>
        <w:rPr>
          <w:color w:val="231F20"/>
          <w:w w:val="110"/>
          <w:sz w:val="18"/>
        </w:rPr>
        <w:t>“Mensaje</w:t>
      </w:r>
      <w:r>
        <w:rPr>
          <w:color w:val="231F20"/>
          <w:spacing w:val="-15"/>
          <w:w w:val="110"/>
          <w:sz w:val="18"/>
        </w:rPr>
        <w:t> </w:t>
      </w:r>
      <w:r>
        <w:rPr>
          <w:color w:val="231F20"/>
          <w:w w:val="110"/>
          <w:sz w:val="18"/>
        </w:rPr>
        <w:t>del</w:t>
      </w:r>
      <w:r>
        <w:rPr>
          <w:color w:val="231F20"/>
          <w:spacing w:val="-15"/>
          <w:w w:val="110"/>
          <w:sz w:val="18"/>
        </w:rPr>
        <w:t> </w:t>
      </w:r>
      <w:r>
        <w:rPr>
          <w:color w:val="231F20"/>
          <w:w w:val="110"/>
          <w:sz w:val="18"/>
        </w:rPr>
        <w:t>presidente</w:t>
      </w:r>
      <w:r>
        <w:rPr>
          <w:color w:val="231F20"/>
          <w:spacing w:val="-15"/>
          <w:w w:val="110"/>
          <w:sz w:val="18"/>
        </w:rPr>
        <w:t> </w:t>
      </w:r>
      <w:r>
        <w:rPr>
          <w:color w:val="231F20"/>
          <w:w w:val="110"/>
          <w:sz w:val="18"/>
        </w:rPr>
        <w:t>Barack</w:t>
      </w:r>
      <w:r>
        <w:rPr>
          <w:color w:val="231F20"/>
          <w:spacing w:val="-15"/>
          <w:w w:val="110"/>
          <w:sz w:val="18"/>
        </w:rPr>
        <w:t> </w:t>
      </w:r>
      <w:r>
        <w:rPr>
          <w:color w:val="231F20"/>
          <w:w w:val="110"/>
          <w:sz w:val="18"/>
        </w:rPr>
        <w:t>Obama</w:t>
      </w:r>
      <w:r>
        <w:rPr>
          <w:color w:val="231F20"/>
          <w:spacing w:val="-15"/>
          <w:w w:val="110"/>
          <w:sz w:val="18"/>
        </w:rPr>
        <w:t> </w:t>
      </w:r>
      <w:r>
        <w:rPr>
          <w:color w:val="231F20"/>
          <w:w w:val="110"/>
          <w:sz w:val="18"/>
        </w:rPr>
        <w:t>a</w:t>
      </w:r>
      <w:r>
        <w:rPr>
          <w:color w:val="231F20"/>
          <w:spacing w:val="-15"/>
          <w:w w:val="110"/>
          <w:sz w:val="18"/>
        </w:rPr>
        <w:t> </w:t>
      </w:r>
      <w:r>
        <w:rPr>
          <w:color w:val="231F20"/>
          <w:w w:val="110"/>
          <w:sz w:val="18"/>
        </w:rPr>
        <w:t>propósito</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Cumbre de</w:t>
      </w:r>
      <w:r>
        <w:rPr>
          <w:color w:val="231F20"/>
          <w:spacing w:val="-9"/>
          <w:w w:val="110"/>
          <w:sz w:val="18"/>
        </w:rPr>
        <w:t> </w:t>
      </w:r>
      <w:r>
        <w:rPr>
          <w:color w:val="231F20"/>
          <w:w w:val="110"/>
          <w:sz w:val="18"/>
        </w:rPr>
        <w:t>las</w:t>
      </w:r>
      <w:r>
        <w:rPr>
          <w:color w:val="231F20"/>
          <w:spacing w:val="-9"/>
          <w:w w:val="110"/>
          <w:sz w:val="18"/>
        </w:rPr>
        <w:t> </w:t>
      </w:r>
      <w:r>
        <w:rPr>
          <w:color w:val="231F20"/>
          <w:w w:val="110"/>
          <w:sz w:val="18"/>
        </w:rPr>
        <w:t>Américas”,</w:t>
      </w:r>
      <w:r>
        <w:rPr>
          <w:color w:val="231F20"/>
          <w:spacing w:val="-9"/>
          <w:w w:val="110"/>
          <w:sz w:val="18"/>
        </w:rPr>
        <w:t> </w:t>
      </w:r>
      <w:r>
        <w:rPr>
          <w:color w:val="231F20"/>
          <w:w w:val="110"/>
          <w:sz w:val="18"/>
        </w:rPr>
        <w:t>mimeografiado,</w:t>
      </w:r>
      <w:r>
        <w:rPr>
          <w:color w:val="231F20"/>
          <w:spacing w:val="-9"/>
          <w:w w:val="110"/>
          <w:sz w:val="18"/>
        </w:rPr>
        <w:t> </w:t>
      </w:r>
      <w:r>
        <w:rPr>
          <w:color w:val="231F20"/>
          <w:w w:val="110"/>
          <w:sz w:val="18"/>
        </w:rPr>
        <w:t>La</w:t>
      </w:r>
      <w:r>
        <w:rPr>
          <w:color w:val="231F20"/>
          <w:spacing w:val="-9"/>
          <w:w w:val="110"/>
          <w:sz w:val="18"/>
        </w:rPr>
        <w:t> </w:t>
      </w:r>
      <w:r>
        <w:rPr>
          <w:color w:val="231F20"/>
          <w:w w:val="110"/>
          <w:sz w:val="18"/>
        </w:rPr>
        <w:t>Habana,</w:t>
      </w:r>
      <w:r>
        <w:rPr>
          <w:color w:val="231F20"/>
          <w:spacing w:val="-9"/>
          <w:w w:val="110"/>
          <w:sz w:val="18"/>
        </w:rPr>
        <w:t> </w:t>
      </w:r>
      <w:r>
        <w:rPr>
          <w:color w:val="231F20"/>
          <w:w w:val="110"/>
          <w:sz w:val="18"/>
        </w:rPr>
        <w:t>2009.</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 2009a, Discurso pronunciado por Barack Obama en la 5a. Cumbre   de las Américas, Puerto España, 17 de abril del 2009, mimeografiado,  La</w:t>
      </w:r>
      <w:r>
        <w:rPr>
          <w:color w:val="231F20"/>
          <w:spacing w:val="5"/>
          <w:w w:val="110"/>
          <w:sz w:val="18"/>
        </w:rPr>
        <w:t> </w:t>
      </w:r>
      <w:r>
        <w:rPr>
          <w:color w:val="231F20"/>
          <w:w w:val="110"/>
          <w:sz w:val="18"/>
        </w:rPr>
        <w:t>Habana.</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w:t>
      </w:r>
      <w:r>
        <w:rPr>
          <w:color w:val="231F20"/>
          <w:spacing w:val="-6"/>
          <w:w w:val="105"/>
          <w:sz w:val="18"/>
        </w:rPr>
        <w:t> </w:t>
      </w:r>
      <w:r>
        <w:rPr>
          <w:color w:val="231F20"/>
          <w:w w:val="105"/>
          <w:sz w:val="18"/>
        </w:rPr>
        <w:t>2010,</w:t>
      </w:r>
      <w:r>
        <w:rPr>
          <w:color w:val="231F20"/>
          <w:spacing w:val="-6"/>
          <w:w w:val="105"/>
          <w:sz w:val="18"/>
        </w:rPr>
        <w:t> </w:t>
      </w:r>
      <w:r>
        <w:rPr>
          <w:color w:val="231F20"/>
          <w:w w:val="105"/>
          <w:sz w:val="18"/>
        </w:rPr>
        <w:t>“Discurso</w:t>
      </w:r>
      <w:r>
        <w:rPr>
          <w:color w:val="231F20"/>
          <w:spacing w:val="-6"/>
          <w:w w:val="105"/>
          <w:sz w:val="18"/>
        </w:rPr>
        <w:t> </w:t>
      </w:r>
      <w:r>
        <w:rPr>
          <w:color w:val="231F20"/>
          <w:w w:val="105"/>
          <w:sz w:val="18"/>
        </w:rPr>
        <w:t>sobre</w:t>
      </w:r>
      <w:r>
        <w:rPr>
          <w:color w:val="231F20"/>
          <w:spacing w:val="-6"/>
          <w:w w:val="105"/>
          <w:sz w:val="18"/>
        </w:rPr>
        <w:t> </w:t>
      </w:r>
      <w:r>
        <w:rPr>
          <w:color w:val="231F20"/>
          <w:w w:val="105"/>
          <w:sz w:val="18"/>
        </w:rPr>
        <w:t>el</w:t>
      </w:r>
      <w:r>
        <w:rPr>
          <w:color w:val="231F20"/>
          <w:spacing w:val="-6"/>
          <w:w w:val="105"/>
          <w:sz w:val="18"/>
        </w:rPr>
        <w:t> </w:t>
      </w:r>
      <w:r>
        <w:rPr>
          <w:color w:val="231F20"/>
          <w:w w:val="105"/>
          <w:sz w:val="18"/>
        </w:rPr>
        <w:t>estado</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Unión”</w:t>
      </w:r>
      <w:r>
        <w:rPr>
          <w:color w:val="231F20"/>
          <w:spacing w:val="-6"/>
          <w:w w:val="105"/>
          <w:sz w:val="18"/>
        </w:rPr>
        <w:t> </w:t>
      </w:r>
      <w:r>
        <w:rPr>
          <w:color w:val="231F20"/>
          <w:w w:val="105"/>
          <w:sz w:val="18"/>
        </w:rPr>
        <w:t>en</w:t>
      </w:r>
      <w:r>
        <w:rPr>
          <w:color w:val="231F20"/>
          <w:spacing w:val="-6"/>
          <w:w w:val="105"/>
          <w:sz w:val="18"/>
        </w:rPr>
        <w:t> </w:t>
      </w:r>
      <w:r>
        <w:rPr>
          <w:i/>
          <w:color w:val="231F20"/>
          <w:w w:val="105"/>
          <w:sz w:val="18"/>
        </w:rPr>
        <w:t>El</w:t>
      </w:r>
      <w:r>
        <w:rPr>
          <w:i/>
          <w:color w:val="231F20"/>
          <w:spacing w:val="-6"/>
          <w:w w:val="105"/>
          <w:sz w:val="18"/>
        </w:rPr>
        <w:t> </w:t>
      </w:r>
      <w:r>
        <w:rPr>
          <w:i/>
          <w:color w:val="231F20"/>
          <w:w w:val="105"/>
          <w:sz w:val="18"/>
        </w:rPr>
        <w:t>País.com</w:t>
      </w:r>
      <w:r>
        <w:rPr>
          <w:color w:val="231F20"/>
          <w:w w:val="105"/>
          <w:sz w:val="18"/>
        </w:rPr>
        <w:t>,</w:t>
      </w:r>
      <w:r>
        <w:rPr>
          <w:color w:val="231F20"/>
          <w:spacing w:val="-6"/>
          <w:w w:val="105"/>
          <w:sz w:val="18"/>
        </w:rPr>
        <w:t> </w:t>
      </w:r>
      <w:r>
        <w:rPr>
          <w:color w:val="231F20"/>
          <w:w w:val="105"/>
          <w:sz w:val="18"/>
        </w:rPr>
        <w:t>28</w:t>
      </w:r>
      <w:r>
        <w:rPr>
          <w:color w:val="231F20"/>
          <w:spacing w:val="-6"/>
          <w:w w:val="105"/>
          <w:sz w:val="18"/>
        </w:rPr>
        <w:t> </w:t>
      </w:r>
      <w:r>
        <w:rPr>
          <w:color w:val="231F20"/>
          <w:w w:val="105"/>
          <w:sz w:val="18"/>
        </w:rPr>
        <w:t>de</w:t>
      </w:r>
      <w:r>
        <w:rPr>
          <w:color w:val="231F20"/>
          <w:spacing w:val="-6"/>
          <w:w w:val="105"/>
          <w:sz w:val="18"/>
        </w:rPr>
        <w:t> </w:t>
      </w:r>
      <w:r>
        <w:rPr>
          <w:color w:val="231F20"/>
          <w:w w:val="105"/>
          <w:sz w:val="18"/>
        </w:rPr>
        <w:t>enero.</w:t>
      </w:r>
    </w:p>
    <w:p>
      <w:pPr>
        <w:spacing w:line="254" w:lineRule="auto" w:before="13"/>
        <w:ind w:left="340" w:right="118"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 2011, “Discurso pronunciado sobre el estado de la Unión”,</w:t>
      </w:r>
      <w:r>
        <w:rPr>
          <w:color w:val="231F20"/>
          <w:spacing w:val="-11"/>
          <w:w w:val="110"/>
          <w:sz w:val="18"/>
        </w:rPr>
        <w:t> </w:t>
      </w:r>
      <w:r>
        <w:rPr>
          <w:color w:val="231F20"/>
          <w:w w:val="110"/>
          <w:sz w:val="18"/>
        </w:rPr>
        <w:t>traducción no oficial enviada por René Negrín, 25 de </w:t>
      </w:r>
      <w:r>
        <w:rPr>
          <w:color w:val="231F20"/>
          <w:spacing w:val="18"/>
          <w:w w:val="110"/>
          <w:sz w:val="18"/>
        </w:rPr>
        <w:t> </w:t>
      </w:r>
      <w:r>
        <w:rPr>
          <w:color w:val="231F20"/>
          <w:w w:val="110"/>
          <w:sz w:val="18"/>
        </w:rPr>
        <w:t>enero.</w:t>
      </w:r>
    </w:p>
    <w:p>
      <w:pPr>
        <w:spacing w:line="254" w:lineRule="auto" w:before="1"/>
        <w:ind w:left="340" w:right="119" w:hanging="240"/>
        <w:jc w:val="both"/>
        <w:rPr>
          <w:sz w:val="18"/>
        </w:rPr>
      </w:pPr>
      <w:r>
        <w:rPr>
          <w:color w:val="231F20"/>
          <w:w w:val="105"/>
          <w:sz w:val="18"/>
        </w:rPr>
        <w:t>Pineda, Roberto, 2011, “¿Es posible en El Salvador sellar una alianza estraté- gica con el imperialismo?, </w:t>
      </w:r>
      <w:hyperlink r:id="rId303">
        <w:r>
          <w:rPr>
            <w:color w:val="231F20"/>
            <w:w w:val="105"/>
            <w:sz w:val="18"/>
          </w:rPr>
          <w:t>&lt;www.salacela.net&gt;,</w:t>
        </w:r>
      </w:hyperlink>
      <w:r>
        <w:rPr>
          <w:color w:val="231F20"/>
          <w:w w:val="105"/>
          <w:sz w:val="18"/>
        </w:rPr>
        <w:t> 6 de  enero.</w:t>
      </w:r>
    </w:p>
    <w:p>
      <w:pPr>
        <w:spacing w:line="254" w:lineRule="auto" w:before="1"/>
        <w:ind w:left="340" w:right="117" w:hanging="240"/>
        <w:jc w:val="both"/>
        <w:rPr>
          <w:sz w:val="18"/>
        </w:rPr>
      </w:pPr>
      <w:r>
        <w:rPr>
          <w:color w:val="231F20"/>
          <w:w w:val="110"/>
          <w:sz w:val="18"/>
        </w:rPr>
        <w:t>Ramonet, Ignacio, 2011, “Pedí una pistola para defenderme”, entrevista a Rafael Correa, presidente de Ecuador, en &lt;www.monde-diplomatique. es&gt;, 3 de enero.</w:t>
      </w:r>
    </w:p>
    <w:p>
      <w:pPr>
        <w:spacing w:line="254" w:lineRule="auto" w:before="1"/>
        <w:ind w:left="340" w:right="117" w:hanging="240"/>
        <w:jc w:val="both"/>
        <w:rPr>
          <w:sz w:val="18"/>
        </w:rPr>
      </w:pPr>
      <w:r>
        <w:rPr>
          <w:color w:val="231F20"/>
          <w:w w:val="110"/>
          <w:sz w:val="18"/>
        </w:rPr>
        <w:t>Romano, Silvina, 2009, “Democracia, seguridad y desarrollo: el gobierno y el</w:t>
      </w:r>
      <w:r>
        <w:rPr>
          <w:color w:val="231F20"/>
          <w:spacing w:val="-12"/>
          <w:w w:val="110"/>
          <w:sz w:val="18"/>
        </w:rPr>
        <w:t> </w:t>
      </w:r>
      <w:r>
        <w:rPr>
          <w:color w:val="231F20"/>
          <w:w w:val="110"/>
          <w:sz w:val="18"/>
        </w:rPr>
        <w:t>sector</w:t>
      </w:r>
      <w:r>
        <w:rPr>
          <w:color w:val="231F20"/>
          <w:spacing w:val="-12"/>
          <w:w w:val="110"/>
          <w:sz w:val="18"/>
        </w:rPr>
        <w:t> </w:t>
      </w:r>
      <w:r>
        <w:rPr>
          <w:color w:val="231F20"/>
          <w:w w:val="110"/>
          <w:sz w:val="18"/>
        </w:rPr>
        <w:t>privado</w:t>
      </w:r>
      <w:r>
        <w:rPr>
          <w:color w:val="231F20"/>
          <w:spacing w:val="-12"/>
          <w:w w:val="110"/>
          <w:sz w:val="18"/>
        </w:rPr>
        <w:t> </w:t>
      </w:r>
      <w:r>
        <w:rPr>
          <w:color w:val="231F20"/>
          <w:w w:val="110"/>
          <w:sz w:val="18"/>
        </w:rPr>
        <w:t>estadunidense</w:t>
      </w:r>
      <w:r>
        <w:rPr>
          <w:color w:val="231F20"/>
          <w:spacing w:val="-12"/>
          <w:w w:val="110"/>
          <w:sz w:val="18"/>
        </w:rPr>
        <w:t> </w:t>
      </w:r>
      <w:r>
        <w:rPr>
          <w:color w:val="231F20"/>
          <w:w w:val="110"/>
          <w:sz w:val="18"/>
        </w:rPr>
        <w:t>y</w:t>
      </w:r>
      <w:r>
        <w:rPr>
          <w:color w:val="231F20"/>
          <w:spacing w:val="-12"/>
          <w:w w:val="110"/>
          <w:sz w:val="18"/>
        </w:rPr>
        <w:t> </w:t>
      </w:r>
      <w:r>
        <w:rPr>
          <w:color w:val="231F20"/>
          <w:w w:val="110"/>
          <w:sz w:val="18"/>
        </w:rPr>
        <w:t>las</w:t>
      </w:r>
      <w:r>
        <w:rPr>
          <w:color w:val="231F20"/>
          <w:spacing w:val="-12"/>
          <w:w w:val="110"/>
          <w:sz w:val="18"/>
        </w:rPr>
        <w:t> </w:t>
      </w:r>
      <w:r>
        <w:rPr>
          <w:color w:val="231F20"/>
          <w:w w:val="110"/>
          <w:sz w:val="18"/>
        </w:rPr>
        <w:t>políticas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asistencia</w:t>
      </w:r>
      <w:r>
        <w:rPr>
          <w:color w:val="231F20"/>
          <w:spacing w:val="-12"/>
          <w:w w:val="110"/>
          <w:sz w:val="18"/>
        </w:rPr>
        <w:t> </w:t>
      </w:r>
      <w:r>
        <w:rPr>
          <w:color w:val="231F20"/>
          <w:w w:val="110"/>
          <w:sz w:val="18"/>
        </w:rPr>
        <w:t>hacia</w:t>
      </w:r>
      <w:r>
        <w:rPr>
          <w:color w:val="231F20"/>
          <w:spacing w:val="-12"/>
          <w:w w:val="110"/>
          <w:sz w:val="18"/>
        </w:rPr>
        <w:t> </w:t>
      </w:r>
      <w:r>
        <w:rPr>
          <w:color w:val="231F20"/>
          <w:w w:val="110"/>
          <w:sz w:val="18"/>
        </w:rPr>
        <w:t>América Latina”,</w:t>
      </w:r>
      <w:r>
        <w:rPr>
          <w:color w:val="231F20"/>
          <w:spacing w:val="-5"/>
          <w:w w:val="110"/>
          <w:sz w:val="18"/>
        </w:rPr>
        <w:t> </w:t>
      </w:r>
      <w:r>
        <w:rPr>
          <w:color w:val="231F20"/>
          <w:w w:val="110"/>
          <w:sz w:val="18"/>
        </w:rPr>
        <w:t>ponencia</w:t>
      </w:r>
      <w:r>
        <w:rPr>
          <w:color w:val="231F20"/>
          <w:spacing w:val="-5"/>
          <w:w w:val="110"/>
          <w:sz w:val="18"/>
        </w:rPr>
        <w:t> </w:t>
      </w:r>
      <w:r>
        <w:rPr>
          <w:color w:val="231F20"/>
          <w:w w:val="110"/>
          <w:sz w:val="18"/>
        </w:rPr>
        <w:t>presentada</w:t>
      </w:r>
      <w:r>
        <w:rPr>
          <w:color w:val="231F20"/>
          <w:spacing w:val="-5"/>
          <w:w w:val="110"/>
          <w:sz w:val="18"/>
        </w:rPr>
        <w:t> </w:t>
      </w:r>
      <w:r>
        <w:rPr>
          <w:color w:val="231F20"/>
          <w:w w:val="110"/>
          <w:sz w:val="18"/>
        </w:rPr>
        <w:t>en</w:t>
      </w:r>
      <w:r>
        <w:rPr>
          <w:color w:val="231F20"/>
          <w:spacing w:val="-5"/>
          <w:w w:val="110"/>
          <w:sz w:val="18"/>
        </w:rPr>
        <w:t> </w:t>
      </w:r>
      <w:r>
        <w:rPr>
          <w:color w:val="231F20"/>
          <w:w w:val="110"/>
          <w:sz w:val="18"/>
        </w:rPr>
        <w:t>el</w:t>
      </w:r>
      <w:r>
        <w:rPr>
          <w:color w:val="231F20"/>
          <w:spacing w:val="-5"/>
          <w:w w:val="110"/>
          <w:sz w:val="18"/>
        </w:rPr>
        <w:t> </w:t>
      </w:r>
      <w:r>
        <w:rPr>
          <w:color w:val="231F20"/>
          <w:w w:val="110"/>
          <w:sz w:val="18"/>
        </w:rPr>
        <w:t>Panel</w:t>
      </w:r>
      <w:r>
        <w:rPr>
          <w:color w:val="231F20"/>
          <w:spacing w:val="-5"/>
          <w:w w:val="110"/>
          <w:sz w:val="18"/>
        </w:rPr>
        <w:t> </w:t>
      </w:r>
      <w:r>
        <w:rPr>
          <w:color w:val="231F20"/>
          <w:w w:val="110"/>
          <w:sz w:val="18"/>
        </w:rPr>
        <w:t>“Estados</w:t>
      </w:r>
      <w:r>
        <w:rPr>
          <w:color w:val="231F20"/>
          <w:spacing w:val="-5"/>
          <w:w w:val="110"/>
          <w:sz w:val="18"/>
        </w:rPr>
        <w:t> </w:t>
      </w:r>
      <w:r>
        <w:rPr>
          <w:color w:val="231F20"/>
          <w:w w:val="110"/>
          <w:sz w:val="18"/>
        </w:rPr>
        <w:t>Unidos</w:t>
      </w:r>
      <w:r>
        <w:rPr>
          <w:color w:val="231F20"/>
          <w:spacing w:val="-5"/>
          <w:w w:val="110"/>
          <w:sz w:val="18"/>
        </w:rPr>
        <w:t> </w:t>
      </w:r>
      <w:r>
        <w:rPr>
          <w:color w:val="231F20"/>
          <w:w w:val="110"/>
          <w:sz w:val="18"/>
        </w:rPr>
        <w:t>y</w:t>
      </w:r>
      <w:r>
        <w:rPr>
          <w:color w:val="231F20"/>
          <w:spacing w:val="-5"/>
          <w:w w:val="110"/>
          <w:sz w:val="18"/>
        </w:rPr>
        <w:t> </w:t>
      </w:r>
      <w:r>
        <w:rPr>
          <w:color w:val="231F20"/>
          <w:w w:val="110"/>
          <w:sz w:val="18"/>
        </w:rPr>
        <w:t>América</w:t>
      </w:r>
      <w:r>
        <w:rPr>
          <w:color w:val="231F20"/>
          <w:spacing w:val="-5"/>
          <w:w w:val="110"/>
          <w:sz w:val="18"/>
        </w:rPr>
        <w:t> </w:t>
      </w:r>
      <w:r>
        <w:rPr>
          <w:color w:val="231F20"/>
          <w:w w:val="110"/>
          <w:sz w:val="18"/>
        </w:rPr>
        <w:t>La- tina en el marco de la nueva geopolítica mundial: continuidad y cambio en las relaciones interamericanas”, del XXVIII Congreso Internacional de la Asociación de Estudios Latinoamericanos, Río de Janeiro, 11 al 14 de</w:t>
      </w:r>
      <w:r>
        <w:rPr>
          <w:color w:val="231F20"/>
          <w:spacing w:val="16"/>
          <w:w w:val="110"/>
          <w:sz w:val="18"/>
        </w:rPr>
        <w:t> </w:t>
      </w:r>
      <w:r>
        <w:rPr>
          <w:color w:val="231F20"/>
          <w:w w:val="110"/>
          <w:sz w:val="18"/>
        </w:rPr>
        <w:t>junio.</w:t>
      </w:r>
    </w:p>
    <w:p>
      <w:pPr>
        <w:spacing w:line="254" w:lineRule="auto" w:before="1"/>
        <w:ind w:left="340" w:right="117" w:hanging="240"/>
        <w:jc w:val="both"/>
        <w:rPr>
          <w:sz w:val="18"/>
        </w:rPr>
      </w:pPr>
      <w:r>
        <w:rPr>
          <w:color w:val="231F20"/>
          <w:w w:val="105"/>
          <w:sz w:val="18"/>
        </w:rPr>
        <w:t>Rodríguez Parrilla, Bruno, 2010, “La Cumbre de Copenhague fue un fracaso    y un engaño a la opinión pública mundial”, La Habana, </w:t>
      </w:r>
      <w:r>
        <w:rPr>
          <w:i/>
          <w:color w:val="231F20"/>
          <w:w w:val="105"/>
          <w:sz w:val="18"/>
        </w:rPr>
        <w:t>Juventud Rebelde, </w:t>
      </w:r>
      <w:r>
        <w:rPr>
          <w:i/>
          <w:color w:val="231F20"/>
          <w:spacing w:val="-3"/>
          <w:sz w:val="18"/>
        </w:rPr>
        <w:t>Tabloide </w:t>
      </w:r>
      <w:r>
        <w:rPr>
          <w:i/>
          <w:color w:val="231F20"/>
          <w:sz w:val="18"/>
        </w:rPr>
        <w:t>Especial, </w:t>
      </w:r>
      <w:r>
        <w:rPr>
          <w:color w:val="231F20"/>
          <w:sz w:val="18"/>
        </w:rPr>
        <w:t>núm.</w:t>
      </w:r>
      <w:r>
        <w:rPr>
          <w:color w:val="231F20"/>
          <w:spacing w:val="14"/>
          <w:sz w:val="18"/>
        </w:rPr>
        <w:t> </w:t>
      </w:r>
      <w:r>
        <w:rPr>
          <w:color w:val="231F20"/>
          <w:sz w:val="18"/>
        </w:rPr>
        <w:t>1.</w:t>
      </w:r>
    </w:p>
    <w:p>
      <w:pPr>
        <w:spacing w:line="254" w:lineRule="auto" w:before="1"/>
        <w:ind w:left="340" w:right="117" w:hanging="240"/>
        <w:jc w:val="both"/>
        <w:rPr>
          <w:sz w:val="18"/>
        </w:rPr>
      </w:pPr>
      <w:r>
        <w:rPr>
          <w:color w:val="231F20"/>
          <w:w w:val="110"/>
          <w:sz w:val="18"/>
        </w:rPr>
        <w:t>Rodríguez</w:t>
      </w:r>
      <w:r>
        <w:rPr>
          <w:color w:val="231F20"/>
          <w:spacing w:val="-29"/>
          <w:w w:val="110"/>
          <w:sz w:val="18"/>
        </w:rPr>
        <w:t> </w:t>
      </w:r>
      <w:r>
        <w:rPr>
          <w:color w:val="231F20"/>
          <w:spacing w:val="-3"/>
          <w:w w:val="110"/>
          <w:sz w:val="18"/>
        </w:rPr>
        <w:t>Torres,</w:t>
      </w:r>
      <w:r>
        <w:rPr>
          <w:color w:val="231F20"/>
          <w:spacing w:val="-29"/>
          <w:w w:val="110"/>
          <w:sz w:val="18"/>
        </w:rPr>
        <w:t> </w:t>
      </w:r>
      <w:r>
        <w:rPr>
          <w:color w:val="231F20"/>
          <w:w w:val="110"/>
          <w:sz w:val="18"/>
        </w:rPr>
        <w:t>Sarah,</w:t>
      </w:r>
      <w:r>
        <w:rPr>
          <w:color w:val="231F20"/>
          <w:spacing w:val="-29"/>
          <w:w w:val="110"/>
          <w:sz w:val="18"/>
        </w:rPr>
        <w:t> </w:t>
      </w:r>
      <w:r>
        <w:rPr>
          <w:color w:val="231F20"/>
          <w:w w:val="110"/>
          <w:sz w:val="18"/>
        </w:rPr>
        <w:t>2008,</w:t>
      </w:r>
      <w:r>
        <w:rPr>
          <w:color w:val="231F20"/>
          <w:spacing w:val="-29"/>
          <w:w w:val="110"/>
          <w:sz w:val="18"/>
        </w:rPr>
        <w:t> </w:t>
      </w:r>
      <w:r>
        <w:rPr>
          <w:color w:val="231F20"/>
          <w:w w:val="110"/>
          <w:sz w:val="18"/>
        </w:rPr>
        <w:t>“ASPAN</w:t>
      </w:r>
      <w:r>
        <w:rPr>
          <w:color w:val="231F20"/>
          <w:spacing w:val="-29"/>
          <w:w w:val="110"/>
          <w:sz w:val="18"/>
        </w:rPr>
        <w:t> </w:t>
      </w:r>
      <w:r>
        <w:rPr>
          <w:color w:val="231F20"/>
          <w:w w:val="110"/>
          <w:sz w:val="18"/>
        </w:rPr>
        <w:t>e</w:t>
      </w:r>
      <w:r>
        <w:rPr>
          <w:color w:val="231F20"/>
          <w:spacing w:val="-29"/>
          <w:w w:val="110"/>
          <w:sz w:val="18"/>
        </w:rPr>
        <w:t> </w:t>
      </w:r>
      <w:r>
        <w:rPr>
          <w:color w:val="231F20"/>
          <w:w w:val="110"/>
          <w:sz w:val="18"/>
        </w:rPr>
        <w:t>Iniciativa</w:t>
      </w:r>
      <w:r>
        <w:rPr>
          <w:color w:val="231F20"/>
          <w:spacing w:val="-29"/>
          <w:w w:val="110"/>
          <w:sz w:val="18"/>
        </w:rPr>
        <w:t> </w:t>
      </w:r>
      <w:r>
        <w:rPr>
          <w:color w:val="231F20"/>
          <w:w w:val="110"/>
          <w:sz w:val="18"/>
        </w:rPr>
        <w:t>Mérida:</w:t>
      </w:r>
      <w:r>
        <w:rPr>
          <w:color w:val="231F20"/>
          <w:spacing w:val="-29"/>
          <w:w w:val="110"/>
          <w:sz w:val="18"/>
        </w:rPr>
        <w:t> </w:t>
      </w:r>
      <w:r>
        <w:rPr>
          <w:color w:val="231F20"/>
          <w:w w:val="110"/>
          <w:sz w:val="18"/>
        </w:rPr>
        <w:t>¿integración</w:t>
      </w:r>
      <w:r>
        <w:rPr>
          <w:color w:val="231F20"/>
          <w:spacing w:val="-29"/>
          <w:w w:val="110"/>
          <w:sz w:val="18"/>
        </w:rPr>
        <w:t> </w:t>
      </w:r>
      <w:r>
        <w:rPr>
          <w:color w:val="231F20"/>
          <w:w w:val="110"/>
          <w:sz w:val="18"/>
        </w:rPr>
        <w:t>más profunda o mas subordinada?”, La Habana, Centro de Investigaciones</w:t>
      </w:r>
      <w:r>
        <w:rPr>
          <w:color w:val="231F20"/>
          <w:spacing w:val="-22"/>
          <w:w w:val="110"/>
          <w:sz w:val="18"/>
        </w:rPr>
        <w:t> </w:t>
      </w:r>
      <w:r>
        <w:rPr>
          <w:color w:val="231F20"/>
          <w:w w:val="110"/>
          <w:sz w:val="18"/>
        </w:rPr>
        <w:t>de la Economía</w:t>
      </w:r>
      <w:r>
        <w:rPr>
          <w:color w:val="231F20"/>
          <w:spacing w:val="25"/>
          <w:w w:val="110"/>
          <w:sz w:val="18"/>
        </w:rPr>
        <w:t> </w:t>
      </w:r>
      <w:r>
        <w:rPr>
          <w:color w:val="231F20"/>
          <w:w w:val="110"/>
          <w:sz w:val="18"/>
        </w:rPr>
        <w:t>Internacional.</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w w:val="105"/>
          <w:sz w:val="18"/>
        </w:rPr>
        <w:t>, 2008a “Del Plan Puebla Panamá al Proyecto Mesoamérica”, La Habana, Centro  de  Investigaciones  de  la  Economía Internacional.</w:t>
      </w:r>
    </w:p>
    <w:p>
      <w:pPr>
        <w:spacing w:before="1"/>
        <w:ind w:left="100" w:right="25" w:firstLine="0"/>
        <w:jc w:val="left"/>
        <w:rPr>
          <w:sz w:val="18"/>
        </w:rPr>
      </w:pPr>
      <w:r>
        <w:rPr>
          <w:color w:val="231F20"/>
          <w:w w:val="105"/>
          <w:sz w:val="18"/>
        </w:rPr>
        <w:t>Solano Martínez, Martha, 2010 “¿Qué quiere el Tío Sam en Nicaragua?”, en</w:t>
      </w:r>
    </w:p>
    <w:p>
      <w:pPr>
        <w:spacing w:before="13"/>
        <w:ind w:left="94" w:right="298" w:firstLine="0"/>
        <w:jc w:val="center"/>
        <w:rPr>
          <w:sz w:val="18"/>
        </w:rPr>
      </w:pPr>
      <w:hyperlink r:id="rId304">
        <w:r>
          <w:rPr>
            <w:color w:val="231F20"/>
            <w:w w:val="110"/>
            <w:sz w:val="18"/>
          </w:rPr>
          <w:t>&lt;www.laprensa.com.ni/2010/04/11/politica/21461&gt;,</w:t>
        </w:r>
      </w:hyperlink>
      <w:r>
        <w:rPr>
          <w:color w:val="231F20"/>
          <w:w w:val="110"/>
          <w:sz w:val="18"/>
        </w:rPr>
        <w:t> 11 abril 2010.</w:t>
      </w:r>
    </w:p>
    <w:p>
      <w:pPr>
        <w:spacing w:line="254" w:lineRule="auto" w:before="13"/>
        <w:ind w:left="340" w:right="118" w:hanging="240"/>
        <w:jc w:val="both"/>
        <w:rPr>
          <w:sz w:val="18"/>
        </w:rPr>
      </w:pPr>
      <w:r>
        <w:rPr>
          <w:color w:val="231F20"/>
          <w:w w:val="105"/>
          <w:sz w:val="18"/>
        </w:rPr>
        <w:t>Steinsleger, José, 2010, “Ecuador: golpismo y antigolpismo”, México, </w:t>
      </w:r>
      <w:r>
        <w:rPr>
          <w:i/>
          <w:color w:val="231F20"/>
          <w:w w:val="105"/>
          <w:sz w:val="18"/>
        </w:rPr>
        <w:t>La </w:t>
      </w:r>
      <w:r>
        <w:rPr>
          <w:i/>
          <w:color w:val="231F20"/>
          <w:w w:val="105"/>
          <w:sz w:val="18"/>
        </w:rPr>
        <w:t>Jornada</w:t>
      </w:r>
      <w:r>
        <w:rPr>
          <w:color w:val="231F20"/>
          <w:w w:val="105"/>
          <w:sz w:val="18"/>
        </w:rPr>
        <w:t>, 6 de octubre.</w:t>
      </w:r>
    </w:p>
    <w:p>
      <w:pPr>
        <w:spacing w:line="254" w:lineRule="auto" w:before="1"/>
        <w:ind w:left="340" w:right="119" w:hanging="240"/>
        <w:jc w:val="both"/>
        <w:rPr>
          <w:sz w:val="18"/>
        </w:rPr>
      </w:pPr>
      <w:r>
        <w:rPr>
          <w:color w:val="231F20"/>
          <w:sz w:val="18"/>
        </w:rPr>
        <w:t>Suárez Salazar, Luis, 2006 </w:t>
      </w:r>
      <w:r>
        <w:rPr>
          <w:i/>
          <w:color w:val="231F20"/>
          <w:sz w:val="18"/>
        </w:rPr>
        <w:t>Un siglo de terror en América Latina</w:t>
      </w:r>
      <w:r>
        <w:rPr>
          <w:color w:val="231F20"/>
          <w:sz w:val="18"/>
        </w:rPr>
        <w:t>, Melbourne, Nueva  York,  Caracas  y  La  Habana,  Ocean Sur.</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05"/>
          <w:sz w:val="18"/>
        </w:rPr>
        <w:t>, 2007 “Crisis y recomposición del sistema de dominación ‘global’ de Estados Unidos: El ‘nuevo orden panamericano’”, en Marcos Gandásegui, hijo (coord.) </w:t>
      </w:r>
      <w:r>
        <w:rPr>
          <w:i/>
          <w:color w:val="231F20"/>
          <w:w w:val="105"/>
          <w:sz w:val="18"/>
        </w:rPr>
        <w:t>Crisis de hegemonía de Estados Unidos</w:t>
      </w:r>
      <w:r>
        <w:rPr>
          <w:color w:val="231F20"/>
          <w:w w:val="105"/>
          <w:sz w:val="18"/>
        </w:rPr>
        <w:t>, México</w:t>
      </w:r>
      <w:r>
        <w:rPr>
          <w:i/>
          <w:color w:val="231F20"/>
          <w:w w:val="105"/>
          <w:sz w:val="18"/>
        </w:rPr>
        <w:t>, </w:t>
      </w:r>
      <w:r>
        <w:rPr>
          <w:color w:val="231F20"/>
          <w:w w:val="105"/>
          <w:sz w:val="18"/>
        </w:rPr>
        <w:t>clacso-Siglo XXI Editores.</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w w:val="110"/>
          <w:sz w:val="18"/>
        </w:rPr>
        <w:t>, 2010, “Las estrategias ‘inteligentes’ de Barack Obama contra el alba- tcp”,   </w:t>
      </w:r>
      <w:hyperlink r:id="rId197">
        <w:r>
          <w:rPr>
            <w:color w:val="231F20"/>
            <w:w w:val="110"/>
            <w:sz w:val="18"/>
          </w:rPr>
          <w:t>&lt;http://alainet.org&gt;,</w:t>
        </w:r>
      </w:hyperlink>
      <w:r>
        <w:rPr>
          <w:color w:val="231F20"/>
          <w:w w:val="110"/>
          <w:sz w:val="18"/>
        </w:rPr>
        <w:t>  21  de enero.</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pacing w:val="-1"/>
          <w:sz w:val="18"/>
        </w:rPr>
        <w:t> </w:t>
      </w:r>
      <w:r>
        <w:rPr>
          <w:color w:val="231F20"/>
          <w:sz w:val="18"/>
        </w:rPr>
        <w:t>y</w:t>
      </w:r>
      <w:r>
        <w:rPr>
          <w:color w:val="231F20"/>
          <w:spacing w:val="-5"/>
          <w:sz w:val="18"/>
        </w:rPr>
        <w:t> </w:t>
      </w:r>
      <w:r>
        <w:rPr>
          <w:color w:val="231F20"/>
          <w:sz w:val="18"/>
        </w:rPr>
        <w:t>García</w:t>
      </w:r>
      <w:r>
        <w:rPr>
          <w:color w:val="231F20"/>
          <w:spacing w:val="-5"/>
          <w:sz w:val="18"/>
        </w:rPr>
        <w:t> </w:t>
      </w:r>
      <w:r>
        <w:rPr>
          <w:color w:val="231F20"/>
          <w:sz w:val="18"/>
        </w:rPr>
        <w:t>Lorenzo,</w:t>
      </w:r>
      <w:r>
        <w:rPr>
          <w:color w:val="231F20"/>
          <w:spacing w:val="-5"/>
          <w:sz w:val="18"/>
        </w:rPr>
        <w:t> </w:t>
      </w:r>
      <w:r>
        <w:rPr>
          <w:color w:val="231F20"/>
          <w:spacing w:val="-3"/>
          <w:sz w:val="18"/>
        </w:rPr>
        <w:t>Tania,</w:t>
      </w:r>
      <w:r>
        <w:rPr>
          <w:color w:val="231F20"/>
          <w:spacing w:val="-5"/>
          <w:sz w:val="18"/>
        </w:rPr>
        <w:t> </w:t>
      </w:r>
      <w:r>
        <w:rPr>
          <w:color w:val="231F20"/>
          <w:sz w:val="18"/>
        </w:rPr>
        <w:t>2008</w:t>
      </w:r>
      <w:r>
        <w:rPr>
          <w:color w:val="231F20"/>
          <w:spacing w:val="-5"/>
          <w:sz w:val="18"/>
        </w:rPr>
        <w:t> </w:t>
      </w:r>
      <w:r>
        <w:rPr>
          <w:i/>
          <w:color w:val="231F20"/>
          <w:sz w:val="18"/>
        </w:rPr>
        <w:t>Las</w:t>
      </w:r>
      <w:r>
        <w:rPr>
          <w:i/>
          <w:color w:val="231F20"/>
          <w:spacing w:val="-5"/>
          <w:sz w:val="18"/>
        </w:rPr>
        <w:t> </w:t>
      </w:r>
      <w:r>
        <w:rPr>
          <w:i/>
          <w:color w:val="231F20"/>
          <w:sz w:val="18"/>
        </w:rPr>
        <w:t>relaciones</w:t>
      </w:r>
      <w:r>
        <w:rPr>
          <w:i/>
          <w:color w:val="231F20"/>
          <w:spacing w:val="-5"/>
          <w:sz w:val="18"/>
        </w:rPr>
        <w:t> </w:t>
      </w:r>
      <w:r>
        <w:rPr>
          <w:i/>
          <w:color w:val="231F20"/>
          <w:sz w:val="18"/>
        </w:rPr>
        <w:t>interamericanas:</w:t>
      </w:r>
      <w:r>
        <w:rPr>
          <w:i/>
          <w:color w:val="231F20"/>
          <w:spacing w:val="-5"/>
          <w:sz w:val="18"/>
        </w:rPr>
        <w:t> </w:t>
      </w:r>
      <w:r>
        <w:rPr>
          <w:i/>
          <w:color w:val="231F20"/>
          <w:sz w:val="18"/>
        </w:rPr>
        <w:t>continuidades </w:t>
      </w:r>
      <w:r>
        <w:rPr>
          <w:i/>
          <w:color w:val="231F20"/>
          <w:w w:val="105"/>
          <w:sz w:val="18"/>
        </w:rPr>
        <w:t>y cambios</w:t>
      </w:r>
      <w:r>
        <w:rPr>
          <w:color w:val="231F20"/>
          <w:w w:val="105"/>
          <w:sz w:val="18"/>
        </w:rPr>
        <w:t>, Buenos Aires, </w:t>
      </w:r>
      <w:r>
        <w:rPr>
          <w:color w:val="231F20"/>
          <w:spacing w:val="1"/>
          <w:w w:val="105"/>
          <w:sz w:val="18"/>
        </w:rPr>
        <w:t> </w:t>
      </w:r>
      <w:r>
        <w:rPr>
          <w:color w:val="231F20"/>
          <w:w w:val="105"/>
          <w:sz w:val="18"/>
        </w:rPr>
        <w:t>clacso.</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6" w:hanging="240"/>
        <w:jc w:val="both"/>
        <w:rPr>
          <w:sz w:val="18"/>
        </w:rPr>
      </w:pPr>
      <w:r>
        <w:rPr>
          <w:color w:val="231F20"/>
          <w:w w:val="105"/>
          <w:sz w:val="18"/>
        </w:rPr>
        <w:t>Torres Rivera Alejandro, 2009, “Las bases militares estadunidenses en la región: la relación entre Colombia y Puerto Rico”, </w:t>
      </w:r>
      <w:r>
        <w:rPr>
          <w:i/>
          <w:color w:val="231F20"/>
          <w:w w:val="105"/>
          <w:sz w:val="18"/>
        </w:rPr>
        <w:t>Servicio Informativo </w:t>
      </w:r>
      <w:r>
        <w:rPr>
          <w:i/>
          <w:color w:val="231F20"/>
          <w:w w:val="105"/>
          <w:sz w:val="18"/>
        </w:rPr>
        <w:t>Alai-amlatina</w:t>
      </w:r>
      <w:r>
        <w:rPr>
          <w:color w:val="231F20"/>
          <w:w w:val="105"/>
          <w:sz w:val="18"/>
        </w:rPr>
        <w:t>, 13 de noviembre.</w:t>
      </w:r>
    </w:p>
    <w:p>
      <w:pPr>
        <w:spacing w:line="254" w:lineRule="auto" w:before="1"/>
        <w:ind w:left="340" w:right="117" w:hanging="240"/>
        <w:jc w:val="both"/>
        <w:rPr>
          <w:sz w:val="18"/>
        </w:rPr>
      </w:pPr>
      <w:r>
        <w:rPr>
          <w:color w:val="231F20"/>
          <w:w w:val="110"/>
          <w:sz w:val="18"/>
        </w:rPr>
        <w:t>Weisbrot,</w:t>
      </w:r>
      <w:r>
        <w:rPr>
          <w:color w:val="231F20"/>
          <w:spacing w:val="-7"/>
          <w:w w:val="110"/>
          <w:sz w:val="18"/>
        </w:rPr>
        <w:t> </w:t>
      </w:r>
      <w:r>
        <w:rPr>
          <w:color w:val="231F20"/>
          <w:w w:val="110"/>
          <w:sz w:val="18"/>
        </w:rPr>
        <w:t>Mark,</w:t>
      </w:r>
      <w:r>
        <w:rPr>
          <w:color w:val="231F20"/>
          <w:spacing w:val="-7"/>
          <w:w w:val="110"/>
          <w:sz w:val="18"/>
        </w:rPr>
        <w:t> </w:t>
      </w:r>
      <w:r>
        <w:rPr>
          <w:color w:val="231F20"/>
          <w:w w:val="110"/>
          <w:sz w:val="18"/>
        </w:rPr>
        <w:t>2011,</w:t>
      </w:r>
      <w:r>
        <w:rPr>
          <w:color w:val="231F20"/>
          <w:spacing w:val="-7"/>
          <w:w w:val="110"/>
          <w:sz w:val="18"/>
        </w:rPr>
        <w:t> </w:t>
      </w:r>
      <w:r>
        <w:rPr>
          <w:color w:val="231F20"/>
          <w:w w:val="110"/>
          <w:sz w:val="18"/>
        </w:rPr>
        <w:t>“EEUU</w:t>
      </w:r>
      <w:r>
        <w:rPr>
          <w:color w:val="231F20"/>
          <w:spacing w:val="-7"/>
          <w:w w:val="110"/>
          <w:sz w:val="18"/>
        </w:rPr>
        <w:t> </w:t>
      </w:r>
      <w:r>
        <w:rPr>
          <w:color w:val="231F20"/>
          <w:w w:val="110"/>
          <w:sz w:val="18"/>
        </w:rPr>
        <w:t>y</w:t>
      </w:r>
      <w:r>
        <w:rPr>
          <w:color w:val="231F20"/>
          <w:spacing w:val="-7"/>
          <w:w w:val="110"/>
          <w:sz w:val="18"/>
        </w:rPr>
        <w:t> </w:t>
      </w:r>
      <w:r>
        <w:rPr>
          <w:color w:val="231F20"/>
          <w:w w:val="110"/>
          <w:sz w:val="18"/>
        </w:rPr>
        <w:t>Francia</w:t>
      </w:r>
      <w:r>
        <w:rPr>
          <w:color w:val="231F20"/>
          <w:spacing w:val="-7"/>
          <w:w w:val="110"/>
          <w:sz w:val="18"/>
        </w:rPr>
        <w:t> </w:t>
      </w:r>
      <w:r>
        <w:rPr>
          <w:color w:val="231F20"/>
          <w:w w:val="110"/>
          <w:sz w:val="18"/>
        </w:rPr>
        <w:t>aumentan</w:t>
      </w:r>
      <w:r>
        <w:rPr>
          <w:color w:val="231F20"/>
          <w:spacing w:val="-7"/>
          <w:w w:val="110"/>
          <w:sz w:val="18"/>
        </w:rPr>
        <w:t> </w:t>
      </w:r>
      <w:r>
        <w:rPr>
          <w:color w:val="231F20"/>
          <w:w w:val="110"/>
          <w:sz w:val="18"/>
        </w:rPr>
        <w:t>la</w:t>
      </w:r>
      <w:r>
        <w:rPr>
          <w:color w:val="231F20"/>
          <w:spacing w:val="-7"/>
          <w:w w:val="110"/>
          <w:sz w:val="18"/>
        </w:rPr>
        <w:t> </w:t>
      </w:r>
      <w:r>
        <w:rPr>
          <w:color w:val="231F20"/>
          <w:w w:val="110"/>
          <w:sz w:val="18"/>
        </w:rPr>
        <w:t>presión</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que</w:t>
      </w:r>
      <w:r>
        <w:rPr>
          <w:color w:val="231F20"/>
          <w:spacing w:val="-7"/>
          <w:w w:val="110"/>
          <w:sz w:val="18"/>
        </w:rPr>
        <w:t> </w:t>
      </w:r>
      <w:r>
        <w:rPr>
          <w:color w:val="231F20"/>
          <w:w w:val="110"/>
          <w:sz w:val="18"/>
        </w:rPr>
        <w:t>Haití acepte</w:t>
      </w:r>
      <w:r>
        <w:rPr>
          <w:color w:val="231F20"/>
          <w:spacing w:val="-27"/>
          <w:w w:val="110"/>
          <w:sz w:val="18"/>
        </w:rPr>
        <w:t> </w:t>
      </w:r>
      <w:r>
        <w:rPr>
          <w:color w:val="231F20"/>
          <w:w w:val="110"/>
          <w:sz w:val="18"/>
        </w:rPr>
        <w:t>sus</w:t>
      </w:r>
      <w:r>
        <w:rPr>
          <w:color w:val="231F20"/>
          <w:spacing w:val="-27"/>
          <w:w w:val="110"/>
          <w:sz w:val="18"/>
        </w:rPr>
        <w:t> </w:t>
      </w:r>
      <w:r>
        <w:rPr>
          <w:color w:val="231F20"/>
          <w:w w:val="110"/>
          <w:sz w:val="18"/>
        </w:rPr>
        <w:t>candidatos</w:t>
      </w:r>
      <w:r>
        <w:rPr>
          <w:color w:val="231F20"/>
          <w:spacing w:val="-27"/>
          <w:w w:val="110"/>
          <w:sz w:val="18"/>
        </w:rPr>
        <w:t> </w:t>
      </w:r>
      <w:r>
        <w:rPr>
          <w:color w:val="231F20"/>
          <w:w w:val="110"/>
          <w:sz w:val="18"/>
        </w:rPr>
        <w:t>presidenciales</w:t>
      </w:r>
      <w:r>
        <w:rPr>
          <w:color w:val="231F20"/>
          <w:spacing w:val="-27"/>
          <w:w w:val="110"/>
          <w:sz w:val="18"/>
        </w:rPr>
        <w:t> </w:t>
      </w:r>
      <w:r>
        <w:rPr>
          <w:color w:val="231F20"/>
          <w:w w:val="110"/>
          <w:sz w:val="18"/>
        </w:rPr>
        <w:t>preferidos”,</w:t>
      </w:r>
      <w:r>
        <w:rPr>
          <w:color w:val="231F20"/>
          <w:spacing w:val="-27"/>
          <w:w w:val="110"/>
          <w:sz w:val="18"/>
        </w:rPr>
        <w:t> </w:t>
      </w:r>
      <w:r>
        <w:rPr>
          <w:color w:val="231F20"/>
          <w:w w:val="110"/>
          <w:sz w:val="18"/>
        </w:rPr>
        <w:t>en</w:t>
      </w:r>
      <w:r>
        <w:rPr>
          <w:color w:val="231F20"/>
          <w:spacing w:val="-27"/>
          <w:w w:val="110"/>
          <w:sz w:val="18"/>
        </w:rPr>
        <w:t> </w:t>
      </w:r>
      <w:hyperlink r:id="rId305">
        <w:r>
          <w:rPr>
            <w:color w:val="231F20"/>
            <w:w w:val="110"/>
            <w:sz w:val="18"/>
          </w:rPr>
          <w:t>&lt;www.cepr.net/index.</w:t>
        </w:r>
      </w:hyperlink>
      <w:r>
        <w:rPr>
          <w:color w:val="231F20"/>
          <w:w w:val="110"/>
          <w:sz w:val="18"/>
        </w:rPr>
        <w:t> php/mark-weisbrot-en-espanol&gt;, 20 de</w:t>
      </w:r>
      <w:r>
        <w:rPr>
          <w:color w:val="231F20"/>
          <w:spacing w:val="1"/>
          <w:w w:val="110"/>
          <w:sz w:val="18"/>
        </w:rPr>
        <w:t> </w:t>
      </w:r>
      <w:r>
        <w:rPr>
          <w:color w:val="231F20"/>
          <w:w w:val="110"/>
          <w:sz w:val="18"/>
        </w:rPr>
        <w:t>enero.</w:t>
      </w:r>
    </w:p>
    <w:p>
      <w:pPr>
        <w:spacing w:line="254" w:lineRule="auto" w:before="1"/>
        <w:ind w:left="340" w:right="119" w:hanging="240"/>
        <w:jc w:val="both"/>
        <w:rPr>
          <w:sz w:val="18"/>
        </w:rPr>
      </w:pPr>
      <w:r>
        <w:rPr>
          <w:color w:val="231F20"/>
          <w:w w:val="105"/>
          <w:sz w:val="18"/>
        </w:rPr>
        <w:t>Weisbrot Mark y Tara Ruttenberg, 2011, “Televisión en Venezuela: ¿Quién domina los medios de comunicación?, núm. 1, enero, Caracas, </w:t>
      </w:r>
      <w:r>
        <w:rPr>
          <w:i/>
          <w:color w:val="231F20"/>
          <w:w w:val="105"/>
          <w:sz w:val="18"/>
        </w:rPr>
        <w:t>Cal y Arena</w:t>
      </w:r>
      <w:r>
        <w:rPr>
          <w:color w:val="231F20"/>
          <w:w w:val="105"/>
          <w:sz w:val="18"/>
        </w:rPr>
        <w:t>.</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169"/>
        <w:jc w:val="both"/>
      </w:pPr>
      <w:r>
        <w:rPr>
          <w:color w:val="231F20"/>
        </w:rPr>
        <w:t>DEMOCRACIA, SEGURIDAD Y DESARROLLO: LA POLÍTICA DE “ASISTENCIA” DE ESTADOS UNIDOS HACIA AMÉRICA  LATINA</w:t>
      </w:r>
    </w:p>
    <w:p>
      <w:pPr>
        <w:pStyle w:val="BodyText"/>
        <w:spacing w:before="8"/>
        <w:rPr>
          <w:sz w:val="21"/>
        </w:rPr>
      </w:pPr>
    </w:p>
    <w:p>
      <w:pPr>
        <w:pStyle w:val="BodyText"/>
        <w:ind w:left="4383" w:right="25"/>
      </w:pPr>
      <w:r>
        <w:rPr>
          <w:color w:val="231F20"/>
          <w:w w:val="120"/>
        </w:rPr>
        <w:t>silvina m. romano</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7"/>
        <w:jc w:val="both"/>
      </w:pPr>
      <w:r>
        <w:rPr>
          <w:color w:val="231F20"/>
          <w:w w:val="110"/>
        </w:rPr>
        <w:t>En este artículo se propone analizar desde una perspectiva crítica la vinculación entre democracia, seguridad y desarrollo en el discurso y las decisiones del gobierno estadunidense en materia de política exterior, como estrategia para salvaguardar los intereses de la elite del poder estadunidense. La asistencia para el desarrollo (uno de   los pilares de la política del Departamento de Estado de la gestión Obama) es una de las dimensiones que permite dar cuenta de modo más claro de esta articulación entre determinadas concepciones de democracia,</w:t>
      </w:r>
      <w:r>
        <w:rPr>
          <w:color w:val="231F20"/>
          <w:spacing w:val="-15"/>
          <w:w w:val="110"/>
        </w:rPr>
        <w:t> </w:t>
      </w:r>
      <w:r>
        <w:rPr>
          <w:color w:val="231F20"/>
          <w:w w:val="110"/>
        </w:rPr>
        <w:t>seguridad</w:t>
      </w:r>
      <w:r>
        <w:rPr>
          <w:color w:val="231F20"/>
          <w:spacing w:val="-15"/>
          <w:w w:val="110"/>
        </w:rPr>
        <w:t> </w:t>
      </w:r>
      <w:r>
        <w:rPr>
          <w:color w:val="231F20"/>
          <w:w w:val="110"/>
        </w:rPr>
        <w:t>y</w:t>
      </w:r>
      <w:r>
        <w:rPr>
          <w:color w:val="231F20"/>
          <w:spacing w:val="-15"/>
          <w:w w:val="110"/>
        </w:rPr>
        <w:t> </w:t>
      </w:r>
      <w:r>
        <w:rPr>
          <w:color w:val="231F20"/>
          <w:w w:val="110"/>
        </w:rPr>
        <w:t>desarrollo,</w:t>
      </w:r>
      <w:r>
        <w:rPr>
          <w:color w:val="231F20"/>
          <w:spacing w:val="-15"/>
          <w:w w:val="110"/>
        </w:rPr>
        <w:t> </w:t>
      </w:r>
      <w:r>
        <w:rPr>
          <w:color w:val="231F20"/>
          <w:w w:val="110"/>
        </w:rPr>
        <w:t>que</w:t>
      </w:r>
      <w:r>
        <w:rPr>
          <w:color w:val="231F20"/>
          <w:spacing w:val="-15"/>
          <w:w w:val="110"/>
        </w:rPr>
        <w:t> </w:t>
      </w:r>
      <w:r>
        <w:rPr>
          <w:color w:val="231F20"/>
          <w:w w:val="110"/>
        </w:rPr>
        <w:t>es</w:t>
      </w:r>
      <w:r>
        <w:rPr>
          <w:color w:val="231F20"/>
          <w:spacing w:val="-15"/>
          <w:w w:val="110"/>
        </w:rPr>
        <w:t> </w:t>
      </w:r>
      <w:r>
        <w:rPr>
          <w:color w:val="231F20"/>
          <w:w w:val="110"/>
        </w:rPr>
        <w:t>posible</w:t>
      </w:r>
      <w:r>
        <w:rPr>
          <w:color w:val="231F20"/>
          <w:spacing w:val="-15"/>
          <w:w w:val="110"/>
        </w:rPr>
        <w:t> </w:t>
      </w:r>
      <w:r>
        <w:rPr>
          <w:color w:val="231F20"/>
          <w:w w:val="110"/>
        </w:rPr>
        <w:t>gracias</w:t>
      </w:r>
      <w:r>
        <w:rPr>
          <w:color w:val="231F20"/>
          <w:spacing w:val="-15"/>
          <w:w w:val="110"/>
        </w:rPr>
        <w:t> </w:t>
      </w:r>
      <w:r>
        <w:rPr>
          <w:color w:val="231F20"/>
          <w:w w:val="110"/>
        </w:rPr>
        <w:t>al</w:t>
      </w:r>
      <w:r>
        <w:rPr>
          <w:color w:val="231F20"/>
          <w:spacing w:val="-15"/>
          <w:w w:val="110"/>
        </w:rPr>
        <w:t> </w:t>
      </w:r>
      <w:r>
        <w:rPr>
          <w:color w:val="231F20"/>
          <w:w w:val="110"/>
        </w:rPr>
        <w:t>modo</w:t>
      </w:r>
      <w:r>
        <w:rPr>
          <w:color w:val="231F20"/>
          <w:spacing w:val="-15"/>
          <w:w w:val="110"/>
        </w:rPr>
        <w:t> </w:t>
      </w:r>
      <w:r>
        <w:rPr>
          <w:color w:val="231F20"/>
          <w:w w:val="110"/>
        </w:rPr>
        <w:t>en que opera la red de poder compuesta por los intereses de institucio- nes</w:t>
      </w:r>
      <w:r>
        <w:rPr>
          <w:color w:val="231F20"/>
          <w:spacing w:val="-17"/>
          <w:w w:val="110"/>
        </w:rPr>
        <w:t> </w:t>
      </w:r>
      <w:r>
        <w:rPr>
          <w:color w:val="231F20"/>
          <w:w w:val="110"/>
        </w:rPr>
        <w:t>y</w:t>
      </w:r>
      <w:r>
        <w:rPr>
          <w:color w:val="231F20"/>
          <w:spacing w:val="-17"/>
          <w:w w:val="110"/>
        </w:rPr>
        <w:t> </w:t>
      </w:r>
      <w:r>
        <w:rPr>
          <w:color w:val="231F20"/>
          <w:w w:val="110"/>
        </w:rPr>
        <w:t>sujetos</w:t>
      </w:r>
      <w:r>
        <w:rPr>
          <w:color w:val="231F20"/>
          <w:spacing w:val="-17"/>
          <w:w w:val="110"/>
        </w:rPr>
        <w:t> </w:t>
      </w:r>
      <w:r>
        <w:rPr>
          <w:color w:val="231F20"/>
          <w:w w:val="110"/>
        </w:rPr>
        <w:t>del</w:t>
      </w:r>
      <w:r>
        <w:rPr>
          <w:color w:val="231F20"/>
          <w:spacing w:val="-17"/>
          <w:w w:val="110"/>
        </w:rPr>
        <w:t> </w:t>
      </w:r>
      <w:r>
        <w:rPr>
          <w:color w:val="231F20"/>
          <w:w w:val="110"/>
        </w:rPr>
        <w:t>sector</w:t>
      </w:r>
      <w:r>
        <w:rPr>
          <w:color w:val="231F20"/>
          <w:spacing w:val="-17"/>
          <w:w w:val="110"/>
        </w:rPr>
        <w:t> </w:t>
      </w:r>
      <w:r>
        <w:rPr>
          <w:color w:val="231F20"/>
          <w:w w:val="110"/>
        </w:rPr>
        <w:t>privado</w:t>
      </w:r>
      <w:r>
        <w:rPr>
          <w:color w:val="231F20"/>
          <w:spacing w:val="-17"/>
          <w:w w:val="110"/>
        </w:rPr>
        <w:t> </w:t>
      </w:r>
      <w:r>
        <w:rPr>
          <w:color w:val="231F20"/>
          <w:w w:val="110"/>
        </w:rPr>
        <w:t>y</w:t>
      </w:r>
      <w:r>
        <w:rPr>
          <w:color w:val="231F20"/>
          <w:spacing w:val="-17"/>
          <w:w w:val="110"/>
        </w:rPr>
        <w:t> </w:t>
      </w:r>
      <w:r>
        <w:rPr>
          <w:color w:val="231F20"/>
          <w:w w:val="110"/>
        </w:rPr>
        <w:t>público</w:t>
      </w:r>
      <w:r>
        <w:rPr>
          <w:color w:val="231F20"/>
          <w:spacing w:val="-17"/>
          <w:w w:val="110"/>
        </w:rPr>
        <w:t> </w:t>
      </w:r>
      <w:r>
        <w:rPr>
          <w:color w:val="231F20"/>
          <w:w w:val="110"/>
        </w:rPr>
        <w:t>que</w:t>
      </w:r>
      <w:r>
        <w:rPr>
          <w:color w:val="231F20"/>
          <w:spacing w:val="-17"/>
          <w:w w:val="110"/>
        </w:rPr>
        <w:t> </w:t>
      </w:r>
      <w:r>
        <w:rPr>
          <w:color w:val="231F20"/>
          <w:w w:val="110"/>
        </w:rPr>
        <w:t>participan</w:t>
      </w:r>
      <w:r>
        <w:rPr>
          <w:color w:val="231F20"/>
          <w:spacing w:val="-17"/>
          <w:w w:val="110"/>
        </w:rPr>
        <w:t> </w:t>
      </w:r>
      <w:r>
        <w:rPr>
          <w:color w:val="231F20"/>
          <w:w w:val="110"/>
        </w:rPr>
        <w:t>del</w:t>
      </w:r>
      <w:r>
        <w:rPr>
          <w:color w:val="231F20"/>
          <w:spacing w:val="-17"/>
          <w:w w:val="110"/>
        </w:rPr>
        <w:t> </w:t>
      </w:r>
      <w:r>
        <w:rPr>
          <w:color w:val="231F20"/>
          <w:w w:val="110"/>
        </w:rPr>
        <w:t>“mercado de</w:t>
      </w:r>
      <w:r>
        <w:rPr>
          <w:color w:val="231F20"/>
          <w:spacing w:val="-18"/>
          <w:w w:val="110"/>
        </w:rPr>
        <w:t> </w:t>
      </w:r>
      <w:r>
        <w:rPr>
          <w:color w:val="231F20"/>
          <w:w w:val="110"/>
        </w:rPr>
        <w:t>la</w:t>
      </w:r>
      <w:r>
        <w:rPr>
          <w:color w:val="231F20"/>
          <w:spacing w:val="-18"/>
          <w:w w:val="110"/>
        </w:rPr>
        <w:t> </w:t>
      </w:r>
      <w:r>
        <w:rPr>
          <w:color w:val="231F20"/>
          <w:w w:val="110"/>
        </w:rPr>
        <w:t>asistencia”.</w:t>
      </w:r>
      <w:r>
        <w:rPr>
          <w:color w:val="231F20"/>
          <w:spacing w:val="-18"/>
          <w:w w:val="110"/>
        </w:rPr>
        <w:t> </w:t>
      </w:r>
      <w:r>
        <w:rPr>
          <w:color w:val="231F20"/>
          <w:w w:val="110"/>
        </w:rPr>
        <w:t>Revisar</w:t>
      </w:r>
      <w:r>
        <w:rPr>
          <w:color w:val="231F20"/>
          <w:spacing w:val="-18"/>
          <w:w w:val="110"/>
        </w:rPr>
        <w:t> </w:t>
      </w:r>
      <w:r>
        <w:rPr>
          <w:color w:val="231F20"/>
          <w:w w:val="110"/>
        </w:rPr>
        <w:t>las</w:t>
      </w:r>
      <w:r>
        <w:rPr>
          <w:color w:val="231F20"/>
          <w:spacing w:val="-18"/>
          <w:w w:val="110"/>
        </w:rPr>
        <w:t> </w:t>
      </w:r>
      <w:r>
        <w:rPr>
          <w:color w:val="231F20"/>
          <w:w w:val="110"/>
        </w:rPr>
        <w:t>concepciones</w:t>
      </w:r>
      <w:r>
        <w:rPr>
          <w:color w:val="231F20"/>
          <w:spacing w:val="-18"/>
          <w:w w:val="110"/>
        </w:rPr>
        <w:t> </w:t>
      </w:r>
      <w:r>
        <w:rPr>
          <w:color w:val="231F20"/>
          <w:w w:val="110"/>
        </w:rPr>
        <w:t>de</w:t>
      </w:r>
      <w:r>
        <w:rPr>
          <w:color w:val="231F20"/>
          <w:spacing w:val="-18"/>
          <w:w w:val="110"/>
        </w:rPr>
        <w:t> </w:t>
      </w:r>
      <w:r>
        <w:rPr>
          <w:color w:val="231F20"/>
          <w:w w:val="110"/>
        </w:rPr>
        <w:t>democracia</w:t>
      </w:r>
      <w:r>
        <w:rPr>
          <w:color w:val="231F20"/>
          <w:spacing w:val="-18"/>
          <w:w w:val="110"/>
        </w:rPr>
        <w:t> </w:t>
      </w:r>
      <w:r>
        <w:rPr>
          <w:color w:val="231F20"/>
          <w:w w:val="110"/>
        </w:rPr>
        <w:t>y</w:t>
      </w:r>
      <w:r>
        <w:rPr>
          <w:color w:val="231F20"/>
          <w:spacing w:val="-18"/>
          <w:w w:val="110"/>
        </w:rPr>
        <w:t> </w:t>
      </w:r>
      <w:r>
        <w:rPr>
          <w:color w:val="231F20"/>
          <w:w w:val="110"/>
        </w:rPr>
        <w:t>seguridad implica tener en cuenta la vinculación conceptual e histórica entre ambas, particularmente a partir de la expansión del capitalismo mo- nopólico después de la segunda guerra mundial, contexto en el cual se relacionaron de modo legal con la noción de desarrollo,</w:t>
      </w:r>
      <w:r>
        <w:rPr>
          <w:color w:val="231F20"/>
          <w:spacing w:val="-10"/>
          <w:w w:val="110"/>
        </w:rPr>
        <w:t> </w:t>
      </w:r>
      <w:r>
        <w:rPr>
          <w:color w:val="231F20"/>
          <w:w w:val="110"/>
        </w:rPr>
        <w:t>sostenida por el gobierno estadunidense, cristalizada en programas de asisten- cia bilaterales (como la Alianza para el Progreso) y multilaterales (por medio de instituciones financieras internacionales), la puesta  en vigencia de la Foreign Assistance Act (faa, 1961) (Ley para la Asistencia</w:t>
      </w:r>
      <w:r>
        <w:rPr>
          <w:color w:val="231F20"/>
          <w:spacing w:val="-5"/>
          <w:w w:val="110"/>
        </w:rPr>
        <w:t> </w:t>
      </w:r>
      <w:r>
        <w:rPr>
          <w:color w:val="231F20"/>
          <w:w w:val="110"/>
        </w:rPr>
        <w:t>Extranjera)</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creación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Agencia</w:t>
      </w:r>
      <w:r>
        <w:rPr>
          <w:color w:val="231F20"/>
          <w:spacing w:val="-5"/>
          <w:w w:val="110"/>
        </w:rPr>
        <w:t> </w:t>
      </w: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Desarrollo Internacional </w:t>
      </w:r>
      <w:r>
        <w:rPr>
          <w:color w:val="231F20"/>
          <w:spacing w:val="35"/>
          <w:w w:val="110"/>
        </w:rPr>
        <w:t> </w:t>
      </w:r>
      <w:r>
        <w:rPr>
          <w:color w:val="231F20"/>
          <w:w w:val="110"/>
        </w:rPr>
        <w:t>(aid).</w:t>
      </w:r>
    </w:p>
    <w:p>
      <w:pPr>
        <w:pStyle w:val="BodyText"/>
        <w:spacing w:line="261" w:lineRule="auto"/>
        <w:ind w:left="100" w:right="119" w:firstLine="240"/>
        <w:jc w:val="both"/>
      </w:pPr>
      <w:r>
        <w:rPr>
          <w:color w:val="231F20"/>
          <w:w w:val="110"/>
        </w:rPr>
        <w:t>La</w:t>
      </w:r>
      <w:r>
        <w:rPr>
          <w:color w:val="231F20"/>
          <w:spacing w:val="-15"/>
          <w:w w:val="110"/>
        </w:rPr>
        <w:t> </w:t>
      </w:r>
      <w:r>
        <w:rPr>
          <w:color w:val="231F20"/>
          <w:w w:val="110"/>
        </w:rPr>
        <w:t>asistencia</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desarrollo</w:t>
      </w:r>
      <w:r>
        <w:rPr>
          <w:color w:val="231F20"/>
          <w:spacing w:val="-15"/>
          <w:w w:val="110"/>
        </w:rPr>
        <w:t> </w:t>
      </w:r>
      <w:r>
        <w:rPr>
          <w:color w:val="231F20"/>
          <w:w w:val="110"/>
        </w:rPr>
        <w:t>ha</w:t>
      </w:r>
      <w:r>
        <w:rPr>
          <w:color w:val="231F20"/>
          <w:spacing w:val="-15"/>
          <w:w w:val="110"/>
        </w:rPr>
        <w:t> </w:t>
      </w:r>
      <w:r>
        <w:rPr>
          <w:color w:val="231F20"/>
          <w:w w:val="110"/>
        </w:rPr>
        <w:t>sido,</w:t>
      </w:r>
      <w:r>
        <w:rPr>
          <w:color w:val="231F20"/>
          <w:spacing w:val="-15"/>
          <w:w w:val="110"/>
        </w:rPr>
        <w:t> </w:t>
      </w:r>
      <w:r>
        <w:rPr>
          <w:color w:val="231F20"/>
          <w:w w:val="110"/>
        </w:rPr>
        <w:t>en</w:t>
      </w:r>
      <w:r>
        <w:rPr>
          <w:color w:val="231F20"/>
          <w:spacing w:val="-15"/>
          <w:w w:val="110"/>
        </w:rPr>
        <w:t> </w:t>
      </w:r>
      <w:r>
        <w:rPr>
          <w:color w:val="231F20"/>
          <w:w w:val="110"/>
        </w:rPr>
        <w:t>general,</w:t>
      </w:r>
      <w:r>
        <w:rPr>
          <w:color w:val="231F20"/>
          <w:spacing w:val="-15"/>
          <w:w w:val="110"/>
        </w:rPr>
        <w:t> </w:t>
      </w:r>
      <w:r>
        <w:rPr>
          <w:color w:val="231F20"/>
          <w:w w:val="110"/>
        </w:rPr>
        <w:t>percibida</w:t>
      </w:r>
      <w:r>
        <w:rPr>
          <w:color w:val="231F20"/>
          <w:spacing w:val="-15"/>
          <w:w w:val="110"/>
        </w:rPr>
        <w:t> </w:t>
      </w:r>
      <w:r>
        <w:rPr>
          <w:color w:val="231F20"/>
          <w:w w:val="110"/>
        </w:rPr>
        <w:t>como desvinculada de la seguridad, por fuera de la lógica de rentabilidad del mercado y como un espacio donde se diferencian</w:t>
      </w:r>
      <w:r>
        <w:rPr>
          <w:color w:val="231F20"/>
          <w:spacing w:val="45"/>
          <w:w w:val="110"/>
        </w:rPr>
        <w:t> </w:t>
      </w:r>
      <w:r>
        <w:rPr>
          <w:color w:val="231F20"/>
          <w:w w:val="110"/>
        </w:rPr>
        <w:t>claramente</w:t>
      </w:r>
      <w:r>
        <w:rPr>
          <w:color w:val="231F20"/>
          <w:spacing w:val="11"/>
          <w:w w:val="110"/>
        </w:rPr>
        <w:t> </w:t>
      </w:r>
      <w:r>
        <w:rPr>
          <w:color w:val="231F20"/>
          <w:w w:val="110"/>
        </w:rPr>
        <w:t>el</w:t>
      </w:r>
      <w:r>
        <w:rPr>
          <w:color w:val="231F20"/>
          <w:w w:val="108"/>
        </w:rPr>
        <w:t> </w:t>
      </w:r>
      <w:r>
        <w:rPr>
          <w:color w:val="231F20"/>
          <w:w w:val="110"/>
        </w:rPr>
        <w:t>sector privado del sector público.</w:t>
      </w:r>
      <w:r>
        <w:rPr>
          <w:color w:val="231F20"/>
          <w:w w:val="110"/>
          <w:position w:val="6"/>
          <w:sz w:val="13"/>
        </w:rPr>
        <w:t>1  </w:t>
      </w:r>
      <w:r>
        <w:rPr>
          <w:color w:val="231F20"/>
          <w:w w:val="110"/>
        </w:rPr>
        <w:t>En este escrito se intenta   </w:t>
      </w:r>
      <w:r>
        <w:rPr>
          <w:color w:val="231F20"/>
          <w:spacing w:val="32"/>
          <w:w w:val="110"/>
        </w:rPr>
        <w:t> </w:t>
      </w:r>
      <w:r>
        <w:rPr>
          <w:color w:val="231F20"/>
          <w:w w:val="110"/>
        </w:rPr>
        <w:t>poner</w:t>
      </w:r>
    </w:p>
    <w:p>
      <w:pPr>
        <w:pStyle w:val="BodyText"/>
      </w:pPr>
    </w:p>
    <w:p>
      <w:pPr>
        <w:pStyle w:val="BodyText"/>
      </w:pPr>
    </w:p>
    <w:p>
      <w:pPr>
        <w:spacing w:line="261" w:lineRule="auto" w:before="122"/>
        <w:ind w:left="100" w:right="119" w:firstLine="240"/>
        <w:jc w:val="both"/>
        <w:rPr>
          <w:sz w:val="16"/>
        </w:rPr>
      </w:pPr>
      <w:r>
        <w:rPr>
          <w:color w:val="231F20"/>
          <w:w w:val="110"/>
          <w:position w:val="5"/>
          <w:sz w:val="10"/>
        </w:rPr>
        <w:t>1 </w:t>
      </w:r>
      <w:r>
        <w:rPr>
          <w:color w:val="231F20"/>
          <w:w w:val="110"/>
          <w:sz w:val="16"/>
        </w:rPr>
        <w:t>Una crítica a la diferencia entre lo privado y lo público planteada por el libera- lismo puede verse en Meiksins Wood, 2000: 295.</w:t>
      </w:r>
    </w:p>
    <w:p>
      <w:pPr>
        <w:pStyle w:val="BodyText"/>
        <w:spacing w:before="7"/>
        <w:rPr>
          <w:sz w:val="16"/>
        </w:rPr>
      </w:pPr>
    </w:p>
    <w:p>
      <w:pPr>
        <w:pStyle w:val="BodyText"/>
        <w:spacing w:before="67"/>
        <w:ind w:left="113" w:right="132"/>
        <w:jc w:val="center"/>
      </w:pPr>
      <w:r>
        <w:rPr>
          <w:color w:val="231F20"/>
          <w:w w:val="120"/>
        </w:rPr>
        <w:t>[416]</w:t>
      </w:r>
    </w:p>
    <w:p>
      <w:pPr>
        <w:spacing w:after="0"/>
        <w:jc w:val="center"/>
        <w:sectPr>
          <w:headerReference w:type="even" r:id="rId306"/>
          <w:pgSz w:w="7640" w:h="11900"/>
          <w:pgMar w:header="0" w:footer="0" w:top="1000" w:bottom="280" w:left="780" w:right="640"/>
        </w:sectPr>
      </w:pPr>
    </w:p>
    <w:p>
      <w:pPr>
        <w:pStyle w:val="BodyText"/>
        <w:spacing w:before="8"/>
        <w:rPr>
          <w:sz w:val="8"/>
        </w:rPr>
      </w:pPr>
    </w:p>
    <w:p>
      <w:pPr>
        <w:pStyle w:val="BodyText"/>
        <w:spacing w:line="261" w:lineRule="auto" w:before="67"/>
        <w:ind w:left="100" w:right="113"/>
        <w:jc w:val="both"/>
      </w:pPr>
      <w:r>
        <w:rPr>
          <w:color w:val="231F20"/>
          <w:w w:val="110"/>
        </w:rPr>
        <w:t>en duda esta percepción. De esta manera, se comenzará con un recorrido histórico, que aunque breve, destaca los antecedentes más significativos en la temática. Partiendo de este panorama, se profun- dizará en las diferencias y continuidades entre la gestión de  George</w:t>
      </w:r>
    </w:p>
    <w:p>
      <w:pPr>
        <w:pStyle w:val="BodyText"/>
        <w:spacing w:line="261" w:lineRule="auto"/>
        <w:ind w:left="100" w:right="113"/>
        <w:jc w:val="both"/>
      </w:pPr>
      <w:r>
        <w:rPr>
          <w:color w:val="231F20"/>
          <w:spacing w:val="-6"/>
          <w:w w:val="105"/>
        </w:rPr>
        <w:t>W. </w:t>
      </w:r>
      <w:r>
        <w:rPr>
          <w:color w:val="231F20"/>
          <w:w w:val="105"/>
        </w:rPr>
        <w:t>Bush y la gestión Obama, en lo referido a seguridad-democracia- desarrollo en las relaciones con América Latina, considerando la función de  organismos  del  sector  privado  en  la  (re)definición  de  la  política de asistencia para el  </w:t>
      </w:r>
      <w:r>
        <w:rPr>
          <w:color w:val="231F20"/>
          <w:spacing w:val="16"/>
          <w:w w:val="105"/>
        </w:rPr>
        <w:t> </w:t>
      </w:r>
      <w:r>
        <w:rPr>
          <w:color w:val="231F20"/>
          <w:w w:val="105"/>
        </w:rPr>
        <w:t>“desarrollo”.</w:t>
      </w:r>
    </w:p>
    <w:p>
      <w:pPr>
        <w:pStyle w:val="BodyText"/>
        <w:spacing w:line="261" w:lineRule="auto"/>
        <w:ind w:left="100" w:right="117" w:firstLine="240"/>
        <w:jc w:val="both"/>
      </w:pPr>
      <w:r>
        <w:rPr>
          <w:color w:val="231F20"/>
          <w:w w:val="110"/>
        </w:rPr>
        <w:t>Como punto de partida para comprender la política exterior de Estados</w:t>
      </w:r>
      <w:r>
        <w:rPr>
          <w:color w:val="231F20"/>
          <w:spacing w:val="-13"/>
          <w:w w:val="110"/>
        </w:rPr>
        <w:t> </w:t>
      </w:r>
      <w:r>
        <w:rPr>
          <w:color w:val="231F20"/>
          <w:w w:val="110"/>
        </w:rPr>
        <w:t>Unidos,</w:t>
      </w:r>
      <w:r>
        <w:rPr>
          <w:color w:val="231F20"/>
          <w:spacing w:val="-13"/>
          <w:w w:val="110"/>
        </w:rPr>
        <w:t> </w:t>
      </w:r>
      <w:r>
        <w:rPr>
          <w:color w:val="231F20"/>
          <w:w w:val="110"/>
        </w:rPr>
        <w:t>se</w:t>
      </w:r>
      <w:r>
        <w:rPr>
          <w:color w:val="231F20"/>
          <w:spacing w:val="-13"/>
          <w:w w:val="110"/>
        </w:rPr>
        <w:t> </w:t>
      </w:r>
      <w:r>
        <w:rPr>
          <w:color w:val="231F20"/>
          <w:w w:val="110"/>
        </w:rPr>
        <w:t>entiende</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continuidad</w:t>
      </w:r>
      <w:r>
        <w:rPr>
          <w:color w:val="231F20"/>
          <w:spacing w:val="-13"/>
          <w:w w:val="110"/>
        </w:rPr>
        <w:t> </w:t>
      </w:r>
      <w:r>
        <w:rPr>
          <w:color w:val="231F20"/>
          <w:w w:val="110"/>
        </w:rPr>
        <w:t>de</w:t>
      </w:r>
      <w:r>
        <w:rPr>
          <w:color w:val="231F20"/>
          <w:spacing w:val="-13"/>
          <w:w w:val="110"/>
        </w:rPr>
        <w:t> </w:t>
      </w:r>
      <w:r>
        <w:rPr>
          <w:color w:val="231F20"/>
          <w:w w:val="110"/>
        </w:rPr>
        <w:t>dicha</w:t>
      </w:r>
      <w:r>
        <w:rPr>
          <w:color w:val="231F20"/>
          <w:spacing w:val="-13"/>
          <w:w w:val="110"/>
        </w:rPr>
        <w:t> </w:t>
      </w:r>
      <w:r>
        <w:rPr>
          <w:color w:val="231F20"/>
          <w:w w:val="110"/>
        </w:rPr>
        <w:t>política,</w:t>
      </w:r>
      <w:r>
        <w:rPr>
          <w:color w:val="231F20"/>
          <w:spacing w:val="-13"/>
          <w:w w:val="110"/>
        </w:rPr>
        <w:t> </w:t>
      </w:r>
      <w:r>
        <w:rPr>
          <w:color w:val="231F20"/>
          <w:w w:val="110"/>
        </w:rPr>
        <w:t>más allá de la modificación en los discursos, descansa en la</w:t>
      </w:r>
      <w:r>
        <w:rPr>
          <w:color w:val="231F20"/>
          <w:spacing w:val="-5"/>
          <w:w w:val="110"/>
        </w:rPr>
        <w:t> </w:t>
      </w:r>
      <w:r>
        <w:rPr>
          <w:color w:val="231F20"/>
          <w:w w:val="110"/>
        </w:rPr>
        <w:t>permanencia de una estructura de poder centrada en la “presidencia imperial”  que opera a través del “triángulo de hierro” (Saxe Fernandez, </w:t>
      </w:r>
      <w:r>
        <w:rPr>
          <w:color w:val="231F20"/>
          <w:spacing w:val="1"/>
          <w:w w:val="110"/>
        </w:rPr>
        <w:t> </w:t>
      </w:r>
      <w:r>
        <w:rPr>
          <w:color w:val="231F20"/>
          <w:w w:val="110"/>
        </w:rPr>
        <w:t>2006:</w:t>
      </w:r>
    </w:p>
    <w:p>
      <w:pPr>
        <w:pStyle w:val="BodyText"/>
        <w:spacing w:line="261" w:lineRule="auto"/>
        <w:ind w:left="100" w:right="117"/>
        <w:jc w:val="both"/>
      </w:pPr>
      <w:r>
        <w:rPr>
          <w:color w:val="231F20"/>
          <w:w w:val="110"/>
        </w:rPr>
        <w:t>27) que ha sido legalizado y legitimado, entre otros factores gracias al discurso de la democracia liberal procedimental (uno de cuyos atributos es el cabildo o </w:t>
      </w:r>
      <w:r>
        <w:rPr>
          <w:i/>
          <w:color w:val="231F20"/>
          <w:w w:val="110"/>
        </w:rPr>
        <w:t>lobby</w:t>
      </w:r>
      <w:r>
        <w:rPr>
          <w:color w:val="231F20"/>
          <w:w w:val="110"/>
        </w:rPr>
        <w:t>). Este triángulo implica una red de poder (Wright Mills, 1978) que incluye a los hombres y mujeres en los altos cargos del gobierno, a los grandes empresarios, a los repre- sentantes</w:t>
      </w:r>
      <w:r>
        <w:rPr>
          <w:color w:val="231F20"/>
          <w:spacing w:val="-18"/>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organizaciones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sociedad</w:t>
      </w:r>
      <w:r>
        <w:rPr>
          <w:color w:val="231F20"/>
          <w:spacing w:val="-20"/>
          <w:w w:val="110"/>
        </w:rPr>
        <w:t> </w:t>
      </w:r>
      <w:r>
        <w:rPr>
          <w:color w:val="231F20"/>
          <w:w w:val="110"/>
        </w:rPr>
        <w:t>civil</w:t>
      </w:r>
      <w:r>
        <w:rPr>
          <w:color w:val="231F20"/>
          <w:spacing w:val="-20"/>
          <w:w w:val="110"/>
        </w:rPr>
        <w:t> </w:t>
      </w:r>
      <w:r>
        <w:rPr>
          <w:color w:val="231F20"/>
          <w:w w:val="110"/>
        </w:rPr>
        <w:t>más</w:t>
      </w:r>
      <w:r>
        <w:rPr>
          <w:color w:val="231F20"/>
          <w:spacing w:val="-20"/>
          <w:w w:val="110"/>
        </w:rPr>
        <w:t> </w:t>
      </w:r>
      <w:r>
        <w:rPr>
          <w:color w:val="231F20"/>
          <w:w w:val="110"/>
        </w:rPr>
        <w:t>influyentes</w:t>
      </w:r>
      <w:r>
        <w:rPr>
          <w:color w:val="231F20"/>
          <w:spacing w:val="-20"/>
          <w:w w:val="110"/>
        </w:rPr>
        <w:t> </w:t>
      </w:r>
      <w:r>
        <w:rPr>
          <w:color w:val="231F20"/>
          <w:w w:val="110"/>
        </w:rPr>
        <w:t>en la</w:t>
      </w:r>
      <w:r>
        <w:rPr>
          <w:color w:val="231F20"/>
          <w:spacing w:val="-24"/>
          <w:w w:val="110"/>
        </w:rPr>
        <w:t> </w:t>
      </w:r>
      <w:r>
        <w:rPr>
          <w:color w:val="231F20"/>
          <w:w w:val="110"/>
        </w:rPr>
        <w:t>toma</w:t>
      </w:r>
      <w:r>
        <w:rPr>
          <w:color w:val="231F20"/>
          <w:spacing w:val="-24"/>
          <w:w w:val="110"/>
        </w:rPr>
        <w:t> </w:t>
      </w:r>
      <w:r>
        <w:rPr>
          <w:color w:val="231F20"/>
          <w:w w:val="110"/>
        </w:rPr>
        <w:t>de</w:t>
      </w:r>
      <w:r>
        <w:rPr>
          <w:color w:val="231F20"/>
          <w:spacing w:val="-23"/>
          <w:w w:val="110"/>
        </w:rPr>
        <w:t> </w:t>
      </w:r>
      <w:r>
        <w:rPr>
          <w:color w:val="231F20"/>
          <w:w w:val="110"/>
        </w:rPr>
        <w:t>decisiones,</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militares</w:t>
      </w:r>
      <w:r>
        <w:rPr>
          <w:color w:val="231F20"/>
          <w:spacing w:val="-21"/>
          <w:w w:val="110"/>
        </w:rPr>
        <w:t> </w:t>
      </w:r>
      <w:r>
        <w:rPr>
          <w:color w:val="231F20"/>
          <w:w w:val="110"/>
        </w:rPr>
        <w:t>de</w:t>
      </w:r>
      <w:r>
        <w:rPr>
          <w:color w:val="231F20"/>
          <w:spacing w:val="-21"/>
          <w:w w:val="110"/>
        </w:rPr>
        <w:t> </w:t>
      </w:r>
      <w:r>
        <w:rPr>
          <w:color w:val="231F20"/>
          <w:w w:val="110"/>
        </w:rPr>
        <w:t>alto</w:t>
      </w:r>
      <w:r>
        <w:rPr>
          <w:color w:val="231F20"/>
          <w:spacing w:val="-21"/>
          <w:w w:val="110"/>
        </w:rPr>
        <w:t> </w:t>
      </w:r>
      <w:r>
        <w:rPr>
          <w:color w:val="231F20"/>
          <w:w w:val="110"/>
        </w:rPr>
        <w:t>rango,</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“think-tanks”. Esta red de poder se mantiene y reproduce por medio de diversas instituciones (y las trayectorias de sujetos influyentes en su interior) siendo la primera el gobierno estadunidense y sus agencias, pero también los organismos internacionales (como el Banco Mundial y el Fondo Monetario Internacional) e incluso las organizaciones no gubernamentales (ong) que albergan ex funcionarios influyentes y ex ceo (</w:t>
      </w:r>
      <w:r>
        <w:rPr>
          <w:i/>
          <w:color w:val="231F20"/>
          <w:w w:val="110"/>
        </w:rPr>
        <w:t>chief executive officer</w:t>
      </w:r>
      <w:r>
        <w:rPr>
          <w:color w:val="231F20"/>
          <w:w w:val="110"/>
        </w:rPr>
        <w:t>)</w:t>
      </w:r>
      <w:r>
        <w:rPr>
          <w:color w:val="231F20"/>
          <w:w w:val="110"/>
          <w:position w:val="6"/>
          <w:sz w:val="13"/>
        </w:rPr>
        <w:t>2 </w:t>
      </w:r>
      <w:r>
        <w:rPr>
          <w:color w:val="231F20"/>
          <w:w w:val="110"/>
        </w:rPr>
        <w:t>de grandes empresas. Si bien</w:t>
      </w:r>
      <w:r>
        <w:rPr>
          <w:color w:val="231F20"/>
          <w:spacing w:val="-35"/>
          <w:w w:val="110"/>
        </w:rPr>
        <w:t> </w:t>
      </w:r>
      <w:r>
        <w:rPr>
          <w:color w:val="231F20"/>
          <w:w w:val="110"/>
        </w:rPr>
        <w:t>existen tensiones entre los intereses del sector público y las ambiciones del sector privado, ambos forman parte de la estrategia </w:t>
      </w:r>
      <w:r>
        <w:rPr>
          <w:color w:val="231F20"/>
          <w:spacing w:val="2"/>
          <w:w w:val="110"/>
        </w:rPr>
        <w:t>imperialista</w:t>
      </w:r>
      <w:r>
        <w:rPr>
          <w:color w:val="231F20"/>
          <w:spacing w:val="59"/>
          <w:w w:val="110"/>
        </w:rPr>
        <w:t> </w:t>
      </w:r>
      <w:r>
        <w:rPr>
          <w:color w:val="231F20"/>
          <w:w w:val="110"/>
        </w:rPr>
        <w:t>estadunidense </w:t>
      </w:r>
      <w:r>
        <w:rPr>
          <w:color w:val="231F20"/>
          <w:spacing w:val="-8"/>
          <w:w w:val="110"/>
        </w:rPr>
        <w:t>y, </w:t>
      </w:r>
      <w:r>
        <w:rPr>
          <w:color w:val="231F20"/>
          <w:w w:val="110"/>
        </w:rPr>
        <w:t>en última instancia, bregan por un objetivo último común:</w:t>
      </w:r>
      <w:r>
        <w:rPr>
          <w:color w:val="231F20"/>
          <w:spacing w:val="-27"/>
          <w:w w:val="110"/>
        </w:rPr>
        <w:t> </w:t>
      </w:r>
      <w:r>
        <w:rPr>
          <w:color w:val="231F20"/>
          <w:w w:val="110"/>
        </w:rPr>
        <w:t>el</w:t>
      </w:r>
      <w:r>
        <w:rPr>
          <w:color w:val="231F20"/>
          <w:spacing w:val="-27"/>
          <w:w w:val="110"/>
        </w:rPr>
        <w:t> </w:t>
      </w:r>
      <w:r>
        <w:rPr>
          <w:color w:val="231F20"/>
          <w:w w:val="110"/>
        </w:rPr>
        <w:t>mantenimiento</w:t>
      </w:r>
      <w:r>
        <w:rPr>
          <w:color w:val="231F20"/>
          <w:spacing w:val="-27"/>
          <w:w w:val="110"/>
        </w:rPr>
        <w:t> </w:t>
      </w:r>
      <w:r>
        <w:rPr>
          <w:color w:val="231F20"/>
          <w:w w:val="110"/>
        </w:rPr>
        <w:t>y</w:t>
      </w:r>
      <w:r>
        <w:rPr>
          <w:color w:val="231F20"/>
          <w:spacing w:val="-27"/>
          <w:w w:val="110"/>
        </w:rPr>
        <w:t> </w:t>
      </w:r>
      <w:r>
        <w:rPr>
          <w:color w:val="231F20"/>
          <w:w w:val="110"/>
        </w:rPr>
        <w:t>expansión</w:t>
      </w:r>
      <w:r>
        <w:rPr>
          <w:color w:val="231F20"/>
          <w:spacing w:val="-27"/>
          <w:w w:val="110"/>
        </w:rPr>
        <w:t> </w:t>
      </w:r>
      <w:r>
        <w:rPr>
          <w:color w:val="231F20"/>
          <w:w w:val="110"/>
        </w:rPr>
        <w:t>del</w:t>
      </w:r>
      <w:r>
        <w:rPr>
          <w:color w:val="231F20"/>
          <w:spacing w:val="-27"/>
          <w:w w:val="110"/>
        </w:rPr>
        <w:t> </w:t>
      </w:r>
      <w:r>
        <w:rPr>
          <w:color w:val="231F20"/>
          <w:w w:val="110"/>
        </w:rPr>
        <w:t>sistema</w:t>
      </w:r>
      <w:r>
        <w:rPr>
          <w:color w:val="231F20"/>
          <w:spacing w:val="-27"/>
          <w:w w:val="110"/>
        </w:rPr>
        <w:t> </w:t>
      </w:r>
      <w:r>
        <w:rPr>
          <w:color w:val="231F20"/>
          <w:w w:val="110"/>
        </w:rPr>
        <w:t>capitalista</w:t>
      </w:r>
      <w:r>
        <w:rPr>
          <w:color w:val="231F20"/>
          <w:spacing w:val="-27"/>
          <w:w w:val="110"/>
        </w:rPr>
        <w:t> </w:t>
      </w:r>
      <w:r>
        <w:rPr>
          <w:color w:val="231F20"/>
          <w:w w:val="110"/>
        </w:rPr>
        <w:t>(Sweezy, </w:t>
      </w:r>
      <w:r>
        <w:rPr>
          <w:color w:val="231F20"/>
          <w:w w:val="105"/>
        </w:rPr>
        <w:t>1973:</w:t>
      </w:r>
      <w:r>
        <w:rPr>
          <w:color w:val="231F20"/>
          <w:spacing w:val="-7"/>
          <w:w w:val="105"/>
        </w:rPr>
        <w:t> </w:t>
      </w:r>
      <w:r>
        <w:rPr>
          <w:color w:val="231F20"/>
          <w:w w:val="105"/>
        </w:rPr>
        <w:t>96-97).</w:t>
      </w:r>
    </w:p>
    <w:p>
      <w:pPr>
        <w:pStyle w:val="BodyText"/>
      </w:pPr>
    </w:p>
    <w:p>
      <w:pPr>
        <w:pStyle w:val="BodyText"/>
      </w:pPr>
    </w:p>
    <w:p>
      <w:pPr>
        <w:pStyle w:val="BodyText"/>
        <w:spacing w:before="7"/>
        <w:rPr>
          <w:sz w:val="23"/>
        </w:rPr>
      </w:pPr>
    </w:p>
    <w:p>
      <w:pPr>
        <w:spacing w:line="261" w:lineRule="auto" w:before="0"/>
        <w:ind w:left="100" w:right="117" w:firstLine="240"/>
        <w:jc w:val="both"/>
        <w:rPr>
          <w:sz w:val="16"/>
        </w:rPr>
      </w:pPr>
      <w:r>
        <w:rPr>
          <w:color w:val="231F20"/>
          <w:w w:val="110"/>
          <w:position w:val="5"/>
          <w:sz w:val="10"/>
        </w:rPr>
        <w:t>2 </w:t>
      </w:r>
      <w:r>
        <w:rPr>
          <w:color w:val="231F20"/>
          <w:w w:val="110"/>
          <w:sz w:val="16"/>
        </w:rPr>
        <w:t>Este término, en español, abarca a los gerentes de las empresas o a aquellos ejecutivos que poseen los cargos más importantes. A lo largo del texto aparecerán al- gunos términos en inglés, especialmente cargos gubernamentales y de</w:t>
      </w:r>
      <w:r>
        <w:rPr>
          <w:color w:val="231F20"/>
          <w:spacing w:val="-26"/>
          <w:w w:val="110"/>
          <w:sz w:val="16"/>
        </w:rPr>
        <w:t> </w:t>
      </w:r>
      <w:r>
        <w:rPr>
          <w:color w:val="231F20"/>
          <w:w w:val="110"/>
          <w:sz w:val="16"/>
        </w:rPr>
        <w:t>organizaciones privadas de los cuales no hemos hallado el equivalente en español. La traducción de los documentos y bibliografía en inglés es</w:t>
      </w:r>
      <w:r>
        <w:rPr>
          <w:color w:val="231F20"/>
          <w:spacing w:val="9"/>
          <w:w w:val="110"/>
          <w:sz w:val="16"/>
        </w:rPr>
        <w:t> </w:t>
      </w:r>
      <w:r>
        <w:rPr>
          <w:color w:val="231F20"/>
          <w:w w:val="110"/>
          <w:sz w:val="16"/>
        </w:rPr>
        <w:t>propia.</w:t>
      </w:r>
    </w:p>
    <w:p>
      <w:pPr>
        <w:spacing w:after="0" w:line="261" w:lineRule="auto"/>
        <w:jc w:val="both"/>
        <w:rPr>
          <w:sz w:val="16"/>
        </w:rPr>
        <w:sectPr>
          <w:headerReference w:type="default" r:id="rId307"/>
          <w:headerReference w:type="even" r:id="rId308"/>
          <w:pgSz w:w="7640" w:h="11900"/>
          <w:pgMar w:header="672" w:footer="0" w:top="860" w:bottom="280" w:left="660" w:right="760"/>
          <w:pgNumType w:start="417"/>
        </w:sectPr>
      </w:pPr>
    </w:p>
    <w:p>
      <w:pPr>
        <w:pStyle w:val="BodyText"/>
        <w:spacing w:before="8"/>
        <w:rPr>
          <w:sz w:val="8"/>
        </w:rPr>
      </w:pPr>
    </w:p>
    <w:p>
      <w:pPr>
        <w:pStyle w:val="BodyText"/>
        <w:spacing w:before="67"/>
        <w:ind w:left="100"/>
        <w:jc w:val="both"/>
      </w:pPr>
      <w:r>
        <w:rPr>
          <w:color w:val="231F20"/>
          <w:w w:val="125"/>
        </w:rPr>
        <w:t>seguridad, democracia y asistencia para la “estabilización”</w:t>
      </w:r>
    </w:p>
    <w:p>
      <w:pPr>
        <w:pStyle w:val="BodyText"/>
        <w:spacing w:before="5"/>
        <w:rPr>
          <w:sz w:val="23"/>
        </w:rPr>
      </w:pPr>
    </w:p>
    <w:p>
      <w:pPr>
        <w:pStyle w:val="BodyText"/>
        <w:spacing w:line="261" w:lineRule="auto"/>
        <w:ind w:left="100" w:right="113"/>
        <w:jc w:val="both"/>
        <w:rPr>
          <w:sz w:val="13"/>
        </w:rPr>
      </w:pPr>
      <w:r>
        <w:rPr>
          <w:color w:val="231F20"/>
          <w:w w:val="110"/>
        </w:rPr>
        <w:t>La seguridad ha sido uno de los ejes fundamentales del discurso </w:t>
      </w:r>
      <w:r>
        <w:rPr>
          <w:color w:val="231F20"/>
          <w:spacing w:val="2"/>
          <w:w w:val="110"/>
        </w:rPr>
        <w:t>oficial del </w:t>
      </w:r>
      <w:r>
        <w:rPr>
          <w:color w:val="231F20"/>
          <w:spacing w:val="3"/>
          <w:w w:val="110"/>
        </w:rPr>
        <w:t>gobierno estadunidense durante </w:t>
      </w:r>
      <w:r>
        <w:rPr>
          <w:color w:val="231F20"/>
          <w:w w:val="110"/>
        </w:rPr>
        <w:t>la </w:t>
      </w:r>
      <w:r>
        <w:rPr>
          <w:color w:val="231F20"/>
          <w:spacing w:val="3"/>
          <w:w w:val="110"/>
        </w:rPr>
        <w:t>guerra fría, </w:t>
      </w:r>
      <w:r>
        <w:rPr>
          <w:color w:val="231F20"/>
          <w:spacing w:val="4"/>
          <w:w w:val="110"/>
        </w:rPr>
        <w:t>pero </w:t>
      </w:r>
      <w:r>
        <w:rPr>
          <w:color w:val="231F20"/>
          <w:w w:val="110"/>
        </w:rPr>
        <w:t>también lo fue el de la democracia, ya que a partir de la doctrina Truman, el antagonismo tendió a plantearse en términos de “co- munismo contra democracia”, más que comunismo contra capita- lismo.</w:t>
      </w:r>
      <w:r>
        <w:rPr>
          <w:color w:val="231F20"/>
          <w:w w:val="110"/>
          <w:position w:val="6"/>
          <w:sz w:val="13"/>
        </w:rPr>
        <w:t>3 </w:t>
      </w:r>
      <w:r>
        <w:rPr>
          <w:color w:val="231F20"/>
          <w:w w:val="110"/>
        </w:rPr>
        <w:t>Si retomamos la visión que ha predominado desde entonces en el campo de las relaciones internacionales, podemos decir </w:t>
      </w:r>
      <w:r>
        <w:rPr>
          <w:color w:val="231F20"/>
          <w:spacing w:val="2"/>
          <w:w w:val="110"/>
        </w:rPr>
        <w:t>que  </w:t>
      </w:r>
      <w:r>
        <w:rPr>
          <w:color w:val="231F20"/>
          <w:w w:val="110"/>
        </w:rPr>
        <w:t>en dicho periodo se articularon los principios del realismo (que resultaron predominantes) con los del idealismo</w:t>
      </w:r>
      <w:r>
        <w:rPr>
          <w:color w:val="231F20"/>
          <w:w w:val="110"/>
          <w:position w:val="6"/>
          <w:sz w:val="13"/>
        </w:rPr>
        <w:t>4 </w:t>
      </w:r>
      <w:r>
        <w:rPr>
          <w:color w:val="231F20"/>
          <w:w w:val="110"/>
        </w:rPr>
        <w:t>(que resultaron igualmente necesarios para imponer el </w:t>
      </w:r>
      <w:r>
        <w:rPr>
          <w:i/>
          <w:color w:val="231F20"/>
          <w:w w:val="110"/>
        </w:rPr>
        <w:t>american way of life</w:t>
      </w:r>
      <w:r>
        <w:rPr>
          <w:color w:val="231F20"/>
          <w:w w:val="110"/>
        </w:rPr>
        <w:t>), legi- timando la necesidad de expandir la democracia liberal  para  el logro de una mayor seguridad nacional en Estados Unidos, lo cual implicaba garantizar la “estabilidad” de los demás países del blo- que occidental. Asimismo, la redefinición de la democracia liberal adaptada a los principios de seguridad nacional obedece al </w:t>
      </w:r>
      <w:r>
        <w:rPr>
          <w:color w:val="231F20"/>
          <w:spacing w:val="2"/>
          <w:w w:val="110"/>
        </w:rPr>
        <w:t>origen </w:t>
      </w:r>
      <w:r>
        <w:rPr>
          <w:color w:val="231F20"/>
          <w:w w:val="110"/>
        </w:rPr>
        <w:t>mismo de la democracia liberal-procedimental, a la raíz elitista y a las redes de poder nacional que se tejieron a partir del modo en    que fue puesta en práctica esta  </w:t>
      </w:r>
      <w:r>
        <w:rPr>
          <w:color w:val="231F20"/>
          <w:spacing w:val="35"/>
          <w:w w:val="110"/>
        </w:rPr>
        <w:t> </w:t>
      </w:r>
      <w:r>
        <w:rPr>
          <w:color w:val="231F20"/>
          <w:w w:val="110"/>
        </w:rPr>
        <w:t>democracia.</w:t>
      </w:r>
      <w:r>
        <w:rPr>
          <w:color w:val="231F20"/>
          <w:w w:val="110"/>
          <w:position w:val="6"/>
          <w:sz w:val="13"/>
        </w:rPr>
        <w:t>5</w:t>
      </w:r>
    </w:p>
    <w:p>
      <w:pPr>
        <w:pStyle w:val="BodyText"/>
        <w:spacing w:line="261" w:lineRule="auto"/>
        <w:ind w:left="100" w:right="117" w:firstLine="240"/>
        <w:jc w:val="both"/>
      </w:pPr>
      <w:r>
        <w:rPr>
          <w:color w:val="231F20"/>
          <w:w w:val="110"/>
        </w:rPr>
        <w:t>En</w:t>
      </w:r>
      <w:r>
        <w:rPr>
          <w:color w:val="231F20"/>
          <w:spacing w:val="-11"/>
          <w:w w:val="110"/>
        </w:rPr>
        <w:t> </w:t>
      </w:r>
      <w:r>
        <w:rPr>
          <w:color w:val="231F20"/>
          <w:w w:val="110"/>
        </w:rPr>
        <w:t>este</w:t>
      </w:r>
      <w:r>
        <w:rPr>
          <w:color w:val="231F20"/>
          <w:spacing w:val="-11"/>
          <w:w w:val="110"/>
        </w:rPr>
        <w:t> </w:t>
      </w:r>
      <w:r>
        <w:rPr>
          <w:color w:val="231F20"/>
          <w:w w:val="110"/>
        </w:rPr>
        <w:t>entorno,</w:t>
      </w:r>
      <w:r>
        <w:rPr>
          <w:color w:val="231F20"/>
          <w:spacing w:val="-11"/>
          <w:w w:val="110"/>
        </w:rPr>
        <w:t> </w:t>
      </w:r>
      <w:r>
        <w:rPr>
          <w:color w:val="231F20"/>
          <w:w w:val="110"/>
        </w:rPr>
        <w:t>el</w:t>
      </w:r>
      <w:r>
        <w:rPr>
          <w:color w:val="231F20"/>
          <w:spacing w:val="-11"/>
          <w:w w:val="110"/>
        </w:rPr>
        <w:t> </w:t>
      </w:r>
      <w:r>
        <w:rPr>
          <w:color w:val="231F20"/>
          <w:w w:val="110"/>
        </w:rPr>
        <w:t>gobierno</w:t>
      </w:r>
      <w:r>
        <w:rPr>
          <w:color w:val="231F20"/>
          <w:spacing w:val="-11"/>
          <w:w w:val="110"/>
        </w:rPr>
        <w:t> </w:t>
      </w:r>
      <w:r>
        <w:rPr>
          <w:color w:val="231F20"/>
          <w:w w:val="110"/>
        </w:rPr>
        <w:t>estadunidense</w:t>
      </w:r>
      <w:r>
        <w:rPr>
          <w:color w:val="231F20"/>
          <w:spacing w:val="-11"/>
          <w:w w:val="110"/>
        </w:rPr>
        <w:t> </w:t>
      </w:r>
      <w:r>
        <w:rPr>
          <w:color w:val="231F20"/>
          <w:w w:val="110"/>
        </w:rPr>
        <w:t>concibió</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asistencia para el desarrollo como una de las estrategias para “contener” a la Unión Soviética, especialmente en Europa Occidental (por medio del</w:t>
      </w:r>
      <w:r>
        <w:rPr>
          <w:color w:val="231F20"/>
          <w:spacing w:val="-6"/>
          <w:w w:val="110"/>
        </w:rPr>
        <w:t> </w:t>
      </w:r>
      <w:r>
        <w:rPr>
          <w:color w:val="231F20"/>
          <w:w w:val="110"/>
        </w:rPr>
        <w:t>Plan</w:t>
      </w:r>
      <w:r>
        <w:rPr>
          <w:color w:val="231F20"/>
          <w:spacing w:val="-6"/>
          <w:w w:val="110"/>
        </w:rPr>
        <w:t> </w:t>
      </w:r>
      <w:r>
        <w:rPr>
          <w:color w:val="231F20"/>
          <w:w w:val="110"/>
        </w:rPr>
        <w:t>Marshall)</w:t>
      </w:r>
      <w:r>
        <w:rPr>
          <w:color w:val="231F20"/>
          <w:spacing w:val="-6"/>
          <w:w w:val="110"/>
        </w:rPr>
        <w:t> </w:t>
      </w:r>
      <w:r>
        <w:rPr>
          <w:color w:val="231F20"/>
          <w:w w:val="110"/>
        </w:rPr>
        <w:t>pero</w:t>
      </w:r>
      <w:r>
        <w:rPr>
          <w:color w:val="231F20"/>
          <w:spacing w:val="-6"/>
          <w:w w:val="110"/>
        </w:rPr>
        <w:t> </w:t>
      </w:r>
      <w:r>
        <w:rPr>
          <w:color w:val="231F20"/>
          <w:w w:val="110"/>
        </w:rPr>
        <w:t>también</w:t>
      </w:r>
      <w:r>
        <w:rPr>
          <w:color w:val="231F20"/>
          <w:spacing w:val="-6"/>
          <w:w w:val="110"/>
        </w:rPr>
        <w:t> </w:t>
      </w:r>
      <w:r>
        <w:rPr>
          <w:color w:val="231F20"/>
          <w:w w:val="110"/>
        </w:rPr>
        <w:t>como</w:t>
      </w:r>
      <w:r>
        <w:rPr>
          <w:color w:val="231F20"/>
          <w:spacing w:val="-6"/>
          <w:w w:val="110"/>
        </w:rPr>
        <w:t> </w:t>
      </w:r>
      <w:r>
        <w:rPr>
          <w:color w:val="231F20"/>
          <w:w w:val="110"/>
        </w:rPr>
        <w:t>alternativa</w:t>
      </w:r>
      <w:r>
        <w:rPr>
          <w:color w:val="231F20"/>
          <w:spacing w:val="-6"/>
          <w:w w:val="110"/>
        </w:rPr>
        <w:t> </w:t>
      </w:r>
      <w:r>
        <w:rPr>
          <w:color w:val="231F20"/>
          <w:w w:val="110"/>
        </w:rPr>
        <w:t>para</w:t>
      </w:r>
      <w:r>
        <w:rPr>
          <w:color w:val="231F20"/>
          <w:spacing w:val="-6"/>
          <w:w w:val="110"/>
        </w:rPr>
        <w:t> </w:t>
      </w:r>
      <w:r>
        <w:rPr>
          <w:color w:val="231F20"/>
          <w:w w:val="110"/>
        </w:rPr>
        <w:t>“garantizar</w:t>
      </w:r>
      <w:r>
        <w:rPr>
          <w:color w:val="231F20"/>
          <w:spacing w:val="-6"/>
          <w:w w:val="110"/>
        </w:rPr>
        <w:t> </w:t>
      </w:r>
      <w:r>
        <w:rPr>
          <w:color w:val="231F20"/>
          <w:w w:val="110"/>
        </w:rPr>
        <w:t>la estabilidad” en las zonas periféricas (por medio del punto </w:t>
      </w:r>
      <w:r>
        <w:rPr>
          <w:color w:val="231F20"/>
          <w:spacing w:val="-6"/>
          <w:w w:val="110"/>
        </w:rPr>
        <w:t>iv, </w:t>
      </w:r>
      <w:r>
        <w:rPr>
          <w:color w:val="231F20"/>
          <w:w w:val="110"/>
        </w:rPr>
        <w:t>1949). Precisamente, el punto iv se articuló con el Programa de Seguridad Mutua (1952) que estaba compuesto por una serie de programas </w:t>
      </w:r>
      <w:r>
        <w:rPr>
          <w:color w:val="231F20"/>
          <w:spacing w:val="35"/>
          <w:w w:val="110"/>
        </w:rPr>
        <w:t> </w:t>
      </w:r>
      <w:r>
        <w:rPr>
          <w:color w:val="231F20"/>
          <w:w w:val="110"/>
        </w:rPr>
        <w:t>de</w:t>
      </w:r>
    </w:p>
    <w:p>
      <w:pPr>
        <w:pStyle w:val="BodyText"/>
      </w:pPr>
    </w:p>
    <w:p>
      <w:pPr>
        <w:spacing w:line="261" w:lineRule="auto" w:before="151"/>
        <w:ind w:left="100" w:right="119" w:firstLine="240"/>
        <w:jc w:val="both"/>
        <w:rPr>
          <w:sz w:val="16"/>
        </w:rPr>
      </w:pPr>
      <w:r>
        <w:rPr>
          <w:color w:val="231F20"/>
          <w:w w:val="110"/>
          <w:position w:val="5"/>
          <w:sz w:val="10"/>
        </w:rPr>
        <w:t>3 </w:t>
      </w:r>
      <w:r>
        <w:rPr>
          <w:color w:val="231F20"/>
          <w:spacing w:val="-5"/>
          <w:w w:val="110"/>
          <w:sz w:val="16"/>
        </w:rPr>
        <w:t>Tal </w:t>
      </w:r>
      <w:r>
        <w:rPr>
          <w:color w:val="231F20"/>
          <w:w w:val="110"/>
          <w:sz w:val="16"/>
        </w:rPr>
        <w:t>como lo expone Gaddis (1989: 401) citando a un funcionario del gobierno de Estados Unidos: “La única forma de venderle al pueblo nuestra nueva política es hacer hincapié en la necesidad de no perder posiciones: la gran opción será comu- nismo o</w:t>
      </w:r>
      <w:r>
        <w:rPr>
          <w:color w:val="231F20"/>
          <w:spacing w:val="-5"/>
          <w:w w:val="110"/>
          <w:sz w:val="16"/>
        </w:rPr>
        <w:t> </w:t>
      </w:r>
      <w:r>
        <w:rPr>
          <w:color w:val="231F20"/>
          <w:w w:val="110"/>
          <w:sz w:val="16"/>
        </w:rPr>
        <w:t>democracia”.</w:t>
      </w:r>
    </w:p>
    <w:p>
      <w:pPr>
        <w:spacing w:line="261" w:lineRule="auto" w:before="0"/>
        <w:ind w:left="100" w:right="116" w:firstLine="240"/>
        <w:jc w:val="both"/>
        <w:rPr>
          <w:sz w:val="16"/>
        </w:rPr>
      </w:pPr>
      <w:r>
        <w:rPr>
          <w:color w:val="231F20"/>
          <w:w w:val="110"/>
          <w:position w:val="5"/>
          <w:sz w:val="10"/>
        </w:rPr>
        <w:t>4 </w:t>
      </w:r>
      <w:r>
        <w:rPr>
          <w:color w:val="231F20"/>
          <w:w w:val="110"/>
          <w:sz w:val="16"/>
        </w:rPr>
        <w:t>Tal como lo exponía en un comunicado secreto un funcionario estadunidense “Nuestra política exterior […] debe ser una mezcla sabia entre realismo e idealismo” (United States Department of State Foreign Relations, 1949; US National Security Policy, “Memorandum by the Counselor Bohlen”, p. 277).</w:t>
      </w:r>
    </w:p>
    <w:p>
      <w:pPr>
        <w:spacing w:line="261" w:lineRule="auto" w:before="0"/>
        <w:ind w:left="100" w:right="117" w:firstLine="240"/>
        <w:jc w:val="both"/>
        <w:rPr>
          <w:sz w:val="16"/>
        </w:rPr>
      </w:pPr>
      <w:r>
        <w:rPr>
          <w:color w:val="231F20"/>
          <w:w w:val="110"/>
          <w:position w:val="5"/>
          <w:sz w:val="10"/>
        </w:rPr>
        <w:t>5</w:t>
      </w:r>
      <w:r>
        <w:rPr>
          <w:color w:val="231F20"/>
          <w:spacing w:val="7"/>
          <w:w w:val="110"/>
          <w:position w:val="5"/>
          <w:sz w:val="10"/>
        </w:rPr>
        <w:t> </w:t>
      </w:r>
      <w:r>
        <w:rPr>
          <w:color w:val="231F20"/>
          <w:w w:val="110"/>
          <w:sz w:val="16"/>
        </w:rPr>
        <w:t>Esta</w:t>
      </w:r>
      <w:r>
        <w:rPr>
          <w:color w:val="231F20"/>
          <w:spacing w:val="-15"/>
          <w:w w:val="110"/>
          <w:sz w:val="16"/>
        </w:rPr>
        <w:t> </w:t>
      </w:r>
      <w:r>
        <w:rPr>
          <w:color w:val="231F20"/>
          <w:w w:val="110"/>
          <w:sz w:val="16"/>
        </w:rPr>
        <w:t>perspectiva</w:t>
      </w:r>
      <w:r>
        <w:rPr>
          <w:color w:val="231F20"/>
          <w:spacing w:val="-15"/>
          <w:w w:val="110"/>
          <w:sz w:val="16"/>
        </w:rPr>
        <w:t> </w:t>
      </w:r>
      <w:r>
        <w:rPr>
          <w:color w:val="231F20"/>
          <w:w w:val="110"/>
          <w:sz w:val="16"/>
        </w:rPr>
        <w:t>se</w:t>
      </w:r>
      <w:r>
        <w:rPr>
          <w:color w:val="231F20"/>
          <w:spacing w:val="-15"/>
          <w:w w:val="110"/>
          <w:sz w:val="16"/>
        </w:rPr>
        <w:t> </w:t>
      </w:r>
      <w:r>
        <w:rPr>
          <w:color w:val="231F20"/>
          <w:w w:val="110"/>
          <w:sz w:val="16"/>
        </w:rPr>
        <w:t>plantea,</w:t>
      </w:r>
      <w:r>
        <w:rPr>
          <w:color w:val="231F20"/>
          <w:spacing w:val="-15"/>
          <w:w w:val="110"/>
          <w:sz w:val="16"/>
        </w:rPr>
        <w:t> </w:t>
      </w:r>
      <w:r>
        <w:rPr>
          <w:color w:val="231F20"/>
          <w:w w:val="110"/>
          <w:sz w:val="16"/>
        </w:rPr>
        <w:t>por</w:t>
      </w:r>
      <w:r>
        <w:rPr>
          <w:color w:val="231F20"/>
          <w:spacing w:val="-15"/>
          <w:w w:val="110"/>
          <w:sz w:val="16"/>
        </w:rPr>
        <w:t> </w:t>
      </w:r>
      <w:r>
        <w:rPr>
          <w:color w:val="231F20"/>
          <w:w w:val="110"/>
          <w:sz w:val="16"/>
        </w:rPr>
        <w:t>ejemplo,</w:t>
      </w:r>
      <w:r>
        <w:rPr>
          <w:color w:val="231F20"/>
          <w:spacing w:val="-15"/>
          <w:w w:val="110"/>
          <w:sz w:val="16"/>
        </w:rPr>
        <w:t> </w:t>
      </w:r>
      <w:r>
        <w:rPr>
          <w:color w:val="231F20"/>
          <w:w w:val="110"/>
          <w:sz w:val="16"/>
        </w:rPr>
        <w:t>en</w:t>
      </w:r>
      <w:r>
        <w:rPr>
          <w:color w:val="231F20"/>
          <w:spacing w:val="-15"/>
          <w:w w:val="110"/>
          <w:sz w:val="16"/>
        </w:rPr>
        <w:t> </w:t>
      </w:r>
      <w:r>
        <w:rPr>
          <w:color w:val="231F20"/>
          <w:w w:val="110"/>
          <w:sz w:val="16"/>
        </w:rPr>
        <w:t>los</w:t>
      </w:r>
      <w:r>
        <w:rPr>
          <w:color w:val="231F20"/>
          <w:spacing w:val="-15"/>
          <w:w w:val="110"/>
          <w:sz w:val="16"/>
        </w:rPr>
        <w:t> </w:t>
      </w:r>
      <w:r>
        <w:rPr>
          <w:color w:val="231F20"/>
          <w:w w:val="110"/>
          <w:sz w:val="16"/>
        </w:rPr>
        <w:t>trabajos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Meiksins</w:t>
      </w:r>
      <w:r>
        <w:rPr>
          <w:color w:val="231F20"/>
          <w:spacing w:val="-15"/>
          <w:w w:val="110"/>
          <w:sz w:val="16"/>
        </w:rPr>
        <w:t> </w:t>
      </w:r>
      <w:r>
        <w:rPr>
          <w:color w:val="231F20"/>
          <w:spacing w:val="-3"/>
          <w:w w:val="110"/>
          <w:sz w:val="16"/>
        </w:rPr>
        <w:t>Wood</w:t>
      </w:r>
      <w:r>
        <w:rPr>
          <w:color w:val="231F20"/>
          <w:spacing w:val="-15"/>
          <w:w w:val="110"/>
          <w:sz w:val="16"/>
        </w:rPr>
        <w:t> </w:t>
      </w:r>
      <w:r>
        <w:rPr>
          <w:color w:val="231F20"/>
          <w:w w:val="110"/>
          <w:sz w:val="16"/>
        </w:rPr>
        <w:t>(2000) y Wright Mills (1978). Interesan también los aportes de Schumpeter (1996) acerca</w:t>
      </w:r>
      <w:r>
        <w:rPr>
          <w:color w:val="231F20"/>
          <w:spacing w:val="-19"/>
          <w:w w:val="110"/>
          <w:sz w:val="16"/>
        </w:rPr>
        <w:t> </w:t>
      </w:r>
      <w:r>
        <w:rPr>
          <w:color w:val="231F20"/>
          <w:w w:val="110"/>
          <w:sz w:val="16"/>
        </w:rPr>
        <w:t>de la vinculación entre democracia liberal y el capitalismo en Estados Unidos. Hemos abordado la articulación entre democracia liberal y seguridad nacional en la política interna y externa exterior estadunidense en Romano  </w:t>
      </w:r>
      <w:r>
        <w:rPr>
          <w:color w:val="231F20"/>
          <w:spacing w:val="12"/>
          <w:w w:val="110"/>
          <w:sz w:val="16"/>
        </w:rPr>
        <w:t> </w:t>
      </w:r>
      <w:r>
        <w:rPr>
          <w:color w:val="231F20"/>
          <w:w w:val="110"/>
          <w:sz w:val="16"/>
        </w:rPr>
        <w:t>(2009).</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03"/>
      </w:pPr>
      <w:r>
        <w:rPr>
          <w:color w:val="231F20"/>
          <w:w w:val="105"/>
        </w:rPr>
        <w:t>asistencia para el desarrollo técnico y económico sumados a progra-</w:t>
      </w:r>
      <w:r>
        <w:rPr>
          <w:color w:val="231F20"/>
          <w:w w:val="72"/>
        </w:rPr>
        <w:t> </w:t>
      </w:r>
      <w:r>
        <w:rPr>
          <w:color w:val="231F20"/>
          <w:w w:val="105"/>
        </w:rPr>
        <w:t>mas  de  asistencia militar.</w:t>
      </w:r>
    </w:p>
    <w:p>
      <w:pPr>
        <w:pStyle w:val="BodyText"/>
        <w:spacing w:line="261" w:lineRule="auto"/>
        <w:ind w:left="100" w:right="117" w:firstLine="240"/>
        <w:jc w:val="both"/>
        <w:rPr>
          <w:sz w:val="13"/>
        </w:rPr>
      </w:pPr>
      <w:r>
        <w:rPr>
          <w:color w:val="231F20"/>
          <w:w w:val="110"/>
        </w:rPr>
        <w:t>Es así que adquirió protagonismo una concepción de democracia adaptada a los principios de la seguridad nacional estadunidense que se vinculó (especialmente a partir del triunfo de la Revolución cubana) con una noción neoclásica de desarrollo, funcional a la ex- pansión</w:t>
      </w:r>
      <w:r>
        <w:rPr>
          <w:color w:val="231F20"/>
          <w:spacing w:val="-15"/>
          <w:w w:val="110"/>
        </w:rPr>
        <w:t> </w:t>
      </w:r>
      <w:r>
        <w:rPr>
          <w:color w:val="231F20"/>
          <w:w w:val="110"/>
        </w:rPr>
        <w:t>del</w:t>
      </w:r>
      <w:r>
        <w:rPr>
          <w:color w:val="231F20"/>
          <w:spacing w:val="-15"/>
          <w:w w:val="110"/>
        </w:rPr>
        <w:t> </w:t>
      </w:r>
      <w:r>
        <w:rPr>
          <w:color w:val="231F20"/>
          <w:w w:val="110"/>
        </w:rPr>
        <w:t>capitalismo</w:t>
      </w:r>
      <w:r>
        <w:rPr>
          <w:color w:val="231F20"/>
          <w:spacing w:val="-15"/>
          <w:w w:val="110"/>
        </w:rPr>
        <w:t> </w:t>
      </w:r>
      <w:r>
        <w:rPr>
          <w:color w:val="231F20"/>
          <w:w w:val="110"/>
        </w:rPr>
        <w:t>monopólico</w:t>
      </w:r>
      <w:r>
        <w:rPr>
          <w:color w:val="231F20"/>
          <w:spacing w:val="-15"/>
          <w:w w:val="110"/>
        </w:rPr>
        <w:t> </w:t>
      </w:r>
      <w:r>
        <w:rPr>
          <w:color w:val="231F20"/>
          <w:w w:val="110"/>
        </w:rPr>
        <w:t>hacia</w:t>
      </w:r>
      <w:r>
        <w:rPr>
          <w:color w:val="231F20"/>
          <w:spacing w:val="-15"/>
          <w:w w:val="110"/>
        </w:rPr>
        <w:t> </w:t>
      </w:r>
      <w:r>
        <w:rPr>
          <w:color w:val="231F20"/>
          <w:w w:val="110"/>
        </w:rPr>
        <w:t>la</w:t>
      </w:r>
      <w:r>
        <w:rPr>
          <w:color w:val="231F20"/>
          <w:spacing w:val="-15"/>
          <w:w w:val="110"/>
        </w:rPr>
        <w:t> </w:t>
      </w:r>
      <w:r>
        <w:rPr>
          <w:color w:val="231F20"/>
          <w:w w:val="110"/>
        </w:rPr>
        <w:t>periferia.</w:t>
      </w:r>
      <w:r>
        <w:rPr>
          <w:color w:val="231F20"/>
          <w:spacing w:val="-15"/>
          <w:w w:val="110"/>
        </w:rPr>
        <w:t> </w:t>
      </w:r>
      <w:r>
        <w:rPr>
          <w:color w:val="231F20"/>
          <w:w w:val="110"/>
        </w:rPr>
        <w:t>La</w:t>
      </w:r>
      <w:r>
        <w:rPr>
          <w:color w:val="231F20"/>
          <w:spacing w:val="-15"/>
          <w:w w:val="110"/>
        </w:rPr>
        <w:t> </w:t>
      </w:r>
      <w:r>
        <w:rPr>
          <w:color w:val="231F20"/>
          <w:w w:val="110"/>
        </w:rPr>
        <w:t>concepción neoclásica se centra en las ventajas comparativas de cada economía y en la libertad de mercado como la manera de lograr una mejor adaptación</w:t>
      </w:r>
      <w:r>
        <w:rPr>
          <w:color w:val="231F20"/>
          <w:spacing w:val="-7"/>
          <w:w w:val="110"/>
        </w:rPr>
        <w:t> </w:t>
      </w:r>
      <w:r>
        <w:rPr>
          <w:color w:val="231F20"/>
          <w:w w:val="110"/>
        </w:rPr>
        <w:t>al</w:t>
      </w:r>
      <w:r>
        <w:rPr>
          <w:color w:val="231F20"/>
          <w:spacing w:val="-7"/>
          <w:w w:val="110"/>
        </w:rPr>
        <w:t> </w:t>
      </w:r>
      <w:r>
        <w:rPr>
          <w:color w:val="231F20"/>
          <w:w w:val="110"/>
        </w:rPr>
        <w:t>sistema</w:t>
      </w:r>
      <w:r>
        <w:rPr>
          <w:color w:val="231F20"/>
          <w:spacing w:val="-7"/>
          <w:w w:val="110"/>
        </w:rPr>
        <w:t> </w:t>
      </w:r>
      <w:r>
        <w:rPr>
          <w:color w:val="231F20"/>
          <w:w w:val="110"/>
        </w:rPr>
        <w:t>económico</w:t>
      </w:r>
      <w:r>
        <w:rPr>
          <w:color w:val="231F20"/>
          <w:spacing w:val="-7"/>
          <w:w w:val="110"/>
        </w:rPr>
        <w:t> </w:t>
      </w:r>
      <w:r>
        <w:rPr>
          <w:color w:val="231F20"/>
          <w:w w:val="110"/>
        </w:rPr>
        <w:t>internacional</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alcanzar</w:t>
      </w:r>
      <w:r>
        <w:rPr>
          <w:color w:val="231F20"/>
          <w:spacing w:val="-7"/>
          <w:w w:val="110"/>
        </w:rPr>
        <w:t> </w:t>
      </w:r>
      <w:r>
        <w:rPr>
          <w:color w:val="231F20"/>
          <w:w w:val="110"/>
        </w:rPr>
        <w:t>el</w:t>
      </w:r>
      <w:r>
        <w:rPr>
          <w:color w:val="231F20"/>
          <w:spacing w:val="-7"/>
          <w:w w:val="110"/>
        </w:rPr>
        <w:t> </w:t>
      </w:r>
      <w:r>
        <w:rPr>
          <w:color w:val="231F20"/>
          <w:w w:val="110"/>
        </w:rPr>
        <w:t>“des- pegue” de las economías periféricas. El gran aporte en este sentido fue la obra de Rostow (1961: 13-29), que expone la versión econó- mica de la teoría de la modernización y el </w:t>
      </w:r>
      <w:r>
        <w:rPr>
          <w:i/>
          <w:color w:val="231F20"/>
          <w:w w:val="110"/>
        </w:rPr>
        <w:t>take-off </w:t>
      </w:r>
      <w:r>
        <w:rPr>
          <w:color w:val="231F20"/>
          <w:w w:val="110"/>
        </w:rPr>
        <w:t>como una de las etapas</w:t>
      </w:r>
      <w:r>
        <w:rPr>
          <w:color w:val="231F20"/>
          <w:spacing w:val="-11"/>
          <w:w w:val="110"/>
        </w:rPr>
        <w:t> </w:t>
      </w:r>
      <w:r>
        <w:rPr>
          <w:color w:val="231F20"/>
          <w:w w:val="110"/>
        </w:rPr>
        <w:t>inherentes</w:t>
      </w:r>
      <w:r>
        <w:rPr>
          <w:color w:val="231F20"/>
          <w:spacing w:val="-11"/>
          <w:w w:val="110"/>
        </w:rPr>
        <w:t> </w:t>
      </w:r>
      <w:r>
        <w:rPr>
          <w:color w:val="231F20"/>
          <w:w w:val="110"/>
        </w:rPr>
        <w:t>al</w:t>
      </w:r>
      <w:r>
        <w:rPr>
          <w:color w:val="231F20"/>
          <w:spacing w:val="-11"/>
          <w:w w:val="110"/>
        </w:rPr>
        <w:t> </w:t>
      </w:r>
      <w:r>
        <w:rPr>
          <w:color w:val="231F20"/>
          <w:w w:val="110"/>
        </w:rPr>
        <w:t>pasaje</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“sociedad</w:t>
      </w:r>
      <w:r>
        <w:rPr>
          <w:color w:val="231F20"/>
          <w:spacing w:val="-11"/>
          <w:w w:val="110"/>
        </w:rPr>
        <w:t> </w:t>
      </w:r>
      <w:r>
        <w:rPr>
          <w:color w:val="231F20"/>
          <w:w w:val="110"/>
        </w:rPr>
        <w:t>tradicional”</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“sociedad moderna”, paso que todas las sociedades estarían en condición de dar en la medida en que se adecuaran lo mejor posible al sistema económico</w:t>
      </w:r>
      <w:r>
        <w:rPr>
          <w:color w:val="231F20"/>
          <w:spacing w:val="-22"/>
          <w:w w:val="110"/>
        </w:rPr>
        <w:t> </w:t>
      </w:r>
      <w:r>
        <w:rPr>
          <w:color w:val="231F20"/>
          <w:w w:val="110"/>
        </w:rPr>
        <w:t>internacional</w:t>
      </w:r>
      <w:r>
        <w:rPr>
          <w:color w:val="231F20"/>
          <w:spacing w:val="-22"/>
          <w:w w:val="110"/>
        </w:rPr>
        <w:t> </w:t>
      </w:r>
      <w:r>
        <w:rPr>
          <w:color w:val="231F20"/>
          <w:w w:val="110"/>
        </w:rPr>
        <w:t>y</w:t>
      </w:r>
      <w:r>
        <w:rPr>
          <w:color w:val="231F20"/>
          <w:spacing w:val="-22"/>
          <w:w w:val="110"/>
        </w:rPr>
        <w:t> </w:t>
      </w:r>
      <w:r>
        <w:rPr>
          <w:color w:val="231F20"/>
          <w:w w:val="110"/>
        </w:rPr>
        <w:t>a</w:t>
      </w:r>
      <w:r>
        <w:rPr>
          <w:color w:val="231F20"/>
          <w:spacing w:val="-22"/>
          <w:w w:val="110"/>
        </w:rPr>
        <w:t> </w:t>
      </w:r>
      <w:r>
        <w:rPr>
          <w:color w:val="231F20"/>
          <w:w w:val="110"/>
        </w:rPr>
        <w:t>los</w:t>
      </w:r>
      <w:r>
        <w:rPr>
          <w:color w:val="231F20"/>
          <w:spacing w:val="-22"/>
          <w:w w:val="110"/>
        </w:rPr>
        <w:t> </w:t>
      </w:r>
      <w:r>
        <w:rPr>
          <w:color w:val="231F20"/>
          <w:w w:val="110"/>
        </w:rPr>
        <w:t>cambios</w:t>
      </w:r>
      <w:r>
        <w:rPr>
          <w:color w:val="231F20"/>
          <w:spacing w:val="-22"/>
          <w:w w:val="110"/>
        </w:rPr>
        <w:t> </w:t>
      </w:r>
      <w:r>
        <w:rPr>
          <w:color w:val="231F20"/>
          <w:w w:val="110"/>
        </w:rPr>
        <w:t>tecnológicos.</w:t>
      </w:r>
      <w:r>
        <w:rPr>
          <w:color w:val="231F20"/>
          <w:spacing w:val="-22"/>
          <w:w w:val="110"/>
        </w:rPr>
        <w:t> </w:t>
      </w:r>
      <w:r>
        <w:rPr>
          <w:color w:val="231F20"/>
          <w:w w:val="110"/>
        </w:rPr>
        <w:t>Esta</w:t>
      </w:r>
      <w:r>
        <w:rPr>
          <w:color w:val="231F20"/>
          <w:spacing w:val="-22"/>
          <w:w w:val="110"/>
        </w:rPr>
        <w:t> </w:t>
      </w:r>
      <w:r>
        <w:rPr>
          <w:color w:val="231F20"/>
          <w:w w:val="110"/>
        </w:rPr>
        <w:t>fue</w:t>
      </w:r>
      <w:r>
        <w:rPr>
          <w:color w:val="231F20"/>
          <w:spacing w:val="-22"/>
          <w:w w:val="110"/>
        </w:rPr>
        <w:t> </w:t>
      </w:r>
      <w:r>
        <w:rPr>
          <w:color w:val="231F20"/>
          <w:w w:val="110"/>
        </w:rPr>
        <w:t>la</w:t>
      </w:r>
      <w:r>
        <w:rPr>
          <w:color w:val="231F20"/>
          <w:spacing w:val="-22"/>
          <w:w w:val="110"/>
        </w:rPr>
        <w:t> </w:t>
      </w:r>
      <w:r>
        <w:rPr>
          <w:color w:val="231F20"/>
          <w:w w:val="110"/>
        </w:rPr>
        <w:t>idea de desarrollo retomada por el gobierno estadunidense para</w:t>
      </w:r>
      <w:r>
        <w:rPr>
          <w:color w:val="231F20"/>
          <w:spacing w:val="-24"/>
          <w:w w:val="110"/>
        </w:rPr>
        <w:t> </w:t>
      </w:r>
      <w:r>
        <w:rPr>
          <w:color w:val="231F20"/>
          <w:w w:val="110"/>
        </w:rPr>
        <w:t>organizar e implementar los planes de asistencia a inicios de los años sesenta, momento en el cual se elaboró la Ley para la Asistencia Exterior (faa, 1961), se creó la Agencia para el Desarrollo Internacional</w:t>
      </w:r>
      <w:r>
        <w:rPr>
          <w:color w:val="231F20"/>
          <w:spacing w:val="-14"/>
          <w:w w:val="110"/>
        </w:rPr>
        <w:t> </w:t>
      </w:r>
      <w:r>
        <w:rPr>
          <w:color w:val="231F20"/>
          <w:w w:val="110"/>
        </w:rPr>
        <w:t>(aid) y se puso en marcha la Alianza para el Progreso como programa de asistencia bilateral destinado a América Latina. Desde esta visión, el desarrollo fue asociado a una concepción particular de progreso vinculado a la modernización y a los cambios experimentados por</w:t>
      </w:r>
      <w:r>
        <w:rPr>
          <w:color w:val="231F20"/>
          <w:spacing w:val="-31"/>
          <w:w w:val="110"/>
        </w:rPr>
        <w:t> </w:t>
      </w:r>
      <w:r>
        <w:rPr>
          <w:color w:val="231F20"/>
          <w:w w:val="110"/>
        </w:rPr>
        <w:t>la sociedad estadunidense; así, una economía capitalista, una sociedad democrática</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predominio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clase</w:t>
      </w:r>
      <w:r>
        <w:rPr>
          <w:color w:val="231F20"/>
          <w:spacing w:val="-8"/>
          <w:w w:val="110"/>
        </w:rPr>
        <w:t> </w:t>
      </w:r>
      <w:r>
        <w:rPr>
          <w:color w:val="231F20"/>
          <w:w w:val="110"/>
        </w:rPr>
        <w:t>media</w:t>
      </w:r>
      <w:r>
        <w:rPr>
          <w:color w:val="231F20"/>
          <w:spacing w:val="-8"/>
          <w:w w:val="110"/>
        </w:rPr>
        <w:t> </w:t>
      </w:r>
      <w:r>
        <w:rPr>
          <w:color w:val="231F20"/>
          <w:w w:val="110"/>
        </w:rPr>
        <w:t>debería</w:t>
      </w:r>
      <w:r>
        <w:rPr>
          <w:color w:val="231F20"/>
          <w:spacing w:val="-8"/>
          <w:w w:val="110"/>
        </w:rPr>
        <w:t> </w:t>
      </w:r>
      <w:r>
        <w:rPr>
          <w:color w:val="231F20"/>
          <w:w w:val="110"/>
        </w:rPr>
        <w:t>ser</w:t>
      </w:r>
      <w:r>
        <w:rPr>
          <w:color w:val="231F20"/>
          <w:spacing w:val="-8"/>
          <w:w w:val="110"/>
        </w:rPr>
        <w:t> </w:t>
      </w:r>
      <w:r>
        <w:rPr>
          <w:color w:val="231F20"/>
          <w:w w:val="110"/>
        </w:rPr>
        <w:t>el</w:t>
      </w:r>
      <w:r>
        <w:rPr>
          <w:color w:val="231F20"/>
          <w:spacing w:val="-8"/>
          <w:w w:val="110"/>
        </w:rPr>
        <w:t> </w:t>
      </w:r>
      <w:r>
        <w:rPr>
          <w:color w:val="231F20"/>
          <w:w w:val="110"/>
        </w:rPr>
        <w:t>ejemplo a seguir por los “pueblos</w:t>
      </w:r>
      <w:r>
        <w:rPr>
          <w:color w:val="231F20"/>
          <w:spacing w:val="-20"/>
          <w:w w:val="110"/>
        </w:rPr>
        <w:t> </w:t>
      </w:r>
      <w:r>
        <w:rPr>
          <w:color w:val="231F20"/>
          <w:w w:val="110"/>
        </w:rPr>
        <w:t>libres”.</w:t>
      </w:r>
      <w:r>
        <w:rPr>
          <w:color w:val="231F20"/>
          <w:w w:val="110"/>
          <w:position w:val="6"/>
          <w:sz w:val="13"/>
        </w:rPr>
        <w:t>6</w:t>
      </w:r>
    </w:p>
    <w:p>
      <w:pPr>
        <w:pStyle w:val="BodyText"/>
      </w:pPr>
    </w:p>
    <w:p>
      <w:pPr>
        <w:pStyle w:val="BodyText"/>
        <w:spacing w:before="2"/>
        <w:rPr>
          <w:sz w:val="26"/>
        </w:rPr>
      </w:pPr>
    </w:p>
    <w:p>
      <w:pPr>
        <w:spacing w:line="261" w:lineRule="auto" w:before="1"/>
        <w:ind w:left="100" w:right="114" w:firstLine="240"/>
        <w:jc w:val="both"/>
        <w:rPr>
          <w:sz w:val="16"/>
        </w:rPr>
      </w:pPr>
      <w:r>
        <w:rPr>
          <w:color w:val="231F20"/>
          <w:w w:val="110"/>
          <w:position w:val="5"/>
          <w:sz w:val="10"/>
        </w:rPr>
        <w:t>6 </w:t>
      </w:r>
      <w:r>
        <w:rPr>
          <w:color w:val="231F20"/>
          <w:w w:val="110"/>
          <w:sz w:val="16"/>
        </w:rPr>
        <w:t>A diferencia de esta visión, desde una aproximación crítica, se postula que la concepción de desarrollo implica la noción de subdesarrollo y supone un orden internacional asimétrico organizado en Estados centrales, que son los que ponen las reglas y Estados periféricos que “dependen” de dichas normas y deben adecuarse o “adaptarse” a ellas para permanecer en el sistema. En este sentido, la dependencia económica se refleja a nivel político debido a que tanto los gobiernos como el sector privado de los países centrales penetran en el sistema de toma de decisión de los países periféricos por medio de diferentes instituciones, a través de la definición de políticas, la orientación de prácticas y específicamente gracias a la red de relaciones tejidas entre las clases dominantes del centro y la periferia, que legaliza y legitima el sistema. La idea de subdesarrollo y dependencia ha sido retomada de los aportes    de</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20" w:right="117" w:firstLine="240"/>
        <w:jc w:val="both"/>
      </w:pPr>
      <w:r>
        <w:rPr>
          <w:color w:val="231F20"/>
          <w:w w:val="110"/>
        </w:rPr>
        <w:t>En la faa se visualiza claramente la articulación de la democracia liberal procedimental con la idea de desarrollo (según lo expuesto más arriba) y con la necesidad de garantizar la seguridad nacional, entendida como la posibilidad de asegurar la “estabilidad” (econó- mica y política) en todos aquellos espacios que pudieran constituir una amenaza para los intereses estadunidenses. Así es que la ley se autodefine como: “una ley para promover la política exterior, la seguridad y el bienestar general de Estados Unidos por medio de la asistencia</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pueblos</w:t>
      </w:r>
      <w:r>
        <w:rPr>
          <w:color w:val="231F20"/>
          <w:spacing w:val="-19"/>
          <w:w w:val="110"/>
        </w:rPr>
        <w:t> </w:t>
      </w:r>
      <w:r>
        <w:rPr>
          <w:color w:val="231F20"/>
          <w:w w:val="110"/>
        </w:rPr>
        <w:t>del</w:t>
      </w:r>
      <w:r>
        <w:rPr>
          <w:color w:val="231F20"/>
          <w:spacing w:val="-19"/>
          <w:w w:val="110"/>
        </w:rPr>
        <w:t> </w:t>
      </w:r>
      <w:r>
        <w:rPr>
          <w:color w:val="231F20"/>
          <w:w w:val="110"/>
        </w:rPr>
        <w:t>mundo</w:t>
      </w:r>
      <w:r>
        <w:rPr>
          <w:color w:val="231F20"/>
          <w:spacing w:val="-19"/>
          <w:w w:val="110"/>
        </w:rPr>
        <w:t> </w:t>
      </w:r>
      <w:r>
        <w:rPr>
          <w:color w:val="231F20"/>
          <w:w w:val="110"/>
        </w:rPr>
        <w:t>en</w:t>
      </w:r>
      <w:r>
        <w:rPr>
          <w:color w:val="231F20"/>
          <w:spacing w:val="-19"/>
          <w:w w:val="110"/>
        </w:rPr>
        <w:t> </w:t>
      </w:r>
      <w:r>
        <w:rPr>
          <w:color w:val="231F20"/>
          <w:w w:val="110"/>
        </w:rPr>
        <w:t>sus</w:t>
      </w:r>
      <w:r>
        <w:rPr>
          <w:color w:val="231F20"/>
          <w:spacing w:val="-19"/>
          <w:w w:val="110"/>
        </w:rPr>
        <w:t> </w:t>
      </w:r>
      <w:r>
        <w:rPr>
          <w:color w:val="231F20"/>
          <w:w w:val="110"/>
        </w:rPr>
        <w:t>esfuerzos</w:t>
      </w:r>
      <w:r>
        <w:rPr>
          <w:color w:val="231F20"/>
          <w:spacing w:val="-19"/>
          <w:w w:val="110"/>
        </w:rPr>
        <w:t> </w:t>
      </w:r>
      <w:r>
        <w:rPr>
          <w:color w:val="231F20"/>
          <w:w w:val="110"/>
        </w:rPr>
        <w:t>hacia</w:t>
      </w:r>
      <w:r>
        <w:rPr>
          <w:color w:val="231F20"/>
          <w:spacing w:val="-19"/>
          <w:w w:val="110"/>
        </w:rPr>
        <w:t> </w:t>
      </w:r>
      <w:r>
        <w:rPr>
          <w:color w:val="231F20"/>
          <w:w w:val="110"/>
        </w:rPr>
        <w:t>el</w:t>
      </w:r>
      <w:r>
        <w:rPr>
          <w:color w:val="231F20"/>
          <w:spacing w:val="-19"/>
          <w:w w:val="110"/>
        </w:rPr>
        <w:t> </w:t>
      </w:r>
      <w:r>
        <w:rPr>
          <w:color w:val="231F20"/>
          <w:w w:val="110"/>
        </w:rPr>
        <w:t>desarrollo económico</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seguridad</w:t>
      </w:r>
      <w:r>
        <w:rPr>
          <w:color w:val="231F20"/>
          <w:spacing w:val="-7"/>
          <w:w w:val="110"/>
        </w:rPr>
        <w:t> </w:t>
      </w:r>
      <w:r>
        <w:rPr>
          <w:color w:val="231F20"/>
          <w:w w:val="110"/>
        </w:rPr>
        <w:t>interna</w:t>
      </w:r>
      <w:r>
        <w:rPr>
          <w:color w:val="231F20"/>
          <w:spacing w:val="-7"/>
          <w:w w:val="110"/>
        </w:rPr>
        <w:t> </w:t>
      </w:r>
      <w:r>
        <w:rPr>
          <w:color w:val="231F20"/>
          <w:w w:val="110"/>
        </w:rPr>
        <w:t>y</w:t>
      </w:r>
      <w:r>
        <w:rPr>
          <w:color w:val="231F20"/>
          <w:spacing w:val="-7"/>
          <w:w w:val="110"/>
        </w:rPr>
        <w:t> </w:t>
      </w:r>
      <w:r>
        <w:rPr>
          <w:color w:val="231F20"/>
          <w:w w:val="110"/>
        </w:rPr>
        <w:t>externa,</w:t>
      </w:r>
      <w:r>
        <w:rPr>
          <w:color w:val="231F20"/>
          <w:spacing w:val="-7"/>
          <w:w w:val="110"/>
        </w:rPr>
        <w:t> </w:t>
      </w:r>
      <w:r>
        <w:rPr>
          <w:color w:val="231F20"/>
          <w:w w:val="110"/>
        </w:rPr>
        <w:t>y</w:t>
      </w:r>
      <w:r>
        <w:rPr>
          <w:color w:val="231F20"/>
          <w:spacing w:val="-7"/>
          <w:w w:val="110"/>
        </w:rPr>
        <w:t> </w:t>
      </w:r>
      <w:r>
        <w:rPr>
          <w:color w:val="231F20"/>
          <w:w w:val="110"/>
        </w:rPr>
        <w:t>para</w:t>
      </w:r>
      <w:r>
        <w:rPr>
          <w:color w:val="231F20"/>
          <w:spacing w:val="-7"/>
          <w:w w:val="110"/>
        </w:rPr>
        <w:t> </w:t>
      </w:r>
      <w:r>
        <w:rPr>
          <w:color w:val="231F20"/>
          <w:w w:val="110"/>
        </w:rPr>
        <w:t>otros</w:t>
      </w:r>
      <w:r>
        <w:rPr>
          <w:color w:val="231F20"/>
          <w:spacing w:val="-7"/>
          <w:w w:val="110"/>
        </w:rPr>
        <w:t> </w:t>
      </w:r>
      <w:r>
        <w:rPr>
          <w:color w:val="231F20"/>
          <w:w w:val="110"/>
        </w:rPr>
        <w:t>propósitos”. Asimismo, se afirma el ideario capitalista y democrático-liberal que orientaba el proyecto: “El Congreso declara que las libertades indi- viduales, la prosperidad económica y la seguridad del pueblo de los Estados Unidos será mejor sostenida y reforzada en una comunidad de naciones que respete las libertades civiles individuales, los dere- chos económicos” (faa, parte i, capítulo </w:t>
      </w:r>
      <w:r>
        <w:rPr>
          <w:color w:val="231F20"/>
          <w:spacing w:val="46"/>
          <w:w w:val="110"/>
        </w:rPr>
        <w:t> </w:t>
      </w:r>
      <w:r>
        <w:rPr>
          <w:color w:val="231F20"/>
          <w:w w:val="110"/>
        </w:rPr>
        <w:t>1).</w:t>
      </w:r>
    </w:p>
    <w:p>
      <w:pPr>
        <w:pStyle w:val="BodyText"/>
        <w:spacing w:line="261" w:lineRule="auto"/>
        <w:ind w:left="120" w:right="117" w:firstLine="240"/>
        <w:jc w:val="both"/>
      </w:pPr>
      <w:r>
        <w:rPr>
          <w:color w:val="231F20"/>
          <w:w w:val="110"/>
        </w:rPr>
        <w:t>Con</w:t>
      </w:r>
      <w:r>
        <w:rPr>
          <w:color w:val="231F20"/>
          <w:spacing w:val="-11"/>
          <w:w w:val="110"/>
        </w:rPr>
        <w:t> </w:t>
      </w:r>
      <w:r>
        <w:rPr>
          <w:color w:val="231F20"/>
          <w:w w:val="110"/>
        </w:rPr>
        <w:t>respecto</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objetivos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asistencia,</w:t>
      </w:r>
      <w:r>
        <w:rPr>
          <w:color w:val="231F20"/>
          <w:spacing w:val="-11"/>
          <w:w w:val="110"/>
        </w:rPr>
        <w:t> </w:t>
      </w:r>
      <w:r>
        <w:rPr>
          <w:color w:val="231F20"/>
          <w:w w:val="110"/>
        </w:rPr>
        <w:t>se</w:t>
      </w:r>
      <w:r>
        <w:rPr>
          <w:color w:val="231F20"/>
          <w:spacing w:val="-11"/>
          <w:w w:val="110"/>
        </w:rPr>
        <w:t> </w:t>
      </w:r>
      <w:r>
        <w:rPr>
          <w:color w:val="231F20"/>
          <w:w w:val="110"/>
        </w:rPr>
        <w:t>explicita:</w:t>
      </w:r>
      <w:r>
        <w:rPr>
          <w:color w:val="231F20"/>
          <w:spacing w:val="-11"/>
          <w:w w:val="110"/>
        </w:rPr>
        <w:t> </w:t>
      </w:r>
      <w:r>
        <w:rPr>
          <w:color w:val="231F20"/>
          <w:w w:val="110"/>
        </w:rPr>
        <w:t>“La</w:t>
      </w:r>
      <w:r>
        <w:rPr>
          <w:color w:val="231F20"/>
          <w:spacing w:val="-11"/>
          <w:w w:val="110"/>
        </w:rPr>
        <w:t> </w:t>
      </w:r>
      <w:r>
        <w:rPr>
          <w:color w:val="231F20"/>
          <w:w w:val="110"/>
        </w:rPr>
        <w:t>asis- tencia</w:t>
      </w:r>
      <w:r>
        <w:rPr>
          <w:color w:val="231F20"/>
          <w:spacing w:val="-7"/>
          <w:w w:val="110"/>
        </w:rPr>
        <w:t> </w:t>
      </w:r>
      <w:r>
        <w:rPr>
          <w:color w:val="231F20"/>
          <w:w w:val="110"/>
        </w:rPr>
        <w:t>a</w:t>
      </w:r>
      <w:r>
        <w:rPr>
          <w:color w:val="231F20"/>
          <w:spacing w:val="-7"/>
          <w:w w:val="110"/>
        </w:rPr>
        <w:t> </w:t>
      </w:r>
      <w:r>
        <w:rPr>
          <w:color w:val="231F20"/>
          <w:w w:val="110"/>
        </w:rPr>
        <w:t>países</w:t>
      </w:r>
      <w:r>
        <w:rPr>
          <w:color w:val="231F20"/>
          <w:spacing w:val="-7"/>
          <w:w w:val="110"/>
        </w:rPr>
        <w:t> </w:t>
      </w:r>
      <w:r>
        <w:rPr>
          <w:color w:val="231F20"/>
          <w:w w:val="110"/>
        </w:rPr>
        <w:t>en</w:t>
      </w:r>
      <w:r>
        <w:rPr>
          <w:color w:val="231F20"/>
          <w:spacing w:val="-7"/>
          <w:w w:val="110"/>
        </w:rPr>
        <w:t> </w:t>
      </w:r>
      <w:r>
        <w:rPr>
          <w:color w:val="231F20"/>
          <w:w w:val="110"/>
        </w:rPr>
        <w:t>desarrollo</w:t>
      </w:r>
      <w:r>
        <w:rPr>
          <w:color w:val="231F20"/>
          <w:spacing w:val="-7"/>
          <w:w w:val="110"/>
        </w:rPr>
        <w:t> </w:t>
      </w:r>
      <w:r>
        <w:rPr>
          <w:color w:val="231F20"/>
          <w:w w:val="110"/>
        </w:rPr>
        <w:t>debe</w:t>
      </w:r>
      <w:r>
        <w:rPr>
          <w:color w:val="231F20"/>
          <w:spacing w:val="-7"/>
          <w:w w:val="110"/>
        </w:rPr>
        <w:t> </w:t>
      </w:r>
      <w:r>
        <w:rPr>
          <w:color w:val="231F20"/>
          <w:w w:val="110"/>
        </w:rPr>
        <w:t>consistir,</w:t>
      </w:r>
      <w:r>
        <w:rPr>
          <w:color w:val="231F20"/>
          <w:spacing w:val="-7"/>
          <w:w w:val="110"/>
        </w:rPr>
        <w:t> </w:t>
      </w:r>
      <w:r>
        <w:rPr>
          <w:color w:val="231F20"/>
          <w:w w:val="110"/>
        </w:rPr>
        <w:t>en</w:t>
      </w:r>
      <w:r>
        <w:rPr>
          <w:color w:val="231F20"/>
          <w:spacing w:val="-7"/>
          <w:w w:val="110"/>
        </w:rPr>
        <w:t> </w:t>
      </w:r>
      <w:r>
        <w:rPr>
          <w:color w:val="231F20"/>
          <w:w w:val="110"/>
        </w:rPr>
        <w:t>general,</w:t>
      </w:r>
      <w:r>
        <w:rPr>
          <w:color w:val="231F20"/>
          <w:spacing w:val="-7"/>
          <w:w w:val="110"/>
        </w:rPr>
        <w:t> </w:t>
      </w:r>
      <w:r>
        <w:rPr>
          <w:color w:val="231F20"/>
          <w:w w:val="110"/>
        </w:rPr>
        <w:t>en</w:t>
      </w:r>
      <w:r>
        <w:rPr>
          <w:color w:val="231F20"/>
          <w:spacing w:val="-7"/>
          <w:w w:val="110"/>
        </w:rPr>
        <w:t> </w:t>
      </w:r>
      <w:r>
        <w:rPr>
          <w:color w:val="231F20"/>
          <w:w w:val="110"/>
        </w:rPr>
        <w:t>programas que</w:t>
      </w:r>
      <w:r>
        <w:rPr>
          <w:color w:val="231F20"/>
          <w:spacing w:val="-7"/>
          <w:w w:val="110"/>
        </w:rPr>
        <w:t> </w:t>
      </w:r>
      <w:r>
        <w:rPr>
          <w:color w:val="231F20"/>
          <w:w w:val="110"/>
        </w:rPr>
        <w:t>faciliten</w:t>
      </w:r>
      <w:r>
        <w:rPr>
          <w:color w:val="231F20"/>
          <w:spacing w:val="-7"/>
          <w:w w:val="110"/>
        </w:rPr>
        <w:t> </w:t>
      </w:r>
      <w:r>
        <w:rPr>
          <w:color w:val="231F20"/>
          <w:w w:val="110"/>
        </w:rPr>
        <w:t>el</w:t>
      </w:r>
      <w:r>
        <w:rPr>
          <w:color w:val="231F20"/>
          <w:spacing w:val="-7"/>
          <w:w w:val="110"/>
        </w:rPr>
        <w:t> </w:t>
      </w:r>
      <w:r>
        <w:rPr>
          <w:color w:val="231F20"/>
          <w:w w:val="110"/>
        </w:rPr>
        <w:t>acceso</w:t>
      </w:r>
      <w:r>
        <w:rPr>
          <w:color w:val="231F20"/>
          <w:spacing w:val="-7"/>
          <w:w w:val="110"/>
        </w:rPr>
        <w:t> </w:t>
      </w:r>
      <w:r>
        <w:rPr>
          <w:color w:val="231F20"/>
          <w:w w:val="110"/>
        </w:rPr>
        <w:t>a</w:t>
      </w:r>
      <w:r>
        <w:rPr>
          <w:color w:val="231F20"/>
          <w:spacing w:val="-7"/>
          <w:w w:val="110"/>
        </w:rPr>
        <w:t> </w:t>
      </w:r>
      <w:r>
        <w:rPr>
          <w:color w:val="231F20"/>
          <w:w w:val="110"/>
        </w:rPr>
        <w:t>mercados</w:t>
      </w:r>
      <w:r>
        <w:rPr>
          <w:color w:val="231F20"/>
          <w:spacing w:val="-7"/>
          <w:w w:val="110"/>
        </w:rPr>
        <w:t> </w:t>
      </w:r>
      <w:r>
        <w:rPr>
          <w:color w:val="231F20"/>
          <w:w w:val="110"/>
        </w:rPr>
        <w:t>de</w:t>
      </w:r>
      <w:r>
        <w:rPr>
          <w:color w:val="231F20"/>
          <w:spacing w:val="-7"/>
          <w:w w:val="110"/>
        </w:rPr>
        <w:t> </w:t>
      </w:r>
      <w:r>
        <w:rPr>
          <w:color w:val="231F20"/>
          <w:w w:val="110"/>
        </w:rPr>
        <w:t>capital</w:t>
      </w:r>
      <w:r>
        <w:rPr>
          <w:color w:val="231F20"/>
          <w:spacing w:val="-7"/>
          <w:w w:val="110"/>
        </w:rPr>
        <w:t> </w:t>
      </w:r>
      <w:r>
        <w:rPr>
          <w:color w:val="231F20"/>
          <w:w w:val="110"/>
        </w:rPr>
        <w:t>privado,</w:t>
      </w:r>
      <w:r>
        <w:rPr>
          <w:color w:val="231F20"/>
          <w:spacing w:val="-7"/>
          <w:w w:val="110"/>
        </w:rPr>
        <w:t> </w:t>
      </w:r>
      <w:r>
        <w:rPr>
          <w:color w:val="231F20"/>
          <w:w w:val="110"/>
        </w:rPr>
        <w:t>inversión,</w:t>
      </w:r>
      <w:r>
        <w:rPr>
          <w:color w:val="231F20"/>
          <w:spacing w:val="-7"/>
          <w:w w:val="110"/>
        </w:rPr>
        <w:t> </w:t>
      </w:r>
      <w:r>
        <w:rPr>
          <w:color w:val="231F20"/>
          <w:w w:val="110"/>
        </w:rPr>
        <w:t>tras- paso de habilidades técnicas, de modo directo a través de garantías  o programas de reembolso por medio del gobierno estadunidense,   o indirectamente, a través de capital rescatable proporcionado a instituciones financieras internacionales” (faa; Sección 102: Política de Asistencia para el desarrollo). Es fundamental destacar el modo en que se asocia al desarrollo con el acceso al mercado. Para lograr esto,</w:t>
      </w:r>
      <w:r>
        <w:rPr>
          <w:color w:val="231F20"/>
          <w:spacing w:val="-8"/>
          <w:w w:val="110"/>
        </w:rPr>
        <w:t> </w:t>
      </w:r>
      <w:r>
        <w:rPr>
          <w:color w:val="231F20"/>
          <w:w w:val="110"/>
        </w:rPr>
        <w:t>el</w:t>
      </w:r>
      <w:r>
        <w:rPr>
          <w:color w:val="231F20"/>
          <w:spacing w:val="-8"/>
          <w:w w:val="110"/>
        </w:rPr>
        <w:t> </w:t>
      </w:r>
      <w:r>
        <w:rPr>
          <w:color w:val="231F20"/>
          <w:w w:val="110"/>
        </w:rPr>
        <w:t>papel</w:t>
      </w:r>
      <w:r>
        <w:rPr>
          <w:color w:val="231F20"/>
          <w:spacing w:val="-8"/>
          <w:w w:val="110"/>
        </w:rPr>
        <w:t> </w:t>
      </w:r>
      <w:r>
        <w:rPr>
          <w:color w:val="231F20"/>
          <w:w w:val="110"/>
        </w:rPr>
        <w:t>del</w:t>
      </w:r>
      <w:r>
        <w:rPr>
          <w:color w:val="231F20"/>
          <w:spacing w:val="-8"/>
          <w:w w:val="110"/>
        </w:rPr>
        <w:t> </w:t>
      </w:r>
      <w:r>
        <w:rPr>
          <w:color w:val="231F20"/>
          <w:w w:val="110"/>
        </w:rPr>
        <w:t>sector</w:t>
      </w:r>
      <w:r>
        <w:rPr>
          <w:color w:val="231F20"/>
          <w:spacing w:val="-8"/>
          <w:w w:val="110"/>
        </w:rPr>
        <w:t> </w:t>
      </w:r>
      <w:r>
        <w:rPr>
          <w:color w:val="231F20"/>
          <w:w w:val="110"/>
        </w:rPr>
        <w:t>privado</w:t>
      </w:r>
      <w:r>
        <w:rPr>
          <w:color w:val="231F20"/>
          <w:spacing w:val="-8"/>
          <w:w w:val="110"/>
        </w:rPr>
        <w:t> </w:t>
      </w:r>
      <w:r>
        <w:rPr>
          <w:color w:val="231F20"/>
          <w:w w:val="110"/>
        </w:rPr>
        <w:t>se</w:t>
      </w:r>
      <w:r>
        <w:rPr>
          <w:color w:val="231F20"/>
          <w:spacing w:val="-8"/>
          <w:w w:val="110"/>
        </w:rPr>
        <w:t> </w:t>
      </w:r>
      <w:r>
        <w:rPr>
          <w:color w:val="231F20"/>
          <w:w w:val="110"/>
        </w:rPr>
        <w:t>tornaba</w:t>
      </w:r>
      <w:r>
        <w:rPr>
          <w:color w:val="231F20"/>
          <w:spacing w:val="-8"/>
          <w:w w:val="110"/>
        </w:rPr>
        <w:t> </w:t>
      </w:r>
      <w:r>
        <w:rPr>
          <w:color w:val="231F20"/>
          <w:w w:val="110"/>
        </w:rPr>
        <w:t>fundamental,</w:t>
      </w:r>
      <w:r>
        <w:rPr>
          <w:color w:val="231F20"/>
          <w:spacing w:val="-8"/>
          <w:w w:val="110"/>
        </w:rPr>
        <w:t> </w:t>
      </w:r>
      <w:r>
        <w:rPr>
          <w:color w:val="231F20"/>
          <w:w w:val="110"/>
        </w:rPr>
        <w:t>en</w:t>
      </w:r>
      <w:r>
        <w:rPr>
          <w:color w:val="231F20"/>
          <w:spacing w:val="-8"/>
          <w:w w:val="110"/>
        </w:rPr>
        <w:t> </w:t>
      </w:r>
      <w:r>
        <w:rPr>
          <w:color w:val="231F20"/>
          <w:w w:val="110"/>
        </w:rPr>
        <w:t>tanto</w:t>
      </w:r>
      <w:r>
        <w:rPr>
          <w:color w:val="231F20"/>
          <w:spacing w:val="-8"/>
          <w:w w:val="110"/>
        </w:rPr>
        <w:t> </w:t>
      </w:r>
      <w:r>
        <w:rPr>
          <w:color w:val="231F20"/>
          <w:w w:val="110"/>
        </w:rPr>
        <w:t>que el mercado en sí mismo es una esfera que debe ser particularmente “explotada” por dicho sector: “La cooperación de Estados Unidos</w:t>
      </w:r>
      <w:r>
        <w:rPr>
          <w:color w:val="231F20"/>
          <w:spacing w:val="-7"/>
          <w:w w:val="110"/>
        </w:rPr>
        <w:t> </w:t>
      </w:r>
      <w:r>
        <w:rPr>
          <w:color w:val="231F20"/>
          <w:w w:val="110"/>
        </w:rPr>
        <w:t>al desarrollo debe ser llevada a cabo, al máximo nivel posible, por el sector privado, incluyendo las instituciones que ya tienen lazos con dichas áreas menos desarrolladas; debe alentarse a la inversión </w:t>
      </w:r>
      <w:r>
        <w:rPr>
          <w:color w:val="231F20"/>
          <w:spacing w:val="48"/>
          <w:w w:val="110"/>
        </w:rPr>
        <w:t> </w:t>
      </w:r>
      <w:r>
        <w:rPr>
          <w:color w:val="231F20"/>
          <w:w w:val="110"/>
        </w:rPr>
        <w:t>pri-</w:t>
      </w:r>
    </w:p>
    <w:p>
      <w:pPr>
        <w:pStyle w:val="BodyText"/>
      </w:pPr>
    </w:p>
    <w:p>
      <w:pPr>
        <w:pStyle w:val="BodyText"/>
        <w:spacing w:before="4"/>
        <w:rPr>
          <w:sz w:val="22"/>
        </w:rPr>
      </w:pPr>
      <w:r>
        <w:rPr/>
        <w:pict>
          <v:line style="position:absolute;mso-position-horizontal-relative:page;mso-position-vertical-relative:paragraph;z-index:9664;mso-wrap-distance-left:0;mso-wrap-distance-right:0" from="44pt,15.051218pt" to="104pt,15.051218pt" stroked="true" strokeweight=".5pt" strokecolor="#231f20">
            <w10:wrap type="topAndBottom"/>
          </v:line>
        </w:pict>
      </w:r>
    </w:p>
    <w:p>
      <w:pPr>
        <w:spacing w:line="261" w:lineRule="auto" w:before="16"/>
        <w:ind w:left="120" w:right="117" w:firstLine="0"/>
        <w:jc w:val="both"/>
        <w:rPr>
          <w:sz w:val="16"/>
        </w:rPr>
      </w:pPr>
      <w:r>
        <w:rPr>
          <w:color w:val="231F20"/>
          <w:w w:val="110"/>
          <w:sz w:val="16"/>
        </w:rPr>
        <w:t>Dos Santos (1972); Cardoso y Faletto (1973); Sunkel y Paz (1980); Caputo y Pizarro (1975); Furtado (1972); Gunder Frank (1970); Prado </w:t>
      </w:r>
      <w:r>
        <w:rPr>
          <w:color w:val="231F20"/>
          <w:spacing w:val="-5"/>
          <w:w w:val="110"/>
          <w:sz w:val="16"/>
        </w:rPr>
        <w:t>Jr. </w:t>
      </w:r>
      <w:r>
        <w:rPr>
          <w:color w:val="231F20"/>
          <w:w w:val="110"/>
          <w:sz w:val="16"/>
        </w:rPr>
        <w:t>(1957). Con respecto a las redes de </w:t>
      </w:r>
      <w:r>
        <w:rPr>
          <w:color w:val="231F20"/>
          <w:spacing w:val="-3"/>
          <w:w w:val="110"/>
          <w:sz w:val="16"/>
        </w:rPr>
        <w:t>poder, </w:t>
      </w:r>
      <w:r>
        <w:rPr>
          <w:color w:val="231F20"/>
          <w:w w:val="110"/>
          <w:sz w:val="16"/>
        </w:rPr>
        <w:t>nos centramos particularmente en Wright Mills (1978), Barnet</w:t>
      </w:r>
      <w:r>
        <w:rPr>
          <w:color w:val="231F20"/>
          <w:spacing w:val="-10"/>
          <w:w w:val="110"/>
          <w:sz w:val="16"/>
        </w:rPr>
        <w:t> </w:t>
      </w:r>
      <w:r>
        <w:rPr>
          <w:color w:val="231F20"/>
          <w:w w:val="110"/>
          <w:sz w:val="16"/>
        </w:rPr>
        <w:t>(1974) y Saxe Fernandez (2006). En lo relativo a la vinculación de las clases dominantes del centro</w:t>
      </w:r>
      <w:r>
        <w:rPr>
          <w:color w:val="231F20"/>
          <w:spacing w:val="-4"/>
          <w:w w:val="110"/>
          <w:sz w:val="16"/>
        </w:rPr>
        <w:t> </w:t>
      </w:r>
      <w:r>
        <w:rPr>
          <w:color w:val="231F20"/>
          <w:w w:val="110"/>
          <w:sz w:val="16"/>
        </w:rPr>
        <w:t>con</w:t>
      </w:r>
      <w:r>
        <w:rPr>
          <w:color w:val="231F20"/>
          <w:spacing w:val="-4"/>
          <w:w w:val="110"/>
          <w:sz w:val="16"/>
        </w:rPr>
        <w:t> </w:t>
      </w:r>
      <w:r>
        <w:rPr>
          <w:color w:val="231F20"/>
          <w:w w:val="110"/>
          <w:sz w:val="16"/>
        </w:rPr>
        <w:t>las</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periferia,</w:t>
      </w:r>
      <w:r>
        <w:rPr>
          <w:color w:val="231F20"/>
          <w:spacing w:val="-4"/>
          <w:w w:val="110"/>
          <w:sz w:val="16"/>
        </w:rPr>
        <w:t> </w:t>
      </w:r>
      <w:r>
        <w:rPr>
          <w:color w:val="231F20"/>
          <w:w w:val="110"/>
          <w:sz w:val="16"/>
        </w:rPr>
        <w:t>coincidimos</w:t>
      </w:r>
      <w:r>
        <w:rPr>
          <w:color w:val="231F20"/>
          <w:spacing w:val="-4"/>
          <w:w w:val="110"/>
          <w:sz w:val="16"/>
        </w:rPr>
        <w:t> </w:t>
      </w:r>
      <w:r>
        <w:rPr>
          <w:color w:val="231F20"/>
          <w:w w:val="110"/>
          <w:sz w:val="16"/>
        </w:rPr>
        <w:t>con</w:t>
      </w:r>
      <w:r>
        <w:rPr>
          <w:color w:val="231F20"/>
          <w:spacing w:val="-4"/>
          <w:w w:val="110"/>
          <w:sz w:val="16"/>
        </w:rPr>
        <w:t> </w:t>
      </w:r>
      <w:r>
        <w:rPr>
          <w:color w:val="231F20"/>
          <w:w w:val="110"/>
          <w:sz w:val="16"/>
        </w:rPr>
        <w:t>la</w:t>
      </w:r>
      <w:r>
        <w:rPr>
          <w:color w:val="231F20"/>
          <w:spacing w:val="-4"/>
          <w:w w:val="110"/>
          <w:sz w:val="16"/>
        </w:rPr>
        <w:t> </w:t>
      </w:r>
      <w:r>
        <w:rPr>
          <w:color w:val="231F20"/>
          <w:w w:val="110"/>
          <w:sz w:val="16"/>
        </w:rPr>
        <w:t>visión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Fernandes</w:t>
      </w:r>
      <w:r>
        <w:rPr>
          <w:color w:val="231F20"/>
          <w:spacing w:val="-4"/>
          <w:w w:val="110"/>
          <w:sz w:val="16"/>
        </w:rPr>
        <w:t> </w:t>
      </w:r>
      <w:r>
        <w:rPr>
          <w:color w:val="231F20"/>
          <w:w w:val="110"/>
          <w:sz w:val="16"/>
        </w:rPr>
        <w:t>(2008)</w:t>
      </w:r>
      <w:r>
        <w:rPr>
          <w:color w:val="231F20"/>
          <w:spacing w:val="-4"/>
          <w:w w:val="110"/>
          <w:sz w:val="16"/>
        </w:rPr>
        <w:t> </w:t>
      </w:r>
      <w:r>
        <w:rPr>
          <w:color w:val="231F20"/>
          <w:w w:val="110"/>
          <w:sz w:val="16"/>
        </w:rPr>
        <w:t>y</w:t>
      </w:r>
      <w:r>
        <w:rPr>
          <w:color w:val="231F20"/>
          <w:spacing w:val="-4"/>
          <w:w w:val="110"/>
          <w:sz w:val="16"/>
        </w:rPr>
        <w:t> </w:t>
      </w:r>
      <w:r>
        <w:rPr>
          <w:color w:val="231F20"/>
          <w:w w:val="110"/>
          <w:sz w:val="16"/>
        </w:rPr>
        <w:t>Sunkel (1975),</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ponen</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relieve</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“internacionalización”</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las</w:t>
      </w:r>
      <w:r>
        <w:rPr>
          <w:color w:val="231F20"/>
          <w:spacing w:val="-12"/>
          <w:w w:val="110"/>
          <w:sz w:val="16"/>
        </w:rPr>
        <w:t> </w:t>
      </w:r>
      <w:r>
        <w:rPr>
          <w:color w:val="231F20"/>
          <w:w w:val="110"/>
          <w:sz w:val="16"/>
        </w:rPr>
        <w:t>clases</w:t>
      </w:r>
      <w:r>
        <w:rPr>
          <w:color w:val="231F20"/>
          <w:spacing w:val="-12"/>
          <w:w w:val="110"/>
          <w:sz w:val="16"/>
        </w:rPr>
        <w:t> </w:t>
      </w:r>
      <w:r>
        <w:rPr>
          <w:color w:val="231F20"/>
          <w:w w:val="110"/>
          <w:sz w:val="16"/>
        </w:rPr>
        <w:t>dominantes</w:t>
      </w:r>
      <w:r>
        <w:rPr>
          <w:color w:val="231F20"/>
          <w:spacing w:val="-12"/>
          <w:w w:val="110"/>
          <w:sz w:val="16"/>
        </w:rPr>
        <w:t> </w:t>
      </w:r>
      <w:r>
        <w:rPr>
          <w:color w:val="231F20"/>
          <w:w w:val="110"/>
          <w:sz w:val="16"/>
        </w:rPr>
        <w:t>locales y su adecuación a los intereses de las clases dominantes de los países</w:t>
      </w:r>
      <w:r>
        <w:rPr>
          <w:color w:val="231F20"/>
          <w:spacing w:val="6"/>
          <w:w w:val="110"/>
          <w:sz w:val="16"/>
        </w:rPr>
        <w:t> </w:t>
      </w:r>
      <w:r>
        <w:rPr>
          <w:color w:val="231F20"/>
          <w:w w:val="110"/>
          <w:sz w:val="16"/>
        </w:rPr>
        <w:t>centrales.</w:t>
      </w:r>
    </w:p>
    <w:p>
      <w:pPr>
        <w:spacing w:after="0" w:line="261" w:lineRule="auto"/>
        <w:jc w:val="both"/>
        <w:rPr>
          <w:sz w:val="16"/>
        </w:rPr>
        <w:sectPr>
          <w:headerReference w:type="even" r:id="rId309"/>
          <w:headerReference w:type="default" r:id="rId310"/>
          <w:pgSz w:w="7640" w:h="11900"/>
          <w:pgMar w:header="672" w:footer="0" w:top="860" w:bottom="280" w:left="760" w:right="640"/>
        </w:sectPr>
      </w:pPr>
    </w:p>
    <w:p>
      <w:pPr>
        <w:pStyle w:val="BodyText"/>
        <w:spacing w:before="8"/>
        <w:rPr>
          <w:sz w:val="8"/>
        </w:rPr>
      </w:pPr>
    </w:p>
    <w:p>
      <w:pPr>
        <w:pStyle w:val="BodyText"/>
        <w:spacing w:line="261" w:lineRule="auto" w:before="67"/>
        <w:ind w:left="100" w:right="25"/>
      </w:pPr>
      <w:r>
        <w:rPr>
          <w:color w:val="231F20"/>
          <w:w w:val="110"/>
        </w:rPr>
        <w:t>vada a comprometerse en aquellos programas de desarrollo social y económico avalados por los Estados Unidos” (faa, sección 101, 8).</w:t>
      </w:r>
    </w:p>
    <w:p>
      <w:pPr>
        <w:pStyle w:val="BodyText"/>
        <w:spacing w:line="261" w:lineRule="auto"/>
        <w:ind w:left="100" w:right="114" w:firstLine="240"/>
        <w:jc w:val="both"/>
      </w:pPr>
      <w:r>
        <w:rPr>
          <w:color w:val="231F20"/>
          <w:w w:val="110"/>
        </w:rPr>
        <w:t>Pero el capital privado requería (y requiere) de algunos requisi- tos previos para instalarse en otros países, entre los cuales resultaba sustancial</w:t>
      </w:r>
      <w:r>
        <w:rPr>
          <w:color w:val="231F20"/>
          <w:spacing w:val="-9"/>
          <w:w w:val="110"/>
        </w:rPr>
        <w:t> </w:t>
      </w:r>
      <w:r>
        <w:rPr>
          <w:color w:val="231F20"/>
          <w:w w:val="110"/>
        </w:rPr>
        <w:t>el</w:t>
      </w:r>
      <w:r>
        <w:rPr>
          <w:color w:val="231F20"/>
          <w:spacing w:val="-9"/>
          <w:w w:val="110"/>
        </w:rPr>
        <w:t> </w:t>
      </w:r>
      <w:r>
        <w:rPr>
          <w:color w:val="231F20"/>
          <w:w w:val="110"/>
        </w:rPr>
        <w:t>asesoramiento</w:t>
      </w:r>
      <w:r>
        <w:rPr>
          <w:color w:val="231F20"/>
          <w:spacing w:val="-9"/>
          <w:w w:val="110"/>
        </w:rPr>
        <w:t> </w:t>
      </w:r>
      <w:r>
        <w:rPr>
          <w:color w:val="231F20"/>
          <w:w w:val="110"/>
        </w:rPr>
        <w:t>técnico</w:t>
      </w:r>
      <w:r>
        <w:rPr>
          <w:color w:val="231F20"/>
          <w:spacing w:val="-9"/>
          <w:w w:val="110"/>
        </w:rPr>
        <w:t> </w:t>
      </w:r>
      <w:r>
        <w:rPr>
          <w:color w:val="231F20"/>
          <w:w w:val="110"/>
        </w:rPr>
        <w:t>para</w:t>
      </w:r>
      <w:r>
        <w:rPr>
          <w:color w:val="231F20"/>
          <w:spacing w:val="-9"/>
          <w:w w:val="110"/>
        </w:rPr>
        <w:t> </w:t>
      </w:r>
      <w:r>
        <w:rPr>
          <w:color w:val="231F20"/>
          <w:w w:val="110"/>
        </w:rPr>
        <w:t>generar</w:t>
      </w:r>
      <w:r>
        <w:rPr>
          <w:color w:val="231F20"/>
          <w:spacing w:val="-9"/>
          <w:w w:val="110"/>
        </w:rPr>
        <w:t> </w:t>
      </w:r>
      <w:r>
        <w:rPr>
          <w:color w:val="231F20"/>
          <w:w w:val="110"/>
        </w:rPr>
        <w:t>las</w:t>
      </w:r>
      <w:r>
        <w:rPr>
          <w:color w:val="231F20"/>
          <w:spacing w:val="-9"/>
          <w:w w:val="110"/>
        </w:rPr>
        <w:t> </w:t>
      </w:r>
      <w:r>
        <w:rPr>
          <w:color w:val="231F20"/>
          <w:w w:val="110"/>
        </w:rPr>
        <w:t>condiciones</w:t>
      </w:r>
      <w:r>
        <w:rPr>
          <w:color w:val="231F20"/>
          <w:spacing w:val="-9"/>
          <w:w w:val="110"/>
        </w:rPr>
        <w:t> </w:t>
      </w:r>
      <w:r>
        <w:rPr>
          <w:color w:val="231F20"/>
          <w:w w:val="110"/>
        </w:rPr>
        <w:t>eco- nómicas y políticas adecuadas: “El secretario del </w:t>
      </w:r>
      <w:r>
        <w:rPr>
          <w:color w:val="231F20"/>
          <w:spacing w:val="-3"/>
          <w:w w:val="110"/>
        </w:rPr>
        <w:t>Tesoro, </w:t>
      </w:r>
      <w:r>
        <w:rPr>
          <w:color w:val="231F20"/>
          <w:w w:val="110"/>
        </w:rPr>
        <w:t>después</w:t>
      </w:r>
      <w:r>
        <w:rPr>
          <w:color w:val="231F20"/>
          <w:spacing w:val="-13"/>
          <w:w w:val="110"/>
        </w:rPr>
        <w:t> </w:t>
      </w:r>
      <w:r>
        <w:rPr>
          <w:color w:val="231F20"/>
          <w:w w:val="110"/>
        </w:rPr>
        <w:t>de consultar con el secretario de Estado y el administrador de la aid, se halla autorizado para establecer un programa para proveer</w:t>
      </w:r>
      <w:r>
        <w:rPr>
          <w:color w:val="231F20"/>
          <w:spacing w:val="-23"/>
          <w:w w:val="110"/>
        </w:rPr>
        <w:t> </w:t>
      </w:r>
      <w:r>
        <w:rPr>
          <w:color w:val="231F20"/>
          <w:w w:val="110"/>
        </w:rPr>
        <w:t>asistencia técnica</w:t>
      </w:r>
      <w:r>
        <w:rPr>
          <w:color w:val="231F20"/>
          <w:spacing w:val="-11"/>
          <w:w w:val="110"/>
        </w:rPr>
        <w:t> </w:t>
      </w:r>
      <w:r>
        <w:rPr>
          <w:color w:val="231F20"/>
          <w:w w:val="110"/>
        </w:rPr>
        <w:t>a</w:t>
      </w:r>
      <w:r>
        <w:rPr>
          <w:color w:val="231F20"/>
          <w:spacing w:val="-11"/>
          <w:w w:val="110"/>
        </w:rPr>
        <w:t> </w:t>
      </w:r>
      <w:r>
        <w:rPr>
          <w:color w:val="231F20"/>
          <w:w w:val="110"/>
        </w:rPr>
        <w:t>gobiernos</w:t>
      </w:r>
      <w:r>
        <w:rPr>
          <w:color w:val="231F20"/>
          <w:spacing w:val="-11"/>
          <w:w w:val="110"/>
        </w:rPr>
        <w:t> </w:t>
      </w:r>
      <w:r>
        <w:rPr>
          <w:color w:val="231F20"/>
          <w:w w:val="110"/>
        </w:rPr>
        <w:t>extranjeros</w:t>
      </w:r>
      <w:r>
        <w:rPr>
          <w:color w:val="231F20"/>
          <w:spacing w:val="-11"/>
          <w:w w:val="110"/>
        </w:rPr>
        <w:t> </w:t>
      </w:r>
      <w:r>
        <w:rPr>
          <w:color w:val="231F20"/>
          <w:w w:val="110"/>
        </w:rPr>
        <w:t>y</w:t>
      </w:r>
      <w:r>
        <w:rPr>
          <w:color w:val="231F20"/>
          <w:spacing w:val="-11"/>
          <w:w w:val="110"/>
        </w:rPr>
        <w:t> </w:t>
      </w:r>
      <w:r>
        <w:rPr>
          <w:color w:val="231F20"/>
          <w:w w:val="110"/>
        </w:rPr>
        <w:t>bancos</w:t>
      </w:r>
      <w:r>
        <w:rPr>
          <w:color w:val="231F20"/>
          <w:spacing w:val="-11"/>
          <w:w w:val="110"/>
        </w:rPr>
        <w:t> </w:t>
      </w:r>
      <w:r>
        <w:rPr>
          <w:color w:val="231F20"/>
          <w:w w:val="110"/>
        </w:rPr>
        <w:t>centrales</w:t>
      </w:r>
      <w:r>
        <w:rPr>
          <w:color w:val="231F20"/>
          <w:spacing w:val="-11"/>
          <w:w w:val="110"/>
        </w:rPr>
        <w:t> </w:t>
      </w:r>
      <w:r>
        <w:rPr>
          <w:color w:val="231F20"/>
          <w:w w:val="110"/>
        </w:rPr>
        <w:t>extranjeros</w:t>
      </w:r>
      <w:r>
        <w:rPr>
          <w:color w:val="231F20"/>
          <w:spacing w:val="-11"/>
          <w:w w:val="110"/>
        </w:rPr>
        <w:t> </w:t>
      </w:r>
      <w:r>
        <w:rPr>
          <w:color w:val="231F20"/>
          <w:w w:val="110"/>
        </w:rPr>
        <w:t>de</w:t>
      </w:r>
      <w:r>
        <w:rPr>
          <w:color w:val="231F20"/>
          <w:spacing w:val="-11"/>
          <w:w w:val="110"/>
        </w:rPr>
        <w:t> </w:t>
      </w:r>
      <w:r>
        <w:rPr>
          <w:color w:val="231F20"/>
          <w:w w:val="110"/>
        </w:rPr>
        <w:t>paí- ses en desarrollo o en transición […] proveyendo de consejeros con la experiencia apropiada para avanzar en la promulgación de leyes</w:t>
      </w:r>
      <w:r>
        <w:rPr>
          <w:color w:val="231F20"/>
          <w:spacing w:val="-14"/>
          <w:w w:val="110"/>
        </w:rPr>
        <w:t> </w:t>
      </w:r>
      <w:r>
        <w:rPr>
          <w:color w:val="231F20"/>
          <w:w w:val="110"/>
        </w:rPr>
        <w:t>y en</w:t>
      </w:r>
      <w:r>
        <w:rPr>
          <w:color w:val="231F20"/>
          <w:spacing w:val="-7"/>
          <w:w w:val="110"/>
        </w:rPr>
        <w:t> </w:t>
      </w:r>
      <w:r>
        <w:rPr>
          <w:color w:val="231F20"/>
          <w:w w:val="110"/>
        </w:rPr>
        <w:t>el</w:t>
      </w:r>
      <w:r>
        <w:rPr>
          <w:color w:val="231F20"/>
          <w:spacing w:val="-7"/>
          <w:w w:val="110"/>
        </w:rPr>
        <w:t> </w:t>
      </w:r>
      <w:r>
        <w:rPr>
          <w:color w:val="231F20"/>
          <w:w w:val="110"/>
        </w:rPr>
        <w:t>establecimiento</w:t>
      </w:r>
      <w:r>
        <w:rPr>
          <w:color w:val="231F20"/>
          <w:spacing w:val="-7"/>
          <w:w w:val="110"/>
        </w:rPr>
        <w:t> </w:t>
      </w:r>
      <w:r>
        <w:rPr>
          <w:color w:val="231F20"/>
          <w:w w:val="110"/>
        </w:rPr>
        <w:t>de</w:t>
      </w:r>
      <w:r>
        <w:rPr>
          <w:color w:val="231F20"/>
          <w:spacing w:val="-7"/>
          <w:w w:val="110"/>
        </w:rPr>
        <w:t> </w:t>
      </w:r>
      <w:r>
        <w:rPr>
          <w:color w:val="231F20"/>
          <w:w w:val="110"/>
        </w:rPr>
        <w:t>procedimientos</w:t>
      </w:r>
      <w:r>
        <w:rPr>
          <w:color w:val="231F20"/>
          <w:spacing w:val="-7"/>
          <w:w w:val="110"/>
        </w:rPr>
        <w:t> </w:t>
      </w:r>
      <w:r>
        <w:rPr>
          <w:color w:val="231F20"/>
          <w:w w:val="110"/>
        </w:rPr>
        <w:t>administrativos</w:t>
      </w:r>
      <w:r>
        <w:rPr>
          <w:color w:val="231F20"/>
          <w:spacing w:val="-7"/>
          <w:w w:val="110"/>
        </w:rPr>
        <w:t> </w:t>
      </w:r>
      <w:r>
        <w:rPr>
          <w:color w:val="231F20"/>
          <w:w w:val="110"/>
        </w:rPr>
        <w:t>e</w:t>
      </w:r>
      <w:r>
        <w:rPr>
          <w:color w:val="231F20"/>
          <w:spacing w:val="-7"/>
          <w:w w:val="110"/>
        </w:rPr>
        <w:t> </w:t>
      </w:r>
      <w:r>
        <w:rPr>
          <w:color w:val="231F20"/>
          <w:w w:val="110"/>
        </w:rPr>
        <w:t>institucio- nes en dichos países a fin de promover estabilidad macroeconómica y fiscal, </w:t>
      </w:r>
      <w:r>
        <w:rPr>
          <w:color w:val="231F20"/>
          <w:spacing w:val="2"/>
          <w:w w:val="110"/>
        </w:rPr>
        <w:t>asignación eficiente </w:t>
      </w:r>
      <w:r>
        <w:rPr>
          <w:color w:val="231F20"/>
          <w:w w:val="110"/>
        </w:rPr>
        <w:t>de </w:t>
      </w:r>
      <w:r>
        <w:rPr>
          <w:color w:val="231F20"/>
          <w:spacing w:val="2"/>
          <w:w w:val="110"/>
        </w:rPr>
        <w:t>recursos, procesos </w:t>
      </w:r>
      <w:r>
        <w:rPr>
          <w:color w:val="231F20"/>
          <w:spacing w:val="3"/>
          <w:w w:val="110"/>
        </w:rPr>
        <w:t>transparentes </w:t>
      </w:r>
      <w:r>
        <w:rPr>
          <w:color w:val="231F20"/>
          <w:w w:val="110"/>
        </w:rPr>
        <w:t>orientados al mercado y un crecimiento sostenible del sector pri- vado” (faa, Sección 129, 1). Aquí se pone de relieve que para que  un país fuera acreedor de la asistencia estadunidense debía reunir condiciones</w:t>
      </w:r>
      <w:r>
        <w:rPr>
          <w:color w:val="231F20"/>
          <w:spacing w:val="-29"/>
          <w:w w:val="110"/>
        </w:rPr>
        <w:t> </w:t>
      </w:r>
      <w:r>
        <w:rPr>
          <w:color w:val="231F20"/>
          <w:w w:val="110"/>
        </w:rPr>
        <w:t>especiales,</w:t>
      </w:r>
      <w:r>
        <w:rPr>
          <w:color w:val="231F20"/>
          <w:spacing w:val="-29"/>
          <w:w w:val="110"/>
        </w:rPr>
        <w:t> </w:t>
      </w:r>
      <w:r>
        <w:rPr>
          <w:color w:val="231F20"/>
          <w:w w:val="110"/>
        </w:rPr>
        <w:t>destacándose</w:t>
      </w:r>
      <w:r>
        <w:rPr>
          <w:color w:val="231F20"/>
          <w:spacing w:val="-29"/>
          <w:w w:val="110"/>
        </w:rPr>
        <w:t> </w:t>
      </w:r>
      <w:r>
        <w:rPr>
          <w:color w:val="231F20"/>
          <w:w w:val="110"/>
        </w:rPr>
        <w:t>la</w:t>
      </w:r>
      <w:r>
        <w:rPr>
          <w:color w:val="231F20"/>
          <w:spacing w:val="-29"/>
          <w:w w:val="110"/>
        </w:rPr>
        <w:t> </w:t>
      </w:r>
      <w:r>
        <w:rPr>
          <w:color w:val="231F20"/>
          <w:w w:val="110"/>
        </w:rPr>
        <w:t>“estabilidad</w:t>
      </w:r>
      <w:r>
        <w:rPr>
          <w:color w:val="231F20"/>
          <w:spacing w:val="-29"/>
          <w:w w:val="110"/>
        </w:rPr>
        <w:t> </w:t>
      </w:r>
      <w:r>
        <w:rPr>
          <w:color w:val="231F20"/>
          <w:w w:val="110"/>
        </w:rPr>
        <w:t>macroeconómica y</w:t>
      </w:r>
      <w:r>
        <w:rPr>
          <w:color w:val="231F20"/>
          <w:spacing w:val="-7"/>
          <w:w w:val="110"/>
        </w:rPr>
        <w:t> </w:t>
      </w:r>
      <w:r>
        <w:rPr>
          <w:color w:val="231F20"/>
          <w:w w:val="110"/>
        </w:rPr>
        <w:t>fiscal”,</w:t>
      </w:r>
      <w:r>
        <w:rPr>
          <w:color w:val="231F20"/>
          <w:spacing w:val="-7"/>
          <w:w w:val="110"/>
        </w:rPr>
        <w:t> </w:t>
      </w:r>
      <w:r>
        <w:rPr>
          <w:color w:val="231F20"/>
          <w:w w:val="110"/>
        </w:rPr>
        <w:t>frase</w:t>
      </w:r>
      <w:r>
        <w:rPr>
          <w:color w:val="231F20"/>
          <w:spacing w:val="-7"/>
          <w:w w:val="110"/>
        </w:rPr>
        <w:t> </w:t>
      </w:r>
      <w:r>
        <w:rPr>
          <w:color w:val="231F20"/>
          <w:w w:val="110"/>
        </w:rPr>
        <w:t>que</w:t>
      </w:r>
      <w:r>
        <w:rPr>
          <w:color w:val="231F20"/>
          <w:spacing w:val="-7"/>
          <w:w w:val="110"/>
        </w:rPr>
        <w:t> </w:t>
      </w:r>
      <w:r>
        <w:rPr>
          <w:color w:val="231F20"/>
          <w:w w:val="110"/>
        </w:rPr>
        <w:t>fue</w:t>
      </w:r>
      <w:r>
        <w:rPr>
          <w:color w:val="231F20"/>
          <w:spacing w:val="-7"/>
          <w:w w:val="110"/>
        </w:rPr>
        <w:t> </w:t>
      </w:r>
      <w:r>
        <w:rPr>
          <w:color w:val="231F20"/>
          <w:w w:val="110"/>
        </w:rPr>
        <w:t>popularizada</w:t>
      </w:r>
      <w:r>
        <w:rPr>
          <w:color w:val="231F20"/>
          <w:spacing w:val="-7"/>
          <w:w w:val="110"/>
        </w:rPr>
        <w:t> </w:t>
      </w:r>
      <w:r>
        <w:rPr>
          <w:color w:val="231F20"/>
          <w:w w:val="110"/>
        </w:rPr>
        <w:t>mediante</w:t>
      </w:r>
      <w:r>
        <w:rPr>
          <w:color w:val="231F20"/>
          <w:spacing w:val="-7"/>
          <w:w w:val="110"/>
        </w:rPr>
        <w:t> </w:t>
      </w:r>
      <w:r>
        <w:rPr>
          <w:color w:val="231F20"/>
          <w:w w:val="110"/>
        </w:rPr>
        <w:t>las</w:t>
      </w:r>
      <w:r>
        <w:rPr>
          <w:color w:val="231F20"/>
          <w:spacing w:val="-7"/>
          <w:w w:val="110"/>
        </w:rPr>
        <w:t> </w:t>
      </w:r>
      <w:r>
        <w:rPr>
          <w:color w:val="231F20"/>
          <w:w w:val="110"/>
        </w:rPr>
        <w:t>políticas</w:t>
      </w:r>
      <w:r>
        <w:rPr>
          <w:color w:val="231F20"/>
          <w:spacing w:val="-7"/>
          <w:w w:val="110"/>
        </w:rPr>
        <w:t> </w:t>
      </w:r>
      <w:r>
        <w:rPr>
          <w:color w:val="231F20"/>
          <w:w w:val="110"/>
        </w:rPr>
        <w:t>de</w:t>
      </w:r>
      <w:r>
        <w:rPr>
          <w:color w:val="231F20"/>
          <w:spacing w:val="-7"/>
          <w:w w:val="110"/>
        </w:rPr>
        <w:t> </w:t>
      </w:r>
      <w:r>
        <w:rPr>
          <w:color w:val="231F20"/>
          <w:w w:val="110"/>
        </w:rPr>
        <w:t>“ajuste estructural”</w:t>
      </w:r>
      <w:r>
        <w:rPr>
          <w:color w:val="231F20"/>
          <w:spacing w:val="-7"/>
          <w:w w:val="110"/>
        </w:rPr>
        <w:t> </w:t>
      </w:r>
      <w:r>
        <w:rPr>
          <w:color w:val="231F20"/>
          <w:w w:val="110"/>
        </w:rPr>
        <w:t>promovidas</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Banco</w:t>
      </w:r>
      <w:r>
        <w:rPr>
          <w:color w:val="231F20"/>
          <w:spacing w:val="-7"/>
          <w:w w:val="110"/>
        </w:rPr>
        <w:t> </w:t>
      </w:r>
      <w:r>
        <w:rPr>
          <w:color w:val="231F20"/>
          <w:w w:val="110"/>
        </w:rPr>
        <w:t>Mundial</w:t>
      </w:r>
      <w:r>
        <w:rPr>
          <w:color w:val="231F20"/>
          <w:spacing w:val="-7"/>
          <w:w w:val="110"/>
        </w:rPr>
        <w:t> </w:t>
      </w:r>
      <w:r>
        <w:rPr>
          <w:color w:val="231F20"/>
          <w:w w:val="110"/>
        </w:rPr>
        <w:t>en</w:t>
      </w:r>
      <w:r>
        <w:rPr>
          <w:color w:val="231F20"/>
          <w:spacing w:val="-7"/>
          <w:w w:val="11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en los años ochenta y</w:t>
      </w:r>
      <w:r>
        <w:rPr>
          <w:color w:val="231F20"/>
          <w:spacing w:val="10"/>
          <w:w w:val="110"/>
        </w:rPr>
        <w:t> </w:t>
      </w:r>
      <w:r>
        <w:rPr>
          <w:color w:val="231F20"/>
          <w:w w:val="110"/>
        </w:rPr>
        <w:t>noventa.</w:t>
      </w:r>
    </w:p>
    <w:p>
      <w:pPr>
        <w:pStyle w:val="BodyText"/>
        <w:spacing w:line="261" w:lineRule="auto"/>
        <w:ind w:left="100" w:right="117" w:firstLine="240"/>
        <w:jc w:val="both"/>
        <w:rPr>
          <w:sz w:val="13"/>
        </w:rPr>
      </w:pPr>
      <w:r>
        <w:rPr>
          <w:color w:val="231F20"/>
          <w:w w:val="105"/>
        </w:rPr>
        <w:t>La ley entró en vigencia al tiempo en que se postuló la Alianza    para el Progreso como una “nueva” forma de relaciones entre Estados Unidos y América Latina. En un comunicado oficial, J. </w:t>
      </w:r>
      <w:r>
        <w:rPr>
          <w:color w:val="231F20"/>
          <w:spacing w:val="-9"/>
          <w:w w:val="105"/>
        </w:rPr>
        <w:t>F. </w:t>
      </w:r>
      <w:r>
        <w:rPr>
          <w:color w:val="231F20"/>
          <w:w w:val="105"/>
        </w:rPr>
        <w:t>Kennedy declaraba: “Convoqué a toda la gente del hemisferio a unirse en una nueva Alianza para el Progreso, un vasto esfuerzo de cooperación,    sin paralelo en magnitud ni en nobleza de propósito, para satisfacer   las necesidades básicas del pueblo americano en lo que respecta a hogares, trabajo y tierra, salud y escuela” (United States, Department of</w:t>
      </w:r>
      <w:r>
        <w:rPr>
          <w:color w:val="231F20"/>
          <w:spacing w:val="-19"/>
          <w:w w:val="105"/>
        </w:rPr>
        <w:t> </w:t>
      </w:r>
      <w:r>
        <w:rPr>
          <w:color w:val="231F20"/>
          <w:w w:val="105"/>
        </w:rPr>
        <w:t>State,</w:t>
      </w:r>
      <w:r>
        <w:rPr>
          <w:color w:val="231F20"/>
          <w:spacing w:val="-19"/>
          <w:w w:val="105"/>
        </w:rPr>
        <w:t> </w:t>
      </w:r>
      <w:r>
        <w:rPr>
          <w:color w:val="231F20"/>
          <w:w w:val="105"/>
        </w:rPr>
        <w:t>Kennedy</w:t>
      </w:r>
      <w:r>
        <w:rPr>
          <w:color w:val="231F20"/>
          <w:spacing w:val="-19"/>
          <w:w w:val="105"/>
        </w:rPr>
        <w:t> </w:t>
      </w:r>
      <w:r>
        <w:rPr>
          <w:color w:val="231F20"/>
          <w:w w:val="105"/>
        </w:rPr>
        <w:t>Administration,</w:t>
      </w:r>
      <w:r>
        <w:rPr>
          <w:color w:val="231F20"/>
          <w:spacing w:val="-19"/>
          <w:w w:val="105"/>
        </w:rPr>
        <w:t> </w:t>
      </w:r>
      <w:r>
        <w:rPr>
          <w:i/>
          <w:color w:val="231F20"/>
          <w:w w:val="105"/>
        </w:rPr>
        <w:t>Address</w:t>
      </w:r>
      <w:r>
        <w:rPr>
          <w:i/>
          <w:color w:val="231F20"/>
          <w:spacing w:val="-19"/>
          <w:w w:val="105"/>
        </w:rPr>
        <w:t> </w:t>
      </w:r>
      <w:r>
        <w:rPr>
          <w:i/>
          <w:color w:val="231F20"/>
          <w:w w:val="105"/>
        </w:rPr>
        <w:t>at</w:t>
      </w:r>
      <w:r>
        <w:rPr>
          <w:i/>
          <w:color w:val="231F20"/>
          <w:spacing w:val="-19"/>
          <w:w w:val="105"/>
        </w:rPr>
        <w:t> </w:t>
      </w:r>
      <w:r>
        <w:rPr>
          <w:i/>
          <w:color w:val="231F20"/>
          <w:w w:val="105"/>
        </w:rPr>
        <w:t>the</w:t>
      </w:r>
      <w:r>
        <w:rPr>
          <w:i/>
          <w:color w:val="231F20"/>
          <w:spacing w:val="-19"/>
          <w:w w:val="105"/>
        </w:rPr>
        <w:t> </w:t>
      </w:r>
      <w:r>
        <w:rPr>
          <w:i/>
          <w:color w:val="231F20"/>
          <w:w w:val="105"/>
        </w:rPr>
        <w:t>White</w:t>
      </w:r>
      <w:r>
        <w:rPr>
          <w:i/>
          <w:color w:val="231F20"/>
          <w:spacing w:val="-19"/>
          <w:w w:val="105"/>
        </w:rPr>
        <w:t> </w:t>
      </w:r>
      <w:r>
        <w:rPr>
          <w:i/>
          <w:color w:val="231F20"/>
          <w:w w:val="105"/>
        </w:rPr>
        <w:t>House</w:t>
      </w:r>
      <w:r>
        <w:rPr>
          <w:i/>
          <w:color w:val="231F20"/>
          <w:spacing w:val="-19"/>
          <w:w w:val="105"/>
        </w:rPr>
        <w:t> </w:t>
      </w:r>
      <w:r>
        <w:rPr>
          <w:i/>
          <w:color w:val="231F20"/>
          <w:w w:val="105"/>
        </w:rPr>
        <w:t>Reception </w:t>
      </w:r>
      <w:r>
        <w:rPr>
          <w:i/>
          <w:color w:val="231F20"/>
        </w:rPr>
        <w:t>for</w:t>
      </w:r>
      <w:r>
        <w:rPr>
          <w:i/>
          <w:color w:val="231F20"/>
          <w:spacing w:val="-22"/>
        </w:rPr>
        <w:t> </w:t>
      </w:r>
      <w:r>
        <w:rPr>
          <w:i/>
          <w:color w:val="231F20"/>
        </w:rPr>
        <w:t>Members</w:t>
      </w:r>
      <w:r>
        <w:rPr>
          <w:i/>
          <w:color w:val="231F20"/>
          <w:spacing w:val="-22"/>
        </w:rPr>
        <w:t> </w:t>
      </w:r>
      <w:r>
        <w:rPr>
          <w:i/>
          <w:color w:val="231F20"/>
        </w:rPr>
        <w:t>of</w:t>
      </w:r>
      <w:r>
        <w:rPr>
          <w:i/>
          <w:color w:val="231F20"/>
          <w:spacing w:val="-22"/>
        </w:rPr>
        <w:t> </w:t>
      </w:r>
      <w:r>
        <w:rPr>
          <w:i/>
          <w:color w:val="231F20"/>
        </w:rPr>
        <w:t>Congress</w:t>
      </w:r>
      <w:r>
        <w:rPr>
          <w:i/>
          <w:color w:val="231F20"/>
          <w:spacing w:val="-22"/>
        </w:rPr>
        <w:t> </w:t>
      </w:r>
      <w:r>
        <w:rPr>
          <w:i/>
          <w:color w:val="231F20"/>
        </w:rPr>
        <w:t>and</w:t>
      </w:r>
      <w:r>
        <w:rPr>
          <w:i/>
          <w:color w:val="231F20"/>
          <w:spacing w:val="-22"/>
        </w:rPr>
        <w:t> </w:t>
      </w:r>
      <w:r>
        <w:rPr>
          <w:i/>
          <w:color w:val="231F20"/>
        </w:rPr>
        <w:t>for</w:t>
      </w:r>
      <w:r>
        <w:rPr>
          <w:i/>
          <w:color w:val="231F20"/>
          <w:spacing w:val="-22"/>
        </w:rPr>
        <w:t> </w:t>
      </w:r>
      <w:r>
        <w:rPr>
          <w:i/>
          <w:color w:val="231F20"/>
        </w:rPr>
        <w:t>the</w:t>
      </w:r>
      <w:r>
        <w:rPr>
          <w:i/>
          <w:color w:val="231F20"/>
          <w:spacing w:val="-22"/>
        </w:rPr>
        <w:t> </w:t>
      </w:r>
      <w:r>
        <w:rPr>
          <w:i/>
          <w:color w:val="231F20"/>
        </w:rPr>
        <w:t>Diplomatic</w:t>
      </w:r>
      <w:r>
        <w:rPr>
          <w:i/>
          <w:color w:val="231F20"/>
          <w:spacing w:val="-22"/>
        </w:rPr>
        <w:t> </w:t>
      </w:r>
      <w:r>
        <w:rPr>
          <w:i/>
          <w:color w:val="231F20"/>
        </w:rPr>
        <w:t>Corps</w:t>
      </w:r>
      <w:r>
        <w:rPr>
          <w:i/>
          <w:color w:val="231F20"/>
          <w:spacing w:val="-22"/>
        </w:rPr>
        <w:t> </w:t>
      </w:r>
      <w:r>
        <w:rPr>
          <w:i/>
          <w:color w:val="231F20"/>
        </w:rPr>
        <w:t>of</w:t>
      </w:r>
      <w:r>
        <w:rPr>
          <w:i/>
          <w:color w:val="231F20"/>
          <w:spacing w:val="-22"/>
        </w:rPr>
        <w:t> </w:t>
      </w:r>
      <w:r>
        <w:rPr>
          <w:i/>
          <w:color w:val="231F20"/>
        </w:rPr>
        <w:t>the</w:t>
      </w:r>
      <w:r>
        <w:rPr>
          <w:i/>
          <w:color w:val="231F20"/>
          <w:spacing w:val="-22"/>
        </w:rPr>
        <w:t> </w:t>
      </w:r>
      <w:r>
        <w:rPr>
          <w:i/>
          <w:color w:val="231F20"/>
        </w:rPr>
        <w:t>Latin</w:t>
      </w:r>
      <w:r>
        <w:rPr>
          <w:i/>
          <w:color w:val="231F20"/>
          <w:spacing w:val="-22"/>
        </w:rPr>
        <w:t> </w:t>
      </w:r>
      <w:r>
        <w:rPr>
          <w:i/>
          <w:color w:val="231F20"/>
        </w:rPr>
        <w:t>American </w:t>
      </w:r>
      <w:r>
        <w:rPr>
          <w:i/>
          <w:color w:val="231F20"/>
          <w:w w:val="105"/>
        </w:rPr>
        <w:t>Republics</w:t>
      </w:r>
      <w:r>
        <w:rPr>
          <w:color w:val="231F20"/>
          <w:w w:val="105"/>
        </w:rPr>
        <w:t>, marzo de</w:t>
      </w:r>
      <w:r>
        <w:rPr>
          <w:color w:val="231F20"/>
          <w:spacing w:val="-7"/>
          <w:w w:val="105"/>
        </w:rPr>
        <w:t> </w:t>
      </w:r>
      <w:r>
        <w:rPr>
          <w:color w:val="231F20"/>
          <w:w w:val="105"/>
        </w:rPr>
        <w:t>1961).</w:t>
      </w:r>
      <w:r>
        <w:rPr>
          <w:color w:val="231F20"/>
          <w:w w:val="105"/>
          <w:position w:val="6"/>
          <w:sz w:val="13"/>
        </w:rPr>
        <w:t>7</w:t>
      </w:r>
    </w:p>
    <w:p>
      <w:pPr>
        <w:pStyle w:val="BodyText"/>
        <w:spacing w:line="261" w:lineRule="auto"/>
        <w:ind w:left="100" w:right="117" w:firstLine="240"/>
        <w:jc w:val="both"/>
      </w:pPr>
      <w:r>
        <w:rPr>
          <w:color w:val="231F20"/>
          <w:w w:val="110"/>
        </w:rPr>
        <w:t>Sin embargo, el problema “real” percibido por los funcionarios del gobierno estadunidense (después del triunfo de la revolución  en</w:t>
      </w:r>
    </w:p>
    <w:p>
      <w:pPr>
        <w:pStyle w:val="BodyText"/>
      </w:pPr>
    </w:p>
    <w:p>
      <w:pPr>
        <w:pStyle w:val="BodyText"/>
        <w:spacing w:before="6"/>
        <w:rPr>
          <w:sz w:val="17"/>
        </w:rPr>
      </w:pPr>
    </w:p>
    <w:p>
      <w:pPr>
        <w:spacing w:line="261" w:lineRule="auto" w:before="0"/>
        <w:ind w:left="100" w:right="117" w:firstLine="240"/>
        <w:jc w:val="both"/>
        <w:rPr>
          <w:sz w:val="16"/>
        </w:rPr>
      </w:pPr>
      <w:r>
        <w:rPr>
          <w:color w:val="231F20"/>
          <w:w w:val="110"/>
          <w:position w:val="5"/>
          <w:sz w:val="10"/>
        </w:rPr>
        <w:t>7 </w:t>
      </w:r>
      <w:r>
        <w:rPr>
          <w:color w:val="231F20"/>
          <w:w w:val="110"/>
          <w:sz w:val="16"/>
        </w:rPr>
        <w:t>La Alianza para el Progreso fue lanzada de modo oficial en la reunión de Punta del</w:t>
      </w:r>
      <w:r>
        <w:rPr>
          <w:color w:val="231F20"/>
          <w:spacing w:val="-4"/>
          <w:w w:val="110"/>
          <w:sz w:val="16"/>
        </w:rPr>
        <w:t> </w:t>
      </w:r>
      <w:r>
        <w:rPr>
          <w:color w:val="231F20"/>
          <w:w w:val="110"/>
          <w:sz w:val="16"/>
        </w:rPr>
        <w:t>Este</w:t>
      </w:r>
      <w:r>
        <w:rPr>
          <w:color w:val="231F20"/>
          <w:spacing w:val="-4"/>
          <w:w w:val="110"/>
          <w:sz w:val="16"/>
        </w:rPr>
        <w:t> </w:t>
      </w:r>
      <w:r>
        <w:rPr>
          <w:color w:val="231F20"/>
          <w:w w:val="110"/>
          <w:sz w:val="16"/>
        </w:rPr>
        <w:t>del</w:t>
      </w:r>
      <w:r>
        <w:rPr>
          <w:color w:val="231F20"/>
          <w:spacing w:val="-4"/>
          <w:w w:val="110"/>
          <w:sz w:val="16"/>
        </w:rPr>
        <w:t> </w:t>
      </w:r>
      <w:r>
        <w:rPr>
          <w:color w:val="231F20"/>
          <w:w w:val="110"/>
          <w:sz w:val="16"/>
        </w:rPr>
        <w:t>Consejo</w:t>
      </w:r>
      <w:r>
        <w:rPr>
          <w:color w:val="231F20"/>
          <w:spacing w:val="-4"/>
          <w:w w:val="110"/>
          <w:sz w:val="16"/>
        </w:rPr>
        <w:t> </w:t>
      </w:r>
      <w:r>
        <w:rPr>
          <w:color w:val="231F20"/>
          <w:w w:val="110"/>
          <w:sz w:val="16"/>
        </w:rPr>
        <w:t>Interamericano</w:t>
      </w:r>
      <w:r>
        <w:rPr>
          <w:color w:val="231F20"/>
          <w:spacing w:val="-4"/>
          <w:w w:val="110"/>
          <w:sz w:val="16"/>
        </w:rPr>
        <w:t> </w:t>
      </w:r>
      <w:r>
        <w:rPr>
          <w:color w:val="231F20"/>
          <w:w w:val="110"/>
          <w:sz w:val="16"/>
        </w:rPr>
        <w:t>Económico</w:t>
      </w:r>
      <w:r>
        <w:rPr>
          <w:color w:val="231F20"/>
          <w:spacing w:val="-4"/>
          <w:w w:val="110"/>
          <w:sz w:val="16"/>
        </w:rPr>
        <w:t> </w:t>
      </w:r>
      <w:r>
        <w:rPr>
          <w:color w:val="231F20"/>
          <w:w w:val="110"/>
          <w:sz w:val="16"/>
        </w:rPr>
        <w:t>y</w:t>
      </w:r>
      <w:r>
        <w:rPr>
          <w:color w:val="231F20"/>
          <w:spacing w:val="-4"/>
          <w:w w:val="110"/>
          <w:sz w:val="16"/>
        </w:rPr>
        <w:t> </w:t>
      </w:r>
      <w:r>
        <w:rPr>
          <w:color w:val="231F20"/>
          <w:w w:val="110"/>
          <w:sz w:val="16"/>
        </w:rPr>
        <w:t>Social</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5"/>
          <w:w w:val="110"/>
          <w:sz w:val="16"/>
        </w:rPr>
        <w:t> </w:t>
      </w:r>
      <w:r>
        <w:rPr>
          <w:color w:val="231F20"/>
          <w:w w:val="110"/>
          <w:sz w:val="16"/>
        </w:rPr>
        <w:t>oea</w:t>
      </w:r>
      <w:r>
        <w:rPr>
          <w:color w:val="231F20"/>
          <w:spacing w:val="-4"/>
          <w:w w:val="110"/>
          <w:sz w:val="16"/>
        </w:rPr>
        <w:t> </w:t>
      </w:r>
      <w:r>
        <w:rPr>
          <w:color w:val="231F20"/>
          <w:w w:val="110"/>
          <w:sz w:val="16"/>
        </w:rPr>
        <w:t>en</w:t>
      </w:r>
      <w:r>
        <w:rPr>
          <w:color w:val="231F20"/>
          <w:spacing w:val="-4"/>
          <w:w w:val="110"/>
          <w:sz w:val="16"/>
        </w:rPr>
        <w:t> </w:t>
      </w:r>
      <w:r>
        <w:rPr>
          <w:color w:val="231F20"/>
          <w:w w:val="110"/>
          <w:sz w:val="16"/>
        </w:rPr>
        <w:t>agosto</w:t>
      </w:r>
      <w:r>
        <w:rPr>
          <w:color w:val="231F20"/>
          <w:spacing w:val="-4"/>
          <w:w w:val="110"/>
          <w:sz w:val="16"/>
        </w:rPr>
        <w:t> </w:t>
      </w:r>
      <w:r>
        <w:rPr>
          <w:color w:val="231F20"/>
          <w:w w:val="110"/>
          <w:sz w:val="16"/>
        </w:rPr>
        <w:t>de</w:t>
      </w:r>
      <w:r>
        <w:rPr>
          <w:color w:val="231F20"/>
          <w:spacing w:val="-4"/>
          <w:w w:val="110"/>
          <w:sz w:val="16"/>
        </w:rPr>
        <w:t> </w:t>
      </w:r>
      <w:r>
        <w:rPr>
          <w:color w:val="231F20"/>
          <w:w w:val="110"/>
          <w:sz w:val="16"/>
        </w:rPr>
        <w:t>1961, ocasión en el que fueron elaboradas la Carta de Puntal del Este y La declaración de los Pueblos de</w:t>
      </w:r>
      <w:r>
        <w:rPr>
          <w:color w:val="231F20"/>
          <w:spacing w:val="-19"/>
          <w:w w:val="110"/>
          <w:sz w:val="16"/>
        </w:rPr>
        <w:t> </w:t>
      </w:r>
      <w:r>
        <w:rPr>
          <w:color w:val="231F20"/>
          <w:w w:val="110"/>
          <w:sz w:val="16"/>
        </w:rPr>
        <w:t>América.</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Cuba) era la “inestabilidad” vinculada al subdesarrollo de las socie- dades de América Latina: “La necesidad acuciante en</w:t>
      </w:r>
      <w:r>
        <w:rPr>
          <w:color w:val="231F20"/>
          <w:spacing w:val="-35"/>
          <w:w w:val="110"/>
        </w:rPr>
        <w:t> </w:t>
      </w:r>
      <w:r>
        <w:rPr>
          <w:color w:val="231F20"/>
          <w:w w:val="110"/>
        </w:rPr>
        <w:t>Latinoamérica es promover la revolución de la clase media tan rápido como sea posible.</w:t>
      </w:r>
      <w:r>
        <w:rPr>
          <w:color w:val="231F20"/>
          <w:spacing w:val="-8"/>
          <w:w w:val="110"/>
        </w:rPr>
        <w:t> </w:t>
      </w:r>
      <w:r>
        <w:rPr>
          <w:color w:val="231F20"/>
          <w:w w:val="110"/>
        </w:rPr>
        <w:t>El</w:t>
      </w:r>
      <w:r>
        <w:rPr>
          <w:color w:val="231F20"/>
          <w:spacing w:val="-8"/>
          <w:w w:val="110"/>
        </w:rPr>
        <w:t> </w:t>
      </w:r>
      <w:r>
        <w:rPr>
          <w:color w:val="231F20"/>
          <w:w w:val="110"/>
        </w:rPr>
        <w:t>corolario</w:t>
      </w:r>
      <w:r>
        <w:rPr>
          <w:color w:val="231F20"/>
          <w:spacing w:val="-8"/>
          <w:w w:val="110"/>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si</w:t>
      </w:r>
      <w:r>
        <w:rPr>
          <w:color w:val="231F20"/>
          <w:spacing w:val="-8"/>
          <w:w w:val="110"/>
        </w:rPr>
        <w:t> </w:t>
      </w:r>
      <w:r>
        <w:rPr>
          <w:color w:val="231F20"/>
          <w:w w:val="110"/>
        </w:rPr>
        <w:t>las</w:t>
      </w:r>
      <w:r>
        <w:rPr>
          <w:color w:val="231F20"/>
          <w:spacing w:val="-8"/>
          <w:w w:val="110"/>
        </w:rPr>
        <w:t> </w:t>
      </w:r>
      <w:r>
        <w:rPr>
          <w:color w:val="231F20"/>
          <w:w w:val="110"/>
        </w:rPr>
        <w:t>clases</w:t>
      </w:r>
      <w:r>
        <w:rPr>
          <w:color w:val="231F20"/>
          <w:spacing w:val="-8"/>
          <w:w w:val="110"/>
        </w:rPr>
        <w:t> </w:t>
      </w:r>
      <w:r>
        <w:rPr>
          <w:color w:val="231F20"/>
          <w:w w:val="110"/>
        </w:rPr>
        <w:t>altas</w:t>
      </w:r>
      <w:r>
        <w:rPr>
          <w:color w:val="231F20"/>
          <w:spacing w:val="-8"/>
          <w:w w:val="110"/>
        </w:rPr>
        <w:t> </w:t>
      </w:r>
      <w:r>
        <w:rPr>
          <w:color w:val="231F20"/>
          <w:w w:val="110"/>
        </w:rPr>
        <w:t>[</w:t>
      </w:r>
      <w:r>
        <w:rPr>
          <w:i/>
          <w:color w:val="231F20"/>
          <w:w w:val="110"/>
        </w:rPr>
        <w:t>possessing</w:t>
      </w:r>
      <w:r>
        <w:rPr>
          <w:i/>
          <w:color w:val="231F20"/>
          <w:spacing w:val="-8"/>
          <w:w w:val="110"/>
        </w:rPr>
        <w:t> </w:t>
      </w:r>
      <w:r>
        <w:rPr>
          <w:i/>
          <w:color w:val="231F20"/>
          <w:w w:val="110"/>
        </w:rPr>
        <w:t>classes</w:t>
      </w:r>
      <w:r>
        <w:rPr>
          <w:color w:val="231F20"/>
          <w:w w:val="110"/>
        </w:rPr>
        <w:t>]</w:t>
      </w:r>
      <w:r>
        <w:rPr>
          <w:color w:val="231F20"/>
          <w:spacing w:val="-8"/>
          <w:w w:val="110"/>
        </w:rPr>
        <w:t> </w:t>
      </w:r>
      <w:r>
        <w:rPr>
          <w:color w:val="231F20"/>
          <w:w w:val="110"/>
        </w:rPr>
        <w:t>de América Latina hacen imposible la revolución de la clase media,</w:t>
      </w:r>
      <w:r>
        <w:rPr>
          <w:color w:val="231F20"/>
          <w:spacing w:val="-36"/>
          <w:w w:val="110"/>
        </w:rPr>
        <w:t> </w:t>
      </w:r>
      <w:r>
        <w:rPr>
          <w:color w:val="231F20"/>
          <w:w w:val="110"/>
        </w:rPr>
        <w:t>ge- nerarán inevitablemente una revolución de los trabajadores y de los campesinos,</w:t>
      </w:r>
      <w:r>
        <w:rPr>
          <w:color w:val="231F20"/>
          <w:spacing w:val="-6"/>
          <w:w w:val="110"/>
        </w:rPr>
        <w:t> </w:t>
      </w:r>
      <w:r>
        <w:rPr>
          <w:color w:val="231F20"/>
          <w:w w:val="110"/>
        </w:rPr>
        <w:t>esto</w:t>
      </w:r>
      <w:r>
        <w:rPr>
          <w:color w:val="231F20"/>
          <w:spacing w:val="-6"/>
          <w:w w:val="110"/>
        </w:rPr>
        <w:t> </w:t>
      </w:r>
      <w:r>
        <w:rPr>
          <w:color w:val="231F20"/>
          <w:w w:val="110"/>
        </w:rPr>
        <w:t>es,</w:t>
      </w:r>
      <w:r>
        <w:rPr>
          <w:color w:val="231F20"/>
          <w:spacing w:val="-6"/>
          <w:w w:val="110"/>
        </w:rPr>
        <w:t> </w:t>
      </w:r>
      <w:r>
        <w:rPr>
          <w:color w:val="231F20"/>
          <w:w w:val="110"/>
        </w:rPr>
        <w:t>si</w:t>
      </w:r>
      <w:r>
        <w:rPr>
          <w:color w:val="231F20"/>
          <w:spacing w:val="-6"/>
          <w:w w:val="110"/>
        </w:rPr>
        <w:t> </w:t>
      </w:r>
      <w:r>
        <w:rPr>
          <w:color w:val="231F20"/>
          <w:w w:val="110"/>
        </w:rPr>
        <w:t>destruyen</w:t>
      </w:r>
      <w:r>
        <w:rPr>
          <w:color w:val="231F20"/>
          <w:spacing w:val="-6"/>
          <w:w w:val="110"/>
        </w:rPr>
        <w:t> </w:t>
      </w:r>
      <w:r>
        <w:rPr>
          <w:color w:val="231F20"/>
          <w:w w:val="110"/>
        </w:rPr>
        <w:t>a</w:t>
      </w:r>
      <w:r>
        <w:rPr>
          <w:color w:val="231F20"/>
          <w:spacing w:val="-6"/>
          <w:w w:val="110"/>
        </w:rPr>
        <w:t> </w:t>
      </w:r>
      <w:r>
        <w:rPr>
          <w:color w:val="231F20"/>
          <w:w w:val="110"/>
        </w:rPr>
        <w:t>Betancourt,</w:t>
      </w:r>
      <w:r>
        <w:rPr>
          <w:color w:val="231F20"/>
          <w:spacing w:val="-6"/>
          <w:w w:val="110"/>
        </w:rPr>
        <w:t> </w:t>
      </w:r>
      <w:r>
        <w:rPr>
          <w:color w:val="231F20"/>
          <w:w w:val="110"/>
        </w:rPr>
        <w:t>garantizarán</w:t>
      </w:r>
      <w:r>
        <w:rPr>
          <w:color w:val="231F20"/>
          <w:spacing w:val="-6"/>
          <w:w w:val="110"/>
        </w:rPr>
        <w:t> </w:t>
      </w:r>
      <w:r>
        <w:rPr>
          <w:color w:val="231F20"/>
          <w:w w:val="110"/>
        </w:rPr>
        <w:t>a</w:t>
      </w:r>
      <w:r>
        <w:rPr>
          <w:color w:val="231F20"/>
          <w:spacing w:val="-6"/>
          <w:w w:val="110"/>
        </w:rPr>
        <w:t> </w:t>
      </w:r>
      <w:r>
        <w:rPr>
          <w:color w:val="231F20"/>
          <w:w w:val="110"/>
        </w:rPr>
        <w:t>Castro o a Perón” (United States, Department of State, </w:t>
      </w:r>
      <w:r>
        <w:rPr>
          <w:i/>
          <w:color w:val="231F20"/>
          <w:w w:val="110"/>
        </w:rPr>
        <w:t>Foreign Relations</w:t>
      </w:r>
      <w:r>
        <w:rPr>
          <w:color w:val="231F20"/>
          <w:w w:val="110"/>
        </w:rPr>
        <w:t>, 1961-1963, vol. xii, doc. 7). Queda claro que no se pretendía una “revolución”,</w:t>
      </w:r>
      <w:r>
        <w:rPr>
          <w:color w:val="231F20"/>
          <w:spacing w:val="-7"/>
          <w:w w:val="110"/>
        </w:rPr>
        <w:t> </w:t>
      </w:r>
      <w:r>
        <w:rPr>
          <w:color w:val="231F20"/>
          <w:w w:val="110"/>
        </w:rPr>
        <w:t>sino</w:t>
      </w:r>
      <w:r>
        <w:rPr>
          <w:color w:val="231F20"/>
          <w:spacing w:val="-7"/>
          <w:w w:val="110"/>
        </w:rPr>
        <w:t> </w:t>
      </w:r>
      <w:r>
        <w:rPr>
          <w:color w:val="231F20"/>
          <w:w w:val="110"/>
        </w:rPr>
        <w:t>generar</w:t>
      </w:r>
      <w:r>
        <w:rPr>
          <w:color w:val="231F20"/>
          <w:spacing w:val="-7"/>
          <w:w w:val="110"/>
        </w:rPr>
        <w:t> </w:t>
      </w:r>
      <w:r>
        <w:rPr>
          <w:color w:val="231F20"/>
          <w:w w:val="110"/>
        </w:rPr>
        <w:t>leves</w:t>
      </w:r>
      <w:r>
        <w:rPr>
          <w:color w:val="231F20"/>
          <w:spacing w:val="-7"/>
          <w:w w:val="110"/>
        </w:rPr>
        <w:t> </w:t>
      </w:r>
      <w:r>
        <w:rPr>
          <w:color w:val="231F20"/>
          <w:w w:val="110"/>
        </w:rPr>
        <w:t>modificaciones</w:t>
      </w:r>
      <w:r>
        <w:rPr>
          <w:color w:val="231F20"/>
          <w:spacing w:val="-7"/>
          <w:w w:val="110"/>
        </w:rPr>
        <w:t> </w:t>
      </w:r>
      <w:r>
        <w:rPr>
          <w:color w:val="231F20"/>
          <w:w w:val="110"/>
        </w:rPr>
        <w:t>al</w:t>
      </w:r>
      <w:r>
        <w:rPr>
          <w:color w:val="231F20"/>
          <w:spacing w:val="-7"/>
          <w:w w:val="110"/>
        </w:rPr>
        <w:t> </w:t>
      </w:r>
      <w:r>
        <w:rPr>
          <w:color w:val="231F20"/>
          <w:w w:val="110"/>
        </w:rPr>
        <w:t>orden</w:t>
      </w:r>
      <w:r>
        <w:rPr>
          <w:color w:val="231F20"/>
          <w:spacing w:val="-7"/>
          <w:w w:val="110"/>
        </w:rPr>
        <w:t> </w:t>
      </w:r>
      <w:r>
        <w:rPr>
          <w:color w:val="231F20"/>
          <w:w w:val="110"/>
        </w:rPr>
        <w:t>establecido que permitieran un mayor protagonismo de la clase media, a fin    de “aplacar” los movimientos de masas urbanas y campesinas, que aunque no estaban asociados necesariamente al comunismo, confor- maban una “amenaza” a la expansión del</w:t>
      </w:r>
      <w:r>
        <w:rPr>
          <w:color w:val="231F20"/>
          <w:spacing w:val="22"/>
          <w:w w:val="110"/>
        </w:rPr>
        <w:t> </w:t>
      </w:r>
      <w:r>
        <w:rPr>
          <w:color w:val="231F20"/>
          <w:w w:val="110"/>
        </w:rPr>
        <w:t>capitalismo.</w:t>
      </w:r>
    </w:p>
    <w:p>
      <w:pPr>
        <w:pStyle w:val="BodyText"/>
        <w:spacing w:line="261" w:lineRule="auto"/>
        <w:ind w:left="100" w:right="113" w:firstLine="240"/>
        <w:jc w:val="both"/>
        <w:rPr>
          <w:sz w:val="13"/>
        </w:rPr>
      </w:pPr>
      <w:r>
        <w:rPr>
          <w:color w:val="231F20"/>
          <w:w w:val="110"/>
        </w:rPr>
        <w:t>La vinculación entre la asistencia económica y la seguridad era clara en los programas de “desarrollo” de la aid que incluían la asis- tencia</w:t>
      </w:r>
      <w:r>
        <w:rPr>
          <w:color w:val="231F20"/>
          <w:spacing w:val="-15"/>
          <w:w w:val="110"/>
        </w:rPr>
        <w:t> </w:t>
      </w:r>
      <w:r>
        <w:rPr>
          <w:color w:val="231F20"/>
          <w:spacing w:val="-3"/>
          <w:w w:val="110"/>
        </w:rPr>
        <w:t>militar,</w:t>
      </w:r>
      <w:r>
        <w:rPr>
          <w:color w:val="231F20"/>
          <w:spacing w:val="-15"/>
          <w:w w:val="110"/>
        </w:rPr>
        <w:t> </w:t>
      </w:r>
      <w:r>
        <w:rPr>
          <w:color w:val="231F20"/>
          <w:w w:val="110"/>
        </w:rPr>
        <w:t>como</w:t>
      </w:r>
      <w:r>
        <w:rPr>
          <w:color w:val="231F20"/>
          <w:spacing w:val="-15"/>
          <w:w w:val="110"/>
        </w:rPr>
        <w:t> </w:t>
      </w:r>
      <w:r>
        <w:rPr>
          <w:color w:val="231F20"/>
          <w:w w:val="110"/>
        </w:rPr>
        <w:t>los</w:t>
      </w:r>
      <w:r>
        <w:rPr>
          <w:color w:val="231F20"/>
          <w:spacing w:val="-15"/>
          <w:w w:val="110"/>
        </w:rPr>
        <w:t> </w:t>
      </w:r>
      <w:r>
        <w:rPr>
          <w:color w:val="231F20"/>
          <w:w w:val="110"/>
        </w:rPr>
        <w:t>Programas</w:t>
      </w:r>
      <w:r>
        <w:rPr>
          <w:color w:val="231F20"/>
          <w:spacing w:val="-15"/>
          <w:w w:val="110"/>
        </w:rPr>
        <w:t> </w:t>
      </w:r>
      <w:r>
        <w:rPr>
          <w:color w:val="231F20"/>
          <w:w w:val="110"/>
        </w:rPr>
        <w:t>de</w:t>
      </w:r>
      <w:r>
        <w:rPr>
          <w:color w:val="231F20"/>
          <w:spacing w:val="-15"/>
          <w:w w:val="110"/>
        </w:rPr>
        <w:t> </w:t>
      </w:r>
      <w:r>
        <w:rPr>
          <w:color w:val="231F20"/>
          <w:w w:val="110"/>
        </w:rPr>
        <w:t>Asistencia</w:t>
      </w:r>
      <w:r>
        <w:rPr>
          <w:color w:val="231F20"/>
          <w:spacing w:val="-15"/>
          <w:w w:val="110"/>
        </w:rPr>
        <w:t> </w:t>
      </w:r>
      <w:r>
        <w:rPr>
          <w:color w:val="231F20"/>
          <w:w w:val="110"/>
        </w:rPr>
        <w:t>Militar</w:t>
      </w:r>
      <w:r>
        <w:rPr>
          <w:color w:val="231F20"/>
          <w:spacing w:val="-15"/>
          <w:w w:val="110"/>
        </w:rPr>
        <w:t> </w:t>
      </w:r>
      <w:r>
        <w:rPr>
          <w:color w:val="231F20"/>
          <w:w w:val="110"/>
        </w:rPr>
        <w:t>(pam)</w:t>
      </w:r>
      <w:r>
        <w:rPr>
          <w:color w:val="231F20"/>
          <w:spacing w:val="-15"/>
          <w:w w:val="110"/>
        </w:rPr>
        <w:t> </w:t>
      </w:r>
      <w:r>
        <w:rPr>
          <w:color w:val="231F20"/>
          <w:w w:val="110"/>
        </w:rPr>
        <w:t>exten- didos</w:t>
      </w:r>
      <w:r>
        <w:rPr>
          <w:color w:val="231F20"/>
          <w:spacing w:val="-12"/>
          <w:w w:val="110"/>
        </w:rPr>
        <w:t> </w:t>
      </w:r>
      <w:r>
        <w:rPr>
          <w:color w:val="231F20"/>
          <w:w w:val="110"/>
        </w:rPr>
        <w:t>hacia</w:t>
      </w:r>
      <w:r>
        <w:rPr>
          <w:color w:val="231F20"/>
          <w:spacing w:val="-12"/>
          <w:w w:val="110"/>
        </w:rPr>
        <w:t> </w:t>
      </w:r>
      <w:r>
        <w:rPr>
          <w:color w:val="231F20"/>
          <w:w w:val="110"/>
        </w:rPr>
        <w:t>toda</w:t>
      </w:r>
      <w:r>
        <w:rPr>
          <w:color w:val="231F20"/>
          <w:spacing w:val="-12"/>
          <w:w w:val="110"/>
        </w:rPr>
        <w:t> </w:t>
      </w:r>
      <w:r>
        <w:rPr>
          <w:color w:val="231F20"/>
          <w:w w:val="110"/>
        </w:rPr>
        <w:t>América</w:t>
      </w:r>
      <w:r>
        <w:rPr>
          <w:color w:val="231F20"/>
          <w:spacing w:val="-12"/>
          <w:w w:val="110"/>
        </w:rPr>
        <w:t> </w:t>
      </w:r>
      <w:r>
        <w:rPr>
          <w:color w:val="231F20"/>
          <w:w w:val="110"/>
        </w:rPr>
        <w:t>Latina,</w:t>
      </w:r>
      <w:r>
        <w:rPr>
          <w:color w:val="231F20"/>
          <w:spacing w:val="-12"/>
          <w:w w:val="110"/>
        </w:rPr>
        <w:t> </w:t>
      </w:r>
      <w:r>
        <w:rPr>
          <w:color w:val="231F20"/>
          <w:w w:val="110"/>
        </w:rPr>
        <w:t>que</w:t>
      </w:r>
      <w:r>
        <w:rPr>
          <w:color w:val="231F20"/>
          <w:spacing w:val="-12"/>
          <w:w w:val="110"/>
        </w:rPr>
        <w:t> </w:t>
      </w:r>
      <w:r>
        <w:rPr>
          <w:color w:val="231F20"/>
          <w:w w:val="110"/>
        </w:rPr>
        <w:t>adquirieron</w:t>
      </w:r>
      <w:r>
        <w:rPr>
          <w:color w:val="231F20"/>
          <w:spacing w:val="-12"/>
          <w:w w:val="110"/>
        </w:rPr>
        <w:t> </w:t>
      </w:r>
      <w:r>
        <w:rPr>
          <w:color w:val="231F20"/>
          <w:w w:val="110"/>
        </w:rPr>
        <w:t>relevancia</w:t>
      </w:r>
      <w:r>
        <w:rPr>
          <w:color w:val="231F20"/>
          <w:spacing w:val="-12"/>
          <w:w w:val="110"/>
        </w:rPr>
        <w:t> </w:t>
      </w:r>
      <w:r>
        <w:rPr>
          <w:color w:val="231F20"/>
          <w:w w:val="110"/>
        </w:rPr>
        <w:t>y</w:t>
      </w:r>
      <w:r>
        <w:rPr>
          <w:color w:val="231F20"/>
          <w:spacing w:val="-12"/>
          <w:w w:val="110"/>
        </w:rPr>
        <w:t> </w:t>
      </w:r>
      <w:r>
        <w:rPr>
          <w:color w:val="231F20"/>
          <w:w w:val="110"/>
        </w:rPr>
        <w:t>mayor presupuesto en el marco de la Alianza para el Progreso (Romano, 2005; Rabe, 1999; Veneroni, 1971). La aid se encargaba de entrenar y de proveer el material necesario, ocupándose especialmente de    lo relativo a la organización, administración, manejo de archivos, investigación y tácticas “no letales” para el control de la</w:t>
      </w:r>
      <w:r>
        <w:rPr>
          <w:color w:val="231F20"/>
          <w:spacing w:val="-15"/>
          <w:w w:val="110"/>
        </w:rPr>
        <w:t> </w:t>
      </w:r>
      <w:r>
        <w:rPr>
          <w:color w:val="231F20"/>
          <w:w w:val="110"/>
        </w:rPr>
        <w:t>insurgencia (United States, Department of State, </w:t>
      </w:r>
      <w:r>
        <w:rPr>
          <w:i/>
          <w:color w:val="231F20"/>
          <w:w w:val="110"/>
        </w:rPr>
        <w:t>Foreign Relations</w:t>
      </w:r>
      <w:r>
        <w:rPr>
          <w:color w:val="231F20"/>
          <w:w w:val="110"/>
        </w:rPr>
        <w:t>, 1961-1963, vol. xii, doc. 90). Estos objetivos se hallaban en el programa de la Alianza para el Progreso, al menos el programa diseñado a nivel del Departamento de</w:t>
      </w:r>
      <w:r>
        <w:rPr>
          <w:color w:val="231F20"/>
          <w:spacing w:val="27"/>
          <w:w w:val="110"/>
        </w:rPr>
        <w:t> </w:t>
      </w:r>
      <w:r>
        <w:rPr>
          <w:color w:val="231F20"/>
          <w:w w:val="110"/>
        </w:rPr>
        <w:t>Estado.</w:t>
      </w:r>
      <w:r>
        <w:rPr>
          <w:color w:val="231F20"/>
          <w:w w:val="110"/>
          <w:position w:val="6"/>
          <w:sz w:val="13"/>
        </w:rPr>
        <w:t>8</w:t>
      </w:r>
    </w:p>
    <w:p>
      <w:pPr>
        <w:pStyle w:val="BodyText"/>
        <w:spacing w:line="261" w:lineRule="auto"/>
        <w:ind w:left="100" w:right="117" w:firstLine="240"/>
        <w:jc w:val="both"/>
      </w:pPr>
      <w:r>
        <w:rPr>
          <w:color w:val="231F20"/>
          <w:w w:val="110"/>
        </w:rPr>
        <w:t>Casi</w:t>
      </w:r>
      <w:r>
        <w:rPr>
          <w:color w:val="231F20"/>
          <w:spacing w:val="-6"/>
          <w:w w:val="110"/>
        </w:rPr>
        <w:t> </w:t>
      </w:r>
      <w:r>
        <w:rPr>
          <w:color w:val="231F20"/>
          <w:w w:val="110"/>
        </w:rPr>
        <w:t>un</w:t>
      </w:r>
      <w:r>
        <w:rPr>
          <w:color w:val="231F20"/>
          <w:spacing w:val="-6"/>
          <w:w w:val="110"/>
        </w:rPr>
        <w:t> </w:t>
      </w:r>
      <w:r>
        <w:rPr>
          <w:color w:val="231F20"/>
          <w:w w:val="110"/>
        </w:rPr>
        <w:t>decenio</w:t>
      </w:r>
      <w:r>
        <w:rPr>
          <w:color w:val="231F20"/>
          <w:spacing w:val="-6"/>
          <w:w w:val="110"/>
        </w:rPr>
        <w:t> </w:t>
      </w:r>
      <w:r>
        <w:rPr>
          <w:color w:val="231F20"/>
          <w:w w:val="110"/>
        </w:rPr>
        <w:t>más</w:t>
      </w:r>
      <w:r>
        <w:rPr>
          <w:color w:val="231F20"/>
          <w:spacing w:val="-6"/>
          <w:w w:val="110"/>
        </w:rPr>
        <w:t> </w:t>
      </w:r>
      <w:r>
        <w:rPr>
          <w:color w:val="231F20"/>
          <w:w w:val="110"/>
        </w:rPr>
        <w:t>tarde,</w:t>
      </w:r>
      <w:r>
        <w:rPr>
          <w:color w:val="231F20"/>
          <w:spacing w:val="-6"/>
          <w:w w:val="110"/>
        </w:rPr>
        <w:t> </w:t>
      </w:r>
      <w:r>
        <w:rPr>
          <w:color w:val="231F20"/>
          <w:w w:val="110"/>
        </w:rPr>
        <w:t>en</w:t>
      </w:r>
      <w:r>
        <w:rPr>
          <w:color w:val="231F20"/>
          <w:spacing w:val="-6"/>
          <w:w w:val="110"/>
        </w:rPr>
        <w:t> </w:t>
      </w:r>
      <w:r>
        <w:rPr>
          <w:color w:val="231F20"/>
          <w:w w:val="110"/>
        </w:rPr>
        <w:t>ocasión</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reunión</w:t>
      </w:r>
      <w:r>
        <w:rPr>
          <w:color w:val="231F20"/>
          <w:spacing w:val="-6"/>
          <w:w w:val="110"/>
        </w:rPr>
        <w:t> </w:t>
      </w:r>
      <w:r>
        <w:rPr>
          <w:color w:val="231F20"/>
          <w:w w:val="110"/>
        </w:rPr>
        <w:t>del</w:t>
      </w:r>
      <w:r>
        <w:rPr>
          <w:color w:val="231F20"/>
          <w:spacing w:val="-6"/>
          <w:w w:val="110"/>
        </w:rPr>
        <w:t> </w:t>
      </w:r>
      <w:r>
        <w:rPr>
          <w:color w:val="231F20"/>
          <w:w w:val="110"/>
        </w:rPr>
        <w:t>Consejo de Seguridad Nacional, se discutieron las características que debía reunir la asistencia estadunidense, acordando que sus cuatro prin- cipales</w:t>
      </w:r>
      <w:r>
        <w:rPr>
          <w:color w:val="231F20"/>
          <w:spacing w:val="24"/>
          <w:w w:val="110"/>
        </w:rPr>
        <w:t> </w:t>
      </w:r>
      <w:r>
        <w:rPr>
          <w:color w:val="231F20"/>
          <w:w w:val="110"/>
        </w:rPr>
        <w:t>objetivos</w:t>
      </w:r>
      <w:r>
        <w:rPr>
          <w:color w:val="231F20"/>
          <w:spacing w:val="24"/>
          <w:w w:val="110"/>
        </w:rPr>
        <w:t> </w:t>
      </w:r>
      <w:r>
        <w:rPr>
          <w:color w:val="231F20"/>
          <w:w w:val="110"/>
        </w:rPr>
        <w:t>eran:</w:t>
      </w:r>
      <w:r>
        <w:rPr>
          <w:color w:val="231F20"/>
          <w:spacing w:val="24"/>
          <w:w w:val="110"/>
        </w:rPr>
        <w:t> </w:t>
      </w:r>
      <w:r>
        <w:rPr>
          <w:color w:val="231F20"/>
          <w:w w:val="110"/>
        </w:rPr>
        <w:t>mantener</w:t>
      </w:r>
      <w:r>
        <w:rPr>
          <w:color w:val="231F20"/>
          <w:spacing w:val="24"/>
          <w:w w:val="110"/>
        </w:rPr>
        <w:t> </w:t>
      </w:r>
      <w:r>
        <w:rPr>
          <w:color w:val="231F20"/>
          <w:w w:val="110"/>
        </w:rPr>
        <w:t>la</w:t>
      </w:r>
      <w:r>
        <w:rPr>
          <w:color w:val="231F20"/>
          <w:spacing w:val="24"/>
          <w:w w:val="110"/>
        </w:rPr>
        <w:t> </w:t>
      </w:r>
      <w:r>
        <w:rPr>
          <w:color w:val="231F20"/>
          <w:w w:val="110"/>
        </w:rPr>
        <w:t>seguridad</w:t>
      </w:r>
      <w:r>
        <w:rPr>
          <w:color w:val="231F20"/>
          <w:spacing w:val="24"/>
          <w:w w:val="110"/>
        </w:rPr>
        <w:t> </w:t>
      </w:r>
      <w:r>
        <w:rPr>
          <w:color w:val="231F20"/>
          <w:w w:val="110"/>
        </w:rPr>
        <w:t>militar</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países</w:t>
      </w:r>
    </w:p>
    <w:p>
      <w:pPr>
        <w:pStyle w:val="BodyText"/>
      </w:pPr>
    </w:p>
    <w:p>
      <w:pPr>
        <w:pStyle w:val="BodyText"/>
      </w:pPr>
    </w:p>
    <w:p>
      <w:pPr>
        <w:spacing w:line="261" w:lineRule="auto" w:before="122"/>
        <w:ind w:left="100" w:right="117" w:firstLine="240"/>
        <w:jc w:val="both"/>
        <w:rPr>
          <w:sz w:val="16"/>
        </w:rPr>
      </w:pPr>
      <w:r>
        <w:rPr>
          <w:color w:val="231F20"/>
          <w:w w:val="110"/>
          <w:position w:val="5"/>
          <w:sz w:val="10"/>
        </w:rPr>
        <w:t>8 </w:t>
      </w:r>
      <w:r>
        <w:rPr>
          <w:color w:val="231F20"/>
          <w:w w:val="110"/>
          <w:sz w:val="16"/>
        </w:rPr>
        <w:t>A pesar de que la aid fue creada con el objetivo de “separar” la asistencia eco- nómica de la militar (usaid, 2005), en los Documentos desclasificados por el Depar- tamento</w:t>
      </w:r>
      <w:r>
        <w:rPr>
          <w:color w:val="231F20"/>
          <w:spacing w:val="-5"/>
          <w:w w:val="110"/>
          <w:sz w:val="16"/>
        </w:rPr>
        <w:t> </w:t>
      </w:r>
      <w:r>
        <w:rPr>
          <w:color w:val="231F20"/>
          <w:w w:val="110"/>
          <w:sz w:val="16"/>
        </w:rPr>
        <w:t>de</w:t>
      </w:r>
      <w:r>
        <w:rPr>
          <w:color w:val="231F20"/>
          <w:spacing w:val="-5"/>
          <w:w w:val="110"/>
          <w:sz w:val="16"/>
        </w:rPr>
        <w:t> </w:t>
      </w:r>
      <w:r>
        <w:rPr>
          <w:color w:val="231F20"/>
          <w:w w:val="110"/>
          <w:sz w:val="16"/>
        </w:rPr>
        <w:t>Estado</w:t>
      </w:r>
      <w:r>
        <w:rPr>
          <w:color w:val="231F20"/>
          <w:spacing w:val="-5"/>
          <w:w w:val="110"/>
          <w:sz w:val="16"/>
        </w:rPr>
        <w:t> </w:t>
      </w:r>
      <w:r>
        <w:rPr>
          <w:color w:val="231F20"/>
          <w:w w:val="110"/>
          <w:sz w:val="16"/>
        </w:rPr>
        <w:t>en</w:t>
      </w:r>
      <w:r>
        <w:rPr>
          <w:color w:val="231F20"/>
          <w:spacing w:val="-5"/>
          <w:w w:val="110"/>
          <w:sz w:val="16"/>
        </w:rPr>
        <w:t> </w:t>
      </w:r>
      <w:r>
        <w:rPr>
          <w:color w:val="231F20"/>
          <w:w w:val="110"/>
          <w:sz w:val="16"/>
        </w:rPr>
        <w:t>los</w:t>
      </w:r>
      <w:r>
        <w:rPr>
          <w:color w:val="231F20"/>
          <w:spacing w:val="-5"/>
          <w:w w:val="110"/>
          <w:sz w:val="16"/>
        </w:rPr>
        <w:t> </w:t>
      </w:r>
      <w:r>
        <w:rPr>
          <w:color w:val="231F20"/>
          <w:w w:val="110"/>
          <w:sz w:val="16"/>
        </w:rPr>
        <w:t>cuales</w:t>
      </w:r>
      <w:r>
        <w:rPr>
          <w:color w:val="231F20"/>
          <w:spacing w:val="-5"/>
          <w:w w:val="110"/>
          <w:sz w:val="16"/>
        </w:rPr>
        <w:t> </w:t>
      </w:r>
      <w:r>
        <w:rPr>
          <w:color w:val="231F20"/>
          <w:w w:val="110"/>
          <w:sz w:val="16"/>
        </w:rPr>
        <w:t>se</w:t>
      </w:r>
      <w:r>
        <w:rPr>
          <w:color w:val="231F20"/>
          <w:spacing w:val="-5"/>
          <w:w w:val="110"/>
          <w:sz w:val="16"/>
        </w:rPr>
        <w:t> </w:t>
      </w:r>
      <w:r>
        <w:rPr>
          <w:color w:val="231F20"/>
          <w:w w:val="110"/>
          <w:sz w:val="16"/>
        </w:rPr>
        <w:t>tratan</w:t>
      </w:r>
      <w:r>
        <w:rPr>
          <w:color w:val="231F20"/>
          <w:spacing w:val="-5"/>
          <w:w w:val="110"/>
          <w:sz w:val="16"/>
        </w:rPr>
        <w:t> </w:t>
      </w:r>
      <w:r>
        <w:rPr>
          <w:color w:val="231F20"/>
          <w:w w:val="110"/>
          <w:sz w:val="16"/>
        </w:rPr>
        <w:t>los</w:t>
      </w:r>
      <w:r>
        <w:rPr>
          <w:color w:val="231F20"/>
          <w:spacing w:val="-5"/>
          <w:w w:val="110"/>
          <w:sz w:val="16"/>
        </w:rPr>
        <w:t> </w:t>
      </w:r>
      <w:r>
        <w:rPr>
          <w:color w:val="231F20"/>
          <w:w w:val="110"/>
          <w:sz w:val="16"/>
        </w:rPr>
        <w:t>proyectos</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Alianza</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el</w:t>
      </w:r>
      <w:r>
        <w:rPr>
          <w:color w:val="231F20"/>
          <w:spacing w:val="-5"/>
          <w:w w:val="110"/>
          <w:sz w:val="16"/>
        </w:rPr>
        <w:t> </w:t>
      </w:r>
      <w:r>
        <w:rPr>
          <w:color w:val="231F20"/>
          <w:w w:val="110"/>
          <w:sz w:val="16"/>
        </w:rPr>
        <w:t>Progreso, aparece de manera clara la función de la aid como agencia encargada especialmente del entrenamiento de las fuerzas policiales de las grandes ciudades de algunos países de</w:t>
      </w:r>
      <w:r>
        <w:rPr>
          <w:color w:val="231F20"/>
          <w:spacing w:val="-7"/>
          <w:w w:val="110"/>
          <w:sz w:val="16"/>
        </w:rPr>
        <w:t> </w:t>
      </w:r>
      <w:r>
        <w:rPr>
          <w:color w:val="231F20"/>
          <w:w w:val="110"/>
          <w:sz w:val="16"/>
        </w:rPr>
        <w:t>América</w:t>
      </w:r>
      <w:r>
        <w:rPr>
          <w:color w:val="231F20"/>
          <w:spacing w:val="-7"/>
          <w:w w:val="110"/>
          <w:sz w:val="16"/>
        </w:rPr>
        <w:t> </w:t>
      </w:r>
      <w:r>
        <w:rPr>
          <w:color w:val="231F20"/>
          <w:w w:val="110"/>
          <w:sz w:val="16"/>
        </w:rPr>
        <w:t>Latina</w:t>
      </w:r>
      <w:r>
        <w:rPr>
          <w:color w:val="231F20"/>
          <w:spacing w:val="-7"/>
          <w:w w:val="110"/>
          <w:sz w:val="16"/>
        </w:rPr>
        <w:t> </w:t>
      </w:r>
      <w:r>
        <w:rPr>
          <w:color w:val="231F20"/>
          <w:w w:val="110"/>
          <w:sz w:val="16"/>
        </w:rPr>
        <w:t>(United</w:t>
      </w:r>
      <w:r>
        <w:rPr>
          <w:color w:val="231F20"/>
          <w:spacing w:val="-7"/>
          <w:w w:val="110"/>
          <w:sz w:val="16"/>
        </w:rPr>
        <w:t> </w:t>
      </w:r>
      <w:r>
        <w:rPr>
          <w:color w:val="231F20"/>
          <w:w w:val="110"/>
          <w:sz w:val="16"/>
        </w:rPr>
        <w:t>States</w:t>
      </w:r>
      <w:r>
        <w:rPr>
          <w:color w:val="231F20"/>
          <w:spacing w:val="-7"/>
          <w:w w:val="110"/>
          <w:sz w:val="16"/>
        </w:rPr>
        <w:t> </w:t>
      </w:r>
      <w:r>
        <w:rPr>
          <w:color w:val="231F20"/>
          <w:w w:val="110"/>
          <w:sz w:val="16"/>
        </w:rPr>
        <w:t>Department</w:t>
      </w:r>
      <w:r>
        <w:rPr>
          <w:color w:val="231F20"/>
          <w:spacing w:val="-7"/>
          <w:w w:val="110"/>
          <w:sz w:val="16"/>
        </w:rPr>
        <w:t> </w:t>
      </w:r>
      <w:r>
        <w:rPr>
          <w:color w:val="231F20"/>
          <w:w w:val="110"/>
          <w:sz w:val="16"/>
        </w:rPr>
        <w:t>of</w:t>
      </w:r>
      <w:r>
        <w:rPr>
          <w:color w:val="231F20"/>
          <w:spacing w:val="-7"/>
          <w:w w:val="110"/>
          <w:sz w:val="16"/>
        </w:rPr>
        <w:t> </w:t>
      </w:r>
      <w:r>
        <w:rPr>
          <w:color w:val="231F20"/>
          <w:w w:val="110"/>
          <w:sz w:val="16"/>
        </w:rPr>
        <w:t>State,</w:t>
      </w:r>
      <w:r>
        <w:rPr>
          <w:color w:val="231F20"/>
          <w:spacing w:val="-7"/>
          <w:w w:val="110"/>
          <w:sz w:val="16"/>
        </w:rPr>
        <w:t> </w:t>
      </w:r>
      <w:r>
        <w:rPr>
          <w:color w:val="231F20"/>
          <w:w w:val="110"/>
          <w:sz w:val="16"/>
        </w:rPr>
        <w:t>Foreign</w:t>
      </w:r>
      <w:r>
        <w:rPr>
          <w:color w:val="231F20"/>
          <w:spacing w:val="-7"/>
          <w:w w:val="110"/>
          <w:sz w:val="16"/>
        </w:rPr>
        <w:t> </w:t>
      </w:r>
      <w:r>
        <w:rPr>
          <w:color w:val="231F20"/>
          <w:w w:val="110"/>
          <w:sz w:val="16"/>
        </w:rPr>
        <w:t>Relations,</w:t>
      </w:r>
      <w:r>
        <w:rPr>
          <w:color w:val="231F20"/>
          <w:spacing w:val="-7"/>
          <w:w w:val="110"/>
          <w:sz w:val="16"/>
        </w:rPr>
        <w:t> </w:t>
      </w:r>
      <w:r>
        <w:rPr>
          <w:color w:val="231F20"/>
          <w:w w:val="110"/>
          <w:sz w:val="16"/>
        </w:rPr>
        <w:t>1961-1963, vol. xii, doc.</w:t>
      </w:r>
      <w:r>
        <w:rPr>
          <w:color w:val="231F20"/>
          <w:spacing w:val="13"/>
          <w:w w:val="110"/>
          <w:sz w:val="16"/>
        </w:rPr>
        <w:t> </w:t>
      </w:r>
      <w:r>
        <w:rPr>
          <w:color w:val="231F20"/>
          <w:w w:val="110"/>
          <w:sz w:val="16"/>
        </w:rPr>
        <w:t>90).</w:t>
      </w:r>
    </w:p>
    <w:p>
      <w:pPr>
        <w:spacing w:after="0" w:line="261" w:lineRule="auto"/>
        <w:jc w:val="both"/>
        <w:rPr>
          <w:sz w:val="16"/>
        </w:rPr>
        <w:sectPr>
          <w:headerReference w:type="even" r:id="rId311"/>
          <w:headerReference w:type="default" r:id="rId312"/>
          <w:pgSz w:w="7640" w:h="11900"/>
          <w:pgMar w:header="672" w:footer="0" w:top="860" w:bottom="280" w:left="780" w:right="640"/>
          <w:pgNumType w:start="422"/>
        </w:sectPr>
      </w:pPr>
    </w:p>
    <w:p>
      <w:pPr>
        <w:pStyle w:val="BodyText"/>
        <w:spacing w:before="8"/>
        <w:rPr>
          <w:sz w:val="8"/>
        </w:rPr>
      </w:pPr>
    </w:p>
    <w:p>
      <w:pPr>
        <w:pStyle w:val="BodyText"/>
        <w:spacing w:line="261" w:lineRule="auto" w:before="67"/>
        <w:ind w:left="100" w:right="117"/>
        <w:jc w:val="both"/>
      </w:pPr>
      <w:r>
        <w:rPr>
          <w:color w:val="231F20"/>
          <w:w w:val="110"/>
        </w:rPr>
        <w:t>aliados</w:t>
      </w:r>
      <w:r>
        <w:rPr>
          <w:color w:val="231F20"/>
          <w:spacing w:val="-4"/>
          <w:w w:val="110"/>
        </w:rPr>
        <w:t> </w:t>
      </w:r>
      <w:r>
        <w:rPr>
          <w:color w:val="231F20"/>
          <w:w w:val="110"/>
        </w:rPr>
        <w:t>que</w:t>
      </w:r>
      <w:r>
        <w:rPr>
          <w:color w:val="231F20"/>
          <w:spacing w:val="-4"/>
          <w:w w:val="110"/>
        </w:rPr>
        <w:t> </w:t>
      </w:r>
      <w:r>
        <w:rPr>
          <w:color w:val="231F20"/>
          <w:w w:val="110"/>
        </w:rPr>
        <w:t>limitan</w:t>
      </w:r>
      <w:r>
        <w:rPr>
          <w:color w:val="231F20"/>
          <w:spacing w:val="-4"/>
          <w:w w:val="110"/>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mundo</w:t>
      </w:r>
      <w:r>
        <w:rPr>
          <w:color w:val="231F20"/>
          <w:spacing w:val="-4"/>
          <w:w w:val="110"/>
        </w:rPr>
        <w:t> </w:t>
      </w:r>
      <w:r>
        <w:rPr>
          <w:color w:val="231F20"/>
          <w:w w:val="110"/>
        </w:rPr>
        <w:t>comunista;</w:t>
      </w:r>
      <w:r>
        <w:rPr>
          <w:color w:val="231F20"/>
          <w:spacing w:val="-4"/>
          <w:w w:val="110"/>
        </w:rPr>
        <w:t> </w:t>
      </w:r>
      <w:r>
        <w:rPr>
          <w:color w:val="231F20"/>
          <w:w w:val="110"/>
        </w:rPr>
        <w:t>alcanzar,</w:t>
      </w:r>
      <w:r>
        <w:rPr>
          <w:color w:val="231F20"/>
          <w:spacing w:val="-4"/>
          <w:w w:val="110"/>
        </w:rPr>
        <w:t> </w:t>
      </w:r>
      <w:r>
        <w:rPr>
          <w:color w:val="231F20"/>
          <w:w w:val="110"/>
        </w:rPr>
        <w:t>a</w:t>
      </w:r>
      <w:r>
        <w:rPr>
          <w:color w:val="231F20"/>
          <w:spacing w:val="-4"/>
          <w:w w:val="110"/>
        </w:rPr>
        <w:t> </w:t>
      </w:r>
      <w:r>
        <w:rPr>
          <w:color w:val="231F20"/>
          <w:w w:val="110"/>
        </w:rPr>
        <w:t>corto</w:t>
      </w:r>
      <w:r>
        <w:rPr>
          <w:color w:val="231F20"/>
          <w:spacing w:val="-4"/>
          <w:w w:val="110"/>
        </w:rPr>
        <w:t> </w:t>
      </w:r>
      <w:r>
        <w:rPr>
          <w:color w:val="231F20"/>
          <w:w w:val="110"/>
        </w:rPr>
        <w:t>plazo, influencia política a través de la extensión y conservación de ayuda en respuesta a las políticas de otros países hacia los Estados Unidos, continuar la participación en los esfuerzos de desarrollo a largo pla- zo en países determinados, y perseguir una aceleración marcada del crecimiento en aquellos países (United States, Department of State, </w:t>
      </w:r>
      <w:r>
        <w:rPr>
          <w:i/>
          <w:color w:val="231F20"/>
          <w:w w:val="105"/>
        </w:rPr>
        <w:t>Foreign</w:t>
      </w:r>
      <w:r>
        <w:rPr>
          <w:i/>
          <w:color w:val="231F20"/>
          <w:spacing w:val="-24"/>
          <w:w w:val="105"/>
        </w:rPr>
        <w:t> </w:t>
      </w:r>
      <w:r>
        <w:rPr>
          <w:i/>
          <w:color w:val="231F20"/>
          <w:w w:val="105"/>
        </w:rPr>
        <w:t>Relations</w:t>
      </w:r>
      <w:r>
        <w:rPr>
          <w:color w:val="231F20"/>
          <w:w w:val="105"/>
        </w:rPr>
        <w:t>,</w:t>
      </w:r>
      <w:r>
        <w:rPr>
          <w:color w:val="231F20"/>
          <w:spacing w:val="-24"/>
          <w:w w:val="105"/>
        </w:rPr>
        <w:t> </w:t>
      </w:r>
      <w:r>
        <w:rPr>
          <w:color w:val="231F20"/>
          <w:w w:val="105"/>
        </w:rPr>
        <w:t>1969-1972,</w:t>
      </w:r>
      <w:r>
        <w:rPr>
          <w:color w:val="231F20"/>
          <w:spacing w:val="-24"/>
          <w:w w:val="105"/>
        </w:rPr>
        <w:t> </w:t>
      </w:r>
      <w:r>
        <w:rPr>
          <w:color w:val="231F20"/>
          <w:w w:val="105"/>
        </w:rPr>
        <w:t>vol.</w:t>
      </w:r>
      <w:r>
        <w:rPr>
          <w:color w:val="231F20"/>
          <w:spacing w:val="-24"/>
          <w:w w:val="105"/>
        </w:rPr>
        <w:t> </w:t>
      </w:r>
      <w:r>
        <w:rPr>
          <w:color w:val="231F20"/>
          <w:w w:val="105"/>
        </w:rPr>
        <w:t>iv;</w:t>
      </w:r>
      <w:r>
        <w:rPr>
          <w:color w:val="231F20"/>
          <w:spacing w:val="-24"/>
          <w:w w:val="105"/>
        </w:rPr>
        <w:t> </w:t>
      </w:r>
      <w:r>
        <w:rPr>
          <w:color w:val="231F20"/>
          <w:w w:val="105"/>
        </w:rPr>
        <w:t>“Foreign</w:t>
      </w:r>
      <w:r>
        <w:rPr>
          <w:color w:val="231F20"/>
          <w:spacing w:val="-24"/>
          <w:w w:val="105"/>
        </w:rPr>
        <w:t> </w:t>
      </w:r>
      <w:r>
        <w:rPr>
          <w:color w:val="231F20"/>
          <w:w w:val="105"/>
        </w:rPr>
        <w:t>Assistance”,</w:t>
      </w:r>
      <w:r>
        <w:rPr>
          <w:color w:val="231F20"/>
          <w:spacing w:val="-24"/>
          <w:w w:val="105"/>
        </w:rPr>
        <w:t> </w:t>
      </w:r>
      <w:r>
        <w:rPr>
          <w:color w:val="231F20"/>
          <w:w w:val="105"/>
        </w:rPr>
        <w:t>“Internatio- </w:t>
      </w:r>
      <w:r>
        <w:rPr>
          <w:color w:val="231F20"/>
          <w:w w:val="110"/>
        </w:rPr>
        <w:t>nal Developement”, </w:t>
      </w:r>
      <w:r>
        <w:rPr>
          <w:color w:val="231F20"/>
          <w:spacing w:val="-3"/>
          <w:w w:val="110"/>
        </w:rPr>
        <w:t>“Trade </w:t>
      </w:r>
      <w:r>
        <w:rPr>
          <w:color w:val="231F20"/>
          <w:w w:val="110"/>
        </w:rPr>
        <w:t>Policies”, doc.</w:t>
      </w:r>
      <w:r>
        <w:rPr>
          <w:color w:val="231F20"/>
          <w:spacing w:val="-35"/>
          <w:w w:val="110"/>
        </w:rPr>
        <w:t> </w:t>
      </w:r>
      <w:r>
        <w:rPr>
          <w:color w:val="231F20"/>
          <w:w w:val="110"/>
        </w:rPr>
        <w:t>5).</w:t>
      </w:r>
    </w:p>
    <w:p>
      <w:pPr>
        <w:pStyle w:val="BodyText"/>
        <w:spacing w:line="261" w:lineRule="auto"/>
        <w:ind w:left="100" w:right="116" w:firstLine="240"/>
        <w:jc w:val="both"/>
      </w:pPr>
      <w:r>
        <w:rPr>
          <w:color w:val="231F20"/>
          <w:w w:val="105"/>
        </w:rPr>
        <w:t>En aquel momento, por un lado, ciertos sectores del Congreso criticaron la imbricación entre los aspectos relativos a la asistencia  para el desarrollo y la asistencia para la seguridad, que vinculaba al gobierno de Estados Unidos con golpes militares realizados en paí-   ses de América Latina (United States Department of State, </w:t>
      </w:r>
      <w:r>
        <w:rPr>
          <w:i/>
          <w:color w:val="231F20"/>
          <w:w w:val="105"/>
        </w:rPr>
        <w:t>Foreign </w:t>
      </w:r>
      <w:r>
        <w:rPr>
          <w:i/>
          <w:color w:val="231F20"/>
          <w:w w:val="105"/>
        </w:rPr>
        <w:t>Relations</w:t>
      </w:r>
      <w:r>
        <w:rPr>
          <w:color w:val="231F20"/>
          <w:w w:val="105"/>
        </w:rPr>
        <w:t>, 1969-1972, vol. </w:t>
      </w:r>
      <w:r>
        <w:rPr>
          <w:color w:val="231F20"/>
          <w:spacing w:val="-6"/>
          <w:w w:val="105"/>
        </w:rPr>
        <w:t>iv, </w:t>
      </w:r>
      <w:r>
        <w:rPr>
          <w:color w:val="231F20"/>
          <w:w w:val="105"/>
        </w:rPr>
        <w:t>doc. 173). Por otro lado, a fines de los años sesenta, se agudizaron  los  conflictos  entre  algunos  gobiernos de América Latina y el gobierno de Estados Unidos por la expro- piación de capitales privados estadunidenses. Es así que se planteó      la “multilateralización” de la asistencia como un modo de disminuir    el grado de “politización” que había alcanzado (especialmente en América Latina) tanto la ayuda como la inversión. Se recomendaba  que buena parte del capital destinado a tales programas fuese cana- lizado hacia instituciones financieras “multilaterales”,</w:t>
      </w:r>
      <w:r>
        <w:rPr>
          <w:color w:val="231F20"/>
          <w:w w:val="105"/>
          <w:position w:val="6"/>
          <w:sz w:val="13"/>
        </w:rPr>
        <w:t>9 </w:t>
      </w:r>
      <w:r>
        <w:rPr>
          <w:color w:val="231F20"/>
          <w:w w:val="105"/>
        </w:rPr>
        <w:t>estrategia que debía combinarse con una mayor participación de los demás países donantes, a fin de “compartir la carga” (United States, Department     of State, </w:t>
      </w:r>
      <w:r>
        <w:rPr>
          <w:i/>
          <w:color w:val="231F20"/>
          <w:w w:val="105"/>
        </w:rPr>
        <w:t>Foreign Relations</w:t>
      </w:r>
      <w:r>
        <w:rPr>
          <w:color w:val="231F20"/>
          <w:w w:val="105"/>
        </w:rPr>
        <w:t>, 1969-1972, vol. iv; “Foreign Assistance”, “International  Developement”,  </w:t>
      </w:r>
      <w:r>
        <w:rPr>
          <w:color w:val="231F20"/>
          <w:spacing w:val="-3"/>
          <w:w w:val="105"/>
        </w:rPr>
        <w:t>“Trade  </w:t>
      </w:r>
      <w:r>
        <w:rPr>
          <w:color w:val="231F20"/>
          <w:w w:val="105"/>
        </w:rPr>
        <w:t>Policies”,  doc.</w:t>
      </w:r>
      <w:r>
        <w:rPr>
          <w:color w:val="231F20"/>
          <w:spacing w:val="-3"/>
          <w:w w:val="105"/>
        </w:rPr>
        <w:t> </w:t>
      </w:r>
      <w:r>
        <w:rPr>
          <w:color w:val="231F20"/>
          <w:w w:val="105"/>
        </w:rPr>
        <w:t>5).</w:t>
      </w:r>
    </w:p>
    <w:p>
      <w:pPr>
        <w:pStyle w:val="BodyText"/>
        <w:spacing w:line="261" w:lineRule="auto"/>
        <w:ind w:left="100" w:right="117" w:firstLine="240"/>
        <w:jc w:val="both"/>
      </w:pPr>
      <w:r>
        <w:rPr>
          <w:color w:val="231F20"/>
          <w:w w:val="105"/>
        </w:rPr>
        <w:t>De este modo, la “multilateralización” se consolidó como estrate- gia de una supuesta “despolitización” de las relaciones entre Estados Unidos y América Latina (Ianni, 1973), dinámica que alcanzó su pun- to culminante con las políticas de “ajuste estructural” promovidas por estas instituciones financieras internacionales en América Latina en  los dos decenios posteriores. El supuesto “fracaso” de este ajuste llevó a debilitar la legitimidad de las instituciones financieras internaciona- les y abrió el campo de la “ayuda para el desarrollo” a otros actores   del  ámbito  privado  (fundaciones  privadas,  “megafilántropos”,</w:t>
      </w:r>
      <w:r>
        <w:rPr>
          <w:color w:val="231F20"/>
          <w:spacing w:val="46"/>
          <w:w w:val="105"/>
        </w:rPr>
        <w:t> </w:t>
      </w:r>
      <w:r>
        <w:rPr>
          <w:color w:val="231F20"/>
          <w:w w:val="105"/>
        </w:rPr>
        <w:t>gran-</w:t>
      </w:r>
    </w:p>
    <w:p>
      <w:pPr>
        <w:pStyle w:val="BodyText"/>
      </w:pPr>
    </w:p>
    <w:p>
      <w:pPr>
        <w:spacing w:line="261" w:lineRule="auto" w:before="152"/>
        <w:ind w:left="100" w:right="117" w:firstLine="240"/>
        <w:jc w:val="both"/>
        <w:rPr>
          <w:sz w:val="16"/>
        </w:rPr>
      </w:pPr>
      <w:r>
        <w:rPr>
          <w:color w:val="231F20"/>
          <w:w w:val="110"/>
          <w:position w:val="5"/>
          <w:sz w:val="10"/>
        </w:rPr>
        <w:t>9 </w:t>
      </w:r>
      <w:r>
        <w:rPr>
          <w:color w:val="231F20"/>
          <w:w w:val="110"/>
          <w:sz w:val="16"/>
        </w:rPr>
        <w:t>Las comillas se deben a que precisamente, organismos como el birf (hoy bm),  el fmi o el bid, no son multilaterales sino “internacionales” y constituyen el eje de la estrategia</w:t>
      </w:r>
      <w:r>
        <w:rPr>
          <w:color w:val="231F20"/>
          <w:spacing w:val="-18"/>
          <w:w w:val="110"/>
          <w:sz w:val="16"/>
        </w:rPr>
        <w:t> </w:t>
      </w:r>
      <w:r>
        <w:rPr>
          <w:color w:val="231F20"/>
          <w:w w:val="110"/>
          <w:sz w:val="16"/>
        </w:rPr>
        <w:t>imperialista</w:t>
      </w:r>
      <w:r>
        <w:rPr>
          <w:color w:val="231F20"/>
          <w:spacing w:val="-18"/>
          <w:w w:val="110"/>
          <w:sz w:val="16"/>
        </w:rPr>
        <w:t> </w:t>
      </w:r>
      <w:r>
        <w:rPr>
          <w:color w:val="231F20"/>
          <w:w w:val="110"/>
          <w:sz w:val="16"/>
        </w:rPr>
        <w:t>estadunidense</w:t>
      </w:r>
      <w:r>
        <w:rPr>
          <w:color w:val="231F20"/>
          <w:spacing w:val="-18"/>
          <w:w w:val="110"/>
          <w:sz w:val="16"/>
        </w:rPr>
        <w:t> </w:t>
      </w:r>
      <w:r>
        <w:rPr>
          <w:color w:val="231F20"/>
          <w:w w:val="110"/>
          <w:sz w:val="16"/>
        </w:rPr>
        <w:t>para</w:t>
      </w:r>
      <w:r>
        <w:rPr>
          <w:color w:val="231F20"/>
          <w:spacing w:val="-18"/>
          <w:w w:val="110"/>
          <w:sz w:val="16"/>
        </w:rPr>
        <w:t> </w:t>
      </w:r>
      <w:r>
        <w:rPr>
          <w:color w:val="231F20"/>
          <w:w w:val="110"/>
          <w:sz w:val="16"/>
        </w:rPr>
        <w:t>América</w:t>
      </w:r>
      <w:r>
        <w:rPr>
          <w:color w:val="231F20"/>
          <w:spacing w:val="-18"/>
          <w:w w:val="110"/>
          <w:sz w:val="16"/>
        </w:rPr>
        <w:t> </w:t>
      </w:r>
      <w:r>
        <w:rPr>
          <w:color w:val="231F20"/>
          <w:w w:val="110"/>
          <w:sz w:val="16"/>
        </w:rPr>
        <w:t>Latina</w:t>
      </w:r>
      <w:r>
        <w:rPr>
          <w:color w:val="231F20"/>
          <w:spacing w:val="-18"/>
          <w:w w:val="110"/>
          <w:sz w:val="16"/>
        </w:rPr>
        <w:t> </w:t>
      </w:r>
      <w:r>
        <w:rPr>
          <w:color w:val="231F20"/>
          <w:w w:val="110"/>
          <w:sz w:val="16"/>
        </w:rPr>
        <w:t>(Saxe</w:t>
      </w:r>
      <w:r>
        <w:rPr>
          <w:color w:val="231F20"/>
          <w:spacing w:val="-18"/>
          <w:w w:val="110"/>
          <w:sz w:val="16"/>
        </w:rPr>
        <w:t> </w:t>
      </w:r>
      <w:r>
        <w:rPr>
          <w:color w:val="231F20"/>
          <w:w w:val="110"/>
          <w:sz w:val="16"/>
        </w:rPr>
        <w:t>Fernandez,</w:t>
      </w:r>
      <w:r>
        <w:rPr>
          <w:color w:val="231F20"/>
          <w:spacing w:val="-18"/>
          <w:w w:val="110"/>
          <w:sz w:val="16"/>
        </w:rPr>
        <w:t> </w:t>
      </w:r>
      <w:r>
        <w:rPr>
          <w:color w:val="231F20"/>
          <w:w w:val="110"/>
          <w:sz w:val="16"/>
        </w:rPr>
        <w:t>2006:</w:t>
      </w:r>
      <w:r>
        <w:rPr>
          <w:color w:val="231F20"/>
          <w:spacing w:val="-18"/>
          <w:w w:val="110"/>
          <w:sz w:val="16"/>
        </w:rPr>
        <w:t> </w:t>
      </w:r>
      <w:r>
        <w:rPr>
          <w:color w:val="231F20"/>
          <w:w w:val="110"/>
          <w:sz w:val="16"/>
        </w:rPr>
        <w:t>125)</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des corporaciones, sitios en línea para donar de modo individual) aparentemente “desinteresados” y “neutrales”, que suelen</w:t>
      </w:r>
      <w:r>
        <w:rPr>
          <w:color w:val="231F20"/>
          <w:spacing w:val="-7"/>
          <w:w w:val="110"/>
        </w:rPr>
        <w:t> </w:t>
      </w:r>
      <w:r>
        <w:rPr>
          <w:color w:val="231F20"/>
          <w:w w:val="110"/>
        </w:rPr>
        <w:t>presentar- se como desvinculados e “independientes” con respecto al gobierno de</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Es</w:t>
      </w:r>
      <w:r>
        <w:rPr>
          <w:color w:val="231F20"/>
          <w:spacing w:val="-12"/>
          <w:w w:val="110"/>
        </w:rPr>
        <w:t> </w:t>
      </w:r>
      <w:r>
        <w:rPr>
          <w:color w:val="231F20"/>
          <w:spacing w:val="-3"/>
          <w:w w:val="110"/>
        </w:rPr>
        <w:t>decir,</w:t>
      </w:r>
      <w:r>
        <w:rPr>
          <w:color w:val="231F20"/>
          <w:spacing w:val="-12"/>
          <w:w w:val="110"/>
        </w:rPr>
        <w:t> </w:t>
      </w:r>
      <w:r>
        <w:rPr>
          <w:color w:val="231F20"/>
          <w:w w:val="110"/>
        </w:rPr>
        <w:t>se</w:t>
      </w:r>
      <w:r>
        <w:rPr>
          <w:color w:val="231F20"/>
          <w:spacing w:val="-12"/>
          <w:w w:val="110"/>
        </w:rPr>
        <w:t> </w:t>
      </w:r>
      <w:r>
        <w:rPr>
          <w:color w:val="231F20"/>
          <w:w w:val="110"/>
        </w:rPr>
        <w:t>muestran</w:t>
      </w:r>
      <w:r>
        <w:rPr>
          <w:color w:val="231F20"/>
          <w:spacing w:val="-12"/>
          <w:w w:val="110"/>
        </w:rPr>
        <w:t> </w:t>
      </w:r>
      <w:r>
        <w:rPr>
          <w:color w:val="231F20"/>
          <w:w w:val="110"/>
        </w:rPr>
        <w:t>como</w:t>
      </w:r>
      <w:r>
        <w:rPr>
          <w:color w:val="231F20"/>
          <w:spacing w:val="-12"/>
          <w:w w:val="110"/>
        </w:rPr>
        <w:t> </w:t>
      </w:r>
      <w:r>
        <w:rPr>
          <w:color w:val="231F20"/>
          <w:w w:val="110"/>
        </w:rPr>
        <w:t>“despolitizados”</w:t>
      </w:r>
      <w:r>
        <w:rPr>
          <w:color w:val="231F20"/>
          <w:spacing w:val="-12"/>
          <w:w w:val="110"/>
        </w:rPr>
        <w:t> </w:t>
      </w:r>
      <w:r>
        <w:rPr>
          <w:color w:val="231F20"/>
          <w:w w:val="110"/>
        </w:rPr>
        <w:t>pero tienden a actuar en base a las políticas del gobierno estadunidense, claramente influenciadas por los intereses del empresariado y de los </w:t>
      </w:r>
      <w:r>
        <w:rPr>
          <w:i/>
          <w:color w:val="231F20"/>
          <w:w w:val="110"/>
        </w:rPr>
        <w:t>think tanks </w:t>
      </w:r>
      <w:r>
        <w:rPr>
          <w:color w:val="231F20"/>
          <w:w w:val="110"/>
        </w:rPr>
        <w:t>articulados al gobierno y a las empresas. No obstante, es fundamental señalar que sigue siendo el gobierno el sector con la legalidad y legitimidad necesarias para implementar</w:t>
      </w:r>
      <w:r>
        <w:rPr>
          <w:color w:val="231F20"/>
          <w:spacing w:val="-1"/>
          <w:w w:val="110"/>
        </w:rPr>
        <w:t> </w:t>
      </w:r>
      <w:r>
        <w:rPr>
          <w:color w:val="231F20"/>
          <w:w w:val="110"/>
        </w:rPr>
        <w:t>políticas.</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20"/>
        </w:rPr>
        <w:t>la usaid y el gobierno de george w. bush: gobernanza, democracia y mercado</w:t>
      </w:r>
    </w:p>
    <w:p>
      <w:pPr>
        <w:pStyle w:val="BodyText"/>
        <w:spacing w:before="8"/>
        <w:rPr>
          <w:sz w:val="21"/>
        </w:rPr>
      </w:pPr>
    </w:p>
    <w:p>
      <w:pPr>
        <w:pStyle w:val="BodyText"/>
        <w:spacing w:line="261" w:lineRule="auto"/>
        <w:ind w:left="100" w:right="117"/>
        <w:jc w:val="right"/>
      </w:pPr>
      <w:r>
        <w:rPr>
          <w:color w:val="231F20"/>
          <w:w w:val="110"/>
        </w:rPr>
        <w:t>Al inicio de este trabajo, expusimos que la articulación</w:t>
      </w:r>
      <w:r>
        <w:rPr>
          <w:color w:val="231F20"/>
          <w:spacing w:val="-1"/>
          <w:w w:val="110"/>
        </w:rPr>
        <w:t> </w:t>
      </w:r>
      <w:r>
        <w:rPr>
          <w:color w:val="231F20"/>
          <w:w w:val="110"/>
        </w:rPr>
        <w:t>entre</w:t>
      </w:r>
      <w:r>
        <w:rPr>
          <w:color w:val="231F20"/>
          <w:spacing w:val="-1"/>
          <w:w w:val="110"/>
        </w:rPr>
        <w:t> </w:t>
      </w:r>
      <w:r>
        <w:rPr>
          <w:color w:val="231F20"/>
          <w:w w:val="110"/>
        </w:rPr>
        <w:t>seguri-</w:t>
      </w:r>
      <w:r>
        <w:rPr>
          <w:color w:val="231F20"/>
          <w:w w:val="72"/>
        </w:rPr>
        <w:t> </w:t>
      </w:r>
      <w:r>
        <w:rPr>
          <w:color w:val="231F20"/>
          <w:w w:val="110"/>
        </w:rPr>
        <w:t>dad, democracia y desarrollo se materializa de modo más claro</w:t>
      </w:r>
      <w:r>
        <w:rPr>
          <w:color w:val="231F20"/>
          <w:spacing w:val="-18"/>
          <w:w w:val="110"/>
        </w:rPr>
        <w:t> </w:t>
      </w:r>
      <w:r>
        <w:rPr>
          <w:color w:val="231F20"/>
          <w:w w:val="110"/>
        </w:rPr>
        <w:t>en</w:t>
      </w:r>
      <w:r>
        <w:rPr>
          <w:color w:val="231F20"/>
          <w:spacing w:val="-2"/>
          <w:w w:val="110"/>
        </w:rPr>
        <w:t> </w:t>
      </w:r>
      <w:r>
        <w:rPr>
          <w:color w:val="231F20"/>
          <w:w w:val="110"/>
        </w:rPr>
        <w:t>el</w:t>
      </w:r>
      <w:r>
        <w:rPr>
          <w:color w:val="231F20"/>
          <w:w w:val="108"/>
        </w:rPr>
        <w:t> </w:t>
      </w:r>
      <w:r>
        <w:rPr>
          <w:color w:val="231F20"/>
          <w:w w:val="110"/>
        </w:rPr>
        <w:t>campo de la asistencia para el desarrollo y por eso</w:t>
      </w:r>
      <w:r>
        <w:rPr>
          <w:color w:val="231F20"/>
          <w:spacing w:val="5"/>
          <w:w w:val="110"/>
        </w:rPr>
        <w:t> </w:t>
      </w:r>
      <w:r>
        <w:rPr>
          <w:color w:val="231F20"/>
          <w:w w:val="110"/>
        </w:rPr>
        <w:t>es</w:t>
      </w:r>
      <w:r>
        <w:rPr>
          <w:color w:val="231F20"/>
          <w:spacing w:val="17"/>
          <w:w w:val="110"/>
        </w:rPr>
        <w:t> </w:t>
      </w:r>
      <w:r>
        <w:rPr>
          <w:color w:val="231F20"/>
          <w:w w:val="110"/>
        </w:rPr>
        <w:t>fundamental</w:t>
      </w:r>
      <w:r>
        <w:rPr>
          <w:color w:val="231F20"/>
          <w:w w:val="112"/>
        </w:rPr>
        <w:t> </w:t>
      </w:r>
      <w:r>
        <w:rPr>
          <w:color w:val="231F20"/>
          <w:w w:val="110"/>
        </w:rPr>
        <w:t>tener en cuenta a la usaid. A partir del nuevo milenio (y en</w:t>
      </w:r>
      <w:r>
        <w:rPr>
          <w:color w:val="231F20"/>
          <w:spacing w:val="15"/>
          <w:w w:val="110"/>
        </w:rPr>
        <w:t> </w:t>
      </w:r>
      <w:r>
        <w:rPr>
          <w:color w:val="231F20"/>
          <w:w w:val="110"/>
        </w:rPr>
        <w:t>el</w:t>
      </w:r>
      <w:r>
        <w:rPr>
          <w:color w:val="231F20"/>
          <w:spacing w:val="1"/>
          <w:w w:val="110"/>
        </w:rPr>
        <w:t> </w:t>
      </w:r>
      <w:r>
        <w:rPr>
          <w:color w:val="231F20"/>
          <w:w w:val="110"/>
        </w:rPr>
        <w:t>marco</w:t>
      </w:r>
      <w:r>
        <w:rPr>
          <w:color w:val="231F20"/>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dos</w:t>
      </w:r>
      <w:r>
        <w:rPr>
          <w:color w:val="231F20"/>
          <w:spacing w:val="-22"/>
          <w:w w:val="110"/>
        </w:rPr>
        <w:t> </w:t>
      </w:r>
      <w:r>
        <w:rPr>
          <w:color w:val="231F20"/>
          <w:w w:val="110"/>
        </w:rPr>
        <w:t>administraciones</w:t>
      </w:r>
      <w:r>
        <w:rPr>
          <w:color w:val="231F20"/>
          <w:spacing w:val="-22"/>
          <w:w w:val="110"/>
        </w:rPr>
        <w:t> </w:t>
      </w:r>
      <w:r>
        <w:rPr>
          <w:color w:val="231F20"/>
          <w:w w:val="110"/>
        </w:rPr>
        <w:t>de</w:t>
      </w:r>
      <w:r>
        <w:rPr>
          <w:color w:val="231F20"/>
          <w:spacing w:val="-22"/>
          <w:w w:val="110"/>
        </w:rPr>
        <w:t> </w:t>
      </w:r>
      <w:r>
        <w:rPr>
          <w:color w:val="231F20"/>
          <w:w w:val="110"/>
        </w:rPr>
        <w:t>George</w:t>
      </w:r>
      <w:r>
        <w:rPr>
          <w:color w:val="231F20"/>
          <w:spacing w:val="-22"/>
          <w:w w:val="110"/>
        </w:rPr>
        <w:t> </w:t>
      </w:r>
      <w:r>
        <w:rPr>
          <w:color w:val="231F20"/>
          <w:spacing w:val="-6"/>
          <w:w w:val="110"/>
        </w:rPr>
        <w:t>W.</w:t>
      </w:r>
      <w:r>
        <w:rPr>
          <w:color w:val="231F20"/>
          <w:spacing w:val="-22"/>
          <w:w w:val="110"/>
        </w:rPr>
        <w:t> </w:t>
      </w:r>
      <w:r>
        <w:rPr>
          <w:color w:val="231F20"/>
          <w:w w:val="110"/>
        </w:rPr>
        <w:t>Bush),</w:t>
      </w:r>
      <w:r>
        <w:rPr>
          <w:color w:val="231F20"/>
          <w:spacing w:val="-22"/>
          <w:w w:val="110"/>
        </w:rPr>
        <w:t> </w:t>
      </w:r>
      <w:r>
        <w:rPr>
          <w:color w:val="231F20"/>
          <w:w w:val="110"/>
        </w:rPr>
        <w:t>esta</w:t>
      </w:r>
      <w:r>
        <w:rPr>
          <w:color w:val="231F20"/>
          <w:spacing w:val="-22"/>
          <w:w w:val="110"/>
        </w:rPr>
        <w:t> </w:t>
      </w:r>
      <w:r>
        <w:rPr>
          <w:color w:val="231F20"/>
          <w:w w:val="110"/>
        </w:rPr>
        <w:t>institución</w:t>
      </w:r>
      <w:r>
        <w:rPr>
          <w:color w:val="231F20"/>
          <w:spacing w:val="-22"/>
          <w:w w:val="110"/>
        </w:rPr>
        <w:t> </w:t>
      </w:r>
      <w:r>
        <w:rPr>
          <w:color w:val="231F20"/>
          <w:w w:val="110"/>
        </w:rPr>
        <w:t>man-</w:t>
      </w:r>
      <w:r>
        <w:rPr>
          <w:color w:val="231F20"/>
          <w:w w:val="72"/>
        </w:rPr>
        <w:t> </w:t>
      </w:r>
      <w:r>
        <w:rPr>
          <w:color w:val="231F20"/>
          <w:w w:val="110"/>
        </w:rPr>
        <w:t>tuvo como eje principal de sus políticas la promoción y</w:t>
      </w:r>
      <w:r>
        <w:rPr>
          <w:color w:val="231F20"/>
          <w:spacing w:val="3"/>
          <w:w w:val="110"/>
        </w:rPr>
        <w:t> </w:t>
      </w:r>
      <w:r>
        <w:rPr>
          <w:color w:val="231F20"/>
          <w:w w:val="110"/>
        </w:rPr>
        <w:t>el</w:t>
      </w:r>
      <w:r>
        <w:rPr>
          <w:color w:val="231F20"/>
          <w:spacing w:val="11"/>
          <w:w w:val="110"/>
        </w:rPr>
        <w:t> </w:t>
      </w:r>
      <w:r>
        <w:rPr>
          <w:color w:val="231F20"/>
          <w:w w:val="110"/>
        </w:rPr>
        <w:t>refuerzo</w:t>
      </w:r>
      <w:r>
        <w:rPr>
          <w:color w:val="231F20"/>
          <w:w w:val="110"/>
        </w:rPr>
        <w:t> </w:t>
      </w:r>
      <w:r>
        <w:rPr>
          <w:color w:val="231F20"/>
          <w:w w:val="110"/>
        </w:rPr>
        <w:t>de la “gobernanza” para asegurar la estabilidad política, el</w:t>
      </w:r>
      <w:r>
        <w:rPr>
          <w:color w:val="231F20"/>
          <w:spacing w:val="14"/>
          <w:w w:val="110"/>
        </w:rPr>
        <w:t> </w:t>
      </w:r>
      <w:r>
        <w:rPr>
          <w:color w:val="231F20"/>
          <w:w w:val="110"/>
        </w:rPr>
        <w:t>flujo</w:t>
      </w:r>
      <w:r>
        <w:rPr>
          <w:color w:val="231F20"/>
          <w:spacing w:val="13"/>
          <w:w w:val="110"/>
        </w:rPr>
        <w:t> </w:t>
      </w:r>
      <w:r>
        <w:rPr>
          <w:color w:val="231F20"/>
          <w:w w:val="110"/>
        </w:rPr>
        <w:t>de</w:t>
      </w:r>
      <w:r>
        <w:rPr>
          <w:color w:val="231F20"/>
          <w:w w:val="114"/>
        </w:rPr>
        <w:t> </w:t>
      </w:r>
      <w:r>
        <w:rPr>
          <w:color w:val="231F20"/>
          <w:w w:val="110"/>
        </w:rPr>
        <w:t>capitales y el aumento del comercio como medios para paliar</w:t>
      </w:r>
      <w:r>
        <w:rPr>
          <w:color w:val="231F20"/>
          <w:spacing w:val="42"/>
          <w:w w:val="110"/>
        </w:rPr>
        <w:t> </w:t>
      </w:r>
      <w:r>
        <w:rPr>
          <w:color w:val="231F20"/>
          <w:w w:val="110"/>
        </w:rPr>
        <w:t>la</w:t>
      </w:r>
      <w:r>
        <w:rPr>
          <w:color w:val="231F20"/>
          <w:spacing w:val="4"/>
          <w:w w:val="110"/>
        </w:rPr>
        <w:t> </w:t>
      </w:r>
      <w:r>
        <w:rPr>
          <w:color w:val="231F20"/>
          <w:w w:val="110"/>
        </w:rPr>
        <w:t>po-</w:t>
      </w:r>
      <w:r>
        <w:rPr>
          <w:color w:val="231F20"/>
          <w:w w:val="72"/>
        </w:rPr>
        <w:t> </w:t>
      </w:r>
      <w:r>
        <w:rPr>
          <w:color w:val="231F20"/>
          <w:w w:val="110"/>
        </w:rPr>
        <w:t>breza: “La buena gobernanza es quizá el único factor crucial</w:t>
      </w:r>
      <w:r>
        <w:rPr>
          <w:color w:val="231F20"/>
          <w:spacing w:val="28"/>
          <w:w w:val="110"/>
        </w:rPr>
        <w:t> </w:t>
      </w:r>
      <w:r>
        <w:rPr>
          <w:color w:val="231F20"/>
          <w:w w:val="110"/>
        </w:rPr>
        <w:t>para</w:t>
      </w:r>
      <w:r>
        <w:rPr>
          <w:color w:val="231F20"/>
          <w:spacing w:val="2"/>
          <w:w w:val="110"/>
        </w:rPr>
        <w:t> </w:t>
      </w:r>
      <w:r>
        <w:rPr>
          <w:color w:val="231F20"/>
          <w:w w:val="110"/>
        </w:rPr>
        <w:t>la</w:t>
      </w:r>
      <w:r>
        <w:rPr>
          <w:color w:val="231F20"/>
          <w:w w:val="105"/>
        </w:rPr>
        <w:t> </w:t>
      </w:r>
      <w:r>
        <w:rPr>
          <w:color w:val="231F20"/>
          <w:w w:val="110"/>
        </w:rPr>
        <w:t>erradicación de la pobreza y la promoción del desarrollo</w:t>
      </w:r>
      <w:r>
        <w:rPr>
          <w:color w:val="231F20"/>
          <w:spacing w:val="6"/>
          <w:w w:val="110"/>
        </w:rPr>
        <w:t> </w:t>
      </w:r>
      <w:r>
        <w:rPr>
          <w:color w:val="231F20"/>
          <w:w w:val="110"/>
        </w:rPr>
        <w:t>[…]</w:t>
      </w:r>
      <w:r>
        <w:rPr>
          <w:color w:val="231F20"/>
          <w:spacing w:val="6"/>
          <w:w w:val="110"/>
        </w:rPr>
        <w:t> </w:t>
      </w:r>
      <w:r>
        <w:rPr>
          <w:color w:val="231F20"/>
          <w:w w:val="110"/>
        </w:rPr>
        <w:t>alivia</w:t>
      </w:r>
      <w:r>
        <w:rPr>
          <w:color w:val="231F20"/>
          <w:w w:val="99"/>
        </w:rPr>
        <w:t> </w:t>
      </w:r>
      <w:r>
        <w:rPr>
          <w:color w:val="231F20"/>
          <w:w w:val="110"/>
        </w:rPr>
        <w:t>la pobreza y promueve el crecimiento económico alentando</w:t>
      </w:r>
      <w:r>
        <w:rPr>
          <w:color w:val="231F20"/>
          <w:spacing w:val="5"/>
          <w:w w:val="110"/>
        </w:rPr>
        <w:t> </w:t>
      </w:r>
      <w:r>
        <w:rPr>
          <w:color w:val="231F20"/>
          <w:w w:val="110"/>
        </w:rPr>
        <w:t>el</w:t>
      </w:r>
      <w:r>
        <w:rPr>
          <w:color w:val="231F20"/>
          <w:spacing w:val="7"/>
          <w:w w:val="110"/>
        </w:rPr>
        <w:t> </w:t>
      </w:r>
      <w:r>
        <w:rPr>
          <w:color w:val="231F20"/>
          <w:w w:val="110"/>
        </w:rPr>
        <w:t>flujo</w:t>
      </w:r>
      <w:r>
        <w:rPr>
          <w:color w:val="231F20"/>
          <w:w w:val="106"/>
        </w:rPr>
        <w:t> </w:t>
      </w:r>
      <w:r>
        <w:rPr>
          <w:color w:val="231F20"/>
          <w:w w:val="110"/>
        </w:rPr>
        <w:t>de</w:t>
      </w:r>
      <w:r>
        <w:rPr>
          <w:color w:val="231F20"/>
          <w:spacing w:val="29"/>
          <w:w w:val="110"/>
        </w:rPr>
        <w:t> </w:t>
      </w:r>
      <w:r>
        <w:rPr>
          <w:color w:val="231F20"/>
          <w:w w:val="110"/>
        </w:rPr>
        <w:t>inversiones</w:t>
      </w:r>
      <w:r>
        <w:rPr>
          <w:color w:val="231F20"/>
          <w:spacing w:val="29"/>
          <w:w w:val="110"/>
        </w:rPr>
        <w:t> </w:t>
      </w:r>
      <w:r>
        <w:rPr>
          <w:color w:val="231F20"/>
          <w:w w:val="110"/>
        </w:rPr>
        <w:t>[que]</w:t>
      </w:r>
      <w:r>
        <w:rPr>
          <w:color w:val="231F20"/>
          <w:spacing w:val="29"/>
          <w:w w:val="110"/>
        </w:rPr>
        <w:t> </w:t>
      </w:r>
      <w:r>
        <w:rPr>
          <w:color w:val="231F20"/>
          <w:w w:val="110"/>
        </w:rPr>
        <w:t>generan</w:t>
      </w:r>
      <w:r>
        <w:rPr>
          <w:color w:val="231F20"/>
          <w:spacing w:val="29"/>
          <w:w w:val="110"/>
        </w:rPr>
        <w:t> </w:t>
      </w:r>
      <w:r>
        <w:rPr>
          <w:color w:val="231F20"/>
          <w:w w:val="110"/>
        </w:rPr>
        <w:t>mejoramiento</w:t>
      </w:r>
      <w:r>
        <w:rPr>
          <w:color w:val="231F20"/>
          <w:spacing w:val="29"/>
          <w:w w:val="110"/>
        </w:rPr>
        <w:t> </w:t>
      </w:r>
      <w:r>
        <w:rPr>
          <w:color w:val="231F20"/>
          <w:w w:val="110"/>
        </w:rPr>
        <w:t>en</w:t>
      </w:r>
      <w:r>
        <w:rPr>
          <w:color w:val="231F20"/>
          <w:spacing w:val="29"/>
          <w:w w:val="110"/>
        </w:rPr>
        <w:t> </w:t>
      </w:r>
      <w:r>
        <w:rPr>
          <w:color w:val="231F20"/>
          <w:w w:val="110"/>
        </w:rPr>
        <w:t>la</w:t>
      </w:r>
      <w:r>
        <w:rPr>
          <w:color w:val="231F20"/>
          <w:spacing w:val="29"/>
          <w:w w:val="110"/>
        </w:rPr>
        <w:t> </w:t>
      </w:r>
      <w:r>
        <w:rPr>
          <w:color w:val="231F20"/>
          <w:w w:val="110"/>
        </w:rPr>
        <w:t>calidad</w:t>
      </w:r>
      <w:r>
        <w:rPr>
          <w:color w:val="231F20"/>
          <w:spacing w:val="29"/>
          <w:w w:val="110"/>
        </w:rPr>
        <w:t> </w:t>
      </w:r>
      <w:r>
        <w:rPr>
          <w:color w:val="231F20"/>
          <w:w w:val="110"/>
        </w:rPr>
        <w:t>de</w:t>
      </w:r>
      <w:r>
        <w:rPr>
          <w:color w:val="231F20"/>
          <w:spacing w:val="29"/>
          <w:w w:val="110"/>
        </w:rPr>
        <w:t> </w:t>
      </w:r>
      <w:r>
        <w:rPr>
          <w:color w:val="231F20"/>
          <w:w w:val="110"/>
        </w:rPr>
        <w:t>vida,</w:t>
      </w:r>
      <w:r>
        <w:rPr>
          <w:color w:val="231F20"/>
          <w:w w:val="102"/>
        </w:rPr>
        <w:t> </w:t>
      </w:r>
      <w:r>
        <w:rPr>
          <w:color w:val="231F20"/>
          <w:w w:val="110"/>
        </w:rPr>
        <w:t>la expansión del comercio y la estabilidad política” (usaid,</w:t>
      </w:r>
      <w:r>
        <w:rPr>
          <w:color w:val="231F20"/>
          <w:spacing w:val="-4"/>
          <w:w w:val="110"/>
        </w:rPr>
        <w:t> </w:t>
      </w:r>
      <w:r>
        <w:rPr>
          <w:color w:val="231F20"/>
          <w:w w:val="110"/>
        </w:rPr>
        <w:t>2004:</w:t>
      </w:r>
      <w:r>
        <w:rPr>
          <w:color w:val="231F20"/>
          <w:spacing w:val="-1"/>
          <w:w w:val="110"/>
        </w:rPr>
        <w:t> </w:t>
      </w:r>
      <w:r>
        <w:rPr>
          <w:color w:val="231F20"/>
          <w:w w:val="110"/>
        </w:rPr>
        <w:t>2).</w:t>
      </w:r>
      <w:r>
        <w:rPr>
          <w:color w:val="231F20"/>
          <w:w w:val="112"/>
        </w:rPr>
        <w:t> </w:t>
      </w:r>
      <w:r>
        <w:rPr>
          <w:color w:val="231F20"/>
          <w:w w:val="110"/>
        </w:rPr>
        <w:t>La preocupación de la usaid se centra en el problema de</w:t>
      </w:r>
      <w:r>
        <w:rPr>
          <w:color w:val="231F20"/>
          <w:spacing w:val="47"/>
          <w:w w:val="110"/>
        </w:rPr>
        <w:t> </w:t>
      </w:r>
      <w:r>
        <w:rPr>
          <w:color w:val="231F20"/>
          <w:w w:val="110"/>
        </w:rPr>
        <w:t>la</w:t>
      </w:r>
      <w:r>
        <w:rPr>
          <w:color w:val="231F20"/>
          <w:spacing w:val="14"/>
          <w:w w:val="110"/>
        </w:rPr>
        <w:t> </w:t>
      </w:r>
      <w:r>
        <w:rPr>
          <w:color w:val="231F20"/>
          <w:w w:val="110"/>
        </w:rPr>
        <w:t>“go-</w:t>
      </w:r>
      <w:r>
        <w:rPr>
          <w:color w:val="231F20"/>
          <w:w w:val="72"/>
        </w:rPr>
        <w:t> </w:t>
      </w:r>
      <w:r>
        <w:rPr>
          <w:color w:val="231F20"/>
          <w:w w:val="110"/>
        </w:rPr>
        <w:t>bernabilidad”, porque la debilidad en este aspecto tiende</w:t>
      </w:r>
      <w:r>
        <w:rPr>
          <w:color w:val="231F20"/>
          <w:spacing w:val="-1"/>
          <w:w w:val="110"/>
        </w:rPr>
        <w:t> </w:t>
      </w:r>
      <w:r>
        <w:rPr>
          <w:color w:val="231F20"/>
          <w:w w:val="110"/>
        </w:rPr>
        <w:t>a</w:t>
      </w:r>
      <w:r>
        <w:rPr>
          <w:color w:val="231F20"/>
          <w:spacing w:val="-1"/>
          <w:w w:val="110"/>
        </w:rPr>
        <w:t> </w:t>
      </w:r>
      <w:r>
        <w:rPr>
          <w:color w:val="231F20"/>
          <w:w w:val="110"/>
        </w:rPr>
        <w:t>erosionar</w:t>
      </w:r>
      <w:r>
        <w:rPr>
          <w:color w:val="231F20"/>
          <w:w w:val="111"/>
        </w:rPr>
        <w:t> </w:t>
      </w:r>
      <w:r>
        <w:rPr>
          <w:color w:val="231F20"/>
          <w:w w:val="110"/>
        </w:rPr>
        <w:t>la legitimidad del Estado, disminuir la estabilidad y dificultar</w:t>
      </w:r>
      <w:r>
        <w:rPr>
          <w:color w:val="231F20"/>
          <w:spacing w:val="-28"/>
          <w:w w:val="110"/>
        </w:rPr>
        <w:t> </w:t>
      </w:r>
      <w:r>
        <w:rPr>
          <w:color w:val="231F20"/>
          <w:w w:val="110"/>
        </w:rPr>
        <w:t>el</w:t>
      </w:r>
      <w:r>
        <w:rPr>
          <w:color w:val="231F20"/>
          <w:spacing w:val="-4"/>
          <w:w w:val="110"/>
        </w:rPr>
        <w:t> </w:t>
      </w:r>
      <w:r>
        <w:rPr>
          <w:color w:val="231F20"/>
          <w:w w:val="110"/>
        </w:rPr>
        <w:t>pro-</w:t>
      </w:r>
      <w:r>
        <w:rPr>
          <w:color w:val="231F20"/>
          <w:w w:val="72"/>
        </w:rPr>
        <w:t> </w:t>
      </w:r>
      <w:r>
        <w:rPr>
          <w:color w:val="231F20"/>
          <w:w w:val="110"/>
        </w:rPr>
        <w:t>greso</w:t>
      </w:r>
      <w:r>
        <w:rPr>
          <w:color w:val="231F20"/>
          <w:spacing w:val="-10"/>
          <w:w w:val="110"/>
        </w:rPr>
        <w:t> </w:t>
      </w:r>
      <w:r>
        <w:rPr>
          <w:color w:val="231F20"/>
          <w:w w:val="110"/>
        </w:rPr>
        <w:t>del</w:t>
      </w:r>
      <w:r>
        <w:rPr>
          <w:color w:val="231F20"/>
          <w:spacing w:val="-10"/>
          <w:w w:val="110"/>
        </w:rPr>
        <w:t> </w:t>
      </w:r>
      <w:r>
        <w:rPr>
          <w:color w:val="231F20"/>
          <w:w w:val="110"/>
        </w:rPr>
        <w:t>desarrollo.</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vez</w:t>
      </w:r>
      <w:r>
        <w:rPr>
          <w:color w:val="231F20"/>
          <w:spacing w:val="-10"/>
          <w:w w:val="110"/>
        </w:rPr>
        <w:t> </w:t>
      </w:r>
      <w:r>
        <w:rPr>
          <w:color w:val="231F20"/>
          <w:w w:val="110"/>
        </w:rPr>
        <w:t>“esto</w:t>
      </w:r>
      <w:r>
        <w:rPr>
          <w:color w:val="231F20"/>
          <w:spacing w:val="-10"/>
          <w:w w:val="110"/>
        </w:rPr>
        <w:t> </w:t>
      </w:r>
      <w:r>
        <w:rPr>
          <w:color w:val="231F20"/>
          <w:w w:val="110"/>
        </w:rPr>
        <w:t>impide</w:t>
      </w:r>
      <w:r>
        <w:rPr>
          <w:color w:val="231F20"/>
          <w:spacing w:val="-10"/>
          <w:w w:val="110"/>
        </w:rPr>
        <w:t> </w:t>
      </w:r>
      <w:r>
        <w:rPr>
          <w:color w:val="231F20"/>
          <w:w w:val="110"/>
        </w:rPr>
        <w:t>la</w:t>
      </w:r>
      <w:r>
        <w:rPr>
          <w:color w:val="231F20"/>
          <w:spacing w:val="-10"/>
          <w:w w:val="110"/>
        </w:rPr>
        <w:t> </w:t>
      </w:r>
      <w:r>
        <w:rPr>
          <w:color w:val="231F20"/>
          <w:w w:val="110"/>
        </w:rPr>
        <w:t>estabilidad</w:t>
      </w:r>
      <w:r>
        <w:rPr>
          <w:color w:val="231F20"/>
          <w:spacing w:val="-10"/>
          <w:w w:val="110"/>
        </w:rPr>
        <w:t> </w:t>
      </w:r>
      <w:r>
        <w:rPr>
          <w:color w:val="231F20"/>
          <w:w w:val="110"/>
        </w:rPr>
        <w:t>política</w:t>
      </w:r>
      <w:r>
        <w:rPr>
          <w:color w:val="231F20"/>
          <w:spacing w:val="-10"/>
          <w:w w:val="110"/>
        </w:rPr>
        <w:t> </w:t>
      </w:r>
      <w:r>
        <w:rPr>
          <w:color w:val="231F20"/>
          <w:w w:val="110"/>
        </w:rPr>
        <w:t>y</w:t>
      </w:r>
      <w:r>
        <w:rPr>
          <w:color w:val="231F20"/>
          <w:spacing w:val="-10"/>
          <w:w w:val="110"/>
        </w:rPr>
        <w:t> </w:t>
      </w:r>
      <w:r>
        <w:rPr>
          <w:color w:val="231F20"/>
          <w:w w:val="110"/>
        </w:rPr>
        <w:t>la</w:t>
      </w:r>
      <w:r>
        <w:rPr>
          <w:color w:val="231F20"/>
          <w:w w:val="105"/>
        </w:rPr>
        <w:t> </w:t>
      </w:r>
      <w:r>
        <w:rPr>
          <w:color w:val="231F20"/>
          <w:w w:val="110"/>
        </w:rPr>
        <w:t>predisposición para el comercio —y deja mucha gente de </w:t>
      </w:r>
      <w:r>
        <w:rPr>
          <w:color w:val="231F20"/>
          <w:spacing w:val="14"/>
          <w:w w:val="110"/>
        </w:rPr>
        <w:t> </w:t>
      </w:r>
      <w:r>
        <w:rPr>
          <w:color w:val="231F20"/>
          <w:w w:val="110"/>
        </w:rPr>
        <w:t>lado,</w:t>
      </w:r>
      <w:r>
        <w:rPr>
          <w:color w:val="231F20"/>
          <w:spacing w:val="19"/>
          <w:w w:val="110"/>
        </w:rPr>
        <w:t> </w:t>
      </w:r>
      <w:r>
        <w:rPr>
          <w:color w:val="231F20"/>
          <w:w w:val="110"/>
        </w:rPr>
        <w:t>en</w:t>
      </w:r>
      <w:r>
        <w:rPr>
          <w:color w:val="231F20"/>
          <w:w w:val="116"/>
        </w:rPr>
        <w:t> </w:t>
      </w:r>
      <w:r>
        <w:rPr>
          <w:color w:val="231F20"/>
          <w:w w:val="110"/>
        </w:rPr>
        <w:t>la pobreza” (usaid, 2004: 4). Para revertir esta</w:t>
      </w:r>
      <w:r>
        <w:rPr>
          <w:color w:val="231F20"/>
          <w:spacing w:val="46"/>
          <w:w w:val="110"/>
        </w:rPr>
        <w:t> </w:t>
      </w:r>
      <w:r>
        <w:rPr>
          <w:color w:val="231F20"/>
          <w:w w:val="110"/>
        </w:rPr>
        <w:t>tendencia</w:t>
      </w:r>
      <w:r>
        <w:rPr>
          <w:color w:val="231F20"/>
          <w:spacing w:val="5"/>
          <w:w w:val="110"/>
        </w:rPr>
        <w:t> </w:t>
      </w:r>
      <w:r>
        <w:rPr>
          <w:color w:val="231F20"/>
          <w:w w:val="110"/>
        </w:rPr>
        <w:t>“negativa”</w:t>
      </w:r>
      <w:r>
        <w:rPr>
          <w:color w:val="231F20"/>
          <w:w w:val="102"/>
        </w:rPr>
        <w:t> </w:t>
      </w:r>
      <w:r>
        <w:rPr>
          <w:color w:val="231F20"/>
          <w:w w:val="110"/>
        </w:rPr>
        <w:t>para el “desarrollo”, la usaid “está comprometida con la</w:t>
      </w:r>
      <w:r>
        <w:rPr>
          <w:color w:val="231F20"/>
          <w:spacing w:val="26"/>
          <w:w w:val="110"/>
        </w:rPr>
        <w:t> </w:t>
      </w:r>
      <w:r>
        <w:rPr>
          <w:color w:val="231F20"/>
          <w:w w:val="110"/>
        </w:rPr>
        <w:t>creencia</w:t>
      </w:r>
      <w:r>
        <w:rPr>
          <w:color w:val="231F20"/>
          <w:spacing w:val="2"/>
          <w:w w:val="110"/>
        </w:rPr>
        <w:t> </w:t>
      </w:r>
      <w:r>
        <w:rPr>
          <w:color w:val="231F20"/>
          <w:w w:val="110"/>
        </w:rPr>
        <w:t>de</w:t>
      </w:r>
      <w:r>
        <w:rPr>
          <w:color w:val="231F20"/>
          <w:w w:val="114"/>
        </w:rPr>
        <w:t> </w:t>
      </w:r>
      <w:r>
        <w:rPr>
          <w:color w:val="231F20"/>
          <w:w w:val="110"/>
        </w:rPr>
        <w:t>que mejorando las ventajas comparativas naturales de</w:t>
      </w:r>
      <w:r>
        <w:rPr>
          <w:color w:val="231F20"/>
          <w:spacing w:val="32"/>
          <w:w w:val="110"/>
        </w:rPr>
        <w:t> </w:t>
      </w:r>
      <w:r>
        <w:rPr>
          <w:color w:val="231F20"/>
          <w:w w:val="110"/>
        </w:rPr>
        <w:t>los</w:t>
      </w:r>
      <w:r>
        <w:rPr>
          <w:color w:val="231F20"/>
          <w:spacing w:val="4"/>
          <w:w w:val="110"/>
        </w:rPr>
        <w:t> </w:t>
      </w:r>
      <w:r>
        <w:rPr>
          <w:color w:val="231F20"/>
          <w:w w:val="110"/>
        </w:rPr>
        <w:t>gobiernos</w:t>
      </w:r>
      <w:r>
        <w:rPr>
          <w:color w:val="231F20"/>
          <w:w w:val="110"/>
        </w:rPr>
        <w:t> </w:t>
      </w:r>
      <w:r>
        <w:rPr>
          <w:color w:val="231F20"/>
          <w:w w:val="110"/>
        </w:rPr>
        <w:t>locales</w:t>
      </w:r>
      <w:r>
        <w:rPr>
          <w:color w:val="231F20"/>
          <w:spacing w:val="-6"/>
          <w:w w:val="110"/>
        </w:rPr>
        <w:t> </w:t>
      </w:r>
      <w:r>
        <w:rPr>
          <w:color w:val="231F20"/>
          <w:w w:val="110"/>
        </w:rPr>
        <w:t>para</w:t>
      </w:r>
      <w:r>
        <w:rPr>
          <w:color w:val="231F20"/>
          <w:spacing w:val="-6"/>
          <w:w w:val="110"/>
        </w:rPr>
        <w:t> </w:t>
      </w:r>
      <w:r>
        <w:rPr>
          <w:color w:val="231F20"/>
          <w:w w:val="110"/>
        </w:rPr>
        <w:t>brindar</w:t>
      </w:r>
      <w:r>
        <w:rPr>
          <w:color w:val="231F20"/>
          <w:spacing w:val="-6"/>
          <w:w w:val="110"/>
        </w:rPr>
        <w:t> </w:t>
      </w:r>
      <w:r>
        <w:rPr>
          <w:color w:val="231F20"/>
          <w:w w:val="110"/>
        </w:rPr>
        <w:t>servicios</w:t>
      </w:r>
      <w:r>
        <w:rPr>
          <w:color w:val="231F20"/>
          <w:spacing w:val="-6"/>
          <w:w w:val="110"/>
        </w:rPr>
        <w:t> </w:t>
      </w:r>
      <w:r>
        <w:rPr>
          <w:color w:val="231F20"/>
          <w:w w:val="110"/>
        </w:rPr>
        <w:t>públicos</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efectiva,</w:t>
      </w:r>
      <w:r>
        <w:rPr>
          <w:color w:val="231F20"/>
          <w:spacing w:val="-6"/>
          <w:w w:val="110"/>
        </w:rPr>
        <w:t> </w:t>
      </w:r>
      <w:r>
        <w:rPr>
          <w:color w:val="231F20"/>
          <w:w w:val="110"/>
        </w:rPr>
        <w:t>los</w:t>
      </w:r>
      <w:r>
        <w:rPr>
          <w:color w:val="231F20"/>
          <w:spacing w:val="-6"/>
          <w:w w:val="110"/>
        </w:rPr>
        <w:t> </w:t>
      </w:r>
      <w:r>
        <w:rPr>
          <w:color w:val="231F20"/>
          <w:w w:val="110"/>
        </w:rPr>
        <w:t>países</w:t>
      </w:r>
      <w:r>
        <w:rPr>
          <w:color w:val="231F20"/>
          <w:w w:val="105"/>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rPr>
        <w:t>región</w:t>
      </w:r>
      <w:r>
        <w:rPr>
          <w:color w:val="231F20"/>
          <w:spacing w:val="30"/>
          <w:w w:val="110"/>
        </w:rPr>
        <w:t> </w:t>
      </w:r>
      <w:r>
        <w:rPr>
          <w:color w:val="231F20"/>
          <w:w w:val="110"/>
        </w:rPr>
        <w:t>devendrán</w:t>
      </w:r>
      <w:r>
        <w:rPr>
          <w:color w:val="231F20"/>
          <w:spacing w:val="30"/>
          <w:w w:val="110"/>
        </w:rPr>
        <w:t> </w:t>
      </w:r>
      <w:r>
        <w:rPr>
          <w:color w:val="231F20"/>
          <w:w w:val="110"/>
        </w:rPr>
        <w:t>en</w:t>
      </w:r>
      <w:r>
        <w:rPr>
          <w:color w:val="231F20"/>
          <w:spacing w:val="30"/>
          <w:w w:val="110"/>
        </w:rPr>
        <w:t> </w:t>
      </w:r>
      <w:r>
        <w:rPr>
          <w:color w:val="231F20"/>
          <w:w w:val="110"/>
        </w:rPr>
        <w:t>expertos</w:t>
      </w:r>
      <w:r>
        <w:rPr>
          <w:color w:val="231F20"/>
          <w:spacing w:val="30"/>
          <w:w w:val="110"/>
        </w:rPr>
        <w:t> </w:t>
      </w:r>
      <w:r>
        <w:rPr>
          <w:color w:val="231F20"/>
          <w:w w:val="110"/>
        </w:rPr>
        <w:t>y</w:t>
      </w:r>
      <w:r>
        <w:rPr>
          <w:color w:val="231F20"/>
          <w:spacing w:val="30"/>
          <w:w w:val="110"/>
        </w:rPr>
        <w:t> </w:t>
      </w:r>
      <w:r>
        <w:rPr>
          <w:color w:val="231F20"/>
          <w:w w:val="110"/>
        </w:rPr>
        <w:t>con</w:t>
      </w:r>
      <w:r>
        <w:rPr>
          <w:color w:val="231F20"/>
          <w:spacing w:val="30"/>
          <w:w w:val="110"/>
        </w:rPr>
        <w:t> </w:t>
      </w:r>
      <w:r>
        <w:rPr>
          <w:color w:val="231F20"/>
          <w:w w:val="110"/>
        </w:rPr>
        <w:t>la</w:t>
      </w:r>
      <w:r>
        <w:rPr>
          <w:color w:val="231F20"/>
          <w:spacing w:val="30"/>
          <w:w w:val="110"/>
        </w:rPr>
        <w:t> </w:t>
      </w:r>
      <w:r>
        <w:rPr>
          <w:color w:val="231F20"/>
          <w:w w:val="110"/>
        </w:rPr>
        <w:t>voluntad</w:t>
      </w:r>
      <w:r>
        <w:rPr>
          <w:color w:val="231F20"/>
          <w:spacing w:val="30"/>
          <w:w w:val="110"/>
        </w:rPr>
        <w:t> </w:t>
      </w:r>
      <w:r>
        <w:rPr>
          <w:color w:val="231F20"/>
          <w:w w:val="110"/>
        </w:rPr>
        <w:t>para</w:t>
      </w:r>
      <w:r>
        <w:rPr>
          <w:color w:val="231F20"/>
          <w:spacing w:val="30"/>
          <w:w w:val="110"/>
        </w:rPr>
        <w:t> </w:t>
      </w:r>
      <w:r>
        <w:rPr>
          <w:color w:val="231F20"/>
          <w:w w:val="110"/>
        </w:rPr>
        <w:t>lograr</w:t>
      </w:r>
      <w:r>
        <w:rPr>
          <w:color w:val="231F20"/>
          <w:w w:val="110"/>
        </w:rPr>
        <w:t> </w:t>
      </w:r>
      <w:r>
        <w:rPr>
          <w:color w:val="231F20"/>
          <w:w w:val="110"/>
        </w:rPr>
        <w:t>una buena gobernanza” (usaid, 2004: 10). Esta idea de las  </w:t>
      </w:r>
      <w:r>
        <w:rPr>
          <w:color w:val="231F20"/>
          <w:spacing w:val="20"/>
          <w:w w:val="110"/>
        </w:rPr>
        <w:t> </w:t>
      </w:r>
      <w:r>
        <w:rPr>
          <w:color w:val="231F20"/>
          <w:w w:val="110"/>
        </w:rPr>
        <w:t>ventajas</w:t>
      </w:r>
    </w:p>
    <w:p>
      <w:pPr>
        <w:spacing w:after="0" w:line="261" w:lineRule="auto"/>
        <w:jc w:val="right"/>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comparativas (típica de la economía neoclásica) y la “presencia de técnicos” para lograr la buena gobernanza, se encuentra presente también</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postulados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Estrategia</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Nacional</w:t>
      </w:r>
      <w:r>
        <w:rPr>
          <w:color w:val="231F20"/>
          <w:spacing w:val="-8"/>
          <w:w w:val="110"/>
        </w:rPr>
        <w:t> </w:t>
      </w:r>
      <w:r>
        <w:rPr>
          <w:color w:val="231F20"/>
          <w:w w:val="110"/>
        </w:rPr>
        <w:t>del año 2006, que propone un aumento en el presupuesto destinado a   la capacitación y entrenamiento para llevar a cabo los programas en vinculación directa con redes</w:t>
      </w:r>
      <w:r>
        <w:rPr>
          <w:color w:val="231F20"/>
          <w:spacing w:val="-1"/>
          <w:w w:val="110"/>
        </w:rPr>
        <w:t> </w:t>
      </w:r>
      <w:r>
        <w:rPr>
          <w:color w:val="231F20"/>
          <w:w w:val="110"/>
        </w:rPr>
        <w:t>locales.</w:t>
      </w:r>
    </w:p>
    <w:p>
      <w:pPr>
        <w:pStyle w:val="BodyText"/>
        <w:spacing w:line="261" w:lineRule="auto"/>
        <w:ind w:left="100" w:right="111" w:firstLine="240"/>
        <w:jc w:val="right"/>
      </w:pPr>
      <w:r>
        <w:rPr>
          <w:color w:val="231F20"/>
          <w:w w:val="105"/>
        </w:rPr>
        <w:t>En</w:t>
      </w:r>
      <w:r>
        <w:rPr>
          <w:color w:val="231F20"/>
          <w:spacing w:val="40"/>
          <w:w w:val="105"/>
        </w:rPr>
        <w:t> </w:t>
      </w:r>
      <w:r>
        <w:rPr>
          <w:color w:val="231F20"/>
          <w:w w:val="105"/>
        </w:rPr>
        <w:t>este</w:t>
      </w:r>
      <w:r>
        <w:rPr>
          <w:color w:val="231F20"/>
          <w:spacing w:val="40"/>
          <w:w w:val="105"/>
        </w:rPr>
        <w:t> </w:t>
      </w:r>
      <w:r>
        <w:rPr>
          <w:color w:val="231F20"/>
          <w:w w:val="105"/>
        </w:rPr>
        <w:t>marco,</w:t>
      </w:r>
      <w:r>
        <w:rPr>
          <w:color w:val="231F20"/>
          <w:spacing w:val="40"/>
          <w:w w:val="105"/>
        </w:rPr>
        <w:t> </w:t>
      </w:r>
      <w:r>
        <w:rPr>
          <w:color w:val="231F20"/>
          <w:w w:val="105"/>
        </w:rPr>
        <w:t>se</w:t>
      </w:r>
      <w:r>
        <w:rPr>
          <w:color w:val="231F20"/>
          <w:spacing w:val="40"/>
          <w:w w:val="105"/>
        </w:rPr>
        <w:t> </w:t>
      </w:r>
      <w:r>
        <w:rPr>
          <w:color w:val="231F20"/>
          <w:w w:val="105"/>
        </w:rPr>
        <w:t>planteaba</w:t>
      </w:r>
      <w:r>
        <w:rPr>
          <w:color w:val="231F20"/>
          <w:spacing w:val="40"/>
          <w:w w:val="105"/>
        </w:rPr>
        <w:t> </w:t>
      </w:r>
      <w:r>
        <w:rPr>
          <w:color w:val="231F20"/>
          <w:w w:val="105"/>
        </w:rPr>
        <w:t>como</w:t>
      </w:r>
      <w:r>
        <w:rPr>
          <w:color w:val="231F20"/>
          <w:spacing w:val="40"/>
          <w:w w:val="105"/>
        </w:rPr>
        <w:t> </w:t>
      </w:r>
      <w:r>
        <w:rPr>
          <w:color w:val="231F20"/>
          <w:w w:val="105"/>
        </w:rPr>
        <w:t>objetivo</w:t>
      </w:r>
      <w:r>
        <w:rPr>
          <w:color w:val="231F20"/>
          <w:spacing w:val="40"/>
          <w:w w:val="105"/>
        </w:rPr>
        <w:t> </w:t>
      </w:r>
      <w:r>
        <w:rPr>
          <w:color w:val="231F20"/>
          <w:w w:val="105"/>
        </w:rPr>
        <w:t>fundamental,</w:t>
      </w:r>
      <w:r>
        <w:rPr>
          <w:color w:val="231F20"/>
          <w:spacing w:val="40"/>
          <w:w w:val="105"/>
        </w:rPr>
        <w:t> </w:t>
      </w:r>
      <w:r>
        <w:rPr>
          <w:color w:val="231F20"/>
          <w:w w:val="105"/>
        </w:rPr>
        <w:t>trabajar</w:t>
      </w:r>
      <w:r>
        <w:rPr>
          <w:color w:val="231F20"/>
          <w:w w:val="110"/>
        </w:rPr>
        <w:t> </w:t>
      </w:r>
      <w:r>
        <w:rPr>
          <w:color w:val="231F20"/>
          <w:w w:val="105"/>
        </w:rPr>
        <w:t>con instituciones públicas y privadas locales y</w:t>
      </w:r>
      <w:r>
        <w:rPr>
          <w:color w:val="231F20"/>
          <w:spacing w:val="4"/>
          <w:w w:val="105"/>
        </w:rPr>
        <w:t> </w:t>
      </w:r>
      <w:r>
        <w:rPr>
          <w:color w:val="231F20"/>
          <w:w w:val="105"/>
        </w:rPr>
        <w:t>“descentralizar” las</w:t>
      </w:r>
      <w:r>
        <w:rPr>
          <w:color w:val="231F20"/>
          <w:spacing w:val="1"/>
          <w:w w:val="100"/>
        </w:rPr>
        <w:t> </w:t>
      </w:r>
      <w:r>
        <w:rPr>
          <w:color w:val="231F20"/>
          <w:w w:val="105"/>
        </w:rPr>
        <w:t>políticas</w:t>
      </w:r>
      <w:r>
        <w:rPr>
          <w:color w:val="231F20"/>
          <w:spacing w:val="39"/>
          <w:w w:val="105"/>
        </w:rPr>
        <w:t> </w:t>
      </w:r>
      <w:r>
        <w:rPr>
          <w:color w:val="231F20"/>
          <w:w w:val="105"/>
        </w:rPr>
        <w:t>de</w:t>
      </w:r>
      <w:r>
        <w:rPr>
          <w:color w:val="231F20"/>
          <w:spacing w:val="39"/>
          <w:w w:val="105"/>
        </w:rPr>
        <w:t> </w:t>
      </w:r>
      <w:r>
        <w:rPr>
          <w:color w:val="231F20"/>
          <w:w w:val="105"/>
        </w:rPr>
        <w:t>asistencia</w:t>
      </w:r>
      <w:r>
        <w:rPr>
          <w:color w:val="231F20"/>
          <w:spacing w:val="39"/>
          <w:w w:val="105"/>
        </w:rPr>
        <w:t> </w:t>
      </w:r>
      <w:r>
        <w:rPr>
          <w:color w:val="231F20"/>
          <w:w w:val="105"/>
        </w:rPr>
        <w:t>a</w:t>
      </w:r>
      <w:r>
        <w:rPr>
          <w:color w:val="231F20"/>
          <w:spacing w:val="39"/>
          <w:w w:val="105"/>
        </w:rPr>
        <w:t> </w:t>
      </w:r>
      <w:r>
        <w:rPr>
          <w:color w:val="231F20"/>
          <w:w w:val="105"/>
        </w:rPr>
        <w:t>través</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realización</w:t>
      </w:r>
      <w:r>
        <w:rPr>
          <w:color w:val="231F20"/>
          <w:spacing w:val="39"/>
          <w:w w:val="105"/>
        </w:rPr>
        <w:t> </w:t>
      </w:r>
      <w:r>
        <w:rPr>
          <w:color w:val="231F20"/>
          <w:w w:val="105"/>
        </w:rPr>
        <w:t>de</w:t>
      </w:r>
      <w:r>
        <w:rPr>
          <w:color w:val="231F20"/>
          <w:spacing w:val="39"/>
          <w:w w:val="105"/>
        </w:rPr>
        <w:t> </w:t>
      </w:r>
      <w:r>
        <w:rPr>
          <w:color w:val="231F20"/>
          <w:w w:val="105"/>
        </w:rPr>
        <w:t>tareas</w:t>
      </w:r>
      <w:r>
        <w:rPr>
          <w:color w:val="231F20"/>
          <w:spacing w:val="39"/>
          <w:w w:val="105"/>
        </w:rPr>
        <w:t> </w:t>
      </w:r>
      <w:r>
        <w:rPr>
          <w:color w:val="231F20"/>
          <w:w w:val="105"/>
        </w:rPr>
        <w:t>conjuntas</w:t>
      </w:r>
      <w:r>
        <w:rPr>
          <w:color w:val="231F20"/>
          <w:w w:val="110"/>
        </w:rPr>
        <w:t> </w:t>
      </w:r>
      <w:r>
        <w:rPr>
          <w:color w:val="231F20"/>
          <w:w w:val="105"/>
        </w:rPr>
        <w:t>con</w:t>
      </w:r>
      <w:r>
        <w:rPr>
          <w:color w:val="231F20"/>
          <w:spacing w:val="-9"/>
          <w:w w:val="105"/>
        </w:rPr>
        <w:t> </w:t>
      </w:r>
      <w:r>
        <w:rPr>
          <w:color w:val="231F20"/>
          <w:w w:val="105"/>
        </w:rPr>
        <w:t>municipios</w:t>
      </w:r>
      <w:r>
        <w:rPr>
          <w:color w:val="231F20"/>
          <w:spacing w:val="-9"/>
          <w:w w:val="105"/>
        </w:rPr>
        <w:t> </w:t>
      </w:r>
      <w:r>
        <w:rPr>
          <w:color w:val="231F20"/>
          <w:w w:val="105"/>
        </w:rPr>
        <w:t>y</w:t>
      </w:r>
      <w:r>
        <w:rPr>
          <w:color w:val="231F20"/>
          <w:spacing w:val="-9"/>
          <w:w w:val="105"/>
        </w:rPr>
        <w:t> </w:t>
      </w:r>
      <w:r>
        <w:rPr>
          <w:color w:val="231F20"/>
          <w:w w:val="105"/>
        </w:rPr>
        <w:t>ong</w:t>
      </w:r>
      <w:r>
        <w:rPr>
          <w:color w:val="231F20"/>
          <w:spacing w:val="-9"/>
          <w:w w:val="105"/>
        </w:rPr>
        <w:t> </w:t>
      </w:r>
      <w:r>
        <w:rPr>
          <w:color w:val="231F20"/>
          <w:w w:val="105"/>
        </w:rPr>
        <w:t>locales</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fin</w:t>
      </w:r>
      <w:r>
        <w:rPr>
          <w:color w:val="231F20"/>
          <w:spacing w:val="-9"/>
          <w:w w:val="105"/>
        </w:rPr>
        <w:t> </w:t>
      </w:r>
      <w:r>
        <w:rPr>
          <w:color w:val="231F20"/>
          <w:w w:val="105"/>
        </w:rPr>
        <w:t>de</w:t>
      </w:r>
      <w:r>
        <w:rPr>
          <w:color w:val="231F20"/>
          <w:spacing w:val="-9"/>
          <w:w w:val="105"/>
        </w:rPr>
        <w:t> </w:t>
      </w:r>
      <w:r>
        <w:rPr>
          <w:i/>
          <w:color w:val="231F20"/>
          <w:w w:val="105"/>
        </w:rPr>
        <w:t>hacer</w:t>
      </w:r>
      <w:r>
        <w:rPr>
          <w:i/>
          <w:color w:val="231F20"/>
          <w:spacing w:val="-9"/>
          <w:w w:val="105"/>
        </w:rPr>
        <w:t> </w:t>
      </w:r>
      <w:r>
        <w:rPr>
          <w:i/>
          <w:color w:val="231F20"/>
          <w:w w:val="105"/>
        </w:rPr>
        <w:t>realidad</w:t>
      </w:r>
      <w:r>
        <w:rPr>
          <w:i/>
          <w:color w:val="231F20"/>
          <w:spacing w:val="-9"/>
          <w:w w:val="105"/>
        </w:rPr>
        <w:t> </w:t>
      </w:r>
      <w:r>
        <w:rPr>
          <w:i/>
          <w:color w:val="231F20"/>
          <w:w w:val="105"/>
        </w:rPr>
        <w:t>la</w:t>
      </w:r>
      <w:r>
        <w:rPr>
          <w:i/>
          <w:color w:val="231F20"/>
          <w:spacing w:val="-9"/>
          <w:w w:val="105"/>
        </w:rPr>
        <w:t> </w:t>
      </w:r>
      <w:r>
        <w:rPr>
          <w:i/>
          <w:color w:val="231F20"/>
          <w:w w:val="105"/>
        </w:rPr>
        <w:t>democracia</w:t>
      </w:r>
      <w:r>
        <w:rPr>
          <w:i/>
          <w:color w:val="231F20"/>
          <w:w w:val="91"/>
        </w:rPr>
        <w:t> </w:t>
      </w:r>
      <w:r>
        <w:rPr>
          <w:color w:val="231F20"/>
          <w:w w:val="105"/>
        </w:rPr>
        <w:t>“</w:t>
      </w:r>
      <w:r>
        <w:rPr>
          <w:i/>
          <w:color w:val="231F20"/>
          <w:w w:val="105"/>
        </w:rPr>
        <w:t>bottom-up</w:t>
      </w:r>
      <w:r>
        <w:rPr>
          <w:color w:val="231F20"/>
          <w:w w:val="105"/>
        </w:rPr>
        <w:t>”: “A través del compromiso local, todos los sectores</w:t>
      </w:r>
      <w:r>
        <w:rPr>
          <w:color w:val="231F20"/>
          <w:spacing w:val="2"/>
          <w:w w:val="105"/>
        </w:rPr>
        <w:t> </w:t>
      </w:r>
      <w:r>
        <w:rPr>
          <w:color w:val="231F20"/>
          <w:w w:val="105"/>
        </w:rPr>
        <w:t>de</w:t>
      </w:r>
      <w:r>
        <w:rPr>
          <w:color w:val="231F20"/>
          <w:spacing w:val="11"/>
          <w:w w:val="105"/>
        </w:rPr>
        <w:t> </w:t>
      </w:r>
      <w:r>
        <w:rPr>
          <w:color w:val="231F20"/>
          <w:w w:val="105"/>
        </w:rPr>
        <w:t>la</w:t>
      </w:r>
      <w:r>
        <w:rPr>
          <w:color w:val="231F20"/>
          <w:w w:val="105"/>
        </w:rPr>
        <w:t> </w:t>
      </w:r>
      <w:r>
        <w:rPr>
          <w:color w:val="231F20"/>
          <w:w w:val="105"/>
        </w:rPr>
        <w:t>sociedad</w:t>
      </w:r>
      <w:r>
        <w:rPr>
          <w:color w:val="231F20"/>
          <w:spacing w:val="36"/>
          <w:w w:val="105"/>
        </w:rPr>
        <w:t> </w:t>
      </w:r>
      <w:r>
        <w:rPr>
          <w:color w:val="231F20"/>
          <w:w w:val="105"/>
        </w:rPr>
        <w:t>pueden</w:t>
      </w:r>
      <w:r>
        <w:rPr>
          <w:color w:val="231F20"/>
          <w:spacing w:val="36"/>
          <w:w w:val="105"/>
        </w:rPr>
        <w:t> </w:t>
      </w:r>
      <w:r>
        <w:rPr>
          <w:color w:val="231F20"/>
          <w:w w:val="105"/>
        </w:rPr>
        <w:t>contribuir</w:t>
      </w:r>
      <w:r>
        <w:rPr>
          <w:color w:val="231F20"/>
          <w:spacing w:val="36"/>
          <w:w w:val="105"/>
        </w:rPr>
        <w:t> </w:t>
      </w:r>
      <w:r>
        <w:rPr>
          <w:color w:val="231F20"/>
          <w:w w:val="105"/>
        </w:rPr>
        <w:t>a</w:t>
      </w:r>
      <w:r>
        <w:rPr>
          <w:color w:val="231F20"/>
          <w:spacing w:val="36"/>
          <w:w w:val="105"/>
        </w:rPr>
        <w:t> </w:t>
      </w:r>
      <w:r>
        <w:rPr>
          <w:color w:val="231F20"/>
          <w:w w:val="105"/>
        </w:rPr>
        <w:t>la</w:t>
      </w:r>
      <w:r>
        <w:rPr>
          <w:color w:val="231F20"/>
          <w:spacing w:val="36"/>
          <w:w w:val="105"/>
        </w:rPr>
        <w:t> </w:t>
      </w:r>
      <w:r>
        <w:rPr>
          <w:color w:val="231F20"/>
          <w:w w:val="105"/>
        </w:rPr>
        <w:t>transformación</w:t>
      </w:r>
      <w:r>
        <w:rPr>
          <w:color w:val="231F20"/>
          <w:spacing w:val="36"/>
          <w:w w:val="105"/>
        </w:rPr>
        <w:t> </w:t>
      </w:r>
      <w:r>
        <w:rPr>
          <w:color w:val="231F20"/>
          <w:w w:val="105"/>
        </w:rPr>
        <w:t>económica</w:t>
      </w:r>
      <w:r>
        <w:rPr>
          <w:color w:val="231F20"/>
          <w:spacing w:val="36"/>
          <w:w w:val="105"/>
        </w:rPr>
        <w:t> </w:t>
      </w:r>
      <w:r>
        <w:rPr>
          <w:color w:val="231F20"/>
          <w:w w:val="105"/>
        </w:rPr>
        <w:t>y</w:t>
      </w:r>
      <w:r>
        <w:rPr>
          <w:color w:val="231F20"/>
          <w:spacing w:val="36"/>
          <w:w w:val="105"/>
        </w:rPr>
        <w:t> </w:t>
      </w:r>
      <w:r>
        <w:rPr>
          <w:color w:val="231F20"/>
          <w:w w:val="105"/>
        </w:rPr>
        <w:t>social”</w:t>
      </w:r>
      <w:r>
        <w:rPr>
          <w:color w:val="231F20"/>
          <w:w w:val="101"/>
        </w:rPr>
        <w:t> </w:t>
      </w:r>
      <w:r>
        <w:rPr>
          <w:color w:val="231F20"/>
          <w:w w:val="105"/>
        </w:rPr>
        <w:t>(usaid,</w:t>
      </w:r>
      <w:r>
        <w:rPr>
          <w:color w:val="231F20"/>
          <w:spacing w:val="27"/>
          <w:w w:val="105"/>
        </w:rPr>
        <w:t> </w:t>
      </w:r>
      <w:r>
        <w:rPr>
          <w:color w:val="231F20"/>
          <w:w w:val="105"/>
        </w:rPr>
        <w:t>2004:</w:t>
      </w:r>
      <w:r>
        <w:rPr>
          <w:color w:val="231F20"/>
          <w:spacing w:val="27"/>
          <w:w w:val="105"/>
        </w:rPr>
        <w:t> </w:t>
      </w:r>
      <w:r>
        <w:rPr>
          <w:color w:val="231F20"/>
          <w:w w:val="105"/>
        </w:rPr>
        <w:t>2).</w:t>
      </w:r>
      <w:r>
        <w:rPr>
          <w:color w:val="231F20"/>
          <w:spacing w:val="27"/>
          <w:w w:val="105"/>
        </w:rPr>
        <w:t> </w:t>
      </w:r>
      <w:r>
        <w:rPr>
          <w:color w:val="231F20"/>
          <w:w w:val="105"/>
        </w:rPr>
        <w:t>Los</w:t>
      </w:r>
      <w:r>
        <w:rPr>
          <w:color w:val="231F20"/>
          <w:spacing w:val="27"/>
          <w:w w:val="105"/>
        </w:rPr>
        <w:t> </w:t>
      </w:r>
      <w:r>
        <w:rPr>
          <w:color w:val="231F20"/>
          <w:w w:val="105"/>
        </w:rPr>
        <w:t>programas</w:t>
      </w:r>
      <w:r>
        <w:rPr>
          <w:color w:val="231F20"/>
          <w:spacing w:val="27"/>
          <w:w w:val="105"/>
        </w:rPr>
        <w:t> </w:t>
      </w:r>
      <w:r>
        <w:rPr>
          <w:color w:val="231F20"/>
          <w:w w:val="105"/>
        </w:rPr>
        <w:t>promovidos</w:t>
      </w:r>
      <w:r>
        <w:rPr>
          <w:color w:val="231F20"/>
          <w:spacing w:val="27"/>
          <w:w w:val="105"/>
        </w:rPr>
        <w:t> </w:t>
      </w:r>
      <w:r>
        <w:rPr>
          <w:color w:val="231F20"/>
          <w:w w:val="105"/>
        </w:rPr>
        <w:t>por</w:t>
      </w:r>
      <w:r>
        <w:rPr>
          <w:color w:val="231F20"/>
          <w:spacing w:val="27"/>
          <w:w w:val="105"/>
        </w:rPr>
        <w:t> </w:t>
      </w:r>
      <w:r>
        <w:rPr>
          <w:color w:val="231F20"/>
          <w:w w:val="105"/>
        </w:rPr>
        <w:t>la</w:t>
      </w:r>
      <w:r>
        <w:rPr>
          <w:color w:val="231F20"/>
          <w:spacing w:val="27"/>
          <w:w w:val="105"/>
        </w:rPr>
        <w:t> </w:t>
      </w:r>
      <w:r>
        <w:rPr>
          <w:color w:val="231F20"/>
          <w:w w:val="105"/>
        </w:rPr>
        <w:t>usaid</w:t>
      </w:r>
      <w:r>
        <w:rPr>
          <w:color w:val="231F20"/>
          <w:spacing w:val="27"/>
          <w:w w:val="105"/>
        </w:rPr>
        <w:t> </w:t>
      </w:r>
      <w:r>
        <w:rPr>
          <w:color w:val="231F20"/>
          <w:w w:val="105"/>
        </w:rPr>
        <w:t>y</w:t>
      </w:r>
      <w:r>
        <w:rPr>
          <w:color w:val="231F20"/>
          <w:spacing w:val="27"/>
          <w:w w:val="105"/>
        </w:rPr>
        <w:t> </w:t>
      </w:r>
      <w:r>
        <w:rPr>
          <w:color w:val="231F20"/>
          <w:w w:val="105"/>
        </w:rPr>
        <w:t>los</w:t>
      </w:r>
      <w:r>
        <w:rPr>
          <w:color w:val="231F20"/>
          <w:spacing w:val="27"/>
          <w:w w:val="105"/>
        </w:rPr>
        <w:t> </w:t>
      </w:r>
      <w:r>
        <w:rPr>
          <w:color w:val="231F20"/>
          <w:w w:val="105"/>
        </w:rPr>
        <w:t>acto-</w:t>
      </w:r>
      <w:r>
        <w:rPr>
          <w:color w:val="231F20"/>
          <w:w w:val="72"/>
        </w:rPr>
        <w:t> </w:t>
      </w:r>
      <w:r>
        <w:rPr>
          <w:color w:val="231F20"/>
          <w:w w:val="105"/>
        </w:rPr>
        <w:t>res</w:t>
      </w:r>
      <w:r>
        <w:rPr>
          <w:color w:val="231F20"/>
          <w:spacing w:val="35"/>
          <w:w w:val="105"/>
        </w:rPr>
        <w:t> </w:t>
      </w:r>
      <w:r>
        <w:rPr>
          <w:color w:val="231F20"/>
          <w:w w:val="105"/>
        </w:rPr>
        <w:t>involucrados</w:t>
      </w:r>
      <w:r>
        <w:rPr>
          <w:color w:val="231F20"/>
          <w:spacing w:val="35"/>
          <w:w w:val="105"/>
        </w:rPr>
        <w:t> </w:t>
      </w:r>
      <w:r>
        <w:rPr>
          <w:color w:val="231F20"/>
          <w:w w:val="105"/>
        </w:rPr>
        <w:t>en</w:t>
      </w:r>
      <w:r>
        <w:rPr>
          <w:color w:val="231F20"/>
          <w:spacing w:val="35"/>
          <w:w w:val="105"/>
        </w:rPr>
        <w:t> </w:t>
      </w:r>
      <w:r>
        <w:rPr>
          <w:color w:val="231F20"/>
          <w:w w:val="105"/>
        </w:rPr>
        <w:t>los</w:t>
      </w:r>
      <w:r>
        <w:rPr>
          <w:color w:val="231F20"/>
          <w:spacing w:val="35"/>
          <w:w w:val="105"/>
        </w:rPr>
        <w:t> </w:t>
      </w:r>
      <w:r>
        <w:rPr>
          <w:color w:val="231F20"/>
          <w:w w:val="105"/>
        </w:rPr>
        <w:t>mismos,</w:t>
      </w:r>
      <w:r>
        <w:rPr>
          <w:color w:val="231F20"/>
          <w:spacing w:val="35"/>
          <w:w w:val="105"/>
        </w:rPr>
        <w:t> </w:t>
      </w:r>
      <w:r>
        <w:rPr>
          <w:color w:val="231F20"/>
          <w:w w:val="105"/>
        </w:rPr>
        <w:t>tienen</w:t>
      </w:r>
      <w:r>
        <w:rPr>
          <w:color w:val="231F20"/>
          <w:spacing w:val="35"/>
          <w:w w:val="105"/>
        </w:rPr>
        <w:t> </w:t>
      </w:r>
      <w:r>
        <w:rPr>
          <w:color w:val="231F20"/>
          <w:w w:val="105"/>
        </w:rPr>
        <w:t>la</w:t>
      </w:r>
      <w:r>
        <w:rPr>
          <w:color w:val="231F20"/>
          <w:spacing w:val="35"/>
          <w:w w:val="105"/>
        </w:rPr>
        <w:t> </w:t>
      </w:r>
      <w:r>
        <w:rPr>
          <w:color w:val="231F20"/>
          <w:w w:val="105"/>
        </w:rPr>
        <w:t>característica</w:t>
      </w:r>
      <w:r>
        <w:rPr>
          <w:color w:val="231F20"/>
          <w:spacing w:val="35"/>
          <w:w w:val="105"/>
        </w:rPr>
        <w:t> </w:t>
      </w:r>
      <w:r>
        <w:rPr>
          <w:color w:val="231F20"/>
          <w:w w:val="105"/>
        </w:rPr>
        <w:t>de</w:t>
      </w:r>
      <w:r>
        <w:rPr>
          <w:color w:val="231F20"/>
          <w:spacing w:val="35"/>
          <w:w w:val="105"/>
        </w:rPr>
        <w:t> </w:t>
      </w:r>
      <w:r>
        <w:rPr>
          <w:color w:val="231F20"/>
          <w:w w:val="105"/>
        </w:rPr>
        <w:t>atravesar</w:t>
      </w:r>
      <w:r>
        <w:rPr>
          <w:color w:val="231F20"/>
          <w:w w:val="106"/>
        </w:rPr>
        <w:t> </w:t>
      </w:r>
      <w:r>
        <w:rPr>
          <w:color w:val="231F20"/>
          <w:w w:val="105"/>
        </w:rPr>
        <w:t>la</w:t>
      </w:r>
      <w:r>
        <w:rPr>
          <w:color w:val="231F20"/>
          <w:spacing w:val="27"/>
          <w:w w:val="105"/>
        </w:rPr>
        <w:t> </w:t>
      </w:r>
      <w:r>
        <w:rPr>
          <w:color w:val="231F20"/>
          <w:w w:val="105"/>
        </w:rPr>
        <w:t>sociedad</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que</w:t>
      </w:r>
      <w:r>
        <w:rPr>
          <w:color w:val="231F20"/>
          <w:spacing w:val="27"/>
          <w:w w:val="105"/>
        </w:rPr>
        <w:t> </w:t>
      </w:r>
      <w:r>
        <w:rPr>
          <w:color w:val="231F20"/>
          <w:w w:val="105"/>
        </w:rPr>
        <w:t>operan,</w:t>
      </w:r>
      <w:r>
        <w:rPr>
          <w:color w:val="231F20"/>
          <w:spacing w:val="27"/>
          <w:w w:val="105"/>
        </w:rPr>
        <w:t> </w:t>
      </w:r>
      <w:r>
        <w:rPr>
          <w:color w:val="231F20"/>
          <w:w w:val="105"/>
        </w:rPr>
        <w:t>actuando</w:t>
      </w:r>
      <w:r>
        <w:rPr>
          <w:color w:val="231F20"/>
          <w:spacing w:val="27"/>
          <w:w w:val="105"/>
        </w:rPr>
        <w:t> </w:t>
      </w:r>
      <w:r>
        <w:rPr>
          <w:color w:val="231F20"/>
          <w:w w:val="105"/>
        </w:rPr>
        <w:t>“desde</w:t>
      </w:r>
      <w:r>
        <w:rPr>
          <w:color w:val="231F20"/>
          <w:spacing w:val="27"/>
          <w:w w:val="105"/>
        </w:rPr>
        <w:t> </w:t>
      </w:r>
      <w:r>
        <w:rPr>
          <w:color w:val="231F20"/>
          <w:w w:val="105"/>
        </w:rPr>
        <w:t>arriba”</w:t>
      </w:r>
      <w:r>
        <w:rPr>
          <w:color w:val="231F20"/>
          <w:spacing w:val="27"/>
          <w:w w:val="105"/>
        </w:rPr>
        <w:t> </w:t>
      </w:r>
      <w:r>
        <w:rPr>
          <w:color w:val="231F20"/>
          <w:w w:val="105"/>
        </w:rPr>
        <w:t>y</w:t>
      </w:r>
      <w:r>
        <w:rPr>
          <w:color w:val="231F20"/>
          <w:spacing w:val="27"/>
          <w:w w:val="105"/>
        </w:rPr>
        <w:t> </w:t>
      </w:r>
      <w:r>
        <w:rPr>
          <w:color w:val="231F20"/>
          <w:w w:val="105"/>
        </w:rPr>
        <w:t>“desde</w:t>
      </w:r>
      <w:r>
        <w:rPr>
          <w:color w:val="231F20"/>
          <w:spacing w:val="27"/>
          <w:w w:val="105"/>
        </w:rPr>
        <w:t> </w:t>
      </w:r>
      <w:r>
        <w:rPr>
          <w:color w:val="231F20"/>
          <w:w w:val="105"/>
        </w:rPr>
        <w:t>aba-</w:t>
      </w:r>
      <w:r>
        <w:rPr>
          <w:color w:val="231F20"/>
          <w:w w:val="72"/>
        </w:rPr>
        <w:t> </w:t>
      </w:r>
      <w:r>
        <w:rPr>
          <w:color w:val="231F20"/>
          <w:w w:val="105"/>
        </w:rPr>
        <w:t>jo”. En este sentido,  debe  notarse  que  la  definición</w:t>
      </w:r>
      <w:r>
        <w:rPr>
          <w:color w:val="231F20"/>
          <w:spacing w:val="5"/>
          <w:w w:val="105"/>
        </w:rPr>
        <w:t> </w:t>
      </w:r>
      <w:r>
        <w:rPr>
          <w:color w:val="231F20"/>
          <w:w w:val="105"/>
        </w:rPr>
        <w:t>de</w:t>
      </w:r>
      <w:r>
        <w:rPr>
          <w:color w:val="231F20"/>
          <w:spacing w:val="47"/>
          <w:w w:val="105"/>
        </w:rPr>
        <w:t> </w:t>
      </w:r>
      <w:r>
        <w:rPr>
          <w:color w:val="231F20"/>
          <w:w w:val="105"/>
        </w:rPr>
        <w:t>democracia</w:t>
      </w:r>
      <w:r>
        <w:rPr>
          <w:color w:val="231F20"/>
          <w:w w:val="109"/>
        </w:rPr>
        <w:t> </w:t>
      </w:r>
      <w:r>
        <w:rPr>
          <w:color w:val="231F20"/>
          <w:w w:val="105"/>
        </w:rPr>
        <w:t>es resignificada para adaptarse a las nociones de</w:t>
      </w:r>
      <w:r>
        <w:rPr>
          <w:color w:val="231F20"/>
          <w:spacing w:val="47"/>
          <w:w w:val="105"/>
        </w:rPr>
        <w:t> </w:t>
      </w:r>
      <w:r>
        <w:rPr>
          <w:color w:val="231F20"/>
          <w:w w:val="105"/>
        </w:rPr>
        <w:t>“gobernanza”</w:t>
      </w:r>
      <w:r>
        <w:rPr>
          <w:color w:val="231F20"/>
          <w:spacing w:val="12"/>
          <w:w w:val="105"/>
        </w:rPr>
        <w:t> </w:t>
      </w:r>
      <w:r>
        <w:rPr>
          <w:color w:val="231F20"/>
          <w:w w:val="105"/>
        </w:rPr>
        <w:t>o</w:t>
      </w:r>
      <w:r>
        <w:rPr>
          <w:color w:val="231F20"/>
          <w:w w:val="112"/>
        </w:rPr>
        <w:t> </w:t>
      </w:r>
      <w:r>
        <w:rPr>
          <w:color w:val="231F20"/>
          <w:w w:val="105"/>
        </w:rPr>
        <w:t>“buenas</w:t>
      </w:r>
      <w:r>
        <w:rPr>
          <w:color w:val="231F20"/>
          <w:spacing w:val="28"/>
          <w:w w:val="105"/>
        </w:rPr>
        <w:t> </w:t>
      </w:r>
      <w:r>
        <w:rPr>
          <w:color w:val="231F20"/>
          <w:w w:val="105"/>
        </w:rPr>
        <w:t>prácticas”</w:t>
      </w:r>
      <w:r>
        <w:rPr>
          <w:color w:val="231F20"/>
          <w:spacing w:val="28"/>
          <w:w w:val="105"/>
        </w:rPr>
        <w:t> </w:t>
      </w:r>
      <w:r>
        <w:rPr>
          <w:color w:val="231F20"/>
          <w:w w:val="105"/>
        </w:rPr>
        <w:t>asociadas</w:t>
      </w:r>
      <w:r>
        <w:rPr>
          <w:color w:val="231F20"/>
          <w:spacing w:val="28"/>
          <w:w w:val="105"/>
        </w:rPr>
        <w:t> </w:t>
      </w:r>
      <w:r>
        <w:rPr>
          <w:color w:val="231F20"/>
          <w:w w:val="105"/>
        </w:rPr>
        <w:t>de</w:t>
      </w:r>
      <w:r>
        <w:rPr>
          <w:color w:val="231F20"/>
          <w:spacing w:val="28"/>
          <w:w w:val="105"/>
        </w:rPr>
        <w:t> </w:t>
      </w:r>
      <w:r>
        <w:rPr>
          <w:color w:val="231F20"/>
          <w:w w:val="105"/>
        </w:rPr>
        <w:t>modo</w:t>
      </w:r>
      <w:r>
        <w:rPr>
          <w:color w:val="231F20"/>
          <w:spacing w:val="28"/>
          <w:w w:val="105"/>
        </w:rPr>
        <w:t> </w:t>
      </w:r>
      <w:r>
        <w:rPr>
          <w:color w:val="231F20"/>
          <w:w w:val="105"/>
        </w:rPr>
        <w:t>directo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idea</w:t>
      </w:r>
      <w:r>
        <w:rPr>
          <w:color w:val="231F20"/>
          <w:spacing w:val="28"/>
          <w:w w:val="105"/>
        </w:rPr>
        <w:t> </w:t>
      </w:r>
      <w:r>
        <w:rPr>
          <w:color w:val="231F20"/>
          <w:w w:val="105"/>
        </w:rPr>
        <w:t>“estabilidad”</w:t>
      </w:r>
      <w:r>
        <w:rPr>
          <w:color w:val="231F20"/>
          <w:w w:val="105"/>
        </w:rPr>
        <w:t> </w:t>
      </w:r>
      <w:r>
        <w:rPr>
          <w:color w:val="231F20"/>
          <w:w w:val="105"/>
        </w:rPr>
        <w:t>(económica y política) y a una noción de desarrollo centrada</w:t>
      </w:r>
      <w:r>
        <w:rPr>
          <w:color w:val="231F20"/>
          <w:spacing w:val="51"/>
          <w:w w:val="105"/>
        </w:rPr>
        <w:t> </w:t>
      </w:r>
      <w:r>
        <w:rPr>
          <w:color w:val="231F20"/>
          <w:w w:val="105"/>
        </w:rPr>
        <w:t>en</w:t>
      </w:r>
      <w:r>
        <w:rPr>
          <w:color w:val="231F20"/>
          <w:spacing w:val="42"/>
          <w:w w:val="105"/>
        </w:rPr>
        <w:t> </w:t>
      </w:r>
      <w:r>
        <w:rPr>
          <w:color w:val="231F20"/>
          <w:w w:val="105"/>
        </w:rPr>
        <w:t>la</w:t>
      </w:r>
      <w:r>
        <w:rPr>
          <w:color w:val="231F20"/>
          <w:w w:val="105"/>
        </w:rPr>
        <w:t> </w:t>
      </w:r>
      <w:r>
        <w:rPr>
          <w:color w:val="231F20"/>
          <w:w w:val="105"/>
        </w:rPr>
        <w:t>rentabilidad</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“necesidades</w:t>
      </w:r>
      <w:r>
        <w:rPr>
          <w:color w:val="231F20"/>
          <w:spacing w:val="19"/>
          <w:w w:val="105"/>
        </w:rPr>
        <w:t> </w:t>
      </w:r>
      <w:r>
        <w:rPr>
          <w:color w:val="231F20"/>
          <w:w w:val="105"/>
        </w:rPr>
        <w:t>del</w:t>
      </w:r>
      <w:r>
        <w:rPr>
          <w:color w:val="231F20"/>
          <w:spacing w:val="19"/>
          <w:w w:val="105"/>
        </w:rPr>
        <w:t> </w:t>
      </w:r>
      <w:r>
        <w:rPr>
          <w:color w:val="231F20"/>
          <w:w w:val="105"/>
        </w:rPr>
        <w:t>mercado”,</w:t>
      </w:r>
      <w:r>
        <w:rPr>
          <w:color w:val="231F20"/>
          <w:spacing w:val="19"/>
          <w:w w:val="105"/>
        </w:rPr>
        <w:t> </w:t>
      </w:r>
      <w:r>
        <w:rPr>
          <w:color w:val="231F20"/>
          <w:w w:val="105"/>
        </w:rPr>
        <w:t>más</w:t>
      </w:r>
      <w:r>
        <w:rPr>
          <w:color w:val="231F20"/>
          <w:spacing w:val="19"/>
          <w:w w:val="105"/>
        </w:rPr>
        <w:t> </w:t>
      </w:r>
      <w:r>
        <w:rPr>
          <w:color w:val="231F20"/>
          <w:w w:val="105"/>
        </w:rPr>
        <w:t>allá</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arti-</w:t>
      </w:r>
      <w:r>
        <w:rPr>
          <w:color w:val="231F20"/>
          <w:w w:val="72"/>
        </w:rPr>
        <w:t> </w:t>
      </w:r>
      <w:r>
        <w:rPr>
          <w:color w:val="231F20"/>
          <w:w w:val="105"/>
        </w:rPr>
        <w:t>lugios discursivos a los que se apele para “humanizar”</w:t>
      </w:r>
      <w:r>
        <w:rPr>
          <w:color w:val="231F20"/>
          <w:spacing w:val="20"/>
          <w:w w:val="105"/>
        </w:rPr>
        <w:t> </w:t>
      </w:r>
      <w:r>
        <w:rPr>
          <w:color w:val="231F20"/>
          <w:w w:val="105"/>
        </w:rPr>
        <w:t>las</w:t>
      </w:r>
      <w:r>
        <w:rPr>
          <w:color w:val="231F20"/>
          <w:spacing w:val="19"/>
          <w:w w:val="105"/>
        </w:rPr>
        <w:t> </w:t>
      </w:r>
      <w:r>
        <w:rPr>
          <w:color w:val="231F20"/>
          <w:w w:val="105"/>
        </w:rPr>
        <w:t>estrategias</w:t>
      </w:r>
      <w:r>
        <w:rPr>
          <w:color w:val="231F20"/>
          <w:w w:val="107"/>
        </w:rPr>
        <w:t> </w:t>
      </w:r>
      <w:r>
        <w:rPr>
          <w:color w:val="231F20"/>
          <w:w w:val="105"/>
        </w:rPr>
        <w:t>de</w:t>
      </w:r>
      <w:r>
        <w:rPr>
          <w:color w:val="231F20"/>
          <w:spacing w:val="36"/>
          <w:w w:val="105"/>
        </w:rPr>
        <w:t> </w:t>
      </w:r>
      <w:r>
        <w:rPr>
          <w:color w:val="231F20"/>
          <w:w w:val="105"/>
        </w:rPr>
        <w:t>reproducción</w:t>
      </w:r>
      <w:r>
        <w:rPr>
          <w:color w:val="231F20"/>
          <w:spacing w:val="36"/>
          <w:w w:val="105"/>
        </w:rPr>
        <w:t> </w:t>
      </w:r>
      <w:r>
        <w:rPr>
          <w:color w:val="231F20"/>
          <w:w w:val="105"/>
        </w:rPr>
        <w:t>de</w:t>
      </w:r>
      <w:r>
        <w:rPr>
          <w:color w:val="231F20"/>
          <w:spacing w:val="36"/>
          <w:w w:val="105"/>
        </w:rPr>
        <w:t> </w:t>
      </w:r>
      <w:r>
        <w:rPr>
          <w:color w:val="231F20"/>
          <w:w w:val="105"/>
        </w:rPr>
        <w:t>las</w:t>
      </w:r>
      <w:r>
        <w:rPr>
          <w:color w:val="231F20"/>
          <w:spacing w:val="36"/>
          <w:w w:val="105"/>
        </w:rPr>
        <w:t> </w:t>
      </w:r>
      <w:r>
        <w:rPr>
          <w:color w:val="231F20"/>
          <w:w w:val="105"/>
        </w:rPr>
        <w:t>desigualdades.</w:t>
      </w:r>
      <w:r>
        <w:rPr>
          <w:color w:val="231F20"/>
          <w:spacing w:val="36"/>
          <w:w w:val="105"/>
        </w:rPr>
        <w:t> </w:t>
      </w:r>
      <w:r>
        <w:rPr>
          <w:color w:val="231F20"/>
          <w:w w:val="105"/>
        </w:rPr>
        <w:t>Así,</w:t>
      </w:r>
      <w:r>
        <w:rPr>
          <w:color w:val="231F20"/>
          <w:spacing w:val="36"/>
          <w:w w:val="105"/>
        </w:rPr>
        <w:t> </w:t>
      </w:r>
      <w:r>
        <w:rPr>
          <w:color w:val="231F20"/>
          <w:w w:val="105"/>
        </w:rPr>
        <w:t>el</w:t>
      </w:r>
      <w:r>
        <w:rPr>
          <w:color w:val="231F20"/>
          <w:spacing w:val="36"/>
          <w:w w:val="105"/>
        </w:rPr>
        <w:t> </w:t>
      </w:r>
      <w:r>
        <w:rPr>
          <w:color w:val="231F20"/>
          <w:w w:val="105"/>
        </w:rPr>
        <w:t>desarrollo</w:t>
      </w:r>
      <w:r>
        <w:rPr>
          <w:color w:val="231F20"/>
          <w:spacing w:val="36"/>
          <w:w w:val="105"/>
        </w:rPr>
        <w:t> </w:t>
      </w:r>
      <w:r>
        <w:rPr>
          <w:color w:val="231F20"/>
          <w:w w:val="105"/>
        </w:rPr>
        <w:t>reducido</w:t>
      </w:r>
      <w:r>
        <w:rPr>
          <w:color w:val="231F20"/>
          <w:spacing w:val="36"/>
          <w:w w:val="105"/>
        </w:rPr>
        <w:t> </w:t>
      </w:r>
      <w:r>
        <w:rPr>
          <w:color w:val="231F20"/>
          <w:w w:val="105"/>
        </w:rPr>
        <w:t>al</w:t>
      </w:r>
      <w:r>
        <w:rPr>
          <w:color w:val="231F20"/>
          <w:w w:val="105"/>
        </w:rPr>
        <w:t> </w:t>
      </w:r>
      <w:r>
        <w:rPr>
          <w:color w:val="231F20"/>
          <w:w w:val="105"/>
        </w:rPr>
        <w:t>crecimiento económico y  la  democracia  reducida  a </w:t>
      </w:r>
      <w:r>
        <w:rPr>
          <w:color w:val="231F20"/>
          <w:spacing w:val="24"/>
          <w:w w:val="105"/>
        </w:rPr>
        <w:t> </w:t>
      </w:r>
      <w:r>
        <w:rPr>
          <w:color w:val="231F20"/>
          <w:w w:val="105"/>
        </w:rPr>
        <w:t>la </w:t>
      </w:r>
      <w:r>
        <w:rPr>
          <w:color w:val="231F20"/>
          <w:spacing w:val="11"/>
          <w:w w:val="105"/>
        </w:rPr>
        <w:t> </w:t>
      </w:r>
      <w:r>
        <w:rPr>
          <w:color w:val="231F20"/>
          <w:w w:val="105"/>
        </w:rPr>
        <w:t>gobernanza</w:t>
      </w:r>
      <w:r>
        <w:rPr>
          <w:color w:val="231F20"/>
          <w:w w:val="111"/>
        </w:rPr>
        <w:t> </w:t>
      </w:r>
      <w:r>
        <w:rPr>
          <w:color w:val="231F20"/>
          <w:w w:val="105"/>
        </w:rPr>
        <w:t>se asocian indisolublemente a la “estabilidad” política</w:t>
      </w:r>
      <w:r>
        <w:rPr>
          <w:color w:val="231F20"/>
          <w:spacing w:val="-18"/>
          <w:w w:val="105"/>
        </w:rPr>
        <w:t> </w:t>
      </w:r>
      <w:r>
        <w:rPr>
          <w:color w:val="231F20"/>
          <w:w w:val="105"/>
        </w:rPr>
        <w:t>y</w:t>
      </w:r>
      <w:r>
        <w:rPr>
          <w:color w:val="231F20"/>
          <w:spacing w:val="42"/>
          <w:w w:val="105"/>
        </w:rPr>
        <w:t> </w:t>
      </w:r>
      <w:r>
        <w:rPr>
          <w:color w:val="231F20"/>
          <w:w w:val="105"/>
        </w:rPr>
        <w:t>económica</w:t>
      </w:r>
      <w:r>
        <w:rPr>
          <w:color w:val="231F20"/>
          <w:w w:val="109"/>
        </w:rPr>
        <w:t> </w:t>
      </w:r>
      <w:r>
        <w:rPr>
          <w:color w:val="231F20"/>
          <w:w w:val="105"/>
        </w:rPr>
        <w:t>como condición necesaria para que los gobiernos</w:t>
      </w:r>
      <w:r>
        <w:rPr>
          <w:color w:val="231F20"/>
          <w:spacing w:val="2"/>
          <w:w w:val="105"/>
        </w:rPr>
        <w:t> </w:t>
      </w:r>
      <w:r>
        <w:rPr>
          <w:color w:val="231F20"/>
          <w:w w:val="105"/>
        </w:rPr>
        <w:t>puedan</w:t>
      </w:r>
      <w:r>
        <w:rPr>
          <w:color w:val="231F20"/>
          <w:spacing w:val="45"/>
          <w:w w:val="105"/>
        </w:rPr>
        <w:t> </w:t>
      </w:r>
      <w:r>
        <w:rPr>
          <w:color w:val="231F20"/>
          <w:w w:val="105"/>
        </w:rPr>
        <w:t>adaptarse</w:t>
      </w:r>
      <w:r>
        <w:rPr>
          <w:color w:val="231F20"/>
          <w:w w:val="110"/>
        </w:rPr>
        <w:t> </w:t>
      </w:r>
      <w:r>
        <w:rPr>
          <w:color w:val="231F20"/>
          <w:w w:val="105"/>
        </w:rPr>
        <w:t>“del</w:t>
      </w:r>
      <w:r>
        <w:rPr>
          <w:color w:val="231F20"/>
          <w:spacing w:val="40"/>
          <w:w w:val="105"/>
        </w:rPr>
        <w:t> </w:t>
      </w:r>
      <w:r>
        <w:rPr>
          <w:color w:val="231F20"/>
          <w:w w:val="105"/>
        </w:rPr>
        <w:t>mejor</w:t>
      </w:r>
      <w:r>
        <w:rPr>
          <w:color w:val="231F20"/>
          <w:spacing w:val="40"/>
          <w:w w:val="105"/>
        </w:rPr>
        <w:t> </w:t>
      </w:r>
      <w:r>
        <w:rPr>
          <w:color w:val="231F20"/>
          <w:w w:val="105"/>
        </w:rPr>
        <w:t>modo</w:t>
      </w:r>
      <w:r>
        <w:rPr>
          <w:color w:val="231F20"/>
          <w:spacing w:val="40"/>
          <w:w w:val="105"/>
        </w:rPr>
        <w:t> </w:t>
      </w:r>
      <w:r>
        <w:rPr>
          <w:color w:val="231F20"/>
          <w:w w:val="105"/>
        </w:rPr>
        <w:t>posible”</w:t>
      </w:r>
      <w:r>
        <w:rPr>
          <w:color w:val="231F20"/>
          <w:spacing w:val="40"/>
          <w:w w:val="105"/>
        </w:rPr>
        <w:t> </w:t>
      </w:r>
      <w:r>
        <w:rPr>
          <w:color w:val="231F20"/>
          <w:w w:val="105"/>
        </w:rPr>
        <w:t>al</w:t>
      </w:r>
      <w:r>
        <w:rPr>
          <w:color w:val="231F20"/>
          <w:spacing w:val="40"/>
          <w:w w:val="105"/>
        </w:rPr>
        <w:t> </w:t>
      </w:r>
      <w:r>
        <w:rPr>
          <w:color w:val="231F20"/>
          <w:w w:val="105"/>
        </w:rPr>
        <w:t>mercado</w:t>
      </w:r>
      <w:r>
        <w:rPr>
          <w:color w:val="231F20"/>
          <w:spacing w:val="40"/>
          <w:w w:val="105"/>
        </w:rPr>
        <w:t> </w:t>
      </w:r>
      <w:r>
        <w:rPr>
          <w:color w:val="231F20"/>
          <w:w w:val="105"/>
        </w:rPr>
        <w:t>internacional.</w:t>
      </w:r>
      <w:r>
        <w:rPr>
          <w:color w:val="231F20"/>
          <w:spacing w:val="40"/>
          <w:w w:val="105"/>
        </w:rPr>
        <w:t> </w:t>
      </w:r>
      <w:r>
        <w:rPr>
          <w:color w:val="231F20"/>
          <w:w w:val="105"/>
        </w:rPr>
        <w:t>Según</w:t>
      </w:r>
      <w:r>
        <w:rPr>
          <w:color w:val="231F20"/>
          <w:spacing w:val="40"/>
          <w:w w:val="105"/>
        </w:rPr>
        <w:t> </w:t>
      </w:r>
      <w:r>
        <w:rPr>
          <w:color w:val="231F20"/>
          <w:w w:val="105"/>
        </w:rPr>
        <w:t>la</w:t>
      </w:r>
      <w:r>
        <w:rPr>
          <w:color w:val="231F20"/>
          <w:spacing w:val="40"/>
          <w:w w:val="105"/>
        </w:rPr>
        <w:t> </w:t>
      </w:r>
      <w:r>
        <w:rPr>
          <w:color w:val="231F20"/>
          <w:w w:val="105"/>
        </w:rPr>
        <w:t>usaid</w:t>
      </w:r>
      <w:r>
        <w:rPr>
          <w:color w:val="231F20"/>
          <w:w w:val="121"/>
        </w:rPr>
        <w:t> </w:t>
      </w:r>
      <w:r>
        <w:rPr>
          <w:color w:val="231F20"/>
          <w:w w:val="105"/>
        </w:rPr>
        <w:t>y</w:t>
      </w:r>
      <w:r>
        <w:rPr>
          <w:color w:val="231F20"/>
          <w:spacing w:val="25"/>
          <w:w w:val="105"/>
        </w:rPr>
        <w:t> </w:t>
      </w:r>
      <w:r>
        <w:rPr>
          <w:color w:val="231F20"/>
          <w:w w:val="105"/>
        </w:rPr>
        <w:t>en</w:t>
      </w:r>
      <w:r>
        <w:rPr>
          <w:color w:val="231F20"/>
          <w:spacing w:val="25"/>
          <w:w w:val="105"/>
        </w:rPr>
        <w:t> </w:t>
      </w:r>
      <w:r>
        <w:rPr>
          <w:color w:val="231F20"/>
          <w:w w:val="105"/>
        </w:rPr>
        <w:t>orden</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“Agenda</w:t>
      </w:r>
      <w:r>
        <w:rPr>
          <w:color w:val="231F20"/>
          <w:spacing w:val="25"/>
          <w:w w:val="105"/>
        </w:rPr>
        <w:t> </w:t>
      </w:r>
      <w:r>
        <w:rPr>
          <w:color w:val="231F20"/>
          <w:w w:val="105"/>
        </w:rPr>
        <w:t>para</w:t>
      </w:r>
      <w:r>
        <w:rPr>
          <w:color w:val="231F20"/>
          <w:spacing w:val="25"/>
          <w:w w:val="105"/>
        </w:rPr>
        <w:t> </w:t>
      </w:r>
      <w:r>
        <w:rPr>
          <w:color w:val="231F20"/>
          <w:w w:val="105"/>
        </w:rPr>
        <w:t>la</w:t>
      </w:r>
      <w:r>
        <w:rPr>
          <w:color w:val="231F20"/>
          <w:spacing w:val="25"/>
          <w:w w:val="105"/>
        </w:rPr>
        <w:t> </w:t>
      </w:r>
      <w:r>
        <w:rPr>
          <w:color w:val="231F20"/>
          <w:w w:val="105"/>
        </w:rPr>
        <w:t>Libertad</w:t>
      </w:r>
      <w:r>
        <w:rPr>
          <w:color w:val="231F20"/>
          <w:spacing w:val="25"/>
          <w:w w:val="105"/>
        </w:rPr>
        <w:t> </w:t>
      </w:r>
      <w:r>
        <w:rPr>
          <w:color w:val="231F20"/>
          <w:w w:val="105"/>
        </w:rPr>
        <w:t>del</w:t>
      </w:r>
      <w:r>
        <w:rPr>
          <w:color w:val="231F20"/>
          <w:spacing w:val="25"/>
          <w:w w:val="105"/>
        </w:rPr>
        <w:t> </w:t>
      </w:r>
      <w:r>
        <w:rPr>
          <w:color w:val="231F20"/>
          <w:w w:val="105"/>
        </w:rPr>
        <w:t>presidente</w:t>
      </w:r>
      <w:r>
        <w:rPr>
          <w:color w:val="231F20"/>
          <w:spacing w:val="25"/>
          <w:w w:val="105"/>
        </w:rPr>
        <w:t> </w:t>
      </w:r>
      <w:r>
        <w:rPr>
          <w:color w:val="231F20"/>
          <w:w w:val="105"/>
        </w:rPr>
        <w:t>Bush”,</w:t>
      </w:r>
      <w:r>
        <w:rPr>
          <w:color w:val="231F20"/>
          <w:spacing w:val="25"/>
          <w:w w:val="105"/>
        </w:rPr>
        <w:t> </w:t>
      </w:r>
      <w:r>
        <w:rPr>
          <w:color w:val="231F20"/>
          <w:w w:val="105"/>
        </w:rPr>
        <w:t>“de-</w:t>
      </w:r>
      <w:r>
        <w:rPr>
          <w:color w:val="231F20"/>
          <w:w w:val="72"/>
        </w:rPr>
        <w:t> </w:t>
      </w:r>
      <w:r>
        <w:rPr>
          <w:color w:val="231F20"/>
          <w:w w:val="105"/>
        </w:rPr>
        <w:t>fender</w:t>
      </w:r>
      <w:r>
        <w:rPr>
          <w:color w:val="231F20"/>
          <w:spacing w:val="36"/>
          <w:w w:val="105"/>
        </w:rPr>
        <w:t> </w:t>
      </w:r>
      <w:r>
        <w:rPr>
          <w:color w:val="231F20"/>
          <w:w w:val="105"/>
        </w:rPr>
        <w:t>la</w:t>
      </w:r>
      <w:r>
        <w:rPr>
          <w:color w:val="231F20"/>
          <w:spacing w:val="36"/>
          <w:w w:val="105"/>
        </w:rPr>
        <w:t> </w:t>
      </w:r>
      <w:r>
        <w:rPr>
          <w:color w:val="231F20"/>
          <w:w w:val="105"/>
        </w:rPr>
        <w:t>libertad</w:t>
      </w:r>
      <w:r>
        <w:rPr>
          <w:color w:val="231F20"/>
          <w:spacing w:val="36"/>
          <w:w w:val="105"/>
        </w:rPr>
        <w:t> </w:t>
      </w:r>
      <w:r>
        <w:rPr>
          <w:color w:val="231F20"/>
          <w:w w:val="105"/>
        </w:rPr>
        <w:t>es</w:t>
      </w:r>
      <w:r>
        <w:rPr>
          <w:color w:val="231F20"/>
          <w:spacing w:val="36"/>
          <w:w w:val="105"/>
        </w:rPr>
        <w:t> </w:t>
      </w:r>
      <w:r>
        <w:rPr>
          <w:color w:val="231F20"/>
          <w:w w:val="105"/>
        </w:rPr>
        <w:t>un</w:t>
      </w:r>
      <w:r>
        <w:rPr>
          <w:color w:val="231F20"/>
          <w:spacing w:val="36"/>
          <w:w w:val="105"/>
        </w:rPr>
        <w:t> </w:t>
      </w:r>
      <w:r>
        <w:rPr>
          <w:color w:val="231F20"/>
          <w:w w:val="105"/>
        </w:rPr>
        <w:t>imperativo</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seguridad</w:t>
      </w:r>
      <w:r>
        <w:rPr>
          <w:color w:val="231F20"/>
          <w:spacing w:val="36"/>
          <w:w w:val="105"/>
        </w:rPr>
        <w:t> </w:t>
      </w:r>
      <w:r>
        <w:rPr>
          <w:color w:val="231F20"/>
          <w:w w:val="105"/>
        </w:rPr>
        <w:t>nacional</w:t>
      </w:r>
      <w:r>
        <w:rPr>
          <w:color w:val="231F20"/>
          <w:spacing w:val="36"/>
          <w:w w:val="105"/>
        </w:rPr>
        <w:t> </w:t>
      </w:r>
      <w:r>
        <w:rPr>
          <w:color w:val="231F20"/>
          <w:w w:val="105"/>
        </w:rPr>
        <w:t>y</w:t>
      </w:r>
      <w:r>
        <w:rPr>
          <w:color w:val="231F20"/>
          <w:spacing w:val="36"/>
          <w:w w:val="105"/>
        </w:rPr>
        <w:t> </w:t>
      </w:r>
      <w:r>
        <w:rPr>
          <w:color w:val="231F20"/>
          <w:w w:val="105"/>
        </w:rPr>
        <w:t>es</w:t>
      </w:r>
      <w:r>
        <w:rPr>
          <w:color w:val="231F20"/>
          <w:spacing w:val="36"/>
          <w:w w:val="105"/>
        </w:rPr>
        <w:t> </w:t>
      </w:r>
      <w:r>
        <w:rPr>
          <w:color w:val="231F20"/>
          <w:w w:val="105"/>
        </w:rPr>
        <w:t>la</w:t>
      </w:r>
      <w:r>
        <w:rPr>
          <w:color w:val="231F20"/>
          <w:w w:val="105"/>
        </w:rPr>
        <w:t> </w:t>
      </w:r>
      <w:r>
        <w:rPr>
          <w:color w:val="231F20"/>
          <w:w w:val="105"/>
        </w:rPr>
        <w:t>medida</w:t>
      </w:r>
      <w:r>
        <w:rPr>
          <w:color w:val="231F20"/>
          <w:spacing w:val="33"/>
          <w:w w:val="105"/>
        </w:rPr>
        <w:t> </w:t>
      </w:r>
      <w:r>
        <w:rPr>
          <w:color w:val="231F20"/>
          <w:w w:val="105"/>
        </w:rPr>
        <w:t>más</w:t>
      </w:r>
      <w:r>
        <w:rPr>
          <w:color w:val="231F20"/>
          <w:spacing w:val="33"/>
          <w:w w:val="105"/>
        </w:rPr>
        <w:t> </w:t>
      </w:r>
      <w:r>
        <w:rPr>
          <w:color w:val="231F20"/>
          <w:w w:val="105"/>
        </w:rPr>
        <w:t>efectiva</w:t>
      </w:r>
      <w:r>
        <w:rPr>
          <w:color w:val="231F20"/>
          <w:spacing w:val="33"/>
          <w:w w:val="105"/>
        </w:rPr>
        <w:t> </w:t>
      </w:r>
      <w:r>
        <w:rPr>
          <w:color w:val="231F20"/>
          <w:w w:val="105"/>
        </w:rPr>
        <w:t>a</w:t>
      </w:r>
      <w:r>
        <w:rPr>
          <w:color w:val="231F20"/>
          <w:spacing w:val="33"/>
          <w:w w:val="105"/>
        </w:rPr>
        <w:t> </w:t>
      </w:r>
      <w:r>
        <w:rPr>
          <w:color w:val="231F20"/>
          <w:w w:val="105"/>
        </w:rPr>
        <w:t>largo</w:t>
      </w:r>
      <w:r>
        <w:rPr>
          <w:color w:val="231F20"/>
          <w:spacing w:val="33"/>
          <w:w w:val="105"/>
        </w:rPr>
        <w:t> </w:t>
      </w:r>
      <w:r>
        <w:rPr>
          <w:color w:val="231F20"/>
          <w:w w:val="105"/>
        </w:rPr>
        <w:t>plazo</w:t>
      </w:r>
      <w:r>
        <w:rPr>
          <w:color w:val="231F20"/>
          <w:spacing w:val="33"/>
          <w:w w:val="105"/>
        </w:rPr>
        <w:t> </w:t>
      </w:r>
      <w:r>
        <w:rPr>
          <w:color w:val="231F20"/>
          <w:w w:val="105"/>
        </w:rPr>
        <w:t>para</w:t>
      </w:r>
      <w:r>
        <w:rPr>
          <w:color w:val="231F20"/>
          <w:spacing w:val="33"/>
          <w:w w:val="105"/>
        </w:rPr>
        <w:t> </w:t>
      </w:r>
      <w:r>
        <w:rPr>
          <w:color w:val="231F20"/>
          <w:w w:val="105"/>
        </w:rPr>
        <w:t>reforzar</w:t>
      </w:r>
      <w:r>
        <w:rPr>
          <w:color w:val="231F20"/>
          <w:spacing w:val="33"/>
          <w:w w:val="105"/>
        </w:rPr>
        <w:t> </w:t>
      </w:r>
      <w:r>
        <w:rPr>
          <w:color w:val="231F20"/>
          <w:w w:val="105"/>
        </w:rPr>
        <w:t>la</w:t>
      </w:r>
      <w:r>
        <w:rPr>
          <w:color w:val="231F20"/>
          <w:spacing w:val="33"/>
          <w:w w:val="105"/>
        </w:rPr>
        <w:t> </w:t>
      </w:r>
      <w:r>
        <w:rPr>
          <w:color w:val="231F20"/>
          <w:w w:val="105"/>
        </w:rPr>
        <w:t>estabilidad</w:t>
      </w:r>
      <w:r>
        <w:rPr>
          <w:color w:val="231F20"/>
          <w:spacing w:val="33"/>
          <w:w w:val="105"/>
        </w:rPr>
        <w:t> </w:t>
      </w:r>
      <w:r>
        <w:rPr>
          <w:color w:val="231F20"/>
          <w:w w:val="105"/>
        </w:rPr>
        <w:t>inter-</w:t>
      </w:r>
      <w:r>
        <w:rPr>
          <w:color w:val="231F20"/>
          <w:w w:val="72"/>
        </w:rPr>
        <w:t> </w:t>
      </w:r>
      <w:r>
        <w:rPr>
          <w:color w:val="231F20"/>
          <w:w w:val="105"/>
        </w:rPr>
        <w:t>nacional, reducir conflictos  regionales,  contrarrestar  el</w:t>
      </w:r>
      <w:r>
        <w:rPr>
          <w:color w:val="231F20"/>
          <w:spacing w:val="25"/>
          <w:w w:val="105"/>
        </w:rPr>
        <w:t> </w:t>
      </w:r>
      <w:r>
        <w:rPr>
          <w:color w:val="231F20"/>
          <w:w w:val="105"/>
        </w:rPr>
        <w:t>terrorismo</w:t>
      </w:r>
      <w:r>
        <w:rPr>
          <w:color w:val="231F20"/>
          <w:spacing w:val="48"/>
          <w:w w:val="105"/>
        </w:rPr>
        <w:t> </w:t>
      </w:r>
      <w:r>
        <w:rPr>
          <w:color w:val="231F20"/>
          <w:w w:val="105"/>
        </w:rPr>
        <w:t>y</w:t>
      </w:r>
      <w:r>
        <w:rPr>
          <w:color w:val="231F20"/>
          <w:w w:val="84"/>
        </w:rPr>
        <w:t> </w:t>
      </w:r>
      <w:r>
        <w:rPr>
          <w:color w:val="231F20"/>
          <w:w w:val="105"/>
        </w:rPr>
        <w:t>el</w:t>
      </w:r>
      <w:r>
        <w:rPr>
          <w:color w:val="231F20"/>
          <w:spacing w:val="24"/>
          <w:w w:val="105"/>
        </w:rPr>
        <w:t> </w:t>
      </w:r>
      <w:r>
        <w:rPr>
          <w:color w:val="231F20"/>
          <w:w w:val="105"/>
        </w:rPr>
        <w:t>extremismo</w:t>
      </w:r>
      <w:r>
        <w:rPr>
          <w:color w:val="231F20"/>
          <w:spacing w:val="24"/>
          <w:w w:val="105"/>
        </w:rPr>
        <w:t> </w:t>
      </w:r>
      <w:r>
        <w:rPr>
          <w:color w:val="231F20"/>
          <w:w w:val="105"/>
        </w:rPr>
        <w:t>y</w:t>
      </w:r>
      <w:r>
        <w:rPr>
          <w:color w:val="231F20"/>
          <w:spacing w:val="24"/>
          <w:w w:val="105"/>
        </w:rPr>
        <w:t> </w:t>
      </w:r>
      <w:r>
        <w:rPr>
          <w:color w:val="231F20"/>
          <w:w w:val="105"/>
        </w:rPr>
        <w:t>para</w:t>
      </w:r>
      <w:r>
        <w:rPr>
          <w:color w:val="231F20"/>
          <w:spacing w:val="24"/>
          <w:w w:val="105"/>
        </w:rPr>
        <w:t> </w:t>
      </w:r>
      <w:r>
        <w:rPr>
          <w:color w:val="231F20"/>
          <w:w w:val="105"/>
        </w:rPr>
        <w:t>extender</w:t>
      </w:r>
      <w:r>
        <w:rPr>
          <w:color w:val="231F20"/>
          <w:spacing w:val="24"/>
          <w:w w:val="105"/>
        </w:rPr>
        <w:t> </w:t>
      </w:r>
      <w:r>
        <w:rPr>
          <w:color w:val="231F20"/>
          <w:w w:val="105"/>
        </w:rPr>
        <w:t>la</w:t>
      </w:r>
      <w:r>
        <w:rPr>
          <w:color w:val="231F20"/>
          <w:spacing w:val="24"/>
          <w:w w:val="105"/>
        </w:rPr>
        <w:t> </w:t>
      </w:r>
      <w:r>
        <w:rPr>
          <w:color w:val="231F20"/>
          <w:w w:val="105"/>
        </w:rPr>
        <w:t>paz</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seguridad”</w:t>
      </w:r>
      <w:r>
        <w:rPr>
          <w:color w:val="231F20"/>
          <w:spacing w:val="24"/>
          <w:w w:val="105"/>
        </w:rPr>
        <w:t> </w:t>
      </w:r>
      <w:r>
        <w:rPr>
          <w:color w:val="231F20"/>
          <w:w w:val="105"/>
        </w:rPr>
        <w:t>(usaid,</w:t>
      </w:r>
      <w:r>
        <w:rPr>
          <w:color w:val="231F20"/>
          <w:spacing w:val="24"/>
          <w:w w:val="105"/>
        </w:rPr>
        <w:t> </w:t>
      </w:r>
      <w:r>
        <w:rPr>
          <w:color w:val="231F20"/>
          <w:w w:val="105"/>
        </w:rPr>
        <w:t>2008b).</w:t>
      </w:r>
      <w:r>
        <w:rPr>
          <w:color w:val="231F20"/>
          <w:w w:val="108"/>
        </w:rPr>
        <w:t> </w:t>
      </w:r>
      <w:r>
        <w:rPr>
          <w:color w:val="231F20"/>
          <w:w w:val="105"/>
        </w:rPr>
        <w:t>Después del ataque a las </w:t>
      </w:r>
      <w:r>
        <w:rPr>
          <w:color w:val="231F20"/>
          <w:spacing w:val="-3"/>
          <w:w w:val="105"/>
        </w:rPr>
        <w:t>Torres </w:t>
      </w:r>
      <w:r>
        <w:rPr>
          <w:color w:val="231F20"/>
          <w:w w:val="105"/>
        </w:rPr>
        <w:t>Gemelas se</w:t>
      </w:r>
      <w:r>
        <w:rPr>
          <w:color w:val="231F20"/>
          <w:spacing w:val="12"/>
          <w:w w:val="105"/>
        </w:rPr>
        <w:t> </w:t>
      </w:r>
      <w:r>
        <w:rPr>
          <w:color w:val="231F20"/>
          <w:w w:val="105"/>
        </w:rPr>
        <w:t>propusieron</w:t>
      </w:r>
      <w:r>
        <w:rPr>
          <w:color w:val="231F20"/>
          <w:spacing w:val="33"/>
          <w:w w:val="105"/>
        </w:rPr>
        <w:t> </w:t>
      </w:r>
      <w:r>
        <w:rPr>
          <w:color w:val="231F20"/>
          <w:w w:val="105"/>
        </w:rPr>
        <w:t>cambios</w:t>
      </w:r>
      <w:r>
        <w:rPr>
          <w:color w:val="231F20"/>
          <w:w w:val="106"/>
        </w:rPr>
        <w:t> </w:t>
      </w:r>
      <w:r>
        <w:rPr>
          <w:color w:val="231F20"/>
          <w:w w:val="105"/>
        </w:rPr>
        <w:t>para  reforzar  la  relación  entre  seguridad  y   </w:t>
      </w:r>
      <w:r>
        <w:rPr>
          <w:color w:val="231F20"/>
          <w:spacing w:val="19"/>
          <w:w w:val="105"/>
        </w:rPr>
        <w:t> </w:t>
      </w:r>
      <w:r>
        <w:rPr>
          <w:color w:val="231F20"/>
          <w:w w:val="105"/>
        </w:rPr>
        <w:t>democracia. </w:t>
      </w:r>
      <w:r>
        <w:rPr>
          <w:color w:val="231F20"/>
          <w:spacing w:val="32"/>
          <w:w w:val="105"/>
        </w:rPr>
        <w:t> </w:t>
      </w:r>
      <w:r>
        <w:rPr>
          <w:color w:val="231F20"/>
          <w:w w:val="105"/>
        </w:rPr>
        <w:t>Durante</w:t>
      </w:r>
      <w:r>
        <w:rPr>
          <w:color w:val="231F20"/>
          <w:spacing w:val="2"/>
          <w:w w:val="112"/>
        </w:rPr>
        <w:t> </w:t>
      </w:r>
      <w:r>
        <w:rPr>
          <w:color w:val="231F20"/>
          <w:w w:val="105"/>
        </w:rPr>
        <w:t>la última gestión de  George  </w:t>
      </w:r>
      <w:r>
        <w:rPr>
          <w:color w:val="231F20"/>
          <w:spacing w:val="-6"/>
          <w:w w:val="105"/>
        </w:rPr>
        <w:t>W.  </w:t>
      </w:r>
      <w:r>
        <w:rPr>
          <w:color w:val="231F20"/>
          <w:w w:val="105"/>
        </w:rPr>
        <w:t>Bush  la  política  exterior</w:t>
      </w:r>
      <w:r>
        <w:rPr>
          <w:color w:val="231F20"/>
          <w:spacing w:val="-1"/>
          <w:w w:val="105"/>
        </w:rPr>
        <w:t> </w:t>
      </w:r>
      <w:r>
        <w:rPr>
          <w:color w:val="231F20"/>
          <w:w w:val="105"/>
        </w:rPr>
        <w:t>se</w:t>
      </w:r>
      <w:r>
        <w:rPr>
          <w:color w:val="231F20"/>
          <w:spacing w:val="46"/>
          <w:w w:val="105"/>
        </w:rPr>
        <w:t> </w:t>
      </w:r>
      <w:r>
        <w:rPr>
          <w:color w:val="231F20"/>
          <w:w w:val="105"/>
        </w:rPr>
        <w:t>centró</w:t>
      </w:r>
      <w:r>
        <w:rPr>
          <w:color w:val="231F20"/>
          <w:w w:val="113"/>
        </w:rPr>
        <w:t> </w:t>
      </w:r>
      <w:r>
        <w:rPr>
          <w:color w:val="231F20"/>
          <w:w w:val="105"/>
        </w:rPr>
        <w:t>en  la  guerra  contra  Irak  y  en  las  medidas </w:t>
      </w:r>
      <w:r>
        <w:rPr>
          <w:color w:val="231F20"/>
          <w:spacing w:val="27"/>
          <w:w w:val="105"/>
        </w:rPr>
        <w:t> </w:t>
      </w:r>
      <w:r>
        <w:rPr>
          <w:color w:val="231F20"/>
          <w:w w:val="105"/>
        </w:rPr>
        <w:t>antiterroristas </w:t>
      </w:r>
      <w:r>
        <w:rPr>
          <w:color w:val="231F20"/>
          <w:spacing w:val="8"/>
          <w:w w:val="105"/>
        </w:rPr>
        <w:t> </w:t>
      </w:r>
      <w:r>
        <w:rPr>
          <w:color w:val="231F20"/>
          <w:w w:val="105"/>
        </w:rPr>
        <w:t>externas</w:t>
      </w:r>
      <w:r>
        <w:rPr>
          <w:color w:val="231F20"/>
          <w:w w:val="110"/>
        </w:rPr>
        <w:t> </w:t>
      </w:r>
      <w:r>
        <w:rPr>
          <w:color w:val="231F20"/>
          <w:w w:val="105"/>
        </w:rPr>
        <w:t>e</w:t>
      </w:r>
      <w:r>
        <w:rPr>
          <w:color w:val="231F20"/>
          <w:spacing w:val="37"/>
          <w:w w:val="105"/>
        </w:rPr>
        <w:t> </w:t>
      </w:r>
      <w:r>
        <w:rPr>
          <w:color w:val="231F20"/>
          <w:w w:val="105"/>
        </w:rPr>
        <w:t>internas</w:t>
      </w:r>
      <w:r>
        <w:rPr>
          <w:color w:val="231F20"/>
          <w:spacing w:val="37"/>
          <w:w w:val="105"/>
        </w:rPr>
        <w:t> </w:t>
      </w:r>
      <w:r>
        <w:rPr>
          <w:color w:val="231F20"/>
          <w:w w:val="105"/>
        </w:rPr>
        <w:t>y</w:t>
      </w:r>
      <w:r>
        <w:rPr>
          <w:color w:val="231F20"/>
          <w:spacing w:val="37"/>
          <w:w w:val="105"/>
        </w:rPr>
        <w:t> </w:t>
      </w:r>
      <w:r>
        <w:rPr>
          <w:color w:val="231F20"/>
          <w:w w:val="105"/>
        </w:rPr>
        <w:t>fue</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marco</w:t>
      </w:r>
      <w:r>
        <w:rPr>
          <w:color w:val="231F20"/>
          <w:spacing w:val="37"/>
          <w:w w:val="105"/>
        </w:rPr>
        <w:t> </w:t>
      </w:r>
      <w:r>
        <w:rPr>
          <w:color w:val="231F20"/>
          <w:w w:val="105"/>
        </w:rPr>
        <w:t>de</w:t>
      </w:r>
      <w:r>
        <w:rPr>
          <w:color w:val="231F20"/>
          <w:spacing w:val="37"/>
          <w:w w:val="105"/>
        </w:rPr>
        <w:t> </w:t>
      </w:r>
      <w:r>
        <w:rPr>
          <w:color w:val="231F20"/>
          <w:w w:val="105"/>
        </w:rPr>
        <w:t>tales</w:t>
      </w:r>
      <w:r>
        <w:rPr>
          <w:color w:val="231F20"/>
          <w:spacing w:val="37"/>
          <w:w w:val="105"/>
        </w:rPr>
        <w:t> </w:t>
      </w:r>
      <w:r>
        <w:rPr>
          <w:color w:val="231F20"/>
          <w:w w:val="105"/>
        </w:rPr>
        <w:t>guías</w:t>
      </w:r>
      <w:r>
        <w:rPr>
          <w:color w:val="231F20"/>
          <w:spacing w:val="37"/>
          <w:w w:val="105"/>
        </w:rPr>
        <w:t> </w:t>
      </w:r>
      <w:r>
        <w:rPr>
          <w:color w:val="231F20"/>
          <w:w w:val="105"/>
        </w:rPr>
        <w:t>de</w:t>
      </w:r>
      <w:r>
        <w:rPr>
          <w:color w:val="231F20"/>
          <w:spacing w:val="37"/>
          <w:w w:val="105"/>
        </w:rPr>
        <w:t> </w:t>
      </w:r>
      <w:r>
        <w:rPr>
          <w:color w:val="231F20"/>
          <w:w w:val="105"/>
        </w:rPr>
        <w:t>acción</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cual</w:t>
      </w:r>
      <w:r>
        <w:rPr>
          <w:color w:val="231F20"/>
          <w:spacing w:val="37"/>
          <w:w w:val="105"/>
        </w:rPr>
        <w:t> </w:t>
      </w:r>
      <w:r>
        <w:rPr>
          <w:color w:val="231F20"/>
          <w:w w:val="105"/>
        </w:rPr>
        <w:t>se</w:t>
      </w:r>
      <w:r>
        <w:rPr>
          <w:color w:val="231F20"/>
          <w:w w:val="103"/>
        </w:rPr>
        <w:t> </w:t>
      </w:r>
      <w:r>
        <w:rPr>
          <w:color w:val="231F20"/>
          <w:w w:val="105"/>
        </w:rPr>
        <w:t>implementaron algunas modificaciones en el plano de</w:t>
      </w:r>
      <w:r>
        <w:rPr>
          <w:color w:val="231F20"/>
          <w:spacing w:val="18"/>
          <w:w w:val="105"/>
        </w:rPr>
        <w:t> </w:t>
      </w:r>
      <w:r>
        <w:rPr>
          <w:color w:val="231F20"/>
          <w:w w:val="105"/>
        </w:rPr>
        <w:t>la</w:t>
      </w:r>
      <w:r>
        <w:rPr>
          <w:color w:val="231F20"/>
          <w:spacing w:val="17"/>
          <w:w w:val="105"/>
        </w:rPr>
        <w:t> </w:t>
      </w:r>
      <w:r>
        <w:rPr>
          <w:color w:val="231F20"/>
          <w:w w:val="105"/>
        </w:rPr>
        <w:t>política</w:t>
      </w:r>
      <w:r>
        <w:rPr>
          <w:color w:val="231F20"/>
          <w:w w:val="108"/>
        </w:rPr>
        <w:t> </w:t>
      </w:r>
      <w:r>
        <w:rPr>
          <w:color w:val="231F20"/>
          <w:w w:val="105"/>
        </w:rPr>
        <w:t>exterior orientadas a otorgarle mayor protagonismo a</w:t>
      </w:r>
      <w:r>
        <w:rPr>
          <w:color w:val="231F20"/>
          <w:spacing w:val="42"/>
          <w:w w:val="105"/>
        </w:rPr>
        <w:t> </w:t>
      </w:r>
      <w:r>
        <w:rPr>
          <w:color w:val="231F20"/>
          <w:w w:val="105"/>
        </w:rPr>
        <w:t>la</w:t>
      </w:r>
      <w:r>
        <w:rPr>
          <w:color w:val="231F20"/>
          <w:spacing w:val="51"/>
          <w:w w:val="105"/>
        </w:rPr>
        <w:t> </w:t>
      </w:r>
      <w:r>
        <w:rPr>
          <w:color w:val="231F20"/>
          <w:w w:val="105"/>
        </w:rPr>
        <w:t>asistencia,</w:t>
      </w:r>
      <w:r>
        <w:rPr>
          <w:color w:val="231F20"/>
          <w:w w:val="105"/>
        </w:rPr>
        <w:t> </w:t>
      </w:r>
      <w:r>
        <w:rPr>
          <w:color w:val="231F20"/>
          <w:w w:val="105"/>
        </w:rPr>
        <w:t>como</w:t>
      </w:r>
      <w:r>
        <w:rPr>
          <w:color w:val="231F20"/>
          <w:spacing w:val="19"/>
          <w:w w:val="105"/>
        </w:rPr>
        <w:t> </w:t>
      </w:r>
      <w:r>
        <w:rPr>
          <w:color w:val="231F20"/>
          <w:w w:val="105"/>
        </w:rPr>
        <w:t>la</w:t>
      </w:r>
      <w:r>
        <w:rPr>
          <w:color w:val="231F20"/>
          <w:spacing w:val="19"/>
          <w:w w:val="105"/>
        </w:rPr>
        <w:t> </w:t>
      </w:r>
      <w:r>
        <w:rPr>
          <w:color w:val="231F20"/>
          <w:w w:val="105"/>
        </w:rPr>
        <w:t>creación</w:t>
      </w:r>
      <w:r>
        <w:rPr>
          <w:color w:val="231F20"/>
          <w:spacing w:val="19"/>
          <w:w w:val="105"/>
        </w:rPr>
        <w:t> </w:t>
      </w:r>
      <w:r>
        <w:rPr>
          <w:color w:val="231F20"/>
          <w:w w:val="105"/>
        </w:rPr>
        <w:t>del</w:t>
      </w:r>
      <w:r>
        <w:rPr>
          <w:color w:val="231F20"/>
          <w:spacing w:val="19"/>
          <w:w w:val="105"/>
        </w:rPr>
        <w:t> </w:t>
      </w:r>
      <w:r>
        <w:rPr>
          <w:color w:val="231F20"/>
          <w:w w:val="105"/>
        </w:rPr>
        <w:t>puesto</w:t>
      </w:r>
      <w:r>
        <w:rPr>
          <w:color w:val="231F20"/>
          <w:spacing w:val="19"/>
          <w:w w:val="105"/>
        </w:rPr>
        <w:t> </w:t>
      </w:r>
      <w:r>
        <w:rPr>
          <w:color w:val="231F20"/>
          <w:w w:val="105"/>
        </w:rPr>
        <w:t>de</w:t>
      </w:r>
      <w:r>
        <w:rPr>
          <w:color w:val="231F20"/>
          <w:spacing w:val="19"/>
          <w:w w:val="105"/>
        </w:rPr>
        <w:t> </w:t>
      </w:r>
      <w:r>
        <w:rPr>
          <w:color w:val="231F20"/>
          <w:w w:val="105"/>
        </w:rPr>
        <w:t>“Director</w:t>
      </w:r>
      <w:r>
        <w:rPr>
          <w:color w:val="231F20"/>
          <w:spacing w:val="19"/>
          <w:w w:val="105"/>
        </w:rPr>
        <w:t> </w:t>
      </w:r>
      <w:r>
        <w:rPr>
          <w:color w:val="231F20"/>
          <w:w w:val="105"/>
        </w:rPr>
        <w:t>de</w:t>
      </w:r>
      <w:r>
        <w:rPr>
          <w:color w:val="231F20"/>
          <w:spacing w:val="19"/>
          <w:w w:val="105"/>
        </w:rPr>
        <w:t> </w:t>
      </w:r>
      <w:r>
        <w:rPr>
          <w:color w:val="231F20"/>
          <w:w w:val="105"/>
        </w:rPr>
        <w:t>Asistencia</w:t>
      </w:r>
      <w:r>
        <w:rPr>
          <w:color w:val="231F20"/>
          <w:spacing w:val="19"/>
          <w:w w:val="105"/>
        </w:rPr>
        <w:t> </w:t>
      </w:r>
      <w:r>
        <w:rPr>
          <w:color w:val="231F20"/>
          <w:w w:val="105"/>
        </w:rPr>
        <w:t>Extranjera”</w:t>
      </w:r>
      <w:r>
        <w:rPr>
          <w:color w:val="231F20"/>
          <w:spacing w:val="19"/>
          <w:w w:val="105"/>
        </w:rPr>
        <w:t> </w:t>
      </w:r>
      <w:r>
        <w:rPr>
          <w:color w:val="231F20"/>
          <w:w w:val="105"/>
        </w:rPr>
        <w:t>y</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el “F-Bureau” (ambos bajo el mando del Departamento de Estado), la</w:t>
      </w:r>
      <w:r>
        <w:rPr>
          <w:color w:val="231F20"/>
          <w:spacing w:val="-8"/>
          <w:w w:val="110"/>
        </w:rPr>
        <w:t> </w:t>
      </w:r>
      <w:r>
        <w:rPr>
          <w:color w:val="231F20"/>
          <w:w w:val="110"/>
        </w:rPr>
        <w:t>Milenium</w:t>
      </w:r>
      <w:r>
        <w:rPr>
          <w:color w:val="231F20"/>
          <w:spacing w:val="-8"/>
          <w:w w:val="110"/>
        </w:rPr>
        <w:t> </w:t>
      </w:r>
      <w:r>
        <w:rPr>
          <w:color w:val="231F20"/>
          <w:w w:val="110"/>
        </w:rPr>
        <w:t>Challenge</w:t>
      </w:r>
      <w:r>
        <w:rPr>
          <w:color w:val="231F20"/>
          <w:spacing w:val="-8"/>
          <w:w w:val="110"/>
        </w:rPr>
        <w:t> </w:t>
      </w:r>
      <w:r>
        <w:rPr>
          <w:color w:val="231F20"/>
          <w:w w:val="110"/>
        </w:rPr>
        <w:t>Corporation</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President’s</w:t>
      </w:r>
      <w:r>
        <w:rPr>
          <w:color w:val="231F20"/>
          <w:spacing w:val="-8"/>
          <w:w w:val="110"/>
        </w:rPr>
        <w:t> </w:t>
      </w:r>
      <w:r>
        <w:rPr>
          <w:color w:val="231F20"/>
          <w:w w:val="110"/>
        </w:rPr>
        <w:t>Emergency</w:t>
      </w:r>
      <w:r>
        <w:rPr>
          <w:color w:val="231F20"/>
          <w:spacing w:val="-8"/>
          <w:w w:val="110"/>
        </w:rPr>
        <w:t> </w:t>
      </w:r>
      <w:r>
        <w:rPr>
          <w:color w:val="231F20"/>
          <w:w w:val="110"/>
        </w:rPr>
        <w:t>Plan for aids Relief (peppfar), además de la duplicación del presupuesto de</w:t>
      </w:r>
      <w:r>
        <w:rPr>
          <w:color w:val="231F20"/>
          <w:spacing w:val="-20"/>
          <w:w w:val="110"/>
        </w:rPr>
        <w:t> </w:t>
      </w:r>
      <w:r>
        <w:rPr>
          <w:color w:val="231F20"/>
          <w:w w:val="110"/>
        </w:rPr>
        <w:t>ayuda</w:t>
      </w:r>
      <w:r>
        <w:rPr>
          <w:color w:val="231F20"/>
          <w:spacing w:val="-20"/>
          <w:w w:val="110"/>
        </w:rPr>
        <w:t> </w:t>
      </w:r>
      <w:r>
        <w:rPr>
          <w:color w:val="231F20"/>
          <w:w w:val="110"/>
        </w:rPr>
        <w:t>para</w:t>
      </w:r>
      <w:r>
        <w:rPr>
          <w:color w:val="231F20"/>
          <w:spacing w:val="-20"/>
          <w:w w:val="110"/>
        </w:rPr>
        <w:t> </w:t>
      </w:r>
      <w:r>
        <w:rPr>
          <w:color w:val="231F20"/>
          <w:w w:val="110"/>
        </w:rPr>
        <w:t>el</w:t>
      </w:r>
      <w:r>
        <w:rPr>
          <w:color w:val="231F20"/>
          <w:spacing w:val="-20"/>
          <w:w w:val="110"/>
        </w:rPr>
        <w:t> </w:t>
      </w:r>
      <w:r>
        <w:rPr>
          <w:color w:val="231F20"/>
          <w:w w:val="110"/>
        </w:rPr>
        <w:t>“desarrollo”.</w:t>
      </w:r>
      <w:r>
        <w:rPr>
          <w:color w:val="231F20"/>
          <w:spacing w:val="-20"/>
          <w:w w:val="110"/>
        </w:rPr>
        <w:t> </w:t>
      </w:r>
      <w:r>
        <w:rPr>
          <w:color w:val="231F20"/>
          <w:w w:val="110"/>
        </w:rPr>
        <w:t>Estas</w:t>
      </w:r>
      <w:r>
        <w:rPr>
          <w:color w:val="231F20"/>
          <w:spacing w:val="-20"/>
          <w:w w:val="110"/>
        </w:rPr>
        <w:t> </w:t>
      </w:r>
      <w:r>
        <w:rPr>
          <w:color w:val="231F20"/>
          <w:w w:val="110"/>
        </w:rPr>
        <w:t>medidas</w:t>
      </w:r>
      <w:r>
        <w:rPr>
          <w:color w:val="231F20"/>
          <w:spacing w:val="-20"/>
          <w:w w:val="110"/>
        </w:rPr>
        <w:t> </w:t>
      </w:r>
      <w:r>
        <w:rPr>
          <w:color w:val="231F20"/>
          <w:w w:val="110"/>
        </w:rPr>
        <w:t>forman</w:t>
      </w:r>
      <w:r>
        <w:rPr>
          <w:color w:val="231F20"/>
          <w:spacing w:val="-20"/>
          <w:w w:val="110"/>
        </w:rPr>
        <w:t> </w:t>
      </w:r>
      <w:r>
        <w:rPr>
          <w:color w:val="231F20"/>
          <w:w w:val="110"/>
        </w:rPr>
        <w:t>parte</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i/>
          <w:color w:val="231F20"/>
          <w:spacing w:val="-3"/>
          <w:w w:val="110"/>
        </w:rPr>
        <w:t>Trans- </w:t>
      </w:r>
      <w:r>
        <w:rPr>
          <w:i/>
          <w:color w:val="231F20"/>
          <w:w w:val="105"/>
        </w:rPr>
        <w:t>formational diplomacy </w:t>
      </w:r>
      <w:r>
        <w:rPr>
          <w:color w:val="231F20"/>
          <w:w w:val="105"/>
        </w:rPr>
        <w:t>(diplomacia transformadora). En el presupuesto </w:t>
      </w:r>
      <w:r>
        <w:rPr>
          <w:color w:val="231F20"/>
          <w:w w:val="110"/>
        </w:rPr>
        <w:t>solicitado para el año fiscal 2009, se planteaba que los principios de moralidad</w:t>
      </w:r>
      <w:r>
        <w:rPr>
          <w:color w:val="231F20"/>
          <w:spacing w:val="-24"/>
          <w:w w:val="110"/>
        </w:rPr>
        <w:t> </w:t>
      </w:r>
      <w:r>
        <w:rPr>
          <w:color w:val="231F20"/>
          <w:w w:val="110"/>
        </w:rPr>
        <w:t>y</w:t>
      </w:r>
      <w:r>
        <w:rPr>
          <w:color w:val="231F20"/>
          <w:spacing w:val="-24"/>
          <w:w w:val="110"/>
        </w:rPr>
        <w:t> </w:t>
      </w:r>
      <w:r>
        <w:rPr>
          <w:color w:val="231F20"/>
          <w:w w:val="110"/>
        </w:rPr>
        <w:t>seguridad</w:t>
      </w:r>
      <w:r>
        <w:rPr>
          <w:color w:val="231F20"/>
          <w:spacing w:val="-24"/>
          <w:w w:val="110"/>
        </w:rPr>
        <w:t> </w:t>
      </w:r>
      <w:r>
        <w:rPr>
          <w:color w:val="231F20"/>
          <w:w w:val="110"/>
        </w:rPr>
        <w:t>confluyen</w:t>
      </w:r>
      <w:r>
        <w:rPr>
          <w:color w:val="231F20"/>
          <w:spacing w:val="-24"/>
          <w:w w:val="110"/>
        </w:rPr>
        <w:t> </w:t>
      </w:r>
      <w:r>
        <w:rPr>
          <w:color w:val="231F20"/>
          <w:w w:val="110"/>
        </w:rPr>
        <w:t>en</w:t>
      </w:r>
      <w:r>
        <w:rPr>
          <w:color w:val="231F20"/>
          <w:spacing w:val="-24"/>
          <w:w w:val="110"/>
        </w:rPr>
        <w:t> </w:t>
      </w:r>
      <w:r>
        <w:rPr>
          <w:color w:val="231F20"/>
          <w:w w:val="110"/>
        </w:rPr>
        <w:t>una</w:t>
      </w:r>
      <w:r>
        <w:rPr>
          <w:color w:val="231F20"/>
          <w:spacing w:val="-24"/>
          <w:w w:val="110"/>
        </w:rPr>
        <w:t> </w:t>
      </w:r>
      <w:r>
        <w:rPr>
          <w:i/>
          <w:color w:val="231F20"/>
          <w:w w:val="110"/>
        </w:rPr>
        <w:t>Transformational</w:t>
      </w:r>
      <w:r>
        <w:rPr>
          <w:i/>
          <w:color w:val="231F20"/>
          <w:spacing w:val="-24"/>
          <w:w w:val="110"/>
        </w:rPr>
        <w:t> </w:t>
      </w:r>
      <w:r>
        <w:rPr>
          <w:i/>
          <w:color w:val="231F20"/>
          <w:w w:val="110"/>
        </w:rPr>
        <w:t>Diplomacy </w:t>
      </w:r>
      <w:r>
        <w:rPr>
          <w:color w:val="231F20"/>
          <w:w w:val="110"/>
        </w:rPr>
        <w:t>cuyo</w:t>
      </w:r>
      <w:r>
        <w:rPr>
          <w:color w:val="231F20"/>
          <w:spacing w:val="-5"/>
          <w:w w:val="110"/>
        </w:rPr>
        <w:t> </w:t>
      </w:r>
      <w:r>
        <w:rPr>
          <w:color w:val="231F20"/>
          <w:w w:val="110"/>
        </w:rPr>
        <w:t>objetivo,</w:t>
      </w:r>
      <w:r>
        <w:rPr>
          <w:color w:val="231F20"/>
          <w:spacing w:val="-5"/>
          <w:w w:val="110"/>
        </w:rPr>
        <w:t> </w:t>
      </w:r>
      <w:r>
        <w:rPr>
          <w:color w:val="231F20"/>
          <w:w w:val="110"/>
        </w:rPr>
        <w:t>a</w:t>
      </w:r>
      <w:r>
        <w:rPr>
          <w:color w:val="231F20"/>
          <w:spacing w:val="-5"/>
          <w:w w:val="110"/>
        </w:rPr>
        <w:t> </w:t>
      </w:r>
      <w:r>
        <w:rPr>
          <w:color w:val="231F20"/>
          <w:w w:val="110"/>
        </w:rPr>
        <w:t>nivel</w:t>
      </w:r>
      <w:r>
        <w:rPr>
          <w:color w:val="231F20"/>
          <w:spacing w:val="-5"/>
          <w:w w:val="110"/>
        </w:rPr>
        <w:t> </w:t>
      </w:r>
      <w:r>
        <w:rPr>
          <w:color w:val="231F20"/>
          <w:w w:val="110"/>
        </w:rPr>
        <w:t>general</w:t>
      </w:r>
      <w:r>
        <w:rPr>
          <w:color w:val="231F20"/>
          <w:spacing w:val="-5"/>
          <w:w w:val="110"/>
        </w:rPr>
        <w:t> </w:t>
      </w:r>
      <w:r>
        <w:rPr>
          <w:color w:val="231F20"/>
          <w:w w:val="110"/>
        </w:rPr>
        <w:t>sería</w:t>
      </w:r>
      <w:r>
        <w:rPr>
          <w:color w:val="231F20"/>
          <w:spacing w:val="-5"/>
          <w:w w:val="110"/>
        </w:rPr>
        <w:t> </w:t>
      </w:r>
      <w:r>
        <w:rPr>
          <w:color w:val="231F20"/>
          <w:w w:val="110"/>
        </w:rPr>
        <w:t>el</w:t>
      </w:r>
      <w:r>
        <w:rPr>
          <w:color w:val="231F20"/>
          <w:spacing w:val="-5"/>
          <w:w w:val="110"/>
        </w:rPr>
        <w:t> </w:t>
      </w:r>
      <w:r>
        <w:rPr>
          <w:color w:val="231F20"/>
          <w:w w:val="110"/>
        </w:rPr>
        <w:t>de</w:t>
      </w:r>
      <w:r>
        <w:rPr>
          <w:color w:val="231F20"/>
          <w:spacing w:val="-5"/>
          <w:w w:val="110"/>
        </w:rPr>
        <w:t> </w:t>
      </w:r>
      <w:r>
        <w:rPr>
          <w:color w:val="231F20"/>
          <w:w w:val="110"/>
        </w:rPr>
        <w:t>lograr</w:t>
      </w:r>
      <w:r>
        <w:rPr>
          <w:color w:val="231F20"/>
          <w:spacing w:val="-5"/>
          <w:w w:val="110"/>
        </w:rPr>
        <w:t> </w:t>
      </w:r>
      <w:r>
        <w:rPr>
          <w:color w:val="231F20"/>
          <w:w w:val="110"/>
        </w:rPr>
        <w:t>“un</w:t>
      </w:r>
      <w:r>
        <w:rPr>
          <w:color w:val="231F20"/>
          <w:spacing w:val="-5"/>
          <w:w w:val="110"/>
        </w:rPr>
        <w:t> </w:t>
      </w:r>
      <w:r>
        <w:rPr>
          <w:color w:val="231F20"/>
          <w:w w:val="110"/>
        </w:rPr>
        <w:t>mundo</w:t>
      </w:r>
      <w:r>
        <w:rPr>
          <w:color w:val="231F20"/>
          <w:spacing w:val="-5"/>
          <w:w w:val="110"/>
        </w:rPr>
        <w:t> </w:t>
      </w:r>
      <w:r>
        <w:rPr>
          <w:color w:val="231F20"/>
          <w:w w:val="110"/>
        </w:rPr>
        <w:t>con</w:t>
      </w:r>
      <w:r>
        <w:rPr>
          <w:color w:val="231F20"/>
          <w:spacing w:val="-5"/>
          <w:w w:val="110"/>
        </w:rPr>
        <w:t> </w:t>
      </w:r>
      <w:r>
        <w:rPr>
          <w:color w:val="231F20"/>
          <w:w w:val="110"/>
        </w:rPr>
        <w:t>Esta- dos democráticos bien gobernados que respondan a las necesidades de sus ciudadanos, que reduzcan la pobreza, que se comporten de modo</w:t>
      </w:r>
      <w:r>
        <w:rPr>
          <w:color w:val="231F20"/>
          <w:spacing w:val="-6"/>
          <w:w w:val="110"/>
        </w:rPr>
        <w:t> </w:t>
      </w:r>
      <w:r>
        <w:rPr>
          <w:color w:val="231F20"/>
          <w:w w:val="110"/>
        </w:rPr>
        <w:t>responsable</w:t>
      </w:r>
      <w:r>
        <w:rPr>
          <w:color w:val="231F20"/>
          <w:spacing w:val="-6"/>
          <w:w w:val="110"/>
        </w:rPr>
        <w:t> </w:t>
      </w:r>
      <w:r>
        <w:rPr>
          <w:color w:val="231F20"/>
          <w:w w:val="110"/>
        </w:rPr>
        <w:t>frente</w:t>
      </w:r>
      <w:r>
        <w:rPr>
          <w:color w:val="231F20"/>
          <w:spacing w:val="-6"/>
          <w:w w:val="110"/>
        </w:rPr>
        <w:t> </w:t>
      </w:r>
      <w:r>
        <w:rPr>
          <w:color w:val="231F20"/>
          <w:w w:val="110"/>
        </w:rPr>
        <w:t>a</w:t>
      </w:r>
      <w:r>
        <w:rPr>
          <w:color w:val="231F20"/>
          <w:spacing w:val="-6"/>
          <w:w w:val="110"/>
        </w:rPr>
        <w:t> </w:t>
      </w:r>
      <w:r>
        <w:rPr>
          <w:color w:val="231F20"/>
          <w:w w:val="110"/>
        </w:rPr>
        <w:t>sus</w:t>
      </w:r>
      <w:r>
        <w:rPr>
          <w:color w:val="231F20"/>
          <w:spacing w:val="-6"/>
          <w:w w:val="110"/>
        </w:rPr>
        <w:t> </w:t>
      </w:r>
      <w:r>
        <w:rPr>
          <w:color w:val="231F20"/>
          <w:w w:val="110"/>
        </w:rPr>
        <w:t>ciudadanos</w:t>
      </w:r>
      <w:r>
        <w:rPr>
          <w:color w:val="231F20"/>
          <w:spacing w:val="-6"/>
          <w:w w:val="110"/>
        </w:rPr>
        <w:t> </w:t>
      </w:r>
      <w:r>
        <w:rPr>
          <w:color w:val="231F20"/>
          <w:w w:val="110"/>
        </w:rPr>
        <w:t>y</w:t>
      </w:r>
      <w:r>
        <w:rPr>
          <w:color w:val="231F20"/>
          <w:spacing w:val="-6"/>
          <w:w w:val="110"/>
        </w:rPr>
        <w:t> </w:t>
      </w:r>
      <w:r>
        <w:rPr>
          <w:color w:val="231F20"/>
          <w:w w:val="110"/>
        </w:rPr>
        <w:t>al</w:t>
      </w:r>
      <w:r>
        <w:rPr>
          <w:color w:val="231F20"/>
          <w:spacing w:val="-6"/>
          <w:w w:val="110"/>
        </w:rPr>
        <w:t> </w:t>
      </w:r>
      <w:r>
        <w:rPr>
          <w:color w:val="231F20"/>
          <w:w w:val="110"/>
        </w:rPr>
        <w:t>sistema</w:t>
      </w:r>
      <w:r>
        <w:rPr>
          <w:color w:val="231F20"/>
          <w:spacing w:val="-6"/>
          <w:w w:val="110"/>
        </w:rPr>
        <w:t> </w:t>
      </w:r>
      <w:r>
        <w:rPr>
          <w:color w:val="231F20"/>
          <w:w w:val="110"/>
        </w:rPr>
        <w:t>internacional. La diplomacia estadunidense y los programas de asistencia</w:t>
      </w:r>
      <w:r>
        <w:rPr>
          <w:color w:val="231F20"/>
          <w:spacing w:val="-11"/>
          <w:w w:val="110"/>
        </w:rPr>
        <w:t> </w:t>
      </w:r>
      <w:r>
        <w:rPr>
          <w:color w:val="231F20"/>
          <w:w w:val="110"/>
        </w:rPr>
        <w:t>constitu- yen</w:t>
      </w:r>
      <w:r>
        <w:rPr>
          <w:color w:val="231F20"/>
          <w:spacing w:val="-8"/>
          <w:w w:val="110"/>
        </w:rPr>
        <w:t> </w:t>
      </w:r>
      <w:r>
        <w:rPr>
          <w:color w:val="231F20"/>
          <w:w w:val="110"/>
        </w:rPr>
        <w:t>prioridades</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política</w:t>
      </w:r>
      <w:r>
        <w:rPr>
          <w:color w:val="231F20"/>
          <w:spacing w:val="-8"/>
          <w:w w:val="110"/>
        </w:rPr>
        <w:t> </w:t>
      </w:r>
      <w:r>
        <w:rPr>
          <w:color w:val="231F20"/>
          <w:w w:val="110"/>
        </w:rPr>
        <w:t>exterior,</w:t>
      </w:r>
      <w:r>
        <w:rPr>
          <w:color w:val="231F20"/>
          <w:spacing w:val="-8"/>
          <w:w w:val="110"/>
        </w:rPr>
        <w:t> </w:t>
      </w:r>
      <w:r>
        <w:rPr>
          <w:color w:val="231F20"/>
          <w:w w:val="110"/>
        </w:rPr>
        <w:t>promoviendo</w:t>
      </w:r>
      <w:r>
        <w:rPr>
          <w:color w:val="231F20"/>
          <w:spacing w:val="-8"/>
          <w:w w:val="110"/>
        </w:rPr>
        <w:t> </w:t>
      </w:r>
      <w:r>
        <w:rPr>
          <w:color w:val="231F20"/>
          <w:w w:val="110"/>
        </w:rPr>
        <w:t>la</w:t>
      </w:r>
      <w:r>
        <w:rPr>
          <w:color w:val="231F20"/>
          <w:spacing w:val="-8"/>
          <w:w w:val="110"/>
        </w:rPr>
        <w:t> </w:t>
      </w:r>
      <w:r>
        <w:rPr>
          <w:color w:val="231F20"/>
          <w:w w:val="110"/>
        </w:rPr>
        <w:t>estabilidad</w:t>
      </w:r>
      <w:r>
        <w:rPr>
          <w:color w:val="231F20"/>
          <w:spacing w:val="-8"/>
          <w:w w:val="110"/>
        </w:rPr>
        <w:t> </w:t>
      </w:r>
      <w:r>
        <w:rPr>
          <w:color w:val="231F20"/>
          <w:w w:val="110"/>
        </w:rPr>
        <w:t>en países y regiones clave, confrontando los desafíos para la</w:t>
      </w:r>
      <w:r>
        <w:rPr>
          <w:color w:val="231F20"/>
          <w:spacing w:val="-8"/>
          <w:w w:val="110"/>
        </w:rPr>
        <w:t> </w:t>
      </w:r>
      <w:r>
        <w:rPr>
          <w:color w:val="231F20"/>
          <w:w w:val="110"/>
        </w:rPr>
        <w:t>seguridad, avanzando en la transformación económica, respondiendo a crisis humanitarias, y alentando a la mejor gobernanza, mejor política y mejores instituciones” (Congressional budget justification. Foreign Opperations.</w:t>
      </w:r>
      <w:r>
        <w:rPr>
          <w:color w:val="231F20"/>
          <w:spacing w:val="-12"/>
          <w:w w:val="110"/>
        </w:rPr>
        <w:t> </w:t>
      </w:r>
      <w:r>
        <w:rPr>
          <w:color w:val="231F20"/>
          <w:w w:val="110"/>
        </w:rPr>
        <w:t>Fiscal</w:t>
      </w:r>
      <w:r>
        <w:rPr>
          <w:color w:val="231F20"/>
          <w:spacing w:val="-12"/>
          <w:w w:val="110"/>
        </w:rPr>
        <w:t> </w:t>
      </w:r>
      <w:r>
        <w:rPr>
          <w:color w:val="231F20"/>
          <w:spacing w:val="-3"/>
          <w:w w:val="110"/>
        </w:rPr>
        <w:t>Year</w:t>
      </w:r>
      <w:r>
        <w:rPr>
          <w:color w:val="231F20"/>
          <w:spacing w:val="-12"/>
          <w:w w:val="110"/>
        </w:rPr>
        <w:t> </w:t>
      </w:r>
      <w:r>
        <w:rPr>
          <w:color w:val="231F20"/>
          <w:w w:val="110"/>
        </w:rPr>
        <w:t>2009</w:t>
      </w:r>
      <w:r>
        <w:rPr>
          <w:color w:val="231F20"/>
          <w:spacing w:val="-12"/>
          <w:w w:val="110"/>
        </w:rPr>
        <w:t> </w:t>
      </w:r>
      <w:r>
        <w:rPr>
          <w:color w:val="231F20"/>
          <w:w w:val="110"/>
        </w:rPr>
        <w:t>Budget</w:t>
      </w:r>
      <w:r>
        <w:rPr>
          <w:color w:val="231F20"/>
          <w:spacing w:val="-12"/>
          <w:w w:val="110"/>
        </w:rPr>
        <w:t> </w:t>
      </w:r>
      <w:r>
        <w:rPr>
          <w:color w:val="231F20"/>
          <w:w w:val="110"/>
        </w:rPr>
        <w:t>Request,</w:t>
      </w:r>
      <w:r>
        <w:rPr>
          <w:color w:val="231F20"/>
          <w:spacing w:val="-12"/>
          <w:w w:val="110"/>
        </w:rPr>
        <w:t> </w:t>
      </w:r>
      <w:r>
        <w:rPr>
          <w:color w:val="231F20"/>
          <w:w w:val="110"/>
        </w:rPr>
        <w:t>2008:</w:t>
      </w:r>
      <w:r>
        <w:rPr>
          <w:color w:val="231F20"/>
          <w:spacing w:val="-12"/>
          <w:w w:val="110"/>
        </w:rPr>
        <w:t> </w:t>
      </w:r>
      <w:r>
        <w:rPr>
          <w:color w:val="231F20"/>
          <w:w w:val="110"/>
        </w:rPr>
        <w:t>5).</w:t>
      </w:r>
    </w:p>
    <w:p>
      <w:pPr>
        <w:pStyle w:val="BodyText"/>
        <w:spacing w:line="261" w:lineRule="auto"/>
        <w:ind w:left="100" w:right="117" w:firstLine="240"/>
        <w:jc w:val="both"/>
      </w:pPr>
      <w:r>
        <w:rPr>
          <w:color w:val="231F20"/>
          <w:w w:val="110"/>
        </w:rPr>
        <w:t>Asimismo, los objetivos de la usaid para el hemisferio occidental entre</w:t>
      </w:r>
      <w:r>
        <w:rPr>
          <w:color w:val="231F20"/>
          <w:spacing w:val="-18"/>
          <w:w w:val="110"/>
        </w:rPr>
        <w:t> </w:t>
      </w:r>
      <w:r>
        <w:rPr>
          <w:color w:val="231F20"/>
          <w:w w:val="110"/>
        </w:rPr>
        <w:t>2007</w:t>
      </w:r>
      <w:r>
        <w:rPr>
          <w:color w:val="231F20"/>
          <w:spacing w:val="-18"/>
          <w:w w:val="110"/>
        </w:rPr>
        <w:t> </w:t>
      </w:r>
      <w:r>
        <w:rPr>
          <w:color w:val="231F20"/>
          <w:w w:val="110"/>
        </w:rPr>
        <w:t>y</w:t>
      </w:r>
      <w:r>
        <w:rPr>
          <w:color w:val="231F20"/>
          <w:spacing w:val="-18"/>
          <w:w w:val="110"/>
        </w:rPr>
        <w:t> </w:t>
      </w:r>
      <w:r>
        <w:rPr>
          <w:color w:val="231F20"/>
          <w:w w:val="110"/>
        </w:rPr>
        <w:t>2012</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marco</w:t>
      </w:r>
      <w:r>
        <w:rPr>
          <w:color w:val="231F20"/>
          <w:spacing w:val="-18"/>
          <w:w w:val="110"/>
        </w:rPr>
        <w:t> </w:t>
      </w:r>
      <w:r>
        <w:rPr>
          <w:color w:val="231F20"/>
          <w:w w:val="110"/>
        </w:rPr>
        <w:t>de</w:t>
      </w:r>
      <w:r>
        <w:rPr>
          <w:color w:val="231F20"/>
          <w:spacing w:val="-18"/>
          <w:w w:val="110"/>
        </w:rPr>
        <w:t> </w:t>
      </w:r>
      <w:r>
        <w:rPr>
          <w:color w:val="231F20"/>
          <w:w w:val="110"/>
        </w:rPr>
        <w:t>esta</w:t>
      </w:r>
      <w:r>
        <w:rPr>
          <w:color w:val="231F20"/>
          <w:spacing w:val="-18"/>
          <w:w w:val="110"/>
        </w:rPr>
        <w:t> </w:t>
      </w:r>
      <w:r>
        <w:rPr>
          <w:color w:val="231F20"/>
          <w:w w:val="110"/>
        </w:rPr>
        <w:t>“nueva”</w:t>
      </w:r>
      <w:r>
        <w:rPr>
          <w:color w:val="231F20"/>
          <w:spacing w:val="-18"/>
          <w:w w:val="110"/>
        </w:rPr>
        <w:t> </w:t>
      </w:r>
      <w:r>
        <w:rPr>
          <w:color w:val="231F20"/>
          <w:w w:val="110"/>
        </w:rPr>
        <w:t>diplomacia,</w:t>
      </w:r>
      <w:r>
        <w:rPr>
          <w:color w:val="231F20"/>
          <w:spacing w:val="-18"/>
          <w:w w:val="110"/>
        </w:rPr>
        <w:t> </w:t>
      </w:r>
      <w:r>
        <w:rPr>
          <w:color w:val="231F20"/>
          <w:w w:val="110"/>
        </w:rPr>
        <w:t>se</w:t>
      </w:r>
      <w:r>
        <w:rPr>
          <w:color w:val="231F20"/>
          <w:spacing w:val="-18"/>
          <w:w w:val="110"/>
        </w:rPr>
        <w:t> </w:t>
      </w:r>
      <w:r>
        <w:rPr>
          <w:color w:val="231F20"/>
          <w:w w:val="110"/>
        </w:rPr>
        <w:t>orientan a consolidar la democracia, promover la prosperidad, garantizar la oportunidad y promover al estado democrático (usaid, 2007:</w:t>
      </w:r>
      <w:r>
        <w:rPr>
          <w:color w:val="231F20"/>
          <w:spacing w:val="-17"/>
          <w:w w:val="110"/>
        </w:rPr>
        <w:t> </w:t>
      </w:r>
      <w:r>
        <w:rPr>
          <w:color w:val="231F20"/>
          <w:w w:val="110"/>
        </w:rPr>
        <w:t>54-55). Esto se condice con el énfasis que otorgaba la Secretaria de </w:t>
      </w:r>
      <w:r>
        <w:rPr>
          <w:color w:val="231F20"/>
          <w:spacing w:val="1"/>
          <w:w w:val="110"/>
        </w:rPr>
        <w:t> </w:t>
      </w:r>
      <w:r>
        <w:rPr>
          <w:color w:val="231F20"/>
          <w:w w:val="110"/>
        </w:rPr>
        <w:t>Estado,</w:t>
      </w:r>
    </w:p>
    <w:p>
      <w:pPr>
        <w:pStyle w:val="BodyText"/>
        <w:spacing w:line="261" w:lineRule="auto"/>
        <w:ind w:left="100" w:right="117"/>
        <w:jc w:val="both"/>
      </w:pPr>
      <w:r>
        <w:rPr>
          <w:color w:val="231F20"/>
          <w:w w:val="110"/>
        </w:rPr>
        <w:t>C. Rice (2008) a la relación entre democracia y desarrollo,</w:t>
      </w:r>
      <w:r>
        <w:rPr>
          <w:color w:val="231F20"/>
          <w:spacing w:val="-15"/>
          <w:w w:val="110"/>
        </w:rPr>
        <w:t> </w:t>
      </w:r>
      <w:r>
        <w:rPr>
          <w:color w:val="231F20"/>
          <w:w w:val="110"/>
        </w:rPr>
        <w:t>objetivos que debían articularse en la política exterior de Estados Unidos, es- pecialmente</w:t>
      </w:r>
      <w:r>
        <w:rPr>
          <w:color w:val="231F20"/>
          <w:spacing w:val="-6"/>
          <w:w w:val="110"/>
        </w:rPr>
        <w:t> </w:t>
      </w:r>
      <w:r>
        <w:rPr>
          <w:color w:val="231F20"/>
          <w:w w:val="110"/>
        </w:rPr>
        <w:t>en</w:t>
      </w:r>
      <w:r>
        <w:rPr>
          <w:color w:val="231F20"/>
          <w:spacing w:val="-6"/>
          <w:w w:val="110"/>
        </w:rPr>
        <w:t> </w:t>
      </w:r>
      <w:r>
        <w:rPr>
          <w:color w:val="231F20"/>
          <w:w w:val="110"/>
        </w:rPr>
        <w:t>cuanto</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Estados</w:t>
      </w:r>
      <w:r>
        <w:rPr>
          <w:color w:val="231F20"/>
          <w:spacing w:val="-6"/>
          <w:w w:val="110"/>
        </w:rPr>
        <w:t> </w:t>
      </w:r>
      <w:r>
        <w:rPr>
          <w:color w:val="231F20"/>
          <w:w w:val="110"/>
        </w:rPr>
        <w:t>“débiles”:</w:t>
      </w:r>
      <w:r>
        <w:rPr>
          <w:color w:val="231F20"/>
          <w:spacing w:val="-6"/>
          <w:w w:val="110"/>
        </w:rPr>
        <w:t> </w:t>
      </w:r>
      <w:r>
        <w:rPr>
          <w:color w:val="231F20"/>
          <w:w w:val="110"/>
        </w:rPr>
        <w:t>“Demasiado</w:t>
      </w:r>
      <w:r>
        <w:rPr>
          <w:color w:val="231F20"/>
          <w:spacing w:val="-6"/>
          <w:w w:val="110"/>
        </w:rPr>
        <w:t> </w:t>
      </w:r>
      <w:r>
        <w:rPr>
          <w:color w:val="231F20"/>
          <w:w w:val="110"/>
        </w:rPr>
        <w:t>seguido, la promoción de la democracia y la promoción del desarrollo son pensadas</w:t>
      </w:r>
      <w:r>
        <w:rPr>
          <w:color w:val="231F20"/>
          <w:spacing w:val="-15"/>
          <w:w w:val="110"/>
        </w:rPr>
        <w:t> </w:t>
      </w:r>
      <w:r>
        <w:rPr>
          <w:color w:val="231F20"/>
          <w:w w:val="110"/>
        </w:rPr>
        <w:t>como</w:t>
      </w:r>
      <w:r>
        <w:rPr>
          <w:color w:val="231F20"/>
          <w:spacing w:val="-15"/>
          <w:w w:val="110"/>
        </w:rPr>
        <w:t> </w:t>
      </w:r>
      <w:r>
        <w:rPr>
          <w:color w:val="231F20"/>
          <w:w w:val="110"/>
        </w:rPr>
        <w:t>metas</w:t>
      </w:r>
      <w:r>
        <w:rPr>
          <w:color w:val="231F20"/>
          <w:spacing w:val="-15"/>
          <w:w w:val="110"/>
        </w:rPr>
        <w:t> </w:t>
      </w:r>
      <w:r>
        <w:rPr>
          <w:color w:val="231F20"/>
          <w:w w:val="110"/>
        </w:rPr>
        <w:t>separadas.</w:t>
      </w:r>
      <w:r>
        <w:rPr>
          <w:color w:val="231F20"/>
          <w:spacing w:val="-15"/>
          <w:w w:val="110"/>
        </w:rPr>
        <w:t> </w:t>
      </w:r>
      <w:r>
        <w:rPr>
          <w:color w:val="231F20"/>
          <w:w w:val="110"/>
        </w:rPr>
        <w:t>De</w:t>
      </w:r>
      <w:r>
        <w:rPr>
          <w:color w:val="231F20"/>
          <w:spacing w:val="-15"/>
          <w:w w:val="110"/>
        </w:rPr>
        <w:t> </w:t>
      </w:r>
      <w:r>
        <w:rPr>
          <w:color w:val="231F20"/>
          <w:w w:val="110"/>
        </w:rPr>
        <w:t>hecho,</w:t>
      </w:r>
      <w:r>
        <w:rPr>
          <w:color w:val="231F20"/>
          <w:spacing w:val="-15"/>
          <w:w w:val="110"/>
        </w:rPr>
        <w:t> </w:t>
      </w:r>
      <w:r>
        <w:rPr>
          <w:color w:val="231F20"/>
          <w:w w:val="110"/>
        </w:rPr>
        <w:t>es</w:t>
      </w:r>
      <w:r>
        <w:rPr>
          <w:color w:val="231F20"/>
          <w:spacing w:val="-15"/>
          <w:w w:val="110"/>
        </w:rPr>
        <w:t> </w:t>
      </w:r>
      <w:r>
        <w:rPr>
          <w:color w:val="231F20"/>
          <w:w w:val="110"/>
        </w:rPr>
        <w:t>cada</w:t>
      </w:r>
      <w:r>
        <w:rPr>
          <w:color w:val="231F20"/>
          <w:spacing w:val="-15"/>
          <w:w w:val="110"/>
        </w:rPr>
        <w:t> </w:t>
      </w:r>
      <w:r>
        <w:rPr>
          <w:color w:val="231F20"/>
          <w:w w:val="110"/>
        </w:rPr>
        <w:t>vez</w:t>
      </w:r>
      <w:r>
        <w:rPr>
          <w:color w:val="231F20"/>
          <w:spacing w:val="-15"/>
          <w:w w:val="110"/>
        </w:rPr>
        <w:t> </w:t>
      </w:r>
      <w:r>
        <w:rPr>
          <w:color w:val="231F20"/>
          <w:w w:val="110"/>
        </w:rPr>
        <w:t>más</w:t>
      </w:r>
      <w:r>
        <w:rPr>
          <w:color w:val="231F20"/>
          <w:spacing w:val="-15"/>
          <w:w w:val="110"/>
        </w:rPr>
        <w:t> </w:t>
      </w:r>
      <w:r>
        <w:rPr>
          <w:color w:val="231F20"/>
          <w:w w:val="110"/>
        </w:rPr>
        <w:t>claro</w:t>
      </w:r>
      <w:r>
        <w:rPr>
          <w:color w:val="231F20"/>
          <w:spacing w:val="-15"/>
          <w:w w:val="110"/>
        </w:rPr>
        <w:t> </w:t>
      </w:r>
      <w:r>
        <w:rPr>
          <w:color w:val="231F20"/>
          <w:w w:val="110"/>
        </w:rPr>
        <w:t>que las prácticas e instituciones de la democracia son esenciales para la creación de un desarrollo económico sustentable y que un</w:t>
      </w:r>
      <w:r>
        <w:rPr>
          <w:color w:val="231F20"/>
          <w:spacing w:val="-20"/>
          <w:w w:val="110"/>
        </w:rPr>
        <w:t> </w:t>
      </w:r>
      <w:r>
        <w:rPr>
          <w:color w:val="231F20"/>
          <w:w w:val="110"/>
        </w:rPr>
        <w:t>desarrollo guiado por el mercado es esencial para la consolidación de la demo- cracia.</w:t>
      </w:r>
      <w:r>
        <w:rPr>
          <w:color w:val="231F20"/>
          <w:spacing w:val="-14"/>
          <w:w w:val="110"/>
        </w:rPr>
        <w:t> </w:t>
      </w:r>
      <w:r>
        <w:rPr>
          <w:color w:val="231F20"/>
          <w:w w:val="110"/>
        </w:rPr>
        <w:t>El</w:t>
      </w:r>
      <w:r>
        <w:rPr>
          <w:color w:val="231F20"/>
          <w:spacing w:val="-14"/>
          <w:w w:val="110"/>
        </w:rPr>
        <w:t> </w:t>
      </w:r>
      <w:r>
        <w:rPr>
          <w:color w:val="231F20"/>
          <w:w w:val="110"/>
        </w:rPr>
        <w:t>desarrollo</w:t>
      </w:r>
      <w:r>
        <w:rPr>
          <w:color w:val="231F20"/>
          <w:spacing w:val="-14"/>
          <w:w w:val="110"/>
        </w:rPr>
        <w:t> </w:t>
      </w:r>
      <w:r>
        <w:rPr>
          <w:color w:val="231F20"/>
          <w:w w:val="110"/>
        </w:rPr>
        <w:t>democrático</w:t>
      </w:r>
      <w:r>
        <w:rPr>
          <w:color w:val="231F20"/>
          <w:spacing w:val="-14"/>
          <w:w w:val="110"/>
        </w:rPr>
        <w:t> </w:t>
      </w:r>
      <w:r>
        <w:rPr>
          <w:color w:val="231F20"/>
          <w:w w:val="110"/>
        </w:rPr>
        <w:t>es</w:t>
      </w:r>
      <w:r>
        <w:rPr>
          <w:color w:val="231F20"/>
          <w:spacing w:val="-14"/>
          <w:w w:val="110"/>
        </w:rPr>
        <w:t> </w:t>
      </w:r>
      <w:r>
        <w:rPr>
          <w:color w:val="231F20"/>
          <w:w w:val="110"/>
        </w:rPr>
        <w:t>un</w:t>
      </w:r>
      <w:r>
        <w:rPr>
          <w:color w:val="231F20"/>
          <w:spacing w:val="-14"/>
          <w:w w:val="110"/>
        </w:rPr>
        <w:t> </w:t>
      </w:r>
      <w:r>
        <w:rPr>
          <w:color w:val="231F20"/>
          <w:w w:val="110"/>
        </w:rPr>
        <w:t>modelo</w:t>
      </w:r>
      <w:r>
        <w:rPr>
          <w:color w:val="231F20"/>
          <w:spacing w:val="-14"/>
          <w:w w:val="110"/>
        </w:rPr>
        <w:t> </w:t>
      </w:r>
      <w:r>
        <w:rPr>
          <w:color w:val="231F20"/>
          <w:w w:val="110"/>
        </w:rPr>
        <w:t>que</w:t>
      </w:r>
      <w:r>
        <w:rPr>
          <w:color w:val="231F20"/>
          <w:spacing w:val="-14"/>
          <w:w w:val="110"/>
        </w:rPr>
        <w:t> </w:t>
      </w:r>
      <w:r>
        <w:rPr>
          <w:color w:val="231F20"/>
          <w:w w:val="110"/>
        </w:rPr>
        <w:t>unifica</w:t>
      </w:r>
      <w:r>
        <w:rPr>
          <w:color w:val="231F20"/>
          <w:spacing w:val="-14"/>
          <w:w w:val="110"/>
        </w:rPr>
        <w:t> </w:t>
      </w:r>
      <w:r>
        <w:rPr>
          <w:color w:val="231F20"/>
          <w:w w:val="110"/>
        </w:rPr>
        <w:t>lo</w:t>
      </w:r>
      <w:r>
        <w:rPr>
          <w:color w:val="231F20"/>
          <w:spacing w:val="-14"/>
          <w:w w:val="110"/>
        </w:rPr>
        <w:t> </w:t>
      </w:r>
      <w:r>
        <w:rPr>
          <w:color w:val="231F20"/>
          <w:w w:val="110"/>
        </w:rPr>
        <w:t>político y</w:t>
      </w:r>
      <w:r>
        <w:rPr>
          <w:color w:val="231F20"/>
          <w:spacing w:val="-5"/>
          <w:w w:val="110"/>
        </w:rPr>
        <w:t> </w:t>
      </w:r>
      <w:r>
        <w:rPr>
          <w:color w:val="231F20"/>
          <w:w w:val="110"/>
        </w:rPr>
        <w:t>lo</w:t>
      </w:r>
      <w:r>
        <w:rPr>
          <w:color w:val="231F20"/>
          <w:spacing w:val="-5"/>
          <w:w w:val="110"/>
        </w:rPr>
        <w:t> </w:t>
      </w:r>
      <w:r>
        <w:rPr>
          <w:color w:val="231F20"/>
          <w:w w:val="110"/>
        </w:rPr>
        <w:t>económico,</w:t>
      </w:r>
      <w:r>
        <w:rPr>
          <w:color w:val="231F20"/>
          <w:spacing w:val="-5"/>
          <w:w w:val="110"/>
        </w:rPr>
        <w:t> </w:t>
      </w:r>
      <w:r>
        <w:rPr>
          <w:color w:val="231F20"/>
          <w:w w:val="110"/>
        </w:rPr>
        <w:t>y</w:t>
      </w:r>
      <w:r>
        <w:rPr>
          <w:color w:val="231F20"/>
          <w:spacing w:val="-5"/>
          <w:w w:val="110"/>
        </w:rPr>
        <w:t> </w:t>
      </w:r>
      <w:r>
        <w:rPr>
          <w:color w:val="231F20"/>
          <w:w w:val="110"/>
        </w:rPr>
        <w:t>ofrece</w:t>
      </w:r>
      <w:r>
        <w:rPr>
          <w:color w:val="231F20"/>
          <w:spacing w:val="-5"/>
          <w:w w:val="110"/>
        </w:rPr>
        <w:t> </w:t>
      </w:r>
      <w:r>
        <w:rPr>
          <w:color w:val="231F20"/>
          <w:w w:val="110"/>
        </w:rPr>
        <w:t>la</w:t>
      </w:r>
      <w:r>
        <w:rPr>
          <w:color w:val="231F20"/>
          <w:spacing w:val="-5"/>
          <w:w w:val="110"/>
        </w:rPr>
        <w:t> </w:t>
      </w:r>
      <w:r>
        <w:rPr>
          <w:color w:val="231F20"/>
          <w:w w:val="110"/>
        </w:rPr>
        <w:t>mezcla</w:t>
      </w:r>
      <w:r>
        <w:rPr>
          <w:color w:val="231F20"/>
          <w:spacing w:val="-5"/>
          <w:w w:val="110"/>
        </w:rPr>
        <w:t> </w:t>
      </w:r>
      <w:r>
        <w:rPr>
          <w:color w:val="231F20"/>
          <w:w w:val="110"/>
        </w:rPr>
        <w:t>entre</w:t>
      </w:r>
      <w:r>
        <w:rPr>
          <w:color w:val="231F20"/>
          <w:spacing w:val="-5"/>
          <w:w w:val="110"/>
        </w:rPr>
        <w:t> </w:t>
      </w:r>
      <w:r>
        <w:rPr>
          <w:color w:val="231F20"/>
          <w:w w:val="110"/>
        </w:rPr>
        <w:t>flexibilidad</w:t>
      </w:r>
      <w:r>
        <w:rPr>
          <w:color w:val="231F20"/>
          <w:spacing w:val="-5"/>
          <w:w w:val="110"/>
        </w:rPr>
        <w:t> </w:t>
      </w:r>
      <w:r>
        <w:rPr>
          <w:color w:val="231F20"/>
          <w:w w:val="110"/>
        </w:rPr>
        <w:t>y</w:t>
      </w:r>
      <w:r>
        <w:rPr>
          <w:color w:val="231F20"/>
          <w:spacing w:val="-5"/>
          <w:w w:val="110"/>
        </w:rPr>
        <w:t> </w:t>
      </w:r>
      <w:r>
        <w:rPr>
          <w:color w:val="231F20"/>
          <w:w w:val="110"/>
        </w:rPr>
        <w:t>estabilidad”.</w:t>
      </w:r>
    </w:p>
    <w:p>
      <w:pPr>
        <w:pStyle w:val="BodyText"/>
        <w:spacing w:line="261" w:lineRule="auto"/>
        <w:ind w:left="100" w:right="112" w:firstLine="240"/>
        <w:jc w:val="both"/>
      </w:pPr>
      <w:r>
        <w:rPr>
          <w:color w:val="231F20"/>
          <w:w w:val="110"/>
        </w:rPr>
        <w:t>Para concluir con los principales lineamientos de la administra- ción Bush en términos de asistencia y seguridad, es fundamental mencionar</w:t>
      </w:r>
      <w:r>
        <w:rPr>
          <w:color w:val="231F20"/>
          <w:spacing w:val="-15"/>
          <w:w w:val="110"/>
        </w:rPr>
        <w:t> </w:t>
      </w:r>
      <w:r>
        <w:rPr>
          <w:color w:val="231F20"/>
          <w:w w:val="110"/>
        </w:rPr>
        <w:t>la</w:t>
      </w:r>
      <w:r>
        <w:rPr>
          <w:color w:val="231F20"/>
          <w:spacing w:val="-15"/>
          <w:w w:val="110"/>
        </w:rPr>
        <w:t> </w:t>
      </w:r>
      <w:r>
        <w:rPr>
          <w:color w:val="231F20"/>
          <w:w w:val="110"/>
        </w:rPr>
        <w:t>“Reforma</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Sector</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Seguridad”</w:t>
      </w:r>
      <w:r>
        <w:rPr>
          <w:color w:val="231F20"/>
          <w:spacing w:val="-15"/>
          <w:w w:val="110"/>
        </w:rPr>
        <w:t> </w:t>
      </w:r>
      <w:r>
        <w:rPr>
          <w:color w:val="231F20"/>
          <w:w w:val="110"/>
        </w:rPr>
        <w:t>(</w:t>
      </w:r>
      <w:r>
        <w:rPr>
          <w:i/>
          <w:color w:val="231F20"/>
          <w:w w:val="110"/>
        </w:rPr>
        <w:t>Security</w:t>
      </w:r>
      <w:r>
        <w:rPr>
          <w:i/>
          <w:color w:val="231F20"/>
          <w:spacing w:val="-15"/>
          <w:w w:val="110"/>
        </w:rPr>
        <w:t> </w:t>
      </w:r>
      <w:r>
        <w:rPr>
          <w:i/>
          <w:color w:val="231F20"/>
          <w:w w:val="110"/>
        </w:rPr>
        <w:t>Sector </w:t>
      </w:r>
      <w:r>
        <w:rPr>
          <w:i/>
          <w:color w:val="231F20"/>
          <w:w w:val="110"/>
        </w:rPr>
        <w:t>Reform-</w:t>
      </w:r>
      <w:r>
        <w:rPr>
          <w:color w:val="231F20"/>
          <w:w w:val="110"/>
        </w:rPr>
        <w:t>ssr) que incluye al Departamento de Defensa (ocupado de</w:t>
      </w:r>
      <w:r>
        <w:rPr>
          <w:color w:val="231F20"/>
          <w:spacing w:val="-18"/>
          <w:w w:val="110"/>
        </w:rPr>
        <w:t> </w:t>
      </w:r>
      <w:r>
        <w:rPr>
          <w:color w:val="231F20"/>
          <w:w w:val="110"/>
        </w:rPr>
        <w:t>la seguridad), al Departamento de Estado (encargado de la</w:t>
      </w:r>
      <w:r>
        <w:rPr>
          <w:color w:val="231F20"/>
          <w:spacing w:val="-35"/>
          <w:w w:val="110"/>
        </w:rPr>
        <w:t> </w:t>
      </w:r>
      <w:r>
        <w:rPr>
          <w:color w:val="231F20"/>
          <w:w w:val="110"/>
        </w:rPr>
        <w:t>diplomacia) y a la usaid (encargada de la asistencia para el desarrollo). Esta  </w:t>
      </w:r>
      <w:r>
        <w:rPr>
          <w:color w:val="231F20"/>
          <w:spacing w:val="43"/>
          <w:w w:val="110"/>
        </w:rPr>
        <w:t> </w:t>
      </w:r>
      <w:r>
        <w:rPr>
          <w:color w:val="231F20"/>
          <w:w w:val="110"/>
        </w:rPr>
        <w:t>re-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forma se propuso en el año 2008 y se centra en “la paz, la seguridad y la gobernanza democrática”. </w:t>
      </w:r>
      <w:r>
        <w:rPr>
          <w:color w:val="231F20"/>
          <w:spacing w:val="-4"/>
          <w:w w:val="110"/>
        </w:rPr>
        <w:t>Todos </w:t>
      </w:r>
      <w:r>
        <w:rPr>
          <w:color w:val="231F20"/>
          <w:w w:val="110"/>
        </w:rPr>
        <w:t>estos aspectos son retomados de la Estrategia de Seguridad Nacional del año 2006, que proponía reforzar las dimensiones de la diplomacia, el desarrollo y la</w:t>
      </w:r>
      <w:r>
        <w:rPr>
          <w:color w:val="231F20"/>
          <w:spacing w:val="-27"/>
          <w:w w:val="110"/>
        </w:rPr>
        <w:t> </w:t>
      </w:r>
      <w:r>
        <w:rPr>
          <w:color w:val="231F20"/>
          <w:w w:val="110"/>
        </w:rPr>
        <w:t>defensa. El</w:t>
      </w:r>
      <w:r>
        <w:rPr>
          <w:color w:val="231F20"/>
          <w:spacing w:val="-4"/>
          <w:w w:val="110"/>
        </w:rPr>
        <w:t> </w:t>
      </w:r>
      <w:r>
        <w:rPr>
          <w:color w:val="231F20"/>
          <w:w w:val="110"/>
        </w:rPr>
        <w:t>objetivo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5"/>
          <w:w w:val="110"/>
        </w:rPr>
        <w:t> </w:t>
      </w:r>
      <w:r>
        <w:rPr>
          <w:color w:val="231F20"/>
          <w:w w:val="110"/>
        </w:rPr>
        <w:t>ssr</w:t>
      </w:r>
      <w:r>
        <w:rPr>
          <w:color w:val="231F20"/>
          <w:spacing w:val="-4"/>
          <w:w w:val="110"/>
        </w:rPr>
        <w:t> </w:t>
      </w:r>
      <w:r>
        <w:rPr>
          <w:color w:val="231F20"/>
          <w:w w:val="110"/>
        </w:rPr>
        <w:t>es:</w:t>
      </w:r>
      <w:r>
        <w:rPr>
          <w:color w:val="231F20"/>
          <w:spacing w:val="-4"/>
          <w:w w:val="110"/>
        </w:rPr>
        <w:t> </w:t>
      </w:r>
      <w:r>
        <w:rPr>
          <w:color w:val="231F20"/>
          <w:w w:val="110"/>
        </w:rPr>
        <w:t>“diseñar,</w:t>
      </w:r>
      <w:r>
        <w:rPr>
          <w:color w:val="231F20"/>
          <w:spacing w:val="-4"/>
          <w:w w:val="110"/>
        </w:rPr>
        <w:t> </w:t>
      </w:r>
      <w:r>
        <w:rPr>
          <w:color w:val="231F20"/>
          <w:w w:val="110"/>
        </w:rPr>
        <w:t>desarrollar,</w:t>
      </w:r>
      <w:r>
        <w:rPr>
          <w:color w:val="231F20"/>
          <w:spacing w:val="-4"/>
          <w:w w:val="110"/>
        </w:rPr>
        <w:t> </w:t>
      </w:r>
      <w:r>
        <w:rPr>
          <w:color w:val="231F20"/>
          <w:w w:val="110"/>
        </w:rPr>
        <w:t>y</w:t>
      </w:r>
      <w:r>
        <w:rPr>
          <w:color w:val="231F20"/>
          <w:spacing w:val="-4"/>
          <w:w w:val="110"/>
        </w:rPr>
        <w:t> </w:t>
      </w:r>
      <w:r>
        <w:rPr>
          <w:color w:val="231F20"/>
          <w:w w:val="110"/>
        </w:rPr>
        <w:t>brindar</w:t>
      </w:r>
      <w:r>
        <w:rPr>
          <w:color w:val="231F20"/>
          <w:spacing w:val="-4"/>
          <w:w w:val="110"/>
        </w:rPr>
        <w:t> </w:t>
      </w:r>
      <w:r>
        <w:rPr>
          <w:color w:val="231F20"/>
          <w:w w:val="110"/>
        </w:rPr>
        <w:t>asistencia</w:t>
      </w:r>
      <w:r>
        <w:rPr>
          <w:color w:val="231F20"/>
          <w:spacing w:val="-4"/>
          <w:w w:val="110"/>
        </w:rPr>
        <w:t> </w:t>
      </w:r>
      <w:r>
        <w:rPr>
          <w:color w:val="231F20"/>
          <w:w w:val="110"/>
        </w:rPr>
        <w:t>ex- tranjera, de modo tal que promueva seguridad y desarrollo efectivo, legítimo, transparente y controlable, en Estados amigos” (ssr,</w:t>
      </w:r>
      <w:r>
        <w:rPr>
          <w:color w:val="231F20"/>
          <w:spacing w:val="-28"/>
          <w:w w:val="110"/>
        </w:rPr>
        <w:t> </w:t>
      </w:r>
      <w:r>
        <w:rPr>
          <w:color w:val="231F20"/>
          <w:w w:val="110"/>
        </w:rPr>
        <w:t>2008). A</w:t>
      </w:r>
      <w:r>
        <w:rPr>
          <w:color w:val="231F20"/>
          <w:spacing w:val="-13"/>
          <w:w w:val="110"/>
        </w:rPr>
        <w:t> </w:t>
      </w:r>
      <w:r>
        <w:rPr>
          <w:color w:val="231F20"/>
          <w:w w:val="110"/>
        </w:rPr>
        <w:t>través</w:t>
      </w:r>
      <w:r>
        <w:rPr>
          <w:color w:val="231F20"/>
          <w:spacing w:val="-13"/>
          <w:w w:val="110"/>
        </w:rPr>
        <w:t> </w:t>
      </w:r>
      <w:r>
        <w:rPr>
          <w:color w:val="231F20"/>
          <w:w w:val="110"/>
        </w:rPr>
        <w:t>de</w:t>
      </w:r>
      <w:r>
        <w:rPr>
          <w:color w:val="231F20"/>
          <w:spacing w:val="-13"/>
          <w:w w:val="110"/>
        </w:rPr>
        <w:t> </w:t>
      </w:r>
      <w:r>
        <w:rPr>
          <w:color w:val="231F20"/>
          <w:w w:val="110"/>
        </w:rPr>
        <w:t>esta</w:t>
      </w:r>
      <w:r>
        <w:rPr>
          <w:color w:val="231F20"/>
          <w:spacing w:val="-13"/>
          <w:w w:val="110"/>
        </w:rPr>
        <w:t> </w:t>
      </w:r>
      <w:r>
        <w:rPr>
          <w:color w:val="231F20"/>
          <w:w w:val="110"/>
        </w:rPr>
        <w:t>reforma,</w:t>
      </w:r>
      <w:r>
        <w:rPr>
          <w:color w:val="231F20"/>
          <w:spacing w:val="-13"/>
          <w:w w:val="110"/>
        </w:rPr>
        <w:t> </w:t>
      </w:r>
      <w:r>
        <w:rPr>
          <w:color w:val="231F20"/>
          <w:w w:val="110"/>
        </w:rPr>
        <w:t>se</w:t>
      </w:r>
      <w:r>
        <w:rPr>
          <w:color w:val="231F20"/>
          <w:spacing w:val="-13"/>
          <w:w w:val="110"/>
        </w:rPr>
        <w:t> </w:t>
      </w:r>
      <w:r>
        <w:rPr>
          <w:color w:val="231F20"/>
          <w:w w:val="110"/>
        </w:rPr>
        <w:t>buscaría,</w:t>
      </w:r>
      <w:r>
        <w:rPr>
          <w:color w:val="231F20"/>
          <w:spacing w:val="-13"/>
          <w:w w:val="110"/>
        </w:rPr>
        <w:t> </w:t>
      </w:r>
      <w:r>
        <w:rPr>
          <w:color w:val="231F20"/>
          <w:w w:val="110"/>
        </w:rPr>
        <w:t>asimismo,</w:t>
      </w:r>
      <w:r>
        <w:rPr>
          <w:color w:val="231F20"/>
          <w:spacing w:val="-13"/>
          <w:w w:val="110"/>
        </w:rPr>
        <w:t> </w:t>
      </w:r>
      <w:r>
        <w:rPr>
          <w:color w:val="231F20"/>
          <w:w w:val="110"/>
        </w:rPr>
        <w:t>reducir</w:t>
      </w:r>
      <w:r>
        <w:rPr>
          <w:color w:val="231F20"/>
          <w:spacing w:val="-13"/>
          <w:w w:val="110"/>
        </w:rPr>
        <w:t> </w:t>
      </w:r>
      <w:r>
        <w:rPr>
          <w:color w:val="231F20"/>
          <w:w w:val="110"/>
        </w:rPr>
        <w:t>las</w:t>
      </w:r>
      <w:r>
        <w:rPr>
          <w:color w:val="231F20"/>
          <w:spacing w:val="-13"/>
          <w:w w:val="110"/>
        </w:rPr>
        <w:t> </w:t>
      </w:r>
      <w:r>
        <w:rPr>
          <w:color w:val="231F20"/>
          <w:w w:val="110"/>
        </w:rPr>
        <w:t>amenazas de</w:t>
      </w:r>
      <w:r>
        <w:rPr>
          <w:color w:val="231F20"/>
          <w:spacing w:val="-24"/>
          <w:w w:val="110"/>
        </w:rPr>
        <w:t> </w:t>
      </w:r>
      <w:r>
        <w:rPr>
          <w:color w:val="231F20"/>
          <w:w w:val="110"/>
        </w:rPr>
        <w:t>largo</w:t>
      </w:r>
      <w:r>
        <w:rPr>
          <w:color w:val="231F20"/>
          <w:spacing w:val="-24"/>
          <w:w w:val="110"/>
        </w:rPr>
        <w:t> </w:t>
      </w:r>
      <w:r>
        <w:rPr>
          <w:color w:val="231F20"/>
          <w:w w:val="110"/>
        </w:rPr>
        <w:t>plazo</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seguridad</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Estados</w:t>
      </w:r>
      <w:r>
        <w:rPr>
          <w:color w:val="231F20"/>
          <w:spacing w:val="-24"/>
          <w:w w:val="110"/>
        </w:rPr>
        <w:t> </w:t>
      </w:r>
      <w:r>
        <w:rPr>
          <w:color w:val="231F20"/>
          <w:w w:val="110"/>
        </w:rPr>
        <w:t>Unidos,</w:t>
      </w:r>
      <w:r>
        <w:rPr>
          <w:color w:val="231F20"/>
          <w:spacing w:val="-24"/>
          <w:w w:val="110"/>
        </w:rPr>
        <w:t> </w:t>
      </w:r>
      <w:r>
        <w:rPr>
          <w:color w:val="231F20"/>
          <w:w w:val="110"/>
        </w:rPr>
        <w:t>“a</w:t>
      </w:r>
      <w:r>
        <w:rPr>
          <w:color w:val="231F20"/>
          <w:spacing w:val="-24"/>
          <w:w w:val="110"/>
        </w:rPr>
        <w:t> </w:t>
      </w:r>
      <w:r>
        <w:rPr>
          <w:color w:val="231F20"/>
          <w:w w:val="110"/>
        </w:rPr>
        <w:t>través</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ayu- da</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construcción</w:t>
      </w:r>
      <w:r>
        <w:rPr>
          <w:color w:val="231F20"/>
          <w:spacing w:val="-8"/>
          <w:w w:val="110"/>
        </w:rPr>
        <w:t> </w:t>
      </w:r>
      <w:r>
        <w:rPr>
          <w:color w:val="231F20"/>
          <w:w w:val="110"/>
        </w:rPr>
        <w:t>de</w:t>
      </w:r>
      <w:r>
        <w:rPr>
          <w:color w:val="231F20"/>
          <w:spacing w:val="-8"/>
          <w:w w:val="110"/>
        </w:rPr>
        <w:t> </w:t>
      </w:r>
      <w:r>
        <w:rPr>
          <w:color w:val="231F20"/>
          <w:w w:val="110"/>
        </w:rPr>
        <w:t>sociedades</w:t>
      </w:r>
      <w:r>
        <w:rPr>
          <w:color w:val="231F20"/>
          <w:spacing w:val="-8"/>
          <w:w w:val="110"/>
        </w:rPr>
        <w:t> </w:t>
      </w:r>
      <w:r>
        <w:rPr>
          <w:color w:val="231F20"/>
          <w:w w:val="110"/>
        </w:rPr>
        <w:t>estables,</w:t>
      </w:r>
      <w:r>
        <w:rPr>
          <w:color w:val="231F20"/>
          <w:spacing w:val="-8"/>
          <w:w w:val="110"/>
        </w:rPr>
        <w:t> </w:t>
      </w:r>
      <w:r>
        <w:rPr>
          <w:color w:val="231F20"/>
          <w:w w:val="110"/>
        </w:rPr>
        <w:t>prósperas</w:t>
      </w:r>
      <w:r>
        <w:rPr>
          <w:color w:val="231F20"/>
          <w:spacing w:val="-8"/>
          <w:w w:val="110"/>
        </w:rPr>
        <w:t> </w:t>
      </w:r>
      <w:r>
        <w:rPr>
          <w:color w:val="231F20"/>
          <w:w w:val="110"/>
        </w:rPr>
        <w:t>y</w:t>
      </w:r>
      <w:r>
        <w:rPr>
          <w:color w:val="231F20"/>
          <w:spacing w:val="-8"/>
          <w:w w:val="110"/>
        </w:rPr>
        <w:t> </w:t>
      </w:r>
      <w:r>
        <w:rPr>
          <w:color w:val="231F20"/>
          <w:w w:val="110"/>
        </w:rPr>
        <w:t>pacíficas, más allá de nuestras fronteras” (ssr, 2008). Aquí se pone de relieve claramente</w:t>
      </w:r>
      <w:r>
        <w:rPr>
          <w:color w:val="231F20"/>
          <w:spacing w:val="-7"/>
          <w:w w:val="110"/>
        </w:rPr>
        <w:t> </w:t>
      </w:r>
      <w:r>
        <w:rPr>
          <w:color w:val="231F20"/>
          <w:w w:val="110"/>
        </w:rPr>
        <w:t>la</w:t>
      </w:r>
      <w:r>
        <w:rPr>
          <w:color w:val="231F20"/>
          <w:spacing w:val="-7"/>
          <w:w w:val="110"/>
        </w:rPr>
        <w:t> </w:t>
      </w:r>
      <w:r>
        <w:rPr>
          <w:color w:val="231F20"/>
          <w:w w:val="110"/>
        </w:rPr>
        <w:t>vinculación</w:t>
      </w:r>
      <w:r>
        <w:rPr>
          <w:color w:val="231F20"/>
          <w:spacing w:val="-7"/>
          <w:w w:val="110"/>
        </w:rPr>
        <w:t> </w:t>
      </w:r>
      <w:r>
        <w:rPr>
          <w:color w:val="231F20"/>
          <w:w w:val="110"/>
        </w:rPr>
        <w:t>entre</w:t>
      </w:r>
      <w:r>
        <w:rPr>
          <w:color w:val="231F20"/>
          <w:spacing w:val="-7"/>
          <w:w w:val="110"/>
        </w:rPr>
        <w:t> </w:t>
      </w:r>
      <w:r>
        <w:rPr>
          <w:color w:val="231F20"/>
          <w:w w:val="110"/>
        </w:rPr>
        <w:t>estabilidad</w:t>
      </w:r>
      <w:r>
        <w:rPr>
          <w:color w:val="231F20"/>
          <w:spacing w:val="-7"/>
          <w:w w:val="110"/>
        </w:rPr>
        <w:t> </w:t>
      </w:r>
      <w:r>
        <w:rPr>
          <w:color w:val="231F20"/>
          <w:w w:val="110"/>
        </w:rPr>
        <w:t>y</w:t>
      </w:r>
      <w:r>
        <w:rPr>
          <w:color w:val="231F20"/>
          <w:spacing w:val="-7"/>
          <w:w w:val="110"/>
        </w:rPr>
        <w:t> </w:t>
      </w:r>
      <w:r>
        <w:rPr>
          <w:color w:val="231F20"/>
          <w:w w:val="110"/>
        </w:rPr>
        <w:t>prosperidad,</w:t>
      </w:r>
      <w:r>
        <w:rPr>
          <w:color w:val="231F20"/>
          <w:spacing w:val="-7"/>
          <w:w w:val="110"/>
        </w:rPr>
        <w:t> </w:t>
      </w:r>
      <w:r>
        <w:rPr>
          <w:color w:val="231F20"/>
          <w:w w:val="110"/>
        </w:rPr>
        <w:t>es</w:t>
      </w:r>
      <w:r>
        <w:rPr>
          <w:color w:val="231F20"/>
          <w:spacing w:val="-7"/>
          <w:w w:val="110"/>
        </w:rPr>
        <w:t> </w:t>
      </w:r>
      <w:r>
        <w:rPr>
          <w:color w:val="231F20"/>
          <w:spacing w:val="-3"/>
          <w:w w:val="110"/>
        </w:rPr>
        <w:t>decir,</w:t>
      </w:r>
      <w:r>
        <w:rPr>
          <w:color w:val="231F20"/>
          <w:spacing w:val="-7"/>
          <w:w w:val="110"/>
        </w:rPr>
        <w:t> </w:t>
      </w:r>
      <w:r>
        <w:rPr>
          <w:color w:val="231F20"/>
          <w:w w:val="110"/>
        </w:rPr>
        <w:t>la concepción de seguridad como punto de partida para la</w:t>
      </w:r>
      <w:r>
        <w:rPr>
          <w:color w:val="231F20"/>
          <w:spacing w:val="19"/>
          <w:w w:val="110"/>
        </w:rPr>
        <w:t> </w:t>
      </w:r>
      <w:r>
        <w:rPr>
          <w:color w:val="231F20"/>
          <w:w w:val="110"/>
        </w:rPr>
        <w:t>democracia.</w:t>
      </w:r>
    </w:p>
    <w:p>
      <w:pPr>
        <w:pStyle w:val="BodyText"/>
      </w:pPr>
    </w:p>
    <w:p>
      <w:pPr>
        <w:pStyle w:val="BodyText"/>
      </w:pPr>
    </w:p>
    <w:p>
      <w:pPr>
        <w:pStyle w:val="BodyText"/>
        <w:spacing w:before="2"/>
        <w:rPr>
          <w:sz w:val="25"/>
        </w:rPr>
      </w:pPr>
    </w:p>
    <w:p>
      <w:pPr>
        <w:pStyle w:val="BodyText"/>
        <w:ind w:left="100"/>
        <w:jc w:val="both"/>
      </w:pPr>
      <w:r>
        <w:rPr>
          <w:color w:val="231F20"/>
          <w:w w:val="135"/>
        </w:rPr>
        <w:t>la asistencia para el desarrollo</w:t>
      </w:r>
    </w:p>
    <w:p>
      <w:pPr>
        <w:pStyle w:val="BodyText"/>
        <w:spacing w:before="20"/>
        <w:ind w:left="100"/>
        <w:jc w:val="both"/>
      </w:pPr>
      <w:r>
        <w:rPr>
          <w:color w:val="231F20"/>
          <w:w w:val="125"/>
        </w:rPr>
        <w:t>en la administración obama: las “tres d”</w:t>
      </w:r>
    </w:p>
    <w:p>
      <w:pPr>
        <w:pStyle w:val="BodyText"/>
        <w:spacing w:before="5"/>
        <w:rPr>
          <w:sz w:val="23"/>
        </w:rPr>
      </w:pPr>
    </w:p>
    <w:p>
      <w:pPr>
        <w:pStyle w:val="BodyText"/>
        <w:spacing w:line="261" w:lineRule="auto"/>
        <w:ind w:left="100" w:right="116"/>
        <w:jc w:val="both"/>
      </w:pPr>
      <w:r>
        <w:rPr>
          <w:color w:val="231F20"/>
          <w:w w:val="110"/>
        </w:rPr>
        <w:t>La administración Obama, al menos en sus declaraciones iniciales con respecto a la política hacia América Latina, otorgó vital impor- tancia a la “asistencia para el desarrollo”. En oportunidad de su campaña presidencial, Obama pronunció un discurso dirigido es- pecialmente para América Latina en mayo de 2008 (llamativamente en la Fundación Cubano-Norteamericana de Florida). Este discurso buscó legitimidad retomando algunas premisas de la Alianza para   el Progreso. Por ejemplo, su título era “Restaurando el liderazgo de Estados Unidos en las Américas” y comenzaba afirmando que “es tiempo</w:t>
      </w:r>
      <w:r>
        <w:rPr>
          <w:color w:val="231F20"/>
          <w:spacing w:val="-6"/>
          <w:w w:val="110"/>
        </w:rPr>
        <w:t> </w:t>
      </w:r>
      <w:r>
        <w:rPr>
          <w:color w:val="231F20"/>
          <w:w w:val="110"/>
        </w:rPr>
        <w:t>para</w:t>
      </w:r>
      <w:r>
        <w:rPr>
          <w:color w:val="231F20"/>
          <w:spacing w:val="-6"/>
          <w:w w:val="110"/>
        </w:rPr>
        <w:t> </w:t>
      </w:r>
      <w:r>
        <w:rPr>
          <w:color w:val="231F20"/>
          <w:w w:val="110"/>
        </w:rPr>
        <w:t>una</w:t>
      </w:r>
      <w:r>
        <w:rPr>
          <w:color w:val="231F20"/>
          <w:spacing w:val="-6"/>
          <w:w w:val="110"/>
        </w:rPr>
        <w:t> </w:t>
      </w:r>
      <w:r>
        <w:rPr>
          <w:color w:val="231F20"/>
          <w:w w:val="110"/>
        </w:rPr>
        <w:t>nueva</w:t>
      </w:r>
      <w:r>
        <w:rPr>
          <w:color w:val="231F20"/>
          <w:spacing w:val="-6"/>
          <w:w w:val="110"/>
        </w:rPr>
        <w:t> </w:t>
      </w:r>
      <w:r>
        <w:rPr>
          <w:color w:val="231F20"/>
          <w:w w:val="110"/>
        </w:rPr>
        <w:t>alianza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Américas”.</w:t>
      </w:r>
      <w:r>
        <w:rPr>
          <w:color w:val="231F20"/>
          <w:spacing w:val="-6"/>
          <w:w w:val="110"/>
        </w:rPr>
        <w:t> </w:t>
      </w:r>
      <w:r>
        <w:rPr>
          <w:color w:val="231F20"/>
          <w:w w:val="110"/>
        </w:rPr>
        <w:t>A</w:t>
      </w:r>
      <w:r>
        <w:rPr>
          <w:color w:val="231F20"/>
          <w:spacing w:val="-6"/>
          <w:w w:val="110"/>
        </w:rPr>
        <w:t> </w:t>
      </w:r>
      <w:r>
        <w:rPr>
          <w:color w:val="231F20"/>
          <w:w w:val="110"/>
        </w:rPr>
        <w:t>su</w:t>
      </w:r>
      <w:r>
        <w:rPr>
          <w:color w:val="231F20"/>
          <w:spacing w:val="-6"/>
          <w:w w:val="110"/>
        </w:rPr>
        <w:t> </w:t>
      </w:r>
      <w:r>
        <w:rPr>
          <w:color w:val="231F20"/>
          <w:w w:val="110"/>
        </w:rPr>
        <w:t>vez,</w:t>
      </w:r>
      <w:r>
        <w:rPr>
          <w:color w:val="231F20"/>
          <w:spacing w:val="-6"/>
          <w:w w:val="110"/>
        </w:rPr>
        <w:t> </w:t>
      </w:r>
      <w:r>
        <w:rPr>
          <w:color w:val="231F20"/>
          <w:w w:val="110"/>
        </w:rPr>
        <w:t>planteaba la “primacía del desarrollo como garante de la seguridad y la demo- cracia”,</w:t>
      </w:r>
      <w:r>
        <w:rPr>
          <w:color w:val="231F20"/>
          <w:spacing w:val="-6"/>
          <w:w w:val="110"/>
        </w:rPr>
        <w:t> </w:t>
      </w:r>
      <w:r>
        <w:rPr>
          <w:color w:val="231F20"/>
          <w:w w:val="110"/>
        </w:rPr>
        <w:t>la</w:t>
      </w:r>
      <w:r>
        <w:rPr>
          <w:color w:val="231F20"/>
          <w:spacing w:val="-6"/>
          <w:w w:val="110"/>
        </w:rPr>
        <w:t> </w:t>
      </w:r>
      <w:r>
        <w:rPr>
          <w:color w:val="231F20"/>
          <w:w w:val="110"/>
        </w:rPr>
        <w:t>importancia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diplomacia,</w:t>
      </w:r>
      <w:r>
        <w:rPr>
          <w:color w:val="231F20"/>
          <w:spacing w:val="-6"/>
          <w:w w:val="110"/>
        </w:rPr>
        <w:t> </w:t>
      </w:r>
      <w:r>
        <w:rPr>
          <w:color w:val="231F20"/>
          <w:w w:val="110"/>
        </w:rPr>
        <w:t>la</w:t>
      </w:r>
      <w:r>
        <w:rPr>
          <w:color w:val="231F20"/>
          <w:spacing w:val="-6"/>
          <w:w w:val="110"/>
        </w:rPr>
        <w:t> </w:t>
      </w:r>
      <w:r>
        <w:rPr>
          <w:color w:val="231F20"/>
          <w:w w:val="110"/>
        </w:rPr>
        <w:t>necesidad</w:t>
      </w:r>
      <w:r>
        <w:rPr>
          <w:color w:val="231F20"/>
          <w:spacing w:val="-6"/>
          <w:w w:val="110"/>
        </w:rPr>
        <w:t> </w:t>
      </w:r>
      <w:r>
        <w:rPr>
          <w:color w:val="231F20"/>
          <w:w w:val="110"/>
        </w:rPr>
        <w:t>de</w:t>
      </w:r>
      <w:r>
        <w:rPr>
          <w:color w:val="231F20"/>
          <w:spacing w:val="-6"/>
          <w:w w:val="110"/>
        </w:rPr>
        <w:t> </w:t>
      </w:r>
      <w:r>
        <w:rPr>
          <w:color w:val="231F20"/>
          <w:w w:val="110"/>
        </w:rPr>
        <w:t>aumentar</w:t>
      </w:r>
      <w:r>
        <w:rPr>
          <w:color w:val="231F20"/>
          <w:spacing w:val="-6"/>
          <w:w w:val="110"/>
        </w:rPr>
        <w:t> </w:t>
      </w:r>
      <w:r>
        <w:rPr>
          <w:color w:val="231F20"/>
          <w:w w:val="110"/>
        </w:rPr>
        <w:t>la ayuda</w:t>
      </w:r>
      <w:r>
        <w:rPr>
          <w:color w:val="231F20"/>
          <w:spacing w:val="-9"/>
          <w:w w:val="110"/>
        </w:rPr>
        <w:t> </w:t>
      </w:r>
      <w:r>
        <w:rPr>
          <w:color w:val="231F20"/>
          <w:w w:val="110"/>
        </w:rPr>
        <w:t>bilateral</w:t>
      </w:r>
      <w:r>
        <w:rPr>
          <w:color w:val="231F20"/>
          <w:spacing w:val="-9"/>
          <w:w w:val="110"/>
        </w:rPr>
        <w:t> </w:t>
      </w:r>
      <w:r>
        <w:rPr>
          <w:color w:val="231F20"/>
          <w:w w:val="110"/>
        </w:rPr>
        <w:t>y</w:t>
      </w:r>
      <w:r>
        <w:rPr>
          <w:color w:val="231F20"/>
          <w:spacing w:val="-9"/>
          <w:w w:val="110"/>
        </w:rPr>
        <w:t> </w:t>
      </w:r>
      <w:r>
        <w:rPr>
          <w:color w:val="231F20"/>
          <w:w w:val="110"/>
        </w:rPr>
        <w:t>multilateral,</w:t>
      </w:r>
      <w:r>
        <w:rPr>
          <w:color w:val="231F20"/>
          <w:spacing w:val="-9"/>
          <w:w w:val="110"/>
        </w:rPr>
        <w:t> </w:t>
      </w:r>
      <w:r>
        <w:rPr>
          <w:color w:val="231F20"/>
          <w:w w:val="110"/>
        </w:rPr>
        <w:t>etc.</w:t>
      </w:r>
      <w:r>
        <w:rPr>
          <w:color w:val="231F20"/>
          <w:spacing w:val="-9"/>
          <w:w w:val="110"/>
        </w:rPr>
        <w:t> </w:t>
      </w:r>
      <w:r>
        <w:rPr>
          <w:color w:val="231F20"/>
          <w:w w:val="110"/>
        </w:rPr>
        <w:t>Por</w:t>
      </w:r>
      <w:r>
        <w:rPr>
          <w:color w:val="231F20"/>
          <w:spacing w:val="-9"/>
          <w:w w:val="110"/>
        </w:rPr>
        <w:t> </w:t>
      </w:r>
      <w:r>
        <w:rPr>
          <w:color w:val="231F20"/>
          <w:w w:val="110"/>
        </w:rPr>
        <w:t>último,</w:t>
      </w:r>
      <w:r>
        <w:rPr>
          <w:color w:val="231F20"/>
          <w:spacing w:val="-9"/>
          <w:w w:val="110"/>
        </w:rPr>
        <w:t> </w:t>
      </w:r>
      <w:r>
        <w:rPr>
          <w:color w:val="231F20"/>
          <w:w w:val="110"/>
        </w:rPr>
        <w:t>Obama</w:t>
      </w:r>
      <w:r>
        <w:rPr>
          <w:color w:val="231F20"/>
          <w:spacing w:val="-9"/>
          <w:w w:val="110"/>
        </w:rPr>
        <w:t> </w:t>
      </w:r>
      <w:r>
        <w:rPr>
          <w:color w:val="231F20"/>
          <w:w w:val="110"/>
        </w:rPr>
        <w:t>proponía</w:t>
      </w:r>
      <w:r>
        <w:rPr>
          <w:color w:val="231F20"/>
          <w:spacing w:val="-9"/>
          <w:w w:val="110"/>
        </w:rPr>
        <w:t> </w:t>
      </w:r>
      <w:r>
        <w:rPr>
          <w:color w:val="231F20"/>
          <w:w w:val="110"/>
        </w:rPr>
        <w:t>como una de las estrategias para reforzar la diplomacia, la resurrección   de los “Cuerpos de Paz” que constituyeron uno de los íconos de la Alianza para el Progreso de Kennedy (Obama, 2008). Es evidente</w:t>
      </w:r>
      <w:r>
        <w:rPr>
          <w:color w:val="231F20"/>
          <w:spacing w:val="-18"/>
          <w:w w:val="110"/>
        </w:rPr>
        <w:t> </w:t>
      </w:r>
      <w:r>
        <w:rPr>
          <w:color w:val="231F20"/>
          <w:w w:val="110"/>
        </w:rPr>
        <w:t>la ignorancia generalizada acerca de las implicancias políticas y eco- nómicas de la Alianza para el Progreso en América Latina, aspecto que permite que se siga retomando a Kennedy y a la Alianza como paradigma de relaciones amistosas y cordiales. Lo importante es</w:t>
      </w:r>
      <w:r>
        <w:rPr>
          <w:color w:val="231F20"/>
          <w:spacing w:val="-38"/>
          <w:w w:val="110"/>
        </w:rPr>
        <w:t> </w:t>
      </w:r>
      <w:r>
        <w:rPr>
          <w:color w:val="231F20"/>
          <w:w w:val="110"/>
        </w:rPr>
        <w:t>que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las</w:t>
      </w:r>
      <w:r>
        <w:rPr>
          <w:color w:val="231F20"/>
          <w:spacing w:val="-6"/>
          <w:w w:val="110"/>
        </w:rPr>
        <w:t> </w:t>
      </w:r>
      <w:r>
        <w:rPr>
          <w:color w:val="231F20"/>
          <w:w w:val="110"/>
        </w:rPr>
        <w:t>ideas</w:t>
      </w:r>
      <w:r>
        <w:rPr>
          <w:color w:val="231F20"/>
          <w:spacing w:val="-6"/>
          <w:w w:val="110"/>
        </w:rPr>
        <w:t> </w:t>
      </w:r>
      <w:r>
        <w:rPr>
          <w:color w:val="231F20"/>
          <w:w w:val="110"/>
        </w:rPr>
        <w:t>planteadas</w:t>
      </w:r>
      <w:r>
        <w:rPr>
          <w:color w:val="231F20"/>
          <w:spacing w:val="-6"/>
          <w:w w:val="110"/>
        </w:rPr>
        <w:t> </w:t>
      </w:r>
      <w:r>
        <w:rPr>
          <w:color w:val="231F20"/>
          <w:w w:val="110"/>
        </w:rPr>
        <w:t>por</w:t>
      </w:r>
      <w:r>
        <w:rPr>
          <w:color w:val="231F20"/>
          <w:spacing w:val="-6"/>
          <w:w w:val="110"/>
        </w:rPr>
        <w:t> </w:t>
      </w:r>
      <w:r>
        <w:rPr>
          <w:color w:val="231F20"/>
          <w:w w:val="110"/>
        </w:rPr>
        <w:t>Obama</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campaña,</w:t>
      </w:r>
      <w:r>
        <w:rPr>
          <w:color w:val="231F20"/>
          <w:spacing w:val="-6"/>
          <w:w w:val="110"/>
        </w:rPr>
        <w:t> </w:t>
      </w:r>
      <w:r>
        <w:rPr>
          <w:color w:val="231F20"/>
          <w:w w:val="110"/>
        </w:rPr>
        <w:t>adquirieron</w:t>
      </w:r>
      <w:r>
        <w:rPr>
          <w:color w:val="231F20"/>
          <w:spacing w:val="-6"/>
          <w:w w:val="110"/>
        </w:rPr>
        <w:t> </w:t>
      </w:r>
      <w:r>
        <w:rPr>
          <w:color w:val="231F20"/>
          <w:w w:val="110"/>
        </w:rPr>
        <w:t>vigencia en los lineamientos generales del Departamento de Estado para la política exterior, tal como se puede observar en algunos documen- tos (Fyscal </w:t>
      </w:r>
      <w:r>
        <w:rPr>
          <w:color w:val="231F20"/>
          <w:spacing w:val="-6"/>
          <w:w w:val="110"/>
        </w:rPr>
        <w:t>Year, </w:t>
      </w:r>
      <w:r>
        <w:rPr>
          <w:color w:val="231F20"/>
          <w:w w:val="110"/>
        </w:rPr>
        <w:t>2009, Department of State and other International Programs:</w:t>
      </w:r>
      <w:r>
        <w:rPr>
          <w:color w:val="231F20"/>
          <w:spacing w:val="-11"/>
          <w:w w:val="110"/>
        </w:rPr>
        <w:t> </w:t>
      </w:r>
      <w:r>
        <w:rPr>
          <w:color w:val="231F20"/>
          <w:w w:val="110"/>
        </w:rPr>
        <w:t>87).</w:t>
      </w:r>
    </w:p>
    <w:p>
      <w:pPr>
        <w:pStyle w:val="BodyText"/>
        <w:spacing w:line="261" w:lineRule="auto"/>
        <w:ind w:left="100" w:right="119" w:firstLine="240"/>
        <w:jc w:val="both"/>
      </w:pPr>
      <w:r>
        <w:rPr>
          <w:color w:val="231F20"/>
          <w:w w:val="110"/>
        </w:rPr>
        <w:t>Debe</w:t>
      </w:r>
      <w:r>
        <w:rPr>
          <w:color w:val="231F20"/>
          <w:spacing w:val="-22"/>
          <w:w w:val="110"/>
        </w:rPr>
        <w:t> </w:t>
      </w:r>
      <w:r>
        <w:rPr>
          <w:color w:val="231F20"/>
          <w:w w:val="110"/>
        </w:rPr>
        <w:t>señalarse,</w:t>
      </w:r>
      <w:r>
        <w:rPr>
          <w:color w:val="231F20"/>
          <w:spacing w:val="-22"/>
          <w:w w:val="110"/>
        </w:rPr>
        <w:t> </w:t>
      </w:r>
      <w:r>
        <w:rPr>
          <w:color w:val="231F20"/>
          <w:w w:val="110"/>
        </w:rPr>
        <w:t>asimismo,</w:t>
      </w:r>
      <w:r>
        <w:rPr>
          <w:color w:val="231F20"/>
          <w:spacing w:val="-22"/>
          <w:w w:val="110"/>
        </w:rPr>
        <w:t> </w:t>
      </w:r>
      <w:r>
        <w:rPr>
          <w:color w:val="231F20"/>
          <w:w w:val="110"/>
        </w:rPr>
        <w:t>que</w:t>
      </w:r>
      <w:r>
        <w:rPr>
          <w:color w:val="231F20"/>
          <w:spacing w:val="-22"/>
          <w:w w:val="110"/>
        </w:rPr>
        <w:t> </w:t>
      </w:r>
      <w:r>
        <w:rPr>
          <w:color w:val="231F20"/>
          <w:w w:val="110"/>
        </w:rPr>
        <w:t>los</w:t>
      </w:r>
      <w:r>
        <w:rPr>
          <w:color w:val="231F20"/>
          <w:spacing w:val="-22"/>
          <w:w w:val="110"/>
        </w:rPr>
        <w:t> </w:t>
      </w:r>
      <w:r>
        <w:rPr>
          <w:color w:val="231F20"/>
          <w:w w:val="110"/>
        </w:rPr>
        <w:t>tres</w:t>
      </w:r>
      <w:r>
        <w:rPr>
          <w:color w:val="231F20"/>
          <w:spacing w:val="-22"/>
          <w:w w:val="110"/>
        </w:rPr>
        <w:t> </w:t>
      </w:r>
      <w:r>
        <w:rPr>
          <w:color w:val="231F20"/>
          <w:w w:val="110"/>
        </w:rPr>
        <w:t>pilares</w:t>
      </w:r>
      <w:r>
        <w:rPr>
          <w:color w:val="231F20"/>
          <w:spacing w:val="-22"/>
          <w:w w:val="110"/>
        </w:rPr>
        <w:t> </w:t>
      </w:r>
      <w:r>
        <w:rPr>
          <w:color w:val="231F20"/>
          <w:w w:val="110"/>
        </w:rPr>
        <w:t>sobre</w:t>
      </w:r>
      <w:r>
        <w:rPr>
          <w:color w:val="231F20"/>
          <w:spacing w:val="-22"/>
          <w:w w:val="110"/>
        </w:rPr>
        <w:t> </w:t>
      </w:r>
      <w:r>
        <w:rPr>
          <w:color w:val="231F20"/>
          <w:w w:val="110"/>
        </w:rPr>
        <w:t>los</w:t>
      </w:r>
      <w:r>
        <w:rPr>
          <w:color w:val="231F20"/>
          <w:spacing w:val="-22"/>
          <w:w w:val="110"/>
        </w:rPr>
        <w:t> </w:t>
      </w:r>
      <w:r>
        <w:rPr>
          <w:color w:val="231F20"/>
          <w:w w:val="110"/>
        </w:rPr>
        <w:t>que</w:t>
      </w:r>
      <w:r>
        <w:rPr>
          <w:color w:val="231F20"/>
          <w:spacing w:val="-22"/>
          <w:w w:val="110"/>
        </w:rPr>
        <w:t> </w:t>
      </w:r>
      <w:r>
        <w:rPr>
          <w:color w:val="231F20"/>
          <w:w w:val="110"/>
        </w:rPr>
        <w:t>descan- sa</w:t>
      </w:r>
      <w:r>
        <w:rPr>
          <w:color w:val="231F20"/>
          <w:spacing w:val="-28"/>
          <w:w w:val="110"/>
        </w:rPr>
        <w:t> </w:t>
      </w:r>
      <w:r>
        <w:rPr>
          <w:color w:val="231F20"/>
          <w:w w:val="110"/>
        </w:rPr>
        <w:t>esta</w:t>
      </w:r>
      <w:r>
        <w:rPr>
          <w:color w:val="231F20"/>
          <w:spacing w:val="-28"/>
          <w:w w:val="110"/>
        </w:rPr>
        <w:t> </w:t>
      </w:r>
      <w:r>
        <w:rPr>
          <w:color w:val="231F20"/>
          <w:w w:val="110"/>
        </w:rPr>
        <w:t>política</w:t>
      </w:r>
      <w:r>
        <w:rPr>
          <w:color w:val="231F20"/>
          <w:spacing w:val="-28"/>
          <w:w w:val="110"/>
        </w:rPr>
        <w:t> </w:t>
      </w:r>
      <w:r>
        <w:rPr>
          <w:color w:val="231F20"/>
          <w:w w:val="110"/>
        </w:rPr>
        <w:t>exterior</w:t>
      </w:r>
      <w:r>
        <w:rPr>
          <w:color w:val="231F20"/>
          <w:spacing w:val="-28"/>
          <w:w w:val="110"/>
        </w:rPr>
        <w:t> </w:t>
      </w:r>
      <w:r>
        <w:rPr>
          <w:color w:val="231F20"/>
          <w:w w:val="110"/>
        </w:rPr>
        <w:t>de</w:t>
      </w:r>
      <w:r>
        <w:rPr>
          <w:color w:val="231F20"/>
          <w:spacing w:val="-28"/>
          <w:w w:val="110"/>
        </w:rPr>
        <w:t> </w:t>
      </w:r>
      <w:r>
        <w:rPr>
          <w:color w:val="231F20"/>
          <w:w w:val="110"/>
        </w:rPr>
        <w:t>Obama</w:t>
      </w:r>
      <w:r>
        <w:rPr>
          <w:color w:val="231F20"/>
          <w:spacing w:val="-28"/>
          <w:w w:val="110"/>
        </w:rPr>
        <w:t> </w:t>
      </w:r>
      <w:r>
        <w:rPr>
          <w:color w:val="231F20"/>
          <w:w w:val="110"/>
        </w:rPr>
        <w:t>son</w:t>
      </w:r>
      <w:r>
        <w:rPr>
          <w:color w:val="231F20"/>
          <w:spacing w:val="-28"/>
          <w:w w:val="110"/>
        </w:rPr>
        <w:t> </w:t>
      </w:r>
      <w:r>
        <w:rPr>
          <w:color w:val="231F20"/>
          <w:w w:val="110"/>
        </w:rPr>
        <w:t>los</w:t>
      </w:r>
      <w:r>
        <w:rPr>
          <w:color w:val="231F20"/>
          <w:spacing w:val="-28"/>
          <w:w w:val="110"/>
        </w:rPr>
        <w:t> </w:t>
      </w:r>
      <w:r>
        <w:rPr>
          <w:color w:val="231F20"/>
          <w:w w:val="110"/>
        </w:rPr>
        <w:t>de</w:t>
      </w:r>
      <w:r>
        <w:rPr>
          <w:color w:val="231F20"/>
          <w:spacing w:val="-28"/>
          <w:w w:val="110"/>
        </w:rPr>
        <w:t> </w:t>
      </w:r>
      <w:r>
        <w:rPr>
          <w:color w:val="231F20"/>
          <w:w w:val="110"/>
        </w:rPr>
        <w:t>“Desarrollo,</w:t>
      </w:r>
      <w:r>
        <w:rPr>
          <w:color w:val="231F20"/>
          <w:spacing w:val="-28"/>
          <w:w w:val="110"/>
        </w:rPr>
        <w:t> </w:t>
      </w:r>
      <w:r>
        <w:rPr>
          <w:color w:val="231F20"/>
          <w:w w:val="110"/>
        </w:rPr>
        <w:t>Diplomacia</w:t>
      </w:r>
      <w:r>
        <w:rPr>
          <w:color w:val="231F20"/>
          <w:spacing w:val="-28"/>
          <w:w w:val="110"/>
        </w:rPr>
        <w:t> </w:t>
      </w:r>
      <w:r>
        <w:rPr>
          <w:color w:val="231F20"/>
          <w:w w:val="110"/>
        </w:rPr>
        <w:t>y Defensa”</w:t>
      </w:r>
      <w:r>
        <w:rPr>
          <w:color w:val="231F20"/>
          <w:spacing w:val="-35"/>
          <w:w w:val="110"/>
        </w:rPr>
        <w:t> </w:t>
      </w:r>
      <w:r>
        <w:rPr>
          <w:color w:val="231F20"/>
          <w:w w:val="110"/>
        </w:rPr>
        <w:t>(las</w:t>
      </w:r>
      <w:r>
        <w:rPr>
          <w:color w:val="231F20"/>
          <w:spacing w:val="-35"/>
          <w:w w:val="110"/>
        </w:rPr>
        <w:t> </w:t>
      </w:r>
      <w:r>
        <w:rPr>
          <w:color w:val="231F20"/>
          <w:w w:val="110"/>
        </w:rPr>
        <w:t>tres</w:t>
      </w:r>
      <w:r>
        <w:rPr>
          <w:color w:val="231F20"/>
          <w:spacing w:val="-35"/>
          <w:w w:val="110"/>
        </w:rPr>
        <w:t> </w:t>
      </w:r>
      <w:r>
        <w:rPr>
          <w:color w:val="231F20"/>
          <w:w w:val="110"/>
        </w:rPr>
        <w:t>D,</w:t>
      </w:r>
      <w:r>
        <w:rPr>
          <w:color w:val="231F20"/>
          <w:spacing w:val="-35"/>
          <w:w w:val="110"/>
        </w:rPr>
        <w:t> </w:t>
      </w:r>
      <w:r>
        <w:rPr>
          <w:i/>
          <w:color w:val="231F20"/>
          <w:w w:val="110"/>
        </w:rPr>
        <w:t>the</w:t>
      </w:r>
      <w:r>
        <w:rPr>
          <w:i/>
          <w:color w:val="231F20"/>
          <w:spacing w:val="-35"/>
          <w:w w:val="110"/>
        </w:rPr>
        <w:t> </w:t>
      </w:r>
      <w:r>
        <w:rPr>
          <w:i/>
          <w:color w:val="231F20"/>
          <w:w w:val="110"/>
        </w:rPr>
        <w:t>three</w:t>
      </w:r>
      <w:r>
        <w:rPr>
          <w:i/>
          <w:color w:val="231F20"/>
          <w:spacing w:val="-35"/>
          <w:w w:val="110"/>
        </w:rPr>
        <w:t> </w:t>
      </w:r>
      <w:r>
        <w:rPr>
          <w:i/>
          <w:color w:val="231F20"/>
          <w:w w:val="110"/>
        </w:rPr>
        <w:t>D</w:t>
      </w:r>
      <w:r>
        <w:rPr>
          <w:color w:val="231F20"/>
          <w:w w:val="110"/>
        </w:rPr>
        <w:t>),</w:t>
      </w:r>
      <w:r>
        <w:rPr>
          <w:color w:val="231F20"/>
          <w:spacing w:val="-35"/>
          <w:w w:val="110"/>
        </w:rPr>
        <w:t> </w:t>
      </w:r>
      <w:r>
        <w:rPr>
          <w:color w:val="231F20"/>
          <w:w w:val="110"/>
        </w:rPr>
        <w:t>que</w:t>
      </w:r>
      <w:r>
        <w:rPr>
          <w:color w:val="231F20"/>
          <w:spacing w:val="-35"/>
          <w:w w:val="110"/>
        </w:rPr>
        <w:t> </w:t>
      </w:r>
      <w:r>
        <w:rPr>
          <w:color w:val="231F20"/>
          <w:w w:val="110"/>
        </w:rPr>
        <w:t>a</w:t>
      </w:r>
      <w:r>
        <w:rPr>
          <w:color w:val="231F20"/>
          <w:spacing w:val="-35"/>
          <w:w w:val="110"/>
        </w:rPr>
        <w:t> </w:t>
      </w:r>
      <w:r>
        <w:rPr>
          <w:color w:val="231F20"/>
          <w:w w:val="110"/>
        </w:rPr>
        <w:t>su</w:t>
      </w:r>
      <w:r>
        <w:rPr>
          <w:color w:val="231F20"/>
          <w:spacing w:val="-35"/>
          <w:w w:val="110"/>
        </w:rPr>
        <w:t> </w:t>
      </w:r>
      <w:r>
        <w:rPr>
          <w:color w:val="231F20"/>
          <w:w w:val="110"/>
        </w:rPr>
        <w:t>vez,</w:t>
      </w:r>
      <w:r>
        <w:rPr>
          <w:color w:val="231F20"/>
          <w:spacing w:val="-35"/>
          <w:w w:val="110"/>
        </w:rPr>
        <w:t> </w:t>
      </w:r>
      <w:r>
        <w:rPr>
          <w:color w:val="231F20"/>
          <w:w w:val="110"/>
        </w:rPr>
        <w:t>se</w:t>
      </w:r>
      <w:r>
        <w:rPr>
          <w:color w:val="231F20"/>
          <w:spacing w:val="-35"/>
          <w:w w:val="110"/>
        </w:rPr>
        <w:t> </w:t>
      </w:r>
      <w:r>
        <w:rPr>
          <w:color w:val="231F20"/>
          <w:w w:val="110"/>
        </w:rPr>
        <w:t>vinculan</w:t>
      </w:r>
      <w:r>
        <w:rPr>
          <w:color w:val="231F20"/>
          <w:spacing w:val="-35"/>
          <w:w w:val="110"/>
        </w:rPr>
        <w:t> </w:t>
      </w:r>
      <w:r>
        <w:rPr>
          <w:color w:val="231F20"/>
          <w:w w:val="110"/>
        </w:rPr>
        <w:t>directamente con la Reforma del Sector de Seguridad (planteada por la gestión anterior), que constituyen la base de la seguridad global de Estados Unidos</w:t>
      </w:r>
      <w:r>
        <w:rPr>
          <w:color w:val="231F20"/>
          <w:spacing w:val="-16"/>
          <w:w w:val="110"/>
        </w:rPr>
        <w:t> </w:t>
      </w:r>
      <w:r>
        <w:rPr>
          <w:color w:val="231F20"/>
          <w:w w:val="110"/>
        </w:rPr>
        <w:t>y</w:t>
      </w:r>
      <w:r>
        <w:rPr>
          <w:color w:val="231F20"/>
          <w:spacing w:val="-16"/>
          <w:w w:val="110"/>
        </w:rPr>
        <w:t> </w:t>
      </w:r>
      <w:r>
        <w:rPr>
          <w:color w:val="231F20"/>
          <w:w w:val="110"/>
        </w:rPr>
        <w:t>se</w:t>
      </w:r>
      <w:r>
        <w:rPr>
          <w:color w:val="231F20"/>
          <w:spacing w:val="-16"/>
          <w:w w:val="110"/>
        </w:rPr>
        <w:t> </w:t>
      </w:r>
      <w:r>
        <w:rPr>
          <w:color w:val="231F20"/>
          <w:w w:val="110"/>
        </w:rPr>
        <w:t>presentan</w:t>
      </w:r>
      <w:r>
        <w:rPr>
          <w:color w:val="231F20"/>
          <w:spacing w:val="-16"/>
          <w:w w:val="110"/>
        </w:rPr>
        <w:t> </w:t>
      </w:r>
      <w:r>
        <w:rPr>
          <w:color w:val="231F20"/>
          <w:w w:val="110"/>
        </w:rPr>
        <w:t>como</w:t>
      </w:r>
      <w:r>
        <w:rPr>
          <w:color w:val="231F20"/>
          <w:spacing w:val="-16"/>
          <w:w w:val="110"/>
        </w:rPr>
        <w:t> </w:t>
      </w:r>
      <w:r>
        <w:rPr>
          <w:color w:val="231F20"/>
          <w:w w:val="110"/>
        </w:rPr>
        <w:t>una</w:t>
      </w:r>
      <w:r>
        <w:rPr>
          <w:color w:val="231F20"/>
          <w:spacing w:val="-16"/>
          <w:w w:val="110"/>
        </w:rPr>
        <w:t> </w:t>
      </w:r>
      <w:r>
        <w:rPr>
          <w:color w:val="231F20"/>
          <w:w w:val="110"/>
        </w:rPr>
        <w:t>“nueva</w:t>
      </w:r>
      <w:r>
        <w:rPr>
          <w:color w:val="231F20"/>
          <w:spacing w:val="-16"/>
          <w:w w:val="110"/>
        </w:rPr>
        <w:t> </w:t>
      </w:r>
      <w:r>
        <w:rPr>
          <w:color w:val="231F20"/>
          <w:w w:val="110"/>
        </w:rPr>
        <w:t>estrategia”</w:t>
      </w:r>
      <w:r>
        <w:rPr>
          <w:color w:val="231F20"/>
          <w:spacing w:val="-16"/>
          <w:w w:val="110"/>
        </w:rPr>
        <w:t> </w:t>
      </w:r>
      <w:r>
        <w:rPr>
          <w:color w:val="231F20"/>
          <w:w w:val="110"/>
        </w:rPr>
        <w:t>para</w:t>
      </w:r>
      <w:r>
        <w:rPr>
          <w:color w:val="231F20"/>
          <w:spacing w:val="-16"/>
          <w:w w:val="110"/>
        </w:rPr>
        <w:t> </w:t>
      </w:r>
      <w:r>
        <w:rPr>
          <w:color w:val="231F20"/>
          <w:w w:val="110"/>
        </w:rPr>
        <w:t>lograr</w:t>
      </w:r>
      <w:r>
        <w:rPr>
          <w:color w:val="231F20"/>
          <w:spacing w:val="-16"/>
          <w:w w:val="110"/>
        </w:rPr>
        <w:t> </w:t>
      </w:r>
      <w:r>
        <w:rPr>
          <w:color w:val="231F20"/>
          <w:w w:val="110"/>
        </w:rPr>
        <w:t>mayor impacto en la democracia y la gobernabilidad (usaid, 2008a).</w:t>
      </w:r>
      <w:r>
        <w:rPr>
          <w:color w:val="231F20"/>
          <w:w w:val="110"/>
          <w:position w:val="6"/>
          <w:sz w:val="13"/>
        </w:rPr>
        <w:t>10 </w:t>
      </w:r>
      <w:r>
        <w:rPr>
          <w:color w:val="231F20"/>
          <w:w w:val="110"/>
        </w:rPr>
        <w:t>A partir</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documentos</w:t>
      </w:r>
      <w:r>
        <w:rPr>
          <w:color w:val="231F20"/>
          <w:spacing w:val="-10"/>
          <w:w w:val="110"/>
        </w:rPr>
        <w:t> </w:t>
      </w:r>
      <w:r>
        <w:rPr>
          <w:color w:val="231F20"/>
          <w:w w:val="110"/>
        </w:rPr>
        <w:t>oficiales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organismos</w:t>
      </w:r>
      <w:r>
        <w:rPr>
          <w:color w:val="231F20"/>
          <w:spacing w:val="-10"/>
          <w:w w:val="110"/>
        </w:rPr>
        <w:t> </w:t>
      </w:r>
      <w:r>
        <w:rPr>
          <w:color w:val="231F20"/>
          <w:w w:val="110"/>
        </w:rPr>
        <w:t>del</w:t>
      </w:r>
      <w:r>
        <w:rPr>
          <w:color w:val="231F20"/>
          <w:spacing w:val="-10"/>
          <w:w w:val="110"/>
        </w:rPr>
        <w:t> </w:t>
      </w:r>
      <w:r>
        <w:rPr>
          <w:color w:val="231F20"/>
          <w:w w:val="110"/>
        </w:rPr>
        <w:t>sector</w:t>
      </w:r>
      <w:r>
        <w:rPr>
          <w:color w:val="231F20"/>
          <w:spacing w:val="-10"/>
          <w:w w:val="110"/>
        </w:rPr>
        <w:t> </w:t>
      </w:r>
      <w:r>
        <w:rPr>
          <w:color w:val="231F20"/>
          <w:w w:val="110"/>
        </w:rPr>
        <w:t>privado revisados,</w:t>
      </w:r>
      <w:r>
        <w:rPr>
          <w:color w:val="231F20"/>
          <w:spacing w:val="-13"/>
          <w:w w:val="110"/>
        </w:rPr>
        <w:t> </w:t>
      </w:r>
      <w:r>
        <w:rPr>
          <w:color w:val="231F20"/>
          <w:w w:val="110"/>
        </w:rPr>
        <w:t>se</w:t>
      </w:r>
      <w:r>
        <w:rPr>
          <w:color w:val="231F20"/>
          <w:spacing w:val="-13"/>
          <w:w w:val="110"/>
        </w:rPr>
        <w:t> </w:t>
      </w:r>
      <w:r>
        <w:rPr>
          <w:color w:val="231F20"/>
          <w:w w:val="110"/>
        </w:rPr>
        <w:t>pone</w:t>
      </w:r>
      <w:r>
        <w:rPr>
          <w:color w:val="231F20"/>
          <w:spacing w:val="-13"/>
          <w:w w:val="110"/>
        </w:rPr>
        <w:t> </w:t>
      </w:r>
      <w:r>
        <w:rPr>
          <w:color w:val="231F20"/>
          <w:w w:val="110"/>
        </w:rPr>
        <w:t>en</w:t>
      </w:r>
      <w:r>
        <w:rPr>
          <w:color w:val="231F20"/>
          <w:spacing w:val="-13"/>
          <w:w w:val="110"/>
        </w:rPr>
        <w:t> </w:t>
      </w:r>
      <w:r>
        <w:rPr>
          <w:color w:val="231F20"/>
          <w:w w:val="110"/>
        </w:rPr>
        <w:t>evidencia</w:t>
      </w:r>
      <w:r>
        <w:rPr>
          <w:color w:val="231F20"/>
          <w:spacing w:val="-13"/>
          <w:w w:val="110"/>
        </w:rPr>
        <w:t> </w:t>
      </w:r>
      <w:r>
        <w:rPr>
          <w:color w:val="231F20"/>
          <w:w w:val="110"/>
        </w:rPr>
        <w:t>que</w:t>
      </w:r>
      <w:r>
        <w:rPr>
          <w:color w:val="231F20"/>
          <w:spacing w:val="-13"/>
          <w:w w:val="110"/>
        </w:rPr>
        <w:t> </w:t>
      </w:r>
      <w:r>
        <w:rPr>
          <w:color w:val="231F20"/>
          <w:w w:val="110"/>
        </w:rPr>
        <w:t>las</w:t>
      </w:r>
      <w:r>
        <w:rPr>
          <w:color w:val="231F20"/>
          <w:spacing w:val="-13"/>
          <w:w w:val="110"/>
        </w:rPr>
        <w:t> </w:t>
      </w:r>
      <w:r>
        <w:rPr>
          <w:color w:val="231F20"/>
          <w:w w:val="110"/>
        </w:rPr>
        <w:t>preocupaciones</w:t>
      </w:r>
      <w:r>
        <w:rPr>
          <w:color w:val="231F20"/>
          <w:spacing w:val="-13"/>
          <w:w w:val="110"/>
        </w:rPr>
        <w:t> </w:t>
      </w:r>
      <w:r>
        <w:rPr>
          <w:color w:val="231F20"/>
          <w:w w:val="110"/>
        </w:rPr>
        <w:t>que</w:t>
      </w:r>
      <w:r>
        <w:rPr>
          <w:color w:val="231F20"/>
          <w:spacing w:val="-13"/>
          <w:w w:val="110"/>
        </w:rPr>
        <w:t> </w:t>
      </w:r>
      <w:r>
        <w:rPr>
          <w:color w:val="231F20"/>
          <w:w w:val="110"/>
        </w:rPr>
        <w:t>subyacen al actual discurso de política exterior (que a su vez muestran una interesante continuidad con los planteos de los años sesenta) espe- cialmente los que tratan acerca de América Latina, se vinculan a la necesidad de estabilizar las sociedades, preocupación que se asocia a la concepción de pobreza como amenaza para la seguridad, y a la concepción</w:t>
      </w:r>
      <w:r>
        <w:rPr>
          <w:color w:val="231F20"/>
          <w:spacing w:val="-19"/>
          <w:w w:val="110"/>
        </w:rPr>
        <w:t> </w:t>
      </w:r>
      <w:r>
        <w:rPr>
          <w:color w:val="231F20"/>
          <w:w w:val="110"/>
        </w:rPr>
        <w:t>de</w:t>
      </w:r>
      <w:r>
        <w:rPr>
          <w:color w:val="231F20"/>
          <w:spacing w:val="-19"/>
          <w:w w:val="110"/>
        </w:rPr>
        <w:t> </w:t>
      </w:r>
      <w:r>
        <w:rPr>
          <w:color w:val="231F20"/>
          <w:w w:val="110"/>
        </w:rPr>
        <w:t>que</w:t>
      </w:r>
      <w:r>
        <w:rPr>
          <w:color w:val="231F20"/>
          <w:spacing w:val="-19"/>
          <w:w w:val="110"/>
        </w:rPr>
        <w:t> </w:t>
      </w:r>
      <w:r>
        <w:rPr>
          <w:color w:val="231F20"/>
          <w:w w:val="110"/>
        </w:rPr>
        <w:t>la</w:t>
      </w:r>
      <w:r>
        <w:rPr>
          <w:color w:val="231F20"/>
          <w:spacing w:val="-19"/>
          <w:w w:val="110"/>
        </w:rPr>
        <w:t> </w:t>
      </w:r>
      <w:r>
        <w:rPr>
          <w:color w:val="231F20"/>
          <w:w w:val="110"/>
        </w:rPr>
        <w:t>solución</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pobreza</w:t>
      </w:r>
      <w:r>
        <w:rPr>
          <w:color w:val="231F20"/>
          <w:spacing w:val="-19"/>
          <w:w w:val="110"/>
        </w:rPr>
        <w:t> </w:t>
      </w:r>
      <w:r>
        <w:rPr>
          <w:color w:val="231F20"/>
          <w:w w:val="110"/>
        </w:rPr>
        <w:t>es</w:t>
      </w:r>
      <w:r>
        <w:rPr>
          <w:color w:val="231F20"/>
          <w:spacing w:val="-19"/>
          <w:w w:val="110"/>
        </w:rPr>
        <w:t> </w:t>
      </w:r>
      <w:r>
        <w:rPr>
          <w:color w:val="231F20"/>
          <w:w w:val="110"/>
        </w:rPr>
        <w:t>el</w:t>
      </w:r>
      <w:r>
        <w:rPr>
          <w:color w:val="231F20"/>
          <w:spacing w:val="-19"/>
          <w:w w:val="110"/>
        </w:rPr>
        <w:t> </w:t>
      </w:r>
      <w:r>
        <w:rPr>
          <w:color w:val="231F20"/>
          <w:w w:val="110"/>
        </w:rPr>
        <w:t>acceso</w:t>
      </w:r>
      <w:r>
        <w:rPr>
          <w:color w:val="231F20"/>
          <w:spacing w:val="-19"/>
          <w:w w:val="110"/>
        </w:rPr>
        <w:t> </w:t>
      </w:r>
      <w:r>
        <w:rPr>
          <w:color w:val="231F20"/>
          <w:w w:val="110"/>
        </w:rPr>
        <w:t>al</w:t>
      </w:r>
      <w:r>
        <w:rPr>
          <w:color w:val="231F20"/>
          <w:spacing w:val="-19"/>
          <w:w w:val="110"/>
        </w:rPr>
        <w:t> </w:t>
      </w:r>
      <w:r>
        <w:rPr>
          <w:color w:val="231F20"/>
          <w:w w:val="110"/>
        </w:rPr>
        <w:t>mercado</w:t>
      </w:r>
      <w:r>
        <w:rPr>
          <w:color w:val="231F20"/>
          <w:spacing w:val="-19"/>
          <w:w w:val="110"/>
        </w:rPr>
        <w:t> </w:t>
      </w:r>
      <w:r>
        <w:rPr>
          <w:color w:val="231F20"/>
          <w:w w:val="110"/>
        </w:rPr>
        <w:t>por parte de estos sectores.</w:t>
      </w:r>
      <w:r>
        <w:rPr>
          <w:color w:val="231F20"/>
          <w:w w:val="110"/>
          <w:position w:val="6"/>
          <w:sz w:val="13"/>
        </w:rPr>
        <w:t>11 </w:t>
      </w:r>
      <w:r>
        <w:rPr>
          <w:color w:val="231F20"/>
          <w:w w:val="110"/>
        </w:rPr>
        <w:t>Decimos que estas nociones “subyacen” al discurso,</w:t>
      </w:r>
      <w:r>
        <w:rPr>
          <w:color w:val="231F20"/>
          <w:spacing w:val="-9"/>
          <w:w w:val="110"/>
        </w:rPr>
        <w:t> </w:t>
      </w:r>
      <w:r>
        <w:rPr>
          <w:color w:val="231F20"/>
          <w:w w:val="110"/>
        </w:rPr>
        <w:t>porque</w:t>
      </w:r>
      <w:r>
        <w:rPr>
          <w:color w:val="231F20"/>
          <w:spacing w:val="-9"/>
          <w:w w:val="110"/>
        </w:rPr>
        <w:t> </w:t>
      </w:r>
      <w:r>
        <w:rPr>
          <w:color w:val="231F20"/>
          <w:w w:val="110"/>
        </w:rPr>
        <w:t>no</w:t>
      </w:r>
      <w:r>
        <w:rPr>
          <w:color w:val="231F20"/>
          <w:spacing w:val="-9"/>
          <w:w w:val="110"/>
        </w:rPr>
        <w:t> </w:t>
      </w:r>
      <w:r>
        <w:rPr>
          <w:color w:val="231F20"/>
          <w:w w:val="110"/>
        </w:rPr>
        <w:t>siempre</w:t>
      </w:r>
      <w:r>
        <w:rPr>
          <w:color w:val="231F20"/>
          <w:spacing w:val="-9"/>
          <w:w w:val="110"/>
        </w:rPr>
        <w:t> </w:t>
      </w:r>
      <w:r>
        <w:rPr>
          <w:color w:val="231F20"/>
          <w:w w:val="110"/>
        </w:rPr>
        <w:t>se</w:t>
      </w:r>
      <w:r>
        <w:rPr>
          <w:color w:val="231F20"/>
          <w:spacing w:val="-9"/>
          <w:w w:val="110"/>
        </w:rPr>
        <w:t> </w:t>
      </w:r>
      <w:r>
        <w:rPr>
          <w:color w:val="231F20"/>
          <w:w w:val="110"/>
        </w:rPr>
        <w:t>postula</w:t>
      </w:r>
      <w:r>
        <w:rPr>
          <w:color w:val="231F20"/>
          <w:spacing w:val="-9"/>
          <w:w w:val="110"/>
        </w:rPr>
        <w:t> </w:t>
      </w:r>
      <w:r>
        <w:rPr>
          <w:color w:val="231F20"/>
          <w:w w:val="110"/>
        </w:rPr>
        <w:t>de</w:t>
      </w:r>
      <w:r>
        <w:rPr>
          <w:color w:val="231F20"/>
          <w:spacing w:val="-9"/>
          <w:w w:val="110"/>
        </w:rPr>
        <w:t> </w:t>
      </w:r>
      <w:r>
        <w:rPr>
          <w:color w:val="231F20"/>
          <w:w w:val="110"/>
        </w:rPr>
        <w:t>modo</w:t>
      </w:r>
      <w:r>
        <w:rPr>
          <w:color w:val="231F20"/>
          <w:spacing w:val="-9"/>
          <w:w w:val="110"/>
        </w:rPr>
        <w:t> </w:t>
      </w:r>
      <w:r>
        <w:rPr>
          <w:color w:val="231F20"/>
          <w:w w:val="110"/>
        </w:rPr>
        <w:t>directo</w:t>
      </w:r>
      <w:r>
        <w:rPr>
          <w:color w:val="231F20"/>
          <w:spacing w:val="-9"/>
          <w:w w:val="110"/>
        </w:rPr>
        <w:t> </w:t>
      </w:r>
      <w:r>
        <w:rPr>
          <w:color w:val="231F20"/>
          <w:w w:val="110"/>
        </w:rPr>
        <w:t>esta</w:t>
      </w:r>
      <w:r>
        <w:rPr>
          <w:color w:val="231F20"/>
          <w:spacing w:val="-9"/>
          <w:w w:val="110"/>
        </w:rPr>
        <w:t> </w:t>
      </w:r>
      <w:r>
        <w:rPr>
          <w:color w:val="231F20"/>
          <w:w w:val="110"/>
        </w:rPr>
        <w:t>articula- ción</w:t>
      </w:r>
      <w:r>
        <w:rPr>
          <w:color w:val="231F20"/>
          <w:spacing w:val="-18"/>
          <w:w w:val="110"/>
        </w:rPr>
        <w:t> </w:t>
      </w:r>
      <w:r>
        <w:rPr>
          <w:color w:val="231F20"/>
          <w:w w:val="110"/>
        </w:rPr>
        <w:t>estabilidad-pobreza-mercado,</w:t>
      </w:r>
      <w:r>
        <w:rPr>
          <w:color w:val="231F20"/>
          <w:spacing w:val="-18"/>
          <w:w w:val="110"/>
        </w:rPr>
        <w:t> </w:t>
      </w:r>
      <w:r>
        <w:rPr>
          <w:color w:val="231F20"/>
          <w:w w:val="110"/>
        </w:rPr>
        <w:t>pero</w:t>
      </w:r>
      <w:r>
        <w:rPr>
          <w:color w:val="231F20"/>
          <w:spacing w:val="-18"/>
          <w:w w:val="110"/>
        </w:rPr>
        <w:t> </w:t>
      </w:r>
      <w:r>
        <w:rPr>
          <w:color w:val="231F20"/>
          <w:w w:val="110"/>
        </w:rPr>
        <w:t>sí</w:t>
      </w:r>
      <w:r>
        <w:rPr>
          <w:color w:val="231F20"/>
          <w:spacing w:val="-18"/>
          <w:w w:val="110"/>
        </w:rPr>
        <w:t> </w:t>
      </w:r>
      <w:r>
        <w:rPr>
          <w:color w:val="231F20"/>
          <w:w w:val="110"/>
        </w:rPr>
        <w:t>aparece</w:t>
      </w:r>
      <w:r>
        <w:rPr>
          <w:color w:val="231F20"/>
          <w:spacing w:val="-18"/>
          <w:w w:val="110"/>
        </w:rPr>
        <w:t> </w:t>
      </w:r>
      <w:r>
        <w:rPr>
          <w:color w:val="231F20"/>
          <w:w w:val="110"/>
        </w:rPr>
        <w:t>de</w:t>
      </w:r>
      <w:r>
        <w:rPr>
          <w:color w:val="231F20"/>
          <w:spacing w:val="-18"/>
          <w:w w:val="110"/>
        </w:rPr>
        <w:t> </w:t>
      </w:r>
      <w:r>
        <w:rPr>
          <w:color w:val="231F20"/>
          <w:w w:val="110"/>
        </w:rPr>
        <w:t>modo</w:t>
      </w:r>
      <w:r>
        <w:rPr>
          <w:color w:val="231F20"/>
          <w:spacing w:val="-18"/>
          <w:w w:val="110"/>
        </w:rPr>
        <w:t> </w:t>
      </w:r>
      <w:r>
        <w:rPr>
          <w:color w:val="231F20"/>
          <w:w w:val="110"/>
        </w:rPr>
        <w:t>más</w:t>
      </w:r>
      <w:r>
        <w:rPr>
          <w:color w:val="231F20"/>
          <w:spacing w:val="-18"/>
          <w:w w:val="110"/>
        </w:rPr>
        <w:t> </w:t>
      </w:r>
      <w:r>
        <w:rPr>
          <w:color w:val="231F20"/>
          <w:w w:val="110"/>
        </w:rPr>
        <w:t>claro la</w:t>
      </w:r>
      <w:r>
        <w:rPr>
          <w:color w:val="231F20"/>
          <w:spacing w:val="-13"/>
          <w:w w:val="110"/>
        </w:rPr>
        <w:t> </w:t>
      </w:r>
      <w:r>
        <w:rPr>
          <w:color w:val="231F20"/>
          <w:w w:val="110"/>
        </w:rPr>
        <w:t>vinculación</w:t>
      </w:r>
      <w:r>
        <w:rPr>
          <w:color w:val="231F20"/>
          <w:spacing w:val="-13"/>
          <w:w w:val="110"/>
        </w:rPr>
        <w:t> </w:t>
      </w:r>
      <w:r>
        <w:rPr>
          <w:color w:val="231F20"/>
          <w:w w:val="110"/>
        </w:rPr>
        <w:t>entre</w:t>
      </w:r>
      <w:r>
        <w:rPr>
          <w:color w:val="231F20"/>
          <w:spacing w:val="-13"/>
          <w:w w:val="110"/>
        </w:rPr>
        <w:t> </w:t>
      </w:r>
      <w:r>
        <w:rPr>
          <w:color w:val="231F20"/>
          <w:w w:val="110"/>
        </w:rPr>
        <w:t>democracia</w:t>
      </w:r>
      <w:r>
        <w:rPr>
          <w:color w:val="231F20"/>
          <w:spacing w:val="-13"/>
          <w:w w:val="110"/>
        </w:rPr>
        <w:t> </w:t>
      </w:r>
      <w:r>
        <w:rPr>
          <w:color w:val="231F20"/>
          <w:w w:val="110"/>
        </w:rPr>
        <w:t>(reducida</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idea</w:t>
      </w:r>
      <w:r>
        <w:rPr>
          <w:color w:val="231F20"/>
          <w:spacing w:val="-13"/>
          <w:w w:val="110"/>
        </w:rPr>
        <w:t> </w:t>
      </w:r>
      <w:r>
        <w:rPr>
          <w:color w:val="231F20"/>
          <w:w w:val="110"/>
        </w:rPr>
        <w:t>de</w:t>
      </w:r>
      <w:r>
        <w:rPr>
          <w:color w:val="231F20"/>
          <w:spacing w:val="-13"/>
          <w:w w:val="110"/>
        </w:rPr>
        <w:t> </w:t>
      </w:r>
      <w:r>
        <w:rPr>
          <w:color w:val="231F20"/>
          <w:w w:val="110"/>
        </w:rPr>
        <w:t>gobernabilidad que incluye, ahora, la participación </w:t>
      </w:r>
      <w:r>
        <w:rPr>
          <w:i/>
          <w:color w:val="231F20"/>
          <w:w w:val="110"/>
        </w:rPr>
        <w:t>bottom-up</w:t>
      </w:r>
      <w:r>
        <w:rPr>
          <w:color w:val="231F20"/>
          <w:w w:val="110"/>
        </w:rPr>
        <w:t>), desarrollo</w:t>
      </w:r>
      <w:r>
        <w:rPr>
          <w:color w:val="231F20"/>
          <w:spacing w:val="-15"/>
          <w:w w:val="110"/>
        </w:rPr>
        <w:t> </w:t>
      </w:r>
      <w:r>
        <w:rPr>
          <w:color w:val="231F20"/>
          <w:w w:val="110"/>
        </w:rPr>
        <w:t>(reducido al crecimiento económico asociado al acceso al mercado</w:t>
      </w:r>
      <w:r>
        <w:rPr>
          <w:color w:val="231F20"/>
          <w:spacing w:val="48"/>
          <w:w w:val="110"/>
        </w:rPr>
        <w:t> </w:t>
      </w:r>
      <w:r>
        <w:rPr>
          <w:color w:val="231F20"/>
          <w:w w:val="110"/>
        </w:rPr>
        <w:t>por</w:t>
      </w:r>
      <w:r>
        <w:rPr>
          <w:color w:val="231F20"/>
          <w:spacing w:val="19"/>
          <w:w w:val="110"/>
        </w:rPr>
        <w:t> </w:t>
      </w:r>
      <w:r>
        <w:rPr>
          <w:color w:val="231F20"/>
          <w:w w:val="110"/>
        </w:rPr>
        <w:t>parte</w:t>
      </w:r>
      <w:r>
        <w:rPr>
          <w:color w:val="231F20"/>
          <w:spacing w:val="-1"/>
          <w:w w:val="114"/>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sectores</w:t>
      </w:r>
      <w:r>
        <w:rPr>
          <w:color w:val="231F20"/>
          <w:spacing w:val="-10"/>
          <w:w w:val="110"/>
        </w:rPr>
        <w:t> </w:t>
      </w:r>
      <w:r>
        <w:rPr>
          <w:color w:val="231F20"/>
          <w:w w:val="110"/>
        </w:rPr>
        <w:t>“excluidos”)</w:t>
      </w:r>
      <w:r>
        <w:rPr>
          <w:color w:val="231F20"/>
          <w:spacing w:val="-10"/>
          <w:w w:val="110"/>
        </w:rPr>
        <w:t> </w:t>
      </w:r>
      <w:r>
        <w:rPr>
          <w:color w:val="231F20"/>
          <w:w w:val="110"/>
        </w:rPr>
        <w:t>y</w:t>
      </w:r>
      <w:r>
        <w:rPr>
          <w:color w:val="231F20"/>
          <w:spacing w:val="-10"/>
          <w:w w:val="110"/>
        </w:rPr>
        <w:t> </w:t>
      </w:r>
      <w:r>
        <w:rPr>
          <w:color w:val="231F20"/>
          <w:w w:val="110"/>
        </w:rPr>
        <w:t>seguridad</w:t>
      </w:r>
      <w:r>
        <w:rPr>
          <w:color w:val="231F20"/>
          <w:spacing w:val="-10"/>
          <w:w w:val="110"/>
        </w:rPr>
        <w:t> </w:t>
      </w:r>
      <w:r>
        <w:rPr>
          <w:color w:val="231F20"/>
          <w:w w:val="110"/>
        </w:rPr>
        <w:t>(garantizar</w:t>
      </w:r>
      <w:r>
        <w:rPr>
          <w:color w:val="231F20"/>
          <w:spacing w:val="-10"/>
          <w:w w:val="110"/>
        </w:rPr>
        <w:t> </w:t>
      </w:r>
      <w:r>
        <w:rPr>
          <w:color w:val="231F20"/>
          <w:w w:val="110"/>
        </w:rPr>
        <w:t>la</w:t>
      </w:r>
      <w:r>
        <w:rPr>
          <w:color w:val="231F20"/>
          <w:spacing w:val="-10"/>
          <w:w w:val="110"/>
        </w:rPr>
        <w:t> </w:t>
      </w:r>
      <w:r>
        <w:rPr>
          <w:color w:val="231F20"/>
          <w:w w:val="110"/>
        </w:rPr>
        <w:t>democracia,</w:t>
      </w:r>
      <w:r>
        <w:rPr>
          <w:color w:val="231F20"/>
          <w:spacing w:val="-10"/>
          <w:w w:val="110"/>
        </w:rPr>
        <w:t> </w:t>
      </w:r>
      <w:r>
        <w:rPr>
          <w:color w:val="231F20"/>
          <w:w w:val="110"/>
        </w:rPr>
        <w:t>la estabilidad y el acceso al mercado en otras partes del mundo es un modo de garantizar la seguridad de los Estados</w:t>
      </w:r>
      <w:r>
        <w:rPr>
          <w:color w:val="231F20"/>
          <w:spacing w:val="6"/>
          <w:w w:val="110"/>
        </w:rPr>
        <w:t> </w:t>
      </w:r>
      <w:r>
        <w:rPr>
          <w:color w:val="231F20"/>
          <w:w w:val="110"/>
        </w:rPr>
        <w:t>Unidos).</w:t>
      </w:r>
    </w:p>
    <w:p>
      <w:pPr>
        <w:pStyle w:val="BodyText"/>
        <w:spacing w:line="261" w:lineRule="auto"/>
        <w:ind w:left="100" w:right="118" w:firstLine="240"/>
        <w:jc w:val="both"/>
      </w:pPr>
      <w:r>
        <w:rPr>
          <w:color w:val="231F20"/>
          <w:w w:val="110"/>
        </w:rPr>
        <w:t>Así es que en la gestión Obama, el Departamento de Estado</w:t>
      </w:r>
      <w:r>
        <w:rPr>
          <w:color w:val="231F20"/>
          <w:w w:val="107"/>
        </w:rPr>
        <w:t> </w:t>
      </w:r>
      <w:r>
        <w:rPr>
          <w:color w:val="231F20"/>
          <w:w w:val="110"/>
        </w:rPr>
        <w:t>sostiene que: “el compromiso de la administración [actual es el] de reforzar las herramientas diplomáticas y de asistencia para enfrentar</w:t>
      </w:r>
    </w:p>
    <w:p>
      <w:pPr>
        <w:pStyle w:val="BodyText"/>
      </w:pPr>
    </w:p>
    <w:p>
      <w:pPr>
        <w:pStyle w:val="BodyText"/>
        <w:spacing w:before="2"/>
        <w:rPr>
          <w:sz w:val="26"/>
        </w:rPr>
      </w:pPr>
    </w:p>
    <w:p>
      <w:pPr>
        <w:spacing w:line="261" w:lineRule="auto" w:before="1"/>
        <w:ind w:left="100" w:right="118" w:firstLine="240"/>
        <w:jc w:val="both"/>
        <w:rPr>
          <w:sz w:val="16"/>
        </w:rPr>
      </w:pPr>
      <w:r>
        <w:rPr>
          <w:color w:val="231F20"/>
          <w:w w:val="110"/>
          <w:position w:val="5"/>
          <w:sz w:val="10"/>
        </w:rPr>
        <w:t>10 </w:t>
      </w:r>
      <w:r>
        <w:rPr>
          <w:color w:val="231F20"/>
          <w:w w:val="110"/>
          <w:sz w:val="16"/>
        </w:rPr>
        <w:t>El paradigma de las “tres D” proviene de la gestión anterior, como queda claro en la </w:t>
      </w:r>
      <w:r>
        <w:rPr>
          <w:i/>
          <w:color w:val="231F20"/>
          <w:w w:val="110"/>
          <w:sz w:val="16"/>
        </w:rPr>
        <w:t>Partners Conference </w:t>
      </w:r>
      <w:r>
        <w:rPr>
          <w:color w:val="231F20"/>
          <w:w w:val="110"/>
          <w:sz w:val="16"/>
        </w:rPr>
        <w:t>organizada por la usaid en 2008.</w:t>
      </w:r>
    </w:p>
    <w:p>
      <w:pPr>
        <w:spacing w:line="261" w:lineRule="auto" w:before="0"/>
        <w:ind w:left="100" w:right="117" w:firstLine="240"/>
        <w:jc w:val="both"/>
        <w:rPr>
          <w:sz w:val="16"/>
        </w:rPr>
      </w:pPr>
      <w:r>
        <w:rPr>
          <w:color w:val="231F20"/>
          <w:w w:val="110"/>
          <w:position w:val="5"/>
          <w:sz w:val="10"/>
        </w:rPr>
        <w:t>11 </w:t>
      </w:r>
      <w:r>
        <w:rPr>
          <w:color w:val="231F20"/>
          <w:w w:val="110"/>
          <w:sz w:val="16"/>
        </w:rPr>
        <w:t>Un ejemplo es el siguiente: “Aumentando la asistencia, Estados Unidos podrá embarcarse en varias nuevas iniciativas que den a los niños de los países más pobres acceso</w:t>
      </w:r>
      <w:r>
        <w:rPr>
          <w:color w:val="231F20"/>
          <w:spacing w:val="-9"/>
          <w:w w:val="110"/>
          <w:sz w:val="16"/>
        </w:rPr>
        <w:t> </w:t>
      </w:r>
      <w:r>
        <w:rPr>
          <w:color w:val="231F20"/>
          <w:w w:val="110"/>
          <w:sz w:val="16"/>
        </w:rPr>
        <w:t>a</w:t>
      </w:r>
      <w:r>
        <w:rPr>
          <w:color w:val="231F20"/>
          <w:spacing w:val="-9"/>
          <w:w w:val="110"/>
          <w:sz w:val="16"/>
        </w:rPr>
        <w:t> </w:t>
      </w:r>
      <w:r>
        <w:rPr>
          <w:color w:val="231F20"/>
          <w:w w:val="110"/>
          <w:sz w:val="16"/>
        </w:rPr>
        <w:t>la</w:t>
      </w:r>
      <w:r>
        <w:rPr>
          <w:color w:val="231F20"/>
          <w:spacing w:val="-9"/>
          <w:w w:val="110"/>
          <w:sz w:val="16"/>
        </w:rPr>
        <w:t> </w:t>
      </w:r>
      <w:r>
        <w:rPr>
          <w:color w:val="231F20"/>
          <w:w w:val="110"/>
          <w:sz w:val="16"/>
        </w:rPr>
        <w:t>educación,</w:t>
      </w:r>
      <w:r>
        <w:rPr>
          <w:color w:val="231F20"/>
          <w:spacing w:val="-9"/>
          <w:w w:val="110"/>
          <w:sz w:val="16"/>
        </w:rPr>
        <w:t> </w:t>
      </w:r>
      <w:r>
        <w:rPr>
          <w:color w:val="231F20"/>
          <w:w w:val="110"/>
          <w:sz w:val="16"/>
        </w:rPr>
        <w:t>asegurando</w:t>
      </w:r>
      <w:r>
        <w:rPr>
          <w:color w:val="231F20"/>
          <w:spacing w:val="-9"/>
          <w:w w:val="110"/>
          <w:sz w:val="16"/>
        </w:rPr>
        <w:t> </w:t>
      </w:r>
      <w:r>
        <w:rPr>
          <w:color w:val="231F20"/>
          <w:w w:val="110"/>
          <w:sz w:val="16"/>
        </w:rPr>
        <w:t>su</w:t>
      </w:r>
      <w:r>
        <w:rPr>
          <w:color w:val="231F20"/>
          <w:spacing w:val="-9"/>
          <w:w w:val="110"/>
          <w:sz w:val="16"/>
        </w:rPr>
        <w:t> </w:t>
      </w:r>
      <w:r>
        <w:rPr>
          <w:color w:val="231F20"/>
          <w:w w:val="110"/>
          <w:sz w:val="16"/>
        </w:rPr>
        <w:t>participación</w:t>
      </w:r>
      <w:r>
        <w:rPr>
          <w:color w:val="231F20"/>
          <w:spacing w:val="-9"/>
          <w:w w:val="110"/>
          <w:sz w:val="16"/>
        </w:rPr>
        <w:t> </w:t>
      </w:r>
      <w:r>
        <w:rPr>
          <w:color w:val="231F20"/>
          <w:w w:val="110"/>
          <w:sz w:val="16"/>
        </w:rPr>
        <w:t>en</w:t>
      </w:r>
      <w:r>
        <w:rPr>
          <w:color w:val="231F20"/>
          <w:spacing w:val="-9"/>
          <w:w w:val="110"/>
          <w:sz w:val="16"/>
        </w:rPr>
        <w:t> </w:t>
      </w:r>
      <w:r>
        <w:rPr>
          <w:color w:val="231F20"/>
          <w:w w:val="110"/>
          <w:sz w:val="16"/>
        </w:rPr>
        <w:t>el</w:t>
      </w:r>
      <w:r>
        <w:rPr>
          <w:color w:val="231F20"/>
          <w:spacing w:val="-9"/>
          <w:w w:val="110"/>
          <w:sz w:val="16"/>
        </w:rPr>
        <w:t> </w:t>
      </w:r>
      <w:r>
        <w:rPr>
          <w:color w:val="231F20"/>
          <w:w w:val="110"/>
          <w:sz w:val="16"/>
        </w:rPr>
        <w:t>mercado</w:t>
      </w:r>
      <w:r>
        <w:rPr>
          <w:color w:val="231F20"/>
          <w:spacing w:val="-9"/>
          <w:w w:val="110"/>
          <w:sz w:val="16"/>
        </w:rPr>
        <w:t> </w:t>
      </w:r>
      <w:r>
        <w:rPr>
          <w:color w:val="231F20"/>
          <w:w w:val="110"/>
          <w:sz w:val="16"/>
        </w:rPr>
        <w:t>global”</w:t>
      </w:r>
      <w:r>
        <w:rPr>
          <w:color w:val="231F20"/>
          <w:spacing w:val="-9"/>
          <w:w w:val="110"/>
          <w:sz w:val="16"/>
        </w:rPr>
        <w:t> </w:t>
      </w:r>
      <w:r>
        <w:rPr>
          <w:color w:val="231F20"/>
          <w:w w:val="110"/>
          <w:sz w:val="16"/>
        </w:rPr>
        <w:t>(Fyscal</w:t>
      </w:r>
      <w:r>
        <w:rPr>
          <w:color w:val="231F20"/>
          <w:spacing w:val="-9"/>
          <w:w w:val="110"/>
          <w:sz w:val="16"/>
        </w:rPr>
        <w:t> </w:t>
      </w:r>
      <w:r>
        <w:rPr>
          <w:color w:val="231F20"/>
          <w:spacing w:val="-3"/>
          <w:w w:val="110"/>
          <w:sz w:val="16"/>
        </w:rPr>
        <w:t>Year </w:t>
      </w:r>
      <w:r>
        <w:rPr>
          <w:color w:val="231F20"/>
          <w:w w:val="110"/>
          <w:sz w:val="16"/>
        </w:rPr>
        <w:t>2009, Department of State and Other International Programs: </w:t>
      </w:r>
      <w:r>
        <w:rPr>
          <w:color w:val="231F20"/>
          <w:spacing w:val="42"/>
          <w:w w:val="110"/>
          <w:sz w:val="16"/>
        </w:rPr>
        <w:t> </w:t>
      </w:r>
      <w:r>
        <w:rPr>
          <w:color w:val="231F20"/>
          <w:w w:val="110"/>
          <w:sz w:val="16"/>
        </w:rPr>
        <w:t>88).</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los</w:t>
      </w:r>
      <w:r>
        <w:rPr>
          <w:color w:val="231F20"/>
          <w:spacing w:val="-4"/>
          <w:w w:val="110"/>
        </w:rPr>
        <w:t> </w:t>
      </w:r>
      <w:r>
        <w:rPr>
          <w:color w:val="231F20"/>
          <w:w w:val="110"/>
        </w:rPr>
        <w:t>desafíos</w:t>
      </w:r>
      <w:r>
        <w:rPr>
          <w:color w:val="231F20"/>
          <w:spacing w:val="-4"/>
          <w:w w:val="110"/>
        </w:rPr>
        <w:t> </w:t>
      </w:r>
      <w:r>
        <w:rPr>
          <w:color w:val="231F20"/>
          <w:w w:val="110"/>
        </w:rPr>
        <w:t>actuales</w:t>
      </w:r>
      <w:r>
        <w:rPr>
          <w:color w:val="231F20"/>
          <w:spacing w:val="-4"/>
          <w:w w:val="110"/>
        </w:rPr>
        <w:t> </w:t>
      </w:r>
      <w:r>
        <w:rPr>
          <w:color w:val="231F20"/>
          <w:w w:val="110"/>
        </w:rPr>
        <w:t>y</w:t>
      </w:r>
      <w:r>
        <w:rPr>
          <w:color w:val="231F20"/>
          <w:spacing w:val="-4"/>
          <w:w w:val="110"/>
        </w:rPr>
        <w:t> </w:t>
      </w:r>
      <w:r>
        <w:rPr>
          <w:color w:val="231F20"/>
          <w:w w:val="110"/>
        </w:rPr>
        <w:t>venideros</w:t>
      </w:r>
      <w:r>
        <w:rPr>
          <w:color w:val="231F20"/>
          <w:spacing w:val="-4"/>
          <w:w w:val="110"/>
        </w:rPr>
        <w:t> </w:t>
      </w:r>
      <w:r>
        <w:rPr>
          <w:color w:val="231F20"/>
          <w:w w:val="110"/>
        </w:rPr>
        <w:t>que</w:t>
      </w:r>
      <w:r>
        <w:rPr>
          <w:color w:val="231F20"/>
          <w:spacing w:val="-4"/>
          <w:w w:val="110"/>
        </w:rPr>
        <w:t> </w:t>
      </w:r>
      <w:r>
        <w:rPr>
          <w:color w:val="231F20"/>
          <w:w w:val="110"/>
        </w:rPr>
        <w:t>tengan</w:t>
      </w:r>
      <w:r>
        <w:rPr>
          <w:color w:val="231F20"/>
          <w:spacing w:val="-4"/>
          <w:w w:val="110"/>
        </w:rPr>
        <w:t> </w:t>
      </w:r>
      <w:r>
        <w:rPr>
          <w:color w:val="231F20"/>
          <w:w w:val="110"/>
        </w:rPr>
        <w:t>impacto</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seguridad de los Estados Unidos […] Poner a los Estados Unidos en el</w:t>
      </w:r>
      <w:r>
        <w:rPr>
          <w:color w:val="231F20"/>
          <w:spacing w:val="-20"/>
          <w:w w:val="110"/>
        </w:rPr>
        <w:t> </w:t>
      </w:r>
      <w:r>
        <w:rPr>
          <w:color w:val="231F20"/>
          <w:w w:val="110"/>
        </w:rPr>
        <w:t>camino para que pueda duplicar la asistencia extranjera. Este apoyo ayudará a los Estados más débiles del mundo a reducir la pobreza, combatir amenazas para la salud global, desarrollar mercados, gobernar pací- ficamente</w:t>
      </w:r>
      <w:r>
        <w:rPr>
          <w:color w:val="231F20"/>
          <w:spacing w:val="-22"/>
          <w:w w:val="110"/>
        </w:rPr>
        <w:t> </w:t>
      </w:r>
      <w:r>
        <w:rPr>
          <w:color w:val="231F20"/>
          <w:w w:val="110"/>
        </w:rPr>
        <w:t>y</w:t>
      </w:r>
      <w:r>
        <w:rPr>
          <w:color w:val="231F20"/>
          <w:spacing w:val="-22"/>
          <w:w w:val="110"/>
        </w:rPr>
        <w:t> </w:t>
      </w:r>
      <w:r>
        <w:rPr>
          <w:color w:val="231F20"/>
          <w:w w:val="110"/>
        </w:rPr>
        <w:t>expandir</w:t>
      </w:r>
      <w:r>
        <w:rPr>
          <w:color w:val="231F20"/>
          <w:spacing w:val="-22"/>
          <w:w w:val="110"/>
        </w:rPr>
        <w:t> </w:t>
      </w:r>
      <w:r>
        <w:rPr>
          <w:color w:val="231F20"/>
          <w:w w:val="110"/>
        </w:rPr>
        <w:t>la</w:t>
      </w:r>
      <w:r>
        <w:rPr>
          <w:color w:val="231F20"/>
          <w:spacing w:val="-22"/>
          <w:w w:val="110"/>
        </w:rPr>
        <w:t> </w:t>
      </w:r>
      <w:r>
        <w:rPr>
          <w:color w:val="231F20"/>
          <w:w w:val="110"/>
        </w:rPr>
        <w:t>democracia</w:t>
      </w:r>
      <w:r>
        <w:rPr>
          <w:color w:val="231F20"/>
          <w:spacing w:val="-22"/>
          <w:w w:val="110"/>
        </w:rPr>
        <w:t> </w:t>
      </w:r>
      <w:r>
        <w:rPr>
          <w:color w:val="231F20"/>
          <w:w w:val="110"/>
        </w:rPr>
        <w:t>a</w:t>
      </w:r>
      <w:r>
        <w:rPr>
          <w:color w:val="231F20"/>
          <w:spacing w:val="-22"/>
          <w:w w:val="110"/>
        </w:rPr>
        <w:t> </w:t>
      </w:r>
      <w:r>
        <w:rPr>
          <w:color w:val="231F20"/>
          <w:w w:val="110"/>
        </w:rPr>
        <w:t>nivel</w:t>
      </w:r>
      <w:r>
        <w:rPr>
          <w:color w:val="231F20"/>
          <w:spacing w:val="-22"/>
          <w:w w:val="110"/>
        </w:rPr>
        <w:t> </w:t>
      </w:r>
      <w:r>
        <w:rPr>
          <w:color w:val="231F20"/>
          <w:w w:val="110"/>
        </w:rPr>
        <w:t>global”</w:t>
      </w:r>
      <w:r>
        <w:rPr>
          <w:color w:val="231F20"/>
          <w:spacing w:val="-22"/>
          <w:w w:val="110"/>
        </w:rPr>
        <w:t> </w:t>
      </w:r>
      <w:r>
        <w:rPr>
          <w:color w:val="231F20"/>
          <w:w w:val="110"/>
        </w:rPr>
        <w:t>(Fyscal</w:t>
      </w:r>
      <w:r>
        <w:rPr>
          <w:color w:val="231F20"/>
          <w:spacing w:val="-22"/>
          <w:w w:val="110"/>
        </w:rPr>
        <w:t> </w:t>
      </w:r>
      <w:r>
        <w:rPr>
          <w:color w:val="231F20"/>
          <w:spacing w:val="-3"/>
          <w:w w:val="110"/>
        </w:rPr>
        <w:t>Year</w:t>
      </w:r>
      <w:r>
        <w:rPr>
          <w:color w:val="231F20"/>
          <w:spacing w:val="-22"/>
          <w:w w:val="110"/>
        </w:rPr>
        <w:t> </w:t>
      </w:r>
      <w:r>
        <w:rPr>
          <w:color w:val="231F20"/>
          <w:w w:val="110"/>
        </w:rPr>
        <w:t>2009.</w:t>
      </w:r>
      <w:r>
        <w:rPr>
          <w:color w:val="231F20"/>
          <w:w w:val="104"/>
        </w:rPr>
        <w:t> </w:t>
      </w:r>
      <w:r>
        <w:rPr>
          <w:color w:val="231F20"/>
          <w:w w:val="110"/>
        </w:rPr>
        <w:t>Department of State and other International Programs, 2009: 87). Esta asistencia deberá incluir un aumento en los montos de la ayuda bilateral (es decir de la usaid) y la ayuda multilateral, a través de un mayor aporte de fondos para los bancos de desarrollo multilaterales, de modo que Estados Unidos vuelva a tener un “papel protagónico” en el apoyo a estos bancos. Del mismo modo, se plantea la necesi- dad afrontar los compromisos financieros contraídos con agencias de la onu y otros organismos internacionales que apoyan un amplio panorama de objetivos estadunidenses vinculados a la seguridad nacional, la política extranjera y aspectos económicos (Fyscal </w:t>
      </w:r>
      <w:r>
        <w:rPr>
          <w:color w:val="231F20"/>
          <w:spacing w:val="-6"/>
          <w:w w:val="110"/>
        </w:rPr>
        <w:t>Year, </w:t>
      </w:r>
      <w:r>
        <w:rPr>
          <w:color w:val="231F20"/>
          <w:w w:val="110"/>
        </w:rPr>
        <w:t>2009, Department of State and other International Programs: </w:t>
      </w:r>
      <w:r>
        <w:rPr>
          <w:color w:val="231F20"/>
          <w:spacing w:val="50"/>
          <w:w w:val="110"/>
        </w:rPr>
        <w:t> </w:t>
      </w:r>
      <w:r>
        <w:rPr>
          <w:color w:val="231F20"/>
          <w:w w:val="110"/>
        </w:rPr>
        <w:t>87).</w:t>
      </w:r>
    </w:p>
    <w:p>
      <w:pPr>
        <w:pStyle w:val="BodyText"/>
        <w:spacing w:line="261" w:lineRule="auto"/>
        <w:ind w:left="100" w:right="117" w:firstLine="240"/>
        <w:jc w:val="both"/>
      </w:pPr>
      <w:r>
        <w:rPr>
          <w:color w:val="231F20"/>
          <w:w w:val="105"/>
        </w:rPr>
        <w:t>Lo interesante de la gestión Obama es que desde su llegada al gobierno se incrementó la militarización en América Latina.  Los  casos más claros son el golpe de Estado en Honduras y la sesión por parte del gobierno colombiano de siete bases nacionales a militares estadunidenses. Ahora bien, tal como sucedió a lo largo de los años sesenta, la usaid no se presenta como “incompatible” sino como complementaria a la expansión militar estadunidense en la región (usualmente denominada “securitización”), pues sea por medio de la “asistencia para el desarrollo” o por medio de la intervención </w:t>
      </w:r>
      <w:r>
        <w:rPr>
          <w:color w:val="231F20"/>
          <w:spacing w:val="-3"/>
          <w:w w:val="105"/>
        </w:rPr>
        <w:t>militar, </w:t>
      </w:r>
      <w:r>
        <w:rPr>
          <w:color w:val="231F20"/>
          <w:w w:val="105"/>
        </w:rPr>
        <w:t>las acciones llevadas a cabo son en nombre de la seguridad nacional estadunidense y se basan en la estrategia de política exterior sinteti- zada en las “tres</w:t>
      </w:r>
      <w:r>
        <w:rPr>
          <w:color w:val="231F20"/>
          <w:spacing w:val="52"/>
          <w:w w:val="105"/>
        </w:rPr>
        <w:t> </w:t>
      </w:r>
      <w:r>
        <w:rPr>
          <w:color w:val="231F20"/>
          <w:w w:val="105"/>
        </w:rPr>
        <w:t>D”.</w:t>
      </w:r>
    </w:p>
    <w:p>
      <w:pPr>
        <w:pStyle w:val="BodyText"/>
        <w:spacing w:line="261" w:lineRule="auto"/>
        <w:ind w:left="100" w:right="115" w:firstLine="240"/>
        <w:jc w:val="both"/>
      </w:pPr>
      <w:r>
        <w:rPr>
          <w:color w:val="231F20"/>
          <w:w w:val="105"/>
        </w:rPr>
        <w:t>La usaid es uno de los organismos clave en cuanto a estrategias      de desestabilización de los gobiernos que mantienen tensiones (po- líticas, ideológicas y económicas) con Estados Unidos en la región. Esta institución ha  albergado  a  espías  en  Cuba  (Golinger,  2009),  ha apoyado a los sectores disidentes violentos que intentaron des- estabilizar el gobierno de Morales (radiomundial, 25 de febrero de 2009), estuvo involucrada en el golpe de Estado a Chávez (Golinger, 2005) y recientemente se han publicado pruebas de su vinculación    con los grupos que organizaron el golpe de Estado en Honduras (Gandásegui,</w:t>
      </w:r>
      <w:r>
        <w:rPr>
          <w:color w:val="231F20"/>
          <w:spacing w:val="25"/>
          <w:w w:val="105"/>
        </w:rPr>
        <w:t> </w:t>
      </w:r>
      <w:r>
        <w:rPr>
          <w:color w:val="231F20"/>
          <w:w w:val="105"/>
        </w:rPr>
        <w:t>2009:</w:t>
      </w:r>
      <w:r>
        <w:rPr>
          <w:color w:val="231F20"/>
          <w:spacing w:val="25"/>
          <w:w w:val="105"/>
        </w:rPr>
        <w:t> </w:t>
      </w:r>
      <w:r>
        <w:rPr>
          <w:color w:val="231F20"/>
          <w:w w:val="105"/>
        </w:rPr>
        <w:t>44).</w:t>
      </w:r>
      <w:r>
        <w:rPr>
          <w:color w:val="231F20"/>
          <w:spacing w:val="25"/>
          <w:w w:val="105"/>
        </w:rPr>
        <w:t> </w:t>
      </w:r>
      <w:r>
        <w:rPr>
          <w:color w:val="231F20"/>
          <w:w w:val="105"/>
        </w:rPr>
        <w:t>Estos</w:t>
      </w:r>
      <w:r>
        <w:rPr>
          <w:color w:val="231F20"/>
          <w:spacing w:val="25"/>
          <w:w w:val="105"/>
        </w:rPr>
        <w:t> </w:t>
      </w:r>
      <w:r>
        <w:rPr>
          <w:color w:val="231F20"/>
          <w:w w:val="105"/>
        </w:rPr>
        <w:t>antecedentes</w:t>
      </w:r>
      <w:r>
        <w:rPr>
          <w:color w:val="231F20"/>
          <w:spacing w:val="25"/>
          <w:w w:val="105"/>
        </w:rPr>
        <w:t> </w:t>
      </w:r>
      <w:r>
        <w:rPr>
          <w:color w:val="231F20"/>
          <w:w w:val="105"/>
        </w:rPr>
        <w:t>ponen</w:t>
      </w:r>
      <w:r>
        <w:rPr>
          <w:color w:val="231F20"/>
          <w:spacing w:val="25"/>
          <w:w w:val="105"/>
        </w:rPr>
        <w:t> </w:t>
      </w:r>
      <w:r>
        <w:rPr>
          <w:color w:val="231F20"/>
          <w:w w:val="105"/>
        </w:rPr>
        <w:t>de</w:t>
      </w:r>
      <w:r>
        <w:rPr>
          <w:color w:val="231F20"/>
          <w:spacing w:val="25"/>
          <w:w w:val="105"/>
        </w:rPr>
        <w:t> </w:t>
      </w:r>
      <w:r>
        <w:rPr>
          <w:color w:val="231F20"/>
          <w:w w:val="105"/>
        </w:rPr>
        <w:t>relieve</w:t>
      </w:r>
      <w:r>
        <w:rPr>
          <w:color w:val="231F20"/>
          <w:spacing w:val="25"/>
          <w:w w:val="105"/>
        </w:rPr>
        <w:t> </w:t>
      </w:r>
      <w:r>
        <w:rPr>
          <w:color w:val="231F20"/>
          <w:w w:val="105"/>
        </w:rPr>
        <w:t>la</w:t>
      </w:r>
      <w:r>
        <w:rPr>
          <w:color w:val="231F20"/>
          <w:spacing w:val="25"/>
          <w:w w:val="105"/>
        </w:rPr>
        <w:t> </w:t>
      </w:r>
      <w:r>
        <w:rPr>
          <w:color w:val="231F20"/>
          <w:w w:val="105"/>
        </w:rPr>
        <w:t>clara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articulación entre los lineamientos de asistencia para el desarrollo y   las políticas de seguridad y “estabilización” de la región, mostrando una</w:t>
      </w:r>
      <w:r>
        <w:rPr>
          <w:color w:val="231F20"/>
          <w:spacing w:val="38"/>
          <w:w w:val="105"/>
        </w:rPr>
        <w:t> </w:t>
      </w:r>
      <w:r>
        <w:rPr>
          <w:color w:val="231F20"/>
          <w:w w:val="105"/>
        </w:rPr>
        <w:t>continuidad</w:t>
      </w:r>
      <w:r>
        <w:rPr>
          <w:color w:val="231F20"/>
          <w:spacing w:val="38"/>
          <w:w w:val="105"/>
        </w:rPr>
        <w:t> </w:t>
      </w:r>
      <w:r>
        <w:rPr>
          <w:color w:val="231F20"/>
          <w:w w:val="105"/>
        </w:rPr>
        <w:t>con</w:t>
      </w:r>
      <w:r>
        <w:rPr>
          <w:color w:val="231F20"/>
          <w:spacing w:val="38"/>
          <w:w w:val="105"/>
        </w:rPr>
        <w:t> </w:t>
      </w:r>
      <w:r>
        <w:rPr>
          <w:color w:val="231F20"/>
          <w:w w:val="105"/>
        </w:rPr>
        <w:t>la</w:t>
      </w:r>
      <w:r>
        <w:rPr>
          <w:color w:val="231F20"/>
          <w:spacing w:val="37"/>
          <w:w w:val="105"/>
        </w:rPr>
        <w:t> </w:t>
      </w:r>
      <w:r>
        <w:rPr>
          <w:color w:val="231F20"/>
          <w:w w:val="105"/>
        </w:rPr>
        <w:t>aid</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años</w:t>
      </w:r>
      <w:r>
        <w:rPr>
          <w:color w:val="231F20"/>
          <w:spacing w:val="38"/>
          <w:w w:val="105"/>
        </w:rPr>
        <w:t> </w:t>
      </w:r>
      <w:r>
        <w:rPr>
          <w:color w:val="231F20"/>
          <w:w w:val="105"/>
        </w:rPr>
        <w:t>sesenta.</w:t>
      </w:r>
    </w:p>
    <w:p>
      <w:pPr>
        <w:pStyle w:val="BodyText"/>
      </w:pPr>
    </w:p>
    <w:p>
      <w:pPr>
        <w:pStyle w:val="BodyText"/>
      </w:pPr>
    </w:p>
    <w:p>
      <w:pPr>
        <w:pStyle w:val="BodyText"/>
        <w:spacing w:before="2"/>
        <w:rPr>
          <w:sz w:val="25"/>
        </w:rPr>
      </w:pPr>
    </w:p>
    <w:p>
      <w:pPr>
        <w:pStyle w:val="BodyText"/>
        <w:spacing w:line="261" w:lineRule="auto"/>
        <w:ind w:left="100" w:right="731"/>
      </w:pPr>
      <w:r>
        <w:rPr>
          <w:color w:val="231F20"/>
          <w:w w:val="130"/>
        </w:rPr>
        <w:t>el</w:t>
      </w:r>
      <w:r>
        <w:rPr>
          <w:color w:val="231F20"/>
          <w:spacing w:val="-20"/>
          <w:w w:val="130"/>
        </w:rPr>
        <w:t> </w:t>
      </w:r>
      <w:r>
        <w:rPr>
          <w:color w:val="231F20"/>
          <w:w w:val="130"/>
        </w:rPr>
        <w:t>asesoramiento</w:t>
      </w:r>
      <w:r>
        <w:rPr>
          <w:color w:val="231F20"/>
          <w:spacing w:val="-20"/>
          <w:w w:val="130"/>
        </w:rPr>
        <w:t> </w:t>
      </w:r>
      <w:r>
        <w:rPr>
          <w:color w:val="231F20"/>
          <w:w w:val="130"/>
        </w:rPr>
        <w:t>del</w:t>
      </w:r>
      <w:r>
        <w:rPr>
          <w:color w:val="231F20"/>
          <w:spacing w:val="-20"/>
          <w:w w:val="130"/>
        </w:rPr>
        <w:t> </w:t>
      </w:r>
      <w:r>
        <w:rPr>
          <w:color w:val="231F20"/>
          <w:w w:val="130"/>
        </w:rPr>
        <w:t>sector</w:t>
      </w:r>
      <w:r>
        <w:rPr>
          <w:color w:val="231F20"/>
          <w:spacing w:val="-20"/>
          <w:w w:val="130"/>
        </w:rPr>
        <w:t> </w:t>
      </w:r>
      <w:r>
        <w:rPr>
          <w:color w:val="231F20"/>
          <w:w w:val="130"/>
        </w:rPr>
        <w:t>privado</w:t>
      </w:r>
      <w:r>
        <w:rPr>
          <w:color w:val="231F20"/>
          <w:spacing w:val="-20"/>
          <w:w w:val="130"/>
        </w:rPr>
        <w:t> </w:t>
      </w:r>
      <w:r>
        <w:rPr>
          <w:color w:val="231F20"/>
          <w:w w:val="130"/>
        </w:rPr>
        <w:t>en</w:t>
      </w:r>
      <w:r>
        <w:rPr>
          <w:color w:val="231F20"/>
          <w:spacing w:val="-20"/>
          <w:w w:val="130"/>
        </w:rPr>
        <w:t> </w:t>
      </w:r>
      <w:r>
        <w:rPr>
          <w:color w:val="231F20"/>
          <w:w w:val="130"/>
        </w:rPr>
        <w:t>la</w:t>
      </w:r>
      <w:r>
        <w:rPr>
          <w:color w:val="231F20"/>
          <w:spacing w:val="-20"/>
          <w:w w:val="130"/>
        </w:rPr>
        <w:t> </w:t>
      </w:r>
      <w:r>
        <w:rPr>
          <w:color w:val="231F20"/>
          <w:w w:val="130"/>
        </w:rPr>
        <w:t>elaboración de políticas de asistencia para el</w:t>
      </w:r>
      <w:r>
        <w:rPr>
          <w:color w:val="231F20"/>
          <w:spacing w:val="-40"/>
          <w:w w:val="130"/>
        </w:rPr>
        <w:t> </w:t>
      </w:r>
      <w:r>
        <w:rPr>
          <w:color w:val="231F20"/>
          <w:w w:val="130"/>
        </w:rPr>
        <w:t>desarrollo</w:t>
      </w:r>
    </w:p>
    <w:p>
      <w:pPr>
        <w:pStyle w:val="BodyText"/>
        <w:spacing w:before="8"/>
        <w:rPr>
          <w:sz w:val="21"/>
        </w:rPr>
      </w:pPr>
    </w:p>
    <w:p>
      <w:pPr>
        <w:pStyle w:val="BodyText"/>
        <w:spacing w:line="261" w:lineRule="auto"/>
        <w:ind w:left="100" w:right="114"/>
        <w:jc w:val="both"/>
      </w:pPr>
      <w:r>
        <w:rPr>
          <w:color w:val="231F20"/>
          <w:w w:val="110"/>
        </w:rPr>
        <w:t>La vinculación o cruzamiento entre los lineamientos “oficiales” y  las propuestas realizadas por diferentes organizaciones privadas que si bien se postulan como “independientes” respecto del gobierno plantean líneas de acción muy similares (para no decir iguales) a   las sostenidas por el gobierno, no es algo exclusivo del gobierno   de Obama, pero adquiere particular visibilidad en el ámbito de la política de asistencia para el desarrollo promovida por su adminis- tración, en tanto que se pretende que ésta constituya uno de los pilares fundamentales de la política exterior. Justamente, lo </w:t>
      </w:r>
      <w:r>
        <w:rPr>
          <w:color w:val="231F20"/>
          <w:spacing w:val="2"/>
          <w:w w:val="110"/>
        </w:rPr>
        <w:t>que</w:t>
      </w:r>
      <w:r>
        <w:rPr>
          <w:color w:val="231F20"/>
          <w:spacing w:val="59"/>
          <w:w w:val="110"/>
        </w:rPr>
        <w:t> </w:t>
      </w:r>
      <w:r>
        <w:rPr>
          <w:color w:val="231F20"/>
          <w:w w:val="110"/>
        </w:rPr>
        <w:t>interesa de esta vinculación es que da cuenta de que las políticas no surgen solamente de las necesidades e intereses “públicos”, sino</w:t>
      </w:r>
      <w:r>
        <w:rPr>
          <w:color w:val="231F20"/>
          <w:spacing w:val="-23"/>
          <w:w w:val="110"/>
        </w:rPr>
        <w:t> </w:t>
      </w:r>
      <w:r>
        <w:rPr>
          <w:color w:val="231F20"/>
          <w:w w:val="110"/>
        </w:rPr>
        <w:t>que se elaboran con base en intereses privados (determinados por una minoría privilegiada integrada por grandes empresarios, millonarios “filántropos”, “</w:t>
      </w:r>
      <w:r>
        <w:rPr>
          <w:i/>
          <w:color w:val="231F20"/>
          <w:w w:val="110"/>
        </w:rPr>
        <w:t>think-tanks</w:t>
      </w:r>
      <w:r>
        <w:rPr>
          <w:color w:val="231F20"/>
          <w:w w:val="110"/>
        </w:rPr>
        <w:t>”, ex funcionarios de alto rango, etc.),</w:t>
      </w:r>
      <w:r>
        <w:rPr>
          <w:color w:val="231F20"/>
          <w:spacing w:val="-28"/>
          <w:w w:val="110"/>
        </w:rPr>
        <w:t> </w:t>
      </w:r>
      <w:r>
        <w:rPr>
          <w:color w:val="231F20"/>
          <w:w w:val="110"/>
        </w:rPr>
        <w:t>que son en definitiva los que le otorgan “legitimidad” a dichas políticas. De hecho, muchos de los políticos, intelectuales y profesionales que participan en estas organizaciones han sido funcionarios del gobier- no o son funcionarios y poseen cargos en la gestión actual.</w:t>
      </w:r>
      <w:r>
        <w:rPr>
          <w:color w:val="231F20"/>
          <w:w w:val="110"/>
          <w:position w:val="6"/>
          <w:sz w:val="13"/>
        </w:rPr>
        <w:t>12 </w:t>
      </w:r>
      <w:r>
        <w:rPr>
          <w:color w:val="231F20"/>
          <w:spacing w:val="-3"/>
          <w:w w:val="110"/>
        </w:rPr>
        <w:t>Vale </w:t>
      </w:r>
      <w:r>
        <w:rPr>
          <w:color w:val="231F20"/>
          <w:w w:val="110"/>
        </w:rPr>
        <w:t>aclarar aquí que la participación de la misma persona en diferentes ámbitos no implica una linealidad en los intereses, es </w:t>
      </w:r>
      <w:r>
        <w:rPr>
          <w:color w:val="231F20"/>
          <w:spacing w:val="-3"/>
          <w:w w:val="110"/>
        </w:rPr>
        <w:t>decir, </w:t>
      </w:r>
      <w:r>
        <w:rPr>
          <w:color w:val="231F20"/>
          <w:w w:val="110"/>
        </w:rPr>
        <w:t>si un funcionario pertenece o pertenecía a una ong o a una empresa, no traslada necesariamente los intereses de dichos espacios a la esfera pública, pero sí se presenta como un “contacto” seguro con   </w:t>
      </w:r>
      <w:r>
        <w:rPr>
          <w:color w:val="231F20"/>
          <w:spacing w:val="5"/>
          <w:w w:val="110"/>
        </w:rPr>
        <w:t> </w:t>
      </w:r>
      <w:r>
        <w:rPr>
          <w:color w:val="231F20"/>
          <w:w w:val="110"/>
        </w:rPr>
        <w:t>dichas</w:t>
      </w:r>
    </w:p>
    <w:p>
      <w:pPr>
        <w:pStyle w:val="BodyText"/>
      </w:pPr>
    </w:p>
    <w:p>
      <w:pPr>
        <w:pStyle w:val="BodyText"/>
        <w:spacing w:before="2"/>
        <w:rPr>
          <w:sz w:val="26"/>
        </w:rPr>
      </w:pPr>
    </w:p>
    <w:p>
      <w:pPr>
        <w:spacing w:line="261" w:lineRule="auto" w:before="1"/>
        <w:ind w:left="100" w:right="117" w:firstLine="240"/>
        <w:jc w:val="both"/>
        <w:rPr>
          <w:sz w:val="16"/>
        </w:rPr>
      </w:pPr>
      <w:r>
        <w:rPr>
          <w:color w:val="231F20"/>
          <w:w w:val="105"/>
          <w:position w:val="5"/>
          <w:sz w:val="10"/>
        </w:rPr>
        <w:t>12 </w:t>
      </w:r>
      <w:r>
        <w:rPr>
          <w:color w:val="231F20"/>
          <w:w w:val="105"/>
          <w:sz w:val="16"/>
        </w:rPr>
        <w:t>Es importante resaltar que varios de  esos  funcionarios  también  han  formado parte de las cúpulas de grandes empresas estadunidenses, con lo cual visualizamos    </w:t>
      </w:r>
      <w:r>
        <w:rPr>
          <w:color w:val="231F20"/>
          <w:spacing w:val="42"/>
          <w:w w:val="105"/>
          <w:sz w:val="16"/>
        </w:rPr>
        <w:t> </w:t>
      </w:r>
      <w:r>
        <w:rPr>
          <w:color w:val="231F20"/>
          <w:w w:val="105"/>
          <w:sz w:val="16"/>
        </w:rPr>
        <w:t>una red de intereses que articula los espacios público, privado “sin fines de lucro”           y privado “con fines de lucro” (véase </w:t>
      </w:r>
      <w:r>
        <w:rPr>
          <w:i/>
          <w:color w:val="231F20"/>
          <w:w w:val="105"/>
          <w:sz w:val="16"/>
        </w:rPr>
        <w:t>Revolving Door Working Group. A Matter of</w:t>
      </w:r>
      <w:r>
        <w:rPr>
          <w:i/>
          <w:color w:val="231F20"/>
          <w:spacing w:val="-13"/>
          <w:w w:val="105"/>
          <w:sz w:val="16"/>
        </w:rPr>
        <w:t> </w:t>
      </w:r>
      <w:r>
        <w:rPr>
          <w:i/>
          <w:color w:val="231F20"/>
          <w:w w:val="105"/>
          <w:sz w:val="16"/>
        </w:rPr>
        <w:t>Trust. </w:t>
      </w:r>
      <w:r>
        <w:rPr>
          <w:i/>
          <w:color w:val="231F20"/>
          <w:sz w:val="16"/>
        </w:rPr>
        <w:t>How</w:t>
      </w:r>
      <w:r>
        <w:rPr>
          <w:i/>
          <w:color w:val="231F20"/>
          <w:spacing w:val="-7"/>
          <w:sz w:val="16"/>
        </w:rPr>
        <w:t> </w:t>
      </w:r>
      <w:r>
        <w:rPr>
          <w:i/>
          <w:color w:val="231F20"/>
          <w:sz w:val="16"/>
        </w:rPr>
        <w:t>the</w:t>
      </w:r>
      <w:r>
        <w:rPr>
          <w:i/>
          <w:color w:val="231F20"/>
          <w:spacing w:val="-7"/>
          <w:sz w:val="16"/>
        </w:rPr>
        <w:t> </w:t>
      </w:r>
      <w:r>
        <w:rPr>
          <w:i/>
          <w:color w:val="231F20"/>
          <w:sz w:val="16"/>
        </w:rPr>
        <w:t>Revolving</w:t>
      </w:r>
      <w:r>
        <w:rPr>
          <w:i/>
          <w:color w:val="231F20"/>
          <w:spacing w:val="-7"/>
          <w:sz w:val="16"/>
        </w:rPr>
        <w:t> </w:t>
      </w:r>
      <w:r>
        <w:rPr>
          <w:i/>
          <w:color w:val="231F20"/>
          <w:sz w:val="16"/>
        </w:rPr>
        <w:t>Door</w:t>
      </w:r>
      <w:r>
        <w:rPr>
          <w:i/>
          <w:color w:val="231F20"/>
          <w:spacing w:val="-7"/>
          <w:sz w:val="16"/>
        </w:rPr>
        <w:t> </w:t>
      </w:r>
      <w:r>
        <w:rPr>
          <w:i/>
          <w:color w:val="231F20"/>
          <w:sz w:val="16"/>
        </w:rPr>
        <w:t>Undermines</w:t>
      </w:r>
      <w:r>
        <w:rPr>
          <w:i/>
          <w:color w:val="231F20"/>
          <w:spacing w:val="-7"/>
          <w:sz w:val="16"/>
        </w:rPr>
        <w:t> </w:t>
      </w:r>
      <w:r>
        <w:rPr>
          <w:i/>
          <w:color w:val="231F20"/>
          <w:sz w:val="16"/>
        </w:rPr>
        <w:t>Public</w:t>
      </w:r>
      <w:r>
        <w:rPr>
          <w:i/>
          <w:color w:val="231F20"/>
          <w:spacing w:val="-7"/>
          <w:sz w:val="16"/>
        </w:rPr>
        <w:t> </w:t>
      </w:r>
      <w:r>
        <w:rPr>
          <w:i/>
          <w:color w:val="231F20"/>
          <w:sz w:val="16"/>
        </w:rPr>
        <w:t>Confidence</w:t>
      </w:r>
      <w:r>
        <w:rPr>
          <w:i/>
          <w:color w:val="231F20"/>
          <w:spacing w:val="-7"/>
          <w:sz w:val="16"/>
        </w:rPr>
        <w:t> </w:t>
      </w:r>
      <w:r>
        <w:rPr>
          <w:i/>
          <w:color w:val="231F20"/>
          <w:sz w:val="16"/>
        </w:rPr>
        <w:t>in</w:t>
      </w:r>
      <w:r>
        <w:rPr>
          <w:i/>
          <w:color w:val="231F20"/>
          <w:spacing w:val="-7"/>
          <w:sz w:val="16"/>
        </w:rPr>
        <w:t> </w:t>
      </w:r>
      <w:r>
        <w:rPr>
          <w:i/>
          <w:color w:val="231F20"/>
          <w:sz w:val="16"/>
        </w:rPr>
        <w:t>Government</w:t>
      </w:r>
      <w:r>
        <w:rPr>
          <w:i/>
          <w:color w:val="231F20"/>
          <w:spacing w:val="-7"/>
          <w:sz w:val="16"/>
        </w:rPr>
        <w:t> </w:t>
      </w:r>
      <w:r>
        <w:rPr>
          <w:i/>
          <w:color w:val="231F20"/>
          <w:sz w:val="16"/>
        </w:rPr>
        <w:t>and</w:t>
      </w:r>
      <w:r>
        <w:rPr>
          <w:i/>
          <w:color w:val="231F20"/>
          <w:spacing w:val="-7"/>
          <w:sz w:val="16"/>
        </w:rPr>
        <w:t> </w:t>
      </w:r>
      <w:r>
        <w:rPr>
          <w:i/>
          <w:color w:val="231F20"/>
          <w:sz w:val="16"/>
        </w:rPr>
        <w:t>What</w:t>
      </w:r>
      <w:r>
        <w:rPr>
          <w:i/>
          <w:color w:val="231F20"/>
          <w:spacing w:val="-7"/>
          <w:sz w:val="16"/>
        </w:rPr>
        <w:t> </w:t>
      </w:r>
      <w:r>
        <w:rPr>
          <w:i/>
          <w:color w:val="231F20"/>
          <w:sz w:val="16"/>
        </w:rPr>
        <w:t>to</w:t>
      </w:r>
      <w:r>
        <w:rPr>
          <w:i/>
          <w:color w:val="231F20"/>
          <w:spacing w:val="-7"/>
          <w:sz w:val="16"/>
        </w:rPr>
        <w:t> </w:t>
      </w:r>
      <w:r>
        <w:rPr>
          <w:i/>
          <w:color w:val="231F20"/>
          <w:sz w:val="16"/>
        </w:rPr>
        <w:t>do</w:t>
      </w:r>
      <w:r>
        <w:rPr>
          <w:i/>
          <w:color w:val="231F20"/>
          <w:spacing w:val="-7"/>
          <w:sz w:val="16"/>
        </w:rPr>
        <w:t> </w:t>
      </w:r>
      <w:r>
        <w:rPr>
          <w:i/>
          <w:color w:val="231F20"/>
          <w:sz w:val="16"/>
        </w:rPr>
        <w:t>About </w:t>
      </w:r>
      <w:r>
        <w:rPr>
          <w:i/>
          <w:color w:val="231F20"/>
          <w:w w:val="105"/>
          <w:sz w:val="16"/>
        </w:rPr>
        <w:t>it</w:t>
      </w:r>
      <w:r>
        <w:rPr>
          <w:color w:val="231F20"/>
          <w:w w:val="105"/>
          <w:sz w:val="16"/>
        </w:rPr>
        <w:t>, Estados Unidos, octubre de   </w:t>
      </w:r>
      <w:r>
        <w:rPr>
          <w:color w:val="231F20"/>
          <w:spacing w:val="3"/>
          <w:w w:val="105"/>
          <w:sz w:val="16"/>
        </w:rPr>
        <w:t> </w:t>
      </w:r>
      <w:r>
        <w:rPr>
          <w:color w:val="231F20"/>
          <w:w w:val="105"/>
          <w:sz w:val="16"/>
        </w:rPr>
        <w:t>2005).</w:t>
      </w:r>
    </w:p>
    <w:p>
      <w:pPr>
        <w:spacing w:after="0" w:line="261" w:lineRule="auto"/>
        <w:jc w:val="both"/>
        <w:rPr>
          <w:sz w:val="16"/>
        </w:rPr>
        <w:sectPr>
          <w:headerReference w:type="even" r:id="rId313"/>
          <w:headerReference w:type="default" r:id="rId314"/>
          <w:pgSz w:w="7640" w:h="11900"/>
          <w:pgMar w:header="672" w:footer="0" w:top="860" w:bottom="280" w:left="780" w:right="640"/>
        </w:sectPr>
      </w:pPr>
    </w:p>
    <w:p>
      <w:pPr>
        <w:pStyle w:val="BodyText"/>
        <w:spacing w:before="8"/>
        <w:rPr>
          <w:sz w:val="8"/>
        </w:rPr>
      </w:pPr>
    </w:p>
    <w:p>
      <w:pPr>
        <w:pStyle w:val="BodyText"/>
        <w:spacing w:line="261" w:lineRule="auto" w:before="67"/>
        <w:ind w:left="100" w:right="25"/>
      </w:pPr>
      <w:r>
        <w:rPr>
          <w:color w:val="231F20"/>
          <w:w w:val="110"/>
        </w:rPr>
        <w:t>instituciones de las que formó parte, consolidando la red de relacio-</w:t>
      </w:r>
      <w:r>
        <w:rPr>
          <w:color w:val="231F20"/>
          <w:w w:val="72"/>
        </w:rPr>
        <w:t> </w:t>
      </w:r>
      <w:r>
        <w:rPr>
          <w:color w:val="231F20"/>
          <w:w w:val="110"/>
        </w:rPr>
        <w:t>nes entre los diferentes espacios (Barnet, 1974).</w:t>
      </w:r>
    </w:p>
    <w:p>
      <w:pPr>
        <w:pStyle w:val="BodyText"/>
        <w:spacing w:line="261" w:lineRule="auto"/>
        <w:ind w:left="100" w:right="117" w:firstLine="240"/>
        <w:jc w:val="both"/>
      </w:pPr>
      <w:r>
        <w:rPr>
          <w:color w:val="231F20"/>
          <w:w w:val="110"/>
        </w:rPr>
        <w:t>Con</w:t>
      </w:r>
      <w:r>
        <w:rPr>
          <w:color w:val="231F20"/>
          <w:spacing w:val="-12"/>
          <w:w w:val="110"/>
        </w:rPr>
        <w:t> </w:t>
      </w:r>
      <w:r>
        <w:rPr>
          <w:color w:val="231F20"/>
          <w:w w:val="110"/>
        </w:rPr>
        <w:t>respecto</w:t>
      </w:r>
      <w:r>
        <w:rPr>
          <w:color w:val="231F20"/>
          <w:spacing w:val="-12"/>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w w:val="110"/>
        </w:rPr>
        <w:t>organizaciones</w:t>
      </w:r>
      <w:r>
        <w:rPr>
          <w:color w:val="231F20"/>
          <w:spacing w:val="-12"/>
          <w:w w:val="110"/>
        </w:rPr>
        <w:t> </w:t>
      </w:r>
      <w:r>
        <w:rPr>
          <w:color w:val="231F20"/>
          <w:w w:val="110"/>
        </w:rPr>
        <w:t>privadas</w:t>
      </w:r>
      <w:r>
        <w:rPr>
          <w:color w:val="231F20"/>
          <w:spacing w:val="-12"/>
          <w:w w:val="110"/>
        </w:rPr>
        <w:t> </w:t>
      </w:r>
      <w:r>
        <w:rPr>
          <w:color w:val="231F20"/>
          <w:w w:val="110"/>
        </w:rPr>
        <w:t>vinculadas</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política exterior</w:t>
      </w:r>
      <w:r>
        <w:rPr>
          <w:color w:val="231F20"/>
          <w:spacing w:val="-11"/>
          <w:w w:val="110"/>
        </w:rPr>
        <w:t> </w:t>
      </w:r>
      <w:r>
        <w:rPr>
          <w:color w:val="231F20"/>
          <w:w w:val="110"/>
        </w:rPr>
        <w:t>estadunidense</w:t>
      </w:r>
      <w:r>
        <w:rPr>
          <w:color w:val="231F20"/>
          <w:spacing w:val="-11"/>
          <w:w w:val="110"/>
        </w:rPr>
        <w:t> </w:t>
      </w:r>
      <w:r>
        <w:rPr>
          <w:color w:val="231F20"/>
          <w:w w:val="110"/>
        </w:rPr>
        <w:t>y</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asistencia</w:t>
      </w:r>
      <w:r>
        <w:rPr>
          <w:color w:val="231F20"/>
          <w:spacing w:val="-11"/>
          <w:w w:val="110"/>
        </w:rPr>
        <w:t> </w:t>
      </w:r>
      <w:r>
        <w:rPr>
          <w:color w:val="231F20"/>
          <w:w w:val="110"/>
        </w:rPr>
        <w:t>para</w:t>
      </w:r>
      <w:r>
        <w:rPr>
          <w:color w:val="231F20"/>
          <w:spacing w:val="-11"/>
          <w:w w:val="110"/>
        </w:rPr>
        <w:t> </w:t>
      </w:r>
      <w:r>
        <w:rPr>
          <w:color w:val="231F20"/>
          <w:w w:val="110"/>
        </w:rPr>
        <w:t>el</w:t>
      </w:r>
      <w:r>
        <w:rPr>
          <w:color w:val="231F20"/>
          <w:spacing w:val="-11"/>
          <w:w w:val="110"/>
        </w:rPr>
        <w:t> </w:t>
      </w:r>
      <w:r>
        <w:rPr>
          <w:color w:val="231F20"/>
          <w:w w:val="110"/>
        </w:rPr>
        <w:t>desarrollo,</w:t>
      </w:r>
      <w:r>
        <w:rPr>
          <w:color w:val="231F20"/>
          <w:spacing w:val="-11"/>
          <w:w w:val="110"/>
        </w:rPr>
        <w:t> </w:t>
      </w:r>
      <w:r>
        <w:rPr>
          <w:color w:val="231F20"/>
          <w:w w:val="110"/>
        </w:rPr>
        <w:t>se</w:t>
      </w:r>
      <w:r>
        <w:rPr>
          <w:color w:val="231F20"/>
          <w:spacing w:val="-11"/>
          <w:w w:val="110"/>
        </w:rPr>
        <w:t> </w:t>
      </w:r>
      <w:r>
        <w:rPr>
          <w:color w:val="231F20"/>
          <w:w w:val="110"/>
        </w:rPr>
        <w:t>destacan actualmente</w:t>
      </w:r>
      <w:r>
        <w:rPr>
          <w:color w:val="231F20"/>
          <w:spacing w:val="-17"/>
          <w:w w:val="110"/>
        </w:rPr>
        <w:t> </w:t>
      </w:r>
      <w:r>
        <w:rPr>
          <w:color w:val="231F20"/>
          <w:w w:val="110"/>
        </w:rPr>
        <w:t>el</w:t>
      </w:r>
      <w:r>
        <w:rPr>
          <w:color w:val="231F20"/>
          <w:spacing w:val="-17"/>
          <w:w w:val="110"/>
        </w:rPr>
        <w:t> </w:t>
      </w:r>
      <w:r>
        <w:rPr>
          <w:color w:val="231F20"/>
          <w:w w:val="110"/>
        </w:rPr>
        <w:t>Council</w:t>
      </w:r>
      <w:r>
        <w:rPr>
          <w:color w:val="231F20"/>
          <w:spacing w:val="-17"/>
          <w:w w:val="110"/>
        </w:rPr>
        <w:t> </w:t>
      </w:r>
      <w:r>
        <w:rPr>
          <w:color w:val="231F20"/>
          <w:w w:val="110"/>
        </w:rPr>
        <w:t>on</w:t>
      </w:r>
      <w:r>
        <w:rPr>
          <w:color w:val="231F20"/>
          <w:spacing w:val="-17"/>
          <w:w w:val="110"/>
        </w:rPr>
        <w:t> </w:t>
      </w:r>
      <w:r>
        <w:rPr>
          <w:color w:val="231F20"/>
          <w:w w:val="110"/>
        </w:rPr>
        <w:t>Foreign</w:t>
      </w:r>
      <w:r>
        <w:rPr>
          <w:color w:val="231F20"/>
          <w:spacing w:val="-17"/>
          <w:w w:val="110"/>
        </w:rPr>
        <w:t> </w:t>
      </w:r>
      <w:r>
        <w:rPr>
          <w:color w:val="231F20"/>
          <w:w w:val="110"/>
        </w:rPr>
        <w:t>Relations,</w:t>
      </w:r>
      <w:r>
        <w:rPr>
          <w:color w:val="231F20"/>
          <w:spacing w:val="-17"/>
          <w:w w:val="110"/>
        </w:rPr>
        <w:t> </w:t>
      </w:r>
      <w:r>
        <w:rPr>
          <w:color w:val="231F20"/>
          <w:w w:val="110"/>
        </w:rPr>
        <w:t>la</w:t>
      </w:r>
      <w:r>
        <w:rPr>
          <w:color w:val="231F20"/>
          <w:spacing w:val="-17"/>
          <w:w w:val="110"/>
        </w:rPr>
        <w:t> </w:t>
      </w:r>
      <w:r>
        <w:rPr>
          <w:color w:val="231F20"/>
          <w:w w:val="110"/>
        </w:rPr>
        <w:t>Brookings</w:t>
      </w:r>
      <w:r>
        <w:rPr>
          <w:color w:val="231F20"/>
          <w:spacing w:val="-17"/>
          <w:w w:val="110"/>
        </w:rPr>
        <w:t> </w:t>
      </w:r>
      <w:r>
        <w:rPr>
          <w:color w:val="231F20"/>
          <w:w w:val="110"/>
        </w:rPr>
        <w:t>Institution y el Center for Global</w:t>
      </w:r>
      <w:r>
        <w:rPr>
          <w:color w:val="231F20"/>
          <w:spacing w:val="1"/>
          <w:w w:val="110"/>
        </w:rPr>
        <w:t> </w:t>
      </w:r>
      <w:r>
        <w:rPr>
          <w:color w:val="231F20"/>
          <w:w w:val="110"/>
        </w:rPr>
        <w:t>Developement.</w:t>
      </w:r>
    </w:p>
    <w:p>
      <w:pPr>
        <w:pStyle w:val="BodyText"/>
        <w:spacing w:line="261" w:lineRule="auto"/>
        <w:ind w:left="100" w:right="113" w:firstLine="240"/>
        <w:jc w:val="right"/>
      </w:pPr>
      <w:r>
        <w:rPr>
          <w:color w:val="231F20"/>
          <w:w w:val="110"/>
        </w:rPr>
        <w:t>El Council on Foreign Relations se autodefine</w:t>
      </w:r>
      <w:r>
        <w:rPr>
          <w:color w:val="231F20"/>
          <w:spacing w:val="31"/>
          <w:w w:val="110"/>
        </w:rPr>
        <w:t> </w:t>
      </w:r>
      <w:r>
        <w:rPr>
          <w:color w:val="231F20"/>
          <w:w w:val="110"/>
        </w:rPr>
        <w:t>como</w:t>
      </w:r>
      <w:r>
        <w:rPr>
          <w:color w:val="231F20"/>
          <w:spacing w:val="28"/>
          <w:w w:val="110"/>
        </w:rPr>
        <w:t> </w:t>
      </w:r>
      <w:r>
        <w:rPr>
          <w:color w:val="231F20"/>
          <w:w w:val="110"/>
        </w:rPr>
        <w:t>“indepen-</w:t>
      </w:r>
      <w:r>
        <w:rPr>
          <w:color w:val="231F20"/>
          <w:w w:val="72"/>
        </w:rPr>
        <w:t> </w:t>
      </w:r>
      <w:r>
        <w:rPr>
          <w:color w:val="231F20"/>
          <w:w w:val="110"/>
        </w:rPr>
        <w:t>diente” del gobierno, pero es sabido que muchos de</w:t>
      </w:r>
      <w:r>
        <w:rPr>
          <w:color w:val="231F20"/>
          <w:spacing w:val="-11"/>
          <w:w w:val="110"/>
        </w:rPr>
        <w:t> </w:t>
      </w:r>
      <w:r>
        <w:rPr>
          <w:color w:val="231F20"/>
          <w:w w:val="110"/>
        </w:rPr>
        <w:t>los</w:t>
      </w:r>
      <w:r>
        <w:rPr>
          <w:color w:val="231F20"/>
          <w:spacing w:val="-2"/>
          <w:w w:val="110"/>
        </w:rPr>
        <w:t> </w:t>
      </w:r>
      <w:r>
        <w:rPr>
          <w:color w:val="231F20"/>
          <w:w w:val="110"/>
        </w:rPr>
        <w:t>funcionarios</w:t>
      </w:r>
      <w:r>
        <w:rPr>
          <w:color w:val="231F20"/>
          <w:w w:val="109"/>
        </w:rPr>
        <w:t> </w:t>
      </w:r>
      <w:r>
        <w:rPr>
          <w:color w:val="231F20"/>
          <w:w w:val="110"/>
        </w:rPr>
        <w:t>clave de defensa y seguridad han formado parte de</w:t>
      </w:r>
      <w:r>
        <w:rPr>
          <w:color w:val="231F20"/>
          <w:spacing w:val="54"/>
          <w:w w:val="110"/>
        </w:rPr>
        <w:t> </w:t>
      </w:r>
      <w:r>
        <w:rPr>
          <w:color w:val="231F20"/>
          <w:w w:val="110"/>
        </w:rPr>
        <w:t>dicha</w:t>
      </w:r>
      <w:r>
        <w:rPr>
          <w:color w:val="231F20"/>
          <w:spacing w:val="12"/>
          <w:w w:val="110"/>
        </w:rPr>
        <w:t> </w:t>
      </w:r>
      <w:r>
        <w:rPr>
          <w:color w:val="231F20"/>
          <w:w w:val="110"/>
        </w:rPr>
        <w:t>organiza-</w:t>
      </w:r>
      <w:r>
        <w:rPr>
          <w:color w:val="231F20"/>
          <w:w w:val="72"/>
        </w:rPr>
        <w:t> </w:t>
      </w:r>
      <w:r>
        <w:rPr>
          <w:color w:val="231F20"/>
          <w:w w:val="110"/>
        </w:rPr>
        <w:t>ción. A mediados de 2008 este organismo propuso una</w:t>
      </w:r>
      <w:r>
        <w:rPr>
          <w:color w:val="231F20"/>
          <w:spacing w:val="5"/>
          <w:w w:val="110"/>
        </w:rPr>
        <w:t> </w:t>
      </w:r>
      <w:r>
        <w:rPr>
          <w:color w:val="231F20"/>
          <w:w w:val="110"/>
        </w:rPr>
        <w:t>nueva</w:t>
      </w:r>
      <w:r>
        <w:rPr>
          <w:color w:val="231F20"/>
          <w:spacing w:val="12"/>
          <w:w w:val="110"/>
        </w:rPr>
        <w:t> </w:t>
      </w:r>
      <w:r>
        <w:rPr>
          <w:color w:val="231F20"/>
          <w:w w:val="110"/>
        </w:rPr>
        <w:t>polí-</w:t>
      </w:r>
      <w:r>
        <w:rPr>
          <w:color w:val="231F20"/>
          <w:w w:val="72"/>
        </w:rPr>
        <w:t> </w:t>
      </w:r>
      <w:r>
        <w:rPr>
          <w:color w:val="231F20"/>
          <w:w w:val="110"/>
        </w:rPr>
        <w:t>tica exterior para América Latina, asentada en cuatro </w:t>
      </w:r>
      <w:r>
        <w:rPr>
          <w:color w:val="231F20"/>
          <w:spacing w:val="4"/>
          <w:w w:val="110"/>
        </w:rPr>
        <w:t> </w:t>
      </w:r>
      <w:r>
        <w:rPr>
          <w:color w:val="231F20"/>
          <w:w w:val="110"/>
        </w:rPr>
        <w:t>ejes:</w:t>
      </w:r>
      <w:r>
        <w:rPr>
          <w:color w:val="231F20"/>
          <w:spacing w:val="14"/>
          <w:w w:val="110"/>
        </w:rPr>
        <w:t> </w:t>
      </w:r>
      <w:r>
        <w:rPr>
          <w:color w:val="231F20"/>
          <w:w w:val="110"/>
        </w:rPr>
        <w:t>pobreza</w:t>
      </w:r>
      <w:r>
        <w:rPr>
          <w:color w:val="231F20"/>
          <w:w w:val="110"/>
        </w:rPr>
        <w:t> </w:t>
      </w:r>
      <w:r>
        <w:rPr>
          <w:color w:val="231F20"/>
          <w:w w:val="110"/>
        </w:rPr>
        <w:t>y desigualdad; seguridad pública; migración y energía</w:t>
      </w:r>
      <w:r>
        <w:rPr>
          <w:color w:val="231F20"/>
          <w:spacing w:val="33"/>
          <w:w w:val="110"/>
        </w:rPr>
        <w:t> </w:t>
      </w:r>
      <w:r>
        <w:rPr>
          <w:color w:val="231F20"/>
          <w:w w:val="110"/>
        </w:rPr>
        <w:t>y</w:t>
      </w:r>
      <w:r>
        <w:rPr>
          <w:color w:val="231F20"/>
          <w:spacing w:val="12"/>
          <w:w w:val="110"/>
        </w:rPr>
        <w:t> </w:t>
      </w:r>
      <w:r>
        <w:rPr>
          <w:color w:val="231F20"/>
          <w:w w:val="110"/>
        </w:rPr>
        <w:t>seguridad.</w:t>
      </w:r>
      <w:r>
        <w:rPr>
          <w:color w:val="231F20"/>
          <w:w w:val="109"/>
        </w:rPr>
        <w:t> </w:t>
      </w:r>
      <w:r>
        <w:rPr>
          <w:color w:val="231F20"/>
          <w:w w:val="110"/>
        </w:rPr>
        <w:t>Las</w:t>
      </w:r>
      <w:r>
        <w:rPr>
          <w:color w:val="231F20"/>
          <w:spacing w:val="40"/>
          <w:w w:val="110"/>
        </w:rPr>
        <w:t> </w:t>
      </w:r>
      <w:r>
        <w:rPr>
          <w:color w:val="231F20"/>
          <w:w w:val="110"/>
        </w:rPr>
        <w:t>medidas</w:t>
      </w:r>
      <w:r>
        <w:rPr>
          <w:color w:val="231F20"/>
          <w:spacing w:val="40"/>
          <w:w w:val="110"/>
        </w:rPr>
        <w:t> </w:t>
      </w:r>
      <w:r>
        <w:rPr>
          <w:color w:val="231F20"/>
          <w:w w:val="110"/>
        </w:rPr>
        <w:t>sugeridas</w:t>
      </w:r>
      <w:r>
        <w:rPr>
          <w:color w:val="231F20"/>
          <w:spacing w:val="40"/>
          <w:w w:val="110"/>
        </w:rPr>
        <w:t> </w:t>
      </w:r>
      <w:r>
        <w:rPr>
          <w:color w:val="231F20"/>
          <w:w w:val="110"/>
        </w:rPr>
        <w:t>para</w:t>
      </w:r>
      <w:r>
        <w:rPr>
          <w:color w:val="231F20"/>
          <w:spacing w:val="40"/>
          <w:w w:val="110"/>
        </w:rPr>
        <w:t> </w:t>
      </w:r>
      <w:r>
        <w:rPr>
          <w:color w:val="231F20"/>
          <w:w w:val="110"/>
        </w:rPr>
        <w:t>apuntalar</w:t>
      </w:r>
      <w:r>
        <w:rPr>
          <w:color w:val="231F20"/>
          <w:spacing w:val="40"/>
          <w:w w:val="110"/>
        </w:rPr>
        <w:t> </w:t>
      </w:r>
      <w:r>
        <w:rPr>
          <w:color w:val="231F20"/>
          <w:w w:val="110"/>
        </w:rPr>
        <w:t>tales</w:t>
      </w:r>
      <w:r>
        <w:rPr>
          <w:color w:val="231F20"/>
          <w:spacing w:val="40"/>
          <w:w w:val="110"/>
        </w:rPr>
        <w:t> </w:t>
      </w:r>
      <w:r>
        <w:rPr>
          <w:color w:val="231F20"/>
          <w:w w:val="110"/>
        </w:rPr>
        <w:t>ejes</w:t>
      </w:r>
      <w:r>
        <w:rPr>
          <w:color w:val="231F20"/>
          <w:spacing w:val="40"/>
          <w:w w:val="110"/>
        </w:rPr>
        <w:t> </w:t>
      </w:r>
      <w:r>
        <w:rPr>
          <w:color w:val="231F20"/>
          <w:w w:val="110"/>
        </w:rPr>
        <w:t>se</w:t>
      </w:r>
      <w:r>
        <w:rPr>
          <w:color w:val="231F20"/>
          <w:spacing w:val="40"/>
          <w:w w:val="110"/>
        </w:rPr>
        <w:t> </w:t>
      </w:r>
      <w:r>
        <w:rPr>
          <w:color w:val="231F20"/>
          <w:w w:val="110"/>
        </w:rPr>
        <w:t>centran</w:t>
      </w:r>
      <w:r>
        <w:rPr>
          <w:color w:val="231F20"/>
          <w:spacing w:val="40"/>
          <w:w w:val="110"/>
        </w:rPr>
        <w:t> </w:t>
      </w:r>
      <w:r>
        <w:rPr>
          <w:color w:val="231F20"/>
          <w:w w:val="110"/>
        </w:rPr>
        <w:t>en</w:t>
      </w:r>
      <w:r>
        <w:rPr>
          <w:color w:val="231F20"/>
          <w:spacing w:val="40"/>
          <w:w w:val="110"/>
        </w:rPr>
        <w:t> </w:t>
      </w:r>
      <w:r>
        <w:rPr>
          <w:color w:val="231F20"/>
          <w:w w:val="110"/>
        </w:rPr>
        <w:t>el</w:t>
      </w:r>
      <w:r>
        <w:rPr>
          <w:color w:val="231F20"/>
          <w:spacing w:val="1"/>
          <w:w w:val="108"/>
        </w:rPr>
        <w:t> </w:t>
      </w:r>
      <w:r>
        <w:rPr>
          <w:color w:val="231F20"/>
          <w:w w:val="110"/>
        </w:rPr>
        <w:t>apoyo</w:t>
      </w:r>
      <w:r>
        <w:rPr>
          <w:color w:val="231F20"/>
          <w:spacing w:val="-11"/>
          <w:w w:val="110"/>
        </w:rPr>
        <w:t> </w:t>
      </w:r>
      <w:r>
        <w:rPr>
          <w:color w:val="231F20"/>
          <w:w w:val="110"/>
        </w:rPr>
        <w:t>a</w:t>
      </w:r>
      <w:r>
        <w:rPr>
          <w:color w:val="231F20"/>
          <w:spacing w:val="-11"/>
          <w:w w:val="110"/>
        </w:rPr>
        <w:t> </w:t>
      </w:r>
      <w:r>
        <w:rPr>
          <w:color w:val="231F20"/>
          <w:w w:val="110"/>
        </w:rPr>
        <w:t>soluciones</w:t>
      </w:r>
      <w:r>
        <w:rPr>
          <w:color w:val="231F20"/>
          <w:spacing w:val="-11"/>
          <w:w w:val="110"/>
        </w:rPr>
        <w:t> </w:t>
      </w:r>
      <w:r>
        <w:rPr>
          <w:color w:val="231F20"/>
          <w:w w:val="110"/>
        </w:rPr>
        <w:t>locales</w:t>
      </w:r>
      <w:r>
        <w:rPr>
          <w:color w:val="231F20"/>
          <w:spacing w:val="-11"/>
          <w:w w:val="110"/>
        </w:rPr>
        <w:t> </w:t>
      </w:r>
      <w:r>
        <w:rPr>
          <w:color w:val="231F20"/>
          <w:w w:val="110"/>
        </w:rPr>
        <w:t>y</w:t>
      </w:r>
      <w:r>
        <w:rPr>
          <w:color w:val="231F20"/>
          <w:spacing w:val="-11"/>
          <w:w w:val="110"/>
        </w:rPr>
        <w:t> </w:t>
      </w:r>
      <w:r>
        <w:rPr>
          <w:color w:val="231F20"/>
          <w:w w:val="110"/>
        </w:rPr>
        <w:t>regionales</w:t>
      </w:r>
      <w:r>
        <w:rPr>
          <w:color w:val="231F20"/>
          <w:spacing w:val="-11"/>
          <w:w w:val="110"/>
        </w:rPr>
        <w:t> </w:t>
      </w:r>
      <w:r>
        <w:rPr>
          <w:color w:val="231F20"/>
          <w:w w:val="110"/>
        </w:rPr>
        <w:t>(descentralizar</w:t>
      </w:r>
      <w:r>
        <w:rPr>
          <w:color w:val="231F20"/>
          <w:spacing w:val="-11"/>
          <w:w w:val="110"/>
        </w:rPr>
        <w:t> </w:t>
      </w:r>
      <w:r>
        <w:rPr>
          <w:color w:val="231F20"/>
          <w:w w:val="110"/>
        </w:rPr>
        <w:t>y</w:t>
      </w:r>
      <w:r>
        <w:rPr>
          <w:color w:val="231F20"/>
          <w:spacing w:val="-11"/>
          <w:w w:val="110"/>
        </w:rPr>
        <w:t> </w:t>
      </w:r>
      <w:r>
        <w:rPr>
          <w:color w:val="231F20"/>
          <w:w w:val="110"/>
        </w:rPr>
        <w:t>localizar</w:t>
      </w:r>
      <w:r>
        <w:rPr>
          <w:color w:val="231F20"/>
          <w:spacing w:val="-11"/>
          <w:w w:val="110"/>
        </w:rPr>
        <w:t> </w:t>
      </w:r>
      <w:r>
        <w:rPr>
          <w:color w:val="231F20"/>
          <w:w w:val="110"/>
        </w:rPr>
        <w:t>las</w:t>
      </w:r>
      <w:r>
        <w:rPr>
          <w:color w:val="231F20"/>
          <w:w w:val="100"/>
        </w:rPr>
        <w:t> </w:t>
      </w:r>
      <w:r>
        <w:rPr>
          <w:color w:val="231F20"/>
          <w:w w:val="110"/>
        </w:rPr>
        <w:t>políticas);</w:t>
      </w:r>
      <w:r>
        <w:rPr>
          <w:color w:val="231F20"/>
          <w:spacing w:val="-8"/>
          <w:w w:val="110"/>
        </w:rPr>
        <w:t> </w:t>
      </w:r>
      <w:r>
        <w:rPr>
          <w:color w:val="231F20"/>
          <w:w w:val="110"/>
        </w:rPr>
        <w:t>promover</w:t>
      </w:r>
      <w:r>
        <w:rPr>
          <w:color w:val="231F20"/>
          <w:spacing w:val="-8"/>
          <w:w w:val="110"/>
        </w:rPr>
        <w:t> </w:t>
      </w:r>
      <w:r>
        <w:rPr>
          <w:color w:val="231F20"/>
          <w:w w:val="110"/>
        </w:rPr>
        <w:t>libre</w:t>
      </w:r>
      <w:r>
        <w:rPr>
          <w:color w:val="231F20"/>
          <w:spacing w:val="-8"/>
          <w:w w:val="110"/>
        </w:rPr>
        <w:t> </w:t>
      </w:r>
      <w:r>
        <w:rPr>
          <w:color w:val="231F20"/>
          <w:w w:val="110"/>
        </w:rPr>
        <w:t>comercio</w:t>
      </w:r>
      <w:r>
        <w:rPr>
          <w:color w:val="231F20"/>
          <w:spacing w:val="-8"/>
          <w:w w:val="110"/>
        </w:rPr>
        <w:t> </w:t>
      </w:r>
      <w:r>
        <w:rPr>
          <w:color w:val="231F20"/>
          <w:w w:val="110"/>
        </w:rPr>
        <w:t>y</w:t>
      </w:r>
      <w:r>
        <w:rPr>
          <w:color w:val="231F20"/>
          <w:spacing w:val="-8"/>
          <w:w w:val="110"/>
        </w:rPr>
        <w:t> </w:t>
      </w:r>
      <w:r>
        <w:rPr>
          <w:color w:val="231F20"/>
          <w:w w:val="110"/>
        </w:rPr>
        <w:t>mantener</w:t>
      </w:r>
      <w:r>
        <w:rPr>
          <w:color w:val="231F20"/>
          <w:spacing w:val="-8"/>
          <w:w w:val="110"/>
        </w:rPr>
        <w:t> </w:t>
      </w:r>
      <w:r>
        <w:rPr>
          <w:color w:val="231F20"/>
          <w:w w:val="110"/>
        </w:rPr>
        <w:t>los</w:t>
      </w:r>
      <w:r>
        <w:rPr>
          <w:color w:val="231F20"/>
          <w:spacing w:val="-8"/>
          <w:w w:val="110"/>
        </w:rPr>
        <w:t> </w:t>
      </w:r>
      <w:r>
        <w:rPr>
          <w:color w:val="231F20"/>
          <w:spacing w:val="-3"/>
          <w:w w:val="110"/>
        </w:rPr>
        <w:t>Tratados</w:t>
      </w:r>
      <w:r>
        <w:rPr>
          <w:color w:val="231F20"/>
          <w:spacing w:val="-8"/>
          <w:w w:val="110"/>
        </w:rPr>
        <w:t> </w:t>
      </w:r>
      <w:r>
        <w:rPr>
          <w:color w:val="231F20"/>
          <w:w w:val="110"/>
        </w:rPr>
        <w:t>de</w:t>
      </w:r>
      <w:r>
        <w:rPr>
          <w:color w:val="231F20"/>
          <w:spacing w:val="-8"/>
          <w:w w:val="110"/>
        </w:rPr>
        <w:t> </w:t>
      </w:r>
      <w:r>
        <w:rPr>
          <w:color w:val="231F20"/>
          <w:w w:val="110"/>
        </w:rPr>
        <w:t>Libre</w:t>
      </w:r>
      <w:r>
        <w:rPr>
          <w:color w:val="231F20"/>
          <w:w w:val="108"/>
        </w:rPr>
        <w:t> </w:t>
      </w:r>
      <w:r>
        <w:rPr>
          <w:color w:val="231F20"/>
          <w:w w:val="110"/>
        </w:rPr>
        <w:t>Comercio</w:t>
      </w:r>
      <w:r>
        <w:rPr>
          <w:color w:val="231F20"/>
          <w:spacing w:val="-13"/>
          <w:w w:val="110"/>
        </w:rPr>
        <w:t> </w:t>
      </w:r>
      <w:r>
        <w:rPr>
          <w:color w:val="231F20"/>
          <w:w w:val="110"/>
        </w:rPr>
        <w:t>ya</w:t>
      </w:r>
      <w:r>
        <w:rPr>
          <w:color w:val="231F20"/>
          <w:spacing w:val="-13"/>
          <w:w w:val="110"/>
        </w:rPr>
        <w:t> </w:t>
      </w:r>
      <w:r>
        <w:rPr>
          <w:color w:val="231F20"/>
          <w:w w:val="110"/>
        </w:rPr>
        <w:t>firmados;</w:t>
      </w:r>
      <w:r>
        <w:rPr>
          <w:color w:val="231F20"/>
          <w:spacing w:val="-13"/>
          <w:w w:val="110"/>
        </w:rPr>
        <w:t> </w:t>
      </w:r>
      <w:r>
        <w:rPr>
          <w:color w:val="231F20"/>
          <w:w w:val="110"/>
        </w:rPr>
        <w:t>promover</w:t>
      </w:r>
      <w:r>
        <w:rPr>
          <w:color w:val="231F20"/>
          <w:spacing w:val="-13"/>
          <w:w w:val="110"/>
        </w:rPr>
        <w:t> </w:t>
      </w:r>
      <w:r>
        <w:rPr>
          <w:color w:val="231F20"/>
          <w:w w:val="110"/>
        </w:rPr>
        <w:t>microemprendimientos</w:t>
      </w:r>
      <w:r>
        <w:rPr>
          <w:color w:val="231F20"/>
          <w:spacing w:val="-13"/>
          <w:w w:val="110"/>
        </w:rPr>
        <w:t> </w:t>
      </w:r>
      <w:r>
        <w:rPr>
          <w:color w:val="231F20"/>
          <w:w w:val="110"/>
        </w:rPr>
        <w:t>y</w:t>
      </w:r>
      <w:r>
        <w:rPr>
          <w:color w:val="231F20"/>
          <w:spacing w:val="-13"/>
          <w:w w:val="110"/>
        </w:rPr>
        <w:t> </w:t>
      </w:r>
      <w:r>
        <w:rPr>
          <w:color w:val="231F20"/>
          <w:w w:val="110"/>
        </w:rPr>
        <w:t>pequeñas</w:t>
      </w:r>
      <w:r>
        <w:rPr>
          <w:color w:val="231F20"/>
          <w:w w:val="111"/>
        </w:rPr>
        <w:t> </w:t>
      </w:r>
      <w:r>
        <w:rPr>
          <w:color w:val="231F20"/>
          <w:w w:val="110"/>
        </w:rPr>
        <w:t>y medianas empresas; “despolitizar” la cooperación</w:t>
      </w:r>
      <w:r>
        <w:rPr>
          <w:color w:val="231F20"/>
          <w:spacing w:val="7"/>
          <w:w w:val="110"/>
        </w:rPr>
        <w:t> </w:t>
      </w:r>
      <w:r>
        <w:rPr>
          <w:color w:val="231F20"/>
          <w:w w:val="110"/>
        </w:rPr>
        <w:t>energética</w:t>
      </w:r>
      <w:r>
        <w:rPr>
          <w:color w:val="231F20"/>
          <w:spacing w:val="19"/>
          <w:w w:val="110"/>
        </w:rPr>
        <w:t> </w:t>
      </w:r>
      <w:r>
        <w:rPr>
          <w:color w:val="231F20"/>
          <w:w w:val="110"/>
        </w:rPr>
        <w:t>por</w:t>
      </w:r>
      <w:r>
        <w:rPr>
          <w:color w:val="231F20"/>
          <w:w w:val="115"/>
        </w:rPr>
        <w:t> </w:t>
      </w:r>
      <w:r>
        <w:rPr>
          <w:color w:val="231F20"/>
          <w:w w:val="110"/>
        </w:rPr>
        <w:t>medio de la creación de un organismo multilateral</w:t>
      </w:r>
      <w:r>
        <w:rPr>
          <w:color w:val="231F20"/>
          <w:spacing w:val="35"/>
          <w:w w:val="110"/>
        </w:rPr>
        <w:t> </w:t>
      </w:r>
      <w:r>
        <w:rPr>
          <w:color w:val="231F20"/>
          <w:w w:val="110"/>
        </w:rPr>
        <w:t>pertinente;</w:t>
      </w:r>
      <w:r>
        <w:rPr>
          <w:color w:val="231F20"/>
          <w:spacing w:val="18"/>
          <w:w w:val="110"/>
        </w:rPr>
        <w:t> </w:t>
      </w:r>
      <w:r>
        <w:rPr>
          <w:color w:val="231F20"/>
          <w:w w:val="110"/>
        </w:rPr>
        <w:t>des-</w:t>
      </w:r>
      <w:r>
        <w:rPr>
          <w:color w:val="231F20"/>
          <w:w w:val="72"/>
        </w:rPr>
        <w:t> </w:t>
      </w:r>
      <w:r>
        <w:rPr>
          <w:color w:val="231F20"/>
          <w:w w:val="110"/>
        </w:rPr>
        <w:t>tinar mayores recursos a la diplomacia; trabajar con</w:t>
      </w:r>
      <w:r>
        <w:rPr>
          <w:color w:val="231F20"/>
          <w:spacing w:val="33"/>
          <w:w w:val="110"/>
        </w:rPr>
        <w:t> </w:t>
      </w:r>
      <w:r>
        <w:rPr>
          <w:color w:val="231F20"/>
          <w:w w:val="110"/>
        </w:rPr>
        <w:t>mayor</w:t>
      </w:r>
      <w:r>
        <w:rPr>
          <w:color w:val="231F20"/>
          <w:spacing w:val="17"/>
          <w:w w:val="110"/>
        </w:rPr>
        <w:t> </w:t>
      </w:r>
      <w:r>
        <w:rPr>
          <w:color w:val="231F20"/>
          <w:w w:val="110"/>
        </w:rPr>
        <w:t>énfasis</w:t>
      </w:r>
      <w:r>
        <w:rPr>
          <w:color w:val="231F20"/>
          <w:w w:val="104"/>
        </w:rPr>
        <w:t> </w:t>
      </w:r>
      <w:r>
        <w:rPr>
          <w:color w:val="231F20"/>
          <w:w w:val="110"/>
        </w:rPr>
        <w:t>en las relaciones con Brasil, especialmente en lo relativo</w:t>
      </w:r>
      <w:r>
        <w:rPr>
          <w:color w:val="231F20"/>
          <w:spacing w:val="17"/>
          <w:w w:val="110"/>
        </w:rPr>
        <w:t> </w:t>
      </w:r>
      <w:r>
        <w:rPr>
          <w:color w:val="231F20"/>
          <w:w w:val="110"/>
        </w:rPr>
        <w:t>a</w:t>
      </w:r>
      <w:r>
        <w:rPr>
          <w:color w:val="231F20"/>
          <w:spacing w:val="8"/>
          <w:w w:val="110"/>
        </w:rPr>
        <w:t> </w:t>
      </w:r>
      <w:r>
        <w:rPr>
          <w:color w:val="231F20"/>
          <w:w w:val="110"/>
        </w:rPr>
        <w:t>energías</w:t>
      </w:r>
      <w:r>
        <w:rPr>
          <w:color w:val="231F20"/>
          <w:w w:val="109"/>
        </w:rPr>
        <w:t> </w:t>
      </w:r>
      <w:r>
        <w:rPr>
          <w:color w:val="231F20"/>
          <w:w w:val="110"/>
        </w:rPr>
        <w:t>alternativas;</w:t>
      </w:r>
      <w:r>
        <w:rPr>
          <w:color w:val="231F20"/>
          <w:spacing w:val="-8"/>
          <w:w w:val="110"/>
        </w:rPr>
        <w:t> </w:t>
      </w:r>
      <w:r>
        <w:rPr>
          <w:color w:val="231F20"/>
          <w:w w:val="110"/>
        </w:rPr>
        <w:t>mejorar</w:t>
      </w:r>
      <w:r>
        <w:rPr>
          <w:color w:val="231F20"/>
          <w:spacing w:val="-8"/>
          <w:w w:val="110"/>
        </w:rPr>
        <w:t> </w:t>
      </w:r>
      <w:r>
        <w:rPr>
          <w:color w:val="231F20"/>
          <w:w w:val="110"/>
        </w:rPr>
        <w:t>las</w:t>
      </w:r>
      <w:r>
        <w:rPr>
          <w:color w:val="231F20"/>
          <w:spacing w:val="-8"/>
          <w:w w:val="110"/>
        </w:rPr>
        <w:t> </w:t>
      </w:r>
      <w:r>
        <w:rPr>
          <w:color w:val="231F20"/>
          <w:w w:val="110"/>
        </w:rPr>
        <w:t>relaciones</w:t>
      </w:r>
      <w:r>
        <w:rPr>
          <w:color w:val="231F20"/>
          <w:spacing w:val="-8"/>
          <w:w w:val="110"/>
        </w:rPr>
        <w:t> </w:t>
      </w:r>
      <w:r>
        <w:rPr>
          <w:color w:val="231F20"/>
          <w:w w:val="110"/>
        </w:rPr>
        <w:t>con</w:t>
      </w:r>
      <w:r>
        <w:rPr>
          <w:color w:val="231F20"/>
          <w:spacing w:val="-8"/>
          <w:w w:val="110"/>
        </w:rPr>
        <w:t> </w:t>
      </w:r>
      <w:r>
        <w:rPr>
          <w:color w:val="231F20"/>
          <w:w w:val="110"/>
        </w:rPr>
        <w:t>Cuba,</w:t>
      </w:r>
      <w:r>
        <w:rPr>
          <w:color w:val="231F20"/>
          <w:spacing w:val="-8"/>
          <w:w w:val="110"/>
        </w:rPr>
        <w:t> </w:t>
      </w:r>
      <w:r>
        <w:rPr>
          <w:color w:val="231F20"/>
          <w:w w:val="110"/>
        </w:rPr>
        <w:t>permitir</w:t>
      </w:r>
      <w:r>
        <w:rPr>
          <w:color w:val="231F20"/>
          <w:spacing w:val="-8"/>
          <w:w w:val="110"/>
        </w:rPr>
        <w:t> </w:t>
      </w:r>
      <w:r>
        <w:rPr>
          <w:color w:val="231F20"/>
          <w:w w:val="110"/>
        </w:rPr>
        <w:t>viaje</w:t>
      </w:r>
      <w:r>
        <w:rPr>
          <w:color w:val="231F20"/>
          <w:spacing w:val="-8"/>
          <w:w w:val="110"/>
        </w:rPr>
        <w:t> </w:t>
      </w:r>
      <w:r>
        <w:rPr>
          <w:color w:val="231F20"/>
          <w:w w:val="110"/>
        </w:rPr>
        <w:t>de</w:t>
      </w:r>
      <w:r>
        <w:rPr>
          <w:color w:val="231F20"/>
          <w:spacing w:val="-8"/>
          <w:w w:val="110"/>
        </w:rPr>
        <w:t> </w:t>
      </w:r>
      <w:r>
        <w:rPr>
          <w:color w:val="231F20"/>
          <w:w w:val="110"/>
        </w:rPr>
        <w:t>cuba-</w:t>
      </w:r>
      <w:r>
        <w:rPr>
          <w:color w:val="231F20"/>
          <w:w w:val="72"/>
        </w:rPr>
        <w:t> </w:t>
      </w:r>
      <w:r>
        <w:rPr>
          <w:color w:val="231F20"/>
          <w:w w:val="110"/>
        </w:rPr>
        <w:t>no-estadunidenses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isla.</w:t>
      </w:r>
      <w:r>
        <w:rPr>
          <w:color w:val="231F20"/>
          <w:spacing w:val="-8"/>
          <w:w w:val="110"/>
        </w:rPr>
        <w:t> </w:t>
      </w:r>
      <w:r>
        <w:rPr>
          <w:color w:val="231F20"/>
          <w:spacing w:val="-4"/>
          <w:w w:val="110"/>
        </w:rPr>
        <w:t>Todos</w:t>
      </w:r>
      <w:r>
        <w:rPr>
          <w:color w:val="231F20"/>
          <w:spacing w:val="-8"/>
          <w:w w:val="110"/>
        </w:rPr>
        <w:t> </w:t>
      </w:r>
      <w:r>
        <w:rPr>
          <w:color w:val="231F20"/>
          <w:w w:val="110"/>
        </w:rPr>
        <w:t>estos</w:t>
      </w:r>
      <w:r>
        <w:rPr>
          <w:color w:val="231F20"/>
          <w:spacing w:val="-8"/>
          <w:w w:val="110"/>
        </w:rPr>
        <w:t> </w:t>
      </w:r>
      <w:r>
        <w:rPr>
          <w:color w:val="231F20"/>
          <w:w w:val="110"/>
        </w:rPr>
        <w:t>puntos</w:t>
      </w:r>
      <w:r>
        <w:rPr>
          <w:color w:val="231F20"/>
          <w:spacing w:val="-8"/>
          <w:w w:val="110"/>
        </w:rPr>
        <w:t> </w:t>
      </w:r>
      <w:r>
        <w:rPr>
          <w:color w:val="231F20"/>
          <w:w w:val="110"/>
        </w:rPr>
        <w:t>fueron</w:t>
      </w:r>
      <w:r>
        <w:rPr>
          <w:color w:val="231F20"/>
          <w:spacing w:val="-8"/>
          <w:w w:val="110"/>
        </w:rPr>
        <w:t> </w:t>
      </w:r>
      <w:r>
        <w:rPr>
          <w:color w:val="231F20"/>
          <w:w w:val="110"/>
        </w:rPr>
        <w:t>retomados</w:t>
      </w:r>
      <w:r>
        <w:rPr>
          <w:color w:val="231F20"/>
          <w:spacing w:val="-8"/>
          <w:w w:val="110"/>
        </w:rPr>
        <w:t> </w:t>
      </w:r>
      <w:r>
        <w:rPr>
          <w:color w:val="231F20"/>
          <w:w w:val="110"/>
        </w:rPr>
        <w:t>por</w:t>
      </w:r>
      <w:r>
        <w:rPr>
          <w:color w:val="231F20"/>
          <w:w w:val="115"/>
        </w:rPr>
        <w:t> </w:t>
      </w:r>
      <w:r>
        <w:rPr>
          <w:color w:val="231F20"/>
          <w:w w:val="110"/>
        </w:rPr>
        <w:t>la</w:t>
      </w:r>
      <w:r>
        <w:rPr>
          <w:color w:val="231F20"/>
          <w:spacing w:val="24"/>
          <w:w w:val="110"/>
        </w:rPr>
        <w:t> </w:t>
      </w:r>
      <w:r>
        <w:rPr>
          <w:color w:val="231F20"/>
          <w:w w:val="110"/>
        </w:rPr>
        <w:t>gestión</w:t>
      </w:r>
      <w:r>
        <w:rPr>
          <w:color w:val="231F20"/>
          <w:spacing w:val="24"/>
          <w:w w:val="110"/>
        </w:rPr>
        <w:t> </w:t>
      </w:r>
      <w:r>
        <w:rPr>
          <w:color w:val="231F20"/>
          <w:w w:val="110"/>
        </w:rPr>
        <w:t>de</w:t>
      </w:r>
      <w:r>
        <w:rPr>
          <w:color w:val="231F20"/>
          <w:spacing w:val="24"/>
          <w:w w:val="110"/>
        </w:rPr>
        <w:t> </w:t>
      </w:r>
      <w:r>
        <w:rPr>
          <w:color w:val="231F20"/>
          <w:w w:val="110"/>
        </w:rPr>
        <w:t>Obama,</w:t>
      </w:r>
      <w:r>
        <w:rPr>
          <w:color w:val="231F20"/>
          <w:spacing w:val="24"/>
          <w:w w:val="110"/>
        </w:rPr>
        <w:t> </w:t>
      </w:r>
      <w:r>
        <w:rPr>
          <w:color w:val="231F20"/>
          <w:w w:val="110"/>
        </w:rPr>
        <w:t>con</w:t>
      </w:r>
      <w:r>
        <w:rPr>
          <w:color w:val="231F20"/>
          <w:spacing w:val="24"/>
          <w:w w:val="110"/>
        </w:rPr>
        <w:t> </w:t>
      </w:r>
      <w:r>
        <w:rPr>
          <w:color w:val="231F20"/>
          <w:w w:val="110"/>
        </w:rPr>
        <w:t>excepción</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“apertura”</w:t>
      </w:r>
      <w:r>
        <w:rPr>
          <w:color w:val="231F20"/>
          <w:spacing w:val="24"/>
          <w:w w:val="110"/>
        </w:rPr>
        <w:t> </w:t>
      </w:r>
      <w:r>
        <w:rPr>
          <w:color w:val="231F20"/>
          <w:w w:val="110"/>
        </w:rPr>
        <w:t>del</w:t>
      </w:r>
      <w:r>
        <w:rPr>
          <w:color w:val="231F20"/>
          <w:spacing w:val="24"/>
          <w:w w:val="110"/>
        </w:rPr>
        <w:t> </w:t>
      </w:r>
      <w:r>
        <w:rPr>
          <w:color w:val="231F20"/>
          <w:w w:val="110"/>
        </w:rPr>
        <w:t>mercado</w:t>
      </w:r>
      <w:r>
        <w:rPr>
          <w:color w:val="231F20"/>
          <w:w w:val="111"/>
        </w:rPr>
        <w:t> </w:t>
      </w:r>
      <w:r>
        <w:rPr>
          <w:color w:val="231F20"/>
          <w:w w:val="110"/>
        </w:rPr>
        <w:t>estadunidense (lo cual era bastante predecible, teniendo </w:t>
      </w:r>
      <w:r>
        <w:rPr>
          <w:color w:val="231F20"/>
          <w:spacing w:val="23"/>
          <w:w w:val="110"/>
        </w:rPr>
        <w:t> </w:t>
      </w:r>
      <w:r>
        <w:rPr>
          <w:color w:val="231F20"/>
          <w:w w:val="110"/>
        </w:rPr>
        <w:t>en</w:t>
      </w:r>
      <w:r>
        <w:rPr>
          <w:color w:val="231F20"/>
          <w:spacing w:val="26"/>
          <w:w w:val="110"/>
        </w:rPr>
        <w:t> </w:t>
      </w:r>
      <w:r>
        <w:rPr>
          <w:color w:val="231F20"/>
          <w:w w:val="110"/>
        </w:rPr>
        <w:t>cuenta</w:t>
      </w:r>
      <w:r>
        <w:rPr>
          <w:color w:val="231F20"/>
          <w:w w:val="112"/>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económica</w:t>
      </w:r>
      <w:r>
        <w:rPr>
          <w:color w:val="231F20"/>
          <w:spacing w:val="-12"/>
          <w:w w:val="110"/>
        </w:rPr>
        <w:t> </w:t>
      </w:r>
      <w:r>
        <w:rPr>
          <w:color w:val="231F20"/>
          <w:w w:val="110"/>
        </w:rPr>
        <w:t>y</w:t>
      </w:r>
      <w:r>
        <w:rPr>
          <w:color w:val="231F20"/>
          <w:spacing w:val="-12"/>
          <w:w w:val="110"/>
        </w:rPr>
        <w:t> </w:t>
      </w:r>
      <w:r>
        <w:rPr>
          <w:color w:val="231F20"/>
          <w:w w:val="110"/>
        </w:rPr>
        <w:t>financiera</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que</w:t>
      </w:r>
      <w:r>
        <w:rPr>
          <w:color w:val="231F20"/>
          <w:spacing w:val="-12"/>
          <w:w w:val="110"/>
        </w:rPr>
        <w:t> </w:t>
      </w:r>
      <w:r>
        <w:rPr>
          <w:color w:val="231F20"/>
          <w:w w:val="110"/>
        </w:rPr>
        <w:t>atraviesa</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w w:val="111"/>
        </w:rPr>
        <w:t> </w:t>
      </w:r>
      <w:r>
        <w:rPr>
          <w:color w:val="231F20"/>
          <w:w w:val="110"/>
        </w:rPr>
        <w:t>La</w:t>
      </w:r>
      <w:r>
        <w:rPr>
          <w:color w:val="231F20"/>
          <w:spacing w:val="39"/>
          <w:w w:val="110"/>
        </w:rPr>
        <w:t> </w:t>
      </w:r>
      <w:r>
        <w:rPr>
          <w:color w:val="231F20"/>
          <w:w w:val="110"/>
        </w:rPr>
        <w:t>Brookings</w:t>
      </w:r>
      <w:r>
        <w:rPr>
          <w:color w:val="231F20"/>
          <w:spacing w:val="39"/>
          <w:w w:val="110"/>
        </w:rPr>
        <w:t> </w:t>
      </w:r>
      <w:r>
        <w:rPr>
          <w:color w:val="231F20"/>
          <w:w w:val="110"/>
        </w:rPr>
        <w:t>Institution,</w:t>
      </w:r>
      <w:r>
        <w:rPr>
          <w:color w:val="231F20"/>
          <w:spacing w:val="39"/>
          <w:w w:val="110"/>
        </w:rPr>
        <w:t> </w:t>
      </w:r>
      <w:r>
        <w:rPr>
          <w:color w:val="231F20"/>
          <w:w w:val="110"/>
        </w:rPr>
        <w:t>es</w:t>
      </w:r>
      <w:r>
        <w:rPr>
          <w:color w:val="231F20"/>
          <w:spacing w:val="39"/>
          <w:w w:val="110"/>
        </w:rPr>
        <w:t> </w:t>
      </w:r>
      <w:r>
        <w:rPr>
          <w:color w:val="231F20"/>
          <w:w w:val="110"/>
        </w:rPr>
        <w:t>uno</w:t>
      </w:r>
      <w:r>
        <w:rPr>
          <w:color w:val="231F20"/>
          <w:spacing w:val="39"/>
          <w:w w:val="110"/>
        </w:rPr>
        <w:t> </w:t>
      </w:r>
      <w:r>
        <w:rPr>
          <w:color w:val="231F20"/>
          <w:w w:val="110"/>
        </w:rPr>
        <w:t>de</w:t>
      </w:r>
      <w:r>
        <w:rPr>
          <w:color w:val="231F20"/>
          <w:spacing w:val="39"/>
          <w:w w:val="110"/>
        </w:rPr>
        <w:t> </w:t>
      </w:r>
      <w:r>
        <w:rPr>
          <w:color w:val="231F20"/>
          <w:w w:val="110"/>
        </w:rPr>
        <w:t>los</w:t>
      </w:r>
      <w:r>
        <w:rPr>
          <w:color w:val="231F20"/>
          <w:spacing w:val="39"/>
          <w:w w:val="110"/>
        </w:rPr>
        <w:t> </w:t>
      </w:r>
      <w:r>
        <w:rPr>
          <w:color w:val="231F20"/>
          <w:w w:val="110"/>
        </w:rPr>
        <w:t>organismos</w:t>
      </w:r>
      <w:r>
        <w:rPr>
          <w:color w:val="231F20"/>
          <w:spacing w:val="39"/>
          <w:w w:val="110"/>
        </w:rPr>
        <w:t> </w:t>
      </w:r>
      <w:r>
        <w:rPr>
          <w:color w:val="231F20"/>
          <w:w w:val="110"/>
        </w:rPr>
        <w:t>que</w:t>
      </w:r>
      <w:r>
        <w:rPr>
          <w:color w:val="231F20"/>
          <w:spacing w:val="39"/>
          <w:w w:val="110"/>
        </w:rPr>
        <w:t> </w:t>
      </w:r>
      <w:r>
        <w:rPr>
          <w:color w:val="231F20"/>
          <w:w w:val="110"/>
        </w:rPr>
        <w:t>le</w:t>
      </w:r>
      <w:r>
        <w:rPr>
          <w:color w:val="231F20"/>
          <w:spacing w:val="39"/>
          <w:w w:val="110"/>
        </w:rPr>
        <w:t> </w:t>
      </w:r>
      <w:r>
        <w:rPr>
          <w:color w:val="231F20"/>
          <w:w w:val="110"/>
        </w:rPr>
        <w:t>ha</w:t>
      </w:r>
      <w:r>
        <w:rPr>
          <w:color w:val="231F20"/>
          <w:spacing w:val="1"/>
          <w:w w:val="114"/>
        </w:rPr>
        <w:t> </w:t>
      </w:r>
      <w:r>
        <w:rPr>
          <w:color w:val="231F20"/>
          <w:w w:val="110"/>
        </w:rPr>
        <w:t>dedicado especial atención a las relaciones de Estados</w:t>
      </w:r>
      <w:r>
        <w:rPr>
          <w:color w:val="231F20"/>
          <w:spacing w:val="44"/>
          <w:w w:val="110"/>
        </w:rPr>
        <w:t> </w:t>
      </w:r>
      <w:r>
        <w:rPr>
          <w:color w:val="231F20"/>
          <w:w w:val="110"/>
        </w:rPr>
        <w:t>Unidos</w:t>
      </w:r>
      <w:r>
        <w:rPr>
          <w:color w:val="231F20"/>
          <w:spacing w:val="19"/>
          <w:w w:val="110"/>
        </w:rPr>
        <w:t> </w:t>
      </w:r>
      <w:r>
        <w:rPr>
          <w:color w:val="231F20"/>
          <w:w w:val="110"/>
        </w:rPr>
        <w:t>con</w:t>
      </w:r>
      <w:r>
        <w:rPr>
          <w:color w:val="231F20"/>
          <w:w w:val="112"/>
        </w:rPr>
        <w:t> </w:t>
      </w:r>
      <w:r>
        <w:rPr>
          <w:color w:val="231F20"/>
          <w:w w:val="110"/>
        </w:rPr>
        <w:t>América</w:t>
      </w:r>
      <w:r>
        <w:rPr>
          <w:color w:val="231F20"/>
          <w:spacing w:val="-11"/>
          <w:w w:val="110"/>
        </w:rPr>
        <w:t> </w:t>
      </w:r>
      <w:r>
        <w:rPr>
          <w:color w:val="231F20"/>
          <w:w w:val="110"/>
        </w:rPr>
        <w:t>Latina,</w:t>
      </w:r>
      <w:r>
        <w:rPr>
          <w:color w:val="231F20"/>
          <w:spacing w:val="-11"/>
          <w:w w:val="110"/>
        </w:rPr>
        <w:t> </w:t>
      </w:r>
      <w:r>
        <w:rPr>
          <w:color w:val="231F20"/>
          <w:w w:val="110"/>
        </w:rPr>
        <w:t>albergando</w:t>
      </w:r>
      <w:r>
        <w:rPr>
          <w:color w:val="231F20"/>
          <w:spacing w:val="-11"/>
          <w:w w:val="110"/>
        </w:rPr>
        <w:t> </w:t>
      </w:r>
      <w:r>
        <w:rPr>
          <w:color w:val="231F20"/>
          <w:w w:val="110"/>
        </w:rPr>
        <w:t>a</w:t>
      </w:r>
      <w:r>
        <w:rPr>
          <w:color w:val="231F20"/>
          <w:spacing w:val="-11"/>
          <w:w w:val="110"/>
        </w:rPr>
        <w:t> </w:t>
      </w:r>
      <w:r>
        <w:rPr>
          <w:color w:val="231F20"/>
          <w:w w:val="110"/>
        </w:rPr>
        <w:t>importantes</w:t>
      </w:r>
      <w:r>
        <w:rPr>
          <w:color w:val="231F20"/>
          <w:spacing w:val="-11"/>
          <w:w w:val="110"/>
        </w:rPr>
        <w:t> </w:t>
      </w:r>
      <w:r>
        <w:rPr>
          <w:color w:val="231F20"/>
          <w:w w:val="110"/>
        </w:rPr>
        <w:t>personalidades</w:t>
      </w:r>
      <w:r>
        <w:rPr>
          <w:color w:val="231F20"/>
          <w:spacing w:val="-11"/>
          <w:w w:val="110"/>
        </w:rPr>
        <w:t> </w:t>
      </w:r>
      <w:r>
        <w:rPr>
          <w:color w:val="231F20"/>
          <w:w w:val="110"/>
        </w:rPr>
        <w:t>vinculadas</w:t>
      </w:r>
      <w:r>
        <w:rPr>
          <w:color w:val="231F20"/>
          <w:w w:val="105"/>
        </w:rPr>
        <w:t> </w:t>
      </w:r>
      <w:r>
        <w:rPr>
          <w:color w:val="231F20"/>
          <w:w w:val="110"/>
        </w:rPr>
        <w:t>a la diplomacia estadunidense. En líneas generales, el</w:t>
      </w:r>
      <w:r>
        <w:rPr>
          <w:color w:val="231F20"/>
          <w:spacing w:val="4"/>
          <w:w w:val="110"/>
        </w:rPr>
        <w:t> </w:t>
      </w:r>
      <w:r>
        <w:rPr>
          <w:color w:val="231F20"/>
          <w:w w:val="110"/>
        </w:rPr>
        <w:t>presidente</w:t>
      </w:r>
      <w:r>
        <w:rPr>
          <w:color w:val="231F20"/>
          <w:spacing w:val="7"/>
          <w:w w:val="110"/>
        </w:rPr>
        <w:t> </w:t>
      </w:r>
      <w:r>
        <w:rPr>
          <w:color w:val="231F20"/>
          <w:w w:val="110"/>
        </w:rPr>
        <w:t>de</w:t>
      </w:r>
      <w:r>
        <w:rPr>
          <w:color w:val="231F20"/>
          <w:w w:val="114"/>
        </w:rPr>
        <w:t> </w:t>
      </w:r>
      <w:r>
        <w:rPr>
          <w:color w:val="231F20"/>
          <w:w w:val="110"/>
        </w:rPr>
        <w:t>esta</w:t>
      </w:r>
      <w:r>
        <w:rPr>
          <w:color w:val="231F20"/>
          <w:spacing w:val="26"/>
          <w:w w:val="110"/>
        </w:rPr>
        <w:t> </w:t>
      </w:r>
      <w:r>
        <w:rPr>
          <w:color w:val="231F20"/>
          <w:w w:val="110"/>
        </w:rPr>
        <w:t>organización</w:t>
      </w:r>
      <w:r>
        <w:rPr>
          <w:color w:val="231F20"/>
          <w:spacing w:val="26"/>
          <w:w w:val="110"/>
        </w:rPr>
        <w:t> </w:t>
      </w:r>
      <w:r>
        <w:rPr>
          <w:color w:val="231F20"/>
          <w:w w:val="110"/>
        </w:rPr>
        <w:t>plantea</w:t>
      </w:r>
      <w:r>
        <w:rPr>
          <w:color w:val="231F20"/>
          <w:spacing w:val="26"/>
          <w:w w:val="110"/>
        </w:rPr>
        <w:t> </w:t>
      </w:r>
      <w:r>
        <w:rPr>
          <w:color w:val="231F20"/>
          <w:w w:val="110"/>
        </w:rPr>
        <w:t>la</w:t>
      </w:r>
      <w:r>
        <w:rPr>
          <w:color w:val="231F20"/>
          <w:spacing w:val="26"/>
          <w:w w:val="110"/>
        </w:rPr>
        <w:t> </w:t>
      </w:r>
      <w:r>
        <w:rPr>
          <w:color w:val="231F20"/>
          <w:w w:val="110"/>
        </w:rPr>
        <w:t>necesidad</w:t>
      </w:r>
      <w:r>
        <w:rPr>
          <w:color w:val="231F20"/>
          <w:spacing w:val="26"/>
          <w:w w:val="110"/>
        </w:rPr>
        <w:t> </w:t>
      </w:r>
      <w:r>
        <w:rPr>
          <w:color w:val="231F20"/>
          <w:w w:val="110"/>
        </w:rPr>
        <w:t>de</w:t>
      </w:r>
      <w:r>
        <w:rPr>
          <w:color w:val="231F20"/>
          <w:spacing w:val="26"/>
          <w:w w:val="110"/>
        </w:rPr>
        <w:t> </w:t>
      </w:r>
      <w:r>
        <w:rPr>
          <w:color w:val="231F20"/>
          <w:w w:val="110"/>
        </w:rPr>
        <w:t>un</w:t>
      </w:r>
      <w:r>
        <w:rPr>
          <w:color w:val="231F20"/>
          <w:spacing w:val="26"/>
          <w:w w:val="110"/>
        </w:rPr>
        <w:t> </w:t>
      </w:r>
      <w:r>
        <w:rPr>
          <w:color w:val="231F20"/>
          <w:w w:val="110"/>
        </w:rPr>
        <w:t>cambio</w:t>
      </w:r>
      <w:r>
        <w:rPr>
          <w:color w:val="231F20"/>
          <w:spacing w:val="26"/>
          <w:w w:val="110"/>
        </w:rPr>
        <w:t> </w:t>
      </w:r>
      <w:r>
        <w:rPr>
          <w:color w:val="231F20"/>
          <w:w w:val="110"/>
        </w:rPr>
        <w:t>radical</w:t>
      </w:r>
      <w:r>
        <w:rPr>
          <w:color w:val="231F20"/>
          <w:spacing w:val="26"/>
          <w:w w:val="110"/>
        </w:rPr>
        <w:t> </w:t>
      </w:r>
      <w:r>
        <w:rPr>
          <w:color w:val="231F20"/>
          <w:w w:val="110"/>
        </w:rPr>
        <w:t>en</w:t>
      </w:r>
      <w:r>
        <w:rPr>
          <w:color w:val="231F20"/>
          <w:spacing w:val="26"/>
          <w:w w:val="110"/>
        </w:rPr>
        <w:t> </w:t>
      </w:r>
      <w:r>
        <w:rPr>
          <w:color w:val="231F20"/>
          <w:w w:val="110"/>
        </w:rPr>
        <w:t>la</w:t>
      </w:r>
      <w:r>
        <w:rPr>
          <w:color w:val="231F20"/>
          <w:w w:val="105"/>
        </w:rPr>
        <w:t> </w:t>
      </w:r>
      <w:r>
        <w:rPr>
          <w:color w:val="231F20"/>
          <w:w w:val="110"/>
        </w:rPr>
        <w:t>política de asistencia, con base en los “nuevos actores en la comuni-</w:t>
      </w:r>
      <w:r>
        <w:rPr>
          <w:color w:val="231F20"/>
          <w:w w:val="72"/>
        </w:rPr>
        <w:t> </w:t>
      </w:r>
      <w:r>
        <w:rPr>
          <w:color w:val="231F20"/>
          <w:w w:val="110"/>
        </w:rPr>
        <w:t>dad internacional del desarrollo” tales como</w:t>
      </w:r>
      <w:r>
        <w:rPr>
          <w:color w:val="231F20"/>
          <w:spacing w:val="-12"/>
          <w:w w:val="110"/>
        </w:rPr>
        <w:t> </w:t>
      </w:r>
      <w:r>
        <w:rPr>
          <w:color w:val="231F20"/>
          <w:w w:val="110"/>
        </w:rPr>
        <w:t>“megafilántropos”,</w:t>
      </w:r>
      <w:r>
        <w:rPr>
          <w:color w:val="231F20"/>
          <w:spacing w:val="-2"/>
          <w:w w:val="110"/>
        </w:rPr>
        <w:t> </w:t>
      </w:r>
      <w:r>
        <w:rPr>
          <w:color w:val="231F20"/>
          <w:w w:val="110"/>
        </w:rPr>
        <w:t>em-</w:t>
      </w:r>
      <w:r>
        <w:rPr>
          <w:color w:val="231F20"/>
          <w:w w:val="72"/>
        </w:rPr>
        <w:t> </w:t>
      </w:r>
      <w:r>
        <w:rPr>
          <w:color w:val="231F20"/>
          <w:w w:val="110"/>
        </w:rPr>
        <w:t>presarios sociales, nuevos donantes bilaterales como Rusia</w:t>
      </w:r>
      <w:r>
        <w:rPr>
          <w:color w:val="231F20"/>
          <w:spacing w:val="21"/>
          <w:w w:val="110"/>
        </w:rPr>
        <w:t> </w:t>
      </w:r>
      <w:r>
        <w:rPr>
          <w:color w:val="231F20"/>
          <w:w w:val="110"/>
        </w:rPr>
        <w:t>y</w:t>
      </w:r>
      <w:r>
        <w:rPr>
          <w:color w:val="231F20"/>
          <w:spacing w:val="3"/>
          <w:w w:val="110"/>
        </w:rPr>
        <w:t> </w:t>
      </w:r>
      <w:r>
        <w:rPr>
          <w:color w:val="231F20"/>
          <w:w w:val="110"/>
        </w:rPr>
        <w:t>China,</w:t>
      </w:r>
      <w:r>
        <w:rPr>
          <w:color w:val="231F20"/>
          <w:w w:val="109"/>
        </w:rPr>
        <w:t> </w:t>
      </w:r>
      <w:r>
        <w:rPr>
          <w:color w:val="231F20"/>
          <w:w w:val="110"/>
        </w:rPr>
        <w:t>etc. </w:t>
      </w:r>
      <w:r>
        <w:rPr>
          <w:color w:val="231F20"/>
          <w:spacing w:val="-3"/>
          <w:w w:val="110"/>
        </w:rPr>
        <w:t>(Unger, </w:t>
      </w:r>
      <w:r>
        <w:rPr>
          <w:color w:val="231F20"/>
          <w:w w:val="110"/>
        </w:rPr>
        <w:t>2009: 23). Por otra parte, las</w:t>
      </w:r>
      <w:r>
        <w:rPr>
          <w:color w:val="231F20"/>
          <w:spacing w:val="25"/>
          <w:w w:val="110"/>
        </w:rPr>
        <w:t> </w:t>
      </w:r>
      <w:r>
        <w:rPr>
          <w:color w:val="231F20"/>
          <w:w w:val="110"/>
        </w:rPr>
        <w:t>modificaciones</w:t>
      </w:r>
      <w:r>
        <w:rPr>
          <w:color w:val="231F20"/>
          <w:spacing w:val="2"/>
          <w:w w:val="110"/>
        </w:rPr>
        <w:t> </w:t>
      </w:r>
      <w:r>
        <w:rPr>
          <w:color w:val="231F20"/>
          <w:w w:val="110"/>
        </w:rPr>
        <w:t>solicitadas</w:t>
      </w:r>
      <w:r>
        <w:rPr>
          <w:color w:val="231F20"/>
          <w:w w:val="105"/>
        </w:rPr>
        <w:t> </w:t>
      </w:r>
      <w:r>
        <w:rPr>
          <w:color w:val="231F20"/>
          <w:w w:val="110"/>
        </w:rPr>
        <w:t>se</w:t>
      </w:r>
      <w:r>
        <w:rPr>
          <w:color w:val="231F20"/>
          <w:spacing w:val="20"/>
          <w:w w:val="110"/>
        </w:rPr>
        <w:t> </w:t>
      </w:r>
      <w:r>
        <w:rPr>
          <w:color w:val="231F20"/>
          <w:w w:val="110"/>
        </w:rPr>
        <w:t>basan</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aumento</w:t>
      </w:r>
      <w:r>
        <w:rPr>
          <w:color w:val="231F20"/>
          <w:spacing w:val="20"/>
          <w:w w:val="110"/>
        </w:rPr>
        <w:t> </w:t>
      </w:r>
      <w:r>
        <w:rPr>
          <w:color w:val="231F20"/>
          <w:w w:val="110"/>
        </w:rPr>
        <w:t>exorbitante</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ayuda</w:t>
      </w:r>
      <w:r>
        <w:rPr>
          <w:color w:val="231F20"/>
          <w:spacing w:val="20"/>
          <w:w w:val="110"/>
        </w:rPr>
        <w:t> </w:t>
      </w:r>
      <w:r>
        <w:rPr>
          <w:color w:val="231F20"/>
          <w:w w:val="110"/>
        </w:rPr>
        <w:t>para</w:t>
      </w:r>
      <w:r>
        <w:rPr>
          <w:color w:val="231F20"/>
          <w:spacing w:val="20"/>
          <w:w w:val="110"/>
        </w:rPr>
        <w:t> </w:t>
      </w:r>
      <w:r>
        <w:rPr>
          <w:color w:val="231F20"/>
          <w:w w:val="110"/>
        </w:rPr>
        <w:t>el</w:t>
      </w:r>
      <w:r>
        <w:rPr>
          <w:color w:val="231F20"/>
          <w:spacing w:val="20"/>
          <w:w w:val="110"/>
        </w:rPr>
        <w:t> </w:t>
      </w:r>
      <w:r>
        <w:rPr>
          <w:color w:val="231F20"/>
          <w:w w:val="110"/>
        </w:rPr>
        <w:t>desarrollo:</w:t>
      </w:r>
      <w:r>
        <w:rPr>
          <w:color w:val="231F20"/>
          <w:w w:val="108"/>
        </w:rPr>
        <w:t> </w:t>
      </w:r>
      <w:r>
        <w:rPr>
          <w:color w:val="231F20"/>
          <w:spacing w:val="-4"/>
          <w:w w:val="110"/>
        </w:rPr>
        <w:t>“W. </w:t>
      </w:r>
      <w:r>
        <w:rPr>
          <w:color w:val="231F20"/>
          <w:w w:val="110"/>
        </w:rPr>
        <w:t>Easterly describió al </w:t>
      </w:r>
      <w:r>
        <w:rPr>
          <w:i/>
          <w:color w:val="231F20"/>
          <w:w w:val="110"/>
        </w:rPr>
        <w:t>establishment </w:t>
      </w:r>
      <w:r>
        <w:rPr>
          <w:color w:val="231F20"/>
          <w:w w:val="110"/>
        </w:rPr>
        <w:t>tradicional de la</w:t>
      </w:r>
      <w:r>
        <w:rPr>
          <w:color w:val="231F20"/>
          <w:spacing w:val="35"/>
          <w:w w:val="110"/>
        </w:rPr>
        <w:t> </w:t>
      </w:r>
      <w:r>
        <w:rPr>
          <w:color w:val="231F20"/>
          <w:w w:val="110"/>
        </w:rPr>
        <w:t>ayuda</w:t>
      </w:r>
      <w:r>
        <w:rPr>
          <w:color w:val="231F20"/>
          <w:spacing w:val="3"/>
          <w:w w:val="110"/>
        </w:rPr>
        <w:t> </w:t>
      </w:r>
      <w:r>
        <w:rPr>
          <w:color w:val="231F20"/>
          <w:w w:val="110"/>
        </w:rPr>
        <w:t>para</w:t>
      </w:r>
      <w:r>
        <w:rPr>
          <w:color w:val="231F20"/>
          <w:w w:val="112"/>
        </w:rPr>
        <w:t> </w:t>
      </w:r>
      <w:r>
        <w:rPr>
          <w:color w:val="231F20"/>
          <w:w w:val="110"/>
        </w:rPr>
        <w:t>el</w:t>
      </w:r>
      <w:r>
        <w:rPr>
          <w:color w:val="231F20"/>
          <w:spacing w:val="34"/>
          <w:w w:val="110"/>
        </w:rPr>
        <w:t> </w:t>
      </w:r>
      <w:r>
        <w:rPr>
          <w:color w:val="231F20"/>
          <w:w w:val="110"/>
        </w:rPr>
        <w:t>desarrollo</w:t>
      </w:r>
      <w:r>
        <w:rPr>
          <w:color w:val="231F20"/>
          <w:spacing w:val="34"/>
          <w:w w:val="110"/>
        </w:rPr>
        <w:t> </w:t>
      </w:r>
      <w:r>
        <w:rPr>
          <w:color w:val="231F20"/>
          <w:w w:val="110"/>
        </w:rPr>
        <w:t>como</w:t>
      </w:r>
      <w:r>
        <w:rPr>
          <w:color w:val="231F20"/>
          <w:spacing w:val="34"/>
          <w:w w:val="110"/>
        </w:rPr>
        <w:t> </w:t>
      </w:r>
      <w:r>
        <w:rPr>
          <w:color w:val="231F20"/>
          <w:w w:val="110"/>
        </w:rPr>
        <w:t>‘un</w:t>
      </w:r>
      <w:r>
        <w:rPr>
          <w:color w:val="231F20"/>
          <w:spacing w:val="34"/>
          <w:w w:val="110"/>
        </w:rPr>
        <w:t> </w:t>
      </w:r>
      <w:r>
        <w:rPr>
          <w:color w:val="231F20"/>
          <w:w w:val="110"/>
        </w:rPr>
        <w:t>cartel</w:t>
      </w:r>
      <w:r>
        <w:rPr>
          <w:color w:val="231F20"/>
          <w:spacing w:val="34"/>
          <w:w w:val="110"/>
        </w:rPr>
        <w:t> </w:t>
      </w:r>
      <w:r>
        <w:rPr>
          <w:color w:val="231F20"/>
          <w:w w:val="110"/>
        </w:rPr>
        <w:t>de</w:t>
      </w:r>
      <w:r>
        <w:rPr>
          <w:color w:val="231F20"/>
          <w:spacing w:val="34"/>
          <w:w w:val="110"/>
        </w:rPr>
        <w:t> </w:t>
      </w:r>
      <w:r>
        <w:rPr>
          <w:color w:val="231F20"/>
          <w:w w:val="110"/>
        </w:rPr>
        <w:t>buenas</w:t>
      </w:r>
      <w:r>
        <w:rPr>
          <w:color w:val="231F20"/>
          <w:spacing w:val="34"/>
          <w:w w:val="110"/>
        </w:rPr>
        <w:t> </w:t>
      </w:r>
      <w:r>
        <w:rPr>
          <w:color w:val="231F20"/>
          <w:w w:val="110"/>
        </w:rPr>
        <w:t>intenciones’</w:t>
      </w:r>
      <w:r>
        <w:rPr>
          <w:color w:val="231F20"/>
          <w:spacing w:val="34"/>
          <w:w w:val="110"/>
        </w:rPr>
        <w:t> </w:t>
      </w:r>
      <w:r>
        <w:rPr>
          <w:color w:val="231F20"/>
          <w:w w:val="110"/>
        </w:rPr>
        <w:t>pero</w:t>
      </w:r>
      <w:r>
        <w:rPr>
          <w:color w:val="231F20"/>
          <w:spacing w:val="34"/>
          <w:w w:val="110"/>
        </w:rPr>
        <w:t> </w:t>
      </w:r>
      <w:r>
        <w:rPr>
          <w:color w:val="231F20"/>
          <w:w w:val="110"/>
        </w:rPr>
        <w:t>hoy</w:t>
      </w:r>
      <w:r>
        <w:rPr>
          <w:color w:val="231F20"/>
          <w:spacing w:val="34"/>
          <w:w w:val="110"/>
        </w:rPr>
        <w:t> </w:t>
      </w:r>
      <w:r>
        <w:rPr>
          <w:color w:val="231F20"/>
          <w:w w:val="110"/>
        </w:rPr>
        <w:t>es</w:t>
      </w:r>
      <w:r>
        <w:rPr>
          <w:color w:val="231F20"/>
          <w:w w:val="103"/>
        </w:rPr>
        <w:t> </w:t>
      </w:r>
      <w:r>
        <w:rPr>
          <w:color w:val="231F20"/>
          <w:w w:val="110"/>
        </w:rPr>
        <w:t>un</w:t>
      </w:r>
      <w:r>
        <w:rPr>
          <w:color w:val="231F20"/>
          <w:spacing w:val="29"/>
          <w:w w:val="110"/>
        </w:rPr>
        <w:t> </w:t>
      </w:r>
      <w:r>
        <w:rPr>
          <w:color w:val="231F20"/>
          <w:w w:val="110"/>
        </w:rPr>
        <w:t>campo</w:t>
      </w:r>
      <w:r>
        <w:rPr>
          <w:color w:val="231F20"/>
          <w:spacing w:val="29"/>
          <w:w w:val="110"/>
        </w:rPr>
        <w:t> </w:t>
      </w:r>
      <w:r>
        <w:rPr>
          <w:color w:val="231F20"/>
          <w:w w:val="110"/>
        </w:rPr>
        <w:t>mucho</w:t>
      </w:r>
      <w:r>
        <w:rPr>
          <w:color w:val="231F20"/>
          <w:spacing w:val="29"/>
          <w:w w:val="110"/>
        </w:rPr>
        <w:t> </w:t>
      </w:r>
      <w:r>
        <w:rPr>
          <w:color w:val="231F20"/>
          <w:w w:val="110"/>
        </w:rPr>
        <w:t>más</w:t>
      </w:r>
      <w:r>
        <w:rPr>
          <w:color w:val="231F20"/>
          <w:spacing w:val="29"/>
          <w:w w:val="110"/>
        </w:rPr>
        <w:t> </w:t>
      </w:r>
      <w:r>
        <w:rPr>
          <w:color w:val="231F20"/>
          <w:w w:val="110"/>
        </w:rPr>
        <w:t>populoso</w:t>
      </w:r>
      <w:r>
        <w:rPr>
          <w:color w:val="231F20"/>
          <w:spacing w:val="29"/>
          <w:w w:val="110"/>
        </w:rPr>
        <w:t> </w:t>
      </w:r>
      <w:r>
        <w:rPr>
          <w:color w:val="231F20"/>
          <w:w w:val="110"/>
        </w:rPr>
        <w:t>que</w:t>
      </w:r>
      <w:r>
        <w:rPr>
          <w:color w:val="231F20"/>
          <w:spacing w:val="29"/>
          <w:w w:val="110"/>
        </w:rPr>
        <w:t> </w:t>
      </w:r>
      <w:r>
        <w:rPr>
          <w:color w:val="231F20"/>
          <w:w w:val="110"/>
        </w:rPr>
        <w:t>puede</w:t>
      </w:r>
      <w:r>
        <w:rPr>
          <w:color w:val="231F20"/>
          <w:spacing w:val="29"/>
          <w:w w:val="110"/>
        </w:rPr>
        <w:t> </w:t>
      </w:r>
      <w:r>
        <w:rPr>
          <w:color w:val="231F20"/>
          <w:w w:val="110"/>
        </w:rPr>
        <w:t>ser</w:t>
      </w:r>
      <w:r>
        <w:rPr>
          <w:color w:val="231F20"/>
          <w:spacing w:val="29"/>
          <w:w w:val="110"/>
        </w:rPr>
        <w:t> </w:t>
      </w:r>
      <w:r>
        <w:rPr>
          <w:color w:val="231F20"/>
          <w:w w:val="110"/>
        </w:rPr>
        <w:t>descrito</w:t>
      </w:r>
      <w:r>
        <w:rPr>
          <w:color w:val="231F20"/>
          <w:spacing w:val="29"/>
          <w:w w:val="110"/>
        </w:rPr>
        <w:t> </w:t>
      </w:r>
      <w:r>
        <w:rPr>
          <w:color w:val="231F20"/>
          <w:w w:val="110"/>
        </w:rPr>
        <w:t>como</w:t>
      </w:r>
      <w:r>
        <w:rPr>
          <w:color w:val="231F20"/>
          <w:spacing w:val="29"/>
          <w:w w:val="110"/>
        </w:rPr>
        <w:t> </w:t>
      </w:r>
      <w:r>
        <w:rPr>
          <w:color w:val="231F20"/>
          <w:w w:val="110"/>
        </w:rPr>
        <w:t>‘un</w:t>
      </w:r>
      <w:r>
        <w:rPr>
          <w:color w:val="231F20"/>
          <w:w w:val="111"/>
        </w:rPr>
        <w:t> </w:t>
      </w:r>
      <w:r>
        <w:rPr>
          <w:color w:val="231F20"/>
          <w:w w:val="110"/>
        </w:rPr>
        <w:t>mercado crecientemente competitivo y empresarial’” </w:t>
      </w:r>
      <w:r>
        <w:rPr>
          <w:color w:val="231F20"/>
          <w:spacing w:val="-3"/>
          <w:w w:val="110"/>
        </w:rPr>
        <w:t>(Unger, </w:t>
      </w:r>
      <w:r>
        <w:rPr>
          <w:color w:val="231F20"/>
          <w:spacing w:val="12"/>
          <w:w w:val="110"/>
        </w:rPr>
        <w:t> </w:t>
      </w:r>
      <w:r>
        <w:rPr>
          <w:color w:val="231F20"/>
          <w:w w:val="110"/>
        </w:rPr>
        <w:t>2009:</w:t>
      </w:r>
    </w:p>
    <w:p>
      <w:pPr>
        <w:spacing w:after="0" w:line="261" w:lineRule="auto"/>
        <w:jc w:val="right"/>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23). De este modo,  se  sostiene  que  el  gobierno  de </w:t>
      </w:r>
      <w:r>
        <w:rPr>
          <w:color w:val="231F20"/>
          <w:spacing w:val="28"/>
          <w:w w:val="105"/>
        </w:rPr>
        <w:t> </w:t>
      </w:r>
      <w:r>
        <w:rPr>
          <w:color w:val="231F20"/>
          <w:w w:val="105"/>
        </w:rPr>
        <w:t>Obama </w:t>
      </w:r>
      <w:r>
        <w:rPr>
          <w:color w:val="231F20"/>
          <w:spacing w:val="13"/>
          <w:w w:val="105"/>
        </w:rPr>
        <w:t> </w:t>
      </w:r>
      <w:r>
        <w:rPr>
          <w:color w:val="231F20"/>
          <w:w w:val="105"/>
        </w:rPr>
        <w:t>tiene</w:t>
      </w:r>
      <w:r>
        <w:rPr>
          <w:color w:val="231F20"/>
          <w:spacing w:val="1"/>
          <w:w w:val="113"/>
        </w:rPr>
        <w:t> </w:t>
      </w:r>
      <w:r>
        <w:rPr>
          <w:color w:val="231F20"/>
          <w:w w:val="105"/>
        </w:rPr>
        <w:t>una oportunidad “única” para modificar  una  ley  de  asistencia  que fue elaborada en 1961, y para reestructurar la usaid, de modo que     una los esfuerzos de los actores “tradicionales” y los “nuevos actores” vinculados a la asistencia para el   </w:t>
      </w:r>
      <w:r>
        <w:rPr>
          <w:color w:val="231F20"/>
          <w:spacing w:val="9"/>
          <w:w w:val="105"/>
        </w:rPr>
        <w:t> </w:t>
      </w:r>
      <w:r>
        <w:rPr>
          <w:color w:val="231F20"/>
          <w:w w:val="105"/>
        </w:rPr>
        <w:t>desarrollo.</w:t>
      </w:r>
    </w:p>
    <w:p>
      <w:pPr>
        <w:pStyle w:val="BodyText"/>
        <w:spacing w:line="261" w:lineRule="auto"/>
        <w:ind w:left="100" w:right="117" w:firstLine="240"/>
        <w:jc w:val="both"/>
      </w:pPr>
      <w:r>
        <w:rPr>
          <w:color w:val="231F20"/>
          <w:w w:val="110"/>
        </w:rPr>
        <w:t>Lael Brainard, vicepresidenta del programa de Economía Global y Desarrollo de la Brookings, en declaraciones ante la Comisión de Asuntos</w:t>
      </w:r>
      <w:r>
        <w:rPr>
          <w:color w:val="231F20"/>
          <w:spacing w:val="-8"/>
          <w:w w:val="110"/>
        </w:rPr>
        <w:t> </w:t>
      </w:r>
      <w:r>
        <w:rPr>
          <w:color w:val="231F20"/>
          <w:w w:val="110"/>
        </w:rPr>
        <w:t>Exteriores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Cámara</w:t>
      </w:r>
      <w:r>
        <w:rPr>
          <w:color w:val="231F20"/>
          <w:spacing w:val="-8"/>
          <w:w w:val="110"/>
        </w:rPr>
        <w:t> </w:t>
      </w:r>
      <w:r>
        <w:rPr>
          <w:color w:val="231F20"/>
          <w:w w:val="110"/>
        </w:rPr>
        <w:t>de</w:t>
      </w:r>
      <w:r>
        <w:rPr>
          <w:color w:val="231F20"/>
          <w:spacing w:val="-8"/>
          <w:w w:val="110"/>
        </w:rPr>
        <w:t> </w:t>
      </w:r>
      <w:r>
        <w:rPr>
          <w:color w:val="231F20"/>
          <w:w w:val="110"/>
        </w:rPr>
        <w:t>Diputados</w:t>
      </w:r>
      <w:r>
        <w:rPr>
          <w:color w:val="231F20"/>
          <w:spacing w:val="-8"/>
          <w:w w:val="110"/>
        </w:rPr>
        <w:t> </w:t>
      </w:r>
      <w:r>
        <w:rPr>
          <w:color w:val="231F20"/>
          <w:w w:val="110"/>
        </w:rPr>
        <w:t>(23</w:t>
      </w:r>
      <w:r>
        <w:rPr>
          <w:color w:val="231F20"/>
          <w:spacing w:val="-8"/>
          <w:w w:val="110"/>
        </w:rPr>
        <w:t> </w:t>
      </w:r>
      <w:r>
        <w:rPr>
          <w:color w:val="231F20"/>
          <w:w w:val="110"/>
        </w:rPr>
        <w:t>de</w:t>
      </w:r>
      <w:r>
        <w:rPr>
          <w:color w:val="231F20"/>
          <w:spacing w:val="-8"/>
          <w:w w:val="110"/>
        </w:rPr>
        <w:t> </w:t>
      </w:r>
      <w:r>
        <w:rPr>
          <w:color w:val="231F20"/>
          <w:w w:val="110"/>
        </w:rPr>
        <w:t>abril</w:t>
      </w:r>
      <w:r>
        <w:rPr>
          <w:color w:val="231F20"/>
          <w:spacing w:val="-8"/>
          <w:w w:val="110"/>
        </w:rPr>
        <w:t> </w:t>
      </w:r>
      <w:r>
        <w:rPr>
          <w:color w:val="231F20"/>
          <w:w w:val="110"/>
        </w:rPr>
        <w:t>de</w:t>
      </w:r>
      <w:r>
        <w:rPr>
          <w:color w:val="231F20"/>
          <w:spacing w:val="-8"/>
          <w:w w:val="110"/>
        </w:rPr>
        <w:t> </w:t>
      </w:r>
      <w:r>
        <w:rPr>
          <w:color w:val="231F20"/>
          <w:w w:val="110"/>
        </w:rPr>
        <w:t>2008), sostuvo que la lucha contra la pobreza global es indispensable para la “seguridad nacional” debido a que el problema reside en que     en los países pobres hay una mayor propensión al estallido de la violencia. Además, la asistencia es una “obligación moral”. Por otro lado, un aumento sustancial en la asistencia mejoraría la imagen y  el liderazgo de Estados Unidos: “Cuando Estados Unidos es líder</w:t>
      </w:r>
      <w:r>
        <w:rPr>
          <w:color w:val="231F20"/>
          <w:spacing w:val="-17"/>
          <w:w w:val="110"/>
        </w:rPr>
        <w:t> </w:t>
      </w:r>
      <w:r>
        <w:rPr>
          <w:color w:val="231F20"/>
          <w:w w:val="110"/>
        </w:rPr>
        <w:t>en la ayuda por mejorar la vida de los pobres, mejora nuestra propia influencia y autoridad en la comunidad mundial, generando un apo- yo para los intereses de Estados Unidos en otras áreas”. Es por ello que se necesita una estrategia de seguridad nacional que incluya al desarrollo y a la defensa junto con la diplomacia. La</w:t>
      </w:r>
      <w:r>
        <w:rPr>
          <w:color w:val="231F20"/>
          <w:spacing w:val="-7"/>
          <w:w w:val="110"/>
        </w:rPr>
        <w:t> </w:t>
      </w:r>
      <w:r>
        <w:rPr>
          <w:color w:val="231F20"/>
          <w:w w:val="110"/>
        </w:rPr>
        <w:t>recomendación fundamental para alcanzar esta meta es la reestructuración de la es- trategia de asistencia extranjera de Estados Unidos, lo cual implica una completa reestructuración de la Ley para la Asistencia Exterior (Brainard, 2008). Brainard es subsercretaria del </w:t>
      </w:r>
      <w:r>
        <w:rPr>
          <w:color w:val="231F20"/>
          <w:spacing w:val="-4"/>
          <w:w w:val="110"/>
        </w:rPr>
        <w:t>Tesoro </w:t>
      </w:r>
      <w:r>
        <w:rPr>
          <w:color w:val="231F20"/>
          <w:w w:val="110"/>
        </w:rPr>
        <w:t>para</w:t>
      </w:r>
      <w:r>
        <w:rPr>
          <w:color w:val="231F20"/>
          <w:spacing w:val="-36"/>
          <w:w w:val="110"/>
        </w:rPr>
        <w:t> </w:t>
      </w:r>
      <w:r>
        <w:rPr>
          <w:color w:val="231F20"/>
          <w:w w:val="110"/>
        </w:rPr>
        <w:t>Asuntos Internacionales de la administración </w:t>
      </w:r>
      <w:r>
        <w:rPr>
          <w:color w:val="231F20"/>
          <w:spacing w:val="1"/>
          <w:w w:val="110"/>
        </w:rPr>
        <w:t> </w:t>
      </w:r>
      <w:r>
        <w:rPr>
          <w:color w:val="231F20"/>
          <w:w w:val="110"/>
        </w:rPr>
        <w:t>Obama.</w:t>
      </w:r>
    </w:p>
    <w:p>
      <w:pPr>
        <w:pStyle w:val="BodyText"/>
        <w:spacing w:line="261" w:lineRule="auto"/>
        <w:ind w:left="100" w:right="117" w:firstLine="240"/>
        <w:jc w:val="both"/>
      </w:pPr>
      <w:r>
        <w:rPr>
          <w:color w:val="231F20"/>
          <w:w w:val="105"/>
        </w:rPr>
        <w:t>Con respecto al Center for Global Developement (cgd), es una de las organizaciones que posee mayor vinculación con los funcionarios del gobierno estadunidense y mayor influencia en el “asesoramiento” para la elaboración de políticas de asistencia para el desarrollo. Esta institución se define a sí misma como una organización independien-  te y sin fines de lucro, que estudia las políticas, dedicada a reducir la pobreza global y la desigualdad y a hacer que la globalización “fun- cione” para los pobres. A través de la combinación de la investigación y el alcance estratégico, la actividad del Centro compromete a los elaboradores de políticas (policy makers) y al público en general para influenciar las políticas de Estados Unidos, de otros países ricos y de otras instituciones como el bm, el fmi y la omc a fin de mejorar las perspectivas de desarrollo social y económico en los países pobres. EL cgd fue ubicado entre los “top think-tanks” del mundo (en el puesto número  quince  entre  cientos  de  organismos  mundiales)  según </w:t>
      </w:r>
      <w:r>
        <w:rPr>
          <w:color w:val="231F20"/>
          <w:spacing w:val="51"/>
          <w:w w:val="105"/>
        </w:rPr>
        <w:t> </w:t>
      </w:r>
      <w:r>
        <w:rPr>
          <w:color w:val="231F20"/>
          <w:w w:val="105"/>
        </w:rPr>
        <w:t>una</w:t>
      </w:r>
    </w:p>
    <w:p>
      <w:pPr>
        <w:spacing w:after="0" w:line="261" w:lineRule="auto"/>
        <w:jc w:val="both"/>
        <w:sectPr>
          <w:headerReference w:type="even" r:id="rId315"/>
          <w:headerReference w:type="default" r:id="rId316"/>
          <w:pgSz w:w="7640" w:h="11900"/>
          <w:pgMar w:header="672" w:footer="0" w:top="860" w:bottom="280" w:left="780" w:right="640"/>
          <w:pgNumType w:start="432"/>
        </w:sectPr>
      </w:pPr>
    </w:p>
    <w:p>
      <w:pPr>
        <w:pStyle w:val="BodyText"/>
        <w:spacing w:line="261" w:lineRule="auto" w:before="167"/>
        <w:ind w:left="100" w:right="117"/>
        <w:jc w:val="both"/>
      </w:pPr>
      <w:r>
        <w:rPr>
          <w:color w:val="231F20"/>
          <w:w w:val="105"/>
        </w:rPr>
        <w:t>investigación independiente publicada en la revista </w:t>
      </w:r>
      <w:r>
        <w:rPr>
          <w:i/>
          <w:color w:val="231F20"/>
          <w:w w:val="105"/>
        </w:rPr>
        <w:t>Foreign Policy.</w:t>
      </w:r>
      <w:r>
        <w:rPr>
          <w:color w:val="231F20"/>
          <w:w w:val="105"/>
          <w:position w:val="6"/>
          <w:sz w:val="13"/>
        </w:rPr>
        <w:t>13</w:t>
      </w:r>
      <w:r>
        <w:rPr>
          <w:color w:val="231F20"/>
          <w:spacing w:val="-17"/>
          <w:w w:val="105"/>
          <w:position w:val="6"/>
          <w:sz w:val="13"/>
        </w:rPr>
        <w:t> </w:t>
      </w:r>
      <w:r>
        <w:rPr>
          <w:color w:val="231F20"/>
          <w:w w:val="105"/>
        </w:rPr>
        <w:t>El </w:t>
      </w:r>
      <w:r>
        <w:rPr>
          <w:color w:val="231F20"/>
          <w:w w:val="110"/>
        </w:rPr>
        <w:t>cgd fue fundado en el año 2001 por Edward Scott, Fred Bergsten y Nancy Birdsall (Scott es ex funcionario del gobierno estadunidense y Birdsall es ex vicepresidenta del</w:t>
      </w:r>
      <w:r>
        <w:rPr>
          <w:color w:val="231F20"/>
          <w:spacing w:val="-4"/>
          <w:w w:val="110"/>
        </w:rPr>
        <w:t> </w:t>
      </w:r>
      <w:r>
        <w:rPr>
          <w:color w:val="231F20"/>
          <w:w w:val="110"/>
        </w:rPr>
        <w:t>bid).</w:t>
      </w:r>
    </w:p>
    <w:p>
      <w:pPr>
        <w:pStyle w:val="BodyText"/>
        <w:spacing w:line="261" w:lineRule="auto"/>
        <w:ind w:left="100" w:right="117" w:firstLine="240"/>
        <w:jc w:val="both"/>
      </w:pPr>
      <w:r>
        <w:rPr>
          <w:color w:val="231F20"/>
          <w:w w:val="110"/>
        </w:rPr>
        <w:t>Las</w:t>
      </w:r>
      <w:r>
        <w:rPr>
          <w:color w:val="231F20"/>
          <w:spacing w:val="-10"/>
          <w:w w:val="110"/>
        </w:rPr>
        <w:t> </w:t>
      </w:r>
      <w:r>
        <w:rPr>
          <w:color w:val="231F20"/>
          <w:w w:val="110"/>
        </w:rPr>
        <w:t>sugerencias</w:t>
      </w:r>
      <w:r>
        <w:rPr>
          <w:color w:val="231F20"/>
          <w:spacing w:val="-10"/>
          <w:w w:val="110"/>
        </w:rPr>
        <w:t> </w:t>
      </w:r>
      <w:r>
        <w:rPr>
          <w:color w:val="231F20"/>
          <w:w w:val="110"/>
        </w:rPr>
        <w:t>presentadas</w:t>
      </w:r>
      <w:r>
        <w:rPr>
          <w:color w:val="231F20"/>
          <w:spacing w:val="-10"/>
          <w:w w:val="110"/>
        </w:rPr>
        <w:t> </w:t>
      </w:r>
      <w:r>
        <w:rPr>
          <w:color w:val="231F20"/>
          <w:w w:val="110"/>
        </w:rPr>
        <w:t>por</w:t>
      </w:r>
      <w:r>
        <w:rPr>
          <w:color w:val="231F20"/>
          <w:spacing w:val="-10"/>
          <w:w w:val="110"/>
        </w:rPr>
        <w:t> </w:t>
      </w:r>
      <w:r>
        <w:rPr>
          <w:color w:val="231F20"/>
          <w:w w:val="110"/>
        </w:rPr>
        <w:t>Birdsall</w:t>
      </w:r>
      <w:r>
        <w:rPr>
          <w:color w:val="231F20"/>
          <w:spacing w:val="-10"/>
          <w:w w:val="110"/>
        </w:rPr>
        <w:t> </w:t>
      </w:r>
      <w:r>
        <w:rPr>
          <w:color w:val="231F20"/>
          <w:w w:val="110"/>
        </w:rPr>
        <w:t>(2008:</w:t>
      </w:r>
      <w:r>
        <w:rPr>
          <w:color w:val="231F20"/>
          <w:spacing w:val="-10"/>
          <w:w w:val="110"/>
        </w:rPr>
        <w:t> </w:t>
      </w:r>
      <w:r>
        <w:rPr>
          <w:color w:val="231F20"/>
          <w:w w:val="110"/>
        </w:rPr>
        <w:t>2-6)</w:t>
      </w:r>
      <w:r>
        <w:rPr>
          <w:color w:val="231F20"/>
          <w:spacing w:val="-10"/>
          <w:w w:val="110"/>
        </w:rPr>
        <w:t> </w:t>
      </w:r>
      <w:r>
        <w:rPr>
          <w:color w:val="231F20"/>
          <w:w w:val="110"/>
        </w:rPr>
        <w:t>sobre</w:t>
      </w:r>
      <w:r>
        <w:rPr>
          <w:color w:val="231F20"/>
          <w:spacing w:val="-10"/>
          <w:w w:val="110"/>
        </w:rPr>
        <w:t> </w:t>
      </w:r>
      <w:r>
        <w:rPr>
          <w:color w:val="231F20"/>
          <w:w w:val="110"/>
        </w:rPr>
        <w:t>la</w:t>
      </w:r>
      <w:r>
        <w:rPr>
          <w:color w:val="231F20"/>
          <w:spacing w:val="-10"/>
          <w:w w:val="110"/>
        </w:rPr>
        <w:t> </w:t>
      </w:r>
      <w:r>
        <w:rPr>
          <w:color w:val="231F20"/>
          <w:w w:val="110"/>
        </w:rPr>
        <w:t>polí- tica</w:t>
      </w:r>
      <w:r>
        <w:rPr>
          <w:color w:val="231F20"/>
          <w:spacing w:val="-13"/>
          <w:w w:val="110"/>
        </w:rPr>
        <w:t> </w:t>
      </w:r>
      <w:r>
        <w:rPr>
          <w:color w:val="231F20"/>
          <w:w w:val="110"/>
        </w:rPr>
        <w:t>exterior</w:t>
      </w:r>
      <w:r>
        <w:rPr>
          <w:color w:val="231F20"/>
          <w:spacing w:val="-13"/>
          <w:w w:val="110"/>
        </w:rPr>
        <w:t> </w:t>
      </w:r>
      <w:r>
        <w:rPr>
          <w:color w:val="231F20"/>
          <w:w w:val="110"/>
        </w:rPr>
        <w:t>para</w:t>
      </w:r>
      <w:r>
        <w:rPr>
          <w:color w:val="231F20"/>
          <w:spacing w:val="-13"/>
          <w:w w:val="110"/>
        </w:rPr>
        <w:t> </w:t>
      </w:r>
      <w:r>
        <w:rPr>
          <w:color w:val="231F20"/>
          <w:w w:val="110"/>
        </w:rPr>
        <w:t>América</w:t>
      </w:r>
      <w:r>
        <w:rPr>
          <w:color w:val="231F20"/>
          <w:spacing w:val="-13"/>
          <w:w w:val="110"/>
        </w:rPr>
        <w:t> </w:t>
      </w:r>
      <w:r>
        <w:rPr>
          <w:color w:val="231F20"/>
          <w:w w:val="110"/>
        </w:rPr>
        <w:t>Latina</w:t>
      </w:r>
      <w:r>
        <w:rPr>
          <w:color w:val="231F20"/>
          <w:spacing w:val="-13"/>
          <w:w w:val="110"/>
        </w:rPr>
        <w:t> </w:t>
      </w:r>
      <w:r>
        <w:rPr>
          <w:color w:val="231F20"/>
          <w:w w:val="110"/>
        </w:rPr>
        <w:t>ante</w:t>
      </w:r>
      <w:r>
        <w:rPr>
          <w:color w:val="231F20"/>
          <w:spacing w:val="-13"/>
          <w:w w:val="110"/>
        </w:rPr>
        <w:t> </w:t>
      </w:r>
      <w:r>
        <w:rPr>
          <w:color w:val="231F20"/>
          <w:w w:val="110"/>
        </w:rPr>
        <w:t>el</w:t>
      </w:r>
      <w:r>
        <w:rPr>
          <w:color w:val="231F20"/>
          <w:spacing w:val="-13"/>
          <w:w w:val="110"/>
        </w:rPr>
        <w:t> </w:t>
      </w:r>
      <w:r>
        <w:rPr>
          <w:color w:val="231F20"/>
          <w:w w:val="110"/>
        </w:rPr>
        <w:t>Subcomité</w:t>
      </w:r>
      <w:r>
        <w:rPr>
          <w:color w:val="231F20"/>
          <w:spacing w:val="-13"/>
          <w:w w:val="110"/>
        </w:rPr>
        <w:t> </w:t>
      </w:r>
      <w:r>
        <w:rPr>
          <w:color w:val="231F20"/>
          <w:w w:val="110"/>
        </w:rPr>
        <w:t>de</w:t>
      </w:r>
      <w:r>
        <w:rPr>
          <w:color w:val="231F20"/>
          <w:spacing w:val="-13"/>
          <w:w w:val="110"/>
        </w:rPr>
        <w:t> </w:t>
      </w:r>
      <w:r>
        <w:rPr>
          <w:color w:val="231F20"/>
          <w:w w:val="110"/>
        </w:rPr>
        <w:t>Asuntos</w:t>
      </w:r>
      <w:r>
        <w:rPr>
          <w:color w:val="231F20"/>
          <w:spacing w:val="-13"/>
          <w:w w:val="110"/>
        </w:rPr>
        <w:t> </w:t>
      </w:r>
      <w:r>
        <w:rPr>
          <w:color w:val="231F20"/>
          <w:w w:val="110"/>
        </w:rPr>
        <w:t>Exte- riores del Hemisferio Occidental de la Cámara de Diputados (16 de septiembre de 2008), se centraron en la necesidad de “promover el desarrollo</w:t>
      </w:r>
      <w:r>
        <w:rPr>
          <w:color w:val="231F20"/>
          <w:spacing w:val="-9"/>
          <w:w w:val="110"/>
        </w:rPr>
        <w:t> </w:t>
      </w:r>
      <w:r>
        <w:rPr>
          <w:color w:val="231F20"/>
          <w:w w:val="110"/>
        </w:rPr>
        <w:t>de</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para</w:t>
      </w:r>
      <w:r>
        <w:rPr>
          <w:color w:val="231F20"/>
          <w:spacing w:val="-9"/>
          <w:w w:val="110"/>
        </w:rPr>
        <w:t> </w:t>
      </w:r>
      <w:r>
        <w:rPr>
          <w:color w:val="231F20"/>
          <w:w w:val="110"/>
        </w:rPr>
        <w:t>garantizar</w:t>
      </w:r>
      <w:r>
        <w:rPr>
          <w:color w:val="231F20"/>
          <w:spacing w:val="-9"/>
          <w:w w:val="110"/>
        </w:rPr>
        <w:t> </w:t>
      </w:r>
      <w:r>
        <w:rPr>
          <w:color w:val="231F20"/>
          <w:w w:val="110"/>
        </w:rPr>
        <w:t>la</w:t>
      </w:r>
      <w:r>
        <w:rPr>
          <w:color w:val="231F20"/>
          <w:spacing w:val="-9"/>
          <w:w w:val="110"/>
        </w:rPr>
        <w:t> </w:t>
      </w:r>
      <w:r>
        <w:rPr>
          <w:color w:val="231F20"/>
          <w:w w:val="110"/>
        </w:rPr>
        <w:t>seguridad</w:t>
      </w:r>
      <w:r>
        <w:rPr>
          <w:color w:val="231F20"/>
          <w:spacing w:val="-9"/>
          <w:w w:val="110"/>
        </w:rPr>
        <w:t> </w:t>
      </w:r>
      <w:r>
        <w:rPr>
          <w:color w:val="231F20"/>
          <w:w w:val="110"/>
        </w:rPr>
        <w:t>de</w:t>
      </w:r>
      <w:r>
        <w:rPr>
          <w:color w:val="231F20"/>
          <w:spacing w:val="-9"/>
          <w:w w:val="110"/>
        </w:rPr>
        <w:t> </w:t>
      </w:r>
      <w:r>
        <w:rPr>
          <w:color w:val="231F20"/>
          <w:w w:val="110"/>
        </w:rPr>
        <w:t>Estados Unidos”, lo cual permitiría generar y aprovechar las “oportunidades de</w:t>
      </w:r>
      <w:r>
        <w:rPr>
          <w:color w:val="231F20"/>
          <w:spacing w:val="-9"/>
          <w:w w:val="110"/>
        </w:rPr>
        <w:t> </w:t>
      </w:r>
      <w:r>
        <w:rPr>
          <w:color w:val="231F20"/>
          <w:w w:val="110"/>
        </w:rPr>
        <w:t>inversión”</w:t>
      </w:r>
      <w:r>
        <w:rPr>
          <w:color w:val="231F20"/>
          <w:spacing w:val="-9"/>
          <w:w w:val="110"/>
        </w:rPr>
        <w:t> </w:t>
      </w:r>
      <w:r>
        <w:rPr>
          <w:color w:val="231F20"/>
          <w:w w:val="110"/>
        </w:rPr>
        <w:t>que</w:t>
      </w:r>
      <w:r>
        <w:rPr>
          <w:color w:val="231F20"/>
          <w:spacing w:val="-9"/>
          <w:w w:val="110"/>
        </w:rPr>
        <w:t> </w:t>
      </w:r>
      <w:r>
        <w:rPr>
          <w:color w:val="231F20"/>
          <w:w w:val="110"/>
        </w:rPr>
        <w:t>esto</w:t>
      </w:r>
      <w:r>
        <w:rPr>
          <w:color w:val="231F20"/>
          <w:spacing w:val="-9"/>
          <w:w w:val="110"/>
        </w:rPr>
        <w:t> </w:t>
      </w:r>
      <w:r>
        <w:rPr>
          <w:color w:val="231F20"/>
          <w:w w:val="110"/>
        </w:rPr>
        <w:t>implica.</w:t>
      </w:r>
      <w:r>
        <w:rPr>
          <w:color w:val="231F20"/>
          <w:spacing w:val="-9"/>
          <w:w w:val="110"/>
        </w:rPr>
        <w:t> </w:t>
      </w:r>
      <w:r>
        <w:rPr>
          <w:color w:val="231F20"/>
          <w:w w:val="110"/>
        </w:rPr>
        <w:t>Esta</w:t>
      </w:r>
      <w:r>
        <w:rPr>
          <w:color w:val="231F20"/>
          <w:spacing w:val="-9"/>
          <w:w w:val="110"/>
        </w:rPr>
        <w:t> </w:t>
      </w:r>
      <w:r>
        <w:rPr>
          <w:color w:val="231F20"/>
          <w:w w:val="110"/>
        </w:rPr>
        <w:t>sugerencia</w:t>
      </w:r>
      <w:r>
        <w:rPr>
          <w:color w:val="231F20"/>
          <w:spacing w:val="-9"/>
          <w:w w:val="110"/>
        </w:rPr>
        <w:t> </w:t>
      </w:r>
      <w:r>
        <w:rPr>
          <w:color w:val="231F20"/>
          <w:w w:val="110"/>
        </w:rPr>
        <w:t>se</w:t>
      </w:r>
      <w:r>
        <w:rPr>
          <w:color w:val="231F20"/>
          <w:spacing w:val="-9"/>
          <w:w w:val="110"/>
        </w:rPr>
        <w:t> </w:t>
      </w:r>
      <w:r>
        <w:rPr>
          <w:color w:val="231F20"/>
          <w:w w:val="110"/>
        </w:rPr>
        <w:t>enmarca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pro- puesta de mayor alcance de cambiar la estructura para la asistencia al desarrollo en general, tarea que debería orientarse a reescribir la faa, reestructurar y reforzar la estructura organizativa de asistencia exterior, mejorar la coordinación y trabajo conjunto con Estados aliados y organismos multilaterales, presionar para generar cambios a nivel del bid y el bm y mejorar los modos y canales para evaluar  el impacto de la ayuda uniéndose a la propuesta de la organización “International Initiative for Impact Evaluation”</w:t>
      </w:r>
      <w:r>
        <w:rPr>
          <w:color w:val="231F20"/>
          <w:spacing w:val="-8"/>
          <w:w w:val="110"/>
        </w:rPr>
        <w:t> </w:t>
      </w:r>
      <w:r>
        <w:rPr>
          <w:color w:val="231F20"/>
          <w:w w:val="110"/>
        </w:rPr>
        <w:t>(3IE)</w:t>
      </w:r>
      <w:r>
        <w:rPr>
          <w:color w:val="231F20"/>
          <w:w w:val="110"/>
          <w:position w:val="6"/>
          <w:sz w:val="13"/>
        </w:rPr>
        <w:t>14</w:t>
      </w:r>
      <w:r>
        <w:rPr>
          <w:color w:val="231F20"/>
          <w:w w:val="110"/>
        </w:rPr>
        <w:t>.</w:t>
      </w:r>
    </w:p>
    <w:p>
      <w:pPr>
        <w:pStyle w:val="BodyText"/>
        <w:spacing w:line="261" w:lineRule="auto"/>
        <w:ind w:left="100" w:right="114" w:firstLine="240"/>
        <w:jc w:val="both"/>
      </w:pPr>
      <w:r>
        <w:rPr>
          <w:color w:val="231F20"/>
          <w:w w:val="110"/>
        </w:rPr>
        <w:t>Por su parte, otra de las integrantes del cgd, Carol Lancaster (2009:</w:t>
      </w:r>
      <w:r>
        <w:rPr>
          <w:color w:val="231F20"/>
          <w:spacing w:val="-9"/>
          <w:w w:val="110"/>
        </w:rPr>
        <w:t> </w:t>
      </w:r>
      <w:r>
        <w:rPr>
          <w:color w:val="231F20"/>
          <w:w w:val="110"/>
        </w:rPr>
        <w:t>1-6),</w:t>
      </w:r>
      <w:r>
        <w:rPr>
          <w:color w:val="231F20"/>
          <w:spacing w:val="-9"/>
          <w:w w:val="110"/>
        </w:rPr>
        <w:t> </w:t>
      </w:r>
      <w:r>
        <w:rPr>
          <w:color w:val="231F20"/>
          <w:w w:val="110"/>
        </w:rPr>
        <w:t>ex</w:t>
      </w:r>
      <w:r>
        <w:rPr>
          <w:color w:val="231F20"/>
          <w:spacing w:val="-9"/>
          <w:w w:val="110"/>
        </w:rPr>
        <w:t> </w:t>
      </w:r>
      <w:r>
        <w:rPr>
          <w:color w:val="231F20"/>
          <w:w w:val="110"/>
        </w:rPr>
        <w:t>“Deputy</w:t>
      </w:r>
      <w:r>
        <w:rPr>
          <w:color w:val="231F20"/>
          <w:spacing w:val="-9"/>
          <w:w w:val="110"/>
        </w:rPr>
        <w:t> </w:t>
      </w:r>
      <w:r>
        <w:rPr>
          <w:color w:val="231F20"/>
          <w:w w:val="110"/>
        </w:rPr>
        <w:t>Assistant</w:t>
      </w:r>
      <w:r>
        <w:rPr>
          <w:color w:val="231F20"/>
          <w:spacing w:val="-9"/>
          <w:w w:val="110"/>
        </w:rPr>
        <w:t> </w:t>
      </w:r>
      <w:r>
        <w:rPr>
          <w:color w:val="231F20"/>
          <w:w w:val="110"/>
        </w:rPr>
        <w:t>Secretary</w:t>
      </w:r>
      <w:r>
        <w:rPr>
          <w:color w:val="231F20"/>
          <w:spacing w:val="-9"/>
          <w:w w:val="110"/>
        </w:rPr>
        <w:t> </w:t>
      </w:r>
      <w:r>
        <w:rPr>
          <w:color w:val="231F20"/>
          <w:w w:val="110"/>
        </w:rPr>
        <w:t>of</w:t>
      </w:r>
      <w:r>
        <w:rPr>
          <w:color w:val="231F20"/>
          <w:spacing w:val="-9"/>
          <w:w w:val="110"/>
        </w:rPr>
        <w:t> </w:t>
      </w:r>
      <w:r>
        <w:rPr>
          <w:color w:val="231F20"/>
          <w:w w:val="110"/>
        </w:rPr>
        <w:t>State</w:t>
      </w:r>
      <w:r>
        <w:rPr>
          <w:color w:val="231F20"/>
          <w:spacing w:val="-9"/>
          <w:w w:val="110"/>
        </w:rPr>
        <w:t> </w:t>
      </w:r>
      <w:r>
        <w:rPr>
          <w:color w:val="231F20"/>
          <w:w w:val="110"/>
        </w:rPr>
        <w:t>for</w:t>
      </w:r>
      <w:r>
        <w:rPr>
          <w:color w:val="231F20"/>
          <w:spacing w:val="-9"/>
          <w:w w:val="110"/>
        </w:rPr>
        <w:t> </w:t>
      </w:r>
      <w:r>
        <w:rPr>
          <w:color w:val="231F20"/>
          <w:w w:val="110"/>
        </w:rPr>
        <w:t>Africa”</w:t>
      </w:r>
      <w:r>
        <w:rPr>
          <w:color w:val="231F20"/>
          <w:w w:val="110"/>
          <w:position w:val="6"/>
          <w:sz w:val="13"/>
        </w:rPr>
        <w:t>15</w:t>
      </w:r>
      <w:r>
        <w:rPr>
          <w:color w:val="231F20"/>
          <w:spacing w:val="10"/>
          <w:w w:val="110"/>
          <w:position w:val="6"/>
          <w:sz w:val="13"/>
        </w:rPr>
        <w:t> </w:t>
      </w:r>
      <w:r>
        <w:rPr>
          <w:color w:val="231F20"/>
          <w:w w:val="110"/>
        </w:rPr>
        <w:t>del </w:t>
      </w:r>
      <w:r>
        <w:rPr>
          <w:color w:val="231F20"/>
          <w:spacing w:val="2"/>
          <w:w w:val="110"/>
        </w:rPr>
        <w:t>Departamento </w:t>
      </w:r>
      <w:r>
        <w:rPr>
          <w:color w:val="231F20"/>
          <w:w w:val="110"/>
        </w:rPr>
        <w:t>de </w:t>
      </w:r>
      <w:r>
        <w:rPr>
          <w:color w:val="231F20"/>
          <w:spacing w:val="2"/>
          <w:w w:val="110"/>
        </w:rPr>
        <w:t>Estado, planteó sugerencias similares </w:t>
      </w:r>
      <w:r>
        <w:rPr>
          <w:color w:val="231F20"/>
          <w:w w:val="110"/>
        </w:rPr>
        <w:t>a las </w:t>
      </w:r>
      <w:r>
        <w:rPr>
          <w:color w:val="231F20"/>
          <w:spacing w:val="3"/>
          <w:w w:val="110"/>
        </w:rPr>
        <w:t>de </w:t>
      </w:r>
      <w:r>
        <w:rPr>
          <w:color w:val="231F20"/>
          <w:w w:val="110"/>
        </w:rPr>
        <w:t>Bridsall en uno de los subcomités del senado (1 de abril de 2009) y agregó, en consonancia con la opinión de otros organismos ya men- cionados, los siguientes aspectos de la ayuda exterior: que además de ser parte de los intereses de los Estados Unidos, la asistencia es una “cuestión moral”; que es un modo de evitar las condiciones que conllevan al establecimiento del terrorismo y que la</w:t>
      </w:r>
      <w:r>
        <w:rPr>
          <w:color w:val="231F20"/>
          <w:spacing w:val="-27"/>
          <w:w w:val="110"/>
        </w:rPr>
        <w:t> </w:t>
      </w:r>
      <w:r>
        <w:rPr>
          <w:color w:val="231F20"/>
          <w:w w:val="110"/>
        </w:rPr>
        <w:t>reestructuración del sistema de asistencia estadunidense debe realizarse teniendo en cuenta la presencia de múltiples y nuevos agentes en el “negocio  del </w:t>
      </w:r>
      <w:r>
        <w:rPr>
          <w:color w:val="231F20"/>
          <w:spacing w:val="2"/>
          <w:w w:val="110"/>
        </w:rPr>
        <w:t>desarrollo”, incluidas nuevas </w:t>
      </w:r>
      <w:r>
        <w:rPr>
          <w:color w:val="231F20"/>
          <w:w w:val="110"/>
        </w:rPr>
        <w:t>ong, </w:t>
      </w:r>
      <w:r>
        <w:rPr>
          <w:color w:val="231F20"/>
          <w:spacing w:val="2"/>
          <w:w w:val="110"/>
        </w:rPr>
        <w:t>fundaciones    </w:t>
      </w:r>
      <w:r>
        <w:rPr>
          <w:color w:val="231F20"/>
          <w:spacing w:val="24"/>
          <w:w w:val="110"/>
        </w:rPr>
        <w:t> </w:t>
      </w:r>
      <w:r>
        <w:rPr>
          <w:color w:val="231F20"/>
          <w:spacing w:val="2"/>
          <w:w w:val="110"/>
        </w:rPr>
        <w:t>filantrópicas,</w:t>
      </w:r>
    </w:p>
    <w:p>
      <w:pPr>
        <w:pStyle w:val="BodyText"/>
      </w:pPr>
    </w:p>
    <w:p>
      <w:pPr>
        <w:spacing w:before="152"/>
        <w:ind w:left="340" w:right="25" w:firstLine="0"/>
        <w:jc w:val="left"/>
        <w:rPr>
          <w:sz w:val="16"/>
        </w:rPr>
      </w:pPr>
      <w:r>
        <w:rPr>
          <w:color w:val="231F20"/>
          <w:w w:val="105"/>
          <w:position w:val="5"/>
          <w:sz w:val="10"/>
        </w:rPr>
        <w:t>13   </w:t>
      </w:r>
      <w:r>
        <w:rPr>
          <w:color w:val="231F20"/>
          <w:w w:val="105"/>
          <w:sz w:val="16"/>
        </w:rPr>
        <w:t>Véase la página oficial del cgd:  </w:t>
      </w:r>
      <w:hyperlink r:id="rId317">
        <w:r>
          <w:rPr>
            <w:color w:val="231F20"/>
            <w:w w:val="105"/>
            <w:sz w:val="16"/>
          </w:rPr>
          <w:t>&lt;www.cgdev.org/&gt;.</w:t>
        </w:r>
      </w:hyperlink>
    </w:p>
    <w:p>
      <w:pPr>
        <w:spacing w:line="261" w:lineRule="auto" w:before="16"/>
        <w:ind w:left="100" w:right="113" w:firstLine="240"/>
        <w:jc w:val="both"/>
        <w:rPr>
          <w:sz w:val="16"/>
        </w:rPr>
      </w:pPr>
      <w:r>
        <w:rPr>
          <w:color w:val="231F20"/>
          <w:w w:val="110"/>
          <w:position w:val="5"/>
          <w:sz w:val="10"/>
        </w:rPr>
        <w:t>14</w:t>
      </w:r>
      <w:r>
        <w:rPr>
          <w:color w:val="231F20"/>
          <w:spacing w:val="14"/>
          <w:w w:val="110"/>
          <w:position w:val="5"/>
          <w:sz w:val="10"/>
        </w:rPr>
        <w:t> </w:t>
      </w:r>
      <w:r>
        <w:rPr>
          <w:color w:val="231F20"/>
          <w:w w:val="110"/>
          <w:sz w:val="16"/>
        </w:rPr>
        <w:t>Esta</w:t>
      </w:r>
      <w:r>
        <w:rPr>
          <w:color w:val="231F20"/>
          <w:spacing w:val="-24"/>
          <w:w w:val="110"/>
          <w:sz w:val="16"/>
        </w:rPr>
        <w:t> </w:t>
      </w:r>
      <w:r>
        <w:rPr>
          <w:color w:val="231F20"/>
          <w:w w:val="110"/>
          <w:sz w:val="16"/>
        </w:rPr>
        <w:t>organización</w:t>
      </w:r>
      <w:r>
        <w:rPr>
          <w:color w:val="231F20"/>
          <w:spacing w:val="-24"/>
          <w:w w:val="110"/>
          <w:sz w:val="16"/>
        </w:rPr>
        <w:t> </w:t>
      </w:r>
      <w:r>
        <w:rPr>
          <w:color w:val="231F20"/>
          <w:w w:val="110"/>
          <w:sz w:val="16"/>
        </w:rPr>
        <w:t>incluye</w:t>
      </w:r>
      <w:r>
        <w:rPr>
          <w:color w:val="231F20"/>
          <w:spacing w:val="-24"/>
          <w:w w:val="110"/>
          <w:sz w:val="16"/>
        </w:rPr>
        <w:t> </w:t>
      </w:r>
      <w:r>
        <w:rPr>
          <w:color w:val="231F20"/>
          <w:w w:val="110"/>
          <w:sz w:val="16"/>
        </w:rPr>
        <w:t>a</w:t>
      </w:r>
      <w:r>
        <w:rPr>
          <w:color w:val="231F20"/>
          <w:spacing w:val="-24"/>
          <w:w w:val="110"/>
          <w:sz w:val="16"/>
        </w:rPr>
        <w:t> </w:t>
      </w:r>
      <w:r>
        <w:rPr>
          <w:color w:val="231F20"/>
          <w:w w:val="110"/>
          <w:sz w:val="16"/>
        </w:rPr>
        <w:t>los</w:t>
      </w:r>
      <w:r>
        <w:rPr>
          <w:color w:val="231F20"/>
          <w:spacing w:val="-24"/>
          <w:w w:val="110"/>
          <w:sz w:val="16"/>
        </w:rPr>
        <w:t> </w:t>
      </w:r>
      <w:r>
        <w:rPr>
          <w:color w:val="231F20"/>
          <w:w w:val="110"/>
          <w:sz w:val="16"/>
        </w:rPr>
        <w:t>ministros</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salud</w:t>
      </w:r>
      <w:r>
        <w:rPr>
          <w:color w:val="231F20"/>
          <w:spacing w:val="-24"/>
          <w:w w:val="110"/>
          <w:sz w:val="16"/>
        </w:rPr>
        <w:t> </w:t>
      </w:r>
      <w:r>
        <w:rPr>
          <w:color w:val="231F20"/>
          <w:w w:val="110"/>
          <w:sz w:val="16"/>
        </w:rPr>
        <w:t>y</w:t>
      </w:r>
      <w:r>
        <w:rPr>
          <w:color w:val="231F20"/>
          <w:spacing w:val="-24"/>
          <w:w w:val="110"/>
          <w:sz w:val="16"/>
        </w:rPr>
        <w:t> </w:t>
      </w:r>
      <w:r>
        <w:rPr>
          <w:color w:val="231F20"/>
          <w:w w:val="110"/>
          <w:sz w:val="16"/>
        </w:rPr>
        <w:t>educación</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México,</w:t>
      </w:r>
      <w:r>
        <w:rPr>
          <w:color w:val="231F20"/>
          <w:spacing w:val="-24"/>
          <w:w w:val="110"/>
          <w:sz w:val="16"/>
        </w:rPr>
        <w:t> </w:t>
      </w:r>
      <w:r>
        <w:rPr>
          <w:color w:val="231F20"/>
          <w:w w:val="110"/>
          <w:sz w:val="16"/>
        </w:rPr>
        <w:t>el</w:t>
      </w:r>
      <w:r>
        <w:rPr>
          <w:color w:val="231F20"/>
          <w:spacing w:val="-24"/>
          <w:w w:val="110"/>
          <w:sz w:val="16"/>
        </w:rPr>
        <w:t> </w:t>
      </w:r>
      <w:r>
        <w:rPr>
          <w:color w:val="231F20"/>
          <w:w w:val="110"/>
          <w:sz w:val="16"/>
        </w:rPr>
        <w:t>minis- tro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finanzas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Uganda,</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Departamento</w:t>
      </w:r>
      <w:r>
        <w:rPr>
          <w:color w:val="231F20"/>
          <w:spacing w:val="-11"/>
          <w:w w:val="110"/>
          <w:sz w:val="16"/>
        </w:rPr>
        <w:t> </w:t>
      </w:r>
      <w:r>
        <w:rPr>
          <w:color w:val="231F20"/>
          <w:w w:val="110"/>
          <w:sz w:val="16"/>
        </w:rPr>
        <w:t>para</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Desarrollo</w:t>
      </w:r>
      <w:r>
        <w:rPr>
          <w:color w:val="231F20"/>
          <w:spacing w:val="-11"/>
          <w:w w:val="110"/>
          <w:sz w:val="16"/>
        </w:rPr>
        <w:t> </w:t>
      </w:r>
      <w:r>
        <w:rPr>
          <w:color w:val="231F20"/>
          <w:w w:val="110"/>
          <w:sz w:val="16"/>
        </w:rPr>
        <w:t>Internacional</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Reino Unido,</w:t>
      </w:r>
      <w:r>
        <w:rPr>
          <w:color w:val="231F20"/>
          <w:spacing w:val="-9"/>
          <w:w w:val="110"/>
          <w:sz w:val="16"/>
        </w:rPr>
        <w:t> </w:t>
      </w:r>
      <w:r>
        <w:rPr>
          <w:color w:val="231F20"/>
          <w:w w:val="110"/>
          <w:sz w:val="16"/>
        </w:rPr>
        <w:t>el</w:t>
      </w:r>
      <w:r>
        <w:rPr>
          <w:color w:val="231F20"/>
          <w:spacing w:val="-9"/>
          <w:w w:val="110"/>
          <w:sz w:val="16"/>
        </w:rPr>
        <w:t> </w:t>
      </w:r>
      <w:r>
        <w:rPr>
          <w:color w:val="231F20"/>
          <w:w w:val="110"/>
          <w:sz w:val="16"/>
        </w:rPr>
        <w:t>ministro</w:t>
      </w:r>
      <w:r>
        <w:rPr>
          <w:color w:val="231F20"/>
          <w:spacing w:val="-9"/>
          <w:w w:val="110"/>
          <w:sz w:val="16"/>
        </w:rPr>
        <w:t> </w:t>
      </w:r>
      <w:r>
        <w:rPr>
          <w:color w:val="231F20"/>
          <w:w w:val="110"/>
          <w:sz w:val="16"/>
        </w:rPr>
        <w:t>de</w:t>
      </w:r>
      <w:r>
        <w:rPr>
          <w:color w:val="231F20"/>
          <w:spacing w:val="-9"/>
          <w:w w:val="110"/>
          <w:sz w:val="16"/>
        </w:rPr>
        <w:t> </w:t>
      </w:r>
      <w:r>
        <w:rPr>
          <w:color w:val="231F20"/>
          <w:w w:val="110"/>
          <w:sz w:val="16"/>
        </w:rPr>
        <w:t>Relaciones</w:t>
      </w:r>
      <w:r>
        <w:rPr>
          <w:color w:val="231F20"/>
          <w:spacing w:val="-9"/>
          <w:w w:val="110"/>
          <w:sz w:val="16"/>
        </w:rPr>
        <w:t> </w:t>
      </w:r>
      <w:r>
        <w:rPr>
          <w:color w:val="231F20"/>
          <w:w w:val="110"/>
          <w:sz w:val="16"/>
        </w:rPr>
        <w:t>Exteriores</w:t>
      </w:r>
      <w:r>
        <w:rPr>
          <w:color w:val="231F20"/>
          <w:spacing w:val="-9"/>
          <w:w w:val="110"/>
          <w:sz w:val="16"/>
        </w:rPr>
        <w:t> </w:t>
      </w:r>
      <w:r>
        <w:rPr>
          <w:color w:val="231F20"/>
          <w:w w:val="110"/>
          <w:sz w:val="16"/>
        </w:rPr>
        <w:t>de</w:t>
      </w:r>
      <w:r>
        <w:rPr>
          <w:color w:val="231F20"/>
          <w:spacing w:val="-9"/>
          <w:w w:val="110"/>
          <w:sz w:val="16"/>
        </w:rPr>
        <w:t> </w:t>
      </w:r>
      <w:r>
        <w:rPr>
          <w:color w:val="231F20"/>
          <w:w w:val="110"/>
          <w:sz w:val="16"/>
        </w:rPr>
        <w:t>Holanda,</w:t>
      </w:r>
      <w:r>
        <w:rPr>
          <w:color w:val="231F20"/>
          <w:spacing w:val="-9"/>
          <w:w w:val="110"/>
          <w:sz w:val="16"/>
        </w:rPr>
        <w:t> </w:t>
      </w:r>
      <w:r>
        <w:rPr>
          <w:color w:val="231F20"/>
          <w:w w:val="110"/>
          <w:sz w:val="16"/>
        </w:rPr>
        <w:t>la</w:t>
      </w:r>
      <w:r>
        <w:rPr>
          <w:color w:val="231F20"/>
          <w:spacing w:val="-9"/>
          <w:w w:val="110"/>
          <w:sz w:val="16"/>
        </w:rPr>
        <w:t> </w:t>
      </w:r>
      <w:r>
        <w:rPr>
          <w:color w:val="231F20"/>
          <w:w w:val="110"/>
          <w:sz w:val="16"/>
        </w:rPr>
        <w:t>Agencia</w:t>
      </w:r>
      <w:r>
        <w:rPr>
          <w:color w:val="231F20"/>
          <w:spacing w:val="-9"/>
          <w:w w:val="110"/>
          <w:sz w:val="16"/>
        </w:rPr>
        <w:t> </w:t>
      </w:r>
      <w:r>
        <w:rPr>
          <w:color w:val="231F20"/>
          <w:w w:val="110"/>
          <w:sz w:val="16"/>
        </w:rPr>
        <w:t>para</w:t>
      </w:r>
      <w:r>
        <w:rPr>
          <w:color w:val="231F20"/>
          <w:spacing w:val="-9"/>
          <w:w w:val="110"/>
          <w:sz w:val="16"/>
        </w:rPr>
        <w:t> </w:t>
      </w:r>
      <w:r>
        <w:rPr>
          <w:color w:val="231F20"/>
          <w:w w:val="110"/>
          <w:sz w:val="16"/>
        </w:rPr>
        <w:t>el</w:t>
      </w:r>
      <w:r>
        <w:rPr>
          <w:color w:val="231F20"/>
          <w:spacing w:val="-9"/>
          <w:w w:val="110"/>
          <w:sz w:val="16"/>
        </w:rPr>
        <w:t> </w:t>
      </w:r>
      <w:r>
        <w:rPr>
          <w:color w:val="231F20"/>
          <w:w w:val="110"/>
          <w:sz w:val="16"/>
        </w:rPr>
        <w:t>Desarrollo Internacional de Canadá, el Banco para el Desarrollo Africano, la Fundación Bill y Melinda</w:t>
      </w:r>
      <w:r>
        <w:rPr>
          <w:color w:val="231F20"/>
          <w:spacing w:val="-14"/>
          <w:w w:val="110"/>
          <w:sz w:val="16"/>
        </w:rPr>
        <w:t> </w:t>
      </w:r>
      <w:r>
        <w:rPr>
          <w:color w:val="231F20"/>
          <w:w w:val="110"/>
          <w:sz w:val="16"/>
        </w:rPr>
        <w:t>Gates,</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Fundación</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William</w:t>
      </w:r>
      <w:r>
        <w:rPr>
          <w:color w:val="231F20"/>
          <w:spacing w:val="-14"/>
          <w:w w:val="110"/>
          <w:sz w:val="16"/>
        </w:rPr>
        <w:t> </w:t>
      </w:r>
      <w:r>
        <w:rPr>
          <w:color w:val="231F20"/>
          <w:w w:val="110"/>
          <w:sz w:val="16"/>
        </w:rPr>
        <w:t>y</w:t>
      </w:r>
      <w:r>
        <w:rPr>
          <w:color w:val="231F20"/>
          <w:spacing w:val="-14"/>
          <w:w w:val="110"/>
          <w:sz w:val="16"/>
        </w:rPr>
        <w:t> </w:t>
      </w:r>
      <w:r>
        <w:rPr>
          <w:color w:val="231F20"/>
          <w:w w:val="110"/>
          <w:sz w:val="16"/>
        </w:rPr>
        <w:t>Flora</w:t>
      </w:r>
      <w:r>
        <w:rPr>
          <w:color w:val="231F20"/>
          <w:spacing w:val="-14"/>
          <w:w w:val="110"/>
          <w:sz w:val="16"/>
        </w:rPr>
        <w:t> </w:t>
      </w:r>
      <w:r>
        <w:rPr>
          <w:color w:val="231F20"/>
          <w:w w:val="110"/>
          <w:sz w:val="16"/>
        </w:rPr>
        <w:t>Hewlett,</w:t>
      </w:r>
      <w:r>
        <w:rPr>
          <w:color w:val="231F20"/>
          <w:spacing w:val="-14"/>
          <w:w w:val="110"/>
          <w:sz w:val="16"/>
        </w:rPr>
        <w:t> </w:t>
      </w:r>
      <w:r>
        <w:rPr>
          <w:color w:val="231F20"/>
          <w:w w:val="110"/>
          <w:sz w:val="16"/>
        </w:rPr>
        <w:t>Google,</w:t>
      </w:r>
      <w:r>
        <w:rPr>
          <w:color w:val="231F20"/>
          <w:spacing w:val="-14"/>
          <w:w w:val="110"/>
          <w:sz w:val="16"/>
        </w:rPr>
        <w:t> </w:t>
      </w:r>
      <w:r>
        <w:rPr>
          <w:color w:val="231F20"/>
          <w:w w:val="110"/>
          <w:sz w:val="16"/>
        </w:rPr>
        <w:t>care</w:t>
      </w:r>
      <w:r>
        <w:rPr>
          <w:color w:val="231F20"/>
          <w:spacing w:val="-14"/>
          <w:w w:val="110"/>
          <w:sz w:val="16"/>
        </w:rPr>
        <w:t> </w:t>
      </w:r>
      <w:r>
        <w:rPr>
          <w:color w:val="231F20"/>
          <w:w w:val="110"/>
          <w:sz w:val="16"/>
        </w:rPr>
        <w:t>USA,</w:t>
      </w:r>
      <w:r>
        <w:rPr>
          <w:color w:val="231F20"/>
          <w:spacing w:val="-14"/>
          <w:w w:val="110"/>
          <w:sz w:val="16"/>
        </w:rPr>
        <w:t> </w:t>
      </w:r>
      <w:r>
        <w:rPr>
          <w:color w:val="231F20"/>
          <w:w w:val="110"/>
          <w:sz w:val="16"/>
        </w:rPr>
        <w:t>el</w:t>
      </w:r>
      <w:r>
        <w:rPr>
          <w:color w:val="231F20"/>
          <w:spacing w:val="-14"/>
          <w:w w:val="110"/>
          <w:sz w:val="16"/>
        </w:rPr>
        <w:t> </w:t>
      </w:r>
      <w:r>
        <w:rPr>
          <w:color w:val="231F20"/>
          <w:spacing w:val="-2"/>
          <w:w w:val="110"/>
          <w:sz w:val="16"/>
        </w:rPr>
        <w:t>Comité </w:t>
      </w:r>
      <w:r>
        <w:rPr>
          <w:color w:val="231F20"/>
          <w:w w:val="110"/>
          <w:sz w:val="16"/>
        </w:rPr>
        <w:t>Internacional</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Rescate</w:t>
      </w:r>
      <w:r>
        <w:rPr>
          <w:color w:val="231F20"/>
          <w:spacing w:val="-14"/>
          <w:w w:val="110"/>
          <w:sz w:val="16"/>
        </w:rPr>
        <w:t> </w:t>
      </w:r>
      <w:r>
        <w:rPr>
          <w:color w:val="231F20"/>
          <w:w w:val="110"/>
          <w:sz w:val="16"/>
        </w:rPr>
        <w:t>y</w:t>
      </w:r>
      <w:r>
        <w:rPr>
          <w:color w:val="231F20"/>
          <w:spacing w:val="-14"/>
          <w:w w:val="110"/>
          <w:sz w:val="16"/>
        </w:rPr>
        <w:t> </w:t>
      </w:r>
      <w:r>
        <w:rPr>
          <w:color w:val="231F20"/>
          <w:w w:val="110"/>
          <w:sz w:val="16"/>
        </w:rPr>
        <w:t>Save</w:t>
      </w:r>
      <w:r>
        <w:rPr>
          <w:color w:val="231F20"/>
          <w:spacing w:val="-14"/>
          <w:w w:val="110"/>
          <w:sz w:val="16"/>
        </w:rPr>
        <w:t> </w:t>
      </w:r>
      <w:r>
        <w:rPr>
          <w:color w:val="231F20"/>
          <w:w w:val="110"/>
          <w:sz w:val="16"/>
        </w:rPr>
        <w:t>the</w:t>
      </w:r>
      <w:r>
        <w:rPr>
          <w:color w:val="231F20"/>
          <w:spacing w:val="-14"/>
          <w:w w:val="110"/>
          <w:sz w:val="16"/>
        </w:rPr>
        <w:t> </w:t>
      </w:r>
      <w:r>
        <w:rPr>
          <w:color w:val="231F20"/>
          <w:w w:val="110"/>
          <w:sz w:val="16"/>
        </w:rPr>
        <w:t>Children</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los</w:t>
      </w:r>
      <w:r>
        <w:rPr>
          <w:color w:val="231F20"/>
          <w:spacing w:val="-14"/>
          <w:w w:val="110"/>
          <w:sz w:val="16"/>
        </w:rPr>
        <w:t> </w:t>
      </w:r>
      <w:r>
        <w:rPr>
          <w:color w:val="231F20"/>
          <w:w w:val="110"/>
          <w:sz w:val="16"/>
        </w:rPr>
        <w:t>Estados</w:t>
      </w:r>
      <w:r>
        <w:rPr>
          <w:color w:val="231F20"/>
          <w:spacing w:val="-14"/>
          <w:w w:val="110"/>
          <w:sz w:val="16"/>
        </w:rPr>
        <w:t> </w:t>
      </w:r>
      <w:r>
        <w:rPr>
          <w:color w:val="231F20"/>
          <w:w w:val="110"/>
          <w:sz w:val="16"/>
        </w:rPr>
        <w:t>Unidos</w:t>
      </w:r>
      <w:r>
        <w:rPr>
          <w:color w:val="231F20"/>
          <w:spacing w:val="-14"/>
          <w:w w:val="110"/>
          <w:sz w:val="16"/>
        </w:rPr>
        <w:t> </w:t>
      </w:r>
      <w:r>
        <w:rPr>
          <w:color w:val="231F20"/>
          <w:w w:val="110"/>
          <w:sz w:val="16"/>
        </w:rPr>
        <w:t>(Birdsall,</w:t>
      </w:r>
      <w:r>
        <w:rPr>
          <w:color w:val="231F20"/>
          <w:spacing w:val="-14"/>
          <w:w w:val="110"/>
          <w:sz w:val="16"/>
        </w:rPr>
        <w:t> </w:t>
      </w:r>
      <w:r>
        <w:rPr>
          <w:color w:val="231F20"/>
          <w:w w:val="110"/>
          <w:sz w:val="16"/>
        </w:rPr>
        <w:t>2009:</w:t>
      </w:r>
      <w:r>
        <w:rPr>
          <w:color w:val="231F20"/>
          <w:spacing w:val="-14"/>
          <w:w w:val="110"/>
          <w:sz w:val="16"/>
        </w:rPr>
        <w:t> </w:t>
      </w:r>
      <w:r>
        <w:rPr>
          <w:color w:val="231F20"/>
          <w:spacing w:val="-2"/>
          <w:w w:val="110"/>
          <w:sz w:val="16"/>
        </w:rPr>
        <w:t>6).</w:t>
      </w:r>
    </w:p>
    <w:p>
      <w:pPr>
        <w:spacing w:before="0"/>
        <w:ind w:left="340" w:right="25" w:firstLine="0"/>
        <w:jc w:val="left"/>
        <w:rPr>
          <w:sz w:val="16"/>
        </w:rPr>
      </w:pPr>
      <w:r>
        <w:rPr>
          <w:color w:val="231F20"/>
          <w:w w:val="110"/>
          <w:position w:val="5"/>
          <w:sz w:val="10"/>
        </w:rPr>
        <w:t>15   </w:t>
      </w:r>
      <w:r>
        <w:rPr>
          <w:color w:val="231F20"/>
          <w:w w:val="110"/>
          <w:sz w:val="16"/>
        </w:rPr>
        <w:t>En castellano sería “Subsecretaria de Estado adjunta para África”</w:t>
      </w:r>
    </w:p>
    <w:p>
      <w:pPr>
        <w:spacing w:after="0"/>
        <w:jc w:val="left"/>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corporaciones capitalistas decididas a realizar “buenas inversiones con buenos fines”, portales de internet, etc. Asimismo, dentro de la solicitud</w:t>
      </w:r>
      <w:r>
        <w:rPr>
          <w:color w:val="231F20"/>
          <w:spacing w:val="-10"/>
          <w:w w:val="110"/>
        </w:rPr>
        <w:t> </w:t>
      </w:r>
      <w:r>
        <w:rPr>
          <w:color w:val="231F20"/>
          <w:w w:val="110"/>
        </w:rPr>
        <w:t>de</w:t>
      </w:r>
      <w:r>
        <w:rPr>
          <w:color w:val="231F20"/>
          <w:spacing w:val="-10"/>
          <w:w w:val="110"/>
        </w:rPr>
        <w:t> </w:t>
      </w:r>
      <w:r>
        <w:rPr>
          <w:color w:val="231F20"/>
          <w:w w:val="110"/>
        </w:rPr>
        <w:t>reforma</w:t>
      </w:r>
      <w:r>
        <w:rPr>
          <w:color w:val="231F20"/>
          <w:spacing w:val="-10"/>
          <w:w w:val="110"/>
        </w:rPr>
        <w:t> </w:t>
      </w:r>
      <w:r>
        <w:rPr>
          <w:color w:val="231F20"/>
          <w:w w:val="110"/>
        </w:rPr>
        <w:t>estructural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ayuda</w:t>
      </w:r>
      <w:r>
        <w:rPr>
          <w:color w:val="231F20"/>
          <w:spacing w:val="-10"/>
          <w:w w:val="110"/>
        </w:rPr>
        <w:t> </w:t>
      </w:r>
      <w:r>
        <w:rPr>
          <w:color w:val="231F20"/>
          <w:w w:val="110"/>
        </w:rPr>
        <w:t>estadunidense,</w:t>
      </w:r>
      <w:r>
        <w:rPr>
          <w:color w:val="231F20"/>
          <w:spacing w:val="-10"/>
          <w:w w:val="110"/>
        </w:rPr>
        <w:t> </w:t>
      </w:r>
      <w:r>
        <w:rPr>
          <w:color w:val="231F20"/>
          <w:w w:val="110"/>
        </w:rPr>
        <w:t>se</w:t>
      </w:r>
      <w:r>
        <w:rPr>
          <w:color w:val="231F20"/>
          <w:spacing w:val="-10"/>
          <w:w w:val="110"/>
        </w:rPr>
        <w:t> </w:t>
      </w:r>
      <w:r>
        <w:rPr>
          <w:color w:val="231F20"/>
          <w:w w:val="110"/>
        </w:rPr>
        <w:t>plantea la necesidad de que el administrador de la aid tenga un lugar en      el Consejo de Seguridad Nacional (Lancaster, 2009: 5). Esto último pone de relieve la vinculación —siempre existente, pero no siempre visible— entre el desarrollo y la seguridad como funcionales a los “intereses” de Estados</w:t>
      </w:r>
      <w:r>
        <w:rPr>
          <w:color w:val="231F20"/>
          <w:spacing w:val="-38"/>
          <w:w w:val="110"/>
        </w:rPr>
        <w:t> </w:t>
      </w:r>
      <w:r>
        <w:rPr>
          <w:color w:val="231F20"/>
          <w:w w:val="110"/>
        </w:rPr>
        <w:t>Unidos.</w:t>
      </w:r>
    </w:p>
    <w:p>
      <w:pPr>
        <w:pStyle w:val="BodyText"/>
        <w:spacing w:line="261" w:lineRule="auto"/>
        <w:ind w:left="100" w:right="112" w:firstLine="240"/>
        <w:jc w:val="both"/>
      </w:pPr>
      <w:r>
        <w:rPr>
          <w:color w:val="231F20"/>
          <w:w w:val="110"/>
        </w:rPr>
        <w:t>Steve Radelet (2009: 1-8), otro representante del cgd, también expuso las propuestas del Centro en dicho comité del senado, en la misma ocasión que Lancaster. De hecho, la mayor parte de las pro- puestas</w:t>
      </w:r>
      <w:r>
        <w:rPr>
          <w:color w:val="231F20"/>
          <w:spacing w:val="-8"/>
          <w:w w:val="110"/>
        </w:rPr>
        <w:t> </w:t>
      </w:r>
      <w:r>
        <w:rPr>
          <w:color w:val="231F20"/>
          <w:w w:val="110"/>
        </w:rPr>
        <w:t>presentadas</w:t>
      </w:r>
      <w:r>
        <w:rPr>
          <w:color w:val="231F20"/>
          <w:spacing w:val="-8"/>
          <w:w w:val="110"/>
        </w:rPr>
        <w:t> </w:t>
      </w:r>
      <w:r>
        <w:rPr>
          <w:color w:val="231F20"/>
          <w:w w:val="110"/>
        </w:rPr>
        <w:t>tanto</w:t>
      </w:r>
      <w:r>
        <w:rPr>
          <w:color w:val="231F20"/>
          <w:spacing w:val="-8"/>
          <w:w w:val="110"/>
        </w:rPr>
        <w:t> </w:t>
      </w:r>
      <w:r>
        <w:rPr>
          <w:color w:val="231F20"/>
          <w:w w:val="110"/>
        </w:rPr>
        <w:t>por</w:t>
      </w:r>
      <w:r>
        <w:rPr>
          <w:color w:val="231F20"/>
          <w:spacing w:val="-8"/>
          <w:w w:val="110"/>
        </w:rPr>
        <w:t> </w:t>
      </w:r>
      <w:r>
        <w:rPr>
          <w:color w:val="231F20"/>
          <w:w w:val="110"/>
        </w:rPr>
        <w:t>él</w:t>
      </w:r>
      <w:r>
        <w:rPr>
          <w:color w:val="231F20"/>
          <w:spacing w:val="-8"/>
          <w:w w:val="110"/>
        </w:rPr>
        <w:t> </w:t>
      </w:r>
      <w:r>
        <w:rPr>
          <w:color w:val="231F20"/>
          <w:w w:val="110"/>
        </w:rPr>
        <w:t>como</w:t>
      </w:r>
      <w:r>
        <w:rPr>
          <w:color w:val="231F20"/>
          <w:spacing w:val="-8"/>
          <w:w w:val="110"/>
        </w:rPr>
        <w:t> </w:t>
      </w:r>
      <w:r>
        <w:rPr>
          <w:color w:val="231F20"/>
          <w:w w:val="110"/>
        </w:rPr>
        <w:t>por</w:t>
      </w:r>
      <w:r>
        <w:rPr>
          <w:color w:val="231F20"/>
          <w:spacing w:val="-8"/>
          <w:w w:val="110"/>
        </w:rPr>
        <w:t> </w:t>
      </w:r>
      <w:r>
        <w:rPr>
          <w:color w:val="231F20"/>
          <w:w w:val="110"/>
        </w:rPr>
        <w:t>sus</w:t>
      </w:r>
      <w:r>
        <w:rPr>
          <w:color w:val="231F20"/>
          <w:spacing w:val="-8"/>
          <w:w w:val="110"/>
        </w:rPr>
        <w:t> </w:t>
      </w:r>
      <w:r>
        <w:rPr>
          <w:color w:val="231F20"/>
          <w:w w:val="110"/>
        </w:rPr>
        <w:t>colegas,</w:t>
      </w:r>
      <w:r>
        <w:rPr>
          <w:color w:val="231F20"/>
          <w:spacing w:val="-8"/>
          <w:w w:val="110"/>
        </w:rPr>
        <w:t> </w:t>
      </w:r>
      <w:r>
        <w:rPr>
          <w:color w:val="231F20"/>
          <w:w w:val="110"/>
        </w:rPr>
        <w:t>se</w:t>
      </w:r>
      <w:r>
        <w:rPr>
          <w:color w:val="231F20"/>
          <w:spacing w:val="-8"/>
          <w:w w:val="110"/>
        </w:rPr>
        <w:t> </w:t>
      </w:r>
      <w:r>
        <w:rPr>
          <w:color w:val="231F20"/>
          <w:w w:val="110"/>
        </w:rPr>
        <w:t>desprenden de un ensayo realizado por Radelet en el cual se plantean los prin- cipales puntos que debería tener en cuenta el nuevo presidente en materia</w:t>
      </w:r>
      <w:r>
        <w:rPr>
          <w:color w:val="231F20"/>
          <w:spacing w:val="-21"/>
          <w:w w:val="110"/>
        </w:rPr>
        <w:t> </w:t>
      </w:r>
      <w:r>
        <w:rPr>
          <w:color w:val="231F20"/>
          <w:w w:val="110"/>
        </w:rPr>
        <w:t>de</w:t>
      </w:r>
      <w:r>
        <w:rPr>
          <w:color w:val="231F20"/>
          <w:spacing w:val="-21"/>
          <w:w w:val="110"/>
        </w:rPr>
        <w:t> </w:t>
      </w:r>
      <w:r>
        <w:rPr>
          <w:color w:val="231F20"/>
          <w:w w:val="110"/>
        </w:rPr>
        <w:t>política</w:t>
      </w:r>
      <w:r>
        <w:rPr>
          <w:color w:val="231F20"/>
          <w:spacing w:val="-21"/>
          <w:w w:val="110"/>
        </w:rPr>
        <w:t> </w:t>
      </w:r>
      <w:r>
        <w:rPr>
          <w:color w:val="231F20"/>
          <w:w w:val="110"/>
        </w:rPr>
        <w:t>exterior</w:t>
      </w:r>
      <w:r>
        <w:rPr>
          <w:color w:val="231F20"/>
          <w:spacing w:val="-21"/>
          <w:w w:val="110"/>
        </w:rPr>
        <w:t> </w:t>
      </w:r>
      <w:r>
        <w:rPr>
          <w:color w:val="231F20"/>
          <w:w w:val="110"/>
        </w:rPr>
        <w:t>y</w:t>
      </w:r>
      <w:r>
        <w:rPr>
          <w:color w:val="231F20"/>
          <w:spacing w:val="-21"/>
          <w:w w:val="110"/>
        </w:rPr>
        <w:t> </w:t>
      </w:r>
      <w:r>
        <w:rPr>
          <w:color w:val="231F20"/>
          <w:w w:val="110"/>
        </w:rPr>
        <w:t>asistencia.</w:t>
      </w:r>
      <w:r>
        <w:rPr>
          <w:color w:val="231F20"/>
          <w:w w:val="110"/>
          <w:position w:val="6"/>
          <w:sz w:val="13"/>
        </w:rPr>
        <w:t>16</w:t>
      </w:r>
      <w:r>
        <w:rPr>
          <w:color w:val="231F20"/>
          <w:spacing w:val="-1"/>
          <w:w w:val="110"/>
          <w:position w:val="6"/>
          <w:sz w:val="13"/>
        </w:rPr>
        <w:t> </w:t>
      </w:r>
      <w:r>
        <w:rPr>
          <w:color w:val="231F20"/>
          <w:w w:val="110"/>
        </w:rPr>
        <w:t>Algunos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aspectos</w:t>
      </w:r>
      <w:r>
        <w:rPr>
          <w:color w:val="231F20"/>
          <w:spacing w:val="-21"/>
          <w:w w:val="110"/>
        </w:rPr>
        <w:t> </w:t>
      </w:r>
      <w:r>
        <w:rPr>
          <w:color w:val="231F20"/>
          <w:w w:val="110"/>
        </w:rPr>
        <w:t>que se destacan en lo que plantea Radelet se vinculan con lo sostenido por otros organismos gubernamentales y no gubernamentales, tales como la idea de que la pobreza conlleva a la inestabilidad y que por ello deviene en una amenaza para la seguridad nacional de Estados Unidos.</w:t>
      </w:r>
      <w:r>
        <w:rPr>
          <w:color w:val="231F20"/>
          <w:spacing w:val="-13"/>
          <w:w w:val="110"/>
        </w:rPr>
        <w:t> </w:t>
      </w:r>
      <w:r>
        <w:rPr>
          <w:color w:val="231F20"/>
          <w:w w:val="110"/>
        </w:rPr>
        <w:t>Asimismo,</w:t>
      </w:r>
      <w:r>
        <w:rPr>
          <w:color w:val="231F20"/>
          <w:spacing w:val="-13"/>
          <w:w w:val="110"/>
        </w:rPr>
        <w:t> </w:t>
      </w:r>
      <w:r>
        <w:rPr>
          <w:color w:val="231F20"/>
          <w:w w:val="110"/>
        </w:rPr>
        <w:t>retoma</w:t>
      </w:r>
      <w:r>
        <w:rPr>
          <w:color w:val="231F20"/>
          <w:spacing w:val="-13"/>
          <w:w w:val="110"/>
        </w:rPr>
        <w:t> </w:t>
      </w:r>
      <w:r>
        <w:rPr>
          <w:color w:val="231F20"/>
          <w:w w:val="110"/>
        </w:rPr>
        <w:t>el</w:t>
      </w:r>
      <w:r>
        <w:rPr>
          <w:color w:val="231F20"/>
          <w:spacing w:val="-13"/>
          <w:w w:val="110"/>
        </w:rPr>
        <w:t> </w:t>
      </w:r>
      <w:r>
        <w:rPr>
          <w:color w:val="231F20"/>
          <w:w w:val="110"/>
        </w:rPr>
        <w:t>paradigma</w:t>
      </w:r>
      <w:r>
        <w:rPr>
          <w:color w:val="231F20"/>
          <w:spacing w:val="-13"/>
          <w:w w:val="110"/>
        </w:rPr>
        <w:t> </w:t>
      </w:r>
      <w:r>
        <w:rPr>
          <w:color w:val="231F20"/>
          <w:w w:val="110"/>
        </w:rPr>
        <w:t>de</w:t>
      </w:r>
      <w:r>
        <w:rPr>
          <w:color w:val="231F20"/>
          <w:spacing w:val="-13"/>
          <w:w w:val="110"/>
        </w:rPr>
        <w:t> </w:t>
      </w:r>
      <w:r>
        <w:rPr>
          <w:color w:val="231F20"/>
          <w:w w:val="110"/>
        </w:rPr>
        <w:t>política</w:t>
      </w:r>
      <w:r>
        <w:rPr>
          <w:color w:val="231F20"/>
          <w:spacing w:val="-13"/>
          <w:w w:val="110"/>
        </w:rPr>
        <w:t> </w:t>
      </w:r>
      <w:r>
        <w:rPr>
          <w:color w:val="231F20"/>
          <w:w w:val="110"/>
        </w:rPr>
        <w:t>exterior</w:t>
      </w:r>
      <w:r>
        <w:rPr>
          <w:color w:val="231F20"/>
          <w:spacing w:val="-13"/>
          <w:w w:val="110"/>
        </w:rPr>
        <w:t> </w:t>
      </w:r>
      <w:r>
        <w:rPr>
          <w:color w:val="231F20"/>
          <w:w w:val="110"/>
        </w:rPr>
        <w:t>centrado en las “tres D”, que según Radelet, es la base para utilizar las herra- mientas</w:t>
      </w:r>
      <w:r>
        <w:rPr>
          <w:color w:val="231F20"/>
          <w:spacing w:val="-18"/>
          <w:w w:val="110"/>
        </w:rPr>
        <w:t> </w:t>
      </w:r>
      <w:r>
        <w:rPr>
          <w:color w:val="231F20"/>
          <w:w w:val="110"/>
        </w:rPr>
        <w:t>clave</w:t>
      </w:r>
      <w:r>
        <w:rPr>
          <w:color w:val="231F20"/>
          <w:spacing w:val="-18"/>
          <w:w w:val="110"/>
        </w:rPr>
        <w:t> </w:t>
      </w:r>
      <w:r>
        <w:rPr>
          <w:color w:val="231F20"/>
          <w:w w:val="110"/>
        </w:rPr>
        <w:t>del</w:t>
      </w:r>
      <w:r>
        <w:rPr>
          <w:color w:val="231F20"/>
          <w:spacing w:val="-18"/>
          <w:w w:val="110"/>
        </w:rPr>
        <w:t> </w:t>
      </w:r>
      <w:r>
        <w:rPr>
          <w:i/>
          <w:color w:val="231F20"/>
          <w:w w:val="110"/>
        </w:rPr>
        <w:t>smart</w:t>
      </w:r>
      <w:r>
        <w:rPr>
          <w:i/>
          <w:color w:val="231F20"/>
          <w:spacing w:val="-18"/>
          <w:w w:val="110"/>
        </w:rPr>
        <w:t> </w:t>
      </w:r>
      <w:r>
        <w:rPr>
          <w:i/>
          <w:color w:val="231F20"/>
          <w:w w:val="110"/>
        </w:rPr>
        <w:t>power</w:t>
      </w:r>
      <w:r>
        <w:rPr>
          <w:color w:val="231F20"/>
          <w:w w:val="110"/>
        </w:rPr>
        <w:t>.</w:t>
      </w:r>
      <w:r>
        <w:rPr>
          <w:color w:val="231F20"/>
          <w:w w:val="110"/>
          <w:position w:val="6"/>
          <w:sz w:val="13"/>
        </w:rPr>
        <w:t>17</w:t>
      </w:r>
      <w:r>
        <w:rPr>
          <w:color w:val="231F20"/>
          <w:spacing w:val="1"/>
          <w:w w:val="110"/>
          <w:position w:val="6"/>
          <w:sz w:val="13"/>
        </w:rPr>
        <w:t> </w:t>
      </w:r>
      <w:r>
        <w:rPr>
          <w:color w:val="231F20"/>
          <w:w w:val="110"/>
        </w:rPr>
        <w:t>Pero</w:t>
      </w:r>
      <w:r>
        <w:rPr>
          <w:color w:val="231F20"/>
          <w:spacing w:val="-18"/>
          <w:w w:val="110"/>
        </w:rPr>
        <w:t> </w:t>
      </w:r>
      <w:r>
        <w:rPr>
          <w:color w:val="231F20"/>
          <w:w w:val="110"/>
        </w:rPr>
        <w:t>los</w:t>
      </w:r>
      <w:r>
        <w:rPr>
          <w:color w:val="231F20"/>
          <w:spacing w:val="-18"/>
          <w:w w:val="110"/>
        </w:rPr>
        <w:t> </w:t>
      </w:r>
      <w:r>
        <w:rPr>
          <w:color w:val="231F20"/>
          <w:w w:val="110"/>
        </w:rPr>
        <w:t>pasos</w:t>
      </w:r>
      <w:r>
        <w:rPr>
          <w:color w:val="231F20"/>
          <w:spacing w:val="-18"/>
          <w:w w:val="110"/>
        </w:rPr>
        <w:t> </w:t>
      </w:r>
      <w:r>
        <w:rPr>
          <w:color w:val="231F20"/>
          <w:w w:val="110"/>
        </w:rPr>
        <w:t>clave</w:t>
      </w:r>
      <w:r>
        <w:rPr>
          <w:color w:val="231F20"/>
          <w:spacing w:val="-18"/>
          <w:w w:val="110"/>
        </w:rPr>
        <w:t> </w:t>
      </w:r>
      <w:r>
        <w:rPr>
          <w:color w:val="231F20"/>
          <w:w w:val="110"/>
        </w:rPr>
        <w:t>deben</w:t>
      </w:r>
      <w:r>
        <w:rPr>
          <w:color w:val="231F20"/>
          <w:spacing w:val="-18"/>
          <w:w w:val="110"/>
        </w:rPr>
        <w:t> </w:t>
      </w:r>
      <w:r>
        <w:rPr>
          <w:color w:val="231F20"/>
          <w:w w:val="110"/>
        </w:rPr>
        <w:t>darse</w:t>
      </w:r>
      <w:r>
        <w:rPr>
          <w:color w:val="231F20"/>
          <w:spacing w:val="-18"/>
          <w:w w:val="110"/>
        </w:rPr>
        <w:t> </w:t>
      </w:r>
      <w:r>
        <w:rPr>
          <w:color w:val="231F20"/>
          <w:w w:val="110"/>
        </w:rPr>
        <w:t>con respecto a la política de defensa (lograr que la política de asistencia se articule con la Estrategia de Seguridad Nacional) y en lo relativo a la relación entre la usaid y el Departamento de Estado, a fin de consolidar a la usaid como entidad organizadora y promotora por excelencia de los planes de asistencia. Inclusive, Radelet propone que se cambie de nombre a la usaid por una nominación que defi-  na de modo más claro los objetivos de este organismo, como el de “Developement Investment Agency” (Agencia de Inversión para el Desarrollo), “de modo de enfatizar nuestra inversión en el proceso de</w:t>
      </w:r>
      <w:r>
        <w:rPr>
          <w:color w:val="231F20"/>
          <w:spacing w:val="-23"/>
          <w:w w:val="110"/>
        </w:rPr>
        <w:t> </w:t>
      </w:r>
      <w:r>
        <w:rPr>
          <w:color w:val="231F20"/>
          <w:w w:val="110"/>
        </w:rPr>
        <w:t>desarrollo”</w:t>
      </w:r>
      <w:r>
        <w:rPr>
          <w:color w:val="231F20"/>
          <w:spacing w:val="-23"/>
          <w:w w:val="110"/>
        </w:rPr>
        <w:t> </w:t>
      </w:r>
      <w:r>
        <w:rPr>
          <w:color w:val="231F20"/>
          <w:w w:val="110"/>
        </w:rPr>
        <w:t>(Radelet,</w:t>
      </w:r>
      <w:r>
        <w:rPr>
          <w:color w:val="231F20"/>
          <w:spacing w:val="-23"/>
          <w:w w:val="110"/>
        </w:rPr>
        <w:t> </w:t>
      </w:r>
      <w:r>
        <w:rPr>
          <w:color w:val="231F20"/>
          <w:w w:val="110"/>
        </w:rPr>
        <w:t>2009:</w:t>
      </w:r>
      <w:r>
        <w:rPr>
          <w:color w:val="231F20"/>
          <w:spacing w:val="-23"/>
          <w:w w:val="110"/>
        </w:rPr>
        <w:t> </w:t>
      </w:r>
      <w:r>
        <w:rPr>
          <w:color w:val="231F20"/>
          <w:w w:val="110"/>
        </w:rPr>
        <w:t>7).</w:t>
      </w:r>
      <w:r>
        <w:rPr>
          <w:color w:val="231F20"/>
          <w:spacing w:val="-23"/>
          <w:w w:val="110"/>
        </w:rPr>
        <w:t> </w:t>
      </w:r>
      <w:r>
        <w:rPr>
          <w:color w:val="231F20"/>
          <w:w w:val="110"/>
        </w:rPr>
        <w:t>Coincidimos</w:t>
      </w:r>
      <w:r>
        <w:rPr>
          <w:color w:val="231F20"/>
          <w:spacing w:val="-23"/>
          <w:w w:val="110"/>
        </w:rPr>
        <w:t> </w:t>
      </w:r>
      <w:r>
        <w:rPr>
          <w:color w:val="231F20"/>
          <w:w w:val="110"/>
        </w:rPr>
        <w:t>con</w:t>
      </w:r>
      <w:r>
        <w:rPr>
          <w:color w:val="231F20"/>
          <w:spacing w:val="-23"/>
          <w:w w:val="110"/>
        </w:rPr>
        <w:t> </w:t>
      </w:r>
      <w:r>
        <w:rPr>
          <w:color w:val="231F20"/>
          <w:w w:val="110"/>
        </w:rPr>
        <w:t>que</w:t>
      </w:r>
      <w:r>
        <w:rPr>
          <w:color w:val="231F20"/>
          <w:spacing w:val="-23"/>
          <w:w w:val="110"/>
        </w:rPr>
        <w:t> </w:t>
      </w:r>
      <w:r>
        <w:rPr>
          <w:color w:val="231F20"/>
          <w:w w:val="110"/>
        </w:rPr>
        <w:t>este</w:t>
      </w:r>
      <w:r>
        <w:rPr>
          <w:color w:val="231F20"/>
          <w:spacing w:val="-23"/>
          <w:w w:val="110"/>
        </w:rPr>
        <w:t> </w:t>
      </w:r>
      <w:r>
        <w:rPr>
          <w:color w:val="231F20"/>
          <w:w w:val="110"/>
        </w:rPr>
        <w:t>cambio</w:t>
      </w:r>
      <w:r>
        <w:rPr>
          <w:color w:val="231F20"/>
          <w:spacing w:val="-23"/>
          <w:w w:val="110"/>
        </w:rPr>
        <w:t> </w:t>
      </w:r>
      <w:r>
        <w:rPr>
          <w:color w:val="231F20"/>
          <w:w w:val="110"/>
        </w:rPr>
        <w:t>de nombre, ciertamente, se adecua en mayor medida a los objetivos </w:t>
      </w:r>
      <w:r>
        <w:rPr>
          <w:color w:val="231F20"/>
          <w:spacing w:val="-2"/>
          <w:w w:val="110"/>
        </w:rPr>
        <w:t>del </w:t>
      </w:r>
      <w:r>
        <w:rPr>
          <w:color w:val="231F20"/>
          <w:w w:val="110"/>
        </w:rPr>
        <w:t>“desarrollo”, siendo la rentabilidad una de las metas fundamentales, tanto para los organismos privados como para el mismo </w:t>
      </w:r>
      <w:r>
        <w:rPr>
          <w:color w:val="231F20"/>
          <w:spacing w:val="1"/>
          <w:w w:val="110"/>
        </w:rPr>
        <w:t> </w:t>
      </w:r>
      <w:r>
        <w:rPr>
          <w:color w:val="231F20"/>
          <w:w w:val="110"/>
        </w:rPr>
        <w:t>gobierno.</w:t>
      </w:r>
    </w:p>
    <w:p>
      <w:pPr>
        <w:pStyle w:val="BodyText"/>
      </w:pPr>
    </w:p>
    <w:p>
      <w:pPr>
        <w:spacing w:line="261" w:lineRule="auto" w:before="152"/>
        <w:ind w:left="100" w:right="119" w:firstLine="240"/>
        <w:jc w:val="both"/>
        <w:rPr>
          <w:sz w:val="16"/>
        </w:rPr>
      </w:pPr>
      <w:r>
        <w:rPr>
          <w:color w:val="231F20"/>
          <w:w w:val="105"/>
          <w:position w:val="5"/>
          <w:sz w:val="10"/>
        </w:rPr>
        <w:t>16 </w:t>
      </w:r>
      <w:r>
        <w:rPr>
          <w:color w:val="231F20"/>
          <w:w w:val="105"/>
          <w:sz w:val="16"/>
        </w:rPr>
        <w:t>Véase Steven Radelet, 2008, “Modernizing Foreign Assistance for the 21st Cen- tury: An Agenda for the Next U.S.    President”,</w:t>
      </w:r>
    </w:p>
    <w:p>
      <w:pPr>
        <w:spacing w:before="0"/>
        <w:ind w:left="340" w:right="25" w:firstLine="0"/>
        <w:jc w:val="left"/>
        <w:rPr>
          <w:sz w:val="16"/>
        </w:rPr>
      </w:pPr>
      <w:r>
        <w:rPr>
          <w:color w:val="231F20"/>
          <w:position w:val="5"/>
          <w:sz w:val="10"/>
        </w:rPr>
        <w:t>17    </w:t>
      </w:r>
      <w:r>
        <w:rPr>
          <w:color w:val="231F20"/>
          <w:sz w:val="16"/>
        </w:rPr>
        <w:t>Véase Armitage y Nye,   2008.</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before="67"/>
        <w:ind w:left="100"/>
        <w:jc w:val="both"/>
      </w:pPr>
      <w:r>
        <w:rPr>
          <w:color w:val="231F20"/>
          <w:w w:val="125"/>
        </w:rPr>
        <w:t>apreciaciones finales</w:t>
      </w:r>
    </w:p>
    <w:p>
      <w:pPr>
        <w:pStyle w:val="BodyText"/>
        <w:spacing w:before="5"/>
        <w:rPr>
          <w:sz w:val="23"/>
        </w:rPr>
      </w:pPr>
    </w:p>
    <w:p>
      <w:pPr>
        <w:pStyle w:val="BodyText"/>
        <w:spacing w:line="261" w:lineRule="auto"/>
        <w:ind w:left="100" w:right="117"/>
        <w:jc w:val="both"/>
      </w:pPr>
      <w:r>
        <w:rPr>
          <w:color w:val="231F20"/>
          <w:w w:val="105"/>
        </w:rPr>
        <w:t>En la gestión Obama, tanto el gobierno como los grupos influyentes  del sector privado perciben al “desarrollo” vinculado a la </w:t>
      </w:r>
      <w:r>
        <w:rPr>
          <w:color w:val="231F20"/>
          <w:spacing w:val="2"/>
          <w:w w:val="105"/>
        </w:rPr>
        <w:t>renta- </w:t>
      </w:r>
      <w:r>
        <w:rPr>
          <w:color w:val="231F20"/>
          <w:w w:val="105"/>
        </w:rPr>
        <w:t>bilidad, las ventajas comparativas y la liberalización o el acceso al mercado. La pobreza es entendida como la “imposibilidad” de “par- ticipar” del mercado global y la asistencia es concebida como uno      de los “grandes negocios” de la actualidad. No es extraña entonces,     la ausencia  de  contradicciones  entre  esta  percepción  de  desarrollo  y una definición de democracia que intenta “incluir” a la sociedad   civil desde los parámetros planteados por los organismos no guber- namentales, fundaciones privadas y donaciones de “megafilántropos”   o grandes empresas vinculadas al gobierno de Estados Unidos y a las instituciones financieras internacionales, que entienden a la “asisten- cia” como una actividad rentable. Pero cualquier mercado, y también  el de la asistencia, es capaz de asegurar “rentabilidad” sólo si existe  una cierta estabilidad que garantice obtener ganancias (de ahí la importancia de una estabilidad macroeconómica del país anfitrión).    La necesidad de “estabilizar” las sociedades de América Latina, ya había sido estipulada en la faa, en la Alianza para el Progreso y en     los planes de asistencia de la usaid que incluían la asistencia </w:t>
      </w:r>
      <w:r>
        <w:rPr>
          <w:color w:val="231F20"/>
          <w:spacing w:val="-3"/>
          <w:w w:val="105"/>
        </w:rPr>
        <w:t>militar,     </w:t>
      </w:r>
      <w:r>
        <w:rPr>
          <w:color w:val="231F20"/>
          <w:w w:val="105"/>
        </w:rPr>
        <w:t>a través de los cuales se logró “estabilizar” a las sociedades y “eliminar la</w:t>
      </w:r>
      <w:r>
        <w:rPr>
          <w:color w:val="231F20"/>
          <w:spacing w:val="13"/>
          <w:w w:val="105"/>
        </w:rPr>
        <w:t> </w:t>
      </w:r>
      <w:r>
        <w:rPr>
          <w:color w:val="231F20"/>
          <w:w w:val="105"/>
        </w:rPr>
        <w:t>subversión”.</w:t>
      </w:r>
    </w:p>
    <w:p>
      <w:pPr>
        <w:pStyle w:val="BodyText"/>
        <w:spacing w:line="261" w:lineRule="auto"/>
        <w:ind w:left="100" w:right="117" w:firstLine="240"/>
        <w:jc w:val="both"/>
      </w:pPr>
      <w:r>
        <w:rPr>
          <w:color w:val="231F20"/>
          <w:w w:val="110"/>
        </w:rPr>
        <w:t>A diferencia del gobierno de George </w:t>
      </w:r>
      <w:r>
        <w:rPr>
          <w:color w:val="231F20"/>
          <w:spacing w:val="-6"/>
          <w:w w:val="110"/>
        </w:rPr>
        <w:t>W. </w:t>
      </w:r>
      <w:r>
        <w:rPr>
          <w:color w:val="231F20"/>
          <w:w w:val="110"/>
        </w:rPr>
        <w:t>Bush, la administración Obama otorga un papel protagónico a la asistencia para el</w:t>
      </w:r>
      <w:r>
        <w:rPr>
          <w:color w:val="231F20"/>
          <w:spacing w:val="-26"/>
          <w:w w:val="110"/>
        </w:rPr>
        <w:t> </w:t>
      </w:r>
      <w:r>
        <w:rPr>
          <w:color w:val="231F20"/>
          <w:w w:val="110"/>
        </w:rPr>
        <w:t>desarrollo en</w:t>
      </w:r>
      <w:r>
        <w:rPr>
          <w:color w:val="231F20"/>
          <w:spacing w:val="-16"/>
          <w:w w:val="110"/>
        </w:rPr>
        <w:t> </w:t>
      </w:r>
      <w:r>
        <w:rPr>
          <w:color w:val="231F20"/>
          <w:w w:val="110"/>
        </w:rPr>
        <w:t>la</w:t>
      </w:r>
      <w:r>
        <w:rPr>
          <w:color w:val="231F20"/>
          <w:spacing w:val="-16"/>
          <w:w w:val="110"/>
        </w:rPr>
        <w:t> </w:t>
      </w:r>
      <w:r>
        <w:rPr>
          <w:color w:val="231F20"/>
          <w:w w:val="110"/>
        </w:rPr>
        <w:t>política</w:t>
      </w:r>
      <w:r>
        <w:rPr>
          <w:color w:val="231F20"/>
          <w:spacing w:val="-16"/>
          <w:w w:val="110"/>
        </w:rPr>
        <w:t> </w:t>
      </w:r>
      <w:r>
        <w:rPr>
          <w:color w:val="231F20"/>
          <w:w w:val="110"/>
        </w:rPr>
        <w:t>exterior,</w:t>
      </w:r>
      <w:r>
        <w:rPr>
          <w:color w:val="231F20"/>
          <w:spacing w:val="-16"/>
          <w:w w:val="110"/>
        </w:rPr>
        <w:t> </w:t>
      </w:r>
      <w:r>
        <w:rPr>
          <w:color w:val="231F20"/>
          <w:w w:val="110"/>
        </w:rPr>
        <w:t>como</w:t>
      </w:r>
      <w:r>
        <w:rPr>
          <w:color w:val="231F20"/>
          <w:spacing w:val="-16"/>
          <w:w w:val="110"/>
        </w:rPr>
        <w:t> </w:t>
      </w:r>
      <w:r>
        <w:rPr>
          <w:color w:val="231F20"/>
          <w:w w:val="110"/>
        </w:rPr>
        <w:t>estrategia</w:t>
      </w:r>
      <w:r>
        <w:rPr>
          <w:color w:val="231F20"/>
          <w:spacing w:val="-16"/>
          <w:w w:val="110"/>
        </w:rPr>
        <w:t> </w:t>
      </w:r>
      <w:r>
        <w:rPr>
          <w:color w:val="231F20"/>
          <w:w w:val="110"/>
        </w:rPr>
        <w:t>para</w:t>
      </w:r>
      <w:r>
        <w:rPr>
          <w:color w:val="231F20"/>
          <w:spacing w:val="-16"/>
          <w:w w:val="110"/>
        </w:rPr>
        <w:t> </w:t>
      </w:r>
      <w:r>
        <w:rPr>
          <w:color w:val="231F20"/>
          <w:w w:val="110"/>
        </w:rPr>
        <w:t>promover</w:t>
      </w:r>
      <w:r>
        <w:rPr>
          <w:color w:val="231F20"/>
          <w:spacing w:val="-16"/>
          <w:w w:val="110"/>
        </w:rPr>
        <w:t> </w:t>
      </w:r>
      <w:r>
        <w:rPr>
          <w:color w:val="231F20"/>
          <w:w w:val="110"/>
        </w:rPr>
        <w:t>la</w:t>
      </w:r>
      <w:r>
        <w:rPr>
          <w:color w:val="231F20"/>
          <w:spacing w:val="-16"/>
          <w:w w:val="110"/>
        </w:rPr>
        <w:t> </w:t>
      </w:r>
      <w:r>
        <w:rPr>
          <w:color w:val="231F20"/>
          <w:w w:val="110"/>
        </w:rPr>
        <w:t>“estabilidad” en áreas conflictivas (en la periferia) lo cual garantizaría (según la visión de funcionarios y de los think-tanks) la seguridad nacional de Estados Unidos. La actualización de la política de las “tres D” deja en claro que la asistencia para el desarrollo debe estar articulada a las estrategias de seguridad, en última instancia respaldadas por el poder militar (capaz de “promover” la estabilización por medio de la intervención</w:t>
      </w:r>
      <w:r>
        <w:rPr>
          <w:color w:val="231F20"/>
          <w:spacing w:val="38"/>
          <w:w w:val="110"/>
        </w:rPr>
        <w:t> </w:t>
      </w:r>
      <w:r>
        <w:rPr>
          <w:color w:val="231F20"/>
          <w:w w:val="110"/>
        </w:rPr>
        <w:t>directa).</w:t>
      </w:r>
    </w:p>
    <w:p>
      <w:pPr>
        <w:pStyle w:val="BodyText"/>
        <w:spacing w:line="261" w:lineRule="auto"/>
        <w:ind w:left="100" w:right="117" w:firstLine="240"/>
        <w:jc w:val="both"/>
      </w:pPr>
      <w:r>
        <w:rPr>
          <w:color w:val="231F20"/>
          <w:w w:val="105"/>
        </w:rPr>
        <w:t>De este modo, los discursos de democracia y desarrollo estrecha- mente vinculados a la seguridad, al cristalizar en lineamientos de política exterior, devienen en una de las estrategias más eficaces a  nivel político-ideológico para la naturalización y legitimación de la reproducción de las desigualdades en el marco del sistema capitalista,  y  con  ello,  para  la  perpetuación  de  las  relaciones </w:t>
      </w:r>
      <w:r>
        <w:rPr>
          <w:color w:val="231F20"/>
          <w:spacing w:val="38"/>
          <w:w w:val="105"/>
        </w:rPr>
        <w:t> </w:t>
      </w:r>
      <w:r>
        <w:rPr>
          <w:color w:val="231F20"/>
          <w:w w:val="105"/>
        </w:rPr>
        <w:t>centro-periferia.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pPr>
      <w:r>
        <w:rPr>
          <w:color w:val="231F20"/>
          <w:w w:val="110"/>
        </w:rPr>
        <w:t>Esto</w:t>
      </w:r>
      <w:r>
        <w:rPr>
          <w:color w:val="231F20"/>
          <w:spacing w:val="25"/>
          <w:w w:val="110"/>
        </w:rPr>
        <w:t> </w:t>
      </w:r>
      <w:r>
        <w:rPr>
          <w:color w:val="231F20"/>
          <w:w w:val="110"/>
        </w:rPr>
        <w:t>no</w:t>
      </w:r>
      <w:r>
        <w:rPr>
          <w:color w:val="231F20"/>
          <w:spacing w:val="25"/>
          <w:w w:val="110"/>
        </w:rPr>
        <w:t> </w:t>
      </w:r>
      <w:r>
        <w:rPr>
          <w:color w:val="231F20"/>
          <w:w w:val="110"/>
        </w:rPr>
        <w:t>depende</w:t>
      </w:r>
      <w:r>
        <w:rPr>
          <w:color w:val="231F20"/>
          <w:spacing w:val="25"/>
          <w:w w:val="110"/>
        </w:rPr>
        <w:t> </w:t>
      </w:r>
      <w:r>
        <w:rPr>
          <w:color w:val="231F20"/>
          <w:w w:val="110"/>
        </w:rPr>
        <w:t>de</w:t>
      </w:r>
      <w:r>
        <w:rPr>
          <w:color w:val="231F20"/>
          <w:spacing w:val="25"/>
          <w:w w:val="110"/>
        </w:rPr>
        <w:t> </w:t>
      </w:r>
      <w:r>
        <w:rPr>
          <w:color w:val="231F20"/>
          <w:w w:val="110"/>
        </w:rPr>
        <w:t>un</w:t>
      </w:r>
      <w:r>
        <w:rPr>
          <w:color w:val="231F20"/>
          <w:spacing w:val="25"/>
          <w:w w:val="110"/>
        </w:rPr>
        <w:t> </w:t>
      </w:r>
      <w:r>
        <w:rPr>
          <w:color w:val="231F20"/>
          <w:w w:val="110"/>
        </w:rPr>
        <w:t>presidente</w:t>
      </w:r>
      <w:r>
        <w:rPr>
          <w:color w:val="231F20"/>
          <w:spacing w:val="25"/>
          <w:w w:val="110"/>
        </w:rPr>
        <w:t> </w:t>
      </w:r>
      <w:r>
        <w:rPr>
          <w:color w:val="231F20"/>
          <w:w w:val="110"/>
        </w:rPr>
        <w:t>(Obama</w:t>
      </w:r>
      <w:r>
        <w:rPr>
          <w:color w:val="231F20"/>
          <w:spacing w:val="25"/>
          <w:w w:val="110"/>
        </w:rPr>
        <w:t> </w:t>
      </w:r>
      <w:r>
        <w:rPr>
          <w:color w:val="231F20"/>
          <w:w w:val="110"/>
        </w:rPr>
        <w:t>o</w:t>
      </w:r>
      <w:r>
        <w:rPr>
          <w:color w:val="231F20"/>
          <w:spacing w:val="25"/>
          <w:w w:val="110"/>
        </w:rPr>
        <w:t> </w:t>
      </w:r>
      <w:r>
        <w:rPr>
          <w:color w:val="231F20"/>
          <w:w w:val="110"/>
        </w:rPr>
        <w:t>Bush)</w:t>
      </w:r>
      <w:r>
        <w:rPr>
          <w:color w:val="231F20"/>
          <w:spacing w:val="25"/>
          <w:w w:val="110"/>
        </w:rPr>
        <w:t> </w:t>
      </w:r>
      <w:r>
        <w:rPr>
          <w:color w:val="231F20"/>
          <w:w w:val="110"/>
        </w:rPr>
        <w:t>sino</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red</w:t>
      </w:r>
      <w:r>
        <w:rPr>
          <w:color w:val="231F20"/>
          <w:w w:val="115"/>
        </w:rPr>
        <w:t> </w:t>
      </w:r>
      <w:r>
        <w:rPr>
          <w:color w:val="231F20"/>
          <w:w w:val="110"/>
        </w:rPr>
        <w:t>de poder que articula al sector público con el privado, garantizando la permanencia de una elite en el poder que es la que vela por la ex- pansión</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intereses</w:t>
      </w:r>
      <w:r>
        <w:rPr>
          <w:color w:val="231F20"/>
          <w:spacing w:val="-6"/>
          <w:w w:val="110"/>
        </w:rPr>
        <w:t> </w:t>
      </w:r>
      <w:r>
        <w:rPr>
          <w:color w:val="231F20"/>
          <w:w w:val="110"/>
        </w:rPr>
        <w:t>estadunidenses</w:t>
      </w:r>
      <w:r>
        <w:rPr>
          <w:color w:val="231F20"/>
          <w:spacing w:val="-6"/>
          <w:w w:val="110"/>
        </w:rPr>
        <w:t> </w:t>
      </w:r>
      <w:r>
        <w:rPr>
          <w:color w:val="231F20"/>
          <w:w w:val="110"/>
        </w:rPr>
        <w:t>nacionales</w:t>
      </w:r>
      <w:r>
        <w:rPr>
          <w:color w:val="231F20"/>
          <w:spacing w:val="-6"/>
          <w:w w:val="110"/>
        </w:rPr>
        <w:t> </w:t>
      </w:r>
      <w:r>
        <w:rPr>
          <w:color w:val="231F20"/>
          <w:w w:val="110"/>
        </w:rPr>
        <w:t>e</w:t>
      </w:r>
      <w:r>
        <w:rPr>
          <w:color w:val="231F20"/>
          <w:spacing w:val="-6"/>
          <w:w w:val="110"/>
        </w:rPr>
        <w:t> </w:t>
      </w:r>
      <w:r>
        <w:rPr>
          <w:color w:val="231F20"/>
          <w:w w:val="110"/>
        </w:rPr>
        <w:t>internacionales.</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9" w:hanging="240"/>
        <w:jc w:val="both"/>
        <w:rPr>
          <w:sz w:val="18"/>
        </w:rPr>
      </w:pPr>
      <w:r>
        <w:rPr>
          <w:color w:val="231F20"/>
          <w:w w:val="105"/>
          <w:sz w:val="18"/>
        </w:rPr>
        <w:t>Armitage, Richard y Joseph Nye, 2008, “Beyond Assistance: The Help Com- mission Report on Foreign Assistance Reform”, </w:t>
      </w:r>
      <w:r>
        <w:rPr>
          <w:i/>
          <w:color w:val="231F20"/>
          <w:w w:val="105"/>
          <w:sz w:val="18"/>
        </w:rPr>
        <w:t>Reporte de la Comisión </w:t>
      </w:r>
      <w:r>
        <w:rPr>
          <w:i/>
          <w:color w:val="231F20"/>
          <w:w w:val="105"/>
          <w:sz w:val="13"/>
        </w:rPr>
        <w:t>csis </w:t>
      </w:r>
      <w:r>
        <w:rPr>
          <w:color w:val="231F20"/>
          <w:w w:val="105"/>
          <w:sz w:val="18"/>
        </w:rPr>
        <w:t>(Center for Startegic International Studies) </w:t>
      </w:r>
      <w:r>
        <w:rPr>
          <w:i/>
          <w:color w:val="231F20"/>
          <w:w w:val="105"/>
          <w:sz w:val="18"/>
        </w:rPr>
        <w:t>en Poder  Inteligente</w:t>
      </w:r>
      <w:r>
        <w:rPr>
          <w:color w:val="231F20"/>
          <w:w w:val="105"/>
          <w:sz w:val="18"/>
        </w:rPr>
        <w:t>.</w:t>
      </w:r>
    </w:p>
    <w:p>
      <w:pPr>
        <w:spacing w:line="254" w:lineRule="auto" w:before="1"/>
        <w:ind w:left="340" w:right="118" w:hanging="240"/>
        <w:jc w:val="both"/>
        <w:rPr>
          <w:sz w:val="18"/>
        </w:rPr>
      </w:pPr>
      <w:r>
        <w:rPr>
          <w:color w:val="231F20"/>
          <w:sz w:val="18"/>
        </w:rPr>
        <w:t>Barnet, Richard, 1974, </w:t>
      </w:r>
      <w:r>
        <w:rPr>
          <w:i/>
          <w:color w:val="231F20"/>
          <w:sz w:val="18"/>
        </w:rPr>
        <w:t>Guerra perpetua. Los hombres y las instituciones detrás de </w:t>
      </w:r>
      <w:r>
        <w:rPr>
          <w:i/>
          <w:color w:val="231F20"/>
          <w:sz w:val="18"/>
        </w:rPr>
        <w:t>la política exterior estadunidense</w:t>
      </w:r>
      <w:r>
        <w:rPr>
          <w:color w:val="231F20"/>
          <w:sz w:val="18"/>
        </w:rPr>
        <w:t>, México, fce.</w:t>
      </w:r>
    </w:p>
    <w:p>
      <w:pPr>
        <w:spacing w:before="1"/>
        <w:ind w:left="100" w:right="25" w:firstLine="0"/>
        <w:jc w:val="left"/>
        <w:rPr>
          <w:sz w:val="18"/>
        </w:rPr>
      </w:pPr>
      <w:r>
        <w:rPr>
          <w:color w:val="231F20"/>
          <w:w w:val="105"/>
          <w:sz w:val="18"/>
        </w:rPr>
        <w:t>Borón, Atilio, 2007, “El terrorismo como política de Estado” en </w:t>
      </w:r>
      <w:r>
        <w:rPr>
          <w:i/>
          <w:color w:val="231F20"/>
          <w:w w:val="105"/>
          <w:sz w:val="18"/>
        </w:rPr>
        <w:t>Rebelión </w:t>
      </w:r>
      <w:r>
        <w:rPr>
          <w:color w:val="231F20"/>
          <w:w w:val="105"/>
          <w:sz w:val="18"/>
        </w:rPr>
        <w:t>en</w:t>
      </w:r>
    </w:p>
    <w:p>
      <w:pPr>
        <w:spacing w:before="13"/>
        <w:ind w:left="340" w:right="25" w:firstLine="0"/>
        <w:jc w:val="left"/>
        <w:rPr>
          <w:sz w:val="18"/>
        </w:rPr>
      </w:pPr>
      <w:hyperlink r:id="rId318">
        <w:r>
          <w:rPr>
            <w:color w:val="231F20"/>
            <w:w w:val="110"/>
            <w:sz w:val="18"/>
          </w:rPr>
          <w:t>&lt;www.rebelion.org/noticia.php?id=60301&gt;.</w:t>
        </w:r>
      </w:hyperlink>
    </w:p>
    <w:p>
      <w:pPr>
        <w:spacing w:line="254" w:lineRule="auto" w:before="13"/>
        <w:ind w:left="340" w:right="25" w:hanging="240"/>
        <w:jc w:val="left"/>
        <w:rPr>
          <w:sz w:val="18"/>
        </w:rPr>
      </w:pPr>
      <w:r>
        <w:rPr>
          <w:color w:val="231F20"/>
          <w:w w:val="105"/>
          <w:sz w:val="18"/>
        </w:rPr>
        <w:t>Calloni, Stella, 2007, “Terrorismo del Estado Imperial en el Siglo xxi” en </w:t>
      </w:r>
      <w:r>
        <w:rPr>
          <w:i/>
          <w:color w:val="231F20"/>
          <w:w w:val="105"/>
          <w:sz w:val="18"/>
        </w:rPr>
        <w:t>Terrorismo made in USA en las Américas </w:t>
      </w:r>
      <w:r>
        <w:rPr>
          <w:color w:val="231F20"/>
          <w:w w:val="105"/>
          <w:sz w:val="18"/>
        </w:rPr>
        <w:t>en </w:t>
      </w:r>
      <w:hyperlink r:id="rId319">
        <w:r>
          <w:rPr>
            <w:color w:val="231F20"/>
            <w:w w:val="105"/>
            <w:sz w:val="18"/>
          </w:rPr>
          <w:t>&lt;www.terrorfileonline.org/</w:t>
        </w:r>
      </w:hyperlink>
      <w:r>
        <w:rPr>
          <w:color w:val="231F20"/>
          <w:w w:val="105"/>
          <w:sz w:val="18"/>
        </w:rPr>
        <w:t> es/index.php/Stella_Calloni._Terrorismo_de_Estado_imperial_en_el_si- glo_xxi&gt;.</w:t>
      </w:r>
    </w:p>
    <w:p>
      <w:pPr>
        <w:spacing w:line="254" w:lineRule="auto" w:before="1"/>
        <w:ind w:left="340" w:right="117" w:hanging="240"/>
        <w:jc w:val="both"/>
        <w:rPr>
          <w:sz w:val="18"/>
        </w:rPr>
      </w:pPr>
      <w:r>
        <w:rPr>
          <w:color w:val="231F20"/>
          <w:sz w:val="18"/>
        </w:rPr>
        <w:t>Caputo, Orlando y Roberto Pizarro, 1975, </w:t>
      </w:r>
      <w:r>
        <w:rPr>
          <w:i/>
          <w:color w:val="231F20"/>
          <w:sz w:val="18"/>
        </w:rPr>
        <w:t>Imperialismo, dependencia y relaciones </w:t>
      </w:r>
      <w:r>
        <w:rPr>
          <w:i/>
          <w:color w:val="231F20"/>
          <w:sz w:val="18"/>
        </w:rPr>
        <w:t>económicas internacionales</w:t>
      </w:r>
      <w:r>
        <w:rPr>
          <w:color w:val="231F20"/>
          <w:sz w:val="18"/>
        </w:rPr>
        <w:t>, Buenos Aires,  Amorrortu.</w:t>
      </w:r>
    </w:p>
    <w:p>
      <w:pPr>
        <w:spacing w:line="254" w:lineRule="auto" w:before="1"/>
        <w:ind w:left="340" w:right="118" w:hanging="240"/>
        <w:jc w:val="both"/>
        <w:rPr>
          <w:sz w:val="18"/>
        </w:rPr>
      </w:pPr>
      <w:r>
        <w:rPr>
          <w:color w:val="231F20"/>
          <w:sz w:val="18"/>
        </w:rPr>
        <w:t>Cardoso Fernando. H. y Enzo Faletto, 1973, </w:t>
      </w:r>
      <w:r>
        <w:rPr>
          <w:i/>
          <w:color w:val="231F20"/>
          <w:sz w:val="18"/>
        </w:rPr>
        <w:t>Dependencia y desarrollo en América </w:t>
      </w:r>
      <w:r>
        <w:rPr>
          <w:i/>
          <w:color w:val="231F20"/>
          <w:sz w:val="18"/>
        </w:rPr>
        <w:t>Latina</w:t>
      </w:r>
      <w:r>
        <w:rPr>
          <w:color w:val="231F20"/>
          <w:sz w:val="18"/>
        </w:rPr>
        <w:t>,  México,  fce.</w:t>
      </w:r>
    </w:p>
    <w:p>
      <w:pPr>
        <w:spacing w:line="254" w:lineRule="auto" w:before="1"/>
        <w:ind w:left="340" w:right="119" w:hanging="240"/>
        <w:jc w:val="both"/>
        <w:rPr>
          <w:sz w:val="18"/>
        </w:rPr>
      </w:pPr>
      <w:r>
        <w:rPr>
          <w:color w:val="231F20"/>
          <w:sz w:val="18"/>
        </w:rPr>
        <w:t>Dos Santos, Theotonio, 2003, </w:t>
      </w:r>
      <w:r>
        <w:rPr>
          <w:i/>
          <w:color w:val="231F20"/>
          <w:sz w:val="18"/>
        </w:rPr>
        <w:t>La teoría de la dependencia. Balance y perspectivas</w:t>
      </w:r>
      <w:r>
        <w:rPr>
          <w:color w:val="231F20"/>
          <w:sz w:val="18"/>
        </w:rPr>
        <w:t>, Buenos  Aires,  Plaza  &amp; Janes.</w:t>
      </w:r>
    </w:p>
    <w:p>
      <w:pPr>
        <w:spacing w:line="254" w:lineRule="auto" w:before="1"/>
        <w:ind w:left="100" w:right="119" w:firstLine="0"/>
        <w:jc w:val="both"/>
        <w:rPr>
          <w:sz w:val="18"/>
        </w:rPr>
      </w:pPr>
      <w:r>
        <w:rPr>
          <w:color w:val="231F20"/>
          <w:sz w:val="18"/>
        </w:rPr>
        <w:t>Fernandes, Florestán, 2008, </w:t>
      </w:r>
      <w:r>
        <w:rPr>
          <w:i/>
          <w:color w:val="231F20"/>
          <w:sz w:val="18"/>
        </w:rPr>
        <w:t>A revoluçao burguesa no Brasil</w:t>
      </w:r>
      <w:r>
        <w:rPr>
          <w:color w:val="231F20"/>
          <w:sz w:val="18"/>
        </w:rPr>
        <w:t>, San Pablo, Globo. Furtado, Celso, 1971, </w:t>
      </w:r>
      <w:r>
        <w:rPr>
          <w:i/>
          <w:color w:val="231F20"/>
          <w:sz w:val="18"/>
        </w:rPr>
        <w:t>El poder económico: Estados Unidos y América Latina,</w:t>
      </w:r>
      <w:r>
        <w:rPr>
          <w:i/>
          <w:color w:val="231F20"/>
          <w:spacing w:val="-31"/>
          <w:sz w:val="18"/>
        </w:rPr>
        <w:t> </w:t>
      </w:r>
      <w:r>
        <w:rPr>
          <w:color w:val="231F20"/>
          <w:sz w:val="18"/>
        </w:rPr>
        <w:t>Bue-</w:t>
      </w:r>
    </w:p>
    <w:p>
      <w:pPr>
        <w:spacing w:before="1"/>
        <w:ind w:left="340" w:right="25" w:firstLine="0"/>
        <w:jc w:val="left"/>
        <w:rPr>
          <w:sz w:val="18"/>
        </w:rPr>
      </w:pPr>
      <w:r>
        <w:rPr>
          <w:color w:val="231F20"/>
          <w:w w:val="110"/>
          <w:sz w:val="18"/>
        </w:rPr>
        <w:t>nos Aires, ceal.</w:t>
      </w:r>
    </w:p>
    <w:p>
      <w:pPr>
        <w:spacing w:before="13"/>
        <w:ind w:left="100" w:right="25" w:firstLine="0"/>
        <w:jc w:val="left"/>
        <w:rPr>
          <w:i/>
          <w:sz w:val="18"/>
        </w:rPr>
      </w:pPr>
      <w:r>
        <w:rPr>
          <w:color w:val="231F20"/>
          <w:sz w:val="18"/>
        </w:rPr>
        <w:t>Gaddis, John L., 1989, </w:t>
      </w:r>
      <w:r>
        <w:rPr>
          <w:i/>
          <w:color w:val="231F20"/>
          <w:sz w:val="18"/>
        </w:rPr>
        <w:t>Estados Unidos y los orígenes de la guerra fría 1941-1947,</w:t>
      </w:r>
    </w:p>
    <w:p>
      <w:pPr>
        <w:spacing w:before="13"/>
        <w:ind w:left="340" w:right="25" w:firstLine="0"/>
        <w:jc w:val="left"/>
        <w:rPr>
          <w:sz w:val="18"/>
        </w:rPr>
      </w:pPr>
      <w:r>
        <w:rPr>
          <w:color w:val="231F20"/>
          <w:w w:val="110"/>
          <w:sz w:val="18"/>
        </w:rPr>
        <w:t>Buenos Aires, gel.</w:t>
      </w:r>
    </w:p>
    <w:p>
      <w:pPr>
        <w:spacing w:line="254" w:lineRule="auto" w:before="13"/>
        <w:ind w:left="340" w:right="119" w:hanging="240"/>
        <w:jc w:val="both"/>
        <w:rPr>
          <w:sz w:val="18"/>
        </w:rPr>
      </w:pPr>
      <w:r>
        <w:rPr>
          <w:color w:val="231F20"/>
          <w:w w:val="110"/>
          <w:sz w:val="18"/>
        </w:rPr>
        <w:t>Gandásegui, Marco, 2009, “Las interrogantes sobre el golpe de Estado en</w:t>
      </w:r>
      <w:r>
        <w:rPr>
          <w:color w:val="231F20"/>
          <w:w w:val="116"/>
          <w:sz w:val="18"/>
        </w:rPr>
        <w:t> </w:t>
      </w:r>
      <w:r>
        <w:rPr>
          <w:color w:val="231F20"/>
          <w:w w:val="110"/>
          <w:sz w:val="18"/>
        </w:rPr>
        <w:t>Honduras ¿Quién maneja la política exterior de EEUU?” en </w:t>
      </w:r>
      <w:r>
        <w:rPr>
          <w:i/>
          <w:color w:val="231F20"/>
          <w:w w:val="110"/>
          <w:sz w:val="18"/>
        </w:rPr>
        <w:t>Periferias</w:t>
      </w:r>
      <w:r>
        <w:rPr>
          <w:color w:val="231F20"/>
          <w:w w:val="110"/>
          <w:sz w:val="18"/>
        </w:rPr>
        <w:t>, Buenos Aires, año 13, núm. 18, segundo semestre.</w:t>
      </w:r>
    </w:p>
    <w:p>
      <w:pPr>
        <w:spacing w:line="254" w:lineRule="auto" w:before="1"/>
        <w:ind w:left="340" w:right="116" w:hanging="240"/>
        <w:jc w:val="both"/>
        <w:rPr>
          <w:sz w:val="18"/>
        </w:rPr>
      </w:pPr>
      <w:r>
        <w:rPr>
          <w:color w:val="231F20"/>
          <w:w w:val="105"/>
          <w:sz w:val="18"/>
        </w:rPr>
        <w:t>Golinger,</w:t>
      </w:r>
      <w:r>
        <w:rPr>
          <w:color w:val="231F20"/>
          <w:spacing w:val="-12"/>
          <w:w w:val="105"/>
          <w:sz w:val="18"/>
        </w:rPr>
        <w:t> </w:t>
      </w:r>
      <w:r>
        <w:rPr>
          <w:color w:val="231F20"/>
          <w:w w:val="105"/>
          <w:sz w:val="18"/>
        </w:rPr>
        <w:t>Eva,</w:t>
      </w:r>
      <w:r>
        <w:rPr>
          <w:color w:val="231F20"/>
          <w:spacing w:val="-12"/>
          <w:w w:val="105"/>
          <w:sz w:val="18"/>
        </w:rPr>
        <w:t> </w:t>
      </w:r>
      <w:r>
        <w:rPr>
          <w:color w:val="231F20"/>
          <w:w w:val="105"/>
          <w:sz w:val="18"/>
        </w:rPr>
        <w:t>2009,</w:t>
      </w:r>
      <w:r>
        <w:rPr>
          <w:color w:val="231F20"/>
          <w:spacing w:val="-12"/>
          <w:w w:val="105"/>
          <w:sz w:val="18"/>
        </w:rPr>
        <w:t> </w:t>
      </w:r>
      <w:r>
        <w:rPr>
          <w:color w:val="231F20"/>
          <w:w w:val="105"/>
          <w:sz w:val="18"/>
        </w:rPr>
        <w:t>“Breaking</w:t>
      </w:r>
      <w:r>
        <w:rPr>
          <w:color w:val="231F20"/>
          <w:spacing w:val="-12"/>
          <w:w w:val="105"/>
          <w:sz w:val="18"/>
        </w:rPr>
        <w:t> </w:t>
      </w:r>
      <w:r>
        <w:rPr>
          <w:color w:val="231F20"/>
          <w:w w:val="105"/>
          <w:sz w:val="18"/>
        </w:rPr>
        <w:t>News:</w:t>
      </w:r>
      <w:r>
        <w:rPr>
          <w:color w:val="231F20"/>
          <w:spacing w:val="-12"/>
          <w:w w:val="105"/>
          <w:sz w:val="18"/>
        </w:rPr>
        <w:t> </w:t>
      </w:r>
      <w:r>
        <w:rPr>
          <w:color w:val="231F20"/>
          <w:w w:val="105"/>
          <w:sz w:val="18"/>
        </w:rPr>
        <w:t>Official</w:t>
      </w:r>
      <w:r>
        <w:rPr>
          <w:color w:val="231F20"/>
          <w:spacing w:val="-12"/>
          <w:w w:val="105"/>
          <w:sz w:val="18"/>
        </w:rPr>
        <w:t> </w:t>
      </w:r>
      <w:r>
        <w:rPr>
          <w:color w:val="231F20"/>
          <w:w w:val="105"/>
          <w:sz w:val="18"/>
        </w:rPr>
        <w:t>US</w:t>
      </w:r>
      <w:r>
        <w:rPr>
          <w:color w:val="231F20"/>
          <w:spacing w:val="-12"/>
          <w:w w:val="105"/>
          <w:sz w:val="18"/>
        </w:rPr>
        <w:t> </w:t>
      </w:r>
      <w:r>
        <w:rPr>
          <w:color w:val="231F20"/>
          <w:w w:val="105"/>
          <w:sz w:val="18"/>
        </w:rPr>
        <w:t>Air</w:t>
      </w:r>
      <w:r>
        <w:rPr>
          <w:color w:val="231F20"/>
          <w:spacing w:val="-12"/>
          <w:w w:val="105"/>
          <w:sz w:val="18"/>
        </w:rPr>
        <w:t> </w:t>
      </w:r>
      <w:r>
        <w:rPr>
          <w:color w:val="231F20"/>
          <w:w w:val="105"/>
          <w:sz w:val="18"/>
        </w:rPr>
        <w:t>Force</w:t>
      </w:r>
      <w:r>
        <w:rPr>
          <w:color w:val="231F20"/>
          <w:spacing w:val="-12"/>
          <w:w w:val="105"/>
          <w:sz w:val="18"/>
        </w:rPr>
        <w:t> </w:t>
      </w:r>
      <w:r>
        <w:rPr>
          <w:color w:val="231F20"/>
          <w:w w:val="105"/>
          <w:sz w:val="18"/>
        </w:rPr>
        <w:t>Document</w:t>
      </w:r>
      <w:r>
        <w:rPr>
          <w:color w:val="231F20"/>
          <w:spacing w:val="-12"/>
          <w:w w:val="105"/>
          <w:sz w:val="18"/>
        </w:rPr>
        <w:t> </w:t>
      </w:r>
      <w:r>
        <w:rPr>
          <w:color w:val="231F20"/>
          <w:w w:val="105"/>
          <w:sz w:val="18"/>
        </w:rPr>
        <w:t>Reveals the  </w:t>
      </w:r>
      <w:r>
        <w:rPr>
          <w:color w:val="231F20"/>
          <w:spacing w:val="-4"/>
          <w:w w:val="105"/>
          <w:sz w:val="18"/>
        </w:rPr>
        <w:t>True  </w:t>
      </w:r>
      <w:r>
        <w:rPr>
          <w:color w:val="231F20"/>
          <w:w w:val="105"/>
          <w:sz w:val="18"/>
        </w:rPr>
        <w:t>Intentions  Behind  the  US-Colombia  Military  Agreement”   </w:t>
      </w:r>
      <w:r>
        <w:rPr>
          <w:color w:val="231F20"/>
          <w:spacing w:val="6"/>
          <w:w w:val="105"/>
          <w:sz w:val="18"/>
        </w:rPr>
        <w:t> </w:t>
      </w:r>
      <w:r>
        <w:rPr>
          <w:color w:val="231F20"/>
          <w:w w:val="105"/>
          <w:sz w:val="18"/>
        </w:rPr>
        <w:t>en</w:t>
      </w:r>
    </w:p>
    <w:p>
      <w:pPr>
        <w:spacing w:before="1"/>
        <w:ind w:left="340" w:right="25" w:firstLine="0"/>
        <w:jc w:val="left"/>
        <w:rPr>
          <w:sz w:val="18"/>
        </w:rPr>
      </w:pPr>
      <w:hyperlink r:id="rId320">
        <w:r>
          <w:rPr>
            <w:color w:val="231F20"/>
            <w:w w:val="115"/>
            <w:sz w:val="18"/>
          </w:rPr>
          <w:t>&lt;http://axisoflogic.com/artman/publish/Article_57403.shtm&gt;.</w:t>
        </w:r>
      </w:hyperlink>
    </w:p>
    <w:p>
      <w:pPr>
        <w:spacing w:line="254" w:lineRule="auto" w:before="13"/>
        <w:ind w:left="340" w:right="117" w:hanging="240"/>
        <w:jc w:val="both"/>
        <w:rPr>
          <w:sz w:val="18"/>
        </w:rPr>
      </w:pPr>
      <w:r>
        <w:rPr>
          <w:color w:val="231F20"/>
          <w:sz w:val="18"/>
        </w:rPr>
        <w:t>Golinger,</w:t>
      </w:r>
      <w:r>
        <w:rPr>
          <w:color w:val="231F20"/>
          <w:spacing w:val="-3"/>
          <w:sz w:val="18"/>
        </w:rPr>
        <w:t> </w:t>
      </w:r>
      <w:r>
        <w:rPr>
          <w:color w:val="231F20"/>
          <w:sz w:val="18"/>
        </w:rPr>
        <w:t>Eva,</w:t>
      </w:r>
      <w:r>
        <w:rPr>
          <w:color w:val="231F20"/>
          <w:spacing w:val="-3"/>
          <w:sz w:val="18"/>
        </w:rPr>
        <w:t> </w:t>
      </w:r>
      <w:r>
        <w:rPr>
          <w:color w:val="231F20"/>
          <w:sz w:val="18"/>
        </w:rPr>
        <w:t>2005,</w:t>
      </w:r>
      <w:r>
        <w:rPr>
          <w:color w:val="231F20"/>
          <w:spacing w:val="-3"/>
          <w:sz w:val="18"/>
        </w:rPr>
        <w:t> </w:t>
      </w:r>
      <w:r>
        <w:rPr>
          <w:i/>
          <w:color w:val="231F20"/>
          <w:sz w:val="18"/>
        </w:rPr>
        <w:t>El</w:t>
      </w:r>
      <w:r>
        <w:rPr>
          <w:i/>
          <w:color w:val="231F20"/>
          <w:spacing w:val="-3"/>
          <w:sz w:val="18"/>
        </w:rPr>
        <w:t> </w:t>
      </w:r>
      <w:r>
        <w:rPr>
          <w:i/>
          <w:color w:val="231F20"/>
          <w:sz w:val="18"/>
        </w:rPr>
        <w:t>Código</w:t>
      </w:r>
      <w:r>
        <w:rPr>
          <w:i/>
          <w:color w:val="231F20"/>
          <w:spacing w:val="-3"/>
          <w:sz w:val="18"/>
        </w:rPr>
        <w:t> </w:t>
      </w:r>
      <w:r>
        <w:rPr>
          <w:i/>
          <w:color w:val="231F20"/>
          <w:sz w:val="18"/>
        </w:rPr>
        <w:t>Chávez:</w:t>
      </w:r>
      <w:r>
        <w:rPr>
          <w:i/>
          <w:color w:val="231F20"/>
          <w:spacing w:val="-3"/>
          <w:sz w:val="18"/>
        </w:rPr>
        <w:t> </w:t>
      </w:r>
      <w:r>
        <w:rPr>
          <w:i/>
          <w:color w:val="231F20"/>
          <w:sz w:val="18"/>
        </w:rPr>
        <w:t>descifrando</w:t>
      </w:r>
      <w:r>
        <w:rPr>
          <w:i/>
          <w:color w:val="231F20"/>
          <w:spacing w:val="-3"/>
          <w:sz w:val="18"/>
        </w:rPr>
        <w:t> </w:t>
      </w:r>
      <w:r>
        <w:rPr>
          <w:i/>
          <w:color w:val="231F20"/>
          <w:sz w:val="18"/>
        </w:rPr>
        <w:t>la</w:t>
      </w:r>
      <w:r>
        <w:rPr>
          <w:i/>
          <w:color w:val="231F20"/>
          <w:spacing w:val="-3"/>
          <w:sz w:val="18"/>
        </w:rPr>
        <w:t> </w:t>
      </w:r>
      <w:r>
        <w:rPr>
          <w:i/>
          <w:color w:val="231F20"/>
          <w:sz w:val="18"/>
        </w:rPr>
        <w:t>intervención</w:t>
      </w:r>
      <w:r>
        <w:rPr>
          <w:i/>
          <w:color w:val="231F20"/>
          <w:spacing w:val="-3"/>
          <w:sz w:val="18"/>
        </w:rPr>
        <w:t> </w:t>
      </w:r>
      <w:r>
        <w:rPr>
          <w:i/>
          <w:color w:val="231F20"/>
          <w:sz w:val="18"/>
        </w:rPr>
        <w:t>de</w:t>
      </w:r>
      <w:r>
        <w:rPr>
          <w:i/>
          <w:color w:val="231F20"/>
          <w:spacing w:val="-3"/>
          <w:sz w:val="18"/>
        </w:rPr>
        <w:t> </w:t>
      </w:r>
      <w:r>
        <w:rPr>
          <w:i/>
          <w:color w:val="231F20"/>
          <w:sz w:val="18"/>
        </w:rPr>
        <w:t>los</w:t>
      </w:r>
      <w:r>
        <w:rPr>
          <w:i/>
          <w:color w:val="231F20"/>
          <w:spacing w:val="-3"/>
          <w:sz w:val="18"/>
        </w:rPr>
        <w:t> </w:t>
      </w:r>
      <w:r>
        <w:rPr>
          <w:i/>
          <w:color w:val="231F20"/>
          <w:sz w:val="18"/>
        </w:rPr>
        <w:t>Estados </w:t>
      </w:r>
      <w:r>
        <w:rPr>
          <w:i/>
          <w:color w:val="231F20"/>
          <w:sz w:val="18"/>
        </w:rPr>
        <w:t>Unidos en Venezuela</w:t>
      </w:r>
      <w:r>
        <w:rPr>
          <w:color w:val="231F20"/>
          <w:sz w:val="18"/>
        </w:rPr>
        <w:t>, Caracas, </w:t>
      </w:r>
      <w:r>
        <w:rPr>
          <w:color w:val="231F20"/>
          <w:spacing w:val="25"/>
          <w:sz w:val="18"/>
        </w:rPr>
        <w:t> </w:t>
      </w:r>
      <w:r>
        <w:rPr>
          <w:color w:val="231F20"/>
          <w:sz w:val="18"/>
        </w:rPr>
        <w:t>Questión.</w:t>
      </w:r>
    </w:p>
    <w:p>
      <w:pPr>
        <w:spacing w:line="254" w:lineRule="auto" w:before="1"/>
        <w:ind w:left="340" w:right="119" w:hanging="240"/>
        <w:jc w:val="both"/>
        <w:rPr>
          <w:sz w:val="18"/>
        </w:rPr>
      </w:pPr>
      <w:r>
        <w:rPr>
          <w:color w:val="231F20"/>
          <w:w w:val="105"/>
          <w:sz w:val="18"/>
        </w:rPr>
        <w:t>Gunder Frank, Andre, 1970, “El desarrollo del subdesarrollo” en  Guder</w:t>
      </w:r>
      <w:r>
        <w:rPr>
          <w:color w:val="231F20"/>
          <w:spacing w:val="47"/>
          <w:w w:val="105"/>
          <w:sz w:val="18"/>
        </w:rPr>
        <w:t> </w:t>
      </w:r>
      <w:r>
        <w:rPr>
          <w:color w:val="231F20"/>
          <w:w w:val="105"/>
          <w:sz w:val="18"/>
        </w:rPr>
        <w:t>Frank,</w:t>
      </w:r>
      <w:r>
        <w:rPr>
          <w:color w:val="231F20"/>
          <w:spacing w:val="-6"/>
          <w:w w:val="105"/>
          <w:sz w:val="18"/>
        </w:rPr>
        <w:t> </w:t>
      </w:r>
      <w:r>
        <w:rPr>
          <w:color w:val="231F20"/>
          <w:w w:val="105"/>
          <w:sz w:val="18"/>
        </w:rPr>
        <w:t>Andre;</w:t>
      </w:r>
      <w:r>
        <w:rPr>
          <w:color w:val="231F20"/>
          <w:spacing w:val="-6"/>
          <w:w w:val="105"/>
          <w:sz w:val="18"/>
        </w:rPr>
        <w:t> </w:t>
      </w:r>
      <w:r>
        <w:rPr>
          <w:color w:val="231F20"/>
          <w:w w:val="105"/>
          <w:sz w:val="18"/>
        </w:rPr>
        <w:t>James</w:t>
      </w:r>
      <w:r>
        <w:rPr>
          <w:color w:val="231F20"/>
          <w:spacing w:val="-6"/>
          <w:w w:val="105"/>
          <w:sz w:val="18"/>
        </w:rPr>
        <w:t> </w:t>
      </w:r>
      <w:r>
        <w:rPr>
          <w:color w:val="231F20"/>
          <w:w w:val="105"/>
          <w:sz w:val="18"/>
        </w:rPr>
        <w:t>Cockroft</w:t>
      </w:r>
      <w:r>
        <w:rPr>
          <w:color w:val="231F20"/>
          <w:spacing w:val="-6"/>
          <w:w w:val="105"/>
          <w:sz w:val="18"/>
        </w:rPr>
        <w:t> </w:t>
      </w:r>
      <w:r>
        <w:rPr>
          <w:color w:val="231F20"/>
          <w:w w:val="105"/>
          <w:sz w:val="18"/>
        </w:rPr>
        <w:t>y</w:t>
      </w:r>
      <w:r>
        <w:rPr>
          <w:color w:val="231F20"/>
          <w:spacing w:val="-6"/>
          <w:w w:val="105"/>
          <w:sz w:val="18"/>
        </w:rPr>
        <w:t> </w:t>
      </w:r>
      <w:r>
        <w:rPr>
          <w:color w:val="231F20"/>
          <w:w w:val="105"/>
          <w:sz w:val="18"/>
        </w:rPr>
        <w:t>Dale</w:t>
      </w:r>
      <w:r>
        <w:rPr>
          <w:color w:val="231F20"/>
          <w:spacing w:val="-6"/>
          <w:w w:val="105"/>
          <w:sz w:val="18"/>
        </w:rPr>
        <w:t> </w:t>
      </w:r>
      <w:r>
        <w:rPr>
          <w:color w:val="231F20"/>
          <w:w w:val="105"/>
          <w:sz w:val="18"/>
        </w:rPr>
        <w:t>Johnson,</w:t>
      </w:r>
      <w:r>
        <w:rPr>
          <w:color w:val="231F20"/>
          <w:spacing w:val="-6"/>
          <w:w w:val="105"/>
          <w:sz w:val="18"/>
        </w:rPr>
        <w:t> </w:t>
      </w:r>
      <w:r>
        <w:rPr>
          <w:i/>
          <w:color w:val="231F20"/>
          <w:w w:val="105"/>
          <w:sz w:val="18"/>
        </w:rPr>
        <w:t>Economía</w:t>
      </w:r>
      <w:r>
        <w:rPr>
          <w:i/>
          <w:color w:val="231F20"/>
          <w:spacing w:val="-6"/>
          <w:w w:val="105"/>
          <w:sz w:val="18"/>
        </w:rPr>
        <w:t> </w:t>
      </w:r>
      <w:r>
        <w:rPr>
          <w:i/>
          <w:color w:val="231F20"/>
          <w:w w:val="105"/>
          <w:sz w:val="18"/>
        </w:rPr>
        <w:t>política</w:t>
      </w:r>
      <w:r>
        <w:rPr>
          <w:i/>
          <w:color w:val="231F20"/>
          <w:spacing w:val="-6"/>
          <w:w w:val="105"/>
          <w:sz w:val="18"/>
        </w:rPr>
        <w:t> </w:t>
      </w:r>
      <w:r>
        <w:rPr>
          <w:i/>
          <w:color w:val="231F20"/>
          <w:w w:val="105"/>
          <w:sz w:val="18"/>
        </w:rPr>
        <w:t>del</w:t>
      </w:r>
      <w:r>
        <w:rPr>
          <w:i/>
          <w:color w:val="231F20"/>
          <w:spacing w:val="-6"/>
          <w:w w:val="105"/>
          <w:sz w:val="18"/>
        </w:rPr>
        <w:t> </w:t>
      </w:r>
      <w:r>
        <w:rPr>
          <w:i/>
          <w:color w:val="231F20"/>
          <w:w w:val="105"/>
          <w:sz w:val="18"/>
        </w:rPr>
        <w:t>subde- </w:t>
      </w:r>
      <w:r>
        <w:rPr>
          <w:i/>
          <w:color w:val="231F20"/>
          <w:w w:val="105"/>
          <w:sz w:val="18"/>
        </w:rPr>
        <w:t>sarrollo</w:t>
      </w:r>
      <w:r>
        <w:rPr>
          <w:i/>
          <w:color w:val="231F20"/>
          <w:spacing w:val="-20"/>
          <w:w w:val="105"/>
          <w:sz w:val="18"/>
        </w:rPr>
        <w:t> </w:t>
      </w:r>
      <w:r>
        <w:rPr>
          <w:i/>
          <w:color w:val="231F20"/>
          <w:w w:val="105"/>
          <w:sz w:val="18"/>
        </w:rPr>
        <w:t>en</w:t>
      </w:r>
      <w:r>
        <w:rPr>
          <w:i/>
          <w:color w:val="231F20"/>
          <w:spacing w:val="-20"/>
          <w:w w:val="105"/>
          <w:sz w:val="18"/>
        </w:rPr>
        <w:t> </w:t>
      </w:r>
      <w:r>
        <w:rPr>
          <w:i/>
          <w:color w:val="231F20"/>
          <w:w w:val="105"/>
          <w:sz w:val="18"/>
        </w:rPr>
        <w:t>América</w:t>
      </w:r>
      <w:r>
        <w:rPr>
          <w:i/>
          <w:color w:val="231F20"/>
          <w:spacing w:val="-20"/>
          <w:w w:val="105"/>
          <w:sz w:val="18"/>
        </w:rPr>
        <w:t> </w:t>
      </w:r>
      <w:r>
        <w:rPr>
          <w:i/>
          <w:color w:val="231F20"/>
          <w:w w:val="105"/>
          <w:sz w:val="18"/>
        </w:rPr>
        <w:t>Latina</w:t>
      </w:r>
      <w:r>
        <w:rPr>
          <w:color w:val="231F20"/>
          <w:w w:val="105"/>
          <w:sz w:val="18"/>
        </w:rPr>
        <w:t>,</w:t>
      </w:r>
      <w:r>
        <w:rPr>
          <w:color w:val="231F20"/>
          <w:spacing w:val="-20"/>
          <w:w w:val="105"/>
          <w:sz w:val="18"/>
        </w:rPr>
        <w:t> </w:t>
      </w:r>
      <w:r>
        <w:rPr>
          <w:color w:val="231F20"/>
          <w:w w:val="105"/>
          <w:sz w:val="18"/>
        </w:rPr>
        <w:t>Buenos</w:t>
      </w:r>
      <w:r>
        <w:rPr>
          <w:color w:val="231F20"/>
          <w:spacing w:val="-20"/>
          <w:w w:val="105"/>
          <w:sz w:val="18"/>
        </w:rPr>
        <w:t> </w:t>
      </w:r>
      <w:r>
        <w:rPr>
          <w:color w:val="231F20"/>
          <w:w w:val="105"/>
          <w:sz w:val="18"/>
        </w:rPr>
        <w:t>Aires,</w:t>
      </w:r>
      <w:r>
        <w:rPr>
          <w:color w:val="231F20"/>
          <w:spacing w:val="-20"/>
          <w:w w:val="105"/>
          <w:sz w:val="18"/>
        </w:rPr>
        <w:t> </w:t>
      </w:r>
      <w:r>
        <w:rPr>
          <w:color w:val="231F20"/>
          <w:w w:val="105"/>
          <w:sz w:val="18"/>
        </w:rPr>
        <w:t>Signos.</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9" w:hanging="240"/>
        <w:jc w:val="both"/>
        <w:rPr>
          <w:sz w:val="18"/>
        </w:rPr>
      </w:pPr>
      <w:r>
        <w:rPr>
          <w:color w:val="231F20"/>
          <w:w w:val="105"/>
          <w:sz w:val="18"/>
        </w:rPr>
        <w:t>Ianni, Octavio, 1973, “Diplomacia e imperialismo en las relaciones interame- ricanas”</w:t>
      </w:r>
      <w:r>
        <w:rPr>
          <w:color w:val="231F20"/>
          <w:spacing w:val="-9"/>
          <w:w w:val="105"/>
          <w:sz w:val="18"/>
        </w:rPr>
        <w:t> </w:t>
      </w:r>
      <w:r>
        <w:rPr>
          <w:color w:val="231F20"/>
          <w:w w:val="105"/>
          <w:sz w:val="18"/>
        </w:rPr>
        <w:t>en</w:t>
      </w:r>
      <w:r>
        <w:rPr>
          <w:color w:val="231F20"/>
          <w:spacing w:val="-9"/>
          <w:w w:val="105"/>
          <w:sz w:val="18"/>
        </w:rPr>
        <w:t> </w:t>
      </w:r>
      <w:r>
        <w:rPr>
          <w:color w:val="231F20"/>
          <w:w w:val="105"/>
          <w:sz w:val="18"/>
        </w:rPr>
        <w:t>Julio</w:t>
      </w:r>
      <w:r>
        <w:rPr>
          <w:color w:val="231F20"/>
          <w:spacing w:val="-9"/>
          <w:w w:val="105"/>
          <w:sz w:val="18"/>
        </w:rPr>
        <w:t> </w:t>
      </w:r>
      <w:r>
        <w:rPr>
          <w:color w:val="231F20"/>
          <w:w w:val="105"/>
          <w:sz w:val="18"/>
        </w:rPr>
        <w:t>C.</w:t>
      </w:r>
      <w:r>
        <w:rPr>
          <w:color w:val="231F20"/>
          <w:spacing w:val="-9"/>
          <w:w w:val="105"/>
          <w:sz w:val="18"/>
        </w:rPr>
        <w:t> </w:t>
      </w:r>
      <w:r>
        <w:rPr>
          <w:color w:val="231F20"/>
          <w:w w:val="105"/>
          <w:sz w:val="18"/>
        </w:rPr>
        <w:t>Cotler</w:t>
      </w:r>
      <w:r>
        <w:rPr>
          <w:color w:val="231F20"/>
          <w:spacing w:val="-9"/>
          <w:w w:val="105"/>
          <w:sz w:val="18"/>
        </w:rPr>
        <w:t> </w:t>
      </w:r>
      <w:r>
        <w:rPr>
          <w:color w:val="231F20"/>
          <w:w w:val="105"/>
          <w:sz w:val="18"/>
        </w:rPr>
        <w:t>y</w:t>
      </w:r>
      <w:r>
        <w:rPr>
          <w:color w:val="231F20"/>
          <w:spacing w:val="-9"/>
          <w:w w:val="105"/>
          <w:sz w:val="18"/>
        </w:rPr>
        <w:t> </w:t>
      </w:r>
      <w:r>
        <w:rPr>
          <w:color w:val="231F20"/>
          <w:w w:val="105"/>
          <w:sz w:val="18"/>
        </w:rPr>
        <w:t>Richard</w:t>
      </w:r>
      <w:r>
        <w:rPr>
          <w:color w:val="231F20"/>
          <w:spacing w:val="-9"/>
          <w:w w:val="105"/>
          <w:sz w:val="18"/>
        </w:rPr>
        <w:t> </w:t>
      </w:r>
      <w:r>
        <w:rPr>
          <w:color w:val="231F20"/>
          <w:w w:val="105"/>
          <w:sz w:val="18"/>
        </w:rPr>
        <w:t>R.</w:t>
      </w:r>
      <w:r>
        <w:rPr>
          <w:color w:val="231F20"/>
          <w:spacing w:val="-9"/>
          <w:w w:val="105"/>
          <w:sz w:val="18"/>
        </w:rPr>
        <w:t> </w:t>
      </w:r>
      <w:r>
        <w:rPr>
          <w:color w:val="231F20"/>
          <w:w w:val="105"/>
          <w:sz w:val="18"/>
        </w:rPr>
        <w:t>Fagen</w:t>
      </w:r>
      <w:r>
        <w:rPr>
          <w:color w:val="231F20"/>
          <w:spacing w:val="-9"/>
          <w:w w:val="105"/>
          <w:sz w:val="18"/>
        </w:rPr>
        <w:t> </w:t>
      </w:r>
      <w:r>
        <w:rPr>
          <w:color w:val="231F20"/>
          <w:w w:val="105"/>
          <w:sz w:val="18"/>
        </w:rPr>
        <w:t>(comps.),</w:t>
      </w:r>
      <w:r>
        <w:rPr>
          <w:color w:val="231F20"/>
          <w:spacing w:val="-9"/>
          <w:w w:val="105"/>
          <w:sz w:val="18"/>
        </w:rPr>
        <w:t> </w:t>
      </w:r>
      <w:r>
        <w:rPr>
          <w:i/>
          <w:color w:val="231F20"/>
          <w:w w:val="105"/>
          <w:sz w:val="18"/>
        </w:rPr>
        <w:t>Relaciones</w:t>
      </w:r>
      <w:r>
        <w:rPr>
          <w:i/>
          <w:color w:val="231F20"/>
          <w:spacing w:val="-9"/>
          <w:w w:val="105"/>
          <w:sz w:val="18"/>
        </w:rPr>
        <w:t> </w:t>
      </w:r>
      <w:r>
        <w:rPr>
          <w:i/>
          <w:color w:val="231F20"/>
          <w:w w:val="105"/>
          <w:sz w:val="18"/>
        </w:rPr>
        <w:t>políticas </w:t>
      </w:r>
      <w:r>
        <w:rPr>
          <w:i/>
          <w:color w:val="231F20"/>
          <w:w w:val="105"/>
          <w:sz w:val="18"/>
        </w:rPr>
        <w:t>entre</w:t>
      </w:r>
      <w:r>
        <w:rPr>
          <w:i/>
          <w:color w:val="231F20"/>
          <w:spacing w:val="-16"/>
          <w:w w:val="105"/>
          <w:sz w:val="18"/>
        </w:rPr>
        <w:t> </w:t>
      </w:r>
      <w:r>
        <w:rPr>
          <w:i/>
          <w:color w:val="231F20"/>
          <w:w w:val="105"/>
          <w:sz w:val="18"/>
        </w:rPr>
        <w:t>América</w:t>
      </w:r>
      <w:r>
        <w:rPr>
          <w:i/>
          <w:color w:val="231F20"/>
          <w:spacing w:val="-16"/>
          <w:w w:val="105"/>
          <w:sz w:val="18"/>
        </w:rPr>
        <w:t> </w:t>
      </w:r>
      <w:r>
        <w:rPr>
          <w:i/>
          <w:color w:val="231F20"/>
          <w:w w:val="105"/>
          <w:sz w:val="18"/>
        </w:rPr>
        <w:t>Latina</w:t>
      </w:r>
      <w:r>
        <w:rPr>
          <w:i/>
          <w:color w:val="231F20"/>
          <w:spacing w:val="-16"/>
          <w:w w:val="105"/>
          <w:sz w:val="18"/>
        </w:rPr>
        <w:t> </w:t>
      </w:r>
      <w:r>
        <w:rPr>
          <w:i/>
          <w:color w:val="231F20"/>
          <w:w w:val="105"/>
          <w:sz w:val="18"/>
        </w:rPr>
        <w:t>y</w:t>
      </w:r>
      <w:r>
        <w:rPr>
          <w:i/>
          <w:color w:val="231F20"/>
          <w:spacing w:val="-16"/>
          <w:w w:val="105"/>
          <w:sz w:val="18"/>
        </w:rPr>
        <w:t> </w:t>
      </w:r>
      <w:r>
        <w:rPr>
          <w:i/>
          <w:color w:val="231F20"/>
          <w:w w:val="105"/>
          <w:sz w:val="18"/>
        </w:rPr>
        <w:t>Estados</w:t>
      </w:r>
      <w:r>
        <w:rPr>
          <w:i/>
          <w:color w:val="231F20"/>
          <w:spacing w:val="-16"/>
          <w:w w:val="105"/>
          <w:sz w:val="18"/>
        </w:rPr>
        <w:t> </w:t>
      </w:r>
      <w:r>
        <w:rPr>
          <w:i/>
          <w:color w:val="231F20"/>
          <w:w w:val="105"/>
          <w:sz w:val="18"/>
        </w:rPr>
        <w:t>Unidos,</w:t>
      </w:r>
      <w:r>
        <w:rPr>
          <w:i/>
          <w:color w:val="231F20"/>
          <w:spacing w:val="-16"/>
          <w:w w:val="105"/>
          <w:sz w:val="18"/>
        </w:rPr>
        <w:t> </w:t>
      </w:r>
      <w:r>
        <w:rPr>
          <w:color w:val="231F20"/>
          <w:w w:val="105"/>
          <w:sz w:val="18"/>
        </w:rPr>
        <w:t>Buenos</w:t>
      </w:r>
      <w:r>
        <w:rPr>
          <w:color w:val="231F20"/>
          <w:spacing w:val="-16"/>
          <w:w w:val="105"/>
          <w:sz w:val="18"/>
        </w:rPr>
        <w:t> </w:t>
      </w:r>
      <w:r>
        <w:rPr>
          <w:color w:val="231F20"/>
          <w:w w:val="105"/>
          <w:sz w:val="18"/>
        </w:rPr>
        <w:t>Aires,</w:t>
      </w:r>
      <w:r>
        <w:rPr>
          <w:color w:val="231F20"/>
          <w:spacing w:val="-16"/>
          <w:w w:val="105"/>
          <w:sz w:val="18"/>
        </w:rPr>
        <w:t> </w:t>
      </w:r>
      <w:r>
        <w:rPr>
          <w:color w:val="231F20"/>
          <w:w w:val="105"/>
          <w:sz w:val="18"/>
        </w:rPr>
        <w:t>Amorrortu.</w:t>
      </w:r>
    </w:p>
    <w:p>
      <w:pPr>
        <w:spacing w:line="254" w:lineRule="auto" w:before="1"/>
        <w:ind w:left="73" w:right="117" w:firstLine="0"/>
        <w:jc w:val="right"/>
        <w:rPr>
          <w:sz w:val="18"/>
        </w:rPr>
      </w:pPr>
      <w:r>
        <w:rPr>
          <w:color w:val="231F20"/>
          <w:sz w:val="18"/>
        </w:rPr>
        <w:t>Loveman, Brian, 2006, “US Security Polices in Latin America and the Andean</w:t>
      </w:r>
      <w:r>
        <w:rPr>
          <w:color w:val="231F20"/>
          <w:w w:val="109"/>
          <w:sz w:val="18"/>
        </w:rPr>
        <w:t> </w:t>
      </w:r>
      <w:r>
        <w:rPr>
          <w:color w:val="231F20"/>
          <w:sz w:val="18"/>
        </w:rPr>
        <w:t>Region, 1990-2006” en B. Loveman (ed.), </w:t>
      </w:r>
      <w:r>
        <w:rPr>
          <w:i/>
          <w:color w:val="231F20"/>
          <w:sz w:val="18"/>
        </w:rPr>
        <w:t>Addicted to Failure. US Security</w:t>
      </w:r>
      <w:r>
        <w:rPr>
          <w:i/>
          <w:color w:val="231F20"/>
          <w:w w:val="92"/>
          <w:sz w:val="18"/>
        </w:rPr>
        <w:t> </w:t>
      </w:r>
      <w:r>
        <w:rPr>
          <w:i/>
          <w:color w:val="231F20"/>
          <w:sz w:val="18"/>
        </w:rPr>
        <w:t>Policy in Latin America and the Andean Region, </w:t>
      </w:r>
      <w:r>
        <w:rPr>
          <w:color w:val="231F20"/>
          <w:sz w:val="18"/>
        </w:rPr>
        <w:t>USA, Rowman &amp; Littlefield.</w:t>
      </w:r>
      <w:r>
        <w:rPr>
          <w:color w:val="231F20"/>
          <w:w w:val="106"/>
          <w:sz w:val="18"/>
        </w:rPr>
        <w:t> </w:t>
      </w:r>
      <w:r>
        <w:rPr>
          <w:color w:val="231F20"/>
          <w:sz w:val="18"/>
        </w:rPr>
        <w:t>Meiksins Wood, Ellen, 2000, </w:t>
      </w:r>
      <w:r>
        <w:rPr>
          <w:i/>
          <w:color w:val="231F20"/>
          <w:sz w:val="18"/>
        </w:rPr>
        <w:t>Democracia contra capitalismo</w:t>
      </w:r>
      <w:r>
        <w:rPr>
          <w:color w:val="231F20"/>
          <w:sz w:val="18"/>
        </w:rPr>
        <w:t>, México, Siglo   XXI</w:t>
      </w:r>
    </w:p>
    <w:p>
      <w:pPr>
        <w:spacing w:before="1"/>
        <w:ind w:left="340" w:right="25" w:firstLine="0"/>
        <w:jc w:val="left"/>
        <w:rPr>
          <w:sz w:val="18"/>
        </w:rPr>
      </w:pPr>
      <w:r>
        <w:rPr>
          <w:color w:val="231F20"/>
          <w:w w:val="110"/>
          <w:sz w:val="18"/>
        </w:rPr>
        <w:t>Editores.</w:t>
      </w:r>
    </w:p>
    <w:p>
      <w:pPr>
        <w:spacing w:line="254" w:lineRule="auto" w:before="13"/>
        <w:ind w:left="340" w:right="115" w:hanging="240"/>
        <w:jc w:val="both"/>
        <w:rPr>
          <w:sz w:val="18"/>
        </w:rPr>
      </w:pPr>
      <w:r>
        <w:rPr>
          <w:color w:val="231F20"/>
          <w:w w:val="110"/>
          <w:sz w:val="18"/>
        </w:rPr>
        <w:t>Obama, Barack, 2008, “Renewing US lidership in the Americas”, Miami, Florida, en </w:t>
      </w:r>
      <w:hyperlink r:id="rId321">
        <w:r>
          <w:rPr>
            <w:color w:val="231F20"/>
            <w:w w:val="110"/>
            <w:sz w:val="18"/>
          </w:rPr>
          <w:t>http://obama.3cdn.net/85c9392c81570937d6_lqomvygpq.</w:t>
        </w:r>
      </w:hyperlink>
      <w:r>
        <w:rPr>
          <w:color w:val="231F20"/>
          <w:w w:val="110"/>
          <w:sz w:val="18"/>
        </w:rPr>
        <w:t> pdf&gt;, 23 de mayo.</w:t>
      </w:r>
    </w:p>
    <w:p>
      <w:pPr>
        <w:spacing w:line="254" w:lineRule="auto" w:before="1"/>
        <w:ind w:left="340" w:right="119" w:hanging="240"/>
        <w:jc w:val="both"/>
        <w:rPr>
          <w:sz w:val="18"/>
        </w:rPr>
      </w:pPr>
      <w:r>
        <w:rPr>
          <w:color w:val="231F20"/>
          <w:sz w:val="18"/>
        </w:rPr>
        <w:t>Prado Jr., Caio, 1957, </w:t>
      </w:r>
      <w:r>
        <w:rPr>
          <w:i/>
          <w:color w:val="231F20"/>
          <w:sz w:val="18"/>
        </w:rPr>
        <w:t>Esboço dos Fundamentos da Teoria Econômica</w:t>
      </w:r>
      <w:r>
        <w:rPr>
          <w:color w:val="231F20"/>
          <w:sz w:val="18"/>
        </w:rPr>
        <w:t>, Río de Ja- neiro,   Editorial  Brasiliense.</w:t>
      </w:r>
    </w:p>
    <w:p>
      <w:pPr>
        <w:spacing w:line="254" w:lineRule="auto" w:before="1"/>
        <w:ind w:left="340" w:right="119" w:hanging="240"/>
        <w:jc w:val="both"/>
        <w:rPr>
          <w:sz w:val="18"/>
        </w:rPr>
      </w:pPr>
      <w:r>
        <w:rPr>
          <w:color w:val="231F20"/>
          <w:sz w:val="18"/>
        </w:rPr>
        <w:t>Rabe, Stephen, 1999, </w:t>
      </w:r>
      <w:r>
        <w:rPr>
          <w:i/>
          <w:color w:val="231F20"/>
          <w:sz w:val="18"/>
        </w:rPr>
        <w:t>The most Dangerous Area in the World. John F. Kennedy </w:t>
      </w:r>
      <w:r>
        <w:rPr>
          <w:i/>
          <w:color w:val="231F20"/>
          <w:sz w:val="18"/>
        </w:rPr>
        <w:t>Confronts Communist Revolution in Latin America</w:t>
      </w:r>
      <w:r>
        <w:rPr>
          <w:color w:val="231F20"/>
          <w:sz w:val="18"/>
        </w:rPr>
        <w:t>, University of North Ca- rolina  Press.</w:t>
      </w:r>
    </w:p>
    <w:p>
      <w:pPr>
        <w:spacing w:line="254" w:lineRule="auto" w:before="1"/>
        <w:ind w:left="340" w:right="117" w:hanging="240"/>
        <w:jc w:val="both"/>
        <w:rPr>
          <w:sz w:val="18"/>
        </w:rPr>
      </w:pPr>
      <w:r>
        <w:rPr>
          <w:color w:val="231F20"/>
          <w:w w:val="105"/>
          <w:sz w:val="18"/>
        </w:rPr>
        <w:t>Radelet, Steven, 2008, “Modernizing Foreign Assistance for the 21st Century: An</w:t>
      </w:r>
      <w:r>
        <w:rPr>
          <w:color w:val="231F20"/>
          <w:spacing w:val="-9"/>
          <w:w w:val="105"/>
          <w:sz w:val="18"/>
        </w:rPr>
        <w:t> </w:t>
      </w:r>
      <w:r>
        <w:rPr>
          <w:color w:val="231F20"/>
          <w:w w:val="105"/>
          <w:sz w:val="18"/>
        </w:rPr>
        <w:t>Agenda</w:t>
      </w:r>
      <w:r>
        <w:rPr>
          <w:color w:val="231F20"/>
          <w:spacing w:val="-9"/>
          <w:w w:val="105"/>
          <w:sz w:val="18"/>
        </w:rPr>
        <w:t> </w:t>
      </w:r>
      <w:r>
        <w:rPr>
          <w:color w:val="231F20"/>
          <w:w w:val="105"/>
          <w:sz w:val="18"/>
        </w:rPr>
        <w:t>for</w:t>
      </w:r>
      <w:r>
        <w:rPr>
          <w:color w:val="231F20"/>
          <w:spacing w:val="-9"/>
          <w:w w:val="105"/>
          <w:sz w:val="18"/>
        </w:rPr>
        <w:t> </w:t>
      </w:r>
      <w:r>
        <w:rPr>
          <w:color w:val="231F20"/>
          <w:w w:val="105"/>
          <w:sz w:val="18"/>
        </w:rPr>
        <w:t>the</w:t>
      </w:r>
      <w:r>
        <w:rPr>
          <w:color w:val="231F20"/>
          <w:spacing w:val="-9"/>
          <w:w w:val="105"/>
          <w:sz w:val="18"/>
        </w:rPr>
        <w:t> </w:t>
      </w:r>
      <w:r>
        <w:rPr>
          <w:color w:val="231F20"/>
          <w:w w:val="105"/>
          <w:sz w:val="18"/>
        </w:rPr>
        <w:t>Next</w:t>
      </w:r>
      <w:r>
        <w:rPr>
          <w:color w:val="231F20"/>
          <w:spacing w:val="-9"/>
          <w:w w:val="105"/>
          <w:sz w:val="18"/>
        </w:rPr>
        <w:t> </w:t>
      </w:r>
      <w:r>
        <w:rPr>
          <w:color w:val="231F20"/>
          <w:w w:val="105"/>
          <w:sz w:val="18"/>
        </w:rPr>
        <w:t>U.S.</w:t>
      </w:r>
      <w:r>
        <w:rPr>
          <w:color w:val="231F20"/>
          <w:spacing w:val="-9"/>
          <w:w w:val="105"/>
          <w:sz w:val="18"/>
        </w:rPr>
        <w:t> </w:t>
      </w:r>
      <w:r>
        <w:rPr>
          <w:color w:val="231F20"/>
          <w:w w:val="105"/>
          <w:sz w:val="18"/>
        </w:rPr>
        <w:t>President”,</w:t>
      </w:r>
      <w:r>
        <w:rPr>
          <w:color w:val="231F20"/>
          <w:spacing w:val="-9"/>
          <w:w w:val="105"/>
          <w:sz w:val="18"/>
        </w:rPr>
        <w:t> </w:t>
      </w:r>
      <w:r>
        <w:rPr>
          <w:i/>
          <w:color w:val="231F20"/>
          <w:w w:val="105"/>
          <w:sz w:val="18"/>
        </w:rPr>
        <w:t>Center</w:t>
      </w:r>
      <w:r>
        <w:rPr>
          <w:i/>
          <w:color w:val="231F20"/>
          <w:spacing w:val="-9"/>
          <w:w w:val="105"/>
          <w:sz w:val="18"/>
        </w:rPr>
        <w:t> </w:t>
      </w:r>
      <w:r>
        <w:rPr>
          <w:i/>
          <w:color w:val="231F20"/>
          <w:w w:val="105"/>
          <w:sz w:val="18"/>
        </w:rPr>
        <w:t>for</w:t>
      </w:r>
      <w:r>
        <w:rPr>
          <w:i/>
          <w:color w:val="231F20"/>
          <w:spacing w:val="-9"/>
          <w:w w:val="105"/>
          <w:sz w:val="18"/>
        </w:rPr>
        <w:t> </w:t>
      </w:r>
      <w:r>
        <w:rPr>
          <w:i/>
          <w:color w:val="231F20"/>
          <w:w w:val="105"/>
          <w:sz w:val="18"/>
        </w:rPr>
        <w:t>Global</w:t>
      </w:r>
      <w:r>
        <w:rPr>
          <w:i/>
          <w:color w:val="231F20"/>
          <w:spacing w:val="-9"/>
          <w:w w:val="105"/>
          <w:sz w:val="18"/>
        </w:rPr>
        <w:t> </w:t>
      </w:r>
      <w:r>
        <w:rPr>
          <w:i/>
          <w:color w:val="231F20"/>
          <w:w w:val="105"/>
          <w:sz w:val="18"/>
        </w:rPr>
        <w:t>Developement</w:t>
      </w:r>
      <w:r>
        <w:rPr>
          <w:i/>
          <w:color w:val="231F20"/>
          <w:spacing w:val="-9"/>
          <w:w w:val="105"/>
          <w:sz w:val="18"/>
        </w:rPr>
        <w:t> </w:t>
      </w:r>
      <w:r>
        <w:rPr>
          <w:color w:val="231F20"/>
          <w:w w:val="105"/>
          <w:sz w:val="18"/>
        </w:rPr>
        <w:t>en</w:t>
      </w:r>
    </w:p>
    <w:p>
      <w:pPr>
        <w:spacing w:before="1"/>
        <w:ind w:left="340" w:right="25" w:firstLine="0"/>
        <w:jc w:val="left"/>
        <w:rPr>
          <w:sz w:val="18"/>
        </w:rPr>
      </w:pPr>
      <w:hyperlink r:id="rId317">
        <w:r>
          <w:rPr>
            <w:color w:val="231F20"/>
            <w:sz w:val="18"/>
          </w:rPr>
          <w:t>&lt;www.cgdev.org&gt;.</w:t>
        </w:r>
      </w:hyperlink>
    </w:p>
    <w:p>
      <w:pPr>
        <w:spacing w:line="254" w:lineRule="auto" w:before="13"/>
        <w:ind w:left="340" w:right="70" w:hanging="240"/>
        <w:jc w:val="left"/>
        <w:rPr>
          <w:sz w:val="18"/>
        </w:rPr>
      </w:pPr>
      <w:r>
        <w:rPr>
          <w:color w:val="231F20"/>
          <w:w w:val="110"/>
          <w:sz w:val="18"/>
        </w:rPr>
        <w:t>Rice, Condoleezza, 2008, “Rethinking the National Interest. American Realism for a New World”, Foreign Affairs, July/August en &lt;www.fore- ignaffairs.org/20080701faessay87401-p70/condoleezza-rice/rethinking- the-national-interest.html&gt;.</w:t>
      </w:r>
    </w:p>
    <w:p>
      <w:pPr>
        <w:spacing w:line="254" w:lineRule="auto" w:before="1"/>
        <w:ind w:left="340" w:right="113" w:hanging="240"/>
        <w:jc w:val="both"/>
        <w:rPr>
          <w:sz w:val="18"/>
        </w:rPr>
      </w:pPr>
      <w:r>
        <w:rPr>
          <w:color w:val="231F20"/>
          <w:w w:val="110"/>
          <w:sz w:val="18"/>
        </w:rPr>
        <w:t>Romano, Silvina, 2005, “La integración económica latinoamericana y las relaciones político-económicas con Estados Unidos (1960-1973). Ante- cedentes del alca y el mercosur”, </w:t>
      </w:r>
      <w:r>
        <w:rPr>
          <w:i/>
          <w:color w:val="231F20"/>
          <w:w w:val="110"/>
          <w:sz w:val="18"/>
        </w:rPr>
        <w:t>Programa Regional de Becas </w:t>
      </w:r>
      <w:r>
        <w:rPr>
          <w:color w:val="231F20"/>
          <w:w w:val="110"/>
          <w:sz w:val="18"/>
        </w:rPr>
        <w:t>clacso</w:t>
      </w:r>
      <w:r>
        <w:rPr>
          <w:color w:val="231F20"/>
          <w:spacing w:val="-23"/>
          <w:w w:val="110"/>
          <w:sz w:val="18"/>
        </w:rPr>
        <w:t> </w:t>
      </w:r>
      <w:r>
        <w:rPr>
          <w:color w:val="231F20"/>
          <w:w w:val="110"/>
          <w:sz w:val="18"/>
        </w:rPr>
        <w:t>en</w:t>
      </w:r>
    </w:p>
    <w:p>
      <w:pPr>
        <w:spacing w:line="254" w:lineRule="auto" w:before="1"/>
        <w:ind w:left="340" w:right="25" w:firstLine="0"/>
        <w:jc w:val="left"/>
        <w:rPr>
          <w:sz w:val="18"/>
        </w:rPr>
      </w:pPr>
      <w:hyperlink r:id="rId322">
        <w:r>
          <w:rPr>
            <w:color w:val="231F20"/>
            <w:w w:val="110"/>
            <w:sz w:val="18"/>
          </w:rPr>
          <w:t>&lt;http://bibliotecavirtual.clacso.org.ar/ar/libros/becas/2005/alcajov/</w:t>
        </w:r>
      </w:hyperlink>
      <w:r>
        <w:rPr>
          <w:color w:val="231F20"/>
          <w:w w:val="110"/>
          <w:sz w:val="18"/>
        </w:rPr>
        <w:t> romano.pdf&gt;.</w:t>
      </w:r>
    </w:p>
    <w:p>
      <w:pPr>
        <w:spacing w:line="254" w:lineRule="auto" w:before="1"/>
        <w:ind w:left="340" w:right="117" w:hanging="240"/>
        <w:jc w:val="both"/>
        <w:rPr>
          <w:sz w:val="18"/>
        </w:rPr>
      </w:pPr>
      <w:r>
        <w:rPr>
          <w:color w:val="231F20"/>
          <w:w w:val="105"/>
          <w:sz w:val="18"/>
        </w:rPr>
        <w:t>Romano, Silvina, 2009, “Democracia liberal y seguridad en el discurso del gobierno estadunidense: continuidades y rupturas” en Gandásegui Marco    y</w:t>
      </w:r>
      <w:r>
        <w:rPr>
          <w:color w:val="231F20"/>
          <w:spacing w:val="-20"/>
          <w:w w:val="105"/>
          <w:sz w:val="18"/>
        </w:rPr>
        <w:t> </w:t>
      </w:r>
      <w:r>
        <w:rPr>
          <w:color w:val="231F20"/>
          <w:w w:val="105"/>
          <w:sz w:val="18"/>
        </w:rPr>
        <w:t>Castillo</w:t>
      </w:r>
      <w:r>
        <w:rPr>
          <w:color w:val="231F20"/>
          <w:spacing w:val="-20"/>
          <w:w w:val="105"/>
          <w:sz w:val="18"/>
        </w:rPr>
        <w:t> </w:t>
      </w:r>
      <w:r>
        <w:rPr>
          <w:color w:val="231F20"/>
          <w:w w:val="105"/>
          <w:sz w:val="18"/>
        </w:rPr>
        <w:t>Fernandez,</w:t>
      </w:r>
      <w:r>
        <w:rPr>
          <w:color w:val="231F20"/>
          <w:spacing w:val="-20"/>
          <w:w w:val="105"/>
          <w:sz w:val="18"/>
        </w:rPr>
        <w:t> </w:t>
      </w:r>
      <w:r>
        <w:rPr>
          <w:color w:val="231F20"/>
          <w:w w:val="105"/>
          <w:sz w:val="18"/>
        </w:rPr>
        <w:t>Dídimo</w:t>
      </w:r>
      <w:r>
        <w:rPr>
          <w:color w:val="231F20"/>
          <w:spacing w:val="-20"/>
          <w:w w:val="105"/>
          <w:sz w:val="18"/>
        </w:rPr>
        <w:t> </w:t>
      </w:r>
      <w:r>
        <w:rPr>
          <w:color w:val="231F20"/>
          <w:w w:val="105"/>
          <w:sz w:val="18"/>
        </w:rPr>
        <w:t>(coord.)</w:t>
      </w:r>
      <w:r>
        <w:rPr>
          <w:color w:val="231F20"/>
          <w:spacing w:val="-21"/>
          <w:w w:val="105"/>
          <w:sz w:val="18"/>
        </w:rPr>
        <w:t> </w:t>
      </w:r>
      <w:r>
        <w:rPr>
          <w:i/>
          <w:color w:val="231F20"/>
          <w:w w:val="105"/>
          <w:sz w:val="18"/>
        </w:rPr>
        <w:t>Estados</w:t>
      </w:r>
      <w:r>
        <w:rPr>
          <w:i/>
          <w:color w:val="231F20"/>
          <w:spacing w:val="-20"/>
          <w:w w:val="105"/>
          <w:sz w:val="18"/>
        </w:rPr>
        <w:t> </w:t>
      </w:r>
      <w:r>
        <w:rPr>
          <w:i/>
          <w:color w:val="231F20"/>
          <w:w w:val="105"/>
          <w:sz w:val="18"/>
        </w:rPr>
        <w:t>Unidos:</w:t>
      </w:r>
      <w:r>
        <w:rPr>
          <w:i/>
          <w:color w:val="231F20"/>
          <w:spacing w:val="-20"/>
          <w:w w:val="105"/>
          <w:sz w:val="18"/>
        </w:rPr>
        <w:t> </w:t>
      </w:r>
      <w:r>
        <w:rPr>
          <w:i/>
          <w:color w:val="231F20"/>
          <w:w w:val="105"/>
          <w:sz w:val="18"/>
        </w:rPr>
        <w:t>nuevas</w:t>
      </w:r>
      <w:r>
        <w:rPr>
          <w:i/>
          <w:color w:val="231F20"/>
          <w:spacing w:val="-20"/>
          <w:w w:val="105"/>
          <w:sz w:val="18"/>
        </w:rPr>
        <w:t> </w:t>
      </w:r>
      <w:r>
        <w:rPr>
          <w:i/>
          <w:color w:val="231F20"/>
          <w:w w:val="105"/>
          <w:sz w:val="18"/>
        </w:rPr>
        <w:t>condiciones</w:t>
      </w:r>
      <w:r>
        <w:rPr>
          <w:i/>
          <w:color w:val="231F20"/>
          <w:spacing w:val="-20"/>
          <w:w w:val="105"/>
          <w:sz w:val="18"/>
        </w:rPr>
        <w:t> </w:t>
      </w:r>
      <w:r>
        <w:rPr>
          <w:i/>
          <w:color w:val="231F20"/>
          <w:w w:val="105"/>
          <w:sz w:val="18"/>
        </w:rPr>
        <w:t>de </w:t>
      </w:r>
      <w:r>
        <w:rPr>
          <w:i/>
          <w:color w:val="231F20"/>
          <w:w w:val="105"/>
          <w:sz w:val="18"/>
        </w:rPr>
        <w:t>legitimación</w:t>
      </w:r>
      <w:r>
        <w:rPr>
          <w:color w:val="231F20"/>
          <w:w w:val="105"/>
          <w:sz w:val="18"/>
        </w:rPr>
        <w:t>, México, clacso-Siglo XXI</w:t>
      </w:r>
      <w:r>
        <w:rPr>
          <w:color w:val="231F20"/>
          <w:spacing w:val="34"/>
          <w:w w:val="105"/>
          <w:sz w:val="18"/>
        </w:rPr>
        <w:t> </w:t>
      </w:r>
      <w:r>
        <w:rPr>
          <w:color w:val="231F20"/>
          <w:w w:val="105"/>
          <w:sz w:val="18"/>
        </w:rPr>
        <w:t>Editores.</w:t>
      </w:r>
    </w:p>
    <w:p>
      <w:pPr>
        <w:spacing w:line="254" w:lineRule="auto" w:before="1"/>
        <w:ind w:left="340" w:right="118" w:hanging="240"/>
        <w:jc w:val="both"/>
        <w:rPr>
          <w:sz w:val="18"/>
        </w:rPr>
      </w:pPr>
      <w:r>
        <w:rPr>
          <w:color w:val="231F20"/>
          <w:sz w:val="18"/>
        </w:rPr>
        <w:t>Rostow, Walter, 1961, </w:t>
      </w:r>
      <w:r>
        <w:rPr>
          <w:i/>
          <w:color w:val="231F20"/>
          <w:sz w:val="18"/>
        </w:rPr>
        <w:t>Las etapas del crecimiento económico: Un manifiesto no </w:t>
      </w:r>
      <w:r>
        <w:rPr>
          <w:i/>
          <w:color w:val="231F20"/>
          <w:sz w:val="18"/>
        </w:rPr>
        <w:t>comunista</w:t>
      </w:r>
      <w:r>
        <w:rPr>
          <w:color w:val="231F20"/>
          <w:sz w:val="18"/>
        </w:rPr>
        <w:t>,  México,  fce.</w:t>
      </w:r>
    </w:p>
    <w:p>
      <w:pPr>
        <w:spacing w:before="1"/>
        <w:ind w:left="100" w:right="25" w:firstLine="0"/>
        <w:jc w:val="left"/>
        <w:rPr>
          <w:sz w:val="18"/>
        </w:rPr>
      </w:pPr>
      <w:r>
        <w:rPr>
          <w:color w:val="231F20"/>
          <w:sz w:val="18"/>
        </w:rPr>
        <w:t>Saxe Fernandez, John, 2006, </w:t>
      </w:r>
      <w:r>
        <w:rPr>
          <w:i/>
          <w:color w:val="231F20"/>
          <w:sz w:val="18"/>
        </w:rPr>
        <w:t>Terror  e Imperio</w:t>
      </w:r>
      <w:r>
        <w:rPr>
          <w:color w:val="231F20"/>
          <w:sz w:val="18"/>
        </w:rPr>
        <w:t>, México,    Arena.</w:t>
      </w:r>
    </w:p>
    <w:p>
      <w:pPr>
        <w:spacing w:line="254" w:lineRule="auto" w:before="13"/>
        <w:ind w:left="340" w:right="119" w:hanging="240"/>
        <w:jc w:val="both"/>
        <w:rPr>
          <w:sz w:val="18"/>
        </w:rPr>
      </w:pPr>
      <w:r>
        <w:rPr>
          <w:color w:val="231F20"/>
          <w:w w:val="105"/>
          <w:sz w:val="18"/>
        </w:rPr>
        <w:t>Schumpeter,</w:t>
      </w:r>
      <w:r>
        <w:rPr>
          <w:color w:val="231F20"/>
          <w:spacing w:val="-16"/>
          <w:w w:val="105"/>
          <w:sz w:val="18"/>
        </w:rPr>
        <w:t> </w:t>
      </w:r>
      <w:r>
        <w:rPr>
          <w:color w:val="231F20"/>
          <w:w w:val="105"/>
          <w:sz w:val="18"/>
        </w:rPr>
        <w:t>Joseph,</w:t>
      </w:r>
      <w:r>
        <w:rPr>
          <w:color w:val="231F20"/>
          <w:spacing w:val="-16"/>
          <w:w w:val="105"/>
          <w:sz w:val="18"/>
        </w:rPr>
        <w:t> </w:t>
      </w:r>
      <w:r>
        <w:rPr>
          <w:color w:val="231F20"/>
          <w:w w:val="105"/>
          <w:sz w:val="18"/>
        </w:rPr>
        <w:t>1996,</w:t>
      </w:r>
      <w:r>
        <w:rPr>
          <w:color w:val="231F20"/>
          <w:spacing w:val="-16"/>
          <w:w w:val="105"/>
          <w:sz w:val="18"/>
        </w:rPr>
        <w:t> </w:t>
      </w:r>
      <w:r>
        <w:rPr>
          <w:i/>
          <w:color w:val="231F20"/>
          <w:w w:val="105"/>
          <w:sz w:val="18"/>
        </w:rPr>
        <w:t>Capitalismo,</w:t>
      </w:r>
      <w:r>
        <w:rPr>
          <w:i/>
          <w:color w:val="231F20"/>
          <w:spacing w:val="-16"/>
          <w:w w:val="105"/>
          <w:sz w:val="18"/>
        </w:rPr>
        <w:t> </w:t>
      </w:r>
      <w:r>
        <w:rPr>
          <w:i/>
          <w:color w:val="231F20"/>
          <w:w w:val="105"/>
          <w:sz w:val="18"/>
        </w:rPr>
        <w:t>socialismo</w:t>
      </w:r>
      <w:r>
        <w:rPr>
          <w:i/>
          <w:color w:val="231F20"/>
          <w:spacing w:val="-16"/>
          <w:w w:val="105"/>
          <w:sz w:val="18"/>
        </w:rPr>
        <w:t> </w:t>
      </w:r>
      <w:r>
        <w:rPr>
          <w:i/>
          <w:color w:val="231F20"/>
          <w:w w:val="105"/>
          <w:sz w:val="18"/>
        </w:rPr>
        <w:t>y</w:t>
      </w:r>
      <w:r>
        <w:rPr>
          <w:i/>
          <w:color w:val="231F20"/>
          <w:spacing w:val="-16"/>
          <w:w w:val="105"/>
          <w:sz w:val="18"/>
        </w:rPr>
        <w:t> </w:t>
      </w:r>
      <w:r>
        <w:rPr>
          <w:i/>
          <w:color w:val="231F20"/>
          <w:w w:val="105"/>
          <w:sz w:val="18"/>
        </w:rPr>
        <w:t>democracia</w:t>
      </w:r>
      <w:r>
        <w:rPr>
          <w:color w:val="231F20"/>
          <w:w w:val="105"/>
          <w:sz w:val="18"/>
        </w:rPr>
        <w:t>,</w:t>
      </w:r>
      <w:r>
        <w:rPr>
          <w:color w:val="231F20"/>
          <w:spacing w:val="-16"/>
          <w:w w:val="105"/>
          <w:sz w:val="18"/>
        </w:rPr>
        <w:t> </w:t>
      </w:r>
      <w:r>
        <w:rPr>
          <w:color w:val="231F20"/>
          <w:w w:val="105"/>
          <w:sz w:val="18"/>
        </w:rPr>
        <w:t>tomo</w:t>
      </w:r>
      <w:r>
        <w:rPr>
          <w:color w:val="231F20"/>
          <w:spacing w:val="-16"/>
          <w:w w:val="105"/>
          <w:sz w:val="18"/>
        </w:rPr>
        <w:t> </w:t>
      </w:r>
      <w:r>
        <w:rPr>
          <w:color w:val="231F20"/>
          <w:w w:val="105"/>
          <w:sz w:val="18"/>
        </w:rPr>
        <w:t>ii,</w:t>
      </w:r>
      <w:r>
        <w:rPr>
          <w:color w:val="231F20"/>
          <w:spacing w:val="-16"/>
          <w:w w:val="105"/>
          <w:sz w:val="18"/>
        </w:rPr>
        <w:t> </w:t>
      </w:r>
      <w:r>
        <w:rPr>
          <w:color w:val="231F20"/>
          <w:w w:val="105"/>
          <w:sz w:val="18"/>
        </w:rPr>
        <w:t>Espa-</w:t>
      </w:r>
      <w:r>
        <w:rPr>
          <w:color w:val="231F20"/>
          <w:w w:val="72"/>
          <w:sz w:val="18"/>
        </w:rPr>
        <w:t> </w:t>
      </w:r>
      <w:r>
        <w:rPr>
          <w:color w:val="231F20"/>
          <w:w w:val="105"/>
          <w:sz w:val="18"/>
        </w:rPr>
        <w:t>ña,  Ediciones</w:t>
      </w:r>
      <w:r>
        <w:rPr>
          <w:color w:val="231F20"/>
          <w:spacing w:val="7"/>
          <w:w w:val="105"/>
          <w:sz w:val="18"/>
        </w:rPr>
        <w:t> </w:t>
      </w:r>
      <w:r>
        <w:rPr>
          <w:color w:val="231F20"/>
          <w:w w:val="105"/>
          <w:sz w:val="18"/>
        </w:rPr>
        <w:t>Folio.</w:t>
      </w:r>
    </w:p>
    <w:p>
      <w:pPr>
        <w:spacing w:line="254" w:lineRule="auto" w:before="1"/>
        <w:ind w:left="340" w:right="119" w:hanging="240"/>
        <w:jc w:val="both"/>
        <w:rPr>
          <w:sz w:val="18"/>
        </w:rPr>
      </w:pPr>
      <w:r>
        <w:rPr>
          <w:color w:val="231F20"/>
          <w:sz w:val="18"/>
        </w:rPr>
        <w:t>Suárez</w:t>
      </w:r>
      <w:r>
        <w:rPr>
          <w:color w:val="231F20"/>
          <w:spacing w:val="-10"/>
          <w:sz w:val="18"/>
        </w:rPr>
        <w:t> </w:t>
      </w:r>
      <w:r>
        <w:rPr>
          <w:color w:val="231F20"/>
          <w:sz w:val="18"/>
        </w:rPr>
        <w:t>Salazar,</w:t>
      </w:r>
      <w:r>
        <w:rPr>
          <w:color w:val="231F20"/>
          <w:spacing w:val="-10"/>
          <w:sz w:val="18"/>
        </w:rPr>
        <w:t> </w:t>
      </w:r>
      <w:r>
        <w:rPr>
          <w:color w:val="231F20"/>
          <w:sz w:val="18"/>
        </w:rPr>
        <w:t>Luis,</w:t>
      </w:r>
      <w:r>
        <w:rPr>
          <w:color w:val="231F20"/>
          <w:spacing w:val="-10"/>
          <w:sz w:val="18"/>
        </w:rPr>
        <w:t> </w:t>
      </w:r>
      <w:r>
        <w:rPr>
          <w:color w:val="231F20"/>
          <w:sz w:val="18"/>
        </w:rPr>
        <w:t>2006,</w:t>
      </w:r>
      <w:r>
        <w:rPr>
          <w:color w:val="231F20"/>
          <w:spacing w:val="-10"/>
          <w:sz w:val="18"/>
        </w:rPr>
        <w:t> </w:t>
      </w:r>
      <w:r>
        <w:rPr>
          <w:i/>
          <w:color w:val="231F20"/>
          <w:sz w:val="18"/>
        </w:rPr>
        <w:t>Un</w:t>
      </w:r>
      <w:r>
        <w:rPr>
          <w:i/>
          <w:color w:val="231F20"/>
          <w:spacing w:val="-10"/>
          <w:sz w:val="18"/>
        </w:rPr>
        <w:t> </w:t>
      </w:r>
      <w:r>
        <w:rPr>
          <w:i/>
          <w:color w:val="231F20"/>
          <w:sz w:val="18"/>
        </w:rPr>
        <w:t>siglo</w:t>
      </w:r>
      <w:r>
        <w:rPr>
          <w:i/>
          <w:color w:val="231F20"/>
          <w:spacing w:val="-10"/>
          <w:sz w:val="18"/>
        </w:rPr>
        <w:t> </w:t>
      </w:r>
      <w:r>
        <w:rPr>
          <w:i/>
          <w:color w:val="231F20"/>
          <w:sz w:val="18"/>
        </w:rPr>
        <w:t>de</w:t>
      </w:r>
      <w:r>
        <w:rPr>
          <w:i/>
          <w:color w:val="231F20"/>
          <w:spacing w:val="-10"/>
          <w:sz w:val="18"/>
        </w:rPr>
        <w:t> </w:t>
      </w:r>
      <w:r>
        <w:rPr>
          <w:i/>
          <w:color w:val="231F20"/>
          <w:sz w:val="18"/>
        </w:rPr>
        <w:t>terror</w:t>
      </w:r>
      <w:r>
        <w:rPr>
          <w:i/>
          <w:color w:val="231F20"/>
          <w:spacing w:val="-10"/>
          <w:sz w:val="18"/>
        </w:rPr>
        <w:t> </w:t>
      </w:r>
      <w:r>
        <w:rPr>
          <w:i/>
          <w:color w:val="231F20"/>
          <w:sz w:val="18"/>
        </w:rPr>
        <w:t>en</w:t>
      </w:r>
      <w:r>
        <w:rPr>
          <w:i/>
          <w:color w:val="231F20"/>
          <w:spacing w:val="-10"/>
          <w:sz w:val="18"/>
        </w:rPr>
        <w:t> </w:t>
      </w:r>
      <w:r>
        <w:rPr>
          <w:i/>
          <w:color w:val="231F20"/>
          <w:sz w:val="18"/>
        </w:rPr>
        <w:t>América</w:t>
      </w:r>
      <w:r>
        <w:rPr>
          <w:i/>
          <w:color w:val="231F20"/>
          <w:spacing w:val="-10"/>
          <w:sz w:val="18"/>
        </w:rPr>
        <w:t> </w:t>
      </w:r>
      <w:r>
        <w:rPr>
          <w:i/>
          <w:color w:val="231F20"/>
          <w:sz w:val="18"/>
        </w:rPr>
        <w:t>Latina.</w:t>
      </w:r>
      <w:r>
        <w:rPr>
          <w:i/>
          <w:color w:val="231F20"/>
          <w:spacing w:val="-10"/>
          <w:sz w:val="18"/>
        </w:rPr>
        <w:t> </w:t>
      </w:r>
      <w:r>
        <w:rPr>
          <w:i/>
          <w:color w:val="231F20"/>
          <w:sz w:val="18"/>
        </w:rPr>
        <w:t>Crónica</w:t>
      </w:r>
      <w:r>
        <w:rPr>
          <w:i/>
          <w:color w:val="231F20"/>
          <w:spacing w:val="-10"/>
          <w:sz w:val="18"/>
        </w:rPr>
        <w:t> </w:t>
      </w:r>
      <w:r>
        <w:rPr>
          <w:i/>
          <w:color w:val="231F20"/>
          <w:sz w:val="18"/>
        </w:rPr>
        <w:t>de</w:t>
      </w:r>
      <w:r>
        <w:rPr>
          <w:i/>
          <w:color w:val="231F20"/>
          <w:spacing w:val="-10"/>
          <w:sz w:val="18"/>
        </w:rPr>
        <w:t> </w:t>
      </w:r>
      <w:r>
        <w:rPr>
          <w:i/>
          <w:color w:val="231F20"/>
          <w:sz w:val="18"/>
        </w:rPr>
        <w:t>críme- </w:t>
      </w:r>
      <w:r>
        <w:rPr>
          <w:i/>
          <w:color w:val="231F20"/>
          <w:sz w:val="18"/>
        </w:rPr>
        <w:t>nes</w:t>
      </w:r>
      <w:r>
        <w:rPr>
          <w:i/>
          <w:color w:val="231F20"/>
          <w:spacing w:val="17"/>
          <w:sz w:val="18"/>
        </w:rPr>
        <w:t> </w:t>
      </w:r>
      <w:r>
        <w:rPr>
          <w:i/>
          <w:color w:val="231F20"/>
          <w:sz w:val="18"/>
        </w:rPr>
        <w:t>de</w:t>
      </w:r>
      <w:r>
        <w:rPr>
          <w:i/>
          <w:color w:val="231F20"/>
          <w:spacing w:val="17"/>
          <w:sz w:val="18"/>
        </w:rPr>
        <w:t> </w:t>
      </w:r>
      <w:r>
        <w:rPr>
          <w:i/>
          <w:color w:val="231F20"/>
          <w:sz w:val="18"/>
        </w:rPr>
        <w:t>Estados</w:t>
      </w:r>
      <w:r>
        <w:rPr>
          <w:i/>
          <w:color w:val="231F20"/>
          <w:spacing w:val="17"/>
          <w:sz w:val="18"/>
        </w:rPr>
        <w:t> </w:t>
      </w:r>
      <w:r>
        <w:rPr>
          <w:i/>
          <w:color w:val="231F20"/>
          <w:sz w:val="18"/>
        </w:rPr>
        <w:t>Unidos</w:t>
      </w:r>
      <w:r>
        <w:rPr>
          <w:i/>
          <w:color w:val="231F20"/>
          <w:spacing w:val="17"/>
          <w:sz w:val="18"/>
        </w:rPr>
        <w:t> </w:t>
      </w:r>
      <w:r>
        <w:rPr>
          <w:i/>
          <w:color w:val="231F20"/>
          <w:sz w:val="18"/>
        </w:rPr>
        <w:t>contra</w:t>
      </w:r>
      <w:r>
        <w:rPr>
          <w:i/>
          <w:color w:val="231F20"/>
          <w:spacing w:val="17"/>
          <w:sz w:val="18"/>
        </w:rPr>
        <w:t> </w:t>
      </w:r>
      <w:r>
        <w:rPr>
          <w:i/>
          <w:color w:val="231F20"/>
          <w:sz w:val="18"/>
        </w:rPr>
        <w:t>la</w:t>
      </w:r>
      <w:r>
        <w:rPr>
          <w:i/>
          <w:color w:val="231F20"/>
          <w:spacing w:val="17"/>
          <w:sz w:val="18"/>
        </w:rPr>
        <w:t> </w:t>
      </w:r>
      <w:r>
        <w:rPr>
          <w:i/>
          <w:color w:val="231F20"/>
          <w:sz w:val="18"/>
        </w:rPr>
        <w:t>humanidad</w:t>
      </w:r>
      <w:r>
        <w:rPr>
          <w:color w:val="231F20"/>
          <w:sz w:val="18"/>
        </w:rPr>
        <w:t>,</w:t>
      </w:r>
      <w:r>
        <w:rPr>
          <w:color w:val="231F20"/>
          <w:spacing w:val="17"/>
          <w:sz w:val="18"/>
        </w:rPr>
        <w:t> </w:t>
      </w:r>
      <w:r>
        <w:rPr>
          <w:color w:val="231F20"/>
          <w:sz w:val="18"/>
        </w:rPr>
        <w:t>La</w:t>
      </w:r>
      <w:r>
        <w:rPr>
          <w:color w:val="231F20"/>
          <w:spacing w:val="17"/>
          <w:sz w:val="18"/>
        </w:rPr>
        <w:t> </w:t>
      </w:r>
      <w:r>
        <w:rPr>
          <w:color w:val="231F20"/>
          <w:sz w:val="18"/>
        </w:rPr>
        <w:t>Habana,</w:t>
      </w:r>
      <w:r>
        <w:rPr>
          <w:color w:val="231F20"/>
          <w:spacing w:val="17"/>
          <w:sz w:val="18"/>
        </w:rPr>
        <w:t> </w:t>
      </w:r>
      <w:r>
        <w:rPr>
          <w:color w:val="231F20"/>
          <w:sz w:val="18"/>
        </w:rPr>
        <w:t>Ocean</w:t>
      </w:r>
      <w:r>
        <w:rPr>
          <w:color w:val="231F20"/>
          <w:spacing w:val="17"/>
          <w:sz w:val="18"/>
        </w:rPr>
        <w:t> </w:t>
      </w:r>
      <w:r>
        <w:rPr>
          <w:color w:val="231F20"/>
          <w:spacing w:val="-4"/>
          <w:sz w:val="18"/>
        </w:rPr>
        <w:t>Sur.</w:t>
      </w:r>
    </w:p>
    <w:p>
      <w:pPr>
        <w:spacing w:line="254" w:lineRule="auto" w:before="1"/>
        <w:ind w:left="340" w:right="117" w:hanging="240"/>
        <w:jc w:val="both"/>
        <w:rPr>
          <w:sz w:val="18"/>
        </w:rPr>
      </w:pPr>
      <w:r>
        <w:rPr>
          <w:color w:val="231F20"/>
          <w:sz w:val="18"/>
        </w:rPr>
        <w:t>Sunkel, Osvaldo, 1975, </w:t>
      </w:r>
      <w:r>
        <w:rPr>
          <w:i/>
          <w:color w:val="231F20"/>
          <w:sz w:val="18"/>
        </w:rPr>
        <w:t>Capitalismo transnacional y desintegración nacional en </w:t>
      </w:r>
      <w:r>
        <w:rPr>
          <w:i/>
          <w:color w:val="231F20"/>
          <w:sz w:val="18"/>
        </w:rPr>
        <w:t>América Latina</w:t>
      </w:r>
      <w:r>
        <w:rPr>
          <w:color w:val="231F20"/>
          <w:sz w:val="18"/>
        </w:rPr>
        <w:t>, Buenos Aires, Nueva   Visión.</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pacing w:val="5"/>
          <w:sz w:val="18"/>
        </w:rPr>
        <w:t> </w:t>
      </w:r>
      <w:r>
        <w:rPr>
          <w:color w:val="231F20"/>
          <w:sz w:val="18"/>
        </w:rPr>
        <w:t>y</w:t>
      </w:r>
      <w:r>
        <w:rPr>
          <w:color w:val="231F20"/>
          <w:spacing w:val="-18"/>
          <w:sz w:val="18"/>
        </w:rPr>
        <w:t> </w:t>
      </w:r>
      <w:r>
        <w:rPr>
          <w:color w:val="231F20"/>
          <w:sz w:val="18"/>
        </w:rPr>
        <w:t>Paz,</w:t>
      </w:r>
      <w:r>
        <w:rPr>
          <w:color w:val="231F20"/>
          <w:spacing w:val="-18"/>
          <w:sz w:val="18"/>
        </w:rPr>
        <w:t> </w:t>
      </w:r>
      <w:r>
        <w:rPr>
          <w:color w:val="231F20"/>
          <w:sz w:val="18"/>
        </w:rPr>
        <w:t>Pedro,</w:t>
      </w:r>
      <w:r>
        <w:rPr>
          <w:color w:val="231F20"/>
          <w:spacing w:val="-18"/>
          <w:sz w:val="18"/>
        </w:rPr>
        <w:t> </w:t>
      </w:r>
      <w:r>
        <w:rPr>
          <w:color w:val="231F20"/>
          <w:sz w:val="18"/>
        </w:rPr>
        <w:t>1973,</w:t>
      </w:r>
      <w:r>
        <w:rPr>
          <w:color w:val="231F20"/>
          <w:spacing w:val="-18"/>
          <w:sz w:val="18"/>
        </w:rPr>
        <w:t> </w:t>
      </w:r>
      <w:r>
        <w:rPr>
          <w:i/>
          <w:color w:val="231F20"/>
          <w:sz w:val="18"/>
        </w:rPr>
        <w:t>El</w:t>
      </w:r>
      <w:r>
        <w:rPr>
          <w:i/>
          <w:color w:val="231F20"/>
          <w:spacing w:val="-18"/>
          <w:sz w:val="18"/>
        </w:rPr>
        <w:t> </w:t>
      </w:r>
      <w:r>
        <w:rPr>
          <w:i/>
          <w:color w:val="231F20"/>
          <w:sz w:val="18"/>
        </w:rPr>
        <w:t>subdesarrollo</w:t>
      </w:r>
      <w:r>
        <w:rPr>
          <w:i/>
          <w:color w:val="231F20"/>
          <w:spacing w:val="-18"/>
          <w:sz w:val="18"/>
        </w:rPr>
        <w:t> </w:t>
      </w:r>
      <w:r>
        <w:rPr>
          <w:i/>
          <w:color w:val="231F20"/>
          <w:sz w:val="18"/>
        </w:rPr>
        <w:t>latinoamericano</w:t>
      </w:r>
      <w:r>
        <w:rPr>
          <w:i/>
          <w:color w:val="231F20"/>
          <w:spacing w:val="-18"/>
          <w:sz w:val="18"/>
        </w:rPr>
        <w:t> </w:t>
      </w:r>
      <w:r>
        <w:rPr>
          <w:i/>
          <w:color w:val="231F20"/>
          <w:sz w:val="18"/>
        </w:rPr>
        <w:t>y</w:t>
      </w:r>
      <w:r>
        <w:rPr>
          <w:i/>
          <w:color w:val="231F20"/>
          <w:spacing w:val="-18"/>
          <w:sz w:val="18"/>
        </w:rPr>
        <w:t> </w:t>
      </w:r>
      <w:r>
        <w:rPr>
          <w:i/>
          <w:color w:val="231F20"/>
          <w:sz w:val="18"/>
        </w:rPr>
        <w:t>la</w:t>
      </w:r>
      <w:r>
        <w:rPr>
          <w:i/>
          <w:color w:val="231F20"/>
          <w:spacing w:val="-18"/>
          <w:sz w:val="18"/>
        </w:rPr>
        <w:t> </w:t>
      </w:r>
      <w:r>
        <w:rPr>
          <w:i/>
          <w:color w:val="231F20"/>
          <w:sz w:val="18"/>
        </w:rPr>
        <w:t>teoría</w:t>
      </w:r>
      <w:r>
        <w:rPr>
          <w:i/>
          <w:color w:val="231F20"/>
          <w:spacing w:val="-18"/>
          <w:sz w:val="18"/>
        </w:rPr>
        <w:t> </w:t>
      </w:r>
      <w:r>
        <w:rPr>
          <w:i/>
          <w:color w:val="231F20"/>
          <w:sz w:val="18"/>
        </w:rPr>
        <w:t>del</w:t>
      </w:r>
      <w:r>
        <w:rPr>
          <w:i/>
          <w:color w:val="231F20"/>
          <w:spacing w:val="-18"/>
          <w:sz w:val="18"/>
        </w:rPr>
        <w:t> </w:t>
      </w:r>
      <w:r>
        <w:rPr>
          <w:i/>
          <w:color w:val="231F20"/>
          <w:sz w:val="18"/>
        </w:rPr>
        <w:t>desarrollo</w:t>
      </w:r>
      <w:r>
        <w:rPr>
          <w:color w:val="231F20"/>
          <w:sz w:val="18"/>
        </w:rPr>
        <w:t>, Madrid,   Siglo   XXI </w:t>
      </w:r>
      <w:r>
        <w:rPr>
          <w:color w:val="231F20"/>
          <w:spacing w:val="11"/>
          <w:sz w:val="18"/>
        </w:rPr>
        <w:t> </w:t>
      </w:r>
      <w:r>
        <w:rPr>
          <w:color w:val="231F20"/>
          <w:w w:val="105"/>
          <w:sz w:val="18"/>
        </w:rPr>
        <w:t>Editores.</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17" w:hanging="240"/>
        <w:jc w:val="both"/>
        <w:rPr>
          <w:sz w:val="18"/>
        </w:rPr>
      </w:pPr>
      <w:r>
        <w:rPr>
          <w:color w:val="231F20"/>
          <w:sz w:val="18"/>
        </w:rPr>
        <w:t>Sweezy, Paul, 1973, </w:t>
      </w:r>
      <w:r>
        <w:rPr>
          <w:i/>
          <w:color w:val="231F20"/>
          <w:sz w:val="18"/>
        </w:rPr>
        <w:t>Capitalismo e imperialismo norteamericano</w:t>
      </w:r>
      <w:r>
        <w:rPr>
          <w:color w:val="231F20"/>
          <w:sz w:val="18"/>
        </w:rPr>
        <w:t>, Buenos Aires, Merayo.</w:t>
      </w:r>
    </w:p>
    <w:p>
      <w:pPr>
        <w:spacing w:line="254" w:lineRule="auto" w:before="1"/>
        <w:ind w:left="340" w:right="103" w:hanging="240"/>
        <w:jc w:val="left"/>
        <w:rPr>
          <w:sz w:val="18"/>
        </w:rPr>
      </w:pPr>
      <w:r>
        <w:rPr>
          <w:color w:val="231F20"/>
          <w:w w:val="110"/>
          <w:sz w:val="18"/>
        </w:rPr>
        <w:t>Unger, Noam, 2009, “Global Development 2.0: An Expanding Ecosys- tem”, en </w:t>
      </w:r>
      <w:hyperlink r:id="rId323">
        <w:r>
          <w:rPr>
            <w:color w:val="231F20"/>
            <w:w w:val="110"/>
            <w:sz w:val="18"/>
          </w:rPr>
          <w:t>&lt;www.brookings.edu/articles/2009/~/media/Files/rc/art</w:t>
        </w:r>
      </w:hyperlink>
      <w:r>
        <w:rPr>
          <w:color w:val="231F20"/>
          <w:w w:val="110"/>
          <w:sz w:val="18"/>
        </w:rPr>
        <w:t>i</w:t>
      </w:r>
      <w:hyperlink r:id="rId323">
        <w:r>
          <w:rPr>
            <w:color w:val="231F20"/>
            <w:w w:val="110"/>
            <w:sz w:val="18"/>
          </w:rPr>
          <w:t>-</w:t>
        </w:r>
      </w:hyperlink>
      <w:r>
        <w:rPr>
          <w:color w:val="231F20"/>
          <w:w w:val="110"/>
          <w:sz w:val="18"/>
        </w:rPr>
        <w:t> cles/2009/03_global_development_unger/03_global_development_un- ger.pdf&gt;.</w:t>
      </w:r>
    </w:p>
    <w:p>
      <w:pPr>
        <w:spacing w:line="254" w:lineRule="auto" w:before="1"/>
        <w:ind w:left="340" w:right="119" w:hanging="240"/>
        <w:jc w:val="both"/>
        <w:rPr>
          <w:sz w:val="18"/>
        </w:rPr>
      </w:pPr>
      <w:r>
        <w:rPr>
          <w:color w:val="231F20"/>
          <w:sz w:val="18"/>
        </w:rPr>
        <w:t>Veneroni,</w:t>
      </w:r>
      <w:r>
        <w:rPr>
          <w:color w:val="231F20"/>
          <w:spacing w:val="-7"/>
          <w:sz w:val="18"/>
        </w:rPr>
        <w:t> </w:t>
      </w:r>
      <w:r>
        <w:rPr>
          <w:color w:val="231F20"/>
          <w:sz w:val="18"/>
        </w:rPr>
        <w:t>Horacio,</w:t>
      </w:r>
      <w:r>
        <w:rPr>
          <w:color w:val="231F20"/>
          <w:spacing w:val="-7"/>
          <w:sz w:val="18"/>
        </w:rPr>
        <w:t> </w:t>
      </w:r>
      <w:r>
        <w:rPr>
          <w:color w:val="231F20"/>
          <w:sz w:val="18"/>
        </w:rPr>
        <w:t>1971,</w:t>
      </w:r>
      <w:r>
        <w:rPr>
          <w:color w:val="231F20"/>
          <w:spacing w:val="-7"/>
          <w:sz w:val="18"/>
        </w:rPr>
        <w:t> </w:t>
      </w:r>
      <w:r>
        <w:rPr>
          <w:i/>
          <w:color w:val="231F20"/>
          <w:sz w:val="18"/>
        </w:rPr>
        <w:t>Estados</w:t>
      </w:r>
      <w:r>
        <w:rPr>
          <w:i/>
          <w:color w:val="231F20"/>
          <w:spacing w:val="-7"/>
          <w:sz w:val="18"/>
        </w:rPr>
        <w:t> </w:t>
      </w:r>
      <w:r>
        <w:rPr>
          <w:i/>
          <w:color w:val="231F20"/>
          <w:sz w:val="18"/>
        </w:rPr>
        <w:t>Unidos</w:t>
      </w:r>
      <w:r>
        <w:rPr>
          <w:i/>
          <w:color w:val="231F20"/>
          <w:spacing w:val="-7"/>
          <w:sz w:val="18"/>
        </w:rPr>
        <w:t> </w:t>
      </w:r>
      <w:r>
        <w:rPr>
          <w:i/>
          <w:color w:val="231F20"/>
          <w:sz w:val="18"/>
        </w:rPr>
        <w:t>y</w:t>
      </w:r>
      <w:r>
        <w:rPr>
          <w:i/>
          <w:color w:val="231F20"/>
          <w:spacing w:val="-7"/>
          <w:sz w:val="18"/>
        </w:rPr>
        <w:t> </w:t>
      </w:r>
      <w:r>
        <w:rPr>
          <w:i/>
          <w:color w:val="231F20"/>
          <w:sz w:val="18"/>
        </w:rPr>
        <w:t>las</w:t>
      </w:r>
      <w:r>
        <w:rPr>
          <w:i/>
          <w:color w:val="231F20"/>
          <w:spacing w:val="-7"/>
          <w:sz w:val="18"/>
        </w:rPr>
        <w:t> </w:t>
      </w:r>
      <w:r>
        <w:rPr>
          <w:i/>
          <w:color w:val="231F20"/>
          <w:sz w:val="18"/>
        </w:rPr>
        <w:t>fuerzas</w:t>
      </w:r>
      <w:r>
        <w:rPr>
          <w:i/>
          <w:color w:val="231F20"/>
          <w:spacing w:val="-7"/>
          <w:sz w:val="18"/>
        </w:rPr>
        <w:t> </w:t>
      </w:r>
      <w:r>
        <w:rPr>
          <w:i/>
          <w:color w:val="231F20"/>
          <w:sz w:val="18"/>
        </w:rPr>
        <w:t>armadas</w:t>
      </w:r>
      <w:r>
        <w:rPr>
          <w:i/>
          <w:color w:val="231F20"/>
          <w:spacing w:val="-7"/>
          <w:sz w:val="18"/>
        </w:rPr>
        <w:t> </w:t>
      </w:r>
      <w:r>
        <w:rPr>
          <w:i/>
          <w:color w:val="231F20"/>
          <w:sz w:val="18"/>
        </w:rPr>
        <w:t>de</w:t>
      </w:r>
      <w:r>
        <w:rPr>
          <w:i/>
          <w:color w:val="231F20"/>
          <w:spacing w:val="-7"/>
          <w:sz w:val="18"/>
        </w:rPr>
        <w:t> </w:t>
      </w:r>
      <w:r>
        <w:rPr>
          <w:i/>
          <w:color w:val="231F20"/>
          <w:sz w:val="18"/>
        </w:rPr>
        <w:t>América</w:t>
      </w:r>
      <w:r>
        <w:rPr>
          <w:i/>
          <w:color w:val="231F20"/>
          <w:spacing w:val="-7"/>
          <w:sz w:val="18"/>
        </w:rPr>
        <w:t> </w:t>
      </w:r>
      <w:r>
        <w:rPr>
          <w:i/>
          <w:color w:val="231F20"/>
          <w:sz w:val="18"/>
        </w:rPr>
        <w:t>Latina</w:t>
      </w:r>
      <w:r>
        <w:rPr>
          <w:color w:val="231F20"/>
          <w:sz w:val="18"/>
        </w:rPr>
        <w:t>, Buenos  Aires,  Ediciones  </w:t>
      </w:r>
      <w:r>
        <w:rPr>
          <w:color w:val="231F20"/>
          <w:spacing w:val="18"/>
          <w:sz w:val="18"/>
        </w:rPr>
        <w:t> </w:t>
      </w:r>
      <w:r>
        <w:rPr>
          <w:color w:val="231F20"/>
          <w:sz w:val="18"/>
        </w:rPr>
        <w:t>Periferia.</w:t>
      </w:r>
    </w:p>
    <w:p>
      <w:pPr>
        <w:spacing w:before="1"/>
        <w:ind w:left="100" w:right="25" w:firstLine="0"/>
        <w:jc w:val="left"/>
        <w:rPr>
          <w:sz w:val="18"/>
        </w:rPr>
      </w:pPr>
      <w:r>
        <w:rPr>
          <w:color w:val="231F20"/>
          <w:sz w:val="18"/>
        </w:rPr>
        <w:t>Wright Mills, Charles, 1978, </w:t>
      </w:r>
      <w:r>
        <w:rPr>
          <w:i/>
          <w:color w:val="231F20"/>
          <w:sz w:val="18"/>
        </w:rPr>
        <w:t>La élite del poder</w:t>
      </w:r>
      <w:r>
        <w:rPr>
          <w:color w:val="231F20"/>
          <w:sz w:val="18"/>
        </w:rPr>
        <w:t>, México, fce.</w:t>
      </w:r>
    </w:p>
    <w:p>
      <w:pPr>
        <w:pStyle w:val="BodyText"/>
        <w:rPr>
          <w:sz w:val="18"/>
        </w:rPr>
      </w:pPr>
    </w:p>
    <w:p>
      <w:pPr>
        <w:pStyle w:val="BodyText"/>
        <w:spacing w:before="7"/>
        <w:rPr>
          <w:sz w:val="26"/>
        </w:rPr>
      </w:pPr>
    </w:p>
    <w:p>
      <w:pPr>
        <w:spacing w:before="0"/>
        <w:ind w:left="100" w:right="25" w:firstLine="0"/>
        <w:jc w:val="left"/>
        <w:rPr>
          <w:i/>
          <w:sz w:val="18"/>
        </w:rPr>
      </w:pPr>
      <w:r>
        <w:rPr>
          <w:i/>
          <w:color w:val="231F20"/>
          <w:sz w:val="18"/>
        </w:rPr>
        <w:t>Documentos</w:t>
      </w:r>
    </w:p>
    <w:p>
      <w:pPr>
        <w:pStyle w:val="BodyText"/>
        <w:spacing w:before="10"/>
        <w:rPr>
          <w:i/>
          <w:sz w:val="22"/>
        </w:rPr>
      </w:pPr>
    </w:p>
    <w:p>
      <w:pPr>
        <w:spacing w:line="254" w:lineRule="auto" w:before="0"/>
        <w:ind w:left="340" w:right="117" w:hanging="240"/>
        <w:jc w:val="both"/>
        <w:rPr>
          <w:sz w:val="18"/>
        </w:rPr>
      </w:pPr>
      <w:r>
        <w:rPr>
          <w:color w:val="231F20"/>
          <w:w w:val="110"/>
          <w:sz w:val="18"/>
        </w:rPr>
        <w:t>Brainard,</w:t>
      </w:r>
      <w:r>
        <w:rPr>
          <w:color w:val="231F20"/>
          <w:spacing w:val="-26"/>
          <w:w w:val="110"/>
          <w:sz w:val="18"/>
        </w:rPr>
        <w:t> </w:t>
      </w:r>
      <w:r>
        <w:rPr>
          <w:color w:val="231F20"/>
          <w:w w:val="110"/>
          <w:sz w:val="18"/>
        </w:rPr>
        <w:t>Lael,</w:t>
      </w:r>
      <w:r>
        <w:rPr>
          <w:color w:val="231F20"/>
          <w:spacing w:val="-26"/>
          <w:w w:val="110"/>
          <w:sz w:val="18"/>
        </w:rPr>
        <w:t> </w:t>
      </w:r>
      <w:r>
        <w:rPr>
          <w:color w:val="231F20"/>
          <w:w w:val="110"/>
          <w:sz w:val="18"/>
        </w:rPr>
        <w:t>2008,</w:t>
      </w:r>
      <w:r>
        <w:rPr>
          <w:color w:val="231F20"/>
          <w:spacing w:val="-26"/>
          <w:w w:val="110"/>
          <w:sz w:val="18"/>
        </w:rPr>
        <w:t> </w:t>
      </w:r>
      <w:r>
        <w:rPr>
          <w:color w:val="231F20"/>
          <w:w w:val="110"/>
          <w:sz w:val="18"/>
        </w:rPr>
        <w:t>“U.S.</w:t>
      </w:r>
      <w:r>
        <w:rPr>
          <w:color w:val="231F20"/>
          <w:spacing w:val="-26"/>
          <w:w w:val="110"/>
          <w:sz w:val="18"/>
        </w:rPr>
        <w:t> </w:t>
      </w:r>
      <w:r>
        <w:rPr>
          <w:color w:val="231F20"/>
          <w:w w:val="110"/>
          <w:sz w:val="18"/>
        </w:rPr>
        <w:t>Foreign</w:t>
      </w:r>
      <w:r>
        <w:rPr>
          <w:color w:val="231F20"/>
          <w:spacing w:val="-26"/>
          <w:w w:val="110"/>
          <w:sz w:val="18"/>
        </w:rPr>
        <w:t> </w:t>
      </w:r>
      <w:r>
        <w:rPr>
          <w:color w:val="231F20"/>
          <w:w w:val="110"/>
          <w:sz w:val="18"/>
        </w:rPr>
        <w:t>Assistance:</w:t>
      </w:r>
      <w:r>
        <w:rPr>
          <w:color w:val="231F20"/>
          <w:spacing w:val="-26"/>
          <w:w w:val="110"/>
          <w:sz w:val="18"/>
        </w:rPr>
        <w:t> </w:t>
      </w:r>
      <w:r>
        <w:rPr>
          <w:color w:val="231F20"/>
          <w:w w:val="110"/>
          <w:sz w:val="18"/>
        </w:rPr>
        <w:t>Advancing</w:t>
      </w:r>
      <w:r>
        <w:rPr>
          <w:color w:val="231F20"/>
          <w:spacing w:val="-26"/>
          <w:w w:val="110"/>
          <w:sz w:val="18"/>
        </w:rPr>
        <w:t> </w:t>
      </w:r>
      <w:r>
        <w:rPr>
          <w:color w:val="231F20"/>
          <w:w w:val="110"/>
          <w:sz w:val="18"/>
        </w:rPr>
        <w:t>National</w:t>
      </w:r>
      <w:r>
        <w:rPr>
          <w:color w:val="231F20"/>
          <w:spacing w:val="-26"/>
          <w:w w:val="110"/>
          <w:sz w:val="18"/>
        </w:rPr>
        <w:t> </w:t>
      </w:r>
      <w:r>
        <w:rPr>
          <w:color w:val="231F20"/>
          <w:w w:val="110"/>
          <w:sz w:val="18"/>
        </w:rPr>
        <w:t>Security,</w:t>
      </w:r>
      <w:r>
        <w:rPr>
          <w:color w:val="231F20"/>
          <w:w w:val="104"/>
          <w:sz w:val="18"/>
        </w:rPr>
        <w:t> </w:t>
      </w:r>
      <w:r>
        <w:rPr>
          <w:color w:val="231F20"/>
          <w:w w:val="110"/>
          <w:sz w:val="18"/>
        </w:rPr>
        <w:t>Interests, and Values”, Presentation at the House Committee on Foreign Affairs,</w:t>
      </w:r>
      <w:r>
        <w:rPr>
          <w:color w:val="231F20"/>
          <w:spacing w:val="-14"/>
          <w:w w:val="110"/>
          <w:sz w:val="18"/>
        </w:rPr>
        <w:t> </w:t>
      </w:r>
      <w:r>
        <w:rPr>
          <w:color w:val="231F20"/>
          <w:w w:val="110"/>
          <w:sz w:val="18"/>
        </w:rPr>
        <w:t>32</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abril.</w:t>
      </w:r>
    </w:p>
    <w:p>
      <w:pPr>
        <w:spacing w:line="254" w:lineRule="auto" w:before="1"/>
        <w:ind w:left="340" w:right="102" w:hanging="240"/>
        <w:jc w:val="left"/>
        <w:rPr>
          <w:sz w:val="18"/>
        </w:rPr>
      </w:pPr>
      <w:r>
        <w:rPr>
          <w:color w:val="231F20"/>
          <w:w w:val="110"/>
          <w:sz w:val="18"/>
        </w:rPr>
        <w:t>Birdsall, </w:t>
      </w:r>
      <w:r>
        <w:rPr>
          <w:color w:val="231F20"/>
          <w:spacing w:val="-3"/>
          <w:w w:val="110"/>
          <w:sz w:val="18"/>
        </w:rPr>
        <w:t>Nancy, </w:t>
      </w:r>
      <w:r>
        <w:rPr>
          <w:color w:val="231F20"/>
          <w:w w:val="110"/>
          <w:sz w:val="18"/>
        </w:rPr>
        <w:t>2009, “Attacking Poverty and Inequality in Latin America: The U.S. Can Help”, Testimony of Nancy Birdsall President, Center for Global</w:t>
      </w:r>
      <w:r>
        <w:rPr>
          <w:color w:val="231F20"/>
          <w:spacing w:val="-13"/>
          <w:w w:val="110"/>
          <w:sz w:val="18"/>
        </w:rPr>
        <w:t> </w:t>
      </w:r>
      <w:r>
        <w:rPr>
          <w:color w:val="231F20"/>
          <w:w w:val="110"/>
          <w:sz w:val="18"/>
        </w:rPr>
        <w:t>Development</w:t>
      </w:r>
      <w:r>
        <w:rPr>
          <w:color w:val="231F20"/>
          <w:spacing w:val="-13"/>
          <w:w w:val="110"/>
          <w:sz w:val="18"/>
        </w:rPr>
        <w:t> </w:t>
      </w:r>
      <w:r>
        <w:rPr>
          <w:color w:val="231F20"/>
          <w:w w:val="110"/>
          <w:sz w:val="18"/>
        </w:rPr>
        <w:t>Before</w:t>
      </w:r>
      <w:r>
        <w:rPr>
          <w:color w:val="231F20"/>
          <w:spacing w:val="-13"/>
          <w:w w:val="110"/>
          <w:sz w:val="18"/>
        </w:rPr>
        <w:t> </w:t>
      </w:r>
      <w:r>
        <w:rPr>
          <w:color w:val="231F20"/>
          <w:w w:val="110"/>
          <w:sz w:val="18"/>
        </w:rPr>
        <w:t>Committee</w:t>
      </w:r>
      <w:r>
        <w:rPr>
          <w:color w:val="231F20"/>
          <w:spacing w:val="-13"/>
          <w:w w:val="110"/>
          <w:sz w:val="18"/>
        </w:rPr>
        <w:t> </w:t>
      </w:r>
      <w:r>
        <w:rPr>
          <w:color w:val="231F20"/>
          <w:w w:val="110"/>
          <w:sz w:val="18"/>
        </w:rPr>
        <w:t>on</w:t>
      </w:r>
      <w:r>
        <w:rPr>
          <w:color w:val="231F20"/>
          <w:spacing w:val="-13"/>
          <w:w w:val="110"/>
          <w:sz w:val="18"/>
        </w:rPr>
        <w:t> </w:t>
      </w:r>
      <w:r>
        <w:rPr>
          <w:color w:val="231F20"/>
          <w:w w:val="110"/>
          <w:sz w:val="18"/>
        </w:rPr>
        <w:t>Foreign</w:t>
      </w:r>
      <w:r>
        <w:rPr>
          <w:color w:val="231F20"/>
          <w:spacing w:val="-13"/>
          <w:w w:val="110"/>
          <w:sz w:val="18"/>
        </w:rPr>
        <w:t> </w:t>
      </w:r>
      <w:r>
        <w:rPr>
          <w:color w:val="231F20"/>
          <w:w w:val="110"/>
          <w:sz w:val="18"/>
        </w:rPr>
        <w:t>Affairs</w:t>
      </w:r>
      <w:r>
        <w:rPr>
          <w:color w:val="231F20"/>
          <w:spacing w:val="-13"/>
          <w:w w:val="110"/>
          <w:sz w:val="18"/>
        </w:rPr>
        <w:t> </w:t>
      </w:r>
      <w:r>
        <w:rPr>
          <w:color w:val="231F20"/>
          <w:w w:val="110"/>
          <w:sz w:val="18"/>
        </w:rPr>
        <w:t>U.S.</w:t>
      </w:r>
      <w:r>
        <w:rPr>
          <w:color w:val="231F20"/>
          <w:spacing w:val="-13"/>
          <w:w w:val="110"/>
          <w:sz w:val="18"/>
        </w:rPr>
        <w:t> </w:t>
      </w:r>
      <w:r>
        <w:rPr>
          <w:color w:val="231F20"/>
          <w:w w:val="110"/>
          <w:sz w:val="18"/>
        </w:rPr>
        <w:t>House</w:t>
      </w:r>
      <w:r>
        <w:rPr>
          <w:color w:val="231F20"/>
          <w:spacing w:val="-13"/>
          <w:w w:val="110"/>
          <w:sz w:val="18"/>
        </w:rPr>
        <w:t> </w:t>
      </w:r>
      <w:r>
        <w:rPr>
          <w:color w:val="231F20"/>
          <w:w w:val="110"/>
          <w:sz w:val="18"/>
        </w:rPr>
        <w:t>of Representatives</w:t>
      </w:r>
      <w:r>
        <w:rPr>
          <w:color w:val="231F20"/>
          <w:spacing w:val="-9"/>
          <w:w w:val="110"/>
          <w:sz w:val="18"/>
        </w:rPr>
        <w:t> </w:t>
      </w:r>
      <w:r>
        <w:rPr>
          <w:color w:val="231F20"/>
          <w:w w:val="110"/>
          <w:sz w:val="18"/>
        </w:rPr>
        <w:t>Subcommittee</w:t>
      </w:r>
      <w:r>
        <w:rPr>
          <w:color w:val="231F20"/>
          <w:spacing w:val="-9"/>
          <w:w w:val="110"/>
          <w:sz w:val="18"/>
        </w:rPr>
        <w:t> </w:t>
      </w:r>
      <w:r>
        <w:rPr>
          <w:color w:val="231F20"/>
          <w:w w:val="110"/>
          <w:sz w:val="18"/>
        </w:rPr>
        <w:t>on</w:t>
      </w:r>
      <w:r>
        <w:rPr>
          <w:color w:val="231F20"/>
          <w:spacing w:val="-9"/>
          <w:w w:val="110"/>
          <w:sz w:val="18"/>
        </w:rPr>
        <w:t> </w:t>
      </w:r>
      <w:r>
        <w:rPr>
          <w:color w:val="231F20"/>
          <w:w w:val="110"/>
          <w:sz w:val="18"/>
        </w:rPr>
        <w:t>the</w:t>
      </w:r>
      <w:r>
        <w:rPr>
          <w:color w:val="231F20"/>
          <w:spacing w:val="-9"/>
          <w:w w:val="110"/>
          <w:sz w:val="18"/>
        </w:rPr>
        <w:t> </w:t>
      </w:r>
      <w:r>
        <w:rPr>
          <w:color w:val="231F20"/>
          <w:w w:val="110"/>
          <w:sz w:val="18"/>
        </w:rPr>
        <w:t>Western</w:t>
      </w:r>
      <w:r>
        <w:rPr>
          <w:color w:val="231F20"/>
          <w:spacing w:val="-9"/>
          <w:w w:val="110"/>
          <w:sz w:val="18"/>
        </w:rPr>
        <w:t> </w:t>
      </w:r>
      <w:r>
        <w:rPr>
          <w:color w:val="231F20"/>
          <w:w w:val="110"/>
          <w:sz w:val="18"/>
        </w:rPr>
        <w:t>Hemisphere,</w:t>
      </w:r>
      <w:r>
        <w:rPr>
          <w:color w:val="231F20"/>
          <w:spacing w:val="-9"/>
          <w:w w:val="110"/>
          <w:sz w:val="18"/>
        </w:rPr>
        <w:t> </w:t>
      </w:r>
      <w:r>
        <w:rPr>
          <w:color w:val="231F20"/>
          <w:w w:val="110"/>
          <w:sz w:val="18"/>
        </w:rPr>
        <w:t>2007</w:t>
      </w:r>
      <w:r>
        <w:rPr>
          <w:color w:val="231F20"/>
          <w:spacing w:val="-9"/>
          <w:w w:val="110"/>
          <w:sz w:val="18"/>
        </w:rPr>
        <w:t> </w:t>
      </w:r>
      <w:hyperlink r:id="rId47">
        <w:r>
          <w:rPr>
            <w:color w:val="231F20"/>
            <w:spacing w:val="-3"/>
            <w:w w:val="110"/>
            <w:sz w:val="18"/>
          </w:rPr>
          <w:t>&lt;www</w:t>
        </w:r>
      </w:hyperlink>
      <w:r>
        <w:rPr>
          <w:color w:val="231F20"/>
          <w:spacing w:val="-3"/>
          <w:w w:val="110"/>
          <w:sz w:val="18"/>
        </w:rPr>
        <w:t>. </w:t>
      </w:r>
      <w:r>
        <w:rPr>
          <w:color w:val="231F20"/>
          <w:w w:val="110"/>
          <w:sz w:val="18"/>
        </w:rPr>
        <w:t>cgdev.org/doc/commentary/testimony/NBtestimonyGlobalizationIn- equality.pdf&gt;,</w:t>
      </w:r>
      <w:r>
        <w:rPr>
          <w:color w:val="231F20"/>
          <w:spacing w:val="-14"/>
          <w:w w:val="110"/>
          <w:sz w:val="18"/>
        </w:rPr>
        <w:t> </w:t>
      </w:r>
      <w:r>
        <w:rPr>
          <w:color w:val="231F20"/>
          <w:w w:val="110"/>
          <w:sz w:val="18"/>
        </w:rPr>
        <w:t>28</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marzo.</w:t>
      </w:r>
    </w:p>
    <w:p>
      <w:pPr>
        <w:spacing w:line="254" w:lineRule="auto" w:before="1"/>
        <w:ind w:left="100" w:right="2128" w:firstLine="0"/>
        <w:jc w:val="left"/>
        <w:rPr>
          <w:sz w:val="18"/>
        </w:rPr>
      </w:pPr>
      <w:r>
        <w:rPr>
          <w:color w:val="231F20"/>
          <w:w w:val="105"/>
          <w:sz w:val="18"/>
        </w:rPr>
        <w:t>Brookings Institution, </w:t>
      </w:r>
      <w:hyperlink r:id="rId324">
        <w:r>
          <w:rPr>
            <w:color w:val="231F20"/>
            <w:w w:val="105"/>
            <w:sz w:val="18"/>
          </w:rPr>
          <w:t>&lt;www.brookings.edu&gt;.</w:t>
        </w:r>
      </w:hyperlink>
      <w:r>
        <w:rPr>
          <w:color w:val="231F20"/>
          <w:w w:val="105"/>
          <w:sz w:val="18"/>
        </w:rPr>
        <w:t> Center for Global Development, </w:t>
      </w:r>
      <w:hyperlink r:id="rId317">
        <w:r>
          <w:rPr>
            <w:color w:val="231F20"/>
            <w:w w:val="105"/>
            <w:sz w:val="18"/>
          </w:rPr>
          <w:t>&lt;www.cgdev.org&gt;.</w:t>
        </w:r>
      </w:hyperlink>
      <w:r>
        <w:rPr>
          <w:color w:val="231F20"/>
          <w:w w:val="105"/>
          <w:sz w:val="18"/>
        </w:rPr>
        <w:t> Council on Foreign Relations,  </w:t>
      </w:r>
      <w:hyperlink r:id="rId325">
        <w:r>
          <w:rPr>
            <w:color w:val="231F20"/>
            <w:w w:val="105"/>
            <w:sz w:val="18"/>
          </w:rPr>
          <w:t>&lt;www.cfr.org/&gt;.</w:t>
        </w:r>
      </w:hyperlink>
    </w:p>
    <w:p>
      <w:pPr>
        <w:spacing w:before="1"/>
        <w:ind w:left="100" w:right="25" w:firstLine="0"/>
        <w:jc w:val="left"/>
        <w:rPr>
          <w:sz w:val="18"/>
        </w:rPr>
      </w:pPr>
      <w:r>
        <w:rPr>
          <w:color w:val="231F20"/>
          <w:w w:val="110"/>
          <w:sz w:val="18"/>
        </w:rPr>
        <w:t>Fiscal Year  2009, Department of State and other international     programs,</w:t>
      </w:r>
    </w:p>
    <w:p>
      <w:pPr>
        <w:spacing w:line="254" w:lineRule="auto" w:before="13"/>
        <w:ind w:left="340" w:right="25" w:firstLine="0"/>
        <w:jc w:val="left"/>
        <w:rPr>
          <w:sz w:val="18"/>
        </w:rPr>
      </w:pPr>
      <w:hyperlink r:id="rId326">
        <w:r>
          <w:rPr>
            <w:color w:val="231F20"/>
            <w:w w:val="105"/>
            <w:sz w:val="18"/>
          </w:rPr>
          <w:t>&lt;www.whitehouse.gov/omb/assets/fy2010_new_era/Department_of_Sta</w:t>
        </w:r>
      </w:hyperlink>
      <w:r>
        <w:rPr>
          <w:color w:val="231F20"/>
          <w:w w:val="105"/>
          <w:sz w:val="18"/>
        </w:rPr>
        <w:t>- </w:t>
      </w:r>
      <w:r>
        <w:rPr>
          <w:color w:val="231F20"/>
          <w:w w:val="110"/>
          <w:sz w:val="18"/>
        </w:rPr>
        <w:t>te_and_Other_International_Programs1.pdf&gt;.</w:t>
      </w:r>
    </w:p>
    <w:p>
      <w:pPr>
        <w:spacing w:line="254" w:lineRule="auto" w:before="1"/>
        <w:ind w:left="340" w:right="114" w:hanging="240"/>
        <w:jc w:val="both"/>
        <w:rPr>
          <w:sz w:val="18"/>
        </w:rPr>
      </w:pPr>
      <w:r>
        <w:rPr>
          <w:color w:val="231F20"/>
          <w:w w:val="110"/>
          <w:sz w:val="18"/>
        </w:rPr>
        <w:t>Congressional budget justification. Foreign Opperations. Fiscal Year 2009 Budget Request, 2008, </w:t>
      </w:r>
      <w:hyperlink r:id="rId327">
        <w:r>
          <w:rPr>
            <w:color w:val="231F20"/>
            <w:w w:val="110"/>
            <w:sz w:val="18"/>
          </w:rPr>
          <w:t>&lt;www.usaid.gov/policy/budget/cbj2009/101415.</w:t>
        </w:r>
      </w:hyperlink>
      <w:r>
        <w:rPr>
          <w:color w:val="231F20"/>
          <w:w w:val="110"/>
          <w:sz w:val="18"/>
        </w:rPr>
        <w:t> pdf&gt;.</w:t>
      </w:r>
    </w:p>
    <w:p>
      <w:pPr>
        <w:spacing w:line="254" w:lineRule="auto" w:before="1"/>
        <w:ind w:left="340" w:right="117" w:hanging="240"/>
        <w:jc w:val="both"/>
        <w:rPr>
          <w:sz w:val="18"/>
        </w:rPr>
      </w:pPr>
      <w:r>
        <w:rPr>
          <w:color w:val="231F20"/>
          <w:w w:val="110"/>
          <w:sz w:val="18"/>
        </w:rPr>
        <w:t>Lancaster, Carol, 2009, “usaid in the 21st Century: What do we need for  the tasks at hand?”, Senate Foreign Relations Committee</w:t>
      </w:r>
      <w:r>
        <w:rPr>
          <w:color w:val="231F20"/>
          <w:spacing w:val="-13"/>
          <w:w w:val="110"/>
          <w:sz w:val="18"/>
        </w:rPr>
        <w:t> </w:t>
      </w:r>
      <w:r>
        <w:rPr>
          <w:color w:val="231F20"/>
          <w:w w:val="110"/>
          <w:sz w:val="18"/>
        </w:rPr>
        <w:t>Sub-committee on</w:t>
      </w:r>
      <w:r>
        <w:rPr>
          <w:color w:val="231F20"/>
          <w:spacing w:val="-11"/>
          <w:w w:val="110"/>
          <w:sz w:val="18"/>
        </w:rPr>
        <w:t> </w:t>
      </w:r>
      <w:r>
        <w:rPr>
          <w:color w:val="231F20"/>
          <w:w w:val="110"/>
          <w:sz w:val="18"/>
        </w:rPr>
        <w:t>International</w:t>
      </w:r>
      <w:r>
        <w:rPr>
          <w:color w:val="231F20"/>
          <w:spacing w:val="-11"/>
          <w:w w:val="110"/>
          <w:sz w:val="18"/>
        </w:rPr>
        <w:t> </w:t>
      </w:r>
      <w:r>
        <w:rPr>
          <w:color w:val="231F20"/>
          <w:w w:val="110"/>
          <w:sz w:val="18"/>
        </w:rPr>
        <w:t>Development,</w:t>
      </w:r>
      <w:r>
        <w:rPr>
          <w:color w:val="231F20"/>
          <w:spacing w:val="-12"/>
          <w:w w:val="110"/>
          <w:sz w:val="18"/>
        </w:rPr>
        <w:t> </w:t>
      </w:r>
      <w:r>
        <w:rPr>
          <w:color w:val="231F20"/>
          <w:w w:val="110"/>
          <w:sz w:val="18"/>
        </w:rPr>
        <w:t>Foreign</w:t>
      </w:r>
      <w:r>
        <w:rPr>
          <w:color w:val="231F20"/>
          <w:spacing w:val="-11"/>
          <w:w w:val="110"/>
          <w:sz w:val="18"/>
        </w:rPr>
        <w:t> </w:t>
      </w:r>
      <w:r>
        <w:rPr>
          <w:color w:val="231F20"/>
          <w:w w:val="110"/>
          <w:sz w:val="18"/>
        </w:rPr>
        <w:t>Assistance,</w:t>
      </w:r>
      <w:r>
        <w:rPr>
          <w:color w:val="231F20"/>
          <w:spacing w:val="-12"/>
          <w:w w:val="110"/>
          <w:sz w:val="18"/>
        </w:rPr>
        <w:t> </w:t>
      </w:r>
      <w:r>
        <w:rPr>
          <w:color w:val="231F20"/>
          <w:w w:val="110"/>
          <w:sz w:val="18"/>
        </w:rPr>
        <w:t>Economic</w:t>
      </w:r>
      <w:r>
        <w:rPr>
          <w:color w:val="231F20"/>
          <w:spacing w:val="-11"/>
          <w:w w:val="110"/>
          <w:sz w:val="18"/>
        </w:rPr>
        <w:t> </w:t>
      </w:r>
      <w:r>
        <w:rPr>
          <w:color w:val="231F20"/>
          <w:w w:val="110"/>
          <w:sz w:val="18"/>
        </w:rPr>
        <w:t>Affairs</w:t>
      </w:r>
      <w:r>
        <w:rPr>
          <w:color w:val="231F20"/>
          <w:spacing w:val="-11"/>
          <w:w w:val="110"/>
          <w:sz w:val="18"/>
        </w:rPr>
        <w:t> </w:t>
      </w:r>
      <w:r>
        <w:rPr>
          <w:color w:val="231F20"/>
          <w:w w:val="110"/>
          <w:sz w:val="18"/>
        </w:rPr>
        <w:t>and International Environmental Protection, </w:t>
      </w:r>
      <w:hyperlink r:id="rId328">
        <w:r>
          <w:rPr>
            <w:color w:val="231F20"/>
            <w:w w:val="110"/>
            <w:sz w:val="18"/>
          </w:rPr>
          <w:t>&lt;http://foreign.senate.gov/tes</w:t>
        </w:r>
      </w:hyperlink>
      <w:r>
        <w:rPr>
          <w:color w:val="231F20"/>
          <w:w w:val="110"/>
          <w:sz w:val="18"/>
        </w:rPr>
        <w:t>- timony/2009/LancasterTestimony090401a.pdf&gt;, 1 de</w:t>
      </w:r>
      <w:r>
        <w:rPr>
          <w:color w:val="231F20"/>
          <w:spacing w:val="-24"/>
          <w:w w:val="110"/>
          <w:sz w:val="18"/>
        </w:rPr>
        <w:t> </w:t>
      </w:r>
      <w:r>
        <w:rPr>
          <w:color w:val="231F20"/>
          <w:w w:val="110"/>
          <w:sz w:val="18"/>
        </w:rPr>
        <w:t>abril.</w:t>
      </w:r>
    </w:p>
    <w:p>
      <w:pPr>
        <w:spacing w:line="254" w:lineRule="auto" w:before="1"/>
        <w:ind w:left="340" w:right="117" w:hanging="240"/>
        <w:jc w:val="both"/>
        <w:rPr>
          <w:sz w:val="18"/>
        </w:rPr>
      </w:pPr>
      <w:r>
        <w:rPr>
          <w:color w:val="231F20"/>
          <w:w w:val="105"/>
          <w:sz w:val="18"/>
        </w:rPr>
        <w:t>Ley para la Asistencia Extranjera (Foreign Assitance Act, FAA, 1961), Senate Committee Prints. From the U.S. Government Printing Office via GPO Access.</w:t>
      </w:r>
      <w:r>
        <w:rPr>
          <w:color w:val="231F20"/>
          <w:spacing w:val="-17"/>
          <w:w w:val="105"/>
          <w:sz w:val="18"/>
        </w:rPr>
        <w:t> </w:t>
      </w:r>
      <w:r>
        <w:rPr>
          <w:color w:val="231F20"/>
          <w:w w:val="105"/>
          <w:sz w:val="18"/>
        </w:rPr>
        <w:t>DOCID:</w:t>
      </w:r>
      <w:r>
        <w:rPr>
          <w:color w:val="231F20"/>
          <w:spacing w:val="-17"/>
          <w:w w:val="105"/>
          <w:sz w:val="18"/>
        </w:rPr>
        <w:t> </w:t>
      </w:r>
      <w:r>
        <w:rPr>
          <w:color w:val="231F20"/>
          <w:w w:val="105"/>
          <w:sz w:val="18"/>
        </w:rPr>
        <w:t>f:70363.wais.</w:t>
      </w:r>
      <w:r>
        <w:rPr>
          <w:color w:val="231F20"/>
          <w:spacing w:val="-17"/>
          <w:w w:val="105"/>
          <w:sz w:val="18"/>
        </w:rPr>
        <w:t> </w:t>
      </w:r>
      <w:r>
        <w:rPr>
          <w:color w:val="231F20"/>
          <w:w w:val="105"/>
          <w:sz w:val="18"/>
        </w:rPr>
        <w:t>COMMITTEE</w:t>
      </w:r>
      <w:r>
        <w:rPr>
          <w:color w:val="231F20"/>
          <w:spacing w:val="-17"/>
          <w:w w:val="105"/>
          <w:sz w:val="18"/>
        </w:rPr>
        <w:t> </w:t>
      </w:r>
      <w:r>
        <w:rPr>
          <w:color w:val="231F20"/>
          <w:w w:val="105"/>
          <w:sz w:val="18"/>
        </w:rPr>
        <w:t>ON</w:t>
      </w:r>
      <w:r>
        <w:rPr>
          <w:color w:val="231F20"/>
          <w:spacing w:val="-17"/>
          <w:w w:val="105"/>
          <w:sz w:val="18"/>
        </w:rPr>
        <w:t> </w:t>
      </w:r>
      <w:r>
        <w:rPr>
          <w:color w:val="231F20"/>
          <w:w w:val="105"/>
          <w:sz w:val="18"/>
        </w:rPr>
        <w:t>FOREIGN</w:t>
      </w:r>
      <w:r>
        <w:rPr>
          <w:color w:val="231F20"/>
          <w:spacing w:val="-17"/>
          <w:w w:val="105"/>
          <w:sz w:val="18"/>
        </w:rPr>
        <w:t> </w:t>
      </w:r>
      <w:r>
        <w:rPr>
          <w:color w:val="231F20"/>
          <w:w w:val="105"/>
          <w:sz w:val="18"/>
        </w:rPr>
        <w:t>RELATIONS,</w:t>
      </w:r>
    </w:p>
    <w:p>
      <w:pPr>
        <w:spacing w:line="254" w:lineRule="auto" w:before="1"/>
        <w:ind w:left="340" w:right="25" w:firstLine="0"/>
        <w:jc w:val="left"/>
        <w:rPr>
          <w:sz w:val="18"/>
        </w:rPr>
      </w:pPr>
      <w:r>
        <w:rPr>
          <w:color w:val="231F20"/>
          <w:w w:val="110"/>
          <w:sz w:val="18"/>
        </w:rPr>
        <w:t>traducción propia, </w:t>
      </w:r>
      <w:hyperlink r:id="rId329">
        <w:r>
          <w:rPr>
            <w:color w:val="231F20"/>
            <w:w w:val="110"/>
            <w:sz w:val="18"/>
          </w:rPr>
          <w:t>&lt;http://frwebgate.access.gpo.gov/cgi-bin/getdoc.</w:t>
        </w:r>
      </w:hyperlink>
      <w:r>
        <w:rPr>
          <w:color w:val="231F20"/>
          <w:w w:val="110"/>
          <w:sz w:val="18"/>
        </w:rPr>
        <w:t> </w:t>
      </w:r>
      <w:r>
        <w:rPr>
          <w:color w:val="231F20"/>
          <w:w w:val="105"/>
          <w:sz w:val="18"/>
        </w:rPr>
        <w:t>cgi?IPaddress=wais.access.gpo.gov&amp;dbname=107_cong_senate_commit- </w:t>
      </w:r>
      <w:r>
        <w:rPr>
          <w:color w:val="231F20"/>
          <w:w w:val="110"/>
          <w:sz w:val="18"/>
        </w:rPr>
        <w:t>tee_prints&amp;docid=f:70363.wais&gt;.</w:t>
      </w:r>
    </w:p>
    <w:p>
      <w:pPr>
        <w:spacing w:line="254" w:lineRule="auto" w:before="1"/>
        <w:ind w:left="340" w:right="117" w:hanging="240"/>
        <w:jc w:val="both"/>
        <w:rPr>
          <w:sz w:val="18"/>
        </w:rPr>
      </w:pPr>
      <w:r>
        <w:rPr>
          <w:color w:val="231F20"/>
          <w:w w:val="105"/>
          <w:sz w:val="18"/>
        </w:rPr>
        <w:t>Radelet, Steven, 2009, “usaid in the 21st Century: What Do </w:t>
      </w:r>
      <w:r>
        <w:rPr>
          <w:color w:val="231F20"/>
          <w:spacing w:val="-6"/>
          <w:w w:val="105"/>
          <w:sz w:val="18"/>
        </w:rPr>
        <w:t>We  </w:t>
      </w:r>
      <w:r>
        <w:rPr>
          <w:color w:val="231F20"/>
          <w:w w:val="105"/>
          <w:sz w:val="18"/>
        </w:rPr>
        <w:t>Need for      the  </w:t>
      </w:r>
      <w:r>
        <w:rPr>
          <w:color w:val="231F20"/>
          <w:spacing w:val="-4"/>
          <w:w w:val="105"/>
          <w:sz w:val="18"/>
        </w:rPr>
        <w:t>Tasks  </w:t>
      </w:r>
      <w:r>
        <w:rPr>
          <w:color w:val="231F20"/>
          <w:w w:val="105"/>
          <w:sz w:val="18"/>
        </w:rPr>
        <w:t>at  Hand?”,  Testimony  for  the  Senate  Foreign  Relations</w:t>
      </w:r>
      <w:r>
        <w:rPr>
          <w:color w:val="231F20"/>
          <w:spacing w:val="28"/>
          <w:w w:val="105"/>
          <w:sz w:val="18"/>
        </w:rPr>
        <w:t> </w:t>
      </w:r>
      <w:r>
        <w:rPr>
          <w:color w:val="231F20"/>
          <w:w w:val="105"/>
          <w:sz w:val="18"/>
        </w:rPr>
        <w:t>Sub-</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7" w:firstLine="0"/>
        <w:jc w:val="both"/>
        <w:rPr>
          <w:sz w:val="18"/>
        </w:rPr>
      </w:pPr>
      <w:r>
        <w:rPr>
          <w:color w:val="231F20"/>
          <w:w w:val="110"/>
          <w:sz w:val="18"/>
        </w:rPr>
        <w:t>committee on International Development, Foreign Assistance,</w:t>
      </w:r>
      <w:r>
        <w:rPr>
          <w:color w:val="231F20"/>
          <w:spacing w:val="-15"/>
          <w:w w:val="110"/>
          <w:sz w:val="18"/>
        </w:rPr>
        <w:t> </w:t>
      </w:r>
      <w:r>
        <w:rPr>
          <w:color w:val="231F20"/>
          <w:w w:val="110"/>
          <w:sz w:val="18"/>
        </w:rPr>
        <w:t>Economic Affairs, and International Environmental Protection, </w:t>
      </w:r>
      <w:hyperlink r:id="rId317">
        <w:r>
          <w:rPr>
            <w:color w:val="231F20"/>
            <w:w w:val="110"/>
            <w:sz w:val="18"/>
          </w:rPr>
          <w:t>&lt;www.cgdev.org/</w:t>
        </w:r>
      </w:hyperlink>
      <w:r>
        <w:rPr>
          <w:color w:val="231F20"/>
          <w:w w:val="110"/>
          <w:sz w:val="18"/>
        </w:rPr>
        <w:t> doc/Opinions/Radelet_04-01-09.pdf&gt;, 1 de</w:t>
      </w:r>
      <w:r>
        <w:rPr>
          <w:color w:val="231F20"/>
          <w:spacing w:val="16"/>
          <w:w w:val="110"/>
          <w:sz w:val="18"/>
        </w:rPr>
        <w:t> </w:t>
      </w:r>
      <w:r>
        <w:rPr>
          <w:color w:val="231F20"/>
          <w:w w:val="110"/>
          <w:sz w:val="18"/>
        </w:rPr>
        <w:t>abril.</w:t>
      </w:r>
    </w:p>
    <w:p>
      <w:pPr>
        <w:spacing w:line="254" w:lineRule="auto" w:before="1"/>
        <w:ind w:left="340" w:right="119" w:hanging="240"/>
        <w:jc w:val="both"/>
        <w:rPr>
          <w:sz w:val="18"/>
        </w:rPr>
      </w:pPr>
      <w:r>
        <w:rPr>
          <w:color w:val="231F20"/>
          <w:w w:val="110"/>
          <w:sz w:val="18"/>
        </w:rPr>
        <w:t>Security Sector Reform (ssr), 2009, Department of State; Department of Defense; usaid, febrero.</w:t>
      </w:r>
    </w:p>
    <w:p>
      <w:pPr>
        <w:spacing w:line="254" w:lineRule="auto" w:before="1"/>
        <w:ind w:left="340" w:right="117" w:hanging="240"/>
        <w:jc w:val="both"/>
        <w:rPr>
          <w:sz w:val="18"/>
        </w:rPr>
      </w:pPr>
      <w:r>
        <w:rPr>
          <w:color w:val="231F20"/>
          <w:w w:val="110"/>
          <w:sz w:val="18"/>
        </w:rPr>
        <w:t>Estrategia de Seguridad Nacional de EEUU, 2006, </w:t>
      </w:r>
      <w:hyperlink r:id="rId330">
        <w:r>
          <w:rPr>
            <w:color w:val="231F20"/>
            <w:w w:val="110"/>
            <w:sz w:val="18"/>
          </w:rPr>
          <w:t>&lt;www.whitehouse.gov/</w:t>
        </w:r>
      </w:hyperlink>
      <w:r>
        <w:rPr>
          <w:color w:val="231F20"/>
          <w:w w:val="110"/>
          <w:sz w:val="18"/>
        </w:rPr>
        <w:t> nsc/nss/2006/&gt;.</w:t>
      </w:r>
    </w:p>
    <w:p>
      <w:pPr>
        <w:spacing w:line="254" w:lineRule="auto" w:before="1"/>
        <w:ind w:left="340" w:right="116" w:hanging="240"/>
        <w:jc w:val="both"/>
        <w:rPr>
          <w:sz w:val="18"/>
        </w:rPr>
      </w:pPr>
      <w:r>
        <w:rPr>
          <w:color w:val="231F20"/>
          <w:w w:val="110"/>
          <w:sz w:val="18"/>
        </w:rPr>
        <w:t>United States Department of State, Foreign Relations of the United States, 1949. National security affairs, foreign economic policy Volume I. US National Secruity Policy, Memorandum by the Counselor Bohlen: 277.</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 Kennedy Administration, Address at the White House Reception for Members</w:t>
      </w:r>
      <w:r>
        <w:rPr>
          <w:color w:val="231F20"/>
          <w:spacing w:val="-15"/>
          <w:w w:val="110"/>
          <w:sz w:val="18"/>
        </w:rPr>
        <w:t> </w:t>
      </w:r>
      <w:r>
        <w:rPr>
          <w:color w:val="231F20"/>
          <w:w w:val="110"/>
          <w:sz w:val="18"/>
        </w:rPr>
        <w:t>of</w:t>
      </w:r>
      <w:r>
        <w:rPr>
          <w:color w:val="231F20"/>
          <w:spacing w:val="-15"/>
          <w:w w:val="110"/>
          <w:sz w:val="18"/>
        </w:rPr>
        <w:t> </w:t>
      </w:r>
      <w:r>
        <w:rPr>
          <w:color w:val="231F20"/>
          <w:w w:val="110"/>
          <w:sz w:val="18"/>
        </w:rPr>
        <w:t>Congress</w:t>
      </w:r>
      <w:r>
        <w:rPr>
          <w:color w:val="231F20"/>
          <w:spacing w:val="-15"/>
          <w:w w:val="110"/>
          <w:sz w:val="18"/>
        </w:rPr>
        <w:t> </w:t>
      </w:r>
      <w:r>
        <w:rPr>
          <w:color w:val="231F20"/>
          <w:w w:val="110"/>
          <w:sz w:val="18"/>
        </w:rPr>
        <w:t>and</w:t>
      </w:r>
      <w:r>
        <w:rPr>
          <w:color w:val="231F20"/>
          <w:spacing w:val="-15"/>
          <w:w w:val="110"/>
          <w:sz w:val="18"/>
        </w:rPr>
        <w:t> </w:t>
      </w:r>
      <w:r>
        <w:rPr>
          <w:color w:val="231F20"/>
          <w:w w:val="110"/>
          <w:sz w:val="18"/>
        </w:rPr>
        <w:t>for</w:t>
      </w:r>
      <w:r>
        <w:rPr>
          <w:color w:val="231F20"/>
          <w:spacing w:val="-15"/>
          <w:w w:val="110"/>
          <w:sz w:val="18"/>
        </w:rPr>
        <w:t> </w:t>
      </w:r>
      <w:r>
        <w:rPr>
          <w:color w:val="231F20"/>
          <w:w w:val="110"/>
          <w:sz w:val="18"/>
        </w:rPr>
        <w:t>the</w:t>
      </w:r>
      <w:r>
        <w:rPr>
          <w:color w:val="231F20"/>
          <w:spacing w:val="-15"/>
          <w:w w:val="110"/>
          <w:sz w:val="18"/>
        </w:rPr>
        <w:t> </w:t>
      </w:r>
      <w:r>
        <w:rPr>
          <w:color w:val="231F20"/>
          <w:w w:val="110"/>
          <w:sz w:val="18"/>
        </w:rPr>
        <w:t>Diplomatic</w:t>
      </w:r>
      <w:r>
        <w:rPr>
          <w:color w:val="231F20"/>
          <w:spacing w:val="-15"/>
          <w:w w:val="110"/>
          <w:sz w:val="18"/>
        </w:rPr>
        <w:t> </w:t>
      </w:r>
      <w:r>
        <w:rPr>
          <w:color w:val="231F20"/>
          <w:w w:val="110"/>
          <w:sz w:val="18"/>
        </w:rPr>
        <w:t>Corps</w:t>
      </w:r>
      <w:r>
        <w:rPr>
          <w:color w:val="231F20"/>
          <w:spacing w:val="-15"/>
          <w:w w:val="110"/>
          <w:sz w:val="18"/>
        </w:rPr>
        <w:t> </w:t>
      </w:r>
      <w:r>
        <w:rPr>
          <w:color w:val="231F20"/>
          <w:w w:val="110"/>
          <w:sz w:val="18"/>
        </w:rPr>
        <w:t>of</w:t>
      </w:r>
      <w:r>
        <w:rPr>
          <w:color w:val="231F20"/>
          <w:spacing w:val="-15"/>
          <w:w w:val="110"/>
          <w:sz w:val="18"/>
        </w:rPr>
        <w:t> </w:t>
      </w:r>
      <w:r>
        <w:rPr>
          <w:color w:val="231F20"/>
          <w:w w:val="110"/>
          <w:sz w:val="18"/>
        </w:rPr>
        <w:t>the</w:t>
      </w:r>
      <w:r>
        <w:rPr>
          <w:color w:val="231F20"/>
          <w:spacing w:val="-15"/>
          <w:w w:val="110"/>
          <w:sz w:val="18"/>
        </w:rPr>
        <w:t> </w:t>
      </w:r>
      <w:r>
        <w:rPr>
          <w:color w:val="231F20"/>
          <w:w w:val="110"/>
          <w:sz w:val="18"/>
        </w:rPr>
        <w:t>Latin</w:t>
      </w:r>
      <w:r>
        <w:rPr>
          <w:color w:val="231F20"/>
          <w:spacing w:val="-15"/>
          <w:w w:val="110"/>
          <w:sz w:val="18"/>
        </w:rPr>
        <w:t> </w:t>
      </w:r>
      <w:r>
        <w:rPr>
          <w:color w:val="231F20"/>
          <w:w w:val="110"/>
          <w:sz w:val="18"/>
        </w:rPr>
        <w:t>American Republics, marzo de</w:t>
      </w:r>
      <w:r>
        <w:rPr>
          <w:color w:val="231F20"/>
          <w:spacing w:val="-25"/>
          <w:w w:val="110"/>
          <w:sz w:val="18"/>
        </w:rPr>
        <w:t> </w:t>
      </w:r>
      <w:r>
        <w:rPr>
          <w:color w:val="231F20"/>
          <w:w w:val="110"/>
          <w:sz w:val="18"/>
        </w:rPr>
        <w:t>1961.</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 Foreign Relations, 1961-1963, vol. xii, doc. 7, Memorandum from</w:t>
      </w:r>
      <w:r>
        <w:rPr>
          <w:color w:val="231F20"/>
          <w:spacing w:val="-24"/>
          <w:w w:val="110"/>
          <w:sz w:val="18"/>
        </w:rPr>
        <w:t> </w:t>
      </w:r>
      <w:r>
        <w:rPr>
          <w:color w:val="231F20"/>
          <w:w w:val="110"/>
          <w:sz w:val="18"/>
        </w:rPr>
        <w:t>the President´s</w:t>
      </w:r>
      <w:r>
        <w:rPr>
          <w:color w:val="231F20"/>
          <w:spacing w:val="-16"/>
          <w:w w:val="110"/>
          <w:sz w:val="18"/>
        </w:rPr>
        <w:t> </w:t>
      </w:r>
      <w:r>
        <w:rPr>
          <w:color w:val="231F20"/>
          <w:w w:val="110"/>
          <w:sz w:val="18"/>
        </w:rPr>
        <w:t>Special</w:t>
      </w:r>
      <w:r>
        <w:rPr>
          <w:color w:val="231F20"/>
          <w:spacing w:val="-16"/>
          <w:w w:val="110"/>
          <w:sz w:val="18"/>
        </w:rPr>
        <w:t> </w:t>
      </w:r>
      <w:r>
        <w:rPr>
          <w:color w:val="231F20"/>
          <w:w w:val="110"/>
          <w:sz w:val="18"/>
        </w:rPr>
        <w:t>Assistant</w:t>
      </w:r>
      <w:r>
        <w:rPr>
          <w:color w:val="231F20"/>
          <w:spacing w:val="-16"/>
          <w:w w:val="110"/>
          <w:sz w:val="18"/>
        </w:rPr>
        <w:t> </w:t>
      </w:r>
      <w:r>
        <w:rPr>
          <w:color w:val="231F20"/>
          <w:w w:val="110"/>
          <w:sz w:val="18"/>
        </w:rPr>
        <w:t>(Schlesinger)</w:t>
      </w:r>
      <w:r>
        <w:rPr>
          <w:color w:val="231F20"/>
          <w:spacing w:val="-16"/>
          <w:w w:val="110"/>
          <w:sz w:val="18"/>
        </w:rPr>
        <w:t> </w:t>
      </w:r>
      <w:r>
        <w:rPr>
          <w:color w:val="231F20"/>
          <w:w w:val="110"/>
          <w:sz w:val="18"/>
        </w:rPr>
        <w:t>to</w:t>
      </w:r>
      <w:r>
        <w:rPr>
          <w:color w:val="231F20"/>
          <w:spacing w:val="-16"/>
          <w:w w:val="110"/>
          <w:sz w:val="18"/>
        </w:rPr>
        <w:t> </w:t>
      </w:r>
      <w:r>
        <w:rPr>
          <w:color w:val="231F20"/>
          <w:w w:val="110"/>
          <w:sz w:val="18"/>
        </w:rPr>
        <w:t>President</w:t>
      </w:r>
      <w:r>
        <w:rPr>
          <w:color w:val="231F20"/>
          <w:spacing w:val="-16"/>
          <w:w w:val="110"/>
          <w:sz w:val="18"/>
        </w:rPr>
        <w:t> </w:t>
      </w:r>
      <w:r>
        <w:rPr>
          <w:color w:val="231F20"/>
          <w:w w:val="110"/>
          <w:sz w:val="18"/>
        </w:rPr>
        <w:t>Kennedy;</w:t>
      </w:r>
      <w:r>
        <w:rPr>
          <w:color w:val="231F20"/>
          <w:spacing w:val="-16"/>
          <w:w w:val="110"/>
          <w:sz w:val="18"/>
        </w:rPr>
        <w:t> </w:t>
      </w:r>
      <w:r>
        <w:rPr>
          <w:color w:val="231F20"/>
          <w:w w:val="110"/>
          <w:sz w:val="18"/>
        </w:rPr>
        <w:t>doc.</w:t>
      </w:r>
      <w:r>
        <w:rPr>
          <w:color w:val="231F20"/>
          <w:spacing w:val="-16"/>
          <w:w w:val="110"/>
          <w:sz w:val="18"/>
        </w:rPr>
        <w:t> </w:t>
      </w:r>
      <w:r>
        <w:rPr>
          <w:color w:val="231F20"/>
          <w:w w:val="110"/>
          <w:sz w:val="18"/>
        </w:rPr>
        <w:t>90. Report</w:t>
      </w:r>
      <w:r>
        <w:rPr>
          <w:color w:val="231F20"/>
          <w:spacing w:val="-6"/>
          <w:w w:val="110"/>
          <w:sz w:val="18"/>
        </w:rPr>
        <w:t> </w:t>
      </w:r>
      <w:r>
        <w:rPr>
          <w:color w:val="231F20"/>
          <w:w w:val="110"/>
          <w:sz w:val="18"/>
        </w:rPr>
        <w:t>and</w:t>
      </w:r>
      <w:r>
        <w:rPr>
          <w:color w:val="231F20"/>
          <w:spacing w:val="-6"/>
          <w:w w:val="110"/>
          <w:sz w:val="18"/>
        </w:rPr>
        <w:t> </w:t>
      </w:r>
      <w:r>
        <w:rPr>
          <w:color w:val="231F20"/>
          <w:w w:val="110"/>
          <w:sz w:val="18"/>
        </w:rPr>
        <w:t>recommendations</w:t>
      </w:r>
      <w:r>
        <w:rPr>
          <w:color w:val="231F20"/>
          <w:spacing w:val="-6"/>
          <w:w w:val="110"/>
          <w:sz w:val="18"/>
        </w:rPr>
        <w:t> </w:t>
      </w:r>
      <w:r>
        <w:rPr>
          <w:color w:val="231F20"/>
          <w:w w:val="110"/>
          <w:sz w:val="18"/>
        </w:rPr>
        <w:t>of</w:t>
      </w:r>
      <w:r>
        <w:rPr>
          <w:color w:val="231F20"/>
          <w:spacing w:val="-6"/>
          <w:w w:val="110"/>
          <w:sz w:val="18"/>
        </w:rPr>
        <w:t> </w:t>
      </w:r>
      <w:r>
        <w:rPr>
          <w:color w:val="231F20"/>
          <w:w w:val="110"/>
          <w:sz w:val="18"/>
        </w:rPr>
        <w:t>the</w:t>
      </w:r>
      <w:r>
        <w:rPr>
          <w:color w:val="231F20"/>
          <w:spacing w:val="-6"/>
          <w:w w:val="110"/>
          <w:sz w:val="18"/>
        </w:rPr>
        <w:t> </w:t>
      </w:r>
      <w:r>
        <w:rPr>
          <w:color w:val="231F20"/>
          <w:w w:val="110"/>
          <w:sz w:val="18"/>
        </w:rPr>
        <w:t>Washington</w:t>
      </w:r>
      <w:r>
        <w:rPr>
          <w:color w:val="231F20"/>
          <w:spacing w:val="-6"/>
          <w:w w:val="110"/>
          <w:sz w:val="18"/>
        </w:rPr>
        <w:t> </w:t>
      </w:r>
      <w:r>
        <w:rPr>
          <w:color w:val="231F20"/>
          <w:w w:val="110"/>
          <w:sz w:val="18"/>
        </w:rPr>
        <w:t>Assessment</w:t>
      </w:r>
      <w:r>
        <w:rPr>
          <w:color w:val="231F20"/>
          <w:spacing w:val="-6"/>
          <w:w w:val="110"/>
          <w:sz w:val="18"/>
        </w:rPr>
        <w:t> </w:t>
      </w:r>
      <w:r>
        <w:rPr>
          <w:color w:val="231F20"/>
          <w:w w:val="110"/>
          <w:sz w:val="18"/>
        </w:rPr>
        <w:t>team</w:t>
      </w:r>
      <w:r>
        <w:rPr>
          <w:color w:val="231F20"/>
          <w:spacing w:val="-6"/>
          <w:w w:val="110"/>
          <w:sz w:val="18"/>
        </w:rPr>
        <w:t> </w:t>
      </w:r>
      <w:r>
        <w:rPr>
          <w:color w:val="231F20"/>
          <w:w w:val="110"/>
          <w:sz w:val="18"/>
        </w:rPr>
        <w:t>on</w:t>
      </w:r>
      <w:r>
        <w:rPr>
          <w:color w:val="231F20"/>
          <w:spacing w:val="-6"/>
          <w:w w:val="110"/>
          <w:sz w:val="18"/>
        </w:rPr>
        <w:t> </w:t>
      </w:r>
      <w:r>
        <w:rPr>
          <w:color w:val="231F20"/>
          <w:w w:val="110"/>
          <w:sz w:val="18"/>
        </w:rPr>
        <w:t>the Internal Security Situation in South</w:t>
      </w:r>
      <w:r>
        <w:rPr>
          <w:color w:val="231F20"/>
          <w:spacing w:val="2"/>
          <w:w w:val="110"/>
          <w:sz w:val="18"/>
        </w:rPr>
        <w:t> </w:t>
      </w:r>
      <w:r>
        <w:rPr>
          <w:color w:val="231F20"/>
          <w:w w:val="110"/>
          <w:sz w:val="18"/>
        </w:rPr>
        <w:t>America.</w:t>
      </w:r>
    </w:p>
    <w:p>
      <w:pPr>
        <w:spacing w:line="254" w:lineRule="auto" w:before="1"/>
        <w:ind w:left="340" w:right="116"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w:t>
      </w:r>
      <w:r>
        <w:rPr>
          <w:color w:val="231F20"/>
          <w:spacing w:val="-12"/>
          <w:w w:val="110"/>
          <w:sz w:val="18"/>
        </w:rPr>
        <w:t> </w:t>
      </w:r>
      <w:r>
        <w:rPr>
          <w:color w:val="231F20"/>
          <w:w w:val="110"/>
          <w:sz w:val="18"/>
        </w:rPr>
        <w:t>Foreign</w:t>
      </w:r>
      <w:r>
        <w:rPr>
          <w:color w:val="231F20"/>
          <w:spacing w:val="-12"/>
          <w:w w:val="110"/>
          <w:sz w:val="18"/>
        </w:rPr>
        <w:t> </w:t>
      </w:r>
      <w:r>
        <w:rPr>
          <w:color w:val="231F20"/>
          <w:w w:val="110"/>
          <w:sz w:val="18"/>
        </w:rPr>
        <w:t>Relations</w:t>
      </w:r>
      <w:r>
        <w:rPr>
          <w:color w:val="231F20"/>
          <w:spacing w:val="-12"/>
          <w:w w:val="110"/>
          <w:sz w:val="18"/>
        </w:rPr>
        <w:t> </w:t>
      </w:r>
      <w:r>
        <w:rPr>
          <w:color w:val="231F20"/>
          <w:w w:val="110"/>
          <w:sz w:val="18"/>
        </w:rPr>
        <w:t>1969-1972,</w:t>
      </w:r>
      <w:r>
        <w:rPr>
          <w:color w:val="231F20"/>
          <w:spacing w:val="-12"/>
          <w:w w:val="110"/>
          <w:sz w:val="18"/>
        </w:rPr>
        <w:t> </w:t>
      </w:r>
      <w:r>
        <w:rPr>
          <w:color w:val="231F20"/>
          <w:w w:val="110"/>
          <w:sz w:val="18"/>
        </w:rPr>
        <w:t>vol.</w:t>
      </w:r>
      <w:r>
        <w:rPr>
          <w:color w:val="231F20"/>
          <w:spacing w:val="-12"/>
          <w:w w:val="110"/>
          <w:sz w:val="18"/>
        </w:rPr>
        <w:t> </w:t>
      </w:r>
      <w:r>
        <w:rPr>
          <w:color w:val="231F20"/>
          <w:spacing w:val="-5"/>
          <w:w w:val="110"/>
          <w:sz w:val="18"/>
        </w:rPr>
        <w:t>iv,</w:t>
      </w:r>
      <w:r>
        <w:rPr>
          <w:color w:val="231F20"/>
          <w:spacing w:val="-12"/>
          <w:w w:val="110"/>
          <w:sz w:val="18"/>
        </w:rPr>
        <w:t> </w:t>
      </w:r>
      <w:r>
        <w:rPr>
          <w:color w:val="231F20"/>
          <w:w w:val="110"/>
          <w:sz w:val="18"/>
        </w:rPr>
        <w:t>Foreign</w:t>
      </w:r>
      <w:r>
        <w:rPr>
          <w:color w:val="231F20"/>
          <w:spacing w:val="-12"/>
          <w:w w:val="110"/>
          <w:sz w:val="18"/>
        </w:rPr>
        <w:t> </w:t>
      </w:r>
      <w:r>
        <w:rPr>
          <w:color w:val="231F20"/>
          <w:w w:val="110"/>
          <w:sz w:val="18"/>
        </w:rPr>
        <w:t>Assistance,</w:t>
      </w:r>
      <w:r>
        <w:rPr>
          <w:color w:val="231F20"/>
          <w:spacing w:val="-12"/>
          <w:w w:val="110"/>
          <w:sz w:val="18"/>
        </w:rPr>
        <w:t> </w:t>
      </w:r>
      <w:r>
        <w:rPr>
          <w:color w:val="231F20"/>
          <w:w w:val="110"/>
          <w:sz w:val="18"/>
        </w:rPr>
        <w:t>International Developement, </w:t>
      </w:r>
      <w:r>
        <w:rPr>
          <w:color w:val="231F20"/>
          <w:spacing w:val="-4"/>
          <w:w w:val="110"/>
          <w:sz w:val="18"/>
        </w:rPr>
        <w:t>Trade </w:t>
      </w:r>
      <w:r>
        <w:rPr>
          <w:color w:val="231F20"/>
          <w:w w:val="110"/>
          <w:sz w:val="18"/>
        </w:rPr>
        <w:t>Policies, doc. 4. Action Memorando From the As- sistant Secretary of State for Economic Affairs (Greenwald) to Secretary of State (Rogers), doc. 5. Action Memorando From President’s</w:t>
      </w:r>
      <w:r>
        <w:rPr>
          <w:color w:val="231F20"/>
          <w:spacing w:val="-16"/>
          <w:w w:val="110"/>
          <w:sz w:val="18"/>
        </w:rPr>
        <w:t> </w:t>
      </w:r>
      <w:r>
        <w:rPr>
          <w:color w:val="231F20"/>
          <w:w w:val="110"/>
          <w:sz w:val="18"/>
        </w:rPr>
        <w:t>Assistant for National Security Affairs (Kissinger) to President Nixon, doc.   </w:t>
      </w:r>
      <w:r>
        <w:rPr>
          <w:color w:val="231F20"/>
          <w:spacing w:val="13"/>
          <w:w w:val="110"/>
          <w:sz w:val="18"/>
        </w:rPr>
        <w:t> </w:t>
      </w:r>
      <w:r>
        <w:rPr>
          <w:color w:val="231F20"/>
          <w:w w:val="110"/>
          <w:sz w:val="18"/>
        </w:rPr>
        <w:t>173.</w:t>
      </w:r>
    </w:p>
    <w:p>
      <w:pPr>
        <w:spacing w:before="1"/>
        <w:ind w:left="340" w:right="0" w:firstLine="0"/>
        <w:jc w:val="both"/>
        <w:rPr>
          <w:sz w:val="18"/>
        </w:rPr>
      </w:pPr>
      <w:r>
        <w:rPr>
          <w:color w:val="231F20"/>
          <w:w w:val="110"/>
          <w:sz w:val="18"/>
        </w:rPr>
        <w:t>National Security Decision Memorandum</w:t>
      </w:r>
    </w:p>
    <w:p>
      <w:pPr>
        <w:spacing w:line="254" w:lineRule="auto" w:before="13"/>
        <w:ind w:left="340" w:right="118" w:hanging="240"/>
        <w:jc w:val="both"/>
        <w:rPr>
          <w:sz w:val="18"/>
        </w:rPr>
      </w:pPr>
      <w:r>
        <w:rPr>
          <w:color w:val="231F20"/>
          <w:w w:val="110"/>
          <w:sz w:val="18"/>
        </w:rPr>
        <w:t>usaid, 2004, “usaid supports Good Governance in Latin America and the Caribbean”.</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10"/>
          <w:sz w:val="18"/>
        </w:rPr>
        <w:t>,</w:t>
      </w:r>
      <w:r>
        <w:rPr>
          <w:color w:val="231F20"/>
          <w:spacing w:val="-9"/>
          <w:w w:val="110"/>
          <w:sz w:val="18"/>
        </w:rPr>
        <w:t> </w:t>
      </w:r>
      <w:r>
        <w:rPr>
          <w:color w:val="231F20"/>
          <w:w w:val="110"/>
          <w:sz w:val="18"/>
        </w:rPr>
        <w:t>2005,</w:t>
      </w:r>
      <w:r>
        <w:rPr>
          <w:color w:val="231F20"/>
          <w:spacing w:val="-9"/>
          <w:w w:val="110"/>
          <w:sz w:val="18"/>
        </w:rPr>
        <w:t> </w:t>
      </w:r>
      <w:r>
        <w:rPr>
          <w:color w:val="231F20"/>
          <w:w w:val="110"/>
          <w:sz w:val="18"/>
        </w:rPr>
        <w:t>History</w:t>
      </w:r>
      <w:r>
        <w:rPr>
          <w:color w:val="231F20"/>
          <w:spacing w:val="-9"/>
          <w:w w:val="110"/>
          <w:sz w:val="18"/>
        </w:rPr>
        <w:t> </w:t>
      </w:r>
      <w:r>
        <w:rPr>
          <w:color w:val="231F20"/>
          <w:w w:val="110"/>
          <w:sz w:val="18"/>
        </w:rPr>
        <w:t>of</w:t>
      </w:r>
      <w:r>
        <w:rPr>
          <w:color w:val="231F20"/>
          <w:spacing w:val="-9"/>
          <w:w w:val="110"/>
          <w:sz w:val="18"/>
        </w:rPr>
        <w:t> </w:t>
      </w:r>
      <w:r>
        <w:rPr>
          <w:color w:val="231F20"/>
          <w:w w:val="110"/>
          <w:sz w:val="18"/>
        </w:rPr>
        <w:t>usaid,</w:t>
      </w:r>
      <w:r>
        <w:rPr>
          <w:color w:val="231F20"/>
          <w:spacing w:val="-9"/>
          <w:w w:val="110"/>
          <w:sz w:val="18"/>
        </w:rPr>
        <w:t> </w:t>
      </w:r>
      <w:hyperlink r:id="rId331">
        <w:r>
          <w:rPr>
            <w:color w:val="231F20"/>
            <w:w w:val="110"/>
            <w:sz w:val="18"/>
          </w:rPr>
          <w:t>&lt;www.usaid.gov/about</w:t>
        </w:r>
      </w:hyperlink>
      <w:r>
        <w:rPr>
          <w:color w:val="231F20"/>
          <w:w w:val="110"/>
          <w:sz w:val="18"/>
        </w:rPr>
        <w:t>_</w:t>
      </w:r>
      <w:hyperlink r:id="rId331">
        <w:r>
          <w:rPr>
            <w:color w:val="231F20"/>
            <w:w w:val="110"/>
            <w:sz w:val="18"/>
          </w:rPr>
          <w:t>usaid/usaidhist.html</w:t>
        </w:r>
      </w:hyperlink>
    </w:p>
    <w:p>
      <w:pPr>
        <w:tabs>
          <w:tab w:pos="45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2007, “Estrategic Plan 2007-2008: Transformational </w:t>
      </w:r>
      <w:r>
        <w:rPr>
          <w:color w:val="231F20"/>
          <w:spacing w:val="25"/>
          <w:w w:val="105"/>
          <w:sz w:val="18"/>
        </w:rPr>
        <w:t> </w:t>
      </w:r>
      <w:r>
        <w:rPr>
          <w:color w:val="231F20"/>
          <w:w w:val="105"/>
          <w:sz w:val="18"/>
        </w:rPr>
        <w:t>Diplomacy”</w:t>
      </w:r>
    </w:p>
    <w:p>
      <w:pPr>
        <w:spacing w:line="254" w:lineRule="auto" w:before="13"/>
        <w:ind w:left="340" w:right="114" w:hanging="240"/>
        <w:jc w:val="both"/>
        <w:rPr>
          <w:sz w:val="18"/>
        </w:rPr>
      </w:pPr>
      <w:r>
        <w:rPr>
          <w:color w:val="231F20"/>
          <w:w w:val="104"/>
          <w:sz w:val="18"/>
          <w:u w:val="single" w:color="221E1F"/>
        </w:rPr>
        <w:t> </w:t>
      </w:r>
      <w:r>
        <w:rPr>
          <w:color w:val="231F20"/>
          <w:sz w:val="18"/>
          <w:u w:val="single" w:color="221E1F"/>
        </w:rPr>
        <w:t>       </w:t>
      </w:r>
      <w:r>
        <w:rPr>
          <w:color w:val="231F20"/>
          <w:w w:val="110"/>
          <w:sz w:val="18"/>
        </w:rPr>
        <w:t>, 2008a, Partners Conference “Democracy Promotion After the Third Wave: The Era of the Three Ds (Development, Diplomacy,    Defense)”,</w:t>
      </w:r>
    </w:p>
    <w:p>
      <w:pPr>
        <w:spacing w:line="254" w:lineRule="auto" w:before="1"/>
        <w:ind w:left="340" w:right="176" w:firstLine="0"/>
        <w:jc w:val="both"/>
        <w:rPr>
          <w:sz w:val="18"/>
        </w:rPr>
      </w:pPr>
      <w:hyperlink r:id="rId332">
        <w:r>
          <w:rPr>
            <w:color w:val="231F20"/>
            <w:spacing w:val="-1"/>
            <w:w w:val="110"/>
            <w:sz w:val="18"/>
          </w:rPr>
          <w:t>&lt;www.usaid.gov/our_work/democracy_and_governance/08partner_con</w:t>
        </w:r>
      </w:hyperlink>
      <w:r>
        <w:rPr>
          <w:color w:val="231F20"/>
          <w:spacing w:val="-1"/>
          <w:w w:val="110"/>
          <w:sz w:val="18"/>
        </w:rPr>
        <w:t>- </w:t>
      </w:r>
      <w:r>
        <w:rPr>
          <w:color w:val="231F20"/>
          <w:w w:val="110"/>
          <w:sz w:val="18"/>
        </w:rPr>
        <w:t>ference/index.html&gt;.</w:t>
      </w:r>
    </w:p>
    <w:p>
      <w:pPr>
        <w:spacing w:line="254" w:lineRule="auto" w:before="1"/>
        <w:ind w:left="340" w:right="117" w:hanging="240"/>
        <w:jc w:val="both"/>
        <w:rPr>
          <w:sz w:val="18"/>
        </w:rPr>
      </w:pPr>
      <w:r>
        <w:rPr>
          <w:color w:val="231F20"/>
          <w:w w:val="104"/>
          <w:sz w:val="18"/>
          <w:u w:val="single" w:color="221E1F"/>
        </w:rPr>
        <w:t> </w:t>
      </w:r>
      <w:r>
        <w:rPr>
          <w:color w:val="231F20"/>
          <w:sz w:val="18"/>
          <w:u w:val="single" w:color="221E1F"/>
        </w:rPr>
        <w:t>       </w:t>
      </w:r>
      <w:r>
        <w:rPr>
          <w:color w:val="231F20"/>
          <w:w w:val="110"/>
          <w:sz w:val="18"/>
        </w:rPr>
        <w:t>, 2008b, “Democracy and governance: advancing freedom around the world”, 24 de julio.</w:t>
      </w:r>
    </w:p>
    <w:p>
      <w:pPr>
        <w:spacing w:after="0" w:line="254" w:lineRule="auto"/>
        <w:jc w:val="both"/>
        <w:rPr>
          <w:sz w:val="18"/>
        </w:rPr>
        <w:sectPr>
          <w:pgSz w:w="7640" w:h="11900"/>
          <w:pgMar w:header="672" w:footer="0" w:top="860" w:bottom="280" w:left="660" w:right="760"/>
        </w:sectPr>
      </w:pPr>
    </w:p>
    <w:p>
      <w:pPr>
        <w:pStyle w:val="BodyText"/>
        <w:spacing w:line="261" w:lineRule="auto" w:before="39"/>
        <w:ind w:left="100" w:right="103"/>
      </w:pPr>
      <w:r>
        <w:rPr>
          <w:color w:val="231F20"/>
        </w:rPr>
        <w:t>CAMBIOS EN LA POLÍTICA DE SEGURIDAD DE ESTADOS UNIDOS Y SU INCIDENCIA EN AMÉRICA   LATINA</w:t>
      </w:r>
    </w:p>
    <w:p>
      <w:pPr>
        <w:pStyle w:val="BodyText"/>
        <w:spacing w:before="8"/>
        <w:rPr>
          <w:sz w:val="21"/>
        </w:rPr>
      </w:pPr>
    </w:p>
    <w:p>
      <w:pPr>
        <w:pStyle w:val="BodyText"/>
        <w:ind w:left="4176" w:right="25"/>
      </w:pPr>
      <w:r>
        <w:rPr>
          <w:color w:val="231F20"/>
          <w:w w:val="120"/>
        </w:rPr>
        <w:t>jaime zuluaga nieto</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6"/>
        <w:jc w:val="both"/>
      </w:pPr>
      <w:r>
        <w:rPr>
          <w:color w:val="231F20"/>
          <w:w w:val="110"/>
        </w:rPr>
        <w:t>Desde el año 2001, en desarrollo de la guerra mundial contra el terrorismo a raíz de los atentados del 11 de septiembre, el gobierno de</w:t>
      </w:r>
      <w:r>
        <w:rPr>
          <w:color w:val="231F20"/>
          <w:spacing w:val="-7"/>
          <w:w w:val="110"/>
        </w:rPr>
        <w:t> </w:t>
      </w:r>
      <w:r>
        <w:rPr>
          <w:color w:val="231F20"/>
          <w:w w:val="110"/>
        </w:rPr>
        <w:t>George</w:t>
      </w:r>
      <w:r>
        <w:rPr>
          <w:color w:val="231F20"/>
          <w:spacing w:val="-7"/>
          <w:w w:val="110"/>
        </w:rPr>
        <w:t> </w:t>
      </w:r>
      <w:r>
        <w:rPr>
          <w:color w:val="231F20"/>
          <w:spacing w:val="-6"/>
          <w:w w:val="110"/>
        </w:rPr>
        <w:t>W.</w:t>
      </w:r>
      <w:r>
        <w:rPr>
          <w:color w:val="231F20"/>
          <w:spacing w:val="-7"/>
          <w:w w:val="110"/>
        </w:rPr>
        <w:t> </w:t>
      </w:r>
      <w:r>
        <w:rPr>
          <w:color w:val="231F20"/>
          <w:w w:val="110"/>
        </w:rPr>
        <w:t>Bush</w:t>
      </w:r>
      <w:r>
        <w:rPr>
          <w:color w:val="231F20"/>
          <w:spacing w:val="-7"/>
          <w:w w:val="110"/>
        </w:rPr>
        <w:t> </w:t>
      </w:r>
      <w:r>
        <w:rPr>
          <w:color w:val="231F20"/>
          <w:w w:val="110"/>
        </w:rPr>
        <w:t>llevó</w:t>
      </w:r>
      <w:r>
        <w:rPr>
          <w:color w:val="231F20"/>
          <w:spacing w:val="-7"/>
          <w:w w:val="110"/>
        </w:rPr>
        <w:t> </w:t>
      </w:r>
      <w:r>
        <w:rPr>
          <w:color w:val="231F20"/>
          <w:w w:val="110"/>
        </w:rPr>
        <w:t>al</w:t>
      </w:r>
      <w:r>
        <w:rPr>
          <w:color w:val="231F20"/>
          <w:spacing w:val="-7"/>
          <w:w w:val="110"/>
        </w:rPr>
        <w:t> </w:t>
      </w:r>
      <w:r>
        <w:rPr>
          <w:color w:val="231F20"/>
          <w:w w:val="110"/>
        </w:rPr>
        <w:t>límite</w:t>
      </w:r>
      <w:r>
        <w:rPr>
          <w:color w:val="231F20"/>
          <w:spacing w:val="-7"/>
          <w:w w:val="110"/>
        </w:rPr>
        <w:t> </w:t>
      </w:r>
      <w:r>
        <w:rPr>
          <w:color w:val="231F20"/>
          <w:w w:val="110"/>
        </w:rPr>
        <w:t>la</w:t>
      </w:r>
      <w:r>
        <w:rPr>
          <w:color w:val="231F20"/>
          <w:spacing w:val="-7"/>
          <w:w w:val="110"/>
        </w:rPr>
        <w:t> </w:t>
      </w:r>
      <w:r>
        <w:rPr>
          <w:color w:val="231F20"/>
          <w:w w:val="110"/>
        </w:rPr>
        <w:t>tendencia</w:t>
      </w:r>
      <w:r>
        <w:rPr>
          <w:color w:val="231F20"/>
          <w:spacing w:val="-8"/>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militarización</w:t>
      </w:r>
      <w:r>
        <w:rPr>
          <w:color w:val="231F20"/>
          <w:spacing w:val="-7"/>
          <w:w w:val="110"/>
        </w:rPr>
        <w:t> </w:t>
      </w:r>
      <w:r>
        <w:rPr>
          <w:color w:val="231F20"/>
          <w:w w:val="110"/>
        </w:rPr>
        <w:t>del Estado,</w:t>
      </w:r>
      <w:r>
        <w:rPr>
          <w:color w:val="231F20"/>
          <w:spacing w:val="-14"/>
          <w:w w:val="110"/>
        </w:rPr>
        <w:t> </w:t>
      </w:r>
      <w:r>
        <w:rPr>
          <w:color w:val="231F20"/>
          <w:w w:val="110"/>
        </w:rPr>
        <w:t>la</w:t>
      </w:r>
      <w:r>
        <w:rPr>
          <w:color w:val="231F20"/>
          <w:spacing w:val="-14"/>
          <w:w w:val="110"/>
        </w:rPr>
        <w:t> </w:t>
      </w:r>
      <w:r>
        <w:rPr>
          <w:color w:val="231F20"/>
          <w:w w:val="110"/>
        </w:rPr>
        <w:t>influencia</w:t>
      </w:r>
      <w:r>
        <w:rPr>
          <w:color w:val="231F20"/>
          <w:spacing w:val="-14"/>
          <w:w w:val="110"/>
        </w:rPr>
        <w:t> </w:t>
      </w:r>
      <w:r>
        <w:rPr>
          <w:color w:val="231F20"/>
          <w:w w:val="110"/>
        </w:rPr>
        <w:t>del</w:t>
      </w:r>
      <w:r>
        <w:rPr>
          <w:color w:val="231F20"/>
          <w:spacing w:val="-14"/>
          <w:w w:val="110"/>
        </w:rPr>
        <w:t> </w:t>
      </w:r>
      <w:r>
        <w:rPr>
          <w:color w:val="231F20"/>
          <w:w w:val="110"/>
        </w:rPr>
        <w:t>Pentágono</w:t>
      </w:r>
      <w:r>
        <w:rPr>
          <w:color w:val="231F20"/>
          <w:spacing w:val="-14"/>
          <w:w w:val="110"/>
        </w:rPr>
        <w:t> </w:t>
      </w:r>
      <w:r>
        <w:rPr>
          <w:color w:val="231F20"/>
          <w:w w:val="110"/>
        </w:rPr>
        <w:t>en</w:t>
      </w:r>
      <w:r>
        <w:rPr>
          <w:color w:val="231F20"/>
          <w:spacing w:val="-14"/>
          <w:w w:val="110"/>
        </w:rPr>
        <w:t> </w:t>
      </w:r>
      <w:r>
        <w:rPr>
          <w:color w:val="231F20"/>
          <w:w w:val="110"/>
        </w:rPr>
        <w:t>las</w:t>
      </w:r>
      <w:r>
        <w:rPr>
          <w:color w:val="231F20"/>
          <w:spacing w:val="-14"/>
          <w:w w:val="110"/>
        </w:rPr>
        <w:t> </w:t>
      </w:r>
      <w:r>
        <w:rPr>
          <w:color w:val="231F20"/>
          <w:w w:val="110"/>
        </w:rPr>
        <w:t>políticas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Casa</w:t>
      </w:r>
      <w:r>
        <w:rPr>
          <w:color w:val="231F20"/>
          <w:spacing w:val="-14"/>
          <w:w w:val="110"/>
        </w:rPr>
        <w:t> </w:t>
      </w:r>
      <w:r>
        <w:rPr>
          <w:color w:val="231F20"/>
          <w:w w:val="110"/>
        </w:rPr>
        <w:t>Blanca, la</w:t>
      </w:r>
      <w:r>
        <w:rPr>
          <w:color w:val="231F20"/>
          <w:spacing w:val="-4"/>
          <w:w w:val="110"/>
        </w:rPr>
        <w:t> </w:t>
      </w:r>
      <w:r>
        <w:rPr>
          <w:color w:val="231F20"/>
          <w:w w:val="110"/>
        </w:rPr>
        <w:t>práctica</w:t>
      </w:r>
      <w:r>
        <w:rPr>
          <w:color w:val="231F20"/>
          <w:spacing w:val="-4"/>
          <w:w w:val="110"/>
        </w:rPr>
        <w:t> </w:t>
      </w:r>
      <w:r>
        <w:rPr>
          <w:color w:val="231F20"/>
          <w:w w:val="110"/>
        </w:rPr>
        <w:t>de</w:t>
      </w:r>
      <w:r>
        <w:rPr>
          <w:color w:val="231F20"/>
          <w:spacing w:val="-4"/>
          <w:w w:val="110"/>
        </w:rPr>
        <w:t> </w:t>
      </w:r>
      <w:r>
        <w:rPr>
          <w:color w:val="231F20"/>
          <w:w w:val="110"/>
        </w:rPr>
        <w:t>torturas</w:t>
      </w:r>
      <w:r>
        <w:rPr>
          <w:color w:val="231F20"/>
          <w:spacing w:val="-4"/>
          <w:w w:val="110"/>
        </w:rPr>
        <w:t> </w:t>
      </w:r>
      <w:r>
        <w:rPr>
          <w:color w:val="231F20"/>
          <w:w w:val="110"/>
        </w:rPr>
        <w:t>en</w:t>
      </w:r>
      <w:r>
        <w:rPr>
          <w:color w:val="231F20"/>
          <w:spacing w:val="-4"/>
          <w:w w:val="110"/>
        </w:rPr>
        <w:t> </w:t>
      </w:r>
      <w:r>
        <w:rPr>
          <w:color w:val="231F20"/>
          <w:w w:val="110"/>
        </w:rPr>
        <w:t>su</w:t>
      </w:r>
      <w:r>
        <w:rPr>
          <w:color w:val="231F20"/>
          <w:spacing w:val="-4"/>
          <w:w w:val="110"/>
        </w:rPr>
        <w:t> </w:t>
      </w:r>
      <w:r>
        <w:rPr>
          <w:color w:val="231F20"/>
          <w:w w:val="110"/>
        </w:rPr>
        <w:t>país</w:t>
      </w:r>
      <w:r>
        <w:rPr>
          <w:color w:val="231F20"/>
          <w:spacing w:val="-4"/>
          <w:w w:val="110"/>
        </w:rPr>
        <w:t> </w:t>
      </w:r>
      <w:r>
        <w:rPr>
          <w:color w:val="231F20"/>
          <w:w w:val="110"/>
        </w:rPr>
        <w:t>como</w:t>
      </w:r>
      <w:r>
        <w:rPr>
          <w:color w:val="231F20"/>
          <w:spacing w:val="-4"/>
          <w:w w:val="110"/>
        </w:rPr>
        <w:t> </w:t>
      </w:r>
      <w:r>
        <w:rPr>
          <w:color w:val="231F20"/>
          <w:w w:val="110"/>
        </w:rPr>
        <w:t>en</w:t>
      </w:r>
      <w:r>
        <w:rPr>
          <w:color w:val="231F20"/>
          <w:spacing w:val="-4"/>
          <w:w w:val="110"/>
        </w:rPr>
        <w:t> </w:t>
      </w:r>
      <w:r>
        <w:rPr>
          <w:color w:val="231F20"/>
          <w:w w:val="110"/>
        </w:rPr>
        <w:t>otros</w:t>
      </w:r>
      <w:r>
        <w:rPr>
          <w:color w:val="231F20"/>
          <w:spacing w:val="-4"/>
          <w:w w:val="110"/>
        </w:rPr>
        <w:t> </w:t>
      </w:r>
      <w:r>
        <w:rPr>
          <w:color w:val="231F20"/>
          <w:spacing w:val="-8"/>
          <w:w w:val="110"/>
        </w:rPr>
        <w:t>y,</w:t>
      </w:r>
      <w:r>
        <w:rPr>
          <w:color w:val="231F20"/>
          <w:spacing w:val="-4"/>
          <w:w w:val="110"/>
        </w:rPr>
        <w:t> </w:t>
      </w:r>
      <w:r>
        <w:rPr>
          <w:color w:val="231F20"/>
          <w:w w:val="110"/>
        </w:rPr>
        <w:t>mediante</w:t>
      </w:r>
      <w:r>
        <w:rPr>
          <w:color w:val="231F20"/>
          <w:spacing w:val="-4"/>
          <w:w w:val="110"/>
        </w:rPr>
        <w:t> </w:t>
      </w:r>
      <w:r>
        <w:rPr>
          <w:color w:val="231F20"/>
          <w:w w:val="110"/>
        </w:rPr>
        <w:t>el</w:t>
      </w:r>
      <w:r>
        <w:rPr>
          <w:color w:val="231F20"/>
          <w:spacing w:val="-4"/>
          <w:w w:val="110"/>
        </w:rPr>
        <w:t> </w:t>
      </w:r>
      <w:r>
        <w:rPr>
          <w:color w:val="231F20"/>
          <w:w w:val="110"/>
        </w:rPr>
        <w:t>Patriot Act, recortó libertades y derechos fundamentales de los ciudadanos estadunidenses. En política exterior prevaleció la desconfianza en los órganos multilaterales creados en la segunda posguerra mundial, se acudió al ejercicio del unilateralismo y se impuso la construcción de un orden internacional con base en su portentosa fuerza militar abrogándose</w:t>
      </w:r>
      <w:r>
        <w:rPr>
          <w:color w:val="231F20"/>
          <w:spacing w:val="-5"/>
          <w:w w:val="110"/>
        </w:rPr>
        <w:t> </w:t>
      </w:r>
      <w:r>
        <w:rPr>
          <w:color w:val="231F20"/>
          <w:w w:val="110"/>
        </w:rPr>
        <w:t>el</w:t>
      </w:r>
      <w:r>
        <w:rPr>
          <w:color w:val="231F20"/>
          <w:spacing w:val="-5"/>
          <w:w w:val="110"/>
        </w:rPr>
        <w:t> </w:t>
      </w:r>
      <w:r>
        <w:rPr>
          <w:color w:val="231F20"/>
          <w:w w:val="110"/>
        </w:rPr>
        <w:t>monopolio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ejercicio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violencia</w:t>
      </w:r>
      <w:r>
        <w:rPr>
          <w:color w:val="231F20"/>
          <w:spacing w:val="-5"/>
          <w:w w:val="110"/>
        </w:rPr>
        <w:t> </w:t>
      </w:r>
      <w:r>
        <w:rPr>
          <w:color w:val="231F20"/>
          <w:w w:val="110"/>
        </w:rPr>
        <w:t>intertestatal (Cassen </w:t>
      </w:r>
      <w:r>
        <w:rPr>
          <w:i/>
          <w:color w:val="231F20"/>
          <w:w w:val="110"/>
        </w:rPr>
        <w:t>et al.</w:t>
      </w:r>
      <w:r>
        <w:rPr>
          <w:color w:val="231F20"/>
          <w:w w:val="110"/>
        </w:rPr>
        <w:t>, 2007: 60) En enero de 2009, al asumir la presidencia, Barack</w:t>
      </w:r>
      <w:r>
        <w:rPr>
          <w:color w:val="231F20"/>
          <w:spacing w:val="-10"/>
          <w:w w:val="110"/>
        </w:rPr>
        <w:t> </w:t>
      </w:r>
      <w:r>
        <w:rPr>
          <w:color w:val="231F20"/>
          <w:w w:val="110"/>
        </w:rPr>
        <w:t>Obama</w:t>
      </w:r>
      <w:r>
        <w:rPr>
          <w:color w:val="231F20"/>
          <w:spacing w:val="-10"/>
          <w:w w:val="110"/>
        </w:rPr>
        <w:t> </w:t>
      </w:r>
      <w:r>
        <w:rPr>
          <w:color w:val="231F20"/>
          <w:w w:val="110"/>
        </w:rPr>
        <w:t>propuso</w:t>
      </w:r>
      <w:r>
        <w:rPr>
          <w:color w:val="231F20"/>
          <w:spacing w:val="-10"/>
          <w:w w:val="110"/>
        </w:rPr>
        <w:t> </w:t>
      </w:r>
      <w:r>
        <w:rPr>
          <w:color w:val="231F20"/>
          <w:w w:val="110"/>
        </w:rPr>
        <w:t>un</w:t>
      </w:r>
      <w:r>
        <w:rPr>
          <w:color w:val="231F20"/>
          <w:spacing w:val="-10"/>
          <w:w w:val="110"/>
        </w:rPr>
        <w:t> </w:t>
      </w:r>
      <w:r>
        <w:rPr>
          <w:color w:val="231F20"/>
          <w:w w:val="110"/>
        </w:rPr>
        <w:t>viraje</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políticas</w:t>
      </w:r>
      <w:r>
        <w:rPr>
          <w:color w:val="231F20"/>
          <w:spacing w:val="-10"/>
          <w:w w:val="110"/>
        </w:rPr>
        <w:t> </w:t>
      </w:r>
      <w:r>
        <w:rPr>
          <w:color w:val="231F20"/>
          <w:w w:val="110"/>
        </w:rPr>
        <w:t>exterior</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seguri- dad</w:t>
      </w:r>
      <w:r>
        <w:rPr>
          <w:color w:val="231F20"/>
          <w:spacing w:val="-14"/>
          <w:w w:val="110"/>
        </w:rPr>
        <w:t> </w:t>
      </w:r>
      <w:r>
        <w:rPr>
          <w:color w:val="231F20"/>
          <w:w w:val="110"/>
        </w:rPr>
        <w:t>y</w:t>
      </w:r>
      <w:r>
        <w:rPr>
          <w:color w:val="231F20"/>
          <w:spacing w:val="-14"/>
          <w:w w:val="110"/>
        </w:rPr>
        <w:t> </w:t>
      </w:r>
      <w:r>
        <w:rPr>
          <w:color w:val="231F20"/>
          <w:w w:val="110"/>
        </w:rPr>
        <w:t>defensa</w:t>
      </w:r>
      <w:r>
        <w:rPr>
          <w:color w:val="231F20"/>
          <w:spacing w:val="-14"/>
          <w:w w:val="110"/>
        </w:rPr>
        <w:t> </w:t>
      </w:r>
      <w:r>
        <w:rPr>
          <w:color w:val="231F20"/>
          <w:w w:val="110"/>
        </w:rPr>
        <w:t>que</w:t>
      </w:r>
      <w:r>
        <w:rPr>
          <w:color w:val="231F20"/>
          <w:spacing w:val="-14"/>
          <w:w w:val="110"/>
        </w:rPr>
        <w:t> </w:t>
      </w:r>
      <w:r>
        <w:rPr>
          <w:color w:val="231F20"/>
          <w:w w:val="110"/>
        </w:rPr>
        <w:t>implicaba</w:t>
      </w:r>
      <w:r>
        <w:rPr>
          <w:color w:val="231F20"/>
          <w:spacing w:val="-14"/>
          <w:w w:val="110"/>
        </w:rPr>
        <w:t> </w:t>
      </w:r>
      <w:r>
        <w:rPr>
          <w:color w:val="231F20"/>
          <w:w w:val="110"/>
        </w:rPr>
        <w:t>tomar</w:t>
      </w:r>
      <w:r>
        <w:rPr>
          <w:color w:val="231F20"/>
          <w:spacing w:val="-14"/>
          <w:w w:val="110"/>
        </w:rPr>
        <w:t> </w:t>
      </w:r>
      <w:r>
        <w:rPr>
          <w:color w:val="231F20"/>
          <w:w w:val="110"/>
        </w:rPr>
        <w:t>distancia</w:t>
      </w:r>
      <w:r>
        <w:rPr>
          <w:color w:val="231F20"/>
          <w:spacing w:val="-14"/>
          <w:w w:val="110"/>
        </w:rPr>
        <w:t> </w:t>
      </w:r>
      <w:r>
        <w:rPr>
          <w:color w:val="231F20"/>
          <w:w w:val="110"/>
        </w:rPr>
        <w:t>respecto</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aplicadas por la administración Bush. Planteó el ejercicio de un liderazgo</w:t>
      </w:r>
      <w:r>
        <w:rPr>
          <w:color w:val="231F20"/>
          <w:spacing w:val="-20"/>
          <w:w w:val="110"/>
        </w:rPr>
        <w:t> </w:t>
      </w:r>
      <w:r>
        <w:rPr>
          <w:color w:val="231F20"/>
          <w:w w:val="110"/>
        </w:rPr>
        <w:t>que, sin</w:t>
      </w:r>
      <w:r>
        <w:rPr>
          <w:color w:val="231F20"/>
          <w:spacing w:val="-11"/>
          <w:w w:val="110"/>
        </w:rPr>
        <w:t> </w:t>
      </w:r>
      <w:r>
        <w:rPr>
          <w:color w:val="231F20"/>
          <w:w w:val="110"/>
        </w:rPr>
        <w:t>renunciar</w:t>
      </w:r>
      <w:r>
        <w:rPr>
          <w:color w:val="231F20"/>
          <w:spacing w:val="-11"/>
          <w:w w:val="110"/>
        </w:rPr>
        <w:t> </w:t>
      </w:r>
      <w:r>
        <w:rPr>
          <w:color w:val="231F20"/>
          <w:w w:val="110"/>
        </w:rPr>
        <w:t>al</w:t>
      </w:r>
      <w:r>
        <w:rPr>
          <w:color w:val="231F20"/>
          <w:spacing w:val="-11"/>
          <w:w w:val="110"/>
        </w:rPr>
        <w:t> </w:t>
      </w:r>
      <w:r>
        <w:rPr>
          <w:color w:val="231F20"/>
          <w:w w:val="110"/>
        </w:rPr>
        <w:t>uso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fuerza</w:t>
      </w:r>
      <w:r>
        <w:rPr>
          <w:color w:val="231F20"/>
          <w:spacing w:val="-11"/>
          <w:w w:val="110"/>
        </w:rPr>
        <w:t> </w:t>
      </w:r>
      <w:r>
        <w:rPr>
          <w:color w:val="231F20"/>
          <w:w w:val="110"/>
        </w:rPr>
        <w:t>cuando</w:t>
      </w:r>
      <w:r>
        <w:rPr>
          <w:color w:val="231F20"/>
          <w:spacing w:val="-11"/>
          <w:w w:val="110"/>
        </w:rPr>
        <w:t> </w:t>
      </w:r>
      <w:r>
        <w:rPr>
          <w:color w:val="231F20"/>
          <w:w w:val="110"/>
        </w:rPr>
        <w:t>fuere</w:t>
      </w:r>
      <w:r>
        <w:rPr>
          <w:color w:val="231F20"/>
          <w:spacing w:val="-11"/>
          <w:w w:val="110"/>
        </w:rPr>
        <w:t> </w:t>
      </w:r>
      <w:r>
        <w:rPr>
          <w:color w:val="231F20"/>
          <w:w w:val="110"/>
        </w:rPr>
        <w:t>necesario,</w:t>
      </w:r>
      <w:r>
        <w:rPr>
          <w:color w:val="231F20"/>
          <w:spacing w:val="-11"/>
          <w:w w:val="110"/>
        </w:rPr>
        <w:t> </w:t>
      </w:r>
      <w:r>
        <w:rPr>
          <w:color w:val="231F20"/>
          <w:w w:val="110"/>
        </w:rPr>
        <w:t>se</w:t>
      </w:r>
      <w:r>
        <w:rPr>
          <w:color w:val="231F20"/>
          <w:spacing w:val="-11"/>
          <w:w w:val="110"/>
        </w:rPr>
        <w:t> </w:t>
      </w:r>
      <w:r>
        <w:rPr>
          <w:color w:val="231F20"/>
          <w:w w:val="110"/>
        </w:rPr>
        <w:t>basaría</w:t>
      </w:r>
      <w:r>
        <w:rPr>
          <w:color w:val="231F20"/>
          <w:spacing w:val="-11"/>
          <w:w w:val="110"/>
        </w:rPr>
        <w:t> </w:t>
      </w:r>
      <w:r>
        <w:rPr>
          <w:color w:val="231F20"/>
          <w:w w:val="110"/>
        </w:rPr>
        <w:t>en los</w:t>
      </w:r>
      <w:r>
        <w:rPr>
          <w:color w:val="231F20"/>
          <w:spacing w:val="-15"/>
          <w:w w:val="110"/>
        </w:rPr>
        <w:t> </w:t>
      </w:r>
      <w:r>
        <w:rPr>
          <w:color w:val="231F20"/>
          <w:w w:val="110"/>
        </w:rPr>
        <w:t>principios</w:t>
      </w:r>
      <w:r>
        <w:rPr>
          <w:color w:val="231F20"/>
          <w:spacing w:val="-15"/>
          <w:w w:val="110"/>
        </w:rPr>
        <w:t> </w:t>
      </w:r>
      <w:r>
        <w:rPr>
          <w:color w:val="231F20"/>
          <w:w w:val="110"/>
        </w:rPr>
        <w:t>fundadores</w:t>
      </w:r>
      <w:r>
        <w:rPr>
          <w:color w:val="231F20"/>
          <w:spacing w:val="-15"/>
          <w:w w:val="110"/>
        </w:rPr>
        <w:t> </w:t>
      </w:r>
      <w:r>
        <w:rPr>
          <w:color w:val="231F20"/>
          <w:w w:val="110"/>
        </w:rPr>
        <w:t>de</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—defensa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libertad, de los derechos humanos, de la prosperidad y de la democracia—, así como un nuevo trato en las relaciones con otros países fundado en el respeto mutuo, la renuncia a las imposiciones y el retorno al multilateralismo. Estos anuncios de cambios despertaron</w:t>
      </w:r>
      <w:r>
        <w:rPr>
          <w:color w:val="231F20"/>
          <w:spacing w:val="-9"/>
          <w:w w:val="110"/>
        </w:rPr>
        <w:t> </w:t>
      </w:r>
      <w:r>
        <w:rPr>
          <w:color w:val="231F20"/>
          <w:w w:val="110"/>
        </w:rPr>
        <w:t>esperanzas y expectativas sin </w:t>
      </w:r>
      <w:r>
        <w:rPr>
          <w:color w:val="231F20"/>
          <w:spacing w:val="-5"/>
          <w:w w:val="110"/>
        </w:rPr>
        <w:t>par, </w:t>
      </w:r>
      <w:r>
        <w:rPr>
          <w:color w:val="231F20"/>
          <w:w w:val="110"/>
        </w:rPr>
        <w:t>tanto en Estados Unidos como en el resto del mundo y se produjeron en un entorno de decadencia de la hege- monía estadunidense, acentuada por la más grave crisis económica desde</w:t>
      </w:r>
      <w:r>
        <w:rPr>
          <w:color w:val="231F20"/>
          <w:spacing w:val="-7"/>
          <w:w w:val="110"/>
        </w:rPr>
        <w:t> </w:t>
      </w:r>
      <w:r>
        <w:rPr>
          <w:color w:val="231F20"/>
          <w:w w:val="110"/>
        </w:rPr>
        <w:t>los</w:t>
      </w:r>
      <w:r>
        <w:rPr>
          <w:color w:val="231F20"/>
          <w:spacing w:val="-7"/>
          <w:w w:val="110"/>
        </w:rPr>
        <w:t> </w:t>
      </w:r>
      <w:r>
        <w:rPr>
          <w:color w:val="231F20"/>
          <w:w w:val="110"/>
        </w:rPr>
        <w:t>años</w:t>
      </w:r>
      <w:r>
        <w:rPr>
          <w:color w:val="231F20"/>
          <w:spacing w:val="-7"/>
          <w:w w:val="110"/>
        </w:rPr>
        <w:t> </w:t>
      </w:r>
      <w:r>
        <w:rPr>
          <w:color w:val="231F20"/>
          <w:w w:val="110"/>
        </w:rPr>
        <w:t>treinta</w:t>
      </w:r>
      <w:r>
        <w:rPr>
          <w:color w:val="231F20"/>
          <w:spacing w:val="-7"/>
          <w:w w:val="110"/>
        </w:rPr>
        <w:t> </w:t>
      </w:r>
      <w:r>
        <w:rPr>
          <w:color w:val="231F20"/>
          <w:w w:val="110"/>
        </w:rPr>
        <w:t>del</w:t>
      </w:r>
      <w:r>
        <w:rPr>
          <w:color w:val="231F20"/>
          <w:spacing w:val="-7"/>
          <w:w w:val="110"/>
        </w:rPr>
        <w:t> </w:t>
      </w:r>
      <w:r>
        <w:rPr>
          <w:color w:val="231F20"/>
          <w:w w:val="110"/>
        </w:rPr>
        <w:t>siglo</w:t>
      </w:r>
      <w:r>
        <w:rPr>
          <w:color w:val="231F20"/>
          <w:spacing w:val="-7"/>
          <w:w w:val="110"/>
        </w:rPr>
        <w:t> </w:t>
      </w:r>
      <w:r>
        <w:rPr>
          <w:color w:val="231F20"/>
          <w:w w:val="110"/>
        </w:rPr>
        <w:t>xx,</w:t>
      </w:r>
      <w:r>
        <w:rPr>
          <w:color w:val="231F20"/>
          <w:spacing w:val="-7"/>
          <w:w w:val="110"/>
        </w:rPr>
        <w:t> </w:t>
      </w:r>
      <w:r>
        <w:rPr>
          <w:color w:val="231F20"/>
          <w:w w:val="110"/>
        </w:rPr>
        <w:t>las</w:t>
      </w:r>
      <w:r>
        <w:rPr>
          <w:color w:val="231F20"/>
          <w:spacing w:val="-7"/>
          <w:w w:val="110"/>
        </w:rPr>
        <w:t> </w:t>
      </w:r>
      <w:r>
        <w:rPr>
          <w:color w:val="231F20"/>
          <w:w w:val="110"/>
        </w:rPr>
        <w:t>severas</w:t>
      </w:r>
      <w:r>
        <w:rPr>
          <w:color w:val="231F20"/>
          <w:spacing w:val="-7"/>
          <w:w w:val="110"/>
        </w:rPr>
        <w:t> </w:t>
      </w:r>
      <w:r>
        <w:rPr>
          <w:color w:val="231F20"/>
          <w:w w:val="110"/>
        </w:rPr>
        <w:t>fracturas</w:t>
      </w:r>
      <w:r>
        <w:rPr>
          <w:color w:val="231F20"/>
          <w:spacing w:val="-7"/>
          <w:w w:val="110"/>
        </w:rPr>
        <w:t> </w:t>
      </w:r>
      <w:r>
        <w:rPr>
          <w:color w:val="231F20"/>
          <w:w w:val="110"/>
        </w:rPr>
        <w:t>internas</w:t>
      </w:r>
      <w:r>
        <w:rPr>
          <w:color w:val="231F20"/>
          <w:spacing w:val="-7"/>
          <w:w w:val="110"/>
        </w:rPr>
        <w:t> </w:t>
      </w:r>
      <w:r>
        <w:rPr>
          <w:color w:val="231F20"/>
          <w:w w:val="110"/>
        </w:rPr>
        <w:t>y</w:t>
      </w:r>
      <w:r>
        <w:rPr>
          <w:color w:val="231F20"/>
          <w:spacing w:val="-7"/>
          <w:w w:val="110"/>
        </w:rPr>
        <w:t> </w:t>
      </w:r>
      <w:r>
        <w:rPr>
          <w:color w:val="231F20"/>
          <w:w w:val="110"/>
        </w:rPr>
        <w:t>las crecientes dificultades para salir del pantano de las guerras en Irak  y Afganistán. Estados Unidos no solamente afronta la decadencia</w:t>
      </w:r>
      <w:r>
        <w:rPr>
          <w:color w:val="231F20"/>
          <w:spacing w:val="-27"/>
          <w:w w:val="110"/>
        </w:rPr>
        <w:t> </w:t>
      </w:r>
      <w:r>
        <w:rPr>
          <w:color w:val="231F20"/>
          <w:w w:val="110"/>
        </w:rPr>
        <w:t>de su hegemonía en un mundo caótico, como sostiene Immanuel </w:t>
      </w:r>
      <w:r>
        <w:rPr>
          <w:color w:val="231F20"/>
          <w:spacing w:val="-3"/>
          <w:w w:val="110"/>
        </w:rPr>
        <w:t>Wa- </w:t>
      </w:r>
      <w:r>
        <w:rPr>
          <w:color w:val="231F20"/>
          <w:w w:val="110"/>
        </w:rPr>
        <w:t>llerstein (2006), encara también el creciente desafío a su liderazgo por el ascenso de potencias</w:t>
      </w:r>
      <w:r>
        <w:rPr>
          <w:color w:val="231F20"/>
          <w:spacing w:val="54"/>
          <w:w w:val="110"/>
        </w:rPr>
        <w:t> </w:t>
      </w:r>
      <w:r>
        <w:rPr>
          <w:color w:val="231F20"/>
          <w:w w:val="110"/>
        </w:rPr>
        <w:t>emergentes.</w:t>
      </w:r>
    </w:p>
    <w:p>
      <w:pPr>
        <w:pStyle w:val="BodyText"/>
        <w:rPr>
          <w:sz w:val="15"/>
        </w:rPr>
      </w:pPr>
    </w:p>
    <w:p>
      <w:pPr>
        <w:pStyle w:val="BodyText"/>
        <w:spacing w:before="67"/>
        <w:ind w:left="113" w:right="132"/>
        <w:jc w:val="center"/>
      </w:pPr>
      <w:r>
        <w:rPr>
          <w:color w:val="231F20"/>
          <w:w w:val="120"/>
        </w:rPr>
        <w:t>[440]</w:t>
      </w:r>
    </w:p>
    <w:p>
      <w:pPr>
        <w:spacing w:after="0"/>
        <w:jc w:val="center"/>
        <w:sectPr>
          <w:headerReference w:type="even" r:id="rId333"/>
          <w:pgSz w:w="7640" w:h="11900"/>
          <w:pgMar w:header="0" w:footer="0" w:top="100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La</w:t>
      </w:r>
      <w:r>
        <w:rPr>
          <w:color w:val="231F20"/>
          <w:spacing w:val="-15"/>
          <w:w w:val="110"/>
        </w:rPr>
        <w:t> </w:t>
      </w:r>
      <w:r>
        <w:rPr>
          <w:color w:val="231F20"/>
          <w:w w:val="110"/>
        </w:rPr>
        <w:t>profundidad,</w:t>
      </w:r>
      <w:r>
        <w:rPr>
          <w:color w:val="231F20"/>
          <w:spacing w:val="-15"/>
          <w:w w:val="110"/>
        </w:rPr>
        <w:t> </w:t>
      </w:r>
      <w:r>
        <w:rPr>
          <w:color w:val="231F20"/>
          <w:w w:val="110"/>
        </w:rPr>
        <w:t>sostenibilidad</w:t>
      </w:r>
      <w:r>
        <w:rPr>
          <w:color w:val="231F20"/>
          <w:spacing w:val="-15"/>
          <w:w w:val="110"/>
        </w:rPr>
        <w:t> </w:t>
      </w:r>
      <w:r>
        <w:rPr>
          <w:color w:val="231F20"/>
          <w:w w:val="110"/>
        </w:rPr>
        <w:t>y</w:t>
      </w:r>
      <w:r>
        <w:rPr>
          <w:color w:val="231F20"/>
          <w:spacing w:val="-15"/>
          <w:w w:val="110"/>
        </w:rPr>
        <w:t> </w:t>
      </w:r>
      <w:r>
        <w:rPr>
          <w:color w:val="231F20"/>
          <w:w w:val="110"/>
        </w:rPr>
        <w:t>alcance</w:t>
      </w:r>
      <w:r>
        <w:rPr>
          <w:color w:val="231F20"/>
          <w:spacing w:val="-15"/>
          <w:w w:val="110"/>
        </w:rPr>
        <w:t> </w:t>
      </w:r>
      <w:r>
        <w:rPr>
          <w:color w:val="231F20"/>
          <w:w w:val="110"/>
        </w:rPr>
        <w:t>de</w:t>
      </w:r>
      <w:r>
        <w:rPr>
          <w:color w:val="231F20"/>
          <w:spacing w:val="-15"/>
          <w:w w:val="110"/>
        </w:rPr>
        <w:t> </w:t>
      </w:r>
      <w:r>
        <w:rPr>
          <w:color w:val="231F20"/>
          <w:w w:val="110"/>
        </w:rPr>
        <w:t>estos</w:t>
      </w:r>
      <w:r>
        <w:rPr>
          <w:color w:val="231F20"/>
          <w:spacing w:val="-15"/>
          <w:w w:val="110"/>
        </w:rPr>
        <w:t> </w:t>
      </w:r>
      <w:r>
        <w:rPr>
          <w:color w:val="231F20"/>
          <w:w w:val="110"/>
        </w:rPr>
        <w:t>cambios</w:t>
      </w:r>
      <w:r>
        <w:rPr>
          <w:color w:val="231F20"/>
          <w:spacing w:val="-15"/>
          <w:w w:val="110"/>
        </w:rPr>
        <w:t> </w:t>
      </w:r>
      <w:r>
        <w:rPr>
          <w:color w:val="231F20"/>
          <w:w w:val="110"/>
        </w:rPr>
        <w:t>está</w:t>
      </w:r>
      <w:r>
        <w:rPr>
          <w:color w:val="231F20"/>
          <w:spacing w:val="-15"/>
          <w:w w:val="110"/>
        </w:rPr>
        <w:t> </w:t>
      </w:r>
      <w:r>
        <w:rPr>
          <w:color w:val="231F20"/>
          <w:w w:val="110"/>
        </w:rPr>
        <w:t>aún por verse. El tiempo transcurrido desde la posesión del presidente demócrata ha puesto de presente las limitaciones que le imponen    la difícil situación de la economía, la herencia de la pasada admi- nistración con los compromisos en los escenarios de guerra en Irak y en Afganistán, la fluida situación internacional </w:t>
      </w:r>
      <w:r>
        <w:rPr>
          <w:color w:val="231F20"/>
          <w:spacing w:val="-8"/>
          <w:w w:val="110"/>
        </w:rPr>
        <w:t>y, </w:t>
      </w:r>
      <w:r>
        <w:rPr>
          <w:color w:val="231F20"/>
          <w:w w:val="110"/>
        </w:rPr>
        <w:t>desde luego, los intereses de los Estados Unidos, eje articulador de todas sus políti- cas. En este ensayo analizo cuáles son las continuidades, cambios o rupturas</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políticas</w:t>
      </w:r>
      <w:r>
        <w:rPr>
          <w:color w:val="231F20"/>
          <w:spacing w:val="-8"/>
          <w:w w:val="110"/>
        </w:rPr>
        <w:t> </w:t>
      </w:r>
      <w:r>
        <w:rPr>
          <w:color w:val="231F20"/>
          <w:w w:val="110"/>
        </w:rPr>
        <w:t>exterior</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y</w:t>
      </w:r>
      <w:r>
        <w:rPr>
          <w:color w:val="231F20"/>
          <w:spacing w:val="-8"/>
          <w:w w:val="110"/>
        </w:rPr>
        <w:t> </w:t>
      </w:r>
      <w:r>
        <w:rPr>
          <w:color w:val="231F20"/>
          <w:w w:val="110"/>
        </w:rPr>
        <w:t>defensa</w:t>
      </w:r>
      <w:r>
        <w:rPr>
          <w:color w:val="231F20"/>
          <w:spacing w:val="-8"/>
          <w:w w:val="110"/>
        </w:rPr>
        <w:t> </w:t>
      </w:r>
      <w:r>
        <w:rPr>
          <w:color w:val="231F20"/>
          <w:w w:val="110"/>
        </w:rPr>
        <w:t>en</w:t>
      </w:r>
      <w:r>
        <w:rPr>
          <w:color w:val="231F20"/>
          <w:spacing w:val="-8"/>
          <w:w w:val="110"/>
        </w:rPr>
        <w:t> </w:t>
      </w:r>
      <w:r>
        <w:rPr>
          <w:color w:val="231F20"/>
          <w:w w:val="110"/>
        </w:rPr>
        <w:t>relación con las aplicadas en el pasado inmediato por la administración Bush y su incidencia en las relaciones con América Latina y Colombia en particular.</w:t>
      </w:r>
    </w:p>
    <w:p>
      <w:pPr>
        <w:pStyle w:val="BodyText"/>
      </w:pPr>
    </w:p>
    <w:p>
      <w:pPr>
        <w:pStyle w:val="BodyText"/>
      </w:pPr>
    </w:p>
    <w:p>
      <w:pPr>
        <w:pStyle w:val="BodyText"/>
        <w:spacing w:before="2"/>
        <w:rPr>
          <w:sz w:val="25"/>
        </w:rPr>
      </w:pPr>
    </w:p>
    <w:p>
      <w:pPr>
        <w:pStyle w:val="BodyText"/>
        <w:ind w:left="100"/>
        <w:jc w:val="both"/>
      </w:pPr>
      <w:r>
        <w:rPr>
          <w:color w:val="231F20"/>
          <w:w w:val="125"/>
        </w:rPr>
        <w:t>un discurso esperanzador</w:t>
      </w:r>
    </w:p>
    <w:p>
      <w:pPr>
        <w:pStyle w:val="BodyText"/>
        <w:spacing w:before="1"/>
        <w:rPr>
          <w:sz w:val="25"/>
        </w:rPr>
      </w:pPr>
    </w:p>
    <w:p>
      <w:pPr>
        <w:spacing w:line="290" w:lineRule="auto" w:before="0"/>
        <w:ind w:left="2003" w:right="117" w:firstLine="905"/>
        <w:jc w:val="both"/>
        <w:rPr>
          <w:i/>
          <w:sz w:val="18"/>
        </w:rPr>
      </w:pPr>
      <w:r>
        <w:rPr>
          <w:i/>
          <w:color w:val="231F20"/>
          <w:sz w:val="18"/>
        </w:rPr>
        <w:t>Nuestra</w:t>
      </w:r>
      <w:r>
        <w:rPr>
          <w:i/>
          <w:color w:val="231F20"/>
          <w:spacing w:val="-19"/>
          <w:sz w:val="18"/>
        </w:rPr>
        <w:t> </w:t>
      </w:r>
      <w:r>
        <w:rPr>
          <w:i/>
          <w:color w:val="231F20"/>
          <w:sz w:val="18"/>
        </w:rPr>
        <w:t>seguridad</w:t>
      </w:r>
      <w:r>
        <w:rPr>
          <w:i/>
          <w:color w:val="231F20"/>
          <w:spacing w:val="-19"/>
          <w:sz w:val="18"/>
        </w:rPr>
        <w:t> </w:t>
      </w:r>
      <w:r>
        <w:rPr>
          <w:i/>
          <w:color w:val="231F20"/>
          <w:sz w:val="18"/>
        </w:rPr>
        <w:t>a</w:t>
      </w:r>
      <w:r>
        <w:rPr>
          <w:i/>
          <w:color w:val="231F20"/>
          <w:spacing w:val="-19"/>
          <w:sz w:val="18"/>
        </w:rPr>
        <w:t> </w:t>
      </w:r>
      <w:r>
        <w:rPr>
          <w:i/>
          <w:color w:val="231F20"/>
          <w:sz w:val="18"/>
        </w:rPr>
        <w:t>largo</w:t>
      </w:r>
      <w:r>
        <w:rPr>
          <w:i/>
          <w:color w:val="231F20"/>
          <w:spacing w:val="-19"/>
          <w:sz w:val="18"/>
        </w:rPr>
        <w:t> </w:t>
      </w:r>
      <w:r>
        <w:rPr>
          <w:i/>
          <w:color w:val="231F20"/>
          <w:sz w:val="18"/>
        </w:rPr>
        <w:t>plazo</w:t>
      </w:r>
      <w:r>
        <w:rPr>
          <w:i/>
          <w:color w:val="231F20"/>
          <w:spacing w:val="-19"/>
          <w:sz w:val="18"/>
        </w:rPr>
        <w:t> </w:t>
      </w:r>
      <w:r>
        <w:rPr>
          <w:i/>
          <w:color w:val="231F20"/>
          <w:sz w:val="18"/>
        </w:rPr>
        <w:t>se</w:t>
      </w:r>
      <w:r>
        <w:rPr>
          <w:i/>
          <w:color w:val="231F20"/>
          <w:spacing w:val="-19"/>
          <w:sz w:val="18"/>
        </w:rPr>
        <w:t> </w:t>
      </w:r>
      <w:r>
        <w:rPr>
          <w:i/>
          <w:color w:val="231F20"/>
          <w:sz w:val="18"/>
        </w:rPr>
        <w:t>producirá </w:t>
      </w:r>
      <w:r>
        <w:rPr>
          <w:i/>
          <w:color w:val="231F20"/>
          <w:sz w:val="18"/>
        </w:rPr>
        <w:t>no</w:t>
      </w:r>
      <w:r>
        <w:rPr>
          <w:i/>
          <w:color w:val="231F20"/>
          <w:spacing w:val="-13"/>
          <w:sz w:val="18"/>
        </w:rPr>
        <w:t> </w:t>
      </w:r>
      <w:r>
        <w:rPr>
          <w:i/>
          <w:color w:val="231F20"/>
          <w:sz w:val="18"/>
        </w:rPr>
        <w:t>por</w:t>
      </w:r>
      <w:r>
        <w:rPr>
          <w:i/>
          <w:color w:val="231F20"/>
          <w:spacing w:val="-13"/>
          <w:sz w:val="18"/>
        </w:rPr>
        <w:t> </w:t>
      </w:r>
      <w:r>
        <w:rPr>
          <w:i/>
          <w:color w:val="231F20"/>
          <w:sz w:val="18"/>
        </w:rPr>
        <w:t>nuestra</w:t>
      </w:r>
      <w:r>
        <w:rPr>
          <w:i/>
          <w:color w:val="231F20"/>
          <w:spacing w:val="-13"/>
          <w:sz w:val="18"/>
        </w:rPr>
        <w:t> </w:t>
      </w:r>
      <w:r>
        <w:rPr>
          <w:i/>
          <w:color w:val="231F20"/>
          <w:sz w:val="18"/>
        </w:rPr>
        <w:t>capacidad</w:t>
      </w:r>
      <w:r>
        <w:rPr>
          <w:i/>
          <w:color w:val="231F20"/>
          <w:spacing w:val="-13"/>
          <w:sz w:val="18"/>
        </w:rPr>
        <w:t> </w:t>
      </w:r>
      <w:r>
        <w:rPr>
          <w:i/>
          <w:color w:val="231F20"/>
          <w:sz w:val="18"/>
        </w:rPr>
        <w:t>de</w:t>
      </w:r>
      <w:r>
        <w:rPr>
          <w:i/>
          <w:color w:val="231F20"/>
          <w:spacing w:val="-13"/>
          <w:sz w:val="18"/>
        </w:rPr>
        <w:t> </w:t>
      </w:r>
      <w:r>
        <w:rPr>
          <w:i/>
          <w:color w:val="231F20"/>
          <w:sz w:val="18"/>
        </w:rPr>
        <w:t>amedrentar</w:t>
      </w:r>
      <w:r>
        <w:rPr>
          <w:i/>
          <w:color w:val="231F20"/>
          <w:spacing w:val="-13"/>
          <w:sz w:val="18"/>
        </w:rPr>
        <w:t> </w:t>
      </w:r>
      <w:r>
        <w:rPr>
          <w:i/>
          <w:color w:val="231F20"/>
          <w:sz w:val="18"/>
        </w:rPr>
        <w:t>a</w:t>
      </w:r>
      <w:r>
        <w:rPr>
          <w:i/>
          <w:color w:val="231F20"/>
          <w:spacing w:val="-13"/>
          <w:sz w:val="18"/>
        </w:rPr>
        <w:t> </w:t>
      </w:r>
      <w:r>
        <w:rPr>
          <w:i/>
          <w:color w:val="231F20"/>
          <w:sz w:val="18"/>
        </w:rPr>
        <w:t>otros</w:t>
      </w:r>
      <w:r>
        <w:rPr>
          <w:i/>
          <w:color w:val="231F20"/>
          <w:spacing w:val="-13"/>
          <w:sz w:val="18"/>
        </w:rPr>
        <w:t> </w:t>
      </w:r>
      <w:r>
        <w:rPr>
          <w:i/>
          <w:color w:val="231F20"/>
          <w:sz w:val="18"/>
        </w:rPr>
        <w:t>pueblos, sino</w:t>
      </w:r>
      <w:r>
        <w:rPr>
          <w:i/>
          <w:color w:val="231F20"/>
          <w:spacing w:val="-16"/>
          <w:sz w:val="18"/>
        </w:rPr>
        <w:t> </w:t>
      </w:r>
      <w:r>
        <w:rPr>
          <w:i/>
          <w:color w:val="231F20"/>
          <w:sz w:val="18"/>
        </w:rPr>
        <w:t>por</w:t>
      </w:r>
      <w:r>
        <w:rPr>
          <w:i/>
          <w:color w:val="231F20"/>
          <w:spacing w:val="-16"/>
          <w:sz w:val="18"/>
        </w:rPr>
        <w:t> </w:t>
      </w:r>
      <w:r>
        <w:rPr>
          <w:i/>
          <w:color w:val="231F20"/>
          <w:sz w:val="18"/>
        </w:rPr>
        <w:t>nuestra</w:t>
      </w:r>
      <w:r>
        <w:rPr>
          <w:i/>
          <w:color w:val="231F20"/>
          <w:spacing w:val="-16"/>
          <w:sz w:val="18"/>
        </w:rPr>
        <w:t> </w:t>
      </w:r>
      <w:r>
        <w:rPr>
          <w:i/>
          <w:color w:val="231F20"/>
          <w:sz w:val="18"/>
        </w:rPr>
        <w:t>capacidad</w:t>
      </w:r>
      <w:r>
        <w:rPr>
          <w:i/>
          <w:color w:val="231F20"/>
          <w:spacing w:val="-16"/>
          <w:sz w:val="18"/>
        </w:rPr>
        <w:t> </w:t>
      </w:r>
      <w:r>
        <w:rPr>
          <w:i/>
          <w:color w:val="231F20"/>
          <w:sz w:val="18"/>
        </w:rPr>
        <w:t>de</w:t>
      </w:r>
      <w:r>
        <w:rPr>
          <w:i/>
          <w:color w:val="231F20"/>
          <w:spacing w:val="-16"/>
          <w:sz w:val="18"/>
        </w:rPr>
        <w:t> </w:t>
      </w:r>
      <w:r>
        <w:rPr>
          <w:i/>
          <w:color w:val="231F20"/>
          <w:sz w:val="18"/>
        </w:rPr>
        <w:t>hablarles</w:t>
      </w:r>
      <w:r>
        <w:rPr>
          <w:i/>
          <w:color w:val="231F20"/>
          <w:spacing w:val="-16"/>
          <w:sz w:val="18"/>
        </w:rPr>
        <w:t> </w:t>
      </w:r>
      <w:r>
        <w:rPr>
          <w:i/>
          <w:color w:val="231F20"/>
          <w:sz w:val="18"/>
        </w:rPr>
        <w:t>a</w:t>
      </w:r>
      <w:r>
        <w:rPr>
          <w:i/>
          <w:color w:val="231F20"/>
          <w:spacing w:val="-16"/>
          <w:sz w:val="18"/>
        </w:rPr>
        <w:t> </w:t>
      </w:r>
      <w:r>
        <w:rPr>
          <w:i/>
          <w:color w:val="231F20"/>
          <w:sz w:val="18"/>
        </w:rPr>
        <w:t>sus</w:t>
      </w:r>
      <w:r>
        <w:rPr>
          <w:i/>
          <w:color w:val="231F20"/>
          <w:spacing w:val="-16"/>
          <w:sz w:val="18"/>
        </w:rPr>
        <w:t> </w:t>
      </w:r>
      <w:r>
        <w:rPr>
          <w:i/>
          <w:color w:val="231F20"/>
          <w:sz w:val="18"/>
        </w:rPr>
        <w:t>esperanzas.</w:t>
      </w:r>
    </w:p>
    <w:p>
      <w:pPr>
        <w:spacing w:before="1"/>
        <w:ind w:left="100" w:right="25" w:firstLine="5463"/>
        <w:jc w:val="left"/>
        <w:rPr>
          <w:sz w:val="18"/>
        </w:rPr>
      </w:pPr>
      <w:r>
        <w:rPr>
          <w:color w:val="231F20"/>
          <w:w w:val="115"/>
          <w:sz w:val="18"/>
        </w:rPr>
        <w:t>obama</w:t>
      </w:r>
    </w:p>
    <w:p>
      <w:pPr>
        <w:pStyle w:val="BodyText"/>
        <w:spacing w:before="9"/>
        <w:rPr>
          <w:sz w:val="23"/>
        </w:rPr>
      </w:pPr>
    </w:p>
    <w:p>
      <w:pPr>
        <w:pStyle w:val="BodyText"/>
        <w:spacing w:line="261" w:lineRule="auto" w:before="1"/>
        <w:ind w:left="100" w:right="117"/>
        <w:jc w:val="both"/>
      </w:pPr>
      <w:r>
        <w:rPr>
          <w:color w:val="231F20"/>
          <w:w w:val="110"/>
        </w:rPr>
        <w:t>En el discurso de posesión, el novel presidente Obama definió los peligros que amenazan la seguridad de Estados Unidos. En primer lugar el terrorismo: “nuestra nación está en guerra frente a una     red de gran alcance de violencia y odio, que hace imperativo darle continuidad a la guerra global contra el terrorismo”, iniciada por la administración de Bush hijo, uno de cuyos escenarios es</w:t>
      </w:r>
      <w:r>
        <w:rPr>
          <w:color w:val="231F20"/>
          <w:spacing w:val="-32"/>
          <w:w w:val="110"/>
        </w:rPr>
        <w:t> </w:t>
      </w:r>
      <w:r>
        <w:rPr>
          <w:color w:val="231F20"/>
          <w:w w:val="110"/>
        </w:rPr>
        <w:t>Afganistán, presunto refugio de Al Qaeda; en segundo lugar la proliferación    de armas nucleares, lo que exige evitar el desarrollo de programas de armamentismo nuclear por parte de Corea e Irán y el que las ubicuas redes terroristas accedan a las armas de destrucción masiva; por último, el calentamiento del planeta </w:t>
      </w:r>
      <w:r>
        <w:rPr>
          <w:color w:val="231F20"/>
          <w:spacing w:val="-8"/>
          <w:w w:val="110"/>
        </w:rPr>
        <w:t>y, </w:t>
      </w:r>
      <w:r>
        <w:rPr>
          <w:color w:val="231F20"/>
          <w:w w:val="110"/>
        </w:rPr>
        <w:t>para hacer retroceder el fantasma de un planeta que se calienta hay que fortalecer y renovar los compromisos internacionales para el control de las emisiones, promover</w:t>
      </w:r>
      <w:r>
        <w:rPr>
          <w:color w:val="231F20"/>
          <w:spacing w:val="-11"/>
          <w:w w:val="110"/>
        </w:rPr>
        <w:t> </w:t>
      </w:r>
      <w:r>
        <w:rPr>
          <w:color w:val="231F20"/>
          <w:w w:val="110"/>
        </w:rPr>
        <w:t>programas</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generación</w:t>
      </w:r>
      <w:r>
        <w:rPr>
          <w:color w:val="231F20"/>
          <w:spacing w:val="-11"/>
          <w:w w:val="110"/>
        </w:rPr>
        <w:t> </w:t>
      </w:r>
      <w:r>
        <w:rPr>
          <w:color w:val="231F20"/>
          <w:w w:val="110"/>
        </w:rPr>
        <w:t>de</w:t>
      </w:r>
      <w:r>
        <w:rPr>
          <w:color w:val="231F20"/>
          <w:spacing w:val="-11"/>
          <w:w w:val="110"/>
        </w:rPr>
        <w:t> </w:t>
      </w:r>
      <w:r>
        <w:rPr>
          <w:color w:val="231F20"/>
          <w:w w:val="110"/>
        </w:rPr>
        <w:t>energías</w:t>
      </w:r>
      <w:r>
        <w:rPr>
          <w:color w:val="231F20"/>
          <w:spacing w:val="-11"/>
          <w:w w:val="110"/>
        </w:rPr>
        <w:t> </w:t>
      </w:r>
      <w:r>
        <w:rPr>
          <w:color w:val="231F20"/>
          <w:w w:val="110"/>
        </w:rPr>
        <w:t>alternativas</w:t>
      </w:r>
      <w:r>
        <w:rPr>
          <w:color w:val="231F20"/>
          <w:spacing w:val="-11"/>
          <w:w w:val="110"/>
        </w:rPr>
        <w:t> </w:t>
      </w:r>
      <w:r>
        <w:rPr>
          <w:color w:val="231F20"/>
          <w:w w:val="110"/>
        </w:rPr>
        <w:t>y</w:t>
      </w:r>
      <w:r>
        <w:rPr>
          <w:color w:val="231F20"/>
          <w:spacing w:val="-11"/>
          <w:w w:val="110"/>
        </w:rPr>
        <w:t> </w:t>
      </w:r>
      <w:r>
        <w:rPr>
          <w:color w:val="231F20"/>
          <w:w w:val="110"/>
        </w:rPr>
        <w:t>re- ducir la dependencia del petróleo. Posteriormente, en mayo de</w:t>
      </w:r>
      <w:r>
        <w:rPr>
          <w:color w:val="231F20"/>
          <w:spacing w:val="-37"/>
          <w:w w:val="110"/>
        </w:rPr>
        <w:t> </w:t>
      </w:r>
      <w:r>
        <w:rPr>
          <w:color w:val="231F20"/>
          <w:w w:val="110"/>
        </w:rPr>
        <w:t>2010, la Casa Blanca dio a conocer “La estrategia de seguridad nacional, paz, prosperidad y dignidad humana” en la que se reiteran estos </w:t>
      </w:r>
      <w:r>
        <w:rPr>
          <w:color w:val="231F20"/>
          <w:spacing w:val="2"/>
          <w:w w:val="110"/>
        </w:rPr>
        <w:t> </w:t>
      </w:r>
      <w:r>
        <w:rPr>
          <w:color w:val="231F20"/>
          <w:w w:val="110"/>
        </w:rPr>
        <w:t>pe-</w:t>
      </w:r>
    </w:p>
    <w:p>
      <w:pPr>
        <w:spacing w:after="0" w:line="261" w:lineRule="auto"/>
        <w:jc w:val="both"/>
        <w:sectPr>
          <w:headerReference w:type="default" r:id="rId334"/>
          <w:headerReference w:type="even" r:id="rId335"/>
          <w:pgSz w:w="7640" w:h="11900"/>
          <w:pgMar w:header="672" w:footer="0" w:top="860" w:bottom="280" w:left="660" w:right="760"/>
          <w:pgNumType w:start="441"/>
        </w:sectPr>
      </w:pPr>
    </w:p>
    <w:p>
      <w:pPr>
        <w:pStyle w:val="BodyText"/>
        <w:spacing w:before="8"/>
        <w:rPr>
          <w:sz w:val="8"/>
        </w:rPr>
      </w:pPr>
    </w:p>
    <w:p>
      <w:pPr>
        <w:pStyle w:val="BodyText"/>
        <w:spacing w:line="261" w:lineRule="auto" w:before="67"/>
        <w:ind w:left="100" w:right="117"/>
        <w:jc w:val="both"/>
      </w:pPr>
      <w:r>
        <w:rPr>
          <w:color w:val="231F20"/>
          <w:w w:val="110"/>
        </w:rPr>
        <w:t>ligros pero se introducen otras dimensiones. La estrategia, tal como lo destacó la secretaria de Estado Hilary Clinton, se caracteriza por integrar como un todo a la defensa, a la diplomacia y al desarrollo (Clinton, 2010) y a los anteriores peligros agrega los derivados de</w:t>
      </w:r>
      <w:r>
        <w:rPr>
          <w:color w:val="231F20"/>
          <w:spacing w:val="-16"/>
          <w:w w:val="110"/>
        </w:rPr>
        <w:t> </w:t>
      </w:r>
      <w:r>
        <w:rPr>
          <w:color w:val="231F20"/>
          <w:w w:val="110"/>
        </w:rPr>
        <w:t>la inestabilidad y desigualdad económicas, la seguridad alimentaria y las pandemias que amenazan la salud</w:t>
      </w:r>
      <w:r>
        <w:rPr>
          <w:color w:val="231F20"/>
          <w:spacing w:val="36"/>
          <w:w w:val="110"/>
        </w:rPr>
        <w:t> </w:t>
      </w:r>
      <w:r>
        <w:rPr>
          <w:color w:val="231F20"/>
          <w:w w:val="110"/>
        </w:rPr>
        <w:t>pública.</w:t>
      </w:r>
    </w:p>
    <w:p>
      <w:pPr>
        <w:pStyle w:val="BodyText"/>
        <w:spacing w:line="261" w:lineRule="auto"/>
        <w:ind w:left="100" w:right="114" w:firstLine="240"/>
        <w:jc w:val="both"/>
      </w:pPr>
      <w:r>
        <w:rPr>
          <w:color w:val="231F20"/>
          <w:w w:val="110"/>
        </w:rPr>
        <w:t>La estrategia de seguridad se orienta a la renovación del lideraz- go para poder impulsar con mayor eficacia los intereses de Estados Unidos en el siglo xxi. Subyace a esta orientación la concepción de un liderazgo fundado en la superación de las dificultades internas mediante la recuperación de la economía, el mejoramiento de la salud </w:t>
      </w:r>
      <w:r>
        <w:rPr>
          <w:color w:val="231F20"/>
        </w:rPr>
        <w:t>y </w:t>
      </w:r>
      <w:r>
        <w:rPr>
          <w:color w:val="231F20"/>
          <w:w w:val="110"/>
        </w:rPr>
        <w:t>la educación, el desarrollo de la capacidad de innovación a través de la ciencia </w:t>
      </w:r>
      <w:r>
        <w:rPr>
          <w:color w:val="231F20"/>
        </w:rPr>
        <w:t>y </w:t>
      </w:r>
      <w:r>
        <w:rPr>
          <w:color w:val="231F20"/>
          <w:w w:val="110"/>
        </w:rPr>
        <w:t>la tecnología, el recurso a nuevas fuentes ener- géticas que permitan romper la dependencia del petróleo extranjero, medidas que se consideran complementarias de las adoptadas para integrar la defensa de la nación con la seguridad nacional. Pero también hay que superar dificultades relacionadas con la pérdida   de liderazgo de Estados Unidos en el campo normativo, elemento esencial</w:t>
      </w:r>
      <w:r>
        <w:rPr>
          <w:color w:val="231F20"/>
          <w:spacing w:val="-13"/>
          <w:w w:val="110"/>
        </w:rPr>
        <w:t> </w:t>
      </w:r>
      <w:r>
        <w:rPr>
          <w:color w:val="231F20"/>
          <w:w w:val="110"/>
        </w:rPr>
        <w:t>para</w:t>
      </w:r>
      <w:r>
        <w:rPr>
          <w:color w:val="231F20"/>
          <w:spacing w:val="-13"/>
          <w:w w:val="110"/>
        </w:rPr>
        <w:t> </w:t>
      </w:r>
      <w:r>
        <w:rPr>
          <w:color w:val="231F20"/>
          <w:w w:val="110"/>
        </w:rPr>
        <w:t>el</w:t>
      </w:r>
      <w:r>
        <w:rPr>
          <w:color w:val="231F20"/>
          <w:spacing w:val="-13"/>
          <w:w w:val="110"/>
        </w:rPr>
        <w:t> </w:t>
      </w:r>
      <w:r>
        <w:rPr>
          <w:color w:val="231F20"/>
          <w:w w:val="110"/>
        </w:rPr>
        <w:t>ejercicio</w:t>
      </w:r>
      <w:r>
        <w:rPr>
          <w:color w:val="231F20"/>
          <w:spacing w:val="-13"/>
          <w:w w:val="110"/>
        </w:rPr>
        <w:t> </w:t>
      </w:r>
      <w:r>
        <w:rPr>
          <w:color w:val="231F20"/>
          <w:w w:val="110"/>
        </w:rPr>
        <w:t>hegemónico</w:t>
      </w:r>
      <w:r>
        <w:rPr>
          <w:color w:val="231F20"/>
          <w:spacing w:val="-13"/>
          <w:w w:val="110"/>
        </w:rPr>
        <w:t> </w:t>
      </w:r>
      <w:r>
        <w:rPr>
          <w:color w:val="231F20"/>
          <w:w w:val="110"/>
        </w:rPr>
        <w:t>(García,</w:t>
      </w:r>
      <w:r>
        <w:rPr>
          <w:color w:val="231F20"/>
          <w:spacing w:val="-13"/>
          <w:w w:val="110"/>
        </w:rPr>
        <w:t> </w:t>
      </w:r>
      <w:r>
        <w:rPr>
          <w:color w:val="231F20"/>
          <w:w w:val="110"/>
        </w:rPr>
        <w:t>2009).</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estrategia de seguridad se plantea que “la mejor manera de promover nuestros valores, es vivirlos […] El compromiso de Estados Unidos con la democracia, los derechos humanos </w:t>
      </w:r>
      <w:r>
        <w:rPr>
          <w:color w:val="231F20"/>
        </w:rPr>
        <w:t>y </w:t>
      </w:r>
      <w:r>
        <w:rPr>
          <w:color w:val="231F20"/>
          <w:w w:val="110"/>
        </w:rPr>
        <w:t>el imperio de la ley son recur- sos esenciales de nuestra fortaleza e influencia en el mundo. Estos valores también se deben de cultivar con base en nuestro rechazo  de acciones, como la tortura. </w:t>
      </w:r>
      <w:r>
        <w:rPr>
          <w:color w:val="231F20"/>
          <w:spacing w:val="-3"/>
          <w:w w:val="110"/>
        </w:rPr>
        <w:t>Ya </w:t>
      </w:r>
      <w:r>
        <w:rPr>
          <w:color w:val="231F20"/>
          <w:w w:val="110"/>
        </w:rPr>
        <w:t>el presidente Obama, en el aludido discurso de posesión había rechazado como falsa la elección entre nuestra seguridad </w:t>
      </w:r>
      <w:r>
        <w:rPr>
          <w:color w:val="231F20"/>
        </w:rPr>
        <w:t>y </w:t>
      </w:r>
      <w:r>
        <w:rPr>
          <w:color w:val="231F20"/>
          <w:w w:val="110"/>
        </w:rPr>
        <w:t>nuestros ideales, “Nuestros padres fundadores […] redactaron una carta para garantizar el imperio de la ley </w:t>
      </w:r>
      <w:r>
        <w:rPr>
          <w:color w:val="231F20"/>
        </w:rPr>
        <w:t>y </w:t>
      </w:r>
      <w:r>
        <w:rPr>
          <w:color w:val="231F20"/>
          <w:w w:val="110"/>
        </w:rPr>
        <w:t>los derechos humanos […] Esos ideales aún alumbran el mundo </w:t>
      </w:r>
      <w:r>
        <w:rPr>
          <w:color w:val="231F20"/>
        </w:rPr>
        <w:t>y </w:t>
      </w:r>
      <w:r>
        <w:rPr>
          <w:color w:val="231F20"/>
          <w:w w:val="110"/>
        </w:rPr>
        <w:t>no renunciaremos</w:t>
      </w:r>
      <w:r>
        <w:rPr>
          <w:color w:val="231F20"/>
          <w:spacing w:val="-10"/>
          <w:w w:val="110"/>
        </w:rPr>
        <w:t> </w:t>
      </w:r>
      <w:r>
        <w:rPr>
          <w:color w:val="231F20"/>
          <w:w w:val="110"/>
        </w:rPr>
        <w:t>a</w:t>
      </w:r>
      <w:r>
        <w:rPr>
          <w:color w:val="231F20"/>
          <w:spacing w:val="-10"/>
          <w:w w:val="110"/>
        </w:rPr>
        <w:t> </w:t>
      </w:r>
      <w:r>
        <w:rPr>
          <w:color w:val="231F20"/>
          <w:w w:val="110"/>
        </w:rPr>
        <w:t>ellos</w:t>
      </w:r>
      <w:r>
        <w:rPr>
          <w:color w:val="231F20"/>
          <w:spacing w:val="-10"/>
          <w:w w:val="110"/>
        </w:rPr>
        <w:t> </w:t>
      </w:r>
      <w:r>
        <w:rPr>
          <w:color w:val="231F20"/>
          <w:w w:val="110"/>
        </w:rPr>
        <w:t>por</w:t>
      </w:r>
      <w:r>
        <w:rPr>
          <w:color w:val="231F20"/>
          <w:spacing w:val="-10"/>
          <w:w w:val="110"/>
        </w:rPr>
        <w:t> </w:t>
      </w:r>
      <w:r>
        <w:rPr>
          <w:color w:val="231F20"/>
          <w:w w:val="110"/>
        </w:rPr>
        <w:t>conveniencia”</w:t>
      </w:r>
      <w:r>
        <w:rPr>
          <w:color w:val="231F20"/>
          <w:spacing w:val="-10"/>
          <w:w w:val="110"/>
        </w:rPr>
        <w:t> </w:t>
      </w:r>
      <w:r>
        <w:rPr>
          <w:color w:val="231F20"/>
          <w:w w:val="110"/>
        </w:rPr>
        <w:t>(Obama,</w:t>
      </w:r>
      <w:r>
        <w:rPr>
          <w:color w:val="231F20"/>
          <w:spacing w:val="-10"/>
          <w:w w:val="110"/>
        </w:rPr>
        <w:t> </w:t>
      </w:r>
      <w:r>
        <w:rPr>
          <w:color w:val="231F20"/>
          <w:w w:val="110"/>
        </w:rPr>
        <w:t>2009).</w:t>
      </w:r>
      <w:r>
        <w:rPr>
          <w:color w:val="231F20"/>
          <w:spacing w:val="-10"/>
          <w:w w:val="110"/>
        </w:rPr>
        <w:t> </w:t>
      </w:r>
      <w:r>
        <w:rPr>
          <w:color w:val="231F20"/>
          <w:w w:val="110"/>
        </w:rPr>
        <w:t>La</w:t>
      </w:r>
      <w:r>
        <w:rPr>
          <w:color w:val="231F20"/>
          <w:spacing w:val="-10"/>
          <w:w w:val="110"/>
        </w:rPr>
        <w:t> </w:t>
      </w:r>
      <w:r>
        <w:rPr>
          <w:color w:val="231F20"/>
          <w:w w:val="110"/>
        </w:rPr>
        <w:t>relación entre la seguridad </w:t>
      </w:r>
      <w:r>
        <w:rPr>
          <w:color w:val="231F20"/>
        </w:rPr>
        <w:t>y </w:t>
      </w:r>
      <w:r>
        <w:rPr>
          <w:color w:val="231F20"/>
          <w:w w:val="110"/>
        </w:rPr>
        <w:t>lo ideales es una las tesis más fuertes</w:t>
      </w:r>
      <w:r>
        <w:rPr>
          <w:color w:val="231F20"/>
          <w:spacing w:val="-8"/>
          <w:w w:val="110"/>
        </w:rPr>
        <w:t> </w:t>
      </w:r>
      <w:r>
        <w:rPr>
          <w:color w:val="231F20"/>
          <w:w w:val="110"/>
        </w:rPr>
        <w:t>planteadas por la nueva política de seguridad </w:t>
      </w:r>
      <w:r>
        <w:rPr>
          <w:color w:val="231F20"/>
        </w:rPr>
        <w:t>y </w:t>
      </w:r>
      <w:r>
        <w:rPr>
          <w:color w:val="231F20"/>
          <w:w w:val="110"/>
        </w:rPr>
        <w:t>defensa </w:t>
      </w:r>
      <w:r>
        <w:rPr>
          <w:color w:val="231F20"/>
        </w:rPr>
        <w:t>y </w:t>
      </w:r>
      <w:r>
        <w:rPr>
          <w:color w:val="231F20"/>
          <w:w w:val="110"/>
        </w:rPr>
        <w:t>remite al problema clásico</w:t>
      </w:r>
      <w:r>
        <w:rPr>
          <w:color w:val="231F20"/>
          <w:spacing w:val="-12"/>
          <w:w w:val="110"/>
        </w:rPr>
        <w:t> </w:t>
      </w:r>
      <w:r>
        <w:rPr>
          <w:color w:val="231F20"/>
          <w:w w:val="110"/>
        </w:rPr>
        <w:t>del</w:t>
      </w:r>
      <w:r>
        <w:rPr>
          <w:color w:val="231F20"/>
          <w:spacing w:val="-12"/>
          <w:w w:val="110"/>
        </w:rPr>
        <w:t> </w:t>
      </w:r>
      <w:r>
        <w:rPr>
          <w:color w:val="231F20"/>
          <w:w w:val="110"/>
        </w:rPr>
        <w:t>recurso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violencia</w:t>
      </w:r>
      <w:r>
        <w:rPr>
          <w:color w:val="231F20"/>
          <w:spacing w:val="-12"/>
          <w:w w:val="110"/>
        </w:rPr>
        <w:t> </w:t>
      </w:r>
      <w:r>
        <w:rPr>
          <w:color w:val="231F20"/>
          <w:w w:val="110"/>
        </w:rPr>
        <w:t>en</w:t>
      </w:r>
      <w:r>
        <w:rPr>
          <w:color w:val="231F20"/>
          <w:spacing w:val="-12"/>
          <w:w w:val="110"/>
        </w:rPr>
        <w:t> </w:t>
      </w:r>
      <w:r>
        <w:rPr>
          <w:color w:val="231F20"/>
          <w:w w:val="110"/>
        </w:rPr>
        <w:t>las</w:t>
      </w:r>
      <w:r>
        <w:rPr>
          <w:color w:val="231F20"/>
          <w:spacing w:val="-12"/>
          <w:w w:val="110"/>
        </w:rPr>
        <w:t> </w:t>
      </w:r>
      <w:r>
        <w:rPr>
          <w:color w:val="231F20"/>
          <w:w w:val="110"/>
        </w:rPr>
        <w:t>sociedades.</w:t>
      </w:r>
      <w:r>
        <w:rPr>
          <w:color w:val="231F20"/>
          <w:spacing w:val="-12"/>
          <w:w w:val="110"/>
        </w:rPr>
        <w:t> </w:t>
      </w:r>
      <w:r>
        <w:rPr>
          <w:color w:val="231F20"/>
          <w:w w:val="110"/>
        </w:rPr>
        <w:t>La</w:t>
      </w:r>
      <w:r>
        <w:rPr>
          <w:color w:val="231F20"/>
          <w:spacing w:val="-12"/>
          <w:w w:val="110"/>
        </w:rPr>
        <w:t> </w:t>
      </w:r>
      <w:r>
        <w:rPr>
          <w:color w:val="231F20"/>
          <w:w w:val="110"/>
        </w:rPr>
        <w:t>violencia</w:t>
      </w:r>
      <w:r>
        <w:rPr>
          <w:color w:val="231F20"/>
          <w:spacing w:val="-12"/>
          <w:w w:val="110"/>
        </w:rPr>
        <w:t> </w:t>
      </w:r>
      <w:r>
        <w:rPr>
          <w:color w:val="231F20"/>
          <w:w w:val="110"/>
        </w:rPr>
        <w:t>tiene un carácter instrumental, no es un fin en sí mismo, es un medio. </w:t>
      </w:r>
      <w:r>
        <w:rPr>
          <w:color w:val="231F20"/>
        </w:rPr>
        <w:t>Y </w:t>
      </w:r>
      <w:r>
        <w:rPr>
          <w:color w:val="231F20"/>
          <w:w w:val="110"/>
        </w:rPr>
        <w:t>en esa relación entre fines </w:t>
      </w:r>
      <w:r>
        <w:rPr>
          <w:color w:val="231F20"/>
        </w:rPr>
        <w:t>y </w:t>
      </w:r>
      <w:r>
        <w:rPr>
          <w:color w:val="231F20"/>
          <w:w w:val="110"/>
        </w:rPr>
        <w:t>medios, el fin no justifica los medios, de allí que no todo valga en la guerra como lo pretenden ciertas tradiciones militaristas </w:t>
      </w:r>
      <w:r>
        <w:rPr>
          <w:color w:val="231F20"/>
        </w:rPr>
        <w:t>y </w:t>
      </w:r>
      <w:r>
        <w:rPr>
          <w:color w:val="231F20"/>
          <w:w w:val="110"/>
        </w:rPr>
        <w:t>lo impusieron los neoconservadores en la guerra</w:t>
      </w:r>
      <w:r>
        <w:rPr>
          <w:color w:val="231F20"/>
          <w:spacing w:val="-7"/>
          <w:w w:val="110"/>
        </w:rPr>
        <w:t> </w:t>
      </w:r>
      <w:r>
        <w:rPr>
          <w:color w:val="231F20"/>
          <w:w w:val="110"/>
        </w:rPr>
        <w:t>global</w:t>
      </w:r>
      <w:r>
        <w:rPr>
          <w:color w:val="231F20"/>
          <w:spacing w:val="-7"/>
          <w:w w:val="110"/>
        </w:rPr>
        <w:t> </w:t>
      </w:r>
      <w:r>
        <w:rPr>
          <w:color w:val="231F20"/>
          <w:w w:val="110"/>
        </w:rPr>
        <w:t>contra</w:t>
      </w:r>
      <w:r>
        <w:rPr>
          <w:color w:val="231F20"/>
          <w:spacing w:val="-7"/>
          <w:w w:val="110"/>
        </w:rPr>
        <w:t> </w:t>
      </w:r>
      <w:r>
        <w:rPr>
          <w:color w:val="231F20"/>
          <w:w w:val="110"/>
        </w:rPr>
        <w:t>el</w:t>
      </w:r>
      <w:r>
        <w:rPr>
          <w:color w:val="231F20"/>
          <w:spacing w:val="-7"/>
          <w:w w:val="110"/>
        </w:rPr>
        <w:t> </w:t>
      </w:r>
      <w:r>
        <w:rPr>
          <w:color w:val="231F20"/>
          <w:w w:val="110"/>
        </w:rPr>
        <w:t>terrorismo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administración</w:t>
      </w:r>
      <w:r>
        <w:rPr>
          <w:color w:val="231F20"/>
          <w:spacing w:val="-7"/>
          <w:w w:val="110"/>
        </w:rPr>
        <w:t> </w:t>
      </w:r>
      <w:r>
        <w:rPr>
          <w:color w:val="231F20"/>
          <w:w w:val="110"/>
        </w:rPr>
        <w:t>Bush,</w:t>
      </w:r>
      <w:r>
        <w:rPr>
          <w:color w:val="231F20"/>
          <w:spacing w:val="-7"/>
          <w:w w:val="110"/>
        </w:rPr>
        <w:t> </w:t>
      </w:r>
      <w:r>
        <w:rPr>
          <w:color w:val="231F20"/>
          <w:w w:val="110"/>
        </w:rPr>
        <w:t>hijo.</w:t>
      </w:r>
      <w:r>
        <w:rPr>
          <w:color w:val="231F20"/>
          <w:spacing w:val="-7"/>
          <w:w w:val="110"/>
        </w:rPr>
        <w:t> </w:t>
      </w:r>
      <w:r>
        <w:rPr>
          <w:color w:val="231F20"/>
          <w:w w:val="110"/>
        </w:rPr>
        <w:t>El recurso a la violencia en aras de la seguridad no puede vulnerar  </w:t>
      </w:r>
      <w:r>
        <w:rPr>
          <w:color w:val="231F20"/>
          <w:spacing w:val="13"/>
          <w:w w:val="110"/>
        </w:rPr>
        <w:t> </w:t>
      </w:r>
      <w:r>
        <w:rPr>
          <w:color w:val="231F20"/>
          <w:w w:val="110"/>
        </w:rPr>
        <w:t>las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libertades democráticas, desconocer el estado de derecho ni atentar contra los derechos humanos. La condena a las torturas, a las que han sido sometidas personas sindicadas de terrorismo en prisiones estadunidenses,</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promesa</w:t>
      </w:r>
      <w:r>
        <w:rPr>
          <w:color w:val="231F20"/>
          <w:spacing w:val="-8"/>
          <w:w w:val="110"/>
        </w:rPr>
        <w:t> </w:t>
      </w:r>
      <w:r>
        <w:rPr>
          <w:color w:val="231F20"/>
          <w:w w:val="110"/>
        </w:rPr>
        <w:t>de</w:t>
      </w:r>
      <w:r>
        <w:rPr>
          <w:color w:val="231F20"/>
          <w:spacing w:val="-8"/>
          <w:w w:val="110"/>
        </w:rPr>
        <w:t> </w:t>
      </w:r>
      <w:r>
        <w:rPr>
          <w:color w:val="231F20"/>
          <w:w w:val="110"/>
        </w:rPr>
        <w:t>cerrar</w:t>
      </w:r>
      <w:r>
        <w:rPr>
          <w:color w:val="231F20"/>
          <w:spacing w:val="-8"/>
          <w:w w:val="110"/>
        </w:rPr>
        <w:t> </w:t>
      </w:r>
      <w:r>
        <w:rPr>
          <w:color w:val="231F20"/>
          <w:w w:val="110"/>
        </w:rPr>
        <w:t>la</w:t>
      </w:r>
      <w:r>
        <w:rPr>
          <w:color w:val="231F20"/>
          <w:spacing w:val="-8"/>
          <w:w w:val="110"/>
        </w:rPr>
        <w:t> </w:t>
      </w:r>
      <w:r>
        <w:rPr>
          <w:color w:val="231F20"/>
          <w:w w:val="110"/>
        </w:rPr>
        <w:t>prisión</w:t>
      </w:r>
      <w:r>
        <w:rPr>
          <w:color w:val="231F20"/>
          <w:spacing w:val="-8"/>
          <w:w w:val="110"/>
        </w:rPr>
        <w:t> </w:t>
      </w:r>
      <w:r>
        <w:rPr>
          <w:color w:val="231F20"/>
          <w:w w:val="110"/>
        </w:rPr>
        <w:t>de</w:t>
      </w:r>
      <w:r>
        <w:rPr>
          <w:color w:val="231F20"/>
          <w:spacing w:val="-8"/>
          <w:w w:val="110"/>
        </w:rPr>
        <w:t> </w:t>
      </w:r>
      <w:r>
        <w:rPr>
          <w:color w:val="231F20"/>
          <w:w w:val="110"/>
        </w:rPr>
        <w:t>Guantánamo</w:t>
      </w:r>
      <w:r>
        <w:rPr>
          <w:color w:val="231F20"/>
          <w:spacing w:val="-8"/>
          <w:w w:val="110"/>
        </w:rPr>
        <w:t> </w:t>
      </w:r>
      <w:r>
        <w:rPr>
          <w:color w:val="231F20"/>
          <w:w w:val="110"/>
        </w:rPr>
        <w:t>son coherentes con esta posición. Esta postura es una de las de mayores implicaciones simbólicas y políticas entre las asumidas por el</w:t>
      </w:r>
      <w:r>
        <w:rPr>
          <w:color w:val="231F20"/>
          <w:spacing w:val="-12"/>
          <w:w w:val="110"/>
        </w:rPr>
        <w:t> </w:t>
      </w:r>
      <w:r>
        <w:rPr>
          <w:color w:val="231F20"/>
          <w:w w:val="110"/>
        </w:rPr>
        <w:t>nuevo mandatario</w:t>
      </w:r>
      <w:r>
        <w:rPr>
          <w:color w:val="231F20"/>
          <w:spacing w:val="39"/>
          <w:w w:val="110"/>
        </w:rPr>
        <w:t> </w:t>
      </w:r>
      <w:r>
        <w:rPr>
          <w:color w:val="231F20"/>
          <w:w w:val="110"/>
        </w:rPr>
        <w:t>estadunidense.</w:t>
      </w:r>
    </w:p>
    <w:p>
      <w:pPr>
        <w:pStyle w:val="BodyText"/>
        <w:spacing w:line="261" w:lineRule="auto"/>
        <w:ind w:left="100" w:right="117" w:firstLine="240"/>
        <w:jc w:val="both"/>
      </w:pPr>
      <w:r>
        <w:rPr>
          <w:color w:val="231F20"/>
          <w:w w:val="110"/>
        </w:rPr>
        <w:t>El</w:t>
      </w:r>
      <w:r>
        <w:rPr>
          <w:color w:val="231F20"/>
          <w:spacing w:val="-6"/>
          <w:w w:val="110"/>
        </w:rPr>
        <w:t> </w:t>
      </w:r>
      <w:r>
        <w:rPr>
          <w:color w:val="231F20"/>
          <w:w w:val="110"/>
        </w:rPr>
        <w:t>presidente</w:t>
      </w:r>
      <w:r>
        <w:rPr>
          <w:color w:val="231F20"/>
          <w:spacing w:val="-6"/>
          <w:w w:val="110"/>
        </w:rPr>
        <w:t> </w:t>
      </w:r>
      <w:r>
        <w:rPr>
          <w:color w:val="231F20"/>
          <w:w w:val="110"/>
        </w:rPr>
        <w:t>Obama</w:t>
      </w:r>
      <w:r>
        <w:rPr>
          <w:color w:val="231F20"/>
          <w:spacing w:val="-6"/>
          <w:w w:val="110"/>
        </w:rPr>
        <w:t> </w:t>
      </w:r>
      <w:r>
        <w:rPr>
          <w:color w:val="231F20"/>
          <w:w w:val="110"/>
        </w:rPr>
        <w:t>ha</w:t>
      </w:r>
      <w:r>
        <w:rPr>
          <w:color w:val="231F20"/>
          <w:spacing w:val="-6"/>
          <w:w w:val="110"/>
        </w:rPr>
        <w:t> </w:t>
      </w:r>
      <w:r>
        <w:rPr>
          <w:color w:val="231F20"/>
          <w:w w:val="110"/>
        </w:rPr>
        <w:t>reiterado</w:t>
      </w:r>
      <w:r>
        <w:rPr>
          <w:color w:val="231F20"/>
          <w:spacing w:val="-6"/>
          <w:w w:val="110"/>
        </w:rPr>
        <w:t> </w:t>
      </w:r>
      <w:r>
        <w:rPr>
          <w:color w:val="231F20"/>
          <w:w w:val="110"/>
        </w:rPr>
        <w:t>la</w:t>
      </w:r>
      <w:r>
        <w:rPr>
          <w:color w:val="231F20"/>
          <w:spacing w:val="-6"/>
          <w:w w:val="110"/>
        </w:rPr>
        <w:t> </w:t>
      </w:r>
      <w:r>
        <w:rPr>
          <w:color w:val="231F20"/>
          <w:w w:val="110"/>
        </w:rPr>
        <w:t>necesidad</w:t>
      </w:r>
      <w:r>
        <w:rPr>
          <w:color w:val="231F20"/>
          <w:spacing w:val="-6"/>
          <w:w w:val="110"/>
        </w:rPr>
        <w:t> </w:t>
      </w:r>
      <w:r>
        <w:rPr>
          <w:color w:val="231F20"/>
          <w:w w:val="110"/>
        </w:rPr>
        <w:t>de</w:t>
      </w:r>
      <w:r>
        <w:rPr>
          <w:color w:val="231F20"/>
          <w:spacing w:val="-6"/>
          <w:w w:val="110"/>
        </w:rPr>
        <w:t> </w:t>
      </w:r>
      <w:r>
        <w:rPr>
          <w:color w:val="231F20"/>
          <w:w w:val="110"/>
        </w:rPr>
        <w:t>vencer</w:t>
      </w:r>
      <w:r>
        <w:rPr>
          <w:color w:val="231F20"/>
          <w:spacing w:val="-6"/>
          <w:w w:val="110"/>
        </w:rPr>
        <w:t> </w:t>
      </w:r>
      <w:r>
        <w:rPr>
          <w:color w:val="231F20"/>
          <w:w w:val="110"/>
        </w:rPr>
        <w:t>las</w:t>
      </w:r>
      <w:r>
        <w:rPr>
          <w:color w:val="231F20"/>
          <w:spacing w:val="-6"/>
          <w:w w:val="110"/>
        </w:rPr>
        <w:t> </w:t>
      </w:r>
      <w:r>
        <w:rPr>
          <w:color w:val="231F20"/>
          <w:w w:val="110"/>
        </w:rPr>
        <w:t>resis- tencias generadas por la prepotencia con que la administración</w:t>
      </w:r>
      <w:r>
        <w:rPr>
          <w:color w:val="231F20"/>
          <w:spacing w:val="-24"/>
          <w:w w:val="110"/>
        </w:rPr>
        <w:t> </w:t>
      </w:r>
      <w:r>
        <w:rPr>
          <w:color w:val="231F20"/>
          <w:w w:val="110"/>
        </w:rPr>
        <w:t>Bush hijo, afrontó la guerra global contra el terrorismo, y la necesidad de apoyarse en el multilateralismo, en lo que pudiéramos llamar un nuevo trato entre las naciones. Sin desconocer que Estados Unidos dispone de un poder militar sin </w:t>
      </w:r>
      <w:r>
        <w:rPr>
          <w:color w:val="231F20"/>
          <w:spacing w:val="-5"/>
          <w:w w:val="110"/>
        </w:rPr>
        <w:t>par, </w:t>
      </w:r>
      <w:r>
        <w:rPr>
          <w:color w:val="231F20"/>
          <w:w w:val="110"/>
        </w:rPr>
        <w:t>sostiene que “nuestro poder</w:t>
      </w:r>
      <w:r>
        <w:rPr>
          <w:color w:val="231F20"/>
          <w:spacing w:val="-18"/>
          <w:w w:val="110"/>
        </w:rPr>
        <w:t> </w:t>
      </w:r>
      <w:r>
        <w:rPr>
          <w:color w:val="231F20"/>
          <w:w w:val="110"/>
        </w:rPr>
        <w:t>solo no puede protegernos ni nos da derecho a hacer lo que nos plazca […] </w:t>
      </w:r>
      <w:r>
        <w:rPr>
          <w:color w:val="231F20"/>
          <w:spacing w:val="-8"/>
          <w:w w:val="110"/>
        </w:rPr>
        <w:t>y, </w:t>
      </w:r>
      <w:r>
        <w:rPr>
          <w:color w:val="231F20"/>
          <w:w w:val="110"/>
        </w:rPr>
        <w:t>al igual que en el pasado se tejieron alianzas para enfrentar  la amenaza fascista, primero, y luego la comunista durante la guerra fría,</w:t>
      </w:r>
      <w:r>
        <w:rPr>
          <w:color w:val="231F20"/>
          <w:spacing w:val="-23"/>
          <w:w w:val="110"/>
        </w:rPr>
        <w:t> </w:t>
      </w:r>
      <w:r>
        <w:rPr>
          <w:color w:val="231F20"/>
          <w:w w:val="110"/>
        </w:rPr>
        <w:t>es</w:t>
      </w:r>
      <w:r>
        <w:rPr>
          <w:color w:val="231F20"/>
          <w:spacing w:val="-23"/>
          <w:w w:val="110"/>
        </w:rPr>
        <w:t> </w:t>
      </w:r>
      <w:r>
        <w:rPr>
          <w:color w:val="231F20"/>
          <w:w w:val="110"/>
        </w:rPr>
        <w:t>imperativo</w:t>
      </w:r>
      <w:r>
        <w:rPr>
          <w:color w:val="231F20"/>
          <w:spacing w:val="-23"/>
          <w:w w:val="110"/>
        </w:rPr>
        <w:t> </w:t>
      </w:r>
      <w:r>
        <w:rPr>
          <w:color w:val="231F20"/>
          <w:w w:val="110"/>
        </w:rPr>
        <w:t>tejer</w:t>
      </w:r>
      <w:r>
        <w:rPr>
          <w:color w:val="231F20"/>
          <w:spacing w:val="-23"/>
          <w:w w:val="110"/>
        </w:rPr>
        <w:t> </w:t>
      </w:r>
      <w:r>
        <w:rPr>
          <w:color w:val="231F20"/>
          <w:w w:val="110"/>
        </w:rPr>
        <w:t>alianzas</w:t>
      </w:r>
      <w:r>
        <w:rPr>
          <w:color w:val="231F20"/>
          <w:spacing w:val="-23"/>
          <w:w w:val="110"/>
        </w:rPr>
        <w:t> </w:t>
      </w:r>
      <w:r>
        <w:rPr>
          <w:color w:val="231F20"/>
          <w:w w:val="110"/>
        </w:rPr>
        <w:t>para</w:t>
      </w:r>
      <w:r>
        <w:rPr>
          <w:color w:val="231F20"/>
          <w:spacing w:val="-23"/>
          <w:w w:val="110"/>
        </w:rPr>
        <w:t> </w:t>
      </w:r>
      <w:r>
        <w:rPr>
          <w:color w:val="231F20"/>
          <w:w w:val="110"/>
        </w:rPr>
        <w:t>enfrentar</w:t>
      </w:r>
      <w:r>
        <w:rPr>
          <w:color w:val="231F20"/>
          <w:spacing w:val="-23"/>
          <w:w w:val="110"/>
        </w:rPr>
        <w:t> </w:t>
      </w:r>
      <w:r>
        <w:rPr>
          <w:color w:val="231F20"/>
          <w:w w:val="110"/>
        </w:rPr>
        <w:t>los</w:t>
      </w:r>
      <w:r>
        <w:rPr>
          <w:color w:val="231F20"/>
          <w:spacing w:val="-23"/>
          <w:w w:val="110"/>
        </w:rPr>
        <w:t> </w:t>
      </w:r>
      <w:r>
        <w:rPr>
          <w:color w:val="231F20"/>
          <w:w w:val="110"/>
        </w:rPr>
        <w:t>nuevos</w:t>
      </w:r>
      <w:r>
        <w:rPr>
          <w:color w:val="231F20"/>
          <w:spacing w:val="-23"/>
          <w:w w:val="110"/>
        </w:rPr>
        <w:t> </w:t>
      </w:r>
      <w:r>
        <w:rPr>
          <w:color w:val="231F20"/>
          <w:w w:val="110"/>
        </w:rPr>
        <w:t>desafíos.</w:t>
      </w:r>
      <w:r>
        <w:rPr>
          <w:color w:val="231F20"/>
          <w:spacing w:val="-23"/>
          <w:w w:val="110"/>
        </w:rPr>
        <w:t> </w:t>
      </w:r>
      <w:r>
        <w:rPr>
          <w:color w:val="231F20"/>
          <w:w w:val="110"/>
        </w:rPr>
        <w:t>En la estrategia de seguridad se plantea el recurso a la acción colectiva en un retorno al multilateralismo buscando articular los intereses de Estados Unidos con los de los demás en torno a intereses comunes, tales como combatir el extremismo violento, detener la</w:t>
      </w:r>
      <w:r>
        <w:rPr>
          <w:color w:val="231F20"/>
          <w:spacing w:val="-30"/>
          <w:w w:val="110"/>
        </w:rPr>
        <w:t> </w:t>
      </w:r>
      <w:r>
        <w:rPr>
          <w:color w:val="231F20"/>
          <w:w w:val="110"/>
        </w:rPr>
        <w:t>proliferación de armas nucleares y asegurar los materiales nucleares; alcanzar un crecimiento económico equilibrado y sostenible; y forjar soluciones de cooperación ante la amenaza del cambio climático, el conflicto armado</w:t>
      </w:r>
      <w:r>
        <w:rPr>
          <w:color w:val="231F20"/>
          <w:spacing w:val="-8"/>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w w:val="110"/>
        </w:rPr>
        <w:t>enfermedades</w:t>
      </w:r>
      <w:r>
        <w:rPr>
          <w:color w:val="231F20"/>
          <w:spacing w:val="-8"/>
          <w:w w:val="110"/>
        </w:rPr>
        <w:t> </w:t>
      </w:r>
      <w:r>
        <w:rPr>
          <w:color w:val="231F20"/>
          <w:w w:val="110"/>
        </w:rPr>
        <w:t>pandémicas”.</w:t>
      </w:r>
      <w:r>
        <w:rPr>
          <w:color w:val="231F20"/>
          <w:spacing w:val="-8"/>
          <w:w w:val="110"/>
        </w:rPr>
        <w:t> </w:t>
      </w:r>
      <w:r>
        <w:rPr>
          <w:color w:val="231F20"/>
          <w:w w:val="110"/>
        </w:rPr>
        <w:t>Además,</w:t>
      </w:r>
      <w:r>
        <w:rPr>
          <w:color w:val="231F20"/>
          <w:spacing w:val="-8"/>
          <w:w w:val="110"/>
        </w:rPr>
        <w:t> </w:t>
      </w:r>
      <w:r>
        <w:rPr>
          <w:color w:val="231F20"/>
          <w:w w:val="110"/>
        </w:rPr>
        <w:t>lejos</w:t>
      </w:r>
      <w:r>
        <w:rPr>
          <w:color w:val="231F20"/>
          <w:spacing w:val="-8"/>
          <w:w w:val="110"/>
        </w:rPr>
        <w:t> </w:t>
      </w:r>
      <w:r>
        <w:rPr>
          <w:color w:val="231F20"/>
          <w:w w:val="110"/>
        </w:rPr>
        <w:t>de</w:t>
      </w:r>
      <w:r>
        <w:rPr>
          <w:color w:val="231F20"/>
          <w:spacing w:val="-8"/>
          <w:w w:val="110"/>
        </w:rPr>
        <w:t> </w:t>
      </w:r>
      <w:r>
        <w:rPr>
          <w:color w:val="231F20"/>
          <w:w w:val="110"/>
        </w:rPr>
        <w:t>apartarse del sistema internacional pretextando sus defectos, lo que hay que hacer es</w:t>
      </w:r>
      <w:r>
        <w:rPr>
          <w:color w:val="231F20"/>
          <w:spacing w:val="15"/>
          <w:w w:val="110"/>
        </w:rPr>
        <w:t> </w:t>
      </w:r>
      <w:r>
        <w:rPr>
          <w:color w:val="231F20"/>
          <w:w w:val="110"/>
        </w:rPr>
        <w:t>fortalecerlo.</w:t>
      </w:r>
    </w:p>
    <w:p>
      <w:pPr>
        <w:pStyle w:val="BodyText"/>
      </w:pPr>
    </w:p>
    <w:p>
      <w:pPr>
        <w:pStyle w:val="BodyText"/>
      </w:pPr>
    </w:p>
    <w:p>
      <w:pPr>
        <w:pStyle w:val="BodyText"/>
        <w:spacing w:before="2"/>
        <w:rPr>
          <w:sz w:val="25"/>
        </w:rPr>
      </w:pPr>
    </w:p>
    <w:p>
      <w:pPr>
        <w:pStyle w:val="BodyText"/>
        <w:ind w:left="100"/>
        <w:jc w:val="both"/>
      </w:pPr>
      <w:r>
        <w:rPr>
          <w:color w:val="231F20"/>
          <w:w w:val="130"/>
        </w:rPr>
        <w:t>el “poder inteligente”</w:t>
      </w:r>
    </w:p>
    <w:p>
      <w:pPr>
        <w:pStyle w:val="BodyText"/>
        <w:spacing w:before="5"/>
        <w:rPr>
          <w:sz w:val="23"/>
        </w:rPr>
      </w:pPr>
    </w:p>
    <w:p>
      <w:pPr>
        <w:pStyle w:val="BodyText"/>
        <w:spacing w:line="261" w:lineRule="auto"/>
        <w:ind w:left="100" w:right="117"/>
        <w:jc w:val="both"/>
      </w:pPr>
      <w:r>
        <w:rPr>
          <w:color w:val="231F20"/>
          <w:w w:val="110"/>
        </w:rPr>
        <w:t>Con estos cambios el gobierno busca revertir la decadencia de la hegemonía estadunidense mediante la superación de sus dificulta- des internas, renovar el liderazgo en los términos en los que ha sido analizado y afrontar las nuevas amenazas en una combinación de poder</w:t>
      </w:r>
      <w:r>
        <w:rPr>
          <w:color w:val="231F20"/>
          <w:spacing w:val="-10"/>
          <w:w w:val="110"/>
        </w:rPr>
        <w:t> </w:t>
      </w:r>
      <w:r>
        <w:rPr>
          <w:color w:val="231F20"/>
          <w:spacing w:val="-3"/>
          <w:w w:val="110"/>
        </w:rPr>
        <w:t>militar,</w:t>
      </w:r>
      <w:r>
        <w:rPr>
          <w:color w:val="231F20"/>
          <w:spacing w:val="-10"/>
          <w:w w:val="110"/>
        </w:rPr>
        <w:t> </w:t>
      </w:r>
      <w:r>
        <w:rPr>
          <w:color w:val="231F20"/>
          <w:w w:val="110"/>
        </w:rPr>
        <w:t>fortalecimiento</w:t>
      </w:r>
      <w:r>
        <w:rPr>
          <w:color w:val="231F20"/>
          <w:spacing w:val="-10"/>
          <w:w w:val="110"/>
        </w:rPr>
        <w:t> </w:t>
      </w:r>
      <w:r>
        <w:rPr>
          <w:color w:val="231F20"/>
          <w:w w:val="110"/>
        </w:rPr>
        <w:t>interno</w:t>
      </w:r>
      <w:r>
        <w:rPr>
          <w:color w:val="231F20"/>
          <w:spacing w:val="-10"/>
          <w:w w:val="110"/>
        </w:rPr>
        <w:t> </w:t>
      </w:r>
      <w:r>
        <w:rPr>
          <w:color w:val="231F20"/>
          <w:w w:val="110"/>
        </w:rPr>
        <w:t>y</w:t>
      </w:r>
      <w:r>
        <w:rPr>
          <w:color w:val="231F20"/>
          <w:spacing w:val="-10"/>
          <w:w w:val="110"/>
        </w:rPr>
        <w:t> </w:t>
      </w:r>
      <w:r>
        <w:rPr>
          <w:color w:val="231F20"/>
          <w:w w:val="110"/>
        </w:rPr>
        <w:t>fuerza</w:t>
      </w:r>
      <w:r>
        <w:rPr>
          <w:color w:val="231F20"/>
          <w:spacing w:val="-10"/>
          <w:w w:val="110"/>
        </w:rPr>
        <w:t> </w:t>
      </w:r>
      <w:r>
        <w:rPr>
          <w:color w:val="231F20"/>
          <w:w w:val="110"/>
        </w:rPr>
        <w:t>persuasiva</w:t>
      </w:r>
      <w:r>
        <w:rPr>
          <w:color w:val="231F20"/>
          <w:spacing w:val="-10"/>
          <w:w w:val="110"/>
        </w:rPr>
        <w:t> </w:t>
      </w:r>
      <w:r>
        <w:rPr>
          <w:color w:val="231F20"/>
          <w:w w:val="110"/>
        </w:rPr>
        <w:t>derivada</w:t>
      </w:r>
      <w:r>
        <w:rPr>
          <w:color w:val="231F20"/>
          <w:spacing w:val="-10"/>
          <w:w w:val="110"/>
        </w:rPr>
        <w:t> </w:t>
      </w:r>
      <w:r>
        <w:rPr>
          <w:color w:val="231F20"/>
          <w:w w:val="110"/>
        </w:rPr>
        <w:t>de la justicia del ejemplo, lo que ha sido llamado </w:t>
      </w:r>
      <w:r>
        <w:rPr>
          <w:i/>
          <w:color w:val="231F20"/>
          <w:w w:val="110"/>
        </w:rPr>
        <w:t>smart power </w:t>
      </w:r>
      <w:r>
        <w:rPr>
          <w:color w:val="231F20"/>
          <w:w w:val="110"/>
        </w:rPr>
        <w:t>o poder inteligente.</w:t>
      </w:r>
      <w:r>
        <w:rPr>
          <w:color w:val="231F20"/>
          <w:spacing w:val="29"/>
          <w:w w:val="110"/>
        </w:rPr>
        <w:t> </w:t>
      </w:r>
      <w:r>
        <w:rPr>
          <w:color w:val="231F20"/>
          <w:w w:val="110"/>
        </w:rPr>
        <w:t>Se</w:t>
      </w:r>
      <w:r>
        <w:rPr>
          <w:color w:val="231F20"/>
          <w:spacing w:val="29"/>
          <w:w w:val="110"/>
        </w:rPr>
        <w:t> </w:t>
      </w:r>
      <w:r>
        <w:rPr>
          <w:color w:val="231F20"/>
          <w:w w:val="110"/>
        </w:rPr>
        <w:t>trata,</w:t>
      </w:r>
      <w:r>
        <w:rPr>
          <w:color w:val="231F20"/>
          <w:spacing w:val="29"/>
          <w:w w:val="110"/>
        </w:rPr>
        <w:t> </w:t>
      </w:r>
      <w:r>
        <w:rPr>
          <w:color w:val="231F20"/>
          <w:w w:val="110"/>
        </w:rPr>
        <w:t>dice</w:t>
      </w:r>
      <w:r>
        <w:rPr>
          <w:color w:val="231F20"/>
          <w:spacing w:val="29"/>
          <w:w w:val="110"/>
        </w:rPr>
        <w:t> </w:t>
      </w:r>
      <w:r>
        <w:rPr>
          <w:color w:val="231F20"/>
          <w:w w:val="110"/>
        </w:rPr>
        <w:t>Hilary</w:t>
      </w:r>
      <w:r>
        <w:rPr>
          <w:color w:val="231F20"/>
          <w:spacing w:val="29"/>
          <w:w w:val="110"/>
        </w:rPr>
        <w:t> </w:t>
      </w:r>
      <w:r>
        <w:rPr>
          <w:color w:val="231F20"/>
          <w:w w:val="110"/>
        </w:rPr>
        <w:t>Clinton,</w:t>
      </w:r>
      <w:r>
        <w:rPr>
          <w:color w:val="231F20"/>
          <w:spacing w:val="29"/>
          <w:w w:val="110"/>
        </w:rPr>
        <w:t> </w:t>
      </w:r>
      <w:r>
        <w:rPr>
          <w:color w:val="231F20"/>
          <w:w w:val="110"/>
        </w:rPr>
        <w:t>“de</w:t>
      </w:r>
      <w:r>
        <w:rPr>
          <w:color w:val="231F20"/>
          <w:spacing w:val="29"/>
          <w:w w:val="110"/>
        </w:rPr>
        <w:t> </w:t>
      </w:r>
      <w:r>
        <w:rPr>
          <w:color w:val="231F20"/>
          <w:w w:val="110"/>
        </w:rPr>
        <w:t>equilibrar</w:t>
      </w:r>
      <w:r>
        <w:rPr>
          <w:color w:val="231F20"/>
          <w:spacing w:val="29"/>
          <w:w w:val="110"/>
        </w:rPr>
        <w:t> </w:t>
      </w:r>
      <w:r>
        <w:rPr>
          <w:color w:val="231F20"/>
          <w:w w:val="110"/>
        </w:rPr>
        <w:t>e</w:t>
      </w:r>
      <w:r>
        <w:rPr>
          <w:color w:val="231F20"/>
          <w:spacing w:val="29"/>
          <w:w w:val="110"/>
        </w:rPr>
        <w:t> </w:t>
      </w:r>
      <w:r>
        <w:rPr>
          <w:color w:val="231F20"/>
          <w:w w:val="110"/>
        </w:rPr>
        <w:t>integrar</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todos los elementos de nuestra potencia, comenzando con las de- nominadas “tres D”, o sea defensa, diplomacia y desarrollo, aunque también incluyendo nuestra potencia económica y el poder de nues- tro</w:t>
      </w:r>
      <w:r>
        <w:rPr>
          <w:color w:val="231F20"/>
          <w:spacing w:val="-7"/>
          <w:w w:val="110"/>
        </w:rPr>
        <w:t> </w:t>
      </w:r>
      <w:r>
        <w:rPr>
          <w:color w:val="231F20"/>
          <w:w w:val="110"/>
        </w:rPr>
        <w:t>ejemplo”</w:t>
      </w:r>
      <w:r>
        <w:rPr>
          <w:color w:val="231F20"/>
          <w:spacing w:val="-7"/>
          <w:w w:val="110"/>
        </w:rPr>
        <w:t> </w:t>
      </w:r>
      <w:r>
        <w:rPr>
          <w:color w:val="231F20"/>
          <w:w w:val="110"/>
        </w:rPr>
        <w:t>(Clinton,</w:t>
      </w:r>
      <w:r>
        <w:rPr>
          <w:color w:val="231F20"/>
          <w:spacing w:val="-7"/>
          <w:w w:val="110"/>
        </w:rPr>
        <w:t> </w:t>
      </w:r>
      <w:r>
        <w:rPr>
          <w:color w:val="231F20"/>
          <w:w w:val="110"/>
        </w:rPr>
        <w:t>2010).</w:t>
      </w:r>
      <w:r>
        <w:rPr>
          <w:color w:val="231F20"/>
          <w:spacing w:val="-7"/>
          <w:w w:val="110"/>
        </w:rPr>
        <w:t> </w:t>
      </w:r>
      <w:r>
        <w:rPr>
          <w:color w:val="231F20"/>
          <w:w w:val="110"/>
        </w:rPr>
        <w:t>Esta</w:t>
      </w:r>
      <w:r>
        <w:rPr>
          <w:color w:val="231F20"/>
          <w:spacing w:val="-7"/>
          <w:w w:val="110"/>
        </w:rPr>
        <w:t> </w:t>
      </w:r>
      <w:r>
        <w:rPr>
          <w:color w:val="231F20"/>
          <w:w w:val="110"/>
        </w:rPr>
        <w:t>política</w:t>
      </w:r>
      <w:r>
        <w:rPr>
          <w:color w:val="231F20"/>
          <w:spacing w:val="-7"/>
          <w:w w:val="110"/>
        </w:rPr>
        <w:t> </w:t>
      </w:r>
      <w:r>
        <w:rPr>
          <w:color w:val="231F20"/>
          <w:w w:val="110"/>
        </w:rPr>
        <w:t>asume</w:t>
      </w:r>
      <w:r>
        <w:rPr>
          <w:color w:val="231F20"/>
          <w:spacing w:val="-7"/>
          <w:w w:val="110"/>
        </w:rPr>
        <w:t> </w:t>
      </w:r>
      <w:r>
        <w:rPr>
          <w:color w:val="231F20"/>
          <w:w w:val="110"/>
        </w:rPr>
        <w:t>la</w:t>
      </w:r>
      <w:r>
        <w:rPr>
          <w:color w:val="231F20"/>
          <w:spacing w:val="-7"/>
          <w:w w:val="110"/>
        </w:rPr>
        <w:t> </w:t>
      </w:r>
      <w:r>
        <w:rPr>
          <w:color w:val="231F20"/>
          <w:w w:val="110"/>
        </w:rPr>
        <w:t>necesidad</w:t>
      </w:r>
      <w:r>
        <w:rPr>
          <w:color w:val="231F20"/>
          <w:spacing w:val="-7"/>
          <w:w w:val="110"/>
        </w:rPr>
        <w:t> </w:t>
      </w:r>
      <w:r>
        <w:rPr>
          <w:color w:val="231F20"/>
          <w:w w:val="110"/>
        </w:rPr>
        <w:t>de</w:t>
      </w:r>
      <w:r>
        <w:rPr>
          <w:color w:val="231F20"/>
          <w:spacing w:val="-7"/>
          <w:w w:val="110"/>
        </w:rPr>
        <w:t> </w:t>
      </w:r>
      <w:r>
        <w:rPr>
          <w:color w:val="231F20"/>
          <w:w w:val="110"/>
        </w:rPr>
        <w:t>su- perar las dificultades de convertir en acción común la comunidad de intereses y parte de la convicción de que ningún país, por poderoso que sea, puede afrontar solo los desafíos. Por ello tratan de</w:t>
      </w:r>
      <w:r>
        <w:rPr>
          <w:color w:val="231F20"/>
          <w:spacing w:val="-24"/>
          <w:w w:val="110"/>
        </w:rPr>
        <w:t> </w:t>
      </w:r>
      <w:r>
        <w:rPr>
          <w:color w:val="231F20"/>
          <w:w w:val="110"/>
        </w:rPr>
        <w:t>convertir un “mundo multipolar en un mundo de socios múltiples [como una manera] de ganar socios para seguir los intereses estadunidenses” (Clinton, 2010). Sin embargo, no olvidan, como lo recuerda Obama en</w:t>
      </w:r>
      <w:r>
        <w:rPr>
          <w:color w:val="231F20"/>
          <w:spacing w:val="-8"/>
          <w:w w:val="110"/>
        </w:rPr>
        <w:t> </w:t>
      </w:r>
      <w:r>
        <w:rPr>
          <w:color w:val="231F20"/>
          <w:w w:val="110"/>
        </w:rPr>
        <w:t>la</w:t>
      </w:r>
      <w:r>
        <w:rPr>
          <w:color w:val="231F20"/>
          <w:spacing w:val="-8"/>
          <w:w w:val="110"/>
        </w:rPr>
        <w:t> </w:t>
      </w:r>
      <w:r>
        <w:rPr>
          <w:color w:val="231F20"/>
          <w:w w:val="110"/>
        </w:rPr>
        <w:t>presentación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estrategia</w:t>
      </w:r>
      <w:r>
        <w:rPr>
          <w:color w:val="231F20"/>
          <w:spacing w:val="-8"/>
          <w:w w:val="110"/>
        </w:rPr>
        <w:t> </w:t>
      </w:r>
      <w:r>
        <w:rPr>
          <w:color w:val="231F20"/>
          <w:w w:val="110"/>
        </w:rPr>
        <w:t>de</w:t>
      </w:r>
      <w:r>
        <w:rPr>
          <w:color w:val="231F20"/>
          <w:spacing w:val="-8"/>
          <w:w w:val="110"/>
        </w:rPr>
        <w:t> </w:t>
      </w:r>
      <w:r>
        <w:rPr>
          <w:color w:val="231F20"/>
          <w:w w:val="110"/>
        </w:rPr>
        <w:t>seguridad</w:t>
      </w:r>
      <w:r>
        <w:rPr>
          <w:color w:val="231F20"/>
          <w:spacing w:val="-8"/>
          <w:w w:val="110"/>
        </w:rPr>
        <w:t> </w:t>
      </w:r>
      <w:r>
        <w:rPr>
          <w:color w:val="231F20"/>
          <w:w w:val="110"/>
        </w:rPr>
        <w:t>que</w:t>
      </w:r>
      <w:r>
        <w:rPr>
          <w:color w:val="231F20"/>
          <w:spacing w:val="-8"/>
          <w:w w:val="110"/>
        </w:rPr>
        <w:t> </w:t>
      </w:r>
      <w:r>
        <w:rPr>
          <w:color w:val="231F20"/>
          <w:w w:val="110"/>
        </w:rPr>
        <w:t>“nuestras</w:t>
      </w:r>
      <w:r>
        <w:rPr>
          <w:color w:val="231F20"/>
          <w:spacing w:val="-8"/>
          <w:w w:val="110"/>
        </w:rPr>
        <w:t> </w:t>
      </w:r>
      <w:r>
        <w:rPr>
          <w:color w:val="231F20"/>
          <w:w w:val="110"/>
        </w:rPr>
        <w:t>fuerzas armadas siempre serán la piedra fundamental de nuestra seguridad” (Obama,</w:t>
      </w:r>
      <w:r>
        <w:rPr>
          <w:color w:val="231F20"/>
          <w:spacing w:val="14"/>
          <w:w w:val="110"/>
        </w:rPr>
        <w:t> </w:t>
      </w:r>
      <w:r>
        <w:rPr>
          <w:color w:val="231F20"/>
          <w:w w:val="110"/>
        </w:rPr>
        <w:t>2010).</w:t>
      </w:r>
    </w:p>
    <w:p>
      <w:pPr>
        <w:pStyle w:val="BodyText"/>
        <w:spacing w:line="261" w:lineRule="auto"/>
        <w:ind w:left="100" w:right="117" w:firstLine="240"/>
        <w:jc w:val="both"/>
      </w:pPr>
      <w:r>
        <w:rPr>
          <w:color w:val="231F20"/>
          <w:w w:val="110"/>
        </w:rPr>
        <w:t>La estrategia de seguridad reitera que la mayor responsabilidad de la administración es la de garantizar “la protección y seguridad del pueblo estadunidense” y prioriza la amenazas. La principal es   la proliferación de armas nucleares y la posibilidad de que a ellas accedan extremistas violentos. Se busca reducir la amenaza nuclear para los Estados Unidos, sus aliados y la comunidad internacional mediante la reducción de armas nucleares sin sacrificar la</w:t>
      </w:r>
      <w:r>
        <w:rPr>
          <w:color w:val="231F20"/>
          <w:spacing w:val="-7"/>
          <w:w w:val="110"/>
        </w:rPr>
        <w:t> </w:t>
      </w:r>
      <w:r>
        <w:rPr>
          <w:color w:val="231F20"/>
          <w:w w:val="110"/>
        </w:rPr>
        <w:t>capacidad de contención de los Estados Unidos, prevención de la proliferación y el terrorismo nuclear </w:t>
      </w:r>
      <w:r>
        <w:rPr>
          <w:color w:val="231F20"/>
          <w:spacing w:val="-8"/>
          <w:w w:val="110"/>
        </w:rPr>
        <w:t>y, </w:t>
      </w:r>
      <w:r>
        <w:rPr>
          <w:color w:val="231F20"/>
          <w:w w:val="110"/>
        </w:rPr>
        <w:t>en el largo plazo, lograr un mundo libre  de armas nucleares. En relación con el primer punto se trata de for- talecer el </w:t>
      </w:r>
      <w:r>
        <w:rPr>
          <w:color w:val="231F20"/>
          <w:spacing w:val="-3"/>
          <w:w w:val="110"/>
        </w:rPr>
        <w:t>Tratado </w:t>
      </w:r>
      <w:r>
        <w:rPr>
          <w:color w:val="231F20"/>
          <w:w w:val="110"/>
        </w:rPr>
        <w:t>de no Proliferación de Armas Nucleares, de 1970, y el de Prohibición </w:t>
      </w:r>
      <w:r>
        <w:rPr>
          <w:color w:val="231F20"/>
          <w:spacing w:val="-4"/>
          <w:w w:val="110"/>
        </w:rPr>
        <w:t>Total </w:t>
      </w:r>
      <w:r>
        <w:rPr>
          <w:color w:val="231F20"/>
          <w:w w:val="110"/>
        </w:rPr>
        <w:t>de los Ensayos Nucleares. En ejecución de esta política, Estados Unidos y Rusia acordaron, en abril de 2010, el Strategic Arms Reduction </w:t>
      </w:r>
      <w:r>
        <w:rPr>
          <w:color w:val="231F20"/>
          <w:spacing w:val="-4"/>
          <w:w w:val="110"/>
        </w:rPr>
        <w:t>Talks </w:t>
      </w:r>
      <w:r>
        <w:rPr>
          <w:color w:val="231F20"/>
          <w:w w:val="110"/>
        </w:rPr>
        <w:t>en virtud del cual reducirán en una tercera parte sus ojivas nucleares y en un cincuenta por ciento los misiles, submarinos y bombarderos que los transportan. En relación con la proliferación de armas nucleares, preocupa a Estados Unidos la posición del gobierno iraní de continuar el programa nuclear en contra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resoluciones</w:t>
      </w:r>
      <w:r>
        <w:rPr>
          <w:color w:val="231F20"/>
          <w:spacing w:val="-13"/>
          <w:w w:val="110"/>
        </w:rPr>
        <w:t> </w:t>
      </w:r>
      <w:r>
        <w:rPr>
          <w:color w:val="231F20"/>
          <w:w w:val="110"/>
        </w:rPr>
        <w:t>de</w:t>
      </w:r>
      <w:r>
        <w:rPr>
          <w:color w:val="231F20"/>
          <w:spacing w:val="-13"/>
          <w:w w:val="110"/>
        </w:rPr>
        <w:t> </w:t>
      </w:r>
      <w:r>
        <w:rPr>
          <w:color w:val="231F20"/>
          <w:w w:val="110"/>
        </w:rPr>
        <w:t>Naciones</w:t>
      </w:r>
      <w:r>
        <w:rPr>
          <w:color w:val="231F20"/>
          <w:spacing w:val="-13"/>
          <w:w w:val="110"/>
        </w:rPr>
        <w:t> </w:t>
      </w:r>
      <w:r>
        <w:rPr>
          <w:color w:val="231F20"/>
          <w:w w:val="110"/>
        </w:rPr>
        <w:t>Unidas,</w:t>
      </w:r>
      <w:r>
        <w:rPr>
          <w:color w:val="231F20"/>
          <w:spacing w:val="-13"/>
          <w:w w:val="110"/>
        </w:rPr>
        <w:t> </w:t>
      </w:r>
      <w:r>
        <w:rPr>
          <w:color w:val="231F20"/>
          <w:w w:val="110"/>
        </w:rPr>
        <w:t>los</w:t>
      </w:r>
      <w:r>
        <w:rPr>
          <w:color w:val="231F20"/>
          <w:spacing w:val="-13"/>
          <w:w w:val="110"/>
        </w:rPr>
        <w:t> </w:t>
      </w:r>
      <w:r>
        <w:rPr>
          <w:color w:val="231F20"/>
          <w:w w:val="110"/>
        </w:rPr>
        <w:t>desequilibrios</w:t>
      </w:r>
      <w:r>
        <w:rPr>
          <w:color w:val="231F20"/>
          <w:spacing w:val="-13"/>
          <w:w w:val="110"/>
        </w:rPr>
        <w:t> </w:t>
      </w:r>
      <w:r>
        <w:rPr>
          <w:color w:val="231F20"/>
          <w:w w:val="110"/>
        </w:rPr>
        <w:t>que este programa provoca en el sur y centro de Asia y la posibilidad de que Irán posibilite el acceso de grupos terroristas a estas armas de destrucción</w:t>
      </w:r>
      <w:r>
        <w:rPr>
          <w:color w:val="231F20"/>
          <w:spacing w:val="-6"/>
          <w:w w:val="110"/>
        </w:rPr>
        <w:t> </w:t>
      </w:r>
      <w:r>
        <w:rPr>
          <w:color w:val="231F20"/>
          <w:w w:val="110"/>
        </w:rPr>
        <w:t>masiva.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se</w:t>
      </w:r>
      <w:r>
        <w:rPr>
          <w:color w:val="231F20"/>
          <w:spacing w:val="-6"/>
          <w:w w:val="110"/>
        </w:rPr>
        <w:t> </w:t>
      </w:r>
      <w:r>
        <w:rPr>
          <w:color w:val="231F20"/>
          <w:w w:val="110"/>
        </w:rPr>
        <w:t>opone</w:t>
      </w:r>
      <w:r>
        <w:rPr>
          <w:color w:val="231F20"/>
          <w:spacing w:val="-6"/>
          <w:w w:val="110"/>
        </w:rPr>
        <w:t> </w:t>
      </w:r>
      <w:r>
        <w:rPr>
          <w:color w:val="231F20"/>
          <w:w w:val="110"/>
        </w:rPr>
        <w:t>firmemente</w:t>
      </w:r>
      <w:r>
        <w:rPr>
          <w:color w:val="231F20"/>
          <w:spacing w:val="-6"/>
          <w:w w:val="110"/>
        </w:rPr>
        <w:t> </w:t>
      </w:r>
      <w:r>
        <w:rPr>
          <w:color w:val="231F20"/>
          <w:w w:val="110"/>
        </w:rPr>
        <w:t>a</w:t>
      </w:r>
      <w:r>
        <w:rPr>
          <w:color w:val="231F20"/>
          <w:spacing w:val="-6"/>
          <w:w w:val="110"/>
        </w:rPr>
        <w:t> </w:t>
      </w:r>
      <w:r>
        <w:rPr>
          <w:color w:val="231F20"/>
          <w:w w:val="110"/>
        </w:rPr>
        <w:t>este</w:t>
      </w:r>
      <w:r>
        <w:rPr>
          <w:color w:val="231F20"/>
          <w:spacing w:val="-6"/>
          <w:w w:val="110"/>
        </w:rPr>
        <w:t> </w:t>
      </w:r>
      <w:r>
        <w:rPr>
          <w:color w:val="231F20"/>
          <w:w w:val="110"/>
        </w:rPr>
        <w:t>pro- grama,</w:t>
      </w:r>
      <w:r>
        <w:rPr>
          <w:color w:val="231F20"/>
          <w:spacing w:val="-18"/>
          <w:w w:val="110"/>
        </w:rPr>
        <w:t> </w:t>
      </w:r>
      <w:r>
        <w:rPr>
          <w:color w:val="231F20"/>
          <w:w w:val="110"/>
        </w:rPr>
        <w:t>apoyado</w:t>
      </w:r>
      <w:r>
        <w:rPr>
          <w:color w:val="231F20"/>
          <w:spacing w:val="-18"/>
          <w:w w:val="110"/>
        </w:rPr>
        <w:t> </w:t>
      </w:r>
      <w:r>
        <w:rPr>
          <w:color w:val="231F20"/>
          <w:w w:val="110"/>
        </w:rPr>
        <w:t>en</w:t>
      </w:r>
      <w:r>
        <w:rPr>
          <w:color w:val="231F20"/>
          <w:spacing w:val="-18"/>
          <w:w w:val="110"/>
        </w:rPr>
        <w:t> </w:t>
      </w:r>
      <w:r>
        <w:rPr>
          <w:color w:val="231F20"/>
          <w:w w:val="110"/>
        </w:rPr>
        <w:t>las</w:t>
      </w:r>
      <w:r>
        <w:rPr>
          <w:color w:val="231F20"/>
          <w:spacing w:val="-18"/>
          <w:w w:val="110"/>
        </w:rPr>
        <w:t> </w:t>
      </w:r>
      <w:r>
        <w:rPr>
          <w:color w:val="231F20"/>
          <w:w w:val="110"/>
        </w:rPr>
        <w:t>resoluciones</w:t>
      </w:r>
      <w:r>
        <w:rPr>
          <w:color w:val="231F20"/>
          <w:spacing w:val="-18"/>
          <w:w w:val="110"/>
        </w:rPr>
        <w:t> </w:t>
      </w:r>
      <w:r>
        <w:rPr>
          <w:color w:val="231F20"/>
          <w:w w:val="110"/>
        </w:rPr>
        <w:t>de</w:t>
      </w:r>
      <w:r>
        <w:rPr>
          <w:color w:val="231F20"/>
          <w:spacing w:val="-18"/>
          <w:w w:val="110"/>
        </w:rPr>
        <w:t> </w:t>
      </w:r>
      <w:r>
        <w:rPr>
          <w:color w:val="231F20"/>
          <w:w w:val="110"/>
        </w:rPr>
        <w:t>Naciones</w:t>
      </w:r>
      <w:r>
        <w:rPr>
          <w:color w:val="231F20"/>
          <w:spacing w:val="-18"/>
          <w:w w:val="110"/>
        </w:rPr>
        <w:t> </w:t>
      </w:r>
      <w:r>
        <w:rPr>
          <w:color w:val="231F20"/>
          <w:w w:val="110"/>
        </w:rPr>
        <w:t>Unidas</w:t>
      </w:r>
      <w:r>
        <w:rPr>
          <w:color w:val="231F20"/>
          <w:spacing w:val="-18"/>
          <w:w w:val="110"/>
        </w:rPr>
        <w:t> </w:t>
      </w:r>
      <w:r>
        <w:rPr>
          <w:color w:val="231F20"/>
          <w:w w:val="110"/>
        </w:rPr>
        <w:t>y</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defen- sa de sus intereses geopolíticos pero, a su vez, adelanta un</w:t>
      </w:r>
      <w:r>
        <w:rPr>
          <w:color w:val="231F20"/>
          <w:spacing w:val="-26"/>
          <w:w w:val="110"/>
        </w:rPr>
        <w:t> </w:t>
      </w:r>
      <w:r>
        <w:rPr>
          <w:color w:val="231F20"/>
          <w:w w:val="110"/>
        </w:rPr>
        <w:t>programa de modernización y sostenimiento de sus propias fuerzas nucleares, así como el despliegue del escudo antimisiles conocido como  </w:t>
      </w:r>
      <w:r>
        <w:rPr>
          <w:color w:val="231F20"/>
          <w:spacing w:val="39"/>
          <w:w w:val="110"/>
        </w:rPr>
        <w:t> </w:t>
      </w:r>
      <w:r>
        <w:rPr>
          <w:color w:val="231F20"/>
          <w:w w:val="110"/>
        </w:rPr>
        <w:t>bmd</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73" w:right="117"/>
        <w:jc w:val="right"/>
      </w:pPr>
      <w:r>
        <w:rPr>
          <w:color w:val="231F20"/>
          <w:w w:val="110"/>
        </w:rPr>
        <w:t>en Polonia y la República Checa. Por último, la cuestión del cambio</w:t>
      </w:r>
      <w:r>
        <w:rPr>
          <w:color w:val="231F20"/>
          <w:w w:val="108"/>
        </w:rPr>
        <w:t> </w:t>
      </w:r>
      <w:r>
        <w:rPr>
          <w:color w:val="231F20"/>
          <w:w w:val="110"/>
        </w:rPr>
        <w:t>climático se relaciona con la de la proliferación de armas nucleares.</w:t>
      </w:r>
    </w:p>
    <w:p>
      <w:pPr>
        <w:pStyle w:val="BodyText"/>
        <w:spacing w:line="261" w:lineRule="auto"/>
        <w:ind w:left="100" w:right="117" w:firstLine="240"/>
        <w:jc w:val="both"/>
      </w:pPr>
      <w:r>
        <w:rPr>
          <w:color w:val="231F20"/>
          <w:w w:val="110"/>
        </w:rPr>
        <w:t>La estrategia de seguridad mantiene el compromiso heredado de la pasada administración de librar “una guerra contra una extensa red</w:t>
      </w:r>
      <w:r>
        <w:rPr>
          <w:color w:val="231F20"/>
          <w:spacing w:val="-9"/>
          <w:w w:val="110"/>
        </w:rPr>
        <w:t> </w:t>
      </w:r>
      <w:r>
        <w:rPr>
          <w:color w:val="231F20"/>
          <w:w w:val="110"/>
        </w:rPr>
        <w:t>de</w:t>
      </w:r>
      <w:r>
        <w:rPr>
          <w:color w:val="231F20"/>
          <w:spacing w:val="-9"/>
          <w:w w:val="110"/>
        </w:rPr>
        <w:t> </w:t>
      </w:r>
      <w:r>
        <w:rPr>
          <w:color w:val="231F20"/>
          <w:w w:val="110"/>
        </w:rPr>
        <w:t>odio</w:t>
      </w:r>
      <w:r>
        <w:rPr>
          <w:color w:val="231F20"/>
          <w:spacing w:val="-9"/>
          <w:w w:val="110"/>
        </w:rPr>
        <w:t> </w:t>
      </w:r>
      <w:r>
        <w:rPr>
          <w:color w:val="231F20"/>
          <w:w w:val="110"/>
        </w:rPr>
        <w:t>y</w:t>
      </w:r>
      <w:r>
        <w:rPr>
          <w:color w:val="231F20"/>
          <w:spacing w:val="-9"/>
          <w:w w:val="110"/>
        </w:rPr>
        <w:t> </w:t>
      </w:r>
      <w:r>
        <w:rPr>
          <w:color w:val="231F20"/>
          <w:w w:val="110"/>
        </w:rPr>
        <w:t>violencia.</w:t>
      </w:r>
      <w:r>
        <w:rPr>
          <w:color w:val="231F20"/>
          <w:spacing w:val="-9"/>
          <w:w w:val="110"/>
        </w:rPr>
        <w:t> </w:t>
      </w:r>
      <w:r>
        <w:rPr>
          <w:color w:val="231F20"/>
          <w:spacing w:val="-3"/>
          <w:w w:val="110"/>
        </w:rPr>
        <w:t>Vamos</w:t>
      </w:r>
      <w:r>
        <w:rPr>
          <w:color w:val="231F20"/>
          <w:spacing w:val="-9"/>
          <w:w w:val="110"/>
        </w:rPr>
        <w:t> </w:t>
      </w:r>
      <w:r>
        <w:rPr>
          <w:color w:val="231F20"/>
          <w:w w:val="110"/>
        </w:rPr>
        <w:t>a</w:t>
      </w:r>
      <w:r>
        <w:rPr>
          <w:color w:val="231F20"/>
          <w:spacing w:val="-9"/>
          <w:w w:val="110"/>
        </w:rPr>
        <w:t> </w:t>
      </w:r>
      <w:r>
        <w:rPr>
          <w:color w:val="231F20"/>
          <w:w w:val="110"/>
        </w:rPr>
        <w:t>desbaratar,</w:t>
      </w:r>
      <w:r>
        <w:rPr>
          <w:color w:val="231F20"/>
          <w:spacing w:val="-9"/>
          <w:w w:val="110"/>
        </w:rPr>
        <w:t> </w:t>
      </w:r>
      <w:r>
        <w:rPr>
          <w:color w:val="231F20"/>
          <w:w w:val="110"/>
        </w:rPr>
        <w:t>desmantelar</w:t>
      </w:r>
      <w:r>
        <w:rPr>
          <w:color w:val="231F20"/>
          <w:spacing w:val="-9"/>
          <w:w w:val="110"/>
        </w:rPr>
        <w:t> </w:t>
      </w:r>
      <w:r>
        <w:rPr>
          <w:color w:val="231F20"/>
          <w:w w:val="110"/>
        </w:rPr>
        <w:t>y</w:t>
      </w:r>
      <w:r>
        <w:rPr>
          <w:color w:val="231F20"/>
          <w:spacing w:val="-9"/>
          <w:w w:val="110"/>
        </w:rPr>
        <w:t> </w:t>
      </w:r>
      <w:r>
        <w:rPr>
          <w:color w:val="231F20"/>
          <w:w w:val="110"/>
        </w:rPr>
        <w:t>derrotar</w:t>
      </w:r>
      <w:r>
        <w:rPr>
          <w:color w:val="231F20"/>
          <w:spacing w:val="-9"/>
          <w:w w:val="110"/>
        </w:rPr>
        <w:t> </w:t>
      </w:r>
      <w:r>
        <w:rPr>
          <w:color w:val="231F20"/>
          <w:w w:val="110"/>
        </w:rPr>
        <w:t>a Al Qaeda y a sus afiliados mediante una estrategia internacional</w:t>
      </w:r>
      <w:r>
        <w:rPr>
          <w:color w:val="231F20"/>
          <w:spacing w:val="-17"/>
          <w:w w:val="110"/>
        </w:rPr>
        <w:t> </w:t>
      </w:r>
      <w:r>
        <w:rPr>
          <w:color w:val="231F20"/>
          <w:w w:val="110"/>
        </w:rPr>
        <w:t>que los prive de refugios seguros, fortalezca a nuestros socios que se en- cuentran en primera línea, proteja nuestra patria, persiga la justicia</w:t>
      </w:r>
      <w:r>
        <w:rPr>
          <w:color w:val="231F20"/>
          <w:spacing w:val="-16"/>
          <w:w w:val="110"/>
        </w:rPr>
        <w:t> </w:t>
      </w:r>
      <w:r>
        <w:rPr>
          <w:color w:val="231F20"/>
          <w:w w:val="110"/>
        </w:rPr>
        <w:t>a través de enfoques jurídicos duraderos y contrarreste, con esperanza y oportunidades, una estrategia de extremismo y asesinato. El frente de esta lucha está en Afganistán y Pakistán”. Con esta estrategia se trata de simplificar escenarios: retirarse de Irak consolidando una alianza con su gobierno e incrementar el esfuerzo militar en Afga- nistán con el apoyo de otras naciones. La renuncia al unilateralismo y la búsqueda de alianzas, especialmente con los europeos, traza la nueva</w:t>
      </w:r>
      <w:r>
        <w:rPr>
          <w:color w:val="231F20"/>
          <w:spacing w:val="-6"/>
          <w:w w:val="110"/>
        </w:rPr>
        <w:t> </w:t>
      </w:r>
      <w:r>
        <w:rPr>
          <w:color w:val="231F20"/>
          <w:w w:val="110"/>
        </w:rPr>
        <w:t>ruta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diplomacia.</w:t>
      </w:r>
      <w:r>
        <w:rPr>
          <w:color w:val="231F20"/>
          <w:spacing w:val="-6"/>
          <w:w w:val="110"/>
        </w:rPr>
        <w:t> </w:t>
      </w:r>
      <w:r>
        <w:rPr>
          <w:color w:val="231F20"/>
          <w:w w:val="110"/>
        </w:rPr>
        <w:t>Los</w:t>
      </w:r>
      <w:r>
        <w:rPr>
          <w:color w:val="231F20"/>
          <w:spacing w:val="-6"/>
          <w:w w:val="110"/>
        </w:rPr>
        <w:t> </w:t>
      </w:r>
      <w:r>
        <w:rPr>
          <w:color w:val="231F20"/>
          <w:w w:val="110"/>
        </w:rPr>
        <w:t>europeos</w:t>
      </w:r>
      <w:r>
        <w:rPr>
          <w:color w:val="231F20"/>
          <w:spacing w:val="-6"/>
          <w:w w:val="110"/>
        </w:rPr>
        <w:t> </w:t>
      </w:r>
      <w:r>
        <w:rPr>
          <w:color w:val="231F20"/>
          <w:w w:val="110"/>
        </w:rPr>
        <w:t>saludaron</w:t>
      </w:r>
      <w:r>
        <w:rPr>
          <w:color w:val="231F20"/>
          <w:spacing w:val="-6"/>
          <w:w w:val="110"/>
        </w:rPr>
        <w:t> </w:t>
      </w:r>
      <w:r>
        <w:rPr>
          <w:color w:val="231F20"/>
          <w:w w:val="110"/>
        </w:rPr>
        <w:t>con</w:t>
      </w:r>
      <w:r>
        <w:rPr>
          <w:color w:val="231F20"/>
          <w:spacing w:val="-6"/>
          <w:w w:val="110"/>
        </w:rPr>
        <w:t> </w:t>
      </w:r>
      <w:r>
        <w:rPr>
          <w:color w:val="231F20"/>
          <w:w w:val="110"/>
        </w:rPr>
        <w:t>entusiasmo la retirada de Irak pero plantearon, en las reuniones de la otan en Francia y en Alemania, su resistencia a acompañar la ampliación</w:t>
      </w:r>
      <w:r>
        <w:rPr>
          <w:color w:val="231F20"/>
          <w:spacing w:val="-29"/>
          <w:w w:val="110"/>
        </w:rPr>
        <w:t> </w:t>
      </w:r>
      <w:r>
        <w:rPr>
          <w:color w:val="231F20"/>
          <w:w w:val="110"/>
        </w:rPr>
        <w:t>del compromiso militar en</w:t>
      </w:r>
      <w:r>
        <w:rPr>
          <w:color w:val="231F20"/>
          <w:spacing w:val="-13"/>
          <w:w w:val="110"/>
        </w:rPr>
        <w:t> </w:t>
      </w:r>
      <w:r>
        <w:rPr>
          <w:color w:val="231F20"/>
          <w:w w:val="110"/>
        </w:rPr>
        <w:t>Afganistán.</w:t>
      </w:r>
    </w:p>
    <w:p>
      <w:pPr>
        <w:pStyle w:val="BodyText"/>
        <w:spacing w:line="261" w:lineRule="auto"/>
        <w:ind w:left="100" w:right="117" w:firstLine="240"/>
        <w:jc w:val="both"/>
      </w:pPr>
      <w:r>
        <w:rPr>
          <w:color w:val="231F20"/>
          <w:w w:val="110"/>
        </w:rPr>
        <w:t>Al considerar las “oportunidades económicas como un derecho humano” la búsqueda de la prosperidad  y</w:t>
      </w:r>
      <w:r>
        <w:rPr>
          <w:color w:val="231F20"/>
          <w:spacing w:val="-8"/>
          <w:w w:val="110"/>
        </w:rPr>
        <w:t> </w:t>
      </w:r>
      <w:r>
        <w:rPr>
          <w:color w:val="231F20"/>
          <w:w w:val="110"/>
        </w:rPr>
        <w:t>desarrollo</w:t>
      </w:r>
      <w:r>
        <w:rPr>
          <w:color w:val="231F20"/>
          <w:spacing w:val="46"/>
          <w:w w:val="110"/>
        </w:rPr>
        <w:t> </w:t>
      </w:r>
      <w:r>
        <w:rPr>
          <w:color w:val="231F20"/>
          <w:w w:val="110"/>
        </w:rPr>
        <w:t>equilibrado</w:t>
      </w:r>
      <w:r>
        <w:rPr>
          <w:color w:val="231F20"/>
          <w:spacing w:val="1"/>
          <w:w w:val="111"/>
        </w:rPr>
        <w:t> </w:t>
      </w:r>
      <w:r>
        <w:rPr>
          <w:color w:val="231F20"/>
          <w:w w:val="110"/>
        </w:rPr>
        <w:t>son componentes de la estrategia de seguridad, en el entendimiento de que es necesario fortalecer su propia economía, superar la crisis  y desarrollar acuerdos comerciales bilaterales y multilaterales si</w:t>
      </w:r>
      <w:r>
        <w:rPr>
          <w:color w:val="231F20"/>
          <w:spacing w:val="-38"/>
          <w:w w:val="110"/>
        </w:rPr>
        <w:t> </w:t>
      </w:r>
      <w:r>
        <w:rPr>
          <w:color w:val="231F20"/>
          <w:w w:val="110"/>
        </w:rPr>
        <w:t>pre- tende recuperar el liderazgo. </w:t>
      </w:r>
      <w:r>
        <w:rPr>
          <w:color w:val="231F20"/>
          <w:spacing w:val="-5"/>
          <w:w w:val="110"/>
        </w:rPr>
        <w:t>Todo </w:t>
      </w:r>
      <w:r>
        <w:rPr>
          <w:color w:val="231F20"/>
          <w:w w:val="110"/>
        </w:rPr>
        <w:t>esto requiere la construcción de un orden internacional que apoye los intereses de Estados Unidos, afronte los problemas de esta época y alcance una paz</w:t>
      </w:r>
      <w:r>
        <w:rPr>
          <w:color w:val="231F20"/>
          <w:spacing w:val="50"/>
          <w:w w:val="110"/>
        </w:rPr>
        <w:t> </w:t>
      </w:r>
      <w:r>
        <w:rPr>
          <w:color w:val="231F20"/>
          <w:w w:val="110"/>
        </w:rPr>
        <w:t>justa.</w:t>
      </w:r>
    </w:p>
    <w:p>
      <w:pPr>
        <w:pStyle w:val="BodyText"/>
      </w:pPr>
    </w:p>
    <w:p>
      <w:pPr>
        <w:pStyle w:val="BodyText"/>
      </w:pPr>
    </w:p>
    <w:p>
      <w:pPr>
        <w:pStyle w:val="BodyText"/>
        <w:spacing w:before="2"/>
        <w:rPr>
          <w:sz w:val="25"/>
        </w:rPr>
      </w:pPr>
    </w:p>
    <w:p>
      <w:pPr>
        <w:pStyle w:val="BodyText"/>
        <w:ind w:left="100"/>
        <w:jc w:val="both"/>
      </w:pPr>
      <w:r>
        <w:rPr>
          <w:color w:val="231F20"/>
          <w:w w:val="130"/>
        </w:rPr>
        <w:t>el destino manifiesto en el siglo xxi</w:t>
      </w:r>
    </w:p>
    <w:p>
      <w:pPr>
        <w:pStyle w:val="BodyText"/>
        <w:spacing w:before="5"/>
        <w:rPr>
          <w:sz w:val="23"/>
        </w:rPr>
      </w:pPr>
    </w:p>
    <w:p>
      <w:pPr>
        <w:pStyle w:val="BodyText"/>
        <w:spacing w:line="261" w:lineRule="auto"/>
        <w:ind w:left="100" w:right="117"/>
        <w:jc w:val="both"/>
      </w:pPr>
      <w:r>
        <w:rPr>
          <w:color w:val="231F20"/>
          <w:w w:val="110"/>
        </w:rPr>
        <w:t>La invocación por el presidente Obama de los principios fundado- res de su nación como fuente de fortaleza que permite conjurar las amenazas, encarar los desafíos y recuperar el deteriorado liderazgo de los Estados Unidos, atribuye implícitamente la deslegitimación de la causa de su país y la animadversión que despertó en sectores de la comunidad internacional al recurso a prácticas contrarias a los mismos.</w:t>
      </w:r>
      <w:r>
        <w:rPr>
          <w:color w:val="231F20"/>
          <w:spacing w:val="-5"/>
          <w:w w:val="110"/>
        </w:rPr>
        <w:t> </w:t>
      </w:r>
      <w:r>
        <w:rPr>
          <w:color w:val="231F20"/>
          <w:w w:val="110"/>
        </w:rPr>
        <w:t>El</w:t>
      </w:r>
      <w:r>
        <w:rPr>
          <w:color w:val="231F20"/>
          <w:spacing w:val="-5"/>
          <w:w w:val="110"/>
        </w:rPr>
        <w:t> </w:t>
      </w:r>
      <w:r>
        <w:rPr>
          <w:color w:val="231F20"/>
          <w:w w:val="110"/>
        </w:rPr>
        <w:t>retorno</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valores</w:t>
      </w:r>
      <w:r>
        <w:rPr>
          <w:color w:val="231F20"/>
          <w:spacing w:val="-5"/>
          <w:w w:val="110"/>
        </w:rPr>
        <w:t> </w:t>
      </w:r>
      <w:r>
        <w:rPr>
          <w:color w:val="231F20"/>
          <w:w w:val="110"/>
        </w:rPr>
        <w:t>del</w:t>
      </w:r>
      <w:r>
        <w:rPr>
          <w:color w:val="231F20"/>
          <w:spacing w:val="-5"/>
          <w:w w:val="110"/>
        </w:rPr>
        <w:t> </w:t>
      </w:r>
      <w:r>
        <w:rPr>
          <w:color w:val="231F20"/>
          <w:w w:val="110"/>
        </w:rPr>
        <w:t>pasado</w:t>
      </w:r>
      <w:r>
        <w:rPr>
          <w:color w:val="231F20"/>
          <w:spacing w:val="-5"/>
          <w:w w:val="110"/>
        </w:rPr>
        <w:t> </w:t>
      </w:r>
      <w:r>
        <w:rPr>
          <w:color w:val="231F20"/>
          <w:w w:val="110"/>
        </w:rPr>
        <w:t>para</w:t>
      </w:r>
      <w:r>
        <w:rPr>
          <w:color w:val="231F20"/>
          <w:spacing w:val="-5"/>
          <w:w w:val="110"/>
        </w:rPr>
        <w:t> </w:t>
      </w:r>
      <w:r>
        <w:rPr>
          <w:color w:val="231F20"/>
          <w:w w:val="110"/>
        </w:rPr>
        <w:t>encarar</w:t>
      </w:r>
      <w:r>
        <w:rPr>
          <w:color w:val="231F20"/>
          <w:spacing w:val="-5"/>
          <w:w w:val="110"/>
        </w:rPr>
        <w:t> </w:t>
      </w:r>
      <w:r>
        <w:rPr>
          <w:color w:val="231F20"/>
          <w:w w:val="110"/>
        </w:rPr>
        <w:t>los</w:t>
      </w:r>
      <w:r>
        <w:rPr>
          <w:color w:val="231F20"/>
          <w:spacing w:val="-5"/>
          <w:w w:val="110"/>
        </w:rPr>
        <w:t> </w:t>
      </w:r>
      <w:r>
        <w:rPr>
          <w:color w:val="231F20"/>
          <w:w w:val="110"/>
        </w:rPr>
        <w:t>desafíos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5"/>
        <w:jc w:val="both"/>
      </w:pPr>
      <w:r>
        <w:rPr>
          <w:color w:val="231F20"/>
          <w:w w:val="110"/>
        </w:rPr>
        <w:t>del presente parte de la convicción, tal como lo expresa, que “tene- mos deberes para con nosotros, nuestra nación y el mundo [y que] Dios nos llama a dar forma a un destino incierto” (Obama, 2009). Misión conferida por la Providencia que inspira la idea tan cara a la historia de los estadunidenses de que sus intereses esenciales son</w:t>
      </w:r>
      <w:r>
        <w:rPr>
          <w:color w:val="231F20"/>
          <w:spacing w:val="-26"/>
          <w:w w:val="110"/>
        </w:rPr>
        <w:t> </w:t>
      </w:r>
      <w:r>
        <w:rPr>
          <w:color w:val="231F20"/>
          <w:w w:val="110"/>
        </w:rPr>
        <w:t>los de la humanidad toda. Por eso deciden “reafirmar nuestro espíritu de firmeza: de elegir nuestra mejor historia; de llevar hacia adelante ese valioso don, esa noble idea que ha pasado de generación en generación: “la promesa divina de que todos son iguales, todos son libres</w:t>
      </w:r>
      <w:r>
        <w:rPr>
          <w:color w:val="231F20"/>
          <w:spacing w:val="-5"/>
          <w:w w:val="110"/>
        </w:rPr>
        <w:t> </w:t>
      </w:r>
      <w:r>
        <w:rPr>
          <w:color w:val="231F20"/>
          <w:w w:val="110"/>
        </w:rPr>
        <w:t>y</w:t>
      </w:r>
      <w:r>
        <w:rPr>
          <w:color w:val="231F20"/>
          <w:spacing w:val="-5"/>
          <w:w w:val="110"/>
        </w:rPr>
        <w:t> </w:t>
      </w:r>
      <w:r>
        <w:rPr>
          <w:color w:val="231F20"/>
          <w:w w:val="110"/>
        </w:rPr>
        <w:t>todos</w:t>
      </w:r>
      <w:r>
        <w:rPr>
          <w:color w:val="231F20"/>
          <w:spacing w:val="-5"/>
          <w:w w:val="110"/>
        </w:rPr>
        <w:t> </w:t>
      </w:r>
      <w:r>
        <w:rPr>
          <w:color w:val="231F20"/>
          <w:w w:val="110"/>
        </w:rPr>
        <w:t>merecen</w:t>
      </w:r>
      <w:r>
        <w:rPr>
          <w:color w:val="231F20"/>
          <w:spacing w:val="-5"/>
          <w:w w:val="110"/>
        </w:rPr>
        <w:t> </w:t>
      </w:r>
      <w:r>
        <w:rPr>
          <w:color w:val="231F20"/>
          <w:w w:val="110"/>
        </w:rPr>
        <w:t>la</w:t>
      </w:r>
      <w:r>
        <w:rPr>
          <w:color w:val="231F20"/>
          <w:spacing w:val="-5"/>
          <w:w w:val="110"/>
        </w:rPr>
        <w:t> </w:t>
      </w:r>
      <w:r>
        <w:rPr>
          <w:color w:val="231F20"/>
          <w:w w:val="110"/>
        </w:rPr>
        <w:t>oportunidad</w:t>
      </w:r>
      <w:r>
        <w:rPr>
          <w:color w:val="231F20"/>
          <w:spacing w:val="-5"/>
          <w:w w:val="110"/>
        </w:rPr>
        <w:t> </w:t>
      </w:r>
      <w:r>
        <w:rPr>
          <w:color w:val="231F20"/>
          <w:w w:val="110"/>
        </w:rPr>
        <w:t>de</w:t>
      </w:r>
      <w:r>
        <w:rPr>
          <w:color w:val="231F20"/>
          <w:spacing w:val="-5"/>
          <w:w w:val="110"/>
        </w:rPr>
        <w:t> </w:t>
      </w:r>
      <w:r>
        <w:rPr>
          <w:color w:val="231F20"/>
          <w:w w:val="110"/>
        </w:rPr>
        <w:t>alcanzar</w:t>
      </w:r>
      <w:r>
        <w:rPr>
          <w:color w:val="231F20"/>
          <w:spacing w:val="-5"/>
          <w:w w:val="110"/>
        </w:rPr>
        <w:t> </w:t>
      </w:r>
      <w:r>
        <w:rPr>
          <w:color w:val="231F20"/>
          <w:w w:val="110"/>
        </w:rPr>
        <w:t>la</w:t>
      </w:r>
      <w:r>
        <w:rPr>
          <w:color w:val="231F20"/>
          <w:spacing w:val="-5"/>
          <w:w w:val="110"/>
        </w:rPr>
        <w:t> </w:t>
      </w:r>
      <w:r>
        <w:rPr>
          <w:color w:val="231F20"/>
          <w:w w:val="110"/>
        </w:rPr>
        <w:t>felicidad</w:t>
      </w:r>
      <w:r>
        <w:rPr>
          <w:color w:val="231F20"/>
          <w:spacing w:val="-5"/>
          <w:w w:val="110"/>
        </w:rPr>
        <w:t> </w:t>
      </w:r>
      <w:r>
        <w:rPr>
          <w:color w:val="231F20"/>
          <w:w w:val="110"/>
        </w:rPr>
        <w:t>plena” (Obama,</w:t>
      </w:r>
      <w:r>
        <w:rPr>
          <w:color w:val="231F20"/>
          <w:spacing w:val="-12"/>
          <w:w w:val="110"/>
        </w:rPr>
        <w:t> </w:t>
      </w:r>
      <w:r>
        <w:rPr>
          <w:color w:val="231F20"/>
          <w:w w:val="110"/>
        </w:rPr>
        <w:t>2009).</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certeza</w:t>
      </w:r>
      <w:r>
        <w:rPr>
          <w:color w:val="231F20"/>
          <w:spacing w:val="-12"/>
          <w:w w:val="110"/>
        </w:rPr>
        <w:t> </w:t>
      </w:r>
      <w:r>
        <w:rPr>
          <w:color w:val="231F20"/>
          <w:w w:val="110"/>
        </w:rPr>
        <w:t>de</w:t>
      </w:r>
      <w:r>
        <w:rPr>
          <w:color w:val="231F20"/>
          <w:spacing w:val="-12"/>
          <w:w w:val="110"/>
        </w:rPr>
        <w:t> </w:t>
      </w:r>
      <w:r>
        <w:rPr>
          <w:color w:val="231F20"/>
          <w:w w:val="110"/>
        </w:rPr>
        <w:t>ser</w:t>
      </w:r>
      <w:r>
        <w:rPr>
          <w:color w:val="231F20"/>
          <w:spacing w:val="-12"/>
          <w:w w:val="110"/>
        </w:rPr>
        <w:t> </w:t>
      </w:r>
      <w:r>
        <w:rPr>
          <w:color w:val="231F20"/>
          <w:w w:val="110"/>
        </w:rPr>
        <w:t>el</w:t>
      </w:r>
      <w:r>
        <w:rPr>
          <w:color w:val="231F20"/>
          <w:spacing w:val="-12"/>
          <w:w w:val="110"/>
        </w:rPr>
        <w:t> </w:t>
      </w:r>
      <w:r>
        <w:rPr>
          <w:color w:val="231F20"/>
          <w:w w:val="110"/>
        </w:rPr>
        <w:t>pueblo</w:t>
      </w:r>
      <w:r>
        <w:rPr>
          <w:color w:val="231F20"/>
          <w:spacing w:val="-12"/>
          <w:w w:val="110"/>
        </w:rPr>
        <w:t> </w:t>
      </w:r>
      <w:r>
        <w:rPr>
          <w:color w:val="231F20"/>
          <w:w w:val="110"/>
        </w:rPr>
        <w:t>señalado</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Provi- dencia para garantizar la libertad y la felicidad de todos se afirma</w:t>
      </w:r>
      <w:r>
        <w:rPr>
          <w:color w:val="231F20"/>
          <w:spacing w:val="-14"/>
          <w:w w:val="110"/>
        </w:rPr>
        <w:t> </w:t>
      </w:r>
      <w:r>
        <w:rPr>
          <w:color w:val="231F20"/>
          <w:w w:val="110"/>
        </w:rPr>
        <w:t>en el modo de vida americano: “No vamos a pedir perdón por nuestro estilo de vida, ni vamos a vacilar en su defensa, y para aquellos que pretenden lograr su fines mediante el fomento del terror y de las matanzas de inocentes, les decimos desde ahora que nuestro espíritu es más fuerte y no se lo puede romper; no podéis perdurar más que nosotros, y os venceremos” (Obama,</w:t>
      </w:r>
      <w:r>
        <w:rPr>
          <w:color w:val="231F20"/>
          <w:spacing w:val="-25"/>
          <w:w w:val="110"/>
        </w:rPr>
        <w:t> </w:t>
      </w:r>
      <w:r>
        <w:rPr>
          <w:color w:val="231F20"/>
          <w:w w:val="110"/>
        </w:rPr>
        <w:t>2009).</w:t>
      </w:r>
    </w:p>
    <w:p>
      <w:pPr>
        <w:pStyle w:val="BodyText"/>
        <w:spacing w:line="261" w:lineRule="auto"/>
        <w:ind w:left="100" w:right="112" w:firstLine="240"/>
        <w:jc w:val="both"/>
      </w:pPr>
      <w:r>
        <w:rPr>
          <w:color w:val="231F20"/>
          <w:w w:val="110"/>
        </w:rPr>
        <w:t>Esta</w:t>
      </w:r>
      <w:r>
        <w:rPr>
          <w:color w:val="231F20"/>
          <w:spacing w:val="-9"/>
          <w:w w:val="110"/>
        </w:rPr>
        <w:t> </w:t>
      </w:r>
      <w:r>
        <w:rPr>
          <w:color w:val="231F20"/>
          <w:w w:val="110"/>
        </w:rPr>
        <w:t>renovada</w:t>
      </w:r>
      <w:r>
        <w:rPr>
          <w:color w:val="231F20"/>
          <w:spacing w:val="-9"/>
          <w:w w:val="110"/>
        </w:rPr>
        <w:t> </w:t>
      </w:r>
      <w:r>
        <w:rPr>
          <w:color w:val="231F20"/>
          <w:w w:val="110"/>
        </w:rPr>
        <w:t>versión</w:t>
      </w:r>
      <w:r>
        <w:rPr>
          <w:color w:val="231F20"/>
          <w:spacing w:val="-9"/>
          <w:w w:val="110"/>
        </w:rPr>
        <w:t> </w:t>
      </w:r>
      <w:r>
        <w:rPr>
          <w:color w:val="231F20"/>
          <w:w w:val="110"/>
        </w:rPr>
        <w:t>del</w:t>
      </w:r>
      <w:r>
        <w:rPr>
          <w:color w:val="231F20"/>
          <w:spacing w:val="-9"/>
          <w:w w:val="110"/>
        </w:rPr>
        <w:t> </w:t>
      </w:r>
      <w:r>
        <w:rPr>
          <w:i/>
          <w:color w:val="231F20"/>
          <w:w w:val="110"/>
        </w:rPr>
        <w:t>destino</w:t>
      </w:r>
      <w:r>
        <w:rPr>
          <w:i/>
          <w:color w:val="231F20"/>
          <w:spacing w:val="-9"/>
          <w:w w:val="110"/>
        </w:rPr>
        <w:t> </w:t>
      </w:r>
      <w:r>
        <w:rPr>
          <w:i/>
          <w:color w:val="231F20"/>
          <w:w w:val="110"/>
        </w:rPr>
        <w:t>manifiesto,</w:t>
      </w:r>
      <w:r>
        <w:rPr>
          <w:i/>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albores</w:t>
      </w:r>
      <w:r>
        <w:rPr>
          <w:color w:val="231F20"/>
          <w:spacing w:val="-9"/>
          <w:w w:val="110"/>
        </w:rPr>
        <w:t> </w:t>
      </w:r>
      <w:r>
        <w:rPr>
          <w:color w:val="231F20"/>
          <w:w w:val="110"/>
        </w:rPr>
        <w:t>del</w:t>
      </w:r>
      <w:r>
        <w:rPr>
          <w:color w:val="231F20"/>
          <w:spacing w:val="-9"/>
          <w:w w:val="110"/>
        </w:rPr>
        <w:t> </w:t>
      </w:r>
      <w:r>
        <w:rPr>
          <w:color w:val="231F20"/>
          <w:w w:val="110"/>
        </w:rPr>
        <w:t>si- glo xxi, requiere para su materialización del poderío </w:t>
      </w:r>
      <w:r>
        <w:rPr>
          <w:color w:val="231F20"/>
          <w:spacing w:val="-3"/>
          <w:w w:val="110"/>
        </w:rPr>
        <w:t>militar, </w:t>
      </w:r>
      <w:r>
        <w:rPr>
          <w:color w:val="231F20"/>
          <w:w w:val="110"/>
        </w:rPr>
        <w:t>como quiera que no se trata de una confrontación solamente en el campo de los valores. Ante lo que podría considerarse el idealismo de esta política la administración Obama no se aparta del realismo. En su discurso sobre la seguridad y los valores, del 20 de mayo de 2009, deja claro que su gobierno ha apropiado los recursos necesarios</w:t>
      </w:r>
      <w:r>
        <w:rPr>
          <w:color w:val="231F20"/>
          <w:spacing w:val="-24"/>
          <w:w w:val="110"/>
        </w:rPr>
        <w:t> </w:t>
      </w:r>
      <w:r>
        <w:rPr>
          <w:color w:val="231F20"/>
          <w:w w:val="110"/>
        </w:rPr>
        <w:t>para el fortalecimiento y la dirección estratégica de las fuerzas militares  y de la inteligencia; ha avanzado en la construcción de acuerdos para controlar las armas nucleares y evitar que armas de destrucción masiva caigan en manos de terroristas, así como ha fortalecido la diplomacia (Obama,</w:t>
      </w:r>
      <w:r>
        <w:rPr>
          <w:color w:val="231F20"/>
          <w:spacing w:val="13"/>
          <w:w w:val="110"/>
        </w:rPr>
        <w:t> </w:t>
      </w:r>
      <w:r>
        <w:rPr>
          <w:color w:val="231F20"/>
          <w:w w:val="110"/>
        </w:rPr>
        <w:t>2009a).</w:t>
      </w:r>
    </w:p>
    <w:p>
      <w:pPr>
        <w:pStyle w:val="BodyText"/>
      </w:pPr>
    </w:p>
    <w:p>
      <w:pPr>
        <w:pStyle w:val="BodyText"/>
      </w:pPr>
    </w:p>
    <w:p>
      <w:pPr>
        <w:pStyle w:val="BodyText"/>
        <w:spacing w:before="2"/>
        <w:rPr>
          <w:sz w:val="25"/>
        </w:rPr>
      </w:pPr>
    </w:p>
    <w:p>
      <w:pPr>
        <w:pStyle w:val="BodyText"/>
        <w:ind w:left="100"/>
        <w:jc w:val="both"/>
      </w:pPr>
      <w:r>
        <w:rPr>
          <w:color w:val="231F20"/>
          <w:w w:val="125"/>
        </w:rPr>
        <w:t>rupturas, cambios y continuidades</w:t>
      </w:r>
    </w:p>
    <w:p>
      <w:pPr>
        <w:pStyle w:val="BodyText"/>
        <w:spacing w:before="5"/>
        <w:rPr>
          <w:sz w:val="23"/>
        </w:rPr>
      </w:pPr>
    </w:p>
    <w:p>
      <w:pPr>
        <w:pStyle w:val="BodyText"/>
        <w:spacing w:line="261" w:lineRule="auto"/>
        <w:ind w:left="100" w:right="117"/>
        <w:jc w:val="both"/>
      </w:pPr>
      <w:r>
        <w:rPr>
          <w:color w:val="231F20"/>
          <w:w w:val="110"/>
        </w:rPr>
        <w:t>Estados Unidos emergió de la segunda guerra mundial como la potencia hegemónica en lo económico, político, militar y cultural y ejerció</w:t>
      </w:r>
      <w:r>
        <w:rPr>
          <w:color w:val="231F20"/>
          <w:spacing w:val="-8"/>
          <w:w w:val="110"/>
        </w:rPr>
        <w:t> </w:t>
      </w:r>
      <w:r>
        <w:rPr>
          <w:color w:val="231F20"/>
          <w:w w:val="110"/>
        </w:rPr>
        <w:t>su</w:t>
      </w:r>
      <w:r>
        <w:rPr>
          <w:color w:val="231F20"/>
          <w:spacing w:val="-8"/>
          <w:w w:val="110"/>
        </w:rPr>
        <w:t> </w:t>
      </w:r>
      <w:r>
        <w:rPr>
          <w:color w:val="231F20"/>
          <w:w w:val="110"/>
        </w:rPr>
        <w:t>hegemonía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marco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contención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amenaza</w:t>
      </w:r>
      <w:r>
        <w:rPr>
          <w:color w:val="231F20"/>
          <w:spacing w:val="-8"/>
          <w:w w:val="110"/>
        </w:rPr>
        <w:t> </w:t>
      </w:r>
      <w:r>
        <w:rPr>
          <w:color w:val="231F20"/>
          <w:w w:val="110"/>
        </w:rPr>
        <w:t>co- munista</w:t>
      </w:r>
      <w:r>
        <w:rPr>
          <w:color w:val="231F20"/>
          <w:spacing w:val="-10"/>
          <w:w w:val="110"/>
        </w:rPr>
        <w:t> </w:t>
      </w:r>
      <w:r>
        <w:rPr>
          <w:color w:val="231F20"/>
          <w:w w:val="110"/>
        </w:rPr>
        <w:t>representada</w:t>
      </w:r>
      <w:r>
        <w:rPr>
          <w:color w:val="231F20"/>
          <w:spacing w:val="-10"/>
          <w:w w:val="110"/>
        </w:rPr>
        <w:t> </w:t>
      </w:r>
      <w:r>
        <w:rPr>
          <w:color w:val="231F20"/>
          <w:w w:val="110"/>
        </w:rPr>
        <w:t>por</w:t>
      </w:r>
      <w:r>
        <w:rPr>
          <w:color w:val="231F20"/>
          <w:spacing w:val="-10"/>
          <w:w w:val="110"/>
        </w:rPr>
        <w:t> </w:t>
      </w:r>
      <w:r>
        <w:rPr>
          <w:color w:val="231F20"/>
          <w:w w:val="110"/>
        </w:rPr>
        <w:t>el</w:t>
      </w:r>
      <w:r>
        <w:rPr>
          <w:color w:val="231F20"/>
          <w:spacing w:val="-10"/>
          <w:w w:val="110"/>
        </w:rPr>
        <w:t> </w:t>
      </w:r>
      <w:r>
        <w:rPr>
          <w:color w:val="231F20"/>
          <w:w w:val="110"/>
        </w:rPr>
        <w:t>llamado</w:t>
      </w:r>
      <w:r>
        <w:rPr>
          <w:color w:val="231F20"/>
          <w:spacing w:val="-10"/>
          <w:w w:val="110"/>
        </w:rPr>
        <w:t> </w:t>
      </w:r>
      <w:r>
        <w:rPr>
          <w:color w:val="231F20"/>
          <w:w w:val="110"/>
        </w:rPr>
        <w:t>campo</w:t>
      </w:r>
      <w:r>
        <w:rPr>
          <w:color w:val="231F20"/>
          <w:spacing w:val="-10"/>
          <w:w w:val="110"/>
        </w:rPr>
        <w:t> </w:t>
      </w:r>
      <w:r>
        <w:rPr>
          <w:color w:val="231F20"/>
          <w:w w:val="110"/>
        </w:rPr>
        <w:t>socialista.</w:t>
      </w:r>
      <w:r>
        <w:rPr>
          <w:color w:val="231F20"/>
          <w:spacing w:val="-10"/>
          <w:w w:val="110"/>
        </w:rPr>
        <w:t> </w:t>
      </w:r>
      <w:r>
        <w:rPr>
          <w:color w:val="231F20"/>
          <w:w w:val="110"/>
        </w:rPr>
        <w:t>El</w:t>
      </w:r>
      <w:r>
        <w:rPr>
          <w:color w:val="231F20"/>
          <w:spacing w:val="-10"/>
          <w:w w:val="110"/>
        </w:rPr>
        <w:t> </w:t>
      </w:r>
      <w:r>
        <w:rPr>
          <w:color w:val="231F20"/>
          <w:w w:val="110"/>
        </w:rPr>
        <w:t>orden</w:t>
      </w:r>
      <w:r>
        <w:rPr>
          <w:color w:val="231F20"/>
          <w:spacing w:val="-10"/>
          <w:w w:val="110"/>
        </w:rPr>
        <w:t> </w:t>
      </w:r>
      <w:r>
        <w:rPr>
          <w:color w:val="231F20"/>
          <w:w w:val="110"/>
        </w:rPr>
        <w:t>bipo-</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i/>
        </w:rPr>
      </w:pPr>
      <w:r>
        <w:rPr>
          <w:color w:val="231F20"/>
          <w:w w:val="105"/>
        </w:rPr>
        <w:t>lar de la guerra fría gozó de cierta estabilidad y previsibilidad derivada del relativo equilibrio entre las dos superpotencias. A partir del fin     de la guerra fría y de la situación de inestabilidad y fluidez que carac- terizó la nueva situación mundial, la administración de Bush padre, modificó la política de </w:t>
      </w:r>
      <w:r>
        <w:rPr>
          <w:i/>
          <w:color w:val="231F20"/>
          <w:w w:val="105"/>
        </w:rPr>
        <w:t>contención </w:t>
      </w:r>
      <w:r>
        <w:rPr>
          <w:color w:val="231F20"/>
          <w:w w:val="105"/>
        </w:rPr>
        <w:t>por la de </w:t>
      </w:r>
      <w:r>
        <w:rPr>
          <w:i/>
          <w:color w:val="231F20"/>
          <w:w w:val="105"/>
        </w:rPr>
        <w:t>primacía</w:t>
      </w:r>
      <w:r>
        <w:rPr>
          <w:color w:val="231F20"/>
          <w:w w:val="105"/>
        </w:rPr>
        <w:t>, que durante la administración de Clinton devendría en </w:t>
      </w:r>
      <w:r>
        <w:rPr>
          <w:i/>
          <w:color w:val="231F20"/>
          <w:w w:val="105"/>
        </w:rPr>
        <w:t>primacía selectiva</w:t>
      </w:r>
      <w:r>
        <w:rPr>
          <w:color w:val="231F20"/>
          <w:w w:val="105"/>
        </w:rPr>
        <w:t>, orientada a la defensa y promoción de la democracia y el libre mercado y a evitar el ascenso de potencias regionales o globales que disputaran la hege- monía estadunidense, así como responder a la incertidumbre de los riesgos y amenazas a la seguridad. Para entonces, ante la desaparición del llamado campo socialista, la primera amenaza contra la seguridad nacional la representaba el narcotráfico. A raíz de los ataques del 11   de septiembre de 2001, el terrorismo fue considerado como la mayor amenaza y la política exterior y de seguridad y defensa se estructu- raron en torno a  la  guerra  global  contra  el  terrorismo,  la  defensa  de los intereses de Estados Unidos y a evitar el ascenso de potencias regionales o globales que modifiquen el orden internacional (García, 2009). Estos cambios en las  políticas  se producen en  el  contexto de la decadencia de la hegemonía estadunidense como resultado de la declinación de su poder económico y del ascenso de nuevas potencias económicas: Japón y Europa occidental (Wallerstein, 2005: 10). Los ataques del 11 de septiembre crearon las condiciones para consolidar  la influencia neoconservadora en las políticas exterior y de defensa y seguridad,</w:t>
      </w:r>
      <w:r>
        <w:rPr>
          <w:color w:val="231F20"/>
          <w:spacing w:val="-22"/>
          <w:w w:val="105"/>
        </w:rPr>
        <w:t> </w:t>
      </w:r>
      <w:r>
        <w:rPr>
          <w:color w:val="231F20"/>
          <w:w w:val="105"/>
        </w:rPr>
        <w:t>contenidas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i/>
          <w:color w:val="231F20"/>
          <w:w w:val="105"/>
        </w:rPr>
        <w:t>Proyecto</w:t>
      </w:r>
      <w:r>
        <w:rPr>
          <w:i/>
          <w:color w:val="231F20"/>
          <w:spacing w:val="-22"/>
          <w:w w:val="105"/>
        </w:rPr>
        <w:t> </w:t>
      </w:r>
      <w:r>
        <w:rPr>
          <w:i/>
          <w:color w:val="231F20"/>
          <w:w w:val="105"/>
        </w:rPr>
        <w:t>para</w:t>
      </w:r>
      <w:r>
        <w:rPr>
          <w:i/>
          <w:color w:val="231F20"/>
          <w:spacing w:val="-22"/>
          <w:w w:val="105"/>
        </w:rPr>
        <w:t> </w:t>
      </w:r>
      <w:r>
        <w:rPr>
          <w:i/>
          <w:color w:val="231F20"/>
          <w:w w:val="105"/>
        </w:rPr>
        <w:t>el</w:t>
      </w:r>
      <w:r>
        <w:rPr>
          <w:i/>
          <w:color w:val="231F20"/>
          <w:spacing w:val="-22"/>
          <w:w w:val="105"/>
        </w:rPr>
        <w:t> </w:t>
      </w:r>
      <w:r>
        <w:rPr>
          <w:i/>
          <w:color w:val="231F20"/>
          <w:w w:val="105"/>
        </w:rPr>
        <w:t>nuevo</w:t>
      </w:r>
      <w:r>
        <w:rPr>
          <w:i/>
          <w:color w:val="231F20"/>
          <w:spacing w:val="-22"/>
          <w:w w:val="105"/>
        </w:rPr>
        <w:t> </w:t>
      </w:r>
      <w:r>
        <w:rPr>
          <w:i/>
          <w:color w:val="231F20"/>
          <w:w w:val="105"/>
        </w:rPr>
        <w:t>siglo</w:t>
      </w:r>
      <w:r>
        <w:rPr>
          <w:i/>
          <w:color w:val="231F20"/>
          <w:spacing w:val="-22"/>
          <w:w w:val="105"/>
        </w:rPr>
        <w:t> </w:t>
      </w:r>
      <w:r>
        <w:rPr>
          <w:i/>
          <w:color w:val="231F20"/>
          <w:w w:val="105"/>
        </w:rPr>
        <w:t>Americano</w:t>
      </w:r>
      <w:r>
        <w:rPr>
          <w:i/>
          <w:color w:val="231F20"/>
          <w:spacing w:val="-22"/>
          <w:w w:val="105"/>
        </w:rPr>
        <w:t> </w:t>
      </w:r>
      <w:r>
        <w:rPr>
          <w:color w:val="231F20"/>
          <w:w w:val="105"/>
        </w:rPr>
        <w:t>(Pro- ject for the New American Century), sistematizadas en el documento Rebuildings America’s Defenses. Strategy, Forces and Resources for   a New Century, de septiembre de 2000 y materializadas en la </w:t>
      </w:r>
      <w:r>
        <w:rPr>
          <w:i/>
          <w:color w:val="231F20"/>
          <w:w w:val="105"/>
        </w:rPr>
        <w:t>Estrate- </w:t>
      </w:r>
      <w:r>
        <w:rPr>
          <w:i/>
          <w:color w:val="231F20"/>
          <w:w w:val="105"/>
        </w:rPr>
        <w:t>gia</w:t>
      </w:r>
      <w:r>
        <w:rPr>
          <w:i/>
          <w:color w:val="231F20"/>
          <w:spacing w:val="-13"/>
          <w:w w:val="105"/>
        </w:rPr>
        <w:t> </w:t>
      </w:r>
      <w:r>
        <w:rPr>
          <w:i/>
          <w:color w:val="231F20"/>
          <w:w w:val="105"/>
        </w:rPr>
        <w:t>de</w:t>
      </w:r>
      <w:r>
        <w:rPr>
          <w:i/>
          <w:color w:val="231F20"/>
          <w:spacing w:val="-13"/>
          <w:w w:val="105"/>
        </w:rPr>
        <w:t> </w:t>
      </w:r>
      <w:r>
        <w:rPr>
          <w:i/>
          <w:color w:val="231F20"/>
          <w:w w:val="105"/>
        </w:rPr>
        <w:t>Seguridad</w:t>
      </w:r>
      <w:r>
        <w:rPr>
          <w:i/>
          <w:color w:val="231F20"/>
          <w:spacing w:val="-13"/>
          <w:w w:val="105"/>
        </w:rPr>
        <w:t> </w:t>
      </w:r>
      <w:r>
        <w:rPr>
          <w:i/>
          <w:color w:val="231F20"/>
          <w:w w:val="105"/>
        </w:rPr>
        <w:t>Nacional</w:t>
      </w:r>
      <w:r>
        <w:rPr>
          <w:i/>
          <w:color w:val="231F20"/>
          <w:spacing w:val="-13"/>
          <w:w w:val="105"/>
        </w:rPr>
        <w:t> </w:t>
      </w:r>
      <w:r>
        <w:rPr>
          <w:i/>
          <w:color w:val="231F20"/>
          <w:w w:val="105"/>
        </w:rPr>
        <w:t>2002</w:t>
      </w:r>
      <w:r>
        <w:rPr>
          <w:i/>
          <w:color w:val="231F20"/>
          <w:spacing w:val="-13"/>
          <w:w w:val="105"/>
        </w:rPr>
        <w:t> </w:t>
      </w:r>
      <w:r>
        <w:rPr>
          <w:color w:val="231F20"/>
          <w:w w:val="105"/>
        </w:rPr>
        <w:t>(</w:t>
      </w:r>
      <w:r>
        <w:rPr>
          <w:i/>
          <w:color w:val="231F20"/>
          <w:w w:val="105"/>
        </w:rPr>
        <w:t>National</w:t>
      </w:r>
      <w:r>
        <w:rPr>
          <w:i/>
          <w:color w:val="231F20"/>
          <w:spacing w:val="-13"/>
          <w:w w:val="105"/>
        </w:rPr>
        <w:t> </w:t>
      </w:r>
      <w:r>
        <w:rPr>
          <w:i/>
          <w:color w:val="231F20"/>
          <w:w w:val="105"/>
        </w:rPr>
        <w:t>Security</w:t>
      </w:r>
      <w:r>
        <w:rPr>
          <w:i/>
          <w:color w:val="231F20"/>
          <w:spacing w:val="-13"/>
          <w:w w:val="105"/>
        </w:rPr>
        <w:t> </w:t>
      </w:r>
      <w:r>
        <w:rPr>
          <w:i/>
          <w:color w:val="231F20"/>
          <w:w w:val="105"/>
        </w:rPr>
        <w:t>Strategy</w:t>
      </w:r>
      <w:r>
        <w:rPr>
          <w:i/>
          <w:color w:val="231F20"/>
          <w:spacing w:val="-13"/>
          <w:w w:val="105"/>
        </w:rPr>
        <w:t> </w:t>
      </w:r>
      <w:r>
        <w:rPr>
          <w:i/>
          <w:color w:val="231F20"/>
          <w:w w:val="105"/>
        </w:rPr>
        <w:t>2002</w:t>
      </w:r>
      <w:r>
        <w:rPr>
          <w:color w:val="231F20"/>
          <w:w w:val="105"/>
        </w:rPr>
        <w:t>),</w:t>
      </w:r>
      <w:r>
        <w:rPr>
          <w:color w:val="231F20"/>
          <w:spacing w:val="-13"/>
          <w:w w:val="105"/>
        </w:rPr>
        <w:t> </w:t>
      </w:r>
      <w:r>
        <w:rPr>
          <w:color w:val="231F20"/>
          <w:w w:val="105"/>
        </w:rPr>
        <w:t>en</w:t>
      </w:r>
      <w:r>
        <w:rPr>
          <w:color w:val="231F20"/>
          <w:spacing w:val="-13"/>
          <w:w w:val="105"/>
        </w:rPr>
        <w:t> </w:t>
      </w:r>
      <w:r>
        <w:rPr>
          <w:color w:val="231F20"/>
          <w:w w:val="105"/>
        </w:rPr>
        <w:t>la</w:t>
      </w:r>
      <w:r>
        <w:rPr>
          <w:color w:val="231F20"/>
          <w:w w:val="105"/>
        </w:rPr>
        <w:t> </w:t>
      </w:r>
      <w:r>
        <w:rPr>
          <w:color w:val="231F20"/>
          <w:w w:val="105"/>
        </w:rPr>
        <w:t>que se formalizó su política de guerra contra el terrorismo a escala global, consagró la guerra preventiva, se sentaron las bases para las violaciones de los derechos humanos y el desconocimiento del estado de derecho y se institucionalizó un arrogante unilateralismo en  la  lucha contra el terrorismo. Para los neoconservadores la decadencia   de la hegemonía estadunidense no era resultado de condiciones estructurales sino de políticas equivocadas que debilitaron tanto su economía como su liderazgo político. Ignoraron fenómenos como los de la guerra de Vietnam, las revoluciones sociales de los años sesenta  y la recomposición de la economía a partir de los setenta. Desde su vi- sión militarista creyeron poder revertir esta decadencia </w:t>
      </w:r>
      <w:r>
        <w:rPr>
          <w:i/>
          <w:color w:val="231F20"/>
          <w:w w:val="105"/>
        </w:rPr>
        <w:t>manu   </w:t>
      </w:r>
      <w:r>
        <w:rPr>
          <w:i/>
          <w:color w:val="231F20"/>
          <w:spacing w:val="34"/>
          <w:w w:val="105"/>
        </w:rPr>
        <w:t> </w:t>
      </w:r>
      <w:r>
        <w:rPr>
          <w:i/>
          <w:color w:val="231F20"/>
          <w:w w:val="105"/>
        </w:rPr>
        <w:t>militari</w:t>
      </w:r>
    </w:p>
    <w:p>
      <w:pPr>
        <w:spacing w:after="0" w:line="261" w:lineRule="auto"/>
        <w:jc w:val="both"/>
        <w:sectPr>
          <w:pgSz w:w="7640" w:h="11900"/>
          <w:pgMar w:header="672" w:footer="0" w:top="860" w:bottom="280" w:left="660" w:right="760"/>
        </w:sectPr>
      </w:pPr>
    </w:p>
    <w:p>
      <w:pPr>
        <w:pStyle w:val="BodyText"/>
        <w:spacing w:before="8"/>
        <w:rPr>
          <w:i/>
          <w:sz w:val="8"/>
        </w:rPr>
      </w:pPr>
    </w:p>
    <w:p>
      <w:pPr>
        <w:pStyle w:val="BodyText"/>
        <w:spacing w:line="261" w:lineRule="auto" w:before="67"/>
        <w:ind w:left="100" w:right="117"/>
        <w:jc w:val="both"/>
      </w:pPr>
      <w:r>
        <w:rPr>
          <w:color w:val="231F20"/>
          <w:w w:val="110"/>
        </w:rPr>
        <w:t>aprovechando el poderío militar en una solitaria estrategia de poder imperial. Por ese camino condujeron al gobierno a la práctica del unilateralismo,</w:t>
      </w:r>
      <w:r>
        <w:rPr>
          <w:color w:val="231F20"/>
          <w:spacing w:val="-6"/>
          <w:w w:val="110"/>
        </w:rPr>
        <w:t> </w:t>
      </w:r>
      <w:r>
        <w:rPr>
          <w:color w:val="231F20"/>
          <w:w w:val="110"/>
        </w:rPr>
        <w:t>se</w:t>
      </w:r>
      <w:r>
        <w:rPr>
          <w:color w:val="231F20"/>
          <w:spacing w:val="-6"/>
          <w:w w:val="110"/>
        </w:rPr>
        <w:t> </w:t>
      </w:r>
      <w:r>
        <w:rPr>
          <w:color w:val="231F20"/>
          <w:w w:val="110"/>
        </w:rPr>
        <w:t>distanciaron</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aliados</w:t>
      </w:r>
      <w:r>
        <w:rPr>
          <w:color w:val="231F20"/>
          <w:spacing w:val="-6"/>
          <w:w w:val="110"/>
        </w:rPr>
        <w:t> </w:t>
      </w:r>
      <w:r>
        <w:rPr>
          <w:color w:val="231F20"/>
          <w:w w:val="110"/>
        </w:rPr>
        <w:t>tradicionales</w:t>
      </w:r>
      <w:r>
        <w:rPr>
          <w:color w:val="231F20"/>
          <w:spacing w:val="-6"/>
          <w:w w:val="110"/>
        </w:rPr>
        <w:t> </w:t>
      </w:r>
      <w:r>
        <w:rPr>
          <w:color w:val="231F20"/>
          <w:w w:val="110"/>
        </w:rPr>
        <w:t>y</w:t>
      </w:r>
      <w:r>
        <w:rPr>
          <w:color w:val="231F20"/>
          <w:spacing w:val="-6"/>
          <w:w w:val="110"/>
        </w:rPr>
        <w:t> </w:t>
      </w:r>
      <w:r>
        <w:rPr>
          <w:color w:val="231F20"/>
          <w:w w:val="110"/>
        </w:rPr>
        <w:t>pasaron por encima de la institucionalidad internacional. Contrario a lo que esperaban los neoconservadores, la aplicación de estas políticas</w:t>
      </w:r>
      <w:r>
        <w:rPr>
          <w:color w:val="231F20"/>
          <w:spacing w:val="-23"/>
          <w:w w:val="110"/>
        </w:rPr>
        <w:t> </w:t>
      </w:r>
      <w:r>
        <w:rPr>
          <w:color w:val="231F20"/>
          <w:w w:val="110"/>
        </w:rPr>
        <w:t>ace- leró</w:t>
      </w:r>
      <w:r>
        <w:rPr>
          <w:color w:val="231F20"/>
          <w:spacing w:val="-11"/>
          <w:w w:val="110"/>
        </w:rPr>
        <w:t> </w:t>
      </w:r>
      <w:r>
        <w:rPr>
          <w:color w:val="231F20"/>
          <w:w w:val="110"/>
        </w:rPr>
        <w:t>la</w:t>
      </w:r>
      <w:r>
        <w:rPr>
          <w:color w:val="231F20"/>
          <w:spacing w:val="-11"/>
          <w:w w:val="110"/>
        </w:rPr>
        <w:t> </w:t>
      </w:r>
      <w:r>
        <w:rPr>
          <w:color w:val="231F20"/>
          <w:w w:val="110"/>
        </w:rPr>
        <w:t>decadencia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hegemonía,</w:t>
      </w:r>
      <w:r>
        <w:rPr>
          <w:color w:val="231F20"/>
          <w:spacing w:val="-11"/>
          <w:w w:val="110"/>
        </w:rPr>
        <w:t> </w:t>
      </w:r>
      <w:r>
        <w:rPr>
          <w:color w:val="231F20"/>
          <w:w w:val="110"/>
        </w:rPr>
        <w:t>llevó</w:t>
      </w:r>
      <w:r>
        <w:rPr>
          <w:color w:val="231F20"/>
          <w:spacing w:val="-11"/>
          <w:w w:val="110"/>
        </w:rPr>
        <w:t> </w:t>
      </w:r>
      <w:r>
        <w:rPr>
          <w:color w:val="231F20"/>
          <w:w w:val="110"/>
        </w:rPr>
        <w:t>al</w:t>
      </w:r>
      <w:r>
        <w:rPr>
          <w:color w:val="231F20"/>
          <w:spacing w:val="-11"/>
          <w:w w:val="110"/>
        </w:rPr>
        <w:t> </w:t>
      </w:r>
      <w:r>
        <w:rPr>
          <w:color w:val="231F20"/>
          <w:w w:val="110"/>
        </w:rPr>
        <w:t>extremo</w:t>
      </w:r>
      <w:r>
        <w:rPr>
          <w:color w:val="231F20"/>
          <w:spacing w:val="-11"/>
          <w:w w:val="110"/>
        </w:rPr>
        <w:t> </w:t>
      </w:r>
      <w:r>
        <w:rPr>
          <w:color w:val="231F20"/>
          <w:w w:val="110"/>
        </w:rPr>
        <w:t>los</w:t>
      </w:r>
      <w:r>
        <w:rPr>
          <w:color w:val="231F20"/>
          <w:spacing w:val="-11"/>
          <w:w w:val="110"/>
        </w:rPr>
        <w:t> </w:t>
      </w:r>
      <w:r>
        <w:rPr>
          <w:color w:val="231F20"/>
          <w:w w:val="110"/>
        </w:rPr>
        <w:t>sentimientos antiestadunidenses por su comportamiento arbitrario y arrogante y erosionó aún más el liderazgo</w:t>
      </w:r>
      <w:r>
        <w:rPr>
          <w:color w:val="231F20"/>
          <w:spacing w:val="31"/>
          <w:w w:val="110"/>
        </w:rPr>
        <w:t> </w:t>
      </w:r>
      <w:r>
        <w:rPr>
          <w:color w:val="231F20"/>
          <w:w w:val="110"/>
        </w:rPr>
        <w:t>político.</w:t>
      </w:r>
    </w:p>
    <w:p>
      <w:pPr>
        <w:pStyle w:val="BodyText"/>
        <w:spacing w:line="261" w:lineRule="auto"/>
        <w:ind w:left="100" w:right="115" w:firstLine="240"/>
        <w:jc w:val="both"/>
      </w:pPr>
      <w:r>
        <w:rPr>
          <w:color w:val="231F20"/>
          <w:w w:val="110"/>
        </w:rPr>
        <w:t>La estrategia de seguridad nacional de Estados Unidos de sep- tiembre de 2002, sostiene que disponen “en el mundo de poder        e influencia sin precedentes y sin igual para enfrentar la amenaza terrorista que proviene no tanto de estados conquistadores como de estados fallidos […] Nos amenazan menos las flotas y los ejércitos que las tecnologías catastróficas en manos de unos pocos amarga- dos”, y plantea que en la guerra contra el terrorismo se basarán    “en un internacionalismo inconfundiblemente</w:t>
      </w:r>
      <w:r>
        <w:rPr>
          <w:color w:val="231F20"/>
          <w:spacing w:val="32"/>
          <w:w w:val="110"/>
        </w:rPr>
        <w:t> </w:t>
      </w:r>
      <w:r>
        <w:rPr>
          <w:color w:val="231F20"/>
          <w:w w:val="110"/>
        </w:rPr>
        <w:t>estadunidense</w:t>
      </w:r>
      <w:r>
        <w:rPr>
          <w:color w:val="231F20"/>
          <w:spacing w:val="8"/>
          <w:w w:val="110"/>
        </w:rPr>
        <w:t> </w:t>
      </w:r>
      <w:r>
        <w:rPr>
          <w:color w:val="231F20"/>
          <w:w w:val="110"/>
        </w:rPr>
        <w:t>que</w:t>
      </w:r>
      <w:r>
        <w:rPr>
          <w:color w:val="231F20"/>
          <w:spacing w:val="1"/>
          <w:w w:val="113"/>
        </w:rPr>
        <w:t> </w:t>
      </w:r>
      <w:r>
        <w:rPr>
          <w:color w:val="231F20"/>
          <w:w w:val="110"/>
        </w:rPr>
        <w:t>refleje la unión de nuestros valores y nuestros intereses nacionales”. Será una guerra permanente, de carácter global, librada en muchos frentes, para defender a los estadunidenses y sus intereses tanto en su país como en cualquier parte del mundo. “Si bien Estados</w:t>
      </w:r>
      <w:r>
        <w:rPr>
          <w:color w:val="231F20"/>
          <w:spacing w:val="-29"/>
          <w:w w:val="110"/>
        </w:rPr>
        <w:t> </w:t>
      </w:r>
      <w:r>
        <w:rPr>
          <w:color w:val="231F20"/>
          <w:w w:val="110"/>
        </w:rPr>
        <w:t>Unidos tratará constantemente de obtener el apoyo de la comunidad inter- nacional,</w:t>
      </w:r>
      <w:r>
        <w:rPr>
          <w:color w:val="231F20"/>
          <w:spacing w:val="-30"/>
          <w:w w:val="110"/>
        </w:rPr>
        <w:t> </w:t>
      </w:r>
      <w:r>
        <w:rPr>
          <w:i/>
          <w:color w:val="231F20"/>
          <w:w w:val="110"/>
        </w:rPr>
        <w:t>no</w:t>
      </w:r>
      <w:r>
        <w:rPr>
          <w:i/>
          <w:color w:val="231F20"/>
          <w:spacing w:val="-30"/>
          <w:w w:val="110"/>
        </w:rPr>
        <w:t> </w:t>
      </w:r>
      <w:r>
        <w:rPr>
          <w:i/>
          <w:color w:val="231F20"/>
          <w:w w:val="110"/>
        </w:rPr>
        <w:t>dudaremos</w:t>
      </w:r>
      <w:r>
        <w:rPr>
          <w:i/>
          <w:color w:val="231F20"/>
          <w:spacing w:val="-30"/>
          <w:w w:val="110"/>
        </w:rPr>
        <w:t> </w:t>
      </w:r>
      <w:r>
        <w:rPr>
          <w:i/>
          <w:color w:val="231F20"/>
          <w:w w:val="110"/>
        </w:rPr>
        <w:t>en</w:t>
      </w:r>
      <w:r>
        <w:rPr>
          <w:i/>
          <w:color w:val="231F20"/>
          <w:spacing w:val="-30"/>
          <w:w w:val="110"/>
        </w:rPr>
        <w:t> </w:t>
      </w:r>
      <w:r>
        <w:rPr>
          <w:i/>
          <w:color w:val="231F20"/>
          <w:w w:val="110"/>
        </w:rPr>
        <w:t>actuar</w:t>
      </w:r>
      <w:r>
        <w:rPr>
          <w:i/>
          <w:color w:val="231F20"/>
          <w:spacing w:val="-30"/>
          <w:w w:val="110"/>
        </w:rPr>
        <w:t> </w:t>
      </w:r>
      <w:r>
        <w:rPr>
          <w:i/>
          <w:color w:val="231F20"/>
          <w:w w:val="110"/>
        </w:rPr>
        <w:t>solos</w:t>
      </w:r>
      <w:r>
        <w:rPr>
          <w:color w:val="231F20"/>
          <w:w w:val="110"/>
        </w:rPr>
        <w:t>,</w:t>
      </w:r>
      <w:r>
        <w:rPr>
          <w:color w:val="231F20"/>
          <w:spacing w:val="-30"/>
          <w:w w:val="110"/>
        </w:rPr>
        <w:t> </w:t>
      </w:r>
      <w:r>
        <w:rPr>
          <w:color w:val="231F20"/>
          <w:w w:val="110"/>
        </w:rPr>
        <w:t>en</w:t>
      </w:r>
      <w:r>
        <w:rPr>
          <w:color w:val="231F20"/>
          <w:spacing w:val="-30"/>
          <w:w w:val="110"/>
        </w:rPr>
        <w:t> </w:t>
      </w:r>
      <w:r>
        <w:rPr>
          <w:color w:val="231F20"/>
          <w:w w:val="110"/>
        </w:rPr>
        <w:t>caso</w:t>
      </w:r>
      <w:r>
        <w:rPr>
          <w:color w:val="231F20"/>
          <w:spacing w:val="-30"/>
          <w:w w:val="110"/>
        </w:rPr>
        <w:t> </w:t>
      </w:r>
      <w:r>
        <w:rPr>
          <w:color w:val="231F20"/>
          <w:w w:val="110"/>
        </w:rPr>
        <w:t>necesario,</w:t>
      </w:r>
      <w:r>
        <w:rPr>
          <w:color w:val="231F20"/>
          <w:spacing w:val="-30"/>
          <w:w w:val="110"/>
        </w:rPr>
        <w:t> </w:t>
      </w:r>
      <w:r>
        <w:rPr>
          <w:color w:val="231F20"/>
          <w:w w:val="110"/>
        </w:rPr>
        <w:t>para</w:t>
      </w:r>
      <w:r>
        <w:rPr>
          <w:color w:val="231F20"/>
          <w:spacing w:val="-30"/>
          <w:w w:val="110"/>
        </w:rPr>
        <w:t> </w:t>
      </w:r>
      <w:r>
        <w:rPr>
          <w:color w:val="231F20"/>
          <w:w w:val="110"/>
        </w:rPr>
        <w:t>ejercer nuestro</w:t>
      </w:r>
      <w:r>
        <w:rPr>
          <w:color w:val="231F20"/>
          <w:spacing w:val="-21"/>
          <w:w w:val="110"/>
        </w:rPr>
        <w:t> </w:t>
      </w:r>
      <w:r>
        <w:rPr>
          <w:color w:val="231F20"/>
          <w:w w:val="110"/>
        </w:rPr>
        <w:t>legítimo</w:t>
      </w:r>
      <w:r>
        <w:rPr>
          <w:color w:val="231F20"/>
          <w:spacing w:val="-21"/>
          <w:w w:val="110"/>
        </w:rPr>
        <w:t> </w:t>
      </w:r>
      <w:r>
        <w:rPr>
          <w:color w:val="231F20"/>
          <w:w w:val="110"/>
        </w:rPr>
        <w:t>derecho</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defensa</w:t>
      </w:r>
      <w:r>
        <w:rPr>
          <w:color w:val="231F20"/>
          <w:spacing w:val="-21"/>
          <w:w w:val="110"/>
        </w:rPr>
        <w:t> </w:t>
      </w:r>
      <w:r>
        <w:rPr>
          <w:color w:val="231F20"/>
          <w:w w:val="110"/>
        </w:rPr>
        <w:t>propia,</w:t>
      </w:r>
      <w:r>
        <w:rPr>
          <w:color w:val="231F20"/>
          <w:spacing w:val="-21"/>
          <w:w w:val="110"/>
        </w:rPr>
        <w:t> </w:t>
      </w:r>
      <w:r>
        <w:rPr>
          <w:i/>
          <w:color w:val="231F20"/>
          <w:w w:val="110"/>
        </w:rPr>
        <w:t>con</w:t>
      </w:r>
      <w:r>
        <w:rPr>
          <w:i/>
          <w:color w:val="231F20"/>
          <w:spacing w:val="-21"/>
          <w:w w:val="110"/>
        </w:rPr>
        <w:t> </w:t>
      </w:r>
      <w:r>
        <w:rPr>
          <w:i/>
          <w:color w:val="231F20"/>
          <w:w w:val="110"/>
        </w:rPr>
        <w:t>medidas</w:t>
      </w:r>
      <w:r>
        <w:rPr>
          <w:i/>
          <w:color w:val="231F20"/>
          <w:spacing w:val="-21"/>
          <w:w w:val="110"/>
        </w:rPr>
        <w:t> </w:t>
      </w:r>
      <w:r>
        <w:rPr>
          <w:i/>
          <w:color w:val="231F20"/>
          <w:w w:val="110"/>
        </w:rPr>
        <w:t>preventivas </w:t>
      </w:r>
      <w:r>
        <w:rPr>
          <w:color w:val="231F20"/>
          <w:w w:val="110"/>
        </w:rPr>
        <w:t>contra esos terroristas” (las cursivas son nuestras). Al presentar esta estrategia el presidente George </w:t>
      </w:r>
      <w:r>
        <w:rPr>
          <w:color w:val="231F20"/>
          <w:spacing w:val="-6"/>
          <w:w w:val="110"/>
        </w:rPr>
        <w:t>W. </w:t>
      </w:r>
      <w:r>
        <w:rPr>
          <w:color w:val="231F20"/>
          <w:w w:val="110"/>
        </w:rPr>
        <w:t>Bush plantea que “los terroristas combinan radicalismo con tecnología, buscan acceder a armas de destrucción masiva y hay estados fallidos dispuestos a facilitarles el </w:t>
      </w:r>
      <w:r>
        <w:rPr>
          <w:color w:val="231F20"/>
        </w:rPr>
        <w:t>acceso […] </w:t>
      </w:r>
      <w:r>
        <w:rPr>
          <w:i/>
          <w:color w:val="231F20"/>
        </w:rPr>
        <w:t>Estados Unidos actuará contra esas amenazas en surgimiento, </w:t>
      </w:r>
      <w:r>
        <w:rPr>
          <w:i/>
          <w:color w:val="231F20"/>
          <w:w w:val="110"/>
        </w:rPr>
        <w:t>antes</w:t>
      </w:r>
      <w:r>
        <w:rPr>
          <w:i/>
          <w:color w:val="231F20"/>
          <w:spacing w:val="-21"/>
          <w:w w:val="110"/>
        </w:rPr>
        <w:t> </w:t>
      </w:r>
      <w:r>
        <w:rPr>
          <w:i/>
          <w:color w:val="231F20"/>
          <w:w w:val="110"/>
        </w:rPr>
        <w:t>de</w:t>
      </w:r>
      <w:r>
        <w:rPr>
          <w:i/>
          <w:color w:val="231F20"/>
          <w:spacing w:val="-21"/>
          <w:w w:val="110"/>
        </w:rPr>
        <w:t> </w:t>
      </w:r>
      <w:r>
        <w:rPr>
          <w:i/>
          <w:color w:val="231F20"/>
          <w:w w:val="110"/>
        </w:rPr>
        <w:t>que</w:t>
      </w:r>
      <w:r>
        <w:rPr>
          <w:i/>
          <w:color w:val="231F20"/>
          <w:spacing w:val="-21"/>
          <w:w w:val="110"/>
        </w:rPr>
        <w:t> </w:t>
      </w:r>
      <w:r>
        <w:rPr>
          <w:i/>
          <w:color w:val="231F20"/>
          <w:w w:val="110"/>
        </w:rPr>
        <w:t>éstas</w:t>
      </w:r>
      <w:r>
        <w:rPr>
          <w:i/>
          <w:color w:val="231F20"/>
          <w:spacing w:val="-21"/>
          <w:w w:val="110"/>
        </w:rPr>
        <w:t> </w:t>
      </w:r>
      <w:r>
        <w:rPr>
          <w:i/>
          <w:color w:val="231F20"/>
          <w:w w:val="110"/>
        </w:rPr>
        <w:t>terminen</w:t>
      </w:r>
      <w:r>
        <w:rPr>
          <w:i/>
          <w:color w:val="231F20"/>
          <w:spacing w:val="-21"/>
          <w:w w:val="110"/>
        </w:rPr>
        <w:t> </w:t>
      </w:r>
      <w:r>
        <w:rPr>
          <w:i/>
          <w:color w:val="231F20"/>
          <w:w w:val="110"/>
        </w:rPr>
        <w:t>de</w:t>
      </w:r>
      <w:r>
        <w:rPr>
          <w:i/>
          <w:color w:val="231F20"/>
          <w:spacing w:val="-21"/>
          <w:w w:val="110"/>
        </w:rPr>
        <w:t> </w:t>
      </w:r>
      <w:r>
        <w:rPr>
          <w:i/>
          <w:color w:val="231F20"/>
          <w:w w:val="110"/>
        </w:rPr>
        <w:t>formarse</w:t>
      </w:r>
      <w:r>
        <w:rPr>
          <w:color w:val="231F20"/>
          <w:w w:val="110"/>
        </w:rPr>
        <w:t>.</w:t>
      </w:r>
      <w:r>
        <w:rPr>
          <w:color w:val="231F20"/>
          <w:spacing w:val="-21"/>
          <w:w w:val="110"/>
        </w:rPr>
        <w:t> </w:t>
      </w:r>
      <w:r>
        <w:rPr>
          <w:color w:val="231F20"/>
          <w:w w:val="110"/>
        </w:rPr>
        <w:t>Esta</w:t>
      </w:r>
      <w:r>
        <w:rPr>
          <w:color w:val="231F20"/>
          <w:spacing w:val="-21"/>
          <w:w w:val="110"/>
        </w:rPr>
        <w:t> </w:t>
      </w:r>
      <w:r>
        <w:rPr>
          <w:color w:val="231F20"/>
          <w:w w:val="110"/>
        </w:rPr>
        <w:t>guerra</w:t>
      </w:r>
      <w:r>
        <w:rPr>
          <w:color w:val="231F20"/>
          <w:spacing w:val="-21"/>
          <w:w w:val="110"/>
        </w:rPr>
        <w:t> </w:t>
      </w:r>
      <w:r>
        <w:rPr>
          <w:color w:val="231F20"/>
          <w:w w:val="110"/>
        </w:rPr>
        <w:t>es</w:t>
      </w:r>
      <w:r>
        <w:rPr>
          <w:color w:val="231F20"/>
          <w:spacing w:val="-21"/>
          <w:w w:val="110"/>
        </w:rPr>
        <w:t> </w:t>
      </w:r>
      <w:r>
        <w:rPr>
          <w:color w:val="231F20"/>
          <w:w w:val="110"/>
        </w:rPr>
        <w:t>la</w:t>
      </w:r>
      <w:r>
        <w:rPr>
          <w:color w:val="231F20"/>
          <w:spacing w:val="-21"/>
          <w:w w:val="110"/>
        </w:rPr>
        <w:t> </w:t>
      </w:r>
      <w:r>
        <w:rPr>
          <w:color w:val="231F20"/>
          <w:w w:val="110"/>
        </w:rPr>
        <w:t>oportunidad para llevar la esperanza de democracia, desarrollo, mercados libres  y libre comercio a todos los rincones del mundo” (Bush, 2002, las cursivas son</w:t>
      </w:r>
      <w:r>
        <w:rPr>
          <w:color w:val="231F20"/>
          <w:spacing w:val="-24"/>
          <w:w w:val="110"/>
        </w:rPr>
        <w:t> </w:t>
      </w:r>
      <w:r>
        <w:rPr>
          <w:color w:val="231F20"/>
          <w:w w:val="110"/>
        </w:rPr>
        <w:t>nuestras).</w:t>
      </w:r>
    </w:p>
    <w:p>
      <w:pPr>
        <w:pStyle w:val="BodyText"/>
        <w:spacing w:line="261" w:lineRule="auto"/>
        <w:ind w:left="100" w:right="114" w:firstLine="240"/>
        <w:jc w:val="both"/>
      </w:pPr>
      <w:r>
        <w:rPr>
          <w:color w:val="231F20"/>
          <w:w w:val="110"/>
        </w:rPr>
        <w:t>La estrategia de seguridad nacional de 2002 se ocupa también de las relaciones con América Latina y destaca las coaliciones</w:t>
      </w:r>
      <w:r>
        <w:rPr>
          <w:color w:val="231F20"/>
          <w:spacing w:val="-19"/>
          <w:w w:val="110"/>
        </w:rPr>
        <w:t> </w:t>
      </w:r>
      <w:r>
        <w:rPr>
          <w:color w:val="231F20"/>
          <w:w w:val="110"/>
        </w:rPr>
        <w:t>flexibles con México, Chile, Brasil y Colombia, países que comparten </w:t>
      </w:r>
      <w:r>
        <w:rPr>
          <w:color w:val="231F20"/>
          <w:spacing w:val="2"/>
          <w:w w:val="110"/>
        </w:rPr>
        <w:t>los </w:t>
      </w:r>
      <w:r>
        <w:rPr>
          <w:color w:val="231F20"/>
          <w:w w:val="110"/>
        </w:rPr>
        <w:t>objetivos prioritarios de Estados Unidos. En relación con Colombia reconoce</w:t>
      </w:r>
      <w:r>
        <w:rPr>
          <w:color w:val="231F20"/>
          <w:spacing w:val="-5"/>
          <w:w w:val="110"/>
        </w:rPr>
        <w:t> </w:t>
      </w:r>
      <w:r>
        <w:rPr>
          <w:color w:val="231F20"/>
          <w:w w:val="110"/>
        </w:rPr>
        <w:t>el</w:t>
      </w:r>
      <w:r>
        <w:rPr>
          <w:color w:val="231F20"/>
          <w:spacing w:val="-4"/>
          <w:w w:val="110"/>
        </w:rPr>
        <w:t> </w:t>
      </w:r>
      <w:r>
        <w:rPr>
          <w:color w:val="231F20"/>
          <w:w w:val="110"/>
        </w:rPr>
        <w:t>vínculo</w:t>
      </w:r>
      <w:r>
        <w:rPr>
          <w:color w:val="231F20"/>
          <w:spacing w:val="-5"/>
          <w:w w:val="110"/>
        </w:rPr>
        <w:t> </w:t>
      </w:r>
      <w:r>
        <w:rPr>
          <w:color w:val="231F20"/>
          <w:w w:val="110"/>
        </w:rPr>
        <w:t>que</w:t>
      </w:r>
      <w:r>
        <w:rPr>
          <w:color w:val="231F20"/>
          <w:spacing w:val="-4"/>
          <w:w w:val="110"/>
        </w:rPr>
        <w:t> </w:t>
      </w:r>
      <w:r>
        <w:rPr>
          <w:color w:val="231F20"/>
          <w:w w:val="110"/>
        </w:rPr>
        <w:t>existe</w:t>
      </w:r>
      <w:r>
        <w:rPr>
          <w:color w:val="231F20"/>
          <w:spacing w:val="-4"/>
          <w:w w:val="110"/>
        </w:rPr>
        <w:t> </w:t>
      </w:r>
      <w:r>
        <w:rPr>
          <w:color w:val="231F20"/>
          <w:w w:val="110"/>
        </w:rPr>
        <w:t>entre</w:t>
      </w:r>
      <w:r>
        <w:rPr>
          <w:color w:val="231F20"/>
          <w:spacing w:val="-5"/>
          <w:w w:val="110"/>
        </w:rPr>
        <w:t> </w:t>
      </w:r>
      <w:r>
        <w:rPr>
          <w:color w:val="231F20"/>
          <w:w w:val="110"/>
        </w:rPr>
        <w:t>el</w:t>
      </w:r>
      <w:r>
        <w:rPr>
          <w:color w:val="231F20"/>
          <w:spacing w:val="-4"/>
          <w:w w:val="110"/>
        </w:rPr>
        <w:t> </w:t>
      </w:r>
      <w:r>
        <w:rPr>
          <w:color w:val="231F20"/>
          <w:w w:val="110"/>
        </w:rPr>
        <w:t>terrorismo</w:t>
      </w:r>
      <w:r>
        <w:rPr>
          <w:color w:val="231F20"/>
          <w:spacing w:val="-5"/>
          <w:w w:val="110"/>
        </w:rPr>
        <w:t> </w:t>
      </w:r>
      <w:r>
        <w:rPr>
          <w:color w:val="231F20"/>
          <w:w w:val="110"/>
        </w:rPr>
        <w:t>y</w:t>
      </w:r>
      <w:r>
        <w:rPr>
          <w:color w:val="231F20"/>
          <w:spacing w:val="-4"/>
          <w:w w:val="110"/>
        </w:rPr>
        <w:t> </w:t>
      </w:r>
      <w:r>
        <w:rPr>
          <w:color w:val="231F20"/>
          <w:w w:val="110"/>
        </w:rPr>
        <w:t>los</w:t>
      </w:r>
      <w:r>
        <w:rPr>
          <w:color w:val="231F20"/>
          <w:spacing w:val="-5"/>
          <w:w w:val="110"/>
        </w:rPr>
        <w:t> </w:t>
      </w:r>
      <w:r>
        <w:rPr>
          <w:color w:val="231F20"/>
          <w:w w:val="110"/>
        </w:rPr>
        <w:t>grupos</w:t>
      </w:r>
      <w:r>
        <w:rPr>
          <w:color w:val="231F20"/>
          <w:spacing w:val="-5"/>
          <w:w w:val="110"/>
        </w:rPr>
        <w:t> </w:t>
      </w:r>
      <w:r>
        <w:rPr>
          <w:color w:val="231F20"/>
          <w:w w:val="110"/>
        </w:rPr>
        <w:t>extre- mistas</w:t>
      </w:r>
      <w:r>
        <w:rPr>
          <w:color w:val="231F20"/>
          <w:spacing w:val="-15"/>
          <w:w w:val="110"/>
        </w:rPr>
        <w:t> </w:t>
      </w:r>
      <w:r>
        <w:rPr>
          <w:color w:val="231F20"/>
          <w:w w:val="110"/>
        </w:rPr>
        <w:t>que</w:t>
      </w:r>
      <w:r>
        <w:rPr>
          <w:color w:val="231F20"/>
          <w:spacing w:val="-15"/>
          <w:w w:val="110"/>
        </w:rPr>
        <w:t> </w:t>
      </w:r>
      <w:r>
        <w:rPr>
          <w:color w:val="231F20"/>
          <w:w w:val="110"/>
        </w:rPr>
        <w:t>desafían</w:t>
      </w:r>
      <w:r>
        <w:rPr>
          <w:color w:val="231F20"/>
          <w:spacing w:val="-15"/>
          <w:w w:val="110"/>
        </w:rPr>
        <w:t> </w:t>
      </w:r>
      <w:r>
        <w:rPr>
          <w:color w:val="231F20"/>
          <w:w w:val="110"/>
        </w:rPr>
        <w:t>la</w:t>
      </w:r>
      <w:r>
        <w:rPr>
          <w:color w:val="231F20"/>
          <w:spacing w:val="-15"/>
          <w:w w:val="110"/>
        </w:rPr>
        <w:t> </w:t>
      </w:r>
      <w:r>
        <w:rPr>
          <w:color w:val="231F20"/>
          <w:w w:val="110"/>
        </w:rPr>
        <w:t>seguridad</w:t>
      </w:r>
      <w:r>
        <w:rPr>
          <w:color w:val="231F20"/>
          <w:spacing w:val="-15"/>
          <w:w w:val="110"/>
        </w:rPr>
        <w:t> </w:t>
      </w:r>
      <w:r>
        <w:rPr>
          <w:color w:val="231F20"/>
          <w:w w:val="110"/>
        </w:rPr>
        <w:t>del</w:t>
      </w:r>
      <w:r>
        <w:rPr>
          <w:color w:val="231F20"/>
          <w:spacing w:val="-15"/>
          <w:w w:val="110"/>
        </w:rPr>
        <w:t> </w:t>
      </w:r>
      <w:r>
        <w:rPr>
          <w:color w:val="231F20"/>
          <w:w w:val="110"/>
        </w:rPr>
        <w:t>Estado,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tráfico</w:t>
      </w:r>
      <w:r>
        <w:rPr>
          <w:color w:val="231F20"/>
          <w:spacing w:val="-15"/>
          <w:w w:val="110"/>
        </w:rPr>
        <w:t> </w:t>
      </w:r>
      <w:r>
        <w:rPr>
          <w:color w:val="231F20"/>
          <w:w w:val="110"/>
        </w:rPr>
        <w:t>de</w:t>
      </w:r>
      <w:r>
        <w:rPr>
          <w:color w:val="231F20"/>
          <w:spacing w:val="-15"/>
          <w:w w:val="110"/>
        </w:rPr>
        <w:t> </w:t>
      </w:r>
      <w:r>
        <w:rPr>
          <w:color w:val="231F20"/>
          <w:w w:val="110"/>
        </w:rPr>
        <w:t>drogas</w:t>
      </w:r>
      <w:r>
        <w:rPr>
          <w:color w:val="231F20"/>
          <w:spacing w:val="-15"/>
          <w:w w:val="110"/>
        </w:rPr>
        <w:t> </w:t>
      </w:r>
      <w:r>
        <w:rPr>
          <w:color w:val="231F20"/>
          <w:w w:val="110"/>
        </w:rPr>
        <w:t>que ayuda</w:t>
      </w:r>
      <w:r>
        <w:rPr>
          <w:color w:val="231F20"/>
          <w:spacing w:val="-7"/>
          <w:w w:val="110"/>
        </w:rPr>
        <w:t> </w:t>
      </w:r>
      <w:r>
        <w:rPr>
          <w:color w:val="231F20"/>
          <w:w w:val="110"/>
        </w:rPr>
        <w:t>a</w:t>
      </w:r>
      <w:r>
        <w:rPr>
          <w:color w:val="231F20"/>
          <w:spacing w:val="-7"/>
          <w:w w:val="110"/>
        </w:rPr>
        <w:t> </w:t>
      </w:r>
      <w:r>
        <w:rPr>
          <w:color w:val="231F20"/>
          <w:w w:val="110"/>
        </w:rPr>
        <w:t>financiar</w:t>
      </w:r>
      <w:r>
        <w:rPr>
          <w:color w:val="231F20"/>
          <w:spacing w:val="-7"/>
          <w:w w:val="110"/>
        </w:rPr>
        <w:t> </w:t>
      </w:r>
      <w:r>
        <w:rPr>
          <w:color w:val="231F20"/>
          <w:w w:val="110"/>
        </w:rPr>
        <w:t>las</w:t>
      </w:r>
      <w:r>
        <w:rPr>
          <w:color w:val="231F20"/>
          <w:spacing w:val="-7"/>
          <w:w w:val="110"/>
        </w:rPr>
        <w:t> </w:t>
      </w:r>
      <w:r>
        <w:rPr>
          <w:color w:val="231F20"/>
          <w:w w:val="110"/>
        </w:rPr>
        <w:t>operaciones</w:t>
      </w:r>
      <w:r>
        <w:rPr>
          <w:color w:val="231F20"/>
          <w:spacing w:val="-7"/>
          <w:w w:val="110"/>
        </w:rPr>
        <w:t> </w:t>
      </w:r>
      <w:r>
        <w:rPr>
          <w:color w:val="231F20"/>
          <w:w w:val="110"/>
        </w:rPr>
        <w:t>de</w:t>
      </w:r>
      <w:r>
        <w:rPr>
          <w:color w:val="231F20"/>
          <w:spacing w:val="-7"/>
          <w:w w:val="110"/>
        </w:rPr>
        <w:t> </w:t>
      </w:r>
      <w:r>
        <w:rPr>
          <w:color w:val="231F20"/>
          <w:w w:val="110"/>
        </w:rPr>
        <w:t>tales</w:t>
      </w:r>
      <w:r>
        <w:rPr>
          <w:color w:val="231F20"/>
          <w:spacing w:val="-7"/>
          <w:w w:val="110"/>
        </w:rPr>
        <w:t> </w:t>
      </w:r>
      <w:r>
        <w:rPr>
          <w:color w:val="231F20"/>
          <w:w w:val="110"/>
        </w:rPr>
        <w:t>grupos:</w:t>
      </w:r>
      <w:r>
        <w:rPr>
          <w:color w:val="231F20"/>
          <w:spacing w:val="-7"/>
          <w:w w:val="110"/>
        </w:rPr>
        <w:t> </w:t>
      </w:r>
      <w:r>
        <w:rPr>
          <w:color w:val="231F20"/>
          <w:w w:val="110"/>
        </w:rPr>
        <w:t>“estamos</w:t>
      </w:r>
      <w:r>
        <w:rPr>
          <w:color w:val="231F20"/>
          <w:spacing w:val="-7"/>
          <w:w w:val="110"/>
        </w:rPr>
        <w:t> </w:t>
      </w:r>
      <w:r>
        <w:rPr>
          <w:color w:val="231F20"/>
          <w:w w:val="110"/>
        </w:rPr>
        <w:t>trabajan-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do</w:t>
      </w:r>
      <w:r>
        <w:rPr>
          <w:color w:val="231F20"/>
          <w:spacing w:val="-10"/>
          <w:w w:val="110"/>
        </w:rPr>
        <w:t> </w:t>
      </w:r>
      <w:r>
        <w:rPr>
          <w:color w:val="231F20"/>
          <w:w w:val="110"/>
        </w:rPr>
        <w:t>para</w:t>
      </w:r>
      <w:r>
        <w:rPr>
          <w:color w:val="231F20"/>
          <w:spacing w:val="-10"/>
          <w:w w:val="110"/>
        </w:rPr>
        <w:t> </w:t>
      </w:r>
      <w:r>
        <w:rPr>
          <w:color w:val="231F20"/>
          <w:w w:val="110"/>
        </w:rPr>
        <w:t>ayudar</w:t>
      </w:r>
      <w:r>
        <w:rPr>
          <w:color w:val="231F20"/>
          <w:spacing w:val="-10"/>
          <w:w w:val="110"/>
        </w:rPr>
        <w:t> </w:t>
      </w:r>
      <w:r>
        <w:rPr>
          <w:color w:val="231F20"/>
          <w:w w:val="110"/>
        </w:rPr>
        <w:t>a</w:t>
      </w:r>
      <w:r>
        <w:rPr>
          <w:color w:val="231F20"/>
          <w:spacing w:val="-10"/>
          <w:w w:val="110"/>
        </w:rPr>
        <w:t> </w:t>
      </w:r>
      <w:r>
        <w:rPr>
          <w:color w:val="231F20"/>
          <w:w w:val="110"/>
        </w:rPr>
        <w:t>Colombia</w:t>
      </w:r>
      <w:r>
        <w:rPr>
          <w:color w:val="231F20"/>
          <w:spacing w:val="-10"/>
          <w:w w:val="110"/>
        </w:rPr>
        <w:t> </w:t>
      </w:r>
      <w:r>
        <w:rPr>
          <w:color w:val="231F20"/>
          <w:w w:val="110"/>
        </w:rPr>
        <w:t>a</w:t>
      </w:r>
      <w:r>
        <w:rPr>
          <w:color w:val="231F20"/>
          <w:spacing w:val="-10"/>
          <w:w w:val="110"/>
        </w:rPr>
        <w:t> </w:t>
      </w:r>
      <w:r>
        <w:rPr>
          <w:color w:val="231F20"/>
          <w:w w:val="110"/>
        </w:rPr>
        <w:t>defender</w:t>
      </w:r>
      <w:r>
        <w:rPr>
          <w:color w:val="231F20"/>
          <w:spacing w:val="-10"/>
          <w:w w:val="110"/>
        </w:rPr>
        <w:t> </w:t>
      </w:r>
      <w:r>
        <w:rPr>
          <w:color w:val="231F20"/>
          <w:w w:val="110"/>
        </w:rPr>
        <w:t>sus</w:t>
      </w:r>
      <w:r>
        <w:rPr>
          <w:color w:val="231F20"/>
          <w:spacing w:val="-10"/>
          <w:w w:val="110"/>
        </w:rPr>
        <w:t> </w:t>
      </w:r>
      <w:r>
        <w:rPr>
          <w:color w:val="231F20"/>
          <w:w w:val="110"/>
        </w:rPr>
        <w:t>instituciones</w:t>
      </w:r>
      <w:r>
        <w:rPr>
          <w:color w:val="231F20"/>
          <w:spacing w:val="-10"/>
          <w:w w:val="110"/>
        </w:rPr>
        <w:t> </w:t>
      </w:r>
      <w:r>
        <w:rPr>
          <w:color w:val="231F20"/>
          <w:w w:val="110"/>
        </w:rPr>
        <w:t>democráticas y derrotar a los grupos armados ilegales, tanto de izquierda como  de derecha, mediante la extensión efectiva de la soberanía a todo    el territorio nacional y la provisión de seguridad básica al pueblo de Colombia”, sostiene. La estrategia define líneas de acción frente a Asia</w:t>
      </w:r>
      <w:r>
        <w:rPr>
          <w:color w:val="231F20"/>
          <w:spacing w:val="-20"/>
          <w:w w:val="110"/>
        </w:rPr>
        <w:t> </w:t>
      </w:r>
      <w:r>
        <w:rPr>
          <w:color w:val="231F20"/>
          <w:w w:val="110"/>
        </w:rPr>
        <w:t>y</w:t>
      </w:r>
      <w:r>
        <w:rPr>
          <w:color w:val="231F20"/>
          <w:spacing w:val="-20"/>
          <w:w w:val="110"/>
        </w:rPr>
        <w:t> </w:t>
      </w:r>
      <w:r>
        <w:rPr>
          <w:color w:val="231F20"/>
          <w:w w:val="110"/>
        </w:rPr>
        <w:t>África</w:t>
      </w:r>
      <w:r>
        <w:rPr>
          <w:color w:val="231F20"/>
          <w:spacing w:val="-20"/>
          <w:w w:val="110"/>
        </w:rPr>
        <w:t> </w:t>
      </w:r>
      <w:r>
        <w:rPr>
          <w:color w:val="231F20"/>
          <w:w w:val="110"/>
        </w:rPr>
        <w:t>y</w:t>
      </w:r>
      <w:r>
        <w:rPr>
          <w:color w:val="231F20"/>
          <w:spacing w:val="-20"/>
          <w:w w:val="110"/>
        </w:rPr>
        <w:t> </w:t>
      </w:r>
      <w:r>
        <w:rPr>
          <w:color w:val="231F20"/>
          <w:w w:val="110"/>
        </w:rPr>
        <w:t>articula</w:t>
      </w:r>
      <w:r>
        <w:rPr>
          <w:color w:val="231F20"/>
          <w:spacing w:val="-20"/>
          <w:w w:val="110"/>
        </w:rPr>
        <w:t> </w:t>
      </w:r>
      <w:r>
        <w:rPr>
          <w:color w:val="231F20"/>
          <w:w w:val="110"/>
        </w:rPr>
        <w:t>las</w:t>
      </w:r>
      <w:r>
        <w:rPr>
          <w:color w:val="231F20"/>
          <w:spacing w:val="-20"/>
          <w:w w:val="110"/>
        </w:rPr>
        <w:t> </w:t>
      </w:r>
      <w:r>
        <w:rPr>
          <w:color w:val="231F20"/>
          <w:w w:val="110"/>
        </w:rPr>
        <w:t>políticas</w:t>
      </w:r>
      <w:r>
        <w:rPr>
          <w:color w:val="231F20"/>
          <w:spacing w:val="-20"/>
          <w:w w:val="110"/>
        </w:rPr>
        <w:t> </w:t>
      </w:r>
      <w:r>
        <w:rPr>
          <w:color w:val="231F20"/>
          <w:w w:val="110"/>
        </w:rPr>
        <w:t>de</w:t>
      </w:r>
      <w:r>
        <w:rPr>
          <w:color w:val="231F20"/>
          <w:spacing w:val="-20"/>
          <w:w w:val="110"/>
        </w:rPr>
        <w:t> </w:t>
      </w:r>
      <w:r>
        <w:rPr>
          <w:color w:val="231F20"/>
          <w:w w:val="110"/>
        </w:rPr>
        <w:t>seguridad</w:t>
      </w:r>
      <w:r>
        <w:rPr>
          <w:color w:val="231F20"/>
          <w:spacing w:val="-20"/>
          <w:w w:val="110"/>
        </w:rPr>
        <w:t> </w:t>
      </w:r>
      <w:r>
        <w:rPr>
          <w:color w:val="231F20"/>
          <w:w w:val="110"/>
        </w:rPr>
        <w:t>y</w:t>
      </w:r>
      <w:r>
        <w:rPr>
          <w:color w:val="231F20"/>
          <w:spacing w:val="-20"/>
          <w:w w:val="110"/>
        </w:rPr>
        <w:t> </w:t>
      </w:r>
      <w:r>
        <w:rPr>
          <w:color w:val="231F20"/>
          <w:w w:val="110"/>
        </w:rPr>
        <w:t>defensa</w:t>
      </w:r>
      <w:r>
        <w:rPr>
          <w:color w:val="231F20"/>
          <w:spacing w:val="-20"/>
          <w:w w:val="110"/>
        </w:rPr>
        <w:t> </w:t>
      </w:r>
      <w:r>
        <w:rPr>
          <w:color w:val="231F20"/>
          <w:w w:val="110"/>
        </w:rPr>
        <w:t>para</w:t>
      </w:r>
      <w:r>
        <w:rPr>
          <w:color w:val="231F20"/>
          <w:spacing w:val="-20"/>
          <w:w w:val="110"/>
        </w:rPr>
        <w:t> </w:t>
      </w:r>
      <w:r>
        <w:rPr>
          <w:color w:val="231F20"/>
          <w:w w:val="110"/>
        </w:rPr>
        <w:t>el</w:t>
      </w:r>
      <w:r>
        <w:rPr>
          <w:color w:val="231F20"/>
          <w:spacing w:val="-23"/>
          <w:w w:val="110"/>
        </w:rPr>
        <w:t> </w:t>
      </w:r>
      <w:r>
        <w:rPr>
          <w:color w:val="231F20"/>
          <w:spacing w:val="-3"/>
          <w:w w:val="110"/>
        </w:rPr>
        <w:t>for- </w:t>
      </w:r>
      <w:r>
        <w:rPr>
          <w:color w:val="231F20"/>
          <w:w w:val="110"/>
        </w:rPr>
        <w:t>talecimiento</w:t>
      </w:r>
      <w:r>
        <w:rPr>
          <w:color w:val="231F20"/>
          <w:spacing w:val="-34"/>
          <w:w w:val="110"/>
        </w:rPr>
        <w:t> </w:t>
      </w:r>
      <w:r>
        <w:rPr>
          <w:color w:val="231F20"/>
          <w:w w:val="110"/>
        </w:rPr>
        <w:t>del</w:t>
      </w:r>
      <w:r>
        <w:rPr>
          <w:color w:val="231F20"/>
          <w:spacing w:val="-34"/>
          <w:w w:val="110"/>
        </w:rPr>
        <w:t> </w:t>
      </w:r>
      <w:r>
        <w:rPr>
          <w:color w:val="231F20"/>
          <w:w w:val="110"/>
        </w:rPr>
        <w:t>libre</w:t>
      </w:r>
      <w:r>
        <w:rPr>
          <w:color w:val="231F20"/>
          <w:spacing w:val="-34"/>
          <w:w w:val="110"/>
        </w:rPr>
        <w:t> </w:t>
      </w:r>
      <w:r>
        <w:rPr>
          <w:color w:val="231F20"/>
          <w:w w:val="110"/>
        </w:rPr>
        <w:t>comercio.</w:t>
      </w:r>
      <w:r>
        <w:rPr>
          <w:color w:val="231F20"/>
          <w:spacing w:val="-34"/>
          <w:w w:val="110"/>
        </w:rPr>
        <w:t> </w:t>
      </w:r>
      <w:r>
        <w:rPr>
          <w:color w:val="231F20"/>
          <w:w w:val="110"/>
        </w:rPr>
        <w:t>Complementa</w:t>
      </w:r>
      <w:r>
        <w:rPr>
          <w:color w:val="231F20"/>
          <w:spacing w:val="-34"/>
          <w:w w:val="110"/>
        </w:rPr>
        <w:t> </w:t>
      </w:r>
      <w:r>
        <w:rPr>
          <w:color w:val="231F20"/>
          <w:w w:val="110"/>
        </w:rPr>
        <w:t>esta</w:t>
      </w:r>
      <w:r>
        <w:rPr>
          <w:color w:val="231F20"/>
          <w:spacing w:val="-34"/>
          <w:w w:val="110"/>
        </w:rPr>
        <w:t> </w:t>
      </w:r>
      <w:r>
        <w:rPr>
          <w:color w:val="231F20"/>
          <w:w w:val="110"/>
        </w:rPr>
        <w:t>estrategia</w:t>
      </w:r>
      <w:r>
        <w:rPr>
          <w:color w:val="231F20"/>
          <w:spacing w:val="-34"/>
          <w:w w:val="110"/>
        </w:rPr>
        <w:t> </w:t>
      </w:r>
      <w:r>
        <w:rPr>
          <w:color w:val="231F20"/>
          <w:w w:val="110"/>
        </w:rPr>
        <w:t>el</w:t>
      </w:r>
      <w:r>
        <w:rPr>
          <w:color w:val="231F20"/>
          <w:spacing w:val="-34"/>
          <w:w w:val="110"/>
        </w:rPr>
        <w:t> </w:t>
      </w:r>
      <w:r>
        <w:rPr>
          <w:i/>
          <w:color w:val="231F20"/>
          <w:w w:val="110"/>
        </w:rPr>
        <w:t>Patriot</w:t>
      </w:r>
      <w:r>
        <w:rPr>
          <w:i/>
          <w:color w:val="231F20"/>
          <w:w w:val="93"/>
        </w:rPr>
        <w:t> </w:t>
      </w:r>
      <w:r>
        <w:rPr>
          <w:i/>
          <w:color w:val="231F20"/>
          <w:w w:val="110"/>
        </w:rPr>
        <w:t>Act </w:t>
      </w:r>
      <w:r>
        <w:rPr>
          <w:color w:val="231F20"/>
          <w:w w:val="110"/>
        </w:rPr>
        <w:t>que introdujo severas limitaciones en el ejercicio de libertades y derechos fundamentales en Estados</w:t>
      </w:r>
      <w:r>
        <w:rPr>
          <w:color w:val="231F20"/>
          <w:spacing w:val="36"/>
          <w:w w:val="110"/>
        </w:rPr>
        <w:t> </w:t>
      </w:r>
      <w:r>
        <w:rPr>
          <w:color w:val="231F20"/>
          <w:w w:val="110"/>
        </w:rPr>
        <w:t>Unidos.</w:t>
      </w:r>
    </w:p>
    <w:p>
      <w:pPr>
        <w:pStyle w:val="BodyText"/>
        <w:spacing w:line="261" w:lineRule="auto"/>
        <w:ind w:left="100" w:right="116" w:firstLine="240"/>
        <w:jc w:val="both"/>
      </w:pPr>
      <w:r>
        <w:rPr>
          <w:color w:val="231F20"/>
          <w:w w:val="110"/>
        </w:rPr>
        <w:t>Al analizar esta política, Noam Chomsky sostiene que es una es- trategia imperial cuyos principios básicos se remontan a la segunda guerra mundial cuando destacados estrategas propusieron “ostentar un poder indisputable”, que limitara cualquier intento de ejercicio de</w:t>
      </w:r>
      <w:r>
        <w:rPr>
          <w:color w:val="231F20"/>
          <w:spacing w:val="37"/>
          <w:w w:val="110"/>
        </w:rPr>
        <w:t> </w:t>
      </w:r>
      <w:r>
        <w:rPr>
          <w:color w:val="231F20"/>
          <w:w w:val="110"/>
        </w:rPr>
        <w:t>soberanía</w:t>
      </w:r>
      <w:r>
        <w:rPr>
          <w:color w:val="231F20"/>
          <w:spacing w:val="37"/>
          <w:w w:val="110"/>
        </w:rPr>
        <w:t> </w:t>
      </w:r>
      <w:r>
        <w:rPr>
          <w:color w:val="231F20"/>
          <w:w w:val="110"/>
        </w:rPr>
        <w:t>por</w:t>
      </w:r>
      <w:r>
        <w:rPr>
          <w:color w:val="231F20"/>
          <w:spacing w:val="37"/>
          <w:w w:val="110"/>
        </w:rPr>
        <w:t> </w:t>
      </w:r>
      <w:r>
        <w:rPr>
          <w:color w:val="231F20"/>
          <w:w w:val="110"/>
        </w:rPr>
        <w:t>otros</w:t>
      </w:r>
      <w:r>
        <w:rPr>
          <w:color w:val="231F20"/>
          <w:spacing w:val="37"/>
          <w:w w:val="110"/>
        </w:rPr>
        <w:t> </w:t>
      </w:r>
      <w:r>
        <w:rPr>
          <w:color w:val="231F20"/>
          <w:w w:val="110"/>
        </w:rPr>
        <w:t>estados.</w:t>
      </w:r>
      <w:r>
        <w:rPr>
          <w:color w:val="231F20"/>
          <w:spacing w:val="37"/>
          <w:w w:val="110"/>
        </w:rPr>
        <w:t> </w:t>
      </w:r>
      <w:r>
        <w:rPr>
          <w:color w:val="231F20"/>
          <w:w w:val="110"/>
        </w:rPr>
        <w:t>Es,</w:t>
      </w:r>
      <w:r>
        <w:rPr>
          <w:color w:val="231F20"/>
          <w:spacing w:val="37"/>
          <w:w w:val="110"/>
        </w:rPr>
        <w:t> </w:t>
      </w:r>
      <w:r>
        <w:rPr>
          <w:color w:val="231F20"/>
          <w:w w:val="110"/>
        </w:rPr>
        <w:t>a</w:t>
      </w:r>
      <w:r>
        <w:rPr>
          <w:color w:val="231F20"/>
          <w:spacing w:val="37"/>
          <w:w w:val="110"/>
        </w:rPr>
        <w:t> </w:t>
      </w:r>
      <w:r>
        <w:rPr>
          <w:color w:val="231F20"/>
          <w:w w:val="110"/>
        </w:rPr>
        <w:t>su</w:t>
      </w:r>
      <w:r>
        <w:rPr>
          <w:color w:val="231F20"/>
          <w:spacing w:val="37"/>
          <w:w w:val="110"/>
        </w:rPr>
        <w:t> </w:t>
      </w:r>
      <w:r>
        <w:rPr>
          <w:color w:val="231F20"/>
          <w:w w:val="110"/>
        </w:rPr>
        <w:t>juicio,</w:t>
      </w:r>
      <w:r>
        <w:rPr>
          <w:color w:val="231F20"/>
          <w:spacing w:val="37"/>
          <w:w w:val="110"/>
        </w:rPr>
        <w:t> </w:t>
      </w:r>
      <w:r>
        <w:rPr>
          <w:color w:val="231F20"/>
          <w:w w:val="110"/>
        </w:rPr>
        <w:t>una</w:t>
      </w:r>
      <w:r>
        <w:rPr>
          <w:color w:val="231F20"/>
          <w:spacing w:val="37"/>
          <w:w w:val="110"/>
        </w:rPr>
        <w:t> </w:t>
      </w:r>
      <w:r>
        <w:rPr>
          <w:color w:val="231F20"/>
          <w:w w:val="110"/>
        </w:rPr>
        <w:t>planificación</w:t>
      </w:r>
      <w:r>
        <w:rPr>
          <w:color w:val="231F20"/>
          <w:spacing w:val="1"/>
          <w:w w:val="108"/>
        </w:rPr>
        <w:t> </w:t>
      </w:r>
      <w:r>
        <w:rPr>
          <w:color w:val="231F20"/>
          <w:w w:val="110"/>
        </w:rPr>
        <w:t>oficial estable desde entonces que, en su versión actual, recurre dis- crecionalmente a la guerra preventiva, lo que implica actuar militar- mente ante una amenaza imaginada, en un atropello manifiesto de  la legislación internacional. En ese entonces Washington afirmó su decisión de no acatar las normas de la onu en el desarrollo de esta guerra. La estrategia se propone preservar un mundo unipolar</w:t>
      </w:r>
      <w:r>
        <w:rPr>
          <w:color w:val="231F20"/>
          <w:spacing w:val="-19"/>
          <w:w w:val="110"/>
        </w:rPr>
        <w:t> </w:t>
      </w:r>
      <w:r>
        <w:rPr>
          <w:color w:val="231F20"/>
          <w:w w:val="110"/>
        </w:rPr>
        <w:t>donde Estados</w:t>
      </w:r>
      <w:r>
        <w:rPr>
          <w:color w:val="231F20"/>
          <w:spacing w:val="-15"/>
          <w:w w:val="110"/>
        </w:rPr>
        <w:t> </w:t>
      </w:r>
      <w:r>
        <w:rPr>
          <w:color w:val="231F20"/>
          <w:w w:val="110"/>
        </w:rPr>
        <w:t>Unidos</w:t>
      </w:r>
      <w:r>
        <w:rPr>
          <w:color w:val="231F20"/>
          <w:spacing w:val="-15"/>
          <w:w w:val="110"/>
        </w:rPr>
        <w:t> </w:t>
      </w:r>
      <w:r>
        <w:rPr>
          <w:color w:val="231F20"/>
          <w:w w:val="110"/>
        </w:rPr>
        <w:t>no</w:t>
      </w:r>
      <w:r>
        <w:rPr>
          <w:color w:val="231F20"/>
          <w:spacing w:val="-15"/>
          <w:w w:val="110"/>
        </w:rPr>
        <w:t> </w:t>
      </w:r>
      <w:r>
        <w:rPr>
          <w:color w:val="231F20"/>
          <w:w w:val="110"/>
        </w:rPr>
        <w:t>tenga</w:t>
      </w:r>
      <w:r>
        <w:rPr>
          <w:color w:val="231F20"/>
          <w:spacing w:val="-15"/>
          <w:w w:val="110"/>
        </w:rPr>
        <w:t> </w:t>
      </w:r>
      <w:r>
        <w:rPr>
          <w:color w:val="231F20"/>
          <w:w w:val="110"/>
        </w:rPr>
        <w:t>rival</w:t>
      </w:r>
      <w:r>
        <w:rPr>
          <w:color w:val="231F20"/>
          <w:spacing w:val="-15"/>
          <w:w w:val="110"/>
        </w:rPr>
        <w:t> </w:t>
      </w:r>
      <w:r>
        <w:rPr>
          <w:color w:val="231F20"/>
          <w:w w:val="110"/>
        </w:rPr>
        <w:t>a</w:t>
      </w:r>
      <w:r>
        <w:rPr>
          <w:color w:val="231F20"/>
          <w:spacing w:val="-15"/>
          <w:w w:val="110"/>
        </w:rPr>
        <w:t> </w:t>
      </w:r>
      <w:r>
        <w:rPr>
          <w:color w:val="231F20"/>
          <w:w w:val="110"/>
        </w:rPr>
        <w:t>su</w:t>
      </w:r>
      <w:r>
        <w:rPr>
          <w:color w:val="231F20"/>
          <w:spacing w:val="-15"/>
          <w:w w:val="110"/>
        </w:rPr>
        <w:t> </w:t>
      </w:r>
      <w:r>
        <w:rPr>
          <w:color w:val="231F20"/>
          <w:w w:val="110"/>
        </w:rPr>
        <w:t>altura</w:t>
      </w:r>
      <w:r>
        <w:rPr>
          <w:color w:val="231F20"/>
          <w:spacing w:val="-15"/>
          <w:w w:val="110"/>
        </w:rPr>
        <w:t> </w:t>
      </w:r>
      <w:r>
        <w:rPr>
          <w:color w:val="231F20"/>
          <w:w w:val="110"/>
        </w:rPr>
        <w:t>(Chomsky,</w:t>
      </w:r>
      <w:r>
        <w:rPr>
          <w:color w:val="231F20"/>
          <w:spacing w:val="-15"/>
          <w:w w:val="110"/>
        </w:rPr>
        <w:t> </w:t>
      </w:r>
      <w:r>
        <w:rPr>
          <w:color w:val="231F20"/>
          <w:w w:val="110"/>
        </w:rPr>
        <w:t>2008).</w:t>
      </w:r>
      <w:r>
        <w:rPr>
          <w:color w:val="231F20"/>
          <w:spacing w:val="-15"/>
          <w:w w:val="110"/>
        </w:rPr>
        <w:t> </w:t>
      </w:r>
      <w:r>
        <w:rPr>
          <w:color w:val="231F20"/>
          <w:w w:val="110"/>
        </w:rPr>
        <w:t>La</w:t>
      </w:r>
      <w:r>
        <w:rPr>
          <w:color w:val="231F20"/>
          <w:spacing w:val="-15"/>
          <w:w w:val="110"/>
        </w:rPr>
        <w:t> </w:t>
      </w:r>
      <w:r>
        <w:rPr>
          <w:color w:val="231F20"/>
          <w:w w:val="110"/>
        </w:rPr>
        <w:t>guerra preventiva</w:t>
      </w:r>
      <w:r>
        <w:rPr>
          <w:color w:val="231F20"/>
          <w:spacing w:val="-9"/>
          <w:w w:val="110"/>
        </w:rPr>
        <w:t> </w:t>
      </w:r>
      <w:r>
        <w:rPr>
          <w:color w:val="231F20"/>
          <w:w w:val="110"/>
        </w:rPr>
        <w:t>niega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práctica</w:t>
      </w:r>
      <w:r>
        <w:rPr>
          <w:color w:val="231F20"/>
          <w:spacing w:val="-9"/>
          <w:w w:val="110"/>
        </w:rPr>
        <w:t> </w:t>
      </w:r>
      <w:r>
        <w:rPr>
          <w:color w:val="231F20"/>
          <w:w w:val="110"/>
        </w:rPr>
        <w:t>los</w:t>
      </w:r>
      <w:r>
        <w:rPr>
          <w:color w:val="231F20"/>
          <w:spacing w:val="-9"/>
          <w:w w:val="110"/>
        </w:rPr>
        <w:t> </w:t>
      </w:r>
      <w:r>
        <w:rPr>
          <w:color w:val="231F20"/>
          <w:w w:val="110"/>
        </w:rPr>
        <w:t>valores</w:t>
      </w:r>
      <w:r>
        <w:rPr>
          <w:color w:val="231F20"/>
          <w:spacing w:val="-9"/>
          <w:w w:val="110"/>
        </w:rPr>
        <w:t> </w:t>
      </w:r>
      <w:r>
        <w:rPr>
          <w:color w:val="231F20"/>
          <w:w w:val="110"/>
        </w:rPr>
        <w:t>fundacionales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nación americana</w:t>
      </w:r>
      <w:r>
        <w:rPr>
          <w:color w:val="231F20"/>
          <w:spacing w:val="-5"/>
          <w:w w:val="110"/>
        </w:rPr>
        <w:t> </w:t>
      </w:r>
      <w:r>
        <w:rPr>
          <w:color w:val="231F20"/>
          <w:w w:val="110"/>
        </w:rPr>
        <w:t>cuya</w:t>
      </w:r>
      <w:r>
        <w:rPr>
          <w:color w:val="231F20"/>
          <w:spacing w:val="-5"/>
          <w:w w:val="110"/>
        </w:rPr>
        <w:t> </w:t>
      </w:r>
      <w:r>
        <w:rPr>
          <w:color w:val="231F20"/>
          <w:w w:val="110"/>
        </w:rPr>
        <w:t>vigencia</w:t>
      </w:r>
      <w:r>
        <w:rPr>
          <w:color w:val="231F20"/>
          <w:spacing w:val="-5"/>
          <w:w w:val="110"/>
        </w:rPr>
        <w:t> </w:t>
      </w:r>
      <w:r>
        <w:rPr>
          <w:color w:val="231F20"/>
        </w:rPr>
        <w:t>y </w:t>
      </w:r>
      <w:r>
        <w:rPr>
          <w:color w:val="231F20"/>
          <w:w w:val="110"/>
        </w:rPr>
        <w:t>defensa</w:t>
      </w:r>
      <w:r>
        <w:rPr>
          <w:color w:val="231F20"/>
          <w:spacing w:val="-5"/>
          <w:w w:val="110"/>
        </w:rPr>
        <w:t> </w:t>
      </w:r>
      <w:r>
        <w:rPr>
          <w:color w:val="231F20"/>
          <w:w w:val="110"/>
        </w:rPr>
        <w:t>se</w:t>
      </w:r>
      <w:r>
        <w:rPr>
          <w:color w:val="231F20"/>
          <w:spacing w:val="-5"/>
          <w:w w:val="110"/>
        </w:rPr>
        <w:t> </w:t>
      </w:r>
      <w:r>
        <w:rPr>
          <w:color w:val="231F20"/>
          <w:w w:val="110"/>
        </w:rPr>
        <w:t>invocan</w:t>
      </w:r>
      <w:r>
        <w:rPr>
          <w:color w:val="231F20"/>
          <w:spacing w:val="-5"/>
          <w:w w:val="110"/>
        </w:rPr>
        <w:t> </w:t>
      </w: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estrategia.</w:t>
      </w:r>
      <w:r>
        <w:rPr>
          <w:color w:val="231F20"/>
          <w:spacing w:val="-5"/>
          <w:w w:val="110"/>
        </w:rPr>
        <w:t> </w:t>
      </w:r>
      <w:r>
        <w:rPr>
          <w:color w:val="231F20"/>
          <w:w w:val="110"/>
        </w:rPr>
        <w:t>“La estrategia de guerra preventiva, por su lógica de la “autodefensa an- ticipatoria”, se basa en la predicción a largo plazo </w:t>
      </w:r>
      <w:r>
        <w:rPr>
          <w:color w:val="231F20"/>
        </w:rPr>
        <w:t>y </w:t>
      </w:r>
      <w:r>
        <w:rPr>
          <w:color w:val="231F20"/>
          <w:w w:val="110"/>
        </w:rPr>
        <w:t>en una presunta concatenación de acontecimientos mucho menos certeros que los que prevé la lógica inmediata de la autodefensa. Al disparar</w:t>
      </w:r>
      <w:r>
        <w:rPr>
          <w:color w:val="231F20"/>
          <w:spacing w:val="-23"/>
          <w:w w:val="110"/>
        </w:rPr>
        <w:t> </w:t>
      </w:r>
      <w:r>
        <w:rPr>
          <w:color w:val="231F20"/>
          <w:w w:val="110"/>
        </w:rPr>
        <w:t>primero </w:t>
      </w:r>
      <w:r>
        <w:rPr>
          <w:color w:val="231F20"/>
        </w:rPr>
        <w:t>y </w:t>
      </w:r>
      <w:r>
        <w:rPr>
          <w:color w:val="231F20"/>
          <w:w w:val="110"/>
        </w:rPr>
        <w:t>plantear preguntas después, da vía libre al trágico error de cálculo. </w:t>
      </w:r>
      <w:r>
        <w:rPr>
          <w:color w:val="231F20"/>
        </w:rPr>
        <w:t>Y </w:t>
      </w:r>
      <w:r>
        <w:rPr>
          <w:color w:val="231F20"/>
          <w:w w:val="110"/>
        </w:rPr>
        <w:t>al transgredir la doctrina tradicional del derecho internacional, se presenta</w:t>
      </w:r>
      <w:r>
        <w:rPr>
          <w:color w:val="231F20"/>
          <w:spacing w:val="-4"/>
          <w:w w:val="110"/>
        </w:rPr>
        <w:t> </w:t>
      </w:r>
      <w:r>
        <w:rPr>
          <w:color w:val="231F20"/>
          <w:w w:val="110"/>
        </w:rPr>
        <w:t>como</w:t>
      </w:r>
      <w:r>
        <w:rPr>
          <w:color w:val="231F20"/>
          <w:spacing w:val="-4"/>
          <w:w w:val="110"/>
        </w:rPr>
        <w:t> </w:t>
      </w:r>
      <w:r>
        <w:rPr>
          <w:color w:val="231F20"/>
          <w:w w:val="110"/>
        </w:rPr>
        <w:t>ejemplo</w:t>
      </w:r>
      <w:r>
        <w:rPr>
          <w:color w:val="231F20"/>
          <w:spacing w:val="-4"/>
          <w:w w:val="110"/>
        </w:rPr>
        <w:t> </w:t>
      </w:r>
      <w:r>
        <w:rPr>
          <w:color w:val="231F20"/>
          <w:w w:val="110"/>
        </w:rPr>
        <w:t>desastroso</w:t>
      </w:r>
      <w:r>
        <w:rPr>
          <w:color w:val="231F20"/>
          <w:spacing w:val="-4"/>
          <w:w w:val="110"/>
        </w:rPr>
        <w:t> </w:t>
      </w:r>
      <w:r>
        <w:rPr>
          <w:color w:val="231F20"/>
          <w:w w:val="110"/>
        </w:rPr>
        <w:t>para</w:t>
      </w:r>
      <w:r>
        <w:rPr>
          <w:color w:val="231F20"/>
          <w:spacing w:val="-4"/>
          <w:w w:val="110"/>
        </w:rPr>
        <w:t> </w:t>
      </w:r>
      <w:r>
        <w:rPr>
          <w:color w:val="231F20"/>
          <w:w w:val="110"/>
        </w:rPr>
        <w:t>otros</w:t>
      </w:r>
      <w:r>
        <w:rPr>
          <w:color w:val="231F20"/>
          <w:spacing w:val="-4"/>
          <w:w w:val="110"/>
        </w:rPr>
        <w:t> </w:t>
      </w:r>
      <w:r>
        <w:rPr>
          <w:color w:val="231F20"/>
          <w:w w:val="110"/>
        </w:rPr>
        <w:t>países</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guían</w:t>
      </w:r>
      <w:r>
        <w:rPr>
          <w:color w:val="231F20"/>
          <w:spacing w:val="-4"/>
          <w:w w:val="110"/>
        </w:rPr>
        <w:t> </w:t>
      </w:r>
      <w:r>
        <w:rPr>
          <w:color w:val="231F20"/>
          <w:w w:val="110"/>
        </w:rPr>
        <w:t>por su propia lógica excepcionalista. </w:t>
      </w:r>
      <w:r>
        <w:rPr>
          <w:color w:val="231F20"/>
        </w:rPr>
        <w:t>Y </w:t>
      </w:r>
      <w:r>
        <w:rPr>
          <w:color w:val="231F20"/>
          <w:w w:val="110"/>
        </w:rPr>
        <w:t>al abandonar la lógica prudente del contrato social </w:t>
      </w:r>
      <w:r>
        <w:rPr>
          <w:color w:val="231F20"/>
        </w:rPr>
        <w:t>y </w:t>
      </w:r>
      <w:r>
        <w:rPr>
          <w:color w:val="231F20"/>
          <w:w w:val="110"/>
        </w:rPr>
        <w:t>la deferencia hacia el derecho, que fue quizá el principal logro de la independencia americana, renuncia al legado idealista en el que dice fundamentarse” </w:t>
      </w:r>
      <w:r>
        <w:rPr>
          <w:color w:val="231F20"/>
          <w:spacing w:val="-3"/>
          <w:w w:val="110"/>
        </w:rPr>
        <w:t>(Barber, </w:t>
      </w:r>
      <w:r>
        <w:rPr>
          <w:color w:val="231F20"/>
          <w:w w:val="110"/>
        </w:rPr>
        <w:t>2004: </w:t>
      </w:r>
      <w:r>
        <w:rPr>
          <w:color w:val="231F20"/>
          <w:spacing w:val="10"/>
          <w:w w:val="110"/>
        </w:rPr>
        <w:t> </w:t>
      </w:r>
      <w:r>
        <w:rPr>
          <w:color w:val="231F20"/>
          <w:w w:val="110"/>
        </w:rPr>
        <w:t>60).</w:t>
      </w:r>
    </w:p>
    <w:p>
      <w:pPr>
        <w:pStyle w:val="BodyText"/>
        <w:spacing w:line="261" w:lineRule="auto"/>
        <w:ind w:left="100" w:right="117" w:firstLine="240"/>
        <w:jc w:val="both"/>
      </w:pPr>
      <w:r>
        <w:rPr>
          <w:color w:val="231F20"/>
          <w:w w:val="110"/>
        </w:rPr>
        <w:t>La guerra preventiva exige la movilización permanente, lo cual implica</w:t>
      </w:r>
      <w:r>
        <w:rPr>
          <w:color w:val="231F20"/>
          <w:spacing w:val="-12"/>
          <w:w w:val="110"/>
        </w:rPr>
        <w:t> </w:t>
      </w:r>
      <w:r>
        <w:rPr>
          <w:color w:val="231F20"/>
          <w:w w:val="110"/>
        </w:rPr>
        <w:t>el</w:t>
      </w:r>
      <w:r>
        <w:rPr>
          <w:color w:val="231F20"/>
          <w:spacing w:val="-12"/>
          <w:w w:val="110"/>
        </w:rPr>
        <w:t> </w:t>
      </w:r>
      <w:r>
        <w:rPr>
          <w:color w:val="231F20"/>
          <w:w w:val="110"/>
        </w:rPr>
        <w:t>tránsito</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gestión</w:t>
      </w:r>
      <w:r>
        <w:rPr>
          <w:color w:val="231F20"/>
          <w:spacing w:val="-12"/>
          <w:w w:val="110"/>
        </w:rPr>
        <w:t> </w:t>
      </w:r>
      <w:r>
        <w:rPr>
          <w:color w:val="231F20"/>
          <w:w w:val="110"/>
        </w:rPr>
        <w:t>hegemónica</w:t>
      </w:r>
      <w:r>
        <w:rPr>
          <w:color w:val="231F20"/>
          <w:spacing w:val="-12"/>
          <w:w w:val="110"/>
        </w:rPr>
        <w:t> </w:t>
      </w:r>
      <w:r>
        <w:rPr>
          <w:color w:val="231F20"/>
          <w:w w:val="110"/>
        </w:rPr>
        <w:t>clásica</w:t>
      </w:r>
      <w:r>
        <w:rPr>
          <w:color w:val="231F20"/>
          <w:spacing w:val="-12"/>
          <w:w w:val="110"/>
        </w:rPr>
        <w:t> </w:t>
      </w:r>
      <w:r>
        <w:rPr>
          <w:color w:val="231F20"/>
          <w:w w:val="110"/>
        </w:rPr>
        <w:t>a</w:t>
      </w:r>
      <w:r>
        <w:rPr>
          <w:color w:val="231F20"/>
          <w:spacing w:val="-12"/>
          <w:w w:val="110"/>
        </w:rPr>
        <w:t> </w:t>
      </w:r>
      <w:r>
        <w:rPr>
          <w:color w:val="231F20"/>
          <w:w w:val="110"/>
        </w:rPr>
        <w:t>una</w:t>
      </w:r>
      <w:r>
        <w:rPr>
          <w:color w:val="231F20"/>
          <w:spacing w:val="-12"/>
          <w:w w:val="110"/>
        </w:rPr>
        <w:t> </w:t>
      </w:r>
      <w:r>
        <w:rPr>
          <w:color w:val="231F20"/>
          <w:w w:val="110"/>
        </w:rPr>
        <w:t>estrategia de expansión imperial que tiene como corolario la guerra perpetua (Cassen y Dumenil, 2007: 66) La movilización o guerra permanente puesta</w:t>
      </w:r>
      <w:r>
        <w:rPr>
          <w:color w:val="231F20"/>
          <w:spacing w:val="37"/>
          <w:w w:val="110"/>
        </w:rPr>
        <w:t> </w:t>
      </w:r>
      <w:r>
        <w:rPr>
          <w:color w:val="231F20"/>
          <w:w w:val="110"/>
        </w:rPr>
        <w:t>en</w:t>
      </w:r>
      <w:r>
        <w:rPr>
          <w:color w:val="231F20"/>
          <w:spacing w:val="37"/>
          <w:w w:val="110"/>
        </w:rPr>
        <w:t> </w:t>
      </w:r>
      <w:r>
        <w:rPr>
          <w:color w:val="231F20"/>
          <w:w w:val="110"/>
        </w:rPr>
        <w:t>práctica</w:t>
      </w:r>
      <w:r>
        <w:rPr>
          <w:color w:val="231F20"/>
          <w:spacing w:val="37"/>
          <w:w w:val="110"/>
        </w:rPr>
        <w:t> </w:t>
      </w:r>
      <w:r>
        <w:rPr>
          <w:color w:val="231F20"/>
          <w:w w:val="110"/>
        </w:rPr>
        <w:t>por</w:t>
      </w:r>
      <w:r>
        <w:rPr>
          <w:color w:val="231F20"/>
          <w:spacing w:val="37"/>
          <w:w w:val="110"/>
        </w:rPr>
        <w:t> </w:t>
      </w:r>
      <w:r>
        <w:rPr>
          <w:color w:val="231F20"/>
          <w:w w:val="110"/>
        </w:rPr>
        <w:t>la</w:t>
      </w:r>
      <w:r>
        <w:rPr>
          <w:color w:val="231F20"/>
          <w:spacing w:val="37"/>
          <w:w w:val="110"/>
        </w:rPr>
        <w:t> </w:t>
      </w:r>
      <w:r>
        <w:rPr>
          <w:color w:val="231F20"/>
          <w:w w:val="110"/>
        </w:rPr>
        <w:t>administración</w:t>
      </w:r>
      <w:r>
        <w:rPr>
          <w:color w:val="231F20"/>
          <w:spacing w:val="37"/>
          <w:w w:val="110"/>
        </w:rPr>
        <w:t> </w:t>
      </w:r>
      <w:r>
        <w:rPr>
          <w:color w:val="231F20"/>
          <w:w w:val="110"/>
        </w:rPr>
        <w:t>Bush,</w:t>
      </w:r>
      <w:r>
        <w:rPr>
          <w:color w:val="231F20"/>
          <w:spacing w:val="37"/>
          <w:w w:val="110"/>
        </w:rPr>
        <w:t> </w:t>
      </w:r>
      <w:r>
        <w:rPr>
          <w:color w:val="231F20"/>
          <w:w w:val="110"/>
        </w:rPr>
        <w:t>se</w:t>
      </w:r>
      <w:r>
        <w:rPr>
          <w:color w:val="231F20"/>
          <w:spacing w:val="37"/>
          <w:w w:val="110"/>
        </w:rPr>
        <w:t> </w:t>
      </w:r>
      <w:r>
        <w:rPr>
          <w:color w:val="231F20"/>
          <w:w w:val="110"/>
        </w:rPr>
        <w:t>fundamenta</w:t>
      </w:r>
      <w:r>
        <w:rPr>
          <w:color w:val="231F20"/>
          <w:spacing w:val="37"/>
          <w:w w:val="110"/>
        </w:rPr>
        <w:t> </w:t>
      </w:r>
      <w:r>
        <w:rPr>
          <w:color w:val="231F20"/>
          <w:w w:val="110"/>
        </w:rPr>
        <w:t>en</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el mantenimiento sistemático del miedo tanto dentro</w:t>
      </w:r>
      <w:r>
        <w:rPr>
          <w:color w:val="231F20"/>
          <w:spacing w:val="3"/>
          <w:w w:val="110"/>
        </w:rPr>
        <w:t> </w:t>
      </w:r>
      <w:r>
        <w:rPr>
          <w:color w:val="231F20"/>
          <w:w w:val="110"/>
        </w:rPr>
        <w:t>de</w:t>
      </w:r>
      <w:r>
        <w:rPr>
          <w:color w:val="231F20"/>
          <w:spacing w:val="47"/>
          <w:w w:val="110"/>
        </w:rPr>
        <w:t> </w:t>
      </w:r>
      <w:r>
        <w:rPr>
          <w:color w:val="231F20"/>
          <w:w w:val="110"/>
        </w:rPr>
        <w:t>Estados</w:t>
      </w:r>
      <w:r>
        <w:rPr>
          <w:color w:val="231F20"/>
          <w:spacing w:val="1"/>
          <w:w w:val="105"/>
        </w:rPr>
        <w:t> </w:t>
      </w:r>
      <w:r>
        <w:rPr>
          <w:color w:val="231F20"/>
          <w:spacing w:val="2"/>
          <w:w w:val="110"/>
        </w:rPr>
        <w:t>Unidos como afuera; </w:t>
      </w:r>
      <w:r>
        <w:rPr>
          <w:color w:val="231F20"/>
          <w:w w:val="110"/>
        </w:rPr>
        <w:t>el </w:t>
      </w:r>
      <w:r>
        <w:rPr>
          <w:color w:val="231F20"/>
          <w:spacing w:val="2"/>
          <w:w w:val="110"/>
        </w:rPr>
        <w:t>imperio </w:t>
      </w:r>
      <w:r>
        <w:rPr>
          <w:color w:val="231F20"/>
          <w:w w:val="110"/>
        </w:rPr>
        <w:t>de la </w:t>
      </w:r>
      <w:r>
        <w:rPr>
          <w:color w:val="231F20"/>
          <w:spacing w:val="2"/>
          <w:w w:val="110"/>
        </w:rPr>
        <w:t>guerra permanente</w:t>
      </w:r>
      <w:r>
        <w:rPr>
          <w:color w:val="231F20"/>
          <w:spacing w:val="-18"/>
          <w:w w:val="110"/>
        </w:rPr>
        <w:t> </w:t>
      </w:r>
      <w:r>
        <w:rPr>
          <w:color w:val="231F20"/>
          <w:w w:val="110"/>
        </w:rPr>
        <w:t>es</w:t>
      </w:r>
      <w:r>
        <w:rPr>
          <w:color w:val="231F20"/>
          <w:spacing w:val="49"/>
          <w:w w:val="110"/>
        </w:rPr>
        <w:t> </w:t>
      </w:r>
      <w:r>
        <w:rPr>
          <w:color w:val="231F20"/>
          <w:spacing w:val="3"/>
          <w:w w:val="110"/>
        </w:rPr>
        <w:t>el</w:t>
      </w:r>
      <w:r>
        <w:rPr>
          <w:color w:val="231F20"/>
          <w:spacing w:val="3"/>
          <w:w w:val="108"/>
        </w:rPr>
        <w:t> </w:t>
      </w:r>
      <w:r>
        <w:rPr>
          <w:color w:val="231F20"/>
          <w:w w:val="110"/>
        </w:rPr>
        <w:t>imperio del miedo permanente, so pretexto de combatir al terro- rismo (Cassen y Dumenil, 2007: 30). De la mano de esta política la administración de Bush, a partir de 2001, invadió Irak y Afganistán; estableció 10 bases en Asia Central, Golfo Árabe-Pérsico y en el Cáucaso (Georgia); intensificó operaciones en Asia Oriental (Filipi- nas) con el objeto de controlar riquezas y flujos económicos desde el Mediterráneo Oriental hasta Asia del Sur con el claro propósito de reconfigurar las relaciones internacionales a partir del poderío militar (Cassen y Dumenil, 2007). Los contenidos de esta</w:t>
      </w:r>
      <w:r>
        <w:rPr>
          <w:color w:val="231F20"/>
          <w:spacing w:val="-16"/>
          <w:w w:val="110"/>
        </w:rPr>
        <w:t> </w:t>
      </w:r>
      <w:r>
        <w:rPr>
          <w:color w:val="231F20"/>
          <w:w w:val="110"/>
        </w:rPr>
        <w:t>estrategia, y</w:t>
      </w:r>
      <w:r>
        <w:rPr>
          <w:color w:val="231F20"/>
          <w:spacing w:val="43"/>
          <w:w w:val="110"/>
        </w:rPr>
        <w:t> </w:t>
      </w:r>
      <w:r>
        <w:rPr>
          <w:color w:val="231F20"/>
          <w:w w:val="110"/>
        </w:rPr>
        <w:t>las</w:t>
      </w:r>
      <w:r>
        <w:rPr>
          <w:color w:val="231F20"/>
          <w:spacing w:val="43"/>
          <w:w w:val="110"/>
        </w:rPr>
        <w:t> </w:t>
      </w:r>
      <w:r>
        <w:rPr>
          <w:color w:val="231F20"/>
          <w:w w:val="110"/>
        </w:rPr>
        <w:t>acciones</w:t>
      </w:r>
      <w:r>
        <w:rPr>
          <w:color w:val="231F20"/>
          <w:spacing w:val="43"/>
          <w:w w:val="110"/>
        </w:rPr>
        <w:t> </w:t>
      </w:r>
      <w:r>
        <w:rPr>
          <w:color w:val="231F20"/>
          <w:w w:val="110"/>
        </w:rPr>
        <w:t>orientadas</w:t>
      </w:r>
      <w:r>
        <w:rPr>
          <w:color w:val="231F20"/>
          <w:spacing w:val="43"/>
          <w:w w:val="110"/>
        </w:rPr>
        <w:t> </w:t>
      </w:r>
      <w:r>
        <w:rPr>
          <w:color w:val="231F20"/>
          <w:w w:val="110"/>
        </w:rPr>
        <w:t>a</w:t>
      </w:r>
      <w:r>
        <w:rPr>
          <w:color w:val="231F20"/>
          <w:spacing w:val="43"/>
          <w:w w:val="110"/>
        </w:rPr>
        <w:t> </w:t>
      </w:r>
      <w:r>
        <w:rPr>
          <w:color w:val="231F20"/>
          <w:w w:val="110"/>
        </w:rPr>
        <w:t>su</w:t>
      </w:r>
      <w:r>
        <w:rPr>
          <w:color w:val="231F20"/>
          <w:spacing w:val="43"/>
          <w:w w:val="110"/>
        </w:rPr>
        <w:t> </w:t>
      </w:r>
      <w:r>
        <w:rPr>
          <w:color w:val="231F20"/>
          <w:w w:val="110"/>
        </w:rPr>
        <w:t>ejecución,</w:t>
      </w:r>
      <w:r>
        <w:rPr>
          <w:color w:val="231F20"/>
          <w:spacing w:val="43"/>
          <w:w w:val="110"/>
        </w:rPr>
        <w:t> </w:t>
      </w:r>
      <w:r>
        <w:rPr>
          <w:color w:val="231F20"/>
          <w:w w:val="110"/>
        </w:rPr>
        <w:t>generaron</w:t>
      </w:r>
      <w:r>
        <w:rPr>
          <w:color w:val="231F20"/>
          <w:spacing w:val="43"/>
          <w:w w:val="110"/>
        </w:rPr>
        <w:t> </w:t>
      </w:r>
      <w:r>
        <w:rPr>
          <w:color w:val="231F20"/>
          <w:w w:val="110"/>
        </w:rPr>
        <w:t>un</w:t>
      </w:r>
      <w:r>
        <w:rPr>
          <w:color w:val="231F20"/>
          <w:spacing w:val="43"/>
          <w:w w:val="110"/>
        </w:rPr>
        <w:t> </w:t>
      </w:r>
      <w:r>
        <w:rPr>
          <w:color w:val="231F20"/>
          <w:w w:val="110"/>
        </w:rPr>
        <w:t>profundo</w:t>
      </w:r>
      <w:r>
        <w:rPr>
          <w:color w:val="231F20"/>
          <w:spacing w:val="1"/>
          <w:w w:val="114"/>
        </w:rPr>
        <w:t> </w:t>
      </w:r>
      <w:r>
        <w:rPr>
          <w:color w:val="231F20"/>
          <w:w w:val="110"/>
        </w:rPr>
        <w:t>malestar y exacerbaron el extendido sentimiento antiestadunidense incluso entre sus amigos y aliados, a pesar de la solidaridad</w:t>
      </w:r>
      <w:r>
        <w:rPr>
          <w:color w:val="231F20"/>
          <w:spacing w:val="-19"/>
          <w:w w:val="110"/>
        </w:rPr>
        <w:t> </w:t>
      </w:r>
      <w:r>
        <w:rPr>
          <w:color w:val="231F20"/>
          <w:w w:val="110"/>
        </w:rPr>
        <w:t>mundial que rodeó al pueblo y el gobierno de este país a raíz de los ataques del 11 de septiembre de 2001 (Wallerstein,</w:t>
      </w:r>
      <w:r>
        <w:rPr>
          <w:color w:val="231F20"/>
          <w:spacing w:val="18"/>
          <w:w w:val="110"/>
        </w:rPr>
        <w:t> </w:t>
      </w:r>
      <w:r>
        <w:rPr>
          <w:color w:val="231F20"/>
          <w:w w:val="110"/>
        </w:rPr>
        <w:t>2007).</w:t>
      </w:r>
    </w:p>
    <w:p>
      <w:pPr>
        <w:pStyle w:val="BodyText"/>
        <w:spacing w:line="261" w:lineRule="auto"/>
        <w:ind w:left="100" w:right="117" w:firstLine="240"/>
        <w:jc w:val="both"/>
      </w:pPr>
      <w:r>
        <w:rPr>
          <w:color w:val="231F20"/>
          <w:w w:val="110"/>
        </w:rPr>
        <w:t>Desde</w:t>
      </w:r>
      <w:r>
        <w:rPr>
          <w:color w:val="231F20"/>
          <w:spacing w:val="-10"/>
          <w:w w:val="110"/>
        </w:rPr>
        <w:t> </w:t>
      </w:r>
      <w:r>
        <w:rPr>
          <w:color w:val="231F20"/>
          <w:w w:val="110"/>
        </w:rPr>
        <w:t>la</w:t>
      </w:r>
      <w:r>
        <w:rPr>
          <w:color w:val="231F20"/>
          <w:spacing w:val="-10"/>
          <w:w w:val="110"/>
        </w:rPr>
        <w:t> </w:t>
      </w:r>
      <w:r>
        <w:rPr>
          <w:color w:val="231F20"/>
          <w:w w:val="110"/>
        </w:rPr>
        <w:t>campaña</w:t>
      </w:r>
      <w:r>
        <w:rPr>
          <w:color w:val="231F20"/>
          <w:spacing w:val="-10"/>
          <w:w w:val="110"/>
        </w:rPr>
        <w:t> </w:t>
      </w:r>
      <w:r>
        <w:rPr>
          <w:color w:val="231F20"/>
          <w:w w:val="110"/>
        </w:rPr>
        <w:t>presidencial</w:t>
      </w:r>
      <w:r>
        <w:rPr>
          <w:color w:val="231F20"/>
          <w:spacing w:val="-10"/>
          <w:w w:val="110"/>
        </w:rPr>
        <w:t> </w:t>
      </w:r>
      <w:r>
        <w:rPr>
          <w:color w:val="231F20"/>
          <w:w w:val="110"/>
        </w:rPr>
        <w:t>Obama</w:t>
      </w:r>
      <w:r>
        <w:rPr>
          <w:color w:val="231F20"/>
          <w:spacing w:val="-10"/>
          <w:w w:val="110"/>
        </w:rPr>
        <w:t> </w:t>
      </w:r>
      <w:r>
        <w:rPr>
          <w:color w:val="231F20"/>
          <w:w w:val="110"/>
        </w:rPr>
        <w:t>buscó</w:t>
      </w:r>
      <w:r>
        <w:rPr>
          <w:color w:val="231F20"/>
          <w:spacing w:val="-10"/>
          <w:w w:val="110"/>
        </w:rPr>
        <w:t> </w:t>
      </w:r>
      <w:r>
        <w:rPr>
          <w:color w:val="231F20"/>
          <w:w w:val="110"/>
        </w:rPr>
        <w:t>distanciarse</w:t>
      </w:r>
      <w:r>
        <w:rPr>
          <w:color w:val="231F20"/>
          <w:spacing w:val="-10"/>
          <w:w w:val="110"/>
        </w:rPr>
        <w:t> </w:t>
      </w:r>
      <w:r>
        <w:rPr>
          <w:color w:val="231F20"/>
          <w:w w:val="110"/>
        </w:rPr>
        <w:t>de</w:t>
      </w:r>
      <w:r>
        <w:rPr>
          <w:color w:val="231F20"/>
          <w:spacing w:val="-10"/>
          <w:w w:val="110"/>
        </w:rPr>
        <w:t> </w:t>
      </w:r>
      <w:r>
        <w:rPr>
          <w:color w:val="231F20"/>
          <w:w w:val="110"/>
        </w:rPr>
        <w:t>algu- nos elementos de las políticas exterior y de seguridad y defensa de la administración Bush, como ha sido analizado arriba, en particular con el unilateralismo, la arrogancia frente a las otras naciones, la guerra</w:t>
      </w:r>
      <w:r>
        <w:rPr>
          <w:color w:val="231F20"/>
          <w:spacing w:val="-16"/>
          <w:w w:val="110"/>
        </w:rPr>
        <w:t> </w:t>
      </w:r>
      <w:r>
        <w:rPr>
          <w:color w:val="231F20"/>
          <w:w w:val="110"/>
        </w:rPr>
        <w:t>preventiva</w:t>
      </w:r>
      <w:r>
        <w:rPr>
          <w:color w:val="231F20"/>
          <w:spacing w:val="-15"/>
          <w:w w:val="110"/>
        </w:rPr>
        <w:t> </w:t>
      </w:r>
      <w:r>
        <w:rPr>
          <w:color w:val="231F20"/>
          <w:w w:val="110"/>
        </w:rPr>
        <w:t>y</w:t>
      </w:r>
      <w:r>
        <w:rPr>
          <w:color w:val="231F20"/>
          <w:spacing w:val="-16"/>
          <w:w w:val="110"/>
        </w:rPr>
        <w:t> </w:t>
      </w:r>
      <w:r>
        <w:rPr>
          <w:color w:val="231F20"/>
          <w:w w:val="110"/>
        </w:rPr>
        <w:t>las</w:t>
      </w:r>
      <w:r>
        <w:rPr>
          <w:color w:val="231F20"/>
          <w:spacing w:val="-15"/>
          <w:w w:val="110"/>
        </w:rPr>
        <w:t> </w:t>
      </w:r>
      <w:r>
        <w:rPr>
          <w:color w:val="231F20"/>
          <w:w w:val="110"/>
        </w:rPr>
        <w:t>violaciones</w:t>
      </w:r>
      <w:r>
        <w:rPr>
          <w:color w:val="231F20"/>
          <w:spacing w:val="-16"/>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derechos</w:t>
      </w:r>
      <w:r>
        <w:rPr>
          <w:color w:val="231F20"/>
          <w:spacing w:val="-16"/>
          <w:w w:val="110"/>
        </w:rPr>
        <w:t> </w:t>
      </w:r>
      <w:r>
        <w:rPr>
          <w:color w:val="231F20"/>
          <w:w w:val="110"/>
        </w:rPr>
        <w:t>humanos</w:t>
      </w:r>
      <w:r>
        <w:rPr>
          <w:color w:val="231F20"/>
          <w:spacing w:val="-16"/>
          <w:w w:val="110"/>
        </w:rPr>
        <w:t> </w:t>
      </w:r>
      <w:r>
        <w:rPr>
          <w:color w:val="231F20"/>
          <w:w w:val="110"/>
        </w:rPr>
        <w:t>y</w:t>
      </w:r>
      <w:r>
        <w:rPr>
          <w:color w:val="231F20"/>
          <w:spacing w:val="-15"/>
          <w:w w:val="110"/>
        </w:rPr>
        <w:t> </w:t>
      </w:r>
      <w:r>
        <w:rPr>
          <w:color w:val="231F20"/>
          <w:w w:val="110"/>
        </w:rPr>
        <w:t>ha</w:t>
      </w:r>
      <w:r>
        <w:rPr>
          <w:color w:val="231F20"/>
          <w:spacing w:val="-16"/>
          <w:w w:val="110"/>
        </w:rPr>
        <w:t> </w:t>
      </w:r>
      <w:r>
        <w:rPr>
          <w:color w:val="231F20"/>
          <w:w w:val="110"/>
        </w:rPr>
        <w:t>invo- cado la importancia de un liderazgo sobre bases éticas que remita a la preservación de los principios fundadores que han guiado la</w:t>
      </w:r>
      <w:r>
        <w:rPr>
          <w:color w:val="231F20"/>
          <w:spacing w:val="-27"/>
          <w:w w:val="110"/>
        </w:rPr>
        <w:t> </w:t>
      </w:r>
      <w:r>
        <w:rPr>
          <w:color w:val="231F20"/>
          <w:w w:val="110"/>
        </w:rPr>
        <w:t>cons- trucción de la nación. Las ideas centrales de su política exterior se encuentran</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i/>
          <w:color w:val="231F20"/>
          <w:w w:val="110"/>
        </w:rPr>
        <w:t>Phoenix</w:t>
      </w:r>
      <w:r>
        <w:rPr>
          <w:i/>
          <w:color w:val="231F20"/>
          <w:spacing w:val="-16"/>
          <w:w w:val="110"/>
        </w:rPr>
        <w:t> </w:t>
      </w:r>
      <w:r>
        <w:rPr>
          <w:i/>
          <w:color w:val="231F20"/>
          <w:w w:val="110"/>
        </w:rPr>
        <w:t>Initiative</w:t>
      </w:r>
      <w:r>
        <w:rPr>
          <w:i/>
          <w:color w:val="231F20"/>
          <w:spacing w:val="-16"/>
          <w:w w:val="110"/>
        </w:rPr>
        <w:t> </w:t>
      </w:r>
      <w:r>
        <w:rPr>
          <w:color w:val="231F20"/>
          <w:w w:val="110"/>
        </w:rPr>
        <w:t>contenidas</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informe</w:t>
      </w:r>
      <w:r>
        <w:rPr>
          <w:color w:val="231F20"/>
          <w:spacing w:val="-16"/>
          <w:w w:val="110"/>
        </w:rPr>
        <w:t> </w:t>
      </w:r>
      <w:r>
        <w:rPr>
          <w:i/>
          <w:color w:val="231F20"/>
          <w:w w:val="110"/>
        </w:rPr>
        <w:t>Strategic </w:t>
      </w:r>
      <w:r>
        <w:rPr>
          <w:i/>
          <w:color w:val="231F20"/>
          <w:w w:val="95"/>
        </w:rPr>
        <w:t>Leadership: Framework for a Twenty-first Century National Security Strategy </w:t>
      </w:r>
      <w:r>
        <w:rPr>
          <w:color w:val="231F20"/>
          <w:w w:val="110"/>
        </w:rPr>
        <w:t>elaborado por un grupo de académicos prodemócratas que propo- </w:t>
      </w:r>
      <w:r>
        <w:rPr>
          <w:color w:val="231F20"/>
          <w:w w:val="105"/>
        </w:rPr>
        <w:t>nen</w:t>
      </w:r>
      <w:r>
        <w:rPr>
          <w:color w:val="231F20"/>
          <w:spacing w:val="-26"/>
          <w:w w:val="105"/>
        </w:rPr>
        <w:t> </w:t>
      </w:r>
      <w:r>
        <w:rPr>
          <w:color w:val="231F20"/>
          <w:w w:val="105"/>
        </w:rPr>
        <w:t>salirse</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límites</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viejas</w:t>
      </w:r>
      <w:r>
        <w:rPr>
          <w:color w:val="231F20"/>
          <w:spacing w:val="-26"/>
          <w:w w:val="105"/>
        </w:rPr>
        <w:t> </w:t>
      </w:r>
      <w:r>
        <w:rPr>
          <w:color w:val="231F20"/>
          <w:w w:val="105"/>
        </w:rPr>
        <w:t>políticas</w:t>
      </w:r>
      <w:r>
        <w:rPr>
          <w:color w:val="231F20"/>
          <w:spacing w:val="-26"/>
          <w:w w:val="105"/>
        </w:rPr>
        <w:t> </w:t>
      </w:r>
      <w:r>
        <w:rPr>
          <w:color w:val="231F20"/>
          <w:w w:val="105"/>
        </w:rPr>
        <w:t>de</w:t>
      </w:r>
      <w:r>
        <w:rPr>
          <w:color w:val="231F20"/>
          <w:spacing w:val="-26"/>
          <w:w w:val="105"/>
        </w:rPr>
        <w:t> </w:t>
      </w:r>
      <w:r>
        <w:rPr>
          <w:i/>
          <w:color w:val="231F20"/>
          <w:w w:val="105"/>
        </w:rPr>
        <w:t>contención</w:t>
      </w:r>
      <w:r>
        <w:rPr>
          <w:color w:val="231F20"/>
          <w:w w:val="105"/>
        </w:rPr>
        <w:t>,</w:t>
      </w:r>
      <w:r>
        <w:rPr>
          <w:color w:val="231F20"/>
          <w:spacing w:val="-26"/>
          <w:w w:val="105"/>
        </w:rPr>
        <w:t> </w:t>
      </w:r>
      <w:r>
        <w:rPr>
          <w:i/>
          <w:color w:val="231F20"/>
          <w:w w:val="105"/>
        </w:rPr>
        <w:t>compromiso </w:t>
      </w:r>
      <w:r>
        <w:rPr>
          <w:color w:val="231F20"/>
          <w:w w:val="110"/>
        </w:rPr>
        <w:t>y</w:t>
      </w:r>
      <w:r>
        <w:rPr>
          <w:color w:val="231F20"/>
          <w:spacing w:val="-26"/>
          <w:w w:val="110"/>
        </w:rPr>
        <w:t> </w:t>
      </w:r>
      <w:r>
        <w:rPr>
          <w:i/>
          <w:color w:val="231F20"/>
          <w:w w:val="110"/>
        </w:rPr>
        <w:t>ampliación</w:t>
      </w:r>
      <w:r>
        <w:rPr>
          <w:i/>
          <w:color w:val="231F20"/>
          <w:spacing w:val="-26"/>
          <w:w w:val="110"/>
        </w:rPr>
        <w:t> </w:t>
      </w:r>
      <w:r>
        <w:rPr>
          <w:color w:val="231F20"/>
          <w:w w:val="110"/>
        </w:rPr>
        <w:t>y</w:t>
      </w:r>
      <w:r>
        <w:rPr>
          <w:color w:val="231F20"/>
          <w:spacing w:val="-26"/>
          <w:w w:val="110"/>
        </w:rPr>
        <w:t> </w:t>
      </w:r>
      <w:r>
        <w:rPr>
          <w:color w:val="231F20"/>
          <w:w w:val="110"/>
        </w:rPr>
        <w:t>asumir</w:t>
      </w:r>
      <w:r>
        <w:rPr>
          <w:color w:val="231F20"/>
          <w:spacing w:val="-26"/>
          <w:w w:val="110"/>
        </w:rPr>
        <w:t> </w:t>
      </w:r>
      <w:r>
        <w:rPr>
          <w:color w:val="231F20"/>
          <w:w w:val="110"/>
        </w:rPr>
        <w:t>que</w:t>
      </w:r>
      <w:r>
        <w:rPr>
          <w:color w:val="231F20"/>
          <w:spacing w:val="-26"/>
          <w:w w:val="110"/>
        </w:rPr>
        <w:t> </w:t>
      </w:r>
      <w:r>
        <w:rPr>
          <w:color w:val="231F20"/>
          <w:w w:val="110"/>
        </w:rPr>
        <w:t>en</w:t>
      </w:r>
      <w:r>
        <w:rPr>
          <w:color w:val="231F20"/>
          <w:spacing w:val="-26"/>
          <w:w w:val="110"/>
        </w:rPr>
        <w:t> </w:t>
      </w:r>
      <w:r>
        <w:rPr>
          <w:color w:val="231F20"/>
          <w:w w:val="110"/>
        </w:rPr>
        <w:t>las</w:t>
      </w:r>
      <w:r>
        <w:rPr>
          <w:color w:val="231F20"/>
          <w:spacing w:val="-26"/>
          <w:w w:val="110"/>
        </w:rPr>
        <w:t> </w:t>
      </w:r>
      <w:r>
        <w:rPr>
          <w:color w:val="231F20"/>
          <w:w w:val="110"/>
        </w:rPr>
        <w:t>condiciones</w:t>
      </w:r>
      <w:r>
        <w:rPr>
          <w:color w:val="231F20"/>
          <w:spacing w:val="-26"/>
          <w:w w:val="110"/>
        </w:rPr>
        <w:t> </w:t>
      </w:r>
      <w:r>
        <w:rPr>
          <w:color w:val="231F20"/>
          <w:w w:val="110"/>
        </w:rPr>
        <w:t>actuales</w:t>
      </w:r>
      <w:r>
        <w:rPr>
          <w:color w:val="231F20"/>
          <w:spacing w:val="-26"/>
          <w:w w:val="110"/>
        </w:rPr>
        <w:t> </w:t>
      </w:r>
      <w:r>
        <w:rPr>
          <w:color w:val="231F20"/>
          <w:w w:val="110"/>
        </w:rPr>
        <w:t>la</w:t>
      </w:r>
      <w:r>
        <w:rPr>
          <w:color w:val="231F20"/>
          <w:spacing w:val="-26"/>
          <w:w w:val="110"/>
        </w:rPr>
        <w:t> </w:t>
      </w:r>
      <w:r>
        <w:rPr>
          <w:color w:val="231F20"/>
          <w:w w:val="110"/>
        </w:rPr>
        <w:t>interconexión e interdependencia global así como la difusión son el marco de las relaciones internacionales, contexto en el cual Estados Unidos no tiene por qué ser el líder en todo y lo que debe hacer es construir   un</w:t>
      </w:r>
      <w:r>
        <w:rPr>
          <w:color w:val="231F20"/>
          <w:spacing w:val="-15"/>
          <w:w w:val="110"/>
        </w:rPr>
        <w:t> </w:t>
      </w:r>
      <w:r>
        <w:rPr>
          <w:color w:val="231F20"/>
          <w:w w:val="110"/>
        </w:rPr>
        <w:t>liderazgo</w:t>
      </w:r>
      <w:r>
        <w:rPr>
          <w:color w:val="231F20"/>
          <w:spacing w:val="-15"/>
          <w:w w:val="110"/>
        </w:rPr>
        <w:t> </w:t>
      </w:r>
      <w:r>
        <w:rPr>
          <w:color w:val="231F20"/>
          <w:w w:val="110"/>
        </w:rPr>
        <w:t>estratégico</w:t>
      </w:r>
      <w:r>
        <w:rPr>
          <w:color w:val="231F20"/>
          <w:spacing w:val="-15"/>
          <w:w w:val="110"/>
        </w:rPr>
        <w:t> </w:t>
      </w:r>
      <w:r>
        <w:rPr>
          <w:color w:val="231F20"/>
          <w:w w:val="110"/>
        </w:rPr>
        <w:t>consistente</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articulación</w:t>
      </w:r>
      <w:r>
        <w:rPr>
          <w:color w:val="231F20"/>
          <w:spacing w:val="-15"/>
          <w:w w:val="110"/>
        </w:rPr>
        <w:t> </w:t>
      </w:r>
      <w:r>
        <w:rPr>
          <w:color w:val="231F20"/>
          <w:w w:val="110"/>
        </w:rPr>
        <w:t>de</w:t>
      </w:r>
      <w:r>
        <w:rPr>
          <w:color w:val="231F20"/>
          <w:spacing w:val="-15"/>
          <w:w w:val="110"/>
        </w:rPr>
        <w:t> </w:t>
      </w:r>
      <w:r>
        <w:rPr>
          <w:color w:val="231F20"/>
          <w:w w:val="110"/>
        </w:rPr>
        <w:t>sus</w:t>
      </w:r>
      <w:r>
        <w:rPr>
          <w:color w:val="231F20"/>
          <w:spacing w:val="-15"/>
          <w:w w:val="110"/>
        </w:rPr>
        <w:t> </w:t>
      </w:r>
      <w:r>
        <w:rPr>
          <w:color w:val="231F20"/>
          <w:w w:val="110"/>
        </w:rPr>
        <w:t>intereses esenciales con intereses comunes a otras naciones, como lo son la lucha contra el terrorismo, la proliferación de armas nucleares y el calentamiento del planeta. Esta propuesta conserva elementos de la Primacía</w:t>
      </w:r>
      <w:r>
        <w:rPr>
          <w:color w:val="231F20"/>
          <w:spacing w:val="-20"/>
          <w:w w:val="110"/>
        </w:rPr>
        <w:t> </w:t>
      </w:r>
      <w:r>
        <w:rPr>
          <w:color w:val="231F20"/>
          <w:w w:val="110"/>
        </w:rPr>
        <w:t>Selectiva</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administración</w:t>
      </w:r>
      <w:r>
        <w:rPr>
          <w:color w:val="231F20"/>
          <w:spacing w:val="-20"/>
          <w:w w:val="110"/>
        </w:rPr>
        <w:t> </w:t>
      </w:r>
      <w:r>
        <w:rPr>
          <w:color w:val="231F20"/>
          <w:w w:val="110"/>
        </w:rPr>
        <w:t>Clinton</w:t>
      </w:r>
      <w:r>
        <w:rPr>
          <w:color w:val="231F20"/>
          <w:spacing w:val="-20"/>
          <w:w w:val="110"/>
        </w:rPr>
        <w:t> </w:t>
      </w:r>
      <w:r>
        <w:rPr>
          <w:color w:val="231F20"/>
          <w:w w:val="110"/>
        </w:rPr>
        <w:t>y</w:t>
      </w:r>
      <w:r>
        <w:rPr>
          <w:color w:val="231F20"/>
          <w:spacing w:val="-20"/>
          <w:w w:val="110"/>
        </w:rPr>
        <w:t> </w:t>
      </w:r>
      <w:r>
        <w:rPr>
          <w:color w:val="231F20"/>
          <w:w w:val="110"/>
        </w:rPr>
        <w:t>mantiene</w:t>
      </w:r>
      <w:r>
        <w:rPr>
          <w:color w:val="231F20"/>
          <w:spacing w:val="-20"/>
          <w:w w:val="110"/>
        </w:rPr>
        <w:t> </w:t>
      </w:r>
      <w:r>
        <w:rPr>
          <w:color w:val="231F20"/>
          <w:w w:val="110"/>
        </w:rPr>
        <w:t>principios tradicionales como la fortaleza militar y económica y la promoción de los derechos humanos, la democracia y el libre comercio</w:t>
      </w:r>
      <w:r>
        <w:rPr>
          <w:color w:val="231F20"/>
          <w:spacing w:val="-29"/>
          <w:w w:val="110"/>
        </w:rPr>
        <w:t> </w:t>
      </w:r>
      <w:r>
        <w:rPr>
          <w:color w:val="231F20"/>
          <w:w w:val="110"/>
        </w:rPr>
        <w:t>(García,</w:t>
      </w:r>
    </w:p>
    <w:p>
      <w:pPr>
        <w:spacing w:after="0" w:line="261" w:lineRule="auto"/>
        <w:jc w:val="both"/>
        <w:sectPr>
          <w:headerReference w:type="even" r:id="rId336"/>
          <w:headerReference w:type="default" r:id="rId337"/>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2009).</w:t>
      </w:r>
      <w:r>
        <w:rPr>
          <w:color w:val="231F20"/>
          <w:spacing w:val="-7"/>
          <w:w w:val="110"/>
        </w:rPr>
        <w:t> </w:t>
      </w:r>
      <w:r>
        <w:rPr>
          <w:color w:val="231F20"/>
          <w:w w:val="110"/>
        </w:rPr>
        <w:t>Es</w:t>
      </w:r>
      <w:r>
        <w:rPr>
          <w:color w:val="231F20"/>
          <w:spacing w:val="-7"/>
          <w:w w:val="110"/>
        </w:rPr>
        <w:t> </w:t>
      </w:r>
      <w:r>
        <w:rPr>
          <w:color w:val="231F20"/>
          <w:w w:val="110"/>
        </w:rPr>
        <w:t>una</w:t>
      </w:r>
      <w:r>
        <w:rPr>
          <w:color w:val="231F20"/>
          <w:spacing w:val="-7"/>
          <w:w w:val="110"/>
        </w:rPr>
        <w:t> </w:t>
      </w:r>
      <w:r>
        <w:rPr>
          <w:color w:val="231F20"/>
          <w:w w:val="110"/>
        </w:rPr>
        <w:t>combinación</w:t>
      </w:r>
      <w:r>
        <w:rPr>
          <w:color w:val="231F20"/>
          <w:spacing w:val="-7"/>
          <w:w w:val="110"/>
        </w:rPr>
        <w:t> </w:t>
      </w:r>
      <w:r>
        <w:rPr>
          <w:color w:val="231F20"/>
          <w:w w:val="110"/>
        </w:rPr>
        <w:t>de</w:t>
      </w:r>
      <w:r>
        <w:rPr>
          <w:color w:val="231F20"/>
          <w:spacing w:val="-7"/>
          <w:w w:val="110"/>
        </w:rPr>
        <w:t> </w:t>
      </w:r>
      <w:r>
        <w:rPr>
          <w:color w:val="231F20"/>
          <w:w w:val="110"/>
        </w:rPr>
        <w:t>idealismo</w:t>
      </w:r>
      <w:r>
        <w:rPr>
          <w:color w:val="231F20"/>
          <w:spacing w:val="-7"/>
          <w:w w:val="110"/>
        </w:rPr>
        <w:t> </w:t>
      </w:r>
      <w:r>
        <w:rPr>
          <w:color w:val="231F20"/>
          <w:w w:val="110"/>
        </w:rPr>
        <w:t>y</w:t>
      </w:r>
      <w:r>
        <w:rPr>
          <w:color w:val="231F20"/>
          <w:spacing w:val="-7"/>
          <w:w w:val="110"/>
        </w:rPr>
        <w:t> </w:t>
      </w:r>
      <w:r>
        <w:rPr>
          <w:color w:val="231F20"/>
          <w:w w:val="110"/>
        </w:rPr>
        <w:t>realismo</w:t>
      </w:r>
      <w:r>
        <w:rPr>
          <w:color w:val="231F20"/>
          <w:spacing w:val="-7"/>
          <w:w w:val="110"/>
        </w:rPr>
        <w:t> </w:t>
      </w:r>
      <w:r>
        <w:rPr>
          <w:color w:val="231F20"/>
          <w:w w:val="110"/>
        </w:rPr>
        <w:t>que</w:t>
      </w:r>
      <w:r>
        <w:rPr>
          <w:color w:val="231F20"/>
          <w:spacing w:val="-7"/>
          <w:w w:val="110"/>
        </w:rPr>
        <w:t> </w:t>
      </w:r>
      <w:r>
        <w:rPr>
          <w:color w:val="231F20"/>
          <w:w w:val="110"/>
        </w:rPr>
        <w:t>conduciría</w:t>
      </w:r>
      <w:r>
        <w:rPr>
          <w:color w:val="231F20"/>
          <w:spacing w:val="-7"/>
          <w:w w:val="110"/>
        </w:rPr>
        <w:t> </w:t>
      </w:r>
      <w:r>
        <w:rPr>
          <w:color w:val="231F20"/>
          <w:w w:val="110"/>
        </w:rPr>
        <w:t>a recuperar la hegemonía económica y normativa en un sistema mun- do fluido, inestable e incierto en el que están variando de manera acelerada las relaciones de  poder  económico</w:t>
      </w:r>
      <w:r>
        <w:rPr>
          <w:color w:val="231F20"/>
          <w:spacing w:val="-5"/>
          <w:w w:val="110"/>
        </w:rPr>
        <w:t> </w:t>
      </w:r>
      <w:r>
        <w:rPr>
          <w:color w:val="231F20"/>
          <w:w w:val="110"/>
        </w:rPr>
        <w:t>como</w:t>
      </w:r>
      <w:r>
        <w:rPr>
          <w:color w:val="231F20"/>
          <w:spacing w:val="45"/>
          <w:w w:val="110"/>
        </w:rPr>
        <w:t> </w:t>
      </w:r>
      <w:r>
        <w:rPr>
          <w:color w:val="231F20"/>
          <w:w w:val="110"/>
        </w:rPr>
        <w:t>consecuencia</w:t>
      </w:r>
      <w:r>
        <w:rPr>
          <w:color w:val="231F20"/>
          <w:spacing w:val="1"/>
          <w:w w:val="109"/>
        </w:rPr>
        <w:t> </w:t>
      </w:r>
      <w:r>
        <w:rPr>
          <w:color w:val="231F20"/>
          <w:w w:val="110"/>
        </w:rPr>
        <w:t>de la emergencia de nuevas potencias (India, Rusia, Brasil), muchas naciones acceden a la energía nuclear y tienen posibilidades de de- sarrollar armas nucleares, entre ellas algunos </w:t>
      </w:r>
      <w:r>
        <w:rPr>
          <w:i/>
          <w:color w:val="231F20"/>
          <w:w w:val="110"/>
        </w:rPr>
        <w:t>rogue states </w:t>
      </w:r>
      <w:r>
        <w:rPr>
          <w:color w:val="231F20"/>
          <w:w w:val="110"/>
        </w:rPr>
        <w:t>y el eje</w:t>
      </w:r>
      <w:r>
        <w:rPr>
          <w:color w:val="231F20"/>
          <w:spacing w:val="-29"/>
          <w:w w:val="110"/>
        </w:rPr>
        <w:t> </w:t>
      </w:r>
      <w:r>
        <w:rPr>
          <w:color w:val="231F20"/>
          <w:w w:val="110"/>
        </w:rPr>
        <w:t>de los</w:t>
      </w:r>
      <w:r>
        <w:rPr>
          <w:color w:val="231F20"/>
          <w:spacing w:val="-15"/>
          <w:w w:val="110"/>
        </w:rPr>
        <w:t> </w:t>
      </w:r>
      <w:r>
        <w:rPr>
          <w:color w:val="231F20"/>
          <w:w w:val="110"/>
        </w:rPr>
        <w:t>asuntos</w:t>
      </w:r>
      <w:r>
        <w:rPr>
          <w:color w:val="231F20"/>
          <w:spacing w:val="-15"/>
          <w:w w:val="110"/>
        </w:rPr>
        <w:t> </w:t>
      </w:r>
      <w:r>
        <w:rPr>
          <w:color w:val="231F20"/>
          <w:w w:val="110"/>
        </w:rPr>
        <w:t>mundiales</w:t>
      </w:r>
      <w:r>
        <w:rPr>
          <w:color w:val="231F20"/>
          <w:spacing w:val="-15"/>
          <w:w w:val="110"/>
        </w:rPr>
        <w:t> </w:t>
      </w:r>
      <w:r>
        <w:rPr>
          <w:color w:val="231F20"/>
          <w:w w:val="110"/>
        </w:rPr>
        <w:t>se</w:t>
      </w:r>
      <w:r>
        <w:rPr>
          <w:color w:val="231F20"/>
          <w:spacing w:val="-15"/>
          <w:w w:val="110"/>
        </w:rPr>
        <w:t> </w:t>
      </w:r>
      <w:r>
        <w:rPr>
          <w:color w:val="231F20"/>
          <w:w w:val="110"/>
        </w:rPr>
        <w:t>ha</w:t>
      </w:r>
      <w:r>
        <w:rPr>
          <w:color w:val="231F20"/>
          <w:spacing w:val="-15"/>
          <w:w w:val="110"/>
        </w:rPr>
        <w:t> </w:t>
      </w:r>
      <w:r>
        <w:rPr>
          <w:color w:val="231F20"/>
          <w:w w:val="110"/>
        </w:rPr>
        <w:t>desplazado</w:t>
      </w:r>
      <w:r>
        <w:rPr>
          <w:color w:val="231F20"/>
          <w:spacing w:val="-15"/>
          <w:w w:val="110"/>
        </w:rPr>
        <w:t> </w:t>
      </w:r>
      <w:r>
        <w:rPr>
          <w:color w:val="231F20"/>
          <w:w w:val="110"/>
        </w:rPr>
        <w:t>del</w:t>
      </w:r>
      <w:r>
        <w:rPr>
          <w:color w:val="231F20"/>
          <w:spacing w:val="-15"/>
          <w:w w:val="110"/>
        </w:rPr>
        <w:t> </w:t>
      </w:r>
      <w:r>
        <w:rPr>
          <w:color w:val="231F20"/>
          <w:w w:val="110"/>
        </w:rPr>
        <w:t>Atlántico</w:t>
      </w:r>
      <w:r>
        <w:rPr>
          <w:color w:val="231F20"/>
          <w:spacing w:val="-15"/>
          <w:w w:val="110"/>
        </w:rPr>
        <w:t> </w:t>
      </w:r>
      <w:r>
        <w:rPr>
          <w:color w:val="231F20"/>
          <w:w w:val="110"/>
        </w:rPr>
        <w:t>al</w:t>
      </w:r>
      <w:r>
        <w:rPr>
          <w:color w:val="231F20"/>
          <w:spacing w:val="-15"/>
          <w:w w:val="110"/>
        </w:rPr>
        <w:t> </w:t>
      </w:r>
      <w:r>
        <w:rPr>
          <w:color w:val="231F20"/>
          <w:w w:val="110"/>
        </w:rPr>
        <w:t>Asia-Pacífico (García,</w:t>
      </w:r>
      <w:r>
        <w:rPr>
          <w:color w:val="231F20"/>
          <w:spacing w:val="-5"/>
          <w:w w:val="110"/>
        </w:rPr>
        <w:t> </w:t>
      </w:r>
      <w:r>
        <w:rPr>
          <w:color w:val="231F20"/>
          <w:w w:val="110"/>
        </w:rPr>
        <w:t>2009).</w:t>
      </w:r>
    </w:p>
    <w:p>
      <w:pPr>
        <w:pStyle w:val="BodyText"/>
        <w:spacing w:line="261" w:lineRule="auto"/>
        <w:ind w:left="100" w:right="112" w:firstLine="240"/>
        <w:jc w:val="both"/>
      </w:pPr>
      <w:r>
        <w:rPr>
          <w:color w:val="231F20"/>
          <w:w w:val="110"/>
        </w:rPr>
        <w:t>La política exterior se articula con la de seguridad y defensa </w:t>
      </w:r>
      <w:r>
        <w:rPr>
          <w:color w:val="231F20"/>
          <w:spacing w:val="-8"/>
          <w:w w:val="110"/>
        </w:rPr>
        <w:t>y, </w:t>
      </w:r>
      <w:r>
        <w:rPr>
          <w:color w:val="231F20"/>
          <w:w w:val="110"/>
        </w:rPr>
        <w:t>en el caso de una potencia hegemónica como los Estados Unidos, esta articulación es mucho más estrecha como quiera que su seguridad   y defensa tienen implicaciones planetarias. Los cambios en la pri- mera han implicado siempre cambios en la segunda, como lo puso de presente la consolidación de las concepciones neoconservadoras durante la administración de Bush. Sin embargo no parecen viables rupturas radicales en materia de política exterior y los márgenes    de maniobra del gobierno están acotados por fuerzas e intereses internos y externos que delimitan su acción, aún en el caso de que  el presidente quisiera avanzar en un cambio radical. El problema no es el de las intenciones de un dirigente, es cuestión de la naturale-  za de los intereses en juego. En el caso que nos ocupa operan los constreñimientos que derivan de la fluida situación internacional,   la pesada herencia de la guerra global contra el terrorismo de la administración Bush y sus dos guerras y la profundidad de la crisis del sector financiero. Por supuesto que la política exterior y de se- guridad y defensa del presidente Obama implica rupturas, cambios  y continuidades. En el centro de ellas se encuentra siempre presente la defensa de los intereses vitales de Estados Unidos para lo cual se ha diseñado una gran estrategia orientada al ejercicio del liderazgo selectivo</w:t>
      </w:r>
      <w:r>
        <w:rPr>
          <w:color w:val="231F20"/>
          <w:spacing w:val="-15"/>
          <w:w w:val="110"/>
        </w:rPr>
        <w:t> </w:t>
      </w:r>
      <w:r>
        <w:rPr>
          <w:color w:val="231F20"/>
          <w:w w:val="110"/>
        </w:rPr>
        <w:t>en</w:t>
      </w:r>
      <w:r>
        <w:rPr>
          <w:color w:val="231F20"/>
          <w:spacing w:val="-15"/>
          <w:w w:val="110"/>
        </w:rPr>
        <w:t> </w:t>
      </w:r>
      <w:r>
        <w:rPr>
          <w:color w:val="231F20"/>
          <w:w w:val="110"/>
        </w:rPr>
        <w:t>aquellos</w:t>
      </w:r>
      <w:r>
        <w:rPr>
          <w:color w:val="231F20"/>
          <w:spacing w:val="-15"/>
          <w:w w:val="110"/>
        </w:rPr>
        <w:t> </w:t>
      </w:r>
      <w:r>
        <w:rPr>
          <w:color w:val="231F20"/>
          <w:w w:val="110"/>
        </w:rPr>
        <w:t>campos</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que</w:t>
      </w:r>
      <w:r>
        <w:rPr>
          <w:color w:val="231F20"/>
          <w:spacing w:val="-15"/>
          <w:w w:val="110"/>
        </w:rPr>
        <w:t> </w:t>
      </w:r>
      <w:r>
        <w:rPr>
          <w:color w:val="231F20"/>
          <w:w w:val="110"/>
        </w:rPr>
        <w:t>sus</w:t>
      </w:r>
      <w:r>
        <w:rPr>
          <w:color w:val="231F20"/>
          <w:spacing w:val="-15"/>
          <w:w w:val="110"/>
        </w:rPr>
        <w:t> </w:t>
      </w:r>
      <w:r>
        <w:rPr>
          <w:color w:val="231F20"/>
          <w:w w:val="110"/>
        </w:rPr>
        <w:t>intereses</w:t>
      </w:r>
      <w:r>
        <w:rPr>
          <w:color w:val="231F20"/>
          <w:spacing w:val="-15"/>
          <w:w w:val="110"/>
        </w:rPr>
        <w:t> </w:t>
      </w:r>
      <w:r>
        <w:rPr>
          <w:color w:val="231F20"/>
          <w:w w:val="110"/>
        </w:rPr>
        <w:t>coinciden</w:t>
      </w:r>
      <w:r>
        <w:rPr>
          <w:color w:val="231F20"/>
          <w:spacing w:val="-15"/>
          <w:w w:val="110"/>
        </w:rPr>
        <w:t> </w:t>
      </w:r>
      <w:r>
        <w:rPr>
          <w:color w:val="231F20"/>
          <w:w w:val="110"/>
        </w:rPr>
        <w:t>con</w:t>
      </w:r>
      <w:r>
        <w:rPr>
          <w:color w:val="231F20"/>
          <w:spacing w:val="-15"/>
          <w:w w:val="110"/>
        </w:rPr>
        <w:t> </w:t>
      </w:r>
      <w:r>
        <w:rPr>
          <w:color w:val="231F20"/>
          <w:w w:val="110"/>
        </w:rPr>
        <w:t>el interés</w:t>
      </w:r>
      <w:r>
        <w:rPr>
          <w:color w:val="231F20"/>
          <w:spacing w:val="-12"/>
          <w:w w:val="110"/>
        </w:rPr>
        <w:t> </w:t>
      </w:r>
      <w:r>
        <w:rPr>
          <w:color w:val="231F20"/>
          <w:w w:val="110"/>
        </w:rPr>
        <w:t>común.</w:t>
      </w:r>
      <w:r>
        <w:rPr>
          <w:color w:val="231F20"/>
          <w:spacing w:val="-11"/>
          <w:w w:val="110"/>
        </w:rPr>
        <w:t> </w:t>
      </w:r>
      <w:r>
        <w:rPr>
          <w:color w:val="231F20"/>
          <w:w w:val="110"/>
        </w:rPr>
        <w:t>Hay</w:t>
      </w:r>
      <w:r>
        <w:rPr>
          <w:color w:val="231F20"/>
          <w:spacing w:val="-12"/>
          <w:w w:val="110"/>
        </w:rPr>
        <w:t> </w:t>
      </w:r>
      <w:r>
        <w:rPr>
          <w:color w:val="231F20"/>
          <w:w w:val="110"/>
        </w:rPr>
        <w:t>aquí</w:t>
      </w:r>
      <w:r>
        <w:rPr>
          <w:color w:val="231F20"/>
          <w:spacing w:val="-11"/>
          <w:w w:val="110"/>
        </w:rPr>
        <w:t> </w:t>
      </w:r>
      <w:r>
        <w:rPr>
          <w:color w:val="231F20"/>
          <w:w w:val="110"/>
        </w:rPr>
        <w:t>un</w:t>
      </w:r>
      <w:r>
        <w:rPr>
          <w:color w:val="231F20"/>
          <w:spacing w:val="-12"/>
          <w:w w:val="110"/>
        </w:rPr>
        <w:t> </w:t>
      </w:r>
      <w:r>
        <w:rPr>
          <w:color w:val="231F20"/>
          <w:w w:val="110"/>
        </w:rPr>
        <w:t>cambio</w:t>
      </w:r>
      <w:r>
        <w:rPr>
          <w:color w:val="231F20"/>
          <w:spacing w:val="-12"/>
          <w:w w:val="110"/>
        </w:rPr>
        <w:t> </w:t>
      </w:r>
      <w:r>
        <w:rPr>
          <w:color w:val="231F20"/>
          <w:w w:val="110"/>
        </w:rPr>
        <w:t>significativo</w:t>
      </w:r>
      <w:r>
        <w:rPr>
          <w:color w:val="231F20"/>
          <w:spacing w:val="-12"/>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forma</w:t>
      </w:r>
      <w:r>
        <w:rPr>
          <w:color w:val="231F20"/>
          <w:spacing w:val="-12"/>
          <w:w w:val="110"/>
        </w:rPr>
        <w:t> </w:t>
      </w:r>
      <w:r>
        <w:rPr>
          <w:color w:val="231F20"/>
          <w:w w:val="110"/>
        </w:rPr>
        <w:t>de</w:t>
      </w:r>
      <w:r>
        <w:rPr>
          <w:color w:val="231F20"/>
          <w:spacing w:val="-11"/>
          <w:w w:val="110"/>
        </w:rPr>
        <w:t> </w:t>
      </w:r>
      <w:r>
        <w:rPr>
          <w:color w:val="231F20"/>
          <w:w w:val="110"/>
        </w:rPr>
        <w:t>tratar de preservar la primacía que Estados Unidos construyó a partir de la segunda guerra mundial, mantuvo durante la guerra fría mediante   la política de contención y de la primacía selectiva a lo largo de los gobiernos de Clinton y mediante la guerra contra el terrorismo en   la administración de George Bush. La primacía es, recordemos, una modalidad de gran estrategia basada en el principio de no tolerar el surgimiento y consolidación de un poder que rivalice con el </w:t>
      </w:r>
      <w:r>
        <w:rPr>
          <w:color w:val="231F20"/>
          <w:spacing w:val="49"/>
          <w:w w:val="110"/>
        </w:rPr>
        <w:t> </w:t>
      </w:r>
      <w:r>
        <w:rPr>
          <w:color w:val="231F20"/>
          <w:w w:val="110"/>
        </w:rPr>
        <w:t>propio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20"/>
        </w:rPr>
        <w:t>(tokatlian, </w:t>
      </w:r>
      <w:r>
        <w:rPr>
          <w:color w:val="231F20"/>
          <w:w w:val="110"/>
        </w:rPr>
        <w:t>2009: 210). En su historia diplomática, escribe </w:t>
      </w:r>
      <w:r>
        <w:rPr>
          <w:color w:val="231F20"/>
          <w:spacing w:val="-3"/>
          <w:w w:val="110"/>
        </w:rPr>
        <w:t>Barber, </w:t>
      </w:r>
      <w:r>
        <w:rPr>
          <w:color w:val="231F20"/>
          <w:w w:val="110"/>
        </w:rPr>
        <w:t>Estados Unidos ha desarrollado dos modelos de política exterior:   el del asalto a caballo (el enfoque del “soldado de asalto solitario”o “lone ranger”, según la clasificación de </w:t>
      </w:r>
      <w:r>
        <w:rPr>
          <w:color w:val="231F20"/>
          <w:spacing w:val="-4"/>
          <w:w w:val="110"/>
        </w:rPr>
        <w:t>Teddy </w:t>
      </w:r>
      <w:r>
        <w:rPr>
          <w:color w:val="231F20"/>
          <w:w w:val="110"/>
        </w:rPr>
        <w:t>Roosevelt) y el de “concierto de naciones”, que incide en la cooperación multilateral. Desde el 11 de septiembre oscila entre los dos </w:t>
      </w:r>
      <w:r>
        <w:rPr>
          <w:color w:val="231F20"/>
          <w:spacing w:val="-3"/>
          <w:w w:val="110"/>
        </w:rPr>
        <w:t>(Barber, </w:t>
      </w:r>
      <w:r>
        <w:rPr>
          <w:color w:val="231F20"/>
          <w:w w:val="110"/>
        </w:rPr>
        <w:t>2004:36) y a partir del 2009 se enfatiza en el de la cooperación multilateral pero sin desechar el uso solitario de la fuerza cuando fuere necesario. El vicepresidente y la secretaria de Estado han señalado con claridad</w:t>
      </w:r>
      <w:r>
        <w:rPr>
          <w:color w:val="231F20"/>
          <w:spacing w:val="-11"/>
          <w:w w:val="110"/>
        </w:rPr>
        <w:t> </w:t>
      </w:r>
      <w:r>
        <w:rPr>
          <w:color w:val="231F20"/>
          <w:w w:val="110"/>
        </w:rPr>
        <w:t>el compromiso con el fortalecimiento de las instituciones internacio- nales y en particular de las Naciones Unidas, pero igualmente han sostenido que de no ser posible la acción concertada no vacilarán en el recurso a la fuerza y a la acción unilateral cuando ello fuere nece- sario (García, 2009). En otras palabras, fuerza y diplomacia forman parte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estrategia</w:t>
      </w:r>
      <w:r>
        <w:rPr>
          <w:color w:val="231F20"/>
          <w:spacing w:val="-5"/>
          <w:w w:val="110"/>
        </w:rPr>
        <w:t> </w:t>
      </w:r>
      <w:r>
        <w:rPr>
          <w:color w:val="231F20"/>
          <w:w w:val="110"/>
        </w:rPr>
        <w:t>estadunidense</w:t>
      </w:r>
      <w:r>
        <w:rPr>
          <w:color w:val="231F20"/>
          <w:spacing w:val="-5"/>
          <w:w w:val="110"/>
        </w:rPr>
        <w:t> </w:t>
      </w:r>
      <w:r>
        <w:rPr>
          <w:color w:val="231F20"/>
          <w:w w:val="110"/>
        </w:rPr>
        <w:t>para</w:t>
      </w:r>
      <w:r>
        <w:rPr>
          <w:color w:val="231F20"/>
          <w:spacing w:val="-5"/>
          <w:w w:val="110"/>
        </w:rPr>
        <w:t> </w:t>
      </w:r>
      <w:r>
        <w:rPr>
          <w:color w:val="231F20"/>
          <w:w w:val="110"/>
        </w:rPr>
        <w:t>neutralizar,</w:t>
      </w:r>
      <w:r>
        <w:rPr>
          <w:color w:val="231F20"/>
          <w:spacing w:val="-5"/>
          <w:w w:val="110"/>
        </w:rPr>
        <w:t> </w:t>
      </w:r>
      <w:r>
        <w:rPr>
          <w:color w:val="231F20"/>
          <w:w w:val="110"/>
        </w:rPr>
        <w:t>aislar</w:t>
      </w:r>
      <w:r>
        <w:rPr>
          <w:color w:val="231F20"/>
          <w:spacing w:val="-5"/>
          <w:w w:val="110"/>
        </w:rPr>
        <w:t> </w:t>
      </w:r>
      <w:r>
        <w:rPr>
          <w:color w:val="231F20"/>
          <w:w w:val="110"/>
        </w:rPr>
        <w:t>y</w:t>
      </w:r>
      <w:r>
        <w:rPr>
          <w:color w:val="231F20"/>
          <w:spacing w:val="-5"/>
          <w:w w:val="110"/>
        </w:rPr>
        <w:t> </w:t>
      </w:r>
      <w:r>
        <w:rPr>
          <w:color w:val="231F20"/>
          <w:w w:val="110"/>
        </w:rPr>
        <w:t>derrotar a sus enemigos. El uso de la fuerza es la senda en la que persiste la administración Obama en la guerra en Afganistán; en el llamado nuevo trato con las otras naciones, el énfasis está en la</w:t>
      </w:r>
      <w:r>
        <w:rPr>
          <w:color w:val="231F20"/>
          <w:spacing w:val="44"/>
          <w:w w:val="110"/>
        </w:rPr>
        <w:t> </w:t>
      </w:r>
      <w:r>
        <w:rPr>
          <w:color w:val="231F20"/>
          <w:w w:val="110"/>
        </w:rPr>
        <w:t>diplomacia.</w:t>
      </w:r>
    </w:p>
    <w:p>
      <w:pPr>
        <w:pStyle w:val="BodyText"/>
        <w:spacing w:line="261" w:lineRule="auto"/>
        <w:ind w:left="100" w:right="117" w:firstLine="240"/>
        <w:jc w:val="both"/>
      </w:pPr>
      <w:r>
        <w:rPr>
          <w:color w:val="231F20"/>
          <w:w w:val="110"/>
        </w:rPr>
        <w:t>Al analizar la decadencia de la hegemonía y los cambios en polí- tica exterior que sobrevinieron a los ataques del 11 de septiembre, Wallerstein sostuvo que Estados Unidos tenía que dejar de pensarse como el país más grande del mundo y empezar a pensarse como    un país maduro entre muchos, aceptar que nos encontramos en un mundo multipolar, lo que se ha dado en llamar polaridad comple-  ja, y entender que eso más que una desventaja es una ventaja. Por   lo tanto, lo que debería hacer es buscar el diálogo con el resto del mundo, beneficiar a los otros con lo mucho que tiene para ofrecer </w:t>
      </w:r>
      <w:r>
        <w:rPr>
          <w:color w:val="231F20"/>
          <w:spacing w:val="-8"/>
          <w:w w:val="110"/>
        </w:rPr>
        <w:t>y, </w:t>
      </w:r>
      <w:r>
        <w:rPr>
          <w:color w:val="231F20"/>
          <w:w w:val="110"/>
        </w:rPr>
        <w:t>a su vez, beneficiarse de lo mucho que tiene por recibir de los otros (Wallerstein,</w:t>
      </w:r>
      <w:r>
        <w:rPr>
          <w:color w:val="231F20"/>
          <w:spacing w:val="-7"/>
          <w:w w:val="110"/>
        </w:rPr>
        <w:t> </w:t>
      </w:r>
      <w:r>
        <w:rPr>
          <w:color w:val="231F20"/>
          <w:w w:val="110"/>
        </w:rPr>
        <w:t>2005:127).</w:t>
      </w:r>
      <w:r>
        <w:rPr>
          <w:color w:val="231F20"/>
          <w:spacing w:val="-7"/>
          <w:w w:val="110"/>
        </w:rPr>
        <w:t> </w:t>
      </w:r>
      <w:r>
        <w:rPr>
          <w:color w:val="231F20"/>
          <w:w w:val="110"/>
        </w:rPr>
        <w:t>Posición</w:t>
      </w:r>
      <w:r>
        <w:rPr>
          <w:color w:val="231F20"/>
          <w:spacing w:val="-7"/>
          <w:w w:val="110"/>
        </w:rPr>
        <w:t> </w:t>
      </w:r>
      <w:r>
        <w:rPr>
          <w:color w:val="231F20"/>
          <w:w w:val="110"/>
        </w:rPr>
        <w:t>realista</w:t>
      </w:r>
      <w:r>
        <w:rPr>
          <w:color w:val="231F20"/>
          <w:spacing w:val="-7"/>
          <w:w w:val="110"/>
        </w:rPr>
        <w:t> </w:t>
      </w:r>
      <w:r>
        <w:rPr>
          <w:color w:val="231F20"/>
          <w:w w:val="110"/>
        </w:rPr>
        <w:t>que</w:t>
      </w:r>
      <w:r>
        <w:rPr>
          <w:color w:val="231F20"/>
          <w:spacing w:val="-7"/>
          <w:w w:val="110"/>
        </w:rPr>
        <w:t> </w:t>
      </w:r>
      <w:r>
        <w:rPr>
          <w:color w:val="231F20"/>
          <w:w w:val="110"/>
        </w:rPr>
        <w:t>permite</w:t>
      </w:r>
      <w:r>
        <w:rPr>
          <w:color w:val="231F20"/>
          <w:spacing w:val="-7"/>
          <w:w w:val="110"/>
        </w:rPr>
        <w:t> </w:t>
      </w:r>
      <w:r>
        <w:rPr>
          <w:color w:val="231F20"/>
          <w:w w:val="110"/>
        </w:rPr>
        <w:t>asumir</w:t>
      </w:r>
      <w:r>
        <w:rPr>
          <w:color w:val="231F20"/>
          <w:spacing w:val="-7"/>
          <w:w w:val="110"/>
        </w:rPr>
        <w:t> </w:t>
      </w:r>
      <w:r>
        <w:rPr>
          <w:color w:val="231F20"/>
          <w:w w:val="110"/>
        </w:rPr>
        <w:t>que</w:t>
      </w:r>
      <w:r>
        <w:rPr>
          <w:color w:val="231F20"/>
          <w:spacing w:val="-7"/>
          <w:w w:val="110"/>
        </w:rPr>
        <w:t> </w:t>
      </w:r>
      <w:r>
        <w:rPr>
          <w:color w:val="231F20"/>
          <w:w w:val="110"/>
        </w:rPr>
        <w:t>ha perdido le hegemonía en lo económico y encara la competencia de la</w:t>
      </w:r>
      <w:r>
        <w:rPr>
          <w:color w:val="231F20"/>
          <w:spacing w:val="-12"/>
          <w:w w:val="110"/>
        </w:rPr>
        <w:t> </w:t>
      </w:r>
      <w:r>
        <w:rPr>
          <w:color w:val="231F20"/>
          <w:w w:val="110"/>
        </w:rPr>
        <w:t>Unión</w:t>
      </w:r>
      <w:r>
        <w:rPr>
          <w:color w:val="231F20"/>
          <w:spacing w:val="-12"/>
          <w:w w:val="110"/>
        </w:rPr>
        <w:t> </w:t>
      </w:r>
      <w:r>
        <w:rPr>
          <w:color w:val="231F20"/>
          <w:w w:val="110"/>
        </w:rPr>
        <w:t>Europea</w:t>
      </w:r>
      <w:r>
        <w:rPr>
          <w:color w:val="231F20"/>
          <w:spacing w:val="-12"/>
          <w:w w:val="110"/>
        </w:rPr>
        <w:t> </w:t>
      </w:r>
      <w:r>
        <w:rPr>
          <w:color w:val="231F20"/>
          <w:w w:val="110"/>
        </w:rPr>
        <w:t>—especialmente</w:t>
      </w:r>
      <w:r>
        <w:rPr>
          <w:color w:val="231F20"/>
          <w:spacing w:val="-12"/>
          <w:w w:val="110"/>
        </w:rPr>
        <w:t> </w:t>
      </w:r>
      <w:r>
        <w:rPr>
          <w:color w:val="231F20"/>
          <w:w w:val="110"/>
        </w:rPr>
        <w:t>la</w:t>
      </w:r>
      <w:r>
        <w:rPr>
          <w:color w:val="231F20"/>
          <w:spacing w:val="-12"/>
          <w:w w:val="110"/>
        </w:rPr>
        <w:t> </w:t>
      </w:r>
      <w:r>
        <w:rPr>
          <w:color w:val="231F20"/>
          <w:w w:val="110"/>
        </w:rPr>
        <w:t>de</w:t>
      </w:r>
      <w:r>
        <w:rPr>
          <w:color w:val="231F20"/>
          <w:spacing w:val="-12"/>
          <w:w w:val="110"/>
        </w:rPr>
        <w:t> </w:t>
      </w:r>
      <w:r>
        <w:rPr>
          <w:color w:val="231F20"/>
          <w:w w:val="110"/>
        </w:rPr>
        <w:t>Alemania—,</w:t>
      </w:r>
      <w:r>
        <w:rPr>
          <w:color w:val="231F20"/>
          <w:spacing w:val="-12"/>
          <w:w w:val="110"/>
        </w:rPr>
        <w:t> </w:t>
      </w:r>
      <w:r>
        <w:rPr>
          <w:color w:val="231F20"/>
          <w:w w:val="110"/>
        </w:rPr>
        <w:t>Japón,</w:t>
      </w:r>
      <w:r>
        <w:rPr>
          <w:color w:val="231F20"/>
          <w:spacing w:val="-12"/>
          <w:w w:val="110"/>
        </w:rPr>
        <w:t> </w:t>
      </w:r>
      <w:r>
        <w:rPr>
          <w:color w:val="231F20"/>
          <w:w w:val="110"/>
        </w:rPr>
        <w:t>China</w:t>
      </w:r>
      <w:r>
        <w:rPr>
          <w:color w:val="231F20"/>
          <w:spacing w:val="-12"/>
          <w:w w:val="110"/>
        </w:rPr>
        <w:t> </w:t>
      </w:r>
      <w:r>
        <w:rPr>
          <w:color w:val="231F20"/>
          <w:w w:val="110"/>
        </w:rPr>
        <w:t>y de las economías emergentes de Brasil e India; igualmente enfrenta el surgimiento de potencias regionales como es el caso de Rusia, China e Irán. De la bipolaridad de la guerra fría hemos pasado a una polaridad</w:t>
      </w:r>
      <w:r>
        <w:rPr>
          <w:color w:val="231F20"/>
          <w:spacing w:val="-12"/>
          <w:w w:val="110"/>
        </w:rPr>
        <w:t> </w:t>
      </w:r>
      <w:r>
        <w:rPr>
          <w:color w:val="231F20"/>
          <w:w w:val="110"/>
        </w:rPr>
        <w:t>compleja</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están</w:t>
      </w:r>
      <w:r>
        <w:rPr>
          <w:color w:val="231F20"/>
          <w:spacing w:val="-12"/>
          <w:w w:val="110"/>
        </w:rPr>
        <w:t> </w:t>
      </w:r>
      <w:r>
        <w:rPr>
          <w:color w:val="231F20"/>
          <w:w w:val="110"/>
        </w:rPr>
        <w:t>dando</w:t>
      </w:r>
      <w:r>
        <w:rPr>
          <w:color w:val="231F20"/>
          <w:spacing w:val="-12"/>
          <w:w w:val="110"/>
        </w:rPr>
        <w:t> </w:t>
      </w:r>
      <w:r>
        <w:rPr>
          <w:color w:val="231F20"/>
          <w:w w:val="110"/>
        </w:rPr>
        <w:t>reacomodos,</w:t>
      </w:r>
      <w:r>
        <w:rPr>
          <w:color w:val="231F20"/>
          <w:spacing w:val="-12"/>
          <w:w w:val="110"/>
        </w:rPr>
        <w:t> </w:t>
      </w:r>
      <w:r>
        <w:rPr>
          <w:color w:val="231F20"/>
          <w:w w:val="110"/>
        </w:rPr>
        <w:t>cambios</w:t>
      </w:r>
      <w:r>
        <w:rPr>
          <w:color w:val="231F20"/>
          <w:spacing w:val="-12"/>
          <w:w w:val="110"/>
        </w:rPr>
        <w:t> </w:t>
      </w:r>
      <w:r>
        <w:rPr>
          <w:color w:val="231F20"/>
          <w:w w:val="110"/>
        </w:rPr>
        <w:t>en la correlación de fuerzas a escala mundial y se consolida una tríada de</w:t>
      </w:r>
      <w:r>
        <w:rPr>
          <w:color w:val="231F20"/>
          <w:spacing w:val="-5"/>
          <w:w w:val="110"/>
        </w:rPr>
        <w:t> </w:t>
      </w:r>
      <w:r>
        <w:rPr>
          <w:color w:val="231F20"/>
          <w:w w:val="110"/>
        </w:rPr>
        <w:t>acumulación</w:t>
      </w:r>
      <w:r>
        <w:rPr>
          <w:color w:val="231F20"/>
          <w:spacing w:val="-5"/>
          <w:w w:val="110"/>
        </w:rPr>
        <w:t> </w:t>
      </w:r>
      <w:r>
        <w:rPr>
          <w:color w:val="231F20"/>
          <w:w w:val="110"/>
        </w:rPr>
        <w:t>capitalista</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poder</w:t>
      </w:r>
      <w:r>
        <w:rPr>
          <w:color w:val="231F20"/>
          <w:spacing w:val="-5"/>
          <w:w w:val="110"/>
        </w:rPr>
        <w:t> </w:t>
      </w:r>
      <w:r>
        <w:rPr>
          <w:color w:val="231F20"/>
          <w:w w:val="110"/>
        </w:rPr>
        <w:t>militar</w:t>
      </w:r>
      <w:r>
        <w:rPr>
          <w:color w:val="231F20"/>
          <w:spacing w:val="-5"/>
          <w:w w:val="110"/>
        </w:rPr>
        <w:t> </w:t>
      </w:r>
      <w:r>
        <w:rPr>
          <w:color w:val="231F20"/>
          <w:w w:val="110"/>
        </w:rPr>
        <w:t>compuesta</w:t>
      </w:r>
      <w:r>
        <w:rPr>
          <w:color w:val="231F20"/>
          <w:spacing w:val="-5"/>
          <w:w w:val="110"/>
        </w:rPr>
        <w:t> </w:t>
      </w:r>
      <w:r>
        <w:rPr>
          <w:color w:val="231F20"/>
          <w:w w:val="110"/>
        </w:rPr>
        <w:t>por</w:t>
      </w:r>
      <w:r>
        <w:rPr>
          <w:color w:val="231F20"/>
          <w:spacing w:val="-5"/>
          <w:w w:val="110"/>
        </w:rPr>
        <w:t> </w:t>
      </w:r>
      <w:r>
        <w:rPr>
          <w:color w:val="231F20"/>
          <w:w w:val="110"/>
        </w:rPr>
        <w:t>Estados Unidos,</w:t>
      </w:r>
      <w:r>
        <w:rPr>
          <w:color w:val="231F20"/>
          <w:spacing w:val="-9"/>
          <w:w w:val="110"/>
        </w:rPr>
        <w:t> </w:t>
      </w:r>
      <w:r>
        <w:rPr>
          <w:color w:val="231F20"/>
          <w:w w:val="110"/>
        </w:rPr>
        <w:t>Europa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Este</w:t>
      </w:r>
      <w:r>
        <w:rPr>
          <w:color w:val="231F20"/>
          <w:spacing w:val="-9"/>
          <w:w w:val="110"/>
        </w:rPr>
        <w:t> </w:t>
      </w:r>
      <w:r>
        <w:rPr>
          <w:color w:val="231F20"/>
          <w:w w:val="110"/>
        </w:rPr>
        <w:t>de</w:t>
      </w:r>
      <w:r>
        <w:rPr>
          <w:color w:val="231F20"/>
          <w:spacing w:val="-9"/>
          <w:w w:val="110"/>
        </w:rPr>
        <w:t> </w:t>
      </w:r>
      <w:r>
        <w:rPr>
          <w:color w:val="231F20"/>
          <w:w w:val="110"/>
        </w:rPr>
        <w:t>Asia.</w:t>
      </w:r>
      <w:r>
        <w:rPr>
          <w:color w:val="231F20"/>
          <w:spacing w:val="-9"/>
          <w:w w:val="110"/>
        </w:rPr>
        <w:t> </w:t>
      </w:r>
      <w:r>
        <w:rPr>
          <w:color w:val="231F20"/>
          <w:w w:val="110"/>
        </w:rPr>
        <w:t>La</w:t>
      </w:r>
      <w:r>
        <w:rPr>
          <w:color w:val="231F20"/>
          <w:spacing w:val="-9"/>
          <w:w w:val="110"/>
        </w:rPr>
        <w:t> </w:t>
      </w:r>
      <w:r>
        <w:rPr>
          <w:color w:val="231F20"/>
          <w:w w:val="110"/>
        </w:rPr>
        <w:t>polaridad</w:t>
      </w:r>
      <w:r>
        <w:rPr>
          <w:color w:val="231F20"/>
          <w:spacing w:val="-9"/>
          <w:w w:val="110"/>
        </w:rPr>
        <w:t> </w:t>
      </w:r>
      <w:r>
        <w:rPr>
          <w:color w:val="231F20"/>
          <w:w w:val="110"/>
        </w:rPr>
        <w:t>compleja</w:t>
      </w:r>
      <w:r>
        <w:rPr>
          <w:color w:val="231F20"/>
          <w:spacing w:val="-9"/>
          <w:w w:val="110"/>
        </w:rPr>
        <w:t> </w:t>
      </w:r>
      <w:r>
        <w:rPr>
          <w:color w:val="231F20"/>
          <w:w w:val="110"/>
        </w:rPr>
        <w:t>no</w:t>
      </w:r>
      <w:r>
        <w:rPr>
          <w:color w:val="231F20"/>
          <w:spacing w:val="-9"/>
          <w:w w:val="110"/>
        </w:rPr>
        <w:t> </w:t>
      </w:r>
      <w:r>
        <w:rPr>
          <w:color w:val="231F20"/>
          <w:w w:val="110"/>
        </w:rPr>
        <w:t>es</w:t>
      </w:r>
      <w:r>
        <w:rPr>
          <w:color w:val="231F20"/>
          <w:spacing w:val="-9"/>
          <w:w w:val="110"/>
        </w:rPr>
        <w:t> </w:t>
      </w:r>
      <w:r>
        <w:rPr>
          <w:i/>
          <w:color w:val="231F20"/>
          <w:w w:val="110"/>
        </w:rPr>
        <w:t>per</w:t>
      </w:r>
      <w:r>
        <w:rPr>
          <w:i/>
          <w:color w:val="231F20"/>
          <w:spacing w:val="-9"/>
          <w:w w:val="110"/>
        </w:rPr>
        <w:t> </w:t>
      </w:r>
      <w:r>
        <w:rPr>
          <w:i/>
          <w:color w:val="231F20"/>
          <w:w w:val="110"/>
        </w:rPr>
        <w:t>se </w:t>
      </w:r>
      <w:r>
        <w:rPr>
          <w:color w:val="231F20"/>
          <w:w w:val="110"/>
        </w:rPr>
        <w:t>una garantía de paz. En el pasado los cambios en la correlación   </w:t>
      </w:r>
      <w:r>
        <w:rPr>
          <w:color w:val="231F20"/>
          <w:spacing w:val="9"/>
          <w:w w:val="110"/>
        </w:rPr>
        <w:t> </w:t>
      </w:r>
      <w:r>
        <w:rPr>
          <w:color w:val="231F20"/>
          <w:w w:val="110"/>
        </w:rPr>
        <w:t>de</w:t>
      </w:r>
    </w:p>
    <w:p>
      <w:pPr>
        <w:spacing w:after="0" w:line="261" w:lineRule="auto"/>
        <w:jc w:val="both"/>
        <w:sectPr>
          <w:headerReference w:type="even" r:id="rId338"/>
          <w:headerReference w:type="default" r:id="rId339"/>
          <w:pgSz w:w="7640" w:h="11900"/>
          <w:pgMar w:header="672" w:footer="0" w:top="860" w:bottom="280" w:left="780" w:right="640"/>
          <w:pgNumType w:start="452"/>
        </w:sectPr>
      </w:pPr>
    </w:p>
    <w:p>
      <w:pPr>
        <w:pStyle w:val="BodyText"/>
        <w:spacing w:before="8"/>
        <w:rPr>
          <w:sz w:val="8"/>
        </w:rPr>
      </w:pPr>
    </w:p>
    <w:p>
      <w:pPr>
        <w:pStyle w:val="BodyText"/>
        <w:spacing w:line="261" w:lineRule="auto" w:before="67"/>
        <w:ind w:left="100" w:right="117"/>
        <w:jc w:val="both"/>
      </w:pPr>
      <w:r>
        <w:rPr>
          <w:color w:val="231F20"/>
          <w:w w:val="110"/>
        </w:rPr>
        <w:t>fuerzas desembocaron muchas veces en guerras, como ocurrió en   la primera mitad del siglo xx a lo que Lenin llamó en su momento “guerras de rapiña del imperialismo” por el reparto territorial del planeta. El cómo se afrontarán estos cambios a comienzos del siglo xxi es temprano aún para saberlo, pero es éste el espacio en el que  el liderazgo tiene más márgenes de maniobra y que hoy ocupan el discurso de Obama y su propuesta para hacer frente a la decadencia de la hegemonía y a la pérdida de legitimidad, resultantes de la po- lítica de la administración</w:t>
      </w:r>
      <w:r>
        <w:rPr>
          <w:color w:val="231F20"/>
          <w:spacing w:val="7"/>
          <w:w w:val="110"/>
        </w:rPr>
        <w:t> </w:t>
      </w:r>
      <w:r>
        <w:rPr>
          <w:color w:val="231F20"/>
          <w:w w:val="110"/>
        </w:rPr>
        <w:t>Bush.</w:t>
      </w:r>
    </w:p>
    <w:p>
      <w:pPr>
        <w:pStyle w:val="BodyText"/>
        <w:spacing w:line="261" w:lineRule="auto"/>
        <w:ind w:left="100" w:right="117" w:firstLine="240"/>
        <w:jc w:val="both"/>
      </w:pP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hemos</w:t>
      </w:r>
      <w:r>
        <w:rPr>
          <w:color w:val="231F20"/>
          <w:spacing w:val="-8"/>
          <w:w w:val="110"/>
        </w:rPr>
        <w:t> </w:t>
      </w:r>
      <w:r>
        <w:rPr>
          <w:color w:val="231F20"/>
          <w:w w:val="110"/>
        </w:rPr>
        <w:t>llamado</w:t>
      </w:r>
      <w:r>
        <w:rPr>
          <w:color w:val="231F20"/>
          <w:spacing w:val="-8"/>
          <w:w w:val="110"/>
        </w:rPr>
        <w:t> </w:t>
      </w:r>
      <w:r>
        <w:rPr>
          <w:color w:val="231F20"/>
          <w:w w:val="110"/>
        </w:rPr>
        <w:t>nuevo</w:t>
      </w:r>
      <w:r>
        <w:rPr>
          <w:color w:val="231F20"/>
          <w:spacing w:val="-8"/>
          <w:w w:val="110"/>
        </w:rPr>
        <w:t> </w:t>
      </w:r>
      <w:r>
        <w:rPr>
          <w:color w:val="231F20"/>
          <w:w w:val="110"/>
        </w:rPr>
        <w:t>trato</w:t>
      </w:r>
      <w:r>
        <w:rPr>
          <w:color w:val="231F20"/>
          <w:spacing w:val="-8"/>
          <w:w w:val="110"/>
        </w:rPr>
        <w:t> </w:t>
      </w:r>
      <w:r>
        <w:rPr>
          <w:color w:val="231F20"/>
          <w:w w:val="110"/>
        </w:rPr>
        <w:t>con</w:t>
      </w:r>
      <w:r>
        <w:rPr>
          <w:color w:val="231F20"/>
          <w:spacing w:val="-8"/>
          <w:w w:val="110"/>
        </w:rPr>
        <w:t> </w:t>
      </w:r>
      <w:r>
        <w:rPr>
          <w:color w:val="231F20"/>
          <w:w w:val="110"/>
        </w:rPr>
        <w:t>las</w:t>
      </w:r>
      <w:r>
        <w:rPr>
          <w:color w:val="231F20"/>
          <w:spacing w:val="-8"/>
          <w:w w:val="110"/>
        </w:rPr>
        <w:t> </w:t>
      </w:r>
      <w:r>
        <w:rPr>
          <w:color w:val="231F20"/>
          <w:w w:val="110"/>
        </w:rPr>
        <w:t>otras</w:t>
      </w:r>
      <w:r>
        <w:rPr>
          <w:color w:val="231F20"/>
          <w:spacing w:val="-8"/>
          <w:w w:val="110"/>
        </w:rPr>
        <w:t> </w:t>
      </w:r>
      <w:r>
        <w:rPr>
          <w:color w:val="231F20"/>
          <w:w w:val="110"/>
        </w:rPr>
        <w:t>naciones</w:t>
      </w:r>
      <w:r>
        <w:rPr>
          <w:color w:val="231F20"/>
          <w:spacing w:val="-8"/>
          <w:w w:val="110"/>
        </w:rPr>
        <w:t> </w:t>
      </w:r>
      <w:r>
        <w:rPr>
          <w:color w:val="231F20"/>
          <w:w w:val="110"/>
        </w:rPr>
        <w:t>ha</w:t>
      </w:r>
      <w:r>
        <w:rPr>
          <w:color w:val="231F20"/>
          <w:spacing w:val="-8"/>
          <w:w w:val="110"/>
        </w:rPr>
        <w:t> </w:t>
      </w:r>
      <w:r>
        <w:rPr>
          <w:color w:val="231F20"/>
          <w:w w:val="110"/>
        </w:rPr>
        <w:t>gene- rado</w:t>
      </w:r>
      <w:r>
        <w:rPr>
          <w:color w:val="231F20"/>
          <w:spacing w:val="-5"/>
          <w:w w:val="110"/>
        </w:rPr>
        <w:t> </w:t>
      </w:r>
      <w:r>
        <w:rPr>
          <w:color w:val="231F20"/>
          <w:w w:val="110"/>
        </w:rPr>
        <w:t>importantes</w:t>
      </w:r>
      <w:r>
        <w:rPr>
          <w:color w:val="231F20"/>
          <w:spacing w:val="-5"/>
          <w:w w:val="110"/>
        </w:rPr>
        <w:t> </w:t>
      </w:r>
      <w:r>
        <w:rPr>
          <w:color w:val="231F20"/>
          <w:w w:val="110"/>
        </w:rPr>
        <w:t>apoyos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política</w:t>
      </w:r>
      <w:r>
        <w:rPr>
          <w:color w:val="231F20"/>
          <w:spacing w:val="-5"/>
          <w:w w:val="110"/>
        </w:rPr>
        <w:t> </w:t>
      </w:r>
      <w:r>
        <w:rPr>
          <w:color w:val="231F20"/>
          <w:w w:val="110"/>
        </w:rPr>
        <w:t>estadunidense,</w:t>
      </w:r>
      <w:r>
        <w:rPr>
          <w:color w:val="231F20"/>
          <w:spacing w:val="-5"/>
          <w:w w:val="110"/>
        </w:rPr>
        <w:t> </w:t>
      </w:r>
      <w:r>
        <w:rPr>
          <w:color w:val="231F20"/>
          <w:w w:val="110"/>
        </w:rPr>
        <w:t>sobre</w:t>
      </w:r>
      <w:r>
        <w:rPr>
          <w:color w:val="231F20"/>
          <w:spacing w:val="-5"/>
          <w:w w:val="110"/>
        </w:rPr>
        <w:t> </w:t>
      </w:r>
      <w:r>
        <w:rPr>
          <w:color w:val="231F20"/>
          <w:w w:val="110"/>
        </w:rPr>
        <w:t>todo</w:t>
      </w:r>
      <w:r>
        <w:rPr>
          <w:color w:val="231F20"/>
          <w:spacing w:val="-5"/>
          <w:w w:val="110"/>
        </w:rPr>
        <w:t> </w:t>
      </w:r>
      <w:r>
        <w:rPr>
          <w:color w:val="231F20"/>
          <w:w w:val="110"/>
        </w:rPr>
        <w:t>en</w:t>
      </w:r>
      <w:r>
        <w:rPr>
          <w:color w:val="231F20"/>
          <w:spacing w:val="-5"/>
          <w:w w:val="110"/>
        </w:rPr>
        <w:t> </w:t>
      </w:r>
      <w:r>
        <w:rPr>
          <w:color w:val="231F20"/>
          <w:w w:val="110"/>
        </w:rPr>
        <w:t>el exterior, en lo que algunos han llamado el “efecto Obama”: recupe- ración</w:t>
      </w:r>
      <w:r>
        <w:rPr>
          <w:color w:val="231F20"/>
          <w:spacing w:val="-6"/>
          <w:w w:val="110"/>
        </w:rPr>
        <w:t> </w:t>
      </w:r>
      <w:r>
        <w:rPr>
          <w:color w:val="231F20"/>
          <w:w w:val="110"/>
        </w:rPr>
        <w:t>del</w:t>
      </w:r>
      <w:r>
        <w:rPr>
          <w:color w:val="231F20"/>
          <w:spacing w:val="-6"/>
          <w:w w:val="110"/>
        </w:rPr>
        <w:t> </w:t>
      </w:r>
      <w:r>
        <w:rPr>
          <w:color w:val="231F20"/>
          <w:w w:val="110"/>
        </w:rPr>
        <w:t>prestigio</w:t>
      </w:r>
      <w:r>
        <w:rPr>
          <w:color w:val="231F20"/>
          <w:spacing w:val="-6"/>
          <w:w w:val="110"/>
        </w:rPr>
        <w:t> </w:t>
      </w:r>
      <w:r>
        <w:rPr>
          <w:color w:val="231F20"/>
          <w:w w:val="110"/>
        </w:rPr>
        <w:t>y</w:t>
      </w:r>
      <w:r>
        <w:rPr>
          <w:color w:val="231F20"/>
          <w:spacing w:val="-6"/>
          <w:w w:val="110"/>
        </w:rPr>
        <w:t> </w:t>
      </w:r>
      <w:r>
        <w:rPr>
          <w:color w:val="231F20"/>
          <w:w w:val="110"/>
        </w:rPr>
        <w:t>del</w:t>
      </w:r>
      <w:r>
        <w:rPr>
          <w:color w:val="231F20"/>
          <w:spacing w:val="-6"/>
          <w:w w:val="110"/>
        </w:rPr>
        <w:t> </w:t>
      </w:r>
      <w:r>
        <w:rPr>
          <w:color w:val="231F20"/>
          <w:w w:val="110"/>
        </w:rPr>
        <w:t>liderazgo</w:t>
      </w:r>
      <w:r>
        <w:rPr>
          <w:color w:val="231F20"/>
          <w:spacing w:val="-6"/>
          <w:w w:val="110"/>
        </w:rPr>
        <w:t> </w:t>
      </w:r>
      <w:r>
        <w:rPr>
          <w:color w:val="231F20"/>
          <w:w w:val="110"/>
        </w:rPr>
        <w:t>estadunidense</w:t>
      </w:r>
      <w:r>
        <w:rPr>
          <w:color w:val="231F20"/>
          <w:spacing w:val="-6"/>
          <w:w w:val="110"/>
        </w:rPr>
        <w:t> </w:t>
      </w:r>
      <w:r>
        <w:rPr>
          <w:color w:val="231F20"/>
          <w:w w:val="110"/>
        </w:rPr>
        <w:t>(Jimeno,</w:t>
      </w:r>
      <w:r>
        <w:rPr>
          <w:color w:val="231F20"/>
          <w:spacing w:val="-6"/>
          <w:w w:val="110"/>
        </w:rPr>
        <w:t> </w:t>
      </w:r>
      <w:r>
        <w:rPr>
          <w:color w:val="231F20"/>
          <w:w w:val="110"/>
        </w:rPr>
        <w:t>2009).</w:t>
      </w:r>
      <w:r>
        <w:rPr>
          <w:color w:val="231F20"/>
          <w:spacing w:val="-6"/>
          <w:w w:val="110"/>
        </w:rPr>
        <w:t> </w:t>
      </w:r>
      <w:r>
        <w:rPr>
          <w:color w:val="231F20"/>
          <w:w w:val="110"/>
        </w:rPr>
        <w:t>El que la potencia en decadencia sostenga su disposición a tratar a los demás países en condiciones de igualdad, a recurrir al</w:t>
      </w:r>
      <w:r>
        <w:rPr>
          <w:color w:val="231F20"/>
          <w:spacing w:val="-27"/>
          <w:w w:val="110"/>
        </w:rPr>
        <w:t> </w:t>
      </w:r>
      <w:r>
        <w:rPr>
          <w:color w:val="231F20"/>
          <w:w w:val="110"/>
        </w:rPr>
        <w:t>multilateralis- mo,</w:t>
      </w:r>
      <w:r>
        <w:rPr>
          <w:color w:val="231F20"/>
          <w:spacing w:val="-13"/>
          <w:w w:val="110"/>
        </w:rPr>
        <w:t> </w:t>
      </w:r>
      <w:r>
        <w:rPr>
          <w:color w:val="231F20"/>
          <w:w w:val="110"/>
        </w:rPr>
        <w:t>renunciando</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política</w:t>
      </w:r>
      <w:r>
        <w:rPr>
          <w:color w:val="231F20"/>
          <w:spacing w:val="-13"/>
          <w:w w:val="110"/>
        </w:rPr>
        <w:t> </w:t>
      </w:r>
      <w:r>
        <w:rPr>
          <w:color w:val="231F20"/>
          <w:w w:val="110"/>
        </w:rPr>
        <w:t>de</w:t>
      </w:r>
      <w:r>
        <w:rPr>
          <w:color w:val="231F20"/>
          <w:spacing w:val="-13"/>
          <w:w w:val="110"/>
        </w:rPr>
        <w:t> </w:t>
      </w:r>
      <w:r>
        <w:rPr>
          <w:color w:val="231F20"/>
          <w:w w:val="110"/>
        </w:rPr>
        <w:t>imposiciones</w:t>
      </w:r>
      <w:r>
        <w:rPr>
          <w:color w:val="231F20"/>
          <w:spacing w:val="-13"/>
          <w:w w:val="110"/>
        </w:rPr>
        <w:t> </w:t>
      </w:r>
      <w:r>
        <w:rPr>
          <w:color w:val="231F20"/>
          <w:w w:val="110"/>
        </w:rPr>
        <w:t>imperiales,</w:t>
      </w:r>
      <w:r>
        <w:rPr>
          <w:color w:val="231F20"/>
          <w:spacing w:val="-13"/>
          <w:w w:val="110"/>
        </w:rPr>
        <w:t> </w:t>
      </w:r>
      <w:r>
        <w:rPr>
          <w:color w:val="231F20"/>
          <w:w w:val="110"/>
        </w:rPr>
        <w:t>asuma</w:t>
      </w:r>
      <w:r>
        <w:rPr>
          <w:color w:val="231F20"/>
          <w:spacing w:val="-13"/>
          <w:w w:val="110"/>
        </w:rPr>
        <w:t> </w:t>
      </w:r>
      <w:r>
        <w:rPr>
          <w:color w:val="231F20"/>
          <w:w w:val="110"/>
        </w:rPr>
        <w:t>—al menos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discurso—</w:t>
      </w:r>
      <w:r>
        <w:rPr>
          <w:color w:val="231F20"/>
          <w:spacing w:val="-13"/>
          <w:w w:val="110"/>
        </w:rPr>
        <w:t> </w:t>
      </w:r>
      <w:r>
        <w:rPr>
          <w:color w:val="231F20"/>
          <w:w w:val="110"/>
        </w:rPr>
        <w:t>corresponsabilidades</w:t>
      </w:r>
      <w:r>
        <w:rPr>
          <w:color w:val="231F20"/>
          <w:spacing w:val="-13"/>
          <w:w w:val="110"/>
        </w:rPr>
        <w:t> </w:t>
      </w:r>
      <w:r>
        <w:rPr>
          <w:color w:val="231F20"/>
          <w:w w:val="110"/>
        </w:rPr>
        <w:t>históricamente</w:t>
      </w:r>
      <w:r>
        <w:rPr>
          <w:color w:val="231F20"/>
          <w:spacing w:val="-13"/>
          <w:w w:val="110"/>
        </w:rPr>
        <w:t> </w:t>
      </w:r>
      <w:r>
        <w:rPr>
          <w:color w:val="231F20"/>
          <w:w w:val="110"/>
        </w:rPr>
        <w:t>negadas y</w:t>
      </w:r>
      <w:r>
        <w:rPr>
          <w:color w:val="231F20"/>
          <w:spacing w:val="-11"/>
          <w:w w:val="110"/>
        </w:rPr>
        <w:t> </w:t>
      </w:r>
      <w:r>
        <w:rPr>
          <w:color w:val="231F20"/>
          <w:w w:val="110"/>
        </w:rPr>
        <w:t>manifieste</w:t>
      </w:r>
      <w:r>
        <w:rPr>
          <w:color w:val="231F20"/>
          <w:spacing w:val="-11"/>
          <w:w w:val="110"/>
        </w:rPr>
        <w:t> </w:t>
      </w:r>
      <w:r>
        <w:rPr>
          <w:color w:val="231F20"/>
          <w:w w:val="110"/>
        </w:rPr>
        <w:t>querer</w:t>
      </w:r>
      <w:r>
        <w:rPr>
          <w:color w:val="231F20"/>
          <w:spacing w:val="-11"/>
          <w:w w:val="110"/>
        </w:rPr>
        <w:t> </w:t>
      </w:r>
      <w:r>
        <w:rPr>
          <w:color w:val="231F20"/>
          <w:w w:val="110"/>
        </w:rPr>
        <w:t>construir</w:t>
      </w:r>
      <w:r>
        <w:rPr>
          <w:color w:val="231F20"/>
          <w:spacing w:val="-11"/>
          <w:w w:val="110"/>
        </w:rPr>
        <w:t> </w:t>
      </w:r>
      <w:r>
        <w:rPr>
          <w:color w:val="231F20"/>
          <w:w w:val="110"/>
        </w:rPr>
        <w:t>políticas</w:t>
      </w:r>
      <w:r>
        <w:rPr>
          <w:color w:val="231F20"/>
          <w:spacing w:val="-11"/>
          <w:w w:val="110"/>
        </w:rPr>
        <w:t> </w:t>
      </w:r>
      <w:r>
        <w:rPr>
          <w:color w:val="231F20"/>
          <w:w w:val="110"/>
        </w:rPr>
        <w:t>no</w:t>
      </w:r>
      <w:r>
        <w:rPr>
          <w:color w:val="231F20"/>
          <w:spacing w:val="-11"/>
          <w:w w:val="110"/>
        </w:rPr>
        <w:t> </w:t>
      </w:r>
      <w:r>
        <w:rPr>
          <w:color w:val="231F20"/>
          <w:w w:val="110"/>
        </w:rPr>
        <w:t>para</w:t>
      </w:r>
      <w:r>
        <w:rPr>
          <w:color w:val="231F20"/>
          <w:spacing w:val="-11"/>
          <w:w w:val="110"/>
        </w:rPr>
        <w:t> </w:t>
      </w:r>
      <w:r>
        <w:rPr>
          <w:color w:val="231F20"/>
          <w:w w:val="110"/>
        </w:rPr>
        <w:t>sí</w:t>
      </w:r>
      <w:r>
        <w:rPr>
          <w:color w:val="231F20"/>
          <w:spacing w:val="-11"/>
          <w:w w:val="110"/>
        </w:rPr>
        <w:t> </w:t>
      </w:r>
      <w:r>
        <w:rPr>
          <w:color w:val="231F20"/>
          <w:w w:val="110"/>
        </w:rPr>
        <w:t>misma</w:t>
      </w:r>
      <w:r>
        <w:rPr>
          <w:color w:val="231F20"/>
          <w:spacing w:val="-11"/>
          <w:w w:val="110"/>
        </w:rPr>
        <w:t> </w:t>
      </w:r>
      <w:r>
        <w:rPr>
          <w:color w:val="231F20"/>
          <w:w w:val="110"/>
        </w:rPr>
        <w:t>sino</w:t>
      </w:r>
      <w:r>
        <w:rPr>
          <w:color w:val="231F20"/>
          <w:spacing w:val="-11"/>
          <w:w w:val="110"/>
        </w:rPr>
        <w:t> </w:t>
      </w:r>
      <w:r>
        <w:rPr>
          <w:color w:val="231F20"/>
          <w:w w:val="110"/>
        </w:rPr>
        <w:t>para</w:t>
      </w:r>
      <w:r>
        <w:rPr>
          <w:color w:val="231F20"/>
          <w:spacing w:val="-11"/>
          <w:w w:val="110"/>
        </w:rPr>
        <w:t> </w:t>
      </w:r>
      <w:r>
        <w:rPr>
          <w:color w:val="231F20"/>
          <w:w w:val="110"/>
        </w:rPr>
        <w:t>con los demás países es un hecho</w:t>
      </w:r>
      <w:r>
        <w:rPr>
          <w:color w:val="231F20"/>
          <w:spacing w:val="-32"/>
          <w:w w:val="110"/>
        </w:rPr>
        <w:t> </w:t>
      </w:r>
      <w:r>
        <w:rPr>
          <w:color w:val="231F20"/>
          <w:w w:val="110"/>
        </w:rPr>
        <w:t>significativo.</w:t>
      </w:r>
    </w:p>
    <w:p>
      <w:pPr>
        <w:pStyle w:val="BodyText"/>
        <w:spacing w:line="261" w:lineRule="auto"/>
        <w:ind w:left="100" w:right="117" w:firstLine="240"/>
        <w:jc w:val="both"/>
      </w:pPr>
      <w:r>
        <w:rPr>
          <w:color w:val="231F20"/>
          <w:w w:val="110"/>
        </w:rPr>
        <w:t>Al señalar Obama que su primero y más importante compromiso como presidente es “mantener seguro al pueblo estadunidense” afir- ma que cree “de todo corazón que a largo plazo no podemos man- tener seguro a este país a menos que usemos el poder de nuestros valores</w:t>
      </w:r>
      <w:r>
        <w:rPr>
          <w:color w:val="231F20"/>
          <w:spacing w:val="-6"/>
          <w:w w:val="110"/>
        </w:rPr>
        <w:t> </w:t>
      </w:r>
      <w:r>
        <w:rPr>
          <w:color w:val="231F20"/>
          <w:w w:val="110"/>
        </w:rPr>
        <w:t>más</w:t>
      </w:r>
      <w:r>
        <w:rPr>
          <w:color w:val="231F20"/>
          <w:spacing w:val="-6"/>
          <w:w w:val="110"/>
        </w:rPr>
        <w:t> </w:t>
      </w:r>
      <w:r>
        <w:rPr>
          <w:color w:val="231F20"/>
          <w:w w:val="110"/>
        </w:rPr>
        <w:t>fundamentales”</w:t>
      </w:r>
      <w:r>
        <w:rPr>
          <w:color w:val="231F20"/>
          <w:spacing w:val="-6"/>
          <w:w w:val="110"/>
        </w:rPr>
        <w:t> </w:t>
      </w:r>
      <w:r>
        <w:rPr>
          <w:color w:val="231F20"/>
          <w:w w:val="110"/>
        </w:rPr>
        <w:t>(Obama,</w:t>
      </w:r>
      <w:r>
        <w:rPr>
          <w:color w:val="231F20"/>
          <w:spacing w:val="-6"/>
          <w:w w:val="110"/>
        </w:rPr>
        <w:t> </w:t>
      </w:r>
      <w:r>
        <w:rPr>
          <w:color w:val="231F20"/>
          <w:w w:val="110"/>
        </w:rPr>
        <w:t>2009a).</w:t>
      </w:r>
      <w:r>
        <w:rPr>
          <w:color w:val="231F20"/>
          <w:spacing w:val="-6"/>
          <w:w w:val="110"/>
        </w:rPr>
        <w:t> </w:t>
      </w:r>
      <w:r>
        <w:rPr>
          <w:color w:val="231F20"/>
          <w:w w:val="110"/>
        </w:rPr>
        <w:t>Rompe</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práctica del</w:t>
      </w:r>
      <w:r>
        <w:rPr>
          <w:color w:val="231F20"/>
          <w:spacing w:val="-18"/>
          <w:w w:val="110"/>
        </w:rPr>
        <w:t> </w:t>
      </w:r>
      <w:r>
        <w:rPr>
          <w:color w:val="231F20"/>
          <w:w w:val="110"/>
        </w:rPr>
        <w:t>“todo</w:t>
      </w:r>
      <w:r>
        <w:rPr>
          <w:color w:val="231F20"/>
          <w:spacing w:val="-18"/>
          <w:w w:val="110"/>
        </w:rPr>
        <w:t> </w:t>
      </w:r>
      <w:r>
        <w:rPr>
          <w:color w:val="231F20"/>
          <w:w w:val="110"/>
        </w:rPr>
        <w:t>vale”</w:t>
      </w:r>
      <w:r>
        <w:rPr>
          <w:color w:val="231F20"/>
          <w:spacing w:val="-18"/>
          <w:w w:val="110"/>
        </w:rPr>
        <w:t> </w:t>
      </w:r>
      <w:r>
        <w:rPr>
          <w:color w:val="231F20"/>
          <w:w w:val="110"/>
        </w:rPr>
        <w:t>y</w:t>
      </w:r>
      <w:r>
        <w:rPr>
          <w:color w:val="231F20"/>
          <w:spacing w:val="-18"/>
          <w:w w:val="110"/>
        </w:rPr>
        <w:t> </w:t>
      </w:r>
      <w:r>
        <w:rPr>
          <w:color w:val="231F20"/>
          <w:w w:val="110"/>
        </w:rPr>
        <w:t>renuncia</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guerra</w:t>
      </w:r>
      <w:r>
        <w:rPr>
          <w:color w:val="231F20"/>
          <w:spacing w:val="-18"/>
          <w:w w:val="110"/>
        </w:rPr>
        <w:t> </w:t>
      </w:r>
      <w:r>
        <w:rPr>
          <w:color w:val="231F20"/>
          <w:w w:val="110"/>
        </w:rPr>
        <w:t>preventiva</w:t>
      </w:r>
      <w:r>
        <w:rPr>
          <w:color w:val="231F20"/>
          <w:spacing w:val="-18"/>
          <w:w w:val="110"/>
        </w:rPr>
        <w:t> </w:t>
      </w:r>
      <w:r>
        <w:rPr>
          <w:color w:val="231F20"/>
          <w:w w:val="110"/>
        </w:rPr>
        <w:t>en</w:t>
      </w:r>
      <w:r>
        <w:rPr>
          <w:color w:val="231F20"/>
          <w:spacing w:val="-18"/>
          <w:w w:val="110"/>
        </w:rPr>
        <w:t> </w:t>
      </w:r>
      <w:r>
        <w:rPr>
          <w:color w:val="231F20"/>
          <w:w w:val="110"/>
        </w:rPr>
        <w:t>lo</w:t>
      </w:r>
      <w:r>
        <w:rPr>
          <w:color w:val="231F20"/>
          <w:spacing w:val="-18"/>
          <w:w w:val="110"/>
        </w:rPr>
        <w:t> </w:t>
      </w:r>
      <w:r>
        <w:rPr>
          <w:color w:val="231F20"/>
          <w:w w:val="110"/>
        </w:rPr>
        <w:t>que</w:t>
      </w:r>
      <w:r>
        <w:rPr>
          <w:color w:val="231F20"/>
          <w:spacing w:val="-18"/>
          <w:w w:val="110"/>
        </w:rPr>
        <w:t> </w:t>
      </w:r>
      <w:r>
        <w:rPr>
          <w:color w:val="231F20"/>
          <w:w w:val="110"/>
        </w:rPr>
        <w:t>constituyen las</w:t>
      </w:r>
      <w:r>
        <w:rPr>
          <w:color w:val="231F20"/>
          <w:spacing w:val="-14"/>
          <w:w w:val="110"/>
        </w:rPr>
        <w:t> </w:t>
      </w:r>
      <w:r>
        <w:rPr>
          <w:color w:val="231F20"/>
          <w:w w:val="110"/>
        </w:rPr>
        <w:t>rupturas</w:t>
      </w:r>
      <w:r>
        <w:rPr>
          <w:color w:val="231F20"/>
          <w:spacing w:val="-14"/>
          <w:w w:val="110"/>
        </w:rPr>
        <w:t> </w:t>
      </w:r>
      <w:r>
        <w:rPr>
          <w:color w:val="231F20"/>
          <w:w w:val="110"/>
        </w:rPr>
        <w:t>de</w:t>
      </w:r>
      <w:r>
        <w:rPr>
          <w:color w:val="231F20"/>
          <w:spacing w:val="-14"/>
          <w:w w:val="110"/>
        </w:rPr>
        <w:t> </w:t>
      </w:r>
      <w:r>
        <w:rPr>
          <w:color w:val="231F20"/>
          <w:w w:val="110"/>
        </w:rPr>
        <w:t>fondo</w:t>
      </w:r>
      <w:r>
        <w:rPr>
          <w:color w:val="231F20"/>
          <w:spacing w:val="-14"/>
          <w:w w:val="110"/>
        </w:rPr>
        <w:t> </w:t>
      </w:r>
      <w:r>
        <w:rPr>
          <w:color w:val="231F20"/>
          <w:w w:val="110"/>
        </w:rPr>
        <w:t>con</w:t>
      </w:r>
      <w:r>
        <w:rPr>
          <w:color w:val="231F20"/>
          <w:spacing w:val="-14"/>
          <w:w w:val="110"/>
        </w:rPr>
        <w:t> </w:t>
      </w:r>
      <w:r>
        <w:rPr>
          <w:color w:val="231F20"/>
          <w:w w:val="110"/>
        </w:rPr>
        <w:t>las</w:t>
      </w:r>
      <w:r>
        <w:rPr>
          <w:color w:val="231F20"/>
          <w:spacing w:val="-14"/>
          <w:w w:val="110"/>
        </w:rPr>
        <w:t> </w:t>
      </w:r>
      <w:r>
        <w:rPr>
          <w:color w:val="231F20"/>
          <w:w w:val="110"/>
        </w:rPr>
        <w:t>políticas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administración</w:t>
      </w:r>
      <w:r>
        <w:rPr>
          <w:color w:val="231F20"/>
          <w:spacing w:val="-14"/>
          <w:w w:val="110"/>
        </w:rPr>
        <w:t> </w:t>
      </w:r>
      <w:r>
        <w:rPr>
          <w:color w:val="231F20"/>
          <w:w w:val="110"/>
        </w:rPr>
        <w:t>Bush.</w:t>
      </w:r>
      <w:r>
        <w:rPr>
          <w:color w:val="231F20"/>
          <w:spacing w:val="-14"/>
          <w:w w:val="110"/>
        </w:rPr>
        <w:t> </w:t>
      </w:r>
      <w:r>
        <w:rPr>
          <w:color w:val="231F20"/>
          <w:w w:val="110"/>
        </w:rPr>
        <w:t>Con ocasión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45</w:t>
      </w:r>
      <w:r>
        <w:rPr>
          <w:color w:val="231F20"/>
          <w:spacing w:val="-11"/>
          <w:w w:val="110"/>
        </w:rPr>
        <w:t> </w:t>
      </w:r>
      <w:r>
        <w:rPr>
          <w:color w:val="231F20"/>
          <w:w w:val="110"/>
        </w:rPr>
        <w:t>Conferencia</w:t>
      </w:r>
      <w:r>
        <w:rPr>
          <w:color w:val="231F20"/>
          <w:spacing w:val="-11"/>
          <w:w w:val="110"/>
        </w:rPr>
        <w:t> </w:t>
      </w:r>
      <w:r>
        <w:rPr>
          <w:color w:val="231F20"/>
          <w:w w:val="110"/>
        </w:rPr>
        <w:t>sobre</w:t>
      </w:r>
      <w:r>
        <w:rPr>
          <w:color w:val="231F20"/>
          <w:spacing w:val="-11"/>
          <w:w w:val="110"/>
        </w:rPr>
        <w:t> </w:t>
      </w:r>
      <w:r>
        <w:rPr>
          <w:color w:val="231F20"/>
          <w:w w:val="110"/>
        </w:rPr>
        <w:t>Seguridad</w:t>
      </w:r>
      <w:r>
        <w:rPr>
          <w:color w:val="231F20"/>
          <w:spacing w:val="-11"/>
          <w:w w:val="110"/>
        </w:rPr>
        <w:t> </w:t>
      </w:r>
      <w:r>
        <w:rPr>
          <w:color w:val="231F20"/>
          <w:w w:val="110"/>
        </w:rPr>
        <w:t>realizada</w:t>
      </w:r>
      <w:r>
        <w:rPr>
          <w:color w:val="231F20"/>
          <w:spacing w:val="-11"/>
          <w:w w:val="110"/>
        </w:rPr>
        <w:t> </w:t>
      </w:r>
      <w:r>
        <w:rPr>
          <w:color w:val="231F20"/>
          <w:w w:val="110"/>
        </w:rPr>
        <w:t>en</w:t>
      </w:r>
      <w:r>
        <w:rPr>
          <w:color w:val="231F20"/>
          <w:spacing w:val="-11"/>
          <w:w w:val="110"/>
        </w:rPr>
        <w:t> </w:t>
      </w:r>
      <w:r>
        <w:rPr>
          <w:color w:val="231F20"/>
          <w:w w:val="110"/>
        </w:rPr>
        <w:t>Munich</w:t>
      </w:r>
      <w:r>
        <w:rPr>
          <w:color w:val="231F20"/>
          <w:spacing w:val="-11"/>
          <w:w w:val="110"/>
        </w:rPr>
        <w:t> </w:t>
      </w:r>
      <w:r>
        <w:rPr>
          <w:color w:val="231F20"/>
          <w:w w:val="110"/>
        </w:rPr>
        <w:t>el vicepresidente Biden formalizó el abandono de la guerra preventiva y la estrategia de seguridad de 2010 no la</w:t>
      </w:r>
      <w:r>
        <w:rPr>
          <w:color w:val="231F20"/>
          <w:spacing w:val="54"/>
          <w:w w:val="110"/>
        </w:rPr>
        <w:t> </w:t>
      </w:r>
      <w:r>
        <w:rPr>
          <w:color w:val="231F20"/>
          <w:w w:val="110"/>
        </w:rPr>
        <w:t>menciona.</w:t>
      </w:r>
    </w:p>
    <w:p>
      <w:pPr>
        <w:pStyle w:val="BodyText"/>
        <w:spacing w:line="261" w:lineRule="auto"/>
        <w:ind w:left="100" w:right="117" w:firstLine="287"/>
        <w:jc w:val="both"/>
      </w:pPr>
      <w:r>
        <w:rPr>
          <w:color w:val="231F20"/>
          <w:w w:val="110"/>
        </w:rPr>
        <w:t>Finalmente,</w:t>
      </w:r>
      <w:r>
        <w:rPr>
          <w:color w:val="231F20"/>
          <w:spacing w:val="-15"/>
          <w:w w:val="110"/>
        </w:rPr>
        <w:t> </w:t>
      </w:r>
      <w:r>
        <w:rPr>
          <w:color w:val="231F20"/>
          <w:w w:val="110"/>
        </w:rPr>
        <w:t>el</w:t>
      </w:r>
      <w:r>
        <w:rPr>
          <w:color w:val="231F20"/>
          <w:spacing w:val="-15"/>
          <w:w w:val="110"/>
        </w:rPr>
        <w:t> </w:t>
      </w:r>
      <w:r>
        <w:rPr>
          <w:color w:val="231F20"/>
          <w:w w:val="110"/>
        </w:rPr>
        <w:t>énfasis</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construcción</w:t>
      </w:r>
      <w:r>
        <w:rPr>
          <w:color w:val="231F20"/>
          <w:spacing w:val="-15"/>
          <w:w w:val="110"/>
        </w:rPr>
        <w:t> </w:t>
      </w:r>
      <w:r>
        <w:rPr>
          <w:color w:val="231F20"/>
          <w:w w:val="110"/>
        </w:rPr>
        <w:t>del</w:t>
      </w:r>
      <w:r>
        <w:rPr>
          <w:color w:val="231F20"/>
          <w:spacing w:val="-15"/>
          <w:w w:val="110"/>
        </w:rPr>
        <w:t> </w:t>
      </w:r>
      <w:r>
        <w:rPr>
          <w:color w:val="231F20"/>
          <w:w w:val="110"/>
        </w:rPr>
        <w:t>liderazgo</w:t>
      </w:r>
      <w:r>
        <w:rPr>
          <w:color w:val="231F20"/>
          <w:spacing w:val="-15"/>
          <w:w w:val="110"/>
        </w:rPr>
        <w:t> </w:t>
      </w:r>
      <w:r>
        <w:rPr>
          <w:color w:val="231F20"/>
          <w:w w:val="110"/>
        </w:rPr>
        <w:t>sobre</w:t>
      </w:r>
      <w:r>
        <w:rPr>
          <w:color w:val="231F20"/>
          <w:spacing w:val="-15"/>
          <w:w w:val="110"/>
        </w:rPr>
        <w:t> </w:t>
      </w:r>
      <w:r>
        <w:rPr>
          <w:color w:val="231F20"/>
          <w:w w:val="110"/>
        </w:rPr>
        <w:t>bases éticas y el ejercicio de un poder basado en valores fundamentales, sobre lo cual insiste siempre el presidente Obama, es algo que de manera</w:t>
      </w:r>
      <w:r>
        <w:rPr>
          <w:color w:val="231F20"/>
          <w:spacing w:val="-11"/>
          <w:w w:val="110"/>
        </w:rPr>
        <w:t> </w:t>
      </w:r>
      <w:r>
        <w:rPr>
          <w:color w:val="231F20"/>
          <w:w w:val="110"/>
        </w:rPr>
        <w:t>sistemática</w:t>
      </w:r>
      <w:r>
        <w:rPr>
          <w:color w:val="231F20"/>
          <w:spacing w:val="-11"/>
          <w:w w:val="110"/>
        </w:rPr>
        <w:t> </w:t>
      </w:r>
      <w:r>
        <w:rPr>
          <w:color w:val="231F20"/>
          <w:w w:val="110"/>
        </w:rPr>
        <w:t>se</w:t>
      </w:r>
      <w:r>
        <w:rPr>
          <w:color w:val="231F20"/>
          <w:spacing w:val="-11"/>
          <w:w w:val="110"/>
        </w:rPr>
        <w:t> </w:t>
      </w:r>
      <w:r>
        <w:rPr>
          <w:color w:val="231F20"/>
          <w:w w:val="110"/>
        </w:rPr>
        <w:t>ha</w:t>
      </w:r>
      <w:r>
        <w:rPr>
          <w:color w:val="231F20"/>
          <w:spacing w:val="-11"/>
          <w:w w:val="110"/>
        </w:rPr>
        <w:t> </w:t>
      </w:r>
      <w:r>
        <w:rPr>
          <w:color w:val="231F20"/>
          <w:w w:val="110"/>
        </w:rPr>
        <w:t>invocado</w:t>
      </w:r>
      <w:r>
        <w:rPr>
          <w:color w:val="231F20"/>
          <w:spacing w:val="-11"/>
          <w:w w:val="110"/>
        </w:rPr>
        <w:t> </w:t>
      </w:r>
      <w:r>
        <w:rPr>
          <w:color w:val="231F20"/>
          <w:w w:val="110"/>
        </w:rPr>
        <w:t>a</w:t>
      </w:r>
      <w:r>
        <w:rPr>
          <w:color w:val="231F20"/>
          <w:spacing w:val="-11"/>
          <w:w w:val="110"/>
        </w:rPr>
        <w:t> </w:t>
      </w:r>
      <w:r>
        <w:rPr>
          <w:color w:val="231F20"/>
          <w:w w:val="110"/>
        </w:rPr>
        <w:t>lo</w:t>
      </w:r>
      <w:r>
        <w:rPr>
          <w:color w:val="231F20"/>
          <w:spacing w:val="-11"/>
          <w:w w:val="110"/>
        </w:rPr>
        <w:t> </w:t>
      </w:r>
      <w:r>
        <w:rPr>
          <w:color w:val="231F20"/>
          <w:w w:val="110"/>
        </w:rPr>
        <w:t>largo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historia</w:t>
      </w:r>
      <w:r>
        <w:rPr>
          <w:color w:val="231F20"/>
          <w:spacing w:val="-11"/>
          <w:w w:val="110"/>
        </w:rPr>
        <w:t> </w:t>
      </w:r>
      <w:r>
        <w:rPr>
          <w:color w:val="231F20"/>
          <w:w w:val="110"/>
        </w:rPr>
        <w:t>de</w:t>
      </w:r>
      <w:r>
        <w:rPr>
          <w:color w:val="231F20"/>
          <w:spacing w:val="-11"/>
          <w:w w:val="110"/>
        </w:rPr>
        <w:t> </w:t>
      </w:r>
      <w:r>
        <w:rPr>
          <w:color w:val="231F20"/>
          <w:w w:val="110"/>
        </w:rPr>
        <w:t>Estados Unidos. Esos principios y valores han inspirado el llamado “sueño americano”.</w:t>
      </w:r>
      <w:r>
        <w:rPr>
          <w:color w:val="231F20"/>
          <w:spacing w:val="-11"/>
          <w:w w:val="110"/>
        </w:rPr>
        <w:t> </w:t>
      </w:r>
      <w:r>
        <w:rPr>
          <w:color w:val="231F20"/>
          <w:w w:val="110"/>
        </w:rPr>
        <w:t>La</w:t>
      </w:r>
      <w:r>
        <w:rPr>
          <w:color w:val="231F20"/>
          <w:spacing w:val="-11"/>
          <w:w w:val="110"/>
        </w:rPr>
        <w:t> </w:t>
      </w:r>
      <w:r>
        <w:rPr>
          <w:color w:val="231F20"/>
          <w:w w:val="110"/>
        </w:rPr>
        <w:t>estrategia</w:t>
      </w:r>
      <w:r>
        <w:rPr>
          <w:color w:val="231F20"/>
          <w:spacing w:val="-11"/>
          <w:w w:val="110"/>
        </w:rPr>
        <w:t> </w:t>
      </w:r>
      <w:r>
        <w:rPr>
          <w:color w:val="231F20"/>
          <w:w w:val="110"/>
        </w:rPr>
        <w:t>de</w:t>
      </w:r>
      <w:r>
        <w:rPr>
          <w:color w:val="231F20"/>
          <w:spacing w:val="-11"/>
          <w:w w:val="110"/>
        </w:rPr>
        <w:t> </w:t>
      </w:r>
      <w:r>
        <w:rPr>
          <w:color w:val="231F20"/>
          <w:w w:val="110"/>
        </w:rPr>
        <w:t>seguridad</w:t>
      </w:r>
      <w:r>
        <w:rPr>
          <w:color w:val="231F20"/>
          <w:spacing w:val="-11"/>
          <w:w w:val="110"/>
        </w:rPr>
        <w:t> </w:t>
      </w:r>
      <w:r>
        <w:rPr>
          <w:color w:val="231F20"/>
          <w:w w:val="110"/>
        </w:rPr>
        <w:t>nacional</w:t>
      </w:r>
      <w:r>
        <w:rPr>
          <w:color w:val="231F20"/>
          <w:spacing w:val="-11"/>
          <w:w w:val="110"/>
        </w:rPr>
        <w:t> </w:t>
      </w:r>
      <w:r>
        <w:rPr>
          <w:color w:val="231F20"/>
          <w:w w:val="110"/>
        </w:rPr>
        <w:t>de</w:t>
      </w:r>
      <w:r>
        <w:rPr>
          <w:color w:val="231F20"/>
          <w:spacing w:val="-11"/>
          <w:w w:val="110"/>
        </w:rPr>
        <w:t> </w:t>
      </w:r>
      <w:r>
        <w:rPr>
          <w:color w:val="231F20"/>
          <w:w w:val="110"/>
        </w:rPr>
        <w:t>2002</w:t>
      </w:r>
      <w:r>
        <w:rPr>
          <w:color w:val="231F20"/>
          <w:spacing w:val="-11"/>
          <w:w w:val="110"/>
        </w:rPr>
        <w:t> </w:t>
      </w:r>
      <w:r>
        <w:rPr>
          <w:color w:val="231F20"/>
          <w:w w:val="110"/>
        </w:rPr>
        <w:t>le</w:t>
      </w:r>
      <w:r>
        <w:rPr>
          <w:color w:val="231F20"/>
          <w:spacing w:val="-11"/>
          <w:w w:val="110"/>
        </w:rPr>
        <w:t> </w:t>
      </w:r>
      <w:r>
        <w:rPr>
          <w:color w:val="231F20"/>
          <w:w w:val="110"/>
        </w:rPr>
        <w:t>dedica</w:t>
      </w:r>
      <w:r>
        <w:rPr>
          <w:color w:val="231F20"/>
          <w:spacing w:val="-11"/>
          <w:w w:val="110"/>
        </w:rPr>
        <w:t> </w:t>
      </w:r>
      <w:r>
        <w:rPr>
          <w:color w:val="231F20"/>
          <w:w w:val="110"/>
        </w:rPr>
        <w:t>un amplio</w:t>
      </w:r>
      <w:r>
        <w:rPr>
          <w:color w:val="231F20"/>
          <w:spacing w:val="-5"/>
          <w:w w:val="110"/>
        </w:rPr>
        <w:t> </w:t>
      </w:r>
      <w:r>
        <w:rPr>
          <w:color w:val="231F20"/>
          <w:w w:val="110"/>
        </w:rPr>
        <w:t>espacio</w:t>
      </w:r>
      <w:r>
        <w:rPr>
          <w:color w:val="231F20"/>
          <w:spacing w:val="-5"/>
          <w:w w:val="110"/>
        </w:rPr>
        <w:t> </w:t>
      </w:r>
      <w:r>
        <w:rPr>
          <w:color w:val="231F20"/>
          <w:w w:val="110"/>
        </w:rPr>
        <w:t>y</w:t>
      </w:r>
      <w:r>
        <w:rPr>
          <w:color w:val="231F20"/>
          <w:spacing w:val="-5"/>
          <w:w w:val="110"/>
        </w:rPr>
        <w:t> </w:t>
      </w:r>
      <w:r>
        <w:rPr>
          <w:color w:val="231F20"/>
          <w:w w:val="110"/>
        </w:rPr>
        <w:t>trata</w:t>
      </w:r>
      <w:r>
        <w:rPr>
          <w:color w:val="231F20"/>
          <w:spacing w:val="-5"/>
          <w:w w:val="110"/>
        </w:rPr>
        <w:t> </w:t>
      </w:r>
      <w:r>
        <w:rPr>
          <w:color w:val="231F20"/>
          <w:w w:val="110"/>
        </w:rPr>
        <w:t>de</w:t>
      </w:r>
      <w:r>
        <w:rPr>
          <w:color w:val="231F20"/>
          <w:spacing w:val="-5"/>
          <w:w w:val="110"/>
        </w:rPr>
        <w:t> </w:t>
      </w:r>
      <w:r>
        <w:rPr>
          <w:color w:val="231F20"/>
          <w:w w:val="110"/>
        </w:rPr>
        <w:t>justificar</w:t>
      </w:r>
      <w:r>
        <w:rPr>
          <w:color w:val="231F20"/>
          <w:spacing w:val="-5"/>
          <w:w w:val="110"/>
        </w:rPr>
        <w:t> </w:t>
      </w:r>
      <w:r>
        <w:rPr>
          <w:color w:val="231F20"/>
          <w:w w:val="110"/>
        </w:rPr>
        <w:t>sus</w:t>
      </w:r>
      <w:r>
        <w:rPr>
          <w:color w:val="231F20"/>
          <w:spacing w:val="-5"/>
          <w:w w:val="110"/>
        </w:rPr>
        <w:t> </w:t>
      </w:r>
      <w:r>
        <w:rPr>
          <w:color w:val="231F20"/>
          <w:w w:val="110"/>
        </w:rPr>
        <w:t>políticas</w:t>
      </w:r>
      <w:r>
        <w:rPr>
          <w:color w:val="231F20"/>
          <w:spacing w:val="-5"/>
          <w:w w:val="110"/>
        </w:rPr>
        <w:t> </w:t>
      </w:r>
      <w:r>
        <w:rPr>
          <w:color w:val="231F20"/>
          <w:w w:val="110"/>
        </w:rPr>
        <w:t>en</w:t>
      </w:r>
      <w:r>
        <w:rPr>
          <w:color w:val="231F20"/>
          <w:spacing w:val="-5"/>
          <w:w w:val="110"/>
        </w:rPr>
        <w:t> </w:t>
      </w:r>
      <w:r>
        <w:rPr>
          <w:color w:val="231F20"/>
          <w:w w:val="110"/>
        </w:rPr>
        <w:t>aras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defensa de</w:t>
      </w:r>
      <w:r>
        <w:rPr>
          <w:color w:val="231F20"/>
          <w:spacing w:val="-15"/>
          <w:w w:val="110"/>
        </w:rPr>
        <w:t> </w:t>
      </w:r>
      <w:r>
        <w:rPr>
          <w:color w:val="231F20"/>
          <w:w w:val="110"/>
        </w:rPr>
        <w:t>la</w:t>
      </w:r>
      <w:r>
        <w:rPr>
          <w:color w:val="231F20"/>
          <w:spacing w:val="-15"/>
          <w:w w:val="110"/>
        </w:rPr>
        <w:t> </w:t>
      </w:r>
      <w:r>
        <w:rPr>
          <w:color w:val="231F20"/>
          <w:w w:val="110"/>
        </w:rPr>
        <w:t>libertad,</w:t>
      </w:r>
      <w:r>
        <w:rPr>
          <w:color w:val="231F20"/>
          <w:spacing w:val="-15"/>
          <w:w w:val="110"/>
        </w:rPr>
        <w:t> </w:t>
      </w:r>
      <w:r>
        <w:rPr>
          <w:color w:val="231F20"/>
          <w:w w:val="110"/>
        </w:rPr>
        <w:t>la</w:t>
      </w:r>
      <w:r>
        <w:rPr>
          <w:color w:val="231F20"/>
          <w:spacing w:val="-15"/>
          <w:w w:val="110"/>
        </w:rPr>
        <w:t> </w:t>
      </w:r>
      <w:r>
        <w:rPr>
          <w:color w:val="231F20"/>
          <w:w w:val="110"/>
        </w:rPr>
        <w:t>democracia,</w:t>
      </w:r>
      <w:r>
        <w:rPr>
          <w:color w:val="231F20"/>
          <w:spacing w:val="-15"/>
          <w:w w:val="110"/>
        </w:rPr>
        <w:t> </w:t>
      </w:r>
      <w:r>
        <w:rPr>
          <w:color w:val="231F20"/>
          <w:w w:val="110"/>
        </w:rPr>
        <w:t>la</w:t>
      </w:r>
      <w:r>
        <w:rPr>
          <w:color w:val="231F20"/>
          <w:spacing w:val="-15"/>
          <w:w w:val="110"/>
        </w:rPr>
        <w:t> </w:t>
      </w:r>
      <w:r>
        <w:rPr>
          <w:color w:val="231F20"/>
          <w:w w:val="110"/>
        </w:rPr>
        <w:t>justicia,</w:t>
      </w:r>
      <w:r>
        <w:rPr>
          <w:color w:val="231F20"/>
          <w:spacing w:val="-15"/>
          <w:w w:val="110"/>
        </w:rPr>
        <w:t> </w:t>
      </w:r>
      <w:r>
        <w:rPr>
          <w:color w:val="231F20"/>
          <w:w w:val="110"/>
        </w:rPr>
        <w:t>el</w:t>
      </w:r>
      <w:r>
        <w:rPr>
          <w:color w:val="231F20"/>
          <w:spacing w:val="-15"/>
          <w:w w:val="110"/>
        </w:rPr>
        <w:t> </w:t>
      </w:r>
      <w:r>
        <w:rPr>
          <w:color w:val="231F20"/>
          <w:w w:val="110"/>
        </w:rPr>
        <w:t>desarrollo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libre</w:t>
      </w:r>
      <w:r>
        <w:rPr>
          <w:color w:val="231F20"/>
          <w:spacing w:val="-15"/>
          <w:w w:val="110"/>
        </w:rPr>
        <w:t> </w:t>
      </w:r>
      <w:r>
        <w:rPr>
          <w:color w:val="231F20"/>
          <w:w w:val="110"/>
        </w:rPr>
        <w:t>comer- cio;</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sombra</w:t>
      </w:r>
      <w:r>
        <w:rPr>
          <w:color w:val="231F20"/>
          <w:spacing w:val="-10"/>
          <w:w w:val="110"/>
        </w:rPr>
        <w:t> </w:t>
      </w:r>
      <w:r>
        <w:rPr>
          <w:color w:val="231F20"/>
          <w:w w:val="110"/>
        </w:rPr>
        <w:t>se</w:t>
      </w:r>
      <w:r>
        <w:rPr>
          <w:color w:val="231F20"/>
          <w:spacing w:val="-10"/>
          <w:w w:val="110"/>
        </w:rPr>
        <w:t> </w:t>
      </w:r>
      <w:r>
        <w:rPr>
          <w:color w:val="231F20"/>
          <w:w w:val="110"/>
        </w:rPr>
        <w:t>impuso</w:t>
      </w:r>
      <w:r>
        <w:rPr>
          <w:color w:val="231F20"/>
          <w:spacing w:val="-10"/>
          <w:w w:val="110"/>
        </w:rPr>
        <w:t> </w:t>
      </w:r>
      <w:r>
        <w:rPr>
          <w:color w:val="231F20"/>
          <w:w w:val="110"/>
        </w:rPr>
        <w:t>la</w:t>
      </w:r>
      <w:r>
        <w:rPr>
          <w:color w:val="231F20"/>
          <w:spacing w:val="-10"/>
          <w:w w:val="110"/>
        </w:rPr>
        <w:t> </w:t>
      </w:r>
      <w:r>
        <w:rPr>
          <w:color w:val="231F20"/>
          <w:w w:val="110"/>
        </w:rPr>
        <w:t>política</w:t>
      </w:r>
      <w:r>
        <w:rPr>
          <w:color w:val="231F20"/>
          <w:spacing w:val="-10"/>
          <w:w w:val="110"/>
        </w:rPr>
        <w:t> </w:t>
      </w:r>
      <w:r>
        <w:rPr>
          <w:color w:val="231F20"/>
          <w:w w:val="110"/>
        </w:rPr>
        <w:t>imperial</w:t>
      </w:r>
      <w:r>
        <w:rPr>
          <w:color w:val="231F20"/>
          <w:spacing w:val="-10"/>
          <w:w w:val="110"/>
        </w:rPr>
        <w:t> </w:t>
      </w:r>
      <w:r>
        <w:rPr>
          <w:color w:val="231F20"/>
          <w:w w:val="110"/>
        </w:rPr>
        <w:t>que</w:t>
      </w:r>
      <w:r>
        <w:rPr>
          <w:color w:val="231F20"/>
          <w:spacing w:val="-10"/>
          <w:w w:val="110"/>
        </w:rPr>
        <w:t> </w:t>
      </w:r>
      <w:r>
        <w:rPr>
          <w:color w:val="231F20"/>
          <w:w w:val="110"/>
        </w:rPr>
        <w:t>ya</w:t>
      </w:r>
      <w:r>
        <w:rPr>
          <w:color w:val="231F20"/>
          <w:spacing w:val="-10"/>
          <w:w w:val="110"/>
        </w:rPr>
        <w:t> </w:t>
      </w:r>
      <w:r>
        <w:rPr>
          <w:color w:val="231F20"/>
          <w:w w:val="110"/>
        </w:rPr>
        <w:t>hemos</w:t>
      </w:r>
      <w:r>
        <w:rPr>
          <w:color w:val="231F20"/>
          <w:spacing w:val="-10"/>
          <w:w w:val="110"/>
        </w:rPr>
        <w:t> </w:t>
      </w:r>
      <w:r>
        <w:rPr>
          <w:color w:val="231F20"/>
          <w:w w:val="110"/>
        </w:rPr>
        <w:t>analiza- do que condujo al debilitamiento extremo la hegemonía  </w:t>
      </w:r>
      <w:r>
        <w:rPr>
          <w:color w:val="231F20"/>
          <w:spacing w:val="37"/>
          <w:w w:val="110"/>
        </w:rPr>
        <w:t> </w:t>
      </w:r>
      <w:r>
        <w:rPr>
          <w:color w:val="231F20"/>
          <w:w w:val="110"/>
        </w:rPr>
        <w:t>normativa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hasta</w:t>
      </w:r>
      <w:r>
        <w:rPr>
          <w:color w:val="231F20"/>
          <w:spacing w:val="-9"/>
          <w:w w:val="110"/>
        </w:rPr>
        <w:t> </w:t>
      </w:r>
      <w:r>
        <w:rPr>
          <w:color w:val="231F20"/>
          <w:w w:val="110"/>
        </w:rPr>
        <w:t>el</w:t>
      </w:r>
      <w:r>
        <w:rPr>
          <w:color w:val="231F20"/>
          <w:spacing w:val="-9"/>
          <w:w w:val="110"/>
        </w:rPr>
        <w:t> </w:t>
      </w:r>
      <w:r>
        <w:rPr>
          <w:color w:val="231F20"/>
          <w:w w:val="110"/>
        </w:rPr>
        <w:t>punto</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Wallerstein</w:t>
      </w:r>
      <w:r>
        <w:rPr>
          <w:color w:val="231F20"/>
          <w:spacing w:val="-9"/>
          <w:w w:val="110"/>
        </w:rPr>
        <w:t> </w:t>
      </w:r>
      <w:r>
        <w:rPr>
          <w:color w:val="231F20"/>
          <w:w w:val="110"/>
        </w:rPr>
        <w:t>llegó</w:t>
      </w:r>
      <w:r>
        <w:rPr>
          <w:color w:val="231F20"/>
          <w:spacing w:val="-9"/>
          <w:w w:val="110"/>
        </w:rPr>
        <w:t> </w:t>
      </w:r>
      <w:r>
        <w:rPr>
          <w:color w:val="231F20"/>
          <w:w w:val="110"/>
        </w:rPr>
        <w:t>a</w:t>
      </w:r>
      <w:r>
        <w:rPr>
          <w:color w:val="231F20"/>
          <w:spacing w:val="-9"/>
          <w:w w:val="110"/>
        </w:rPr>
        <w:t> </w:t>
      </w:r>
      <w:r>
        <w:rPr>
          <w:color w:val="231F20"/>
          <w:w w:val="110"/>
        </w:rPr>
        <w:t>sostener que la mayor amenaza para Estados Unidos son los mismos Estados Unidos (Wallerstein, 2005). En la invocación de estos principios no hay rupturas, éstas se presentan en la coherencia entre el discurso </w:t>
      </w:r>
      <w:r>
        <w:rPr>
          <w:color w:val="231F20"/>
        </w:rPr>
        <w:t>y </w:t>
      </w:r>
      <w:r>
        <w:rPr>
          <w:color w:val="231F20"/>
          <w:w w:val="110"/>
        </w:rPr>
        <w:t>las políticas. </w:t>
      </w:r>
      <w:r>
        <w:rPr>
          <w:color w:val="231F20"/>
        </w:rPr>
        <w:t>Y </w:t>
      </w:r>
      <w:r>
        <w:rPr>
          <w:color w:val="231F20"/>
          <w:w w:val="110"/>
        </w:rPr>
        <w:t>es aquí en donde el discurso esperanzador de Obama ha comenzado a producir efectos adversos en algunos</w:t>
      </w:r>
      <w:r>
        <w:rPr>
          <w:color w:val="231F20"/>
          <w:spacing w:val="34"/>
          <w:w w:val="110"/>
        </w:rPr>
        <w:t> </w:t>
      </w:r>
      <w:r>
        <w:rPr>
          <w:color w:val="231F20"/>
          <w:w w:val="110"/>
        </w:rPr>
        <w:t>aspectos.</w:t>
      </w:r>
    </w:p>
    <w:p>
      <w:pPr>
        <w:pStyle w:val="BodyText"/>
      </w:pPr>
    </w:p>
    <w:p>
      <w:pPr>
        <w:pStyle w:val="BodyText"/>
      </w:pPr>
    </w:p>
    <w:p>
      <w:pPr>
        <w:pStyle w:val="BodyText"/>
        <w:spacing w:before="2"/>
        <w:rPr>
          <w:sz w:val="25"/>
        </w:rPr>
      </w:pPr>
    </w:p>
    <w:p>
      <w:pPr>
        <w:pStyle w:val="BodyText"/>
        <w:ind w:left="100"/>
        <w:jc w:val="both"/>
      </w:pPr>
      <w:r>
        <w:rPr>
          <w:color w:val="231F20"/>
          <w:w w:val="130"/>
        </w:rPr>
        <w:t>del discurso esperanzador a las políticas concretas</w:t>
      </w:r>
    </w:p>
    <w:p>
      <w:pPr>
        <w:pStyle w:val="BodyText"/>
        <w:spacing w:before="5"/>
        <w:rPr>
          <w:sz w:val="23"/>
        </w:rPr>
      </w:pPr>
    </w:p>
    <w:p>
      <w:pPr>
        <w:pStyle w:val="BodyText"/>
        <w:spacing w:line="261" w:lineRule="auto"/>
        <w:ind w:left="100" w:right="115"/>
        <w:jc w:val="both"/>
      </w:pPr>
      <w:r>
        <w:rPr>
          <w:color w:val="231F20"/>
          <w:w w:val="110"/>
        </w:rPr>
        <w:t>Desde la campaña presidencial, Obama se comprometió a cerrar la cárcel en Guantánamo, prohibir la práctica de torturas y retirarse de Irak. La cárcel no se ha cerrado hasta el momento de escribir este ensayo; todo indica, según las denuncias hechas por organizacio- nes defensoras de derechos humanos que, a pesar del compromiso presidencial y de la prohibición del recurso a la tortura ésta sigue siendo practicada, especialmente en el escenario de la guerra en Afganistán. Desde mediados de 2010 se formalizó el retiro de </w:t>
      </w:r>
      <w:r>
        <w:rPr>
          <w:color w:val="231F20"/>
          <w:spacing w:val="2"/>
          <w:w w:val="110"/>
        </w:rPr>
        <w:t>las </w:t>
      </w:r>
      <w:r>
        <w:rPr>
          <w:color w:val="231F20"/>
          <w:w w:val="110"/>
        </w:rPr>
        <w:t>tropas de Irak pero se mantienen unidades militares en </w:t>
      </w:r>
      <w:r>
        <w:rPr>
          <w:color w:val="231F20"/>
          <w:spacing w:val="2"/>
          <w:w w:val="110"/>
        </w:rPr>
        <w:t>número </w:t>
      </w:r>
      <w:r>
        <w:rPr>
          <w:color w:val="231F20"/>
          <w:w w:val="110"/>
        </w:rPr>
        <w:t>apreciable, sin carácter ofensivo, con el fin de “apoyar” al gobierno iraquí en la consolidación de las instituciones democráticas, lo </w:t>
      </w:r>
      <w:r>
        <w:rPr>
          <w:color w:val="231F20"/>
          <w:spacing w:val="2"/>
          <w:w w:val="110"/>
        </w:rPr>
        <w:t>que </w:t>
      </w:r>
      <w:r>
        <w:rPr>
          <w:color w:val="231F20"/>
          <w:w w:val="110"/>
        </w:rPr>
        <w:t>plantea serias dudas sobre la concepción de democracia y de </w:t>
      </w:r>
      <w:r>
        <w:rPr>
          <w:color w:val="231F20"/>
          <w:spacing w:val="2"/>
          <w:w w:val="110"/>
        </w:rPr>
        <w:t>una </w:t>
      </w:r>
      <w:r>
        <w:rPr>
          <w:color w:val="231F20"/>
          <w:w w:val="110"/>
        </w:rPr>
        <w:t>política exterior que pretende ser entre socios y no entre poder imperial y gobiernos subordinados. Igualmente, el comportamiento ante el golpe de estado que depuso al presidente constitucional de Honduras y las denuncias sobre el uso de la base militar estadu- nidense en ese país por los golpistas, arroja serias dudas sobre el compromiso con la democracia y la acción multilateral. Por último, el discurso pronunciado por el presidente Obama al recibir el con- trovertido</w:t>
      </w:r>
      <w:r>
        <w:rPr>
          <w:color w:val="231F20"/>
          <w:spacing w:val="-7"/>
          <w:w w:val="110"/>
        </w:rPr>
        <w:t> </w:t>
      </w:r>
      <w:r>
        <w:rPr>
          <w:color w:val="231F20"/>
          <w:w w:val="110"/>
        </w:rPr>
        <w:t>Premio</w:t>
      </w:r>
      <w:r>
        <w:rPr>
          <w:color w:val="231F20"/>
          <w:spacing w:val="-7"/>
          <w:w w:val="110"/>
        </w:rPr>
        <w:t> </w:t>
      </w:r>
      <w:r>
        <w:rPr>
          <w:color w:val="231F20"/>
          <w:w w:val="110"/>
        </w:rPr>
        <w:t>Nobel</w:t>
      </w:r>
      <w:r>
        <w:rPr>
          <w:color w:val="231F20"/>
          <w:spacing w:val="-7"/>
          <w:w w:val="110"/>
        </w:rPr>
        <w:t> </w:t>
      </w:r>
      <w:r>
        <w:rPr>
          <w:color w:val="231F20"/>
          <w:w w:val="110"/>
        </w:rPr>
        <w:t>de</w:t>
      </w:r>
      <w:r>
        <w:rPr>
          <w:color w:val="231F20"/>
          <w:spacing w:val="-7"/>
          <w:w w:val="110"/>
        </w:rPr>
        <w:t> </w:t>
      </w:r>
      <w:r>
        <w:rPr>
          <w:color w:val="231F20"/>
          <w:w w:val="110"/>
        </w:rPr>
        <w:t>Paz</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que</w:t>
      </w:r>
      <w:r>
        <w:rPr>
          <w:color w:val="231F20"/>
          <w:spacing w:val="-7"/>
          <w:w w:val="110"/>
        </w:rPr>
        <w:t> </w:t>
      </w:r>
      <w:r>
        <w:rPr>
          <w:color w:val="231F20"/>
          <w:w w:val="110"/>
        </w:rPr>
        <w:t>lo</w:t>
      </w:r>
      <w:r>
        <w:rPr>
          <w:color w:val="231F20"/>
          <w:spacing w:val="-7"/>
          <w:w w:val="110"/>
        </w:rPr>
        <w:t> </w:t>
      </w:r>
      <w:r>
        <w:rPr>
          <w:color w:val="231F20"/>
          <w:w w:val="110"/>
        </w:rPr>
        <w:t>distinguió</w:t>
      </w:r>
      <w:r>
        <w:rPr>
          <w:color w:val="231F20"/>
          <w:spacing w:val="-7"/>
          <w:w w:val="110"/>
        </w:rPr>
        <w:t> </w:t>
      </w:r>
      <w:r>
        <w:rPr>
          <w:color w:val="231F20"/>
          <w:w w:val="110"/>
        </w:rPr>
        <w:t>la</w:t>
      </w:r>
      <w:r>
        <w:rPr>
          <w:color w:val="231F20"/>
          <w:spacing w:val="-7"/>
          <w:w w:val="110"/>
        </w:rPr>
        <w:t> </w:t>
      </w:r>
      <w:r>
        <w:rPr>
          <w:color w:val="231F20"/>
          <w:w w:val="110"/>
        </w:rPr>
        <w:t>Academia Sueca, más allá de la pertinencia teórica de la discusión sobre la guerra justa, plantea serios interrogantes sobre la concepción de </w:t>
      </w:r>
      <w:r>
        <w:rPr>
          <w:color w:val="231F20"/>
          <w:spacing w:val="2"/>
          <w:w w:val="110"/>
        </w:rPr>
        <w:t>paz </w:t>
      </w:r>
      <w:r>
        <w:rPr>
          <w:color w:val="231F20"/>
          <w:w w:val="110"/>
        </w:rPr>
        <w:t>al confrontarse con el presupuesto asignado a la defensa en 2010,   el incremento de la presencia militar en Afganistán, y el despliegue de bases militares en el mundo, como sucedió recientemente con la ampliación del acuerdo sobre cooperación militar con el gobierno  de Colombia que le permite utilizar hasta siete bases militares </w:t>
      </w:r>
      <w:r>
        <w:rPr>
          <w:color w:val="231F20"/>
          <w:spacing w:val="2"/>
          <w:w w:val="110"/>
        </w:rPr>
        <w:t>con </w:t>
      </w:r>
      <w:r>
        <w:rPr>
          <w:color w:val="231F20"/>
          <w:w w:val="110"/>
        </w:rPr>
        <w:t>fines</w:t>
      </w:r>
      <w:r>
        <w:rPr>
          <w:color w:val="231F20"/>
          <w:spacing w:val="-31"/>
          <w:w w:val="110"/>
        </w:rPr>
        <w:t> </w:t>
      </w:r>
      <w:r>
        <w:rPr>
          <w:color w:val="231F20"/>
          <w:w w:val="110"/>
        </w:rPr>
        <w:t>ofensivos.</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10"/>
        </w:rPr>
        <w:t>Discurso y prácticas concretas deben siempre interpretarse con base en los intereses en juego en este mundo fluido, inestable, en el que</w:t>
      </w:r>
      <w:r>
        <w:rPr>
          <w:color w:val="231F20"/>
          <w:spacing w:val="-5"/>
          <w:w w:val="110"/>
        </w:rPr>
        <w:t> </w:t>
      </w:r>
      <w:r>
        <w:rPr>
          <w:color w:val="231F20"/>
          <w:w w:val="110"/>
        </w:rPr>
        <w:t>se</w:t>
      </w:r>
      <w:r>
        <w:rPr>
          <w:color w:val="231F20"/>
          <w:spacing w:val="-5"/>
          <w:w w:val="110"/>
        </w:rPr>
        <w:t> </w:t>
      </w:r>
      <w:r>
        <w:rPr>
          <w:color w:val="231F20"/>
          <w:w w:val="110"/>
        </w:rPr>
        <w:t>están</w:t>
      </w:r>
      <w:r>
        <w:rPr>
          <w:color w:val="231F20"/>
          <w:spacing w:val="-5"/>
          <w:w w:val="110"/>
        </w:rPr>
        <w:t> </w:t>
      </w:r>
      <w:r>
        <w:rPr>
          <w:color w:val="231F20"/>
          <w:w w:val="110"/>
        </w:rPr>
        <w:t>configurado</w:t>
      </w:r>
      <w:r>
        <w:rPr>
          <w:color w:val="231F20"/>
          <w:spacing w:val="-5"/>
          <w:w w:val="110"/>
        </w:rPr>
        <w:t> </w:t>
      </w:r>
      <w:r>
        <w:rPr>
          <w:color w:val="231F20"/>
          <w:w w:val="110"/>
        </w:rPr>
        <w:t>nuevos</w:t>
      </w:r>
      <w:r>
        <w:rPr>
          <w:color w:val="231F20"/>
          <w:spacing w:val="-5"/>
          <w:w w:val="110"/>
        </w:rPr>
        <w:t> </w:t>
      </w:r>
      <w:r>
        <w:rPr>
          <w:color w:val="231F20"/>
          <w:w w:val="110"/>
        </w:rPr>
        <w:t>polos</w:t>
      </w:r>
      <w:r>
        <w:rPr>
          <w:color w:val="231F20"/>
          <w:spacing w:val="-5"/>
          <w:w w:val="110"/>
        </w:rPr>
        <w:t> </w:t>
      </w:r>
      <w:r>
        <w:rPr>
          <w:color w:val="231F20"/>
          <w:w w:val="110"/>
        </w:rPr>
        <w:t>de</w:t>
      </w:r>
      <w:r>
        <w:rPr>
          <w:color w:val="231F20"/>
          <w:spacing w:val="-5"/>
          <w:w w:val="110"/>
        </w:rPr>
        <w:t> </w:t>
      </w:r>
      <w:r>
        <w:rPr>
          <w:color w:val="231F20"/>
          <w:w w:val="110"/>
        </w:rPr>
        <w:t>poder</w:t>
      </w:r>
      <w:r>
        <w:rPr>
          <w:color w:val="231F20"/>
          <w:spacing w:val="-5"/>
          <w:w w:val="110"/>
        </w:rPr>
        <w:t> </w:t>
      </w:r>
      <w:r>
        <w:rPr>
          <w:color w:val="231F20"/>
          <w:w w:val="110"/>
        </w:rPr>
        <w:t>económico</w:t>
      </w:r>
      <w:r>
        <w:rPr>
          <w:color w:val="231F20"/>
          <w:spacing w:val="-5"/>
          <w:w w:val="110"/>
        </w:rPr>
        <w:t> </w:t>
      </w:r>
      <w:r>
        <w:rPr>
          <w:color w:val="231F20"/>
          <w:w w:val="110"/>
        </w:rPr>
        <w:t>y</w:t>
      </w:r>
      <w:r>
        <w:rPr>
          <w:color w:val="231F20"/>
          <w:spacing w:val="-5"/>
          <w:w w:val="110"/>
        </w:rPr>
        <w:t> </w:t>
      </w:r>
      <w:r>
        <w:rPr>
          <w:color w:val="231F20"/>
          <w:w w:val="110"/>
        </w:rPr>
        <w:t>militar y Estados Unidos encara lo que, a juicio de muchos, es la pendiente de la inexorable decadencia de su hegemonía. En aras de sus inte- reses esenciales, la política de Obama y su estrategia de seguridad es probablemente la gran estrategia más adecuada para revertir, o al menos desacelerar, la decadencia de la hegemonía. Al menos así ha sido</w:t>
      </w:r>
      <w:r>
        <w:rPr>
          <w:color w:val="231F20"/>
          <w:spacing w:val="-13"/>
          <w:w w:val="110"/>
        </w:rPr>
        <w:t> </w:t>
      </w:r>
      <w:r>
        <w:rPr>
          <w:color w:val="231F20"/>
          <w:w w:val="110"/>
        </w:rPr>
        <w:t>planteada:</w:t>
      </w:r>
      <w:r>
        <w:rPr>
          <w:color w:val="231F20"/>
          <w:spacing w:val="-13"/>
          <w:w w:val="110"/>
        </w:rPr>
        <w:t> </w:t>
      </w:r>
      <w:r>
        <w:rPr>
          <w:color w:val="231F20"/>
          <w:w w:val="110"/>
        </w:rPr>
        <w:t>“nuestra</w:t>
      </w:r>
      <w:r>
        <w:rPr>
          <w:color w:val="231F20"/>
          <w:spacing w:val="-13"/>
          <w:w w:val="110"/>
        </w:rPr>
        <w:t> </w:t>
      </w:r>
      <w:r>
        <w:rPr>
          <w:color w:val="231F20"/>
          <w:w w:val="110"/>
        </w:rPr>
        <w:t>estrategia</w:t>
      </w:r>
      <w:r>
        <w:rPr>
          <w:color w:val="231F20"/>
          <w:spacing w:val="-13"/>
          <w:w w:val="110"/>
        </w:rPr>
        <w:t> </w:t>
      </w:r>
      <w:r>
        <w:rPr>
          <w:color w:val="231F20"/>
          <w:w w:val="110"/>
        </w:rPr>
        <w:t>de</w:t>
      </w:r>
      <w:r>
        <w:rPr>
          <w:color w:val="231F20"/>
          <w:spacing w:val="-13"/>
          <w:w w:val="110"/>
        </w:rPr>
        <w:t> </w:t>
      </w:r>
      <w:r>
        <w:rPr>
          <w:color w:val="231F20"/>
          <w:w w:val="110"/>
        </w:rPr>
        <w:t>seguridad</w:t>
      </w:r>
      <w:r>
        <w:rPr>
          <w:color w:val="231F20"/>
          <w:spacing w:val="-13"/>
          <w:w w:val="110"/>
        </w:rPr>
        <w:t> </w:t>
      </w:r>
      <w:r>
        <w:rPr>
          <w:color w:val="231F20"/>
          <w:w w:val="110"/>
        </w:rPr>
        <w:t>nacional</w:t>
      </w:r>
      <w:r>
        <w:rPr>
          <w:color w:val="231F20"/>
          <w:spacing w:val="-13"/>
          <w:w w:val="110"/>
        </w:rPr>
        <w:t> </w:t>
      </w:r>
      <w:r>
        <w:rPr>
          <w:color w:val="231F20"/>
          <w:w w:val="110"/>
        </w:rPr>
        <w:t>está</w:t>
      </w:r>
      <w:r>
        <w:rPr>
          <w:color w:val="231F20"/>
          <w:spacing w:val="-13"/>
          <w:w w:val="110"/>
        </w:rPr>
        <w:t> </w:t>
      </w:r>
      <w:r>
        <w:rPr>
          <w:color w:val="231F20"/>
          <w:w w:val="110"/>
        </w:rPr>
        <w:t>enfoca- da</w:t>
      </w:r>
      <w:r>
        <w:rPr>
          <w:color w:val="231F20"/>
          <w:spacing w:val="-7"/>
          <w:w w:val="110"/>
        </w:rPr>
        <w:t> </w:t>
      </w:r>
      <w:r>
        <w:rPr>
          <w:color w:val="231F20"/>
          <w:w w:val="110"/>
        </w:rPr>
        <w:t>en</w:t>
      </w:r>
      <w:r>
        <w:rPr>
          <w:color w:val="231F20"/>
          <w:spacing w:val="-7"/>
          <w:w w:val="110"/>
        </w:rPr>
        <w:t> </w:t>
      </w:r>
      <w:r>
        <w:rPr>
          <w:color w:val="231F20"/>
          <w:w w:val="110"/>
        </w:rPr>
        <w:t>renovar</w:t>
      </w:r>
      <w:r>
        <w:rPr>
          <w:color w:val="231F20"/>
          <w:spacing w:val="-7"/>
          <w:w w:val="110"/>
        </w:rPr>
        <w:t> </w:t>
      </w:r>
      <w:r>
        <w:rPr>
          <w:color w:val="231F20"/>
          <w:w w:val="110"/>
        </w:rPr>
        <w:t>el</w:t>
      </w:r>
      <w:r>
        <w:rPr>
          <w:color w:val="231F20"/>
          <w:spacing w:val="-7"/>
          <w:w w:val="110"/>
        </w:rPr>
        <w:t> </w:t>
      </w:r>
      <w:r>
        <w:rPr>
          <w:color w:val="231F20"/>
          <w:w w:val="110"/>
        </w:rPr>
        <w:t>liderazgo</w:t>
      </w:r>
      <w:r>
        <w:rPr>
          <w:color w:val="231F20"/>
          <w:spacing w:val="-7"/>
          <w:w w:val="110"/>
        </w:rPr>
        <w:t> </w:t>
      </w:r>
      <w:r>
        <w:rPr>
          <w:color w:val="231F20"/>
          <w:w w:val="110"/>
        </w:rPr>
        <w:t>estadunidense</w:t>
      </w:r>
      <w:r>
        <w:rPr>
          <w:color w:val="231F20"/>
          <w:spacing w:val="-7"/>
          <w:w w:val="110"/>
        </w:rPr>
        <w:t> </w:t>
      </w:r>
      <w:r>
        <w:rPr>
          <w:color w:val="231F20"/>
          <w:w w:val="110"/>
        </w:rPr>
        <w:t>para</w:t>
      </w:r>
      <w:r>
        <w:rPr>
          <w:color w:val="231F20"/>
          <w:spacing w:val="-7"/>
          <w:w w:val="110"/>
        </w:rPr>
        <w:t> </w:t>
      </w:r>
      <w:r>
        <w:rPr>
          <w:color w:val="231F20"/>
          <w:w w:val="110"/>
        </w:rPr>
        <w:t>que</w:t>
      </w:r>
      <w:r>
        <w:rPr>
          <w:color w:val="231F20"/>
          <w:spacing w:val="-7"/>
          <w:w w:val="110"/>
        </w:rPr>
        <w:t> </w:t>
      </w:r>
      <w:r>
        <w:rPr>
          <w:color w:val="231F20"/>
          <w:w w:val="110"/>
        </w:rPr>
        <w:t>podamos</w:t>
      </w:r>
      <w:r>
        <w:rPr>
          <w:color w:val="231F20"/>
          <w:spacing w:val="-7"/>
          <w:w w:val="110"/>
        </w:rPr>
        <w:t> </w:t>
      </w:r>
      <w:r>
        <w:rPr>
          <w:color w:val="231F20"/>
          <w:w w:val="110"/>
        </w:rPr>
        <w:t>impulsar más eficazmente nuestros intereses en el siglo xxi. Haremos esto, basándonos</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recursos</w:t>
      </w:r>
      <w:r>
        <w:rPr>
          <w:color w:val="231F20"/>
          <w:spacing w:val="-11"/>
          <w:w w:val="110"/>
        </w:rPr>
        <w:t> </w:t>
      </w:r>
      <w:r>
        <w:rPr>
          <w:color w:val="231F20"/>
          <w:w w:val="110"/>
        </w:rPr>
        <w:t>de</w:t>
      </w:r>
      <w:r>
        <w:rPr>
          <w:color w:val="231F20"/>
          <w:spacing w:val="-11"/>
          <w:w w:val="110"/>
        </w:rPr>
        <w:t> </w:t>
      </w:r>
      <w:r>
        <w:rPr>
          <w:color w:val="231F20"/>
          <w:w w:val="110"/>
        </w:rPr>
        <w:t>nuestra</w:t>
      </w:r>
      <w:r>
        <w:rPr>
          <w:color w:val="231F20"/>
          <w:spacing w:val="-11"/>
          <w:w w:val="110"/>
        </w:rPr>
        <w:t> </w:t>
      </w:r>
      <w:r>
        <w:rPr>
          <w:color w:val="231F20"/>
          <w:w w:val="110"/>
        </w:rPr>
        <w:t>fortaleza</w:t>
      </w:r>
      <w:r>
        <w:rPr>
          <w:color w:val="231F20"/>
          <w:spacing w:val="-11"/>
          <w:w w:val="110"/>
        </w:rPr>
        <w:t> </w:t>
      </w:r>
      <w:r>
        <w:rPr>
          <w:color w:val="231F20"/>
          <w:w w:val="110"/>
        </w:rPr>
        <w:t>nacional,</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vez</w:t>
      </w:r>
      <w:r>
        <w:rPr>
          <w:color w:val="231F20"/>
          <w:spacing w:val="-11"/>
          <w:w w:val="110"/>
        </w:rPr>
        <w:t> </w:t>
      </w:r>
      <w:r>
        <w:rPr>
          <w:color w:val="231F20"/>
          <w:w w:val="110"/>
        </w:rPr>
        <w:t>que damos forma a un orden internacional que pueda superar los retos de nuestro tiempo [reiteramos] el compromiso de Estados Unidos  de impulsar nuestros intereses mediante un sistema internacional en que todas las naciones tengan ciertos derechos y</w:t>
      </w:r>
      <w:r>
        <w:rPr>
          <w:color w:val="231F20"/>
          <w:spacing w:val="-22"/>
          <w:w w:val="110"/>
        </w:rPr>
        <w:t> </w:t>
      </w:r>
      <w:r>
        <w:rPr>
          <w:color w:val="231F20"/>
          <w:w w:val="110"/>
        </w:rPr>
        <w:t>responsabilidades”.</w:t>
      </w:r>
    </w:p>
    <w:p>
      <w:pPr>
        <w:pStyle w:val="BodyText"/>
      </w:pPr>
    </w:p>
    <w:p>
      <w:pPr>
        <w:pStyle w:val="BodyText"/>
      </w:pPr>
    </w:p>
    <w:p>
      <w:pPr>
        <w:pStyle w:val="BodyText"/>
        <w:spacing w:before="2"/>
        <w:rPr>
          <w:sz w:val="25"/>
        </w:rPr>
      </w:pPr>
    </w:p>
    <w:p>
      <w:pPr>
        <w:pStyle w:val="BodyText"/>
        <w:ind w:left="100"/>
        <w:jc w:val="both"/>
      </w:pPr>
      <w:r>
        <w:rPr>
          <w:color w:val="231F20"/>
          <w:w w:val="130"/>
        </w:rPr>
        <w:t>la política de seguridad y américa latina</w:t>
      </w:r>
    </w:p>
    <w:p>
      <w:pPr>
        <w:pStyle w:val="BodyText"/>
        <w:spacing w:before="5"/>
        <w:rPr>
          <w:sz w:val="23"/>
        </w:rPr>
      </w:pPr>
    </w:p>
    <w:p>
      <w:pPr>
        <w:pStyle w:val="BodyText"/>
        <w:spacing w:line="261" w:lineRule="auto"/>
        <w:ind w:left="100" w:right="114"/>
        <w:jc w:val="both"/>
      </w:pPr>
      <w:r>
        <w:rPr>
          <w:color w:val="231F20"/>
          <w:w w:val="110"/>
        </w:rPr>
        <w:t>América</w:t>
      </w:r>
      <w:r>
        <w:rPr>
          <w:color w:val="231F20"/>
          <w:spacing w:val="-8"/>
          <w:w w:val="110"/>
        </w:rPr>
        <w:t> </w:t>
      </w:r>
      <w:r>
        <w:rPr>
          <w:color w:val="231F20"/>
          <w:w w:val="110"/>
        </w:rPr>
        <w:t>Latina</w:t>
      </w:r>
      <w:r>
        <w:rPr>
          <w:color w:val="231F20"/>
          <w:spacing w:val="-8"/>
          <w:w w:val="110"/>
        </w:rPr>
        <w:t> </w:t>
      </w:r>
      <w:r>
        <w:rPr>
          <w:color w:val="231F20"/>
          <w:w w:val="110"/>
        </w:rPr>
        <w:t>ha</w:t>
      </w:r>
      <w:r>
        <w:rPr>
          <w:color w:val="231F20"/>
          <w:spacing w:val="-8"/>
          <w:w w:val="110"/>
        </w:rPr>
        <w:t> </w:t>
      </w:r>
      <w:r>
        <w:rPr>
          <w:color w:val="231F20"/>
          <w:w w:val="110"/>
        </w:rPr>
        <w:t>sido</w:t>
      </w:r>
      <w:r>
        <w:rPr>
          <w:color w:val="231F20"/>
          <w:spacing w:val="-8"/>
          <w:w w:val="110"/>
        </w:rPr>
        <w:t> </w:t>
      </w:r>
      <w:r>
        <w:rPr>
          <w:color w:val="231F20"/>
          <w:w w:val="110"/>
        </w:rPr>
        <w:t>considerada</w:t>
      </w:r>
      <w:r>
        <w:rPr>
          <w:color w:val="231F20"/>
          <w:spacing w:val="-8"/>
          <w:w w:val="110"/>
        </w:rPr>
        <w:t> </w:t>
      </w:r>
      <w:r>
        <w:rPr>
          <w:color w:val="231F20"/>
          <w:w w:val="110"/>
        </w:rPr>
        <w:t>por</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como</w:t>
      </w:r>
      <w:r>
        <w:rPr>
          <w:color w:val="231F20"/>
          <w:spacing w:val="-8"/>
          <w:w w:val="110"/>
        </w:rPr>
        <w:t> </w:t>
      </w:r>
      <w:r>
        <w:rPr>
          <w:color w:val="231F20"/>
          <w:w w:val="110"/>
        </w:rPr>
        <w:t>su</w:t>
      </w:r>
      <w:r>
        <w:rPr>
          <w:color w:val="231F20"/>
          <w:spacing w:val="-8"/>
          <w:w w:val="110"/>
        </w:rPr>
        <w:t> </w:t>
      </w:r>
      <w:r>
        <w:rPr>
          <w:color w:val="231F20"/>
          <w:w w:val="110"/>
        </w:rPr>
        <w:t>pa- tio</w:t>
      </w:r>
      <w:r>
        <w:rPr>
          <w:color w:val="231F20"/>
          <w:spacing w:val="-5"/>
          <w:w w:val="110"/>
        </w:rPr>
        <w:t> </w:t>
      </w:r>
      <w:r>
        <w:rPr>
          <w:color w:val="231F20"/>
          <w:w w:val="110"/>
        </w:rPr>
        <w:t>trasero.</w:t>
      </w:r>
      <w:r>
        <w:rPr>
          <w:color w:val="231F20"/>
          <w:spacing w:val="-5"/>
          <w:w w:val="110"/>
        </w:rPr>
        <w:t> </w:t>
      </w:r>
      <w:r>
        <w:rPr>
          <w:color w:val="231F20"/>
          <w:w w:val="110"/>
        </w:rPr>
        <w:t>Desde</w:t>
      </w:r>
      <w:r>
        <w:rPr>
          <w:color w:val="231F20"/>
          <w:spacing w:val="-5"/>
          <w:w w:val="110"/>
        </w:rPr>
        <w:t> </w:t>
      </w:r>
      <w:r>
        <w:rPr>
          <w:color w:val="231F20"/>
          <w:w w:val="110"/>
        </w:rPr>
        <w:t>la</w:t>
      </w:r>
      <w:r>
        <w:rPr>
          <w:color w:val="231F20"/>
          <w:spacing w:val="-5"/>
          <w:w w:val="110"/>
        </w:rPr>
        <w:t> </w:t>
      </w:r>
      <w:r>
        <w:rPr>
          <w:color w:val="231F20"/>
          <w:w w:val="110"/>
        </w:rPr>
        <w:t>formulación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doctrina</w:t>
      </w:r>
      <w:r>
        <w:rPr>
          <w:color w:val="231F20"/>
          <w:spacing w:val="-5"/>
          <w:w w:val="110"/>
        </w:rPr>
        <w:t> </w:t>
      </w:r>
      <w:r>
        <w:rPr>
          <w:color w:val="231F20"/>
          <w:w w:val="110"/>
        </w:rPr>
        <w:t>Monroe</w:t>
      </w:r>
      <w:r>
        <w:rPr>
          <w:color w:val="231F20"/>
          <w:spacing w:val="-5"/>
          <w:w w:val="110"/>
        </w:rPr>
        <w:t> </w:t>
      </w:r>
      <w:r>
        <w:rPr>
          <w:color w:val="231F20"/>
          <w:w w:val="110"/>
        </w:rPr>
        <w:t>ha</w:t>
      </w:r>
      <w:r>
        <w:rPr>
          <w:color w:val="231F20"/>
          <w:spacing w:val="-5"/>
          <w:w w:val="110"/>
        </w:rPr>
        <w:t> </w:t>
      </w:r>
      <w:r>
        <w:rPr>
          <w:color w:val="231F20"/>
          <w:w w:val="110"/>
        </w:rPr>
        <w:t>sostenido una presencia permanente en el sur del continente, que durante la guerra fría estuvo bajo la égida estadunidense, con la excepción de Cuba a partir del triunfo de la Revolución en 1959. A comienzos   de los años sesenta promovieron la exclusión de Cuba del sistema interamericano e impusieron el bloqueo que aún persiste. Durante buena parte del siglo xx dispusieron a su antojo sobre la estabilidad y políticas de algunos gobiernos, sobre todo centroamericanos, y promovieron dictaduras militares en nombre de la defensa del mun- do libre. Desde los años sesenta desarrollaron una activa política de intervención en la lucha contrainsurgente en los países en los que surgieron grupos guerrilleros, promovieron la política de seguridad nacional</w:t>
      </w:r>
      <w:r>
        <w:rPr>
          <w:color w:val="231F20"/>
          <w:spacing w:val="-16"/>
          <w:w w:val="110"/>
        </w:rPr>
        <w:t> </w:t>
      </w:r>
      <w:r>
        <w:rPr>
          <w:color w:val="231F20"/>
          <w:w w:val="110"/>
        </w:rPr>
        <w:t>y</w:t>
      </w:r>
      <w:r>
        <w:rPr>
          <w:color w:val="231F20"/>
          <w:spacing w:val="-16"/>
          <w:w w:val="110"/>
        </w:rPr>
        <w:t> </w:t>
      </w:r>
      <w:r>
        <w:rPr>
          <w:color w:val="231F20"/>
          <w:w w:val="110"/>
        </w:rPr>
        <w:t>organizaron</w:t>
      </w:r>
      <w:r>
        <w:rPr>
          <w:color w:val="231F20"/>
          <w:spacing w:val="-16"/>
          <w:w w:val="110"/>
        </w:rPr>
        <w:t> </w:t>
      </w:r>
      <w:r>
        <w:rPr>
          <w:color w:val="231F20"/>
          <w:w w:val="110"/>
        </w:rPr>
        <w:t>la</w:t>
      </w:r>
      <w:r>
        <w:rPr>
          <w:color w:val="231F20"/>
          <w:spacing w:val="-16"/>
          <w:w w:val="110"/>
        </w:rPr>
        <w:t> </w:t>
      </w:r>
      <w:r>
        <w:rPr>
          <w:color w:val="231F20"/>
          <w:w w:val="110"/>
        </w:rPr>
        <w:t>Escuela</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Américas</w:t>
      </w:r>
      <w:r>
        <w:rPr>
          <w:color w:val="231F20"/>
          <w:spacing w:val="-16"/>
          <w:w w:val="110"/>
        </w:rPr>
        <w:t> </w:t>
      </w:r>
      <w:r>
        <w:rPr>
          <w:color w:val="231F20"/>
          <w:w w:val="110"/>
        </w:rPr>
        <w:t>que</w:t>
      </w:r>
      <w:r>
        <w:rPr>
          <w:color w:val="231F20"/>
          <w:spacing w:val="-16"/>
          <w:w w:val="110"/>
        </w:rPr>
        <w:t> </w:t>
      </w:r>
      <w:r>
        <w:rPr>
          <w:color w:val="231F20"/>
          <w:w w:val="110"/>
        </w:rPr>
        <w:t>propició</w:t>
      </w:r>
      <w:r>
        <w:rPr>
          <w:color w:val="231F20"/>
          <w:spacing w:val="-16"/>
          <w:w w:val="110"/>
        </w:rPr>
        <w:t> </w:t>
      </w:r>
      <w:r>
        <w:rPr>
          <w:color w:val="231F20"/>
          <w:w w:val="110"/>
        </w:rPr>
        <w:t>viola- ciones de derechos humanos en el afán de derrotar la “amenaza co- munista”.</w:t>
      </w:r>
      <w:r>
        <w:rPr>
          <w:color w:val="231F20"/>
          <w:spacing w:val="-7"/>
          <w:w w:val="110"/>
        </w:rPr>
        <w:t> </w:t>
      </w:r>
      <w:r>
        <w:rPr>
          <w:color w:val="231F20"/>
          <w:w w:val="110"/>
        </w:rPr>
        <w:t>Al</w:t>
      </w:r>
      <w:r>
        <w:rPr>
          <w:color w:val="231F20"/>
          <w:spacing w:val="-7"/>
          <w:w w:val="110"/>
        </w:rPr>
        <w:t> </w:t>
      </w:r>
      <w:r>
        <w:rPr>
          <w:color w:val="231F20"/>
          <w:w w:val="110"/>
        </w:rPr>
        <w:t>terminar</w:t>
      </w:r>
      <w:r>
        <w:rPr>
          <w:color w:val="231F20"/>
          <w:spacing w:val="-7"/>
          <w:w w:val="110"/>
        </w:rPr>
        <w:t> </w:t>
      </w:r>
      <w:r>
        <w:rPr>
          <w:color w:val="231F20"/>
          <w:w w:val="110"/>
        </w:rPr>
        <w:t>la</w:t>
      </w:r>
      <w:r>
        <w:rPr>
          <w:color w:val="231F20"/>
          <w:spacing w:val="-7"/>
          <w:w w:val="110"/>
        </w:rPr>
        <w:t> </w:t>
      </w:r>
      <w:r>
        <w:rPr>
          <w:color w:val="231F20"/>
          <w:w w:val="110"/>
        </w:rPr>
        <w:t>guerra</w:t>
      </w:r>
      <w:r>
        <w:rPr>
          <w:color w:val="231F20"/>
          <w:spacing w:val="-7"/>
          <w:w w:val="110"/>
        </w:rPr>
        <w:t> </w:t>
      </w:r>
      <w:r>
        <w:rPr>
          <w:color w:val="231F20"/>
          <w:w w:val="110"/>
        </w:rPr>
        <w:t>fría</w:t>
      </w:r>
      <w:r>
        <w:rPr>
          <w:color w:val="231F20"/>
          <w:spacing w:val="-7"/>
          <w:w w:val="110"/>
        </w:rPr>
        <w:t> </w:t>
      </w:r>
      <w:r>
        <w:rPr>
          <w:color w:val="231F20"/>
          <w:w w:val="110"/>
        </w:rPr>
        <w:t>se</w:t>
      </w:r>
      <w:r>
        <w:rPr>
          <w:color w:val="231F20"/>
          <w:spacing w:val="-7"/>
          <w:w w:val="110"/>
        </w:rPr>
        <w:t> </w:t>
      </w:r>
      <w:r>
        <w:rPr>
          <w:color w:val="231F20"/>
          <w:w w:val="110"/>
        </w:rPr>
        <w:t>comprometieron</w:t>
      </w:r>
      <w:r>
        <w:rPr>
          <w:color w:val="231F20"/>
          <w:spacing w:val="-7"/>
          <w:w w:val="110"/>
        </w:rPr>
        <w:t> </w:t>
      </w:r>
      <w:r>
        <w:rPr>
          <w:color w:val="231F20"/>
          <w:w w:val="110"/>
        </w:rPr>
        <w:t>a</w:t>
      </w:r>
      <w:r>
        <w:rPr>
          <w:color w:val="231F20"/>
          <w:spacing w:val="-7"/>
          <w:w w:val="110"/>
        </w:rPr>
        <w:t> </w:t>
      </w:r>
      <w:r>
        <w:rPr>
          <w:color w:val="231F20"/>
          <w:w w:val="110"/>
        </w:rPr>
        <w:t>fondo</w:t>
      </w:r>
      <w:r>
        <w:rPr>
          <w:color w:val="231F20"/>
          <w:spacing w:val="-7"/>
          <w:w w:val="110"/>
        </w:rPr>
        <w:t> </w:t>
      </w:r>
      <w:r>
        <w:rPr>
          <w:color w:val="231F20"/>
          <w:w w:val="110"/>
        </w:rPr>
        <w:t>en</w:t>
      </w:r>
      <w:r>
        <w:rPr>
          <w:color w:val="231F20"/>
          <w:spacing w:val="-7"/>
          <w:w w:val="110"/>
        </w:rPr>
        <w:t> </w:t>
      </w:r>
      <w:r>
        <w:rPr>
          <w:color w:val="231F20"/>
          <w:w w:val="110"/>
        </w:rPr>
        <w:t>la lucha antinarcóticos, con fundamento en el prohibicionismo, lo que condujo</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criminalización</w:t>
      </w:r>
      <w:r>
        <w:rPr>
          <w:color w:val="231F20"/>
          <w:spacing w:val="-14"/>
          <w:w w:val="110"/>
        </w:rPr>
        <w:t> </w:t>
      </w:r>
      <w:r>
        <w:rPr>
          <w:color w:val="231F20"/>
          <w:w w:val="110"/>
        </w:rPr>
        <w:t>de</w:t>
      </w:r>
      <w:r>
        <w:rPr>
          <w:color w:val="231F20"/>
          <w:spacing w:val="-14"/>
          <w:w w:val="110"/>
        </w:rPr>
        <w:t> </w:t>
      </w:r>
      <w:r>
        <w:rPr>
          <w:color w:val="231F20"/>
          <w:w w:val="110"/>
        </w:rPr>
        <w:t>campesinos</w:t>
      </w:r>
      <w:r>
        <w:rPr>
          <w:color w:val="231F20"/>
          <w:spacing w:val="-14"/>
          <w:w w:val="110"/>
        </w:rPr>
        <w:t> </w:t>
      </w:r>
      <w:r>
        <w:rPr>
          <w:color w:val="231F20"/>
          <w:w w:val="110"/>
        </w:rPr>
        <w:t>pobres</w:t>
      </w:r>
      <w:r>
        <w:rPr>
          <w:color w:val="231F20"/>
          <w:spacing w:val="-14"/>
          <w:w w:val="110"/>
        </w:rPr>
        <w:t> </w:t>
      </w:r>
      <w:r>
        <w:rPr>
          <w:color w:val="231F20"/>
          <w:w w:val="110"/>
        </w:rPr>
        <w:t>en</w:t>
      </w:r>
      <w:r>
        <w:rPr>
          <w:color w:val="231F20"/>
          <w:spacing w:val="-14"/>
          <w:w w:val="110"/>
        </w:rPr>
        <w:t> </w:t>
      </w:r>
      <w:r>
        <w:rPr>
          <w:color w:val="231F20"/>
          <w:w w:val="110"/>
        </w:rPr>
        <w:t>Perú,</w:t>
      </w:r>
      <w:r>
        <w:rPr>
          <w:color w:val="231F20"/>
          <w:spacing w:val="-14"/>
          <w:w w:val="110"/>
        </w:rPr>
        <w:t> </w:t>
      </w:r>
      <w:r>
        <w:rPr>
          <w:color w:val="231F20"/>
          <w:w w:val="110"/>
        </w:rPr>
        <w:t>Bolivia</w:t>
      </w:r>
      <w:r>
        <w:rPr>
          <w:color w:val="231F20"/>
          <w:spacing w:val="-14"/>
          <w:w w:val="110"/>
        </w:rPr>
        <w:t> </w:t>
      </w:r>
      <w:r>
        <w:rPr>
          <w:color w:val="231F20"/>
          <w:w w:val="110"/>
        </w:rPr>
        <w:t>y</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Colombia. La administración Clinton aprobó el Plan Colombia para la lucha antinarcóticos y contrainsurgente. A partir de los ataques del 11 de septiembre y de la ruptura de las conversaciones de paz entre</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colombiano</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guerrillas</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4"/>
          <w:w w:val="110"/>
        </w:rPr>
        <w:t> </w:t>
      </w:r>
      <w:r>
        <w:rPr>
          <w:color w:val="231F20"/>
          <w:w w:val="110"/>
        </w:rPr>
        <w:t>farc</w:t>
      </w:r>
      <w:r>
        <w:rPr>
          <w:color w:val="231F20"/>
          <w:spacing w:val="-5"/>
          <w:w w:val="110"/>
        </w:rPr>
        <w:t> </w:t>
      </w:r>
      <w:r>
        <w:rPr>
          <w:color w:val="231F20"/>
          <w:w w:val="110"/>
        </w:rPr>
        <w:t>a</w:t>
      </w:r>
      <w:r>
        <w:rPr>
          <w:color w:val="231F20"/>
          <w:spacing w:val="-5"/>
          <w:w w:val="110"/>
        </w:rPr>
        <w:t> </w:t>
      </w:r>
      <w:r>
        <w:rPr>
          <w:color w:val="231F20"/>
          <w:w w:val="110"/>
        </w:rPr>
        <w:t>comienzos de 2002, el gobierno colombiano adoptó la política antiterrorista   de la administración Bush. Los planes Colombia, Puebla–Panamá y Mérida, recientemente adoptado en el marco de la cooperación con el gobierno mexicano para enfrentar la escalada violenta del narco- tráfico, son señalados como los componentes de una estrategia de dominación</w:t>
      </w:r>
      <w:r>
        <w:rPr>
          <w:color w:val="231F20"/>
          <w:spacing w:val="42"/>
          <w:w w:val="110"/>
        </w:rPr>
        <w:t> </w:t>
      </w:r>
      <w:r>
        <w:rPr>
          <w:color w:val="231F20"/>
          <w:w w:val="110"/>
        </w:rPr>
        <w:t>continental.</w:t>
      </w:r>
    </w:p>
    <w:p>
      <w:pPr>
        <w:pStyle w:val="BodyText"/>
        <w:spacing w:line="261" w:lineRule="auto"/>
        <w:ind w:left="100" w:right="117" w:firstLine="240"/>
        <w:jc w:val="both"/>
      </w:pPr>
      <w:r>
        <w:rPr>
          <w:color w:val="231F20"/>
          <w:w w:val="115"/>
        </w:rPr>
        <w:t>Desde</w:t>
      </w:r>
      <w:r>
        <w:rPr>
          <w:color w:val="231F20"/>
          <w:spacing w:val="-21"/>
          <w:w w:val="115"/>
        </w:rPr>
        <w:t> </w:t>
      </w:r>
      <w:r>
        <w:rPr>
          <w:color w:val="231F20"/>
          <w:w w:val="115"/>
        </w:rPr>
        <w:t>finales</w:t>
      </w:r>
      <w:r>
        <w:rPr>
          <w:color w:val="231F20"/>
          <w:spacing w:val="-21"/>
          <w:w w:val="115"/>
        </w:rPr>
        <w:t> </w:t>
      </w:r>
      <w:r>
        <w:rPr>
          <w:color w:val="231F20"/>
          <w:w w:val="115"/>
        </w:rPr>
        <w:t>del</w:t>
      </w:r>
      <w:r>
        <w:rPr>
          <w:color w:val="231F20"/>
          <w:spacing w:val="-21"/>
          <w:w w:val="115"/>
        </w:rPr>
        <w:t> </w:t>
      </w:r>
      <w:r>
        <w:rPr>
          <w:color w:val="231F20"/>
          <w:w w:val="115"/>
        </w:rPr>
        <w:t>siglo</w:t>
      </w:r>
      <w:r>
        <w:rPr>
          <w:color w:val="231F20"/>
          <w:spacing w:val="-21"/>
          <w:w w:val="115"/>
        </w:rPr>
        <w:t> </w:t>
      </w:r>
      <w:r>
        <w:rPr>
          <w:color w:val="231F20"/>
          <w:w w:val="115"/>
        </w:rPr>
        <w:t>xx</w:t>
      </w:r>
      <w:r>
        <w:rPr>
          <w:color w:val="231F20"/>
          <w:spacing w:val="-21"/>
          <w:w w:val="115"/>
        </w:rPr>
        <w:t> </w:t>
      </w:r>
      <w:r>
        <w:rPr>
          <w:color w:val="231F20"/>
          <w:w w:val="115"/>
        </w:rPr>
        <w:t>se</w:t>
      </w:r>
      <w:r>
        <w:rPr>
          <w:color w:val="231F20"/>
          <w:spacing w:val="-21"/>
          <w:w w:val="115"/>
        </w:rPr>
        <w:t> </w:t>
      </w:r>
      <w:r>
        <w:rPr>
          <w:color w:val="231F20"/>
          <w:w w:val="115"/>
        </w:rPr>
        <w:t>han</w:t>
      </w:r>
      <w:r>
        <w:rPr>
          <w:color w:val="231F20"/>
          <w:spacing w:val="-21"/>
          <w:w w:val="115"/>
        </w:rPr>
        <w:t> </w:t>
      </w:r>
      <w:r>
        <w:rPr>
          <w:color w:val="231F20"/>
          <w:w w:val="115"/>
        </w:rPr>
        <w:t>producido</w:t>
      </w:r>
      <w:r>
        <w:rPr>
          <w:color w:val="231F20"/>
          <w:spacing w:val="-21"/>
          <w:w w:val="115"/>
        </w:rPr>
        <w:t> </w:t>
      </w:r>
      <w:r>
        <w:rPr>
          <w:color w:val="231F20"/>
          <w:w w:val="115"/>
        </w:rPr>
        <w:t>una</w:t>
      </w:r>
      <w:r>
        <w:rPr>
          <w:color w:val="231F20"/>
          <w:spacing w:val="-21"/>
          <w:w w:val="115"/>
        </w:rPr>
        <w:t> </w:t>
      </w:r>
      <w:r>
        <w:rPr>
          <w:color w:val="231F20"/>
          <w:w w:val="115"/>
        </w:rPr>
        <w:t>serie</w:t>
      </w:r>
      <w:r>
        <w:rPr>
          <w:color w:val="231F20"/>
          <w:spacing w:val="-21"/>
          <w:w w:val="115"/>
        </w:rPr>
        <w:t> </w:t>
      </w:r>
      <w:r>
        <w:rPr>
          <w:color w:val="231F20"/>
          <w:w w:val="115"/>
        </w:rPr>
        <w:t>de</w:t>
      </w:r>
      <w:r>
        <w:rPr>
          <w:color w:val="231F20"/>
          <w:spacing w:val="-21"/>
          <w:w w:val="115"/>
        </w:rPr>
        <w:t> </w:t>
      </w:r>
      <w:r>
        <w:rPr>
          <w:color w:val="231F20"/>
          <w:w w:val="115"/>
        </w:rPr>
        <w:t>cambios en</w:t>
      </w:r>
      <w:r>
        <w:rPr>
          <w:color w:val="231F20"/>
          <w:spacing w:val="-44"/>
          <w:w w:val="115"/>
        </w:rPr>
        <w:t> </w:t>
      </w:r>
      <w:r>
        <w:rPr>
          <w:color w:val="231F20"/>
          <w:w w:val="115"/>
        </w:rPr>
        <w:t>América</w:t>
      </w:r>
      <w:r>
        <w:rPr>
          <w:color w:val="231F20"/>
          <w:spacing w:val="-44"/>
          <w:w w:val="115"/>
        </w:rPr>
        <w:t> </w:t>
      </w:r>
      <w:r>
        <w:rPr>
          <w:color w:val="231F20"/>
          <w:w w:val="115"/>
        </w:rPr>
        <w:t>Latina</w:t>
      </w:r>
      <w:r>
        <w:rPr>
          <w:color w:val="231F20"/>
          <w:spacing w:val="-44"/>
          <w:w w:val="115"/>
        </w:rPr>
        <w:t> </w:t>
      </w:r>
      <w:r>
        <w:rPr>
          <w:color w:val="231F20"/>
          <w:w w:val="115"/>
        </w:rPr>
        <w:t>que</w:t>
      </w:r>
      <w:r>
        <w:rPr>
          <w:color w:val="231F20"/>
          <w:spacing w:val="-44"/>
          <w:w w:val="115"/>
        </w:rPr>
        <w:t> </w:t>
      </w:r>
      <w:r>
        <w:rPr>
          <w:color w:val="231F20"/>
          <w:w w:val="115"/>
        </w:rPr>
        <w:t>han</w:t>
      </w:r>
      <w:r>
        <w:rPr>
          <w:color w:val="231F20"/>
          <w:spacing w:val="-44"/>
          <w:w w:val="115"/>
        </w:rPr>
        <w:t> </w:t>
      </w:r>
      <w:r>
        <w:rPr>
          <w:color w:val="231F20"/>
          <w:w w:val="115"/>
        </w:rPr>
        <w:t>cuestionado</w:t>
      </w:r>
      <w:r>
        <w:rPr>
          <w:color w:val="231F20"/>
          <w:spacing w:val="-44"/>
          <w:w w:val="115"/>
        </w:rPr>
        <w:t> </w:t>
      </w:r>
      <w:r>
        <w:rPr>
          <w:color w:val="231F20"/>
          <w:w w:val="115"/>
        </w:rPr>
        <w:t>la</w:t>
      </w:r>
      <w:r>
        <w:rPr>
          <w:color w:val="231F20"/>
          <w:spacing w:val="-44"/>
          <w:w w:val="115"/>
        </w:rPr>
        <w:t> </w:t>
      </w:r>
      <w:r>
        <w:rPr>
          <w:color w:val="231F20"/>
          <w:w w:val="115"/>
        </w:rPr>
        <w:t>hegemonía</w:t>
      </w:r>
      <w:r>
        <w:rPr>
          <w:color w:val="231F20"/>
          <w:spacing w:val="-44"/>
          <w:w w:val="115"/>
        </w:rPr>
        <w:t> </w:t>
      </w:r>
      <w:r>
        <w:rPr>
          <w:color w:val="231F20"/>
          <w:w w:val="115"/>
        </w:rPr>
        <w:t>estadunidense: se</w:t>
      </w:r>
      <w:r>
        <w:rPr>
          <w:color w:val="231F20"/>
          <w:spacing w:val="-14"/>
          <w:w w:val="115"/>
        </w:rPr>
        <w:t> </w:t>
      </w:r>
      <w:r>
        <w:rPr>
          <w:color w:val="231F20"/>
          <w:w w:val="115"/>
        </w:rPr>
        <w:t>han</w:t>
      </w:r>
      <w:r>
        <w:rPr>
          <w:color w:val="231F20"/>
          <w:spacing w:val="-14"/>
          <w:w w:val="115"/>
        </w:rPr>
        <w:t> </w:t>
      </w:r>
      <w:r>
        <w:rPr>
          <w:color w:val="231F20"/>
          <w:w w:val="115"/>
        </w:rPr>
        <w:t>establecido</w:t>
      </w:r>
      <w:r>
        <w:rPr>
          <w:color w:val="231F20"/>
          <w:spacing w:val="-14"/>
          <w:w w:val="115"/>
        </w:rPr>
        <w:t> </w:t>
      </w:r>
      <w:r>
        <w:rPr>
          <w:color w:val="231F20"/>
          <w:w w:val="115"/>
        </w:rPr>
        <w:t>gobiernos</w:t>
      </w:r>
      <w:r>
        <w:rPr>
          <w:color w:val="231F20"/>
          <w:spacing w:val="-14"/>
          <w:w w:val="115"/>
        </w:rPr>
        <w:t> </w:t>
      </w:r>
      <w:r>
        <w:rPr>
          <w:color w:val="231F20"/>
          <w:w w:val="115"/>
        </w:rPr>
        <w:t>democráticos</w:t>
      </w:r>
      <w:r>
        <w:rPr>
          <w:color w:val="231F20"/>
          <w:spacing w:val="-14"/>
          <w:w w:val="115"/>
        </w:rPr>
        <w:t> </w:t>
      </w:r>
      <w:r>
        <w:rPr>
          <w:color w:val="231F20"/>
          <w:w w:val="115"/>
        </w:rPr>
        <w:t>de</w:t>
      </w:r>
      <w:r>
        <w:rPr>
          <w:color w:val="231F20"/>
          <w:spacing w:val="-14"/>
          <w:w w:val="115"/>
        </w:rPr>
        <w:t> </w:t>
      </w:r>
      <w:r>
        <w:rPr>
          <w:color w:val="231F20"/>
          <w:w w:val="115"/>
        </w:rPr>
        <w:t>amplio</w:t>
      </w:r>
      <w:r>
        <w:rPr>
          <w:color w:val="231F20"/>
          <w:spacing w:val="-14"/>
          <w:w w:val="115"/>
        </w:rPr>
        <w:t> </w:t>
      </w:r>
      <w:r>
        <w:rPr>
          <w:color w:val="231F20"/>
          <w:w w:val="115"/>
        </w:rPr>
        <w:t>espectro</w:t>
      </w:r>
      <w:r>
        <w:rPr>
          <w:color w:val="231F20"/>
          <w:spacing w:val="-14"/>
          <w:w w:val="115"/>
        </w:rPr>
        <w:t> </w:t>
      </w:r>
      <w:r>
        <w:rPr>
          <w:color w:val="231F20"/>
          <w:w w:val="115"/>
        </w:rPr>
        <w:t>que han</w:t>
      </w:r>
      <w:r>
        <w:rPr>
          <w:color w:val="231F20"/>
          <w:spacing w:val="-9"/>
          <w:w w:val="115"/>
        </w:rPr>
        <w:t> </w:t>
      </w:r>
      <w:r>
        <w:rPr>
          <w:color w:val="231F20"/>
          <w:w w:val="115"/>
        </w:rPr>
        <w:t>promovido</w:t>
      </w:r>
      <w:r>
        <w:rPr>
          <w:color w:val="231F20"/>
          <w:spacing w:val="-9"/>
          <w:w w:val="115"/>
        </w:rPr>
        <w:t> </w:t>
      </w:r>
      <w:r>
        <w:rPr>
          <w:color w:val="231F20"/>
          <w:w w:val="110"/>
        </w:rPr>
        <w:t>y</w:t>
      </w:r>
      <w:r>
        <w:rPr>
          <w:color w:val="231F20"/>
          <w:spacing w:val="-7"/>
          <w:w w:val="110"/>
        </w:rPr>
        <w:t> </w:t>
      </w:r>
      <w:r>
        <w:rPr>
          <w:color w:val="231F20"/>
          <w:w w:val="115"/>
        </w:rPr>
        <w:t>fortalecido</w:t>
      </w:r>
      <w:r>
        <w:rPr>
          <w:color w:val="231F20"/>
          <w:spacing w:val="-9"/>
          <w:w w:val="115"/>
        </w:rPr>
        <w:t> </w:t>
      </w:r>
      <w:r>
        <w:rPr>
          <w:color w:val="231F20"/>
          <w:w w:val="115"/>
        </w:rPr>
        <w:t>procesos</w:t>
      </w:r>
      <w:r>
        <w:rPr>
          <w:color w:val="231F20"/>
          <w:spacing w:val="-9"/>
          <w:w w:val="115"/>
        </w:rPr>
        <w:t> </w:t>
      </w:r>
      <w:r>
        <w:rPr>
          <w:color w:val="231F20"/>
          <w:w w:val="115"/>
        </w:rPr>
        <w:t>de</w:t>
      </w:r>
      <w:r>
        <w:rPr>
          <w:color w:val="231F20"/>
          <w:spacing w:val="-9"/>
          <w:w w:val="115"/>
        </w:rPr>
        <w:t> </w:t>
      </w:r>
      <w:r>
        <w:rPr>
          <w:color w:val="231F20"/>
          <w:w w:val="115"/>
        </w:rPr>
        <w:t>integración</w:t>
      </w:r>
      <w:r>
        <w:rPr>
          <w:color w:val="231F20"/>
          <w:spacing w:val="-9"/>
          <w:w w:val="115"/>
        </w:rPr>
        <w:t> </w:t>
      </w:r>
      <w:r>
        <w:rPr>
          <w:color w:val="231F20"/>
          <w:w w:val="115"/>
        </w:rPr>
        <w:t>económica</w:t>
      </w:r>
      <w:r>
        <w:rPr>
          <w:color w:val="231F20"/>
          <w:spacing w:val="-9"/>
          <w:w w:val="115"/>
        </w:rPr>
        <w:t> </w:t>
      </w:r>
      <w:r>
        <w:rPr>
          <w:color w:val="231F20"/>
          <w:w w:val="110"/>
        </w:rPr>
        <w:t>y</w:t>
      </w:r>
      <w:r>
        <w:rPr>
          <w:color w:val="231F20"/>
          <w:w w:val="84"/>
        </w:rPr>
        <w:t> </w:t>
      </w:r>
      <w:r>
        <w:rPr>
          <w:color w:val="231F20"/>
          <w:w w:val="115"/>
        </w:rPr>
        <w:t>política como el mercosur, la can, unasur </w:t>
      </w:r>
      <w:r>
        <w:rPr>
          <w:color w:val="231F20"/>
          <w:w w:val="110"/>
        </w:rPr>
        <w:t>y </w:t>
      </w:r>
      <w:r>
        <w:rPr>
          <w:color w:val="231F20"/>
          <w:w w:val="115"/>
        </w:rPr>
        <w:t>el alba </w:t>
      </w:r>
      <w:r>
        <w:rPr>
          <w:color w:val="231F20"/>
          <w:w w:val="110"/>
        </w:rPr>
        <w:t>y </w:t>
      </w:r>
      <w:r>
        <w:rPr>
          <w:color w:val="231F20"/>
          <w:w w:val="115"/>
        </w:rPr>
        <w:t>derrotaron  el</w:t>
      </w:r>
      <w:r>
        <w:rPr>
          <w:color w:val="231F20"/>
          <w:spacing w:val="-10"/>
          <w:w w:val="115"/>
        </w:rPr>
        <w:t> </w:t>
      </w:r>
      <w:r>
        <w:rPr>
          <w:color w:val="231F20"/>
          <w:w w:val="115"/>
        </w:rPr>
        <w:t>alca</w:t>
      </w:r>
      <w:r>
        <w:rPr>
          <w:color w:val="231F20"/>
          <w:spacing w:val="-10"/>
          <w:w w:val="115"/>
        </w:rPr>
        <w:t> </w:t>
      </w:r>
      <w:r>
        <w:rPr>
          <w:color w:val="231F20"/>
          <w:w w:val="115"/>
        </w:rPr>
        <w:t>que</w:t>
      </w:r>
      <w:r>
        <w:rPr>
          <w:color w:val="231F20"/>
          <w:spacing w:val="-10"/>
          <w:w w:val="115"/>
        </w:rPr>
        <w:t> </w:t>
      </w:r>
      <w:r>
        <w:rPr>
          <w:color w:val="231F20"/>
          <w:w w:val="115"/>
        </w:rPr>
        <w:t>trató</w:t>
      </w:r>
      <w:r>
        <w:rPr>
          <w:color w:val="231F20"/>
          <w:spacing w:val="-10"/>
          <w:w w:val="115"/>
        </w:rPr>
        <w:t> </w:t>
      </w:r>
      <w:r>
        <w:rPr>
          <w:color w:val="231F20"/>
          <w:w w:val="115"/>
        </w:rPr>
        <w:t>de</w:t>
      </w:r>
      <w:r>
        <w:rPr>
          <w:color w:val="231F20"/>
          <w:spacing w:val="-10"/>
          <w:w w:val="115"/>
        </w:rPr>
        <w:t> </w:t>
      </w:r>
      <w:r>
        <w:rPr>
          <w:color w:val="231F20"/>
          <w:w w:val="115"/>
        </w:rPr>
        <w:t>imponer</w:t>
      </w:r>
      <w:r>
        <w:rPr>
          <w:color w:val="231F20"/>
          <w:spacing w:val="-10"/>
          <w:w w:val="115"/>
        </w:rPr>
        <w:t> </w:t>
      </w:r>
      <w:r>
        <w:rPr>
          <w:color w:val="231F20"/>
          <w:w w:val="115"/>
        </w:rPr>
        <w:t>Estados</w:t>
      </w:r>
      <w:r>
        <w:rPr>
          <w:color w:val="231F20"/>
          <w:spacing w:val="-10"/>
          <w:w w:val="115"/>
        </w:rPr>
        <w:t> </w:t>
      </w:r>
      <w:r>
        <w:rPr>
          <w:color w:val="231F20"/>
          <w:w w:val="115"/>
        </w:rPr>
        <w:t>Unidos,</w:t>
      </w:r>
      <w:r>
        <w:rPr>
          <w:color w:val="231F20"/>
          <w:spacing w:val="-10"/>
          <w:w w:val="115"/>
        </w:rPr>
        <w:t> </w:t>
      </w:r>
      <w:r>
        <w:rPr>
          <w:color w:val="231F20"/>
          <w:w w:val="115"/>
        </w:rPr>
        <w:t>ante</w:t>
      </w:r>
      <w:r>
        <w:rPr>
          <w:color w:val="231F20"/>
          <w:spacing w:val="-10"/>
          <w:w w:val="115"/>
        </w:rPr>
        <w:t> </w:t>
      </w:r>
      <w:r>
        <w:rPr>
          <w:color w:val="231F20"/>
          <w:w w:val="115"/>
        </w:rPr>
        <w:t>lo</w:t>
      </w:r>
      <w:r>
        <w:rPr>
          <w:color w:val="231F20"/>
          <w:spacing w:val="-10"/>
          <w:w w:val="115"/>
        </w:rPr>
        <w:t> </w:t>
      </w:r>
      <w:r>
        <w:rPr>
          <w:color w:val="231F20"/>
          <w:w w:val="115"/>
        </w:rPr>
        <w:t>cual</w:t>
      </w:r>
      <w:r>
        <w:rPr>
          <w:color w:val="231F20"/>
          <w:spacing w:val="-10"/>
          <w:w w:val="115"/>
        </w:rPr>
        <w:t> </w:t>
      </w:r>
      <w:r>
        <w:rPr>
          <w:color w:val="231F20"/>
          <w:w w:val="115"/>
        </w:rPr>
        <w:t>éste</w:t>
      </w:r>
      <w:r>
        <w:rPr>
          <w:color w:val="231F20"/>
          <w:spacing w:val="-10"/>
          <w:w w:val="115"/>
        </w:rPr>
        <w:t> </w:t>
      </w:r>
      <w:r>
        <w:rPr>
          <w:color w:val="231F20"/>
          <w:w w:val="115"/>
        </w:rPr>
        <w:t>optó por los </w:t>
      </w:r>
      <w:r>
        <w:rPr>
          <w:color w:val="231F20"/>
          <w:w w:val="135"/>
        </w:rPr>
        <w:t>tlc</w:t>
      </w:r>
      <w:r>
        <w:rPr>
          <w:color w:val="231F20"/>
          <w:spacing w:val="-25"/>
          <w:w w:val="135"/>
        </w:rPr>
        <w:t> </w:t>
      </w:r>
      <w:r>
        <w:rPr>
          <w:color w:val="231F20"/>
          <w:w w:val="115"/>
        </w:rPr>
        <w:t>bilaterales.</w:t>
      </w:r>
    </w:p>
    <w:p>
      <w:pPr>
        <w:pStyle w:val="BodyText"/>
        <w:spacing w:line="261" w:lineRule="auto"/>
        <w:ind w:left="100" w:right="113" w:firstLine="240"/>
        <w:jc w:val="both"/>
      </w:pPr>
      <w:r>
        <w:rPr>
          <w:color w:val="231F20"/>
          <w:w w:val="110"/>
        </w:rPr>
        <w:t>Los países latinoamericanos, con contadas excepciones, han sido marginales de las políticas de Estados Unidos. La administración Bush</w:t>
      </w:r>
      <w:r>
        <w:rPr>
          <w:color w:val="231F20"/>
          <w:spacing w:val="-4"/>
          <w:w w:val="110"/>
        </w:rPr>
        <w:t> </w:t>
      </w:r>
      <w:r>
        <w:rPr>
          <w:color w:val="231F20"/>
          <w:w w:val="110"/>
        </w:rPr>
        <w:t>proclamó</w:t>
      </w:r>
      <w:r>
        <w:rPr>
          <w:color w:val="231F20"/>
          <w:spacing w:val="-4"/>
          <w:w w:val="110"/>
        </w:rPr>
        <w:t> </w:t>
      </w:r>
      <w:r>
        <w:rPr>
          <w:color w:val="231F20"/>
          <w:w w:val="110"/>
        </w:rPr>
        <w:t>el</w:t>
      </w:r>
      <w:r>
        <w:rPr>
          <w:color w:val="231F20"/>
          <w:spacing w:val="-4"/>
          <w:w w:val="110"/>
        </w:rPr>
        <w:t> </w:t>
      </w:r>
      <w:r>
        <w:rPr>
          <w:color w:val="231F20"/>
          <w:w w:val="110"/>
        </w:rPr>
        <w:t>año</w:t>
      </w:r>
      <w:r>
        <w:rPr>
          <w:color w:val="231F20"/>
          <w:spacing w:val="-4"/>
          <w:w w:val="110"/>
        </w:rPr>
        <w:t> </w:t>
      </w:r>
      <w:r>
        <w:rPr>
          <w:color w:val="231F20"/>
          <w:w w:val="110"/>
        </w:rPr>
        <w:t>2007</w:t>
      </w:r>
      <w:r>
        <w:rPr>
          <w:color w:val="231F20"/>
          <w:spacing w:val="-4"/>
          <w:w w:val="110"/>
        </w:rPr>
        <w:t> </w:t>
      </w:r>
      <w:r>
        <w:rPr>
          <w:color w:val="231F20"/>
          <w:w w:val="110"/>
        </w:rPr>
        <w:t>como</w:t>
      </w:r>
      <w:r>
        <w:rPr>
          <w:color w:val="231F20"/>
          <w:spacing w:val="-4"/>
          <w:w w:val="110"/>
        </w:rPr>
        <w:t> </w:t>
      </w:r>
      <w:r>
        <w:rPr>
          <w:color w:val="231F20"/>
          <w:w w:val="110"/>
        </w:rPr>
        <w:t>el</w:t>
      </w:r>
      <w:r>
        <w:rPr>
          <w:color w:val="231F20"/>
          <w:spacing w:val="-4"/>
          <w:w w:val="110"/>
        </w:rPr>
        <w:t> </w:t>
      </w:r>
      <w:r>
        <w:rPr>
          <w:color w:val="231F20"/>
          <w:w w:val="110"/>
        </w:rPr>
        <w:t>del</w:t>
      </w:r>
      <w:r>
        <w:rPr>
          <w:color w:val="231F20"/>
          <w:spacing w:val="-4"/>
          <w:w w:val="110"/>
        </w:rPr>
        <w:t> </w:t>
      </w:r>
      <w:r>
        <w:rPr>
          <w:color w:val="231F20"/>
          <w:w w:val="110"/>
        </w:rPr>
        <w:t>“compromiso”</w:t>
      </w:r>
      <w:r>
        <w:rPr>
          <w:color w:val="231F20"/>
          <w:spacing w:val="-4"/>
          <w:w w:val="110"/>
        </w:rPr>
        <w:t> </w:t>
      </w:r>
      <w:r>
        <w:rPr>
          <w:color w:val="231F20"/>
          <w:w w:val="110"/>
        </w:rPr>
        <w:t>con</w:t>
      </w:r>
      <w:r>
        <w:rPr>
          <w:color w:val="231F20"/>
          <w:spacing w:val="-4"/>
          <w:w w:val="110"/>
        </w:rPr>
        <w:t> </w:t>
      </w:r>
      <w:r>
        <w:rPr>
          <w:color w:val="231F20"/>
          <w:w w:val="110"/>
        </w:rPr>
        <w:t>América Latina, impulsado por la necesidad de neutralizar lo que consideró el giro a la izquierda de algunos gobiernos y las pretensiones de liderazgo regional del gobierno de Venezuela; a su vez el Comando Sur adoptó un nuevo plan estratégico para el subcontinente y en el 2008</w:t>
      </w:r>
      <w:r>
        <w:rPr>
          <w:color w:val="231F20"/>
          <w:spacing w:val="-5"/>
          <w:w w:val="110"/>
        </w:rPr>
        <w:t> </w:t>
      </w:r>
      <w:r>
        <w:rPr>
          <w:color w:val="231F20"/>
          <w:w w:val="110"/>
        </w:rPr>
        <w:t>se</w:t>
      </w:r>
      <w:r>
        <w:rPr>
          <w:color w:val="231F20"/>
          <w:spacing w:val="-5"/>
          <w:w w:val="110"/>
        </w:rPr>
        <w:t> </w:t>
      </w:r>
      <w:r>
        <w:rPr>
          <w:color w:val="231F20"/>
          <w:w w:val="110"/>
        </w:rPr>
        <w:t>reactivó</w:t>
      </w:r>
      <w:r>
        <w:rPr>
          <w:color w:val="231F20"/>
          <w:spacing w:val="-5"/>
          <w:w w:val="110"/>
        </w:rPr>
        <w:t> </w:t>
      </w:r>
      <w:r>
        <w:rPr>
          <w:color w:val="231F20"/>
          <w:w w:val="110"/>
        </w:rPr>
        <w:t>la</w:t>
      </w:r>
      <w:r>
        <w:rPr>
          <w:color w:val="231F20"/>
          <w:spacing w:val="-5"/>
          <w:w w:val="110"/>
        </w:rPr>
        <w:t> </w:t>
      </w:r>
      <w:r>
        <w:rPr>
          <w:color w:val="231F20"/>
          <w:w w:val="110"/>
        </w:rPr>
        <w:t>iv</w:t>
      </w:r>
      <w:r>
        <w:rPr>
          <w:color w:val="231F20"/>
          <w:spacing w:val="-5"/>
          <w:w w:val="110"/>
        </w:rPr>
        <w:t> </w:t>
      </w:r>
      <w:r>
        <w:rPr>
          <w:color w:val="231F20"/>
          <w:w w:val="110"/>
        </w:rPr>
        <w:t>flota</w:t>
      </w:r>
      <w:r>
        <w:rPr>
          <w:color w:val="231F20"/>
          <w:spacing w:val="-5"/>
          <w:w w:val="110"/>
        </w:rPr>
        <w:t> </w:t>
      </w:r>
      <w:r>
        <w:rPr>
          <w:color w:val="231F20"/>
          <w:w w:val="110"/>
        </w:rPr>
        <w:t>con</w:t>
      </w:r>
      <w:r>
        <w:rPr>
          <w:color w:val="231F20"/>
          <w:spacing w:val="-5"/>
          <w:w w:val="110"/>
        </w:rPr>
        <w:t> </w:t>
      </w:r>
      <w:r>
        <w:rPr>
          <w:color w:val="231F20"/>
          <w:w w:val="110"/>
        </w:rPr>
        <w:t>incidencia</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aguas</w:t>
      </w:r>
      <w:r>
        <w:rPr>
          <w:color w:val="231F20"/>
          <w:spacing w:val="-5"/>
          <w:w w:val="110"/>
        </w:rPr>
        <w:t> </w:t>
      </w:r>
      <w:r>
        <w:rPr>
          <w:color w:val="231F20"/>
          <w:w w:val="110"/>
        </w:rPr>
        <w:t>de</w:t>
      </w:r>
      <w:r>
        <w:rPr>
          <w:color w:val="231F20"/>
          <w:spacing w:val="-5"/>
          <w:w w:val="110"/>
        </w:rPr>
        <w:t> </w:t>
      </w:r>
      <w:r>
        <w:rPr>
          <w:color w:val="231F20"/>
          <w:w w:val="110"/>
        </w:rPr>
        <w:t>Sur</w:t>
      </w:r>
      <w:r>
        <w:rPr>
          <w:color w:val="231F20"/>
          <w:spacing w:val="-5"/>
          <w:w w:val="110"/>
        </w:rPr>
        <w:t> </w:t>
      </w:r>
      <w:r>
        <w:rPr>
          <w:color w:val="231F20"/>
          <w:w w:val="110"/>
        </w:rPr>
        <w:t>y</w:t>
      </w:r>
      <w:r>
        <w:rPr>
          <w:color w:val="231F20"/>
          <w:spacing w:val="-5"/>
          <w:w w:val="110"/>
        </w:rPr>
        <w:t> </w:t>
      </w:r>
      <w:r>
        <w:rPr>
          <w:color w:val="231F20"/>
          <w:w w:val="110"/>
        </w:rPr>
        <w:t>Cen- tro América. El cuestionamiento de la política estadunidense para   el sur del continente y el fortalecimiento de relaciones comerciales  y políticas extracontinentales han incidido para que Estados Unidos vuelva su mirada sobre la región. Al participar en la Cumbre de las Américas en Trinidad, en abril 2009, el presidente Obama sostuvo que “Si bien Estados Unidos ha hecho mucho por promover la paz</w:t>
      </w:r>
      <w:r>
        <w:rPr>
          <w:color w:val="231F20"/>
          <w:spacing w:val="-16"/>
          <w:w w:val="110"/>
        </w:rPr>
        <w:t> </w:t>
      </w:r>
      <w:r>
        <w:rPr>
          <w:color w:val="231F20"/>
          <w:w w:val="110"/>
        </w:rPr>
        <w:t>y la</w:t>
      </w:r>
      <w:r>
        <w:rPr>
          <w:color w:val="231F20"/>
          <w:spacing w:val="-12"/>
          <w:w w:val="110"/>
        </w:rPr>
        <w:t> </w:t>
      </w:r>
      <w:r>
        <w:rPr>
          <w:color w:val="231F20"/>
          <w:w w:val="110"/>
        </w:rPr>
        <w:t>prosperidad</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hemisferio,</w:t>
      </w:r>
      <w:r>
        <w:rPr>
          <w:color w:val="231F20"/>
          <w:spacing w:val="-12"/>
          <w:w w:val="110"/>
        </w:rPr>
        <w:t> </w:t>
      </w:r>
      <w:r>
        <w:rPr>
          <w:color w:val="231F20"/>
          <w:w w:val="110"/>
        </w:rPr>
        <w:t>hemos</w:t>
      </w:r>
      <w:r>
        <w:rPr>
          <w:color w:val="231F20"/>
          <w:spacing w:val="-12"/>
          <w:w w:val="110"/>
        </w:rPr>
        <w:t> </w:t>
      </w:r>
      <w:r>
        <w:rPr>
          <w:color w:val="231F20"/>
          <w:w w:val="110"/>
        </w:rPr>
        <w:t>estado</w:t>
      </w:r>
      <w:r>
        <w:rPr>
          <w:color w:val="231F20"/>
          <w:spacing w:val="-12"/>
          <w:w w:val="110"/>
        </w:rPr>
        <w:t> </w:t>
      </w:r>
      <w:r>
        <w:rPr>
          <w:color w:val="231F20"/>
          <w:w w:val="110"/>
        </w:rPr>
        <w:t>a</w:t>
      </w:r>
      <w:r>
        <w:rPr>
          <w:color w:val="231F20"/>
          <w:spacing w:val="-12"/>
          <w:w w:val="110"/>
        </w:rPr>
        <w:t> </w:t>
      </w:r>
      <w:r>
        <w:rPr>
          <w:color w:val="231F20"/>
          <w:w w:val="110"/>
        </w:rPr>
        <w:t>veces</w:t>
      </w:r>
      <w:r>
        <w:rPr>
          <w:color w:val="231F20"/>
          <w:spacing w:val="-12"/>
          <w:w w:val="110"/>
        </w:rPr>
        <w:t> </w:t>
      </w:r>
      <w:r>
        <w:rPr>
          <w:color w:val="231F20"/>
          <w:w w:val="110"/>
        </w:rPr>
        <w:t>desconectados, y en ocasiones hemos tratado de dictar nuestras condiciones. Pero les prometo a ustedes que estamos buscando una asociación entre iguales.</w:t>
      </w:r>
      <w:r>
        <w:rPr>
          <w:color w:val="231F20"/>
          <w:spacing w:val="-6"/>
          <w:w w:val="110"/>
        </w:rPr>
        <w:t> </w:t>
      </w:r>
      <w:r>
        <w:rPr>
          <w:color w:val="231F20"/>
          <w:w w:val="110"/>
        </w:rPr>
        <w:t>No</w:t>
      </w:r>
      <w:r>
        <w:rPr>
          <w:color w:val="231F20"/>
          <w:spacing w:val="-6"/>
          <w:w w:val="110"/>
        </w:rPr>
        <w:t> </w:t>
      </w:r>
      <w:r>
        <w:rPr>
          <w:color w:val="231F20"/>
          <w:w w:val="110"/>
        </w:rPr>
        <w:t>hay</w:t>
      </w:r>
      <w:r>
        <w:rPr>
          <w:color w:val="231F20"/>
          <w:spacing w:val="-6"/>
          <w:w w:val="110"/>
        </w:rPr>
        <w:t> </w:t>
      </w:r>
      <w:r>
        <w:rPr>
          <w:color w:val="231F20"/>
          <w:w w:val="110"/>
        </w:rPr>
        <w:t>socios</w:t>
      </w:r>
      <w:r>
        <w:rPr>
          <w:color w:val="231F20"/>
          <w:spacing w:val="-6"/>
          <w:w w:val="110"/>
        </w:rPr>
        <w:t> </w:t>
      </w:r>
      <w:r>
        <w:rPr>
          <w:color w:val="231F20"/>
          <w:w w:val="110"/>
        </w:rPr>
        <w:t>superiores</w:t>
      </w:r>
      <w:r>
        <w:rPr>
          <w:color w:val="231F20"/>
          <w:spacing w:val="-6"/>
          <w:w w:val="110"/>
        </w:rPr>
        <w:t> </w:t>
      </w:r>
      <w:r>
        <w:rPr>
          <w:color w:val="231F20"/>
          <w:w w:val="110"/>
        </w:rPr>
        <w:t>o</w:t>
      </w:r>
      <w:r>
        <w:rPr>
          <w:color w:val="231F20"/>
          <w:spacing w:val="-6"/>
          <w:w w:val="110"/>
        </w:rPr>
        <w:t> </w:t>
      </w:r>
      <w:r>
        <w:rPr>
          <w:color w:val="231F20"/>
          <w:w w:val="110"/>
        </w:rPr>
        <w:t>inferiores</w:t>
      </w:r>
      <w:r>
        <w:rPr>
          <w:color w:val="231F20"/>
          <w:spacing w:val="-6"/>
          <w:w w:val="110"/>
        </w:rPr>
        <w:t> </w:t>
      </w:r>
      <w:r>
        <w:rPr>
          <w:color w:val="231F20"/>
          <w:w w:val="110"/>
        </w:rPr>
        <w:t>en</w:t>
      </w:r>
      <w:r>
        <w:rPr>
          <w:color w:val="231F20"/>
          <w:spacing w:val="-6"/>
          <w:w w:val="110"/>
        </w:rPr>
        <w:t> </w:t>
      </w:r>
      <w:r>
        <w:rPr>
          <w:color w:val="231F20"/>
          <w:w w:val="110"/>
        </w:rPr>
        <w:t>nuestras</w:t>
      </w:r>
      <w:r>
        <w:rPr>
          <w:color w:val="231F20"/>
          <w:spacing w:val="-6"/>
          <w:w w:val="110"/>
        </w:rPr>
        <w:t> </w:t>
      </w:r>
      <w:r>
        <w:rPr>
          <w:color w:val="231F20"/>
          <w:w w:val="110"/>
        </w:rPr>
        <w:t>relaciones; hay simplemente un compromiso basado en el respeto mutuo e inte- reses</w:t>
      </w:r>
      <w:r>
        <w:rPr>
          <w:color w:val="231F20"/>
          <w:spacing w:val="-5"/>
          <w:w w:val="110"/>
        </w:rPr>
        <w:t> </w:t>
      </w:r>
      <w:r>
        <w:rPr>
          <w:color w:val="231F20"/>
          <w:w w:val="110"/>
        </w:rPr>
        <w:t>comunes</w:t>
      </w:r>
      <w:r>
        <w:rPr>
          <w:color w:val="231F20"/>
          <w:spacing w:val="-5"/>
          <w:w w:val="110"/>
        </w:rPr>
        <w:t> </w:t>
      </w:r>
      <w:r>
        <w:rPr>
          <w:color w:val="231F20"/>
          <w:w w:val="110"/>
        </w:rPr>
        <w:t>y</w:t>
      </w:r>
      <w:r>
        <w:rPr>
          <w:color w:val="231F20"/>
          <w:spacing w:val="-5"/>
          <w:w w:val="110"/>
        </w:rPr>
        <w:t> </w:t>
      </w:r>
      <w:r>
        <w:rPr>
          <w:color w:val="231F20"/>
          <w:w w:val="110"/>
        </w:rPr>
        <w:t>valores</w:t>
      </w:r>
      <w:r>
        <w:rPr>
          <w:color w:val="231F20"/>
          <w:spacing w:val="-5"/>
          <w:w w:val="110"/>
        </w:rPr>
        <w:t> </w:t>
      </w:r>
      <w:r>
        <w:rPr>
          <w:color w:val="231F20"/>
          <w:w w:val="110"/>
        </w:rPr>
        <w:t>compartidos.</w:t>
      </w:r>
      <w:r>
        <w:rPr>
          <w:color w:val="231F20"/>
          <w:spacing w:val="-5"/>
          <w:w w:val="110"/>
        </w:rPr>
        <w:t> </w:t>
      </w:r>
      <w:r>
        <w:rPr>
          <w:color w:val="231F20"/>
          <w:w w:val="110"/>
        </w:rPr>
        <w:t>Así</w:t>
      </w:r>
      <w:r>
        <w:rPr>
          <w:color w:val="231F20"/>
          <w:spacing w:val="-5"/>
          <w:w w:val="110"/>
        </w:rPr>
        <w:t> </w:t>
      </w:r>
      <w:r>
        <w:rPr>
          <w:color w:val="231F20"/>
          <w:w w:val="110"/>
        </w:rPr>
        <w:t>que</w:t>
      </w:r>
      <w:r>
        <w:rPr>
          <w:color w:val="231F20"/>
          <w:spacing w:val="-5"/>
          <w:w w:val="110"/>
        </w:rPr>
        <w:t> </w:t>
      </w:r>
      <w:r>
        <w:rPr>
          <w:color w:val="231F20"/>
          <w:w w:val="110"/>
        </w:rPr>
        <w:t>estoy</w:t>
      </w:r>
      <w:r>
        <w:rPr>
          <w:color w:val="231F20"/>
          <w:spacing w:val="-5"/>
          <w:w w:val="110"/>
        </w:rPr>
        <w:t> </w:t>
      </w:r>
      <w:r>
        <w:rPr>
          <w:color w:val="231F20"/>
          <w:w w:val="110"/>
        </w:rPr>
        <w:t>aquí</w:t>
      </w:r>
      <w:r>
        <w:rPr>
          <w:color w:val="231F20"/>
          <w:spacing w:val="-5"/>
          <w:w w:val="110"/>
        </w:rPr>
        <w:t> </w:t>
      </w:r>
      <w:r>
        <w:rPr>
          <w:color w:val="231F20"/>
          <w:w w:val="110"/>
        </w:rPr>
        <w:t>para</w:t>
      </w:r>
      <w:r>
        <w:rPr>
          <w:color w:val="231F20"/>
          <w:spacing w:val="-5"/>
          <w:w w:val="110"/>
        </w:rPr>
        <w:t> </w:t>
      </w:r>
      <w:r>
        <w:rPr>
          <w:color w:val="231F20"/>
          <w:w w:val="110"/>
        </w:rPr>
        <w:t>lanzar un nuevo capítulo de compromiso que se mantendrá a lo largo de  mi administración” (Obama,</w:t>
      </w:r>
      <w:r>
        <w:rPr>
          <w:color w:val="231F20"/>
          <w:spacing w:val="14"/>
          <w:w w:val="110"/>
        </w:rPr>
        <w:t> </w:t>
      </w:r>
      <w:r>
        <w:rPr>
          <w:color w:val="231F20"/>
          <w:w w:val="110"/>
        </w:rPr>
        <w:t>2009b).</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firstLine="240"/>
        <w:jc w:val="both"/>
      </w:pPr>
      <w:r>
        <w:rPr>
          <w:color w:val="231F20"/>
          <w:w w:val="110"/>
        </w:rPr>
        <w:t>Aunque marginal en la política </w:t>
      </w:r>
      <w:r>
        <w:rPr>
          <w:color w:val="231F20"/>
          <w:spacing w:val="-4"/>
          <w:w w:val="110"/>
        </w:rPr>
        <w:t>exterior, </w:t>
      </w:r>
      <w:r>
        <w:rPr>
          <w:color w:val="231F20"/>
          <w:w w:val="110"/>
        </w:rPr>
        <w:t>América Latina</w:t>
      </w:r>
      <w:r>
        <w:rPr>
          <w:color w:val="231F20"/>
          <w:spacing w:val="8"/>
          <w:w w:val="110"/>
        </w:rPr>
        <w:t> </w:t>
      </w:r>
      <w:r>
        <w:rPr>
          <w:color w:val="231F20"/>
          <w:w w:val="110"/>
        </w:rPr>
        <w:t>tiene im-</w:t>
      </w:r>
      <w:r>
        <w:rPr>
          <w:color w:val="231F20"/>
          <w:w w:val="72"/>
        </w:rPr>
        <w:t> </w:t>
      </w:r>
      <w:r>
        <w:rPr>
          <w:color w:val="231F20"/>
          <w:w w:val="110"/>
        </w:rPr>
        <w:t>portancia</w:t>
      </w:r>
      <w:r>
        <w:rPr>
          <w:color w:val="231F20"/>
          <w:spacing w:val="-26"/>
          <w:w w:val="110"/>
        </w:rPr>
        <w:t> </w:t>
      </w:r>
      <w:r>
        <w:rPr>
          <w:color w:val="231F20"/>
          <w:w w:val="110"/>
        </w:rPr>
        <w:t>económica,</w:t>
      </w:r>
      <w:r>
        <w:rPr>
          <w:color w:val="231F20"/>
          <w:spacing w:val="-26"/>
          <w:w w:val="110"/>
        </w:rPr>
        <w:t> </w:t>
      </w:r>
      <w:r>
        <w:rPr>
          <w:color w:val="231F20"/>
          <w:w w:val="110"/>
        </w:rPr>
        <w:t>política</w:t>
      </w:r>
      <w:r>
        <w:rPr>
          <w:color w:val="231F20"/>
          <w:spacing w:val="-26"/>
          <w:w w:val="110"/>
        </w:rPr>
        <w:t> </w:t>
      </w:r>
      <w:r>
        <w:rPr>
          <w:color w:val="231F20"/>
          <w:w w:val="110"/>
        </w:rPr>
        <w:t>y</w:t>
      </w:r>
      <w:r>
        <w:rPr>
          <w:color w:val="231F20"/>
          <w:spacing w:val="-26"/>
          <w:w w:val="110"/>
        </w:rPr>
        <w:t> </w:t>
      </w:r>
      <w:r>
        <w:rPr>
          <w:color w:val="231F20"/>
          <w:w w:val="110"/>
        </w:rPr>
        <w:t>militar</w:t>
      </w:r>
      <w:r>
        <w:rPr>
          <w:color w:val="231F20"/>
          <w:spacing w:val="-26"/>
          <w:w w:val="110"/>
        </w:rPr>
        <w:t> </w:t>
      </w:r>
      <w:r>
        <w:rPr>
          <w:color w:val="231F20"/>
          <w:w w:val="110"/>
        </w:rPr>
        <w:t>para</w:t>
      </w:r>
      <w:r>
        <w:rPr>
          <w:color w:val="231F20"/>
          <w:spacing w:val="-26"/>
          <w:w w:val="110"/>
        </w:rPr>
        <w:t> </w:t>
      </w:r>
      <w:r>
        <w:rPr>
          <w:color w:val="231F20"/>
          <w:w w:val="110"/>
        </w:rPr>
        <w:t>Estados</w:t>
      </w:r>
      <w:r>
        <w:rPr>
          <w:color w:val="231F20"/>
          <w:spacing w:val="-26"/>
          <w:w w:val="110"/>
        </w:rPr>
        <w:t> </w:t>
      </w:r>
      <w:r>
        <w:rPr>
          <w:color w:val="231F20"/>
          <w:w w:val="110"/>
        </w:rPr>
        <w:t>Unidos:</w:t>
      </w:r>
      <w:r>
        <w:rPr>
          <w:color w:val="231F20"/>
          <w:spacing w:val="-26"/>
          <w:w w:val="110"/>
        </w:rPr>
        <w:t> </w:t>
      </w:r>
      <w:r>
        <w:rPr>
          <w:color w:val="231F20"/>
          <w:w w:val="110"/>
        </w:rPr>
        <w:t>comercio</w:t>
      </w:r>
      <w:r>
        <w:rPr>
          <w:color w:val="231F20"/>
          <w:spacing w:val="-2"/>
          <w:w w:val="109"/>
        </w:rPr>
        <w:t> </w:t>
      </w:r>
      <w:r>
        <w:rPr>
          <w:color w:val="231F20"/>
          <w:w w:val="105"/>
        </w:rPr>
        <w:t>e</w:t>
      </w:r>
      <w:r>
        <w:rPr>
          <w:color w:val="231F20"/>
          <w:spacing w:val="-7"/>
          <w:w w:val="105"/>
        </w:rPr>
        <w:t> </w:t>
      </w:r>
      <w:r>
        <w:rPr>
          <w:color w:val="231F20"/>
          <w:w w:val="105"/>
        </w:rPr>
        <w:t>inversiones,</w:t>
      </w:r>
      <w:r>
        <w:rPr>
          <w:color w:val="231F20"/>
          <w:spacing w:val="-7"/>
          <w:w w:val="105"/>
        </w:rPr>
        <w:t> </w:t>
      </w:r>
      <w:r>
        <w:rPr>
          <w:color w:val="231F20"/>
          <w:w w:val="105"/>
        </w:rPr>
        <w:t>migraciones</w:t>
      </w:r>
      <w:r>
        <w:rPr>
          <w:color w:val="231F20"/>
          <w:spacing w:val="-7"/>
          <w:w w:val="105"/>
        </w:rPr>
        <w:t> </w:t>
      </w:r>
      <w:r>
        <w:rPr>
          <w:color w:val="231F20"/>
          <w:w w:val="105"/>
        </w:rPr>
        <w:t>y</w:t>
      </w:r>
      <w:r>
        <w:rPr>
          <w:color w:val="231F20"/>
          <w:spacing w:val="-7"/>
          <w:w w:val="105"/>
        </w:rPr>
        <w:t> </w:t>
      </w:r>
      <w:r>
        <w:rPr>
          <w:color w:val="231F20"/>
          <w:w w:val="105"/>
        </w:rPr>
        <w:t>remesas,</w:t>
      </w:r>
      <w:r>
        <w:rPr>
          <w:color w:val="231F20"/>
          <w:spacing w:val="-7"/>
          <w:w w:val="105"/>
        </w:rPr>
        <w:t> </w:t>
      </w:r>
      <w:r>
        <w:rPr>
          <w:color w:val="231F20"/>
          <w:w w:val="105"/>
        </w:rPr>
        <w:t>seguridad</w:t>
      </w:r>
      <w:r>
        <w:rPr>
          <w:color w:val="231F20"/>
          <w:spacing w:val="-7"/>
          <w:w w:val="105"/>
        </w:rPr>
        <w:t> </w:t>
      </w:r>
      <w:r>
        <w:rPr>
          <w:color w:val="231F20"/>
          <w:w w:val="105"/>
        </w:rPr>
        <w:t>energética</w:t>
      </w:r>
      <w:r>
        <w:rPr>
          <w:color w:val="231F20"/>
          <w:spacing w:val="-7"/>
          <w:w w:val="105"/>
        </w:rPr>
        <w:t> </w:t>
      </w:r>
      <w:r>
        <w:rPr>
          <w:color w:val="231F20"/>
          <w:w w:val="105"/>
        </w:rPr>
        <w:t>y</w:t>
      </w:r>
      <w:r>
        <w:rPr>
          <w:color w:val="231F20"/>
          <w:spacing w:val="-7"/>
          <w:w w:val="105"/>
        </w:rPr>
        <w:t> </w:t>
      </w:r>
      <w:r>
        <w:rPr>
          <w:color w:val="231F20"/>
          <w:w w:val="105"/>
        </w:rPr>
        <w:t>narcotráfi-</w:t>
      </w:r>
      <w:r>
        <w:rPr>
          <w:color w:val="231F20"/>
          <w:w w:val="72"/>
        </w:rPr>
        <w:t> </w:t>
      </w:r>
      <w:r>
        <w:rPr>
          <w:color w:val="231F20"/>
          <w:w w:val="110"/>
        </w:rPr>
        <w:t>co</w:t>
      </w:r>
      <w:r>
        <w:rPr>
          <w:color w:val="231F20"/>
          <w:spacing w:val="-10"/>
          <w:w w:val="110"/>
        </w:rPr>
        <w:t> </w:t>
      </w:r>
      <w:r>
        <w:rPr>
          <w:color w:val="231F20"/>
          <w:w w:val="110"/>
        </w:rPr>
        <w:t>conforman</w:t>
      </w:r>
      <w:r>
        <w:rPr>
          <w:color w:val="231F20"/>
          <w:spacing w:val="-10"/>
          <w:w w:val="110"/>
        </w:rPr>
        <w:t> </w:t>
      </w:r>
      <w:r>
        <w:rPr>
          <w:color w:val="231F20"/>
          <w:w w:val="110"/>
        </w:rPr>
        <w:t>un</w:t>
      </w:r>
      <w:r>
        <w:rPr>
          <w:color w:val="231F20"/>
          <w:spacing w:val="-10"/>
          <w:w w:val="110"/>
        </w:rPr>
        <w:t> </w:t>
      </w:r>
      <w:r>
        <w:rPr>
          <w:color w:val="231F20"/>
          <w:w w:val="110"/>
        </w:rPr>
        <w:t>amplio</w:t>
      </w:r>
      <w:r>
        <w:rPr>
          <w:color w:val="231F20"/>
          <w:spacing w:val="-10"/>
          <w:w w:val="110"/>
        </w:rPr>
        <w:t> </w:t>
      </w:r>
      <w:r>
        <w:rPr>
          <w:color w:val="231F20"/>
          <w:w w:val="110"/>
        </w:rPr>
        <w:t>portafolio</w:t>
      </w:r>
      <w:r>
        <w:rPr>
          <w:color w:val="231F20"/>
          <w:spacing w:val="-10"/>
          <w:w w:val="110"/>
        </w:rPr>
        <w:t> </w:t>
      </w:r>
      <w:r>
        <w:rPr>
          <w:color w:val="231F20"/>
          <w:w w:val="110"/>
        </w:rPr>
        <w:t>de</w:t>
      </w:r>
      <w:r>
        <w:rPr>
          <w:color w:val="231F20"/>
          <w:spacing w:val="-10"/>
          <w:w w:val="110"/>
        </w:rPr>
        <w:t> </w:t>
      </w:r>
      <w:r>
        <w:rPr>
          <w:color w:val="231F20"/>
          <w:w w:val="110"/>
        </w:rPr>
        <w:t>intereses.</w:t>
      </w:r>
      <w:r>
        <w:rPr>
          <w:color w:val="231F20"/>
          <w:spacing w:val="-10"/>
          <w:w w:val="110"/>
        </w:rPr>
        <w:t> </w:t>
      </w:r>
      <w:r>
        <w:rPr>
          <w:color w:val="231F20"/>
          <w:w w:val="110"/>
        </w:rPr>
        <w:t>El</w:t>
      </w:r>
      <w:r>
        <w:rPr>
          <w:color w:val="231F20"/>
          <w:spacing w:val="-10"/>
          <w:w w:val="110"/>
        </w:rPr>
        <w:t> </w:t>
      </w:r>
      <w:r>
        <w:rPr>
          <w:color w:val="231F20"/>
          <w:w w:val="110"/>
        </w:rPr>
        <w:t>sur</w:t>
      </w:r>
      <w:r>
        <w:rPr>
          <w:color w:val="231F20"/>
          <w:spacing w:val="-10"/>
          <w:w w:val="110"/>
        </w:rPr>
        <w:t> </w:t>
      </w:r>
      <w:r>
        <w:rPr>
          <w:color w:val="231F20"/>
          <w:w w:val="110"/>
        </w:rPr>
        <w:t>del</w:t>
      </w:r>
      <w:r>
        <w:rPr>
          <w:color w:val="231F20"/>
          <w:spacing w:val="-10"/>
          <w:w w:val="110"/>
        </w:rPr>
        <w:t> </w:t>
      </w:r>
      <w:r>
        <w:rPr>
          <w:color w:val="231F20"/>
          <w:w w:val="110"/>
        </w:rPr>
        <w:t>continente aporta</w:t>
      </w:r>
      <w:r>
        <w:rPr>
          <w:color w:val="231F20"/>
          <w:spacing w:val="-23"/>
          <w:w w:val="110"/>
        </w:rPr>
        <w:t> </w:t>
      </w:r>
      <w:r>
        <w:rPr>
          <w:color w:val="231F20"/>
          <w:w w:val="110"/>
        </w:rPr>
        <w:t>30%</w:t>
      </w:r>
      <w:r>
        <w:rPr>
          <w:color w:val="231F20"/>
          <w:spacing w:val="-23"/>
          <w:w w:val="110"/>
        </w:rPr>
        <w:t> </w:t>
      </w:r>
      <w:r>
        <w:rPr>
          <w:color w:val="231F20"/>
          <w:w w:val="110"/>
        </w:rPr>
        <w:t>del</w:t>
      </w:r>
      <w:r>
        <w:rPr>
          <w:color w:val="231F20"/>
          <w:spacing w:val="-23"/>
          <w:w w:val="110"/>
        </w:rPr>
        <w:t> </w:t>
      </w:r>
      <w:r>
        <w:rPr>
          <w:color w:val="231F20"/>
          <w:w w:val="110"/>
        </w:rPr>
        <w:t>petróleo</w:t>
      </w:r>
      <w:r>
        <w:rPr>
          <w:color w:val="231F20"/>
          <w:spacing w:val="-23"/>
          <w:w w:val="110"/>
        </w:rPr>
        <w:t> </w:t>
      </w:r>
      <w:r>
        <w:rPr>
          <w:color w:val="231F20"/>
          <w:w w:val="110"/>
        </w:rPr>
        <w:t>a</w:t>
      </w:r>
      <w:r>
        <w:rPr>
          <w:color w:val="231F20"/>
          <w:spacing w:val="-23"/>
          <w:w w:val="110"/>
        </w:rPr>
        <w:t> </w:t>
      </w:r>
      <w:r>
        <w:rPr>
          <w:color w:val="231F20"/>
          <w:w w:val="110"/>
        </w:rPr>
        <w:t>Estados</w:t>
      </w:r>
      <w:r>
        <w:rPr>
          <w:color w:val="231F20"/>
          <w:spacing w:val="-23"/>
          <w:w w:val="110"/>
        </w:rPr>
        <w:t> </w:t>
      </w:r>
      <w:r>
        <w:rPr>
          <w:color w:val="231F20"/>
          <w:w w:val="110"/>
        </w:rPr>
        <w:t>Unidos;</w:t>
      </w:r>
      <w:r>
        <w:rPr>
          <w:color w:val="231F20"/>
          <w:spacing w:val="-23"/>
          <w:w w:val="110"/>
        </w:rPr>
        <w:t> </w:t>
      </w:r>
      <w:r>
        <w:rPr>
          <w:color w:val="231F20"/>
          <w:w w:val="110"/>
        </w:rPr>
        <w:t>México,</w:t>
      </w:r>
      <w:r>
        <w:rPr>
          <w:color w:val="231F20"/>
          <w:spacing w:val="-23"/>
          <w:w w:val="110"/>
        </w:rPr>
        <w:t> </w:t>
      </w:r>
      <w:r>
        <w:rPr>
          <w:color w:val="231F20"/>
          <w:w w:val="110"/>
        </w:rPr>
        <w:t>Brasil</w:t>
      </w:r>
      <w:r>
        <w:rPr>
          <w:color w:val="231F20"/>
          <w:spacing w:val="-23"/>
          <w:w w:val="110"/>
        </w:rPr>
        <w:t> </w:t>
      </w:r>
      <w:r>
        <w:rPr>
          <w:color w:val="231F20"/>
          <w:w w:val="110"/>
        </w:rPr>
        <w:t>y</w:t>
      </w:r>
      <w:r>
        <w:rPr>
          <w:color w:val="231F20"/>
          <w:spacing w:val="-23"/>
          <w:w w:val="110"/>
        </w:rPr>
        <w:t> </w:t>
      </w:r>
      <w:r>
        <w:rPr>
          <w:color w:val="231F20"/>
          <w:spacing w:val="-4"/>
          <w:w w:val="110"/>
        </w:rPr>
        <w:t>Venezuela </w:t>
      </w:r>
      <w:r>
        <w:rPr>
          <w:color w:val="231F20"/>
          <w:w w:val="110"/>
        </w:rPr>
        <w:t>son tres de los más importantes socios comerciales; cerca de 50%</w:t>
      </w:r>
      <w:r>
        <w:rPr>
          <w:color w:val="231F20"/>
          <w:spacing w:val="-37"/>
          <w:w w:val="110"/>
        </w:rPr>
        <w:t> </w:t>
      </w:r>
      <w:r>
        <w:rPr>
          <w:color w:val="231F20"/>
          <w:w w:val="110"/>
        </w:rPr>
        <w:t>de las</w:t>
      </w:r>
      <w:r>
        <w:rPr>
          <w:color w:val="231F20"/>
          <w:spacing w:val="-10"/>
          <w:w w:val="110"/>
        </w:rPr>
        <w:t> </w:t>
      </w:r>
      <w:r>
        <w:rPr>
          <w:color w:val="231F20"/>
          <w:w w:val="110"/>
        </w:rPr>
        <w:t>transnacionales</w:t>
      </w:r>
      <w:r>
        <w:rPr>
          <w:color w:val="231F20"/>
          <w:spacing w:val="-10"/>
          <w:w w:val="110"/>
        </w:rPr>
        <w:t> </w:t>
      </w:r>
      <w:r>
        <w:rPr>
          <w:color w:val="231F20"/>
          <w:w w:val="110"/>
        </w:rPr>
        <w:t>presentes</w:t>
      </w:r>
      <w:r>
        <w:rPr>
          <w:color w:val="231F20"/>
          <w:spacing w:val="-10"/>
          <w:w w:val="110"/>
        </w:rPr>
        <w:t> </w:t>
      </w:r>
      <w:r>
        <w:rPr>
          <w:color w:val="231F20"/>
          <w:w w:val="110"/>
        </w:rPr>
        <w:t>son</w:t>
      </w:r>
      <w:r>
        <w:rPr>
          <w:color w:val="231F20"/>
          <w:spacing w:val="-10"/>
          <w:w w:val="110"/>
        </w:rPr>
        <w:t> </w:t>
      </w:r>
      <w:r>
        <w:rPr>
          <w:color w:val="231F20"/>
          <w:w w:val="110"/>
        </w:rPr>
        <w:t>de</w:t>
      </w:r>
      <w:r>
        <w:rPr>
          <w:color w:val="231F20"/>
          <w:spacing w:val="-10"/>
          <w:w w:val="110"/>
        </w:rPr>
        <w:t> </w:t>
      </w:r>
      <w:r>
        <w:rPr>
          <w:color w:val="231F20"/>
          <w:w w:val="110"/>
        </w:rPr>
        <w:t>capital</w:t>
      </w:r>
      <w:r>
        <w:rPr>
          <w:color w:val="231F20"/>
          <w:spacing w:val="-10"/>
          <w:w w:val="110"/>
        </w:rPr>
        <w:t> </w:t>
      </w:r>
      <w:r>
        <w:rPr>
          <w:color w:val="231F20"/>
          <w:w w:val="110"/>
        </w:rPr>
        <w:t>estadunidense;</w:t>
      </w:r>
      <w:r>
        <w:rPr>
          <w:color w:val="231F20"/>
          <w:spacing w:val="-10"/>
          <w:w w:val="110"/>
        </w:rPr>
        <w:t> </w:t>
      </w:r>
      <w:r>
        <w:rPr>
          <w:color w:val="231F20"/>
          <w:w w:val="110"/>
        </w:rPr>
        <w:t>14%</w:t>
      </w:r>
      <w:r>
        <w:rPr>
          <w:color w:val="231F20"/>
          <w:spacing w:val="-10"/>
          <w:w w:val="110"/>
        </w:rPr>
        <w:t> </w:t>
      </w:r>
      <w:r>
        <w:rPr>
          <w:color w:val="231F20"/>
          <w:w w:val="110"/>
        </w:rPr>
        <w:t>de</w:t>
      </w:r>
      <w:r>
        <w:rPr>
          <w:color w:val="231F20"/>
          <w:spacing w:val="-10"/>
          <w:w w:val="110"/>
        </w:rPr>
        <w:t> </w:t>
      </w:r>
      <w:r>
        <w:rPr>
          <w:color w:val="231F20"/>
          <w:w w:val="110"/>
        </w:rPr>
        <w:t>la población de Estados Unidos es de origen hispano y el español es el segundo</w:t>
      </w:r>
      <w:r>
        <w:rPr>
          <w:color w:val="231F20"/>
          <w:spacing w:val="-6"/>
          <w:w w:val="110"/>
        </w:rPr>
        <w:t> </w:t>
      </w:r>
      <w:r>
        <w:rPr>
          <w:color w:val="231F20"/>
          <w:w w:val="110"/>
        </w:rPr>
        <w:t>idioma;</w:t>
      </w:r>
      <w:r>
        <w:rPr>
          <w:color w:val="231F20"/>
          <w:spacing w:val="-6"/>
          <w:w w:val="110"/>
        </w:rPr>
        <w:t> </w:t>
      </w:r>
      <w:r>
        <w:rPr>
          <w:color w:val="231F20"/>
          <w:w w:val="110"/>
        </w:rPr>
        <w:t>la</w:t>
      </w:r>
      <w:r>
        <w:rPr>
          <w:color w:val="231F20"/>
          <w:spacing w:val="-6"/>
          <w:w w:val="110"/>
        </w:rPr>
        <w:t> </w:t>
      </w:r>
      <w:r>
        <w:rPr>
          <w:color w:val="231F20"/>
          <w:w w:val="110"/>
        </w:rPr>
        <w:t>región</w:t>
      </w:r>
      <w:r>
        <w:rPr>
          <w:color w:val="231F20"/>
          <w:spacing w:val="-6"/>
          <w:w w:val="110"/>
        </w:rPr>
        <w:t> </w:t>
      </w:r>
      <w:r>
        <w:rPr>
          <w:color w:val="231F20"/>
          <w:w w:val="110"/>
        </w:rPr>
        <w:t>andina</w:t>
      </w:r>
      <w:r>
        <w:rPr>
          <w:color w:val="231F20"/>
          <w:spacing w:val="-6"/>
          <w:w w:val="110"/>
        </w:rPr>
        <w:t> </w:t>
      </w:r>
      <w:r>
        <w:rPr>
          <w:color w:val="231F20"/>
          <w:w w:val="110"/>
        </w:rPr>
        <w:t>es</w:t>
      </w:r>
      <w:r>
        <w:rPr>
          <w:color w:val="231F20"/>
          <w:spacing w:val="-6"/>
          <w:w w:val="110"/>
        </w:rPr>
        <w:t> </w:t>
      </w:r>
      <w:r>
        <w:rPr>
          <w:color w:val="231F20"/>
          <w:w w:val="110"/>
        </w:rPr>
        <w:t>la</w:t>
      </w:r>
      <w:r>
        <w:rPr>
          <w:color w:val="231F20"/>
          <w:spacing w:val="-6"/>
          <w:w w:val="110"/>
        </w:rPr>
        <w:t> </w:t>
      </w:r>
      <w:r>
        <w:rPr>
          <w:color w:val="231F20"/>
          <w:w w:val="110"/>
        </w:rPr>
        <w:t>mayor</w:t>
      </w:r>
      <w:r>
        <w:rPr>
          <w:color w:val="231F20"/>
          <w:spacing w:val="-6"/>
          <w:w w:val="110"/>
        </w:rPr>
        <w:t> </w:t>
      </w:r>
      <w:r>
        <w:rPr>
          <w:color w:val="231F20"/>
          <w:w w:val="110"/>
        </w:rPr>
        <w:t>productora</w:t>
      </w:r>
      <w:r>
        <w:rPr>
          <w:color w:val="231F20"/>
          <w:spacing w:val="-6"/>
          <w:w w:val="110"/>
        </w:rPr>
        <w:t> </w:t>
      </w:r>
      <w:r>
        <w:rPr>
          <w:color w:val="231F20"/>
          <w:w w:val="110"/>
        </w:rPr>
        <w:t>mundial</w:t>
      </w:r>
      <w:r>
        <w:rPr>
          <w:color w:val="231F20"/>
          <w:spacing w:val="-6"/>
          <w:w w:val="110"/>
        </w:rPr>
        <w:t> </w:t>
      </w:r>
      <w:r>
        <w:rPr>
          <w:color w:val="231F20"/>
          <w:w w:val="110"/>
        </w:rPr>
        <w:t>de coca; el narcotráfico y el crimen organizado internacional plantean graves</w:t>
      </w:r>
      <w:r>
        <w:rPr>
          <w:color w:val="231F20"/>
          <w:spacing w:val="-27"/>
          <w:w w:val="110"/>
        </w:rPr>
        <w:t> </w:t>
      </w:r>
      <w:r>
        <w:rPr>
          <w:color w:val="231F20"/>
          <w:w w:val="110"/>
        </w:rPr>
        <w:t>desafíos</w:t>
      </w:r>
      <w:r>
        <w:rPr>
          <w:color w:val="231F20"/>
          <w:spacing w:val="-27"/>
          <w:w w:val="110"/>
        </w:rPr>
        <w:t> </w:t>
      </w:r>
      <w:r>
        <w:rPr>
          <w:color w:val="231F20"/>
          <w:w w:val="110"/>
        </w:rPr>
        <w:t>en</w:t>
      </w:r>
      <w:r>
        <w:rPr>
          <w:color w:val="231F20"/>
          <w:spacing w:val="-27"/>
          <w:w w:val="110"/>
        </w:rPr>
        <w:t> </w:t>
      </w:r>
      <w:r>
        <w:rPr>
          <w:color w:val="231F20"/>
          <w:w w:val="110"/>
        </w:rPr>
        <w:t>materia</w:t>
      </w:r>
      <w:r>
        <w:rPr>
          <w:color w:val="231F20"/>
          <w:spacing w:val="-27"/>
          <w:w w:val="110"/>
        </w:rPr>
        <w:t> </w:t>
      </w:r>
      <w:r>
        <w:rPr>
          <w:color w:val="231F20"/>
          <w:w w:val="110"/>
        </w:rPr>
        <w:t>de</w:t>
      </w:r>
      <w:r>
        <w:rPr>
          <w:color w:val="231F20"/>
          <w:spacing w:val="-27"/>
          <w:w w:val="110"/>
        </w:rPr>
        <w:t> </w:t>
      </w:r>
      <w:r>
        <w:rPr>
          <w:color w:val="231F20"/>
          <w:w w:val="110"/>
        </w:rPr>
        <w:t>seguridad</w:t>
      </w:r>
      <w:r>
        <w:rPr>
          <w:color w:val="231F20"/>
          <w:spacing w:val="-27"/>
          <w:w w:val="110"/>
        </w:rPr>
        <w:t> </w:t>
      </w:r>
      <w:r>
        <w:rPr>
          <w:color w:val="231F20"/>
          <w:w w:val="110"/>
        </w:rPr>
        <w:t>(Malamud,</w:t>
      </w:r>
      <w:r>
        <w:rPr>
          <w:color w:val="231F20"/>
          <w:spacing w:val="-27"/>
          <w:w w:val="110"/>
        </w:rPr>
        <w:t> </w:t>
      </w:r>
      <w:r>
        <w:rPr>
          <w:color w:val="231F20"/>
          <w:w w:val="110"/>
        </w:rPr>
        <w:t>2009).</w:t>
      </w:r>
      <w:r>
        <w:rPr>
          <w:color w:val="231F20"/>
          <w:spacing w:val="-27"/>
          <w:w w:val="110"/>
        </w:rPr>
        <w:t> </w:t>
      </w:r>
      <w:r>
        <w:rPr>
          <w:color w:val="231F20"/>
          <w:w w:val="110"/>
        </w:rPr>
        <w:t>Visto</w:t>
      </w:r>
      <w:r>
        <w:rPr>
          <w:color w:val="231F20"/>
          <w:spacing w:val="-27"/>
          <w:w w:val="110"/>
        </w:rPr>
        <w:t> </w:t>
      </w:r>
      <w:r>
        <w:rPr>
          <w:color w:val="231F20"/>
          <w:w w:val="110"/>
        </w:rPr>
        <w:t>desde los</w:t>
      </w:r>
      <w:r>
        <w:rPr>
          <w:color w:val="231F20"/>
          <w:spacing w:val="-23"/>
          <w:w w:val="110"/>
        </w:rPr>
        <w:t> </w:t>
      </w:r>
      <w:r>
        <w:rPr>
          <w:color w:val="231F20"/>
          <w:w w:val="110"/>
        </w:rPr>
        <w:t>intereses</w:t>
      </w:r>
      <w:r>
        <w:rPr>
          <w:color w:val="231F20"/>
          <w:spacing w:val="-23"/>
          <w:w w:val="110"/>
        </w:rPr>
        <w:t> </w:t>
      </w:r>
      <w:r>
        <w:rPr>
          <w:color w:val="231F20"/>
          <w:w w:val="110"/>
        </w:rPr>
        <w:t>de</w:t>
      </w:r>
      <w:r>
        <w:rPr>
          <w:color w:val="231F20"/>
          <w:spacing w:val="-23"/>
          <w:w w:val="110"/>
        </w:rPr>
        <w:t> </w:t>
      </w:r>
      <w:r>
        <w:rPr>
          <w:color w:val="231F20"/>
          <w:w w:val="110"/>
        </w:rPr>
        <w:t>América</w:t>
      </w:r>
      <w:r>
        <w:rPr>
          <w:color w:val="231F20"/>
          <w:spacing w:val="-23"/>
          <w:w w:val="110"/>
        </w:rPr>
        <w:t> </w:t>
      </w:r>
      <w:r>
        <w:rPr>
          <w:color w:val="231F20"/>
          <w:w w:val="110"/>
        </w:rPr>
        <w:t>Latina</w:t>
      </w:r>
      <w:r>
        <w:rPr>
          <w:color w:val="231F20"/>
          <w:spacing w:val="-23"/>
          <w:w w:val="110"/>
        </w:rPr>
        <w:t> </w:t>
      </w:r>
      <w:r>
        <w:rPr>
          <w:color w:val="231F20"/>
          <w:w w:val="110"/>
        </w:rPr>
        <w:t>y</w:t>
      </w:r>
      <w:r>
        <w:rPr>
          <w:color w:val="231F20"/>
          <w:spacing w:val="-23"/>
          <w:w w:val="110"/>
        </w:rPr>
        <w:t> </w:t>
      </w:r>
      <w:r>
        <w:rPr>
          <w:color w:val="231F20"/>
          <w:w w:val="110"/>
        </w:rPr>
        <w:t>dada</w:t>
      </w:r>
      <w:r>
        <w:rPr>
          <w:color w:val="231F20"/>
          <w:spacing w:val="-23"/>
          <w:w w:val="110"/>
        </w:rPr>
        <w:t> </w:t>
      </w:r>
      <w:r>
        <w:rPr>
          <w:color w:val="231F20"/>
          <w:w w:val="110"/>
        </w:rPr>
        <w:t>la</w:t>
      </w:r>
      <w:r>
        <w:rPr>
          <w:color w:val="231F20"/>
          <w:spacing w:val="-23"/>
          <w:w w:val="110"/>
        </w:rPr>
        <w:t> </w:t>
      </w:r>
      <w:r>
        <w:rPr>
          <w:color w:val="231F20"/>
          <w:w w:val="110"/>
        </w:rPr>
        <w:t>importancia</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relaciones multidimensionales con Estados Unidos, el cambio propuesto por la </w:t>
      </w:r>
      <w:r>
        <w:rPr>
          <w:color w:val="231F20"/>
          <w:w w:val="105"/>
        </w:rPr>
        <w:t>administración Obama despertó justificadas </w:t>
      </w:r>
      <w:r>
        <w:rPr>
          <w:color w:val="231F20"/>
          <w:spacing w:val="31"/>
          <w:w w:val="105"/>
        </w:rPr>
        <w:t> </w:t>
      </w:r>
      <w:r>
        <w:rPr>
          <w:color w:val="231F20"/>
          <w:w w:val="105"/>
        </w:rPr>
        <w:t>expectativas.</w:t>
      </w:r>
    </w:p>
    <w:p>
      <w:pPr>
        <w:pStyle w:val="BodyText"/>
        <w:spacing w:line="261" w:lineRule="auto"/>
        <w:ind w:left="100" w:right="117" w:firstLine="240"/>
        <w:jc w:val="both"/>
      </w:pPr>
      <w:r>
        <w:rPr>
          <w:color w:val="231F20"/>
          <w:w w:val="110"/>
        </w:rPr>
        <w:t>La Cumbre de las Américas de 2009 debatió la reincorporación de</w:t>
      </w:r>
      <w:r>
        <w:rPr>
          <w:color w:val="231F20"/>
          <w:spacing w:val="-8"/>
          <w:w w:val="110"/>
        </w:rPr>
        <w:t> </w:t>
      </w:r>
      <w:r>
        <w:rPr>
          <w:color w:val="231F20"/>
          <w:w w:val="110"/>
        </w:rPr>
        <w:t>Cuba</w:t>
      </w:r>
      <w:r>
        <w:rPr>
          <w:color w:val="231F20"/>
          <w:spacing w:val="-8"/>
          <w:w w:val="110"/>
        </w:rPr>
        <w:t> </w:t>
      </w:r>
      <w:r>
        <w:rPr>
          <w:color w:val="231F20"/>
          <w:w w:val="110"/>
        </w:rPr>
        <w:t>al</w:t>
      </w:r>
      <w:r>
        <w:rPr>
          <w:color w:val="231F20"/>
          <w:spacing w:val="-8"/>
          <w:w w:val="110"/>
        </w:rPr>
        <w:t> </w:t>
      </w:r>
      <w:r>
        <w:rPr>
          <w:color w:val="231F20"/>
          <w:w w:val="110"/>
        </w:rPr>
        <w:t>sistema</w:t>
      </w:r>
      <w:r>
        <w:rPr>
          <w:color w:val="231F20"/>
          <w:spacing w:val="-8"/>
          <w:w w:val="110"/>
        </w:rPr>
        <w:t> </w:t>
      </w:r>
      <w:r>
        <w:rPr>
          <w:color w:val="231F20"/>
          <w:w w:val="110"/>
        </w:rPr>
        <w:t>interamericano</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suspensión</w:t>
      </w:r>
      <w:r>
        <w:rPr>
          <w:color w:val="231F20"/>
          <w:spacing w:val="-8"/>
          <w:w w:val="110"/>
        </w:rPr>
        <w:t> </w:t>
      </w:r>
      <w:r>
        <w:rPr>
          <w:color w:val="231F20"/>
          <w:w w:val="110"/>
        </w:rPr>
        <w:t>del</w:t>
      </w:r>
      <w:r>
        <w:rPr>
          <w:color w:val="231F20"/>
          <w:spacing w:val="-8"/>
          <w:w w:val="110"/>
        </w:rPr>
        <w:t> </w:t>
      </w:r>
      <w:r>
        <w:rPr>
          <w:color w:val="231F20"/>
          <w:w w:val="110"/>
        </w:rPr>
        <w:t>bloqueo.</w:t>
      </w:r>
      <w:r>
        <w:rPr>
          <w:color w:val="231F20"/>
          <w:spacing w:val="-8"/>
          <w:w w:val="110"/>
        </w:rPr>
        <w:t> </w:t>
      </w:r>
      <w:r>
        <w:rPr>
          <w:color w:val="231F20"/>
          <w:w w:val="110"/>
        </w:rPr>
        <w:t>Poco antes</w:t>
      </w:r>
      <w:r>
        <w:rPr>
          <w:color w:val="231F20"/>
          <w:spacing w:val="-20"/>
          <w:w w:val="110"/>
        </w:rPr>
        <w:t> </w:t>
      </w:r>
      <w:r>
        <w:rPr>
          <w:color w:val="231F20"/>
          <w:w w:val="110"/>
        </w:rPr>
        <w:t>el</w:t>
      </w:r>
      <w:r>
        <w:rPr>
          <w:color w:val="231F20"/>
          <w:spacing w:val="-20"/>
          <w:w w:val="110"/>
        </w:rPr>
        <w:t> </w:t>
      </w:r>
      <w:r>
        <w:rPr>
          <w:color w:val="231F20"/>
          <w:w w:val="110"/>
        </w:rPr>
        <w:t>presidente</w:t>
      </w:r>
      <w:r>
        <w:rPr>
          <w:color w:val="231F20"/>
          <w:spacing w:val="-20"/>
          <w:w w:val="110"/>
        </w:rPr>
        <w:t> </w:t>
      </w:r>
      <w:r>
        <w:rPr>
          <w:color w:val="231F20"/>
          <w:w w:val="110"/>
        </w:rPr>
        <w:t>Obama</w:t>
      </w:r>
      <w:r>
        <w:rPr>
          <w:color w:val="231F20"/>
          <w:spacing w:val="-20"/>
          <w:w w:val="110"/>
        </w:rPr>
        <w:t> </w:t>
      </w:r>
      <w:r>
        <w:rPr>
          <w:color w:val="231F20"/>
          <w:w w:val="110"/>
        </w:rPr>
        <w:t>había</w:t>
      </w:r>
      <w:r>
        <w:rPr>
          <w:color w:val="231F20"/>
          <w:spacing w:val="-20"/>
          <w:w w:val="110"/>
        </w:rPr>
        <w:t> </w:t>
      </w:r>
      <w:r>
        <w:rPr>
          <w:color w:val="231F20"/>
          <w:w w:val="110"/>
        </w:rPr>
        <w:t>autorizado</w:t>
      </w:r>
      <w:r>
        <w:rPr>
          <w:color w:val="231F20"/>
          <w:spacing w:val="-20"/>
          <w:w w:val="110"/>
        </w:rPr>
        <w:t> </w:t>
      </w:r>
      <w:r>
        <w:rPr>
          <w:color w:val="231F20"/>
          <w:w w:val="110"/>
        </w:rPr>
        <w:t>descongelar</w:t>
      </w:r>
      <w:r>
        <w:rPr>
          <w:color w:val="231F20"/>
          <w:spacing w:val="-20"/>
          <w:w w:val="110"/>
        </w:rPr>
        <w:t> </w:t>
      </w:r>
      <w:r>
        <w:rPr>
          <w:color w:val="231F20"/>
          <w:w w:val="110"/>
        </w:rPr>
        <w:t>los</w:t>
      </w:r>
      <w:r>
        <w:rPr>
          <w:color w:val="231F20"/>
          <w:spacing w:val="-20"/>
          <w:w w:val="110"/>
        </w:rPr>
        <w:t> </w:t>
      </w:r>
      <w:r>
        <w:rPr>
          <w:color w:val="231F20"/>
          <w:w w:val="110"/>
        </w:rPr>
        <w:t>viajes</w:t>
      </w:r>
      <w:r>
        <w:rPr>
          <w:color w:val="231F20"/>
          <w:spacing w:val="-20"/>
          <w:w w:val="110"/>
        </w:rPr>
        <w:t> </w:t>
      </w:r>
      <w:r>
        <w:rPr>
          <w:color w:val="231F20"/>
          <w:w w:val="110"/>
        </w:rPr>
        <w:t>y</w:t>
      </w:r>
      <w:r>
        <w:rPr>
          <w:color w:val="231F20"/>
          <w:spacing w:val="-20"/>
          <w:w w:val="110"/>
        </w:rPr>
        <w:t> </w:t>
      </w:r>
      <w:r>
        <w:rPr>
          <w:color w:val="231F20"/>
          <w:w w:val="110"/>
        </w:rPr>
        <w:t>el envío de remesas a Cuba, en una señal que pareció indicar el inicio del restablecimiento de las relaciones entre los dos países; al</w:t>
      </w:r>
      <w:r>
        <w:rPr>
          <w:color w:val="231F20"/>
          <w:spacing w:val="-27"/>
          <w:w w:val="110"/>
        </w:rPr>
        <w:t> </w:t>
      </w:r>
      <w:r>
        <w:rPr>
          <w:color w:val="231F20"/>
          <w:w w:val="110"/>
        </w:rPr>
        <w:t>parecer presiones internas y la respuesta del gobierno cubano,</w:t>
      </w:r>
      <w:r>
        <w:rPr>
          <w:color w:val="231F20"/>
          <w:spacing w:val="-30"/>
          <w:w w:val="110"/>
        </w:rPr>
        <w:t> </w:t>
      </w:r>
      <w:r>
        <w:rPr>
          <w:color w:val="231F20"/>
          <w:w w:val="110"/>
        </w:rPr>
        <w:t>insatisfactoria para</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han</w:t>
      </w:r>
      <w:r>
        <w:rPr>
          <w:color w:val="231F20"/>
          <w:spacing w:val="-7"/>
          <w:w w:val="110"/>
        </w:rPr>
        <w:t> </w:t>
      </w:r>
      <w:r>
        <w:rPr>
          <w:color w:val="231F20"/>
          <w:w w:val="110"/>
        </w:rPr>
        <w:t>frenado</w:t>
      </w:r>
      <w:r>
        <w:rPr>
          <w:color w:val="231F20"/>
          <w:spacing w:val="-7"/>
          <w:w w:val="110"/>
        </w:rPr>
        <w:t> </w:t>
      </w:r>
      <w:r>
        <w:rPr>
          <w:color w:val="231F20"/>
          <w:w w:val="110"/>
        </w:rPr>
        <w:t>esta</w:t>
      </w:r>
      <w:r>
        <w:rPr>
          <w:color w:val="231F20"/>
          <w:spacing w:val="-7"/>
          <w:w w:val="110"/>
        </w:rPr>
        <w:t> </w:t>
      </w:r>
      <w:r>
        <w:rPr>
          <w:color w:val="231F20"/>
          <w:w w:val="110"/>
        </w:rPr>
        <w:t>iniciativa.</w:t>
      </w:r>
      <w:r>
        <w:rPr>
          <w:color w:val="231F20"/>
          <w:spacing w:val="-7"/>
          <w:w w:val="110"/>
        </w:rPr>
        <w:t> </w:t>
      </w:r>
      <w:r>
        <w:rPr>
          <w:color w:val="231F20"/>
          <w:w w:val="110"/>
        </w:rPr>
        <w:t>En</w:t>
      </w:r>
      <w:r>
        <w:rPr>
          <w:color w:val="231F20"/>
          <w:spacing w:val="-7"/>
          <w:w w:val="110"/>
        </w:rPr>
        <w:t> </w:t>
      </w:r>
      <w:r>
        <w:rPr>
          <w:color w:val="231F20"/>
          <w:w w:val="110"/>
        </w:rPr>
        <w:t>junio</w:t>
      </w:r>
      <w:r>
        <w:rPr>
          <w:color w:val="231F20"/>
          <w:spacing w:val="-7"/>
          <w:w w:val="110"/>
        </w:rPr>
        <w:t> </w:t>
      </w:r>
      <w:r>
        <w:rPr>
          <w:color w:val="231F20"/>
          <w:w w:val="110"/>
        </w:rPr>
        <w:t>de</w:t>
      </w:r>
      <w:r>
        <w:rPr>
          <w:color w:val="231F20"/>
          <w:spacing w:val="-7"/>
          <w:w w:val="110"/>
        </w:rPr>
        <w:t> </w:t>
      </w:r>
      <w:r>
        <w:rPr>
          <w:color w:val="231F20"/>
          <w:w w:val="110"/>
        </w:rPr>
        <w:t>2009</w:t>
      </w:r>
      <w:r>
        <w:rPr>
          <w:color w:val="231F20"/>
          <w:spacing w:val="-7"/>
          <w:w w:val="110"/>
        </w:rPr>
        <w:t> </w:t>
      </w:r>
      <w:r>
        <w:rPr>
          <w:color w:val="231F20"/>
          <w:w w:val="110"/>
        </w:rPr>
        <w:t>el golpe de estado en Honduras generó críticas de algunos gobiernos que lanzaron veladas acusaciones a los golpistas por haber recibido apoyo</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militares</w:t>
      </w:r>
      <w:r>
        <w:rPr>
          <w:color w:val="231F20"/>
          <w:spacing w:val="-17"/>
          <w:w w:val="110"/>
        </w:rPr>
        <w:t> </w:t>
      </w:r>
      <w:r>
        <w:rPr>
          <w:color w:val="231F20"/>
          <w:w w:val="110"/>
        </w:rPr>
        <w:t>estadunidenses</w:t>
      </w:r>
      <w:r>
        <w:rPr>
          <w:color w:val="231F20"/>
          <w:spacing w:val="-17"/>
          <w:w w:val="110"/>
        </w:rPr>
        <w:t> </w:t>
      </w:r>
      <w:r>
        <w:rPr>
          <w:color w:val="231F20"/>
          <w:w w:val="110"/>
        </w:rPr>
        <w:t>desde</w:t>
      </w:r>
      <w:r>
        <w:rPr>
          <w:color w:val="231F20"/>
          <w:spacing w:val="-17"/>
          <w:w w:val="110"/>
        </w:rPr>
        <w:t> </w:t>
      </w:r>
      <w:r>
        <w:rPr>
          <w:color w:val="231F20"/>
          <w:w w:val="110"/>
        </w:rPr>
        <w:t>la</w:t>
      </w:r>
      <w:r>
        <w:rPr>
          <w:color w:val="231F20"/>
          <w:spacing w:val="-17"/>
          <w:w w:val="110"/>
        </w:rPr>
        <w:t> </w:t>
      </w:r>
      <w:r>
        <w:rPr>
          <w:color w:val="231F20"/>
          <w:w w:val="110"/>
        </w:rPr>
        <w:t>base</w:t>
      </w:r>
      <w:r>
        <w:rPr>
          <w:color w:val="231F20"/>
          <w:spacing w:val="-17"/>
          <w:w w:val="110"/>
        </w:rPr>
        <w:t> </w:t>
      </w:r>
      <w:r>
        <w:rPr>
          <w:color w:val="231F20"/>
          <w:w w:val="110"/>
        </w:rPr>
        <w:t>existente</w:t>
      </w:r>
      <w:r>
        <w:rPr>
          <w:color w:val="231F20"/>
          <w:spacing w:val="-17"/>
          <w:w w:val="110"/>
        </w:rPr>
        <w:t> </w:t>
      </w:r>
      <w:r>
        <w:rPr>
          <w:color w:val="231F20"/>
          <w:w w:val="110"/>
        </w:rPr>
        <w:t>en</w:t>
      </w:r>
      <w:r>
        <w:rPr>
          <w:color w:val="231F20"/>
          <w:spacing w:val="-17"/>
          <w:w w:val="110"/>
        </w:rPr>
        <w:t> </w:t>
      </w:r>
      <w:r>
        <w:rPr>
          <w:color w:val="231F20"/>
          <w:w w:val="110"/>
        </w:rPr>
        <w:t>dicho país, a pesar de que el gobierno estadunidense condenó el golpe.   En síntesis, la administración Obama no ha dado pasos eficaces</w:t>
      </w:r>
      <w:r>
        <w:rPr>
          <w:color w:val="231F20"/>
          <w:spacing w:val="-32"/>
          <w:w w:val="110"/>
        </w:rPr>
        <w:t> </w:t>
      </w:r>
      <w:r>
        <w:rPr>
          <w:color w:val="231F20"/>
          <w:w w:val="110"/>
        </w:rPr>
        <w:t>para desmilitarizar las relaciones con América</w:t>
      </w:r>
      <w:r>
        <w:rPr>
          <w:color w:val="231F20"/>
          <w:spacing w:val="-36"/>
          <w:w w:val="110"/>
        </w:rPr>
        <w:t> </w:t>
      </w:r>
      <w:r>
        <w:rPr>
          <w:color w:val="231F20"/>
          <w:w w:val="110"/>
        </w:rPr>
        <w:t>Latina.</w:t>
      </w:r>
    </w:p>
    <w:p>
      <w:pPr>
        <w:pStyle w:val="BodyText"/>
      </w:pPr>
    </w:p>
    <w:p>
      <w:pPr>
        <w:pStyle w:val="BodyText"/>
      </w:pPr>
    </w:p>
    <w:p>
      <w:pPr>
        <w:pStyle w:val="BodyText"/>
        <w:spacing w:before="2"/>
        <w:rPr>
          <w:sz w:val="25"/>
        </w:rPr>
      </w:pPr>
    </w:p>
    <w:p>
      <w:pPr>
        <w:pStyle w:val="BodyText"/>
        <w:ind w:left="100"/>
        <w:jc w:val="both"/>
      </w:pPr>
      <w:r>
        <w:rPr>
          <w:color w:val="231F20"/>
          <w:w w:val="125"/>
        </w:rPr>
        <w:t>colombia y la política de seguridad de estados unidos</w:t>
      </w:r>
    </w:p>
    <w:p>
      <w:pPr>
        <w:pStyle w:val="BodyText"/>
        <w:spacing w:before="5"/>
        <w:rPr>
          <w:sz w:val="23"/>
        </w:rPr>
      </w:pPr>
    </w:p>
    <w:p>
      <w:pPr>
        <w:pStyle w:val="BodyText"/>
        <w:spacing w:line="261" w:lineRule="auto"/>
        <w:ind w:left="100" w:right="117" w:firstLine="70"/>
        <w:jc w:val="both"/>
      </w:pPr>
      <w:r>
        <w:rPr>
          <w:color w:val="231F20"/>
          <w:w w:val="110"/>
        </w:rPr>
        <w:t>Con el Plan Colombia, Estados Unidos se ha comprometido desde 1999 en el más ambicioso programa de cooperación militar en la historia de las relaciones entre los dos países. El monto de la coo- peración militar ascendió a 6 130 000 000 de dólares entre 2002 y 2008 (Otero, 2010: 133). Desde el final de la administración</w:t>
      </w:r>
      <w:r>
        <w:rPr>
          <w:color w:val="231F20"/>
          <w:spacing w:val="-25"/>
          <w:w w:val="110"/>
        </w:rPr>
        <w:t> </w:t>
      </w:r>
      <w:r>
        <w:rPr>
          <w:color w:val="231F20"/>
          <w:w w:val="110"/>
        </w:rPr>
        <w:t>Clinton esta cooperación se destina a la acción antinarcóticos y contrainsur- gente</w:t>
      </w:r>
      <w:r>
        <w:rPr>
          <w:color w:val="231F20"/>
          <w:spacing w:val="16"/>
          <w:w w:val="110"/>
        </w:rPr>
        <w:t> </w:t>
      </w:r>
      <w:r>
        <w:rPr>
          <w:color w:val="231F20"/>
          <w:w w:val="110"/>
        </w:rPr>
        <w:t>en</w:t>
      </w:r>
      <w:r>
        <w:rPr>
          <w:color w:val="231F20"/>
          <w:spacing w:val="16"/>
          <w:w w:val="110"/>
        </w:rPr>
        <w:t> </w:t>
      </w:r>
      <w:r>
        <w:rPr>
          <w:color w:val="231F20"/>
          <w:w w:val="110"/>
        </w:rPr>
        <w:t>una</w:t>
      </w:r>
      <w:r>
        <w:rPr>
          <w:color w:val="231F20"/>
          <w:spacing w:val="16"/>
          <w:w w:val="110"/>
        </w:rPr>
        <w:t> </w:t>
      </w:r>
      <w:r>
        <w:rPr>
          <w:color w:val="231F20"/>
          <w:w w:val="110"/>
        </w:rPr>
        <w:t>proporción</w:t>
      </w:r>
      <w:r>
        <w:rPr>
          <w:color w:val="231F20"/>
          <w:spacing w:val="16"/>
          <w:w w:val="110"/>
        </w:rPr>
        <w:t> </w:t>
      </w:r>
      <w:r>
        <w:rPr>
          <w:color w:val="231F20"/>
          <w:w w:val="110"/>
        </w:rPr>
        <w:t>cercana</w:t>
      </w:r>
      <w:r>
        <w:rPr>
          <w:color w:val="231F20"/>
          <w:spacing w:val="16"/>
          <w:w w:val="110"/>
        </w:rPr>
        <w:t> </w:t>
      </w:r>
      <w:r>
        <w:rPr>
          <w:color w:val="231F20"/>
          <w:w w:val="110"/>
        </w:rPr>
        <w:t>al</w:t>
      </w:r>
      <w:r>
        <w:rPr>
          <w:color w:val="231F20"/>
          <w:spacing w:val="16"/>
          <w:w w:val="110"/>
        </w:rPr>
        <w:t> </w:t>
      </w:r>
      <w:r>
        <w:rPr>
          <w:color w:val="231F20"/>
          <w:w w:val="110"/>
        </w:rPr>
        <w:t>80%</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resto</w:t>
      </w:r>
      <w:r>
        <w:rPr>
          <w:color w:val="231F20"/>
          <w:spacing w:val="16"/>
          <w:w w:val="110"/>
        </w:rPr>
        <w:t> </w:t>
      </w:r>
      <w:r>
        <w:rPr>
          <w:color w:val="231F20"/>
          <w:w w:val="110"/>
        </w:rPr>
        <w:t>al</w:t>
      </w:r>
      <w:r>
        <w:rPr>
          <w:color w:val="231F20"/>
          <w:spacing w:val="16"/>
          <w:w w:val="110"/>
        </w:rPr>
        <w:t> </w:t>
      </w:r>
      <w:r>
        <w:rPr>
          <w:color w:val="231F20"/>
          <w:w w:val="110"/>
        </w:rPr>
        <w:t>desarrollo</w:t>
      </w:r>
      <w:r>
        <w:rPr>
          <w:color w:val="231F20"/>
          <w:spacing w:val="16"/>
          <w:w w:val="110"/>
        </w:rPr>
        <w:t> </w:t>
      </w:r>
      <w:r>
        <w:rPr>
          <w:color w:val="231F20"/>
          <w:w w:val="110"/>
        </w:rPr>
        <w:t>de</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4"/>
        <w:jc w:val="both"/>
      </w:pPr>
      <w:r>
        <w:rPr>
          <w:color w:val="231F20"/>
          <w:w w:val="110"/>
        </w:rPr>
        <w:t>la democracia y al fortalecimiento institucional. La administración Obama ha reiterado que sostendrá su compromiso con el gobierno colombiano con algunas variaciones: reducción de aportes y de la proporción destinada a gastos militares e incremento de la destinada al desarrollo de la democracia y al fortalecimiento institucional. En política antinarcóticos anunció la creación de una comisión para evaluarla dado sus cuestionables resultados en materia de reducción de cultivos con destino ilícito a pesar de la millonaria inversión en fumigaciones,</w:t>
      </w:r>
      <w:r>
        <w:rPr>
          <w:color w:val="231F20"/>
          <w:spacing w:val="-9"/>
          <w:w w:val="110"/>
        </w:rPr>
        <w:t> </w:t>
      </w:r>
      <w:r>
        <w:rPr>
          <w:color w:val="231F20"/>
          <w:w w:val="110"/>
        </w:rPr>
        <w:t>posición</w:t>
      </w:r>
      <w:r>
        <w:rPr>
          <w:color w:val="231F20"/>
          <w:spacing w:val="-9"/>
          <w:w w:val="110"/>
        </w:rPr>
        <w:t> </w:t>
      </w:r>
      <w:r>
        <w:rPr>
          <w:color w:val="231F20"/>
          <w:w w:val="110"/>
        </w:rPr>
        <w:t>coherente</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decisión</w:t>
      </w:r>
      <w:r>
        <w:rPr>
          <w:color w:val="231F20"/>
          <w:spacing w:val="-9"/>
          <w:w w:val="110"/>
        </w:rPr>
        <w:t> </w:t>
      </w:r>
      <w:r>
        <w:rPr>
          <w:color w:val="231F20"/>
          <w:w w:val="110"/>
        </w:rPr>
        <w:t>interna</w:t>
      </w:r>
      <w:r>
        <w:rPr>
          <w:color w:val="231F20"/>
          <w:spacing w:val="-9"/>
          <w:w w:val="110"/>
        </w:rPr>
        <w:t> </w:t>
      </w:r>
      <w:r>
        <w:rPr>
          <w:color w:val="231F20"/>
          <w:w w:val="110"/>
        </w:rPr>
        <w:t>de</w:t>
      </w:r>
      <w:r>
        <w:rPr>
          <w:color w:val="231F20"/>
          <w:spacing w:val="-9"/>
          <w:w w:val="110"/>
        </w:rPr>
        <w:t> </w:t>
      </w:r>
      <w:r>
        <w:rPr>
          <w:color w:val="231F20"/>
          <w:w w:val="110"/>
        </w:rPr>
        <w:t>priorizar la acción preventiva sobre la punitiva en relación con el consumo</w:t>
      </w:r>
      <w:r>
        <w:rPr>
          <w:color w:val="231F20"/>
          <w:spacing w:val="-21"/>
          <w:w w:val="110"/>
        </w:rPr>
        <w:t> </w:t>
      </w:r>
      <w:r>
        <w:rPr>
          <w:color w:val="231F20"/>
          <w:w w:val="110"/>
        </w:rPr>
        <w:t>de drogas. Pero el Plan Colombia se mantiene, lo que significa la</w:t>
      </w:r>
      <w:r>
        <w:rPr>
          <w:color w:val="231F20"/>
          <w:spacing w:val="-36"/>
          <w:w w:val="110"/>
        </w:rPr>
        <w:t> </w:t>
      </w:r>
      <w:r>
        <w:rPr>
          <w:color w:val="231F20"/>
          <w:w w:val="110"/>
        </w:rPr>
        <w:t>conti- nuidad del énfasis en lo militar sobre lo</w:t>
      </w:r>
      <w:r>
        <w:rPr>
          <w:color w:val="231F20"/>
          <w:spacing w:val="52"/>
          <w:w w:val="110"/>
        </w:rPr>
        <w:t> </w:t>
      </w:r>
      <w:r>
        <w:rPr>
          <w:color w:val="231F20"/>
          <w:w w:val="110"/>
        </w:rPr>
        <w:t>socioeconómico.</w:t>
      </w:r>
    </w:p>
    <w:p>
      <w:pPr>
        <w:pStyle w:val="BodyText"/>
        <w:spacing w:line="261" w:lineRule="auto"/>
        <w:ind w:left="100" w:right="114" w:firstLine="240"/>
        <w:jc w:val="both"/>
      </w:pPr>
      <w:r>
        <w:rPr>
          <w:color w:val="231F20"/>
          <w:w w:val="110"/>
        </w:rPr>
        <w:t>La más clara expresión del carácter militarizado de las relaciones lo representa la ampliación del acuerdo de cooperación militar con Colombia, en virtud del cual el gobierno colombiano autoriza a Es- tados Unidos el uso de siete bases militares ubicadas en diferentes sitios de la geografía nacional. Este acuerdo llena el vacío que dejó el desmantelamiento de la base de Manta en </w:t>
      </w:r>
      <w:r>
        <w:rPr>
          <w:color w:val="231F20"/>
          <w:spacing w:val="-3"/>
          <w:w w:val="110"/>
        </w:rPr>
        <w:t>Ecuador, </w:t>
      </w:r>
      <w:r>
        <w:rPr>
          <w:color w:val="231F20"/>
          <w:w w:val="110"/>
        </w:rPr>
        <w:t>el cierre de  las instalaciones militares en Panamá, Puerto Rico, Paraguay y</w:t>
      </w:r>
      <w:r>
        <w:rPr>
          <w:color w:val="231F20"/>
          <w:spacing w:val="-18"/>
          <w:w w:val="110"/>
        </w:rPr>
        <w:t> </w:t>
      </w:r>
      <w:r>
        <w:rPr>
          <w:color w:val="231F20"/>
          <w:w w:val="110"/>
        </w:rPr>
        <w:t>Gua- temala, e incorpora a Colombia en la estrategia militar orientada a garantizar el transporte de equipos y hombres a cualquier parte de Centro</w:t>
      </w:r>
      <w:r>
        <w:rPr>
          <w:color w:val="231F20"/>
          <w:spacing w:val="-8"/>
          <w:w w:val="110"/>
        </w:rPr>
        <w:t> </w:t>
      </w:r>
      <w:r>
        <w:rPr>
          <w:color w:val="231F20"/>
          <w:w w:val="110"/>
        </w:rPr>
        <w:t>y</w:t>
      </w:r>
      <w:r>
        <w:rPr>
          <w:color w:val="231F20"/>
          <w:spacing w:val="-8"/>
          <w:w w:val="110"/>
        </w:rPr>
        <w:t> </w:t>
      </w:r>
      <w:r>
        <w:rPr>
          <w:color w:val="231F20"/>
          <w:w w:val="110"/>
        </w:rPr>
        <w:t>Sur</w:t>
      </w:r>
      <w:r>
        <w:rPr>
          <w:color w:val="231F20"/>
          <w:spacing w:val="-8"/>
          <w:w w:val="110"/>
        </w:rPr>
        <w:t> </w:t>
      </w:r>
      <w:r>
        <w:rPr>
          <w:color w:val="231F20"/>
          <w:w w:val="110"/>
        </w:rPr>
        <w:t>América,</w:t>
      </w:r>
      <w:r>
        <w:rPr>
          <w:color w:val="231F20"/>
          <w:spacing w:val="-8"/>
          <w:w w:val="110"/>
        </w:rPr>
        <w:t> </w:t>
      </w:r>
      <w:r>
        <w:rPr>
          <w:color w:val="231F20"/>
          <w:w w:val="110"/>
        </w:rPr>
        <w:t>el</w:t>
      </w:r>
      <w:r>
        <w:rPr>
          <w:color w:val="231F20"/>
          <w:spacing w:val="-8"/>
          <w:w w:val="110"/>
        </w:rPr>
        <w:t> </w:t>
      </w:r>
      <w:r>
        <w:rPr>
          <w:color w:val="231F20"/>
          <w:w w:val="110"/>
        </w:rPr>
        <w:t>Caribe</w:t>
      </w:r>
      <w:r>
        <w:rPr>
          <w:color w:val="231F20"/>
          <w:spacing w:val="-8"/>
          <w:w w:val="110"/>
        </w:rPr>
        <w:t> </w:t>
      </w:r>
      <w:r>
        <w:rPr>
          <w:color w:val="231F20"/>
          <w:w w:val="110"/>
        </w:rPr>
        <w:t>y</w:t>
      </w:r>
      <w:r>
        <w:rPr>
          <w:color w:val="231F20"/>
          <w:spacing w:val="-8"/>
          <w:w w:val="110"/>
        </w:rPr>
        <w:t> </w:t>
      </w:r>
      <w:r>
        <w:rPr>
          <w:color w:val="231F20"/>
          <w:w w:val="110"/>
        </w:rPr>
        <w:t>países</w:t>
      </w:r>
      <w:r>
        <w:rPr>
          <w:color w:val="231F20"/>
          <w:spacing w:val="-8"/>
          <w:w w:val="110"/>
        </w:rPr>
        <w:t> </w:t>
      </w:r>
      <w:r>
        <w:rPr>
          <w:color w:val="231F20"/>
          <w:w w:val="110"/>
        </w:rPr>
        <w:t>de</w:t>
      </w:r>
      <w:r>
        <w:rPr>
          <w:color w:val="231F20"/>
          <w:spacing w:val="-8"/>
          <w:w w:val="110"/>
        </w:rPr>
        <w:t> </w:t>
      </w:r>
      <w:r>
        <w:rPr>
          <w:color w:val="231F20"/>
          <w:w w:val="110"/>
        </w:rPr>
        <w:t>África</w:t>
      </w:r>
      <w:r>
        <w:rPr>
          <w:color w:val="231F20"/>
          <w:spacing w:val="-8"/>
          <w:w w:val="110"/>
        </w:rPr>
        <w:t> </w:t>
      </w:r>
      <w:r>
        <w:rPr>
          <w:color w:val="231F20"/>
          <w:w w:val="110"/>
        </w:rPr>
        <w:t>occidental,</w:t>
      </w:r>
      <w:r>
        <w:rPr>
          <w:color w:val="231F20"/>
          <w:spacing w:val="-8"/>
          <w:w w:val="110"/>
        </w:rPr>
        <w:t> </w:t>
      </w:r>
      <w:r>
        <w:rPr>
          <w:color w:val="231F20"/>
          <w:w w:val="110"/>
        </w:rPr>
        <w:t>con</w:t>
      </w:r>
      <w:r>
        <w:rPr>
          <w:color w:val="231F20"/>
          <w:spacing w:val="-8"/>
          <w:w w:val="110"/>
        </w:rPr>
        <w:t> </w:t>
      </w:r>
      <w:r>
        <w:rPr>
          <w:color w:val="231F20"/>
          <w:w w:val="110"/>
        </w:rPr>
        <w:t>el objetivo, como lo expresa el artículo III del Acuerdo Complementa- rio</w:t>
      </w:r>
      <w:r>
        <w:rPr>
          <w:color w:val="231F20"/>
          <w:spacing w:val="-12"/>
          <w:w w:val="110"/>
        </w:rPr>
        <w:t> </w:t>
      </w:r>
      <w:r>
        <w:rPr>
          <w:color w:val="231F20"/>
          <w:w w:val="110"/>
        </w:rPr>
        <w:t>para</w:t>
      </w:r>
      <w:r>
        <w:rPr>
          <w:color w:val="231F20"/>
          <w:spacing w:val="-12"/>
          <w:w w:val="110"/>
        </w:rPr>
        <w:t> </w:t>
      </w:r>
      <w:r>
        <w:rPr>
          <w:color w:val="231F20"/>
          <w:w w:val="110"/>
        </w:rPr>
        <w:t>la</w:t>
      </w:r>
      <w:r>
        <w:rPr>
          <w:color w:val="231F20"/>
          <w:spacing w:val="-12"/>
          <w:w w:val="110"/>
        </w:rPr>
        <w:t> </w:t>
      </w:r>
      <w:r>
        <w:rPr>
          <w:color w:val="231F20"/>
          <w:w w:val="110"/>
        </w:rPr>
        <w:t>Cooperación</w:t>
      </w:r>
      <w:r>
        <w:rPr>
          <w:color w:val="231F20"/>
          <w:spacing w:val="-12"/>
          <w:w w:val="110"/>
        </w:rPr>
        <w:t> </w:t>
      </w:r>
      <w:r>
        <w:rPr>
          <w:color w:val="231F20"/>
          <w:w w:val="110"/>
        </w:rPr>
        <w:t>y</w:t>
      </w:r>
      <w:r>
        <w:rPr>
          <w:color w:val="231F20"/>
          <w:spacing w:val="-12"/>
          <w:w w:val="110"/>
        </w:rPr>
        <w:t> </w:t>
      </w:r>
      <w:r>
        <w:rPr>
          <w:color w:val="231F20"/>
          <w:w w:val="110"/>
        </w:rPr>
        <w:t>Asistencia</w:t>
      </w:r>
      <w:r>
        <w:rPr>
          <w:color w:val="231F20"/>
          <w:spacing w:val="-12"/>
          <w:w w:val="110"/>
        </w:rPr>
        <w:t> </w:t>
      </w:r>
      <w:r>
        <w:rPr>
          <w:color w:val="231F20"/>
          <w:w w:val="110"/>
        </w:rPr>
        <w:t>Técnica</w:t>
      </w:r>
      <w:r>
        <w:rPr>
          <w:color w:val="231F20"/>
          <w:spacing w:val="-12"/>
          <w:w w:val="110"/>
        </w:rPr>
        <w:t> </w:t>
      </w:r>
      <w:r>
        <w:rPr>
          <w:color w:val="231F20"/>
          <w:w w:val="110"/>
        </w:rPr>
        <w:t>en</w:t>
      </w:r>
      <w:r>
        <w:rPr>
          <w:color w:val="231F20"/>
          <w:spacing w:val="-12"/>
          <w:w w:val="110"/>
        </w:rPr>
        <w:t> </w:t>
      </w:r>
      <w:r>
        <w:rPr>
          <w:color w:val="231F20"/>
          <w:w w:val="110"/>
        </w:rPr>
        <w:t>Defensa</w:t>
      </w:r>
      <w:r>
        <w:rPr>
          <w:color w:val="231F20"/>
          <w:spacing w:val="-12"/>
          <w:w w:val="110"/>
        </w:rPr>
        <w:t> </w:t>
      </w:r>
      <w:r>
        <w:rPr>
          <w:color w:val="231F20"/>
          <w:w w:val="110"/>
        </w:rPr>
        <w:t>y</w:t>
      </w:r>
      <w:r>
        <w:rPr>
          <w:color w:val="231F20"/>
          <w:spacing w:val="-12"/>
          <w:w w:val="110"/>
        </w:rPr>
        <w:t> </w:t>
      </w:r>
      <w:r>
        <w:rPr>
          <w:color w:val="231F20"/>
          <w:w w:val="110"/>
        </w:rPr>
        <w:t>Seguridad entre los gobiernos de las repúblicas de Colombia y Estados Unidos de América, de “profundizar su cooperación en áreas tales como interoperabilidad, procedimientos conjuntos, logística y equipo, en- trenamiento, instrucción, intercambio de inteligencia, capacidades de</w:t>
      </w:r>
      <w:r>
        <w:rPr>
          <w:color w:val="231F20"/>
          <w:spacing w:val="-7"/>
          <w:w w:val="110"/>
        </w:rPr>
        <w:t> </w:t>
      </w:r>
      <w:r>
        <w:rPr>
          <w:color w:val="231F20"/>
          <w:w w:val="110"/>
        </w:rPr>
        <w:t>vigilancia</w:t>
      </w:r>
      <w:r>
        <w:rPr>
          <w:color w:val="231F20"/>
          <w:spacing w:val="-7"/>
          <w:w w:val="110"/>
        </w:rPr>
        <w:t> </w:t>
      </w:r>
      <w:r>
        <w:rPr>
          <w:color w:val="231F20"/>
          <w:w w:val="110"/>
        </w:rPr>
        <w:t>y</w:t>
      </w:r>
      <w:r>
        <w:rPr>
          <w:color w:val="231F20"/>
          <w:spacing w:val="-7"/>
          <w:w w:val="110"/>
        </w:rPr>
        <w:t> </w:t>
      </w:r>
      <w:r>
        <w:rPr>
          <w:color w:val="231F20"/>
          <w:w w:val="110"/>
        </w:rPr>
        <w:t>reconocimiento,</w:t>
      </w:r>
      <w:r>
        <w:rPr>
          <w:color w:val="231F20"/>
          <w:spacing w:val="-7"/>
          <w:w w:val="110"/>
        </w:rPr>
        <w:t> </w:t>
      </w:r>
      <w:r>
        <w:rPr>
          <w:color w:val="231F20"/>
          <w:w w:val="110"/>
        </w:rPr>
        <w:t>ejercicios</w:t>
      </w:r>
      <w:r>
        <w:rPr>
          <w:color w:val="231F20"/>
          <w:spacing w:val="-7"/>
          <w:w w:val="110"/>
        </w:rPr>
        <w:t> </w:t>
      </w:r>
      <w:r>
        <w:rPr>
          <w:color w:val="231F20"/>
          <w:w w:val="110"/>
        </w:rPr>
        <w:t>combinados</w:t>
      </w:r>
      <w:r>
        <w:rPr>
          <w:color w:val="231F20"/>
          <w:spacing w:val="-7"/>
          <w:w w:val="110"/>
        </w:rPr>
        <w:t> </w:t>
      </w:r>
      <w:r>
        <w:rPr>
          <w:color w:val="231F20"/>
          <w:w w:val="110"/>
        </w:rPr>
        <w:t>y</w:t>
      </w:r>
      <w:r>
        <w:rPr>
          <w:color w:val="231F20"/>
          <w:spacing w:val="-7"/>
          <w:w w:val="110"/>
        </w:rPr>
        <w:t> </w:t>
      </w:r>
      <w:r>
        <w:rPr>
          <w:color w:val="231F20"/>
          <w:w w:val="110"/>
        </w:rPr>
        <w:t>otras</w:t>
      </w:r>
      <w:r>
        <w:rPr>
          <w:color w:val="231F20"/>
          <w:spacing w:val="-7"/>
          <w:w w:val="110"/>
        </w:rPr>
        <w:t> </w:t>
      </w:r>
      <w:r>
        <w:rPr>
          <w:color w:val="231F20"/>
          <w:w w:val="110"/>
        </w:rPr>
        <w:t>activi- dades acordadas mutuamente, y para enfrentar amenazas comunes a la paz, la estabilidad, la libertad y la democracia” (Otero, 2010:</w:t>
      </w:r>
      <w:r>
        <w:rPr>
          <w:color w:val="231F20"/>
          <w:spacing w:val="14"/>
          <w:w w:val="110"/>
        </w:rPr>
        <w:t> </w:t>
      </w:r>
      <w:r>
        <w:rPr>
          <w:color w:val="231F20"/>
          <w:w w:val="110"/>
        </w:rPr>
        <w:t>74).</w:t>
      </w:r>
    </w:p>
    <w:p>
      <w:pPr>
        <w:pStyle w:val="BodyText"/>
      </w:pPr>
    </w:p>
    <w:p>
      <w:pPr>
        <w:pStyle w:val="BodyText"/>
      </w:pPr>
    </w:p>
    <w:p>
      <w:pPr>
        <w:pStyle w:val="BodyText"/>
        <w:spacing w:before="2"/>
        <w:rPr>
          <w:sz w:val="25"/>
        </w:rPr>
      </w:pPr>
    </w:p>
    <w:p>
      <w:pPr>
        <w:pStyle w:val="BodyText"/>
        <w:ind w:left="100"/>
        <w:jc w:val="both"/>
      </w:pPr>
      <w:r>
        <w:rPr>
          <w:color w:val="231F20"/>
          <w:w w:val="125"/>
        </w:rPr>
        <w:t>conclusión</w:t>
      </w:r>
    </w:p>
    <w:p>
      <w:pPr>
        <w:pStyle w:val="BodyText"/>
        <w:spacing w:before="5"/>
        <w:rPr>
          <w:sz w:val="23"/>
        </w:rPr>
      </w:pPr>
    </w:p>
    <w:p>
      <w:pPr>
        <w:pStyle w:val="BodyText"/>
        <w:spacing w:line="261" w:lineRule="auto"/>
        <w:ind w:left="100" w:right="114"/>
        <w:jc w:val="both"/>
      </w:pPr>
      <w:r>
        <w:rPr>
          <w:color w:val="231F20"/>
          <w:w w:val="110"/>
        </w:rPr>
        <w:t>Al recibir el Premio Nobel de Paz, el presidente Obama enfatizó que, de acuerdo con ciertas circunstancias, puede resultar inevitable el recurso a la guerra. Esta afirmación en boca de quien dirige la</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6"/>
        <w:jc w:val="both"/>
      </w:pPr>
      <w:r>
        <w:rPr>
          <w:color w:val="231F20"/>
          <w:w w:val="110"/>
        </w:rPr>
        <w:t>mayor potencia militar del mundo, plantea la cuestión ético-política de ¿cuáles son las circunstancias que justifican la guerra? Si como hemos planteado, la guerra en tanto que forma de expresión política responde</w:t>
      </w:r>
      <w:r>
        <w:rPr>
          <w:color w:val="231F20"/>
          <w:spacing w:val="-7"/>
          <w:w w:val="110"/>
        </w:rPr>
        <w:t> </w:t>
      </w:r>
      <w:r>
        <w:rPr>
          <w:color w:val="231F20"/>
          <w:w w:val="110"/>
        </w:rPr>
        <w:t>a</w:t>
      </w:r>
      <w:r>
        <w:rPr>
          <w:color w:val="231F20"/>
          <w:spacing w:val="-7"/>
          <w:w w:val="110"/>
        </w:rPr>
        <w:t> </w:t>
      </w:r>
      <w:r>
        <w:rPr>
          <w:color w:val="231F20"/>
          <w:w w:val="110"/>
        </w:rPr>
        <w:t>intereses,</w:t>
      </w:r>
      <w:r>
        <w:rPr>
          <w:color w:val="231F20"/>
          <w:spacing w:val="-7"/>
          <w:w w:val="110"/>
        </w:rPr>
        <w:t> </w:t>
      </w:r>
      <w:r>
        <w:rPr>
          <w:color w:val="231F20"/>
          <w:w w:val="110"/>
        </w:rPr>
        <w:t>¿cuáles</w:t>
      </w:r>
      <w:r>
        <w:rPr>
          <w:color w:val="231F20"/>
          <w:spacing w:val="-7"/>
          <w:w w:val="110"/>
        </w:rPr>
        <w:t> </w:t>
      </w:r>
      <w:r>
        <w:rPr>
          <w:color w:val="231F20"/>
          <w:w w:val="110"/>
        </w:rPr>
        <w:t>son</w:t>
      </w:r>
      <w:r>
        <w:rPr>
          <w:color w:val="231F20"/>
          <w:spacing w:val="-7"/>
          <w:w w:val="110"/>
        </w:rPr>
        <w:t> </w:t>
      </w:r>
      <w:r>
        <w:rPr>
          <w:color w:val="231F20"/>
          <w:w w:val="110"/>
        </w:rPr>
        <w:t>los</w:t>
      </w:r>
      <w:r>
        <w:rPr>
          <w:color w:val="231F20"/>
          <w:spacing w:val="-7"/>
          <w:w w:val="110"/>
        </w:rPr>
        <w:t> </w:t>
      </w:r>
      <w:r>
        <w:rPr>
          <w:color w:val="231F20"/>
          <w:w w:val="110"/>
        </w:rPr>
        <w:t>intereses</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justifican?</w:t>
      </w:r>
      <w:r>
        <w:rPr>
          <w:color w:val="231F20"/>
          <w:spacing w:val="-7"/>
          <w:w w:val="110"/>
        </w:rPr>
        <w:t> </w:t>
      </w:r>
      <w:r>
        <w:rPr>
          <w:color w:val="231F20"/>
          <w:w w:val="110"/>
        </w:rPr>
        <w:t>¿Los del ejercicio de la primacía? ¿Los que bajo la invocación de princi- pios y valores de aceptación universal sirven a la construcción de estrategias de dominación y de control militar? ¿Los que se orientan a superar la crisis de hegemonía? Indudablemente hay un cambio de énfasis,</w:t>
      </w:r>
      <w:r>
        <w:rPr>
          <w:color w:val="231F20"/>
          <w:spacing w:val="-10"/>
          <w:w w:val="110"/>
        </w:rPr>
        <w:t> </w:t>
      </w:r>
      <w:r>
        <w:rPr>
          <w:color w:val="231F20"/>
          <w:w w:val="110"/>
        </w:rPr>
        <w:t>de</w:t>
      </w:r>
      <w:r>
        <w:rPr>
          <w:color w:val="231F20"/>
          <w:spacing w:val="-10"/>
          <w:w w:val="110"/>
        </w:rPr>
        <w:t> </w:t>
      </w:r>
      <w:r>
        <w:rPr>
          <w:color w:val="231F20"/>
          <w:w w:val="110"/>
        </w:rPr>
        <w:t>enfoques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tono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discurso</w:t>
      </w:r>
      <w:r>
        <w:rPr>
          <w:color w:val="231F20"/>
          <w:spacing w:val="-10"/>
          <w:w w:val="110"/>
        </w:rPr>
        <w:t> </w:t>
      </w:r>
      <w:r>
        <w:rPr>
          <w:color w:val="231F20"/>
          <w:w w:val="110"/>
        </w:rPr>
        <w:t>sobre</w:t>
      </w:r>
      <w:r>
        <w:rPr>
          <w:color w:val="231F20"/>
          <w:spacing w:val="-10"/>
          <w:w w:val="110"/>
        </w:rPr>
        <w:t> </w:t>
      </w:r>
      <w:r>
        <w:rPr>
          <w:color w:val="231F20"/>
          <w:w w:val="110"/>
        </w:rPr>
        <w:t>la</w:t>
      </w:r>
      <w:r>
        <w:rPr>
          <w:color w:val="231F20"/>
          <w:spacing w:val="-10"/>
          <w:w w:val="110"/>
        </w:rPr>
        <w:t> </w:t>
      </w:r>
      <w:r>
        <w:rPr>
          <w:color w:val="231F20"/>
          <w:w w:val="110"/>
        </w:rPr>
        <w:t>política</w:t>
      </w:r>
      <w:r>
        <w:rPr>
          <w:color w:val="231F20"/>
          <w:spacing w:val="-10"/>
          <w:w w:val="110"/>
        </w:rPr>
        <w:t> </w:t>
      </w:r>
      <w:r>
        <w:rPr>
          <w:color w:val="231F20"/>
          <w:w w:val="110"/>
        </w:rPr>
        <w:t>exterior y de seguridad y defensa de Estados Unidos, pero esos cambios no permiten, por lo menos hasta ahora, plantear que el nuevo discurso responde a un cambio radical en la política exterior de la primera potencia mundial. Sin subvalorar sus implicaciones, sin desconocer que colocan el debate sobre estas cuestiones en un nivel diferente al de</w:t>
      </w:r>
      <w:r>
        <w:rPr>
          <w:color w:val="231F20"/>
          <w:spacing w:val="-7"/>
          <w:w w:val="110"/>
        </w:rPr>
        <w:t> </w:t>
      </w:r>
      <w:r>
        <w:rPr>
          <w:color w:val="231F20"/>
          <w:w w:val="110"/>
        </w:rPr>
        <w:t>la</w:t>
      </w:r>
      <w:r>
        <w:rPr>
          <w:color w:val="231F20"/>
          <w:spacing w:val="-7"/>
          <w:w w:val="110"/>
        </w:rPr>
        <w:t> </w:t>
      </w:r>
      <w:r>
        <w:rPr>
          <w:color w:val="231F20"/>
          <w:w w:val="110"/>
        </w:rPr>
        <w:t>militarización</w:t>
      </w:r>
      <w:r>
        <w:rPr>
          <w:color w:val="231F20"/>
          <w:spacing w:val="-7"/>
          <w:w w:val="110"/>
        </w:rPr>
        <w:t> </w:t>
      </w:r>
      <w:r>
        <w:rPr>
          <w:color w:val="231F20"/>
          <w:w w:val="110"/>
        </w:rPr>
        <w:t>extrema,</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lo</w:t>
      </w:r>
      <w:r>
        <w:rPr>
          <w:color w:val="231F20"/>
          <w:spacing w:val="-7"/>
          <w:w w:val="110"/>
        </w:rPr>
        <w:t> </w:t>
      </w:r>
      <w:r>
        <w:rPr>
          <w:color w:val="231F20"/>
          <w:w w:val="110"/>
        </w:rPr>
        <w:t>condujo</w:t>
      </w:r>
      <w:r>
        <w:rPr>
          <w:color w:val="231F20"/>
          <w:spacing w:val="-7"/>
          <w:w w:val="110"/>
        </w:rPr>
        <w:t> </w:t>
      </w:r>
      <w:r>
        <w:rPr>
          <w:color w:val="231F20"/>
          <w:w w:val="110"/>
        </w:rPr>
        <w:t>la</w:t>
      </w:r>
      <w:r>
        <w:rPr>
          <w:color w:val="231F20"/>
          <w:spacing w:val="-7"/>
          <w:w w:val="110"/>
        </w:rPr>
        <w:t> </w:t>
      </w:r>
      <w:r>
        <w:rPr>
          <w:color w:val="231F20"/>
          <w:w w:val="110"/>
        </w:rPr>
        <w:t>guerra</w:t>
      </w:r>
      <w:r>
        <w:rPr>
          <w:color w:val="231F20"/>
          <w:spacing w:val="-7"/>
          <w:w w:val="110"/>
        </w:rPr>
        <w:t> </w:t>
      </w:r>
      <w:r>
        <w:rPr>
          <w:color w:val="231F20"/>
          <w:w w:val="110"/>
        </w:rPr>
        <w:t>global</w:t>
      </w:r>
      <w:r>
        <w:rPr>
          <w:color w:val="231F20"/>
          <w:spacing w:val="-7"/>
          <w:w w:val="110"/>
        </w:rPr>
        <w:t> </w:t>
      </w:r>
      <w:r>
        <w:rPr>
          <w:color w:val="231F20"/>
          <w:w w:val="110"/>
        </w:rPr>
        <w:t>contra el terrorismo, debemos señalar que todo parece indicar que el nuevo discurso sirve básicamente a la tentativa de relegitimar la acción es- tadunidense y de revertir la crisis de hegemonía. La política exterior y de seguridad de Estados Unidos en la actual administración está</w:t>
      </w:r>
      <w:r>
        <w:rPr>
          <w:color w:val="231F20"/>
          <w:spacing w:val="-10"/>
          <w:w w:val="110"/>
        </w:rPr>
        <w:t> </w:t>
      </w:r>
      <w:r>
        <w:rPr>
          <w:color w:val="231F20"/>
          <w:w w:val="110"/>
        </w:rPr>
        <w:t>al </w:t>
      </w:r>
      <w:r>
        <w:rPr>
          <w:color w:val="231F20"/>
          <w:spacing w:val="2"/>
          <w:w w:val="110"/>
        </w:rPr>
        <w:t>servicio </w:t>
      </w:r>
      <w:r>
        <w:rPr>
          <w:color w:val="231F20"/>
          <w:w w:val="110"/>
        </w:rPr>
        <w:t>de los intereses vitales que han sustentado en el pasado la dominación estadunidense y sus prácticas </w:t>
      </w:r>
      <w:r>
        <w:rPr>
          <w:color w:val="231F20"/>
          <w:spacing w:val="2"/>
          <w:w w:val="110"/>
        </w:rPr>
        <w:t>intervencionistas. </w:t>
      </w:r>
      <w:r>
        <w:rPr>
          <w:color w:val="231F20"/>
          <w:w w:val="110"/>
        </w:rPr>
        <w:t>De allí la</w:t>
      </w:r>
      <w:r>
        <w:rPr>
          <w:color w:val="231F20"/>
          <w:spacing w:val="-9"/>
          <w:w w:val="110"/>
        </w:rPr>
        <w:t> </w:t>
      </w:r>
      <w:r>
        <w:rPr>
          <w:color w:val="231F20"/>
          <w:w w:val="110"/>
        </w:rPr>
        <w:t>necesidad</w:t>
      </w:r>
      <w:r>
        <w:rPr>
          <w:color w:val="231F20"/>
          <w:spacing w:val="-12"/>
          <w:w w:val="110"/>
        </w:rPr>
        <w:t> </w:t>
      </w:r>
      <w:r>
        <w:rPr>
          <w:color w:val="231F20"/>
          <w:w w:val="110"/>
        </w:rPr>
        <w:t>de</w:t>
      </w:r>
      <w:r>
        <w:rPr>
          <w:color w:val="231F20"/>
          <w:spacing w:val="-12"/>
          <w:w w:val="110"/>
        </w:rPr>
        <w:t> </w:t>
      </w:r>
      <w:r>
        <w:rPr>
          <w:color w:val="231F20"/>
          <w:w w:val="110"/>
        </w:rPr>
        <w:t>confrontar</w:t>
      </w:r>
      <w:r>
        <w:rPr>
          <w:color w:val="231F20"/>
          <w:spacing w:val="-12"/>
          <w:w w:val="110"/>
        </w:rPr>
        <w:t> </w:t>
      </w:r>
      <w:r>
        <w:rPr>
          <w:color w:val="231F20"/>
          <w:w w:val="110"/>
        </w:rPr>
        <w:t>el</w:t>
      </w:r>
      <w:r>
        <w:rPr>
          <w:color w:val="231F20"/>
          <w:spacing w:val="-12"/>
          <w:w w:val="110"/>
        </w:rPr>
        <w:t> </w:t>
      </w:r>
      <w:r>
        <w:rPr>
          <w:color w:val="231F20"/>
          <w:w w:val="110"/>
        </w:rPr>
        <w:t>discurso</w:t>
      </w:r>
      <w:r>
        <w:rPr>
          <w:color w:val="231F20"/>
          <w:spacing w:val="-12"/>
          <w:w w:val="110"/>
        </w:rPr>
        <w:t> </w:t>
      </w:r>
      <w:r>
        <w:rPr>
          <w:color w:val="231F20"/>
          <w:w w:val="110"/>
        </w:rPr>
        <w:t>con</w:t>
      </w:r>
      <w:r>
        <w:rPr>
          <w:color w:val="231F20"/>
          <w:spacing w:val="-12"/>
          <w:w w:val="110"/>
        </w:rPr>
        <w:t> </w:t>
      </w:r>
      <w:r>
        <w:rPr>
          <w:color w:val="231F20"/>
          <w:w w:val="110"/>
        </w:rPr>
        <w:t>las</w:t>
      </w:r>
      <w:r>
        <w:rPr>
          <w:color w:val="231F20"/>
          <w:spacing w:val="-12"/>
          <w:w w:val="110"/>
        </w:rPr>
        <w:t> </w:t>
      </w:r>
      <w:r>
        <w:rPr>
          <w:color w:val="231F20"/>
          <w:w w:val="110"/>
        </w:rPr>
        <w:t>políticas</w:t>
      </w:r>
      <w:r>
        <w:rPr>
          <w:color w:val="231F20"/>
          <w:spacing w:val="-12"/>
          <w:w w:val="110"/>
        </w:rPr>
        <w:t> </w:t>
      </w:r>
      <w:r>
        <w:rPr>
          <w:color w:val="231F20"/>
          <w:w w:val="110"/>
        </w:rPr>
        <w:t>concretas</w:t>
      </w:r>
      <w:r>
        <w:rPr>
          <w:color w:val="231F20"/>
          <w:spacing w:val="-12"/>
          <w:w w:val="110"/>
        </w:rPr>
        <w:t> </w:t>
      </w:r>
      <w:r>
        <w:rPr>
          <w:color w:val="231F20"/>
          <w:w w:val="110"/>
        </w:rPr>
        <w:t>para establecer su verdadero alcance. Por lo pronto el aplazamiento del cierre de la cárcel de Guantánamo, la intensificación de la guerra en Afganistán, la no aplicación de los condicionamientos en derechos humanos para el otorgamiento de ayuda militar a Colombia y el que el</w:t>
      </w:r>
      <w:r>
        <w:rPr>
          <w:color w:val="231F20"/>
          <w:spacing w:val="-5"/>
          <w:w w:val="110"/>
        </w:rPr>
        <w:t> </w:t>
      </w:r>
      <w:r>
        <w:rPr>
          <w:color w:val="231F20"/>
          <w:w w:val="110"/>
        </w:rPr>
        <w:t>equipo</w:t>
      </w:r>
      <w:r>
        <w:rPr>
          <w:color w:val="231F20"/>
          <w:spacing w:val="-5"/>
          <w:w w:val="110"/>
        </w:rPr>
        <w:t> </w:t>
      </w:r>
      <w:r>
        <w:rPr>
          <w:color w:val="231F20"/>
          <w:w w:val="110"/>
        </w:rPr>
        <w:t>encargado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política</w:t>
      </w:r>
      <w:r>
        <w:rPr>
          <w:color w:val="231F20"/>
          <w:spacing w:val="-5"/>
          <w:w w:val="110"/>
        </w:rPr>
        <w:t> </w:t>
      </w:r>
      <w:r>
        <w:rPr>
          <w:color w:val="231F20"/>
          <w:w w:val="110"/>
        </w:rPr>
        <w:t>de</w:t>
      </w:r>
      <w:r>
        <w:rPr>
          <w:color w:val="231F20"/>
          <w:spacing w:val="-5"/>
          <w:w w:val="110"/>
        </w:rPr>
        <w:t> </w:t>
      </w:r>
      <w:r>
        <w:rPr>
          <w:color w:val="231F20"/>
          <w:w w:val="110"/>
        </w:rPr>
        <w:t>seguridad</w:t>
      </w:r>
      <w:r>
        <w:rPr>
          <w:color w:val="231F20"/>
          <w:spacing w:val="-5"/>
          <w:w w:val="110"/>
        </w:rPr>
        <w:t> </w:t>
      </w:r>
      <w:r>
        <w:rPr>
          <w:color w:val="231F20"/>
          <w:w w:val="110"/>
        </w:rPr>
        <w:t>y</w:t>
      </w:r>
      <w:r>
        <w:rPr>
          <w:color w:val="231F20"/>
          <w:spacing w:val="-5"/>
          <w:w w:val="110"/>
        </w:rPr>
        <w:t> </w:t>
      </w:r>
      <w:r>
        <w:rPr>
          <w:color w:val="231F20"/>
          <w:w w:val="110"/>
        </w:rPr>
        <w:t>defensa</w:t>
      </w:r>
      <w:r>
        <w:rPr>
          <w:color w:val="231F20"/>
          <w:spacing w:val="-5"/>
          <w:w w:val="110"/>
        </w:rPr>
        <w:t> </w:t>
      </w:r>
      <w:r>
        <w:rPr>
          <w:color w:val="231F20"/>
          <w:w w:val="110"/>
        </w:rPr>
        <w:t>provenga, en apreciable proporción, de la administración pasada son factores que inducen a pensar más en la tendencia a la continuidad que en   la de rupturas </w:t>
      </w:r>
      <w:r>
        <w:rPr>
          <w:color w:val="231F20"/>
          <w:spacing w:val="4"/>
          <w:w w:val="110"/>
        </w:rPr>
        <w:t> </w:t>
      </w:r>
      <w:r>
        <w:rPr>
          <w:color w:val="231F20"/>
          <w:w w:val="110"/>
        </w:rPr>
        <w:t>profundas.</w:t>
      </w:r>
    </w:p>
    <w:p>
      <w:pPr>
        <w:pStyle w:val="BodyText"/>
      </w:pPr>
    </w:p>
    <w:p>
      <w:pPr>
        <w:pStyle w:val="BodyText"/>
      </w:pPr>
    </w:p>
    <w:p>
      <w:pPr>
        <w:pStyle w:val="BodyText"/>
        <w:spacing w:before="2"/>
        <w:rPr>
          <w:sz w:val="25"/>
        </w:rPr>
      </w:pPr>
    </w:p>
    <w:p>
      <w:pPr>
        <w:pStyle w:val="BodyText"/>
        <w:ind w:left="100"/>
        <w:jc w:val="both"/>
      </w:pPr>
      <w:r>
        <w:rPr>
          <w:color w:val="231F20"/>
          <w:w w:val="125"/>
        </w:rPr>
        <w:t>bibliografía</w:t>
      </w:r>
    </w:p>
    <w:p>
      <w:pPr>
        <w:pStyle w:val="BodyText"/>
        <w:spacing w:before="5"/>
        <w:rPr>
          <w:sz w:val="22"/>
        </w:rPr>
      </w:pPr>
    </w:p>
    <w:p>
      <w:pPr>
        <w:spacing w:before="0"/>
        <w:ind w:left="100" w:right="0" w:firstLine="0"/>
        <w:jc w:val="both"/>
        <w:rPr>
          <w:i/>
          <w:sz w:val="18"/>
        </w:rPr>
      </w:pPr>
      <w:r>
        <w:rPr>
          <w:color w:val="231F20"/>
          <w:sz w:val="18"/>
        </w:rPr>
        <w:t>Barber, Benjamin R., 2004, </w:t>
      </w:r>
      <w:r>
        <w:rPr>
          <w:i/>
          <w:color w:val="231F20"/>
          <w:sz w:val="18"/>
        </w:rPr>
        <w:t>El imperio del miedo. Guerra, terrorismo y democracia,</w:t>
      </w:r>
    </w:p>
    <w:p>
      <w:pPr>
        <w:spacing w:before="13"/>
        <w:ind w:left="340" w:right="25" w:firstLine="0"/>
        <w:jc w:val="left"/>
        <w:rPr>
          <w:sz w:val="18"/>
        </w:rPr>
      </w:pPr>
      <w:r>
        <w:rPr>
          <w:color w:val="231F20"/>
          <w:w w:val="105"/>
          <w:sz w:val="18"/>
        </w:rPr>
        <w:t>España, Paidós.</w:t>
      </w:r>
    </w:p>
    <w:p>
      <w:pPr>
        <w:spacing w:line="254" w:lineRule="auto" w:before="13"/>
        <w:ind w:left="340" w:right="100" w:hanging="240"/>
        <w:jc w:val="left"/>
        <w:rPr>
          <w:sz w:val="18"/>
        </w:rPr>
      </w:pPr>
      <w:r>
        <w:rPr>
          <w:color w:val="231F20"/>
          <w:w w:val="115"/>
          <w:sz w:val="18"/>
        </w:rPr>
        <w:t>Bush,</w:t>
      </w:r>
      <w:r>
        <w:rPr>
          <w:color w:val="231F20"/>
          <w:spacing w:val="-25"/>
          <w:w w:val="115"/>
          <w:sz w:val="18"/>
        </w:rPr>
        <w:t> </w:t>
      </w:r>
      <w:r>
        <w:rPr>
          <w:color w:val="231F20"/>
          <w:w w:val="115"/>
          <w:sz w:val="18"/>
        </w:rPr>
        <w:t>George</w:t>
      </w:r>
      <w:r>
        <w:rPr>
          <w:color w:val="231F20"/>
          <w:spacing w:val="-25"/>
          <w:w w:val="115"/>
          <w:sz w:val="18"/>
        </w:rPr>
        <w:t> </w:t>
      </w:r>
      <w:r>
        <w:rPr>
          <w:color w:val="231F20"/>
          <w:spacing w:val="-4"/>
          <w:w w:val="115"/>
          <w:sz w:val="18"/>
        </w:rPr>
        <w:t>W.,</w:t>
      </w:r>
      <w:r>
        <w:rPr>
          <w:color w:val="231F20"/>
          <w:spacing w:val="-25"/>
          <w:w w:val="115"/>
          <w:sz w:val="18"/>
        </w:rPr>
        <w:t> </w:t>
      </w:r>
      <w:r>
        <w:rPr>
          <w:color w:val="231F20"/>
          <w:w w:val="115"/>
          <w:sz w:val="18"/>
        </w:rPr>
        <w:t>2002,</w:t>
      </w:r>
      <w:r>
        <w:rPr>
          <w:color w:val="231F20"/>
          <w:spacing w:val="-25"/>
          <w:w w:val="115"/>
          <w:sz w:val="18"/>
        </w:rPr>
        <w:t> </w:t>
      </w:r>
      <w:r>
        <w:rPr>
          <w:color w:val="231F20"/>
          <w:w w:val="115"/>
          <w:sz w:val="18"/>
        </w:rPr>
        <w:t>“Introducción</w:t>
      </w:r>
      <w:r>
        <w:rPr>
          <w:color w:val="231F20"/>
          <w:spacing w:val="-25"/>
          <w:w w:val="115"/>
          <w:sz w:val="18"/>
        </w:rPr>
        <w:t> </w:t>
      </w:r>
      <w:r>
        <w:rPr>
          <w:color w:val="231F20"/>
          <w:w w:val="115"/>
          <w:sz w:val="18"/>
        </w:rPr>
        <w:t>a</w:t>
      </w:r>
      <w:r>
        <w:rPr>
          <w:color w:val="231F20"/>
          <w:spacing w:val="-25"/>
          <w:w w:val="115"/>
          <w:sz w:val="18"/>
        </w:rPr>
        <w:t> </w:t>
      </w:r>
      <w:r>
        <w:rPr>
          <w:color w:val="231F20"/>
          <w:w w:val="115"/>
          <w:sz w:val="18"/>
        </w:rPr>
        <w:t>la</w:t>
      </w:r>
      <w:r>
        <w:rPr>
          <w:color w:val="231F20"/>
          <w:spacing w:val="-25"/>
          <w:w w:val="115"/>
          <w:sz w:val="18"/>
        </w:rPr>
        <w:t> </w:t>
      </w:r>
      <w:r>
        <w:rPr>
          <w:color w:val="231F20"/>
          <w:w w:val="115"/>
          <w:sz w:val="18"/>
        </w:rPr>
        <w:t>estrategia</w:t>
      </w:r>
      <w:r>
        <w:rPr>
          <w:color w:val="231F20"/>
          <w:spacing w:val="-25"/>
          <w:w w:val="115"/>
          <w:sz w:val="18"/>
        </w:rPr>
        <w:t> </w:t>
      </w:r>
      <w:r>
        <w:rPr>
          <w:color w:val="231F20"/>
          <w:w w:val="115"/>
          <w:sz w:val="18"/>
        </w:rPr>
        <w:t>de</w:t>
      </w:r>
      <w:r>
        <w:rPr>
          <w:color w:val="231F20"/>
          <w:spacing w:val="-25"/>
          <w:w w:val="115"/>
          <w:sz w:val="18"/>
        </w:rPr>
        <w:t> </w:t>
      </w:r>
      <w:r>
        <w:rPr>
          <w:color w:val="231F20"/>
          <w:w w:val="115"/>
          <w:sz w:val="18"/>
        </w:rPr>
        <w:t>seguridad</w:t>
      </w:r>
      <w:r>
        <w:rPr>
          <w:color w:val="231F20"/>
          <w:spacing w:val="-25"/>
          <w:w w:val="115"/>
          <w:sz w:val="18"/>
        </w:rPr>
        <w:t> </w:t>
      </w:r>
      <w:r>
        <w:rPr>
          <w:color w:val="231F20"/>
          <w:w w:val="115"/>
          <w:sz w:val="18"/>
        </w:rPr>
        <w:t>nacional de los Estados Unidos”, Washington DC,</w:t>
      </w:r>
      <w:r>
        <w:rPr>
          <w:color w:val="231F20"/>
          <w:spacing w:val="-26"/>
          <w:w w:val="115"/>
          <w:sz w:val="18"/>
        </w:rPr>
        <w:t> </w:t>
      </w:r>
      <w:hyperlink r:id="rId340">
        <w:r>
          <w:rPr>
            <w:color w:val="231F20"/>
            <w:w w:val="115"/>
            <w:sz w:val="18"/>
          </w:rPr>
          <w:t>&lt;http://usinfo.state.gov/esp/</w:t>
        </w:r>
      </w:hyperlink>
    </w:p>
    <w:p>
      <w:pPr>
        <w:spacing w:after="0" w:line="254" w:lineRule="auto"/>
        <w:jc w:val="left"/>
        <w:rPr>
          <w:sz w:val="18"/>
        </w:rPr>
        <w:sectPr>
          <w:pgSz w:w="7640" w:h="11900"/>
          <w:pgMar w:header="672" w:footer="0" w:top="860" w:bottom="280" w:left="660" w:right="760"/>
        </w:sectPr>
      </w:pPr>
    </w:p>
    <w:p>
      <w:pPr>
        <w:pStyle w:val="BodyText"/>
        <w:spacing w:before="8"/>
        <w:rPr>
          <w:sz w:val="8"/>
        </w:rPr>
      </w:pPr>
    </w:p>
    <w:p>
      <w:pPr>
        <w:spacing w:line="254" w:lineRule="auto" w:before="71"/>
        <w:ind w:left="340" w:right="25" w:firstLine="0"/>
        <w:jc w:val="left"/>
        <w:rPr>
          <w:sz w:val="18"/>
        </w:rPr>
      </w:pPr>
      <w:r>
        <w:rPr>
          <w:color w:val="231F20"/>
          <w:w w:val="105"/>
          <w:sz w:val="18"/>
        </w:rPr>
        <w:t>Archive_Index/Estrategia_de_Seguridad_Nacional_de_Estados_Unidos. </w:t>
      </w:r>
      <w:r>
        <w:rPr>
          <w:color w:val="231F20"/>
          <w:w w:val="110"/>
          <w:sz w:val="18"/>
        </w:rPr>
        <w:t>html&gt;, 16 de mayo de 2005.</w:t>
      </w:r>
    </w:p>
    <w:p>
      <w:pPr>
        <w:spacing w:before="1"/>
        <w:ind w:left="100" w:right="25" w:firstLine="0"/>
        <w:jc w:val="left"/>
        <w:rPr>
          <w:i/>
          <w:sz w:val="18"/>
        </w:rPr>
      </w:pPr>
      <w:r>
        <w:rPr>
          <w:color w:val="231F20"/>
          <w:sz w:val="18"/>
        </w:rPr>
        <w:t>Cassen, Bernard y Gérard Dumenil, 2007, </w:t>
      </w:r>
      <w:r>
        <w:rPr>
          <w:i/>
          <w:color w:val="231F20"/>
          <w:sz w:val="18"/>
        </w:rPr>
        <w:t>El imperio de la guerra permanente,</w:t>
      </w:r>
    </w:p>
    <w:p>
      <w:pPr>
        <w:spacing w:before="13"/>
        <w:ind w:left="340" w:right="0" w:firstLine="0"/>
        <w:jc w:val="both"/>
        <w:rPr>
          <w:sz w:val="18"/>
        </w:rPr>
      </w:pPr>
      <w:r>
        <w:rPr>
          <w:color w:val="231F20"/>
          <w:w w:val="110"/>
          <w:sz w:val="18"/>
        </w:rPr>
        <w:t>Buenos Aires, Capital Intelectual.</w:t>
      </w:r>
    </w:p>
    <w:p>
      <w:pPr>
        <w:spacing w:line="254" w:lineRule="auto" w:before="13"/>
        <w:ind w:left="340" w:right="25" w:hanging="240"/>
        <w:jc w:val="left"/>
        <w:rPr>
          <w:sz w:val="18"/>
        </w:rPr>
      </w:pPr>
      <w:r>
        <w:rPr>
          <w:color w:val="231F20"/>
          <w:sz w:val="18"/>
        </w:rPr>
        <w:t>Chomsky, Noam, 2008, </w:t>
      </w:r>
      <w:r>
        <w:rPr>
          <w:i/>
          <w:color w:val="231F20"/>
          <w:sz w:val="18"/>
        </w:rPr>
        <w:t>Hegemonía o supervivencia. El dominio mundial de EU</w:t>
      </w:r>
      <w:r>
        <w:rPr>
          <w:color w:val="231F20"/>
          <w:sz w:val="18"/>
        </w:rPr>
        <w:t>, Colombia,   Norma.</w:t>
      </w:r>
    </w:p>
    <w:p>
      <w:pPr>
        <w:spacing w:line="254" w:lineRule="auto" w:before="1"/>
        <w:ind w:left="340" w:right="117" w:hanging="188"/>
        <w:jc w:val="left"/>
        <w:rPr>
          <w:sz w:val="18"/>
        </w:rPr>
      </w:pPr>
      <w:r>
        <w:rPr>
          <w:color w:val="231F20"/>
          <w:w w:val="105"/>
          <w:sz w:val="18"/>
        </w:rPr>
        <w:t>Clinton, Hilary, 2010, “Discurso sobre la Estrategia de Seguridad Nacional”, </w:t>
      </w:r>
      <w:r>
        <w:rPr>
          <w:color w:val="231F20"/>
          <w:w w:val="108"/>
          <w:sz w:val="18"/>
        </w:rPr>
        <w:t>I</w:t>
      </w:r>
      <w:r>
        <w:rPr>
          <w:color w:val="231F20"/>
          <w:w w:val="120"/>
          <w:sz w:val="18"/>
        </w:rPr>
        <w:t>n</w:t>
      </w:r>
      <w:r>
        <w:rPr>
          <w:color w:val="231F20"/>
          <w:w w:val="92"/>
          <w:sz w:val="18"/>
        </w:rPr>
        <w:t>s</w:t>
      </w:r>
      <w:r>
        <w:rPr>
          <w:color w:val="231F20"/>
          <w:w w:val="115"/>
          <w:sz w:val="18"/>
        </w:rPr>
        <w:t>t</w:t>
      </w:r>
      <w:r>
        <w:rPr>
          <w:color w:val="231F20"/>
          <w:w w:val="100"/>
          <w:sz w:val="18"/>
        </w:rPr>
        <w:t>i</w:t>
      </w:r>
      <w:r>
        <w:rPr>
          <w:color w:val="231F20"/>
          <w:w w:val="115"/>
          <w:sz w:val="18"/>
        </w:rPr>
        <w:t>t</w:t>
      </w:r>
      <w:r>
        <w:rPr>
          <w:color w:val="231F20"/>
          <w:w w:val="116"/>
          <w:sz w:val="18"/>
        </w:rPr>
        <w:t>u</w:t>
      </w:r>
      <w:r>
        <w:rPr>
          <w:color w:val="231F20"/>
          <w:w w:val="103"/>
          <w:sz w:val="18"/>
        </w:rPr>
        <w:t>c</w:t>
      </w:r>
      <w:r>
        <w:rPr>
          <w:color w:val="231F20"/>
          <w:w w:val="100"/>
          <w:sz w:val="18"/>
        </w:rPr>
        <w:t>i</w:t>
      </w:r>
      <w:r>
        <w:rPr>
          <w:color w:val="231F20"/>
          <w:w w:val="112"/>
          <w:sz w:val="18"/>
        </w:rPr>
        <w:t>ó</w:t>
      </w:r>
      <w:r>
        <w:rPr>
          <w:color w:val="231F20"/>
          <w:w w:val="120"/>
          <w:sz w:val="18"/>
        </w:rPr>
        <w:t>n</w:t>
      </w:r>
      <w:r>
        <w:rPr>
          <w:color w:val="231F20"/>
          <w:sz w:val="18"/>
        </w:rPr>
        <w:t>  </w:t>
      </w:r>
      <w:r>
        <w:rPr>
          <w:color w:val="231F20"/>
          <w:w w:val="95"/>
          <w:sz w:val="18"/>
        </w:rPr>
        <w:t>B</w:t>
      </w:r>
      <w:r>
        <w:rPr>
          <w:color w:val="231F20"/>
          <w:w w:val="120"/>
          <w:sz w:val="18"/>
        </w:rPr>
        <w:t>r</w:t>
      </w:r>
      <w:r>
        <w:rPr>
          <w:color w:val="231F20"/>
          <w:w w:val="112"/>
          <w:sz w:val="18"/>
        </w:rPr>
        <w:t>oo</w:t>
      </w:r>
      <w:r>
        <w:rPr>
          <w:color w:val="231F20"/>
          <w:w w:val="104"/>
          <w:sz w:val="18"/>
        </w:rPr>
        <w:t>k</w:t>
      </w:r>
      <w:r>
        <w:rPr>
          <w:color w:val="231F20"/>
          <w:w w:val="100"/>
          <w:sz w:val="18"/>
        </w:rPr>
        <w:t>i</w:t>
      </w:r>
      <w:r>
        <w:rPr>
          <w:color w:val="231F20"/>
          <w:w w:val="120"/>
          <w:sz w:val="18"/>
        </w:rPr>
        <w:t>n</w:t>
      </w:r>
      <w:r>
        <w:rPr>
          <w:color w:val="231F20"/>
          <w:w w:val="104"/>
          <w:sz w:val="18"/>
        </w:rPr>
        <w:t>g</w:t>
      </w:r>
      <w:r>
        <w:rPr>
          <w:color w:val="231F20"/>
          <w:w w:val="92"/>
          <w:sz w:val="18"/>
        </w:rPr>
        <w:t>s</w:t>
      </w:r>
      <w:r>
        <w:rPr>
          <w:color w:val="231F20"/>
          <w:w w:val="104"/>
          <w:sz w:val="18"/>
        </w:rPr>
        <w:t>,</w:t>
      </w:r>
      <w:r>
        <w:rPr>
          <w:color w:val="231F20"/>
          <w:sz w:val="18"/>
        </w:rPr>
        <w:t>  </w:t>
      </w:r>
      <w:r>
        <w:rPr>
          <w:color w:val="231F20"/>
          <w:w w:val="95"/>
          <w:sz w:val="18"/>
        </w:rPr>
        <w:t>W</w:t>
      </w:r>
      <w:r>
        <w:rPr>
          <w:color w:val="231F20"/>
          <w:w w:val="108"/>
          <w:sz w:val="18"/>
        </w:rPr>
        <w:t>a</w:t>
      </w:r>
      <w:r>
        <w:rPr>
          <w:color w:val="231F20"/>
          <w:w w:val="92"/>
          <w:sz w:val="18"/>
        </w:rPr>
        <w:t>s</w:t>
      </w:r>
      <w:r>
        <w:rPr>
          <w:color w:val="231F20"/>
          <w:w w:val="120"/>
          <w:sz w:val="18"/>
        </w:rPr>
        <w:t>h</w:t>
      </w:r>
      <w:r>
        <w:rPr>
          <w:color w:val="231F20"/>
          <w:w w:val="100"/>
          <w:sz w:val="18"/>
        </w:rPr>
        <w:t>i</w:t>
      </w:r>
      <w:r>
        <w:rPr>
          <w:color w:val="231F20"/>
          <w:w w:val="120"/>
          <w:sz w:val="18"/>
        </w:rPr>
        <w:t>n</w:t>
      </w:r>
      <w:r>
        <w:rPr>
          <w:color w:val="231F20"/>
          <w:w w:val="104"/>
          <w:sz w:val="18"/>
        </w:rPr>
        <w:t>g</w:t>
      </w:r>
      <w:r>
        <w:rPr>
          <w:color w:val="231F20"/>
          <w:w w:val="115"/>
          <w:sz w:val="18"/>
        </w:rPr>
        <w:t>t</w:t>
      </w:r>
      <w:r>
        <w:rPr>
          <w:color w:val="231F20"/>
          <w:w w:val="112"/>
          <w:sz w:val="18"/>
        </w:rPr>
        <w:t>o</w:t>
      </w:r>
      <w:r>
        <w:rPr>
          <w:color w:val="231F20"/>
          <w:w w:val="120"/>
          <w:sz w:val="18"/>
        </w:rPr>
        <w:t>n</w:t>
      </w:r>
      <w:r>
        <w:rPr>
          <w:color w:val="231F20"/>
          <w:w w:val="104"/>
          <w:sz w:val="18"/>
        </w:rPr>
        <w:t>,</w:t>
      </w:r>
      <w:r>
        <w:rPr>
          <w:color w:val="231F20"/>
          <w:sz w:val="18"/>
        </w:rPr>
        <w:t>  </w:t>
      </w:r>
      <w:r>
        <w:rPr>
          <w:color w:val="231F20"/>
          <w:w w:val="102"/>
          <w:sz w:val="18"/>
        </w:rPr>
        <w:t>D</w:t>
      </w:r>
      <w:r>
        <w:rPr>
          <w:color w:val="231F20"/>
          <w:w w:val="101"/>
          <w:sz w:val="18"/>
        </w:rPr>
        <w:t>C</w:t>
      </w:r>
      <w:r>
        <w:rPr>
          <w:color w:val="231F20"/>
          <w:w w:val="104"/>
          <w:sz w:val="18"/>
        </w:rPr>
        <w:t>,</w:t>
      </w:r>
      <w:r>
        <w:rPr>
          <w:color w:val="231F20"/>
          <w:sz w:val="18"/>
        </w:rPr>
        <w:t>  </w:t>
      </w:r>
      <w:r>
        <w:rPr>
          <w:color w:val="231F20"/>
          <w:w w:val="92"/>
          <w:sz w:val="18"/>
        </w:rPr>
        <w:t>&lt;</w:t>
      </w:r>
      <w:hyperlink r:id="rId343">
        <w:r>
          <w:rPr>
            <w:color w:val="231F20"/>
            <w:w w:val="88"/>
            <w:sz w:val="18"/>
          </w:rPr>
          <w:t>www</w:t>
        </w:r>
        <w:r>
          <w:rPr>
            <w:color w:val="231F20"/>
            <w:w w:val="104"/>
            <w:sz w:val="18"/>
          </w:rPr>
          <w:t>.</w:t>
        </w:r>
        <w:r>
          <w:rPr>
            <w:color w:val="231F20"/>
            <w:w w:val="108"/>
            <w:sz w:val="18"/>
          </w:rPr>
          <w:t>a</w:t>
        </w:r>
        <w:r>
          <w:rPr>
            <w:color w:val="231F20"/>
            <w:w w:val="110"/>
            <w:sz w:val="18"/>
          </w:rPr>
          <w:t>m</w:t>
        </w:r>
        <w:r>
          <w:rPr>
            <w:color w:val="231F20"/>
            <w:w w:val="112"/>
            <w:sz w:val="18"/>
          </w:rPr>
          <w:t>e</w:t>
        </w:r>
        <w:r>
          <w:rPr>
            <w:color w:val="231F20"/>
            <w:w w:val="120"/>
            <w:sz w:val="18"/>
          </w:rPr>
          <w:t>r</w:t>
        </w:r>
        <w:r>
          <w:rPr>
            <w:color w:val="231F20"/>
            <w:w w:val="100"/>
            <w:sz w:val="18"/>
          </w:rPr>
          <w:t>i</w:t>
        </w:r>
        <w:r>
          <w:rPr>
            <w:color w:val="231F20"/>
            <w:w w:val="103"/>
            <w:sz w:val="18"/>
          </w:rPr>
          <w:t>c</w:t>
        </w:r>
        <w:r>
          <w:rPr>
            <w:color w:val="231F20"/>
            <w:w w:val="108"/>
            <w:sz w:val="18"/>
          </w:rPr>
          <w:t>a</w:t>
        </w:r>
        <w:r>
          <w:rPr>
            <w:color w:val="231F20"/>
            <w:w w:val="104"/>
            <w:sz w:val="18"/>
          </w:rPr>
          <w:t>.g</w:t>
        </w:r>
        <w:r>
          <w:rPr>
            <w:color w:val="231F20"/>
            <w:w w:val="112"/>
            <w:sz w:val="18"/>
          </w:rPr>
          <w:t>o</w:t>
        </w:r>
        <w:r>
          <w:rPr>
            <w:color w:val="231F20"/>
            <w:w w:val="84"/>
            <w:sz w:val="18"/>
          </w:rPr>
          <w:t>v</w:t>
        </w:r>
        <w:r>
          <w:rPr>
            <w:color w:val="231F20"/>
            <w:w w:val="208"/>
            <w:sz w:val="18"/>
          </w:rPr>
          <w:t>/</w:t>
        </w:r>
        <w:r>
          <w:rPr>
            <w:color w:val="231F20"/>
            <w:w w:val="92"/>
            <w:sz w:val="18"/>
          </w:rPr>
          <w:t>s</w:t>
        </w:r>
        <w:r>
          <w:rPr>
            <w:color w:val="231F20"/>
            <w:w w:val="115"/>
            <w:sz w:val="18"/>
          </w:rPr>
          <w:t>t</w:t>
        </w:r>
        <w:r>
          <w:rPr>
            <w:color w:val="231F20"/>
            <w:w w:val="208"/>
            <w:sz w:val="18"/>
          </w:rPr>
          <w:t>/</w:t>
        </w:r>
        <w:r>
          <w:rPr>
            <w:color w:val="231F20"/>
            <w:w w:val="116"/>
            <w:sz w:val="18"/>
          </w:rPr>
          <w:t>p</w:t>
        </w:r>
        <w:r>
          <w:rPr>
            <w:color w:val="231F20"/>
            <w:w w:val="112"/>
            <w:sz w:val="18"/>
          </w:rPr>
          <w:t>e</w:t>
        </w:r>
        <w:r>
          <w:rPr>
            <w:color w:val="231F20"/>
            <w:w w:val="108"/>
            <w:sz w:val="18"/>
          </w:rPr>
          <w:t>a</w:t>
        </w:r>
        <w:r>
          <w:rPr>
            <w:color w:val="231F20"/>
            <w:w w:val="103"/>
            <w:sz w:val="18"/>
          </w:rPr>
          <w:t>c</w:t>
        </w:r>
        <w:r>
          <w:rPr>
            <w:color w:val="231F20"/>
            <w:w w:val="112"/>
            <w:sz w:val="18"/>
          </w:rPr>
          <w:t>e</w:t>
        </w:r>
        <w:r>
          <w:rPr>
            <w:color w:val="231F20"/>
            <w:w w:val="72"/>
            <w:sz w:val="18"/>
          </w:rPr>
          <w:t>-</w:t>
        </w:r>
      </w:hyperlink>
      <w:r>
        <w:rPr>
          <w:color w:val="231F20"/>
          <w:w w:val="72"/>
          <w:sz w:val="18"/>
        </w:rPr>
        <w:t> </w:t>
      </w:r>
      <w:r>
        <w:rPr>
          <w:color w:val="231F20"/>
          <w:w w:val="105"/>
          <w:sz w:val="18"/>
        </w:rPr>
        <w:t>sec-spanish/2010/May/201005281515312aczelaznog0.6399587.html?CP. rss=true&gt;, 28 de mayo 2010.</w:t>
      </w:r>
    </w:p>
    <w:p>
      <w:pPr>
        <w:spacing w:line="254" w:lineRule="auto" w:before="1"/>
        <w:ind w:left="340" w:right="109" w:hanging="240"/>
        <w:jc w:val="left"/>
        <w:rPr>
          <w:sz w:val="18"/>
        </w:rPr>
      </w:pPr>
      <w:r>
        <w:rPr>
          <w:color w:val="231F20"/>
          <w:w w:val="110"/>
          <w:sz w:val="18"/>
        </w:rPr>
        <w:t>García Cantalapiedra, David, 2009, “Estados Unidos y las prioridades de </w:t>
      </w:r>
      <w:r>
        <w:rPr>
          <w:color w:val="231F20"/>
          <w:spacing w:val="3"/>
          <w:w w:val="110"/>
          <w:sz w:val="18"/>
        </w:rPr>
        <w:t>política exterior </w:t>
      </w:r>
      <w:r>
        <w:rPr>
          <w:color w:val="231F20"/>
          <w:w w:val="110"/>
          <w:sz w:val="18"/>
        </w:rPr>
        <w:t>de la </w:t>
      </w:r>
      <w:r>
        <w:rPr>
          <w:color w:val="231F20"/>
          <w:spacing w:val="3"/>
          <w:w w:val="110"/>
          <w:sz w:val="18"/>
        </w:rPr>
        <w:t>administración Obama (DT)”, </w:t>
      </w:r>
      <w:r>
        <w:rPr>
          <w:color w:val="231F20"/>
          <w:w w:val="110"/>
          <w:sz w:val="18"/>
        </w:rPr>
        <w:t>en </w:t>
      </w:r>
      <w:r>
        <w:rPr>
          <w:color w:val="231F20"/>
          <w:spacing w:val="3"/>
          <w:w w:val="110"/>
          <w:sz w:val="18"/>
        </w:rPr>
        <w:t>Real Insti- </w:t>
      </w:r>
      <w:r>
        <w:rPr>
          <w:color w:val="231F20"/>
          <w:spacing w:val="5"/>
          <w:w w:val="110"/>
          <w:sz w:val="18"/>
        </w:rPr>
        <w:t>tuto </w:t>
      </w:r>
      <w:r>
        <w:rPr>
          <w:color w:val="231F20"/>
          <w:spacing w:val="3"/>
          <w:w w:val="110"/>
          <w:sz w:val="18"/>
        </w:rPr>
        <w:t>El </w:t>
      </w:r>
      <w:r>
        <w:rPr>
          <w:color w:val="231F20"/>
          <w:spacing w:val="5"/>
          <w:w w:val="110"/>
          <w:sz w:val="18"/>
        </w:rPr>
        <w:t>Cano, </w:t>
      </w:r>
      <w:r>
        <w:rPr>
          <w:color w:val="231F20"/>
          <w:spacing w:val="6"/>
          <w:w w:val="110"/>
          <w:sz w:val="18"/>
        </w:rPr>
        <w:t>&lt;</w:t>
      </w:r>
      <w:hyperlink r:id="rId344">
        <w:r>
          <w:rPr>
            <w:color w:val="231F20"/>
            <w:spacing w:val="6"/>
            <w:w w:val="110"/>
            <w:sz w:val="18"/>
          </w:rPr>
          <w:t>www.realinstitutoelcano.org/wps/portal/rielcano/</w:t>
        </w:r>
      </w:hyperlink>
      <w:r>
        <w:rPr>
          <w:color w:val="231F20"/>
          <w:spacing w:val="6"/>
          <w:w w:val="110"/>
          <w:sz w:val="18"/>
        </w:rPr>
        <w:t> </w:t>
      </w:r>
      <w:r>
        <w:rPr>
          <w:color w:val="231F20"/>
          <w:w w:val="110"/>
          <w:sz w:val="18"/>
        </w:rPr>
        <w:t>contenido?WCM_GLOBAL_CONTEXT=/elcano/elcano_es/zonas_es/ eeuu-dialogo+trasatlantico/dt16-2009&gt;,</w:t>
      </w:r>
      <w:r>
        <w:rPr>
          <w:color w:val="231F20"/>
          <w:spacing w:val="-9"/>
          <w:w w:val="110"/>
          <w:sz w:val="18"/>
        </w:rPr>
        <w:t> </w:t>
      </w:r>
      <w:r>
        <w:rPr>
          <w:color w:val="231F20"/>
          <w:w w:val="110"/>
          <w:sz w:val="18"/>
        </w:rPr>
        <w:t>26</w:t>
      </w:r>
      <w:r>
        <w:rPr>
          <w:color w:val="231F20"/>
          <w:spacing w:val="-9"/>
          <w:w w:val="110"/>
          <w:sz w:val="18"/>
        </w:rPr>
        <w:t> </w:t>
      </w:r>
      <w:r>
        <w:rPr>
          <w:color w:val="231F20"/>
          <w:w w:val="110"/>
          <w:sz w:val="18"/>
        </w:rPr>
        <w:t>de</w:t>
      </w:r>
      <w:r>
        <w:rPr>
          <w:color w:val="231F20"/>
          <w:spacing w:val="-9"/>
          <w:w w:val="110"/>
          <w:sz w:val="18"/>
        </w:rPr>
        <w:t> </w:t>
      </w:r>
      <w:r>
        <w:rPr>
          <w:color w:val="231F20"/>
          <w:w w:val="110"/>
          <w:sz w:val="18"/>
        </w:rPr>
        <w:t>marzo</w:t>
      </w:r>
      <w:r>
        <w:rPr>
          <w:color w:val="231F20"/>
          <w:spacing w:val="-9"/>
          <w:w w:val="110"/>
          <w:sz w:val="18"/>
        </w:rPr>
        <w:t> </w:t>
      </w:r>
      <w:r>
        <w:rPr>
          <w:color w:val="231F20"/>
          <w:w w:val="110"/>
          <w:sz w:val="18"/>
        </w:rPr>
        <w:t>de</w:t>
      </w:r>
      <w:r>
        <w:rPr>
          <w:color w:val="231F20"/>
          <w:spacing w:val="-9"/>
          <w:w w:val="110"/>
          <w:sz w:val="18"/>
        </w:rPr>
        <w:t> </w:t>
      </w:r>
      <w:r>
        <w:rPr>
          <w:color w:val="231F20"/>
          <w:w w:val="110"/>
          <w:sz w:val="18"/>
        </w:rPr>
        <w:t>2009.</w:t>
      </w:r>
    </w:p>
    <w:p>
      <w:pPr>
        <w:spacing w:line="254" w:lineRule="auto" w:before="1"/>
        <w:ind w:left="340" w:right="116" w:hanging="240"/>
        <w:jc w:val="left"/>
        <w:rPr>
          <w:sz w:val="18"/>
        </w:rPr>
      </w:pPr>
      <w:r>
        <w:rPr>
          <w:color w:val="231F20"/>
          <w:w w:val="110"/>
          <w:sz w:val="18"/>
        </w:rPr>
        <w:t>Jimeno, Vines Marta, 2009, “El efecto Obama y la diplomacia pública de los Estados Unidos: de Bush a Obama (DT)” en real Instituto el Cano, DT 44/2009, 28/07/2009, &lt;</w:t>
      </w:r>
      <w:hyperlink r:id="rId345">
        <w:r>
          <w:rPr>
            <w:color w:val="231F20"/>
            <w:w w:val="110"/>
            <w:sz w:val="18"/>
          </w:rPr>
          <w:t>www.realinstitutoelcano.org/wps/portal/</w:t>
        </w:r>
      </w:hyperlink>
      <w:r>
        <w:rPr>
          <w:color w:val="231F20"/>
          <w:w w:val="110"/>
          <w:sz w:val="18"/>
        </w:rPr>
        <w:t> rielcano/contenido?WCM_GLOBAL_CONTEXT=/elcano/elcano_es/ zonas_es/dt44-2009&gt;, 1 de septiembre de 2009.</w:t>
      </w:r>
    </w:p>
    <w:p>
      <w:pPr>
        <w:spacing w:line="254" w:lineRule="auto" w:before="1"/>
        <w:ind w:left="340" w:right="43" w:hanging="240"/>
        <w:jc w:val="left"/>
        <w:rPr>
          <w:sz w:val="18"/>
        </w:rPr>
      </w:pPr>
      <w:r>
        <w:rPr>
          <w:color w:val="231F20"/>
          <w:w w:val="105"/>
          <w:sz w:val="18"/>
        </w:rPr>
        <w:t>Malamud, Carlos, 2009, “Estados Unidos y América Latina: nueva etapa en una relación complicada”, Real Instituto el Cano, ARI 97/2009, 05/06/2009,</w:t>
      </w:r>
    </w:p>
    <w:p>
      <w:pPr>
        <w:spacing w:line="254" w:lineRule="auto" w:before="1"/>
        <w:ind w:left="340" w:right="399" w:firstLine="0"/>
        <w:jc w:val="both"/>
        <w:rPr>
          <w:sz w:val="18"/>
        </w:rPr>
      </w:pPr>
      <w:r>
        <w:rPr>
          <w:color w:val="231F20"/>
          <w:w w:val="110"/>
          <w:sz w:val="18"/>
        </w:rPr>
        <w:t>&lt;</w:t>
      </w:r>
      <w:hyperlink r:id="rId346">
        <w:r>
          <w:rPr>
            <w:color w:val="231F20"/>
            <w:w w:val="110"/>
            <w:sz w:val="18"/>
          </w:rPr>
          <w:t>www.realinstitutoelcano.org/wps/portal/rielcano/contenido?WCM_</w:t>
        </w:r>
      </w:hyperlink>
      <w:r>
        <w:rPr>
          <w:color w:val="231F20"/>
          <w:w w:val="110"/>
          <w:sz w:val="18"/>
        </w:rPr>
        <w:t> GLOBAL_CONTEXT=/elcano/elcano_es/zonas_es/america+latina/ ari97-2009&gt;, 5 de junio de 2009.</w:t>
      </w:r>
    </w:p>
    <w:p>
      <w:pPr>
        <w:spacing w:line="254" w:lineRule="auto" w:before="1"/>
        <w:ind w:left="340" w:right="117" w:hanging="240"/>
        <w:jc w:val="left"/>
        <w:rPr>
          <w:sz w:val="18"/>
        </w:rPr>
      </w:pPr>
      <w:r>
        <w:rPr>
          <w:color w:val="231F20"/>
          <w:w w:val="110"/>
          <w:sz w:val="18"/>
        </w:rPr>
        <w:t>Obama, Barack, 2010, “Introducción del presidente Obama a la Estrategia de Seguridad Nacional”, Washington, DC, &lt;</w:t>
      </w:r>
      <w:hyperlink r:id="rId343">
        <w:r>
          <w:rPr>
            <w:color w:val="231F20"/>
            <w:w w:val="110"/>
            <w:sz w:val="18"/>
          </w:rPr>
          <w:t>www.america.gov/st/peace-</w:t>
        </w:r>
      </w:hyperlink>
      <w:r>
        <w:rPr>
          <w:color w:val="231F20"/>
          <w:w w:val="110"/>
          <w:sz w:val="18"/>
        </w:rPr>
        <w:t> </w:t>
      </w:r>
      <w:r>
        <w:rPr>
          <w:color w:val="231F20"/>
          <w:w w:val="105"/>
          <w:sz w:val="18"/>
        </w:rPr>
        <w:t>sec-spanish/2010/May/20100528083413fjnoeled6.213015e-02.html?CP. </w:t>
      </w:r>
      <w:r>
        <w:rPr>
          <w:color w:val="231F20"/>
          <w:w w:val="110"/>
          <w:sz w:val="18"/>
        </w:rPr>
        <w:t>rss=true&gt;.</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w w:val="110"/>
          <w:sz w:val="18"/>
        </w:rPr>
        <w:t>,</w:t>
      </w:r>
      <w:r>
        <w:rPr>
          <w:color w:val="231F20"/>
          <w:spacing w:val="-28"/>
          <w:w w:val="110"/>
          <w:sz w:val="18"/>
        </w:rPr>
        <w:t> </w:t>
      </w:r>
      <w:r>
        <w:rPr>
          <w:color w:val="231F20"/>
          <w:w w:val="110"/>
          <w:sz w:val="18"/>
        </w:rPr>
        <w:t>2009,</w:t>
      </w:r>
      <w:r>
        <w:rPr>
          <w:color w:val="231F20"/>
          <w:spacing w:val="-28"/>
          <w:w w:val="110"/>
          <w:sz w:val="18"/>
        </w:rPr>
        <w:t> </w:t>
      </w:r>
      <w:r>
        <w:rPr>
          <w:color w:val="231F20"/>
          <w:w w:val="110"/>
          <w:sz w:val="18"/>
        </w:rPr>
        <w:t>“Discurso</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toma</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posesión”,</w:t>
      </w:r>
      <w:r>
        <w:rPr>
          <w:color w:val="231F20"/>
          <w:spacing w:val="-28"/>
          <w:w w:val="110"/>
          <w:sz w:val="18"/>
        </w:rPr>
        <w:t> </w:t>
      </w:r>
      <w:r>
        <w:rPr>
          <w:color w:val="231F20"/>
          <w:w w:val="110"/>
          <w:sz w:val="18"/>
        </w:rPr>
        <w:t>Washington</w:t>
      </w:r>
      <w:r>
        <w:rPr>
          <w:color w:val="231F20"/>
          <w:spacing w:val="-28"/>
          <w:w w:val="110"/>
          <w:sz w:val="18"/>
        </w:rPr>
        <w:t> </w:t>
      </w:r>
      <w:r>
        <w:rPr>
          <w:color w:val="231F20"/>
          <w:w w:val="110"/>
          <w:sz w:val="18"/>
        </w:rPr>
        <w:t>DC,</w:t>
      </w:r>
      <w:r>
        <w:rPr>
          <w:color w:val="231F20"/>
          <w:spacing w:val="-28"/>
          <w:w w:val="110"/>
          <w:sz w:val="18"/>
        </w:rPr>
        <w:t> </w:t>
      </w:r>
      <w:r>
        <w:rPr>
          <w:color w:val="231F20"/>
          <w:w w:val="110"/>
          <w:sz w:val="18"/>
        </w:rPr>
        <w:t>&lt;www.america. gov/st/usg-spanish/2009/January/20090121073521liameruoy0.5717432. html&gt;, 20 de enero de</w:t>
      </w:r>
      <w:r>
        <w:rPr>
          <w:color w:val="231F20"/>
          <w:spacing w:val="30"/>
          <w:w w:val="110"/>
          <w:sz w:val="18"/>
        </w:rPr>
        <w:t> </w:t>
      </w:r>
      <w:r>
        <w:rPr>
          <w:color w:val="231F20"/>
          <w:w w:val="110"/>
          <w:sz w:val="18"/>
        </w:rPr>
        <w:t>2009.</w:t>
      </w:r>
    </w:p>
    <w:p>
      <w:pPr>
        <w:tabs>
          <w:tab w:pos="459" w:val="left" w:leader="none"/>
        </w:tabs>
        <w:spacing w:line="254" w:lineRule="auto" w:before="1"/>
        <w:ind w:left="340" w:right="119" w:hanging="240"/>
        <w:jc w:val="left"/>
        <w:rPr>
          <w:sz w:val="18"/>
        </w:rPr>
      </w:pPr>
      <w:r>
        <w:rPr>
          <w:color w:val="231F20"/>
          <w:w w:val="104"/>
          <w:sz w:val="18"/>
          <w:u w:val="single" w:color="221E1F"/>
        </w:rPr>
        <w:t> </w:t>
      </w:r>
      <w:r>
        <w:rPr>
          <w:color w:val="231F20"/>
          <w:sz w:val="18"/>
          <w:u w:val="single" w:color="221E1F"/>
        </w:rPr>
        <w:tab/>
        <w:tab/>
      </w:r>
      <w:r>
        <w:rPr>
          <w:color w:val="231F20"/>
          <w:w w:val="105"/>
          <w:sz w:val="18"/>
        </w:rPr>
        <w:t>,</w:t>
      </w:r>
      <w:r>
        <w:rPr>
          <w:color w:val="231F20"/>
          <w:spacing w:val="27"/>
          <w:w w:val="105"/>
          <w:sz w:val="18"/>
        </w:rPr>
        <w:t> </w:t>
      </w:r>
      <w:r>
        <w:rPr>
          <w:color w:val="231F20"/>
          <w:w w:val="105"/>
          <w:sz w:val="18"/>
        </w:rPr>
        <w:t>2009a,</w:t>
      </w:r>
      <w:r>
        <w:rPr>
          <w:color w:val="231F20"/>
          <w:spacing w:val="27"/>
          <w:w w:val="105"/>
          <w:sz w:val="18"/>
        </w:rPr>
        <w:t> </w:t>
      </w:r>
      <w:r>
        <w:rPr>
          <w:color w:val="231F20"/>
          <w:w w:val="105"/>
          <w:sz w:val="18"/>
        </w:rPr>
        <w:t>“Discurso</w:t>
      </w:r>
      <w:r>
        <w:rPr>
          <w:color w:val="231F20"/>
          <w:spacing w:val="27"/>
          <w:w w:val="105"/>
          <w:sz w:val="18"/>
        </w:rPr>
        <w:t> </w:t>
      </w:r>
      <w:r>
        <w:rPr>
          <w:color w:val="231F20"/>
          <w:w w:val="105"/>
          <w:sz w:val="18"/>
        </w:rPr>
        <w:t>sobre</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seguridad</w:t>
      </w:r>
      <w:r>
        <w:rPr>
          <w:color w:val="231F20"/>
          <w:spacing w:val="27"/>
          <w:w w:val="105"/>
          <w:sz w:val="18"/>
        </w:rPr>
        <w:t> </w:t>
      </w:r>
      <w:r>
        <w:rPr>
          <w:color w:val="231F20"/>
          <w:w w:val="105"/>
          <w:sz w:val="18"/>
        </w:rPr>
        <w:t>y</w:t>
      </w:r>
      <w:r>
        <w:rPr>
          <w:color w:val="231F20"/>
          <w:spacing w:val="27"/>
          <w:w w:val="105"/>
          <w:sz w:val="18"/>
        </w:rPr>
        <w:t> </w:t>
      </w:r>
      <w:r>
        <w:rPr>
          <w:color w:val="231F20"/>
          <w:w w:val="105"/>
          <w:sz w:val="18"/>
        </w:rPr>
        <w:t>los</w:t>
      </w:r>
      <w:r>
        <w:rPr>
          <w:color w:val="231F20"/>
          <w:spacing w:val="27"/>
          <w:w w:val="105"/>
          <w:sz w:val="18"/>
        </w:rPr>
        <w:t> </w:t>
      </w:r>
      <w:r>
        <w:rPr>
          <w:color w:val="231F20"/>
          <w:w w:val="105"/>
          <w:sz w:val="18"/>
        </w:rPr>
        <w:t>valores</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EEUU”,</w:t>
      </w:r>
      <w:r>
        <w:rPr>
          <w:color w:val="231F20"/>
          <w:spacing w:val="27"/>
          <w:w w:val="105"/>
          <w:sz w:val="18"/>
        </w:rPr>
        <w:t> </w:t>
      </w:r>
      <w:r>
        <w:rPr>
          <w:color w:val="231F20"/>
          <w:spacing w:val="-3"/>
          <w:w w:val="105"/>
          <w:sz w:val="18"/>
        </w:rPr>
        <w:t>&lt;</w:t>
      </w:r>
      <w:hyperlink r:id="rId47">
        <w:r>
          <w:rPr>
            <w:color w:val="231F20"/>
            <w:spacing w:val="-3"/>
            <w:w w:val="105"/>
            <w:sz w:val="18"/>
          </w:rPr>
          <w:t>www.</w:t>
        </w:r>
      </w:hyperlink>
      <w:r>
        <w:rPr>
          <w:color w:val="231F20"/>
          <w:w w:val="104"/>
          <w:sz w:val="18"/>
        </w:rPr>
        <w:t> </w:t>
      </w:r>
      <w:r>
        <w:rPr>
          <w:color w:val="231F20"/>
          <w:w w:val="105"/>
          <w:sz w:val="18"/>
        </w:rPr>
        <w:t>america.gov/st/usg-spanish&gt;.</w:t>
      </w:r>
    </w:p>
    <w:p>
      <w:pPr>
        <w:spacing w:line="254" w:lineRule="auto" w:before="1"/>
        <w:ind w:left="340" w:right="119" w:hanging="240"/>
        <w:jc w:val="both"/>
        <w:rPr>
          <w:sz w:val="18"/>
        </w:rPr>
      </w:pPr>
      <w:r>
        <w:rPr>
          <w:color w:val="231F20"/>
          <w:w w:val="104"/>
          <w:sz w:val="18"/>
          <w:u w:val="single" w:color="221E1F"/>
        </w:rPr>
        <w:t> </w:t>
      </w:r>
      <w:r>
        <w:rPr>
          <w:color w:val="231F20"/>
          <w:sz w:val="18"/>
          <w:u w:val="single" w:color="221E1F"/>
        </w:rPr>
        <w:t>      </w:t>
      </w:r>
      <w:r>
        <w:rPr>
          <w:color w:val="231F20"/>
          <w:spacing w:val="-2"/>
          <w:sz w:val="18"/>
          <w:u w:val="single" w:color="221E1F"/>
        </w:rPr>
        <w:t> </w:t>
      </w:r>
      <w:r>
        <w:rPr>
          <w:color w:val="231F20"/>
          <w:sz w:val="18"/>
        </w:rPr>
        <w:t>, 2009b, “Palabras de Obama en la apertura de la  Cumbre  de  las  Amé- ricas”,</w:t>
      </w:r>
      <w:r>
        <w:rPr>
          <w:color w:val="231F20"/>
          <w:spacing w:val="-6"/>
          <w:sz w:val="18"/>
        </w:rPr>
        <w:t> </w:t>
      </w:r>
      <w:r>
        <w:rPr>
          <w:color w:val="231F20"/>
          <w:sz w:val="18"/>
        </w:rPr>
        <w:t>Fox</w:t>
      </w:r>
      <w:r>
        <w:rPr>
          <w:color w:val="231F20"/>
          <w:spacing w:val="-6"/>
          <w:sz w:val="18"/>
        </w:rPr>
        <w:t> </w:t>
      </w:r>
      <w:r>
        <w:rPr>
          <w:color w:val="231F20"/>
          <w:sz w:val="18"/>
        </w:rPr>
        <w:t>News,</w:t>
      </w:r>
      <w:r>
        <w:rPr>
          <w:color w:val="231F20"/>
          <w:spacing w:val="-6"/>
          <w:sz w:val="18"/>
        </w:rPr>
        <w:t> </w:t>
      </w:r>
      <w:r>
        <w:rPr>
          <w:color w:val="231F20"/>
          <w:sz w:val="18"/>
        </w:rPr>
        <w:t>citado</w:t>
      </w:r>
      <w:r>
        <w:rPr>
          <w:color w:val="231F20"/>
          <w:spacing w:val="-6"/>
          <w:sz w:val="18"/>
        </w:rPr>
        <w:t> </w:t>
      </w:r>
      <w:r>
        <w:rPr>
          <w:color w:val="231F20"/>
          <w:sz w:val="18"/>
        </w:rPr>
        <w:t>en</w:t>
      </w:r>
      <w:r>
        <w:rPr>
          <w:color w:val="231F20"/>
          <w:spacing w:val="-6"/>
          <w:sz w:val="18"/>
        </w:rPr>
        <w:t> </w:t>
      </w:r>
      <w:r>
        <w:rPr>
          <w:i/>
          <w:color w:val="231F20"/>
          <w:sz w:val="18"/>
        </w:rPr>
        <w:t>Esperando</w:t>
      </w:r>
      <w:r>
        <w:rPr>
          <w:i/>
          <w:color w:val="231F20"/>
          <w:spacing w:val="-6"/>
          <w:sz w:val="18"/>
        </w:rPr>
        <w:t> </w:t>
      </w:r>
      <w:r>
        <w:rPr>
          <w:i/>
          <w:color w:val="231F20"/>
          <w:sz w:val="18"/>
        </w:rPr>
        <w:t>el</w:t>
      </w:r>
      <w:r>
        <w:rPr>
          <w:i/>
          <w:color w:val="231F20"/>
          <w:spacing w:val="-6"/>
          <w:sz w:val="18"/>
        </w:rPr>
        <w:t> </w:t>
      </w:r>
      <w:r>
        <w:rPr>
          <w:i/>
          <w:color w:val="231F20"/>
          <w:sz w:val="18"/>
        </w:rPr>
        <w:t>cambio:</w:t>
      </w:r>
      <w:r>
        <w:rPr>
          <w:i/>
          <w:color w:val="231F20"/>
          <w:spacing w:val="-6"/>
          <w:sz w:val="18"/>
        </w:rPr>
        <w:t> </w:t>
      </w:r>
      <w:r>
        <w:rPr>
          <w:i/>
          <w:color w:val="231F20"/>
          <w:sz w:val="18"/>
        </w:rPr>
        <w:t>tendencias</w:t>
      </w:r>
      <w:r>
        <w:rPr>
          <w:i/>
          <w:color w:val="231F20"/>
          <w:spacing w:val="-6"/>
          <w:sz w:val="18"/>
        </w:rPr>
        <w:t> </w:t>
      </w:r>
      <w:r>
        <w:rPr>
          <w:i/>
          <w:color w:val="231F20"/>
          <w:sz w:val="18"/>
        </w:rPr>
        <w:t>de</w:t>
      </w:r>
      <w:r>
        <w:rPr>
          <w:i/>
          <w:color w:val="231F20"/>
          <w:spacing w:val="-6"/>
          <w:sz w:val="18"/>
        </w:rPr>
        <w:t> </w:t>
      </w:r>
      <w:r>
        <w:rPr>
          <w:i/>
          <w:color w:val="231F20"/>
          <w:sz w:val="18"/>
        </w:rPr>
        <w:t>la</w:t>
      </w:r>
      <w:r>
        <w:rPr>
          <w:i/>
          <w:color w:val="231F20"/>
          <w:spacing w:val="-6"/>
          <w:sz w:val="18"/>
        </w:rPr>
        <w:t> </w:t>
      </w:r>
      <w:r>
        <w:rPr>
          <w:i/>
          <w:color w:val="231F20"/>
          <w:sz w:val="18"/>
        </w:rPr>
        <w:t>asistencia</w:t>
      </w:r>
      <w:r>
        <w:rPr>
          <w:i/>
          <w:color w:val="231F20"/>
          <w:spacing w:val="-6"/>
          <w:sz w:val="18"/>
        </w:rPr>
        <w:t> </w:t>
      </w:r>
      <w:r>
        <w:rPr>
          <w:i/>
          <w:color w:val="231F20"/>
          <w:sz w:val="18"/>
        </w:rPr>
        <w:t>en </w:t>
      </w:r>
      <w:r>
        <w:rPr>
          <w:i/>
          <w:color w:val="231F20"/>
          <w:sz w:val="18"/>
        </w:rPr>
        <w:t>seguridad de EE.UU. para América Latina y el Caribe, PDF</w:t>
      </w:r>
      <w:r>
        <w:rPr>
          <w:color w:val="231F20"/>
          <w:sz w:val="18"/>
        </w:rPr>
        <w:t>, &lt;www.ciponline. org&gt;,  17  de  abril</w:t>
      </w:r>
      <w:r>
        <w:rPr>
          <w:color w:val="231F20"/>
          <w:spacing w:val="15"/>
          <w:sz w:val="18"/>
        </w:rPr>
        <w:t> </w:t>
      </w:r>
      <w:r>
        <w:rPr>
          <w:color w:val="231F20"/>
          <w:sz w:val="18"/>
        </w:rPr>
        <w:t>2009.</w:t>
      </w:r>
    </w:p>
    <w:p>
      <w:pPr>
        <w:spacing w:before="1"/>
        <w:ind w:left="100" w:right="-2" w:firstLine="0"/>
        <w:jc w:val="left"/>
        <w:rPr>
          <w:i/>
          <w:sz w:val="18"/>
        </w:rPr>
      </w:pPr>
      <w:r>
        <w:rPr>
          <w:color w:val="231F20"/>
          <w:sz w:val="18"/>
        </w:rPr>
        <w:t>Otero, Diego, 2010, </w:t>
      </w:r>
      <w:r>
        <w:rPr>
          <w:i/>
          <w:color w:val="231F20"/>
          <w:sz w:val="18"/>
        </w:rPr>
        <w:t>El papel de Estados Unidos en el conflicto armado colombiano,</w:t>
      </w:r>
    </w:p>
    <w:p>
      <w:pPr>
        <w:spacing w:before="13"/>
        <w:ind w:left="340" w:right="0" w:firstLine="0"/>
        <w:jc w:val="both"/>
        <w:rPr>
          <w:sz w:val="18"/>
        </w:rPr>
      </w:pPr>
      <w:r>
        <w:rPr>
          <w:color w:val="231F20"/>
          <w:w w:val="105"/>
          <w:sz w:val="18"/>
        </w:rPr>
        <w:t>Bogotá,  Ediciones Aurora.</w:t>
      </w:r>
    </w:p>
    <w:p>
      <w:pPr>
        <w:spacing w:line="254" w:lineRule="auto" w:before="13"/>
        <w:ind w:left="340" w:right="112" w:hanging="240"/>
        <w:jc w:val="left"/>
        <w:rPr>
          <w:sz w:val="18"/>
        </w:rPr>
      </w:pPr>
      <w:r>
        <w:rPr>
          <w:color w:val="231F20"/>
          <w:w w:val="110"/>
          <w:sz w:val="18"/>
        </w:rPr>
        <w:t>Tokatlián,</w:t>
      </w:r>
      <w:r>
        <w:rPr>
          <w:color w:val="231F20"/>
          <w:spacing w:val="-24"/>
          <w:w w:val="110"/>
          <w:sz w:val="18"/>
        </w:rPr>
        <w:t> </w:t>
      </w:r>
      <w:r>
        <w:rPr>
          <w:color w:val="231F20"/>
          <w:w w:val="110"/>
          <w:sz w:val="18"/>
        </w:rPr>
        <w:t>Juan,</w:t>
      </w:r>
      <w:r>
        <w:rPr>
          <w:color w:val="231F20"/>
          <w:spacing w:val="-24"/>
          <w:w w:val="110"/>
          <w:sz w:val="18"/>
        </w:rPr>
        <w:t> </w:t>
      </w:r>
      <w:r>
        <w:rPr>
          <w:color w:val="231F20"/>
          <w:w w:val="110"/>
          <w:sz w:val="18"/>
        </w:rPr>
        <w:t>2009,</w:t>
      </w:r>
      <w:r>
        <w:rPr>
          <w:color w:val="231F20"/>
          <w:spacing w:val="-24"/>
          <w:w w:val="110"/>
          <w:sz w:val="18"/>
        </w:rPr>
        <w:t> </w:t>
      </w:r>
      <w:r>
        <w:rPr>
          <w:color w:val="231F20"/>
          <w:w w:val="110"/>
          <w:sz w:val="18"/>
        </w:rPr>
        <w:t>“Barack</w:t>
      </w:r>
      <w:r>
        <w:rPr>
          <w:color w:val="231F20"/>
          <w:spacing w:val="-24"/>
          <w:w w:val="110"/>
          <w:sz w:val="18"/>
        </w:rPr>
        <w:t> </w:t>
      </w:r>
      <w:r>
        <w:rPr>
          <w:color w:val="231F20"/>
          <w:w w:val="110"/>
          <w:sz w:val="18"/>
        </w:rPr>
        <w:t>Obama:</w:t>
      </w:r>
      <w:r>
        <w:rPr>
          <w:color w:val="231F20"/>
          <w:spacing w:val="-24"/>
          <w:w w:val="110"/>
          <w:sz w:val="18"/>
        </w:rPr>
        <w:t> </w:t>
      </w:r>
      <w:r>
        <w:rPr>
          <w:color w:val="231F20"/>
          <w:w w:val="110"/>
          <w:sz w:val="18"/>
        </w:rPr>
        <w:t>el</w:t>
      </w:r>
      <w:r>
        <w:rPr>
          <w:color w:val="231F20"/>
          <w:spacing w:val="-24"/>
          <w:w w:val="110"/>
          <w:sz w:val="18"/>
        </w:rPr>
        <w:t> </w:t>
      </w:r>
      <w:r>
        <w:rPr>
          <w:color w:val="231F20"/>
          <w:w w:val="110"/>
          <w:sz w:val="18"/>
        </w:rPr>
        <w:t>tamaño</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su</w:t>
      </w:r>
      <w:r>
        <w:rPr>
          <w:color w:val="231F20"/>
          <w:spacing w:val="-24"/>
          <w:w w:val="110"/>
          <w:sz w:val="18"/>
        </w:rPr>
        <w:t> </w:t>
      </w:r>
      <w:r>
        <w:rPr>
          <w:color w:val="231F20"/>
          <w:w w:val="110"/>
          <w:sz w:val="18"/>
        </w:rPr>
        <w:t>desafío”,</w:t>
      </w:r>
      <w:r>
        <w:rPr>
          <w:color w:val="231F20"/>
          <w:spacing w:val="-24"/>
          <w:w w:val="110"/>
          <w:sz w:val="18"/>
        </w:rPr>
        <w:t> </w:t>
      </w:r>
      <w:r>
        <w:rPr>
          <w:color w:val="231F20"/>
          <w:w w:val="110"/>
          <w:sz w:val="18"/>
        </w:rPr>
        <w:t>en</w:t>
      </w:r>
      <w:r>
        <w:rPr>
          <w:color w:val="231F20"/>
          <w:spacing w:val="-24"/>
          <w:w w:val="110"/>
          <w:sz w:val="18"/>
        </w:rPr>
        <w:t> </w:t>
      </w:r>
      <w:r>
        <w:rPr>
          <w:i/>
          <w:color w:val="231F20"/>
          <w:w w:val="110"/>
          <w:sz w:val="18"/>
        </w:rPr>
        <w:t>Colombia </w:t>
      </w:r>
      <w:r>
        <w:rPr>
          <w:i/>
          <w:color w:val="231F20"/>
          <w:w w:val="110"/>
          <w:sz w:val="18"/>
        </w:rPr>
        <w:t>Internacional</w:t>
      </w:r>
      <w:r>
        <w:rPr>
          <w:color w:val="231F20"/>
          <w:w w:val="110"/>
          <w:sz w:val="18"/>
        </w:rPr>
        <w:t>,</w:t>
      </w:r>
      <w:r>
        <w:rPr>
          <w:color w:val="231F20"/>
          <w:spacing w:val="-15"/>
          <w:w w:val="110"/>
          <w:sz w:val="18"/>
        </w:rPr>
        <w:t> </w:t>
      </w:r>
      <w:r>
        <w:rPr>
          <w:color w:val="231F20"/>
          <w:w w:val="110"/>
          <w:sz w:val="18"/>
        </w:rPr>
        <w:t>núm.</w:t>
      </w:r>
      <w:r>
        <w:rPr>
          <w:color w:val="231F20"/>
          <w:spacing w:val="-15"/>
          <w:w w:val="110"/>
          <w:sz w:val="18"/>
        </w:rPr>
        <w:t> </w:t>
      </w:r>
      <w:r>
        <w:rPr>
          <w:color w:val="231F20"/>
          <w:w w:val="110"/>
          <w:sz w:val="18"/>
        </w:rPr>
        <w:t>69,</w:t>
      </w:r>
      <w:r>
        <w:rPr>
          <w:color w:val="231F20"/>
          <w:spacing w:val="-15"/>
          <w:w w:val="110"/>
          <w:sz w:val="18"/>
        </w:rPr>
        <w:t> </w:t>
      </w:r>
      <w:r>
        <w:rPr>
          <w:color w:val="231F20"/>
          <w:w w:val="110"/>
          <w:sz w:val="18"/>
        </w:rPr>
        <w:t>enero-junio</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2009,</w:t>
      </w:r>
      <w:r>
        <w:rPr>
          <w:color w:val="231F20"/>
          <w:spacing w:val="-15"/>
          <w:w w:val="110"/>
          <w:sz w:val="18"/>
        </w:rPr>
        <w:t> </w:t>
      </w:r>
      <w:r>
        <w:rPr>
          <w:color w:val="231F20"/>
          <w:w w:val="110"/>
          <w:sz w:val="18"/>
        </w:rPr>
        <w:t>Bogotá,</w:t>
      </w:r>
      <w:r>
        <w:rPr>
          <w:color w:val="231F20"/>
          <w:spacing w:val="-15"/>
          <w:w w:val="110"/>
          <w:sz w:val="18"/>
        </w:rPr>
        <w:t> </w:t>
      </w:r>
      <w:r>
        <w:rPr>
          <w:color w:val="231F20"/>
          <w:w w:val="110"/>
          <w:sz w:val="18"/>
        </w:rPr>
        <w:t>Uniandes.</w:t>
      </w:r>
    </w:p>
    <w:p>
      <w:pPr>
        <w:spacing w:line="254" w:lineRule="auto" w:before="1"/>
        <w:ind w:left="340" w:right="25" w:hanging="240"/>
        <w:jc w:val="left"/>
        <w:rPr>
          <w:sz w:val="18"/>
        </w:rPr>
      </w:pPr>
      <w:r>
        <w:rPr>
          <w:color w:val="231F20"/>
          <w:sz w:val="18"/>
        </w:rPr>
        <w:t>Wallerstein, Immanuel, 2007, </w:t>
      </w:r>
      <w:r>
        <w:rPr>
          <w:i/>
          <w:color w:val="231F20"/>
          <w:sz w:val="18"/>
        </w:rPr>
        <w:t>La crisis estructural del capitalismo</w:t>
      </w:r>
      <w:r>
        <w:rPr>
          <w:color w:val="231F20"/>
          <w:sz w:val="18"/>
        </w:rPr>
        <w:t>, Colombia, Ediciones  Desde  Abajo.</w:t>
      </w:r>
    </w:p>
    <w:p>
      <w:pPr>
        <w:spacing w:after="0" w:line="254" w:lineRule="auto"/>
        <w:jc w:val="left"/>
        <w:rPr>
          <w:sz w:val="18"/>
        </w:rPr>
        <w:sectPr>
          <w:headerReference w:type="even" r:id="rId341"/>
          <w:headerReference w:type="default" r:id="rId342"/>
          <w:pgSz w:w="7640" w:h="11900"/>
          <w:pgMar w:header="672" w:footer="0" w:top="860" w:bottom="280" w:left="780" w:right="640"/>
        </w:sectPr>
      </w:pPr>
    </w:p>
    <w:p>
      <w:pPr>
        <w:pStyle w:val="BodyText"/>
        <w:spacing w:before="8"/>
        <w:rPr>
          <w:sz w:val="8"/>
        </w:rPr>
      </w:pPr>
    </w:p>
    <w:p>
      <w:pPr>
        <w:spacing w:line="254" w:lineRule="auto" w:before="71"/>
        <w:ind w:left="340" w:right="103" w:hanging="240"/>
        <w:jc w:val="left"/>
        <w:rPr>
          <w:sz w:val="18"/>
        </w:rPr>
      </w:pPr>
      <w:r>
        <w:rPr>
          <w:color w:val="231F20"/>
          <w:w w:val="105"/>
          <w:sz w:val="18"/>
        </w:rPr>
        <w:t>Wallerstein,</w:t>
      </w:r>
      <w:r>
        <w:rPr>
          <w:color w:val="231F20"/>
          <w:spacing w:val="-22"/>
          <w:w w:val="105"/>
          <w:sz w:val="18"/>
        </w:rPr>
        <w:t> </w:t>
      </w:r>
      <w:r>
        <w:rPr>
          <w:color w:val="231F20"/>
          <w:w w:val="105"/>
          <w:sz w:val="18"/>
        </w:rPr>
        <w:t>Immanuel,</w:t>
      </w:r>
      <w:r>
        <w:rPr>
          <w:color w:val="231F20"/>
          <w:spacing w:val="-22"/>
          <w:w w:val="105"/>
          <w:sz w:val="18"/>
        </w:rPr>
        <w:t> </w:t>
      </w:r>
      <w:r>
        <w:rPr>
          <w:color w:val="231F20"/>
          <w:w w:val="105"/>
          <w:sz w:val="18"/>
        </w:rPr>
        <w:t>2005,</w:t>
      </w:r>
      <w:r>
        <w:rPr>
          <w:color w:val="231F20"/>
          <w:spacing w:val="-22"/>
          <w:w w:val="105"/>
          <w:sz w:val="18"/>
        </w:rPr>
        <w:t> </w:t>
      </w:r>
      <w:r>
        <w:rPr>
          <w:i/>
          <w:color w:val="231F20"/>
          <w:w w:val="105"/>
          <w:sz w:val="18"/>
        </w:rPr>
        <w:t>Estados</w:t>
      </w:r>
      <w:r>
        <w:rPr>
          <w:i/>
          <w:color w:val="231F20"/>
          <w:spacing w:val="-22"/>
          <w:w w:val="105"/>
          <w:sz w:val="18"/>
        </w:rPr>
        <w:t> </w:t>
      </w:r>
      <w:r>
        <w:rPr>
          <w:i/>
          <w:color w:val="231F20"/>
          <w:w w:val="105"/>
          <w:sz w:val="18"/>
        </w:rPr>
        <w:t>Unidos</w:t>
      </w:r>
      <w:r>
        <w:rPr>
          <w:i/>
          <w:color w:val="231F20"/>
          <w:spacing w:val="-22"/>
          <w:w w:val="105"/>
          <w:sz w:val="18"/>
        </w:rPr>
        <w:t> </w:t>
      </w:r>
      <w:r>
        <w:rPr>
          <w:i/>
          <w:color w:val="231F20"/>
          <w:w w:val="105"/>
          <w:sz w:val="18"/>
        </w:rPr>
        <w:t>confronta</w:t>
      </w:r>
      <w:r>
        <w:rPr>
          <w:i/>
          <w:color w:val="231F20"/>
          <w:spacing w:val="-22"/>
          <w:w w:val="105"/>
          <w:sz w:val="18"/>
        </w:rPr>
        <w:t> </w:t>
      </w:r>
      <w:r>
        <w:rPr>
          <w:i/>
          <w:color w:val="231F20"/>
          <w:w w:val="105"/>
          <w:sz w:val="18"/>
        </w:rPr>
        <w:t>al</w:t>
      </w:r>
      <w:r>
        <w:rPr>
          <w:i/>
          <w:color w:val="231F20"/>
          <w:spacing w:val="-22"/>
          <w:w w:val="105"/>
          <w:sz w:val="18"/>
        </w:rPr>
        <w:t> </w:t>
      </w:r>
      <w:r>
        <w:rPr>
          <w:i/>
          <w:color w:val="231F20"/>
          <w:w w:val="105"/>
          <w:sz w:val="18"/>
        </w:rPr>
        <w:t>mundo</w:t>
      </w:r>
      <w:r>
        <w:rPr>
          <w:color w:val="231F20"/>
          <w:w w:val="105"/>
          <w:sz w:val="18"/>
        </w:rPr>
        <w:t>,</w:t>
      </w:r>
      <w:r>
        <w:rPr>
          <w:color w:val="231F20"/>
          <w:spacing w:val="-22"/>
          <w:w w:val="105"/>
          <w:sz w:val="18"/>
        </w:rPr>
        <w:t> </w:t>
      </w:r>
      <w:r>
        <w:rPr>
          <w:color w:val="231F20"/>
          <w:w w:val="105"/>
          <w:sz w:val="18"/>
        </w:rPr>
        <w:t>México,</w:t>
      </w:r>
      <w:r>
        <w:rPr>
          <w:color w:val="231F20"/>
          <w:spacing w:val="-22"/>
          <w:w w:val="105"/>
          <w:sz w:val="18"/>
        </w:rPr>
        <w:t> </w:t>
      </w:r>
      <w:r>
        <w:rPr>
          <w:color w:val="231F20"/>
          <w:w w:val="105"/>
          <w:sz w:val="18"/>
        </w:rPr>
        <w:t>Siglo XXI</w:t>
      </w:r>
      <w:r>
        <w:rPr>
          <w:color w:val="231F20"/>
          <w:spacing w:val="27"/>
          <w:w w:val="105"/>
          <w:sz w:val="18"/>
        </w:rPr>
        <w:t> </w:t>
      </w:r>
      <w:r>
        <w:rPr>
          <w:color w:val="231F20"/>
          <w:w w:val="105"/>
          <w:sz w:val="18"/>
        </w:rPr>
        <w:t>Editores.</w:t>
      </w:r>
    </w:p>
    <w:p>
      <w:pPr>
        <w:pStyle w:val="BodyText"/>
        <w:spacing w:before="2"/>
        <w:rPr>
          <w:sz w:val="19"/>
        </w:rPr>
      </w:pPr>
    </w:p>
    <w:p>
      <w:pPr>
        <w:spacing w:before="0"/>
        <w:ind w:left="100" w:right="25" w:firstLine="0"/>
        <w:jc w:val="left"/>
        <w:rPr>
          <w:sz w:val="18"/>
        </w:rPr>
      </w:pPr>
      <w:r>
        <w:rPr>
          <w:color w:val="231F20"/>
          <w:w w:val="110"/>
          <w:sz w:val="18"/>
        </w:rPr>
        <w:t>Documentos</w:t>
      </w:r>
    </w:p>
    <w:p>
      <w:pPr>
        <w:pStyle w:val="BodyText"/>
        <w:spacing w:before="3"/>
      </w:pPr>
    </w:p>
    <w:p>
      <w:pPr>
        <w:spacing w:line="254" w:lineRule="auto" w:before="0"/>
        <w:ind w:left="340" w:right="115" w:hanging="240"/>
        <w:jc w:val="both"/>
        <w:rPr>
          <w:sz w:val="18"/>
        </w:rPr>
      </w:pPr>
      <w:r>
        <w:rPr>
          <w:color w:val="231F20"/>
          <w:w w:val="110"/>
          <w:sz w:val="18"/>
        </w:rPr>
        <w:t>Estrategia de Seguridad Nacional de los Estados Unidos, septiembre de  2002, Departamento de Estado, </w:t>
      </w:r>
      <w:hyperlink r:id="rId347">
        <w:r>
          <w:rPr>
            <w:color w:val="231F20"/>
            <w:w w:val="110"/>
            <w:sz w:val="18"/>
          </w:rPr>
          <w:t>&lt;http://merln.ndu.edu/whitepapers/</w:t>
        </w:r>
      </w:hyperlink>
      <w:r>
        <w:rPr>
          <w:color w:val="231F20"/>
          <w:w w:val="110"/>
          <w:sz w:val="18"/>
        </w:rPr>
        <w:t> USNSS-Spanish.pdf&gt;.</w:t>
      </w:r>
    </w:p>
    <w:p>
      <w:pPr>
        <w:spacing w:line="254" w:lineRule="auto" w:before="1"/>
        <w:ind w:left="340" w:right="117" w:hanging="240"/>
        <w:jc w:val="left"/>
        <w:rPr>
          <w:sz w:val="18"/>
        </w:rPr>
      </w:pPr>
      <w:r>
        <w:rPr>
          <w:color w:val="231F20"/>
          <w:w w:val="110"/>
          <w:sz w:val="18"/>
        </w:rPr>
        <w:t>Estrategia de Seguridad Nacional, Paz, Prosperidad y Dignidad Humana, mayo de 2010, Departamento de Estado de Estados Unidos, &lt;</w:t>
      </w:r>
      <w:hyperlink r:id="rId47">
        <w:r>
          <w:rPr>
            <w:color w:val="231F20"/>
            <w:w w:val="110"/>
            <w:sz w:val="18"/>
          </w:rPr>
          <w:t>www.</w:t>
        </w:r>
      </w:hyperlink>
      <w:r>
        <w:rPr>
          <w:color w:val="231F20"/>
          <w:w w:val="110"/>
          <w:sz w:val="18"/>
        </w:rPr>
        <w:t> america.gov/st/peacesec-spanish/2010/May/201005281515312aczelazn og0.6399587.html?CP.rss=true&gt;.</w:t>
      </w:r>
    </w:p>
    <w:p>
      <w:pPr>
        <w:spacing w:after="0" w:line="254" w:lineRule="auto"/>
        <w:jc w:val="left"/>
        <w:rPr>
          <w:sz w:val="18"/>
        </w:rPr>
        <w:sectPr>
          <w:pgSz w:w="7640" w:h="11900"/>
          <w:pgMar w:header="672" w:footer="0" w:top="860" w:bottom="280" w:left="660" w:right="760"/>
        </w:sectPr>
      </w:pPr>
    </w:p>
    <w:p>
      <w:pPr>
        <w:pStyle w:val="BodyText"/>
        <w:spacing w:line="261" w:lineRule="auto" w:before="39"/>
        <w:ind w:left="100" w:right="586"/>
      </w:pPr>
      <w:r>
        <w:rPr>
          <w:color w:val="231F20"/>
        </w:rPr>
        <w:t>CENTRALIDAD DE AMÉRICA LATINA EN LA ESTRATEGIA DE SEGURIDAD HEMISFÉRICA DE ESTADOS   UNIDOS</w:t>
      </w:r>
    </w:p>
    <w:p>
      <w:pPr>
        <w:pStyle w:val="BodyText"/>
        <w:spacing w:before="8"/>
        <w:rPr>
          <w:sz w:val="21"/>
        </w:rPr>
      </w:pPr>
    </w:p>
    <w:p>
      <w:pPr>
        <w:pStyle w:val="BodyText"/>
        <w:ind w:left="3527" w:right="25"/>
      </w:pPr>
      <w:r>
        <w:rPr>
          <w:color w:val="231F20"/>
          <w:w w:val="125"/>
        </w:rPr>
        <w:t>maría josé rodríguez rejas</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9"/>
        <w:jc w:val="both"/>
      </w:pP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ha</w:t>
      </w:r>
      <w:r>
        <w:rPr>
          <w:color w:val="231F20"/>
          <w:spacing w:val="-12"/>
          <w:w w:val="110"/>
        </w:rPr>
        <w:t> </w:t>
      </w:r>
      <w:r>
        <w:rPr>
          <w:color w:val="231F20"/>
          <w:w w:val="110"/>
        </w:rPr>
        <w:t>visto</w:t>
      </w:r>
      <w:r>
        <w:rPr>
          <w:color w:val="231F20"/>
          <w:spacing w:val="-12"/>
          <w:w w:val="110"/>
        </w:rPr>
        <w:t> </w:t>
      </w:r>
      <w:r>
        <w:rPr>
          <w:color w:val="231F20"/>
          <w:w w:val="110"/>
        </w:rPr>
        <w:t>cómo</w:t>
      </w:r>
      <w:r>
        <w:rPr>
          <w:color w:val="231F20"/>
          <w:spacing w:val="-12"/>
          <w:w w:val="110"/>
        </w:rPr>
        <w:t> </w:t>
      </w:r>
      <w:r>
        <w:rPr>
          <w:color w:val="231F20"/>
          <w:w w:val="110"/>
        </w:rPr>
        <w:t>su</w:t>
      </w:r>
      <w:r>
        <w:rPr>
          <w:color w:val="231F20"/>
          <w:spacing w:val="-12"/>
          <w:w w:val="110"/>
        </w:rPr>
        <w:t> </w:t>
      </w:r>
      <w:r>
        <w:rPr>
          <w:color w:val="231F20"/>
          <w:w w:val="110"/>
        </w:rPr>
        <w:t>condición</w:t>
      </w:r>
      <w:r>
        <w:rPr>
          <w:color w:val="231F20"/>
          <w:spacing w:val="-12"/>
          <w:w w:val="110"/>
        </w:rPr>
        <w:t> </w:t>
      </w:r>
      <w:r>
        <w:rPr>
          <w:color w:val="231F20"/>
          <w:w w:val="110"/>
        </w:rPr>
        <w:t>hegemónica</w:t>
      </w:r>
      <w:r>
        <w:rPr>
          <w:color w:val="231F20"/>
          <w:spacing w:val="-12"/>
          <w:w w:val="110"/>
        </w:rPr>
        <w:t> </w:t>
      </w:r>
      <w:r>
        <w:rPr>
          <w:color w:val="231F20"/>
          <w:w w:val="110"/>
        </w:rPr>
        <w:t>se</w:t>
      </w:r>
      <w:r>
        <w:rPr>
          <w:color w:val="231F20"/>
          <w:spacing w:val="-12"/>
          <w:w w:val="110"/>
        </w:rPr>
        <w:t> </w:t>
      </w:r>
      <w:r>
        <w:rPr>
          <w:color w:val="231F20"/>
          <w:w w:val="110"/>
        </w:rPr>
        <w:t>deteriora- ba</w:t>
      </w:r>
      <w:r>
        <w:rPr>
          <w:color w:val="231F20"/>
          <w:spacing w:val="-8"/>
          <w:w w:val="110"/>
        </w:rPr>
        <w:t> </w:t>
      </w:r>
      <w:r>
        <w:rPr>
          <w:color w:val="231F20"/>
          <w:w w:val="110"/>
        </w:rPr>
        <w:t>desde</w:t>
      </w:r>
      <w:r>
        <w:rPr>
          <w:color w:val="231F20"/>
          <w:spacing w:val="-8"/>
          <w:w w:val="110"/>
        </w:rPr>
        <w:t> </w:t>
      </w:r>
      <w:r>
        <w:rPr>
          <w:color w:val="231F20"/>
          <w:w w:val="110"/>
        </w:rPr>
        <w:t>fines</w:t>
      </w:r>
      <w:r>
        <w:rPr>
          <w:color w:val="231F20"/>
          <w:spacing w:val="-8"/>
          <w:w w:val="110"/>
        </w:rPr>
        <w:t> </w:t>
      </w:r>
      <w:r>
        <w:rPr>
          <w:color w:val="231F20"/>
          <w:w w:val="110"/>
        </w:rPr>
        <w:t>del</w:t>
      </w:r>
      <w:r>
        <w:rPr>
          <w:color w:val="231F20"/>
          <w:spacing w:val="-8"/>
          <w:w w:val="110"/>
        </w:rPr>
        <w:t> </w:t>
      </w:r>
      <w:r>
        <w:rPr>
          <w:color w:val="231F20"/>
          <w:w w:val="110"/>
        </w:rPr>
        <w:t>siglo</w:t>
      </w:r>
      <w:r>
        <w:rPr>
          <w:color w:val="231F20"/>
          <w:spacing w:val="-8"/>
          <w:w w:val="110"/>
        </w:rPr>
        <w:t> </w:t>
      </w:r>
      <w:r>
        <w:rPr>
          <w:color w:val="231F20"/>
          <w:w w:val="110"/>
        </w:rPr>
        <w:t>xx</w:t>
      </w:r>
      <w:r>
        <w:rPr>
          <w:color w:val="231F20"/>
          <w:spacing w:val="-8"/>
          <w:w w:val="110"/>
        </w:rPr>
        <w:t> </w:t>
      </w:r>
      <w:r>
        <w:rPr>
          <w:color w:val="231F20"/>
          <w:w w:val="110"/>
        </w:rPr>
        <w:t>teniendo</w:t>
      </w:r>
      <w:r>
        <w:rPr>
          <w:color w:val="231F20"/>
          <w:spacing w:val="-8"/>
          <w:w w:val="110"/>
        </w:rPr>
        <w:t> </w:t>
      </w:r>
      <w:r>
        <w:rPr>
          <w:color w:val="231F20"/>
          <w:w w:val="110"/>
        </w:rPr>
        <w:t>que</w:t>
      </w:r>
      <w:r>
        <w:rPr>
          <w:color w:val="231F20"/>
          <w:spacing w:val="-8"/>
          <w:w w:val="110"/>
        </w:rPr>
        <w:t> </w:t>
      </w:r>
      <w:r>
        <w:rPr>
          <w:color w:val="231F20"/>
          <w:w w:val="110"/>
        </w:rPr>
        <w:t>enfrentarse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competencia con otros bloques (UE, alianza China-Japón, Rusia o la India y sus áreas de influencia). En este proceso de recomposición del</w:t>
      </w:r>
      <w:r>
        <w:rPr>
          <w:color w:val="231F20"/>
          <w:spacing w:val="-13"/>
          <w:w w:val="110"/>
        </w:rPr>
        <w:t> </w:t>
      </w:r>
      <w:r>
        <w:rPr>
          <w:color w:val="231F20"/>
          <w:w w:val="110"/>
        </w:rPr>
        <w:t>capitalis- mo internacional es un hecho que la hegemonía estadunidense de posguerra tocó a su fin y está siendo disputada por otras potencias. Además, la necesidad creciente de territorios y recursos es cada vez más definitoria en esta</w:t>
      </w:r>
      <w:r>
        <w:rPr>
          <w:color w:val="231F20"/>
          <w:spacing w:val="49"/>
          <w:w w:val="110"/>
        </w:rPr>
        <w:t> </w:t>
      </w:r>
      <w:r>
        <w:rPr>
          <w:color w:val="231F20"/>
          <w:w w:val="110"/>
        </w:rPr>
        <w:t>contienda.</w:t>
      </w:r>
    </w:p>
    <w:p>
      <w:pPr>
        <w:pStyle w:val="BodyText"/>
        <w:spacing w:line="261" w:lineRule="auto"/>
        <w:ind w:left="100" w:right="117" w:firstLine="240"/>
        <w:jc w:val="both"/>
      </w:pPr>
      <w:r>
        <w:rPr>
          <w:color w:val="231F20"/>
          <w:w w:val="110"/>
        </w:rPr>
        <w:t>Este será el entorno desde el que Estados Unidos definirá su pro- yecto geopolítico para el siglo xxi en relación con América Latina, conocido como Proyecto Hemisférico. El </w:t>
      </w:r>
      <w:r>
        <w:rPr>
          <w:color w:val="231F20"/>
          <w:w w:val="125"/>
        </w:rPr>
        <w:t>alca </w:t>
      </w:r>
      <w:r>
        <w:rPr>
          <w:color w:val="231F20"/>
          <w:w w:val="110"/>
        </w:rPr>
        <w:t>es su manifestación continental aunque más bien avanza a través de estrategias interme- dias como los acuerdos comerciales y de seguridad, unos de</w:t>
      </w:r>
      <w:r>
        <w:rPr>
          <w:color w:val="231F20"/>
          <w:spacing w:val="-35"/>
          <w:w w:val="110"/>
        </w:rPr>
        <w:t> </w:t>
      </w:r>
      <w:r>
        <w:rPr>
          <w:color w:val="231F20"/>
          <w:w w:val="110"/>
        </w:rPr>
        <w:t>carácter bilateral y otros subregional (nafta, </w:t>
      </w:r>
      <w:r>
        <w:rPr>
          <w:color w:val="231F20"/>
          <w:w w:val="125"/>
        </w:rPr>
        <w:t>tlc, </w:t>
      </w:r>
      <w:r>
        <w:rPr>
          <w:color w:val="231F20"/>
          <w:w w:val="110"/>
        </w:rPr>
        <w:t>Proyecto Mesoamericano, Plan Colombia, Plan México entre</w:t>
      </w:r>
      <w:r>
        <w:rPr>
          <w:color w:val="231F20"/>
          <w:spacing w:val="29"/>
          <w:w w:val="110"/>
        </w:rPr>
        <w:t> </w:t>
      </w:r>
      <w:r>
        <w:rPr>
          <w:color w:val="231F20"/>
          <w:w w:val="110"/>
        </w:rPr>
        <w:t>otros).</w:t>
      </w:r>
    </w:p>
    <w:p>
      <w:pPr>
        <w:pStyle w:val="BodyText"/>
        <w:spacing w:line="261" w:lineRule="auto"/>
        <w:ind w:left="100" w:right="117" w:firstLine="240"/>
        <w:jc w:val="both"/>
      </w:pPr>
      <w:r>
        <w:rPr>
          <w:color w:val="231F20"/>
          <w:w w:val="110"/>
        </w:rPr>
        <w:t>En este trabajo abordaremos específicamente la </w:t>
      </w:r>
      <w:r>
        <w:rPr>
          <w:i/>
          <w:color w:val="231F20"/>
          <w:w w:val="110"/>
        </w:rPr>
        <w:t>política de segu- </w:t>
      </w:r>
      <w:r>
        <w:rPr>
          <w:i/>
          <w:color w:val="231F20"/>
          <w:w w:val="110"/>
        </w:rPr>
        <w:t>ridad</w:t>
      </w:r>
      <w:r>
        <w:rPr>
          <w:i/>
          <w:color w:val="231F20"/>
          <w:spacing w:val="-11"/>
          <w:w w:val="110"/>
        </w:rPr>
        <w:t> </w:t>
      </w:r>
      <w:r>
        <w:rPr>
          <w:i/>
          <w:color w:val="231F20"/>
          <w:w w:val="110"/>
        </w:rPr>
        <w:t>hemisférica</w:t>
      </w:r>
      <w:r>
        <w:rPr>
          <w:i/>
          <w:color w:val="231F20"/>
          <w:spacing w:val="-11"/>
          <w:w w:val="110"/>
        </w:rPr>
        <w:t> </w:t>
      </w:r>
      <w:r>
        <w:rPr>
          <w:color w:val="231F20"/>
          <w:w w:val="110"/>
        </w:rPr>
        <w:t>y</w:t>
      </w:r>
      <w:r>
        <w:rPr>
          <w:color w:val="231F20"/>
          <w:spacing w:val="-11"/>
          <w:w w:val="110"/>
        </w:rPr>
        <w:t> </w:t>
      </w:r>
      <w:r>
        <w:rPr>
          <w:color w:val="231F20"/>
          <w:w w:val="110"/>
        </w:rPr>
        <w:t>sus</w:t>
      </w:r>
      <w:r>
        <w:rPr>
          <w:color w:val="231F20"/>
          <w:spacing w:val="-11"/>
          <w:w w:val="110"/>
        </w:rPr>
        <w:t> </w:t>
      </w:r>
      <w:r>
        <w:rPr>
          <w:color w:val="231F20"/>
          <w:w w:val="110"/>
        </w:rPr>
        <w:t>implicaciones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proceso</w:t>
      </w:r>
      <w:r>
        <w:rPr>
          <w:color w:val="231F20"/>
          <w:spacing w:val="-11"/>
          <w:w w:val="110"/>
        </w:rPr>
        <w:t> </w:t>
      </w:r>
      <w:r>
        <w:rPr>
          <w:color w:val="231F20"/>
          <w:w w:val="110"/>
        </w:rPr>
        <w:t>de</w:t>
      </w:r>
      <w:r>
        <w:rPr>
          <w:color w:val="231F20"/>
          <w:spacing w:val="-11"/>
          <w:w w:val="110"/>
        </w:rPr>
        <w:t> </w:t>
      </w:r>
      <w:r>
        <w:rPr>
          <w:color w:val="231F20"/>
          <w:w w:val="110"/>
        </w:rPr>
        <w:t>militarización de</w:t>
      </w:r>
      <w:r>
        <w:rPr>
          <w:color w:val="231F20"/>
          <w:spacing w:val="-8"/>
          <w:w w:val="110"/>
        </w:rPr>
        <w:t> </w:t>
      </w:r>
      <w:r>
        <w:rPr>
          <w:color w:val="231F20"/>
          <w:w w:val="110"/>
        </w:rPr>
        <w:t>América</w:t>
      </w:r>
      <w:r>
        <w:rPr>
          <w:color w:val="231F20"/>
          <w:spacing w:val="-8"/>
          <w:w w:val="110"/>
        </w:rPr>
        <w:t> </w:t>
      </w:r>
      <w:r>
        <w:rPr>
          <w:color w:val="231F20"/>
          <w:w w:val="110"/>
        </w:rPr>
        <w:t>Latina.</w:t>
      </w:r>
      <w:r>
        <w:rPr>
          <w:color w:val="231F20"/>
          <w:spacing w:val="-8"/>
          <w:w w:val="110"/>
        </w:rPr>
        <w:t> </w:t>
      </w:r>
      <w:r>
        <w:rPr>
          <w:color w:val="231F20"/>
          <w:w w:val="110"/>
        </w:rPr>
        <w:t>Como</w:t>
      </w:r>
      <w:r>
        <w:rPr>
          <w:color w:val="231F20"/>
          <w:spacing w:val="-8"/>
          <w:w w:val="110"/>
        </w:rPr>
        <w:t> </w:t>
      </w:r>
      <w:r>
        <w:rPr>
          <w:color w:val="231F20"/>
          <w:w w:val="110"/>
        </w:rPr>
        <w:t>veremos,</w:t>
      </w:r>
      <w:r>
        <w:rPr>
          <w:color w:val="231F20"/>
          <w:spacing w:val="-8"/>
          <w:w w:val="110"/>
        </w:rPr>
        <w:t> </w:t>
      </w:r>
      <w:r>
        <w:rPr>
          <w:color w:val="231F20"/>
          <w:w w:val="110"/>
        </w:rPr>
        <w:t>desde</w:t>
      </w:r>
      <w:r>
        <w:rPr>
          <w:color w:val="231F20"/>
          <w:spacing w:val="-8"/>
          <w:w w:val="110"/>
        </w:rPr>
        <w:t> </w:t>
      </w:r>
      <w:r>
        <w:rPr>
          <w:color w:val="231F20"/>
          <w:w w:val="110"/>
        </w:rPr>
        <w:t>la</w:t>
      </w:r>
      <w:r>
        <w:rPr>
          <w:color w:val="231F20"/>
          <w:spacing w:val="-8"/>
          <w:w w:val="110"/>
        </w:rPr>
        <w:t> </w:t>
      </w:r>
      <w:r>
        <w:rPr>
          <w:color w:val="231F20"/>
          <w:w w:val="110"/>
        </w:rPr>
        <w:t>perspectiva</w:t>
      </w:r>
      <w:r>
        <w:rPr>
          <w:color w:val="231F20"/>
          <w:spacing w:val="-8"/>
          <w:w w:val="110"/>
        </w:rPr>
        <w:t> </w:t>
      </w:r>
      <w:r>
        <w:rPr>
          <w:color w:val="231F20"/>
          <w:w w:val="110"/>
        </w:rPr>
        <w:t>geopolítica, éste no es un factor secundario sino un elemento esencial en las necesidades actuales de expansión del capital en busca de territorio, recursos y</w:t>
      </w:r>
      <w:r>
        <w:rPr>
          <w:color w:val="231F20"/>
          <w:spacing w:val="-8"/>
          <w:w w:val="110"/>
        </w:rPr>
        <w:t> </w:t>
      </w:r>
      <w:r>
        <w:rPr>
          <w:color w:val="231F20"/>
          <w:w w:val="110"/>
        </w:rPr>
        <w:t>mercado.</w:t>
      </w:r>
    </w:p>
    <w:p>
      <w:pPr>
        <w:pStyle w:val="BodyText"/>
        <w:spacing w:line="261" w:lineRule="auto"/>
        <w:ind w:left="100" w:right="111" w:firstLine="240"/>
        <w:jc w:val="both"/>
      </w:pPr>
      <w:r>
        <w:rPr>
          <w:color w:val="231F20"/>
          <w:w w:val="110"/>
        </w:rPr>
        <w:t>En primer </w:t>
      </w:r>
      <w:r>
        <w:rPr>
          <w:color w:val="231F20"/>
          <w:spacing w:val="-3"/>
          <w:w w:val="110"/>
        </w:rPr>
        <w:t>lugar, </w:t>
      </w:r>
      <w:r>
        <w:rPr>
          <w:color w:val="231F20"/>
          <w:w w:val="110"/>
        </w:rPr>
        <w:t>revisaremos la importancia geopolítica que tiene América</w:t>
      </w:r>
      <w:r>
        <w:rPr>
          <w:color w:val="231F20"/>
          <w:spacing w:val="-6"/>
          <w:w w:val="110"/>
        </w:rPr>
        <w:t> </w:t>
      </w:r>
      <w:r>
        <w:rPr>
          <w:color w:val="231F20"/>
          <w:w w:val="110"/>
        </w:rPr>
        <w:t>Latina</w:t>
      </w:r>
      <w:r>
        <w:rPr>
          <w:color w:val="231F20"/>
          <w:spacing w:val="-6"/>
          <w:w w:val="110"/>
        </w:rPr>
        <w:t> </w:t>
      </w:r>
      <w:r>
        <w:rPr>
          <w:color w:val="231F20"/>
          <w:w w:val="110"/>
        </w:rPr>
        <w:t>para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en</w:t>
      </w:r>
      <w:r>
        <w:rPr>
          <w:color w:val="231F20"/>
          <w:spacing w:val="-6"/>
          <w:w w:val="110"/>
        </w:rPr>
        <w:t> </w:t>
      </w:r>
      <w:r>
        <w:rPr>
          <w:color w:val="231F20"/>
          <w:w w:val="110"/>
        </w:rPr>
        <w:t>tanto</w:t>
      </w:r>
      <w:r>
        <w:rPr>
          <w:color w:val="231F20"/>
          <w:spacing w:val="-6"/>
          <w:w w:val="110"/>
        </w:rPr>
        <w:t> </w:t>
      </w:r>
      <w:r>
        <w:rPr>
          <w:color w:val="231F20"/>
          <w:w w:val="110"/>
        </w:rPr>
        <w:t>área</w:t>
      </w:r>
      <w:r>
        <w:rPr>
          <w:color w:val="231F20"/>
          <w:spacing w:val="-6"/>
          <w:w w:val="110"/>
        </w:rPr>
        <w:t> </w:t>
      </w:r>
      <w:r>
        <w:rPr>
          <w:color w:val="231F20"/>
          <w:w w:val="110"/>
        </w:rPr>
        <w:t>imprescindible</w:t>
      </w:r>
      <w:r>
        <w:rPr>
          <w:color w:val="231F20"/>
          <w:spacing w:val="-6"/>
          <w:w w:val="110"/>
        </w:rPr>
        <w:t> </w:t>
      </w:r>
      <w:r>
        <w:rPr>
          <w:color w:val="231F20"/>
          <w:w w:val="110"/>
        </w:rPr>
        <w:t>en la competencia interbloques. En segundo lugar, nos centraremos    en las articulaciones entre acuerdos económicos </w:t>
      </w:r>
      <w:r>
        <w:rPr>
          <w:color w:val="231F20"/>
        </w:rPr>
        <w:t>y </w:t>
      </w:r>
      <w:r>
        <w:rPr>
          <w:color w:val="231F20"/>
          <w:w w:val="110"/>
        </w:rPr>
        <w:t>de seguridad en su expansión regional para caracterizar el proyecto </w:t>
      </w:r>
      <w:r>
        <w:rPr>
          <w:color w:val="231F20"/>
        </w:rPr>
        <w:t>y </w:t>
      </w:r>
      <w:r>
        <w:rPr>
          <w:color w:val="231F20"/>
          <w:w w:val="110"/>
        </w:rPr>
        <w:t>sus tendencias. </w:t>
      </w:r>
      <w:r>
        <w:rPr>
          <w:color w:val="231F20"/>
        </w:rPr>
        <w:t>Y </w:t>
      </w:r>
      <w:r>
        <w:rPr>
          <w:color w:val="231F20"/>
          <w:w w:val="110"/>
        </w:rPr>
        <w:t>por último, plantearemos algunas reflexiones del peso de este factor en la militarización de la política </w:t>
      </w:r>
      <w:r>
        <w:rPr>
          <w:color w:val="231F20"/>
        </w:rPr>
        <w:t>y  </w:t>
      </w:r>
      <w:r>
        <w:rPr>
          <w:color w:val="231F20"/>
          <w:w w:val="110"/>
        </w:rPr>
        <w:t>de la seguridad pública  en la región considerando el actual entorno de cambio político en América</w:t>
      </w:r>
      <w:r>
        <w:rPr>
          <w:color w:val="231F20"/>
          <w:spacing w:val="-29"/>
          <w:w w:val="110"/>
        </w:rPr>
        <w:t> </w:t>
      </w:r>
      <w:r>
        <w:rPr>
          <w:color w:val="231F20"/>
          <w:w w:val="110"/>
        </w:rPr>
        <w:t>Latina.</w:t>
      </w:r>
    </w:p>
    <w:p>
      <w:pPr>
        <w:pStyle w:val="BodyText"/>
        <w:rPr>
          <w:sz w:val="15"/>
        </w:rPr>
      </w:pPr>
    </w:p>
    <w:p>
      <w:pPr>
        <w:pStyle w:val="BodyText"/>
        <w:spacing w:before="67"/>
        <w:ind w:left="113" w:right="132"/>
        <w:jc w:val="center"/>
      </w:pPr>
      <w:r>
        <w:rPr>
          <w:color w:val="231F20"/>
          <w:w w:val="120"/>
        </w:rPr>
        <w:t>[462]</w:t>
      </w:r>
    </w:p>
    <w:p>
      <w:pPr>
        <w:spacing w:after="0"/>
        <w:jc w:val="center"/>
        <w:sectPr>
          <w:headerReference w:type="even" r:id="rId348"/>
          <w:pgSz w:w="7640" w:h="11900"/>
          <w:pgMar w:header="0" w:footer="0" w:top="1000" w:bottom="280" w:left="780" w:right="640"/>
        </w:sectPr>
      </w:pPr>
    </w:p>
    <w:p>
      <w:pPr>
        <w:pStyle w:val="BodyText"/>
        <w:spacing w:before="8"/>
        <w:rPr>
          <w:sz w:val="8"/>
        </w:rPr>
      </w:pPr>
    </w:p>
    <w:p>
      <w:pPr>
        <w:pStyle w:val="BodyText"/>
        <w:spacing w:line="261" w:lineRule="auto" w:before="67"/>
        <w:ind w:left="100" w:right="1384"/>
      </w:pPr>
      <w:r>
        <w:rPr>
          <w:color w:val="231F20"/>
          <w:w w:val="125"/>
        </w:rPr>
        <w:t>estados unidos en la competencia interbloques y la importancia geopolítica de américa latina</w:t>
      </w:r>
    </w:p>
    <w:p>
      <w:pPr>
        <w:pStyle w:val="BodyText"/>
        <w:spacing w:before="8"/>
        <w:rPr>
          <w:sz w:val="21"/>
        </w:rPr>
      </w:pPr>
    </w:p>
    <w:p>
      <w:pPr>
        <w:pStyle w:val="BodyText"/>
        <w:spacing w:line="261" w:lineRule="auto"/>
        <w:ind w:left="100" w:right="117"/>
        <w:jc w:val="both"/>
      </w:pPr>
      <w:r>
        <w:rPr>
          <w:color w:val="231F20"/>
          <w:w w:val="110"/>
        </w:rPr>
        <w:t>El mundo se repartió nuevamente en áreas de influencia en torno     a nuevas potencias. Europa absorbió a los países centroeuropeos y a una</w:t>
      </w:r>
      <w:r>
        <w:rPr>
          <w:color w:val="231F20"/>
          <w:spacing w:val="-14"/>
          <w:w w:val="110"/>
        </w:rPr>
        <w:t> </w:t>
      </w:r>
      <w:r>
        <w:rPr>
          <w:color w:val="231F20"/>
          <w:w w:val="110"/>
        </w:rPr>
        <w:t>parte</w:t>
      </w:r>
      <w:r>
        <w:rPr>
          <w:color w:val="231F20"/>
          <w:spacing w:val="-14"/>
          <w:w w:val="110"/>
        </w:rPr>
        <w:t> </w:t>
      </w:r>
      <w:r>
        <w:rPr>
          <w:color w:val="231F20"/>
          <w:w w:val="110"/>
        </w:rPr>
        <w:t>importante</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países</w:t>
      </w:r>
      <w:r>
        <w:rPr>
          <w:color w:val="231F20"/>
          <w:spacing w:val="-14"/>
          <w:w w:val="110"/>
        </w:rPr>
        <w:t> </w:t>
      </w:r>
      <w:r>
        <w:rPr>
          <w:color w:val="231F20"/>
          <w:w w:val="110"/>
        </w:rPr>
        <w:t>africanos,</w:t>
      </w:r>
      <w:r>
        <w:rPr>
          <w:color w:val="231F20"/>
          <w:spacing w:val="-14"/>
          <w:w w:val="110"/>
        </w:rPr>
        <w:t> </w:t>
      </w:r>
      <w:r>
        <w:rPr>
          <w:color w:val="231F20"/>
          <w:w w:val="110"/>
        </w:rPr>
        <w:t>sus</w:t>
      </w:r>
      <w:r>
        <w:rPr>
          <w:color w:val="231F20"/>
          <w:spacing w:val="-14"/>
          <w:w w:val="110"/>
        </w:rPr>
        <w:t> </w:t>
      </w:r>
      <w:r>
        <w:rPr>
          <w:color w:val="231F20"/>
          <w:w w:val="110"/>
        </w:rPr>
        <w:t>antiguas</w:t>
      </w:r>
      <w:r>
        <w:rPr>
          <w:color w:val="231F20"/>
          <w:spacing w:val="-14"/>
          <w:w w:val="110"/>
        </w:rPr>
        <w:t> </w:t>
      </w:r>
      <w:r>
        <w:rPr>
          <w:color w:val="231F20"/>
          <w:w w:val="110"/>
        </w:rPr>
        <w:t>ex</w:t>
      </w:r>
      <w:r>
        <w:rPr>
          <w:color w:val="231F20"/>
          <w:spacing w:val="-14"/>
          <w:w w:val="110"/>
        </w:rPr>
        <w:t> </w:t>
      </w:r>
      <w:r>
        <w:rPr>
          <w:color w:val="231F20"/>
          <w:w w:val="110"/>
        </w:rPr>
        <w:t>colonias. China</w:t>
      </w:r>
      <w:r>
        <w:rPr>
          <w:color w:val="231F20"/>
          <w:spacing w:val="-16"/>
          <w:w w:val="110"/>
        </w:rPr>
        <w:t> </w:t>
      </w:r>
      <w:r>
        <w:rPr>
          <w:color w:val="231F20"/>
          <w:w w:val="110"/>
        </w:rPr>
        <w:t>y</w:t>
      </w:r>
      <w:r>
        <w:rPr>
          <w:color w:val="231F20"/>
          <w:spacing w:val="-16"/>
          <w:w w:val="110"/>
        </w:rPr>
        <w:t> </w:t>
      </w:r>
      <w:r>
        <w:rPr>
          <w:color w:val="231F20"/>
          <w:w w:val="110"/>
        </w:rPr>
        <w:t>Japón</w:t>
      </w:r>
      <w:r>
        <w:rPr>
          <w:color w:val="231F20"/>
          <w:spacing w:val="-16"/>
          <w:w w:val="110"/>
        </w:rPr>
        <w:t> </w:t>
      </w:r>
      <w:r>
        <w:rPr>
          <w:color w:val="231F20"/>
          <w:w w:val="110"/>
        </w:rPr>
        <w:t>controlan</w:t>
      </w:r>
      <w:r>
        <w:rPr>
          <w:color w:val="231F20"/>
          <w:spacing w:val="-16"/>
          <w:w w:val="110"/>
        </w:rPr>
        <w:t> </w:t>
      </w:r>
      <w:r>
        <w:rPr>
          <w:color w:val="231F20"/>
          <w:w w:val="110"/>
        </w:rPr>
        <w:t>un</w:t>
      </w:r>
      <w:r>
        <w:rPr>
          <w:color w:val="231F20"/>
          <w:spacing w:val="-16"/>
          <w:w w:val="110"/>
        </w:rPr>
        <w:t> </w:t>
      </w:r>
      <w:r>
        <w:rPr>
          <w:color w:val="231F20"/>
          <w:w w:val="110"/>
        </w:rPr>
        <w:t>área</w:t>
      </w:r>
      <w:r>
        <w:rPr>
          <w:color w:val="231F20"/>
          <w:spacing w:val="-16"/>
          <w:w w:val="110"/>
        </w:rPr>
        <w:t> </w:t>
      </w:r>
      <w:r>
        <w:rPr>
          <w:color w:val="231F20"/>
          <w:w w:val="110"/>
        </w:rPr>
        <w:t>amplia</w:t>
      </w:r>
      <w:r>
        <w:rPr>
          <w:color w:val="231F20"/>
          <w:spacing w:val="-16"/>
          <w:w w:val="110"/>
        </w:rPr>
        <w:t> </w:t>
      </w:r>
      <w:r>
        <w:rPr>
          <w:color w:val="231F20"/>
          <w:w w:val="110"/>
        </w:rPr>
        <w:t>de</w:t>
      </w:r>
      <w:r>
        <w:rPr>
          <w:color w:val="231F20"/>
          <w:spacing w:val="-16"/>
          <w:w w:val="110"/>
        </w:rPr>
        <w:t> </w:t>
      </w:r>
      <w:r>
        <w:rPr>
          <w:color w:val="231F20"/>
          <w:w w:val="110"/>
        </w:rPr>
        <w:t>Asia.</w:t>
      </w:r>
      <w:r>
        <w:rPr>
          <w:color w:val="231F20"/>
          <w:spacing w:val="-16"/>
          <w:w w:val="110"/>
        </w:rPr>
        <w:t> </w:t>
      </w:r>
      <w:r>
        <w:rPr>
          <w:color w:val="231F20"/>
          <w:w w:val="110"/>
        </w:rPr>
        <w:t>Rusia</w:t>
      </w:r>
      <w:r>
        <w:rPr>
          <w:color w:val="231F20"/>
          <w:spacing w:val="-16"/>
          <w:w w:val="110"/>
        </w:rPr>
        <w:t> </w:t>
      </w:r>
      <w:r>
        <w:rPr>
          <w:color w:val="231F20"/>
          <w:w w:val="110"/>
        </w:rPr>
        <w:t>reconstruyó</w:t>
      </w:r>
      <w:r>
        <w:rPr>
          <w:color w:val="231F20"/>
          <w:spacing w:val="-16"/>
          <w:w w:val="110"/>
        </w:rPr>
        <w:t> </w:t>
      </w:r>
      <w:r>
        <w:rPr>
          <w:color w:val="231F20"/>
          <w:w w:val="110"/>
        </w:rPr>
        <w:t>su zona de influencia en torno a los países del viejo bloque soviético y la India tiene un peso específico propio en relación con su entorno. Las condiciones de especificidad de Estados Unidos exacerban aún más esta competencia, así como las dificultades que enfrenta y que lo orientan hacia su área más próxima, América</w:t>
      </w:r>
      <w:r>
        <w:rPr>
          <w:color w:val="231F20"/>
          <w:spacing w:val="45"/>
          <w:w w:val="110"/>
        </w:rPr>
        <w:t> </w:t>
      </w:r>
      <w:r>
        <w:rPr>
          <w:color w:val="231F20"/>
          <w:w w:val="110"/>
        </w:rPr>
        <w:t>Latina.</w:t>
      </w:r>
    </w:p>
    <w:p>
      <w:pPr>
        <w:pStyle w:val="BodyText"/>
        <w:spacing w:line="261" w:lineRule="auto"/>
        <w:ind w:left="100" w:right="116" w:firstLine="240"/>
        <w:jc w:val="both"/>
      </w:pPr>
      <w:r>
        <w:rPr>
          <w:color w:val="231F20"/>
          <w:w w:val="110"/>
        </w:rPr>
        <w:t>Es además uno de los países con mayor consumo y dependencia energética, especialmente en petróleo (importa más del 50% del crudo que consume) y gas, su fuente alternativa más inmediata. A esto hay que sumar la crisis recurrente por la que atraviesa desde hace decenios, siendo el país más endeudado del mundo, con una balanza comercial deficitaria casi como cualquier otro país, con</w:t>
      </w:r>
      <w:r>
        <w:rPr>
          <w:color w:val="231F20"/>
          <w:spacing w:val="-16"/>
          <w:w w:val="110"/>
        </w:rPr>
        <w:t> </w:t>
      </w:r>
      <w:r>
        <w:rPr>
          <w:color w:val="231F20"/>
          <w:w w:val="110"/>
        </w:rPr>
        <w:t>pér- didas de competitividad en nichos industriales claves, etcétera.</w:t>
      </w:r>
      <w:r>
        <w:rPr>
          <w:color w:val="231F20"/>
          <w:w w:val="110"/>
          <w:position w:val="6"/>
          <w:sz w:val="13"/>
        </w:rPr>
        <w:t>1 </w:t>
      </w:r>
      <w:r>
        <w:rPr>
          <w:color w:val="231F20"/>
          <w:w w:val="110"/>
        </w:rPr>
        <w:t>La centralidad del complejo militar-industrial como eje estructurador de su actividad económica y política le confiere un altísimo nivel de dependencia de la guerra que reduce al mínimo su capacidad para reorientar la economía. Así, durante la guerra de Irak, casi 60% del crecimiento de la economía estadunidense estuvo determinado por </w:t>
      </w:r>
      <w:r>
        <w:rPr>
          <w:color w:val="231F20"/>
          <w:w w:val="105"/>
        </w:rPr>
        <w:t>los gastos militares (</w:t>
      </w:r>
      <w:r>
        <w:rPr>
          <w:i/>
          <w:color w:val="231F20"/>
          <w:w w:val="105"/>
        </w:rPr>
        <w:t>Red Voltaire</w:t>
      </w:r>
      <w:r>
        <w:rPr>
          <w:color w:val="231F20"/>
          <w:w w:val="105"/>
        </w:rPr>
        <w:t>,</w:t>
      </w:r>
      <w:r>
        <w:rPr>
          <w:color w:val="231F20"/>
          <w:spacing w:val="-33"/>
          <w:w w:val="105"/>
        </w:rPr>
        <w:t> </w:t>
      </w:r>
      <w:r>
        <w:rPr>
          <w:color w:val="231F20"/>
          <w:w w:val="105"/>
        </w:rPr>
        <w:t>2005).</w:t>
      </w:r>
    </w:p>
    <w:p>
      <w:pPr>
        <w:pStyle w:val="BodyText"/>
        <w:spacing w:line="261" w:lineRule="auto"/>
        <w:ind w:left="100" w:right="117" w:firstLine="240"/>
        <w:jc w:val="both"/>
      </w:pPr>
      <w:r>
        <w:rPr>
          <w:color w:val="231F20"/>
          <w:w w:val="105"/>
        </w:rPr>
        <w:t>En estas condiciones, el acceso a nuevos territorios y recursos es vital para Estados Unidos y sus posibilidades de competencia frente     a otros bloques. Estas especificidades lo sitúan ante condiciones his- tóricas únicas desde la segunda posguerra y en esta situación Amé-  rica Latina resurge no sólo como su área de influencia natural sino como un área vital para disputar la hegemonía; más aún cuando la catastrófica estrategia de guerra en Medio Oriente dificulta el acceso    a  los  recursos</w:t>
      </w:r>
      <w:r>
        <w:rPr>
          <w:color w:val="231F20"/>
          <w:spacing w:val="6"/>
          <w:w w:val="105"/>
        </w:rPr>
        <w:t> </w:t>
      </w:r>
      <w:r>
        <w:rPr>
          <w:color w:val="231F20"/>
          <w:w w:val="105"/>
        </w:rPr>
        <w:t>petroleros.</w:t>
      </w:r>
    </w:p>
    <w:p>
      <w:pPr>
        <w:pStyle w:val="BodyText"/>
        <w:spacing w:line="261" w:lineRule="auto"/>
        <w:ind w:left="100" w:right="115" w:firstLine="240"/>
        <w:jc w:val="both"/>
      </w:pPr>
      <w:r>
        <w:rPr>
          <w:color w:val="231F20"/>
          <w:w w:val="105"/>
        </w:rPr>
        <w:t>A menudo olvidamos que América  Latina  es  una  de  las  zonas del  planeta  más  ricas  en  recursos  estratégicos.  Como  señala </w:t>
      </w:r>
      <w:r>
        <w:rPr>
          <w:color w:val="231F20"/>
          <w:spacing w:val="34"/>
          <w:w w:val="105"/>
        </w:rPr>
        <w:t> </w:t>
      </w:r>
      <w:r>
        <w:rPr>
          <w:color w:val="231F20"/>
          <w:w w:val="105"/>
        </w:rPr>
        <w:t>cepal</w:t>
      </w:r>
    </w:p>
    <w:p>
      <w:pPr>
        <w:pStyle w:val="BodyText"/>
      </w:pPr>
    </w:p>
    <w:p>
      <w:pPr>
        <w:spacing w:line="261" w:lineRule="auto" w:before="151"/>
        <w:ind w:left="100" w:right="119" w:firstLine="240"/>
        <w:jc w:val="both"/>
        <w:rPr>
          <w:sz w:val="16"/>
        </w:rPr>
      </w:pPr>
      <w:r>
        <w:rPr>
          <w:color w:val="231F20"/>
          <w:w w:val="110"/>
          <w:position w:val="5"/>
          <w:sz w:val="10"/>
        </w:rPr>
        <w:t>1 </w:t>
      </w:r>
      <w:r>
        <w:rPr>
          <w:color w:val="231F20"/>
          <w:w w:val="110"/>
          <w:sz w:val="16"/>
        </w:rPr>
        <w:t>Para un análisis pormenorizado de la situación económica estadunidense, con- súltese:</w:t>
      </w:r>
      <w:r>
        <w:rPr>
          <w:color w:val="231F20"/>
          <w:spacing w:val="-14"/>
          <w:w w:val="110"/>
          <w:sz w:val="16"/>
        </w:rPr>
        <w:t> </w:t>
      </w:r>
      <w:r>
        <w:rPr>
          <w:color w:val="231F20"/>
          <w:w w:val="110"/>
          <w:sz w:val="16"/>
        </w:rPr>
        <w:t>María</w:t>
      </w:r>
      <w:r>
        <w:rPr>
          <w:color w:val="231F20"/>
          <w:spacing w:val="-14"/>
          <w:w w:val="110"/>
          <w:sz w:val="16"/>
        </w:rPr>
        <w:t> </w:t>
      </w:r>
      <w:r>
        <w:rPr>
          <w:color w:val="231F20"/>
          <w:w w:val="110"/>
          <w:sz w:val="16"/>
        </w:rPr>
        <w:t>José</w:t>
      </w:r>
      <w:r>
        <w:rPr>
          <w:color w:val="231F20"/>
          <w:spacing w:val="-14"/>
          <w:w w:val="110"/>
          <w:sz w:val="16"/>
        </w:rPr>
        <w:t> </w:t>
      </w:r>
      <w:r>
        <w:rPr>
          <w:color w:val="231F20"/>
          <w:w w:val="110"/>
          <w:sz w:val="16"/>
        </w:rPr>
        <w:t>Rodríguez</w:t>
      </w:r>
      <w:r>
        <w:rPr>
          <w:color w:val="231F20"/>
          <w:spacing w:val="-14"/>
          <w:w w:val="110"/>
          <w:sz w:val="16"/>
        </w:rPr>
        <w:t> </w:t>
      </w:r>
      <w:r>
        <w:rPr>
          <w:color w:val="231F20"/>
          <w:w w:val="110"/>
          <w:sz w:val="16"/>
        </w:rPr>
        <w:t>Rejas,</w:t>
      </w:r>
      <w:r>
        <w:rPr>
          <w:color w:val="231F20"/>
          <w:spacing w:val="-14"/>
          <w:w w:val="110"/>
          <w:sz w:val="16"/>
        </w:rPr>
        <w:t> </w:t>
      </w:r>
      <w:r>
        <w:rPr>
          <w:color w:val="231F20"/>
          <w:w w:val="110"/>
          <w:sz w:val="16"/>
        </w:rPr>
        <w:t>2010.</w:t>
      </w:r>
      <w:r>
        <w:rPr>
          <w:color w:val="231F20"/>
          <w:spacing w:val="-14"/>
          <w:w w:val="110"/>
          <w:sz w:val="16"/>
        </w:rPr>
        <w:t> </w:t>
      </w:r>
      <w:r>
        <w:rPr>
          <w:color w:val="231F20"/>
          <w:w w:val="110"/>
          <w:sz w:val="16"/>
        </w:rPr>
        <w:t>Especialmente</w:t>
      </w:r>
      <w:r>
        <w:rPr>
          <w:color w:val="231F20"/>
          <w:spacing w:val="-14"/>
          <w:w w:val="110"/>
          <w:sz w:val="16"/>
        </w:rPr>
        <w:t> </w:t>
      </w:r>
      <w:r>
        <w:rPr>
          <w:color w:val="231F20"/>
          <w:w w:val="110"/>
          <w:sz w:val="16"/>
        </w:rPr>
        <w:t>el</w:t>
      </w:r>
      <w:r>
        <w:rPr>
          <w:color w:val="231F20"/>
          <w:spacing w:val="-14"/>
          <w:w w:val="110"/>
          <w:sz w:val="16"/>
        </w:rPr>
        <w:t> </w:t>
      </w:r>
      <w:r>
        <w:rPr>
          <w:color w:val="231F20"/>
          <w:w w:val="110"/>
          <w:sz w:val="16"/>
        </w:rPr>
        <w:t>capítulo</w:t>
      </w:r>
      <w:r>
        <w:rPr>
          <w:color w:val="231F20"/>
          <w:spacing w:val="-14"/>
          <w:w w:val="110"/>
          <w:sz w:val="16"/>
        </w:rPr>
        <w:t> </w:t>
      </w:r>
      <w:r>
        <w:rPr>
          <w:color w:val="231F20"/>
          <w:w w:val="110"/>
          <w:sz w:val="16"/>
        </w:rPr>
        <w:t>“El</w:t>
      </w:r>
      <w:r>
        <w:rPr>
          <w:color w:val="231F20"/>
          <w:spacing w:val="-14"/>
          <w:w w:val="110"/>
          <w:sz w:val="16"/>
        </w:rPr>
        <w:t> </w:t>
      </w:r>
      <w:r>
        <w:rPr>
          <w:color w:val="231F20"/>
          <w:spacing w:val="-2"/>
          <w:w w:val="110"/>
          <w:sz w:val="16"/>
        </w:rPr>
        <w:t>imperialismo </w:t>
      </w:r>
      <w:r>
        <w:rPr>
          <w:color w:val="231F20"/>
          <w:w w:val="110"/>
          <w:sz w:val="16"/>
        </w:rPr>
        <w:t>militarista:</w:t>
      </w:r>
      <w:r>
        <w:rPr>
          <w:color w:val="231F20"/>
          <w:spacing w:val="-32"/>
          <w:w w:val="110"/>
          <w:sz w:val="16"/>
        </w:rPr>
        <w:t> </w:t>
      </w:r>
      <w:r>
        <w:rPr>
          <w:color w:val="231F20"/>
          <w:w w:val="110"/>
          <w:sz w:val="16"/>
        </w:rPr>
        <w:t>Estados</w:t>
      </w:r>
      <w:r>
        <w:rPr>
          <w:color w:val="231F20"/>
          <w:spacing w:val="-32"/>
          <w:w w:val="110"/>
          <w:sz w:val="16"/>
        </w:rPr>
        <w:t> </w:t>
      </w:r>
      <w:r>
        <w:rPr>
          <w:color w:val="231F20"/>
          <w:w w:val="110"/>
          <w:sz w:val="16"/>
        </w:rPr>
        <w:t>Unidos</w:t>
      </w:r>
      <w:r>
        <w:rPr>
          <w:color w:val="231F20"/>
          <w:spacing w:val="-32"/>
          <w:w w:val="110"/>
          <w:sz w:val="16"/>
        </w:rPr>
        <w:t> </w:t>
      </w:r>
      <w:r>
        <w:rPr>
          <w:color w:val="231F20"/>
          <w:w w:val="110"/>
          <w:sz w:val="16"/>
        </w:rPr>
        <w:t>y</w:t>
      </w:r>
      <w:r>
        <w:rPr>
          <w:color w:val="231F20"/>
          <w:spacing w:val="-32"/>
          <w:w w:val="110"/>
          <w:sz w:val="16"/>
        </w:rPr>
        <w:t> </w:t>
      </w:r>
      <w:r>
        <w:rPr>
          <w:color w:val="231F20"/>
          <w:w w:val="110"/>
          <w:sz w:val="16"/>
        </w:rPr>
        <w:t>su</w:t>
      </w:r>
      <w:r>
        <w:rPr>
          <w:color w:val="231F20"/>
          <w:spacing w:val="-32"/>
          <w:w w:val="110"/>
          <w:sz w:val="16"/>
        </w:rPr>
        <w:t> </w:t>
      </w:r>
      <w:r>
        <w:rPr>
          <w:color w:val="231F20"/>
          <w:w w:val="110"/>
          <w:sz w:val="16"/>
        </w:rPr>
        <w:t>apuesta</w:t>
      </w:r>
      <w:r>
        <w:rPr>
          <w:color w:val="231F20"/>
          <w:spacing w:val="-32"/>
          <w:w w:val="110"/>
          <w:sz w:val="16"/>
        </w:rPr>
        <w:t> </w:t>
      </w:r>
      <w:r>
        <w:rPr>
          <w:color w:val="231F20"/>
          <w:w w:val="110"/>
          <w:sz w:val="16"/>
        </w:rPr>
        <w:t>por</w:t>
      </w:r>
      <w:r>
        <w:rPr>
          <w:color w:val="231F20"/>
          <w:spacing w:val="-32"/>
          <w:w w:val="110"/>
          <w:sz w:val="16"/>
        </w:rPr>
        <w:t> </w:t>
      </w:r>
      <w:r>
        <w:rPr>
          <w:color w:val="231F20"/>
          <w:w w:val="110"/>
          <w:sz w:val="16"/>
        </w:rPr>
        <w:t>la</w:t>
      </w:r>
      <w:r>
        <w:rPr>
          <w:color w:val="231F20"/>
          <w:spacing w:val="-32"/>
          <w:w w:val="110"/>
          <w:sz w:val="16"/>
        </w:rPr>
        <w:t> </w:t>
      </w:r>
      <w:r>
        <w:rPr>
          <w:color w:val="231F20"/>
          <w:w w:val="110"/>
          <w:sz w:val="16"/>
        </w:rPr>
        <w:t>supervivencia</w:t>
      </w:r>
      <w:r>
        <w:rPr>
          <w:color w:val="231F20"/>
          <w:spacing w:val="-32"/>
          <w:w w:val="110"/>
          <w:sz w:val="16"/>
        </w:rPr>
        <w:t> </w:t>
      </w:r>
      <w:r>
        <w:rPr>
          <w:color w:val="231F20"/>
          <w:w w:val="110"/>
          <w:sz w:val="16"/>
        </w:rPr>
        <w:t>en</w:t>
      </w:r>
      <w:r>
        <w:rPr>
          <w:color w:val="231F20"/>
          <w:spacing w:val="-32"/>
          <w:w w:val="110"/>
          <w:sz w:val="16"/>
        </w:rPr>
        <w:t> </w:t>
      </w:r>
      <w:r>
        <w:rPr>
          <w:color w:val="231F20"/>
          <w:w w:val="110"/>
          <w:sz w:val="16"/>
        </w:rPr>
        <w:t>la</w:t>
      </w:r>
      <w:r>
        <w:rPr>
          <w:color w:val="231F20"/>
          <w:spacing w:val="-32"/>
          <w:w w:val="110"/>
          <w:sz w:val="16"/>
        </w:rPr>
        <w:t> </w:t>
      </w:r>
      <w:r>
        <w:rPr>
          <w:color w:val="231F20"/>
          <w:w w:val="110"/>
          <w:sz w:val="16"/>
        </w:rPr>
        <w:t>competencia</w:t>
      </w:r>
      <w:r>
        <w:rPr>
          <w:color w:val="231F20"/>
          <w:spacing w:val="-32"/>
          <w:w w:val="110"/>
          <w:sz w:val="16"/>
        </w:rPr>
        <w:t> </w:t>
      </w:r>
      <w:r>
        <w:rPr>
          <w:color w:val="231F20"/>
          <w:w w:val="110"/>
          <w:sz w:val="16"/>
        </w:rPr>
        <w:t>mundial”.</w:t>
      </w:r>
    </w:p>
    <w:p>
      <w:pPr>
        <w:spacing w:after="0" w:line="261" w:lineRule="auto"/>
        <w:jc w:val="both"/>
        <w:rPr>
          <w:sz w:val="16"/>
        </w:rPr>
        <w:sectPr>
          <w:headerReference w:type="default" r:id="rId349"/>
          <w:headerReference w:type="even" r:id="rId350"/>
          <w:pgSz w:w="7640" w:h="11900"/>
          <w:pgMar w:header="672" w:footer="0" w:top="860" w:bottom="280" w:left="660" w:right="760"/>
          <w:pgNumType w:start="463"/>
        </w:sectPr>
      </w:pPr>
    </w:p>
    <w:p>
      <w:pPr>
        <w:pStyle w:val="BodyText"/>
        <w:spacing w:before="8"/>
        <w:rPr>
          <w:sz w:val="8"/>
        </w:rPr>
      </w:pPr>
    </w:p>
    <w:p>
      <w:pPr>
        <w:pStyle w:val="BodyText"/>
        <w:spacing w:line="261" w:lineRule="auto" w:before="67"/>
        <w:ind w:left="120" w:right="117"/>
        <w:jc w:val="both"/>
        <w:rPr>
          <w:sz w:val="13"/>
        </w:rPr>
      </w:pPr>
      <w:r>
        <w:rPr>
          <w:color w:val="231F20"/>
          <w:w w:val="105"/>
        </w:rPr>
        <w:t>“la región dispone de 25% de los bosques mundiales, y 40% de la biodiversidad total del planeta; 38% de las tierras de la región se destina a fines agrícolas. Sólo América del Sur dispone de 28% de     los recursos hídricos mundiales. En cuanto a los recursos mineros, la región cuenta con 34% de las reservas de cobre, 30% de bauxita, 41% de níquel y 29% de plata, entre las más representativas. El potencial energético aprovechable equivale a 35% del potencial mundial, den- tro del cual las fuentes hidroenergéticas representan 36%, el carbón 27%, el petróleo 24%, el gas natural 8% y el uranio 5%” (Ruiz-Caro, 2005). Lejos de las apreciaciones que señalan que América Latina      no está en el campo de interés geopolítico de Estados Unidos,  el propio Comando Sur reconoce su papel estratégico en las directrices para 2018: “Las naciones de América Latina y el Caribe son estraté- gicamente importantes para la seguridad y el futuro económico de Estados Unidos. Los intereses de largo plazo para este país son mejor satisfechos por un hemisferio de naciones democráticas, estables y seguras” </w:t>
      </w:r>
      <w:r>
        <w:rPr>
          <w:color w:val="231F20"/>
          <w:spacing w:val="-8"/>
          <w:w w:val="105"/>
        </w:rPr>
        <w:t>y, </w:t>
      </w:r>
      <w:r>
        <w:rPr>
          <w:color w:val="231F20"/>
          <w:w w:val="105"/>
        </w:rPr>
        <w:t>agrega, que esto se logrará, por supuesto, compartiendo valores como “gobiernos eficientes, sociedades libres y economías de mercado” (</w:t>
      </w:r>
      <w:r>
        <w:rPr>
          <w:i/>
          <w:color w:val="231F20"/>
          <w:w w:val="105"/>
        </w:rPr>
        <w:t>Comando Sur</w:t>
      </w:r>
      <w:r>
        <w:rPr>
          <w:color w:val="231F20"/>
          <w:w w:val="105"/>
        </w:rPr>
        <w:t>, 2008: 21). Éste es sólo uno de los muchos documentos sobre seguridad en los que se menciona explícitamente      a América Latina. Entre los menos conocidos, pero más importantes, está el documento de </w:t>
      </w:r>
      <w:r>
        <w:rPr>
          <w:i/>
          <w:color w:val="231F20"/>
          <w:w w:val="105"/>
        </w:rPr>
        <w:t>Santa Fe IV </w:t>
      </w:r>
      <w:r>
        <w:rPr>
          <w:color w:val="231F20"/>
          <w:spacing w:val="-3"/>
          <w:w w:val="105"/>
        </w:rPr>
        <w:t>(Lucier,   </w:t>
      </w:r>
      <w:r>
        <w:rPr>
          <w:color w:val="231F20"/>
          <w:spacing w:val="19"/>
          <w:w w:val="105"/>
        </w:rPr>
        <w:t> </w:t>
      </w:r>
      <w:r>
        <w:rPr>
          <w:color w:val="231F20"/>
          <w:w w:val="105"/>
        </w:rPr>
        <w:t>2000).</w:t>
      </w:r>
      <w:r>
        <w:rPr>
          <w:color w:val="231F20"/>
          <w:w w:val="105"/>
          <w:position w:val="6"/>
          <w:sz w:val="13"/>
        </w:rPr>
        <w:t>2</w:t>
      </w:r>
    </w:p>
    <w:p>
      <w:pPr>
        <w:pStyle w:val="BodyText"/>
        <w:spacing w:line="261" w:lineRule="auto"/>
        <w:ind w:left="120" w:right="119" w:firstLine="240"/>
        <w:jc w:val="both"/>
      </w:pP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ámbito</w:t>
      </w:r>
      <w:r>
        <w:rPr>
          <w:color w:val="231F20"/>
          <w:spacing w:val="-9"/>
          <w:w w:val="110"/>
        </w:rPr>
        <w:t> </w:t>
      </w:r>
      <w:r>
        <w:rPr>
          <w:color w:val="231F20"/>
          <w:w w:val="110"/>
        </w:rPr>
        <w:t>petrolero,</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produce</w:t>
      </w:r>
      <w:r>
        <w:rPr>
          <w:color w:val="231F20"/>
          <w:spacing w:val="-9"/>
          <w:w w:val="110"/>
        </w:rPr>
        <w:t> </w:t>
      </w:r>
      <w:r>
        <w:rPr>
          <w:color w:val="231F20"/>
          <w:w w:val="110"/>
        </w:rPr>
        <w:t>un</w:t>
      </w:r>
      <w:r>
        <w:rPr>
          <w:color w:val="231F20"/>
          <w:spacing w:val="-9"/>
          <w:w w:val="110"/>
        </w:rPr>
        <w:t> </w:t>
      </w:r>
      <w:r>
        <w:rPr>
          <w:color w:val="231F20"/>
          <w:w w:val="110"/>
        </w:rPr>
        <w:t>15%</w:t>
      </w:r>
      <w:r>
        <w:rPr>
          <w:color w:val="231F20"/>
          <w:spacing w:val="-9"/>
          <w:w w:val="110"/>
        </w:rPr>
        <w:t> </w:t>
      </w:r>
      <w:r>
        <w:rPr>
          <w:color w:val="231F20"/>
          <w:w w:val="110"/>
        </w:rPr>
        <w:t>del</w:t>
      </w:r>
      <w:r>
        <w:rPr>
          <w:color w:val="231F20"/>
          <w:spacing w:val="-9"/>
          <w:w w:val="110"/>
        </w:rPr>
        <w:t> </w:t>
      </w:r>
      <w:r>
        <w:rPr>
          <w:color w:val="231F20"/>
          <w:w w:val="110"/>
        </w:rPr>
        <w:t>crudo mundial y de aquí proceden el 37% de las</w:t>
      </w:r>
      <w:r>
        <w:rPr>
          <w:color w:val="231F20"/>
          <w:spacing w:val="33"/>
          <w:w w:val="110"/>
        </w:rPr>
        <w:t> </w:t>
      </w:r>
      <w:r>
        <w:rPr>
          <w:color w:val="231F20"/>
          <w:w w:val="110"/>
        </w:rPr>
        <w:t>importaciones</w:t>
      </w:r>
      <w:r>
        <w:rPr>
          <w:color w:val="231F20"/>
          <w:spacing w:val="9"/>
          <w:w w:val="110"/>
        </w:rPr>
        <w:t> </w:t>
      </w:r>
      <w:r>
        <w:rPr>
          <w:color w:val="231F20"/>
          <w:w w:val="110"/>
        </w:rPr>
        <w:t>petroleras</w:t>
      </w:r>
      <w:r>
        <w:rPr>
          <w:color w:val="231F20"/>
          <w:w w:val="111"/>
        </w:rPr>
        <w:t> </w:t>
      </w:r>
      <w:r>
        <w:rPr>
          <w:color w:val="231F20"/>
          <w:w w:val="110"/>
        </w:rPr>
        <w:t>de Estados Unidos, siendo además los suministros más cercanos y seguros.</w:t>
      </w:r>
      <w:r>
        <w:rPr>
          <w:color w:val="231F20"/>
          <w:w w:val="110"/>
          <w:position w:val="6"/>
          <w:sz w:val="13"/>
        </w:rPr>
        <w:t>3 </w:t>
      </w:r>
      <w:r>
        <w:rPr>
          <w:color w:val="231F20"/>
          <w:w w:val="110"/>
        </w:rPr>
        <w:t>Venezuela, México y recientemente Brasil están</w:t>
      </w:r>
      <w:r>
        <w:rPr>
          <w:color w:val="231F20"/>
          <w:spacing w:val="5"/>
          <w:w w:val="110"/>
        </w:rPr>
        <w:t> </w:t>
      </w:r>
      <w:r>
        <w:rPr>
          <w:color w:val="231F20"/>
          <w:w w:val="110"/>
        </w:rPr>
        <w:t>entre</w:t>
      </w:r>
      <w:r>
        <w:rPr>
          <w:color w:val="231F20"/>
          <w:spacing w:val="11"/>
          <w:w w:val="110"/>
        </w:rPr>
        <w:t> </w:t>
      </w:r>
      <w:r>
        <w:rPr>
          <w:color w:val="231F20"/>
          <w:w w:val="110"/>
        </w:rPr>
        <w:t>los</w:t>
      </w:r>
      <w:r>
        <w:rPr>
          <w:color w:val="231F20"/>
          <w:w w:val="102"/>
        </w:rPr>
        <w:t> </w:t>
      </w:r>
      <w:r>
        <w:rPr>
          <w:color w:val="231F20"/>
          <w:w w:val="110"/>
        </w:rPr>
        <w:t>primeros países en cuanto a reservas. En relación con el gas, las reservas latinoamericanas, aunque no están en los primeros lugares mundiales, son equivalentes a las de Estados Unidos y Canadá.</w:t>
      </w:r>
      <w:r>
        <w:rPr>
          <w:color w:val="231F20"/>
          <w:spacing w:val="-2"/>
          <w:w w:val="110"/>
        </w:rPr>
        <w:t> </w:t>
      </w:r>
      <w:r>
        <w:rPr>
          <w:color w:val="231F20"/>
          <w:w w:val="110"/>
        </w:rPr>
        <w:t>Esto las</w:t>
      </w:r>
      <w:r>
        <w:rPr>
          <w:color w:val="231F20"/>
          <w:spacing w:val="-9"/>
          <w:w w:val="110"/>
        </w:rPr>
        <w:t> </w:t>
      </w:r>
      <w:r>
        <w:rPr>
          <w:color w:val="231F20"/>
          <w:w w:val="110"/>
        </w:rPr>
        <w:t>convierte</w:t>
      </w:r>
      <w:r>
        <w:rPr>
          <w:color w:val="231F20"/>
          <w:spacing w:val="-9"/>
          <w:w w:val="110"/>
        </w:rPr>
        <w:t> </w:t>
      </w:r>
      <w:r>
        <w:rPr>
          <w:color w:val="231F20"/>
          <w:w w:val="110"/>
        </w:rPr>
        <w:t>en</w:t>
      </w:r>
      <w:r>
        <w:rPr>
          <w:color w:val="231F20"/>
          <w:spacing w:val="-9"/>
          <w:w w:val="110"/>
        </w:rPr>
        <w:t> </w:t>
      </w:r>
      <w:r>
        <w:rPr>
          <w:color w:val="231F20"/>
          <w:w w:val="110"/>
        </w:rPr>
        <w:t>reservorio</w:t>
      </w:r>
      <w:r>
        <w:rPr>
          <w:color w:val="231F20"/>
          <w:spacing w:val="-9"/>
          <w:w w:val="110"/>
        </w:rPr>
        <w:t> </w:t>
      </w:r>
      <w:r>
        <w:rPr>
          <w:color w:val="231F20"/>
          <w:w w:val="110"/>
        </w:rPr>
        <w:t>importante.</w:t>
      </w:r>
      <w:r>
        <w:rPr>
          <w:color w:val="231F20"/>
          <w:spacing w:val="-9"/>
          <w:w w:val="110"/>
        </w:rPr>
        <w:t> </w:t>
      </w:r>
      <w:r>
        <w:rPr>
          <w:color w:val="231F20"/>
          <w:w w:val="110"/>
        </w:rPr>
        <w:t>Los</w:t>
      </w:r>
      <w:r>
        <w:rPr>
          <w:color w:val="231F20"/>
          <w:spacing w:val="-9"/>
          <w:w w:val="110"/>
        </w:rPr>
        <w:t> </w:t>
      </w:r>
      <w:r>
        <w:rPr>
          <w:color w:val="231F20"/>
          <w:w w:val="110"/>
        </w:rPr>
        <w:t>principales</w:t>
      </w:r>
      <w:r>
        <w:rPr>
          <w:color w:val="231F20"/>
          <w:spacing w:val="-9"/>
          <w:w w:val="110"/>
        </w:rPr>
        <w:t> </w:t>
      </w:r>
      <w:r>
        <w:rPr>
          <w:color w:val="231F20"/>
          <w:w w:val="110"/>
        </w:rPr>
        <w:t>países</w:t>
      </w:r>
      <w:r>
        <w:rPr>
          <w:color w:val="231F20"/>
          <w:spacing w:val="-9"/>
          <w:w w:val="110"/>
        </w:rPr>
        <w:t> </w:t>
      </w:r>
      <w:r>
        <w:rPr>
          <w:color w:val="231F20"/>
          <w:w w:val="110"/>
        </w:rPr>
        <w:t>por</w:t>
      </w:r>
      <w:r>
        <w:rPr>
          <w:color w:val="231F20"/>
          <w:spacing w:val="-9"/>
          <w:w w:val="110"/>
        </w:rPr>
        <w:t> </w:t>
      </w:r>
      <w:r>
        <w:rPr>
          <w:color w:val="231F20"/>
          <w:w w:val="110"/>
        </w:rPr>
        <w:t>sus reservas</w:t>
      </w:r>
      <w:r>
        <w:rPr>
          <w:color w:val="231F20"/>
          <w:spacing w:val="-30"/>
          <w:w w:val="110"/>
        </w:rPr>
        <w:t> </w:t>
      </w:r>
      <w:r>
        <w:rPr>
          <w:color w:val="231F20"/>
          <w:w w:val="110"/>
        </w:rPr>
        <w:t>son</w:t>
      </w:r>
      <w:r>
        <w:rPr>
          <w:color w:val="231F20"/>
          <w:spacing w:val="-30"/>
          <w:w w:val="110"/>
        </w:rPr>
        <w:t> </w:t>
      </w:r>
      <w:r>
        <w:rPr>
          <w:color w:val="231F20"/>
          <w:w w:val="110"/>
        </w:rPr>
        <w:t>Bolivia,</w:t>
      </w:r>
      <w:r>
        <w:rPr>
          <w:color w:val="231F20"/>
          <w:spacing w:val="-30"/>
          <w:w w:val="110"/>
        </w:rPr>
        <w:t> </w:t>
      </w:r>
      <w:r>
        <w:rPr>
          <w:color w:val="231F20"/>
          <w:w w:val="110"/>
        </w:rPr>
        <w:t>Venezuela</w:t>
      </w:r>
      <w:r>
        <w:rPr>
          <w:color w:val="231F20"/>
          <w:spacing w:val="-30"/>
          <w:w w:val="110"/>
        </w:rPr>
        <w:t> </w:t>
      </w:r>
      <w:r>
        <w:rPr>
          <w:color w:val="231F20"/>
          <w:w w:val="110"/>
        </w:rPr>
        <w:t>y</w:t>
      </w:r>
      <w:r>
        <w:rPr>
          <w:color w:val="231F20"/>
          <w:spacing w:val="-30"/>
          <w:w w:val="110"/>
        </w:rPr>
        <w:t> </w:t>
      </w:r>
      <w:r>
        <w:rPr>
          <w:color w:val="231F20"/>
          <w:w w:val="110"/>
        </w:rPr>
        <w:t>México.</w:t>
      </w:r>
    </w:p>
    <w:p>
      <w:pPr>
        <w:pStyle w:val="BodyText"/>
      </w:pPr>
    </w:p>
    <w:p>
      <w:pPr>
        <w:pStyle w:val="BodyText"/>
      </w:pPr>
    </w:p>
    <w:p>
      <w:pPr>
        <w:pStyle w:val="BodyText"/>
        <w:spacing w:before="11"/>
        <w:rPr>
          <w:sz w:val="27"/>
        </w:rPr>
      </w:pPr>
    </w:p>
    <w:p>
      <w:pPr>
        <w:spacing w:line="261" w:lineRule="auto" w:before="0"/>
        <w:ind w:left="120" w:right="117" w:firstLine="240"/>
        <w:jc w:val="both"/>
        <w:rPr>
          <w:sz w:val="16"/>
        </w:rPr>
      </w:pPr>
      <w:r>
        <w:rPr>
          <w:color w:val="231F20"/>
          <w:w w:val="110"/>
          <w:position w:val="5"/>
          <w:sz w:val="10"/>
        </w:rPr>
        <w:t>2 </w:t>
      </w:r>
      <w:r>
        <w:rPr>
          <w:color w:val="231F20"/>
          <w:w w:val="110"/>
          <w:sz w:val="16"/>
        </w:rPr>
        <w:t>Para un análisis pormenorizado de la importancia de los documentos de Santa  Fe i, ii y iv puede consultarse: “La importancia de los Documentos de Santa Fe en</w:t>
      </w:r>
      <w:r>
        <w:rPr>
          <w:color w:val="231F20"/>
          <w:spacing w:val="-22"/>
          <w:w w:val="110"/>
          <w:sz w:val="16"/>
        </w:rPr>
        <w:t> </w:t>
      </w:r>
      <w:r>
        <w:rPr>
          <w:color w:val="231F20"/>
          <w:w w:val="110"/>
          <w:sz w:val="16"/>
        </w:rPr>
        <w:t>las políticas</w:t>
      </w:r>
      <w:r>
        <w:rPr>
          <w:color w:val="231F20"/>
          <w:spacing w:val="-5"/>
          <w:w w:val="110"/>
          <w:sz w:val="16"/>
        </w:rPr>
        <w:t> </w:t>
      </w:r>
      <w:r>
        <w:rPr>
          <w:color w:val="231F20"/>
          <w:w w:val="110"/>
          <w:sz w:val="16"/>
        </w:rPr>
        <w:t>de</w:t>
      </w:r>
      <w:r>
        <w:rPr>
          <w:color w:val="231F20"/>
          <w:spacing w:val="-5"/>
          <w:w w:val="110"/>
          <w:sz w:val="16"/>
        </w:rPr>
        <w:t> </w:t>
      </w:r>
      <w:r>
        <w:rPr>
          <w:color w:val="231F20"/>
          <w:w w:val="110"/>
          <w:sz w:val="16"/>
        </w:rPr>
        <w:t>defensa</w:t>
      </w:r>
      <w:r>
        <w:rPr>
          <w:color w:val="231F20"/>
          <w:spacing w:val="-5"/>
          <w:w w:val="110"/>
          <w:sz w:val="16"/>
        </w:rPr>
        <w:t> </w:t>
      </w:r>
      <w:r>
        <w:rPr>
          <w:color w:val="231F20"/>
          <w:w w:val="110"/>
          <w:sz w:val="16"/>
        </w:rPr>
        <w:t>hacia</w:t>
      </w:r>
      <w:r>
        <w:rPr>
          <w:color w:val="231F20"/>
          <w:spacing w:val="-5"/>
          <w:w w:val="110"/>
          <w:sz w:val="16"/>
        </w:rPr>
        <w:t> </w:t>
      </w:r>
      <w:r>
        <w:rPr>
          <w:color w:val="231F20"/>
          <w:w w:val="110"/>
          <w:sz w:val="16"/>
        </w:rPr>
        <w:t>América</w:t>
      </w:r>
      <w:r>
        <w:rPr>
          <w:color w:val="231F20"/>
          <w:spacing w:val="-5"/>
          <w:w w:val="110"/>
          <w:sz w:val="16"/>
        </w:rPr>
        <w:t> </w:t>
      </w:r>
      <w:r>
        <w:rPr>
          <w:color w:val="231F20"/>
          <w:w w:val="110"/>
          <w:sz w:val="16"/>
        </w:rPr>
        <w:t>Latina”</w:t>
      </w:r>
      <w:r>
        <w:rPr>
          <w:color w:val="231F20"/>
          <w:spacing w:val="-5"/>
          <w:w w:val="110"/>
          <w:sz w:val="16"/>
        </w:rPr>
        <w:t> </w:t>
      </w:r>
      <w:r>
        <w:rPr>
          <w:color w:val="231F20"/>
          <w:w w:val="110"/>
          <w:sz w:val="16"/>
        </w:rPr>
        <w:t>(Rodríguez</w:t>
      </w:r>
      <w:r>
        <w:rPr>
          <w:color w:val="231F20"/>
          <w:spacing w:val="-5"/>
          <w:w w:val="110"/>
          <w:sz w:val="16"/>
        </w:rPr>
        <w:t> </w:t>
      </w:r>
      <w:r>
        <w:rPr>
          <w:color w:val="231F20"/>
          <w:w w:val="110"/>
          <w:sz w:val="16"/>
        </w:rPr>
        <w:t>Rejas,</w:t>
      </w:r>
      <w:r>
        <w:rPr>
          <w:color w:val="231F20"/>
          <w:spacing w:val="-5"/>
          <w:w w:val="110"/>
          <w:sz w:val="16"/>
        </w:rPr>
        <w:t> </w:t>
      </w:r>
      <w:r>
        <w:rPr>
          <w:color w:val="231F20"/>
          <w:w w:val="110"/>
          <w:sz w:val="16"/>
        </w:rPr>
        <w:t>2010).</w:t>
      </w:r>
    </w:p>
    <w:p>
      <w:pPr>
        <w:spacing w:line="261" w:lineRule="auto" w:before="0"/>
        <w:ind w:left="119" w:right="117" w:firstLine="240"/>
        <w:jc w:val="both"/>
        <w:rPr>
          <w:sz w:val="16"/>
        </w:rPr>
      </w:pPr>
      <w:r>
        <w:rPr>
          <w:color w:val="231F20"/>
          <w:w w:val="110"/>
          <w:position w:val="5"/>
          <w:sz w:val="10"/>
        </w:rPr>
        <w:t>3 </w:t>
      </w:r>
      <w:r>
        <w:rPr>
          <w:color w:val="231F20"/>
          <w:w w:val="110"/>
          <w:sz w:val="16"/>
        </w:rPr>
        <w:t>Pueden consultarse cifras por regiones del mundo y por países en la publicación </w:t>
      </w:r>
      <w:r>
        <w:rPr>
          <w:i/>
          <w:color w:val="231F20"/>
          <w:w w:val="110"/>
          <w:sz w:val="16"/>
        </w:rPr>
        <w:t>Energía</w:t>
      </w:r>
      <w:r>
        <w:rPr>
          <w:i/>
          <w:color w:val="231F20"/>
          <w:spacing w:val="-4"/>
          <w:w w:val="110"/>
          <w:sz w:val="16"/>
        </w:rPr>
        <w:t> </w:t>
      </w:r>
      <w:r>
        <w:rPr>
          <w:i/>
          <w:color w:val="231F20"/>
          <w:w w:val="110"/>
          <w:sz w:val="16"/>
        </w:rPr>
        <w:t>en</w:t>
      </w:r>
      <w:r>
        <w:rPr>
          <w:i/>
          <w:color w:val="231F20"/>
          <w:spacing w:val="-4"/>
          <w:w w:val="110"/>
          <w:sz w:val="16"/>
        </w:rPr>
        <w:t> </w:t>
      </w:r>
      <w:r>
        <w:rPr>
          <w:i/>
          <w:color w:val="231F20"/>
          <w:w w:val="110"/>
          <w:sz w:val="16"/>
        </w:rPr>
        <w:t>cifras</w:t>
      </w:r>
      <w:r>
        <w:rPr>
          <w:color w:val="231F20"/>
          <w:w w:val="110"/>
          <w:sz w:val="16"/>
        </w:rPr>
        <w:t>,</w:t>
      </w:r>
      <w:r>
        <w:rPr>
          <w:color w:val="231F20"/>
          <w:spacing w:val="-4"/>
          <w:w w:val="110"/>
          <w:sz w:val="16"/>
        </w:rPr>
        <w:t> </w:t>
      </w:r>
      <w:r>
        <w:rPr>
          <w:color w:val="231F20"/>
          <w:w w:val="110"/>
          <w:sz w:val="16"/>
        </w:rPr>
        <w:t>Sistema</w:t>
      </w:r>
      <w:r>
        <w:rPr>
          <w:color w:val="231F20"/>
          <w:spacing w:val="-4"/>
          <w:w w:val="110"/>
          <w:sz w:val="16"/>
        </w:rPr>
        <w:t> </w:t>
      </w:r>
      <w:r>
        <w:rPr>
          <w:color w:val="231F20"/>
          <w:w w:val="110"/>
          <w:sz w:val="16"/>
        </w:rPr>
        <w:t>de</w:t>
      </w:r>
      <w:r>
        <w:rPr>
          <w:color w:val="231F20"/>
          <w:spacing w:val="-4"/>
          <w:w w:val="110"/>
          <w:sz w:val="16"/>
        </w:rPr>
        <w:t> </w:t>
      </w:r>
      <w:r>
        <w:rPr>
          <w:color w:val="231F20"/>
          <w:w w:val="110"/>
          <w:sz w:val="16"/>
        </w:rPr>
        <w:t>Información</w:t>
      </w:r>
      <w:r>
        <w:rPr>
          <w:color w:val="231F20"/>
          <w:spacing w:val="-4"/>
          <w:w w:val="110"/>
          <w:sz w:val="16"/>
        </w:rPr>
        <w:t> </w:t>
      </w:r>
      <w:r>
        <w:rPr>
          <w:color w:val="231F20"/>
          <w:w w:val="110"/>
          <w:sz w:val="16"/>
        </w:rPr>
        <w:t>Económica</w:t>
      </w:r>
      <w:r>
        <w:rPr>
          <w:color w:val="231F20"/>
          <w:spacing w:val="-4"/>
          <w:w w:val="110"/>
          <w:sz w:val="16"/>
        </w:rPr>
        <w:t> </w:t>
      </w:r>
      <w:r>
        <w:rPr>
          <w:color w:val="231F20"/>
          <w:w w:val="110"/>
          <w:sz w:val="16"/>
        </w:rPr>
        <w:t>Energética,</w:t>
      </w:r>
      <w:r>
        <w:rPr>
          <w:color w:val="231F20"/>
          <w:spacing w:val="-4"/>
          <w:w w:val="110"/>
          <w:sz w:val="16"/>
        </w:rPr>
        <w:t> </w:t>
      </w:r>
      <w:r>
        <w:rPr>
          <w:color w:val="231F20"/>
          <w:w w:val="110"/>
          <w:sz w:val="16"/>
        </w:rPr>
        <w:t>olade,</w:t>
      </w:r>
      <w:r>
        <w:rPr>
          <w:color w:val="231F20"/>
          <w:spacing w:val="-4"/>
          <w:w w:val="110"/>
          <w:sz w:val="16"/>
        </w:rPr>
        <w:t> </w:t>
      </w:r>
      <w:r>
        <w:rPr>
          <w:color w:val="231F20"/>
          <w:w w:val="110"/>
          <w:sz w:val="16"/>
        </w:rPr>
        <w:t>Quito,</w:t>
      </w:r>
      <w:r>
        <w:rPr>
          <w:color w:val="231F20"/>
          <w:spacing w:val="-4"/>
          <w:w w:val="110"/>
          <w:sz w:val="16"/>
        </w:rPr>
        <w:t> </w:t>
      </w:r>
      <w:r>
        <w:rPr>
          <w:color w:val="231F20"/>
          <w:w w:val="110"/>
          <w:sz w:val="16"/>
        </w:rPr>
        <w:t>espe- cialmente los núms. 16 y</w:t>
      </w:r>
      <w:r>
        <w:rPr>
          <w:color w:val="231F20"/>
          <w:spacing w:val="-13"/>
          <w:w w:val="110"/>
          <w:sz w:val="16"/>
        </w:rPr>
        <w:t> </w:t>
      </w:r>
      <w:r>
        <w:rPr>
          <w:color w:val="231F20"/>
          <w:w w:val="110"/>
          <w:sz w:val="16"/>
        </w:rPr>
        <w:t>18</w:t>
      </w:r>
    </w:p>
    <w:p>
      <w:pPr>
        <w:spacing w:after="0" w:line="261" w:lineRule="auto"/>
        <w:jc w:val="both"/>
        <w:rPr>
          <w:sz w:val="16"/>
        </w:rPr>
        <w:sectPr>
          <w:pgSz w:w="7640" w:h="11900"/>
          <w:pgMar w:header="672" w:footer="0" w:top="860" w:bottom="280" w:left="760" w:right="640"/>
        </w:sectPr>
      </w:pPr>
    </w:p>
    <w:p>
      <w:pPr>
        <w:pStyle w:val="BodyText"/>
        <w:spacing w:before="8"/>
        <w:rPr>
          <w:sz w:val="8"/>
        </w:rPr>
      </w:pPr>
    </w:p>
    <w:p>
      <w:pPr>
        <w:pStyle w:val="BodyText"/>
        <w:spacing w:line="261" w:lineRule="auto" w:before="67"/>
        <w:ind w:left="41" w:right="112" w:firstLine="240"/>
        <w:jc w:val="right"/>
      </w:pPr>
      <w:r>
        <w:rPr>
          <w:color w:val="231F20"/>
          <w:w w:val="110"/>
        </w:rPr>
        <w:t>La región es también el gran reservorio de agua dulce del plane-</w:t>
      </w:r>
      <w:r>
        <w:rPr>
          <w:color w:val="231F20"/>
          <w:w w:val="72"/>
        </w:rPr>
        <w:t> </w:t>
      </w:r>
      <w:r>
        <w:rPr>
          <w:color w:val="231F20"/>
          <w:w w:val="110"/>
        </w:rPr>
        <w:t>ta. El mayor caudal se encuentra en la triple frontera (ríos Iguazú y</w:t>
      </w:r>
      <w:r>
        <w:rPr>
          <w:color w:val="231F20"/>
          <w:w w:val="84"/>
        </w:rPr>
        <w:t> </w:t>
      </w:r>
      <w:r>
        <w:rPr>
          <w:color w:val="231F20"/>
          <w:w w:val="105"/>
        </w:rPr>
        <w:t>Paraná), seguido de Colombia y Perú (</w:t>
      </w:r>
      <w:r>
        <w:rPr>
          <w:i/>
          <w:color w:val="231F20"/>
          <w:w w:val="105"/>
        </w:rPr>
        <w:t>World Resources Institute</w:t>
      </w:r>
      <w:r>
        <w:rPr>
          <w:color w:val="231F20"/>
          <w:w w:val="105"/>
        </w:rPr>
        <w:t>, 2005).</w:t>
      </w:r>
      <w:r>
        <w:rPr>
          <w:color w:val="231F20"/>
          <w:w w:val="107"/>
        </w:rPr>
        <w:t> </w:t>
      </w:r>
      <w:r>
        <w:rPr>
          <w:color w:val="231F20"/>
          <w:w w:val="110"/>
        </w:rPr>
        <w:t>Entre los principales países productores de energía hidroeléctrica</w:t>
      </w:r>
      <w:r>
        <w:rPr>
          <w:color w:val="231F20"/>
          <w:w w:val="110"/>
        </w:rPr>
        <w:t> </w:t>
      </w:r>
      <w:r>
        <w:rPr>
          <w:color w:val="231F20"/>
          <w:w w:val="105"/>
        </w:rPr>
        <w:t>están Brasil, Colombia, Perú y México (</w:t>
      </w:r>
      <w:r>
        <w:rPr>
          <w:i/>
          <w:color w:val="231F20"/>
          <w:w w:val="105"/>
        </w:rPr>
        <w:t>Business News America</w:t>
      </w:r>
      <w:r>
        <w:rPr>
          <w:color w:val="231F20"/>
          <w:w w:val="105"/>
        </w:rPr>
        <w:t>, 2004).</w:t>
      </w:r>
      <w:r>
        <w:rPr>
          <w:color w:val="231F20"/>
          <w:w w:val="107"/>
        </w:rPr>
        <w:t> </w:t>
      </w:r>
      <w:r>
        <w:rPr>
          <w:color w:val="231F20"/>
          <w:w w:val="110"/>
        </w:rPr>
        <w:t>En términos de biodiversidad, América Latina cuenta con los</w:t>
      </w:r>
      <w:r>
        <w:rPr>
          <w:color w:val="231F20"/>
          <w:w w:val="102"/>
        </w:rPr>
        <w:t> </w:t>
      </w:r>
      <w:r>
        <w:rPr>
          <w:color w:val="231F20"/>
          <w:w w:val="110"/>
        </w:rPr>
        <w:t>mayores recursos del planeta como podemos ver en el cuadro 1.</w:t>
      </w:r>
      <w:r>
        <w:rPr>
          <w:color w:val="231F20"/>
          <w:w w:val="104"/>
        </w:rPr>
        <w:t> </w:t>
      </w:r>
      <w:r>
        <w:rPr>
          <w:color w:val="231F20"/>
          <w:w w:val="110"/>
        </w:rPr>
        <w:t>Concentra 40% de las especies animales y vegetales existentes. Es la</w:t>
      </w:r>
      <w:r>
        <w:rPr>
          <w:color w:val="231F20"/>
          <w:w w:val="105"/>
        </w:rPr>
        <w:t> </w:t>
      </w:r>
      <w:r>
        <w:rPr>
          <w:color w:val="231F20"/>
          <w:w w:val="110"/>
        </w:rPr>
        <w:t>primera región del planeta en cuanto a especies vegetales y la segun-</w:t>
      </w:r>
      <w:r>
        <w:rPr>
          <w:color w:val="231F20"/>
          <w:w w:val="72"/>
        </w:rPr>
        <w:t> </w:t>
      </w:r>
      <w:r>
        <w:rPr>
          <w:color w:val="231F20"/>
          <w:w w:val="110"/>
        </w:rPr>
        <w:t>da en número de mamíferos y aves. Brasil, Colombia, México y Perú</w:t>
      </w:r>
    </w:p>
    <w:p>
      <w:pPr>
        <w:pStyle w:val="BodyText"/>
        <w:ind w:left="120" w:right="25"/>
        <w:rPr>
          <w:sz w:val="13"/>
        </w:rPr>
      </w:pPr>
      <w:r>
        <w:rPr>
          <w:color w:val="231F20"/>
          <w:w w:val="110"/>
        </w:rPr>
        <w:t>destacan como los principales países por sus recursos.</w:t>
      </w:r>
      <w:r>
        <w:rPr>
          <w:color w:val="231F20"/>
          <w:w w:val="110"/>
          <w:position w:val="6"/>
          <w:sz w:val="13"/>
        </w:rPr>
        <w:t>4</w:t>
      </w:r>
    </w:p>
    <w:p>
      <w:pPr>
        <w:pStyle w:val="BodyText"/>
        <w:spacing w:before="11"/>
        <w:rPr>
          <w:sz w:val="25"/>
        </w:rPr>
      </w:pPr>
    </w:p>
    <w:p>
      <w:pPr>
        <w:spacing w:line="290" w:lineRule="auto" w:before="0"/>
        <w:ind w:left="120" w:right="218" w:firstLine="0"/>
        <w:jc w:val="left"/>
        <w:rPr>
          <w:sz w:val="18"/>
        </w:rPr>
      </w:pPr>
      <w:r>
        <w:rPr/>
        <w:pict>
          <v:group style="position:absolute;margin-left:37.049999pt;margin-top:26.902346pt;width:301.9pt;height:.5pt;mso-position-horizontal-relative:page;mso-position-vertical-relative:paragraph;z-index:9688;mso-wrap-distance-left:0;mso-wrap-distance-right:0" coordorigin="741,538" coordsize="6038,10">
            <v:line style="position:absolute" from="746,543" to="3194,543" stroked="true" strokeweight=".5pt" strokecolor="#231f20"/>
            <v:line style="position:absolute" from="3194,543" to="4054,543" stroked="true" strokeweight=".5pt" strokecolor="#231f20"/>
            <v:line style="position:absolute" from="4054,543" to="4854,543" stroked="true" strokeweight=".5pt" strokecolor="#231f20"/>
            <v:line style="position:absolute" from="4854,543" to="5814,543" stroked="true" strokeweight=".5pt" strokecolor="#231f20"/>
            <v:line style="position:absolute" from="5814,543" to="6774,543" stroked="true" strokeweight=".5pt" strokecolor="#231f20"/>
            <w10:wrap type="topAndBottom"/>
          </v:group>
        </w:pict>
      </w:r>
      <w:r>
        <w:rPr>
          <w:color w:val="231F20"/>
          <w:w w:val="120"/>
          <w:sz w:val="18"/>
        </w:rPr>
        <w:t>cuadro 1. biodiversidad en américa latina: mamíferos, </w:t>
      </w:r>
      <w:r>
        <w:rPr>
          <w:color w:val="231F20"/>
          <w:spacing w:val="-3"/>
          <w:w w:val="120"/>
          <w:sz w:val="18"/>
        </w:rPr>
        <w:t>aves, </w:t>
      </w:r>
      <w:r>
        <w:rPr>
          <w:color w:val="231F20"/>
          <w:w w:val="120"/>
          <w:sz w:val="18"/>
        </w:rPr>
        <w:t>plantas y</w:t>
      </w:r>
      <w:r>
        <w:rPr>
          <w:color w:val="231F20"/>
          <w:spacing w:val="-28"/>
          <w:w w:val="120"/>
          <w:sz w:val="18"/>
        </w:rPr>
        <w:t> </w:t>
      </w:r>
      <w:r>
        <w:rPr>
          <w:color w:val="231F20"/>
          <w:w w:val="120"/>
          <w:sz w:val="18"/>
        </w:rPr>
        <w:t>peces</w:t>
      </w:r>
      <w:r>
        <w:rPr>
          <w:color w:val="231F20"/>
          <w:spacing w:val="-28"/>
          <w:w w:val="120"/>
          <w:sz w:val="18"/>
        </w:rPr>
        <w:t> </w:t>
      </w:r>
      <w:r>
        <w:rPr>
          <w:color w:val="231F20"/>
          <w:w w:val="120"/>
          <w:sz w:val="18"/>
        </w:rPr>
        <w:t>(especies)</w:t>
      </w:r>
    </w:p>
    <w:p>
      <w:pPr>
        <w:spacing w:line="110" w:lineRule="exact" w:before="0"/>
        <w:ind w:left="572" w:right="25" w:firstLine="0"/>
        <w:jc w:val="left"/>
        <w:rPr>
          <w:sz w:val="16"/>
        </w:rPr>
      </w:pPr>
      <w:r>
        <w:rPr>
          <w:color w:val="231F20"/>
          <w:w w:val="125"/>
          <w:sz w:val="16"/>
        </w:rPr>
        <w:t>regiones del mundo</w:t>
      </w:r>
    </w:p>
    <w:p>
      <w:pPr>
        <w:tabs>
          <w:tab w:pos="2593" w:val="left" w:leader="none"/>
          <w:tab w:pos="3654" w:val="left" w:leader="none"/>
          <w:tab w:pos="4370" w:val="left" w:leader="none"/>
          <w:tab w:pos="5453" w:val="left" w:leader="none"/>
        </w:tabs>
        <w:spacing w:line="227" w:lineRule="exact" w:before="0" w:after="5"/>
        <w:ind w:left="409" w:right="25" w:firstLine="0"/>
        <w:jc w:val="left"/>
        <w:rPr>
          <w:sz w:val="16"/>
        </w:rPr>
      </w:pPr>
      <w:r>
        <w:rPr>
          <w:color w:val="231F20"/>
          <w:w w:val="120"/>
          <w:position w:val="-8"/>
          <w:sz w:val="16"/>
        </w:rPr>
        <w:t>países de</w:t>
      </w:r>
      <w:r>
        <w:rPr>
          <w:color w:val="231F20"/>
          <w:spacing w:val="-5"/>
          <w:w w:val="120"/>
          <w:position w:val="-8"/>
          <w:sz w:val="16"/>
        </w:rPr>
        <w:t> </w:t>
      </w:r>
      <w:r>
        <w:rPr>
          <w:color w:val="231F20"/>
          <w:w w:val="120"/>
          <w:position w:val="-8"/>
          <w:sz w:val="16"/>
        </w:rPr>
        <w:t>américa</w:t>
      </w:r>
      <w:r>
        <w:rPr>
          <w:color w:val="231F20"/>
          <w:spacing w:val="-3"/>
          <w:w w:val="120"/>
          <w:position w:val="-8"/>
          <w:sz w:val="16"/>
        </w:rPr>
        <w:t> </w:t>
      </w:r>
      <w:r>
        <w:rPr>
          <w:color w:val="231F20"/>
          <w:w w:val="120"/>
          <w:position w:val="-8"/>
          <w:sz w:val="16"/>
        </w:rPr>
        <w:t>latina</w:t>
        <w:tab/>
      </w:r>
      <w:r>
        <w:rPr>
          <w:color w:val="231F20"/>
          <w:w w:val="120"/>
          <w:sz w:val="16"/>
        </w:rPr>
        <w:t>mamíferos</w:t>
        <w:tab/>
      </w:r>
      <w:r>
        <w:rPr>
          <w:color w:val="231F20"/>
          <w:spacing w:val="-3"/>
          <w:w w:val="120"/>
          <w:sz w:val="16"/>
        </w:rPr>
        <w:t>aves</w:t>
        <w:tab/>
      </w:r>
      <w:r>
        <w:rPr>
          <w:color w:val="231F20"/>
          <w:w w:val="120"/>
          <w:sz w:val="16"/>
        </w:rPr>
        <w:t>plantasª</w:t>
        <w:tab/>
        <w:t>peces</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0"/>
        <w:gridCol w:w="819"/>
        <w:gridCol w:w="838"/>
        <w:gridCol w:w="918"/>
        <w:gridCol w:w="952"/>
      </w:tblGrid>
      <w:tr>
        <w:trPr>
          <w:trHeight w:val="212" w:hRule="exact"/>
        </w:trPr>
        <w:tc>
          <w:tcPr>
            <w:tcW w:w="2500" w:type="dxa"/>
            <w:tcBorders>
              <w:top w:val="single" w:sz="4" w:space="0" w:color="231F20"/>
            </w:tcBorders>
          </w:tcPr>
          <w:p>
            <w:pPr>
              <w:pStyle w:val="TableParagraph"/>
              <w:spacing w:before="2"/>
              <w:ind w:left="40"/>
              <w:rPr>
                <w:sz w:val="16"/>
              </w:rPr>
            </w:pPr>
            <w:r>
              <w:rPr>
                <w:color w:val="231F20"/>
                <w:w w:val="110"/>
                <w:sz w:val="16"/>
              </w:rPr>
              <w:t>Mundo</w:t>
            </w:r>
          </w:p>
        </w:tc>
        <w:tc>
          <w:tcPr>
            <w:tcW w:w="819" w:type="dxa"/>
            <w:tcBorders>
              <w:top w:val="single" w:sz="4" w:space="0" w:color="231F20"/>
            </w:tcBorders>
          </w:tcPr>
          <w:p>
            <w:pPr>
              <w:pStyle w:val="TableParagraph"/>
              <w:spacing w:before="2"/>
              <w:ind w:right="49"/>
              <w:jc w:val="right"/>
              <w:rPr>
                <w:sz w:val="16"/>
              </w:rPr>
            </w:pPr>
            <w:r>
              <w:rPr>
                <w:color w:val="231F20"/>
                <w:w w:val="105"/>
                <w:sz w:val="16"/>
              </w:rPr>
              <w:t>27 430</w:t>
            </w:r>
          </w:p>
        </w:tc>
        <w:tc>
          <w:tcPr>
            <w:tcW w:w="838" w:type="dxa"/>
            <w:tcBorders>
              <w:top w:val="single" w:sz="4" w:space="0" w:color="231F20"/>
            </w:tcBorders>
          </w:tcPr>
          <w:p>
            <w:pPr>
              <w:pStyle w:val="TableParagraph"/>
              <w:spacing w:before="2"/>
              <w:ind w:right="87"/>
              <w:jc w:val="right"/>
              <w:rPr>
                <w:sz w:val="16"/>
              </w:rPr>
            </w:pPr>
            <w:r>
              <w:rPr>
                <w:color w:val="231F20"/>
                <w:w w:val="105"/>
                <w:sz w:val="16"/>
              </w:rPr>
              <w:t>90 704</w:t>
            </w:r>
          </w:p>
        </w:tc>
        <w:tc>
          <w:tcPr>
            <w:tcW w:w="918" w:type="dxa"/>
            <w:tcBorders>
              <w:top w:val="single" w:sz="4" w:space="0" w:color="231F20"/>
            </w:tcBorders>
          </w:tcPr>
          <w:p>
            <w:pPr>
              <w:pStyle w:val="TableParagraph"/>
              <w:spacing w:before="2"/>
              <w:ind w:right="46"/>
              <w:jc w:val="right"/>
              <w:rPr>
                <w:sz w:val="16"/>
              </w:rPr>
            </w:pPr>
            <w:r>
              <w:rPr>
                <w:color w:val="231F20"/>
                <w:w w:val="105"/>
                <w:sz w:val="16"/>
              </w:rPr>
              <w:t>913 061</w:t>
            </w:r>
          </w:p>
        </w:tc>
        <w:tc>
          <w:tcPr>
            <w:tcW w:w="952" w:type="dxa"/>
            <w:tcBorders>
              <w:top w:val="single" w:sz="4" w:space="0" w:color="231F20"/>
            </w:tcBorders>
          </w:tcPr>
          <w:p>
            <w:pPr>
              <w:pStyle w:val="TableParagraph"/>
              <w:spacing w:before="2"/>
              <w:ind w:right="39"/>
              <w:jc w:val="right"/>
              <w:rPr>
                <w:sz w:val="16"/>
              </w:rPr>
            </w:pPr>
            <w:r>
              <w:rPr>
                <w:color w:val="231F20"/>
                <w:w w:val="105"/>
                <w:sz w:val="16"/>
              </w:rPr>
              <w:t>34 501 411</w:t>
            </w:r>
          </w:p>
        </w:tc>
      </w:tr>
      <w:tr>
        <w:trPr>
          <w:trHeight w:val="196" w:hRule="exact"/>
        </w:trPr>
        <w:tc>
          <w:tcPr>
            <w:tcW w:w="2500" w:type="dxa"/>
          </w:tcPr>
          <w:p>
            <w:pPr>
              <w:pStyle w:val="TableParagraph"/>
              <w:spacing w:line="176" w:lineRule="exact"/>
              <w:ind w:left="40"/>
              <w:rPr>
                <w:sz w:val="16"/>
              </w:rPr>
            </w:pPr>
            <w:r>
              <w:rPr>
                <w:color w:val="231F20"/>
                <w:w w:val="105"/>
                <w:sz w:val="16"/>
              </w:rPr>
              <w:t>África Subsahariana</w:t>
            </w:r>
          </w:p>
        </w:tc>
        <w:tc>
          <w:tcPr>
            <w:tcW w:w="819" w:type="dxa"/>
          </w:tcPr>
          <w:p>
            <w:pPr>
              <w:pStyle w:val="TableParagraph"/>
              <w:spacing w:line="176" w:lineRule="exact"/>
              <w:ind w:right="49"/>
              <w:jc w:val="right"/>
              <w:rPr>
                <w:sz w:val="16"/>
              </w:rPr>
            </w:pPr>
            <w:r>
              <w:rPr>
                <w:color w:val="231F20"/>
                <w:w w:val="105"/>
                <w:sz w:val="16"/>
              </w:rPr>
              <w:t>8 549</w:t>
            </w:r>
          </w:p>
        </w:tc>
        <w:tc>
          <w:tcPr>
            <w:tcW w:w="838" w:type="dxa"/>
          </w:tcPr>
          <w:p>
            <w:pPr>
              <w:pStyle w:val="TableParagraph"/>
              <w:spacing w:line="176" w:lineRule="exact"/>
              <w:ind w:right="87"/>
              <w:jc w:val="right"/>
              <w:rPr>
                <w:sz w:val="16"/>
              </w:rPr>
            </w:pPr>
            <w:r>
              <w:rPr>
                <w:color w:val="231F20"/>
                <w:w w:val="105"/>
                <w:sz w:val="16"/>
              </w:rPr>
              <w:t>27 544</w:t>
            </w:r>
          </w:p>
        </w:tc>
        <w:tc>
          <w:tcPr>
            <w:tcW w:w="918" w:type="dxa"/>
          </w:tcPr>
          <w:p>
            <w:pPr>
              <w:pStyle w:val="TableParagraph"/>
              <w:spacing w:line="176" w:lineRule="exact"/>
              <w:ind w:right="46"/>
              <w:jc w:val="right"/>
              <w:rPr>
                <w:sz w:val="16"/>
              </w:rPr>
            </w:pPr>
            <w:r>
              <w:rPr>
                <w:color w:val="231F20"/>
                <w:w w:val="105"/>
                <w:sz w:val="16"/>
              </w:rPr>
              <w:t>177 445</w:t>
            </w:r>
          </w:p>
        </w:tc>
        <w:tc>
          <w:tcPr>
            <w:tcW w:w="952" w:type="dxa"/>
          </w:tcPr>
          <w:p>
            <w:pPr>
              <w:pStyle w:val="TableParagraph"/>
              <w:spacing w:line="176" w:lineRule="exact"/>
              <w:ind w:right="39"/>
              <w:jc w:val="right"/>
              <w:rPr>
                <w:sz w:val="16"/>
              </w:rPr>
            </w:pPr>
            <w:r>
              <w:rPr>
                <w:color w:val="231F20"/>
                <w:w w:val="105"/>
                <w:sz w:val="16"/>
              </w:rPr>
              <w:t>1 995 694</w:t>
            </w:r>
          </w:p>
        </w:tc>
      </w:tr>
      <w:tr>
        <w:trPr>
          <w:trHeight w:val="196" w:hRule="exact"/>
        </w:trPr>
        <w:tc>
          <w:tcPr>
            <w:tcW w:w="2500" w:type="dxa"/>
          </w:tcPr>
          <w:p>
            <w:pPr>
              <w:pStyle w:val="TableParagraph"/>
              <w:spacing w:line="176" w:lineRule="exact"/>
              <w:ind w:left="40"/>
              <w:rPr>
                <w:sz w:val="16"/>
              </w:rPr>
            </w:pPr>
            <w:r>
              <w:rPr>
                <w:color w:val="231F20"/>
                <w:w w:val="105"/>
                <w:sz w:val="16"/>
              </w:rPr>
              <w:t>América Latina</w:t>
            </w:r>
          </w:p>
        </w:tc>
        <w:tc>
          <w:tcPr>
            <w:tcW w:w="819" w:type="dxa"/>
          </w:tcPr>
          <w:p>
            <w:pPr>
              <w:pStyle w:val="TableParagraph"/>
              <w:spacing w:line="176" w:lineRule="exact"/>
              <w:ind w:right="49"/>
              <w:jc w:val="right"/>
              <w:rPr>
                <w:sz w:val="16"/>
              </w:rPr>
            </w:pPr>
            <w:r>
              <w:rPr>
                <w:color w:val="231F20"/>
                <w:w w:val="105"/>
                <w:sz w:val="16"/>
              </w:rPr>
              <w:t>6 766</w:t>
            </w:r>
          </w:p>
        </w:tc>
        <w:tc>
          <w:tcPr>
            <w:tcW w:w="838" w:type="dxa"/>
          </w:tcPr>
          <w:p>
            <w:pPr>
              <w:pStyle w:val="TableParagraph"/>
              <w:spacing w:line="176" w:lineRule="exact"/>
              <w:ind w:right="87"/>
              <w:jc w:val="right"/>
              <w:rPr>
                <w:sz w:val="16"/>
              </w:rPr>
            </w:pPr>
            <w:r>
              <w:rPr>
                <w:color w:val="231F20"/>
                <w:w w:val="105"/>
                <w:sz w:val="16"/>
              </w:rPr>
              <w:t>21 035</w:t>
            </w:r>
          </w:p>
        </w:tc>
        <w:tc>
          <w:tcPr>
            <w:tcW w:w="918" w:type="dxa"/>
          </w:tcPr>
          <w:p>
            <w:pPr>
              <w:pStyle w:val="TableParagraph"/>
              <w:spacing w:line="176" w:lineRule="exact"/>
              <w:ind w:right="46"/>
              <w:jc w:val="right"/>
              <w:rPr>
                <w:sz w:val="16"/>
              </w:rPr>
            </w:pPr>
            <w:r>
              <w:rPr>
                <w:color w:val="231F20"/>
                <w:w w:val="105"/>
                <w:sz w:val="16"/>
              </w:rPr>
              <w:t>317 442</w:t>
            </w:r>
          </w:p>
        </w:tc>
        <w:tc>
          <w:tcPr>
            <w:tcW w:w="952" w:type="dxa"/>
          </w:tcPr>
          <w:p>
            <w:pPr>
              <w:pStyle w:val="TableParagraph"/>
              <w:spacing w:line="176" w:lineRule="exact"/>
              <w:ind w:right="39"/>
              <w:jc w:val="right"/>
              <w:rPr>
                <w:sz w:val="16"/>
              </w:rPr>
            </w:pPr>
            <w:r>
              <w:rPr>
                <w:color w:val="231F20"/>
                <w:w w:val="105"/>
                <w:sz w:val="16"/>
              </w:rPr>
              <w:t>1 230 451</w:t>
            </w:r>
          </w:p>
        </w:tc>
      </w:tr>
      <w:tr>
        <w:trPr>
          <w:trHeight w:val="196" w:hRule="exact"/>
        </w:trPr>
        <w:tc>
          <w:tcPr>
            <w:tcW w:w="2500" w:type="dxa"/>
          </w:tcPr>
          <w:p>
            <w:pPr>
              <w:pStyle w:val="TableParagraph"/>
              <w:spacing w:line="176" w:lineRule="exact"/>
              <w:ind w:left="40"/>
              <w:rPr>
                <w:sz w:val="16"/>
              </w:rPr>
            </w:pPr>
            <w:r>
              <w:rPr>
                <w:color w:val="231F20"/>
                <w:sz w:val="16"/>
              </w:rPr>
              <w:t>Asia</w:t>
            </w:r>
          </w:p>
        </w:tc>
        <w:tc>
          <w:tcPr>
            <w:tcW w:w="819" w:type="dxa"/>
          </w:tcPr>
          <w:p>
            <w:pPr>
              <w:pStyle w:val="TableParagraph"/>
              <w:spacing w:line="176" w:lineRule="exact"/>
              <w:ind w:right="49"/>
              <w:jc w:val="right"/>
              <w:rPr>
                <w:sz w:val="16"/>
              </w:rPr>
            </w:pPr>
            <w:r>
              <w:rPr>
                <w:color w:val="231F20"/>
                <w:w w:val="105"/>
                <w:sz w:val="16"/>
              </w:rPr>
              <w:t>5 412</w:t>
            </w:r>
          </w:p>
        </w:tc>
        <w:tc>
          <w:tcPr>
            <w:tcW w:w="838" w:type="dxa"/>
          </w:tcPr>
          <w:p>
            <w:pPr>
              <w:pStyle w:val="TableParagraph"/>
              <w:spacing w:line="176" w:lineRule="exact"/>
              <w:ind w:right="87"/>
              <w:jc w:val="right"/>
              <w:rPr>
                <w:sz w:val="16"/>
              </w:rPr>
            </w:pPr>
            <w:r>
              <w:rPr>
                <w:color w:val="231F20"/>
                <w:w w:val="105"/>
                <w:sz w:val="16"/>
              </w:rPr>
              <w:t>17 341</w:t>
            </w:r>
          </w:p>
        </w:tc>
        <w:tc>
          <w:tcPr>
            <w:tcW w:w="918" w:type="dxa"/>
          </w:tcPr>
          <w:p>
            <w:pPr>
              <w:pStyle w:val="TableParagraph"/>
              <w:spacing w:line="176" w:lineRule="exact"/>
              <w:ind w:right="46"/>
              <w:jc w:val="right"/>
              <w:rPr>
                <w:sz w:val="16"/>
              </w:rPr>
            </w:pPr>
            <w:r>
              <w:rPr>
                <w:color w:val="231F20"/>
                <w:w w:val="105"/>
                <w:sz w:val="16"/>
              </w:rPr>
              <w:t>216 755</w:t>
            </w:r>
          </w:p>
        </w:tc>
        <w:tc>
          <w:tcPr>
            <w:tcW w:w="952" w:type="dxa"/>
          </w:tcPr>
          <w:p>
            <w:pPr>
              <w:pStyle w:val="TableParagraph"/>
              <w:spacing w:line="176" w:lineRule="exact"/>
              <w:ind w:right="39"/>
              <w:jc w:val="right"/>
              <w:rPr>
                <w:sz w:val="16"/>
              </w:rPr>
            </w:pPr>
            <w:r>
              <w:rPr>
                <w:color w:val="231F20"/>
                <w:w w:val="105"/>
                <w:sz w:val="16"/>
              </w:rPr>
              <w:t>28 890 352</w:t>
            </w:r>
          </w:p>
        </w:tc>
      </w:tr>
      <w:tr>
        <w:trPr>
          <w:trHeight w:val="196" w:hRule="exact"/>
        </w:trPr>
        <w:tc>
          <w:tcPr>
            <w:tcW w:w="2500" w:type="dxa"/>
          </w:tcPr>
          <w:p>
            <w:pPr>
              <w:pStyle w:val="TableParagraph"/>
              <w:spacing w:line="176" w:lineRule="exact"/>
              <w:ind w:left="40"/>
              <w:rPr>
                <w:sz w:val="16"/>
              </w:rPr>
            </w:pPr>
            <w:r>
              <w:rPr>
                <w:color w:val="231F20"/>
                <w:w w:val="110"/>
                <w:sz w:val="16"/>
              </w:rPr>
              <w:t>Europa</w:t>
            </w:r>
          </w:p>
        </w:tc>
        <w:tc>
          <w:tcPr>
            <w:tcW w:w="819" w:type="dxa"/>
          </w:tcPr>
          <w:p>
            <w:pPr>
              <w:pStyle w:val="TableParagraph"/>
              <w:spacing w:line="176" w:lineRule="exact"/>
              <w:ind w:right="49"/>
              <w:jc w:val="right"/>
              <w:rPr>
                <w:sz w:val="16"/>
              </w:rPr>
            </w:pPr>
            <w:r>
              <w:rPr>
                <w:color w:val="231F20"/>
                <w:w w:val="105"/>
                <w:sz w:val="16"/>
              </w:rPr>
              <w:t>3 512</w:t>
            </w:r>
          </w:p>
        </w:tc>
        <w:tc>
          <w:tcPr>
            <w:tcW w:w="838" w:type="dxa"/>
          </w:tcPr>
          <w:p>
            <w:pPr>
              <w:pStyle w:val="TableParagraph"/>
              <w:spacing w:line="176" w:lineRule="exact"/>
              <w:ind w:right="87"/>
              <w:jc w:val="right"/>
              <w:rPr>
                <w:sz w:val="16"/>
              </w:rPr>
            </w:pPr>
            <w:r>
              <w:rPr>
                <w:color w:val="231F20"/>
                <w:w w:val="105"/>
                <w:sz w:val="16"/>
              </w:rPr>
              <w:t>13 824</w:t>
            </w:r>
          </w:p>
        </w:tc>
        <w:tc>
          <w:tcPr>
            <w:tcW w:w="918" w:type="dxa"/>
          </w:tcPr>
          <w:p>
            <w:pPr>
              <w:pStyle w:val="TableParagraph"/>
              <w:spacing w:line="176" w:lineRule="exact"/>
              <w:ind w:right="46"/>
              <w:jc w:val="right"/>
              <w:rPr>
                <w:sz w:val="16"/>
              </w:rPr>
            </w:pPr>
            <w:r>
              <w:rPr>
                <w:color w:val="231F20"/>
                <w:w w:val="105"/>
                <w:sz w:val="16"/>
              </w:rPr>
              <w:t>95 303</w:t>
            </w:r>
          </w:p>
        </w:tc>
        <w:tc>
          <w:tcPr>
            <w:tcW w:w="952" w:type="dxa"/>
          </w:tcPr>
          <w:p>
            <w:pPr>
              <w:pStyle w:val="TableParagraph"/>
              <w:spacing w:line="176" w:lineRule="exact"/>
              <w:ind w:right="39"/>
              <w:jc w:val="right"/>
              <w:rPr>
                <w:sz w:val="16"/>
              </w:rPr>
            </w:pPr>
            <w:r>
              <w:rPr>
                <w:color w:val="231F20"/>
                <w:w w:val="105"/>
                <w:sz w:val="16"/>
              </w:rPr>
              <w:t>855 333</w:t>
            </w:r>
          </w:p>
        </w:tc>
      </w:tr>
      <w:tr>
        <w:trPr>
          <w:trHeight w:val="196" w:hRule="exact"/>
        </w:trPr>
        <w:tc>
          <w:tcPr>
            <w:tcW w:w="2500" w:type="dxa"/>
          </w:tcPr>
          <w:p>
            <w:pPr>
              <w:pStyle w:val="TableParagraph"/>
              <w:spacing w:line="176" w:lineRule="exact"/>
              <w:ind w:left="40"/>
              <w:rPr>
                <w:sz w:val="16"/>
              </w:rPr>
            </w:pPr>
            <w:r>
              <w:rPr>
                <w:color w:val="231F20"/>
                <w:w w:val="110"/>
                <w:sz w:val="16"/>
              </w:rPr>
              <w:t>Norte de África y Oriente Medio</w:t>
            </w:r>
          </w:p>
        </w:tc>
        <w:tc>
          <w:tcPr>
            <w:tcW w:w="819" w:type="dxa"/>
          </w:tcPr>
          <w:p>
            <w:pPr>
              <w:pStyle w:val="TableParagraph"/>
              <w:spacing w:line="176" w:lineRule="exact"/>
              <w:ind w:right="49"/>
              <w:jc w:val="right"/>
              <w:rPr>
                <w:sz w:val="16"/>
              </w:rPr>
            </w:pPr>
            <w:r>
              <w:rPr>
                <w:color w:val="231F20"/>
                <w:w w:val="105"/>
                <w:sz w:val="16"/>
              </w:rPr>
              <w:t>1 716</w:t>
            </w:r>
          </w:p>
        </w:tc>
        <w:tc>
          <w:tcPr>
            <w:tcW w:w="838" w:type="dxa"/>
          </w:tcPr>
          <w:p>
            <w:pPr>
              <w:pStyle w:val="TableParagraph"/>
              <w:spacing w:line="176" w:lineRule="exact"/>
              <w:ind w:right="87"/>
              <w:jc w:val="right"/>
              <w:rPr>
                <w:sz w:val="16"/>
              </w:rPr>
            </w:pPr>
            <w:r>
              <w:rPr>
                <w:color w:val="231F20"/>
                <w:w w:val="105"/>
                <w:sz w:val="16"/>
              </w:rPr>
              <w:t>7 318</w:t>
            </w:r>
          </w:p>
        </w:tc>
        <w:tc>
          <w:tcPr>
            <w:tcW w:w="918" w:type="dxa"/>
          </w:tcPr>
          <w:p>
            <w:pPr>
              <w:pStyle w:val="TableParagraph"/>
              <w:spacing w:line="176" w:lineRule="exact"/>
              <w:ind w:right="46"/>
              <w:jc w:val="right"/>
              <w:rPr>
                <w:sz w:val="16"/>
              </w:rPr>
            </w:pPr>
            <w:r>
              <w:rPr>
                <w:color w:val="231F20"/>
                <w:w w:val="105"/>
                <w:sz w:val="16"/>
              </w:rPr>
              <w:t>49 119</w:t>
            </w:r>
          </w:p>
        </w:tc>
        <w:tc>
          <w:tcPr>
            <w:tcW w:w="952" w:type="dxa"/>
          </w:tcPr>
          <w:p>
            <w:pPr>
              <w:pStyle w:val="TableParagraph"/>
              <w:spacing w:line="176" w:lineRule="exact"/>
              <w:ind w:right="39"/>
              <w:jc w:val="right"/>
              <w:rPr>
                <w:sz w:val="16"/>
              </w:rPr>
            </w:pPr>
            <w:r>
              <w:rPr>
                <w:color w:val="231F20"/>
                <w:w w:val="105"/>
                <w:sz w:val="16"/>
              </w:rPr>
              <w:t>746 955</w:t>
            </w:r>
          </w:p>
        </w:tc>
      </w:tr>
      <w:tr>
        <w:trPr>
          <w:trHeight w:val="196" w:hRule="exact"/>
        </w:trPr>
        <w:tc>
          <w:tcPr>
            <w:tcW w:w="2500" w:type="dxa"/>
          </w:tcPr>
          <w:p>
            <w:pPr>
              <w:pStyle w:val="TableParagraph"/>
              <w:spacing w:line="176" w:lineRule="exact"/>
              <w:ind w:left="40"/>
              <w:rPr>
                <w:sz w:val="16"/>
              </w:rPr>
            </w:pPr>
            <w:r>
              <w:rPr>
                <w:color w:val="231F20"/>
                <w:w w:val="110"/>
                <w:sz w:val="16"/>
              </w:rPr>
              <w:t>Oceanía</w:t>
            </w:r>
          </w:p>
        </w:tc>
        <w:tc>
          <w:tcPr>
            <w:tcW w:w="819" w:type="dxa"/>
          </w:tcPr>
          <w:p>
            <w:pPr>
              <w:pStyle w:val="TableParagraph"/>
              <w:spacing w:line="176" w:lineRule="exact"/>
              <w:ind w:right="49"/>
              <w:jc w:val="right"/>
              <w:rPr>
                <w:sz w:val="16"/>
              </w:rPr>
            </w:pPr>
            <w:r>
              <w:rPr>
                <w:color w:val="231F20"/>
                <w:sz w:val="16"/>
              </w:rPr>
              <w:t>786</w:t>
            </w:r>
          </w:p>
        </w:tc>
        <w:tc>
          <w:tcPr>
            <w:tcW w:w="838" w:type="dxa"/>
          </w:tcPr>
          <w:p>
            <w:pPr>
              <w:pStyle w:val="TableParagraph"/>
              <w:spacing w:line="176" w:lineRule="exact"/>
              <w:ind w:right="87"/>
              <w:jc w:val="right"/>
              <w:rPr>
                <w:sz w:val="16"/>
              </w:rPr>
            </w:pPr>
            <w:r>
              <w:rPr>
                <w:color w:val="231F20"/>
                <w:w w:val="105"/>
                <w:sz w:val="16"/>
              </w:rPr>
              <w:t>2 282</w:t>
            </w:r>
          </w:p>
        </w:tc>
        <w:tc>
          <w:tcPr>
            <w:tcW w:w="918" w:type="dxa"/>
          </w:tcPr>
          <w:p>
            <w:pPr>
              <w:pStyle w:val="TableParagraph"/>
              <w:spacing w:line="176" w:lineRule="exact"/>
              <w:ind w:right="46"/>
              <w:jc w:val="right"/>
              <w:rPr>
                <w:sz w:val="16"/>
              </w:rPr>
            </w:pPr>
            <w:r>
              <w:rPr>
                <w:color w:val="231F20"/>
                <w:w w:val="105"/>
                <w:sz w:val="16"/>
              </w:rPr>
              <w:t>34 254</w:t>
            </w:r>
          </w:p>
        </w:tc>
        <w:tc>
          <w:tcPr>
            <w:tcW w:w="952" w:type="dxa"/>
          </w:tcPr>
          <w:p>
            <w:pPr>
              <w:pStyle w:val="TableParagraph"/>
              <w:spacing w:line="176" w:lineRule="exact"/>
              <w:ind w:right="39"/>
              <w:jc w:val="right"/>
              <w:rPr>
                <w:sz w:val="16"/>
              </w:rPr>
            </w:pPr>
            <w:r>
              <w:rPr>
                <w:color w:val="231F20"/>
                <w:w w:val="105"/>
                <w:sz w:val="16"/>
              </w:rPr>
              <w:t>85 324</w:t>
            </w:r>
          </w:p>
        </w:tc>
      </w:tr>
      <w:tr>
        <w:trPr>
          <w:trHeight w:val="196" w:hRule="exact"/>
        </w:trPr>
        <w:tc>
          <w:tcPr>
            <w:tcW w:w="2500" w:type="dxa"/>
          </w:tcPr>
          <w:p>
            <w:pPr>
              <w:pStyle w:val="TableParagraph"/>
              <w:spacing w:line="176" w:lineRule="exact"/>
              <w:ind w:left="40"/>
              <w:rPr>
                <w:sz w:val="16"/>
              </w:rPr>
            </w:pPr>
            <w:r>
              <w:rPr>
                <w:color w:val="231F20"/>
                <w:w w:val="110"/>
                <w:sz w:val="16"/>
              </w:rPr>
              <w:t>Norteamérica</w:t>
            </w:r>
          </w:p>
        </w:tc>
        <w:tc>
          <w:tcPr>
            <w:tcW w:w="819" w:type="dxa"/>
          </w:tcPr>
          <w:p>
            <w:pPr>
              <w:pStyle w:val="TableParagraph"/>
              <w:spacing w:line="176" w:lineRule="exact"/>
              <w:ind w:right="49"/>
              <w:jc w:val="right"/>
              <w:rPr>
                <w:sz w:val="16"/>
              </w:rPr>
            </w:pPr>
            <w:r>
              <w:rPr>
                <w:color w:val="231F20"/>
                <w:sz w:val="16"/>
              </w:rPr>
              <w:t>679</w:t>
            </w:r>
          </w:p>
        </w:tc>
        <w:tc>
          <w:tcPr>
            <w:tcW w:w="838" w:type="dxa"/>
          </w:tcPr>
          <w:p>
            <w:pPr>
              <w:pStyle w:val="TableParagraph"/>
              <w:spacing w:line="176" w:lineRule="exact"/>
              <w:ind w:right="87"/>
              <w:jc w:val="right"/>
              <w:rPr>
                <w:sz w:val="16"/>
              </w:rPr>
            </w:pPr>
            <w:r>
              <w:rPr>
                <w:color w:val="231F20"/>
                <w:w w:val="105"/>
                <w:sz w:val="16"/>
              </w:rPr>
              <w:t>1 360</w:t>
            </w:r>
          </w:p>
        </w:tc>
        <w:tc>
          <w:tcPr>
            <w:tcW w:w="918" w:type="dxa"/>
          </w:tcPr>
          <w:p>
            <w:pPr>
              <w:pStyle w:val="TableParagraph"/>
              <w:spacing w:line="176" w:lineRule="exact"/>
              <w:ind w:right="46"/>
              <w:jc w:val="right"/>
              <w:rPr>
                <w:sz w:val="16"/>
              </w:rPr>
            </w:pPr>
            <w:r>
              <w:rPr>
                <w:color w:val="231F20"/>
                <w:w w:val="105"/>
                <w:sz w:val="16"/>
              </w:rPr>
              <w:t>22 743</w:t>
            </w:r>
          </w:p>
        </w:tc>
        <w:tc>
          <w:tcPr>
            <w:tcW w:w="952" w:type="dxa"/>
          </w:tcPr>
          <w:p>
            <w:pPr>
              <w:pStyle w:val="TableParagraph"/>
              <w:spacing w:line="176" w:lineRule="exact"/>
              <w:ind w:right="39"/>
              <w:jc w:val="right"/>
              <w:rPr>
                <w:sz w:val="16"/>
              </w:rPr>
            </w:pPr>
            <w:r>
              <w:rPr>
                <w:color w:val="231F20"/>
                <w:w w:val="105"/>
                <w:sz w:val="16"/>
              </w:rPr>
              <w:t>303 784</w:t>
            </w:r>
          </w:p>
        </w:tc>
      </w:tr>
      <w:tr>
        <w:trPr>
          <w:trHeight w:val="196" w:hRule="exact"/>
        </w:trPr>
        <w:tc>
          <w:tcPr>
            <w:tcW w:w="2500" w:type="dxa"/>
          </w:tcPr>
          <w:p>
            <w:pPr>
              <w:pStyle w:val="TableParagraph"/>
              <w:spacing w:line="176" w:lineRule="exact"/>
              <w:ind w:left="40"/>
              <w:rPr>
                <w:sz w:val="16"/>
              </w:rPr>
            </w:pPr>
            <w:r>
              <w:rPr>
                <w:color w:val="231F20"/>
                <w:w w:val="105"/>
                <w:sz w:val="16"/>
              </w:rPr>
              <w:t>Estados Unidos</w:t>
            </w:r>
          </w:p>
        </w:tc>
        <w:tc>
          <w:tcPr>
            <w:tcW w:w="819" w:type="dxa"/>
          </w:tcPr>
          <w:p>
            <w:pPr>
              <w:pStyle w:val="TableParagraph"/>
              <w:spacing w:line="176" w:lineRule="exact"/>
              <w:ind w:right="49"/>
              <w:jc w:val="right"/>
              <w:rPr>
                <w:sz w:val="16"/>
              </w:rPr>
            </w:pPr>
            <w:r>
              <w:rPr>
                <w:color w:val="231F20"/>
                <w:sz w:val="16"/>
              </w:rPr>
              <w:t>468</w:t>
            </w:r>
          </w:p>
        </w:tc>
        <w:tc>
          <w:tcPr>
            <w:tcW w:w="838" w:type="dxa"/>
          </w:tcPr>
          <w:p>
            <w:pPr>
              <w:pStyle w:val="TableParagraph"/>
              <w:spacing w:line="176" w:lineRule="exact"/>
              <w:ind w:right="87"/>
              <w:jc w:val="right"/>
              <w:rPr>
                <w:sz w:val="16"/>
              </w:rPr>
            </w:pPr>
            <w:r>
              <w:rPr>
                <w:color w:val="231F20"/>
                <w:sz w:val="16"/>
              </w:rPr>
              <w:t>888</w:t>
            </w:r>
          </w:p>
        </w:tc>
        <w:tc>
          <w:tcPr>
            <w:tcW w:w="918" w:type="dxa"/>
          </w:tcPr>
          <w:p>
            <w:pPr>
              <w:pStyle w:val="TableParagraph"/>
              <w:spacing w:line="176" w:lineRule="exact"/>
              <w:ind w:right="46"/>
              <w:jc w:val="right"/>
              <w:rPr>
                <w:sz w:val="16"/>
              </w:rPr>
            </w:pPr>
            <w:r>
              <w:rPr>
                <w:color w:val="231F20"/>
                <w:w w:val="105"/>
                <w:sz w:val="16"/>
              </w:rPr>
              <w:t>19 473</w:t>
            </w:r>
          </w:p>
        </w:tc>
        <w:tc>
          <w:tcPr>
            <w:tcW w:w="952" w:type="dxa"/>
          </w:tcPr>
          <w:p>
            <w:pPr>
              <w:pStyle w:val="TableParagraph"/>
              <w:spacing w:line="176" w:lineRule="exact"/>
              <w:ind w:right="39"/>
              <w:jc w:val="right"/>
              <w:rPr>
                <w:sz w:val="16"/>
              </w:rPr>
            </w:pPr>
            <w:r>
              <w:rPr>
                <w:color w:val="231F20"/>
                <w:w w:val="105"/>
                <w:sz w:val="16"/>
              </w:rPr>
              <w:t>290 000</w:t>
            </w:r>
          </w:p>
        </w:tc>
      </w:tr>
      <w:tr>
        <w:trPr>
          <w:trHeight w:val="196" w:hRule="exact"/>
        </w:trPr>
        <w:tc>
          <w:tcPr>
            <w:tcW w:w="2500" w:type="dxa"/>
          </w:tcPr>
          <w:p>
            <w:pPr>
              <w:pStyle w:val="TableParagraph"/>
              <w:spacing w:line="176" w:lineRule="exact"/>
              <w:ind w:left="40"/>
              <w:rPr>
                <w:sz w:val="16"/>
              </w:rPr>
            </w:pPr>
            <w:r>
              <w:rPr>
                <w:color w:val="231F20"/>
                <w:sz w:val="16"/>
              </w:rPr>
              <w:t>Brasil</w:t>
            </w:r>
          </w:p>
        </w:tc>
        <w:tc>
          <w:tcPr>
            <w:tcW w:w="819" w:type="dxa"/>
          </w:tcPr>
          <w:p>
            <w:pPr>
              <w:pStyle w:val="TableParagraph"/>
              <w:spacing w:line="176" w:lineRule="exact"/>
              <w:ind w:right="49"/>
              <w:jc w:val="right"/>
              <w:rPr>
                <w:sz w:val="16"/>
              </w:rPr>
            </w:pPr>
            <w:r>
              <w:rPr>
                <w:color w:val="231F20"/>
                <w:w w:val="115"/>
                <w:sz w:val="16"/>
              </w:rPr>
              <w:t>578 (1º)</w:t>
            </w:r>
          </w:p>
        </w:tc>
        <w:tc>
          <w:tcPr>
            <w:tcW w:w="838" w:type="dxa"/>
          </w:tcPr>
          <w:p>
            <w:pPr>
              <w:pStyle w:val="TableParagraph"/>
              <w:spacing w:line="176" w:lineRule="exact"/>
              <w:ind w:right="87"/>
              <w:jc w:val="right"/>
              <w:rPr>
                <w:sz w:val="16"/>
              </w:rPr>
            </w:pPr>
            <w:r>
              <w:rPr>
                <w:color w:val="231F20"/>
                <w:w w:val="110"/>
                <w:sz w:val="16"/>
              </w:rPr>
              <w:t>1 712 (3º)</w:t>
            </w:r>
          </w:p>
        </w:tc>
        <w:tc>
          <w:tcPr>
            <w:tcW w:w="918" w:type="dxa"/>
          </w:tcPr>
          <w:p>
            <w:pPr>
              <w:pStyle w:val="TableParagraph"/>
              <w:spacing w:line="176" w:lineRule="exact"/>
              <w:ind w:right="46"/>
              <w:jc w:val="right"/>
              <w:rPr>
                <w:sz w:val="16"/>
              </w:rPr>
            </w:pPr>
            <w:r>
              <w:rPr>
                <w:color w:val="231F20"/>
                <w:w w:val="110"/>
                <w:sz w:val="16"/>
              </w:rPr>
              <w:t>56 215 (1º)</w:t>
            </w:r>
          </w:p>
        </w:tc>
        <w:tc>
          <w:tcPr>
            <w:tcW w:w="952" w:type="dxa"/>
          </w:tcPr>
          <w:p>
            <w:pPr>
              <w:pStyle w:val="TableParagraph"/>
              <w:spacing w:line="176" w:lineRule="exact"/>
              <w:ind w:right="37"/>
              <w:jc w:val="right"/>
              <w:rPr>
                <w:sz w:val="16"/>
              </w:rPr>
            </w:pPr>
            <w:r>
              <w:rPr>
                <w:color w:val="231F20"/>
                <w:w w:val="110"/>
                <w:sz w:val="16"/>
              </w:rPr>
              <w:t>290 000 (1º)</w:t>
            </w:r>
          </w:p>
        </w:tc>
      </w:tr>
      <w:tr>
        <w:trPr>
          <w:trHeight w:val="196" w:hRule="exact"/>
        </w:trPr>
        <w:tc>
          <w:tcPr>
            <w:tcW w:w="2500" w:type="dxa"/>
          </w:tcPr>
          <w:p>
            <w:pPr>
              <w:pStyle w:val="TableParagraph"/>
              <w:spacing w:line="176" w:lineRule="exact"/>
              <w:ind w:left="40"/>
              <w:rPr>
                <w:sz w:val="16"/>
              </w:rPr>
            </w:pPr>
            <w:r>
              <w:rPr>
                <w:color w:val="231F20"/>
                <w:w w:val="105"/>
                <w:sz w:val="16"/>
              </w:rPr>
              <w:t>México</w:t>
            </w:r>
          </w:p>
        </w:tc>
        <w:tc>
          <w:tcPr>
            <w:tcW w:w="819" w:type="dxa"/>
          </w:tcPr>
          <w:p>
            <w:pPr>
              <w:pStyle w:val="TableParagraph"/>
              <w:spacing w:line="176" w:lineRule="exact"/>
              <w:ind w:right="49"/>
              <w:jc w:val="right"/>
              <w:rPr>
                <w:sz w:val="16"/>
              </w:rPr>
            </w:pPr>
            <w:r>
              <w:rPr>
                <w:color w:val="231F20"/>
                <w:w w:val="115"/>
                <w:sz w:val="16"/>
              </w:rPr>
              <w:t>544 (2º)</w:t>
            </w:r>
          </w:p>
        </w:tc>
        <w:tc>
          <w:tcPr>
            <w:tcW w:w="838" w:type="dxa"/>
          </w:tcPr>
          <w:p>
            <w:pPr>
              <w:pStyle w:val="TableParagraph"/>
              <w:spacing w:line="176" w:lineRule="exact"/>
              <w:ind w:right="87"/>
              <w:jc w:val="right"/>
              <w:rPr>
                <w:sz w:val="16"/>
              </w:rPr>
            </w:pPr>
            <w:r>
              <w:rPr>
                <w:color w:val="231F20"/>
                <w:w w:val="110"/>
                <w:sz w:val="16"/>
              </w:rPr>
              <w:t>1 026 (8º)</w:t>
            </w:r>
          </w:p>
        </w:tc>
        <w:tc>
          <w:tcPr>
            <w:tcW w:w="918" w:type="dxa"/>
          </w:tcPr>
          <w:p>
            <w:pPr>
              <w:pStyle w:val="TableParagraph"/>
              <w:spacing w:line="176" w:lineRule="exact"/>
              <w:ind w:right="46"/>
              <w:jc w:val="right"/>
              <w:rPr>
                <w:sz w:val="16"/>
              </w:rPr>
            </w:pPr>
            <w:r>
              <w:rPr>
                <w:color w:val="231F20"/>
                <w:w w:val="110"/>
                <w:sz w:val="16"/>
              </w:rPr>
              <w:t>26 071 (3º)</w:t>
            </w:r>
          </w:p>
        </w:tc>
        <w:tc>
          <w:tcPr>
            <w:tcW w:w="952" w:type="dxa"/>
          </w:tcPr>
          <w:p>
            <w:pPr>
              <w:pStyle w:val="TableParagraph"/>
              <w:spacing w:line="176" w:lineRule="exact"/>
              <w:ind w:right="37"/>
              <w:jc w:val="right"/>
              <w:rPr>
                <w:sz w:val="16"/>
              </w:rPr>
            </w:pPr>
            <w:r>
              <w:rPr>
                <w:color w:val="231F20"/>
                <w:w w:val="110"/>
                <w:sz w:val="16"/>
              </w:rPr>
              <w:t>261 401 (2º)</w:t>
            </w:r>
          </w:p>
        </w:tc>
      </w:tr>
      <w:tr>
        <w:trPr>
          <w:trHeight w:val="196" w:hRule="exact"/>
        </w:trPr>
        <w:tc>
          <w:tcPr>
            <w:tcW w:w="2500" w:type="dxa"/>
          </w:tcPr>
          <w:p>
            <w:pPr>
              <w:pStyle w:val="TableParagraph"/>
              <w:spacing w:line="176" w:lineRule="exact"/>
              <w:ind w:left="40"/>
              <w:rPr>
                <w:sz w:val="16"/>
              </w:rPr>
            </w:pPr>
            <w:r>
              <w:rPr>
                <w:color w:val="231F20"/>
                <w:w w:val="110"/>
                <w:sz w:val="16"/>
              </w:rPr>
              <w:t>Colombia</w:t>
            </w:r>
          </w:p>
        </w:tc>
        <w:tc>
          <w:tcPr>
            <w:tcW w:w="819" w:type="dxa"/>
          </w:tcPr>
          <w:p>
            <w:pPr>
              <w:pStyle w:val="TableParagraph"/>
              <w:spacing w:line="176" w:lineRule="exact"/>
              <w:ind w:right="49"/>
              <w:jc w:val="right"/>
              <w:rPr>
                <w:sz w:val="16"/>
              </w:rPr>
            </w:pPr>
            <w:r>
              <w:rPr>
                <w:color w:val="231F20"/>
                <w:w w:val="115"/>
                <w:sz w:val="16"/>
              </w:rPr>
              <w:t>467 (3º)</w:t>
            </w:r>
          </w:p>
        </w:tc>
        <w:tc>
          <w:tcPr>
            <w:tcW w:w="838" w:type="dxa"/>
          </w:tcPr>
          <w:p>
            <w:pPr>
              <w:pStyle w:val="TableParagraph"/>
              <w:spacing w:line="176" w:lineRule="exact"/>
              <w:ind w:right="87"/>
              <w:jc w:val="right"/>
              <w:rPr>
                <w:sz w:val="16"/>
              </w:rPr>
            </w:pPr>
            <w:r>
              <w:rPr>
                <w:color w:val="231F20"/>
                <w:w w:val="110"/>
                <w:sz w:val="16"/>
              </w:rPr>
              <w:t>1 821 (1º)</w:t>
            </w:r>
          </w:p>
        </w:tc>
        <w:tc>
          <w:tcPr>
            <w:tcW w:w="918" w:type="dxa"/>
          </w:tcPr>
          <w:p>
            <w:pPr>
              <w:pStyle w:val="TableParagraph"/>
              <w:spacing w:line="176" w:lineRule="exact"/>
              <w:ind w:right="46"/>
              <w:jc w:val="right"/>
              <w:rPr>
                <w:sz w:val="16"/>
              </w:rPr>
            </w:pPr>
            <w:r>
              <w:rPr>
                <w:color w:val="231F20"/>
                <w:w w:val="110"/>
                <w:sz w:val="16"/>
              </w:rPr>
              <w:t>51 220 (2º)</w:t>
            </w:r>
          </w:p>
        </w:tc>
        <w:tc>
          <w:tcPr>
            <w:tcW w:w="952" w:type="dxa"/>
          </w:tcPr>
          <w:p>
            <w:pPr>
              <w:pStyle w:val="TableParagraph"/>
              <w:spacing w:line="176" w:lineRule="exact"/>
              <w:ind w:right="37"/>
              <w:jc w:val="right"/>
              <w:rPr>
                <w:sz w:val="16"/>
              </w:rPr>
            </w:pPr>
            <w:r>
              <w:rPr>
                <w:color w:val="231F20"/>
                <w:w w:val="110"/>
                <w:sz w:val="16"/>
              </w:rPr>
              <w:t>129 410 (4º)</w:t>
            </w:r>
          </w:p>
        </w:tc>
      </w:tr>
      <w:tr>
        <w:trPr>
          <w:trHeight w:val="196" w:hRule="exact"/>
        </w:trPr>
        <w:tc>
          <w:tcPr>
            <w:tcW w:w="2500" w:type="dxa"/>
          </w:tcPr>
          <w:p>
            <w:pPr>
              <w:pStyle w:val="TableParagraph"/>
              <w:spacing w:line="176" w:lineRule="exact"/>
              <w:ind w:left="40"/>
              <w:rPr>
                <w:sz w:val="16"/>
              </w:rPr>
            </w:pPr>
            <w:r>
              <w:rPr>
                <w:color w:val="231F20"/>
                <w:w w:val="110"/>
                <w:sz w:val="16"/>
              </w:rPr>
              <w:t>Perú</w:t>
            </w:r>
          </w:p>
        </w:tc>
        <w:tc>
          <w:tcPr>
            <w:tcW w:w="819" w:type="dxa"/>
          </w:tcPr>
          <w:p>
            <w:pPr>
              <w:pStyle w:val="TableParagraph"/>
              <w:spacing w:line="176" w:lineRule="exact"/>
              <w:ind w:right="49"/>
              <w:jc w:val="right"/>
              <w:rPr>
                <w:sz w:val="16"/>
              </w:rPr>
            </w:pPr>
            <w:r>
              <w:rPr>
                <w:color w:val="231F20"/>
                <w:w w:val="115"/>
                <w:sz w:val="16"/>
              </w:rPr>
              <w:t>441 (4º)</w:t>
            </w:r>
          </w:p>
        </w:tc>
        <w:tc>
          <w:tcPr>
            <w:tcW w:w="838" w:type="dxa"/>
          </w:tcPr>
          <w:p>
            <w:pPr>
              <w:pStyle w:val="TableParagraph"/>
              <w:spacing w:line="176" w:lineRule="exact"/>
              <w:ind w:right="87"/>
              <w:jc w:val="right"/>
              <w:rPr>
                <w:sz w:val="16"/>
              </w:rPr>
            </w:pPr>
            <w:r>
              <w:rPr>
                <w:color w:val="231F20"/>
                <w:w w:val="110"/>
                <w:sz w:val="16"/>
              </w:rPr>
              <w:t>1 781 (2º)</w:t>
            </w:r>
          </w:p>
        </w:tc>
        <w:tc>
          <w:tcPr>
            <w:tcW w:w="918" w:type="dxa"/>
          </w:tcPr>
          <w:p>
            <w:pPr>
              <w:pStyle w:val="TableParagraph"/>
              <w:spacing w:line="176" w:lineRule="exact"/>
              <w:ind w:right="46"/>
              <w:jc w:val="right"/>
              <w:rPr>
                <w:sz w:val="16"/>
              </w:rPr>
            </w:pPr>
            <w:r>
              <w:rPr>
                <w:color w:val="231F20"/>
                <w:w w:val="110"/>
                <w:sz w:val="16"/>
              </w:rPr>
              <w:t>17 144 (6º)</w:t>
            </w:r>
          </w:p>
        </w:tc>
        <w:tc>
          <w:tcPr>
            <w:tcW w:w="952" w:type="dxa"/>
          </w:tcPr>
          <w:p>
            <w:pPr>
              <w:pStyle w:val="TableParagraph"/>
              <w:spacing w:line="176" w:lineRule="exact"/>
              <w:ind w:right="39"/>
              <w:jc w:val="right"/>
              <w:rPr>
                <w:sz w:val="16"/>
              </w:rPr>
            </w:pPr>
            <w:r>
              <w:rPr>
                <w:color w:val="231F20"/>
                <w:w w:val="110"/>
                <w:sz w:val="16"/>
              </w:rPr>
              <w:t>66 361 (5º)</w:t>
            </w:r>
          </w:p>
        </w:tc>
      </w:tr>
      <w:tr>
        <w:trPr>
          <w:trHeight w:val="196" w:hRule="exact"/>
        </w:trPr>
        <w:tc>
          <w:tcPr>
            <w:tcW w:w="2500" w:type="dxa"/>
          </w:tcPr>
          <w:p>
            <w:pPr>
              <w:pStyle w:val="TableParagraph"/>
              <w:spacing w:line="176" w:lineRule="exact"/>
              <w:ind w:left="40"/>
              <w:rPr>
                <w:sz w:val="16"/>
              </w:rPr>
            </w:pPr>
            <w:r>
              <w:rPr>
                <w:color w:val="231F20"/>
                <w:w w:val="110"/>
                <w:sz w:val="16"/>
              </w:rPr>
              <w:t>Ecuador</w:t>
            </w:r>
          </w:p>
        </w:tc>
        <w:tc>
          <w:tcPr>
            <w:tcW w:w="819" w:type="dxa"/>
          </w:tcPr>
          <w:p>
            <w:pPr>
              <w:pStyle w:val="TableParagraph"/>
              <w:spacing w:line="176" w:lineRule="exact"/>
              <w:ind w:right="49"/>
              <w:jc w:val="right"/>
              <w:rPr>
                <w:sz w:val="16"/>
              </w:rPr>
            </w:pPr>
            <w:r>
              <w:rPr>
                <w:color w:val="231F20"/>
                <w:w w:val="115"/>
                <w:sz w:val="16"/>
              </w:rPr>
              <w:t>341 (7º)</w:t>
            </w:r>
          </w:p>
        </w:tc>
        <w:tc>
          <w:tcPr>
            <w:tcW w:w="838" w:type="dxa"/>
          </w:tcPr>
          <w:p>
            <w:pPr>
              <w:pStyle w:val="TableParagraph"/>
              <w:spacing w:line="176" w:lineRule="exact"/>
              <w:ind w:right="87"/>
              <w:jc w:val="right"/>
              <w:rPr>
                <w:sz w:val="16"/>
              </w:rPr>
            </w:pPr>
            <w:r>
              <w:rPr>
                <w:color w:val="231F20"/>
                <w:w w:val="110"/>
                <w:sz w:val="16"/>
              </w:rPr>
              <w:t>1 515 (4º)</w:t>
            </w:r>
          </w:p>
        </w:tc>
        <w:tc>
          <w:tcPr>
            <w:tcW w:w="918" w:type="dxa"/>
          </w:tcPr>
          <w:p>
            <w:pPr>
              <w:pStyle w:val="TableParagraph"/>
              <w:spacing w:line="176" w:lineRule="exact"/>
              <w:ind w:right="46"/>
              <w:jc w:val="right"/>
              <w:rPr>
                <w:sz w:val="16"/>
              </w:rPr>
            </w:pPr>
            <w:r>
              <w:rPr>
                <w:color w:val="231F20"/>
                <w:w w:val="110"/>
                <w:sz w:val="16"/>
              </w:rPr>
              <w:t>19 362 (5º)</w:t>
            </w:r>
          </w:p>
        </w:tc>
        <w:tc>
          <w:tcPr>
            <w:tcW w:w="952" w:type="dxa"/>
          </w:tcPr>
          <w:p>
            <w:pPr>
              <w:pStyle w:val="TableParagraph"/>
              <w:spacing w:line="176" w:lineRule="exact"/>
              <w:ind w:right="37"/>
              <w:jc w:val="right"/>
              <w:rPr>
                <w:sz w:val="16"/>
              </w:rPr>
            </w:pPr>
            <w:r>
              <w:rPr>
                <w:color w:val="231F20"/>
                <w:w w:val="110"/>
                <w:sz w:val="16"/>
              </w:rPr>
              <w:t>164 870 (3º)</w:t>
            </w:r>
          </w:p>
        </w:tc>
      </w:tr>
      <w:tr>
        <w:trPr>
          <w:trHeight w:val="196" w:hRule="exact"/>
        </w:trPr>
        <w:tc>
          <w:tcPr>
            <w:tcW w:w="2500" w:type="dxa"/>
          </w:tcPr>
          <w:p>
            <w:pPr>
              <w:pStyle w:val="TableParagraph"/>
              <w:spacing w:line="176" w:lineRule="exact"/>
              <w:ind w:left="40"/>
              <w:rPr>
                <w:sz w:val="16"/>
              </w:rPr>
            </w:pPr>
            <w:r>
              <w:rPr>
                <w:color w:val="231F20"/>
                <w:w w:val="110"/>
                <w:sz w:val="16"/>
              </w:rPr>
              <w:t>Venezuela</w:t>
            </w:r>
          </w:p>
        </w:tc>
        <w:tc>
          <w:tcPr>
            <w:tcW w:w="819" w:type="dxa"/>
          </w:tcPr>
          <w:p>
            <w:pPr>
              <w:pStyle w:val="TableParagraph"/>
              <w:spacing w:line="176" w:lineRule="exact"/>
              <w:ind w:right="49"/>
              <w:jc w:val="right"/>
              <w:rPr>
                <w:sz w:val="16"/>
              </w:rPr>
            </w:pPr>
            <w:r>
              <w:rPr>
                <w:color w:val="231F20"/>
                <w:w w:val="115"/>
                <w:sz w:val="16"/>
              </w:rPr>
              <w:t>353 (6º)</w:t>
            </w:r>
          </w:p>
        </w:tc>
        <w:tc>
          <w:tcPr>
            <w:tcW w:w="838" w:type="dxa"/>
          </w:tcPr>
          <w:p>
            <w:pPr>
              <w:pStyle w:val="TableParagraph"/>
              <w:spacing w:line="176" w:lineRule="exact"/>
              <w:ind w:right="87"/>
              <w:jc w:val="right"/>
              <w:rPr>
                <w:sz w:val="16"/>
              </w:rPr>
            </w:pPr>
            <w:r>
              <w:rPr>
                <w:color w:val="231F20"/>
                <w:w w:val="110"/>
                <w:sz w:val="16"/>
              </w:rPr>
              <w:t>1 392 (6ª)</w:t>
            </w:r>
          </w:p>
        </w:tc>
        <w:tc>
          <w:tcPr>
            <w:tcW w:w="918" w:type="dxa"/>
          </w:tcPr>
          <w:p>
            <w:pPr>
              <w:pStyle w:val="TableParagraph"/>
              <w:spacing w:line="176" w:lineRule="exact"/>
              <w:ind w:right="46"/>
              <w:jc w:val="right"/>
              <w:rPr>
                <w:sz w:val="16"/>
              </w:rPr>
            </w:pPr>
            <w:r>
              <w:rPr>
                <w:color w:val="231F20"/>
                <w:w w:val="110"/>
                <w:sz w:val="16"/>
              </w:rPr>
              <w:t>21 073 (4º)</w:t>
            </w:r>
          </w:p>
        </w:tc>
        <w:tc>
          <w:tcPr>
            <w:tcW w:w="952" w:type="dxa"/>
          </w:tcPr>
          <w:p>
            <w:pPr>
              <w:pStyle w:val="TableParagraph"/>
              <w:spacing w:line="176" w:lineRule="exact"/>
              <w:ind w:right="39"/>
              <w:jc w:val="right"/>
              <w:rPr>
                <w:sz w:val="16"/>
              </w:rPr>
            </w:pPr>
            <w:r>
              <w:rPr>
                <w:color w:val="231F20"/>
                <w:w w:val="110"/>
                <w:sz w:val="16"/>
              </w:rPr>
              <w:t>44 302 (7º)</w:t>
            </w:r>
          </w:p>
        </w:tc>
      </w:tr>
      <w:tr>
        <w:trPr>
          <w:trHeight w:val="181" w:hRule="exact"/>
        </w:trPr>
        <w:tc>
          <w:tcPr>
            <w:tcW w:w="2500" w:type="dxa"/>
            <w:tcBorders>
              <w:bottom w:val="single" w:sz="4" w:space="0" w:color="231F20"/>
            </w:tcBorders>
          </w:tcPr>
          <w:p>
            <w:pPr>
              <w:pStyle w:val="TableParagraph"/>
              <w:spacing w:line="176" w:lineRule="exact"/>
              <w:ind w:left="40"/>
              <w:rPr>
                <w:sz w:val="16"/>
              </w:rPr>
            </w:pPr>
            <w:r>
              <w:rPr>
                <w:color w:val="231F20"/>
                <w:w w:val="110"/>
                <w:sz w:val="16"/>
              </w:rPr>
              <w:t>Plan Puebla Panamá</w:t>
            </w:r>
          </w:p>
        </w:tc>
        <w:tc>
          <w:tcPr>
            <w:tcW w:w="819" w:type="dxa"/>
            <w:tcBorders>
              <w:bottom w:val="single" w:sz="4" w:space="0" w:color="231F20"/>
            </w:tcBorders>
          </w:tcPr>
          <w:p>
            <w:pPr>
              <w:pStyle w:val="TableParagraph"/>
              <w:spacing w:line="176" w:lineRule="exact"/>
              <w:ind w:right="49"/>
              <w:jc w:val="right"/>
              <w:rPr>
                <w:sz w:val="16"/>
              </w:rPr>
            </w:pPr>
            <w:r>
              <w:rPr>
                <w:color w:val="231F20"/>
                <w:w w:val="105"/>
                <w:sz w:val="16"/>
              </w:rPr>
              <w:t>2 343</w:t>
            </w:r>
          </w:p>
        </w:tc>
        <w:tc>
          <w:tcPr>
            <w:tcW w:w="838" w:type="dxa"/>
            <w:tcBorders>
              <w:bottom w:val="single" w:sz="4" w:space="0" w:color="231F20"/>
            </w:tcBorders>
          </w:tcPr>
          <w:p>
            <w:pPr>
              <w:pStyle w:val="TableParagraph"/>
              <w:spacing w:line="176" w:lineRule="exact"/>
              <w:ind w:right="87"/>
              <w:jc w:val="right"/>
              <w:rPr>
                <w:sz w:val="16"/>
              </w:rPr>
            </w:pPr>
            <w:r>
              <w:rPr>
                <w:color w:val="231F20"/>
                <w:w w:val="105"/>
                <w:sz w:val="16"/>
              </w:rPr>
              <w:t>7 582</w:t>
            </w:r>
          </w:p>
        </w:tc>
        <w:tc>
          <w:tcPr>
            <w:tcW w:w="918" w:type="dxa"/>
            <w:tcBorders>
              <w:bottom w:val="single" w:sz="4" w:space="0" w:color="231F20"/>
            </w:tcBorders>
          </w:tcPr>
          <w:p>
            <w:pPr>
              <w:pStyle w:val="TableParagraph"/>
              <w:spacing w:line="176" w:lineRule="exact"/>
              <w:ind w:right="46"/>
              <w:jc w:val="right"/>
              <w:rPr>
                <w:sz w:val="16"/>
              </w:rPr>
            </w:pPr>
            <w:r>
              <w:rPr>
                <w:color w:val="231F20"/>
                <w:w w:val="105"/>
                <w:sz w:val="16"/>
              </w:rPr>
              <w:t>117 166</w:t>
            </w:r>
          </w:p>
        </w:tc>
        <w:tc>
          <w:tcPr>
            <w:tcW w:w="952" w:type="dxa"/>
            <w:tcBorders>
              <w:bottom w:val="single" w:sz="4" w:space="0" w:color="231F20"/>
            </w:tcBorders>
          </w:tcPr>
          <w:p>
            <w:pPr>
              <w:pStyle w:val="TableParagraph"/>
              <w:spacing w:line="176" w:lineRule="exact"/>
              <w:ind w:right="39"/>
              <w:jc w:val="right"/>
              <w:rPr>
                <w:sz w:val="16"/>
              </w:rPr>
            </w:pPr>
            <w:r>
              <w:rPr>
                <w:color w:val="231F20"/>
                <w:w w:val="105"/>
                <w:sz w:val="16"/>
              </w:rPr>
              <w:t>361 156</w:t>
            </w:r>
          </w:p>
        </w:tc>
      </w:tr>
    </w:tbl>
    <w:p>
      <w:pPr>
        <w:spacing w:line="285" w:lineRule="auto" w:before="73"/>
        <w:ind w:left="120" w:right="118" w:firstLine="0"/>
        <w:jc w:val="both"/>
        <w:rPr>
          <w:sz w:val="18"/>
        </w:rPr>
      </w:pPr>
      <w:r>
        <w:rPr>
          <w:rFonts w:ascii="Calibri" w:hAnsi="Calibri"/>
          <w:color w:val="231F20"/>
          <w:w w:val="105"/>
          <w:sz w:val="18"/>
        </w:rPr>
        <w:t>fuente: </w:t>
      </w:r>
      <w:r>
        <w:rPr>
          <w:color w:val="231F20"/>
          <w:w w:val="105"/>
          <w:sz w:val="18"/>
        </w:rPr>
        <w:t>elaboración propia a partir de semarnat.  </w:t>
      </w:r>
      <w:r>
        <w:rPr>
          <w:i/>
          <w:color w:val="231F20"/>
          <w:w w:val="105"/>
          <w:sz w:val="18"/>
        </w:rPr>
        <w:t>Informe  2000</w:t>
      </w:r>
      <w:r>
        <w:rPr>
          <w:color w:val="231F20"/>
          <w:w w:val="105"/>
          <w:sz w:val="18"/>
        </w:rPr>
        <w:t>,  México,</w:t>
      </w:r>
      <w:r>
        <w:rPr>
          <w:color w:val="231F20"/>
          <w:spacing w:val="47"/>
          <w:w w:val="105"/>
          <w:sz w:val="18"/>
        </w:rPr>
        <w:t> </w:t>
      </w:r>
      <w:r>
        <w:rPr>
          <w:color w:val="231F20"/>
          <w:w w:val="105"/>
          <w:sz w:val="18"/>
        </w:rPr>
        <w:t>2001; </w:t>
      </w:r>
      <w:r>
        <w:rPr>
          <w:i/>
          <w:color w:val="231F20"/>
          <w:w w:val="105"/>
          <w:sz w:val="18"/>
        </w:rPr>
        <w:t>The World Resources </w:t>
      </w:r>
      <w:r>
        <w:rPr>
          <w:color w:val="231F20"/>
          <w:w w:val="105"/>
          <w:sz w:val="18"/>
        </w:rPr>
        <w:t>2005, World Resources Institute; Ministerio de Medio Ambiente do Governo Brasileiro, Área de Meio Ambiente y Recursos Naturais.</w:t>
      </w:r>
    </w:p>
    <w:p>
      <w:pPr>
        <w:pStyle w:val="BodyText"/>
        <w:rPr>
          <w:sz w:val="18"/>
        </w:rPr>
      </w:pPr>
    </w:p>
    <w:p>
      <w:pPr>
        <w:pStyle w:val="BodyText"/>
        <w:rPr>
          <w:sz w:val="18"/>
        </w:rPr>
      </w:pPr>
    </w:p>
    <w:p>
      <w:pPr>
        <w:pStyle w:val="BodyText"/>
        <w:rPr>
          <w:sz w:val="18"/>
        </w:rPr>
      </w:pPr>
    </w:p>
    <w:p>
      <w:pPr>
        <w:pStyle w:val="BodyText"/>
        <w:rPr>
          <w:sz w:val="18"/>
        </w:rPr>
      </w:pPr>
    </w:p>
    <w:p>
      <w:pPr>
        <w:spacing w:line="261" w:lineRule="auto" w:before="130"/>
        <w:ind w:left="120" w:right="117" w:firstLine="240"/>
        <w:jc w:val="both"/>
        <w:rPr>
          <w:sz w:val="16"/>
        </w:rPr>
      </w:pPr>
      <w:r>
        <w:rPr>
          <w:color w:val="231F20"/>
          <w:w w:val="110"/>
          <w:position w:val="5"/>
          <w:sz w:val="10"/>
        </w:rPr>
        <w:t>4</w:t>
      </w:r>
      <w:r>
        <w:rPr>
          <w:color w:val="231F20"/>
          <w:spacing w:val="15"/>
          <w:w w:val="110"/>
          <w:position w:val="5"/>
          <w:sz w:val="10"/>
        </w:rPr>
        <w:t> </w:t>
      </w:r>
      <w:r>
        <w:rPr>
          <w:color w:val="231F20"/>
          <w:spacing w:val="-3"/>
          <w:w w:val="110"/>
          <w:sz w:val="16"/>
        </w:rPr>
        <w:t>Todos</w:t>
      </w:r>
      <w:r>
        <w:rPr>
          <w:color w:val="231F20"/>
          <w:spacing w:val="-7"/>
          <w:w w:val="110"/>
          <w:sz w:val="16"/>
        </w:rPr>
        <w:t> </w:t>
      </w:r>
      <w:r>
        <w:rPr>
          <w:color w:val="231F20"/>
          <w:w w:val="110"/>
          <w:sz w:val="16"/>
        </w:rPr>
        <w:t>los</w:t>
      </w:r>
      <w:r>
        <w:rPr>
          <w:color w:val="231F20"/>
          <w:spacing w:val="-7"/>
          <w:w w:val="110"/>
          <w:sz w:val="16"/>
        </w:rPr>
        <w:t> </w:t>
      </w:r>
      <w:r>
        <w:rPr>
          <w:color w:val="231F20"/>
          <w:w w:val="110"/>
          <w:sz w:val="16"/>
        </w:rPr>
        <w:t>datos</w:t>
      </w:r>
      <w:r>
        <w:rPr>
          <w:color w:val="231F20"/>
          <w:spacing w:val="-7"/>
          <w:w w:val="110"/>
          <w:sz w:val="16"/>
        </w:rPr>
        <w:t> </w:t>
      </w:r>
      <w:r>
        <w:rPr>
          <w:color w:val="231F20"/>
          <w:w w:val="110"/>
          <w:sz w:val="16"/>
        </w:rPr>
        <w:t>sobre</w:t>
      </w:r>
      <w:r>
        <w:rPr>
          <w:color w:val="231F20"/>
          <w:spacing w:val="-7"/>
          <w:w w:val="110"/>
          <w:sz w:val="16"/>
        </w:rPr>
        <w:t> </w:t>
      </w:r>
      <w:r>
        <w:rPr>
          <w:color w:val="231F20"/>
          <w:w w:val="110"/>
          <w:sz w:val="16"/>
        </w:rPr>
        <w:t>biodiversidad</w:t>
      </w:r>
      <w:r>
        <w:rPr>
          <w:color w:val="231F20"/>
          <w:spacing w:val="-7"/>
          <w:w w:val="110"/>
          <w:sz w:val="16"/>
        </w:rPr>
        <w:t> </w:t>
      </w:r>
      <w:r>
        <w:rPr>
          <w:color w:val="231F20"/>
          <w:w w:val="110"/>
          <w:sz w:val="16"/>
        </w:rPr>
        <w:t>(mamíferos,</w:t>
      </w:r>
      <w:r>
        <w:rPr>
          <w:color w:val="231F20"/>
          <w:spacing w:val="-7"/>
          <w:w w:val="110"/>
          <w:sz w:val="16"/>
        </w:rPr>
        <w:t> </w:t>
      </w:r>
      <w:r>
        <w:rPr>
          <w:color w:val="231F20"/>
          <w:w w:val="110"/>
          <w:sz w:val="16"/>
        </w:rPr>
        <w:t>aves,</w:t>
      </w:r>
      <w:r>
        <w:rPr>
          <w:color w:val="231F20"/>
          <w:spacing w:val="-7"/>
          <w:w w:val="110"/>
          <w:sz w:val="16"/>
        </w:rPr>
        <w:t> </w:t>
      </w:r>
      <w:r>
        <w:rPr>
          <w:color w:val="231F20"/>
          <w:w w:val="110"/>
          <w:sz w:val="16"/>
        </w:rPr>
        <w:t>plantas)</w:t>
      </w:r>
      <w:r>
        <w:rPr>
          <w:color w:val="231F20"/>
          <w:spacing w:val="-7"/>
          <w:w w:val="110"/>
          <w:sz w:val="16"/>
        </w:rPr>
        <w:t> </w:t>
      </w:r>
      <w:r>
        <w:rPr>
          <w:color w:val="231F20"/>
          <w:w w:val="110"/>
          <w:sz w:val="16"/>
        </w:rPr>
        <w:t>han</w:t>
      </w:r>
      <w:r>
        <w:rPr>
          <w:color w:val="231F20"/>
          <w:spacing w:val="-7"/>
          <w:w w:val="110"/>
          <w:sz w:val="16"/>
        </w:rPr>
        <w:t> </w:t>
      </w:r>
      <w:r>
        <w:rPr>
          <w:color w:val="231F20"/>
          <w:w w:val="110"/>
          <w:sz w:val="16"/>
        </w:rPr>
        <w:t>sido</w:t>
      </w:r>
      <w:r>
        <w:rPr>
          <w:color w:val="231F20"/>
          <w:spacing w:val="-7"/>
          <w:w w:val="110"/>
          <w:sz w:val="16"/>
        </w:rPr>
        <w:t> </w:t>
      </w:r>
      <w:r>
        <w:rPr>
          <w:color w:val="231F20"/>
          <w:w w:val="110"/>
          <w:sz w:val="16"/>
        </w:rPr>
        <w:t>tomados de</w:t>
      </w:r>
      <w:r>
        <w:rPr>
          <w:color w:val="231F20"/>
          <w:spacing w:val="-15"/>
          <w:w w:val="110"/>
          <w:sz w:val="16"/>
        </w:rPr>
        <w:t> </w:t>
      </w:r>
      <w:r>
        <w:rPr>
          <w:i/>
          <w:color w:val="231F20"/>
          <w:w w:val="110"/>
          <w:sz w:val="16"/>
        </w:rPr>
        <w:t>World</w:t>
      </w:r>
      <w:r>
        <w:rPr>
          <w:i/>
          <w:color w:val="231F20"/>
          <w:spacing w:val="-15"/>
          <w:w w:val="110"/>
          <w:sz w:val="16"/>
        </w:rPr>
        <w:t> </w:t>
      </w:r>
      <w:r>
        <w:rPr>
          <w:i/>
          <w:color w:val="231F20"/>
          <w:w w:val="110"/>
          <w:sz w:val="16"/>
        </w:rPr>
        <w:t>Resources</w:t>
      </w:r>
      <w:r>
        <w:rPr>
          <w:i/>
          <w:color w:val="231F20"/>
          <w:spacing w:val="-15"/>
          <w:w w:val="110"/>
          <w:sz w:val="16"/>
        </w:rPr>
        <w:t> </w:t>
      </w:r>
      <w:r>
        <w:rPr>
          <w:i/>
          <w:color w:val="231F20"/>
          <w:w w:val="110"/>
          <w:sz w:val="16"/>
        </w:rPr>
        <w:t>Institute</w:t>
      </w:r>
      <w:r>
        <w:rPr>
          <w:i/>
          <w:color w:val="231F20"/>
          <w:spacing w:val="-15"/>
          <w:w w:val="110"/>
          <w:sz w:val="16"/>
        </w:rPr>
        <w:t> </w:t>
      </w:r>
      <w:r>
        <w:rPr>
          <w:color w:val="231F20"/>
          <w:w w:val="110"/>
          <w:sz w:val="16"/>
        </w:rPr>
        <w:t>(2005)</w:t>
      </w:r>
      <w:r>
        <w:rPr>
          <w:color w:val="231F20"/>
          <w:spacing w:val="-15"/>
          <w:w w:val="110"/>
          <w:sz w:val="16"/>
        </w:rPr>
        <w:t> </w:t>
      </w:r>
      <w:r>
        <w:rPr>
          <w:color w:val="231F20"/>
          <w:w w:val="110"/>
          <w:sz w:val="16"/>
        </w:rPr>
        <w:t>así</w:t>
      </w:r>
      <w:r>
        <w:rPr>
          <w:color w:val="231F20"/>
          <w:spacing w:val="-15"/>
          <w:w w:val="110"/>
          <w:sz w:val="16"/>
        </w:rPr>
        <w:t> </w:t>
      </w:r>
      <w:r>
        <w:rPr>
          <w:color w:val="231F20"/>
          <w:w w:val="110"/>
          <w:sz w:val="16"/>
        </w:rPr>
        <w:t>como</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los</w:t>
      </w:r>
      <w:r>
        <w:rPr>
          <w:color w:val="231F20"/>
          <w:spacing w:val="-15"/>
          <w:w w:val="110"/>
          <w:sz w:val="16"/>
        </w:rPr>
        <w:t> </w:t>
      </w:r>
      <w:r>
        <w:rPr>
          <w:color w:val="231F20"/>
          <w:w w:val="110"/>
          <w:sz w:val="16"/>
        </w:rPr>
        <w:t>Ministerios</w:t>
      </w:r>
      <w:r>
        <w:rPr>
          <w:color w:val="231F20"/>
          <w:spacing w:val="-15"/>
          <w:w w:val="110"/>
          <w:sz w:val="16"/>
        </w:rPr>
        <w:t> </w:t>
      </w:r>
      <w:r>
        <w:rPr>
          <w:color w:val="231F20"/>
          <w:w w:val="110"/>
          <w:sz w:val="16"/>
        </w:rPr>
        <w:t>y</w:t>
      </w:r>
      <w:r>
        <w:rPr>
          <w:color w:val="231F20"/>
          <w:spacing w:val="-15"/>
          <w:w w:val="110"/>
          <w:sz w:val="16"/>
        </w:rPr>
        <w:t> </w:t>
      </w:r>
      <w:r>
        <w:rPr>
          <w:color w:val="231F20"/>
          <w:w w:val="110"/>
          <w:sz w:val="16"/>
        </w:rPr>
        <w:t>Secretarias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Medio Ambiente</w:t>
      </w:r>
      <w:r>
        <w:rPr>
          <w:color w:val="231F20"/>
          <w:spacing w:val="-8"/>
          <w:w w:val="110"/>
          <w:sz w:val="16"/>
        </w:rPr>
        <w:t> </w:t>
      </w:r>
      <w:r>
        <w:rPr>
          <w:color w:val="231F20"/>
          <w:w w:val="110"/>
          <w:sz w:val="16"/>
        </w:rPr>
        <w:t>de</w:t>
      </w:r>
      <w:r>
        <w:rPr>
          <w:color w:val="231F20"/>
          <w:spacing w:val="-8"/>
          <w:w w:val="110"/>
          <w:sz w:val="16"/>
        </w:rPr>
        <w:t> </w:t>
      </w:r>
      <w:r>
        <w:rPr>
          <w:color w:val="231F20"/>
          <w:w w:val="110"/>
          <w:sz w:val="16"/>
        </w:rPr>
        <w:t>Brasil,</w:t>
      </w:r>
      <w:r>
        <w:rPr>
          <w:color w:val="231F20"/>
          <w:spacing w:val="-8"/>
          <w:w w:val="110"/>
          <w:sz w:val="16"/>
        </w:rPr>
        <w:t> </w:t>
      </w:r>
      <w:r>
        <w:rPr>
          <w:color w:val="231F20"/>
          <w:w w:val="110"/>
          <w:sz w:val="16"/>
        </w:rPr>
        <w:t>México,</w:t>
      </w:r>
      <w:r>
        <w:rPr>
          <w:color w:val="231F20"/>
          <w:spacing w:val="-8"/>
          <w:w w:val="110"/>
          <w:sz w:val="16"/>
        </w:rPr>
        <w:t> </w:t>
      </w:r>
      <w:r>
        <w:rPr>
          <w:color w:val="231F20"/>
          <w:w w:val="110"/>
          <w:sz w:val="16"/>
        </w:rPr>
        <w:t>Colombia</w:t>
      </w:r>
      <w:r>
        <w:rPr>
          <w:color w:val="231F20"/>
          <w:spacing w:val="-8"/>
          <w:w w:val="110"/>
          <w:sz w:val="16"/>
        </w:rPr>
        <w:t> </w:t>
      </w:r>
      <w:r>
        <w:rPr>
          <w:color w:val="231F20"/>
          <w:w w:val="110"/>
          <w:sz w:val="16"/>
        </w:rPr>
        <w:t>y</w:t>
      </w:r>
      <w:r>
        <w:rPr>
          <w:color w:val="231F20"/>
          <w:spacing w:val="-8"/>
          <w:w w:val="110"/>
          <w:sz w:val="16"/>
        </w:rPr>
        <w:t> </w:t>
      </w:r>
      <w:r>
        <w:rPr>
          <w:color w:val="231F20"/>
          <w:w w:val="110"/>
          <w:sz w:val="16"/>
        </w:rPr>
        <w:t>Perú.</w:t>
      </w:r>
    </w:p>
    <w:p>
      <w:pPr>
        <w:spacing w:after="0" w:line="261" w:lineRule="auto"/>
        <w:jc w:val="both"/>
        <w:rPr>
          <w:sz w:val="16"/>
        </w:rPr>
        <w:sectPr>
          <w:pgSz w:w="7640" w:h="11900"/>
          <w:pgMar w:header="672" w:footer="0" w:top="860" w:bottom="280" w:left="640" w:right="760"/>
        </w:sectPr>
      </w:pPr>
    </w:p>
    <w:p>
      <w:pPr>
        <w:pStyle w:val="BodyText"/>
        <w:spacing w:before="8"/>
        <w:rPr>
          <w:sz w:val="8"/>
        </w:rPr>
      </w:pPr>
    </w:p>
    <w:p>
      <w:pPr>
        <w:pStyle w:val="BodyText"/>
        <w:spacing w:before="67"/>
        <w:ind w:left="73" w:right="119"/>
        <w:jc w:val="right"/>
      </w:pPr>
      <w:r>
        <w:rPr>
          <w:color w:val="231F20"/>
          <w:w w:val="110"/>
        </w:rPr>
        <w:t>Si prestamos atención al rubro sobre Plan Puebla Panamá  </w:t>
      </w:r>
      <w:r>
        <w:rPr>
          <w:color w:val="231F20"/>
          <w:spacing w:val="53"/>
          <w:w w:val="110"/>
        </w:rPr>
        <w:t> </w:t>
      </w:r>
      <w:r>
        <w:rPr>
          <w:color w:val="231F20"/>
          <w:w w:val="110"/>
        </w:rPr>
        <w:t>(ppp)</w:t>
      </w:r>
    </w:p>
    <w:p>
      <w:pPr>
        <w:pStyle w:val="BodyText"/>
        <w:spacing w:line="261" w:lineRule="auto" w:before="20"/>
        <w:ind w:left="100" w:right="117"/>
        <w:jc w:val="right"/>
      </w:pPr>
      <w:r>
        <w:rPr>
          <w:color w:val="231F20"/>
          <w:w w:val="110"/>
        </w:rPr>
        <w:t>—actualmente Proyecto Mesoamericano—, esta subregión</w:t>
      </w:r>
      <w:r>
        <w:rPr>
          <w:color w:val="231F20"/>
          <w:spacing w:val="53"/>
          <w:w w:val="110"/>
        </w:rPr>
        <w:t> </w:t>
      </w:r>
      <w:r>
        <w:rPr>
          <w:color w:val="231F20"/>
          <w:w w:val="110"/>
        </w:rPr>
        <w:t>tiene</w:t>
      </w:r>
      <w:r>
        <w:rPr>
          <w:color w:val="231F20"/>
          <w:spacing w:val="10"/>
          <w:w w:val="110"/>
        </w:rPr>
        <w:t> </w:t>
      </w:r>
      <w:r>
        <w:rPr>
          <w:color w:val="231F20"/>
          <w:w w:val="110"/>
        </w:rPr>
        <w:t>un</w:t>
      </w:r>
      <w:r>
        <w:rPr>
          <w:color w:val="231F20"/>
          <w:w w:val="118"/>
        </w:rPr>
        <w:t> </w:t>
      </w:r>
      <w:r>
        <w:rPr>
          <w:color w:val="231F20"/>
          <w:w w:val="110"/>
        </w:rPr>
        <w:t>altísimo potencial. Cuenta con 35% de los mamíferos de</w:t>
      </w:r>
      <w:r>
        <w:rPr>
          <w:color w:val="231F20"/>
          <w:spacing w:val="15"/>
          <w:w w:val="110"/>
        </w:rPr>
        <w:t> </w:t>
      </w:r>
      <w:r>
        <w:rPr>
          <w:color w:val="231F20"/>
          <w:w w:val="110"/>
        </w:rPr>
        <w:t>la</w:t>
      </w:r>
      <w:r>
        <w:rPr>
          <w:color w:val="231F20"/>
          <w:spacing w:val="13"/>
          <w:w w:val="110"/>
        </w:rPr>
        <w:t> </w:t>
      </w:r>
      <w:r>
        <w:rPr>
          <w:color w:val="231F20"/>
          <w:w w:val="110"/>
        </w:rPr>
        <w:t>región,</w:t>
      </w:r>
      <w:r>
        <w:rPr>
          <w:color w:val="231F20"/>
          <w:w w:val="111"/>
        </w:rPr>
        <w:t> </w:t>
      </w:r>
      <w:r>
        <w:rPr>
          <w:color w:val="231F20"/>
          <w:w w:val="110"/>
        </w:rPr>
        <w:t>36% de las aves y 37% del total de las especies vegetales.</w:t>
      </w:r>
      <w:r>
        <w:rPr>
          <w:color w:val="231F20"/>
          <w:spacing w:val="8"/>
          <w:w w:val="110"/>
        </w:rPr>
        <w:t> </w:t>
      </w:r>
      <w:r>
        <w:rPr>
          <w:color w:val="231F20"/>
          <w:w w:val="110"/>
        </w:rPr>
        <w:t>Los datos</w:t>
      </w:r>
      <w:r>
        <w:rPr>
          <w:color w:val="231F20"/>
          <w:w w:val="108"/>
        </w:rPr>
        <w:t> </w:t>
      </w:r>
      <w:r>
        <w:rPr>
          <w:color w:val="231F20"/>
          <w:w w:val="110"/>
        </w:rPr>
        <w:t>hablan por sí solos en cuanto a la importancia estratégica</w:t>
      </w:r>
      <w:r>
        <w:rPr>
          <w:color w:val="231F20"/>
          <w:spacing w:val="38"/>
          <w:w w:val="110"/>
        </w:rPr>
        <w:t> </w:t>
      </w:r>
      <w:r>
        <w:rPr>
          <w:color w:val="231F20"/>
          <w:w w:val="110"/>
        </w:rPr>
        <w:t>de</w:t>
      </w:r>
      <w:r>
        <w:rPr>
          <w:color w:val="231F20"/>
          <w:spacing w:val="14"/>
          <w:w w:val="110"/>
        </w:rPr>
        <w:t> </w:t>
      </w:r>
      <w:r>
        <w:rPr>
          <w:color w:val="231F20"/>
          <w:w w:val="110"/>
        </w:rPr>
        <w:t>Amé-</w:t>
      </w:r>
      <w:r>
        <w:rPr>
          <w:color w:val="231F20"/>
          <w:w w:val="72"/>
        </w:rPr>
        <w:t> </w:t>
      </w:r>
      <w:r>
        <w:rPr>
          <w:color w:val="231F20"/>
          <w:w w:val="110"/>
        </w:rPr>
        <w:t>rica Latina para Estados Unidos y además, nos permiten</w:t>
      </w:r>
      <w:r>
        <w:rPr>
          <w:color w:val="231F20"/>
          <w:spacing w:val="12"/>
          <w:w w:val="110"/>
        </w:rPr>
        <w:t> </w:t>
      </w:r>
      <w:r>
        <w:rPr>
          <w:color w:val="231F20"/>
          <w:w w:val="110"/>
        </w:rPr>
        <w:t>apreciar</w:t>
      </w:r>
      <w:r>
        <w:rPr>
          <w:color w:val="231F20"/>
          <w:spacing w:val="7"/>
          <w:w w:val="110"/>
        </w:rPr>
        <w:t> </w:t>
      </w:r>
      <w:r>
        <w:rPr>
          <w:color w:val="231F20"/>
          <w:w w:val="110"/>
        </w:rPr>
        <w:t>la</w:t>
      </w:r>
      <w:r>
        <w:rPr>
          <w:color w:val="231F20"/>
          <w:w w:val="105"/>
        </w:rPr>
        <w:t> </w:t>
      </w:r>
      <w:r>
        <w:rPr>
          <w:color w:val="231F20"/>
          <w:w w:val="110"/>
        </w:rPr>
        <w:t>trascendencia</w:t>
      </w:r>
      <w:r>
        <w:rPr>
          <w:color w:val="231F20"/>
          <w:spacing w:val="-8"/>
          <w:w w:val="110"/>
        </w:rPr>
        <w:t> </w:t>
      </w:r>
      <w:r>
        <w:rPr>
          <w:color w:val="231F20"/>
          <w:w w:val="110"/>
        </w:rPr>
        <w:t>del</w:t>
      </w:r>
      <w:r>
        <w:rPr>
          <w:color w:val="231F20"/>
          <w:spacing w:val="-8"/>
          <w:w w:val="110"/>
        </w:rPr>
        <w:t> </w:t>
      </w:r>
      <w:r>
        <w:rPr>
          <w:color w:val="231F20"/>
          <w:w w:val="110"/>
        </w:rPr>
        <w:t>Proyecto</w:t>
      </w:r>
      <w:r>
        <w:rPr>
          <w:color w:val="231F20"/>
          <w:spacing w:val="-8"/>
          <w:w w:val="110"/>
        </w:rPr>
        <w:t> </w:t>
      </w:r>
      <w:r>
        <w:rPr>
          <w:color w:val="231F20"/>
          <w:w w:val="110"/>
        </w:rPr>
        <w:t>Mesoamericano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marco</w:t>
      </w:r>
      <w:r>
        <w:rPr>
          <w:color w:val="231F20"/>
          <w:spacing w:val="-8"/>
          <w:w w:val="110"/>
        </w:rPr>
        <w:t> </w:t>
      </w:r>
      <w:r>
        <w:rPr>
          <w:color w:val="231F20"/>
          <w:w w:val="110"/>
        </w:rPr>
        <w:t>del</w:t>
      </w:r>
      <w:r>
        <w:rPr>
          <w:color w:val="231F20"/>
          <w:spacing w:val="-8"/>
          <w:w w:val="110"/>
        </w:rPr>
        <w:t> </w:t>
      </w:r>
      <w:r>
        <w:rPr>
          <w:color w:val="231F20"/>
          <w:w w:val="110"/>
        </w:rPr>
        <w:t>Proyecto</w:t>
      </w:r>
      <w:r>
        <w:rPr>
          <w:color w:val="231F20"/>
          <w:w w:val="106"/>
        </w:rPr>
        <w:t> </w:t>
      </w:r>
      <w:r>
        <w:rPr>
          <w:color w:val="231F20"/>
          <w:w w:val="110"/>
        </w:rPr>
        <w:t>Hemisférico estadunidense. El destino de la</w:t>
      </w:r>
      <w:r>
        <w:rPr>
          <w:color w:val="231F20"/>
          <w:spacing w:val="-19"/>
          <w:w w:val="110"/>
        </w:rPr>
        <w:t> </w:t>
      </w:r>
      <w:r>
        <w:rPr>
          <w:color w:val="231F20"/>
          <w:w w:val="110"/>
        </w:rPr>
        <w:t>inversión</w:t>
      </w:r>
      <w:r>
        <w:rPr>
          <w:color w:val="231F20"/>
          <w:spacing w:val="42"/>
          <w:w w:val="110"/>
        </w:rPr>
        <w:t> </w:t>
      </w:r>
      <w:r>
        <w:rPr>
          <w:color w:val="231F20"/>
          <w:w w:val="110"/>
        </w:rPr>
        <w:t>extranjera</w:t>
      </w:r>
      <w:r>
        <w:rPr>
          <w:color w:val="231F20"/>
          <w:spacing w:val="1"/>
          <w:w w:val="111"/>
        </w:rPr>
        <w:t> </w:t>
      </w:r>
      <w:r>
        <w:rPr>
          <w:color w:val="231F20"/>
          <w:w w:val="110"/>
        </w:rPr>
        <w:t>directa (ied) y la procedencia de los países inversores ponen</w:t>
      </w:r>
      <w:r>
        <w:rPr>
          <w:color w:val="231F20"/>
          <w:spacing w:val="44"/>
          <w:w w:val="110"/>
        </w:rPr>
        <w:t> </w:t>
      </w:r>
      <w:r>
        <w:rPr>
          <w:color w:val="231F20"/>
          <w:w w:val="110"/>
        </w:rPr>
        <w:t>de</w:t>
      </w:r>
      <w:r>
        <w:rPr>
          <w:color w:val="231F20"/>
          <w:spacing w:val="4"/>
          <w:w w:val="110"/>
        </w:rPr>
        <w:t> </w:t>
      </w:r>
      <w:r>
        <w:rPr>
          <w:color w:val="231F20"/>
          <w:w w:val="110"/>
        </w:rPr>
        <w:t>ma-</w:t>
      </w:r>
      <w:r>
        <w:rPr>
          <w:color w:val="231F20"/>
          <w:w w:val="72"/>
        </w:rPr>
        <w:t> </w:t>
      </w:r>
      <w:r>
        <w:rPr>
          <w:color w:val="231F20"/>
          <w:w w:val="110"/>
        </w:rPr>
        <w:t>nifiesto no sólo la importancia creciente del sector de</w:t>
      </w:r>
      <w:r>
        <w:rPr>
          <w:color w:val="231F20"/>
          <w:spacing w:val="19"/>
          <w:w w:val="110"/>
        </w:rPr>
        <w:t> </w:t>
      </w:r>
      <w:r>
        <w:rPr>
          <w:color w:val="231F20"/>
          <w:w w:val="110"/>
        </w:rPr>
        <w:t>los</w:t>
      </w:r>
      <w:r>
        <w:rPr>
          <w:color w:val="231F20"/>
          <w:spacing w:val="20"/>
          <w:w w:val="110"/>
        </w:rPr>
        <w:t> </w:t>
      </w:r>
      <w:r>
        <w:rPr>
          <w:color w:val="231F20"/>
          <w:w w:val="110"/>
        </w:rPr>
        <w:t>recursos</w:t>
      </w:r>
      <w:r>
        <w:rPr>
          <w:color w:val="231F20"/>
          <w:w w:val="108"/>
        </w:rPr>
        <w:t> </w:t>
      </w:r>
      <w:r>
        <w:rPr>
          <w:color w:val="231F20"/>
          <w:w w:val="110"/>
        </w:rPr>
        <w:t>naturales,</w:t>
      </w:r>
      <w:r>
        <w:rPr>
          <w:color w:val="231F20"/>
          <w:spacing w:val="-4"/>
          <w:w w:val="110"/>
        </w:rPr>
        <w:t> </w:t>
      </w:r>
      <w:r>
        <w:rPr>
          <w:color w:val="231F20"/>
          <w:w w:val="110"/>
        </w:rPr>
        <w:t>que</w:t>
      </w:r>
      <w:r>
        <w:rPr>
          <w:color w:val="231F20"/>
          <w:spacing w:val="-4"/>
          <w:w w:val="110"/>
        </w:rPr>
        <w:t> </w:t>
      </w:r>
      <w:r>
        <w:rPr>
          <w:color w:val="231F20"/>
          <w:w w:val="110"/>
        </w:rPr>
        <w:t>ha</w:t>
      </w:r>
      <w:r>
        <w:rPr>
          <w:color w:val="231F20"/>
          <w:spacing w:val="-4"/>
          <w:w w:val="110"/>
        </w:rPr>
        <w:t> </w:t>
      </w:r>
      <w:r>
        <w:rPr>
          <w:color w:val="231F20"/>
          <w:w w:val="110"/>
        </w:rPr>
        <w:t>ido</w:t>
      </w:r>
      <w:r>
        <w:rPr>
          <w:color w:val="231F20"/>
          <w:spacing w:val="-4"/>
          <w:w w:val="110"/>
        </w:rPr>
        <w:t> </w:t>
      </w:r>
      <w:r>
        <w:rPr>
          <w:color w:val="231F20"/>
          <w:w w:val="110"/>
        </w:rPr>
        <w:t>desplazando</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manufacturas</w:t>
      </w:r>
      <w:r>
        <w:rPr>
          <w:color w:val="231F20"/>
          <w:spacing w:val="-4"/>
          <w:w w:val="110"/>
        </w:rPr>
        <w:t> </w:t>
      </w:r>
      <w:r>
        <w:rPr>
          <w:color w:val="231F20"/>
          <w:w w:val="110"/>
        </w:rPr>
        <w:t>y</w:t>
      </w:r>
      <w:r>
        <w:rPr>
          <w:color w:val="231F20"/>
          <w:spacing w:val="-4"/>
          <w:w w:val="110"/>
        </w:rPr>
        <w:t> </w:t>
      </w:r>
      <w:r>
        <w:rPr>
          <w:color w:val="231F20"/>
          <w:w w:val="110"/>
        </w:rPr>
        <w:t>servicios</w:t>
      </w:r>
      <w:r>
        <w:rPr>
          <w:color w:val="231F20"/>
          <w:spacing w:val="-4"/>
          <w:w w:val="110"/>
        </w:rPr>
        <w:t> </w:t>
      </w:r>
      <w:r>
        <w:rPr>
          <w:color w:val="231F20"/>
          <w:w w:val="110"/>
        </w:rPr>
        <w:t>a</w:t>
      </w:r>
      <w:r>
        <w:rPr>
          <w:color w:val="231F20"/>
          <w:spacing w:val="-4"/>
          <w:w w:val="110"/>
        </w:rPr>
        <w:t> </w:t>
      </w:r>
      <w:r>
        <w:rPr>
          <w:color w:val="231F20"/>
          <w:w w:val="110"/>
        </w:rPr>
        <w:t>lo</w:t>
      </w:r>
      <w:r>
        <w:rPr>
          <w:color w:val="231F20"/>
          <w:w w:val="107"/>
        </w:rPr>
        <w:t> </w:t>
      </w:r>
      <w:r>
        <w:rPr>
          <w:color w:val="231F20"/>
          <w:w w:val="110"/>
        </w:rPr>
        <w:t>largo del periodo 1997-2006, sino también el hecho de</w:t>
      </w:r>
      <w:r>
        <w:rPr>
          <w:color w:val="231F20"/>
          <w:spacing w:val="11"/>
          <w:w w:val="110"/>
        </w:rPr>
        <w:t> </w:t>
      </w:r>
      <w:r>
        <w:rPr>
          <w:color w:val="231F20"/>
          <w:w w:val="110"/>
        </w:rPr>
        <w:t>que</w:t>
      </w:r>
      <w:r>
        <w:rPr>
          <w:color w:val="231F20"/>
          <w:spacing w:val="7"/>
          <w:w w:val="110"/>
        </w:rPr>
        <w:t> </w:t>
      </w:r>
      <w:r>
        <w:rPr>
          <w:color w:val="231F20"/>
          <w:w w:val="110"/>
        </w:rPr>
        <w:t>Estados</w:t>
      </w:r>
      <w:r>
        <w:rPr>
          <w:color w:val="231F20"/>
          <w:w w:val="105"/>
        </w:rPr>
        <w:t> </w:t>
      </w:r>
      <w:r>
        <w:rPr>
          <w:color w:val="231F20"/>
          <w:w w:val="110"/>
        </w:rPr>
        <w:t>Unidos es el primer y segundo inversor en la mayoría de</w:t>
      </w:r>
      <w:r>
        <w:rPr>
          <w:color w:val="231F20"/>
          <w:spacing w:val="2"/>
          <w:w w:val="110"/>
        </w:rPr>
        <w:t> </w:t>
      </w:r>
      <w:r>
        <w:rPr>
          <w:color w:val="231F20"/>
          <w:w w:val="110"/>
        </w:rPr>
        <w:t>los</w:t>
      </w:r>
      <w:r>
        <w:rPr>
          <w:color w:val="231F20"/>
          <w:spacing w:val="10"/>
          <w:w w:val="110"/>
        </w:rPr>
        <w:t> </w:t>
      </w:r>
      <w:r>
        <w:rPr>
          <w:color w:val="231F20"/>
          <w:w w:val="110"/>
        </w:rPr>
        <w:t>países</w:t>
      </w:r>
      <w:r>
        <w:rPr>
          <w:color w:val="231F20"/>
          <w:w w:val="105"/>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región</w:t>
      </w:r>
      <w:r>
        <w:rPr>
          <w:color w:val="231F20"/>
          <w:spacing w:val="-9"/>
          <w:w w:val="110"/>
        </w:rPr>
        <w:t> </w:t>
      </w:r>
      <w:r>
        <w:rPr>
          <w:color w:val="231F20"/>
          <w:w w:val="110"/>
        </w:rPr>
        <w:t>(Eclac,</w:t>
      </w:r>
      <w:r>
        <w:rPr>
          <w:color w:val="231F20"/>
          <w:spacing w:val="-9"/>
          <w:w w:val="110"/>
        </w:rPr>
        <w:t> </w:t>
      </w:r>
      <w:r>
        <w:rPr>
          <w:color w:val="231F20"/>
          <w:w w:val="110"/>
        </w:rPr>
        <w:t>2005;</w:t>
      </w:r>
      <w:r>
        <w:rPr>
          <w:color w:val="231F20"/>
          <w:spacing w:val="-9"/>
          <w:w w:val="110"/>
        </w:rPr>
        <w:t> </w:t>
      </w:r>
      <w:r>
        <w:rPr>
          <w:color w:val="231F20"/>
          <w:w w:val="110"/>
        </w:rPr>
        <w:t>Cepal,</w:t>
      </w:r>
      <w:r>
        <w:rPr>
          <w:color w:val="231F20"/>
          <w:spacing w:val="-9"/>
          <w:w w:val="110"/>
        </w:rPr>
        <w:t> </w:t>
      </w:r>
      <w:r>
        <w:rPr>
          <w:color w:val="231F20"/>
          <w:w w:val="110"/>
        </w:rPr>
        <w:t>2007;</w:t>
      </w:r>
      <w:r>
        <w:rPr>
          <w:color w:val="231F20"/>
          <w:spacing w:val="-9"/>
          <w:w w:val="110"/>
        </w:rPr>
        <w:t> </w:t>
      </w:r>
      <w:r>
        <w:rPr>
          <w:color w:val="231F20"/>
          <w:w w:val="110"/>
        </w:rPr>
        <w:t>Rodríguez</w:t>
      </w:r>
      <w:r>
        <w:rPr>
          <w:color w:val="231F20"/>
          <w:spacing w:val="-9"/>
          <w:w w:val="110"/>
        </w:rPr>
        <w:t> </w:t>
      </w:r>
      <w:r>
        <w:rPr>
          <w:color w:val="231F20"/>
          <w:w w:val="110"/>
        </w:rPr>
        <w:t>Rejas,</w:t>
      </w:r>
      <w:r>
        <w:rPr>
          <w:color w:val="231F20"/>
          <w:spacing w:val="-9"/>
          <w:w w:val="110"/>
        </w:rPr>
        <w:t> </w:t>
      </w:r>
      <w:r>
        <w:rPr>
          <w:color w:val="231F20"/>
          <w:w w:val="110"/>
        </w:rPr>
        <w:t>2010:</w:t>
      </w:r>
      <w:r>
        <w:rPr>
          <w:color w:val="231F20"/>
          <w:spacing w:val="-9"/>
          <w:w w:val="110"/>
        </w:rPr>
        <w:t> </w:t>
      </w:r>
      <w:r>
        <w:rPr>
          <w:color w:val="231F20"/>
          <w:w w:val="110"/>
        </w:rPr>
        <w:t>166).</w:t>
      </w:r>
      <w:r>
        <w:rPr>
          <w:color w:val="231F20"/>
          <w:w w:val="108"/>
        </w:rPr>
        <w:t> </w:t>
      </w:r>
      <w:r>
        <w:rPr>
          <w:color w:val="231F20"/>
          <w:w w:val="110"/>
        </w:rPr>
        <w:t>Si</w:t>
      </w:r>
      <w:r>
        <w:rPr>
          <w:color w:val="231F20"/>
          <w:spacing w:val="-12"/>
          <w:w w:val="110"/>
        </w:rPr>
        <w:t> </w:t>
      </w:r>
      <w:r>
        <w:rPr>
          <w:color w:val="231F20"/>
          <w:w w:val="110"/>
        </w:rPr>
        <w:t>revisamos</w:t>
      </w:r>
      <w:r>
        <w:rPr>
          <w:color w:val="231F20"/>
          <w:spacing w:val="-12"/>
          <w:w w:val="110"/>
        </w:rPr>
        <w:t> </w:t>
      </w:r>
      <w:r>
        <w:rPr>
          <w:color w:val="231F20"/>
          <w:w w:val="110"/>
        </w:rPr>
        <w:t>el</w:t>
      </w:r>
      <w:r>
        <w:rPr>
          <w:color w:val="231F20"/>
          <w:spacing w:val="-12"/>
          <w:w w:val="110"/>
        </w:rPr>
        <w:t> </w:t>
      </w:r>
      <w:r>
        <w:rPr>
          <w:color w:val="231F20"/>
          <w:w w:val="110"/>
        </w:rPr>
        <w:t>rubro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minerales</w:t>
      </w:r>
      <w:r>
        <w:rPr>
          <w:color w:val="231F20"/>
          <w:spacing w:val="-12"/>
          <w:w w:val="110"/>
        </w:rPr>
        <w:t> </w:t>
      </w:r>
      <w:r>
        <w:rPr>
          <w:color w:val="231F20"/>
          <w:w w:val="110"/>
        </w:rPr>
        <w:t>estratégicos,</w:t>
      </w:r>
      <w:r>
        <w:rPr>
          <w:color w:val="231F20"/>
          <w:spacing w:val="-12"/>
          <w:w w:val="110"/>
        </w:rPr>
        <w:t> </w:t>
      </w:r>
      <w:r>
        <w:rPr>
          <w:color w:val="231F20"/>
          <w:w w:val="110"/>
        </w:rPr>
        <w:t>podemos</w:t>
      </w:r>
      <w:r>
        <w:rPr>
          <w:color w:val="231F20"/>
          <w:spacing w:val="-12"/>
          <w:w w:val="110"/>
        </w:rPr>
        <w:t> </w:t>
      </w:r>
      <w:r>
        <w:rPr>
          <w:color w:val="231F20"/>
          <w:w w:val="110"/>
        </w:rPr>
        <w:t>apre-</w:t>
      </w:r>
      <w:r>
        <w:rPr>
          <w:color w:val="231F20"/>
          <w:w w:val="72"/>
        </w:rPr>
        <w:t> </w:t>
      </w:r>
      <w:r>
        <w:rPr>
          <w:color w:val="231F20"/>
          <w:w w:val="110"/>
        </w:rPr>
        <w:t>ciar</w:t>
      </w:r>
      <w:r>
        <w:rPr>
          <w:color w:val="231F20"/>
          <w:spacing w:val="32"/>
          <w:w w:val="110"/>
        </w:rPr>
        <w:t> </w:t>
      </w:r>
      <w:r>
        <w:rPr>
          <w:color w:val="231F20"/>
          <w:w w:val="110"/>
        </w:rPr>
        <w:t>que,</w:t>
      </w:r>
      <w:r>
        <w:rPr>
          <w:color w:val="231F20"/>
          <w:spacing w:val="32"/>
          <w:w w:val="110"/>
        </w:rPr>
        <w:t> </w:t>
      </w:r>
      <w:r>
        <w:rPr>
          <w:color w:val="231F20"/>
          <w:w w:val="110"/>
        </w:rPr>
        <w:t>desde</w:t>
      </w:r>
      <w:r>
        <w:rPr>
          <w:color w:val="231F20"/>
          <w:spacing w:val="32"/>
          <w:w w:val="110"/>
        </w:rPr>
        <w:t> </w:t>
      </w:r>
      <w:r>
        <w:rPr>
          <w:color w:val="231F20"/>
          <w:w w:val="110"/>
        </w:rPr>
        <w:t>mediados</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años</w:t>
      </w:r>
      <w:r>
        <w:rPr>
          <w:color w:val="231F20"/>
          <w:spacing w:val="32"/>
          <w:w w:val="110"/>
        </w:rPr>
        <w:t> </w:t>
      </w:r>
      <w:r>
        <w:rPr>
          <w:color w:val="231F20"/>
          <w:w w:val="110"/>
        </w:rPr>
        <w:t>noventa,</w:t>
      </w:r>
      <w:r>
        <w:rPr>
          <w:color w:val="231F20"/>
          <w:spacing w:val="32"/>
          <w:w w:val="110"/>
        </w:rPr>
        <w:t> </w:t>
      </w:r>
      <w:r>
        <w:rPr>
          <w:color w:val="231F20"/>
          <w:w w:val="110"/>
        </w:rPr>
        <w:t>cuando</w:t>
      </w:r>
      <w:r>
        <w:rPr>
          <w:color w:val="231F20"/>
          <w:spacing w:val="32"/>
          <w:w w:val="110"/>
        </w:rPr>
        <w:t> </w:t>
      </w:r>
      <w:r>
        <w:rPr>
          <w:color w:val="231F20"/>
          <w:w w:val="110"/>
        </w:rPr>
        <w:t>se</w:t>
      </w:r>
      <w:r>
        <w:rPr>
          <w:color w:val="231F20"/>
          <w:spacing w:val="32"/>
          <w:w w:val="110"/>
        </w:rPr>
        <w:t> </w:t>
      </w:r>
      <w:r>
        <w:rPr>
          <w:color w:val="231F20"/>
          <w:w w:val="110"/>
        </w:rPr>
        <w:t>dispara</w:t>
      </w:r>
      <w:r>
        <w:rPr>
          <w:color w:val="231F20"/>
          <w:w w:val="109"/>
        </w:rPr>
        <w:t> </w:t>
      </w:r>
      <w:r>
        <w:rPr>
          <w:color w:val="231F20"/>
          <w:w w:val="110"/>
        </w:rPr>
        <w:t>esta actividad, América Latina cuenta con una parte</w:t>
      </w:r>
      <w:r>
        <w:rPr>
          <w:color w:val="231F20"/>
          <w:spacing w:val="40"/>
          <w:w w:val="110"/>
        </w:rPr>
        <w:t> </w:t>
      </w:r>
      <w:r>
        <w:rPr>
          <w:color w:val="231F20"/>
          <w:w w:val="110"/>
        </w:rPr>
        <w:t>importante</w:t>
      </w:r>
      <w:r>
        <w:rPr>
          <w:color w:val="231F20"/>
          <w:spacing w:val="18"/>
          <w:w w:val="110"/>
        </w:rPr>
        <w:t> </w:t>
      </w:r>
      <w:r>
        <w:rPr>
          <w:color w:val="231F20"/>
          <w:w w:val="110"/>
        </w:rPr>
        <w:t>de</w:t>
      </w:r>
      <w:r>
        <w:rPr>
          <w:color w:val="231F20"/>
          <w:w w:val="114"/>
        </w:rPr>
        <w:t> </w:t>
      </w:r>
      <w:r>
        <w:rPr>
          <w:color w:val="231F20"/>
          <w:w w:val="110"/>
        </w:rPr>
        <w:t>la producción y reservas de varios minerales, cuya</w:t>
      </w:r>
      <w:r>
        <w:rPr>
          <w:color w:val="231F20"/>
          <w:spacing w:val="53"/>
          <w:w w:val="110"/>
        </w:rPr>
        <w:t> </w:t>
      </w:r>
      <w:r>
        <w:rPr>
          <w:color w:val="231F20"/>
          <w:w w:val="110"/>
        </w:rPr>
        <w:t>principal</w:t>
      </w:r>
      <w:r>
        <w:rPr>
          <w:color w:val="231F20"/>
          <w:spacing w:val="13"/>
          <w:w w:val="110"/>
        </w:rPr>
        <w:t> </w:t>
      </w:r>
      <w:r>
        <w:rPr>
          <w:color w:val="231F20"/>
          <w:w w:val="110"/>
        </w:rPr>
        <w:t>fuente</w:t>
      </w:r>
      <w:r>
        <w:rPr>
          <w:color w:val="231F20"/>
          <w:w w:val="112"/>
        </w:rPr>
        <w:t> </w:t>
      </w:r>
      <w:r>
        <w:rPr>
          <w:color w:val="231F20"/>
          <w:w w:val="110"/>
        </w:rPr>
        <w:t>de</w:t>
      </w:r>
      <w:r>
        <w:rPr>
          <w:color w:val="231F20"/>
          <w:spacing w:val="33"/>
          <w:w w:val="110"/>
        </w:rPr>
        <w:t> </w:t>
      </w:r>
      <w:r>
        <w:rPr>
          <w:color w:val="231F20"/>
          <w:w w:val="110"/>
        </w:rPr>
        <w:t>destino</w:t>
      </w:r>
      <w:r>
        <w:rPr>
          <w:color w:val="231F20"/>
          <w:spacing w:val="33"/>
          <w:w w:val="110"/>
        </w:rPr>
        <w:t> </w:t>
      </w:r>
      <w:r>
        <w:rPr>
          <w:color w:val="231F20"/>
          <w:w w:val="110"/>
        </w:rPr>
        <w:t>es</w:t>
      </w:r>
      <w:r>
        <w:rPr>
          <w:color w:val="231F20"/>
          <w:spacing w:val="33"/>
          <w:w w:val="110"/>
        </w:rPr>
        <w:t> </w:t>
      </w:r>
      <w:r>
        <w:rPr>
          <w:color w:val="231F20"/>
          <w:w w:val="110"/>
        </w:rPr>
        <w:t>Estados</w:t>
      </w:r>
      <w:r>
        <w:rPr>
          <w:color w:val="231F20"/>
          <w:spacing w:val="33"/>
          <w:w w:val="110"/>
        </w:rPr>
        <w:t> </w:t>
      </w:r>
      <w:r>
        <w:rPr>
          <w:color w:val="231F20"/>
          <w:w w:val="110"/>
        </w:rPr>
        <w:t>Unidos.</w:t>
      </w:r>
      <w:r>
        <w:rPr>
          <w:color w:val="231F20"/>
          <w:spacing w:val="33"/>
          <w:w w:val="110"/>
        </w:rPr>
        <w:t> </w:t>
      </w:r>
      <w:r>
        <w:rPr>
          <w:color w:val="231F20"/>
          <w:w w:val="110"/>
        </w:rPr>
        <w:t>De</w:t>
      </w:r>
      <w:r>
        <w:rPr>
          <w:color w:val="231F20"/>
          <w:spacing w:val="33"/>
          <w:w w:val="110"/>
        </w:rPr>
        <w:t> </w:t>
      </w:r>
      <w:r>
        <w:rPr>
          <w:color w:val="231F20"/>
          <w:w w:val="110"/>
        </w:rPr>
        <w:t>hecho,</w:t>
      </w:r>
      <w:r>
        <w:rPr>
          <w:color w:val="231F20"/>
          <w:spacing w:val="33"/>
          <w:w w:val="110"/>
        </w:rPr>
        <w:t> </w:t>
      </w:r>
      <w:r>
        <w:rPr>
          <w:color w:val="231F20"/>
          <w:w w:val="110"/>
        </w:rPr>
        <w:t>entre</w:t>
      </w:r>
      <w:r>
        <w:rPr>
          <w:color w:val="231F20"/>
          <w:spacing w:val="33"/>
          <w:w w:val="110"/>
        </w:rPr>
        <w:t> </w:t>
      </w:r>
      <w:r>
        <w:rPr>
          <w:color w:val="231F20"/>
          <w:w w:val="110"/>
        </w:rPr>
        <w:t>los</w:t>
      </w:r>
      <w:r>
        <w:rPr>
          <w:color w:val="231F20"/>
          <w:spacing w:val="33"/>
          <w:w w:val="110"/>
        </w:rPr>
        <w:t> </w:t>
      </w:r>
      <w:r>
        <w:rPr>
          <w:color w:val="231F20"/>
          <w:w w:val="110"/>
        </w:rPr>
        <w:t>diez</w:t>
      </w:r>
      <w:r>
        <w:rPr>
          <w:color w:val="231F20"/>
          <w:spacing w:val="33"/>
          <w:w w:val="110"/>
        </w:rPr>
        <w:t> </w:t>
      </w:r>
      <w:r>
        <w:rPr>
          <w:color w:val="231F20"/>
          <w:w w:val="110"/>
        </w:rPr>
        <w:t>primeros</w:t>
      </w:r>
      <w:r>
        <w:rPr>
          <w:color w:val="231F20"/>
          <w:w w:val="110"/>
        </w:rPr>
        <w:t> </w:t>
      </w:r>
      <w:r>
        <w:rPr>
          <w:color w:val="231F20"/>
          <w:w w:val="110"/>
        </w:rPr>
        <w:t>países mineros del mundo hay seis latinoamericanos:</w:t>
      </w:r>
      <w:r>
        <w:rPr>
          <w:color w:val="231F20"/>
          <w:spacing w:val="38"/>
          <w:w w:val="110"/>
        </w:rPr>
        <w:t> </w:t>
      </w:r>
      <w:r>
        <w:rPr>
          <w:color w:val="231F20"/>
          <w:w w:val="110"/>
        </w:rPr>
        <w:t>Perú,</w:t>
      </w:r>
      <w:r>
        <w:rPr>
          <w:color w:val="231F20"/>
          <w:spacing w:val="29"/>
          <w:w w:val="110"/>
        </w:rPr>
        <w:t> </w:t>
      </w:r>
      <w:r>
        <w:rPr>
          <w:color w:val="231F20"/>
          <w:w w:val="110"/>
        </w:rPr>
        <w:t>Chile,</w:t>
      </w:r>
      <w:r>
        <w:rPr>
          <w:color w:val="231F20"/>
          <w:w w:val="107"/>
        </w:rPr>
        <w:t> </w:t>
      </w:r>
      <w:r>
        <w:rPr>
          <w:color w:val="231F20"/>
          <w:w w:val="110"/>
        </w:rPr>
        <w:t>Brasil,</w:t>
      </w:r>
      <w:r>
        <w:rPr>
          <w:color w:val="231F20"/>
          <w:spacing w:val="-15"/>
          <w:w w:val="110"/>
        </w:rPr>
        <w:t> </w:t>
      </w:r>
      <w:r>
        <w:rPr>
          <w:color w:val="231F20"/>
          <w:w w:val="110"/>
        </w:rPr>
        <w:t>Argentina,</w:t>
      </w:r>
      <w:r>
        <w:rPr>
          <w:color w:val="231F20"/>
          <w:spacing w:val="-15"/>
          <w:w w:val="110"/>
        </w:rPr>
        <w:t> </w:t>
      </w:r>
      <w:r>
        <w:rPr>
          <w:color w:val="231F20"/>
          <w:w w:val="110"/>
        </w:rPr>
        <w:t>México,</w:t>
      </w:r>
      <w:r>
        <w:rPr>
          <w:color w:val="231F20"/>
          <w:spacing w:val="-15"/>
          <w:w w:val="110"/>
        </w:rPr>
        <w:t> </w:t>
      </w:r>
      <w:r>
        <w:rPr>
          <w:color w:val="231F20"/>
          <w:w w:val="110"/>
        </w:rPr>
        <w:t>Bolivia</w:t>
      </w:r>
      <w:r>
        <w:rPr>
          <w:color w:val="231F20"/>
          <w:spacing w:val="-15"/>
          <w:w w:val="110"/>
        </w:rPr>
        <w:t> </w:t>
      </w:r>
      <w:r>
        <w:rPr>
          <w:color w:val="231F20"/>
          <w:w w:val="110"/>
        </w:rPr>
        <w:t>y</w:t>
      </w:r>
      <w:r>
        <w:rPr>
          <w:color w:val="231F20"/>
          <w:spacing w:val="-15"/>
          <w:w w:val="110"/>
        </w:rPr>
        <w:t> </w:t>
      </w:r>
      <w:r>
        <w:rPr>
          <w:color w:val="231F20"/>
          <w:w w:val="110"/>
        </w:rPr>
        <w:t>Venezuela</w:t>
      </w:r>
      <w:r>
        <w:rPr>
          <w:color w:val="231F20"/>
          <w:spacing w:val="-15"/>
          <w:w w:val="110"/>
        </w:rPr>
        <w:t> </w:t>
      </w:r>
      <w:r>
        <w:rPr>
          <w:color w:val="231F20"/>
          <w:w w:val="110"/>
        </w:rPr>
        <w:t>(Castro,</w:t>
      </w:r>
      <w:r>
        <w:rPr>
          <w:color w:val="231F20"/>
          <w:spacing w:val="-15"/>
          <w:w w:val="110"/>
        </w:rPr>
        <w:t> </w:t>
      </w:r>
      <w:r>
        <w:rPr>
          <w:color w:val="231F20"/>
          <w:w w:val="110"/>
        </w:rPr>
        <w:t>2008;</w:t>
      </w:r>
      <w:r>
        <w:rPr>
          <w:color w:val="231F20"/>
          <w:spacing w:val="-15"/>
          <w:w w:val="110"/>
        </w:rPr>
        <w:t> </w:t>
      </w:r>
      <w:r>
        <w:rPr>
          <w:i/>
          <w:color w:val="231F20"/>
          <w:w w:val="110"/>
        </w:rPr>
        <w:t>Pano-</w:t>
      </w:r>
      <w:r>
        <w:rPr>
          <w:i/>
          <w:color w:val="231F20"/>
          <w:w w:val="72"/>
        </w:rPr>
        <w:t> </w:t>
      </w:r>
      <w:r>
        <w:rPr>
          <w:i/>
          <w:color w:val="231F20"/>
          <w:w w:val="110"/>
        </w:rPr>
        <w:t>rama Minero</w:t>
      </w:r>
      <w:r>
        <w:rPr>
          <w:color w:val="231F20"/>
          <w:w w:val="110"/>
        </w:rPr>
        <w:t>; Cepal, 2008). En un breve recuento de los</w:t>
      </w:r>
      <w:r>
        <w:rPr>
          <w:color w:val="231F20"/>
          <w:spacing w:val="6"/>
          <w:w w:val="110"/>
        </w:rPr>
        <w:t> </w:t>
      </w:r>
      <w:r>
        <w:rPr>
          <w:color w:val="231F20"/>
          <w:w w:val="110"/>
        </w:rPr>
        <w:t>datos</w:t>
      </w:r>
      <w:r>
        <w:rPr>
          <w:color w:val="231F20"/>
          <w:spacing w:val="11"/>
          <w:w w:val="110"/>
        </w:rPr>
        <w:t> </w:t>
      </w:r>
      <w:r>
        <w:rPr>
          <w:color w:val="231F20"/>
          <w:w w:val="110"/>
        </w:rPr>
        <w:t>que</w:t>
      </w:r>
      <w:r>
        <w:rPr>
          <w:color w:val="231F20"/>
          <w:w w:val="113"/>
        </w:rPr>
        <w:t> </w:t>
      </w:r>
      <w:r>
        <w:rPr>
          <w:color w:val="231F20"/>
          <w:w w:val="110"/>
        </w:rPr>
        <w:t>presentamos en el cuadro 2 podemos apreciar cómo los</w:t>
      </w:r>
      <w:r>
        <w:rPr>
          <w:color w:val="231F20"/>
          <w:spacing w:val="8"/>
          <w:w w:val="110"/>
        </w:rPr>
        <w:t> </w:t>
      </w:r>
      <w:r>
        <w:rPr>
          <w:color w:val="231F20"/>
          <w:w w:val="110"/>
        </w:rPr>
        <w:t>países</w:t>
      </w:r>
      <w:r>
        <w:rPr>
          <w:color w:val="231F20"/>
          <w:spacing w:val="13"/>
          <w:w w:val="110"/>
        </w:rPr>
        <w:t> </w:t>
      </w:r>
      <w:r>
        <w:rPr>
          <w:color w:val="231F20"/>
          <w:w w:val="110"/>
        </w:rPr>
        <w:t>lati-</w:t>
      </w:r>
      <w:r>
        <w:rPr>
          <w:color w:val="231F20"/>
          <w:w w:val="72"/>
        </w:rPr>
        <w:t> </w:t>
      </w:r>
      <w:r>
        <w:rPr>
          <w:color w:val="231F20"/>
          <w:w w:val="110"/>
        </w:rPr>
        <w:t>noamericanos están entre los principales productores mundiales</w:t>
      </w:r>
      <w:r>
        <w:rPr>
          <w:color w:val="231F20"/>
          <w:spacing w:val="18"/>
          <w:w w:val="110"/>
        </w:rPr>
        <w:t> </w:t>
      </w:r>
      <w:r>
        <w:rPr>
          <w:color w:val="231F20"/>
          <w:w w:val="110"/>
        </w:rPr>
        <w:t>de</w:t>
      </w:r>
      <w:r>
        <w:rPr>
          <w:color w:val="231F20"/>
          <w:w w:val="114"/>
        </w:rPr>
        <w:t> </w:t>
      </w:r>
      <w:r>
        <w:rPr>
          <w:color w:val="231F20"/>
          <w:w w:val="110"/>
        </w:rPr>
        <w:t>minerales estratégicos y metales preciosos —son</w:t>
      </w:r>
      <w:r>
        <w:rPr>
          <w:color w:val="231F20"/>
          <w:spacing w:val="43"/>
          <w:w w:val="110"/>
        </w:rPr>
        <w:t> </w:t>
      </w:r>
      <w:r>
        <w:rPr>
          <w:color w:val="231F20"/>
          <w:w w:val="110"/>
        </w:rPr>
        <w:t>catalogados</w:t>
      </w:r>
      <w:r>
        <w:rPr>
          <w:color w:val="231F20"/>
          <w:spacing w:val="7"/>
          <w:w w:val="110"/>
        </w:rPr>
        <w:t> </w:t>
      </w:r>
      <w:r>
        <w:rPr>
          <w:color w:val="231F20"/>
          <w:w w:val="110"/>
        </w:rPr>
        <w:t>como</w:t>
      </w:r>
      <w:r>
        <w:rPr>
          <w:color w:val="231F20"/>
          <w:w w:val="109"/>
        </w:rPr>
        <w:t> </w:t>
      </w:r>
      <w:r>
        <w:rPr>
          <w:color w:val="231F20"/>
          <w:w w:val="110"/>
        </w:rPr>
        <w:t>tales el oro, la plata, el cobre y el zinc—, así como por</w:t>
      </w:r>
      <w:r>
        <w:rPr>
          <w:color w:val="231F20"/>
          <w:spacing w:val="10"/>
          <w:w w:val="110"/>
        </w:rPr>
        <w:t> </w:t>
      </w:r>
      <w:r>
        <w:rPr>
          <w:color w:val="231F20"/>
          <w:w w:val="110"/>
        </w:rPr>
        <w:t>las</w:t>
      </w:r>
      <w:r>
        <w:rPr>
          <w:color w:val="231F20"/>
          <w:spacing w:val="9"/>
          <w:w w:val="110"/>
        </w:rPr>
        <w:t> </w:t>
      </w:r>
      <w:r>
        <w:rPr>
          <w:color w:val="231F20"/>
          <w:w w:val="110"/>
        </w:rPr>
        <w:t>reservas</w:t>
      </w:r>
      <w:r>
        <w:rPr>
          <w:color w:val="231F20"/>
          <w:w w:val="94"/>
        </w:rPr>
        <w:t> </w:t>
      </w:r>
      <w:r>
        <w:rPr>
          <w:color w:val="231F20"/>
          <w:w w:val="110"/>
        </w:rPr>
        <w:t>probadas de minerales estratégicos, con alto precio en</w:t>
      </w:r>
      <w:r>
        <w:rPr>
          <w:color w:val="231F20"/>
          <w:spacing w:val="42"/>
          <w:w w:val="110"/>
        </w:rPr>
        <w:t> </w:t>
      </w:r>
      <w:r>
        <w:rPr>
          <w:color w:val="231F20"/>
          <w:w w:val="110"/>
        </w:rPr>
        <w:t>el</w:t>
      </w:r>
      <w:r>
        <w:rPr>
          <w:color w:val="231F20"/>
          <w:spacing w:val="19"/>
          <w:w w:val="110"/>
        </w:rPr>
        <w:t> </w:t>
      </w:r>
      <w:r>
        <w:rPr>
          <w:color w:val="231F20"/>
          <w:w w:val="110"/>
        </w:rPr>
        <w:t>mercado,</w:t>
      </w:r>
      <w:r>
        <w:rPr>
          <w:color w:val="231F20"/>
          <w:w w:val="111"/>
        </w:rPr>
        <w:t> </w:t>
      </w:r>
      <w:r>
        <w:rPr>
          <w:color w:val="231F20"/>
          <w:w w:val="110"/>
        </w:rPr>
        <w:t>como</w:t>
      </w:r>
      <w:r>
        <w:rPr>
          <w:color w:val="231F20"/>
          <w:spacing w:val="-9"/>
          <w:w w:val="110"/>
        </w:rPr>
        <w:t> </w:t>
      </w:r>
      <w:r>
        <w:rPr>
          <w:color w:val="231F20"/>
          <w:w w:val="110"/>
        </w:rPr>
        <w:t>antimonio,</w:t>
      </w:r>
      <w:r>
        <w:rPr>
          <w:color w:val="231F20"/>
          <w:spacing w:val="-9"/>
          <w:w w:val="110"/>
        </w:rPr>
        <w:t> </w:t>
      </w:r>
      <w:r>
        <w:rPr>
          <w:color w:val="231F20"/>
          <w:w w:val="110"/>
        </w:rPr>
        <w:t>bismuto,</w:t>
      </w:r>
      <w:r>
        <w:rPr>
          <w:color w:val="231F20"/>
          <w:spacing w:val="-9"/>
          <w:w w:val="110"/>
        </w:rPr>
        <w:t> </w:t>
      </w:r>
      <w:r>
        <w:rPr>
          <w:color w:val="231F20"/>
          <w:w w:val="110"/>
        </w:rPr>
        <w:t>litio,</w:t>
      </w:r>
      <w:r>
        <w:rPr>
          <w:color w:val="231F20"/>
          <w:spacing w:val="-9"/>
          <w:w w:val="110"/>
        </w:rPr>
        <w:t> </w:t>
      </w:r>
      <w:r>
        <w:rPr>
          <w:color w:val="231F20"/>
          <w:w w:val="110"/>
        </w:rPr>
        <w:t>niobio,</w:t>
      </w:r>
      <w:r>
        <w:rPr>
          <w:color w:val="231F20"/>
          <w:spacing w:val="-9"/>
          <w:w w:val="110"/>
        </w:rPr>
        <w:t> </w:t>
      </w:r>
      <w:r>
        <w:rPr>
          <w:color w:val="231F20"/>
          <w:w w:val="110"/>
        </w:rPr>
        <w:t>torio,</w:t>
      </w:r>
      <w:r>
        <w:rPr>
          <w:color w:val="231F20"/>
          <w:spacing w:val="-9"/>
          <w:w w:val="110"/>
        </w:rPr>
        <w:t> </w:t>
      </w:r>
      <w:r>
        <w:rPr>
          <w:color w:val="231F20"/>
          <w:w w:val="110"/>
        </w:rPr>
        <w:t>oro,</w:t>
      </w:r>
      <w:r>
        <w:rPr>
          <w:color w:val="231F20"/>
          <w:spacing w:val="-9"/>
          <w:w w:val="110"/>
        </w:rPr>
        <w:t> </w:t>
      </w:r>
      <w:r>
        <w:rPr>
          <w:color w:val="231F20"/>
          <w:w w:val="110"/>
        </w:rPr>
        <w:t>zinc</w:t>
      </w:r>
      <w:r>
        <w:rPr>
          <w:color w:val="231F20"/>
          <w:spacing w:val="-9"/>
          <w:w w:val="110"/>
        </w:rPr>
        <w:t> </w:t>
      </w:r>
      <w:r>
        <w:rPr>
          <w:color w:val="231F20"/>
          <w:w w:val="110"/>
        </w:rPr>
        <w:t>y</w:t>
      </w:r>
      <w:r>
        <w:rPr>
          <w:color w:val="231F20"/>
          <w:spacing w:val="-9"/>
          <w:w w:val="110"/>
        </w:rPr>
        <w:t> </w:t>
      </w:r>
      <w:r>
        <w:rPr>
          <w:color w:val="231F20"/>
          <w:w w:val="110"/>
        </w:rPr>
        <w:t>uranio</w:t>
      </w:r>
      <w:r>
        <w:rPr>
          <w:color w:val="231F20"/>
          <w:spacing w:val="-9"/>
          <w:w w:val="110"/>
        </w:rPr>
        <w:t> </w:t>
      </w:r>
      <w:r>
        <w:rPr>
          <w:color w:val="231F20"/>
          <w:w w:val="110"/>
        </w:rPr>
        <w:t>entre</w:t>
      </w:r>
      <w:r>
        <w:rPr>
          <w:color w:val="231F20"/>
          <w:w w:val="116"/>
        </w:rPr>
        <w:t> </w:t>
      </w:r>
      <w:r>
        <w:rPr>
          <w:color w:val="231F20"/>
          <w:w w:val="110"/>
        </w:rPr>
        <w:t>otros.</w:t>
      </w:r>
      <w:r>
        <w:rPr>
          <w:color w:val="231F20"/>
          <w:spacing w:val="22"/>
          <w:w w:val="110"/>
        </w:rPr>
        <w:t> </w:t>
      </w:r>
      <w:r>
        <w:rPr>
          <w:color w:val="231F20"/>
          <w:w w:val="110"/>
        </w:rPr>
        <w:t>En</w:t>
      </w:r>
      <w:r>
        <w:rPr>
          <w:color w:val="231F20"/>
          <w:spacing w:val="22"/>
          <w:w w:val="110"/>
        </w:rPr>
        <w:t> </w:t>
      </w:r>
      <w:r>
        <w:rPr>
          <w:color w:val="231F20"/>
          <w:w w:val="110"/>
        </w:rPr>
        <w:t>varios,</w:t>
      </w:r>
      <w:r>
        <w:rPr>
          <w:color w:val="231F20"/>
          <w:spacing w:val="22"/>
          <w:w w:val="110"/>
        </w:rPr>
        <w:t> </w:t>
      </w:r>
      <w:r>
        <w:rPr>
          <w:color w:val="231F20"/>
          <w:w w:val="110"/>
        </w:rPr>
        <w:t>el</w:t>
      </w:r>
      <w:r>
        <w:rPr>
          <w:color w:val="231F20"/>
          <w:spacing w:val="22"/>
          <w:w w:val="110"/>
        </w:rPr>
        <w:t> </w:t>
      </w:r>
      <w:r>
        <w:rPr>
          <w:color w:val="231F20"/>
          <w:w w:val="110"/>
        </w:rPr>
        <w:t>principal</w:t>
      </w:r>
      <w:r>
        <w:rPr>
          <w:color w:val="231F20"/>
          <w:spacing w:val="22"/>
          <w:w w:val="110"/>
        </w:rPr>
        <w:t> </w:t>
      </w:r>
      <w:r>
        <w:rPr>
          <w:color w:val="231F20"/>
          <w:w w:val="110"/>
        </w:rPr>
        <w:t>receptor</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producción</w:t>
      </w:r>
      <w:r>
        <w:rPr>
          <w:color w:val="231F20"/>
          <w:spacing w:val="22"/>
          <w:w w:val="110"/>
        </w:rPr>
        <w:t> </w:t>
      </w:r>
      <w:r>
        <w:rPr>
          <w:color w:val="231F20"/>
          <w:w w:val="110"/>
        </w:rPr>
        <w:t>es</w:t>
      </w:r>
      <w:r>
        <w:rPr>
          <w:color w:val="231F20"/>
          <w:spacing w:val="22"/>
          <w:w w:val="110"/>
        </w:rPr>
        <w:t> </w:t>
      </w:r>
      <w:r>
        <w:rPr>
          <w:color w:val="231F20"/>
          <w:w w:val="110"/>
        </w:rPr>
        <w:t>Estados</w:t>
      </w:r>
      <w:r>
        <w:rPr>
          <w:color w:val="231F20"/>
          <w:w w:val="105"/>
        </w:rPr>
        <w:t> </w:t>
      </w:r>
      <w:r>
        <w:rPr>
          <w:color w:val="231F20"/>
          <w:w w:val="110"/>
        </w:rPr>
        <w:t>Unidos, especialmente de bismuto (88%), zinc (72%), niobio</w:t>
      </w:r>
      <w:r>
        <w:rPr>
          <w:color w:val="231F20"/>
          <w:spacing w:val="14"/>
          <w:w w:val="110"/>
        </w:rPr>
        <w:t> </w:t>
      </w:r>
      <w:r>
        <w:rPr>
          <w:color w:val="231F20"/>
          <w:w w:val="110"/>
        </w:rPr>
        <w:t>(52%)</w:t>
      </w:r>
    </w:p>
    <w:p>
      <w:pPr>
        <w:pStyle w:val="BodyText"/>
        <w:ind w:left="100" w:right="25"/>
      </w:pPr>
      <w:r>
        <w:rPr>
          <w:color w:val="231F20"/>
          <w:w w:val="105"/>
        </w:rPr>
        <w:t>y en menor medida la fluorita (45%) y el cobre (45%).</w:t>
      </w:r>
    </w:p>
    <w:p>
      <w:pPr>
        <w:pStyle w:val="BodyText"/>
        <w:spacing w:line="261" w:lineRule="auto" w:before="20"/>
        <w:ind w:left="100" w:right="117" w:firstLine="240"/>
        <w:jc w:val="both"/>
      </w:pPr>
      <w:r>
        <w:rPr>
          <w:color w:val="231F20"/>
          <w:w w:val="105"/>
        </w:rPr>
        <w:t>Si además tomáramos en cuenta los recursos estratégicos menos visibles como la exportación neta de capitales vía deuda externa y       la fuga de capitales —se estima que el monto asciende a 490 000     mdd en 2009, el equivalente de la deuda externa pública (Millet y Toussaint, 2009)—, mercado de consumo y mano de obra barata, no cabe duda de que América Latina no sólo es un área estratégica sino vital para Estados </w:t>
      </w:r>
      <w:r>
        <w:rPr>
          <w:color w:val="231F20"/>
          <w:spacing w:val="21"/>
          <w:w w:val="105"/>
        </w:rPr>
        <w:t> </w:t>
      </w:r>
      <w:r>
        <w:rPr>
          <w:color w:val="231F20"/>
          <w:w w:val="105"/>
        </w:rPr>
        <w:t>Unidos.</w:t>
      </w:r>
    </w:p>
    <w:p>
      <w:pPr>
        <w:spacing w:after="0" w:line="261" w:lineRule="auto"/>
        <w:jc w:val="both"/>
        <w:sectPr>
          <w:pgSz w:w="7640" w:h="11900"/>
          <w:pgMar w:header="672" w:footer="0" w:top="860" w:bottom="280" w:left="780" w:right="640"/>
        </w:sectPr>
      </w:pPr>
    </w:p>
    <w:p>
      <w:pPr>
        <w:pStyle w:val="BodyText"/>
        <w:spacing w:before="4"/>
        <w:rPr>
          <w:sz w:val="22"/>
        </w:rPr>
      </w:pPr>
    </w:p>
    <w:p>
      <w:pPr>
        <w:spacing w:before="71"/>
        <w:ind w:left="535" w:right="0" w:firstLine="0"/>
        <w:jc w:val="left"/>
        <w:rPr>
          <w:sz w:val="18"/>
        </w:rPr>
      </w:pPr>
      <w:r>
        <w:rPr/>
        <w:pict>
          <v:group style="position:absolute;margin-left:58.535702pt;margin-top:17.952353pt;width:477.95pt;height:.5pt;mso-position-horizontal-relative:page;mso-position-vertical-relative:paragraph;z-index:9712" coordorigin="1171,359" coordsize="9559,10">
            <v:line style="position:absolute" from="1176,364" to="2136,364" stroked="true" strokeweight=".5pt" strokecolor="#231f20"/>
            <v:line style="position:absolute" from="2136,364" to="3613,364" stroked="true" strokeweight=".5pt" strokecolor="#231f20"/>
            <v:line style="position:absolute" from="3613,364" to="5091,364" stroked="true" strokeweight=".5pt" strokecolor="#231f20"/>
            <v:line style="position:absolute" from="5091,364" to="6291,364" stroked="true" strokeweight=".5pt" strokecolor="#231f20"/>
            <v:line style="position:absolute" from="6291,364" to="7769,364" stroked="true" strokeweight=".5pt" strokecolor="#231f20"/>
            <v:line style="position:absolute" from="7769,364" to="9247,364" stroked="true" strokeweight=".5pt" strokecolor="#231f20"/>
            <v:line style="position:absolute" from="9247,364" to="10724,364" stroked="true" strokeweight=".5pt" strokecolor="#231f20"/>
            <w10:wrap type="none"/>
          </v:group>
        </w:pict>
      </w:r>
      <w:r>
        <w:rPr>
          <w:color w:val="231F20"/>
          <w:w w:val="125"/>
          <w:sz w:val="18"/>
        </w:rPr>
        <w:t>cuadro 2. producción de minerales en américa latina y satisfacción de la demanda estadunidense</w:t>
      </w:r>
    </w:p>
    <w:p>
      <w:pPr>
        <w:spacing w:after="0"/>
        <w:jc w:val="left"/>
        <w:rPr>
          <w:sz w:val="18"/>
        </w:rPr>
        <w:sectPr>
          <w:headerReference w:type="default" r:id="rId351"/>
          <w:pgSz w:w="11900" w:h="7640" w:orient="landscape"/>
          <w:pgMar w:header="0" w:footer="0" w:top="0" w:bottom="280" w:left="640" w:right="1060"/>
        </w:sectPr>
      </w:pPr>
    </w:p>
    <w:p>
      <w:pPr>
        <w:tabs>
          <w:tab w:pos="1546" w:val="left" w:leader="none"/>
        </w:tabs>
        <w:spacing w:line="227" w:lineRule="exact" w:before="183"/>
        <w:ind w:left="713" w:right="0" w:firstLine="0"/>
        <w:jc w:val="left"/>
        <w:rPr>
          <w:sz w:val="16"/>
        </w:rPr>
      </w:pPr>
      <w:r>
        <w:rPr>
          <w:color w:val="231F20"/>
          <w:w w:val="125"/>
          <w:position w:val="-8"/>
          <w:sz w:val="16"/>
        </w:rPr>
        <w:t>mineral</w:t>
        <w:tab/>
      </w:r>
      <w:r>
        <w:rPr>
          <w:color w:val="231F20"/>
          <w:w w:val="125"/>
          <w:sz w:val="16"/>
        </w:rPr>
        <w:t>país productor</w:t>
      </w:r>
      <w:r>
        <w:rPr>
          <w:color w:val="231F20"/>
          <w:spacing w:val="-16"/>
          <w:w w:val="125"/>
          <w:sz w:val="16"/>
        </w:rPr>
        <w:t> </w:t>
      </w:r>
      <w:r>
        <w:rPr>
          <w:color w:val="231F20"/>
          <w:w w:val="125"/>
          <w:sz w:val="16"/>
        </w:rPr>
        <w:t>en</w:t>
      </w:r>
    </w:p>
    <w:p>
      <w:pPr>
        <w:spacing w:line="137" w:lineRule="exact" w:before="0"/>
        <w:ind w:left="1664" w:right="0" w:firstLine="0"/>
        <w:jc w:val="left"/>
        <w:rPr>
          <w:sz w:val="16"/>
        </w:rPr>
      </w:pPr>
      <w:r>
        <w:rPr>
          <w:color w:val="231F20"/>
          <w:w w:val="130"/>
          <w:sz w:val="16"/>
        </w:rPr>
        <w:t>américa latina</w:t>
      </w:r>
    </w:p>
    <w:p>
      <w:pPr>
        <w:spacing w:line="180" w:lineRule="exact" w:before="98"/>
        <w:ind w:left="187" w:right="0" w:firstLine="0"/>
        <w:jc w:val="center"/>
        <w:rPr>
          <w:sz w:val="16"/>
        </w:rPr>
      </w:pPr>
      <w:r>
        <w:rPr/>
        <w:br w:type="column"/>
      </w:r>
      <w:r>
        <w:rPr>
          <w:color w:val="231F20"/>
          <w:w w:val="125"/>
          <w:sz w:val="16"/>
        </w:rPr>
        <w:t>producción: lugar mundial</w:t>
      </w:r>
      <w:r>
        <w:rPr>
          <w:color w:val="231F20"/>
          <w:w w:val="120"/>
          <w:sz w:val="16"/>
        </w:rPr>
        <w:t> </w:t>
      </w:r>
      <w:r>
        <w:rPr>
          <w:color w:val="231F20"/>
          <w:w w:val="125"/>
          <w:sz w:val="16"/>
        </w:rPr>
        <w:t>(tm)</w:t>
      </w:r>
    </w:p>
    <w:p>
      <w:pPr>
        <w:pStyle w:val="BodyText"/>
        <w:spacing w:before="4"/>
        <w:rPr>
          <w:sz w:val="16"/>
        </w:rPr>
      </w:pPr>
      <w:r>
        <w:rPr/>
        <w:br w:type="column"/>
      </w:r>
      <w:r>
        <w:rPr>
          <w:sz w:val="16"/>
        </w:rPr>
      </w:r>
    </w:p>
    <w:p>
      <w:pPr>
        <w:spacing w:line="180" w:lineRule="exact" w:before="0"/>
        <w:ind w:left="294" w:right="0" w:hanging="24"/>
        <w:jc w:val="left"/>
        <w:rPr>
          <w:sz w:val="16"/>
        </w:rPr>
      </w:pPr>
      <w:r>
        <w:rPr>
          <w:color w:val="231F20"/>
          <w:spacing w:val="-1"/>
          <w:w w:val="120"/>
          <w:sz w:val="16"/>
        </w:rPr>
        <w:t>producción: </w:t>
      </w:r>
      <w:r>
        <w:rPr>
          <w:color w:val="231F20"/>
          <w:w w:val="135"/>
          <w:sz w:val="16"/>
        </w:rPr>
        <w:t>lugar en</w:t>
      </w:r>
      <w:r>
        <w:rPr>
          <w:color w:val="231F20"/>
          <w:spacing w:val="-30"/>
          <w:w w:val="135"/>
          <w:sz w:val="16"/>
        </w:rPr>
        <w:t> </w:t>
      </w:r>
      <w:r>
        <w:rPr>
          <w:color w:val="231F20"/>
          <w:w w:val="135"/>
          <w:sz w:val="16"/>
        </w:rPr>
        <w:t>al</w:t>
      </w:r>
    </w:p>
    <w:p>
      <w:pPr>
        <w:pStyle w:val="BodyText"/>
        <w:spacing w:before="4"/>
        <w:rPr>
          <w:sz w:val="16"/>
        </w:rPr>
      </w:pPr>
      <w:r>
        <w:rPr/>
        <w:br w:type="column"/>
      </w:r>
      <w:r>
        <w:rPr>
          <w:sz w:val="16"/>
        </w:rPr>
      </w:r>
    </w:p>
    <w:p>
      <w:pPr>
        <w:spacing w:line="180" w:lineRule="exact" w:before="0"/>
        <w:ind w:left="361" w:right="0" w:firstLine="228"/>
        <w:jc w:val="left"/>
        <w:rPr>
          <w:sz w:val="16"/>
        </w:rPr>
      </w:pPr>
      <w:r>
        <w:rPr>
          <w:color w:val="231F20"/>
          <w:w w:val="120"/>
          <w:sz w:val="16"/>
        </w:rPr>
        <w:t>precio </w:t>
      </w:r>
      <w:r>
        <w:rPr>
          <w:color w:val="231F20"/>
          <w:w w:val="115"/>
          <w:sz w:val="16"/>
        </w:rPr>
        <w:t>(2006/2007)</w:t>
      </w:r>
    </w:p>
    <w:p>
      <w:pPr>
        <w:spacing w:line="180" w:lineRule="exact" w:before="98"/>
        <w:ind w:left="379" w:right="0" w:firstLine="0"/>
        <w:jc w:val="center"/>
        <w:rPr>
          <w:sz w:val="16"/>
        </w:rPr>
      </w:pPr>
      <w:r>
        <w:rPr/>
        <w:br w:type="column"/>
      </w:r>
      <w:r>
        <w:rPr>
          <w:color w:val="231F20"/>
          <w:w w:val="120"/>
          <w:sz w:val="16"/>
        </w:rPr>
        <w:t>% de las importaciones estadunidenses</w:t>
      </w:r>
    </w:p>
    <w:p>
      <w:pPr>
        <w:pStyle w:val="BodyText"/>
        <w:spacing w:before="4"/>
        <w:rPr>
          <w:sz w:val="16"/>
        </w:rPr>
      </w:pPr>
      <w:r>
        <w:rPr/>
        <w:br w:type="column"/>
      </w:r>
      <w:r>
        <w:rPr>
          <w:sz w:val="16"/>
        </w:rPr>
      </w:r>
    </w:p>
    <w:p>
      <w:pPr>
        <w:spacing w:line="180" w:lineRule="exact" w:before="0"/>
        <w:ind w:left="343" w:right="253" w:hanging="84"/>
        <w:jc w:val="left"/>
        <w:rPr>
          <w:sz w:val="16"/>
        </w:rPr>
      </w:pPr>
      <w:r>
        <w:rPr>
          <w:color w:val="231F20"/>
          <w:w w:val="125"/>
          <w:sz w:val="16"/>
        </w:rPr>
        <w:t>reservas: lugar mundial (tm)</w:t>
      </w:r>
    </w:p>
    <w:p>
      <w:pPr>
        <w:spacing w:after="0" w:line="180" w:lineRule="exact"/>
        <w:jc w:val="left"/>
        <w:rPr>
          <w:sz w:val="16"/>
        </w:rPr>
        <w:sectPr>
          <w:type w:val="continuous"/>
          <w:pgSz w:w="11900" w:h="7640" w:orient="landscape"/>
          <w:pgMar w:top="980" w:bottom="280" w:left="640" w:right="1060"/>
          <w:cols w:num="6" w:equalWidth="0">
            <w:col w:w="2923" w:space="40"/>
            <w:col w:w="1314" w:space="40"/>
            <w:col w:w="1201" w:space="40"/>
            <w:col w:w="1307" w:space="40"/>
            <w:col w:w="1551" w:space="40"/>
            <w:col w:w="1704"/>
          </w:cols>
        </w:sectPr>
      </w:pPr>
    </w:p>
    <w:p>
      <w:pPr>
        <w:pStyle w:val="BodyText"/>
      </w:pPr>
      <w:r>
        <w:rPr/>
        <w:pict>
          <v:shape style="position:absolute;margin-left:550.417175pt;margin-top:37pt;width:11pt;height:202.35pt;mso-position-horizontal-relative:page;mso-position-vertical-relative:page;z-index:9736" type="#_x0000_t202" filled="false" stroked="false">
            <v:textbox inset="0,0,0,0" style="layout-flow:vertical">
              <w:txbxContent>
                <w:p>
                  <w:pPr>
                    <w:spacing w:line="207" w:lineRule="exact" w:before="0"/>
                    <w:ind w:left="20" w:right="0" w:firstLine="0"/>
                    <w:jc w:val="left"/>
                    <w:rPr>
                      <w:rFonts w:ascii="Calibri" w:hAnsi="Calibri"/>
                      <w:sz w:val="18"/>
                    </w:rPr>
                  </w:pPr>
                  <w:r>
                    <w:rPr>
                      <w:rFonts w:ascii="Calibri" w:hAnsi="Calibri"/>
                      <w:color w:val="231F20"/>
                      <w:w w:val="116"/>
                      <w:sz w:val="18"/>
                    </w:rPr>
                    <w:t>améri</w:t>
                  </w:r>
                  <w:r>
                    <w:rPr>
                      <w:rFonts w:ascii="Calibri" w:hAnsi="Calibri"/>
                      <w:color w:val="231F20"/>
                      <w:spacing w:val="2"/>
                      <w:w w:val="116"/>
                      <w:sz w:val="18"/>
                    </w:rPr>
                    <w:t>c</w:t>
                  </w:r>
                  <w:r>
                    <w:rPr>
                      <w:rFonts w:ascii="Calibri" w:hAnsi="Calibri"/>
                      <w:color w:val="231F20"/>
                      <w:w w:val="116"/>
                      <w:sz w:val="18"/>
                    </w:rPr>
                    <w:t>a</w:t>
                  </w:r>
                  <w:r>
                    <w:rPr>
                      <w:rFonts w:ascii="Calibri" w:hAnsi="Calibri"/>
                      <w:color w:val="231F20"/>
                      <w:spacing w:val="19"/>
                      <w:sz w:val="18"/>
                    </w:rPr>
                    <w:t> </w:t>
                  </w:r>
                  <w:r>
                    <w:rPr>
                      <w:rFonts w:ascii="Calibri" w:hAnsi="Calibri"/>
                      <w:color w:val="231F20"/>
                      <w:w w:val="149"/>
                      <w:sz w:val="18"/>
                    </w:rPr>
                    <w:t>l</w:t>
                  </w:r>
                  <w:r>
                    <w:rPr>
                      <w:rFonts w:ascii="Calibri" w:hAnsi="Calibri"/>
                      <w:color w:val="231F20"/>
                      <w:spacing w:val="-6"/>
                      <w:w w:val="149"/>
                      <w:sz w:val="18"/>
                    </w:rPr>
                    <w:t>a</w:t>
                  </w:r>
                  <w:r>
                    <w:rPr>
                      <w:rFonts w:ascii="Calibri" w:hAnsi="Calibri"/>
                      <w:color w:val="231F20"/>
                      <w:w w:val="131"/>
                      <w:sz w:val="18"/>
                    </w:rPr>
                    <w:t>tina</w:t>
                  </w:r>
                  <w:r>
                    <w:rPr>
                      <w:rFonts w:ascii="Calibri" w:hAnsi="Calibri"/>
                      <w:color w:val="231F20"/>
                      <w:spacing w:val="19"/>
                      <w:sz w:val="18"/>
                    </w:rPr>
                    <w:t> </w:t>
                  </w:r>
                  <w:r>
                    <w:rPr>
                      <w:rFonts w:ascii="Calibri" w:hAnsi="Calibri"/>
                      <w:color w:val="231F20"/>
                      <w:w w:val="108"/>
                      <w:sz w:val="18"/>
                    </w:rPr>
                    <w:t>en</w:t>
                  </w:r>
                  <w:r>
                    <w:rPr>
                      <w:rFonts w:ascii="Calibri" w:hAnsi="Calibri"/>
                      <w:color w:val="231F20"/>
                      <w:spacing w:val="19"/>
                      <w:sz w:val="18"/>
                    </w:rPr>
                    <w:t> </w:t>
                  </w:r>
                  <w:r>
                    <w:rPr>
                      <w:rFonts w:ascii="Calibri" w:hAnsi="Calibri"/>
                      <w:color w:val="231F20"/>
                      <w:w w:val="149"/>
                      <w:sz w:val="18"/>
                    </w:rPr>
                    <w:t>la</w:t>
                  </w:r>
                  <w:r>
                    <w:rPr>
                      <w:rFonts w:ascii="Calibri" w:hAnsi="Calibri"/>
                      <w:color w:val="231F20"/>
                      <w:spacing w:val="19"/>
                      <w:sz w:val="18"/>
                    </w:rPr>
                    <w:t> </w:t>
                  </w:r>
                  <w:r>
                    <w:rPr>
                      <w:rFonts w:ascii="Calibri" w:hAnsi="Calibri"/>
                      <w:color w:val="231F20"/>
                      <w:w w:val="127"/>
                      <w:sz w:val="18"/>
                    </w:rPr>
                    <w:t>estr</w:t>
                  </w:r>
                  <w:r>
                    <w:rPr>
                      <w:rFonts w:ascii="Calibri" w:hAnsi="Calibri"/>
                      <w:color w:val="231F20"/>
                      <w:spacing w:val="-6"/>
                      <w:w w:val="127"/>
                      <w:sz w:val="18"/>
                    </w:rPr>
                    <w:t>a</w:t>
                  </w:r>
                  <w:r>
                    <w:rPr>
                      <w:rFonts w:ascii="Calibri" w:hAnsi="Calibri"/>
                      <w:color w:val="231F20"/>
                      <w:w w:val="127"/>
                      <w:sz w:val="18"/>
                    </w:rPr>
                    <w:t>tegia</w:t>
                  </w:r>
                  <w:r>
                    <w:rPr>
                      <w:rFonts w:ascii="Calibri" w:hAnsi="Calibri"/>
                      <w:color w:val="231F20"/>
                      <w:spacing w:val="19"/>
                      <w:sz w:val="18"/>
                    </w:rPr>
                    <w:t> </w:t>
                  </w:r>
                  <w:r>
                    <w:rPr>
                      <w:rFonts w:ascii="Calibri" w:hAnsi="Calibri"/>
                      <w:color w:val="231F20"/>
                      <w:w w:val="108"/>
                      <w:sz w:val="18"/>
                    </w:rPr>
                    <w:t>de</w:t>
                  </w:r>
                  <w:r>
                    <w:rPr>
                      <w:rFonts w:ascii="Calibri" w:hAnsi="Calibri"/>
                      <w:color w:val="231F20"/>
                      <w:spacing w:val="19"/>
                      <w:sz w:val="18"/>
                    </w:rPr>
                    <w:t> </w:t>
                  </w:r>
                  <w:r>
                    <w:rPr>
                      <w:rFonts w:ascii="Calibri" w:hAnsi="Calibri"/>
                      <w:color w:val="231F20"/>
                      <w:w w:val="122"/>
                      <w:sz w:val="18"/>
                    </w:rPr>
                    <w:t>seguri</w:t>
                  </w:r>
                  <w:r>
                    <w:rPr>
                      <w:rFonts w:ascii="Calibri" w:hAnsi="Calibri"/>
                      <w:color w:val="231F20"/>
                      <w:spacing w:val="-3"/>
                      <w:w w:val="122"/>
                      <w:sz w:val="18"/>
                    </w:rPr>
                    <w:t>d</w:t>
                  </w:r>
                  <w:r>
                    <w:rPr>
                      <w:rFonts w:ascii="Calibri" w:hAnsi="Calibri"/>
                      <w:color w:val="231F20"/>
                      <w:w w:val="116"/>
                      <w:sz w:val="18"/>
                    </w:rPr>
                    <w:t>ad</w:t>
                  </w:r>
                </w:p>
              </w:txbxContent>
            </v:textbox>
            <w10:wrap type="none"/>
          </v:shape>
        </w:pict>
      </w:r>
      <w:r>
        <w:rPr/>
        <w:pict>
          <v:shape style="position:absolute;margin-left:550.417175pt;margin-top:321.894409pt;width:11pt;height:17.150pt;mso-position-horizontal-relative:page;mso-position-vertical-relative:page;z-index:9760" type="#_x0000_t202" filled="false" stroked="false">
            <v:textbox inset="0,0,0,0" style="layout-flow:vertical">
              <w:txbxContent>
                <w:p>
                  <w:pPr>
                    <w:spacing w:line="207" w:lineRule="exact" w:before="0"/>
                    <w:ind w:left="20" w:right="-121" w:firstLine="0"/>
                    <w:jc w:val="left"/>
                    <w:rPr>
                      <w:rFonts w:ascii="Calibri"/>
                      <w:sz w:val="18"/>
                    </w:rPr>
                  </w:pPr>
                  <w:r>
                    <w:rPr>
                      <w:rFonts w:ascii="Calibri"/>
                      <w:color w:val="231F20"/>
                      <w:w w:val="109"/>
                      <w:sz w:val="18"/>
                    </w:rPr>
                    <w:t>467</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7"/>
        </w:rPr>
      </w:pPr>
    </w:p>
    <w:p>
      <w:pPr>
        <w:spacing w:line="276" w:lineRule="auto" w:before="67"/>
        <w:ind w:left="535" w:right="0" w:firstLine="0"/>
        <w:jc w:val="left"/>
        <w:rPr>
          <w:sz w:val="18"/>
        </w:rPr>
      </w:pPr>
      <w:r>
        <w:rPr/>
        <w:pict>
          <v:shape style="position:absolute;margin-left:58.785702pt;margin-top:-282.586548pt;width:477.45pt;height:282.3pt;mso-position-horizontal-relative:page;mso-position-vertical-relative:paragraph;z-index:97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1327"/>
                    <w:gridCol w:w="1850"/>
                    <w:gridCol w:w="898"/>
                    <w:gridCol w:w="1670"/>
                    <w:gridCol w:w="1515"/>
                    <w:gridCol w:w="1438"/>
                  </w:tblGrid>
                  <w:tr>
                    <w:trPr>
                      <w:trHeight w:val="163" w:hRule="exact"/>
                    </w:trPr>
                    <w:tc>
                      <w:tcPr>
                        <w:tcW w:w="850" w:type="dxa"/>
                        <w:tcBorders>
                          <w:bottom w:val="single" w:sz="4" w:space="0" w:color="231F20"/>
                        </w:tcBorders>
                      </w:tcPr>
                      <w:p>
                        <w:pPr/>
                      </w:p>
                    </w:tc>
                    <w:tc>
                      <w:tcPr>
                        <w:tcW w:w="1327" w:type="dxa"/>
                        <w:tcBorders>
                          <w:bottom w:val="single" w:sz="4" w:space="0" w:color="231F20"/>
                        </w:tcBorders>
                      </w:tcPr>
                      <w:p>
                        <w:pPr/>
                      </w:p>
                    </w:tc>
                    <w:tc>
                      <w:tcPr>
                        <w:tcW w:w="7371" w:type="dxa"/>
                        <w:gridSpan w:val="5"/>
                        <w:tcBorders>
                          <w:bottom w:val="single" w:sz="4" w:space="0" w:color="231F20"/>
                        </w:tcBorders>
                      </w:tcPr>
                      <w:p>
                        <w:pPr/>
                      </w:p>
                    </w:tc>
                  </w:tr>
                  <w:tr>
                    <w:trPr>
                      <w:trHeight w:val="195" w:hRule="exact"/>
                    </w:trPr>
                    <w:tc>
                      <w:tcPr>
                        <w:tcW w:w="850" w:type="dxa"/>
                        <w:tcBorders>
                          <w:top w:val="single" w:sz="4" w:space="0" w:color="231F20"/>
                        </w:tcBorders>
                      </w:tcPr>
                      <w:p>
                        <w:pPr>
                          <w:pStyle w:val="TableParagraph"/>
                          <w:spacing w:before="6"/>
                          <w:ind w:left="40"/>
                          <w:rPr>
                            <w:sz w:val="14"/>
                          </w:rPr>
                        </w:pPr>
                        <w:r>
                          <w:rPr>
                            <w:color w:val="231F20"/>
                            <w:w w:val="110"/>
                            <w:sz w:val="14"/>
                          </w:rPr>
                          <w:t>Antimonio</w:t>
                        </w:r>
                      </w:p>
                    </w:tc>
                    <w:tc>
                      <w:tcPr>
                        <w:tcW w:w="1327" w:type="dxa"/>
                        <w:tcBorders>
                          <w:top w:val="single" w:sz="4" w:space="0" w:color="231F20"/>
                        </w:tcBorders>
                      </w:tcPr>
                      <w:p>
                        <w:pPr>
                          <w:pStyle w:val="TableParagraph"/>
                          <w:spacing w:before="6"/>
                          <w:ind w:left="149"/>
                          <w:rPr>
                            <w:sz w:val="14"/>
                          </w:rPr>
                        </w:pPr>
                        <w:r>
                          <w:rPr>
                            <w:color w:val="231F20"/>
                            <w:sz w:val="14"/>
                          </w:rPr>
                          <w:t>Bolivia</w:t>
                        </w:r>
                      </w:p>
                    </w:tc>
                    <w:tc>
                      <w:tcPr>
                        <w:tcW w:w="1850" w:type="dxa"/>
                        <w:tcBorders>
                          <w:top w:val="single" w:sz="4" w:space="0" w:color="231F20"/>
                        </w:tcBorders>
                      </w:tcPr>
                      <w:p>
                        <w:pPr>
                          <w:pStyle w:val="TableParagraph"/>
                          <w:spacing w:before="6"/>
                          <w:ind w:left="694"/>
                          <w:rPr>
                            <w:sz w:val="14"/>
                          </w:rPr>
                        </w:pPr>
                        <w:r>
                          <w:rPr>
                            <w:color w:val="231F20"/>
                            <w:w w:val="110"/>
                            <w:sz w:val="14"/>
                          </w:rPr>
                          <w:t>2º (7 000)</w:t>
                        </w:r>
                      </w:p>
                    </w:tc>
                    <w:tc>
                      <w:tcPr>
                        <w:tcW w:w="898" w:type="dxa"/>
                        <w:tcBorders>
                          <w:top w:val="single" w:sz="4" w:space="0" w:color="231F20"/>
                        </w:tcBorders>
                      </w:tcPr>
                      <w:p>
                        <w:pPr>
                          <w:pStyle w:val="TableParagraph"/>
                          <w:spacing w:before="6"/>
                          <w:ind w:right="346"/>
                          <w:jc w:val="right"/>
                          <w:rPr>
                            <w:sz w:val="14"/>
                          </w:rPr>
                        </w:pPr>
                        <w:r>
                          <w:rPr>
                            <w:color w:val="231F20"/>
                            <w:w w:val="110"/>
                            <w:sz w:val="14"/>
                          </w:rPr>
                          <w:t>1º</w:t>
                        </w:r>
                      </w:p>
                    </w:tc>
                    <w:tc>
                      <w:tcPr>
                        <w:tcW w:w="1670" w:type="dxa"/>
                        <w:tcBorders>
                          <w:top w:val="single" w:sz="4" w:space="0" w:color="231F20"/>
                        </w:tcBorders>
                      </w:tcPr>
                      <w:p>
                        <w:pPr>
                          <w:pStyle w:val="TableParagraph"/>
                          <w:spacing w:before="6"/>
                          <w:ind w:left="380"/>
                          <w:rPr>
                            <w:sz w:val="14"/>
                          </w:rPr>
                        </w:pPr>
                        <w:r>
                          <w:rPr>
                            <w:color w:val="231F20"/>
                            <w:w w:val="115"/>
                            <w:sz w:val="14"/>
                          </w:rPr>
                          <w:t>2.59 (dólar/libra)</w:t>
                        </w:r>
                      </w:p>
                    </w:tc>
                    <w:tc>
                      <w:tcPr>
                        <w:tcW w:w="1515" w:type="dxa"/>
                        <w:tcBorders>
                          <w:top w:val="single" w:sz="4" w:space="0" w:color="231F20"/>
                        </w:tcBorders>
                      </w:tcPr>
                      <w:p>
                        <w:pPr>
                          <w:pStyle w:val="TableParagraph"/>
                          <w:spacing w:before="6"/>
                          <w:ind w:left="135" w:right="175"/>
                          <w:jc w:val="center"/>
                          <w:rPr>
                            <w:sz w:val="14"/>
                          </w:rPr>
                        </w:pPr>
                        <w:r>
                          <w:rPr>
                            <w:color w:val="231F20"/>
                            <w:w w:val="110"/>
                            <w:sz w:val="14"/>
                          </w:rPr>
                          <w:t>88 (343 Tm)</w:t>
                        </w:r>
                      </w:p>
                    </w:tc>
                    <w:tc>
                      <w:tcPr>
                        <w:tcW w:w="1438" w:type="dxa"/>
                        <w:tcBorders>
                          <w:top w:val="single" w:sz="4" w:space="0" w:color="231F20"/>
                        </w:tcBorders>
                      </w:tcPr>
                      <w:p>
                        <w:pPr>
                          <w:pStyle w:val="TableParagraph"/>
                          <w:spacing w:before="6"/>
                          <w:ind w:left="162" w:right="199"/>
                          <w:jc w:val="center"/>
                          <w:rPr>
                            <w:sz w:val="14"/>
                          </w:rPr>
                        </w:pPr>
                        <w:r>
                          <w:rPr>
                            <w:color w:val="231F20"/>
                            <w:w w:val="110"/>
                            <w:sz w:val="14"/>
                          </w:rPr>
                          <w:t>4º (310 000 Tm)</w:t>
                        </w:r>
                      </w:p>
                    </w:tc>
                  </w:tr>
                  <w:tr>
                    <w:trPr>
                      <w:trHeight w:val="182" w:hRule="exact"/>
                    </w:trPr>
                    <w:tc>
                      <w:tcPr>
                        <w:tcW w:w="850" w:type="dxa"/>
                      </w:tcPr>
                      <w:p>
                        <w:pPr>
                          <w:pStyle w:val="TableParagraph"/>
                          <w:spacing w:line="159" w:lineRule="exact"/>
                          <w:ind w:left="40"/>
                          <w:rPr>
                            <w:sz w:val="14"/>
                          </w:rPr>
                        </w:pPr>
                        <w:r>
                          <w:rPr>
                            <w:color w:val="231F20"/>
                            <w:w w:val="105"/>
                            <w:sz w:val="14"/>
                          </w:rPr>
                          <w:t>Bismuto</w:t>
                        </w: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left="694"/>
                          <w:rPr>
                            <w:sz w:val="14"/>
                          </w:rPr>
                        </w:pPr>
                        <w:r>
                          <w:rPr>
                            <w:color w:val="231F20"/>
                            <w:w w:val="110"/>
                            <w:sz w:val="14"/>
                          </w:rPr>
                          <w:t>2º (1 200)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43"/>
                          <w:rPr>
                            <w:sz w:val="14"/>
                          </w:rPr>
                        </w:pPr>
                        <w:r>
                          <w:rPr>
                            <w:color w:val="231F20"/>
                            <w:w w:val="115"/>
                            <w:sz w:val="14"/>
                          </w:rPr>
                          <w:t>13.75 (dólar/libra)</w:t>
                        </w:r>
                      </w:p>
                    </w:tc>
                    <w:tc>
                      <w:tcPr>
                        <w:tcW w:w="1515" w:type="dxa"/>
                      </w:tcPr>
                      <w:p>
                        <w:pPr>
                          <w:pStyle w:val="TableParagraph"/>
                          <w:spacing w:line="159" w:lineRule="exact"/>
                          <w:ind w:left="135" w:right="175"/>
                          <w:jc w:val="center"/>
                          <w:rPr>
                            <w:sz w:val="14"/>
                          </w:rPr>
                        </w:pPr>
                        <w:r>
                          <w:rPr>
                            <w:color w:val="231F20"/>
                            <w:w w:val="115"/>
                            <w:sz w:val="14"/>
                          </w:rPr>
                          <w:t>24 (552 Tm )</w:t>
                        </w:r>
                      </w:p>
                    </w:tc>
                    <w:tc>
                      <w:tcPr>
                        <w:tcW w:w="1438" w:type="dxa"/>
                      </w:tcPr>
                      <w:p>
                        <w:pPr>
                          <w:pStyle w:val="TableParagraph"/>
                          <w:spacing w:line="159" w:lineRule="exact"/>
                          <w:ind w:left="162" w:right="199"/>
                          <w:jc w:val="center"/>
                          <w:rPr>
                            <w:sz w:val="14"/>
                          </w:rPr>
                        </w:pPr>
                        <w:r>
                          <w:rPr>
                            <w:color w:val="231F20"/>
                            <w:w w:val="110"/>
                            <w:sz w:val="14"/>
                          </w:rPr>
                          <w:t>2º (10 000)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left="748"/>
                          <w:rPr>
                            <w:sz w:val="14"/>
                          </w:rPr>
                        </w:pPr>
                        <w:r>
                          <w:rPr>
                            <w:color w:val="231F20"/>
                            <w:w w:val="110"/>
                            <w:sz w:val="14"/>
                          </w:rPr>
                          <w:t>3º (960)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10"/>
                            <w:sz w:val="14"/>
                          </w:rPr>
                          <w:t>0.8 (17.6 Tm)</w:t>
                        </w:r>
                      </w:p>
                    </w:tc>
                    <w:tc>
                      <w:tcPr>
                        <w:tcW w:w="1438" w:type="dxa"/>
                      </w:tcPr>
                      <w:p>
                        <w:pPr>
                          <w:pStyle w:val="TableParagraph"/>
                          <w:spacing w:line="159" w:lineRule="exact"/>
                          <w:ind w:left="162" w:right="199"/>
                          <w:jc w:val="center"/>
                          <w:rPr>
                            <w:sz w:val="14"/>
                          </w:rPr>
                        </w:pPr>
                        <w:r>
                          <w:rPr>
                            <w:color w:val="231F20"/>
                            <w:w w:val="110"/>
                            <w:sz w:val="14"/>
                          </w:rPr>
                          <w:t>1º (11 000)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sz w:val="14"/>
                          </w:rPr>
                          <w:t>Bolivia</w:t>
                        </w:r>
                      </w:p>
                    </w:tc>
                    <w:tc>
                      <w:tcPr>
                        <w:tcW w:w="1850" w:type="dxa"/>
                      </w:tcPr>
                      <w:p>
                        <w:pPr>
                          <w:pStyle w:val="TableParagraph"/>
                          <w:spacing w:line="159" w:lineRule="exact"/>
                          <w:ind w:left="748"/>
                          <w:rPr>
                            <w:sz w:val="14"/>
                          </w:rPr>
                        </w:pPr>
                        <w:r>
                          <w:rPr>
                            <w:color w:val="231F20"/>
                            <w:w w:val="110"/>
                            <w:sz w:val="14"/>
                          </w:rPr>
                          <w:t>4º (190)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162" w:right="199"/>
                          <w:jc w:val="center"/>
                          <w:rPr>
                            <w:sz w:val="14"/>
                          </w:rPr>
                        </w:pPr>
                        <w:r>
                          <w:rPr>
                            <w:color w:val="231F20"/>
                            <w:w w:val="110"/>
                            <w:sz w:val="14"/>
                          </w:rPr>
                          <w:t>4º (5 000)</w:t>
                        </w:r>
                      </w:p>
                    </w:tc>
                  </w:tr>
                  <w:tr>
                    <w:trPr>
                      <w:trHeight w:val="182" w:hRule="exact"/>
                    </w:trPr>
                    <w:tc>
                      <w:tcPr>
                        <w:tcW w:w="850" w:type="dxa"/>
                      </w:tcPr>
                      <w:p>
                        <w:pPr>
                          <w:pStyle w:val="TableParagraph"/>
                          <w:spacing w:line="159" w:lineRule="exact"/>
                          <w:ind w:left="40"/>
                          <w:rPr>
                            <w:sz w:val="14"/>
                          </w:rPr>
                        </w:pPr>
                        <w:r>
                          <w:rPr>
                            <w:color w:val="231F20"/>
                            <w:w w:val="110"/>
                            <w:sz w:val="14"/>
                          </w:rPr>
                          <w:t>Cobre</w:t>
                        </w:r>
                      </w:p>
                    </w:tc>
                    <w:tc>
                      <w:tcPr>
                        <w:tcW w:w="1327" w:type="dxa"/>
                      </w:tcPr>
                      <w:p>
                        <w:pPr>
                          <w:pStyle w:val="TableParagraph"/>
                          <w:spacing w:line="159" w:lineRule="exact"/>
                          <w:ind w:left="149"/>
                          <w:rPr>
                            <w:sz w:val="14"/>
                          </w:rPr>
                        </w:pPr>
                        <w:r>
                          <w:rPr>
                            <w:color w:val="231F20"/>
                            <w:w w:val="110"/>
                            <w:sz w:val="14"/>
                          </w:rPr>
                          <w:t>Chile</w:t>
                        </w:r>
                      </w:p>
                    </w:tc>
                    <w:tc>
                      <w:tcPr>
                        <w:tcW w:w="1850" w:type="dxa"/>
                      </w:tcPr>
                      <w:p>
                        <w:pPr>
                          <w:pStyle w:val="TableParagraph"/>
                          <w:spacing w:line="159" w:lineRule="exact"/>
                          <w:ind w:right="415"/>
                          <w:jc w:val="right"/>
                          <w:rPr>
                            <w:sz w:val="14"/>
                          </w:rPr>
                        </w:pPr>
                        <w:r>
                          <w:rPr>
                            <w:color w:val="231F20"/>
                            <w:w w:val="110"/>
                            <w:sz w:val="14"/>
                          </w:rPr>
                          <w:t>1º (5 700 000)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80"/>
                          <w:rPr>
                            <w:sz w:val="14"/>
                          </w:rPr>
                        </w:pPr>
                        <w:r>
                          <w:rPr>
                            <w:color w:val="231F20"/>
                            <w:w w:val="115"/>
                            <w:sz w:val="14"/>
                          </w:rPr>
                          <w:t>3.29 (dólar/libra)</w:t>
                        </w:r>
                      </w:p>
                    </w:tc>
                    <w:tc>
                      <w:tcPr>
                        <w:tcW w:w="1515" w:type="dxa"/>
                      </w:tcPr>
                      <w:p>
                        <w:pPr>
                          <w:pStyle w:val="TableParagraph"/>
                          <w:spacing w:line="159" w:lineRule="exact"/>
                          <w:ind w:left="135" w:right="176"/>
                          <w:jc w:val="center"/>
                          <w:rPr>
                            <w:sz w:val="14"/>
                          </w:rPr>
                        </w:pPr>
                        <w:r>
                          <w:rPr>
                            <w:color w:val="231F20"/>
                            <w:w w:val="110"/>
                            <w:sz w:val="14"/>
                          </w:rPr>
                          <w:t>47.5 (604 000 Tm)</w:t>
                        </w:r>
                      </w:p>
                    </w:tc>
                    <w:tc>
                      <w:tcPr>
                        <w:tcW w:w="1438" w:type="dxa"/>
                      </w:tcPr>
                      <w:p>
                        <w:pPr>
                          <w:pStyle w:val="TableParagraph"/>
                          <w:spacing w:line="159" w:lineRule="exact"/>
                          <w:ind w:left="162" w:right="199"/>
                          <w:jc w:val="center"/>
                          <w:rPr>
                            <w:sz w:val="14"/>
                          </w:rPr>
                        </w:pPr>
                        <w:r>
                          <w:rPr>
                            <w:color w:val="231F20"/>
                            <w:w w:val="110"/>
                            <w:sz w:val="14"/>
                          </w:rPr>
                          <w:t>1º (150 000 000)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right="415"/>
                          <w:jc w:val="right"/>
                          <w:rPr>
                            <w:sz w:val="14"/>
                          </w:rPr>
                        </w:pPr>
                        <w:r>
                          <w:rPr>
                            <w:color w:val="231F20"/>
                            <w:w w:val="110"/>
                            <w:sz w:val="14"/>
                          </w:rPr>
                          <w:t>2º (1 200 000)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5"/>
                            <w:sz w:val="14"/>
                          </w:rPr>
                          <w:t>Id</w:t>
                        </w:r>
                      </w:p>
                    </w:tc>
                    <w:tc>
                      <w:tcPr>
                        <w:tcW w:w="1515" w:type="dxa"/>
                      </w:tcPr>
                      <w:p>
                        <w:pPr>
                          <w:pStyle w:val="TableParagraph"/>
                          <w:spacing w:line="159" w:lineRule="exact"/>
                          <w:ind w:left="135" w:right="176"/>
                          <w:jc w:val="center"/>
                          <w:rPr>
                            <w:sz w:val="14"/>
                          </w:rPr>
                        </w:pPr>
                        <w:r>
                          <w:rPr>
                            <w:color w:val="231F20"/>
                            <w:w w:val="110"/>
                            <w:sz w:val="14"/>
                          </w:rPr>
                          <w:t>12.4 (38 600 Tm)</w:t>
                        </w:r>
                      </w:p>
                    </w:tc>
                    <w:tc>
                      <w:tcPr>
                        <w:tcW w:w="1438" w:type="dxa"/>
                      </w:tcPr>
                      <w:p>
                        <w:pPr>
                          <w:pStyle w:val="TableParagraph"/>
                          <w:spacing w:line="159" w:lineRule="exact"/>
                          <w:ind w:left="162" w:right="199"/>
                          <w:jc w:val="center"/>
                          <w:rPr>
                            <w:sz w:val="14"/>
                          </w:rPr>
                        </w:pPr>
                        <w:r>
                          <w:rPr>
                            <w:color w:val="231F20"/>
                            <w:w w:val="110"/>
                            <w:sz w:val="14"/>
                          </w:rPr>
                          <w:t>3º (30 000 000)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right="434"/>
                          <w:jc w:val="right"/>
                          <w:rPr>
                            <w:sz w:val="14"/>
                          </w:rPr>
                        </w:pPr>
                        <w:r>
                          <w:rPr>
                            <w:color w:val="231F20"/>
                            <w:w w:val="110"/>
                            <w:sz w:val="14"/>
                          </w:rPr>
                          <w:t>11º (400 000)</w:t>
                        </w:r>
                      </w:p>
                    </w:tc>
                    <w:tc>
                      <w:tcPr>
                        <w:tcW w:w="898" w:type="dxa"/>
                      </w:tcPr>
                      <w:p>
                        <w:pPr>
                          <w:pStyle w:val="TableParagraph"/>
                          <w:spacing w:line="159" w:lineRule="exact"/>
                          <w:ind w:right="346"/>
                          <w:jc w:val="right"/>
                          <w:rPr>
                            <w:sz w:val="14"/>
                          </w:rPr>
                        </w:pPr>
                        <w:r>
                          <w:rPr>
                            <w:color w:val="231F20"/>
                            <w:w w:val="110"/>
                            <w:sz w:val="14"/>
                          </w:rPr>
                          <w:t>3º</w:t>
                        </w:r>
                      </w:p>
                    </w:tc>
                    <w:tc>
                      <w:tcPr>
                        <w:tcW w:w="1670" w:type="dxa"/>
                      </w:tcPr>
                      <w:p>
                        <w:pPr>
                          <w:pStyle w:val="TableParagraph"/>
                          <w:spacing w:line="159" w:lineRule="exact"/>
                          <w:ind w:left="825" w:right="638"/>
                          <w:jc w:val="center"/>
                          <w:rPr>
                            <w:sz w:val="14"/>
                          </w:rPr>
                        </w:pPr>
                        <w:r>
                          <w:rPr>
                            <w:color w:val="231F20"/>
                            <w:w w:val="115"/>
                            <w:sz w:val="14"/>
                          </w:rPr>
                          <w:t>Id</w:t>
                        </w:r>
                      </w:p>
                    </w:tc>
                    <w:tc>
                      <w:tcPr>
                        <w:tcW w:w="1515" w:type="dxa"/>
                      </w:tcPr>
                      <w:p>
                        <w:pPr>
                          <w:pStyle w:val="TableParagraph"/>
                          <w:spacing w:line="159" w:lineRule="exact"/>
                          <w:ind w:left="135" w:right="175"/>
                          <w:jc w:val="center"/>
                          <w:rPr>
                            <w:sz w:val="14"/>
                          </w:rPr>
                        </w:pPr>
                        <w:r>
                          <w:rPr>
                            <w:color w:val="231F20"/>
                            <w:w w:val="110"/>
                            <w:sz w:val="14"/>
                          </w:rPr>
                          <w:t>45 (24 200 Tm)</w:t>
                        </w:r>
                      </w:p>
                    </w:tc>
                    <w:tc>
                      <w:tcPr>
                        <w:tcW w:w="1438" w:type="dxa"/>
                      </w:tcPr>
                      <w:p>
                        <w:pPr>
                          <w:pStyle w:val="TableParagraph"/>
                          <w:spacing w:line="159" w:lineRule="exact"/>
                          <w:ind w:left="162" w:right="199"/>
                          <w:jc w:val="center"/>
                          <w:rPr>
                            <w:sz w:val="14"/>
                          </w:rPr>
                        </w:pPr>
                        <w:r>
                          <w:rPr>
                            <w:color w:val="231F20"/>
                            <w:w w:val="110"/>
                            <w:sz w:val="14"/>
                          </w:rPr>
                          <w:t>3º (30 000 000)</w:t>
                        </w:r>
                      </w:p>
                    </w:tc>
                  </w:tr>
                  <w:tr>
                    <w:trPr>
                      <w:trHeight w:val="182" w:hRule="exact"/>
                    </w:trPr>
                    <w:tc>
                      <w:tcPr>
                        <w:tcW w:w="850" w:type="dxa"/>
                      </w:tcPr>
                      <w:p>
                        <w:pPr>
                          <w:pStyle w:val="TableParagraph"/>
                          <w:spacing w:line="159" w:lineRule="exact"/>
                          <w:ind w:left="40"/>
                          <w:rPr>
                            <w:sz w:val="14"/>
                          </w:rPr>
                        </w:pPr>
                        <w:r>
                          <w:rPr>
                            <w:color w:val="231F20"/>
                            <w:w w:val="110"/>
                            <w:sz w:val="14"/>
                          </w:rPr>
                          <w:t>Fluorita</w:t>
                        </w: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right="470"/>
                          <w:jc w:val="right"/>
                          <w:rPr>
                            <w:sz w:val="14"/>
                          </w:rPr>
                        </w:pPr>
                        <w:r>
                          <w:rPr>
                            <w:color w:val="231F20"/>
                            <w:w w:val="110"/>
                            <w:sz w:val="14"/>
                          </w:rPr>
                          <w:t>2º (900 000)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31"/>
                          <w:rPr>
                            <w:sz w:val="14"/>
                          </w:rPr>
                        </w:pPr>
                        <w:r>
                          <w:rPr>
                            <w:color w:val="231F20"/>
                            <w:w w:val="115"/>
                            <w:sz w:val="14"/>
                          </w:rPr>
                          <w:t>217 (dólar/Tm)</w:t>
                        </w:r>
                      </w:p>
                    </w:tc>
                    <w:tc>
                      <w:tcPr>
                        <w:tcW w:w="1515" w:type="dxa"/>
                      </w:tcPr>
                      <w:p>
                        <w:pPr>
                          <w:pStyle w:val="TableParagraph"/>
                          <w:spacing w:line="159" w:lineRule="exact"/>
                          <w:ind w:left="135" w:right="176"/>
                          <w:jc w:val="center"/>
                          <w:rPr>
                            <w:sz w:val="14"/>
                          </w:rPr>
                        </w:pPr>
                        <w:r>
                          <w:rPr>
                            <w:color w:val="231F20"/>
                            <w:w w:val="110"/>
                            <w:sz w:val="14"/>
                          </w:rPr>
                          <w:t>45 (235 000 Tm.)</w:t>
                        </w:r>
                      </w:p>
                    </w:tc>
                    <w:tc>
                      <w:tcPr>
                        <w:tcW w:w="1438" w:type="dxa"/>
                      </w:tcPr>
                      <w:p>
                        <w:pPr>
                          <w:pStyle w:val="TableParagraph"/>
                          <w:spacing w:line="159" w:lineRule="exact"/>
                          <w:ind w:left="162" w:right="199"/>
                          <w:jc w:val="center"/>
                          <w:rPr>
                            <w:sz w:val="14"/>
                          </w:rPr>
                        </w:pPr>
                        <w:r>
                          <w:rPr>
                            <w:color w:val="231F20"/>
                            <w:w w:val="110"/>
                            <w:sz w:val="14"/>
                          </w:rPr>
                          <w:t>2º (32 000)</w:t>
                        </w:r>
                      </w:p>
                    </w:tc>
                  </w:tr>
                  <w:tr>
                    <w:trPr>
                      <w:trHeight w:val="182" w:hRule="exact"/>
                    </w:trPr>
                    <w:tc>
                      <w:tcPr>
                        <w:tcW w:w="850" w:type="dxa"/>
                      </w:tcPr>
                      <w:p>
                        <w:pPr>
                          <w:pStyle w:val="TableParagraph"/>
                          <w:spacing w:line="159" w:lineRule="exact"/>
                          <w:ind w:left="40"/>
                          <w:rPr>
                            <w:sz w:val="14"/>
                          </w:rPr>
                        </w:pPr>
                        <w:r>
                          <w:rPr>
                            <w:color w:val="231F20"/>
                            <w:w w:val="105"/>
                            <w:sz w:val="14"/>
                          </w:rPr>
                          <w:t>Grafito</w:t>
                        </w: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left="657"/>
                          <w:rPr>
                            <w:sz w:val="14"/>
                          </w:rPr>
                        </w:pPr>
                        <w:r>
                          <w:rPr>
                            <w:color w:val="231F20"/>
                            <w:w w:val="110"/>
                            <w:sz w:val="14"/>
                          </w:rPr>
                          <w:t>7º (12 500)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431"/>
                          <w:rPr>
                            <w:sz w:val="14"/>
                          </w:rPr>
                        </w:pPr>
                        <w:r>
                          <w:rPr>
                            <w:color w:val="231F20"/>
                            <w:w w:val="115"/>
                            <w:sz w:val="14"/>
                          </w:rPr>
                          <w:t>194 (dólar/Tm)</w:t>
                        </w:r>
                      </w:p>
                    </w:tc>
                    <w:tc>
                      <w:tcPr>
                        <w:tcW w:w="1515" w:type="dxa"/>
                      </w:tcPr>
                      <w:p>
                        <w:pPr>
                          <w:pStyle w:val="TableParagraph"/>
                          <w:spacing w:line="159" w:lineRule="exact"/>
                          <w:ind w:left="135" w:right="175"/>
                          <w:jc w:val="center"/>
                          <w:rPr>
                            <w:sz w:val="14"/>
                          </w:rPr>
                        </w:pPr>
                        <w:r>
                          <w:rPr>
                            <w:color w:val="231F20"/>
                            <w:w w:val="110"/>
                            <w:sz w:val="14"/>
                          </w:rPr>
                          <w:t>30.4 (16 000)</w:t>
                        </w:r>
                      </w:p>
                    </w:tc>
                    <w:tc>
                      <w:tcPr>
                        <w:tcW w:w="1438" w:type="dxa"/>
                      </w:tcPr>
                      <w:p>
                        <w:pPr>
                          <w:pStyle w:val="TableParagraph"/>
                          <w:spacing w:line="159" w:lineRule="exact"/>
                          <w:ind w:left="162" w:right="199"/>
                          <w:jc w:val="center"/>
                          <w:rPr>
                            <w:sz w:val="14"/>
                          </w:rPr>
                        </w:pPr>
                        <w:r>
                          <w:rPr>
                            <w:color w:val="231F20"/>
                            <w:w w:val="110"/>
                            <w:sz w:val="14"/>
                          </w:rPr>
                          <w:t>2º (3 100 000)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657"/>
                          <w:rPr>
                            <w:sz w:val="14"/>
                          </w:rPr>
                        </w:pPr>
                        <w:r>
                          <w:rPr>
                            <w:color w:val="231F20"/>
                            <w:w w:val="110"/>
                            <w:sz w:val="14"/>
                          </w:rPr>
                          <w:t>3º (76 000)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10"/>
                            <w:sz w:val="14"/>
                          </w:rPr>
                          <w:t>7 (3 670 Tm)</w:t>
                        </w:r>
                      </w:p>
                    </w:tc>
                    <w:tc>
                      <w:tcPr>
                        <w:tcW w:w="1438" w:type="dxa"/>
                      </w:tcPr>
                      <w:p>
                        <w:pPr>
                          <w:pStyle w:val="TableParagraph"/>
                          <w:spacing w:line="159" w:lineRule="exact"/>
                          <w:ind w:left="162" w:right="199"/>
                          <w:jc w:val="center"/>
                          <w:rPr>
                            <w:sz w:val="14"/>
                          </w:rPr>
                        </w:pPr>
                        <w:r>
                          <w:rPr>
                            <w:color w:val="231F20"/>
                            <w:w w:val="110"/>
                            <w:sz w:val="14"/>
                          </w:rPr>
                          <w:t>6º (360 000)</w:t>
                        </w:r>
                      </w:p>
                    </w:tc>
                  </w:tr>
                  <w:tr>
                    <w:trPr>
                      <w:trHeight w:val="182" w:hRule="exact"/>
                    </w:trPr>
                    <w:tc>
                      <w:tcPr>
                        <w:tcW w:w="850" w:type="dxa"/>
                      </w:tcPr>
                      <w:p>
                        <w:pPr>
                          <w:pStyle w:val="TableParagraph"/>
                          <w:spacing w:line="159" w:lineRule="exact"/>
                          <w:ind w:left="40"/>
                          <w:rPr>
                            <w:sz w:val="14"/>
                          </w:rPr>
                        </w:pPr>
                        <w:r>
                          <w:rPr>
                            <w:color w:val="231F20"/>
                            <w:w w:val="105"/>
                            <w:sz w:val="14"/>
                          </w:rPr>
                          <w:t>Litio</w:t>
                        </w:r>
                      </w:p>
                    </w:tc>
                    <w:tc>
                      <w:tcPr>
                        <w:tcW w:w="1327" w:type="dxa"/>
                      </w:tcPr>
                      <w:p>
                        <w:pPr>
                          <w:pStyle w:val="TableParagraph"/>
                          <w:spacing w:line="159" w:lineRule="exact"/>
                          <w:ind w:left="149"/>
                          <w:rPr>
                            <w:sz w:val="14"/>
                          </w:rPr>
                        </w:pPr>
                        <w:r>
                          <w:rPr>
                            <w:color w:val="231F20"/>
                            <w:w w:val="110"/>
                            <w:sz w:val="14"/>
                          </w:rPr>
                          <w:t>Chile</w:t>
                        </w:r>
                      </w:p>
                    </w:tc>
                    <w:tc>
                      <w:tcPr>
                        <w:tcW w:w="1850" w:type="dxa"/>
                      </w:tcPr>
                      <w:p>
                        <w:pPr>
                          <w:pStyle w:val="TableParagraph"/>
                          <w:spacing w:line="159" w:lineRule="exact"/>
                          <w:ind w:left="694"/>
                          <w:rPr>
                            <w:sz w:val="14"/>
                          </w:rPr>
                        </w:pPr>
                        <w:r>
                          <w:rPr>
                            <w:color w:val="231F20"/>
                            <w:w w:val="110"/>
                            <w:sz w:val="14"/>
                          </w:rPr>
                          <w:t>1º (9 400)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37"/>
                          <w:rPr>
                            <w:sz w:val="14"/>
                          </w:rPr>
                        </w:pPr>
                        <w:r>
                          <w:rPr>
                            <w:color w:val="231F20"/>
                            <w:w w:val="115"/>
                            <w:sz w:val="14"/>
                          </w:rPr>
                          <w:t>3.45 (dólar/Kg)</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162" w:right="199"/>
                          <w:jc w:val="center"/>
                          <w:rPr>
                            <w:sz w:val="14"/>
                          </w:rPr>
                        </w:pPr>
                        <w:r>
                          <w:rPr>
                            <w:color w:val="231F20"/>
                            <w:w w:val="110"/>
                            <w:sz w:val="14"/>
                          </w:rPr>
                          <w:t>2º (3 000 000)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Argentina</w:t>
                        </w:r>
                      </w:p>
                    </w:tc>
                    <w:tc>
                      <w:tcPr>
                        <w:tcW w:w="1850" w:type="dxa"/>
                      </w:tcPr>
                      <w:p>
                        <w:pPr>
                          <w:pStyle w:val="TableParagraph"/>
                          <w:spacing w:line="159" w:lineRule="exact"/>
                          <w:ind w:left="694"/>
                          <w:rPr>
                            <w:sz w:val="14"/>
                          </w:rPr>
                        </w:pPr>
                        <w:r>
                          <w:rPr>
                            <w:color w:val="231F20"/>
                            <w:w w:val="110"/>
                            <w:sz w:val="14"/>
                          </w:rPr>
                          <w:t>3º (3 000)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616"/>
                          <w:rPr>
                            <w:sz w:val="14"/>
                          </w:rPr>
                        </w:pPr>
                        <w:r>
                          <w:rPr>
                            <w:color w:val="231F20"/>
                            <w:w w:val="105"/>
                            <w:sz w:val="14"/>
                          </w:rPr>
                          <w:t>s. d.</w:t>
                        </w:r>
                      </w:p>
                    </w:tc>
                    <w:tc>
                      <w:tcPr>
                        <w:tcW w:w="1438" w:type="dxa"/>
                      </w:tcPr>
                      <w:p>
                        <w:pPr/>
                      </w:p>
                    </w:tc>
                  </w:tr>
                  <w:tr>
                    <w:trPr>
                      <w:trHeight w:val="182" w:hRule="exact"/>
                    </w:trPr>
                    <w:tc>
                      <w:tcPr>
                        <w:tcW w:w="850" w:type="dxa"/>
                      </w:tcPr>
                      <w:p>
                        <w:pPr>
                          <w:pStyle w:val="TableParagraph"/>
                          <w:spacing w:line="159" w:lineRule="exact"/>
                          <w:ind w:left="40"/>
                          <w:rPr>
                            <w:sz w:val="14"/>
                          </w:rPr>
                        </w:pPr>
                        <w:r>
                          <w:rPr>
                            <w:color w:val="231F20"/>
                            <w:w w:val="110"/>
                            <w:sz w:val="14"/>
                          </w:rPr>
                          <w:t>Niobio</w:t>
                        </w: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657"/>
                          <w:rPr>
                            <w:sz w:val="14"/>
                          </w:rPr>
                        </w:pPr>
                        <w:r>
                          <w:rPr>
                            <w:color w:val="231F20"/>
                            <w:w w:val="110"/>
                            <w:sz w:val="14"/>
                          </w:rPr>
                          <w:t>1º (57 300)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80"/>
                          <w:rPr>
                            <w:sz w:val="14"/>
                          </w:rPr>
                        </w:pPr>
                        <w:r>
                          <w:rPr>
                            <w:color w:val="231F20"/>
                            <w:w w:val="115"/>
                            <w:sz w:val="14"/>
                          </w:rPr>
                          <w:t>6.58 (dólar/libra)</w:t>
                        </w:r>
                      </w:p>
                    </w:tc>
                    <w:tc>
                      <w:tcPr>
                        <w:tcW w:w="1515" w:type="dxa"/>
                      </w:tcPr>
                      <w:p>
                        <w:pPr>
                          <w:pStyle w:val="TableParagraph"/>
                          <w:spacing w:line="159" w:lineRule="exact"/>
                          <w:ind w:left="135" w:right="175"/>
                          <w:jc w:val="center"/>
                          <w:rPr>
                            <w:sz w:val="14"/>
                          </w:rPr>
                        </w:pPr>
                        <w:r>
                          <w:rPr>
                            <w:color w:val="231F20"/>
                            <w:w w:val="110"/>
                            <w:sz w:val="14"/>
                          </w:rPr>
                          <w:t>52 (3 060 Tm.)</w:t>
                        </w:r>
                      </w:p>
                    </w:tc>
                    <w:tc>
                      <w:tcPr>
                        <w:tcW w:w="1438" w:type="dxa"/>
                      </w:tcPr>
                      <w:p>
                        <w:pPr>
                          <w:pStyle w:val="TableParagraph"/>
                          <w:spacing w:line="159" w:lineRule="exact"/>
                          <w:ind w:left="162" w:right="199"/>
                          <w:jc w:val="center"/>
                          <w:rPr>
                            <w:sz w:val="14"/>
                          </w:rPr>
                        </w:pPr>
                        <w:r>
                          <w:rPr>
                            <w:color w:val="231F20"/>
                            <w:w w:val="110"/>
                            <w:sz w:val="14"/>
                          </w:rPr>
                          <w:t>1º (2 600 000)</w:t>
                        </w:r>
                      </w:p>
                    </w:tc>
                  </w:tr>
                  <w:tr>
                    <w:trPr>
                      <w:trHeight w:val="182" w:hRule="exact"/>
                    </w:trPr>
                    <w:tc>
                      <w:tcPr>
                        <w:tcW w:w="850" w:type="dxa"/>
                      </w:tcPr>
                      <w:p>
                        <w:pPr>
                          <w:pStyle w:val="TableParagraph"/>
                          <w:spacing w:line="159" w:lineRule="exact"/>
                          <w:ind w:left="40"/>
                          <w:rPr>
                            <w:sz w:val="14"/>
                          </w:rPr>
                        </w:pPr>
                        <w:r>
                          <w:rPr>
                            <w:color w:val="231F20"/>
                            <w:w w:val="105"/>
                            <w:sz w:val="14"/>
                          </w:rPr>
                          <w:t>Plata</w:t>
                        </w: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left="694"/>
                          <w:rPr>
                            <w:sz w:val="14"/>
                          </w:rPr>
                        </w:pPr>
                        <w:r>
                          <w:rPr>
                            <w:color w:val="231F20"/>
                            <w:w w:val="110"/>
                            <w:sz w:val="14"/>
                          </w:rPr>
                          <w:t>1º (3 400)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39"/>
                          <w:rPr>
                            <w:sz w:val="14"/>
                          </w:rPr>
                        </w:pPr>
                        <w:r>
                          <w:rPr>
                            <w:color w:val="231F20"/>
                            <w:w w:val="115"/>
                            <w:sz w:val="14"/>
                          </w:rPr>
                          <w:t>13.40 (dólar/onza)</w:t>
                        </w:r>
                      </w:p>
                    </w:tc>
                    <w:tc>
                      <w:tcPr>
                        <w:tcW w:w="1515" w:type="dxa"/>
                      </w:tcPr>
                      <w:p>
                        <w:pPr>
                          <w:pStyle w:val="TableParagraph"/>
                          <w:spacing w:line="159" w:lineRule="exact"/>
                          <w:ind w:left="135" w:right="175"/>
                          <w:jc w:val="center"/>
                          <w:rPr>
                            <w:sz w:val="14"/>
                          </w:rPr>
                        </w:pPr>
                        <w:r>
                          <w:rPr>
                            <w:color w:val="231F20"/>
                            <w:w w:val="110"/>
                            <w:sz w:val="14"/>
                          </w:rPr>
                          <w:t>11 (505 Tm)</w:t>
                        </w:r>
                      </w:p>
                    </w:tc>
                    <w:tc>
                      <w:tcPr>
                        <w:tcW w:w="1438" w:type="dxa"/>
                      </w:tcPr>
                      <w:p>
                        <w:pPr>
                          <w:pStyle w:val="TableParagraph"/>
                          <w:spacing w:line="159" w:lineRule="exact"/>
                          <w:ind w:left="162" w:right="199"/>
                          <w:jc w:val="center"/>
                          <w:rPr>
                            <w:sz w:val="14"/>
                          </w:rPr>
                        </w:pPr>
                        <w:r>
                          <w:rPr>
                            <w:color w:val="231F20"/>
                            <w:w w:val="110"/>
                            <w:sz w:val="14"/>
                          </w:rPr>
                          <w:t>3º (36 000)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left="694"/>
                          <w:rPr>
                            <w:sz w:val="14"/>
                          </w:rPr>
                        </w:pPr>
                        <w:r>
                          <w:rPr>
                            <w:color w:val="231F20"/>
                            <w:w w:val="110"/>
                            <w:sz w:val="14"/>
                          </w:rPr>
                          <w:t>2º (3 000)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10"/>
                            <w:sz w:val="14"/>
                          </w:rPr>
                          <w:t>52.5 (2 400 Tm)</w:t>
                        </w:r>
                      </w:p>
                    </w:tc>
                    <w:tc>
                      <w:tcPr>
                        <w:tcW w:w="1438" w:type="dxa"/>
                      </w:tcPr>
                      <w:p>
                        <w:pPr>
                          <w:pStyle w:val="TableParagraph"/>
                          <w:spacing w:line="159" w:lineRule="exact"/>
                          <w:ind w:left="162" w:right="199"/>
                          <w:jc w:val="center"/>
                          <w:rPr>
                            <w:sz w:val="14"/>
                          </w:rPr>
                        </w:pPr>
                        <w:r>
                          <w:rPr>
                            <w:color w:val="231F20"/>
                            <w:w w:val="110"/>
                            <w:sz w:val="14"/>
                          </w:rPr>
                          <w:t>2º (37 000)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Chile</w:t>
                        </w:r>
                      </w:p>
                    </w:tc>
                    <w:tc>
                      <w:tcPr>
                        <w:tcW w:w="1850" w:type="dxa"/>
                      </w:tcPr>
                      <w:p>
                        <w:pPr>
                          <w:pStyle w:val="TableParagraph"/>
                          <w:spacing w:line="159" w:lineRule="exact"/>
                          <w:ind w:left="694"/>
                          <w:rPr>
                            <w:sz w:val="14"/>
                          </w:rPr>
                        </w:pPr>
                        <w:r>
                          <w:rPr>
                            <w:color w:val="231F20"/>
                            <w:w w:val="110"/>
                            <w:sz w:val="14"/>
                          </w:rPr>
                          <w:t>3º (1 400)</w:t>
                        </w:r>
                      </w:p>
                    </w:tc>
                    <w:tc>
                      <w:tcPr>
                        <w:tcW w:w="898" w:type="dxa"/>
                      </w:tcPr>
                      <w:p>
                        <w:pPr>
                          <w:pStyle w:val="TableParagraph"/>
                          <w:spacing w:line="159" w:lineRule="exact"/>
                          <w:ind w:right="346"/>
                          <w:jc w:val="right"/>
                          <w:rPr>
                            <w:sz w:val="14"/>
                          </w:rPr>
                        </w:pPr>
                        <w:r>
                          <w:rPr>
                            <w:color w:val="231F20"/>
                            <w:w w:val="110"/>
                            <w:sz w:val="14"/>
                          </w:rPr>
                          <w:t>3º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10"/>
                            <w:sz w:val="14"/>
                          </w:rPr>
                          <w:t>2.3 (107 Tm)</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Style w:val="TableParagraph"/>
                          <w:spacing w:line="159" w:lineRule="exact"/>
                          <w:ind w:left="40"/>
                          <w:rPr>
                            <w:sz w:val="14"/>
                          </w:rPr>
                        </w:pPr>
                        <w:r>
                          <w:rPr>
                            <w:color w:val="231F20"/>
                            <w:w w:val="110"/>
                            <w:sz w:val="14"/>
                          </w:rPr>
                          <w:t>Plomo</w:t>
                        </w: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right="470"/>
                          <w:jc w:val="right"/>
                          <w:rPr>
                            <w:sz w:val="14"/>
                          </w:rPr>
                        </w:pPr>
                        <w:r>
                          <w:rPr>
                            <w:color w:val="231F20"/>
                            <w:w w:val="110"/>
                            <w:sz w:val="14"/>
                          </w:rPr>
                          <w:t>4º (313 325)</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80"/>
                          <w:rPr>
                            <w:sz w:val="14"/>
                          </w:rPr>
                        </w:pPr>
                        <w:r>
                          <w:rPr>
                            <w:color w:val="231F20"/>
                            <w:w w:val="115"/>
                            <w:sz w:val="14"/>
                          </w:rPr>
                          <w:t>1.09 (dólar/libra)</w:t>
                        </w:r>
                      </w:p>
                    </w:tc>
                    <w:tc>
                      <w:tcPr>
                        <w:tcW w:w="1515" w:type="dxa"/>
                      </w:tcPr>
                      <w:p>
                        <w:pPr>
                          <w:pStyle w:val="TableParagraph"/>
                          <w:spacing w:line="159" w:lineRule="exact"/>
                          <w:ind w:left="135" w:right="176"/>
                          <w:jc w:val="center"/>
                          <w:rPr>
                            <w:sz w:val="14"/>
                          </w:rPr>
                        </w:pPr>
                        <w:r>
                          <w:rPr>
                            <w:color w:val="231F20"/>
                            <w:w w:val="110"/>
                            <w:sz w:val="14"/>
                          </w:rPr>
                          <w:t>10.5 (34 600 Tm)</w:t>
                        </w:r>
                      </w:p>
                    </w:tc>
                    <w:tc>
                      <w:tcPr>
                        <w:tcW w:w="1438" w:type="dxa"/>
                      </w:tcPr>
                      <w:p>
                        <w:pPr>
                          <w:pStyle w:val="TableParagraph"/>
                          <w:spacing w:line="159" w:lineRule="exact"/>
                          <w:ind w:left="162" w:right="199"/>
                          <w:jc w:val="center"/>
                          <w:rPr>
                            <w:sz w:val="14"/>
                          </w:rPr>
                        </w:pPr>
                        <w:r>
                          <w:rPr>
                            <w:color w:val="231F20"/>
                            <w:w w:val="110"/>
                            <w:sz w:val="14"/>
                          </w:rPr>
                          <w:t>5º (3 500 000)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right="470"/>
                          <w:jc w:val="right"/>
                          <w:rPr>
                            <w:sz w:val="14"/>
                          </w:rPr>
                        </w:pPr>
                        <w:r>
                          <w:rPr>
                            <w:color w:val="231F20"/>
                            <w:w w:val="110"/>
                            <w:sz w:val="14"/>
                          </w:rPr>
                          <w:t>5º (120 000)</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10"/>
                            <w:sz w:val="14"/>
                          </w:rPr>
                          <w:t>41.3 (645 Tm)</w:t>
                        </w:r>
                      </w:p>
                    </w:tc>
                    <w:tc>
                      <w:tcPr>
                        <w:tcW w:w="1438" w:type="dxa"/>
                      </w:tcPr>
                      <w:p>
                        <w:pPr>
                          <w:pStyle w:val="TableParagraph"/>
                          <w:spacing w:line="159" w:lineRule="exact"/>
                          <w:ind w:left="162" w:right="199"/>
                          <w:jc w:val="center"/>
                          <w:rPr>
                            <w:sz w:val="14"/>
                          </w:rPr>
                        </w:pPr>
                        <w:r>
                          <w:rPr>
                            <w:color w:val="231F20"/>
                            <w:w w:val="110"/>
                            <w:sz w:val="14"/>
                          </w:rPr>
                          <w:t>6º (1 500 000)</w:t>
                        </w:r>
                      </w:p>
                    </w:tc>
                  </w:tr>
                  <w:tr>
                    <w:trPr>
                      <w:trHeight w:val="182" w:hRule="exact"/>
                    </w:trPr>
                    <w:tc>
                      <w:tcPr>
                        <w:tcW w:w="850" w:type="dxa"/>
                      </w:tcPr>
                      <w:p>
                        <w:pPr>
                          <w:pStyle w:val="TableParagraph"/>
                          <w:spacing w:line="159" w:lineRule="exact"/>
                          <w:ind w:left="40"/>
                          <w:rPr>
                            <w:sz w:val="14"/>
                          </w:rPr>
                        </w:pPr>
                        <w:r>
                          <w:rPr>
                            <w:color w:val="231F20"/>
                            <w:w w:val="115"/>
                            <w:sz w:val="14"/>
                          </w:rPr>
                          <w:t>Oro</w:t>
                        </w: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left="748"/>
                          <w:rPr>
                            <w:sz w:val="14"/>
                          </w:rPr>
                        </w:pPr>
                        <w:r>
                          <w:rPr>
                            <w:color w:val="231F20"/>
                            <w:w w:val="110"/>
                            <w:sz w:val="14"/>
                          </w:rPr>
                          <w:t>5º (203)</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55"/>
                          <w:rPr>
                            <w:sz w:val="14"/>
                          </w:rPr>
                        </w:pPr>
                        <w:r>
                          <w:rPr>
                            <w:color w:val="231F20"/>
                            <w:w w:val="115"/>
                            <w:sz w:val="14"/>
                          </w:rPr>
                          <w:t>675 dólar/onza</w:t>
                        </w:r>
                      </w:p>
                    </w:tc>
                    <w:tc>
                      <w:tcPr>
                        <w:tcW w:w="1515" w:type="dxa"/>
                      </w:tcPr>
                      <w:p>
                        <w:pPr>
                          <w:pStyle w:val="TableParagraph"/>
                          <w:spacing w:line="159" w:lineRule="exact"/>
                          <w:ind w:left="135" w:right="175"/>
                          <w:jc w:val="center"/>
                          <w:rPr>
                            <w:sz w:val="14"/>
                          </w:rPr>
                        </w:pPr>
                        <w:r>
                          <w:rPr>
                            <w:color w:val="231F20"/>
                            <w:w w:val="110"/>
                            <w:sz w:val="14"/>
                          </w:rPr>
                          <w:t>28 (72)</w:t>
                        </w:r>
                      </w:p>
                    </w:tc>
                    <w:tc>
                      <w:tcPr>
                        <w:tcW w:w="1438" w:type="dxa"/>
                      </w:tcPr>
                      <w:p>
                        <w:pPr>
                          <w:pStyle w:val="TableParagraph"/>
                          <w:spacing w:line="159" w:lineRule="exact"/>
                          <w:ind w:left="162" w:right="199"/>
                          <w:jc w:val="center"/>
                          <w:rPr>
                            <w:sz w:val="14"/>
                          </w:rPr>
                        </w:pPr>
                        <w:r>
                          <w:rPr>
                            <w:color w:val="231F20"/>
                            <w:w w:val="110"/>
                            <w:sz w:val="14"/>
                          </w:rPr>
                          <w:t>3º (3 500)</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Argentina</w:t>
                        </w:r>
                      </w:p>
                    </w:tc>
                    <w:tc>
                      <w:tcPr>
                        <w:tcW w:w="1850" w:type="dxa"/>
                      </w:tcPr>
                      <w:p>
                        <w:pPr>
                          <w:pStyle w:val="TableParagraph"/>
                          <w:spacing w:line="159" w:lineRule="exact"/>
                          <w:ind w:left="748"/>
                          <w:rPr>
                            <w:sz w:val="14"/>
                          </w:rPr>
                        </w:pPr>
                        <w:r>
                          <w:rPr>
                            <w:color w:val="231F20"/>
                            <w:w w:val="110"/>
                            <w:sz w:val="14"/>
                          </w:rPr>
                          <w:t>14º (45)</w:t>
                        </w:r>
                      </w:p>
                    </w:tc>
                    <w:tc>
                      <w:tcPr>
                        <w:tcW w:w="898" w:type="dxa"/>
                      </w:tcPr>
                      <w:p>
                        <w:pPr>
                          <w:pStyle w:val="TableParagraph"/>
                          <w:spacing w:line="159" w:lineRule="exact"/>
                          <w:ind w:right="346"/>
                          <w:jc w:val="right"/>
                          <w:rPr>
                            <w:sz w:val="14"/>
                          </w:rPr>
                        </w:pPr>
                        <w:r>
                          <w:rPr>
                            <w:color w:val="231F20"/>
                            <w:w w:val="110"/>
                            <w:sz w:val="14"/>
                          </w:rPr>
                          <w:t>2º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Chile</w:t>
                        </w:r>
                      </w:p>
                    </w:tc>
                    <w:tc>
                      <w:tcPr>
                        <w:tcW w:w="1850" w:type="dxa"/>
                      </w:tcPr>
                      <w:p>
                        <w:pPr>
                          <w:pStyle w:val="TableParagraph"/>
                          <w:spacing w:line="159" w:lineRule="exact"/>
                          <w:ind w:left="748"/>
                          <w:rPr>
                            <w:sz w:val="14"/>
                          </w:rPr>
                        </w:pPr>
                        <w:r>
                          <w:rPr>
                            <w:color w:val="231F20"/>
                            <w:w w:val="110"/>
                            <w:sz w:val="14"/>
                          </w:rPr>
                          <w:t>15º (42)</w:t>
                        </w:r>
                      </w:p>
                    </w:tc>
                    <w:tc>
                      <w:tcPr>
                        <w:tcW w:w="898" w:type="dxa"/>
                      </w:tcPr>
                      <w:p>
                        <w:pPr>
                          <w:pStyle w:val="TableParagraph"/>
                          <w:spacing w:line="159" w:lineRule="exact"/>
                          <w:ind w:right="346"/>
                          <w:jc w:val="right"/>
                          <w:rPr>
                            <w:sz w:val="14"/>
                          </w:rPr>
                        </w:pPr>
                        <w:r>
                          <w:rPr>
                            <w:color w:val="231F20"/>
                            <w:w w:val="110"/>
                            <w:sz w:val="14"/>
                          </w:rPr>
                          <w:t>3º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05"/>
                            <w:sz w:val="14"/>
                          </w:rPr>
                          <w:t>12</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694"/>
                          <w:rPr>
                            <w:sz w:val="14"/>
                          </w:rPr>
                        </w:pPr>
                        <w:r>
                          <w:rPr>
                            <w:color w:val="231F20"/>
                            <w:w w:val="110"/>
                            <w:sz w:val="14"/>
                          </w:rPr>
                          <w:t>16º (41.1)</w:t>
                        </w:r>
                      </w:p>
                    </w:tc>
                    <w:tc>
                      <w:tcPr>
                        <w:tcW w:w="898" w:type="dxa"/>
                      </w:tcPr>
                      <w:p>
                        <w:pPr>
                          <w:pStyle w:val="TableParagraph"/>
                          <w:spacing w:line="159" w:lineRule="exact"/>
                          <w:ind w:right="346"/>
                          <w:jc w:val="right"/>
                          <w:rPr>
                            <w:sz w:val="14"/>
                          </w:rPr>
                        </w:pPr>
                        <w:r>
                          <w:rPr>
                            <w:color w:val="231F20"/>
                            <w:w w:val="110"/>
                            <w:sz w:val="14"/>
                          </w:rPr>
                          <w:t>4º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10"/>
                            <w:sz w:val="14"/>
                          </w:rPr>
                          <w:t>Colombia</w:t>
                        </w:r>
                      </w:p>
                    </w:tc>
                    <w:tc>
                      <w:tcPr>
                        <w:tcW w:w="1850" w:type="dxa"/>
                      </w:tcPr>
                      <w:p>
                        <w:pPr>
                          <w:pStyle w:val="TableParagraph"/>
                          <w:spacing w:line="159" w:lineRule="exact"/>
                          <w:ind w:left="748"/>
                          <w:rPr>
                            <w:sz w:val="14"/>
                          </w:rPr>
                        </w:pPr>
                        <w:r>
                          <w:rPr>
                            <w:color w:val="231F20"/>
                            <w:w w:val="110"/>
                            <w:sz w:val="14"/>
                          </w:rPr>
                          <w:t>17º (40)</w:t>
                        </w:r>
                      </w:p>
                    </w:tc>
                    <w:tc>
                      <w:tcPr>
                        <w:tcW w:w="898" w:type="dxa"/>
                      </w:tcPr>
                      <w:p>
                        <w:pPr>
                          <w:pStyle w:val="TableParagraph"/>
                          <w:spacing w:line="159" w:lineRule="exact"/>
                          <w:ind w:right="346"/>
                          <w:jc w:val="right"/>
                          <w:rPr>
                            <w:sz w:val="14"/>
                          </w:rPr>
                        </w:pPr>
                        <w:r>
                          <w:rPr>
                            <w:color w:val="231F20"/>
                            <w:w w:val="110"/>
                            <w:sz w:val="14"/>
                          </w:rPr>
                          <w:t>5º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05"/>
                            <w:sz w:val="14"/>
                          </w:rPr>
                          <w:t>3.3</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
                    </w:tc>
                    <w:tc>
                      <w:tcPr>
                        <w:tcW w:w="1327" w:type="dxa"/>
                      </w:tcPr>
                      <w:p>
                        <w:pPr>
                          <w:pStyle w:val="TableParagraph"/>
                          <w:spacing w:line="159" w:lineRule="exact"/>
                          <w:ind w:left="149"/>
                          <w:rPr>
                            <w:sz w:val="14"/>
                          </w:rPr>
                        </w:pPr>
                        <w:r>
                          <w:rPr>
                            <w:color w:val="231F20"/>
                            <w:w w:val="105"/>
                            <w:sz w:val="14"/>
                          </w:rPr>
                          <w:t>México</w:t>
                        </w:r>
                      </w:p>
                    </w:tc>
                    <w:tc>
                      <w:tcPr>
                        <w:tcW w:w="1850" w:type="dxa"/>
                      </w:tcPr>
                      <w:p>
                        <w:pPr>
                          <w:pStyle w:val="TableParagraph"/>
                          <w:spacing w:line="159" w:lineRule="exact"/>
                          <w:ind w:left="748"/>
                          <w:rPr>
                            <w:sz w:val="14"/>
                          </w:rPr>
                        </w:pPr>
                        <w:r>
                          <w:rPr>
                            <w:color w:val="231F20"/>
                            <w:w w:val="110"/>
                            <w:sz w:val="14"/>
                          </w:rPr>
                          <w:t>17º (40)</w:t>
                        </w:r>
                      </w:p>
                    </w:tc>
                    <w:tc>
                      <w:tcPr>
                        <w:tcW w:w="898" w:type="dxa"/>
                      </w:tcPr>
                      <w:p>
                        <w:pPr>
                          <w:pStyle w:val="TableParagraph"/>
                          <w:spacing w:line="159" w:lineRule="exact"/>
                          <w:ind w:right="346"/>
                          <w:jc w:val="right"/>
                          <w:rPr>
                            <w:sz w:val="14"/>
                          </w:rPr>
                        </w:pPr>
                        <w:r>
                          <w:rPr>
                            <w:color w:val="231F20"/>
                            <w:w w:val="110"/>
                            <w:sz w:val="14"/>
                          </w:rPr>
                          <w:t>5º</w:t>
                        </w:r>
                      </w:p>
                    </w:tc>
                    <w:tc>
                      <w:tcPr>
                        <w:tcW w:w="1670" w:type="dxa"/>
                      </w:tcPr>
                      <w:p>
                        <w:pPr>
                          <w:pStyle w:val="TableParagraph"/>
                          <w:spacing w:line="159" w:lineRule="exact"/>
                          <w:ind w:left="825" w:right="638"/>
                          <w:jc w:val="center"/>
                          <w:rPr>
                            <w:sz w:val="14"/>
                          </w:rPr>
                        </w:pPr>
                        <w:r>
                          <w:rPr>
                            <w:color w:val="231F20"/>
                            <w:w w:val="110"/>
                            <w:sz w:val="14"/>
                          </w:rPr>
                          <w:t>Id.</w:t>
                        </w:r>
                      </w:p>
                    </w:tc>
                    <w:tc>
                      <w:tcPr>
                        <w:tcW w:w="1515" w:type="dxa"/>
                      </w:tcPr>
                      <w:p>
                        <w:pPr>
                          <w:pStyle w:val="TableParagraph"/>
                          <w:spacing w:line="159" w:lineRule="exact"/>
                          <w:ind w:left="135" w:right="175"/>
                          <w:jc w:val="center"/>
                          <w:rPr>
                            <w:sz w:val="14"/>
                          </w:rPr>
                        </w:pPr>
                        <w:r>
                          <w:rPr>
                            <w:color w:val="231F20"/>
                            <w:w w:val="105"/>
                            <w:sz w:val="14"/>
                          </w:rPr>
                          <w:t>18</w:t>
                        </w:r>
                      </w:p>
                    </w:tc>
                    <w:tc>
                      <w:tcPr>
                        <w:tcW w:w="1438" w:type="dxa"/>
                      </w:tcPr>
                      <w:p>
                        <w:pPr>
                          <w:pStyle w:val="TableParagraph"/>
                          <w:spacing w:line="159" w:lineRule="exact"/>
                          <w:ind w:left="578"/>
                          <w:rPr>
                            <w:sz w:val="14"/>
                          </w:rPr>
                        </w:pPr>
                        <w:r>
                          <w:rPr>
                            <w:color w:val="231F20"/>
                            <w:w w:val="105"/>
                            <w:sz w:val="14"/>
                          </w:rPr>
                          <w:t>s. d.</w:t>
                        </w:r>
                      </w:p>
                    </w:tc>
                  </w:tr>
                  <w:tr>
                    <w:trPr>
                      <w:trHeight w:val="182" w:hRule="exact"/>
                    </w:trPr>
                    <w:tc>
                      <w:tcPr>
                        <w:tcW w:w="850" w:type="dxa"/>
                      </w:tcPr>
                      <w:p>
                        <w:pPr>
                          <w:pStyle w:val="TableParagraph"/>
                          <w:spacing w:line="159" w:lineRule="exact"/>
                          <w:ind w:left="40"/>
                          <w:rPr>
                            <w:sz w:val="14"/>
                          </w:rPr>
                        </w:pPr>
                        <w:r>
                          <w:rPr>
                            <w:color w:val="231F20"/>
                            <w:w w:val="110"/>
                            <w:sz w:val="14"/>
                          </w:rPr>
                          <w:t>Tantalio</w:t>
                        </w: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748"/>
                          <w:rPr>
                            <w:sz w:val="14"/>
                          </w:rPr>
                        </w:pPr>
                        <w:r>
                          <w:rPr>
                            <w:color w:val="231F20"/>
                            <w:w w:val="110"/>
                            <w:sz w:val="14"/>
                          </w:rPr>
                          <w:t>3º (180)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34"/>
                          <w:rPr>
                            <w:sz w:val="14"/>
                          </w:rPr>
                        </w:pPr>
                        <w:r>
                          <w:rPr>
                            <w:color w:val="231F20"/>
                            <w:w w:val="115"/>
                            <w:sz w:val="14"/>
                          </w:rPr>
                          <w:t>36 (dólar/libra)</w:t>
                        </w:r>
                      </w:p>
                    </w:tc>
                    <w:tc>
                      <w:tcPr>
                        <w:tcW w:w="1515" w:type="dxa"/>
                      </w:tcPr>
                      <w:p>
                        <w:pPr>
                          <w:pStyle w:val="TableParagraph"/>
                          <w:spacing w:line="159" w:lineRule="exact"/>
                          <w:ind w:left="135" w:right="175"/>
                          <w:jc w:val="center"/>
                          <w:rPr>
                            <w:sz w:val="14"/>
                          </w:rPr>
                        </w:pPr>
                        <w:r>
                          <w:rPr>
                            <w:color w:val="231F20"/>
                            <w:w w:val="110"/>
                            <w:sz w:val="14"/>
                          </w:rPr>
                          <w:t>12 (s. d.)</w:t>
                        </w:r>
                      </w:p>
                    </w:tc>
                    <w:tc>
                      <w:tcPr>
                        <w:tcW w:w="1438" w:type="dxa"/>
                      </w:tcPr>
                      <w:p>
                        <w:pPr>
                          <w:pStyle w:val="TableParagraph"/>
                          <w:spacing w:line="159" w:lineRule="exact"/>
                          <w:ind w:left="162" w:right="199"/>
                          <w:jc w:val="center"/>
                          <w:rPr>
                            <w:sz w:val="14"/>
                          </w:rPr>
                        </w:pPr>
                        <w:r>
                          <w:rPr>
                            <w:color w:val="231F20"/>
                            <w:w w:val="110"/>
                            <w:sz w:val="14"/>
                          </w:rPr>
                          <w:t>1º (88 000)</w:t>
                        </w:r>
                      </w:p>
                    </w:tc>
                  </w:tr>
                  <w:tr>
                    <w:trPr>
                      <w:trHeight w:val="182" w:hRule="exact"/>
                    </w:trPr>
                    <w:tc>
                      <w:tcPr>
                        <w:tcW w:w="850" w:type="dxa"/>
                      </w:tcPr>
                      <w:p>
                        <w:pPr>
                          <w:pStyle w:val="TableParagraph"/>
                          <w:spacing w:line="159" w:lineRule="exact"/>
                          <w:ind w:left="40"/>
                          <w:rPr>
                            <w:sz w:val="14"/>
                          </w:rPr>
                        </w:pPr>
                        <w:r>
                          <w:rPr>
                            <w:color w:val="231F20"/>
                            <w:w w:val="110"/>
                            <w:sz w:val="14"/>
                          </w:rPr>
                          <w:t>Torio</w:t>
                        </w: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748"/>
                          <w:rPr>
                            <w:sz w:val="14"/>
                          </w:rPr>
                        </w:pPr>
                        <w:r>
                          <w:rPr>
                            <w:color w:val="231F20"/>
                            <w:w w:val="110"/>
                            <w:sz w:val="14"/>
                          </w:rPr>
                          <w:t>2º (900)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55"/>
                          <w:rPr>
                            <w:sz w:val="14"/>
                          </w:rPr>
                        </w:pPr>
                        <w:r>
                          <w:rPr>
                            <w:color w:val="231F20"/>
                            <w:w w:val="115"/>
                            <w:sz w:val="14"/>
                          </w:rPr>
                          <w:t>200 (dólar/Kg)</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162" w:right="199"/>
                          <w:jc w:val="center"/>
                          <w:rPr>
                            <w:sz w:val="14"/>
                          </w:rPr>
                        </w:pPr>
                        <w:r>
                          <w:rPr>
                            <w:color w:val="231F20"/>
                            <w:w w:val="110"/>
                            <w:sz w:val="14"/>
                          </w:rPr>
                          <w:t>8º (16 000)</w:t>
                        </w:r>
                      </w:p>
                    </w:tc>
                  </w:tr>
                  <w:tr>
                    <w:trPr>
                      <w:trHeight w:val="182" w:hRule="exact"/>
                    </w:trPr>
                    <w:tc>
                      <w:tcPr>
                        <w:tcW w:w="850" w:type="dxa"/>
                      </w:tcPr>
                      <w:p>
                        <w:pPr>
                          <w:pStyle w:val="TableParagraph"/>
                          <w:spacing w:line="159" w:lineRule="exact"/>
                          <w:ind w:left="40"/>
                          <w:rPr>
                            <w:sz w:val="14"/>
                          </w:rPr>
                        </w:pPr>
                        <w:r>
                          <w:rPr>
                            <w:color w:val="231F20"/>
                            <w:w w:val="110"/>
                            <w:sz w:val="14"/>
                          </w:rPr>
                          <w:t>Tungsteno</w:t>
                        </w:r>
                      </w:p>
                    </w:tc>
                    <w:tc>
                      <w:tcPr>
                        <w:tcW w:w="1327" w:type="dxa"/>
                      </w:tcPr>
                      <w:p>
                        <w:pPr>
                          <w:pStyle w:val="TableParagraph"/>
                          <w:spacing w:line="159" w:lineRule="exact"/>
                          <w:ind w:left="149"/>
                          <w:rPr>
                            <w:sz w:val="14"/>
                          </w:rPr>
                        </w:pPr>
                        <w:r>
                          <w:rPr>
                            <w:color w:val="231F20"/>
                            <w:sz w:val="14"/>
                          </w:rPr>
                          <w:t>Bolivia</w:t>
                        </w:r>
                      </w:p>
                    </w:tc>
                    <w:tc>
                      <w:tcPr>
                        <w:tcW w:w="1850" w:type="dxa"/>
                      </w:tcPr>
                      <w:p>
                        <w:pPr>
                          <w:pStyle w:val="TableParagraph"/>
                          <w:spacing w:line="159" w:lineRule="exact"/>
                          <w:ind w:left="748"/>
                          <w:rPr>
                            <w:sz w:val="14"/>
                          </w:rPr>
                        </w:pPr>
                        <w:r>
                          <w:rPr>
                            <w:color w:val="231F20"/>
                            <w:w w:val="110"/>
                            <w:sz w:val="14"/>
                          </w:rPr>
                          <w:t>5º (868)</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15"/>
                          <w:rPr>
                            <w:sz w:val="14"/>
                          </w:rPr>
                        </w:pPr>
                        <w:r>
                          <w:rPr>
                            <w:color w:val="231F20"/>
                            <w:w w:val="115"/>
                            <w:sz w:val="14"/>
                          </w:rPr>
                          <w:t>190 (dólar/mtu)</w:t>
                        </w:r>
                      </w:p>
                    </w:tc>
                    <w:tc>
                      <w:tcPr>
                        <w:tcW w:w="1515" w:type="dxa"/>
                      </w:tcPr>
                      <w:p>
                        <w:pPr>
                          <w:pStyle w:val="TableParagraph"/>
                          <w:spacing w:line="159" w:lineRule="exact"/>
                          <w:ind w:left="135" w:right="175"/>
                          <w:jc w:val="center"/>
                          <w:rPr>
                            <w:sz w:val="14"/>
                          </w:rPr>
                        </w:pPr>
                        <w:r>
                          <w:rPr>
                            <w:color w:val="231F20"/>
                            <w:w w:val="110"/>
                            <w:sz w:val="14"/>
                          </w:rPr>
                          <w:t>37 (845)</w:t>
                        </w:r>
                      </w:p>
                    </w:tc>
                    <w:tc>
                      <w:tcPr>
                        <w:tcW w:w="1438" w:type="dxa"/>
                      </w:tcPr>
                      <w:p>
                        <w:pPr>
                          <w:pStyle w:val="TableParagraph"/>
                          <w:spacing w:line="159" w:lineRule="exact"/>
                          <w:ind w:left="162" w:right="199"/>
                          <w:jc w:val="center"/>
                          <w:rPr>
                            <w:sz w:val="14"/>
                          </w:rPr>
                        </w:pPr>
                        <w:r>
                          <w:rPr>
                            <w:color w:val="231F20"/>
                            <w:w w:val="110"/>
                            <w:sz w:val="14"/>
                          </w:rPr>
                          <w:t>5º (53 000)</w:t>
                        </w:r>
                      </w:p>
                    </w:tc>
                  </w:tr>
                  <w:tr>
                    <w:trPr>
                      <w:trHeight w:val="182" w:hRule="exact"/>
                    </w:trPr>
                    <w:tc>
                      <w:tcPr>
                        <w:tcW w:w="850" w:type="dxa"/>
                      </w:tcPr>
                      <w:p>
                        <w:pPr>
                          <w:pStyle w:val="TableParagraph"/>
                          <w:spacing w:line="159" w:lineRule="exact"/>
                          <w:ind w:left="40"/>
                          <w:rPr>
                            <w:sz w:val="14"/>
                          </w:rPr>
                        </w:pPr>
                        <w:r>
                          <w:rPr>
                            <w:color w:val="231F20"/>
                            <w:w w:val="110"/>
                            <w:sz w:val="14"/>
                          </w:rPr>
                          <w:t>Uranio</w:t>
                        </w:r>
                      </w:p>
                    </w:tc>
                    <w:tc>
                      <w:tcPr>
                        <w:tcW w:w="1327" w:type="dxa"/>
                      </w:tcPr>
                      <w:p>
                        <w:pPr>
                          <w:pStyle w:val="TableParagraph"/>
                          <w:spacing w:line="159" w:lineRule="exact"/>
                          <w:ind w:left="149"/>
                          <w:rPr>
                            <w:sz w:val="14"/>
                          </w:rPr>
                        </w:pPr>
                        <w:r>
                          <w:rPr>
                            <w:color w:val="231F20"/>
                            <w:sz w:val="14"/>
                          </w:rPr>
                          <w:t>Brasil</w:t>
                        </w:r>
                      </w:p>
                    </w:tc>
                    <w:tc>
                      <w:tcPr>
                        <w:tcW w:w="1850" w:type="dxa"/>
                      </w:tcPr>
                      <w:p>
                        <w:pPr>
                          <w:pStyle w:val="TableParagraph"/>
                          <w:spacing w:line="159" w:lineRule="exact"/>
                          <w:ind w:left="712"/>
                          <w:rPr>
                            <w:sz w:val="14"/>
                          </w:rPr>
                        </w:pPr>
                        <w:r>
                          <w:rPr>
                            <w:color w:val="231F20"/>
                            <w:w w:val="110"/>
                            <w:sz w:val="14"/>
                          </w:rPr>
                          <w:t>13º (300)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455"/>
                          <w:rPr>
                            <w:sz w:val="14"/>
                          </w:rPr>
                        </w:pPr>
                        <w:r>
                          <w:rPr>
                            <w:color w:val="231F20"/>
                            <w:w w:val="115"/>
                            <w:sz w:val="14"/>
                          </w:rPr>
                          <w:t>130 (dólar/Kg)</w:t>
                        </w:r>
                      </w:p>
                    </w:tc>
                    <w:tc>
                      <w:tcPr>
                        <w:tcW w:w="1515" w:type="dxa"/>
                      </w:tcPr>
                      <w:p>
                        <w:pPr>
                          <w:pStyle w:val="TableParagraph"/>
                          <w:spacing w:line="159" w:lineRule="exact"/>
                          <w:ind w:left="616"/>
                          <w:rPr>
                            <w:sz w:val="14"/>
                          </w:rPr>
                        </w:pPr>
                        <w:r>
                          <w:rPr>
                            <w:color w:val="231F20"/>
                            <w:w w:val="105"/>
                            <w:sz w:val="14"/>
                          </w:rPr>
                          <w:t>s. d.</w:t>
                        </w:r>
                      </w:p>
                    </w:tc>
                    <w:tc>
                      <w:tcPr>
                        <w:tcW w:w="1438" w:type="dxa"/>
                      </w:tcPr>
                      <w:p>
                        <w:pPr>
                          <w:pStyle w:val="TableParagraph"/>
                          <w:spacing w:line="159" w:lineRule="exact"/>
                          <w:ind w:left="162" w:right="199"/>
                          <w:jc w:val="center"/>
                          <w:rPr>
                            <w:sz w:val="14"/>
                          </w:rPr>
                        </w:pPr>
                        <w:r>
                          <w:rPr>
                            <w:color w:val="231F20"/>
                            <w:w w:val="110"/>
                            <w:sz w:val="14"/>
                          </w:rPr>
                          <w:t>(278 000)</w:t>
                        </w:r>
                      </w:p>
                    </w:tc>
                  </w:tr>
                  <w:tr>
                    <w:trPr>
                      <w:trHeight w:val="182" w:hRule="exact"/>
                    </w:trPr>
                    <w:tc>
                      <w:tcPr>
                        <w:tcW w:w="850" w:type="dxa"/>
                      </w:tcPr>
                      <w:p>
                        <w:pPr>
                          <w:pStyle w:val="TableParagraph"/>
                          <w:spacing w:line="159" w:lineRule="exact"/>
                          <w:ind w:left="40"/>
                          <w:rPr>
                            <w:sz w:val="14"/>
                          </w:rPr>
                        </w:pPr>
                        <w:r>
                          <w:rPr>
                            <w:color w:val="231F20"/>
                            <w:w w:val="105"/>
                            <w:sz w:val="14"/>
                          </w:rPr>
                          <w:t>Zinc</w:t>
                        </w:r>
                      </w:p>
                    </w:tc>
                    <w:tc>
                      <w:tcPr>
                        <w:tcW w:w="1327" w:type="dxa"/>
                      </w:tcPr>
                      <w:p>
                        <w:pPr>
                          <w:pStyle w:val="TableParagraph"/>
                          <w:spacing w:line="159" w:lineRule="exact"/>
                          <w:ind w:left="149"/>
                          <w:rPr>
                            <w:sz w:val="14"/>
                          </w:rPr>
                        </w:pPr>
                        <w:r>
                          <w:rPr>
                            <w:color w:val="231F20"/>
                            <w:w w:val="110"/>
                            <w:sz w:val="14"/>
                          </w:rPr>
                          <w:t>Perú</w:t>
                        </w:r>
                      </w:p>
                    </w:tc>
                    <w:tc>
                      <w:tcPr>
                        <w:tcW w:w="1850" w:type="dxa"/>
                      </w:tcPr>
                      <w:p>
                        <w:pPr>
                          <w:pStyle w:val="TableParagraph"/>
                          <w:spacing w:line="159" w:lineRule="exact"/>
                          <w:ind w:right="415"/>
                          <w:jc w:val="right"/>
                          <w:rPr>
                            <w:sz w:val="14"/>
                          </w:rPr>
                        </w:pPr>
                        <w:r>
                          <w:rPr>
                            <w:color w:val="231F20"/>
                            <w:w w:val="110"/>
                            <w:sz w:val="14"/>
                          </w:rPr>
                          <w:t>3º (1 500 000)</w:t>
                        </w:r>
                      </w:p>
                    </w:tc>
                    <w:tc>
                      <w:tcPr>
                        <w:tcW w:w="898" w:type="dxa"/>
                      </w:tcPr>
                      <w:p>
                        <w:pPr>
                          <w:pStyle w:val="TableParagraph"/>
                          <w:spacing w:line="159" w:lineRule="exact"/>
                          <w:ind w:right="346"/>
                          <w:jc w:val="right"/>
                          <w:rPr>
                            <w:sz w:val="14"/>
                          </w:rPr>
                        </w:pPr>
                        <w:r>
                          <w:rPr>
                            <w:color w:val="231F20"/>
                            <w:w w:val="110"/>
                            <w:sz w:val="14"/>
                          </w:rPr>
                          <w:t>1º</w:t>
                        </w:r>
                      </w:p>
                    </w:tc>
                    <w:tc>
                      <w:tcPr>
                        <w:tcW w:w="1670" w:type="dxa"/>
                      </w:tcPr>
                      <w:p>
                        <w:pPr>
                          <w:pStyle w:val="TableParagraph"/>
                          <w:spacing w:line="159" w:lineRule="exact"/>
                          <w:ind w:left="380"/>
                          <w:rPr>
                            <w:sz w:val="14"/>
                          </w:rPr>
                        </w:pPr>
                        <w:r>
                          <w:rPr>
                            <w:color w:val="231F20"/>
                            <w:w w:val="115"/>
                            <w:sz w:val="14"/>
                          </w:rPr>
                          <w:t>1.51 (dólar/libra)</w:t>
                        </w:r>
                      </w:p>
                    </w:tc>
                    <w:tc>
                      <w:tcPr>
                        <w:tcW w:w="1515" w:type="dxa"/>
                      </w:tcPr>
                      <w:p>
                        <w:pPr>
                          <w:pStyle w:val="TableParagraph"/>
                          <w:spacing w:line="159" w:lineRule="exact"/>
                          <w:ind w:left="135" w:right="175"/>
                          <w:jc w:val="center"/>
                          <w:rPr>
                            <w:sz w:val="14"/>
                          </w:rPr>
                        </w:pPr>
                        <w:r>
                          <w:rPr>
                            <w:color w:val="231F20"/>
                            <w:w w:val="110"/>
                            <w:sz w:val="14"/>
                          </w:rPr>
                          <w:t>71 (s. d.)</w:t>
                        </w:r>
                      </w:p>
                    </w:tc>
                    <w:tc>
                      <w:tcPr>
                        <w:tcW w:w="1438" w:type="dxa"/>
                      </w:tcPr>
                      <w:p>
                        <w:pPr>
                          <w:pStyle w:val="TableParagraph"/>
                          <w:spacing w:line="159" w:lineRule="exact"/>
                          <w:ind w:left="162" w:right="199"/>
                          <w:jc w:val="center"/>
                          <w:rPr>
                            <w:sz w:val="14"/>
                          </w:rPr>
                        </w:pPr>
                        <w:r>
                          <w:rPr>
                            <w:color w:val="231F20"/>
                            <w:w w:val="110"/>
                            <w:sz w:val="14"/>
                          </w:rPr>
                          <w:t>2º (18 000 000)</w:t>
                        </w:r>
                      </w:p>
                    </w:tc>
                  </w:tr>
                  <w:tr>
                    <w:trPr>
                      <w:trHeight w:val="184" w:hRule="exact"/>
                    </w:trPr>
                    <w:tc>
                      <w:tcPr>
                        <w:tcW w:w="850" w:type="dxa"/>
                        <w:tcBorders>
                          <w:bottom w:val="single" w:sz="4" w:space="0" w:color="231F20"/>
                        </w:tcBorders>
                      </w:tcPr>
                      <w:p>
                        <w:pPr/>
                      </w:p>
                    </w:tc>
                    <w:tc>
                      <w:tcPr>
                        <w:tcW w:w="1327" w:type="dxa"/>
                        <w:tcBorders>
                          <w:bottom w:val="single" w:sz="4" w:space="0" w:color="231F20"/>
                        </w:tcBorders>
                      </w:tcPr>
                      <w:p>
                        <w:pPr>
                          <w:pStyle w:val="TableParagraph"/>
                          <w:spacing w:line="178" w:lineRule="exact"/>
                          <w:ind w:left="149"/>
                          <w:rPr>
                            <w:sz w:val="16"/>
                          </w:rPr>
                        </w:pPr>
                        <w:r>
                          <w:rPr>
                            <w:color w:val="231F20"/>
                            <w:w w:val="105"/>
                            <w:sz w:val="16"/>
                          </w:rPr>
                          <w:t>México</w:t>
                        </w:r>
                      </w:p>
                    </w:tc>
                    <w:tc>
                      <w:tcPr>
                        <w:tcW w:w="1850" w:type="dxa"/>
                        <w:tcBorders>
                          <w:bottom w:val="single" w:sz="4" w:space="0" w:color="231F20"/>
                        </w:tcBorders>
                      </w:tcPr>
                      <w:p>
                        <w:pPr>
                          <w:pStyle w:val="TableParagraph"/>
                          <w:spacing w:line="178" w:lineRule="exact"/>
                          <w:ind w:right="416"/>
                          <w:jc w:val="right"/>
                          <w:rPr>
                            <w:sz w:val="16"/>
                          </w:rPr>
                        </w:pPr>
                        <w:r>
                          <w:rPr>
                            <w:color w:val="231F20"/>
                            <w:w w:val="110"/>
                            <w:sz w:val="16"/>
                          </w:rPr>
                          <w:t>6º (480 000)</w:t>
                        </w:r>
                      </w:p>
                    </w:tc>
                    <w:tc>
                      <w:tcPr>
                        <w:tcW w:w="898" w:type="dxa"/>
                        <w:tcBorders>
                          <w:bottom w:val="single" w:sz="4" w:space="0" w:color="231F20"/>
                        </w:tcBorders>
                      </w:tcPr>
                      <w:p>
                        <w:pPr>
                          <w:pStyle w:val="TableParagraph"/>
                          <w:spacing w:line="178" w:lineRule="exact"/>
                          <w:ind w:right="337"/>
                          <w:jc w:val="right"/>
                          <w:rPr>
                            <w:sz w:val="16"/>
                          </w:rPr>
                        </w:pPr>
                        <w:r>
                          <w:rPr>
                            <w:color w:val="231F20"/>
                            <w:w w:val="105"/>
                            <w:sz w:val="16"/>
                          </w:rPr>
                          <w:t>2º</w:t>
                        </w:r>
                      </w:p>
                    </w:tc>
                    <w:tc>
                      <w:tcPr>
                        <w:tcW w:w="1670" w:type="dxa"/>
                        <w:tcBorders>
                          <w:bottom w:val="single" w:sz="4" w:space="0" w:color="231F20"/>
                        </w:tcBorders>
                      </w:tcPr>
                      <w:p>
                        <w:pPr>
                          <w:pStyle w:val="TableParagraph"/>
                          <w:spacing w:line="178" w:lineRule="exact"/>
                          <w:ind w:left="825" w:right="638"/>
                          <w:jc w:val="center"/>
                          <w:rPr>
                            <w:sz w:val="16"/>
                          </w:rPr>
                        </w:pPr>
                        <w:r>
                          <w:rPr>
                            <w:color w:val="231F20"/>
                            <w:w w:val="115"/>
                            <w:sz w:val="16"/>
                          </w:rPr>
                          <w:t>Id</w:t>
                        </w:r>
                      </w:p>
                    </w:tc>
                    <w:tc>
                      <w:tcPr>
                        <w:tcW w:w="1515" w:type="dxa"/>
                        <w:tcBorders>
                          <w:bottom w:val="single" w:sz="4" w:space="0" w:color="231F20"/>
                        </w:tcBorders>
                      </w:tcPr>
                      <w:p>
                        <w:pPr>
                          <w:pStyle w:val="TableParagraph"/>
                          <w:spacing w:line="178" w:lineRule="exact"/>
                          <w:ind w:left="135" w:right="175"/>
                          <w:jc w:val="center"/>
                          <w:rPr>
                            <w:sz w:val="16"/>
                          </w:rPr>
                        </w:pPr>
                        <w:r>
                          <w:rPr>
                            <w:color w:val="231F20"/>
                            <w:w w:val="110"/>
                            <w:sz w:val="16"/>
                          </w:rPr>
                          <w:t>14 (s. d.)</w:t>
                        </w:r>
                      </w:p>
                    </w:tc>
                    <w:tc>
                      <w:tcPr>
                        <w:tcW w:w="1438" w:type="dxa"/>
                        <w:tcBorders>
                          <w:bottom w:val="single" w:sz="4" w:space="0" w:color="231F20"/>
                        </w:tcBorders>
                      </w:tcPr>
                      <w:p>
                        <w:pPr>
                          <w:pStyle w:val="TableParagraph"/>
                          <w:spacing w:line="178" w:lineRule="exact"/>
                          <w:ind w:left="162" w:right="199"/>
                          <w:jc w:val="center"/>
                          <w:rPr>
                            <w:sz w:val="16"/>
                          </w:rPr>
                        </w:pPr>
                        <w:r>
                          <w:rPr>
                            <w:color w:val="231F20"/>
                            <w:w w:val="110"/>
                            <w:sz w:val="16"/>
                          </w:rPr>
                          <w:t>5º (7 000 000)</w:t>
                        </w:r>
                      </w:p>
                    </w:tc>
                  </w:tr>
                </w:tbl>
                <w:p>
                  <w:pPr>
                    <w:pStyle w:val="BodyText"/>
                  </w:pPr>
                </w:p>
              </w:txbxContent>
            </v:textbox>
            <w10:wrap type="none"/>
          </v:shape>
        </w:pict>
      </w:r>
      <w:r>
        <w:rPr>
          <w:rFonts w:ascii="Calibri" w:hAnsi="Calibri"/>
          <w:color w:val="231F20"/>
          <w:w w:val="105"/>
          <w:sz w:val="18"/>
        </w:rPr>
        <w:t>fuente: </w:t>
      </w:r>
      <w:r>
        <w:rPr>
          <w:color w:val="231F20"/>
          <w:w w:val="105"/>
          <w:sz w:val="18"/>
        </w:rPr>
        <w:t>elaboración propia con datos de </w:t>
      </w:r>
      <w:r>
        <w:rPr>
          <w:i/>
          <w:color w:val="231F20"/>
          <w:w w:val="105"/>
          <w:sz w:val="18"/>
        </w:rPr>
        <w:t>Mineral Resources Program, United States Geological Survey</w:t>
      </w:r>
      <w:r>
        <w:rPr>
          <w:color w:val="231F20"/>
          <w:w w:val="105"/>
          <w:sz w:val="18"/>
        </w:rPr>
        <w:t>, por mineral y por país, 2006 y 2007; fuentes oficiales de los respectivos gobiernos; cepal.</w:t>
      </w:r>
    </w:p>
    <w:p>
      <w:pPr>
        <w:spacing w:after="0" w:line="276" w:lineRule="auto"/>
        <w:jc w:val="left"/>
        <w:rPr>
          <w:sz w:val="18"/>
        </w:rPr>
        <w:sectPr>
          <w:type w:val="continuous"/>
          <w:pgSz w:w="11900" w:h="7640" w:orient="landscape"/>
          <w:pgMar w:top="980" w:bottom="280" w:left="640" w:right="1060"/>
        </w:sectPr>
      </w:pPr>
    </w:p>
    <w:p>
      <w:pPr>
        <w:pStyle w:val="BodyText"/>
        <w:spacing w:before="8"/>
        <w:rPr>
          <w:sz w:val="8"/>
        </w:rPr>
      </w:pPr>
    </w:p>
    <w:p>
      <w:pPr>
        <w:pStyle w:val="BodyText"/>
        <w:spacing w:line="261" w:lineRule="auto" w:before="67"/>
        <w:ind w:left="100" w:right="117" w:firstLine="240"/>
        <w:jc w:val="both"/>
      </w:pPr>
      <w:r>
        <w:rPr>
          <w:color w:val="231F20"/>
          <w:w w:val="105"/>
        </w:rPr>
        <w:t>¿Acaso podemos pensar que Estados Unidos va a abandonar la disputa por los recursos estratégicos de la región? ¿O que esta región tiene un papel secundario en la competencia interbloques que en- frenta Estados Unidos? Una cosa es que el alca se encuentre ahora paralizado por los contrapesos  del  cambio  político  latinoamericano de los últimos años (Venezuela, Bolivia, Brasil o Ecuador) pero no podemos confundir este hecho con una falta de interés hacia América Latina. Las intervenciones desestabilizadoras en Venezuela, Bolivia y Honduras así como el injerencismo en Colombia y México no pueden analizarse al margen de la geopolítica estadunidense en la región y    sus  intereses</w:t>
      </w:r>
      <w:r>
        <w:rPr>
          <w:color w:val="231F20"/>
          <w:spacing w:val="42"/>
          <w:w w:val="105"/>
        </w:rPr>
        <w:t> </w:t>
      </w:r>
      <w:r>
        <w:rPr>
          <w:color w:val="231F20"/>
          <w:w w:val="105"/>
        </w:rPr>
        <w:t>geoeconómicos.</w:t>
      </w:r>
    </w:p>
    <w:p>
      <w:pPr>
        <w:pStyle w:val="BodyText"/>
      </w:pPr>
    </w:p>
    <w:p>
      <w:pPr>
        <w:pStyle w:val="BodyText"/>
      </w:pPr>
    </w:p>
    <w:p>
      <w:pPr>
        <w:pStyle w:val="BodyText"/>
        <w:spacing w:before="2"/>
        <w:rPr>
          <w:sz w:val="25"/>
        </w:rPr>
      </w:pPr>
    </w:p>
    <w:p>
      <w:pPr>
        <w:pStyle w:val="BodyText"/>
        <w:spacing w:line="261" w:lineRule="auto"/>
        <w:ind w:left="100" w:right="1594"/>
      </w:pPr>
      <w:r>
        <w:rPr>
          <w:color w:val="231F20"/>
          <w:w w:val="120"/>
        </w:rPr>
        <w:t>seguridad hemisférica y comercio continental: dos caras de una misma moneda</w:t>
      </w:r>
    </w:p>
    <w:p>
      <w:pPr>
        <w:pStyle w:val="BodyText"/>
        <w:spacing w:before="8"/>
        <w:rPr>
          <w:sz w:val="21"/>
        </w:rPr>
      </w:pPr>
    </w:p>
    <w:p>
      <w:pPr>
        <w:pStyle w:val="BodyText"/>
        <w:spacing w:line="261" w:lineRule="auto"/>
        <w:ind w:left="100" w:right="119"/>
        <w:jc w:val="both"/>
      </w:pPr>
      <w:r>
        <w:rPr>
          <w:color w:val="231F20"/>
          <w:w w:val="110"/>
        </w:rPr>
        <w:t>El Proyecto Hemisférico de Estados Unidos se ubica en la arena de competencia</w:t>
      </w:r>
      <w:r>
        <w:rPr>
          <w:color w:val="231F20"/>
          <w:spacing w:val="-10"/>
          <w:w w:val="110"/>
        </w:rPr>
        <w:t> </w:t>
      </w:r>
      <w:r>
        <w:rPr>
          <w:color w:val="231F20"/>
          <w:w w:val="110"/>
        </w:rPr>
        <w:t>interbloques</w:t>
      </w:r>
      <w:r>
        <w:rPr>
          <w:color w:val="231F20"/>
          <w:spacing w:val="-10"/>
          <w:w w:val="110"/>
        </w:rPr>
        <w:t> </w:t>
      </w:r>
      <w:r>
        <w:rPr>
          <w:color w:val="231F20"/>
          <w:w w:val="110"/>
        </w:rPr>
        <w:t>señalado</w:t>
      </w:r>
      <w:r>
        <w:rPr>
          <w:color w:val="231F20"/>
          <w:spacing w:val="-10"/>
          <w:w w:val="110"/>
        </w:rPr>
        <w:t> </w:t>
      </w:r>
      <w:r>
        <w:rPr>
          <w:color w:val="231F20"/>
          <w:w w:val="110"/>
        </w:rPr>
        <w:t>al</w:t>
      </w:r>
      <w:r>
        <w:rPr>
          <w:color w:val="231F20"/>
          <w:spacing w:val="-10"/>
          <w:w w:val="110"/>
        </w:rPr>
        <w:t> </w:t>
      </w:r>
      <w:r>
        <w:rPr>
          <w:color w:val="231F20"/>
          <w:w w:val="110"/>
        </w:rPr>
        <w:t>inicio.</w:t>
      </w:r>
      <w:r>
        <w:rPr>
          <w:color w:val="231F20"/>
          <w:spacing w:val="-10"/>
          <w:w w:val="110"/>
        </w:rPr>
        <w:t> </w:t>
      </w:r>
      <w:r>
        <w:rPr>
          <w:color w:val="231F20"/>
          <w:w w:val="110"/>
        </w:rPr>
        <w:t>En</w:t>
      </w:r>
      <w:r>
        <w:rPr>
          <w:color w:val="231F20"/>
          <w:spacing w:val="-10"/>
          <w:w w:val="110"/>
        </w:rPr>
        <w:t> </w:t>
      </w:r>
      <w:r>
        <w:rPr>
          <w:color w:val="231F20"/>
          <w:w w:val="110"/>
        </w:rPr>
        <w:t>esta</w:t>
      </w:r>
      <w:r>
        <w:rPr>
          <w:color w:val="231F20"/>
          <w:spacing w:val="-10"/>
          <w:w w:val="110"/>
        </w:rPr>
        <w:t> </w:t>
      </w:r>
      <w:r>
        <w:rPr>
          <w:color w:val="231F20"/>
          <w:w w:val="110"/>
        </w:rPr>
        <w:t>parte</w:t>
      </w:r>
      <w:r>
        <w:rPr>
          <w:color w:val="231F20"/>
          <w:spacing w:val="-10"/>
          <w:w w:val="110"/>
        </w:rPr>
        <w:t> </w:t>
      </w:r>
      <w:r>
        <w:rPr>
          <w:color w:val="231F20"/>
          <w:w w:val="110"/>
        </w:rPr>
        <w:t>del</w:t>
      </w:r>
      <w:r>
        <w:rPr>
          <w:color w:val="231F20"/>
          <w:spacing w:val="-10"/>
          <w:w w:val="110"/>
        </w:rPr>
        <w:t> </w:t>
      </w:r>
      <w:r>
        <w:rPr>
          <w:color w:val="231F20"/>
          <w:w w:val="110"/>
        </w:rPr>
        <w:t>trabajo queremos destacar tres elementos centrales para entender</w:t>
      </w:r>
      <w:r>
        <w:rPr>
          <w:color w:val="231F20"/>
          <w:spacing w:val="-20"/>
          <w:w w:val="110"/>
        </w:rPr>
        <w:t> </w:t>
      </w:r>
      <w:r>
        <w:rPr>
          <w:color w:val="231F20"/>
          <w:w w:val="110"/>
        </w:rPr>
        <w:t>la</w:t>
      </w:r>
      <w:r>
        <w:rPr>
          <w:color w:val="231F20"/>
          <w:spacing w:val="-3"/>
          <w:w w:val="110"/>
        </w:rPr>
        <w:t> </w:t>
      </w:r>
      <w:r>
        <w:rPr>
          <w:color w:val="231F20"/>
          <w:w w:val="110"/>
        </w:rPr>
        <w:t>comple-</w:t>
      </w:r>
      <w:r>
        <w:rPr>
          <w:color w:val="231F20"/>
          <w:w w:val="72"/>
        </w:rPr>
        <w:t> </w:t>
      </w:r>
      <w:r>
        <w:rPr>
          <w:color w:val="231F20"/>
          <w:w w:val="110"/>
        </w:rPr>
        <w:t>ja situación en la que nos encontramos en la </w:t>
      </w:r>
      <w:r>
        <w:rPr>
          <w:color w:val="231F20"/>
          <w:spacing w:val="46"/>
          <w:w w:val="110"/>
        </w:rPr>
        <w:t> </w:t>
      </w:r>
      <w:r>
        <w:rPr>
          <w:color w:val="231F20"/>
          <w:w w:val="110"/>
        </w:rPr>
        <w:t>actualidad.</w:t>
      </w:r>
    </w:p>
    <w:p>
      <w:pPr>
        <w:pStyle w:val="BodyText"/>
        <w:spacing w:line="261" w:lineRule="auto"/>
        <w:ind w:left="100" w:right="114" w:firstLine="240"/>
        <w:jc w:val="both"/>
      </w:pPr>
      <w:r>
        <w:rPr>
          <w:color w:val="231F20"/>
          <w:w w:val="110"/>
        </w:rPr>
        <w:t>En primer </w:t>
      </w:r>
      <w:r>
        <w:rPr>
          <w:color w:val="231F20"/>
          <w:spacing w:val="-2"/>
          <w:w w:val="110"/>
        </w:rPr>
        <w:t>lugar, </w:t>
      </w:r>
      <w:r>
        <w:rPr>
          <w:color w:val="231F20"/>
          <w:w w:val="110"/>
        </w:rPr>
        <w:t>el Proyecto Hemisférico, que acostumbramos identificar exclusivamente con el alca, responde a una clara concep- ción geopolítica en la que se articulan territorio, recursos, exceden- tes, expansionismo e intervencionismo. El control político y militar del área es fundamental para ampliar el espacio vital (</w:t>
      </w:r>
      <w:r>
        <w:rPr>
          <w:i/>
          <w:color w:val="231F20"/>
          <w:w w:val="110"/>
        </w:rPr>
        <w:t>heartland</w:t>
      </w:r>
      <w:r>
        <w:rPr>
          <w:color w:val="231F20"/>
          <w:w w:val="110"/>
        </w:rPr>
        <w:t>) sobre</w:t>
      </w:r>
      <w:r>
        <w:rPr>
          <w:color w:val="231F20"/>
          <w:spacing w:val="-8"/>
          <w:w w:val="110"/>
        </w:rPr>
        <w:t> </w:t>
      </w:r>
      <w:r>
        <w:rPr>
          <w:color w:val="231F20"/>
          <w:w w:val="110"/>
        </w:rPr>
        <w:t>el</w:t>
      </w:r>
      <w:r>
        <w:rPr>
          <w:color w:val="231F20"/>
          <w:spacing w:val="-8"/>
          <w:w w:val="110"/>
        </w:rPr>
        <w:t> </w:t>
      </w:r>
      <w:r>
        <w:rPr>
          <w:color w:val="231F20"/>
          <w:w w:val="110"/>
        </w:rPr>
        <w:t>área</w:t>
      </w:r>
      <w:r>
        <w:rPr>
          <w:color w:val="231F20"/>
          <w:spacing w:val="-8"/>
          <w:w w:val="110"/>
        </w:rPr>
        <w:t> </w:t>
      </w:r>
      <w:r>
        <w:rPr>
          <w:color w:val="231F20"/>
          <w:w w:val="110"/>
        </w:rPr>
        <w:t>de</w:t>
      </w:r>
      <w:r>
        <w:rPr>
          <w:color w:val="231F20"/>
          <w:spacing w:val="-8"/>
          <w:w w:val="110"/>
        </w:rPr>
        <w:t> </w:t>
      </w:r>
      <w:r>
        <w:rPr>
          <w:color w:val="231F20"/>
          <w:w w:val="110"/>
        </w:rPr>
        <w:t>influencia</w:t>
      </w:r>
      <w:r>
        <w:rPr>
          <w:color w:val="231F20"/>
          <w:spacing w:val="-8"/>
          <w:w w:val="110"/>
        </w:rPr>
        <w:t> </w:t>
      </w:r>
      <w:r>
        <w:rPr>
          <w:color w:val="231F20"/>
          <w:w w:val="110"/>
        </w:rPr>
        <w:t>(</w:t>
      </w:r>
      <w:r>
        <w:rPr>
          <w:i/>
          <w:color w:val="231F20"/>
          <w:w w:val="110"/>
        </w:rPr>
        <w:t>hinterland</w:t>
      </w:r>
      <w:r>
        <w:rPr>
          <w:color w:val="231F20"/>
          <w:w w:val="110"/>
        </w:rPr>
        <w:t>),</w:t>
      </w:r>
      <w:r>
        <w:rPr>
          <w:color w:val="231F20"/>
          <w:spacing w:val="-8"/>
          <w:w w:val="110"/>
        </w:rPr>
        <w:t> </w:t>
      </w:r>
      <w:r>
        <w:rPr>
          <w:color w:val="231F20"/>
          <w:w w:val="110"/>
        </w:rPr>
        <w:t>en</w:t>
      </w:r>
      <w:r>
        <w:rPr>
          <w:color w:val="231F20"/>
          <w:spacing w:val="-8"/>
          <w:w w:val="110"/>
        </w:rPr>
        <w:t> </w:t>
      </w:r>
      <w:r>
        <w:rPr>
          <w:color w:val="231F20"/>
          <w:w w:val="110"/>
        </w:rPr>
        <w:t>este</w:t>
      </w:r>
      <w:r>
        <w:rPr>
          <w:color w:val="231F20"/>
          <w:spacing w:val="-8"/>
          <w:w w:val="110"/>
        </w:rPr>
        <w:t> </w:t>
      </w:r>
      <w:r>
        <w:rPr>
          <w:color w:val="231F20"/>
          <w:w w:val="110"/>
        </w:rPr>
        <w:t>caso</w:t>
      </w:r>
      <w:r>
        <w:rPr>
          <w:color w:val="231F20"/>
          <w:spacing w:val="-8"/>
          <w:w w:val="110"/>
        </w:rPr>
        <w:t> </w:t>
      </w:r>
      <w:r>
        <w:rPr>
          <w:color w:val="231F20"/>
          <w:w w:val="110"/>
        </w:rPr>
        <w:t>América</w:t>
      </w:r>
      <w:r>
        <w:rPr>
          <w:color w:val="231F20"/>
          <w:spacing w:val="-8"/>
          <w:w w:val="110"/>
        </w:rPr>
        <w:t> </w:t>
      </w:r>
      <w:r>
        <w:rPr>
          <w:color w:val="231F20"/>
          <w:w w:val="110"/>
        </w:rPr>
        <w:t>Latina. Es </w:t>
      </w:r>
      <w:r>
        <w:rPr>
          <w:color w:val="231F20"/>
          <w:spacing w:val="-3"/>
          <w:w w:val="110"/>
        </w:rPr>
        <w:t>decir, </w:t>
      </w:r>
      <w:r>
        <w:rPr>
          <w:color w:val="231F20"/>
          <w:w w:val="110"/>
        </w:rPr>
        <w:t>las perspectivas económica y de seguridad son parte de un mismo</w:t>
      </w:r>
      <w:r>
        <w:rPr>
          <w:color w:val="231F20"/>
          <w:spacing w:val="-7"/>
          <w:w w:val="110"/>
        </w:rPr>
        <w:t> </w:t>
      </w:r>
      <w:r>
        <w:rPr>
          <w:color w:val="231F20"/>
          <w:w w:val="110"/>
        </w:rPr>
        <w:t>proyecto.</w:t>
      </w:r>
      <w:r>
        <w:rPr>
          <w:color w:val="231F20"/>
          <w:spacing w:val="-7"/>
          <w:w w:val="110"/>
        </w:rPr>
        <w:t> </w:t>
      </w:r>
      <w:r>
        <w:rPr>
          <w:color w:val="231F20"/>
          <w:w w:val="110"/>
        </w:rPr>
        <w:t>En</w:t>
      </w:r>
      <w:r>
        <w:rPr>
          <w:color w:val="231F20"/>
          <w:spacing w:val="-7"/>
          <w:w w:val="110"/>
        </w:rPr>
        <w:t> </w:t>
      </w:r>
      <w:r>
        <w:rPr>
          <w:color w:val="231F20"/>
          <w:w w:val="110"/>
        </w:rPr>
        <w:t>segundo</w:t>
      </w:r>
      <w:r>
        <w:rPr>
          <w:color w:val="231F20"/>
          <w:spacing w:val="-7"/>
          <w:w w:val="110"/>
        </w:rPr>
        <w:t> </w:t>
      </w:r>
      <w:r>
        <w:rPr>
          <w:color w:val="231F20"/>
          <w:spacing w:val="-3"/>
          <w:w w:val="110"/>
        </w:rPr>
        <w:t>lugar,</w:t>
      </w:r>
      <w:r>
        <w:rPr>
          <w:color w:val="231F20"/>
          <w:spacing w:val="-7"/>
          <w:w w:val="110"/>
        </w:rPr>
        <w:t> </w:t>
      </w:r>
      <w:r>
        <w:rPr>
          <w:color w:val="231F20"/>
          <w:w w:val="110"/>
        </w:rPr>
        <w:t>el</w:t>
      </w:r>
      <w:r>
        <w:rPr>
          <w:color w:val="231F20"/>
          <w:spacing w:val="-7"/>
          <w:w w:val="110"/>
        </w:rPr>
        <w:t> </w:t>
      </w:r>
      <w:r>
        <w:rPr>
          <w:color w:val="231F20"/>
          <w:w w:val="110"/>
        </w:rPr>
        <w:t>proyecto</w:t>
      </w:r>
      <w:r>
        <w:rPr>
          <w:color w:val="231F20"/>
          <w:spacing w:val="-7"/>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w w:val="110"/>
        </w:rPr>
        <w:t>agota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8"/>
          <w:w w:val="110"/>
        </w:rPr>
        <w:t> </w:t>
      </w:r>
      <w:r>
        <w:rPr>
          <w:color w:val="231F20"/>
          <w:w w:val="110"/>
        </w:rPr>
        <w:t>alca y aunque no ha logrado implementarse a escala continental cuenta con estrategias intermedias que a menudo subestimamos. En tercer </w:t>
      </w:r>
      <w:r>
        <w:rPr>
          <w:color w:val="231F20"/>
          <w:spacing w:val="-3"/>
          <w:w w:val="110"/>
        </w:rPr>
        <w:t>lugar, </w:t>
      </w:r>
      <w:r>
        <w:rPr>
          <w:color w:val="231F20"/>
          <w:w w:val="110"/>
        </w:rPr>
        <w:t>la estrategia de seguridad y defensa hemisférica corre paralela a los acuerdos político-comerciales de las cumbres como podemos constatar en el cuadro 3; además, su gestación es muy anterior a los ataques</w:t>
      </w:r>
      <w:r>
        <w:rPr>
          <w:color w:val="231F20"/>
          <w:spacing w:val="-5"/>
          <w:w w:val="110"/>
        </w:rPr>
        <w:t> </w:t>
      </w:r>
      <w:r>
        <w:rPr>
          <w:color w:val="231F20"/>
          <w:w w:val="110"/>
        </w:rPr>
        <w:t>del</w:t>
      </w:r>
      <w:r>
        <w:rPr>
          <w:color w:val="231F20"/>
          <w:spacing w:val="-5"/>
          <w:w w:val="110"/>
        </w:rPr>
        <w:t> </w:t>
      </w:r>
      <w:r>
        <w:rPr>
          <w:color w:val="231F20"/>
          <w:w w:val="110"/>
        </w:rPr>
        <w:t>11</w:t>
      </w:r>
      <w:r>
        <w:rPr>
          <w:color w:val="231F20"/>
          <w:spacing w:val="-5"/>
          <w:w w:val="110"/>
        </w:rPr>
        <w:t> </w:t>
      </w:r>
      <w:r>
        <w:rPr>
          <w:color w:val="231F20"/>
          <w:w w:val="110"/>
        </w:rPr>
        <w:t>de</w:t>
      </w:r>
      <w:r>
        <w:rPr>
          <w:color w:val="231F20"/>
          <w:spacing w:val="-5"/>
          <w:w w:val="110"/>
        </w:rPr>
        <w:t> </w:t>
      </w:r>
      <w:r>
        <w:rPr>
          <w:color w:val="231F20"/>
          <w:w w:val="110"/>
        </w:rPr>
        <w:t>septiembre</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w w:val="110"/>
        </w:rPr>
        <w:t>remonta</w:t>
      </w:r>
      <w:r>
        <w:rPr>
          <w:color w:val="231F20"/>
          <w:spacing w:val="-5"/>
          <w:w w:val="110"/>
        </w:rPr>
        <w:t> </w:t>
      </w:r>
      <w:r>
        <w:rPr>
          <w:color w:val="231F20"/>
          <w:w w:val="110"/>
        </w:rPr>
        <w:t>a</w:t>
      </w:r>
      <w:r>
        <w:rPr>
          <w:color w:val="231F20"/>
          <w:spacing w:val="-5"/>
          <w:w w:val="110"/>
        </w:rPr>
        <w:t> </w:t>
      </w:r>
      <w:r>
        <w:rPr>
          <w:color w:val="231F20"/>
          <w:w w:val="110"/>
        </w:rPr>
        <w:t>fines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años</w:t>
      </w:r>
      <w:r>
        <w:rPr>
          <w:color w:val="231F20"/>
          <w:spacing w:val="-5"/>
          <w:w w:val="110"/>
        </w:rPr>
        <w:t> </w:t>
      </w:r>
      <w:r>
        <w:rPr>
          <w:color w:val="231F20"/>
          <w:w w:val="110"/>
        </w:rPr>
        <w:t>setenta como queda reflejado desde el Documento de Santa Fe I </w:t>
      </w:r>
      <w:r>
        <w:rPr>
          <w:color w:val="231F20"/>
          <w:spacing w:val="-3"/>
          <w:w w:val="110"/>
        </w:rPr>
        <w:t>(Tambs, </w:t>
      </w:r>
      <w:r>
        <w:rPr>
          <w:color w:val="231F20"/>
          <w:w w:val="110"/>
        </w:rPr>
        <w:t>1980). Es </w:t>
      </w:r>
      <w:r>
        <w:rPr>
          <w:color w:val="231F20"/>
          <w:spacing w:val="-3"/>
          <w:w w:val="110"/>
        </w:rPr>
        <w:t>decir, </w:t>
      </w:r>
      <w:r>
        <w:rPr>
          <w:color w:val="231F20"/>
          <w:w w:val="110"/>
        </w:rPr>
        <w:t>estamos ante un ciclo conservador que se extiende hasta nuestros días, en el que se va institucionalizando y legalizan- do</w:t>
      </w:r>
      <w:r>
        <w:rPr>
          <w:color w:val="231F20"/>
          <w:spacing w:val="26"/>
          <w:w w:val="110"/>
        </w:rPr>
        <w:t> </w:t>
      </w:r>
      <w:r>
        <w:rPr>
          <w:color w:val="231F20"/>
          <w:w w:val="110"/>
        </w:rPr>
        <w:t>la</w:t>
      </w:r>
      <w:r>
        <w:rPr>
          <w:color w:val="231F20"/>
          <w:spacing w:val="26"/>
          <w:w w:val="110"/>
        </w:rPr>
        <w:t> </w:t>
      </w:r>
      <w:r>
        <w:rPr>
          <w:color w:val="231F20"/>
          <w:w w:val="110"/>
        </w:rPr>
        <w:t>apropiación</w:t>
      </w:r>
      <w:r>
        <w:rPr>
          <w:color w:val="231F20"/>
          <w:spacing w:val="26"/>
          <w:w w:val="110"/>
        </w:rPr>
        <w:t> </w:t>
      </w:r>
      <w:r>
        <w:rPr>
          <w:color w:val="231F20"/>
          <w:w w:val="110"/>
        </w:rPr>
        <w:t>de</w:t>
      </w:r>
      <w:r>
        <w:rPr>
          <w:color w:val="231F20"/>
          <w:spacing w:val="26"/>
          <w:w w:val="110"/>
        </w:rPr>
        <w:t> </w:t>
      </w:r>
      <w:r>
        <w:rPr>
          <w:color w:val="231F20"/>
          <w:w w:val="110"/>
        </w:rPr>
        <w:t>recursos,</w:t>
      </w:r>
      <w:r>
        <w:rPr>
          <w:color w:val="231F20"/>
          <w:spacing w:val="26"/>
          <w:w w:val="110"/>
        </w:rPr>
        <w:t> </w:t>
      </w:r>
      <w:r>
        <w:rPr>
          <w:color w:val="231F20"/>
          <w:w w:val="110"/>
        </w:rPr>
        <w:t>la</w:t>
      </w:r>
      <w:r>
        <w:rPr>
          <w:color w:val="231F20"/>
          <w:spacing w:val="26"/>
          <w:w w:val="110"/>
        </w:rPr>
        <w:t> </w:t>
      </w:r>
      <w:r>
        <w:rPr>
          <w:color w:val="231F20"/>
          <w:w w:val="110"/>
        </w:rPr>
        <w:t>penetración</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territorio</w:t>
      </w:r>
      <w:r>
        <w:rPr>
          <w:color w:val="231F20"/>
          <w:spacing w:val="26"/>
          <w:w w:val="110"/>
        </w:rPr>
        <w:t> </w:t>
      </w:r>
      <w:r>
        <w:rPr>
          <w:color w:val="231F20"/>
          <w:w w:val="110"/>
        </w:rPr>
        <w:t>y</w:t>
      </w:r>
      <w:r>
        <w:rPr>
          <w:color w:val="231F20"/>
          <w:spacing w:val="26"/>
          <w:w w:val="110"/>
        </w:rPr>
        <w:t> </w:t>
      </w:r>
      <w:r>
        <w:rPr>
          <w:color w:val="231F20"/>
          <w:w w:val="110"/>
        </w:rPr>
        <w:t>las</w:t>
      </w:r>
    </w:p>
    <w:p>
      <w:pPr>
        <w:spacing w:after="0" w:line="261" w:lineRule="auto"/>
        <w:jc w:val="both"/>
        <w:sectPr>
          <w:headerReference w:type="even" r:id="rId352"/>
          <w:headerReference w:type="default" r:id="rId353"/>
          <w:pgSz w:w="7640" w:h="11900"/>
          <w:pgMar w:header="672" w:footer="0" w:top="860" w:bottom="280" w:left="780" w:right="640"/>
          <w:pgNumType w:start="468"/>
        </w:sectPr>
      </w:pPr>
    </w:p>
    <w:p>
      <w:pPr>
        <w:pStyle w:val="BodyText"/>
        <w:spacing w:before="9"/>
        <w:rPr>
          <w:sz w:val="8"/>
        </w:rPr>
      </w:pPr>
    </w:p>
    <w:p>
      <w:pPr>
        <w:spacing w:line="290" w:lineRule="auto" w:before="70"/>
        <w:ind w:left="120" w:right="1213" w:firstLine="0"/>
        <w:jc w:val="left"/>
        <w:rPr>
          <w:sz w:val="18"/>
        </w:rPr>
      </w:pPr>
      <w:r>
        <w:rPr/>
        <w:pict>
          <v:group style="position:absolute;margin-left:37.75pt;margin-top:30.40237pt;width:300.1pt;height:.5pt;mso-position-horizontal-relative:page;mso-position-vertical-relative:paragraph;z-index:9832" coordorigin="755,608" coordsize="6002,10">
            <v:line style="position:absolute" from="760,613" to="1392,613" stroked="true" strokeweight=".5pt" strokecolor="#231f20"/>
            <v:line style="position:absolute" from="1392,613" to="3432,613" stroked="true" strokeweight=".5pt" strokecolor="#231f20"/>
            <v:line style="position:absolute" from="3432,613" to="4712,613" stroked="true" strokeweight=".5pt" strokecolor="#231f20"/>
            <v:line style="position:absolute" from="4712,613" to="6752,613" stroked="true" strokeweight=".5pt" strokecolor="#231f20"/>
            <w10:wrap type="none"/>
          </v:group>
        </w:pict>
      </w:r>
      <w:r>
        <w:rPr>
          <w:color w:val="231F20"/>
          <w:w w:val="120"/>
          <w:sz w:val="18"/>
        </w:rPr>
        <w:t>cuadro 3. intersección del proyecto económico, político   y de defensa (documentos, leyes e </w:t>
      </w:r>
      <w:r>
        <w:rPr>
          <w:color w:val="231F20"/>
          <w:spacing w:val="40"/>
          <w:w w:val="120"/>
          <w:sz w:val="18"/>
        </w:rPr>
        <w:t> </w:t>
      </w:r>
      <w:r>
        <w:rPr>
          <w:color w:val="231F20"/>
          <w:w w:val="120"/>
          <w:sz w:val="18"/>
        </w:rPr>
        <w:t>instituciones).</w:t>
      </w:r>
    </w:p>
    <w:p>
      <w:pPr>
        <w:spacing w:after="0" w:line="290" w:lineRule="auto"/>
        <w:jc w:val="left"/>
        <w:rPr>
          <w:sz w:val="18"/>
        </w:rPr>
        <w:sectPr>
          <w:pgSz w:w="7640" w:h="11900"/>
          <w:pgMar w:header="672" w:footer="0" w:top="860" w:bottom="280" w:left="640" w:right="760"/>
        </w:sectPr>
      </w:pPr>
    </w:p>
    <w:p>
      <w:pPr>
        <w:spacing w:line="180" w:lineRule="exact" w:before="57"/>
        <w:ind w:left="921" w:right="-19" w:hanging="75"/>
        <w:jc w:val="left"/>
        <w:rPr>
          <w:sz w:val="16"/>
        </w:rPr>
      </w:pPr>
      <w:r>
        <w:rPr>
          <w:color w:val="231F20"/>
          <w:w w:val="125"/>
          <w:sz w:val="16"/>
        </w:rPr>
        <w:t>cumbres</w:t>
      </w:r>
      <w:r>
        <w:rPr>
          <w:color w:val="231F20"/>
          <w:spacing w:val="-33"/>
          <w:w w:val="125"/>
          <w:sz w:val="16"/>
        </w:rPr>
        <w:t> </w:t>
      </w:r>
      <w:r>
        <w:rPr>
          <w:color w:val="231F20"/>
          <w:w w:val="125"/>
          <w:sz w:val="16"/>
        </w:rPr>
        <w:t>de</w:t>
      </w:r>
      <w:r>
        <w:rPr>
          <w:color w:val="231F20"/>
          <w:spacing w:val="-33"/>
          <w:w w:val="125"/>
          <w:sz w:val="16"/>
        </w:rPr>
        <w:t> </w:t>
      </w:r>
      <w:r>
        <w:rPr>
          <w:color w:val="231F20"/>
          <w:w w:val="125"/>
          <w:sz w:val="16"/>
        </w:rPr>
        <w:t>las</w:t>
      </w:r>
      <w:r>
        <w:rPr>
          <w:color w:val="231F20"/>
          <w:spacing w:val="-33"/>
          <w:w w:val="125"/>
          <w:sz w:val="16"/>
        </w:rPr>
        <w:t> </w:t>
      </w:r>
      <w:r>
        <w:rPr>
          <w:color w:val="231F20"/>
          <w:w w:val="125"/>
          <w:sz w:val="16"/>
        </w:rPr>
        <w:t>américas</w:t>
      </w:r>
      <w:r>
        <w:rPr>
          <w:color w:val="231F20"/>
          <w:w w:val="120"/>
          <w:sz w:val="16"/>
        </w:rPr>
        <w:t> </w:t>
      </w:r>
      <w:r>
        <w:rPr>
          <w:color w:val="231F20"/>
          <w:w w:val="125"/>
          <w:sz w:val="16"/>
        </w:rPr>
        <w:t>(alca) y</w:t>
      </w:r>
      <w:r>
        <w:rPr>
          <w:color w:val="231F20"/>
          <w:spacing w:val="23"/>
          <w:w w:val="125"/>
          <w:sz w:val="16"/>
        </w:rPr>
        <w:t> </w:t>
      </w:r>
      <w:r>
        <w:rPr>
          <w:color w:val="231F20"/>
          <w:w w:val="125"/>
          <w:sz w:val="16"/>
        </w:rPr>
        <w:t>antecedentes</w:t>
      </w:r>
    </w:p>
    <w:p>
      <w:pPr>
        <w:spacing w:line="180" w:lineRule="exact" w:before="57"/>
        <w:ind w:left="228" w:right="-4" w:firstLine="112"/>
        <w:jc w:val="left"/>
        <w:rPr>
          <w:sz w:val="16"/>
        </w:rPr>
      </w:pPr>
      <w:r>
        <w:rPr/>
        <w:br w:type="column"/>
      </w:r>
      <w:r>
        <w:rPr>
          <w:color w:val="231F20"/>
          <w:w w:val="125"/>
          <w:sz w:val="16"/>
        </w:rPr>
        <w:t>acuerdos </w:t>
      </w:r>
      <w:r>
        <w:rPr>
          <w:color w:val="231F20"/>
          <w:w w:val="120"/>
          <w:sz w:val="16"/>
        </w:rPr>
        <w:t>comerciales</w:t>
      </w:r>
    </w:p>
    <w:p>
      <w:pPr>
        <w:spacing w:line="180" w:lineRule="exact" w:before="57"/>
        <w:ind w:left="704" w:right="367" w:hanging="315"/>
        <w:jc w:val="left"/>
        <w:rPr>
          <w:sz w:val="16"/>
        </w:rPr>
      </w:pPr>
      <w:r>
        <w:rPr/>
        <w:br w:type="column"/>
      </w:r>
      <w:r>
        <w:rPr>
          <w:color w:val="231F20"/>
          <w:w w:val="120"/>
          <w:sz w:val="16"/>
        </w:rPr>
        <w:t>seguridad y defensa hemisférica</w:t>
      </w:r>
    </w:p>
    <w:p>
      <w:pPr>
        <w:spacing w:after="0" w:line="180" w:lineRule="exact"/>
        <w:jc w:val="left"/>
        <w:rPr>
          <w:sz w:val="16"/>
        </w:rPr>
        <w:sectPr>
          <w:type w:val="continuous"/>
          <w:pgSz w:w="7640" w:h="11900"/>
          <w:pgMar w:top="980" w:bottom="280" w:left="640" w:right="760"/>
          <w:cols w:num="3" w:equalWidth="0">
            <w:col w:w="2698" w:space="40"/>
            <w:col w:w="1161" w:space="40"/>
            <w:col w:w="2301"/>
          </w:cols>
        </w:sectPr>
      </w:pPr>
    </w:p>
    <w:p>
      <w:pPr>
        <w:pStyle w:val="BodyText"/>
        <w:spacing w:line="20" w:lineRule="exact"/>
        <w:ind w:left="115"/>
        <w:rPr>
          <w:sz w:val="2"/>
        </w:rPr>
      </w:pPr>
      <w:r>
        <w:rPr>
          <w:sz w:val="2"/>
        </w:rPr>
        <w:pict>
          <v:group style="width:300.1pt;height:.5pt;mso-position-horizontal-relative:char;mso-position-vertical-relative:line" coordorigin="0,0" coordsize="6002,10">
            <v:line style="position:absolute" from="5,5" to="637,5" stroked="true" strokeweight=".5pt" strokecolor="#231f20"/>
            <v:line style="position:absolute" from="637,5" to="2677,5" stroked="true" strokeweight=".5pt" strokecolor="#231f20"/>
            <v:line style="position:absolute" from="2677,5" to="3957,5" stroked="true" strokeweight=".5pt" strokecolor="#231f20"/>
            <v:line style="position:absolute" from="3957,5" to="5997,5" stroked="true" strokeweight=".5pt" strokecolor="#231f20"/>
          </v:group>
        </w:pict>
      </w:r>
      <w:r>
        <w:rPr>
          <w:sz w:val="2"/>
        </w:rPr>
      </w:r>
    </w:p>
    <w:p>
      <w:pPr>
        <w:tabs>
          <w:tab w:pos="4111" w:val="left" w:leader="none"/>
        </w:tabs>
        <w:spacing w:before="0"/>
        <w:ind w:left="160" w:right="25" w:firstLine="0"/>
        <w:jc w:val="left"/>
        <w:rPr>
          <w:sz w:val="12"/>
        </w:rPr>
      </w:pPr>
      <w:r>
        <w:rPr>
          <w:color w:val="231F20"/>
          <w:w w:val="110"/>
          <w:sz w:val="12"/>
        </w:rPr>
        <w:t>1980</w:t>
        <w:tab/>
        <w:t>Documento Santa Fe</w:t>
      </w:r>
      <w:r>
        <w:rPr>
          <w:color w:val="231F20"/>
          <w:spacing w:val="-14"/>
          <w:w w:val="110"/>
          <w:sz w:val="12"/>
        </w:rPr>
        <w:t> </w:t>
      </w:r>
      <w:r>
        <w:rPr>
          <w:color w:val="231F20"/>
          <w:w w:val="110"/>
          <w:sz w:val="12"/>
        </w:rPr>
        <w:t>I</w:t>
      </w:r>
    </w:p>
    <w:p>
      <w:pPr>
        <w:tabs>
          <w:tab w:pos="4111" w:val="left" w:leader="none"/>
        </w:tabs>
        <w:spacing w:line="129" w:lineRule="exact" w:before="29"/>
        <w:ind w:left="160" w:right="25" w:firstLine="0"/>
        <w:jc w:val="left"/>
        <w:rPr>
          <w:sz w:val="12"/>
        </w:rPr>
      </w:pPr>
      <w:r>
        <w:rPr>
          <w:color w:val="231F20"/>
          <w:w w:val="110"/>
          <w:sz w:val="12"/>
        </w:rPr>
        <w:t>1984</w:t>
        <w:tab/>
        <w:t>Federal Emergency</w:t>
      </w:r>
      <w:r>
        <w:rPr>
          <w:color w:val="231F20"/>
          <w:spacing w:val="-22"/>
          <w:w w:val="110"/>
          <w:sz w:val="12"/>
        </w:rPr>
        <w:t> </w:t>
      </w:r>
      <w:r>
        <w:rPr>
          <w:color w:val="231F20"/>
          <w:w w:val="110"/>
          <w:sz w:val="12"/>
        </w:rPr>
        <w:t>Management</w:t>
      </w:r>
    </w:p>
    <w:p>
      <w:pPr>
        <w:spacing w:line="129" w:lineRule="exact" w:before="0"/>
        <w:ind w:left="4112" w:right="25" w:firstLine="0"/>
        <w:jc w:val="left"/>
        <w:rPr>
          <w:sz w:val="12"/>
        </w:rPr>
      </w:pPr>
      <w:r>
        <w:rPr>
          <w:color w:val="231F20"/>
          <w:w w:val="110"/>
          <w:sz w:val="12"/>
        </w:rPr>
        <w:t>Agency (fema)</w:t>
      </w:r>
    </w:p>
    <w:p>
      <w:pPr>
        <w:tabs>
          <w:tab w:pos="4111" w:val="left" w:leader="none"/>
        </w:tabs>
        <w:spacing w:line="129" w:lineRule="exact" w:before="29"/>
        <w:ind w:left="160" w:right="25" w:firstLine="0"/>
        <w:jc w:val="left"/>
        <w:rPr>
          <w:sz w:val="12"/>
        </w:rPr>
      </w:pPr>
      <w:r>
        <w:rPr>
          <w:color w:val="231F20"/>
          <w:w w:val="110"/>
          <w:sz w:val="12"/>
        </w:rPr>
        <w:t>1986</w:t>
        <w:tab/>
        <w:t>Centro Nacional de Lucha contra el</w:t>
      </w:r>
    </w:p>
    <w:p>
      <w:pPr>
        <w:spacing w:line="129" w:lineRule="exact" w:before="0"/>
        <w:ind w:left="4112" w:right="25" w:firstLine="0"/>
        <w:jc w:val="left"/>
        <w:rPr>
          <w:sz w:val="12"/>
        </w:rPr>
      </w:pPr>
      <w:r>
        <w:rPr>
          <w:color w:val="231F20"/>
          <w:w w:val="110"/>
          <w:sz w:val="12"/>
        </w:rPr>
        <w:t>Terrorismo Antidrug Abuse Act</w:t>
      </w:r>
    </w:p>
    <w:p>
      <w:pPr>
        <w:tabs>
          <w:tab w:pos="4111" w:val="left" w:leader="none"/>
        </w:tabs>
        <w:spacing w:before="29"/>
        <w:ind w:left="160" w:right="25" w:firstLine="0"/>
        <w:jc w:val="left"/>
        <w:rPr>
          <w:sz w:val="12"/>
        </w:rPr>
      </w:pPr>
      <w:r>
        <w:rPr>
          <w:color w:val="231F20"/>
          <w:w w:val="110"/>
          <w:sz w:val="12"/>
        </w:rPr>
        <w:t>1988</w:t>
        <w:tab/>
        <w:t>Documento Santa Fe</w:t>
      </w:r>
      <w:r>
        <w:rPr>
          <w:color w:val="231F20"/>
          <w:spacing w:val="16"/>
          <w:w w:val="110"/>
          <w:sz w:val="12"/>
        </w:rPr>
        <w:t> </w:t>
      </w:r>
      <w:r>
        <w:rPr>
          <w:color w:val="231F20"/>
          <w:w w:val="110"/>
          <w:sz w:val="12"/>
        </w:rPr>
        <w:t>II</w:t>
      </w:r>
    </w:p>
    <w:p>
      <w:pPr>
        <w:tabs>
          <w:tab w:pos="791" w:val="left" w:leader="none"/>
          <w:tab w:pos="2831" w:val="left" w:leader="none"/>
          <w:tab w:pos="4111" w:val="left" w:leader="none"/>
        </w:tabs>
        <w:spacing w:line="160" w:lineRule="atLeast" w:before="7"/>
        <w:ind w:left="160" w:right="966" w:firstLine="0"/>
        <w:jc w:val="left"/>
        <w:rPr>
          <w:sz w:val="12"/>
        </w:rPr>
      </w:pPr>
      <w:r>
        <w:rPr>
          <w:color w:val="231F20"/>
          <w:w w:val="110"/>
          <w:sz w:val="12"/>
        </w:rPr>
        <w:t>1989-1994</w:t>
        <w:tab/>
        <w:tab/>
      </w:r>
      <w:r>
        <w:rPr>
          <w:color w:val="231F20"/>
          <w:w w:val="115"/>
          <w:sz w:val="12"/>
        </w:rPr>
        <w:t>nafta</w:t>
        <w:tab/>
      </w:r>
      <w:r>
        <w:rPr>
          <w:color w:val="231F20"/>
          <w:w w:val="110"/>
          <w:sz w:val="12"/>
        </w:rPr>
        <w:t>Andean</w:t>
      </w:r>
      <w:r>
        <w:rPr>
          <w:color w:val="231F20"/>
          <w:spacing w:val="-15"/>
          <w:w w:val="110"/>
          <w:sz w:val="12"/>
        </w:rPr>
        <w:t> </w:t>
      </w:r>
      <w:r>
        <w:rPr>
          <w:color w:val="231F20"/>
          <w:w w:val="110"/>
          <w:sz w:val="12"/>
        </w:rPr>
        <w:t>Drug</w:t>
      </w:r>
      <w:r>
        <w:rPr>
          <w:color w:val="231F20"/>
          <w:spacing w:val="-15"/>
          <w:w w:val="110"/>
          <w:sz w:val="12"/>
        </w:rPr>
        <w:t> </w:t>
      </w:r>
      <w:r>
        <w:rPr>
          <w:color w:val="231F20"/>
          <w:w w:val="110"/>
          <w:sz w:val="12"/>
        </w:rPr>
        <w:t>Strategy</w:t>
      </w:r>
      <w:r>
        <w:rPr>
          <w:color w:val="231F20"/>
          <w:w w:val="104"/>
          <w:sz w:val="12"/>
        </w:rPr>
        <w:t> </w:t>
      </w:r>
      <w:r>
        <w:rPr>
          <w:color w:val="231F20"/>
          <w:w w:val="115"/>
          <w:sz w:val="12"/>
        </w:rPr>
        <w:t>1990</w:t>
        <w:tab/>
      </w:r>
      <w:r>
        <w:rPr>
          <w:color w:val="231F20"/>
          <w:w w:val="110"/>
          <w:sz w:val="12"/>
        </w:rPr>
        <w:t>What</w:t>
      </w:r>
      <w:r>
        <w:rPr>
          <w:color w:val="231F20"/>
          <w:spacing w:val="-23"/>
          <w:w w:val="110"/>
          <w:sz w:val="12"/>
        </w:rPr>
        <w:t> </w:t>
      </w:r>
      <w:r>
        <w:rPr>
          <w:color w:val="231F20"/>
          <w:w w:val="110"/>
          <w:sz w:val="12"/>
        </w:rPr>
        <w:t>Washington</w:t>
      </w:r>
      <w:r>
        <w:rPr>
          <w:color w:val="231F20"/>
          <w:spacing w:val="-23"/>
          <w:w w:val="110"/>
          <w:sz w:val="12"/>
        </w:rPr>
        <w:t> </w:t>
      </w:r>
      <w:r>
        <w:rPr>
          <w:color w:val="231F20"/>
          <w:w w:val="110"/>
          <w:sz w:val="12"/>
        </w:rPr>
        <w:t>Means</w:t>
      </w:r>
      <w:r>
        <w:rPr>
          <w:color w:val="231F20"/>
          <w:spacing w:val="-23"/>
          <w:w w:val="110"/>
          <w:sz w:val="12"/>
        </w:rPr>
        <w:t> </w:t>
      </w:r>
      <w:r>
        <w:rPr>
          <w:color w:val="231F20"/>
          <w:w w:val="110"/>
          <w:sz w:val="12"/>
        </w:rPr>
        <w:t>by</w:t>
      </w:r>
      <w:r>
        <w:rPr>
          <w:color w:val="231F20"/>
          <w:spacing w:val="-23"/>
          <w:w w:val="110"/>
          <w:sz w:val="12"/>
        </w:rPr>
        <w:t> </w:t>
      </w:r>
      <w:r>
        <w:rPr>
          <w:color w:val="231F20"/>
          <w:w w:val="110"/>
          <w:sz w:val="12"/>
        </w:rPr>
        <w:t>Policy</w:t>
      </w:r>
    </w:p>
    <w:p>
      <w:pPr>
        <w:spacing w:line="120" w:lineRule="exact" w:before="0"/>
        <w:ind w:left="791" w:right="25" w:firstLine="0"/>
        <w:jc w:val="left"/>
        <w:rPr>
          <w:sz w:val="12"/>
        </w:rPr>
      </w:pPr>
      <w:r>
        <w:rPr>
          <w:color w:val="231F20"/>
          <w:w w:val="105"/>
          <w:sz w:val="12"/>
        </w:rPr>
        <w:t>Reform*</w:t>
      </w:r>
    </w:p>
    <w:p>
      <w:pPr>
        <w:spacing w:before="29"/>
        <w:ind w:left="791" w:right="25" w:firstLine="0"/>
        <w:jc w:val="left"/>
        <w:rPr>
          <w:sz w:val="12"/>
        </w:rPr>
      </w:pPr>
      <w:r>
        <w:rPr>
          <w:color w:val="231F20"/>
          <w:w w:val="105"/>
          <w:sz w:val="12"/>
        </w:rPr>
        <w:t>Iniciativa para las Américas</w:t>
      </w:r>
    </w:p>
    <w:p>
      <w:pPr>
        <w:spacing w:after="0"/>
        <w:jc w:val="left"/>
        <w:rPr>
          <w:sz w:val="12"/>
        </w:rPr>
        <w:sectPr>
          <w:type w:val="continuous"/>
          <w:pgSz w:w="7640" w:h="11900"/>
          <w:pgMar w:top="980" w:bottom="280" w:left="640" w:right="760"/>
        </w:sectPr>
      </w:pPr>
    </w:p>
    <w:p>
      <w:pPr>
        <w:tabs>
          <w:tab w:pos="791" w:val="left" w:leader="none"/>
        </w:tabs>
        <w:spacing w:line="120" w:lineRule="exact" w:before="45"/>
        <w:ind w:left="791" w:right="0" w:hanging="632"/>
        <w:jc w:val="left"/>
        <w:rPr>
          <w:sz w:val="12"/>
        </w:rPr>
      </w:pPr>
      <w:r>
        <w:rPr>
          <w:color w:val="231F20"/>
          <w:w w:val="110"/>
          <w:sz w:val="12"/>
        </w:rPr>
        <w:t>1991</w:t>
        <w:tab/>
        <w:t>Compromiso de Santiago de</w:t>
      </w:r>
      <w:r>
        <w:rPr>
          <w:color w:val="231F20"/>
          <w:spacing w:val="-14"/>
          <w:w w:val="110"/>
          <w:sz w:val="12"/>
        </w:rPr>
        <w:t> </w:t>
      </w:r>
      <w:r>
        <w:rPr>
          <w:color w:val="231F20"/>
          <w:w w:val="110"/>
          <w:sz w:val="12"/>
        </w:rPr>
        <w:t>Chile</w:t>
      </w:r>
      <w:r>
        <w:rPr>
          <w:color w:val="231F20"/>
          <w:spacing w:val="-4"/>
          <w:w w:val="110"/>
          <w:sz w:val="12"/>
        </w:rPr>
        <w:t> </w:t>
      </w:r>
      <w:r>
        <w:rPr>
          <w:color w:val="231F20"/>
          <w:w w:val="110"/>
          <w:sz w:val="12"/>
        </w:rPr>
        <w:t>de</w:t>
      </w:r>
      <w:r>
        <w:rPr>
          <w:color w:val="231F20"/>
          <w:w w:val="114"/>
          <w:sz w:val="12"/>
        </w:rPr>
        <w:t> </w:t>
      </w:r>
      <w:r>
        <w:rPr>
          <w:color w:val="231F20"/>
          <w:w w:val="110"/>
          <w:sz w:val="12"/>
        </w:rPr>
        <w:t>Defensa</w:t>
      </w:r>
      <w:r>
        <w:rPr>
          <w:color w:val="231F20"/>
          <w:spacing w:val="-10"/>
          <w:w w:val="110"/>
          <w:sz w:val="12"/>
        </w:rPr>
        <w:t> </w:t>
      </w:r>
      <w:r>
        <w:rPr>
          <w:color w:val="231F20"/>
          <w:w w:val="110"/>
          <w:sz w:val="12"/>
        </w:rPr>
        <w:t>de</w:t>
      </w:r>
      <w:r>
        <w:rPr>
          <w:color w:val="231F20"/>
          <w:spacing w:val="-10"/>
          <w:w w:val="110"/>
          <w:sz w:val="12"/>
        </w:rPr>
        <w:t> </w:t>
      </w:r>
      <w:r>
        <w:rPr>
          <w:color w:val="231F20"/>
          <w:w w:val="110"/>
          <w:sz w:val="12"/>
        </w:rPr>
        <w:t>la</w:t>
      </w:r>
      <w:r>
        <w:rPr>
          <w:color w:val="231F20"/>
          <w:spacing w:val="-10"/>
          <w:w w:val="110"/>
          <w:sz w:val="12"/>
        </w:rPr>
        <w:t> </w:t>
      </w:r>
      <w:r>
        <w:rPr>
          <w:color w:val="231F20"/>
          <w:w w:val="110"/>
          <w:sz w:val="12"/>
        </w:rPr>
        <w:t>Democracia</w:t>
      </w:r>
    </w:p>
    <w:p>
      <w:pPr>
        <w:spacing w:line="120" w:lineRule="exact" w:before="45"/>
        <w:ind w:left="160" w:right="0" w:firstLine="0"/>
        <w:jc w:val="left"/>
        <w:rPr>
          <w:sz w:val="12"/>
        </w:rPr>
      </w:pPr>
      <w:r>
        <w:rPr/>
        <w:br w:type="column"/>
      </w:r>
      <w:r>
        <w:rPr>
          <w:color w:val="231F20"/>
          <w:w w:val="110"/>
          <w:sz w:val="12"/>
        </w:rPr>
        <w:t>Compromiso de Santiago de Chile de Defensa de la Democracia</w:t>
      </w:r>
    </w:p>
    <w:p>
      <w:pPr>
        <w:spacing w:after="0" w:line="120" w:lineRule="exact"/>
        <w:jc w:val="left"/>
        <w:rPr>
          <w:sz w:val="12"/>
        </w:rPr>
        <w:sectPr>
          <w:type w:val="continuous"/>
          <w:pgSz w:w="7640" w:h="11900"/>
          <w:pgMar w:top="980" w:bottom="280" w:left="640" w:right="760"/>
          <w:cols w:num="2" w:equalWidth="0">
            <w:col w:w="2753" w:space="1199"/>
            <w:col w:w="2288"/>
          </w:cols>
        </w:sectPr>
      </w:pPr>
    </w:p>
    <w:p>
      <w:pPr>
        <w:pStyle w:val="BodyText"/>
        <w:spacing w:before="3"/>
        <w:rPr>
          <w:sz w:val="10"/>
        </w:rPr>
      </w:pPr>
    </w:p>
    <w:p>
      <w:pPr>
        <w:tabs>
          <w:tab w:pos="791" w:val="left" w:leader="none"/>
        </w:tabs>
        <w:spacing w:before="80"/>
        <w:ind w:left="160" w:right="25" w:firstLine="0"/>
        <w:jc w:val="left"/>
        <w:rPr>
          <w:sz w:val="12"/>
        </w:rPr>
      </w:pPr>
      <w:r>
        <w:rPr>
          <w:color w:val="231F20"/>
          <w:w w:val="115"/>
          <w:sz w:val="12"/>
        </w:rPr>
        <w:t>1994</w:t>
        <w:tab/>
        <w:t>1a.</w:t>
      </w:r>
      <w:r>
        <w:rPr>
          <w:color w:val="231F20"/>
          <w:spacing w:val="-13"/>
          <w:w w:val="115"/>
          <w:sz w:val="12"/>
        </w:rPr>
        <w:t> </w:t>
      </w:r>
      <w:r>
        <w:rPr>
          <w:color w:val="231F20"/>
          <w:w w:val="115"/>
          <w:sz w:val="12"/>
        </w:rPr>
        <w:t>Cumbre</w:t>
      </w:r>
      <w:r>
        <w:rPr>
          <w:color w:val="231F20"/>
          <w:spacing w:val="-13"/>
          <w:w w:val="115"/>
          <w:sz w:val="12"/>
        </w:rPr>
        <w:t> </w:t>
      </w:r>
      <w:r>
        <w:rPr>
          <w:color w:val="231F20"/>
          <w:w w:val="115"/>
          <w:sz w:val="12"/>
        </w:rPr>
        <w:t>de</w:t>
      </w:r>
      <w:r>
        <w:rPr>
          <w:color w:val="231F20"/>
          <w:spacing w:val="-13"/>
          <w:w w:val="115"/>
          <w:sz w:val="12"/>
        </w:rPr>
        <w:t> </w:t>
      </w:r>
      <w:r>
        <w:rPr>
          <w:color w:val="231F20"/>
          <w:w w:val="115"/>
          <w:sz w:val="12"/>
        </w:rPr>
        <w:t>las</w:t>
      </w:r>
      <w:r>
        <w:rPr>
          <w:color w:val="231F20"/>
          <w:spacing w:val="-13"/>
          <w:w w:val="115"/>
          <w:sz w:val="12"/>
        </w:rPr>
        <w:t> </w:t>
      </w:r>
      <w:r>
        <w:rPr>
          <w:color w:val="231F20"/>
          <w:w w:val="115"/>
          <w:sz w:val="12"/>
        </w:rPr>
        <w:t>Américas</w:t>
      </w:r>
      <w:r>
        <w:rPr>
          <w:color w:val="231F20"/>
          <w:spacing w:val="-13"/>
          <w:w w:val="115"/>
          <w:sz w:val="12"/>
        </w:rPr>
        <w:t> </w:t>
      </w:r>
      <w:r>
        <w:rPr>
          <w:color w:val="231F20"/>
          <w:w w:val="115"/>
          <w:sz w:val="12"/>
        </w:rPr>
        <w:t>(alca)</w:t>
      </w:r>
    </w:p>
    <w:p>
      <w:pPr>
        <w:tabs>
          <w:tab w:pos="4111" w:val="left" w:leader="none"/>
        </w:tabs>
        <w:spacing w:line="129" w:lineRule="exact" w:before="29"/>
        <w:ind w:left="160" w:right="25" w:firstLine="0"/>
        <w:jc w:val="left"/>
        <w:rPr>
          <w:sz w:val="12"/>
        </w:rPr>
      </w:pPr>
      <w:r>
        <w:rPr>
          <w:color w:val="231F20"/>
          <w:w w:val="110"/>
          <w:sz w:val="12"/>
        </w:rPr>
        <w:t>1995</w:t>
        <w:tab/>
        <w:t>Tratado Marco de</w:t>
      </w:r>
      <w:r>
        <w:rPr>
          <w:color w:val="231F20"/>
          <w:spacing w:val="-19"/>
          <w:w w:val="110"/>
          <w:sz w:val="12"/>
        </w:rPr>
        <w:t> </w:t>
      </w:r>
      <w:r>
        <w:rPr>
          <w:color w:val="231F20"/>
          <w:w w:val="110"/>
          <w:sz w:val="12"/>
        </w:rPr>
        <w:t>Seguridad</w:t>
      </w:r>
    </w:p>
    <w:p>
      <w:pPr>
        <w:spacing w:line="129" w:lineRule="exact" w:before="0"/>
        <w:ind w:left="4112" w:right="25" w:firstLine="0"/>
        <w:jc w:val="left"/>
        <w:rPr>
          <w:sz w:val="12"/>
        </w:rPr>
      </w:pPr>
      <w:r>
        <w:rPr>
          <w:color w:val="231F20"/>
          <w:w w:val="110"/>
          <w:sz w:val="12"/>
        </w:rPr>
        <w:t>Democrática</w:t>
      </w:r>
    </w:p>
    <w:p>
      <w:pPr>
        <w:spacing w:before="29"/>
        <w:ind w:left="4112" w:right="25" w:firstLine="0"/>
        <w:jc w:val="left"/>
        <w:rPr>
          <w:sz w:val="12"/>
        </w:rPr>
      </w:pPr>
      <w:r>
        <w:rPr>
          <w:color w:val="231F20"/>
          <w:w w:val="110"/>
          <w:sz w:val="12"/>
        </w:rPr>
        <w:t>Comité de Seguridad Hemisférica</w:t>
      </w:r>
    </w:p>
    <w:p>
      <w:pPr>
        <w:spacing w:after="0"/>
        <w:jc w:val="left"/>
        <w:rPr>
          <w:sz w:val="12"/>
        </w:rPr>
        <w:sectPr>
          <w:type w:val="continuous"/>
          <w:pgSz w:w="7640" w:h="11900"/>
          <w:pgMar w:top="980" w:bottom="280" w:left="640" w:right="760"/>
        </w:sectPr>
      </w:pPr>
    </w:p>
    <w:p>
      <w:pPr>
        <w:tabs>
          <w:tab w:pos="791" w:val="left" w:leader="none"/>
        </w:tabs>
        <w:spacing w:line="120" w:lineRule="exact" w:before="45"/>
        <w:ind w:left="791" w:right="329" w:hanging="632"/>
        <w:jc w:val="left"/>
        <w:rPr>
          <w:sz w:val="12"/>
        </w:rPr>
      </w:pPr>
      <w:r>
        <w:rPr>
          <w:color w:val="231F20"/>
          <w:w w:val="110"/>
          <w:sz w:val="12"/>
        </w:rPr>
        <w:t>1997</w:t>
        <w:tab/>
        <w:t>Proyecto</w:t>
      </w:r>
      <w:r>
        <w:rPr>
          <w:color w:val="231F20"/>
          <w:spacing w:val="-10"/>
          <w:w w:val="110"/>
          <w:sz w:val="12"/>
        </w:rPr>
        <w:t> </w:t>
      </w:r>
      <w:r>
        <w:rPr>
          <w:color w:val="231F20"/>
          <w:w w:val="110"/>
          <w:sz w:val="12"/>
        </w:rPr>
        <w:t>para</w:t>
      </w:r>
      <w:r>
        <w:rPr>
          <w:color w:val="231F20"/>
          <w:spacing w:val="-10"/>
          <w:w w:val="110"/>
          <w:sz w:val="12"/>
        </w:rPr>
        <w:t> </w:t>
      </w:r>
      <w:r>
        <w:rPr>
          <w:color w:val="231F20"/>
          <w:w w:val="110"/>
          <w:sz w:val="12"/>
        </w:rPr>
        <w:t>un</w:t>
      </w:r>
      <w:r>
        <w:rPr>
          <w:color w:val="231F20"/>
          <w:spacing w:val="-10"/>
          <w:w w:val="110"/>
          <w:sz w:val="12"/>
        </w:rPr>
        <w:t> </w:t>
      </w:r>
      <w:r>
        <w:rPr>
          <w:color w:val="231F20"/>
          <w:w w:val="110"/>
          <w:sz w:val="12"/>
        </w:rPr>
        <w:t>Nuevo</w:t>
      </w:r>
      <w:r>
        <w:rPr>
          <w:color w:val="231F20"/>
          <w:spacing w:val="-10"/>
          <w:w w:val="110"/>
          <w:sz w:val="12"/>
        </w:rPr>
        <w:t> </w:t>
      </w:r>
      <w:r>
        <w:rPr>
          <w:color w:val="231F20"/>
          <w:w w:val="110"/>
          <w:sz w:val="12"/>
        </w:rPr>
        <w:t>Siglo</w:t>
      </w:r>
      <w:r>
        <w:rPr>
          <w:color w:val="231F20"/>
          <w:w w:val="102"/>
          <w:sz w:val="12"/>
        </w:rPr>
        <w:t> </w:t>
      </w:r>
      <w:r>
        <w:rPr>
          <w:color w:val="231F20"/>
          <w:w w:val="110"/>
          <w:sz w:val="12"/>
        </w:rPr>
        <w:t>Americano</w:t>
      </w:r>
    </w:p>
    <w:p>
      <w:pPr>
        <w:tabs>
          <w:tab w:pos="791" w:val="left" w:leader="none"/>
        </w:tabs>
        <w:spacing w:line="120" w:lineRule="exact" w:before="47"/>
        <w:ind w:left="791" w:right="0" w:hanging="632"/>
        <w:jc w:val="left"/>
        <w:rPr>
          <w:sz w:val="12"/>
        </w:rPr>
      </w:pPr>
      <w:r>
        <w:rPr>
          <w:color w:val="231F20"/>
          <w:w w:val="105"/>
          <w:sz w:val="12"/>
        </w:rPr>
        <w:t>1998</w:t>
        <w:tab/>
        <w:t>2a. Cumbre de las</w:t>
      </w:r>
      <w:r>
        <w:rPr>
          <w:color w:val="231F20"/>
          <w:spacing w:val="22"/>
          <w:w w:val="105"/>
          <w:sz w:val="12"/>
        </w:rPr>
        <w:t> </w:t>
      </w:r>
      <w:r>
        <w:rPr>
          <w:color w:val="231F20"/>
          <w:w w:val="105"/>
          <w:sz w:val="12"/>
        </w:rPr>
        <w:t>Américas</w:t>
      </w:r>
      <w:r>
        <w:rPr>
          <w:color w:val="231F20"/>
          <w:spacing w:val="5"/>
          <w:w w:val="105"/>
          <w:sz w:val="12"/>
        </w:rPr>
        <w:t> </w:t>
      </w:r>
      <w:r>
        <w:rPr>
          <w:color w:val="231F20"/>
          <w:w w:val="105"/>
          <w:sz w:val="12"/>
        </w:rPr>
        <w:t>(Santia-</w:t>
      </w:r>
      <w:r>
        <w:rPr>
          <w:color w:val="231F20"/>
          <w:w w:val="72"/>
          <w:sz w:val="12"/>
        </w:rPr>
        <w:t> </w:t>
      </w:r>
      <w:r>
        <w:rPr>
          <w:color w:val="231F20"/>
          <w:w w:val="105"/>
          <w:sz w:val="12"/>
        </w:rPr>
        <w:t>go  de Chile)</w:t>
      </w:r>
    </w:p>
    <w:p>
      <w:pPr>
        <w:spacing w:line="120" w:lineRule="exact" w:before="45"/>
        <w:ind w:left="160" w:right="0" w:firstLine="0"/>
        <w:jc w:val="left"/>
        <w:rPr>
          <w:sz w:val="12"/>
        </w:rPr>
      </w:pPr>
      <w:r>
        <w:rPr/>
        <w:br w:type="column"/>
      </w:r>
      <w:r>
        <w:rPr>
          <w:color w:val="231F20"/>
          <w:w w:val="110"/>
          <w:sz w:val="12"/>
        </w:rPr>
        <w:t>Centro de Estudios de Defensa Hemisférica</w:t>
      </w:r>
    </w:p>
    <w:p>
      <w:pPr>
        <w:spacing w:line="120" w:lineRule="exact" w:before="47"/>
        <w:ind w:left="160" w:right="565" w:firstLine="0"/>
        <w:jc w:val="left"/>
        <w:rPr>
          <w:sz w:val="12"/>
        </w:rPr>
      </w:pPr>
      <w:r>
        <w:rPr>
          <w:color w:val="231F20"/>
          <w:w w:val="105"/>
          <w:sz w:val="12"/>
        </w:rPr>
        <w:t>A National Strategy for a New Century</w:t>
      </w:r>
    </w:p>
    <w:p>
      <w:pPr>
        <w:spacing w:before="31"/>
        <w:ind w:left="160" w:right="0" w:firstLine="0"/>
        <w:jc w:val="left"/>
        <w:rPr>
          <w:sz w:val="12"/>
        </w:rPr>
      </w:pPr>
      <w:r>
        <w:rPr>
          <w:color w:val="231F20"/>
          <w:w w:val="110"/>
          <w:sz w:val="12"/>
        </w:rPr>
        <w:t>Estrategia Antidrogas del Hemisferio</w:t>
      </w:r>
    </w:p>
    <w:p>
      <w:pPr>
        <w:spacing w:line="120" w:lineRule="exact" w:before="45"/>
        <w:ind w:left="160" w:right="417" w:firstLine="0"/>
        <w:jc w:val="left"/>
        <w:rPr>
          <w:sz w:val="12"/>
        </w:rPr>
      </w:pPr>
      <w:r>
        <w:rPr>
          <w:color w:val="231F20"/>
          <w:w w:val="105"/>
          <w:sz w:val="12"/>
        </w:rPr>
        <w:t>Mecanismo de Evaluación Multi- lateral</w:t>
      </w:r>
    </w:p>
    <w:p>
      <w:pPr>
        <w:spacing w:after="0" w:line="120" w:lineRule="exact"/>
        <w:jc w:val="left"/>
        <w:rPr>
          <w:sz w:val="12"/>
        </w:rPr>
        <w:sectPr>
          <w:type w:val="continuous"/>
          <w:pgSz w:w="7640" w:h="11900"/>
          <w:pgMar w:top="980" w:bottom="280" w:left="640" w:right="760"/>
          <w:cols w:num="2" w:equalWidth="0">
            <w:col w:w="2676" w:space="1276"/>
            <w:col w:w="2288"/>
          </w:cols>
        </w:sectPr>
      </w:pPr>
    </w:p>
    <w:p>
      <w:pPr>
        <w:tabs>
          <w:tab w:pos="4111" w:val="left" w:leader="none"/>
        </w:tabs>
        <w:spacing w:before="31"/>
        <w:ind w:left="160" w:right="25" w:firstLine="0"/>
        <w:jc w:val="left"/>
        <w:rPr>
          <w:sz w:val="12"/>
        </w:rPr>
      </w:pPr>
      <w:r>
        <w:rPr>
          <w:color w:val="231F20"/>
          <w:w w:val="105"/>
          <w:sz w:val="12"/>
        </w:rPr>
        <w:t>1999</w:t>
        <w:tab/>
        <w:t>Plan</w:t>
      </w:r>
      <w:r>
        <w:rPr>
          <w:color w:val="231F20"/>
          <w:spacing w:val="22"/>
          <w:w w:val="105"/>
          <w:sz w:val="12"/>
        </w:rPr>
        <w:t> </w:t>
      </w:r>
      <w:r>
        <w:rPr>
          <w:color w:val="231F20"/>
          <w:w w:val="105"/>
          <w:sz w:val="12"/>
        </w:rPr>
        <w:t>Colombia</w:t>
      </w:r>
    </w:p>
    <w:p>
      <w:pPr>
        <w:tabs>
          <w:tab w:pos="4111" w:val="left" w:leader="none"/>
        </w:tabs>
        <w:spacing w:before="29"/>
        <w:ind w:left="160" w:right="25" w:firstLine="0"/>
        <w:jc w:val="left"/>
        <w:rPr>
          <w:sz w:val="12"/>
        </w:rPr>
      </w:pPr>
      <w:r>
        <w:rPr>
          <w:color w:val="231F20"/>
          <w:w w:val="105"/>
          <w:sz w:val="12"/>
        </w:rPr>
        <w:t>2000</w:t>
        <w:tab/>
        <w:t>Santa Fe</w:t>
      </w:r>
      <w:r>
        <w:rPr>
          <w:color w:val="231F20"/>
          <w:spacing w:val="-8"/>
          <w:w w:val="105"/>
          <w:sz w:val="12"/>
        </w:rPr>
        <w:t> </w:t>
      </w:r>
      <w:r>
        <w:rPr>
          <w:color w:val="231F20"/>
          <w:w w:val="105"/>
          <w:sz w:val="12"/>
        </w:rPr>
        <w:t>IV</w:t>
      </w:r>
    </w:p>
    <w:p>
      <w:pPr>
        <w:spacing w:after="0"/>
        <w:jc w:val="left"/>
        <w:rPr>
          <w:sz w:val="12"/>
        </w:rPr>
        <w:sectPr>
          <w:type w:val="continuous"/>
          <w:pgSz w:w="7640" w:h="11900"/>
          <w:pgMar w:top="980" w:bottom="280" w:left="640" w:right="760"/>
        </w:sectPr>
      </w:pPr>
    </w:p>
    <w:p>
      <w:pPr>
        <w:tabs>
          <w:tab w:pos="791" w:val="left" w:leader="none"/>
        </w:tabs>
        <w:spacing w:line="129" w:lineRule="exact" w:before="29"/>
        <w:ind w:left="160" w:right="0" w:firstLine="0"/>
        <w:jc w:val="left"/>
        <w:rPr>
          <w:sz w:val="12"/>
        </w:rPr>
      </w:pPr>
      <w:r>
        <w:rPr>
          <w:color w:val="231F20"/>
          <w:w w:val="105"/>
          <w:sz w:val="12"/>
        </w:rPr>
        <w:t>2001</w:t>
        <w:tab/>
        <w:t>3a. Cumbre de las</w:t>
      </w:r>
      <w:r>
        <w:rPr>
          <w:color w:val="231F20"/>
          <w:spacing w:val="24"/>
          <w:w w:val="105"/>
          <w:sz w:val="12"/>
        </w:rPr>
        <w:t> </w:t>
      </w:r>
      <w:r>
        <w:rPr>
          <w:color w:val="231F20"/>
          <w:w w:val="105"/>
          <w:sz w:val="12"/>
        </w:rPr>
        <w:t>Américas</w:t>
      </w:r>
    </w:p>
    <w:p>
      <w:pPr>
        <w:spacing w:line="120" w:lineRule="exact" w:before="7"/>
        <w:ind w:left="791" w:right="-17" w:firstLine="0"/>
        <w:jc w:val="left"/>
        <w:rPr>
          <w:sz w:val="12"/>
        </w:rPr>
      </w:pPr>
      <w:r>
        <w:rPr>
          <w:color w:val="231F20"/>
          <w:w w:val="110"/>
          <w:sz w:val="12"/>
        </w:rPr>
        <w:t>(Quebec) Carta Democrática</w:t>
      </w:r>
      <w:r>
        <w:rPr>
          <w:color w:val="231F20"/>
          <w:spacing w:val="-4"/>
          <w:w w:val="110"/>
          <w:sz w:val="12"/>
        </w:rPr>
        <w:t> </w:t>
      </w:r>
      <w:r>
        <w:rPr>
          <w:color w:val="231F20"/>
          <w:w w:val="110"/>
          <w:sz w:val="12"/>
        </w:rPr>
        <w:t>Inte- ramericana</w:t>
      </w:r>
    </w:p>
    <w:p>
      <w:pPr>
        <w:tabs>
          <w:tab w:pos="1439" w:val="left" w:leader="none"/>
        </w:tabs>
        <w:spacing w:before="29"/>
        <w:ind w:left="160" w:right="0" w:firstLine="0"/>
        <w:jc w:val="left"/>
        <w:rPr>
          <w:sz w:val="12"/>
        </w:rPr>
      </w:pPr>
      <w:r>
        <w:rPr/>
        <w:br w:type="column"/>
      </w:r>
      <w:r>
        <w:rPr>
          <w:color w:val="231F20"/>
          <w:w w:val="110"/>
          <w:sz w:val="12"/>
        </w:rPr>
        <w:t>Plan</w:t>
      </w:r>
      <w:r>
        <w:rPr>
          <w:color w:val="231F20"/>
          <w:spacing w:val="-3"/>
          <w:w w:val="110"/>
          <w:sz w:val="12"/>
        </w:rPr>
        <w:t> </w:t>
      </w:r>
      <w:r>
        <w:rPr>
          <w:color w:val="231F20"/>
          <w:w w:val="110"/>
          <w:sz w:val="12"/>
        </w:rPr>
        <w:t>Puebla</w:t>
      </w:r>
      <w:r>
        <w:rPr>
          <w:color w:val="231F20"/>
          <w:spacing w:val="-3"/>
          <w:w w:val="110"/>
          <w:sz w:val="12"/>
        </w:rPr>
        <w:t> </w:t>
      </w:r>
      <w:r>
        <w:rPr>
          <w:color w:val="231F20"/>
          <w:w w:val="110"/>
          <w:sz w:val="12"/>
        </w:rPr>
        <w:t>Panamá</w:t>
        <w:tab/>
        <w:t>Act</w:t>
      </w:r>
      <w:r>
        <w:rPr>
          <w:color w:val="231F20"/>
          <w:spacing w:val="-19"/>
          <w:w w:val="110"/>
          <w:sz w:val="12"/>
        </w:rPr>
        <w:t> </w:t>
      </w:r>
      <w:r>
        <w:rPr>
          <w:color w:val="231F20"/>
          <w:w w:val="110"/>
          <w:sz w:val="12"/>
        </w:rPr>
        <w:t>Patriot</w:t>
      </w:r>
    </w:p>
    <w:p>
      <w:pPr>
        <w:pStyle w:val="BodyText"/>
        <w:rPr>
          <w:sz w:val="12"/>
        </w:rPr>
      </w:pPr>
    </w:p>
    <w:p>
      <w:pPr>
        <w:pStyle w:val="BodyText"/>
        <w:spacing w:before="4"/>
        <w:rPr>
          <w:sz w:val="11"/>
        </w:rPr>
      </w:pPr>
    </w:p>
    <w:p>
      <w:pPr>
        <w:spacing w:before="1"/>
        <w:ind w:left="1440" w:right="0" w:firstLine="0"/>
        <w:jc w:val="left"/>
        <w:rPr>
          <w:sz w:val="12"/>
        </w:rPr>
      </w:pPr>
      <w:r>
        <w:rPr>
          <w:color w:val="231F20"/>
          <w:w w:val="105"/>
          <w:sz w:val="12"/>
        </w:rPr>
        <w:t>Iniciativa Regional Andina</w:t>
      </w:r>
    </w:p>
    <w:p>
      <w:pPr>
        <w:spacing w:before="29"/>
        <w:ind w:left="1440" w:right="0" w:firstLine="0"/>
        <w:jc w:val="left"/>
        <w:rPr>
          <w:sz w:val="12"/>
        </w:rPr>
      </w:pPr>
      <w:r>
        <w:rPr>
          <w:color w:val="231F20"/>
          <w:w w:val="110"/>
          <w:sz w:val="12"/>
        </w:rPr>
        <w:t>Ley de Poderes sobre Emergencias</w:t>
      </w:r>
    </w:p>
    <w:p>
      <w:pPr>
        <w:spacing w:after="0"/>
        <w:jc w:val="left"/>
        <w:rPr>
          <w:sz w:val="12"/>
        </w:rPr>
        <w:sectPr>
          <w:type w:val="continuous"/>
          <w:pgSz w:w="7640" w:h="11900"/>
          <w:pgMar w:top="980" w:bottom="280" w:left="640" w:right="760"/>
          <w:cols w:num="2" w:equalWidth="0">
            <w:col w:w="2590" w:space="82"/>
            <w:col w:w="3568"/>
          </w:cols>
        </w:sectPr>
      </w:pPr>
    </w:p>
    <w:p>
      <w:pPr>
        <w:tabs>
          <w:tab w:pos="791" w:val="left" w:leader="none"/>
          <w:tab w:pos="4111" w:val="left" w:leader="none"/>
        </w:tabs>
        <w:spacing w:line="120" w:lineRule="exact" w:before="45"/>
        <w:ind w:left="4112" w:right="448" w:hanging="3952"/>
        <w:jc w:val="left"/>
        <w:rPr>
          <w:sz w:val="12"/>
        </w:rPr>
      </w:pPr>
      <w:r>
        <w:rPr>
          <w:color w:val="231F20"/>
          <w:w w:val="110"/>
          <w:sz w:val="12"/>
        </w:rPr>
        <w:t>2002</w:t>
        <w:tab/>
        <w:t>Declaración</w:t>
      </w:r>
      <w:r>
        <w:rPr>
          <w:color w:val="231F20"/>
          <w:spacing w:val="-9"/>
          <w:w w:val="110"/>
          <w:sz w:val="12"/>
        </w:rPr>
        <w:t> </w:t>
      </w:r>
      <w:r>
        <w:rPr>
          <w:color w:val="231F20"/>
          <w:w w:val="110"/>
          <w:sz w:val="12"/>
        </w:rPr>
        <w:t>de</w:t>
      </w:r>
      <w:r>
        <w:rPr>
          <w:color w:val="231F20"/>
          <w:spacing w:val="-9"/>
          <w:w w:val="110"/>
          <w:sz w:val="12"/>
        </w:rPr>
        <w:t> </w:t>
      </w:r>
      <w:r>
        <w:rPr>
          <w:color w:val="231F20"/>
          <w:w w:val="110"/>
          <w:sz w:val="12"/>
        </w:rPr>
        <w:t>Brigetown</w:t>
        <w:tab/>
        <w:t>National Strategy</w:t>
      </w:r>
      <w:r>
        <w:rPr>
          <w:color w:val="231F20"/>
          <w:spacing w:val="-14"/>
          <w:w w:val="110"/>
          <w:sz w:val="12"/>
        </w:rPr>
        <w:t> </w:t>
      </w:r>
      <w:r>
        <w:rPr>
          <w:color w:val="231F20"/>
          <w:w w:val="110"/>
          <w:sz w:val="12"/>
        </w:rPr>
        <w:t>for</w:t>
      </w:r>
      <w:r>
        <w:rPr>
          <w:color w:val="231F20"/>
          <w:spacing w:val="-7"/>
          <w:w w:val="110"/>
          <w:sz w:val="12"/>
        </w:rPr>
        <w:t> </w:t>
      </w:r>
      <w:r>
        <w:rPr>
          <w:color w:val="231F20"/>
          <w:w w:val="110"/>
          <w:sz w:val="12"/>
        </w:rPr>
        <w:t>Homeland</w:t>
      </w:r>
      <w:r>
        <w:rPr>
          <w:color w:val="231F20"/>
          <w:w w:val="112"/>
          <w:sz w:val="12"/>
        </w:rPr>
        <w:t> </w:t>
      </w:r>
      <w:r>
        <w:rPr>
          <w:color w:val="231F20"/>
          <w:w w:val="110"/>
          <w:sz w:val="12"/>
        </w:rPr>
        <w:t>Security</w:t>
      </w:r>
    </w:p>
    <w:p>
      <w:pPr>
        <w:tabs>
          <w:tab w:pos="4111" w:val="left" w:leader="none"/>
        </w:tabs>
        <w:spacing w:before="36"/>
        <w:ind w:left="791" w:right="25" w:firstLine="0"/>
        <w:jc w:val="left"/>
        <w:rPr>
          <w:sz w:val="12"/>
        </w:rPr>
      </w:pPr>
      <w:r>
        <w:rPr>
          <w:color w:val="231F20"/>
          <w:spacing w:val="-3"/>
          <w:w w:val="110"/>
          <w:sz w:val="12"/>
        </w:rPr>
        <w:t>Trade</w:t>
      </w:r>
      <w:r>
        <w:rPr>
          <w:color w:val="231F20"/>
          <w:spacing w:val="-1"/>
          <w:w w:val="110"/>
          <w:sz w:val="12"/>
        </w:rPr>
        <w:t> </w:t>
      </w:r>
      <w:r>
        <w:rPr>
          <w:color w:val="231F20"/>
          <w:w w:val="110"/>
          <w:sz w:val="12"/>
        </w:rPr>
        <w:t>Promotion</w:t>
      </w:r>
      <w:r>
        <w:rPr>
          <w:color w:val="231F20"/>
          <w:spacing w:val="-1"/>
          <w:w w:val="110"/>
          <w:sz w:val="12"/>
        </w:rPr>
        <w:t> </w:t>
      </w:r>
      <w:r>
        <w:rPr>
          <w:color w:val="231F20"/>
          <w:w w:val="110"/>
          <w:sz w:val="12"/>
        </w:rPr>
        <w:t>Authrority</w:t>
        <w:tab/>
        <w:t>Northcom</w:t>
      </w:r>
    </w:p>
    <w:p>
      <w:pPr>
        <w:spacing w:before="29"/>
        <w:ind w:left="4112" w:right="25" w:firstLine="0"/>
        <w:jc w:val="left"/>
        <w:rPr>
          <w:sz w:val="12"/>
        </w:rPr>
      </w:pPr>
      <w:r>
        <w:rPr>
          <w:color w:val="231F20"/>
          <w:w w:val="110"/>
          <w:sz w:val="12"/>
        </w:rPr>
        <w:t>Smart Border Agreements</w:t>
      </w:r>
    </w:p>
    <w:p>
      <w:pPr>
        <w:spacing w:after="0"/>
        <w:jc w:val="left"/>
        <w:rPr>
          <w:sz w:val="12"/>
        </w:rPr>
        <w:sectPr>
          <w:type w:val="continuous"/>
          <w:pgSz w:w="7640" w:h="11900"/>
          <w:pgMar w:top="980" w:bottom="280" w:left="640" w:right="760"/>
        </w:sectPr>
      </w:pPr>
    </w:p>
    <w:p>
      <w:pPr>
        <w:tabs>
          <w:tab w:pos="791" w:val="left" w:leader="none"/>
        </w:tabs>
        <w:spacing w:line="120" w:lineRule="exact" w:before="45"/>
        <w:ind w:left="791" w:right="82" w:hanging="632"/>
        <w:jc w:val="left"/>
        <w:rPr>
          <w:sz w:val="12"/>
        </w:rPr>
      </w:pPr>
      <w:r>
        <w:rPr>
          <w:color w:val="231F20"/>
          <w:w w:val="110"/>
          <w:sz w:val="12"/>
        </w:rPr>
        <w:t>2003</w:t>
        <w:tab/>
        <w:t>Declaración sobre Seguridad</w:t>
      </w:r>
      <w:r>
        <w:rPr>
          <w:color w:val="231F20"/>
          <w:spacing w:val="-21"/>
          <w:w w:val="110"/>
          <w:sz w:val="12"/>
        </w:rPr>
        <w:t> </w:t>
      </w:r>
      <w:r>
        <w:rPr>
          <w:color w:val="231F20"/>
          <w:w w:val="110"/>
          <w:sz w:val="12"/>
        </w:rPr>
        <w:t>de</w:t>
      </w:r>
      <w:r>
        <w:rPr>
          <w:color w:val="231F20"/>
          <w:spacing w:val="-7"/>
          <w:w w:val="110"/>
          <w:sz w:val="12"/>
        </w:rPr>
        <w:t> </w:t>
      </w:r>
      <w:r>
        <w:rPr>
          <w:color w:val="231F20"/>
          <w:w w:val="110"/>
          <w:sz w:val="12"/>
        </w:rPr>
        <w:t>las</w:t>
      </w:r>
      <w:r>
        <w:rPr>
          <w:color w:val="231F20"/>
          <w:w w:val="100"/>
          <w:sz w:val="12"/>
        </w:rPr>
        <w:t> </w:t>
      </w:r>
      <w:r>
        <w:rPr>
          <w:color w:val="231F20"/>
          <w:w w:val="110"/>
          <w:sz w:val="12"/>
        </w:rPr>
        <w:t>Américas</w:t>
      </w:r>
    </w:p>
    <w:p>
      <w:pPr>
        <w:pStyle w:val="BodyText"/>
        <w:rPr>
          <w:sz w:val="12"/>
        </w:rPr>
      </w:pPr>
    </w:p>
    <w:p>
      <w:pPr>
        <w:pStyle w:val="BodyText"/>
        <w:rPr>
          <w:sz w:val="12"/>
        </w:rPr>
      </w:pPr>
    </w:p>
    <w:p>
      <w:pPr>
        <w:pStyle w:val="BodyText"/>
        <w:rPr>
          <w:sz w:val="12"/>
        </w:rPr>
      </w:pPr>
    </w:p>
    <w:p>
      <w:pPr>
        <w:pStyle w:val="BodyText"/>
        <w:rPr>
          <w:sz w:val="12"/>
        </w:rPr>
      </w:pPr>
    </w:p>
    <w:p>
      <w:pPr>
        <w:tabs>
          <w:tab w:pos="791" w:val="left" w:leader="none"/>
        </w:tabs>
        <w:spacing w:line="120" w:lineRule="exact" w:before="70"/>
        <w:ind w:left="791" w:right="0" w:hanging="632"/>
        <w:jc w:val="left"/>
        <w:rPr>
          <w:sz w:val="12"/>
        </w:rPr>
      </w:pPr>
      <w:r>
        <w:rPr>
          <w:color w:val="231F20"/>
          <w:w w:val="110"/>
          <w:sz w:val="12"/>
        </w:rPr>
        <w:t>2004</w:t>
        <w:tab/>
        <w:t>Cumbre</w:t>
      </w:r>
      <w:r>
        <w:rPr>
          <w:color w:val="231F20"/>
          <w:spacing w:val="-3"/>
          <w:w w:val="110"/>
          <w:sz w:val="12"/>
        </w:rPr>
        <w:t> </w:t>
      </w:r>
      <w:r>
        <w:rPr>
          <w:color w:val="231F20"/>
          <w:w w:val="110"/>
          <w:sz w:val="12"/>
        </w:rPr>
        <w:t>Extraordinaria.</w:t>
      </w:r>
      <w:r>
        <w:rPr>
          <w:color w:val="231F20"/>
          <w:spacing w:val="-3"/>
          <w:w w:val="110"/>
          <w:sz w:val="12"/>
        </w:rPr>
        <w:t> </w:t>
      </w:r>
      <w:r>
        <w:rPr>
          <w:color w:val="231F20"/>
          <w:w w:val="110"/>
          <w:sz w:val="12"/>
        </w:rPr>
        <w:t>Declaración</w:t>
      </w:r>
      <w:r>
        <w:rPr>
          <w:color w:val="231F20"/>
          <w:w w:val="108"/>
          <w:sz w:val="12"/>
        </w:rPr>
        <w:t> </w:t>
      </w:r>
      <w:r>
        <w:rPr>
          <w:color w:val="231F20"/>
          <w:w w:val="110"/>
          <w:sz w:val="12"/>
        </w:rPr>
        <w:t>de Nuevo</w:t>
      </w:r>
      <w:r>
        <w:rPr>
          <w:color w:val="231F20"/>
          <w:spacing w:val="-11"/>
          <w:w w:val="110"/>
          <w:sz w:val="12"/>
        </w:rPr>
        <w:t> </w:t>
      </w:r>
      <w:r>
        <w:rPr>
          <w:color w:val="231F20"/>
          <w:w w:val="110"/>
          <w:sz w:val="12"/>
        </w:rPr>
        <w:t>León</w:t>
      </w:r>
    </w:p>
    <w:p>
      <w:pPr>
        <w:tabs>
          <w:tab w:pos="1359" w:val="left" w:leader="none"/>
        </w:tabs>
        <w:spacing w:line="120" w:lineRule="exact" w:before="45"/>
        <w:ind w:left="1359" w:right="438" w:hanging="1280"/>
        <w:jc w:val="left"/>
        <w:rPr>
          <w:sz w:val="12"/>
        </w:rPr>
      </w:pPr>
      <w:r>
        <w:rPr/>
        <w:br w:type="column"/>
      </w:r>
      <w:r>
        <w:rPr>
          <w:color w:val="231F20"/>
          <w:w w:val="140"/>
          <w:sz w:val="12"/>
        </w:rPr>
        <w:t>tlc</w:t>
      </w:r>
      <w:r>
        <w:rPr>
          <w:color w:val="231F20"/>
          <w:spacing w:val="-9"/>
          <w:w w:val="140"/>
          <w:sz w:val="12"/>
        </w:rPr>
        <w:t> </w:t>
      </w:r>
      <w:r>
        <w:rPr>
          <w:color w:val="231F20"/>
          <w:w w:val="115"/>
          <w:sz w:val="12"/>
        </w:rPr>
        <w:t>Chile</w:t>
        <w:tab/>
      </w:r>
      <w:r>
        <w:rPr>
          <w:color w:val="231F20"/>
          <w:w w:val="110"/>
          <w:sz w:val="12"/>
        </w:rPr>
        <w:t>National</w:t>
      </w:r>
      <w:r>
        <w:rPr>
          <w:color w:val="231F20"/>
          <w:spacing w:val="-13"/>
          <w:w w:val="110"/>
          <w:sz w:val="12"/>
        </w:rPr>
        <w:t> </w:t>
      </w:r>
      <w:r>
        <w:rPr>
          <w:color w:val="231F20"/>
          <w:w w:val="110"/>
          <w:sz w:val="12"/>
        </w:rPr>
        <w:t>Security</w:t>
      </w:r>
      <w:r>
        <w:rPr>
          <w:color w:val="231F20"/>
          <w:spacing w:val="-13"/>
          <w:w w:val="110"/>
          <w:sz w:val="12"/>
        </w:rPr>
        <w:t> </w:t>
      </w:r>
      <w:r>
        <w:rPr>
          <w:color w:val="231F20"/>
          <w:w w:val="110"/>
          <w:sz w:val="12"/>
        </w:rPr>
        <w:t>Strategy</w:t>
      </w:r>
      <w:r>
        <w:rPr>
          <w:color w:val="231F20"/>
          <w:spacing w:val="-13"/>
          <w:w w:val="110"/>
          <w:sz w:val="12"/>
        </w:rPr>
        <w:t> </w:t>
      </w:r>
      <w:r>
        <w:rPr>
          <w:color w:val="231F20"/>
          <w:w w:val="110"/>
          <w:sz w:val="12"/>
        </w:rPr>
        <w:t>of</w:t>
      </w:r>
      <w:r>
        <w:rPr>
          <w:color w:val="231F20"/>
          <w:spacing w:val="-13"/>
          <w:w w:val="110"/>
          <w:sz w:val="12"/>
        </w:rPr>
        <w:t> </w:t>
      </w:r>
      <w:r>
        <w:rPr>
          <w:color w:val="231F20"/>
          <w:w w:val="110"/>
          <w:sz w:val="12"/>
        </w:rPr>
        <w:t>the</w:t>
      </w:r>
      <w:r>
        <w:rPr>
          <w:color w:val="231F20"/>
          <w:w w:val="116"/>
          <w:sz w:val="12"/>
        </w:rPr>
        <w:t> </w:t>
      </w:r>
      <w:r>
        <w:rPr>
          <w:color w:val="231F20"/>
          <w:w w:val="110"/>
          <w:sz w:val="12"/>
        </w:rPr>
        <w:t>United</w:t>
      </w:r>
      <w:r>
        <w:rPr>
          <w:color w:val="231F20"/>
          <w:spacing w:val="-10"/>
          <w:w w:val="110"/>
          <w:sz w:val="12"/>
        </w:rPr>
        <w:t> </w:t>
      </w:r>
      <w:r>
        <w:rPr>
          <w:color w:val="231F20"/>
          <w:w w:val="110"/>
          <w:sz w:val="12"/>
        </w:rPr>
        <w:t>States</w:t>
      </w:r>
    </w:p>
    <w:p>
      <w:pPr>
        <w:spacing w:line="120" w:lineRule="exact" w:before="47"/>
        <w:ind w:left="1359" w:right="0" w:firstLine="0"/>
        <w:jc w:val="left"/>
        <w:rPr>
          <w:sz w:val="12"/>
        </w:rPr>
      </w:pPr>
      <w:r>
        <w:rPr>
          <w:color w:val="231F20"/>
          <w:w w:val="110"/>
          <w:sz w:val="12"/>
        </w:rPr>
        <w:t>Declaración sobre Seguridad de las</w:t>
      </w:r>
      <w:r>
        <w:rPr>
          <w:color w:val="231F20"/>
          <w:w w:val="100"/>
          <w:sz w:val="12"/>
        </w:rPr>
        <w:t> </w:t>
      </w:r>
      <w:r>
        <w:rPr>
          <w:color w:val="231F20"/>
          <w:w w:val="110"/>
          <w:sz w:val="12"/>
        </w:rPr>
        <w:t>Américas</w:t>
      </w:r>
    </w:p>
    <w:p>
      <w:pPr>
        <w:spacing w:line="120" w:lineRule="exact" w:before="47"/>
        <w:ind w:left="1359" w:right="0" w:firstLine="0"/>
        <w:jc w:val="left"/>
        <w:rPr>
          <w:sz w:val="12"/>
        </w:rPr>
      </w:pPr>
      <w:r>
        <w:rPr>
          <w:color w:val="231F20"/>
          <w:w w:val="110"/>
          <w:sz w:val="12"/>
        </w:rPr>
        <w:t>National Strategy for Combating Terrorism</w:t>
      </w:r>
    </w:p>
    <w:p>
      <w:pPr>
        <w:tabs>
          <w:tab w:pos="1359" w:val="left" w:leader="none"/>
        </w:tabs>
        <w:spacing w:before="31"/>
        <w:ind w:left="79" w:right="0" w:firstLine="0"/>
        <w:jc w:val="left"/>
        <w:rPr>
          <w:sz w:val="12"/>
        </w:rPr>
      </w:pPr>
      <w:r>
        <w:rPr>
          <w:color w:val="231F20"/>
          <w:w w:val="135"/>
          <w:sz w:val="12"/>
        </w:rPr>
        <w:t>tlc</w:t>
      </w:r>
      <w:r>
        <w:rPr>
          <w:color w:val="231F20"/>
          <w:spacing w:val="15"/>
          <w:w w:val="135"/>
          <w:sz w:val="12"/>
        </w:rPr>
        <w:t> </w:t>
      </w:r>
      <w:r>
        <w:rPr>
          <w:color w:val="231F20"/>
          <w:w w:val="120"/>
          <w:sz w:val="12"/>
        </w:rPr>
        <w:t>cafta-rd</w:t>
        <w:tab/>
      </w:r>
      <w:r>
        <w:rPr>
          <w:color w:val="231F20"/>
          <w:w w:val="110"/>
          <w:sz w:val="12"/>
        </w:rPr>
        <w:t>Declaración de Nuevo</w:t>
      </w:r>
      <w:r>
        <w:rPr>
          <w:color w:val="231F20"/>
          <w:spacing w:val="-21"/>
          <w:w w:val="110"/>
          <w:sz w:val="12"/>
        </w:rPr>
        <w:t> </w:t>
      </w:r>
      <w:r>
        <w:rPr>
          <w:color w:val="231F20"/>
          <w:w w:val="110"/>
          <w:sz w:val="12"/>
        </w:rPr>
        <w:t>León</w:t>
      </w:r>
    </w:p>
    <w:p>
      <w:pPr>
        <w:spacing w:after="0"/>
        <w:jc w:val="left"/>
        <w:rPr>
          <w:sz w:val="12"/>
        </w:rPr>
        <w:sectPr>
          <w:type w:val="continuous"/>
          <w:pgSz w:w="7640" w:h="11900"/>
          <w:pgMar w:top="980" w:bottom="280" w:left="640" w:right="760"/>
          <w:cols w:num="2" w:equalWidth="0">
            <w:col w:w="2713" w:space="40"/>
            <w:col w:w="3487"/>
          </w:cols>
        </w:sectPr>
      </w:pPr>
    </w:p>
    <w:p>
      <w:pPr>
        <w:tabs>
          <w:tab w:pos="823" w:val="left" w:leader="none"/>
          <w:tab w:pos="4111" w:val="left" w:leader="none"/>
        </w:tabs>
        <w:spacing w:before="31"/>
        <w:ind w:left="160" w:right="25" w:firstLine="0"/>
        <w:jc w:val="left"/>
        <w:rPr>
          <w:sz w:val="12"/>
        </w:rPr>
      </w:pPr>
      <w:r>
        <w:rPr>
          <w:color w:val="231F20"/>
          <w:w w:val="110"/>
          <w:sz w:val="12"/>
        </w:rPr>
        <w:t>2005</w:t>
        <w:tab/>
        <w:t>4a. Cumbre de Mar</w:t>
      </w:r>
      <w:r>
        <w:rPr>
          <w:color w:val="231F20"/>
          <w:spacing w:val="-15"/>
          <w:w w:val="110"/>
          <w:sz w:val="12"/>
        </w:rPr>
        <w:t> </w:t>
      </w:r>
      <w:r>
        <w:rPr>
          <w:color w:val="231F20"/>
          <w:w w:val="110"/>
          <w:sz w:val="12"/>
        </w:rPr>
        <w:t>del</w:t>
      </w:r>
      <w:r>
        <w:rPr>
          <w:color w:val="231F20"/>
          <w:spacing w:val="-4"/>
          <w:w w:val="110"/>
          <w:sz w:val="12"/>
        </w:rPr>
        <w:t> </w:t>
      </w:r>
      <w:r>
        <w:rPr>
          <w:color w:val="231F20"/>
          <w:w w:val="110"/>
          <w:sz w:val="12"/>
        </w:rPr>
        <w:t>Plata</w:t>
        <w:tab/>
        <w:t>aspan</w:t>
      </w:r>
    </w:p>
    <w:p>
      <w:pPr>
        <w:tabs>
          <w:tab w:pos="2831" w:val="left" w:leader="none"/>
          <w:tab w:pos="4111" w:val="left" w:leader="none"/>
        </w:tabs>
        <w:spacing w:line="120" w:lineRule="exact" w:before="45"/>
        <w:ind w:left="4112" w:right="438" w:hanging="3952"/>
        <w:jc w:val="left"/>
        <w:rPr>
          <w:sz w:val="12"/>
        </w:rPr>
      </w:pPr>
      <w:r>
        <w:rPr>
          <w:color w:val="231F20"/>
          <w:w w:val="115"/>
          <w:sz w:val="12"/>
        </w:rPr>
        <w:t>2006</w:t>
        <w:tab/>
      </w:r>
      <w:r>
        <w:rPr>
          <w:color w:val="231F20"/>
          <w:w w:val="140"/>
          <w:sz w:val="12"/>
        </w:rPr>
        <w:t>tlc</w:t>
      </w:r>
      <w:r>
        <w:rPr>
          <w:color w:val="231F20"/>
          <w:spacing w:val="-5"/>
          <w:w w:val="140"/>
          <w:sz w:val="12"/>
        </w:rPr>
        <w:t> </w:t>
      </w:r>
      <w:r>
        <w:rPr>
          <w:color w:val="231F20"/>
          <w:w w:val="115"/>
          <w:sz w:val="12"/>
        </w:rPr>
        <w:t>Perú</w:t>
        <w:tab/>
      </w:r>
      <w:r>
        <w:rPr>
          <w:color w:val="231F20"/>
          <w:w w:val="110"/>
          <w:sz w:val="12"/>
        </w:rPr>
        <w:t>National</w:t>
      </w:r>
      <w:r>
        <w:rPr>
          <w:color w:val="231F20"/>
          <w:spacing w:val="-13"/>
          <w:w w:val="110"/>
          <w:sz w:val="12"/>
        </w:rPr>
        <w:t> </w:t>
      </w:r>
      <w:r>
        <w:rPr>
          <w:color w:val="231F20"/>
          <w:w w:val="110"/>
          <w:sz w:val="12"/>
        </w:rPr>
        <w:t>Security</w:t>
      </w:r>
      <w:r>
        <w:rPr>
          <w:color w:val="231F20"/>
          <w:spacing w:val="-13"/>
          <w:w w:val="110"/>
          <w:sz w:val="12"/>
        </w:rPr>
        <w:t> </w:t>
      </w:r>
      <w:r>
        <w:rPr>
          <w:color w:val="231F20"/>
          <w:w w:val="110"/>
          <w:sz w:val="12"/>
        </w:rPr>
        <w:t>Strategy</w:t>
      </w:r>
      <w:r>
        <w:rPr>
          <w:color w:val="231F20"/>
          <w:spacing w:val="-13"/>
          <w:w w:val="110"/>
          <w:sz w:val="12"/>
        </w:rPr>
        <w:t> </w:t>
      </w:r>
      <w:r>
        <w:rPr>
          <w:color w:val="231F20"/>
          <w:w w:val="110"/>
          <w:sz w:val="12"/>
        </w:rPr>
        <w:t>of</w:t>
      </w:r>
      <w:r>
        <w:rPr>
          <w:color w:val="231F20"/>
          <w:spacing w:val="-13"/>
          <w:w w:val="110"/>
          <w:sz w:val="12"/>
        </w:rPr>
        <w:t> </w:t>
      </w:r>
      <w:r>
        <w:rPr>
          <w:color w:val="231F20"/>
          <w:w w:val="110"/>
          <w:sz w:val="12"/>
        </w:rPr>
        <w:t>the</w:t>
      </w:r>
      <w:r>
        <w:rPr>
          <w:color w:val="231F20"/>
          <w:w w:val="116"/>
          <w:sz w:val="12"/>
        </w:rPr>
        <w:t> </w:t>
      </w:r>
      <w:r>
        <w:rPr>
          <w:color w:val="231F20"/>
          <w:w w:val="110"/>
          <w:sz w:val="12"/>
        </w:rPr>
        <w:t>United</w:t>
      </w:r>
      <w:r>
        <w:rPr>
          <w:color w:val="231F20"/>
          <w:spacing w:val="-10"/>
          <w:w w:val="110"/>
          <w:sz w:val="12"/>
        </w:rPr>
        <w:t> </w:t>
      </w:r>
      <w:r>
        <w:rPr>
          <w:color w:val="231F20"/>
          <w:w w:val="110"/>
          <w:sz w:val="12"/>
        </w:rPr>
        <w:t>States</w:t>
      </w:r>
    </w:p>
    <w:p>
      <w:pPr>
        <w:spacing w:line="120" w:lineRule="exact" w:before="47"/>
        <w:ind w:left="4112" w:right="25" w:firstLine="0"/>
        <w:jc w:val="left"/>
        <w:rPr>
          <w:sz w:val="12"/>
        </w:rPr>
      </w:pPr>
      <w:r>
        <w:rPr>
          <w:color w:val="231F20"/>
          <w:w w:val="110"/>
          <w:sz w:val="12"/>
        </w:rPr>
        <w:t>National Strategy for Combating Terrorism</w:t>
      </w:r>
    </w:p>
    <w:p>
      <w:pPr>
        <w:spacing w:after="0" w:line="120" w:lineRule="exact"/>
        <w:jc w:val="left"/>
        <w:rPr>
          <w:sz w:val="12"/>
        </w:rPr>
        <w:sectPr>
          <w:type w:val="continuous"/>
          <w:pgSz w:w="7640" w:h="11900"/>
          <w:pgMar w:top="980" w:bottom="280" w:left="640" w:right="760"/>
        </w:sectPr>
      </w:pPr>
    </w:p>
    <w:p>
      <w:pPr>
        <w:tabs>
          <w:tab w:pos="2831" w:val="left" w:leader="none"/>
        </w:tabs>
        <w:spacing w:line="129" w:lineRule="exact" w:before="31"/>
        <w:ind w:left="160" w:right="0" w:firstLine="0"/>
        <w:jc w:val="left"/>
        <w:rPr>
          <w:sz w:val="12"/>
        </w:rPr>
      </w:pPr>
      <w:r>
        <w:rPr>
          <w:color w:val="231F20"/>
          <w:w w:val="120"/>
          <w:sz w:val="12"/>
        </w:rPr>
        <w:t>2007</w:t>
        <w:tab/>
        <w:t>tlc Preacuerdo</w:t>
      </w:r>
      <w:r>
        <w:rPr>
          <w:color w:val="231F20"/>
          <w:spacing w:val="-17"/>
          <w:w w:val="120"/>
          <w:sz w:val="12"/>
        </w:rPr>
        <w:t> </w:t>
      </w:r>
      <w:r>
        <w:rPr>
          <w:color w:val="231F20"/>
          <w:w w:val="120"/>
          <w:sz w:val="12"/>
        </w:rPr>
        <w:t>con</w:t>
      </w:r>
    </w:p>
    <w:p>
      <w:pPr>
        <w:spacing w:line="129" w:lineRule="exact" w:before="0"/>
        <w:ind w:left="2832" w:right="0" w:firstLine="0"/>
        <w:jc w:val="left"/>
        <w:rPr>
          <w:sz w:val="12"/>
        </w:rPr>
      </w:pPr>
      <w:r>
        <w:rPr>
          <w:color w:val="231F20"/>
          <w:w w:val="105"/>
          <w:sz w:val="12"/>
        </w:rPr>
        <w:t>Uruguay</w:t>
      </w:r>
    </w:p>
    <w:p>
      <w:pPr>
        <w:pStyle w:val="BodyText"/>
        <w:rPr>
          <w:sz w:val="12"/>
        </w:rPr>
      </w:pPr>
    </w:p>
    <w:p>
      <w:pPr>
        <w:tabs>
          <w:tab w:pos="791" w:val="left" w:leader="none"/>
        </w:tabs>
        <w:spacing w:line="120" w:lineRule="exact" w:before="74"/>
        <w:ind w:left="791" w:right="1211" w:hanging="632"/>
        <w:jc w:val="left"/>
        <w:rPr>
          <w:sz w:val="12"/>
        </w:rPr>
      </w:pPr>
      <w:r>
        <w:rPr>
          <w:color w:val="231F20"/>
          <w:w w:val="105"/>
          <w:sz w:val="12"/>
        </w:rPr>
        <w:t>2008</w:t>
        <w:tab/>
        <w:t>Caminos hacia la prosperidad </w:t>
      </w:r>
      <w:r>
        <w:rPr>
          <w:color w:val="231F20"/>
          <w:spacing w:val="20"/>
          <w:w w:val="105"/>
          <w:sz w:val="12"/>
        </w:rPr>
        <w:t> </w:t>
      </w:r>
      <w:r>
        <w:rPr>
          <w:color w:val="231F20"/>
          <w:w w:val="105"/>
          <w:sz w:val="12"/>
        </w:rPr>
        <w:t>de</w:t>
      </w:r>
      <w:r>
        <w:rPr>
          <w:color w:val="231F20"/>
          <w:spacing w:val="12"/>
          <w:w w:val="105"/>
          <w:sz w:val="12"/>
        </w:rPr>
        <w:t> </w:t>
      </w:r>
      <w:r>
        <w:rPr>
          <w:color w:val="231F20"/>
          <w:w w:val="105"/>
          <w:sz w:val="12"/>
        </w:rPr>
        <w:t>las</w:t>
      </w:r>
      <w:r>
        <w:rPr>
          <w:color w:val="231F20"/>
          <w:w w:val="100"/>
          <w:sz w:val="12"/>
        </w:rPr>
        <w:t> </w:t>
      </w:r>
      <w:r>
        <w:rPr>
          <w:color w:val="231F20"/>
          <w:w w:val="105"/>
          <w:sz w:val="12"/>
        </w:rPr>
        <w:t>Américas</w:t>
      </w:r>
    </w:p>
    <w:p>
      <w:pPr>
        <w:pStyle w:val="BodyText"/>
        <w:rPr>
          <w:sz w:val="12"/>
        </w:rPr>
      </w:pPr>
    </w:p>
    <w:p>
      <w:pPr>
        <w:pStyle w:val="BodyText"/>
        <w:spacing w:before="5"/>
        <w:rPr>
          <w:sz w:val="12"/>
        </w:rPr>
      </w:pPr>
    </w:p>
    <w:p>
      <w:pPr>
        <w:spacing w:before="0"/>
        <w:ind w:left="120" w:right="0" w:firstLine="0"/>
        <w:jc w:val="left"/>
        <w:rPr>
          <w:sz w:val="18"/>
        </w:rPr>
      </w:pPr>
      <w:r>
        <w:rPr/>
        <w:pict>
          <v:group style="position:absolute;margin-left:37.75pt;margin-top:-4.430668pt;width:300.1pt;height:.5pt;mso-position-horizontal-relative:page;mso-position-vertical-relative:paragraph;z-index:9856" coordorigin="755,-89" coordsize="6002,10">
            <v:line style="position:absolute" from="760,-84" to="1392,-84" stroked="true" strokeweight=".5pt" strokecolor="#231f20"/>
            <v:line style="position:absolute" from="1392,-84" to="3432,-84" stroked="true" strokeweight=".5pt" strokecolor="#231f20"/>
            <v:line style="position:absolute" from="3432,-84" to="4712,-84" stroked="true" strokeweight=".5pt" strokecolor="#231f20"/>
            <v:line style="position:absolute" from="4712,-84" to="6752,-84" stroked="true" strokeweight=".5pt" strokecolor="#231f20"/>
            <w10:wrap type="none"/>
          </v:group>
        </w:pict>
      </w:r>
      <w:r>
        <w:rPr>
          <w:rFonts w:ascii="Calibri" w:hAnsi="Calibri"/>
          <w:color w:val="231F20"/>
          <w:w w:val="115"/>
          <w:sz w:val="18"/>
        </w:rPr>
        <w:t>fuente: </w:t>
      </w:r>
      <w:r>
        <w:rPr>
          <w:color w:val="231F20"/>
          <w:w w:val="115"/>
          <w:sz w:val="18"/>
        </w:rPr>
        <w:t>elaboración propia</w:t>
      </w:r>
    </w:p>
    <w:p>
      <w:pPr>
        <w:spacing w:before="31"/>
        <w:ind w:left="120" w:right="0" w:firstLine="0"/>
        <w:jc w:val="left"/>
        <w:rPr>
          <w:sz w:val="12"/>
        </w:rPr>
      </w:pPr>
      <w:r>
        <w:rPr/>
        <w:br w:type="column"/>
      </w:r>
      <w:r>
        <w:rPr>
          <w:color w:val="231F20"/>
          <w:w w:val="105"/>
          <w:sz w:val="12"/>
        </w:rPr>
        <w:t>Ley de Comisiones Militares</w:t>
      </w:r>
    </w:p>
    <w:p>
      <w:pPr>
        <w:pStyle w:val="BodyText"/>
        <w:rPr>
          <w:sz w:val="13"/>
        </w:rPr>
      </w:pPr>
    </w:p>
    <w:p>
      <w:pPr>
        <w:spacing w:before="0"/>
        <w:ind w:left="120" w:right="0" w:firstLine="0"/>
        <w:jc w:val="left"/>
        <w:rPr>
          <w:sz w:val="12"/>
        </w:rPr>
      </w:pPr>
      <w:r>
        <w:rPr>
          <w:color w:val="231F20"/>
          <w:w w:val="110"/>
          <w:sz w:val="12"/>
        </w:rPr>
        <w:t>Acta de Autorización de Defensa</w:t>
      </w:r>
    </w:p>
    <w:p>
      <w:pPr>
        <w:spacing w:line="120" w:lineRule="exact" w:before="45"/>
        <w:ind w:left="120" w:right="370" w:firstLine="0"/>
        <w:jc w:val="left"/>
        <w:rPr>
          <w:sz w:val="12"/>
        </w:rPr>
      </w:pPr>
      <w:r>
        <w:rPr>
          <w:color w:val="231F20"/>
          <w:w w:val="110"/>
          <w:sz w:val="12"/>
        </w:rPr>
        <w:t>National Security Strategy of the United States</w:t>
      </w:r>
    </w:p>
    <w:p>
      <w:pPr>
        <w:spacing w:before="31"/>
        <w:ind w:left="120" w:right="0" w:firstLine="0"/>
        <w:jc w:val="left"/>
        <w:rPr>
          <w:sz w:val="12"/>
        </w:rPr>
      </w:pPr>
      <w:r>
        <w:rPr>
          <w:color w:val="231F20"/>
          <w:w w:val="105"/>
          <w:sz w:val="12"/>
        </w:rPr>
        <w:t>Plan México</w:t>
      </w:r>
    </w:p>
    <w:p>
      <w:pPr>
        <w:spacing w:after="0"/>
        <w:jc w:val="left"/>
        <w:rPr>
          <w:sz w:val="12"/>
        </w:rPr>
        <w:sectPr>
          <w:type w:val="continuous"/>
          <w:pgSz w:w="7640" w:h="11900"/>
          <w:pgMar w:top="980" w:bottom="280" w:left="640" w:right="760"/>
          <w:cols w:num="2" w:equalWidth="0">
            <w:col w:w="3888" w:space="104"/>
            <w:col w:w="2248"/>
          </w:cols>
        </w:sectPr>
      </w:pPr>
    </w:p>
    <w:p>
      <w:pPr>
        <w:pStyle w:val="BodyText"/>
        <w:spacing w:before="8"/>
        <w:rPr>
          <w:sz w:val="8"/>
        </w:rPr>
      </w:pPr>
    </w:p>
    <w:p>
      <w:pPr>
        <w:pStyle w:val="BodyText"/>
        <w:spacing w:line="261" w:lineRule="auto" w:before="67"/>
        <w:ind w:left="100" w:right="117"/>
        <w:jc w:val="both"/>
      </w:pPr>
      <w:r>
        <w:rPr>
          <w:color w:val="231F20"/>
          <w:w w:val="110"/>
        </w:rPr>
        <w:t>estructuras militares que garantizan el acceso a éstos. Lo novedoso no es la concepción de la guerra preventiva o de la seguridad mul- tidimensional sino el aparato institucional y legal de seguridad con que opera ahora Estados Unidos en la región, en connivencia, por supuesto,</w:t>
      </w:r>
      <w:r>
        <w:rPr>
          <w:color w:val="231F20"/>
          <w:spacing w:val="-10"/>
          <w:w w:val="110"/>
        </w:rPr>
        <w:t> </w:t>
      </w:r>
      <w:r>
        <w:rPr>
          <w:color w:val="231F20"/>
          <w:w w:val="110"/>
        </w:rPr>
        <w:t>con</w:t>
      </w:r>
      <w:r>
        <w:rPr>
          <w:color w:val="231F20"/>
          <w:spacing w:val="-10"/>
          <w:w w:val="110"/>
        </w:rPr>
        <w:t> </w:t>
      </w:r>
      <w:r>
        <w:rPr>
          <w:color w:val="231F20"/>
          <w:w w:val="110"/>
        </w:rPr>
        <w:t>las</w:t>
      </w:r>
      <w:r>
        <w:rPr>
          <w:color w:val="231F20"/>
          <w:spacing w:val="-10"/>
          <w:w w:val="110"/>
        </w:rPr>
        <w:t> </w:t>
      </w:r>
      <w:r>
        <w:rPr>
          <w:color w:val="231F20"/>
          <w:w w:val="110"/>
        </w:rPr>
        <w:t>elites</w:t>
      </w:r>
      <w:r>
        <w:rPr>
          <w:color w:val="231F20"/>
          <w:spacing w:val="-10"/>
          <w:w w:val="110"/>
        </w:rPr>
        <w:t> </w:t>
      </w:r>
      <w:r>
        <w:rPr>
          <w:color w:val="231F20"/>
          <w:w w:val="110"/>
        </w:rPr>
        <w:t>latinoamericanas</w:t>
      </w:r>
      <w:r>
        <w:rPr>
          <w:color w:val="231F20"/>
          <w:spacing w:val="-10"/>
          <w:w w:val="110"/>
        </w:rPr>
        <w:t> </w:t>
      </w:r>
      <w:r>
        <w:rPr>
          <w:color w:val="231F20"/>
          <w:w w:val="110"/>
        </w:rPr>
        <w:t>más</w:t>
      </w:r>
      <w:r>
        <w:rPr>
          <w:color w:val="231F20"/>
          <w:spacing w:val="-10"/>
          <w:w w:val="110"/>
        </w:rPr>
        <w:t> </w:t>
      </w:r>
      <w:r>
        <w:rPr>
          <w:color w:val="231F20"/>
          <w:w w:val="110"/>
        </w:rPr>
        <w:t>conservadoras.</w:t>
      </w:r>
      <w:r>
        <w:rPr>
          <w:color w:val="231F20"/>
          <w:spacing w:val="-10"/>
          <w:w w:val="110"/>
        </w:rPr>
        <w:t> </w:t>
      </w:r>
      <w:r>
        <w:rPr>
          <w:color w:val="231F20"/>
          <w:w w:val="110"/>
        </w:rPr>
        <w:t>México y</w:t>
      </w:r>
      <w:r>
        <w:rPr>
          <w:color w:val="231F20"/>
          <w:spacing w:val="-9"/>
          <w:w w:val="110"/>
        </w:rPr>
        <w:t> </w:t>
      </w:r>
      <w:r>
        <w:rPr>
          <w:color w:val="231F20"/>
          <w:w w:val="110"/>
        </w:rPr>
        <w:t>Colombia</w:t>
      </w:r>
      <w:r>
        <w:rPr>
          <w:color w:val="231F20"/>
          <w:spacing w:val="-9"/>
          <w:w w:val="110"/>
        </w:rPr>
        <w:t> </w:t>
      </w:r>
      <w:r>
        <w:rPr>
          <w:color w:val="231F20"/>
          <w:w w:val="110"/>
        </w:rPr>
        <w:t>son</w:t>
      </w:r>
      <w:r>
        <w:rPr>
          <w:color w:val="231F20"/>
          <w:spacing w:val="-9"/>
          <w:w w:val="110"/>
        </w:rPr>
        <w:t> </w:t>
      </w:r>
      <w:r>
        <w:rPr>
          <w:color w:val="231F20"/>
          <w:w w:val="110"/>
        </w:rPr>
        <w:t>los</w:t>
      </w:r>
      <w:r>
        <w:rPr>
          <w:color w:val="231F20"/>
          <w:spacing w:val="-9"/>
          <w:w w:val="110"/>
        </w:rPr>
        <w:t> </w:t>
      </w:r>
      <w:r>
        <w:rPr>
          <w:color w:val="231F20"/>
          <w:w w:val="110"/>
        </w:rPr>
        <w:t>ejemplos</w:t>
      </w:r>
      <w:r>
        <w:rPr>
          <w:color w:val="231F20"/>
          <w:spacing w:val="-9"/>
          <w:w w:val="110"/>
        </w:rPr>
        <w:t> </w:t>
      </w:r>
      <w:r>
        <w:rPr>
          <w:color w:val="231F20"/>
          <w:w w:val="110"/>
        </w:rPr>
        <w:t>más</w:t>
      </w:r>
      <w:r>
        <w:rPr>
          <w:color w:val="231F20"/>
          <w:spacing w:val="-9"/>
          <w:w w:val="110"/>
        </w:rPr>
        <w:t> </w:t>
      </w:r>
      <w:r>
        <w:rPr>
          <w:color w:val="231F20"/>
          <w:w w:val="110"/>
        </w:rPr>
        <w:t>destacados.</w:t>
      </w:r>
    </w:p>
    <w:p>
      <w:pPr>
        <w:pStyle w:val="BodyText"/>
        <w:spacing w:line="261" w:lineRule="auto"/>
        <w:ind w:left="100" w:right="111" w:firstLine="240"/>
        <w:jc w:val="both"/>
      </w:pPr>
      <w:r>
        <w:rPr>
          <w:color w:val="231F20"/>
          <w:w w:val="110"/>
        </w:rPr>
        <w:t>El alca entendido como la primera definición estratégica de Estados Unidos hacia América Latina desde la Alianza para el Pro- greso, como señala Jaime Estay (Estay y Sánchez, 2005), encuentra su fundamentación mucho antes de su presentación formal en la   1a. Cumbre de las Américas en 1994. Si revisamos la tabla 3 encon- tramos la  complementariedad  entre  los  documentos  económicos y de seguridad que son la base de dicha propuesta así como del entramado institucional sobre el que se levanta. En 1980, el Docu- mento de Santa Fe I plantea el diagnóstico de crisis y pérdida de </w:t>
      </w:r>
      <w:r>
        <w:rPr>
          <w:color w:val="231F20"/>
          <w:spacing w:val="2"/>
          <w:w w:val="110"/>
        </w:rPr>
        <w:t>liderazgo </w:t>
      </w:r>
      <w:r>
        <w:rPr>
          <w:color w:val="231F20"/>
          <w:w w:val="110"/>
        </w:rPr>
        <w:t>de </w:t>
      </w:r>
      <w:r>
        <w:rPr>
          <w:color w:val="231F20"/>
          <w:spacing w:val="2"/>
          <w:w w:val="110"/>
        </w:rPr>
        <w:t>Estados Unidos, definiendo </w:t>
      </w:r>
      <w:r>
        <w:rPr>
          <w:color w:val="231F20"/>
          <w:w w:val="110"/>
        </w:rPr>
        <w:t>con  </w:t>
      </w:r>
      <w:r>
        <w:rPr>
          <w:color w:val="231F20"/>
          <w:spacing w:val="2"/>
          <w:w w:val="110"/>
        </w:rPr>
        <w:t>precisión </w:t>
      </w:r>
      <w:r>
        <w:rPr>
          <w:color w:val="231F20"/>
          <w:w w:val="110"/>
        </w:rPr>
        <w:t>el  </w:t>
      </w:r>
      <w:r>
        <w:rPr>
          <w:color w:val="231F20"/>
          <w:spacing w:val="3"/>
          <w:w w:val="110"/>
        </w:rPr>
        <w:t>papel</w:t>
      </w:r>
      <w:r>
        <w:rPr>
          <w:color w:val="231F20"/>
          <w:spacing w:val="61"/>
          <w:w w:val="110"/>
        </w:rPr>
        <w:t> </w:t>
      </w:r>
      <w:r>
        <w:rPr>
          <w:color w:val="231F20"/>
          <w:w w:val="110"/>
        </w:rPr>
        <w:t>de América Latina y de sus recursos naturales. Aparece la idea del enemigo transnacional, del terrorismo y del crimen organizado y para hacerle frente recomiendan: “Reactivar, como tercer elemento de nuestro sistema hemisférico de seguridad, nuestras tradicionales vinculaciones militares en el continente americano, con un énfasis particular en los oficiales más jóvenes y en los suboficiales. Ofrecer ayuda técnica y psicológica a todos los países de este Hemisferio en su lucha contra el terrorismo, independientemente del origen de   este último” </w:t>
      </w:r>
      <w:r>
        <w:rPr>
          <w:color w:val="231F20"/>
          <w:spacing w:val="-3"/>
          <w:w w:val="110"/>
        </w:rPr>
        <w:t>(Tambs, </w:t>
      </w:r>
      <w:r>
        <w:rPr>
          <w:color w:val="231F20"/>
          <w:w w:val="110"/>
        </w:rPr>
        <w:t>1980: 9). Santa Fe II mantiene las directrices sobre gobernabilidad conservadora, la incorporación del área de influencia latinoamericana y ya hace mención a la vulnerabilidad de México,</w:t>
      </w:r>
      <w:r>
        <w:rPr>
          <w:color w:val="231F20"/>
          <w:spacing w:val="-16"/>
          <w:w w:val="110"/>
        </w:rPr>
        <w:t> </w:t>
      </w:r>
      <w:r>
        <w:rPr>
          <w:color w:val="231F20"/>
          <w:w w:val="110"/>
        </w:rPr>
        <w:t>lo</w:t>
      </w:r>
      <w:r>
        <w:rPr>
          <w:color w:val="231F20"/>
          <w:spacing w:val="-16"/>
          <w:w w:val="110"/>
        </w:rPr>
        <w:t> </w:t>
      </w:r>
      <w:r>
        <w:rPr>
          <w:color w:val="231F20"/>
          <w:w w:val="110"/>
        </w:rPr>
        <w:t>que</w:t>
      </w:r>
      <w:r>
        <w:rPr>
          <w:color w:val="231F20"/>
          <w:spacing w:val="-16"/>
          <w:w w:val="110"/>
        </w:rPr>
        <w:t> </w:t>
      </w:r>
      <w:r>
        <w:rPr>
          <w:color w:val="231F20"/>
          <w:w w:val="110"/>
        </w:rPr>
        <w:t>más</w:t>
      </w:r>
      <w:r>
        <w:rPr>
          <w:color w:val="231F20"/>
          <w:spacing w:val="-16"/>
          <w:w w:val="110"/>
        </w:rPr>
        <w:t> </w:t>
      </w:r>
      <w:r>
        <w:rPr>
          <w:color w:val="231F20"/>
          <w:w w:val="110"/>
        </w:rPr>
        <w:t>recientemente</w:t>
      </w:r>
      <w:r>
        <w:rPr>
          <w:color w:val="231F20"/>
          <w:spacing w:val="-16"/>
          <w:w w:val="110"/>
        </w:rPr>
        <w:t> </w:t>
      </w:r>
      <w:r>
        <w:rPr>
          <w:color w:val="231F20"/>
          <w:w w:val="110"/>
        </w:rPr>
        <w:t>fue</w:t>
      </w:r>
      <w:r>
        <w:rPr>
          <w:color w:val="231F20"/>
          <w:spacing w:val="-16"/>
          <w:w w:val="110"/>
        </w:rPr>
        <w:t> </w:t>
      </w:r>
      <w:r>
        <w:rPr>
          <w:color w:val="231F20"/>
          <w:w w:val="110"/>
        </w:rPr>
        <w:t>definido</w:t>
      </w:r>
      <w:r>
        <w:rPr>
          <w:color w:val="231F20"/>
          <w:spacing w:val="-16"/>
          <w:w w:val="110"/>
        </w:rPr>
        <w:t> </w:t>
      </w:r>
      <w:r>
        <w:rPr>
          <w:color w:val="231F20"/>
          <w:w w:val="110"/>
        </w:rPr>
        <w:t>como</w:t>
      </w:r>
      <w:r>
        <w:rPr>
          <w:color w:val="231F20"/>
          <w:spacing w:val="-16"/>
          <w:w w:val="110"/>
        </w:rPr>
        <w:t> </w:t>
      </w:r>
      <w:r>
        <w:rPr>
          <w:color w:val="231F20"/>
          <w:w w:val="110"/>
        </w:rPr>
        <w:t>el</w:t>
      </w:r>
      <w:r>
        <w:rPr>
          <w:color w:val="231F20"/>
          <w:spacing w:val="-16"/>
          <w:w w:val="110"/>
        </w:rPr>
        <w:t> </w:t>
      </w:r>
      <w:r>
        <w:rPr>
          <w:color w:val="231F20"/>
          <w:w w:val="110"/>
        </w:rPr>
        <w:t>estado</w:t>
      </w:r>
      <w:r>
        <w:rPr>
          <w:color w:val="231F20"/>
          <w:spacing w:val="-16"/>
          <w:w w:val="110"/>
        </w:rPr>
        <w:t> </w:t>
      </w:r>
      <w:r>
        <w:rPr>
          <w:color w:val="231F20"/>
          <w:w w:val="110"/>
        </w:rPr>
        <w:t>fallido mexicano.</w:t>
      </w:r>
      <w:r>
        <w:rPr>
          <w:color w:val="231F20"/>
          <w:spacing w:val="-15"/>
          <w:w w:val="110"/>
        </w:rPr>
        <w:t> </w:t>
      </w:r>
      <w:r>
        <w:rPr>
          <w:color w:val="231F20"/>
          <w:w w:val="110"/>
        </w:rPr>
        <w:t>La</w:t>
      </w:r>
      <w:r>
        <w:rPr>
          <w:color w:val="231F20"/>
          <w:spacing w:val="-15"/>
          <w:w w:val="110"/>
        </w:rPr>
        <w:t> </w:t>
      </w:r>
      <w:r>
        <w:rPr>
          <w:color w:val="231F20"/>
          <w:w w:val="110"/>
        </w:rPr>
        <w:t>Iniciativa</w:t>
      </w:r>
      <w:r>
        <w:rPr>
          <w:color w:val="231F20"/>
          <w:spacing w:val="-15"/>
          <w:w w:val="110"/>
        </w:rPr>
        <w:t> </w:t>
      </w:r>
      <w:r>
        <w:rPr>
          <w:color w:val="231F20"/>
          <w:w w:val="110"/>
        </w:rPr>
        <w:t>para</w:t>
      </w:r>
      <w:r>
        <w:rPr>
          <w:color w:val="231F20"/>
          <w:spacing w:val="-15"/>
          <w:w w:val="110"/>
        </w:rPr>
        <w:t> </w:t>
      </w:r>
      <w:r>
        <w:rPr>
          <w:color w:val="231F20"/>
          <w:w w:val="110"/>
        </w:rPr>
        <w:t>las</w:t>
      </w:r>
      <w:r>
        <w:rPr>
          <w:color w:val="231F20"/>
          <w:spacing w:val="-15"/>
          <w:w w:val="110"/>
        </w:rPr>
        <w:t> </w:t>
      </w:r>
      <w:r>
        <w:rPr>
          <w:color w:val="231F20"/>
          <w:w w:val="110"/>
        </w:rPr>
        <w:t>Américas</w:t>
      </w:r>
      <w:r>
        <w:rPr>
          <w:color w:val="231F20"/>
          <w:spacing w:val="-15"/>
          <w:w w:val="110"/>
        </w:rPr>
        <w:t> </w:t>
      </w:r>
      <w:r>
        <w:rPr>
          <w:color w:val="231F20"/>
          <w:w w:val="110"/>
        </w:rPr>
        <w:t>(2008)</w:t>
      </w:r>
      <w:r>
        <w:rPr>
          <w:i/>
          <w:color w:val="231F20"/>
          <w:w w:val="110"/>
        </w:rPr>
        <w:t>,</w:t>
      </w:r>
      <w:r>
        <w:rPr>
          <w:i/>
          <w:color w:val="231F20"/>
          <w:spacing w:val="-15"/>
          <w:w w:val="110"/>
        </w:rPr>
        <w:t> </w:t>
      </w:r>
      <w:r>
        <w:rPr>
          <w:color w:val="231F20"/>
          <w:w w:val="110"/>
        </w:rPr>
        <w:t>publicada</w:t>
      </w:r>
      <w:r>
        <w:rPr>
          <w:color w:val="231F20"/>
          <w:spacing w:val="-15"/>
          <w:w w:val="110"/>
        </w:rPr>
        <w:t> </w:t>
      </w:r>
      <w:r>
        <w:rPr>
          <w:color w:val="231F20"/>
          <w:w w:val="110"/>
        </w:rPr>
        <w:t>en</w:t>
      </w:r>
      <w:r>
        <w:rPr>
          <w:color w:val="231F20"/>
          <w:spacing w:val="-15"/>
          <w:w w:val="110"/>
        </w:rPr>
        <w:t> </w:t>
      </w:r>
      <w:r>
        <w:rPr>
          <w:color w:val="231F20"/>
          <w:w w:val="110"/>
        </w:rPr>
        <w:t>1990, será uno de los primeros documentos que operativiza la estrategia. </w:t>
      </w:r>
      <w:r>
        <w:rPr>
          <w:color w:val="231F20"/>
          <w:spacing w:val="-6"/>
          <w:w w:val="110"/>
        </w:rPr>
        <w:t>Va </w:t>
      </w:r>
      <w:r>
        <w:rPr>
          <w:color w:val="231F20"/>
          <w:w w:val="110"/>
        </w:rPr>
        <w:t>a contener los principios fundamentales para la reconstrucción de</w:t>
      </w:r>
      <w:r>
        <w:rPr>
          <w:color w:val="231F20"/>
          <w:spacing w:val="-6"/>
          <w:w w:val="110"/>
        </w:rPr>
        <w:t> </w:t>
      </w:r>
      <w:r>
        <w:rPr>
          <w:color w:val="231F20"/>
          <w:w w:val="110"/>
        </w:rPr>
        <w:t>la</w:t>
      </w:r>
      <w:r>
        <w:rPr>
          <w:color w:val="231F20"/>
          <w:spacing w:val="-6"/>
          <w:w w:val="110"/>
        </w:rPr>
        <w:t> </w:t>
      </w:r>
      <w:r>
        <w:rPr>
          <w:color w:val="231F20"/>
          <w:w w:val="110"/>
        </w:rPr>
        <w:t>hegemonía</w:t>
      </w:r>
      <w:r>
        <w:rPr>
          <w:color w:val="231F20"/>
          <w:spacing w:val="-6"/>
          <w:w w:val="110"/>
        </w:rPr>
        <w:t> </w:t>
      </w:r>
      <w:r>
        <w:rPr>
          <w:color w:val="231F20"/>
          <w:w w:val="110"/>
        </w:rPr>
        <w:t>estadunidense:</w:t>
      </w:r>
      <w:r>
        <w:rPr>
          <w:color w:val="231F20"/>
          <w:spacing w:val="-6"/>
          <w:w w:val="110"/>
        </w:rPr>
        <w:t> </w:t>
      </w:r>
      <w:r>
        <w:rPr>
          <w:color w:val="231F20"/>
          <w:w w:val="110"/>
        </w:rPr>
        <w:t>libre</w:t>
      </w:r>
      <w:r>
        <w:rPr>
          <w:color w:val="231F20"/>
          <w:spacing w:val="-6"/>
          <w:w w:val="110"/>
        </w:rPr>
        <w:t> </w:t>
      </w:r>
      <w:r>
        <w:rPr>
          <w:color w:val="231F20"/>
          <w:w w:val="110"/>
        </w:rPr>
        <w:t>mercado,</w:t>
      </w:r>
      <w:r>
        <w:rPr>
          <w:color w:val="231F20"/>
          <w:spacing w:val="-6"/>
          <w:w w:val="110"/>
        </w:rPr>
        <w:t> </w:t>
      </w:r>
      <w:r>
        <w:rPr>
          <w:color w:val="231F20"/>
          <w:w w:val="110"/>
        </w:rPr>
        <w:t>“gobiernos</w:t>
      </w:r>
      <w:r>
        <w:rPr>
          <w:color w:val="231F20"/>
          <w:spacing w:val="-6"/>
          <w:w w:val="110"/>
        </w:rPr>
        <w:t> </w:t>
      </w:r>
      <w:r>
        <w:rPr>
          <w:color w:val="231F20"/>
          <w:w w:val="110"/>
        </w:rPr>
        <w:t>libres”</w:t>
      </w:r>
      <w:r>
        <w:rPr>
          <w:color w:val="231F20"/>
          <w:spacing w:val="-6"/>
          <w:w w:val="110"/>
        </w:rPr>
        <w:t> </w:t>
      </w:r>
      <w:r>
        <w:rPr>
          <w:color w:val="231F20"/>
          <w:w w:val="110"/>
        </w:rPr>
        <w:t>en el sentido de democracias procedimentales y estabilidad política, es decir gobernabilidad conservadora. Por lo tanto, el Proyecto Hemis- férico descansa desde un inicio en la triada: acumulación neoliberal, gobernabilidad</w:t>
      </w:r>
      <w:r>
        <w:rPr>
          <w:color w:val="231F20"/>
          <w:spacing w:val="-13"/>
          <w:w w:val="110"/>
        </w:rPr>
        <w:t> </w:t>
      </w:r>
      <w:r>
        <w:rPr>
          <w:color w:val="231F20"/>
          <w:w w:val="110"/>
        </w:rPr>
        <w:t>conservadora</w:t>
      </w:r>
      <w:r>
        <w:rPr>
          <w:color w:val="231F20"/>
          <w:spacing w:val="-13"/>
          <w:w w:val="110"/>
        </w:rPr>
        <w:t> </w:t>
      </w:r>
      <w:r>
        <w:rPr>
          <w:color w:val="231F20"/>
          <w:w w:val="110"/>
        </w:rPr>
        <w:t>y</w:t>
      </w:r>
      <w:r>
        <w:rPr>
          <w:color w:val="231F20"/>
          <w:spacing w:val="-13"/>
          <w:w w:val="110"/>
        </w:rPr>
        <w:t> </w:t>
      </w:r>
      <w:r>
        <w:rPr>
          <w:color w:val="231F20"/>
          <w:w w:val="110"/>
        </w:rPr>
        <w:t>militarización</w:t>
      </w:r>
      <w:r>
        <w:rPr>
          <w:color w:val="231F20"/>
          <w:spacing w:val="-13"/>
          <w:w w:val="110"/>
        </w:rPr>
        <w:t> </w:t>
      </w:r>
      <w:r>
        <w:rPr>
          <w:color w:val="231F20"/>
          <w:w w:val="110"/>
        </w:rPr>
        <w:t>política;</w:t>
      </w:r>
      <w:r>
        <w:rPr>
          <w:color w:val="231F20"/>
          <w:spacing w:val="-13"/>
          <w:w w:val="110"/>
        </w:rPr>
        <w:t> </w:t>
      </w:r>
      <w:r>
        <w:rPr>
          <w:color w:val="231F20"/>
          <w:w w:val="110"/>
        </w:rPr>
        <w:t>características que han marcado la realidad latinoamericana de los últimos treinta años</w:t>
      </w:r>
      <w:r>
        <w:rPr>
          <w:color w:val="231F20"/>
          <w:spacing w:val="-8"/>
          <w:w w:val="110"/>
        </w:rPr>
        <w:t> </w:t>
      </w:r>
      <w:r>
        <w:rPr>
          <w:color w:val="231F20"/>
          <w:w w:val="110"/>
        </w:rPr>
        <w:t>y</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perfilan</w:t>
      </w:r>
      <w:r>
        <w:rPr>
          <w:color w:val="231F20"/>
          <w:spacing w:val="-8"/>
          <w:w w:val="110"/>
        </w:rPr>
        <w:t> </w:t>
      </w:r>
      <w:r>
        <w:rPr>
          <w:color w:val="231F20"/>
          <w:w w:val="110"/>
        </w:rPr>
        <w:t>como</w:t>
      </w:r>
      <w:r>
        <w:rPr>
          <w:color w:val="231F20"/>
          <w:spacing w:val="-8"/>
          <w:w w:val="110"/>
        </w:rPr>
        <w:t> </w:t>
      </w:r>
      <w:r>
        <w:rPr>
          <w:color w:val="231F20"/>
          <w:w w:val="110"/>
        </w:rPr>
        <w:t>tendencias</w:t>
      </w:r>
      <w:r>
        <w:rPr>
          <w:color w:val="231F20"/>
          <w:spacing w:val="-8"/>
          <w:w w:val="110"/>
        </w:rPr>
        <w:t> </w:t>
      </w:r>
      <w:r>
        <w:rPr>
          <w:color w:val="231F20"/>
          <w:w w:val="110"/>
        </w:rPr>
        <w:t>futuras</w:t>
      </w:r>
      <w:r>
        <w:rPr>
          <w:color w:val="231F20"/>
          <w:spacing w:val="-8"/>
          <w:w w:val="110"/>
        </w:rPr>
        <w:t> </w:t>
      </w:r>
      <w:r>
        <w:rPr>
          <w:color w:val="231F20"/>
          <w:w w:val="110"/>
        </w:rPr>
        <w:t>dadas</w:t>
      </w:r>
      <w:r>
        <w:rPr>
          <w:color w:val="231F20"/>
          <w:spacing w:val="-8"/>
          <w:w w:val="110"/>
        </w:rPr>
        <w:t> </w:t>
      </w:r>
      <w:r>
        <w:rPr>
          <w:color w:val="231F20"/>
          <w:w w:val="110"/>
        </w:rPr>
        <w:t>las</w:t>
      </w:r>
      <w:r>
        <w:rPr>
          <w:color w:val="231F20"/>
          <w:spacing w:val="-8"/>
          <w:w w:val="110"/>
        </w:rPr>
        <w:t> </w:t>
      </w:r>
      <w:r>
        <w:rPr>
          <w:color w:val="231F20"/>
          <w:w w:val="110"/>
        </w:rPr>
        <w:t>condiciones de necesidad de Estados Unidos en este momento. Desde luego, </w:t>
      </w:r>
      <w:r>
        <w:rPr>
          <w:color w:val="231F20"/>
          <w:spacing w:val="38"/>
          <w:w w:val="110"/>
        </w:rPr>
        <w:t> </w:t>
      </w:r>
      <w:r>
        <w:rPr>
          <w:color w:val="231F20"/>
          <w:w w:val="110"/>
        </w:rPr>
        <w:t>no</w:t>
      </w:r>
    </w:p>
    <w:p>
      <w:pPr>
        <w:spacing w:after="0" w:line="261" w:lineRule="auto"/>
        <w:jc w:val="both"/>
        <w:sectPr>
          <w:headerReference w:type="even" r:id="rId354"/>
          <w:headerReference w:type="default" r:id="rId355"/>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5"/>
        </w:rPr>
        <w:t>es</w:t>
      </w:r>
      <w:r>
        <w:rPr>
          <w:color w:val="231F20"/>
          <w:spacing w:val="-21"/>
          <w:w w:val="115"/>
        </w:rPr>
        <w:t> </w:t>
      </w:r>
      <w:r>
        <w:rPr>
          <w:color w:val="231F20"/>
          <w:w w:val="115"/>
        </w:rPr>
        <w:t>casualidad</w:t>
      </w:r>
      <w:r>
        <w:rPr>
          <w:color w:val="231F20"/>
          <w:spacing w:val="-21"/>
          <w:w w:val="115"/>
        </w:rPr>
        <w:t> </w:t>
      </w:r>
      <w:r>
        <w:rPr>
          <w:color w:val="231F20"/>
          <w:w w:val="115"/>
        </w:rPr>
        <w:t>que</w:t>
      </w:r>
      <w:r>
        <w:rPr>
          <w:color w:val="231F20"/>
          <w:spacing w:val="-21"/>
          <w:w w:val="115"/>
        </w:rPr>
        <w:t> </w:t>
      </w:r>
      <w:r>
        <w:rPr>
          <w:color w:val="231F20"/>
          <w:w w:val="115"/>
        </w:rPr>
        <w:t>la</w:t>
      </w:r>
      <w:r>
        <w:rPr>
          <w:color w:val="231F20"/>
          <w:spacing w:val="-21"/>
          <w:w w:val="115"/>
        </w:rPr>
        <w:t> </w:t>
      </w:r>
      <w:r>
        <w:rPr>
          <w:color w:val="231F20"/>
          <w:w w:val="115"/>
        </w:rPr>
        <w:t>Iniciativa</w:t>
      </w:r>
      <w:r>
        <w:rPr>
          <w:color w:val="231F20"/>
          <w:spacing w:val="-21"/>
          <w:w w:val="115"/>
        </w:rPr>
        <w:t> </w:t>
      </w:r>
      <w:r>
        <w:rPr>
          <w:color w:val="231F20"/>
          <w:w w:val="115"/>
        </w:rPr>
        <w:t>se</w:t>
      </w:r>
      <w:r>
        <w:rPr>
          <w:color w:val="231F20"/>
          <w:spacing w:val="-21"/>
          <w:w w:val="115"/>
        </w:rPr>
        <w:t> </w:t>
      </w:r>
      <w:r>
        <w:rPr>
          <w:color w:val="231F20"/>
          <w:w w:val="115"/>
        </w:rPr>
        <w:t>hiciera</w:t>
      </w:r>
      <w:r>
        <w:rPr>
          <w:color w:val="231F20"/>
          <w:spacing w:val="-21"/>
          <w:w w:val="115"/>
        </w:rPr>
        <w:t> </w:t>
      </w:r>
      <w:r>
        <w:rPr>
          <w:color w:val="231F20"/>
          <w:w w:val="115"/>
        </w:rPr>
        <w:t>pública</w:t>
      </w:r>
      <w:r>
        <w:rPr>
          <w:color w:val="231F20"/>
          <w:spacing w:val="-21"/>
          <w:w w:val="115"/>
        </w:rPr>
        <w:t> </w:t>
      </w:r>
      <w:r>
        <w:rPr>
          <w:color w:val="231F20"/>
          <w:w w:val="115"/>
        </w:rPr>
        <w:t>un</w:t>
      </w:r>
      <w:r>
        <w:rPr>
          <w:color w:val="231F20"/>
          <w:spacing w:val="-21"/>
          <w:w w:val="115"/>
        </w:rPr>
        <w:t> </w:t>
      </w:r>
      <w:r>
        <w:rPr>
          <w:color w:val="231F20"/>
          <w:w w:val="115"/>
        </w:rPr>
        <w:t>año</w:t>
      </w:r>
      <w:r>
        <w:rPr>
          <w:color w:val="231F20"/>
          <w:spacing w:val="-21"/>
          <w:w w:val="115"/>
        </w:rPr>
        <w:t> </w:t>
      </w:r>
      <w:r>
        <w:rPr>
          <w:color w:val="231F20"/>
          <w:w w:val="115"/>
        </w:rPr>
        <w:t>después</w:t>
      </w:r>
      <w:r>
        <w:rPr>
          <w:color w:val="231F20"/>
          <w:spacing w:val="-21"/>
          <w:w w:val="115"/>
        </w:rPr>
        <w:t> </w:t>
      </w:r>
      <w:r>
        <w:rPr>
          <w:color w:val="231F20"/>
          <w:w w:val="115"/>
        </w:rPr>
        <w:t>del inicio</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negociaciones</w:t>
      </w:r>
      <w:r>
        <w:rPr>
          <w:color w:val="231F20"/>
          <w:spacing w:val="-12"/>
          <w:w w:val="115"/>
        </w:rPr>
        <w:t> </w:t>
      </w:r>
      <w:r>
        <w:rPr>
          <w:color w:val="231F20"/>
          <w:w w:val="115"/>
        </w:rPr>
        <w:t>del</w:t>
      </w:r>
      <w:r>
        <w:rPr>
          <w:color w:val="231F20"/>
          <w:spacing w:val="-12"/>
          <w:w w:val="115"/>
        </w:rPr>
        <w:t> </w:t>
      </w:r>
      <w:r>
        <w:rPr>
          <w:color w:val="231F20"/>
          <w:w w:val="115"/>
        </w:rPr>
        <w:t>nafta</w:t>
      </w:r>
      <w:r>
        <w:rPr>
          <w:color w:val="231F20"/>
          <w:spacing w:val="-12"/>
          <w:w w:val="115"/>
        </w:rPr>
        <w:t> </w:t>
      </w:r>
      <w:r>
        <w:rPr>
          <w:color w:val="231F20"/>
          <w:w w:val="115"/>
        </w:rPr>
        <w:t>y</w:t>
      </w:r>
      <w:r>
        <w:rPr>
          <w:color w:val="231F20"/>
          <w:spacing w:val="-12"/>
          <w:w w:val="115"/>
        </w:rPr>
        <w:t> </w:t>
      </w:r>
      <w:r>
        <w:rPr>
          <w:color w:val="231F20"/>
          <w:w w:val="115"/>
        </w:rPr>
        <w:t>de</w:t>
      </w:r>
      <w:r>
        <w:rPr>
          <w:color w:val="231F20"/>
          <w:spacing w:val="-12"/>
          <w:w w:val="115"/>
        </w:rPr>
        <w:t> </w:t>
      </w:r>
      <w:r>
        <w:rPr>
          <w:color w:val="231F20"/>
          <w:w w:val="115"/>
        </w:rPr>
        <w:t>Santa</w:t>
      </w:r>
      <w:r>
        <w:rPr>
          <w:color w:val="231F20"/>
          <w:spacing w:val="-12"/>
          <w:w w:val="115"/>
        </w:rPr>
        <w:t> </w:t>
      </w:r>
      <w:r>
        <w:rPr>
          <w:color w:val="231F20"/>
          <w:w w:val="115"/>
        </w:rPr>
        <w:t>Fe</w:t>
      </w:r>
      <w:r>
        <w:rPr>
          <w:color w:val="231F20"/>
          <w:spacing w:val="-12"/>
          <w:w w:val="115"/>
        </w:rPr>
        <w:t> </w:t>
      </w:r>
      <w:r>
        <w:rPr>
          <w:color w:val="231F20"/>
          <w:w w:val="115"/>
        </w:rPr>
        <w:t>II</w:t>
      </w:r>
      <w:r>
        <w:rPr>
          <w:color w:val="231F20"/>
          <w:spacing w:val="-12"/>
          <w:w w:val="115"/>
        </w:rPr>
        <w:t> </w:t>
      </w:r>
      <w:r>
        <w:rPr>
          <w:color w:val="231F20"/>
          <w:w w:val="115"/>
        </w:rPr>
        <w:t>(1988),</w:t>
      </w:r>
      <w:r>
        <w:rPr>
          <w:color w:val="231F20"/>
          <w:spacing w:val="-12"/>
          <w:w w:val="115"/>
        </w:rPr>
        <w:t> </w:t>
      </w:r>
      <w:r>
        <w:rPr>
          <w:color w:val="231F20"/>
          <w:w w:val="115"/>
        </w:rPr>
        <w:t>como tampoco</w:t>
      </w:r>
      <w:r>
        <w:rPr>
          <w:color w:val="231F20"/>
          <w:spacing w:val="-14"/>
          <w:w w:val="115"/>
        </w:rPr>
        <w:t> </w:t>
      </w:r>
      <w:r>
        <w:rPr>
          <w:color w:val="231F20"/>
          <w:w w:val="115"/>
        </w:rPr>
        <w:t>lo</w:t>
      </w:r>
      <w:r>
        <w:rPr>
          <w:color w:val="231F20"/>
          <w:spacing w:val="-14"/>
          <w:w w:val="115"/>
        </w:rPr>
        <w:t> </w:t>
      </w:r>
      <w:r>
        <w:rPr>
          <w:color w:val="231F20"/>
          <w:w w:val="115"/>
        </w:rPr>
        <w:t>es</w:t>
      </w:r>
      <w:r>
        <w:rPr>
          <w:color w:val="231F20"/>
          <w:spacing w:val="-14"/>
          <w:w w:val="115"/>
        </w:rPr>
        <w:t> </w:t>
      </w:r>
      <w:r>
        <w:rPr>
          <w:color w:val="231F20"/>
          <w:w w:val="115"/>
        </w:rPr>
        <w:t>que</w:t>
      </w:r>
      <w:r>
        <w:rPr>
          <w:color w:val="231F20"/>
          <w:spacing w:val="-14"/>
          <w:w w:val="115"/>
        </w:rPr>
        <w:t> </w:t>
      </w:r>
      <w:r>
        <w:rPr>
          <w:color w:val="231F20"/>
          <w:w w:val="115"/>
        </w:rPr>
        <w:t>comparta</w:t>
      </w:r>
      <w:r>
        <w:rPr>
          <w:color w:val="231F20"/>
          <w:spacing w:val="-14"/>
          <w:w w:val="115"/>
        </w:rPr>
        <w:t> </w:t>
      </w:r>
      <w:r>
        <w:rPr>
          <w:color w:val="231F20"/>
          <w:w w:val="115"/>
        </w:rPr>
        <w:t>elementos</w:t>
      </w:r>
      <w:r>
        <w:rPr>
          <w:color w:val="231F20"/>
          <w:spacing w:val="-14"/>
          <w:w w:val="115"/>
        </w:rPr>
        <w:t> </w:t>
      </w:r>
      <w:r>
        <w:rPr>
          <w:color w:val="231F20"/>
          <w:w w:val="115"/>
        </w:rPr>
        <w:t>clave</w:t>
      </w:r>
      <w:r>
        <w:rPr>
          <w:color w:val="231F20"/>
          <w:spacing w:val="-14"/>
          <w:w w:val="115"/>
        </w:rPr>
        <w:t> </w:t>
      </w:r>
      <w:r>
        <w:rPr>
          <w:color w:val="231F20"/>
          <w:w w:val="115"/>
        </w:rPr>
        <w:t>con</w:t>
      </w:r>
      <w:r>
        <w:rPr>
          <w:color w:val="231F20"/>
          <w:spacing w:val="-14"/>
          <w:w w:val="115"/>
        </w:rPr>
        <w:t> </w:t>
      </w:r>
      <w:r>
        <w:rPr>
          <w:color w:val="231F20"/>
          <w:w w:val="115"/>
        </w:rPr>
        <w:t>las</w:t>
      </w:r>
      <w:r>
        <w:rPr>
          <w:color w:val="231F20"/>
          <w:spacing w:val="-14"/>
          <w:w w:val="115"/>
        </w:rPr>
        <w:t> </w:t>
      </w:r>
      <w:r>
        <w:rPr>
          <w:color w:val="231F20"/>
          <w:w w:val="115"/>
        </w:rPr>
        <w:t>propuestas</w:t>
      </w:r>
      <w:r>
        <w:rPr>
          <w:color w:val="231F20"/>
          <w:spacing w:val="-14"/>
          <w:w w:val="115"/>
        </w:rPr>
        <w:t> </w:t>
      </w:r>
      <w:r>
        <w:rPr>
          <w:color w:val="231F20"/>
          <w:w w:val="115"/>
        </w:rPr>
        <w:t>de </w:t>
      </w:r>
      <w:r>
        <w:rPr>
          <w:color w:val="231F20"/>
          <w:w w:val="110"/>
        </w:rPr>
        <w:t>las cumbres y los futuros acuerdos</w:t>
      </w:r>
      <w:r>
        <w:rPr>
          <w:color w:val="231F20"/>
          <w:spacing w:val="-27"/>
          <w:w w:val="110"/>
        </w:rPr>
        <w:t> </w:t>
      </w:r>
      <w:r>
        <w:rPr>
          <w:color w:val="231F20"/>
          <w:w w:val="110"/>
        </w:rPr>
        <w:t>comerciales.</w:t>
      </w:r>
    </w:p>
    <w:p>
      <w:pPr>
        <w:pStyle w:val="BodyText"/>
        <w:spacing w:line="261" w:lineRule="auto"/>
        <w:ind w:left="100" w:right="115" w:firstLine="240"/>
        <w:jc w:val="both"/>
      </w:pPr>
      <w:r>
        <w:rPr>
          <w:color w:val="231F20"/>
          <w:w w:val="110"/>
        </w:rPr>
        <w:t>A partir de ese momento encontraremos una clara continuidad política.</w:t>
      </w:r>
      <w:r>
        <w:rPr>
          <w:color w:val="231F20"/>
          <w:spacing w:val="-13"/>
          <w:w w:val="110"/>
        </w:rPr>
        <w:t> </w:t>
      </w:r>
      <w:r>
        <w:rPr>
          <w:color w:val="231F20"/>
          <w:w w:val="110"/>
        </w:rPr>
        <w:t>Así,</w:t>
      </w:r>
      <w:r>
        <w:rPr>
          <w:color w:val="231F20"/>
          <w:spacing w:val="-13"/>
          <w:w w:val="110"/>
        </w:rPr>
        <w:t> </w:t>
      </w:r>
      <w:r>
        <w:rPr>
          <w:color w:val="231F20"/>
          <w:w w:val="110"/>
        </w:rPr>
        <w:t>la</w:t>
      </w:r>
      <w:r>
        <w:rPr>
          <w:color w:val="231F20"/>
          <w:spacing w:val="-13"/>
          <w:w w:val="110"/>
        </w:rPr>
        <w:t> </w:t>
      </w:r>
      <w:r>
        <w:rPr>
          <w:color w:val="231F20"/>
          <w:w w:val="110"/>
        </w:rPr>
        <w:t>National</w:t>
      </w:r>
      <w:r>
        <w:rPr>
          <w:color w:val="231F20"/>
          <w:spacing w:val="-13"/>
          <w:w w:val="110"/>
        </w:rPr>
        <w:t> </w:t>
      </w:r>
      <w:r>
        <w:rPr>
          <w:color w:val="231F20"/>
          <w:w w:val="110"/>
        </w:rPr>
        <w:t>Security</w:t>
      </w:r>
      <w:r>
        <w:rPr>
          <w:color w:val="231F20"/>
          <w:spacing w:val="-13"/>
          <w:w w:val="110"/>
        </w:rPr>
        <w:t> </w:t>
      </w:r>
      <w:r>
        <w:rPr>
          <w:color w:val="231F20"/>
          <w:w w:val="110"/>
        </w:rPr>
        <w:t>Strategy</w:t>
      </w:r>
      <w:r>
        <w:rPr>
          <w:color w:val="231F20"/>
          <w:spacing w:val="-13"/>
          <w:w w:val="110"/>
        </w:rPr>
        <w:t> </w:t>
      </w:r>
      <w:r>
        <w:rPr>
          <w:color w:val="231F20"/>
          <w:w w:val="110"/>
        </w:rPr>
        <w:t>for</w:t>
      </w:r>
      <w:r>
        <w:rPr>
          <w:color w:val="231F20"/>
          <w:spacing w:val="-13"/>
          <w:w w:val="110"/>
        </w:rPr>
        <w:t> </w:t>
      </w:r>
      <w:r>
        <w:rPr>
          <w:color w:val="231F20"/>
          <w:w w:val="110"/>
        </w:rPr>
        <w:t>a</w:t>
      </w:r>
      <w:r>
        <w:rPr>
          <w:color w:val="231F20"/>
          <w:spacing w:val="-13"/>
          <w:w w:val="110"/>
        </w:rPr>
        <w:t> </w:t>
      </w:r>
      <w:r>
        <w:rPr>
          <w:color w:val="231F20"/>
          <w:w w:val="110"/>
        </w:rPr>
        <w:t>New</w:t>
      </w:r>
      <w:r>
        <w:rPr>
          <w:color w:val="231F20"/>
          <w:spacing w:val="-13"/>
          <w:w w:val="110"/>
        </w:rPr>
        <w:t> </w:t>
      </w:r>
      <w:r>
        <w:rPr>
          <w:color w:val="231F20"/>
          <w:w w:val="110"/>
        </w:rPr>
        <w:t>Century</w:t>
      </w:r>
      <w:r>
        <w:rPr>
          <w:color w:val="231F20"/>
          <w:spacing w:val="-13"/>
          <w:w w:val="110"/>
        </w:rPr>
        <w:t> </w:t>
      </w:r>
      <w:r>
        <w:rPr>
          <w:color w:val="231F20"/>
          <w:w w:val="110"/>
        </w:rPr>
        <w:t>(1998), retoma las contenidos ya mencionados e incluye explícitamente, como objetivo de seguridad, los recursos estratégicos y la garantía de acceso a la “libre circulación” de éstos. Además incorpora la doctrina de la seguridad preventiva (concepción que proviene de    la doctrina de seguridad nacional y de la guerra fría) al “impedir la formación y desarrollo de rivales hostiles”, situación que no puede dejar de preocuparnos ante el cambio político de los últimos años  en América</w:t>
      </w:r>
      <w:r>
        <w:rPr>
          <w:color w:val="231F20"/>
          <w:spacing w:val="-6"/>
          <w:w w:val="110"/>
        </w:rPr>
        <w:t> </w:t>
      </w:r>
      <w:r>
        <w:rPr>
          <w:color w:val="231F20"/>
          <w:w w:val="110"/>
        </w:rPr>
        <w:t>Latina.</w:t>
      </w:r>
    </w:p>
    <w:p>
      <w:pPr>
        <w:pStyle w:val="BodyText"/>
        <w:spacing w:line="261" w:lineRule="auto"/>
        <w:ind w:left="100" w:right="117" w:firstLine="240"/>
        <w:jc w:val="both"/>
      </w:pPr>
      <w:r>
        <w:rPr>
          <w:color w:val="231F20"/>
          <w:w w:val="110"/>
        </w:rPr>
        <w:t>Lo</w:t>
      </w:r>
      <w:r>
        <w:rPr>
          <w:color w:val="231F20"/>
          <w:spacing w:val="-21"/>
          <w:w w:val="110"/>
        </w:rPr>
        <w:t> </w:t>
      </w:r>
      <w:r>
        <w:rPr>
          <w:color w:val="231F20"/>
          <w:w w:val="110"/>
        </w:rPr>
        <w:t>que</w:t>
      </w:r>
      <w:r>
        <w:rPr>
          <w:color w:val="231F20"/>
          <w:spacing w:val="-21"/>
          <w:w w:val="110"/>
        </w:rPr>
        <w:t> </w:t>
      </w:r>
      <w:r>
        <w:rPr>
          <w:color w:val="231F20"/>
          <w:w w:val="110"/>
        </w:rPr>
        <w:t>sigue</w:t>
      </w:r>
      <w:r>
        <w:rPr>
          <w:color w:val="231F20"/>
          <w:spacing w:val="-21"/>
          <w:w w:val="110"/>
        </w:rPr>
        <w:t> </w:t>
      </w:r>
      <w:r>
        <w:rPr>
          <w:color w:val="231F20"/>
          <w:w w:val="110"/>
        </w:rPr>
        <w:t>son</w:t>
      </w:r>
      <w:r>
        <w:rPr>
          <w:color w:val="231F20"/>
          <w:spacing w:val="-21"/>
          <w:w w:val="110"/>
        </w:rPr>
        <w:t> </w:t>
      </w:r>
      <w:r>
        <w:rPr>
          <w:color w:val="231F20"/>
          <w:w w:val="110"/>
        </w:rPr>
        <w:t>desarrollos</w:t>
      </w:r>
      <w:r>
        <w:rPr>
          <w:color w:val="231F20"/>
          <w:spacing w:val="-21"/>
          <w:w w:val="110"/>
        </w:rPr>
        <w:t> </w:t>
      </w:r>
      <w:r>
        <w:rPr>
          <w:color w:val="231F20"/>
          <w:w w:val="110"/>
        </w:rPr>
        <w:t>puntuales,</w:t>
      </w:r>
      <w:r>
        <w:rPr>
          <w:color w:val="231F20"/>
          <w:spacing w:val="-21"/>
          <w:w w:val="110"/>
        </w:rPr>
        <w:t> </w:t>
      </w:r>
      <w:r>
        <w:rPr>
          <w:color w:val="231F20"/>
          <w:w w:val="110"/>
        </w:rPr>
        <w:t>articulaciones</w:t>
      </w:r>
      <w:r>
        <w:rPr>
          <w:color w:val="231F20"/>
          <w:spacing w:val="-21"/>
          <w:w w:val="110"/>
        </w:rPr>
        <w:t> </w:t>
      </w:r>
      <w:r>
        <w:rPr>
          <w:color w:val="231F20"/>
          <w:w w:val="110"/>
        </w:rPr>
        <w:t>y</w:t>
      </w:r>
      <w:r>
        <w:rPr>
          <w:color w:val="231F20"/>
          <w:spacing w:val="-21"/>
          <w:w w:val="110"/>
        </w:rPr>
        <w:t> </w:t>
      </w:r>
      <w:r>
        <w:rPr>
          <w:color w:val="231F20"/>
          <w:w w:val="110"/>
        </w:rPr>
        <w:t>el</w:t>
      </w:r>
      <w:r>
        <w:rPr>
          <w:color w:val="231F20"/>
          <w:spacing w:val="-21"/>
          <w:w w:val="110"/>
        </w:rPr>
        <w:t> </w:t>
      </w:r>
      <w:r>
        <w:rPr>
          <w:color w:val="231F20"/>
          <w:w w:val="110"/>
        </w:rPr>
        <w:t>armazón legal</w:t>
      </w:r>
      <w:r>
        <w:rPr>
          <w:color w:val="231F20"/>
          <w:spacing w:val="-11"/>
          <w:w w:val="110"/>
        </w:rPr>
        <w:t> </w:t>
      </w:r>
      <w:r>
        <w:rPr>
          <w:color w:val="231F20"/>
          <w:w w:val="110"/>
        </w:rPr>
        <w:t>e</w:t>
      </w:r>
      <w:r>
        <w:rPr>
          <w:color w:val="231F20"/>
          <w:spacing w:val="-12"/>
          <w:w w:val="110"/>
        </w:rPr>
        <w:t> </w:t>
      </w:r>
      <w:r>
        <w:rPr>
          <w:color w:val="231F20"/>
          <w:w w:val="110"/>
        </w:rPr>
        <w:t>institucional</w:t>
      </w:r>
      <w:r>
        <w:rPr>
          <w:color w:val="231F20"/>
          <w:spacing w:val="-12"/>
          <w:w w:val="110"/>
        </w:rPr>
        <w:t> </w:t>
      </w:r>
      <w:r>
        <w:rPr>
          <w:color w:val="231F20"/>
          <w:w w:val="110"/>
        </w:rPr>
        <w:t>en</w:t>
      </w:r>
      <w:r>
        <w:rPr>
          <w:color w:val="231F20"/>
          <w:spacing w:val="-11"/>
          <w:w w:val="110"/>
        </w:rPr>
        <w:t> </w:t>
      </w:r>
      <w:r>
        <w:rPr>
          <w:color w:val="231F20"/>
          <w:w w:val="110"/>
        </w:rPr>
        <w:t>que</w:t>
      </w:r>
      <w:r>
        <w:rPr>
          <w:color w:val="231F20"/>
          <w:spacing w:val="-12"/>
          <w:w w:val="110"/>
        </w:rPr>
        <w:t> </w:t>
      </w:r>
      <w:r>
        <w:rPr>
          <w:color w:val="231F20"/>
          <w:w w:val="110"/>
        </w:rPr>
        <w:t>se</w:t>
      </w:r>
      <w:r>
        <w:rPr>
          <w:color w:val="231F20"/>
          <w:spacing w:val="-11"/>
          <w:w w:val="110"/>
        </w:rPr>
        <w:t> </w:t>
      </w:r>
      <w:r>
        <w:rPr>
          <w:color w:val="231F20"/>
          <w:w w:val="110"/>
        </w:rPr>
        <w:t>sostiene.</w:t>
      </w:r>
      <w:r>
        <w:rPr>
          <w:color w:val="231F20"/>
          <w:spacing w:val="-12"/>
          <w:w w:val="110"/>
        </w:rPr>
        <w:t> </w:t>
      </w:r>
      <w:r>
        <w:rPr>
          <w:color w:val="231F20"/>
          <w:w w:val="110"/>
        </w:rPr>
        <w:t>Aquí</w:t>
      </w:r>
      <w:r>
        <w:rPr>
          <w:color w:val="231F20"/>
          <w:spacing w:val="-12"/>
          <w:w w:val="110"/>
        </w:rPr>
        <w:t> </w:t>
      </w:r>
      <w:r>
        <w:rPr>
          <w:color w:val="231F20"/>
          <w:w w:val="110"/>
        </w:rPr>
        <w:t>es</w:t>
      </w:r>
      <w:r>
        <w:rPr>
          <w:color w:val="231F20"/>
          <w:spacing w:val="-11"/>
          <w:w w:val="110"/>
        </w:rPr>
        <w:t> </w:t>
      </w:r>
      <w:r>
        <w:rPr>
          <w:color w:val="231F20"/>
          <w:w w:val="110"/>
        </w:rPr>
        <w:t>donde</w:t>
      </w:r>
      <w:r>
        <w:rPr>
          <w:color w:val="231F20"/>
          <w:spacing w:val="-12"/>
          <w:w w:val="110"/>
        </w:rPr>
        <w:t> </w:t>
      </w:r>
      <w:r>
        <w:rPr>
          <w:color w:val="231F20"/>
          <w:w w:val="110"/>
        </w:rPr>
        <w:t>enmarcamos</w:t>
      </w:r>
      <w:r>
        <w:rPr>
          <w:color w:val="231F20"/>
          <w:spacing w:val="-12"/>
          <w:w w:val="110"/>
        </w:rPr>
        <w:t> </w:t>
      </w:r>
      <w:r>
        <w:rPr>
          <w:color w:val="231F20"/>
          <w:w w:val="110"/>
        </w:rPr>
        <w:t>el Act</w:t>
      </w:r>
      <w:r>
        <w:rPr>
          <w:color w:val="231F20"/>
          <w:spacing w:val="-21"/>
          <w:w w:val="110"/>
        </w:rPr>
        <w:t> </w:t>
      </w:r>
      <w:r>
        <w:rPr>
          <w:color w:val="231F20"/>
          <w:w w:val="110"/>
        </w:rPr>
        <w:t>Patriot</w:t>
      </w:r>
      <w:r>
        <w:rPr>
          <w:color w:val="231F20"/>
          <w:spacing w:val="-21"/>
          <w:w w:val="110"/>
        </w:rPr>
        <w:t> </w:t>
      </w:r>
      <w:r>
        <w:rPr>
          <w:color w:val="231F20"/>
          <w:w w:val="110"/>
        </w:rPr>
        <w:t>(2001),</w:t>
      </w:r>
      <w:r>
        <w:rPr>
          <w:color w:val="231F20"/>
          <w:spacing w:val="-21"/>
          <w:w w:val="110"/>
        </w:rPr>
        <w:t> </w:t>
      </w:r>
      <w:r>
        <w:rPr>
          <w:color w:val="231F20"/>
          <w:w w:val="110"/>
        </w:rPr>
        <w:t>la</w:t>
      </w:r>
      <w:r>
        <w:rPr>
          <w:color w:val="231F20"/>
          <w:spacing w:val="-21"/>
          <w:w w:val="110"/>
        </w:rPr>
        <w:t> </w:t>
      </w:r>
      <w:r>
        <w:rPr>
          <w:color w:val="231F20"/>
          <w:w w:val="110"/>
        </w:rPr>
        <w:t>National</w:t>
      </w:r>
      <w:r>
        <w:rPr>
          <w:color w:val="231F20"/>
          <w:spacing w:val="-21"/>
          <w:w w:val="110"/>
        </w:rPr>
        <w:t> </w:t>
      </w:r>
      <w:r>
        <w:rPr>
          <w:color w:val="231F20"/>
          <w:w w:val="110"/>
        </w:rPr>
        <w:t>Strategy</w:t>
      </w:r>
      <w:r>
        <w:rPr>
          <w:color w:val="231F20"/>
          <w:spacing w:val="-21"/>
          <w:w w:val="110"/>
        </w:rPr>
        <w:t> </w:t>
      </w:r>
      <w:r>
        <w:rPr>
          <w:color w:val="231F20"/>
          <w:w w:val="110"/>
        </w:rPr>
        <w:t>for</w:t>
      </w:r>
      <w:r>
        <w:rPr>
          <w:color w:val="231F20"/>
          <w:spacing w:val="-21"/>
          <w:w w:val="110"/>
        </w:rPr>
        <w:t> </w:t>
      </w:r>
      <w:r>
        <w:rPr>
          <w:color w:val="231F20"/>
          <w:w w:val="110"/>
        </w:rPr>
        <w:t>Homeland</w:t>
      </w:r>
      <w:r>
        <w:rPr>
          <w:color w:val="231F20"/>
          <w:spacing w:val="-21"/>
          <w:w w:val="110"/>
        </w:rPr>
        <w:t> </w:t>
      </w:r>
      <w:r>
        <w:rPr>
          <w:color w:val="231F20"/>
          <w:w w:val="110"/>
        </w:rPr>
        <w:t>Security</w:t>
      </w:r>
      <w:r>
        <w:rPr>
          <w:color w:val="231F20"/>
          <w:spacing w:val="-21"/>
          <w:w w:val="110"/>
        </w:rPr>
        <w:t> </w:t>
      </w:r>
      <w:r>
        <w:rPr>
          <w:color w:val="231F20"/>
          <w:w w:val="110"/>
        </w:rPr>
        <w:t>(2002) y</w:t>
      </w:r>
      <w:r>
        <w:rPr>
          <w:color w:val="231F20"/>
          <w:spacing w:val="-6"/>
          <w:w w:val="110"/>
        </w:rPr>
        <w:t> </w:t>
      </w:r>
      <w:r>
        <w:rPr>
          <w:color w:val="231F20"/>
          <w:w w:val="110"/>
        </w:rPr>
        <w:t>la</w:t>
      </w:r>
      <w:r>
        <w:rPr>
          <w:color w:val="231F20"/>
          <w:spacing w:val="-6"/>
          <w:w w:val="110"/>
        </w:rPr>
        <w:t> </w:t>
      </w:r>
      <w:r>
        <w:rPr>
          <w:color w:val="231F20"/>
          <w:w w:val="110"/>
        </w:rPr>
        <w:t>National</w:t>
      </w:r>
      <w:r>
        <w:rPr>
          <w:color w:val="231F20"/>
          <w:spacing w:val="-6"/>
          <w:w w:val="110"/>
        </w:rPr>
        <w:t> </w:t>
      </w:r>
      <w:r>
        <w:rPr>
          <w:color w:val="231F20"/>
          <w:w w:val="110"/>
        </w:rPr>
        <w:t>Security</w:t>
      </w:r>
      <w:r>
        <w:rPr>
          <w:color w:val="231F20"/>
          <w:spacing w:val="-6"/>
          <w:w w:val="110"/>
        </w:rPr>
        <w:t> </w:t>
      </w:r>
      <w:r>
        <w:rPr>
          <w:color w:val="231F20"/>
          <w:w w:val="110"/>
        </w:rPr>
        <w:t>Strategy</w:t>
      </w:r>
      <w:r>
        <w:rPr>
          <w:color w:val="231F20"/>
          <w:spacing w:val="-6"/>
          <w:w w:val="110"/>
        </w:rPr>
        <w:t> </w:t>
      </w:r>
      <w:r>
        <w:rPr>
          <w:color w:val="231F20"/>
          <w:w w:val="110"/>
        </w:rPr>
        <w:t>(2003)</w:t>
      </w:r>
      <w:r>
        <w:rPr>
          <w:color w:val="231F20"/>
          <w:spacing w:val="-6"/>
          <w:w w:val="110"/>
        </w:rPr>
        <w:t> </w:t>
      </w:r>
      <w:r>
        <w:rPr>
          <w:color w:val="231F20"/>
          <w:w w:val="110"/>
        </w:rPr>
        <w:t>que</w:t>
      </w:r>
      <w:r>
        <w:rPr>
          <w:color w:val="231F20"/>
          <w:spacing w:val="-6"/>
          <w:w w:val="110"/>
        </w:rPr>
        <w:t> </w:t>
      </w:r>
      <w:r>
        <w:rPr>
          <w:color w:val="231F20"/>
          <w:w w:val="110"/>
        </w:rPr>
        <w:t>contienen</w:t>
      </w:r>
      <w:r>
        <w:rPr>
          <w:color w:val="231F20"/>
          <w:spacing w:val="-6"/>
          <w:w w:val="110"/>
        </w:rPr>
        <w:t> </w:t>
      </w:r>
      <w:r>
        <w:rPr>
          <w:color w:val="231F20"/>
          <w:w w:val="110"/>
        </w:rPr>
        <w:t>ya</w:t>
      </w:r>
      <w:r>
        <w:rPr>
          <w:color w:val="231F20"/>
          <w:spacing w:val="-6"/>
          <w:w w:val="110"/>
        </w:rPr>
        <w:t> </w:t>
      </w:r>
      <w:r>
        <w:rPr>
          <w:color w:val="231F20"/>
          <w:w w:val="110"/>
        </w:rPr>
        <w:t>un</w:t>
      </w:r>
      <w:r>
        <w:rPr>
          <w:color w:val="231F20"/>
          <w:spacing w:val="-6"/>
          <w:w w:val="110"/>
        </w:rPr>
        <w:t> </w:t>
      </w:r>
      <w:r>
        <w:rPr>
          <w:color w:val="231F20"/>
          <w:w w:val="110"/>
        </w:rPr>
        <w:t>alto</w:t>
      </w:r>
      <w:r>
        <w:rPr>
          <w:color w:val="231F20"/>
          <w:spacing w:val="-6"/>
          <w:w w:val="110"/>
        </w:rPr>
        <w:t> </w:t>
      </w:r>
      <w:r>
        <w:rPr>
          <w:color w:val="231F20"/>
          <w:w w:val="110"/>
        </w:rPr>
        <w:t>nivel de regulación y especificación. Es </w:t>
      </w:r>
      <w:r>
        <w:rPr>
          <w:color w:val="231F20"/>
          <w:spacing w:val="-3"/>
          <w:w w:val="110"/>
        </w:rPr>
        <w:t>decir, </w:t>
      </w:r>
      <w:r>
        <w:rPr>
          <w:color w:val="231F20"/>
          <w:w w:val="110"/>
        </w:rPr>
        <w:t>2001, como señalábamos, no es el inicio de una nueva estrategia de seguridad sino el reforza- miento de un proyecto que para entonces tenía más de dos decenios y el desarrollo de una institucionalidad que ya venía perfilándose. En este contexto surge la Carta Democrática Interamericana (2001), emanada de la 3a. Cumbre de las Américas, que es mucho más que un simple documento político. No sólo es una síntesis de la concep- ción teórica sobre gobernabilidad conservadora que proviene de los años setenta sino que inaugura un manual institucional para hacer frente a las amenazas al orden. Es un mecanismo de observación y control multilateral continental. En nombre del Estado de derecho   y del “orden democrático” proporciona las bases de la seguridad preventiva. La intervención en Haití, en 2004, fue el primer funesto experimento multilateral en el que por primera vez los países de América Latina intervienen un Estado de la región. Los costos en materia de derechos humanos de la minutash, a cargo en unas oca- siones de Brasil y en otras de Chile, con permanencia de las tropas desde entonces, han sido altísimos. Una segunda aplicación fue el “golpe</w:t>
      </w:r>
      <w:r>
        <w:rPr>
          <w:color w:val="231F20"/>
          <w:spacing w:val="-5"/>
          <w:w w:val="110"/>
        </w:rPr>
        <w:t> </w:t>
      </w:r>
      <w:r>
        <w:rPr>
          <w:color w:val="231F20"/>
          <w:w w:val="110"/>
        </w:rPr>
        <w:t>constitucional”</w:t>
      </w:r>
      <w:r>
        <w:rPr>
          <w:color w:val="231F20"/>
          <w:spacing w:val="-5"/>
          <w:w w:val="110"/>
        </w:rPr>
        <w:t> </w:t>
      </w:r>
      <w:r>
        <w:rPr>
          <w:color w:val="231F20"/>
          <w:w w:val="110"/>
        </w:rPr>
        <w:t>de</w:t>
      </w:r>
      <w:r>
        <w:rPr>
          <w:color w:val="231F20"/>
          <w:spacing w:val="-5"/>
          <w:w w:val="110"/>
        </w:rPr>
        <w:t> </w:t>
      </w:r>
      <w:r>
        <w:rPr>
          <w:color w:val="231F20"/>
          <w:w w:val="110"/>
        </w:rPr>
        <w:t>Honduras</w:t>
      </w:r>
      <w:r>
        <w:rPr>
          <w:color w:val="231F20"/>
          <w:spacing w:val="-5"/>
          <w:w w:val="110"/>
        </w:rPr>
        <w:t> </w:t>
      </w:r>
      <w:r>
        <w:rPr>
          <w:color w:val="231F20"/>
          <w:w w:val="110"/>
        </w:rPr>
        <w:t>que</w:t>
      </w:r>
      <w:r>
        <w:rPr>
          <w:color w:val="231F20"/>
          <w:spacing w:val="-5"/>
          <w:w w:val="110"/>
        </w:rPr>
        <w:t> </w:t>
      </w:r>
      <w:r>
        <w:rPr>
          <w:color w:val="231F20"/>
          <w:w w:val="110"/>
        </w:rPr>
        <w:t>preparó</w:t>
      </w:r>
      <w:r>
        <w:rPr>
          <w:color w:val="231F20"/>
          <w:spacing w:val="-5"/>
          <w:w w:val="110"/>
        </w:rPr>
        <w:t> </w:t>
      </w:r>
      <w:r>
        <w:rPr>
          <w:color w:val="231F20"/>
          <w:w w:val="110"/>
        </w:rPr>
        <w:t>una</w:t>
      </w:r>
      <w:r>
        <w:rPr>
          <w:color w:val="231F20"/>
          <w:spacing w:val="-5"/>
          <w:w w:val="110"/>
        </w:rPr>
        <w:t> </w:t>
      </w:r>
      <w:r>
        <w:rPr>
          <w:color w:val="231F20"/>
          <w:w w:val="110"/>
        </w:rPr>
        <w:t>salida</w:t>
      </w:r>
      <w:r>
        <w:rPr>
          <w:color w:val="231F20"/>
          <w:spacing w:val="-5"/>
          <w:w w:val="110"/>
        </w:rPr>
        <w:t> </w:t>
      </w:r>
      <w:r>
        <w:rPr>
          <w:color w:val="231F20"/>
          <w:w w:val="110"/>
        </w:rPr>
        <w:t>inusitada en la historia para la recomposición neoligárquica en ese país. La Carta</w:t>
      </w:r>
      <w:r>
        <w:rPr>
          <w:color w:val="231F20"/>
          <w:spacing w:val="-11"/>
          <w:w w:val="110"/>
        </w:rPr>
        <w:t> </w:t>
      </w:r>
      <w:r>
        <w:rPr>
          <w:color w:val="231F20"/>
          <w:w w:val="110"/>
        </w:rPr>
        <w:t>rescata</w:t>
      </w:r>
      <w:r>
        <w:rPr>
          <w:color w:val="231F20"/>
          <w:spacing w:val="-11"/>
          <w:w w:val="110"/>
        </w:rPr>
        <w:t> </w:t>
      </w:r>
      <w:r>
        <w:rPr>
          <w:color w:val="231F20"/>
          <w:w w:val="110"/>
        </w:rPr>
        <w:t>instituciones</w:t>
      </w:r>
      <w:r>
        <w:rPr>
          <w:color w:val="231F20"/>
          <w:spacing w:val="-11"/>
          <w:w w:val="110"/>
        </w:rPr>
        <w:t> </w:t>
      </w:r>
      <w:r>
        <w:rPr>
          <w:color w:val="231F20"/>
          <w:w w:val="110"/>
        </w:rPr>
        <w:t>continentales</w:t>
      </w:r>
      <w:r>
        <w:rPr>
          <w:color w:val="231F20"/>
          <w:spacing w:val="-11"/>
          <w:w w:val="110"/>
        </w:rPr>
        <w:t> </w:t>
      </w:r>
      <w:r>
        <w:rPr>
          <w:color w:val="231F20"/>
          <w:w w:val="110"/>
        </w:rPr>
        <w:t>prácticamente</w:t>
      </w:r>
      <w:r>
        <w:rPr>
          <w:color w:val="231F20"/>
          <w:spacing w:val="-11"/>
          <w:w w:val="110"/>
        </w:rPr>
        <w:t> </w:t>
      </w:r>
      <w:r>
        <w:rPr>
          <w:color w:val="231F20"/>
          <w:w w:val="110"/>
        </w:rPr>
        <w:t>extintas,</w:t>
      </w:r>
      <w:r>
        <w:rPr>
          <w:color w:val="231F20"/>
          <w:spacing w:val="-11"/>
          <w:w w:val="110"/>
        </w:rPr>
        <w:t> </w:t>
      </w:r>
      <w:r>
        <w:rPr>
          <w:color w:val="231F20"/>
          <w:w w:val="110"/>
        </w:rPr>
        <w:t>unas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 carácter político como la oea y otras de carácter militar como la Junta Interamericana de Defensa. Unos años antes se había creado  el Comité de Seguridad Hemisférica (1995) y el Centro de Estudios de Defensa Hemisférica</w:t>
      </w:r>
      <w:r>
        <w:rPr>
          <w:color w:val="231F20"/>
          <w:spacing w:val="-3"/>
          <w:w w:val="110"/>
        </w:rPr>
        <w:t> </w:t>
      </w:r>
      <w:r>
        <w:rPr>
          <w:color w:val="231F20"/>
          <w:w w:val="110"/>
        </w:rPr>
        <w:t>(1997).</w:t>
      </w:r>
    </w:p>
    <w:p>
      <w:pPr>
        <w:pStyle w:val="BodyText"/>
        <w:spacing w:line="261" w:lineRule="auto"/>
        <w:ind w:left="100" w:right="117" w:firstLine="240"/>
        <w:jc w:val="both"/>
      </w:pPr>
      <w:r>
        <w:rPr>
          <w:color w:val="231F20"/>
          <w:w w:val="110"/>
        </w:rPr>
        <w:t>La carta es además la continuidad de dos documentos específi- cos para América Latina: el Compromiso de Santiago de Chile de Defensa de la Democracia (1991), en el que se plantea el tema de   la gobernabilidad y las nuevas amenazas, y el </w:t>
      </w:r>
      <w:r>
        <w:rPr>
          <w:color w:val="231F20"/>
          <w:spacing w:val="-3"/>
          <w:w w:val="110"/>
        </w:rPr>
        <w:t>Tratado </w:t>
      </w:r>
      <w:r>
        <w:rPr>
          <w:color w:val="231F20"/>
          <w:w w:val="110"/>
        </w:rPr>
        <w:t>Marco de Se- guridad Democrática para Centroamérica (1995) en el que aparece por primera vez el concepto de “seguridad democrática” que años después institucionaliza Uribe en</w:t>
      </w:r>
      <w:r>
        <w:rPr>
          <w:color w:val="231F20"/>
          <w:spacing w:val="4"/>
          <w:w w:val="110"/>
        </w:rPr>
        <w:t> </w:t>
      </w:r>
      <w:r>
        <w:rPr>
          <w:color w:val="231F20"/>
          <w:w w:val="110"/>
        </w:rPr>
        <w:t>Colombia.</w:t>
      </w:r>
    </w:p>
    <w:p>
      <w:pPr>
        <w:pStyle w:val="BodyText"/>
        <w:spacing w:line="261" w:lineRule="auto"/>
        <w:ind w:left="100" w:right="113" w:firstLine="240"/>
        <w:jc w:val="both"/>
      </w:pPr>
      <w:r>
        <w:rPr>
          <w:color w:val="231F20"/>
          <w:w w:val="105"/>
        </w:rPr>
        <w:t>Un año antes del acuerdo sobre la Carta Interamericana, se hace público el Documento Santa Fe IV (2000) que inspira tanto ésta como el documento clave de la estrategia político-militar para América Latina, la Declaración sobre Seguridad de las Américas (2003). La pregunta clave que se formula en Santa Fe IV es “¿cuál es la amena- za?”; es </w:t>
      </w:r>
      <w:r>
        <w:rPr>
          <w:color w:val="231F20"/>
          <w:spacing w:val="-3"/>
          <w:w w:val="105"/>
        </w:rPr>
        <w:t>decir, </w:t>
      </w:r>
      <w:r>
        <w:rPr>
          <w:color w:val="231F20"/>
          <w:w w:val="105"/>
        </w:rPr>
        <w:t>quién es el enemigo y cómo se le enfrenta y contiene. Las amenazas a considerar son además del narcotráfico y el terroris- mo, migración, pobreza, endeudamiento, deforestación y desastres naturales y lo que denominan “democracias populistas” y “desestabi- lización potencial”. Ésta será la segunda ocasión, después de Santa     Fe I, en que se hace una mención explícita a los riesgos de desesta- bilización como consecuencia de la crisis mexicana; es </w:t>
      </w:r>
      <w:r>
        <w:rPr>
          <w:color w:val="231F20"/>
          <w:spacing w:val="-3"/>
          <w:w w:val="105"/>
        </w:rPr>
        <w:t>decir, </w:t>
      </w:r>
      <w:r>
        <w:rPr>
          <w:color w:val="231F20"/>
          <w:w w:val="105"/>
        </w:rPr>
        <w:t>la men- ción implícita de “estado fallido”. Plantea un plan de anexión de América Latina en el que, por supuesto, están considerados los re- cursos</w:t>
      </w:r>
      <w:r>
        <w:rPr>
          <w:color w:val="231F20"/>
          <w:spacing w:val="40"/>
          <w:w w:val="105"/>
        </w:rPr>
        <w:t> </w:t>
      </w:r>
      <w:r>
        <w:rPr>
          <w:color w:val="231F20"/>
          <w:w w:val="105"/>
        </w:rPr>
        <w:t>estratégicos.</w:t>
      </w:r>
    </w:p>
    <w:p>
      <w:pPr>
        <w:pStyle w:val="BodyText"/>
        <w:spacing w:line="261" w:lineRule="auto"/>
        <w:ind w:left="100" w:right="112" w:firstLine="240"/>
        <w:jc w:val="both"/>
      </w:pPr>
      <w:r>
        <w:rPr>
          <w:color w:val="231F20"/>
          <w:w w:val="110"/>
        </w:rPr>
        <w:t>De la 4a. Cumbre Extraordinaria de las Américas, realizada en Monterrey, surge la Declaración de Nuevo León (2004) que, como en el </w:t>
      </w:r>
      <w:r>
        <w:rPr>
          <w:color w:val="231F20"/>
          <w:spacing w:val="3"/>
          <w:w w:val="110"/>
        </w:rPr>
        <w:t>caso </w:t>
      </w:r>
      <w:r>
        <w:rPr>
          <w:color w:val="231F20"/>
          <w:w w:val="110"/>
        </w:rPr>
        <w:t>de </w:t>
      </w:r>
      <w:r>
        <w:rPr>
          <w:color w:val="231F20"/>
          <w:spacing w:val="2"/>
          <w:w w:val="110"/>
        </w:rPr>
        <w:t>los </w:t>
      </w:r>
      <w:r>
        <w:rPr>
          <w:color w:val="231F20"/>
          <w:spacing w:val="3"/>
          <w:w w:val="110"/>
        </w:rPr>
        <w:t>documentos anteriormente revisados, </w:t>
      </w:r>
      <w:r>
        <w:rPr>
          <w:color w:val="231F20"/>
          <w:spacing w:val="4"/>
          <w:w w:val="110"/>
        </w:rPr>
        <w:t>integra </w:t>
      </w:r>
      <w:r>
        <w:rPr>
          <w:color w:val="231F20"/>
          <w:w w:val="110"/>
        </w:rPr>
        <w:t>gobernabilidad y seguridad, precisando las directrices de la Carta. Señala: “Reafirmamos nuestra decisión de coordinar acciones inme- diatas cuando la democracia corra peligro en cualquiera de nuestros países” (2005: 11), e incorpora como precisiones evitar “el riesgo</w:t>
      </w:r>
      <w:r>
        <w:rPr>
          <w:color w:val="231F20"/>
          <w:spacing w:val="-34"/>
          <w:w w:val="110"/>
        </w:rPr>
        <w:t> </w:t>
      </w:r>
      <w:r>
        <w:rPr>
          <w:color w:val="231F20"/>
          <w:w w:val="110"/>
        </w:rPr>
        <w:t>de influencias indebidas” —en clara alusión a Venezuela—, la lucha antiterrorista y la búsqueda de institucionalización necesaria para ello. Es </w:t>
      </w:r>
      <w:r>
        <w:rPr>
          <w:color w:val="231F20"/>
          <w:spacing w:val="-3"/>
          <w:w w:val="110"/>
        </w:rPr>
        <w:t>decir, </w:t>
      </w:r>
      <w:r>
        <w:rPr>
          <w:color w:val="231F20"/>
          <w:w w:val="110"/>
        </w:rPr>
        <w:t>el proyecto se va redondeando públicamente desde una</w:t>
      </w:r>
      <w:r>
        <w:rPr>
          <w:color w:val="231F20"/>
          <w:spacing w:val="-12"/>
          <w:w w:val="110"/>
        </w:rPr>
        <w:t> </w:t>
      </w:r>
      <w:r>
        <w:rPr>
          <w:color w:val="231F20"/>
          <w:w w:val="110"/>
        </w:rPr>
        <w:t>perspectiva</w:t>
      </w:r>
      <w:r>
        <w:rPr>
          <w:color w:val="231F20"/>
          <w:spacing w:val="-12"/>
          <w:w w:val="110"/>
        </w:rPr>
        <w:t> </w:t>
      </w:r>
      <w:r>
        <w:rPr>
          <w:color w:val="231F20"/>
          <w:w w:val="110"/>
        </w:rPr>
        <w:t>político-ideológica</w:t>
      </w:r>
      <w:r>
        <w:rPr>
          <w:color w:val="231F20"/>
          <w:spacing w:val="-12"/>
          <w:w w:val="110"/>
        </w:rPr>
        <w:t> </w:t>
      </w:r>
      <w:r>
        <w:rPr>
          <w:color w:val="231F20"/>
          <w:w w:val="110"/>
        </w:rPr>
        <w:t>y</w:t>
      </w:r>
      <w:r>
        <w:rPr>
          <w:color w:val="231F20"/>
          <w:spacing w:val="-12"/>
          <w:w w:val="110"/>
        </w:rPr>
        <w:t> </w:t>
      </w:r>
      <w:r>
        <w:rPr>
          <w:color w:val="231F20"/>
          <w:spacing w:val="-3"/>
          <w:w w:val="110"/>
        </w:rPr>
        <w:t>militar.</w:t>
      </w:r>
    </w:p>
    <w:p>
      <w:pPr>
        <w:pStyle w:val="BodyText"/>
        <w:spacing w:line="261" w:lineRule="auto"/>
        <w:ind w:left="100" w:right="119" w:firstLine="240"/>
        <w:jc w:val="both"/>
      </w:pPr>
      <w:r>
        <w:rPr>
          <w:color w:val="231F20"/>
          <w:w w:val="110"/>
        </w:rPr>
        <w:t>Entre los documentos específicos y más recientes</w:t>
      </w:r>
      <w:r>
        <w:rPr>
          <w:color w:val="231F20"/>
          <w:spacing w:val="-28"/>
          <w:w w:val="110"/>
        </w:rPr>
        <w:t> </w:t>
      </w:r>
      <w:r>
        <w:rPr>
          <w:color w:val="231F20"/>
          <w:w w:val="110"/>
        </w:rPr>
        <w:t>sobre</w:t>
      </w:r>
      <w:r>
        <w:rPr>
          <w:color w:val="231F20"/>
          <w:spacing w:val="-4"/>
          <w:w w:val="110"/>
        </w:rPr>
        <w:t> </w:t>
      </w:r>
      <w:r>
        <w:rPr>
          <w:color w:val="231F20"/>
          <w:w w:val="110"/>
        </w:rPr>
        <w:t>seguridad</w:t>
      </w:r>
      <w:r>
        <w:rPr>
          <w:color w:val="231F20"/>
          <w:w w:val="110"/>
        </w:rPr>
        <w:t> </w:t>
      </w:r>
      <w:r>
        <w:rPr>
          <w:color w:val="231F20"/>
          <w:w w:val="110"/>
        </w:rPr>
        <w:t>para América Latina está, como mencionamos, la Declaración</w:t>
      </w:r>
      <w:r>
        <w:rPr>
          <w:color w:val="231F20"/>
          <w:spacing w:val="1"/>
          <w:w w:val="110"/>
        </w:rPr>
        <w:t> </w:t>
      </w:r>
      <w:r>
        <w:rPr>
          <w:color w:val="231F20"/>
          <w:w w:val="110"/>
        </w:rPr>
        <w:t>sobre</w:t>
      </w:r>
    </w:p>
    <w:p>
      <w:pPr>
        <w:spacing w:after="0" w:line="261" w:lineRule="auto"/>
        <w:jc w:val="both"/>
        <w:sectPr>
          <w:headerReference w:type="even" r:id="rId356"/>
          <w:headerReference w:type="default" r:id="rId357"/>
          <w:pgSz w:w="7640" w:h="11900"/>
          <w:pgMar w:header="672" w:footer="0" w:top="860" w:bottom="280" w:left="780" w:right="640"/>
          <w:pgNumType w:start="472"/>
        </w:sectPr>
      </w:pPr>
    </w:p>
    <w:p>
      <w:pPr>
        <w:pStyle w:val="BodyText"/>
        <w:spacing w:before="8"/>
        <w:rPr>
          <w:sz w:val="8"/>
        </w:rPr>
      </w:pPr>
    </w:p>
    <w:p>
      <w:pPr>
        <w:pStyle w:val="BodyText"/>
        <w:spacing w:line="261" w:lineRule="auto" w:before="67"/>
        <w:ind w:left="100" w:right="114"/>
        <w:jc w:val="both"/>
      </w:pPr>
      <w:r>
        <w:rPr>
          <w:color w:val="231F20"/>
          <w:w w:val="110"/>
        </w:rPr>
        <w:t>Seguridad de las Américas (2003), otra de las directrices de defensa emanada directamente de la Cumbre de las Américas y que es el correlato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National</w:t>
      </w:r>
      <w:r>
        <w:rPr>
          <w:color w:val="231F20"/>
          <w:spacing w:val="-10"/>
          <w:w w:val="110"/>
        </w:rPr>
        <w:t> </w:t>
      </w:r>
      <w:r>
        <w:rPr>
          <w:color w:val="231F20"/>
          <w:w w:val="110"/>
        </w:rPr>
        <w:t>Security</w:t>
      </w:r>
      <w:r>
        <w:rPr>
          <w:color w:val="231F20"/>
          <w:spacing w:val="-10"/>
          <w:w w:val="110"/>
        </w:rPr>
        <w:t> </w:t>
      </w:r>
      <w:r>
        <w:rPr>
          <w:color w:val="231F20"/>
          <w:w w:val="110"/>
        </w:rPr>
        <w:t>Strategy,</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National</w:t>
      </w:r>
      <w:r>
        <w:rPr>
          <w:color w:val="231F20"/>
          <w:spacing w:val="-10"/>
          <w:w w:val="110"/>
        </w:rPr>
        <w:t> </w:t>
      </w:r>
      <w:r>
        <w:rPr>
          <w:color w:val="231F20"/>
          <w:w w:val="110"/>
        </w:rPr>
        <w:t>Strategy</w:t>
      </w:r>
      <w:r>
        <w:rPr>
          <w:color w:val="231F20"/>
          <w:spacing w:val="-10"/>
          <w:w w:val="110"/>
        </w:rPr>
        <w:t> </w:t>
      </w:r>
      <w:r>
        <w:rPr>
          <w:color w:val="231F20"/>
          <w:w w:val="110"/>
        </w:rPr>
        <w:t>for Combating Terrorism, de ese mismo año, y de la National Strategy for Homeland Security, donde se define el terrorismo como “cual- quier acto premeditado, ilegal, peligroso para la vida humana o el bienestar público que pretenda intimidar o coercionar a la población civil o al gobierno […] Esta descripción incluye secuestro,</w:t>
      </w:r>
      <w:r>
        <w:rPr>
          <w:color w:val="231F20"/>
          <w:spacing w:val="-37"/>
          <w:w w:val="110"/>
        </w:rPr>
        <w:t> </w:t>
      </w:r>
      <w:r>
        <w:rPr>
          <w:color w:val="231F20"/>
          <w:w w:val="110"/>
        </w:rPr>
        <w:t>secuestro aéreo,</w:t>
      </w:r>
      <w:r>
        <w:rPr>
          <w:color w:val="231F20"/>
          <w:spacing w:val="-7"/>
          <w:w w:val="110"/>
        </w:rPr>
        <w:t> </w:t>
      </w:r>
      <w:r>
        <w:rPr>
          <w:color w:val="231F20"/>
          <w:w w:val="110"/>
        </w:rPr>
        <w:t>asesinatos,</w:t>
      </w:r>
      <w:r>
        <w:rPr>
          <w:color w:val="231F20"/>
          <w:spacing w:val="-7"/>
          <w:w w:val="110"/>
        </w:rPr>
        <w:t> </w:t>
      </w:r>
      <w:r>
        <w:rPr>
          <w:color w:val="231F20"/>
          <w:w w:val="110"/>
        </w:rPr>
        <w:t>bombardeos,</w:t>
      </w:r>
      <w:r>
        <w:rPr>
          <w:color w:val="231F20"/>
          <w:spacing w:val="-7"/>
          <w:w w:val="110"/>
        </w:rPr>
        <w:t> </w:t>
      </w:r>
      <w:r>
        <w:rPr>
          <w:color w:val="231F20"/>
          <w:w w:val="110"/>
        </w:rPr>
        <w:t>ataques</w:t>
      </w:r>
      <w:r>
        <w:rPr>
          <w:color w:val="231F20"/>
          <w:spacing w:val="-7"/>
          <w:w w:val="110"/>
        </w:rPr>
        <w:t> </w:t>
      </w:r>
      <w:r>
        <w:rPr>
          <w:color w:val="231F20"/>
          <w:w w:val="110"/>
        </w:rPr>
        <w:t>con</w:t>
      </w:r>
      <w:r>
        <w:rPr>
          <w:color w:val="231F20"/>
          <w:spacing w:val="-7"/>
          <w:w w:val="110"/>
        </w:rPr>
        <w:t> </w:t>
      </w:r>
      <w:r>
        <w:rPr>
          <w:color w:val="231F20"/>
          <w:w w:val="110"/>
        </w:rPr>
        <w:t>armas</w:t>
      </w:r>
      <w:r>
        <w:rPr>
          <w:color w:val="231F20"/>
          <w:spacing w:val="-7"/>
          <w:w w:val="110"/>
        </w:rPr>
        <w:t> </w:t>
      </w:r>
      <w:r>
        <w:rPr>
          <w:color w:val="231F20"/>
          <w:w w:val="110"/>
        </w:rPr>
        <w:t>químicas,</w:t>
      </w:r>
      <w:r>
        <w:rPr>
          <w:color w:val="231F20"/>
          <w:spacing w:val="-7"/>
          <w:w w:val="110"/>
        </w:rPr>
        <w:t> </w:t>
      </w:r>
      <w:r>
        <w:rPr>
          <w:color w:val="231F20"/>
          <w:w w:val="110"/>
        </w:rPr>
        <w:t>biológi- cas, radiológicas o nucleares, ataques cibernéticos y cualquier otro tipo de formas de violencia premeditada” (2002). La ambigüedad</w:t>
      </w:r>
      <w:r>
        <w:rPr>
          <w:color w:val="231F20"/>
          <w:spacing w:val="-12"/>
          <w:w w:val="110"/>
        </w:rPr>
        <w:t> </w:t>
      </w:r>
      <w:r>
        <w:rPr>
          <w:color w:val="231F20"/>
          <w:w w:val="110"/>
        </w:rPr>
        <w:t>de la definición cuando se señala “cualquier” acto o forma de violencia se presta a una aplicación discrecional en un contexto político con- servador.</w:t>
      </w:r>
      <w:r>
        <w:rPr>
          <w:color w:val="231F20"/>
          <w:spacing w:val="-4"/>
          <w:w w:val="110"/>
        </w:rPr>
        <w:t> </w:t>
      </w:r>
      <w:r>
        <w:rPr>
          <w:color w:val="231F20"/>
          <w:w w:val="110"/>
        </w:rPr>
        <w:t>Dicha</w:t>
      </w:r>
      <w:r>
        <w:rPr>
          <w:color w:val="231F20"/>
          <w:spacing w:val="-4"/>
          <w:w w:val="110"/>
        </w:rPr>
        <w:t> </w:t>
      </w:r>
      <w:r>
        <w:rPr>
          <w:color w:val="231F20"/>
          <w:w w:val="110"/>
        </w:rPr>
        <w:t>definición</w:t>
      </w:r>
      <w:r>
        <w:rPr>
          <w:color w:val="231F20"/>
          <w:spacing w:val="-4"/>
          <w:w w:val="110"/>
        </w:rPr>
        <w:t> </w:t>
      </w:r>
      <w:r>
        <w:rPr>
          <w:color w:val="231F20"/>
          <w:w w:val="110"/>
        </w:rPr>
        <w:t>no</w:t>
      </w:r>
      <w:r>
        <w:rPr>
          <w:color w:val="231F20"/>
          <w:spacing w:val="-4"/>
          <w:w w:val="110"/>
        </w:rPr>
        <w:t> </w:t>
      </w:r>
      <w:r>
        <w:rPr>
          <w:color w:val="231F20"/>
          <w:w w:val="110"/>
        </w:rPr>
        <w:t>sólo</w:t>
      </w:r>
      <w:r>
        <w:rPr>
          <w:color w:val="231F20"/>
          <w:spacing w:val="-4"/>
          <w:w w:val="110"/>
        </w:rPr>
        <w:t> </w:t>
      </w:r>
      <w:r>
        <w:rPr>
          <w:color w:val="231F20"/>
          <w:w w:val="110"/>
        </w:rPr>
        <w:t>será</w:t>
      </w:r>
      <w:r>
        <w:rPr>
          <w:color w:val="231F20"/>
          <w:spacing w:val="-4"/>
          <w:w w:val="110"/>
        </w:rPr>
        <w:t> </w:t>
      </w:r>
      <w:r>
        <w:rPr>
          <w:color w:val="231F20"/>
          <w:w w:val="110"/>
        </w:rPr>
        <w:t>recogida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caso</w:t>
      </w:r>
      <w:r>
        <w:rPr>
          <w:color w:val="231F20"/>
          <w:spacing w:val="-4"/>
          <w:w w:val="110"/>
        </w:rPr>
        <w:t> </w:t>
      </w:r>
      <w:r>
        <w:rPr>
          <w:color w:val="231F20"/>
          <w:w w:val="110"/>
        </w:rPr>
        <w:t>de</w:t>
      </w:r>
      <w:r>
        <w:rPr>
          <w:color w:val="231F20"/>
          <w:spacing w:val="-4"/>
          <w:w w:val="110"/>
        </w:rPr>
        <w:t> </w:t>
      </w:r>
      <w:r>
        <w:rPr>
          <w:color w:val="231F20"/>
          <w:w w:val="110"/>
        </w:rPr>
        <w:t>Méxi- co sino ampliada con un claro sentido de criminalización de la protesta social al agregar en la definición: “al que utilizando sustan- cias</w:t>
      </w:r>
      <w:r>
        <w:rPr>
          <w:color w:val="231F20"/>
          <w:spacing w:val="-18"/>
          <w:w w:val="110"/>
        </w:rPr>
        <w:t> </w:t>
      </w:r>
      <w:r>
        <w:rPr>
          <w:color w:val="231F20"/>
          <w:w w:val="110"/>
        </w:rPr>
        <w:t>tóxicas,</w:t>
      </w:r>
      <w:r>
        <w:rPr>
          <w:color w:val="231F20"/>
          <w:spacing w:val="-18"/>
          <w:w w:val="110"/>
        </w:rPr>
        <w:t> </w:t>
      </w:r>
      <w:r>
        <w:rPr>
          <w:color w:val="231F20"/>
          <w:w w:val="110"/>
        </w:rPr>
        <w:t>armas</w:t>
      </w:r>
      <w:r>
        <w:rPr>
          <w:color w:val="231F20"/>
          <w:spacing w:val="-18"/>
          <w:w w:val="110"/>
        </w:rPr>
        <w:t> </w:t>
      </w:r>
      <w:r>
        <w:rPr>
          <w:color w:val="231F20"/>
          <w:w w:val="110"/>
        </w:rPr>
        <w:t>químicas,</w:t>
      </w:r>
      <w:r>
        <w:rPr>
          <w:color w:val="231F20"/>
          <w:spacing w:val="-18"/>
          <w:w w:val="110"/>
        </w:rPr>
        <w:t> </w:t>
      </w:r>
      <w:r>
        <w:rPr>
          <w:color w:val="231F20"/>
          <w:w w:val="110"/>
        </w:rPr>
        <w:t>biológicas</w:t>
      </w:r>
      <w:r>
        <w:rPr>
          <w:color w:val="231F20"/>
          <w:spacing w:val="-18"/>
          <w:w w:val="110"/>
        </w:rPr>
        <w:t> </w:t>
      </w:r>
      <w:r>
        <w:rPr>
          <w:color w:val="231F20"/>
          <w:w w:val="110"/>
        </w:rPr>
        <w:t>o</w:t>
      </w:r>
      <w:r>
        <w:rPr>
          <w:color w:val="231F20"/>
          <w:spacing w:val="-18"/>
          <w:w w:val="110"/>
        </w:rPr>
        <w:t> </w:t>
      </w:r>
      <w:r>
        <w:rPr>
          <w:color w:val="231F20"/>
          <w:w w:val="110"/>
        </w:rPr>
        <w:t>similares,</w:t>
      </w:r>
      <w:r>
        <w:rPr>
          <w:color w:val="231F20"/>
          <w:spacing w:val="-18"/>
          <w:w w:val="110"/>
        </w:rPr>
        <w:t> </w:t>
      </w:r>
      <w:r>
        <w:rPr>
          <w:color w:val="231F20"/>
          <w:w w:val="110"/>
        </w:rPr>
        <w:t>material</w:t>
      </w:r>
      <w:r>
        <w:rPr>
          <w:color w:val="231F20"/>
          <w:spacing w:val="-18"/>
          <w:w w:val="110"/>
        </w:rPr>
        <w:t> </w:t>
      </w:r>
      <w:r>
        <w:rPr>
          <w:color w:val="231F20"/>
          <w:w w:val="110"/>
        </w:rPr>
        <w:t>radioac- tivo o instrumentos que emitan radiaciones, explosivos o armas de fuego,</w:t>
      </w:r>
      <w:r>
        <w:rPr>
          <w:color w:val="231F20"/>
          <w:spacing w:val="-10"/>
          <w:w w:val="110"/>
        </w:rPr>
        <w:t> </w:t>
      </w:r>
      <w:r>
        <w:rPr>
          <w:color w:val="231F20"/>
          <w:w w:val="110"/>
        </w:rPr>
        <w:t>o</w:t>
      </w:r>
      <w:r>
        <w:rPr>
          <w:color w:val="231F20"/>
          <w:spacing w:val="-10"/>
          <w:w w:val="110"/>
        </w:rPr>
        <w:t> </w:t>
      </w:r>
      <w:r>
        <w:rPr>
          <w:color w:val="231F20"/>
          <w:w w:val="110"/>
        </w:rPr>
        <w:t>por</w:t>
      </w:r>
      <w:r>
        <w:rPr>
          <w:color w:val="231F20"/>
          <w:spacing w:val="-10"/>
          <w:w w:val="110"/>
        </w:rPr>
        <w:t> </w:t>
      </w:r>
      <w:r>
        <w:rPr>
          <w:color w:val="231F20"/>
          <w:w w:val="110"/>
        </w:rPr>
        <w:t>incendio,</w:t>
      </w:r>
      <w:r>
        <w:rPr>
          <w:color w:val="231F20"/>
          <w:spacing w:val="-10"/>
          <w:w w:val="110"/>
        </w:rPr>
        <w:t> </w:t>
      </w:r>
      <w:r>
        <w:rPr>
          <w:color w:val="231F20"/>
          <w:w w:val="110"/>
        </w:rPr>
        <w:t>inundación</w:t>
      </w:r>
      <w:r>
        <w:rPr>
          <w:color w:val="231F20"/>
          <w:spacing w:val="-10"/>
          <w:w w:val="110"/>
        </w:rPr>
        <w:t> </w:t>
      </w:r>
      <w:r>
        <w:rPr>
          <w:i/>
          <w:color w:val="231F20"/>
          <w:w w:val="110"/>
        </w:rPr>
        <w:t>o</w:t>
      </w:r>
      <w:r>
        <w:rPr>
          <w:i/>
          <w:color w:val="231F20"/>
          <w:spacing w:val="-10"/>
          <w:w w:val="110"/>
        </w:rPr>
        <w:t> </w:t>
      </w:r>
      <w:r>
        <w:rPr>
          <w:i/>
          <w:color w:val="231F20"/>
          <w:w w:val="110"/>
        </w:rPr>
        <w:t>cualquier</w:t>
      </w:r>
      <w:r>
        <w:rPr>
          <w:i/>
          <w:color w:val="231F20"/>
          <w:spacing w:val="-10"/>
          <w:w w:val="110"/>
        </w:rPr>
        <w:t> </w:t>
      </w:r>
      <w:r>
        <w:rPr>
          <w:i/>
          <w:color w:val="231F20"/>
          <w:w w:val="110"/>
        </w:rPr>
        <w:t>medio</w:t>
      </w:r>
      <w:r>
        <w:rPr>
          <w:i/>
          <w:color w:val="231F20"/>
          <w:spacing w:val="-10"/>
          <w:w w:val="110"/>
        </w:rPr>
        <w:t> </w:t>
      </w:r>
      <w:r>
        <w:rPr>
          <w:i/>
          <w:color w:val="231F20"/>
          <w:w w:val="110"/>
        </w:rPr>
        <w:t>violento</w:t>
      </w:r>
      <w:r>
        <w:rPr>
          <w:color w:val="231F20"/>
          <w:w w:val="110"/>
        </w:rPr>
        <w:t>,</w:t>
      </w:r>
      <w:r>
        <w:rPr>
          <w:color w:val="231F20"/>
          <w:spacing w:val="-10"/>
          <w:w w:val="110"/>
        </w:rPr>
        <w:t> </w:t>
      </w:r>
      <w:r>
        <w:rPr>
          <w:color w:val="231F20"/>
          <w:w w:val="110"/>
        </w:rPr>
        <w:t>realice actos en contra de las personas, las cosas o servicios públicos, que </w:t>
      </w:r>
      <w:r>
        <w:rPr>
          <w:color w:val="231F20"/>
          <w:w w:val="105"/>
        </w:rPr>
        <w:t>produzcan</w:t>
      </w:r>
      <w:r>
        <w:rPr>
          <w:color w:val="231F20"/>
          <w:spacing w:val="-29"/>
          <w:w w:val="105"/>
        </w:rPr>
        <w:t> </w:t>
      </w:r>
      <w:r>
        <w:rPr>
          <w:i/>
          <w:color w:val="231F20"/>
          <w:w w:val="105"/>
        </w:rPr>
        <w:t>alarma,</w:t>
      </w:r>
      <w:r>
        <w:rPr>
          <w:i/>
          <w:color w:val="231F20"/>
          <w:spacing w:val="-29"/>
          <w:w w:val="105"/>
        </w:rPr>
        <w:t> </w:t>
      </w:r>
      <w:r>
        <w:rPr>
          <w:i/>
          <w:color w:val="231F20"/>
          <w:w w:val="105"/>
        </w:rPr>
        <w:t>temor</w:t>
      </w:r>
      <w:r>
        <w:rPr>
          <w:i/>
          <w:color w:val="231F20"/>
          <w:spacing w:val="-29"/>
          <w:w w:val="105"/>
        </w:rPr>
        <w:t> </w:t>
      </w:r>
      <w:r>
        <w:rPr>
          <w:i/>
          <w:color w:val="231F20"/>
          <w:w w:val="105"/>
        </w:rPr>
        <w:t>o</w:t>
      </w:r>
      <w:r>
        <w:rPr>
          <w:i/>
          <w:color w:val="231F20"/>
          <w:spacing w:val="-29"/>
          <w:w w:val="105"/>
        </w:rPr>
        <w:t> </w:t>
      </w:r>
      <w:r>
        <w:rPr>
          <w:i/>
          <w:color w:val="231F20"/>
          <w:w w:val="105"/>
        </w:rPr>
        <w:t>terror</w:t>
      </w:r>
      <w:r>
        <w:rPr>
          <w:i/>
          <w:color w:val="231F20"/>
          <w:spacing w:val="-29"/>
          <w:w w:val="105"/>
        </w:rPr>
        <w:t> </w:t>
      </w:r>
      <w:r>
        <w:rPr>
          <w:i/>
          <w:color w:val="231F20"/>
          <w:w w:val="105"/>
        </w:rPr>
        <w:t>en</w:t>
      </w:r>
      <w:r>
        <w:rPr>
          <w:i/>
          <w:color w:val="231F20"/>
          <w:spacing w:val="-29"/>
          <w:w w:val="105"/>
        </w:rPr>
        <w:t> </w:t>
      </w:r>
      <w:r>
        <w:rPr>
          <w:i/>
          <w:color w:val="231F20"/>
          <w:w w:val="105"/>
        </w:rPr>
        <w:t>la</w:t>
      </w:r>
      <w:r>
        <w:rPr>
          <w:i/>
          <w:color w:val="231F20"/>
          <w:spacing w:val="-29"/>
          <w:w w:val="105"/>
        </w:rPr>
        <w:t> </w:t>
      </w:r>
      <w:r>
        <w:rPr>
          <w:i/>
          <w:color w:val="231F20"/>
          <w:w w:val="105"/>
        </w:rPr>
        <w:t>población</w:t>
      </w:r>
      <w:r>
        <w:rPr>
          <w:i/>
          <w:color w:val="231F20"/>
          <w:spacing w:val="-29"/>
          <w:w w:val="105"/>
        </w:rPr>
        <w:t> </w:t>
      </w:r>
      <w:r>
        <w:rPr>
          <w:i/>
          <w:color w:val="231F20"/>
          <w:w w:val="105"/>
        </w:rPr>
        <w:t>o</w:t>
      </w:r>
      <w:r>
        <w:rPr>
          <w:i/>
          <w:color w:val="231F20"/>
          <w:spacing w:val="-29"/>
          <w:w w:val="105"/>
        </w:rPr>
        <w:t> </w:t>
      </w:r>
      <w:r>
        <w:rPr>
          <w:i/>
          <w:color w:val="231F20"/>
          <w:w w:val="105"/>
        </w:rPr>
        <w:t>en</w:t>
      </w:r>
      <w:r>
        <w:rPr>
          <w:i/>
          <w:color w:val="231F20"/>
          <w:spacing w:val="-29"/>
          <w:w w:val="105"/>
        </w:rPr>
        <w:t> </w:t>
      </w:r>
      <w:r>
        <w:rPr>
          <w:i/>
          <w:color w:val="231F20"/>
          <w:w w:val="105"/>
        </w:rPr>
        <w:t>un</w:t>
      </w:r>
      <w:r>
        <w:rPr>
          <w:i/>
          <w:color w:val="231F20"/>
          <w:spacing w:val="-29"/>
          <w:w w:val="105"/>
        </w:rPr>
        <w:t> </w:t>
      </w:r>
      <w:r>
        <w:rPr>
          <w:i/>
          <w:color w:val="231F20"/>
          <w:w w:val="105"/>
        </w:rPr>
        <w:t>grupo</w:t>
      </w:r>
      <w:r>
        <w:rPr>
          <w:i/>
          <w:color w:val="231F20"/>
          <w:spacing w:val="-29"/>
          <w:w w:val="105"/>
        </w:rPr>
        <w:t> </w:t>
      </w:r>
      <w:r>
        <w:rPr>
          <w:i/>
          <w:color w:val="231F20"/>
          <w:w w:val="105"/>
        </w:rPr>
        <w:t>o</w:t>
      </w:r>
      <w:r>
        <w:rPr>
          <w:i/>
          <w:color w:val="231F20"/>
          <w:spacing w:val="-29"/>
          <w:w w:val="105"/>
        </w:rPr>
        <w:t> </w:t>
      </w:r>
      <w:r>
        <w:rPr>
          <w:i/>
          <w:color w:val="231F20"/>
          <w:w w:val="105"/>
        </w:rPr>
        <w:t>sector</w:t>
      </w:r>
      <w:r>
        <w:rPr>
          <w:i/>
          <w:color w:val="231F20"/>
          <w:spacing w:val="-29"/>
          <w:w w:val="105"/>
        </w:rPr>
        <w:t> </w:t>
      </w:r>
      <w:r>
        <w:rPr>
          <w:i/>
          <w:color w:val="231F20"/>
          <w:w w:val="105"/>
        </w:rPr>
        <w:t>de </w:t>
      </w:r>
      <w:r>
        <w:rPr>
          <w:i/>
          <w:color w:val="231F20"/>
          <w:w w:val="110"/>
        </w:rPr>
        <w:t>ella</w:t>
      </w:r>
      <w:r>
        <w:rPr>
          <w:color w:val="231F20"/>
          <w:w w:val="110"/>
        </w:rPr>
        <w:t>,</w:t>
      </w:r>
      <w:r>
        <w:rPr>
          <w:color w:val="231F20"/>
          <w:spacing w:val="-36"/>
          <w:w w:val="110"/>
        </w:rPr>
        <w:t> </w:t>
      </w:r>
      <w:r>
        <w:rPr>
          <w:color w:val="231F20"/>
          <w:w w:val="110"/>
        </w:rPr>
        <w:t>para</w:t>
      </w:r>
      <w:r>
        <w:rPr>
          <w:color w:val="231F20"/>
          <w:spacing w:val="-36"/>
          <w:w w:val="110"/>
        </w:rPr>
        <w:t> </w:t>
      </w:r>
      <w:r>
        <w:rPr>
          <w:color w:val="231F20"/>
          <w:w w:val="110"/>
        </w:rPr>
        <w:t>atentar</w:t>
      </w:r>
      <w:r>
        <w:rPr>
          <w:color w:val="231F20"/>
          <w:spacing w:val="-36"/>
          <w:w w:val="110"/>
        </w:rPr>
        <w:t> </w:t>
      </w:r>
      <w:r>
        <w:rPr>
          <w:color w:val="231F20"/>
          <w:w w:val="110"/>
        </w:rPr>
        <w:t>contra</w:t>
      </w:r>
      <w:r>
        <w:rPr>
          <w:color w:val="231F20"/>
          <w:spacing w:val="-36"/>
          <w:w w:val="110"/>
        </w:rPr>
        <w:t> </w:t>
      </w:r>
      <w:r>
        <w:rPr>
          <w:color w:val="231F20"/>
          <w:w w:val="110"/>
        </w:rPr>
        <w:t>la</w:t>
      </w:r>
      <w:r>
        <w:rPr>
          <w:color w:val="231F20"/>
          <w:spacing w:val="-36"/>
          <w:w w:val="110"/>
        </w:rPr>
        <w:t> </w:t>
      </w:r>
      <w:r>
        <w:rPr>
          <w:color w:val="231F20"/>
          <w:w w:val="110"/>
        </w:rPr>
        <w:t>seguridad</w:t>
      </w:r>
      <w:r>
        <w:rPr>
          <w:color w:val="231F20"/>
          <w:spacing w:val="-36"/>
          <w:w w:val="110"/>
        </w:rPr>
        <w:t> </w:t>
      </w:r>
      <w:r>
        <w:rPr>
          <w:color w:val="231F20"/>
          <w:w w:val="110"/>
        </w:rPr>
        <w:t>nacional</w:t>
      </w:r>
      <w:r>
        <w:rPr>
          <w:color w:val="231F20"/>
          <w:spacing w:val="-36"/>
          <w:w w:val="110"/>
        </w:rPr>
        <w:t> </w:t>
      </w:r>
      <w:r>
        <w:rPr>
          <w:color w:val="231F20"/>
          <w:w w:val="110"/>
        </w:rPr>
        <w:t>o</w:t>
      </w:r>
      <w:r>
        <w:rPr>
          <w:color w:val="231F20"/>
          <w:spacing w:val="-36"/>
          <w:w w:val="110"/>
        </w:rPr>
        <w:t> </w:t>
      </w:r>
      <w:r>
        <w:rPr>
          <w:i/>
          <w:color w:val="231F20"/>
          <w:w w:val="110"/>
        </w:rPr>
        <w:t>presionar</w:t>
      </w:r>
      <w:r>
        <w:rPr>
          <w:i/>
          <w:color w:val="231F20"/>
          <w:spacing w:val="-36"/>
          <w:w w:val="110"/>
        </w:rPr>
        <w:t> </w:t>
      </w:r>
      <w:r>
        <w:rPr>
          <w:i/>
          <w:color w:val="231F20"/>
          <w:w w:val="110"/>
        </w:rPr>
        <w:t>a</w:t>
      </w:r>
      <w:r>
        <w:rPr>
          <w:i/>
          <w:color w:val="231F20"/>
          <w:spacing w:val="-36"/>
          <w:w w:val="110"/>
        </w:rPr>
        <w:t> </w:t>
      </w:r>
      <w:r>
        <w:rPr>
          <w:i/>
          <w:color w:val="231F20"/>
          <w:w w:val="110"/>
        </w:rPr>
        <w:t>la</w:t>
      </w:r>
      <w:r>
        <w:rPr>
          <w:i/>
          <w:color w:val="231F20"/>
          <w:spacing w:val="-36"/>
          <w:w w:val="110"/>
        </w:rPr>
        <w:t> </w:t>
      </w:r>
      <w:r>
        <w:rPr>
          <w:i/>
          <w:color w:val="231F20"/>
          <w:w w:val="110"/>
        </w:rPr>
        <w:t>autoridad </w:t>
      </w:r>
      <w:r>
        <w:rPr>
          <w:i/>
          <w:color w:val="231F20"/>
          <w:w w:val="110"/>
        </w:rPr>
        <w:t>para</w:t>
      </w:r>
      <w:r>
        <w:rPr>
          <w:i/>
          <w:color w:val="231F20"/>
          <w:spacing w:val="-22"/>
          <w:w w:val="110"/>
        </w:rPr>
        <w:t> </w:t>
      </w:r>
      <w:r>
        <w:rPr>
          <w:i/>
          <w:color w:val="231F20"/>
          <w:w w:val="110"/>
        </w:rPr>
        <w:t>que</w:t>
      </w:r>
      <w:r>
        <w:rPr>
          <w:i/>
          <w:color w:val="231F20"/>
          <w:spacing w:val="-22"/>
          <w:w w:val="110"/>
        </w:rPr>
        <w:t> </w:t>
      </w:r>
      <w:r>
        <w:rPr>
          <w:i/>
          <w:color w:val="231F20"/>
          <w:w w:val="110"/>
        </w:rPr>
        <w:t>tome</w:t>
      </w:r>
      <w:r>
        <w:rPr>
          <w:i/>
          <w:color w:val="231F20"/>
          <w:spacing w:val="-22"/>
          <w:w w:val="110"/>
        </w:rPr>
        <w:t> </w:t>
      </w:r>
      <w:r>
        <w:rPr>
          <w:i/>
          <w:color w:val="231F20"/>
          <w:w w:val="110"/>
        </w:rPr>
        <w:t>una</w:t>
      </w:r>
      <w:r>
        <w:rPr>
          <w:i/>
          <w:color w:val="231F20"/>
          <w:spacing w:val="-22"/>
          <w:w w:val="110"/>
        </w:rPr>
        <w:t> </w:t>
      </w:r>
      <w:r>
        <w:rPr>
          <w:i/>
          <w:color w:val="231F20"/>
          <w:w w:val="110"/>
        </w:rPr>
        <w:t>determinación</w:t>
      </w:r>
      <w:r>
        <w:rPr>
          <w:i/>
          <w:color w:val="231F20"/>
          <w:spacing w:val="-22"/>
          <w:w w:val="110"/>
        </w:rPr>
        <w:t> </w:t>
      </w:r>
      <w:r>
        <w:rPr>
          <w:color w:val="231F20"/>
          <w:w w:val="110"/>
        </w:rPr>
        <w:t>[cursivas</w:t>
      </w:r>
      <w:r>
        <w:rPr>
          <w:color w:val="231F20"/>
          <w:spacing w:val="-22"/>
          <w:w w:val="110"/>
        </w:rPr>
        <w:t> </w:t>
      </w:r>
      <w:r>
        <w:rPr>
          <w:color w:val="231F20"/>
          <w:w w:val="110"/>
        </w:rPr>
        <w:t>mías]”</w:t>
      </w:r>
      <w:r>
        <w:rPr>
          <w:color w:val="231F20"/>
          <w:spacing w:val="-22"/>
          <w:w w:val="110"/>
        </w:rPr>
        <w:t> </w:t>
      </w:r>
      <w:r>
        <w:rPr>
          <w:color w:val="231F20"/>
          <w:w w:val="110"/>
        </w:rPr>
        <w:t>como</w:t>
      </w:r>
      <w:r>
        <w:rPr>
          <w:color w:val="231F20"/>
          <w:spacing w:val="-22"/>
          <w:w w:val="110"/>
        </w:rPr>
        <w:t> </w:t>
      </w:r>
      <w:r>
        <w:rPr>
          <w:color w:val="231F20"/>
          <w:w w:val="110"/>
        </w:rPr>
        <w:t>aparece</w:t>
      </w:r>
      <w:r>
        <w:rPr>
          <w:color w:val="231F20"/>
          <w:spacing w:val="-22"/>
          <w:w w:val="110"/>
        </w:rPr>
        <w:t> </w:t>
      </w:r>
      <w:r>
        <w:rPr>
          <w:color w:val="231F20"/>
          <w:w w:val="110"/>
        </w:rPr>
        <w:t>en</w:t>
      </w:r>
      <w:r>
        <w:rPr>
          <w:color w:val="231F20"/>
          <w:spacing w:val="-22"/>
          <w:w w:val="110"/>
        </w:rPr>
        <w:t> </w:t>
      </w:r>
      <w:r>
        <w:rPr>
          <w:color w:val="231F20"/>
          <w:w w:val="110"/>
        </w:rPr>
        <w:t>la reforma del Art. 139 del Código Penal</w:t>
      </w:r>
      <w:r>
        <w:rPr>
          <w:color w:val="231F20"/>
          <w:spacing w:val="35"/>
          <w:w w:val="110"/>
        </w:rPr>
        <w:t> </w:t>
      </w:r>
      <w:r>
        <w:rPr>
          <w:color w:val="231F20"/>
          <w:w w:val="110"/>
        </w:rPr>
        <w:t>(2007).</w:t>
      </w:r>
    </w:p>
    <w:p>
      <w:pPr>
        <w:pStyle w:val="BodyText"/>
        <w:spacing w:line="261" w:lineRule="auto"/>
        <w:ind w:left="100" w:right="116" w:firstLine="240"/>
        <w:jc w:val="both"/>
      </w:pPr>
      <w:r>
        <w:rPr>
          <w:color w:val="231F20"/>
          <w:w w:val="110"/>
        </w:rPr>
        <w:t>La Declaración sobre Seguridad de las Américas es, sin duda, la culminación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proyección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política</w:t>
      </w:r>
      <w:r>
        <w:rPr>
          <w:color w:val="231F20"/>
          <w:spacing w:val="-12"/>
          <w:w w:val="110"/>
        </w:rPr>
        <w:t> </w:t>
      </w:r>
      <w:r>
        <w:rPr>
          <w:color w:val="231F20"/>
          <w:w w:val="110"/>
        </w:rPr>
        <w:t>de</w:t>
      </w:r>
      <w:r>
        <w:rPr>
          <w:color w:val="231F20"/>
          <w:spacing w:val="-12"/>
          <w:w w:val="110"/>
        </w:rPr>
        <w:t> </w:t>
      </w:r>
      <w:r>
        <w:rPr>
          <w:color w:val="231F20"/>
          <w:w w:val="110"/>
        </w:rPr>
        <w:t>defensa</w:t>
      </w:r>
      <w:r>
        <w:rPr>
          <w:color w:val="231F20"/>
          <w:spacing w:val="-12"/>
          <w:w w:val="110"/>
        </w:rPr>
        <w:t> </w:t>
      </w:r>
      <w:r>
        <w:rPr>
          <w:color w:val="231F20"/>
          <w:w w:val="110"/>
        </w:rPr>
        <w:t>hacia</w:t>
      </w:r>
      <w:r>
        <w:rPr>
          <w:color w:val="231F20"/>
          <w:spacing w:val="-12"/>
          <w:w w:val="110"/>
        </w:rPr>
        <w:t> </w:t>
      </w:r>
      <w:r>
        <w:rPr>
          <w:color w:val="231F20"/>
          <w:w w:val="110"/>
        </w:rPr>
        <w:t>América Latina.</w:t>
      </w:r>
      <w:r>
        <w:rPr>
          <w:color w:val="231F20"/>
          <w:spacing w:val="-14"/>
          <w:w w:val="110"/>
        </w:rPr>
        <w:t> </w:t>
      </w:r>
      <w:r>
        <w:rPr>
          <w:color w:val="231F20"/>
          <w:w w:val="110"/>
        </w:rPr>
        <w:t>Este</w:t>
      </w:r>
      <w:r>
        <w:rPr>
          <w:color w:val="231F20"/>
          <w:spacing w:val="-14"/>
          <w:w w:val="110"/>
        </w:rPr>
        <w:t> </w:t>
      </w:r>
      <w:r>
        <w:rPr>
          <w:color w:val="231F20"/>
          <w:w w:val="110"/>
        </w:rPr>
        <w:t>documento</w:t>
      </w:r>
      <w:r>
        <w:rPr>
          <w:color w:val="231F20"/>
          <w:spacing w:val="-14"/>
          <w:w w:val="110"/>
        </w:rPr>
        <w:t> </w:t>
      </w:r>
      <w:r>
        <w:rPr>
          <w:color w:val="231F20"/>
          <w:w w:val="110"/>
        </w:rPr>
        <w:t>es</w:t>
      </w:r>
      <w:r>
        <w:rPr>
          <w:color w:val="231F20"/>
          <w:spacing w:val="-14"/>
          <w:w w:val="110"/>
        </w:rPr>
        <w:t> </w:t>
      </w:r>
      <w:r>
        <w:rPr>
          <w:color w:val="231F20"/>
          <w:w w:val="110"/>
        </w:rPr>
        <w:t>uno</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ejemplos</w:t>
      </w:r>
      <w:r>
        <w:rPr>
          <w:color w:val="231F20"/>
          <w:spacing w:val="-14"/>
          <w:w w:val="110"/>
        </w:rPr>
        <w:t> </w:t>
      </w:r>
      <w:r>
        <w:rPr>
          <w:color w:val="231F20"/>
          <w:w w:val="110"/>
        </w:rPr>
        <w:t>más</w:t>
      </w:r>
      <w:r>
        <w:rPr>
          <w:color w:val="231F20"/>
          <w:spacing w:val="-14"/>
          <w:w w:val="110"/>
        </w:rPr>
        <w:t> </w:t>
      </w:r>
      <w:r>
        <w:rPr>
          <w:color w:val="231F20"/>
          <w:w w:val="110"/>
        </w:rPr>
        <w:t>claros</w:t>
      </w:r>
      <w:r>
        <w:rPr>
          <w:color w:val="231F20"/>
          <w:spacing w:val="-14"/>
          <w:w w:val="110"/>
        </w:rPr>
        <w:t> </w:t>
      </w:r>
      <w:r>
        <w:rPr>
          <w:color w:val="231F20"/>
          <w:w w:val="110"/>
        </w:rPr>
        <w:t>sobre</w:t>
      </w:r>
      <w:r>
        <w:rPr>
          <w:color w:val="231F20"/>
          <w:spacing w:val="-14"/>
          <w:w w:val="110"/>
        </w:rPr>
        <w:t> </w:t>
      </w:r>
      <w:r>
        <w:rPr>
          <w:color w:val="231F20"/>
          <w:w w:val="110"/>
        </w:rPr>
        <w:t>la</w:t>
      </w:r>
      <w:r>
        <w:rPr>
          <w:color w:val="231F20"/>
          <w:spacing w:val="-14"/>
          <w:w w:val="110"/>
        </w:rPr>
        <w:t> </w:t>
      </w:r>
      <w:r>
        <w:rPr>
          <w:color w:val="231F20"/>
          <w:spacing w:val="-3"/>
          <w:w w:val="110"/>
        </w:rPr>
        <w:t>ar- </w:t>
      </w:r>
      <w:r>
        <w:rPr>
          <w:color w:val="231F20"/>
          <w:w w:val="110"/>
        </w:rPr>
        <w:t>ticulación</w:t>
      </w:r>
      <w:r>
        <w:rPr>
          <w:color w:val="231F20"/>
          <w:spacing w:val="-10"/>
          <w:w w:val="110"/>
        </w:rPr>
        <w:t> </w:t>
      </w:r>
      <w:r>
        <w:rPr>
          <w:color w:val="231F20"/>
          <w:w w:val="110"/>
        </w:rPr>
        <w:t>entre</w:t>
      </w:r>
      <w:r>
        <w:rPr>
          <w:color w:val="231F20"/>
          <w:spacing w:val="-10"/>
          <w:w w:val="110"/>
        </w:rPr>
        <w:t> </w:t>
      </w:r>
      <w:r>
        <w:rPr>
          <w:color w:val="231F20"/>
          <w:w w:val="110"/>
        </w:rPr>
        <w:t>las</w:t>
      </w:r>
      <w:r>
        <w:rPr>
          <w:color w:val="231F20"/>
          <w:spacing w:val="-10"/>
          <w:w w:val="110"/>
        </w:rPr>
        <w:t> </w:t>
      </w:r>
      <w:r>
        <w:rPr>
          <w:color w:val="231F20"/>
          <w:w w:val="110"/>
        </w:rPr>
        <w:t>concepciones</w:t>
      </w:r>
      <w:r>
        <w:rPr>
          <w:color w:val="231F20"/>
          <w:spacing w:val="-10"/>
          <w:w w:val="110"/>
        </w:rPr>
        <w:t> </w:t>
      </w:r>
      <w:r>
        <w:rPr>
          <w:color w:val="231F20"/>
          <w:w w:val="110"/>
        </w:rPr>
        <w:t>comerciales,</w:t>
      </w:r>
      <w:r>
        <w:rPr>
          <w:color w:val="231F20"/>
          <w:spacing w:val="-10"/>
          <w:w w:val="110"/>
        </w:rPr>
        <w:t> </w:t>
      </w:r>
      <w:r>
        <w:rPr>
          <w:color w:val="231F20"/>
          <w:w w:val="110"/>
        </w:rPr>
        <w:t>políticas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defensa. Surge a raíz del acuerdo de la Cumbre de Santiago de Chile (1998) para crear una Comisión sobre Seguridad de la oea, encargada de revisar</w:t>
      </w:r>
      <w:r>
        <w:rPr>
          <w:color w:val="231F20"/>
          <w:spacing w:val="-20"/>
          <w:w w:val="110"/>
        </w:rPr>
        <w:t> </w:t>
      </w:r>
      <w:r>
        <w:rPr>
          <w:color w:val="231F20"/>
          <w:w w:val="110"/>
        </w:rPr>
        <w:t>los</w:t>
      </w:r>
      <w:r>
        <w:rPr>
          <w:color w:val="231F20"/>
          <w:spacing w:val="-20"/>
          <w:w w:val="110"/>
        </w:rPr>
        <w:t> </w:t>
      </w:r>
      <w:r>
        <w:rPr>
          <w:color w:val="231F20"/>
          <w:w w:val="110"/>
        </w:rPr>
        <w:t>temas</w:t>
      </w:r>
      <w:r>
        <w:rPr>
          <w:color w:val="231F20"/>
          <w:spacing w:val="-20"/>
          <w:w w:val="110"/>
        </w:rPr>
        <w:t> </w:t>
      </w:r>
      <w:r>
        <w:rPr>
          <w:color w:val="231F20"/>
          <w:w w:val="110"/>
        </w:rPr>
        <w:t>de</w:t>
      </w:r>
      <w:r>
        <w:rPr>
          <w:color w:val="231F20"/>
          <w:spacing w:val="-20"/>
          <w:w w:val="110"/>
        </w:rPr>
        <w:t> </w:t>
      </w:r>
      <w:r>
        <w:rPr>
          <w:color w:val="231F20"/>
          <w:w w:val="110"/>
        </w:rPr>
        <w:t>seguridad</w:t>
      </w:r>
      <w:r>
        <w:rPr>
          <w:color w:val="231F20"/>
          <w:spacing w:val="-20"/>
          <w:w w:val="110"/>
        </w:rPr>
        <w:t> </w:t>
      </w:r>
      <w:r>
        <w:rPr>
          <w:color w:val="231F20"/>
          <w:w w:val="110"/>
        </w:rPr>
        <w:t>y</w:t>
      </w:r>
      <w:r>
        <w:rPr>
          <w:color w:val="231F20"/>
          <w:spacing w:val="-20"/>
          <w:w w:val="110"/>
        </w:rPr>
        <w:t> </w:t>
      </w:r>
      <w:r>
        <w:rPr>
          <w:color w:val="231F20"/>
          <w:w w:val="110"/>
        </w:rPr>
        <w:t>reforzar</w:t>
      </w:r>
      <w:r>
        <w:rPr>
          <w:color w:val="231F20"/>
          <w:spacing w:val="-20"/>
          <w:w w:val="110"/>
        </w:rPr>
        <w:t> </w:t>
      </w:r>
      <w:r>
        <w:rPr>
          <w:color w:val="231F20"/>
          <w:w w:val="110"/>
        </w:rPr>
        <w:t>las</w:t>
      </w:r>
      <w:r>
        <w:rPr>
          <w:color w:val="231F20"/>
          <w:spacing w:val="-20"/>
          <w:w w:val="110"/>
        </w:rPr>
        <w:t> </w:t>
      </w:r>
      <w:r>
        <w:rPr>
          <w:color w:val="231F20"/>
          <w:w w:val="110"/>
        </w:rPr>
        <w:t>instituciones</w:t>
      </w:r>
      <w:r>
        <w:rPr>
          <w:color w:val="231F20"/>
          <w:spacing w:val="-20"/>
          <w:w w:val="110"/>
        </w:rPr>
        <w:t> </w:t>
      </w:r>
      <w:r>
        <w:rPr>
          <w:color w:val="231F20"/>
          <w:w w:val="110"/>
        </w:rPr>
        <w:t>del</w:t>
      </w:r>
      <w:r>
        <w:rPr>
          <w:color w:val="231F20"/>
          <w:spacing w:val="-20"/>
          <w:w w:val="110"/>
        </w:rPr>
        <w:t> </w:t>
      </w:r>
      <w:r>
        <w:rPr>
          <w:color w:val="231F20"/>
          <w:w w:val="110"/>
        </w:rPr>
        <w:t>viejo</w:t>
      </w:r>
      <w:r>
        <w:rPr>
          <w:color w:val="231F20"/>
          <w:spacing w:val="-20"/>
          <w:w w:val="110"/>
        </w:rPr>
        <w:t> </w:t>
      </w:r>
      <w:r>
        <w:rPr>
          <w:color w:val="231F20"/>
          <w:w w:val="110"/>
        </w:rPr>
        <w:t>sis- tema</w:t>
      </w:r>
      <w:r>
        <w:rPr>
          <w:color w:val="231F20"/>
          <w:spacing w:val="-5"/>
          <w:w w:val="110"/>
        </w:rPr>
        <w:t> </w:t>
      </w:r>
      <w:r>
        <w:rPr>
          <w:color w:val="231F20"/>
          <w:w w:val="110"/>
        </w:rPr>
        <w:t>interamericano.</w:t>
      </w:r>
      <w:r>
        <w:rPr>
          <w:color w:val="231F20"/>
          <w:spacing w:val="-5"/>
          <w:w w:val="110"/>
        </w:rPr>
        <w:t> </w:t>
      </w:r>
      <w:r>
        <w:rPr>
          <w:color w:val="231F20"/>
          <w:w w:val="110"/>
        </w:rPr>
        <w:t>Después,</w:t>
      </w:r>
      <w:r>
        <w:rPr>
          <w:color w:val="231F20"/>
          <w:spacing w:val="-5"/>
          <w:w w:val="110"/>
        </w:rPr>
        <w:t> </w:t>
      </w:r>
      <w:r>
        <w:rPr>
          <w:color w:val="231F20"/>
          <w:w w:val="110"/>
        </w:rPr>
        <w:t>en</w:t>
      </w:r>
      <w:r>
        <w:rPr>
          <w:color w:val="231F20"/>
          <w:spacing w:val="-5"/>
          <w:w w:val="110"/>
        </w:rPr>
        <w:t> </w:t>
      </w:r>
      <w:r>
        <w:rPr>
          <w:color w:val="231F20"/>
          <w:w w:val="110"/>
        </w:rPr>
        <w:t>2001,</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Cumbre</w:t>
      </w:r>
      <w:r>
        <w:rPr>
          <w:color w:val="231F20"/>
          <w:spacing w:val="-5"/>
          <w:w w:val="110"/>
        </w:rPr>
        <w:t> </w:t>
      </w:r>
      <w:r>
        <w:rPr>
          <w:color w:val="231F20"/>
          <w:w w:val="110"/>
        </w:rPr>
        <w:t>de</w:t>
      </w:r>
      <w:r>
        <w:rPr>
          <w:color w:val="231F20"/>
          <w:spacing w:val="-5"/>
          <w:w w:val="110"/>
        </w:rPr>
        <w:t> </w:t>
      </w:r>
      <w:r>
        <w:rPr>
          <w:color w:val="231F20"/>
          <w:w w:val="110"/>
        </w:rPr>
        <w:t>Quebéc,</w:t>
      </w:r>
      <w:r>
        <w:rPr>
          <w:color w:val="231F20"/>
          <w:spacing w:val="-5"/>
          <w:w w:val="110"/>
        </w:rPr>
        <w:t> </w:t>
      </w:r>
      <w:r>
        <w:rPr>
          <w:color w:val="231F20"/>
          <w:w w:val="110"/>
        </w:rPr>
        <w:t>se le</w:t>
      </w:r>
      <w:r>
        <w:rPr>
          <w:color w:val="231F20"/>
          <w:spacing w:val="-11"/>
          <w:w w:val="110"/>
        </w:rPr>
        <w:t> </w:t>
      </w:r>
      <w:r>
        <w:rPr>
          <w:color w:val="231F20"/>
          <w:w w:val="110"/>
        </w:rPr>
        <w:t>pidió</w:t>
      </w:r>
      <w:r>
        <w:rPr>
          <w:color w:val="231F20"/>
          <w:spacing w:val="-11"/>
          <w:w w:val="110"/>
        </w:rPr>
        <w:t> </w:t>
      </w:r>
      <w:r>
        <w:rPr>
          <w:color w:val="231F20"/>
          <w:w w:val="110"/>
        </w:rPr>
        <w:t>a</w:t>
      </w:r>
      <w:r>
        <w:rPr>
          <w:color w:val="231F20"/>
          <w:spacing w:val="-11"/>
          <w:w w:val="110"/>
        </w:rPr>
        <w:t> </w:t>
      </w:r>
      <w:r>
        <w:rPr>
          <w:color w:val="231F20"/>
          <w:w w:val="110"/>
        </w:rPr>
        <w:t>esta</w:t>
      </w:r>
      <w:r>
        <w:rPr>
          <w:color w:val="231F20"/>
          <w:spacing w:val="-11"/>
          <w:w w:val="110"/>
        </w:rPr>
        <w:t> </w:t>
      </w:r>
      <w:r>
        <w:rPr>
          <w:color w:val="231F20"/>
          <w:w w:val="110"/>
        </w:rPr>
        <w:t>misma</w:t>
      </w:r>
      <w:r>
        <w:rPr>
          <w:color w:val="231F20"/>
          <w:spacing w:val="-11"/>
          <w:w w:val="110"/>
        </w:rPr>
        <w:t> </w:t>
      </w:r>
      <w:r>
        <w:rPr>
          <w:color w:val="231F20"/>
          <w:w w:val="110"/>
        </w:rPr>
        <w:t>Comisión,</w:t>
      </w:r>
      <w:r>
        <w:rPr>
          <w:color w:val="231F20"/>
          <w:spacing w:val="-11"/>
          <w:w w:val="110"/>
        </w:rPr>
        <w:t> </w:t>
      </w:r>
      <w:r>
        <w:rPr>
          <w:color w:val="231F20"/>
          <w:w w:val="110"/>
        </w:rPr>
        <w:t>analizar</w:t>
      </w:r>
      <w:r>
        <w:rPr>
          <w:color w:val="231F20"/>
          <w:spacing w:val="-11"/>
          <w:w w:val="110"/>
        </w:rPr>
        <w:t> </w:t>
      </w:r>
      <w:r>
        <w:rPr>
          <w:color w:val="231F20"/>
          <w:w w:val="110"/>
        </w:rPr>
        <w:t>los</w:t>
      </w:r>
      <w:r>
        <w:rPr>
          <w:color w:val="231F20"/>
          <w:spacing w:val="-11"/>
          <w:w w:val="110"/>
        </w:rPr>
        <w:t> </w:t>
      </w:r>
      <w:r>
        <w:rPr>
          <w:color w:val="231F20"/>
          <w:w w:val="110"/>
        </w:rPr>
        <w:t>enfoques</w:t>
      </w:r>
      <w:r>
        <w:rPr>
          <w:color w:val="231F20"/>
          <w:spacing w:val="-11"/>
          <w:w w:val="110"/>
        </w:rPr>
        <w:t> </w:t>
      </w:r>
      <w:r>
        <w:rPr>
          <w:color w:val="231F20"/>
          <w:w w:val="110"/>
        </w:rPr>
        <w:t>comunes</w:t>
      </w:r>
      <w:r>
        <w:rPr>
          <w:color w:val="231F20"/>
          <w:spacing w:val="-11"/>
          <w:w w:val="110"/>
        </w:rPr>
        <w:t> </w:t>
      </w:r>
      <w:r>
        <w:rPr>
          <w:color w:val="231F20"/>
          <w:w w:val="110"/>
        </w:rPr>
        <w:t>sobre seguridad, lo que significó incorporar el enfoque multidimensional de</w:t>
      </w:r>
      <w:r>
        <w:rPr>
          <w:color w:val="231F20"/>
          <w:spacing w:val="-28"/>
          <w:w w:val="110"/>
        </w:rPr>
        <w:t> </w:t>
      </w:r>
      <w:r>
        <w:rPr>
          <w:color w:val="231F20"/>
          <w:w w:val="110"/>
        </w:rPr>
        <w:t>seguridad</w:t>
      </w:r>
      <w:r>
        <w:rPr>
          <w:color w:val="231F20"/>
          <w:spacing w:val="-28"/>
          <w:w w:val="110"/>
        </w:rPr>
        <w:t> </w:t>
      </w:r>
      <w:r>
        <w:rPr>
          <w:color w:val="231F20"/>
          <w:w w:val="110"/>
        </w:rPr>
        <w:t>hemisférica</w:t>
      </w:r>
      <w:r>
        <w:rPr>
          <w:color w:val="231F20"/>
          <w:spacing w:val="-28"/>
          <w:w w:val="110"/>
        </w:rPr>
        <w:t> </w:t>
      </w:r>
      <w:r>
        <w:rPr>
          <w:color w:val="231F20"/>
          <w:w w:val="110"/>
        </w:rPr>
        <w:t>y</w:t>
      </w:r>
      <w:r>
        <w:rPr>
          <w:color w:val="231F20"/>
          <w:spacing w:val="-28"/>
          <w:w w:val="110"/>
        </w:rPr>
        <w:t> </w:t>
      </w:r>
      <w:r>
        <w:rPr>
          <w:color w:val="231F20"/>
          <w:w w:val="110"/>
        </w:rPr>
        <w:t>las</w:t>
      </w:r>
      <w:r>
        <w:rPr>
          <w:color w:val="231F20"/>
          <w:spacing w:val="-28"/>
          <w:w w:val="110"/>
        </w:rPr>
        <w:t> </w:t>
      </w:r>
      <w:r>
        <w:rPr>
          <w:color w:val="231F20"/>
          <w:w w:val="110"/>
        </w:rPr>
        <w:t>llamadas</w:t>
      </w:r>
      <w:r>
        <w:rPr>
          <w:color w:val="231F20"/>
          <w:spacing w:val="-28"/>
          <w:w w:val="110"/>
        </w:rPr>
        <w:t> </w:t>
      </w:r>
      <w:r>
        <w:rPr>
          <w:color w:val="231F20"/>
          <w:w w:val="110"/>
        </w:rPr>
        <w:t>nuevas</w:t>
      </w:r>
      <w:r>
        <w:rPr>
          <w:color w:val="231F20"/>
          <w:spacing w:val="-28"/>
          <w:w w:val="110"/>
        </w:rPr>
        <w:t> </w:t>
      </w:r>
      <w:r>
        <w:rPr>
          <w:color w:val="231F20"/>
          <w:w w:val="110"/>
        </w:rPr>
        <w:t>amenazas.</w:t>
      </w:r>
      <w:r>
        <w:rPr>
          <w:color w:val="231F20"/>
          <w:spacing w:val="-28"/>
          <w:w w:val="110"/>
        </w:rPr>
        <w:t> </w:t>
      </w:r>
      <w:r>
        <w:rPr>
          <w:color w:val="231F20"/>
          <w:w w:val="110"/>
        </w:rPr>
        <w:t>El</w:t>
      </w:r>
      <w:r>
        <w:rPr>
          <w:color w:val="231F20"/>
          <w:spacing w:val="-28"/>
          <w:w w:val="110"/>
        </w:rPr>
        <w:t> </w:t>
      </w:r>
      <w:r>
        <w:rPr>
          <w:color w:val="231F20"/>
          <w:w w:val="110"/>
        </w:rPr>
        <w:t>resultado fue la Declaración de Bridgetown en la que se amplía la concepción de seguridad para “abarcar amenazas nuevas y no tradicionales,   que incluyen aspectos políticos, económicos, sociales, de salud y ambientales” (2002). Es </w:t>
      </w:r>
      <w:r>
        <w:rPr>
          <w:color w:val="231F20"/>
          <w:spacing w:val="-3"/>
          <w:w w:val="110"/>
        </w:rPr>
        <w:t>decir, </w:t>
      </w:r>
      <w:r>
        <w:rPr>
          <w:color w:val="231F20"/>
          <w:w w:val="110"/>
        </w:rPr>
        <w:t>la amenaza es total y en este </w:t>
      </w:r>
      <w:r>
        <w:rPr>
          <w:color w:val="231F20"/>
          <w:spacing w:val="53"/>
          <w:w w:val="110"/>
        </w:rPr>
        <w:t> </w:t>
      </w:r>
      <w:r>
        <w:rPr>
          <w:color w:val="231F20"/>
          <w:w w:val="110"/>
        </w:rPr>
        <w:t>sentido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 respuesta es la guerra total y permanente. El acento estará en la cooperación ante las amenazas transnacionales y en la generación de estrategias coordinadas. El resultado final, un año más tarde, fue la Declaración sobre Seguridad que a su vez resalta la contribución de los llamados procesos de integración (nafta, ppp y alca) a la estabilidad y seguridad</w:t>
      </w:r>
      <w:r>
        <w:rPr>
          <w:color w:val="231F20"/>
          <w:spacing w:val="-30"/>
          <w:w w:val="110"/>
        </w:rPr>
        <w:t> </w:t>
      </w:r>
      <w:r>
        <w:rPr>
          <w:color w:val="231F20"/>
          <w:w w:val="110"/>
        </w:rPr>
        <w:t>hemisférica.</w:t>
      </w:r>
    </w:p>
    <w:p>
      <w:pPr>
        <w:pStyle w:val="BodyText"/>
        <w:spacing w:line="261" w:lineRule="auto"/>
        <w:ind w:left="100" w:right="117" w:firstLine="240"/>
        <w:jc w:val="both"/>
      </w:pPr>
      <w:r>
        <w:rPr>
          <w:color w:val="231F20"/>
          <w:w w:val="110"/>
        </w:rPr>
        <w:t>La Declaración sobre Seguridad pone el énfasis en la defensa de la</w:t>
      </w:r>
      <w:r>
        <w:rPr>
          <w:color w:val="231F20"/>
          <w:spacing w:val="-21"/>
          <w:w w:val="110"/>
        </w:rPr>
        <w:t> </w:t>
      </w:r>
      <w:r>
        <w:rPr>
          <w:color w:val="231F20"/>
          <w:w w:val="110"/>
        </w:rPr>
        <w:t>democracia</w:t>
      </w:r>
      <w:r>
        <w:rPr>
          <w:color w:val="231F20"/>
          <w:spacing w:val="-21"/>
          <w:w w:val="110"/>
        </w:rPr>
        <w:t> </w:t>
      </w:r>
      <w:r>
        <w:rPr>
          <w:color w:val="231F20"/>
          <w:w w:val="110"/>
        </w:rPr>
        <w:t>(“seguridad</w:t>
      </w:r>
      <w:r>
        <w:rPr>
          <w:color w:val="231F20"/>
          <w:spacing w:val="-21"/>
          <w:w w:val="110"/>
        </w:rPr>
        <w:t> </w:t>
      </w:r>
      <w:r>
        <w:rPr>
          <w:color w:val="231F20"/>
          <w:w w:val="110"/>
        </w:rPr>
        <w:t>democrática”)</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seguridad</w:t>
      </w:r>
      <w:r>
        <w:rPr>
          <w:color w:val="231F20"/>
          <w:spacing w:val="-21"/>
          <w:w w:val="110"/>
        </w:rPr>
        <w:t> </w:t>
      </w:r>
      <w:r>
        <w:rPr>
          <w:color w:val="231F20"/>
          <w:w w:val="110"/>
        </w:rPr>
        <w:t>preventiva,</w:t>
      </w:r>
      <w:r>
        <w:rPr>
          <w:color w:val="231F20"/>
          <w:spacing w:val="-21"/>
          <w:w w:val="110"/>
        </w:rPr>
        <w:t> </w:t>
      </w:r>
      <w:r>
        <w:rPr>
          <w:color w:val="231F20"/>
          <w:w w:val="110"/>
        </w:rPr>
        <w:t>lo que se traduce en un “esfuerzo permanente para prevenir y anticipar las</w:t>
      </w:r>
      <w:r>
        <w:rPr>
          <w:color w:val="231F20"/>
          <w:spacing w:val="-15"/>
          <w:w w:val="110"/>
        </w:rPr>
        <w:t> </w:t>
      </w:r>
      <w:r>
        <w:rPr>
          <w:color w:val="231F20"/>
          <w:w w:val="110"/>
        </w:rPr>
        <w:t>causas</w:t>
      </w:r>
      <w:r>
        <w:rPr>
          <w:color w:val="231F20"/>
          <w:spacing w:val="-15"/>
          <w:w w:val="110"/>
        </w:rPr>
        <w:t> </w:t>
      </w:r>
      <w:r>
        <w:rPr>
          <w:color w:val="231F20"/>
          <w:w w:val="110"/>
        </w:rPr>
        <w:t>mismas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problemas</w:t>
      </w:r>
      <w:r>
        <w:rPr>
          <w:color w:val="231F20"/>
          <w:spacing w:val="-15"/>
          <w:w w:val="110"/>
        </w:rPr>
        <w:t> </w:t>
      </w:r>
      <w:r>
        <w:rPr>
          <w:color w:val="231F20"/>
          <w:w w:val="110"/>
        </w:rPr>
        <w:t>que</w:t>
      </w:r>
      <w:r>
        <w:rPr>
          <w:color w:val="231F20"/>
          <w:spacing w:val="-15"/>
          <w:w w:val="110"/>
        </w:rPr>
        <w:t> </w:t>
      </w:r>
      <w:r>
        <w:rPr>
          <w:color w:val="231F20"/>
          <w:w w:val="110"/>
        </w:rPr>
        <w:t>afectan</w:t>
      </w:r>
      <w:r>
        <w:rPr>
          <w:color w:val="231F20"/>
          <w:spacing w:val="-15"/>
          <w:w w:val="110"/>
        </w:rPr>
        <w:t> </w:t>
      </w: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democráti- co</w:t>
      </w:r>
      <w:r>
        <w:rPr>
          <w:color w:val="231F20"/>
          <w:spacing w:val="-8"/>
          <w:w w:val="110"/>
        </w:rPr>
        <w:t> </w:t>
      </w:r>
      <w:r>
        <w:rPr>
          <w:color w:val="231F20"/>
          <w:w w:val="110"/>
        </w:rPr>
        <w:t>de</w:t>
      </w:r>
      <w:r>
        <w:rPr>
          <w:color w:val="231F20"/>
          <w:spacing w:val="-8"/>
          <w:w w:val="110"/>
        </w:rPr>
        <w:t> </w:t>
      </w:r>
      <w:r>
        <w:rPr>
          <w:color w:val="231F20"/>
          <w:w w:val="110"/>
        </w:rPr>
        <w:t>gobierno”</w:t>
      </w:r>
      <w:r>
        <w:rPr>
          <w:color w:val="231F20"/>
          <w:spacing w:val="-8"/>
          <w:w w:val="110"/>
        </w:rPr>
        <w:t> </w:t>
      </w:r>
      <w:r>
        <w:rPr>
          <w:color w:val="231F20"/>
          <w:w w:val="110"/>
        </w:rPr>
        <w:t>(2003).</w:t>
      </w:r>
      <w:r>
        <w:rPr>
          <w:color w:val="231F20"/>
          <w:spacing w:val="-8"/>
          <w:w w:val="110"/>
        </w:rPr>
        <w:t> </w:t>
      </w:r>
      <w:r>
        <w:rPr>
          <w:color w:val="231F20"/>
          <w:w w:val="110"/>
        </w:rPr>
        <w:t>Apela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seguridad</w:t>
      </w:r>
      <w:r>
        <w:rPr>
          <w:color w:val="231F20"/>
          <w:spacing w:val="-8"/>
          <w:w w:val="110"/>
        </w:rPr>
        <w:t> </w:t>
      </w:r>
      <w:r>
        <w:rPr>
          <w:color w:val="231F20"/>
          <w:w w:val="110"/>
        </w:rPr>
        <w:t>multidimensional</w:t>
      </w:r>
      <w:r>
        <w:rPr>
          <w:color w:val="231F20"/>
          <w:spacing w:val="-8"/>
          <w:w w:val="110"/>
        </w:rPr>
        <w:t> </w:t>
      </w:r>
      <w:r>
        <w:rPr>
          <w:color w:val="231F20"/>
          <w:w w:val="110"/>
        </w:rPr>
        <w:t>y</w:t>
      </w:r>
      <w:r>
        <w:rPr>
          <w:color w:val="231F20"/>
          <w:spacing w:val="-8"/>
          <w:w w:val="110"/>
        </w:rPr>
        <w:t> </w:t>
      </w:r>
      <w:r>
        <w:rPr>
          <w:color w:val="231F20"/>
          <w:w w:val="110"/>
        </w:rPr>
        <w:t>a</w:t>
      </w:r>
      <w:r>
        <w:rPr>
          <w:color w:val="231F20"/>
          <w:spacing w:val="-8"/>
          <w:w w:val="110"/>
        </w:rPr>
        <w:t> </w:t>
      </w:r>
      <w:r>
        <w:rPr>
          <w:color w:val="231F20"/>
          <w:w w:val="110"/>
        </w:rPr>
        <w:t>la necesidad de coordinarse para hacer frente a la amenaza del</w:t>
      </w:r>
      <w:r>
        <w:rPr>
          <w:color w:val="231F20"/>
          <w:spacing w:val="-23"/>
          <w:w w:val="110"/>
        </w:rPr>
        <w:t> </w:t>
      </w:r>
      <w:r>
        <w:rPr>
          <w:color w:val="231F20"/>
          <w:w w:val="110"/>
        </w:rPr>
        <w:t>terroris- mo estando dispuestos a “intensificar nuestros esfuerzos y</w:t>
      </w:r>
      <w:r>
        <w:rPr>
          <w:color w:val="231F20"/>
          <w:spacing w:val="-15"/>
          <w:w w:val="110"/>
        </w:rPr>
        <w:t> </w:t>
      </w:r>
      <w:r>
        <w:rPr>
          <w:color w:val="231F20"/>
          <w:w w:val="110"/>
        </w:rPr>
        <w:t>fortalecer nuestra cooperación para enfrentar estas amenazas. Tomaremos las medidas</w:t>
      </w:r>
      <w:r>
        <w:rPr>
          <w:color w:val="231F20"/>
          <w:spacing w:val="-11"/>
          <w:w w:val="110"/>
        </w:rPr>
        <w:t> </w:t>
      </w:r>
      <w:r>
        <w:rPr>
          <w:color w:val="231F20"/>
          <w:w w:val="110"/>
        </w:rPr>
        <w:t>necesarias</w:t>
      </w:r>
      <w:r>
        <w:rPr>
          <w:color w:val="231F20"/>
          <w:spacing w:val="-11"/>
          <w:w w:val="110"/>
        </w:rPr>
        <w:t> </w:t>
      </w:r>
      <w:r>
        <w:rPr>
          <w:color w:val="231F20"/>
          <w:w w:val="110"/>
        </w:rPr>
        <w:t>para</w:t>
      </w:r>
      <w:r>
        <w:rPr>
          <w:color w:val="231F20"/>
          <w:spacing w:val="-11"/>
          <w:w w:val="110"/>
        </w:rPr>
        <w:t> </w:t>
      </w:r>
      <w:r>
        <w:rPr>
          <w:color w:val="231F20"/>
          <w:w w:val="110"/>
        </w:rPr>
        <w:t>combatir</w:t>
      </w:r>
      <w:r>
        <w:rPr>
          <w:color w:val="231F20"/>
          <w:spacing w:val="-11"/>
          <w:w w:val="110"/>
        </w:rPr>
        <w:t> </w:t>
      </w:r>
      <w:r>
        <w:rPr>
          <w:color w:val="231F20"/>
          <w:w w:val="110"/>
        </w:rPr>
        <w:t>y</w:t>
      </w:r>
      <w:r>
        <w:rPr>
          <w:color w:val="231F20"/>
          <w:spacing w:val="-11"/>
          <w:w w:val="110"/>
        </w:rPr>
        <w:t> </w:t>
      </w:r>
      <w:r>
        <w:rPr>
          <w:color w:val="231F20"/>
          <w:w w:val="110"/>
        </w:rPr>
        <w:t>prevenir</w:t>
      </w:r>
      <w:r>
        <w:rPr>
          <w:color w:val="231F20"/>
          <w:spacing w:val="-11"/>
          <w:w w:val="110"/>
        </w:rPr>
        <w:t> </w:t>
      </w:r>
      <w:r>
        <w:rPr>
          <w:color w:val="231F20"/>
          <w:w w:val="110"/>
        </w:rPr>
        <w:t>el</w:t>
      </w:r>
      <w:r>
        <w:rPr>
          <w:color w:val="231F20"/>
          <w:spacing w:val="-11"/>
          <w:w w:val="110"/>
        </w:rPr>
        <w:t> </w:t>
      </w:r>
      <w:r>
        <w:rPr>
          <w:color w:val="231F20"/>
          <w:w w:val="110"/>
        </w:rPr>
        <w:t>terrorismo”</w:t>
      </w:r>
      <w:r>
        <w:rPr>
          <w:color w:val="231F20"/>
          <w:spacing w:val="-11"/>
          <w:w w:val="110"/>
        </w:rPr>
        <w:t> </w:t>
      </w:r>
      <w:r>
        <w:rPr>
          <w:color w:val="231F20"/>
          <w:w w:val="110"/>
        </w:rPr>
        <w:t>(Declara- ción sobre Seguridad de las América, 2003:11). Esto se traducirá en el intercambio de información e incluso asesoría jurídica. Además, abre la puerta a la posibilidad de intervenciones ante “conflictos in- ternos</w:t>
      </w:r>
      <w:r>
        <w:rPr>
          <w:color w:val="231F20"/>
          <w:spacing w:val="-10"/>
          <w:w w:val="110"/>
        </w:rPr>
        <w:t> </w:t>
      </w:r>
      <w:r>
        <w:rPr>
          <w:color w:val="231F20"/>
          <w:w w:val="110"/>
        </w:rPr>
        <w:t>[…]</w:t>
      </w:r>
      <w:r>
        <w:rPr>
          <w:color w:val="231F20"/>
          <w:spacing w:val="-10"/>
          <w:w w:val="110"/>
        </w:rPr>
        <w:t> </w:t>
      </w:r>
      <w:r>
        <w:rPr>
          <w:color w:val="231F20"/>
          <w:w w:val="110"/>
        </w:rPr>
        <w:t>cuando</w:t>
      </w:r>
      <w:r>
        <w:rPr>
          <w:color w:val="231F20"/>
          <w:spacing w:val="-10"/>
          <w:w w:val="110"/>
        </w:rPr>
        <w:t> </w:t>
      </w:r>
      <w:r>
        <w:rPr>
          <w:color w:val="231F20"/>
          <w:w w:val="110"/>
        </w:rPr>
        <w:t>el</w:t>
      </w:r>
      <w:r>
        <w:rPr>
          <w:color w:val="231F20"/>
          <w:spacing w:val="-10"/>
          <w:w w:val="110"/>
        </w:rPr>
        <w:t> </w:t>
      </w:r>
      <w:r>
        <w:rPr>
          <w:color w:val="231F20"/>
          <w:w w:val="110"/>
        </w:rPr>
        <w:t>Estado</w:t>
      </w:r>
      <w:r>
        <w:rPr>
          <w:color w:val="231F20"/>
          <w:spacing w:val="-10"/>
          <w:w w:val="110"/>
        </w:rPr>
        <w:t> </w:t>
      </w:r>
      <w:r>
        <w:rPr>
          <w:color w:val="231F20"/>
          <w:w w:val="110"/>
        </w:rPr>
        <w:t>afectado</w:t>
      </w:r>
      <w:r>
        <w:rPr>
          <w:color w:val="231F20"/>
          <w:spacing w:val="-10"/>
          <w:w w:val="110"/>
        </w:rPr>
        <w:t> </w:t>
      </w:r>
      <w:r>
        <w:rPr>
          <w:color w:val="231F20"/>
          <w:w w:val="110"/>
        </w:rPr>
        <w:t>así</w:t>
      </w:r>
      <w:r>
        <w:rPr>
          <w:color w:val="231F20"/>
          <w:spacing w:val="-10"/>
          <w:w w:val="110"/>
        </w:rPr>
        <w:t> </w:t>
      </w:r>
      <w:r>
        <w:rPr>
          <w:color w:val="231F20"/>
          <w:w w:val="110"/>
        </w:rPr>
        <w:t>lo</w:t>
      </w:r>
      <w:r>
        <w:rPr>
          <w:color w:val="231F20"/>
          <w:spacing w:val="-10"/>
          <w:w w:val="110"/>
        </w:rPr>
        <w:t> </w:t>
      </w:r>
      <w:r>
        <w:rPr>
          <w:color w:val="231F20"/>
          <w:w w:val="110"/>
        </w:rPr>
        <w:t>solicite”</w:t>
      </w:r>
      <w:r>
        <w:rPr>
          <w:color w:val="231F20"/>
          <w:spacing w:val="-10"/>
          <w:w w:val="110"/>
        </w:rPr>
        <w:t> </w:t>
      </w:r>
      <w:r>
        <w:rPr>
          <w:color w:val="231F20"/>
          <w:w w:val="110"/>
        </w:rPr>
        <w:t>y</w:t>
      </w:r>
      <w:r>
        <w:rPr>
          <w:color w:val="231F20"/>
          <w:spacing w:val="-10"/>
          <w:w w:val="110"/>
        </w:rPr>
        <w:t> </w:t>
      </w:r>
      <w:r>
        <w:rPr>
          <w:color w:val="231F20"/>
          <w:w w:val="110"/>
        </w:rPr>
        <w:t>misiones</w:t>
      </w:r>
      <w:r>
        <w:rPr>
          <w:color w:val="231F20"/>
          <w:spacing w:val="-10"/>
          <w:w w:val="110"/>
        </w:rPr>
        <w:t> </w:t>
      </w:r>
      <w:r>
        <w:rPr>
          <w:color w:val="231F20"/>
          <w:w w:val="110"/>
        </w:rPr>
        <w:t>en</w:t>
      </w:r>
      <w:r>
        <w:rPr>
          <w:color w:val="231F20"/>
          <w:spacing w:val="-10"/>
          <w:w w:val="110"/>
        </w:rPr>
        <w:t> </w:t>
      </w:r>
      <w:r>
        <w:rPr>
          <w:color w:val="231F20"/>
          <w:w w:val="110"/>
        </w:rPr>
        <w:t>el exterior, bajo la forma de misiones de paz, tanto en la región como fuera de ella. </w:t>
      </w:r>
      <w:r>
        <w:rPr>
          <w:color w:val="231F20"/>
          <w:spacing w:val="-5"/>
          <w:w w:val="110"/>
        </w:rPr>
        <w:t>Todo </w:t>
      </w:r>
      <w:r>
        <w:rPr>
          <w:color w:val="231F20"/>
          <w:w w:val="110"/>
        </w:rPr>
        <w:t>ello refleja la aspiración de Estados Unidos a la creación de un cuerpo multilateral </w:t>
      </w:r>
      <w:r>
        <w:rPr>
          <w:color w:val="231F20"/>
          <w:spacing w:val="42"/>
          <w:w w:val="110"/>
        </w:rPr>
        <w:t> </w:t>
      </w:r>
      <w:r>
        <w:rPr>
          <w:color w:val="231F20"/>
          <w:w w:val="110"/>
        </w:rPr>
        <w:t>americano.</w:t>
      </w:r>
    </w:p>
    <w:p>
      <w:pPr>
        <w:pStyle w:val="BodyText"/>
        <w:spacing w:line="261" w:lineRule="auto"/>
        <w:ind w:left="100" w:right="117" w:firstLine="240"/>
        <w:jc w:val="both"/>
      </w:pPr>
      <w:r>
        <w:rPr>
          <w:color w:val="231F20"/>
          <w:w w:val="110"/>
        </w:rPr>
        <w:t>Sin embargo, como ya adelantábamos, no será en la Declaración donde aparece explicitada, por primera vez, la concepción y estrate- gia de seguridad democrática y preventiva para América Latina. El antecedente es el </w:t>
      </w:r>
      <w:r>
        <w:rPr>
          <w:color w:val="231F20"/>
          <w:spacing w:val="-3"/>
          <w:w w:val="110"/>
        </w:rPr>
        <w:t>Tratado </w:t>
      </w:r>
      <w:r>
        <w:rPr>
          <w:color w:val="231F20"/>
          <w:w w:val="110"/>
        </w:rPr>
        <w:t>Marco de Seguridad Democrática en Cen- troamérica (1995), con el que se pone fin a la guerra en Centroamé- rica</w:t>
      </w:r>
      <w:r>
        <w:rPr>
          <w:color w:val="231F20"/>
          <w:spacing w:val="-7"/>
          <w:w w:val="110"/>
        </w:rPr>
        <w:t> </w:t>
      </w:r>
      <w:r>
        <w:rPr>
          <w:color w:val="231F20"/>
          <w:w w:val="110"/>
        </w:rPr>
        <w:t>y</w:t>
      </w:r>
      <w:r>
        <w:rPr>
          <w:color w:val="231F20"/>
          <w:spacing w:val="-7"/>
          <w:w w:val="110"/>
        </w:rPr>
        <w:t> </w:t>
      </w:r>
      <w:r>
        <w:rPr>
          <w:color w:val="231F20"/>
          <w:w w:val="110"/>
        </w:rPr>
        <w:t>que</w:t>
      </w:r>
      <w:r>
        <w:rPr>
          <w:color w:val="231F20"/>
          <w:spacing w:val="-7"/>
          <w:w w:val="110"/>
        </w:rPr>
        <w:t> </w:t>
      </w:r>
      <w:r>
        <w:rPr>
          <w:color w:val="231F20"/>
          <w:w w:val="110"/>
        </w:rPr>
        <w:t>constituyó</w:t>
      </w:r>
      <w:r>
        <w:rPr>
          <w:color w:val="231F20"/>
          <w:spacing w:val="-7"/>
          <w:w w:val="110"/>
        </w:rPr>
        <w:t> </w:t>
      </w:r>
      <w:r>
        <w:rPr>
          <w:color w:val="231F20"/>
          <w:w w:val="110"/>
        </w:rPr>
        <w:t>uno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primeros</w:t>
      </w:r>
      <w:r>
        <w:rPr>
          <w:color w:val="231F20"/>
          <w:spacing w:val="-7"/>
          <w:w w:val="110"/>
        </w:rPr>
        <w:t> </w:t>
      </w:r>
      <w:r>
        <w:rPr>
          <w:color w:val="231F20"/>
          <w:w w:val="110"/>
        </w:rPr>
        <w:t>teatros</w:t>
      </w:r>
      <w:r>
        <w:rPr>
          <w:color w:val="231F20"/>
          <w:spacing w:val="-7"/>
          <w:w w:val="110"/>
        </w:rPr>
        <w:t> </w:t>
      </w:r>
      <w:r>
        <w:rPr>
          <w:color w:val="231F20"/>
          <w:w w:val="110"/>
        </w:rPr>
        <w:t>de</w:t>
      </w:r>
      <w:r>
        <w:rPr>
          <w:color w:val="231F20"/>
          <w:spacing w:val="-7"/>
          <w:w w:val="110"/>
        </w:rPr>
        <w:t> </w:t>
      </w:r>
      <w:r>
        <w:rPr>
          <w:color w:val="231F20"/>
          <w:w w:val="110"/>
        </w:rPr>
        <w:t>experimentación de las concepciones de seguridad y defensa a pequeña escala. En él ya se plantean las directrices de gobernabilidad conservadora y sus objetivos</w:t>
      </w:r>
      <w:r>
        <w:rPr>
          <w:color w:val="231F20"/>
          <w:spacing w:val="-14"/>
          <w:w w:val="110"/>
        </w:rPr>
        <w:t> </w:t>
      </w:r>
      <w:r>
        <w:rPr>
          <w:color w:val="231F20"/>
          <w:w w:val="110"/>
        </w:rPr>
        <w:t>de</w:t>
      </w:r>
      <w:r>
        <w:rPr>
          <w:color w:val="231F20"/>
          <w:spacing w:val="-14"/>
          <w:w w:val="110"/>
        </w:rPr>
        <w:t> </w:t>
      </w:r>
      <w:r>
        <w:rPr>
          <w:color w:val="231F20"/>
          <w:w w:val="110"/>
        </w:rPr>
        <w:t>defensa</w:t>
      </w:r>
      <w:r>
        <w:rPr>
          <w:color w:val="231F20"/>
          <w:spacing w:val="-14"/>
          <w:w w:val="110"/>
        </w:rPr>
        <w:t> </w:t>
      </w:r>
      <w:r>
        <w:rPr>
          <w:color w:val="231F20"/>
          <w:w w:val="110"/>
        </w:rPr>
        <w:t>(defensa</w:t>
      </w:r>
      <w:r>
        <w:rPr>
          <w:color w:val="231F20"/>
          <w:spacing w:val="-14"/>
          <w:w w:val="110"/>
        </w:rPr>
        <w:t> </w:t>
      </w:r>
      <w:r>
        <w:rPr>
          <w:color w:val="231F20"/>
          <w:w w:val="110"/>
        </w:rPr>
        <w:t>multidimensional,</w:t>
      </w:r>
      <w:r>
        <w:rPr>
          <w:color w:val="231F20"/>
          <w:spacing w:val="-14"/>
          <w:w w:val="110"/>
        </w:rPr>
        <w:t> </w:t>
      </w:r>
      <w:r>
        <w:rPr>
          <w:color w:val="231F20"/>
          <w:w w:val="110"/>
        </w:rPr>
        <w:t>arquitectura</w:t>
      </w:r>
      <w:r>
        <w:rPr>
          <w:color w:val="231F20"/>
          <w:spacing w:val="-14"/>
          <w:w w:val="110"/>
        </w:rPr>
        <w:t> </w:t>
      </w:r>
      <w:r>
        <w:rPr>
          <w:color w:val="231F20"/>
          <w:w w:val="110"/>
        </w:rPr>
        <w:t>flexible de seguridad, cooperación hemisférica, colaboración en informa- ción e inteligencia, programas de adiestramiento, etc.), incluida la seguridad democrática, las amenazas a ésta </w:t>
      </w:r>
      <w:r>
        <w:rPr>
          <w:color w:val="231F20"/>
          <w:spacing w:val="-7"/>
          <w:w w:val="110"/>
        </w:rPr>
        <w:t>y, </w:t>
      </w:r>
      <w:r>
        <w:rPr>
          <w:color w:val="231F20"/>
          <w:w w:val="110"/>
        </w:rPr>
        <w:t>en correspondencia,  la seguridad preventiva para enfrentarlas. En su artículo 1 señala: “El Modelo Centroamericano de Seguridad Democrática se basa en la</w:t>
      </w:r>
      <w:r>
        <w:rPr>
          <w:color w:val="231F20"/>
          <w:spacing w:val="-7"/>
          <w:w w:val="110"/>
        </w:rPr>
        <w:t> </w:t>
      </w:r>
      <w:r>
        <w:rPr>
          <w:color w:val="231F20"/>
          <w:w w:val="110"/>
        </w:rPr>
        <w:t>democracia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fortalecimiento</w:t>
      </w:r>
      <w:r>
        <w:rPr>
          <w:color w:val="231F20"/>
          <w:spacing w:val="-7"/>
          <w:w w:val="110"/>
        </w:rPr>
        <w:t> </w:t>
      </w:r>
      <w:r>
        <w:rPr>
          <w:color w:val="231F20"/>
          <w:w w:val="110"/>
        </w:rPr>
        <w:t>de</w:t>
      </w:r>
      <w:r>
        <w:rPr>
          <w:color w:val="231F20"/>
          <w:spacing w:val="-7"/>
          <w:w w:val="110"/>
        </w:rPr>
        <w:t> </w:t>
      </w:r>
      <w:r>
        <w:rPr>
          <w:color w:val="231F20"/>
          <w:w w:val="110"/>
        </w:rPr>
        <w:t>sus</w:t>
      </w:r>
      <w:r>
        <w:rPr>
          <w:color w:val="231F20"/>
          <w:spacing w:val="-7"/>
          <w:w w:val="110"/>
        </w:rPr>
        <w:t> </w:t>
      </w:r>
      <w:r>
        <w:rPr>
          <w:color w:val="231F20"/>
          <w:w w:val="110"/>
        </w:rPr>
        <w:t>instituciones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Estado</w:t>
      </w:r>
      <w:r>
        <w:rPr>
          <w:color w:val="231F20"/>
          <w:spacing w:val="-7"/>
          <w:w w:val="110"/>
        </w:rPr>
        <w:t> </w:t>
      </w:r>
      <w:r>
        <w:rPr>
          <w:color w:val="231F20"/>
          <w:w w:val="110"/>
        </w:rPr>
        <w:t>de derecho;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existencia</w:t>
      </w:r>
      <w:r>
        <w:rPr>
          <w:color w:val="231F20"/>
          <w:spacing w:val="-8"/>
          <w:w w:val="110"/>
        </w:rPr>
        <w:t> </w:t>
      </w:r>
      <w:r>
        <w:rPr>
          <w:color w:val="231F20"/>
          <w:w w:val="110"/>
        </w:rPr>
        <w:t>de</w:t>
      </w:r>
      <w:r>
        <w:rPr>
          <w:color w:val="231F20"/>
          <w:spacing w:val="-8"/>
          <w:w w:val="110"/>
        </w:rPr>
        <w:t> </w:t>
      </w:r>
      <w:r>
        <w:rPr>
          <w:color w:val="231F20"/>
          <w:w w:val="110"/>
        </w:rPr>
        <w:t>gobiernos</w:t>
      </w:r>
      <w:r>
        <w:rPr>
          <w:color w:val="231F20"/>
          <w:spacing w:val="-8"/>
          <w:w w:val="110"/>
        </w:rPr>
        <w:t> </w:t>
      </w:r>
      <w:r>
        <w:rPr>
          <w:color w:val="231F20"/>
          <w:w w:val="110"/>
        </w:rPr>
        <w:t>electos</w:t>
      </w:r>
      <w:r>
        <w:rPr>
          <w:color w:val="231F20"/>
          <w:spacing w:val="-8"/>
          <w:w w:val="110"/>
        </w:rPr>
        <w:t> </w:t>
      </w:r>
      <w:r>
        <w:rPr>
          <w:color w:val="231F20"/>
          <w:w w:val="110"/>
        </w:rPr>
        <w:t>por</w:t>
      </w:r>
      <w:r>
        <w:rPr>
          <w:color w:val="231F20"/>
          <w:spacing w:val="-8"/>
          <w:w w:val="110"/>
        </w:rPr>
        <w:t> </w:t>
      </w:r>
      <w:r>
        <w:rPr>
          <w:color w:val="231F20"/>
          <w:w w:val="110"/>
        </w:rPr>
        <w:t>sufragio</w:t>
      </w:r>
      <w:r>
        <w:rPr>
          <w:color w:val="231F20"/>
          <w:spacing w:val="-8"/>
          <w:w w:val="110"/>
        </w:rPr>
        <w:t> </w:t>
      </w:r>
      <w:r>
        <w:rPr>
          <w:color w:val="231F20"/>
          <w:w w:val="110"/>
        </w:rPr>
        <w:t>universal, libre y secreto” y en otra parte agrega “una democracia, basada en</w:t>
      </w:r>
      <w:r>
        <w:rPr>
          <w:color w:val="231F20"/>
          <w:spacing w:val="-37"/>
          <w:w w:val="110"/>
        </w:rPr>
        <w:t> </w:t>
      </w:r>
      <w:r>
        <w:rPr>
          <w:color w:val="231F20"/>
          <w:w w:val="110"/>
        </w:rPr>
        <w:t>el</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Estado de derecho y en las garantías de libertades</w:t>
      </w:r>
      <w:r>
        <w:rPr>
          <w:color w:val="231F20"/>
          <w:spacing w:val="28"/>
          <w:w w:val="110"/>
        </w:rPr>
        <w:t> </w:t>
      </w:r>
      <w:r>
        <w:rPr>
          <w:color w:val="231F20"/>
          <w:w w:val="110"/>
        </w:rPr>
        <w:t>fundamentales,</w:t>
      </w:r>
      <w:r>
        <w:rPr>
          <w:color w:val="231F20"/>
          <w:spacing w:val="3"/>
          <w:w w:val="110"/>
        </w:rPr>
        <w:t> </w:t>
      </w:r>
      <w:r>
        <w:rPr>
          <w:color w:val="231F20"/>
          <w:w w:val="110"/>
        </w:rPr>
        <w:t>la</w:t>
      </w:r>
      <w:r>
        <w:rPr>
          <w:color w:val="231F20"/>
          <w:w w:val="105"/>
        </w:rPr>
        <w:t> </w:t>
      </w:r>
      <w:r>
        <w:rPr>
          <w:color w:val="231F20"/>
          <w:w w:val="110"/>
        </w:rPr>
        <w:t>libertad económica” </w:t>
      </w:r>
      <w:r>
        <w:rPr>
          <w:color w:val="231F20"/>
          <w:spacing w:val="-3"/>
          <w:w w:val="110"/>
        </w:rPr>
        <w:t>(Tratado </w:t>
      </w:r>
      <w:r>
        <w:rPr>
          <w:color w:val="231F20"/>
          <w:w w:val="110"/>
        </w:rPr>
        <w:t>Marco de Seguridad en Centroaméri- ca,</w:t>
      </w:r>
      <w:r>
        <w:rPr>
          <w:color w:val="231F20"/>
          <w:spacing w:val="-6"/>
          <w:w w:val="110"/>
        </w:rPr>
        <w:t> </w:t>
      </w:r>
      <w:r>
        <w:rPr>
          <w:color w:val="231F20"/>
          <w:w w:val="110"/>
        </w:rPr>
        <w:t>1995).</w:t>
      </w:r>
      <w:r>
        <w:rPr>
          <w:color w:val="231F20"/>
          <w:spacing w:val="-6"/>
          <w:w w:val="110"/>
        </w:rPr>
        <w:t> </w:t>
      </w:r>
      <w:r>
        <w:rPr>
          <w:color w:val="231F20"/>
          <w:w w:val="110"/>
        </w:rPr>
        <w:t>A</w:t>
      </w:r>
      <w:r>
        <w:rPr>
          <w:color w:val="231F20"/>
          <w:spacing w:val="-6"/>
          <w:w w:val="110"/>
        </w:rPr>
        <w:t> </w:t>
      </w:r>
      <w:r>
        <w:rPr>
          <w:color w:val="231F20"/>
          <w:w w:val="110"/>
        </w:rPr>
        <w:t>su</w:t>
      </w:r>
      <w:r>
        <w:rPr>
          <w:color w:val="231F20"/>
          <w:spacing w:val="-6"/>
          <w:w w:val="110"/>
        </w:rPr>
        <w:t> </w:t>
      </w:r>
      <w:r>
        <w:rPr>
          <w:color w:val="231F20"/>
          <w:w w:val="110"/>
        </w:rPr>
        <w:t>vez,</w:t>
      </w:r>
      <w:r>
        <w:rPr>
          <w:color w:val="231F20"/>
          <w:spacing w:val="-6"/>
          <w:w w:val="110"/>
        </w:rPr>
        <w:t> </w:t>
      </w:r>
      <w:r>
        <w:rPr>
          <w:color w:val="231F20"/>
          <w:w w:val="110"/>
        </w:rPr>
        <w:t>una</w:t>
      </w:r>
      <w:r>
        <w:rPr>
          <w:color w:val="231F20"/>
          <w:spacing w:val="-6"/>
          <w:w w:val="110"/>
        </w:rPr>
        <w:t> </w:t>
      </w:r>
      <w:r>
        <w:rPr>
          <w:color w:val="231F20"/>
          <w:w w:val="110"/>
        </w:rPr>
        <w:t>parte</w:t>
      </w:r>
      <w:r>
        <w:rPr>
          <w:color w:val="231F20"/>
          <w:spacing w:val="-6"/>
          <w:w w:val="110"/>
        </w:rPr>
        <w:t> </w:t>
      </w:r>
      <w:r>
        <w:rPr>
          <w:color w:val="231F20"/>
          <w:w w:val="110"/>
        </w:rPr>
        <w:t>de</w:t>
      </w:r>
      <w:r>
        <w:rPr>
          <w:color w:val="231F20"/>
          <w:spacing w:val="-6"/>
          <w:w w:val="110"/>
        </w:rPr>
        <w:t> </w:t>
      </w:r>
      <w:r>
        <w:rPr>
          <w:color w:val="231F20"/>
          <w:w w:val="110"/>
        </w:rPr>
        <w:t>estos</w:t>
      </w:r>
      <w:r>
        <w:rPr>
          <w:color w:val="231F20"/>
          <w:spacing w:val="-6"/>
          <w:w w:val="110"/>
        </w:rPr>
        <w:t> </w:t>
      </w:r>
      <w:r>
        <w:rPr>
          <w:color w:val="231F20"/>
          <w:w w:val="110"/>
        </w:rPr>
        <w:t>lineamientos</w:t>
      </w:r>
      <w:r>
        <w:rPr>
          <w:color w:val="231F20"/>
          <w:spacing w:val="-6"/>
          <w:w w:val="110"/>
        </w:rPr>
        <w:t> </w:t>
      </w:r>
      <w:r>
        <w:rPr>
          <w:color w:val="231F20"/>
          <w:w w:val="110"/>
        </w:rPr>
        <w:t>los</w:t>
      </w:r>
      <w:r>
        <w:rPr>
          <w:color w:val="231F20"/>
          <w:spacing w:val="-6"/>
          <w:w w:val="110"/>
        </w:rPr>
        <w:t> </w:t>
      </w:r>
      <w:r>
        <w:rPr>
          <w:color w:val="231F20"/>
          <w:w w:val="110"/>
        </w:rPr>
        <w:t>encontramos también en el Plan Colombia, en la aspan y en el Plan </w:t>
      </w:r>
      <w:r>
        <w:rPr>
          <w:color w:val="231F20"/>
          <w:spacing w:val="41"/>
          <w:w w:val="110"/>
        </w:rPr>
        <w:t> </w:t>
      </w:r>
      <w:r>
        <w:rPr>
          <w:color w:val="231F20"/>
          <w:w w:val="110"/>
        </w:rPr>
        <w:t>México.</w:t>
      </w:r>
    </w:p>
    <w:p>
      <w:pPr>
        <w:pStyle w:val="BodyText"/>
        <w:spacing w:line="261" w:lineRule="auto"/>
        <w:ind w:left="100" w:right="117" w:firstLine="240"/>
        <w:jc w:val="both"/>
      </w:pPr>
      <w:r>
        <w:rPr>
          <w:color w:val="231F20"/>
          <w:w w:val="115"/>
        </w:rPr>
        <w:t>Mientras</w:t>
      </w:r>
      <w:r>
        <w:rPr>
          <w:color w:val="231F20"/>
          <w:spacing w:val="-10"/>
          <w:w w:val="115"/>
        </w:rPr>
        <w:t> </w:t>
      </w:r>
      <w:r>
        <w:rPr>
          <w:color w:val="231F20"/>
          <w:w w:val="115"/>
        </w:rPr>
        <w:t>tanto,</w:t>
      </w:r>
      <w:r>
        <w:rPr>
          <w:color w:val="231F20"/>
          <w:spacing w:val="-10"/>
          <w:w w:val="115"/>
        </w:rPr>
        <w:t> </w:t>
      </w:r>
      <w:r>
        <w:rPr>
          <w:color w:val="231F20"/>
          <w:w w:val="115"/>
        </w:rPr>
        <w:t>aunque</w:t>
      </w:r>
      <w:r>
        <w:rPr>
          <w:color w:val="231F20"/>
          <w:spacing w:val="-10"/>
          <w:w w:val="115"/>
        </w:rPr>
        <w:t> </w:t>
      </w:r>
      <w:r>
        <w:rPr>
          <w:color w:val="231F20"/>
          <w:w w:val="115"/>
        </w:rPr>
        <w:t>el</w:t>
      </w:r>
      <w:r>
        <w:rPr>
          <w:color w:val="231F20"/>
          <w:spacing w:val="-10"/>
          <w:w w:val="115"/>
        </w:rPr>
        <w:t> </w:t>
      </w:r>
      <w:r>
        <w:rPr>
          <w:color w:val="231F20"/>
          <w:w w:val="115"/>
        </w:rPr>
        <w:t>alca</w:t>
      </w:r>
      <w:r>
        <w:rPr>
          <w:color w:val="231F20"/>
          <w:spacing w:val="-10"/>
          <w:w w:val="115"/>
        </w:rPr>
        <w:t> </w:t>
      </w:r>
      <w:r>
        <w:rPr>
          <w:color w:val="231F20"/>
          <w:w w:val="115"/>
        </w:rPr>
        <w:t>no</w:t>
      </w:r>
      <w:r>
        <w:rPr>
          <w:color w:val="231F20"/>
          <w:spacing w:val="-10"/>
          <w:w w:val="115"/>
        </w:rPr>
        <w:t> </w:t>
      </w:r>
      <w:r>
        <w:rPr>
          <w:color w:val="231F20"/>
          <w:w w:val="115"/>
        </w:rPr>
        <w:t>avanza</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forma</w:t>
      </w:r>
      <w:r>
        <w:rPr>
          <w:color w:val="231F20"/>
          <w:spacing w:val="-10"/>
          <w:w w:val="115"/>
        </w:rPr>
        <w:t> </w:t>
      </w:r>
      <w:r>
        <w:rPr>
          <w:color w:val="231F20"/>
          <w:w w:val="115"/>
        </w:rPr>
        <w:t>en</w:t>
      </w:r>
      <w:r>
        <w:rPr>
          <w:color w:val="231F20"/>
          <w:spacing w:val="-10"/>
          <w:w w:val="115"/>
        </w:rPr>
        <w:t> </w:t>
      </w:r>
      <w:r>
        <w:rPr>
          <w:color w:val="231F20"/>
          <w:w w:val="115"/>
        </w:rPr>
        <w:t>que</w:t>
      </w:r>
      <w:r>
        <w:rPr>
          <w:color w:val="231F20"/>
          <w:spacing w:val="-10"/>
          <w:w w:val="115"/>
        </w:rPr>
        <w:t> </w:t>
      </w:r>
      <w:r>
        <w:rPr>
          <w:color w:val="231F20"/>
          <w:w w:val="115"/>
        </w:rPr>
        <w:t>fue </w:t>
      </w:r>
      <w:r>
        <w:rPr>
          <w:color w:val="231F20"/>
          <w:w w:val="110"/>
        </w:rPr>
        <w:t>planeado,</w:t>
      </w:r>
      <w:r>
        <w:rPr>
          <w:color w:val="231F20"/>
          <w:spacing w:val="-14"/>
          <w:w w:val="110"/>
        </w:rPr>
        <w:t> </w:t>
      </w:r>
      <w:r>
        <w:rPr>
          <w:color w:val="231F20"/>
          <w:w w:val="110"/>
        </w:rPr>
        <w:t>asistimos</w:t>
      </w:r>
      <w:r>
        <w:rPr>
          <w:color w:val="231F20"/>
          <w:spacing w:val="-14"/>
          <w:w w:val="110"/>
        </w:rPr>
        <w:t> </w:t>
      </w:r>
      <w:r>
        <w:rPr>
          <w:color w:val="231F20"/>
          <w:w w:val="110"/>
        </w:rPr>
        <w:t>a</w:t>
      </w:r>
      <w:r>
        <w:rPr>
          <w:color w:val="231F20"/>
          <w:spacing w:val="-14"/>
          <w:w w:val="110"/>
        </w:rPr>
        <w:t> </w:t>
      </w:r>
      <w:r>
        <w:rPr>
          <w:color w:val="231F20"/>
          <w:w w:val="110"/>
        </w:rPr>
        <w:t>otras</w:t>
      </w:r>
      <w:r>
        <w:rPr>
          <w:color w:val="231F20"/>
          <w:spacing w:val="-14"/>
          <w:w w:val="110"/>
        </w:rPr>
        <w:t> </w:t>
      </w:r>
      <w:r>
        <w:rPr>
          <w:color w:val="231F20"/>
          <w:w w:val="110"/>
        </w:rPr>
        <w:t>formas</w:t>
      </w:r>
      <w:r>
        <w:rPr>
          <w:color w:val="231F20"/>
          <w:spacing w:val="-14"/>
          <w:w w:val="110"/>
        </w:rPr>
        <w:t> </w:t>
      </w:r>
      <w:r>
        <w:rPr>
          <w:color w:val="231F20"/>
          <w:w w:val="110"/>
        </w:rPr>
        <w:t>de</w:t>
      </w:r>
      <w:r>
        <w:rPr>
          <w:color w:val="231F20"/>
          <w:spacing w:val="-14"/>
          <w:w w:val="110"/>
        </w:rPr>
        <w:t> </w:t>
      </w:r>
      <w:r>
        <w:rPr>
          <w:color w:val="231F20"/>
          <w:w w:val="110"/>
        </w:rPr>
        <w:t>incorporación</w:t>
      </w:r>
      <w:r>
        <w:rPr>
          <w:color w:val="231F20"/>
          <w:spacing w:val="-14"/>
          <w:w w:val="110"/>
        </w:rPr>
        <w:t> </w:t>
      </w:r>
      <w:r>
        <w:rPr>
          <w:color w:val="231F20"/>
          <w:w w:val="110"/>
        </w:rPr>
        <w:t>de</w:t>
      </w:r>
      <w:r>
        <w:rPr>
          <w:color w:val="231F20"/>
          <w:spacing w:val="-14"/>
          <w:w w:val="110"/>
        </w:rPr>
        <w:t> </w:t>
      </w:r>
      <w:r>
        <w:rPr>
          <w:color w:val="231F20"/>
          <w:w w:val="110"/>
        </w:rPr>
        <w:t>América</w:t>
      </w:r>
      <w:r>
        <w:rPr>
          <w:color w:val="231F20"/>
          <w:spacing w:val="-14"/>
          <w:w w:val="110"/>
        </w:rPr>
        <w:t> </w:t>
      </w:r>
      <w:r>
        <w:rPr>
          <w:color w:val="231F20"/>
          <w:w w:val="110"/>
        </w:rPr>
        <w:t>Lati- </w:t>
      </w:r>
      <w:r>
        <w:rPr>
          <w:color w:val="231F20"/>
          <w:w w:val="115"/>
        </w:rPr>
        <w:t>na</w:t>
      </w:r>
      <w:r>
        <w:rPr>
          <w:color w:val="231F20"/>
          <w:spacing w:val="-21"/>
          <w:w w:val="115"/>
        </w:rPr>
        <w:t> </w:t>
      </w:r>
      <w:r>
        <w:rPr>
          <w:color w:val="231F20"/>
          <w:w w:val="115"/>
        </w:rPr>
        <w:t>en</w:t>
      </w:r>
      <w:r>
        <w:rPr>
          <w:color w:val="231F20"/>
          <w:spacing w:val="-21"/>
          <w:w w:val="115"/>
        </w:rPr>
        <w:t> </w:t>
      </w:r>
      <w:r>
        <w:rPr>
          <w:color w:val="231F20"/>
          <w:w w:val="115"/>
        </w:rPr>
        <w:t>la</w:t>
      </w:r>
      <w:r>
        <w:rPr>
          <w:color w:val="231F20"/>
          <w:spacing w:val="-21"/>
          <w:w w:val="115"/>
        </w:rPr>
        <w:t> </w:t>
      </w:r>
      <w:r>
        <w:rPr>
          <w:color w:val="231F20"/>
          <w:w w:val="115"/>
        </w:rPr>
        <w:t>órbita</w:t>
      </w:r>
      <w:r>
        <w:rPr>
          <w:color w:val="231F20"/>
          <w:spacing w:val="-21"/>
          <w:w w:val="115"/>
        </w:rPr>
        <w:t> </w:t>
      </w:r>
      <w:r>
        <w:rPr>
          <w:color w:val="231F20"/>
          <w:w w:val="115"/>
        </w:rPr>
        <w:t>geopolítica</w:t>
      </w:r>
      <w:r>
        <w:rPr>
          <w:color w:val="231F20"/>
          <w:spacing w:val="-21"/>
          <w:w w:val="115"/>
        </w:rPr>
        <w:t> </w:t>
      </w:r>
      <w:r>
        <w:rPr>
          <w:color w:val="231F20"/>
          <w:w w:val="115"/>
        </w:rPr>
        <w:t>estadunidense</w:t>
      </w:r>
      <w:r>
        <w:rPr>
          <w:color w:val="231F20"/>
          <w:spacing w:val="-21"/>
          <w:w w:val="115"/>
        </w:rPr>
        <w:t> </w:t>
      </w:r>
      <w:r>
        <w:rPr>
          <w:color w:val="231F20"/>
          <w:w w:val="115"/>
        </w:rPr>
        <w:t>que</w:t>
      </w:r>
      <w:r>
        <w:rPr>
          <w:color w:val="231F20"/>
          <w:spacing w:val="-21"/>
          <w:w w:val="115"/>
        </w:rPr>
        <w:t> </w:t>
      </w:r>
      <w:r>
        <w:rPr>
          <w:color w:val="231F20"/>
          <w:w w:val="115"/>
        </w:rPr>
        <w:t>van</w:t>
      </w:r>
      <w:r>
        <w:rPr>
          <w:color w:val="231F20"/>
          <w:spacing w:val="-21"/>
          <w:w w:val="115"/>
        </w:rPr>
        <w:t> </w:t>
      </w:r>
      <w:r>
        <w:rPr>
          <w:color w:val="231F20"/>
          <w:w w:val="115"/>
        </w:rPr>
        <w:t>desde</w:t>
      </w:r>
      <w:r>
        <w:rPr>
          <w:color w:val="231F20"/>
          <w:spacing w:val="-21"/>
          <w:w w:val="115"/>
        </w:rPr>
        <w:t> </w:t>
      </w:r>
      <w:r>
        <w:rPr>
          <w:color w:val="231F20"/>
          <w:w w:val="115"/>
        </w:rPr>
        <w:t>los</w:t>
      </w:r>
      <w:r>
        <w:rPr>
          <w:color w:val="231F20"/>
          <w:spacing w:val="-21"/>
          <w:w w:val="115"/>
        </w:rPr>
        <w:t> </w:t>
      </w:r>
      <w:r>
        <w:rPr>
          <w:color w:val="231F20"/>
          <w:w w:val="115"/>
        </w:rPr>
        <w:t>tratados bilaterales</w:t>
      </w:r>
      <w:r>
        <w:rPr>
          <w:color w:val="231F20"/>
          <w:spacing w:val="-28"/>
          <w:w w:val="115"/>
        </w:rPr>
        <w:t> </w:t>
      </w:r>
      <w:r>
        <w:rPr>
          <w:color w:val="231F20"/>
          <w:w w:val="115"/>
        </w:rPr>
        <w:t>hasta</w:t>
      </w:r>
      <w:r>
        <w:rPr>
          <w:color w:val="231F20"/>
          <w:spacing w:val="-28"/>
          <w:w w:val="115"/>
        </w:rPr>
        <w:t> </w:t>
      </w:r>
      <w:r>
        <w:rPr>
          <w:color w:val="231F20"/>
          <w:w w:val="115"/>
        </w:rPr>
        <w:t>las</w:t>
      </w:r>
      <w:r>
        <w:rPr>
          <w:color w:val="231F20"/>
          <w:spacing w:val="-28"/>
          <w:w w:val="115"/>
        </w:rPr>
        <w:t> </w:t>
      </w:r>
      <w:r>
        <w:rPr>
          <w:color w:val="231F20"/>
          <w:w w:val="115"/>
        </w:rPr>
        <w:t>políticas</w:t>
      </w:r>
      <w:r>
        <w:rPr>
          <w:color w:val="231F20"/>
          <w:spacing w:val="-28"/>
          <w:w w:val="115"/>
        </w:rPr>
        <w:t> </w:t>
      </w:r>
      <w:r>
        <w:rPr>
          <w:color w:val="231F20"/>
          <w:w w:val="115"/>
        </w:rPr>
        <w:t>de</w:t>
      </w:r>
      <w:r>
        <w:rPr>
          <w:color w:val="231F20"/>
          <w:spacing w:val="-28"/>
          <w:w w:val="115"/>
        </w:rPr>
        <w:t> </w:t>
      </w:r>
      <w:r>
        <w:rPr>
          <w:color w:val="231F20"/>
          <w:w w:val="115"/>
        </w:rPr>
        <w:t>desestabilización.</w:t>
      </w:r>
      <w:r>
        <w:rPr>
          <w:color w:val="231F20"/>
          <w:spacing w:val="-28"/>
          <w:w w:val="115"/>
        </w:rPr>
        <w:t> </w:t>
      </w:r>
      <w:r>
        <w:rPr>
          <w:color w:val="231F20"/>
          <w:spacing w:val="-4"/>
          <w:w w:val="115"/>
        </w:rPr>
        <w:t>Todos</w:t>
      </w:r>
      <w:r>
        <w:rPr>
          <w:color w:val="231F20"/>
          <w:spacing w:val="-28"/>
          <w:w w:val="115"/>
        </w:rPr>
        <w:t> </w:t>
      </w:r>
      <w:r>
        <w:rPr>
          <w:color w:val="231F20"/>
          <w:w w:val="110"/>
        </w:rPr>
        <w:t>y</w:t>
      </w:r>
      <w:r>
        <w:rPr>
          <w:color w:val="231F20"/>
          <w:spacing w:val="-25"/>
          <w:w w:val="110"/>
        </w:rPr>
        <w:t> </w:t>
      </w:r>
      <w:r>
        <w:rPr>
          <w:color w:val="231F20"/>
          <w:w w:val="115"/>
        </w:rPr>
        <w:t>cada</w:t>
      </w:r>
      <w:r>
        <w:rPr>
          <w:color w:val="231F20"/>
          <w:spacing w:val="-28"/>
          <w:w w:val="115"/>
        </w:rPr>
        <w:t> </w:t>
      </w:r>
      <w:r>
        <w:rPr>
          <w:color w:val="231F20"/>
          <w:w w:val="115"/>
        </w:rPr>
        <w:t>uno</w:t>
      </w:r>
      <w:r>
        <w:rPr>
          <w:color w:val="231F20"/>
          <w:w w:val="116"/>
        </w:rPr>
        <w:t> </w:t>
      </w:r>
      <w:r>
        <w:rPr>
          <w:color w:val="231F20"/>
          <w:w w:val="115"/>
        </w:rPr>
        <w:t>de los acuerdos comerciales bilaterales incorporan el tema de los recursos</w:t>
      </w:r>
      <w:r>
        <w:rPr>
          <w:color w:val="231F20"/>
          <w:spacing w:val="-38"/>
          <w:w w:val="115"/>
        </w:rPr>
        <w:t> </w:t>
      </w:r>
      <w:r>
        <w:rPr>
          <w:color w:val="231F20"/>
          <w:w w:val="115"/>
        </w:rPr>
        <w:t>naturales</w:t>
      </w:r>
      <w:r>
        <w:rPr>
          <w:color w:val="231F20"/>
          <w:spacing w:val="-38"/>
          <w:w w:val="115"/>
        </w:rPr>
        <w:t> </w:t>
      </w:r>
      <w:r>
        <w:rPr>
          <w:color w:val="231F20"/>
          <w:w w:val="115"/>
        </w:rPr>
        <w:t>en</w:t>
      </w:r>
      <w:r>
        <w:rPr>
          <w:color w:val="231F20"/>
          <w:spacing w:val="-38"/>
          <w:w w:val="115"/>
        </w:rPr>
        <w:t> </w:t>
      </w:r>
      <w:r>
        <w:rPr>
          <w:color w:val="231F20"/>
          <w:w w:val="115"/>
        </w:rPr>
        <w:t>los</w:t>
      </w:r>
      <w:r>
        <w:rPr>
          <w:color w:val="231F20"/>
          <w:spacing w:val="-38"/>
          <w:w w:val="115"/>
        </w:rPr>
        <w:t> </w:t>
      </w:r>
      <w:r>
        <w:rPr>
          <w:color w:val="231F20"/>
          <w:w w:val="115"/>
        </w:rPr>
        <w:t>capítulos</w:t>
      </w:r>
      <w:r>
        <w:rPr>
          <w:color w:val="231F20"/>
          <w:spacing w:val="-38"/>
          <w:w w:val="115"/>
        </w:rPr>
        <w:t> </w:t>
      </w:r>
      <w:r>
        <w:rPr>
          <w:color w:val="231F20"/>
          <w:w w:val="115"/>
        </w:rPr>
        <w:t>sobre</w:t>
      </w:r>
      <w:r>
        <w:rPr>
          <w:color w:val="231F20"/>
          <w:spacing w:val="-38"/>
          <w:w w:val="115"/>
        </w:rPr>
        <w:t> </w:t>
      </w:r>
      <w:r>
        <w:rPr>
          <w:color w:val="231F20"/>
          <w:w w:val="115"/>
        </w:rPr>
        <w:t>propiedad</w:t>
      </w:r>
      <w:r>
        <w:rPr>
          <w:color w:val="231F20"/>
          <w:spacing w:val="-38"/>
          <w:w w:val="115"/>
        </w:rPr>
        <w:t> </w:t>
      </w:r>
      <w:r>
        <w:rPr>
          <w:color w:val="231F20"/>
          <w:w w:val="115"/>
        </w:rPr>
        <w:t>intelectual</w:t>
      </w:r>
      <w:r>
        <w:rPr>
          <w:color w:val="231F20"/>
          <w:spacing w:val="-38"/>
          <w:w w:val="115"/>
        </w:rPr>
        <w:t> </w:t>
      </w:r>
      <w:r>
        <w:rPr>
          <w:color w:val="231F20"/>
          <w:w w:val="110"/>
        </w:rPr>
        <w:t>y</w:t>
      </w:r>
      <w:r>
        <w:rPr>
          <w:color w:val="231F20"/>
          <w:spacing w:val="-35"/>
          <w:w w:val="110"/>
        </w:rPr>
        <w:t> </w:t>
      </w:r>
      <w:r>
        <w:rPr>
          <w:color w:val="231F20"/>
          <w:w w:val="115"/>
        </w:rPr>
        <w:t>trato nacional</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inversión</w:t>
      </w:r>
      <w:r>
        <w:rPr>
          <w:color w:val="231F20"/>
          <w:spacing w:val="-14"/>
          <w:w w:val="115"/>
        </w:rPr>
        <w:t> </w:t>
      </w:r>
      <w:r>
        <w:rPr>
          <w:color w:val="231F20"/>
          <w:w w:val="115"/>
        </w:rPr>
        <w:t>extranjera</w:t>
      </w:r>
      <w:r>
        <w:rPr>
          <w:color w:val="231F20"/>
          <w:spacing w:val="-14"/>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a</w:t>
      </w:r>
      <w:r>
        <w:rPr>
          <w:color w:val="231F20"/>
          <w:spacing w:val="-14"/>
          <w:w w:val="115"/>
        </w:rPr>
        <w:t> </w:t>
      </w:r>
      <w:r>
        <w:rPr>
          <w:color w:val="231F20"/>
          <w:w w:val="115"/>
        </w:rPr>
        <w:t>los</w:t>
      </w:r>
      <w:r>
        <w:rPr>
          <w:color w:val="231F20"/>
          <w:spacing w:val="-14"/>
          <w:w w:val="115"/>
        </w:rPr>
        <w:t> </w:t>
      </w:r>
      <w:r>
        <w:rPr>
          <w:color w:val="231F20"/>
          <w:w w:val="115"/>
        </w:rPr>
        <w:t>principios</w:t>
      </w:r>
      <w:r>
        <w:rPr>
          <w:color w:val="231F20"/>
          <w:spacing w:val="-14"/>
          <w:w w:val="115"/>
        </w:rPr>
        <w:t> </w:t>
      </w:r>
      <w:r>
        <w:rPr>
          <w:color w:val="231F20"/>
          <w:w w:val="115"/>
        </w:rPr>
        <w:t>básicos del</w:t>
      </w:r>
      <w:r>
        <w:rPr>
          <w:color w:val="231F20"/>
          <w:spacing w:val="-17"/>
          <w:w w:val="115"/>
        </w:rPr>
        <w:t> </w:t>
      </w:r>
      <w:r>
        <w:rPr>
          <w:color w:val="231F20"/>
          <w:w w:val="115"/>
        </w:rPr>
        <w:t>alca,</w:t>
      </w:r>
      <w:r>
        <w:rPr>
          <w:color w:val="231F20"/>
          <w:spacing w:val="-17"/>
          <w:w w:val="115"/>
        </w:rPr>
        <w:t> </w:t>
      </w:r>
      <w:r>
        <w:rPr>
          <w:color w:val="231F20"/>
          <w:w w:val="115"/>
        </w:rPr>
        <w:t>herederos</w:t>
      </w:r>
      <w:r>
        <w:rPr>
          <w:color w:val="231F20"/>
          <w:spacing w:val="-17"/>
          <w:w w:val="115"/>
        </w:rPr>
        <w:t> </w:t>
      </w:r>
      <w:r>
        <w:rPr>
          <w:color w:val="231F20"/>
          <w:w w:val="115"/>
        </w:rPr>
        <w:t>del</w:t>
      </w:r>
      <w:r>
        <w:rPr>
          <w:color w:val="231F20"/>
          <w:spacing w:val="-17"/>
          <w:w w:val="115"/>
        </w:rPr>
        <w:t> </w:t>
      </w:r>
      <w:r>
        <w:rPr>
          <w:color w:val="231F20"/>
          <w:w w:val="115"/>
        </w:rPr>
        <w:t>Consenso</w:t>
      </w:r>
      <w:r>
        <w:rPr>
          <w:color w:val="231F20"/>
          <w:spacing w:val="-17"/>
          <w:w w:val="115"/>
        </w:rPr>
        <w:t> </w:t>
      </w:r>
      <w:r>
        <w:rPr>
          <w:color w:val="231F20"/>
          <w:w w:val="115"/>
        </w:rPr>
        <w:t>de</w:t>
      </w:r>
      <w:r>
        <w:rPr>
          <w:color w:val="231F20"/>
          <w:spacing w:val="-17"/>
          <w:w w:val="115"/>
        </w:rPr>
        <w:t> </w:t>
      </w:r>
      <w:r>
        <w:rPr>
          <w:color w:val="231F20"/>
          <w:w w:val="115"/>
        </w:rPr>
        <w:t>Washington.</w:t>
      </w:r>
      <w:r>
        <w:rPr>
          <w:color w:val="231F20"/>
          <w:spacing w:val="-17"/>
          <w:w w:val="115"/>
        </w:rPr>
        <w:t> </w:t>
      </w:r>
      <w:r>
        <w:rPr>
          <w:color w:val="231F20"/>
          <w:w w:val="115"/>
        </w:rPr>
        <w:t>No</w:t>
      </w:r>
      <w:r>
        <w:rPr>
          <w:color w:val="231F20"/>
          <w:spacing w:val="-17"/>
          <w:w w:val="115"/>
        </w:rPr>
        <w:t> </w:t>
      </w:r>
      <w:r>
        <w:rPr>
          <w:color w:val="231F20"/>
          <w:w w:val="115"/>
        </w:rPr>
        <w:t>se</w:t>
      </w:r>
      <w:r>
        <w:rPr>
          <w:color w:val="231F20"/>
          <w:spacing w:val="-17"/>
          <w:w w:val="115"/>
        </w:rPr>
        <w:t> </w:t>
      </w:r>
      <w:r>
        <w:rPr>
          <w:color w:val="231F20"/>
          <w:w w:val="115"/>
        </w:rPr>
        <w:t>puede</w:t>
      </w:r>
      <w:r>
        <w:rPr>
          <w:color w:val="231F20"/>
          <w:spacing w:val="-17"/>
          <w:w w:val="115"/>
        </w:rPr>
        <w:t> </w:t>
      </w:r>
      <w:r>
        <w:rPr>
          <w:color w:val="231F20"/>
          <w:w w:val="115"/>
        </w:rPr>
        <w:t>sub- estimar</w:t>
      </w:r>
      <w:r>
        <w:rPr>
          <w:color w:val="231F20"/>
          <w:spacing w:val="-24"/>
          <w:w w:val="115"/>
        </w:rPr>
        <w:t> </w:t>
      </w:r>
      <w:r>
        <w:rPr>
          <w:color w:val="231F20"/>
          <w:w w:val="115"/>
        </w:rPr>
        <w:t>esta</w:t>
      </w:r>
      <w:r>
        <w:rPr>
          <w:color w:val="231F20"/>
          <w:spacing w:val="-24"/>
          <w:w w:val="115"/>
        </w:rPr>
        <w:t> </w:t>
      </w:r>
      <w:r>
        <w:rPr>
          <w:color w:val="231F20"/>
          <w:w w:val="115"/>
        </w:rPr>
        <w:t>estrategia</w:t>
      </w:r>
      <w:r>
        <w:rPr>
          <w:color w:val="231F20"/>
          <w:spacing w:val="-24"/>
          <w:w w:val="115"/>
        </w:rPr>
        <w:t> </w:t>
      </w:r>
      <w:r>
        <w:rPr>
          <w:color w:val="231F20"/>
          <w:w w:val="115"/>
        </w:rPr>
        <w:t>expansionista</w:t>
      </w:r>
      <w:r>
        <w:rPr>
          <w:color w:val="231F20"/>
          <w:spacing w:val="-24"/>
          <w:w w:val="115"/>
        </w:rPr>
        <w:t> </w:t>
      </w:r>
      <w:r>
        <w:rPr>
          <w:color w:val="231F20"/>
          <w:w w:val="115"/>
        </w:rPr>
        <w:t>de</w:t>
      </w:r>
      <w:r>
        <w:rPr>
          <w:color w:val="231F20"/>
          <w:spacing w:val="-24"/>
          <w:w w:val="115"/>
        </w:rPr>
        <w:t> </w:t>
      </w:r>
      <w:r>
        <w:rPr>
          <w:color w:val="231F20"/>
          <w:w w:val="115"/>
        </w:rPr>
        <w:t>reemplazo</w:t>
      </w:r>
      <w:r>
        <w:rPr>
          <w:color w:val="231F20"/>
          <w:spacing w:val="-24"/>
          <w:w w:val="115"/>
        </w:rPr>
        <w:t> </w:t>
      </w:r>
      <w:r>
        <w:rPr>
          <w:color w:val="231F20"/>
          <w:w w:val="115"/>
        </w:rPr>
        <w:t>si</w:t>
      </w:r>
      <w:r>
        <w:rPr>
          <w:color w:val="231F20"/>
          <w:spacing w:val="-24"/>
          <w:w w:val="115"/>
        </w:rPr>
        <w:t> </w:t>
      </w:r>
      <w:r>
        <w:rPr>
          <w:color w:val="231F20"/>
          <w:w w:val="115"/>
        </w:rPr>
        <w:t>consideramos con</w:t>
      </w:r>
      <w:r>
        <w:rPr>
          <w:color w:val="231F20"/>
          <w:spacing w:val="-22"/>
          <w:w w:val="115"/>
        </w:rPr>
        <w:t> </w:t>
      </w:r>
      <w:r>
        <w:rPr>
          <w:color w:val="231F20"/>
          <w:w w:val="115"/>
        </w:rPr>
        <w:t>Ariela</w:t>
      </w:r>
      <w:r>
        <w:rPr>
          <w:color w:val="231F20"/>
          <w:spacing w:val="-22"/>
          <w:w w:val="115"/>
        </w:rPr>
        <w:t> </w:t>
      </w:r>
      <w:r>
        <w:rPr>
          <w:color w:val="231F20"/>
          <w:w w:val="115"/>
        </w:rPr>
        <w:t>Ruiz-Caro</w:t>
      </w:r>
      <w:r>
        <w:rPr>
          <w:color w:val="231F20"/>
          <w:spacing w:val="-22"/>
          <w:w w:val="115"/>
        </w:rPr>
        <w:t> </w:t>
      </w:r>
      <w:r>
        <w:rPr>
          <w:color w:val="231F20"/>
          <w:w w:val="115"/>
        </w:rPr>
        <w:t>que</w:t>
      </w:r>
      <w:r>
        <w:rPr>
          <w:color w:val="231F20"/>
          <w:spacing w:val="-22"/>
          <w:w w:val="115"/>
        </w:rPr>
        <w:t> </w:t>
      </w:r>
      <w:r>
        <w:rPr>
          <w:color w:val="231F20"/>
          <w:w w:val="115"/>
        </w:rPr>
        <w:t>los</w:t>
      </w:r>
      <w:r>
        <w:rPr>
          <w:color w:val="231F20"/>
          <w:spacing w:val="-22"/>
          <w:w w:val="115"/>
        </w:rPr>
        <w:t> </w:t>
      </w:r>
      <w:r>
        <w:rPr>
          <w:color w:val="231F20"/>
          <w:w w:val="140"/>
        </w:rPr>
        <w:t>tlc</w:t>
      </w:r>
      <w:r>
        <w:rPr>
          <w:color w:val="231F20"/>
          <w:spacing w:val="-35"/>
          <w:w w:val="140"/>
        </w:rPr>
        <w:t> </w:t>
      </w:r>
      <w:r>
        <w:rPr>
          <w:color w:val="231F20"/>
          <w:w w:val="115"/>
        </w:rPr>
        <w:t>no</w:t>
      </w:r>
      <w:r>
        <w:rPr>
          <w:color w:val="231F20"/>
          <w:spacing w:val="-22"/>
          <w:w w:val="115"/>
        </w:rPr>
        <w:t> </w:t>
      </w:r>
      <w:r>
        <w:rPr>
          <w:color w:val="231F20"/>
          <w:w w:val="115"/>
        </w:rPr>
        <w:t>son</w:t>
      </w:r>
      <w:r>
        <w:rPr>
          <w:color w:val="231F20"/>
          <w:spacing w:val="-22"/>
          <w:w w:val="115"/>
        </w:rPr>
        <w:t> </w:t>
      </w:r>
      <w:r>
        <w:rPr>
          <w:color w:val="231F20"/>
          <w:w w:val="115"/>
        </w:rPr>
        <w:t>el</w:t>
      </w:r>
      <w:r>
        <w:rPr>
          <w:color w:val="231F20"/>
          <w:spacing w:val="-22"/>
          <w:w w:val="115"/>
        </w:rPr>
        <w:t> </w:t>
      </w:r>
      <w:r>
        <w:rPr>
          <w:color w:val="231F20"/>
          <w:w w:val="115"/>
        </w:rPr>
        <w:t>inicio</w:t>
      </w:r>
      <w:r>
        <w:rPr>
          <w:color w:val="231F20"/>
          <w:spacing w:val="-22"/>
          <w:w w:val="115"/>
        </w:rPr>
        <w:t> </w:t>
      </w:r>
      <w:r>
        <w:rPr>
          <w:color w:val="231F20"/>
          <w:w w:val="115"/>
        </w:rPr>
        <w:t>de</w:t>
      </w:r>
      <w:r>
        <w:rPr>
          <w:color w:val="231F20"/>
          <w:spacing w:val="-22"/>
          <w:w w:val="115"/>
        </w:rPr>
        <w:t> </w:t>
      </w:r>
      <w:r>
        <w:rPr>
          <w:color w:val="231F20"/>
          <w:w w:val="115"/>
        </w:rPr>
        <w:t>un</w:t>
      </w:r>
      <w:r>
        <w:rPr>
          <w:color w:val="231F20"/>
          <w:spacing w:val="-22"/>
          <w:w w:val="115"/>
        </w:rPr>
        <w:t> </w:t>
      </w:r>
      <w:r>
        <w:rPr>
          <w:color w:val="231F20"/>
          <w:w w:val="115"/>
        </w:rPr>
        <w:t>proceso</w:t>
      </w:r>
      <w:r>
        <w:rPr>
          <w:color w:val="231F20"/>
          <w:spacing w:val="-22"/>
          <w:w w:val="115"/>
        </w:rPr>
        <w:t> </w:t>
      </w:r>
      <w:r>
        <w:rPr>
          <w:color w:val="231F20"/>
          <w:w w:val="115"/>
        </w:rPr>
        <w:t>sino que</w:t>
      </w:r>
      <w:r>
        <w:rPr>
          <w:color w:val="231F20"/>
          <w:spacing w:val="-34"/>
          <w:w w:val="115"/>
        </w:rPr>
        <w:t> </w:t>
      </w:r>
      <w:r>
        <w:rPr>
          <w:color w:val="231F20"/>
          <w:w w:val="115"/>
        </w:rPr>
        <w:t>“deben</w:t>
      </w:r>
      <w:r>
        <w:rPr>
          <w:color w:val="231F20"/>
          <w:spacing w:val="-34"/>
          <w:w w:val="115"/>
        </w:rPr>
        <w:t> </w:t>
      </w:r>
      <w:r>
        <w:rPr>
          <w:color w:val="231F20"/>
          <w:w w:val="115"/>
        </w:rPr>
        <w:t>ser</w:t>
      </w:r>
      <w:r>
        <w:rPr>
          <w:color w:val="231F20"/>
          <w:spacing w:val="-34"/>
          <w:w w:val="115"/>
        </w:rPr>
        <w:t> </w:t>
      </w:r>
      <w:r>
        <w:rPr>
          <w:color w:val="231F20"/>
          <w:w w:val="115"/>
        </w:rPr>
        <w:t>vistos</w:t>
      </w:r>
      <w:r>
        <w:rPr>
          <w:color w:val="231F20"/>
          <w:spacing w:val="-34"/>
          <w:w w:val="115"/>
        </w:rPr>
        <w:t> </w:t>
      </w:r>
      <w:r>
        <w:rPr>
          <w:color w:val="231F20"/>
          <w:w w:val="115"/>
        </w:rPr>
        <w:t>como</w:t>
      </w:r>
      <w:r>
        <w:rPr>
          <w:color w:val="231F20"/>
          <w:spacing w:val="-34"/>
          <w:w w:val="115"/>
        </w:rPr>
        <w:t> </w:t>
      </w:r>
      <w:r>
        <w:rPr>
          <w:color w:val="231F20"/>
          <w:w w:val="115"/>
        </w:rPr>
        <w:t>la</w:t>
      </w:r>
      <w:r>
        <w:rPr>
          <w:color w:val="231F20"/>
          <w:spacing w:val="-34"/>
          <w:w w:val="115"/>
        </w:rPr>
        <w:t> </w:t>
      </w:r>
      <w:r>
        <w:rPr>
          <w:color w:val="231F20"/>
          <w:w w:val="115"/>
        </w:rPr>
        <w:t>culminación</w:t>
      </w:r>
      <w:r>
        <w:rPr>
          <w:color w:val="231F20"/>
          <w:spacing w:val="-34"/>
          <w:w w:val="115"/>
        </w:rPr>
        <w:t> </w:t>
      </w:r>
      <w:r>
        <w:rPr>
          <w:color w:val="231F20"/>
          <w:w w:val="115"/>
        </w:rPr>
        <w:t>de</w:t>
      </w:r>
      <w:r>
        <w:rPr>
          <w:color w:val="231F20"/>
          <w:spacing w:val="-34"/>
          <w:w w:val="115"/>
        </w:rPr>
        <w:t> </w:t>
      </w:r>
      <w:r>
        <w:rPr>
          <w:color w:val="231F20"/>
          <w:w w:val="115"/>
        </w:rPr>
        <w:t>un</w:t>
      </w:r>
      <w:r>
        <w:rPr>
          <w:color w:val="231F20"/>
          <w:spacing w:val="-34"/>
          <w:w w:val="115"/>
        </w:rPr>
        <w:t> </w:t>
      </w:r>
      <w:r>
        <w:rPr>
          <w:color w:val="231F20"/>
          <w:w w:val="115"/>
        </w:rPr>
        <w:t>proceso</w:t>
      </w:r>
      <w:r>
        <w:rPr>
          <w:color w:val="231F20"/>
          <w:spacing w:val="-34"/>
          <w:w w:val="115"/>
        </w:rPr>
        <w:t> </w:t>
      </w:r>
      <w:r>
        <w:rPr>
          <w:color w:val="231F20"/>
          <w:w w:val="115"/>
        </w:rPr>
        <w:t>de</w:t>
      </w:r>
      <w:r>
        <w:rPr>
          <w:color w:val="231F20"/>
          <w:spacing w:val="-34"/>
          <w:w w:val="115"/>
        </w:rPr>
        <w:t> </w:t>
      </w:r>
      <w:r>
        <w:rPr>
          <w:color w:val="231F20"/>
          <w:w w:val="115"/>
        </w:rPr>
        <w:t>apertura previa</w:t>
      </w:r>
      <w:r>
        <w:rPr>
          <w:color w:val="231F20"/>
          <w:spacing w:val="-38"/>
          <w:w w:val="115"/>
        </w:rPr>
        <w:t> </w:t>
      </w:r>
      <w:r>
        <w:rPr>
          <w:color w:val="231F20"/>
          <w:w w:val="115"/>
        </w:rPr>
        <w:t>a</w:t>
      </w:r>
      <w:r>
        <w:rPr>
          <w:color w:val="231F20"/>
          <w:spacing w:val="-38"/>
          <w:w w:val="115"/>
        </w:rPr>
        <w:t> </w:t>
      </w:r>
      <w:r>
        <w:rPr>
          <w:color w:val="231F20"/>
          <w:w w:val="115"/>
        </w:rPr>
        <w:t>su</w:t>
      </w:r>
      <w:r>
        <w:rPr>
          <w:color w:val="231F20"/>
          <w:spacing w:val="-38"/>
          <w:w w:val="115"/>
        </w:rPr>
        <w:t> </w:t>
      </w:r>
      <w:r>
        <w:rPr>
          <w:color w:val="231F20"/>
          <w:w w:val="115"/>
        </w:rPr>
        <w:t>suscripción”</w:t>
      </w:r>
      <w:r>
        <w:rPr>
          <w:color w:val="231F20"/>
          <w:spacing w:val="-38"/>
          <w:w w:val="115"/>
        </w:rPr>
        <w:t> </w:t>
      </w:r>
      <w:r>
        <w:rPr>
          <w:color w:val="231F20"/>
          <w:w w:val="115"/>
        </w:rPr>
        <w:t>(Ruiz-Caro,</w:t>
      </w:r>
      <w:r>
        <w:rPr>
          <w:color w:val="231F20"/>
          <w:spacing w:val="-38"/>
          <w:w w:val="115"/>
        </w:rPr>
        <w:t> </w:t>
      </w:r>
      <w:r>
        <w:rPr>
          <w:color w:val="231F20"/>
          <w:w w:val="115"/>
        </w:rPr>
        <w:t>2005:</w:t>
      </w:r>
      <w:r>
        <w:rPr>
          <w:color w:val="231F20"/>
          <w:spacing w:val="-38"/>
          <w:w w:val="115"/>
        </w:rPr>
        <w:t> </w:t>
      </w:r>
      <w:r>
        <w:rPr>
          <w:color w:val="231F20"/>
          <w:w w:val="115"/>
        </w:rPr>
        <w:t>8).</w:t>
      </w:r>
      <w:r>
        <w:rPr>
          <w:color w:val="231F20"/>
          <w:spacing w:val="-38"/>
          <w:w w:val="115"/>
        </w:rPr>
        <w:t> </w:t>
      </w:r>
      <w:r>
        <w:rPr>
          <w:color w:val="231F20"/>
          <w:w w:val="115"/>
        </w:rPr>
        <w:t>Como</w:t>
      </w:r>
      <w:r>
        <w:rPr>
          <w:color w:val="231F20"/>
          <w:spacing w:val="-38"/>
          <w:w w:val="115"/>
        </w:rPr>
        <w:t> </w:t>
      </w:r>
      <w:r>
        <w:rPr>
          <w:color w:val="231F20"/>
          <w:w w:val="115"/>
        </w:rPr>
        <w:t>podemos</w:t>
      </w:r>
      <w:r>
        <w:rPr>
          <w:color w:val="231F20"/>
          <w:spacing w:val="-38"/>
          <w:w w:val="115"/>
        </w:rPr>
        <w:t> </w:t>
      </w:r>
      <w:r>
        <w:rPr>
          <w:color w:val="231F20"/>
          <w:w w:val="115"/>
        </w:rPr>
        <w:t>ver</w:t>
      </w:r>
      <w:r>
        <w:rPr>
          <w:color w:val="231F20"/>
          <w:spacing w:val="-38"/>
          <w:w w:val="115"/>
        </w:rPr>
        <w:t> </w:t>
      </w:r>
      <w:r>
        <w:rPr>
          <w:color w:val="231F20"/>
          <w:w w:val="115"/>
        </w:rPr>
        <w:t>en</w:t>
      </w:r>
      <w:r>
        <w:rPr>
          <w:color w:val="231F20"/>
          <w:w w:val="116"/>
        </w:rPr>
        <w:t> </w:t>
      </w:r>
      <w:r>
        <w:rPr>
          <w:color w:val="231F20"/>
          <w:w w:val="115"/>
        </w:rPr>
        <w:t>el</w:t>
      </w:r>
      <w:r>
        <w:rPr>
          <w:color w:val="231F20"/>
          <w:spacing w:val="-15"/>
          <w:w w:val="115"/>
        </w:rPr>
        <w:t> </w:t>
      </w:r>
      <w:r>
        <w:rPr>
          <w:color w:val="231F20"/>
          <w:w w:val="115"/>
        </w:rPr>
        <w:t>cuadro</w:t>
      </w:r>
      <w:r>
        <w:rPr>
          <w:color w:val="231F20"/>
          <w:spacing w:val="-15"/>
          <w:w w:val="115"/>
        </w:rPr>
        <w:t> </w:t>
      </w:r>
      <w:r>
        <w:rPr>
          <w:color w:val="231F20"/>
          <w:w w:val="115"/>
        </w:rPr>
        <w:t>3,</w:t>
      </w:r>
      <w:r>
        <w:rPr>
          <w:color w:val="231F20"/>
          <w:spacing w:val="-15"/>
          <w:w w:val="115"/>
        </w:rPr>
        <w:t> </w:t>
      </w:r>
      <w:r>
        <w:rPr>
          <w:color w:val="231F20"/>
          <w:w w:val="115"/>
        </w:rPr>
        <w:t>los</w:t>
      </w:r>
      <w:r>
        <w:rPr>
          <w:color w:val="231F20"/>
          <w:spacing w:val="-15"/>
          <w:w w:val="115"/>
        </w:rPr>
        <w:t> </w:t>
      </w:r>
      <w:r>
        <w:rPr>
          <w:color w:val="231F20"/>
          <w:w w:val="115"/>
        </w:rPr>
        <w:t>acuerdos</w:t>
      </w:r>
      <w:r>
        <w:rPr>
          <w:color w:val="231F20"/>
          <w:spacing w:val="-15"/>
          <w:w w:val="115"/>
        </w:rPr>
        <w:t> </w:t>
      </w:r>
      <w:r>
        <w:rPr>
          <w:color w:val="231F20"/>
          <w:w w:val="115"/>
        </w:rPr>
        <w:t>comerciales</w:t>
      </w:r>
      <w:r>
        <w:rPr>
          <w:color w:val="231F20"/>
          <w:spacing w:val="-15"/>
          <w:w w:val="115"/>
        </w:rPr>
        <w:t> </w:t>
      </w:r>
      <w:r>
        <w:rPr>
          <w:color w:val="231F20"/>
          <w:w w:val="115"/>
        </w:rPr>
        <w:t>han</w:t>
      </w:r>
      <w:r>
        <w:rPr>
          <w:color w:val="231F20"/>
          <w:spacing w:val="-15"/>
          <w:w w:val="115"/>
        </w:rPr>
        <w:t> </w:t>
      </w:r>
      <w:r>
        <w:rPr>
          <w:color w:val="231F20"/>
          <w:w w:val="115"/>
        </w:rPr>
        <w:t>avanzado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siguiente manera</w:t>
      </w:r>
      <w:r>
        <w:rPr>
          <w:color w:val="231F20"/>
          <w:spacing w:val="-15"/>
          <w:w w:val="115"/>
        </w:rPr>
        <w:t> </w:t>
      </w:r>
      <w:r>
        <w:rPr>
          <w:color w:val="231F20"/>
          <w:w w:val="115"/>
        </w:rPr>
        <w:t>desde</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firma</w:t>
      </w:r>
      <w:r>
        <w:rPr>
          <w:color w:val="231F20"/>
          <w:spacing w:val="-15"/>
          <w:w w:val="115"/>
        </w:rPr>
        <w:t> </w:t>
      </w:r>
      <w:r>
        <w:rPr>
          <w:color w:val="231F20"/>
          <w:w w:val="115"/>
        </w:rPr>
        <w:t>el</w:t>
      </w:r>
      <w:r>
        <w:rPr>
          <w:color w:val="231F20"/>
          <w:spacing w:val="-15"/>
          <w:w w:val="115"/>
        </w:rPr>
        <w:t> </w:t>
      </w:r>
      <w:r>
        <w:rPr>
          <w:color w:val="231F20"/>
          <w:w w:val="140"/>
        </w:rPr>
        <w:t>tlcan</w:t>
      </w:r>
      <w:r>
        <w:rPr>
          <w:color w:val="231F20"/>
          <w:spacing w:val="-27"/>
          <w:w w:val="140"/>
        </w:rPr>
        <w:t> </w:t>
      </w:r>
      <w:r>
        <w:rPr>
          <w:color w:val="231F20"/>
          <w:w w:val="115"/>
        </w:rPr>
        <w:t>en</w:t>
      </w:r>
      <w:r>
        <w:rPr>
          <w:color w:val="231F20"/>
          <w:spacing w:val="-15"/>
          <w:w w:val="115"/>
        </w:rPr>
        <w:t> </w:t>
      </w:r>
      <w:r>
        <w:rPr>
          <w:color w:val="231F20"/>
          <w:w w:val="115"/>
        </w:rPr>
        <w:t>1994:</w:t>
      </w:r>
      <w:r>
        <w:rPr>
          <w:color w:val="231F20"/>
          <w:spacing w:val="-15"/>
          <w:w w:val="115"/>
        </w:rPr>
        <w:t> </w:t>
      </w:r>
      <w:r>
        <w:rPr>
          <w:color w:val="231F20"/>
          <w:w w:val="115"/>
        </w:rPr>
        <w:t>en</w:t>
      </w:r>
      <w:r>
        <w:rPr>
          <w:color w:val="231F20"/>
          <w:spacing w:val="-15"/>
          <w:w w:val="115"/>
        </w:rPr>
        <w:t> </w:t>
      </w:r>
      <w:r>
        <w:rPr>
          <w:color w:val="231F20"/>
          <w:w w:val="115"/>
        </w:rPr>
        <w:t>2001</w:t>
      </w:r>
      <w:r>
        <w:rPr>
          <w:color w:val="231F20"/>
          <w:spacing w:val="-15"/>
          <w:w w:val="115"/>
        </w:rPr>
        <w:t> </w:t>
      </w:r>
      <w:r>
        <w:rPr>
          <w:color w:val="231F20"/>
          <w:w w:val="115"/>
        </w:rPr>
        <w:t>se</w:t>
      </w:r>
      <w:r>
        <w:rPr>
          <w:color w:val="231F20"/>
          <w:spacing w:val="-15"/>
          <w:w w:val="115"/>
        </w:rPr>
        <w:t> </w:t>
      </w:r>
      <w:r>
        <w:rPr>
          <w:color w:val="231F20"/>
          <w:w w:val="115"/>
        </w:rPr>
        <w:t>aprueba</w:t>
      </w:r>
      <w:r>
        <w:rPr>
          <w:color w:val="231F20"/>
          <w:spacing w:val="-15"/>
          <w:w w:val="115"/>
        </w:rPr>
        <w:t> </w:t>
      </w:r>
      <w:r>
        <w:rPr>
          <w:color w:val="231F20"/>
          <w:w w:val="115"/>
        </w:rPr>
        <w:t>el Plan</w:t>
      </w:r>
      <w:r>
        <w:rPr>
          <w:color w:val="231F20"/>
          <w:spacing w:val="-18"/>
          <w:w w:val="115"/>
        </w:rPr>
        <w:t> </w:t>
      </w:r>
      <w:r>
        <w:rPr>
          <w:color w:val="231F20"/>
          <w:w w:val="115"/>
        </w:rPr>
        <w:t>Puebla</w:t>
      </w:r>
      <w:r>
        <w:rPr>
          <w:color w:val="231F20"/>
          <w:spacing w:val="-18"/>
          <w:w w:val="115"/>
        </w:rPr>
        <w:t> </w:t>
      </w:r>
      <w:r>
        <w:rPr>
          <w:color w:val="231F20"/>
          <w:w w:val="115"/>
        </w:rPr>
        <w:t>Panamá,</w:t>
      </w:r>
      <w:r>
        <w:rPr>
          <w:color w:val="231F20"/>
          <w:spacing w:val="-18"/>
          <w:w w:val="115"/>
        </w:rPr>
        <w:t> </w:t>
      </w:r>
      <w:r>
        <w:rPr>
          <w:color w:val="231F20"/>
          <w:w w:val="115"/>
        </w:rPr>
        <w:t>hoy</w:t>
      </w:r>
      <w:r>
        <w:rPr>
          <w:color w:val="231F20"/>
          <w:spacing w:val="-18"/>
          <w:w w:val="115"/>
        </w:rPr>
        <w:t> </w:t>
      </w:r>
      <w:r>
        <w:rPr>
          <w:color w:val="231F20"/>
          <w:w w:val="115"/>
        </w:rPr>
        <w:t>Proyecto</w:t>
      </w:r>
      <w:r>
        <w:rPr>
          <w:color w:val="231F20"/>
          <w:spacing w:val="-18"/>
          <w:w w:val="115"/>
        </w:rPr>
        <w:t> </w:t>
      </w:r>
      <w:r>
        <w:rPr>
          <w:color w:val="231F20"/>
          <w:w w:val="115"/>
        </w:rPr>
        <w:t>Mesoamericano;</w:t>
      </w:r>
      <w:r>
        <w:rPr>
          <w:color w:val="231F20"/>
          <w:spacing w:val="-18"/>
          <w:w w:val="115"/>
        </w:rPr>
        <w:t> </w:t>
      </w:r>
      <w:r>
        <w:rPr>
          <w:color w:val="231F20"/>
          <w:w w:val="115"/>
        </w:rPr>
        <w:t>en</w:t>
      </w:r>
      <w:r>
        <w:rPr>
          <w:color w:val="231F20"/>
          <w:spacing w:val="-18"/>
          <w:w w:val="115"/>
        </w:rPr>
        <w:t> </w:t>
      </w:r>
      <w:r>
        <w:rPr>
          <w:color w:val="231F20"/>
          <w:w w:val="115"/>
        </w:rPr>
        <w:t>2003</w:t>
      </w:r>
      <w:r>
        <w:rPr>
          <w:color w:val="231F20"/>
          <w:spacing w:val="-18"/>
          <w:w w:val="115"/>
        </w:rPr>
        <w:t> </w:t>
      </w:r>
      <w:r>
        <w:rPr>
          <w:color w:val="231F20"/>
          <w:w w:val="115"/>
        </w:rPr>
        <w:t>el</w:t>
      </w:r>
      <w:r>
        <w:rPr>
          <w:color w:val="231F20"/>
          <w:spacing w:val="-18"/>
          <w:w w:val="115"/>
        </w:rPr>
        <w:t> </w:t>
      </w:r>
      <w:r>
        <w:rPr>
          <w:color w:val="231F20"/>
          <w:w w:val="140"/>
        </w:rPr>
        <w:t>tlc </w:t>
      </w:r>
      <w:r>
        <w:rPr>
          <w:color w:val="231F20"/>
          <w:w w:val="115"/>
        </w:rPr>
        <w:t>con</w:t>
      </w:r>
      <w:r>
        <w:rPr>
          <w:color w:val="231F20"/>
          <w:spacing w:val="-9"/>
          <w:w w:val="115"/>
        </w:rPr>
        <w:t> </w:t>
      </w:r>
      <w:r>
        <w:rPr>
          <w:color w:val="231F20"/>
          <w:w w:val="115"/>
        </w:rPr>
        <w:t>Chile;</w:t>
      </w:r>
      <w:r>
        <w:rPr>
          <w:color w:val="231F20"/>
          <w:spacing w:val="-9"/>
          <w:w w:val="115"/>
        </w:rPr>
        <w:t> </w:t>
      </w:r>
      <w:r>
        <w:rPr>
          <w:color w:val="231F20"/>
          <w:w w:val="115"/>
        </w:rPr>
        <w:t>en</w:t>
      </w:r>
      <w:r>
        <w:rPr>
          <w:color w:val="231F20"/>
          <w:spacing w:val="-9"/>
          <w:w w:val="115"/>
        </w:rPr>
        <w:t> </w:t>
      </w:r>
      <w:r>
        <w:rPr>
          <w:color w:val="231F20"/>
          <w:w w:val="115"/>
        </w:rPr>
        <w:t>2004</w:t>
      </w:r>
      <w:r>
        <w:rPr>
          <w:color w:val="231F20"/>
          <w:spacing w:val="-9"/>
          <w:w w:val="115"/>
        </w:rPr>
        <w:t> </w:t>
      </w:r>
      <w:r>
        <w:rPr>
          <w:color w:val="231F20"/>
          <w:w w:val="115"/>
        </w:rPr>
        <w:t>el</w:t>
      </w:r>
      <w:r>
        <w:rPr>
          <w:color w:val="231F20"/>
          <w:spacing w:val="-9"/>
          <w:w w:val="115"/>
        </w:rPr>
        <w:t> </w:t>
      </w:r>
      <w:r>
        <w:rPr>
          <w:color w:val="231F20"/>
          <w:w w:val="140"/>
        </w:rPr>
        <w:t>tlc</w:t>
      </w:r>
      <w:r>
        <w:rPr>
          <w:color w:val="231F20"/>
          <w:spacing w:val="-21"/>
          <w:w w:val="140"/>
        </w:rPr>
        <w:t> </w:t>
      </w:r>
      <w:r>
        <w:rPr>
          <w:color w:val="231F20"/>
          <w:w w:val="115"/>
        </w:rPr>
        <w:t>cafta-República</w:t>
      </w:r>
      <w:r>
        <w:rPr>
          <w:color w:val="231F20"/>
          <w:spacing w:val="-9"/>
          <w:w w:val="115"/>
        </w:rPr>
        <w:t> </w:t>
      </w:r>
      <w:r>
        <w:rPr>
          <w:color w:val="231F20"/>
          <w:w w:val="115"/>
        </w:rPr>
        <w:t>Dominicana;</w:t>
      </w:r>
      <w:r>
        <w:rPr>
          <w:color w:val="231F20"/>
          <w:spacing w:val="-9"/>
          <w:w w:val="115"/>
        </w:rPr>
        <w:t> </w:t>
      </w:r>
      <w:r>
        <w:rPr>
          <w:color w:val="231F20"/>
          <w:w w:val="115"/>
        </w:rPr>
        <w:t>en</w:t>
      </w:r>
      <w:r>
        <w:rPr>
          <w:color w:val="231F20"/>
          <w:spacing w:val="-9"/>
          <w:w w:val="115"/>
        </w:rPr>
        <w:t> </w:t>
      </w:r>
      <w:r>
        <w:rPr>
          <w:color w:val="231F20"/>
          <w:w w:val="115"/>
        </w:rPr>
        <w:t>2006</w:t>
      </w:r>
      <w:r>
        <w:rPr>
          <w:color w:val="231F20"/>
          <w:spacing w:val="-9"/>
          <w:w w:val="115"/>
        </w:rPr>
        <w:t> </w:t>
      </w:r>
      <w:r>
        <w:rPr>
          <w:color w:val="231F20"/>
          <w:w w:val="115"/>
        </w:rPr>
        <w:t>el </w:t>
      </w:r>
      <w:r>
        <w:rPr>
          <w:color w:val="231F20"/>
          <w:w w:val="140"/>
        </w:rPr>
        <w:t>tlc </w:t>
      </w:r>
      <w:r>
        <w:rPr>
          <w:color w:val="231F20"/>
          <w:w w:val="115"/>
        </w:rPr>
        <w:t>con Perú </w:t>
      </w:r>
      <w:r>
        <w:rPr>
          <w:color w:val="231F20"/>
          <w:w w:val="110"/>
        </w:rPr>
        <w:t>y </w:t>
      </w:r>
      <w:r>
        <w:rPr>
          <w:color w:val="231F20"/>
          <w:w w:val="115"/>
        </w:rPr>
        <w:t>en, 2007, el </w:t>
      </w:r>
      <w:r>
        <w:rPr>
          <w:color w:val="231F20"/>
          <w:w w:val="140"/>
        </w:rPr>
        <w:t>tlc </w:t>
      </w:r>
      <w:r>
        <w:rPr>
          <w:color w:val="231F20"/>
          <w:w w:val="115"/>
        </w:rPr>
        <w:t>Preacuerdo con Uruguay; además del </w:t>
      </w:r>
      <w:r>
        <w:rPr>
          <w:color w:val="231F20"/>
          <w:w w:val="140"/>
        </w:rPr>
        <w:t>tlc </w:t>
      </w:r>
      <w:r>
        <w:rPr>
          <w:color w:val="231F20"/>
          <w:w w:val="115"/>
        </w:rPr>
        <w:t>en puertas con Colombia pendiente de su aprobación por </w:t>
      </w:r>
      <w:r>
        <w:rPr>
          <w:color w:val="231F20"/>
          <w:w w:val="110"/>
        </w:rPr>
        <w:t>el Congreso</w:t>
      </w:r>
      <w:r>
        <w:rPr>
          <w:color w:val="231F20"/>
          <w:spacing w:val="20"/>
          <w:w w:val="110"/>
        </w:rPr>
        <w:t> </w:t>
      </w:r>
      <w:r>
        <w:rPr>
          <w:color w:val="231F20"/>
          <w:w w:val="110"/>
        </w:rPr>
        <w:t>estadunidense.</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25"/>
        </w:rPr>
        <w:t>intervencionismo y militarización de la política en américa latina</w:t>
      </w:r>
    </w:p>
    <w:p>
      <w:pPr>
        <w:pStyle w:val="BodyText"/>
        <w:spacing w:before="8"/>
        <w:rPr>
          <w:sz w:val="21"/>
        </w:rPr>
      </w:pPr>
    </w:p>
    <w:p>
      <w:pPr>
        <w:pStyle w:val="BodyText"/>
        <w:spacing w:line="261" w:lineRule="auto"/>
        <w:ind w:left="100" w:right="117"/>
        <w:jc w:val="both"/>
      </w:pP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proyecto</w:t>
      </w:r>
      <w:r>
        <w:rPr>
          <w:color w:val="231F20"/>
          <w:spacing w:val="-14"/>
          <w:w w:val="110"/>
        </w:rPr>
        <w:t> </w:t>
      </w:r>
      <w:r>
        <w:rPr>
          <w:color w:val="231F20"/>
          <w:w w:val="110"/>
        </w:rPr>
        <w:t>de</w:t>
      </w:r>
      <w:r>
        <w:rPr>
          <w:color w:val="231F20"/>
          <w:spacing w:val="-14"/>
          <w:w w:val="110"/>
        </w:rPr>
        <w:t> </w:t>
      </w:r>
      <w:r>
        <w:rPr>
          <w:color w:val="231F20"/>
          <w:w w:val="110"/>
        </w:rPr>
        <w:t>expansión</w:t>
      </w:r>
      <w:r>
        <w:rPr>
          <w:color w:val="231F20"/>
          <w:spacing w:val="-14"/>
          <w:w w:val="110"/>
        </w:rPr>
        <w:t> </w:t>
      </w:r>
      <w:r>
        <w:rPr>
          <w:color w:val="231F20"/>
          <w:w w:val="110"/>
        </w:rPr>
        <w:t>de</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hacia</w:t>
      </w:r>
      <w:r>
        <w:rPr>
          <w:color w:val="231F20"/>
          <w:spacing w:val="-14"/>
          <w:w w:val="110"/>
        </w:rPr>
        <w:t> </w:t>
      </w:r>
      <w:r>
        <w:rPr>
          <w:color w:val="231F20"/>
          <w:w w:val="110"/>
        </w:rPr>
        <w:t>América</w:t>
      </w:r>
      <w:r>
        <w:rPr>
          <w:color w:val="231F20"/>
          <w:spacing w:val="-14"/>
          <w:w w:val="110"/>
        </w:rPr>
        <w:t> </w:t>
      </w:r>
      <w:r>
        <w:rPr>
          <w:color w:val="231F20"/>
          <w:w w:val="110"/>
        </w:rPr>
        <w:t>Latina se buscó desde los años ochenta un debilitamiento de instituciones clave que facilitara el acceso al control del territorio, en el sentido que</w:t>
      </w:r>
      <w:r>
        <w:rPr>
          <w:color w:val="231F20"/>
          <w:spacing w:val="-18"/>
          <w:w w:val="110"/>
        </w:rPr>
        <w:t> </w:t>
      </w:r>
      <w:r>
        <w:rPr>
          <w:color w:val="231F20"/>
          <w:w w:val="110"/>
        </w:rPr>
        <w:t>plantea</w:t>
      </w:r>
      <w:r>
        <w:rPr>
          <w:color w:val="231F20"/>
          <w:spacing w:val="-18"/>
          <w:w w:val="110"/>
        </w:rPr>
        <w:t> </w:t>
      </w:r>
      <w:r>
        <w:rPr>
          <w:color w:val="231F20"/>
          <w:w w:val="110"/>
        </w:rPr>
        <w:t>Ornelas</w:t>
      </w:r>
      <w:r>
        <w:rPr>
          <w:color w:val="231F20"/>
          <w:spacing w:val="-18"/>
          <w:w w:val="110"/>
        </w:rPr>
        <w:t> </w:t>
      </w:r>
      <w:r>
        <w:rPr>
          <w:color w:val="231F20"/>
          <w:w w:val="110"/>
        </w:rPr>
        <w:t>(2003).</w:t>
      </w:r>
      <w:r>
        <w:rPr>
          <w:color w:val="231F20"/>
          <w:spacing w:val="-18"/>
          <w:w w:val="110"/>
        </w:rPr>
        <w:t> </w:t>
      </w:r>
      <w:r>
        <w:rPr>
          <w:color w:val="231F20"/>
          <w:w w:val="110"/>
        </w:rPr>
        <w:t>Una</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instituciones</w:t>
      </w:r>
      <w:r>
        <w:rPr>
          <w:color w:val="231F20"/>
          <w:spacing w:val="-18"/>
          <w:w w:val="110"/>
        </w:rPr>
        <w:t> </w:t>
      </w:r>
      <w:r>
        <w:rPr>
          <w:color w:val="231F20"/>
          <w:w w:val="110"/>
        </w:rPr>
        <w:t>claves</w:t>
      </w:r>
      <w:r>
        <w:rPr>
          <w:color w:val="231F20"/>
          <w:spacing w:val="-18"/>
          <w:w w:val="110"/>
        </w:rPr>
        <w:t> </w:t>
      </w:r>
      <w:r>
        <w:rPr>
          <w:color w:val="231F20"/>
          <w:w w:val="110"/>
        </w:rPr>
        <w:t>del</w:t>
      </w:r>
      <w:r>
        <w:rPr>
          <w:color w:val="231F20"/>
          <w:spacing w:val="-18"/>
          <w:w w:val="110"/>
        </w:rPr>
        <w:t> </w:t>
      </w:r>
      <w:r>
        <w:rPr>
          <w:color w:val="231F20"/>
          <w:w w:val="110"/>
        </w:rPr>
        <w:t>Estado son las fuerzas armadas y el proyecto estadunidense para la región les tiene asignado un papel subalterno, como policías internos que mantengan la gobernabilidad del territorio; o bien en su proyección más acabada, la expectativa de conformar una fuerza hemisférica en la</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militares</w:t>
      </w:r>
      <w:r>
        <w:rPr>
          <w:color w:val="231F20"/>
          <w:spacing w:val="-6"/>
          <w:w w:val="110"/>
        </w:rPr>
        <w:t> </w:t>
      </w:r>
      <w:r>
        <w:rPr>
          <w:color w:val="231F20"/>
          <w:w w:val="110"/>
        </w:rPr>
        <w:t>latinoamericanos</w:t>
      </w:r>
      <w:r>
        <w:rPr>
          <w:color w:val="231F20"/>
          <w:spacing w:val="-6"/>
          <w:w w:val="110"/>
        </w:rPr>
        <w:t> </w:t>
      </w:r>
      <w:r>
        <w:rPr>
          <w:color w:val="231F20"/>
          <w:w w:val="110"/>
        </w:rPr>
        <w:t>cumplirían</w:t>
      </w:r>
      <w:r>
        <w:rPr>
          <w:color w:val="231F20"/>
          <w:spacing w:val="-6"/>
          <w:w w:val="110"/>
        </w:rPr>
        <w:t> </w:t>
      </w:r>
      <w:r>
        <w:rPr>
          <w:color w:val="231F20"/>
          <w:w w:val="110"/>
        </w:rPr>
        <w:t>un</w:t>
      </w:r>
      <w:r>
        <w:rPr>
          <w:color w:val="231F20"/>
          <w:spacing w:val="-6"/>
          <w:w w:val="110"/>
        </w:rPr>
        <w:t> </w:t>
      </w:r>
      <w:r>
        <w:rPr>
          <w:color w:val="231F20"/>
          <w:w w:val="110"/>
        </w:rPr>
        <w:t>papel</w:t>
      </w:r>
      <w:r>
        <w:rPr>
          <w:color w:val="231F20"/>
          <w:spacing w:val="-6"/>
          <w:w w:val="110"/>
        </w:rPr>
        <w:t> </w:t>
      </w:r>
      <w:r>
        <w:rPr>
          <w:color w:val="231F20"/>
          <w:w w:val="110"/>
        </w:rPr>
        <w:t>secundario como fuerzas de apoyo bajo el mandato político-militar   </w:t>
      </w:r>
      <w:r>
        <w:rPr>
          <w:color w:val="231F20"/>
          <w:spacing w:val="50"/>
          <w:w w:val="110"/>
        </w:rPr>
        <w:t> </w:t>
      </w:r>
      <w:r>
        <w:rPr>
          <w:color w:val="231F20"/>
          <w:w w:val="110"/>
        </w:rPr>
        <w:t>estaduni-</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dense. Así, una mayor condición de dependencia en el espacio de influencia será garantía para acceder a sus recursos y para incidir en la toma de decisiones. En este sentido, la seguridad hemisférica es, en sí misma, la seguridad estadunidense.</w:t>
      </w:r>
    </w:p>
    <w:p>
      <w:pPr>
        <w:pStyle w:val="BodyText"/>
        <w:spacing w:line="261" w:lineRule="auto"/>
        <w:ind w:left="100" w:right="116" w:firstLine="240"/>
        <w:jc w:val="both"/>
      </w:pPr>
      <w:r>
        <w:rPr>
          <w:color w:val="231F20"/>
          <w:w w:val="110"/>
        </w:rPr>
        <w:t>Un elemento que queremos destacar es que estamos asistiendo, por primera vez en la historia de la región, a la creación de una institucionalidad y legalidad hemisférica cada vez más amplia. El injerencismo de Estados Unidos no contó antes con dicho marco   de legalidad y aspiración de legitimidad. Esto resulta de la mayor importancia en un entorno de cambio político como en el que se encuentra</w:t>
      </w:r>
      <w:r>
        <w:rPr>
          <w:color w:val="231F20"/>
          <w:spacing w:val="-16"/>
          <w:w w:val="110"/>
        </w:rPr>
        <w:t> </w:t>
      </w:r>
      <w:r>
        <w:rPr>
          <w:color w:val="231F20"/>
          <w:w w:val="110"/>
        </w:rPr>
        <w:t>América</w:t>
      </w:r>
      <w:r>
        <w:rPr>
          <w:color w:val="231F20"/>
          <w:spacing w:val="-16"/>
          <w:w w:val="110"/>
        </w:rPr>
        <w:t> </w:t>
      </w:r>
      <w:r>
        <w:rPr>
          <w:color w:val="231F20"/>
          <w:w w:val="110"/>
        </w:rPr>
        <w:t>Latina.</w:t>
      </w:r>
      <w:r>
        <w:rPr>
          <w:color w:val="231F20"/>
          <w:spacing w:val="-16"/>
          <w:w w:val="110"/>
        </w:rPr>
        <w:t> </w:t>
      </w:r>
      <w:r>
        <w:rPr>
          <w:color w:val="231F20"/>
          <w:w w:val="110"/>
        </w:rPr>
        <w:t>Así,</w:t>
      </w:r>
      <w:r>
        <w:rPr>
          <w:color w:val="231F20"/>
          <w:spacing w:val="-16"/>
          <w:w w:val="110"/>
        </w:rPr>
        <w:t> </w:t>
      </w:r>
      <w:r>
        <w:rPr>
          <w:color w:val="231F20"/>
          <w:w w:val="110"/>
        </w:rPr>
        <w:t>mientras</w:t>
      </w:r>
      <w:r>
        <w:rPr>
          <w:color w:val="231F20"/>
          <w:spacing w:val="-16"/>
          <w:w w:val="110"/>
        </w:rPr>
        <w:t> </w:t>
      </w:r>
      <w:r>
        <w:rPr>
          <w:color w:val="231F20"/>
          <w:w w:val="110"/>
        </w:rPr>
        <w:t>se</w:t>
      </w:r>
      <w:r>
        <w:rPr>
          <w:color w:val="231F20"/>
          <w:spacing w:val="-16"/>
          <w:w w:val="110"/>
        </w:rPr>
        <w:t> </w:t>
      </w:r>
      <w:r>
        <w:rPr>
          <w:color w:val="231F20"/>
          <w:w w:val="110"/>
        </w:rPr>
        <w:t>crea</w:t>
      </w:r>
      <w:r>
        <w:rPr>
          <w:color w:val="231F20"/>
          <w:spacing w:val="-16"/>
          <w:w w:val="110"/>
        </w:rPr>
        <w:t> </w:t>
      </w:r>
      <w:r>
        <w:rPr>
          <w:color w:val="231F20"/>
          <w:w w:val="110"/>
        </w:rPr>
        <w:t>una</w:t>
      </w:r>
      <w:r>
        <w:rPr>
          <w:color w:val="231F20"/>
          <w:spacing w:val="-16"/>
          <w:w w:val="110"/>
        </w:rPr>
        <w:t> </w:t>
      </w:r>
      <w:r>
        <w:rPr>
          <w:color w:val="231F20"/>
          <w:w w:val="110"/>
        </w:rPr>
        <w:t>institucionalidad alternativa como el alba, la Comunidad de Naciones</w:t>
      </w:r>
      <w:r>
        <w:rPr>
          <w:color w:val="231F20"/>
          <w:spacing w:val="-39"/>
          <w:w w:val="110"/>
        </w:rPr>
        <w:t> </w:t>
      </w:r>
      <w:r>
        <w:rPr>
          <w:color w:val="231F20"/>
          <w:w w:val="110"/>
        </w:rPr>
        <w:t>Sudamericanas, Banco del </w:t>
      </w:r>
      <w:r>
        <w:rPr>
          <w:color w:val="231F20"/>
          <w:spacing w:val="-5"/>
          <w:w w:val="110"/>
        </w:rPr>
        <w:t>Sur, </w:t>
      </w:r>
      <w:r>
        <w:rPr>
          <w:color w:val="231F20"/>
          <w:w w:val="110"/>
        </w:rPr>
        <w:t>etcétera, las instituciones que sustentan el Proyecto Hemisférico</w:t>
      </w:r>
      <w:r>
        <w:rPr>
          <w:color w:val="231F20"/>
          <w:spacing w:val="-15"/>
          <w:w w:val="110"/>
        </w:rPr>
        <w:t> </w:t>
      </w:r>
      <w:r>
        <w:rPr>
          <w:color w:val="231F20"/>
          <w:w w:val="110"/>
        </w:rPr>
        <w:t>también</w:t>
      </w:r>
      <w:r>
        <w:rPr>
          <w:color w:val="231F20"/>
          <w:spacing w:val="-15"/>
          <w:w w:val="110"/>
        </w:rPr>
        <w:t> </w:t>
      </w:r>
      <w:r>
        <w:rPr>
          <w:color w:val="231F20"/>
          <w:w w:val="110"/>
        </w:rPr>
        <w:t>se</w:t>
      </w:r>
      <w:r>
        <w:rPr>
          <w:color w:val="231F20"/>
          <w:spacing w:val="-15"/>
          <w:w w:val="110"/>
        </w:rPr>
        <w:t> </w:t>
      </w:r>
      <w:r>
        <w:rPr>
          <w:color w:val="231F20"/>
          <w:w w:val="110"/>
        </w:rPr>
        <w:t>van</w:t>
      </w:r>
      <w:r>
        <w:rPr>
          <w:color w:val="231F20"/>
          <w:spacing w:val="-15"/>
          <w:w w:val="110"/>
        </w:rPr>
        <w:t> </w:t>
      </w:r>
      <w:r>
        <w:rPr>
          <w:color w:val="231F20"/>
          <w:w w:val="110"/>
        </w:rPr>
        <w:t>construyendo</w:t>
      </w:r>
      <w:r>
        <w:rPr>
          <w:color w:val="231F20"/>
          <w:spacing w:val="-15"/>
          <w:w w:val="110"/>
        </w:rPr>
        <w:t> </w:t>
      </w:r>
      <w:r>
        <w:rPr>
          <w:color w:val="231F20"/>
          <w:w w:val="110"/>
        </w:rPr>
        <w:t>y</w:t>
      </w:r>
      <w:r>
        <w:rPr>
          <w:color w:val="231F20"/>
          <w:spacing w:val="-15"/>
          <w:w w:val="110"/>
        </w:rPr>
        <w:t> </w:t>
      </w:r>
      <w:r>
        <w:rPr>
          <w:color w:val="231F20"/>
          <w:w w:val="110"/>
        </w:rPr>
        <w:t>son</w:t>
      </w:r>
      <w:r>
        <w:rPr>
          <w:color w:val="231F20"/>
          <w:spacing w:val="-15"/>
          <w:w w:val="110"/>
        </w:rPr>
        <w:t> </w:t>
      </w:r>
      <w:r>
        <w:rPr>
          <w:color w:val="231F20"/>
          <w:w w:val="110"/>
        </w:rPr>
        <w:t>emblema</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reac- ciones</w:t>
      </w:r>
      <w:r>
        <w:rPr>
          <w:color w:val="231F20"/>
          <w:spacing w:val="-12"/>
          <w:w w:val="110"/>
        </w:rPr>
        <w:t> </w:t>
      </w:r>
      <w:r>
        <w:rPr>
          <w:color w:val="231F20"/>
          <w:w w:val="110"/>
        </w:rPr>
        <w:t>neoligárquicas.</w:t>
      </w:r>
      <w:r>
        <w:rPr>
          <w:color w:val="231F20"/>
          <w:spacing w:val="-12"/>
          <w:w w:val="110"/>
        </w:rPr>
        <w:t> </w:t>
      </w:r>
      <w:r>
        <w:rPr>
          <w:color w:val="231F20"/>
          <w:w w:val="110"/>
        </w:rPr>
        <w:t>El</w:t>
      </w:r>
      <w:r>
        <w:rPr>
          <w:color w:val="231F20"/>
          <w:spacing w:val="-12"/>
          <w:w w:val="110"/>
        </w:rPr>
        <w:t> </w:t>
      </w:r>
      <w:r>
        <w:rPr>
          <w:color w:val="231F20"/>
          <w:w w:val="110"/>
        </w:rPr>
        <w:t>recuento</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instituciones</w:t>
      </w:r>
      <w:r>
        <w:rPr>
          <w:color w:val="231F20"/>
          <w:spacing w:val="-12"/>
          <w:w w:val="110"/>
        </w:rPr>
        <w:t> </w:t>
      </w:r>
      <w:r>
        <w:rPr>
          <w:color w:val="231F20"/>
          <w:w w:val="110"/>
        </w:rPr>
        <w:t>para</w:t>
      </w:r>
      <w:r>
        <w:rPr>
          <w:color w:val="231F20"/>
          <w:spacing w:val="-12"/>
          <w:w w:val="110"/>
        </w:rPr>
        <w:t> </w:t>
      </w:r>
      <w:r>
        <w:rPr>
          <w:color w:val="231F20"/>
          <w:w w:val="110"/>
        </w:rPr>
        <w:t>promover estructuras</w:t>
      </w:r>
      <w:r>
        <w:rPr>
          <w:color w:val="231F20"/>
          <w:spacing w:val="-8"/>
          <w:w w:val="110"/>
        </w:rPr>
        <w:t> </w:t>
      </w:r>
      <w:r>
        <w:rPr>
          <w:color w:val="231F20"/>
          <w:w w:val="110"/>
        </w:rPr>
        <w:t>subregionales</w:t>
      </w:r>
      <w:r>
        <w:rPr>
          <w:color w:val="231F20"/>
          <w:spacing w:val="-8"/>
          <w:w w:val="110"/>
        </w:rPr>
        <w:t> </w:t>
      </w:r>
      <w:r>
        <w:rPr>
          <w:color w:val="231F20"/>
          <w:w w:val="110"/>
        </w:rPr>
        <w:t>es</w:t>
      </w:r>
      <w:r>
        <w:rPr>
          <w:color w:val="231F20"/>
          <w:spacing w:val="-8"/>
          <w:w w:val="110"/>
        </w:rPr>
        <w:t> </w:t>
      </w:r>
      <w:r>
        <w:rPr>
          <w:color w:val="231F20"/>
          <w:w w:val="110"/>
        </w:rPr>
        <w:t>amplio.</w:t>
      </w:r>
      <w:r>
        <w:rPr>
          <w:color w:val="231F20"/>
          <w:spacing w:val="-8"/>
          <w:w w:val="110"/>
        </w:rPr>
        <w:t> </w:t>
      </w:r>
      <w:r>
        <w:rPr>
          <w:color w:val="231F20"/>
          <w:w w:val="110"/>
        </w:rPr>
        <w:t>Destacan</w:t>
      </w:r>
      <w:r>
        <w:rPr>
          <w:color w:val="231F20"/>
          <w:spacing w:val="-8"/>
          <w:w w:val="110"/>
        </w:rPr>
        <w:t> </w:t>
      </w:r>
      <w:r>
        <w:rPr>
          <w:color w:val="231F20"/>
          <w:w w:val="110"/>
        </w:rPr>
        <w:t>la</w:t>
      </w:r>
      <w:r>
        <w:rPr>
          <w:color w:val="231F20"/>
          <w:spacing w:val="-8"/>
          <w:w w:val="110"/>
        </w:rPr>
        <w:t> </w:t>
      </w:r>
      <w:r>
        <w:rPr>
          <w:color w:val="231F20"/>
          <w:w w:val="110"/>
        </w:rPr>
        <w:t>reestructuración</w:t>
      </w:r>
      <w:r>
        <w:rPr>
          <w:color w:val="231F20"/>
          <w:spacing w:val="-8"/>
          <w:w w:val="110"/>
        </w:rPr>
        <w:t> </w:t>
      </w:r>
      <w:r>
        <w:rPr>
          <w:color w:val="231F20"/>
          <w:w w:val="110"/>
        </w:rPr>
        <w:t>del Comando</w:t>
      </w:r>
      <w:r>
        <w:rPr>
          <w:color w:val="231F20"/>
          <w:spacing w:val="-12"/>
          <w:w w:val="110"/>
        </w:rPr>
        <w:t> </w:t>
      </w:r>
      <w:r>
        <w:rPr>
          <w:color w:val="231F20"/>
          <w:spacing w:val="-5"/>
          <w:w w:val="110"/>
        </w:rPr>
        <w:t>Sur,</w:t>
      </w:r>
      <w:r>
        <w:rPr>
          <w:color w:val="231F20"/>
          <w:spacing w:val="-12"/>
          <w:w w:val="110"/>
        </w:rPr>
        <w:t> </w:t>
      </w:r>
      <w:r>
        <w:rPr>
          <w:color w:val="231F20"/>
          <w:w w:val="110"/>
        </w:rPr>
        <w:t>la</w:t>
      </w:r>
      <w:r>
        <w:rPr>
          <w:color w:val="231F20"/>
          <w:spacing w:val="-12"/>
          <w:w w:val="110"/>
        </w:rPr>
        <w:t> </w:t>
      </w:r>
      <w:r>
        <w:rPr>
          <w:color w:val="231F20"/>
          <w:w w:val="110"/>
        </w:rPr>
        <w:t>creación</w:t>
      </w:r>
      <w:r>
        <w:rPr>
          <w:color w:val="231F20"/>
          <w:spacing w:val="-12"/>
          <w:w w:val="110"/>
        </w:rPr>
        <w:t> </w:t>
      </w:r>
      <w:r>
        <w:rPr>
          <w:color w:val="231F20"/>
          <w:w w:val="110"/>
        </w:rPr>
        <w:t>del</w:t>
      </w:r>
      <w:r>
        <w:rPr>
          <w:color w:val="231F20"/>
          <w:spacing w:val="-12"/>
          <w:w w:val="110"/>
        </w:rPr>
        <w:t> </w:t>
      </w:r>
      <w:r>
        <w:rPr>
          <w:color w:val="231F20"/>
          <w:w w:val="110"/>
        </w:rPr>
        <w:t>Comando</w:t>
      </w:r>
      <w:r>
        <w:rPr>
          <w:color w:val="231F20"/>
          <w:spacing w:val="-12"/>
          <w:w w:val="110"/>
        </w:rPr>
        <w:t> </w:t>
      </w:r>
      <w:r>
        <w:rPr>
          <w:color w:val="231F20"/>
          <w:w w:val="110"/>
        </w:rPr>
        <w:t>Norte</w:t>
      </w:r>
      <w:r>
        <w:rPr>
          <w:color w:val="231F20"/>
          <w:spacing w:val="-12"/>
          <w:w w:val="110"/>
        </w:rPr>
        <w:t> </w:t>
      </w:r>
      <w:r>
        <w:rPr>
          <w:color w:val="231F20"/>
          <w:w w:val="110"/>
        </w:rPr>
        <w:t>(2002),</w:t>
      </w:r>
      <w:r>
        <w:rPr>
          <w:color w:val="231F20"/>
          <w:spacing w:val="-12"/>
          <w:w w:val="110"/>
        </w:rPr>
        <w:t> </w:t>
      </w:r>
      <w:r>
        <w:rPr>
          <w:color w:val="231F20"/>
          <w:w w:val="110"/>
        </w:rPr>
        <w:t>la</w:t>
      </w:r>
      <w:r>
        <w:rPr>
          <w:color w:val="231F20"/>
          <w:spacing w:val="-12"/>
          <w:w w:val="110"/>
        </w:rPr>
        <w:t> </w:t>
      </w:r>
      <w:r>
        <w:rPr>
          <w:color w:val="231F20"/>
          <w:w w:val="110"/>
        </w:rPr>
        <w:t>reactivación de la IV Flota (2008), las nuevas bases militares de Colombia que</w:t>
      </w:r>
      <w:r>
        <w:rPr>
          <w:color w:val="231F20"/>
          <w:spacing w:val="-30"/>
          <w:w w:val="110"/>
        </w:rPr>
        <w:t> </w:t>
      </w:r>
      <w:r>
        <w:rPr>
          <w:color w:val="231F20"/>
          <w:w w:val="110"/>
        </w:rPr>
        <w:t>se suman</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existentes</w:t>
      </w:r>
      <w:r>
        <w:rPr>
          <w:color w:val="231F20"/>
          <w:spacing w:val="-15"/>
          <w:w w:val="110"/>
        </w:rPr>
        <w:t> </w:t>
      </w:r>
      <w:r>
        <w:rPr>
          <w:color w:val="231F20"/>
          <w:w w:val="110"/>
        </w:rPr>
        <w:t>y</w:t>
      </w:r>
      <w:r>
        <w:rPr>
          <w:color w:val="231F20"/>
          <w:spacing w:val="-15"/>
          <w:w w:val="110"/>
        </w:rPr>
        <w:t> </w:t>
      </w:r>
      <w:r>
        <w:rPr>
          <w:color w:val="231F20"/>
          <w:w w:val="110"/>
        </w:rPr>
        <w:t>los</w:t>
      </w:r>
      <w:r>
        <w:rPr>
          <w:color w:val="231F20"/>
          <w:spacing w:val="-15"/>
          <w:w w:val="110"/>
        </w:rPr>
        <w:t> </w:t>
      </w:r>
      <w:r>
        <w:rPr>
          <w:color w:val="231F20"/>
          <w:w w:val="110"/>
        </w:rPr>
        <w:t>programas</w:t>
      </w:r>
      <w:r>
        <w:rPr>
          <w:color w:val="231F20"/>
          <w:spacing w:val="-15"/>
          <w:w w:val="110"/>
        </w:rPr>
        <w:t> </w:t>
      </w:r>
      <w:r>
        <w:rPr>
          <w:color w:val="231F20"/>
          <w:w w:val="110"/>
        </w:rPr>
        <w:t>de</w:t>
      </w:r>
      <w:r>
        <w:rPr>
          <w:color w:val="231F20"/>
          <w:spacing w:val="-15"/>
          <w:w w:val="110"/>
        </w:rPr>
        <w:t> </w:t>
      </w:r>
      <w:r>
        <w:rPr>
          <w:color w:val="231F20"/>
          <w:w w:val="110"/>
        </w:rPr>
        <w:t>adiestramiento</w:t>
      </w:r>
      <w:r>
        <w:rPr>
          <w:color w:val="231F20"/>
          <w:spacing w:val="-15"/>
          <w:w w:val="110"/>
        </w:rPr>
        <w:t> </w:t>
      </w:r>
      <w:r>
        <w:rPr>
          <w:color w:val="231F20"/>
          <w:w w:val="110"/>
        </w:rPr>
        <w:t>y</w:t>
      </w:r>
      <w:r>
        <w:rPr>
          <w:color w:val="231F20"/>
          <w:spacing w:val="-15"/>
          <w:w w:val="110"/>
        </w:rPr>
        <w:t> </w:t>
      </w:r>
      <w:r>
        <w:rPr>
          <w:color w:val="231F20"/>
          <w:w w:val="110"/>
        </w:rPr>
        <w:t>formación de</w:t>
      </w:r>
      <w:r>
        <w:rPr>
          <w:color w:val="231F20"/>
          <w:spacing w:val="-3"/>
          <w:w w:val="110"/>
        </w:rPr>
        <w:t> </w:t>
      </w:r>
      <w:r>
        <w:rPr>
          <w:color w:val="231F20"/>
          <w:w w:val="110"/>
        </w:rPr>
        <w:t>militares.</w:t>
      </w:r>
    </w:p>
    <w:p>
      <w:pPr>
        <w:pStyle w:val="BodyText"/>
        <w:spacing w:line="261" w:lineRule="auto"/>
        <w:ind w:left="100" w:right="116" w:firstLine="240"/>
        <w:jc w:val="both"/>
      </w:pPr>
      <w:r>
        <w:rPr>
          <w:color w:val="231F20"/>
          <w:w w:val="110"/>
        </w:rPr>
        <w:t>Desde 1990 el Comando Sur redefinió su misión incorporando  las nuevas amenazas y centrándose en la lucha antidrogas; sin em- bargo, es a partir de 2003 y la Declaración de Seguridad cuando presenta una ampliación determinante en sus objetivos y</w:t>
      </w:r>
      <w:r>
        <w:rPr>
          <w:color w:val="231F20"/>
          <w:spacing w:val="-15"/>
          <w:w w:val="110"/>
        </w:rPr>
        <w:t> </w:t>
      </w:r>
      <w:r>
        <w:rPr>
          <w:color w:val="231F20"/>
          <w:w w:val="110"/>
        </w:rPr>
        <w:t>estrategias: </w:t>
      </w:r>
      <w:r>
        <w:rPr>
          <w:i/>
          <w:color w:val="231F20"/>
          <w:w w:val="110"/>
        </w:rPr>
        <w:t>a</w:t>
      </w:r>
      <w:r>
        <w:rPr>
          <w:color w:val="231F20"/>
          <w:w w:val="110"/>
        </w:rPr>
        <w:t>] incorporar la lucha contra el terrorismo, el narcoterrorismo y la narcoguerrilla en sus programas de acción, promoviendo para ello  la participación multilateral en este tipo de acciones; </w:t>
      </w:r>
      <w:r>
        <w:rPr>
          <w:i/>
          <w:color w:val="231F20"/>
          <w:w w:val="110"/>
        </w:rPr>
        <w:t>b</w:t>
      </w:r>
      <w:r>
        <w:rPr>
          <w:color w:val="231F20"/>
          <w:w w:val="110"/>
        </w:rPr>
        <w:t>] garantizar</w:t>
      </w:r>
      <w:r>
        <w:rPr>
          <w:color w:val="231F20"/>
          <w:spacing w:val="-19"/>
          <w:w w:val="110"/>
        </w:rPr>
        <w:t> </w:t>
      </w:r>
      <w:r>
        <w:rPr>
          <w:color w:val="231F20"/>
          <w:w w:val="110"/>
        </w:rPr>
        <w:t>el libre</w:t>
      </w:r>
      <w:r>
        <w:rPr>
          <w:color w:val="231F20"/>
          <w:spacing w:val="-10"/>
          <w:w w:val="110"/>
        </w:rPr>
        <w:t> </w:t>
      </w:r>
      <w:r>
        <w:rPr>
          <w:color w:val="231F20"/>
          <w:w w:val="110"/>
        </w:rPr>
        <w:t>flujo</w:t>
      </w:r>
      <w:r>
        <w:rPr>
          <w:color w:val="231F20"/>
          <w:spacing w:val="-10"/>
          <w:w w:val="110"/>
        </w:rPr>
        <w:t> </w:t>
      </w:r>
      <w:r>
        <w:rPr>
          <w:color w:val="231F20"/>
          <w:w w:val="110"/>
        </w:rPr>
        <w:t>de</w:t>
      </w:r>
      <w:r>
        <w:rPr>
          <w:color w:val="231F20"/>
          <w:spacing w:val="-10"/>
          <w:w w:val="110"/>
        </w:rPr>
        <w:t> </w:t>
      </w:r>
      <w:r>
        <w:rPr>
          <w:color w:val="231F20"/>
          <w:w w:val="110"/>
        </w:rPr>
        <w:t>energía</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región</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protección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infraestructura apoyando a las fuerzas armadas nacionales para hacer efectivo este objetivo; </w:t>
      </w:r>
      <w:r>
        <w:rPr>
          <w:i/>
          <w:color w:val="231F20"/>
          <w:w w:val="110"/>
        </w:rPr>
        <w:t>c</w:t>
      </w:r>
      <w:r>
        <w:rPr>
          <w:color w:val="231F20"/>
          <w:w w:val="110"/>
        </w:rPr>
        <w:t>] asegurar que los países ejerzan plena soberanía sobre su territorio poniendo un alto a los “espacios no gobernados” e impi- diendo “el efecto derrame de sus vecinos inestables”; y </w:t>
      </w:r>
      <w:r>
        <w:rPr>
          <w:i/>
          <w:color w:val="231F20"/>
          <w:w w:val="110"/>
        </w:rPr>
        <w:t>d</w:t>
      </w:r>
      <w:r>
        <w:rPr>
          <w:color w:val="231F20"/>
          <w:w w:val="110"/>
        </w:rPr>
        <w:t>] mantener y fortalecer gobiernos estables y democráticamente electos evitando que “los estados renegados apoyen organizaciones terroristas” (Co- mando </w:t>
      </w:r>
      <w:r>
        <w:rPr>
          <w:color w:val="231F20"/>
          <w:spacing w:val="-5"/>
          <w:w w:val="110"/>
        </w:rPr>
        <w:t>Sur, </w:t>
      </w:r>
      <w:r>
        <w:rPr>
          <w:color w:val="231F20"/>
          <w:w w:val="110"/>
        </w:rPr>
        <w:t>2008),</w:t>
      </w:r>
      <w:r>
        <w:rPr>
          <w:color w:val="231F20"/>
          <w:w w:val="110"/>
          <w:position w:val="6"/>
          <w:sz w:val="13"/>
        </w:rPr>
        <w:t>5 </w:t>
      </w:r>
      <w:r>
        <w:rPr>
          <w:color w:val="231F20"/>
          <w:w w:val="110"/>
        </w:rPr>
        <w:t>lo que inevitablemente nos lleva a pensar en Venezuela y Bolivia. El Comando destaca también las acciones de inteligencia, intercambio de información y control de </w:t>
      </w:r>
      <w:r>
        <w:rPr>
          <w:color w:val="231F20"/>
          <w:spacing w:val="50"/>
          <w:w w:val="110"/>
        </w:rPr>
        <w:t> </w:t>
      </w:r>
      <w:r>
        <w:rPr>
          <w:color w:val="231F20"/>
          <w:w w:val="110"/>
        </w:rPr>
        <w:t>movimientos</w:t>
      </w:r>
    </w:p>
    <w:p>
      <w:pPr>
        <w:pStyle w:val="BodyText"/>
      </w:pPr>
    </w:p>
    <w:p>
      <w:pPr>
        <w:spacing w:before="152"/>
        <w:ind w:left="340" w:right="25" w:firstLine="0"/>
        <w:jc w:val="left"/>
        <w:rPr>
          <w:sz w:val="16"/>
        </w:rPr>
      </w:pPr>
      <w:r>
        <w:rPr>
          <w:color w:val="231F20"/>
          <w:w w:val="110"/>
          <w:position w:val="5"/>
          <w:sz w:val="10"/>
        </w:rPr>
        <w:t>5   </w:t>
      </w:r>
      <w:r>
        <w:rPr>
          <w:color w:val="231F20"/>
          <w:w w:val="110"/>
          <w:sz w:val="16"/>
        </w:rPr>
        <w:t>Sobre la reestructuración del Comando Sur, consúltese, también, Barry, 2004.</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aéreos, marítimos y terrestres; es decir, se asigna un papel similar al de Estado Mayor con mando unificado donde las Fuerzas Armadas locales cumplirían simplemente tareas de apoyo.</w:t>
      </w:r>
    </w:p>
    <w:p>
      <w:pPr>
        <w:pStyle w:val="BodyText"/>
        <w:spacing w:line="261" w:lineRule="auto"/>
        <w:ind w:left="100" w:right="115" w:firstLine="240"/>
        <w:jc w:val="both"/>
      </w:pPr>
      <w:r>
        <w:rPr>
          <w:color w:val="231F20"/>
          <w:w w:val="115"/>
        </w:rPr>
        <w:t>Los antecedentes de la creación del Comando Norte podemos encontrarlos</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acuerdo</w:t>
      </w:r>
      <w:r>
        <w:rPr>
          <w:color w:val="231F20"/>
          <w:spacing w:val="-6"/>
          <w:w w:val="115"/>
        </w:rPr>
        <w:t> </w:t>
      </w:r>
      <w:r>
        <w:rPr>
          <w:color w:val="231F20"/>
          <w:w w:val="115"/>
        </w:rPr>
        <w:t>firmado</w:t>
      </w:r>
      <w:r>
        <w:rPr>
          <w:color w:val="231F20"/>
          <w:spacing w:val="-6"/>
          <w:w w:val="115"/>
        </w:rPr>
        <w:t> </w:t>
      </w:r>
      <w:r>
        <w:rPr>
          <w:color w:val="231F20"/>
          <w:w w:val="115"/>
        </w:rPr>
        <w:t>con</w:t>
      </w:r>
      <w:r>
        <w:rPr>
          <w:color w:val="231F20"/>
          <w:spacing w:val="-6"/>
          <w:w w:val="115"/>
        </w:rPr>
        <w:t> </w:t>
      </w:r>
      <w:r>
        <w:rPr>
          <w:color w:val="231F20"/>
          <w:w w:val="115"/>
        </w:rPr>
        <w:t>Canadá</w:t>
      </w:r>
      <w:r>
        <w:rPr>
          <w:color w:val="231F20"/>
          <w:spacing w:val="-6"/>
          <w:w w:val="115"/>
        </w:rPr>
        <w:t> </w:t>
      </w:r>
      <w:r>
        <w:rPr>
          <w:color w:val="231F20"/>
          <w:w w:val="115"/>
        </w:rPr>
        <w:t>en</w:t>
      </w:r>
      <w:r>
        <w:rPr>
          <w:color w:val="231F20"/>
          <w:spacing w:val="-6"/>
          <w:w w:val="115"/>
        </w:rPr>
        <w:t> </w:t>
      </w:r>
      <w:r>
        <w:rPr>
          <w:color w:val="231F20"/>
          <w:w w:val="115"/>
        </w:rPr>
        <w:t>1997</w:t>
      </w:r>
      <w:r>
        <w:rPr>
          <w:color w:val="231F20"/>
          <w:spacing w:val="-6"/>
          <w:w w:val="115"/>
        </w:rPr>
        <w:t> </w:t>
      </w:r>
      <w:r>
        <w:rPr>
          <w:color w:val="231F20"/>
          <w:w w:val="115"/>
        </w:rPr>
        <w:t>con</w:t>
      </w:r>
      <w:r>
        <w:rPr>
          <w:color w:val="231F20"/>
          <w:spacing w:val="-6"/>
          <w:w w:val="115"/>
        </w:rPr>
        <w:t> </w:t>
      </w:r>
      <w:r>
        <w:rPr>
          <w:color w:val="231F20"/>
          <w:w w:val="115"/>
        </w:rPr>
        <w:t>el</w:t>
      </w:r>
      <w:r>
        <w:rPr>
          <w:color w:val="231F20"/>
          <w:spacing w:val="-6"/>
          <w:w w:val="115"/>
        </w:rPr>
        <w:t> </w:t>
      </w:r>
      <w:r>
        <w:rPr>
          <w:color w:val="231F20"/>
          <w:w w:val="115"/>
        </w:rPr>
        <w:t>fin de complementar las acciones del Comando Sur en el hemisferio para</w:t>
      </w:r>
      <w:r>
        <w:rPr>
          <w:color w:val="231F20"/>
          <w:spacing w:val="-11"/>
          <w:w w:val="115"/>
        </w:rPr>
        <w:t> </w:t>
      </w:r>
      <w:r>
        <w:rPr>
          <w:color w:val="231F20"/>
          <w:w w:val="115"/>
        </w:rPr>
        <w:t>proteger</w:t>
      </w:r>
      <w:r>
        <w:rPr>
          <w:color w:val="231F20"/>
          <w:spacing w:val="-11"/>
          <w:w w:val="115"/>
        </w:rPr>
        <w:t> </w:t>
      </w:r>
      <w:r>
        <w:rPr>
          <w:color w:val="231F20"/>
          <w:w w:val="115"/>
        </w:rPr>
        <w:t>la</w:t>
      </w:r>
      <w:r>
        <w:rPr>
          <w:color w:val="231F20"/>
          <w:spacing w:val="-11"/>
          <w:w w:val="115"/>
        </w:rPr>
        <w:t> </w:t>
      </w:r>
      <w:r>
        <w:rPr>
          <w:color w:val="231F20"/>
          <w:w w:val="115"/>
        </w:rPr>
        <w:t>zona,</w:t>
      </w:r>
      <w:r>
        <w:rPr>
          <w:color w:val="231F20"/>
          <w:spacing w:val="-11"/>
          <w:w w:val="115"/>
        </w:rPr>
        <w:t> </w:t>
      </w:r>
      <w:r>
        <w:rPr>
          <w:color w:val="231F20"/>
          <w:w w:val="115"/>
        </w:rPr>
        <w:t>no</w:t>
      </w:r>
      <w:r>
        <w:rPr>
          <w:color w:val="231F20"/>
          <w:spacing w:val="-11"/>
          <w:w w:val="115"/>
        </w:rPr>
        <w:t> </w:t>
      </w:r>
      <w:r>
        <w:rPr>
          <w:color w:val="231F20"/>
          <w:w w:val="115"/>
        </w:rPr>
        <w:t>sólo</w:t>
      </w:r>
      <w:r>
        <w:rPr>
          <w:color w:val="231F20"/>
          <w:spacing w:val="-11"/>
          <w:w w:val="115"/>
        </w:rPr>
        <w:t> </w:t>
      </w:r>
      <w:r>
        <w:rPr>
          <w:color w:val="231F20"/>
          <w:w w:val="115"/>
        </w:rPr>
        <w:t>de</w:t>
      </w:r>
      <w:r>
        <w:rPr>
          <w:color w:val="231F20"/>
          <w:spacing w:val="-11"/>
          <w:w w:val="115"/>
        </w:rPr>
        <w:t> </w:t>
      </w:r>
      <w:r>
        <w:rPr>
          <w:color w:val="231F20"/>
          <w:w w:val="115"/>
        </w:rPr>
        <w:t>amenazas</w:t>
      </w:r>
      <w:r>
        <w:rPr>
          <w:color w:val="231F20"/>
          <w:spacing w:val="-11"/>
          <w:w w:val="115"/>
        </w:rPr>
        <w:t> </w:t>
      </w:r>
      <w:r>
        <w:rPr>
          <w:color w:val="231F20"/>
          <w:w w:val="115"/>
        </w:rPr>
        <w:t>estrictamente</w:t>
      </w:r>
      <w:r>
        <w:rPr>
          <w:color w:val="231F20"/>
          <w:spacing w:val="-11"/>
          <w:w w:val="115"/>
        </w:rPr>
        <w:t> </w:t>
      </w:r>
      <w:r>
        <w:rPr>
          <w:color w:val="231F20"/>
          <w:w w:val="115"/>
        </w:rPr>
        <w:t>militares sino</w:t>
      </w:r>
      <w:r>
        <w:rPr>
          <w:color w:val="231F20"/>
          <w:spacing w:val="-6"/>
          <w:w w:val="115"/>
        </w:rPr>
        <w:t> </w:t>
      </w:r>
      <w:r>
        <w:rPr>
          <w:color w:val="231F20"/>
          <w:w w:val="115"/>
        </w:rPr>
        <w:t>para</w:t>
      </w:r>
      <w:r>
        <w:rPr>
          <w:color w:val="231F20"/>
          <w:spacing w:val="-6"/>
          <w:w w:val="115"/>
        </w:rPr>
        <w:t> </w:t>
      </w:r>
      <w:r>
        <w:rPr>
          <w:color w:val="231F20"/>
          <w:w w:val="115"/>
        </w:rPr>
        <w:t>garantizar</w:t>
      </w:r>
      <w:r>
        <w:rPr>
          <w:color w:val="231F20"/>
          <w:spacing w:val="-6"/>
          <w:w w:val="115"/>
        </w:rPr>
        <w:t> </w:t>
      </w:r>
      <w:r>
        <w:rPr>
          <w:color w:val="231F20"/>
          <w:w w:val="115"/>
        </w:rPr>
        <w:t>la</w:t>
      </w:r>
      <w:r>
        <w:rPr>
          <w:color w:val="231F20"/>
          <w:spacing w:val="-6"/>
          <w:w w:val="115"/>
        </w:rPr>
        <w:t> </w:t>
      </w:r>
      <w:r>
        <w:rPr>
          <w:color w:val="231F20"/>
          <w:w w:val="115"/>
        </w:rPr>
        <w:t>seguridad</w:t>
      </w:r>
      <w:r>
        <w:rPr>
          <w:color w:val="231F20"/>
          <w:spacing w:val="-6"/>
          <w:w w:val="115"/>
        </w:rPr>
        <w:t> </w:t>
      </w:r>
      <w:r>
        <w:rPr>
          <w:color w:val="231F20"/>
          <w:w w:val="115"/>
        </w:rPr>
        <w:t>del</w:t>
      </w:r>
      <w:r>
        <w:rPr>
          <w:color w:val="231F20"/>
          <w:spacing w:val="-6"/>
          <w:w w:val="115"/>
        </w:rPr>
        <w:t> </w:t>
      </w:r>
      <w:r>
        <w:rPr>
          <w:color w:val="231F20"/>
          <w:w w:val="115"/>
        </w:rPr>
        <w:t>intercambio</w:t>
      </w:r>
      <w:r>
        <w:rPr>
          <w:color w:val="231F20"/>
          <w:spacing w:val="-6"/>
          <w:w w:val="115"/>
        </w:rPr>
        <w:t> </w:t>
      </w:r>
      <w:r>
        <w:rPr>
          <w:color w:val="231F20"/>
          <w:w w:val="115"/>
        </w:rPr>
        <w:t>económico</w:t>
      </w:r>
      <w:r>
        <w:rPr>
          <w:color w:val="231F20"/>
          <w:spacing w:val="-6"/>
          <w:w w:val="115"/>
        </w:rPr>
        <w:t> </w:t>
      </w:r>
      <w:r>
        <w:rPr>
          <w:color w:val="231F20"/>
          <w:w w:val="115"/>
        </w:rPr>
        <w:t>en</w:t>
      </w:r>
      <w:r>
        <w:rPr>
          <w:color w:val="231F20"/>
          <w:spacing w:val="-6"/>
          <w:w w:val="115"/>
        </w:rPr>
        <w:t> </w:t>
      </w:r>
      <w:r>
        <w:rPr>
          <w:color w:val="231F20"/>
          <w:w w:val="115"/>
        </w:rPr>
        <w:t>el área del tlcan. Se trataba de proteger “la zona en el plano comer- cial,</w:t>
      </w:r>
      <w:r>
        <w:rPr>
          <w:color w:val="231F20"/>
          <w:spacing w:val="-17"/>
          <w:w w:val="115"/>
        </w:rPr>
        <w:t> </w:t>
      </w:r>
      <w:r>
        <w:rPr>
          <w:color w:val="231F20"/>
          <w:w w:val="115"/>
        </w:rPr>
        <w:t>de</w:t>
      </w:r>
      <w:r>
        <w:rPr>
          <w:color w:val="231F20"/>
          <w:spacing w:val="-17"/>
          <w:w w:val="115"/>
        </w:rPr>
        <w:t> </w:t>
      </w:r>
      <w:r>
        <w:rPr>
          <w:color w:val="231F20"/>
          <w:w w:val="115"/>
        </w:rPr>
        <w:t>vigilancia</w:t>
      </w:r>
      <w:r>
        <w:rPr>
          <w:color w:val="231F20"/>
          <w:spacing w:val="-17"/>
          <w:w w:val="115"/>
        </w:rPr>
        <w:t> </w:t>
      </w:r>
      <w:r>
        <w:rPr>
          <w:color w:val="231F20"/>
          <w:w w:val="115"/>
        </w:rPr>
        <w:t>fronteriza</w:t>
      </w:r>
      <w:r>
        <w:rPr>
          <w:color w:val="231F20"/>
          <w:spacing w:val="-17"/>
          <w:w w:val="115"/>
        </w:rPr>
        <w:t> </w:t>
      </w:r>
      <w:r>
        <w:rPr>
          <w:color w:val="231F20"/>
          <w:w w:val="115"/>
        </w:rPr>
        <w:t>y</w:t>
      </w:r>
      <w:r>
        <w:rPr>
          <w:color w:val="231F20"/>
          <w:spacing w:val="-17"/>
          <w:w w:val="115"/>
        </w:rPr>
        <w:t> </w:t>
      </w:r>
      <w:r>
        <w:rPr>
          <w:color w:val="231F20"/>
          <w:w w:val="115"/>
        </w:rPr>
        <w:t>colaboración</w:t>
      </w:r>
      <w:r>
        <w:rPr>
          <w:color w:val="231F20"/>
          <w:spacing w:val="-17"/>
          <w:w w:val="115"/>
        </w:rPr>
        <w:t> </w:t>
      </w:r>
      <w:r>
        <w:rPr>
          <w:color w:val="231F20"/>
          <w:w w:val="115"/>
        </w:rPr>
        <w:t>tecnológica</w:t>
      </w:r>
      <w:r>
        <w:rPr>
          <w:color w:val="231F20"/>
          <w:spacing w:val="-17"/>
          <w:w w:val="115"/>
        </w:rPr>
        <w:t> </w:t>
      </w:r>
      <w:r>
        <w:rPr>
          <w:color w:val="231F20"/>
          <w:w w:val="115"/>
        </w:rPr>
        <w:t>e</w:t>
      </w:r>
      <w:r>
        <w:rPr>
          <w:color w:val="231F20"/>
          <w:spacing w:val="-17"/>
          <w:w w:val="115"/>
        </w:rPr>
        <w:t> </w:t>
      </w:r>
      <w:r>
        <w:rPr>
          <w:color w:val="231F20"/>
          <w:w w:val="115"/>
        </w:rPr>
        <w:t>informa- tiva,</w:t>
      </w:r>
      <w:r>
        <w:rPr>
          <w:color w:val="231F20"/>
          <w:spacing w:val="-6"/>
          <w:w w:val="115"/>
        </w:rPr>
        <w:t> </w:t>
      </w:r>
      <w:r>
        <w:rPr>
          <w:color w:val="231F20"/>
          <w:w w:val="115"/>
        </w:rPr>
        <w:t>al</w:t>
      </w:r>
      <w:r>
        <w:rPr>
          <w:color w:val="231F20"/>
          <w:spacing w:val="-6"/>
          <w:w w:val="115"/>
        </w:rPr>
        <w:t> </w:t>
      </w:r>
      <w:r>
        <w:rPr>
          <w:color w:val="231F20"/>
          <w:w w:val="115"/>
        </w:rPr>
        <w:t>coordinar</w:t>
      </w:r>
      <w:r>
        <w:rPr>
          <w:color w:val="231F20"/>
          <w:spacing w:val="-6"/>
          <w:w w:val="115"/>
        </w:rPr>
        <w:t> </w:t>
      </w:r>
      <w:r>
        <w:rPr>
          <w:color w:val="231F20"/>
          <w:w w:val="115"/>
        </w:rPr>
        <w:t>también</w:t>
      </w:r>
      <w:r>
        <w:rPr>
          <w:color w:val="231F20"/>
          <w:spacing w:val="-6"/>
          <w:w w:val="115"/>
        </w:rPr>
        <w:t> </w:t>
      </w:r>
      <w:r>
        <w:rPr>
          <w:color w:val="231F20"/>
          <w:w w:val="115"/>
        </w:rPr>
        <w:t>los</w:t>
      </w:r>
      <w:r>
        <w:rPr>
          <w:color w:val="231F20"/>
          <w:spacing w:val="-6"/>
          <w:w w:val="115"/>
        </w:rPr>
        <w:t> </w:t>
      </w:r>
      <w:r>
        <w:rPr>
          <w:color w:val="231F20"/>
          <w:w w:val="115"/>
        </w:rPr>
        <w:t>servicios</w:t>
      </w:r>
      <w:r>
        <w:rPr>
          <w:color w:val="231F20"/>
          <w:spacing w:val="-6"/>
          <w:w w:val="115"/>
        </w:rPr>
        <w:t> </w:t>
      </w:r>
      <w:r>
        <w:rPr>
          <w:color w:val="231F20"/>
          <w:w w:val="115"/>
        </w:rPr>
        <w:t>de</w:t>
      </w:r>
      <w:r>
        <w:rPr>
          <w:color w:val="231F20"/>
          <w:spacing w:val="-6"/>
          <w:w w:val="115"/>
        </w:rPr>
        <w:t> </w:t>
      </w:r>
      <w:r>
        <w:rPr>
          <w:color w:val="231F20"/>
          <w:w w:val="115"/>
        </w:rPr>
        <w:t>espionaje</w:t>
      </w:r>
      <w:r>
        <w:rPr>
          <w:color w:val="231F20"/>
          <w:spacing w:val="-6"/>
          <w:w w:val="115"/>
        </w:rPr>
        <w:t> </w:t>
      </w:r>
      <w:r>
        <w:rPr>
          <w:color w:val="231F20"/>
          <w:w w:val="115"/>
        </w:rPr>
        <w:t>e</w:t>
      </w:r>
      <w:r>
        <w:rPr>
          <w:color w:val="231F20"/>
          <w:spacing w:val="-6"/>
          <w:w w:val="115"/>
        </w:rPr>
        <w:t> </w:t>
      </w:r>
      <w:r>
        <w:rPr>
          <w:color w:val="231F20"/>
          <w:w w:val="115"/>
        </w:rPr>
        <w:t>inteligencia de</w:t>
      </w:r>
      <w:r>
        <w:rPr>
          <w:color w:val="231F20"/>
          <w:spacing w:val="-23"/>
          <w:w w:val="115"/>
        </w:rPr>
        <w:t> </w:t>
      </w:r>
      <w:r>
        <w:rPr>
          <w:color w:val="231F20"/>
          <w:w w:val="115"/>
        </w:rPr>
        <w:t>los</w:t>
      </w:r>
      <w:r>
        <w:rPr>
          <w:color w:val="231F20"/>
          <w:spacing w:val="-23"/>
          <w:w w:val="115"/>
        </w:rPr>
        <w:t> </w:t>
      </w:r>
      <w:r>
        <w:rPr>
          <w:color w:val="231F20"/>
          <w:w w:val="115"/>
        </w:rPr>
        <w:t>países</w:t>
      </w:r>
      <w:r>
        <w:rPr>
          <w:color w:val="231F20"/>
          <w:spacing w:val="-23"/>
          <w:w w:val="115"/>
        </w:rPr>
        <w:t> </w:t>
      </w:r>
      <w:r>
        <w:rPr>
          <w:color w:val="231F20"/>
          <w:w w:val="115"/>
        </w:rPr>
        <w:t>involucrados”</w:t>
      </w:r>
      <w:r>
        <w:rPr>
          <w:color w:val="231F20"/>
          <w:spacing w:val="-23"/>
          <w:w w:val="115"/>
        </w:rPr>
        <w:t> </w:t>
      </w:r>
      <w:r>
        <w:rPr>
          <w:color w:val="231F20"/>
          <w:w w:val="115"/>
        </w:rPr>
        <w:t>(Egremy,</w:t>
      </w:r>
      <w:r>
        <w:rPr>
          <w:color w:val="231F20"/>
          <w:spacing w:val="-23"/>
          <w:w w:val="115"/>
        </w:rPr>
        <w:t> </w:t>
      </w:r>
      <w:r>
        <w:rPr>
          <w:color w:val="231F20"/>
          <w:w w:val="115"/>
        </w:rPr>
        <w:t>2007).</w:t>
      </w:r>
      <w:r>
        <w:rPr>
          <w:color w:val="231F20"/>
          <w:spacing w:val="-23"/>
          <w:w w:val="115"/>
        </w:rPr>
        <w:t> </w:t>
      </w:r>
      <w:r>
        <w:rPr>
          <w:color w:val="231F20"/>
          <w:w w:val="115"/>
        </w:rPr>
        <w:t>La</w:t>
      </w:r>
      <w:r>
        <w:rPr>
          <w:color w:val="231F20"/>
          <w:spacing w:val="-23"/>
          <w:w w:val="115"/>
        </w:rPr>
        <w:t> </w:t>
      </w:r>
      <w:r>
        <w:rPr>
          <w:color w:val="231F20"/>
          <w:w w:val="115"/>
        </w:rPr>
        <w:t>decisión</w:t>
      </w:r>
      <w:r>
        <w:rPr>
          <w:color w:val="231F20"/>
          <w:spacing w:val="-23"/>
          <w:w w:val="115"/>
        </w:rPr>
        <w:t> </w:t>
      </w:r>
      <w:r>
        <w:rPr>
          <w:color w:val="231F20"/>
          <w:w w:val="115"/>
        </w:rPr>
        <w:t>de</w:t>
      </w:r>
      <w:r>
        <w:rPr>
          <w:color w:val="231F20"/>
          <w:spacing w:val="-23"/>
          <w:w w:val="115"/>
        </w:rPr>
        <w:t> </w:t>
      </w:r>
      <w:r>
        <w:rPr>
          <w:color w:val="231F20"/>
          <w:w w:val="115"/>
        </w:rPr>
        <w:t>crear</w:t>
      </w:r>
      <w:r>
        <w:rPr>
          <w:color w:val="231F20"/>
          <w:spacing w:val="-23"/>
          <w:w w:val="115"/>
        </w:rPr>
        <w:t> </w:t>
      </w:r>
      <w:r>
        <w:rPr>
          <w:color w:val="231F20"/>
          <w:w w:val="115"/>
        </w:rPr>
        <w:t>el Comando Norte fue tomada unilateralmente por Estados Unidos; nunca se consultó a los países que quedaron bajo esta nueva área de</w:t>
      </w:r>
      <w:r>
        <w:rPr>
          <w:color w:val="231F20"/>
          <w:spacing w:val="-23"/>
          <w:w w:val="115"/>
        </w:rPr>
        <w:t> </w:t>
      </w:r>
      <w:r>
        <w:rPr>
          <w:color w:val="231F20"/>
          <w:w w:val="115"/>
        </w:rPr>
        <w:t>responsabilidad.</w:t>
      </w:r>
      <w:r>
        <w:rPr>
          <w:color w:val="231F20"/>
          <w:spacing w:val="-23"/>
          <w:w w:val="115"/>
        </w:rPr>
        <w:t> </w:t>
      </w:r>
      <w:r>
        <w:rPr>
          <w:color w:val="231F20"/>
          <w:w w:val="115"/>
        </w:rPr>
        <w:t>Sus</w:t>
      </w:r>
      <w:r>
        <w:rPr>
          <w:color w:val="231F20"/>
          <w:spacing w:val="-23"/>
          <w:w w:val="115"/>
        </w:rPr>
        <w:t> </w:t>
      </w:r>
      <w:r>
        <w:rPr>
          <w:color w:val="231F20"/>
          <w:w w:val="115"/>
        </w:rPr>
        <w:t>acciones,</w:t>
      </w:r>
      <w:r>
        <w:rPr>
          <w:color w:val="231F20"/>
          <w:spacing w:val="-23"/>
          <w:w w:val="115"/>
        </w:rPr>
        <w:t> </w:t>
      </w:r>
      <w:r>
        <w:rPr>
          <w:color w:val="231F20"/>
          <w:w w:val="115"/>
        </w:rPr>
        <w:t>al</w:t>
      </w:r>
      <w:r>
        <w:rPr>
          <w:color w:val="231F20"/>
          <w:spacing w:val="-23"/>
          <w:w w:val="115"/>
        </w:rPr>
        <w:t> </w:t>
      </w:r>
      <w:r>
        <w:rPr>
          <w:color w:val="231F20"/>
          <w:w w:val="115"/>
        </w:rPr>
        <w:t>igual</w:t>
      </w:r>
      <w:r>
        <w:rPr>
          <w:color w:val="231F20"/>
          <w:spacing w:val="-23"/>
          <w:w w:val="115"/>
        </w:rPr>
        <w:t> </w:t>
      </w:r>
      <w:r>
        <w:rPr>
          <w:color w:val="231F20"/>
          <w:w w:val="115"/>
        </w:rPr>
        <w:t>que</w:t>
      </w:r>
      <w:r>
        <w:rPr>
          <w:color w:val="231F20"/>
          <w:spacing w:val="-23"/>
          <w:w w:val="115"/>
        </w:rPr>
        <w:t> </w:t>
      </w:r>
      <w:r>
        <w:rPr>
          <w:color w:val="231F20"/>
          <w:w w:val="115"/>
        </w:rPr>
        <w:t>las</w:t>
      </w:r>
      <w:r>
        <w:rPr>
          <w:color w:val="231F20"/>
          <w:spacing w:val="-23"/>
          <w:w w:val="115"/>
        </w:rPr>
        <w:t> </w:t>
      </w:r>
      <w:r>
        <w:rPr>
          <w:color w:val="231F20"/>
          <w:w w:val="115"/>
        </w:rPr>
        <w:t>del</w:t>
      </w:r>
      <w:r>
        <w:rPr>
          <w:color w:val="231F20"/>
          <w:spacing w:val="-23"/>
          <w:w w:val="115"/>
        </w:rPr>
        <w:t> </w:t>
      </w:r>
      <w:r>
        <w:rPr>
          <w:color w:val="231F20"/>
          <w:w w:val="115"/>
        </w:rPr>
        <w:t>Comando</w:t>
      </w:r>
      <w:r>
        <w:rPr>
          <w:color w:val="231F20"/>
          <w:spacing w:val="-23"/>
          <w:w w:val="115"/>
        </w:rPr>
        <w:t> </w:t>
      </w:r>
      <w:r>
        <w:rPr>
          <w:color w:val="231F20"/>
          <w:spacing w:val="-5"/>
          <w:w w:val="115"/>
        </w:rPr>
        <w:t>Sur, </w:t>
      </w:r>
      <w:r>
        <w:rPr>
          <w:color w:val="231F20"/>
          <w:w w:val="115"/>
        </w:rPr>
        <w:t>están</w:t>
      </w:r>
      <w:r>
        <w:rPr>
          <w:color w:val="231F20"/>
          <w:spacing w:val="-9"/>
          <w:w w:val="115"/>
        </w:rPr>
        <w:t> </w:t>
      </w:r>
      <w:r>
        <w:rPr>
          <w:color w:val="231F20"/>
          <w:w w:val="115"/>
        </w:rPr>
        <w:t>enclavadas</w:t>
      </w:r>
      <w:r>
        <w:rPr>
          <w:color w:val="231F20"/>
          <w:spacing w:val="-9"/>
          <w:w w:val="115"/>
        </w:rPr>
        <w:t> </w:t>
      </w:r>
      <w:r>
        <w:rPr>
          <w:color w:val="231F20"/>
          <w:w w:val="115"/>
        </w:rPr>
        <w:t>en</w:t>
      </w:r>
      <w:r>
        <w:rPr>
          <w:color w:val="231F20"/>
          <w:spacing w:val="-9"/>
          <w:w w:val="115"/>
        </w:rPr>
        <w:t> </w:t>
      </w:r>
      <w:r>
        <w:rPr>
          <w:color w:val="231F20"/>
          <w:w w:val="115"/>
        </w:rPr>
        <w:t>las</w:t>
      </w:r>
      <w:r>
        <w:rPr>
          <w:color w:val="231F20"/>
          <w:spacing w:val="-9"/>
          <w:w w:val="115"/>
        </w:rPr>
        <w:t> </w:t>
      </w:r>
      <w:r>
        <w:rPr>
          <w:color w:val="231F20"/>
          <w:w w:val="115"/>
        </w:rPr>
        <w:t>concepciones</w:t>
      </w:r>
      <w:r>
        <w:rPr>
          <w:color w:val="231F20"/>
          <w:spacing w:val="-9"/>
          <w:w w:val="115"/>
        </w:rPr>
        <w:t> </w:t>
      </w:r>
      <w:r>
        <w:rPr>
          <w:color w:val="231F20"/>
          <w:w w:val="115"/>
        </w:rPr>
        <w:t>de</w:t>
      </w:r>
      <w:r>
        <w:rPr>
          <w:color w:val="231F20"/>
          <w:spacing w:val="-9"/>
          <w:w w:val="115"/>
        </w:rPr>
        <w:t> </w:t>
      </w:r>
      <w:r>
        <w:rPr>
          <w:color w:val="231F20"/>
          <w:w w:val="115"/>
        </w:rPr>
        <w:t>guerra</w:t>
      </w:r>
      <w:r>
        <w:rPr>
          <w:color w:val="231F20"/>
          <w:spacing w:val="-9"/>
          <w:w w:val="115"/>
        </w:rPr>
        <w:t> </w:t>
      </w:r>
      <w:r>
        <w:rPr>
          <w:color w:val="231F20"/>
          <w:w w:val="115"/>
        </w:rPr>
        <w:t>preventiva,</w:t>
      </w:r>
      <w:r>
        <w:rPr>
          <w:color w:val="231F20"/>
          <w:spacing w:val="-9"/>
          <w:w w:val="115"/>
        </w:rPr>
        <w:t> </w:t>
      </w:r>
      <w:r>
        <w:rPr>
          <w:color w:val="231F20"/>
          <w:w w:val="115"/>
        </w:rPr>
        <w:t>guerra total</w:t>
      </w:r>
      <w:r>
        <w:rPr>
          <w:color w:val="231F20"/>
          <w:spacing w:val="-38"/>
          <w:w w:val="115"/>
        </w:rPr>
        <w:t> </w:t>
      </w:r>
      <w:r>
        <w:rPr>
          <w:color w:val="231F20"/>
          <w:w w:val="115"/>
        </w:rPr>
        <w:t>y</w:t>
      </w:r>
      <w:r>
        <w:rPr>
          <w:color w:val="231F20"/>
          <w:spacing w:val="-38"/>
          <w:w w:val="115"/>
        </w:rPr>
        <w:t> </w:t>
      </w:r>
      <w:r>
        <w:rPr>
          <w:color w:val="231F20"/>
          <w:w w:val="115"/>
        </w:rPr>
        <w:t>el</w:t>
      </w:r>
      <w:r>
        <w:rPr>
          <w:color w:val="231F20"/>
          <w:spacing w:val="-38"/>
          <w:w w:val="115"/>
        </w:rPr>
        <w:t> </w:t>
      </w:r>
      <w:r>
        <w:rPr>
          <w:color w:val="231F20"/>
          <w:w w:val="115"/>
        </w:rPr>
        <w:t>control</w:t>
      </w:r>
      <w:r>
        <w:rPr>
          <w:color w:val="231F20"/>
          <w:spacing w:val="-38"/>
          <w:w w:val="115"/>
        </w:rPr>
        <w:t> </w:t>
      </w:r>
      <w:r>
        <w:rPr>
          <w:color w:val="231F20"/>
          <w:w w:val="115"/>
        </w:rPr>
        <w:t>de</w:t>
      </w:r>
      <w:r>
        <w:rPr>
          <w:color w:val="231F20"/>
          <w:spacing w:val="-38"/>
          <w:w w:val="115"/>
        </w:rPr>
        <w:t> </w:t>
      </w:r>
      <w:r>
        <w:rPr>
          <w:color w:val="231F20"/>
          <w:w w:val="115"/>
        </w:rPr>
        <w:t>las</w:t>
      </w:r>
      <w:r>
        <w:rPr>
          <w:color w:val="231F20"/>
          <w:spacing w:val="-38"/>
          <w:w w:val="115"/>
        </w:rPr>
        <w:t> </w:t>
      </w:r>
      <w:r>
        <w:rPr>
          <w:color w:val="231F20"/>
          <w:w w:val="115"/>
        </w:rPr>
        <w:t>áreas</w:t>
      </w:r>
      <w:r>
        <w:rPr>
          <w:color w:val="231F20"/>
          <w:spacing w:val="-38"/>
          <w:w w:val="115"/>
        </w:rPr>
        <w:t> </w:t>
      </w:r>
      <w:r>
        <w:rPr>
          <w:color w:val="231F20"/>
          <w:w w:val="115"/>
        </w:rPr>
        <w:t>no</w:t>
      </w:r>
      <w:r>
        <w:rPr>
          <w:color w:val="231F20"/>
          <w:spacing w:val="-38"/>
          <w:w w:val="115"/>
        </w:rPr>
        <w:t> </w:t>
      </w:r>
      <w:r>
        <w:rPr>
          <w:color w:val="231F20"/>
          <w:w w:val="115"/>
        </w:rPr>
        <w:t>gobernables,</w:t>
      </w:r>
      <w:r>
        <w:rPr>
          <w:color w:val="231F20"/>
          <w:spacing w:val="-38"/>
          <w:w w:val="115"/>
        </w:rPr>
        <w:t> </w:t>
      </w:r>
      <w:r>
        <w:rPr>
          <w:color w:val="231F20"/>
          <w:w w:val="115"/>
        </w:rPr>
        <w:t>además</w:t>
      </w:r>
      <w:r>
        <w:rPr>
          <w:color w:val="231F20"/>
          <w:spacing w:val="-38"/>
          <w:w w:val="115"/>
        </w:rPr>
        <w:t> </w:t>
      </w:r>
      <w:r>
        <w:rPr>
          <w:color w:val="231F20"/>
          <w:w w:val="115"/>
        </w:rPr>
        <w:t>de</w:t>
      </w:r>
      <w:r>
        <w:rPr>
          <w:color w:val="231F20"/>
          <w:spacing w:val="-38"/>
          <w:w w:val="115"/>
        </w:rPr>
        <w:t> </w:t>
      </w:r>
      <w:r>
        <w:rPr>
          <w:color w:val="231F20"/>
          <w:w w:val="115"/>
        </w:rPr>
        <w:t>promover</w:t>
      </w:r>
      <w:r>
        <w:rPr>
          <w:color w:val="231F20"/>
          <w:spacing w:val="-38"/>
          <w:w w:val="115"/>
        </w:rPr>
        <w:t> </w:t>
      </w:r>
      <w:r>
        <w:rPr>
          <w:color w:val="231F20"/>
          <w:w w:val="115"/>
        </w:rPr>
        <w:t>los vínculos</w:t>
      </w:r>
      <w:r>
        <w:rPr>
          <w:color w:val="231F20"/>
          <w:spacing w:val="-36"/>
          <w:w w:val="115"/>
        </w:rPr>
        <w:t> </w:t>
      </w:r>
      <w:r>
        <w:rPr>
          <w:color w:val="231F20"/>
          <w:w w:val="115"/>
        </w:rPr>
        <w:t>“militar</w:t>
      </w:r>
      <w:r>
        <w:rPr>
          <w:color w:val="231F20"/>
          <w:spacing w:val="-36"/>
          <w:w w:val="115"/>
        </w:rPr>
        <w:t> </w:t>
      </w:r>
      <w:r>
        <w:rPr>
          <w:color w:val="231F20"/>
          <w:w w:val="115"/>
        </w:rPr>
        <w:t>a</w:t>
      </w:r>
      <w:r>
        <w:rPr>
          <w:color w:val="231F20"/>
          <w:spacing w:val="-36"/>
          <w:w w:val="115"/>
        </w:rPr>
        <w:t> </w:t>
      </w:r>
      <w:r>
        <w:rPr>
          <w:color w:val="231F20"/>
          <w:w w:val="115"/>
        </w:rPr>
        <w:t>militar”,</w:t>
      </w:r>
      <w:r>
        <w:rPr>
          <w:color w:val="231F20"/>
          <w:spacing w:val="-36"/>
          <w:w w:val="115"/>
        </w:rPr>
        <w:t> </w:t>
      </w:r>
      <w:r>
        <w:rPr>
          <w:color w:val="231F20"/>
          <w:w w:val="115"/>
        </w:rPr>
        <w:t>potenciar</w:t>
      </w:r>
      <w:r>
        <w:rPr>
          <w:color w:val="231F20"/>
          <w:spacing w:val="-36"/>
          <w:w w:val="115"/>
        </w:rPr>
        <w:t> </w:t>
      </w:r>
      <w:r>
        <w:rPr>
          <w:color w:val="231F20"/>
          <w:w w:val="115"/>
        </w:rPr>
        <w:t>la</w:t>
      </w:r>
      <w:r>
        <w:rPr>
          <w:color w:val="231F20"/>
          <w:spacing w:val="-36"/>
          <w:w w:val="115"/>
        </w:rPr>
        <w:t> </w:t>
      </w:r>
      <w:r>
        <w:rPr>
          <w:color w:val="231F20"/>
          <w:w w:val="115"/>
        </w:rPr>
        <w:t>cooperación</w:t>
      </w:r>
      <w:r>
        <w:rPr>
          <w:color w:val="231F20"/>
          <w:spacing w:val="-36"/>
          <w:w w:val="115"/>
        </w:rPr>
        <w:t> </w:t>
      </w:r>
      <w:r>
        <w:rPr>
          <w:color w:val="231F20"/>
          <w:w w:val="115"/>
        </w:rPr>
        <w:t>y</w:t>
      </w:r>
      <w:r>
        <w:rPr>
          <w:color w:val="231F20"/>
          <w:spacing w:val="-36"/>
          <w:w w:val="115"/>
        </w:rPr>
        <w:t> </w:t>
      </w:r>
      <w:r>
        <w:rPr>
          <w:color w:val="231F20"/>
          <w:w w:val="115"/>
        </w:rPr>
        <w:t>coordinación</w:t>
      </w:r>
      <w:r>
        <w:rPr>
          <w:color w:val="231F20"/>
          <w:w w:val="111"/>
        </w:rPr>
        <w:t> </w:t>
      </w:r>
      <w:r>
        <w:rPr>
          <w:color w:val="231F20"/>
          <w:w w:val="115"/>
        </w:rPr>
        <w:t>entre agencias militares, compartir información,</w:t>
      </w:r>
      <w:r>
        <w:rPr>
          <w:color w:val="231F20"/>
          <w:spacing w:val="-1"/>
          <w:w w:val="115"/>
        </w:rPr>
        <w:t> </w:t>
      </w:r>
      <w:r>
        <w:rPr>
          <w:color w:val="231F20"/>
          <w:w w:val="115"/>
        </w:rPr>
        <w:t>adiestramiento</w:t>
      </w:r>
      <w:r>
        <w:rPr>
          <w:color w:val="231F20"/>
          <w:spacing w:val="-1"/>
          <w:w w:val="115"/>
        </w:rPr>
        <w:t> </w:t>
      </w:r>
      <w:r>
        <w:rPr>
          <w:color w:val="231F20"/>
          <w:w w:val="115"/>
        </w:rPr>
        <w:t>y</w:t>
      </w:r>
      <w:r>
        <w:rPr>
          <w:color w:val="231F20"/>
          <w:w w:val="84"/>
        </w:rPr>
        <w:t> </w:t>
      </w:r>
      <w:r>
        <w:rPr>
          <w:color w:val="231F20"/>
          <w:w w:val="110"/>
        </w:rPr>
        <w:t>adquisición</w:t>
      </w:r>
      <w:r>
        <w:rPr>
          <w:color w:val="231F20"/>
          <w:spacing w:val="-16"/>
          <w:w w:val="110"/>
        </w:rPr>
        <w:t> </w:t>
      </w:r>
      <w:r>
        <w:rPr>
          <w:color w:val="231F20"/>
          <w:w w:val="110"/>
        </w:rPr>
        <w:t>de</w:t>
      </w:r>
      <w:r>
        <w:rPr>
          <w:color w:val="231F20"/>
          <w:spacing w:val="-16"/>
          <w:w w:val="110"/>
        </w:rPr>
        <w:t> </w:t>
      </w:r>
      <w:r>
        <w:rPr>
          <w:color w:val="231F20"/>
          <w:w w:val="110"/>
        </w:rPr>
        <w:t>armamento.</w:t>
      </w:r>
      <w:r>
        <w:rPr>
          <w:color w:val="231F20"/>
          <w:spacing w:val="-16"/>
          <w:w w:val="110"/>
        </w:rPr>
        <w:t> </w:t>
      </w:r>
      <w:r>
        <w:rPr>
          <w:color w:val="231F20"/>
          <w:w w:val="110"/>
        </w:rPr>
        <w:t>La</w:t>
      </w:r>
      <w:r>
        <w:rPr>
          <w:color w:val="231F20"/>
          <w:spacing w:val="-16"/>
          <w:w w:val="110"/>
        </w:rPr>
        <w:t> </w:t>
      </w:r>
      <w:r>
        <w:rPr>
          <w:color w:val="231F20"/>
          <w:w w:val="110"/>
        </w:rPr>
        <w:t>aspan</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Plan</w:t>
      </w:r>
      <w:r>
        <w:rPr>
          <w:color w:val="231F20"/>
          <w:spacing w:val="-16"/>
          <w:w w:val="110"/>
        </w:rPr>
        <w:t> </w:t>
      </w:r>
      <w:r>
        <w:rPr>
          <w:color w:val="231F20"/>
          <w:w w:val="110"/>
        </w:rPr>
        <w:t>México</w:t>
      </w:r>
      <w:r>
        <w:rPr>
          <w:color w:val="231F20"/>
          <w:spacing w:val="-16"/>
          <w:w w:val="110"/>
        </w:rPr>
        <w:t> </w:t>
      </w:r>
      <w:r>
        <w:rPr>
          <w:color w:val="231F20"/>
          <w:w w:val="110"/>
        </w:rPr>
        <w:t>son</w:t>
      </w:r>
      <w:r>
        <w:rPr>
          <w:color w:val="231F20"/>
          <w:spacing w:val="-16"/>
          <w:w w:val="110"/>
        </w:rPr>
        <w:t> </w:t>
      </w:r>
      <w:r>
        <w:rPr>
          <w:color w:val="231F20"/>
          <w:w w:val="110"/>
        </w:rPr>
        <w:t>desarrollos </w:t>
      </w:r>
      <w:r>
        <w:rPr>
          <w:color w:val="231F20"/>
          <w:w w:val="115"/>
        </w:rPr>
        <w:t>de</w:t>
      </w:r>
      <w:r>
        <w:rPr>
          <w:color w:val="231F20"/>
          <w:spacing w:val="-31"/>
          <w:w w:val="115"/>
        </w:rPr>
        <w:t> </w:t>
      </w:r>
      <w:r>
        <w:rPr>
          <w:color w:val="231F20"/>
          <w:w w:val="115"/>
        </w:rPr>
        <w:t>esta</w:t>
      </w:r>
      <w:r>
        <w:rPr>
          <w:color w:val="231F20"/>
          <w:spacing w:val="-31"/>
          <w:w w:val="115"/>
        </w:rPr>
        <w:t> </w:t>
      </w:r>
      <w:r>
        <w:rPr>
          <w:color w:val="231F20"/>
          <w:w w:val="115"/>
        </w:rPr>
        <w:t>institución.</w:t>
      </w:r>
    </w:p>
    <w:p>
      <w:pPr>
        <w:pStyle w:val="BodyText"/>
        <w:spacing w:line="261" w:lineRule="auto"/>
        <w:ind w:left="100" w:right="117" w:firstLine="240"/>
        <w:jc w:val="both"/>
      </w:pPr>
      <w:r>
        <w:rPr>
          <w:color w:val="231F20"/>
          <w:w w:val="110"/>
        </w:rPr>
        <w:t>Los ejercicios militares auspiciados por Estados Unidos son cada vez más frecuentes en toda la región. Entre sus objetivos destacan, en primer </w:t>
      </w:r>
      <w:r>
        <w:rPr>
          <w:color w:val="231F20"/>
          <w:spacing w:val="-3"/>
          <w:w w:val="110"/>
        </w:rPr>
        <w:t>lugar, </w:t>
      </w:r>
      <w:r>
        <w:rPr>
          <w:color w:val="231F20"/>
          <w:w w:val="110"/>
        </w:rPr>
        <w:t>promover una “cultura acorde” a los intereses esta- dunidenses y la conformación de una red “persona a persona” tal y como</w:t>
      </w:r>
      <w:r>
        <w:rPr>
          <w:color w:val="231F20"/>
          <w:spacing w:val="-18"/>
          <w:w w:val="110"/>
        </w:rPr>
        <w:t> </w:t>
      </w:r>
      <w:r>
        <w:rPr>
          <w:color w:val="231F20"/>
          <w:w w:val="110"/>
        </w:rPr>
        <w:t>definen</w:t>
      </w:r>
      <w:r>
        <w:rPr>
          <w:color w:val="231F20"/>
          <w:spacing w:val="-18"/>
          <w:w w:val="110"/>
        </w:rPr>
        <w:t> </w:t>
      </w:r>
      <w:r>
        <w:rPr>
          <w:color w:val="231F20"/>
          <w:w w:val="110"/>
        </w:rPr>
        <w:t>en</w:t>
      </w:r>
      <w:r>
        <w:rPr>
          <w:color w:val="231F20"/>
          <w:spacing w:val="-18"/>
          <w:w w:val="110"/>
        </w:rPr>
        <w:t> </w:t>
      </w:r>
      <w:r>
        <w:rPr>
          <w:color w:val="231F20"/>
          <w:w w:val="110"/>
        </w:rPr>
        <w:t>los</w:t>
      </w:r>
      <w:r>
        <w:rPr>
          <w:color w:val="231F20"/>
          <w:spacing w:val="-18"/>
          <w:w w:val="110"/>
        </w:rPr>
        <w:t> </w:t>
      </w:r>
      <w:r>
        <w:rPr>
          <w:color w:val="231F20"/>
          <w:w w:val="110"/>
        </w:rPr>
        <w:t>documentos</w:t>
      </w:r>
      <w:r>
        <w:rPr>
          <w:color w:val="231F20"/>
          <w:spacing w:val="-18"/>
          <w:w w:val="110"/>
        </w:rPr>
        <w:t> </w:t>
      </w:r>
      <w:r>
        <w:rPr>
          <w:color w:val="231F20"/>
          <w:w w:val="110"/>
        </w:rPr>
        <w:t>de</w:t>
      </w:r>
      <w:r>
        <w:rPr>
          <w:color w:val="231F20"/>
          <w:spacing w:val="-18"/>
          <w:w w:val="110"/>
        </w:rPr>
        <w:t> </w:t>
      </w:r>
      <w:r>
        <w:rPr>
          <w:color w:val="231F20"/>
          <w:w w:val="110"/>
        </w:rPr>
        <w:t>seguridad</w:t>
      </w:r>
      <w:r>
        <w:rPr>
          <w:color w:val="231F20"/>
          <w:spacing w:val="-18"/>
          <w:w w:val="110"/>
        </w:rPr>
        <w:t> </w:t>
      </w:r>
      <w:r>
        <w:rPr>
          <w:color w:val="231F20"/>
          <w:w w:val="110"/>
        </w:rPr>
        <w:t>y</w:t>
      </w:r>
      <w:r>
        <w:rPr>
          <w:color w:val="231F20"/>
          <w:spacing w:val="-18"/>
          <w:w w:val="110"/>
        </w:rPr>
        <w:t> </w:t>
      </w:r>
      <w:r>
        <w:rPr>
          <w:color w:val="231F20"/>
          <w:w w:val="110"/>
        </w:rPr>
        <w:t>defensa</w:t>
      </w:r>
      <w:r>
        <w:rPr>
          <w:color w:val="231F20"/>
          <w:spacing w:val="-18"/>
          <w:w w:val="110"/>
        </w:rPr>
        <w:t> </w:t>
      </w:r>
      <w:r>
        <w:rPr>
          <w:color w:val="231F20"/>
          <w:w w:val="110"/>
        </w:rPr>
        <w:t>(Winer</w:t>
      </w:r>
      <w:r>
        <w:rPr>
          <w:color w:val="231F20"/>
          <w:spacing w:val="-18"/>
          <w:w w:val="110"/>
        </w:rPr>
        <w:t> </w:t>
      </w:r>
      <w:r>
        <w:rPr>
          <w:i/>
          <w:color w:val="231F20"/>
          <w:w w:val="110"/>
        </w:rPr>
        <w:t>et</w:t>
      </w:r>
      <w:r>
        <w:rPr>
          <w:i/>
          <w:color w:val="231F20"/>
          <w:spacing w:val="-18"/>
          <w:w w:val="110"/>
        </w:rPr>
        <w:t> </w:t>
      </w:r>
      <w:r>
        <w:rPr>
          <w:i/>
          <w:color w:val="231F20"/>
          <w:w w:val="110"/>
        </w:rPr>
        <w:t>al.</w:t>
      </w:r>
      <w:r>
        <w:rPr>
          <w:color w:val="231F20"/>
          <w:w w:val="110"/>
        </w:rPr>
        <w:t>, 2006). De hecho, en el informe anual que envía el Comando Sur al Congreso del año 2004 se recomienda profundizar en los “contactos militar a militar” para hacer frente al peligro del llamado populismo radical</w:t>
      </w:r>
      <w:r>
        <w:rPr>
          <w:color w:val="231F20"/>
          <w:spacing w:val="-12"/>
          <w:w w:val="110"/>
        </w:rPr>
        <w:t> </w:t>
      </w:r>
      <w:r>
        <w:rPr>
          <w:color w:val="231F20"/>
          <w:w w:val="110"/>
        </w:rPr>
        <w:t>que,</w:t>
      </w:r>
      <w:r>
        <w:rPr>
          <w:color w:val="231F20"/>
          <w:spacing w:val="-12"/>
          <w:w w:val="110"/>
        </w:rPr>
        <w:t> </w:t>
      </w:r>
      <w:r>
        <w:rPr>
          <w:color w:val="231F20"/>
          <w:w w:val="110"/>
        </w:rPr>
        <w:t>dicen,</w:t>
      </w:r>
      <w:r>
        <w:rPr>
          <w:color w:val="231F20"/>
          <w:spacing w:val="-12"/>
          <w:w w:val="110"/>
        </w:rPr>
        <w:t> </w:t>
      </w:r>
      <w:r>
        <w:rPr>
          <w:color w:val="231F20"/>
          <w:w w:val="110"/>
        </w:rPr>
        <w:t>refuerza</w:t>
      </w:r>
      <w:r>
        <w:rPr>
          <w:color w:val="231F20"/>
          <w:spacing w:val="-12"/>
          <w:w w:val="110"/>
        </w:rPr>
        <w:t> </w:t>
      </w:r>
      <w:r>
        <w:rPr>
          <w:color w:val="231F20"/>
          <w:w w:val="110"/>
        </w:rPr>
        <w:t>las</w:t>
      </w:r>
      <w:r>
        <w:rPr>
          <w:color w:val="231F20"/>
          <w:spacing w:val="-12"/>
          <w:w w:val="110"/>
        </w:rPr>
        <w:t> </w:t>
      </w:r>
      <w:r>
        <w:rPr>
          <w:color w:val="231F20"/>
          <w:w w:val="110"/>
        </w:rPr>
        <w:t>posiciones</w:t>
      </w:r>
      <w:r>
        <w:rPr>
          <w:color w:val="231F20"/>
          <w:spacing w:val="-12"/>
          <w:w w:val="110"/>
        </w:rPr>
        <w:t> </w:t>
      </w:r>
      <w:r>
        <w:rPr>
          <w:color w:val="231F20"/>
          <w:w w:val="110"/>
        </w:rPr>
        <w:t>radicales</w:t>
      </w:r>
      <w:r>
        <w:rPr>
          <w:color w:val="231F20"/>
          <w:spacing w:val="-12"/>
          <w:w w:val="110"/>
        </w:rPr>
        <w:t> </w:t>
      </w:r>
      <w:r>
        <w:rPr>
          <w:color w:val="231F20"/>
          <w:w w:val="110"/>
        </w:rPr>
        <w:t>y</w:t>
      </w:r>
      <w:r>
        <w:rPr>
          <w:color w:val="231F20"/>
          <w:spacing w:val="-12"/>
          <w:w w:val="110"/>
        </w:rPr>
        <w:t> </w:t>
      </w:r>
      <w:r>
        <w:rPr>
          <w:color w:val="231F20"/>
          <w:w w:val="110"/>
        </w:rPr>
        <w:t>exalta</w:t>
      </w:r>
      <w:r>
        <w:rPr>
          <w:color w:val="231F20"/>
          <w:spacing w:val="-12"/>
          <w:w w:val="110"/>
        </w:rPr>
        <w:t> </w:t>
      </w:r>
      <w:r>
        <w:rPr>
          <w:color w:val="231F20"/>
          <w:w w:val="110"/>
        </w:rPr>
        <w:t>los</w:t>
      </w:r>
      <w:r>
        <w:rPr>
          <w:color w:val="231F20"/>
          <w:spacing w:val="-12"/>
          <w:w w:val="110"/>
        </w:rPr>
        <w:t> </w:t>
      </w:r>
      <w:r>
        <w:rPr>
          <w:color w:val="231F20"/>
          <w:w w:val="110"/>
        </w:rPr>
        <w:t>senti- mientos</w:t>
      </w:r>
      <w:r>
        <w:rPr>
          <w:color w:val="231F20"/>
          <w:spacing w:val="-9"/>
          <w:w w:val="110"/>
        </w:rPr>
        <w:t> </w:t>
      </w:r>
      <w:r>
        <w:rPr>
          <w:color w:val="231F20"/>
          <w:w w:val="110"/>
        </w:rPr>
        <w:t>antiestadunidenses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región</w:t>
      </w:r>
      <w:r>
        <w:rPr>
          <w:color w:val="231F20"/>
          <w:spacing w:val="-9"/>
          <w:w w:val="110"/>
        </w:rPr>
        <w:t> </w:t>
      </w:r>
      <w:r>
        <w:rPr>
          <w:color w:val="231F20"/>
          <w:w w:val="110"/>
        </w:rPr>
        <w:t>(Barry,</w:t>
      </w:r>
      <w:r>
        <w:rPr>
          <w:color w:val="231F20"/>
          <w:spacing w:val="-9"/>
          <w:w w:val="110"/>
        </w:rPr>
        <w:t> </w:t>
      </w:r>
      <w:r>
        <w:rPr>
          <w:color w:val="231F20"/>
          <w:w w:val="110"/>
        </w:rPr>
        <w:t>2004).</w:t>
      </w:r>
      <w:r>
        <w:rPr>
          <w:color w:val="231F20"/>
          <w:spacing w:val="-9"/>
          <w:w w:val="110"/>
        </w:rPr>
        <w:t> </w:t>
      </w:r>
      <w:r>
        <w:rPr>
          <w:color w:val="231F20"/>
          <w:w w:val="110"/>
        </w:rPr>
        <w:t>En</w:t>
      </w:r>
      <w:r>
        <w:rPr>
          <w:color w:val="231F20"/>
          <w:spacing w:val="-9"/>
          <w:w w:val="110"/>
        </w:rPr>
        <w:t> </w:t>
      </w:r>
      <w:r>
        <w:rPr>
          <w:color w:val="231F20"/>
          <w:w w:val="110"/>
        </w:rPr>
        <w:t>otro</w:t>
      </w:r>
      <w:r>
        <w:rPr>
          <w:color w:val="231F20"/>
          <w:spacing w:val="-9"/>
          <w:w w:val="110"/>
        </w:rPr>
        <w:t> </w:t>
      </w:r>
      <w:r>
        <w:rPr>
          <w:color w:val="231F20"/>
          <w:w w:val="110"/>
        </w:rPr>
        <w:t>de</w:t>
      </w:r>
      <w:r>
        <w:rPr>
          <w:color w:val="231F20"/>
          <w:spacing w:val="-9"/>
          <w:w w:val="110"/>
        </w:rPr>
        <w:t> </w:t>
      </w:r>
      <w:r>
        <w:rPr>
          <w:color w:val="231F20"/>
          <w:w w:val="110"/>
        </w:rPr>
        <w:t>los objetivos</w:t>
      </w:r>
      <w:r>
        <w:rPr>
          <w:color w:val="231F20"/>
          <w:spacing w:val="-12"/>
          <w:w w:val="110"/>
        </w:rPr>
        <w:t> </w:t>
      </w:r>
      <w:r>
        <w:rPr>
          <w:color w:val="231F20"/>
          <w:w w:val="110"/>
        </w:rPr>
        <w:t>se</w:t>
      </w:r>
      <w:r>
        <w:rPr>
          <w:color w:val="231F20"/>
          <w:spacing w:val="-12"/>
          <w:w w:val="110"/>
        </w:rPr>
        <w:t> </w:t>
      </w:r>
      <w:r>
        <w:rPr>
          <w:color w:val="231F20"/>
          <w:w w:val="110"/>
        </w:rPr>
        <w:t>precisa</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adiestramiento</w:t>
      </w:r>
      <w:r>
        <w:rPr>
          <w:color w:val="231F20"/>
          <w:spacing w:val="-12"/>
          <w:w w:val="110"/>
        </w:rPr>
        <w:t> </w:t>
      </w:r>
      <w:r>
        <w:rPr>
          <w:color w:val="231F20"/>
          <w:w w:val="110"/>
        </w:rPr>
        <w:t>está</w:t>
      </w:r>
      <w:r>
        <w:rPr>
          <w:color w:val="231F20"/>
          <w:spacing w:val="-12"/>
          <w:w w:val="110"/>
        </w:rPr>
        <w:t> </w:t>
      </w:r>
      <w:r>
        <w:rPr>
          <w:color w:val="231F20"/>
          <w:w w:val="110"/>
        </w:rPr>
        <w:t>orientado</w:t>
      </w:r>
      <w:r>
        <w:rPr>
          <w:color w:val="231F20"/>
          <w:spacing w:val="-12"/>
          <w:w w:val="110"/>
        </w:rPr>
        <w:t> </w:t>
      </w:r>
      <w:r>
        <w:rPr>
          <w:color w:val="231F20"/>
          <w:w w:val="110"/>
        </w:rPr>
        <w:t>a</w:t>
      </w:r>
      <w:r>
        <w:rPr>
          <w:color w:val="231F20"/>
          <w:spacing w:val="-12"/>
          <w:w w:val="110"/>
        </w:rPr>
        <w:t> </w:t>
      </w:r>
      <w:r>
        <w:rPr>
          <w:color w:val="231F20"/>
          <w:w w:val="110"/>
        </w:rPr>
        <w:t>“un</w:t>
      </w:r>
      <w:r>
        <w:rPr>
          <w:color w:val="231F20"/>
          <w:spacing w:val="-12"/>
          <w:w w:val="110"/>
        </w:rPr>
        <w:t> </w:t>
      </w:r>
      <w:r>
        <w:rPr>
          <w:color w:val="231F20"/>
          <w:w w:val="110"/>
        </w:rPr>
        <w:t>campo de</w:t>
      </w:r>
      <w:r>
        <w:rPr>
          <w:color w:val="231F20"/>
          <w:spacing w:val="-12"/>
          <w:w w:val="110"/>
        </w:rPr>
        <w:t> </w:t>
      </w:r>
      <w:r>
        <w:rPr>
          <w:color w:val="231F20"/>
          <w:w w:val="110"/>
        </w:rPr>
        <w:t>batalla</w:t>
      </w:r>
      <w:r>
        <w:rPr>
          <w:color w:val="231F20"/>
          <w:spacing w:val="-12"/>
          <w:w w:val="110"/>
        </w:rPr>
        <w:t> </w:t>
      </w:r>
      <w:r>
        <w:rPr>
          <w:color w:val="231F20"/>
          <w:w w:val="110"/>
        </w:rPr>
        <w:t>compuesto</w:t>
      </w:r>
      <w:r>
        <w:rPr>
          <w:color w:val="231F20"/>
          <w:spacing w:val="-12"/>
          <w:w w:val="110"/>
        </w:rPr>
        <w:t> </w:t>
      </w:r>
      <w:r>
        <w:rPr>
          <w:color w:val="231F20"/>
          <w:w w:val="110"/>
        </w:rPr>
        <w:t>por</w:t>
      </w:r>
      <w:r>
        <w:rPr>
          <w:color w:val="231F20"/>
          <w:spacing w:val="-12"/>
          <w:w w:val="110"/>
        </w:rPr>
        <w:t> </w:t>
      </w:r>
      <w:r>
        <w:rPr>
          <w:color w:val="231F20"/>
          <w:w w:val="110"/>
        </w:rPr>
        <w:t>civiles,</w:t>
      </w:r>
      <w:r>
        <w:rPr>
          <w:color w:val="231F20"/>
          <w:spacing w:val="-12"/>
          <w:w w:val="110"/>
        </w:rPr>
        <w:t> </w:t>
      </w:r>
      <w:r>
        <w:rPr>
          <w:color w:val="231F20"/>
          <w:w w:val="110"/>
        </w:rPr>
        <w:t>organizaciones</w:t>
      </w:r>
      <w:r>
        <w:rPr>
          <w:color w:val="231F20"/>
          <w:spacing w:val="-12"/>
          <w:w w:val="110"/>
        </w:rPr>
        <w:t> </w:t>
      </w:r>
      <w:r>
        <w:rPr>
          <w:color w:val="231F20"/>
          <w:w w:val="110"/>
        </w:rPr>
        <w:t>no</w:t>
      </w:r>
      <w:r>
        <w:rPr>
          <w:color w:val="231F20"/>
          <w:spacing w:val="-12"/>
          <w:w w:val="110"/>
        </w:rPr>
        <w:t> </w:t>
      </w:r>
      <w:r>
        <w:rPr>
          <w:color w:val="231F20"/>
          <w:w w:val="110"/>
        </w:rPr>
        <w:t>gubernamentales y</w:t>
      </w:r>
      <w:r>
        <w:rPr>
          <w:color w:val="231F20"/>
          <w:spacing w:val="-15"/>
          <w:w w:val="110"/>
        </w:rPr>
        <w:t> </w:t>
      </w:r>
      <w:r>
        <w:rPr>
          <w:color w:val="231F20"/>
          <w:w w:val="110"/>
        </w:rPr>
        <w:t>agresores</w:t>
      </w:r>
      <w:r>
        <w:rPr>
          <w:color w:val="231F20"/>
          <w:spacing w:val="-15"/>
          <w:w w:val="110"/>
        </w:rPr>
        <w:t> </w:t>
      </w:r>
      <w:r>
        <w:rPr>
          <w:color w:val="231F20"/>
          <w:w w:val="110"/>
        </w:rPr>
        <w:t>potenciales”</w:t>
      </w:r>
      <w:r>
        <w:rPr>
          <w:color w:val="231F20"/>
          <w:spacing w:val="-15"/>
          <w:w w:val="110"/>
        </w:rPr>
        <w:t> </w:t>
      </w:r>
      <w:r>
        <w:rPr>
          <w:color w:val="231F20"/>
          <w:w w:val="110"/>
        </w:rPr>
        <w:t>(Cemida,</w:t>
      </w:r>
      <w:r>
        <w:rPr>
          <w:color w:val="231F20"/>
          <w:spacing w:val="-15"/>
          <w:w w:val="110"/>
        </w:rPr>
        <w:t> </w:t>
      </w:r>
      <w:r>
        <w:rPr>
          <w:color w:val="231F20"/>
          <w:w w:val="110"/>
        </w:rPr>
        <w:t>2001).</w:t>
      </w:r>
      <w:r>
        <w:rPr>
          <w:color w:val="231F20"/>
          <w:w w:val="110"/>
          <w:position w:val="6"/>
          <w:sz w:val="13"/>
        </w:rPr>
        <w:t>6</w:t>
      </w:r>
      <w:r>
        <w:rPr>
          <w:color w:val="231F20"/>
          <w:spacing w:val="4"/>
          <w:w w:val="110"/>
          <w:position w:val="6"/>
          <w:sz w:val="13"/>
        </w:rPr>
        <w:t> </w:t>
      </w:r>
      <w:r>
        <w:rPr>
          <w:color w:val="231F20"/>
          <w:w w:val="110"/>
        </w:rPr>
        <w:t>No</w:t>
      </w:r>
      <w:r>
        <w:rPr>
          <w:color w:val="231F20"/>
          <w:spacing w:val="-15"/>
          <w:w w:val="110"/>
        </w:rPr>
        <w:t> </w:t>
      </w:r>
      <w:r>
        <w:rPr>
          <w:color w:val="231F20"/>
          <w:w w:val="110"/>
        </w:rPr>
        <w:t>deberíamos</w:t>
      </w:r>
      <w:r>
        <w:rPr>
          <w:color w:val="231F20"/>
          <w:spacing w:val="-15"/>
          <w:w w:val="110"/>
        </w:rPr>
        <w:t> </w:t>
      </w:r>
      <w:r>
        <w:rPr>
          <w:color w:val="231F20"/>
          <w:w w:val="110"/>
        </w:rPr>
        <w:t>subestimar dicha intencionalidad cuando se calcula que sólo entre 1999 y 2003 “la</w:t>
      </w:r>
      <w:r>
        <w:rPr>
          <w:color w:val="231F20"/>
          <w:spacing w:val="-8"/>
          <w:w w:val="110"/>
        </w:rPr>
        <w:t> </w:t>
      </w:r>
      <w:r>
        <w:rPr>
          <w:color w:val="231F20"/>
          <w:w w:val="110"/>
        </w:rPr>
        <w:t>milicia</w:t>
      </w:r>
      <w:r>
        <w:rPr>
          <w:color w:val="231F20"/>
          <w:spacing w:val="-8"/>
          <w:w w:val="110"/>
        </w:rPr>
        <w:t> </w:t>
      </w:r>
      <w:r>
        <w:rPr>
          <w:color w:val="231F20"/>
          <w:w w:val="110"/>
        </w:rPr>
        <w:t>estadunidense</w:t>
      </w:r>
      <w:r>
        <w:rPr>
          <w:color w:val="231F20"/>
          <w:spacing w:val="-8"/>
          <w:w w:val="110"/>
        </w:rPr>
        <w:t> </w:t>
      </w:r>
      <w:r>
        <w:rPr>
          <w:color w:val="231F20"/>
          <w:w w:val="110"/>
        </w:rPr>
        <w:t>entrenó</w:t>
      </w:r>
      <w:r>
        <w:rPr>
          <w:color w:val="231F20"/>
          <w:spacing w:val="-8"/>
          <w:w w:val="110"/>
        </w:rPr>
        <w:t> </w:t>
      </w:r>
      <w:r>
        <w:rPr>
          <w:color w:val="231F20"/>
          <w:w w:val="110"/>
        </w:rPr>
        <w:t>72</w:t>
      </w:r>
      <w:r>
        <w:rPr>
          <w:color w:val="231F20"/>
          <w:spacing w:val="-8"/>
          <w:w w:val="110"/>
        </w:rPr>
        <w:t> </w:t>
      </w:r>
      <w:r>
        <w:rPr>
          <w:color w:val="231F20"/>
          <w:w w:val="110"/>
        </w:rPr>
        <w:t>495</w:t>
      </w:r>
      <w:r>
        <w:rPr>
          <w:color w:val="231F20"/>
          <w:spacing w:val="-8"/>
          <w:w w:val="110"/>
        </w:rPr>
        <w:t> </w:t>
      </w:r>
      <w:r>
        <w:rPr>
          <w:color w:val="231F20"/>
          <w:w w:val="110"/>
        </w:rPr>
        <w:t>miembros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fuerzas</w:t>
      </w:r>
      <w:r>
        <w:rPr>
          <w:color w:val="231F20"/>
          <w:spacing w:val="-8"/>
          <w:w w:val="110"/>
        </w:rPr>
        <w:t> </w:t>
      </w:r>
      <w:r>
        <w:rPr>
          <w:color w:val="231F20"/>
          <w:w w:val="110"/>
        </w:rPr>
        <w:t>ar-</w:t>
      </w:r>
    </w:p>
    <w:p>
      <w:pPr>
        <w:pStyle w:val="BodyText"/>
      </w:pPr>
    </w:p>
    <w:p>
      <w:pPr>
        <w:pStyle w:val="BodyText"/>
        <w:spacing w:before="6"/>
        <w:rPr>
          <w:sz w:val="17"/>
        </w:rPr>
      </w:pPr>
    </w:p>
    <w:p>
      <w:pPr>
        <w:spacing w:line="261" w:lineRule="auto" w:before="0"/>
        <w:ind w:left="100" w:right="118" w:firstLine="240"/>
        <w:jc w:val="both"/>
        <w:rPr>
          <w:sz w:val="16"/>
        </w:rPr>
      </w:pPr>
      <w:r>
        <w:rPr>
          <w:color w:val="231F20"/>
          <w:w w:val="110"/>
          <w:position w:val="5"/>
          <w:sz w:val="10"/>
        </w:rPr>
        <w:t>6 </w:t>
      </w:r>
      <w:r>
        <w:rPr>
          <w:color w:val="231F20"/>
          <w:w w:val="110"/>
          <w:sz w:val="16"/>
        </w:rPr>
        <w:t>Para un recuento pormenorizado de los distintos tipo de ejercicios y programas de adiestramiento que opera en la región véase Rodríguez Rejas, 2010: 283-289.</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madas latinoamericanas y del Caribe. El número de entrenados</w:t>
      </w:r>
      <w:r>
        <w:rPr>
          <w:color w:val="231F20"/>
          <w:spacing w:val="-17"/>
          <w:w w:val="110"/>
        </w:rPr>
        <w:t> </w:t>
      </w:r>
      <w:r>
        <w:rPr>
          <w:color w:val="231F20"/>
          <w:w w:val="110"/>
        </w:rPr>
        <w:t>saltó de</w:t>
      </w:r>
      <w:r>
        <w:rPr>
          <w:color w:val="231F20"/>
          <w:spacing w:val="-7"/>
          <w:w w:val="110"/>
        </w:rPr>
        <w:t> </w:t>
      </w:r>
      <w:r>
        <w:rPr>
          <w:color w:val="231F20"/>
          <w:w w:val="110"/>
        </w:rPr>
        <w:t>13</w:t>
      </w:r>
      <w:r>
        <w:rPr>
          <w:color w:val="231F20"/>
          <w:spacing w:val="-7"/>
          <w:w w:val="110"/>
        </w:rPr>
        <w:t> </w:t>
      </w:r>
      <w:r>
        <w:rPr>
          <w:color w:val="231F20"/>
          <w:w w:val="110"/>
        </w:rPr>
        <w:t>785</w:t>
      </w:r>
      <w:r>
        <w:rPr>
          <w:color w:val="231F20"/>
          <w:spacing w:val="-7"/>
          <w:w w:val="110"/>
        </w:rPr>
        <w:t> </w:t>
      </w:r>
      <w:r>
        <w:rPr>
          <w:color w:val="231F20"/>
          <w:w w:val="110"/>
        </w:rPr>
        <w:t>en</w:t>
      </w:r>
      <w:r>
        <w:rPr>
          <w:color w:val="231F20"/>
          <w:spacing w:val="-7"/>
          <w:w w:val="110"/>
        </w:rPr>
        <w:t> </w:t>
      </w:r>
      <w:r>
        <w:rPr>
          <w:color w:val="231F20"/>
          <w:w w:val="110"/>
        </w:rPr>
        <w:t>1999</w:t>
      </w:r>
      <w:r>
        <w:rPr>
          <w:color w:val="231F20"/>
          <w:spacing w:val="-7"/>
          <w:w w:val="110"/>
        </w:rPr>
        <w:t> </w:t>
      </w:r>
      <w:r>
        <w:rPr>
          <w:color w:val="231F20"/>
          <w:w w:val="110"/>
        </w:rPr>
        <w:t>a</w:t>
      </w:r>
      <w:r>
        <w:rPr>
          <w:color w:val="231F20"/>
          <w:spacing w:val="-7"/>
          <w:w w:val="110"/>
        </w:rPr>
        <w:t> </w:t>
      </w:r>
      <w:r>
        <w:rPr>
          <w:color w:val="231F20"/>
          <w:w w:val="110"/>
        </w:rPr>
        <w:t>22</w:t>
      </w:r>
      <w:r>
        <w:rPr>
          <w:color w:val="231F20"/>
          <w:spacing w:val="-7"/>
          <w:w w:val="110"/>
        </w:rPr>
        <w:t> </w:t>
      </w:r>
      <w:r>
        <w:rPr>
          <w:color w:val="231F20"/>
          <w:w w:val="110"/>
        </w:rPr>
        <w:t>831</w:t>
      </w:r>
      <w:r>
        <w:rPr>
          <w:color w:val="231F20"/>
          <w:spacing w:val="-7"/>
          <w:w w:val="110"/>
        </w:rPr>
        <w:t> </w:t>
      </w:r>
      <w:r>
        <w:rPr>
          <w:color w:val="231F20"/>
          <w:w w:val="110"/>
        </w:rPr>
        <w:t>en</w:t>
      </w:r>
      <w:r>
        <w:rPr>
          <w:color w:val="231F20"/>
          <w:spacing w:val="-7"/>
          <w:w w:val="110"/>
        </w:rPr>
        <w:t> </w:t>
      </w:r>
      <w:r>
        <w:rPr>
          <w:color w:val="231F20"/>
          <w:w w:val="110"/>
        </w:rPr>
        <w:t>2003”</w:t>
      </w:r>
      <w:r>
        <w:rPr>
          <w:color w:val="231F20"/>
          <w:spacing w:val="-7"/>
          <w:w w:val="110"/>
        </w:rPr>
        <w:t> </w:t>
      </w:r>
      <w:r>
        <w:rPr>
          <w:color w:val="231F20"/>
          <w:w w:val="110"/>
        </w:rPr>
        <w:t>(Barry,</w:t>
      </w:r>
      <w:r>
        <w:rPr>
          <w:color w:val="231F20"/>
          <w:spacing w:val="-7"/>
          <w:w w:val="110"/>
        </w:rPr>
        <w:t> </w:t>
      </w:r>
      <w:r>
        <w:rPr>
          <w:color w:val="231F20"/>
          <w:w w:val="110"/>
        </w:rPr>
        <w:t>2004).</w:t>
      </w:r>
      <w:r>
        <w:rPr>
          <w:color w:val="231F20"/>
          <w:spacing w:val="-7"/>
          <w:w w:val="110"/>
        </w:rPr>
        <w:t> </w:t>
      </w:r>
      <w:r>
        <w:rPr>
          <w:color w:val="231F20"/>
          <w:w w:val="110"/>
        </w:rPr>
        <w:t>Si</w:t>
      </w:r>
      <w:r>
        <w:rPr>
          <w:color w:val="231F20"/>
          <w:spacing w:val="-7"/>
          <w:w w:val="110"/>
        </w:rPr>
        <w:t> </w:t>
      </w:r>
      <w:r>
        <w:rPr>
          <w:color w:val="231F20"/>
          <w:w w:val="110"/>
        </w:rPr>
        <w:t>extrapolamos el dato hasta ahora, la cifra es más que </w:t>
      </w:r>
      <w:r>
        <w:rPr>
          <w:color w:val="231F20"/>
          <w:spacing w:val="46"/>
          <w:w w:val="110"/>
        </w:rPr>
        <w:t> </w:t>
      </w:r>
      <w:r>
        <w:rPr>
          <w:color w:val="231F20"/>
          <w:w w:val="110"/>
        </w:rPr>
        <w:t>preocupante.</w:t>
      </w:r>
    </w:p>
    <w:p>
      <w:pPr>
        <w:pStyle w:val="BodyText"/>
        <w:spacing w:line="261" w:lineRule="auto"/>
        <w:ind w:left="100" w:right="112" w:firstLine="240"/>
        <w:jc w:val="both"/>
      </w:pPr>
      <w:r>
        <w:rPr>
          <w:color w:val="231F20"/>
          <w:w w:val="110"/>
        </w:rPr>
        <w:t>Aunque la aspiración de conformar una fuerza multilateral he- misférica —un “ejército americano” según los documentos del go- bierno estadunidense— no parece cercana, es un hecho que se han reforzado medidas para promover la formación y adiestramiento de cuadros militares proclives a los intereses de Estados Unidos. Como ya</w:t>
      </w:r>
      <w:r>
        <w:rPr>
          <w:color w:val="231F20"/>
          <w:spacing w:val="-6"/>
          <w:w w:val="110"/>
        </w:rPr>
        <w:t> </w:t>
      </w:r>
      <w:r>
        <w:rPr>
          <w:color w:val="231F20"/>
          <w:w w:val="110"/>
        </w:rPr>
        <w:t>señalábamos,</w:t>
      </w:r>
      <w:r>
        <w:rPr>
          <w:color w:val="231F20"/>
          <w:spacing w:val="-6"/>
          <w:w w:val="110"/>
        </w:rPr>
        <w:t> </w:t>
      </w:r>
      <w:r>
        <w:rPr>
          <w:color w:val="231F20"/>
          <w:w w:val="110"/>
        </w:rPr>
        <w:t>la</w:t>
      </w:r>
      <w:r>
        <w:rPr>
          <w:color w:val="231F20"/>
          <w:spacing w:val="-6"/>
          <w:w w:val="110"/>
        </w:rPr>
        <w:t> </w:t>
      </w:r>
      <w:r>
        <w:rPr>
          <w:color w:val="231F20"/>
          <w:w w:val="110"/>
        </w:rPr>
        <w:t>intervención</w:t>
      </w:r>
      <w:r>
        <w:rPr>
          <w:color w:val="231F20"/>
          <w:spacing w:val="-6"/>
          <w:w w:val="110"/>
        </w:rPr>
        <w:t> </w:t>
      </w:r>
      <w:r>
        <w:rPr>
          <w:color w:val="231F20"/>
          <w:w w:val="110"/>
        </w:rPr>
        <w:t>en</w:t>
      </w:r>
      <w:r>
        <w:rPr>
          <w:color w:val="231F20"/>
          <w:spacing w:val="-6"/>
          <w:w w:val="110"/>
        </w:rPr>
        <w:t> </w:t>
      </w:r>
      <w:r>
        <w:rPr>
          <w:color w:val="231F20"/>
          <w:w w:val="110"/>
        </w:rPr>
        <w:t>Haití</w:t>
      </w:r>
      <w:r>
        <w:rPr>
          <w:color w:val="231F20"/>
          <w:spacing w:val="-6"/>
          <w:w w:val="110"/>
        </w:rPr>
        <w:t> </w:t>
      </w:r>
      <w:r>
        <w:rPr>
          <w:color w:val="231F20"/>
          <w:w w:val="110"/>
        </w:rPr>
        <w:t>(2004)</w:t>
      </w:r>
      <w:r>
        <w:rPr>
          <w:color w:val="231F20"/>
          <w:spacing w:val="-6"/>
          <w:w w:val="110"/>
        </w:rPr>
        <w:t> </w:t>
      </w:r>
      <w:r>
        <w:rPr>
          <w:color w:val="231F20"/>
          <w:w w:val="110"/>
        </w:rPr>
        <w:t>fue</w:t>
      </w:r>
      <w:r>
        <w:rPr>
          <w:color w:val="231F20"/>
          <w:spacing w:val="-6"/>
          <w:w w:val="110"/>
        </w:rPr>
        <w:t> </w:t>
      </w:r>
      <w:r>
        <w:rPr>
          <w:color w:val="231F20"/>
          <w:w w:val="110"/>
        </w:rPr>
        <w:t>una</w:t>
      </w:r>
      <w:r>
        <w:rPr>
          <w:color w:val="231F20"/>
          <w:spacing w:val="-6"/>
          <w:w w:val="110"/>
        </w:rPr>
        <w:t> </w:t>
      </w:r>
      <w:r>
        <w:rPr>
          <w:color w:val="231F20"/>
          <w:w w:val="110"/>
        </w:rPr>
        <w:t>primera</w:t>
      </w:r>
      <w:r>
        <w:rPr>
          <w:color w:val="231F20"/>
          <w:spacing w:val="-6"/>
          <w:w w:val="110"/>
        </w:rPr>
        <w:t> </w:t>
      </w:r>
      <w:r>
        <w:rPr>
          <w:color w:val="231F20"/>
          <w:w w:val="110"/>
        </w:rPr>
        <w:t>ma- nifestación de ello pero en el mismo contexto se inscriben acuerdos institucionales</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Plan</w:t>
      </w:r>
      <w:r>
        <w:rPr>
          <w:color w:val="231F20"/>
          <w:spacing w:val="-6"/>
          <w:w w:val="110"/>
        </w:rPr>
        <w:t> </w:t>
      </w:r>
      <w:r>
        <w:rPr>
          <w:color w:val="231F20"/>
          <w:w w:val="110"/>
        </w:rPr>
        <w:t>Colombia,</w:t>
      </w:r>
      <w:r>
        <w:rPr>
          <w:color w:val="231F20"/>
          <w:spacing w:val="-6"/>
          <w:w w:val="110"/>
        </w:rPr>
        <w:t> </w:t>
      </w:r>
      <w:r>
        <w:rPr>
          <w:color w:val="231F20"/>
          <w:w w:val="110"/>
        </w:rPr>
        <w:t>el</w:t>
      </w:r>
      <w:r>
        <w:rPr>
          <w:color w:val="231F20"/>
          <w:spacing w:val="-6"/>
          <w:w w:val="110"/>
        </w:rPr>
        <w:t> </w:t>
      </w:r>
      <w:r>
        <w:rPr>
          <w:color w:val="231F20"/>
          <w:w w:val="110"/>
        </w:rPr>
        <w:t>aspan,</w:t>
      </w:r>
      <w:r>
        <w:rPr>
          <w:color w:val="231F20"/>
          <w:spacing w:val="-6"/>
          <w:w w:val="110"/>
        </w:rPr>
        <w:t> </w:t>
      </w:r>
      <w:r>
        <w:rPr>
          <w:color w:val="231F20"/>
          <w:w w:val="110"/>
        </w:rPr>
        <w:t>el</w:t>
      </w:r>
      <w:r>
        <w:rPr>
          <w:color w:val="231F20"/>
          <w:spacing w:val="-6"/>
          <w:w w:val="110"/>
        </w:rPr>
        <w:t> </w:t>
      </w:r>
      <w:r>
        <w:rPr>
          <w:color w:val="231F20"/>
          <w:w w:val="110"/>
        </w:rPr>
        <w:t>Proyecto</w:t>
      </w:r>
      <w:r>
        <w:rPr>
          <w:color w:val="231F20"/>
          <w:spacing w:val="-6"/>
          <w:w w:val="110"/>
        </w:rPr>
        <w:t> </w:t>
      </w:r>
      <w:r>
        <w:rPr>
          <w:color w:val="231F20"/>
          <w:w w:val="110"/>
        </w:rPr>
        <w:t>Mesoa- mericano que incorpora programas específicos en Centroamérica,   la Iniciativa Regional Andina, los acuerdos vinculados a la lucha contra</w:t>
      </w:r>
      <w:r>
        <w:rPr>
          <w:color w:val="231F20"/>
          <w:spacing w:val="-6"/>
          <w:w w:val="110"/>
        </w:rPr>
        <w:t> </w:t>
      </w:r>
      <w:r>
        <w:rPr>
          <w:color w:val="231F20"/>
          <w:w w:val="110"/>
        </w:rPr>
        <w:t>el</w:t>
      </w:r>
      <w:r>
        <w:rPr>
          <w:color w:val="231F20"/>
          <w:spacing w:val="-6"/>
          <w:w w:val="110"/>
        </w:rPr>
        <w:t> </w:t>
      </w:r>
      <w:r>
        <w:rPr>
          <w:color w:val="231F20"/>
          <w:w w:val="110"/>
        </w:rPr>
        <w:t>narcotráfico</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reciente</w:t>
      </w:r>
      <w:r>
        <w:rPr>
          <w:color w:val="231F20"/>
          <w:spacing w:val="-6"/>
          <w:w w:val="110"/>
        </w:rPr>
        <w:t> </w:t>
      </w:r>
      <w:r>
        <w:rPr>
          <w:color w:val="231F20"/>
          <w:w w:val="110"/>
        </w:rPr>
        <w:t>Plan</w:t>
      </w:r>
      <w:r>
        <w:rPr>
          <w:color w:val="231F20"/>
          <w:spacing w:val="-6"/>
          <w:w w:val="110"/>
        </w:rPr>
        <w:t> </w:t>
      </w:r>
      <w:r>
        <w:rPr>
          <w:color w:val="231F20"/>
          <w:w w:val="110"/>
        </w:rPr>
        <w:t>México.</w:t>
      </w:r>
      <w:r>
        <w:rPr>
          <w:color w:val="231F20"/>
          <w:spacing w:val="-6"/>
          <w:w w:val="110"/>
        </w:rPr>
        <w:t> </w:t>
      </w:r>
      <w:r>
        <w:rPr>
          <w:color w:val="231F20"/>
          <w:w w:val="110"/>
        </w:rPr>
        <w:t>Éstos</w:t>
      </w:r>
      <w:r>
        <w:rPr>
          <w:color w:val="231F20"/>
          <w:spacing w:val="-6"/>
          <w:w w:val="110"/>
        </w:rPr>
        <w:t> </w:t>
      </w:r>
      <w:r>
        <w:rPr>
          <w:color w:val="231F20"/>
          <w:w w:val="110"/>
        </w:rPr>
        <w:t>vendrían</w:t>
      </w:r>
      <w:r>
        <w:rPr>
          <w:color w:val="231F20"/>
          <w:spacing w:val="-6"/>
          <w:w w:val="110"/>
        </w:rPr>
        <w:t> </w:t>
      </w:r>
      <w:r>
        <w:rPr>
          <w:color w:val="231F20"/>
          <w:w w:val="110"/>
        </w:rPr>
        <w:t>a</w:t>
      </w:r>
      <w:r>
        <w:rPr>
          <w:color w:val="231F20"/>
          <w:spacing w:val="-6"/>
          <w:w w:val="110"/>
        </w:rPr>
        <w:t> </w:t>
      </w:r>
      <w:r>
        <w:rPr>
          <w:color w:val="231F20"/>
          <w:w w:val="110"/>
        </w:rPr>
        <w:t>ser el equivalente a la estrategia intermedia de los acuerdos bilaterales comerciales.</w:t>
      </w:r>
    </w:p>
    <w:p>
      <w:pPr>
        <w:pStyle w:val="BodyText"/>
        <w:spacing w:line="261" w:lineRule="auto"/>
        <w:ind w:left="100" w:right="117" w:firstLine="240"/>
        <w:jc w:val="both"/>
      </w:pPr>
      <w:r>
        <w:rPr>
          <w:color w:val="231F20"/>
          <w:w w:val="105"/>
        </w:rPr>
        <w:t>Por último, queremos señalar que la lucha antidrogas para Amé-  rica Latina es parte de la concepción de seguridad hemisférica ca- racterizada por el injerencismo y que aspira al control del territorio. Desde aquí se justifica y legaliza la presencia militar en las respectivas naciones al tiempo que se busca legitimar sus acciones mientras la población naturaliza la militarización de sus espacios. Curiosamente, los dos países más comprometidos con esta estrategia son aquellos   que muestran los mayores fracasos. Colombia sigue siendo el prin- cipal productor, hasta nuestros días, de la cocaína del continente y      en el caso mexicano, de 60 000 personas detenidas entre 2000-2006 por delitos relacionados con el narcotráfico, sólo 15 eran líderes de cárteles, 50 pertenecían a la estructura financiera y 71 eran sicarios;</w:t>
      </w:r>
      <w:r>
        <w:rPr>
          <w:color w:val="231F20"/>
          <w:w w:val="105"/>
          <w:position w:val="6"/>
          <w:sz w:val="13"/>
        </w:rPr>
        <w:t>7  </w:t>
      </w:r>
      <w:r>
        <w:rPr>
          <w:color w:val="231F20"/>
          <w:spacing w:val="34"/>
          <w:w w:val="105"/>
          <w:position w:val="6"/>
          <w:sz w:val="13"/>
        </w:rPr>
        <w:t> </w:t>
      </w:r>
      <w:r>
        <w:rPr>
          <w:color w:val="231F20"/>
          <w:w w:val="105"/>
        </w:rPr>
        <w:t>el resto son personas  vinculadas  al  narcomenudeo.  Las  estrategias de desestabilización que aspiran a una posterior estabilización, como   lo que sucede en la  llamada  guerra  contra  el  narcotráfico,  hunden sus raíces en los años sesenta al interior del propio Estados Unidos cuando se recurrió a la distribución de drogas en  lo  barrios negros  por parte del Estado como forma de quebrar al movimiento por los derechos civiles. En este sentido, Levitsky, quien fuera zar antidrogas, dijo  ante  el  Congreso  estadunidense  en  relación  con  la  lucha</w:t>
      </w:r>
      <w:r>
        <w:rPr>
          <w:color w:val="231F20"/>
          <w:spacing w:val="20"/>
          <w:w w:val="105"/>
        </w:rPr>
        <w:t> </w:t>
      </w:r>
      <w:r>
        <w:rPr>
          <w:color w:val="231F20"/>
          <w:w w:val="105"/>
        </w:rPr>
        <w:t>anti-</w:t>
      </w:r>
    </w:p>
    <w:p>
      <w:pPr>
        <w:pStyle w:val="BodyText"/>
      </w:pPr>
    </w:p>
    <w:p>
      <w:pPr>
        <w:pStyle w:val="BodyText"/>
        <w:spacing w:before="6"/>
        <w:rPr>
          <w:sz w:val="17"/>
        </w:rPr>
      </w:pPr>
    </w:p>
    <w:p>
      <w:pPr>
        <w:spacing w:line="261" w:lineRule="auto" w:before="0"/>
        <w:ind w:left="100" w:right="119" w:firstLine="240"/>
        <w:jc w:val="both"/>
        <w:rPr>
          <w:sz w:val="16"/>
        </w:rPr>
      </w:pPr>
      <w:r>
        <w:rPr>
          <w:color w:val="231F20"/>
          <w:w w:val="110"/>
          <w:position w:val="5"/>
          <w:sz w:val="10"/>
        </w:rPr>
        <w:t>7 </w:t>
      </w:r>
      <w:r>
        <w:rPr>
          <w:color w:val="231F20"/>
          <w:w w:val="110"/>
          <w:sz w:val="16"/>
        </w:rPr>
        <w:t>Un dato tan contundente como éste es proporcionado por un analista conserva- dor y proinstitucional como Benítez Manaut, 2007: 1.</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9"/>
        <w:jc w:val="both"/>
      </w:pPr>
      <w:r>
        <w:rPr>
          <w:color w:val="231F20"/>
          <w:w w:val="110"/>
        </w:rPr>
        <w:t>narco en Bolivia: “Permítame ser muy preciso en este punto,</w:t>
      </w:r>
      <w:r>
        <w:rPr>
          <w:color w:val="231F20"/>
          <w:spacing w:val="-12"/>
          <w:w w:val="110"/>
        </w:rPr>
        <w:t> </w:t>
      </w:r>
      <w:r>
        <w:rPr>
          <w:color w:val="231F20"/>
          <w:w w:val="110"/>
        </w:rPr>
        <w:t>porque no hemos vinculado el apoyo económico a la asistencia militar […] A lo que sí lo hemos vinculado es al desempeño en tareas de</w:t>
      </w:r>
      <w:r>
        <w:rPr>
          <w:color w:val="231F20"/>
          <w:spacing w:val="-11"/>
          <w:w w:val="110"/>
        </w:rPr>
        <w:t> </w:t>
      </w:r>
      <w:r>
        <w:rPr>
          <w:color w:val="231F20"/>
          <w:w w:val="110"/>
        </w:rPr>
        <w:t>contra- insurgencia” </w:t>
      </w:r>
      <w:r>
        <w:rPr>
          <w:color w:val="231F20"/>
          <w:spacing w:val="-3"/>
          <w:w w:val="110"/>
        </w:rPr>
        <w:t>(Wola, </w:t>
      </w:r>
      <w:r>
        <w:rPr>
          <w:color w:val="231F20"/>
          <w:w w:val="110"/>
        </w:rPr>
        <w:t>1993:</w:t>
      </w:r>
      <w:r>
        <w:rPr>
          <w:color w:val="231F20"/>
          <w:spacing w:val="-36"/>
          <w:w w:val="110"/>
        </w:rPr>
        <w:t> </w:t>
      </w:r>
      <w:r>
        <w:rPr>
          <w:color w:val="231F20"/>
          <w:w w:val="110"/>
        </w:rPr>
        <w:t>28).</w:t>
      </w:r>
    </w:p>
    <w:p>
      <w:pPr>
        <w:pStyle w:val="BodyText"/>
        <w:spacing w:line="261" w:lineRule="auto"/>
        <w:ind w:left="100" w:right="115" w:firstLine="240"/>
        <w:jc w:val="both"/>
      </w:pPr>
      <w:r>
        <w:rPr>
          <w:color w:val="231F20"/>
          <w:w w:val="105"/>
        </w:rPr>
        <w:t>Como vemos, los indicadores anteriores apuntan a una creciente militarización en América Latina desde la perspectiva del Proyecto Hemisférico. Pero, además, el proceso se refuerza, por un lado, con   los planes de desestabilización que Estados Unidos ha puesto en marcha en los últimos años (el golpe en Venezuela, los intentos de golpe y fractura de Bolivia impulsando la “autonomía” de Santa Cruz, el golpe técnico que significó el fraude electoral en México así como  la llegada del experto en “estabilización” Carlos Pascual a la embajada de Estados Unidos en México, el golpe de Honduras y los impactos constatables en Colombia). Por otro lado, un factor de carácter inter-  no que refuerza el proceso viene dado por la tendencia a la militari- zación que se desata como condición </w:t>
      </w:r>
      <w:r>
        <w:rPr>
          <w:i/>
          <w:color w:val="231F20"/>
          <w:w w:val="105"/>
        </w:rPr>
        <w:t>sine qua non </w:t>
      </w:r>
      <w:r>
        <w:rPr>
          <w:color w:val="231F20"/>
          <w:w w:val="105"/>
        </w:rPr>
        <w:t>del funcionamiento del neoliberalismo en tanto desaparecen las mediaciones políticas y     la negociación. Es </w:t>
      </w:r>
      <w:r>
        <w:rPr>
          <w:color w:val="231F20"/>
          <w:spacing w:val="-3"/>
          <w:w w:val="105"/>
        </w:rPr>
        <w:t>decir, </w:t>
      </w:r>
      <w:r>
        <w:rPr>
          <w:color w:val="231F20"/>
          <w:w w:val="105"/>
        </w:rPr>
        <w:t>los factores internos y externos impulsan la espiral de la militarización en la región, lo que  debería  alertarnos sobre la complejidad del fenómeno y los riesgos que enfrentan los procesos</w:t>
      </w:r>
      <w:r>
        <w:rPr>
          <w:color w:val="231F20"/>
          <w:spacing w:val="38"/>
          <w:w w:val="105"/>
        </w:rPr>
        <w:t> </w:t>
      </w:r>
      <w:r>
        <w:rPr>
          <w:color w:val="231F20"/>
          <w:w w:val="105"/>
        </w:rPr>
        <w:t>de</w:t>
      </w:r>
      <w:r>
        <w:rPr>
          <w:color w:val="231F20"/>
          <w:spacing w:val="38"/>
          <w:w w:val="105"/>
        </w:rPr>
        <w:t> </w:t>
      </w:r>
      <w:r>
        <w:rPr>
          <w:color w:val="231F20"/>
          <w:w w:val="105"/>
        </w:rPr>
        <w:t>cambio</w:t>
      </w:r>
      <w:r>
        <w:rPr>
          <w:color w:val="231F20"/>
          <w:spacing w:val="38"/>
          <w:w w:val="105"/>
        </w:rPr>
        <w:t> </w:t>
      </w:r>
      <w:r>
        <w:rPr>
          <w:color w:val="231F20"/>
          <w:w w:val="105"/>
        </w:rPr>
        <w:t>político</w:t>
      </w:r>
      <w:r>
        <w:rPr>
          <w:color w:val="231F20"/>
          <w:spacing w:val="38"/>
          <w:w w:val="105"/>
        </w:rPr>
        <w:t> </w:t>
      </w:r>
      <w:r>
        <w:rPr>
          <w:color w:val="231F20"/>
          <w:w w:val="105"/>
        </w:rPr>
        <w:t>que</w:t>
      </w:r>
      <w:r>
        <w:rPr>
          <w:color w:val="231F20"/>
          <w:spacing w:val="38"/>
          <w:w w:val="105"/>
        </w:rPr>
        <w:t> </w:t>
      </w:r>
      <w:r>
        <w:rPr>
          <w:color w:val="231F20"/>
          <w:w w:val="105"/>
        </w:rPr>
        <w:t>se</w:t>
      </w:r>
      <w:r>
        <w:rPr>
          <w:color w:val="231F20"/>
          <w:spacing w:val="38"/>
          <w:w w:val="105"/>
        </w:rPr>
        <w:t> </w:t>
      </w:r>
      <w:r>
        <w:rPr>
          <w:color w:val="231F20"/>
          <w:w w:val="105"/>
        </w:rPr>
        <w:t>erigen</w:t>
      </w:r>
      <w:r>
        <w:rPr>
          <w:color w:val="231F20"/>
          <w:spacing w:val="38"/>
          <w:w w:val="105"/>
        </w:rPr>
        <w:t> </w:t>
      </w:r>
      <w:r>
        <w:rPr>
          <w:color w:val="231F20"/>
          <w:w w:val="105"/>
        </w:rPr>
        <w:t>en</w:t>
      </w:r>
      <w:r>
        <w:rPr>
          <w:color w:val="231F20"/>
          <w:spacing w:val="38"/>
          <w:w w:val="105"/>
        </w:rPr>
        <w:t> </w:t>
      </w:r>
      <w:r>
        <w:rPr>
          <w:color w:val="231F20"/>
          <w:w w:val="105"/>
        </w:rPr>
        <w:t>este</w:t>
      </w:r>
      <w:r>
        <w:rPr>
          <w:color w:val="231F20"/>
          <w:spacing w:val="38"/>
          <w:w w:val="105"/>
        </w:rPr>
        <w:t> </w:t>
      </w:r>
      <w:r>
        <w:rPr>
          <w:color w:val="231F20"/>
          <w:w w:val="105"/>
        </w:rPr>
        <w:t>momento.</w:t>
      </w:r>
    </w:p>
    <w:p>
      <w:pPr>
        <w:pStyle w:val="BodyText"/>
      </w:pPr>
    </w:p>
    <w:p>
      <w:pPr>
        <w:pStyle w:val="BodyText"/>
      </w:pPr>
    </w:p>
    <w:p>
      <w:pPr>
        <w:pStyle w:val="BodyText"/>
        <w:spacing w:before="2"/>
        <w:rPr>
          <w:sz w:val="25"/>
        </w:rPr>
      </w:pPr>
    </w:p>
    <w:p>
      <w:pPr>
        <w:pStyle w:val="BodyText"/>
        <w:ind w:left="100"/>
        <w:jc w:val="both"/>
      </w:pPr>
      <w:r>
        <w:rPr>
          <w:color w:val="231F20"/>
          <w:w w:val="125"/>
        </w:rPr>
        <w:t>conclusiones</w:t>
      </w:r>
    </w:p>
    <w:p>
      <w:pPr>
        <w:pStyle w:val="BodyText"/>
        <w:spacing w:before="5"/>
        <w:rPr>
          <w:sz w:val="23"/>
        </w:rPr>
      </w:pPr>
    </w:p>
    <w:p>
      <w:pPr>
        <w:pStyle w:val="BodyText"/>
        <w:spacing w:line="261" w:lineRule="auto"/>
        <w:ind w:left="100" w:right="117"/>
        <w:jc w:val="both"/>
      </w:pPr>
      <w:r>
        <w:rPr>
          <w:color w:val="231F20"/>
          <w:w w:val="110"/>
        </w:rPr>
        <w:t>Hemos podido constatar que: </w:t>
      </w:r>
      <w:r>
        <w:rPr>
          <w:i/>
          <w:color w:val="231F20"/>
          <w:w w:val="110"/>
        </w:rPr>
        <w:t>a</w:t>
      </w:r>
      <w:r>
        <w:rPr>
          <w:color w:val="231F20"/>
          <w:w w:val="110"/>
        </w:rPr>
        <w:t>] la concepción y política de seguri- dad y defensa de Estados Unidos hacia América Latina son propias de una política injerencista e intervencionista que busca el control del territorio latinoamericano y sus recursos; </w:t>
      </w:r>
      <w:r>
        <w:rPr>
          <w:i/>
          <w:color w:val="231F20"/>
          <w:w w:val="110"/>
        </w:rPr>
        <w:t>b</w:t>
      </w:r>
      <w:r>
        <w:rPr>
          <w:color w:val="231F20"/>
          <w:w w:val="110"/>
        </w:rPr>
        <w:t>] estas concepciones en ninguna medida son novedosas y sus antecedentes se remontan   a inicios de los años ochenta; </w:t>
      </w:r>
      <w:r>
        <w:rPr>
          <w:i/>
          <w:color w:val="231F20"/>
          <w:w w:val="110"/>
        </w:rPr>
        <w:t>c</w:t>
      </w:r>
      <w:r>
        <w:rPr>
          <w:color w:val="231F20"/>
          <w:w w:val="110"/>
        </w:rPr>
        <w:t>] los supuestos básicos de la dsn y de los manuales de contrainsurgencia, son reeditados en la política de defensa</w:t>
      </w:r>
      <w:r>
        <w:rPr>
          <w:color w:val="231F20"/>
          <w:spacing w:val="-16"/>
          <w:w w:val="110"/>
        </w:rPr>
        <w:t> </w:t>
      </w:r>
      <w:r>
        <w:rPr>
          <w:color w:val="231F20"/>
          <w:w w:val="110"/>
        </w:rPr>
        <w:t>hemisférica</w:t>
      </w:r>
      <w:r>
        <w:rPr>
          <w:color w:val="231F20"/>
          <w:spacing w:val="-16"/>
          <w:w w:val="110"/>
        </w:rPr>
        <w:t> </w:t>
      </w:r>
      <w:r>
        <w:rPr>
          <w:color w:val="231F20"/>
          <w:w w:val="110"/>
        </w:rPr>
        <w:t>y</w:t>
      </w:r>
      <w:r>
        <w:rPr>
          <w:color w:val="231F20"/>
          <w:spacing w:val="-16"/>
          <w:w w:val="110"/>
        </w:rPr>
        <w:t> </w:t>
      </w:r>
      <w:r>
        <w:rPr>
          <w:color w:val="231F20"/>
          <w:w w:val="110"/>
        </w:rPr>
        <w:t>legitimados</w:t>
      </w:r>
      <w:r>
        <w:rPr>
          <w:color w:val="231F20"/>
          <w:spacing w:val="-16"/>
          <w:w w:val="110"/>
        </w:rPr>
        <w:t> </w:t>
      </w:r>
      <w:r>
        <w:rPr>
          <w:color w:val="231F20"/>
          <w:w w:val="110"/>
        </w:rPr>
        <w:t>en</w:t>
      </w:r>
      <w:r>
        <w:rPr>
          <w:color w:val="231F20"/>
          <w:spacing w:val="-16"/>
          <w:w w:val="110"/>
        </w:rPr>
        <w:t> </w:t>
      </w:r>
      <w:r>
        <w:rPr>
          <w:color w:val="231F20"/>
          <w:w w:val="110"/>
        </w:rPr>
        <w:t>función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gobernabilidad;</w:t>
      </w:r>
      <w:r>
        <w:rPr>
          <w:color w:val="231F20"/>
          <w:spacing w:val="-16"/>
          <w:w w:val="110"/>
        </w:rPr>
        <w:t> </w:t>
      </w:r>
      <w:r>
        <w:rPr>
          <w:i/>
          <w:color w:val="231F20"/>
          <w:w w:val="110"/>
        </w:rPr>
        <w:t>d</w:t>
      </w:r>
      <w:r>
        <w:rPr>
          <w:color w:val="231F20"/>
          <w:w w:val="110"/>
        </w:rPr>
        <w:t>] una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especificidades</w:t>
      </w:r>
      <w:r>
        <w:rPr>
          <w:color w:val="231F20"/>
          <w:spacing w:val="-11"/>
          <w:w w:val="110"/>
        </w:rPr>
        <w:t> </w:t>
      </w:r>
      <w:r>
        <w:rPr>
          <w:color w:val="231F20"/>
          <w:w w:val="110"/>
        </w:rPr>
        <w:t>históricas</w:t>
      </w:r>
      <w:r>
        <w:rPr>
          <w:color w:val="231F20"/>
          <w:spacing w:val="-11"/>
          <w:w w:val="110"/>
        </w:rPr>
        <w:t> </w:t>
      </w:r>
      <w:r>
        <w:rPr>
          <w:color w:val="231F20"/>
          <w:w w:val="110"/>
        </w:rPr>
        <w:t>que</w:t>
      </w:r>
      <w:r>
        <w:rPr>
          <w:color w:val="231F20"/>
          <w:spacing w:val="-11"/>
          <w:w w:val="110"/>
        </w:rPr>
        <w:t> </w:t>
      </w:r>
      <w:r>
        <w:rPr>
          <w:color w:val="231F20"/>
          <w:w w:val="110"/>
        </w:rPr>
        <w:t>encontramos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momento actual, con repercusiones centrales para América Latina, es que el Proyecto de Defensa Hemisférico está construyendo la instituciona- lidad y legalidad acorde para el injerencismo en la región en con- nivencia con las élites conservadoras latinoamericanas; </w:t>
      </w:r>
      <w:r>
        <w:rPr>
          <w:i/>
          <w:color w:val="231F20"/>
          <w:w w:val="110"/>
        </w:rPr>
        <w:t>e</w:t>
      </w:r>
      <w:r>
        <w:rPr>
          <w:color w:val="231F20"/>
          <w:w w:val="110"/>
        </w:rPr>
        <w:t>] la</w:t>
      </w:r>
      <w:r>
        <w:rPr>
          <w:color w:val="231F20"/>
          <w:spacing w:val="-15"/>
          <w:w w:val="110"/>
        </w:rPr>
        <w:t> </w:t>
      </w:r>
      <w:r>
        <w:rPr>
          <w:color w:val="231F20"/>
          <w:w w:val="110"/>
        </w:rPr>
        <w:t>política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de</w:t>
      </w:r>
      <w:r>
        <w:rPr>
          <w:color w:val="231F20"/>
          <w:spacing w:val="-9"/>
          <w:w w:val="110"/>
        </w:rPr>
        <w:t> </w:t>
      </w:r>
      <w:r>
        <w:rPr>
          <w:color w:val="231F20"/>
          <w:w w:val="110"/>
        </w:rPr>
        <w:t>seguridad</w:t>
      </w:r>
      <w:r>
        <w:rPr>
          <w:color w:val="231F20"/>
          <w:spacing w:val="-9"/>
          <w:w w:val="110"/>
        </w:rPr>
        <w:t> </w:t>
      </w:r>
      <w:r>
        <w:rPr>
          <w:color w:val="231F20"/>
          <w:w w:val="110"/>
        </w:rPr>
        <w:t>hemisférica</w:t>
      </w:r>
      <w:r>
        <w:rPr>
          <w:color w:val="231F20"/>
          <w:spacing w:val="-9"/>
          <w:w w:val="110"/>
        </w:rPr>
        <w:t> </w:t>
      </w:r>
      <w:r>
        <w:rPr>
          <w:color w:val="231F20"/>
          <w:w w:val="110"/>
        </w:rPr>
        <w:t>aspira</w:t>
      </w:r>
      <w:r>
        <w:rPr>
          <w:color w:val="231F20"/>
          <w:spacing w:val="-9"/>
          <w:w w:val="110"/>
        </w:rPr>
        <w:t> </w:t>
      </w:r>
      <w:r>
        <w:rPr>
          <w:color w:val="231F20"/>
          <w:w w:val="110"/>
        </w:rPr>
        <w:t>a</w:t>
      </w:r>
      <w:r>
        <w:rPr>
          <w:color w:val="231F20"/>
          <w:spacing w:val="-9"/>
          <w:w w:val="110"/>
        </w:rPr>
        <w:t> </w:t>
      </w:r>
      <w:r>
        <w:rPr>
          <w:color w:val="231F20"/>
          <w:w w:val="110"/>
        </w:rPr>
        <w:t>convertir</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Fuerzas</w:t>
      </w:r>
      <w:r>
        <w:rPr>
          <w:color w:val="231F20"/>
          <w:spacing w:val="-9"/>
          <w:w w:val="110"/>
        </w:rPr>
        <w:t> </w:t>
      </w:r>
      <w:r>
        <w:rPr>
          <w:color w:val="231F20"/>
          <w:w w:val="110"/>
        </w:rPr>
        <w:t>Armadas</w:t>
      </w:r>
      <w:r>
        <w:rPr>
          <w:color w:val="231F20"/>
          <w:spacing w:val="-9"/>
          <w:w w:val="110"/>
        </w:rPr>
        <w:t> </w:t>
      </w:r>
      <w:r>
        <w:rPr>
          <w:color w:val="231F20"/>
          <w:w w:val="110"/>
        </w:rPr>
        <w:t>de América</w:t>
      </w:r>
      <w:r>
        <w:rPr>
          <w:color w:val="231F20"/>
          <w:spacing w:val="-7"/>
          <w:w w:val="110"/>
        </w:rPr>
        <w:t> </w:t>
      </w:r>
      <w:r>
        <w:rPr>
          <w:color w:val="231F20"/>
          <w:w w:val="110"/>
        </w:rPr>
        <w:t>Latina</w:t>
      </w:r>
      <w:r>
        <w:rPr>
          <w:color w:val="231F20"/>
          <w:spacing w:val="-7"/>
          <w:w w:val="110"/>
        </w:rPr>
        <w:t> </w:t>
      </w:r>
      <w:r>
        <w:rPr>
          <w:color w:val="231F20"/>
          <w:w w:val="110"/>
        </w:rPr>
        <w:t>en</w:t>
      </w:r>
      <w:r>
        <w:rPr>
          <w:color w:val="231F20"/>
          <w:spacing w:val="-7"/>
          <w:w w:val="110"/>
        </w:rPr>
        <w:t> </w:t>
      </w:r>
      <w:r>
        <w:rPr>
          <w:color w:val="231F20"/>
          <w:w w:val="110"/>
        </w:rPr>
        <w:t>policías</w:t>
      </w:r>
      <w:r>
        <w:rPr>
          <w:color w:val="231F20"/>
          <w:spacing w:val="-7"/>
          <w:w w:val="110"/>
        </w:rPr>
        <w:t> </w:t>
      </w:r>
      <w:r>
        <w:rPr>
          <w:color w:val="231F20"/>
          <w:w w:val="110"/>
        </w:rPr>
        <w:t>internos</w:t>
      </w:r>
      <w:r>
        <w:rPr>
          <w:color w:val="231F20"/>
          <w:spacing w:val="-7"/>
          <w:w w:val="110"/>
        </w:rPr>
        <w:t> </w:t>
      </w:r>
      <w:r>
        <w:rPr>
          <w:color w:val="231F20"/>
          <w:w w:val="110"/>
        </w:rPr>
        <w:t>a</w:t>
      </w:r>
      <w:r>
        <w:rPr>
          <w:color w:val="231F20"/>
          <w:spacing w:val="-7"/>
          <w:w w:val="110"/>
        </w:rPr>
        <w:t> </w:t>
      </w:r>
      <w:r>
        <w:rPr>
          <w:color w:val="231F20"/>
          <w:w w:val="110"/>
        </w:rPr>
        <w:t>cargo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estabilidad</w:t>
      </w:r>
      <w:r>
        <w:rPr>
          <w:color w:val="231F20"/>
          <w:spacing w:val="-7"/>
          <w:w w:val="110"/>
        </w:rPr>
        <w:t> </w:t>
      </w:r>
      <w:r>
        <w:rPr>
          <w:color w:val="231F20"/>
          <w:w w:val="110"/>
        </w:rPr>
        <w:t>del</w:t>
      </w:r>
      <w:r>
        <w:rPr>
          <w:color w:val="231F20"/>
          <w:spacing w:val="-7"/>
          <w:w w:val="110"/>
        </w:rPr>
        <w:t> </w:t>
      </w:r>
      <w:r>
        <w:rPr>
          <w:color w:val="231F20"/>
          <w:w w:val="110"/>
        </w:rPr>
        <w:t>área de influencia de Estados Unidos, lo que apunta a una permanente militarización</w:t>
      </w:r>
      <w:r>
        <w:rPr>
          <w:color w:val="231F20"/>
          <w:spacing w:val="37"/>
          <w:w w:val="110"/>
        </w:rPr>
        <w:t> </w:t>
      </w:r>
      <w:r>
        <w:rPr>
          <w:color w:val="231F20"/>
          <w:w w:val="110"/>
        </w:rPr>
        <w:t>social</w:t>
      </w:r>
      <w:r>
        <w:rPr>
          <w:color w:val="231F20"/>
          <w:spacing w:val="37"/>
          <w:w w:val="110"/>
        </w:rPr>
        <w:t> </w:t>
      </w:r>
      <w:r>
        <w:rPr>
          <w:color w:val="231F20"/>
          <w:w w:val="110"/>
        </w:rPr>
        <w:t>y</w:t>
      </w:r>
      <w:r>
        <w:rPr>
          <w:color w:val="231F20"/>
          <w:spacing w:val="37"/>
          <w:w w:val="110"/>
        </w:rPr>
        <w:t> </w:t>
      </w:r>
      <w:r>
        <w:rPr>
          <w:color w:val="231F20"/>
          <w:w w:val="110"/>
        </w:rPr>
        <w:t>política</w:t>
      </w:r>
      <w:r>
        <w:rPr>
          <w:color w:val="231F20"/>
          <w:spacing w:val="37"/>
          <w:w w:val="110"/>
        </w:rPr>
        <w:t> </w:t>
      </w:r>
      <w:r>
        <w:rPr>
          <w:color w:val="231F20"/>
          <w:w w:val="110"/>
        </w:rPr>
        <w:t>en</w:t>
      </w:r>
      <w:r>
        <w:rPr>
          <w:color w:val="231F20"/>
          <w:spacing w:val="37"/>
          <w:w w:val="110"/>
        </w:rPr>
        <w:t> </w:t>
      </w:r>
      <w:r>
        <w:rPr>
          <w:color w:val="231F20"/>
          <w:w w:val="110"/>
        </w:rPr>
        <w:t>la</w:t>
      </w:r>
      <w:r>
        <w:rPr>
          <w:color w:val="231F20"/>
          <w:spacing w:val="37"/>
          <w:w w:val="110"/>
        </w:rPr>
        <w:t> </w:t>
      </w:r>
      <w:r>
        <w:rPr>
          <w:color w:val="231F20"/>
          <w:w w:val="110"/>
        </w:rPr>
        <w:t>región</w:t>
      </w:r>
      <w:r>
        <w:rPr>
          <w:color w:val="231F20"/>
          <w:spacing w:val="37"/>
          <w:w w:val="110"/>
        </w:rPr>
        <w:t> </w:t>
      </w:r>
      <w:r>
        <w:rPr>
          <w:color w:val="231F20"/>
          <w:w w:val="110"/>
        </w:rPr>
        <w:t>que</w:t>
      </w:r>
      <w:r>
        <w:rPr>
          <w:color w:val="231F20"/>
          <w:spacing w:val="37"/>
          <w:w w:val="110"/>
        </w:rPr>
        <w:t> </w:t>
      </w:r>
      <w:r>
        <w:rPr>
          <w:color w:val="231F20"/>
          <w:w w:val="110"/>
        </w:rPr>
        <w:t>tiene</w:t>
      </w:r>
      <w:r>
        <w:rPr>
          <w:color w:val="231F20"/>
          <w:spacing w:val="37"/>
          <w:w w:val="110"/>
        </w:rPr>
        <w:t> </w:t>
      </w:r>
      <w:r>
        <w:rPr>
          <w:color w:val="231F20"/>
          <w:w w:val="110"/>
        </w:rPr>
        <w:t>una</w:t>
      </w:r>
      <w:r>
        <w:rPr>
          <w:color w:val="231F20"/>
          <w:spacing w:val="37"/>
          <w:w w:val="110"/>
        </w:rPr>
        <w:t> </w:t>
      </w:r>
      <w:r>
        <w:rPr>
          <w:color w:val="231F20"/>
          <w:w w:val="110"/>
        </w:rPr>
        <w:t>de</w:t>
      </w:r>
      <w:r>
        <w:rPr>
          <w:color w:val="231F20"/>
          <w:spacing w:val="37"/>
          <w:w w:val="110"/>
        </w:rPr>
        <w:t> </w:t>
      </w:r>
      <w:r>
        <w:rPr>
          <w:color w:val="231F20"/>
          <w:w w:val="110"/>
        </w:rPr>
        <w:t>sus</w:t>
      </w:r>
      <w:r>
        <w:rPr>
          <w:color w:val="231F20"/>
          <w:spacing w:val="1"/>
          <w:w w:val="101"/>
        </w:rPr>
        <w:t> </w:t>
      </w:r>
      <w:r>
        <w:rPr>
          <w:color w:val="231F20"/>
          <w:w w:val="110"/>
        </w:rPr>
        <w:t>manifestaciones más evidentes en la militarización de la seguridad pública; </w:t>
      </w:r>
      <w:r>
        <w:rPr>
          <w:i/>
          <w:color w:val="231F20"/>
          <w:w w:val="110"/>
        </w:rPr>
        <w:t>f</w:t>
      </w:r>
      <w:r>
        <w:rPr>
          <w:color w:val="231F20"/>
          <w:w w:val="110"/>
        </w:rPr>
        <w:t>] las repercusiones en cuanto a soberanía y posibilidades de construcción de proyectos propios en América Latina se </w:t>
      </w:r>
      <w:r>
        <w:rPr>
          <w:color w:val="231F20"/>
          <w:spacing w:val="2"/>
          <w:w w:val="110"/>
        </w:rPr>
        <w:t>ven</w:t>
      </w:r>
      <w:r>
        <w:rPr>
          <w:color w:val="231F20"/>
          <w:spacing w:val="59"/>
          <w:w w:val="110"/>
        </w:rPr>
        <w:t> </w:t>
      </w:r>
      <w:r>
        <w:rPr>
          <w:color w:val="231F20"/>
          <w:w w:val="110"/>
        </w:rPr>
        <w:t>amenazados</w:t>
      </w:r>
      <w:r>
        <w:rPr>
          <w:color w:val="231F20"/>
          <w:spacing w:val="-14"/>
          <w:w w:val="110"/>
        </w:rPr>
        <w:t> </w:t>
      </w:r>
      <w:r>
        <w:rPr>
          <w:color w:val="231F20"/>
          <w:w w:val="110"/>
        </w:rPr>
        <w:t>por</w:t>
      </w:r>
      <w:r>
        <w:rPr>
          <w:color w:val="231F20"/>
          <w:spacing w:val="-14"/>
          <w:w w:val="110"/>
        </w:rPr>
        <w:t> </w:t>
      </w:r>
      <w:r>
        <w:rPr>
          <w:color w:val="231F20"/>
          <w:w w:val="110"/>
        </w:rPr>
        <w:t>esta</w:t>
      </w:r>
      <w:r>
        <w:rPr>
          <w:color w:val="231F20"/>
          <w:spacing w:val="-14"/>
          <w:w w:val="110"/>
        </w:rPr>
        <w:t> </w:t>
      </w:r>
      <w:r>
        <w:rPr>
          <w:color w:val="231F20"/>
          <w:w w:val="110"/>
        </w:rPr>
        <w:t>política</w:t>
      </w:r>
      <w:r>
        <w:rPr>
          <w:color w:val="231F20"/>
          <w:spacing w:val="-14"/>
          <w:w w:val="110"/>
        </w:rPr>
        <w:t> </w:t>
      </w:r>
      <w:r>
        <w:rPr>
          <w:color w:val="231F20"/>
          <w:w w:val="110"/>
        </w:rPr>
        <w:t>imperialista</w:t>
      </w:r>
      <w:r>
        <w:rPr>
          <w:color w:val="231F20"/>
          <w:spacing w:val="-14"/>
          <w:w w:val="110"/>
        </w:rPr>
        <w:t> </w:t>
      </w:r>
      <w:r>
        <w:rPr>
          <w:color w:val="231F20"/>
          <w:w w:val="110"/>
        </w:rPr>
        <w:t>estadunidense,</w:t>
      </w:r>
      <w:r>
        <w:rPr>
          <w:color w:val="231F20"/>
          <w:spacing w:val="-14"/>
          <w:w w:val="110"/>
        </w:rPr>
        <w:t> </w:t>
      </w:r>
      <w:r>
        <w:rPr>
          <w:color w:val="231F20"/>
          <w:w w:val="110"/>
        </w:rPr>
        <w:t>factores</w:t>
      </w:r>
      <w:r>
        <w:rPr>
          <w:color w:val="231F20"/>
          <w:spacing w:val="-14"/>
          <w:w w:val="110"/>
        </w:rPr>
        <w:t> </w:t>
      </w:r>
      <w:r>
        <w:rPr>
          <w:color w:val="231F20"/>
          <w:w w:val="110"/>
        </w:rPr>
        <w:t>que deberían tomarse en cuenta en especial en países como México que está en condiciones de sumisión absoluta hacia el exterior así como de descomposición social y política sin</w:t>
      </w:r>
      <w:r>
        <w:rPr>
          <w:color w:val="231F20"/>
          <w:spacing w:val="1"/>
          <w:w w:val="110"/>
        </w:rPr>
        <w:t> </w:t>
      </w:r>
      <w:r>
        <w:rPr>
          <w:color w:val="231F20"/>
          <w:w w:val="110"/>
        </w:rPr>
        <w:t>parangón.</w:t>
      </w:r>
    </w:p>
    <w:p>
      <w:pPr>
        <w:pStyle w:val="BodyText"/>
      </w:pPr>
    </w:p>
    <w:p>
      <w:pPr>
        <w:pStyle w:val="BodyText"/>
      </w:pPr>
    </w:p>
    <w:p>
      <w:pPr>
        <w:pStyle w:val="BodyText"/>
        <w:spacing w:before="2"/>
        <w:rPr>
          <w:sz w:val="25"/>
        </w:rPr>
      </w:pPr>
    </w:p>
    <w:p>
      <w:pPr>
        <w:pStyle w:val="BodyText"/>
        <w:ind w:left="100"/>
        <w:jc w:val="both"/>
      </w:pPr>
      <w:r>
        <w:rPr>
          <w:color w:val="231F20"/>
          <w:w w:val="130"/>
        </w:rPr>
        <w:t>bibliografía</w:t>
      </w:r>
    </w:p>
    <w:p>
      <w:pPr>
        <w:pStyle w:val="BodyText"/>
        <w:spacing w:before="5"/>
        <w:rPr>
          <w:sz w:val="22"/>
        </w:rPr>
      </w:pPr>
    </w:p>
    <w:p>
      <w:pPr>
        <w:spacing w:line="254" w:lineRule="auto" w:before="0"/>
        <w:ind w:left="340" w:right="117" w:hanging="240"/>
        <w:jc w:val="both"/>
        <w:rPr>
          <w:sz w:val="18"/>
        </w:rPr>
      </w:pPr>
      <w:r>
        <w:rPr>
          <w:color w:val="231F20"/>
          <w:w w:val="105"/>
          <w:sz w:val="18"/>
        </w:rPr>
        <w:t>Barry, </w:t>
      </w:r>
      <w:r>
        <w:rPr>
          <w:color w:val="231F20"/>
          <w:spacing w:val="-5"/>
          <w:w w:val="105"/>
          <w:sz w:val="18"/>
        </w:rPr>
        <w:t>Tom, </w:t>
      </w:r>
      <w:r>
        <w:rPr>
          <w:color w:val="231F20"/>
          <w:w w:val="105"/>
          <w:sz w:val="18"/>
        </w:rPr>
        <w:t>2004, “El Comando Sur enfrenta peligros emergentes y tradi- cionales”,</w:t>
      </w:r>
      <w:r>
        <w:rPr>
          <w:color w:val="231F20"/>
          <w:spacing w:val="-10"/>
          <w:w w:val="105"/>
          <w:sz w:val="18"/>
        </w:rPr>
        <w:t> </w:t>
      </w:r>
      <w:r>
        <w:rPr>
          <w:color w:val="231F20"/>
          <w:w w:val="105"/>
          <w:sz w:val="18"/>
        </w:rPr>
        <w:t>en</w:t>
      </w:r>
      <w:r>
        <w:rPr>
          <w:color w:val="231F20"/>
          <w:spacing w:val="-10"/>
          <w:w w:val="105"/>
          <w:sz w:val="18"/>
        </w:rPr>
        <w:t> </w:t>
      </w:r>
      <w:r>
        <w:rPr>
          <w:i/>
          <w:color w:val="231F20"/>
          <w:w w:val="105"/>
          <w:sz w:val="18"/>
        </w:rPr>
        <w:t>Programa</w:t>
      </w:r>
      <w:r>
        <w:rPr>
          <w:i/>
          <w:color w:val="231F20"/>
          <w:spacing w:val="-10"/>
          <w:w w:val="105"/>
          <w:sz w:val="18"/>
        </w:rPr>
        <w:t> </w:t>
      </w:r>
      <w:r>
        <w:rPr>
          <w:i/>
          <w:color w:val="231F20"/>
          <w:w w:val="105"/>
          <w:sz w:val="18"/>
        </w:rPr>
        <w:t>de</w:t>
      </w:r>
      <w:r>
        <w:rPr>
          <w:i/>
          <w:color w:val="231F20"/>
          <w:spacing w:val="-10"/>
          <w:w w:val="105"/>
          <w:sz w:val="18"/>
        </w:rPr>
        <w:t> </w:t>
      </w:r>
      <w:r>
        <w:rPr>
          <w:i/>
          <w:color w:val="231F20"/>
          <w:w w:val="105"/>
          <w:sz w:val="18"/>
        </w:rPr>
        <w:t>las</w:t>
      </w:r>
      <w:r>
        <w:rPr>
          <w:i/>
          <w:color w:val="231F20"/>
          <w:spacing w:val="-10"/>
          <w:w w:val="105"/>
          <w:sz w:val="18"/>
        </w:rPr>
        <w:t> </w:t>
      </w:r>
      <w:r>
        <w:rPr>
          <w:i/>
          <w:color w:val="231F20"/>
          <w:w w:val="105"/>
          <w:sz w:val="18"/>
        </w:rPr>
        <w:t>Américas</w:t>
      </w:r>
      <w:r>
        <w:rPr>
          <w:color w:val="231F20"/>
          <w:w w:val="105"/>
          <w:sz w:val="18"/>
        </w:rPr>
        <w:t>,</w:t>
      </w:r>
      <w:r>
        <w:rPr>
          <w:color w:val="231F20"/>
          <w:spacing w:val="-10"/>
          <w:w w:val="105"/>
          <w:sz w:val="18"/>
        </w:rPr>
        <w:t> </w:t>
      </w:r>
      <w:hyperlink r:id="rId360">
        <w:r>
          <w:rPr>
            <w:color w:val="231F20"/>
            <w:w w:val="105"/>
            <w:sz w:val="18"/>
          </w:rPr>
          <w:t>&lt;www.iramericas.org/esp/870&gt;,</w:t>
        </w:r>
      </w:hyperlink>
      <w:r>
        <w:rPr>
          <w:color w:val="231F20"/>
          <w:spacing w:val="-10"/>
          <w:w w:val="105"/>
          <w:sz w:val="18"/>
        </w:rPr>
        <w:t> </w:t>
      </w:r>
      <w:r>
        <w:rPr>
          <w:color w:val="231F20"/>
          <w:w w:val="105"/>
          <w:sz w:val="18"/>
        </w:rPr>
        <w:t>12 de  septiembre  de</w:t>
      </w:r>
      <w:r>
        <w:rPr>
          <w:color w:val="231F20"/>
          <w:spacing w:val="11"/>
          <w:w w:val="105"/>
          <w:sz w:val="18"/>
        </w:rPr>
        <w:t> </w:t>
      </w:r>
      <w:r>
        <w:rPr>
          <w:color w:val="231F20"/>
          <w:w w:val="105"/>
          <w:sz w:val="18"/>
        </w:rPr>
        <w:t>2008.</w:t>
      </w:r>
    </w:p>
    <w:p>
      <w:pPr>
        <w:spacing w:line="254" w:lineRule="auto" w:before="1"/>
        <w:ind w:left="340" w:right="119" w:hanging="240"/>
        <w:jc w:val="both"/>
        <w:rPr>
          <w:sz w:val="18"/>
        </w:rPr>
      </w:pPr>
      <w:r>
        <w:rPr>
          <w:color w:val="231F20"/>
          <w:w w:val="105"/>
          <w:sz w:val="18"/>
        </w:rPr>
        <w:t>Benítez Manaut, Raúl, 2007, “La Iniciativa Mérida: desafíos del combate al crimen y el narcotráfico en México”, en </w:t>
      </w:r>
      <w:r>
        <w:rPr>
          <w:i/>
          <w:color w:val="231F20"/>
          <w:w w:val="105"/>
          <w:sz w:val="18"/>
        </w:rPr>
        <w:t>Andean Regional Iniciative</w:t>
      </w:r>
      <w:r>
        <w:rPr>
          <w:color w:val="231F20"/>
          <w:w w:val="105"/>
          <w:sz w:val="18"/>
        </w:rPr>
        <w:t>, núm. 130, Real Instituto Elcano, p. 1,   </w:t>
      </w:r>
      <w:hyperlink r:id="rId361">
        <w:r>
          <w:rPr>
            <w:color w:val="231F20"/>
            <w:w w:val="105"/>
            <w:sz w:val="18"/>
          </w:rPr>
          <w:t>&lt;www.realinstitutoelcano.org&gt;.</w:t>
        </w:r>
      </w:hyperlink>
    </w:p>
    <w:p>
      <w:pPr>
        <w:spacing w:line="254" w:lineRule="auto" w:before="1"/>
        <w:ind w:left="340" w:right="119" w:hanging="240"/>
        <w:jc w:val="both"/>
        <w:rPr>
          <w:sz w:val="18"/>
        </w:rPr>
      </w:pPr>
      <w:r>
        <w:rPr>
          <w:i/>
          <w:color w:val="231F20"/>
          <w:w w:val="105"/>
          <w:sz w:val="18"/>
        </w:rPr>
        <w:t>Business</w:t>
      </w:r>
      <w:r>
        <w:rPr>
          <w:i/>
          <w:color w:val="231F20"/>
          <w:spacing w:val="-5"/>
          <w:w w:val="105"/>
          <w:sz w:val="18"/>
        </w:rPr>
        <w:t> </w:t>
      </w:r>
      <w:r>
        <w:rPr>
          <w:i/>
          <w:color w:val="231F20"/>
          <w:w w:val="105"/>
          <w:sz w:val="18"/>
        </w:rPr>
        <w:t>News</w:t>
      </w:r>
      <w:r>
        <w:rPr>
          <w:i/>
          <w:color w:val="231F20"/>
          <w:spacing w:val="-5"/>
          <w:w w:val="105"/>
          <w:sz w:val="18"/>
        </w:rPr>
        <w:t> </w:t>
      </w:r>
      <w:r>
        <w:rPr>
          <w:i/>
          <w:color w:val="231F20"/>
          <w:w w:val="105"/>
          <w:sz w:val="18"/>
        </w:rPr>
        <w:t>America</w:t>
      </w:r>
      <w:r>
        <w:rPr>
          <w:color w:val="231F20"/>
          <w:w w:val="105"/>
          <w:sz w:val="18"/>
        </w:rPr>
        <w:t>,</w:t>
      </w:r>
      <w:r>
        <w:rPr>
          <w:color w:val="231F20"/>
          <w:spacing w:val="-5"/>
          <w:w w:val="105"/>
          <w:sz w:val="18"/>
        </w:rPr>
        <w:t> </w:t>
      </w:r>
      <w:r>
        <w:rPr>
          <w:color w:val="231F20"/>
          <w:w w:val="105"/>
          <w:sz w:val="18"/>
        </w:rPr>
        <w:t>2004,</w:t>
      </w:r>
      <w:r>
        <w:rPr>
          <w:color w:val="231F20"/>
          <w:spacing w:val="-5"/>
          <w:w w:val="105"/>
          <w:sz w:val="18"/>
        </w:rPr>
        <w:t> </w:t>
      </w:r>
      <w:r>
        <w:rPr>
          <w:color w:val="231F20"/>
          <w:w w:val="105"/>
          <w:sz w:val="18"/>
        </w:rPr>
        <w:t>“Energy</w:t>
      </w:r>
      <w:r>
        <w:rPr>
          <w:color w:val="231F20"/>
          <w:spacing w:val="-5"/>
          <w:w w:val="105"/>
          <w:sz w:val="18"/>
        </w:rPr>
        <w:t> </w:t>
      </w:r>
      <w:r>
        <w:rPr>
          <w:color w:val="231F20"/>
          <w:w w:val="105"/>
          <w:sz w:val="18"/>
        </w:rPr>
        <w:t>Integration</w:t>
      </w:r>
      <w:r>
        <w:rPr>
          <w:color w:val="231F20"/>
          <w:spacing w:val="-5"/>
          <w:w w:val="105"/>
          <w:sz w:val="18"/>
        </w:rPr>
        <w:t> </w:t>
      </w:r>
      <w:r>
        <w:rPr>
          <w:color w:val="231F20"/>
          <w:w w:val="105"/>
          <w:sz w:val="18"/>
        </w:rPr>
        <w:t>in</w:t>
      </w:r>
      <w:r>
        <w:rPr>
          <w:color w:val="231F20"/>
          <w:spacing w:val="-5"/>
          <w:w w:val="105"/>
          <w:sz w:val="18"/>
        </w:rPr>
        <w:t> </w:t>
      </w:r>
      <w:r>
        <w:rPr>
          <w:color w:val="231F20"/>
          <w:w w:val="105"/>
          <w:sz w:val="18"/>
        </w:rPr>
        <w:t>Latina</w:t>
      </w:r>
      <w:r>
        <w:rPr>
          <w:color w:val="231F20"/>
          <w:spacing w:val="-5"/>
          <w:w w:val="105"/>
          <w:sz w:val="18"/>
        </w:rPr>
        <w:t> </w:t>
      </w:r>
      <w:r>
        <w:rPr>
          <w:color w:val="231F20"/>
          <w:w w:val="105"/>
          <w:sz w:val="18"/>
        </w:rPr>
        <w:t>American.</w:t>
      </w:r>
      <w:r>
        <w:rPr>
          <w:color w:val="231F20"/>
          <w:spacing w:val="-5"/>
          <w:w w:val="105"/>
          <w:sz w:val="18"/>
        </w:rPr>
        <w:t> </w:t>
      </w:r>
      <w:r>
        <w:rPr>
          <w:color w:val="231F20"/>
          <w:w w:val="105"/>
          <w:sz w:val="18"/>
        </w:rPr>
        <w:t>Oppor- tunity Knocks for the Neighbors”, Special Reports Series, &lt;www.reportse- ries.com&gt;, 25 de noviembre de  </w:t>
      </w:r>
      <w:r>
        <w:rPr>
          <w:color w:val="231F20"/>
          <w:spacing w:val="22"/>
          <w:w w:val="105"/>
          <w:sz w:val="18"/>
        </w:rPr>
        <w:t> </w:t>
      </w:r>
      <w:r>
        <w:rPr>
          <w:color w:val="231F20"/>
          <w:w w:val="105"/>
          <w:sz w:val="18"/>
        </w:rPr>
        <w:t>2008.</w:t>
      </w:r>
    </w:p>
    <w:p>
      <w:pPr>
        <w:spacing w:line="254" w:lineRule="auto" w:before="1"/>
        <w:ind w:left="340" w:right="117" w:hanging="240"/>
        <w:jc w:val="both"/>
        <w:rPr>
          <w:sz w:val="18"/>
        </w:rPr>
      </w:pPr>
      <w:r>
        <w:rPr>
          <w:color w:val="231F20"/>
          <w:w w:val="105"/>
          <w:sz w:val="18"/>
        </w:rPr>
        <w:t>Castro, Jorge, 2008, “Mercado minero mundial y la Argentina: tendencias        y oportunidades”, en </w:t>
      </w:r>
      <w:r>
        <w:rPr>
          <w:i/>
          <w:color w:val="231F20"/>
          <w:w w:val="105"/>
          <w:sz w:val="18"/>
        </w:rPr>
        <w:t>Panorama Minero</w:t>
      </w:r>
      <w:r>
        <w:rPr>
          <w:color w:val="231F20"/>
          <w:w w:val="105"/>
          <w:sz w:val="18"/>
        </w:rPr>
        <w:t>, Sección Documentos,   </w:t>
      </w:r>
      <w:r>
        <w:rPr>
          <w:color w:val="231F20"/>
          <w:spacing w:val="1"/>
          <w:w w:val="105"/>
          <w:sz w:val="18"/>
        </w:rPr>
        <w:t> </w:t>
      </w:r>
      <w:r>
        <w:rPr>
          <w:color w:val="231F20"/>
          <w:w w:val="105"/>
          <w:sz w:val="18"/>
        </w:rPr>
        <w:t>Argentina,</w:t>
      </w:r>
    </w:p>
    <w:p>
      <w:pPr>
        <w:spacing w:line="254" w:lineRule="auto" w:before="1"/>
        <w:ind w:left="100" w:right="119" w:firstLine="71"/>
        <w:jc w:val="center"/>
        <w:rPr>
          <w:i/>
          <w:sz w:val="18"/>
        </w:rPr>
      </w:pPr>
      <w:hyperlink r:id="rId362">
        <w:r>
          <w:rPr>
            <w:color w:val="231F20"/>
            <w:w w:val="110"/>
            <w:sz w:val="18"/>
          </w:rPr>
          <w:t>&lt;www.panoramaminero.com.ar/home.htm&gt;,</w:t>
        </w:r>
      </w:hyperlink>
      <w:r>
        <w:rPr>
          <w:color w:val="231F20"/>
          <w:w w:val="110"/>
          <w:sz w:val="18"/>
        </w:rPr>
        <w:t> 15 de diciembre de 2008. Centro de Militares para la Democracia Argentina (cemida), 2001, </w:t>
      </w:r>
      <w:r>
        <w:rPr>
          <w:i/>
          <w:color w:val="231F20"/>
          <w:w w:val="110"/>
          <w:sz w:val="18"/>
        </w:rPr>
        <w:t>Fuerzas</w:t>
      </w:r>
    </w:p>
    <w:p>
      <w:pPr>
        <w:spacing w:line="254" w:lineRule="auto" w:before="1"/>
        <w:ind w:left="340" w:right="109" w:firstLine="0"/>
        <w:jc w:val="left"/>
        <w:rPr>
          <w:sz w:val="18"/>
        </w:rPr>
      </w:pPr>
      <w:r>
        <w:rPr>
          <w:i/>
          <w:color w:val="231F20"/>
          <w:sz w:val="18"/>
        </w:rPr>
        <w:t>Armadas</w:t>
      </w:r>
      <w:r>
        <w:rPr>
          <w:i/>
          <w:color w:val="231F20"/>
          <w:spacing w:val="-15"/>
          <w:sz w:val="18"/>
        </w:rPr>
        <w:t> </w:t>
      </w:r>
      <w:r>
        <w:rPr>
          <w:i/>
          <w:color w:val="231F20"/>
          <w:sz w:val="18"/>
        </w:rPr>
        <w:t>y</w:t>
      </w:r>
      <w:r>
        <w:rPr>
          <w:i/>
          <w:color w:val="231F20"/>
          <w:spacing w:val="-15"/>
          <w:sz w:val="18"/>
        </w:rPr>
        <w:t> </w:t>
      </w:r>
      <w:r>
        <w:rPr>
          <w:i/>
          <w:color w:val="231F20"/>
          <w:sz w:val="18"/>
        </w:rPr>
        <w:t>Fuerzas</w:t>
      </w:r>
      <w:r>
        <w:rPr>
          <w:i/>
          <w:color w:val="231F20"/>
          <w:spacing w:val="-15"/>
          <w:sz w:val="18"/>
        </w:rPr>
        <w:t> </w:t>
      </w:r>
      <w:r>
        <w:rPr>
          <w:i/>
          <w:color w:val="231F20"/>
          <w:sz w:val="18"/>
        </w:rPr>
        <w:t>de</w:t>
      </w:r>
      <w:r>
        <w:rPr>
          <w:i/>
          <w:color w:val="231F20"/>
          <w:spacing w:val="-15"/>
          <w:sz w:val="18"/>
        </w:rPr>
        <w:t> </w:t>
      </w:r>
      <w:r>
        <w:rPr>
          <w:i/>
          <w:color w:val="231F20"/>
          <w:sz w:val="18"/>
        </w:rPr>
        <w:t>Seguridad</w:t>
      </w:r>
      <w:r>
        <w:rPr>
          <w:i/>
          <w:color w:val="231F20"/>
          <w:spacing w:val="-15"/>
          <w:sz w:val="18"/>
        </w:rPr>
        <w:t> </w:t>
      </w:r>
      <w:r>
        <w:rPr>
          <w:i/>
          <w:color w:val="231F20"/>
          <w:sz w:val="18"/>
        </w:rPr>
        <w:t>y</w:t>
      </w:r>
      <w:r>
        <w:rPr>
          <w:i/>
          <w:color w:val="231F20"/>
          <w:spacing w:val="-15"/>
          <w:sz w:val="18"/>
        </w:rPr>
        <w:t> </w:t>
      </w:r>
      <w:r>
        <w:rPr>
          <w:i/>
          <w:color w:val="231F20"/>
          <w:sz w:val="18"/>
        </w:rPr>
        <w:t>el</w:t>
      </w:r>
      <w:r>
        <w:rPr>
          <w:i/>
          <w:color w:val="231F20"/>
          <w:spacing w:val="-15"/>
          <w:sz w:val="18"/>
        </w:rPr>
        <w:t> </w:t>
      </w:r>
      <w:r>
        <w:rPr>
          <w:i/>
          <w:color w:val="231F20"/>
          <w:sz w:val="18"/>
        </w:rPr>
        <w:t>momento</w:t>
      </w:r>
      <w:r>
        <w:rPr>
          <w:i/>
          <w:color w:val="231F20"/>
          <w:spacing w:val="-15"/>
          <w:sz w:val="18"/>
        </w:rPr>
        <w:t> </w:t>
      </w:r>
      <w:r>
        <w:rPr>
          <w:i/>
          <w:color w:val="231F20"/>
          <w:sz w:val="18"/>
        </w:rPr>
        <w:t>actual</w:t>
      </w:r>
      <w:r>
        <w:rPr>
          <w:color w:val="231F20"/>
          <w:sz w:val="18"/>
        </w:rPr>
        <w:t>,</w:t>
      </w:r>
      <w:r>
        <w:rPr>
          <w:color w:val="231F20"/>
          <w:spacing w:val="-15"/>
          <w:sz w:val="18"/>
        </w:rPr>
        <w:t> </w:t>
      </w:r>
      <w:r>
        <w:rPr>
          <w:color w:val="231F20"/>
          <w:sz w:val="18"/>
        </w:rPr>
        <w:t>Argentina,</w:t>
      </w:r>
      <w:r>
        <w:rPr>
          <w:color w:val="231F20"/>
          <w:spacing w:val="-15"/>
          <w:sz w:val="18"/>
        </w:rPr>
        <w:t> </w:t>
      </w:r>
      <w:r>
        <w:rPr>
          <w:color w:val="231F20"/>
          <w:sz w:val="18"/>
        </w:rPr>
        <w:t>&lt;www.cemida. com.ar/&gt;,  12  de  octubre  de  </w:t>
      </w:r>
      <w:r>
        <w:rPr>
          <w:color w:val="231F20"/>
          <w:spacing w:val="33"/>
          <w:sz w:val="18"/>
        </w:rPr>
        <w:t> </w:t>
      </w:r>
      <w:r>
        <w:rPr>
          <w:color w:val="231F20"/>
          <w:sz w:val="18"/>
        </w:rPr>
        <w:t>2007.</w:t>
      </w:r>
    </w:p>
    <w:p>
      <w:pPr>
        <w:spacing w:before="1"/>
        <w:ind w:left="100" w:right="0" w:firstLine="0"/>
        <w:jc w:val="both"/>
        <w:rPr>
          <w:sz w:val="18"/>
        </w:rPr>
      </w:pPr>
      <w:r>
        <w:rPr>
          <w:color w:val="231F20"/>
          <w:sz w:val="18"/>
        </w:rPr>
        <w:t>cepal, 2007, </w:t>
      </w:r>
      <w:r>
        <w:rPr>
          <w:i/>
          <w:color w:val="231F20"/>
          <w:sz w:val="18"/>
        </w:rPr>
        <w:t>La inversión extranjera directa en América Latina y el Caribe   2006</w:t>
      </w:r>
      <w:r>
        <w:rPr>
          <w:color w:val="231F20"/>
          <w:sz w:val="18"/>
        </w:rPr>
        <w:t>,</w:t>
      </w:r>
    </w:p>
    <w:p>
      <w:pPr>
        <w:spacing w:line="254" w:lineRule="auto" w:before="13"/>
        <w:ind w:left="340" w:right="110" w:firstLine="0"/>
        <w:jc w:val="left"/>
        <w:rPr>
          <w:sz w:val="18"/>
        </w:rPr>
      </w:pPr>
      <w:hyperlink r:id="rId363">
        <w:r>
          <w:rPr>
            <w:color w:val="231F20"/>
            <w:w w:val="110"/>
            <w:sz w:val="18"/>
          </w:rPr>
          <w:t>&lt;www.eclac.org/publicaciones/xml/3/28393/lcg2336e.pdf&gt;,</w:t>
        </w:r>
      </w:hyperlink>
      <w:r>
        <w:rPr>
          <w:color w:val="231F20"/>
          <w:w w:val="110"/>
          <w:sz w:val="18"/>
        </w:rPr>
        <w:t> 14 de enero de 2009.</w:t>
      </w:r>
    </w:p>
    <w:p>
      <w:pPr>
        <w:spacing w:before="1"/>
        <w:ind w:left="100" w:right="0" w:firstLine="0"/>
        <w:jc w:val="both"/>
        <w:rPr>
          <w:sz w:val="18"/>
        </w:rPr>
      </w:pPr>
      <w:r>
        <w:rPr>
          <w:color w:val="231F20"/>
          <w:w w:val="104"/>
          <w:sz w:val="18"/>
          <w:u w:val="single" w:color="221E1F"/>
        </w:rPr>
        <w:t> </w:t>
      </w:r>
      <w:r>
        <w:rPr>
          <w:color w:val="231F20"/>
          <w:sz w:val="18"/>
          <w:u w:val="single" w:color="221E1F"/>
        </w:rPr>
        <w:t>       </w:t>
      </w:r>
      <w:r>
        <w:rPr>
          <w:color w:val="231F20"/>
          <w:sz w:val="18"/>
        </w:rPr>
        <w:t>, 2008, </w:t>
      </w:r>
      <w:r>
        <w:rPr>
          <w:i/>
          <w:color w:val="231F20"/>
          <w:sz w:val="18"/>
        </w:rPr>
        <w:t>La inversión extranjera directa en América Latina y el Caribe 2007</w:t>
      </w:r>
      <w:r>
        <w:rPr>
          <w:color w:val="231F20"/>
          <w:sz w:val="18"/>
        </w:rPr>
        <w:t>,</w:t>
      </w:r>
    </w:p>
    <w:p>
      <w:pPr>
        <w:spacing w:before="13"/>
        <w:ind w:left="340" w:right="25" w:firstLine="0"/>
        <w:jc w:val="left"/>
        <w:rPr>
          <w:sz w:val="18"/>
        </w:rPr>
      </w:pPr>
      <w:hyperlink r:id="rId364">
        <w:r>
          <w:rPr>
            <w:color w:val="231F20"/>
            <w:w w:val="110"/>
            <w:sz w:val="18"/>
          </w:rPr>
          <w:t>&lt;www.eclac.cl&gt;,</w:t>
        </w:r>
      </w:hyperlink>
      <w:r>
        <w:rPr>
          <w:color w:val="231F20"/>
          <w:w w:val="110"/>
          <w:sz w:val="18"/>
        </w:rPr>
        <w:t> 8 de diciembre de 2008.</w:t>
      </w:r>
    </w:p>
    <w:p>
      <w:pPr>
        <w:spacing w:line="254" w:lineRule="auto" w:before="13"/>
        <w:ind w:left="340" w:right="119" w:hanging="240"/>
        <w:jc w:val="both"/>
        <w:rPr>
          <w:sz w:val="18"/>
        </w:rPr>
      </w:pPr>
      <w:r>
        <w:rPr>
          <w:color w:val="231F20"/>
          <w:spacing w:val="3"/>
          <w:w w:val="105"/>
          <w:sz w:val="18"/>
        </w:rPr>
        <w:t>Comando </w:t>
      </w:r>
      <w:r>
        <w:rPr>
          <w:color w:val="231F20"/>
          <w:w w:val="105"/>
          <w:sz w:val="18"/>
        </w:rPr>
        <w:t>Sur, </w:t>
      </w:r>
      <w:r>
        <w:rPr>
          <w:color w:val="231F20"/>
          <w:spacing w:val="3"/>
          <w:w w:val="105"/>
          <w:sz w:val="18"/>
        </w:rPr>
        <w:t>2008, </w:t>
      </w:r>
      <w:r>
        <w:rPr>
          <w:i/>
          <w:color w:val="231F20"/>
          <w:spacing w:val="3"/>
          <w:w w:val="105"/>
          <w:sz w:val="18"/>
        </w:rPr>
        <w:t>United States Southerm Command Strategy 2018, </w:t>
      </w:r>
      <w:r>
        <w:rPr>
          <w:color w:val="231F20"/>
          <w:spacing w:val="2"/>
          <w:w w:val="105"/>
          <w:sz w:val="18"/>
        </w:rPr>
        <w:t>us- </w:t>
      </w:r>
      <w:r>
        <w:rPr>
          <w:color w:val="231F20"/>
          <w:w w:val="105"/>
          <w:sz w:val="18"/>
        </w:rPr>
        <w:t>southerm,</w:t>
      </w:r>
      <w:r>
        <w:rPr>
          <w:color w:val="231F20"/>
          <w:spacing w:val="47"/>
          <w:w w:val="105"/>
          <w:sz w:val="18"/>
        </w:rPr>
        <w:t> </w:t>
      </w:r>
      <w:hyperlink r:id="rId365">
        <w:r>
          <w:rPr>
            <w:color w:val="231F20"/>
            <w:w w:val="105"/>
            <w:sz w:val="18"/>
          </w:rPr>
          <w:t>&lt;www.southcom.mil/AppsSC/files/0UI01177092386.pdf&gt;,</w:t>
        </w:r>
      </w:hyperlink>
      <w:r>
        <w:rPr>
          <w:color w:val="231F20"/>
          <w:w w:val="105"/>
          <w:sz w:val="18"/>
        </w:rPr>
        <w:t>   8  de  enero  de</w:t>
      </w:r>
      <w:r>
        <w:rPr>
          <w:color w:val="231F20"/>
          <w:spacing w:val="6"/>
          <w:w w:val="105"/>
          <w:sz w:val="18"/>
        </w:rPr>
        <w:t> </w:t>
      </w:r>
      <w:r>
        <w:rPr>
          <w:color w:val="231F20"/>
          <w:w w:val="105"/>
          <w:sz w:val="18"/>
        </w:rPr>
        <w:t>2009.</w:t>
      </w:r>
    </w:p>
    <w:p>
      <w:pPr>
        <w:spacing w:line="254" w:lineRule="auto" w:before="1"/>
        <w:ind w:left="340" w:right="119" w:hanging="240"/>
        <w:jc w:val="both"/>
        <w:rPr>
          <w:sz w:val="18"/>
        </w:rPr>
      </w:pPr>
      <w:r>
        <w:rPr>
          <w:color w:val="231F20"/>
          <w:w w:val="105"/>
          <w:sz w:val="18"/>
        </w:rPr>
        <w:t>Declaración de Bridgetown, 2002, </w:t>
      </w:r>
      <w:r>
        <w:rPr>
          <w:i/>
          <w:color w:val="231F20"/>
          <w:w w:val="105"/>
          <w:sz w:val="18"/>
        </w:rPr>
        <w:t>Enfoque multidimensional de la seguridad </w:t>
      </w:r>
      <w:r>
        <w:rPr>
          <w:i/>
          <w:color w:val="231F20"/>
          <w:w w:val="105"/>
          <w:sz w:val="18"/>
        </w:rPr>
        <w:t>hemisférica</w:t>
      </w:r>
      <w:r>
        <w:rPr>
          <w:color w:val="231F20"/>
          <w:w w:val="105"/>
          <w:sz w:val="18"/>
        </w:rPr>
        <w:t>,  oea,  Quebec, AG/CG/doc.15/02</w:t>
      </w:r>
    </w:p>
    <w:p>
      <w:pPr>
        <w:spacing w:after="0" w:line="254" w:lineRule="auto"/>
        <w:jc w:val="both"/>
        <w:rPr>
          <w:sz w:val="18"/>
        </w:rPr>
        <w:sectPr>
          <w:headerReference w:type="even" r:id="rId358"/>
          <w:headerReference w:type="default" r:id="rId359"/>
          <w:pgSz w:w="7640" w:h="11900"/>
          <w:pgMar w:header="672" w:footer="0" w:top="860" w:bottom="280" w:left="780" w:right="640"/>
        </w:sectPr>
      </w:pPr>
    </w:p>
    <w:p>
      <w:pPr>
        <w:pStyle w:val="BodyText"/>
        <w:spacing w:before="8"/>
        <w:rPr>
          <w:sz w:val="8"/>
        </w:rPr>
      </w:pPr>
    </w:p>
    <w:p>
      <w:pPr>
        <w:spacing w:line="254" w:lineRule="auto" w:before="71"/>
        <w:ind w:left="340" w:right="118" w:hanging="240"/>
        <w:jc w:val="both"/>
        <w:rPr>
          <w:sz w:val="18"/>
        </w:rPr>
      </w:pPr>
      <w:r>
        <w:rPr>
          <w:i/>
          <w:color w:val="231F20"/>
          <w:sz w:val="18"/>
        </w:rPr>
        <w:t>Declaración sobre Seguridad de las Américas</w:t>
      </w:r>
      <w:r>
        <w:rPr>
          <w:color w:val="231F20"/>
          <w:sz w:val="18"/>
        </w:rPr>
        <w:t>, 2003, Conferencia Especial sobre Seguridad,   México,  oea.</w:t>
      </w:r>
    </w:p>
    <w:p>
      <w:pPr>
        <w:spacing w:line="254" w:lineRule="auto" w:before="1"/>
        <w:ind w:left="340" w:right="117" w:hanging="240"/>
        <w:jc w:val="both"/>
        <w:rPr>
          <w:sz w:val="18"/>
        </w:rPr>
      </w:pPr>
      <w:r>
        <w:rPr>
          <w:i/>
          <w:color w:val="231F20"/>
          <w:sz w:val="18"/>
        </w:rPr>
        <w:t>Documento</w:t>
      </w:r>
      <w:r>
        <w:rPr>
          <w:i/>
          <w:color w:val="231F20"/>
          <w:spacing w:val="-18"/>
          <w:sz w:val="18"/>
        </w:rPr>
        <w:t> </w:t>
      </w:r>
      <w:r>
        <w:rPr>
          <w:i/>
          <w:color w:val="231F20"/>
          <w:sz w:val="18"/>
        </w:rPr>
        <w:t>de</w:t>
      </w:r>
      <w:r>
        <w:rPr>
          <w:i/>
          <w:color w:val="231F20"/>
          <w:spacing w:val="-18"/>
          <w:sz w:val="18"/>
        </w:rPr>
        <w:t> </w:t>
      </w:r>
      <w:r>
        <w:rPr>
          <w:i/>
          <w:color w:val="231F20"/>
          <w:sz w:val="18"/>
        </w:rPr>
        <w:t>Santa</w:t>
      </w:r>
      <w:r>
        <w:rPr>
          <w:i/>
          <w:color w:val="231F20"/>
          <w:spacing w:val="-18"/>
          <w:sz w:val="18"/>
        </w:rPr>
        <w:t> </w:t>
      </w:r>
      <w:r>
        <w:rPr>
          <w:i/>
          <w:color w:val="231F20"/>
          <w:sz w:val="18"/>
        </w:rPr>
        <w:t>Fe</w:t>
      </w:r>
      <w:r>
        <w:rPr>
          <w:i/>
          <w:color w:val="231F20"/>
          <w:spacing w:val="-18"/>
          <w:sz w:val="18"/>
        </w:rPr>
        <w:t> </w:t>
      </w:r>
      <w:r>
        <w:rPr>
          <w:i/>
          <w:color w:val="231F20"/>
          <w:sz w:val="18"/>
        </w:rPr>
        <w:t>II.</w:t>
      </w:r>
      <w:r>
        <w:rPr>
          <w:i/>
          <w:color w:val="231F20"/>
          <w:spacing w:val="-18"/>
          <w:sz w:val="18"/>
        </w:rPr>
        <w:t> </w:t>
      </w:r>
      <w:r>
        <w:rPr>
          <w:i/>
          <w:color w:val="231F20"/>
          <w:sz w:val="18"/>
        </w:rPr>
        <w:t>Una</w:t>
      </w:r>
      <w:r>
        <w:rPr>
          <w:i/>
          <w:color w:val="231F20"/>
          <w:spacing w:val="-18"/>
          <w:sz w:val="18"/>
        </w:rPr>
        <w:t> </w:t>
      </w:r>
      <w:r>
        <w:rPr>
          <w:i/>
          <w:color w:val="231F20"/>
          <w:sz w:val="18"/>
        </w:rPr>
        <w:t>estrategia</w:t>
      </w:r>
      <w:r>
        <w:rPr>
          <w:i/>
          <w:color w:val="231F20"/>
          <w:spacing w:val="-18"/>
          <w:sz w:val="18"/>
        </w:rPr>
        <w:t> </w:t>
      </w:r>
      <w:r>
        <w:rPr>
          <w:i/>
          <w:color w:val="231F20"/>
          <w:sz w:val="18"/>
        </w:rPr>
        <w:t>para</w:t>
      </w:r>
      <w:r>
        <w:rPr>
          <w:i/>
          <w:color w:val="231F20"/>
          <w:spacing w:val="-18"/>
          <w:sz w:val="18"/>
        </w:rPr>
        <w:t> </w:t>
      </w:r>
      <w:r>
        <w:rPr>
          <w:i/>
          <w:color w:val="231F20"/>
          <w:sz w:val="18"/>
        </w:rPr>
        <w:t>América</w:t>
      </w:r>
      <w:r>
        <w:rPr>
          <w:i/>
          <w:color w:val="231F20"/>
          <w:spacing w:val="-18"/>
          <w:sz w:val="18"/>
        </w:rPr>
        <w:t> </w:t>
      </w:r>
      <w:r>
        <w:rPr>
          <w:i/>
          <w:color w:val="231F20"/>
          <w:sz w:val="18"/>
        </w:rPr>
        <w:t>Latina</w:t>
      </w:r>
      <w:r>
        <w:rPr>
          <w:i/>
          <w:color w:val="231F20"/>
          <w:spacing w:val="-18"/>
          <w:sz w:val="18"/>
        </w:rPr>
        <w:t> </w:t>
      </w:r>
      <w:r>
        <w:rPr>
          <w:i/>
          <w:color w:val="231F20"/>
          <w:sz w:val="18"/>
        </w:rPr>
        <w:t>en</w:t>
      </w:r>
      <w:r>
        <w:rPr>
          <w:i/>
          <w:color w:val="231F20"/>
          <w:spacing w:val="-18"/>
          <w:sz w:val="18"/>
        </w:rPr>
        <w:t> </w:t>
      </w:r>
      <w:r>
        <w:rPr>
          <w:i/>
          <w:color w:val="231F20"/>
          <w:sz w:val="18"/>
        </w:rPr>
        <w:t>la</w:t>
      </w:r>
      <w:r>
        <w:rPr>
          <w:i/>
          <w:color w:val="231F20"/>
          <w:spacing w:val="-18"/>
          <w:sz w:val="18"/>
        </w:rPr>
        <w:t> </w:t>
      </w:r>
      <w:r>
        <w:rPr>
          <w:i/>
          <w:color w:val="231F20"/>
          <w:sz w:val="18"/>
        </w:rPr>
        <w:t>década</w:t>
      </w:r>
      <w:r>
        <w:rPr>
          <w:i/>
          <w:color w:val="231F20"/>
          <w:spacing w:val="-18"/>
          <w:sz w:val="18"/>
        </w:rPr>
        <w:t> </w:t>
      </w:r>
      <w:r>
        <w:rPr>
          <w:i/>
          <w:color w:val="231F20"/>
          <w:sz w:val="18"/>
        </w:rPr>
        <w:t>de</w:t>
      </w:r>
      <w:r>
        <w:rPr>
          <w:i/>
          <w:color w:val="231F20"/>
          <w:spacing w:val="-18"/>
          <w:sz w:val="18"/>
        </w:rPr>
        <w:t> </w:t>
      </w:r>
      <w:r>
        <w:rPr>
          <w:i/>
          <w:color w:val="231F20"/>
          <w:sz w:val="18"/>
        </w:rPr>
        <w:t>1990</w:t>
      </w:r>
      <w:r>
        <w:rPr>
          <w:color w:val="231F20"/>
          <w:sz w:val="18"/>
        </w:rPr>
        <w:t>, </w:t>
      </w:r>
      <w:r>
        <w:rPr>
          <w:color w:val="231F20"/>
          <w:w w:val="105"/>
          <w:sz w:val="18"/>
        </w:rPr>
        <w:t>1988, Comité de Santa Fé, </w:t>
      </w:r>
      <w:hyperlink r:id="rId366">
        <w:r>
          <w:rPr>
            <w:color w:val="231F20"/>
            <w:w w:val="105"/>
            <w:sz w:val="18"/>
          </w:rPr>
          <w:t>&lt;www.geocities.com/proyectoemancipacion/</w:t>
        </w:r>
      </w:hyperlink>
      <w:r>
        <w:rPr>
          <w:color w:val="231F20"/>
          <w:w w:val="105"/>
          <w:sz w:val="18"/>
        </w:rPr>
        <w:t> documentossantafe/documentos_santa_fe.htm&gt;,  8  de  enero  de  </w:t>
      </w:r>
      <w:r>
        <w:rPr>
          <w:color w:val="231F20"/>
          <w:spacing w:val="35"/>
          <w:w w:val="105"/>
          <w:sz w:val="18"/>
        </w:rPr>
        <w:t> </w:t>
      </w:r>
      <w:r>
        <w:rPr>
          <w:color w:val="231F20"/>
          <w:w w:val="105"/>
          <w:sz w:val="18"/>
        </w:rPr>
        <w:t>2007.</w:t>
      </w:r>
    </w:p>
    <w:p>
      <w:pPr>
        <w:spacing w:line="254" w:lineRule="auto" w:before="1"/>
        <w:ind w:left="340" w:right="117" w:hanging="240"/>
        <w:jc w:val="left"/>
        <w:rPr>
          <w:sz w:val="18"/>
        </w:rPr>
      </w:pPr>
      <w:r>
        <w:rPr>
          <w:color w:val="231F20"/>
          <w:w w:val="105"/>
          <w:sz w:val="18"/>
        </w:rPr>
        <w:t>eclac,</w:t>
      </w:r>
      <w:r>
        <w:rPr>
          <w:color w:val="231F20"/>
          <w:spacing w:val="-27"/>
          <w:w w:val="105"/>
          <w:sz w:val="18"/>
        </w:rPr>
        <w:t> </w:t>
      </w:r>
      <w:r>
        <w:rPr>
          <w:color w:val="231F20"/>
          <w:w w:val="105"/>
          <w:sz w:val="18"/>
        </w:rPr>
        <w:t>2005,</w:t>
      </w:r>
      <w:r>
        <w:rPr>
          <w:color w:val="231F20"/>
          <w:spacing w:val="-27"/>
          <w:w w:val="105"/>
          <w:sz w:val="18"/>
        </w:rPr>
        <w:t> </w:t>
      </w:r>
      <w:r>
        <w:rPr>
          <w:i/>
          <w:color w:val="231F20"/>
          <w:w w:val="105"/>
          <w:sz w:val="18"/>
        </w:rPr>
        <w:t>Foreing</w:t>
      </w:r>
      <w:r>
        <w:rPr>
          <w:i/>
          <w:color w:val="231F20"/>
          <w:spacing w:val="-27"/>
          <w:w w:val="105"/>
          <w:sz w:val="18"/>
        </w:rPr>
        <w:t> </w:t>
      </w:r>
      <w:r>
        <w:rPr>
          <w:i/>
          <w:color w:val="231F20"/>
          <w:w w:val="105"/>
          <w:sz w:val="18"/>
        </w:rPr>
        <w:t>Investment</w:t>
      </w:r>
      <w:r>
        <w:rPr>
          <w:i/>
          <w:color w:val="231F20"/>
          <w:spacing w:val="-27"/>
          <w:w w:val="105"/>
          <w:sz w:val="18"/>
        </w:rPr>
        <w:t> </w:t>
      </w:r>
      <w:r>
        <w:rPr>
          <w:i/>
          <w:color w:val="231F20"/>
          <w:w w:val="105"/>
          <w:sz w:val="18"/>
        </w:rPr>
        <w:t>in</w:t>
      </w:r>
      <w:r>
        <w:rPr>
          <w:i/>
          <w:color w:val="231F20"/>
          <w:spacing w:val="-27"/>
          <w:w w:val="105"/>
          <w:sz w:val="18"/>
        </w:rPr>
        <w:t> </w:t>
      </w:r>
      <w:r>
        <w:rPr>
          <w:i/>
          <w:color w:val="231F20"/>
          <w:w w:val="105"/>
          <w:sz w:val="18"/>
        </w:rPr>
        <w:t>Latin</w:t>
      </w:r>
      <w:r>
        <w:rPr>
          <w:i/>
          <w:color w:val="231F20"/>
          <w:spacing w:val="-27"/>
          <w:w w:val="105"/>
          <w:sz w:val="18"/>
        </w:rPr>
        <w:t> </w:t>
      </w:r>
      <w:r>
        <w:rPr>
          <w:i/>
          <w:color w:val="231F20"/>
          <w:w w:val="105"/>
          <w:sz w:val="18"/>
        </w:rPr>
        <w:t>America</w:t>
      </w:r>
      <w:r>
        <w:rPr>
          <w:i/>
          <w:color w:val="231F20"/>
          <w:spacing w:val="-27"/>
          <w:w w:val="105"/>
          <w:sz w:val="18"/>
        </w:rPr>
        <w:t> </w:t>
      </w:r>
      <w:r>
        <w:rPr>
          <w:i/>
          <w:color w:val="231F20"/>
          <w:w w:val="105"/>
          <w:sz w:val="18"/>
        </w:rPr>
        <w:t>and</w:t>
      </w:r>
      <w:r>
        <w:rPr>
          <w:i/>
          <w:color w:val="231F20"/>
          <w:spacing w:val="-27"/>
          <w:w w:val="105"/>
          <w:sz w:val="18"/>
        </w:rPr>
        <w:t> </w:t>
      </w:r>
      <w:r>
        <w:rPr>
          <w:i/>
          <w:color w:val="231F20"/>
          <w:w w:val="105"/>
          <w:sz w:val="18"/>
        </w:rPr>
        <w:t>the</w:t>
      </w:r>
      <w:r>
        <w:rPr>
          <w:i/>
          <w:color w:val="231F20"/>
          <w:spacing w:val="-27"/>
          <w:w w:val="105"/>
          <w:sz w:val="18"/>
        </w:rPr>
        <w:t> </w:t>
      </w:r>
      <w:r>
        <w:rPr>
          <w:i/>
          <w:color w:val="231F20"/>
          <w:w w:val="105"/>
          <w:sz w:val="18"/>
        </w:rPr>
        <w:t>Caribbean</w:t>
      </w:r>
      <w:r>
        <w:rPr>
          <w:i/>
          <w:color w:val="231F20"/>
          <w:spacing w:val="-27"/>
          <w:w w:val="105"/>
          <w:sz w:val="18"/>
        </w:rPr>
        <w:t> </w:t>
      </w:r>
      <w:r>
        <w:rPr>
          <w:i/>
          <w:color w:val="231F20"/>
          <w:w w:val="105"/>
          <w:sz w:val="18"/>
        </w:rPr>
        <w:t>2004</w:t>
      </w:r>
      <w:r>
        <w:rPr>
          <w:color w:val="231F20"/>
          <w:w w:val="105"/>
          <w:sz w:val="18"/>
        </w:rPr>
        <w:t>,</w:t>
      </w:r>
      <w:r>
        <w:rPr>
          <w:color w:val="231F20"/>
          <w:spacing w:val="-27"/>
          <w:w w:val="105"/>
          <w:sz w:val="18"/>
        </w:rPr>
        <w:t> </w:t>
      </w:r>
      <w:hyperlink r:id="rId47">
        <w:r>
          <w:rPr>
            <w:color w:val="231F20"/>
            <w:spacing w:val="-3"/>
            <w:w w:val="105"/>
            <w:sz w:val="18"/>
          </w:rPr>
          <w:t>&lt;www</w:t>
        </w:r>
      </w:hyperlink>
      <w:r>
        <w:rPr>
          <w:color w:val="231F20"/>
          <w:spacing w:val="-3"/>
          <w:w w:val="105"/>
          <w:sz w:val="18"/>
        </w:rPr>
        <w:t>. </w:t>
      </w:r>
      <w:r>
        <w:rPr>
          <w:color w:val="231F20"/>
          <w:w w:val="105"/>
          <w:sz w:val="18"/>
        </w:rPr>
        <w:t>eclac.org/publicaciones/xml/0/20930/2004%20IED-2004-INGWEB.    pdf&gt;, 9 de diciembre de  </w:t>
      </w:r>
      <w:r>
        <w:rPr>
          <w:color w:val="231F20"/>
          <w:spacing w:val="27"/>
          <w:w w:val="105"/>
          <w:sz w:val="18"/>
        </w:rPr>
        <w:t> </w:t>
      </w:r>
      <w:r>
        <w:rPr>
          <w:color w:val="231F20"/>
          <w:w w:val="105"/>
          <w:sz w:val="18"/>
        </w:rPr>
        <w:t>2008.</w:t>
      </w:r>
    </w:p>
    <w:p>
      <w:pPr>
        <w:spacing w:line="254" w:lineRule="auto" w:before="1"/>
        <w:ind w:left="340" w:right="117" w:hanging="240"/>
        <w:jc w:val="both"/>
        <w:rPr>
          <w:sz w:val="18"/>
        </w:rPr>
      </w:pPr>
      <w:r>
        <w:rPr>
          <w:color w:val="231F20"/>
          <w:w w:val="110"/>
          <w:sz w:val="18"/>
        </w:rPr>
        <w:t>Egremy,</w:t>
      </w:r>
      <w:r>
        <w:rPr>
          <w:color w:val="231F20"/>
          <w:spacing w:val="-25"/>
          <w:w w:val="110"/>
          <w:sz w:val="18"/>
        </w:rPr>
        <w:t> </w:t>
      </w:r>
      <w:r>
        <w:rPr>
          <w:color w:val="231F20"/>
          <w:w w:val="110"/>
          <w:sz w:val="18"/>
        </w:rPr>
        <w:t>Nydia,</w:t>
      </w:r>
      <w:r>
        <w:rPr>
          <w:color w:val="231F20"/>
          <w:spacing w:val="-25"/>
          <w:w w:val="110"/>
          <w:sz w:val="18"/>
        </w:rPr>
        <w:t> </w:t>
      </w:r>
      <w:r>
        <w:rPr>
          <w:color w:val="231F20"/>
          <w:w w:val="110"/>
          <w:sz w:val="18"/>
        </w:rPr>
        <w:t>2007,</w:t>
      </w:r>
      <w:r>
        <w:rPr>
          <w:color w:val="231F20"/>
          <w:spacing w:val="-25"/>
          <w:w w:val="110"/>
          <w:sz w:val="18"/>
        </w:rPr>
        <w:t> </w:t>
      </w:r>
      <w:r>
        <w:rPr>
          <w:color w:val="231F20"/>
          <w:w w:val="110"/>
          <w:sz w:val="18"/>
        </w:rPr>
        <w:t>“Comando</w:t>
      </w:r>
      <w:r>
        <w:rPr>
          <w:color w:val="231F20"/>
          <w:spacing w:val="-25"/>
          <w:w w:val="110"/>
          <w:sz w:val="18"/>
        </w:rPr>
        <w:t> </w:t>
      </w:r>
      <w:r>
        <w:rPr>
          <w:color w:val="231F20"/>
          <w:w w:val="110"/>
          <w:sz w:val="18"/>
        </w:rPr>
        <w:t>del</w:t>
      </w:r>
      <w:r>
        <w:rPr>
          <w:color w:val="231F20"/>
          <w:spacing w:val="-25"/>
          <w:w w:val="110"/>
          <w:sz w:val="18"/>
        </w:rPr>
        <w:t> </w:t>
      </w:r>
      <w:r>
        <w:rPr>
          <w:color w:val="231F20"/>
          <w:w w:val="110"/>
          <w:sz w:val="18"/>
        </w:rPr>
        <w:t>Norte</w:t>
      </w:r>
      <w:r>
        <w:rPr>
          <w:color w:val="231F20"/>
          <w:spacing w:val="-25"/>
          <w:w w:val="110"/>
          <w:sz w:val="18"/>
        </w:rPr>
        <w:t> </w:t>
      </w:r>
      <w:r>
        <w:rPr>
          <w:color w:val="231F20"/>
          <w:w w:val="110"/>
          <w:sz w:val="18"/>
        </w:rPr>
        <w:t>engulle</w:t>
      </w:r>
      <w:r>
        <w:rPr>
          <w:color w:val="231F20"/>
          <w:spacing w:val="-25"/>
          <w:w w:val="110"/>
          <w:sz w:val="18"/>
        </w:rPr>
        <w:t> </w:t>
      </w:r>
      <w:r>
        <w:rPr>
          <w:color w:val="231F20"/>
          <w:w w:val="110"/>
          <w:sz w:val="18"/>
        </w:rPr>
        <w:t>a</w:t>
      </w:r>
      <w:r>
        <w:rPr>
          <w:color w:val="231F20"/>
          <w:spacing w:val="-25"/>
          <w:w w:val="110"/>
          <w:sz w:val="18"/>
        </w:rPr>
        <w:t> </w:t>
      </w:r>
      <w:r>
        <w:rPr>
          <w:color w:val="231F20"/>
          <w:w w:val="110"/>
          <w:sz w:val="18"/>
        </w:rPr>
        <w:t>México”,</w:t>
      </w:r>
      <w:r>
        <w:rPr>
          <w:color w:val="231F20"/>
          <w:spacing w:val="-25"/>
          <w:w w:val="110"/>
          <w:sz w:val="18"/>
        </w:rPr>
        <w:t> </w:t>
      </w:r>
      <w:r>
        <w:rPr>
          <w:color w:val="231F20"/>
          <w:w w:val="110"/>
          <w:sz w:val="18"/>
        </w:rPr>
        <w:t>en</w:t>
      </w:r>
      <w:r>
        <w:rPr>
          <w:color w:val="231F20"/>
          <w:spacing w:val="-25"/>
          <w:w w:val="110"/>
          <w:sz w:val="18"/>
        </w:rPr>
        <w:t> </w:t>
      </w:r>
      <w:r>
        <w:rPr>
          <w:i/>
          <w:color w:val="231F20"/>
          <w:w w:val="110"/>
          <w:sz w:val="18"/>
        </w:rPr>
        <w:t>Voltairenet</w:t>
      </w:r>
      <w:r>
        <w:rPr>
          <w:color w:val="231F20"/>
          <w:w w:val="110"/>
          <w:sz w:val="18"/>
        </w:rPr>
        <w:t>, año 5, núm. 70, 20 de enero,</w:t>
      </w:r>
      <w:r>
        <w:rPr>
          <w:color w:val="231F20"/>
          <w:spacing w:val="-19"/>
          <w:w w:val="110"/>
          <w:sz w:val="18"/>
        </w:rPr>
        <w:t> </w:t>
      </w:r>
      <w:hyperlink r:id="rId367">
        <w:r>
          <w:rPr>
            <w:color w:val="231F20"/>
            <w:w w:val="110"/>
            <w:sz w:val="18"/>
          </w:rPr>
          <w:t>&lt;www.voltairenet.org/article144607.html&gt;,</w:t>
        </w:r>
      </w:hyperlink>
    </w:p>
    <w:p>
      <w:pPr>
        <w:spacing w:before="1"/>
        <w:ind w:left="340" w:right="25" w:firstLine="0"/>
        <w:jc w:val="left"/>
        <w:rPr>
          <w:sz w:val="18"/>
        </w:rPr>
      </w:pPr>
      <w:r>
        <w:rPr>
          <w:color w:val="231F20"/>
          <w:w w:val="110"/>
          <w:sz w:val="18"/>
        </w:rPr>
        <w:t>12 de febrero de 2007.</w:t>
      </w:r>
    </w:p>
    <w:p>
      <w:pPr>
        <w:spacing w:line="254" w:lineRule="auto" w:before="13"/>
        <w:ind w:left="340" w:right="117" w:hanging="240"/>
        <w:jc w:val="both"/>
        <w:rPr>
          <w:sz w:val="18"/>
        </w:rPr>
      </w:pPr>
      <w:r>
        <w:rPr>
          <w:color w:val="231F20"/>
          <w:w w:val="105"/>
          <w:sz w:val="18"/>
        </w:rPr>
        <w:t>Estay, Jaime y Germán Sánchez (coords.), 2005, </w:t>
      </w:r>
      <w:r>
        <w:rPr>
          <w:i/>
          <w:color w:val="231F20"/>
          <w:w w:val="105"/>
          <w:sz w:val="18"/>
        </w:rPr>
        <w:t>El </w:t>
      </w:r>
      <w:r>
        <w:rPr>
          <w:i/>
          <w:color w:val="231F20"/>
          <w:w w:val="120"/>
          <w:sz w:val="13"/>
        </w:rPr>
        <w:t>alca </w:t>
      </w:r>
      <w:r>
        <w:rPr>
          <w:i/>
          <w:color w:val="231F20"/>
          <w:w w:val="105"/>
          <w:sz w:val="18"/>
        </w:rPr>
        <w:t>y sus peligros para </w:t>
      </w:r>
      <w:r>
        <w:rPr>
          <w:i/>
          <w:color w:val="231F20"/>
          <w:w w:val="105"/>
          <w:sz w:val="18"/>
        </w:rPr>
        <w:t>América Latina</w:t>
      </w:r>
      <w:r>
        <w:rPr>
          <w:color w:val="231F20"/>
          <w:w w:val="105"/>
          <w:sz w:val="18"/>
        </w:rPr>
        <w:t>, Buenos Aires, clacso, </w:t>
      </w:r>
      <w:hyperlink r:id="rId368">
        <w:r>
          <w:rPr>
            <w:color w:val="231F20"/>
            <w:w w:val="105"/>
            <w:sz w:val="18"/>
          </w:rPr>
          <w:t>&lt;http://168.96.200.17/ar/libros/</w:t>
        </w:r>
      </w:hyperlink>
      <w:r>
        <w:rPr>
          <w:color w:val="231F20"/>
          <w:w w:val="105"/>
          <w:sz w:val="18"/>
        </w:rPr>
        <w:t> alca/Estay-Sanchez.pdf&gt;, 9 de noviembre de   2007.</w:t>
      </w:r>
    </w:p>
    <w:p>
      <w:pPr>
        <w:spacing w:line="254" w:lineRule="auto" w:before="1"/>
        <w:ind w:left="340" w:right="119" w:hanging="240"/>
        <w:jc w:val="both"/>
        <w:rPr>
          <w:sz w:val="18"/>
        </w:rPr>
      </w:pPr>
      <w:r>
        <w:rPr>
          <w:i/>
          <w:color w:val="231F20"/>
          <w:w w:val="105"/>
          <w:sz w:val="18"/>
        </w:rPr>
        <w:t>Iniciativa</w:t>
      </w:r>
      <w:r>
        <w:rPr>
          <w:i/>
          <w:color w:val="231F20"/>
          <w:spacing w:val="-22"/>
          <w:w w:val="105"/>
          <w:sz w:val="18"/>
        </w:rPr>
        <w:t> </w:t>
      </w:r>
      <w:r>
        <w:rPr>
          <w:i/>
          <w:color w:val="231F20"/>
          <w:w w:val="105"/>
          <w:sz w:val="18"/>
        </w:rPr>
        <w:t>Caminos</w:t>
      </w:r>
      <w:r>
        <w:rPr>
          <w:i/>
          <w:color w:val="231F20"/>
          <w:spacing w:val="-22"/>
          <w:w w:val="105"/>
          <w:sz w:val="18"/>
        </w:rPr>
        <w:t> </w:t>
      </w:r>
      <w:r>
        <w:rPr>
          <w:i/>
          <w:color w:val="231F20"/>
          <w:w w:val="105"/>
          <w:sz w:val="18"/>
        </w:rPr>
        <w:t>hacia</w:t>
      </w:r>
      <w:r>
        <w:rPr>
          <w:i/>
          <w:color w:val="231F20"/>
          <w:spacing w:val="-22"/>
          <w:w w:val="105"/>
          <w:sz w:val="18"/>
        </w:rPr>
        <w:t> </w:t>
      </w:r>
      <w:r>
        <w:rPr>
          <w:i/>
          <w:color w:val="231F20"/>
          <w:w w:val="105"/>
          <w:sz w:val="18"/>
        </w:rPr>
        <w:t>la</w:t>
      </w:r>
      <w:r>
        <w:rPr>
          <w:i/>
          <w:color w:val="231F20"/>
          <w:spacing w:val="-22"/>
          <w:w w:val="105"/>
          <w:sz w:val="18"/>
        </w:rPr>
        <w:t> </w:t>
      </w:r>
      <w:r>
        <w:rPr>
          <w:i/>
          <w:color w:val="231F20"/>
          <w:w w:val="105"/>
          <w:sz w:val="18"/>
        </w:rPr>
        <w:t>Prosperidad</w:t>
      </w:r>
      <w:r>
        <w:rPr>
          <w:i/>
          <w:color w:val="231F20"/>
          <w:spacing w:val="-22"/>
          <w:w w:val="105"/>
          <w:sz w:val="18"/>
        </w:rPr>
        <w:t> </w:t>
      </w:r>
      <w:r>
        <w:rPr>
          <w:i/>
          <w:color w:val="231F20"/>
          <w:w w:val="105"/>
          <w:sz w:val="18"/>
        </w:rPr>
        <w:t>en</w:t>
      </w:r>
      <w:r>
        <w:rPr>
          <w:i/>
          <w:color w:val="231F20"/>
          <w:spacing w:val="-22"/>
          <w:w w:val="105"/>
          <w:sz w:val="18"/>
        </w:rPr>
        <w:t> </w:t>
      </w:r>
      <w:r>
        <w:rPr>
          <w:i/>
          <w:color w:val="231F20"/>
          <w:w w:val="105"/>
          <w:sz w:val="18"/>
        </w:rPr>
        <w:t>las</w:t>
      </w:r>
      <w:r>
        <w:rPr>
          <w:i/>
          <w:color w:val="231F20"/>
          <w:spacing w:val="-22"/>
          <w:w w:val="105"/>
          <w:sz w:val="18"/>
        </w:rPr>
        <w:t> </w:t>
      </w:r>
      <w:r>
        <w:rPr>
          <w:i/>
          <w:color w:val="231F20"/>
          <w:w w:val="105"/>
          <w:sz w:val="18"/>
        </w:rPr>
        <w:t>Américas</w:t>
      </w:r>
      <w:r>
        <w:rPr>
          <w:color w:val="231F20"/>
          <w:w w:val="105"/>
          <w:sz w:val="18"/>
        </w:rPr>
        <w:t>,</w:t>
      </w:r>
      <w:r>
        <w:rPr>
          <w:color w:val="231F20"/>
          <w:spacing w:val="-22"/>
          <w:w w:val="105"/>
          <w:sz w:val="18"/>
        </w:rPr>
        <w:t> </w:t>
      </w:r>
      <w:r>
        <w:rPr>
          <w:color w:val="231F20"/>
          <w:w w:val="105"/>
          <w:sz w:val="18"/>
        </w:rPr>
        <w:t>2008,</w:t>
      </w:r>
      <w:r>
        <w:rPr>
          <w:color w:val="231F20"/>
          <w:spacing w:val="-22"/>
          <w:w w:val="105"/>
          <w:sz w:val="18"/>
        </w:rPr>
        <w:t> </w:t>
      </w:r>
      <w:r>
        <w:rPr>
          <w:color w:val="231F20"/>
          <w:w w:val="105"/>
          <w:sz w:val="18"/>
        </w:rPr>
        <w:t>Departamento</w:t>
      </w:r>
      <w:r>
        <w:rPr>
          <w:color w:val="231F20"/>
          <w:spacing w:val="-22"/>
          <w:w w:val="105"/>
          <w:sz w:val="18"/>
        </w:rPr>
        <w:t> </w:t>
      </w:r>
      <w:r>
        <w:rPr>
          <w:color w:val="231F20"/>
          <w:w w:val="105"/>
          <w:sz w:val="18"/>
        </w:rPr>
        <w:t>de</w:t>
      </w:r>
      <w:r>
        <w:rPr>
          <w:color w:val="231F20"/>
          <w:w w:val="114"/>
          <w:sz w:val="18"/>
        </w:rPr>
        <w:t> </w:t>
      </w:r>
      <w:r>
        <w:rPr>
          <w:color w:val="231F20"/>
          <w:w w:val="105"/>
          <w:sz w:val="18"/>
        </w:rPr>
        <w:t>Estado, Gobierno de Estados Unidos, 24 de</w:t>
      </w:r>
      <w:r>
        <w:rPr>
          <w:color w:val="231F20"/>
          <w:spacing w:val="14"/>
          <w:w w:val="105"/>
          <w:sz w:val="18"/>
        </w:rPr>
        <w:t> </w:t>
      </w:r>
      <w:r>
        <w:rPr>
          <w:color w:val="231F20"/>
          <w:w w:val="105"/>
          <w:sz w:val="18"/>
        </w:rPr>
        <w:t>septiembre,</w:t>
      </w:r>
      <w:r>
        <w:rPr>
          <w:color w:val="231F20"/>
          <w:spacing w:val="42"/>
          <w:w w:val="105"/>
          <w:sz w:val="18"/>
        </w:rPr>
        <w:t> </w:t>
      </w:r>
      <w:hyperlink r:id="rId369">
        <w:r>
          <w:rPr>
            <w:color w:val="231F20"/>
            <w:w w:val="105"/>
            <w:sz w:val="18"/>
          </w:rPr>
          <w:t>&lt;http://mexico.</w:t>
        </w:r>
      </w:hyperlink>
      <w:r>
        <w:rPr>
          <w:color w:val="231F20"/>
          <w:w w:val="117"/>
          <w:sz w:val="18"/>
        </w:rPr>
        <w:t> </w:t>
      </w:r>
      <w:r>
        <w:rPr>
          <w:color w:val="231F20"/>
          <w:w w:val="105"/>
          <w:sz w:val="18"/>
        </w:rPr>
        <w:t>usembassy.gov/pdf/tradeworks_esp.pdf&gt;,  2  de  junio  de</w:t>
      </w:r>
      <w:r>
        <w:rPr>
          <w:color w:val="231F20"/>
          <w:spacing w:val="12"/>
          <w:w w:val="105"/>
          <w:sz w:val="18"/>
        </w:rPr>
        <w:t> </w:t>
      </w:r>
      <w:r>
        <w:rPr>
          <w:color w:val="231F20"/>
          <w:w w:val="105"/>
          <w:sz w:val="18"/>
        </w:rPr>
        <w:t>2009.</w:t>
      </w:r>
    </w:p>
    <w:p>
      <w:pPr>
        <w:spacing w:line="254" w:lineRule="auto" w:before="1"/>
        <w:ind w:left="340" w:right="117" w:hanging="240"/>
        <w:jc w:val="both"/>
        <w:rPr>
          <w:sz w:val="18"/>
        </w:rPr>
      </w:pPr>
      <w:r>
        <w:rPr>
          <w:color w:val="231F20"/>
          <w:spacing w:val="-3"/>
          <w:w w:val="105"/>
          <w:sz w:val="18"/>
        </w:rPr>
        <w:t>Lucier,</w:t>
      </w:r>
      <w:r>
        <w:rPr>
          <w:color w:val="231F20"/>
          <w:spacing w:val="-16"/>
          <w:w w:val="105"/>
          <w:sz w:val="18"/>
        </w:rPr>
        <w:t> </w:t>
      </w:r>
      <w:r>
        <w:rPr>
          <w:color w:val="231F20"/>
          <w:w w:val="105"/>
          <w:sz w:val="18"/>
        </w:rPr>
        <w:t>James</w:t>
      </w:r>
      <w:r>
        <w:rPr>
          <w:color w:val="231F20"/>
          <w:spacing w:val="-16"/>
          <w:w w:val="105"/>
          <w:sz w:val="18"/>
        </w:rPr>
        <w:t> </w:t>
      </w:r>
      <w:r>
        <w:rPr>
          <w:color w:val="231F20"/>
          <w:spacing w:val="-8"/>
          <w:w w:val="105"/>
          <w:sz w:val="18"/>
        </w:rPr>
        <w:t>P.,</w:t>
      </w:r>
      <w:r>
        <w:rPr>
          <w:color w:val="231F20"/>
          <w:spacing w:val="-16"/>
          <w:w w:val="105"/>
          <w:sz w:val="18"/>
        </w:rPr>
        <w:t> </w:t>
      </w:r>
      <w:r>
        <w:rPr>
          <w:color w:val="231F20"/>
          <w:w w:val="105"/>
          <w:sz w:val="18"/>
        </w:rPr>
        <w:t>2000,</w:t>
      </w:r>
      <w:r>
        <w:rPr>
          <w:color w:val="231F20"/>
          <w:spacing w:val="-16"/>
          <w:w w:val="105"/>
          <w:sz w:val="18"/>
        </w:rPr>
        <w:t> </w:t>
      </w:r>
      <w:r>
        <w:rPr>
          <w:i/>
          <w:color w:val="231F20"/>
          <w:w w:val="105"/>
          <w:sz w:val="18"/>
        </w:rPr>
        <w:t>Documento</w:t>
      </w:r>
      <w:r>
        <w:rPr>
          <w:i/>
          <w:color w:val="231F20"/>
          <w:spacing w:val="-16"/>
          <w:w w:val="105"/>
          <w:sz w:val="18"/>
        </w:rPr>
        <w:t> </w:t>
      </w:r>
      <w:r>
        <w:rPr>
          <w:i/>
          <w:color w:val="231F20"/>
          <w:w w:val="105"/>
          <w:sz w:val="18"/>
        </w:rPr>
        <w:t>de</w:t>
      </w:r>
      <w:r>
        <w:rPr>
          <w:i/>
          <w:color w:val="231F20"/>
          <w:spacing w:val="-16"/>
          <w:w w:val="105"/>
          <w:sz w:val="18"/>
        </w:rPr>
        <w:t> </w:t>
      </w:r>
      <w:r>
        <w:rPr>
          <w:i/>
          <w:color w:val="231F20"/>
          <w:w w:val="105"/>
          <w:sz w:val="18"/>
        </w:rPr>
        <w:t>Santa</w:t>
      </w:r>
      <w:r>
        <w:rPr>
          <w:i/>
          <w:color w:val="231F20"/>
          <w:spacing w:val="-16"/>
          <w:w w:val="105"/>
          <w:sz w:val="18"/>
        </w:rPr>
        <w:t> </w:t>
      </w:r>
      <w:r>
        <w:rPr>
          <w:i/>
          <w:color w:val="231F20"/>
          <w:w w:val="105"/>
          <w:sz w:val="18"/>
        </w:rPr>
        <w:t>Fe</w:t>
      </w:r>
      <w:r>
        <w:rPr>
          <w:i/>
          <w:color w:val="231F20"/>
          <w:spacing w:val="-16"/>
          <w:w w:val="105"/>
          <w:sz w:val="18"/>
        </w:rPr>
        <w:t> </w:t>
      </w:r>
      <w:r>
        <w:rPr>
          <w:i/>
          <w:color w:val="231F20"/>
          <w:w w:val="105"/>
          <w:sz w:val="18"/>
        </w:rPr>
        <w:t>IV</w:t>
      </w:r>
      <w:r>
        <w:rPr>
          <w:i/>
          <w:color w:val="231F20"/>
          <w:spacing w:val="-16"/>
          <w:w w:val="105"/>
          <w:sz w:val="18"/>
        </w:rPr>
        <w:t> </w:t>
      </w:r>
      <w:r>
        <w:rPr>
          <w:i/>
          <w:color w:val="231F20"/>
          <w:w w:val="105"/>
          <w:sz w:val="18"/>
        </w:rPr>
        <w:t>Latinoamérica</w:t>
      </w:r>
      <w:r>
        <w:rPr>
          <w:i/>
          <w:color w:val="231F20"/>
          <w:spacing w:val="-16"/>
          <w:w w:val="105"/>
          <w:sz w:val="18"/>
        </w:rPr>
        <w:t> </w:t>
      </w:r>
      <w:r>
        <w:rPr>
          <w:i/>
          <w:color w:val="231F20"/>
          <w:w w:val="105"/>
          <w:sz w:val="18"/>
        </w:rPr>
        <w:t>hoy</w:t>
      </w:r>
      <w:r>
        <w:rPr>
          <w:color w:val="231F20"/>
          <w:w w:val="105"/>
          <w:sz w:val="18"/>
        </w:rPr>
        <w:t>,</w:t>
      </w:r>
      <w:r>
        <w:rPr>
          <w:color w:val="231F20"/>
          <w:spacing w:val="-16"/>
          <w:w w:val="105"/>
          <w:sz w:val="18"/>
        </w:rPr>
        <w:t> </w:t>
      </w:r>
      <w:r>
        <w:rPr>
          <w:color w:val="231F20"/>
          <w:w w:val="105"/>
          <w:sz w:val="18"/>
        </w:rPr>
        <w:t>Comité</w:t>
      </w:r>
      <w:r>
        <w:rPr>
          <w:color w:val="231F20"/>
          <w:spacing w:val="-16"/>
          <w:w w:val="105"/>
          <w:sz w:val="18"/>
        </w:rPr>
        <w:t> </w:t>
      </w:r>
      <w:r>
        <w:rPr>
          <w:color w:val="231F20"/>
          <w:w w:val="105"/>
          <w:sz w:val="18"/>
        </w:rPr>
        <w:t>de Relaciones Extranjeras del Gobierno de Estados Unidos, &lt;www.emancipa- cion.org/descargas/santafe_IV.pdf&gt;,  3  de  enero  de </w:t>
      </w:r>
      <w:r>
        <w:rPr>
          <w:color w:val="231F20"/>
          <w:spacing w:val="5"/>
          <w:w w:val="105"/>
          <w:sz w:val="18"/>
        </w:rPr>
        <w:t> </w:t>
      </w:r>
      <w:r>
        <w:rPr>
          <w:color w:val="231F20"/>
          <w:w w:val="105"/>
          <w:sz w:val="18"/>
        </w:rPr>
        <w:t>2007.</w:t>
      </w:r>
    </w:p>
    <w:p>
      <w:pPr>
        <w:spacing w:before="1"/>
        <w:ind w:left="100" w:right="-2" w:firstLine="0"/>
        <w:jc w:val="left"/>
        <w:rPr>
          <w:sz w:val="18"/>
        </w:rPr>
      </w:pPr>
      <w:r>
        <w:rPr>
          <w:color w:val="231F20"/>
          <w:w w:val="105"/>
          <w:sz w:val="18"/>
        </w:rPr>
        <w:t>Millet, Damien y Eric Toussaint, 2009, “Las cifras de la deuda 2009”, CADTM,</w:t>
      </w:r>
    </w:p>
    <w:p>
      <w:pPr>
        <w:spacing w:line="254" w:lineRule="auto" w:before="13"/>
        <w:ind w:left="340" w:right="119" w:firstLine="0"/>
        <w:jc w:val="left"/>
        <w:rPr>
          <w:sz w:val="18"/>
        </w:rPr>
      </w:pPr>
      <w:hyperlink r:id="rId370">
        <w:r>
          <w:rPr>
            <w:color w:val="231F20"/>
            <w:sz w:val="18"/>
          </w:rPr>
          <w:t>&lt;www.cadtm.org/IMG/pdf/LAS_CIFRAS_DE_</w:t>
        </w:r>
      </w:hyperlink>
      <w:r>
        <w:rPr>
          <w:color w:val="231F20"/>
          <w:sz w:val="18"/>
        </w:rPr>
        <w:t>     LA_DEUDA_2009-1.pdf&gt;, </w:t>
      </w:r>
      <w:r>
        <w:rPr>
          <w:color w:val="231F20"/>
          <w:w w:val="105"/>
          <w:sz w:val="18"/>
        </w:rPr>
        <w:t>9 de julio de  2009.</w:t>
      </w:r>
    </w:p>
    <w:p>
      <w:pPr>
        <w:spacing w:line="254" w:lineRule="auto" w:before="1"/>
        <w:ind w:left="340" w:right="114" w:hanging="240"/>
        <w:jc w:val="both"/>
        <w:rPr>
          <w:sz w:val="18"/>
        </w:rPr>
      </w:pPr>
      <w:r>
        <w:rPr>
          <w:i/>
          <w:color w:val="231F20"/>
          <w:w w:val="105"/>
          <w:sz w:val="18"/>
        </w:rPr>
        <w:t>National Strategy for Homeland Security, </w:t>
      </w:r>
      <w:r>
        <w:rPr>
          <w:color w:val="231F20"/>
          <w:w w:val="105"/>
          <w:sz w:val="18"/>
        </w:rPr>
        <w:t>2002, Office for Homeland Security, </w:t>
      </w:r>
      <w:r>
        <w:rPr>
          <w:color w:val="231F20"/>
          <w:w w:val="110"/>
          <w:sz w:val="18"/>
        </w:rPr>
        <w:t>Casa Blanca, Washington, </w:t>
      </w:r>
      <w:hyperlink r:id="rId371">
        <w:r>
          <w:rPr>
            <w:color w:val="231F20"/>
            <w:w w:val="110"/>
            <w:sz w:val="18"/>
          </w:rPr>
          <w:t>&lt;www.dhs.gov/xlibrary/assets/nat_strat_hls.</w:t>
        </w:r>
      </w:hyperlink>
      <w:r>
        <w:rPr>
          <w:color w:val="231F20"/>
          <w:w w:val="110"/>
          <w:sz w:val="18"/>
        </w:rPr>
        <w:t> pdf&gt;, 28 de noviembre de 2008.</w:t>
      </w:r>
    </w:p>
    <w:p>
      <w:pPr>
        <w:spacing w:line="254" w:lineRule="auto" w:before="1"/>
        <w:ind w:left="340" w:right="117" w:hanging="240"/>
        <w:jc w:val="both"/>
        <w:rPr>
          <w:sz w:val="18"/>
        </w:rPr>
      </w:pPr>
      <w:r>
        <w:rPr>
          <w:color w:val="231F20"/>
          <w:w w:val="105"/>
          <w:sz w:val="18"/>
        </w:rPr>
        <w:t>Ornelas, Raúl, 2003, “América Latina: territorio de construcción de hege- monías”,</w:t>
      </w:r>
      <w:r>
        <w:rPr>
          <w:color w:val="231F20"/>
          <w:spacing w:val="-22"/>
          <w:w w:val="105"/>
          <w:sz w:val="18"/>
        </w:rPr>
        <w:t> </w:t>
      </w:r>
      <w:r>
        <w:rPr>
          <w:color w:val="231F20"/>
          <w:w w:val="105"/>
          <w:sz w:val="18"/>
        </w:rPr>
        <w:t>en</w:t>
      </w:r>
      <w:r>
        <w:rPr>
          <w:color w:val="231F20"/>
          <w:spacing w:val="-22"/>
          <w:w w:val="105"/>
          <w:sz w:val="18"/>
        </w:rPr>
        <w:t> </w:t>
      </w:r>
      <w:r>
        <w:rPr>
          <w:i/>
          <w:color w:val="231F20"/>
          <w:w w:val="105"/>
          <w:sz w:val="18"/>
        </w:rPr>
        <w:t>Revista</w:t>
      </w:r>
      <w:r>
        <w:rPr>
          <w:i/>
          <w:color w:val="231F20"/>
          <w:spacing w:val="-22"/>
          <w:w w:val="105"/>
          <w:sz w:val="18"/>
        </w:rPr>
        <w:t> </w:t>
      </w:r>
      <w:r>
        <w:rPr>
          <w:i/>
          <w:color w:val="231F20"/>
          <w:w w:val="105"/>
          <w:sz w:val="18"/>
        </w:rPr>
        <w:t>Venezolana</w:t>
      </w:r>
      <w:r>
        <w:rPr>
          <w:i/>
          <w:color w:val="231F20"/>
          <w:spacing w:val="-22"/>
          <w:w w:val="105"/>
          <w:sz w:val="18"/>
        </w:rPr>
        <w:t> </w:t>
      </w:r>
      <w:r>
        <w:rPr>
          <w:i/>
          <w:color w:val="231F20"/>
          <w:w w:val="105"/>
          <w:sz w:val="18"/>
        </w:rPr>
        <w:t>de</w:t>
      </w:r>
      <w:r>
        <w:rPr>
          <w:i/>
          <w:color w:val="231F20"/>
          <w:spacing w:val="-22"/>
          <w:w w:val="105"/>
          <w:sz w:val="18"/>
        </w:rPr>
        <w:t> </w:t>
      </w:r>
      <w:r>
        <w:rPr>
          <w:i/>
          <w:color w:val="231F20"/>
          <w:w w:val="105"/>
          <w:sz w:val="18"/>
        </w:rPr>
        <w:t>Economía</w:t>
      </w:r>
      <w:r>
        <w:rPr>
          <w:i/>
          <w:color w:val="231F20"/>
          <w:spacing w:val="-22"/>
          <w:w w:val="105"/>
          <w:sz w:val="18"/>
        </w:rPr>
        <w:t> </w:t>
      </w:r>
      <w:r>
        <w:rPr>
          <w:i/>
          <w:color w:val="231F20"/>
          <w:w w:val="105"/>
          <w:sz w:val="18"/>
        </w:rPr>
        <w:t>y</w:t>
      </w:r>
      <w:r>
        <w:rPr>
          <w:i/>
          <w:color w:val="231F20"/>
          <w:spacing w:val="-22"/>
          <w:w w:val="105"/>
          <w:sz w:val="18"/>
        </w:rPr>
        <w:t> </w:t>
      </w:r>
      <w:r>
        <w:rPr>
          <w:i/>
          <w:color w:val="231F20"/>
          <w:w w:val="105"/>
          <w:sz w:val="18"/>
        </w:rPr>
        <w:t>Ciencias</w:t>
      </w:r>
      <w:r>
        <w:rPr>
          <w:i/>
          <w:color w:val="231F20"/>
          <w:spacing w:val="-22"/>
          <w:w w:val="105"/>
          <w:sz w:val="18"/>
        </w:rPr>
        <w:t> </w:t>
      </w:r>
      <w:r>
        <w:rPr>
          <w:i/>
          <w:color w:val="231F20"/>
          <w:w w:val="105"/>
          <w:sz w:val="18"/>
        </w:rPr>
        <w:t>Sociales</w:t>
      </w:r>
      <w:r>
        <w:rPr>
          <w:color w:val="231F20"/>
          <w:w w:val="105"/>
          <w:sz w:val="18"/>
        </w:rPr>
        <w:t>,</w:t>
      </w:r>
      <w:r>
        <w:rPr>
          <w:color w:val="231F20"/>
          <w:spacing w:val="-22"/>
          <w:w w:val="105"/>
          <w:sz w:val="18"/>
        </w:rPr>
        <w:t> </w:t>
      </w:r>
      <w:r>
        <w:rPr>
          <w:color w:val="231F20"/>
          <w:w w:val="105"/>
          <w:sz w:val="18"/>
        </w:rPr>
        <w:t>vol.</w:t>
      </w:r>
      <w:r>
        <w:rPr>
          <w:color w:val="231F20"/>
          <w:spacing w:val="-22"/>
          <w:w w:val="105"/>
          <w:sz w:val="18"/>
        </w:rPr>
        <w:t> </w:t>
      </w:r>
      <w:r>
        <w:rPr>
          <w:color w:val="231F20"/>
          <w:w w:val="105"/>
          <w:sz w:val="18"/>
        </w:rPr>
        <w:t>9,</w:t>
      </w:r>
      <w:r>
        <w:rPr>
          <w:color w:val="231F20"/>
          <w:spacing w:val="-22"/>
          <w:w w:val="105"/>
          <w:sz w:val="18"/>
        </w:rPr>
        <w:t> </w:t>
      </w:r>
      <w:r>
        <w:rPr>
          <w:color w:val="231F20"/>
          <w:w w:val="105"/>
          <w:sz w:val="18"/>
        </w:rPr>
        <w:t>núm. 2,</w:t>
      </w:r>
      <w:r>
        <w:rPr>
          <w:color w:val="231F20"/>
          <w:spacing w:val="-3"/>
          <w:w w:val="105"/>
          <w:sz w:val="18"/>
        </w:rPr>
        <w:t> </w:t>
      </w:r>
      <w:r>
        <w:rPr>
          <w:color w:val="231F20"/>
          <w:w w:val="105"/>
          <w:sz w:val="18"/>
        </w:rPr>
        <w:t>mayo-agosto.</w:t>
      </w:r>
    </w:p>
    <w:p>
      <w:pPr>
        <w:spacing w:line="254" w:lineRule="auto" w:before="1"/>
        <w:ind w:left="100" w:right="117" w:firstLine="0"/>
        <w:jc w:val="right"/>
        <w:rPr>
          <w:sz w:val="18"/>
        </w:rPr>
      </w:pPr>
      <w:r>
        <w:rPr>
          <w:i/>
          <w:color w:val="231F20"/>
          <w:w w:val="105"/>
          <w:sz w:val="18"/>
        </w:rPr>
        <w:t>RED VOLTAIRE</w:t>
      </w:r>
      <w:r>
        <w:rPr>
          <w:color w:val="231F20"/>
          <w:w w:val="105"/>
          <w:sz w:val="18"/>
        </w:rPr>
        <w:t>, 2005, “EEUU: la guerra, única alternativa a la crisis econó-</w:t>
      </w:r>
      <w:r>
        <w:rPr>
          <w:color w:val="231F20"/>
          <w:w w:val="72"/>
          <w:sz w:val="18"/>
        </w:rPr>
        <w:t> </w:t>
      </w:r>
      <w:r>
        <w:rPr>
          <w:color w:val="231F20"/>
          <w:w w:val="105"/>
          <w:sz w:val="18"/>
        </w:rPr>
        <w:t>mica”, 16 de noviembre, </w:t>
      </w:r>
      <w:hyperlink r:id="rId372">
        <w:r>
          <w:rPr>
            <w:color w:val="231F20"/>
            <w:w w:val="105"/>
            <w:sz w:val="18"/>
          </w:rPr>
          <w:t>&lt;www.nodo50.org/tortuga&gt;,</w:t>
        </w:r>
      </w:hyperlink>
      <w:r>
        <w:rPr>
          <w:color w:val="231F20"/>
          <w:w w:val="105"/>
          <w:sz w:val="18"/>
        </w:rPr>
        <w:t> 3 de enero de 2009.</w:t>
      </w:r>
      <w:r>
        <w:rPr>
          <w:color w:val="231F20"/>
          <w:w w:val="104"/>
          <w:sz w:val="18"/>
        </w:rPr>
        <w:t> </w:t>
      </w:r>
      <w:r>
        <w:rPr>
          <w:color w:val="231F20"/>
          <w:w w:val="105"/>
          <w:sz w:val="18"/>
        </w:rPr>
        <w:t>Reforma al Código Federal, Artículo 139, 2007, Dictamen de las Comisiones</w:t>
      </w:r>
      <w:r>
        <w:rPr>
          <w:color w:val="231F20"/>
          <w:w w:val="106"/>
          <w:sz w:val="18"/>
        </w:rPr>
        <w:t> </w:t>
      </w:r>
      <w:r>
        <w:rPr>
          <w:color w:val="231F20"/>
          <w:w w:val="105"/>
          <w:sz w:val="18"/>
        </w:rPr>
        <w:t>de Estudios Legislativos, en </w:t>
      </w:r>
      <w:r>
        <w:rPr>
          <w:i/>
          <w:color w:val="231F20"/>
          <w:w w:val="105"/>
          <w:sz w:val="18"/>
        </w:rPr>
        <w:t>Gaceta del Senado de la República</w:t>
      </w:r>
      <w:r>
        <w:rPr>
          <w:color w:val="231F20"/>
          <w:w w:val="105"/>
          <w:sz w:val="18"/>
        </w:rPr>
        <w:t>, México, núm.</w:t>
      </w:r>
    </w:p>
    <w:p>
      <w:pPr>
        <w:spacing w:before="1"/>
        <w:ind w:left="340" w:right="25" w:firstLine="0"/>
        <w:jc w:val="left"/>
        <w:rPr>
          <w:sz w:val="18"/>
        </w:rPr>
      </w:pPr>
      <w:r>
        <w:rPr>
          <w:color w:val="231F20"/>
          <w:w w:val="110"/>
          <w:sz w:val="18"/>
        </w:rPr>
        <w:t>103, 26 de abril.</w:t>
      </w:r>
    </w:p>
    <w:p>
      <w:pPr>
        <w:spacing w:line="254" w:lineRule="auto" w:before="13"/>
        <w:ind w:left="340" w:right="117" w:hanging="240"/>
        <w:jc w:val="both"/>
        <w:rPr>
          <w:sz w:val="18"/>
        </w:rPr>
      </w:pPr>
      <w:r>
        <w:rPr>
          <w:color w:val="231F20"/>
          <w:sz w:val="18"/>
        </w:rPr>
        <w:t>Rodríguez Rejas, María José, 2010, </w:t>
      </w:r>
      <w:r>
        <w:rPr>
          <w:i/>
          <w:color w:val="231F20"/>
          <w:sz w:val="18"/>
        </w:rPr>
        <w:t>La espiral de la militarización política en </w:t>
      </w:r>
      <w:r>
        <w:rPr>
          <w:i/>
          <w:color w:val="231F20"/>
          <w:sz w:val="18"/>
        </w:rPr>
        <w:t>América</w:t>
      </w:r>
      <w:r>
        <w:rPr>
          <w:i/>
          <w:color w:val="231F20"/>
          <w:spacing w:val="-18"/>
          <w:sz w:val="18"/>
        </w:rPr>
        <w:t> </w:t>
      </w:r>
      <w:r>
        <w:rPr>
          <w:i/>
          <w:color w:val="231F20"/>
          <w:sz w:val="18"/>
        </w:rPr>
        <w:t>Latina:</w:t>
      </w:r>
      <w:r>
        <w:rPr>
          <w:i/>
          <w:color w:val="231F20"/>
          <w:spacing w:val="-18"/>
          <w:sz w:val="18"/>
        </w:rPr>
        <w:t> </w:t>
      </w:r>
      <w:r>
        <w:rPr>
          <w:i/>
          <w:color w:val="231F20"/>
          <w:sz w:val="18"/>
        </w:rPr>
        <w:t>del</w:t>
      </w:r>
      <w:r>
        <w:rPr>
          <w:i/>
          <w:color w:val="231F20"/>
          <w:spacing w:val="-18"/>
          <w:sz w:val="18"/>
        </w:rPr>
        <w:t> </w:t>
      </w:r>
      <w:r>
        <w:rPr>
          <w:i/>
          <w:color w:val="231F20"/>
          <w:sz w:val="18"/>
        </w:rPr>
        <w:t>Proyecto</w:t>
      </w:r>
      <w:r>
        <w:rPr>
          <w:i/>
          <w:color w:val="231F20"/>
          <w:spacing w:val="-18"/>
          <w:sz w:val="18"/>
        </w:rPr>
        <w:t> </w:t>
      </w:r>
      <w:r>
        <w:rPr>
          <w:i/>
          <w:color w:val="231F20"/>
          <w:sz w:val="18"/>
        </w:rPr>
        <w:t>Hemisférico</w:t>
      </w:r>
      <w:r>
        <w:rPr>
          <w:i/>
          <w:color w:val="231F20"/>
          <w:spacing w:val="-18"/>
          <w:sz w:val="18"/>
        </w:rPr>
        <w:t> </w:t>
      </w:r>
      <w:r>
        <w:rPr>
          <w:i/>
          <w:color w:val="231F20"/>
          <w:sz w:val="18"/>
        </w:rPr>
        <w:t>a</w:t>
      </w:r>
      <w:r>
        <w:rPr>
          <w:i/>
          <w:color w:val="231F20"/>
          <w:spacing w:val="-18"/>
          <w:sz w:val="18"/>
        </w:rPr>
        <w:t> </w:t>
      </w:r>
      <w:r>
        <w:rPr>
          <w:i/>
          <w:color w:val="231F20"/>
          <w:sz w:val="18"/>
        </w:rPr>
        <w:t>la</w:t>
      </w:r>
      <w:r>
        <w:rPr>
          <w:i/>
          <w:color w:val="231F20"/>
          <w:spacing w:val="-18"/>
          <w:sz w:val="18"/>
        </w:rPr>
        <w:t> </w:t>
      </w:r>
      <w:r>
        <w:rPr>
          <w:i/>
          <w:color w:val="231F20"/>
          <w:sz w:val="18"/>
        </w:rPr>
        <w:t>dominación</w:t>
      </w:r>
      <w:r>
        <w:rPr>
          <w:i/>
          <w:color w:val="231F20"/>
          <w:spacing w:val="-18"/>
          <w:sz w:val="18"/>
        </w:rPr>
        <w:t> </w:t>
      </w:r>
      <w:r>
        <w:rPr>
          <w:i/>
          <w:color w:val="231F20"/>
          <w:sz w:val="18"/>
        </w:rPr>
        <w:t>neoliberal</w:t>
      </w:r>
      <w:r>
        <w:rPr>
          <w:i/>
          <w:color w:val="231F20"/>
          <w:spacing w:val="-18"/>
          <w:sz w:val="18"/>
        </w:rPr>
        <w:t> </w:t>
      </w:r>
      <w:r>
        <w:rPr>
          <w:i/>
          <w:color w:val="231F20"/>
          <w:sz w:val="18"/>
        </w:rPr>
        <w:t>(México</w:t>
      </w:r>
      <w:r>
        <w:rPr>
          <w:i/>
          <w:color w:val="231F20"/>
          <w:spacing w:val="-18"/>
          <w:sz w:val="18"/>
        </w:rPr>
        <w:t> </w:t>
      </w:r>
      <w:r>
        <w:rPr>
          <w:i/>
          <w:color w:val="231F20"/>
          <w:sz w:val="18"/>
        </w:rPr>
        <w:t>un caso de estudio ejemplar)</w:t>
      </w:r>
      <w:r>
        <w:rPr>
          <w:color w:val="231F20"/>
          <w:sz w:val="18"/>
        </w:rPr>
        <w:t>, tesis de doctorado en Estudios Latinoamericanos, México,  </w:t>
      </w:r>
      <w:r>
        <w:rPr>
          <w:color w:val="231F20"/>
          <w:spacing w:val="2"/>
          <w:sz w:val="18"/>
        </w:rPr>
        <w:t> </w:t>
      </w:r>
      <w:r>
        <w:rPr>
          <w:color w:val="231F20"/>
          <w:sz w:val="18"/>
        </w:rPr>
        <w:t>unam.</w:t>
      </w:r>
    </w:p>
    <w:p>
      <w:pPr>
        <w:spacing w:line="254" w:lineRule="auto" w:before="1"/>
        <w:ind w:left="340" w:right="117" w:hanging="240"/>
        <w:jc w:val="both"/>
        <w:rPr>
          <w:sz w:val="18"/>
        </w:rPr>
      </w:pPr>
      <w:r>
        <w:rPr>
          <w:color w:val="231F20"/>
          <w:sz w:val="18"/>
        </w:rPr>
        <w:t>Ruiz-Caro,</w:t>
      </w:r>
      <w:r>
        <w:rPr>
          <w:color w:val="231F20"/>
          <w:spacing w:val="-18"/>
          <w:sz w:val="18"/>
        </w:rPr>
        <w:t> </w:t>
      </w:r>
      <w:r>
        <w:rPr>
          <w:color w:val="231F20"/>
          <w:sz w:val="18"/>
        </w:rPr>
        <w:t>Ariela,</w:t>
      </w:r>
      <w:r>
        <w:rPr>
          <w:color w:val="231F20"/>
          <w:spacing w:val="-18"/>
          <w:sz w:val="18"/>
        </w:rPr>
        <w:t> </w:t>
      </w:r>
      <w:r>
        <w:rPr>
          <w:color w:val="231F20"/>
          <w:sz w:val="18"/>
        </w:rPr>
        <w:t>2005,</w:t>
      </w:r>
      <w:r>
        <w:rPr>
          <w:color w:val="231F20"/>
          <w:spacing w:val="-18"/>
          <w:sz w:val="18"/>
        </w:rPr>
        <w:t> </w:t>
      </w:r>
      <w:r>
        <w:rPr>
          <w:i/>
          <w:color w:val="231F20"/>
          <w:sz w:val="18"/>
        </w:rPr>
        <w:t>Los</w:t>
      </w:r>
      <w:r>
        <w:rPr>
          <w:i/>
          <w:color w:val="231F20"/>
          <w:spacing w:val="-18"/>
          <w:sz w:val="18"/>
        </w:rPr>
        <w:t> </w:t>
      </w:r>
      <w:r>
        <w:rPr>
          <w:i/>
          <w:color w:val="231F20"/>
          <w:sz w:val="18"/>
        </w:rPr>
        <w:t>recursos</w:t>
      </w:r>
      <w:r>
        <w:rPr>
          <w:i/>
          <w:color w:val="231F20"/>
          <w:spacing w:val="-18"/>
          <w:sz w:val="18"/>
        </w:rPr>
        <w:t> </w:t>
      </w:r>
      <w:r>
        <w:rPr>
          <w:i/>
          <w:color w:val="231F20"/>
          <w:sz w:val="18"/>
        </w:rPr>
        <w:t>naturales</w:t>
      </w:r>
      <w:r>
        <w:rPr>
          <w:i/>
          <w:color w:val="231F20"/>
          <w:spacing w:val="-18"/>
          <w:sz w:val="18"/>
        </w:rPr>
        <w:t> </w:t>
      </w:r>
      <w:r>
        <w:rPr>
          <w:i/>
          <w:color w:val="231F20"/>
          <w:sz w:val="18"/>
        </w:rPr>
        <w:t>en</w:t>
      </w:r>
      <w:r>
        <w:rPr>
          <w:i/>
          <w:color w:val="231F20"/>
          <w:spacing w:val="-18"/>
          <w:sz w:val="18"/>
        </w:rPr>
        <w:t> </w:t>
      </w:r>
      <w:r>
        <w:rPr>
          <w:i/>
          <w:color w:val="231F20"/>
          <w:sz w:val="18"/>
        </w:rPr>
        <w:t>los</w:t>
      </w:r>
      <w:r>
        <w:rPr>
          <w:i/>
          <w:color w:val="231F20"/>
          <w:spacing w:val="-18"/>
          <w:sz w:val="18"/>
        </w:rPr>
        <w:t> </w:t>
      </w:r>
      <w:r>
        <w:rPr>
          <w:i/>
          <w:color w:val="231F20"/>
          <w:sz w:val="18"/>
        </w:rPr>
        <w:t>tratados</w:t>
      </w:r>
      <w:r>
        <w:rPr>
          <w:i/>
          <w:color w:val="231F20"/>
          <w:spacing w:val="-18"/>
          <w:sz w:val="18"/>
        </w:rPr>
        <w:t> </w:t>
      </w:r>
      <w:r>
        <w:rPr>
          <w:i/>
          <w:color w:val="231F20"/>
          <w:sz w:val="18"/>
        </w:rPr>
        <w:t>de</w:t>
      </w:r>
      <w:r>
        <w:rPr>
          <w:i/>
          <w:color w:val="231F20"/>
          <w:spacing w:val="-18"/>
          <w:sz w:val="18"/>
        </w:rPr>
        <w:t> </w:t>
      </w:r>
      <w:r>
        <w:rPr>
          <w:i/>
          <w:color w:val="231F20"/>
          <w:sz w:val="18"/>
        </w:rPr>
        <w:t>libre</w:t>
      </w:r>
      <w:r>
        <w:rPr>
          <w:i/>
          <w:color w:val="231F20"/>
          <w:spacing w:val="-18"/>
          <w:sz w:val="18"/>
        </w:rPr>
        <w:t> </w:t>
      </w:r>
      <w:r>
        <w:rPr>
          <w:i/>
          <w:color w:val="231F20"/>
          <w:sz w:val="18"/>
        </w:rPr>
        <w:t>comercio</w:t>
      </w:r>
      <w:r>
        <w:rPr>
          <w:i/>
          <w:color w:val="231F20"/>
          <w:spacing w:val="-18"/>
          <w:sz w:val="18"/>
        </w:rPr>
        <w:t> </w:t>
      </w:r>
      <w:r>
        <w:rPr>
          <w:i/>
          <w:color w:val="231F20"/>
          <w:sz w:val="18"/>
        </w:rPr>
        <w:t>con </w:t>
      </w:r>
      <w:r>
        <w:rPr>
          <w:i/>
          <w:color w:val="231F20"/>
          <w:sz w:val="18"/>
        </w:rPr>
        <w:t>Estados Unidos</w:t>
      </w:r>
      <w:r>
        <w:rPr>
          <w:color w:val="231F20"/>
          <w:sz w:val="18"/>
        </w:rPr>
        <w:t>, Serie Recursos Naturales e Infraestructura, cepal, Santiago    de </w:t>
      </w:r>
      <w:r>
        <w:rPr>
          <w:color w:val="231F20"/>
          <w:spacing w:val="25"/>
          <w:sz w:val="18"/>
        </w:rPr>
        <w:t> </w:t>
      </w:r>
      <w:r>
        <w:rPr>
          <w:color w:val="231F20"/>
          <w:sz w:val="18"/>
        </w:rPr>
        <w:t>Chile.</w:t>
      </w:r>
    </w:p>
    <w:p>
      <w:pPr>
        <w:spacing w:line="254" w:lineRule="auto" w:before="1"/>
        <w:ind w:left="340" w:right="117" w:hanging="240"/>
        <w:jc w:val="both"/>
        <w:rPr>
          <w:sz w:val="18"/>
        </w:rPr>
      </w:pPr>
      <w:r>
        <w:rPr>
          <w:color w:val="231F20"/>
          <w:spacing w:val="-3"/>
          <w:sz w:val="18"/>
        </w:rPr>
        <w:t>Tambs, </w:t>
      </w:r>
      <w:r>
        <w:rPr>
          <w:color w:val="231F20"/>
          <w:sz w:val="18"/>
        </w:rPr>
        <w:t>Lewis (ed.) (1980). </w:t>
      </w:r>
      <w:r>
        <w:rPr>
          <w:i/>
          <w:color w:val="231F20"/>
          <w:sz w:val="18"/>
        </w:rPr>
        <w:t>Documento de Santa Fé I. Las relaciones interame- </w:t>
      </w:r>
      <w:r>
        <w:rPr>
          <w:i/>
          <w:color w:val="231F20"/>
          <w:sz w:val="18"/>
        </w:rPr>
        <w:t>ricanas:</w:t>
      </w:r>
      <w:r>
        <w:rPr>
          <w:i/>
          <w:color w:val="231F20"/>
          <w:spacing w:val="-4"/>
          <w:sz w:val="18"/>
        </w:rPr>
        <w:t> </w:t>
      </w:r>
      <w:r>
        <w:rPr>
          <w:i/>
          <w:color w:val="231F20"/>
          <w:sz w:val="18"/>
        </w:rPr>
        <w:t>Escudo</w:t>
      </w:r>
      <w:r>
        <w:rPr>
          <w:i/>
          <w:color w:val="231F20"/>
          <w:spacing w:val="-4"/>
          <w:sz w:val="18"/>
        </w:rPr>
        <w:t> </w:t>
      </w:r>
      <w:r>
        <w:rPr>
          <w:i/>
          <w:color w:val="231F20"/>
          <w:sz w:val="18"/>
        </w:rPr>
        <w:t>de</w:t>
      </w:r>
      <w:r>
        <w:rPr>
          <w:i/>
          <w:color w:val="231F20"/>
          <w:spacing w:val="-4"/>
          <w:sz w:val="18"/>
        </w:rPr>
        <w:t> </w:t>
      </w:r>
      <w:r>
        <w:rPr>
          <w:i/>
          <w:color w:val="231F20"/>
          <w:sz w:val="18"/>
        </w:rPr>
        <w:t>la</w:t>
      </w:r>
      <w:r>
        <w:rPr>
          <w:i/>
          <w:color w:val="231F20"/>
          <w:spacing w:val="-4"/>
          <w:sz w:val="18"/>
        </w:rPr>
        <w:t> </w:t>
      </w:r>
      <w:r>
        <w:rPr>
          <w:i/>
          <w:color w:val="231F20"/>
          <w:sz w:val="18"/>
        </w:rPr>
        <w:t>seguridad</w:t>
      </w:r>
      <w:r>
        <w:rPr>
          <w:i/>
          <w:color w:val="231F20"/>
          <w:spacing w:val="-4"/>
          <w:sz w:val="18"/>
        </w:rPr>
        <w:t> </w:t>
      </w:r>
      <w:r>
        <w:rPr>
          <w:i/>
          <w:color w:val="231F20"/>
          <w:sz w:val="18"/>
        </w:rPr>
        <w:t>del</w:t>
      </w:r>
      <w:r>
        <w:rPr>
          <w:i/>
          <w:color w:val="231F20"/>
          <w:spacing w:val="-4"/>
          <w:sz w:val="18"/>
        </w:rPr>
        <w:t> </w:t>
      </w:r>
      <w:r>
        <w:rPr>
          <w:i/>
          <w:color w:val="231F20"/>
          <w:sz w:val="18"/>
        </w:rPr>
        <w:t>nuevo</w:t>
      </w:r>
      <w:r>
        <w:rPr>
          <w:i/>
          <w:color w:val="231F20"/>
          <w:spacing w:val="-4"/>
          <w:sz w:val="18"/>
        </w:rPr>
        <w:t> </w:t>
      </w:r>
      <w:r>
        <w:rPr>
          <w:i/>
          <w:color w:val="231F20"/>
          <w:sz w:val="18"/>
        </w:rPr>
        <w:t>mundo</w:t>
      </w:r>
      <w:r>
        <w:rPr>
          <w:i/>
          <w:color w:val="231F20"/>
          <w:spacing w:val="-4"/>
          <w:sz w:val="18"/>
        </w:rPr>
        <w:t> </w:t>
      </w:r>
      <w:r>
        <w:rPr>
          <w:i/>
          <w:color w:val="231F20"/>
          <w:sz w:val="18"/>
        </w:rPr>
        <w:t>y</w:t>
      </w:r>
      <w:r>
        <w:rPr>
          <w:i/>
          <w:color w:val="231F20"/>
          <w:spacing w:val="-4"/>
          <w:sz w:val="18"/>
        </w:rPr>
        <w:t> </w:t>
      </w:r>
      <w:r>
        <w:rPr>
          <w:i/>
          <w:color w:val="231F20"/>
          <w:sz w:val="18"/>
        </w:rPr>
        <w:t>espada</w:t>
      </w:r>
      <w:r>
        <w:rPr>
          <w:i/>
          <w:color w:val="231F20"/>
          <w:spacing w:val="-4"/>
          <w:sz w:val="18"/>
        </w:rPr>
        <w:t> </w:t>
      </w:r>
      <w:r>
        <w:rPr>
          <w:i/>
          <w:color w:val="231F20"/>
          <w:sz w:val="18"/>
        </w:rPr>
        <w:t>de</w:t>
      </w:r>
      <w:r>
        <w:rPr>
          <w:i/>
          <w:color w:val="231F20"/>
          <w:spacing w:val="-4"/>
          <w:sz w:val="18"/>
        </w:rPr>
        <w:t> </w:t>
      </w:r>
      <w:r>
        <w:rPr>
          <w:i/>
          <w:color w:val="231F20"/>
          <w:sz w:val="18"/>
        </w:rPr>
        <w:t>la</w:t>
      </w:r>
      <w:r>
        <w:rPr>
          <w:i/>
          <w:color w:val="231F20"/>
          <w:spacing w:val="-4"/>
          <w:sz w:val="18"/>
        </w:rPr>
        <w:t> </w:t>
      </w:r>
      <w:r>
        <w:rPr>
          <w:i/>
          <w:color w:val="231F20"/>
          <w:sz w:val="18"/>
        </w:rPr>
        <w:t>proyección</w:t>
      </w:r>
      <w:r>
        <w:rPr>
          <w:i/>
          <w:color w:val="231F20"/>
          <w:spacing w:val="-4"/>
          <w:sz w:val="18"/>
        </w:rPr>
        <w:t> </w:t>
      </w:r>
      <w:r>
        <w:rPr>
          <w:i/>
          <w:color w:val="231F20"/>
          <w:sz w:val="18"/>
        </w:rPr>
        <w:t>del poder</w:t>
      </w:r>
      <w:r>
        <w:rPr>
          <w:i/>
          <w:color w:val="231F20"/>
          <w:spacing w:val="28"/>
          <w:sz w:val="18"/>
        </w:rPr>
        <w:t> </w:t>
      </w:r>
      <w:r>
        <w:rPr>
          <w:i/>
          <w:color w:val="231F20"/>
          <w:sz w:val="18"/>
        </w:rPr>
        <w:t>global</w:t>
      </w:r>
      <w:r>
        <w:rPr>
          <w:i/>
          <w:color w:val="231F20"/>
          <w:spacing w:val="28"/>
          <w:sz w:val="18"/>
        </w:rPr>
        <w:t> </w:t>
      </w:r>
      <w:r>
        <w:rPr>
          <w:i/>
          <w:color w:val="231F20"/>
          <w:sz w:val="18"/>
        </w:rPr>
        <w:t>de</w:t>
      </w:r>
      <w:r>
        <w:rPr>
          <w:i/>
          <w:color w:val="231F20"/>
          <w:spacing w:val="28"/>
          <w:sz w:val="18"/>
        </w:rPr>
        <w:t> </w:t>
      </w:r>
      <w:r>
        <w:rPr>
          <w:i/>
          <w:color w:val="231F20"/>
          <w:sz w:val="18"/>
        </w:rPr>
        <w:t>Estados</w:t>
      </w:r>
      <w:r>
        <w:rPr>
          <w:i/>
          <w:color w:val="231F20"/>
          <w:spacing w:val="28"/>
          <w:sz w:val="18"/>
        </w:rPr>
        <w:t> </w:t>
      </w:r>
      <w:r>
        <w:rPr>
          <w:i/>
          <w:color w:val="231F20"/>
          <w:sz w:val="18"/>
        </w:rPr>
        <w:t>Unidos</w:t>
      </w:r>
      <w:r>
        <w:rPr>
          <w:color w:val="231F20"/>
          <w:sz w:val="18"/>
        </w:rPr>
        <w:t>,</w:t>
      </w:r>
      <w:r>
        <w:rPr>
          <w:color w:val="231F20"/>
          <w:spacing w:val="28"/>
          <w:sz w:val="18"/>
        </w:rPr>
        <w:t> </w:t>
      </w:r>
      <w:r>
        <w:rPr>
          <w:color w:val="231F20"/>
          <w:sz w:val="18"/>
        </w:rPr>
        <w:t>Comité</w:t>
      </w:r>
      <w:r>
        <w:rPr>
          <w:color w:val="231F20"/>
          <w:spacing w:val="28"/>
          <w:sz w:val="18"/>
        </w:rPr>
        <w:t> </w:t>
      </w:r>
      <w:r>
        <w:rPr>
          <w:color w:val="231F20"/>
          <w:sz w:val="18"/>
        </w:rPr>
        <w:t>de</w:t>
      </w:r>
      <w:r>
        <w:rPr>
          <w:color w:val="231F20"/>
          <w:spacing w:val="28"/>
          <w:sz w:val="18"/>
        </w:rPr>
        <w:t> </w:t>
      </w:r>
      <w:r>
        <w:rPr>
          <w:color w:val="231F20"/>
          <w:sz w:val="18"/>
        </w:rPr>
        <w:t>Santa</w:t>
      </w:r>
      <w:r>
        <w:rPr>
          <w:color w:val="231F20"/>
          <w:spacing w:val="28"/>
          <w:sz w:val="18"/>
        </w:rPr>
        <w:t> </w:t>
      </w:r>
      <w:r>
        <w:rPr>
          <w:color w:val="231F20"/>
          <w:sz w:val="18"/>
        </w:rPr>
        <w:t>Fe,</w:t>
      </w:r>
      <w:r>
        <w:rPr>
          <w:color w:val="231F20"/>
          <w:spacing w:val="28"/>
          <w:sz w:val="18"/>
        </w:rPr>
        <w:t> </w:t>
      </w:r>
      <w:hyperlink r:id="rId373">
        <w:r>
          <w:rPr>
            <w:color w:val="231F20"/>
            <w:sz w:val="18"/>
          </w:rPr>
          <w:t>&lt;www.geocities.com/</w:t>
        </w:r>
      </w:hyperlink>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line="254" w:lineRule="auto" w:before="71"/>
        <w:ind w:left="340" w:right="103" w:firstLine="0"/>
        <w:jc w:val="left"/>
        <w:rPr>
          <w:sz w:val="18"/>
        </w:rPr>
      </w:pPr>
      <w:r>
        <w:rPr>
          <w:color w:val="231F20"/>
          <w:w w:val="110"/>
          <w:sz w:val="18"/>
        </w:rPr>
        <w:t>proyectoemancipacion/documentossantafe/documentos_santa_fe.htm&gt;, de enero de 2007.</w:t>
      </w:r>
    </w:p>
    <w:p>
      <w:pPr>
        <w:spacing w:line="254" w:lineRule="auto" w:before="1"/>
        <w:ind w:left="340" w:right="117" w:hanging="240"/>
        <w:jc w:val="both"/>
        <w:rPr>
          <w:sz w:val="18"/>
        </w:rPr>
      </w:pPr>
      <w:r>
        <w:rPr>
          <w:i/>
          <w:color w:val="231F20"/>
          <w:w w:val="105"/>
          <w:sz w:val="18"/>
        </w:rPr>
        <w:t>Tratado Marco de Seguridad en Centroamérica</w:t>
      </w:r>
      <w:r>
        <w:rPr>
          <w:color w:val="231F20"/>
          <w:w w:val="105"/>
          <w:sz w:val="18"/>
        </w:rPr>
        <w:t>, 1995, Sistema de Integración Centroamericana, Secretaría General, Honduras, </w:t>
      </w:r>
      <w:hyperlink r:id="rId375">
        <w:r>
          <w:rPr>
            <w:color w:val="231F20"/>
            <w:w w:val="105"/>
            <w:sz w:val="18"/>
          </w:rPr>
          <w:t>&lt;www.sica.int/&gt;</w:t>
        </w:r>
      </w:hyperlink>
      <w:r>
        <w:rPr>
          <w:color w:val="231F20"/>
          <w:w w:val="105"/>
          <w:sz w:val="18"/>
        </w:rPr>
        <w:t> 20 de noviembre  de 2008.</w:t>
      </w:r>
    </w:p>
    <w:p>
      <w:pPr>
        <w:spacing w:line="254" w:lineRule="auto" w:before="1"/>
        <w:ind w:left="340" w:right="112" w:hanging="240"/>
        <w:jc w:val="both"/>
        <w:rPr>
          <w:sz w:val="18"/>
        </w:rPr>
      </w:pPr>
      <w:r>
        <w:rPr>
          <w:color w:val="231F20"/>
          <w:spacing w:val="-3"/>
          <w:w w:val="105"/>
          <w:sz w:val="18"/>
        </w:rPr>
        <w:t>Winer, </w:t>
      </w:r>
      <w:r>
        <w:rPr>
          <w:color w:val="231F20"/>
          <w:w w:val="105"/>
          <w:sz w:val="18"/>
        </w:rPr>
        <w:t>Sonia, Mariana Carrolli, Lucía López y Florencia Martínez, 2006, </w:t>
      </w:r>
      <w:r>
        <w:rPr>
          <w:i/>
          <w:color w:val="231F20"/>
          <w:w w:val="105"/>
          <w:sz w:val="18"/>
        </w:rPr>
        <w:t>Estrategia</w:t>
      </w:r>
      <w:r>
        <w:rPr>
          <w:i/>
          <w:color w:val="231F20"/>
          <w:spacing w:val="-18"/>
          <w:w w:val="105"/>
          <w:sz w:val="18"/>
        </w:rPr>
        <w:t> </w:t>
      </w:r>
      <w:r>
        <w:rPr>
          <w:i/>
          <w:color w:val="231F20"/>
          <w:w w:val="105"/>
          <w:sz w:val="18"/>
        </w:rPr>
        <w:t>militar</w:t>
      </w:r>
      <w:r>
        <w:rPr>
          <w:i/>
          <w:color w:val="231F20"/>
          <w:spacing w:val="-18"/>
          <w:w w:val="105"/>
          <w:sz w:val="18"/>
        </w:rPr>
        <w:t> </w:t>
      </w:r>
      <w:r>
        <w:rPr>
          <w:i/>
          <w:color w:val="231F20"/>
          <w:w w:val="105"/>
          <w:sz w:val="18"/>
        </w:rPr>
        <w:t>de</w:t>
      </w:r>
      <w:r>
        <w:rPr>
          <w:i/>
          <w:color w:val="231F20"/>
          <w:spacing w:val="-18"/>
          <w:w w:val="105"/>
          <w:sz w:val="18"/>
        </w:rPr>
        <w:t> </w:t>
      </w:r>
      <w:r>
        <w:rPr>
          <w:i/>
          <w:color w:val="231F20"/>
          <w:w w:val="105"/>
          <w:sz w:val="18"/>
        </w:rPr>
        <w:t>Estados</w:t>
      </w:r>
      <w:r>
        <w:rPr>
          <w:i/>
          <w:color w:val="231F20"/>
          <w:spacing w:val="-18"/>
          <w:w w:val="105"/>
          <w:sz w:val="18"/>
        </w:rPr>
        <w:t> </w:t>
      </w:r>
      <w:r>
        <w:rPr>
          <w:i/>
          <w:color w:val="231F20"/>
          <w:w w:val="105"/>
          <w:sz w:val="18"/>
        </w:rPr>
        <w:t>Unidos</w:t>
      </w:r>
      <w:r>
        <w:rPr>
          <w:i/>
          <w:color w:val="231F20"/>
          <w:spacing w:val="-18"/>
          <w:w w:val="105"/>
          <w:sz w:val="18"/>
        </w:rPr>
        <w:t> </w:t>
      </w:r>
      <w:r>
        <w:rPr>
          <w:i/>
          <w:color w:val="231F20"/>
          <w:w w:val="105"/>
          <w:sz w:val="18"/>
        </w:rPr>
        <w:t>en</w:t>
      </w:r>
      <w:r>
        <w:rPr>
          <w:i/>
          <w:color w:val="231F20"/>
          <w:spacing w:val="-18"/>
          <w:w w:val="105"/>
          <w:sz w:val="18"/>
        </w:rPr>
        <w:t> </w:t>
      </w:r>
      <w:r>
        <w:rPr>
          <w:i/>
          <w:color w:val="231F20"/>
          <w:w w:val="105"/>
          <w:sz w:val="18"/>
        </w:rPr>
        <w:t>América</w:t>
      </w:r>
      <w:r>
        <w:rPr>
          <w:i/>
          <w:color w:val="231F20"/>
          <w:spacing w:val="-18"/>
          <w:w w:val="105"/>
          <w:sz w:val="18"/>
        </w:rPr>
        <w:t> </w:t>
      </w:r>
      <w:r>
        <w:rPr>
          <w:i/>
          <w:color w:val="231F20"/>
          <w:w w:val="105"/>
          <w:sz w:val="18"/>
        </w:rPr>
        <w:t>Latina</w:t>
      </w:r>
      <w:r>
        <w:rPr>
          <w:color w:val="231F20"/>
          <w:w w:val="105"/>
          <w:sz w:val="18"/>
        </w:rPr>
        <w:t>,</w:t>
      </w:r>
      <w:r>
        <w:rPr>
          <w:color w:val="231F20"/>
          <w:spacing w:val="-18"/>
          <w:w w:val="105"/>
          <w:sz w:val="18"/>
        </w:rPr>
        <w:t> </w:t>
      </w:r>
      <w:r>
        <w:rPr>
          <w:color w:val="231F20"/>
          <w:w w:val="105"/>
          <w:sz w:val="18"/>
        </w:rPr>
        <w:t>Cuaderno</w:t>
      </w:r>
      <w:r>
        <w:rPr>
          <w:color w:val="231F20"/>
          <w:spacing w:val="-18"/>
          <w:w w:val="105"/>
          <w:sz w:val="18"/>
        </w:rPr>
        <w:t> </w:t>
      </w:r>
      <w:r>
        <w:rPr>
          <w:color w:val="231F20"/>
          <w:w w:val="105"/>
          <w:sz w:val="18"/>
        </w:rPr>
        <w:t>de</w:t>
      </w:r>
      <w:r>
        <w:rPr>
          <w:color w:val="231F20"/>
          <w:spacing w:val="-18"/>
          <w:w w:val="105"/>
          <w:sz w:val="18"/>
        </w:rPr>
        <w:t> </w:t>
      </w:r>
      <w:r>
        <w:rPr>
          <w:color w:val="231F20"/>
          <w:spacing w:val="-3"/>
          <w:w w:val="105"/>
          <w:sz w:val="18"/>
        </w:rPr>
        <w:t>Trabajo </w:t>
      </w:r>
      <w:r>
        <w:rPr>
          <w:color w:val="231F20"/>
          <w:w w:val="105"/>
          <w:sz w:val="18"/>
        </w:rPr>
        <w:t>núm. 66, Buenos Aires, Ediciones del Centro Cultural de la Cooperación Floreal</w:t>
      </w:r>
      <w:r>
        <w:rPr>
          <w:color w:val="231F20"/>
          <w:spacing w:val="47"/>
          <w:w w:val="105"/>
          <w:sz w:val="18"/>
        </w:rPr>
        <w:t> </w:t>
      </w:r>
      <w:r>
        <w:rPr>
          <w:color w:val="231F20"/>
          <w:w w:val="105"/>
          <w:sz w:val="18"/>
        </w:rPr>
        <w:t>Gorini,</w:t>
      </w:r>
      <w:r>
        <w:rPr>
          <w:color w:val="231F20"/>
          <w:spacing w:val="47"/>
          <w:w w:val="105"/>
          <w:sz w:val="18"/>
        </w:rPr>
        <w:t> </w:t>
      </w:r>
      <w:hyperlink r:id="rId376">
        <w:r>
          <w:rPr>
            <w:color w:val="231F20"/>
            <w:w w:val="105"/>
            <w:sz w:val="18"/>
          </w:rPr>
          <w:t>&lt;www.centrocultural.coop/uploads/cuaderno66.pdf&gt;,</w:t>
        </w:r>
      </w:hyperlink>
      <w:r>
        <w:rPr>
          <w:color w:val="231F20"/>
          <w:spacing w:val="47"/>
          <w:w w:val="105"/>
          <w:sz w:val="18"/>
        </w:rPr>
        <w:t> </w:t>
      </w:r>
      <w:r>
        <w:rPr>
          <w:color w:val="231F20"/>
          <w:w w:val="105"/>
          <w:sz w:val="18"/>
        </w:rPr>
        <w:t>21 de  noviembre  de</w:t>
      </w:r>
      <w:r>
        <w:rPr>
          <w:color w:val="231F20"/>
          <w:spacing w:val="-1"/>
          <w:w w:val="105"/>
          <w:sz w:val="18"/>
        </w:rPr>
        <w:t> </w:t>
      </w:r>
      <w:r>
        <w:rPr>
          <w:color w:val="231F20"/>
          <w:w w:val="105"/>
          <w:sz w:val="18"/>
        </w:rPr>
        <w:t>2008.</w:t>
      </w:r>
    </w:p>
    <w:p>
      <w:pPr>
        <w:spacing w:line="254" w:lineRule="auto" w:before="1"/>
        <w:ind w:left="73" w:right="117" w:firstLine="0"/>
        <w:jc w:val="right"/>
        <w:rPr>
          <w:sz w:val="18"/>
        </w:rPr>
      </w:pPr>
      <w:r>
        <w:rPr>
          <w:color w:val="231F20"/>
          <w:spacing w:val="-3"/>
          <w:w w:val="105"/>
          <w:sz w:val="18"/>
        </w:rPr>
        <w:t>Wola,</w:t>
      </w:r>
      <w:r>
        <w:rPr>
          <w:color w:val="231F20"/>
          <w:spacing w:val="-25"/>
          <w:w w:val="105"/>
          <w:sz w:val="18"/>
        </w:rPr>
        <w:t> </w:t>
      </w:r>
      <w:r>
        <w:rPr>
          <w:color w:val="231F20"/>
          <w:w w:val="105"/>
          <w:sz w:val="18"/>
        </w:rPr>
        <w:t>1993,</w:t>
      </w:r>
      <w:r>
        <w:rPr>
          <w:color w:val="231F20"/>
          <w:spacing w:val="-25"/>
          <w:w w:val="105"/>
          <w:sz w:val="18"/>
        </w:rPr>
        <w:t> </w:t>
      </w:r>
      <w:r>
        <w:rPr>
          <w:i/>
          <w:color w:val="231F20"/>
          <w:w w:val="105"/>
          <w:sz w:val="18"/>
        </w:rPr>
        <w:t>¿Peligro</w:t>
      </w:r>
      <w:r>
        <w:rPr>
          <w:i/>
          <w:color w:val="231F20"/>
          <w:spacing w:val="-25"/>
          <w:w w:val="105"/>
          <w:sz w:val="18"/>
        </w:rPr>
        <w:t> </w:t>
      </w:r>
      <w:r>
        <w:rPr>
          <w:i/>
          <w:color w:val="231F20"/>
          <w:w w:val="105"/>
          <w:sz w:val="18"/>
        </w:rPr>
        <w:t>inminente?</w:t>
      </w:r>
      <w:r>
        <w:rPr>
          <w:i/>
          <w:color w:val="231F20"/>
          <w:spacing w:val="-25"/>
          <w:w w:val="105"/>
          <w:sz w:val="18"/>
        </w:rPr>
        <w:t> </w:t>
      </w:r>
      <w:r>
        <w:rPr>
          <w:i/>
          <w:color w:val="231F20"/>
          <w:w w:val="105"/>
          <w:sz w:val="18"/>
        </w:rPr>
        <w:t>Las</w:t>
      </w:r>
      <w:r>
        <w:rPr>
          <w:i/>
          <w:color w:val="231F20"/>
          <w:spacing w:val="-25"/>
          <w:w w:val="105"/>
          <w:sz w:val="18"/>
        </w:rPr>
        <w:t> </w:t>
      </w:r>
      <w:r>
        <w:rPr>
          <w:i/>
          <w:color w:val="231F20"/>
          <w:w w:val="130"/>
          <w:sz w:val="13"/>
        </w:rPr>
        <w:t>ffaa</w:t>
      </w:r>
      <w:r>
        <w:rPr>
          <w:i/>
          <w:color w:val="231F20"/>
          <w:spacing w:val="-20"/>
          <w:w w:val="130"/>
          <w:sz w:val="13"/>
        </w:rPr>
        <w:t> </w:t>
      </w:r>
      <w:r>
        <w:rPr>
          <w:i/>
          <w:color w:val="231F20"/>
          <w:w w:val="105"/>
          <w:sz w:val="18"/>
        </w:rPr>
        <w:t>de</w:t>
      </w:r>
      <w:r>
        <w:rPr>
          <w:i/>
          <w:color w:val="231F20"/>
          <w:spacing w:val="-24"/>
          <w:w w:val="105"/>
          <w:sz w:val="18"/>
        </w:rPr>
        <w:t> </w:t>
      </w:r>
      <w:r>
        <w:rPr>
          <w:i/>
          <w:color w:val="231F20"/>
          <w:w w:val="105"/>
          <w:sz w:val="18"/>
        </w:rPr>
        <w:t>Estados</w:t>
      </w:r>
      <w:r>
        <w:rPr>
          <w:i/>
          <w:color w:val="231F20"/>
          <w:spacing w:val="-25"/>
          <w:w w:val="105"/>
          <w:sz w:val="18"/>
        </w:rPr>
        <w:t> </w:t>
      </w:r>
      <w:r>
        <w:rPr>
          <w:i/>
          <w:color w:val="231F20"/>
          <w:w w:val="105"/>
          <w:sz w:val="18"/>
        </w:rPr>
        <w:t>Unidos</w:t>
      </w:r>
      <w:r>
        <w:rPr>
          <w:i/>
          <w:color w:val="231F20"/>
          <w:spacing w:val="-25"/>
          <w:w w:val="105"/>
          <w:sz w:val="18"/>
        </w:rPr>
        <w:t> </w:t>
      </w:r>
      <w:r>
        <w:rPr>
          <w:i/>
          <w:color w:val="231F20"/>
          <w:w w:val="105"/>
          <w:sz w:val="18"/>
        </w:rPr>
        <w:t>y</w:t>
      </w:r>
      <w:r>
        <w:rPr>
          <w:i/>
          <w:color w:val="231F20"/>
          <w:spacing w:val="-25"/>
          <w:w w:val="105"/>
          <w:sz w:val="18"/>
        </w:rPr>
        <w:t> </w:t>
      </w:r>
      <w:r>
        <w:rPr>
          <w:i/>
          <w:color w:val="231F20"/>
          <w:w w:val="105"/>
          <w:sz w:val="18"/>
        </w:rPr>
        <w:t>la</w:t>
      </w:r>
      <w:r>
        <w:rPr>
          <w:i/>
          <w:color w:val="231F20"/>
          <w:spacing w:val="-24"/>
          <w:w w:val="105"/>
          <w:sz w:val="18"/>
        </w:rPr>
        <w:t> </w:t>
      </w:r>
      <w:r>
        <w:rPr>
          <w:i/>
          <w:color w:val="231F20"/>
          <w:w w:val="105"/>
          <w:sz w:val="18"/>
        </w:rPr>
        <w:t>guerra</w:t>
      </w:r>
      <w:r>
        <w:rPr>
          <w:i/>
          <w:color w:val="231F20"/>
          <w:spacing w:val="-25"/>
          <w:w w:val="105"/>
          <w:sz w:val="18"/>
        </w:rPr>
        <w:t> </w:t>
      </w:r>
      <w:r>
        <w:rPr>
          <w:i/>
          <w:color w:val="231F20"/>
          <w:w w:val="105"/>
          <w:sz w:val="18"/>
        </w:rPr>
        <w:t>contra</w:t>
      </w:r>
      <w:r>
        <w:rPr>
          <w:i/>
          <w:color w:val="231F20"/>
          <w:spacing w:val="-25"/>
          <w:w w:val="105"/>
          <w:sz w:val="18"/>
        </w:rPr>
        <w:t> </w:t>
      </w:r>
      <w:r>
        <w:rPr>
          <w:i/>
          <w:color w:val="231F20"/>
          <w:w w:val="105"/>
          <w:sz w:val="18"/>
        </w:rPr>
        <w:t>las</w:t>
      </w:r>
      <w:r>
        <w:rPr>
          <w:i/>
          <w:color w:val="231F20"/>
          <w:w w:val="94"/>
          <w:sz w:val="18"/>
        </w:rPr>
        <w:t> </w:t>
      </w:r>
      <w:r>
        <w:rPr>
          <w:i/>
          <w:color w:val="231F20"/>
          <w:w w:val="105"/>
          <w:sz w:val="18"/>
        </w:rPr>
        <w:t>drogas</w:t>
      </w:r>
      <w:r>
        <w:rPr>
          <w:color w:val="231F20"/>
          <w:w w:val="105"/>
          <w:sz w:val="18"/>
        </w:rPr>
        <w:t>, Oficina de Asuntos Latinoamericanos en Washington ,   </w:t>
      </w:r>
      <w:r>
        <w:rPr>
          <w:color w:val="231F20"/>
          <w:spacing w:val="12"/>
          <w:w w:val="105"/>
          <w:sz w:val="18"/>
        </w:rPr>
        <w:t> </w:t>
      </w:r>
      <w:r>
        <w:rPr>
          <w:color w:val="231F20"/>
          <w:w w:val="105"/>
          <w:sz w:val="18"/>
        </w:rPr>
        <w:t>Colombia.</w:t>
      </w:r>
    </w:p>
    <w:p>
      <w:pPr>
        <w:spacing w:line="254" w:lineRule="auto" w:before="1"/>
        <w:ind w:left="340" w:right="119" w:hanging="240"/>
        <w:jc w:val="both"/>
        <w:rPr>
          <w:sz w:val="18"/>
        </w:rPr>
      </w:pPr>
      <w:r>
        <w:rPr>
          <w:i/>
          <w:color w:val="231F20"/>
          <w:w w:val="105"/>
          <w:sz w:val="18"/>
        </w:rPr>
        <w:t>World</w:t>
      </w:r>
      <w:r>
        <w:rPr>
          <w:i/>
          <w:color w:val="231F20"/>
          <w:spacing w:val="-18"/>
          <w:w w:val="105"/>
          <w:sz w:val="18"/>
        </w:rPr>
        <w:t> </w:t>
      </w:r>
      <w:r>
        <w:rPr>
          <w:i/>
          <w:color w:val="231F20"/>
          <w:w w:val="105"/>
          <w:sz w:val="18"/>
        </w:rPr>
        <w:t>Resources</w:t>
      </w:r>
      <w:r>
        <w:rPr>
          <w:i/>
          <w:color w:val="231F20"/>
          <w:spacing w:val="-18"/>
          <w:w w:val="105"/>
          <w:sz w:val="18"/>
        </w:rPr>
        <w:t> </w:t>
      </w:r>
      <w:r>
        <w:rPr>
          <w:i/>
          <w:color w:val="231F20"/>
          <w:w w:val="105"/>
          <w:sz w:val="18"/>
        </w:rPr>
        <w:t>Institute</w:t>
      </w:r>
      <w:r>
        <w:rPr>
          <w:color w:val="231F20"/>
          <w:w w:val="105"/>
          <w:sz w:val="18"/>
        </w:rPr>
        <w:t>,</w:t>
      </w:r>
      <w:r>
        <w:rPr>
          <w:color w:val="231F20"/>
          <w:spacing w:val="-18"/>
          <w:w w:val="105"/>
          <w:sz w:val="18"/>
        </w:rPr>
        <w:t> </w:t>
      </w:r>
      <w:r>
        <w:rPr>
          <w:color w:val="231F20"/>
          <w:w w:val="105"/>
          <w:sz w:val="18"/>
        </w:rPr>
        <w:t>2005,</w:t>
      </w:r>
      <w:r>
        <w:rPr>
          <w:color w:val="231F20"/>
          <w:spacing w:val="-18"/>
          <w:w w:val="105"/>
          <w:sz w:val="18"/>
        </w:rPr>
        <w:t> </w:t>
      </w:r>
      <w:r>
        <w:rPr>
          <w:i/>
          <w:color w:val="231F20"/>
          <w:w w:val="105"/>
          <w:sz w:val="18"/>
        </w:rPr>
        <w:t>The</w:t>
      </w:r>
      <w:r>
        <w:rPr>
          <w:i/>
          <w:color w:val="231F20"/>
          <w:spacing w:val="-18"/>
          <w:w w:val="105"/>
          <w:sz w:val="18"/>
        </w:rPr>
        <w:t> </w:t>
      </w:r>
      <w:r>
        <w:rPr>
          <w:i/>
          <w:color w:val="231F20"/>
          <w:w w:val="105"/>
          <w:sz w:val="18"/>
        </w:rPr>
        <w:t>World</w:t>
      </w:r>
      <w:r>
        <w:rPr>
          <w:i/>
          <w:color w:val="231F20"/>
          <w:spacing w:val="-18"/>
          <w:w w:val="105"/>
          <w:sz w:val="18"/>
        </w:rPr>
        <w:t> </w:t>
      </w:r>
      <w:r>
        <w:rPr>
          <w:i/>
          <w:color w:val="231F20"/>
          <w:w w:val="105"/>
          <w:sz w:val="18"/>
        </w:rPr>
        <w:t>Resources</w:t>
      </w:r>
      <w:r>
        <w:rPr>
          <w:i/>
          <w:color w:val="231F20"/>
          <w:spacing w:val="-18"/>
          <w:w w:val="105"/>
          <w:sz w:val="18"/>
        </w:rPr>
        <w:t> </w:t>
      </w:r>
      <w:r>
        <w:rPr>
          <w:i/>
          <w:color w:val="231F20"/>
          <w:w w:val="105"/>
          <w:sz w:val="18"/>
        </w:rPr>
        <w:t>2005</w:t>
      </w:r>
      <w:r>
        <w:rPr>
          <w:color w:val="231F20"/>
          <w:w w:val="105"/>
          <w:sz w:val="18"/>
        </w:rPr>
        <w:t>,</w:t>
      </w:r>
      <w:r>
        <w:rPr>
          <w:color w:val="231F20"/>
          <w:spacing w:val="-18"/>
          <w:w w:val="105"/>
          <w:sz w:val="18"/>
        </w:rPr>
        <w:t> </w:t>
      </w:r>
      <w:hyperlink r:id="rId377">
        <w:r>
          <w:rPr>
            <w:color w:val="231F20"/>
            <w:w w:val="105"/>
            <w:sz w:val="18"/>
          </w:rPr>
          <w:t>&lt;http://pdf.wri.org/</w:t>
        </w:r>
      </w:hyperlink>
      <w:r>
        <w:rPr>
          <w:color w:val="231F20"/>
          <w:w w:val="118"/>
          <w:sz w:val="18"/>
        </w:rPr>
        <w:t> </w:t>
      </w:r>
      <w:r>
        <w:rPr>
          <w:color w:val="231F20"/>
          <w:w w:val="105"/>
          <w:sz w:val="18"/>
        </w:rPr>
        <w:t>wrros_dt9.pdf&gt;, 12 de febrero de  </w:t>
      </w:r>
      <w:r>
        <w:rPr>
          <w:color w:val="231F20"/>
          <w:spacing w:val="27"/>
          <w:w w:val="105"/>
          <w:sz w:val="18"/>
        </w:rPr>
        <w:t> </w:t>
      </w:r>
      <w:r>
        <w:rPr>
          <w:color w:val="231F20"/>
          <w:w w:val="105"/>
          <w:sz w:val="18"/>
        </w:rPr>
        <w:t>2009.</w:t>
      </w:r>
    </w:p>
    <w:p>
      <w:pPr>
        <w:spacing w:after="0" w:line="254" w:lineRule="auto"/>
        <w:jc w:val="both"/>
        <w:rPr>
          <w:sz w:val="18"/>
        </w:rPr>
        <w:sectPr>
          <w:headerReference w:type="even" r:id="rId374"/>
          <w:pgSz w:w="7640" w:h="11900"/>
          <w:pgMar w:header="672" w:footer="0" w:top="860" w:bottom="280" w:left="780" w:right="640"/>
        </w:sectPr>
      </w:pPr>
    </w:p>
    <w:p>
      <w:pPr>
        <w:pStyle w:val="BodyText"/>
        <w:spacing w:line="261" w:lineRule="auto" w:before="39"/>
        <w:ind w:left="100" w:right="25"/>
      </w:pPr>
      <w:r>
        <w:rPr>
          <w:color w:val="231F20"/>
        </w:rPr>
        <w:t>LA POLÍTICA EXTERIOR ESTADUNIDENSE PARA LA AMÉRICA ANDINA EN LA TRANSICIÓN REPUBLICANO-DEMÓCRATA. CONTINUIDADES  Y  DISCONTINUIDADES</w:t>
      </w:r>
    </w:p>
    <w:p>
      <w:pPr>
        <w:pStyle w:val="BodyText"/>
        <w:spacing w:before="8"/>
        <w:rPr>
          <w:sz w:val="21"/>
        </w:rPr>
      </w:pPr>
    </w:p>
    <w:p>
      <w:pPr>
        <w:pStyle w:val="BodyText"/>
        <w:ind w:left="4158" w:right="25"/>
      </w:pPr>
      <w:r>
        <w:rPr>
          <w:color w:val="231F20"/>
          <w:w w:val="135"/>
        </w:rPr>
        <w:t>catalina toro pérez</w:t>
      </w:r>
    </w:p>
    <w:p>
      <w:pPr>
        <w:pStyle w:val="BodyText"/>
      </w:pPr>
    </w:p>
    <w:p>
      <w:pPr>
        <w:pStyle w:val="BodyText"/>
      </w:pPr>
    </w:p>
    <w:p>
      <w:pPr>
        <w:pStyle w:val="BodyText"/>
        <w:spacing w:before="11"/>
        <w:rPr>
          <w:sz w:val="26"/>
        </w:rPr>
      </w:pPr>
    </w:p>
    <w:p>
      <w:pPr>
        <w:pStyle w:val="BodyText"/>
        <w:ind w:left="100" w:right="25"/>
      </w:pPr>
      <w:r>
        <w:rPr>
          <w:color w:val="231F20"/>
          <w:w w:val="130"/>
        </w:rPr>
        <w:t>introducción</w:t>
      </w:r>
    </w:p>
    <w:p>
      <w:pPr>
        <w:pStyle w:val="BodyText"/>
        <w:spacing w:before="5"/>
        <w:rPr>
          <w:sz w:val="23"/>
        </w:rPr>
      </w:pPr>
    </w:p>
    <w:p>
      <w:pPr>
        <w:pStyle w:val="BodyText"/>
        <w:spacing w:line="261" w:lineRule="auto"/>
        <w:ind w:left="100" w:right="117"/>
        <w:jc w:val="both"/>
      </w:pPr>
      <w:r>
        <w:rPr>
          <w:color w:val="231F20"/>
          <w:w w:val="115"/>
        </w:rPr>
        <w:t>En la mayoría de los países de América Latina ya no sorprende</w:t>
      </w:r>
      <w:r>
        <w:rPr>
          <w:color w:val="231F20"/>
          <w:spacing w:val="-34"/>
          <w:w w:val="115"/>
        </w:rPr>
        <w:t> </w:t>
      </w:r>
      <w:r>
        <w:rPr>
          <w:color w:val="231F20"/>
          <w:w w:val="115"/>
        </w:rPr>
        <w:t>el papel tradicional de los gobiernos colombianos como el de “los mejores</w:t>
      </w:r>
      <w:r>
        <w:rPr>
          <w:color w:val="231F20"/>
          <w:spacing w:val="-9"/>
          <w:w w:val="115"/>
        </w:rPr>
        <w:t> </w:t>
      </w:r>
      <w:r>
        <w:rPr>
          <w:color w:val="231F20"/>
          <w:w w:val="115"/>
        </w:rPr>
        <w:t>amigos”</w:t>
      </w:r>
      <w:r>
        <w:rPr>
          <w:color w:val="231F20"/>
          <w:spacing w:val="-9"/>
          <w:w w:val="115"/>
        </w:rPr>
        <w:t> </w:t>
      </w:r>
      <w:r>
        <w:rPr>
          <w:color w:val="231F20"/>
          <w:w w:val="115"/>
        </w:rPr>
        <w:t>de</w:t>
      </w:r>
      <w:r>
        <w:rPr>
          <w:color w:val="231F20"/>
          <w:spacing w:val="-9"/>
          <w:w w:val="115"/>
        </w:rPr>
        <w:t> </w:t>
      </w:r>
      <w:r>
        <w:rPr>
          <w:color w:val="231F20"/>
          <w:w w:val="115"/>
        </w:rPr>
        <w:t>Estados</w:t>
      </w:r>
      <w:r>
        <w:rPr>
          <w:color w:val="231F20"/>
          <w:spacing w:val="-9"/>
          <w:w w:val="115"/>
        </w:rPr>
        <w:t> </w:t>
      </w:r>
      <w:r>
        <w:rPr>
          <w:color w:val="231F20"/>
          <w:w w:val="115"/>
        </w:rPr>
        <w:t>Unidos,</w:t>
      </w:r>
      <w:r>
        <w:rPr>
          <w:color w:val="231F20"/>
          <w:spacing w:val="-9"/>
          <w:w w:val="115"/>
        </w:rPr>
        <w:t> </w:t>
      </w:r>
      <w:r>
        <w:rPr>
          <w:color w:val="231F20"/>
          <w:w w:val="115"/>
        </w:rPr>
        <w:t>desde</w:t>
      </w:r>
      <w:r>
        <w:rPr>
          <w:color w:val="231F20"/>
          <w:spacing w:val="-9"/>
          <w:w w:val="115"/>
        </w:rPr>
        <w:t> </w:t>
      </w:r>
      <w:r>
        <w:rPr>
          <w:color w:val="231F20"/>
          <w:w w:val="115"/>
        </w:rPr>
        <w:t>hace</w:t>
      </w:r>
      <w:r>
        <w:rPr>
          <w:color w:val="231F20"/>
          <w:spacing w:val="-9"/>
          <w:w w:val="115"/>
        </w:rPr>
        <w:t> </w:t>
      </w:r>
      <w:r>
        <w:rPr>
          <w:color w:val="231F20"/>
          <w:w w:val="115"/>
        </w:rPr>
        <w:t>más</w:t>
      </w:r>
      <w:r>
        <w:rPr>
          <w:color w:val="231F20"/>
          <w:spacing w:val="-9"/>
          <w:w w:val="115"/>
        </w:rPr>
        <w:t> </w:t>
      </w:r>
      <w:r>
        <w:rPr>
          <w:color w:val="231F20"/>
          <w:w w:val="115"/>
        </w:rPr>
        <w:t>de</w:t>
      </w:r>
      <w:r>
        <w:rPr>
          <w:color w:val="231F20"/>
          <w:spacing w:val="-9"/>
          <w:w w:val="115"/>
        </w:rPr>
        <w:t> </w:t>
      </w:r>
      <w:r>
        <w:rPr>
          <w:color w:val="231F20"/>
          <w:w w:val="115"/>
        </w:rPr>
        <w:t>cincuenta </w:t>
      </w:r>
      <w:r>
        <w:rPr>
          <w:color w:val="231F20"/>
          <w:w w:val="110"/>
        </w:rPr>
        <w:t>años.</w:t>
      </w:r>
      <w:r>
        <w:rPr>
          <w:color w:val="231F20"/>
          <w:spacing w:val="-17"/>
          <w:w w:val="110"/>
        </w:rPr>
        <w:t> </w:t>
      </w:r>
      <w:r>
        <w:rPr>
          <w:color w:val="231F20"/>
          <w:w w:val="110"/>
        </w:rPr>
        <w:t>Recordemos</w:t>
      </w:r>
      <w:r>
        <w:rPr>
          <w:color w:val="231F20"/>
          <w:spacing w:val="-17"/>
          <w:w w:val="110"/>
        </w:rPr>
        <w:t> </w:t>
      </w:r>
      <w:r>
        <w:rPr>
          <w:color w:val="231F20"/>
          <w:w w:val="110"/>
        </w:rPr>
        <w:t>sus</w:t>
      </w:r>
      <w:r>
        <w:rPr>
          <w:color w:val="231F20"/>
          <w:spacing w:val="-17"/>
          <w:w w:val="110"/>
        </w:rPr>
        <w:t> </w:t>
      </w:r>
      <w:r>
        <w:rPr>
          <w:color w:val="231F20"/>
          <w:w w:val="110"/>
        </w:rPr>
        <w:t>expresiones</w:t>
      </w:r>
      <w:r>
        <w:rPr>
          <w:color w:val="231F20"/>
          <w:spacing w:val="-17"/>
          <w:w w:val="110"/>
        </w:rPr>
        <w:t> </w:t>
      </w:r>
      <w:r>
        <w:rPr>
          <w:color w:val="231F20"/>
          <w:w w:val="110"/>
        </w:rPr>
        <w:t>de</w:t>
      </w:r>
      <w:r>
        <w:rPr>
          <w:color w:val="231F20"/>
          <w:spacing w:val="-17"/>
          <w:w w:val="110"/>
        </w:rPr>
        <w:t> </w:t>
      </w:r>
      <w:r>
        <w:rPr>
          <w:color w:val="231F20"/>
          <w:w w:val="110"/>
        </w:rPr>
        <w:t>apoyo</w:t>
      </w:r>
      <w:r>
        <w:rPr>
          <w:color w:val="231F20"/>
          <w:spacing w:val="-17"/>
          <w:w w:val="110"/>
        </w:rPr>
        <w:t> </w:t>
      </w:r>
      <w:r>
        <w:rPr>
          <w:color w:val="231F20"/>
          <w:w w:val="110"/>
        </w:rPr>
        <w:t>al</w:t>
      </w:r>
      <w:r>
        <w:rPr>
          <w:color w:val="231F20"/>
          <w:spacing w:val="-17"/>
          <w:w w:val="110"/>
        </w:rPr>
        <w:t> </w:t>
      </w:r>
      <w:r>
        <w:rPr>
          <w:color w:val="231F20"/>
          <w:w w:val="110"/>
        </w:rPr>
        <w:t>bombardeo</w:t>
      </w:r>
      <w:r>
        <w:rPr>
          <w:color w:val="231F20"/>
          <w:spacing w:val="-17"/>
          <w:w w:val="110"/>
        </w:rPr>
        <w:t> </w:t>
      </w:r>
      <w:r>
        <w:rPr>
          <w:color w:val="231F20"/>
        </w:rPr>
        <w:t>y</w:t>
      </w:r>
      <w:r>
        <w:rPr>
          <w:color w:val="231F20"/>
          <w:spacing w:val="-12"/>
        </w:rPr>
        <w:t> </w:t>
      </w:r>
      <w:r>
        <w:rPr>
          <w:color w:val="231F20"/>
          <w:w w:val="110"/>
        </w:rPr>
        <w:t>posterior </w:t>
      </w:r>
      <w:r>
        <w:rPr>
          <w:color w:val="231F20"/>
          <w:w w:val="115"/>
        </w:rPr>
        <w:t>ocupación</w:t>
      </w:r>
      <w:r>
        <w:rPr>
          <w:color w:val="231F20"/>
          <w:spacing w:val="-7"/>
          <w:w w:val="115"/>
        </w:rPr>
        <w:t> </w:t>
      </w:r>
      <w:r>
        <w:rPr>
          <w:color w:val="231F20"/>
          <w:w w:val="115"/>
        </w:rPr>
        <w:t>de</w:t>
      </w:r>
      <w:r>
        <w:rPr>
          <w:color w:val="231F20"/>
          <w:spacing w:val="-7"/>
          <w:w w:val="115"/>
        </w:rPr>
        <w:t> </w:t>
      </w:r>
      <w:r>
        <w:rPr>
          <w:color w:val="231F20"/>
          <w:w w:val="115"/>
        </w:rPr>
        <w:t>Irak</w:t>
      </w:r>
      <w:r>
        <w:rPr>
          <w:color w:val="231F20"/>
          <w:spacing w:val="-7"/>
          <w:w w:val="115"/>
        </w:rPr>
        <w:t> </w:t>
      </w:r>
      <w:r>
        <w:rPr>
          <w:color w:val="231F20"/>
          <w:w w:val="115"/>
        </w:rPr>
        <w:t>en</w:t>
      </w:r>
      <w:r>
        <w:rPr>
          <w:color w:val="231F20"/>
          <w:spacing w:val="-7"/>
          <w:w w:val="115"/>
        </w:rPr>
        <w:t> </w:t>
      </w:r>
      <w:r>
        <w:rPr>
          <w:color w:val="231F20"/>
          <w:w w:val="115"/>
        </w:rPr>
        <w:t>2003,</w:t>
      </w:r>
      <w:r>
        <w:rPr>
          <w:color w:val="231F20"/>
          <w:spacing w:val="-7"/>
          <w:w w:val="115"/>
        </w:rPr>
        <w:t> </w:t>
      </w:r>
      <w:r>
        <w:rPr>
          <w:color w:val="231F20"/>
          <w:w w:val="115"/>
        </w:rPr>
        <w:t>su</w:t>
      </w:r>
      <w:r>
        <w:rPr>
          <w:color w:val="231F20"/>
          <w:spacing w:val="-7"/>
          <w:w w:val="115"/>
        </w:rPr>
        <w:t> </w:t>
      </w:r>
      <w:r>
        <w:rPr>
          <w:color w:val="231F20"/>
          <w:w w:val="115"/>
        </w:rPr>
        <w:t>voto</w:t>
      </w:r>
      <w:r>
        <w:rPr>
          <w:color w:val="231F20"/>
          <w:spacing w:val="-7"/>
          <w:w w:val="115"/>
        </w:rPr>
        <w:t> </w:t>
      </w:r>
      <w:r>
        <w:rPr>
          <w:color w:val="231F20"/>
          <w:w w:val="115"/>
        </w:rPr>
        <w:t>por</w:t>
      </w:r>
      <w:r>
        <w:rPr>
          <w:color w:val="231F20"/>
          <w:spacing w:val="-7"/>
          <w:w w:val="115"/>
        </w:rPr>
        <w:t> </w:t>
      </w:r>
      <w:r>
        <w:rPr>
          <w:color w:val="231F20"/>
          <w:w w:val="115"/>
        </w:rPr>
        <w:t>la</w:t>
      </w:r>
      <w:r>
        <w:rPr>
          <w:color w:val="231F20"/>
          <w:spacing w:val="-7"/>
          <w:w w:val="115"/>
        </w:rPr>
        <w:t> </w:t>
      </w:r>
      <w:r>
        <w:rPr>
          <w:color w:val="231F20"/>
          <w:w w:val="115"/>
        </w:rPr>
        <w:t>expulsión</w:t>
      </w:r>
      <w:r>
        <w:rPr>
          <w:color w:val="231F20"/>
          <w:spacing w:val="-7"/>
          <w:w w:val="115"/>
        </w:rPr>
        <w:t> </w:t>
      </w:r>
      <w:r>
        <w:rPr>
          <w:color w:val="231F20"/>
          <w:w w:val="115"/>
        </w:rPr>
        <w:t>de</w:t>
      </w:r>
      <w:r>
        <w:rPr>
          <w:color w:val="231F20"/>
          <w:spacing w:val="-7"/>
          <w:w w:val="115"/>
        </w:rPr>
        <w:t> </w:t>
      </w:r>
      <w:r>
        <w:rPr>
          <w:color w:val="231F20"/>
          <w:w w:val="115"/>
        </w:rPr>
        <w:t>Cuba</w:t>
      </w:r>
      <w:r>
        <w:rPr>
          <w:color w:val="231F20"/>
          <w:spacing w:val="-7"/>
          <w:w w:val="115"/>
        </w:rPr>
        <w:t> </w:t>
      </w:r>
      <w:r>
        <w:rPr>
          <w:color w:val="231F20"/>
          <w:w w:val="115"/>
        </w:rPr>
        <w:t>de</w:t>
      </w:r>
      <w:r>
        <w:rPr>
          <w:color w:val="231F20"/>
          <w:spacing w:val="-7"/>
          <w:w w:val="115"/>
        </w:rPr>
        <w:t> </w:t>
      </w:r>
      <w:r>
        <w:rPr>
          <w:color w:val="231F20"/>
          <w:w w:val="115"/>
        </w:rPr>
        <w:t>la oea</w:t>
      </w:r>
      <w:r>
        <w:rPr>
          <w:color w:val="231F20"/>
          <w:spacing w:val="-20"/>
          <w:w w:val="115"/>
        </w:rPr>
        <w:t> </w:t>
      </w:r>
      <w:r>
        <w:rPr>
          <w:color w:val="231F20"/>
          <w:w w:val="115"/>
        </w:rPr>
        <w:t>en</w:t>
      </w:r>
      <w:r>
        <w:rPr>
          <w:color w:val="231F20"/>
          <w:spacing w:val="-20"/>
          <w:w w:val="115"/>
        </w:rPr>
        <w:t> </w:t>
      </w:r>
      <w:r>
        <w:rPr>
          <w:color w:val="231F20"/>
          <w:w w:val="115"/>
        </w:rPr>
        <w:t>1962,</w:t>
      </w:r>
      <w:r>
        <w:rPr>
          <w:color w:val="231F20"/>
          <w:spacing w:val="-20"/>
          <w:w w:val="115"/>
        </w:rPr>
        <w:t> </w:t>
      </w:r>
      <w:r>
        <w:rPr>
          <w:color w:val="231F20"/>
        </w:rPr>
        <w:t>y</w:t>
      </w:r>
      <w:r>
        <w:rPr>
          <w:color w:val="231F20"/>
          <w:spacing w:val="-13"/>
        </w:rPr>
        <w:t> </w:t>
      </w:r>
      <w:r>
        <w:rPr>
          <w:color w:val="231F20"/>
          <w:w w:val="115"/>
        </w:rPr>
        <w:t>a</w:t>
      </w:r>
      <w:r>
        <w:rPr>
          <w:color w:val="231F20"/>
          <w:spacing w:val="-20"/>
          <w:w w:val="115"/>
        </w:rPr>
        <w:t> </w:t>
      </w:r>
      <w:r>
        <w:rPr>
          <w:color w:val="231F20"/>
          <w:w w:val="115"/>
        </w:rPr>
        <w:t>su</w:t>
      </w:r>
      <w:r>
        <w:rPr>
          <w:color w:val="231F20"/>
          <w:spacing w:val="-20"/>
          <w:w w:val="115"/>
        </w:rPr>
        <w:t> </w:t>
      </w:r>
      <w:r>
        <w:rPr>
          <w:color w:val="231F20"/>
          <w:w w:val="115"/>
        </w:rPr>
        <w:t>justificación</w:t>
      </w:r>
      <w:r>
        <w:rPr>
          <w:color w:val="231F20"/>
          <w:spacing w:val="-20"/>
          <w:w w:val="115"/>
        </w:rPr>
        <w:t> </w:t>
      </w:r>
      <w:r>
        <w:rPr>
          <w:color w:val="231F20"/>
          <w:w w:val="115"/>
        </w:rPr>
        <w:t>a</w:t>
      </w:r>
      <w:r>
        <w:rPr>
          <w:color w:val="231F20"/>
          <w:spacing w:val="-20"/>
          <w:w w:val="115"/>
        </w:rPr>
        <w:t> </w:t>
      </w:r>
      <w:r>
        <w:rPr>
          <w:color w:val="231F20"/>
          <w:w w:val="115"/>
        </w:rPr>
        <w:t>la</w:t>
      </w:r>
      <w:r>
        <w:rPr>
          <w:color w:val="231F20"/>
          <w:spacing w:val="-20"/>
          <w:w w:val="115"/>
        </w:rPr>
        <w:t> </w:t>
      </w:r>
      <w:r>
        <w:rPr>
          <w:color w:val="231F20"/>
          <w:w w:val="115"/>
        </w:rPr>
        <w:t>invasión</w:t>
      </w:r>
      <w:r>
        <w:rPr>
          <w:color w:val="231F20"/>
          <w:spacing w:val="-20"/>
          <w:w w:val="115"/>
        </w:rPr>
        <w:t> </w:t>
      </w:r>
      <w:r>
        <w:rPr>
          <w:color w:val="231F20"/>
          <w:w w:val="115"/>
        </w:rPr>
        <w:t>británica</w:t>
      </w:r>
      <w:r>
        <w:rPr>
          <w:color w:val="231F20"/>
          <w:spacing w:val="-20"/>
          <w:w w:val="115"/>
        </w:rPr>
        <w:t> </w:t>
      </w:r>
      <w:r>
        <w:rPr>
          <w:color w:val="231F20"/>
          <w:w w:val="115"/>
        </w:rPr>
        <w:t>en</w:t>
      </w:r>
      <w:r>
        <w:rPr>
          <w:color w:val="231F20"/>
          <w:spacing w:val="-20"/>
          <w:w w:val="115"/>
        </w:rPr>
        <w:t> </w:t>
      </w:r>
      <w:r>
        <w:rPr>
          <w:color w:val="231F20"/>
          <w:w w:val="115"/>
        </w:rPr>
        <w:t>las</w:t>
      </w:r>
      <w:r>
        <w:rPr>
          <w:color w:val="231F20"/>
          <w:spacing w:val="-20"/>
          <w:w w:val="115"/>
        </w:rPr>
        <w:t> </w:t>
      </w:r>
      <w:r>
        <w:rPr>
          <w:color w:val="231F20"/>
          <w:w w:val="115"/>
        </w:rPr>
        <w:t>argen- tinas</w:t>
      </w:r>
      <w:r>
        <w:rPr>
          <w:color w:val="231F20"/>
          <w:spacing w:val="-5"/>
          <w:w w:val="115"/>
        </w:rPr>
        <w:t> </w:t>
      </w:r>
      <w:r>
        <w:rPr>
          <w:color w:val="231F20"/>
          <w:w w:val="115"/>
        </w:rPr>
        <w:t>islas</w:t>
      </w:r>
      <w:r>
        <w:rPr>
          <w:color w:val="231F20"/>
          <w:spacing w:val="-5"/>
          <w:w w:val="115"/>
        </w:rPr>
        <w:t> </w:t>
      </w:r>
      <w:r>
        <w:rPr>
          <w:color w:val="231F20"/>
          <w:w w:val="115"/>
        </w:rPr>
        <w:t>Malvinas</w:t>
      </w:r>
      <w:r>
        <w:rPr>
          <w:color w:val="231F20"/>
          <w:spacing w:val="-5"/>
          <w:w w:val="115"/>
        </w:rPr>
        <w:t> </w:t>
      </w:r>
      <w:r>
        <w:rPr>
          <w:color w:val="231F20"/>
          <w:w w:val="115"/>
        </w:rPr>
        <w:t>en</w:t>
      </w:r>
      <w:r>
        <w:rPr>
          <w:color w:val="231F20"/>
          <w:spacing w:val="-5"/>
          <w:w w:val="115"/>
        </w:rPr>
        <w:t> </w:t>
      </w:r>
      <w:r>
        <w:rPr>
          <w:color w:val="231F20"/>
          <w:w w:val="115"/>
        </w:rPr>
        <w:t>contra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mayoría</w:t>
      </w:r>
      <w:r>
        <w:rPr>
          <w:color w:val="231F20"/>
          <w:spacing w:val="-5"/>
          <w:w w:val="115"/>
        </w:rPr>
        <w:t> </w:t>
      </w:r>
      <w:r>
        <w:rPr>
          <w:color w:val="231F20"/>
          <w:w w:val="115"/>
        </w:rPr>
        <w:t>de</w:t>
      </w:r>
      <w:r>
        <w:rPr>
          <w:color w:val="231F20"/>
          <w:spacing w:val="-5"/>
          <w:w w:val="115"/>
        </w:rPr>
        <w:t> </w:t>
      </w:r>
      <w:r>
        <w:rPr>
          <w:color w:val="231F20"/>
          <w:w w:val="115"/>
        </w:rPr>
        <w:t>países</w:t>
      </w:r>
      <w:r>
        <w:rPr>
          <w:color w:val="231F20"/>
          <w:spacing w:val="-5"/>
          <w:w w:val="115"/>
        </w:rPr>
        <w:t> </w:t>
      </w:r>
      <w:r>
        <w:rPr>
          <w:color w:val="231F20"/>
          <w:w w:val="115"/>
        </w:rPr>
        <w:t>de</w:t>
      </w:r>
      <w:r>
        <w:rPr>
          <w:color w:val="231F20"/>
          <w:spacing w:val="-5"/>
          <w:w w:val="115"/>
        </w:rPr>
        <w:t> </w:t>
      </w:r>
      <w:r>
        <w:rPr>
          <w:color w:val="231F20"/>
          <w:w w:val="115"/>
        </w:rPr>
        <w:t>América Latina. Cuando en 1950 el consejo de seguridad de la onu</w:t>
      </w:r>
      <w:r>
        <w:rPr>
          <w:color w:val="231F20"/>
          <w:spacing w:val="-21"/>
          <w:w w:val="115"/>
        </w:rPr>
        <w:t> </w:t>
      </w:r>
      <w:r>
        <w:rPr>
          <w:color w:val="231F20"/>
          <w:w w:val="115"/>
        </w:rPr>
        <w:t>aprobó la</w:t>
      </w:r>
      <w:r>
        <w:rPr>
          <w:color w:val="231F20"/>
          <w:spacing w:val="-17"/>
          <w:w w:val="115"/>
        </w:rPr>
        <w:t> </w:t>
      </w:r>
      <w:r>
        <w:rPr>
          <w:color w:val="231F20"/>
          <w:w w:val="115"/>
        </w:rPr>
        <w:t>resolución</w:t>
      </w:r>
      <w:r>
        <w:rPr>
          <w:color w:val="231F20"/>
          <w:spacing w:val="-17"/>
          <w:w w:val="115"/>
        </w:rPr>
        <w:t> </w:t>
      </w:r>
      <w:r>
        <w:rPr>
          <w:color w:val="231F20"/>
          <w:w w:val="115"/>
        </w:rPr>
        <w:t>de</w:t>
      </w:r>
      <w:r>
        <w:rPr>
          <w:color w:val="231F20"/>
          <w:spacing w:val="-17"/>
          <w:w w:val="115"/>
        </w:rPr>
        <w:t> </w:t>
      </w:r>
      <w:r>
        <w:rPr>
          <w:color w:val="231F20"/>
          <w:w w:val="115"/>
        </w:rPr>
        <w:t>Estados</w:t>
      </w:r>
      <w:r>
        <w:rPr>
          <w:color w:val="231F20"/>
          <w:spacing w:val="-17"/>
          <w:w w:val="115"/>
        </w:rPr>
        <w:t> </w:t>
      </w:r>
      <w:r>
        <w:rPr>
          <w:color w:val="231F20"/>
          <w:w w:val="115"/>
        </w:rPr>
        <w:t>Unidos</w:t>
      </w:r>
      <w:r>
        <w:rPr>
          <w:color w:val="231F20"/>
          <w:spacing w:val="-17"/>
          <w:w w:val="115"/>
        </w:rPr>
        <w:t> </w:t>
      </w:r>
      <w:r>
        <w:rPr>
          <w:color w:val="231F20"/>
          <w:w w:val="115"/>
        </w:rPr>
        <w:t>contra</w:t>
      </w:r>
      <w:r>
        <w:rPr>
          <w:color w:val="231F20"/>
          <w:spacing w:val="-17"/>
          <w:w w:val="115"/>
        </w:rPr>
        <w:t> </w:t>
      </w:r>
      <w:r>
        <w:rPr>
          <w:color w:val="231F20"/>
          <w:w w:val="115"/>
        </w:rPr>
        <w:t>Corea</w:t>
      </w:r>
      <w:r>
        <w:rPr>
          <w:color w:val="231F20"/>
          <w:spacing w:val="-17"/>
          <w:w w:val="115"/>
        </w:rPr>
        <w:t> </w:t>
      </w:r>
      <w:r>
        <w:rPr>
          <w:color w:val="231F20"/>
          <w:w w:val="115"/>
        </w:rPr>
        <w:t>del</w:t>
      </w:r>
      <w:r>
        <w:rPr>
          <w:color w:val="231F20"/>
          <w:spacing w:val="-17"/>
          <w:w w:val="115"/>
        </w:rPr>
        <w:t> </w:t>
      </w:r>
      <w:r>
        <w:rPr>
          <w:color w:val="231F20"/>
          <w:w w:val="115"/>
        </w:rPr>
        <w:t>Norte</w:t>
      </w:r>
      <w:r>
        <w:rPr>
          <w:color w:val="231F20"/>
          <w:spacing w:val="-17"/>
          <w:w w:val="115"/>
        </w:rPr>
        <w:t> </w:t>
      </w:r>
      <w:r>
        <w:rPr>
          <w:color w:val="231F20"/>
          <w:w w:val="115"/>
        </w:rPr>
        <w:t>en</w:t>
      </w:r>
      <w:r>
        <w:rPr>
          <w:color w:val="231F20"/>
          <w:spacing w:val="-17"/>
          <w:w w:val="115"/>
        </w:rPr>
        <w:t> </w:t>
      </w:r>
      <w:r>
        <w:rPr>
          <w:color w:val="231F20"/>
          <w:w w:val="115"/>
        </w:rPr>
        <w:t>1950,</w:t>
      </w:r>
      <w:r>
        <w:rPr>
          <w:color w:val="231F20"/>
          <w:spacing w:val="-17"/>
          <w:w w:val="115"/>
        </w:rPr>
        <w:t> </w:t>
      </w:r>
      <w:r>
        <w:rPr>
          <w:color w:val="231F20"/>
          <w:w w:val="115"/>
        </w:rPr>
        <w:t>el conservador</w:t>
      </w:r>
      <w:r>
        <w:rPr>
          <w:color w:val="231F20"/>
          <w:spacing w:val="-14"/>
          <w:w w:val="115"/>
        </w:rPr>
        <w:t> </w:t>
      </w:r>
      <w:r>
        <w:rPr>
          <w:color w:val="231F20"/>
          <w:w w:val="115"/>
        </w:rPr>
        <w:t>Laureano</w:t>
      </w:r>
      <w:r>
        <w:rPr>
          <w:color w:val="231F20"/>
          <w:spacing w:val="-14"/>
          <w:w w:val="115"/>
        </w:rPr>
        <w:t> </w:t>
      </w:r>
      <w:r>
        <w:rPr>
          <w:color w:val="231F20"/>
          <w:w w:val="115"/>
        </w:rPr>
        <w:t>Gómez</w:t>
      </w:r>
      <w:r>
        <w:rPr>
          <w:color w:val="231F20"/>
          <w:spacing w:val="-14"/>
          <w:w w:val="115"/>
        </w:rPr>
        <w:t> </w:t>
      </w:r>
      <w:r>
        <w:rPr>
          <w:color w:val="231F20"/>
          <w:w w:val="115"/>
        </w:rPr>
        <w:t>ofreció,</w:t>
      </w:r>
      <w:r>
        <w:rPr>
          <w:color w:val="231F20"/>
          <w:spacing w:val="-14"/>
          <w:w w:val="115"/>
        </w:rPr>
        <w:t> </w:t>
      </w:r>
      <w:r>
        <w:rPr>
          <w:color w:val="231F20"/>
          <w:w w:val="115"/>
        </w:rPr>
        <w:t>un</w:t>
      </w:r>
      <w:r>
        <w:rPr>
          <w:color w:val="231F20"/>
          <w:spacing w:val="-14"/>
          <w:w w:val="115"/>
        </w:rPr>
        <w:t> </w:t>
      </w:r>
      <w:r>
        <w:rPr>
          <w:color w:val="231F20"/>
          <w:w w:val="115"/>
        </w:rPr>
        <w:t>contingente</w:t>
      </w:r>
      <w:r>
        <w:rPr>
          <w:color w:val="231F20"/>
          <w:spacing w:val="-14"/>
          <w:w w:val="115"/>
        </w:rPr>
        <w:t> </w:t>
      </w:r>
      <w:r>
        <w:rPr>
          <w:color w:val="231F20"/>
          <w:w w:val="115"/>
        </w:rPr>
        <w:t>de</w:t>
      </w:r>
      <w:r>
        <w:rPr>
          <w:color w:val="231F20"/>
          <w:spacing w:val="-14"/>
          <w:w w:val="115"/>
        </w:rPr>
        <w:t> </w:t>
      </w:r>
      <w:r>
        <w:rPr>
          <w:color w:val="231F20"/>
          <w:w w:val="115"/>
        </w:rPr>
        <w:t>soldados colombianos</w:t>
      </w:r>
      <w:r>
        <w:rPr>
          <w:color w:val="231F20"/>
          <w:spacing w:val="-23"/>
          <w:w w:val="115"/>
        </w:rPr>
        <w:t> </w:t>
      </w:r>
      <w:r>
        <w:rPr>
          <w:color w:val="231F20"/>
          <w:w w:val="115"/>
        </w:rPr>
        <w:t>para</w:t>
      </w:r>
      <w:r>
        <w:rPr>
          <w:color w:val="231F20"/>
          <w:spacing w:val="-23"/>
          <w:w w:val="115"/>
        </w:rPr>
        <w:t> </w:t>
      </w:r>
      <w:r>
        <w:rPr>
          <w:color w:val="231F20"/>
          <w:w w:val="115"/>
        </w:rPr>
        <w:t>apoyar</w:t>
      </w:r>
      <w:r>
        <w:rPr>
          <w:color w:val="231F20"/>
          <w:spacing w:val="-23"/>
          <w:w w:val="115"/>
        </w:rPr>
        <w:t> </w:t>
      </w:r>
      <w:r>
        <w:rPr>
          <w:color w:val="231F20"/>
          <w:w w:val="115"/>
        </w:rPr>
        <w:t>al</w:t>
      </w:r>
      <w:r>
        <w:rPr>
          <w:color w:val="231F20"/>
          <w:spacing w:val="-23"/>
          <w:w w:val="115"/>
        </w:rPr>
        <w:t> </w:t>
      </w:r>
      <w:r>
        <w:rPr>
          <w:color w:val="231F20"/>
          <w:w w:val="115"/>
        </w:rPr>
        <w:t>ejército</w:t>
      </w:r>
      <w:r>
        <w:rPr>
          <w:color w:val="231F20"/>
          <w:spacing w:val="-23"/>
          <w:w w:val="115"/>
        </w:rPr>
        <w:t> </w:t>
      </w:r>
      <w:r>
        <w:rPr>
          <w:color w:val="231F20"/>
          <w:w w:val="115"/>
        </w:rPr>
        <w:t>estadunidense.</w:t>
      </w:r>
      <w:r>
        <w:rPr>
          <w:color w:val="231F20"/>
          <w:spacing w:val="-23"/>
          <w:w w:val="115"/>
        </w:rPr>
        <w:t> </w:t>
      </w:r>
      <w:r>
        <w:rPr>
          <w:color w:val="231F20"/>
          <w:w w:val="115"/>
        </w:rPr>
        <w:t>Cincuenta</w:t>
      </w:r>
      <w:r>
        <w:rPr>
          <w:color w:val="231F20"/>
          <w:spacing w:val="-23"/>
          <w:w w:val="115"/>
        </w:rPr>
        <w:t> </w:t>
      </w:r>
      <w:r>
        <w:rPr>
          <w:color w:val="231F20"/>
          <w:w w:val="115"/>
        </w:rPr>
        <w:t>años después la historia se repite. El gobierno de Álvaro Uribe, decide apoyar</w:t>
      </w:r>
      <w:r>
        <w:rPr>
          <w:color w:val="231F20"/>
          <w:spacing w:val="-30"/>
          <w:w w:val="115"/>
        </w:rPr>
        <w:t> </w:t>
      </w:r>
      <w:r>
        <w:rPr>
          <w:color w:val="231F20"/>
          <w:w w:val="115"/>
        </w:rPr>
        <w:t>con</w:t>
      </w:r>
      <w:r>
        <w:rPr>
          <w:color w:val="231F20"/>
          <w:spacing w:val="-30"/>
          <w:w w:val="115"/>
        </w:rPr>
        <w:t> </w:t>
      </w:r>
      <w:r>
        <w:rPr>
          <w:color w:val="231F20"/>
          <w:w w:val="115"/>
        </w:rPr>
        <w:t>un</w:t>
      </w:r>
      <w:r>
        <w:rPr>
          <w:color w:val="231F20"/>
          <w:spacing w:val="-30"/>
          <w:w w:val="115"/>
        </w:rPr>
        <w:t> </w:t>
      </w:r>
      <w:r>
        <w:rPr>
          <w:color w:val="231F20"/>
          <w:w w:val="115"/>
        </w:rPr>
        <w:t>contingente</w:t>
      </w:r>
      <w:r>
        <w:rPr>
          <w:color w:val="231F20"/>
          <w:spacing w:val="-30"/>
          <w:w w:val="115"/>
        </w:rPr>
        <w:t> </w:t>
      </w:r>
      <w:r>
        <w:rPr>
          <w:color w:val="231F20"/>
          <w:w w:val="115"/>
        </w:rPr>
        <w:t>de</w:t>
      </w:r>
      <w:r>
        <w:rPr>
          <w:color w:val="231F20"/>
          <w:spacing w:val="-30"/>
          <w:w w:val="115"/>
        </w:rPr>
        <w:t> </w:t>
      </w:r>
      <w:r>
        <w:rPr>
          <w:color w:val="231F20"/>
          <w:w w:val="115"/>
        </w:rPr>
        <w:t>soldados</w:t>
      </w:r>
      <w:r>
        <w:rPr>
          <w:color w:val="231F20"/>
          <w:spacing w:val="-30"/>
          <w:w w:val="115"/>
        </w:rPr>
        <w:t> </w:t>
      </w:r>
      <w:r>
        <w:rPr>
          <w:color w:val="231F20"/>
          <w:w w:val="115"/>
        </w:rPr>
        <w:t>colombianos</w:t>
      </w:r>
      <w:r>
        <w:rPr>
          <w:color w:val="231F20"/>
          <w:spacing w:val="-30"/>
          <w:w w:val="115"/>
        </w:rPr>
        <w:t> </w:t>
      </w:r>
      <w:r>
        <w:rPr>
          <w:color w:val="231F20"/>
          <w:w w:val="115"/>
        </w:rPr>
        <w:t>la</w:t>
      </w:r>
      <w:r>
        <w:rPr>
          <w:color w:val="231F20"/>
          <w:spacing w:val="-30"/>
          <w:w w:val="115"/>
        </w:rPr>
        <w:t> </w:t>
      </w:r>
      <w:r>
        <w:rPr>
          <w:color w:val="231F20"/>
          <w:w w:val="115"/>
        </w:rPr>
        <w:t>intervención de</w:t>
      </w:r>
      <w:r>
        <w:rPr>
          <w:color w:val="231F20"/>
          <w:spacing w:val="-20"/>
          <w:w w:val="115"/>
        </w:rPr>
        <w:t> </w:t>
      </w:r>
      <w:r>
        <w:rPr>
          <w:color w:val="231F20"/>
          <w:w w:val="115"/>
        </w:rPr>
        <w:t>la</w:t>
      </w:r>
      <w:r>
        <w:rPr>
          <w:color w:val="231F20"/>
          <w:spacing w:val="-20"/>
          <w:w w:val="115"/>
        </w:rPr>
        <w:t> </w:t>
      </w:r>
      <w:r>
        <w:rPr>
          <w:color w:val="231F20"/>
          <w:w w:val="115"/>
        </w:rPr>
        <w:t>otan</w:t>
      </w:r>
      <w:r>
        <w:rPr>
          <w:color w:val="231F20"/>
          <w:spacing w:val="-20"/>
          <w:w w:val="115"/>
        </w:rPr>
        <w:t> </w:t>
      </w:r>
      <w:r>
        <w:rPr>
          <w:color w:val="231F20"/>
          <w:w w:val="115"/>
        </w:rPr>
        <w:t>en</w:t>
      </w:r>
      <w:r>
        <w:rPr>
          <w:color w:val="231F20"/>
          <w:spacing w:val="-20"/>
          <w:w w:val="115"/>
        </w:rPr>
        <w:t> </w:t>
      </w:r>
      <w:r>
        <w:rPr>
          <w:color w:val="231F20"/>
          <w:w w:val="115"/>
        </w:rPr>
        <w:t>Afganistán</w:t>
      </w:r>
      <w:r>
        <w:rPr>
          <w:color w:val="231F20"/>
          <w:spacing w:val="-20"/>
          <w:w w:val="115"/>
        </w:rPr>
        <w:t> </w:t>
      </w:r>
      <w:r>
        <w:rPr>
          <w:color w:val="231F20"/>
        </w:rPr>
        <w:t>y</w:t>
      </w:r>
      <w:r>
        <w:rPr>
          <w:color w:val="231F20"/>
          <w:spacing w:val="-12"/>
        </w:rPr>
        <w:t> </w:t>
      </w:r>
      <w:r>
        <w:rPr>
          <w:color w:val="231F20"/>
          <w:w w:val="115"/>
        </w:rPr>
        <w:t>Haití</w:t>
      </w:r>
      <w:r>
        <w:rPr>
          <w:color w:val="231F20"/>
          <w:spacing w:val="-20"/>
          <w:w w:val="115"/>
        </w:rPr>
        <w:t> </w:t>
      </w:r>
      <w:r>
        <w:rPr>
          <w:color w:val="231F20"/>
          <w:w w:val="115"/>
        </w:rPr>
        <w:t>(</w:t>
      </w:r>
      <w:r>
        <w:rPr>
          <w:i/>
          <w:color w:val="231F20"/>
          <w:w w:val="115"/>
        </w:rPr>
        <w:t>El</w:t>
      </w:r>
      <w:r>
        <w:rPr>
          <w:i/>
          <w:color w:val="231F20"/>
          <w:spacing w:val="-20"/>
          <w:w w:val="115"/>
        </w:rPr>
        <w:t> </w:t>
      </w:r>
      <w:r>
        <w:rPr>
          <w:i/>
          <w:color w:val="231F20"/>
        </w:rPr>
        <w:t>Espectador</w:t>
      </w:r>
      <w:r>
        <w:rPr>
          <w:color w:val="231F20"/>
        </w:rPr>
        <w:t>,</w:t>
      </w:r>
      <w:r>
        <w:rPr>
          <w:color w:val="231F20"/>
          <w:spacing w:val="-12"/>
        </w:rPr>
        <w:t> </w:t>
      </w:r>
      <w:r>
        <w:rPr>
          <w:color w:val="231F20"/>
          <w:w w:val="115"/>
        </w:rPr>
        <w:t>2008a).</w:t>
      </w:r>
      <w:r>
        <w:rPr>
          <w:color w:val="231F20"/>
          <w:spacing w:val="-20"/>
          <w:w w:val="115"/>
        </w:rPr>
        <w:t> </w:t>
      </w:r>
      <w:r>
        <w:rPr>
          <w:color w:val="231F20"/>
        </w:rPr>
        <w:t>Y</w:t>
      </w:r>
      <w:r>
        <w:rPr>
          <w:color w:val="231F20"/>
          <w:spacing w:val="-12"/>
        </w:rPr>
        <w:t> </w:t>
      </w:r>
      <w:r>
        <w:rPr>
          <w:color w:val="231F20"/>
          <w:w w:val="115"/>
        </w:rPr>
        <w:t>con</w:t>
      </w:r>
      <w:r>
        <w:rPr>
          <w:color w:val="231F20"/>
          <w:spacing w:val="-20"/>
          <w:w w:val="115"/>
        </w:rPr>
        <w:t> </w:t>
      </w:r>
      <w:r>
        <w:rPr>
          <w:color w:val="231F20"/>
          <w:w w:val="115"/>
        </w:rPr>
        <w:t>apoyo logístico</w:t>
      </w:r>
      <w:r>
        <w:rPr>
          <w:color w:val="231F20"/>
          <w:spacing w:val="-24"/>
          <w:w w:val="115"/>
        </w:rPr>
        <w:t> </w:t>
      </w:r>
      <w:r>
        <w:rPr>
          <w:color w:val="231F20"/>
          <w:w w:val="115"/>
        </w:rPr>
        <w:t>estadunidense</w:t>
      </w:r>
      <w:r>
        <w:rPr>
          <w:color w:val="231F20"/>
          <w:spacing w:val="-24"/>
          <w:w w:val="115"/>
        </w:rPr>
        <w:t> </w:t>
      </w:r>
      <w:r>
        <w:rPr>
          <w:color w:val="231F20"/>
          <w:w w:val="115"/>
        </w:rPr>
        <w:t>decide</w:t>
      </w:r>
      <w:r>
        <w:rPr>
          <w:color w:val="231F20"/>
          <w:spacing w:val="-24"/>
          <w:w w:val="115"/>
        </w:rPr>
        <w:t> </w:t>
      </w:r>
      <w:r>
        <w:rPr>
          <w:color w:val="231F20"/>
          <w:w w:val="115"/>
        </w:rPr>
        <w:t>invadir</w:t>
      </w:r>
      <w:r>
        <w:rPr>
          <w:color w:val="231F20"/>
          <w:spacing w:val="-24"/>
          <w:w w:val="115"/>
        </w:rPr>
        <w:t> </w:t>
      </w:r>
      <w:r>
        <w:rPr>
          <w:color w:val="231F20"/>
          <w:w w:val="115"/>
        </w:rPr>
        <w:t>el</w:t>
      </w:r>
      <w:r>
        <w:rPr>
          <w:color w:val="231F20"/>
          <w:spacing w:val="-24"/>
          <w:w w:val="115"/>
        </w:rPr>
        <w:t> </w:t>
      </w:r>
      <w:r>
        <w:rPr>
          <w:color w:val="231F20"/>
          <w:w w:val="115"/>
        </w:rPr>
        <w:t>espacio</w:t>
      </w:r>
      <w:r>
        <w:rPr>
          <w:color w:val="231F20"/>
          <w:spacing w:val="-24"/>
          <w:w w:val="115"/>
        </w:rPr>
        <w:t> </w:t>
      </w:r>
      <w:r>
        <w:rPr>
          <w:color w:val="231F20"/>
          <w:w w:val="115"/>
        </w:rPr>
        <w:t>aéreo</w:t>
      </w:r>
      <w:r>
        <w:rPr>
          <w:color w:val="231F20"/>
          <w:spacing w:val="-24"/>
          <w:w w:val="115"/>
        </w:rPr>
        <w:t> </w:t>
      </w:r>
      <w:r>
        <w:rPr>
          <w:color w:val="231F20"/>
          <w:w w:val="115"/>
        </w:rPr>
        <w:t>ecuatoriano</w:t>
      </w:r>
      <w:r>
        <w:rPr>
          <w:color w:val="231F20"/>
          <w:w w:val="111"/>
        </w:rPr>
        <w:t> </w:t>
      </w:r>
      <w:r>
        <w:rPr>
          <w:color w:val="231F20"/>
          <w:w w:val="115"/>
        </w:rPr>
        <w:t>bombardeando</w:t>
      </w:r>
      <w:r>
        <w:rPr>
          <w:color w:val="231F20"/>
          <w:spacing w:val="-36"/>
          <w:w w:val="115"/>
        </w:rPr>
        <w:t> </w:t>
      </w:r>
      <w:r>
        <w:rPr>
          <w:color w:val="231F20"/>
          <w:w w:val="115"/>
        </w:rPr>
        <w:t>la</w:t>
      </w:r>
      <w:r>
        <w:rPr>
          <w:color w:val="231F20"/>
          <w:spacing w:val="-36"/>
          <w:w w:val="115"/>
        </w:rPr>
        <w:t> </w:t>
      </w:r>
      <w:r>
        <w:rPr>
          <w:color w:val="231F20"/>
          <w:w w:val="115"/>
        </w:rPr>
        <w:t>región</w:t>
      </w:r>
      <w:r>
        <w:rPr>
          <w:color w:val="231F20"/>
          <w:spacing w:val="-36"/>
          <w:w w:val="115"/>
        </w:rPr>
        <w:t> </w:t>
      </w:r>
      <w:r>
        <w:rPr>
          <w:color w:val="231F20"/>
          <w:w w:val="115"/>
        </w:rPr>
        <w:t>de</w:t>
      </w:r>
      <w:r>
        <w:rPr>
          <w:color w:val="231F20"/>
          <w:spacing w:val="-36"/>
          <w:w w:val="115"/>
        </w:rPr>
        <w:t> </w:t>
      </w:r>
      <w:r>
        <w:rPr>
          <w:color w:val="231F20"/>
          <w:w w:val="115"/>
        </w:rPr>
        <w:t>Sucumbíos</w:t>
      </w:r>
      <w:r>
        <w:rPr>
          <w:color w:val="231F20"/>
          <w:spacing w:val="-36"/>
          <w:w w:val="115"/>
        </w:rPr>
        <w:t> </w:t>
      </w:r>
      <w:r>
        <w:rPr>
          <w:color w:val="231F20"/>
          <w:w w:val="115"/>
        </w:rPr>
        <w:t>en</w:t>
      </w:r>
      <w:r>
        <w:rPr>
          <w:color w:val="231F20"/>
          <w:spacing w:val="-36"/>
          <w:w w:val="115"/>
        </w:rPr>
        <w:t> </w:t>
      </w:r>
      <w:r>
        <w:rPr>
          <w:color w:val="231F20"/>
          <w:w w:val="115"/>
        </w:rPr>
        <w:t>2008.</w:t>
      </w:r>
      <w:r>
        <w:rPr>
          <w:color w:val="231F20"/>
          <w:spacing w:val="-36"/>
          <w:w w:val="115"/>
        </w:rPr>
        <w:t> </w:t>
      </w:r>
      <w:r>
        <w:rPr>
          <w:color w:val="231F20"/>
          <w:w w:val="115"/>
        </w:rPr>
        <w:t>En</w:t>
      </w:r>
      <w:r>
        <w:rPr>
          <w:color w:val="231F20"/>
          <w:spacing w:val="-36"/>
          <w:w w:val="115"/>
        </w:rPr>
        <w:t> </w:t>
      </w:r>
      <w:r>
        <w:rPr>
          <w:color w:val="231F20"/>
          <w:w w:val="115"/>
        </w:rPr>
        <w:t>octubre</w:t>
      </w:r>
      <w:r>
        <w:rPr>
          <w:color w:val="231F20"/>
          <w:spacing w:val="-36"/>
          <w:w w:val="115"/>
        </w:rPr>
        <w:t> </w:t>
      </w:r>
      <w:r>
        <w:rPr>
          <w:color w:val="231F20"/>
          <w:w w:val="115"/>
        </w:rPr>
        <w:t>de</w:t>
      </w:r>
      <w:r>
        <w:rPr>
          <w:color w:val="231F20"/>
          <w:spacing w:val="-36"/>
          <w:w w:val="115"/>
        </w:rPr>
        <w:t> </w:t>
      </w:r>
      <w:r>
        <w:rPr>
          <w:color w:val="231F20"/>
          <w:w w:val="115"/>
        </w:rPr>
        <w:t>2009, sin</w:t>
      </w:r>
      <w:r>
        <w:rPr>
          <w:color w:val="231F20"/>
          <w:spacing w:val="-28"/>
          <w:w w:val="115"/>
        </w:rPr>
        <w:t> </w:t>
      </w:r>
      <w:r>
        <w:rPr>
          <w:color w:val="231F20"/>
          <w:w w:val="115"/>
        </w:rPr>
        <w:t>consulta</w:t>
      </w:r>
      <w:r>
        <w:rPr>
          <w:color w:val="231F20"/>
          <w:spacing w:val="-28"/>
          <w:w w:val="115"/>
        </w:rPr>
        <w:t> </w:t>
      </w:r>
      <w:r>
        <w:rPr>
          <w:color w:val="231F20"/>
          <w:w w:val="115"/>
        </w:rPr>
        <w:t>al</w:t>
      </w:r>
      <w:r>
        <w:rPr>
          <w:color w:val="231F20"/>
          <w:spacing w:val="-28"/>
          <w:w w:val="115"/>
        </w:rPr>
        <w:t> </w:t>
      </w:r>
      <w:r>
        <w:rPr>
          <w:color w:val="231F20"/>
          <w:w w:val="115"/>
        </w:rPr>
        <w:t>Congreso</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República</w:t>
      </w:r>
      <w:r>
        <w:rPr>
          <w:color w:val="231F20"/>
          <w:spacing w:val="-28"/>
          <w:w w:val="115"/>
        </w:rPr>
        <w:t> </w:t>
      </w:r>
      <w:r>
        <w:rPr>
          <w:color w:val="231F20"/>
        </w:rPr>
        <w:t>y</w:t>
      </w:r>
      <w:r>
        <w:rPr>
          <w:color w:val="231F20"/>
          <w:spacing w:val="-21"/>
        </w:rPr>
        <w:t> </w:t>
      </w:r>
      <w:r>
        <w:rPr>
          <w:color w:val="231F20"/>
          <w:w w:val="115"/>
        </w:rPr>
        <w:t>en</w:t>
      </w:r>
      <w:r>
        <w:rPr>
          <w:color w:val="231F20"/>
          <w:spacing w:val="-28"/>
          <w:w w:val="115"/>
        </w:rPr>
        <w:t> </w:t>
      </w:r>
      <w:r>
        <w:rPr>
          <w:color w:val="231F20"/>
          <w:w w:val="115"/>
        </w:rPr>
        <w:t>contra</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moviliza-</w:t>
      </w:r>
      <w:r>
        <w:rPr>
          <w:color w:val="231F20"/>
          <w:w w:val="72"/>
        </w:rPr>
        <w:t> </w:t>
      </w:r>
      <w:r>
        <w:rPr>
          <w:color w:val="231F20"/>
          <w:w w:val="110"/>
        </w:rPr>
        <w:t>ciones sociales firma el cuestionado “Acuerdo complementario para </w:t>
      </w:r>
      <w:r>
        <w:rPr>
          <w:color w:val="231F20"/>
          <w:w w:val="115"/>
        </w:rPr>
        <w:t>la</w:t>
      </w:r>
      <w:r>
        <w:rPr>
          <w:color w:val="231F20"/>
          <w:spacing w:val="-13"/>
          <w:w w:val="115"/>
        </w:rPr>
        <w:t> </w:t>
      </w:r>
      <w:r>
        <w:rPr>
          <w:color w:val="231F20"/>
          <w:w w:val="115"/>
        </w:rPr>
        <w:t>Cooperación</w:t>
      </w:r>
      <w:r>
        <w:rPr>
          <w:color w:val="231F20"/>
          <w:spacing w:val="-13"/>
          <w:w w:val="115"/>
        </w:rPr>
        <w:t> </w:t>
      </w:r>
      <w:r>
        <w:rPr>
          <w:color w:val="231F20"/>
        </w:rPr>
        <w:t>y</w:t>
      </w:r>
      <w:r>
        <w:rPr>
          <w:color w:val="231F20"/>
          <w:spacing w:val="-5"/>
        </w:rPr>
        <w:t> </w:t>
      </w:r>
      <w:r>
        <w:rPr>
          <w:color w:val="231F20"/>
          <w:w w:val="115"/>
        </w:rPr>
        <w:t>Asistencia</w:t>
      </w:r>
      <w:r>
        <w:rPr>
          <w:color w:val="231F20"/>
          <w:spacing w:val="-13"/>
          <w:w w:val="115"/>
        </w:rPr>
        <w:t> </w:t>
      </w:r>
      <w:r>
        <w:rPr>
          <w:color w:val="231F20"/>
          <w:w w:val="115"/>
        </w:rPr>
        <w:t>Técnica</w:t>
      </w:r>
      <w:r>
        <w:rPr>
          <w:color w:val="231F20"/>
          <w:spacing w:val="-13"/>
          <w:w w:val="115"/>
        </w:rPr>
        <w:t> </w:t>
      </w:r>
      <w:r>
        <w:rPr>
          <w:color w:val="231F20"/>
          <w:w w:val="115"/>
        </w:rPr>
        <w:t>en</w:t>
      </w:r>
      <w:r>
        <w:rPr>
          <w:color w:val="231F20"/>
          <w:spacing w:val="-13"/>
          <w:w w:val="115"/>
        </w:rPr>
        <w:t> </w:t>
      </w:r>
      <w:r>
        <w:rPr>
          <w:color w:val="231F20"/>
          <w:w w:val="115"/>
        </w:rPr>
        <w:t>Defensa</w:t>
      </w:r>
      <w:r>
        <w:rPr>
          <w:color w:val="231F20"/>
          <w:spacing w:val="-13"/>
          <w:w w:val="115"/>
        </w:rPr>
        <w:t> </w:t>
      </w:r>
      <w:r>
        <w:rPr>
          <w:color w:val="231F20"/>
        </w:rPr>
        <w:t>y</w:t>
      </w:r>
      <w:r>
        <w:rPr>
          <w:color w:val="231F20"/>
          <w:spacing w:val="-5"/>
        </w:rPr>
        <w:t> </w:t>
      </w:r>
      <w:r>
        <w:rPr>
          <w:color w:val="231F20"/>
          <w:w w:val="115"/>
        </w:rPr>
        <w:t>Seguridad</w:t>
      </w:r>
      <w:r>
        <w:rPr>
          <w:color w:val="231F20"/>
          <w:spacing w:val="-13"/>
          <w:w w:val="115"/>
        </w:rPr>
        <w:t> </w:t>
      </w:r>
      <w:r>
        <w:rPr>
          <w:color w:val="231F20"/>
          <w:w w:val="115"/>
        </w:rPr>
        <w:t>entre los</w:t>
      </w:r>
      <w:r>
        <w:rPr>
          <w:color w:val="231F20"/>
          <w:spacing w:val="-17"/>
          <w:w w:val="115"/>
        </w:rPr>
        <w:t> </w:t>
      </w:r>
      <w:r>
        <w:rPr>
          <w:color w:val="231F20"/>
          <w:w w:val="115"/>
        </w:rPr>
        <w:t>gobiernos</w:t>
      </w:r>
      <w:r>
        <w:rPr>
          <w:color w:val="231F20"/>
          <w:spacing w:val="-17"/>
          <w:w w:val="115"/>
        </w:rPr>
        <w:t> </w:t>
      </w:r>
      <w:r>
        <w:rPr>
          <w:color w:val="231F20"/>
          <w:w w:val="115"/>
        </w:rPr>
        <w:t>de</w:t>
      </w:r>
      <w:r>
        <w:rPr>
          <w:color w:val="231F20"/>
          <w:spacing w:val="-17"/>
          <w:w w:val="115"/>
        </w:rPr>
        <w:t> </w:t>
      </w:r>
      <w:r>
        <w:rPr>
          <w:color w:val="231F20"/>
          <w:w w:val="115"/>
        </w:rPr>
        <w:t>Colombia</w:t>
      </w:r>
      <w:r>
        <w:rPr>
          <w:color w:val="231F20"/>
          <w:spacing w:val="-17"/>
          <w:w w:val="115"/>
        </w:rPr>
        <w:t> </w:t>
      </w:r>
      <w:r>
        <w:rPr>
          <w:color w:val="231F20"/>
        </w:rPr>
        <w:t>y</w:t>
      </w:r>
      <w:r>
        <w:rPr>
          <w:color w:val="231F20"/>
          <w:spacing w:val="-9"/>
        </w:rPr>
        <w:t> </w:t>
      </w:r>
      <w:r>
        <w:rPr>
          <w:color w:val="231F20"/>
          <w:w w:val="115"/>
        </w:rPr>
        <w:t>Estados</w:t>
      </w:r>
      <w:r>
        <w:rPr>
          <w:color w:val="231F20"/>
          <w:spacing w:val="-17"/>
          <w:w w:val="115"/>
        </w:rPr>
        <w:t> </w:t>
      </w:r>
      <w:r>
        <w:rPr>
          <w:color w:val="231F20"/>
          <w:w w:val="115"/>
        </w:rPr>
        <w:t>Unidos”,</w:t>
      </w:r>
      <w:r>
        <w:rPr>
          <w:color w:val="231F20"/>
          <w:w w:val="115"/>
          <w:position w:val="6"/>
          <w:sz w:val="13"/>
        </w:rPr>
        <w:t>1</w:t>
      </w:r>
      <w:r>
        <w:rPr>
          <w:color w:val="231F20"/>
          <w:spacing w:val="3"/>
          <w:w w:val="115"/>
          <w:position w:val="6"/>
          <w:sz w:val="13"/>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cual</w:t>
      </w:r>
      <w:r>
        <w:rPr>
          <w:color w:val="231F20"/>
          <w:spacing w:val="-17"/>
          <w:w w:val="115"/>
        </w:rPr>
        <w:t> </w:t>
      </w:r>
      <w:r>
        <w:rPr>
          <w:color w:val="231F20"/>
          <w:w w:val="115"/>
        </w:rPr>
        <w:t>se</w:t>
      </w:r>
      <w:r>
        <w:rPr>
          <w:color w:val="231F20"/>
          <w:spacing w:val="-17"/>
          <w:w w:val="115"/>
        </w:rPr>
        <w:t> </w:t>
      </w:r>
      <w:r>
        <w:rPr>
          <w:color w:val="231F20"/>
          <w:w w:val="115"/>
        </w:rPr>
        <w:t>ofrece el suelo colombiano para la instalación de siete bases</w:t>
      </w:r>
      <w:r>
        <w:rPr>
          <w:color w:val="231F20"/>
          <w:spacing w:val="-26"/>
          <w:w w:val="115"/>
        </w:rPr>
        <w:t> </w:t>
      </w:r>
      <w:r>
        <w:rPr>
          <w:color w:val="231F20"/>
          <w:w w:val="115"/>
        </w:rPr>
        <w:t>militares</w:t>
      </w:r>
      <w:r>
        <w:rPr>
          <w:color w:val="231F20"/>
          <w:spacing w:val="-3"/>
          <w:w w:val="115"/>
        </w:rPr>
        <w:t> </w:t>
      </w:r>
      <w:r>
        <w:rPr>
          <w:color w:val="231F20"/>
          <w:w w:val="115"/>
        </w:rPr>
        <w:t>de</w:t>
      </w:r>
      <w:r>
        <w:rPr>
          <w:color w:val="231F20"/>
          <w:w w:val="114"/>
        </w:rPr>
        <w:t> </w:t>
      </w:r>
      <w:r>
        <w:rPr>
          <w:color w:val="231F20"/>
          <w:w w:val="115"/>
        </w:rPr>
        <w:t>Estados</w:t>
      </w:r>
      <w:r>
        <w:rPr>
          <w:color w:val="231F20"/>
          <w:spacing w:val="-17"/>
          <w:w w:val="115"/>
        </w:rPr>
        <w:t> </w:t>
      </w:r>
      <w:r>
        <w:rPr>
          <w:color w:val="231F20"/>
          <w:w w:val="115"/>
        </w:rPr>
        <w:t>Unidos</w:t>
      </w:r>
      <w:r>
        <w:rPr>
          <w:color w:val="231F20"/>
          <w:spacing w:val="-17"/>
          <w:w w:val="115"/>
        </w:rPr>
        <w:t> </w:t>
      </w:r>
      <w:r>
        <w:rPr>
          <w:color w:val="231F20"/>
          <w:w w:val="115"/>
        </w:rPr>
        <w:t>para</w:t>
      </w:r>
      <w:r>
        <w:rPr>
          <w:color w:val="231F20"/>
          <w:spacing w:val="-17"/>
          <w:w w:val="115"/>
        </w:rPr>
        <w:t> </w:t>
      </w:r>
      <w:r>
        <w:rPr>
          <w:color w:val="231F20"/>
          <w:w w:val="115"/>
        </w:rPr>
        <w:t>ayudar</w:t>
      </w:r>
      <w:r>
        <w:rPr>
          <w:color w:val="231F20"/>
          <w:spacing w:val="-17"/>
          <w:w w:val="115"/>
        </w:rPr>
        <w:t> </w:t>
      </w:r>
      <w:r>
        <w:rPr>
          <w:color w:val="231F20"/>
          <w:w w:val="115"/>
        </w:rPr>
        <w:t>a</w:t>
      </w:r>
      <w:r>
        <w:rPr>
          <w:color w:val="231F20"/>
          <w:spacing w:val="-17"/>
          <w:w w:val="115"/>
        </w:rPr>
        <w:t> </w:t>
      </w:r>
      <w:r>
        <w:rPr>
          <w:color w:val="231F20"/>
          <w:w w:val="115"/>
        </w:rPr>
        <w:t>contener</w:t>
      </w:r>
      <w:r>
        <w:rPr>
          <w:color w:val="231F20"/>
          <w:spacing w:val="-17"/>
          <w:w w:val="115"/>
        </w:rPr>
        <w:t> </w:t>
      </w:r>
      <w:r>
        <w:rPr>
          <w:color w:val="231F20"/>
          <w:w w:val="115"/>
        </w:rPr>
        <w:t>el</w:t>
      </w:r>
      <w:r>
        <w:rPr>
          <w:color w:val="231F20"/>
          <w:spacing w:val="-17"/>
          <w:w w:val="115"/>
        </w:rPr>
        <w:t> </w:t>
      </w:r>
      <w:r>
        <w:rPr>
          <w:color w:val="231F20"/>
          <w:w w:val="115"/>
        </w:rPr>
        <w:t>proyecto</w:t>
      </w:r>
      <w:r>
        <w:rPr>
          <w:color w:val="231F20"/>
          <w:spacing w:val="-17"/>
          <w:w w:val="115"/>
        </w:rPr>
        <w:t> </w:t>
      </w:r>
      <w:r>
        <w:rPr>
          <w:color w:val="231F20"/>
          <w:w w:val="115"/>
        </w:rPr>
        <w:t>político</w:t>
      </w:r>
      <w:r>
        <w:rPr>
          <w:color w:val="231F20"/>
          <w:spacing w:val="-17"/>
          <w:w w:val="115"/>
        </w:rPr>
        <w:t> </w:t>
      </w:r>
      <w:r>
        <w:rPr>
          <w:color w:val="231F20"/>
          <w:w w:val="115"/>
        </w:rPr>
        <w:t>revolu- cionario</w:t>
      </w:r>
      <w:r>
        <w:rPr>
          <w:color w:val="231F20"/>
          <w:spacing w:val="-32"/>
          <w:w w:val="115"/>
        </w:rPr>
        <w:t> </w:t>
      </w:r>
      <w:r>
        <w:rPr>
          <w:color w:val="231F20"/>
          <w:w w:val="115"/>
        </w:rPr>
        <w:t>de</w:t>
      </w:r>
      <w:r>
        <w:rPr>
          <w:color w:val="231F20"/>
          <w:spacing w:val="-32"/>
          <w:w w:val="115"/>
        </w:rPr>
        <w:t> </w:t>
      </w:r>
      <w:r>
        <w:rPr>
          <w:color w:val="231F20"/>
          <w:w w:val="115"/>
        </w:rPr>
        <w:t>otro</w:t>
      </w:r>
      <w:r>
        <w:rPr>
          <w:color w:val="231F20"/>
          <w:spacing w:val="-32"/>
          <w:w w:val="115"/>
        </w:rPr>
        <w:t> </w:t>
      </w:r>
      <w:r>
        <w:rPr>
          <w:color w:val="231F20"/>
          <w:w w:val="115"/>
        </w:rPr>
        <w:t>de</w:t>
      </w:r>
      <w:r>
        <w:rPr>
          <w:color w:val="231F20"/>
          <w:spacing w:val="-32"/>
          <w:w w:val="115"/>
        </w:rPr>
        <w:t> </w:t>
      </w:r>
      <w:r>
        <w:rPr>
          <w:color w:val="231F20"/>
          <w:w w:val="115"/>
        </w:rPr>
        <w:t>sus</w:t>
      </w:r>
      <w:r>
        <w:rPr>
          <w:color w:val="231F20"/>
          <w:spacing w:val="-32"/>
          <w:w w:val="115"/>
        </w:rPr>
        <w:t> </w:t>
      </w:r>
      <w:r>
        <w:rPr>
          <w:color w:val="231F20"/>
          <w:w w:val="115"/>
        </w:rPr>
        <w:t>vecinos:</w:t>
      </w:r>
      <w:r>
        <w:rPr>
          <w:color w:val="231F20"/>
          <w:spacing w:val="-32"/>
          <w:w w:val="115"/>
        </w:rPr>
        <w:t> </w:t>
      </w:r>
      <w:r>
        <w:rPr>
          <w:color w:val="231F20"/>
          <w:w w:val="115"/>
        </w:rPr>
        <w:t>Venezuela.</w:t>
      </w:r>
    </w:p>
    <w:p>
      <w:pPr>
        <w:pStyle w:val="BodyText"/>
      </w:pPr>
    </w:p>
    <w:p>
      <w:pPr>
        <w:pStyle w:val="BodyText"/>
        <w:spacing w:before="10"/>
        <w:rPr>
          <w:sz w:val="21"/>
        </w:rPr>
      </w:pPr>
    </w:p>
    <w:p>
      <w:pPr>
        <w:spacing w:line="261" w:lineRule="auto" w:before="0"/>
        <w:ind w:left="100" w:right="117" w:firstLine="240"/>
        <w:jc w:val="both"/>
        <w:rPr>
          <w:sz w:val="16"/>
        </w:rPr>
      </w:pPr>
      <w:r>
        <w:rPr>
          <w:color w:val="231F20"/>
          <w:w w:val="110"/>
          <w:position w:val="5"/>
          <w:sz w:val="10"/>
        </w:rPr>
        <w:t>1</w:t>
      </w:r>
      <w:r>
        <w:rPr>
          <w:color w:val="231F20"/>
          <w:spacing w:val="21"/>
          <w:w w:val="110"/>
          <w:position w:val="5"/>
          <w:sz w:val="10"/>
        </w:rPr>
        <w:t> </w:t>
      </w:r>
      <w:r>
        <w:rPr>
          <w:color w:val="231F20"/>
          <w:w w:val="110"/>
          <w:sz w:val="16"/>
        </w:rPr>
        <w:t>El</w:t>
      </w:r>
      <w:r>
        <w:rPr>
          <w:color w:val="231F20"/>
          <w:spacing w:val="-11"/>
          <w:w w:val="110"/>
          <w:sz w:val="16"/>
        </w:rPr>
        <w:t> </w:t>
      </w:r>
      <w:r>
        <w:rPr>
          <w:color w:val="231F20"/>
          <w:w w:val="110"/>
          <w:sz w:val="16"/>
        </w:rPr>
        <w:t>primer</w:t>
      </w:r>
      <w:r>
        <w:rPr>
          <w:color w:val="231F20"/>
          <w:spacing w:val="-11"/>
          <w:w w:val="110"/>
          <w:sz w:val="16"/>
        </w:rPr>
        <w:t> </w:t>
      </w:r>
      <w:r>
        <w:rPr>
          <w:color w:val="231F20"/>
          <w:w w:val="110"/>
          <w:sz w:val="16"/>
        </w:rPr>
        <w:t>Acuerdo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este</w:t>
      </w:r>
      <w:r>
        <w:rPr>
          <w:color w:val="231F20"/>
          <w:spacing w:val="-11"/>
          <w:w w:val="110"/>
          <w:sz w:val="16"/>
        </w:rPr>
        <w:t> </w:t>
      </w:r>
      <w:r>
        <w:rPr>
          <w:color w:val="231F20"/>
          <w:w w:val="110"/>
          <w:sz w:val="16"/>
        </w:rPr>
        <w:t>tipo</w:t>
      </w:r>
      <w:r>
        <w:rPr>
          <w:color w:val="231F20"/>
          <w:spacing w:val="-11"/>
          <w:w w:val="110"/>
          <w:sz w:val="16"/>
        </w:rPr>
        <w:t> </w:t>
      </w:r>
      <w:r>
        <w:rPr>
          <w:color w:val="231F20"/>
          <w:w w:val="110"/>
          <w:sz w:val="16"/>
        </w:rPr>
        <w:t>se</w:t>
      </w:r>
      <w:r>
        <w:rPr>
          <w:color w:val="231F20"/>
          <w:spacing w:val="-11"/>
          <w:w w:val="110"/>
          <w:sz w:val="16"/>
        </w:rPr>
        <w:t> </w:t>
      </w:r>
      <w:r>
        <w:rPr>
          <w:color w:val="231F20"/>
          <w:w w:val="110"/>
          <w:sz w:val="16"/>
        </w:rPr>
        <w:t>firmó</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1952</w:t>
      </w:r>
      <w:r>
        <w:rPr>
          <w:color w:val="231F20"/>
          <w:spacing w:val="-11"/>
          <w:w w:val="110"/>
          <w:sz w:val="16"/>
        </w:rPr>
        <w:t> </w:t>
      </w:r>
      <w:r>
        <w:rPr>
          <w:color w:val="231F20"/>
          <w:w w:val="110"/>
          <w:sz w:val="16"/>
        </w:rPr>
        <w:t>cuatro</w:t>
      </w:r>
      <w:r>
        <w:rPr>
          <w:color w:val="231F20"/>
          <w:spacing w:val="-11"/>
          <w:w w:val="110"/>
          <w:sz w:val="16"/>
        </w:rPr>
        <w:t> </w:t>
      </w:r>
      <w:r>
        <w:rPr>
          <w:color w:val="231F20"/>
          <w:w w:val="110"/>
          <w:sz w:val="16"/>
        </w:rPr>
        <w:t>años</w:t>
      </w:r>
      <w:r>
        <w:rPr>
          <w:color w:val="231F20"/>
          <w:spacing w:val="-11"/>
          <w:w w:val="110"/>
          <w:sz w:val="16"/>
        </w:rPr>
        <w:t> </w:t>
      </w:r>
      <w:r>
        <w:rPr>
          <w:color w:val="231F20"/>
          <w:w w:val="110"/>
          <w:sz w:val="16"/>
        </w:rPr>
        <w:t>después</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asesinato del líder Jorge Eliécer Gaitán, para aplacar las revueltas callejeras que se suscitaron, durante la cumbre de cancilleres que dio lugar a la creación de la oea, bajo la direc- ción de Estados Unidos: </w:t>
      </w:r>
      <w:hyperlink r:id="rId379">
        <w:r>
          <w:rPr>
            <w:color w:val="231F20"/>
            <w:w w:val="110"/>
            <w:sz w:val="16"/>
          </w:rPr>
          <w:t>&lt;www.mindefensa.gov.co/descargas/Documentos_Home/</w:t>
        </w:r>
      </w:hyperlink>
      <w:r>
        <w:rPr>
          <w:color w:val="231F20"/>
          <w:w w:val="110"/>
          <w:sz w:val="16"/>
        </w:rPr>
        <w:t> Esp_Acuerdo_cooperacion_con_EEUU.pdf&gt;</w:t>
      </w:r>
    </w:p>
    <w:p>
      <w:pPr>
        <w:pStyle w:val="BodyText"/>
        <w:spacing w:before="7"/>
        <w:rPr>
          <w:sz w:val="16"/>
        </w:rPr>
      </w:pPr>
    </w:p>
    <w:p>
      <w:pPr>
        <w:pStyle w:val="BodyText"/>
        <w:spacing w:before="67"/>
        <w:ind w:left="113" w:right="132"/>
        <w:jc w:val="center"/>
      </w:pPr>
      <w:r>
        <w:rPr>
          <w:color w:val="231F20"/>
          <w:w w:val="120"/>
        </w:rPr>
        <w:t>[483]</w:t>
      </w:r>
    </w:p>
    <w:p>
      <w:pPr>
        <w:spacing w:after="0"/>
        <w:jc w:val="center"/>
        <w:sectPr>
          <w:headerReference w:type="default" r:id="rId378"/>
          <w:pgSz w:w="7640" w:h="11900"/>
          <w:pgMar w:header="0" w:footer="0" w:top="100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Especialmente después del 11 de septiembre de 2001, Colombia se convierte en el adalid de la política exterior estadunidense en la región. A partir de una alianza ideológica con el presidente Bush hijo, el presidente Uribe se sitúa como el principal impulsor tanto  de la agenda de seguridad hemisférica como de la agenda</w:t>
      </w:r>
      <w:r>
        <w:rPr>
          <w:color w:val="231F20"/>
          <w:spacing w:val="-33"/>
          <w:w w:val="110"/>
        </w:rPr>
        <w:t> </w:t>
      </w:r>
      <w:r>
        <w:rPr>
          <w:color w:val="231F20"/>
          <w:w w:val="110"/>
        </w:rPr>
        <w:t>comercial, trazadas desde Washington, a través de múltiples iniciativas como</w:t>
      </w:r>
      <w:r>
        <w:rPr>
          <w:color w:val="231F20"/>
          <w:spacing w:val="-37"/>
          <w:w w:val="110"/>
        </w:rPr>
        <w:t> </w:t>
      </w:r>
      <w:r>
        <w:rPr>
          <w:color w:val="231F20"/>
          <w:w w:val="110"/>
        </w:rPr>
        <w:t>el alca,</w:t>
      </w:r>
      <w:r>
        <w:rPr>
          <w:color w:val="231F20"/>
          <w:spacing w:val="-15"/>
          <w:w w:val="110"/>
        </w:rPr>
        <w:t> </w:t>
      </w:r>
      <w:r>
        <w:rPr>
          <w:color w:val="231F20"/>
          <w:w w:val="110"/>
        </w:rPr>
        <w:t>el</w:t>
      </w:r>
      <w:r>
        <w:rPr>
          <w:color w:val="231F20"/>
          <w:spacing w:val="-15"/>
          <w:w w:val="110"/>
        </w:rPr>
        <w:t> </w:t>
      </w:r>
      <w:r>
        <w:rPr>
          <w:color w:val="231F20"/>
          <w:w w:val="110"/>
        </w:rPr>
        <w:t>Plan</w:t>
      </w:r>
      <w:r>
        <w:rPr>
          <w:color w:val="231F20"/>
          <w:spacing w:val="-15"/>
          <w:w w:val="110"/>
        </w:rPr>
        <w:t> </w:t>
      </w:r>
      <w:r>
        <w:rPr>
          <w:color w:val="231F20"/>
          <w:w w:val="110"/>
        </w:rPr>
        <w:t>Colombia,</w:t>
      </w:r>
      <w:r>
        <w:rPr>
          <w:color w:val="231F20"/>
          <w:spacing w:val="-15"/>
          <w:w w:val="110"/>
        </w:rPr>
        <w:t> </w:t>
      </w:r>
      <w:r>
        <w:rPr>
          <w:color w:val="231F20"/>
          <w:w w:val="110"/>
        </w:rPr>
        <w:t>La</w:t>
      </w:r>
      <w:r>
        <w:rPr>
          <w:color w:val="231F20"/>
          <w:spacing w:val="-15"/>
          <w:w w:val="110"/>
        </w:rPr>
        <w:t> </w:t>
      </w:r>
      <w:r>
        <w:rPr>
          <w:color w:val="231F20"/>
          <w:w w:val="110"/>
        </w:rPr>
        <w:t>Iniciativa</w:t>
      </w:r>
      <w:r>
        <w:rPr>
          <w:color w:val="231F20"/>
          <w:spacing w:val="-15"/>
          <w:w w:val="110"/>
        </w:rPr>
        <w:t> </w:t>
      </w:r>
      <w:r>
        <w:rPr>
          <w:color w:val="231F20"/>
          <w:w w:val="110"/>
        </w:rPr>
        <w:t>Regional</w:t>
      </w:r>
      <w:r>
        <w:rPr>
          <w:color w:val="231F20"/>
          <w:spacing w:val="-15"/>
          <w:w w:val="110"/>
        </w:rPr>
        <w:t> </w:t>
      </w:r>
      <w:r>
        <w:rPr>
          <w:color w:val="231F20"/>
          <w:w w:val="110"/>
        </w:rPr>
        <w:t>Andina,</w:t>
      </w:r>
      <w:r>
        <w:rPr>
          <w:color w:val="231F20"/>
          <w:spacing w:val="-15"/>
          <w:w w:val="110"/>
        </w:rPr>
        <w:t> </w:t>
      </w:r>
      <w:r>
        <w:rPr>
          <w:color w:val="231F20"/>
          <w:w w:val="110"/>
        </w:rPr>
        <w:t>el</w:t>
      </w:r>
      <w:r>
        <w:rPr>
          <w:color w:val="231F20"/>
          <w:spacing w:val="-15"/>
          <w:w w:val="110"/>
        </w:rPr>
        <w:t> </w:t>
      </w:r>
      <w:r>
        <w:rPr>
          <w:color w:val="231F20"/>
          <w:w w:val="110"/>
        </w:rPr>
        <w:t>Plan</w:t>
      </w:r>
      <w:r>
        <w:rPr>
          <w:color w:val="231F20"/>
          <w:spacing w:val="-15"/>
          <w:w w:val="110"/>
        </w:rPr>
        <w:t> </w:t>
      </w:r>
      <w:r>
        <w:rPr>
          <w:color w:val="231F20"/>
          <w:w w:val="110"/>
        </w:rPr>
        <w:t>Puebla Panamá y los </w:t>
      </w:r>
      <w:r>
        <w:rPr>
          <w:color w:val="231F20"/>
          <w:spacing w:val="-3"/>
          <w:w w:val="110"/>
        </w:rPr>
        <w:t>Tratados </w:t>
      </w:r>
      <w:r>
        <w:rPr>
          <w:color w:val="231F20"/>
          <w:w w:val="110"/>
        </w:rPr>
        <w:t>de Libre Comercio. Su papel en la geopolíti- ca regional, ha permitido el afianzamiento de nuevas alianzas entre empresas</w:t>
      </w:r>
      <w:r>
        <w:rPr>
          <w:color w:val="231F20"/>
          <w:spacing w:val="-7"/>
          <w:w w:val="110"/>
        </w:rPr>
        <w:t> </w:t>
      </w:r>
      <w:r>
        <w:rPr>
          <w:color w:val="231F20"/>
          <w:w w:val="110"/>
        </w:rPr>
        <w:t>comerciales</w:t>
      </w:r>
      <w:r>
        <w:rPr>
          <w:color w:val="231F20"/>
          <w:spacing w:val="-7"/>
          <w:w w:val="110"/>
        </w:rPr>
        <w:t> </w:t>
      </w:r>
      <w:r>
        <w:rPr>
          <w:color w:val="231F20"/>
          <w:w w:val="110"/>
        </w:rPr>
        <w:t>y</w:t>
      </w:r>
      <w:r>
        <w:rPr>
          <w:color w:val="231F20"/>
          <w:spacing w:val="-7"/>
          <w:w w:val="110"/>
        </w:rPr>
        <w:t> </w:t>
      </w:r>
      <w:r>
        <w:rPr>
          <w:color w:val="231F20"/>
          <w:w w:val="110"/>
        </w:rPr>
        <w:t>militares</w:t>
      </w:r>
      <w:r>
        <w:rPr>
          <w:color w:val="231F20"/>
          <w:spacing w:val="-7"/>
          <w:w w:val="110"/>
        </w:rPr>
        <w:t> </w:t>
      </w:r>
      <w:r>
        <w:rPr>
          <w:color w:val="231F20"/>
          <w:w w:val="110"/>
        </w:rPr>
        <w:t>de</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consintiendo</w:t>
      </w:r>
      <w:r>
        <w:rPr>
          <w:color w:val="231F20"/>
          <w:spacing w:val="-7"/>
          <w:w w:val="110"/>
        </w:rPr>
        <w:t> </w:t>
      </w:r>
      <w:r>
        <w:rPr>
          <w:color w:val="231F20"/>
          <w:w w:val="110"/>
        </w:rPr>
        <w:t>la defensa de los intereses económicos y la seguridad de sus empresas, garantizando acceso, control y derechos de propiedad sobre recur- sos estratégicos como la biodiversidad, el petróleo y la minería. Sin embargo, a pesar de su sometimiento, el gobierno colombiano del presidente Uribe, ha sido cuestionado durante la campaña electoral de Estados Unidos (sin evidenciar sus nexos con los gobiernos esta- dunidenses, por el apoyo de fuerzas militares paralelas en Colombia con</w:t>
      </w:r>
      <w:r>
        <w:rPr>
          <w:color w:val="231F20"/>
          <w:spacing w:val="-5"/>
          <w:w w:val="110"/>
        </w:rPr>
        <w:t> </w:t>
      </w:r>
      <w:r>
        <w:rPr>
          <w:color w:val="231F20"/>
          <w:w w:val="110"/>
        </w:rPr>
        <w:t>el</w:t>
      </w:r>
      <w:r>
        <w:rPr>
          <w:color w:val="231F20"/>
          <w:spacing w:val="-5"/>
          <w:w w:val="110"/>
        </w:rPr>
        <w:t> </w:t>
      </w:r>
      <w:r>
        <w:rPr>
          <w:color w:val="231F20"/>
          <w:w w:val="110"/>
        </w:rPr>
        <w:t>pretexto</w:t>
      </w:r>
      <w:r>
        <w:rPr>
          <w:color w:val="231F20"/>
          <w:spacing w:val="-5"/>
          <w:w w:val="110"/>
        </w:rPr>
        <w:t> </w:t>
      </w:r>
      <w:r>
        <w:rPr>
          <w:color w:val="231F20"/>
          <w:w w:val="110"/>
        </w:rPr>
        <w:t>de</w:t>
      </w:r>
      <w:r>
        <w:rPr>
          <w:color w:val="231F20"/>
          <w:spacing w:val="-5"/>
          <w:w w:val="110"/>
        </w:rPr>
        <w:t> </w:t>
      </w:r>
      <w:r>
        <w:rPr>
          <w:color w:val="231F20"/>
          <w:w w:val="110"/>
        </w:rPr>
        <w:t>infiltrar</w:t>
      </w:r>
      <w:r>
        <w:rPr>
          <w:color w:val="231F20"/>
          <w:spacing w:val="-5"/>
          <w:w w:val="110"/>
        </w:rPr>
        <w:t> </w:t>
      </w:r>
      <w:r>
        <w:rPr>
          <w:color w:val="231F20"/>
          <w:w w:val="110"/>
        </w:rPr>
        <w:t>movimientos</w:t>
      </w:r>
      <w:r>
        <w:rPr>
          <w:color w:val="231F20"/>
          <w:spacing w:val="-5"/>
          <w:w w:val="110"/>
        </w:rPr>
        <w:t> </w:t>
      </w:r>
      <w:r>
        <w:rPr>
          <w:color w:val="231F20"/>
          <w:w w:val="110"/>
        </w:rPr>
        <w:t>revolucionarios</w:t>
      </w:r>
      <w:r>
        <w:rPr>
          <w:color w:val="231F20"/>
          <w:spacing w:val="-5"/>
          <w:w w:val="110"/>
        </w:rPr>
        <w:t> </w:t>
      </w:r>
      <w:r>
        <w:rPr>
          <w:color w:val="231F20"/>
          <w:w w:val="110"/>
        </w:rPr>
        <w:t>y</w:t>
      </w:r>
      <w:r>
        <w:rPr>
          <w:color w:val="231F20"/>
          <w:spacing w:val="-5"/>
          <w:w w:val="110"/>
        </w:rPr>
        <w:t> </w:t>
      </w:r>
      <w:r>
        <w:rPr>
          <w:color w:val="231F20"/>
          <w:w w:val="110"/>
        </w:rPr>
        <w:t>“controlar a Chávez”) por el aumento de la represión y violación de los dere- chos humanos, por las desapariciones y desplazamiento forzado de poblaciones</w:t>
      </w:r>
      <w:r>
        <w:rPr>
          <w:color w:val="231F20"/>
          <w:spacing w:val="-23"/>
          <w:w w:val="110"/>
        </w:rPr>
        <w:t> </w:t>
      </w:r>
      <w:r>
        <w:rPr>
          <w:color w:val="231F20"/>
          <w:w w:val="110"/>
        </w:rPr>
        <w:t>(Vivanco,</w:t>
      </w:r>
      <w:r>
        <w:rPr>
          <w:color w:val="231F20"/>
          <w:spacing w:val="-23"/>
          <w:w w:val="110"/>
        </w:rPr>
        <w:t> </w:t>
      </w:r>
      <w:r>
        <w:rPr>
          <w:color w:val="231F20"/>
          <w:w w:val="110"/>
        </w:rPr>
        <w:t>2008).</w:t>
      </w:r>
    </w:p>
    <w:p>
      <w:pPr>
        <w:pStyle w:val="BodyText"/>
        <w:spacing w:line="261" w:lineRule="auto"/>
        <w:ind w:left="100" w:right="117" w:firstLine="240"/>
        <w:jc w:val="both"/>
      </w:pPr>
      <w:r>
        <w:rPr>
          <w:color w:val="231F20"/>
          <w:w w:val="110"/>
        </w:rPr>
        <w:t>Argumentos por los cuales, durante su campaña a la presidencia, el entonces candidato Barack Obama, se manifiesta en contra de la ratificación del Tratado de Libre Comercio con Colombia defendida por John McCain soportado por los veteranos Wolfovitz, Rumsfeld, Cheney, para quienes la firma del </w:t>
      </w:r>
      <w:r>
        <w:rPr>
          <w:color w:val="231F20"/>
          <w:w w:val="135"/>
        </w:rPr>
        <w:t>tlc </w:t>
      </w:r>
      <w:r>
        <w:rPr>
          <w:color w:val="231F20"/>
          <w:w w:val="110"/>
        </w:rPr>
        <w:t>constituye un elemento clave para restablecer su proyecto de seguridad regional para la América Andina. Los acuerdos de libre comercio y de cooperación militar en ese contexto son defendidos como componentes de la estrategia de reforzamiento de la presencia política y militar en la región (Estay, 2005: 27).</w:t>
      </w:r>
    </w:p>
    <w:p>
      <w:pPr>
        <w:pStyle w:val="BodyText"/>
        <w:spacing w:line="261" w:lineRule="auto"/>
        <w:ind w:left="100" w:right="116" w:firstLine="240"/>
        <w:jc w:val="both"/>
      </w:pPr>
      <w:r>
        <w:rPr>
          <w:color w:val="231F20"/>
          <w:w w:val="110"/>
        </w:rPr>
        <w:t>Si bien el lema del “cambio” en las relaciones internacionales para la América Andina pareció acompañar la llegada a la presiden- cia del candidato demócrata Barack Obama a la presidencia, queda claro que se necesita más que voluntad para cambiar la estructura imperial de Estados Unidos (Halimi, 2010: 8), así como la del papel de los gobiernos colombianos y mexicanos en las relaciones inter- nacionales interamericanas que la legitiman. Si bien tanto la admi- nistración Bush como las de Uribe y Calderón, se mantuvieron en</w:t>
      </w:r>
    </w:p>
    <w:p>
      <w:pPr>
        <w:spacing w:after="0" w:line="261" w:lineRule="auto"/>
        <w:jc w:val="both"/>
        <w:sectPr>
          <w:headerReference w:type="even" r:id="rId380"/>
          <w:headerReference w:type="default" r:id="rId381"/>
          <w:pgSz w:w="7640" w:h="11900"/>
          <w:pgMar w:header="672" w:footer="0" w:top="860" w:bottom="280" w:left="780" w:right="640"/>
          <w:pgNumType w:start="484"/>
        </w:sectPr>
      </w:pPr>
    </w:p>
    <w:p>
      <w:pPr>
        <w:pStyle w:val="BodyText"/>
        <w:spacing w:before="8"/>
        <w:rPr>
          <w:sz w:val="8"/>
        </w:rPr>
      </w:pPr>
    </w:p>
    <w:p>
      <w:pPr>
        <w:pStyle w:val="BodyText"/>
        <w:spacing w:line="261" w:lineRule="auto" w:before="67"/>
        <w:ind w:left="100" w:right="117"/>
        <w:jc w:val="both"/>
      </w:pPr>
      <w:r>
        <w:rPr>
          <w:color w:val="231F20"/>
          <w:w w:val="110"/>
        </w:rPr>
        <w:t>el poder gracias a elecciones fraudulentas, lo que explica en parte  su desprestigio político tanto en el terreno internacional como en    la arena domestica, el apoyo a Colombia, por parte del gobierno de Barack Obama, y la continuidad de sus políticas a través del nuevo gobierno de Juan Manuel Santos, no significa necesariamente un cambio en la estrategia de confrontación de la avanzada progresista en la América Andina y el Caribe, representada por los gobiernos</w:t>
      </w:r>
      <w:r>
        <w:rPr>
          <w:color w:val="231F20"/>
          <w:spacing w:val="-24"/>
          <w:w w:val="110"/>
        </w:rPr>
        <w:t> </w:t>
      </w:r>
      <w:r>
        <w:rPr>
          <w:color w:val="231F20"/>
          <w:w w:val="110"/>
        </w:rPr>
        <w:t>de Chávez,</w:t>
      </w:r>
      <w:r>
        <w:rPr>
          <w:color w:val="231F20"/>
          <w:spacing w:val="-22"/>
          <w:w w:val="110"/>
        </w:rPr>
        <w:t> </w:t>
      </w:r>
      <w:r>
        <w:rPr>
          <w:color w:val="231F20"/>
          <w:w w:val="110"/>
        </w:rPr>
        <w:t>Correa</w:t>
      </w:r>
      <w:r>
        <w:rPr>
          <w:color w:val="231F20"/>
          <w:spacing w:val="-22"/>
          <w:w w:val="110"/>
        </w:rPr>
        <w:t> </w:t>
      </w:r>
      <w:r>
        <w:rPr>
          <w:color w:val="231F20"/>
          <w:w w:val="110"/>
        </w:rPr>
        <w:t>y</w:t>
      </w:r>
      <w:r>
        <w:rPr>
          <w:color w:val="231F20"/>
          <w:spacing w:val="-22"/>
          <w:w w:val="110"/>
        </w:rPr>
        <w:t> </w:t>
      </w:r>
      <w:r>
        <w:rPr>
          <w:color w:val="231F20"/>
          <w:w w:val="110"/>
        </w:rPr>
        <w:t>Morales.</w:t>
      </w:r>
    </w:p>
    <w:p>
      <w:pPr>
        <w:pStyle w:val="BodyText"/>
        <w:spacing w:line="261" w:lineRule="auto"/>
        <w:ind w:left="100" w:right="117" w:firstLine="240"/>
        <w:jc w:val="both"/>
      </w:pPr>
      <w:r>
        <w:rPr>
          <w:color w:val="231F20"/>
          <w:w w:val="110"/>
        </w:rPr>
        <w:t>Prueba</w:t>
      </w:r>
      <w:r>
        <w:rPr>
          <w:color w:val="231F20"/>
          <w:spacing w:val="-13"/>
          <w:w w:val="110"/>
        </w:rPr>
        <w:t> </w:t>
      </w:r>
      <w:r>
        <w:rPr>
          <w:color w:val="231F20"/>
          <w:w w:val="110"/>
        </w:rPr>
        <w:t>de</w:t>
      </w:r>
      <w:r>
        <w:rPr>
          <w:color w:val="231F20"/>
          <w:spacing w:val="-13"/>
          <w:w w:val="110"/>
        </w:rPr>
        <w:t> </w:t>
      </w:r>
      <w:r>
        <w:rPr>
          <w:color w:val="231F20"/>
          <w:w w:val="110"/>
        </w:rPr>
        <w:t>ello,</w:t>
      </w:r>
      <w:r>
        <w:rPr>
          <w:color w:val="231F20"/>
          <w:spacing w:val="-13"/>
          <w:w w:val="110"/>
        </w:rPr>
        <w:t> </w:t>
      </w:r>
      <w:r>
        <w:rPr>
          <w:color w:val="231F20"/>
          <w:w w:val="110"/>
        </w:rPr>
        <w:t>el</w:t>
      </w:r>
      <w:r>
        <w:rPr>
          <w:color w:val="231F20"/>
          <w:spacing w:val="-13"/>
          <w:w w:val="110"/>
        </w:rPr>
        <w:t> </w:t>
      </w:r>
      <w:r>
        <w:rPr>
          <w:color w:val="231F20"/>
          <w:w w:val="110"/>
        </w:rPr>
        <w:t>apoyo</w:t>
      </w:r>
      <w:r>
        <w:rPr>
          <w:color w:val="231F20"/>
          <w:spacing w:val="-13"/>
          <w:w w:val="110"/>
        </w:rPr>
        <w:t> </w:t>
      </w:r>
      <w:r>
        <w:rPr>
          <w:color w:val="231F20"/>
          <w:w w:val="110"/>
        </w:rPr>
        <w:t>al</w:t>
      </w:r>
      <w:r>
        <w:rPr>
          <w:color w:val="231F20"/>
          <w:spacing w:val="-13"/>
          <w:w w:val="110"/>
        </w:rPr>
        <w:t> </w:t>
      </w:r>
      <w:r>
        <w:rPr>
          <w:color w:val="231F20"/>
          <w:w w:val="110"/>
        </w:rPr>
        <w:t>golpe</w:t>
      </w:r>
      <w:r>
        <w:rPr>
          <w:color w:val="231F20"/>
          <w:spacing w:val="-13"/>
          <w:w w:val="110"/>
        </w:rPr>
        <w:t> </w:t>
      </w:r>
      <w:r>
        <w:rPr>
          <w:color w:val="231F20"/>
          <w:w w:val="110"/>
        </w:rPr>
        <w:t>militar</w:t>
      </w:r>
      <w:r>
        <w:rPr>
          <w:color w:val="231F20"/>
          <w:spacing w:val="-13"/>
          <w:w w:val="110"/>
        </w:rPr>
        <w:t> </w:t>
      </w:r>
      <w:r>
        <w:rPr>
          <w:color w:val="231F20"/>
          <w:w w:val="110"/>
        </w:rPr>
        <w:t>en</w:t>
      </w:r>
      <w:r>
        <w:rPr>
          <w:color w:val="231F20"/>
          <w:spacing w:val="-13"/>
          <w:w w:val="110"/>
        </w:rPr>
        <w:t> </w:t>
      </w:r>
      <w:r>
        <w:rPr>
          <w:color w:val="231F20"/>
          <w:w w:val="110"/>
        </w:rPr>
        <w:t>Honduras,</w:t>
      </w:r>
      <w:r>
        <w:rPr>
          <w:color w:val="231F20"/>
          <w:spacing w:val="-13"/>
          <w:w w:val="110"/>
        </w:rPr>
        <w:t> </w:t>
      </w:r>
      <w:r>
        <w:rPr>
          <w:color w:val="231F20"/>
          <w:w w:val="110"/>
        </w:rPr>
        <w:t>para</w:t>
      </w:r>
      <w:r>
        <w:rPr>
          <w:color w:val="231F20"/>
          <w:spacing w:val="-13"/>
          <w:w w:val="110"/>
        </w:rPr>
        <w:t> </w:t>
      </w:r>
      <w:r>
        <w:rPr>
          <w:color w:val="231F20"/>
          <w:w w:val="110"/>
        </w:rPr>
        <w:t>recupe- rar</w:t>
      </w:r>
      <w:r>
        <w:rPr>
          <w:color w:val="231F20"/>
          <w:spacing w:val="-4"/>
          <w:w w:val="110"/>
        </w:rPr>
        <w:t> </w:t>
      </w:r>
      <w:r>
        <w:rPr>
          <w:color w:val="231F20"/>
          <w:w w:val="110"/>
        </w:rPr>
        <w:t>su</w:t>
      </w:r>
      <w:r>
        <w:rPr>
          <w:color w:val="231F20"/>
          <w:spacing w:val="-4"/>
          <w:w w:val="110"/>
        </w:rPr>
        <w:t> </w:t>
      </w:r>
      <w:r>
        <w:rPr>
          <w:color w:val="231F20"/>
          <w:w w:val="110"/>
        </w:rPr>
        <w:t>posición</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Caribe,</w:t>
      </w:r>
      <w:r>
        <w:rPr>
          <w:color w:val="231F20"/>
          <w:spacing w:val="-4"/>
          <w:w w:val="110"/>
        </w:rPr>
        <w:t> </w:t>
      </w:r>
      <w:r>
        <w:rPr>
          <w:color w:val="231F20"/>
          <w:w w:val="110"/>
        </w:rPr>
        <w:t>y</w:t>
      </w:r>
      <w:r>
        <w:rPr>
          <w:color w:val="231F20"/>
          <w:spacing w:val="-4"/>
          <w:w w:val="110"/>
        </w:rPr>
        <w:t> </w:t>
      </w:r>
      <w:r>
        <w:rPr>
          <w:color w:val="231F20"/>
          <w:w w:val="110"/>
        </w:rPr>
        <w:t>fortalecer</w:t>
      </w:r>
      <w:r>
        <w:rPr>
          <w:color w:val="231F20"/>
          <w:spacing w:val="-4"/>
          <w:w w:val="110"/>
        </w:rPr>
        <w:t> </w:t>
      </w:r>
      <w:r>
        <w:rPr>
          <w:color w:val="231F20"/>
          <w:w w:val="110"/>
        </w:rPr>
        <w:t>el</w:t>
      </w:r>
      <w:r>
        <w:rPr>
          <w:color w:val="231F20"/>
          <w:spacing w:val="-4"/>
          <w:w w:val="110"/>
        </w:rPr>
        <w:t> </w:t>
      </w:r>
      <w:r>
        <w:rPr>
          <w:color w:val="231F20"/>
          <w:w w:val="110"/>
        </w:rPr>
        <w:t>control</w:t>
      </w:r>
      <w:r>
        <w:rPr>
          <w:color w:val="231F20"/>
          <w:spacing w:val="-4"/>
          <w:w w:val="110"/>
        </w:rPr>
        <w:t> </w:t>
      </w:r>
      <w:r>
        <w:rPr>
          <w:color w:val="231F20"/>
          <w:w w:val="110"/>
        </w:rPr>
        <w:t>de</w:t>
      </w:r>
      <w:r>
        <w:rPr>
          <w:color w:val="231F20"/>
          <w:spacing w:val="-4"/>
          <w:w w:val="110"/>
        </w:rPr>
        <w:t> </w:t>
      </w:r>
      <w:r>
        <w:rPr>
          <w:color w:val="231F20"/>
          <w:w w:val="110"/>
        </w:rPr>
        <w:t>bases</w:t>
      </w:r>
      <w:r>
        <w:rPr>
          <w:color w:val="231F20"/>
          <w:spacing w:val="-4"/>
          <w:w w:val="110"/>
        </w:rPr>
        <w:t> </w:t>
      </w:r>
      <w:r>
        <w:rPr>
          <w:color w:val="231F20"/>
          <w:w w:val="110"/>
        </w:rPr>
        <w:t>militares no solo de Honduras y Panamá. A la base de Soto Cano se suman cuatro</w:t>
      </w:r>
      <w:r>
        <w:rPr>
          <w:color w:val="231F20"/>
          <w:spacing w:val="-14"/>
          <w:w w:val="110"/>
        </w:rPr>
        <w:t> </w:t>
      </w:r>
      <w:r>
        <w:rPr>
          <w:color w:val="231F20"/>
          <w:w w:val="110"/>
        </w:rPr>
        <w:t>bases</w:t>
      </w:r>
      <w:r>
        <w:rPr>
          <w:color w:val="231F20"/>
          <w:spacing w:val="-14"/>
          <w:w w:val="110"/>
        </w:rPr>
        <w:t> </w:t>
      </w:r>
      <w:r>
        <w:rPr>
          <w:color w:val="231F20"/>
          <w:w w:val="110"/>
        </w:rPr>
        <w:t>militares</w:t>
      </w:r>
      <w:r>
        <w:rPr>
          <w:color w:val="231F20"/>
          <w:spacing w:val="-14"/>
          <w:w w:val="110"/>
        </w:rPr>
        <w:t> </w:t>
      </w:r>
      <w:r>
        <w:rPr>
          <w:color w:val="231F20"/>
          <w:w w:val="110"/>
        </w:rPr>
        <w:t>panameñas</w:t>
      </w:r>
      <w:r>
        <w:rPr>
          <w:color w:val="231F20"/>
          <w:spacing w:val="-14"/>
          <w:w w:val="110"/>
        </w:rPr>
        <w:t> </w:t>
      </w:r>
      <w:r>
        <w:rPr>
          <w:color w:val="231F20"/>
          <w:w w:val="110"/>
        </w:rPr>
        <w:t>a</w:t>
      </w:r>
      <w:r>
        <w:rPr>
          <w:color w:val="231F20"/>
          <w:spacing w:val="-14"/>
          <w:w w:val="110"/>
        </w:rPr>
        <w:t> </w:t>
      </w:r>
      <w:r>
        <w:rPr>
          <w:color w:val="231F20"/>
          <w:w w:val="110"/>
        </w:rPr>
        <w:t>las</w:t>
      </w:r>
      <w:r>
        <w:rPr>
          <w:color w:val="231F20"/>
          <w:spacing w:val="-14"/>
          <w:w w:val="110"/>
        </w:rPr>
        <w:t> </w:t>
      </w:r>
      <w:r>
        <w:rPr>
          <w:color w:val="231F20"/>
          <w:w w:val="110"/>
        </w:rPr>
        <w:t>existentes</w:t>
      </w:r>
      <w:r>
        <w:rPr>
          <w:color w:val="231F20"/>
          <w:spacing w:val="-14"/>
          <w:w w:val="110"/>
        </w:rPr>
        <w:t> </w:t>
      </w:r>
      <w:r>
        <w:rPr>
          <w:color w:val="231F20"/>
          <w:w w:val="110"/>
        </w:rPr>
        <w:t>en</w:t>
      </w:r>
      <w:r>
        <w:rPr>
          <w:color w:val="231F20"/>
          <w:spacing w:val="-14"/>
          <w:w w:val="110"/>
        </w:rPr>
        <w:t> </w:t>
      </w:r>
      <w:r>
        <w:rPr>
          <w:color w:val="231F20"/>
          <w:w w:val="110"/>
        </w:rPr>
        <w:t>Aruba</w:t>
      </w:r>
      <w:r>
        <w:rPr>
          <w:color w:val="231F20"/>
          <w:spacing w:val="-14"/>
          <w:w w:val="110"/>
        </w:rPr>
        <w:t> </w:t>
      </w:r>
      <w:r>
        <w:rPr>
          <w:color w:val="231F20"/>
          <w:w w:val="110"/>
        </w:rPr>
        <w:t>y</w:t>
      </w:r>
      <w:r>
        <w:rPr>
          <w:color w:val="231F20"/>
          <w:spacing w:val="-14"/>
          <w:w w:val="110"/>
        </w:rPr>
        <w:t> </w:t>
      </w:r>
      <w:r>
        <w:rPr>
          <w:color w:val="231F20"/>
          <w:w w:val="110"/>
        </w:rPr>
        <w:t>Curazao logrando el control de trece bases en el Caribe. En Costa Rica un país que renunció a tener un ejército desde 1948, se logra aprobar</w:t>
      </w:r>
      <w:r>
        <w:rPr>
          <w:color w:val="231F20"/>
          <w:spacing w:val="-30"/>
          <w:w w:val="110"/>
        </w:rPr>
        <w:t> </w:t>
      </w:r>
      <w:r>
        <w:rPr>
          <w:color w:val="231F20"/>
          <w:w w:val="110"/>
        </w:rPr>
        <w:t>en 2010,</w:t>
      </w:r>
      <w:r>
        <w:rPr>
          <w:color w:val="231F20"/>
          <w:spacing w:val="-5"/>
          <w:w w:val="110"/>
        </w:rPr>
        <w:t> </w:t>
      </w:r>
      <w:r>
        <w:rPr>
          <w:color w:val="231F20"/>
          <w:w w:val="110"/>
        </w:rPr>
        <w:t>el</w:t>
      </w:r>
      <w:r>
        <w:rPr>
          <w:color w:val="231F20"/>
          <w:spacing w:val="-5"/>
          <w:w w:val="110"/>
        </w:rPr>
        <w:t> </w:t>
      </w:r>
      <w:r>
        <w:rPr>
          <w:color w:val="231F20"/>
          <w:w w:val="110"/>
        </w:rPr>
        <w:t>ingreso</w:t>
      </w:r>
      <w:r>
        <w:rPr>
          <w:color w:val="231F20"/>
          <w:spacing w:val="-5"/>
          <w:w w:val="110"/>
        </w:rPr>
        <w:t> </w:t>
      </w:r>
      <w:r>
        <w:rPr>
          <w:color w:val="231F20"/>
          <w:w w:val="110"/>
        </w:rPr>
        <w:t>de</w:t>
      </w:r>
      <w:r>
        <w:rPr>
          <w:color w:val="231F20"/>
          <w:spacing w:val="-5"/>
          <w:w w:val="110"/>
        </w:rPr>
        <w:t> </w:t>
      </w:r>
      <w:r>
        <w:rPr>
          <w:color w:val="231F20"/>
          <w:w w:val="110"/>
        </w:rPr>
        <w:t>46</w:t>
      </w:r>
      <w:r>
        <w:rPr>
          <w:color w:val="231F20"/>
          <w:spacing w:val="-5"/>
          <w:w w:val="110"/>
        </w:rPr>
        <w:t> </w:t>
      </w:r>
      <w:r>
        <w:rPr>
          <w:color w:val="231F20"/>
          <w:w w:val="110"/>
        </w:rPr>
        <w:t>flotas</w:t>
      </w:r>
      <w:r>
        <w:rPr>
          <w:color w:val="231F20"/>
          <w:spacing w:val="-5"/>
          <w:w w:val="110"/>
        </w:rPr>
        <w:t> </w:t>
      </w:r>
      <w:r>
        <w:rPr>
          <w:color w:val="231F20"/>
          <w:w w:val="110"/>
        </w:rPr>
        <w:t>y</w:t>
      </w:r>
      <w:r>
        <w:rPr>
          <w:color w:val="231F20"/>
          <w:spacing w:val="-5"/>
          <w:w w:val="110"/>
        </w:rPr>
        <w:t> </w:t>
      </w:r>
      <w:r>
        <w:rPr>
          <w:color w:val="231F20"/>
          <w:w w:val="110"/>
        </w:rPr>
        <w:t>más</w:t>
      </w:r>
      <w:r>
        <w:rPr>
          <w:color w:val="231F20"/>
          <w:spacing w:val="-5"/>
          <w:w w:val="110"/>
        </w:rPr>
        <w:t> </w:t>
      </w:r>
      <w:r>
        <w:rPr>
          <w:color w:val="231F20"/>
          <w:w w:val="110"/>
        </w:rPr>
        <w:t>de</w:t>
      </w:r>
      <w:r>
        <w:rPr>
          <w:color w:val="231F20"/>
          <w:spacing w:val="-5"/>
          <w:w w:val="110"/>
        </w:rPr>
        <w:t> </w:t>
      </w:r>
      <w:r>
        <w:rPr>
          <w:color w:val="231F20"/>
          <w:w w:val="110"/>
        </w:rPr>
        <w:t>7</w:t>
      </w:r>
      <w:r>
        <w:rPr>
          <w:color w:val="231F20"/>
          <w:spacing w:val="-5"/>
          <w:w w:val="110"/>
        </w:rPr>
        <w:t> </w:t>
      </w:r>
      <w:r>
        <w:rPr>
          <w:color w:val="231F20"/>
          <w:w w:val="110"/>
        </w:rPr>
        <w:t>mil</w:t>
      </w:r>
      <w:r>
        <w:rPr>
          <w:color w:val="231F20"/>
          <w:spacing w:val="-5"/>
          <w:w w:val="110"/>
        </w:rPr>
        <w:t> </w:t>
      </w:r>
      <w:r>
        <w:rPr>
          <w:color w:val="231F20"/>
          <w:w w:val="110"/>
        </w:rPr>
        <w:t>soldados</w:t>
      </w:r>
      <w:r>
        <w:rPr>
          <w:color w:val="231F20"/>
          <w:spacing w:val="-5"/>
          <w:w w:val="110"/>
        </w:rPr>
        <w:t> </w:t>
      </w:r>
      <w:r>
        <w:rPr>
          <w:color w:val="231F20"/>
          <w:w w:val="110"/>
        </w:rPr>
        <w:t>estadunidenses y una semana después del terremoto en Haití, el Pentágono</w:t>
      </w:r>
      <w:r>
        <w:rPr>
          <w:color w:val="231F20"/>
          <w:spacing w:val="-20"/>
          <w:w w:val="110"/>
        </w:rPr>
        <w:t> </w:t>
      </w:r>
      <w:r>
        <w:rPr>
          <w:color w:val="231F20"/>
          <w:w w:val="110"/>
        </w:rPr>
        <w:t>moviliza un portaaviones, 33 aviones de socorro y numerosas naves de</w:t>
      </w:r>
      <w:r>
        <w:rPr>
          <w:color w:val="231F20"/>
          <w:spacing w:val="-32"/>
          <w:w w:val="110"/>
        </w:rPr>
        <w:t> </w:t>
      </w:r>
      <w:r>
        <w:rPr>
          <w:color w:val="231F20"/>
          <w:w w:val="110"/>
        </w:rPr>
        <w:t>guerra además de 11 mil soldados, a ese país para “continuar alargando el radio de su influencia hacia el sur” (Zibechi,</w:t>
      </w:r>
      <w:r>
        <w:rPr>
          <w:color w:val="231F20"/>
          <w:spacing w:val="47"/>
          <w:w w:val="110"/>
        </w:rPr>
        <w:t> </w:t>
      </w:r>
      <w:r>
        <w:rPr>
          <w:color w:val="231F20"/>
          <w:w w:val="110"/>
        </w:rPr>
        <w:t>2010).</w:t>
      </w:r>
    </w:p>
    <w:p>
      <w:pPr>
        <w:pStyle w:val="BodyText"/>
        <w:spacing w:line="261" w:lineRule="auto"/>
        <w:ind w:left="100" w:right="113" w:firstLine="240"/>
        <w:jc w:val="both"/>
      </w:pPr>
      <w:r>
        <w:rPr>
          <w:color w:val="231F20"/>
          <w:w w:val="110"/>
        </w:rPr>
        <w:t>El golpe de Estado que se le hace al presidente Zelaya en Hondu- ras sólo puede explicarse a la luz de una nueva contraofensiva para América Latina que sigue adelantando la ideología conservadora estadunidense bajo la presidencia de un candidato demócrata, lo  cual tampoco es una novedad. Recordemos que fue Kennedy quien apoyó la malograda invasión de Bahía Cochinos en Cuba en 1961,</w:t>
      </w:r>
      <w:r>
        <w:rPr>
          <w:color w:val="231F20"/>
          <w:spacing w:val="-14"/>
          <w:w w:val="110"/>
        </w:rPr>
        <w:t> </w:t>
      </w:r>
      <w:r>
        <w:rPr>
          <w:color w:val="231F20"/>
          <w:w w:val="110"/>
        </w:rPr>
        <w:t>y más recientemente Clinton suscribió los planes, Colombia, Bolivia, Ecuador y las iniciativas hacia el alca. Razones por las cuales, se duda de la capacidad de un presidente demócrata para reformar la estructura de poder imperial </w:t>
      </w:r>
      <w:r>
        <w:rPr>
          <w:color w:val="231F20"/>
          <w:spacing w:val="39"/>
          <w:w w:val="110"/>
        </w:rPr>
        <w:t> </w:t>
      </w:r>
      <w:r>
        <w:rPr>
          <w:color w:val="231F20"/>
          <w:w w:val="110"/>
        </w:rPr>
        <w:t>estadunidense.</w:t>
      </w:r>
    </w:p>
    <w:p>
      <w:pPr>
        <w:pStyle w:val="BodyText"/>
        <w:spacing w:line="261" w:lineRule="auto"/>
        <w:ind w:left="100" w:right="117" w:firstLine="240"/>
        <w:jc w:val="both"/>
      </w:pP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cada</w:t>
      </w:r>
      <w:r>
        <w:rPr>
          <w:color w:val="231F20"/>
          <w:spacing w:val="-15"/>
          <w:w w:val="110"/>
        </w:rPr>
        <w:t> </w:t>
      </w:r>
      <w:r>
        <w:rPr>
          <w:color w:val="231F20"/>
          <w:w w:val="110"/>
        </w:rPr>
        <w:t>vez</w:t>
      </w:r>
      <w:r>
        <w:rPr>
          <w:color w:val="231F20"/>
          <w:spacing w:val="-15"/>
          <w:w w:val="110"/>
        </w:rPr>
        <w:t> </w:t>
      </w:r>
      <w:r>
        <w:rPr>
          <w:color w:val="231F20"/>
          <w:w w:val="110"/>
        </w:rPr>
        <w:t>es</w:t>
      </w:r>
      <w:r>
        <w:rPr>
          <w:color w:val="231F20"/>
          <w:spacing w:val="-15"/>
          <w:w w:val="110"/>
        </w:rPr>
        <w:t> </w:t>
      </w:r>
      <w:r>
        <w:rPr>
          <w:color w:val="231F20"/>
          <w:w w:val="110"/>
        </w:rPr>
        <w:t>más</w:t>
      </w:r>
      <w:r>
        <w:rPr>
          <w:color w:val="231F20"/>
          <w:spacing w:val="-15"/>
          <w:w w:val="110"/>
        </w:rPr>
        <w:t> </w:t>
      </w:r>
      <w:r>
        <w:rPr>
          <w:color w:val="231F20"/>
          <w:w w:val="110"/>
        </w:rPr>
        <w:t>evidente,</w:t>
      </w:r>
      <w:r>
        <w:rPr>
          <w:color w:val="231F20"/>
          <w:spacing w:val="-15"/>
          <w:w w:val="110"/>
        </w:rPr>
        <w:t> </w:t>
      </w:r>
      <w:r>
        <w:rPr>
          <w:color w:val="231F20"/>
          <w:w w:val="110"/>
        </w:rPr>
        <w:t>en</w:t>
      </w:r>
      <w:r>
        <w:rPr>
          <w:color w:val="231F20"/>
          <w:spacing w:val="-15"/>
          <w:w w:val="110"/>
        </w:rPr>
        <w:t> </w:t>
      </w:r>
      <w:r>
        <w:rPr>
          <w:color w:val="231F20"/>
          <w:w w:val="110"/>
        </w:rPr>
        <w:t>estos</w:t>
      </w:r>
      <w:r>
        <w:rPr>
          <w:color w:val="231F20"/>
          <w:spacing w:val="-15"/>
          <w:w w:val="110"/>
        </w:rPr>
        <w:t> </w:t>
      </w:r>
      <w:r>
        <w:rPr>
          <w:color w:val="231F20"/>
          <w:w w:val="110"/>
        </w:rPr>
        <w:t>“cambios”</w:t>
      </w:r>
      <w:r>
        <w:rPr>
          <w:color w:val="231F20"/>
          <w:spacing w:val="-15"/>
          <w:w w:val="110"/>
        </w:rPr>
        <w:t> </w:t>
      </w:r>
      <w:r>
        <w:rPr>
          <w:color w:val="231F20"/>
          <w:w w:val="110"/>
        </w:rPr>
        <w:t>de</w:t>
      </w:r>
      <w:r>
        <w:rPr>
          <w:color w:val="231F20"/>
          <w:spacing w:val="-15"/>
          <w:w w:val="110"/>
        </w:rPr>
        <w:t> </w:t>
      </w:r>
      <w:r>
        <w:rPr>
          <w:color w:val="231F20"/>
          <w:w w:val="110"/>
        </w:rPr>
        <w:t>gobiernos, es que no hay cambios en lo referente de seguridad y de control de la política exterior estadunidense basada en la expansión del</w:t>
      </w:r>
      <w:r>
        <w:rPr>
          <w:color w:val="231F20"/>
          <w:spacing w:val="-35"/>
          <w:w w:val="110"/>
        </w:rPr>
        <w:t> </w:t>
      </w:r>
      <w:r>
        <w:rPr>
          <w:color w:val="231F20"/>
          <w:w w:val="110"/>
        </w:rPr>
        <w:t>proyec- to de dominación militar del espectro completo en la tierra, en el aire, en los mares y en el espacio (Castro, 2010). Que extiende</w:t>
      </w:r>
      <w:r>
        <w:rPr>
          <w:color w:val="231F20"/>
          <w:spacing w:val="-34"/>
          <w:w w:val="110"/>
        </w:rPr>
        <w:t> </w:t>
      </w:r>
      <w:r>
        <w:rPr>
          <w:color w:val="231F20"/>
          <w:w w:val="110"/>
        </w:rPr>
        <w:t>bases militares para sus portaaviones en todo el mundo y que destina un presupuesto de 708 000 millones de dólares para el 2011. Referente cuya continuidad se expresa en la aceptación de Barack Obama, del Premio Nobel de la Paz, de “la necesidad de recurrir a la fuerza ante la</w:t>
      </w:r>
      <w:r>
        <w:rPr>
          <w:color w:val="231F20"/>
          <w:spacing w:val="-11"/>
          <w:w w:val="110"/>
        </w:rPr>
        <w:t> </w:t>
      </w:r>
      <w:r>
        <w:rPr>
          <w:color w:val="231F20"/>
          <w:w w:val="110"/>
        </w:rPr>
        <w:t>imperfección</w:t>
      </w:r>
      <w:r>
        <w:rPr>
          <w:color w:val="231F20"/>
          <w:spacing w:val="-11"/>
          <w:w w:val="110"/>
        </w:rPr>
        <w:t> </w:t>
      </w:r>
      <w:r>
        <w:rPr>
          <w:color w:val="231F20"/>
          <w:w w:val="110"/>
        </w:rPr>
        <w:t>del</w:t>
      </w:r>
      <w:r>
        <w:rPr>
          <w:color w:val="231F20"/>
          <w:spacing w:val="-11"/>
          <w:w w:val="110"/>
        </w:rPr>
        <w:t> </w:t>
      </w:r>
      <w:r>
        <w:rPr>
          <w:color w:val="231F20"/>
          <w:w w:val="110"/>
        </w:rPr>
        <w:t>hombre</w:t>
      </w:r>
      <w:r>
        <w:rPr>
          <w:color w:val="231F20"/>
          <w:spacing w:val="-11"/>
          <w:w w:val="110"/>
        </w:rPr>
        <w:t> </w:t>
      </w:r>
      <w:r>
        <w:rPr>
          <w:color w:val="231F20"/>
          <w:w w:val="110"/>
        </w:rPr>
        <w:t>y</w:t>
      </w:r>
      <w:r>
        <w:rPr>
          <w:color w:val="231F20"/>
          <w:spacing w:val="-11"/>
          <w:w w:val="110"/>
        </w:rPr>
        <w:t> </w:t>
      </w:r>
      <w:r>
        <w:rPr>
          <w:color w:val="231F20"/>
          <w:w w:val="110"/>
        </w:rPr>
        <w:t>los</w:t>
      </w:r>
      <w:r>
        <w:rPr>
          <w:color w:val="231F20"/>
          <w:spacing w:val="-11"/>
          <w:w w:val="110"/>
        </w:rPr>
        <w:t> </w:t>
      </w:r>
      <w:r>
        <w:rPr>
          <w:color w:val="231F20"/>
          <w:w w:val="110"/>
        </w:rPr>
        <w:t>límites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razón”</w:t>
      </w:r>
      <w:r>
        <w:rPr>
          <w:color w:val="231F20"/>
          <w:spacing w:val="-11"/>
          <w:w w:val="110"/>
        </w:rPr>
        <w:t> </w:t>
      </w:r>
      <w:r>
        <w:rPr>
          <w:color w:val="231F20"/>
          <w:w w:val="110"/>
        </w:rPr>
        <w:t>(Obama,</w:t>
      </w:r>
      <w:r>
        <w:rPr>
          <w:color w:val="231F20"/>
          <w:spacing w:val="-11"/>
          <w:w w:val="110"/>
        </w:rPr>
        <w:t> </w:t>
      </w:r>
      <w:r>
        <w:rPr>
          <w:color w:val="231F20"/>
          <w:w w:val="110"/>
        </w:rPr>
        <w:t>2009).</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73" w:right="117"/>
        <w:jc w:val="right"/>
      </w:pPr>
      <w:r>
        <w:rPr>
          <w:color w:val="231F20"/>
          <w:w w:val="110"/>
        </w:rPr>
        <w:t>Podríamos suponer entonces que la hegemonía del</w:t>
      </w:r>
      <w:r>
        <w:rPr>
          <w:color w:val="231F20"/>
          <w:spacing w:val="-11"/>
          <w:w w:val="110"/>
        </w:rPr>
        <w:t> </w:t>
      </w:r>
      <w:r>
        <w:rPr>
          <w:color w:val="231F20"/>
          <w:w w:val="110"/>
        </w:rPr>
        <w:t>sistema</w:t>
      </w:r>
      <w:r>
        <w:rPr>
          <w:color w:val="231F20"/>
          <w:spacing w:val="-2"/>
          <w:w w:val="110"/>
        </w:rPr>
        <w:t> </w:t>
      </w:r>
      <w:r>
        <w:rPr>
          <w:color w:val="231F20"/>
          <w:w w:val="110"/>
        </w:rPr>
        <w:t>doctrina-</w:t>
      </w:r>
      <w:r>
        <w:rPr>
          <w:color w:val="231F20"/>
          <w:w w:val="72"/>
        </w:rPr>
        <w:t> </w:t>
      </w:r>
      <w:r>
        <w:rPr>
          <w:color w:val="231F20"/>
          <w:w w:val="110"/>
        </w:rPr>
        <w:t>rio asociado al poder económico-financiero y</w:t>
      </w:r>
      <w:r>
        <w:rPr>
          <w:color w:val="231F20"/>
          <w:spacing w:val="11"/>
          <w:w w:val="110"/>
        </w:rPr>
        <w:t> </w:t>
      </w:r>
      <w:r>
        <w:rPr>
          <w:color w:val="231F20"/>
          <w:w w:val="110"/>
        </w:rPr>
        <w:t>militar</w:t>
      </w:r>
      <w:r>
        <w:rPr>
          <w:color w:val="231F20"/>
          <w:spacing w:val="11"/>
          <w:w w:val="110"/>
        </w:rPr>
        <w:t> </w:t>
      </w:r>
      <w:r>
        <w:rPr>
          <w:color w:val="231F20"/>
          <w:w w:val="110"/>
        </w:rPr>
        <w:t>estadunidense</w:t>
      </w:r>
      <w:r>
        <w:rPr>
          <w:color w:val="231F20"/>
          <w:w w:val="111"/>
        </w:rPr>
        <w:t> </w:t>
      </w:r>
      <w:r>
        <w:rPr>
          <w:color w:val="231F20"/>
          <w:w w:val="110"/>
        </w:rPr>
        <w:t>(Chomsky,</w:t>
      </w:r>
      <w:r>
        <w:rPr>
          <w:color w:val="231F20"/>
          <w:spacing w:val="-24"/>
          <w:w w:val="110"/>
        </w:rPr>
        <w:t> </w:t>
      </w:r>
      <w:r>
        <w:rPr>
          <w:color w:val="231F20"/>
          <w:w w:val="110"/>
        </w:rPr>
        <w:t>2009),</w:t>
      </w:r>
      <w:r>
        <w:rPr>
          <w:color w:val="231F20"/>
          <w:spacing w:val="-24"/>
          <w:w w:val="110"/>
        </w:rPr>
        <w:t> </w:t>
      </w:r>
      <w:r>
        <w:rPr>
          <w:color w:val="231F20"/>
          <w:w w:val="110"/>
        </w:rPr>
        <w:t>no</w:t>
      </w:r>
      <w:r>
        <w:rPr>
          <w:color w:val="231F20"/>
          <w:spacing w:val="-24"/>
          <w:w w:val="110"/>
        </w:rPr>
        <w:t> </w:t>
      </w:r>
      <w:r>
        <w:rPr>
          <w:color w:val="231F20"/>
          <w:w w:val="110"/>
        </w:rPr>
        <w:t>está,</w:t>
      </w:r>
      <w:r>
        <w:rPr>
          <w:color w:val="231F20"/>
          <w:spacing w:val="-24"/>
          <w:w w:val="110"/>
        </w:rPr>
        <w:t> </w:t>
      </w:r>
      <w:r>
        <w:rPr>
          <w:color w:val="231F20"/>
          <w:w w:val="110"/>
        </w:rPr>
        <w:t>como</w:t>
      </w:r>
      <w:r>
        <w:rPr>
          <w:color w:val="231F20"/>
          <w:spacing w:val="-24"/>
          <w:w w:val="110"/>
        </w:rPr>
        <w:t> </w:t>
      </w:r>
      <w:r>
        <w:rPr>
          <w:color w:val="231F20"/>
          <w:w w:val="110"/>
        </w:rPr>
        <w:t>se</w:t>
      </w:r>
      <w:r>
        <w:rPr>
          <w:color w:val="231F20"/>
          <w:spacing w:val="-24"/>
          <w:w w:val="110"/>
        </w:rPr>
        <w:t> </w:t>
      </w:r>
      <w:r>
        <w:rPr>
          <w:color w:val="231F20"/>
          <w:w w:val="110"/>
        </w:rPr>
        <w:t>anticipó</w:t>
      </w:r>
      <w:r>
        <w:rPr>
          <w:color w:val="231F20"/>
          <w:spacing w:val="-24"/>
          <w:w w:val="110"/>
        </w:rPr>
        <w:t> </w:t>
      </w:r>
      <w:r>
        <w:rPr>
          <w:color w:val="231F20"/>
          <w:w w:val="110"/>
        </w:rPr>
        <w:t>equivocadamente,</w:t>
      </w:r>
      <w:r>
        <w:rPr>
          <w:color w:val="231F20"/>
          <w:spacing w:val="-24"/>
          <w:w w:val="110"/>
        </w:rPr>
        <w:t> </w:t>
      </w:r>
      <w:r>
        <w:rPr>
          <w:color w:val="231F20"/>
          <w:w w:val="110"/>
        </w:rPr>
        <w:t>llegan-</w:t>
      </w:r>
      <w:r>
        <w:rPr>
          <w:color w:val="231F20"/>
          <w:w w:val="72"/>
        </w:rPr>
        <w:t> </w:t>
      </w:r>
      <w:r>
        <w:rPr>
          <w:color w:val="231F20"/>
          <w:w w:val="110"/>
        </w:rPr>
        <w:t>do a su fin, con la crisis de Wall Street, y la llegada de</w:t>
      </w:r>
      <w:r>
        <w:rPr>
          <w:color w:val="231F20"/>
          <w:spacing w:val="42"/>
          <w:w w:val="110"/>
        </w:rPr>
        <w:t> </w:t>
      </w:r>
      <w:r>
        <w:rPr>
          <w:color w:val="231F20"/>
          <w:w w:val="110"/>
        </w:rPr>
        <w:t>las</w:t>
      </w:r>
      <w:r>
        <w:rPr>
          <w:color w:val="231F20"/>
          <w:spacing w:val="3"/>
          <w:w w:val="110"/>
        </w:rPr>
        <w:t> </w:t>
      </w:r>
      <w:r>
        <w:rPr>
          <w:color w:val="231F20"/>
          <w:w w:val="110"/>
        </w:rPr>
        <w:t>mayorías</w:t>
      </w:r>
      <w:r>
        <w:rPr>
          <w:color w:val="231F20"/>
          <w:w w:val="105"/>
        </w:rPr>
        <w:t> </w:t>
      </w:r>
      <w:r>
        <w:rPr>
          <w:color w:val="231F20"/>
          <w:w w:val="110"/>
        </w:rPr>
        <w:t>demócratas al congreso y a la presidencia de los Estados</w:t>
      </w:r>
      <w:r>
        <w:rPr>
          <w:color w:val="231F20"/>
          <w:spacing w:val="40"/>
          <w:w w:val="110"/>
        </w:rPr>
        <w:t> </w:t>
      </w:r>
      <w:r>
        <w:rPr>
          <w:color w:val="231F20"/>
          <w:w w:val="110"/>
        </w:rPr>
        <w:t>Unidos.</w:t>
      </w:r>
      <w:r>
        <w:rPr>
          <w:color w:val="231F20"/>
          <w:spacing w:val="4"/>
          <w:w w:val="110"/>
        </w:rPr>
        <w:t> </w:t>
      </w:r>
      <w:r>
        <w:rPr>
          <w:color w:val="231F20"/>
          <w:w w:val="110"/>
        </w:rPr>
        <w:t>Si</w:t>
      </w:r>
      <w:r>
        <w:rPr>
          <w:color w:val="231F20"/>
          <w:w w:val="95"/>
        </w:rPr>
        <w:t> </w:t>
      </w:r>
      <w:r>
        <w:rPr>
          <w:color w:val="231F20"/>
          <w:w w:val="110"/>
        </w:rPr>
        <w:t>bien las posiciones durante la campaña electoral contra</w:t>
      </w:r>
      <w:r>
        <w:rPr>
          <w:color w:val="231F20"/>
          <w:spacing w:val="15"/>
          <w:w w:val="110"/>
        </w:rPr>
        <w:t> </w:t>
      </w:r>
      <w:r>
        <w:rPr>
          <w:color w:val="231F20"/>
          <w:w w:val="110"/>
        </w:rPr>
        <w:t>los</w:t>
      </w:r>
      <w:r>
        <w:rPr>
          <w:color w:val="231F20"/>
          <w:spacing w:val="22"/>
          <w:w w:val="110"/>
        </w:rPr>
        <w:t> </w:t>
      </w:r>
      <w:r>
        <w:rPr>
          <w:color w:val="231F20"/>
          <w:w w:val="110"/>
        </w:rPr>
        <w:t>princi-</w:t>
      </w:r>
      <w:r>
        <w:rPr>
          <w:color w:val="231F20"/>
          <w:w w:val="72"/>
        </w:rPr>
        <w:t> </w:t>
      </w:r>
      <w:r>
        <w:rPr>
          <w:color w:val="231F20"/>
          <w:w w:val="110"/>
        </w:rPr>
        <w:t>pios de “otorgar más a quienes tienen más para que</w:t>
      </w:r>
      <w:r>
        <w:rPr>
          <w:color w:val="231F20"/>
          <w:spacing w:val="10"/>
          <w:w w:val="110"/>
        </w:rPr>
        <w:t> </w:t>
      </w:r>
      <w:r>
        <w:rPr>
          <w:color w:val="231F20"/>
          <w:w w:val="110"/>
        </w:rPr>
        <w:t>su</w:t>
      </w:r>
      <w:r>
        <w:rPr>
          <w:color w:val="231F20"/>
          <w:spacing w:val="12"/>
          <w:w w:val="110"/>
        </w:rPr>
        <w:t> </w:t>
      </w:r>
      <w:r>
        <w:rPr>
          <w:color w:val="231F20"/>
          <w:w w:val="110"/>
        </w:rPr>
        <w:t>prosperidad</w:t>
      </w:r>
      <w:r>
        <w:rPr>
          <w:color w:val="231F20"/>
          <w:w w:val="112"/>
        </w:rPr>
        <w:t> </w:t>
      </w:r>
      <w:r>
        <w:rPr>
          <w:color w:val="231F20"/>
          <w:w w:val="110"/>
        </w:rPr>
        <w:t>se reparta entre los pobres” (Halimi, 2010), y en pro de</w:t>
      </w:r>
      <w:r>
        <w:rPr>
          <w:color w:val="231F20"/>
          <w:spacing w:val="32"/>
          <w:w w:val="110"/>
        </w:rPr>
        <w:t> </w:t>
      </w:r>
      <w:r>
        <w:rPr>
          <w:color w:val="231F20"/>
          <w:w w:val="110"/>
        </w:rPr>
        <w:t>un</w:t>
      </w:r>
      <w:r>
        <w:rPr>
          <w:color w:val="231F20"/>
          <w:spacing w:val="12"/>
          <w:w w:val="110"/>
        </w:rPr>
        <w:t> </w:t>
      </w:r>
      <w:r>
        <w:rPr>
          <w:color w:val="231F20"/>
          <w:w w:val="110"/>
        </w:rPr>
        <w:t>diálogo</w:t>
      </w:r>
      <w:r>
        <w:rPr>
          <w:color w:val="231F20"/>
          <w:w w:val="108"/>
        </w:rPr>
        <w:t> </w:t>
      </w:r>
      <w:r>
        <w:rPr>
          <w:color w:val="231F20"/>
          <w:w w:val="110"/>
        </w:rPr>
        <w:t>más</w:t>
      </w:r>
      <w:r>
        <w:rPr>
          <w:color w:val="231F20"/>
          <w:spacing w:val="-18"/>
          <w:w w:val="110"/>
        </w:rPr>
        <w:t> </w:t>
      </w:r>
      <w:r>
        <w:rPr>
          <w:color w:val="231F20"/>
          <w:w w:val="110"/>
        </w:rPr>
        <w:t>horizontal</w:t>
      </w:r>
      <w:r>
        <w:rPr>
          <w:color w:val="231F20"/>
          <w:spacing w:val="-18"/>
          <w:w w:val="110"/>
        </w:rPr>
        <w:t> </w:t>
      </w:r>
      <w:r>
        <w:rPr>
          <w:color w:val="231F20"/>
          <w:w w:val="110"/>
        </w:rPr>
        <w:t>con</w:t>
      </w:r>
      <w:r>
        <w:rPr>
          <w:color w:val="231F20"/>
          <w:spacing w:val="-18"/>
          <w:w w:val="110"/>
        </w:rPr>
        <w:t> </w:t>
      </w:r>
      <w:r>
        <w:rPr>
          <w:color w:val="231F20"/>
          <w:w w:val="110"/>
        </w:rPr>
        <w:t>sus</w:t>
      </w:r>
      <w:r>
        <w:rPr>
          <w:color w:val="231F20"/>
          <w:spacing w:val="-18"/>
          <w:w w:val="110"/>
        </w:rPr>
        <w:t> </w:t>
      </w:r>
      <w:r>
        <w:rPr>
          <w:color w:val="231F20"/>
          <w:w w:val="110"/>
        </w:rPr>
        <w:t>colegas</w:t>
      </w:r>
      <w:r>
        <w:rPr>
          <w:color w:val="231F20"/>
          <w:spacing w:val="-18"/>
          <w:w w:val="110"/>
        </w:rPr>
        <w:t> </w:t>
      </w:r>
      <w:r>
        <w:rPr>
          <w:color w:val="231F20"/>
          <w:w w:val="110"/>
        </w:rPr>
        <w:t>de</w:t>
      </w:r>
      <w:r>
        <w:rPr>
          <w:color w:val="231F20"/>
          <w:spacing w:val="-18"/>
          <w:w w:val="110"/>
        </w:rPr>
        <w:t> </w:t>
      </w:r>
      <w:r>
        <w:rPr>
          <w:color w:val="231F20"/>
          <w:w w:val="110"/>
        </w:rPr>
        <w:t>América</w:t>
      </w:r>
      <w:r>
        <w:rPr>
          <w:color w:val="231F20"/>
          <w:spacing w:val="-18"/>
          <w:w w:val="110"/>
        </w:rPr>
        <w:t> </w:t>
      </w:r>
      <w:r>
        <w:rPr>
          <w:color w:val="231F20"/>
          <w:w w:val="110"/>
        </w:rPr>
        <w:t>Latina</w:t>
      </w:r>
      <w:r>
        <w:rPr>
          <w:color w:val="231F20"/>
          <w:spacing w:val="-18"/>
          <w:w w:val="110"/>
        </w:rPr>
        <w:t> </w:t>
      </w:r>
      <w:r>
        <w:rPr>
          <w:color w:val="231F20"/>
          <w:w w:val="110"/>
        </w:rPr>
        <w:t>(Valenzuela,</w:t>
      </w:r>
      <w:r>
        <w:rPr>
          <w:color w:val="231F20"/>
          <w:spacing w:val="-18"/>
          <w:w w:val="110"/>
        </w:rPr>
        <w:t> </w:t>
      </w:r>
      <w:r>
        <w:rPr>
          <w:color w:val="231F20"/>
          <w:w w:val="110"/>
        </w:rPr>
        <w:t>2010)</w:t>
      </w:r>
      <w:r>
        <w:rPr>
          <w:color w:val="231F20"/>
          <w:w w:val="108"/>
        </w:rPr>
        <w:t> </w:t>
      </w:r>
      <w:r>
        <w:rPr>
          <w:color w:val="231F20"/>
          <w:w w:val="110"/>
        </w:rPr>
        <w:t>logran</w:t>
      </w:r>
      <w:r>
        <w:rPr>
          <w:color w:val="231F20"/>
          <w:spacing w:val="-27"/>
          <w:w w:val="110"/>
        </w:rPr>
        <w:t> </w:t>
      </w:r>
      <w:r>
        <w:rPr>
          <w:color w:val="231F20"/>
          <w:w w:val="110"/>
        </w:rPr>
        <w:t>movilizar</w:t>
      </w:r>
      <w:r>
        <w:rPr>
          <w:color w:val="231F20"/>
          <w:spacing w:val="-27"/>
          <w:w w:val="110"/>
        </w:rPr>
        <w:t> </w:t>
      </w:r>
      <w:r>
        <w:rPr>
          <w:color w:val="231F20"/>
          <w:w w:val="110"/>
        </w:rPr>
        <w:t>a</w:t>
      </w:r>
      <w:r>
        <w:rPr>
          <w:color w:val="231F20"/>
          <w:spacing w:val="-27"/>
          <w:w w:val="110"/>
        </w:rPr>
        <w:t> </w:t>
      </w:r>
      <w:r>
        <w:rPr>
          <w:color w:val="231F20"/>
          <w:w w:val="110"/>
        </w:rPr>
        <w:t>jóvenes,</w:t>
      </w:r>
      <w:r>
        <w:rPr>
          <w:color w:val="231F20"/>
          <w:spacing w:val="-27"/>
          <w:w w:val="110"/>
        </w:rPr>
        <w:t> </w:t>
      </w:r>
      <w:r>
        <w:rPr>
          <w:color w:val="231F20"/>
          <w:w w:val="110"/>
        </w:rPr>
        <w:t>hispanos</w:t>
      </w:r>
      <w:r>
        <w:rPr>
          <w:color w:val="231F20"/>
          <w:spacing w:val="-27"/>
          <w:w w:val="110"/>
        </w:rPr>
        <w:t> </w:t>
      </w:r>
      <w:r>
        <w:rPr>
          <w:color w:val="231F20"/>
          <w:w w:val="110"/>
        </w:rPr>
        <w:t>y</w:t>
      </w:r>
      <w:r>
        <w:rPr>
          <w:color w:val="231F20"/>
          <w:spacing w:val="-27"/>
          <w:w w:val="110"/>
        </w:rPr>
        <w:t> </w:t>
      </w:r>
      <w:r>
        <w:rPr>
          <w:color w:val="231F20"/>
          <w:w w:val="110"/>
        </w:rPr>
        <w:t>afroamericanos</w:t>
      </w:r>
      <w:r>
        <w:rPr>
          <w:color w:val="231F20"/>
          <w:spacing w:val="-27"/>
          <w:w w:val="110"/>
        </w:rPr>
        <w:t> </w:t>
      </w:r>
      <w:r>
        <w:rPr>
          <w:color w:val="231F20"/>
          <w:w w:val="110"/>
        </w:rPr>
        <w:t>y</w:t>
      </w:r>
      <w:r>
        <w:rPr>
          <w:color w:val="231F20"/>
          <w:spacing w:val="-27"/>
          <w:w w:val="110"/>
        </w:rPr>
        <w:t> </w:t>
      </w:r>
      <w:r>
        <w:rPr>
          <w:color w:val="231F20"/>
          <w:w w:val="110"/>
        </w:rPr>
        <w:t>a</w:t>
      </w:r>
      <w:r>
        <w:rPr>
          <w:color w:val="231F20"/>
          <w:spacing w:val="-27"/>
          <w:w w:val="110"/>
        </w:rPr>
        <w:t> </w:t>
      </w:r>
      <w:r>
        <w:rPr>
          <w:color w:val="231F20"/>
          <w:w w:val="110"/>
        </w:rPr>
        <w:t>una</w:t>
      </w:r>
      <w:r>
        <w:rPr>
          <w:color w:val="231F20"/>
          <w:spacing w:val="-27"/>
          <w:w w:val="110"/>
        </w:rPr>
        <w:t> </w:t>
      </w:r>
      <w:r>
        <w:rPr>
          <w:color w:val="231F20"/>
          <w:w w:val="110"/>
        </w:rPr>
        <w:t>fracción</w:t>
      </w:r>
      <w:r>
        <w:rPr>
          <w:color w:val="231F20"/>
          <w:w w:val="108"/>
        </w:rPr>
        <w:t> </w:t>
      </w:r>
      <w:r>
        <w:rPr>
          <w:color w:val="231F20"/>
          <w:w w:val="110"/>
        </w:rPr>
        <w:t>de</w:t>
      </w:r>
      <w:r>
        <w:rPr>
          <w:color w:val="231F20"/>
          <w:spacing w:val="38"/>
          <w:w w:val="110"/>
        </w:rPr>
        <w:t> </w:t>
      </w:r>
      <w:r>
        <w:rPr>
          <w:color w:val="231F20"/>
          <w:w w:val="110"/>
        </w:rPr>
        <w:t>un</w:t>
      </w:r>
      <w:r>
        <w:rPr>
          <w:color w:val="231F20"/>
          <w:spacing w:val="38"/>
          <w:w w:val="110"/>
        </w:rPr>
        <w:t> </w:t>
      </w:r>
      <w:r>
        <w:rPr>
          <w:color w:val="231F20"/>
          <w:w w:val="110"/>
        </w:rPr>
        <w:t>43%</w:t>
      </w:r>
      <w:r>
        <w:rPr>
          <w:color w:val="231F20"/>
          <w:spacing w:val="38"/>
          <w:w w:val="110"/>
        </w:rPr>
        <w:t> </w:t>
      </w:r>
      <w:r>
        <w:rPr>
          <w:color w:val="231F20"/>
          <w:w w:val="110"/>
        </w:rPr>
        <w:t>del</w:t>
      </w:r>
      <w:r>
        <w:rPr>
          <w:color w:val="231F20"/>
          <w:spacing w:val="38"/>
          <w:w w:val="110"/>
        </w:rPr>
        <w:t> </w:t>
      </w:r>
      <w:r>
        <w:rPr>
          <w:color w:val="231F20"/>
          <w:w w:val="110"/>
        </w:rPr>
        <w:t>electorado</w:t>
      </w:r>
      <w:r>
        <w:rPr>
          <w:color w:val="231F20"/>
          <w:spacing w:val="38"/>
          <w:w w:val="110"/>
        </w:rPr>
        <w:t> </w:t>
      </w:r>
      <w:r>
        <w:rPr>
          <w:color w:val="231F20"/>
          <w:w w:val="110"/>
        </w:rPr>
        <w:t>blanco,</w:t>
      </w:r>
      <w:r>
        <w:rPr>
          <w:color w:val="231F20"/>
          <w:spacing w:val="38"/>
          <w:w w:val="110"/>
        </w:rPr>
        <w:t> </w:t>
      </w:r>
      <w:r>
        <w:rPr>
          <w:color w:val="231F20"/>
          <w:w w:val="110"/>
        </w:rPr>
        <w:t>en</w:t>
      </w:r>
      <w:r>
        <w:rPr>
          <w:color w:val="231F20"/>
          <w:spacing w:val="38"/>
          <w:w w:val="110"/>
        </w:rPr>
        <w:t> </w:t>
      </w:r>
      <w:r>
        <w:rPr>
          <w:color w:val="231F20"/>
          <w:w w:val="110"/>
        </w:rPr>
        <w:t>el</w:t>
      </w:r>
      <w:r>
        <w:rPr>
          <w:color w:val="231F20"/>
          <w:spacing w:val="38"/>
          <w:w w:val="110"/>
        </w:rPr>
        <w:t> </w:t>
      </w:r>
      <w:r>
        <w:rPr>
          <w:color w:val="231F20"/>
          <w:w w:val="110"/>
        </w:rPr>
        <w:t>momento</w:t>
      </w:r>
      <w:r>
        <w:rPr>
          <w:color w:val="231F20"/>
          <w:spacing w:val="38"/>
          <w:w w:val="110"/>
        </w:rPr>
        <w:t> </w:t>
      </w:r>
      <w:r>
        <w:rPr>
          <w:color w:val="231F20"/>
          <w:w w:val="110"/>
        </w:rPr>
        <w:t>de</w:t>
      </w:r>
      <w:r>
        <w:rPr>
          <w:color w:val="231F20"/>
          <w:spacing w:val="38"/>
          <w:w w:val="110"/>
        </w:rPr>
        <w:t> </w:t>
      </w:r>
      <w:r>
        <w:rPr>
          <w:color w:val="231F20"/>
          <w:w w:val="110"/>
        </w:rPr>
        <w:t>nombrar</w:t>
      </w:r>
      <w:r>
        <w:rPr>
          <w:color w:val="231F20"/>
          <w:spacing w:val="38"/>
          <w:w w:val="110"/>
        </w:rPr>
        <w:t> </w:t>
      </w:r>
      <w:r>
        <w:rPr>
          <w:color w:val="231F20"/>
          <w:w w:val="110"/>
        </w:rPr>
        <w:t>el</w:t>
      </w:r>
      <w:r>
        <w:rPr>
          <w:color w:val="231F20"/>
          <w:w w:val="108"/>
        </w:rPr>
        <w:t> </w:t>
      </w:r>
      <w:r>
        <w:rPr>
          <w:color w:val="231F20"/>
          <w:w w:val="110"/>
        </w:rPr>
        <w:t>nuevo gabinete ministerial, se expresan las</w:t>
      </w:r>
      <w:r>
        <w:rPr>
          <w:color w:val="231F20"/>
          <w:spacing w:val="1"/>
          <w:w w:val="110"/>
        </w:rPr>
        <w:t> </w:t>
      </w:r>
      <w:r>
        <w:rPr>
          <w:color w:val="231F20"/>
          <w:w w:val="110"/>
        </w:rPr>
        <w:t>grandes contradicciones.</w:t>
      </w:r>
      <w:r>
        <w:rPr>
          <w:color w:val="231F20"/>
          <w:w w:val="109"/>
        </w:rPr>
        <w:t> </w:t>
      </w:r>
      <w:r>
        <w:rPr>
          <w:color w:val="231F20"/>
          <w:w w:val="110"/>
        </w:rPr>
        <w:t>Mientras se nombra una ministra del trabajo cercana a</w:t>
      </w:r>
      <w:r>
        <w:rPr>
          <w:color w:val="231F20"/>
          <w:spacing w:val="4"/>
          <w:w w:val="110"/>
        </w:rPr>
        <w:t> </w:t>
      </w:r>
      <w:r>
        <w:rPr>
          <w:color w:val="231F20"/>
          <w:w w:val="110"/>
        </w:rPr>
        <w:t>los</w:t>
      </w:r>
      <w:r>
        <w:rPr>
          <w:color w:val="231F20"/>
          <w:spacing w:val="12"/>
          <w:w w:val="110"/>
        </w:rPr>
        <w:t> </w:t>
      </w:r>
      <w:r>
        <w:rPr>
          <w:color w:val="231F20"/>
          <w:w w:val="110"/>
        </w:rPr>
        <w:t>sindi-</w:t>
      </w:r>
      <w:r>
        <w:rPr>
          <w:color w:val="231F20"/>
          <w:w w:val="72"/>
        </w:rPr>
        <w:t> </w:t>
      </w:r>
      <w:r>
        <w:rPr>
          <w:color w:val="231F20"/>
          <w:w w:val="110"/>
        </w:rPr>
        <w:t>catos</w:t>
      </w:r>
      <w:r>
        <w:rPr>
          <w:color w:val="231F20"/>
          <w:spacing w:val="25"/>
          <w:w w:val="110"/>
        </w:rPr>
        <w:t> </w:t>
      </w:r>
      <w:r>
        <w:rPr>
          <w:color w:val="231F20"/>
          <w:w w:val="110"/>
        </w:rPr>
        <w:t>(Hilda</w:t>
      </w:r>
      <w:r>
        <w:rPr>
          <w:color w:val="231F20"/>
          <w:spacing w:val="25"/>
          <w:w w:val="110"/>
        </w:rPr>
        <w:t> </w:t>
      </w:r>
      <w:r>
        <w:rPr>
          <w:color w:val="231F20"/>
          <w:w w:val="110"/>
        </w:rPr>
        <w:t>Solís)</w:t>
      </w:r>
      <w:r>
        <w:rPr>
          <w:color w:val="231F20"/>
          <w:spacing w:val="25"/>
          <w:w w:val="110"/>
        </w:rPr>
        <w:t> </w:t>
      </w:r>
      <w:r>
        <w:rPr>
          <w:color w:val="231F20"/>
          <w:w w:val="110"/>
        </w:rPr>
        <w:t>que</w:t>
      </w:r>
      <w:r>
        <w:rPr>
          <w:color w:val="231F20"/>
          <w:spacing w:val="25"/>
          <w:w w:val="110"/>
        </w:rPr>
        <w:t> </w:t>
      </w:r>
      <w:r>
        <w:rPr>
          <w:color w:val="231F20"/>
          <w:w w:val="110"/>
        </w:rPr>
        <w:t>promete</w:t>
      </w:r>
      <w:r>
        <w:rPr>
          <w:color w:val="231F20"/>
          <w:spacing w:val="25"/>
          <w:w w:val="110"/>
        </w:rPr>
        <w:t> </w:t>
      </w:r>
      <w:r>
        <w:rPr>
          <w:color w:val="231F20"/>
          <w:w w:val="110"/>
        </w:rPr>
        <w:t>una</w:t>
      </w:r>
      <w:r>
        <w:rPr>
          <w:color w:val="231F20"/>
          <w:spacing w:val="25"/>
          <w:w w:val="110"/>
        </w:rPr>
        <w:t> </w:t>
      </w:r>
      <w:r>
        <w:rPr>
          <w:color w:val="231F20"/>
          <w:w w:val="110"/>
        </w:rPr>
        <w:t>ruptura</w:t>
      </w:r>
      <w:r>
        <w:rPr>
          <w:color w:val="231F20"/>
          <w:spacing w:val="25"/>
          <w:w w:val="110"/>
        </w:rPr>
        <w:t> </w:t>
      </w:r>
      <w:r>
        <w:rPr>
          <w:color w:val="231F20"/>
          <w:w w:val="110"/>
        </w:rPr>
        <w:t>con</w:t>
      </w:r>
      <w:r>
        <w:rPr>
          <w:color w:val="231F20"/>
          <w:spacing w:val="25"/>
          <w:w w:val="110"/>
        </w:rPr>
        <w:t> </w:t>
      </w:r>
      <w:r>
        <w:rPr>
          <w:color w:val="231F20"/>
          <w:w w:val="110"/>
        </w:rPr>
        <w:t>las</w:t>
      </w:r>
      <w:r>
        <w:rPr>
          <w:color w:val="231F20"/>
          <w:spacing w:val="25"/>
          <w:w w:val="110"/>
        </w:rPr>
        <w:t> </w:t>
      </w:r>
      <w:r>
        <w:rPr>
          <w:color w:val="231F20"/>
          <w:w w:val="110"/>
        </w:rPr>
        <w:t>políticas</w:t>
      </w:r>
      <w:r>
        <w:rPr>
          <w:color w:val="231F20"/>
          <w:spacing w:val="25"/>
          <w:w w:val="110"/>
        </w:rPr>
        <w:t> </w:t>
      </w:r>
      <w:r>
        <w:rPr>
          <w:color w:val="231F20"/>
          <w:w w:val="110"/>
        </w:rPr>
        <w:t>pro-</w:t>
      </w:r>
      <w:r>
        <w:rPr>
          <w:color w:val="231F20"/>
          <w:w w:val="106"/>
        </w:rPr>
        <w:t> </w:t>
      </w:r>
      <w:r>
        <w:rPr>
          <w:color w:val="231F20"/>
          <w:w w:val="110"/>
        </w:rPr>
        <w:t>empresariales, también se nombra a Hillary Clinton, quien</w:t>
      </w:r>
      <w:r>
        <w:rPr>
          <w:color w:val="231F20"/>
          <w:spacing w:val="-9"/>
          <w:w w:val="110"/>
        </w:rPr>
        <w:t> </w:t>
      </w:r>
      <w:r>
        <w:rPr>
          <w:color w:val="231F20"/>
          <w:w w:val="110"/>
        </w:rPr>
        <w:t>realizó</w:t>
      </w:r>
      <w:r>
        <w:rPr>
          <w:color w:val="231F20"/>
          <w:spacing w:val="-2"/>
          <w:w w:val="110"/>
        </w:rPr>
        <w:t> </w:t>
      </w:r>
      <w:r>
        <w:rPr>
          <w:color w:val="231F20"/>
          <w:w w:val="110"/>
        </w:rPr>
        <w:t>el</w:t>
      </w:r>
      <w:r>
        <w:rPr>
          <w:color w:val="231F20"/>
          <w:w w:val="108"/>
        </w:rPr>
        <w:t> </w:t>
      </w:r>
      <w:r>
        <w:rPr>
          <w:color w:val="231F20"/>
          <w:w w:val="110"/>
        </w:rPr>
        <w:t>cabildeo</w:t>
      </w:r>
      <w:r>
        <w:rPr>
          <w:color w:val="231F20"/>
          <w:spacing w:val="28"/>
          <w:w w:val="110"/>
        </w:rPr>
        <w:t> </w:t>
      </w:r>
      <w:r>
        <w:rPr>
          <w:color w:val="231F20"/>
          <w:w w:val="110"/>
        </w:rPr>
        <w:t>ante</w:t>
      </w:r>
      <w:r>
        <w:rPr>
          <w:color w:val="231F20"/>
          <w:spacing w:val="28"/>
          <w:w w:val="110"/>
        </w:rPr>
        <w:t> </w:t>
      </w:r>
      <w:r>
        <w:rPr>
          <w:color w:val="231F20"/>
          <w:w w:val="110"/>
        </w:rPr>
        <w:t>el</w:t>
      </w:r>
      <w:r>
        <w:rPr>
          <w:color w:val="231F20"/>
          <w:spacing w:val="28"/>
          <w:w w:val="110"/>
        </w:rPr>
        <w:t> </w:t>
      </w:r>
      <w:r>
        <w:rPr>
          <w:color w:val="231F20"/>
          <w:w w:val="110"/>
        </w:rPr>
        <w:t>congreso</w:t>
      </w:r>
      <w:r>
        <w:rPr>
          <w:color w:val="231F20"/>
          <w:spacing w:val="28"/>
          <w:w w:val="110"/>
        </w:rPr>
        <w:t> </w:t>
      </w:r>
      <w:r>
        <w:rPr>
          <w:color w:val="231F20"/>
          <w:w w:val="110"/>
        </w:rPr>
        <w:t>estadunidense</w:t>
      </w:r>
      <w:r>
        <w:rPr>
          <w:color w:val="231F20"/>
          <w:spacing w:val="28"/>
          <w:w w:val="110"/>
        </w:rPr>
        <w:t> </w:t>
      </w:r>
      <w:r>
        <w:rPr>
          <w:color w:val="231F20"/>
          <w:w w:val="110"/>
        </w:rPr>
        <w:t>para</w:t>
      </w:r>
      <w:r>
        <w:rPr>
          <w:color w:val="231F20"/>
          <w:spacing w:val="28"/>
          <w:w w:val="110"/>
        </w:rPr>
        <w:t> </w:t>
      </w:r>
      <w:r>
        <w:rPr>
          <w:color w:val="231F20"/>
          <w:w w:val="110"/>
        </w:rPr>
        <w:t>la</w:t>
      </w:r>
      <w:r>
        <w:rPr>
          <w:color w:val="231F20"/>
          <w:spacing w:val="28"/>
          <w:w w:val="110"/>
        </w:rPr>
        <w:t> </w:t>
      </w:r>
      <w:r>
        <w:rPr>
          <w:color w:val="231F20"/>
          <w:w w:val="110"/>
        </w:rPr>
        <w:t>firma</w:t>
      </w:r>
      <w:r>
        <w:rPr>
          <w:color w:val="231F20"/>
          <w:spacing w:val="28"/>
          <w:w w:val="110"/>
        </w:rPr>
        <w:t> </w:t>
      </w:r>
      <w:r>
        <w:rPr>
          <w:color w:val="231F20"/>
          <w:w w:val="110"/>
        </w:rPr>
        <w:t>del</w:t>
      </w:r>
      <w:r>
        <w:rPr>
          <w:color w:val="231F20"/>
          <w:spacing w:val="28"/>
          <w:w w:val="110"/>
        </w:rPr>
        <w:t> </w:t>
      </w:r>
      <w:r>
        <w:rPr>
          <w:color w:val="231F20"/>
          <w:w w:val="130"/>
        </w:rPr>
        <w:t>tlc</w:t>
      </w:r>
      <w:r>
        <w:rPr>
          <w:color w:val="231F20"/>
          <w:spacing w:val="18"/>
          <w:w w:val="130"/>
        </w:rPr>
        <w:t> </w:t>
      </w:r>
      <w:r>
        <w:rPr>
          <w:color w:val="231F20"/>
          <w:w w:val="110"/>
        </w:rPr>
        <w:t>con</w:t>
      </w:r>
      <w:r>
        <w:rPr>
          <w:color w:val="231F20"/>
          <w:w w:val="112"/>
        </w:rPr>
        <w:t> </w:t>
      </w:r>
      <w:r>
        <w:rPr>
          <w:color w:val="231F20"/>
          <w:w w:val="110"/>
        </w:rPr>
        <w:t>Colombia, y a Robert Gates, el Ministro de Defensa</w:t>
      </w:r>
      <w:r>
        <w:rPr>
          <w:color w:val="231F20"/>
          <w:spacing w:val="22"/>
          <w:w w:val="110"/>
        </w:rPr>
        <w:t> </w:t>
      </w:r>
      <w:r>
        <w:rPr>
          <w:color w:val="231F20"/>
          <w:w w:val="110"/>
        </w:rPr>
        <w:t>del</w:t>
      </w:r>
      <w:r>
        <w:rPr>
          <w:color w:val="231F20"/>
          <w:spacing w:val="14"/>
          <w:w w:val="110"/>
        </w:rPr>
        <w:t> </w:t>
      </w:r>
      <w:r>
        <w:rPr>
          <w:color w:val="231F20"/>
          <w:w w:val="110"/>
        </w:rPr>
        <w:t>presidente</w:t>
      </w:r>
      <w:r>
        <w:rPr>
          <w:color w:val="231F20"/>
          <w:w w:val="112"/>
        </w:rPr>
        <w:t> </w:t>
      </w:r>
      <w:r>
        <w:rPr>
          <w:color w:val="231F20"/>
          <w:w w:val="110"/>
        </w:rPr>
        <w:t>Bush.</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misma</w:t>
      </w:r>
      <w:r>
        <w:rPr>
          <w:color w:val="231F20"/>
          <w:spacing w:val="34"/>
          <w:w w:val="110"/>
        </w:rPr>
        <w:t> </w:t>
      </w:r>
      <w:r>
        <w:rPr>
          <w:color w:val="231F20"/>
          <w:w w:val="110"/>
        </w:rPr>
        <w:t>manera</w:t>
      </w:r>
      <w:r>
        <w:rPr>
          <w:color w:val="231F20"/>
          <w:spacing w:val="34"/>
          <w:w w:val="110"/>
        </w:rPr>
        <w:t> </w:t>
      </w:r>
      <w:r>
        <w:rPr>
          <w:color w:val="231F20"/>
          <w:w w:val="110"/>
        </w:rPr>
        <w:t>se</w:t>
      </w:r>
      <w:r>
        <w:rPr>
          <w:color w:val="231F20"/>
          <w:spacing w:val="34"/>
          <w:w w:val="110"/>
        </w:rPr>
        <w:t> </w:t>
      </w:r>
      <w:r>
        <w:rPr>
          <w:color w:val="231F20"/>
          <w:w w:val="110"/>
        </w:rPr>
        <w:t>incluye</w:t>
      </w:r>
      <w:r>
        <w:rPr>
          <w:color w:val="231F20"/>
          <w:spacing w:val="34"/>
          <w:w w:val="110"/>
        </w:rPr>
        <w:t> </w:t>
      </w:r>
      <w:r>
        <w:rPr>
          <w:color w:val="231F20"/>
          <w:w w:val="110"/>
        </w:rPr>
        <w:t>a</w:t>
      </w:r>
      <w:r>
        <w:rPr>
          <w:color w:val="231F20"/>
          <w:spacing w:val="34"/>
          <w:w w:val="110"/>
        </w:rPr>
        <w:t> </w:t>
      </w:r>
      <w:r>
        <w:rPr>
          <w:color w:val="231F20"/>
          <w:w w:val="110"/>
        </w:rPr>
        <w:t>Timothy</w:t>
      </w:r>
      <w:r>
        <w:rPr>
          <w:color w:val="231F20"/>
          <w:spacing w:val="34"/>
          <w:w w:val="110"/>
        </w:rPr>
        <w:t> </w:t>
      </w:r>
      <w:r>
        <w:rPr>
          <w:color w:val="231F20"/>
          <w:w w:val="110"/>
        </w:rPr>
        <w:t>Geithner</w:t>
      </w:r>
      <w:r>
        <w:rPr>
          <w:color w:val="231F20"/>
          <w:spacing w:val="34"/>
          <w:w w:val="110"/>
        </w:rPr>
        <w:t> </w:t>
      </w:r>
      <w:r>
        <w:rPr>
          <w:color w:val="231F20"/>
          <w:w w:val="110"/>
        </w:rPr>
        <w:t>como</w:t>
      </w:r>
      <w:r>
        <w:rPr>
          <w:color w:val="231F20"/>
          <w:spacing w:val="1"/>
          <w:w w:val="109"/>
        </w:rPr>
        <w:t> </w:t>
      </w:r>
      <w:r>
        <w:rPr>
          <w:color w:val="231F20"/>
          <w:w w:val="110"/>
        </w:rPr>
        <w:t>secretario del tesoro, estrechamente ligado a Wall Street y</w:t>
      </w:r>
      <w:r>
        <w:rPr>
          <w:color w:val="231F20"/>
          <w:spacing w:val="4"/>
          <w:w w:val="110"/>
        </w:rPr>
        <w:t> </w:t>
      </w:r>
      <w:r>
        <w:rPr>
          <w:color w:val="231F20"/>
          <w:w w:val="110"/>
        </w:rPr>
        <w:t>su</w:t>
      </w:r>
      <w:r>
        <w:rPr>
          <w:color w:val="231F20"/>
          <w:spacing w:val="18"/>
          <w:w w:val="110"/>
        </w:rPr>
        <w:t> </w:t>
      </w:r>
      <w:r>
        <w:rPr>
          <w:color w:val="231F20"/>
          <w:w w:val="110"/>
        </w:rPr>
        <w:t>con-</w:t>
      </w:r>
      <w:r>
        <w:rPr>
          <w:color w:val="231F20"/>
          <w:w w:val="72"/>
        </w:rPr>
        <w:t> </w:t>
      </w:r>
      <w:r>
        <w:rPr>
          <w:color w:val="231F20"/>
          <w:w w:val="110"/>
        </w:rPr>
        <w:t>sejero financiero Lawrence Summers responsable de las</w:t>
      </w:r>
      <w:r>
        <w:rPr>
          <w:color w:val="231F20"/>
          <w:spacing w:val="-3"/>
          <w:w w:val="110"/>
        </w:rPr>
        <w:t> </w:t>
      </w:r>
      <w:r>
        <w:rPr>
          <w:color w:val="231F20"/>
          <w:w w:val="110"/>
        </w:rPr>
        <w:t>políticas</w:t>
      </w:r>
      <w:r>
        <w:rPr>
          <w:color w:val="231F20"/>
          <w:spacing w:val="-1"/>
          <w:w w:val="110"/>
        </w:rPr>
        <w:t> </w:t>
      </w:r>
      <w:r>
        <w:rPr>
          <w:color w:val="231F20"/>
          <w:w w:val="110"/>
        </w:rPr>
        <w:t>de</w:t>
      </w:r>
      <w:r>
        <w:rPr>
          <w:color w:val="231F20"/>
          <w:w w:val="114"/>
        </w:rPr>
        <w:t> </w:t>
      </w:r>
      <w:r>
        <w:rPr>
          <w:color w:val="231F20"/>
          <w:w w:val="110"/>
        </w:rPr>
        <w:t>desregulación financiera. Henry Kissinger, quien trabajara</w:t>
      </w:r>
      <w:r>
        <w:rPr>
          <w:color w:val="231F20"/>
          <w:spacing w:val="6"/>
          <w:w w:val="110"/>
        </w:rPr>
        <w:t> </w:t>
      </w:r>
      <w:r>
        <w:rPr>
          <w:color w:val="231F20"/>
          <w:w w:val="110"/>
        </w:rPr>
        <w:t>para</w:t>
      </w:r>
      <w:r>
        <w:rPr>
          <w:color w:val="231F20"/>
          <w:spacing w:val="28"/>
          <w:w w:val="110"/>
        </w:rPr>
        <w:t> </w:t>
      </w:r>
      <w:r>
        <w:rPr>
          <w:color w:val="231F20"/>
          <w:w w:val="110"/>
        </w:rPr>
        <w:t>la</w:t>
      </w:r>
      <w:r>
        <w:rPr>
          <w:color w:val="231F20"/>
          <w:w w:val="105"/>
        </w:rPr>
        <w:t> </w:t>
      </w:r>
      <w:r>
        <w:rPr>
          <w:color w:val="231F20"/>
          <w:w w:val="110"/>
        </w:rPr>
        <w:t>Agencia para el Desarme y Control de Armas durante</w:t>
      </w:r>
      <w:r>
        <w:rPr>
          <w:color w:val="231F20"/>
          <w:spacing w:val="37"/>
          <w:w w:val="110"/>
        </w:rPr>
        <w:t> </w:t>
      </w:r>
      <w:r>
        <w:rPr>
          <w:color w:val="231F20"/>
          <w:w w:val="110"/>
        </w:rPr>
        <w:t>el</w:t>
      </w:r>
      <w:r>
        <w:rPr>
          <w:color w:val="231F20"/>
          <w:spacing w:val="16"/>
          <w:w w:val="110"/>
        </w:rPr>
        <w:t> </w:t>
      </w:r>
      <w:r>
        <w:rPr>
          <w:color w:val="231F20"/>
          <w:w w:val="110"/>
        </w:rPr>
        <w:t>Gobierno</w:t>
      </w:r>
      <w:r>
        <w:rPr>
          <w:color w:val="231F20"/>
          <w:w w:val="111"/>
        </w:rPr>
        <w:t> </w:t>
      </w:r>
      <w:r>
        <w:rPr>
          <w:color w:val="231F20"/>
          <w:w w:val="110"/>
        </w:rPr>
        <w:t>de Kennedy, mas tarde jefe del Consejo Nacional para</w:t>
      </w:r>
      <w:r>
        <w:rPr>
          <w:color w:val="231F20"/>
          <w:spacing w:val="42"/>
          <w:w w:val="110"/>
        </w:rPr>
        <w:t> </w:t>
      </w:r>
      <w:r>
        <w:rPr>
          <w:color w:val="231F20"/>
          <w:w w:val="110"/>
        </w:rPr>
        <w:t>la</w:t>
      </w:r>
      <w:r>
        <w:rPr>
          <w:color w:val="231F20"/>
          <w:spacing w:val="4"/>
          <w:w w:val="110"/>
        </w:rPr>
        <w:t> </w:t>
      </w:r>
      <w:r>
        <w:rPr>
          <w:color w:val="231F20"/>
          <w:w w:val="110"/>
        </w:rPr>
        <w:t>Seguridad</w:t>
      </w:r>
      <w:r>
        <w:rPr>
          <w:color w:val="231F20"/>
          <w:w w:val="109"/>
        </w:rPr>
        <w:t> </w:t>
      </w:r>
      <w:r>
        <w:rPr>
          <w:color w:val="231F20"/>
          <w:w w:val="110"/>
        </w:rPr>
        <w:t>y luego Secretario de Estado de Richard Nixon, autor en 1973</w:t>
      </w:r>
      <w:r>
        <w:rPr>
          <w:color w:val="231F20"/>
          <w:spacing w:val="7"/>
          <w:w w:val="110"/>
        </w:rPr>
        <w:t> </w:t>
      </w:r>
      <w:r>
        <w:rPr>
          <w:color w:val="231F20"/>
          <w:w w:val="110"/>
        </w:rPr>
        <w:t>de</w:t>
      </w:r>
      <w:r>
        <w:rPr>
          <w:color w:val="231F20"/>
          <w:spacing w:val="5"/>
          <w:w w:val="110"/>
        </w:rPr>
        <w:t> </w:t>
      </w:r>
      <w:r>
        <w:rPr>
          <w:color w:val="231F20"/>
          <w:w w:val="110"/>
        </w:rPr>
        <w:t>la</w:t>
      </w:r>
      <w:r>
        <w:rPr>
          <w:color w:val="231F20"/>
          <w:w w:val="105"/>
        </w:rPr>
        <w:t> </w:t>
      </w:r>
      <w:r>
        <w:rPr>
          <w:color w:val="231F20"/>
          <w:w w:val="110"/>
        </w:rPr>
        <w:t>proposición,</w:t>
      </w:r>
      <w:r>
        <w:rPr>
          <w:color w:val="231F20"/>
          <w:spacing w:val="-9"/>
          <w:w w:val="110"/>
        </w:rPr>
        <w:t> </w:t>
      </w:r>
      <w:r>
        <w:rPr>
          <w:color w:val="231F20"/>
          <w:w w:val="110"/>
        </w:rPr>
        <w:t>“Si</w:t>
      </w:r>
      <w:r>
        <w:rPr>
          <w:color w:val="231F20"/>
          <w:spacing w:val="-9"/>
          <w:w w:val="110"/>
        </w:rPr>
        <w:t> </w:t>
      </w:r>
      <w:r>
        <w:rPr>
          <w:color w:val="231F20"/>
          <w:w w:val="110"/>
        </w:rPr>
        <w:t>no</w:t>
      </w:r>
      <w:r>
        <w:rPr>
          <w:color w:val="231F20"/>
          <w:spacing w:val="-9"/>
          <w:w w:val="110"/>
        </w:rPr>
        <w:t> </w:t>
      </w:r>
      <w:r>
        <w:rPr>
          <w:color w:val="231F20"/>
          <w:w w:val="110"/>
        </w:rPr>
        <w:t>se</w:t>
      </w:r>
      <w:r>
        <w:rPr>
          <w:color w:val="231F20"/>
          <w:spacing w:val="-9"/>
          <w:w w:val="110"/>
        </w:rPr>
        <w:t> </w:t>
      </w:r>
      <w:r>
        <w:rPr>
          <w:color w:val="231F20"/>
          <w:w w:val="110"/>
        </w:rPr>
        <w:t>controla</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no</w:t>
      </w:r>
      <w:r>
        <w:rPr>
          <w:color w:val="231F20"/>
          <w:spacing w:val="-9"/>
          <w:w w:val="110"/>
        </w:rPr>
        <w:t> </w:t>
      </w:r>
      <w:r>
        <w:rPr>
          <w:color w:val="231F20"/>
          <w:w w:val="110"/>
        </w:rPr>
        <w:t>se</w:t>
      </w:r>
      <w:r>
        <w:rPr>
          <w:color w:val="231F20"/>
          <w:spacing w:val="-9"/>
          <w:w w:val="110"/>
        </w:rPr>
        <w:t> </w:t>
      </w:r>
      <w:r>
        <w:rPr>
          <w:color w:val="231F20"/>
          <w:w w:val="110"/>
        </w:rPr>
        <w:t>controla</w:t>
      </w:r>
      <w:r>
        <w:rPr>
          <w:color w:val="231F20"/>
          <w:spacing w:val="-9"/>
          <w:w w:val="110"/>
        </w:rPr>
        <w:t> </w:t>
      </w:r>
      <w:r>
        <w:rPr>
          <w:color w:val="231F20"/>
          <w:w w:val="110"/>
        </w:rPr>
        <w:t>el</w:t>
      </w:r>
      <w:r>
        <w:rPr>
          <w:color w:val="231F20"/>
          <w:spacing w:val="-9"/>
          <w:w w:val="110"/>
        </w:rPr>
        <w:t> </w:t>
      </w:r>
      <w:r>
        <w:rPr>
          <w:color w:val="231F20"/>
          <w:w w:val="110"/>
        </w:rPr>
        <w:t>res-</w:t>
      </w:r>
      <w:r>
        <w:rPr>
          <w:color w:val="231F20"/>
          <w:w w:val="72"/>
        </w:rPr>
        <w:t> </w:t>
      </w:r>
      <w:r>
        <w:rPr>
          <w:color w:val="231F20"/>
          <w:w w:val="110"/>
        </w:rPr>
        <w:t>to del mundo” (Chomsky, 2009), va a ser nombrado como</w:t>
      </w:r>
      <w:r>
        <w:rPr>
          <w:color w:val="231F20"/>
          <w:spacing w:val="35"/>
          <w:w w:val="110"/>
        </w:rPr>
        <w:t> </w:t>
      </w:r>
      <w:r>
        <w:rPr>
          <w:color w:val="231F20"/>
          <w:w w:val="110"/>
        </w:rPr>
        <w:t>principal</w:t>
      </w:r>
    </w:p>
    <w:p>
      <w:pPr>
        <w:pStyle w:val="BodyText"/>
        <w:ind w:left="100" w:right="25"/>
        <w:rPr>
          <w:sz w:val="13"/>
        </w:rPr>
      </w:pPr>
      <w:r>
        <w:rPr>
          <w:color w:val="231F20"/>
          <w:w w:val="110"/>
        </w:rPr>
        <w:t>consejero de este departamento en el gobierno   Obama.</w:t>
      </w:r>
      <w:r>
        <w:rPr>
          <w:color w:val="231F20"/>
          <w:w w:val="110"/>
          <w:position w:val="6"/>
          <w:sz w:val="13"/>
        </w:rPr>
        <w:t>2</w:t>
      </w:r>
    </w:p>
    <w:p>
      <w:pPr>
        <w:pStyle w:val="BodyText"/>
        <w:spacing w:line="261" w:lineRule="auto" w:before="20"/>
        <w:ind w:left="100" w:right="117" w:firstLine="240"/>
        <w:jc w:val="both"/>
      </w:pPr>
      <w:r>
        <w:rPr>
          <w:color w:val="231F20"/>
          <w:w w:val="110"/>
        </w:rPr>
        <w:t>Si aceptamos un escenario de continuidad de la política exterior estadunidense y la permanencia de sus ideólogos en el poder, desde hace más de cincuenta años, podemos explicar la presión que ejer- ce en las agendas de política exterior con la mayoría de gobiernos</w:t>
      </w:r>
    </w:p>
    <w:p>
      <w:pPr>
        <w:pStyle w:val="BodyText"/>
      </w:pPr>
    </w:p>
    <w:p>
      <w:pPr>
        <w:spacing w:line="261" w:lineRule="auto" w:before="152"/>
        <w:ind w:left="100" w:right="117" w:firstLine="240"/>
        <w:jc w:val="both"/>
        <w:rPr>
          <w:sz w:val="16"/>
        </w:rPr>
      </w:pPr>
      <w:r>
        <w:rPr>
          <w:color w:val="231F20"/>
          <w:w w:val="110"/>
          <w:position w:val="5"/>
          <w:sz w:val="10"/>
        </w:rPr>
        <w:t>2</w:t>
      </w:r>
      <w:r>
        <w:rPr>
          <w:color w:val="231F20"/>
          <w:spacing w:val="10"/>
          <w:w w:val="110"/>
          <w:position w:val="5"/>
          <w:sz w:val="10"/>
        </w:rPr>
        <w:t> </w:t>
      </w:r>
      <w:r>
        <w:rPr>
          <w:color w:val="231F20"/>
          <w:w w:val="110"/>
          <w:sz w:val="16"/>
        </w:rPr>
        <w:t>Henry</w:t>
      </w:r>
      <w:r>
        <w:rPr>
          <w:color w:val="231F20"/>
          <w:spacing w:val="-11"/>
          <w:w w:val="110"/>
          <w:sz w:val="16"/>
        </w:rPr>
        <w:t> </w:t>
      </w:r>
      <w:r>
        <w:rPr>
          <w:color w:val="231F20"/>
          <w:w w:val="110"/>
          <w:sz w:val="16"/>
        </w:rPr>
        <w:t>Kissinger</w:t>
      </w:r>
      <w:r>
        <w:rPr>
          <w:color w:val="231F20"/>
          <w:spacing w:val="-11"/>
          <w:w w:val="110"/>
          <w:sz w:val="16"/>
        </w:rPr>
        <w:t> </w:t>
      </w:r>
      <w:r>
        <w:rPr>
          <w:color w:val="231F20"/>
          <w:w w:val="110"/>
          <w:sz w:val="16"/>
        </w:rPr>
        <w:t>fundador,</w:t>
      </w:r>
      <w:r>
        <w:rPr>
          <w:color w:val="231F20"/>
          <w:spacing w:val="-11"/>
          <w:w w:val="110"/>
          <w:sz w:val="16"/>
        </w:rPr>
        <w:t> </w:t>
      </w:r>
      <w:r>
        <w:rPr>
          <w:color w:val="231F20"/>
          <w:w w:val="110"/>
          <w:sz w:val="16"/>
        </w:rPr>
        <w:t>junto</w:t>
      </w:r>
      <w:r>
        <w:rPr>
          <w:color w:val="231F20"/>
          <w:spacing w:val="-11"/>
          <w:w w:val="110"/>
          <w:sz w:val="16"/>
        </w:rPr>
        <w:t> </w:t>
      </w:r>
      <w:r>
        <w:rPr>
          <w:color w:val="231F20"/>
          <w:w w:val="110"/>
          <w:sz w:val="16"/>
        </w:rPr>
        <w:t>con</w:t>
      </w:r>
      <w:r>
        <w:rPr>
          <w:color w:val="231F20"/>
          <w:spacing w:val="-11"/>
          <w:w w:val="110"/>
          <w:sz w:val="16"/>
        </w:rPr>
        <w:t> </w:t>
      </w:r>
      <w:r>
        <w:rPr>
          <w:color w:val="231F20"/>
          <w:w w:val="110"/>
          <w:sz w:val="16"/>
        </w:rPr>
        <w:t>David</w:t>
      </w:r>
      <w:r>
        <w:rPr>
          <w:color w:val="231F20"/>
          <w:spacing w:val="-11"/>
          <w:w w:val="110"/>
          <w:sz w:val="16"/>
        </w:rPr>
        <w:t> </w:t>
      </w:r>
      <w:r>
        <w:rPr>
          <w:color w:val="231F20"/>
          <w:w w:val="110"/>
          <w:sz w:val="16"/>
        </w:rPr>
        <w:t>Rockefeller</w:t>
      </w:r>
      <w:r>
        <w:rPr>
          <w:color w:val="231F20"/>
          <w:spacing w:val="-11"/>
          <w:w w:val="110"/>
          <w:sz w:val="16"/>
        </w:rPr>
        <w:t> </w:t>
      </w:r>
      <w:r>
        <w:rPr>
          <w:color w:val="231F20"/>
          <w:w w:val="110"/>
          <w:sz w:val="16"/>
        </w:rPr>
        <w:t>y</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príncipe</w:t>
      </w:r>
      <w:r>
        <w:rPr>
          <w:color w:val="231F20"/>
          <w:spacing w:val="-11"/>
          <w:w w:val="110"/>
          <w:sz w:val="16"/>
        </w:rPr>
        <w:t> </w:t>
      </w:r>
      <w:r>
        <w:rPr>
          <w:color w:val="231F20"/>
          <w:w w:val="110"/>
          <w:sz w:val="16"/>
        </w:rPr>
        <w:t>Bernardo</w:t>
      </w:r>
      <w:r>
        <w:rPr>
          <w:color w:val="231F20"/>
          <w:spacing w:val="-11"/>
          <w:w w:val="110"/>
          <w:sz w:val="16"/>
        </w:rPr>
        <w:t> </w:t>
      </w:r>
      <w:r>
        <w:rPr>
          <w:color w:val="231F20"/>
          <w:w w:val="110"/>
          <w:sz w:val="16"/>
        </w:rPr>
        <w:t>de Holanda, del grupo Bilderberg, defensor de la tesis sobre un nuevo orden mundial, (un pacto elaborado entre elites de negocios, elites políticas y medios de comunica- ción) ha sido acusado de alentar y apoyar al junta militar Argentina, en 1976, para tomarse el poder así como de estimular la desaparición de miles de opositores. Se afirma también su participación en el golpe de Estado a Allende en Chile, en 1973,   y de ser el organizador de la denominada Operación Cóndor: un plan sistemático     de eliminación de opositores dirigido a combatir el comunismo en </w:t>
      </w:r>
      <w:r>
        <w:rPr>
          <w:color w:val="231F20"/>
          <w:spacing w:val="38"/>
          <w:w w:val="110"/>
          <w:sz w:val="16"/>
        </w:rPr>
        <w:t> </w:t>
      </w:r>
      <w:r>
        <w:rPr>
          <w:color w:val="231F20"/>
          <w:w w:val="110"/>
          <w:sz w:val="16"/>
        </w:rPr>
        <w:t>Latinoamérica.</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8"/>
        <w:jc w:val="both"/>
      </w:pPr>
      <w:r>
        <w:rPr>
          <w:color w:val="231F20"/>
          <w:w w:val="110"/>
        </w:rPr>
        <w:t>progresistas de América latina (Kirchner, Chávez, Correa, Da Silva, Funes,</w:t>
      </w:r>
      <w:r>
        <w:rPr>
          <w:color w:val="231F20"/>
          <w:spacing w:val="-16"/>
          <w:w w:val="110"/>
        </w:rPr>
        <w:t> </w:t>
      </w:r>
      <w:r>
        <w:rPr>
          <w:color w:val="231F20"/>
          <w:w w:val="110"/>
        </w:rPr>
        <w:t>Mujica)</w:t>
      </w:r>
      <w:r>
        <w:rPr>
          <w:color w:val="231F20"/>
          <w:spacing w:val="-16"/>
          <w:w w:val="110"/>
        </w:rPr>
        <w:t> </w:t>
      </w:r>
      <w:r>
        <w:rPr>
          <w:color w:val="231F20"/>
          <w:w w:val="110"/>
        </w:rPr>
        <w:t>con</w:t>
      </w:r>
      <w:r>
        <w:rPr>
          <w:color w:val="231F20"/>
          <w:spacing w:val="-16"/>
          <w:w w:val="110"/>
        </w:rPr>
        <w:t> </w:t>
      </w:r>
      <w:r>
        <w:rPr>
          <w:color w:val="231F20"/>
          <w:w w:val="110"/>
        </w:rPr>
        <w:t>quienes</w:t>
      </w:r>
      <w:r>
        <w:rPr>
          <w:color w:val="231F20"/>
          <w:spacing w:val="-16"/>
          <w:w w:val="110"/>
        </w:rPr>
        <w:t> </w:t>
      </w:r>
      <w:r>
        <w:rPr>
          <w:color w:val="231F20"/>
          <w:w w:val="110"/>
        </w:rPr>
        <w:t>intenta</w:t>
      </w:r>
      <w:r>
        <w:rPr>
          <w:color w:val="231F20"/>
          <w:spacing w:val="-16"/>
          <w:w w:val="110"/>
        </w:rPr>
        <w:t> </w:t>
      </w:r>
      <w:r>
        <w:rPr>
          <w:color w:val="231F20"/>
          <w:w w:val="110"/>
        </w:rPr>
        <w:t>negociar</w:t>
      </w:r>
      <w:r>
        <w:rPr>
          <w:color w:val="231F20"/>
          <w:spacing w:val="-16"/>
          <w:w w:val="110"/>
        </w:rPr>
        <w:t> </w:t>
      </w:r>
      <w:r>
        <w:rPr>
          <w:color w:val="231F20"/>
          <w:w w:val="110"/>
        </w:rPr>
        <w:t>la</w:t>
      </w:r>
      <w:r>
        <w:rPr>
          <w:color w:val="231F20"/>
          <w:spacing w:val="-16"/>
          <w:w w:val="110"/>
        </w:rPr>
        <w:t> </w:t>
      </w:r>
      <w:r>
        <w:rPr>
          <w:color w:val="231F20"/>
          <w:w w:val="110"/>
        </w:rPr>
        <w:t>utilización</w:t>
      </w:r>
      <w:r>
        <w:rPr>
          <w:color w:val="231F20"/>
          <w:spacing w:val="-16"/>
          <w:w w:val="110"/>
        </w:rPr>
        <w:t> </w:t>
      </w:r>
      <w:r>
        <w:rPr>
          <w:color w:val="231F20"/>
          <w:w w:val="110"/>
        </w:rPr>
        <w:t>del</w:t>
      </w:r>
      <w:r>
        <w:rPr>
          <w:color w:val="231F20"/>
          <w:spacing w:val="-16"/>
          <w:w w:val="110"/>
        </w:rPr>
        <w:t> </w:t>
      </w:r>
      <w:r>
        <w:rPr>
          <w:color w:val="231F20"/>
          <w:w w:val="110"/>
        </w:rPr>
        <w:t>espacio aéreo como en el caso de</w:t>
      </w:r>
      <w:r>
        <w:rPr>
          <w:color w:val="231F20"/>
          <w:spacing w:val="29"/>
          <w:w w:val="110"/>
        </w:rPr>
        <w:t> </w:t>
      </w:r>
      <w:r>
        <w:rPr>
          <w:color w:val="231F20"/>
          <w:w w:val="110"/>
        </w:rPr>
        <w:t>Brasil.</w:t>
      </w:r>
    </w:p>
    <w:p>
      <w:pPr>
        <w:pStyle w:val="BodyText"/>
        <w:spacing w:line="261" w:lineRule="auto"/>
        <w:ind w:left="100" w:right="117" w:firstLine="240"/>
        <w:jc w:val="both"/>
      </w:pPr>
      <w:r>
        <w:rPr>
          <w:color w:val="231F20"/>
          <w:w w:val="110"/>
        </w:rPr>
        <w:t>¿En un ámbito de transición republicano-demócrata en Estados Unidos, podemos pensar acaso en una agenda distinta hacia la</w:t>
      </w:r>
      <w:r>
        <w:rPr>
          <w:color w:val="231F20"/>
          <w:spacing w:val="-20"/>
          <w:w w:val="110"/>
        </w:rPr>
        <w:t> </w:t>
      </w:r>
      <w:r>
        <w:rPr>
          <w:color w:val="231F20"/>
          <w:w w:val="110"/>
        </w:rPr>
        <w:t>Amé- rica Andina? Partimos de considerar como hipótesis que el proyecto de dominación estadunidense en América Latina no está siendo cuestionado. Por el contrario se ha visto fortalecido. El balance del primer año de gobierno de Barack Obama nos demuestra que la emergencia de un presidente demócrata no significa la transforma- ción de la estructura imperial de un país, que necesita del acceso, el control y la ocupación territorial para asegurar la sustentabilidad de la civilización capitalista (Borón, 2004: 14). Si bien existen nuevas e importantes transformaciones en las agendas domésticas internas que se expresan en los reclamos de los sectores sociales en Estados Unidos por el desarrollo de una nueva agenda económica y social y la necesidad de una transformación profunda en la cultura política que rige las relaciones internacionales, el pensamiento conservador sigue y seguirá rigiendo la agenda estadunidense en sus relaciones hacia América</w:t>
      </w:r>
      <w:r>
        <w:rPr>
          <w:color w:val="231F20"/>
          <w:spacing w:val="-23"/>
          <w:w w:val="110"/>
        </w:rPr>
        <w:t> </w:t>
      </w:r>
      <w:r>
        <w:rPr>
          <w:color w:val="231F20"/>
          <w:w w:val="110"/>
        </w:rPr>
        <w:t>Latina.</w:t>
      </w:r>
    </w:p>
    <w:p>
      <w:pPr>
        <w:pStyle w:val="BodyText"/>
        <w:spacing w:line="261" w:lineRule="auto"/>
        <w:ind w:left="100" w:right="117" w:firstLine="240"/>
        <w:jc w:val="both"/>
      </w:pPr>
      <w:r>
        <w:rPr>
          <w:color w:val="231F20"/>
          <w:w w:val="115"/>
        </w:rPr>
        <w:t>Para</w:t>
      </w:r>
      <w:r>
        <w:rPr>
          <w:color w:val="231F20"/>
          <w:spacing w:val="-37"/>
          <w:w w:val="115"/>
        </w:rPr>
        <w:t> </w:t>
      </w:r>
      <w:r>
        <w:rPr>
          <w:color w:val="231F20"/>
          <w:w w:val="115"/>
        </w:rPr>
        <w:t>sustentar</w:t>
      </w:r>
      <w:r>
        <w:rPr>
          <w:color w:val="231F20"/>
          <w:spacing w:val="-37"/>
          <w:w w:val="115"/>
        </w:rPr>
        <w:t> </w:t>
      </w:r>
      <w:r>
        <w:rPr>
          <w:color w:val="231F20"/>
          <w:w w:val="115"/>
        </w:rPr>
        <w:t>tal</w:t>
      </w:r>
      <w:r>
        <w:rPr>
          <w:color w:val="231F20"/>
          <w:spacing w:val="-37"/>
          <w:w w:val="115"/>
        </w:rPr>
        <w:t> </w:t>
      </w:r>
      <w:r>
        <w:rPr>
          <w:color w:val="231F20"/>
          <w:w w:val="115"/>
        </w:rPr>
        <w:t>afirmación,</w:t>
      </w:r>
      <w:r>
        <w:rPr>
          <w:color w:val="231F20"/>
          <w:spacing w:val="-37"/>
          <w:w w:val="115"/>
        </w:rPr>
        <w:t> </w:t>
      </w:r>
      <w:r>
        <w:rPr>
          <w:color w:val="231F20"/>
          <w:w w:val="115"/>
        </w:rPr>
        <w:t>presentamos</w:t>
      </w:r>
      <w:r>
        <w:rPr>
          <w:color w:val="231F20"/>
          <w:spacing w:val="-37"/>
          <w:w w:val="115"/>
        </w:rPr>
        <w:t> </w:t>
      </w:r>
      <w:r>
        <w:rPr>
          <w:color w:val="231F20"/>
          <w:w w:val="115"/>
        </w:rPr>
        <w:t>una</w:t>
      </w:r>
      <w:r>
        <w:rPr>
          <w:color w:val="231F20"/>
          <w:spacing w:val="-37"/>
          <w:w w:val="115"/>
        </w:rPr>
        <w:t> </w:t>
      </w:r>
      <w:r>
        <w:rPr>
          <w:color w:val="231F20"/>
          <w:w w:val="115"/>
        </w:rPr>
        <w:t>relación</w:t>
      </w:r>
      <w:r>
        <w:rPr>
          <w:color w:val="231F20"/>
          <w:spacing w:val="-37"/>
          <w:w w:val="115"/>
        </w:rPr>
        <w:t> </w:t>
      </w:r>
      <w:r>
        <w:rPr>
          <w:color w:val="231F20"/>
          <w:w w:val="115"/>
        </w:rPr>
        <w:t>dialéctica entre continuidades </w:t>
      </w:r>
      <w:r>
        <w:rPr>
          <w:color w:val="231F20"/>
          <w:w w:val="110"/>
        </w:rPr>
        <w:t>y </w:t>
      </w:r>
      <w:r>
        <w:rPr>
          <w:color w:val="231F20"/>
          <w:w w:val="115"/>
        </w:rPr>
        <w:t>discontinuidades de estos dos</w:t>
      </w:r>
      <w:r>
        <w:rPr>
          <w:color w:val="231F20"/>
          <w:spacing w:val="4"/>
          <w:w w:val="115"/>
        </w:rPr>
        <w:t> </w:t>
      </w:r>
      <w:r>
        <w:rPr>
          <w:color w:val="231F20"/>
          <w:w w:val="115"/>
        </w:rPr>
        <w:t>elementos de</w:t>
      </w:r>
      <w:r>
        <w:rPr>
          <w:color w:val="231F20"/>
          <w:w w:val="114"/>
        </w:rPr>
        <w:t> </w:t>
      </w:r>
      <w:r>
        <w:rPr>
          <w:color w:val="231F20"/>
          <w:w w:val="115"/>
        </w:rPr>
        <w:t>la agenda internacional, que nos permitirá analizar la</w:t>
      </w:r>
      <w:r>
        <w:rPr>
          <w:color w:val="231F20"/>
          <w:spacing w:val="-11"/>
          <w:w w:val="115"/>
        </w:rPr>
        <w:t> </w:t>
      </w:r>
      <w:r>
        <w:rPr>
          <w:color w:val="231F20"/>
          <w:w w:val="115"/>
        </w:rPr>
        <w:t>persistencia estructural</w:t>
      </w:r>
      <w:r>
        <w:rPr>
          <w:color w:val="231F20"/>
          <w:spacing w:val="-24"/>
          <w:w w:val="115"/>
        </w:rPr>
        <w:t> </w:t>
      </w:r>
      <w:r>
        <w:rPr>
          <w:color w:val="231F20"/>
          <w:w w:val="115"/>
        </w:rPr>
        <w:t>de</w:t>
      </w:r>
      <w:r>
        <w:rPr>
          <w:color w:val="231F20"/>
          <w:spacing w:val="-24"/>
          <w:w w:val="115"/>
        </w:rPr>
        <w:t> </w:t>
      </w:r>
      <w:r>
        <w:rPr>
          <w:color w:val="231F20"/>
          <w:w w:val="115"/>
        </w:rPr>
        <w:t>paradigmas</w:t>
      </w:r>
      <w:r>
        <w:rPr>
          <w:color w:val="231F20"/>
          <w:spacing w:val="-24"/>
          <w:w w:val="115"/>
        </w:rPr>
        <w:t> </w:t>
      </w:r>
      <w:r>
        <w:rPr>
          <w:color w:val="231F20"/>
          <w:w w:val="115"/>
        </w:rPr>
        <w:t>(principios</w:t>
      </w:r>
      <w:r>
        <w:rPr>
          <w:color w:val="231F20"/>
          <w:spacing w:val="-24"/>
          <w:w w:val="115"/>
        </w:rPr>
        <w:t> </w:t>
      </w:r>
      <w:r>
        <w:rPr>
          <w:color w:val="231F20"/>
          <w:w w:val="110"/>
        </w:rPr>
        <w:t>y</w:t>
      </w:r>
      <w:r>
        <w:rPr>
          <w:color w:val="231F20"/>
          <w:spacing w:val="-21"/>
          <w:w w:val="110"/>
        </w:rPr>
        <w:t> </w:t>
      </w:r>
      <w:r>
        <w:rPr>
          <w:color w:val="231F20"/>
          <w:w w:val="115"/>
        </w:rPr>
        <w:t>normas)</w:t>
      </w:r>
      <w:r>
        <w:rPr>
          <w:color w:val="231F20"/>
          <w:spacing w:val="-24"/>
          <w:w w:val="115"/>
        </w:rPr>
        <w:t> </w:t>
      </w:r>
      <w:r>
        <w:rPr>
          <w:color w:val="231F20"/>
          <w:w w:val="115"/>
        </w:rPr>
        <w:t>que</w:t>
      </w:r>
      <w:r>
        <w:rPr>
          <w:color w:val="231F20"/>
          <w:spacing w:val="-24"/>
          <w:w w:val="115"/>
        </w:rPr>
        <w:t> </w:t>
      </w:r>
      <w:r>
        <w:rPr>
          <w:color w:val="231F20"/>
          <w:w w:val="115"/>
        </w:rPr>
        <w:t>ha</w:t>
      </w:r>
      <w:r>
        <w:rPr>
          <w:color w:val="231F20"/>
          <w:spacing w:val="-24"/>
          <w:w w:val="115"/>
        </w:rPr>
        <w:t> </w:t>
      </w:r>
      <w:r>
        <w:rPr>
          <w:color w:val="231F20"/>
          <w:w w:val="115"/>
        </w:rPr>
        <w:t>orientado</w:t>
      </w:r>
      <w:r>
        <w:rPr>
          <w:color w:val="231F20"/>
          <w:spacing w:val="-24"/>
          <w:w w:val="115"/>
        </w:rPr>
        <w:t> </w:t>
      </w:r>
      <w:r>
        <w:rPr>
          <w:color w:val="231F20"/>
          <w:w w:val="115"/>
        </w:rPr>
        <w:t>la</w:t>
      </w:r>
      <w:r>
        <w:rPr>
          <w:color w:val="231F20"/>
          <w:w w:val="105"/>
        </w:rPr>
        <w:t> </w:t>
      </w:r>
      <w:r>
        <w:rPr>
          <w:color w:val="231F20"/>
          <w:w w:val="115"/>
        </w:rPr>
        <w:t>política</w:t>
      </w:r>
      <w:r>
        <w:rPr>
          <w:color w:val="231F20"/>
          <w:spacing w:val="-40"/>
          <w:w w:val="115"/>
        </w:rPr>
        <w:t> </w:t>
      </w:r>
      <w:r>
        <w:rPr>
          <w:color w:val="231F20"/>
          <w:w w:val="115"/>
        </w:rPr>
        <w:t>exterior</w:t>
      </w:r>
      <w:r>
        <w:rPr>
          <w:color w:val="231F20"/>
          <w:spacing w:val="-40"/>
          <w:w w:val="115"/>
        </w:rPr>
        <w:t> </w:t>
      </w:r>
      <w:r>
        <w:rPr>
          <w:color w:val="231F20"/>
          <w:w w:val="115"/>
        </w:rPr>
        <w:t>hacia</w:t>
      </w:r>
      <w:r>
        <w:rPr>
          <w:color w:val="231F20"/>
          <w:spacing w:val="-40"/>
          <w:w w:val="115"/>
        </w:rPr>
        <w:t> </w:t>
      </w:r>
      <w:r>
        <w:rPr>
          <w:color w:val="231F20"/>
          <w:w w:val="115"/>
        </w:rPr>
        <w:t>América</w:t>
      </w:r>
      <w:r>
        <w:rPr>
          <w:color w:val="231F20"/>
          <w:spacing w:val="-40"/>
          <w:w w:val="115"/>
        </w:rPr>
        <w:t> </w:t>
      </w:r>
      <w:r>
        <w:rPr>
          <w:color w:val="231F20"/>
          <w:w w:val="115"/>
        </w:rPr>
        <w:t>Latina</w:t>
      </w:r>
      <w:r>
        <w:rPr>
          <w:color w:val="231F20"/>
          <w:spacing w:val="-40"/>
          <w:w w:val="115"/>
        </w:rPr>
        <w:t> </w:t>
      </w:r>
      <w:r>
        <w:rPr>
          <w:color w:val="231F20"/>
          <w:w w:val="115"/>
        </w:rPr>
        <w:t>por</w:t>
      </w:r>
      <w:r>
        <w:rPr>
          <w:color w:val="231F20"/>
          <w:spacing w:val="-40"/>
          <w:w w:val="115"/>
        </w:rPr>
        <w:t> </w:t>
      </w:r>
      <w:r>
        <w:rPr>
          <w:color w:val="231F20"/>
          <w:w w:val="115"/>
        </w:rPr>
        <w:t>más</w:t>
      </w:r>
      <w:r>
        <w:rPr>
          <w:color w:val="231F20"/>
          <w:spacing w:val="-40"/>
          <w:w w:val="115"/>
        </w:rPr>
        <w:t> </w:t>
      </w:r>
      <w:r>
        <w:rPr>
          <w:color w:val="231F20"/>
          <w:w w:val="115"/>
        </w:rPr>
        <w:t>de</w:t>
      </w:r>
      <w:r>
        <w:rPr>
          <w:color w:val="231F20"/>
          <w:spacing w:val="-40"/>
          <w:w w:val="115"/>
        </w:rPr>
        <w:t> </w:t>
      </w:r>
      <w:r>
        <w:rPr>
          <w:color w:val="231F20"/>
          <w:w w:val="115"/>
        </w:rPr>
        <w:t>cincuenta</w:t>
      </w:r>
      <w:r>
        <w:rPr>
          <w:color w:val="231F20"/>
          <w:spacing w:val="-40"/>
          <w:w w:val="115"/>
        </w:rPr>
        <w:t> </w:t>
      </w:r>
      <w:r>
        <w:rPr>
          <w:color w:val="231F20"/>
          <w:w w:val="115"/>
        </w:rPr>
        <w:t>años,</w:t>
      </w:r>
      <w:r>
        <w:rPr>
          <w:color w:val="231F20"/>
          <w:spacing w:val="-40"/>
          <w:w w:val="115"/>
        </w:rPr>
        <w:t> </w:t>
      </w:r>
      <w:r>
        <w:rPr>
          <w:color w:val="231F20"/>
          <w:w w:val="110"/>
        </w:rPr>
        <w:t>y</w:t>
      </w:r>
      <w:r>
        <w:rPr>
          <w:color w:val="231F20"/>
          <w:spacing w:val="-37"/>
          <w:w w:val="110"/>
        </w:rPr>
        <w:t> </w:t>
      </w:r>
      <w:r>
        <w:rPr>
          <w:color w:val="231F20"/>
          <w:w w:val="115"/>
        </w:rPr>
        <w:t>al </w:t>
      </w:r>
      <w:r>
        <w:rPr>
          <w:color w:val="231F20"/>
          <w:w w:val="110"/>
        </w:rPr>
        <w:t>mismo</w:t>
      </w:r>
      <w:r>
        <w:rPr>
          <w:color w:val="231F20"/>
          <w:spacing w:val="-19"/>
          <w:w w:val="110"/>
        </w:rPr>
        <w:t> </w:t>
      </w:r>
      <w:r>
        <w:rPr>
          <w:color w:val="231F20"/>
          <w:w w:val="110"/>
        </w:rPr>
        <w:t>tiempo</w:t>
      </w:r>
      <w:r>
        <w:rPr>
          <w:color w:val="231F20"/>
          <w:spacing w:val="-19"/>
          <w:w w:val="110"/>
        </w:rPr>
        <w:t> </w:t>
      </w:r>
      <w:r>
        <w:rPr>
          <w:color w:val="231F20"/>
          <w:w w:val="110"/>
        </w:rPr>
        <w:t>diferenciar</w:t>
      </w:r>
      <w:r>
        <w:rPr>
          <w:color w:val="231F20"/>
          <w:spacing w:val="-19"/>
          <w:w w:val="110"/>
        </w:rPr>
        <w:t> </w:t>
      </w:r>
      <w:r>
        <w:rPr>
          <w:color w:val="231F20"/>
          <w:w w:val="110"/>
        </w:rPr>
        <w:t>las</w:t>
      </w:r>
      <w:r>
        <w:rPr>
          <w:color w:val="231F20"/>
          <w:spacing w:val="-19"/>
          <w:w w:val="110"/>
        </w:rPr>
        <w:t> </w:t>
      </w:r>
      <w:r>
        <w:rPr>
          <w:color w:val="231F20"/>
          <w:w w:val="110"/>
        </w:rPr>
        <w:t>estrategias</w:t>
      </w:r>
      <w:r>
        <w:rPr>
          <w:color w:val="231F20"/>
          <w:spacing w:val="-19"/>
          <w:w w:val="110"/>
        </w:rPr>
        <w:t> </w:t>
      </w:r>
      <w:r>
        <w:rPr>
          <w:color w:val="231F20"/>
          <w:w w:val="110"/>
        </w:rPr>
        <w:t>y</w:t>
      </w:r>
      <w:r>
        <w:rPr>
          <w:color w:val="231F20"/>
          <w:spacing w:val="-19"/>
          <w:w w:val="110"/>
        </w:rPr>
        <w:t> </w:t>
      </w:r>
      <w:r>
        <w:rPr>
          <w:color w:val="231F20"/>
          <w:w w:val="110"/>
        </w:rPr>
        <w:t>mecanismos</w:t>
      </w:r>
      <w:r>
        <w:rPr>
          <w:color w:val="231F20"/>
          <w:spacing w:val="-19"/>
          <w:w w:val="110"/>
        </w:rPr>
        <w:t> </w:t>
      </w:r>
      <w:r>
        <w:rPr>
          <w:color w:val="231F20"/>
          <w:w w:val="110"/>
        </w:rPr>
        <w:t>para</w:t>
      </w:r>
      <w:r>
        <w:rPr>
          <w:color w:val="231F20"/>
          <w:spacing w:val="-19"/>
          <w:w w:val="110"/>
        </w:rPr>
        <w:t> </w:t>
      </w:r>
      <w:r>
        <w:rPr>
          <w:color w:val="231F20"/>
          <w:w w:val="110"/>
        </w:rPr>
        <w:t>su</w:t>
      </w:r>
      <w:r>
        <w:rPr>
          <w:color w:val="231F20"/>
          <w:spacing w:val="-19"/>
          <w:w w:val="110"/>
        </w:rPr>
        <w:t> </w:t>
      </w:r>
      <w:r>
        <w:rPr>
          <w:color w:val="231F20"/>
          <w:w w:val="110"/>
        </w:rPr>
        <w:t>puesta </w:t>
      </w:r>
      <w:r>
        <w:rPr>
          <w:color w:val="231F20"/>
          <w:w w:val="115"/>
        </w:rPr>
        <w:t>en</w:t>
      </w:r>
      <w:r>
        <w:rPr>
          <w:color w:val="231F20"/>
          <w:spacing w:val="-13"/>
          <w:w w:val="115"/>
        </w:rPr>
        <w:t> </w:t>
      </w:r>
      <w:r>
        <w:rPr>
          <w:color w:val="231F20"/>
          <w:w w:val="115"/>
        </w:rPr>
        <w:t>marcha</w:t>
      </w:r>
      <w:r>
        <w:rPr>
          <w:color w:val="231F20"/>
          <w:spacing w:val="-13"/>
          <w:w w:val="115"/>
        </w:rPr>
        <w:t> </w:t>
      </w:r>
      <w:r>
        <w:rPr>
          <w:color w:val="231F20"/>
          <w:w w:val="115"/>
        </w:rPr>
        <w:t>entre</w:t>
      </w:r>
      <w:r>
        <w:rPr>
          <w:color w:val="231F20"/>
          <w:spacing w:val="-13"/>
          <w:w w:val="115"/>
        </w:rPr>
        <w:t> </w:t>
      </w:r>
      <w:r>
        <w:rPr>
          <w:color w:val="231F20"/>
          <w:w w:val="115"/>
        </w:rPr>
        <w:t>demócratas</w:t>
      </w:r>
      <w:r>
        <w:rPr>
          <w:color w:val="231F20"/>
          <w:spacing w:val="-13"/>
          <w:w w:val="115"/>
        </w:rPr>
        <w:t> </w:t>
      </w:r>
      <w:r>
        <w:rPr>
          <w:color w:val="231F20"/>
          <w:w w:val="110"/>
        </w:rPr>
        <w:t>y</w:t>
      </w:r>
      <w:r>
        <w:rPr>
          <w:color w:val="231F20"/>
          <w:spacing w:val="-11"/>
          <w:w w:val="110"/>
        </w:rPr>
        <w:t> </w:t>
      </w:r>
      <w:r>
        <w:rPr>
          <w:color w:val="231F20"/>
          <w:w w:val="115"/>
        </w:rPr>
        <w:t>republicanos.</w:t>
      </w:r>
      <w:r>
        <w:rPr>
          <w:color w:val="231F20"/>
          <w:spacing w:val="-13"/>
          <w:w w:val="115"/>
        </w:rPr>
        <w:t> </w:t>
      </w:r>
      <w:r>
        <w:rPr>
          <w:color w:val="231F20"/>
          <w:w w:val="115"/>
        </w:rPr>
        <w:t>El</w:t>
      </w:r>
      <w:r>
        <w:rPr>
          <w:color w:val="231F20"/>
          <w:spacing w:val="-13"/>
          <w:w w:val="115"/>
        </w:rPr>
        <w:t> </w:t>
      </w:r>
      <w:r>
        <w:rPr>
          <w:color w:val="231F20"/>
          <w:w w:val="115"/>
        </w:rPr>
        <w:t>primer</w:t>
      </w:r>
      <w:r>
        <w:rPr>
          <w:color w:val="231F20"/>
          <w:spacing w:val="-13"/>
          <w:w w:val="115"/>
        </w:rPr>
        <w:t> </w:t>
      </w:r>
      <w:r>
        <w:rPr>
          <w:color w:val="231F20"/>
          <w:w w:val="115"/>
        </w:rPr>
        <w:t>elemento</w:t>
      </w:r>
      <w:r>
        <w:rPr>
          <w:color w:val="231F20"/>
          <w:spacing w:val="-13"/>
          <w:w w:val="115"/>
        </w:rPr>
        <w:t> </w:t>
      </w:r>
      <w:r>
        <w:rPr>
          <w:color w:val="231F20"/>
          <w:w w:val="115"/>
        </w:rPr>
        <w:t>se relaciona</w:t>
      </w:r>
      <w:r>
        <w:rPr>
          <w:color w:val="231F20"/>
          <w:spacing w:val="-40"/>
          <w:w w:val="115"/>
        </w:rPr>
        <w:t> </w:t>
      </w:r>
      <w:r>
        <w:rPr>
          <w:color w:val="231F20"/>
          <w:w w:val="115"/>
        </w:rPr>
        <w:t>con</w:t>
      </w:r>
      <w:r>
        <w:rPr>
          <w:color w:val="231F20"/>
          <w:spacing w:val="-40"/>
          <w:w w:val="115"/>
        </w:rPr>
        <w:t> </w:t>
      </w:r>
      <w:r>
        <w:rPr>
          <w:color w:val="231F20"/>
          <w:w w:val="115"/>
        </w:rPr>
        <w:t>el</w:t>
      </w:r>
      <w:r>
        <w:rPr>
          <w:color w:val="231F20"/>
          <w:spacing w:val="-40"/>
          <w:w w:val="115"/>
        </w:rPr>
        <w:t> </w:t>
      </w:r>
      <w:r>
        <w:rPr>
          <w:color w:val="231F20"/>
          <w:w w:val="115"/>
        </w:rPr>
        <w:t>problema</w:t>
      </w:r>
      <w:r>
        <w:rPr>
          <w:color w:val="231F20"/>
          <w:spacing w:val="-40"/>
          <w:w w:val="115"/>
        </w:rPr>
        <w:t> </w:t>
      </w:r>
      <w:r>
        <w:rPr>
          <w:color w:val="231F20"/>
          <w:w w:val="115"/>
        </w:rPr>
        <w:t>de</w:t>
      </w:r>
      <w:r>
        <w:rPr>
          <w:color w:val="231F20"/>
          <w:spacing w:val="-40"/>
          <w:w w:val="115"/>
        </w:rPr>
        <w:t> </w:t>
      </w:r>
      <w:r>
        <w:rPr>
          <w:color w:val="231F20"/>
          <w:w w:val="115"/>
        </w:rPr>
        <w:t>seguridad</w:t>
      </w:r>
      <w:r>
        <w:rPr>
          <w:color w:val="231F20"/>
          <w:spacing w:val="-40"/>
          <w:w w:val="115"/>
        </w:rPr>
        <w:t> </w:t>
      </w:r>
      <w:r>
        <w:rPr>
          <w:color w:val="231F20"/>
          <w:w w:val="115"/>
        </w:rPr>
        <w:t>hemisférica,</w:t>
      </w:r>
      <w:r>
        <w:rPr>
          <w:color w:val="231F20"/>
          <w:spacing w:val="-40"/>
          <w:w w:val="115"/>
        </w:rPr>
        <w:t> </w:t>
      </w:r>
      <w:r>
        <w:rPr>
          <w:color w:val="231F20"/>
          <w:w w:val="115"/>
        </w:rPr>
        <w:t>planteada</w:t>
      </w:r>
      <w:r>
        <w:rPr>
          <w:color w:val="231F20"/>
          <w:spacing w:val="-40"/>
          <w:w w:val="115"/>
        </w:rPr>
        <w:t> </w:t>
      </w:r>
      <w:r>
        <w:rPr>
          <w:color w:val="231F20"/>
          <w:w w:val="115"/>
        </w:rPr>
        <w:t>desde hace</w:t>
      </w:r>
      <w:r>
        <w:rPr>
          <w:color w:val="231F20"/>
          <w:spacing w:val="-24"/>
          <w:w w:val="115"/>
        </w:rPr>
        <w:t> </w:t>
      </w:r>
      <w:r>
        <w:rPr>
          <w:color w:val="231F20"/>
          <w:w w:val="115"/>
        </w:rPr>
        <w:t>más</w:t>
      </w:r>
      <w:r>
        <w:rPr>
          <w:color w:val="231F20"/>
          <w:spacing w:val="-24"/>
          <w:w w:val="115"/>
        </w:rPr>
        <w:t> </w:t>
      </w:r>
      <w:r>
        <w:rPr>
          <w:color w:val="231F20"/>
          <w:w w:val="115"/>
        </w:rPr>
        <w:t>de</w:t>
      </w:r>
      <w:r>
        <w:rPr>
          <w:color w:val="231F20"/>
          <w:spacing w:val="-24"/>
          <w:w w:val="115"/>
        </w:rPr>
        <w:t> </w:t>
      </w:r>
      <w:r>
        <w:rPr>
          <w:color w:val="231F20"/>
          <w:w w:val="115"/>
        </w:rPr>
        <w:t>cincuenta</w:t>
      </w:r>
      <w:r>
        <w:rPr>
          <w:color w:val="231F20"/>
          <w:spacing w:val="-24"/>
          <w:w w:val="115"/>
        </w:rPr>
        <w:t> </w:t>
      </w:r>
      <w:r>
        <w:rPr>
          <w:color w:val="231F20"/>
          <w:w w:val="115"/>
        </w:rPr>
        <w:t>años</w:t>
      </w:r>
      <w:r>
        <w:rPr>
          <w:color w:val="231F20"/>
          <w:spacing w:val="-24"/>
          <w:w w:val="115"/>
        </w:rPr>
        <w:t> </w:t>
      </w:r>
      <w:r>
        <w:rPr>
          <w:color w:val="231F20"/>
          <w:w w:val="115"/>
        </w:rPr>
        <w:t>por</w:t>
      </w:r>
      <w:r>
        <w:rPr>
          <w:color w:val="231F20"/>
          <w:spacing w:val="-24"/>
          <w:w w:val="115"/>
        </w:rPr>
        <w:t> </w:t>
      </w:r>
      <w:r>
        <w:rPr>
          <w:color w:val="231F20"/>
          <w:w w:val="115"/>
        </w:rPr>
        <w:t>los</w:t>
      </w:r>
      <w:r>
        <w:rPr>
          <w:color w:val="231F20"/>
          <w:spacing w:val="-24"/>
          <w:w w:val="115"/>
        </w:rPr>
        <w:t> </w:t>
      </w:r>
      <w:r>
        <w:rPr>
          <w:color w:val="231F20"/>
          <w:w w:val="115"/>
        </w:rPr>
        <w:t>gobiernos</w:t>
      </w:r>
      <w:r>
        <w:rPr>
          <w:color w:val="231F20"/>
          <w:spacing w:val="-24"/>
          <w:w w:val="115"/>
        </w:rPr>
        <w:t> </w:t>
      </w:r>
      <w:r>
        <w:rPr>
          <w:color w:val="231F20"/>
          <w:w w:val="115"/>
        </w:rPr>
        <w:t>estadunidenses</w:t>
      </w:r>
      <w:r>
        <w:rPr>
          <w:color w:val="231F20"/>
          <w:spacing w:val="-24"/>
          <w:w w:val="115"/>
        </w:rPr>
        <w:t> </w:t>
      </w:r>
      <w:r>
        <w:rPr>
          <w:color w:val="231F20"/>
          <w:w w:val="115"/>
        </w:rPr>
        <w:t>indis-</w:t>
      </w:r>
      <w:r>
        <w:rPr>
          <w:color w:val="231F20"/>
          <w:w w:val="72"/>
        </w:rPr>
        <w:t> </w:t>
      </w:r>
      <w:r>
        <w:rPr>
          <w:color w:val="231F20"/>
          <w:w w:val="115"/>
        </w:rPr>
        <w:t>tintamente</w:t>
      </w:r>
      <w:r>
        <w:rPr>
          <w:color w:val="231F20"/>
          <w:spacing w:val="-32"/>
          <w:w w:val="115"/>
        </w:rPr>
        <w:t> </w:t>
      </w:r>
      <w:r>
        <w:rPr>
          <w:color w:val="231F20"/>
          <w:w w:val="110"/>
        </w:rPr>
        <w:t>y</w:t>
      </w:r>
      <w:r>
        <w:rPr>
          <w:color w:val="231F20"/>
          <w:spacing w:val="-30"/>
          <w:w w:val="110"/>
        </w:rPr>
        <w:t> </w:t>
      </w:r>
      <w:r>
        <w:rPr>
          <w:color w:val="231F20"/>
          <w:w w:val="115"/>
        </w:rPr>
        <w:t>que</w:t>
      </w:r>
      <w:r>
        <w:rPr>
          <w:color w:val="231F20"/>
          <w:spacing w:val="-32"/>
          <w:w w:val="115"/>
        </w:rPr>
        <w:t> </w:t>
      </w:r>
      <w:r>
        <w:rPr>
          <w:color w:val="231F20"/>
          <w:w w:val="115"/>
        </w:rPr>
        <w:t>se</w:t>
      </w:r>
      <w:r>
        <w:rPr>
          <w:color w:val="231F20"/>
          <w:spacing w:val="-32"/>
          <w:w w:val="115"/>
        </w:rPr>
        <w:t> </w:t>
      </w:r>
      <w:r>
        <w:rPr>
          <w:color w:val="231F20"/>
          <w:w w:val="115"/>
        </w:rPr>
        <w:t>han</w:t>
      </w:r>
      <w:r>
        <w:rPr>
          <w:color w:val="231F20"/>
          <w:spacing w:val="-32"/>
          <w:w w:val="115"/>
        </w:rPr>
        <w:t> </w:t>
      </w:r>
      <w:r>
        <w:rPr>
          <w:color w:val="231F20"/>
          <w:w w:val="115"/>
        </w:rPr>
        <w:t>expresado</w:t>
      </w:r>
      <w:r>
        <w:rPr>
          <w:color w:val="231F20"/>
          <w:spacing w:val="-32"/>
          <w:w w:val="115"/>
        </w:rPr>
        <w:t> </w:t>
      </w:r>
      <w:r>
        <w:rPr>
          <w:color w:val="231F20"/>
          <w:w w:val="115"/>
        </w:rPr>
        <w:t>en</w:t>
      </w:r>
      <w:r>
        <w:rPr>
          <w:color w:val="231F20"/>
          <w:spacing w:val="-32"/>
          <w:w w:val="115"/>
        </w:rPr>
        <w:t> </w:t>
      </w:r>
      <w:r>
        <w:rPr>
          <w:color w:val="231F20"/>
          <w:w w:val="115"/>
        </w:rPr>
        <w:t>planes</w:t>
      </w:r>
      <w:r>
        <w:rPr>
          <w:color w:val="231F20"/>
          <w:spacing w:val="-32"/>
          <w:w w:val="115"/>
        </w:rPr>
        <w:t> </w:t>
      </w:r>
      <w:r>
        <w:rPr>
          <w:color w:val="231F20"/>
          <w:w w:val="115"/>
        </w:rPr>
        <w:t>de</w:t>
      </w:r>
      <w:r>
        <w:rPr>
          <w:color w:val="231F20"/>
          <w:spacing w:val="-32"/>
          <w:w w:val="115"/>
        </w:rPr>
        <w:t> </w:t>
      </w:r>
      <w:r>
        <w:rPr>
          <w:color w:val="231F20"/>
          <w:w w:val="115"/>
        </w:rPr>
        <w:t>intervención</w:t>
      </w:r>
      <w:r>
        <w:rPr>
          <w:color w:val="231F20"/>
          <w:spacing w:val="-32"/>
          <w:w w:val="115"/>
        </w:rPr>
        <w:t> </w:t>
      </w:r>
      <w:r>
        <w:rPr>
          <w:color w:val="231F20"/>
          <w:w w:val="115"/>
        </w:rPr>
        <w:t>como</w:t>
      </w:r>
      <w:r>
        <w:rPr>
          <w:color w:val="231F20"/>
          <w:spacing w:val="-32"/>
          <w:w w:val="115"/>
        </w:rPr>
        <w:t> </w:t>
      </w:r>
      <w:r>
        <w:rPr>
          <w:color w:val="231F20"/>
          <w:w w:val="115"/>
        </w:rPr>
        <w:t>el Plan</w:t>
      </w:r>
      <w:r>
        <w:rPr>
          <w:color w:val="231F20"/>
          <w:spacing w:val="-21"/>
          <w:w w:val="115"/>
        </w:rPr>
        <w:t> </w:t>
      </w:r>
      <w:r>
        <w:rPr>
          <w:color w:val="231F20"/>
          <w:w w:val="115"/>
        </w:rPr>
        <w:t>Cóndor</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Cono</w:t>
      </w:r>
      <w:r>
        <w:rPr>
          <w:color w:val="231F20"/>
          <w:spacing w:val="-21"/>
          <w:w w:val="115"/>
        </w:rPr>
        <w:t> </w:t>
      </w:r>
      <w:r>
        <w:rPr>
          <w:color w:val="231F20"/>
          <w:w w:val="115"/>
        </w:rPr>
        <w:t>Sur</w:t>
      </w:r>
      <w:r>
        <w:rPr>
          <w:color w:val="231F20"/>
          <w:spacing w:val="-21"/>
          <w:w w:val="115"/>
        </w:rPr>
        <w:t> </w:t>
      </w:r>
      <w:r>
        <w:rPr>
          <w:color w:val="231F20"/>
          <w:w w:val="115"/>
        </w:rPr>
        <w:t>(1970),</w:t>
      </w:r>
      <w:r>
        <w:rPr>
          <w:color w:val="231F20"/>
          <w:spacing w:val="-21"/>
          <w:w w:val="115"/>
        </w:rPr>
        <w:t> </w:t>
      </w:r>
      <w:r>
        <w:rPr>
          <w:color w:val="231F20"/>
          <w:w w:val="115"/>
        </w:rPr>
        <w:t>las</w:t>
      </w:r>
      <w:r>
        <w:rPr>
          <w:color w:val="231F20"/>
          <w:spacing w:val="-21"/>
          <w:w w:val="115"/>
        </w:rPr>
        <w:t> </w:t>
      </w:r>
      <w:r>
        <w:rPr>
          <w:color w:val="231F20"/>
          <w:w w:val="115"/>
        </w:rPr>
        <w:t>estrategias</w:t>
      </w:r>
      <w:r>
        <w:rPr>
          <w:color w:val="231F20"/>
          <w:spacing w:val="-21"/>
          <w:w w:val="115"/>
        </w:rPr>
        <w:t> </w:t>
      </w:r>
      <w:r>
        <w:rPr>
          <w:color w:val="231F20"/>
          <w:w w:val="115"/>
        </w:rPr>
        <w:t>de</w:t>
      </w:r>
      <w:r>
        <w:rPr>
          <w:color w:val="231F20"/>
          <w:spacing w:val="-21"/>
          <w:w w:val="115"/>
        </w:rPr>
        <w:t> </w:t>
      </w:r>
      <w:r>
        <w:rPr>
          <w:color w:val="231F20"/>
          <w:w w:val="115"/>
        </w:rPr>
        <w:t>“lucha</w:t>
      </w:r>
      <w:r>
        <w:rPr>
          <w:color w:val="231F20"/>
          <w:spacing w:val="-21"/>
          <w:w w:val="115"/>
        </w:rPr>
        <w:t> </w:t>
      </w:r>
      <w:r>
        <w:rPr>
          <w:color w:val="231F20"/>
          <w:w w:val="115"/>
        </w:rPr>
        <w:t>contra el narcotráfico” (Plan Colombia en 1998, Plan Patriota en 2002 </w:t>
      </w:r>
      <w:r>
        <w:rPr>
          <w:color w:val="231F20"/>
          <w:w w:val="110"/>
        </w:rPr>
        <w:t>y </w:t>
      </w:r>
      <w:r>
        <w:rPr>
          <w:color w:val="231F20"/>
          <w:w w:val="115"/>
        </w:rPr>
        <w:t>Plan</w:t>
      </w:r>
      <w:r>
        <w:rPr>
          <w:color w:val="231F20"/>
          <w:spacing w:val="-18"/>
          <w:w w:val="115"/>
        </w:rPr>
        <w:t> </w:t>
      </w:r>
      <w:r>
        <w:rPr>
          <w:color w:val="231F20"/>
          <w:w w:val="115"/>
        </w:rPr>
        <w:t>consolidación</w:t>
      </w:r>
      <w:r>
        <w:rPr>
          <w:color w:val="231F20"/>
          <w:spacing w:val="-18"/>
          <w:w w:val="115"/>
        </w:rPr>
        <w:t> </w:t>
      </w:r>
      <w:r>
        <w:rPr>
          <w:color w:val="231F20"/>
          <w:w w:val="115"/>
        </w:rPr>
        <w:t>en</w:t>
      </w:r>
      <w:r>
        <w:rPr>
          <w:color w:val="231F20"/>
          <w:spacing w:val="-18"/>
          <w:w w:val="115"/>
        </w:rPr>
        <w:t> </w:t>
      </w:r>
      <w:r>
        <w:rPr>
          <w:color w:val="231F20"/>
          <w:w w:val="115"/>
        </w:rPr>
        <w:t>2006).</w:t>
      </w:r>
      <w:r>
        <w:rPr>
          <w:color w:val="231F20"/>
          <w:spacing w:val="-18"/>
          <w:w w:val="115"/>
        </w:rPr>
        <w:t> </w:t>
      </w:r>
      <w:r>
        <w:rPr>
          <w:color w:val="231F20"/>
          <w:w w:val="115"/>
        </w:rPr>
        <w:t>El</w:t>
      </w:r>
      <w:r>
        <w:rPr>
          <w:color w:val="231F20"/>
          <w:spacing w:val="-18"/>
          <w:w w:val="115"/>
        </w:rPr>
        <w:t> </w:t>
      </w:r>
      <w:r>
        <w:rPr>
          <w:color w:val="231F20"/>
          <w:w w:val="115"/>
        </w:rPr>
        <w:t>segundo</w:t>
      </w:r>
      <w:r>
        <w:rPr>
          <w:color w:val="231F20"/>
          <w:spacing w:val="-18"/>
          <w:w w:val="115"/>
        </w:rPr>
        <w:t> </w:t>
      </w:r>
      <w:r>
        <w:rPr>
          <w:color w:val="231F20"/>
          <w:w w:val="115"/>
        </w:rPr>
        <w:t>aspecto</w:t>
      </w:r>
      <w:r>
        <w:rPr>
          <w:color w:val="231F20"/>
          <w:spacing w:val="-18"/>
          <w:w w:val="115"/>
        </w:rPr>
        <w:t> </w:t>
      </w:r>
      <w:r>
        <w:rPr>
          <w:color w:val="231F20"/>
          <w:w w:val="115"/>
        </w:rPr>
        <w:t>corresponde</w:t>
      </w:r>
      <w:r>
        <w:rPr>
          <w:color w:val="231F20"/>
          <w:spacing w:val="-18"/>
          <w:w w:val="115"/>
        </w:rPr>
        <w:t> </w:t>
      </w:r>
      <w:r>
        <w:rPr>
          <w:color w:val="231F20"/>
          <w:w w:val="115"/>
        </w:rPr>
        <w:t>a</w:t>
      </w:r>
      <w:r>
        <w:rPr>
          <w:color w:val="231F20"/>
          <w:spacing w:val="-18"/>
          <w:w w:val="115"/>
        </w:rPr>
        <w:t> </w:t>
      </w:r>
      <w:r>
        <w:rPr>
          <w:color w:val="231F20"/>
          <w:w w:val="115"/>
        </w:rPr>
        <w:t>las orientaciones</w:t>
      </w:r>
      <w:r>
        <w:rPr>
          <w:color w:val="231F20"/>
          <w:spacing w:val="-16"/>
          <w:w w:val="115"/>
        </w:rPr>
        <w:t> </w:t>
      </w:r>
      <w:r>
        <w:rPr>
          <w:color w:val="231F20"/>
          <w:w w:val="115"/>
        </w:rPr>
        <w:t>en</w:t>
      </w:r>
      <w:r>
        <w:rPr>
          <w:color w:val="231F20"/>
          <w:spacing w:val="-16"/>
          <w:w w:val="115"/>
        </w:rPr>
        <w:t> </w:t>
      </w:r>
      <w:r>
        <w:rPr>
          <w:color w:val="231F20"/>
          <w:w w:val="115"/>
        </w:rPr>
        <w:t>materia</w:t>
      </w:r>
      <w:r>
        <w:rPr>
          <w:color w:val="231F20"/>
          <w:spacing w:val="-16"/>
          <w:w w:val="115"/>
        </w:rPr>
        <w:t> </w:t>
      </w:r>
      <w:r>
        <w:rPr>
          <w:color w:val="231F20"/>
          <w:w w:val="115"/>
        </w:rPr>
        <w:t>de</w:t>
      </w:r>
      <w:r>
        <w:rPr>
          <w:color w:val="231F20"/>
          <w:spacing w:val="-16"/>
          <w:w w:val="115"/>
        </w:rPr>
        <w:t> </w:t>
      </w:r>
      <w:r>
        <w:rPr>
          <w:color w:val="231F20"/>
          <w:w w:val="115"/>
        </w:rPr>
        <w:t>libre</w:t>
      </w:r>
      <w:r>
        <w:rPr>
          <w:color w:val="231F20"/>
          <w:spacing w:val="-16"/>
          <w:w w:val="115"/>
        </w:rPr>
        <w:t> </w:t>
      </w:r>
      <w:r>
        <w:rPr>
          <w:color w:val="231F20"/>
          <w:w w:val="115"/>
        </w:rPr>
        <w:t>comercio</w:t>
      </w:r>
      <w:r>
        <w:rPr>
          <w:color w:val="231F20"/>
          <w:spacing w:val="-16"/>
          <w:w w:val="115"/>
        </w:rPr>
        <w:t> </w:t>
      </w:r>
      <w:r>
        <w:rPr>
          <w:color w:val="231F20"/>
          <w:w w:val="110"/>
        </w:rPr>
        <w:t>y</w:t>
      </w:r>
      <w:r>
        <w:rPr>
          <w:color w:val="231F20"/>
          <w:spacing w:val="-14"/>
          <w:w w:val="110"/>
        </w:rPr>
        <w:t> </w:t>
      </w:r>
      <w:r>
        <w:rPr>
          <w:color w:val="231F20"/>
          <w:w w:val="115"/>
        </w:rPr>
        <w:t>desarrollo</w:t>
      </w:r>
      <w:r>
        <w:rPr>
          <w:color w:val="231F20"/>
          <w:spacing w:val="-16"/>
          <w:w w:val="115"/>
        </w:rPr>
        <w:t> </w:t>
      </w:r>
      <w:r>
        <w:rPr>
          <w:color w:val="231F20"/>
          <w:w w:val="115"/>
        </w:rPr>
        <w:t>económico</w:t>
      </w:r>
      <w:r>
        <w:rPr>
          <w:color w:val="231F20"/>
          <w:w w:val="110"/>
        </w:rPr>
        <w:t> </w:t>
      </w:r>
      <w:r>
        <w:rPr>
          <w:color w:val="231F20"/>
          <w:w w:val="115"/>
        </w:rPr>
        <w:t>que</w:t>
      </w:r>
      <w:r>
        <w:rPr>
          <w:color w:val="231F20"/>
          <w:spacing w:val="-42"/>
          <w:w w:val="115"/>
        </w:rPr>
        <w:t> </w:t>
      </w:r>
      <w:r>
        <w:rPr>
          <w:color w:val="231F20"/>
          <w:w w:val="115"/>
        </w:rPr>
        <w:t>diferencian,</w:t>
      </w:r>
      <w:r>
        <w:rPr>
          <w:color w:val="231F20"/>
          <w:spacing w:val="-42"/>
          <w:w w:val="115"/>
        </w:rPr>
        <w:t> </w:t>
      </w:r>
      <w:r>
        <w:rPr>
          <w:color w:val="231F20"/>
          <w:w w:val="115"/>
        </w:rPr>
        <w:t>solo</w:t>
      </w:r>
      <w:r>
        <w:rPr>
          <w:color w:val="231F20"/>
          <w:spacing w:val="-42"/>
          <w:w w:val="115"/>
        </w:rPr>
        <w:t> </w:t>
      </w:r>
      <w:r>
        <w:rPr>
          <w:color w:val="231F20"/>
          <w:w w:val="115"/>
        </w:rPr>
        <w:t>en</w:t>
      </w:r>
      <w:r>
        <w:rPr>
          <w:color w:val="231F20"/>
          <w:spacing w:val="-42"/>
          <w:w w:val="115"/>
        </w:rPr>
        <w:t> </w:t>
      </w:r>
      <w:r>
        <w:rPr>
          <w:color w:val="231F20"/>
          <w:w w:val="115"/>
        </w:rPr>
        <w:t>la</w:t>
      </w:r>
      <w:r>
        <w:rPr>
          <w:color w:val="231F20"/>
          <w:spacing w:val="-42"/>
          <w:w w:val="115"/>
        </w:rPr>
        <w:t> </w:t>
      </w:r>
      <w:r>
        <w:rPr>
          <w:color w:val="231F20"/>
          <w:w w:val="115"/>
        </w:rPr>
        <w:t>coyuntura</w:t>
      </w:r>
      <w:r>
        <w:rPr>
          <w:color w:val="231F20"/>
          <w:spacing w:val="-42"/>
          <w:w w:val="115"/>
        </w:rPr>
        <w:t> </w:t>
      </w:r>
      <w:r>
        <w:rPr>
          <w:color w:val="231F20"/>
          <w:w w:val="115"/>
        </w:rPr>
        <w:t>electoral,</w:t>
      </w:r>
      <w:r>
        <w:rPr>
          <w:color w:val="231F20"/>
          <w:spacing w:val="-42"/>
          <w:w w:val="115"/>
        </w:rPr>
        <w:t> </w:t>
      </w:r>
      <w:r>
        <w:rPr>
          <w:color w:val="231F20"/>
          <w:w w:val="115"/>
        </w:rPr>
        <w:t>las</w:t>
      </w:r>
      <w:r>
        <w:rPr>
          <w:color w:val="231F20"/>
          <w:spacing w:val="-42"/>
          <w:w w:val="115"/>
        </w:rPr>
        <w:t> </w:t>
      </w:r>
      <w:r>
        <w:rPr>
          <w:color w:val="231F20"/>
          <w:w w:val="115"/>
        </w:rPr>
        <w:t>posiciones</w:t>
      </w:r>
      <w:r>
        <w:rPr>
          <w:color w:val="231F20"/>
          <w:spacing w:val="-42"/>
          <w:w w:val="115"/>
        </w:rPr>
        <w:t> </w:t>
      </w:r>
      <w:r>
        <w:rPr>
          <w:color w:val="231F20"/>
          <w:w w:val="115"/>
        </w:rPr>
        <w:t>de</w:t>
      </w:r>
      <w:r>
        <w:rPr>
          <w:color w:val="231F20"/>
          <w:spacing w:val="-42"/>
          <w:w w:val="115"/>
        </w:rPr>
        <w:t> </w:t>
      </w:r>
      <w:r>
        <w:rPr>
          <w:color w:val="231F20"/>
          <w:w w:val="115"/>
        </w:rPr>
        <w:t>unos</w:t>
      </w:r>
      <w:r>
        <w:rPr>
          <w:color w:val="231F20"/>
          <w:w w:val="111"/>
        </w:rPr>
        <w:t> </w:t>
      </w:r>
      <w:r>
        <w:rPr>
          <w:color w:val="231F20"/>
          <w:w w:val="110"/>
        </w:rPr>
        <w:t>y</w:t>
      </w:r>
      <w:r>
        <w:rPr>
          <w:color w:val="231F20"/>
          <w:spacing w:val="-22"/>
          <w:w w:val="110"/>
        </w:rPr>
        <w:t> </w:t>
      </w:r>
      <w:r>
        <w:rPr>
          <w:color w:val="231F20"/>
          <w:w w:val="115"/>
        </w:rPr>
        <w:t>otros,</w:t>
      </w:r>
      <w:r>
        <w:rPr>
          <w:color w:val="231F20"/>
          <w:spacing w:val="-24"/>
          <w:w w:val="115"/>
        </w:rPr>
        <w:t> </w:t>
      </w:r>
      <w:r>
        <w:rPr>
          <w:color w:val="231F20"/>
          <w:w w:val="115"/>
        </w:rPr>
        <w:t>pero</w:t>
      </w:r>
      <w:r>
        <w:rPr>
          <w:color w:val="231F20"/>
          <w:spacing w:val="-24"/>
          <w:w w:val="115"/>
        </w:rPr>
        <w:t> </w:t>
      </w:r>
      <w:r>
        <w:rPr>
          <w:color w:val="231F20"/>
          <w:w w:val="115"/>
        </w:rPr>
        <w:t>que</w:t>
      </w:r>
      <w:r>
        <w:rPr>
          <w:color w:val="231F20"/>
          <w:spacing w:val="-24"/>
          <w:w w:val="115"/>
        </w:rPr>
        <w:t> </w:t>
      </w:r>
      <w:r>
        <w:rPr>
          <w:color w:val="231F20"/>
          <w:w w:val="115"/>
        </w:rPr>
        <w:t>convergen</w:t>
      </w:r>
      <w:r>
        <w:rPr>
          <w:color w:val="231F20"/>
          <w:spacing w:val="-24"/>
          <w:w w:val="115"/>
        </w:rPr>
        <w:t> </w:t>
      </w:r>
      <w:r>
        <w:rPr>
          <w:color w:val="231F20"/>
          <w:w w:val="115"/>
        </w:rPr>
        <w:t>en</w:t>
      </w:r>
      <w:r>
        <w:rPr>
          <w:color w:val="231F20"/>
          <w:spacing w:val="-24"/>
          <w:w w:val="115"/>
        </w:rPr>
        <w:t> </w:t>
      </w:r>
      <w:r>
        <w:rPr>
          <w:color w:val="231F20"/>
          <w:w w:val="115"/>
        </w:rPr>
        <w:t>la</w:t>
      </w:r>
      <w:r>
        <w:rPr>
          <w:color w:val="231F20"/>
          <w:spacing w:val="-24"/>
          <w:w w:val="115"/>
        </w:rPr>
        <w:t> </w:t>
      </w:r>
      <w:r>
        <w:rPr>
          <w:color w:val="231F20"/>
          <w:w w:val="115"/>
        </w:rPr>
        <w:t>defensa</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pactos</w:t>
      </w:r>
      <w:r>
        <w:rPr>
          <w:color w:val="231F20"/>
          <w:spacing w:val="-24"/>
          <w:w w:val="115"/>
        </w:rPr>
        <w:t> </w:t>
      </w:r>
      <w:r>
        <w:rPr>
          <w:color w:val="231F20"/>
          <w:w w:val="115"/>
        </w:rPr>
        <w:t>de</w:t>
      </w:r>
      <w:r>
        <w:rPr>
          <w:color w:val="231F20"/>
          <w:spacing w:val="-24"/>
          <w:w w:val="115"/>
        </w:rPr>
        <w:t> </w:t>
      </w:r>
      <w:r>
        <w:rPr>
          <w:color w:val="231F20"/>
          <w:w w:val="115"/>
        </w:rPr>
        <w:t>regionali-</w:t>
      </w:r>
      <w:r>
        <w:rPr>
          <w:color w:val="231F20"/>
          <w:w w:val="72"/>
        </w:rPr>
        <w:t> </w:t>
      </w:r>
      <w:r>
        <w:rPr>
          <w:color w:val="231F20"/>
          <w:w w:val="115"/>
        </w:rPr>
        <w:t>zación hemisférica como el alca, el nafta </w:t>
      </w:r>
      <w:r>
        <w:rPr>
          <w:color w:val="231F20"/>
          <w:w w:val="110"/>
        </w:rPr>
        <w:t>y </w:t>
      </w:r>
      <w:r>
        <w:rPr>
          <w:color w:val="231F20"/>
          <w:w w:val="115"/>
        </w:rPr>
        <w:t>los </w:t>
      </w:r>
      <w:r>
        <w:rPr>
          <w:color w:val="231F20"/>
          <w:spacing w:val="23"/>
          <w:w w:val="115"/>
        </w:rPr>
        <w:t> </w:t>
      </w:r>
      <w:r>
        <w:rPr>
          <w:color w:val="231F20"/>
          <w:w w:val="120"/>
        </w:rPr>
        <w:t>tlc.</w:t>
      </w:r>
    </w:p>
    <w:p>
      <w:pPr>
        <w:pStyle w:val="BodyText"/>
        <w:spacing w:line="261" w:lineRule="auto"/>
        <w:ind w:left="100" w:right="117" w:firstLine="240"/>
        <w:jc w:val="both"/>
      </w:pPr>
      <w:r>
        <w:rPr>
          <w:color w:val="231F20"/>
          <w:w w:val="110"/>
        </w:rPr>
        <w:t>Para mostrar la permanencia en el tiempo de estos dos elementos centrales de la agenda exterior estadunidense para América Latina y</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sus</w:t>
      </w:r>
      <w:r>
        <w:rPr>
          <w:color w:val="231F20"/>
          <w:spacing w:val="-15"/>
          <w:w w:val="110"/>
        </w:rPr>
        <w:t> </w:t>
      </w:r>
      <w:r>
        <w:rPr>
          <w:color w:val="231F20"/>
          <w:w w:val="110"/>
        </w:rPr>
        <w:t>mecanismos</w:t>
      </w:r>
      <w:r>
        <w:rPr>
          <w:color w:val="231F20"/>
          <w:spacing w:val="-15"/>
          <w:w w:val="110"/>
        </w:rPr>
        <w:t> </w:t>
      </w:r>
      <w:r>
        <w:rPr>
          <w:color w:val="231F20"/>
          <w:w w:val="110"/>
        </w:rPr>
        <w:t>de</w:t>
      </w:r>
      <w:r>
        <w:rPr>
          <w:color w:val="231F20"/>
          <w:spacing w:val="-15"/>
          <w:w w:val="110"/>
        </w:rPr>
        <w:t> </w:t>
      </w:r>
      <w:r>
        <w:rPr>
          <w:color w:val="231F20"/>
          <w:w w:val="110"/>
        </w:rPr>
        <w:t>intervención,</w:t>
      </w:r>
      <w:r>
        <w:rPr>
          <w:color w:val="231F20"/>
          <w:spacing w:val="-15"/>
          <w:w w:val="110"/>
        </w:rPr>
        <w:t> </w:t>
      </w:r>
      <w:r>
        <w:rPr>
          <w:color w:val="231F20"/>
          <w:w w:val="110"/>
        </w:rPr>
        <w:t>proponemos</w:t>
      </w:r>
      <w:r>
        <w:rPr>
          <w:color w:val="231F20"/>
          <w:spacing w:val="-15"/>
          <w:w w:val="110"/>
        </w:rPr>
        <w:t> </w:t>
      </w:r>
      <w:r>
        <w:rPr>
          <w:color w:val="231F20"/>
          <w:w w:val="110"/>
        </w:rPr>
        <w:t>desarrollar</w:t>
      </w:r>
      <w:r>
        <w:rPr>
          <w:color w:val="231F20"/>
          <w:spacing w:val="-15"/>
          <w:w w:val="110"/>
        </w:rPr>
        <w:t> </w:t>
      </w:r>
      <w:r>
        <w:rPr>
          <w:color w:val="231F20"/>
          <w:w w:val="110"/>
        </w:rPr>
        <w:t>este</w:t>
      </w:r>
      <w:r>
        <w:rPr>
          <w:color w:val="231F20"/>
          <w:spacing w:val="-15"/>
          <w:w w:val="110"/>
        </w:rPr>
        <w:t> </w:t>
      </w:r>
      <w:r>
        <w:rPr>
          <w:color w:val="231F20"/>
          <w:w w:val="110"/>
        </w:rPr>
        <w:t>ensayo en tres partes: la primera, aborda el proyecto de la clase dirigente de Estados Unidos y la permanencia de la ideología conservadora en la política</w:t>
      </w:r>
      <w:r>
        <w:rPr>
          <w:color w:val="231F20"/>
          <w:spacing w:val="-6"/>
          <w:w w:val="110"/>
        </w:rPr>
        <w:t> </w:t>
      </w:r>
      <w:r>
        <w:rPr>
          <w:color w:val="231F20"/>
          <w:w w:val="110"/>
        </w:rPr>
        <w:t>exterior,</w:t>
      </w:r>
      <w:r>
        <w:rPr>
          <w:color w:val="231F20"/>
          <w:spacing w:val="-6"/>
          <w:w w:val="110"/>
        </w:rPr>
        <w:t> </w:t>
      </w:r>
      <w:r>
        <w:rPr>
          <w:color w:val="231F20"/>
          <w:w w:val="110"/>
        </w:rPr>
        <w:t>desde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posguerra</w:t>
      </w:r>
      <w:r>
        <w:rPr>
          <w:color w:val="231F20"/>
          <w:spacing w:val="-6"/>
          <w:w w:val="110"/>
        </w:rPr>
        <w:t> </w:t>
      </w:r>
      <w:r>
        <w:rPr>
          <w:color w:val="231F20"/>
          <w:w w:val="110"/>
        </w:rPr>
        <w:t>hasta</w:t>
      </w:r>
      <w:r>
        <w:rPr>
          <w:color w:val="231F20"/>
          <w:spacing w:val="-6"/>
          <w:w w:val="110"/>
        </w:rPr>
        <w:t> </w:t>
      </w:r>
      <w:r>
        <w:rPr>
          <w:color w:val="231F20"/>
          <w:spacing w:val="-4"/>
          <w:w w:val="110"/>
        </w:rPr>
        <w:t>hoy.</w:t>
      </w:r>
      <w:r>
        <w:rPr>
          <w:color w:val="231F20"/>
          <w:spacing w:val="-6"/>
          <w:w w:val="110"/>
        </w:rPr>
        <w:t> </w:t>
      </w:r>
      <w:r>
        <w:rPr>
          <w:color w:val="231F20"/>
          <w:w w:val="110"/>
        </w:rPr>
        <w:t>En</w:t>
      </w:r>
      <w:r>
        <w:rPr>
          <w:color w:val="231F20"/>
          <w:spacing w:val="-6"/>
          <w:w w:val="110"/>
        </w:rPr>
        <w:t> </w:t>
      </w:r>
      <w:r>
        <w:rPr>
          <w:color w:val="231F20"/>
          <w:w w:val="110"/>
        </w:rPr>
        <w:t>segun- do lugar mostraremos cómo dos componentes fundamentales de la política exterior hacia América Latina: libre comercio y seguridad, se conjugan a lo largo de los gobiernos republicanos y demócratas durante los años noventa y el primer decenio del siglo xxi para consolidar su proyecto de dominación económica, política y </w:t>
      </w:r>
      <w:r>
        <w:rPr>
          <w:color w:val="231F20"/>
          <w:spacing w:val="-3"/>
          <w:w w:val="110"/>
        </w:rPr>
        <w:t>militar. </w:t>
      </w:r>
      <w:r>
        <w:rPr>
          <w:color w:val="231F20"/>
          <w:w w:val="110"/>
        </w:rPr>
        <w:t>En tercer lugar señalaremos cómo durante la transición</w:t>
      </w:r>
      <w:r>
        <w:rPr>
          <w:color w:val="231F20"/>
          <w:spacing w:val="-12"/>
          <w:w w:val="110"/>
        </w:rPr>
        <w:t> </w:t>
      </w:r>
      <w:r>
        <w:rPr>
          <w:color w:val="231F20"/>
          <w:w w:val="110"/>
        </w:rPr>
        <w:t>republicano- demócrata en 2006-2008, ambos partidos en confrontación durante la campaña electoral, comparten la lucha para recuperar la posición hegemónica de Estados Unidos en el continente, fortaleciendo sus vínculos con Colombia a partir de estrategias combinadas de segu- ridad y comercio, para contener la avanzada de los denominados gobiernos progresistas en América</w:t>
      </w:r>
      <w:r>
        <w:rPr>
          <w:color w:val="231F20"/>
          <w:spacing w:val="-13"/>
          <w:w w:val="110"/>
        </w:rPr>
        <w:t> </w:t>
      </w:r>
      <w:r>
        <w:rPr>
          <w:color w:val="231F20"/>
          <w:w w:val="110"/>
        </w:rPr>
        <w:t>Latina.</w:t>
      </w:r>
    </w:p>
    <w:p>
      <w:pPr>
        <w:pStyle w:val="BodyText"/>
      </w:pPr>
    </w:p>
    <w:p>
      <w:pPr>
        <w:pStyle w:val="BodyText"/>
      </w:pPr>
    </w:p>
    <w:p>
      <w:pPr>
        <w:pStyle w:val="BodyText"/>
        <w:spacing w:before="2"/>
        <w:rPr>
          <w:sz w:val="25"/>
        </w:rPr>
      </w:pPr>
    </w:p>
    <w:p>
      <w:pPr>
        <w:pStyle w:val="BodyText"/>
        <w:spacing w:line="261" w:lineRule="auto"/>
        <w:ind w:left="100" w:right="2128"/>
      </w:pPr>
      <w:r>
        <w:rPr>
          <w:color w:val="231F20"/>
          <w:w w:val="130"/>
        </w:rPr>
        <w:t>el sistema doctrinario estadunidense. la agenda de la libertad y la seguridad</w:t>
      </w:r>
    </w:p>
    <w:p>
      <w:pPr>
        <w:pStyle w:val="BodyText"/>
        <w:spacing w:before="8"/>
        <w:rPr>
          <w:sz w:val="21"/>
        </w:rPr>
      </w:pPr>
    </w:p>
    <w:p>
      <w:pPr>
        <w:pStyle w:val="BodyText"/>
        <w:spacing w:line="261" w:lineRule="auto"/>
        <w:ind w:left="100" w:right="119"/>
        <w:jc w:val="both"/>
      </w:pPr>
      <w:r>
        <w:rPr>
          <w:color w:val="231F20"/>
          <w:w w:val="110"/>
        </w:rPr>
        <w:t>Cuando</w:t>
      </w:r>
      <w:r>
        <w:rPr>
          <w:color w:val="231F20"/>
          <w:spacing w:val="-19"/>
          <w:w w:val="110"/>
        </w:rPr>
        <w:t> </w:t>
      </w:r>
      <w:r>
        <w:rPr>
          <w:color w:val="231F20"/>
          <w:w w:val="110"/>
        </w:rPr>
        <w:t>hablamos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transición</w:t>
      </w:r>
      <w:r>
        <w:rPr>
          <w:color w:val="231F20"/>
          <w:spacing w:val="-19"/>
          <w:w w:val="110"/>
        </w:rPr>
        <w:t> </w:t>
      </w:r>
      <w:r>
        <w:rPr>
          <w:color w:val="231F20"/>
          <w:w w:val="110"/>
        </w:rPr>
        <w:t>republicana-demócrata</w:t>
      </w:r>
      <w:r>
        <w:rPr>
          <w:color w:val="231F20"/>
          <w:spacing w:val="-19"/>
          <w:w w:val="110"/>
        </w:rPr>
        <w:t> </w:t>
      </w:r>
      <w:r>
        <w:rPr>
          <w:color w:val="231F20"/>
          <w:w w:val="110"/>
        </w:rPr>
        <w:t>que</w:t>
      </w:r>
      <w:r>
        <w:rPr>
          <w:color w:val="231F20"/>
          <w:spacing w:val="-19"/>
          <w:w w:val="110"/>
        </w:rPr>
        <w:t> </w:t>
      </w:r>
      <w:r>
        <w:rPr>
          <w:color w:val="231F20"/>
          <w:w w:val="110"/>
        </w:rPr>
        <w:t>ha</w:t>
      </w:r>
      <w:r>
        <w:rPr>
          <w:color w:val="231F20"/>
          <w:spacing w:val="-19"/>
          <w:w w:val="110"/>
        </w:rPr>
        <w:t> </w:t>
      </w:r>
      <w:r>
        <w:rPr>
          <w:color w:val="231F20"/>
          <w:w w:val="110"/>
        </w:rPr>
        <w:t>teni-</w:t>
      </w:r>
      <w:r>
        <w:rPr>
          <w:color w:val="231F20"/>
          <w:w w:val="72"/>
        </w:rPr>
        <w:t> </w:t>
      </w:r>
      <w:r>
        <w:rPr>
          <w:color w:val="231F20"/>
          <w:w w:val="110"/>
        </w:rPr>
        <w:t>do</w:t>
      </w:r>
      <w:r>
        <w:rPr>
          <w:color w:val="231F20"/>
          <w:spacing w:val="-19"/>
          <w:w w:val="110"/>
        </w:rPr>
        <w:t> </w:t>
      </w:r>
      <w:r>
        <w:rPr>
          <w:color w:val="231F20"/>
          <w:w w:val="110"/>
        </w:rPr>
        <w:t>lugar</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congreso</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presidencia</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entre</w:t>
      </w:r>
      <w:r>
        <w:rPr>
          <w:color w:val="231F20"/>
          <w:spacing w:val="-19"/>
          <w:w w:val="110"/>
        </w:rPr>
        <w:t> </w:t>
      </w:r>
      <w:r>
        <w:rPr>
          <w:color w:val="231F20"/>
          <w:w w:val="110"/>
        </w:rPr>
        <w:t>2006 y 2010, nos referimos a la conjugación de paradigmas,</w:t>
      </w:r>
      <w:r>
        <w:rPr>
          <w:color w:val="231F20"/>
          <w:spacing w:val="45"/>
          <w:w w:val="110"/>
        </w:rPr>
        <w:t> </w:t>
      </w:r>
      <w:r>
        <w:rPr>
          <w:color w:val="231F20"/>
          <w:w w:val="110"/>
        </w:rPr>
        <w:t>estrategias</w:t>
      </w:r>
      <w:r>
        <w:rPr>
          <w:color w:val="231F20"/>
          <w:spacing w:val="5"/>
          <w:w w:val="110"/>
        </w:rPr>
        <w:t> </w:t>
      </w:r>
      <w:r>
        <w:rPr>
          <w:color w:val="231F20"/>
          <w:w w:val="110"/>
        </w:rPr>
        <w:t>y</w:t>
      </w:r>
      <w:r>
        <w:rPr>
          <w:color w:val="231F20"/>
          <w:w w:val="84"/>
        </w:rPr>
        <w:t> </w:t>
      </w:r>
      <w:r>
        <w:rPr>
          <w:color w:val="231F20"/>
          <w:w w:val="110"/>
        </w:rPr>
        <w:t>mecanismos</w:t>
      </w:r>
      <w:r>
        <w:rPr>
          <w:color w:val="231F20"/>
          <w:spacing w:val="-17"/>
          <w:w w:val="110"/>
        </w:rPr>
        <w:t> </w:t>
      </w:r>
      <w:r>
        <w:rPr>
          <w:color w:val="231F20"/>
          <w:w w:val="110"/>
        </w:rPr>
        <w:t>de</w:t>
      </w:r>
      <w:r>
        <w:rPr>
          <w:color w:val="231F20"/>
          <w:spacing w:val="-17"/>
          <w:w w:val="110"/>
        </w:rPr>
        <w:t> </w:t>
      </w:r>
      <w:r>
        <w:rPr>
          <w:color w:val="231F20"/>
          <w:w w:val="110"/>
        </w:rPr>
        <w:t>implementación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política</w:t>
      </w:r>
      <w:r>
        <w:rPr>
          <w:color w:val="231F20"/>
          <w:spacing w:val="-17"/>
          <w:w w:val="110"/>
        </w:rPr>
        <w:t> </w:t>
      </w:r>
      <w:r>
        <w:rPr>
          <w:color w:val="231F20"/>
          <w:w w:val="110"/>
        </w:rPr>
        <w:t>exterior</w:t>
      </w:r>
      <w:r>
        <w:rPr>
          <w:color w:val="231F20"/>
          <w:spacing w:val="-17"/>
          <w:w w:val="110"/>
        </w:rPr>
        <w:t> </w:t>
      </w:r>
      <w:r>
        <w:rPr>
          <w:color w:val="231F20"/>
          <w:w w:val="110"/>
        </w:rPr>
        <w:t>en</w:t>
      </w:r>
      <w:r>
        <w:rPr>
          <w:color w:val="231F20"/>
          <w:spacing w:val="-17"/>
          <w:w w:val="110"/>
        </w:rPr>
        <w:t> </w:t>
      </w:r>
      <w:r>
        <w:rPr>
          <w:color w:val="231F20"/>
          <w:w w:val="110"/>
        </w:rPr>
        <w:t>relación</w:t>
      </w:r>
      <w:r>
        <w:rPr>
          <w:color w:val="231F20"/>
          <w:spacing w:val="-17"/>
          <w:w w:val="110"/>
        </w:rPr>
        <w:t> </w:t>
      </w:r>
      <w:r>
        <w:rPr>
          <w:color w:val="231F20"/>
          <w:spacing w:val="-2"/>
          <w:w w:val="110"/>
        </w:rPr>
        <w:t>con </w:t>
      </w:r>
      <w:r>
        <w:rPr>
          <w:color w:val="231F20"/>
          <w:w w:val="110"/>
        </w:rPr>
        <w:t>América</w:t>
      </w:r>
      <w:r>
        <w:rPr>
          <w:color w:val="231F20"/>
          <w:spacing w:val="-22"/>
          <w:w w:val="110"/>
        </w:rPr>
        <w:t> </w:t>
      </w:r>
      <w:r>
        <w:rPr>
          <w:color w:val="231F20"/>
          <w:w w:val="110"/>
        </w:rPr>
        <w:t>Latina</w:t>
      </w:r>
      <w:r>
        <w:rPr>
          <w:color w:val="231F20"/>
          <w:spacing w:val="-22"/>
          <w:w w:val="110"/>
        </w:rPr>
        <w:t> </w:t>
      </w:r>
      <w:r>
        <w:rPr>
          <w:color w:val="231F20"/>
          <w:w w:val="110"/>
        </w:rPr>
        <w:t>que</w:t>
      </w:r>
      <w:r>
        <w:rPr>
          <w:color w:val="231F20"/>
          <w:spacing w:val="-22"/>
          <w:w w:val="110"/>
        </w:rPr>
        <w:t> </w:t>
      </w:r>
      <w:r>
        <w:rPr>
          <w:color w:val="231F20"/>
          <w:w w:val="110"/>
        </w:rPr>
        <w:t>fundamentan</w:t>
      </w:r>
      <w:r>
        <w:rPr>
          <w:color w:val="231F20"/>
          <w:spacing w:val="-22"/>
          <w:w w:val="110"/>
        </w:rPr>
        <w:t> </w:t>
      </w:r>
      <w:r>
        <w:rPr>
          <w:color w:val="231F20"/>
          <w:w w:val="110"/>
        </w:rPr>
        <w:t>su</w:t>
      </w:r>
      <w:r>
        <w:rPr>
          <w:color w:val="231F20"/>
          <w:spacing w:val="-22"/>
          <w:w w:val="110"/>
        </w:rPr>
        <w:t> </w:t>
      </w:r>
      <w:r>
        <w:rPr>
          <w:color w:val="231F20"/>
          <w:w w:val="110"/>
        </w:rPr>
        <w:t>proyecto</w:t>
      </w:r>
      <w:r>
        <w:rPr>
          <w:color w:val="231F20"/>
          <w:spacing w:val="-22"/>
          <w:w w:val="110"/>
        </w:rPr>
        <w:t> </w:t>
      </w:r>
      <w:r>
        <w:rPr>
          <w:color w:val="231F20"/>
          <w:w w:val="110"/>
        </w:rPr>
        <w:t>imperial</w:t>
      </w:r>
      <w:r>
        <w:rPr>
          <w:color w:val="231F20"/>
          <w:spacing w:val="-22"/>
          <w:w w:val="110"/>
        </w:rPr>
        <w:t> </w:t>
      </w:r>
      <w:r>
        <w:rPr>
          <w:color w:val="231F20"/>
          <w:w w:val="110"/>
        </w:rPr>
        <w:t>de</w:t>
      </w:r>
      <w:r>
        <w:rPr>
          <w:color w:val="231F20"/>
          <w:spacing w:val="-22"/>
          <w:w w:val="110"/>
        </w:rPr>
        <w:t> </w:t>
      </w:r>
      <w:r>
        <w:rPr>
          <w:color w:val="231F20"/>
          <w:w w:val="110"/>
        </w:rPr>
        <w:t>dominación</w:t>
      </w:r>
      <w:r>
        <w:rPr>
          <w:color w:val="231F20"/>
          <w:spacing w:val="-2"/>
          <w:w w:val="111"/>
        </w:rPr>
        <w:t> </w:t>
      </w:r>
      <w:r>
        <w:rPr>
          <w:color w:val="231F20"/>
          <w:w w:val="110"/>
        </w:rPr>
        <w:t>(Amin, 2003: 77), que se sustenta en unos principios básicos enun- ciados</w:t>
      </w:r>
      <w:r>
        <w:rPr>
          <w:color w:val="231F20"/>
          <w:spacing w:val="-14"/>
          <w:w w:val="110"/>
        </w:rPr>
        <w:t> </w:t>
      </w:r>
      <w:r>
        <w:rPr>
          <w:color w:val="231F20"/>
          <w:w w:val="110"/>
        </w:rPr>
        <w:t>desde</w:t>
      </w:r>
      <w:r>
        <w:rPr>
          <w:color w:val="231F20"/>
          <w:spacing w:val="-14"/>
          <w:w w:val="110"/>
        </w:rPr>
        <w:t> </w:t>
      </w:r>
      <w:r>
        <w:rPr>
          <w:color w:val="231F20"/>
          <w:w w:val="110"/>
        </w:rPr>
        <w:t>su</w:t>
      </w:r>
      <w:r>
        <w:rPr>
          <w:color w:val="231F20"/>
          <w:spacing w:val="-14"/>
          <w:w w:val="110"/>
        </w:rPr>
        <w:t> </w:t>
      </w:r>
      <w:r>
        <w:rPr>
          <w:color w:val="231F20"/>
          <w:w w:val="110"/>
        </w:rPr>
        <w:t>constitución</w:t>
      </w:r>
      <w:r>
        <w:rPr>
          <w:color w:val="231F20"/>
          <w:spacing w:val="-14"/>
          <w:w w:val="110"/>
        </w:rPr>
        <w:t> </w:t>
      </w:r>
      <w:r>
        <w:rPr>
          <w:color w:val="231F20"/>
          <w:w w:val="110"/>
        </w:rPr>
        <w:t>como</w:t>
      </w:r>
      <w:r>
        <w:rPr>
          <w:color w:val="231F20"/>
          <w:spacing w:val="-14"/>
          <w:w w:val="110"/>
        </w:rPr>
        <w:t> </w:t>
      </w:r>
      <w:r>
        <w:rPr>
          <w:color w:val="231F20"/>
          <w:w w:val="110"/>
        </w:rPr>
        <w:t>Estado-Nación</w:t>
      </w:r>
      <w:r>
        <w:rPr>
          <w:color w:val="231F20"/>
          <w:spacing w:val="-14"/>
          <w:w w:val="110"/>
        </w:rPr>
        <w:t> </w:t>
      </w:r>
      <w:r>
        <w:rPr>
          <w:color w:val="231F20"/>
          <w:w w:val="110"/>
        </w:rPr>
        <w:t>desde</w:t>
      </w:r>
      <w:r>
        <w:rPr>
          <w:color w:val="231F20"/>
          <w:spacing w:val="-14"/>
          <w:w w:val="110"/>
        </w:rPr>
        <w:t> </w:t>
      </w:r>
      <w:r>
        <w:rPr>
          <w:color w:val="231F20"/>
          <w:w w:val="110"/>
        </w:rPr>
        <w:t>el</w:t>
      </w:r>
      <w:r>
        <w:rPr>
          <w:color w:val="231F20"/>
          <w:spacing w:val="-14"/>
          <w:w w:val="110"/>
        </w:rPr>
        <w:t> </w:t>
      </w:r>
      <w:r>
        <w:rPr>
          <w:color w:val="231F20"/>
          <w:w w:val="110"/>
        </w:rPr>
        <w:t>siglo</w:t>
      </w:r>
      <w:r>
        <w:rPr>
          <w:color w:val="231F20"/>
          <w:spacing w:val="-14"/>
          <w:w w:val="110"/>
        </w:rPr>
        <w:t> </w:t>
      </w:r>
      <w:r>
        <w:rPr>
          <w:color w:val="231F20"/>
          <w:w w:val="110"/>
        </w:rPr>
        <w:t>xix:</w:t>
      </w:r>
    </w:p>
    <w:p>
      <w:pPr>
        <w:pStyle w:val="BodyText"/>
        <w:spacing w:before="4"/>
        <w:rPr>
          <w:sz w:val="23"/>
        </w:rPr>
      </w:pPr>
    </w:p>
    <w:p>
      <w:pPr>
        <w:spacing w:line="290" w:lineRule="auto" w:before="0"/>
        <w:ind w:left="100" w:right="117" w:firstLine="0"/>
        <w:jc w:val="both"/>
        <w:rPr>
          <w:sz w:val="18"/>
        </w:rPr>
      </w:pPr>
      <w:r>
        <w:rPr>
          <w:color w:val="231F20"/>
          <w:w w:val="105"/>
          <w:sz w:val="18"/>
        </w:rPr>
        <w:t>La glorificación de los derechos de los individuos de vivir de acuerdo a su propio interés y el derecho exclusivo de Estados Unidos sobre los recursos estratégicos del nuevo mundo, expresa lo que ellos definen como la defensa </w:t>
      </w:r>
      <w:r>
        <w:rPr>
          <w:color w:val="231F20"/>
          <w:spacing w:val="47"/>
          <w:w w:val="105"/>
          <w:sz w:val="18"/>
        </w:rPr>
        <w:t> </w:t>
      </w:r>
      <w:r>
        <w:rPr>
          <w:color w:val="231F20"/>
          <w:w w:val="105"/>
          <w:sz w:val="18"/>
        </w:rPr>
        <w:t>de “sus intereses nacionales” base de la filosofía que ampara la defensa del libre comercio y la defensa moral del capitalismo. Una de las obras con mayor influencia en el mundo de los negocios de los Estados Unidos publicada hace más de 50 años, “Atlas Shrugged”, en, 1957 por Ayn Rand, seguida por uno </w:t>
      </w:r>
      <w:r>
        <w:rPr>
          <w:color w:val="231F20"/>
          <w:spacing w:val="47"/>
          <w:w w:val="105"/>
          <w:sz w:val="18"/>
        </w:rPr>
        <w:t> </w:t>
      </w:r>
      <w:r>
        <w:rPr>
          <w:color w:val="231F20"/>
          <w:w w:val="105"/>
          <w:sz w:val="18"/>
        </w:rPr>
        <w:t>de sus mas fieles devotos, Alan Greenspan (2007) el anterior director de la Reserva</w:t>
      </w:r>
      <w:r>
        <w:rPr>
          <w:color w:val="231F20"/>
          <w:spacing w:val="29"/>
          <w:w w:val="105"/>
          <w:sz w:val="18"/>
        </w:rPr>
        <w:t> </w:t>
      </w:r>
      <w:r>
        <w:rPr>
          <w:color w:val="231F20"/>
          <w:w w:val="105"/>
          <w:sz w:val="18"/>
        </w:rPr>
        <w:t>Federal</w:t>
      </w:r>
      <w:r>
        <w:rPr>
          <w:color w:val="231F20"/>
          <w:spacing w:val="29"/>
          <w:w w:val="105"/>
          <w:sz w:val="18"/>
        </w:rPr>
        <w:t> </w:t>
      </w:r>
      <w:r>
        <w:rPr>
          <w:color w:val="231F20"/>
          <w:w w:val="105"/>
          <w:sz w:val="18"/>
        </w:rPr>
        <w:t>y</w:t>
      </w:r>
      <w:r>
        <w:rPr>
          <w:color w:val="231F20"/>
          <w:spacing w:val="29"/>
          <w:w w:val="105"/>
          <w:sz w:val="18"/>
        </w:rPr>
        <w:t> </w:t>
      </w:r>
      <w:r>
        <w:rPr>
          <w:color w:val="231F20"/>
          <w:w w:val="105"/>
          <w:sz w:val="18"/>
        </w:rPr>
        <w:t>quien</w:t>
      </w:r>
      <w:r>
        <w:rPr>
          <w:color w:val="231F20"/>
          <w:spacing w:val="29"/>
          <w:w w:val="105"/>
          <w:sz w:val="18"/>
        </w:rPr>
        <w:t> </w:t>
      </w:r>
      <w:r>
        <w:rPr>
          <w:color w:val="231F20"/>
          <w:w w:val="105"/>
          <w:sz w:val="18"/>
        </w:rPr>
        <w:t>orientaría</w:t>
      </w:r>
      <w:r>
        <w:rPr>
          <w:color w:val="231F20"/>
          <w:spacing w:val="29"/>
          <w:w w:val="105"/>
          <w:sz w:val="18"/>
        </w:rPr>
        <w:t> </w:t>
      </w:r>
      <w:r>
        <w:rPr>
          <w:color w:val="231F20"/>
          <w:w w:val="105"/>
          <w:sz w:val="18"/>
        </w:rPr>
        <w:t>la</w:t>
      </w:r>
      <w:r>
        <w:rPr>
          <w:color w:val="231F20"/>
          <w:spacing w:val="29"/>
          <w:w w:val="105"/>
          <w:sz w:val="18"/>
        </w:rPr>
        <w:t> </w:t>
      </w:r>
      <w:r>
        <w:rPr>
          <w:color w:val="231F20"/>
          <w:w w:val="105"/>
          <w:sz w:val="18"/>
        </w:rPr>
        <w:t>agenda</w:t>
      </w:r>
      <w:r>
        <w:rPr>
          <w:color w:val="231F20"/>
          <w:spacing w:val="29"/>
          <w:w w:val="105"/>
          <w:sz w:val="18"/>
        </w:rPr>
        <w:t> </w:t>
      </w:r>
      <w:r>
        <w:rPr>
          <w:color w:val="231F20"/>
          <w:w w:val="105"/>
          <w:sz w:val="18"/>
        </w:rPr>
        <w:t>económica</w:t>
      </w:r>
      <w:r>
        <w:rPr>
          <w:color w:val="231F20"/>
          <w:spacing w:val="29"/>
          <w:w w:val="105"/>
          <w:sz w:val="18"/>
        </w:rPr>
        <w:t> </w:t>
      </w:r>
      <w:r>
        <w:rPr>
          <w:color w:val="231F20"/>
          <w:w w:val="105"/>
          <w:sz w:val="18"/>
        </w:rPr>
        <w:t>y</w:t>
      </w:r>
      <w:r>
        <w:rPr>
          <w:color w:val="231F20"/>
          <w:spacing w:val="29"/>
          <w:w w:val="105"/>
          <w:sz w:val="18"/>
        </w:rPr>
        <w:t> </w:t>
      </w:r>
      <w:r>
        <w:rPr>
          <w:color w:val="231F20"/>
          <w:w w:val="105"/>
          <w:sz w:val="18"/>
        </w:rPr>
        <w:t>financiera</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los</w:t>
      </w:r>
    </w:p>
    <w:p>
      <w:pPr>
        <w:spacing w:after="0" w:line="290" w:lineRule="auto"/>
        <w:jc w:val="both"/>
        <w:rPr>
          <w:sz w:val="18"/>
        </w:rPr>
        <w:sectPr>
          <w:pgSz w:w="7640" w:h="11900"/>
          <w:pgMar w:header="672" w:footer="0" w:top="860" w:bottom="280" w:left="780" w:right="640"/>
        </w:sectPr>
      </w:pPr>
    </w:p>
    <w:p>
      <w:pPr>
        <w:pStyle w:val="BodyText"/>
        <w:spacing w:before="8"/>
        <w:rPr>
          <w:sz w:val="8"/>
        </w:rPr>
      </w:pPr>
    </w:p>
    <w:p>
      <w:pPr>
        <w:spacing w:line="290" w:lineRule="auto" w:before="71"/>
        <w:ind w:left="100" w:right="117" w:firstLine="0"/>
        <w:jc w:val="both"/>
        <w:rPr>
          <w:sz w:val="18"/>
        </w:rPr>
      </w:pPr>
      <w:r>
        <w:rPr>
          <w:color w:val="231F20"/>
          <w:w w:val="105"/>
          <w:sz w:val="18"/>
        </w:rPr>
        <w:t>gobiernos de Clinton y Bush, expresa el eje de este pensamiento: “una cele- bración de vida y felicidad la cual se basa en individuos creativos, objetivos, claramente focalizados y cuya racionalidad (calidad del trabajo) asegura la alegría y el éxito (</w:t>
      </w:r>
      <w:r>
        <w:rPr>
          <w:i/>
          <w:color w:val="231F20"/>
          <w:w w:val="105"/>
          <w:sz w:val="18"/>
        </w:rPr>
        <w:t>New York Times</w:t>
      </w:r>
      <w:r>
        <w:rPr>
          <w:color w:val="231F20"/>
          <w:w w:val="105"/>
          <w:sz w:val="18"/>
        </w:rPr>
        <w:t>, 2007a).</w:t>
      </w:r>
    </w:p>
    <w:p>
      <w:pPr>
        <w:pStyle w:val="BodyText"/>
        <w:spacing w:before="2"/>
      </w:pPr>
    </w:p>
    <w:p>
      <w:pPr>
        <w:pStyle w:val="BodyText"/>
        <w:spacing w:line="261" w:lineRule="auto"/>
        <w:ind w:left="100" w:right="113" w:firstLine="240"/>
        <w:jc w:val="right"/>
      </w:pPr>
      <w:r>
        <w:rPr>
          <w:color w:val="231F20"/>
          <w:spacing w:val="3"/>
          <w:w w:val="110"/>
        </w:rPr>
        <w:t>Ello </w:t>
      </w:r>
      <w:r>
        <w:rPr>
          <w:color w:val="231F20"/>
          <w:spacing w:val="2"/>
          <w:w w:val="110"/>
        </w:rPr>
        <w:t>es </w:t>
      </w:r>
      <w:r>
        <w:rPr>
          <w:color w:val="231F20"/>
          <w:spacing w:val="4"/>
          <w:w w:val="110"/>
        </w:rPr>
        <w:t>coherente </w:t>
      </w:r>
      <w:r>
        <w:rPr>
          <w:color w:val="231F20"/>
          <w:spacing w:val="3"/>
          <w:w w:val="110"/>
        </w:rPr>
        <w:t>con </w:t>
      </w:r>
      <w:r>
        <w:rPr>
          <w:color w:val="231F20"/>
          <w:spacing w:val="2"/>
          <w:w w:val="110"/>
        </w:rPr>
        <w:t>el </w:t>
      </w:r>
      <w:r>
        <w:rPr>
          <w:color w:val="231F20"/>
          <w:spacing w:val="4"/>
          <w:w w:val="110"/>
        </w:rPr>
        <w:t>pensamiento central</w:t>
      </w:r>
      <w:r>
        <w:rPr>
          <w:color w:val="231F20"/>
          <w:spacing w:val="29"/>
          <w:w w:val="110"/>
        </w:rPr>
        <w:t> </w:t>
      </w:r>
      <w:r>
        <w:rPr>
          <w:color w:val="231F20"/>
          <w:spacing w:val="2"/>
          <w:w w:val="110"/>
        </w:rPr>
        <w:t>de</w:t>
      </w:r>
      <w:r>
        <w:rPr>
          <w:color w:val="231F20"/>
          <w:spacing w:val="56"/>
          <w:w w:val="110"/>
        </w:rPr>
        <w:t> </w:t>
      </w:r>
      <w:r>
        <w:rPr>
          <w:color w:val="231F20"/>
          <w:spacing w:val="5"/>
          <w:w w:val="110"/>
        </w:rPr>
        <w:t>Benjamín</w:t>
      </w:r>
      <w:r>
        <w:rPr>
          <w:color w:val="231F20"/>
          <w:spacing w:val="5"/>
          <w:w w:val="109"/>
        </w:rPr>
        <w:t> </w:t>
      </w:r>
      <w:r>
        <w:rPr>
          <w:color w:val="231F20"/>
          <w:w w:val="110"/>
        </w:rPr>
        <w:t>Franklin,</w:t>
      </w:r>
      <w:r>
        <w:rPr>
          <w:color w:val="231F20"/>
          <w:spacing w:val="-10"/>
          <w:w w:val="110"/>
        </w:rPr>
        <w:t> </w:t>
      </w:r>
      <w:r>
        <w:rPr>
          <w:color w:val="231F20"/>
          <w:w w:val="110"/>
        </w:rPr>
        <w:t>“el</w:t>
      </w:r>
      <w:r>
        <w:rPr>
          <w:color w:val="231F20"/>
          <w:spacing w:val="-10"/>
          <w:w w:val="110"/>
        </w:rPr>
        <w:t> </w:t>
      </w:r>
      <w:r>
        <w:rPr>
          <w:color w:val="231F20"/>
          <w:w w:val="110"/>
        </w:rPr>
        <w:t>hombre</w:t>
      </w:r>
      <w:r>
        <w:rPr>
          <w:color w:val="231F20"/>
          <w:spacing w:val="-10"/>
          <w:w w:val="110"/>
        </w:rPr>
        <w:t> </w:t>
      </w:r>
      <w:r>
        <w:rPr>
          <w:color w:val="231F20"/>
          <w:w w:val="110"/>
        </w:rPr>
        <w:t>que</w:t>
      </w:r>
      <w:r>
        <w:rPr>
          <w:color w:val="231F20"/>
          <w:spacing w:val="-10"/>
          <w:w w:val="110"/>
        </w:rPr>
        <w:t> </w:t>
      </w:r>
      <w:r>
        <w:rPr>
          <w:color w:val="231F20"/>
          <w:w w:val="110"/>
        </w:rPr>
        <w:t>inventó</w:t>
      </w:r>
      <w:r>
        <w:rPr>
          <w:color w:val="231F20"/>
          <w:spacing w:val="-10"/>
          <w:w w:val="110"/>
        </w:rPr>
        <w:t> </w:t>
      </w:r>
      <w:r>
        <w:rPr>
          <w:color w:val="231F20"/>
          <w:w w:val="110"/>
        </w:rPr>
        <w:t>América”</w:t>
      </w:r>
      <w:r>
        <w:rPr>
          <w:color w:val="231F20"/>
          <w:spacing w:val="-10"/>
          <w:w w:val="110"/>
        </w:rPr>
        <w:t> </w:t>
      </w:r>
      <w:r>
        <w:rPr>
          <w:color w:val="231F20"/>
          <w:w w:val="110"/>
        </w:rPr>
        <w:t>y</w:t>
      </w:r>
      <w:r>
        <w:rPr>
          <w:color w:val="231F20"/>
          <w:spacing w:val="-10"/>
          <w:w w:val="110"/>
        </w:rPr>
        <w:t> </w:t>
      </w:r>
      <w:r>
        <w:rPr>
          <w:color w:val="231F20"/>
          <w:w w:val="110"/>
        </w:rPr>
        <w:t>quien</w:t>
      </w:r>
      <w:r>
        <w:rPr>
          <w:color w:val="231F20"/>
          <w:spacing w:val="-10"/>
          <w:w w:val="110"/>
        </w:rPr>
        <w:t> </w:t>
      </w:r>
      <w:r>
        <w:rPr>
          <w:color w:val="231F20"/>
          <w:w w:val="110"/>
        </w:rPr>
        <w:t>expresara</w:t>
      </w:r>
      <w:r>
        <w:rPr>
          <w:color w:val="231F20"/>
          <w:spacing w:val="-10"/>
          <w:w w:val="110"/>
        </w:rPr>
        <w:t> </w:t>
      </w:r>
      <w:r>
        <w:rPr>
          <w:color w:val="231F20"/>
          <w:w w:val="110"/>
        </w:rPr>
        <w:t>los</w:t>
      </w:r>
      <w:r>
        <w:rPr>
          <w:color w:val="231F20"/>
          <w:spacing w:val="-10"/>
          <w:w w:val="110"/>
        </w:rPr>
        <w:t> </w:t>
      </w:r>
      <w:r>
        <w:rPr>
          <w:color w:val="231F20"/>
          <w:w w:val="110"/>
        </w:rPr>
        <w:t>va-</w:t>
      </w:r>
      <w:r>
        <w:rPr>
          <w:color w:val="231F20"/>
          <w:w w:val="72"/>
        </w:rPr>
        <w:t> </w:t>
      </w:r>
      <w:r>
        <w:rPr>
          <w:color w:val="231F20"/>
          <w:w w:val="110"/>
        </w:rPr>
        <w:t>lores</w:t>
      </w:r>
      <w:r>
        <w:rPr>
          <w:color w:val="231F20"/>
          <w:spacing w:val="-8"/>
          <w:w w:val="110"/>
        </w:rPr>
        <w:t> </w:t>
      </w:r>
      <w:r>
        <w:rPr>
          <w:color w:val="231F20"/>
          <w:w w:val="110"/>
        </w:rPr>
        <w:t>centrales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sociedad</w:t>
      </w:r>
      <w:r>
        <w:rPr>
          <w:color w:val="231F20"/>
          <w:spacing w:val="-8"/>
          <w:w w:val="110"/>
        </w:rPr>
        <w:t> </w:t>
      </w:r>
      <w:r>
        <w:rPr>
          <w:color w:val="231F20"/>
          <w:w w:val="110"/>
        </w:rPr>
        <w:t>estadunidense:</w:t>
      </w:r>
      <w:r>
        <w:rPr>
          <w:color w:val="231F20"/>
          <w:spacing w:val="-8"/>
          <w:w w:val="110"/>
        </w:rPr>
        <w:t> </w:t>
      </w:r>
      <w:r>
        <w:rPr>
          <w:color w:val="231F20"/>
          <w:w w:val="110"/>
        </w:rPr>
        <w:t>el</w:t>
      </w:r>
      <w:r>
        <w:rPr>
          <w:color w:val="231F20"/>
          <w:spacing w:val="-8"/>
          <w:w w:val="110"/>
        </w:rPr>
        <w:t> </w:t>
      </w:r>
      <w:r>
        <w:rPr>
          <w:color w:val="231F20"/>
          <w:w w:val="110"/>
        </w:rPr>
        <w:t>concepto</w:t>
      </w:r>
      <w:r>
        <w:rPr>
          <w:color w:val="231F20"/>
          <w:spacing w:val="-8"/>
          <w:w w:val="110"/>
        </w:rPr>
        <w:t> </w:t>
      </w:r>
      <w:r>
        <w:rPr>
          <w:color w:val="231F20"/>
          <w:w w:val="110"/>
        </w:rPr>
        <w:t>de</w:t>
      </w:r>
      <w:r>
        <w:rPr>
          <w:color w:val="231F20"/>
          <w:spacing w:val="-8"/>
          <w:w w:val="110"/>
        </w:rPr>
        <w:t> </w:t>
      </w:r>
      <w:r>
        <w:rPr>
          <w:color w:val="231F20"/>
          <w:w w:val="110"/>
        </w:rPr>
        <w:t>progreso</w:t>
      </w:r>
      <w:r>
        <w:rPr>
          <w:color w:val="231F20"/>
          <w:w w:val="110"/>
        </w:rPr>
        <w:t> </w:t>
      </w:r>
      <w:r>
        <w:rPr>
          <w:color w:val="231F20"/>
          <w:w w:val="110"/>
        </w:rPr>
        <w:t>económico y la superación individual. En esa carrera para</w:t>
      </w:r>
      <w:r>
        <w:rPr>
          <w:color w:val="231F20"/>
          <w:spacing w:val="-12"/>
          <w:w w:val="110"/>
        </w:rPr>
        <w:t> </w:t>
      </w:r>
      <w:r>
        <w:rPr>
          <w:color w:val="231F20"/>
          <w:w w:val="110"/>
        </w:rPr>
        <w:t>la</w:t>
      </w:r>
      <w:r>
        <w:rPr>
          <w:color w:val="231F20"/>
          <w:spacing w:val="-2"/>
          <w:w w:val="110"/>
        </w:rPr>
        <w:t> </w:t>
      </w:r>
      <w:r>
        <w:rPr>
          <w:color w:val="231F20"/>
          <w:w w:val="110"/>
        </w:rPr>
        <w:t>supera-</w:t>
      </w:r>
      <w:r>
        <w:rPr>
          <w:color w:val="231F20"/>
          <w:w w:val="72"/>
        </w:rPr>
        <w:t> </w:t>
      </w:r>
      <w:r>
        <w:rPr>
          <w:color w:val="231F20"/>
          <w:w w:val="110"/>
        </w:rPr>
        <w:t>ción individual nada es inconveniente si se es</w:t>
      </w:r>
      <w:r>
        <w:rPr>
          <w:color w:val="231F20"/>
          <w:spacing w:val="36"/>
          <w:w w:val="110"/>
        </w:rPr>
        <w:t> </w:t>
      </w:r>
      <w:r>
        <w:rPr>
          <w:color w:val="231F20"/>
          <w:w w:val="110"/>
        </w:rPr>
        <w:t>honesto,</w:t>
      </w:r>
      <w:r>
        <w:rPr>
          <w:color w:val="231F20"/>
          <w:spacing w:val="11"/>
          <w:w w:val="110"/>
        </w:rPr>
        <w:t> </w:t>
      </w:r>
      <w:r>
        <w:rPr>
          <w:color w:val="231F20"/>
          <w:w w:val="110"/>
        </w:rPr>
        <w:t>pragmático,</w:t>
      </w:r>
      <w:r>
        <w:rPr>
          <w:color w:val="231F20"/>
          <w:w w:val="109"/>
        </w:rPr>
        <w:t> </w:t>
      </w:r>
      <w:r>
        <w:rPr>
          <w:color w:val="231F20"/>
          <w:w w:val="110"/>
        </w:rPr>
        <w:t>frugal,</w:t>
      </w:r>
      <w:r>
        <w:rPr>
          <w:color w:val="231F20"/>
          <w:spacing w:val="-20"/>
          <w:w w:val="110"/>
        </w:rPr>
        <w:t> </w:t>
      </w:r>
      <w:r>
        <w:rPr>
          <w:color w:val="231F20"/>
          <w:w w:val="110"/>
        </w:rPr>
        <w:t>industrioso</w:t>
      </w:r>
      <w:r>
        <w:rPr>
          <w:color w:val="231F20"/>
          <w:spacing w:val="-20"/>
          <w:w w:val="110"/>
        </w:rPr>
        <w:t> </w:t>
      </w:r>
      <w:r>
        <w:rPr>
          <w:color w:val="231F20"/>
          <w:w w:val="110"/>
        </w:rPr>
        <w:t>y</w:t>
      </w:r>
      <w:r>
        <w:rPr>
          <w:color w:val="231F20"/>
          <w:spacing w:val="-20"/>
          <w:w w:val="110"/>
        </w:rPr>
        <w:t> </w:t>
      </w:r>
      <w:r>
        <w:rPr>
          <w:color w:val="231F20"/>
          <w:w w:val="110"/>
        </w:rPr>
        <w:t>sobre</w:t>
      </w:r>
      <w:r>
        <w:rPr>
          <w:color w:val="231F20"/>
          <w:spacing w:val="-20"/>
          <w:w w:val="110"/>
        </w:rPr>
        <w:t> </w:t>
      </w:r>
      <w:r>
        <w:rPr>
          <w:color w:val="231F20"/>
          <w:w w:val="110"/>
        </w:rPr>
        <w:t>todo</w:t>
      </w:r>
      <w:r>
        <w:rPr>
          <w:color w:val="231F20"/>
          <w:spacing w:val="-20"/>
          <w:w w:val="110"/>
        </w:rPr>
        <w:t> </w:t>
      </w:r>
      <w:r>
        <w:rPr>
          <w:color w:val="231F20"/>
          <w:w w:val="110"/>
        </w:rPr>
        <w:t>si</w:t>
      </w:r>
      <w:r>
        <w:rPr>
          <w:color w:val="231F20"/>
          <w:spacing w:val="-20"/>
          <w:w w:val="110"/>
        </w:rPr>
        <w:t> </w:t>
      </w:r>
      <w:r>
        <w:rPr>
          <w:color w:val="231F20"/>
          <w:w w:val="110"/>
        </w:rPr>
        <w:t>se</w:t>
      </w:r>
      <w:r>
        <w:rPr>
          <w:color w:val="231F20"/>
          <w:spacing w:val="-20"/>
          <w:w w:val="110"/>
        </w:rPr>
        <w:t> </w:t>
      </w:r>
      <w:r>
        <w:rPr>
          <w:color w:val="231F20"/>
          <w:w w:val="110"/>
        </w:rPr>
        <w:t>evita</w:t>
      </w:r>
      <w:r>
        <w:rPr>
          <w:color w:val="231F20"/>
          <w:spacing w:val="-20"/>
          <w:w w:val="110"/>
        </w:rPr>
        <w:t> </w:t>
      </w:r>
      <w:r>
        <w:rPr>
          <w:color w:val="231F20"/>
          <w:w w:val="110"/>
        </w:rPr>
        <w:t>los</w:t>
      </w:r>
      <w:r>
        <w:rPr>
          <w:color w:val="231F20"/>
          <w:spacing w:val="-20"/>
          <w:w w:val="110"/>
        </w:rPr>
        <w:t> </w:t>
      </w:r>
      <w:r>
        <w:rPr>
          <w:color w:val="231F20"/>
          <w:w w:val="110"/>
        </w:rPr>
        <w:t>excesos</w:t>
      </w:r>
      <w:r>
        <w:rPr>
          <w:color w:val="231F20"/>
          <w:spacing w:val="-20"/>
          <w:w w:val="110"/>
        </w:rPr>
        <w:t> </w:t>
      </w:r>
      <w:r>
        <w:rPr>
          <w:color w:val="231F20"/>
          <w:w w:val="110"/>
        </w:rPr>
        <w:t>de</w:t>
      </w:r>
      <w:r>
        <w:rPr>
          <w:color w:val="231F20"/>
          <w:spacing w:val="-20"/>
          <w:w w:val="110"/>
        </w:rPr>
        <w:t> </w:t>
      </w:r>
      <w:r>
        <w:rPr>
          <w:color w:val="231F20"/>
          <w:w w:val="110"/>
        </w:rPr>
        <w:t>autoridad</w:t>
      </w:r>
      <w:r>
        <w:rPr>
          <w:color w:val="231F20"/>
          <w:spacing w:val="-20"/>
          <w:w w:val="110"/>
        </w:rPr>
        <w:t> </w:t>
      </w:r>
      <w:r>
        <w:rPr>
          <w:color w:val="231F20"/>
          <w:w w:val="110"/>
        </w:rPr>
        <w:t>por</w:t>
      </w:r>
      <w:r>
        <w:rPr>
          <w:color w:val="231F20"/>
          <w:w w:val="115"/>
        </w:rPr>
        <w:t> </w:t>
      </w:r>
      <w:r>
        <w:rPr>
          <w:color w:val="231F20"/>
          <w:w w:val="110"/>
        </w:rPr>
        <w:t>parte del gobierno. Estos principios basados en la filantropía</w:t>
      </w:r>
      <w:r>
        <w:rPr>
          <w:color w:val="231F20"/>
          <w:spacing w:val="38"/>
          <w:w w:val="110"/>
        </w:rPr>
        <w:t> </w:t>
      </w:r>
      <w:r>
        <w:rPr>
          <w:color w:val="231F20"/>
          <w:w w:val="110"/>
        </w:rPr>
        <w:t>de</w:t>
      </w:r>
      <w:r>
        <w:rPr>
          <w:color w:val="231F20"/>
          <w:spacing w:val="10"/>
          <w:w w:val="110"/>
        </w:rPr>
        <w:t> </w:t>
      </w:r>
      <w:r>
        <w:rPr>
          <w:color w:val="231F20"/>
          <w:w w:val="110"/>
        </w:rPr>
        <w:t>los</w:t>
      </w:r>
      <w:r>
        <w:rPr>
          <w:color w:val="231F20"/>
          <w:w w:val="102"/>
        </w:rPr>
        <w:t> </w:t>
      </w:r>
      <w:r>
        <w:rPr>
          <w:color w:val="231F20"/>
          <w:w w:val="110"/>
        </w:rPr>
        <w:t>negocios,</w:t>
      </w:r>
      <w:r>
        <w:rPr>
          <w:color w:val="231F20"/>
          <w:spacing w:val="-13"/>
          <w:w w:val="110"/>
        </w:rPr>
        <w:t> </w:t>
      </w:r>
      <w:r>
        <w:rPr>
          <w:color w:val="231F20"/>
          <w:w w:val="110"/>
        </w:rPr>
        <w:t>la</w:t>
      </w:r>
      <w:r>
        <w:rPr>
          <w:color w:val="231F20"/>
          <w:spacing w:val="-13"/>
          <w:w w:val="110"/>
        </w:rPr>
        <w:t> </w:t>
      </w:r>
      <w:r>
        <w:rPr>
          <w:color w:val="231F20"/>
          <w:w w:val="110"/>
        </w:rPr>
        <w:t>apertura</w:t>
      </w:r>
      <w:r>
        <w:rPr>
          <w:color w:val="231F20"/>
          <w:spacing w:val="-13"/>
          <w:w w:val="110"/>
        </w:rPr>
        <w:t> </w:t>
      </w:r>
      <w:r>
        <w:rPr>
          <w:color w:val="231F20"/>
          <w:w w:val="110"/>
        </w:rPr>
        <w:t>de</w:t>
      </w:r>
      <w:r>
        <w:rPr>
          <w:color w:val="231F20"/>
          <w:spacing w:val="-13"/>
          <w:w w:val="110"/>
        </w:rPr>
        <w:t> </w:t>
      </w:r>
      <w:r>
        <w:rPr>
          <w:color w:val="231F20"/>
          <w:w w:val="110"/>
        </w:rPr>
        <w:t>mentes</w:t>
      </w:r>
      <w:r>
        <w:rPr>
          <w:color w:val="231F20"/>
          <w:spacing w:val="-13"/>
          <w:w w:val="110"/>
        </w:rPr>
        <w:t> </w:t>
      </w:r>
      <w:r>
        <w:rPr>
          <w:color w:val="231F20"/>
          <w:w w:val="110"/>
        </w:rPr>
        <w:t>y</w:t>
      </w:r>
      <w:r>
        <w:rPr>
          <w:color w:val="231F20"/>
          <w:spacing w:val="-13"/>
          <w:w w:val="110"/>
        </w:rPr>
        <w:t> </w:t>
      </w:r>
      <w:r>
        <w:rPr>
          <w:color w:val="231F20"/>
          <w:w w:val="110"/>
        </w:rPr>
        <w:t>el</w:t>
      </w:r>
      <w:r>
        <w:rPr>
          <w:color w:val="231F20"/>
          <w:spacing w:val="-13"/>
          <w:w w:val="110"/>
        </w:rPr>
        <w:t> </w:t>
      </w:r>
      <w:r>
        <w:rPr>
          <w:color w:val="231F20"/>
          <w:w w:val="110"/>
        </w:rPr>
        <w:t>utilitarismo</w:t>
      </w:r>
      <w:r>
        <w:rPr>
          <w:color w:val="231F20"/>
          <w:spacing w:val="-13"/>
          <w:w w:val="110"/>
        </w:rPr>
        <w:t> </w:t>
      </w:r>
      <w:r>
        <w:rPr>
          <w:color w:val="231F20"/>
          <w:w w:val="110"/>
        </w:rPr>
        <w:t>constituyen</w:t>
      </w:r>
      <w:r>
        <w:rPr>
          <w:color w:val="231F20"/>
          <w:spacing w:val="-13"/>
          <w:w w:val="110"/>
        </w:rPr>
        <w:t> </w:t>
      </w:r>
      <w:r>
        <w:rPr>
          <w:color w:val="231F20"/>
          <w:w w:val="110"/>
        </w:rPr>
        <w:t>el</w:t>
      </w:r>
      <w:r>
        <w:rPr>
          <w:color w:val="231F20"/>
          <w:spacing w:val="-13"/>
          <w:w w:val="110"/>
        </w:rPr>
        <w:t> </w:t>
      </w:r>
      <w:r>
        <w:rPr>
          <w:color w:val="231F20"/>
          <w:w w:val="110"/>
        </w:rPr>
        <w:t>funda-</w:t>
      </w:r>
      <w:r>
        <w:rPr>
          <w:color w:val="231F20"/>
          <w:w w:val="72"/>
        </w:rPr>
        <w:t> </w:t>
      </w:r>
      <w:r>
        <w:rPr>
          <w:color w:val="231F20"/>
          <w:w w:val="110"/>
        </w:rPr>
        <w:t>mento del “ideal” estadunidense, base de la creación de</w:t>
      </w:r>
      <w:r>
        <w:rPr>
          <w:color w:val="231F20"/>
          <w:spacing w:val="-10"/>
          <w:w w:val="110"/>
        </w:rPr>
        <w:t> </w:t>
      </w:r>
      <w:r>
        <w:rPr>
          <w:color w:val="231F20"/>
          <w:w w:val="110"/>
        </w:rPr>
        <w:t>los</w:t>
      </w:r>
      <w:r>
        <w:rPr>
          <w:color w:val="231F20"/>
          <w:spacing w:val="-2"/>
          <w:w w:val="110"/>
        </w:rPr>
        <w:t> </w:t>
      </w:r>
      <w:r>
        <w:rPr>
          <w:color w:val="231F20"/>
          <w:w w:val="110"/>
        </w:rPr>
        <w:t>partidos.</w:t>
      </w:r>
      <w:r>
        <w:rPr>
          <w:color w:val="231F20"/>
          <w:w w:val="110"/>
        </w:rPr>
        <w:t> </w:t>
      </w:r>
      <w:r>
        <w:rPr>
          <w:color w:val="231F20"/>
          <w:w w:val="110"/>
        </w:rPr>
        <w:t>En las fronteras de este pensamiento “único”,</w:t>
      </w:r>
      <w:r>
        <w:rPr>
          <w:color w:val="231F20"/>
          <w:spacing w:val="5"/>
          <w:w w:val="110"/>
        </w:rPr>
        <w:t> </w:t>
      </w:r>
      <w:r>
        <w:rPr>
          <w:color w:val="231F20"/>
          <w:w w:val="110"/>
        </w:rPr>
        <w:t>Tocqueville,</w:t>
      </w:r>
      <w:r>
        <w:rPr>
          <w:color w:val="231F20"/>
          <w:spacing w:val="32"/>
          <w:w w:val="110"/>
        </w:rPr>
        <w:t> </w:t>
      </w:r>
      <w:r>
        <w:rPr>
          <w:color w:val="231F20"/>
          <w:w w:val="110"/>
        </w:rPr>
        <w:t>sin</w:t>
      </w:r>
      <w:r>
        <w:rPr>
          <w:color w:val="231F20"/>
          <w:spacing w:val="1"/>
          <w:w w:val="106"/>
        </w:rPr>
        <w:t> </w:t>
      </w:r>
      <w:r>
        <w:rPr>
          <w:color w:val="231F20"/>
          <w:w w:val="110"/>
        </w:rPr>
        <w:t>embargo,</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estudios</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primeras</w:t>
      </w:r>
      <w:r>
        <w:rPr>
          <w:color w:val="231F20"/>
          <w:spacing w:val="-13"/>
          <w:w w:val="110"/>
        </w:rPr>
        <w:t> </w:t>
      </w:r>
      <w:r>
        <w:rPr>
          <w:color w:val="231F20"/>
          <w:w w:val="110"/>
        </w:rPr>
        <w:t>facciones</w:t>
      </w:r>
      <w:r>
        <w:rPr>
          <w:color w:val="231F20"/>
          <w:spacing w:val="-13"/>
          <w:w w:val="110"/>
        </w:rPr>
        <w:t> </w:t>
      </w:r>
      <w:r>
        <w:rPr>
          <w:color w:val="231F20"/>
          <w:w w:val="110"/>
        </w:rPr>
        <w:t>en</w:t>
      </w:r>
      <w:r>
        <w:rPr>
          <w:color w:val="231F20"/>
          <w:spacing w:val="-13"/>
          <w:w w:val="110"/>
        </w:rPr>
        <w:t> </w:t>
      </w:r>
      <w:r>
        <w:rPr>
          <w:color w:val="231F20"/>
          <w:w w:val="110"/>
        </w:rPr>
        <w:t>“norteamérica”</w:t>
      </w:r>
      <w:r>
        <w:rPr>
          <w:color w:val="231F20"/>
          <w:w w:val="108"/>
        </w:rPr>
        <w:t> </w:t>
      </w:r>
      <w:r>
        <w:rPr>
          <w:color w:val="231F20"/>
          <w:w w:val="110"/>
        </w:rPr>
        <w:t>alcanza</w:t>
      </w:r>
      <w:r>
        <w:rPr>
          <w:color w:val="231F20"/>
          <w:spacing w:val="-8"/>
          <w:w w:val="110"/>
        </w:rPr>
        <w:t> </w:t>
      </w:r>
      <w:r>
        <w:rPr>
          <w:color w:val="231F20"/>
          <w:w w:val="110"/>
        </w:rPr>
        <w:t>a</w:t>
      </w:r>
      <w:r>
        <w:rPr>
          <w:color w:val="231F20"/>
          <w:spacing w:val="-8"/>
          <w:w w:val="110"/>
        </w:rPr>
        <w:t> </w:t>
      </w:r>
      <w:r>
        <w:rPr>
          <w:color w:val="231F20"/>
          <w:w w:val="110"/>
        </w:rPr>
        <w:t>distinguir</w:t>
      </w:r>
      <w:r>
        <w:rPr>
          <w:color w:val="231F20"/>
          <w:spacing w:val="-8"/>
          <w:w w:val="110"/>
        </w:rPr>
        <w:t> </w:t>
      </w:r>
      <w:r>
        <w:rPr>
          <w:color w:val="231F20"/>
          <w:w w:val="110"/>
        </w:rPr>
        <w:t>dos</w:t>
      </w:r>
      <w:r>
        <w:rPr>
          <w:color w:val="231F20"/>
          <w:spacing w:val="-8"/>
          <w:w w:val="110"/>
        </w:rPr>
        <w:t> </w:t>
      </w:r>
      <w:r>
        <w:rPr>
          <w:color w:val="231F20"/>
          <w:w w:val="110"/>
        </w:rPr>
        <w:t>tendencias:</w:t>
      </w:r>
      <w:r>
        <w:rPr>
          <w:color w:val="231F20"/>
          <w:spacing w:val="-8"/>
          <w:w w:val="110"/>
        </w:rPr>
        <w:t> </w:t>
      </w:r>
      <w:r>
        <w:rPr>
          <w:color w:val="231F20"/>
          <w:w w:val="110"/>
        </w:rPr>
        <w:t>la</w:t>
      </w:r>
      <w:r>
        <w:rPr>
          <w:color w:val="231F20"/>
          <w:spacing w:val="-8"/>
          <w:w w:val="110"/>
        </w:rPr>
        <w:t> </w:t>
      </w:r>
      <w:r>
        <w:rPr>
          <w:color w:val="231F20"/>
          <w:w w:val="110"/>
        </w:rPr>
        <w:t>primera,</w:t>
      </w:r>
      <w:r>
        <w:rPr>
          <w:color w:val="231F20"/>
          <w:spacing w:val="-8"/>
          <w:w w:val="110"/>
        </w:rPr>
        <w:t> </w:t>
      </w:r>
      <w:r>
        <w:rPr>
          <w:color w:val="231F20"/>
          <w:w w:val="110"/>
        </w:rPr>
        <w:t>aquella</w:t>
      </w:r>
      <w:r>
        <w:rPr>
          <w:color w:val="231F20"/>
          <w:spacing w:val="-8"/>
          <w:w w:val="110"/>
        </w:rPr>
        <w:t> </w:t>
      </w:r>
      <w:r>
        <w:rPr>
          <w:color w:val="231F20"/>
          <w:w w:val="110"/>
        </w:rPr>
        <w:t>que</w:t>
      </w:r>
      <w:r>
        <w:rPr>
          <w:color w:val="231F20"/>
          <w:spacing w:val="-8"/>
          <w:w w:val="110"/>
        </w:rPr>
        <w:t> </w:t>
      </w:r>
      <w:r>
        <w:rPr>
          <w:color w:val="231F20"/>
          <w:w w:val="110"/>
        </w:rPr>
        <w:t>propende</w:t>
      </w:r>
      <w:r>
        <w:rPr>
          <w:color w:val="231F20"/>
          <w:w w:val="115"/>
        </w:rPr>
        <w:t> </w:t>
      </w:r>
      <w:r>
        <w:rPr>
          <w:color w:val="231F20"/>
          <w:w w:val="110"/>
        </w:rPr>
        <w:t>a</w:t>
      </w:r>
      <w:r>
        <w:rPr>
          <w:color w:val="231F20"/>
          <w:spacing w:val="-5"/>
          <w:w w:val="110"/>
        </w:rPr>
        <w:t> </w:t>
      </w:r>
      <w:r>
        <w:rPr>
          <w:color w:val="231F20"/>
          <w:w w:val="110"/>
        </w:rPr>
        <w:t>limitar</w:t>
      </w:r>
      <w:r>
        <w:rPr>
          <w:color w:val="231F20"/>
          <w:spacing w:val="-5"/>
          <w:w w:val="110"/>
        </w:rPr>
        <w:t> </w:t>
      </w:r>
      <w:r>
        <w:rPr>
          <w:color w:val="231F20"/>
          <w:w w:val="110"/>
        </w:rPr>
        <w:t>la</w:t>
      </w:r>
      <w:r>
        <w:rPr>
          <w:color w:val="231F20"/>
          <w:spacing w:val="-5"/>
          <w:w w:val="110"/>
        </w:rPr>
        <w:t> </w:t>
      </w:r>
      <w:r>
        <w:rPr>
          <w:color w:val="231F20"/>
          <w:w w:val="110"/>
        </w:rPr>
        <w:t>autoridad</w:t>
      </w:r>
      <w:r>
        <w:rPr>
          <w:color w:val="231F20"/>
          <w:spacing w:val="-5"/>
          <w:w w:val="110"/>
        </w:rPr>
        <w:t> </w:t>
      </w:r>
      <w:r>
        <w:rPr>
          <w:color w:val="231F20"/>
          <w:w w:val="110"/>
        </w:rPr>
        <w:t>del</w:t>
      </w:r>
      <w:r>
        <w:rPr>
          <w:color w:val="231F20"/>
          <w:spacing w:val="-5"/>
          <w:w w:val="110"/>
        </w:rPr>
        <w:t> </w:t>
      </w:r>
      <w:r>
        <w:rPr>
          <w:color w:val="231F20"/>
          <w:w w:val="110"/>
        </w:rPr>
        <w:t>pueblo</w:t>
      </w:r>
      <w:r>
        <w:rPr>
          <w:color w:val="231F20"/>
          <w:spacing w:val="-5"/>
          <w:w w:val="110"/>
        </w:rPr>
        <w:t> </w:t>
      </w:r>
      <w:r>
        <w:rPr>
          <w:color w:val="231F20"/>
          <w:w w:val="110"/>
        </w:rPr>
        <w:t>(la</w:t>
      </w:r>
      <w:r>
        <w:rPr>
          <w:color w:val="231F20"/>
          <w:spacing w:val="-5"/>
          <w:w w:val="110"/>
        </w:rPr>
        <w:t> </w:t>
      </w:r>
      <w:r>
        <w:rPr>
          <w:color w:val="231F20"/>
          <w:w w:val="110"/>
        </w:rPr>
        <w:t>republicana)</w:t>
      </w:r>
      <w:r>
        <w:rPr>
          <w:color w:val="231F20"/>
          <w:spacing w:val="-5"/>
          <w:w w:val="110"/>
        </w:rPr>
        <w:t> </w:t>
      </w:r>
      <w:r>
        <w:rPr>
          <w:color w:val="231F20"/>
          <w:w w:val="110"/>
        </w:rPr>
        <w:t>y</w:t>
      </w:r>
      <w:r>
        <w:rPr>
          <w:color w:val="231F20"/>
          <w:spacing w:val="-5"/>
          <w:w w:val="110"/>
        </w:rPr>
        <w:t> </w:t>
      </w:r>
      <w:r>
        <w:rPr>
          <w:color w:val="231F20"/>
          <w:w w:val="110"/>
        </w:rPr>
        <w:t>aquella</w:t>
      </w:r>
      <w:r>
        <w:rPr>
          <w:color w:val="231F20"/>
          <w:spacing w:val="-5"/>
          <w:w w:val="110"/>
        </w:rPr>
        <w:t> </w:t>
      </w:r>
      <w:r>
        <w:rPr>
          <w:color w:val="231F20"/>
          <w:w w:val="110"/>
        </w:rPr>
        <w:t>que</w:t>
      </w:r>
      <w:r>
        <w:rPr>
          <w:color w:val="231F20"/>
          <w:spacing w:val="-5"/>
          <w:w w:val="110"/>
        </w:rPr>
        <w:t> </w:t>
      </w:r>
      <w:r>
        <w:rPr>
          <w:color w:val="231F20"/>
          <w:w w:val="110"/>
        </w:rPr>
        <w:t>busca</w:t>
      </w:r>
      <w:r>
        <w:rPr>
          <w:color w:val="231F20"/>
          <w:w w:val="107"/>
        </w:rPr>
        <w:t> </w:t>
      </w:r>
      <w:r>
        <w:rPr>
          <w:color w:val="231F20"/>
          <w:w w:val="110"/>
        </w:rPr>
        <w:t>extenderla (la demócrata); aquella que se impone en nombre</w:t>
      </w:r>
      <w:r>
        <w:rPr>
          <w:color w:val="231F20"/>
          <w:spacing w:val="19"/>
          <w:w w:val="110"/>
        </w:rPr>
        <w:t> </w:t>
      </w:r>
      <w:r>
        <w:rPr>
          <w:color w:val="231F20"/>
          <w:w w:val="110"/>
        </w:rPr>
        <w:t>de</w:t>
      </w:r>
      <w:r>
        <w:rPr>
          <w:color w:val="231F20"/>
          <w:spacing w:val="20"/>
          <w:w w:val="110"/>
        </w:rPr>
        <w:t> </w:t>
      </w:r>
      <w:r>
        <w:rPr>
          <w:color w:val="231F20"/>
          <w:w w:val="110"/>
        </w:rPr>
        <w:t>la</w:t>
      </w:r>
      <w:r>
        <w:rPr>
          <w:color w:val="231F20"/>
          <w:w w:val="105"/>
        </w:rPr>
        <w:t> </w:t>
      </w:r>
      <w:r>
        <w:rPr>
          <w:color w:val="231F20"/>
          <w:w w:val="110"/>
        </w:rPr>
        <w:t>seguridad</w:t>
      </w:r>
      <w:r>
        <w:rPr>
          <w:color w:val="231F20"/>
          <w:spacing w:val="-4"/>
          <w:w w:val="110"/>
        </w:rPr>
        <w:t> </w:t>
      </w:r>
      <w:r>
        <w:rPr>
          <w:color w:val="231F20"/>
          <w:w w:val="110"/>
        </w:rPr>
        <w:t>de</w:t>
      </w:r>
      <w:r>
        <w:rPr>
          <w:color w:val="231F20"/>
          <w:spacing w:val="-4"/>
          <w:w w:val="110"/>
        </w:rPr>
        <w:t> </w:t>
      </w:r>
      <w:r>
        <w:rPr>
          <w:color w:val="231F20"/>
          <w:w w:val="110"/>
        </w:rPr>
        <w:t>todos</w:t>
      </w:r>
      <w:r>
        <w:rPr>
          <w:color w:val="231F20"/>
          <w:spacing w:val="-4"/>
          <w:w w:val="110"/>
        </w:rPr>
        <w:t> </w:t>
      </w:r>
      <w:r>
        <w:rPr>
          <w:color w:val="231F20"/>
          <w:w w:val="110"/>
        </w:rPr>
        <w:t>y</w:t>
      </w:r>
      <w:r>
        <w:rPr>
          <w:color w:val="231F20"/>
          <w:spacing w:val="-4"/>
          <w:w w:val="110"/>
        </w:rPr>
        <w:t> </w:t>
      </w:r>
      <w:r>
        <w:rPr>
          <w:color w:val="231F20"/>
          <w:w w:val="110"/>
        </w:rPr>
        <w:t>aquella</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busca</w:t>
      </w:r>
      <w:r>
        <w:rPr>
          <w:color w:val="231F20"/>
          <w:spacing w:val="-4"/>
          <w:w w:val="110"/>
        </w:rPr>
        <w:t> </w:t>
      </w:r>
      <w:r>
        <w:rPr>
          <w:color w:val="231F20"/>
          <w:w w:val="110"/>
        </w:rPr>
        <w:t>a</w:t>
      </w:r>
      <w:r>
        <w:rPr>
          <w:color w:val="231F20"/>
          <w:spacing w:val="-4"/>
          <w:w w:val="110"/>
        </w:rPr>
        <w:t> </w:t>
      </w:r>
      <w:r>
        <w:rPr>
          <w:color w:val="231F20"/>
          <w:w w:val="110"/>
        </w:rPr>
        <w:t>partir</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voluntad</w:t>
      </w:r>
      <w:r>
        <w:rPr>
          <w:color w:val="231F20"/>
          <w:spacing w:val="-4"/>
          <w:w w:val="110"/>
        </w:rPr>
        <w:t> </w:t>
      </w:r>
      <w:r>
        <w:rPr>
          <w:color w:val="231F20"/>
          <w:w w:val="110"/>
        </w:rPr>
        <w:t>y</w:t>
      </w:r>
      <w:r>
        <w:rPr>
          <w:color w:val="231F20"/>
          <w:spacing w:val="-4"/>
          <w:w w:val="110"/>
        </w:rPr>
        <w:t> </w:t>
      </w:r>
      <w:r>
        <w:rPr>
          <w:color w:val="231F20"/>
          <w:w w:val="110"/>
        </w:rPr>
        <w:t>la</w:t>
      </w:r>
      <w:r>
        <w:rPr>
          <w:color w:val="231F20"/>
          <w:w w:val="105"/>
        </w:rPr>
        <w:t> </w:t>
      </w:r>
      <w:r>
        <w:rPr>
          <w:color w:val="231F20"/>
          <w:w w:val="110"/>
        </w:rPr>
        <w:t>libertad</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individuos.</w:t>
      </w:r>
      <w:r>
        <w:rPr>
          <w:color w:val="231F20"/>
          <w:spacing w:val="-7"/>
          <w:w w:val="110"/>
        </w:rPr>
        <w:t> </w:t>
      </w:r>
      <w:r>
        <w:rPr>
          <w:color w:val="231F20"/>
          <w:w w:val="110"/>
        </w:rPr>
        <w:t>En</w:t>
      </w:r>
      <w:r>
        <w:rPr>
          <w:color w:val="231F20"/>
          <w:spacing w:val="-7"/>
          <w:w w:val="110"/>
        </w:rPr>
        <w:t> </w:t>
      </w:r>
      <w:r>
        <w:rPr>
          <w:color w:val="231F20"/>
          <w:w w:val="110"/>
        </w:rPr>
        <w:t>ellas</w:t>
      </w:r>
      <w:r>
        <w:rPr>
          <w:color w:val="231F20"/>
          <w:spacing w:val="-7"/>
          <w:w w:val="110"/>
        </w:rPr>
        <w:t> </w:t>
      </w:r>
      <w:r>
        <w:rPr>
          <w:color w:val="231F20"/>
          <w:w w:val="110"/>
        </w:rPr>
        <w:t>se</w:t>
      </w:r>
      <w:r>
        <w:rPr>
          <w:color w:val="231F20"/>
          <w:spacing w:val="-7"/>
          <w:w w:val="110"/>
        </w:rPr>
        <w:t> </w:t>
      </w:r>
      <w:r>
        <w:rPr>
          <w:color w:val="231F20"/>
          <w:w w:val="110"/>
        </w:rPr>
        <w:t>reflejan</w:t>
      </w:r>
      <w:r>
        <w:rPr>
          <w:color w:val="231F20"/>
          <w:spacing w:val="-7"/>
          <w:w w:val="110"/>
        </w:rPr>
        <w:t> </w:t>
      </w:r>
      <w:r>
        <w:rPr>
          <w:color w:val="231F20"/>
          <w:w w:val="110"/>
        </w:rPr>
        <w:t>a</w:t>
      </w:r>
      <w:r>
        <w:rPr>
          <w:color w:val="231F20"/>
          <w:spacing w:val="-7"/>
          <w:w w:val="110"/>
        </w:rPr>
        <w:t> </w:t>
      </w:r>
      <w:r>
        <w:rPr>
          <w:color w:val="231F20"/>
          <w:w w:val="110"/>
        </w:rPr>
        <w:t>su</w:t>
      </w:r>
      <w:r>
        <w:rPr>
          <w:color w:val="231F20"/>
          <w:spacing w:val="-7"/>
          <w:w w:val="110"/>
        </w:rPr>
        <w:t> </w:t>
      </w:r>
      <w:r>
        <w:rPr>
          <w:color w:val="231F20"/>
          <w:w w:val="110"/>
        </w:rPr>
        <w:t>vez</w:t>
      </w:r>
      <w:r>
        <w:rPr>
          <w:color w:val="231F20"/>
          <w:spacing w:val="-7"/>
          <w:w w:val="110"/>
        </w:rPr>
        <w:t> </w:t>
      </w:r>
      <w:r>
        <w:rPr>
          <w:color w:val="231F20"/>
          <w:w w:val="110"/>
        </w:rPr>
        <w:t>tanto</w:t>
      </w:r>
      <w:r>
        <w:rPr>
          <w:color w:val="231F20"/>
          <w:spacing w:val="-7"/>
          <w:w w:val="110"/>
        </w:rPr>
        <w:t> </w:t>
      </w:r>
      <w:r>
        <w:rPr>
          <w:color w:val="231F20"/>
          <w:w w:val="110"/>
        </w:rPr>
        <w:t>pasiones</w:t>
      </w:r>
      <w:r>
        <w:rPr>
          <w:color w:val="231F20"/>
          <w:w w:val="108"/>
        </w:rPr>
        <w:t> </w:t>
      </w:r>
      <w:r>
        <w:rPr>
          <w:color w:val="231F20"/>
          <w:w w:val="110"/>
        </w:rPr>
        <w:t>aristocráticas como democráticas que van a impulsar</w:t>
      </w:r>
      <w:r>
        <w:rPr>
          <w:color w:val="231F20"/>
          <w:spacing w:val="17"/>
          <w:w w:val="110"/>
        </w:rPr>
        <w:t> </w:t>
      </w:r>
      <w:r>
        <w:rPr>
          <w:color w:val="231F20"/>
          <w:w w:val="110"/>
        </w:rPr>
        <w:t>el</w:t>
      </w:r>
      <w:r>
        <w:rPr>
          <w:color w:val="231F20"/>
          <w:spacing w:val="26"/>
          <w:w w:val="110"/>
        </w:rPr>
        <w:t> </w:t>
      </w:r>
      <w:r>
        <w:rPr>
          <w:color w:val="231F20"/>
          <w:w w:val="110"/>
        </w:rPr>
        <w:t>desarrollo</w:t>
      </w:r>
      <w:r>
        <w:rPr>
          <w:color w:val="231F20"/>
          <w:w w:val="110"/>
        </w:rPr>
        <w:t> </w:t>
      </w:r>
      <w:r>
        <w:rPr>
          <w:color w:val="231F20"/>
          <w:w w:val="110"/>
        </w:rPr>
        <w:t>de los partidos políticos más importantes en Estados Unidos</w:t>
      </w:r>
      <w:r>
        <w:rPr>
          <w:color w:val="231F20"/>
          <w:spacing w:val="47"/>
          <w:w w:val="110"/>
        </w:rPr>
        <w:t> </w:t>
      </w:r>
      <w:r>
        <w:rPr>
          <w:color w:val="231F20"/>
          <w:w w:val="110"/>
        </w:rPr>
        <w:t>bajo</w:t>
      </w:r>
      <w:r>
        <w:rPr>
          <w:color w:val="231F20"/>
          <w:spacing w:val="5"/>
          <w:w w:val="110"/>
        </w:rPr>
        <w:t> </w:t>
      </w:r>
      <w:r>
        <w:rPr>
          <w:color w:val="231F20"/>
          <w:w w:val="110"/>
        </w:rPr>
        <w:t>la</w:t>
      </w:r>
      <w:r>
        <w:rPr>
          <w:color w:val="231F20"/>
          <w:w w:val="105"/>
        </w:rPr>
        <w:t> </w:t>
      </w:r>
      <w:r>
        <w:rPr>
          <w:color w:val="231F20"/>
          <w:w w:val="110"/>
        </w:rPr>
        <w:t>orientación de la constitución política más antigua que</w:t>
      </w:r>
      <w:r>
        <w:rPr>
          <w:color w:val="231F20"/>
          <w:spacing w:val="47"/>
          <w:w w:val="110"/>
        </w:rPr>
        <w:t> </w:t>
      </w:r>
      <w:r>
        <w:rPr>
          <w:color w:val="231F20"/>
          <w:w w:val="110"/>
        </w:rPr>
        <w:t>se</w:t>
      </w:r>
      <w:r>
        <w:rPr>
          <w:color w:val="231F20"/>
          <w:spacing w:val="5"/>
          <w:w w:val="110"/>
        </w:rPr>
        <w:t> </w:t>
      </w:r>
      <w:r>
        <w:rPr>
          <w:color w:val="231F20"/>
          <w:w w:val="110"/>
        </w:rPr>
        <w:t>encuentra</w:t>
      </w:r>
      <w:r>
        <w:rPr>
          <w:color w:val="231F20"/>
          <w:w w:val="114"/>
        </w:rPr>
        <w:t> </w:t>
      </w:r>
      <w:r>
        <w:rPr>
          <w:color w:val="231F20"/>
          <w:w w:val="110"/>
        </w:rPr>
        <w:t>en vigencia. Si bien, el gobierno de la nueva república va a</w:t>
      </w:r>
      <w:r>
        <w:rPr>
          <w:color w:val="231F20"/>
          <w:spacing w:val="30"/>
          <w:w w:val="110"/>
        </w:rPr>
        <w:t> </w:t>
      </w:r>
      <w:r>
        <w:rPr>
          <w:color w:val="231F20"/>
          <w:spacing w:val="-5"/>
          <w:w w:val="110"/>
        </w:rPr>
        <w:t>ser,</w:t>
      </w:r>
      <w:r>
        <w:rPr>
          <w:color w:val="231F20"/>
          <w:spacing w:val="7"/>
          <w:w w:val="110"/>
        </w:rPr>
        <w:t> </w:t>
      </w:r>
      <w:r>
        <w:rPr>
          <w:color w:val="231F20"/>
          <w:w w:val="110"/>
        </w:rPr>
        <w:t>con</w:t>
      </w:r>
      <w:r>
        <w:rPr>
          <w:color w:val="231F20"/>
          <w:w w:val="112"/>
        </w:rPr>
        <w:t> </w:t>
      </w:r>
      <w:r>
        <w:rPr>
          <w:color w:val="231F20"/>
          <w:w w:val="110"/>
        </w:rPr>
        <w:t>Thomas Jefferson en 1801, dominado por los</w:t>
      </w:r>
      <w:r>
        <w:rPr>
          <w:color w:val="231F20"/>
          <w:spacing w:val="39"/>
          <w:w w:val="110"/>
        </w:rPr>
        <w:t> </w:t>
      </w:r>
      <w:r>
        <w:rPr>
          <w:color w:val="231F20"/>
          <w:w w:val="110"/>
        </w:rPr>
        <w:t>republicanos,</w:t>
      </w:r>
      <w:r>
        <w:rPr>
          <w:color w:val="231F20"/>
          <w:spacing w:val="5"/>
          <w:w w:val="110"/>
        </w:rPr>
        <w:t> </w:t>
      </w:r>
      <w:r>
        <w:rPr>
          <w:color w:val="231F20"/>
          <w:w w:val="110"/>
        </w:rPr>
        <w:t>muchos</w:t>
      </w:r>
      <w:r>
        <w:rPr>
          <w:color w:val="231F20"/>
          <w:w w:val="109"/>
        </w:rPr>
        <w:t> </w:t>
      </w:r>
      <w:r>
        <w:rPr>
          <w:color w:val="231F20"/>
          <w:w w:val="110"/>
        </w:rPr>
        <w:t>de los principios de sus opositores van a ser tenidos en cuenta en </w:t>
      </w:r>
      <w:r>
        <w:rPr>
          <w:color w:val="231F20"/>
          <w:spacing w:val="31"/>
          <w:w w:val="110"/>
        </w:rPr>
        <w:t> </w:t>
      </w:r>
      <w:r>
        <w:rPr>
          <w:color w:val="231F20"/>
          <w:w w:val="110"/>
        </w:rPr>
        <w:t>el</w:t>
      </w:r>
    </w:p>
    <w:p>
      <w:pPr>
        <w:pStyle w:val="BodyText"/>
        <w:ind w:left="100"/>
        <w:jc w:val="both"/>
      </w:pPr>
      <w:r>
        <w:rPr>
          <w:color w:val="231F20"/>
          <w:w w:val="110"/>
        </w:rPr>
        <w:t>momento de la construcción de la constitución  federal.</w:t>
      </w:r>
    </w:p>
    <w:p>
      <w:pPr>
        <w:pStyle w:val="BodyText"/>
        <w:spacing w:line="261" w:lineRule="auto" w:before="20"/>
        <w:ind w:left="100" w:right="112" w:firstLine="240"/>
        <w:jc w:val="both"/>
      </w:pPr>
      <w:r>
        <w:rPr>
          <w:color w:val="231F20"/>
          <w:w w:val="110"/>
        </w:rPr>
        <w:t>La idea de la seguridad republicana, pronto será asociada a la misión que la clase dirigente conservadora y liberal de Estados Uni- dos tiene frente al mundo, colocándolos como los elegidos por Dios para diseminar en el planeta sus valores. Con la doctrina del destino manifiesto, la alusión a la democracia, la libertad de mercados y la civilización va a justificar la fase de intervención del proyecto de dominación imperial capitalista que se alimentará de la doctrina Monroe en 1823:</w:t>
      </w:r>
    </w:p>
    <w:p>
      <w:pPr>
        <w:pStyle w:val="BodyText"/>
        <w:spacing w:before="4"/>
        <w:rPr>
          <w:sz w:val="23"/>
        </w:rPr>
      </w:pPr>
    </w:p>
    <w:p>
      <w:pPr>
        <w:spacing w:line="290" w:lineRule="auto" w:before="0"/>
        <w:ind w:left="100" w:right="117" w:firstLine="0"/>
        <w:jc w:val="both"/>
        <w:rPr>
          <w:sz w:val="18"/>
        </w:rPr>
      </w:pPr>
      <w:r>
        <w:rPr>
          <w:color w:val="231F20"/>
          <w:w w:val="110"/>
          <w:sz w:val="18"/>
        </w:rPr>
        <w:t>el cumplimiento de nuestro destino manifiesto es extendernos por todo el continente</w:t>
      </w:r>
      <w:r>
        <w:rPr>
          <w:color w:val="231F20"/>
          <w:spacing w:val="-9"/>
          <w:w w:val="110"/>
          <w:sz w:val="18"/>
        </w:rPr>
        <w:t> </w:t>
      </w:r>
      <w:r>
        <w:rPr>
          <w:color w:val="231F20"/>
          <w:w w:val="110"/>
          <w:sz w:val="18"/>
        </w:rPr>
        <w:t>que</w:t>
      </w:r>
      <w:r>
        <w:rPr>
          <w:color w:val="231F20"/>
          <w:spacing w:val="-9"/>
          <w:w w:val="110"/>
          <w:sz w:val="18"/>
        </w:rPr>
        <w:t> </w:t>
      </w:r>
      <w:r>
        <w:rPr>
          <w:color w:val="231F20"/>
          <w:w w:val="110"/>
          <w:sz w:val="18"/>
        </w:rPr>
        <w:t>nos</w:t>
      </w:r>
      <w:r>
        <w:rPr>
          <w:color w:val="231F20"/>
          <w:spacing w:val="-9"/>
          <w:w w:val="110"/>
          <w:sz w:val="18"/>
        </w:rPr>
        <w:t> </w:t>
      </w:r>
      <w:r>
        <w:rPr>
          <w:color w:val="231F20"/>
          <w:w w:val="110"/>
          <w:sz w:val="18"/>
        </w:rPr>
        <w:t>ha</w:t>
      </w:r>
      <w:r>
        <w:rPr>
          <w:color w:val="231F20"/>
          <w:spacing w:val="-9"/>
          <w:w w:val="110"/>
          <w:sz w:val="18"/>
        </w:rPr>
        <w:t> </w:t>
      </w:r>
      <w:r>
        <w:rPr>
          <w:color w:val="231F20"/>
          <w:w w:val="110"/>
          <w:sz w:val="18"/>
        </w:rPr>
        <w:t>sido</w:t>
      </w:r>
      <w:r>
        <w:rPr>
          <w:color w:val="231F20"/>
          <w:spacing w:val="-9"/>
          <w:w w:val="110"/>
          <w:sz w:val="18"/>
        </w:rPr>
        <w:t> </w:t>
      </w:r>
      <w:r>
        <w:rPr>
          <w:color w:val="231F20"/>
          <w:w w:val="110"/>
          <w:sz w:val="18"/>
        </w:rPr>
        <w:t>asignado</w:t>
      </w:r>
      <w:r>
        <w:rPr>
          <w:color w:val="231F20"/>
          <w:spacing w:val="-9"/>
          <w:w w:val="110"/>
          <w:sz w:val="18"/>
        </w:rPr>
        <w:t> </w:t>
      </w:r>
      <w:r>
        <w:rPr>
          <w:color w:val="231F20"/>
          <w:w w:val="110"/>
          <w:sz w:val="18"/>
        </w:rPr>
        <w:t>por</w:t>
      </w:r>
      <w:r>
        <w:rPr>
          <w:color w:val="231F20"/>
          <w:spacing w:val="-9"/>
          <w:w w:val="110"/>
          <w:sz w:val="18"/>
        </w:rPr>
        <w:t> </w:t>
      </w:r>
      <w:r>
        <w:rPr>
          <w:color w:val="231F20"/>
          <w:w w:val="110"/>
          <w:sz w:val="18"/>
        </w:rPr>
        <w:t>la</w:t>
      </w:r>
      <w:r>
        <w:rPr>
          <w:color w:val="231F20"/>
          <w:spacing w:val="-9"/>
          <w:w w:val="110"/>
          <w:sz w:val="18"/>
        </w:rPr>
        <w:t> </w:t>
      </w:r>
      <w:r>
        <w:rPr>
          <w:color w:val="231F20"/>
          <w:w w:val="110"/>
          <w:sz w:val="18"/>
        </w:rPr>
        <w:t>Providencia</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el</w:t>
      </w:r>
      <w:r>
        <w:rPr>
          <w:color w:val="231F20"/>
          <w:spacing w:val="-10"/>
          <w:w w:val="110"/>
          <w:sz w:val="18"/>
        </w:rPr>
        <w:t> </w:t>
      </w:r>
      <w:r>
        <w:rPr>
          <w:i/>
          <w:color w:val="231F20"/>
          <w:w w:val="110"/>
          <w:sz w:val="18"/>
        </w:rPr>
        <w:t>desarrollo</w:t>
      </w:r>
      <w:r>
        <w:rPr>
          <w:i/>
          <w:color w:val="231F20"/>
          <w:spacing w:val="-9"/>
          <w:w w:val="110"/>
          <w:sz w:val="18"/>
        </w:rPr>
        <w:t> </w:t>
      </w:r>
      <w:r>
        <w:rPr>
          <w:color w:val="231F20"/>
          <w:w w:val="110"/>
          <w:sz w:val="18"/>
        </w:rPr>
        <w:t>del</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spacing w:line="290" w:lineRule="auto" w:before="71"/>
        <w:ind w:left="100" w:right="118" w:firstLine="0"/>
        <w:jc w:val="both"/>
        <w:rPr>
          <w:sz w:val="18"/>
        </w:rPr>
      </w:pPr>
      <w:r>
        <w:rPr>
          <w:color w:val="231F20"/>
          <w:w w:val="110"/>
          <w:sz w:val="18"/>
        </w:rPr>
        <w:t>gran experimento de </w:t>
      </w:r>
      <w:r>
        <w:rPr>
          <w:i/>
          <w:color w:val="231F20"/>
          <w:w w:val="110"/>
          <w:sz w:val="18"/>
        </w:rPr>
        <w:t>libertad </w:t>
      </w:r>
      <w:r>
        <w:rPr>
          <w:color w:val="231F20"/>
          <w:w w:val="110"/>
          <w:sz w:val="18"/>
        </w:rPr>
        <w:t>y autogobierno. Es un derecho como el que tiene</w:t>
      </w:r>
      <w:r>
        <w:rPr>
          <w:color w:val="231F20"/>
          <w:spacing w:val="-9"/>
          <w:w w:val="110"/>
          <w:sz w:val="18"/>
        </w:rPr>
        <w:t> </w:t>
      </w:r>
      <w:r>
        <w:rPr>
          <w:color w:val="231F20"/>
          <w:w w:val="110"/>
          <w:sz w:val="18"/>
        </w:rPr>
        <w:t>un</w:t>
      </w:r>
      <w:r>
        <w:rPr>
          <w:color w:val="231F20"/>
          <w:spacing w:val="-9"/>
          <w:w w:val="110"/>
          <w:sz w:val="18"/>
        </w:rPr>
        <w:t> </w:t>
      </w:r>
      <w:r>
        <w:rPr>
          <w:color w:val="231F20"/>
          <w:w w:val="110"/>
          <w:sz w:val="18"/>
        </w:rPr>
        <w:t>árbol</w:t>
      </w:r>
      <w:r>
        <w:rPr>
          <w:color w:val="231F20"/>
          <w:spacing w:val="-9"/>
          <w:w w:val="110"/>
          <w:sz w:val="18"/>
        </w:rPr>
        <w:t> </w:t>
      </w:r>
      <w:r>
        <w:rPr>
          <w:color w:val="231F20"/>
          <w:w w:val="110"/>
          <w:sz w:val="18"/>
        </w:rPr>
        <w:t>de</w:t>
      </w:r>
      <w:r>
        <w:rPr>
          <w:color w:val="231F20"/>
          <w:spacing w:val="-9"/>
          <w:w w:val="110"/>
          <w:sz w:val="18"/>
        </w:rPr>
        <w:t> </w:t>
      </w:r>
      <w:r>
        <w:rPr>
          <w:color w:val="231F20"/>
          <w:w w:val="110"/>
          <w:sz w:val="18"/>
        </w:rPr>
        <w:t>obtener</w:t>
      </w:r>
      <w:r>
        <w:rPr>
          <w:color w:val="231F20"/>
          <w:spacing w:val="-9"/>
          <w:w w:val="110"/>
          <w:sz w:val="18"/>
        </w:rPr>
        <w:t> </w:t>
      </w:r>
      <w:r>
        <w:rPr>
          <w:color w:val="231F20"/>
          <w:w w:val="110"/>
          <w:sz w:val="18"/>
        </w:rPr>
        <w:t>el</w:t>
      </w:r>
      <w:r>
        <w:rPr>
          <w:color w:val="231F20"/>
          <w:spacing w:val="-9"/>
          <w:w w:val="110"/>
          <w:sz w:val="18"/>
        </w:rPr>
        <w:t> </w:t>
      </w:r>
      <w:r>
        <w:rPr>
          <w:color w:val="231F20"/>
          <w:w w:val="110"/>
          <w:sz w:val="18"/>
        </w:rPr>
        <w:t>aire</w:t>
      </w:r>
      <w:r>
        <w:rPr>
          <w:color w:val="231F20"/>
          <w:spacing w:val="-9"/>
          <w:w w:val="110"/>
          <w:sz w:val="18"/>
        </w:rPr>
        <w:t> </w:t>
      </w:r>
      <w:r>
        <w:rPr>
          <w:color w:val="231F20"/>
          <w:w w:val="110"/>
          <w:sz w:val="18"/>
        </w:rPr>
        <w:t>y</w:t>
      </w:r>
      <w:r>
        <w:rPr>
          <w:color w:val="231F20"/>
          <w:spacing w:val="-9"/>
          <w:w w:val="110"/>
          <w:sz w:val="18"/>
        </w:rPr>
        <w:t> </w:t>
      </w:r>
      <w:r>
        <w:rPr>
          <w:color w:val="231F20"/>
          <w:w w:val="110"/>
          <w:sz w:val="18"/>
        </w:rPr>
        <w:t>la</w:t>
      </w:r>
      <w:r>
        <w:rPr>
          <w:color w:val="231F20"/>
          <w:spacing w:val="-9"/>
          <w:w w:val="110"/>
          <w:sz w:val="18"/>
        </w:rPr>
        <w:t> </w:t>
      </w:r>
      <w:r>
        <w:rPr>
          <w:color w:val="231F20"/>
          <w:w w:val="110"/>
          <w:sz w:val="18"/>
        </w:rPr>
        <w:t>tierra</w:t>
      </w:r>
      <w:r>
        <w:rPr>
          <w:color w:val="231F20"/>
          <w:spacing w:val="-9"/>
          <w:w w:val="110"/>
          <w:sz w:val="18"/>
        </w:rPr>
        <w:t> </w:t>
      </w:r>
      <w:r>
        <w:rPr>
          <w:color w:val="231F20"/>
          <w:w w:val="110"/>
          <w:sz w:val="18"/>
        </w:rPr>
        <w:t>necesarios</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el</w:t>
      </w:r>
      <w:r>
        <w:rPr>
          <w:color w:val="231F20"/>
          <w:spacing w:val="-9"/>
          <w:w w:val="110"/>
          <w:sz w:val="18"/>
        </w:rPr>
        <w:t> </w:t>
      </w:r>
      <w:r>
        <w:rPr>
          <w:color w:val="231F20"/>
          <w:w w:val="110"/>
          <w:sz w:val="18"/>
        </w:rPr>
        <w:t>desarrollo</w:t>
      </w:r>
      <w:r>
        <w:rPr>
          <w:color w:val="231F20"/>
          <w:spacing w:val="-9"/>
          <w:w w:val="110"/>
          <w:sz w:val="18"/>
        </w:rPr>
        <w:t> </w:t>
      </w:r>
      <w:r>
        <w:rPr>
          <w:color w:val="231F20"/>
          <w:w w:val="110"/>
          <w:sz w:val="18"/>
        </w:rPr>
        <w:t>pleno de sus capacidades y el crecimiento que tiene como destino” (O´Sullivan, 1845).</w:t>
      </w:r>
    </w:p>
    <w:p>
      <w:pPr>
        <w:pStyle w:val="BodyText"/>
        <w:spacing w:before="2"/>
      </w:pPr>
    </w:p>
    <w:p>
      <w:pPr>
        <w:pStyle w:val="BodyText"/>
        <w:spacing w:line="261" w:lineRule="auto"/>
        <w:ind w:left="100" w:right="117" w:firstLine="240"/>
        <w:jc w:val="both"/>
      </w:pPr>
      <w:r>
        <w:rPr>
          <w:color w:val="231F20"/>
          <w:w w:val="110"/>
        </w:rPr>
        <w:t>Esta doctrina va a justificar su expansión territorial en México y la anexión de California, </w:t>
      </w:r>
      <w:r>
        <w:rPr>
          <w:color w:val="231F20"/>
          <w:spacing w:val="-4"/>
          <w:w w:val="110"/>
        </w:rPr>
        <w:t>Texas </w:t>
      </w:r>
      <w:r>
        <w:rPr>
          <w:color w:val="231F20"/>
          <w:w w:val="110"/>
        </w:rPr>
        <w:t>y Nuevo México así como la inter- vención en Panamá, Centro América y países del Cono </w:t>
      </w:r>
      <w:r>
        <w:rPr>
          <w:color w:val="231F20"/>
          <w:spacing w:val="-5"/>
          <w:w w:val="110"/>
        </w:rPr>
        <w:t>Sur. </w:t>
      </w:r>
      <w:r>
        <w:rPr>
          <w:color w:val="231F20"/>
          <w:w w:val="110"/>
        </w:rPr>
        <w:t>Pero es sobre todo a partir de la posguerra que la expansión de la doctrina Monroe hacia otras zonas del mundo que se consolida el dominio estadunidense a partir del desarrollo de una estrategia militar</w:t>
      </w:r>
      <w:r>
        <w:rPr>
          <w:color w:val="231F20"/>
          <w:spacing w:val="-17"/>
          <w:w w:val="110"/>
        </w:rPr>
        <w:t> </w:t>
      </w:r>
      <w:r>
        <w:rPr>
          <w:color w:val="231F20"/>
          <w:w w:val="110"/>
        </w:rPr>
        <w:t>global, repartiendo el planeta en regiones y delegando su responsabilidad a un comando militar (Amín, 2004:</w:t>
      </w:r>
      <w:r>
        <w:rPr>
          <w:color w:val="231F20"/>
          <w:spacing w:val="37"/>
          <w:w w:val="110"/>
        </w:rPr>
        <w:t> </w:t>
      </w:r>
      <w:r>
        <w:rPr>
          <w:color w:val="231F20"/>
          <w:w w:val="110"/>
        </w:rPr>
        <w:t>76)</w:t>
      </w:r>
    </w:p>
    <w:p>
      <w:pPr>
        <w:pStyle w:val="BodyText"/>
        <w:spacing w:line="261" w:lineRule="auto"/>
        <w:ind w:left="100" w:right="117" w:firstLine="240"/>
        <w:jc w:val="both"/>
      </w:pPr>
      <w:r>
        <w:rPr>
          <w:color w:val="231F20"/>
          <w:w w:val="110"/>
        </w:rPr>
        <w:t>Entre los años 68 y 78, los gobiernos de Nixon y Carter con el asesoramiento de Kissinger y Brezinski, en los años de la consoli- dación del sistema socialista internacional y la fortaleza nuclear de la Unión Soviética, van combinar momentos de diálogos colocando en paréntesis las posturas belicistas. Ello, sin embargo, no entraña cambios en la continuidad establecida por la hegemonía imperial estadunidense que mantiene intactas sus posturas geopolíticas, im- perialistas</w:t>
      </w:r>
      <w:r>
        <w:rPr>
          <w:color w:val="231F20"/>
          <w:spacing w:val="-6"/>
          <w:w w:val="110"/>
        </w:rPr>
        <w:t> </w:t>
      </w:r>
      <w:r>
        <w:rPr>
          <w:color w:val="231F20"/>
          <w:w w:val="110"/>
        </w:rPr>
        <w:t>y</w:t>
      </w:r>
      <w:r>
        <w:rPr>
          <w:color w:val="231F20"/>
          <w:spacing w:val="-6"/>
          <w:w w:val="110"/>
        </w:rPr>
        <w:t> </w:t>
      </w:r>
      <w:r>
        <w:rPr>
          <w:color w:val="231F20"/>
          <w:w w:val="110"/>
        </w:rPr>
        <w:t>antisocialistas</w:t>
      </w:r>
      <w:r>
        <w:rPr>
          <w:color w:val="231F20"/>
          <w:spacing w:val="-6"/>
          <w:w w:val="110"/>
        </w:rPr>
        <w:t> </w:t>
      </w:r>
      <w:r>
        <w:rPr>
          <w:color w:val="231F20"/>
          <w:w w:val="110"/>
        </w:rPr>
        <w:t>de</w:t>
      </w:r>
      <w:r>
        <w:rPr>
          <w:color w:val="231F20"/>
          <w:spacing w:val="-6"/>
          <w:w w:val="110"/>
        </w:rPr>
        <w:t> </w:t>
      </w:r>
      <w:r>
        <w:rPr>
          <w:color w:val="231F20"/>
          <w:w w:val="110"/>
        </w:rPr>
        <w:t>línea</w:t>
      </w:r>
      <w:r>
        <w:rPr>
          <w:color w:val="231F20"/>
          <w:spacing w:val="-6"/>
          <w:w w:val="110"/>
        </w:rPr>
        <w:t> </w:t>
      </w:r>
      <w:r>
        <w:rPr>
          <w:color w:val="231F20"/>
          <w:w w:val="110"/>
        </w:rPr>
        <w:t>dura</w:t>
      </w:r>
      <w:r>
        <w:rPr>
          <w:color w:val="231F20"/>
          <w:spacing w:val="-6"/>
          <w:w w:val="110"/>
        </w:rPr>
        <w:t> </w:t>
      </w:r>
      <w:r>
        <w:rPr>
          <w:color w:val="231F20"/>
          <w:w w:val="110"/>
        </w:rPr>
        <w:t>(Gonzales</w:t>
      </w:r>
      <w:r>
        <w:rPr>
          <w:color w:val="231F20"/>
          <w:spacing w:val="-6"/>
          <w:w w:val="110"/>
        </w:rPr>
        <w:t> </w:t>
      </w:r>
      <w:r>
        <w:rPr>
          <w:color w:val="231F20"/>
          <w:w w:val="110"/>
        </w:rPr>
        <w:t>Morales:</w:t>
      </w:r>
      <w:r>
        <w:rPr>
          <w:color w:val="231F20"/>
          <w:spacing w:val="-6"/>
          <w:w w:val="110"/>
        </w:rPr>
        <w:t> </w:t>
      </w:r>
      <w:r>
        <w:rPr>
          <w:color w:val="231F20"/>
          <w:w w:val="110"/>
        </w:rPr>
        <w:t>2).</w:t>
      </w:r>
      <w:r>
        <w:rPr>
          <w:color w:val="231F20"/>
          <w:spacing w:val="-6"/>
          <w:w w:val="110"/>
        </w:rPr>
        <w:t> </w:t>
      </w:r>
      <w:r>
        <w:rPr>
          <w:color w:val="231F20"/>
          <w:w w:val="110"/>
        </w:rPr>
        <w:t>Mas tarde, la administración Clinton inicia una etapa de cambios a partir del derrumbe del socialismo europeo combinando su intervención en “conflictos de baja intensidad” con elementos endurecedores de su política exterior como la ley Helms Burton, el Plan Colombia, el apoyo de la intervención en</w:t>
      </w:r>
      <w:r>
        <w:rPr>
          <w:color w:val="231F20"/>
          <w:spacing w:val="-9"/>
          <w:w w:val="110"/>
        </w:rPr>
        <w:t> </w:t>
      </w:r>
      <w:r>
        <w:rPr>
          <w:color w:val="231F20"/>
          <w:w w:val="110"/>
        </w:rPr>
        <w:t>Kosovo.</w:t>
      </w:r>
    </w:p>
    <w:p>
      <w:pPr>
        <w:pStyle w:val="BodyText"/>
        <w:spacing w:line="261" w:lineRule="auto"/>
        <w:ind w:left="100" w:right="117" w:firstLine="240"/>
        <w:jc w:val="both"/>
      </w:pPr>
      <w:r>
        <w:rPr>
          <w:color w:val="231F20"/>
          <w:w w:val="110"/>
        </w:rPr>
        <w:t>Mucho se recuerda en la campaña actual del candidato</w:t>
      </w:r>
      <w:r>
        <w:rPr>
          <w:color w:val="231F20"/>
          <w:spacing w:val="-16"/>
          <w:w w:val="110"/>
        </w:rPr>
        <w:t> </w:t>
      </w:r>
      <w:r>
        <w:rPr>
          <w:color w:val="231F20"/>
          <w:w w:val="110"/>
        </w:rPr>
        <w:t>demócrata Barack Obama el periodo del malogrado presidente Kennedy, y con él</w:t>
      </w:r>
      <w:r>
        <w:rPr>
          <w:color w:val="231F20"/>
          <w:spacing w:val="-10"/>
          <w:w w:val="110"/>
        </w:rPr>
        <w:t> </w:t>
      </w:r>
      <w:r>
        <w:rPr>
          <w:color w:val="231F20"/>
          <w:w w:val="110"/>
        </w:rPr>
        <w:t>las</w:t>
      </w:r>
      <w:r>
        <w:rPr>
          <w:color w:val="231F20"/>
          <w:spacing w:val="-10"/>
          <w:w w:val="110"/>
        </w:rPr>
        <w:t> </w:t>
      </w:r>
      <w:r>
        <w:rPr>
          <w:color w:val="231F20"/>
          <w:w w:val="110"/>
        </w:rPr>
        <w:t>referencias</w:t>
      </w:r>
      <w:r>
        <w:rPr>
          <w:color w:val="231F20"/>
          <w:spacing w:val="-10"/>
          <w:w w:val="110"/>
        </w:rPr>
        <w:t> </w:t>
      </w:r>
      <w:r>
        <w:rPr>
          <w:color w:val="231F20"/>
          <w:w w:val="110"/>
        </w:rPr>
        <w:t>a</w:t>
      </w:r>
      <w:r>
        <w:rPr>
          <w:color w:val="231F20"/>
          <w:spacing w:val="-10"/>
          <w:w w:val="110"/>
        </w:rPr>
        <w:t> </w:t>
      </w:r>
      <w:r>
        <w:rPr>
          <w:color w:val="231F20"/>
          <w:w w:val="110"/>
        </w:rPr>
        <w:t>una</w:t>
      </w:r>
      <w:r>
        <w:rPr>
          <w:color w:val="231F20"/>
          <w:spacing w:val="-10"/>
          <w:w w:val="110"/>
        </w:rPr>
        <w:t> </w:t>
      </w:r>
      <w:r>
        <w:rPr>
          <w:color w:val="231F20"/>
          <w:w w:val="110"/>
        </w:rPr>
        <w:t>diplomacia</w:t>
      </w:r>
      <w:r>
        <w:rPr>
          <w:color w:val="231F20"/>
          <w:spacing w:val="-10"/>
          <w:w w:val="110"/>
        </w:rPr>
        <w:t> </w:t>
      </w:r>
      <w:r>
        <w:rPr>
          <w:color w:val="231F20"/>
          <w:w w:val="110"/>
        </w:rPr>
        <w:t>de</w:t>
      </w:r>
      <w:r>
        <w:rPr>
          <w:color w:val="231F20"/>
          <w:spacing w:val="-10"/>
          <w:w w:val="110"/>
        </w:rPr>
        <w:t> </w:t>
      </w:r>
      <w:r>
        <w:rPr>
          <w:color w:val="231F20"/>
          <w:w w:val="110"/>
        </w:rPr>
        <w:t>poder</w:t>
      </w:r>
      <w:r>
        <w:rPr>
          <w:color w:val="231F20"/>
          <w:spacing w:val="-10"/>
          <w:w w:val="110"/>
        </w:rPr>
        <w:t> </w:t>
      </w:r>
      <w:r>
        <w:rPr>
          <w:color w:val="231F20"/>
          <w:w w:val="110"/>
        </w:rPr>
        <w:t>suave</w:t>
      </w:r>
      <w:r>
        <w:rPr>
          <w:color w:val="231F20"/>
          <w:spacing w:val="-10"/>
          <w:w w:val="110"/>
        </w:rPr>
        <w:t> </w:t>
      </w:r>
      <w:r>
        <w:rPr>
          <w:color w:val="231F20"/>
          <w:w w:val="110"/>
        </w:rPr>
        <w:t>“soft</w:t>
      </w:r>
      <w:r>
        <w:rPr>
          <w:color w:val="231F20"/>
          <w:spacing w:val="-10"/>
          <w:w w:val="110"/>
        </w:rPr>
        <w:t> </w:t>
      </w:r>
      <w:r>
        <w:rPr>
          <w:color w:val="231F20"/>
          <w:w w:val="110"/>
        </w:rPr>
        <w:t>power”</w:t>
      </w:r>
      <w:r>
        <w:rPr>
          <w:color w:val="231F20"/>
          <w:spacing w:val="-10"/>
          <w:w w:val="110"/>
        </w:rPr>
        <w:t> </w:t>
      </w:r>
      <w:r>
        <w:rPr>
          <w:color w:val="231F20"/>
          <w:w w:val="110"/>
        </w:rPr>
        <w:t>com- binando ayuda económica y diplomacia. Las referencias a sus</w:t>
      </w:r>
      <w:r>
        <w:rPr>
          <w:color w:val="231F20"/>
          <w:spacing w:val="-14"/>
          <w:w w:val="110"/>
        </w:rPr>
        <w:t> </w:t>
      </w:r>
      <w:r>
        <w:rPr>
          <w:color w:val="231F20"/>
          <w:w w:val="110"/>
        </w:rPr>
        <w:t>orien- taciones éticas de base, y a la idea de articular la sociedad en torno  a los valores del sueño americano buscan despertar viejos referentes en una sociedad desesperanzada, derrotada y apática por la larga</w:t>
      </w:r>
      <w:r>
        <w:rPr>
          <w:color w:val="231F20"/>
          <w:spacing w:val="-17"/>
          <w:w w:val="110"/>
        </w:rPr>
        <w:t> </w:t>
      </w:r>
      <w:r>
        <w:rPr>
          <w:color w:val="231F20"/>
          <w:w w:val="110"/>
        </w:rPr>
        <w:t>no- che republicana (Kennedy, 2008). Con la concepción de la “Alianza para el progreso” orientada a “contrarrestar la presión de la extrema izquierda latinoamericana” (Che, 1961(2006): 52) se condicionaban las ayudas y recompensas por un flujo de capital determinado “solo si</w:t>
      </w:r>
      <w:r>
        <w:rPr>
          <w:color w:val="231F20"/>
          <w:spacing w:val="-25"/>
          <w:w w:val="110"/>
        </w:rPr>
        <w:t> </w:t>
      </w:r>
      <w:r>
        <w:rPr>
          <w:color w:val="231F20"/>
          <w:w w:val="110"/>
        </w:rPr>
        <w:t>Latinoamérica</w:t>
      </w:r>
      <w:r>
        <w:rPr>
          <w:color w:val="231F20"/>
          <w:spacing w:val="-25"/>
          <w:w w:val="110"/>
        </w:rPr>
        <w:t> </w:t>
      </w:r>
      <w:r>
        <w:rPr>
          <w:color w:val="231F20"/>
          <w:w w:val="110"/>
        </w:rPr>
        <w:t>toma</w:t>
      </w:r>
      <w:r>
        <w:rPr>
          <w:color w:val="231F20"/>
          <w:spacing w:val="-25"/>
          <w:w w:val="110"/>
        </w:rPr>
        <w:t> </w:t>
      </w:r>
      <w:r>
        <w:rPr>
          <w:color w:val="231F20"/>
          <w:w w:val="110"/>
        </w:rPr>
        <w:t>las</w:t>
      </w:r>
      <w:r>
        <w:rPr>
          <w:color w:val="231F20"/>
          <w:spacing w:val="-25"/>
          <w:w w:val="110"/>
        </w:rPr>
        <w:t> </w:t>
      </w:r>
      <w:r>
        <w:rPr>
          <w:color w:val="231F20"/>
          <w:w w:val="110"/>
        </w:rPr>
        <w:t>medidas</w:t>
      </w:r>
      <w:r>
        <w:rPr>
          <w:color w:val="231F20"/>
          <w:spacing w:val="-25"/>
          <w:w w:val="110"/>
        </w:rPr>
        <w:t> </w:t>
      </w:r>
      <w:r>
        <w:rPr>
          <w:color w:val="231F20"/>
          <w:w w:val="110"/>
        </w:rPr>
        <w:t>necesarias”</w:t>
      </w:r>
      <w:r>
        <w:rPr>
          <w:color w:val="231F20"/>
          <w:spacing w:val="-25"/>
          <w:w w:val="110"/>
        </w:rPr>
        <w:t> </w:t>
      </w:r>
      <w:r>
        <w:rPr>
          <w:color w:val="231F20"/>
          <w:w w:val="110"/>
        </w:rPr>
        <w:t>(Che,</w:t>
      </w:r>
      <w:r>
        <w:rPr>
          <w:color w:val="231F20"/>
          <w:spacing w:val="-25"/>
          <w:w w:val="110"/>
        </w:rPr>
        <w:t> </w:t>
      </w:r>
      <w:r>
        <w:rPr>
          <w:color w:val="231F20"/>
          <w:w w:val="110"/>
        </w:rPr>
        <w:t>1961(2006):</w:t>
      </w:r>
      <w:r>
        <w:rPr>
          <w:color w:val="231F20"/>
          <w:spacing w:val="-25"/>
          <w:w w:val="110"/>
        </w:rPr>
        <w:t> </w:t>
      </w:r>
      <w:r>
        <w:rPr>
          <w:color w:val="231F20"/>
          <w:w w:val="110"/>
        </w:rPr>
        <w:t>30). Esta</w:t>
      </w:r>
      <w:r>
        <w:rPr>
          <w:color w:val="231F20"/>
          <w:spacing w:val="-11"/>
          <w:w w:val="110"/>
        </w:rPr>
        <w:t> </w:t>
      </w:r>
      <w:r>
        <w:rPr>
          <w:color w:val="231F20"/>
          <w:w w:val="110"/>
        </w:rPr>
        <w:t>estrategia</w:t>
      </w:r>
      <w:r>
        <w:rPr>
          <w:color w:val="231F20"/>
          <w:spacing w:val="-11"/>
          <w:w w:val="110"/>
        </w:rPr>
        <w:t> </w:t>
      </w:r>
      <w:r>
        <w:rPr>
          <w:color w:val="231F20"/>
          <w:w w:val="110"/>
        </w:rPr>
        <w:t>combinada</w:t>
      </w:r>
      <w:r>
        <w:rPr>
          <w:color w:val="231F20"/>
          <w:spacing w:val="-11"/>
          <w:w w:val="110"/>
        </w:rPr>
        <w:t> </w:t>
      </w:r>
      <w:r>
        <w:rPr>
          <w:color w:val="231F20"/>
          <w:w w:val="110"/>
        </w:rPr>
        <w:t>de</w:t>
      </w:r>
      <w:r>
        <w:rPr>
          <w:color w:val="231F20"/>
          <w:spacing w:val="-11"/>
          <w:w w:val="110"/>
        </w:rPr>
        <w:t> </w:t>
      </w:r>
      <w:r>
        <w:rPr>
          <w:i/>
          <w:color w:val="231F20"/>
          <w:w w:val="110"/>
        </w:rPr>
        <w:t>soft</w:t>
      </w:r>
      <w:r>
        <w:rPr>
          <w:i/>
          <w:color w:val="231F20"/>
          <w:spacing w:val="-11"/>
          <w:w w:val="110"/>
        </w:rPr>
        <w:t> </w:t>
      </w:r>
      <w:r>
        <w:rPr>
          <w:i/>
          <w:color w:val="231F20"/>
          <w:w w:val="110"/>
        </w:rPr>
        <w:t>power</w:t>
      </w:r>
      <w:r>
        <w:rPr>
          <w:i/>
          <w:color w:val="231F20"/>
          <w:spacing w:val="-11"/>
          <w:w w:val="110"/>
        </w:rPr>
        <w:t> </w:t>
      </w:r>
      <w:r>
        <w:rPr>
          <w:color w:val="231F20"/>
          <w:w w:val="110"/>
        </w:rPr>
        <w:t>con</w:t>
      </w:r>
      <w:r>
        <w:rPr>
          <w:color w:val="231F20"/>
          <w:spacing w:val="-11"/>
          <w:w w:val="110"/>
        </w:rPr>
        <w:t> </w:t>
      </w:r>
      <w:r>
        <w:rPr>
          <w:color w:val="231F20"/>
          <w:w w:val="110"/>
        </w:rPr>
        <w:t>medidas</w:t>
      </w:r>
      <w:r>
        <w:rPr>
          <w:color w:val="231F20"/>
          <w:spacing w:val="-11"/>
          <w:w w:val="110"/>
        </w:rPr>
        <w:t> </w:t>
      </w:r>
      <w:r>
        <w:rPr>
          <w:color w:val="231F20"/>
          <w:w w:val="110"/>
        </w:rPr>
        <w:t>de</w:t>
      </w:r>
      <w:r>
        <w:rPr>
          <w:color w:val="231F20"/>
          <w:spacing w:val="-11"/>
          <w:w w:val="110"/>
        </w:rPr>
        <w:t> </w:t>
      </w:r>
      <w:r>
        <w:rPr>
          <w:i/>
          <w:color w:val="231F20"/>
          <w:w w:val="110"/>
        </w:rPr>
        <w:t>hard</w:t>
      </w:r>
      <w:r>
        <w:rPr>
          <w:i/>
          <w:color w:val="231F20"/>
          <w:spacing w:val="-11"/>
          <w:w w:val="110"/>
        </w:rPr>
        <w:t> </w:t>
      </w:r>
      <w:r>
        <w:rPr>
          <w:i/>
          <w:color w:val="231F20"/>
          <w:w w:val="110"/>
        </w:rPr>
        <w:t>power</w:t>
      </w:r>
      <w:r>
        <w:rPr>
          <w:color w:val="231F20"/>
          <w:w w:val="110"/>
        </w:rPr>
        <w:t>,</w:t>
      </w:r>
    </w:p>
    <w:p>
      <w:pPr>
        <w:spacing w:after="0" w:line="261" w:lineRule="auto"/>
        <w:jc w:val="both"/>
        <w:sectPr>
          <w:headerReference w:type="even" r:id="rId382"/>
          <w:headerReference w:type="default" r:id="rId383"/>
          <w:pgSz w:w="7640" w:h="11900"/>
          <w:pgMar w:header="672" w:footer="0" w:top="860" w:bottom="280" w:left="780" w:right="640"/>
        </w:sectPr>
      </w:pPr>
    </w:p>
    <w:p>
      <w:pPr>
        <w:pStyle w:val="BodyText"/>
        <w:spacing w:before="8"/>
        <w:rPr>
          <w:sz w:val="8"/>
        </w:rPr>
      </w:pPr>
    </w:p>
    <w:p>
      <w:pPr>
        <w:pStyle w:val="BodyText"/>
        <w:spacing w:line="261" w:lineRule="auto" w:before="67"/>
        <w:ind w:left="100" w:right="115"/>
        <w:jc w:val="both"/>
      </w:pPr>
      <w:r>
        <w:rPr>
          <w:color w:val="231F20"/>
          <w:w w:val="110"/>
        </w:rPr>
        <w:t>buscaba contener a través de sus políticas de cooperación la latente actitud antiestadunidense que prevalecía y prevalece en América Latina. De esta manera advertía el Ché, no sólo el fundamento de la ayuda internacional como una expresión de la política de seguridad sino</w:t>
      </w:r>
      <w:r>
        <w:rPr>
          <w:color w:val="231F20"/>
          <w:spacing w:val="-13"/>
          <w:w w:val="110"/>
        </w:rPr>
        <w:t> </w:t>
      </w:r>
      <w:r>
        <w:rPr>
          <w:color w:val="231F20"/>
          <w:w w:val="110"/>
        </w:rPr>
        <w:t>también</w:t>
      </w:r>
      <w:r>
        <w:rPr>
          <w:color w:val="231F20"/>
          <w:spacing w:val="-13"/>
          <w:w w:val="110"/>
        </w:rPr>
        <w:t> </w:t>
      </w:r>
      <w:r>
        <w:rPr>
          <w:color w:val="231F20"/>
          <w:w w:val="110"/>
        </w:rPr>
        <w:t>“la</w:t>
      </w:r>
      <w:r>
        <w:rPr>
          <w:color w:val="231F20"/>
          <w:spacing w:val="-13"/>
          <w:w w:val="110"/>
        </w:rPr>
        <w:t> </w:t>
      </w:r>
      <w:r>
        <w:rPr>
          <w:color w:val="231F20"/>
          <w:w w:val="110"/>
        </w:rPr>
        <w:t>posibilidad</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países</w:t>
      </w:r>
      <w:r>
        <w:rPr>
          <w:color w:val="231F20"/>
          <w:spacing w:val="-13"/>
          <w:w w:val="110"/>
        </w:rPr>
        <w:t> </w:t>
      </w:r>
      <w:r>
        <w:rPr>
          <w:color w:val="231F20"/>
          <w:w w:val="110"/>
        </w:rPr>
        <w:t>de</w:t>
      </w:r>
      <w:r>
        <w:rPr>
          <w:color w:val="231F20"/>
          <w:spacing w:val="-13"/>
          <w:w w:val="110"/>
        </w:rPr>
        <w:t> </w:t>
      </w:r>
      <w:r>
        <w:rPr>
          <w:color w:val="231F20"/>
          <w:w w:val="110"/>
        </w:rPr>
        <w:t>convertirse</w:t>
      </w:r>
      <w:r>
        <w:rPr>
          <w:color w:val="231F20"/>
          <w:spacing w:val="-13"/>
          <w:w w:val="110"/>
        </w:rPr>
        <w:t> </w:t>
      </w:r>
      <w:r>
        <w:rPr>
          <w:color w:val="231F20"/>
          <w:w w:val="110"/>
        </w:rPr>
        <w:t>en</w:t>
      </w:r>
      <w:r>
        <w:rPr>
          <w:color w:val="231F20"/>
          <w:spacing w:val="-13"/>
          <w:w w:val="110"/>
        </w:rPr>
        <w:t> </w:t>
      </w:r>
      <w:r>
        <w:rPr>
          <w:color w:val="231F20"/>
          <w:w w:val="110"/>
        </w:rPr>
        <w:t>apéndices del imperialismo, en la preparación de una nueva y terrible guerra” (Che,1961(2006):</w:t>
      </w:r>
      <w:r>
        <w:rPr>
          <w:color w:val="231F20"/>
          <w:spacing w:val="-5"/>
          <w:w w:val="110"/>
        </w:rPr>
        <w:t> </w:t>
      </w:r>
      <w:r>
        <w:rPr>
          <w:color w:val="231F20"/>
          <w:w w:val="110"/>
        </w:rPr>
        <w:t>17).</w:t>
      </w:r>
    </w:p>
    <w:p>
      <w:pPr>
        <w:pStyle w:val="BodyText"/>
        <w:spacing w:line="261" w:lineRule="auto"/>
        <w:ind w:left="100" w:right="117" w:firstLine="240"/>
        <w:jc w:val="both"/>
      </w:pPr>
      <w:r>
        <w:rPr>
          <w:color w:val="231F20"/>
          <w:w w:val="110"/>
        </w:rPr>
        <w:t>Con el propósito de impedir una nueva revolución cubana, ante  la emergencia de luchas populares en todo el continente, ese man- datario va a impulsar también las primeras dictaduras militares que van a asolar el continente entre 1974 y 1990 (Salazar, 2008:</w:t>
      </w:r>
      <w:r>
        <w:rPr>
          <w:color w:val="231F20"/>
          <w:spacing w:val="-24"/>
          <w:w w:val="110"/>
        </w:rPr>
        <w:t> </w:t>
      </w:r>
      <w:r>
        <w:rPr>
          <w:color w:val="231F20"/>
          <w:w w:val="110"/>
        </w:rPr>
        <w:t>110).</w:t>
      </w:r>
    </w:p>
    <w:p>
      <w:pPr>
        <w:pStyle w:val="BodyText"/>
      </w:pPr>
    </w:p>
    <w:p>
      <w:pPr>
        <w:pStyle w:val="BodyText"/>
      </w:pPr>
    </w:p>
    <w:p>
      <w:pPr>
        <w:pStyle w:val="BodyText"/>
        <w:spacing w:before="2"/>
        <w:rPr>
          <w:sz w:val="25"/>
        </w:rPr>
      </w:pPr>
    </w:p>
    <w:p>
      <w:pPr>
        <w:pStyle w:val="BodyText"/>
        <w:ind w:left="100"/>
        <w:jc w:val="both"/>
      </w:pPr>
      <w:r>
        <w:rPr>
          <w:color w:val="231F20"/>
          <w:w w:val="125"/>
        </w:rPr>
        <w:t>la permanencia del proyecto conservador estadunidense</w:t>
      </w:r>
    </w:p>
    <w:p>
      <w:pPr>
        <w:pStyle w:val="BodyText"/>
        <w:spacing w:before="5"/>
        <w:rPr>
          <w:sz w:val="23"/>
        </w:rPr>
      </w:pPr>
    </w:p>
    <w:p>
      <w:pPr>
        <w:pStyle w:val="BodyText"/>
        <w:spacing w:line="261" w:lineRule="auto"/>
        <w:ind w:left="100" w:right="117"/>
        <w:jc w:val="both"/>
      </w:pPr>
      <w:r>
        <w:rPr>
          <w:color w:val="231F20"/>
          <w:w w:val="110"/>
        </w:rPr>
        <w:t>Con la desaparición de Kennedy y la derrota en Vietnam, las elites más conservadoras deciden confrontar a los gobiernos demócratas   y liberales y extender su dominio en el panorama político de Es- tados Unidos, imponiendo nuevas estrategias para el dominio del hemisferio </w:t>
      </w:r>
      <w:r>
        <w:rPr>
          <w:color w:val="231F20"/>
          <w:spacing w:val="-5"/>
          <w:w w:val="110"/>
        </w:rPr>
        <w:t>sur, </w:t>
      </w:r>
      <w:r>
        <w:rPr>
          <w:color w:val="231F20"/>
          <w:w w:val="110"/>
        </w:rPr>
        <w:t>especialmente en América Latina, donde comienzan a aparecer proyectos de cooperación económica y concertación po- lítica como la Asociación Latinoamericana de Libre Comercio </w:t>
      </w:r>
      <w:r>
        <w:rPr>
          <w:color w:val="231F20"/>
          <w:w w:val="115"/>
        </w:rPr>
        <w:t>alalc </w:t>
      </w:r>
      <w:r>
        <w:rPr>
          <w:color w:val="231F20"/>
          <w:w w:val="110"/>
        </w:rPr>
        <w:t>y el Mercado Común centroamericano, mcca. Si bien para algunos autores, el periodo de Nixon significará el fin del liberalismo ameri- cano (Zelizer, 2007:111) y el inicio de la hegemonía. Es Nixon pre- cisamente</w:t>
      </w:r>
      <w:r>
        <w:rPr>
          <w:color w:val="231F20"/>
          <w:spacing w:val="-6"/>
          <w:w w:val="110"/>
        </w:rPr>
        <w:t> </w:t>
      </w:r>
      <w:r>
        <w:rPr>
          <w:color w:val="231F20"/>
          <w:w w:val="110"/>
        </w:rPr>
        <w:t>quien</w:t>
      </w:r>
      <w:r>
        <w:rPr>
          <w:color w:val="231F20"/>
          <w:spacing w:val="-6"/>
          <w:w w:val="110"/>
        </w:rPr>
        <w:t> </w:t>
      </w:r>
      <w:r>
        <w:rPr>
          <w:color w:val="231F20"/>
          <w:w w:val="110"/>
        </w:rPr>
        <w:t>comienza</w:t>
      </w:r>
      <w:r>
        <w:rPr>
          <w:color w:val="231F20"/>
          <w:spacing w:val="-6"/>
          <w:w w:val="110"/>
        </w:rPr>
        <w:t> </w:t>
      </w:r>
      <w:r>
        <w:rPr>
          <w:color w:val="231F20"/>
          <w:w w:val="110"/>
        </w:rPr>
        <w:t>las</w:t>
      </w:r>
      <w:r>
        <w:rPr>
          <w:color w:val="231F20"/>
          <w:spacing w:val="-6"/>
          <w:w w:val="110"/>
        </w:rPr>
        <w:t> </w:t>
      </w:r>
      <w:r>
        <w:rPr>
          <w:color w:val="231F20"/>
          <w:w w:val="110"/>
        </w:rPr>
        <w:t>negociaciones</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China</w:t>
      </w:r>
      <w:r>
        <w:rPr>
          <w:color w:val="231F20"/>
          <w:spacing w:val="-6"/>
          <w:w w:val="110"/>
        </w:rPr>
        <w:t> </w:t>
      </w:r>
      <w:r>
        <w:rPr>
          <w:color w:val="231F20"/>
          <w:w w:val="110"/>
        </w:rPr>
        <w:t>comunista y la Unión soviética en materia armamentista y comercio, y preside la expansión de gobiernos descentralizadores. Pero ante la crisis de </w:t>
      </w:r>
      <w:r>
        <w:rPr>
          <w:i/>
          <w:color w:val="231F20"/>
          <w:w w:val="110"/>
        </w:rPr>
        <w:t>Watergate</w:t>
      </w:r>
      <w:r>
        <w:rPr>
          <w:i/>
          <w:color w:val="231F20"/>
          <w:spacing w:val="-16"/>
          <w:w w:val="110"/>
        </w:rPr>
        <w:t> </w:t>
      </w:r>
      <w:r>
        <w:rPr>
          <w:color w:val="231F20"/>
          <w:w w:val="110"/>
        </w:rPr>
        <w:t>en</w:t>
      </w:r>
      <w:r>
        <w:rPr>
          <w:color w:val="231F20"/>
          <w:spacing w:val="-16"/>
          <w:w w:val="110"/>
        </w:rPr>
        <w:t> </w:t>
      </w:r>
      <w:r>
        <w:rPr>
          <w:color w:val="231F20"/>
          <w:w w:val="110"/>
        </w:rPr>
        <w:t>1974,</w:t>
      </w:r>
      <w:r>
        <w:rPr>
          <w:color w:val="231F20"/>
          <w:spacing w:val="-16"/>
          <w:w w:val="110"/>
        </w:rPr>
        <w:t> </w:t>
      </w:r>
      <w:r>
        <w:rPr>
          <w:color w:val="231F20"/>
          <w:w w:val="110"/>
        </w:rPr>
        <w:t>una</w:t>
      </w:r>
      <w:r>
        <w:rPr>
          <w:color w:val="231F20"/>
          <w:spacing w:val="-16"/>
          <w:w w:val="110"/>
        </w:rPr>
        <w:t> </w:t>
      </w:r>
      <w:r>
        <w:rPr>
          <w:color w:val="231F20"/>
          <w:w w:val="110"/>
        </w:rPr>
        <w:t>nueva</w:t>
      </w:r>
      <w:r>
        <w:rPr>
          <w:color w:val="231F20"/>
          <w:spacing w:val="-16"/>
          <w:w w:val="110"/>
        </w:rPr>
        <w:t> </w:t>
      </w:r>
      <w:r>
        <w:rPr>
          <w:color w:val="231F20"/>
          <w:w w:val="110"/>
        </w:rPr>
        <w:t>fuerza</w:t>
      </w:r>
      <w:r>
        <w:rPr>
          <w:color w:val="231F20"/>
          <w:spacing w:val="-16"/>
          <w:w w:val="110"/>
        </w:rPr>
        <w:t> </w:t>
      </w:r>
      <w:r>
        <w:rPr>
          <w:color w:val="231F20"/>
          <w:w w:val="110"/>
        </w:rPr>
        <w:t>denominada</w:t>
      </w:r>
      <w:r>
        <w:rPr>
          <w:color w:val="231F20"/>
          <w:spacing w:val="-16"/>
          <w:w w:val="110"/>
        </w:rPr>
        <w:t> </w:t>
      </w:r>
      <w:r>
        <w:rPr>
          <w:color w:val="231F20"/>
          <w:w w:val="110"/>
        </w:rPr>
        <w:t>“la</w:t>
      </w:r>
      <w:r>
        <w:rPr>
          <w:color w:val="231F20"/>
          <w:spacing w:val="-16"/>
          <w:w w:val="110"/>
        </w:rPr>
        <w:t> </w:t>
      </w:r>
      <w:r>
        <w:rPr>
          <w:color w:val="231F20"/>
          <w:w w:val="110"/>
        </w:rPr>
        <w:t>nueva</w:t>
      </w:r>
      <w:r>
        <w:rPr>
          <w:color w:val="231F20"/>
          <w:spacing w:val="-16"/>
          <w:w w:val="110"/>
        </w:rPr>
        <w:t> </w:t>
      </w:r>
      <w:r>
        <w:rPr>
          <w:color w:val="231F20"/>
          <w:w w:val="110"/>
        </w:rPr>
        <w:t>derecha” decide darle al movimiento conservador hegemónico y en general  al sistema político estadunidense un nuevo direccionamiento, orga- nización y</w:t>
      </w:r>
      <w:r>
        <w:rPr>
          <w:color w:val="231F20"/>
          <w:spacing w:val="-13"/>
          <w:w w:val="110"/>
        </w:rPr>
        <w:t> </w:t>
      </w:r>
      <w:r>
        <w:rPr>
          <w:color w:val="231F20"/>
          <w:w w:val="110"/>
        </w:rPr>
        <w:t>dirección.</w:t>
      </w:r>
    </w:p>
    <w:p>
      <w:pPr>
        <w:pStyle w:val="BodyText"/>
        <w:spacing w:line="261" w:lineRule="auto"/>
        <w:ind w:left="100" w:right="113" w:firstLine="240"/>
        <w:jc w:val="both"/>
      </w:pPr>
      <w:r>
        <w:rPr>
          <w:color w:val="231F20"/>
          <w:w w:val="110"/>
        </w:rPr>
        <w:t>El</w:t>
      </w:r>
      <w:r>
        <w:rPr>
          <w:color w:val="231F20"/>
          <w:spacing w:val="-9"/>
          <w:w w:val="110"/>
        </w:rPr>
        <w:t> </w:t>
      </w:r>
      <w:r>
        <w:rPr>
          <w:color w:val="231F20"/>
          <w:w w:val="110"/>
        </w:rPr>
        <w:t>nuevo</w:t>
      </w:r>
      <w:r>
        <w:rPr>
          <w:color w:val="231F20"/>
          <w:spacing w:val="-9"/>
          <w:w w:val="110"/>
        </w:rPr>
        <w:t> </w:t>
      </w:r>
      <w:r>
        <w:rPr>
          <w:color w:val="231F20"/>
          <w:w w:val="110"/>
        </w:rPr>
        <w:t>movimiento</w:t>
      </w:r>
      <w:r>
        <w:rPr>
          <w:color w:val="231F20"/>
          <w:spacing w:val="-9"/>
          <w:w w:val="110"/>
        </w:rPr>
        <w:t> </w:t>
      </w:r>
      <w:r>
        <w:rPr>
          <w:color w:val="231F20"/>
          <w:w w:val="110"/>
        </w:rPr>
        <w:t>emergente,</w:t>
      </w:r>
      <w:r>
        <w:rPr>
          <w:color w:val="231F20"/>
          <w:spacing w:val="-9"/>
          <w:w w:val="110"/>
        </w:rPr>
        <w:t> </w:t>
      </w:r>
      <w:r>
        <w:rPr>
          <w:color w:val="231F20"/>
          <w:w w:val="110"/>
        </w:rPr>
        <w:t>los</w:t>
      </w:r>
      <w:r>
        <w:rPr>
          <w:color w:val="231F20"/>
          <w:spacing w:val="-9"/>
          <w:w w:val="110"/>
        </w:rPr>
        <w:t> </w:t>
      </w:r>
      <w:r>
        <w:rPr>
          <w:color w:val="231F20"/>
          <w:w w:val="110"/>
        </w:rPr>
        <w:t>neoconservadores,</w:t>
      </w:r>
      <w:r>
        <w:rPr>
          <w:color w:val="231F20"/>
          <w:spacing w:val="-9"/>
          <w:w w:val="110"/>
        </w:rPr>
        <w:t> </w:t>
      </w:r>
      <w:r>
        <w:rPr>
          <w:color w:val="231F20"/>
          <w:w w:val="110"/>
        </w:rPr>
        <w:t>con</w:t>
      </w:r>
      <w:r>
        <w:rPr>
          <w:color w:val="231F20"/>
          <w:spacing w:val="-9"/>
          <w:w w:val="110"/>
        </w:rPr>
        <w:t> </w:t>
      </w:r>
      <w:r>
        <w:rPr>
          <w:color w:val="231F20"/>
          <w:w w:val="110"/>
        </w:rPr>
        <w:t>enor- mes</w:t>
      </w:r>
      <w:r>
        <w:rPr>
          <w:color w:val="231F20"/>
          <w:spacing w:val="-8"/>
          <w:w w:val="110"/>
        </w:rPr>
        <w:t> </w:t>
      </w:r>
      <w:r>
        <w:rPr>
          <w:color w:val="231F20"/>
          <w:w w:val="110"/>
        </w:rPr>
        <w:t>diferencias</w:t>
      </w:r>
      <w:r>
        <w:rPr>
          <w:color w:val="231F20"/>
          <w:spacing w:val="-8"/>
          <w:w w:val="110"/>
        </w:rPr>
        <w:t> </w:t>
      </w:r>
      <w:r>
        <w:rPr>
          <w:color w:val="231F20"/>
          <w:w w:val="110"/>
        </w:rPr>
        <w:t>a</w:t>
      </w:r>
      <w:r>
        <w:rPr>
          <w:color w:val="231F20"/>
          <w:spacing w:val="-8"/>
          <w:w w:val="110"/>
        </w:rPr>
        <w:t> </w:t>
      </w:r>
      <w:r>
        <w:rPr>
          <w:color w:val="231F20"/>
          <w:w w:val="110"/>
        </w:rPr>
        <w:t>su</w:t>
      </w:r>
      <w:r>
        <w:rPr>
          <w:color w:val="231F20"/>
          <w:spacing w:val="-8"/>
          <w:w w:val="110"/>
        </w:rPr>
        <w:t> </w:t>
      </w:r>
      <w:r>
        <w:rPr>
          <w:color w:val="231F20"/>
          <w:w w:val="110"/>
        </w:rPr>
        <w:t>interior</w:t>
      </w:r>
      <w:r>
        <w:rPr>
          <w:color w:val="231F20"/>
          <w:spacing w:val="-8"/>
          <w:w w:val="110"/>
        </w:rPr>
        <w:t> </w:t>
      </w:r>
      <w:r>
        <w:rPr>
          <w:color w:val="231F20"/>
          <w:w w:val="110"/>
        </w:rPr>
        <w:t>entre</w:t>
      </w:r>
      <w:r>
        <w:rPr>
          <w:color w:val="231F20"/>
          <w:spacing w:val="-8"/>
          <w:w w:val="110"/>
        </w:rPr>
        <w:t> </w:t>
      </w:r>
      <w:r>
        <w:rPr>
          <w:color w:val="231F20"/>
          <w:w w:val="110"/>
        </w:rPr>
        <w:t>sectores</w:t>
      </w:r>
      <w:r>
        <w:rPr>
          <w:color w:val="231F20"/>
          <w:spacing w:val="-8"/>
          <w:w w:val="110"/>
        </w:rPr>
        <w:t> </w:t>
      </w:r>
      <w:r>
        <w:rPr>
          <w:color w:val="231F20"/>
          <w:w w:val="110"/>
        </w:rPr>
        <w:t>empresariales,</w:t>
      </w:r>
      <w:r>
        <w:rPr>
          <w:color w:val="231F20"/>
          <w:spacing w:val="-8"/>
          <w:w w:val="110"/>
        </w:rPr>
        <w:t> </w:t>
      </w:r>
      <w:r>
        <w:rPr>
          <w:color w:val="231F20"/>
          <w:w w:val="110"/>
        </w:rPr>
        <w:t>defensores de la desregulación de sus impuestos, y la derecha religiosa del sur  y sud-oeste de Estados Unidos, se unen en un mismo interés: la necesidad de fortalecerse militarmente contra el comunismo y otras amenazas</w:t>
      </w:r>
      <w:r>
        <w:rPr>
          <w:color w:val="231F20"/>
          <w:spacing w:val="19"/>
          <w:w w:val="110"/>
        </w:rPr>
        <w:t> </w:t>
      </w:r>
      <w:r>
        <w:rPr>
          <w:color w:val="231F20"/>
          <w:w w:val="110"/>
        </w:rPr>
        <w:t>contra</w:t>
      </w:r>
      <w:r>
        <w:rPr>
          <w:color w:val="231F20"/>
          <w:spacing w:val="19"/>
          <w:w w:val="110"/>
        </w:rPr>
        <w:t> </w:t>
      </w:r>
      <w:r>
        <w:rPr>
          <w:color w:val="231F20"/>
          <w:w w:val="110"/>
        </w:rPr>
        <w:t>la</w:t>
      </w:r>
      <w:r>
        <w:rPr>
          <w:color w:val="231F20"/>
          <w:spacing w:val="19"/>
          <w:w w:val="110"/>
        </w:rPr>
        <w:t> </w:t>
      </w:r>
      <w:r>
        <w:rPr>
          <w:color w:val="231F20"/>
          <w:w w:val="110"/>
        </w:rPr>
        <w:t>seguridad</w:t>
      </w:r>
      <w:r>
        <w:rPr>
          <w:color w:val="231F20"/>
          <w:spacing w:val="19"/>
          <w:w w:val="110"/>
        </w:rPr>
        <w:t> </w:t>
      </w:r>
      <w:r>
        <w:rPr>
          <w:color w:val="231F20"/>
          <w:w w:val="110"/>
        </w:rPr>
        <w:t>nacional.</w:t>
      </w:r>
      <w:r>
        <w:rPr>
          <w:color w:val="231F20"/>
          <w:spacing w:val="19"/>
          <w:w w:val="110"/>
        </w:rPr>
        <w:t> </w:t>
      </w:r>
      <w:r>
        <w:rPr>
          <w:color w:val="231F20"/>
          <w:w w:val="110"/>
        </w:rPr>
        <w:t>Con</w:t>
      </w:r>
      <w:r>
        <w:rPr>
          <w:color w:val="231F20"/>
          <w:spacing w:val="19"/>
          <w:w w:val="110"/>
        </w:rPr>
        <w:t> </w:t>
      </w:r>
      <w:r>
        <w:rPr>
          <w:color w:val="231F20"/>
          <w:w w:val="110"/>
        </w:rPr>
        <w:t>el</w:t>
      </w:r>
      <w:r>
        <w:rPr>
          <w:color w:val="231F20"/>
          <w:spacing w:val="19"/>
          <w:w w:val="110"/>
        </w:rPr>
        <w:t> </w:t>
      </w:r>
      <w:r>
        <w:rPr>
          <w:color w:val="231F20"/>
          <w:w w:val="110"/>
        </w:rPr>
        <w:t>apoyo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deno-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minados </w:t>
      </w:r>
      <w:r>
        <w:rPr>
          <w:i/>
          <w:color w:val="231F20"/>
          <w:w w:val="110"/>
        </w:rPr>
        <w:t>think tanks</w:t>
      </w:r>
      <w:r>
        <w:rPr>
          <w:color w:val="231F20"/>
          <w:w w:val="110"/>
        </w:rPr>
        <w:t>, American Enterprise Institute, Cato Institute,  la Heritage Foundation formada por Joseph Coors, Paul Wyrich y Richard Scaife a través del partido republicano, deciden adelantar una</w:t>
      </w:r>
      <w:r>
        <w:rPr>
          <w:color w:val="231F20"/>
          <w:spacing w:val="-6"/>
          <w:w w:val="110"/>
        </w:rPr>
        <w:t> </w:t>
      </w:r>
      <w:r>
        <w:rPr>
          <w:color w:val="231F20"/>
          <w:w w:val="110"/>
        </w:rPr>
        <w:t>estrategia</w:t>
      </w:r>
      <w:r>
        <w:rPr>
          <w:color w:val="231F20"/>
          <w:spacing w:val="-6"/>
          <w:w w:val="110"/>
        </w:rPr>
        <w:t> </w:t>
      </w:r>
      <w:r>
        <w:rPr>
          <w:color w:val="231F20"/>
          <w:w w:val="110"/>
        </w:rPr>
        <w:t>de</w:t>
      </w:r>
      <w:r>
        <w:rPr>
          <w:color w:val="231F20"/>
          <w:spacing w:val="-6"/>
          <w:w w:val="110"/>
        </w:rPr>
        <w:t> </w:t>
      </w:r>
      <w:r>
        <w:rPr>
          <w:color w:val="231F20"/>
          <w:w w:val="110"/>
        </w:rPr>
        <w:t>reorganización</w:t>
      </w:r>
      <w:r>
        <w:rPr>
          <w:color w:val="231F20"/>
          <w:spacing w:val="-6"/>
          <w:w w:val="110"/>
        </w:rPr>
        <w:t> </w:t>
      </w:r>
      <w:r>
        <w:rPr>
          <w:color w:val="231F20"/>
          <w:w w:val="110"/>
        </w:rPr>
        <w:t>y</w:t>
      </w:r>
      <w:r>
        <w:rPr>
          <w:color w:val="231F20"/>
          <w:spacing w:val="-6"/>
          <w:w w:val="110"/>
        </w:rPr>
        <w:t> </w:t>
      </w:r>
      <w:r>
        <w:rPr>
          <w:color w:val="231F20"/>
          <w:w w:val="110"/>
        </w:rPr>
        <w:t>consolidación</w:t>
      </w:r>
      <w:r>
        <w:rPr>
          <w:color w:val="231F20"/>
          <w:spacing w:val="-6"/>
          <w:w w:val="110"/>
        </w:rPr>
        <w:t> </w:t>
      </w:r>
      <w:r>
        <w:rPr>
          <w:color w:val="231F20"/>
          <w:w w:val="110"/>
        </w:rPr>
        <w:t>política,</w:t>
      </w:r>
      <w:r>
        <w:rPr>
          <w:color w:val="231F20"/>
          <w:spacing w:val="-6"/>
          <w:w w:val="110"/>
        </w:rPr>
        <w:t> </w:t>
      </w:r>
      <w:r>
        <w:rPr>
          <w:color w:val="231F20"/>
          <w:w w:val="110"/>
        </w:rPr>
        <w:t>a</w:t>
      </w:r>
      <w:r>
        <w:rPr>
          <w:color w:val="231F20"/>
          <w:spacing w:val="-6"/>
          <w:w w:val="110"/>
        </w:rPr>
        <w:t> </w:t>
      </w:r>
      <w:r>
        <w:rPr>
          <w:color w:val="231F20"/>
          <w:w w:val="110"/>
        </w:rPr>
        <w:t>través</w:t>
      </w:r>
      <w:r>
        <w:rPr>
          <w:color w:val="231F20"/>
          <w:spacing w:val="-6"/>
          <w:w w:val="110"/>
        </w:rPr>
        <w:t> </w:t>
      </w:r>
      <w:r>
        <w:rPr>
          <w:color w:val="231F20"/>
          <w:w w:val="110"/>
        </w:rPr>
        <w:t>de la utilización de propaganda, la organización de diversos grupos de opinión y acumulación de capital (Zelizer, 2007:</w:t>
      </w:r>
      <w:r>
        <w:rPr>
          <w:color w:val="231F20"/>
          <w:spacing w:val="-10"/>
          <w:w w:val="110"/>
        </w:rPr>
        <w:t> </w:t>
      </w:r>
      <w:r>
        <w:rPr>
          <w:color w:val="231F20"/>
          <w:w w:val="110"/>
        </w:rPr>
        <w:t>112).</w:t>
      </w:r>
    </w:p>
    <w:p>
      <w:pPr>
        <w:pStyle w:val="BodyText"/>
        <w:spacing w:line="261" w:lineRule="auto"/>
        <w:ind w:left="100" w:right="115" w:firstLine="240"/>
        <w:jc w:val="both"/>
      </w:pPr>
      <w:r>
        <w:rPr>
          <w:color w:val="231F20"/>
          <w:w w:val="110"/>
        </w:rPr>
        <w:t>Los republicanos excluidos del poder desde la segunda guerra mundial, hasta los años setenta en el Congreso, serán los portadores de una nueva misión ideológica. Los prominentes republicanos del Sur, entre ellos Richard Cheney quien apoyaría a Ford, Reagan, y luego a Bush hijo como su vicepresidente, será elegido senador en 1976, constituyéndose en el soporte conservador de los medios de comunicación (Zelizer, 2007: 115).</w:t>
      </w:r>
    </w:p>
    <w:p>
      <w:pPr>
        <w:pStyle w:val="BodyText"/>
        <w:spacing w:line="261" w:lineRule="auto"/>
        <w:ind w:left="100" w:right="117" w:firstLine="240"/>
        <w:jc w:val="both"/>
      </w:pPr>
      <w:r>
        <w:rPr>
          <w:color w:val="231F20"/>
          <w:w w:val="105"/>
        </w:rPr>
        <w:t>En 1983, los conservadores, orientados por Dick Cheney denomi- nado “la grasa detrás de las cadenas”, formarán la “Sociedad de Opor- tunidades Conservadoras”, para confrontar  la  idea  de  una  América en decadencia por causa de los gobiernos demócratas, un mundo corrupto y malévolo, que  busca  fortalecerse  moral  y  militarmente. El grupo  conservador,  logra  orquestar  toda  una  campaña  en  torno a un “nuevo contrato con América consistente” (Steinfels, 1979) y      va a diversificar sus métodos a través de la organización de redes de grupos de asesores en el senado y la Casa blanca quienes presionaran  al gobierno demócrata de Bill Clinton (1993-2001) para recortar los impuestos de los sectores mas  poderosos  e  iniciara  la  ofensiva  de los tratados de libre comercio en América Latina, la propuesta del  alca, y los planes de intervención militar en América Latina: Plan Colombia, Plan Bolivia, Plan </w:t>
      </w:r>
      <w:r>
        <w:rPr>
          <w:color w:val="231F20"/>
          <w:spacing w:val="-3"/>
          <w:w w:val="105"/>
        </w:rPr>
        <w:t>Ecuador.  </w:t>
      </w:r>
      <w:r>
        <w:rPr>
          <w:color w:val="231F20"/>
          <w:w w:val="105"/>
        </w:rPr>
        <w:t>La batalla partidista interna    se profundiza, hasta ocasionar el </w:t>
      </w:r>
      <w:r>
        <w:rPr>
          <w:i/>
          <w:color w:val="231F20"/>
          <w:w w:val="105"/>
        </w:rPr>
        <w:t>impeachment </w:t>
      </w:r>
      <w:r>
        <w:rPr>
          <w:color w:val="231F20"/>
          <w:w w:val="105"/>
        </w:rPr>
        <w:t>del presidente Clinton   y un fraude electoral catapulta al presidente Bush como el nuevo presidente  de  Estados</w:t>
      </w:r>
      <w:r>
        <w:rPr>
          <w:color w:val="231F20"/>
          <w:spacing w:val="38"/>
          <w:w w:val="105"/>
        </w:rPr>
        <w:t> </w:t>
      </w:r>
      <w:r>
        <w:rPr>
          <w:color w:val="231F20"/>
          <w:w w:val="105"/>
        </w:rPr>
        <w:t>Unidos.</w:t>
      </w:r>
    </w:p>
    <w:p>
      <w:pPr>
        <w:pStyle w:val="BodyText"/>
        <w:spacing w:line="261" w:lineRule="auto"/>
        <w:ind w:left="100" w:right="114" w:firstLine="240"/>
        <w:jc w:val="both"/>
      </w:pPr>
      <w:r>
        <w:rPr>
          <w:color w:val="231F20"/>
          <w:w w:val="105"/>
        </w:rPr>
        <w:t>Con la emergencia de una nueva casta política  a  principios  de 2000 “un cruce entre conserjes de plaza y mafia” emergen de nuevos comités de trabajo conservadores (Zelizer, 2007: 129). La denomi- nada “guerra preventiva contra el terrorismo de alcance global” va       a concretar las ideas dirigidas en torno al </w:t>
      </w:r>
      <w:r>
        <w:rPr>
          <w:i/>
          <w:color w:val="231F20"/>
          <w:w w:val="105"/>
        </w:rPr>
        <w:t>proyecto para el nuevo siglo </w:t>
      </w:r>
      <w:r>
        <w:rPr>
          <w:i/>
          <w:color w:val="231F20"/>
          <w:w w:val="105"/>
        </w:rPr>
        <w:t>norteamericano</w:t>
      </w:r>
      <w:r>
        <w:rPr>
          <w:color w:val="231F20"/>
          <w:w w:val="105"/>
        </w:rPr>
        <w:t>. Una  nueva  fuerza  conservadora,  emerge  dispuesta a bloquear el esfuerzo de los demócratas en el manejo de medios, persigue abiertamente a sus críticos. Fiel a sus principios, en 2001,    los</w:t>
      </w:r>
      <w:r>
        <w:rPr>
          <w:color w:val="231F20"/>
          <w:spacing w:val="35"/>
          <w:w w:val="105"/>
        </w:rPr>
        <w:t> </w:t>
      </w:r>
      <w:r>
        <w:rPr>
          <w:color w:val="231F20"/>
          <w:w w:val="105"/>
        </w:rPr>
        <w:t>neoconservadores</w:t>
      </w:r>
      <w:r>
        <w:rPr>
          <w:color w:val="231F20"/>
          <w:spacing w:val="35"/>
          <w:w w:val="105"/>
        </w:rPr>
        <w:t> </w:t>
      </w:r>
      <w:r>
        <w:rPr>
          <w:color w:val="231F20"/>
          <w:w w:val="105"/>
        </w:rPr>
        <w:t>van</w:t>
      </w:r>
      <w:r>
        <w:rPr>
          <w:color w:val="231F20"/>
          <w:spacing w:val="35"/>
          <w:w w:val="105"/>
        </w:rPr>
        <w:t> </w:t>
      </w:r>
      <w:r>
        <w:rPr>
          <w:color w:val="231F20"/>
          <w:w w:val="105"/>
        </w:rPr>
        <w:t>a</w:t>
      </w:r>
      <w:r>
        <w:rPr>
          <w:color w:val="231F20"/>
          <w:spacing w:val="35"/>
          <w:w w:val="105"/>
        </w:rPr>
        <w:t> </w:t>
      </w:r>
      <w:r>
        <w:rPr>
          <w:color w:val="231F20"/>
          <w:w w:val="105"/>
        </w:rPr>
        <w:t>presentar</w:t>
      </w:r>
      <w:r>
        <w:rPr>
          <w:color w:val="231F20"/>
          <w:spacing w:val="35"/>
          <w:w w:val="105"/>
        </w:rPr>
        <w:t> </w:t>
      </w:r>
      <w:r>
        <w:rPr>
          <w:color w:val="231F20"/>
          <w:w w:val="105"/>
        </w:rPr>
        <w:t>el</w:t>
      </w:r>
      <w:r>
        <w:rPr>
          <w:color w:val="231F20"/>
          <w:spacing w:val="35"/>
          <w:w w:val="105"/>
        </w:rPr>
        <w:t> </w:t>
      </w:r>
      <w:r>
        <w:rPr>
          <w:color w:val="231F20"/>
          <w:w w:val="105"/>
        </w:rPr>
        <w:t>proyecto</w:t>
      </w:r>
      <w:r>
        <w:rPr>
          <w:color w:val="231F20"/>
          <w:spacing w:val="35"/>
          <w:w w:val="105"/>
        </w:rPr>
        <w:t> </w:t>
      </w:r>
      <w:r>
        <w:rPr>
          <w:color w:val="231F20"/>
          <w:w w:val="105"/>
        </w:rPr>
        <w:t>más</w:t>
      </w:r>
      <w:r>
        <w:rPr>
          <w:color w:val="231F20"/>
          <w:spacing w:val="35"/>
          <w:w w:val="105"/>
        </w:rPr>
        <w:t> </w:t>
      </w:r>
      <w:r>
        <w:rPr>
          <w:color w:val="231F20"/>
          <w:w w:val="105"/>
        </w:rPr>
        <w:t>ambicioso</w:t>
      </w:r>
      <w:r>
        <w:rPr>
          <w:color w:val="231F20"/>
          <w:spacing w:val="35"/>
          <w:w w:val="105"/>
        </w:rPr>
        <w:t> </w:t>
      </w:r>
      <w:r>
        <w:rPr>
          <w:color w:val="231F20"/>
          <w:w w:val="105"/>
        </w:rPr>
        <w:t>de</w:t>
      </w:r>
    </w:p>
    <w:p>
      <w:pPr>
        <w:spacing w:after="0" w:line="261" w:lineRule="auto"/>
        <w:jc w:val="both"/>
        <w:sectPr>
          <w:headerReference w:type="even" r:id="rId384"/>
          <w:headerReference w:type="default" r:id="rId385"/>
          <w:pgSz w:w="7640" w:h="11900"/>
          <w:pgMar w:header="672" w:footer="0" w:top="860" w:bottom="280" w:left="780" w:right="640"/>
          <w:pgNumType w:start="492"/>
        </w:sectPr>
      </w:pPr>
    </w:p>
    <w:p>
      <w:pPr>
        <w:pStyle w:val="BodyText"/>
        <w:spacing w:before="8"/>
        <w:rPr>
          <w:sz w:val="8"/>
        </w:rPr>
      </w:pPr>
    </w:p>
    <w:p>
      <w:pPr>
        <w:pStyle w:val="BodyText"/>
        <w:spacing w:line="261" w:lineRule="auto" w:before="67"/>
        <w:ind w:left="100" w:right="118"/>
        <w:jc w:val="both"/>
      </w:pPr>
      <w:r>
        <w:rPr>
          <w:color w:val="231F20"/>
          <w:w w:val="110"/>
        </w:rPr>
        <w:t>reducción de impuestos de la historia americana y fortalecimiento </w:t>
      </w:r>
      <w:r>
        <w:rPr>
          <w:color w:val="231F20"/>
          <w:spacing w:val="-3"/>
          <w:w w:val="110"/>
        </w:rPr>
        <w:t>militar, </w:t>
      </w:r>
      <w:r>
        <w:rPr>
          <w:color w:val="231F20"/>
          <w:w w:val="110"/>
        </w:rPr>
        <w:t>el cual afectará la capacidad fiscal del Estado, llegando a</w:t>
      </w:r>
      <w:r>
        <w:rPr>
          <w:color w:val="231F20"/>
          <w:spacing w:val="-22"/>
          <w:w w:val="110"/>
        </w:rPr>
        <w:t> </w:t>
      </w:r>
      <w:r>
        <w:rPr>
          <w:color w:val="231F20"/>
          <w:w w:val="110"/>
        </w:rPr>
        <w:t>ge- nerar</w:t>
      </w:r>
      <w:r>
        <w:rPr>
          <w:color w:val="231F20"/>
          <w:spacing w:val="-7"/>
          <w:w w:val="110"/>
        </w:rPr>
        <w:t> </w:t>
      </w:r>
      <w:r>
        <w:rPr>
          <w:color w:val="231F20"/>
          <w:w w:val="110"/>
        </w:rPr>
        <w:t>gastos</w:t>
      </w:r>
      <w:r>
        <w:rPr>
          <w:color w:val="231F20"/>
          <w:spacing w:val="-7"/>
          <w:w w:val="110"/>
        </w:rPr>
        <w:t> </w:t>
      </w:r>
      <w:r>
        <w:rPr>
          <w:color w:val="231F20"/>
          <w:w w:val="110"/>
        </w:rPr>
        <w:t>de</w:t>
      </w:r>
      <w:r>
        <w:rPr>
          <w:color w:val="231F20"/>
          <w:spacing w:val="-7"/>
          <w:w w:val="110"/>
        </w:rPr>
        <w:t> </w:t>
      </w:r>
      <w:r>
        <w:rPr>
          <w:color w:val="231F20"/>
          <w:w w:val="110"/>
        </w:rPr>
        <w:t>más</w:t>
      </w:r>
      <w:r>
        <w:rPr>
          <w:color w:val="231F20"/>
          <w:spacing w:val="-7"/>
          <w:w w:val="110"/>
        </w:rPr>
        <w:t> </w:t>
      </w:r>
      <w:r>
        <w:rPr>
          <w:color w:val="231F20"/>
          <w:w w:val="110"/>
        </w:rPr>
        <w:t>de</w:t>
      </w:r>
      <w:r>
        <w:rPr>
          <w:color w:val="231F20"/>
          <w:spacing w:val="-7"/>
          <w:w w:val="110"/>
        </w:rPr>
        <w:t> </w:t>
      </w:r>
      <w:r>
        <w:rPr>
          <w:color w:val="231F20"/>
          <w:w w:val="110"/>
        </w:rPr>
        <w:t>8</w:t>
      </w:r>
      <w:r>
        <w:rPr>
          <w:color w:val="231F20"/>
          <w:spacing w:val="-7"/>
          <w:w w:val="110"/>
        </w:rPr>
        <w:t> </w:t>
      </w:r>
      <w:r>
        <w:rPr>
          <w:color w:val="231F20"/>
          <w:w w:val="110"/>
        </w:rPr>
        <w:t>billones</w:t>
      </w:r>
      <w:r>
        <w:rPr>
          <w:color w:val="231F20"/>
          <w:spacing w:val="-7"/>
          <w:w w:val="110"/>
        </w:rPr>
        <w:t> </w:t>
      </w:r>
      <w:r>
        <w:rPr>
          <w:color w:val="231F20"/>
          <w:w w:val="110"/>
        </w:rPr>
        <w:t>de</w:t>
      </w:r>
      <w:r>
        <w:rPr>
          <w:color w:val="231F20"/>
          <w:spacing w:val="-7"/>
          <w:w w:val="110"/>
        </w:rPr>
        <w:t> </w:t>
      </w:r>
      <w:r>
        <w:rPr>
          <w:color w:val="231F20"/>
          <w:w w:val="110"/>
        </w:rPr>
        <w:t>dólares</w:t>
      </w:r>
      <w:r>
        <w:rPr>
          <w:color w:val="231F20"/>
          <w:spacing w:val="-7"/>
          <w:w w:val="110"/>
        </w:rPr>
        <w:t> </w:t>
      </w:r>
      <w:r>
        <w:rPr>
          <w:color w:val="231F20"/>
          <w:w w:val="110"/>
        </w:rPr>
        <w:t>al</w:t>
      </w:r>
      <w:r>
        <w:rPr>
          <w:color w:val="231F20"/>
          <w:spacing w:val="-7"/>
          <w:w w:val="110"/>
        </w:rPr>
        <w:t> </w:t>
      </w:r>
      <w:r>
        <w:rPr>
          <w:color w:val="231F20"/>
          <w:w w:val="110"/>
        </w:rPr>
        <w:t>mes.</w:t>
      </w:r>
      <w:r>
        <w:rPr>
          <w:color w:val="231F20"/>
          <w:spacing w:val="-7"/>
          <w:w w:val="110"/>
        </w:rPr>
        <w:t> </w:t>
      </w:r>
      <w:r>
        <w:rPr>
          <w:color w:val="231F20"/>
          <w:w w:val="110"/>
        </w:rPr>
        <w:t>A</w:t>
      </w:r>
      <w:r>
        <w:rPr>
          <w:color w:val="231F20"/>
          <w:spacing w:val="-7"/>
          <w:w w:val="110"/>
        </w:rPr>
        <w:t> </w:t>
      </w:r>
      <w:r>
        <w:rPr>
          <w:color w:val="231F20"/>
          <w:w w:val="110"/>
        </w:rPr>
        <w:t>partir</w:t>
      </w:r>
      <w:r>
        <w:rPr>
          <w:color w:val="231F20"/>
          <w:spacing w:val="-7"/>
          <w:w w:val="110"/>
        </w:rPr>
        <w:t> </w:t>
      </w:r>
      <w:r>
        <w:rPr>
          <w:color w:val="231F20"/>
          <w:w w:val="110"/>
        </w:rPr>
        <w:t>de</w:t>
      </w:r>
      <w:r>
        <w:rPr>
          <w:color w:val="231F20"/>
          <w:spacing w:val="-7"/>
          <w:w w:val="110"/>
        </w:rPr>
        <w:t> </w:t>
      </w:r>
      <w:r>
        <w:rPr>
          <w:color w:val="231F20"/>
          <w:w w:val="110"/>
        </w:rPr>
        <w:t>allí</w:t>
      </w:r>
      <w:r>
        <w:rPr>
          <w:color w:val="231F20"/>
          <w:spacing w:val="-7"/>
          <w:w w:val="110"/>
        </w:rPr>
        <w:t> </w:t>
      </w:r>
      <w:r>
        <w:rPr>
          <w:color w:val="231F20"/>
          <w:w w:val="110"/>
        </w:rPr>
        <w:t>la relación entre congreso, gobierno, fuerzas militares y</w:t>
      </w:r>
      <w:r>
        <w:rPr>
          <w:color w:val="231F20"/>
          <w:spacing w:val="-32"/>
          <w:w w:val="110"/>
        </w:rPr>
        <w:t> </w:t>
      </w:r>
      <w:r>
        <w:rPr>
          <w:color w:val="231F20"/>
          <w:w w:val="110"/>
        </w:rPr>
        <w:t>contribuciones privadas van a mantener su hegemonía conservadora hasta</w:t>
      </w:r>
      <w:r>
        <w:rPr>
          <w:color w:val="231F20"/>
          <w:spacing w:val="36"/>
          <w:w w:val="110"/>
        </w:rPr>
        <w:t> </w:t>
      </w:r>
      <w:r>
        <w:rPr>
          <w:color w:val="231F20"/>
          <w:w w:val="110"/>
        </w:rPr>
        <w:t>2006.</w:t>
      </w:r>
    </w:p>
    <w:p>
      <w:pPr>
        <w:pStyle w:val="BodyText"/>
        <w:spacing w:line="261" w:lineRule="auto"/>
        <w:ind w:left="100" w:right="117" w:firstLine="240"/>
        <w:jc w:val="both"/>
      </w:pPr>
      <w:r>
        <w:rPr>
          <w:color w:val="231F20"/>
          <w:w w:val="110"/>
        </w:rPr>
        <w:t>Si bien, durante más de cuarenta años, dos componentes fun- damentales de la política exterior estadunidense: libre comercio y seguridad,</w:t>
      </w:r>
      <w:r>
        <w:rPr>
          <w:color w:val="231F20"/>
          <w:spacing w:val="-7"/>
          <w:w w:val="110"/>
        </w:rPr>
        <w:t> </w:t>
      </w:r>
      <w:r>
        <w:rPr>
          <w:color w:val="231F20"/>
          <w:w w:val="110"/>
        </w:rPr>
        <w:t>se</w:t>
      </w:r>
      <w:r>
        <w:rPr>
          <w:color w:val="231F20"/>
          <w:spacing w:val="-7"/>
          <w:w w:val="110"/>
        </w:rPr>
        <w:t> </w:t>
      </w:r>
      <w:r>
        <w:rPr>
          <w:color w:val="231F20"/>
          <w:w w:val="110"/>
        </w:rPr>
        <w:t>conjugan</w:t>
      </w:r>
      <w:r>
        <w:rPr>
          <w:color w:val="231F20"/>
          <w:spacing w:val="-7"/>
          <w:w w:val="110"/>
        </w:rPr>
        <w:t> </w:t>
      </w:r>
      <w:r>
        <w:rPr>
          <w:color w:val="231F20"/>
          <w:w w:val="110"/>
        </w:rPr>
        <w:t>a</w:t>
      </w:r>
      <w:r>
        <w:rPr>
          <w:color w:val="231F20"/>
          <w:spacing w:val="-7"/>
          <w:w w:val="110"/>
        </w:rPr>
        <w:t> </w:t>
      </w:r>
      <w:r>
        <w:rPr>
          <w:color w:val="231F20"/>
          <w:w w:val="110"/>
        </w:rPr>
        <w:t>lo</w:t>
      </w:r>
      <w:r>
        <w:rPr>
          <w:color w:val="231F20"/>
          <w:spacing w:val="-7"/>
          <w:w w:val="110"/>
        </w:rPr>
        <w:t> </w:t>
      </w:r>
      <w:r>
        <w:rPr>
          <w:color w:val="231F20"/>
          <w:w w:val="110"/>
        </w:rPr>
        <w:t>largo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gobiernos</w:t>
      </w:r>
      <w:r>
        <w:rPr>
          <w:color w:val="231F20"/>
          <w:spacing w:val="-7"/>
          <w:w w:val="110"/>
        </w:rPr>
        <w:t> </w:t>
      </w:r>
      <w:r>
        <w:rPr>
          <w:color w:val="231F20"/>
          <w:w w:val="110"/>
        </w:rPr>
        <w:t>republicanos</w:t>
      </w:r>
      <w:r>
        <w:rPr>
          <w:color w:val="231F20"/>
          <w:spacing w:val="-7"/>
          <w:w w:val="110"/>
        </w:rPr>
        <w:t> </w:t>
      </w:r>
      <w:r>
        <w:rPr>
          <w:color w:val="231F20"/>
          <w:w w:val="110"/>
        </w:rPr>
        <w:t>y</w:t>
      </w:r>
      <w:r>
        <w:rPr>
          <w:color w:val="231F20"/>
          <w:spacing w:val="-7"/>
          <w:w w:val="110"/>
        </w:rPr>
        <w:t> </w:t>
      </w:r>
      <w:r>
        <w:rPr>
          <w:color w:val="231F20"/>
          <w:w w:val="110"/>
        </w:rPr>
        <w:t>de- mócratas para consolidar su proyecto de dominación, el fenómeno del 11 de septiembre logra redimensionar una postura bipartidista a favor de la intervención militar en Irak en nombre de la seguridad mundial y fortalecer el proyecto neoconservador</w:t>
      </w:r>
      <w:r>
        <w:rPr>
          <w:color w:val="231F20"/>
          <w:w w:val="110"/>
          <w:position w:val="6"/>
          <w:sz w:val="13"/>
        </w:rPr>
        <w:t>3 </w:t>
      </w:r>
      <w:r>
        <w:rPr>
          <w:color w:val="231F20"/>
          <w:w w:val="110"/>
        </w:rPr>
        <w:t>(Douglas, 2008).</w:t>
      </w:r>
      <w:r>
        <w:rPr>
          <w:color w:val="231F20"/>
          <w:w w:val="110"/>
          <w:position w:val="6"/>
          <w:sz w:val="13"/>
        </w:rPr>
        <w:t>4 </w:t>
      </w:r>
      <w:r>
        <w:rPr>
          <w:color w:val="231F20"/>
          <w:w w:val="110"/>
        </w:rPr>
        <w:t>Este hecho va a significar una oportunidad estratégica para reorga- nizar y reorientar sus estrategias en materia de política exterior</w:t>
      </w:r>
      <w:r>
        <w:rPr>
          <w:color w:val="231F20"/>
          <w:spacing w:val="-17"/>
          <w:w w:val="110"/>
        </w:rPr>
        <w:t> </w:t>
      </w:r>
      <w:r>
        <w:rPr>
          <w:color w:val="231F20"/>
          <w:w w:val="110"/>
        </w:rPr>
        <w:t>cuyo eje va a ser la confrontación al terrorismo y así justificar una estra- tegia para consolidar posiciones y mantener su hegemonía global económica y</w:t>
      </w:r>
      <w:r>
        <w:rPr>
          <w:color w:val="231F20"/>
          <w:spacing w:val="-22"/>
          <w:w w:val="110"/>
        </w:rPr>
        <w:t> </w:t>
      </w:r>
      <w:r>
        <w:rPr>
          <w:color w:val="231F20"/>
          <w:w w:val="110"/>
        </w:rPr>
        <w:t>comercial.</w:t>
      </w:r>
    </w:p>
    <w:p>
      <w:pPr>
        <w:pStyle w:val="BodyText"/>
        <w:spacing w:line="261" w:lineRule="auto"/>
        <w:ind w:left="100" w:right="118" w:firstLine="240"/>
        <w:jc w:val="both"/>
      </w:pPr>
      <w:r>
        <w:rPr>
          <w:color w:val="231F20"/>
          <w:spacing w:val="4"/>
          <w:w w:val="110"/>
        </w:rPr>
        <w:t>Con </w:t>
      </w:r>
      <w:r>
        <w:rPr>
          <w:color w:val="231F20"/>
          <w:spacing w:val="3"/>
          <w:w w:val="110"/>
        </w:rPr>
        <w:t>la </w:t>
      </w:r>
      <w:r>
        <w:rPr>
          <w:color w:val="231F20"/>
          <w:spacing w:val="6"/>
          <w:w w:val="110"/>
        </w:rPr>
        <w:t>invasión </w:t>
      </w:r>
      <w:r>
        <w:rPr>
          <w:color w:val="231F20"/>
          <w:w w:val="110"/>
        </w:rPr>
        <w:t>a </w:t>
      </w:r>
      <w:r>
        <w:rPr>
          <w:color w:val="231F20"/>
          <w:spacing w:val="5"/>
          <w:w w:val="110"/>
        </w:rPr>
        <w:t>Irak </w:t>
      </w:r>
      <w:r>
        <w:rPr>
          <w:color w:val="231F20"/>
          <w:spacing w:val="6"/>
          <w:w w:val="110"/>
        </w:rPr>
        <w:t>apoyada </w:t>
      </w:r>
      <w:r>
        <w:rPr>
          <w:color w:val="231F20"/>
          <w:spacing w:val="4"/>
          <w:w w:val="110"/>
        </w:rPr>
        <w:t>por </w:t>
      </w:r>
      <w:r>
        <w:rPr>
          <w:color w:val="231F20"/>
          <w:spacing w:val="3"/>
          <w:w w:val="110"/>
        </w:rPr>
        <w:t>el </w:t>
      </w:r>
      <w:r>
        <w:rPr>
          <w:color w:val="231F20"/>
          <w:spacing w:val="4"/>
          <w:w w:val="110"/>
        </w:rPr>
        <w:t>99% del </w:t>
      </w:r>
      <w:r>
        <w:rPr>
          <w:color w:val="231F20"/>
          <w:spacing w:val="6"/>
          <w:w w:val="110"/>
        </w:rPr>
        <w:t>congreso</w:t>
      </w:r>
      <w:r>
        <w:rPr>
          <w:color w:val="231F20"/>
          <w:spacing w:val="67"/>
          <w:w w:val="110"/>
        </w:rPr>
        <w:t> </w:t>
      </w:r>
      <w:r>
        <w:rPr>
          <w:color w:val="231F20"/>
          <w:w w:val="110"/>
        </w:rPr>
        <w:t>estadunidense,</w:t>
      </w:r>
      <w:r>
        <w:rPr>
          <w:color w:val="231F20"/>
          <w:w w:val="110"/>
          <w:position w:val="6"/>
          <w:sz w:val="13"/>
        </w:rPr>
        <w:t>5 </w:t>
      </w:r>
      <w:r>
        <w:rPr>
          <w:color w:val="231F20"/>
          <w:w w:val="110"/>
        </w:rPr>
        <w:t>se propone no solo intervenir en la reorganización del mundo sino también asegurar, en nombre de la democracia y la libertad,</w:t>
      </w:r>
      <w:r>
        <w:rPr>
          <w:color w:val="231F20"/>
          <w:spacing w:val="-6"/>
          <w:w w:val="110"/>
        </w:rPr>
        <w:t> </w:t>
      </w:r>
      <w:r>
        <w:rPr>
          <w:color w:val="231F20"/>
          <w:w w:val="110"/>
        </w:rPr>
        <w:t>el</w:t>
      </w:r>
      <w:r>
        <w:rPr>
          <w:color w:val="231F20"/>
          <w:spacing w:val="-6"/>
          <w:w w:val="110"/>
        </w:rPr>
        <w:t> </w:t>
      </w:r>
      <w:r>
        <w:rPr>
          <w:color w:val="231F20"/>
          <w:w w:val="110"/>
        </w:rPr>
        <w:t>control</w:t>
      </w:r>
      <w:r>
        <w:rPr>
          <w:color w:val="231F20"/>
          <w:spacing w:val="-6"/>
          <w:w w:val="110"/>
        </w:rPr>
        <w:t> </w:t>
      </w:r>
      <w:r>
        <w:rPr>
          <w:color w:val="231F20"/>
          <w:w w:val="110"/>
        </w:rPr>
        <w:t>de</w:t>
      </w:r>
      <w:r>
        <w:rPr>
          <w:color w:val="231F20"/>
          <w:spacing w:val="-6"/>
          <w:w w:val="110"/>
        </w:rPr>
        <w:t> </w:t>
      </w:r>
      <w:r>
        <w:rPr>
          <w:color w:val="231F20"/>
          <w:w w:val="110"/>
        </w:rPr>
        <w:t>uno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recursos</w:t>
      </w:r>
      <w:r>
        <w:rPr>
          <w:color w:val="231F20"/>
          <w:spacing w:val="-6"/>
          <w:w w:val="110"/>
        </w:rPr>
        <w:t> </w:t>
      </w:r>
      <w:r>
        <w:rPr>
          <w:color w:val="231F20"/>
          <w:w w:val="110"/>
        </w:rPr>
        <w:t>estratégicos</w:t>
      </w:r>
      <w:r>
        <w:rPr>
          <w:color w:val="231F20"/>
          <w:spacing w:val="-6"/>
          <w:w w:val="110"/>
        </w:rPr>
        <w:t> </w:t>
      </w:r>
      <w:r>
        <w:rPr>
          <w:color w:val="231F20"/>
          <w:w w:val="110"/>
        </w:rPr>
        <w:t>más</w:t>
      </w:r>
      <w:r>
        <w:rPr>
          <w:color w:val="231F20"/>
          <w:spacing w:val="-6"/>
          <w:w w:val="110"/>
        </w:rPr>
        <w:t> </w:t>
      </w:r>
      <w:r>
        <w:rPr>
          <w:color w:val="231F20"/>
          <w:w w:val="110"/>
        </w:rPr>
        <w:t>importan- tes para Estados Unidos: el petróleo (Chomsky,</w:t>
      </w:r>
      <w:r>
        <w:rPr>
          <w:color w:val="231F20"/>
          <w:spacing w:val="-13"/>
          <w:w w:val="110"/>
        </w:rPr>
        <w:t> </w:t>
      </w:r>
      <w:r>
        <w:rPr>
          <w:color w:val="231F20"/>
          <w:w w:val="110"/>
        </w:rPr>
        <w:t>2004).</w:t>
      </w:r>
    </w:p>
    <w:p>
      <w:pPr>
        <w:pStyle w:val="BodyText"/>
        <w:spacing w:line="261" w:lineRule="auto"/>
        <w:ind w:left="100" w:right="119" w:firstLine="240"/>
        <w:jc w:val="right"/>
      </w:pPr>
      <w:r>
        <w:rPr>
          <w:color w:val="231F20"/>
          <w:w w:val="110"/>
        </w:rPr>
        <w:t>Al mismo tiempo que ocurre la intervención de Irak,</w:t>
      </w:r>
      <w:r>
        <w:rPr>
          <w:color w:val="231F20"/>
          <w:spacing w:val="9"/>
          <w:w w:val="110"/>
        </w:rPr>
        <w:t> </w:t>
      </w:r>
      <w:r>
        <w:rPr>
          <w:color w:val="231F20"/>
          <w:w w:val="110"/>
        </w:rPr>
        <w:t>la</w:t>
      </w:r>
      <w:r>
        <w:rPr>
          <w:color w:val="231F20"/>
          <w:spacing w:val="7"/>
          <w:w w:val="110"/>
        </w:rPr>
        <w:t> </w:t>
      </w:r>
      <w:r>
        <w:rPr>
          <w:color w:val="231F20"/>
          <w:w w:val="110"/>
        </w:rPr>
        <w:t>interven-</w:t>
      </w:r>
      <w:r>
        <w:rPr>
          <w:color w:val="231F20"/>
          <w:w w:val="72"/>
        </w:rPr>
        <w:t> </w:t>
      </w:r>
      <w:r>
        <w:rPr>
          <w:color w:val="231F20"/>
          <w:w w:val="110"/>
        </w:rPr>
        <w:t>ción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región</w:t>
      </w:r>
      <w:r>
        <w:rPr>
          <w:color w:val="231F20"/>
          <w:spacing w:val="-5"/>
          <w:w w:val="110"/>
        </w:rPr>
        <w:t> </w:t>
      </w:r>
      <w:r>
        <w:rPr>
          <w:color w:val="231F20"/>
          <w:w w:val="110"/>
        </w:rPr>
        <w:t>andina</w:t>
      </w:r>
      <w:r>
        <w:rPr>
          <w:color w:val="231F20"/>
          <w:spacing w:val="-5"/>
          <w:w w:val="110"/>
        </w:rPr>
        <w:t> </w:t>
      </w:r>
      <w:r>
        <w:rPr>
          <w:color w:val="231F20"/>
          <w:w w:val="110"/>
        </w:rPr>
        <w:t>latinoamericana</w:t>
      </w:r>
      <w:r>
        <w:rPr>
          <w:color w:val="231F20"/>
          <w:spacing w:val="-5"/>
          <w:w w:val="110"/>
        </w:rPr>
        <w:t> </w:t>
      </w:r>
      <w:r>
        <w:rPr>
          <w:color w:val="231F20"/>
          <w:w w:val="110"/>
        </w:rPr>
        <w:t>va</w:t>
      </w:r>
      <w:r>
        <w:rPr>
          <w:color w:val="231F20"/>
          <w:spacing w:val="-5"/>
          <w:w w:val="110"/>
        </w:rPr>
        <w:t> </w:t>
      </w:r>
      <w:r>
        <w:rPr>
          <w:color w:val="231F20"/>
          <w:w w:val="110"/>
        </w:rPr>
        <w:t>a</w:t>
      </w:r>
      <w:r>
        <w:rPr>
          <w:color w:val="231F20"/>
          <w:spacing w:val="-5"/>
          <w:w w:val="110"/>
        </w:rPr>
        <w:t> </w:t>
      </w:r>
      <w:r>
        <w:rPr>
          <w:color w:val="231F20"/>
          <w:w w:val="110"/>
        </w:rPr>
        <w:t>constituirse</w:t>
      </w:r>
      <w:r>
        <w:rPr>
          <w:color w:val="231F20"/>
          <w:spacing w:val="-5"/>
          <w:w w:val="110"/>
        </w:rPr>
        <w:t> </w:t>
      </w:r>
      <w:r>
        <w:rPr>
          <w:color w:val="231F20"/>
          <w:w w:val="110"/>
        </w:rPr>
        <w:t>en</w:t>
      </w:r>
      <w:r>
        <w:rPr>
          <w:color w:val="231F20"/>
          <w:spacing w:val="-5"/>
          <w:w w:val="110"/>
        </w:rPr>
        <w:t> </w:t>
      </w:r>
      <w:r>
        <w:rPr>
          <w:color w:val="231F20"/>
          <w:w w:val="110"/>
        </w:rPr>
        <w:t>un</w:t>
      </w:r>
      <w:r>
        <w:rPr>
          <w:color w:val="231F20"/>
          <w:spacing w:val="-5"/>
          <w:w w:val="110"/>
        </w:rPr>
        <w:t> </w:t>
      </w:r>
      <w:r>
        <w:rPr>
          <w:color w:val="231F20"/>
          <w:w w:val="110"/>
        </w:rPr>
        <w:t>foco</w:t>
      </w:r>
      <w:r>
        <w:rPr>
          <w:color w:val="231F20"/>
          <w:w w:val="106"/>
        </w:rPr>
        <w:t> </w:t>
      </w:r>
      <w:r>
        <w:rPr>
          <w:color w:val="231F20"/>
          <w:w w:val="110"/>
        </w:rPr>
        <w:t>fundamental</w:t>
      </w:r>
      <w:r>
        <w:rPr>
          <w:color w:val="231F20"/>
          <w:spacing w:val="-16"/>
          <w:w w:val="110"/>
        </w:rPr>
        <w:t> </w:t>
      </w:r>
      <w:r>
        <w:rPr>
          <w:color w:val="231F20"/>
          <w:w w:val="110"/>
        </w:rPr>
        <w:t>para</w:t>
      </w:r>
      <w:r>
        <w:rPr>
          <w:color w:val="231F20"/>
          <w:spacing w:val="-16"/>
          <w:w w:val="110"/>
        </w:rPr>
        <w:t> </w:t>
      </w:r>
      <w:r>
        <w:rPr>
          <w:color w:val="231F20"/>
          <w:w w:val="110"/>
        </w:rPr>
        <w:t>la</w:t>
      </w:r>
      <w:r>
        <w:rPr>
          <w:color w:val="231F20"/>
          <w:spacing w:val="-16"/>
          <w:w w:val="110"/>
        </w:rPr>
        <w:t> </w:t>
      </w:r>
      <w:r>
        <w:rPr>
          <w:color w:val="231F20"/>
          <w:w w:val="110"/>
        </w:rPr>
        <w:t>estrategia</w:t>
      </w:r>
      <w:r>
        <w:rPr>
          <w:color w:val="231F20"/>
          <w:spacing w:val="-16"/>
          <w:w w:val="110"/>
        </w:rPr>
        <w:t> </w:t>
      </w:r>
      <w:r>
        <w:rPr>
          <w:color w:val="231F20"/>
          <w:w w:val="110"/>
        </w:rPr>
        <w:t>expansionista</w:t>
      </w:r>
      <w:r>
        <w:rPr>
          <w:color w:val="231F20"/>
          <w:spacing w:val="-16"/>
          <w:w w:val="110"/>
        </w:rPr>
        <w:t> </w:t>
      </w:r>
      <w:r>
        <w:rPr>
          <w:color w:val="231F20"/>
          <w:w w:val="110"/>
        </w:rPr>
        <w:t>por</w:t>
      </w:r>
      <w:r>
        <w:rPr>
          <w:color w:val="231F20"/>
          <w:spacing w:val="-16"/>
          <w:w w:val="110"/>
        </w:rPr>
        <w:t> </w:t>
      </w:r>
      <w:r>
        <w:rPr>
          <w:color w:val="231F20"/>
          <w:w w:val="110"/>
        </w:rPr>
        <w:t>el</w:t>
      </w:r>
      <w:r>
        <w:rPr>
          <w:color w:val="231F20"/>
          <w:spacing w:val="-16"/>
          <w:w w:val="110"/>
        </w:rPr>
        <w:t> </w:t>
      </w:r>
      <w:r>
        <w:rPr>
          <w:color w:val="231F20"/>
          <w:w w:val="110"/>
        </w:rPr>
        <w:t>acceso</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control</w:t>
      </w:r>
    </w:p>
    <w:p>
      <w:pPr>
        <w:pStyle w:val="BodyText"/>
      </w:pPr>
    </w:p>
    <w:p>
      <w:pPr>
        <w:pStyle w:val="BodyText"/>
        <w:spacing w:before="10"/>
        <w:rPr>
          <w:sz w:val="21"/>
        </w:rPr>
      </w:pPr>
    </w:p>
    <w:p>
      <w:pPr>
        <w:spacing w:line="261" w:lineRule="auto" w:before="0"/>
        <w:ind w:left="100" w:right="115" w:firstLine="240"/>
        <w:jc w:val="both"/>
        <w:rPr>
          <w:sz w:val="16"/>
        </w:rPr>
      </w:pPr>
      <w:r>
        <w:rPr>
          <w:color w:val="231F20"/>
          <w:w w:val="110"/>
          <w:position w:val="5"/>
          <w:sz w:val="10"/>
        </w:rPr>
        <w:t>3  </w:t>
      </w:r>
      <w:r>
        <w:rPr>
          <w:color w:val="231F20"/>
          <w:w w:val="110"/>
          <w:sz w:val="16"/>
        </w:rPr>
        <w:t>Un estudio reciente realizado por el Center for Public Integrity, muestra cómo   a partir de los organismos de inteligencia del gobierno, se desarrolla una intensa campaña mediática, poco crítica y deferente respecto de la posición gubernamental, orquestada para convencer a los estadunidenses de la necesidad de intervenir en Irak ante el peligro que representaba para ellos Saddam Hussein y su supuesto aliado Osama Bin Laden. El estudio identifica mas de 935 falsas aseveraciones hechas por Bush y sus colaboradores (Dick Cheney, Condoleezza Rice, Donald H. Rumsfeld, Colin Powell y Paul Wolfowitz) entre 2002 y 2003. Entre ellas se identifica la falsa aseveración, defendida mas de 532 veces por Bush y Powell, respecto de la posesión del gobierno irakí de armas de destrucción masiva y de sus conexiones con Al Qaeda (Douglass</w:t>
      </w:r>
      <w:r>
        <w:rPr>
          <w:color w:val="231F20"/>
          <w:spacing w:val="-15"/>
          <w:w w:val="110"/>
          <w:sz w:val="16"/>
        </w:rPr>
        <w:t> </w:t>
      </w:r>
      <w:r>
        <w:rPr>
          <w:color w:val="231F20"/>
          <w:w w:val="110"/>
          <w:sz w:val="16"/>
        </w:rPr>
        <w:t>K.</w:t>
      </w:r>
      <w:r>
        <w:rPr>
          <w:color w:val="231F20"/>
          <w:spacing w:val="-15"/>
          <w:w w:val="110"/>
          <w:sz w:val="16"/>
        </w:rPr>
        <w:t> </w:t>
      </w:r>
      <w:r>
        <w:rPr>
          <w:color w:val="231F20"/>
          <w:w w:val="110"/>
          <w:sz w:val="16"/>
        </w:rPr>
        <w:t>Daniel,</w:t>
      </w:r>
      <w:r>
        <w:rPr>
          <w:color w:val="231F20"/>
          <w:spacing w:val="-15"/>
          <w:w w:val="110"/>
          <w:sz w:val="16"/>
        </w:rPr>
        <w:t> </w:t>
      </w:r>
      <w:r>
        <w:rPr>
          <w:color w:val="231F20"/>
          <w:w w:val="110"/>
          <w:sz w:val="16"/>
        </w:rPr>
        <w:t>2008).</w:t>
      </w:r>
    </w:p>
    <w:p>
      <w:pPr>
        <w:spacing w:line="261" w:lineRule="auto" w:before="0"/>
        <w:ind w:left="100" w:right="118" w:firstLine="240"/>
        <w:jc w:val="both"/>
        <w:rPr>
          <w:sz w:val="16"/>
        </w:rPr>
      </w:pPr>
      <w:r>
        <w:rPr>
          <w:color w:val="231F20"/>
          <w:position w:val="5"/>
          <w:sz w:val="10"/>
        </w:rPr>
        <w:t>4 </w:t>
      </w:r>
      <w:r>
        <w:rPr>
          <w:color w:val="231F20"/>
          <w:sz w:val="16"/>
        </w:rPr>
        <w:t>Smith, Mark A, 2007, tabla 6.1, </w:t>
      </w:r>
      <w:r>
        <w:rPr>
          <w:i/>
          <w:color w:val="231F20"/>
          <w:sz w:val="16"/>
        </w:rPr>
        <w:t>Issue priorities in Presidential Advertisements, 1984- </w:t>
      </w:r>
      <w:r>
        <w:rPr>
          <w:i/>
          <w:color w:val="231F20"/>
          <w:sz w:val="16"/>
        </w:rPr>
        <w:t>2004</w:t>
      </w:r>
      <w:r>
        <w:rPr>
          <w:color w:val="231F20"/>
          <w:sz w:val="16"/>
        </w:rPr>
        <w:t>,  Princeton  University   Press.</w:t>
      </w:r>
    </w:p>
    <w:p>
      <w:pPr>
        <w:spacing w:line="261" w:lineRule="auto" w:before="0"/>
        <w:ind w:left="100" w:right="118" w:firstLine="240"/>
        <w:jc w:val="both"/>
        <w:rPr>
          <w:sz w:val="16"/>
        </w:rPr>
      </w:pPr>
      <w:r>
        <w:rPr>
          <w:color w:val="231F20"/>
          <w:w w:val="110"/>
          <w:position w:val="5"/>
          <w:sz w:val="10"/>
        </w:rPr>
        <w:t>5 </w:t>
      </w:r>
      <w:r>
        <w:rPr>
          <w:color w:val="231F20"/>
          <w:w w:val="110"/>
          <w:sz w:val="16"/>
        </w:rPr>
        <w:t>Sólo un demócrata vota en contra, el demócrata Paul Wellstone muerto en un accidente aéreo varios meses después.</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05"/>
        </w:rPr>
        <w:t>de los recursos estratégicos como el petróleo, los recursos mineros,     el gas y la biodiversidad por parte de empresas estadunidense. </w:t>
      </w:r>
      <w:r>
        <w:rPr>
          <w:color w:val="231F20"/>
        </w:rPr>
        <w:t>Y </w:t>
      </w:r>
      <w:r>
        <w:rPr>
          <w:color w:val="231F20"/>
          <w:w w:val="105"/>
        </w:rPr>
        <w:t>es justamente en Colombia donde se va a desarrollar, uno de los “labo- ratorios antiterroristas” más poderosos después de Irak y Afganistán. En ese contexto, la política antidroga, va a contribuir efectivamente     al control de una clase que sirve a los intereses económicos y de segu- ridad de Estados Unidos en el extranjero. Colombia entrará a formar parte de lo que el gobierno Bush llama la “guerra mundial contra el terror”,</w:t>
      </w:r>
      <w:r>
        <w:rPr>
          <w:color w:val="231F20"/>
          <w:w w:val="105"/>
          <w:position w:val="6"/>
          <w:sz w:val="13"/>
        </w:rPr>
        <w:t>6  </w:t>
      </w:r>
      <w:r>
        <w:rPr>
          <w:color w:val="231F20"/>
          <w:w w:val="105"/>
        </w:rPr>
        <w:t>una estrategia para estructurar el consenso bipartidista para    la lucha contra grupos insurgentes en América Latina que atenten contra el crecimiento económico de sus empresas. Como resultado     de su apoyo, será el mayor receptor de la ayuda militar estadunidense en</w:t>
      </w:r>
      <w:r>
        <w:rPr>
          <w:color w:val="231F20"/>
          <w:spacing w:val="28"/>
          <w:w w:val="105"/>
        </w:rPr>
        <w:t> </w:t>
      </w:r>
      <w:r>
        <w:rPr>
          <w:color w:val="231F20"/>
          <w:w w:val="105"/>
        </w:rPr>
        <w:t>el</w:t>
      </w:r>
      <w:r>
        <w:rPr>
          <w:color w:val="231F20"/>
          <w:spacing w:val="28"/>
          <w:w w:val="105"/>
        </w:rPr>
        <w:t> </w:t>
      </w:r>
      <w:r>
        <w:rPr>
          <w:color w:val="231F20"/>
          <w:w w:val="105"/>
        </w:rPr>
        <w:t>mundo</w:t>
      </w:r>
      <w:r>
        <w:rPr>
          <w:color w:val="231F20"/>
          <w:spacing w:val="28"/>
          <w:w w:val="105"/>
        </w:rPr>
        <w:t> </w:t>
      </w:r>
      <w:r>
        <w:rPr>
          <w:color w:val="231F20"/>
          <w:w w:val="105"/>
        </w:rPr>
        <w:t>después</w:t>
      </w:r>
      <w:r>
        <w:rPr>
          <w:color w:val="231F20"/>
          <w:spacing w:val="28"/>
          <w:w w:val="105"/>
        </w:rPr>
        <w:t> </w:t>
      </w:r>
      <w:r>
        <w:rPr>
          <w:color w:val="231F20"/>
          <w:w w:val="105"/>
        </w:rPr>
        <w:t>de</w:t>
      </w:r>
      <w:r>
        <w:rPr>
          <w:color w:val="231F20"/>
          <w:spacing w:val="28"/>
          <w:w w:val="105"/>
        </w:rPr>
        <w:t> </w:t>
      </w:r>
      <w:r>
        <w:rPr>
          <w:color w:val="231F20"/>
          <w:w w:val="105"/>
        </w:rPr>
        <w:t>Irak,</w:t>
      </w:r>
      <w:r>
        <w:rPr>
          <w:color w:val="231F20"/>
          <w:spacing w:val="28"/>
          <w:w w:val="105"/>
        </w:rPr>
        <w:t> </w:t>
      </w:r>
      <w:r>
        <w:rPr>
          <w:color w:val="231F20"/>
          <w:w w:val="105"/>
        </w:rPr>
        <w:t>Israel,</w:t>
      </w:r>
      <w:r>
        <w:rPr>
          <w:color w:val="231F20"/>
          <w:spacing w:val="28"/>
          <w:w w:val="105"/>
        </w:rPr>
        <w:t> </w:t>
      </w:r>
      <w:r>
        <w:rPr>
          <w:color w:val="231F20"/>
          <w:w w:val="105"/>
        </w:rPr>
        <w:t>Afganistán</w:t>
      </w:r>
      <w:r>
        <w:rPr>
          <w:color w:val="231F20"/>
          <w:spacing w:val="28"/>
          <w:w w:val="105"/>
        </w:rPr>
        <w:t> </w:t>
      </w:r>
      <w:r>
        <w:rPr>
          <w:color w:val="231F20"/>
          <w:w w:val="105"/>
        </w:rPr>
        <w:t>y</w:t>
      </w:r>
      <w:r>
        <w:rPr>
          <w:color w:val="231F20"/>
          <w:spacing w:val="28"/>
          <w:w w:val="105"/>
        </w:rPr>
        <w:t> </w:t>
      </w:r>
      <w:r>
        <w:rPr>
          <w:color w:val="231F20"/>
          <w:w w:val="105"/>
        </w:rPr>
        <w:t>Egipto.</w:t>
      </w:r>
    </w:p>
    <w:p>
      <w:pPr>
        <w:pStyle w:val="BodyText"/>
        <w:spacing w:line="261" w:lineRule="auto"/>
        <w:ind w:left="100" w:right="114" w:firstLine="240"/>
        <w:jc w:val="both"/>
      </w:pPr>
      <w:r>
        <w:rPr>
          <w:color w:val="231F20"/>
          <w:w w:val="110"/>
        </w:rPr>
        <w:t>La política de “seguridad democrática” del presidente Uribe, va  a constituirse en el referente de la prolongación ideológica de la hegemonía del pensamiento neoconservador estadunidense, defen- dida por parte del sector capitalista financiero en América Latina.  La influencia de este sector capitalista financiero relacionado con el complejo</w:t>
      </w:r>
      <w:r>
        <w:rPr>
          <w:color w:val="231F20"/>
          <w:spacing w:val="-10"/>
          <w:w w:val="110"/>
        </w:rPr>
        <w:t> </w:t>
      </w:r>
      <w:r>
        <w:rPr>
          <w:color w:val="231F20"/>
          <w:w w:val="110"/>
        </w:rPr>
        <w:t>militar</w:t>
      </w:r>
      <w:r>
        <w:rPr>
          <w:color w:val="231F20"/>
          <w:spacing w:val="-10"/>
          <w:w w:val="110"/>
        </w:rPr>
        <w:t> </w:t>
      </w:r>
      <w:r>
        <w:rPr>
          <w:color w:val="231F20"/>
          <w:w w:val="110"/>
        </w:rPr>
        <w:t>e</w:t>
      </w:r>
      <w:r>
        <w:rPr>
          <w:color w:val="231F20"/>
          <w:spacing w:val="-10"/>
          <w:w w:val="110"/>
        </w:rPr>
        <w:t> </w:t>
      </w:r>
      <w:r>
        <w:rPr>
          <w:color w:val="231F20"/>
          <w:w w:val="110"/>
        </w:rPr>
        <w:t>industrial</w:t>
      </w:r>
      <w:r>
        <w:rPr>
          <w:color w:val="231F20"/>
          <w:spacing w:val="-10"/>
          <w:w w:val="110"/>
        </w:rPr>
        <w:t> </w:t>
      </w:r>
      <w:r>
        <w:rPr>
          <w:color w:val="231F20"/>
          <w:w w:val="110"/>
        </w:rPr>
        <w:t>estadunidense</w:t>
      </w:r>
      <w:r>
        <w:rPr>
          <w:color w:val="231F20"/>
          <w:spacing w:val="-10"/>
          <w:w w:val="110"/>
        </w:rPr>
        <w:t> </w:t>
      </w:r>
      <w:r>
        <w:rPr>
          <w:color w:val="231F20"/>
          <w:w w:val="110"/>
        </w:rPr>
        <w:t>será</w:t>
      </w:r>
      <w:r>
        <w:rPr>
          <w:color w:val="231F20"/>
          <w:spacing w:val="-10"/>
          <w:w w:val="110"/>
        </w:rPr>
        <w:t> </w:t>
      </w:r>
      <w:r>
        <w:rPr>
          <w:color w:val="231F20"/>
          <w:w w:val="110"/>
        </w:rPr>
        <w:t>apoyada</w:t>
      </w:r>
      <w:r>
        <w:rPr>
          <w:color w:val="231F20"/>
          <w:spacing w:val="-10"/>
          <w:w w:val="110"/>
        </w:rPr>
        <w:t> </w:t>
      </w:r>
      <w:r>
        <w:rPr>
          <w:color w:val="231F20"/>
          <w:w w:val="110"/>
        </w:rPr>
        <w:t>y</w:t>
      </w:r>
      <w:r>
        <w:rPr>
          <w:color w:val="231F20"/>
          <w:spacing w:val="-10"/>
          <w:w w:val="110"/>
        </w:rPr>
        <w:t> </w:t>
      </w:r>
      <w:r>
        <w:rPr>
          <w:color w:val="231F20"/>
          <w:w w:val="110"/>
        </w:rPr>
        <w:t>defendida por neoconservadores como Nicholas Burns, el número tres en el departamento de Estado en el gobierno Bush, quien se convertirá   en uno de sus grandes defensores: “El presidente Uribe está trans- formando a Colombia porque está persiguiendo enérgicamente su visión de una Colombia democrática, libre de violencia, drogas y corrupción” (Burns,</w:t>
      </w:r>
      <w:r>
        <w:rPr>
          <w:color w:val="231F20"/>
          <w:spacing w:val="15"/>
          <w:w w:val="110"/>
        </w:rPr>
        <w:t> </w:t>
      </w:r>
      <w:r>
        <w:rPr>
          <w:color w:val="231F20"/>
          <w:w w:val="110"/>
        </w:rPr>
        <w:t>2008).</w:t>
      </w:r>
    </w:p>
    <w:p>
      <w:pPr>
        <w:pStyle w:val="BodyText"/>
        <w:spacing w:line="261" w:lineRule="auto"/>
        <w:ind w:left="100" w:right="114" w:firstLine="240"/>
        <w:jc w:val="both"/>
      </w:pPr>
      <w:r>
        <w:rPr>
          <w:color w:val="231F20"/>
          <w:w w:val="110"/>
        </w:rPr>
        <w:t>Desde el año 2000 hasta el 2006, Estados Unidos le entregará a Colombia</w:t>
      </w:r>
      <w:r>
        <w:rPr>
          <w:color w:val="231F20"/>
          <w:spacing w:val="-16"/>
          <w:w w:val="110"/>
        </w:rPr>
        <w:t> </w:t>
      </w:r>
      <w:r>
        <w:rPr>
          <w:color w:val="231F20"/>
          <w:w w:val="110"/>
        </w:rPr>
        <w:t>más</w:t>
      </w:r>
      <w:r>
        <w:rPr>
          <w:color w:val="231F20"/>
          <w:spacing w:val="-16"/>
          <w:w w:val="110"/>
        </w:rPr>
        <w:t> </w:t>
      </w:r>
      <w:r>
        <w:rPr>
          <w:color w:val="231F20"/>
          <w:w w:val="110"/>
        </w:rPr>
        <w:t>de</w:t>
      </w:r>
      <w:r>
        <w:rPr>
          <w:color w:val="231F20"/>
          <w:spacing w:val="-16"/>
          <w:w w:val="110"/>
        </w:rPr>
        <w:t> </w:t>
      </w:r>
      <w:r>
        <w:rPr>
          <w:color w:val="231F20"/>
          <w:w w:val="110"/>
        </w:rPr>
        <w:t>4</w:t>
      </w:r>
      <w:r>
        <w:rPr>
          <w:color w:val="231F20"/>
          <w:spacing w:val="-16"/>
          <w:w w:val="110"/>
        </w:rPr>
        <w:t> </w:t>
      </w:r>
      <w:r>
        <w:rPr>
          <w:color w:val="231F20"/>
          <w:w w:val="110"/>
        </w:rPr>
        <w:t>700</w:t>
      </w:r>
      <w:r>
        <w:rPr>
          <w:color w:val="231F20"/>
          <w:spacing w:val="-16"/>
          <w:w w:val="110"/>
        </w:rPr>
        <w:t> </w:t>
      </w:r>
      <w:r>
        <w:rPr>
          <w:color w:val="231F20"/>
          <w:w w:val="110"/>
        </w:rPr>
        <w:t>millones</w:t>
      </w:r>
      <w:r>
        <w:rPr>
          <w:color w:val="231F20"/>
          <w:spacing w:val="-16"/>
          <w:w w:val="110"/>
        </w:rPr>
        <w:t> </w:t>
      </w:r>
      <w:r>
        <w:rPr>
          <w:color w:val="231F20"/>
          <w:w w:val="110"/>
        </w:rPr>
        <w:t>de</w:t>
      </w:r>
      <w:r>
        <w:rPr>
          <w:color w:val="231F20"/>
          <w:spacing w:val="-16"/>
          <w:w w:val="110"/>
        </w:rPr>
        <w:t> </w:t>
      </w:r>
      <w:r>
        <w:rPr>
          <w:color w:val="231F20"/>
          <w:w w:val="110"/>
        </w:rPr>
        <w:t>dólares</w:t>
      </w:r>
      <w:r>
        <w:rPr>
          <w:color w:val="231F20"/>
          <w:spacing w:val="-16"/>
          <w:w w:val="110"/>
        </w:rPr>
        <w:t> </w:t>
      </w:r>
      <w:r>
        <w:rPr>
          <w:color w:val="231F20"/>
          <w:w w:val="110"/>
        </w:rPr>
        <w:t>a</w:t>
      </w:r>
      <w:r>
        <w:rPr>
          <w:color w:val="231F20"/>
          <w:spacing w:val="-16"/>
          <w:w w:val="110"/>
        </w:rPr>
        <w:t> </w:t>
      </w:r>
      <w:r>
        <w:rPr>
          <w:color w:val="231F20"/>
          <w:w w:val="110"/>
        </w:rPr>
        <w:t>través</w:t>
      </w:r>
      <w:r>
        <w:rPr>
          <w:color w:val="231F20"/>
          <w:spacing w:val="-16"/>
          <w:w w:val="110"/>
        </w:rPr>
        <w:t> </w:t>
      </w:r>
      <w:r>
        <w:rPr>
          <w:color w:val="231F20"/>
          <w:w w:val="110"/>
        </w:rPr>
        <w:t>del</w:t>
      </w:r>
      <w:r>
        <w:rPr>
          <w:color w:val="231F20"/>
          <w:spacing w:val="-16"/>
          <w:w w:val="110"/>
        </w:rPr>
        <w:t> </w:t>
      </w:r>
      <w:r>
        <w:rPr>
          <w:color w:val="231F20"/>
          <w:w w:val="110"/>
        </w:rPr>
        <w:t>“Plan</w:t>
      </w:r>
      <w:r>
        <w:rPr>
          <w:color w:val="231F20"/>
          <w:spacing w:val="-16"/>
          <w:w w:val="110"/>
        </w:rPr>
        <w:t> </w:t>
      </w:r>
      <w:r>
        <w:rPr>
          <w:color w:val="231F20"/>
          <w:w w:val="110"/>
        </w:rPr>
        <w:t>Colom- bia</w:t>
      </w:r>
      <w:r>
        <w:rPr>
          <w:color w:val="231F20"/>
          <w:spacing w:val="-25"/>
          <w:w w:val="110"/>
        </w:rPr>
        <w:t> </w:t>
      </w:r>
      <w:r>
        <w:rPr>
          <w:color w:val="231F20"/>
          <w:w w:val="110"/>
        </w:rPr>
        <w:t>contra</w:t>
      </w:r>
      <w:r>
        <w:rPr>
          <w:color w:val="231F20"/>
          <w:spacing w:val="-25"/>
          <w:w w:val="110"/>
        </w:rPr>
        <w:t> </w:t>
      </w:r>
      <w:r>
        <w:rPr>
          <w:color w:val="231F20"/>
          <w:w w:val="110"/>
        </w:rPr>
        <w:t>las</w:t>
      </w:r>
      <w:r>
        <w:rPr>
          <w:color w:val="231F20"/>
          <w:spacing w:val="-25"/>
          <w:w w:val="110"/>
        </w:rPr>
        <w:t> </w:t>
      </w:r>
      <w:r>
        <w:rPr>
          <w:color w:val="231F20"/>
          <w:w w:val="110"/>
        </w:rPr>
        <w:t>drogas</w:t>
      </w:r>
      <w:r>
        <w:rPr>
          <w:color w:val="231F20"/>
          <w:spacing w:val="-25"/>
          <w:w w:val="110"/>
        </w:rPr>
        <w:t> </w:t>
      </w:r>
      <w:r>
        <w:rPr>
          <w:color w:val="231F20"/>
          <w:w w:val="110"/>
        </w:rPr>
        <w:t>y</w:t>
      </w:r>
      <w:r>
        <w:rPr>
          <w:color w:val="231F20"/>
          <w:spacing w:val="-25"/>
          <w:w w:val="110"/>
        </w:rPr>
        <w:t> </w:t>
      </w:r>
      <w:r>
        <w:rPr>
          <w:color w:val="231F20"/>
          <w:w w:val="110"/>
        </w:rPr>
        <w:t>el</w:t>
      </w:r>
      <w:r>
        <w:rPr>
          <w:color w:val="231F20"/>
          <w:spacing w:val="-25"/>
          <w:w w:val="110"/>
        </w:rPr>
        <w:t> </w:t>
      </w:r>
      <w:r>
        <w:rPr>
          <w:color w:val="231F20"/>
          <w:w w:val="110"/>
        </w:rPr>
        <w:t>terrorismo”</w:t>
      </w:r>
      <w:r>
        <w:rPr>
          <w:color w:val="231F20"/>
          <w:spacing w:val="-25"/>
          <w:w w:val="110"/>
        </w:rPr>
        <w:t> </w:t>
      </w:r>
      <w:r>
        <w:rPr>
          <w:color w:val="231F20"/>
          <w:w w:val="110"/>
        </w:rPr>
        <w:t>(</w:t>
      </w:r>
      <w:r>
        <w:rPr>
          <w:i/>
          <w:color w:val="231F20"/>
          <w:w w:val="110"/>
        </w:rPr>
        <w:t>El</w:t>
      </w:r>
      <w:r>
        <w:rPr>
          <w:i/>
          <w:color w:val="231F20"/>
          <w:spacing w:val="-25"/>
          <w:w w:val="110"/>
        </w:rPr>
        <w:t> </w:t>
      </w:r>
      <w:r>
        <w:rPr>
          <w:i/>
          <w:color w:val="231F20"/>
          <w:w w:val="110"/>
        </w:rPr>
        <w:t>Espectador</w:t>
      </w:r>
      <w:r>
        <w:rPr>
          <w:color w:val="231F20"/>
          <w:w w:val="110"/>
        </w:rPr>
        <w:t>,</w:t>
      </w:r>
      <w:r>
        <w:rPr>
          <w:color w:val="231F20"/>
          <w:spacing w:val="-25"/>
          <w:w w:val="110"/>
        </w:rPr>
        <w:t> </w:t>
      </w:r>
      <w:r>
        <w:rPr>
          <w:color w:val="231F20"/>
          <w:w w:val="110"/>
        </w:rPr>
        <w:t>2008b;</w:t>
      </w:r>
      <w:r>
        <w:rPr>
          <w:color w:val="231F20"/>
          <w:spacing w:val="-25"/>
          <w:w w:val="110"/>
        </w:rPr>
        <w:t> </w:t>
      </w:r>
      <w:r>
        <w:rPr>
          <w:color w:val="231F20"/>
          <w:w w:val="110"/>
        </w:rPr>
        <w:t>Isackson, 2007). A pesar de la “ayuda militar” para la lucha contra el narco- tráfico y el terrorismo en siete años, no se registrarán reducciones, de los cultivos de coca en los países andinos pero sí aumento de las desapariciones forzadas, desplazamientos de poblaciones enteras y aumento del desempleo y la pobreza (</w:t>
      </w:r>
      <w:r>
        <w:rPr>
          <w:i/>
          <w:color w:val="231F20"/>
          <w:w w:val="110"/>
        </w:rPr>
        <w:t>El Espectador</w:t>
      </w:r>
      <w:r>
        <w:rPr>
          <w:color w:val="231F20"/>
          <w:w w:val="110"/>
        </w:rPr>
        <w:t>, 2008c). Con la iniciativa regional andina, Estados Unidos buscará regionalizar el Plan</w:t>
      </w:r>
      <w:r>
        <w:rPr>
          <w:color w:val="231F20"/>
          <w:spacing w:val="40"/>
          <w:w w:val="110"/>
        </w:rPr>
        <w:t> </w:t>
      </w:r>
      <w:r>
        <w:rPr>
          <w:color w:val="231F20"/>
          <w:w w:val="110"/>
        </w:rPr>
        <w:t>Colombia</w:t>
      </w:r>
      <w:r>
        <w:rPr>
          <w:color w:val="231F20"/>
          <w:spacing w:val="40"/>
          <w:w w:val="110"/>
        </w:rPr>
        <w:t> </w:t>
      </w:r>
      <w:r>
        <w:rPr>
          <w:color w:val="231F20"/>
          <w:w w:val="110"/>
        </w:rPr>
        <w:t>en</w:t>
      </w:r>
      <w:r>
        <w:rPr>
          <w:color w:val="231F20"/>
          <w:spacing w:val="40"/>
          <w:w w:val="110"/>
        </w:rPr>
        <w:t> </w:t>
      </w:r>
      <w:r>
        <w:rPr>
          <w:color w:val="231F20"/>
          <w:w w:val="110"/>
        </w:rPr>
        <w:t>los</w:t>
      </w:r>
      <w:r>
        <w:rPr>
          <w:color w:val="231F20"/>
          <w:spacing w:val="40"/>
          <w:w w:val="110"/>
        </w:rPr>
        <w:t> </w:t>
      </w:r>
      <w:r>
        <w:rPr>
          <w:color w:val="231F20"/>
          <w:w w:val="110"/>
        </w:rPr>
        <w:t>países</w:t>
      </w:r>
      <w:r>
        <w:rPr>
          <w:color w:val="231F20"/>
          <w:spacing w:val="40"/>
          <w:w w:val="110"/>
        </w:rPr>
        <w:t> </w:t>
      </w:r>
      <w:r>
        <w:rPr>
          <w:color w:val="231F20"/>
          <w:w w:val="110"/>
        </w:rPr>
        <w:t>vecinos</w:t>
      </w:r>
      <w:r>
        <w:rPr>
          <w:color w:val="231F20"/>
          <w:spacing w:val="40"/>
          <w:w w:val="110"/>
        </w:rPr>
        <w:t> </w:t>
      </w:r>
      <w:r>
        <w:rPr>
          <w:color w:val="231F20"/>
          <w:w w:val="110"/>
        </w:rPr>
        <w:t>para</w:t>
      </w:r>
      <w:r>
        <w:rPr>
          <w:color w:val="231F20"/>
          <w:spacing w:val="40"/>
          <w:w w:val="110"/>
        </w:rPr>
        <w:t> </w:t>
      </w:r>
      <w:r>
        <w:rPr>
          <w:color w:val="231F20"/>
          <w:w w:val="110"/>
        </w:rPr>
        <w:t>contener</w:t>
      </w:r>
      <w:r>
        <w:rPr>
          <w:color w:val="231F20"/>
          <w:spacing w:val="40"/>
          <w:w w:val="110"/>
        </w:rPr>
        <w:t> </w:t>
      </w:r>
      <w:r>
        <w:rPr>
          <w:color w:val="231F20"/>
          <w:w w:val="110"/>
        </w:rPr>
        <w:t>el</w:t>
      </w:r>
      <w:r>
        <w:rPr>
          <w:color w:val="231F20"/>
          <w:spacing w:val="40"/>
          <w:w w:val="110"/>
        </w:rPr>
        <w:t> </w:t>
      </w:r>
      <w:r>
        <w:rPr>
          <w:color w:val="231F20"/>
          <w:w w:val="110"/>
        </w:rPr>
        <w:t>emergente</w:t>
      </w:r>
      <w:r>
        <w:rPr>
          <w:color w:val="231F20"/>
          <w:spacing w:val="1"/>
          <w:w w:val="112"/>
        </w:rPr>
        <w:t> </w:t>
      </w:r>
      <w:r>
        <w:rPr>
          <w:color w:val="231F20"/>
          <w:w w:val="110"/>
        </w:rPr>
        <w:t>movimiento</w:t>
      </w:r>
      <w:r>
        <w:rPr>
          <w:color w:val="231F20"/>
          <w:spacing w:val="-12"/>
          <w:w w:val="110"/>
        </w:rPr>
        <w:t> </w:t>
      </w:r>
      <w:r>
        <w:rPr>
          <w:color w:val="231F20"/>
          <w:w w:val="110"/>
        </w:rPr>
        <w:t>revolucionario</w:t>
      </w:r>
      <w:r>
        <w:rPr>
          <w:color w:val="231F20"/>
          <w:spacing w:val="-12"/>
          <w:w w:val="110"/>
        </w:rPr>
        <w:t> </w:t>
      </w:r>
      <w:r>
        <w:rPr>
          <w:color w:val="231F20"/>
          <w:w w:val="110"/>
        </w:rPr>
        <w:t>de</w:t>
      </w:r>
      <w:r>
        <w:rPr>
          <w:color w:val="231F20"/>
          <w:spacing w:val="-12"/>
          <w:w w:val="110"/>
        </w:rPr>
        <w:t> </w:t>
      </w:r>
      <w:r>
        <w:rPr>
          <w:color w:val="231F20"/>
          <w:w w:val="110"/>
        </w:rPr>
        <w:t>Hugo</w:t>
      </w:r>
      <w:r>
        <w:rPr>
          <w:color w:val="231F20"/>
          <w:spacing w:val="-12"/>
          <w:w w:val="110"/>
        </w:rPr>
        <w:t> </w:t>
      </w:r>
      <w:r>
        <w:rPr>
          <w:color w:val="231F20"/>
          <w:w w:val="110"/>
        </w:rPr>
        <w:t>Chávez,</w:t>
      </w:r>
      <w:r>
        <w:rPr>
          <w:color w:val="231F20"/>
          <w:spacing w:val="-12"/>
          <w:w w:val="110"/>
        </w:rPr>
        <w:t> </w:t>
      </w:r>
      <w:r>
        <w:rPr>
          <w:color w:val="231F20"/>
          <w:w w:val="110"/>
        </w:rPr>
        <w:t>de</w:t>
      </w:r>
      <w:r>
        <w:rPr>
          <w:color w:val="231F20"/>
          <w:spacing w:val="-12"/>
          <w:w w:val="110"/>
        </w:rPr>
        <w:t> </w:t>
      </w:r>
      <w:r>
        <w:rPr>
          <w:color w:val="231F20"/>
          <w:w w:val="110"/>
        </w:rPr>
        <w:t>Correa</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w w:val="110"/>
        </w:rPr>
        <w:t>Morales</w:t>
      </w:r>
    </w:p>
    <w:p>
      <w:pPr>
        <w:pStyle w:val="BodyText"/>
      </w:pPr>
    </w:p>
    <w:p>
      <w:pPr>
        <w:pStyle w:val="BodyText"/>
        <w:spacing w:before="2"/>
        <w:rPr>
          <w:sz w:val="26"/>
        </w:rPr>
      </w:pPr>
    </w:p>
    <w:p>
      <w:pPr>
        <w:spacing w:before="1"/>
        <w:ind w:left="340" w:right="25" w:firstLine="0"/>
        <w:jc w:val="left"/>
        <w:rPr>
          <w:sz w:val="16"/>
        </w:rPr>
      </w:pPr>
      <w:r>
        <w:rPr>
          <w:color w:val="231F20"/>
          <w:w w:val="110"/>
          <w:position w:val="5"/>
          <w:sz w:val="10"/>
        </w:rPr>
        <w:t>6   </w:t>
      </w:r>
      <w:r>
        <w:rPr>
          <w:color w:val="231F20"/>
          <w:w w:val="110"/>
          <w:sz w:val="16"/>
        </w:rPr>
        <w:t>Charles Berquist citado por (Chomsky, 2004).</w:t>
      </w:r>
    </w:p>
    <w:p>
      <w:pPr>
        <w:spacing w:after="0"/>
        <w:jc w:val="left"/>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quienes logra frenar las estrategias contrarrevolucionarias</w:t>
      </w:r>
      <w:r>
        <w:rPr>
          <w:color w:val="231F20"/>
          <w:spacing w:val="-39"/>
          <w:w w:val="110"/>
        </w:rPr>
        <w:t> </w:t>
      </w:r>
      <w:r>
        <w:rPr>
          <w:color w:val="231F20"/>
          <w:w w:val="110"/>
        </w:rPr>
        <w:t>emprendi- das por la administración de George Bush en nombre de la lucha antiterrorista.</w:t>
      </w:r>
      <w:r>
        <w:rPr>
          <w:color w:val="231F20"/>
          <w:spacing w:val="-15"/>
          <w:w w:val="110"/>
        </w:rPr>
        <w:t> </w:t>
      </w:r>
      <w:r>
        <w:rPr>
          <w:color w:val="231F20"/>
          <w:w w:val="110"/>
        </w:rPr>
        <w:t>Así</w:t>
      </w:r>
      <w:r>
        <w:rPr>
          <w:color w:val="231F20"/>
          <w:spacing w:val="-16"/>
          <w:w w:val="110"/>
        </w:rPr>
        <w:t> </w:t>
      </w:r>
      <w:r>
        <w:rPr>
          <w:color w:val="231F20"/>
          <w:w w:val="110"/>
        </w:rPr>
        <w:t>va</w:t>
      </w:r>
      <w:r>
        <w:rPr>
          <w:color w:val="231F20"/>
          <w:spacing w:val="-15"/>
          <w:w w:val="110"/>
        </w:rPr>
        <w:t> </w:t>
      </w:r>
      <w:r>
        <w:rPr>
          <w:color w:val="231F20"/>
          <w:w w:val="110"/>
        </w:rPr>
        <w:t>a</w:t>
      </w:r>
      <w:r>
        <w:rPr>
          <w:color w:val="231F20"/>
          <w:spacing w:val="-15"/>
          <w:w w:val="110"/>
        </w:rPr>
        <w:t> </w:t>
      </w:r>
      <w:r>
        <w:rPr>
          <w:color w:val="231F20"/>
          <w:w w:val="110"/>
        </w:rPr>
        <w:t>expresarse</w:t>
      </w:r>
      <w:r>
        <w:rPr>
          <w:color w:val="231F20"/>
          <w:spacing w:val="-15"/>
          <w:w w:val="110"/>
        </w:rPr>
        <w:t> </w:t>
      </w:r>
      <w:r>
        <w:rPr>
          <w:color w:val="231F20"/>
          <w:w w:val="110"/>
        </w:rPr>
        <w:t>la</w:t>
      </w:r>
      <w:r>
        <w:rPr>
          <w:color w:val="231F20"/>
          <w:spacing w:val="-16"/>
          <w:w w:val="110"/>
        </w:rPr>
        <w:t> </w:t>
      </w:r>
      <w:r>
        <w:rPr>
          <w:color w:val="231F20"/>
          <w:w w:val="110"/>
        </w:rPr>
        <w:t>xx</w:t>
      </w:r>
      <w:r>
        <w:rPr>
          <w:color w:val="231F20"/>
          <w:spacing w:val="-15"/>
          <w:w w:val="110"/>
        </w:rPr>
        <w:t> </w:t>
      </w:r>
      <w:r>
        <w:rPr>
          <w:color w:val="231F20"/>
          <w:w w:val="110"/>
        </w:rPr>
        <w:t>Cumbre</w:t>
      </w:r>
      <w:r>
        <w:rPr>
          <w:color w:val="231F20"/>
          <w:spacing w:val="-15"/>
          <w:w w:val="110"/>
        </w:rPr>
        <w:t> </w:t>
      </w:r>
      <w:r>
        <w:rPr>
          <w:color w:val="231F20"/>
          <w:w w:val="110"/>
        </w:rPr>
        <w:t>de</w:t>
      </w:r>
      <w:r>
        <w:rPr>
          <w:color w:val="231F20"/>
          <w:spacing w:val="-15"/>
          <w:w w:val="110"/>
        </w:rPr>
        <w:t> </w:t>
      </w:r>
      <w:r>
        <w:rPr>
          <w:color w:val="231F20"/>
          <w:w w:val="110"/>
        </w:rPr>
        <w:t>Río</w:t>
      </w:r>
      <w:r>
        <w:rPr>
          <w:color w:val="231F20"/>
          <w:spacing w:val="-15"/>
          <w:w w:val="110"/>
        </w:rPr>
        <w:t> </w:t>
      </w:r>
      <w:r>
        <w:rPr>
          <w:color w:val="231F20"/>
          <w:w w:val="110"/>
        </w:rPr>
        <w:t>en</w:t>
      </w:r>
      <w:r>
        <w:rPr>
          <w:color w:val="231F20"/>
          <w:spacing w:val="-15"/>
          <w:w w:val="110"/>
        </w:rPr>
        <w:t> </w:t>
      </w:r>
      <w:r>
        <w:rPr>
          <w:color w:val="231F20"/>
          <w:w w:val="110"/>
        </w:rPr>
        <w:t>2008</w:t>
      </w:r>
      <w:r>
        <w:rPr>
          <w:color w:val="231F20"/>
          <w:spacing w:val="-15"/>
          <w:w w:val="110"/>
        </w:rPr>
        <w:t> </w:t>
      </w:r>
      <w:r>
        <w:rPr>
          <w:color w:val="231F20"/>
          <w:w w:val="110"/>
        </w:rPr>
        <w:t>donde queda</w:t>
      </w:r>
      <w:r>
        <w:rPr>
          <w:color w:val="231F20"/>
          <w:spacing w:val="-10"/>
          <w:w w:val="110"/>
        </w:rPr>
        <w:t> </w:t>
      </w:r>
      <w:r>
        <w:rPr>
          <w:color w:val="231F20"/>
          <w:w w:val="110"/>
        </w:rPr>
        <w:t>consignado</w:t>
      </w:r>
      <w:r>
        <w:rPr>
          <w:color w:val="231F20"/>
          <w:spacing w:val="-10"/>
          <w:w w:val="110"/>
        </w:rPr>
        <w:t> </w:t>
      </w:r>
      <w:r>
        <w:rPr>
          <w:color w:val="231F20"/>
          <w:w w:val="110"/>
        </w:rPr>
        <w:t>el</w:t>
      </w:r>
      <w:r>
        <w:rPr>
          <w:color w:val="231F20"/>
          <w:spacing w:val="-10"/>
          <w:w w:val="110"/>
        </w:rPr>
        <w:t> </w:t>
      </w:r>
      <w:r>
        <w:rPr>
          <w:color w:val="231F20"/>
          <w:w w:val="110"/>
        </w:rPr>
        <w:t>rechazo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gobiernos</w:t>
      </w:r>
      <w:r>
        <w:rPr>
          <w:color w:val="231F20"/>
          <w:spacing w:val="-10"/>
          <w:w w:val="110"/>
        </w:rPr>
        <w:t> </w:t>
      </w:r>
      <w:r>
        <w:rPr>
          <w:color w:val="231F20"/>
          <w:w w:val="110"/>
        </w:rPr>
        <w:t>latinoamericanos</w:t>
      </w:r>
      <w:r>
        <w:rPr>
          <w:color w:val="231F20"/>
          <w:spacing w:val="-10"/>
          <w:w w:val="110"/>
        </w:rPr>
        <w:t> </w:t>
      </w:r>
      <w:r>
        <w:rPr>
          <w:color w:val="231F20"/>
          <w:w w:val="110"/>
        </w:rPr>
        <w:t>y</w:t>
      </w:r>
      <w:r>
        <w:rPr>
          <w:color w:val="231F20"/>
          <w:spacing w:val="-10"/>
          <w:w w:val="110"/>
        </w:rPr>
        <w:t> </w:t>
      </w:r>
      <w:r>
        <w:rPr>
          <w:color w:val="231F20"/>
          <w:w w:val="110"/>
        </w:rPr>
        <w:t>ca- ribeños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extraterritorialidad</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guerras</w:t>
      </w:r>
      <w:r>
        <w:rPr>
          <w:color w:val="231F20"/>
          <w:spacing w:val="-8"/>
          <w:w w:val="110"/>
        </w:rPr>
        <w:t> </w:t>
      </w:r>
      <w:r>
        <w:rPr>
          <w:color w:val="231F20"/>
          <w:w w:val="110"/>
        </w:rPr>
        <w:t>preventivas.</w:t>
      </w:r>
      <w:r>
        <w:rPr>
          <w:color w:val="231F20"/>
          <w:spacing w:val="-8"/>
          <w:w w:val="110"/>
        </w:rPr>
        <w:t> </w:t>
      </w:r>
      <w:r>
        <w:rPr>
          <w:color w:val="231F20"/>
          <w:w w:val="110"/>
        </w:rPr>
        <w:t>Allí</w:t>
      </w:r>
      <w:r>
        <w:rPr>
          <w:color w:val="231F20"/>
          <w:spacing w:val="-8"/>
          <w:w w:val="110"/>
        </w:rPr>
        <w:t> </w:t>
      </w:r>
      <w:r>
        <w:rPr>
          <w:color w:val="231F20"/>
          <w:w w:val="110"/>
        </w:rPr>
        <w:t>surge la propuesta de una alternativa para los pueblos de América (alba) que busca confrontar la política de seguridad (económica, política, social,</w:t>
      </w:r>
      <w:r>
        <w:rPr>
          <w:color w:val="231F20"/>
          <w:spacing w:val="-14"/>
          <w:w w:val="110"/>
        </w:rPr>
        <w:t> </w:t>
      </w:r>
      <w:r>
        <w:rPr>
          <w:color w:val="231F20"/>
          <w:w w:val="110"/>
        </w:rPr>
        <w:t>ambiental,</w:t>
      </w:r>
      <w:r>
        <w:rPr>
          <w:color w:val="231F20"/>
          <w:spacing w:val="-14"/>
          <w:w w:val="110"/>
        </w:rPr>
        <w:t> </w:t>
      </w:r>
      <w:r>
        <w:rPr>
          <w:color w:val="231F20"/>
          <w:w w:val="110"/>
        </w:rPr>
        <w:t>policiaca</w:t>
      </w:r>
      <w:r>
        <w:rPr>
          <w:color w:val="231F20"/>
          <w:spacing w:val="-14"/>
          <w:w w:val="110"/>
        </w:rPr>
        <w:t> </w:t>
      </w:r>
      <w:r>
        <w:rPr>
          <w:color w:val="231F20"/>
          <w:w w:val="110"/>
        </w:rPr>
        <w:t>y</w:t>
      </w:r>
      <w:r>
        <w:rPr>
          <w:color w:val="231F20"/>
          <w:spacing w:val="-14"/>
          <w:w w:val="110"/>
        </w:rPr>
        <w:t> </w:t>
      </w:r>
      <w:r>
        <w:rPr>
          <w:color w:val="231F20"/>
          <w:w w:val="110"/>
        </w:rPr>
        <w:t>militar)</w:t>
      </w:r>
      <w:r>
        <w:rPr>
          <w:color w:val="231F20"/>
          <w:spacing w:val="-14"/>
          <w:w w:val="110"/>
        </w:rPr>
        <w:t> </w:t>
      </w:r>
      <w:r>
        <w:rPr>
          <w:color w:val="231F20"/>
          <w:w w:val="110"/>
        </w:rPr>
        <w:t>(Suarez</w:t>
      </w:r>
      <w:r>
        <w:rPr>
          <w:color w:val="231F20"/>
          <w:spacing w:val="-14"/>
          <w:w w:val="110"/>
        </w:rPr>
        <w:t> </w:t>
      </w:r>
      <w:r>
        <w:rPr>
          <w:color w:val="231F20"/>
          <w:spacing w:val="-3"/>
          <w:w w:val="110"/>
        </w:rPr>
        <w:t>Salazar,</w:t>
      </w:r>
      <w:r>
        <w:rPr>
          <w:color w:val="231F20"/>
          <w:spacing w:val="-14"/>
          <w:w w:val="110"/>
        </w:rPr>
        <w:t> </w:t>
      </w:r>
      <w:r>
        <w:rPr>
          <w:color w:val="231F20"/>
          <w:w w:val="110"/>
        </w:rPr>
        <w:t>2008:</w:t>
      </w:r>
      <w:r>
        <w:rPr>
          <w:color w:val="231F20"/>
          <w:spacing w:val="-14"/>
          <w:w w:val="110"/>
        </w:rPr>
        <w:t> </w:t>
      </w:r>
      <w:r>
        <w:rPr>
          <w:color w:val="231F20"/>
          <w:w w:val="110"/>
        </w:rPr>
        <w:t>152)</w:t>
      </w:r>
      <w:r>
        <w:rPr>
          <w:color w:val="231F20"/>
          <w:spacing w:val="-14"/>
          <w:w w:val="110"/>
        </w:rPr>
        <w:t> </w:t>
      </w:r>
      <w:r>
        <w:rPr>
          <w:color w:val="231F20"/>
          <w:w w:val="110"/>
        </w:rPr>
        <w:t>que construye Estados Unidos en toda América Latina y el</w:t>
      </w:r>
      <w:r>
        <w:rPr>
          <w:color w:val="231F20"/>
          <w:spacing w:val="-10"/>
          <w:w w:val="110"/>
        </w:rPr>
        <w:t> </w:t>
      </w:r>
      <w:r>
        <w:rPr>
          <w:color w:val="231F20"/>
          <w:w w:val="110"/>
        </w:rPr>
        <w:t>Caribe.</w:t>
      </w:r>
    </w:p>
    <w:p>
      <w:pPr>
        <w:pStyle w:val="BodyText"/>
        <w:spacing w:line="261" w:lineRule="auto"/>
        <w:ind w:left="100" w:right="116" w:firstLine="240"/>
        <w:jc w:val="both"/>
      </w:pPr>
      <w:r>
        <w:rPr>
          <w:color w:val="231F20"/>
          <w:w w:val="110"/>
        </w:rPr>
        <w:t>El mismo congreso de Estados Unidos empezará a cuestionar desde 2007, las estrategias “antinarcóticos” de Bush en Colombia, las cuales no van a arrojar más que miseria, aumento de la violencia armada</w:t>
      </w:r>
      <w:r>
        <w:rPr>
          <w:color w:val="231F20"/>
          <w:spacing w:val="-11"/>
          <w:w w:val="110"/>
        </w:rPr>
        <w:t> </w:t>
      </w:r>
      <w:r>
        <w:rPr>
          <w:color w:val="231F20"/>
          <w:w w:val="110"/>
        </w:rPr>
        <w:t>y</w:t>
      </w:r>
      <w:r>
        <w:rPr>
          <w:color w:val="231F20"/>
          <w:spacing w:val="-11"/>
          <w:w w:val="110"/>
        </w:rPr>
        <w:t> </w:t>
      </w:r>
      <w:r>
        <w:rPr>
          <w:color w:val="231F20"/>
          <w:w w:val="110"/>
        </w:rPr>
        <w:t>mas</w:t>
      </w:r>
      <w:r>
        <w:rPr>
          <w:color w:val="231F20"/>
          <w:spacing w:val="-11"/>
          <w:w w:val="110"/>
        </w:rPr>
        <w:t> </w:t>
      </w:r>
      <w:r>
        <w:rPr>
          <w:color w:val="231F20"/>
          <w:w w:val="110"/>
        </w:rPr>
        <w:t>antiamericanismo.</w:t>
      </w:r>
      <w:r>
        <w:rPr>
          <w:color w:val="231F20"/>
          <w:spacing w:val="-11"/>
          <w:w w:val="110"/>
        </w:rPr>
        <w:t> </w:t>
      </w:r>
      <w:r>
        <w:rPr>
          <w:color w:val="231F20"/>
          <w:w w:val="110"/>
        </w:rPr>
        <w:t>La</w:t>
      </w:r>
      <w:r>
        <w:rPr>
          <w:color w:val="231F20"/>
          <w:spacing w:val="-11"/>
          <w:w w:val="110"/>
        </w:rPr>
        <w:t> </w:t>
      </w:r>
      <w:r>
        <w:rPr>
          <w:color w:val="231F20"/>
          <w:w w:val="110"/>
        </w:rPr>
        <w:t>estrategia</w:t>
      </w:r>
      <w:r>
        <w:rPr>
          <w:color w:val="231F20"/>
          <w:spacing w:val="-11"/>
          <w:w w:val="110"/>
        </w:rPr>
        <w:t> </w:t>
      </w:r>
      <w:r>
        <w:rPr>
          <w:color w:val="231F20"/>
          <w:w w:val="110"/>
        </w:rPr>
        <w:t>“antidrogas”</w:t>
      </w:r>
      <w:r>
        <w:rPr>
          <w:color w:val="231F20"/>
          <w:spacing w:val="-11"/>
          <w:w w:val="110"/>
        </w:rPr>
        <w:t> </w:t>
      </w:r>
      <w:r>
        <w:rPr>
          <w:color w:val="231F20"/>
          <w:w w:val="110"/>
        </w:rPr>
        <w:t>toma</w:t>
      </w:r>
      <w:r>
        <w:rPr>
          <w:color w:val="231F20"/>
          <w:spacing w:val="-11"/>
          <w:w w:val="110"/>
        </w:rPr>
        <w:t> </w:t>
      </w:r>
      <w:r>
        <w:rPr>
          <w:color w:val="231F20"/>
          <w:w w:val="110"/>
        </w:rPr>
        <w:t>en- tonces otra dirección. Una agenda de seguridad combinada con una agenda energética para Estados Unidos parece vislumbrarse frente a la creciente preocupación sobre el papel de Venezuela como poten- cia petrolera en la </w:t>
      </w:r>
      <w:r>
        <w:rPr>
          <w:color w:val="231F20"/>
          <w:spacing w:val="7"/>
          <w:w w:val="110"/>
        </w:rPr>
        <w:t> </w:t>
      </w:r>
      <w:r>
        <w:rPr>
          <w:color w:val="231F20"/>
          <w:w w:val="110"/>
        </w:rPr>
        <w:t>región.</w:t>
      </w:r>
    </w:p>
    <w:p>
      <w:pPr>
        <w:pStyle w:val="BodyText"/>
        <w:spacing w:before="4"/>
        <w:rPr>
          <w:sz w:val="23"/>
        </w:rPr>
      </w:pPr>
    </w:p>
    <w:p>
      <w:pPr>
        <w:spacing w:line="290" w:lineRule="auto" w:before="0"/>
        <w:ind w:left="100" w:right="117" w:firstLine="0"/>
        <w:jc w:val="both"/>
        <w:rPr>
          <w:sz w:val="18"/>
        </w:rPr>
      </w:pPr>
      <w:r>
        <w:rPr>
          <w:color w:val="231F20"/>
          <w:w w:val="110"/>
          <w:sz w:val="18"/>
        </w:rPr>
        <w:t>El tráfico de drogas y la seguridad energética de Estados Unidos están en juego en esta nueva fase de la diplomacia andina. Siendo los principales consumidores</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cocaína</w:t>
      </w:r>
      <w:r>
        <w:rPr>
          <w:color w:val="231F20"/>
          <w:spacing w:val="-16"/>
          <w:w w:val="110"/>
          <w:sz w:val="18"/>
        </w:rPr>
        <w:t> </w:t>
      </w:r>
      <w:r>
        <w:rPr>
          <w:color w:val="231F20"/>
          <w:w w:val="110"/>
          <w:sz w:val="18"/>
        </w:rPr>
        <w:t>colombiana</w:t>
      </w:r>
      <w:r>
        <w:rPr>
          <w:color w:val="231F20"/>
          <w:spacing w:val="-16"/>
          <w:w w:val="110"/>
          <w:sz w:val="18"/>
        </w:rPr>
        <w:t> </w:t>
      </w:r>
      <w:r>
        <w:rPr>
          <w:color w:val="231F20"/>
          <w:w w:val="110"/>
          <w:sz w:val="18"/>
        </w:rPr>
        <w:t>y</w:t>
      </w:r>
      <w:r>
        <w:rPr>
          <w:color w:val="231F20"/>
          <w:spacing w:val="-16"/>
          <w:w w:val="110"/>
          <w:sz w:val="18"/>
        </w:rPr>
        <w:t> </w:t>
      </w:r>
      <w:r>
        <w:rPr>
          <w:color w:val="231F20"/>
          <w:w w:val="110"/>
          <w:sz w:val="18"/>
        </w:rPr>
        <w:t>petróleo</w:t>
      </w:r>
      <w:r>
        <w:rPr>
          <w:color w:val="231F20"/>
          <w:spacing w:val="-16"/>
          <w:w w:val="110"/>
          <w:sz w:val="18"/>
        </w:rPr>
        <w:t> </w:t>
      </w:r>
      <w:r>
        <w:rPr>
          <w:color w:val="231F20"/>
          <w:w w:val="110"/>
          <w:sz w:val="18"/>
        </w:rPr>
        <w:t>venezolano,</w:t>
      </w:r>
      <w:r>
        <w:rPr>
          <w:color w:val="231F20"/>
          <w:spacing w:val="-16"/>
          <w:w w:val="110"/>
          <w:sz w:val="18"/>
        </w:rPr>
        <w:t> </w:t>
      </w:r>
      <w:r>
        <w:rPr>
          <w:color w:val="231F20"/>
          <w:w w:val="110"/>
          <w:sz w:val="18"/>
        </w:rPr>
        <w:t>el</w:t>
      </w:r>
      <w:r>
        <w:rPr>
          <w:color w:val="231F20"/>
          <w:spacing w:val="-16"/>
          <w:w w:val="110"/>
          <w:sz w:val="18"/>
        </w:rPr>
        <w:t> </w:t>
      </w:r>
      <w:r>
        <w:rPr>
          <w:color w:val="231F20"/>
          <w:w w:val="110"/>
          <w:sz w:val="18"/>
        </w:rPr>
        <w:t>bajo</w:t>
      </w:r>
      <w:r>
        <w:rPr>
          <w:color w:val="231F20"/>
          <w:spacing w:val="-16"/>
          <w:w w:val="110"/>
          <w:sz w:val="18"/>
        </w:rPr>
        <w:t> </w:t>
      </w:r>
      <w:r>
        <w:rPr>
          <w:color w:val="231F20"/>
          <w:w w:val="110"/>
          <w:sz w:val="18"/>
        </w:rPr>
        <w:t>prestigio de Washington ha dejado a Uribe preso entre gobiernos pro Chávez como Ecuador y Bolivia y con poco margen de acción salvo para fortalecer sus relaciones con Chávez (Kraul Cris,</w:t>
      </w:r>
      <w:r>
        <w:rPr>
          <w:color w:val="231F20"/>
          <w:spacing w:val="-35"/>
          <w:w w:val="110"/>
          <w:sz w:val="18"/>
        </w:rPr>
        <w:t> </w:t>
      </w:r>
      <w:r>
        <w:rPr>
          <w:color w:val="231F20"/>
          <w:w w:val="110"/>
          <w:sz w:val="18"/>
        </w:rPr>
        <w:t>2008).</w:t>
      </w:r>
    </w:p>
    <w:p>
      <w:pPr>
        <w:pStyle w:val="BodyText"/>
        <w:rPr>
          <w:sz w:val="18"/>
        </w:rPr>
      </w:pPr>
    </w:p>
    <w:p>
      <w:pPr>
        <w:pStyle w:val="BodyText"/>
        <w:rPr>
          <w:sz w:val="18"/>
        </w:rPr>
      </w:pPr>
    </w:p>
    <w:p>
      <w:pPr>
        <w:pStyle w:val="BodyText"/>
        <w:rPr>
          <w:sz w:val="18"/>
        </w:rPr>
      </w:pPr>
    </w:p>
    <w:p>
      <w:pPr>
        <w:pStyle w:val="BodyText"/>
        <w:spacing w:line="261" w:lineRule="auto" w:before="111"/>
        <w:ind w:left="100" w:right="586"/>
      </w:pPr>
      <w:r>
        <w:rPr>
          <w:color w:val="231F20"/>
          <w:w w:val="125"/>
        </w:rPr>
        <w:t>¿los tratados de libre comercio con los países andinos, </w:t>
      </w:r>
      <w:r>
        <w:rPr>
          <w:color w:val="231F20"/>
          <w:w w:val="120"/>
        </w:rPr>
        <w:t>un “ideal” estadunidense?</w:t>
      </w:r>
    </w:p>
    <w:p>
      <w:pPr>
        <w:pStyle w:val="BodyText"/>
        <w:spacing w:before="8"/>
        <w:rPr>
          <w:sz w:val="21"/>
        </w:rPr>
      </w:pPr>
    </w:p>
    <w:p>
      <w:pPr>
        <w:pStyle w:val="BodyText"/>
        <w:spacing w:line="261" w:lineRule="auto"/>
        <w:ind w:left="100" w:right="117"/>
        <w:jc w:val="both"/>
      </w:pPr>
      <w:r>
        <w:rPr>
          <w:color w:val="231F20"/>
          <w:w w:val="110"/>
        </w:rPr>
        <w:t>Así como la agenda de seguridad constituye una de las puntas de lanza de la política exterior estadunidense para asegurar el control de</w:t>
      </w:r>
      <w:r>
        <w:rPr>
          <w:color w:val="231F20"/>
          <w:spacing w:val="-6"/>
          <w:w w:val="110"/>
        </w:rPr>
        <w:t> </w:t>
      </w:r>
      <w:r>
        <w:rPr>
          <w:color w:val="231F20"/>
          <w:w w:val="110"/>
        </w:rPr>
        <w:t>los</w:t>
      </w:r>
      <w:r>
        <w:rPr>
          <w:color w:val="231F20"/>
          <w:spacing w:val="-6"/>
          <w:w w:val="110"/>
        </w:rPr>
        <w:t> </w:t>
      </w:r>
      <w:r>
        <w:rPr>
          <w:color w:val="231F20"/>
          <w:w w:val="110"/>
        </w:rPr>
        <w:t>países</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inmediata</w:t>
      </w:r>
      <w:r>
        <w:rPr>
          <w:color w:val="231F20"/>
          <w:spacing w:val="-6"/>
          <w:w w:val="110"/>
        </w:rPr>
        <w:t> </w:t>
      </w:r>
      <w:r>
        <w:rPr>
          <w:color w:val="231F20"/>
          <w:w w:val="110"/>
        </w:rPr>
        <w:t>influencia,</w:t>
      </w:r>
      <w:r>
        <w:rPr>
          <w:color w:val="231F20"/>
          <w:spacing w:val="-6"/>
          <w:w w:val="110"/>
        </w:rPr>
        <w:t> </w:t>
      </w:r>
      <w:r>
        <w:rPr>
          <w:color w:val="231F20"/>
          <w:w w:val="110"/>
        </w:rPr>
        <w:t>la</w:t>
      </w:r>
      <w:r>
        <w:rPr>
          <w:color w:val="231F20"/>
          <w:spacing w:val="-6"/>
          <w:w w:val="110"/>
        </w:rPr>
        <w:t> </w:t>
      </w:r>
      <w:r>
        <w:rPr>
          <w:color w:val="231F20"/>
          <w:w w:val="110"/>
        </w:rPr>
        <w:t>política</w:t>
      </w:r>
      <w:r>
        <w:rPr>
          <w:color w:val="231F20"/>
          <w:spacing w:val="-6"/>
          <w:w w:val="110"/>
        </w:rPr>
        <w:t> </w:t>
      </w:r>
      <w:r>
        <w:rPr>
          <w:color w:val="231F20"/>
          <w:w w:val="110"/>
        </w:rPr>
        <w:t>de</w:t>
      </w:r>
      <w:r>
        <w:rPr>
          <w:color w:val="231F20"/>
          <w:spacing w:val="-6"/>
          <w:w w:val="110"/>
        </w:rPr>
        <w:t> </w:t>
      </w:r>
      <w:r>
        <w:rPr>
          <w:color w:val="231F20"/>
          <w:w w:val="110"/>
        </w:rPr>
        <w:t>libre</w:t>
      </w:r>
      <w:r>
        <w:rPr>
          <w:color w:val="231F20"/>
          <w:spacing w:val="-6"/>
          <w:w w:val="110"/>
        </w:rPr>
        <w:t> </w:t>
      </w:r>
      <w:r>
        <w:rPr>
          <w:color w:val="231F20"/>
          <w:w w:val="110"/>
        </w:rPr>
        <w:t>comercio va</w:t>
      </w:r>
      <w:r>
        <w:rPr>
          <w:color w:val="231F20"/>
          <w:spacing w:val="-12"/>
          <w:w w:val="110"/>
        </w:rPr>
        <w:t> </w:t>
      </w:r>
      <w:r>
        <w:rPr>
          <w:color w:val="231F20"/>
          <w:w w:val="110"/>
        </w:rPr>
        <w:t>estar</w:t>
      </w:r>
      <w:r>
        <w:rPr>
          <w:color w:val="231F20"/>
          <w:spacing w:val="-12"/>
          <w:w w:val="110"/>
        </w:rPr>
        <w:t> </w:t>
      </w:r>
      <w:r>
        <w:rPr>
          <w:color w:val="231F20"/>
          <w:w w:val="110"/>
        </w:rPr>
        <w:t>atada</w:t>
      </w:r>
      <w:r>
        <w:rPr>
          <w:color w:val="231F20"/>
          <w:spacing w:val="-12"/>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w w:val="110"/>
        </w:rPr>
        <w:t>agendas</w:t>
      </w:r>
      <w:r>
        <w:rPr>
          <w:color w:val="231F20"/>
          <w:spacing w:val="-12"/>
          <w:w w:val="110"/>
        </w:rPr>
        <w:t> </w:t>
      </w:r>
      <w:r>
        <w:rPr>
          <w:color w:val="231F20"/>
          <w:w w:val="110"/>
        </w:rPr>
        <w:t>de</w:t>
      </w:r>
      <w:r>
        <w:rPr>
          <w:color w:val="231F20"/>
          <w:spacing w:val="-12"/>
          <w:w w:val="110"/>
        </w:rPr>
        <w:t> </w:t>
      </w:r>
      <w:r>
        <w:rPr>
          <w:color w:val="231F20"/>
          <w:w w:val="110"/>
        </w:rPr>
        <w:t>intervención</w:t>
      </w:r>
      <w:r>
        <w:rPr>
          <w:color w:val="231F20"/>
          <w:spacing w:val="-12"/>
          <w:w w:val="110"/>
        </w:rPr>
        <w:t> </w:t>
      </w:r>
      <w:r>
        <w:rPr>
          <w:color w:val="231F20"/>
          <w:w w:val="110"/>
        </w:rPr>
        <w:t>bipartidistas</w:t>
      </w:r>
      <w:r>
        <w:rPr>
          <w:color w:val="231F20"/>
          <w:spacing w:val="-12"/>
          <w:w w:val="110"/>
        </w:rPr>
        <w:t> </w:t>
      </w:r>
      <w:r>
        <w:rPr>
          <w:color w:val="231F20"/>
          <w:w w:val="110"/>
        </w:rPr>
        <w:t>combinando desde la asignación de “fondos de ayuda” hasta los apoyos militares directos. Con la “Iniciativa de las Américas” en 1990 durante la</w:t>
      </w:r>
      <w:r>
        <w:rPr>
          <w:color w:val="231F20"/>
          <w:spacing w:val="-27"/>
          <w:w w:val="110"/>
        </w:rPr>
        <w:t> </w:t>
      </w:r>
      <w:r>
        <w:rPr>
          <w:color w:val="231F20"/>
          <w:w w:val="110"/>
        </w:rPr>
        <w:t>pre- sidencia de George Bush padre, se busca consolidar un bloque con los países latinoamericanos bajo su hegemonía (Estay y Sánchez, 2005: 25). El gobierno de Bill Clinton va a consolidar los </w:t>
      </w:r>
      <w:r>
        <w:rPr>
          <w:color w:val="231F20"/>
          <w:spacing w:val="48"/>
          <w:w w:val="110"/>
        </w:rPr>
        <w:t> </w:t>
      </w:r>
      <w:r>
        <w:rPr>
          <w:color w:val="231F20"/>
          <w:w w:val="110"/>
        </w:rPr>
        <w:t>acuerdos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5"/>
        </w:rPr>
        <w:t>subregionales de Estados Unidos (nafta) y su sucesor George W. Bush, firmará los tratados con Centroamérica y Chile (cafta) en 2005 y Perú en 2006.</w:t>
      </w:r>
    </w:p>
    <w:p>
      <w:pPr>
        <w:pStyle w:val="BodyText"/>
        <w:spacing w:line="261" w:lineRule="auto"/>
        <w:ind w:left="100" w:right="119" w:firstLine="240"/>
        <w:jc w:val="both"/>
      </w:pPr>
      <w:r>
        <w:rPr>
          <w:color w:val="231F20"/>
          <w:w w:val="110"/>
        </w:rPr>
        <w:t>La</w:t>
      </w:r>
      <w:r>
        <w:rPr>
          <w:color w:val="231F20"/>
          <w:spacing w:val="-4"/>
          <w:w w:val="110"/>
        </w:rPr>
        <w:t> </w:t>
      </w:r>
      <w:r>
        <w:rPr>
          <w:color w:val="231F20"/>
          <w:w w:val="110"/>
        </w:rPr>
        <w:t>necesidad</w:t>
      </w:r>
      <w:r>
        <w:rPr>
          <w:color w:val="231F20"/>
          <w:spacing w:val="-4"/>
          <w:w w:val="110"/>
        </w:rPr>
        <w:t> </w:t>
      </w:r>
      <w:r>
        <w:rPr>
          <w:color w:val="231F20"/>
          <w:w w:val="110"/>
        </w:rPr>
        <w:t>de</w:t>
      </w:r>
      <w:r>
        <w:rPr>
          <w:color w:val="231F20"/>
          <w:spacing w:val="-4"/>
          <w:w w:val="110"/>
        </w:rPr>
        <w:t> </w:t>
      </w:r>
      <w:r>
        <w:rPr>
          <w:color w:val="231F20"/>
          <w:w w:val="110"/>
        </w:rPr>
        <w:t>proveer</w:t>
      </w:r>
      <w:r>
        <w:rPr>
          <w:color w:val="231F20"/>
          <w:spacing w:val="-4"/>
          <w:w w:val="110"/>
        </w:rPr>
        <w:t> </w:t>
      </w:r>
      <w:r>
        <w:rPr>
          <w:color w:val="231F20"/>
          <w:w w:val="110"/>
        </w:rPr>
        <w:t>un</w:t>
      </w:r>
      <w:r>
        <w:rPr>
          <w:color w:val="231F20"/>
          <w:spacing w:val="-4"/>
          <w:w w:val="110"/>
        </w:rPr>
        <w:t> </w:t>
      </w:r>
      <w:r>
        <w:rPr>
          <w:color w:val="231F20"/>
          <w:w w:val="110"/>
        </w:rPr>
        <w:t>acceso</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exportaciones</w:t>
      </w:r>
      <w:r>
        <w:rPr>
          <w:color w:val="231F20"/>
          <w:spacing w:val="-4"/>
          <w:w w:val="110"/>
        </w:rPr>
        <w:t> </w:t>
      </w:r>
      <w:r>
        <w:rPr>
          <w:color w:val="231F20"/>
          <w:w w:val="110"/>
        </w:rPr>
        <w:t>de</w:t>
      </w:r>
      <w:r>
        <w:rPr>
          <w:color w:val="231F20"/>
          <w:spacing w:val="-4"/>
          <w:w w:val="110"/>
        </w:rPr>
        <w:t> </w:t>
      </w:r>
      <w:r>
        <w:rPr>
          <w:color w:val="231F20"/>
          <w:w w:val="110"/>
        </w:rPr>
        <w:t>Estados Unidos y garantizar la inversión y rentabilidad de sus empresas, al mismo tiempo que la defensa de las instituciones democráticas y la lucha</w:t>
      </w:r>
      <w:r>
        <w:rPr>
          <w:color w:val="231F20"/>
          <w:spacing w:val="-14"/>
          <w:w w:val="110"/>
        </w:rPr>
        <w:t> </w:t>
      </w:r>
      <w:r>
        <w:rPr>
          <w:color w:val="231F20"/>
          <w:w w:val="110"/>
        </w:rPr>
        <w:t>contra</w:t>
      </w:r>
      <w:r>
        <w:rPr>
          <w:color w:val="231F20"/>
          <w:spacing w:val="-14"/>
          <w:w w:val="110"/>
        </w:rPr>
        <w:t> </w:t>
      </w:r>
      <w:r>
        <w:rPr>
          <w:color w:val="231F20"/>
          <w:w w:val="110"/>
        </w:rPr>
        <w:t>el</w:t>
      </w:r>
      <w:r>
        <w:rPr>
          <w:color w:val="231F20"/>
          <w:spacing w:val="-14"/>
          <w:w w:val="110"/>
        </w:rPr>
        <w:t> </w:t>
      </w:r>
      <w:r>
        <w:rPr>
          <w:color w:val="231F20"/>
          <w:w w:val="110"/>
        </w:rPr>
        <w:t>narcotráfico,</w:t>
      </w:r>
      <w:r>
        <w:rPr>
          <w:color w:val="231F20"/>
          <w:spacing w:val="-14"/>
          <w:w w:val="110"/>
        </w:rPr>
        <w:t> </w:t>
      </w:r>
      <w:r>
        <w:rPr>
          <w:color w:val="231F20"/>
          <w:w w:val="110"/>
        </w:rPr>
        <w:t>va</w:t>
      </w:r>
      <w:r>
        <w:rPr>
          <w:color w:val="231F20"/>
          <w:spacing w:val="-14"/>
          <w:w w:val="110"/>
        </w:rPr>
        <w:t> </w:t>
      </w:r>
      <w:r>
        <w:rPr>
          <w:color w:val="231F20"/>
          <w:w w:val="110"/>
        </w:rPr>
        <w:t>a</w:t>
      </w:r>
      <w:r>
        <w:rPr>
          <w:color w:val="231F20"/>
          <w:spacing w:val="-14"/>
          <w:w w:val="110"/>
        </w:rPr>
        <w:t> </w:t>
      </w:r>
      <w:r>
        <w:rPr>
          <w:color w:val="231F20"/>
          <w:w w:val="110"/>
        </w:rPr>
        <w:t>justificar</w:t>
      </w:r>
      <w:r>
        <w:rPr>
          <w:color w:val="231F20"/>
          <w:spacing w:val="-14"/>
          <w:w w:val="110"/>
        </w:rPr>
        <w:t> </w:t>
      </w:r>
      <w:r>
        <w:rPr>
          <w:color w:val="231F20"/>
          <w:w w:val="110"/>
        </w:rPr>
        <w:t>las</w:t>
      </w:r>
      <w:r>
        <w:rPr>
          <w:color w:val="231F20"/>
          <w:spacing w:val="-14"/>
          <w:w w:val="110"/>
        </w:rPr>
        <w:t> </w:t>
      </w:r>
      <w:r>
        <w:rPr>
          <w:color w:val="231F20"/>
          <w:w w:val="110"/>
        </w:rPr>
        <w:t>nuevas</w:t>
      </w:r>
      <w:r>
        <w:rPr>
          <w:color w:val="231F20"/>
          <w:spacing w:val="-14"/>
          <w:w w:val="110"/>
        </w:rPr>
        <w:t> </w:t>
      </w:r>
      <w:r>
        <w:rPr>
          <w:color w:val="231F20"/>
          <w:w w:val="110"/>
        </w:rPr>
        <w:t>formas</w:t>
      </w:r>
      <w:r>
        <w:rPr>
          <w:color w:val="231F20"/>
          <w:spacing w:val="-14"/>
          <w:w w:val="110"/>
        </w:rPr>
        <w:t> </w:t>
      </w:r>
      <w:r>
        <w:rPr>
          <w:color w:val="231F20"/>
          <w:w w:val="110"/>
        </w:rPr>
        <w:t>de</w:t>
      </w:r>
      <w:r>
        <w:rPr>
          <w:color w:val="231F20"/>
          <w:spacing w:val="-14"/>
          <w:w w:val="110"/>
        </w:rPr>
        <w:t> </w:t>
      </w:r>
      <w:r>
        <w:rPr>
          <w:color w:val="231F20"/>
          <w:w w:val="110"/>
        </w:rPr>
        <w:t>inter- vención</w:t>
      </w:r>
      <w:r>
        <w:rPr>
          <w:color w:val="231F20"/>
          <w:spacing w:val="-15"/>
          <w:w w:val="110"/>
        </w:rPr>
        <w:t> </w:t>
      </w:r>
      <w:r>
        <w:rPr>
          <w:color w:val="231F20"/>
          <w:w w:val="110"/>
        </w:rPr>
        <w:t>durante</w:t>
      </w:r>
      <w:r>
        <w:rPr>
          <w:color w:val="231F20"/>
          <w:spacing w:val="-15"/>
          <w:w w:val="110"/>
        </w:rPr>
        <w:t> </w:t>
      </w:r>
      <w:r>
        <w:rPr>
          <w:color w:val="231F20"/>
          <w:w w:val="110"/>
        </w:rPr>
        <w:t>los</w:t>
      </w:r>
      <w:r>
        <w:rPr>
          <w:color w:val="231F20"/>
          <w:spacing w:val="-15"/>
          <w:w w:val="110"/>
        </w:rPr>
        <w:t> </w:t>
      </w:r>
      <w:r>
        <w:rPr>
          <w:color w:val="231F20"/>
          <w:w w:val="110"/>
        </w:rPr>
        <w:t>dos</w:t>
      </w:r>
      <w:r>
        <w:rPr>
          <w:color w:val="231F20"/>
          <w:spacing w:val="-15"/>
          <w:w w:val="110"/>
        </w:rPr>
        <w:t> </w:t>
      </w:r>
      <w:r>
        <w:rPr>
          <w:color w:val="231F20"/>
          <w:w w:val="110"/>
        </w:rPr>
        <w:t>gobiernos</w:t>
      </w:r>
      <w:r>
        <w:rPr>
          <w:color w:val="231F20"/>
          <w:spacing w:val="-15"/>
          <w:w w:val="110"/>
        </w:rPr>
        <w:t> </w:t>
      </w:r>
      <w:r>
        <w:rPr>
          <w:color w:val="231F20"/>
          <w:w w:val="110"/>
        </w:rPr>
        <w:t>del</w:t>
      </w:r>
      <w:r>
        <w:rPr>
          <w:color w:val="231F20"/>
          <w:spacing w:val="-15"/>
          <w:w w:val="110"/>
        </w:rPr>
        <w:t> </w:t>
      </w:r>
      <w:r>
        <w:rPr>
          <w:color w:val="231F20"/>
          <w:w w:val="110"/>
        </w:rPr>
        <w:t>demócrata,</w:t>
      </w:r>
      <w:r>
        <w:rPr>
          <w:color w:val="231F20"/>
          <w:spacing w:val="-15"/>
          <w:w w:val="110"/>
        </w:rPr>
        <w:t> </w:t>
      </w:r>
      <w:r>
        <w:rPr>
          <w:color w:val="231F20"/>
          <w:w w:val="110"/>
        </w:rPr>
        <w:t>Bill</w:t>
      </w:r>
      <w:r>
        <w:rPr>
          <w:color w:val="231F20"/>
          <w:spacing w:val="-15"/>
          <w:w w:val="110"/>
        </w:rPr>
        <w:t> </w:t>
      </w:r>
      <w:r>
        <w:rPr>
          <w:color w:val="231F20"/>
          <w:w w:val="110"/>
        </w:rPr>
        <w:t>Clinton.</w:t>
      </w:r>
      <w:r>
        <w:rPr>
          <w:color w:val="231F20"/>
          <w:spacing w:val="-15"/>
          <w:w w:val="110"/>
        </w:rPr>
        <w:t> </w:t>
      </w:r>
      <w:r>
        <w:rPr>
          <w:color w:val="231F20"/>
          <w:w w:val="110"/>
        </w:rPr>
        <w:t>Con</w:t>
      </w:r>
      <w:r>
        <w:rPr>
          <w:color w:val="231F20"/>
          <w:spacing w:val="-15"/>
          <w:w w:val="110"/>
        </w:rPr>
        <w:t> </w:t>
      </w:r>
      <w:r>
        <w:rPr>
          <w:color w:val="231F20"/>
          <w:w w:val="110"/>
        </w:rPr>
        <w:t>la administración de George Bush hijo, la estrategia comercial va de</w:t>
      </w:r>
      <w:r>
        <w:rPr>
          <w:color w:val="231F20"/>
          <w:spacing w:val="-11"/>
          <w:w w:val="110"/>
        </w:rPr>
        <w:t> </w:t>
      </w:r>
      <w:r>
        <w:rPr>
          <w:color w:val="231F20"/>
          <w:w w:val="110"/>
        </w:rPr>
        <w:t>la mano con la estrategia de la guerra preventiva contra el terrorismo. En el terreno de los discursos, los llamados al libre comercio</w:t>
      </w:r>
      <w:r>
        <w:rPr>
          <w:color w:val="231F20"/>
          <w:spacing w:val="8"/>
          <w:w w:val="110"/>
        </w:rPr>
        <w:t> </w:t>
      </w:r>
      <w:r>
        <w:rPr>
          <w:color w:val="231F20"/>
          <w:w w:val="110"/>
        </w:rPr>
        <w:t>van</w:t>
      </w:r>
      <w:r>
        <w:rPr>
          <w:color w:val="231F20"/>
          <w:spacing w:val="10"/>
          <w:w w:val="110"/>
        </w:rPr>
        <w:t> </w:t>
      </w:r>
      <w:r>
        <w:rPr>
          <w:color w:val="231F20"/>
          <w:w w:val="110"/>
        </w:rPr>
        <w:t>a</w:t>
      </w:r>
      <w:r>
        <w:rPr>
          <w:color w:val="231F20"/>
          <w:w w:val="108"/>
        </w:rPr>
        <w:t> </w:t>
      </w:r>
      <w:r>
        <w:rPr>
          <w:color w:val="231F20"/>
          <w:w w:val="110"/>
        </w:rPr>
        <w:t>acompañar exigencias de alineamiento en torno a los valores de la democracia y la</w:t>
      </w:r>
      <w:r>
        <w:rPr>
          <w:color w:val="231F20"/>
          <w:spacing w:val="-7"/>
          <w:w w:val="110"/>
        </w:rPr>
        <w:t> </w:t>
      </w:r>
      <w:r>
        <w:rPr>
          <w:color w:val="231F20"/>
          <w:w w:val="110"/>
        </w:rPr>
        <w:t>seguridad.</w:t>
      </w:r>
    </w:p>
    <w:p>
      <w:pPr>
        <w:pStyle w:val="BodyText"/>
        <w:spacing w:line="261" w:lineRule="auto"/>
        <w:ind w:left="100" w:right="116" w:firstLine="240"/>
        <w:jc w:val="right"/>
      </w:pPr>
      <w:r>
        <w:rPr>
          <w:color w:val="231F20"/>
          <w:w w:val="110"/>
        </w:rPr>
        <w:t>Las declaraciones contra el libre comercio por parte de</w:t>
      </w:r>
      <w:r>
        <w:rPr>
          <w:color w:val="231F20"/>
          <w:spacing w:val="14"/>
          <w:w w:val="110"/>
        </w:rPr>
        <w:t> </w:t>
      </w:r>
      <w:r>
        <w:rPr>
          <w:color w:val="231F20"/>
          <w:w w:val="110"/>
        </w:rPr>
        <w:t>los</w:t>
      </w:r>
      <w:r>
        <w:rPr>
          <w:color w:val="231F20"/>
          <w:spacing w:val="1"/>
          <w:w w:val="110"/>
        </w:rPr>
        <w:t> </w:t>
      </w:r>
      <w:r>
        <w:rPr>
          <w:color w:val="231F20"/>
          <w:w w:val="110"/>
        </w:rPr>
        <w:t>candi-</w:t>
      </w:r>
      <w:r>
        <w:rPr>
          <w:color w:val="231F20"/>
          <w:w w:val="72"/>
        </w:rPr>
        <w:t> </w:t>
      </w:r>
      <w:r>
        <w:rPr>
          <w:color w:val="231F20"/>
          <w:w w:val="110"/>
        </w:rPr>
        <w:t>datos</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presidencia</w:t>
      </w:r>
      <w:r>
        <w:rPr>
          <w:color w:val="231F20"/>
          <w:spacing w:val="-19"/>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en</w:t>
      </w:r>
      <w:r>
        <w:rPr>
          <w:color w:val="231F20"/>
          <w:spacing w:val="-19"/>
          <w:w w:val="110"/>
        </w:rPr>
        <w:t> </w:t>
      </w:r>
      <w:r>
        <w:rPr>
          <w:color w:val="231F20"/>
          <w:w w:val="110"/>
        </w:rPr>
        <w:t>2008,</w:t>
      </w:r>
      <w:r>
        <w:rPr>
          <w:color w:val="231F20"/>
          <w:spacing w:val="-19"/>
          <w:w w:val="110"/>
        </w:rPr>
        <w:t> </w:t>
      </w:r>
      <w:r>
        <w:rPr>
          <w:color w:val="231F20"/>
          <w:w w:val="110"/>
        </w:rPr>
        <w:t>van</w:t>
      </w:r>
      <w:r>
        <w:rPr>
          <w:color w:val="231F20"/>
          <w:spacing w:val="-19"/>
          <w:w w:val="110"/>
        </w:rPr>
        <w:t> </w:t>
      </w:r>
      <w:r>
        <w:rPr>
          <w:color w:val="231F20"/>
          <w:w w:val="110"/>
        </w:rPr>
        <w:t>a</w:t>
      </w:r>
      <w:r>
        <w:rPr>
          <w:color w:val="231F20"/>
          <w:spacing w:val="-19"/>
          <w:w w:val="110"/>
        </w:rPr>
        <w:t> </w:t>
      </w:r>
      <w:r>
        <w:rPr>
          <w:color w:val="231F20"/>
          <w:w w:val="110"/>
        </w:rPr>
        <w:t>expresar</w:t>
      </w:r>
      <w:r>
        <w:rPr>
          <w:color w:val="231F20"/>
          <w:spacing w:val="-19"/>
          <w:w w:val="110"/>
        </w:rPr>
        <w:t> </w:t>
      </w:r>
      <w:r>
        <w:rPr>
          <w:color w:val="231F20"/>
          <w:w w:val="110"/>
        </w:rPr>
        <w:t>cam-</w:t>
      </w:r>
      <w:r>
        <w:rPr>
          <w:color w:val="231F20"/>
          <w:w w:val="72"/>
        </w:rPr>
        <w:t> </w:t>
      </w:r>
      <w:r>
        <w:rPr>
          <w:color w:val="231F20"/>
          <w:w w:val="110"/>
        </w:rPr>
        <w:t>bios en las formas de relacionarse con los países de</w:t>
      </w:r>
      <w:r>
        <w:rPr>
          <w:color w:val="231F20"/>
          <w:spacing w:val="-6"/>
          <w:w w:val="110"/>
        </w:rPr>
        <w:t> </w:t>
      </w:r>
      <w:r>
        <w:rPr>
          <w:color w:val="231F20"/>
          <w:w w:val="110"/>
        </w:rPr>
        <w:t>América</w:t>
      </w:r>
      <w:r>
        <w:rPr>
          <w:color w:val="231F20"/>
          <w:spacing w:val="-1"/>
          <w:w w:val="110"/>
        </w:rPr>
        <w:t> </w:t>
      </w:r>
      <w:r>
        <w:rPr>
          <w:color w:val="231F20"/>
          <w:w w:val="110"/>
        </w:rPr>
        <w:t>Latina.</w:t>
      </w:r>
      <w:r>
        <w:rPr>
          <w:color w:val="231F20"/>
          <w:w w:val="108"/>
        </w:rPr>
        <w:t> </w:t>
      </w:r>
      <w:r>
        <w:rPr>
          <w:color w:val="231F20"/>
          <w:w w:val="110"/>
        </w:rPr>
        <w:t>Durante la campaña, Barack Obama le reclamará a</w:t>
      </w:r>
      <w:r>
        <w:rPr>
          <w:color w:val="231F20"/>
          <w:spacing w:val="34"/>
          <w:w w:val="110"/>
        </w:rPr>
        <w:t> </w:t>
      </w:r>
      <w:r>
        <w:rPr>
          <w:color w:val="231F20"/>
          <w:w w:val="110"/>
        </w:rPr>
        <w:t>Hillary</w:t>
      </w:r>
      <w:r>
        <w:rPr>
          <w:color w:val="231F20"/>
          <w:spacing w:val="11"/>
          <w:w w:val="110"/>
        </w:rPr>
        <w:t> </w:t>
      </w:r>
      <w:r>
        <w:rPr>
          <w:color w:val="231F20"/>
          <w:w w:val="110"/>
        </w:rPr>
        <w:t>Clin-</w:t>
      </w:r>
      <w:r>
        <w:rPr>
          <w:color w:val="231F20"/>
          <w:w w:val="72"/>
        </w:rPr>
        <w:t> </w:t>
      </w:r>
      <w:r>
        <w:rPr>
          <w:color w:val="231F20"/>
          <w:w w:val="110"/>
        </w:rPr>
        <w:t>ton</w:t>
      </w:r>
      <w:r>
        <w:rPr>
          <w:color w:val="231F20"/>
          <w:spacing w:val="31"/>
          <w:w w:val="110"/>
        </w:rPr>
        <w:t> </w:t>
      </w:r>
      <w:r>
        <w:rPr>
          <w:color w:val="231F20"/>
          <w:w w:val="110"/>
        </w:rPr>
        <w:t>el</w:t>
      </w:r>
      <w:r>
        <w:rPr>
          <w:color w:val="231F20"/>
          <w:spacing w:val="35"/>
          <w:w w:val="110"/>
        </w:rPr>
        <w:t> </w:t>
      </w:r>
      <w:r>
        <w:rPr>
          <w:color w:val="231F20"/>
          <w:w w:val="110"/>
        </w:rPr>
        <w:t>apoyo</w:t>
      </w:r>
      <w:r>
        <w:rPr>
          <w:color w:val="231F20"/>
          <w:spacing w:val="35"/>
          <w:w w:val="110"/>
        </w:rPr>
        <w:t> </w:t>
      </w:r>
      <w:r>
        <w:rPr>
          <w:color w:val="231F20"/>
          <w:w w:val="110"/>
        </w:rPr>
        <w:t>a</w:t>
      </w:r>
      <w:r>
        <w:rPr>
          <w:color w:val="231F20"/>
          <w:spacing w:val="35"/>
          <w:w w:val="110"/>
        </w:rPr>
        <w:t> </w:t>
      </w:r>
      <w:r>
        <w:rPr>
          <w:color w:val="231F20"/>
          <w:w w:val="110"/>
        </w:rPr>
        <w:t>su</w:t>
      </w:r>
      <w:r>
        <w:rPr>
          <w:color w:val="231F20"/>
          <w:spacing w:val="35"/>
          <w:w w:val="110"/>
        </w:rPr>
        <w:t> </w:t>
      </w:r>
      <w:r>
        <w:rPr>
          <w:color w:val="231F20"/>
          <w:w w:val="110"/>
        </w:rPr>
        <w:t>esposo</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campaña</w:t>
      </w:r>
      <w:r>
        <w:rPr>
          <w:color w:val="231F20"/>
          <w:spacing w:val="35"/>
          <w:w w:val="110"/>
        </w:rPr>
        <w:t> </w:t>
      </w:r>
      <w:r>
        <w:rPr>
          <w:color w:val="231F20"/>
          <w:w w:val="110"/>
        </w:rPr>
        <w:t>por</w:t>
      </w:r>
      <w:r>
        <w:rPr>
          <w:color w:val="231F20"/>
          <w:spacing w:val="35"/>
          <w:w w:val="110"/>
        </w:rPr>
        <w:t> </w:t>
      </w:r>
      <w:r>
        <w:rPr>
          <w:color w:val="231F20"/>
          <w:w w:val="110"/>
        </w:rPr>
        <w:t>la</w:t>
      </w:r>
      <w:r>
        <w:rPr>
          <w:color w:val="231F20"/>
          <w:spacing w:val="35"/>
          <w:w w:val="110"/>
        </w:rPr>
        <w:t> </w:t>
      </w:r>
      <w:r>
        <w:rPr>
          <w:color w:val="231F20"/>
          <w:w w:val="110"/>
        </w:rPr>
        <w:t>firma</w:t>
      </w:r>
      <w:r>
        <w:rPr>
          <w:color w:val="231F20"/>
          <w:spacing w:val="35"/>
          <w:w w:val="110"/>
        </w:rPr>
        <w:t> </w:t>
      </w:r>
      <w:r>
        <w:rPr>
          <w:color w:val="231F20"/>
          <w:w w:val="110"/>
        </w:rPr>
        <w:t>del</w:t>
      </w:r>
      <w:r>
        <w:rPr>
          <w:color w:val="231F20"/>
          <w:spacing w:val="35"/>
          <w:w w:val="110"/>
        </w:rPr>
        <w:t> </w:t>
      </w:r>
      <w:r>
        <w:rPr>
          <w:color w:val="231F20"/>
          <w:w w:val="135"/>
        </w:rPr>
        <w:t>nafta,</w:t>
      </w:r>
      <w:r>
        <w:rPr>
          <w:color w:val="231F20"/>
          <w:w w:val="104"/>
        </w:rPr>
        <w:t> </w:t>
      </w:r>
      <w:r>
        <w:rPr>
          <w:color w:val="231F20"/>
          <w:w w:val="110"/>
        </w:rPr>
        <w:t>así</w:t>
      </w:r>
      <w:r>
        <w:rPr>
          <w:color w:val="231F20"/>
          <w:spacing w:val="26"/>
          <w:w w:val="110"/>
        </w:rPr>
        <w:t> </w:t>
      </w:r>
      <w:r>
        <w:rPr>
          <w:color w:val="231F20"/>
          <w:w w:val="110"/>
        </w:rPr>
        <w:t>como</w:t>
      </w:r>
      <w:r>
        <w:rPr>
          <w:color w:val="231F20"/>
          <w:spacing w:val="26"/>
          <w:w w:val="110"/>
        </w:rPr>
        <w:t> </w:t>
      </w:r>
      <w:r>
        <w:rPr>
          <w:color w:val="231F20"/>
          <w:w w:val="110"/>
        </w:rPr>
        <w:t>el</w:t>
      </w:r>
      <w:r>
        <w:rPr>
          <w:color w:val="231F20"/>
          <w:spacing w:val="26"/>
          <w:w w:val="110"/>
        </w:rPr>
        <w:t> </w:t>
      </w:r>
      <w:r>
        <w:rPr>
          <w:color w:val="231F20"/>
          <w:w w:val="110"/>
        </w:rPr>
        <w:t>papel</w:t>
      </w:r>
      <w:r>
        <w:rPr>
          <w:color w:val="231F20"/>
          <w:spacing w:val="26"/>
          <w:w w:val="110"/>
        </w:rPr>
        <w:t> </w:t>
      </w:r>
      <w:r>
        <w:rPr>
          <w:color w:val="231F20"/>
          <w:w w:val="110"/>
        </w:rPr>
        <w:t>de</w:t>
      </w:r>
      <w:r>
        <w:rPr>
          <w:color w:val="231F20"/>
          <w:spacing w:val="26"/>
          <w:w w:val="110"/>
        </w:rPr>
        <w:t> </w:t>
      </w:r>
      <w:r>
        <w:rPr>
          <w:color w:val="231F20"/>
          <w:w w:val="110"/>
        </w:rPr>
        <w:t>sus</w:t>
      </w:r>
      <w:r>
        <w:rPr>
          <w:color w:val="231F20"/>
          <w:spacing w:val="26"/>
          <w:w w:val="110"/>
        </w:rPr>
        <w:t> </w:t>
      </w:r>
      <w:r>
        <w:rPr>
          <w:color w:val="231F20"/>
          <w:w w:val="110"/>
        </w:rPr>
        <w:t>asesores,</w:t>
      </w:r>
      <w:r>
        <w:rPr>
          <w:color w:val="231F20"/>
          <w:spacing w:val="26"/>
          <w:w w:val="110"/>
        </w:rPr>
        <w:t> </w:t>
      </w:r>
      <w:r>
        <w:rPr>
          <w:color w:val="231F20"/>
          <w:w w:val="110"/>
        </w:rPr>
        <w:t>pagados</w:t>
      </w:r>
      <w:r>
        <w:rPr>
          <w:color w:val="231F20"/>
          <w:spacing w:val="26"/>
          <w:w w:val="110"/>
        </w:rPr>
        <w:t> </w:t>
      </w:r>
      <w:r>
        <w:rPr>
          <w:color w:val="231F20"/>
          <w:w w:val="110"/>
        </w:rPr>
        <w:t>por</w:t>
      </w:r>
      <w:r>
        <w:rPr>
          <w:color w:val="231F20"/>
          <w:spacing w:val="26"/>
          <w:w w:val="110"/>
        </w:rPr>
        <w:t> </w:t>
      </w:r>
      <w:r>
        <w:rPr>
          <w:color w:val="231F20"/>
          <w:w w:val="110"/>
        </w:rPr>
        <w:t>el</w:t>
      </w:r>
      <w:r>
        <w:rPr>
          <w:color w:val="231F20"/>
          <w:spacing w:val="26"/>
          <w:w w:val="110"/>
        </w:rPr>
        <w:t> </w:t>
      </w:r>
      <w:r>
        <w:rPr>
          <w:color w:val="231F20"/>
          <w:w w:val="110"/>
        </w:rPr>
        <w:t>gobierno</w:t>
      </w:r>
      <w:r>
        <w:rPr>
          <w:color w:val="231F20"/>
          <w:spacing w:val="26"/>
          <w:w w:val="110"/>
        </w:rPr>
        <w:t> </w:t>
      </w:r>
      <w:r>
        <w:rPr>
          <w:color w:val="231F20"/>
          <w:w w:val="110"/>
        </w:rPr>
        <w:t>Uribe</w:t>
      </w:r>
      <w:r>
        <w:rPr>
          <w:color w:val="231F20"/>
          <w:spacing w:val="2"/>
          <w:w w:val="110"/>
        </w:rPr>
        <w:t> </w:t>
      </w:r>
      <w:r>
        <w:rPr>
          <w:color w:val="231F20"/>
          <w:w w:val="110"/>
        </w:rPr>
        <w:t>para realizar el cabildeo para la ratificación del </w:t>
      </w:r>
      <w:r>
        <w:rPr>
          <w:color w:val="231F20"/>
          <w:w w:val="135"/>
        </w:rPr>
        <w:t>tlc</w:t>
      </w:r>
      <w:r>
        <w:rPr>
          <w:color w:val="231F20"/>
          <w:spacing w:val="29"/>
          <w:w w:val="135"/>
        </w:rPr>
        <w:t> </w:t>
      </w:r>
      <w:r>
        <w:rPr>
          <w:color w:val="231F20"/>
          <w:w w:val="110"/>
        </w:rPr>
        <w:t>con</w:t>
      </w:r>
      <w:r>
        <w:rPr>
          <w:color w:val="231F20"/>
          <w:spacing w:val="23"/>
          <w:w w:val="110"/>
        </w:rPr>
        <w:t> </w:t>
      </w:r>
      <w:r>
        <w:rPr>
          <w:color w:val="231F20"/>
          <w:w w:val="110"/>
        </w:rPr>
        <w:t>Colombia</w:t>
      </w:r>
      <w:r>
        <w:rPr>
          <w:color w:val="231F20"/>
          <w:w w:val="108"/>
        </w:rPr>
        <w:t> </w:t>
      </w:r>
      <w:r>
        <w:rPr>
          <w:color w:val="231F20"/>
          <w:w w:val="105"/>
        </w:rPr>
        <w:t>(</w:t>
      </w:r>
      <w:r>
        <w:rPr>
          <w:i/>
          <w:color w:val="231F20"/>
          <w:w w:val="105"/>
        </w:rPr>
        <w:t>El</w:t>
      </w:r>
      <w:r>
        <w:rPr>
          <w:i/>
          <w:color w:val="231F20"/>
          <w:spacing w:val="-12"/>
          <w:w w:val="105"/>
        </w:rPr>
        <w:t> </w:t>
      </w:r>
      <w:r>
        <w:rPr>
          <w:i/>
          <w:color w:val="231F20"/>
          <w:w w:val="105"/>
        </w:rPr>
        <w:t>Tiempo</w:t>
      </w:r>
      <w:r>
        <w:rPr>
          <w:color w:val="231F20"/>
          <w:w w:val="105"/>
        </w:rPr>
        <w:t>,</w:t>
      </w:r>
      <w:r>
        <w:rPr>
          <w:color w:val="231F20"/>
          <w:spacing w:val="-12"/>
          <w:w w:val="105"/>
        </w:rPr>
        <w:t> </w:t>
      </w:r>
      <w:r>
        <w:rPr>
          <w:color w:val="231F20"/>
          <w:w w:val="105"/>
        </w:rPr>
        <w:t>2008c,</w:t>
      </w:r>
      <w:r>
        <w:rPr>
          <w:color w:val="231F20"/>
          <w:spacing w:val="-12"/>
          <w:w w:val="105"/>
        </w:rPr>
        <w:t> </w:t>
      </w:r>
      <w:r>
        <w:rPr>
          <w:color w:val="231F20"/>
          <w:w w:val="105"/>
        </w:rPr>
        <w:t>2008d;</w:t>
      </w:r>
      <w:r>
        <w:rPr>
          <w:color w:val="231F20"/>
          <w:spacing w:val="-12"/>
          <w:w w:val="105"/>
        </w:rPr>
        <w:t> </w:t>
      </w:r>
      <w:r>
        <w:rPr>
          <w:i/>
          <w:color w:val="231F20"/>
          <w:w w:val="105"/>
        </w:rPr>
        <w:t>Washington</w:t>
      </w:r>
      <w:r>
        <w:rPr>
          <w:i/>
          <w:color w:val="231F20"/>
          <w:spacing w:val="-12"/>
          <w:w w:val="105"/>
        </w:rPr>
        <w:t> </w:t>
      </w:r>
      <w:r>
        <w:rPr>
          <w:i/>
          <w:color w:val="231F20"/>
          <w:w w:val="105"/>
        </w:rPr>
        <w:t>Post</w:t>
      </w:r>
      <w:r>
        <w:rPr>
          <w:color w:val="231F20"/>
          <w:w w:val="105"/>
        </w:rPr>
        <w:t>,</w:t>
      </w:r>
      <w:r>
        <w:rPr>
          <w:color w:val="231F20"/>
          <w:spacing w:val="-12"/>
          <w:w w:val="105"/>
        </w:rPr>
        <w:t> </w:t>
      </w:r>
      <w:r>
        <w:rPr>
          <w:color w:val="231F20"/>
          <w:w w:val="105"/>
        </w:rPr>
        <w:t>2008).</w:t>
      </w:r>
      <w:r>
        <w:rPr>
          <w:color w:val="231F20"/>
          <w:spacing w:val="-12"/>
          <w:w w:val="105"/>
        </w:rPr>
        <w:t> </w:t>
      </w:r>
      <w:r>
        <w:rPr>
          <w:color w:val="231F20"/>
          <w:w w:val="105"/>
        </w:rPr>
        <w:t>Su</w:t>
      </w:r>
      <w:r>
        <w:rPr>
          <w:color w:val="231F20"/>
          <w:spacing w:val="-12"/>
          <w:w w:val="105"/>
        </w:rPr>
        <w:t> </w:t>
      </w:r>
      <w:r>
        <w:rPr>
          <w:color w:val="231F20"/>
          <w:w w:val="105"/>
        </w:rPr>
        <w:t>posicionamiento</w:t>
      </w:r>
      <w:r>
        <w:rPr>
          <w:color w:val="231F20"/>
          <w:w w:val="110"/>
        </w:rPr>
        <w:t> </w:t>
      </w:r>
      <w:r>
        <w:rPr>
          <w:color w:val="231F20"/>
          <w:w w:val="110"/>
        </w:rPr>
        <w:t>contra</w:t>
      </w:r>
      <w:r>
        <w:rPr>
          <w:color w:val="231F20"/>
          <w:spacing w:val="-7"/>
          <w:w w:val="110"/>
        </w:rPr>
        <w:t> </w:t>
      </w:r>
      <w:r>
        <w:rPr>
          <w:color w:val="231F20"/>
          <w:w w:val="110"/>
        </w:rPr>
        <w:t>los</w:t>
      </w:r>
      <w:r>
        <w:rPr>
          <w:color w:val="231F20"/>
          <w:spacing w:val="-7"/>
          <w:w w:val="110"/>
        </w:rPr>
        <w:t> </w:t>
      </w:r>
      <w:r>
        <w:rPr>
          <w:color w:val="231F20"/>
          <w:w w:val="135"/>
        </w:rPr>
        <w:t>tlc</w:t>
      </w:r>
      <w:r>
        <w:rPr>
          <w:color w:val="231F20"/>
          <w:spacing w:val="-20"/>
          <w:w w:val="135"/>
        </w:rPr>
        <w:t> </w:t>
      </w:r>
      <w:r>
        <w:rPr>
          <w:color w:val="231F20"/>
          <w:w w:val="110"/>
        </w:rPr>
        <w:t>se</w:t>
      </w:r>
      <w:r>
        <w:rPr>
          <w:color w:val="231F20"/>
          <w:spacing w:val="-7"/>
          <w:w w:val="110"/>
        </w:rPr>
        <w:t> </w:t>
      </w:r>
      <w:r>
        <w:rPr>
          <w:color w:val="231F20"/>
          <w:w w:val="110"/>
        </w:rPr>
        <w:t>va</w:t>
      </w:r>
      <w:r>
        <w:rPr>
          <w:color w:val="231F20"/>
          <w:spacing w:val="-7"/>
          <w:w w:val="110"/>
        </w:rPr>
        <w:t> </w:t>
      </w:r>
      <w:r>
        <w:rPr>
          <w:color w:val="231F20"/>
          <w:w w:val="110"/>
        </w:rPr>
        <w:t>a</w:t>
      </w:r>
      <w:r>
        <w:rPr>
          <w:color w:val="231F20"/>
          <w:spacing w:val="-7"/>
          <w:w w:val="110"/>
        </w:rPr>
        <w:t> </w:t>
      </w:r>
      <w:r>
        <w:rPr>
          <w:color w:val="231F20"/>
          <w:w w:val="110"/>
        </w:rPr>
        <w:t>convertir</w:t>
      </w:r>
      <w:r>
        <w:rPr>
          <w:color w:val="231F20"/>
          <w:spacing w:val="-7"/>
          <w:w w:val="110"/>
        </w:rPr>
        <w:t> </w:t>
      </w:r>
      <w:r>
        <w:rPr>
          <w:color w:val="231F20"/>
          <w:w w:val="110"/>
        </w:rPr>
        <w:t>durante</w:t>
      </w:r>
      <w:r>
        <w:rPr>
          <w:color w:val="231F20"/>
          <w:spacing w:val="-7"/>
          <w:w w:val="110"/>
        </w:rPr>
        <w:t> </w:t>
      </w:r>
      <w:r>
        <w:rPr>
          <w:color w:val="231F20"/>
          <w:w w:val="110"/>
        </w:rPr>
        <w:t>la</w:t>
      </w:r>
      <w:r>
        <w:rPr>
          <w:color w:val="231F20"/>
          <w:spacing w:val="-7"/>
          <w:w w:val="110"/>
        </w:rPr>
        <w:t> </w:t>
      </w:r>
      <w:r>
        <w:rPr>
          <w:color w:val="231F20"/>
          <w:w w:val="110"/>
        </w:rPr>
        <w:t>primera</w:t>
      </w:r>
      <w:r>
        <w:rPr>
          <w:color w:val="231F20"/>
          <w:spacing w:val="-7"/>
          <w:w w:val="110"/>
        </w:rPr>
        <w:t> </w:t>
      </w:r>
      <w:r>
        <w:rPr>
          <w:color w:val="231F20"/>
          <w:w w:val="110"/>
        </w:rPr>
        <w:t>fase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campaña</w:t>
      </w:r>
      <w:r>
        <w:rPr>
          <w:color w:val="231F20"/>
          <w:w w:val="110"/>
        </w:rPr>
        <w:t> </w:t>
      </w:r>
      <w:r>
        <w:rPr>
          <w:color w:val="231F20"/>
          <w:w w:val="110"/>
        </w:rPr>
        <w:t>presidencial, en uno de los ejes de batalla, debido a las fuertes</w:t>
      </w:r>
      <w:r>
        <w:rPr>
          <w:color w:val="231F20"/>
          <w:spacing w:val="27"/>
          <w:w w:val="110"/>
        </w:rPr>
        <w:t> </w:t>
      </w:r>
      <w:r>
        <w:rPr>
          <w:color w:val="231F20"/>
          <w:w w:val="110"/>
        </w:rPr>
        <w:t>a</w:t>
      </w:r>
      <w:r>
        <w:rPr>
          <w:color w:val="231F20"/>
          <w:spacing w:val="6"/>
          <w:w w:val="110"/>
        </w:rPr>
        <w:t> </w:t>
      </w:r>
      <w:r>
        <w:rPr>
          <w:color w:val="231F20"/>
          <w:w w:val="110"/>
        </w:rPr>
        <w:t>las</w:t>
      </w:r>
      <w:r>
        <w:rPr>
          <w:color w:val="231F20"/>
          <w:w w:val="100"/>
        </w:rPr>
        <w:t> </w:t>
      </w:r>
      <w:r>
        <w:rPr>
          <w:color w:val="231F20"/>
          <w:w w:val="110"/>
        </w:rPr>
        <w:t>críticas sobre los impactos del </w:t>
      </w:r>
      <w:r>
        <w:rPr>
          <w:color w:val="231F20"/>
          <w:w w:val="135"/>
        </w:rPr>
        <w:t>nafta </w:t>
      </w:r>
      <w:r>
        <w:rPr>
          <w:color w:val="231F20"/>
          <w:w w:val="110"/>
        </w:rPr>
        <w:t>en el aumento</w:t>
      </w:r>
      <w:r>
        <w:rPr>
          <w:color w:val="231F20"/>
          <w:spacing w:val="1"/>
          <w:w w:val="110"/>
        </w:rPr>
        <w:t> </w:t>
      </w:r>
      <w:r>
        <w:rPr>
          <w:color w:val="231F20"/>
          <w:w w:val="110"/>
        </w:rPr>
        <w:t>del</w:t>
      </w:r>
      <w:r>
        <w:rPr>
          <w:color w:val="231F20"/>
          <w:spacing w:val="13"/>
          <w:w w:val="110"/>
        </w:rPr>
        <w:t> </w:t>
      </w:r>
      <w:r>
        <w:rPr>
          <w:color w:val="231F20"/>
          <w:w w:val="110"/>
        </w:rPr>
        <w:t>desempleo</w:t>
      </w:r>
      <w:r>
        <w:rPr>
          <w:color w:val="231F20"/>
          <w:w w:val="110"/>
        </w:rPr>
        <w:t> </w:t>
      </w:r>
      <w:r>
        <w:rPr>
          <w:color w:val="231F20"/>
          <w:w w:val="110"/>
        </w:rPr>
        <w:t>en</w:t>
      </w:r>
      <w:r>
        <w:rPr>
          <w:color w:val="231F20"/>
          <w:spacing w:val="-13"/>
          <w:w w:val="110"/>
        </w:rPr>
        <w:t> </w:t>
      </w:r>
      <w:r>
        <w:rPr>
          <w:color w:val="231F20"/>
          <w:w w:val="110"/>
        </w:rPr>
        <w:t>Iowa,</w:t>
      </w:r>
      <w:r>
        <w:rPr>
          <w:color w:val="231F20"/>
          <w:spacing w:val="-13"/>
          <w:w w:val="110"/>
        </w:rPr>
        <w:t> </w:t>
      </w:r>
      <w:r>
        <w:rPr>
          <w:color w:val="231F20"/>
          <w:w w:val="110"/>
        </w:rPr>
        <w:t>Ohio,</w:t>
      </w:r>
      <w:r>
        <w:rPr>
          <w:color w:val="231F20"/>
          <w:spacing w:val="-13"/>
          <w:w w:val="110"/>
        </w:rPr>
        <w:t> </w:t>
      </w:r>
      <w:r>
        <w:rPr>
          <w:color w:val="231F20"/>
          <w:w w:val="110"/>
        </w:rPr>
        <w:t>Wisconsin</w:t>
      </w:r>
      <w:r>
        <w:rPr>
          <w:color w:val="231F20"/>
          <w:spacing w:val="-13"/>
          <w:w w:val="110"/>
        </w:rPr>
        <w:t> </w:t>
      </w:r>
      <w:r>
        <w:rPr>
          <w:color w:val="231F20"/>
          <w:w w:val="110"/>
        </w:rPr>
        <w:t>y</w:t>
      </w:r>
      <w:r>
        <w:rPr>
          <w:color w:val="231F20"/>
          <w:spacing w:val="-13"/>
          <w:w w:val="110"/>
        </w:rPr>
        <w:t> </w:t>
      </w:r>
      <w:r>
        <w:rPr>
          <w:color w:val="231F20"/>
          <w:spacing w:val="-4"/>
          <w:w w:val="110"/>
        </w:rPr>
        <w:t>Texas.</w:t>
      </w:r>
      <w:r>
        <w:rPr>
          <w:color w:val="231F20"/>
          <w:spacing w:val="-13"/>
          <w:w w:val="110"/>
        </w:rPr>
        <w:t> </w:t>
      </w:r>
      <w:r>
        <w:rPr>
          <w:color w:val="231F20"/>
          <w:w w:val="110"/>
        </w:rPr>
        <w:t>“Mientras</w:t>
      </w:r>
      <w:r>
        <w:rPr>
          <w:color w:val="231F20"/>
          <w:spacing w:val="-13"/>
          <w:w w:val="110"/>
        </w:rPr>
        <w:t> </w:t>
      </w:r>
      <w:r>
        <w:rPr>
          <w:color w:val="231F20"/>
          <w:w w:val="110"/>
        </w:rPr>
        <w:t>usted</w:t>
      </w:r>
      <w:r>
        <w:rPr>
          <w:color w:val="231F20"/>
          <w:spacing w:val="-13"/>
          <w:w w:val="110"/>
        </w:rPr>
        <w:t> </w:t>
      </w:r>
      <w:r>
        <w:rPr>
          <w:color w:val="231F20"/>
          <w:w w:val="110"/>
        </w:rPr>
        <w:t>apoyaba</w:t>
      </w:r>
      <w:r>
        <w:rPr>
          <w:color w:val="231F20"/>
          <w:spacing w:val="-13"/>
          <w:w w:val="110"/>
        </w:rPr>
        <w:t> </w:t>
      </w:r>
      <w:r>
        <w:rPr>
          <w:color w:val="231F20"/>
          <w:w w:val="110"/>
        </w:rPr>
        <w:t>el</w:t>
      </w:r>
      <w:r>
        <w:rPr>
          <w:color w:val="231F20"/>
          <w:spacing w:val="-13"/>
          <w:w w:val="110"/>
        </w:rPr>
        <w:t> </w:t>
      </w:r>
      <w:r>
        <w:rPr>
          <w:color w:val="231F20"/>
          <w:w w:val="110"/>
        </w:rPr>
        <w:t>Nafta,</w:t>
      </w:r>
      <w:r>
        <w:rPr>
          <w:color w:val="231F20"/>
          <w:w w:val="106"/>
        </w:rPr>
        <w:t> </w:t>
      </w:r>
      <w:r>
        <w:rPr>
          <w:color w:val="231F20"/>
          <w:w w:val="110"/>
        </w:rPr>
        <w:t>más</w:t>
      </w:r>
      <w:r>
        <w:rPr>
          <w:color w:val="231F20"/>
          <w:spacing w:val="-8"/>
          <w:w w:val="110"/>
        </w:rPr>
        <w:t> </w:t>
      </w:r>
      <w:r>
        <w:rPr>
          <w:color w:val="231F20"/>
          <w:w w:val="110"/>
        </w:rPr>
        <w:t>de</w:t>
      </w:r>
      <w:r>
        <w:rPr>
          <w:color w:val="231F20"/>
          <w:spacing w:val="-8"/>
          <w:w w:val="110"/>
        </w:rPr>
        <w:t> </w:t>
      </w:r>
      <w:r>
        <w:rPr>
          <w:color w:val="231F20"/>
          <w:w w:val="110"/>
        </w:rPr>
        <w:t>50</w:t>
      </w:r>
      <w:r>
        <w:rPr>
          <w:color w:val="231F20"/>
          <w:spacing w:val="-8"/>
          <w:w w:val="110"/>
        </w:rPr>
        <w:t> </w:t>
      </w:r>
      <w:r>
        <w:rPr>
          <w:color w:val="231F20"/>
          <w:w w:val="110"/>
        </w:rPr>
        <w:t>000</w:t>
      </w:r>
      <w:r>
        <w:rPr>
          <w:color w:val="231F20"/>
          <w:spacing w:val="-8"/>
          <w:w w:val="110"/>
        </w:rPr>
        <w:t> </w:t>
      </w:r>
      <w:r>
        <w:rPr>
          <w:color w:val="231F20"/>
          <w:w w:val="110"/>
        </w:rPr>
        <w:t>empleos</w:t>
      </w:r>
      <w:r>
        <w:rPr>
          <w:color w:val="231F20"/>
          <w:spacing w:val="-8"/>
          <w:w w:val="110"/>
        </w:rPr>
        <w:t> </w:t>
      </w:r>
      <w:r>
        <w:rPr>
          <w:color w:val="231F20"/>
          <w:w w:val="110"/>
        </w:rPr>
        <w:t>desaparecieron</w:t>
      </w:r>
      <w:r>
        <w:rPr>
          <w:color w:val="231F20"/>
          <w:spacing w:val="-8"/>
          <w:w w:val="110"/>
        </w:rPr>
        <w:t> </w:t>
      </w:r>
      <w:r>
        <w:rPr>
          <w:color w:val="231F20"/>
          <w:w w:val="110"/>
        </w:rPr>
        <w:t>en</w:t>
      </w:r>
      <w:r>
        <w:rPr>
          <w:color w:val="231F20"/>
          <w:spacing w:val="-8"/>
          <w:w w:val="110"/>
        </w:rPr>
        <w:t> </w:t>
      </w:r>
      <w:r>
        <w:rPr>
          <w:color w:val="231F20"/>
          <w:w w:val="110"/>
        </w:rPr>
        <w:t>Ohio</w:t>
      </w:r>
      <w:r>
        <w:rPr>
          <w:color w:val="231F20"/>
          <w:spacing w:val="-8"/>
          <w:w w:val="110"/>
        </w:rPr>
        <w:t> </w:t>
      </w:r>
      <w:r>
        <w:rPr>
          <w:color w:val="231F20"/>
          <w:w w:val="110"/>
        </w:rPr>
        <w:t>como</w:t>
      </w:r>
      <w:r>
        <w:rPr>
          <w:color w:val="231F20"/>
          <w:spacing w:val="-8"/>
          <w:w w:val="110"/>
        </w:rPr>
        <w:t> </w:t>
      </w:r>
      <w:r>
        <w:rPr>
          <w:color w:val="231F20"/>
          <w:w w:val="110"/>
        </w:rPr>
        <w:t>consecuencia”</w:t>
      </w:r>
    </w:p>
    <w:p>
      <w:pPr>
        <w:spacing w:before="0"/>
        <w:ind w:left="100" w:right="0" w:firstLine="0"/>
        <w:jc w:val="both"/>
        <w:rPr>
          <w:sz w:val="20"/>
        </w:rPr>
      </w:pPr>
      <w:r>
        <w:rPr>
          <w:color w:val="231F20"/>
          <w:sz w:val="20"/>
        </w:rPr>
        <w:t>(</w:t>
      </w:r>
      <w:r>
        <w:rPr>
          <w:i/>
          <w:color w:val="231F20"/>
          <w:sz w:val="20"/>
        </w:rPr>
        <w:t>New York  Times</w:t>
      </w:r>
      <w:r>
        <w:rPr>
          <w:color w:val="231F20"/>
          <w:sz w:val="20"/>
        </w:rPr>
        <w:t>, 2008a).</w:t>
      </w:r>
    </w:p>
    <w:p>
      <w:pPr>
        <w:pStyle w:val="BodyText"/>
        <w:spacing w:line="261" w:lineRule="auto" w:before="20"/>
        <w:ind w:left="100" w:right="117" w:firstLine="240"/>
        <w:jc w:val="both"/>
      </w:pPr>
      <w:r>
        <w:rPr>
          <w:color w:val="231F20"/>
          <w:w w:val="110"/>
        </w:rPr>
        <w:t>En</w:t>
      </w:r>
      <w:r>
        <w:rPr>
          <w:color w:val="231F20"/>
          <w:spacing w:val="-17"/>
          <w:w w:val="110"/>
        </w:rPr>
        <w:t> </w:t>
      </w:r>
      <w:r>
        <w:rPr>
          <w:color w:val="231F20"/>
          <w:w w:val="110"/>
        </w:rPr>
        <w:t>un</w:t>
      </w:r>
      <w:r>
        <w:rPr>
          <w:color w:val="231F20"/>
          <w:spacing w:val="-17"/>
          <w:w w:val="110"/>
        </w:rPr>
        <w:t> </w:t>
      </w:r>
      <w:r>
        <w:rPr>
          <w:color w:val="231F20"/>
          <w:w w:val="110"/>
        </w:rPr>
        <w:t>inicio,</w:t>
      </w:r>
      <w:r>
        <w:rPr>
          <w:color w:val="231F20"/>
          <w:spacing w:val="-17"/>
          <w:w w:val="110"/>
        </w:rPr>
        <w:t> </w:t>
      </w:r>
      <w:r>
        <w:rPr>
          <w:color w:val="231F20"/>
          <w:w w:val="110"/>
        </w:rPr>
        <w:t>diarios</w:t>
      </w:r>
      <w:r>
        <w:rPr>
          <w:color w:val="231F20"/>
          <w:spacing w:val="-17"/>
          <w:w w:val="110"/>
        </w:rPr>
        <w:t> </w:t>
      </w:r>
      <w:r>
        <w:rPr>
          <w:color w:val="231F20"/>
          <w:w w:val="110"/>
        </w:rPr>
        <w:t>como</w:t>
      </w:r>
      <w:r>
        <w:rPr>
          <w:color w:val="231F20"/>
          <w:spacing w:val="-17"/>
          <w:w w:val="110"/>
        </w:rPr>
        <w:t> </w:t>
      </w:r>
      <w:r>
        <w:rPr>
          <w:color w:val="231F20"/>
          <w:w w:val="110"/>
        </w:rPr>
        <w:t>el</w:t>
      </w:r>
      <w:r>
        <w:rPr>
          <w:color w:val="231F20"/>
          <w:spacing w:val="-17"/>
          <w:w w:val="110"/>
        </w:rPr>
        <w:t> </w:t>
      </w:r>
      <w:r>
        <w:rPr>
          <w:i/>
          <w:color w:val="231F20"/>
          <w:w w:val="110"/>
        </w:rPr>
        <w:t>New</w:t>
      </w:r>
      <w:r>
        <w:rPr>
          <w:i/>
          <w:color w:val="231F20"/>
          <w:spacing w:val="-17"/>
          <w:w w:val="110"/>
        </w:rPr>
        <w:t> </w:t>
      </w:r>
      <w:r>
        <w:rPr>
          <w:i/>
          <w:color w:val="231F20"/>
          <w:spacing w:val="-5"/>
          <w:w w:val="110"/>
        </w:rPr>
        <w:t>York</w:t>
      </w:r>
      <w:r>
        <w:rPr>
          <w:i/>
          <w:color w:val="231F20"/>
          <w:spacing w:val="-17"/>
          <w:w w:val="110"/>
        </w:rPr>
        <w:t> </w:t>
      </w:r>
      <w:r>
        <w:rPr>
          <w:i/>
          <w:color w:val="231F20"/>
          <w:w w:val="110"/>
        </w:rPr>
        <w:t>Times</w:t>
      </w:r>
      <w:r>
        <w:rPr>
          <w:i/>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i/>
          <w:color w:val="231F20"/>
          <w:w w:val="110"/>
        </w:rPr>
        <w:t>Washington</w:t>
      </w:r>
      <w:r>
        <w:rPr>
          <w:i/>
          <w:color w:val="231F20"/>
          <w:spacing w:val="-17"/>
          <w:w w:val="110"/>
        </w:rPr>
        <w:t> </w:t>
      </w:r>
      <w:r>
        <w:rPr>
          <w:i/>
          <w:color w:val="231F20"/>
          <w:w w:val="110"/>
        </w:rPr>
        <w:t>Post </w:t>
      </w:r>
      <w:r>
        <w:rPr>
          <w:color w:val="231F20"/>
          <w:w w:val="110"/>
        </w:rPr>
        <w:t>denunciarán</w:t>
      </w:r>
      <w:r>
        <w:rPr>
          <w:color w:val="231F20"/>
          <w:spacing w:val="-7"/>
          <w:w w:val="110"/>
        </w:rPr>
        <w:t> </w:t>
      </w:r>
      <w:r>
        <w:rPr>
          <w:color w:val="231F20"/>
          <w:w w:val="110"/>
        </w:rPr>
        <w:t>esta</w:t>
      </w:r>
      <w:r>
        <w:rPr>
          <w:color w:val="231F20"/>
          <w:spacing w:val="-7"/>
          <w:w w:val="110"/>
        </w:rPr>
        <w:t> </w:t>
      </w:r>
      <w:r>
        <w:rPr>
          <w:color w:val="231F20"/>
          <w:w w:val="110"/>
        </w:rPr>
        <w:t>campaña</w:t>
      </w:r>
      <w:r>
        <w:rPr>
          <w:color w:val="231F20"/>
          <w:spacing w:val="-7"/>
          <w:w w:val="110"/>
        </w:rPr>
        <w:t> </w:t>
      </w:r>
      <w:r>
        <w:rPr>
          <w:color w:val="231F20"/>
          <w:w w:val="110"/>
        </w:rPr>
        <w:t>anticomercial</w:t>
      </w:r>
      <w:r>
        <w:rPr>
          <w:color w:val="231F20"/>
          <w:spacing w:val="-7"/>
          <w:w w:val="110"/>
        </w:rPr>
        <w:t> </w:t>
      </w:r>
      <w:r>
        <w:rPr>
          <w:color w:val="231F20"/>
          <w:w w:val="110"/>
        </w:rPr>
        <w:t>como</w:t>
      </w:r>
      <w:r>
        <w:rPr>
          <w:color w:val="231F20"/>
          <w:spacing w:val="-7"/>
          <w:w w:val="110"/>
        </w:rPr>
        <w:t> </w:t>
      </w:r>
      <w:r>
        <w:rPr>
          <w:color w:val="231F20"/>
          <w:w w:val="110"/>
        </w:rPr>
        <w:t>“populista”</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fin de atraer sindicatos a su electorado en un momento decisivo de la batalla</w:t>
      </w:r>
      <w:r>
        <w:rPr>
          <w:color w:val="231F20"/>
          <w:spacing w:val="-14"/>
          <w:w w:val="110"/>
        </w:rPr>
        <w:t> </w:t>
      </w:r>
      <w:r>
        <w:rPr>
          <w:color w:val="231F20"/>
          <w:w w:val="110"/>
        </w:rPr>
        <w:t>electoral.</w:t>
      </w:r>
      <w:r>
        <w:rPr>
          <w:color w:val="231F20"/>
          <w:spacing w:val="-14"/>
          <w:w w:val="110"/>
        </w:rPr>
        <w:t> </w:t>
      </w:r>
      <w:r>
        <w:rPr>
          <w:color w:val="231F20"/>
          <w:w w:val="110"/>
        </w:rPr>
        <w:t>El</w:t>
      </w:r>
      <w:r>
        <w:rPr>
          <w:color w:val="231F20"/>
          <w:spacing w:val="-14"/>
          <w:w w:val="110"/>
        </w:rPr>
        <w:t> </w:t>
      </w:r>
      <w:r>
        <w:rPr>
          <w:color w:val="231F20"/>
          <w:w w:val="110"/>
        </w:rPr>
        <w:t>candidato</w:t>
      </w:r>
      <w:r>
        <w:rPr>
          <w:color w:val="231F20"/>
          <w:spacing w:val="-14"/>
          <w:w w:val="110"/>
        </w:rPr>
        <w:t> </w:t>
      </w:r>
      <w:r>
        <w:rPr>
          <w:color w:val="231F20"/>
          <w:w w:val="110"/>
        </w:rPr>
        <w:t>Barack</w:t>
      </w:r>
      <w:r>
        <w:rPr>
          <w:color w:val="231F20"/>
          <w:spacing w:val="-14"/>
          <w:w w:val="110"/>
        </w:rPr>
        <w:t> </w:t>
      </w:r>
      <w:r>
        <w:rPr>
          <w:color w:val="231F20"/>
          <w:w w:val="110"/>
        </w:rPr>
        <w:t>Obama</w:t>
      </w:r>
      <w:r>
        <w:rPr>
          <w:color w:val="231F20"/>
          <w:spacing w:val="-14"/>
          <w:w w:val="110"/>
        </w:rPr>
        <w:t> </w:t>
      </w:r>
      <w:r>
        <w:rPr>
          <w:color w:val="231F20"/>
          <w:w w:val="110"/>
        </w:rPr>
        <w:t>va</w:t>
      </w:r>
      <w:r>
        <w:rPr>
          <w:color w:val="231F20"/>
          <w:spacing w:val="-14"/>
          <w:w w:val="110"/>
        </w:rPr>
        <w:t> </w:t>
      </w:r>
      <w:r>
        <w:rPr>
          <w:color w:val="231F20"/>
          <w:w w:val="110"/>
        </w:rPr>
        <w:t>a</w:t>
      </w:r>
      <w:r>
        <w:rPr>
          <w:color w:val="231F20"/>
          <w:spacing w:val="-14"/>
          <w:w w:val="110"/>
        </w:rPr>
        <w:t> </w:t>
      </w:r>
      <w:r>
        <w:rPr>
          <w:color w:val="231F20"/>
          <w:w w:val="110"/>
        </w:rPr>
        <w:t>pedir</w:t>
      </w:r>
      <w:r>
        <w:rPr>
          <w:color w:val="231F20"/>
          <w:spacing w:val="-14"/>
          <w:w w:val="110"/>
        </w:rPr>
        <w:t> </w:t>
      </w:r>
      <w:r>
        <w:rPr>
          <w:color w:val="231F20"/>
          <w:w w:val="110"/>
        </w:rPr>
        <w:t>la</w:t>
      </w:r>
      <w:r>
        <w:rPr>
          <w:color w:val="231F20"/>
          <w:spacing w:val="-14"/>
          <w:w w:val="110"/>
        </w:rPr>
        <w:t> </w:t>
      </w:r>
      <w:r>
        <w:rPr>
          <w:color w:val="231F20"/>
          <w:w w:val="110"/>
        </w:rPr>
        <w:t>revisión</w:t>
      </w:r>
      <w:r>
        <w:rPr>
          <w:color w:val="231F20"/>
          <w:spacing w:val="-14"/>
          <w:w w:val="110"/>
        </w:rPr>
        <w:t> </w:t>
      </w:r>
      <w:r>
        <w:rPr>
          <w:color w:val="231F20"/>
          <w:w w:val="110"/>
        </w:rPr>
        <w:t>de los</w:t>
      </w:r>
      <w:r>
        <w:rPr>
          <w:color w:val="231F20"/>
          <w:spacing w:val="-5"/>
          <w:w w:val="110"/>
        </w:rPr>
        <w:t> </w:t>
      </w:r>
      <w:r>
        <w:rPr>
          <w:color w:val="231F20"/>
          <w:w w:val="110"/>
        </w:rPr>
        <w:t>tratados</w:t>
      </w:r>
      <w:r>
        <w:rPr>
          <w:color w:val="231F20"/>
          <w:spacing w:val="-5"/>
          <w:w w:val="110"/>
        </w:rPr>
        <w:t> </w:t>
      </w:r>
      <w:r>
        <w:rPr>
          <w:color w:val="231F20"/>
          <w:w w:val="110"/>
        </w:rPr>
        <w:t>ya</w:t>
      </w:r>
      <w:r>
        <w:rPr>
          <w:color w:val="231F20"/>
          <w:spacing w:val="-5"/>
          <w:w w:val="110"/>
        </w:rPr>
        <w:t> </w:t>
      </w:r>
      <w:r>
        <w:rPr>
          <w:color w:val="231F20"/>
          <w:w w:val="110"/>
        </w:rPr>
        <w:t>firmados</w:t>
      </w:r>
      <w:r>
        <w:rPr>
          <w:color w:val="231F20"/>
          <w:spacing w:val="-5"/>
          <w:w w:val="110"/>
        </w:rPr>
        <w:t> </w:t>
      </w:r>
      <w:r>
        <w:rPr>
          <w:color w:val="231F20"/>
          <w:w w:val="110"/>
        </w:rPr>
        <w:t>en</w:t>
      </w:r>
      <w:r>
        <w:rPr>
          <w:color w:val="231F20"/>
          <w:spacing w:val="-5"/>
          <w:w w:val="110"/>
        </w:rPr>
        <w:t> </w:t>
      </w:r>
      <w:r>
        <w:rPr>
          <w:color w:val="231F20"/>
          <w:w w:val="110"/>
        </w:rPr>
        <w:t>materia</w:t>
      </w:r>
      <w:r>
        <w:rPr>
          <w:color w:val="231F20"/>
          <w:spacing w:val="-5"/>
          <w:w w:val="110"/>
        </w:rPr>
        <w:t> </w:t>
      </w:r>
      <w:r>
        <w:rPr>
          <w:color w:val="231F20"/>
          <w:w w:val="110"/>
        </w:rPr>
        <w:t>de</w:t>
      </w:r>
      <w:r>
        <w:rPr>
          <w:color w:val="231F20"/>
          <w:spacing w:val="-5"/>
          <w:w w:val="110"/>
        </w:rPr>
        <w:t> </w:t>
      </w:r>
      <w:r>
        <w:rPr>
          <w:color w:val="231F20"/>
          <w:w w:val="110"/>
        </w:rPr>
        <w:t>derechos</w:t>
      </w:r>
      <w:r>
        <w:rPr>
          <w:color w:val="231F20"/>
          <w:spacing w:val="-5"/>
          <w:w w:val="110"/>
        </w:rPr>
        <w:t> </w:t>
      </w:r>
      <w:r>
        <w:rPr>
          <w:color w:val="231F20"/>
          <w:w w:val="110"/>
        </w:rPr>
        <w:t>humanos</w:t>
      </w:r>
      <w:r>
        <w:rPr>
          <w:color w:val="231F20"/>
          <w:spacing w:val="-5"/>
          <w:w w:val="110"/>
        </w:rPr>
        <w:t> </w:t>
      </w:r>
      <w:r>
        <w:rPr>
          <w:color w:val="231F20"/>
          <w:w w:val="110"/>
        </w:rPr>
        <w:t>y</w:t>
      </w:r>
      <w:r>
        <w:rPr>
          <w:color w:val="231F20"/>
          <w:spacing w:val="-5"/>
          <w:w w:val="110"/>
        </w:rPr>
        <w:t> </w:t>
      </w:r>
      <w:r>
        <w:rPr>
          <w:color w:val="231F20"/>
          <w:w w:val="110"/>
        </w:rPr>
        <w:t>derechos laborales como el </w:t>
      </w:r>
      <w:r>
        <w:rPr>
          <w:color w:val="231F20"/>
          <w:w w:val="135"/>
        </w:rPr>
        <w:t>nafta </w:t>
      </w:r>
      <w:r>
        <w:rPr>
          <w:color w:val="231F20"/>
          <w:w w:val="110"/>
        </w:rPr>
        <w:t>y </w:t>
      </w:r>
      <w:r>
        <w:rPr>
          <w:color w:val="231F20"/>
          <w:w w:val="135"/>
        </w:rPr>
        <w:t>cafta </w:t>
      </w:r>
      <w:r>
        <w:rPr>
          <w:color w:val="231F20"/>
          <w:w w:val="110"/>
        </w:rPr>
        <w:t>así como los acuerdos con China  y denuncia los subsidios gubernamentales a los grandes</w:t>
      </w:r>
      <w:r>
        <w:rPr>
          <w:color w:val="231F20"/>
          <w:spacing w:val="-27"/>
          <w:w w:val="110"/>
        </w:rPr>
        <w:t> </w:t>
      </w:r>
      <w:r>
        <w:rPr>
          <w:color w:val="231F20"/>
          <w:w w:val="110"/>
        </w:rPr>
        <w:t>cultivadores en detrimento de los pequeños insistiendo en la necesidad de un comercio justo. Un año después de ser elegido, decide reconsiderar la decisión de congelar el </w:t>
      </w:r>
      <w:r>
        <w:rPr>
          <w:color w:val="231F20"/>
          <w:w w:val="135"/>
        </w:rPr>
        <w:t>tlc </w:t>
      </w:r>
      <w:r>
        <w:rPr>
          <w:color w:val="231F20"/>
          <w:w w:val="110"/>
        </w:rPr>
        <w:t>con Colombia expresando: “Siempre he sido un partidario del libre comercio” (Goodman, </w:t>
      </w:r>
      <w:r>
        <w:rPr>
          <w:color w:val="231F20"/>
          <w:spacing w:val="51"/>
          <w:w w:val="110"/>
        </w:rPr>
        <w:t> </w:t>
      </w:r>
      <w:r>
        <w:rPr>
          <w:color w:val="231F20"/>
          <w:w w:val="110"/>
        </w:rPr>
        <w:t>2008).</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before="67"/>
        <w:ind w:left="100"/>
        <w:jc w:val="both"/>
      </w:pPr>
      <w:r>
        <w:rPr>
          <w:color w:val="231F20"/>
          <w:w w:val="125"/>
        </w:rPr>
        <w:t>la ofensiva republicana:</w:t>
      </w:r>
    </w:p>
    <w:p>
      <w:pPr>
        <w:pStyle w:val="BodyText"/>
        <w:spacing w:before="20"/>
        <w:ind w:left="100"/>
        <w:jc w:val="both"/>
      </w:pPr>
      <w:r>
        <w:rPr>
          <w:color w:val="231F20"/>
          <w:w w:val="125"/>
        </w:rPr>
        <w:t>tratados de libre comercio y</w:t>
      </w:r>
      <w:r>
        <w:rPr>
          <w:color w:val="231F20"/>
          <w:spacing w:val="50"/>
          <w:w w:val="125"/>
        </w:rPr>
        <w:t> </w:t>
      </w:r>
      <w:r>
        <w:rPr>
          <w:color w:val="231F20"/>
          <w:w w:val="125"/>
        </w:rPr>
        <w:t>seguridad</w:t>
      </w:r>
    </w:p>
    <w:p>
      <w:pPr>
        <w:pStyle w:val="BodyText"/>
        <w:spacing w:before="5"/>
        <w:rPr>
          <w:sz w:val="23"/>
        </w:rPr>
      </w:pPr>
    </w:p>
    <w:p>
      <w:pPr>
        <w:pStyle w:val="BodyText"/>
        <w:spacing w:line="261" w:lineRule="auto"/>
        <w:ind w:left="100" w:right="119"/>
        <w:jc w:val="both"/>
      </w:pPr>
      <w:r>
        <w:rPr>
          <w:color w:val="231F20"/>
          <w:w w:val="110"/>
        </w:rPr>
        <w:t>Para los republicanos el rechazo inicial de la mayoría demócrata en Estados Unidos al </w:t>
      </w:r>
      <w:r>
        <w:rPr>
          <w:color w:val="231F20"/>
          <w:w w:val="135"/>
        </w:rPr>
        <w:t>tlc </w:t>
      </w:r>
      <w:r>
        <w:rPr>
          <w:color w:val="231F20"/>
          <w:w w:val="110"/>
        </w:rPr>
        <w:t>con Colombia durante las campañas va a ser considerado un riesgo para la defensa de sus  intereses:</w:t>
      </w:r>
    </w:p>
    <w:p>
      <w:pPr>
        <w:pStyle w:val="BodyText"/>
        <w:spacing w:before="4"/>
        <w:rPr>
          <w:sz w:val="23"/>
        </w:rPr>
      </w:pPr>
    </w:p>
    <w:p>
      <w:pPr>
        <w:spacing w:line="290" w:lineRule="auto" w:before="0"/>
        <w:ind w:left="100" w:right="119" w:firstLine="0"/>
        <w:jc w:val="both"/>
        <w:rPr>
          <w:sz w:val="18"/>
        </w:rPr>
      </w:pPr>
      <w:r>
        <w:rPr>
          <w:color w:val="231F20"/>
          <w:w w:val="110"/>
          <w:sz w:val="18"/>
        </w:rPr>
        <w:t>darle la espalda a Colombia sería muy grave para los intereses estratégicos de Estados Unidos en la región […] Cómo le vamos a decir que no a Co- lombia. Un país que hace siete años estaba a punto de convertirse en un  estado fracasado, que se convertía en santuario para narcoterroristas […]</w:t>
      </w:r>
      <w:r>
        <w:rPr>
          <w:color w:val="231F20"/>
          <w:w w:val="112"/>
          <w:sz w:val="18"/>
        </w:rPr>
        <w:t> </w:t>
      </w:r>
      <w:r>
        <w:rPr>
          <w:color w:val="231F20"/>
          <w:w w:val="110"/>
          <w:sz w:val="18"/>
        </w:rPr>
        <w:t>pero que con apoyo bipartidista nuestro, ha retornado la esperanza de sus ciudadanos (</w:t>
      </w:r>
      <w:r>
        <w:rPr>
          <w:i/>
          <w:color w:val="231F20"/>
          <w:w w:val="110"/>
          <w:sz w:val="18"/>
        </w:rPr>
        <w:t>El País</w:t>
      </w:r>
      <w:r>
        <w:rPr>
          <w:color w:val="231F20"/>
          <w:w w:val="110"/>
          <w:sz w:val="18"/>
        </w:rPr>
        <w:t>, 2008).</w:t>
      </w:r>
    </w:p>
    <w:p>
      <w:pPr>
        <w:pStyle w:val="BodyText"/>
        <w:spacing w:before="2"/>
      </w:pPr>
    </w:p>
    <w:p>
      <w:pPr>
        <w:pStyle w:val="BodyText"/>
        <w:spacing w:line="261" w:lineRule="auto"/>
        <w:ind w:left="100" w:right="117" w:firstLine="252"/>
        <w:jc w:val="both"/>
      </w:pPr>
      <w:r>
        <w:rPr>
          <w:color w:val="231F20"/>
          <w:w w:val="110"/>
        </w:rPr>
        <w:t>El</w:t>
      </w:r>
      <w:r>
        <w:rPr>
          <w:color w:val="231F20"/>
          <w:spacing w:val="-19"/>
          <w:w w:val="110"/>
        </w:rPr>
        <w:t> </w:t>
      </w:r>
      <w:r>
        <w:rPr>
          <w:color w:val="231F20"/>
          <w:w w:val="110"/>
        </w:rPr>
        <w:t>mismo</w:t>
      </w:r>
      <w:r>
        <w:rPr>
          <w:color w:val="231F20"/>
          <w:spacing w:val="-19"/>
          <w:w w:val="110"/>
        </w:rPr>
        <w:t> </w:t>
      </w:r>
      <w:r>
        <w:rPr>
          <w:color w:val="231F20"/>
          <w:w w:val="110"/>
        </w:rPr>
        <w:t>presidente</w:t>
      </w:r>
      <w:r>
        <w:rPr>
          <w:color w:val="231F20"/>
          <w:spacing w:val="-19"/>
          <w:w w:val="110"/>
        </w:rPr>
        <w:t> </w:t>
      </w:r>
      <w:r>
        <w:rPr>
          <w:color w:val="231F20"/>
          <w:w w:val="110"/>
        </w:rPr>
        <w:t>colombiano,</w:t>
      </w:r>
      <w:r>
        <w:rPr>
          <w:color w:val="231F20"/>
          <w:spacing w:val="-19"/>
          <w:w w:val="110"/>
        </w:rPr>
        <w:t> </w:t>
      </w:r>
      <w:r>
        <w:rPr>
          <w:color w:val="231F20"/>
          <w:w w:val="110"/>
        </w:rPr>
        <w:t>Uribe,</w:t>
      </w:r>
      <w:r>
        <w:rPr>
          <w:color w:val="231F20"/>
          <w:spacing w:val="-19"/>
          <w:w w:val="110"/>
        </w:rPr>
        <w:t> </w:t>
      </w:r>
      <w:r>
        <w:rPr>
          <w:color w:val="231F20"/>
          <w:w w:val="110"/>
        </w:rPr>
        <w:t>intenta</w:t>
      </w:r>
      <w:r>
        <w:rPr>
          <w:color w:val="231F20"/>
          <w:spacing w:val="-19"/>
          <w:w w:val="110"/>
        </w:rPr>
        <w:t> </w:t>
      </w:r>
      <w:r>
        <w:rPr>
          <w:color w:val="231F20"/>
          <w:w w:val="110"/>
        </w:rPr>
        <w:t>explicar</w:t>
      </w:r>
      <w:r>
        <w:rPr>
          <w:color w:val="231F20"/>
          <w:spacing w:val="-19"/>
          <w:w w:val="110"/>
        </w:rPr>
        <w:t> </w:t>
      </w:r>
      <w:r>
        <w:rPr>
          <w:color w:val="231F20"/>
          <w:w w:val="110"/>
        </w:rPr>
        <w:t>los</w:t>
      </w:r>
      <w:r>
        <w:rPr>
          <w:color w:val="231F20"/>
          <w:spacing w:val="-19"/>
          <w:w w:val="110"/>
        </w:rPr>
        <w:t> </w:t>
      </w:r>
      <w:r>
        <w:rPr>
          <w:color w:val="231F20"/>
          <w:w w:val="110"/>
        </w:rPr>
        <w:t>obstá- culos para la firma de un </w:t>
      </w:r>
      <w:r>
        <w:rPr>
          <w:color w:val="231F20"/>
          <w:w w:val="135"/>
        </w:rPr>
        <w:t>tlc </w:t>
      </w:r>
      <w:r>
        <w:rPr>
          <w:color w:val="231F20"/>
          <w:w w:val="110"/>
        </w:rPr>
        <w:t>con Estados Unidos, después de haber defendido la iniciativa regional andina y los </w:t>
      </w:r>
      <w:r>
        <w:rPr>
          <w:color w:val="231F20"/>
          <w:w w:val="135"/>
        </w:rPr>
        <w:t>tlc </w:t>
      </w:r>
      <w:r>
        <w:rPr>
          <w:color w:val="231F20"/>
          <w:w w:val="110"/>
        </w:rPr>
        <w:t>enfrentándose a sus vecinos</w:t>
      </w:r>
      <w:r>
        <w:rPr>
          <w:color w:val="231F20"/>
          <w:spacing w:val="-26"/>
          <w:w w:val="110"/>
        </w:rPr>
        <w:t> </w:t>
      </w:r>
      <w:r>
        <w:rPr>
          <w:color w:val="231F20"/>
          <w:w w:val="110"/>
        </w:rPr>
        <w:t>bolivianos,</w:t>
      </w:r>
      <w:r>
        <w:rPr>
          <w:color w:val="231F20"/>
          <w:spacing w:val="-26"/>
          <w:w w:val="110"/>
        </w:rPr>
        <w:t> </w:t>
      </w:r>
      <w:r>
        <w:rPr>
          <w:color w:val="231F20"/>
          <w:w w:val="110"/>
        </w:rPr>
        <w:t>ecuatorianos</w:t>
      </w:r>
      <w:r>
        <w:rPr>
          <w:color w:val="231F20"/>
          <w:spacing w:val="-26"/>
          <w:w w:val="110"/>
        </w:rPr>
        <w:t> </w:t>
      </w:r>
      <w:r>
        <w:rPr>
          <w:color w:val="231F20"/>
          <w:w w:val="110"/>
        </w:rPr>
        <w:t>y</w:t>
      </w:r>
      <w:r>
        <w:rPr>
          <w:color w:val="231F20"/>
          <w:spacing w:val="-26"/>
          <w:w w:val="110"/>
        </w:rPr>
        <w:t> </w:t>
      </w:r>
      <w:r>
        <w:rPr>
          <w:color w:val="231F20"/>
          <w:w w:val="110"/>
        </w:rPr>
        <w:t>venezolanos:</w:t>
      </w:r>
    </w:p>
    <w:p>
      <w:pPr>
        <w:pStyle w:val="BodyText"/>
        <w:spacing w:before="4"/>
        <w:rPr>
          <w:sz w:val="23"/>
        </w:rPr>
      </w:pPr>
    </w:p>
    <w:p>
      <w:pPr>
        <w:spacing w:line="290" w:lineRule="auto" w:before="0"/>
        <w:ind w:left="100" w:right="117" w:firstLine="0"/>
        <w:jc w:val="both"/>
        <w:rPr>
          <w:sz w:val="18"/>
        </w:rPr>
      </w:pPr>
      <w:r>
        <w:rPr>
          <w:color w:val="231F20"/>
          <w:w w:val="110"/>
          <w:sz w:val="18"/>
        </w:rPr>
        <w:t>No me cabe en la mente la hipótesis de que este tratado (el </w:t>
      </w:r>
      <w:r>
        <w:rPr>
          <w:color w:val="231F20"/>
          <w:w w:val="125"/>
          <w:sz w:val="18"/>
        </w:rPr>
        <w:t>tlc) </w:t>
      </w:r>
      <w:r>
        <w:rPr>
          <w:color w:val="231F20"/>
          <w:w w:val="110"/>
          <w:sz w:val="18"/>
        </w:rPr>
        <w:t>será rechazado […] En términos políticos, nadie puede entenderlo. Colombia tiene</w:t>
      </w:r>
      <w:r>
        <w:rPr>
          <w:color w:val="231F20"/>
          <w:spacing w:val="-6"/>
          <w:w w:val="110"/>
          <w:sz w:val="18"/>
        </w:rPr>
        <w:t> </w:t>
      </w:r>
      <w:r>
        <w:rPr>
          <w:color w:val="231F20"/>
          <w:w w:val="110"/>
          <w:sz w:val="18"/>
        </w:rPr>
        <w:t>una</w:t>
      </w:r>
      <w:r>
        <w:rPr>
          <w:color w:val="231F20"/>
          <w:spacing w:val="-6"/>
          <w:w w:val="110"/>
          <w:sz w:val="18"/>
        </w:rPr>
        <w:t> </w:t>
      </w:r>
      <w:r>
        <w:rPr>
          <w:color w:val="231F20"/>
          <w:w w:val="110"/>
          <w:sz w:val="18"/>
        </w:rPr>
        <w:t>larga</w:t>
      </w:r>
      <w:r>
        <w:rPr>
          <w:color w:val="231F20"/>
          <w:spacing w:val="-6"/>
          <w:w w:val="110"/>
          <w:sz w:val="18"/>
        </w:rPr>
        <w:t> </w:t>
      </w:r>
      <w:r>
        <w:rPr>
          <w:color w:val="231F20"/>
          <w:w w:val="110"/>
          <w:sz w:val="18"/>
        </w:rPr>
        <w:t>tradición</w:t>
      </w:r>
      <w:r>
        <w:rPr>
          <w:color w:val="231F20"/>
          <w:spacing w:val="-6"/>
          <w:w w:val="110"/>
          <w:sz w:val="18"/>
        </w:rPr>
        <w:t> </w:t>
      </w:r>
      <w:r>
        <w:rPr>
          <w:color w:val="231F20"/>
          <w:w w:val="110"/>
          <w:sz w:val="18"/>
        </w:rPr>
        <w:t>de</w:t>
      </w:r>
      <w:r>
        <w:rPr>
          <w:color w:val="231F20"/>
          <w:spacing w:val="-6"/>
          <w:w w:val="110"/>
          <w:sz w:val="18"/>
        </w:rPr>
        <w:t> </w:t>
      </w:r>
      <w:r>
        <w:rPr>
          <w:color w:val="231F20"/>
          <w:w w:val="110"/>
          <w:sz w:val="18"/>
        </w:rPr>
        <w:t>amistad</w:t>
      </w:r>
      <w:r>
        <w:rPr>
          <w:color w:val="231F20"/>
          <w:spacing w:val="-6"/>
          <w:w w:val="110"/>
          <w:sz w:val="18"/>
        </w:rPr>
        <w:t> </w:t>
      </w:r>
      <w:r>
        <w:rPr>
          <w:color w:val="231F20"/>
          <w:w w:val="110"/>
          <w:sz w:val="18"/>
        </w:rPr>
        <w:t>y</w:t>
      </w:r>
      <w:r>
        <w:rPr>
          <w:color w:val="231F20"/>
          <w:spacing w:val="-6"/>
          <w:w w:val="110"/>
          <w:sz w:val="18"/>
        </w:rPr>
        <w:t> </w:t>
      </w:r>
      <w:r>
        <w:rPr>
          <w:color w:val="231F20"/>
          <w:w w:val="110"/>
          <w:sz w:val="18"/>
        </w:rPr>
        <w:t>lealtad</w:t>
      </w:r>
      <w:r>
        <w:rPr>
          <w:color w:val="231F20"/>
          <w:spacing w:val="-6"/>
          <w:w w:val="110"/>
          <w:sz w:val="18"/>
        </w:rPr>
        <w:t> </w:t>
      </w:r>
      <w:r>
        <w:rPr>
          <w:color w:val="231F20"/>
          <w:w w:val="110"/>
          <w:sz w:val="18"/>
        </w:rPr>
        <w:t>con</w:t>
      </w:r>
      <w:r>
        <w:rPr>
          <w:color w:val="231F20"/>
          <w:spacing w:val="-6"/>
          <w:w w:val="110"/>
          <w:sz w:val="18"/>
        </w:rPr>
        <w:t> </w:t>
      </w:r>
      <w:r>
        <w:rPr>
          <w:color w:val="231F20"/>
          <w:w w:val="110"/>
          <w:sz w:val="18"/>
        </w:rPr>
        <w:t>Estados</w:t>
      </w:r>
      <w:r>
        <w:rPr>
          <w:color w:val="231F20"/>
          <w:spacing w:val="-6"/>
          <w:w w:val="110"/>
          <w:sz w:val="18"/>
        </w:rPr>
        <w:t> </w:t>
      </w:r>
      <w:r>
        <w:rPr>
          <w:color w:val="231F20"/>
          <w:w w:val="110"/>
          <w:sz w:val="18"/>
        </w:rPr>
        <w:t>Unidos.</w:t>
      </w:r>
      <w:r>
        <w:rPr>
          <w:color w:val="231F20"/>
          <w:spacing w:val="-6"/>
          <w:w w:val="110"/>
          <w:sz w:val="18"/>
        </w:rPr>
        <w:t> </w:t>
      </w:r>
      <w:r>
        <w:rPr>
          <w:color w:val="231F20"/>
          <w:w w:val="110"/>
          <w:sz w:val="18"/>
        </w:rPr>
        <w:t>Colombia comparte los valores democráticos de Estados Unidos. Colombia ha tenido dificultades con otros países debido a que los otros países no entendieron  las razones de nuestra lealtad hacia Estados Unidos. Por consiguiente, hago esta pregunta: dadas estas circunstancias ¿cómo puede alguien entender</w:t>
      </w:r>
      <w:r>
        <w:rPr>
          <w:color w:val="231F20"/>
          <w:spacing w:val="-13"/>
          <w:w w:val="110"/>
          <w:sz w:val="18"/>
        </w:rPr>
        <w:t> </w:t>
      </w:r>
      <w:r>
        <w:rPr>
          <w:color w:val="231F20"/>
          <w:w w:val="110"/>
          <w:sz w:val="18"/>
        </w:rPr>
        <w:t>que Estados</w:t>
      </w:r>
      <w:r>
        <w:rPr>
          <w:color w:val="231F20"/>
          <w:spacing w:val="-13"/>
          <w:w w:val="110"/>
          <w:sz w:val="18"/>
        </w:rPr>
        <w:t> </w:t>
      </w:r>
      <w:r>
        <w:rPr>
          <w:color w:val="231F20"/>
          <w:w w:val="110"/>
          <w:sz w:val="18"/>
        </w:rPr>
        <w:t>Unidos</w:t>
      </w:r>
      <w:r>
        <w:rPr>
          <w:color w:val="231F20"/>
          <w:spacing w:val="-13"/>
          <w:w w:val="110"/>
          <w:sz w:val="18"/>
        </w:rPr>
        <w:t> </w:t>
      </w:r>
      <w:r>
        <w:rPr>
          <w:color w:val="231F20"/>
          <w:w w:val="110"/>
          <w:sz w:val="18"/>
        </w:rPr>
        <w:t>no</w:t>
      </w:r>
      <w:r>
        <w:rPr>
          <w:color w:val="231F20"/>
          <w:spacing w:val="-13"/>
          <w:w w:val="110"/>
          <w:sz w:val="18"/>
        </w:rPr>
        <w:t> </w:t>
      </w:r>
      <w:r>
        <w:rPr>
          <w:color w:val="231F20"/>
          <w:w w:val="110"/>
          <w:sz w:val="18"/>
        </w:rPr>
        <w:t>apruebe</w:t>
      </w:r>
      <w:r>
        <w:rPr>
          <w:color w:val="231F20"/>
          <w:spacing w:val="-13"/>
          <w:w w:val="110"/>
          <w:sz w:val="18"/>
        </w:rPr>
        <w:t> </w:t>
      </w:r>
      <w:r>
        <w:rPr>
          <w:color w:val="231F20"/>
          <w:w w:val="110"/>
          <w:sz w:val="18"/>
        </w:rPr>
        <w:t>este</w:t>
      </w:r>
      <w:r>
        <w:rPr>
          <w:color w:val="231F20"/>
          <w:spacing w:val="-13"/>
          <w:w w:val="110"/>
          <w:sz w:val="18"/>
        </w:rPr>
        <w:t> </w:t>
      </w:r>
      <w:r>
        <w:rPr>
          <w:color w:val="231F20"/>
          <w:w w:val="110"/>
          <w:sz w:val="18"/>
        </w:rPr>
        <w:t>tratado?</w:t>
      </w:r>
      <w:r>
        <w:rPr>
          <w:color w:val="231F20"/>
          <w:spacing w:val="-13"/>
          <w:w w:val="110"/>
          <w:sz w:val="18"/>
        </w:rPr>
        <w:t> </w:t>
      </w:r>
      <w:r>
        <w:rPr>
          <w:color w:val="231F20"/>
          <w:w w:val="110"/>
          <w:sz w:val="18"/>
        </w:rPr>
        <w:t>(</w:t>
      </w:r>
      <w:r>
        <w:rPr>
          <w:i/>
          <w:color w:val="231F20"/>
          <w:w w:val="110"/>
          <w:sz w:val="18"/>
        </w:rPr>
        <w:t>Newsweek</w:t>
      </w:r>
      <w:r>
        <w:rPr>
          <w:color w:val="231F20"/>
          <w:w w:val="110"/>
          <w:sz w:val="18"/>
        </w:rPr>
        <w:t>,</w:t>
      </w:r>
      <w:r>
        <w:rPr>
          <w:color w:val="231F20"/>
          <w:spacing w:val="-13"/>
          <w:w w:val="110"/>
          <w:sz w:val="18"/>
        </w:rPr>
        <w:t> </w:t>
      </w:r>
      <w:r>
        <w:rPr>
          <w:color w:val="231F20"/>
          <w:w w:val="110"/>
          <w:sz w:val="18"/>
        </w:rPr>
        <w:t>2008).</w:t>
      </w:r>
    </w:p>
    <w:p>
      <w:pPr>
        <w:pStyle w:val="BodyText"/>
        <w:spacing w:before="2"/>
      </w:pPr>
    </w:p>
    <w:p>
      <w:pPr>
        <w:pStyle w:val="BodyText"/>
        <w:spacing w:line="261" w:lineRule="auto"/>
        <w:ind w:left="100" w:right="117" w:firstLine="240"/>
        <w:jc w:val="both"/>
      </w:pPr>
      <w:r>
        <w:rPr>
          <w:color w:val="231F20"/>
          <w:spacing w:val="-4"/>
          <w:w w:val="110"/>
        </w:rPr>
        <w:t>Tanto</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de</w:t>
      </w:r>
      <w:r>
        <w:rPr>
          <w:color w:val="231F20"/>
          <w:spacing w:val="-9"/>
          <w:w w:val="110"/>
        </w:rPr>
        <w:t> </w:t>
      </w:r>
      <w:r>
        <w:rPr>
          <w:color w:val="231F20"/>
          <w:w w:val="110"/>
        </w:rPr>
        <w:t>Bush</w:t>
      </w:r>
      <w:r>
        <w:rPr>
          <w:color w:val="231F20"/>
          <w:spacing w:val="-9"/>
          <w:w w:val="110"/>
        </w:rPr>
        <w:t> </w:t>
      </w:r>
      <w:r>
        <w:rPr>
          <w:color w:val="231F20"/>
          <w:w w:val="110"/>
        </w:rPr>
        <w:t>como</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de</w:t>
      </w:r>
      <w:r>
        <w:rPr>
          <w:color w:val="231F20"/>
          <w:spacing w:val="-9"/>
          <w:w w:val="110"/>
        </w:rPr>
        <w:t> </w:t>
      </w:r>
      <w:r>
        <w:rPr>
          <w:color w:val="231F20"/>
          <w:w w:val="110"/>
        </w:rPr>
        <w:t>Uribe,</w:t>
      </w:r>
      <w:r>
        <w:rPr>
          <w:color w:val="231F20"/>
          <w:spacing w:val="-9"/>
          <w:w w:val="110"/>
        </w:rPr>
        <w:t> </w:t>
      </w:r>
      <w:r>
        <w:rPr>
          <w:color w:val="231F20"/>
          <w:w w:val="110"/>
        </w:rPr>
        <w:t>el tratado</w:t>
      </w:r>
      <w:r>
        <w:rPr>
          <w:color w:val="231F20"/>
          <w:spacing w:val="-4"/>
          <w:w w:val="110"/>
        </w:rPr>
        <w:t> </w:t>
      </w:r>
      <w:r>
        <w:rPr>
          <w:color w:val="231F20"/>
          <w:w w:val="110"/>
        </w:rPr>
        <w:t>de</w:t>
      </w:r>
      <w:r>
        <w:rPr>
          <w:color w:val="231F20"/>
          <w:spacing w:val="-4"/>
          <w:w w:val="110"/>
        </w:rPr>
        <w:t> </w:t>
      </w:r>
      <w:r>
        <w:rPr>
          <w:color w:val="231F20"/>
          <w:w w:val="110"/>
        </w:rPr>
        <w:t>libre</w:t>
      </w:r>
      <w:r>
        <w:rPr>
          <w:color w:val="231F20"/>
          <w:spacing w:val="-4"/>
          <w:w w:val="110"/>
        </w:rPr>
        <w:t> </w:t>
      </w:r>
      <w:r>
        <w:rPr>
          <w:color w:val="231F20"/>
          <w:w w:val="110"/>
        </w:rPr>
        <w:t>comercio</w:t>
      </w:r>
      <w:r>
        <w:rPr>
          <w:color w:val="231F20"/>
          <w:spacing w:val="-4"/>
          <w:w w:val="110"/>
        </w:rPr>
        <w:t> </w:t>
      </w:r>
      <w:r>
        <w:rPr>
          <w:color w:val="231F20"/>
          <w:w w:val="110"/>
        </w:rPr>
        <w:t>va</w:t>
      </w:r>
      <w:r>
        <w:rPr>
          <w:color w:val="231F20"/>
          <w:spacing w:val="-4"/>
          <w:w w:val="110"/>
        </w:rPr>
        <w:t> </w:t>
      </w:r>
      <w:r>
        <w:rPr>
          <w:color w:val="231F20"/>
          <w:w w:val="110"/>
        </w:rPr>
        <w:t>constituir</w:t>
      </w:r>
      <w:r>
        <w:rPr>
          <w:color w:val="231F20"/>
          <w:spacing w:val="-4"/>
          <w:w w:val="110"/>
        </w:rPr>
        <w:t> </w:t>
      </w:r>
      <w:r>
        <w:rPr>
          <w:color w:val="231F20"/>
          <w:w w:val="110"/>
        </w:rPr>
        <w:t>un</w:t>
      </w:r>
      <w:r>
        <w:rPr>
          <w:color w:val="231F20"/>
          <w:spacing w:val="-4"/>
          <w:w w:val="110"/>
        </w:rPr>
        <w:t> </w:t>
      </w:r>
      <w:r>
        <w:rPr>
          <w:color w:val="231F20"/>
          <w:w w:val="110"/>
        </w:rPr>
        <w:t>componente</w:t>
      </w:r>
      <w:r>
        <w:rPr>
          <w:color w:val="231F20"/>
          <w:spacing w:val="-4"/>
          <w:w w:val="110"/>
        </w:rPr>
        <w:t> </w:t>
      </w:r>
      <w:r>
        <w:rPr>
          <w:color w:val="231F20"/>
          <w:w w:val="110"/>
        </w:rPr>
        <w:t>esencial</w:t>
      </w:r>
      <w:r>
        <w:rPr>
          <w:color w:val="231F20"/>
          <w:spacing w:val="-4"/>
          <w:w w:val="110"/>
        </w:rPr>
        <w:t> </w:t>
      </w:r>
      <w:r>
        <w:rPr>
          <w:color w:val="231F20"/>
          <w:w w:val="110"/>
        </w:rPr>
        <w:t>de</w:t>
      </w:r>
      <w:r>
        <w:rPr>
          <w:color w:val="231F20"/>
          <w:spacing w:val="-4"/>
          <w:w w:val="110"/>
        </w:rPr>
        <w:t> </w:t>
      </w:r>
      <w:r>
        <w:rPr>
          <w:color w:val="231F20"/>
          <w:w w:val="110"/>
        </w:rPr>
        <w:t>su agenda de seguridad regional. Desde esta perspectiva el rechazo del congreso</w:t>
      </w:r>
      <w:r>
        <w:rPr>
          <w:color w:val="231F20"/>
          <w:spacing w:val="-9"/>
          <w:w w:val="110"/>
        </w:rPr>
        <w:t> </w:t>
      </w:r>
      <w:r>
        <w:rPr>
          <w:color w:val="231F20"/>
          <w:w w:val="110"/>
        </w:rPr>
        <w:t>a</w:t>
      </w:r>
      <w:r>
        <w:rPr>
          <w:color w:val="231F20"/>
          <w:spacing w:val="-9"/>
          <w:w w:val="110"/>
        </w:rPr>
        <w:t> </w:t>
      </w:r>
      <w:r>
        <w:rPr>
          <w:color w:val="231F20"/>
          <w:w w:val="110"/>
        </w:rPr>
        <w:t>su</w:t>
      </w:r>
      <w:r>
        <w:rPr>
          <w:color w:val="231F20"/>
          <w:spacing w:val="-9"/>
          <w:w w:val="110"/>
        </w:rPr>
        <w:t> </w:t>
      </w:r>
      <w:r>
        <w:rPr>
          <w:color w:val="231F20"/>
          <w:w w:val="110"/>
        </w:rPr>
        <w:t>ratificación</w:t>
      </w:r>
      <w:r>
        <w:rPr>
          <w:color w:val="231F20"/>
          <w:spacing w:val="-9"/>
          <w:w w:val="110"/>
        </w:rPr>
        <w:t> </w:t>
      </w:r>
      <w:r>
        <w:rPr>
          <w:color w:val="231F20"/>
          <w:w w:val="110"/>
        </w:rPr>
        <w:t>en</w:t>
      </w:r>
      <w:r>
        <w:rPr>
          <w:color w:val="231F20"/>
          <w:spacing w:val="-9"/>
          <w:w w:val="110"/>
        </w:rPr>
        <w:t> </w:t>
      </w:r>
      <w:r>
        <w:rPr>
          <w:color w:val="231F20"/>
          <w:w w:val="110"/>
        </w:rPr>
        <w:t>junio</w:t>
      </w:r>
      <w:r>
        <w:rPr>
          <w:color w:val="231F20"/>
          <w:spacing w:val="-9"/>
          <w:w w:val="110"/>
        </w:rPr>
        <w:t> </w:t>
      </w:r>
      <w:r>
        <w:rPr>
          <w:color w:val="231F20"/>
          <w:w w:val="110"/>
        </w:rPr>
        <w:t>2007,</w:t>
      </w:r>
      <w:r>
        <w:rPr>
          <w:color w:val="231F20"/>
          <w:spacing w:val="-9"/>
          <w:w w:val="110"/>
        </w:rPr>
        <w:t> </w:t>
      </w:r>
      <w:r>
        <w:rPr>
          <w:color w:val="231F20"/>
          <w:w w:val="110"/>
        </w:rPr>
        <w:t>aduciendo</w:t>
      </w:r>
      <w:r>
        <w:rPr>
          <w:color w:val="231F20"/>
          <w:spacing w:val="-9"/>
          <w:w w:val="110"/>
        </w:rPr>
        <w:t> </w:t>
      </w:r>
      <w:r>
        <w:rPr>
          <w:color w:val="231F20"/>
          <w:w w:val="110"/>
        </w:rPr>
        <w:t>incumplimientos en materia de protección de derechos humanos, va a ser leído como un riesgo para el futuro de las relaciones estadunidenses con los gobiernos amigos en la región </w:t>
      </w:r>
      <w:r>
        <w:rPr>
          <w:color w:val="231F20"/>
          <w:spacing w:val="1"/>
          <w:w w:val="110"/>
        </w:rPr>
        <w:t> </w:t>
      </w:r>
      <w:r>
        <w:rPr>
          <w:color w:val="231F20"/>
          <w:w w:val="110"/>
        </w:rPr>
        <w:t>andina.</w:t>
      </w:r>
    </w:p>
    <w:p>
      <w:pPr>
        <w:pStyle w:val="BodyText"/>
        <w:spacing w:line="261" w:lineRule="auto"/>
        <w:ind w:left="100" w:right="116" w:firstLine="240"/>
        <w:jc w:val="both"/>
      </w:pPr>
      <w:r>
        <w:rPr>
          <w:color w:val="231F20"/>
          <w:w w:val="105"/>
        </w:rPr>
        <w:t>El papel de Colombia va a ser relevante, para la</w:t>
      </w:r>
      <w:r>
        <w:rPr>
          <w:color w:val="231F20"/>
          <w:spacing w:val="7"/>
          <w:w w:val="105"/>
        </w:rPr>
        <w:t> </w:t>
      </w:r>
      <w:r>
        <w:rPr>
          <w:color w:val="231F20"/>
          <w:w w:val="105"/>
        </w:rPr>
        <w:t>estrategia</w:t>
      </w:r>
      <w:r>
        <w:rPr>
          <w:color w:val="231F20"/>
          <w:spacing w:val="6"/>
          <w:w w:val="105"/>
        </w:rPr>
        <w:t> </w:t>
      </w:r>
      <w:r>
        <w:rPr>
          <w:color w:val="231F20"/>
          <w:w w:val="105"/>
        </w:rPr>
        <w:t>de</w:t>
      </w:r>
      <w:r>
        <w:rPr>
          <w:color w:val="231F20"/>
          <w:spacing w:val="1"/>
          <w:w w:val="114"/>
        </w:rPr>
        <w:t> </w:t>
      </w:r>
      <w:r>
        <w:rPr>
          <w:color w:val="231F20"/>
          <w:w w:val="105"/>
        </w:rPr>
        <w:t>“contención al presidente Chávez” y a sus vecinos, en su mayoría     hoy nuevos gobiernos progresistas, para que, según ellos, “la liber-    tad</w:t>
      </w:r>
      <w:r>
        <w:rPr>
          <w:color w:val="231F20"/>
          <w:spacing w:val="35"/>
          <w:w w:val="105"/>
        </w:rPr>
        <w:t> </w:t>
      </w:r>
      <w:r>
        <w:rPr>
          <w:color w:val="231F20"/>
          <w:w w:val="105"/>
        </w:rPr>
        <w:t>económica</w:t>
      </w:r>
      <w:r>
        <w:rPr>
          <w:color w:val="231F20"/>
          <w:spacing w:val="35"/>
          <w:w w:val="105"/>
        </w:rPr>
        <w:t> </w:t>
      </w:r>
      <w:r>
        <w:rPr>
          <w:color w:val="231F20"/>
          <w:w w:val="105"/>
        </w:rPr>
        <w:t>y</w:t>
      </w:r>
      <w:r>
        <w:rPr>
          <w:color w:val="231F20"/>
          <w:spacing w:val="35"/>
          <w:w w:val="105"/>
        </w:rPr>
        <w:t> </w:t>
      </w:r>
      <w:r>
        <w:rPr>
          <w:color w:val="231F20"/>
          <w:w w:val="105"/>
        </w:rPr>
        <w:t>la</w:t>
      </w:r>
      <w:r>
        <w:rPr>
          <w:color w:val="231F20"/>
          <w:spacing w:val="35"/>
          <w:w w:val="105"/>
        </w:rPr>
        <w:t> </w:t>
      </w:r>
      <w:r>
        <w:rPr>
          <w:color w:val="231F20"/>
          <w:w w:val="105"/>
        </w:rPr>
        <w:t>democracia</w:t>
      </w:r>
      <w:r>
        <w:rPr>
          <w:color w:val="231F20"/>
          <w:spacing w:val="35"/>
          <w:w w:val="105"/>
        </w:rPr>
        <w:t> </w:t>
      </w:r>
      <w:r>
        <w:rPr>
          <w:color w:val="231F20"/>
          <w:w w:val="105"/>
        </w:rPr>
        <w:t>puedan</w:t>
      </w:r>
      <w:r>
        <w:rPr>
          <w:color w:val="231F20"/>
          <w:spacing w:val="35"/>
          <w:w w:val="105"/>
        </w:rPr>
        <w:t> </w:t>
      </w:r>
      <w:r>
        <w:rPr>
          <w:color w:val="231F20"/>
          <w:w w:val="105"/>
        </w:rPr>
        <w:t>de</w:t>
      </w:r>
      <w:r>
        <w:rPr>
          <w:color w:val="231F20"/>
          <w:spacing w:val="35"/>
          <w:w w:val="105"/>
        </w:rPr>
        <w:t> </w:t>
      </w:r>
      <w:r>
        <w:rPr>
          <w:color w:val="231F20"/>
          <w:w w:val="105"/>
        </w:rPr>
        <w:t>nuevo</w:t>
      </w:r>
      <w:r>
        <w:rPr>
          <w:color w:val="231F20"/>
          <w:spacing w:val="35"/>
          <w:w w:val="105"/>
        </w:rPr>
        <w:t> </w:t>
      </w:r>
      <w:r>
        <w:rPr>
          <w:color w:val="231F20"/>
          <w:w w:val="105"/>
        </w:rPr>
        <w:t>reinar</w:t>
      </w:r>
      <w:r>
        <w:rPr>
          <w:color w:val="231F20"/>
          <w:spacing w:val="35"/>
          <w:w w:val="105"/>
        </w:rPr>
        <w:t> </w:t>
      </w:r>
      <w:r>
        <w:rPr>
          <w:color w:val="231F20"/>
          <w:w w:val="105"/>
        </w:rPr>
        <w:t>en</w:t>
      </w:r>
      <w:r>
        <w:rPr>
          <w:color w:val="231F20"/>
          <w:spacing w:val="35"/>
          <w:w w:val="105"/>
        </w:rPr>
        <w:t> </w:t>
      </w:r>
      <w:r>
        <w:rPr>
          <w:color w:val="231F20"/>
          <w:w w:val="105"/>
        </w:rPr>
        <w:t>América</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Latina</w:t>
      </w:r>
      <w:r>
        <w:rPr>
          <w:color w:val="231F20"/>
          <w:spacing w:val="-5"/>
          <w:w w:val="110"/>
        </w:rPr>
        <w:t> </w:t>
      </w:r>
      <w:r>
        <w:rPr>
          <w:color w:val="231F20"/>
          <w:w w:val="110"/>
        </w:rPr>
        <w:t>algún</w:t>
      </w:r>
      <w:r>
        <w:rPr>
          <w:color w:val="231F20"/>
          <w:spacing w:val="-5"/>
          <w:w w:val="110"/>
        </w:rPr>
        <w:t> </w:t>
      </w:r>
      <w:r>
        <w:rPr>
          <w:color w:val="231F20"/>
          <w:w w:val="110"/>
        </w:rPr>
        <w:t>día”</w:t>
      </w:r>
      <w:r>
        <w:rPr>
          <w:color w:val="231F20"/>
          <w:spacing w:val="-5"/>
          <w:w w:val="110"/>
        </w:rPr>
        <w:t> </w:t>
      </w:r>
      <w:r>
        <w:rPr>
          <w:color w:val="231F20"/>
          <w:w w:val="110"/>
        </w:rPr>
        <w:t>(Duberstein</w:t>
      </w:r>
      <w:r>
        <w:rPr>
          <w:color w:val="231F20"/>
          <w:spacing w:val="-5"/>
          <w:w w:val="110"/>
        </w:rPr>
        <w:t> </w:t>
      </w:r>
      <w:r>
        <w:rPr>
          <w:color w:val="231F20"/>
          <w:w w:val="110"/>
        </w:rPr>
        <w:t>y</w:t>
      </w:r>
      <w:r>
        <w:rPr>
          <w:color w:val="231F20"/>
          <w:spacing w:val="-5"/>
          <w:w w:val="110"/>
        </w:rPr>
        <w:t> </w:t>
      </w:r>
      <w:r>
        <w:rPr>
          <w:color w:val="231F20"/>
          <w:w w:val="110"/>
        </w:rPr>
        <w:t>Mclarty,</w:t>
      </w:r>
      <w:r>
        <w:rPr>
          <w:color w:val="231F20"/>
          <w:spacing w:val="-5"/>
          <w:w w:val="110"/>
        </w:rPr>
        <w:t> </w:t>
      </w:r>
      <w:r>
        <w:rPr>
          <w:color w:val="231F20"/>
          <w:w w:val="110"/>
        </w:rPr>
        <w:t>2007).</w:t>
      </w:r>
      <w:r>
        <w:rPr>
          <w:color w:val="231F20"/>
          <w:spacing w:val="-5"/>
          <w:w w:val="110"/>
        </w:rPr>
        <w:t> </w:t>
      </w:r>
      <w:r>
        <w:rPr>
          <w:color w:val="231F20"/>
          <w:w w:val="110"/>
        </w:rPr>
        <w:t>Un</w:t>
      </w:r>
      <w:r>
        <w:rPr>
          <w:color w:val="231F20"/>
          <w:spacing w:val="-5"/>
          <w:w w:val="110"/>
        </w:rPr>
        <w:t> </w:t>
      </w:r>
      <w:r>
        <w:rPr>
          <w:color w:val="231F20"/>
          <w:w w:val="110"/>
        </w:rPr>
        <w:t>futuro</w:t>
      </w:r>
      <w:r>
        <w:rPr>
          <w:color w:val="231F20"/>
          <w:spacing w:val="-5"/>
          <w:w w:val="110"/>
        </w:rPr>
        <w:t> </w:t>
      </w:r>
      <w:r>
        <w:rPr>
          <w:color w:val="231F20"/>
          <w:w w:val="110"/>
        </w:rPr>
        <w:t>que</w:t>
      </w:r>
      <w:r>
        <w:rPr>
          <w:color w:val="231F20"/>
          <w:spacing w:val="-5"/>
          <w:w w:val="110"/>
        </w:rPr>
        <w:t> </w:t>
      </w:r>
      <w:r>
        <w:rPr>
          <w:color w:val="231F20"/>
          <w:w w:val="110"/>
        </w:rPr>
        <w:t>había sido ya anticipado por los gobiernos de Estados Unidos y recordado por su representante comercial Robert Zoellick en 2003, ante el</w:t>
      </w:r>
      <w:r>
        <w:rPr>
          <w:color w:val="231F20"/>
          <w:spacing w:val="-34"/>
          <w:w w:val="110"/>
        </w:rPr>
        <w:t> </w:t>
      </w:r>
      <w:r>
        <w:rPr>
          <w:color w:val="231F20"/>
          <w:w w:val="110"/>
        </w:rPr>
        <w:t>con- greso de Estados Unidos. La idea de celebrar un </w:t>
      </w:r>
      <w:r>
        <w:rPr>
          <w:color w:val="231F20"/>
          <w:w w:val="135"/>
        </w:rPr>
        <w:t>tlc </w:t>
      </w:r>
      <w:r>
        <w:rPr>
          <w:color w:val="231F20"/>
          <w:w w:val="110"/>
        </w:rPr>
        <w:t>con los países andinos</w:t>
      </w:r>
      <w:r>
        <w:rPr>
          <w:color w:val="231F20"/>
          <w:spacing w:val="-21"/>
          <w:w w:val="110"/>
        </w:rPr>
        <w:t> </w:t>
      </w:r>
      <w:r>
        <w:rPr>
          <w:color w:val="231F20"/>
          <w:w w:val="110"/>
        </w:rPr>
        <w:t>(Colombia,</w:t>
      </w:r>
      <w:r>
        <w:rPr>
          <w:color w:val="231F20"/>
          <w:spacing w:val="-21"/>
          <w:w w:val="110"/>
        </w:rPr>
        <w:t> </w:t>
      </w:r>
      <w:r>
        <w:rPr>
          <w:color w:val="231F20"/>
          <w:w w:val="110"/>
        </w:rPr>
        <w:t>Perú,</w:t>
      </w:r>
      <w:r>
        <w:rPr>
          <w:color w:val="231F20"/>
          <w:spacing w:val="-21"/>
          <w:w w:val="110"/>
        </w:rPr>
        <w:t> </w:t>
      </w:r>
      <w:r>
        <w:rPr>
          <w:color w:val="231F20"/>
          <w:w w:val="110"/>
        </w:rPr>
        <w:t>Bolivia,</w:t>
      </w:r>
      <w:r>
        <w:rPr>
          <w:color w:val="231F20"/>
          <w:spacing w:val="-21"/>
          <w:w w:val="110"/>
        </w:rPr>
        <w:t> </w:t>
      </w:r>
      <w:r>
        <w:rPr>
          <w:color w:val="231F20"/>
          <w:w w:val="110"/>
        </w:rPr>
        <w:t>Venezuela,</w:t>
      </w:r>
      <w:r>
        <w:rPr>
          <w:color w:val="231F20"/>
          <w:spacing w:val="-21"/>
          <w:w w:val="110"/>
        </w:rPr>
        <w:t> </w:t>
      </w:r>
      <w:r>
        <w:rPr>
          <w:color w:val="231F20"/>
          <w:w w:val="110"/>
        </w:rPr>
        <w:t>Ecuador),</w:t>
      </w:r>
      <w:r>
        <w:rPr>
          <w:color w:val="231F20"/>
          <w:spacing w:val="-21"/>
          <w:w w:val="110"/>
        </w:rPr>
        <w:t> </w:t>
      </w:r>
      <w:r>
        <w:rPr>
          <w:color w:val="231F20"/>
          <w:w w:val="110"/>
        </w:rPr>
        <w:t>significa</w:t>
      </w:r>
      <w:r>
        <w:rPr>
          <w:color w:val="231F20"/>
          <w:spacing w:val="-21"/>
          <w:w w:val="110"/>
        </w:rPr>
        <w:t> </w:t>
      </w:r>
      <w:r>
        <w:rPr>
          <w:color w:val="231F20"/>
          <w:w w:val="110"/>
        </w:rPr>
        <w:t>“un complemento natural al Plan Colombia en la región, apoyado por el congreso durante años” </w:t>
      </w:r>
      <w:r>
        <w:rPr>
          <w:color w:val="231F20"/>
          <w:w w:val="135"/>
        </w:rPr>
        <w:t>(ustr,</w:t>
      </w:r>
      <w:r>
        <w:rPr>
          <w:color w:val="231F20"/>
          <w:spacing w:val="34"/>
          <w:w w:val="135"/>
        </w:rPr>
        <w:t> </w:t>
      </w:r>
      <w:r>
        <w:rPr>
          <w:color w:val="231F20"/>
          <w:w w:val="110"/>
        </w:rPr>
        <w:t>2003).</w:t>
      </w:r>
    </w:p>
    <w:p>
      <w:pPr>
        <w:pStyle w:val="BodyText"/>
        <w:spacing w:line="261" w:lineRule="auto"/>
        <w:ind w:left="100" w:right="115" w:firstLine="240"/>
        <w:jc w:val="both"/>
      </w:pPr>
      <w:r>
        <w:rPr>
          <w:color w:val="231F20"/>
          <w:w w:val="110"/>
        </w:rPr>
        <w:t>Con el resurgir de los demócratas van a transformarse las formas de vender las estrategias en materia de relaciones internacionales, pero no los componentes principales de la política, combinando formas de disuasión y persuasión con formas de control y coerción. Barack Obama va a culpar a Bush por su ineficiencia política contra sus</w:t>
      </w:r>
      <w:r>
        <w:rPr>
          <w:color w:val="231F20"/>
          <w:spacing w:val="-7"/>
          <w:w w:val="110"/>
        </w:rPr>
        <w:t> </w:t>
      </w:r>
      <w:r>
        <w:rPr>
          <w:color w:val="231F20"/>
          <w:w w:val="110"/>
        </w:rPr>
        <w:t>“adversarios”</w:t>
      </w:r>
      <w:r>
        <w:rPr>
          <w:color w:val="231F20"/>
          <w:spacing w:val="-7"/>
          <w:w w:val="110"/>
        </w:rPr>
        <w:t> </w:t>
      </w:r>
      <w:r>
        <w:rPr>
          <w:color w:val="231F20"/>
          <w:w w:val="110"/>
        </w:rPr>
        <w:t>acusándolo</w:t>
      </w:r>
      <w:r>
        <w:rPr>
          <w:color w:val="231F20"/>
          <w:spacing w:val="-7"/>
          <w:w w:val="110"/>
        </w:rPr>
        <w:t> </w:t>
      </w:r>
      <w:r>
        <w:rPr>
          <w:color w:val="231F20"/>
          <w:w w:val="110"/>
        </w:rPr>
        <w:t>del</w:t>
      </w:r>
      <w:r>
        <w:rPr>
          <w:color w:val="231F20"/>
          <w:spacing w:val="-7"/>
          <w:w w:val="110"/>
        </w:rPr>
        <w:t> </w:t>
      </w:r>
      <w:r>
        <w:rPr>
          <w:color w:val="231F20"/>
          <w:w w:val="110"/>
        </w:rPr>
        <w:t>“auge</w:t>
      </w:r>
      <w:r>
        <w:rPr>
          <w:color w:val="231F20"/>
          <w:spacing w:val="-7"/>
          <w:w w:val="110"/>
        </w:rPr>
        <w:t> </w:t>
      </w:r>
      <w:r>
        <w:rPr>
          <w:color w:val="231F20"/>
          <w:w w:val="110"/>
        </w:rPr>
        <w:t>de</w:t>
      </w:r>
      <w:r>
        <w:rPr>
          <w:color w:val="231F20"/>
          <w:spacing w:val="-7"/>
          <w:w w:val="110"/>
        </w:rPr>
        <w:t> </w:t>
      </w:r>
      <w:r>
        <w:rPr>
          <w:color w:val="231F20"/>
          <w:w w:val="110"/>
        </w:rPr>
        <w:t>demagogos</w:t>
      </w:r>
      <w:r>
        <w:rPr>
          <w:color w:val="231F20"/>
          <w:spacing w:val="-7"/>
          <w:w w:val="110"/>
        </w:rPr>
        <w:t> </w:t>
      </w:r>
      <w:r>
        <w:rPr>
          <w:color w:val="231F20"/>
          <w:w w:val="110"/>
        </w:rPr>
        <w:t>como</w:t>
      </w:r>
      <w:r>
        <w:rPr>
          <w:color w:val="231F20"/>
          <w:spacing w:val="-7"/>
          <w:w w:val="110"/>
        </w:rPr>
        <w:t> </w:t>
      </w:r>
      <w:r>
        <w:rPr>
          <w:color w:val="231F20"/>
          <w:w w:val="110"/>
        </w:rPr>
        <w:t>Chávez en</w:t>
      </w:r>
      <w:r>
        <w:rPr>
          <w:color w:val="231F20"/>
          <w:spacing w:val="-18"/>
          <w:w w:val="110"/>
        </w:rPr>
        <w:t> </w:t>
      </w:r>
      <w:r>
        <w:rPr>
          <w:color w:val="231F20"/>
          <w:w w:val="110"/>
        </w:rPr>
        <w:t>países</w:t>
      </w:r>
      <w:r>
        <w:rPr>
          <w:color w:val="231F20"/>
          <w:spacing w:val="-18"/>
          <w:w w:val="110"/>
        </w:rPr>
        <w:t> </w:t>
      </w:r>
      <w:r>
        <w:rPr>
          <w:color w:val="231F20"/>
          <w:w w:val="110"/>
        </w:rPr>
        <w:t>como</w:t>
      </w:r>
      <w:r>
        <w:rPr>
          <w:color w:val="231F20"/>
          <w:spacing w:val="-18"/>
          <w:w w:val="110"/>
        </w:rPr>
        <w:t> </w:t>
      </w:r>
      <w:r>
        <w:rPr>
          <w:color w:val="231F20"/>
          <w:w w:val="110"/>
        </w:rPr>
        <w:t>Bolivia</w:t>
      </w:r>
      <w:r>
        <w:rPr>
          <w:color w:val="231F20"/>
          <w:spacing w:val="-18"/>
          <w:w w:val="110"/>
        </w:rPr>
        <w:t> </w:t>
      </w:r>
      <w:r>
        <w:rPr>
          <w:color w:val="231F20"/>
          <w:w w:val="110"/>
        </w:rPr>
        <w:t>y</w:t>
      </w:r>
      <w:r>
        <w:rPr>
          <w:color w:val="231F20"/>
          <w:spacing w:val="-18"/>
          <w:w w:val="110"/>
        </w:rPr>
        <w:t> </w:t>
      </w:r>
      <w:r>
        <w:rPr>
          <w:color w:val="231F20"/>
          <w:w w:val="110"/>
        </w:rPr>
        <w:t>Nicaragua”:</w:t>
      </w:r>
    </w:p>
    <w:p>
      <w:pPr>
        <w:pStyle w:val="BodyText"/>
        <w:spacing w:before="4"/>
        <w:rPr>
          <w:sz w:val="23"/>
        </w:rPr>
      </w:pPr>
    </w:p>
    <w:p>
      <w:pPr>
        <w:spacing w:line="290" w:lineRule="auto" w:before="0"/>
        <w:ind w:left="100" w:right="115" w:firstLine="0"/>
        <w:jc w:val="both"/>
        <w:rPr>
          <w:sz w:val="18"/>
        </w:rPr>
      </w:pPr>
      <w:r>
        <w:rPr>
          <w:color w:val="231F20"/>
          <w:w w:val="110"/>
          <w:sz w:val="18"/>
        </w:rPr>
        <w:t>Mientras Bush se embarcaba en una guerra errada en Irak, nuestra política hacia las Américas fue negligente frente a nuestros amigos e ineficiente contra nuestros adversarios (</w:t>
      </w:r>
      <w:r>
        <w:rPr>
          <w:i/>
          <w:color w:val="231F20"/>
          <w:w w:val="110"/>
          <w:sz w:val="18"/>
        </w:rPr>
        <w:t>El Tiempo</w:t>
      </w:r>
      <w:r>
        <w:rPr>
          <w:color w:val="231F20"/>
          <w:w w:val="110"/>
          <w:sz w:val="18"/>
        </w:rPr>
        <w:t>, 2008b).</w:t>
      </w:r>
    </w:p>
    <w:p>
      <w:pPr>
        <w:pStyle w:val="BodyText"/>
        <w:spacing w:before="2"/>
      </w:pPr>
    </w:p>
    <w:p>
      <w:pPr>
        <w:pStyle w:val="BodyText"/>
        <w:spacing w:line="261" w:lineRule="auto"/>
        <w:ind w:left="100" w:right="117" w:firstLine="240"/>
        <w:jc w:val="both"/>
      </w:pPr>
      <w:r>
        <w:rPr>
          <w:color w:val="231F20"/>
          <w:w w:val="110"/>
        </w:rPr>
        <w:t>Esta</w:t>
      </w:r>
      <w:r>
        <w:rPr>
          <w:color w:val="231F20"/>
          <w:spacing w:val="-12"/>
          <w:w w:val="110"/>
        </w:rPr>
        <w:t> </w:t>
      </w:r>
      <w:r>
        <w:rPr>
          <w:color w:val="231F20"/>
          <w:w w:val="110"/>
        </w:rPr>
        <w:t>combinación</w:t>
      </w:r>
      <w:r>
        <w:rPr>
          <w:color w:val="231F20"/>
          <w:spacing w:val="-12"/>
          <w:w w:val="110"/>
        </w:rPr>
        <w:t> </w:t>
      </w:r>
      <w:r>
        <w:rPr>
          <w:color w:val="231F20"/>
          <w:w w:val="110"/>
        </w:rPr>
        <w:t>de</w:t>
      </w:r>
      <w:r>
        <w:rPr>
          <w:color w:val="231F20"/>
          <w:spacing w:val="-12"/>
          <w:w w:val="110"/>
        </w:rPr>
        <w:t> </w:t>
      </w:r>
      <w:r>
        <w:rPr>
          <w:color w:val="231F20"/>
          <w:w w:val="110"/>
        </w:rPr>
        <w:t>agendas</w:t>
      </w:r>
      <w:r>
        <w:rPr>
          <w:color w:val="231F20"/>
          <w:spacing w:val="-12"/>
          <w:w w:val="110"/>
        </w:rPr>
        <w:t> </w:t>
      </w:r>
      <w:r>
        <w:rPr>
          <w:color w:val="231F20"/>
          <w:w w:val="110"/>
        </w:rPr>
        <w:t>de</w:t>
      </w:r>
      <w:r>
        <w:rPr>
          <w:color w:val="231F20"/>
          <w:spacing w:val="-12"/>
          <w:w w:val="110"/>
        </w:rPr>
        <w:t> </w:t>
      </w:r>
      <w:r>
        <w:rPr>
          <w:color w:val="231F20"/>
          <w:w w:val="110"/>
        </w:rPr>
        <w:t>comercio</w:t>
      </w:r>
      <w:r>
        <w:rPr>
          <w:color w:val="231F20"/>
          <w:spacing w:val="-12"/>
          <w:w w:val="110"/>
        </w:rPr>
        <w:t> </w:t>
      </w:r>
      <w:r>
        <w:rPr>
          <w:color w:val="231F20"/>
          <w:w w:val="110"/>
        </w:rPr>
        <w:t>y</w:t>
      </w:r>
      <w:r>
        <w:rPr>
          <w:color w:val="231F20"/>
          <w:spacing w:val="-12"/>
          <w:w w:val="110"/>
        </w:rPr>
        <w:t> </w:t>
      </w:r>
      <w:r>
        <w:rPr>
          <w:color w:val="231F20"/>
          <w:w w:val="110"/>
        </w:rPr>
        <w:t>seguridad,</w:t>
      </w:r>
      <w:r>
        <w:rPr>
          <w:color w:val="231F20"/>
          <w:spacing w:val="-12"/>
          <w:w w:val="110"/>
        </w:rPr>
        <w:t> </w:t>
      </w:r>
      <w:r>
        <w:rPr>
          <w:color w:val="231F20"/>
          <w:w w:val="110"/>
        </w:rPr>
        <w:t>va</w:t>
      </w:r>
      <w:r>
        <w:rPr>
          <w:color w:val="231F20"/>
          <w:spacing w:val="-12"/>
          <w:w w:val="110"/>
        </w:rPr>
        <w:t> </w:t>
      </w:r>
      <w:r>
        <w:rPr>
          <w:color w:val="231F20"/>
          <w:w w:val="110"/>
        </w:rPr>
        <w:t>a</w:t>
      </w:r>
      <w:r>
        <w:rPr>
          <w:color w:val="231F20"/>
          <w:spacing w:val="-12"/>
          <w:w w:val="110"/>
        </w:rPr>
        <w:t> </w:t>
      </w:r>
      <w:r>
        <w:rPr>
          <w:color w:val="231F20"/>
          <w:w w:val="110"/>
        </w:rPr>
        <w:t>termi- nar incidiendo en las relaciones entre Colombia y sus vecinos, pro- fundizando</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Comunidad</w:t>
      </w:r>
      <w:r>
        <w:rPr>
          <w:color w:val="231F20"/>
          <w:spacing w:val="-11"/>
          <w:w w:val="110"/>
        </w:rPr>
        <w:t> </w:t>
      </w:r>
      <w:r>
        <w:rPr>
          <w:color w:val="231F20"/>
          <w:w w:val="110"/>
        </w:rPr>
        <w:t>Andina</w:t>
      </w:r>
      <w:r>
        <w:rPr>
          <w:color w:val="231F20"/>
          <w:spacing w:val="-11"/>
          <w:w w:val="110"/>
        </w:rPr>
        <w:t> </w:t>
      </w:r>
      <w:r>
        <w:rPr>
          <w:color w:val="231F20"/>
          <w:w w:val="110"/>
        </w:rPr>
        <w:t>de</w:t>
      </w:r>
      <w:r>
        <w:rPr>
          <w:color w:val="231F20"/>
          <w:spacing w:val="-11"/>
          <w:w w:val="110"/>
        </w:rPr>
        <w:t> </w:t>
      </w:r>
      <w:r>
        <w:rPr>
          <w:color w:val="231F20"/>
          <w:w w:val="110"/>
        </w:rPr>
        <w:t>Naciones</w:t>
      </w:r>
      <w:r>
        <w:rPr>
          <w:color w:val="231F20"/>
          <w:spacing w:val="-11"/>
          <w:w w:val="110"/>
        </w:rPr>
        <w:t> </w:t>
      </w:r>
      <w:r>
        <w:rPr>
          <w:color w:val="231F20"/>
          <w:w w:val="110"/>
        </w:rPr>
        <w:t>y</w:t>
      </w:r>
      <w:r>
        <w:rPr>
          <w:color w:val="231F20"/>
          <w:spacing w:val="-11"/>
          <w:w w:val="110"/>
        </w:rPr>
        <w:t> </w:t>
      </w:r>
      <w:r>
        <w:rPr>
          <w:color w:val="231F20"/>
          <w:w w:val="110"/>
        </w:rPr>
        <w:t>abriendo el camino para una intervención indirecta de los Estados Unidos en Ecuador y Venezuela principalmente. Ello explica la posición del gobierno estadunidense de apoyar la arbitraria acusación que le</w:t>
      </w:r>
      <w:r>
        <w:rPr>
          <w:color w:val="231F20"/>
          <w:spacing w:val="-33"/>
          <w:w w:val="110"/>
        </w:rPr>
        <w:t> </w:t>
      </w:r>
      <w:r>
        <w:rPr>
          <w:color w:val="231F20"/>
          <w:w w:val="110"/>
        </w:rPr>
        <w:t>hace Colombia al gobierno Venezolano de albergar campamentos de las farc para justificar su </w:t>
      </w:r>
      <w:r>
        <w:rPr>
          <w:color w:val="231F20"/>
          <w:spacing w:val="33"/>
          <w:w w:val="110"/>
        </w:rPr>
        <w:t> </w:t>
      </w:r>
      <w:r>
        <w:rPr>
          <w:color w:val="231F20"/>
          <w:w w:val="110"/>
        </w:rPr>
        <w:t>intervención.</w:t>
      </w:r>
    </w:p>
    <w:p>
      <w:pPr>
        <w:pStyle w:val="BodyText"/>
        <w:spacing w:before="4"/>
        <w:rPr>
          <w:sz w:val="23"/>
        </w:rPr>
      </w:pPr>
    </w:p>
    <w:p>
      <w:pPr>
        <w:spacing w:line="290" w:lineRule="auto" w:before="0"/>
        <w:ind w:left="100" w:right="117" w:firstLine="0"/>
        <w:jc w:val="both"/>
        <w:rPr>
          <w:sz w:val="18"/>
        </w:rPr>
      </w:pPr>
      <w:r>
        <w:rPr>
          <w:color w:val="231F20"/>
          <w:w w:val="110"/>
          <w:sz w:val="18"/>
        </w:rPr>
        <w:t>Cuando</w:t>
      </w:r>
      <w:r>
        <w:rPr>
          <w:color w:val="231F20"/>
          <w:spacing w:val="-8"/>
          <w:w w:val="110"/>
          <w:sz w:val="18"/>
        </w:rPr>
        <w:t> </w:t>
      </w:r>
      <w:r>
        <w:rPr>
          <w:color w:val="231F20"/>
          <w:w w:val="110"/>
          <w:sz w:val="18"/>
        </w:rPr>
        <w:t>sea</w:t>
      </w:r>
      <w:r>
        <w:rPr>
          <w:color w:val="231F20"/>
          <w:spacing w:val="-8"/>
          <w:w w:val="110"/>
          <w:sz w:val="18"/>
        </w:rPr>
        <w:t> </w:t>
      </w:r>
      <w:r>
        <w:rPr>
          <w:color w:val="231F20"/>
          <w:w w:val="110"/>
          <w:sz w:val="18"/>
        </w:rPr>
        <w:t>presidente</w:t>
      </w:r>
      <w:r>
        <w:rPr>
          <w:color w:val="231F20"/>
          <w:spacing w:val="-8"/>
          <w:w w:val="110"/>
          <w:sz w:val="18"/>
        </w:rPr>
        <w:t> </w:t>
      </w:r>
      <w:r>
        <w:rPr>
          <w:color w:val="231F20"/>
          <w:w w:val="110"/>
          <w:sz w:val="18"/>
        </w:rPr>
        <w:t>seguiremos</w:t>
      </w:r>
      <w:r>
        <w:rPr>
          <w:color w:val="231F20"/>
          <w:spacing w:val="-8"/>
          <w:w w:val="110"/>
          <w:sz w:val="18"/>
        </w:rPr>
        <w:t> </w:t>
      </w:r>
      <w:r>
        <w:rPr>
          <w:color w:val="231F20"/>
          <w:w w:val="110"/>
          <w:sz w:val="18"/>
        </w:rPr>
        <w:t>con</w:t>
      </w:r>
      <w:r>
        <w:rPr>
          <w:color w:val="231F20"/>
          <w:spacing w:val="-8"/>
          <w:w w:val="110"/>
          <w:sz w:val="18"/>
        </w:rPr>
        <w:t> </w:t>
      </w:r>
      <w:r>
        <w:rPr>
          <w:color w:val="231F20"/>
          <w:w w:val="110"/>
          <w:sz w:val="18"/>
        </w:rPr>
        <w:t>el</w:t>
      </w:r>
      <w:r>
        <w:rPr>
          <w:color w:val="231F20"/>
          <w:spacing w:val="-8"/>
          <w:w w:val="110"/>
          <w:sz w:val="18"/>
        </w:rPr>
        <w:t> </w:t>
      </w:r>
      <w:r>
        <w:rPr>
          <w:color w:val="231F20"/>
          <w:w w:val="110"/>
          <w:sz w:val="18"/>
        </w:rPr>
        <w:t>programa</w:t>
      </w:r>
      <w:r>
        <w:rPr>
          <w:color w:val="231F20"/>
          <w:spacing w:val="-8"/>
          <w:w w:val="110"/>
          <w:sz w:val="18"/>
        </w:rPr>
        <w:t> </w:t>
      </w:r>
      <w:r>
        <w:rPr>
          <w:color w:val="231F20"/>
          <w:w w:val="110"/>
          <w:sz w:val="18"/>
        </w:rPr>
        <w:t>antidrogas.</w:t>
      </w:r>
      <w:r>
        <w:rPr>
          <w:color w:val="231F20"/>
          <w:spacing w:val="-8"/>
          <w:w w:val="110"/>
          <w:sz w:val="18"/>
        </w:rPr>
        <w:t> </w:t>
      </w:r>
      <w:r>
        <w:rPr>
          <w:color w:val="231F20"/>
          <w:w w:val="110"/>
          <w:sz w:val="18"/>
        </w:rPr>
        <w:t>Apoyaremos totalmente la lucha contra las farc. Trabajaremos con el gobierno para aca- bar</w:t>
      </w:r>
      <w:r>
        <w:rPr>
          <w:color w:val="231F20"/>
          <w:spacing w:val="-5"/>
          <w:w w:val="110"/>
          <w:sz w:val="18"/>
        </w:rPr>
        <w:t> </w:t>
      </w:r>
      <w:r>
        <w:rPr>
          <w:color w:val="231F20"/>
          <w:w w:val="110"/>
          <w:sz w:val="18"/>
        </w:rPr>
        <w:t>con</w:t>
      </w:r>
      <w:r>
        <w:rPr>
          <w:color w:val="231F20"/>
          <w:spacing w:val="-5"/>
          <w:w w:val="110"/>
          <w:sz w:val="18"/>
        </w:rPr>
        <w:t> </w:t>
      </w:r>
      <w:r>
        <w:rPr>
          <w:color w:val="231F20"/>
          <w:w w:val="110"/>
          <w:sz w:val="18"/>
        </w:rPr>
        <w:t>el</w:t>
      </w:r>
      <w:r>
        <w:rPr>
          <w:color w:val="231F20"/>
          <w:spacing w:val="-5"/>
          <w:w w:val="110"/>
          <w:sz w:val="18"/>
        </w:rPr>
        <w:t> </w:t>
      </w:r>
      <w:r>
        <w:rPr>
          <w:color w:val="231F20"/>
          <w:w w:val="110"/>
          <w:sz w:val="18"/>
        </w:rPr>
        <w:t>régimen</w:t>
      </w:r>
      <w:r>
        <w:rPr>
          <w:color w:val="231F20"/>
          <w:spacing w:val="-5"/>
          <w:w w:val="110"/>
          <w:sz w:val="18"/>
        </w:rPr>
        <w:t> </w:t>
      </w:r>
      <w:r>
        <w:rPr>
          <w:color w:val="231F20"/>
          <w:w w:val="110"/>
          <w:sz w:val="18"/>
        </w:rPr>
        <w:t>del</w:t>
      </w:r>
      <w:r>
        <w:rPr>
          <w:color w:val="231F20"/>
          <w:spacing w:val="-5"/>
          <w:w w:val="110"/>
          <w:sz w:val="18"/>
        </w:rPr>
        <w:t> </w:t>
      </w:r>
      <w:r>
        <w:rPr>
          <w:color w:val="231F20"/>
          <w:w w:val="110"/>
          <w:sz w:val="18"/>
        </w:rPr>
        <w:t>terror</w:t>
      </w:r>
      <w:r>
        <w:rPr>
          <w:color w:val="231F20"/>
          <w:spacing w:val="-5"/>
          <w:w w:val="110"/>
          <w:sz w:val="18"/>
        </w:rPr>
        <w:t> </w:t>
      </w:r>
      <w:r>
        <w:rPr>
          <w:color w:val="231F20"/>
          <w:w w:val="110"/>
          <w:sz w:val="18"/>
        </w:rPr>
        <w:t>de</w:t>
      </w:r>
      <w:r>
        <w:rPr>
          <w:color w:val="231F20"/>
          <w:spacing w:val="-5"/>
          <w:w w:val="110"/>
          <w:sz w:val="18"/>
        </w:rPr>
        <w:t> </w:t>
      </w:r>
      <w:r>
        <w:rPr>
          <w:color w:val="231F20"/>
          <w:w w:val="110"/>
          <w:sz w:val="18"/>
        </w:rPr>
        <w:t>los</w:t>
      </w:r>
      <w:r>
        <w:rPr>
          <w:color w:val="231F20"/>
          <w:spacing w:val="-5"/>
          <w:w w:val="110"/>
          <w:sz w:val="18"/>
        </w:rPr>
        <w:t> </w:t>
      </w:r>
      <w:r>
        <w:rPr>
          <w:color w:val="231F20"/>
          <w:w w:val="110"/>
          <w:sz w:val="18"/>
        </w:rPr>
        <w:t>paramilitares.</w:t>
      </w:r>
      <w:r>
        <w:rPr>
          <w:color w:val="231F20"/>
          <w:spacing w:val="-5"/>
          <w:w w:val="110"/>
          <w:sz w:val="18"/>
        </w:rPr>
        <w:t> </w:t>
      </w:r>
      <w:r>
        <w:rPr>
          <w:color w:val="231F20"/>
          <w:w w:val="110"/>
          <w:sz w:val="18"/>
        </w:rPr>
        <w:t>Respaldaremos</w:t>
      </w:r>
      <w:r>
        <w:rPr>
          <w:color w:val="231F20"/>
          <w:spacing w:val="-5"/>
          <w:w w:val="110"/>
          <w:sz w:val="18"/>
        </w:rPr>
        <w:t> </w:t>
      </w:r>
      <w:r>
        <w:rPr>
          <w:color w:val="231F20"/>
          <w:w w:val="110"/>
          <w:sz w:val="18"/>
        </w:rPr>
        <w:t>el</w:t>
      </w:r>
      <w:r>
        <w:rPr>
          <w:color w:val="231F20"/>
          <w:spacing w:val="-5"/>
          <w:w w:val="110"/>
          <w:sz w:val="18"/>
        </w:rPr>
        <w:t> </w:t>
      </w:r>
      <w:r>
        <w:rPr>
          <w:color w:val="231F20"/>
          <w:w w:val="110"/>
          <w:sz w:val="18"/>
        </w:rPr>
        <w:t>derecho de</w:t>
      </w:r>
      <w:r>
        <w:rPr>
          <w:color w:val="231F20"/>
          <w:spacing w:val="-14"/>
          <w:w w:val="110"/>
          <w:sz w:val="18"/>
        </w:rPr>
        <w:t> </w:t>
      </w:r>
      <w:r>
        <w:rPr>
          <w:color w:val="231F20"/>
          <w:w w:val="110"/>
          <w:sz w:val="18"/>
        </w:rPr>
        <w:t>Colombia</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atacar</w:t>
      </w:r>
      <w:r>
        <w:rPr>
          <w:color w:val="231F20"/>
          <w:spacing w:val="-14"/>
          <w:w w:val="110"/>
          <w:sz w:val="18"/>
        </w:rPr>
        <w:t> </w:t>
      </w:r>
      <w:r>
        <w:rPr>
          <w:color w:val="231F20"/>
          <w:w w:val="110"/>
          <w:sz w:val="18"/>
        </w:rPr>
        <w:t>a</w:t>
      </w:r>
      <w:r>
        <w:rPr>
          <w:color w:val="231F20"/>
          <w:spacing w:val="-14"/>
          <w:w w:val="110"/>
          <w:sz w:val="18"/>
        </w:rPr>
        <w:t> </w:t>
      </w:r>
      <w:r>
        <w:rPr>
          <w:color w:val="231F20"/>
          <w:w w:val="110"/>
          <w:sz w:val="18"/>
        </w:rPr>
        <w:t>los</w:t>
      </w:r>
      <w:r>
        <w:rPr>
          <w:color w:val="231F20"/>
          <w:spacing w:val="-14"/>
          <w:w w:val="110"/>
          <w:sz w:val="18"/>
        </w:rPr>
        <w:t> </w:t>
      </w:r>
      <w:r>
        <w:rPr>
          <w:color w:val="231F20"/>
          <w:w w:val="110"/>
          <w:sz w:val="18"/>
        </w:rPr>
        <w:t>terroristas</w:t>
      </w:r>
      <w:r>
        <w:rPr>
          <w:color w:val="231F20"/>
          <w:spacing w:val="-14"/>
          <w:w w:val="110"/>
          <w:sz w:val="18"/>
        </w:rPr>
        <w:t> </w:t>
      </w:r>
      <w:r>
        <w:rPr>
          <w:i/>
          <w:color w:val="231F20"/>
          <w:w w:val="110"/>
          <w:sz w:val="18"/>
        </w:rPr>
        <w:t>que</w:t>
      </w:r>
      <w:r>
        <w:rPr>
          <w:i/>
          <w:color w:val="231F20"/>
          <w:spacing w:val="-14"/>
          <w:w w:val="110"/>
          <w:sz w:val="18"/>
        </w:rPr>
        <w:t> </w:t>
      </w:r>
      <w:r>
        <w:rPr>
          <w:i/>
          <w:color w:val="231F20"/>
          <w:w w:val="110"/>
          <w:sz w:val="18"/>
        </w:rPr>
        <w:t>buscan</w:t>
      </w:r>
      <w:r>
        <w:rPr>
          <w:i/>
          <w:color w:val="231F20"/>
          <w:spacing w:val="-14"/>
          <w:w w:val="110"/>
          <w:sz w:val="18"/>
        </w:rPr>
        <w:t> </w:t>
      </w:r>
      <w:r>
        <w:rPr>
          <w:i/>
          <w:color w:val="231F20"/>
          <w:w w:val="110"/>
          <w:sz w:val="18"/>
        </w:rPr>
        <w:t>santuario</w:t>
      </w:r>
      <w:r>
        <w:rPr>
          <w:i/>
          <w:color w:val="231F20"/>
          <w:spacing w:val="-14"/>
          <w:w w:val="110"/>
          <w:sz w:val="18"/>
        </w:rPr>
        <w:t> </w:t>
      </w:r>
      <w:r>
        <w:rPr>
          <w:i/>
          <w:color w:val="231F20"/>
          <w:w w:val="110"/>
          <w:sz w:val="18"/>
        </w:rPr>
        <w:t>en</w:t>
      </w:r>
      <w:r>
        <w:rPr>
          <w:i/>
          <w:color w:val="231F20"/>
          <w:spacing w:val="-14"/>
          <w:w w:val="110"/>
          <w:sz w:val="18"/>
        </w:rPr>
        <w:t> </w:t>
      </w:r>
      <w:r>
        <w:rPr>
          <w:i/>
          <w:color w:val="231F20"/>
          <w:w w:val="110"/>
          <w:sz w:val="18"/>
        </w:rPr>
        <w:t>otros</w:t>
      </w:r>
      <w:r>
        <w:rPr>
          <w:i/>
          <w:color w:val="231F20"/>
          <w:spacing w:val="-14"/>
          <w:w w:val="110"/>
          <w:sz w:val="18"/>
        </w:rPr>
        <w:t> </w:t>
      </w:r>
      <w:r>
        <w:rPr>
          <w:i/>
          <w:color w:val="231F20"/>
          <w:w w:val="110"/>
          <w:sz w:val="18"/>
        </w:rPr>
        <w:t>países</w:t>
      </w:r>
      <w:r>
        <w:rPr>
          <w:i/>
          <w:color w:val="231F20"/>
          <w:spacing w:val="-14"/>
          <w:w w:val="110"/>
          <w:sz w:val="18"/>
        </w:rPr>
        <w:t> </w:t>
      </w:r>
      <w:r>
        <w:rPr>
          <w:color w:val="231F20"/>
          <w:w w:val="110"/>
          <w:sz w:val="18"/>
        </w:rPr>
        <w:t>y haremos que se aclare cualquier apoyo que otros vecinos estén dando a las farc. Este comportamiento debe ser expuesto a la condena internacional,    al aislamiento regional, </w:t>
      </w:r>
      <w:r>
        <w:rPr>
          <w:color w:val="231F20"/>
          <w:spacing w:val="-7"/>
          <w:w w:val="110"/>
          <w:sz w:val="18"/>
        </w:rPr>
        <w:t>y, </w:t>
      </w:r>
      <w:r>
        <w:rPr>
          <w:color w:val="231F20"/>
          <w:w w:val="110"/>
          <w:sz w:val="18"/>
        </w:rPr>
        <w:t>si se necesita, a fuertes sanciones. No se puede tolerar</w:t>
      </w:r>
      <w:r>
        <w:rPr>
          <w:color w:val="231F20"/>
          <w:spacing w:val="-23"/>
          <w:w w:val="110"/>
          <w:sz w:val="18"/>
        </w:rPr>
        <w:t> </w:t>
      </w:r>
      <w:r>
        <w:rPr>
          <w:color w:val="231F20"/>
          <w:w w:val="110"/>
          <w:sz w:val="18"/>
        </w:rPr>
        <w:t>(</w:t>
      </w:r>
      <w:r>
        <w:rPr>
          <w:i/>
          <w:color w:val="231F20"/>
          <w:w w:val="110"/>
          <w:sz w:val="18"/>
        </w:rPr>
        <w:t>El</w:t>
      </w:r>
      <w:r>
        <w:rPr>
          <w:i/>
          <w:color w:val="231F20"/>
          <w:spacing w:val="-23"/>
          <w:w w:val="110"/>
          <w:sz w:val="18"/>
        </w:rPr>
        <w:t> </w:t>
      </w:r>
      <w:r>
        <w:rPr>
          <w:i/>
          <w:color w:val="231F20"/>
          <w:w w:val="110"/>
          <w:sz w:val="18"/>
        </w:rPr>
        <w:t>Tiempo</w:t>
      </w:r>
      <w:r>
        <w:rPr>
          <w:color w:val="231F20"/>
          <w:w w:val="110"/>
          <w:sz w:val="18"/>
        </w:rPr>
        <w:t>,</w:t>
      </w:r>
      <w:r>
        <w:rPr>
          <w:color w:val="231F20"/>
          <w:spacing w:val="-23"/>
          <w:w w:val="110"/>
          <w:sz w:val="18"/>
        </w:rPr>
        <w:t> </w:t>
      </w:r>
      <w:r>
        <w:rPr>
          <w:color w:val="231F20"/>
          <w:w w:val="110"/>
          <w:sz w:val="18"/>
        </w:rPr>
        <w:t>2008b).</w:t>
      </w:r>
    </w:p>
    <w:p>
      <w:pPr>
        <w:spacing w:after="0" w:line="290" w:lineRule="auto"/>
        <w:jc w:val="both"/>
        <w:rPr>
          <w:sz w:val="18"/>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433"/>
      </w:pPr>
      <w:r>
        <w:rPr>
          <w:color w:val="231F20"/>
          <w:w w:val="125"/>
        </w:rPr>
        <w:t>a</w:t>
      </w:r>
      <w:r>
        <w:rPr>
          <w:color w:val="231F20"/>
          <w:spacing w:val="-24"/>
          <w:w w:val="125"/>
        </w:rPr>
        <w:t> </w:t>
      </w:r>
      <w:r>
        <w:rPr>
          <w:color w:val="231F20"/>
          <w:w w:val="125"/>
        </w:rPr>
        <w:t>manera</w:t>
      </w:r>
      <w:r>
        <w:rPr>
          <w:color w:val="231F20"/>
          <w:spacing w:val="-24"/>
          <w:w w:val="125"/>
        </w:rPr>
        <w:t> </w:t>
      </w:r>
      <w:r>
        <w:rPr>
          <w:color w:val="231F20"/>
          <w:w w:val="125"/>
        </w:rPr>
        <w:t>de</w:t>
      </w:r>
      <w:r>
        <w:rPr>
          <w:color w:val="231F20"/>
          <w:spacing w:val="-24"/>
          <w:w w:val="125"/>
        </w:rPr>
        <w:t> </w:t>
      </w:r>
      <w:r>
        <w:rPr>
          <w:color w:val="231F20"/>
          <w:w w:val="125"/>
        </w:rPr>
        <w:t>conclusión:</w:t>
      </w:r>
      <w:r>
        <w:rPr>
          <w:color w:val="231F20"/>
          <w:spacing w:val="-24"/>
          <w:w w:val="125"/>
        </w:rPr>
        <w:t> </w:t>
      </w:r>
      <w:r>
        <w:rPr>
          <w:color w:val="231F20"/>
          <w:w w:val="125"/>
        </w:rPr>
        <w:t>“nuevas”</w:t>
      </w:r>
      <w:r>
        <w:rPr>
          <w:color w:val="231F20"/>
          <w:spacing w:val="-24"/>
          <w:w w:val="125"/>
        </w:rPr>
        <w:t> </w:t>
      </w:r>
      <w:r>
        <w:rPr>
          <w:color w:val="231F20"/>
          <w:w w:val="125"/>
        </w:rPr>
        <w:t>agendas</w:t>
      </w:r>
      <w:r>
        <w:rPr>
          <w:color w:val="231F20"/>
          <w:spacing w:val="-24"/>
          <w:w w:val="125"/>
        </w:rPr>
        <w:t> </w:t>
      </w:r>
      <w:r>
        <w:rPr>
          <w:color w:val="231F20"/>
          <w:w w:val="125"/>
        </w:rPr>
        <w:t>para</w:t>
      </w:r>
      <w:r>
        <w:rPr>
          <w:color w:val="231F20"/>
          <w:spacing w:val="-24"/>
          <w:w w:val="125"/>
        </w:rPr>
        <w:t> </w:t>
      </w:r>
      <w:r>
        <w:rPr>
          <w:color w:val="231F20"/>
          <w:w w:val="125"/>
        </w:rPr>
        <w:t>la</w:t>
      </w:r>
      <w:r>
        <w:rPr>
          <w:color w:val="231F20"/>
          <w:spacing w:val="-24"/>
          <w:w w:val="125"/>
        </w:rPr>
        <w:t> </w:t>
      </w:r>
      <w:r>
        <w:rPr>
          <w:color w:val="231F20"/>
          <w:w w:val="125"/>
        </w:rPr>
        <w:t>américa andina en la transición</w:t>
      </w:r>
      <w:r>
        <w:rPr>
          <w:color w:val="231F20"/>
          <w:spacing w:val="40"/>
          <w:w w:val="125"/>
        </w:rPr>
        <w:t> </w:t>
      </w:r>
      <w:r>
        <w:rPr>
          <w:color w:val="231F20"/>
          <w:w w:val="125"/>
        </w:rPr>
        <w:t>republicana-demócrata</w:t>
      </w:r>
    </w:p>
    <w:p>
      <w:pPr>
        <w:pStyle w:val="BodyText"/>
        <w:spacing w:before="8"/>
        <w:rPr>
          <w:sz w:val="21"/>
        </w:rPr>
      </w:pPr>
    </w:p>
    <w:p>
      <w:pPr>
        <w:pStyle w:val="BodyText"/>
        <w:spacing w:line="261" w:lineRule="auto"/>
        <w:ind w:left="100" w:right="117"/>
        <w:jc w:val="both"/>
      </w:pPr>
      <w:r>
        <w:rPr>
          <w:color w:val="231F20"/>
          <w:w w:val="110"/>
        </w:rPr>
        <w:t>Es indudable que el presidente Obama plantea nuevas formas de acercarse</w:t>
      </w:r>
      <w:r>
        <w:rPr>
          <w:color w:val="231F20"/>
          <w:spacing w:val="-9"/>
          <w:w w:val="110"/>
        </w:rPr>
        <w:t> </w:t>
      </w:r>
      <w:r>
        <w:rPr>
          <w:color w:val="231F20"/>
          <w:w w:val="110"/>
        </w:rPr>
        <w:t>a</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debido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coyuntura</w:t>
      </w:r>
      <w:r>
        <w:rPr>
          <w:color w:val="231F20"/>
          <w:spacing w:val="-9"/>
          <w:w w:val="110"/>
        </w:rPr>
        <w:t> </w:t>
      </w:r>
      <w:r>
        <w:rPr>
          <w:color w:val="231F20"/>
          <w:w w:val="110"/>
        </w:rPr>
        <w:t>geopolítica</w:t>
      </w:r>
      <w:r>
        <w:rPr>
          <w:color w:val="231F20"/>
          <w:spacing w:val="-9"/>
          <w:w w:val="110"/>
        </w:rPr>
        <w:t> </w:t>
      </w:r>
      <w:r>
        <w:rPr>
          <w:color w:val="231F20"/>
          <w:w w:val="110"/>
        </w:rPr>
        <w:t>de</w:t>
      </w:r>
      <w:r>
        <w:rPr>
          <w:color w:val="231F20"/>
          <w:spacing w:val="-9"/>
          <w:w w:val="110"/>
        </w:rPr>
        <w:t> </w:t>
      </w:r>
      <w:r>
        <w:rPr>
          <w:color w:val="231F20"/>
          <w:w w:val="110"/>
        </w:rPr>
        <w:t>una región abiertamente antiimperialista, en términos de sus estrategias combinadas de diplomacia y confrontación creciente contra los</w:t>
      </w:r>
      <w:r>
        <w:rPr>
          <w:color w:val="231F20"/>
          <w:spacing w:val="-23"/>
          <w:w w:val="110"/>
        </w:rPr>
        <w:t> </w:t>
      </w:r>
      <w:r>
        <w:rPr>
          <w:color w:val="231F20"/>
          <w:w w:val="110"/>
        </w:rPr>
        <w:t>regí- menes más hostiles hacia el proyecto de dominación estadunidense, como</w:t>
      </w:r>
      <w:r>
        <w:rPr>
          <w:color w:val="231F20"/>
          <w:spacing w:val="-14"/>
          <w:w w:val="110"/>
        </w:rPr>
        <w:t> </w:t>
      </w:r>
      <w:r>
        <w:rPr>
          <w:color w:val="231F20"/>
          <w:w w:val="110"/>
        </w:rPr>
        <w:t>Cuba</w:t>
      </w:r>
      <w:r>
        <w:rPr>
          <w:color w:val="231F20"/>
          <w:spacing w:val="-14"/>
          <w:w w:val="110"/>
        </w:rPr>
        <w:t> </w:t>
      </w:r>
      <w:r>
        <w:rPr>
          <w:color w:val="231F20"/>
          <w:w w:val="110"/>
        </w:rPr>
        <w:t>y</w:t>
      </w:r>
      <w:r>
        <w:rPr>
          <w:color w:val="231F20"/>
          <w:spacing w:val="-14"/>
          <w:w w:val="110"/>
        </w:rPr>
        <w:t> </w:t>
      </w:r>
      <w:r>
        <w:rPr>
          <w:color w:val="231F20"/>
          <w:w w:val="110"/>
        </w:rPr>
        <w:t>Venezuela.</w:t>
      </w:r>
      <w:r>
        <w:rPr>
          <w:color w:val="231F20"/>
          <w:spacing w:val="-14"/>
          <w:w w:val="110"/>
        </w:rPr>
        <w:t> </w:t>
      </w:r>
      <w:r>
        <w:rPr>
          <w:color w:val="231F20"/>
          <w:w w:val="110"/>
        </w:rPr>
        <w:t>Por</w:t>
      </w:r>
      <w:r>
        <w:rPr>
          <w:color w:val="231F20"/>
          <w:spacing w:val="-14"/>
          <w:w w:val="110"/>
        </w:rPr>
        <w:t> </w:t>
      </w:r>
      <w:r>
        <w:rPr>
          <w:color w:val="231F20"/>
          <w:w w:val="110"/>
        </w:rPr>
        <w:t>una</w:t>
      </w:r>
      <w:r>
        <w:rPr>
          <w:color w:val="231F20"/>
          <w:spacing w:val="-14"/>
          <w:w w:val="110"/>
        </w:rPr>
        <w:t> </w:t>
      </w:r>
      <w:r>
        <w:rPr>
          <w:color w:val="231F20"/>
          <w:w w:val="110"/>
        </w:rPr>
        <w:t>parte,</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plantea</w:t>
      </w:r>
      <w:r>
        <w:rPr>
          <w:color w:val="231F20"/>
          <w:spacing w:val="-14"/>
          <w:w w:val="110"/>
        </w:rPr>
        <w:t> </w:t>
      </w:r>
      <w:r>
        <w:rPr>
          <w:color w:val="231F20"/>
          <w:w w:val="110"/>
        </w:rPr>
        <w:t>abor- dar el problema de las migraciones con Cuba y le ofrece venta de energía a Venezuela; vendiendo una nueva “diplomacia por la liber- tad”, que combine presión e inteligencia, busca por ejemplo relajar las relaciones de restricción que tienen los estadunidenses-cubanos para</w:t>
      </w:r>
      <w:r>
        <w:rPr>
          <w:color w:val="231F20"/>
          <w:spacing w:val="-12"/>
          <w:w w:val="110"/>
        </w:rPr>
        <w:t> </w:t>
      </w:r>
      <w:r>
        <w:rPr>
          <w:color w:val="231F20"/>
          <w:w w:val="110"/>
        </w:rPr>
        <w:t>visitar</w:t>
      </w:r>
      <w:r>
        <w:rPr>
          <w:color w:val="231F20"/>
          <w:spacing w:val="-12"/>
          <w:w w:val="110"/>
        </w:rPr>
        <w:t> </w:t>
      </w:r>
      <w:r>
        <w:rPr>
          <w:color w:val="231F20"/>
          <w:w w:val="110"/>
        </w:rPr>
        <w:t>y</w:t>
      </w:r>
      <w:r>
        <w:rPr>
          <w:color w:val="231F20"/>
          <w:spacing w:val="-12"/>
          <w:w w:val="110"/>
        </w:rPr>
        <w:t> </w:t>
      </w:r>
      <w:r>
        <w:rPr>
          <w:color w:val="231F20"/>
          <w:w w:val="110"/>
        </w:rPr>
        <w:t>enviar</w:t>
      </w:r>
      <w:r>
        <w:rPr>
          <w:color w:val="231F20"/>
          <w:spacing w:val="-12"/>
          <w:w w:val="110"/>
        </w:rPr>
        <w:t> </w:t>
      </w:r>
      <w:r>
        <w:rPr>
          <w:color w:val="231F20"/>
          <w:w w:val="110"/>
        </w:rPr>
        <w:t>remesas</w:t>
      </w:r>
      <w:r>
        <w:rPr>
          <w:color w:val="231F20"/>
          <w:spacing w:val="-12"/>
          <w:w w:val="110"/>
        </w:rPr>
        <w:t> </w:t>
      </w:r>
      <w:r>
        <w:rPr>
          <w:color w:val="231F20"/>
          <w:w w:val="110"/>
        </w:rPr>
        <w:t>a</w:t>
      </w:r>
      <w:r>
        <w:rPr>
          <w:color w:val="231F20"/>
          <w:spacing w:val="-12"/>
          <w:w w:val="110"/>
        </w:rPr>
        <w:t> </w:t>
      </w:r>
      <w:r>
        <w:rPr>
          <w:color w:val="231F20"/>
          <w:w w:val="110"/>
        </w:rPr>
        <w:t>sus</w:t>
      </w:r>
      <w:r>
        <w:rPr>
          <w:color w:val="231F20"/>
          <w:spacing w:val="-12"/>
          <w:w w:val="110"/>
        </w:rPr>
        <w:t> </w:t>
      </w:r>
      <w:r>
        <w:rPr>
          <w:color w:val="231F20"/>
          <w:w w:val="110"/>
        </w:rPr>
        <w:t>familias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isla,</w:t>
      </w:r>
      <w:r>
        <w:rPr>
          <w:color w:val="231F20"/>
          <w:spacing w:val="-12"/>
          <w:w w:val="110"/>
        </w:rPr>
        <w:t> </w:t>
      </w:r>
      <w:r>
        <w:rPr>
          <w:color w:val="231F20"/>
          <w:w w:val="110"/>
        </w:rPr>
        <w:t>para</w:t>
      </w:r>
      <w:r>
        <w:rPr>
          <w:color w:val="231F20"/>
          <w:spacing w:val="-12"/>
          <w:w w:val="110"/>
        </w:rPr>
        <w:t> </w:t>
      </w:r>
      <w:r>
        <w:rPr>
          <w:color w:val="231F20"/>
          <w:w w:val="110"/>
        </w:rPr>
        <w:t>fortalecer</w:t>
      </w:r>
      <w:r>
        <w:rPr>
          <w:color w:val="231F20"/>
          <w:spacing w:val="-12"/>
          <w:w w:val="110"/>
        </w:rPr>
        <w:t> </w:t>
      </w:r>
      <w:r>
        <w:rPr>
          <w:color w:val="231F20"/>
          <w:w w:val="110"/>
        </w:rPr>
        <w:t>a sus</w:t>
      </w:r>
      <w:r>
        <w:rPr>
          <w:color w:val="231F20"/>
          <w:spacing w:val="-13"/>
          <w:w w:val="110"/>
        </w:rPr>
        <w:t> </w:t>
      </w:r>
      <w:r>
        <w:rPr>
          <w:color w:val="231F20"/>
          <w:w w:val="110"/>
        </w:rPr>
        <w:t>familiares</w:t>
      </w:r>
      <w:r>
        <w:rPr>
          <w:color w:val="231F20"/>
          <w:spacing w:val="-13"/>
          <w:w w:val="110"/>
        </w:rPr>
        <w:t> </w:t>
      </w:r>
      <w:r>
        <w:rPr>
          <w:color w:val="231F20"/>
          <w:w w:val="110"/>
        </w:rPr>
        <w:t>en</w:t>
      </w:r>
      <w:r>
        <w:rPr>
          <w:color w:val="231F20"/>
          <w:spacing w:val="-13"/>
          <w:w w:val="110"/>
        </w:rPr>
        <w:t> </w:t>
      </w:r>
      <w:r>
        <w:rPr>
          <w:color w:val="231F20"/>
          <w:w w:val="110"/>
        </w:rPr>
        <w:t>Cuba</w:t>
      </w:r>
      <w:r>
        <w:rPr>
          <w:color w:val="231F20"/>
          <w:spacing w:val="-13"/>
          <w:w w:val="110"/>
        </w:rPr>
        <w:t> </w:t>
      </w:r>
      <w:r>
        <w:rPr>
          <w:color w:val="231F20"/>
          <w:w w:val="110"/>
        </w:rPr>
        <w:t>y</w:t>
      </w:r>
      <w:r>
        <w:rPr>
          <w:color w:val="231F20"/>
          <w:spacing w:val="-13"/>
          <w:w w:val="110"/>
        </w:rPr>
        <w:t> </w:t>
      </w:r>
      <w:r>
        <w:rPr>
          <w:color w:val="231F20"/>
          <w:w w:val="110"/>
        </w:rPr>
        <w:t>así</w:t>
      </w:r>
      <w:r>
        <w:rPr>
          <w:color w:val="231F20"/>
          <w:spacing w:val="-13"/>
          <w:w w:val="110"/>
        </w:rPr>
        <w:t> </w:t>
      </w:r>
      <w:r>
        <w:rPr>
          <w:color w:val="231F20"/>
          <w:w w:val="110"/>
        </w:rPr>
        <w:t>tornarlos</w:t>
      </w:r>
      <w:r>
        <w:rPr>
          <w:color w:val="231F20"/>
          <w:spacing w:val="-13"/>
          <w:w w:val="110"/>
        </w:rPr>
        <w:t> </w:t>
      </w:r>
      <w:r>
        <w:rPr>
          <w:color w:val="231F20"/>
          <w:w w:val="110"/>
        </w:rPr>
        <w:t>menos</w:t>
      </w:r>
      <w:r>
        <w:rPr>
          <w:color w:val="231F20"/>
          <w:spacing w:val="-13"/>
          <w:w w:val="110"/>
        </w:rPr>
        <w:t> </w:t>
      </w:r>
      <w:r>
        <w:rPr>
          <w:color w:val="231F20"/>
          <w:w w:val="110"/>
        </w:rPr>
        <w:t>dependientes</w:t>
      </w:r>
      <w:r>
        <w:rPr>
          <w:color w:val="231F20"/>
          <w:spacing w:val="-13"/>
          <w:w w:val="110"/>
        </w:rPr>
        <w:t> </w:t>
      </w:r>
      <w:r>
        <w:rPr>
          <w:color w:val="231F20"/>
          <w:w w:val="110"/>
        </w:rPr>
        <w:t>al</w:t>
      </w:r>
      <w:r>
        <w:rPr>
          <w:color w:val="231F20"/>
          <w:spacing w:val="-13"/>
          <w:w w:val="110"/>
        </w:rPr>
        <w:t> </w:t>
      </w:r>
      <w:r>
        <w:rPr>
          <w:color w:val="231F20"/>
          <w:w w:val="110"/>
        </w:rPr>
        <w:t>régimen de Castro (Wills, 2008). </w:t>
      </w:r>
      <w:r>
        <w:rPr>
          <w:color w:val="231F20"/>
          <w:spacing w:val="-3"/>
          <w:w w:val="110"/>
        </w:rPr>
        <w:t>También </w:t>
      </w:r>
      <w:r>
        <w:rPr>
          <w:color w:val="231F20"/>
          <w:w w:val="110"/>
        </w:rPr>
        <w:t>ha afirmado ante el horror de los republicanos</w:t>
      </w:r>
      <w:r>
        <w:rPr>
          <w:color w:val="231F20"/>
          <w:spacing w:val="-20"/>
          <w:w w:val="110"/>
        </w:rPr>
        <w:t> </w:t>
      </w:r>
      <w:r>
        <w:rPr>
          <w:color w:val="231F20"/>
          <w:w w:val="110"/>
        </w:rPr>
        <w:t>visitar</w:t>
      </w:r>
      <w:r>
        <w:rPr>
          <w:color w:val="231F20"/>
          <w:spacing w:val="-20"/>
          <w:w w:val="110"/>
        </w:rPr>
        <w:t> </w:t>
      </w:r>
      <w:r>
        <w:rPr>
          <w:color w:val="231F20"/>
          <w:w w:val="110"/>
        </w:rPr>
        <w:t>a</w:t>
      </w:r>
      <w:r>
        <w:rPr>
          <w:color w:val="231F20"/>
          <w:spacing w:val="-20"/>
          <w:w w:val="110"/>
        </w:rPr>
        <w:t> </w:t>
      </w:r>
      <w:r>
        <w:rPr>
          <w:color w:val="231F20"/>
          <w:w w:val="110"/>
        </w:rPr>
        <w:t>Raúl</w:t>
      </w:r>
      <w:r>
        <w:rPr>
          <w:color w:val="231F20"/>
          <w:spacing w:val="-20"/>
          <w:w w:val="110"/>
        </w:rPr>
        <w:t> </w:t>
      </w:r>
      <w:r>
        <w:rPr>
          <w:color w:val="231F20"/>
          <w:w w:val="110"/>
        </w:rPr>
        <w:t>Castro</w:t>
      </w:r>
      <w:r>
        <w:rPr>
          <w:color w:val="231F20"/>
          <w:spacing w:val="-20"/>
          <w:w w:val="110"/>
        </w:rPr>
        <w:t> </w:t>
      </w:r>
      <w:r>
        <w:rPr>
          <w:color w:val="231F20"/>
          <w:w w:val="110"/>
        </w:rPr>
        <w:t>sin</w:t>
      </w:r>
      <w:r>
        <w:rPr>
          <w:color w:val="231F20"/>
          <w:spacing w:val="-20"/>
          <w:w w:val="110"/>
        </w:rPr>
        <w:t> </w:t>
      </w:r>
      <w:r>
        <w:rPr>
          <w:color w:val="231F20"/>
          <w:w w:val="110"/>
        </w:rPr>
        <w:t>condiciones</w:t>
      </w:r>
      <w:r>
        <w:rPr>
          <w:color w:val="231F20"/>
          <w:spacing w:val="-20"/>
          <w:w w:val="110"/>
        </w:rPr>
        <w:t> </w:t>
      </w:r>
      <w:r>
        <w:rPr>
          <w:color w:val="231F20"/>
          <w:w w:val="110"/>
        </w:rPr>
        <w:t>previas.</w:t>
      </w:r>
      <w:r>
        <w:rPr>
          <w:color w:val="231F20"/>
          <w:spacing w:val="-20"/>
          <w:w w:val="110"/>
        </w:rPr>
        <w:t> </w:t>
      </w:r>
      <w:r>
        <w:rPr>
          <w:color w:val="231F20"/>
          <w:w w:val="110"/>
        </w:rPr>
        <w:t>Sin</w:t>
      </w:r>
      <w:r>
        <w:rPr>
          <w:color w:val="231F20"/>
          <w:spacing w:val="-20"/>
          <w:w w:val="110"/>
        </w:rPr>
        <w:t> </w:t>
      </w:r>
      <w:r>
        <w:rPr>
          <w:color w:val="231F20"/>
          <w:w w:val="110"/>
        </w:rPr>
        <w:t>embar- go</w:t>
      </w:r>
      <w:r>
        <w:rPr>
          <w:color w:val="231F20"/>
          <w:spacing w:val="-11"/>
          <w:w w:val="110"/>
        </w:rPr>
        <w:t> </w:t>
      </w:r>
      <w:r>
        <w:rPr>
          <w:color w:val="231F20"/>
          <w:w w:val="110"/>
        </w:rPr>
        <w:t>a</w:t>
      </w:r>
      <w:r>
        <w:rPr>
          <w:color w:val="231F20"/>
          <w:spacing w:val="-11"/>
          <w:w w:val="110"/>
        </w:rPr>
        <w:t> </w:t>
      </w:r>
      <w:r>
        <w:rPr>
          <w:color w:val="231F20"/>
          <w:w w:val="110"/>
        </w:rPr>
        <w:t>pesar</w:t>
      </w:r>
      <w:r>
        <w:rPr>
          <w:color w:val="231F20"/>
          <w:spacing w:val="-11"/>
          <w:w w:val="110"/>
        </w:rPr>
        <w:t> </w:t>
      </w:r>
      <w:r>
        <w:rPr>
          <w:color w:val="231F20"/>
          <w:w w:val="110"/>
        </w:rPr>
        <w:t>de</w:t>
      </w:r>
      <w:r>
        <w:rPr>
          <w:color w:val="231F20"/>
          <w:spacing w:val="-11"/>
          <w:w w:val="110"/>
        </w:rPr>
        <w:t> </w:t>
      </w:r>
      <w:r>
        <w:rPr>
          <w:color w:val="231F20"/>
          <w:w w:val="110"/>
        </w:rPr>
        <w:t>sus</w:t>
      </w:r>
      <w:r>
        <w:rPr>
          <w:color w:val="231F20"/>
          <w:spacing w:val="-11"/>
          <w:w w:val="110"/>
        </w:rPr>
        <w:t> </w:t>
      </w:r>
      <w:r>
        <w:rPr>
          <w:color w:val="231F20"/>
          <w:w w:val="110"/>
        </w:rPr>
        <w:t>enormes</w:t>
      </w:r>
      <w:r>
        <w:rPr>
          <w:color w:val="231F20"/>
          <w:spacing w:val="-11"/>
          <w:w w:val="110"/>
        </w:rPr>
        <w:t> </w:t>
      </w:r>
      <w:r>
        <w:rPr>
          <w:color w:val="231F20"/>
          <w:w w:val="110"/>
        </w:rPr>
        <w:t>diferencias</w:t>
      </w:r>
      <w:r>
        <w:rPr>
          <w:color w:val="231F20"/>
          <w:spacing w:val="-11"/>
          <w:w w:val="110"/>
        </w:rPr>
        <w:t> </w:t>
      </w:r>
      <w:r>
        <w:rPr>
          <w:color w:val="231F20"/>
          <w:w w:val="110"/>
        </w:rPr>
        <w:t>con</w:t>
      </w:r>
      <w:r>
        <w:rPr>
          <w:color w:val="231F20"/>
          <w:spacing w:val="-11"/>
          <w:w w:val="110"/>
        </w:rPr>
        <w:t> </w:t>
      </w:r>
      <w:r>
        <w:rPr>
          <w:color w:val="231F20"/>
          <w:w w:val="110"/>
        </w:rPr>
        <w:t>su</w:t>
      </w:r>
      <w:r>
        <w:rPr>
          <w:color w:val="231F20"/>
          <w:spacing w:val="-11"/>
          <w:w w:val="110"/>
        </w:rPr>
        <w:t> </w:t>
      </w:r>
      <w:r>
        <w:rPr>
          <w:color w:val="231F20"/>
          <w:w w:val="110"/>
        </w:rPr>
        <w:t>adversario</w:t>
      </w:r>
      <w:r>
        <w:rPr>
          <w:color w:val="231F20"/>
          <w:spacing w:val="-11"/>
          <w:w w:val="110"/>
        </w:rPr>
        <w:t> </w:t>
      </w:r>
      <w:r>
        <w:rPr>
          <w:color w:val="231F20"/>
          <w:w w:val="110"/>
        </w:rPr>
        <w:t>McCain,</w:t>
      </w:r>
      <w:r>
        <w:rPr>
          <w:color w:val="231F20"/>
          <w:spacing w:val="-11"/>
          <w:w w:val="110"/>
        </w:rPr>
        <w:t> </w:t>
      </w:r>
      <w:r>
        <w:rPr>
          <w:color w:val="231F20"/>
          <w:w w:val="110"/>
        </w:rPr>
        <w:t>hoy su estrecho colaborador, ambos comparten la idea de mantener el embargo</w:t>
      </w:r>
      <w:r>
        <w:rPr>
          <w:color w:val="231F20"/>
          <w:spacing w:val="-6"/>
          <w:w w:val="110"/>
        </w:rPr>
        <w:t> </w:t>
      </w:r>
      <w:r>
        <w:rPr>
          <w:color w:val="231F20"/>
          <w:w w:val="110"/>
        </w:rPr>
        <w:t>comercial</w:t>
      </w:r>
      <w:r>
        <w:rPr>
          <w:color w:val="231F20"/>
          <w:spacing w:val="-6"/>
          <w:w w:val="110"/>
        </w:rPr>
        <w:t> </w:t>
      </w:r>
      <w:r>
        <w:rPr>
          <w:color w:val="231F20"/>
          <w:w w:val="110"/>
        </w:rPr>
        <w:t>para</w:t>
      </w:r>
      <w:r>
        <w:rPr>
          <w:color w:val="231F20"/>
          <w:spacing w:val="-6"/>
          <w:w w:val="110"/>
        </w:rPr>
        <w:t> </w:t>
      </w:r>
      <w:r>
        <w:rPr>
          <w:color w:val="231F20"/>
          <w:w w:val="110"/>
        </w:rPr>
        <w:t>forzar</w:t>
      </w:r>
      <w:r>
        <w:rPr>
          <w:color w:val="231F20"/>
          <w:spacing w:val="-6"/>
          <w:w w:val="110"/>
        </w:rPr>
        <w:t> </w:t>
      </w:r>
      <w:r>
        <w:rPr>
          <w:color w:val="231F20"/>
          <w:w w:val="110"/>
        </w:rPr>
        <w:t>“un</w:t>
      </w:r>
      <w:r>
        <w:rPr>
          <w:color w:val="231F20"/>
          <w:spacing w:val="-6"/>
          <w:w w:val="110"/>
        </w:rPr>
        <w:t> </w:t>
      </w:r>
      <w:r>
        <w:rPr>
          <w:color w:val="231F20"/>
          <w:w w:val="110"/>
        </w:rPr>
        <w:t>cambio</w:t>
      </w:r>
      <w:r>
        <w:rPr>
          <w:color w:val="231F20"/>
          <w:spacing w:val="-6"/>
          <w:w w:val="110"/>
        </w:rPr>
        <w:t> </w:t>
      </w:r>
      <w:r>
        <w:rPr>
          <w:color w:val="231F20"/>
          <w:w w:val="110"/>
        </w:rPr>
        <w:t>democrático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nación comunista”</w:t>
      </w:r>
      <w:r>
        <w:rPr>
          <w:color w:val="231F20"/>
          <w:spacing w:val="-25"/>
          <w:w w:val="110"/>
        </w:rPr>
        <w:t> </w:t>
      </w:r>
      <w:r>
        <w:rPr>
          <w:color w:val="231F20"/>
          <w:w w:val="110"/>
        </w:rPr>
        <w:t>(Wills,</w:t>
      </w:r>
      <w:r>
        <w:rPr>
          <w:color w:val="231F20"/>
          <w:spacing w:val="-9"/>
          <w:w w:val="110"/>
        </w:rPr>
        <w:t> </w:t>
      </w:r>
      <w:r>
        <w:rPr>
          <w:color w:val="231F20"/>
          <w:w w:val="110"/>
        </w:rPr>
        <w:t>2008),</w:t>
      </w:r>
      <w:r>
        <w:rPr>
          <w:color w:val="231F20"/>
          <w:spacing w:val="-9"/>
          <w:w w:val="110"/>
        </w:rPr>
        <w:t> </w:t>
      </w:r>
      <w:r>
        <w:rPr>
          <w:color w:val="231F20"/>
          <w:w w:val="110"/>
        </w:rPr>
        <w:t>es</w:t>
      </w:r>
      <w:r>
        <w:rPr>
          <w:color w:val="231F20"/>
          <w:spacing w:val="-9"/>
          <w:w w:val="110"/>
        </w:rPr>
        <w:t> </w:t>
      </w:r>
      <w:r>
        <w:rPr>
          <w:color w:val="231F20"/>
          <w:spacing w:val="-3"/>
          <w:w w:val="110"/>
        </w:rPr>
        <w:t>decir,</w:t>
      </w:r>
      <w:r>
        <w:rPr>
          <w:color w:val="231F20"/>
          <w:spacing w:val="-9"/>
          <w:w w:val="110"/>
        </w:rPr>
        <w:t> </w:t>
      </w:r>
      <w:r>
        <w:rPr>
          <w:color w:val="231F20"/>
          <w:w w:val="110"/>
        </w:rPr>
        <w:t>un</w:t>
      </w:r>
      <w:r>
        <w:rPr>
          <w:color w:val="231F20"/>
          <w:spacing w:val="-9"/>
          <w:w w:val="110"/>
        </w:rPr>
        <w:t> </w:t>
      </w:r>
      <w:r>
        <w:rPr>
          <w:color w:val="231F20"/>
          <w:w w:val="110"/>
        </w:rPr>
        <w:t>cambio</w:t>
      </w:r>
      <w:r>
        <w:rPr>
          <w:color w:val="231F20"/>
          <w:spacing w:val="-9"/>
          <w:w w:val="110"/>
        </w:rPr>
        <w:t> </w:t>
      </w:r>
      <w:r>
        <w:rPr>
          <w:color w:val="231F20"/>
          <w:w w:val="110"/>
        </w:rPr>
        <w:t>de</w:t>
      </w:r>
      <w:r>
        <w:rPr>
          <w:color w:val="231F20"/>
          <w:spacing w:val="-9"/>
          <w:w w:val="110"/>
        </w:rPr>
        <w:t> </w:t>
      </w:r>
      <w:r>
        <w:rPr>
          <w:color w:val="231F20"/>
          <w:w w:val="110"/>
        </w:rPr>
        <w:t>su</w:t>
      </w:r>
      <w:r>
        <w:rPr>
          <w:color w:val="231F20"/>
          <w:spacing w:val="-9"/>
          <w:w w:val="110"/>
        </w:rPr>
        <w:t> </w:t>
      </w:r>
      <w:r>
        <w:rPr>
          <w:color w:val="231F20"/>
          <w:w w:val="110"/>
        </w:rPr>
        <w:t>régimen</w:t>
      </w:r>
      <w:r>
        <w:rPr>
          <w:color w:val="231F20"/>
          <w:spacing w:val="-9"/>
          <w:w w:val="110"/>
        </w:rPr>
        <w:t> </w:t>
      </w:r>
      <w:r>
        <w:rPr>
          <w:color w:val="231F20"/>
          <w:w w:val="110"/>
        </w:rPr>
        <w:t>político. Para Estados Unidos es claro el papel del gobierno de Castro en tér- minos de la defensa indeclinable de su soberanía e independencia,  lo cual lo convierte en un referente para los gobiernos de la región, por lo que intenta desde hace más de cincuenta años, despresti- giarlo. Si bien Obama acusa a Bush de haber permitido generar un gran vacío en America Latina, ocupado por el antiamericanismo del presidente Chávez, ni siquiera se cuestiona las causas históricas de ese antiamericanismo mundial y de sus conflictos derivados de una relación desigual y dependiente de más de un </w:t>
      </w:r>
      <w:r>
        <w:rPr>
          <w:color w:val="231F20"/>
          <w:spacing w:val="18"/>
          <w:w w:val="110"/>
        </w:rPr>
        <w:t> </w:t>
      </w:r>
      <w:r>
        <w:rPr>
          <w:color w:val="231F20"/>
          <w:w w:val="110"/>
        </w:rPr>
        <w:t>siglo.</w:t>
      </w:r>
    </w:p>
    <w:p>
      <w:pPr>
        <w:pStyle w:val="BodyText"/>
        <w:spacing w:line="261" w:lineRule="auto"/>
        <w:ind w:left="100" w:right="117" w:firstLine="240"/>
        <w:jc w:val="both"/>
      </w:pPr>
      <w:r>
        <w:rPr>
          <w:color w:val="231F20"/>
          <w:w w:val="110"/>
        </w:rPr>
        <w:t>Como</w:t>
      </w:r>
      <w:r>
        <w:rPr>
          <w:color w:val="231F20"/>
          <w:spacing w:val="-18"/>
          <w:w w:val="110"/>
        </w:rPr>
        <w:t> </w:t>
      </w:r>
      <w:r>
        <w:rPr>
          <w:color w:val="231F20"/>
          <w:w w:val="110"/>
        </w:rPr>
        <w:t>hemos</w:t>
      </w:r>
      <w:r>
        <w:rPr>
          <w:color w:val="231F20"/>
          <w:spacing w:val="-18"/>
          <w:w w:val="110"/>
        </w:rPr>
        <w:t> </w:t>
      </w:r>
      <w:r>
        <w:rPr>
          <w:color w:val="231F20"/>
          <w:w w:val="110"/>
        </w:rPr>
        <w:t>visto,</w:t>
      </w:r>
      <w:r>
        <w:rPr>
          <w:color w:val="231F20"/>
          <w:spacing w:val="-18"/>
          <w:w w:val="110"/>
        </w:rPr>
        <w:t> </w:t>
      </w:r>
      <w:r>
        <w:rPr>
          <w:color w:val="231F20"/>
          <w:w w:val="110"/>
        </w:rPr>
        <w:t>no</w:t>
      </w:r>
      <w:r>
        <w:rPr>
          <w:color w:val="231F20"/>
          <w:spacing w:val="-18"/>
          <w:w w:val="110"/>
        </w:rPr>
        <w:t> </w:t>
      </w:r>
      <w:r>
        <w:rPr>
          <w:color w:val="231F20"/>
          <w:w w:val="110"/>
        </w:rPr>
        <w:t>hay</w:t>
      </w:r>
      <w:r>
        <w:rPr>
          <w:color w:val="231F20"/>
          <w:spacing w:val="-18"/>
          <w:w w:val="110"/>
        </w:rPr>
        <w:t> </w:t>
      </w:r>
      <w:r>
        <w:rPr>
          <w:color w:val="231F20"/>
          <w:w w:val="110"/>
        </w:rPr>
        <w:t>distancias</w:t>
      </w:r>
      <w:r>
        <w:rPr>
          <w:color w:val="231F20"/>
          <w:spacing w:val="-18"/>
          <w:w w:val="110"/>
        </w:rPr>
        <w:t> </w:t>
      </w:r>
      <w:r>
        <w:rPr>
          <w:color w:val="231F20"/>
          <w:w w:val="110"/>
        </w:rPr>
        <w:t>ni</w:t>
      </w:r>
      <w:r>
        <w:rPr>
          <w:color w:val="231F20"/>
          <w:spacing w:val="-18"/>
          <w:w w:val="110"/>
        </w:rPr>
        <w:t> </w:t>
      </w:r>
      <w:r>
        <w:rPr>
          <w:color w:val="231F20"/>
          <w:w w:val="110"/>
        </w:rPr>
        <w:t>desacuerdos</w:t>
      </w:r>
      <w:r>
        <w:rPr>
          <w:color w:val="231F20"/>
          <w:spacing w:val="-18"/>
          <w:w w:val="110"/>
        </w:rPr>
        <w:t> </w:t>
      </w:r>
      <w:r>
        <w:rPr>
          <w:color w:val="231F20"/>
          <w:w w:val="110"/>
        </w:rPr>
        <w:t>notables</w:t>
      </w:r>
      <w:r>
        <w:rPr>
          <w:color w:val="231F20"/>
          <w:spacing w:val="-18"/>
          <w:w w:val="110"/>
        </w:rPr>
        <w:t> </w:t>
      </w:r>
      <w:r>
        <w:rPr>
          <w:color w:val="231F20"/>
          <w:w w:val="110"/>
        </w:rPr>
        <w:t>entre los</w:t>
      </w:r>
      <w:r>
        <w:rPr>
          <w:color w:val="231F20"/>
          <w:spacing w:val="-12"/>
          <w:w w:val="110"/>
        </w:rPr>
        <w:t> </w:t>
      </w:r>
      <w:r>
        <w:rPr>
          <w:color w:val="231F20"/>
          <w:w w:val="110"/>
        </w:rPr>
        <w:t>proyectos</w:t>
      </w:r>
      <w:r>
        <w:rPr>
          <w:color w:val="231F20"/>
          <w:spacing w:val="-12"/>
          <w:w w:val="110"/>
        </w:rPr>
        <w:t> </w:t>
      </w:r>
      <w:r>
        <w:rPr>
          <w:color w:val="231F20"/>
          <w:w w:val="110"/>
        </w:rPr>
        <w:t>políticos</w:t>
      </w:r>
      <w:r>
        <w:rPr>
          <w:color w:val="231F20"/>
          <w:spacing w:val="-12"/>
          <w:w w:val="110"/>
        </w:rPr>
        <w:t> </w:t>
      </w:r>
      <w:r>
        <w:rPr>
          <w:color w:val="231F20"/>
          <w:w w:val="110"/>
        </w:rPr>
        <w:t>demócratas</w:t>
      </w:r>
      <w:r>
        <w:rPr>
          <w:color w:val="231F20"/>
          <w:spacing w:val="-12"/>
          <w:w w:val="110"/>
        </w:rPr>
        <w:t> </w:t>
      </w:r>
      <w:r>
        <w:rPr>
          <w:color w:val="231F20"/>
          <w:w w:val="110"/>
        </w:rPr>
        <w:t>y</w:t>
      </w:r>
      <w:r>
        <w:rPr>
          <w:color w:val="231F20"/>
          <w:spacing w:val="-12"/>
          <w:w w:val="110"/>
        </w:rPr>
        <w:t> </w:t>
      </w:r>
      <w:r>
        <w:rPr>
          <w:color w:val="231F20"/>
          <w:w w:val="110"/>
        </w:rPr>
        <w:t>republicanos</w:t>
      </w:r>
      <w:r>
        <w:rPr>
          <w:color w:val="231F20"/>
          <w:spacing w:val="-12"/>
          <w:w w:val="110"/>
        </w:rPr>
        <w:t> </w:t>
      </w:r>
      <w:r>
        <w:rPr>
          <w:color w:val="231F20"/>
          <w:w w:val="110"/>
        </w:rPr>
        <w:t>en</w:t>
      </w:r>
      <w:r>
        <w:rPr>
          <w:color w:val="231F20"/>
          <w:spacing w:val="-12"/>
          <w:w w:val="110"/>
        </w:rPr>
        <w:t> </w:t>
      </w:r>
      <w:r>
        <w:rPr>
          <w:color w:val="231F20"/>
          <w:w w:val="110"/>
        </w:rPr>
        <w:t>lo</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refiere a América Latina (Tokatlian, 2008). </w:t>
      </w:r>
      <w:r>
        <w:rPr>
          <w:color w:val="231F20"/>
          <w:spacing w:val="-4"/>
          <w:w w:val="110"/>
        </w:rPr>
        <w:t>Tanto </w:t>
      </w:r>
      <w:r>
        <w:rPr>
          <w:color w:val="231F20"/>
          <w:w w:val="110"/>
        </w:rPr>
        <w:t>Obama como McCain, estaban</w:t>
      </w:r>
      <w:r>
        <w:rPr>
          <w:color w:val="231F20"/>
          <w:spacing w:val="-4"/>
          <w:w w:val="110"/>
        </w:rPr>
        <w:t> </w:t>
      </w:r>
      <w:r>
        <w:rPr>
          <w:color w:val="231F20"/>
          <w:w w:val="110"/>
        </w:rPr>
        <w:t>dispuestos</w:t>
      </w:r>
      <w:r>
        <w:rPr>
          <w:color w:val="231F20"/>
          <w:spacing w:val="-4"/>
          <w:w w:val="110"/>
        </w:rPr>
        <w:t> </w:t>
      </w:r>
      <w:r>
        <w:rPr>
          <w:color w:val="231F20"/>
          <w:w w:val="110"/>
        </w:rPr>
        <w:t>a</w:t>
      </w:r>
      <w:r>
        <w:rPr>
          <w:color w:val="231F20"/>
          <w:spacing w:val="-4"/>
          <w:w w:val="110"/>
        </w:rPr>
        <w:t> </w:t>
      </w:r>
      <w:r>
        <w:rPr>
          <w:color w:val="231F20"/>
          <w:w w:val="110"/>
        </w:rPr>
        <w:t>continuar</w:t>
      </w:r>
      <w:r>
        <w:rPr>
          <w:color w:val="231F20"/>
          <w:spacing w:val="-4"/>
          <w:w w:val="110"/>
        </w:rPr>
        <w:t> </w:t>
      </w:r>
      <w:r>
        <w:rPr>
          <w:color w:val="231F20"/>
          <w:w w:val="110"/>
        </w:rPr>
        <w:t>las</w:t>
      </w:r>
      <w:r>
        <w:rPr>
          <w:color w:val="231F20"/>
          <w:spacing w:val="-4"/>
          <w:w w:val="110"/>
        </w:rPr>
        <w:t> </w:t>
      </w:r>
      <w:r>
        <w:rPr>
          <w:color w:val="231F20"/>
          <w:w w:val="110"/>
        </w:rPr>
        <w:t>políticas</w:t>
      </w:r>
      <w:r>
        <w:rPr>
          <w:color w:val="231F20"/>
          <w:spacing w:val="-4"/>
          <w:w w:val="110"/>
        </w:rPr>
        <w:t> </w:t>
      </w:r>
      <w:r>
        <w:rPr>
          <w:color w:val="231F20"/>
          <w:w w:val="110"/>
        </w:rPr>
        <w:t>de</w:t>
      </w:r>
      <w:r>
        <w:rPr>
          <w:color w:val="231F20"/>
          <w:spacing w:val="-4"/>
          <w:w w:val="110"/>
        </w:rPr>
        <w:t> </w:t>
      </w:r>
      <w:r>
        <w:rPr>
          <w:color w:val="231F20"/>
          <w:w w:val="110"/>
        </w:rPr>
        <w:t>guerra</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expandir</w:t>
      </w:r>
      <w:r>
        <w:rPr>
          <w:color w:val="231F20"/>
          <w:spacing w:val="-4"/>
          <w:w w:val="110"/>
        </w:rPr>
        <w:t> </w:t>
      </w:r>
      <w:r>
        <w:rPr>
          <w:color w:val="231F20"/>
          <w:w w:val="110"/>
        </w:rPr>
        <w:t>su intervención territorial en nombre de la lucha contra el terrorismo,   a</w:t>
      </w:r>
      <w:r>
        <w:rPr>
          <w:color w:val="231F20"/>
          <w:spacing w:val="-15"/>
          <w:w w:val="110"/>
        </w:rPr>
        <w:t> </w:t>
      </w:r>
      <w:r>
        <w:rPr>
          <w:color w:val="231F20"/>
          <w:w w:val="110"/>
        </w:rPr>
        <w:t>financiar</w:t>
      </w:r>
      <w:r>
        <w:rPr>
          <w:color w:val="231F20"/>
          <w:spacing w:val="-15"/>
          <w:w w:val="110"/>
        </w:rPr>
        <w:t> </w:t>
      </w:r>
      <w:r>
        <w:rPr>
          <w:color w:val="231F20"/>
          <w:w w:val="110"/>
        </w:rPr>
        <w:t>los</w:t>
      </w:r>
      <w:r>
        <w:rPr>
          <w:color w:val="231F20"/>
          <w:spacing w:val="-15"/>
          <w:w w:val="110"/>
        </w:rPr>
        <w:t> </w:t>
      </w:r>
      <w:r>
        <w:rPr>
          <w:color w:val="231F20"/>
          <w:w w:val="110"/>
        </w:rPr>
        <w:t>ejércitos</w:t>
      </w:r>
      <w:r>
        <w:rPr>
          <w:color w:val="231F20"/>
          <w:spacing w:val="-15"/>
          <w:w w:val="110"/>
        </w:rPr>
        <w:t> </w:t>
      </w:r>
      <w:r>
        <w:rPr>
          <w:color w:val="231F20"/>
          <w:w w:val="110"/>
        </w:rPr>
        <w:t>privados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países</w:t>
      </w:r>
      <w:r>
        <w:rPr>
          <w:color w:val="231F20"/>
          <w:spacing w:val="-15"/>
          <w:w w:val="110"/>
        </w:rPr>
        <w:t> </w:t>
      </w:r>
      <w:r>
        <w:rPr>
          <w:color w:val="231F20"/>
          <w:w w:val="110"/>
        </w:rPr>
        <w:t>insumisos,</w:t>
      </w:r>
      <w:r>
        <w:rPr>
          <w:color w:val="231F20"/>
          <w:spacing w:val="-15"/>
          <w:w w:val="110"/>
        </w:rPr>
        <w:t> </w:t>
      </w:r>
      <w:r>
        <w:rPr>
          <w:color w:val="231F20"/>
          <w:w w:val="110"/>
        </w:rPr>
        <w:t>a</w:t>
      </w:r>
      <w:r>
        <w:rPr>
          <w:color w:val="231F20"/>
          <w:spacing w:val="-15"/>
          <w:w w:val="110"/>
        </w:rPr>
        <w:t> </w:t>
      </w:r>
      <w:r>
        <w:rPr>
          <w:color w:val="231F20"/>
          <w:w w:val="110"/>
        </w:rPr>
        <w:t>consolidar los acuerdos de libre comercio (para proteger los derechos de las empresas de Estados Unidos) y a abrir nuevos frentes de extracción e intervención en los países de la América Andina para defender </w:t>
      </w:r>
      <w:r>
        <w:rPr>
          <w:color w:val="231F20"/>
          <w:spacing w:val="21"/>
          <w:w w:val="110"/>
        </w:rPr>
        <w:t> </w:t>
      </w:r>
      <w:r>
        <w:rPr>
          <w:color w:val="231F20"/>
          <w:w w:val="110"/>
        </w:rPr>
        <w:t>su</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3"/>
        <w:jc w:val="both"/>
      </w:pPr>
      <w:r>
        <w:rPr>
          <w:color w:val="231F20"/>
          <w:w w:val="110"/>
        </w:rPr>
        <w:t>seguridad</w:t>
      </w:r>
      <w:r>
        <w:rPr>
          <w:color w:val="231F20"/>
          <w:spacing w:val="-10"/>
          <w:w w:val="110"/>
        </w:rPr>
        <w:t> </w:t>
      </w:r>
      <w:r>
        <w:rPr>
          <w:color w:val="231F20"/>
          <w:w w:val="110"/>
        </w:rPr>
        <w:t>energética</w:t>
      </w:r>
      <w:r>
        <w:rPr>
          <w:color w:val="231F20"/>
          <w:spacing w:val="-10"/>
          <w:w w:val="110"/>
        </w:rPr>
        <w:t> </w:t>
      </w:r>
      <w:r>
        <w:rPr>
          <w:color w:val="231F20"/>
          <w:w w:val="110"/>
        </w:rPr>
        <w:t>(Wills,</w:t>
      </w:r>
      <w:r>
        <w:rPr>
          <w:color w:val="231F20"/>
          <w:spacing w:val="-10"/>
          <w:w w:val="110"/>
        </w:rPr>
        <w:t> </w:t>
      </w:r>
      <w:r>
        <w:rPr>
          <w:color w:val="231F20"/>
          <w:w w:val="110"/>
        </w:rPr>
        <w:t>2008).</w:t>
      </w:r>
      <w:r>
        <w:rPr>
          <w:color w:val="231F20"/>
          <w:spacing w:val="-10"/>
          <w:w w:val="110"/>
        </w:rPr>
        <w:t> </w:t>
      </w:r>
      <w:r>
        <w:rPr>
          <w:color w:val="231F20"/>
          <w:w w:val="110"/>
        </w:rPr>
        <w:t>Más</w:t>
      </w:r>
      <w:r>
        <w:rPr>
          <w:color w:val="231F20"/>
          <w:spacing w:val="-10"/>
          <w:w w:val="110"/>
        </w:rPr>
        <w:t> </w:t>
      </w:r>
      <w:r>
        <w:rPr>
          <w:color w:val="231F20"/>
          <w:w w:val="110"/>
        </w:rPr>
        <w:t>allá</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estilos</w:t>
      </w:r>
      <w:r>
        <w:rPr>
          <w:color w:val="231F20"/>
          <w:spacing w:val="-10"/>
          <w:w w:val="110"/>
        </w:rPr>
        <w:t> </w:t>
      </w:r>
      <w:r>
        <w:rPr>
          <w:color w:val="231F20"/>
          <w:w w:val="110"/>
        </w:rPr>
        <w:t>personales la política exterior estadunidense se mantiene por condiciones y fenómenos</w:t>
      </w:r>
      <w:r>
        <w:rPr>
          <w:color w:val="231F20"/>
          <w:spacing w:val="10"/>
          <w:w w:val="110"/>
        </w:rPr>
        <w:t> </w:t>
      </w:r>
      <w:r>
        <w:rPr>
          <w:color w:val="231F20"/>
          <w:w w:val="110"/>
        </w:rPr>
        <w:t>estructurales.</w:t>
      </w:r>
    </w:p>
    <w:p>
      <w:pPr>
        <w:pStyle w:val="BodyText"/>
        <w:spacing w:line="261" w:lineRule="auto"/>
        <w:ind w:left="100" w:right="117" w:firstLine="240"/>
        <w:jc w:val="both"/>
      </w:pPr>
      <w:r>
        <w:rPr>
          <w:color w:val="231F20"/>
          <w:w w:val="110"/>
        </w:rPr>
        <w:t>Su agenda exterior ha estado orientada desde más de un siglo hacia la seguridad frente al enemigo “exterior”, por lo que la con- frontación con grupos asociados hoy con el “terrorismo”, como las farc y Al Qaeda, en el mundo va a permanecer como una buena justificación para intervenir. De manera tal que a la política suave por la vía diplomática y la ayuda económica se suman rápidos y eficientes operativos, como el que se llevó a cabo en Honduras y el que se adelanta en Afganistán y probablemente en Pakistán e Irán. La</w:t>
      </w:r>
      <w:r>
        <w:rPr>
          <w:color w:val="231F20"/>
          <w:spacing w:val="-7"/>
          <w:w w:val="110"/>
        </w:rPr>
        <w:t> </w:t>
      </w:r>
      <w:r>
        <w:rPr>
          <w:color w:val="231F20"/>
          <w:w w:val="110"/>
        </w:rPr>
        <w:t>tradición</w:t>
      </w:r>
      <w:r>
        <w:rPr>
          <w:color w:val="231F20"/>
          <w:spacing w:val="-7"/>
          <w:w w:val="110"/>
        </w:rPr>
        <w:t> </w:t>
      </w:r>
      <w:r>
        <w:rPr>
          <w:color w:val="231F20"/>
          <w:w w:val="110"/>
        </w:rPr>
        <w:t>estadunidense</w:t>
      </w:r>
      <w:r>
        <w:rPr>
          <w:color w:val="231F20"/>
          <w:spacing w:val="-7"/>
          <w:w w:val="110"/>
        </w:rPr>
        <w:t> </w:t>
      </w:r>
      <w:r>
        <w:rPr>
          <w:color w:val="231F20"/>
          <w:w w:val="110"/>
        </w:rPr>
        <w:t>de</w:t>
      </w:r>
      <w:r>
        <w:rPr>
          <w:color w:val="231F20"/>
          <w:spacing w:val="-7"/>
          <w:w w:val="110"/>
        </w:rPr>
        <w:t> </w:t>
      </w:r>
      <w:r>
        <w:rPr>
          <w:color w:val="231F20"/>
          <w:w w:val="110"/>
        </w:rPr>
        <w:t>utilizar</w:t>
      </w:r>
      <w:r>
        <w:rPr>
          <w:color w:val="231F20"/>
          <w:spacing w:val="-7"/>
          <w:w w:val="110"/>
        </w:rPr>
        <w:t> </w:t>
      </w:r>
      <w:r>
        <w:rPr>
          <w:color w:val="231F20"/>
          <w:w w:val="110"/>
        </w:rPr>
        <w:t>terceros</w:t>
      </w:r>
      <w:r>
        <w:rPr>
          <w:color w:val="231F20"/>
          <w:spacing w:val="-7"/>
          <w:w w:val="110"/>
        </w:rPr>
        <w:t> </w:t>
      </w:r>
      <w:r>
        <w:rPr>
          <w:color w:val="231F20"/>
          <w:w w:val="110"/>
        </w:rPr>
        <w:t>países</w:t>
      </w:r>
      <w:r>
        <w:rPr>
          <w:color w:val="231F20"/>
          <w:spacing w:val="-7"/>
          <w:w w:val="110"/>
        </w:rPr>
        <w:t> </w:t>
      </w:r>
      <w:r>
        <w:rPr>
          <w:color w:val="231F20"/>
          <w:w w:val="110"/>
        </w:rPr>
        <w:t>para</w:t>
      </w:r>
      <w:r>
        <w:rPr>
          <w:color w:val="231F20"/>
          <w:spacing w:val="-7"/>
          <w:w w:val="110"/>
        </w:rPr>
        <w:t> </w:t>
      </w:r>
      <w:r>
        <w:rPr>
          <w:color w:val="231F20"/>
          <w:w w:val="110"/>
        </w:rPr>
        <w:t>lanzar</w:t>
      </w:r>
      <w:r>
        <w:rPr>
          <w:color w:val="231F20"/>
          <w:spacing w:val="-7"/>
          <w:w w:val="110"/>
        </w:rPr>
        <w:t> </w:t>
      </w:r>
      <w:r>
        <w:rPr>
          <w:color w:val="231F20"/>
          <w:w w:val="110"/>
        </w:rPr>
        <w:t>ata- ques</w:t>
      </w:r>
      <w:r>
        <w:rPr>
          <w:color w:val="231F20"/>
          <w:spacing w:val="-5"/>
          <w:w w:val="110"/>
        </w:rPr>
        <w:t> </w:t>
      </w:r>
      <w:r>
        <w:rPr>
          <w:color w:val="231F20"/>
          <w:w w:val="110"/>
        </w:rPr>
        <w:t>militares</w:t>
      </w:r>
      <w:r>
        <w:rPr>
          <w:color w:val="231F20"/>
          <w:spacing w:val="-5"/>
          <w:w w:val="110"/>
        </w:rPr>
        <w:t> </w:t>
      </w:r>
      <w:r>
        <w:rPr>
          <w:color w:val="231F20"/>
          <w:w w:val="110"/>
        </w:rPr>
        <w:t>contra</w:t>
      </w:r>
      <w:r>
        <w:rPr>
          <w:color w:val="231F20"/>
          <w:spacing w:val="-5"/>
          <w:w w:val="110"/>
        </w:rPr>
        <w:t> </w:t>
      </w:r>
      <w:r>
        <w:rPr>
          <w:color w:val="231F20"/>
          <w:w w:val="110"/>
        </w:rPr>
        <w:t>los</w:t>
      </w:r>
      <w:r>
        <w:rPr>
          <w:color w:val="231F20"/>
          <w:spacing w:val="-5"/>
          <w:w w:val="110"/>
        </w:rPr>
        <w:t> </w:t>
      </w:r>
      <w:r>
        <w:rPr>
          <w:color w:val="231F20"/>
          <w:w w:val="110"/>
        </w:rPr>
        <w:t>gobiernos</w:t>
      </w:r>
      <w:r>
        <w:rPr>
          <w:color w:val="231F20"/>
          <w:spacing w:val="-5"/>
          <w:w w:val="110"/>
        </w:rPr>
        <w:t> </w:t>
      </w:r>
      <w:r>
        <w:rPr>
          <w:color w:val="231F20"/>
          <w:w w:val="110"/>
        </w:rPr>
        <w:t>“molestos”</w:t>
      </w:r>
      <w:r>
        <w:rPr>
          <w:color w:val="231F20"/>
          <w:spacing w:val="-5"/>
          <w:w w:val="110"/>
        </w:rPr>
        <w:t> </w:t>
      </w:r>
      <w:r>
        <w:rPr>
          <w:color w:val="231F20"/>
          <w:w w:val="110"/>
        </w:rPr>
        <w:t>no</w:t>
      </w:r>
      <w:r>
        <w:rPr>
          <w:color w:val="231F20"/>
          <w:spacing w:val="-5"/>
          <w:w w:val="110"/>
        </w:rPr>
        <w:t> </w:t>
      </w:r>
      <w:r>
        <w:rPr>
          <w:color w:val="231F20"/>
          <w:w w:val="110"/>
        </w:rPr>
        <w:t>es</w:t>
      </w:r>
      <w:r>
        <w:rPr>
          <w:color w:val="231F20"/>
          <w:spacing w:val="-5"/>
          <w:w w:val="110"/>
        </w:rPr>
        <w:t> </w:t>
      </w:r>
      <w:r>
        <w:rPr>
          <w:color w:val="231F20"/>
          <w:w w:val="110"/>
        </w:rPr>
        <w:t>nueva.</w:t>
      </w:r>
      <w:r>
        <w:rPr>
          <w:color w:val="231F20"/>
          <w:spacing w:val="-5"/>
          <w:w w:val="110"/>
        </w:rPr>
        <w:t> </w:t>
      </w:r>
      <w:r>
        <w:rPr>
          <w:color w:val="231F20"/>
          <w:w w:val="110"/>
        </w:rPr>
        <w:t>En</w:t>
      </w:r>
      <w:r>
        <w:rPr>
          <w:color w:val="231F20"/>
          <w:spacing w:val="-5"/>
          <w:w w:val="110"/>
        </w:rPr>
        <w:t> </w:t>
      </w:r>
      <w:r>
        <w:rPr>
          <w:color w:val="231F20"/>
          <w:w w:val="110"/>
        </w:rPr>
        <w:t>1954 la operación para revertir el gobierno de Guatemala, fue lanzada desde bases clandestinas en Nicaragua y Honduras. La tentativa de invasión</w:t>
      </w:r>
      <w:r>
        <w:rPr>
          <w:color w:val="231F20"/>
          <w:spacing w:val="-6"/>
          <w:w w:val="110"/>
        </w:rPr>
        <w:t> </w:t>
      </w:r>
      <w:r>
        <w:rPr>
          <w:color w:val="231F20"/>
          <w:w w:val="110"/>
        </w:rPr>
        <w:t>a</w:t>
      </w:r>
      <w:r>
        <w:rPr>
          <w:color w:val="231F20"/>
          <w:spacing w:val="-6"/>
          <w:w w:val="110"/>
        </w:rPr>
        <w:t> </w:t>
      </w:r>
      <w:r>
        <w:rPr>
          <w:color w:val="231F20"/>
          <w:w w:val="110"/>
        </w:rPr>
        <w:t>Cuba</w:t>
      </w:r>
      <w:r>
        <w:rPr>
          <w:color w:val="231F20"/>
          <w:spacing w:val="-6"/>
          <w:w w:val="110"/>
        </w:rPr>
        <w:t> </w:t>
      </w:r>
      <w:r>
        <w:rPr>
          <w:color w:val="231F20"/>
          <w:w w:val="110"/>
        </w:rPr>
        <w:t>en</w:t>
      </w:r>
      <w:r>
        <w:rPr>
          <w:color w:val="231F20"/>
          <w:spacing w:val="-6"/>
          <w:w w:val="110"/>
        </w:rPr>
        <w:t> </w:t>
      </w:r>
      <w:r>
        <w:rPr>
          <w:color w:val="231F20"/>
          <w:w w:val="110"/>
        </w:rPr>
        <w:t>1961</w:t>
      </w:r>
      <w:r>
        <w:rPr>
          <w:color w:val="231F20"/>
          <w:spacing w:val="-6"/>
          <w:w w:val="110"/>
        </w:rPr>
        <w:t> </w:t>
      </w:r>
      <w:r>
        <w:rPr>
          <w:color w:val="231F20"/>
          <w:w w:val="110"/>
        </w:rPr>
        <w:t>fue</w:t>
      </w:r>
      <w:r>
        <w:rPr>
          <w:color w:val="231F20"/>
          <w:spacing w:val="-6"/>
          <w:w w:val="110"/>
        </w:rPr>
        <w:t> </w:t>
      </w:r>
      <w:r>
        <w:rPr>
          <w:color w:val="231F20"/>
          <w:w w:val="110"/>
        </w:rPr>
        <w:t>realizada</w:t>
      </w:r>
      <w:r>
        <w:rPr>
          <w:color w:val="231F20"/>
          <w:spacing w:val="-6"/>
          <w:w w:val="110"/>
        </w:rPr>
        <w:t> </w:t>
      </w:r>
      <w:r>
        <w:rPr>
          <w:color w:val="231F20"/>
          <w:w w:val="110"/>
        </w:rPr>
        <w:t>desde</w:t>
      </w:r>
      <w:r>
        <w:rPr>
          <w:color w:val="231F20"/>
          <w:spacing w:val="-6"/>
          <w:w w:val="110"/>
        </w:rPr>
        <w:t> </w:t>
      </w:r>
      <w:r>
        <w:rPr>
          <w:color w:val="231F20"/>
          <w:w w:val="110"/>
        </w:rPr>
        <w:t>Honduras</w:t>
      </w:r>
      <w:r>
        <w:rPr>
          <w:color w:val="231F20"/>
          <w:spacing w:val="-6"/>
          <w:w w:val="110"/>
        </w:rPr>
        <w:t> </w:t>
      </w:r>
      <w:r>
        <w:rPr>
          <w:color w:val="231F20"/>
          <w:w w:val="110"/>
        </w:rPr>
        <w:t>y</w:t>
      </w:r>
      <w:r>
        <w:rPr>
          <w:color w:val="231F20"/>
          <w:spacing w:val="-6"/>
          <w:w w:val="110"/>
        </w:rPr>
        <w:t> </w:t>
      </w:r>
      <w:r>
        <w:rPr>
          <w:color w:val="231F20"/>
          <w:w w:val="110"/>
        </w:rPr>
        <w:t>Guatemala. Honduras, cuyo golpe militar reciente también fue apoyado por el gobierno</w:t>
      </w:r>
      <w:r>
        <w:rPr>
          <w:color w:val="231F20"/>
          <w:spacing w:val="-14"/>
          <w:w w:val="110"/>
        </w:rPr>
        <w:t> </w:t>
      </w:r>
      <w:r>
        <w:rPr>
          <w:color w:val="231F20"/>
          <w:w w:val="110"/>
        </w:rPr>
        <w:t>de</w:t>
      </w:r>
      <w:r>
        <w:rPr>
          <w:color w:val="231F20"/>
          <w:spacing w:val="-14"/>
          <w:w w:val="110"/>
        </w:rPr>
        <w:t> </w:t>
      </w:r>
      <w:r>
        <w:rPr>
          <w:color w:val="231F20"/>
          <w:w w:val="110"/>
        </w:rPr>
        <w:t>Obama,</w:t>
      </w:r>
      <w:r>
        <w:rPr>
          <w:color w:val="231F20"/>
          <w:spacing w:val="-14"/>
          <w:w w:val="110"/>
        </w:rPr>
        <w:t> </w:t>
      </w:r>
      <w:r>
        <w:rPr>
          <w:color w:val="231F20"/>
          <w:w w:val="110"/>
        </w:rPr>
        <w:t>sirvió</w:t>
      </w:r>
      <w:r>
        <w:rPr>
          <w:color w:val="231F20"/>
          <w:spacing w:val="-14"/>
          <w:w w:val="110"/>
        </w:rPr>
        <w:t> </w:t>
      </w:r>
      <w:r>
        <w:rPr>
          <w:color w:val="231F20"/>
          <w:w w:val="110"/>
        </w:rPr>
        <w:t>de</w:t>
      </w:r>
      <w:r>
        <w:rPr>
          <w:color w:val="231F20"/>
          <w:spacing w:val="-14"/>
          <w:w w:val="110"/>
        </w:rPr>
        <w:t> </w:t>
      </w:r>
      <w:r>
        <w:rPr>
          <w:color w:val="231F20"/>
          <w:w w:val="110"/>
        </w:rPr>
        <w:t>base</w:t>
      </w:r>
      <w:r>
        <w:rPr>
          <w:color w:val="231F20"/>
          <w:spacing w:val="-14"/>
          <w:w w:val="110"/>
        </w:rPr>
        <w:t> </w:t>
      </w:r>
      <w:r>
        <w:rPr>
          <w:color w:val="231F20"/>
          <w:w w:val="110"/>
        </w:rPr>
        <w:t>para</w:t>
      </w:r>
      <w:r>
        <w:rPr>
          <w:color w:val="231F20"/>
          <w:spacing w:val="-14"/>
          <w:w w:val="110"/>
        </w:rPr>
        <w:t> </w:t>
      </w:r>
      <w:r>
        <w:rPr>
          <w:color w:val="231F20"/>
          <w:w w:val="110"/>
        </w:rPr>
        <w:t>la</w:t>
      </w:r>
      <w:r>
        <w:rPr>
          <w:color w:val="231F20"/>
          <w:spacing w:val="-14"/>
          <w:w w:val="110"/>
        </w:rPr>
        <w:t> </w:t>
      </w:r>
      <w:r>
        <w:rPr>
          <w:color w:val="231F20"/>
          <w:w w:val="110"/>
        </w:rPr>
        <w:t>guerra</w:t>
      </w:r>
      <w:r>
        <w:rPr>
          <w:color w:val="231F20"/>
          <w:spacing w:val="-14"/>
          <w:w w:val="110"/>
        </w:rPr>
        <w:t> </w:t>
      </w:r>
      <w:r>
        <w:rPr>
          <w:color w:val="231F20"/>
          <w:w w:val="110"/>
        </w:rPr>
        <w:t>impuesta</w:t>
      </w:r>
      <w:r>
        <w:rPr>
          <w:color w:val="231F20"/>
          <w:spacing w:val="-14"/>
          <w:w w:val="110"/>
        </w:rPr>
        <w:t> </w:t>
      </w:r>
      <w:r>
        <w:rPr>
          <w:color w:val="231F20"/>
          <w:w w:val="110"/>
        </w:rPr>
        <w:t>por</w:t>
      </w:r>
      <w:r>
        <w:rPr>
          <w:color w:val="231F20"/>
          <w:spacing w:val="-14"/>
          <w:w w:val="110"/>
        </w:rPr>
        <w:t> </w:t>
      </w:r>
      <w:r>
        <w:rPr>
          <w:color w:val="231F20"/>
          <w:w w:val="110"/>
        </w:rPr>
        <w:t>Wash- ington al gobierno sandinista. El acuerdo para las siete bases milita- res en Colombia, servirán como puestos de operaciones avanzadas (Forward Operation Locations) y puestos cooperativos de seguridad (Cooperative</w:t>
      </w:r>
      <w:r>
        <w:rPr>
          <w:color w:val="231F20"/>
          <w:spacing w:val="-21"/>
          <w:w w:val="110"/>
        </w:rPr>
        <w:t> </w:t>
      </w:r>
      <w:r>
        <w:rPr>
          <w:color w:val="231F20"/>
          <w:w w:val="110"/>
        </w:rPr>
        <w:t>Security</w:t>
      </w:r>
      <w:r>
        <w:rPr>
          <w:color w:val="231F20"/>
          <w:spacing w:val="-21"/>
          <w:w w:val="110"/>
        </w:rPr>
        <w:t> </w:t>
      </w:r>
      <w:r>
        <w:rPr>
          <w:color w:val="231F20"/>
          <w:w w:val="110"/>
        </w:rPr>
        <w:t>Locations).</w:t>
      </w:r>
      <w:r>
        <w:rPr>
          <w:color w:val="231F20"/>
          <w:spacing w:val="-21"/>
          <w:w w:val="110"/>
        </w:rPr>
        <w:t> </w:t>
      </w:r>
      <w:r>
        <w:rPr>
          <w:color w:val="231F20"/>
          <w:w w:val="110"/>
        </w:rPr>
        <w:t>Las</w:t>
      </w:r>
      <w:r>
        <w:rPr>
          <w:color w:val="231F20"/>
          <w:spacing w:val="-21"/>
          <w:w w:val="110"/>
        </w:rPr>
        <w:t> </w:t>
      </w:r>
      <w:r>
        <w:rPr>
          <w:color w:val="231F20"/>
          <w:w w:val="110"/>
        </w:rPr>
        <w:t>bases</w:t>
      </w:r>
      <w:r>
        <w:rPr>
          <w:color w:val="231F20"/>
          <w:spacing w:val="-21"/>
          <w:w w:val="110"/>
        </w:rPr>
        <w:t> </w:t>
      </w:r>
      <w:r>
        <w:rPr>
          <w:color w:val="231F20"/>
          <w:w w:val="110"/>
        </w:rPr>
        <w:t>en</w:t>
      </w:r>
      <w:r>
        <w:rPr>
          <w:color w:val="231F20"/>
          <w:spacing w:val="-21"/>
          <w:w w:val="110"/>
        </w:rPr>
        <w:t> </w:t>
      </w:r>
      <w:r>
        <w:rPr>
          <w:color w:val="231F20"/>
          <w:w w:val="110"/>
        </w:rPr>
        <w:t>Salvador</w:t>
      </w:r>
      <w:r>
        <w:rPr>
          <w:color w:val="231F20"/>
          <w:spacing w:val="-21"/>
          <w:w w:val="110"/>
        </w:rPr>
        <w:t> </w:t>
      </w:r>
      <w:r>
        <w:rPr>
          <w:color w:val="231F20"/>
          <w:w w:val="110"/>
        </w:rPr>
        <w:t>(Comalapa), Honduras (Soto Cano), Cuba (Guantánamo), Aruba (Reina Beatriz), Curazao (Hato rey), Perú (Iquitos y Nanay), Costa Rica (Liberia)     y Puerto Rico (Roosevelt Roads), serán claves para intimidar a los gobiernos</w:t>
      </w:r>
      <w:r>
        <w:rPr>
          <w:color w:val="231F20"/>
          <w:spacing w:val="7"/>
          <w:w w:val="110"/>
        </w:rPr>
        <w:t> </w:t>
      </w:r>
      <w:r>
        <w:rPr>
          <w:color w:val="231F20"/>
          <w:w w:val="110"/>
        </w:rPr>
        <w:t>antiamericanos.</w:t>
      </w:r>
    </w:p>
    <w:p>
      <w:pPr>
        <w:pStyle w:val="BodyText"/>
        <w:spacing w:before="4"/>
        <w:rPr>
          <w:sz w:val="23"/>
        </w:rPr>
      </w:pPr>
    </w:p>
    <w:p>
      <w:pPr>
        <w:spacing w:line="290" w:lineRule="auto" w:before="0"/>
        <w:ind w:left="100" w:right="117" w:firstLine="0"/>
        <w:jc w:val="both"/>
        <w:rPr>
          <w:sz w:val="18"/>
        </w:rPr>
      </w:pPr>
      <w:r>
        <w:rPr>
          <w:color w:val="231F20"/>
          <w:w w:val="110"/>
          <w:sz w:val="18"/>
        </w:rPr>
        <w:t>El desarrollo de Palanquero en Colombia provee una oportunidad única al espectro completo de operaciones en una subregión crítica de nuestro he- misferio</w:t>
      </w:r>
      <w:r>
        <w:rPr>
          <w:color w:val="231F20"/>
          <w:spacing w:val="-7"/>
          <w:w w:val="110"/>
          <w:sz w:val="18"/>
        </w:rPr>
        <w:t> </w:t>
      </w:r>
      <w:r>
        <w:rPr>
          <w:color w:val="231F20"/>
          <w:w w:val="110"/>
          <w:sz w:val="18"/>
        </w:rPr>
        <w:t>donde</w:t>
      </w:r>
      <w:r>
        <w:rPr>
          <w:color w:val="231F20"/>
          <w:spacing w:val="-7"/>
          <w:w w:val="110"/>
          <w:sz w:val="18"/>
        </w:rPr>
        <w:t> </w:t>
      </w:r>
      <w:r>
        <w:rPr>
          <w:color w:val="231F20"/>
          <w:w w:val="110"/>
          <w:sz w:val="18"/>
        </w:rPr>
        <w:t>la</w:t>
      </w:r>
      <w:r>
        <w:rPr>
          <w:color w:val="231F20"/>
          <w:spacing w:val="-7"/>
          <w:w w:val="110"/>
          <w:sz w:val="18"/>
        </w:rPr>
        <w:t> </w:t>
      </w:r>
      <w:r>
        <w:rPr>
          <w:color w:val="231F20"/>
          <w:w w:val="110"/>
          <w:sz w:val="18"/>
        </w:rPr>
        <w:t>seguridad</w:t>
      </w:r>
      <w:r>
        <w:rPr>
          <w:color w:val="231F20"/>
          <w:spacing w:val="-7"/>
          <w:w w:val="110"/>
          <w:sz w:val="18"/>
        </w:rPr>
        <w:t> </w:t>
      </w:r>
      <w:r>
        <w:rPr>
          <w:color w:val="231F20"/>
          <w:w w:val="110"/>
          <w:sz w:val="18"/>
        </w:rPr>
        <w:t>y</w:t>
      </w:r>
      <w:r>
        <w:rPr>
          <w:color w:val="231F20"/>
          <w:spacing w:val="-7"/>
          <w:w w:val="110"/>
          <w:sz w:val="18"/>
        </w:rPr>
        <w:t> </w:t>
      </w:r>
      <w:r>
        <w:rPr>
          <w:color w:val="231F20"/>
          <w:w w:val="110"/>
          <w:sz w:val="18"/>
        </w:rPr>
        <w:t>la</w:t>
      </w:r>
      <w:r>
        <w:rPr>
          <w:color w:val="231F20"/>
          <w:spacing w:val="-7"/>
          <w:w w:val="110"/>
          <w:sz w:val="18"/>
        </w:rPr>
        <w:t> </w:t>
      </w:r>
      <w:r>
        <w:rPr>
          <w:color w:val="231F20"/>
          <w:w w:val="110"/>
          <w:sz w:val="18"/>
        </w:rPr>
        <w:t>estabilidad</w:t>
      </w:r>
      <w:r>
        <w:rPr>
          <w:color w:val="231F20"/>
          <w:spacing w:val="-7"/>
          <w:w w:val="110"/>
          <w:sz w:val="18"/>
        </w:rPr>
        <w:t> </w:t>
      </w:r>
      <w:r>
        <w:rPr>
          <w:color w:val="231F20"/>
          <w:w w:val="110"/>
          <w:sz w:val="18"/>
        </w:rPr>
        <w:t>están</w:t>
      </w:r>
      <w:r>
        <w:rPr>
          <w:color w:val="231F20"/>
          <w:spacing w:val="-7"/>
          <w:w w:val="110"/>
          <w:sz w:val="18"/>
        </w:rPr>
        <w:t> </w:t>
      </w:r>
      <w:r>
        <w:rPr>
          <w:color w:val="231F20"/>
          <w:w w:val="110"/>
          <w:sz w:val="18"/>
        </w:rPr>
        <w:t>bajo</w:t>
      </w:r>
      <w:r>
        <w:rPr>
          <w:color w:val="231F20"/>
          <w:spacing w:val="-7"/>
          <w:w w:val="110"/>
          <w:sz w:val="18"/>
        </w:rPr>
        <w:t> </w:t>
      </w:r>
      <w:r>
        <w:rPr>
          <w:color w:val="231F20"/>
          <w:w w:val="110"/>
          <w:sz w:val="18"/>
        </w:rPr>
        <w:t>constante</w:t>
      </w:r>
      <w:r>
        <w:rPr>
          <w:color w:val="231F20"/>
          <w:spacing w:val="-7"/>
          <w:w w:val="110"/>
          <w:sz w:val="18"/>
        </w:rPr>
        <w:t> </w:t>
      </w:r>
      <w:r>
        <w:rPr>
          <w:color w:val="231F20"/>
          <w:w w:val="110"/>
          <w:sz w:val="18"/>
        </w:rPr>
        <w:t>amenaza</w:t>
      </w:r>
      <w:r>
        <w:rPr>
          <w:color w:val="231F20"/>
          <w:spacing w:val="-7"/>
          <w:w w:val="110"/>
          <w:sz w:val="18"/>
        </w:rPr>
        <w:t> </w:t>
      </w:r>
      <w:r>
        <w:rPr>
          <w:color w:val="231F20"/>
          <w:w w:val="110"/>
          <w:sz w:val="18"/>
        </w:rPr>
        <w:t>de insurrección narcoterrorista, de gobiernos antiamericanos y de una pobreza endémica y de desastres naturales (Lemoine,</w:t>
      </w:r>
      <w:r>
        <w:rPr>
          <w:color w:val="231F20"/>
          <w:spacing w:val="30"/>
          <w:w w:val="110"/>
          <w:sz w:val="18"/>
        </w:rPr>
        <w:t> </w:t>
      </w:r>
      <w:r>
        <w:rPr>
          <w:color w:val="231F20"/>
          <w:w w:val="110"/>
          <w:sz w:val="18"/>
        </w:rPr>
        <w:t>2009).</w:t>
      </w:r>
    </w:p>
    <w:p>
      <w:pPr>
        <w:pStyle w:val="BodyText"/>
        <w:spacing w:before="2"/>
      </w:pPr>
    </w:p>
    <w:p>
      <w:pPr>
        <w:pStyle w:val="BodyText"/>
        <w:spacing w:line="261" w:lineRule="auto"/>
        <w:ind w:left="100" w:right="117" w:firstLine="240"/>
        <w:jc w:val="both"/>
      </w:pPr>
      <w:r>
        <w:rPr>
          <w:color w:val="231F20"/>
          <w:w w:val="110"/>
        </w:rPr>
        <w:t>Ante la profundización de su crisis económica y sobre todo de su crisis de hegemonía en Suramérica, Estados Unidos busca sostener su preeminencia hemisférica a partir de la puesta en marcha de nue- vas formas de intervención menos arrogantes y agresivas que las de George</w:t>
      </w:r>
      <w:r>
        <w:rPr>
          <w:color w:val="231F20"/>
          <w:spacing w:val="-16"/>
          <w:w w:val="110"/>
        </w:rPr>
        <w:t> </w:t>
      </w:r>
      <w:r>
        <w:rPr>
          <w:color w:val="231F20"/>
          <w:w w:val="110"/>
        </w:rPr>
        <w:t>Bush.</w:t>
      </w:r>
      <w:r>
        <w:rPr>
          <w:color w:val="231F20"/>
          <w:spacing w:val="-16"/>
          <w:w w:val="110"/>
        </w:rPr>
        <w:t> </w:t>
      </w:r>
      <w:r>
        <w:rPr>
          <w:color w:val="231F20"/>
          <w:w w:val="110"/>
        </w:rPr>
        <w:t>A</w:t>
      </w:r>
      <w:r>
        <w:rPr>
          <w:color w:val="231F20"/>
          <w:spacing w:val="-16"/>
          <w:w w:val="110"/>
        </w:rPr>
        <w:t> </w:t>
      </w:r>
      <w:r>
        <w:rPr>
          <w:color w:val="231F20"/>
          <w:w w:val="110"/>
        </w:rPr>
        <w:t>través</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nueva</w:t>
      </w:r>
      <w:r>
        <w:rPr>
          <w:color w:val="231F20"/>
          <w:spacing w:val="-16"/>
          <w:w w:val="110"/>
        </w:rPr>
        <w:t> </w:t>
      </w:r>
      <w:r>
        <w:rPr>
          <w:color w:val="231F20"/>
          <w:w w:val="110"/>
        </w:rPr>
        <w:t>“diplomacia</w:t>
      </w:r>
      <w:r>
        <w:rPr>
          <w:color w:val="231F20"/>
          <w:spacing w:val="-16"/>
          <w:w w:val="110"/>
        </w:rPr>
        <w:t> </w:t>
      </w:r>
      <w:r>
        <w:rPr>
          <w:color w:val="231F20"/>
          <w:w w:val="110"/>
        </w:rPr>
        <w:t>enérgica”</w:t>
      </w:r>
      <w:r>
        <w:rPr>
          <w:color w:val="231F20"/>
          <w:spacing w:val="-16"/>
          <w:w w:val="110"/>
        </w:rPr>
        <w:t> </w:t>
      </w:r>
      <w:r>
        <w:rPr>
          <w:color w:val="231F20"/>
          <w:w w:val="110"/>
        </w:rPr>
        <w:t>con</w:t>
      </w:r>
      <w:r>
        <w:rPr>
          <w:color w:val="231F20"/>
          <w:spacing w:val="-16"/>
          <w:w w:val="110"/>
        </w:rPr>
        <w:t> </w:t>
      </w:r>
      <w:r>
        <w:rPr>
          <w:color w:val="231F20"/>
          <w:w w:val="110"/>
        </w:rPr>
        <w:t>la</w:t>
      </w:r>
      <w:r>
        <w:rPr>
          <w:color w:val="231F20"/>
          <w:spacing w:val="-16"/>
          <w:w w:val="110"/>
        </w:rPr>
        <w:t> </w:t>
      </w:r>
      <w:r>
        <w:rPr>
          <w:color w:val="231F20"/>
          <w:w w:val="110"/>
        </w:rPr>
        <w:t>co- munidad latinoamericana, insisten en acercarse a los líderes más</w:t>
      </w:r>
      <w:r>
        <w:rPr>
          <w:color w:val="231F20"/>
          <w:spacing w:val="-20"/>
          <w:w w:val="110"/>
        </w:rPr>
        <w:t> </w:t>
      </w:r>
      <w:r>
        <w:rPr>
          <w:color w:val="231F20"/>
          <w:w w:val="110"/>
        </w:rPr>
        <w:t>po-</w:t>
      </w:r>
    </w:p>
    <w:p>
      <w:pPr>
        <w:spacing w:after="0" w:line="261" w:lineRule="auto"/>
        <w:jc w:val="both"/>
        <w:sectPr>
          <w:headerReference w:type="even" r:id="rId386"/>
          <w:headerReference w:type="default" r:id="rId387"/>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lémicos</w:t>
      </w:r>
      <w:r>
        <w:rPr>
          <w:color w:val="231F20"/>
          <w:spacing w:val="-14"/>
          <w:w w:val="110"/>
        </w:rPr>
        <w:t> </w:t>
      </w:r>
      <w:r>
        <w:rPr>
          <w:color w:val="231F20"/>
          <w:w w:val="110"/>
        </w:rPr>
        <w:t>como</w:t>
      </w:r>
      <w:r>
        <w:rPr>
          <w:color w:val="231F20"/>
          <w:spacing w:val="-14"/>
          <w:w w:val="110"/>
        </w:rPr>
        <w:t> </w:t>
      </w:r>
      <w:r>
        <w:rPr>
          <w:color w:val="231F20"/>
          <w:w w:val="110"/>
        </w:rPr>
        <w:t>Castro,</w:t>
      </w:r>
      <w:r>
        <w:rPr>
          <w:color w:val="231F20"/>
          <w:spacing w:val="-14"/>
          <w:w w:val="110"/>
        </w:rPr>
        <w:t> </w:t>
      </w:r>
      <w:r>
        <w:rPr>
          <w:color w:val="231F20"/>
          <w:w w:val="110"/>
        </w:rPr>
        <w:t>Chávez</w:t>
      </w:r>
      <w:r>
        <w:rPr>
          <w:color w:val="231F20"/>
          <w:spacing w:val="-14"/>
          <w:w w:val="110"/>
        </w:rPr>
        <w:t> </w:t>
      </w:r>
      <w:r>
        <w:rPr>
          <w:color w:val="231F20"/>
          <w:w w:val="110"/>
        </w:rPr>
        <w:t>y</w:t>
      </w:r>
      <w:r>
        <w:rPr>
          <w:color w:val="231F20"/>
          <w:spacing w:val="-14"/>
          <w:w w:val="110"/>
        </w:rPr>
        <w:t> </w:t>
      </w:r>
      <w:r>
        <w:rPr>
          <w:color w:val="231F20"/>
          <w:w w:val="110"/>
        </w:rPr>
        <w:t>Correa,</w:t>
      </w:r>
      <w:r>
        <w:rPr>
          <w:color w:val="231F20"/>
          <w:spacing w:val="-14"/>
          <w:w w:val="110"/>
        </w:rPr>
        <w:t> </w:t>
      </w:r>
      <w:r>
        <w:rPr>
          <w:color w:val="231F20"/>
          <w:w w:val="110"/>
        </w:rPr>
        <w:t>precedidos</w:t>
      </w:r>
      <w:r>
        <w:rPr>
          <w:color w:val="231F20"/>
          <w:spacing w:val="-14"/>
          <w:w w:val="110"/>
        </w:rPr>
        <w:t> </w:t>
      </w:r>
      <w:r>
        <w:rPr>
          <w:color w:val="231F20"/>
          <w:w w:val="110"/>
        </w:rPr>
        <w:t>de</w:t>
      </w:r>
      <w:r>
        <w:rPr>
          <w:color w:val="231F20"/>
          <w:spacing w:val="-14"/>
          <w:w w:val="110"/>
        </w:rPr>
        <w:t> </w:t>
      </w:r>
      <w:r>
        <w:rPr>
          <w:color w:val="231F20"/>
          <w:w w:val="110"/>
        </w:rPr>
        <w:t>“preparativos” más diplomáticos, buscando persuadirlos a ceder ante su</w:t>
      </w:r>
      <w:r>
        <w:rPr>
          <w:color w:val="231F20"/>
          <w:spacing w:val="-34"/>
          <w:w w:val="110"/>
        </w:rPr>
        <w:t> </w:t>
      </w:r>
      <w:r>
        <w:rPr>
          <w:color w:val="231F20"/>
          <w:w w:val="110"/>
        </w:rPr>
        <w:t>supremacía </w:t>
      </w:r>
      <w:r>
        <w:rPr>
          <w:color w:val="231F20"/>
          <w:spacing w:val="-3"/>
          <w:w w:val="110"/>
        </w:rPr>
        <w:t>militar, </w:t>
      </w:r>
      <w:r>
        <w:rPr>
          <w:color w:val="231F20"/>
          <w:w w:val="110"/>
        </w:rPr>
        <w:t>pero defendiendo a toda costa sus intereses permanentes, lo que no significa necesariamente, defender relaciones permanentes con amigos o enemigos (Tokatlian, 2008; efe,</w:t>
      </w:r>
      <w:r>
        <w:rPr>
          <w:color w:val="231F20"/>
          <w:spacing w:val="5"/>
          <w:w w:val="110"/>
        </w:rPr>
        <w:t> </w:t>
      </w:r>
      <w:r>
        <w:rPr>
          <w:color w:val="231F20"/>
          <w:w w:val="110"/>
        </w:rPr>
        <w:t>2008).</w:t>
      </w:r>
    </w:p>
    <w:p>
      <w:pPr>
        <w:pStyle w:val="BodyText"/>
        <w:spacing w:line="261" w:lineRule="auto"/>
        <w:ind w:left="100" w:right="110" w:firstLine="240"/>
        <w:jc w:val="both"/>
      </w:pPr>
      <w:r>
        <w:rPr>
          <w:color w:val="231F20"/>
          <w:w w:val="110"/>
        </w:rPr>
        <w:t>Por lo cual, concluimos que la continuidad de la política exterior de Estados Unidos hacia la América Andina la impone un conjunto de factores externos e internos que limitan la capacidad de quien asume la presidencia de Estados Unidos. De manera tal que su im- plementación dependerá de la relación de fuerzas e intereses de los grupos dominantes </w:t>
      </w:r>
      <w:r>
        <w:rPr>
          <w:color w:val="231F20"/>
        </w:rPr>
        <w:t>y </w:t>
      </w:r>
      <w:r>
        <w:rPr>
          <w:color w:val="231F20"/>
          <w:w w:val="110"/>
        </w:rPr>
        <w:t>de las estrategias de resistencia de los pueblos, que pueden </w:t>
      </w:r>
      <w:r>
        <w:rPr>
          <w:color w:val="231F20"/>
          <w:spacing w:val="-3"/>
          <w:w w:val="110"/>
        </w:rPr>
        <w:t>lograr, </w:t>
      </w:r>
      <w:r>
        <w:rPr>
          <w:color w:val="231F20"/>
          <w:w w:val="110"/>
        </w:rPr>
        <w:t>como en el caso del alca, frenar las pretensiones imperialistas, integrándose entorno a objetivos comunes a través de una estrategia económica, política </w:t>
      </w:r>
      <w:r>
        <w:rPr>
          <w:color w:val="231F20"/>
        </w:rPr>
        <w:t>y </w:t>
      </w:r>
      <w:r>
        <w:rPr>
          <w:color w:val="231F20"/>
          <w:w w:val="110"/>
        </w:rPr>
        <w:t>energética propia. Superar el aislamiento de países como Colombia </w:t>
      </w:r>
      <w:r>
        <w:rPr>
          <w:color w:val="231F20"/>
        </w:rPr>
        <w:t>y </w:t>
      </w:r>
      <w:r>
        <w:rPr>
          <w:color w:val="231F20"/>
          <w:w w:val="110"/>
        </w:rPr>
        <w:t>Perú, de la región andina, </w:t>
      </w:r>
      <w:r>
        <w:rPr>
          <w:color w:val="231F20"/>
        </w:rPr>
        <w:t>y </w:t>
      </w:r>
      <w:r>
        <w:rPr>
          <w:color w:val="231F20"/>
          <w:w w:val="110"/>
        </w:rPr>
        <w:t>su alineamiento incondicional a Estados Unidos, depende también de sus dinámicas internas. </w:t>
      </w:r>
      <w:r>
        <w:rPr>
          <w:color w:val="231F20"/>
        </w:rPr>
        <w:t>Y </w:t>
      </w:r>
      <w:r>
        <w:rPr>
          <w:color w:val="231F20"/>
          <w:w w:val="110"/>
        </w:rPr>
        <w:t>sus formas de integración regional pueden, como lo hicieron en algunos momentos de lucidez replan- tearse </w:t>
      </w:r>
      <w:r>
        <w:rPr>
          <w:color w:val="231F20"/>
        </w:rPr>
        <w:t>y </w:t>
      </w:r>
      <w:r>
        <w:rPr>
          <w:color w:val="231F20"/>
          <w:w w:val="110"/>
        </w:rPr>
        <w:t>lograr una nueva manera de interactuar con sus vecinos </w:t>
      </w:r>
      <w:r>
        <w:rPr>
          <w:color w:val="231F20"/>
          <w:spacing w:val="-8"/>
          <w:w w:val="110"/>
        </w:rPr>
        <w:t>y, </w:t>
      </w:r>
      <w:r>
        <w:rPr>
          <w:color w:val="231F20"/>
          <w:w w:val="110"/>
        </w:rPr>
        <w:t>en particular, con su vecino del norte en términos de respeto a su soberanía </w:t>
      </w:r>
      <w:r>
        <w:rPr>
          <w:color w:val="231F20"/>
        </w:rPr>
        <w:t>y</w:t>
      </w:r>
      <w:r>
        <w:rPr>
          <w:color w:val="231F20"/>
          <w:spacing w:val="21"/>
        </w:rPr>
        <w:t> </w:t>
      </w:r>
      <w:r>
        <w:rPr>
          <w:color w:val="231F20"/>
          <w:w w:val="110"/>
        </w:rPr>
        <w:t>dignidad.</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9" w:hanging="240"/>
        <w:jc w:val="both"/>
        <w:rPr>
          <w:sz w:val="18"/>
        </w:rPr>
      </w:pPr>
      <w:r>
        <w:rPr>
          <w:color w:val="231F20"/>
          <w:w w:val="105"/>
          <w:sz w:val="18"/>
        </w:rPr>
        <w:t>Amin, </w:t>
      </w:r>
      <w:r>
        <w:rPr>
          <w:color w:val="231F20"/>
          <w:spacing w:val="-3"/>
          <w:w w:val="105"/>
          <w:sz w:val="18"/>
        </w:rPr>
        <w:t>Samir, </w:t>
      </w:r>
      <w:r>
        <w:rPr>
          <w:color w:val="231F20"/>
          <w:w w:val="105"/>
          <w:sz w:val="18"/>
        </w:rPr>
        <w:t>2003, “Geopolítica del Imperialismo Norteamericano”, en Atilio Borón</w:t>
      </w:r>
      <w:r>
        <w:rPr>
          <w:color w:val="231F20"/>
          <w:spacing w:val="-26"/>
          <w:w w:val="105"/>
          <w:sz w:val="18"/>
        </w:rPr>
        <w:t> </w:t>
      </w:r>
      <w:r>
        <w:rPr>
          <w:color w:val="231F20"/>
          <w:w w:val="105"/>
          <w:sz w:val="18"/>
        </w:rPr>
        <w:t>(comp.)</w:t>
      </w:r>
      <w:r>
        <w:rPr>
          <w:color w:val="231F20"/>
          <w:spacing w:val="-26"/>
          <w:w w:val="105"/>
          <w:sz w:val="18"/>
        </w:rPr>
        <w:t> </w:t>
      </w:r>
      <w:r>
        <w:rPr>
          <w:i/>
          <w:color w:val="231F20"/>
          <w:w w:val="105"/>
          <w:sz w:val="18"/>
        </w:rPr>
        <w:t>Nueva</w:t>
      </w:r>
      <w:r>
        <w:rPr>
          <w:i/>
          <w:color w:val="231F20"/>
          <w:spacing w:val="-26"/>
          <w:w w:val="105"/>
          <w:sz w:val="18"/>
        </w:rPr>
        <w:t> </w:t>
      </w:r>
      <w:r>
        <w:rPr>
          <w:i/>
          <w:color w:val="231F20"/>
          <w:w w:val="105"/>
          <w:sz w:val="18"/>
        </w:rPr>
        <w:t>hegemonía</w:t>
      </w:r>
      <w:r>
        <w:rPr>
          <w:i/>
          <w:color w:val="231F20"/>
          <w:spacing w:val="-26"/>
          <w:w w:val="105"/>
          <w:sz w:val="18"/>
        </w:rPr>
        <w:t> </w:t>
      </w:r>
      <w:r>
        <w:rPr>
          <w:i/>
          <w:color w:val="231F20"/>
          <w:w w:val="105"/>
          <w:sz w:val="18"/>
        </w:rPr>
        <w:t>mundial,</w:t>
      </w:r>
      <w:r>
        <w:rPr>
          <w:i/>
          <w:color w:val="231F20"/>
          <w:spacing w:val="-26"/>
          <w:w w:val="105"/>
          <w:sz w:val="18"/>
        </w:rPr>
        <w:t> </w:t>
      </w:r>
      <w:r>
        <w:rPr>
          <w:i/>
          <w:color w:val="231F20"/>
          <w:w w:val="105"/>
          <w:sz w:val="18"/>
        </w:rPr>
        <w:t>alternativas</w:t>
      </w:r>
      <w:r>
        <w:rPr>
          <w:i/>
          <w:color w:val="231F20"/>
          <w:spacing w:val="-26"/>
          <w:w w:val="105"/>
          <w:sz w:val="18"/>
        </w:rPr>
        <w:t> </w:t>
      </w:r>
      <w:r>
        <w:rPr>
          <w:i/>
          <w:color w:val="231F20"/>
          <w:w w:val="105"/>
          <w:sz w:val="18"/>
        </w:rPr>
        <w:t>de</w:t>
      </w:r>
      <w:r>
        <w:rPr>
          <w:i/>
          <w:color w:val="231F20"/>
          <w:spacing w:val="-26"/>
          <w:w w:val="105"/>
          <w:sz w:val="18"/>
        </w:rPr>
        <w:t> </w:t>
      </w:r>
      <w:r>
        <w:rPr>
          <w:i/>
          <w:color w:val="231F20"/>
          <w:w w:val="105"/>
          <w:sz w:val="18"/>
        </w:rPr>
        <w:t>cambio</w:t>
      </w:r>
      <w:r>
        <w:rPr>
          <w:i/>
          <w:color w:val="231F20"/>
          <w:spacing w:val="-26"/>
          <w:w w:val="105"/>
          <w:sz w:val="18"/>
        </w:rPr>
        <w:t> </w:t>
      </w:r>
      <w:r>
        <w:rPr>
          <w:i/>
          <w:color w:val="231F20"/>
          <w:w w:val="105"/>
          <w:sz w:val="18"/>
        </w:rPr>
        <w:t>y</w:t>
      </w:r>
      <w:r>
        <w:rPr>
          <w:i/>
          <w:color w:val="231F20"/>
          <w:spacing w:val="-26"/>
          <w:w w:val="105"/>
          <w:sz w:val="18"/>
        </w:rPr>
        <w:t> </w:t>
      </w:r>
      <w:r>
        <w:rPr>
          <w:i/>
          <w:color w:val="231F20"/>
          <w:w w:val="105"/>
          <w:sz w:val="18"/>
        </w:rPr>
        <w:t>movimien- </w:t>
      </w:r>
      <w:r>
        <w:rPr>
          <w:i/>
          <w:color w:val="231F20"/>
          <w:w w:val="105"/>
          <w:sz w:val="18"/>
        </w:rPr>
        <w:t>tos sociales</w:t>
      </w:r>
      <w:r>
        <w:rPr>
          <w:color w:val="231F20"/>
          <w:w w:val="105"/>
          <w:sz w:val="18"/>
        </w:rPr>
        <w:t>, Buenos Aires</w:t>
      </w:r>
      <w:r>
        <w:rPr>
          <w:i/>
          <w:color w:val="231F20"/>
          <w:w w:val="105"/>
          <w:sz w:val="18"/>
        </w:rPr>
        <w:t>, </w:t>
      </w:r>
      <w:r>
        <w:rPr>
          <w:color w:val="231F20"/>
          <w:w w:val="105"/>
          <w:sz w:val="18"/>
        </w:rPr>
        <w:t>clacso, pp.</w:t>
      </w:r>
      <w:r>
        <w:rPr>
          <w:color w:val="231F20"/>
          <w:spacing w:val="36"/>
          <w:w w:val="105"/>
          <w:sz w:val="18"/>
        </w:rPr>
        <w:t> </w:t>
      </w:r>
      <w:r>
        <w:rPr>
          <w:color w:val="231F20"/>
          <w:w w:val="105"/>
          <w:sz w:val="18"/>
        </w:rPr>
        <w:t>73-110</w:t>
      </w:r>
    </w:p>
    <w:p>
      <w:pPr>
        <w:spacing w:line="254" w:lineRule="auto" w:before="1"/>
        <w:ind w:left="340" w:right="116" w:hanging="240"/>
        <w:jc w:val="both"/>
        <w:rPr>
          <w:sz w:val="18"/>
        </w:rPr>
      </w:pPr>
      <w:r>
        <w:rPr>
          <w:color w:val="231F20"/>
          <w:w w:val="110"/>
          <w:sz w:val="18"/>
        </w:rPr>
        <w:t>afp, 2008, “Obama propone romper con la política latinoamericana del presidente Bush”, entrevista a Daniel Restrepo, asesor de la campaña del candidato demócrata, 25 de agosto.</w:t>
      </w:r>
    </w:p>
    <w:p>
      <w:pPr>
        <w:spacing w:line="254" w:lineRule="auto" w:before="1"/>
        <w:ind w:left="340" w:right="119" w:hanging="240"/>
        <w:jc w:val="both"/>
        <w:rPr>
          <w:sz w:val="18"/>
        </w:rPr>
      </w:pPr>
      <w:r>
        <w:rPr>
          <w:i/>
          <w:color w:val="231F20"/>
          <w:w w:val="105"/>
          <w:sz w:val="18"/>
        </w:rPr>
        <w:t>Associated</w:t>
      </w:r>
      <w:r>
        <w:rPr>
          <w:i/>
          <w:color w:val="231F20"/>
          <w:spacing w:val="-7"/>
          <w:w w:val="105"/>
          <w:sz w:val="18"/>
        </w:rPr>
        <w:t> </w:t>
      </w:r>
      <w:r>
        <w:rPr>
          <w:i/>
          <w:color w:val="231F20"/>
          <w:w w:val="105"/>
          <w:sz w:val="18"/>
        </w:rPr>
        <w:t>Press</w:t>
      </w:r>
      <w:r>
        <w:rPr>
          <w:color w:val="231F20"/>
          <w:w w:val="105"/>
          <w:sz w:val="18"/>
        </w:rPr>
        <w:t>,</w:t>
      </w:r>
      <w:r>
        <w:rPr>
          <w:color w:val="231F20"/>
          <w:spacing w:val="-7"/>
          <w:w w:val="105"/>
          <w:sz w:val="18"/>
        </w:rPr>
        <w:t> </w:t>
      </w:r>
      <w:r>
        <w:rPr>
          <w:color w:val="231F20"/>
          <w:w w:val="105"/>
          <w:sz w:val="18"/>
        </w:rPr>
        <w:t>2008,</w:t>
      </w:r>
      <w:r>
        <w:rPr>
          <w:color w:val="231F20"/>
          <w:spacing w:val="-7"/>
          <w:w w:val="105"/>
          <w:sz w:val="18"/>
        </w:rPr>
        <w:t> </w:t>
      </w:r>
      <w:r>
        <w:rPr>
          <w:color w:val="231F20"/>
          <w:w w:val="105"/>
          <w:sz w:val="18"/>
        </w:rPr>
        <w:t>“Delahunt</w:t>
      </w:r>
      <w:r>
        <w:rPr>
          <w:color w:val="231F20"/>
          <w:spacing w:val="-7"/>
          <w:w w:val="105"/>
          <w:sz w:val="18"/>
        </w:rPr>
        <w:t> </w:t>
      </w:r>
      <w:r>
        <w:rPr>
          <w:color w:val="231F20"/>
          <w:w w:val="105"/>
          <w:sz w:val="18"/>
        </w:rPr>
        <w:t>backs</w:t>
      </w:r>
      <w:r>
        <w:rPr>
          <w:color w:val="231F20"/>
          <w:spacing w:val="-7"/>
          <w:w w:val="105"/>
          <w:sz w:val="18"/>
        </w:rPr>
        <w:t> </w:t>
      </w:r>
      <w:r>
        <w:rPr>
          <w:color w:val="231F20"/>
          <w:w w:val="105"/>
          <w:sz w:val="18"/>
        </w:rPr>
        <w:t>Chavez’s</w:t>
      </w:r>
      <w:r>
        <w:rPr>
          <w:color w:val="231F20"/>
          <w:spacing w:val="-7"/>
          <w:w w:val="105"/>
          <w:sz w:val="18"/>
        </w:rPr>
        <w:t> </w:t>
      </w:r>
      <w:r>
        <w:rPr>
          <w:color w:val="231F20"/>
          <w:w w:val="105"/>
          <w:sz w:val="18"/>
        </w:rPr>
        <w:t>efforts</w:t>
      </w:r>
      <w:r>
        <w:rPr>
          <w:color w:val="231F20"/>
          <w:spacing w:val="-7"/>
          <w:w w:val="105"/>
          <w:sz w:val="18"/>
        </w:rPr>
        <w:t> </w:t>
      </w:r>
      <w:r>
        <w:rPr>
          <w:color w:val="231F20"/>
          <w:w w:val="105"/>
          <w:sz w:val="18"/>
        </w:rPr>
        <w:t>to</w:t>
      </w:r>
      <w:r>
        <w:rPr>
          <w:color w:val="231F20"/>
          <w:spacing w:val="-7"/>
          <w:w w:val="105"/>
          <w:sz w:val="18"/>
        </w:rPr>
        <w:t> </w:t>
      </w:r>
      <w:r>
        <w:rPr>
          <w:color w:val="231F20"/>
          <w:w w:val="105"/>
          <w:sz w:val="18"/>
        </w:rPr>
        <w:t>gain</w:t>
      </w:r>
      <w:r>
        <w:rPr>
          <w:color w:val="231F20"/>
          <w:spacing w:val="-7"/>
          <w:w w:val="105"/>
          <w:sz w:val="18"/>
        </w:rPr>
        <w:t> </w:t>
      </w:r>
      <w:r>
        <w:rPr>
          <w:color w:val="231F20"/>
          <w:w w:val="105"/>
          <w:sz w:val="18"/>
        </w:rPr>
        <w:t>hostage</w:t>
      </w:r>
      <w:r>
        <w:rPr>
          <w:color w:val="231F20"/>
          <w:spacing w:val="-7"/>
          <w:w w:val="105"/>
          <w:sz w:val="18"/>
        </w:rPr>
        <w:t> </w:t>
      </w:r>
      <w:r>
        <w:rPr>
          <w:color w:val="231F20"/>
          <w:w w:val="105"/>
          <w:sz w:val="18"/>
        </w:rPr>
        <w:t>relea- se” en </w:t>
      </w:r>
      <w:hyperlink r:id="rId388">
        <w:r>
          <w:rPr>
            <w:color w:val="231F20"/>
            <w:w w:val="105"/>
            <w:sz w:val="18"/>
          </w:rPr>
          <w:t>&lt;http://news.bostonherald.com/news/international/americas/</w:t>
        </w:r>
      </w:hyperlink>
      <w:r>
        <w:rPr>
          <w:color w:val="231F20"/>
          <w:w w:val="105"/>
          <w:sz w:val="18"/>
        </w:rPr>
        <w:t> view.bg?articleid=1067495&amp;srvc=home&amp;position=recent&gt;, 18 de </w:t>
      </w:r>
      <w:r>
        <w:rPr>
          <w:color w:val="231F20"/>
          <w:spacing w:val="8"/>
          <w:w w:val="105"/>
          <w:sz w:val="18"/>
        </w:rPr>
        <w:t> </w:t>
      </w:r>
      <w:r>
        <w:rPr>
          <w:color w:val="231F20"/>
          <w:w w:val="105"/>
          <w:sz w:val="18"/>
        </w:rPr>
        <w:t>enero.</w:t>
      </w:r>
    </w:p>
    <w:p>
      <w:pPr>
        <w:spacing w:before="1"/>
        <w:ind w:left="100" w:right="25" w:firstLine="0"/>
        <w:jc w:val="left"/>
        <w:rPr>
          <w:sz w:val="18"/>
        </w:rPr>
      </w:pPr>
      <w:r>
        <w:rPr>
          <w:color w:val="231F20"/>
          <w:w w:val="105"/>
          <w:sz w:val="18"/>
        </w:rPr>
        <w:t>Border, John M, 2008, </w:t>
      </w:r>
      <w:r>
        <w:rPr>
          <w:i/>
          <w:color w:val="231F20"/>
          <w:w w:val="105"/>
          <w:sz w:val="18"/>
        </w:rPr>
        <w:t>New York Times</w:t>
      </w:r>
      <w:r>
        <w:rPr>
          <w:color w:val="231F20"/>
          <w:w w:val="105"/>
          <w:sz w:val="18"/>
        </w:rPr>
        <w:t>, 16 de  julio.</w:t>
      </w:r>
    </w:p>
    <w:p>
      <w:pPr>
        <w:spacing w:line="254" w:lineRule="auto" w:before="13"/>
        <w:ind w:left="340" w:right="117" w:hanging="240"/>
        <w:jc w:val="both"/>
        <w:rPr>
          <w:sz w:val="18"/>
        </w:rPr>
      </w:pPr>
      <w:r>
        <w:rPr>
          <w:color w:val="231F20"/>
          <w:sz w:val="18"/>
        </w:rPr>
        <w:t>Borón,</w:t>
      </w:r>
      <w:r>
        <w:rPr>
          <w:color w:val="231F20"/>
          <w:spacing w:val="-18"/>
          <w:sz w:val="18"/>
        </w:rPr>
        <w:t> </w:t>
      </w:r>
      <w:r>
        <w:rPr>
          <w:color w:val="231F20"/>
          <w:sz w:val="18"/>
        </w:rPr>
        <w:t>Atilio</w:t>
      </w:r>
      <w:r>
        <w:rPr>
          <w:color w:val="231F20"/>
          <w:spacing w:val="-18"/>
          <w:sz w:val="18"/>
        </w:rPr>
        <w:t> </w:t>
      </w:r>
      <w:r>
        <w:rPr>
          <w:color w:val="231F20"/>
          <w:sz w:val="18"/>
        </w:rPr>
        <w:t>A.,</w:t>
      </w:r>
      <w:r>
        <w:rPr>
          <w:color w:val="231F20"/>
          <w:spacing w:val="-18"/>
          <w:sz w:val="18"/>
        </w:rPr>
        <w:t> </w:t>
      </w:r>
      <w:r>
        <w:rPr>
          <w:color w:val="231F20"/>
          <w:sz w:val="18"/>
        </w:rPr>
        <w:t>2004,</w:t>
      </w:r>
      <w:r>
        <w:rPr>
          <w:color w:val="231F20"/>
          <w:spacing w:val="-19"/>
          <w:sz w:val="18"/>
        </w:rPr>
        <w:t> </w:t>
      </w:r>
      <w:r>
        <w:rPr>
          <w:i/>
          <w:color w:val="231F20"/>
          <w:sz w:val="18"/>
        </w:rPr>
        <w:t>Imperio</w:t>
      </w:r>
      <w:r>
        <w:rPr>
          <w:i/>
          <w:color w:val="231F20"/>
          <w:spacing w:val="-18"/>
          <w:sz w:val="18"/>
        </w:rPr>
        <w:t> </w:t>
      </w:r>
      <w:r>
        <w:rPr>
          <w:i/>
          <w:color w:val="231F20"/>
          <w:sz w:val="18"/>
        </w:rPr>
        <w:t>e</w:t>
      </w:r>
      <w:r>
        <w:rPr>
          <w:i/>
          <w:color w:val="231F20"/>
          <w:spacing w:val="-18"/>
          <w:sz w:val="18"/>
        </w:rPr>
        <w:t> </w:t>
      </w:r>
      <w:r>
        <w:rPr>
          <w:i/>
          <w:color w:val="231F20"/>
          <w:sz w:val="18"/>
        </w:rPr>
        <w:t>Imperialismo.</w:t>
      </w:r>
      <w:r>
        <w:rPr>
          <w:i/>
          <w:color w:val="231F20"/>
          <w:spacing w:val="-18"/>
          <w:sz w:val="18"/>
        </w:rPr>
        <w:t> </w:t>
      </w:r>
      <w:r>
        <w:rPr>
          <w:i/>
          <w:color w:val="231F20"/>
          <w:sz w:val="18"/>
        </w:rPr>
        <w:t>Una</w:t>
      </w:r>
      <w:r>
        <w:rPr>
          <w:i/>
          <w:color w:val="231F20"/>
          <w:spacing w:val="-18"/>
          <w:sz w:val="18"/>
        </w:rPr>
        <w:t> </w:t>
      </w:r>
      <w:r>
        <w:rPr>
          <w:i/>
          <w:color w:val="231F20"/>
          <w:sz w:val="18"/>
        </w:rPr>
        <w:t>lectura</w:t>
      </w:r>
      <w:r>
        <w:rPr>
          <w:i/>
          <w:color w:val="231F20"/>
          <w:spacing w:val="-18"/>
          <w:sz w:val="18"/>
        </w:rPr>
        <w:t> </w:t>
      </w:r>
      <w:r>
        <w:rPr>
          <w:i/>
          <w:color w:val="231F20"/>
          <w:sz w:val="18"/>
        </w:rPr>
        <w:t>crítica</w:t>
      </w:r>
      <w:r>
        <w:rPr>
          <w:i/>
          <w:color w:val="231F20"/>
          <w:spacing w:val="-18"/>
          <w:sz w:val="18"/>
        </w:rPr>
        <w:t> </w:t>
      </w:r>
      <w:r>
        <w:rPr>
          <w:i/>
          <w:color w:val="231F20"/>
          <w:sz w:val="18"/>
        </w:rPr>
        <w:t>de</w:t>
      </w:r>
      <w:r>
        <w:rPr>
          <w:i/>
          <w:color w:val="231F20"/>
          <w:spacing w:val="-18"/>
          <w:sz w:val="18"/>
        </w:rPr>
        <w:t> </w:t>
      </w:r>
      <w:r>
        <w:rPr>
          <w:i/>
          <w:color w:val="231F20"/>
          <w:sz w:val="18"/>
        </w:rPr>
        <w:t>Michael</w:t>
      </w:r>
      <w:r>
        <w:rPr>
          <w:i/>
          <w:color w:val="231F20"/>
          <w:spacing w:val="-18"/>
          <w:sz w:val="18"/>
        </w:rPr>
        <w:t> </w:t>
      </w:r>
      <w:r>
        <w:rPr>
          <w:i/>
          <w:color w:val="231F20"/>
          <w:sz w:val="18"/>
        </w:rPr>
        <w:t>Hardt </w:t>
      </w:r>
      <w:r>
        <w:rPr>
          <w:i/>
          <w:color w:val="231F20"/>
          <w:sz w:val="18"/>
        </w:rPr>
        <w:t>y </w:t>
      </w:r>
      <w:r>
        <w:rPr>
          <w:i/>
          <w:color w:val="231F20"/>
          <w:w w:val="105"/>
          <w:sz w:val="18"/>
        </w:rPr>
        <w:t>Antonio Negri</w:t>
      </w:r>
      <w:r>
        <w:rPr>
          <w:color w:val="231F20"/>
          <w:w w:val="105"/>
          <w:sz w:val="18"/>
        </w:rPr>
        <w:t>, Buenos Aires</w:t>
      </w:r>
      <w:r>
        <w:rPr>
          <w:i/>
          <w:color w:val="231F20"/>
          <w:w w:val="105"/>
          <w:sz w:val="18"/>
        </w:rPr>
        <w:t>, </w:t>
      </w:r>
      <w:r>
        <w:rPr>
          <w:color w:val="231F20"/>
          <w:w w:val="105"/>
          <w:sz w:val="18"/>
        </w:rPr>
        <w:t>clacso, 5a.  </w:t>
      </w:r>
      <w:r>
        <w:rPr>
          <w:color w:val="231F20"/>
          <w:spacing w:val="13"/>
          <w:w w:val="105"/>
          <w:sz w:val="18"/>
        </w:rPr>
        <w:t> </w:t>
      </w:r>
      <w:r>
        <w:rPr>
          <w:color w:val="231F20"/>
          <w:w w:val="105"/>
          <w:sz w:val="18"/>
        </w:rPr>
        <w:t>ed.</w:t>
      </w:r>
    </w:p>
    <w:p>
      <w:pPr>
        <w:spacing w:before="1"/>
        <w:ind w:left="100" w:right="25" w:firstLine="0"/>
        <w:jc w:val="left"/>
        <w:rPr>
          <w:sz w:val="18"/>
        </w:rPr>
      </w:pPr>
      <w:r>
        <w:rPr>
          <w:color w:val="231F20"/>
          <w:w w:val="105"/>
          <w:sz w:val="18"/>
        </w:rPr>
        <w:t>Castro Ruz, Fidel, 2010</w:t>
      </w:r>
      <w:r>
        <w:rPr>
          <w:i/>
          <w:color w:val="231F20"/>
          <w:w w:val="105"/>
          <w:sz w:val="18"/>
        </w:rPr>
        <w:t>, “</w:t>
      </w:r>
      <w:r>
        <w:rPr>
          <w:color w:val="231F20"/>
          <w:w w:val="105"/>
          <w:sz w:val="18"/>
        </w:rPr>
        <w:t>El Origen de las Guerras”, </w:t>
      </w:r>
      <w:r>
        <w:rPr>
          <w:i/>
          <w:color w:val="231F20"/>
          <w:w w:val="105"/>
          <w:sz w:val="18"/>
        </w:rPr>
        <w:t>Reflexiones</w:t>
      </w:r>
      <w:r>
        <w:rPr>
          <w:color w:val="231F20"/>
          <w:w w:val="105"/>
          <w:sz w:val="18"/>
        </w:rPr>
        <w:t>, 11 de  julio.</w:t>
      </w:r>
    </w:p>
    <w:p>
      <w:pPr>
        <w:spacing w:line="254" w:lineRule="auto" w:before="13"/>
        <w:ind w:left="340" w:right="118" w:hanging="240"/>
        <w:jc w:val="both"/>
        <w:rPr>
          <w:sz w:val="18"/>
        </w:rPr>
      </w:pPr>
      <w:r>
        <w:rPr>
          <w:color w:val="231F20"/>
          <w:w w:val="105"/>
          <w:sz w:val="18"/>
        </w:rPr>
        <w:t>Chomsky, Noam, 2004, “El último pretexto de EU para la intervención es la droga”, Bogotá, </w:t>
      </w:r>
      <w:r>
        <w:rPr>
          <w:i/>
          <w:color w:val="231F20"/>
          <w:w w:val="105"/>
          <w:sz w:val="18"/>
        </w:rPr>
        <w:t>El Espectador, </w:t>
      </w:r>
      <w:r>
        <w:rPr>
          <w:color w:val="231F20"/>
          <w:w w:val="105"/>
          <w:sz w:val="18"/>
        </w:rPr>
        <w:t>semana del 22-28 de agosto.</w:t>
      </w:r>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tabs>
          <w:tab w:pos="459" w:val="left" w:leader="none"/>
        </w:tabs>
        <w:spacing w:before="7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2009, entrevista con Eva Golinger,  </w:t>
      </w:r>
      <w:r>
        <w:rPr>
          <w:color w:val="231F20"/>
          <w:spacing w:val="20"/>
          <w:w w:val="105"/>
          <w:sz w:val="18"/>
        </w:rPr>
        <w:t> </w:t>
      </w:r>
      <w:r>
        <w:rPr>
          <w:color w:val="231F20"/>
          <w:spacing w:val="-5"/>
          <w:w w:val="105"/>
          <w:sz w:val="18"/>
        </w:rPr>
        <w:t>Telesur.</w:t>
      </w:r>
    </w:p>
    <w:p>
      <w:pPr>
        <w:spacing w:before="13"/>
        <w:ind w:left="100" w:right="25" w:firstLine="0"/>
        <w:jc w:val="left"/>
        <w:rPr>
          <w:sz w:val="18"/>
        </w:rPr>
      </w:pPr>
      <w:r>
        <w:rPr>
          <w:color w:val="231F20"/>
          <w:w w:val="110"/>
          <w:sz w:val="18"/>
        </w:rPr>
        <w:t>Che Guevara, Ernesto, 1961(2006), “Punta del Este”, Ocean Sur.</w:t>
      </w:r>
    </w:p>
    <w:p>
      <w:pPr>
        <w:spacing w:line="254" w:lineRule="auto" w:before="13"/>
        <w:ind w:left="340" w:right="104" w:hanging="240"/>
        <w:jc w:val="left"/>
        <w:rPr>
          <w:sz w:val="18"/>
        </w:rPr>
      </w:pPr>
      <w:r>
        <w:rPr>
          <w:color w:val="231F20"/>
          <w:w w:val="110"/>
          <w:sz w:val="18"/>
        </w:rPr>
        <w:t>Cruz,</w:t>
      </w:r>
      <w:r>
        <w:rPr>
          <w:color w:val="231F20"/>
          <w:spacing w:val="-22"/>
          <w:w w:val="110"/>
          <w:sz w:val="18"/>
        </w:rPr>
        <w:t> </w:t>
      </w:r>
      <w:r>
        <w:rPr>
          <w:color w:val="231F20"/>
          <w:w w:val="110"/>
          <w:sz w:val="18"/>
        </w:rPr>
        <w:t>Sandro,</w:t>
      </w:r>
      <w:r>
        <w:rPr>
          <w:color w:val="231F20"/>
          <w:spacing w:val="-22"/>
          <w:w w:val="110"/>
          <w:sz w:val="18"/>
        </w:rPr>
        <w:t> </w:t>
      </w:r>
      <w:r>
        <w:rPr>
          <w:color w:val="231F20"/>
          <w:w w:val="110"/>
          <w:sz w:val="18"/>
        </w:rPr>
        <w:t>2008,</w:t>
      </w:r>
      <w:r>
        <w:rPr>
          <w:color w:val="231F20"/>
          <w:spacing w:val="-22"/>
          <w:w w:val="110"/>
          <w:sz w:val="18"/>
        </w:rPr>
        <w:t> </w:t>
      </w:r>
      <w:r>
        <w:rPr>
          <w:color w:val="231F20"/>
          <w:w w:val="110"/>
          <w:sz w:val="18"/>
        </w:rPr>
        <w:t>entrevista</w:t>
      </w:r>
      <w:r>
        <w:rPr>
          <w:color w:val="231F20"/>
          <w:spacing w:val="-22"/>
          <w:w w:val="110"/>
          <w:sz w:val="18"/>
        </w:rPr>
        <w:t> </w:t>
      </w:r>
      <w:r>
        <w:rPr>
          <w:color w:val="231F20"/>
          <w:w w:val="110"/>
          <w:sz w:val="18"/>
        </w:rPr>
        <w:t>con</w:t>
      </w:r>
      <w:r>
        <w:rPr>
          <w:color w:val="231F20"/>
          <w:spacing w:val="-22"/>
          <w:w w:val="110"/>
          <w:sz w:val="18"/>
        </w:rPr>
        <w:t> </w:t>
      </w:r>
      <w:r>
        <w:rPr>
          <w:color w:val="231F20"/>
          <w:w w:val="110"/>
          <w:sz w:val="18"/>
        </w:rPr>
        <w:t>Thierry</w:t>
      </w:r>
      <w:r>
        <w:rPr>
          <w:color w:val="231F20"/>
          <w:spacing w:val="-22"/>
          <w:w w:val="110"/>
          <w:sz w:val="18"/>
        </w:rPr>
        <w:t> </w:t>
      </w:r>
      <w:r>
        <w:rPr>
          <w:color w:val="231F20"/>
          <w:w w:val="110"/>
          <w:sz w:val="18"/>
        </w:rPr>
        <w:t>Meyssan</w:t>
      </w:r>
      <w:r>
        <w:rPr>
          <w:color w:val="231F20"/>
          <w:spacing w:val="-22"/>
          <w:w w:val="110"/>
          <w:sz w:val="18"/>
        </w:rPr>
        <w:t> </w:t>
      </w:r>
      <w:r>
        <w:rPr>
          <w:color w:val="231F20"/>
          <w:w w:val="110"/>
          <w:sz w:val="18"/>
        </w:rPr>
        <w:t>sobre</w:t>
      </w:r>
      <w:r>
        <w:rPr>
          <w:color w:val="231F20"/>
          <w:spacing w:val="-22"/>
          <w:w w:val="110"/>
          <w:sz w:val="18"/>
        </w:rPr>
        <w:t> </w:t>
      </w:r>
      <w:r>
        <w:rPr>
          <w:color w:val="231F20"/>
          <w:w w:val="110"/>
          <w:sz w:val="18"/>
        </w:rPr>
        <w:t>el</w:t>
      </w:r>
      <w:r>
        <w:rPr>
          <w:color w:val="231F20"/>
          <w:spacing w:val="-22"/>
          <w:w w:val="110"/>
          <w:sz w:val="18"/>
        </w:rPr>
        <w:t> </w:t>
      </w:r>
      <w:r>
        <w:rPr>
          <w:color w:val="231F20"/>
          <w:w w:val="110"/>
          <w:sz w:val="18"/>
        </w:rPr>
        <w:t>proceso</w:t>
      </w:r>
      <w:r>
        <w:rPr>
          <w:color w:val="231F20"/>
          <w:spacing w:val="-22"/>
          <w:w w:val="110"/>
          <w:sz w:val="18"/>
        </w:rPr>
        <w:t> </w:t>
      </w:r>
      <w:r>
        <w:rPr>
          <w:color w:val="231F20"/>
          <w:w w:val="110"/>
          <w:sz w:val="18"/>
        </w:rPr>
        <w:t>electoral en</w:t>
      </w:r>
      <w:r>
        <w:rPr>
          <w:color w:val="231F20"/>
          <w:spacing w:val="-5"/>
          <w:w w:val="110"/>
          <w:sz w:val="18"/>
        </w:rPr>
        <w:t> </w:t>
      </w:r>
      <w:r>
        <w:rPr>
          <w:color w:val="231F20"/>
          <w:w w:val="110"/>
          <w:sz w:val="18"/>
        </w:rPr>
        <w:t>Estados</w:t>
      </w:r>
      <w:r>
        <w:rPr>
          <w:color w:val="231F20"/>
          <w:spacing w:val="-5"/>
          <w:w w:val="110"/>
          <w:sz w:val="18"/>
        </w:rPr>
        <w:t> </w:t>
      </w:r>
      <w:r>
        <w:rPr>
          <w:color w:val="231F20"/>
          <w:w w:val="110"/>
          <w:sz w:val="18"/>
        </w:rPr>
        <w:t>Unidos,</w:t>
      </w:r>
      <w:r>
        <w:rPr>
          <w:color w:val="231F20"/>
          <w:spacing w:val="-5"/>
          <w:w w:val="110"/>
          <w:sz w:val="18"/>
        </w:rPr>
        <w:t> </w:t>
      </w:r>
      <w:r>
        <w:rPr>
          <w:color w:val="231F20"/>
          <w:w w:val="110"/>
          <w:sz w:val="18"/>
        </w:rPr>
        <w:t>“Presidencial</w:t>
      </w:r>
      <w:r>
        <w:rPr>
          <w:color w:val="231F20"/>
          <w:spacing w:val="-5"/>
          <w:w w:val="110"/>
          <w:sz w:val="18"/>
        </w:rPr>
        <w:t> </w:t>
      </w:r>
      <w:r>
        <w:rPr>
          <w:color w:val="231F20"/>
          <w:w w:val="110"/>
          <w:sz w:val="18"/>
        </w:rPr>
        <w:t>USA</w:t>
      </w:r>
      <w:r>
        <w:rPr>
          <w:color w:val="231F20"/>
          <w:spacing w:val="-5"/>
          <w:w w:val="110"/>
          <w:sz w:val="18"/>
        </w:rPr>
        <w:t> </w:t>
      </w:r>
      <w:r>
        <w:rPr>
          <w:color w:val="231F20"/>
          <w:w w:val="110"/>
          <w:sz w:val="18"/>
        </w:rPr>
        <w:t>2008:</w:t>
      </w:r>
      <w:r>
        <w:rPr>
          <w:color w:val="231F20"/>
          <w:spacing w:val="-5"/>
          <w:w w:val="110"/>
          <w:sz w:val="18"/>
        </w:rPr>
        <w:t> </w:t>
      </w:r>
      <w:r>
        <w:rPr>
          <w:color w:val="231F20"/>
          <w:w w:val="110"/>
          <w:sz w:val="18"/>
        </w:rPr>
        <w:t>Un</w:t>
      </w:r>
      <w:r>
        <w:rPr>
          <w:color w:val="231F20"/>
          <w:spacing w:val="-5"/>
          <w:w w:val="110"/>
          <w:sz w:val="18"/>
        </w:rPr>
        <w:t> </w:t>
      </w:r>
      <w:r>
        <w:rPr>
          <w:color w:val="231F20"/>
          <w:w w:val="110"/>
          <w:sz w:val="18"/>
        </w:rPr>
        <w:t>show</w:t>
      </w:r>
      <w:r>
        <w:rPr>
          <w:color w:val="231F20"/>
          <w:spacing w:val="-5"/>
          <w:w w:val="110"/>
          <w:sz w:val="18"/>
        </w:rPr>
        <w:t> </w:t>
      </w:r>
      <w:r>
        <w:rPr>
          <w:color w:val="231F20"/>
          <w:w w:val="110"/>
          <w:sz w:val="18"/>
        </w:rPr>
        <w:t>antidemocrático”,</w:t>
      </w:r>
    </w:p>
    <w:p>
      <w:pPr>
        <w:spacing w:before="1"/>
        <w:ind w:left="340" w:right="25" w:firstLine="0"/>
        <w:jc w:val="left"/>
        <w:rPr>
          <w:sz w:val="18"/>
        </w:rPr>
      </w:pPr>
      <w:hyperlink r:id="rId391">
        <w:r>
          <w:rPr>
            <w:color w:val="231F20"/>
            <w:w w:val="105"/>
            <w:sz w:val="18"/>
          </w:rPr>
          <w:t>&lt;www.voltairenet.org/article157134.html&gt;,</w:t>
        </w:r>
      </w:hyperlink>
      <w:r>
        <w:rPr>
          <w:color w:val="231F20"/>
          <w:w w:val="105"/>
          <w:sz w:val="18"/>
        </w:rPr>
        <w:t>  26  de mayo.</w:t>
      </w:r>
    </w:p>
    <w:p>
      <w:pPr>
        <w:spacing w:line="254" w:lineRule="auto" w:before="13"/>
        <w:ind w:left="340" w:right="25" w:hanging="240"/>
        <w:jc w:val="left"/>
        <w:rPr>
          <w:sz w:val="18"/>
        </w:rPr>
      </w:pPr>
      <w:r>
        <w:rPr>
          <w:color w:val="231F20"/>
          <w:w w:val="105"/>
          <w:sz w:val="18"/>
        </w:rPr>
        <w:t>Douglass K., Daniel, 2008, “Study: False statements preceded war”, </w:t>
      </w:r>
      <w:r>
        <w:rPr>
          <w:i/>
          <w:color w:val="231F20"/>
          <w:w w:val="105"/>
          <w:sz w:val="18"/>
        </w:rPr>
        <w:t>Associated </w:t>
      </w:r>
      <w:r>
        <w:rPr>
          <w:i/>
          <w:color w:val="231F20"/>
          <w:w w:val="105"/>
          <w:sz w:val="18"/>
        </w:rPr>
        <w:t>Press</w:t>
      </w:r>
      <w:r>
        <w:rPr>
          <w:color w:val="231F20"/>
          <w:w w:val="105"/>
          <w:sz w:val="18"/>
        </w:rPr>
        <w:t>, 23 de junio.</w:t>
      </w:r>
    </w:p>
    <w:p>
      <w:pPr>
        <w:spacing w:line="254" w:lineRule="auto" w:before="1"/>
        <w:ind w:left="340" w:right="103" w:hanging="240"/>
        <w:jc w:val="left"/>
        <w:rPr>
          <w:sz w:val="18"/>
        </w:rPr>
      </w:pPr>
      <w:r>
        <w:rPr>
          <w:color w:val="231F20"/>
          <w:w w:val="105"/>
          <w:sz w:val="18"/>
        </w:rPr>
        <w:t>Duberstein, Kenneth y Thomas F. Mclarty, 2008, “Our Free-Trade Consen- sus”, </w:t>
      </w:r>
      <w:r>
        <w:rPr>
          <w:i/>
          <w:color w:val="231F20"/>
          <w:w w:val="105"/>
          <w:sz w:val="18"/>
        </w:rPr>
        <w:t>Wall Street Journal, </w:t>
      </w:r>
      <w:r>
        <w:rPr>
          <w:color w:val="231F20"/>
          <w:w w:val="105"/>
          <w:sz w:val="18"/>
        </w:rPr>
        <w:t>4 de abril, p. A13.</w:t>
      </w:r>
    </w:p>
    <w:p>
      <w:pPr>
        <w:spacing w:before="1"/>
        <w:ind w:left="100" w:right="25" w:firstLine="0"/>
        <w:jc w:val="left"/>
        <w:rPr>
          <w:sz w:val="18"/>
        </w:rPr>
      </w:pPr>
      <w:r>
        <w:rPr>
          <w:color w:val="231F20"/>
          <w:w w:val="110"/>
          <w:sz w:val="18"/>
        </w:rPr>
        <w:t>efe, 2008, “Obama inicia apertura”, 23 de mayo.</w:t>
      </w:r>
    </w:p>
    <w:p>
      <w:pPr>
        <w:spacing w:before="13"/>
        <w:ind w:left="100" w:right="25" w:firstLine="0"/>
        <w:jc w:val="left"/>
        <w:rPr>
          <w:sz w:val="18"/>
        </w:rPr>
      </w:pPr>
      <w:r>
        <w:rPr>
          <w:i/>
          <w:color w:val="231F20"/>
          <w:w w:val="105"/>
          <w:sz w:val="18"/>
        </w:rPr>
        <w:t>El Espectador, </w:t>
      </w:r>
      <w:r>
        <w:rPr>
          <w:color w:val="231F20"/>
          <w:w w:val="105"/>
          <w:sz w:val="18"/>
        </w:rPr>
        <w:t>2008a, “Las otras guerras de Colombia”, Bogotá, 9 de agosto.</w:t>
      </w:r>
    </w:p>
    <w:p>
      <w:pPr>
        <w:tabs>
          <w:tab w:pos="465"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w w:val="110"/>
          <w:sz w:val="18"/>
        </w:rPr>
        <w:t>,</w:t>
      </w:r>
      <w:r>
        <w:rPr>
          <w:color w:val="231F20"/>
          <w:spacing w:val="31"/>
          <w:w w:val="110"/>
          <w:sz w:val="18"/>
        </w:rPr>
        <w:t> </w:t>
      </w:r>
      <w:r>
        <w:rPr>
          <w:color w:val="231F20"/>
          <w:w w:val="110"/>
          <w:sz w:val="18"/>
        </w:rPr>
        <w:t>2008b,</w:t>
      </w:r>
      <w:r>
        <w:rPr>
          <w:color w:val="231F20"/>
          <w:spacing w:val="31"/>
          <w:w w:val="110"/>
          <w:sz w:val="18"/>
        </w:rPr>
        <w:t> </w:t>
      </w:r>
      <w:r>
        <w:rPr>
          <w:color w:val="231F20"/>
          <w:w w:val="110"/>
          <w:sz w:val="18"/>
        </w:rPr>
        <w:t>“EEUU</w:t>
      </w:r>
      <w:r>
        <w:rPr>
          <w:color w:val="231F20"/>
          <w:spacing w:val="31"/>
          <w:w w:val="110"/>
          <w:sz w:val="18"/>
        </w:rPr>
        <w:t> </w:t>
      </w:r>
      <w:r>
        <w:rPr>
          <w:color w:val="231F20"/>
          <w:w w:val="110"/>
          <w:sz w:val="18"/>
        </w:rPr>
        <w:t>preocupado</w:t>
      </w:r>
      <w:r>
        <w:rPr>
          <w:color w:val="231F20"/>
          <w:spacing w:val="31"/>
          <w:w w:val="110"/>
          <w:sz w:val="18"/>
        </w:rPr>
        <w:t> </w:t>
      </w:r>
      <w:r>
        <w:rPr>
          <w:color w:val="231F20"/>
          <w:w w:val="110"/>
          <w:sz w:val="18"/>
        </w:rPr>
        <w:t>por</w:t>
      </w:r>
      <w:r>
        <w:rPr>
          <w:color w:val="231F20"/>
          <w:spacing w:val="31"/>
          <w:w w:val="110"/>
          <w:sz w:val="18"/>
        </w:rPr>
        <w:t> </w:t>
      </w:r>
      <w:r>
        <w:rPr>
          <w:color w:val="231F20"/>
          <w:w w:val="110"/>
          <w:sz w:val="18"/>
        </w:rPr>
        <w:t>compras</w:t>
      </w:r>
      <w:r>
        <w:rPr>
          <w:color w:val="231F20"/>
          <w:spacing w:val="31"/>
          <w:w w:val="110"/>
          <w:sz w:val="18"/>
        </w:rPr>
        <w:t> </w:t>
      </w:r>
      <w:r>
        <w:rPr>
          <w:color w:val="231F20"/>
          <w:w w:val="110"/>
          <w:sz w:val="18"/>
        </w:rPr>
        <w:t>de</w:t>
      </w:r>
      <w:r>
        <w:rPr>
          <w:color w:val="231F20"/>
          <w:spacing w:val="31"/>
          <w:w w:val="110"/>
          <w:sz w:val="18"/>
        </w:rPr>
        <w:t> </w:t>
      </w:r>
      <w:r>
        <w:rPr>
          <w:color w:val="231F20"/>
          <w:w w:val="110"/>
          <w:sz w:val="18"/>
        </w:rPr>
        <w:t>armas</w:t>
      </w:r>
      <w:r>
        <w:rPr>
          <w:color w:val="231F20"/>
          <w:spacing w:val="31"/>
          <w:w w:val="110"/>
          <w:sz w:val="18"/>
        </w:rPr>
        <w:t> </w:t>
      </w:r>
      <w:r>
        <w:rPr>
          <w:color w:val="231F20"/>
          <w:w w:val="110"/>
          <w:sz w:val="18"/>
        </w:rPr>
        <w:t>en</w:t>
      </w:r>
      <w:r>
        <w:rPr>
          <w:color w:val="231F20"/>
          <w:spacing w:val="31"/>
          <w:w w:val="110"/>
          <w:sz w:val="18"/>
        </w:rPr>
        <w:t> </w:t>
      </w:r>
      <w:r>
        <w:rPr>
          <w:color w:val="231F20"/>
          <w:w w:val="110"/>
          <w:sz w:val="18"/>
        </w:rPr>
        <w:t>Venezuela”.</w:t>
      </w:r>
    </w:p>
    <w:p>
      <w:pPr>
        <w:spacing w:before="13"/>
        <w:ind w:left="340" w:right="25" w:firstLine="0"/>
        <w:jc w:val="left"/>
        <w:rPr>
          <w:sz w:val="18"/>
        </w:rPr>
      </w:pPr>
      <w:r>
        <w:rPr>
          <w:color w:val="231F20"/>
          <w:w w:val="110"/>
          <w:sz w:val="18"/>
        </w:rPr>
        <w:t>Bogotá, 12 de enero</w:t>
      </w:r>
    </w:p>
    <w:p>
      <w:pPr>
        <w:tabs>
          <w:tab w:pos="45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w w:val="110"/>
          <w:sz w:val="18"/>
        </w:rPr>
        <w:t>, 2008c, “La onu ya no cuenta cultivos”, Bogotá, 20 de</w:t>
      </w:r>
      <w:r>
        <w:rPr>
          <w:color w:val="231F20"/>
          <w:spacing w:val="-16"/>
          <w:w w:val="110"/>
          <w:sz w:val="18"/>
        </w:rPr>
        <w:t> </w:t>
      </w:r>
      <w:r>
        <w:rPr>
          <w:color w:val="231F20"/>
          <w:w w:val="110"/>
          <w:sz w:val="18"/>
        </w:rPr>
        <w:t>junio.</w:t>
      </w:r>
    </w:p>
    <w:p>
      <w:pPr>
        <w:spacing w:before="13"/>
        <w:ind w:left="100" w:right="25" w:firstLine="0"/>
        <w:jc w:val="left"/>
        <w:rPr>
          <w:sz w:val="18"/>
        </w:rPr>
      </w:pPr>
      <w:r>
        <w:rPr>
          <w:i/>
          <w:color w:val="231F20"/>
          <w:w w:val="110"/>
          <w:sz w:val="18"/>
        </w:rPr>
        <w:t>El País</w:t>
      </w:r>
      <w:r>
        <w:rPr>
          <w:color w:val="231F20"/>
          <w:w w:val="110"/>
          <w:sz w:val="18"/>
        </w:rPr>
        <w:t>, 2008, “Pulso político en EU por el </w:t>
      </w:r>
      <w:r>
        <w:rPr>
          <w:color w:val="231F20"/>
          <w:w w:val="140"/>
          <w:sz w:val="18"/>
        </w:rPr>
        <w:t>tlc </w:t>
      </w:r>
      <w:r>
        <w:rPr>
          <w:color w:val="231F20"/>
          <w:w w:val="110"/>
          <w:sz w:val="18"/>
        </w:rPr>
        <w:t>al rojo”, Cali, 16 de julio.</w:t>
      </w:r>
    </w:p>
    <w:p>
      <w:pPr>
        <w:spacing w:line="254" w:lineRule="auto" w:before="13"/>
        <w:ind w:left="340" w:right="30" w:hanging="240"/>
        <w:jc w:val="left"/>
        <w:rPr>
          <w:sz w:val="18"/>
        </w:rPr>
      </w:pPr>
      <w:r>
        <w:rPr>
          <w:i/>
          <w:color w:val="231F20"/>
          <w:w w:val="110"/>
          <w:sz w:val="18"/>
        </w:rPr>
        <w:t>El Tiempo</w:t>
      </w:r>
      <w:r>
        <w:rPr>
          <w:color w:val="231F20"/>
          <w:w w:val="110"/>
          <w:sz w:val="18"/>
        </w:rPr>
        <w:t>, 2008a, “Para promover el </w:t>
      </w:r>
      <w:r>
        <w:rPr>
          <w:color w:val="231F20"/>
          <w:w w:val="120"/>
          <w:sz w:val="18"/>
        </w:rPr>
        <w:t>tlc, </w:t>
      </w:r>
      <w:r>
        <w:rPr>
          <w:color w:val="231F20"/>
          <w:w w:val="110"/>
          <w:sz w:val="18"/>
        </w:rPr>
        <w:t>Condoleezza Rice visita Colombia entre el jueves y el viernes”, Bogotá, 22 de enero.</w:t>
      </w:r>
    </w:p>
    <w:p>
      <w:pPr>
        <w:tabs>
          <w:tab w:pos="459" w:val="left" w:leader="none"/>
        </w:tabs>
        <w:spacing w:line="254" w:lineRule="auto" w:before="1"/>
        <w:ind w:left="340" w:right="117" w:hanging="240"/>
        <w:jc w:val="left"/>
        <w:rPr>
          <w:sz w:val="18"/>
        </w:rPr>
      </w:pPr>
      <w:r>
        <w:rPr>
          <w:i/>
          <w:color w:val="231F20"/>
          <w:w w:val="104"/>
          <w:sz w:val="18"/>
          <w:u w:val="single" w:color="221E1F"/>
        </w:rPr>
        <w:t> </w:t>
      </w:r>
      <w:r>
        <w:rPr>
          <w:i/>
          <w:color w:val="231F20"/>
          <w:sz w:val="18"/>
          <w:u w:val="single" w:color="221E1F"/>
        </w:rPr>
        <w:tab/>
        <w:tab/>
      </w:r>
      <w:r>
        <w:rPr>
          <w:i/>
          <w:color w:val="231F20"/>
          <w:w w:val="115"/>
          <w:sz w:val="18"/>
        </w:rPr>
        <w:t>,</w:t>
      </w:r>
      <w:r>
        <w:rPr>
          <w:i/>
          <w:color w:val="231F20"/>
          <w:spacing w:val="-19"/>
          <w:w w:val="115"/>
          <w:sz w:val="18"/>
        </w:rPr>
        <w:t> </w:t>
      </w:r>
      <w:r>
        <w:rPr>
          <w:color w:val="231F20"/>
          <w:w w:val="115"/>
          <w:sz w:val="18"/>
        </w:rPr>
        <w:t>2008b,</w:t>
      </w:r>
      <w:r>
        <w:rPr>
          <w:color w:val="231F20"/>
          <w:spacing w:val="-19"/>
          <w:w w:val="115"/>
          <w:sz w:val="18"/>
        </w:rPr>
        <w:t> </w:t>
      </w:r>
      <w:r>
        <w:rPr>
          <w:color w:val="231F20"/>
          <w:w w:val="115"/>
          <w:sz w:val="18"/>
        </w:rPr>
        <w:t>“Barack</w:t>
      </w:r>
      <w:r>
        <w:rPr>
          <w:color w:val="231F20"/>
          <w:spacing w:val="-19"/>
          <w:w w:val="115"/>
          <w:sz w:val="18"/>
        </w:rPr>
        <w:t> </w:t>
      </w:r>
      <w:r>
        <w:rPr>
          <w:color w:val="231F20"/>
          <w:w w:val="115"/>
          <w:sz w:val="18"/>
        </w:rPr>
        <w:t>Obama</w:t>
      </w:r>
      <w:r>
        <w:rPr>
          <w:color w:val="231F20"/>
          <w:spacing w:val="-19"/>
          <w:w w:val="115"/>
          <w:sz w:val="18"/>
        </w:rPr>
        <w:t> </w:t>
      </w:r>
      <w:r>
        <w:rPr>
          <w:color w:val="231F20"/>
          <w:w w:val="115"/>
          <w:sz w:val="18"/>
        </w:rPr>
        <w:t>pedirá</w:t>
      </w:r>
      <w:r>
        <w:rPr>
          <w:color w:val="231F20"/>
          <w:spacing w:val="-19"/>
          <w:w w:val="115"/>
          <w:sz w:val="18"/>
        </w:rPr>
        <w:t> </w:t>
      </w:r>
      <w:r>
        <w:rPr>
          <w:color w:val="231F20"/>
          <w:w w:val="115"/>
          <w:sz w:val="18"/>
        </w:rPr>
        <w:t>cuentas</w:t>
      </w:r>
      <w:r>
        <w:rPr>
          <w:color w:val="231F20"/>
          <w:spacing w:val="-19"/>
          <w:w w:val="115"/>
          <w:sz w:val="18"/>
        </w:rPr>
        <w:t> </w:t>
      </w:r>
      <w:r>
        <w:rPr>
          <w:color w:val="231F20"/>
          <w:w w:val="115"/>
          <w:sz w:val="18"/>
        </w:rPr>
        <w:t>a</w:t>
      </w:r>
      <w:r>
        <w:rPr>
          <w:color w:val="231F20"/>
          <w:spacing w:val="-19"/>
          <w:w w:val="115"/>
          <w:sz w:val="18"/>
        </w:rPr>
        <w:t> </w:t>
      </w:r>
      <w:r>
        <w:rPr>
          <w:color w:val="231F20"/>
          <w:w w:val="115"/>
          <w:sz w:val="18"/>
        </w:rPr>
        <w:t>Hugo</w:t>
      </w:r>
      <w:r>
        <w:rPr>
          <w:color w:val="231F20"/>
          <w:spacing w:val="-19"/>
          <w:w w:val="115"/>
          <w:sz w:val="18"/>
        </w:rPr>
        <w:t> </w:t>
      </w:r>
      <w:r>
        <w:rPr>
          <w:color w:val="231F20"/>
          <w:w w:val="115"/>
          <w:sz w:val="18"/>
        </w:rPr>
        <w:t>Chávez</w:t>
      </w:r>
      <w:r>
        <w:rPr>
          <w:color w:val="231F20"/>
          <w:spacing w:val="-19"/>
          <w:w w:val="115"/>
          <w:sz w:val="18"/>
        </w:rPr>
        <w:t> </w:t>
      </w:r>
      <w:r>
        <w:rPr>
          <w:color w:val="231F20"/>
          <w:w w:val="115"/>
          <w:sz w:val="18"/>
        </w:rPr>
        <w:t>por</w:t>
      </w:r>
      <w:r>
        <w:rPr>
          <w:color w:val="231F20"/>
          <w:spacing w:val="-19"/>
          <w:w w:val="115"/>
          <w:sz w:val="18"/>
        </w:rPr>
        <w:t> </w:t>
      </w:r>
      <w:r>
        <w:rPr>
          <w:color w:val="231F20"/>
          <w:w w:val="115"/>
          <w:sz w:val="18"/>
        </w:rPr>
        <w:t>nexos</w:t>
      </w:r>
      <w:r>
        <w:rPr>
          <w:color w:val="231F20"/>
          <w:spacing w:val="-19"/>
          <w:w w:val="115"/>
          <w:sz w:val="18"/>
        </w:rPr>
        <w:t> </w:t>
      </w:r>
      <w:r>
        <w:rPr>
          <w:color w:val="231F20"/>
          <w:w w:val="115"/>
          <w:sz w:val="18"/>
        </w:rPr>
        <w:t>con</w:t>
      </w:r>
      <w:r>
        <w:rPr>
          <w:color w:val="231F20"/>
          <w:w w:val="112"/>
          <w:sz w:val="18"/>
        </w:rPr>
        <w:t> </w:t>
      </w:r>
      <w:r>
        <w:rPr>
          <w:color w:val="231F20"/>
          <w:w w:val="115"/>
          <w:sz w:val="18"/>
        </w:rPr>
        <w:t>las</w:t>
      </w:r>
      <w:r>
        <w:rPr>
          <w:color w:val="231F20"/>
          <w:spacing w:val="-15"/>
          <w:w w:val="115"/>
          <w:sz w:val="18"/>
        </w:rPr>
        <w:t> </w:t>
      </w:r>
      <w:r>
        <w:rPr>
          <w:color w:val="231F20"/>
          <w:w w:val="115"/>
          <w:sz w:val="18"/>
        </w:rPr>
        <w:t>farc</w:t>
      </w:r>
      <w:r>
        <w:rPr>
          <w:color w:val="231F20"/>
          <w:spacing w:val="-15"/>
          <w:w w:val="115"/>
          <w:sz w:val="18"/>
        </w:rPr>
        <w:t> </w:t>
      </w:r>
      <w:r>
        <w:rPr>
          <w:color w:val="231F20"/>
          <w:w w:val="115"/>
          <w:sz w:val="18"/>
        </w:rPr>
        <w:t>si</w:t>
      </w:r>
      <w:r>
        <w:rPr>
          <w:color w:val="231F20"/>
          <w:spacing w:val="-15"/>
          <w:w w:val="115"/>
          <w:sz w:val="18"/>
        </w:rPr>
        <w:t> </w:t>
      </w:r>
      <w:r>
        <w:rPr>
          <w:color w:val="231F20"/>
          <w:w w:val="115"/>
          <w:sz w:val="18"/>
        </w:rPr>
        <w:t>es</w:t>
      </w:r>
      <w:r>
        <w:rPr>
          <w:color w:val="231F20"/>
          <w:spacing w:val="-15"/>
          <w:w w:val="115"/>
          <w:sz w:val="18"/>
        </w:rPr>
        <w:t> </w:t>
      </w:r>
      <w:r>
        <w:rPr>
          <w:color w:val="231F20"/>
          <w:w w:val="115"/>
          <w:sz w:val="18"/>
        </w:rPr>
        <w:t>elegido</w:t>
      </w:r>
      <w:r>
        <w:rPr>
          <w:color w:val="231F20"/>
          <w:spacing w:val="-15"/>
          <w:w w:val="115"/>
          <w:sz w:val="18"/>
        </w:rPr>
        <w:t> </w:t>
      </w:r>
      <w:r>
        <w:rPr>
          <w:color w:val="231F20"/>
          <w:w w:val="115"/>
          <w:sz w:val="18"/>
        </w:rPr>
        <w:t>presidente</w:t>
      </w:r>
      <w:r>
        <w:rPr>
          <w:color w:val="231F20"/>
          <w:spacing w:val="-15"/>
          <w:w w:val="115"/>
          <w:sz w:val="18"/>
        </w:rPr>
        <w:t> </w:t>
      </w:r>
      <w:r>
        <w:rPr>
          <w:color w:val="231F20"/>
          <w:w w:val="115"/>
          <w:sz w:val="18"/>
        </w:rPr>
        <w:t>de</w:t>
      </w:r>
      <w:r>
        <w:rPr>
          <w:color w:val="231F20"/>
          <w:spacing w:val="-15"/>
          <w:w w:val="115"/>
          <w:sz w:val="18"/>
        </w:rPr>
        <w:t> </w:t>
      </w:r>
      <w:r>
        <w:rPr>
          <w:color w:val="231F20"/>
          <w:w w:val="115"/>
          <w:sz w:val="18"/>
        </w:rPr>
        <w:t>EU”,</w:t>
      </w:r>
      <w:r>
        <w:rPr>
          <w:color w:val="231F20"/>
          <w:spacing w:val="-15"/>
          <w:w w:val="115"/>
          <w:sz w:val="18"/>
        </w:rPr>
        <w:t> </w:t>
      </w:r>
      <w:r>
        <w:rPr>
          <w:color w:val="231F20"/>
          <w:w w:val="115"/>
          <w:sz w:val="18"/>
        </w:rPr>
        <w:t>Bogotá,</w:t>
      </w:r>
      <w:r>
        <w:rPr>
          <w:color w:val="231F20"/>
          <w:spacing w:val="-15"/>
          <w:w w:val="115"/>
          <w:sz w:val="18"/>
        </w:rPr>
        <w:t> </w:t>
      </w:r>
      <w:r>
        <w:rPr>
          <w:color w:val="231F20"/>
          <w:w w:val="115"/>
          <w:sz w:val="18"/>
        </w:rPr>
        <w:t>23</w:t>
      </w:r>
      <w:r>
        <w:rPr>
          <w:color w:val="231F20"/>
          <w:spacing w:val="-15"/>
          <w:w w:val="115"/>
          <w:sz w:val="18"/>
        </w:rPr>
        <w:t> </w:t>
      </w:r>
      <w:r>
        <w:rPr>
          <w:color w:val="231F20"/>
          <w:w w:val="115"/>
          <w:sz w:val="18"/>
        </w:rPr>
        <w:t>de</w:t>
      </w:r>
      <w:r>
        <w:rPr>
          <w:color w:val="231F20"/>
          <w:spacing w:val="-15"/>
          <w:w w:val="115"/>
          <w:sz w:val="18"/>
        </w:rPr>
        <w:t> </w:t>
      </w:r>
      <w:r>
        <w:rPr>
          <w:color w:val="231F20"/>
          <w:w w:val="115"/>
          <w:sz w:val="18"/>
        </w:rPr>
        <w:t>mayo.</w:t>
      </w:r>
    </w:p>
    <w:p>
      <w:pPr>
        <w:tabs>
          <w:tab w:pos="459" w:val="left" w:leader="none"/>
        </w:tabs>
        <w:spacing w:line="254" w:lineRule="auto" w:before="1"/>
        <w:ind w:left="340" w:right="118" w:hanging="240"/>
        <w:jc w:val="left"/>
        <w:rPr>
          <w:sz w:val="18"/>
        </w:rPr>
      </w:pPr>
      <w:r>
        <w:rPr>
          <w:color w:val="231F20"/>
          <w:w w:val="104"/>
          <w:sz w:val="18"/>
          <w:u w:val="single" w:color="221E1F"/>
        </w:rPr>
        <w:t> </w:t>
      </w:r>
      <w:r>
        <w:rPr>
          <w:color w:val="231F20"/>
          <w:sz w:val="18"/>
          <w:u w:val="single" w:color="221E1F"/>
        </w:rPr>
        <w:tab/>
        <w:tab/>
      </w:r>
      <w:r>
        <w:rPr>
          <w:color w:val="231F20"/>
          <w:w w:val="105"/>
          <w:sz w:val="18"/>
        </w:rPr>
        <w:t>,</w:t>
      </w:r>
      <w:r>
        <w:rPr>
          <w:color w:val="231F20"/>
          <w:spacing w:val="30"/>
          <w:w w:val="105"/>
          <w:sz w:val="18"/>
        </w:rPr>
        <w:t> </w:t>
      </w:r>
      <w:r>
        <w:rPr>
          <w:color w:val="231F20"/>
          <w:w w:val="105"/>
          <w:sz w:val="18"/>
        </w:rPr>
        <w:t>2008c,</w:t>
      </w:r>
      <w:r>
        <w:rPr>
          <w:color w:val="231F20"/>
          <w:spacing w:val="30"/>
          <w:w w:val="105"/>
          <w:sz w:val="18"/>
        </w:rPr>
        <w:t> </w:t>
      </w:r>
      <w:r>
        <w:rPr>
          <w:color w:val="231F20"/>
          <w:w w:val="105"/>
          <w:sz w:val="18"/>
        </w:rPr>
        <w:t>“Esposos</w:t>
      </w:r>
      <w:r>
        <w:rPr>
          <w:color w:val="231F20"/>
          <w:spacing w:val="30"/>
          <w:w w:val="105"/>
          <w:sz w:val="18"/>
        </w:rPr>
        <w:t> </w:t>
      </w:r>
      <w:r>
        <w:rPr>
          <w:color w:val="231F20"/>
          <w:w w:val="105"/>
          <w:sz w:val="18"/>
        </w:rPr>
        <w:t>Clinton,</w:t>
      </w:r>
      <w:r>
        <w:rPr>
          <w:color w:val="231F20"/>
          <w:spacing w:val="30"/>
          <w:w w:val="105"/>
          <w:sz w:val="18"/>
        </w:rPr>
        <w:t> </w:t>
      </w:r>
      <w:r>
        <w:rPr>
          <w:color w:val="231F20"/>
          <w:w w:val="105"/>
          <w:sz w:val="18"/>
        </w:rPr>
        <w:t>divididos</w:t>
      </w:r>
      <w:r>
        <w:rPr>
          <w:color w:val="231F20"/>
          <w:spacing w:val="30"/>
          <w:w w:val="105"/>
          <w:sz w:val="18"/>
        </w:rPr>
        <w:t> </w:t>
      </w:r>
      <w:r>
        <w:rPr>
          <w:color w:val="231F20"/>
          <w:w w:val="105"/>
          <w:sz w:val="18"/>
        </w:rPr>
        <w:t>por</w:t>
      </w:r>
      <w:r>
        <w:rPr>
          <w:color w:val="231F20"/>
          <w:spacing w:val="30"/>
          <w:w w:val="105"/>
          <w:sz w:val="18"/>
        </w:rPr>
        <w:t> </w:t>
      </w:r>
      <w:r>
        <w:rPr>
          <w:color w:val="231F20"/>
          <w:w w:val="105"/>
          <w:sz w:val="18"/>
        </w:rPr>
        <w:t>tratado</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libre</w:t>
      </w:r>
      <w:r>
        <w:rPr>
          <w:color w:val="231F20"/>
          <w:spacing w:val="30"/>
          <w:w w:val="105"/>
          <w:sz w:val="18"/>
        </w:rPr>
        <w:t> </w:t>
      </w:r>
      <w:r>
        <w:rPr>
          <w:color w:val="231F20"/>
          <w:w w:val="105"/>
          <w:sz w:val="18"/>
        </w:rPr>
        <w:t>comercio</w:t>
      </w:r>
      <w:r>
        <w:rPr>
          <w:color w:val="231F20"/>
          <w:spacing w:val="30"/>
          <w:w w:val="105"/>
          <w:sz w:val="18"/>
        </w:rPr>
        <w:t> </w:t>
      </w:r>
      <w:r>
        <w:rPr>
          <w:color w:val="231F20"/>
          <w:w w:val="105"/>
          <w:sz w:val="18"/>
        </w:rPr>
        <w:t>con</w:t>
      </w:r>
      <w:r>
        <w:rPr>
          <w:color w:val="231F20"/>
          <w:w w:val="112"/>
          <w:sz w:val="18"/>
        </w:rPr>
        <w:t> </w:t>
      </w:r>
      <w:r>
        <w:rPr>
          <w:color w:val="231F20"/>
          <w:w w:val="105"/>
          <w:sz w:val="18"/>
        </w:rPr>
        <w:t>Colombia”, Bogotá, 9 de </w:t>
      </w:r>
      <w:r>
        <w:rPr>
          <w:color w:val="231F20"/>
          <w:spacing w:val="41"/>
          <w:w w:val="105"/>
          <w:sz w:val="18"/>
        </w:rPr>
        <w:t> </w:t>
      </w:r>
      <w:r>
        <w:rPr>
          <w:color w:val="231F20"/>
          <w:w w:val="105"/>
          <w:sz w:val="18"/>
        </w:rPr>
        <w:t>abril.</w:t>
      </w:r>
    </w:p>
    <w:p>
      <w:pPr>
        <w:tabs>
          <w:tab w:pos="459" w:val="left" w:leader="none"/>
        </w:tabs>
        <w:spacing w:before="1"/>
        <w:ind w:left="100" w:right="25" w:firstLine="0"/>
        <w:jc w:val="left"/>
        <w:rPr>
          <w:sz w:val="18"/>
        </w:rPr>
      </w:pPr>
      <w:r>
        <w:rPr>
          <w:i/>
          <w:color w:val="231F20"/>
          <w:w w:val="104"/>
          <w:sz w:val="18"/>
          <w:u w:val="single" w:color="221E1F"/>
        </w:rPr>
        <w:t> </w:t>
      </w:r>
      <w:r>
        <w:rPr>
          <w:i/>
          <w:color w:val="231F20"/>
          <w:sz w:val="18"/>
          <w:u w:val="single" w:color="221E1F"/>
        </w:rPr>
        <w:tab/>
      </w:r>
      <w:r>
        <w:rPr>
          <w:i/>
          <w:color w:val="231F20"/>
          <w:w w:val="110"/>
          <w:sz w:val="18"/>
        </w:rPr>
        <w:t>,</w:t>
      </w:r>
      <w:r>
        <w:rPr>
          <w:i/>
          <w:color w:val="231F20"/>
          <w:spacing w:val="17"/>
          <w:w w:val="110"/>
          <w:sz w:val="18"/>
        </w:rPr>
        <w:t> </w:t>
      </w:r>
      <w:r>
        <w:rPr>
          <w:color w:val="231F20"/>
          <w:w w:val="110"/>
          <w:sz w:val="18"/>
        </w:rPr>
        <w:t>2008d,</w:t>
      </w:r>
      <w:r>
        <w:rPr>
          <w:color w:val="231F20"/>
          <w:spacing w:val="17"/>
          <w:w w:val="110"/>
          <w:sz w:val="18"/>
        </w:rPr>
        <w:t> </w:t>
      </w:r>
      <w:r>
        <w:rPr>
          <w:color w:val="231F20"/>
          <w:w w:val="110"/>
          <w:sz w:val="18"/>
        </w:rPr>
        <w:t>“Colombia</w:t>
      </w:r>
      <w:r>
        <w:rPr>
          <w:color w:val="231F20"/>
          <w:spacing w:val="17"/>
          <w:w w:val="110"/>
          <w:sz w:val="18"/>
        </w:rPr>
        <w:t> </w:t>
      </w:r>
      <w:r>
        <w:rPr>
          <w:color w:val="231F20"/>
          <w:w w:val="110"/>
          <w:sz w:val="18"/>
        </w:rPr>
        <w:t>rompe</w:t>
      </w:r>
      <w:r>
        <w:rPr>
          <w:color w:val="231F20"/>
          <w:spacing w:val="17"/>
          <w:w w:val="110"/>
          <w:sz w:val="18"/>
        </w:rPr>
        <w:t> </w:t>
      </w:r>
      <w:r>
        <w:rPr>
          <w:color w:val="231F20"/>
          <w:w w:val="110"/>
          <w:sz w:val="18"/>
        </w:rPr>
        <w:t>con</w:t>
      </w:r>
      <w:r>
        <w:rPr>
          <w:color w:val="231F20"/>
          <w:spacing w:val="17"/>
          <w:w w:val="110"/>
          <w:sz w:val="18"/>
        </w:rPr>
        <w:t> </w:t>
      </w:r>
      <w:r>
        <w:rPr>
          <w:color w:val="231F20"/>
          <w:w w:val="110"/>
          <w:sz w:val="18"/>
        </w:rPr>
        <w:t>firma</w:t>
      </w:r>
      <w:r>
        <w:rPr>
          <w:color w:val="231F20"/>
          <w:spacing w:val="17"/>
          <w:w w:val="110"/>
          <w:sz w:val="18"/>
        </w:rPr>
        <w:t> </w:t>
      </w:r>
      <w:r>
        <w:rPr>
          <w:color w:val="231F20"/>
          <w:w w:val="110"/>
          <w:sz w:val="18"/>
        </w:rPr>
        <w:t>que</w:t>
      </w:r>
      <w:r>
        <w:rPr>
          <w:color w:val="231F20"/>
          <w:spacing w:val="17"/>
          <w:w w:val="110"/>
          <w:sz w:val="18"/>
        </w:rPr>
        <w:t> </w:t>
      </w:r>
      <w:r>
        <w:rPr>
          <w:color w:val="231F20"/>
          <w:w w:val="110"/>
          <w:sz w:val="18"/>
        </w:rPr>
        <w:t>le</w:t>
      </w:r>
      <w:r>
        <w:rPr>
          <w:color w:val="231F20"/>
          <w:spacing w:val="17"/>
          <w:w w:val="110"/>
          <w:sz w:val="18"/>
        </w:rPr>
        <w:t> </w:t>
      </w:r>
      <w:r>
        <w:rPr>
          <w:color w:val="231F20"/>
          <w:w w:val="110"/>
          <w:sz w:val="18"/>
        </w:rPr>
        <w:t>hacía</w:t>
      </w:r>
      <w:r>
        <w:rPr>
          <w:color w:val="231F20"/>
          <w:spacing w:val="17"/>
          <w:w w:val="110"/>
          <w:sz w:val="18"/>
        </w:rPr>
        <w:t> </w:t>
      </w:r>
      <w:r>
        <w:rPr>
          <w:color w:val="231F20"/>
          <w:w w:val="110"/>
          <w:sz w:val="18"/>
        </w:rPr>
        <w:t>‘lobby’</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EU</w:t>
      </w:r>
      <w:r>
        <w:rPr>
          <w:color w:val="231F20"/>
          <w:spacing w:val="17"/>
          <w:w w:val="110"/>
          <w:sz w:val="18"/>
        </w:rPr>
        <w:t> </w:t>
      </w:r>
      <w:r>
        <w:rPr>
          <w:color w:val="231F20"/>
          <w:w w:val="110"/>
          <w:sz w:val="18"/>
        </w:rPr>
        <w:t>por</w:t>
      </w:r>
    </w:p>
    <w:p>
      <w:pPr>
        <w:spacing w:before="13"/>
        <w:ind w:left="340" w:right="25" w:firstLine="0"/>
        <w:jc w:val="left"/>
        <w:rPr>
          <w:sz w:val="18"/>
        </w:rPr>
      </w:pPr>
      <w:r>
        <w:rPr>
          <w:color w:val="231F20"/>
          <w:w w:val="115"/>
          <w:sz w:val="18"/>
        </w:rPr>
        <w:t>tlc”, 5 de abril.</w:t>
      </w:r>
    </w:p>
    <w:p>
      <w:pPr>
        <w:tabs>
          <w:tab w:pos="459" w:val="left" w:leader="none"/>
        </w:tabs>
        <w:spacing w:line="254" w:lineRule="auto" w:before="13"/>
        <w:ind w:left="340" w:right="118" w:hanging="240"/>
        <w:jc w:val="left"/>
        <w:rPr>
          <w:sz w:val="18"/>
        </w:rPr>
      </w:pPr>
      <w:r>
        <w:rPr>
          <w:color w:val="231F20"/>
          <w:w w:val="104"/>
          <w:sz w:val="18"/>
          <w:u w:val="single" w:color="221E1F"/>
        </w:rPr>
        <w:t> </w:t>
      </w:r>
      <w:r>
        <w:rPr>
          <w:color w:val="231F20"/>
          <w:sz w:val="18"/>
          <w:u w:val="single" w:color="221E1F"/>
        </w:rPr>
        <w:tab/>
        <w:tab/>
      </w:r>
      <w:r>
        <w:rPr>
          <w:color w:val="231F20"/>
          <w:w w:val="110"/>
          <w:sz w:val="18"/>
        </w:rPr>
        <w:t>, 2008e, “Oposición a </w:t>
      </w:r>
      <w:r>
        <w:rPr>
          <w:color w:val="231F20"/>
          <w:spacing w:val="-3"/>
          <w:w w:val="110"/>
          <w:sz w:val="18"/>
        </w:rPr>
        <w:t>Tratados </w:t>
      </w:r>
      <w:r>
        <w:rPr>
          <w:color w:val="231F20"/>
          <w:w w:val="110"/>
          <w:sz w:val="18"/>
        </w:rPr>
        <w:t>de Libre Comercio se ha </w:t>
      </w:r>
      <w:r>
        <w:rPr>
          <w:color w:val="231F20"/>
          <w:spacing w:val="12"/>
          <w:w w:val="110"/>
          <w:sz w:val="18"/>
        </w:rPr>
        <w:t> </w:t>
      </w:r>
      <w:r>
        <w:rPr>
          <w:color w:val="231F20"/>
          <w:w w:val="110"/>
          <w:sz w:val="18"/>
        </w:rPr>
        <w:t>convertido</w:t>
      </w:r>
      <w:r>
        <w:rPr>
          <w:color w:val="231F20"/>
          <w:spacing w:val="5"/>
          <w:w w:val="110"/>
          <w:sz w:val="18"/>
        </w:rPr>
        <w:t> </w:t>
      </w:r>
      <w:r>
        <w:rPr>
          <w:color w:val="231F20"/>
          <w:w w:val="110"/>
          <w:sz w:val="18"/>
        </w:rPr>
        <w:t>en</w:t>
      </w:r>
      <w:r>
        <w:rPr>
          <w:color w:val="231F20"/>
          <w:w w:val="116"/>
          <w:sz w:val="18"/>
        </w:rPr>
        <w:t> </w:t>
      </w:r>
      <w:r>
        <w:rPr>
          <w:color w:val="231F20"/>
          <w:w w:val="110"/>
          <w:sz w:val="18"/>
        </w:rPr>
        <w:t>eje de la batalla de la campaña demócrata “, Bogotá, febrero </w:t>
      </w:r>
      <w:r>
        <w:rPr>
          <w:color w:val="231F20"/>
          <w:spacing w:val="11"/>
          <w:w w:val="110"/>
          <w:sz w:val="18"/>
        </w:rPr>
        <w:t> </w:t>
      </w:r>
      <w:r>
        <w:rPr>
          <w:color w:val="231F20"/>
          <w:w w:val="110"/>
          <w:sz w:val="18"/>
        </w:rPr>
        <w:t>25</w:t>
      </w:r>
    </w:p>
    <w:p>
      <w:pPr>
        <w:tabs>
          <w:tab w:pos="459" w:val="left" w:leader="none"/>
        </w:tabs>
        <w:spacing w:line="254" w:lineRule="auto" w:before="1"/>
        <w:ind w:left="340" w:right="118" w:hanging="240"/>
        <w:jc w:val="left"/>
        <w:rPr>
          <w:sz w:val="18"/>
        </w:rPr>
      </w:pPr>
      <w:r>
        <w:rPr>
          <w:color w:val="231F20"/>
          <w:w w:val="104"/>
          <w:sz w:val="18"/>
          <w:u w:val="single" w:color="221E1F"/>
        </w:rPr>
        <w:t> </w:t>
      </w:r>
      <w:r>
        <w:rPr>
          <w:color w:val="231F20"/>
          <w:sz w:val="18"/>
          <w:u w:val="single" w:color="221E1F"/>
        </w:rPr>
        <w:tab/>
        <w:tab/>
      </w:r>
      <w:r>
        <w:rPr>
          <w:color w:val="231F20"/>
          <w:w w:val="110"/>
          <w:sz w:val="18"/>
        </w:rPr>
        <w:t>, 2007f, “Funcionaria de embajada en EU arremete contra </w:t>
      </w:r>
      <w:r>
        <w:rPr>
          <w:i/>
          <w:color w:val="231F20"/>
          <w:w w:val="110"/>
          <w:sz w:val="18"/>
        </w:rPr>
        <w:t>Times</w:t>
      </w:r>
      <w:r>
        <w:rPr>
          <w:color w:val="231F20"/>
          <w:w w:val="110"/>
          <w:sz w:val="18"/>
        </w:rPr>
        <w:t>,</w:t>
      </w:r>
      <w:r>
        <w:rPr>
          <w:color w:val="231F20"/>
          <w:spacing w:val="3"/>
          <w:w w:val="110"/>
          <w:sz w:val="18"/>
        </w:rPr>
        <w:t> </w:t>
      </w:r>
      <w:r>
        <w:rPr>
          <w:color w:val="231F20"/>
          <w:w w:val="110"/>
          <w:sz w:val="18"/>
        </w:rPr>
        <w:t>10 de</w:t>
      </w:r>
      <w:r>
        <w:rPr>
          <w:color w:val="231F20"/>
          <w:w w:val="114"/>
          <w:sz w:val="18"/>
        </w:rPr>
        <w:t> </w:t>
      </w:r>
      <w:r>
        <w:rPr>
          <w:color w:val="231F20"/>
          <w:w w:val="110"/>
          <w:sz w:val="18"/>
        </w:rPr>
        <w:t>octubre.</w:t>
      </w:r>
    </w:p>
    <w:p>
      <w:pPr>
        <w:spacing w:line="254" w:lineRule="auto" w:before="1"/>
        <w:ind w:left="340" w:right="103" w:hanging="240"/>
        <w:jc w:val="left"/>
        <w:rPr>
          <w:sz w:val="18"/>
        </w:rPr>
      </w:pPr>
      <w:r>
        <w:rPr>
          <w:color w:val="231F20"/>
          <w:sz w:val="18"/>
        </w:rPr>
        <w:t>Estay, Jaime y Germán Sanchez (coords.), 2005, </w:t>
      </w:r>
      <w:r>
        <w:rPr>
          <w:i/>
          <w:color w:val="231F20"/>
          <w:sz w:val="18"/>
        </w:rPr>
        <w:t>El Alca y sus peligros para </w:t>
      </w:r>
      <w:r>
        <w:rPr>
          <w:i/>
          <w:color w:val="231F20"/>
          <w:sz w:val="18"/>
        </w:rPr>
        <w:t>América  Latina,  </w:t>
      </w:r>
      <w:r>
        <w:rPr>
          <w:color w:val="231F20"/>
          <w:sz w:val="18"/>
        </w:rPr>
        <w:t>Buenos  Aires,  </w:t>
      </w:r>
      <w:r>
        <w:rPr>
          <w:color w:val="231F20"/>
          <w:w w:val="105"/>
          <w:sz w:val="18"/>
        </w:rPr>
        <w:t>clacso.</w:t>
      </w:r>
    </w:p>
    <w:p>
      <w:pPr>
        <w:spacing w:line="254" w:lineRule="auto" w:before="1"/>
        <w:ind w:left="340" w:right="104" w:hanging="240"/>
        <w:jc w:val="left"/>
        <w:rPr>
          <w:sz w:val="18"/>
        </w:rPr>
      </w:pPr>
      <w:r>
        <w:rPr>
          <w:color w:val="231F20"/>
          <w:w w:val="110"/>
          <w:sz w:val="18"/>
        </w:rPr>
        <w:t>Gonzales</w:t>
      </w:r>
      <w:r>
        <w:rPr>
          <w:color w:val="231F20"/>
          <w:spacing w:val="-25"/>
          <w:w w:val="110"/>
          <w:sz w:val="18"/>
        </w:rPr>
        <w:t> </w:t>
      </w:r>
      <w:r>
        <w:rPr>
          <w:color w:val="231F20"/>
          <w:w w:val="110"/>
          <w:sz w:val="18"/>
        </w:rPr>
        <w:t>Morales,</w:t>
      </w:r>
      <w:r>
        <w:rPr>
          <w:color w:val="231F20"/>
          <w:spacing w:val="-25"/>
          <w:w w:val="110"/>
          <w:sz w:val="18"/>
        </w:rPr>
        <w:t> </w:t>
      </w:r>
      <w:r>
        <w:rPr>
          <w:color w:val="231F20"/>
          <w:w w:val="110"/>
          <w:sz w:val="18"/>
        </w:rPr>
        <w:t>Lázaro</w:t>
      </w:r>
      <w:r>
        <w:rPr>
          <w:color w:val="231F20"/>
          <w:spacing w:val="-25"/>
          <w:w w:val="110"/>
          <w:sz w:val="18"/>
        </w:rPr>
        <w:t> </w:t>
      </w:r>
      <w:r>
        <w:rPr>
          <w:color w:val="231F20"/>
          <w:w w:val="110"/>
          <w:sz w:val="18"/>
        </w:rPr>
        <w:t>Luis,</w:t>
      </w:r>
      <w:r>
        <w:rPr>
          <w:color w:val="231F20"/>
          <w:spacing w:val="-25"/>
          <w:w w:val="110"/>
          <w:sz w:val="18"/>
        </w:rPr>
        <w:t> </w:t>
      </w:r>
      <w:r>
        <w:rPr>
          <w:color w:val="231F20"/>
          <w:w w:val="110"/>
          <w:sz w:val="18"/>
        </w:rPr>
        <w:t>“Continuidad</w:t>
      </w:r>
      <w:r>
        <w:rPr>
          <w:color w:val="231F20"/>
          <w:spacing w:val="-25"/>
          <w:w w:val="110"/>
          <w:sz w:val="18"/>
        </w:rPr>
        <w:t> </w:t>
      </w:r>
      <w:r>
        <w:rPr>
          <w:color w:val="231F20"/>
          <w:w w:val="110"/>
          <w:sz w:val="18"/>
        </w:rPr>
        <w:t>y</w:t>
      </w:r>
      <w:r>
        <w:rPr>
          <w:color w:val="231F20"/>
          <w:spacing w:val="-25"/>
          <w:w w:val="110"/>
          <w:sz w:val="18"/>
        </w:rPr>
        <w:t> </w:t>
      </w:r>
      <w:r>
        <w:rPr>
          <w:color w:val="231F20"/>
          <w:w w:val="110"/>
          <w:sz w:val="18"/>
        </w:rPr>
        <w:t>cambios</w:t>
      </w:r>
      <w:r>
        <w:rPr>
          <w:color w:val="231F20"/>
          <w:spacing w:val="-25"/>
          <w:w w:val="110"/>
          <w:sz w:val="18"/>
        </w:rPr>
        <w:t> </w:t>
      </w:r>
      <w:r>
        <w:rPr>
          <w:color w:val="231F20"/>
          <w:w w:val="110"/>
          <w:sz w:val="18"/>
        </w:rPr>
        <w:t>en</w:t>
      </w:r>
      <w:r>
        <w:rPr>
          <w:color w:val="231F20"/>
          <w:spacing w:val="-25"/>
          <w:w w:val="110"/>
          <w:sz w:val="18"/>
        </w:rPr>
        <w:t> </w:t>
      </w:r>
      <w:r>
        <w:rPr>
          <w:color w:val="231F20"/>
          <w:w w:val="110"/>
          <w:sz w:val="18"/>
        </w:rPr>
        <w:t>la</w:t>
      </w:r>
      <w:r>
        <w:rPr>
          <w:color w:val="231F20"/>
          <w:spacing w:val="-25"/>
          <w:w w:val="110"/>
          <w:sz w:val="18"/>
        </w:rPr>
        <w:t> </w:t>
      </w:r>
      <w:r>
        <w:rPr>
          <w:color w:val="231F20"/>
          <w:w w:val="110"/>
          <w:sz w:val="18"/>
        </w:rPr>
        <w:t>política</w:t>
      </w:r>
      <w:r>
        <w:rPr>
          <w:color w:val="231F20"/>
          <w:spacing w:val="-25"/>
          <w:w w:val="110"/>
          <w:sz w:val="18"/>
        </w:rPr>
        <w:t> </w:t>
      </w:r>
      <w:r>
        <w:rPr>
          <w:color w:val="231F20"/>
          <w:w w:val="110"/>
          <w:sz w:val="18"/>
        </w:rPr>
        <w:t>exterior norteamericana”, ceseu, Universidad de La </w:t>
      </w:r>
      <w:r>
        <w:rPr>
          <w:color w:val="231F20"/>
          <w:spacing w:val="11"/>
          <w:w w:val="110"/>
          <w:sz w:val="18"/>
        </w:rPr>
        <w:t> </w:t>
      </w:r>
      <w:r>
        <w:rPr>
          <w:color w:val="231F20"/>
          <w:w w:val="110"/>
          <w:sz w:val="18"/>
        </w:rPr>
        <w:t>Habana.</w:t>
      </w:r>
    </w:p>
    <w:p>
      <w:pPr>
        <w:spacing w:line="254" w:lineRule="auto" w:before="1"/>
        <w:ind w:left="340" w:right="103" w:hanging="240"/>
        <w:jc w:val="left"/>
        <w:rPr>
          <w:sz w:val="18"/>
        </w:rPr>
      </w:pPr>
      <w:r>
        <w:rPr>
          <w:color w:val="231F20"/>
          <w:w w:val="105"/>
          <w:sz w:val="18"/>
        </w:rPr>
        <w:t>Goodman Amy, 2008, “Obama no es el hombre es el movimiento” traducido por Ángel Domínguez, </w:t>
      </w:r>
      <w:hyperlink r:id="rId392">
        <w:r>
          <w:rPr>
            <w:color w:val="231F20"/>
            <w:w w:val="105"/>
            <w:sz w:val="18"/>
          </w:rPr>
          <w:t>&lt;www.democracynow.org&gt;</w:t>
        </w:r>
      </w:hyperlink>
      <w:r>
        <w:rPr>
          <w:color w:val="231F20"/>
          <w:w w:val="105"/>
          <w:sz w:val="18"/>
        </w:rPr>
        <w:t> 2 de  julio.</w:t>
      </w:r>
    </w:p>
    <w:p>
      <w:pPr>
        <w:spacing w:before="1"/>
        <w:ind w:left="100" w:right="25" w:firstLine="0"/>
        <w:jc w:val="left"/>
        <w:rPr>
          <w:sz w:val="18"/>
        </w:rPr>
      </w:pPr>
      <w:r>
        <w:rPr>
          <w:color w:val="231F20"/>
          <w:w w:val="110"/>
          <w:sz w:val="18"/>
        </w:rPr>
        <w:t>Greenspan, Alan, 2007, “La era de la turbulencia”.</w:t>
      </w:r>
    </w:p>
    <w:p>
      <w:pPr>
        <w:spacing w:line="254" w:lineRule="auto" w:before="13"/>
        <w:ind w:left="340" w:right="25" w:hanging="240"/>
        <w:jc w:val="left"/>
        <w:rPr>
          <w:sz w:val="18"/>
        </w:rPr>
      </w:pPr>
      <w:r>
        <w:rPr>
          <w:color w:val="231F20"/>
          <w:w w:val="105"/>
          <w:sz w:val="18"/>
        </w:rPr>
        <w:t>Isackson, Adam, 2007, “A look at the “final” 2008 aid bill”, &lt;www.cipcol. org/?p=514&gt;,  17  de diciembre.</w:t>
      </w:r>
    </w:p>
    <w:p>
      <w:pPr>
        <w:spacing w:line="254" w:lineRule="auto" w:before="1"/>
        <w:ind w:left="340" w:right="119" w:hanging="240"/>
        <w:jc w:val="left"/>
        <w:rPr>
          <w:sz w:val="18"/>
        </w:rPr>
      </w:pPr>
      <w:r>
        <w:rPr>
          <w:i/>
          <w:color w:val="231F20"/>
          <w:w w:val="105"/>
          <w:sz w:val="18"/>
        </w:rPr>
        <w:t>Le Monde diplomatique</w:t>
      </w:r>
      <w:r>
        <w:rPr>
          <w:color w:val="231F20"/>
          <w:w w:val="105"/>
          <w:sz w:val="18"/>
        </w:rPr>
        <w:t>, 2010, Halimi, Serge. “Un president peut-il réformer les Etats Unis”?, enero, p. 1,  8-9</w:t>
      </w:r>
    </w:p>
    <w:p>
      <w:pPr>
        <w:spacing w:line="254" w:lineRule="auto" w:before="1"/>
        <w:ind w:left="340" w:right="117" w:hanging="240"/>
        <w:jc w:val="both"/>
        <w:rPr>
          <w:sz w:val="18"/>
        </w:rPr>
      </w:pPr>
      <w:r>
        <w:rPr>
          <w:i/>
          <w:color w:val="231F20"/>
          <w:w w:val="104"/>
          <w:sz w:val="18"/>
          <w:u w:val="single" w:color="221E1F"/>
        </w:rPr>
        <w:t> </w:t>
      </w:r>
      <w:r>
        <w:rPr>
          <w:i/>
          <w:color w:val="231F20"/>
          <w:sz w:val="18"/>
          <w:u w:val="single" w:color="221E1F"/>
        </w:rPr>
        <w:t>       </w:t>
      </w:r>
      <w:r>
        <w:rPr>
          <w:i/>
          <w:color w:val="231F20"/>
          <w:w w:val="105"/>
          <w:sz w:val="18"/>
        </w:rPr>
        <w:t>, </w:t>
      </w:r>
      <w:r>
        <w:rPr>
          <w:color w:val="231F20"/>
          <w:w w:val="105"/>
          <w:sz w:val="18"/>
        </w:rPr>
        <w:t>2010, Maurice Lemoine, “Basis Belli” en Colombie, febrero, p. 17. Cita Department of the Air Force, Military construction program, Fiscal year (FY) 2010, Budget estimates. Justification data subnmitted to Congress”, mayo de 2009.</w:t>
      </w:r>
    </w:p>
    <w:p>
      <w:pPr>
        <w:spacing w:line="254" w:lineRule="auto" w:before="1"/>
        <w:ind w:left="340" w:right="202" w:hanging="240"/>
        <w:jc w:val="left"/>
        <w:rPr>
          <w:sz w:val="18"/>
        </w:rPr>
      </w:pPr>
      <w:r>
        <w:rPr>
          <w:color w:val="231F20"/>
          <w:w w:val="105"/>
          <w:sz w:val="18"/>
        </w:rPr>
        <w:t>Kennedy Caroline, 2008</w:t>
      </w:r>
      <w:r>
        <w:rPr>
          <w:i/>
          <w:color w:val="231F20"/>
          <w:w w:val="105"/>
          <w:sz w:val="18"/>
        </w:rPr>
        <w:t>, </w:t>
      </w:r>
      <w:r>
        <w:rPr>
          <w:color w:val="231F20"/>
          <w:w w:val="105"/>
          <w:sz w:val="18"/>
        </w:rPr>
        <w:t>“A President like my father”, </w:t>
      </w:r>
      <w:r>
        <w:rPr>
          <w:i/>
          <w:color w:val="231F20"/>
          <w:w w:val="105"/>
          <w:sz w:val="18"/>
        </w:rPr>
        <w:t>New </w:t>
      </w:r>
      <w:r>
        <w:rPr>
          <w:i/>
          <w:color w:val="231F20"/>
          <w:spacing w:val="-5"/>
          <w:w w:val="105"/>
          <w:sz w:val="18"/>
        </w:rPr>
        <w:t>York  </w:t>
      </w:r>
      <w:r>
        <w:rPr>
          <w:i/>
          <w:color w:val="231F20"/>
          <w:w w:val="105"/>
          <w:sz w:val="18"/>
        </w:rPr>
        <w:t>Times</w:t>
      </w:r>
      <w:r>
        <w:rPr>
          <w:color w:val="231F20"/>
          <w:w w:val="105"/>
          <w:sz w:val="18"/>
        </w:rPr>
        <w:t>, 27 </w:t>
      </w:r>
      <w:r>
        <w:rPr>
          <w:color w:val="231F20"/>
          <w:spacing w:val="47"/>
          <w:w w:val="105"/>
          <w:sz w:val="18"/>
        </w:rPr>
        <w:t> </w:t>
      </w:r>
      <w:r>
        <w:rPr>
          <w:color w:val="231F20"/>
          <w:w w:val="105"/>
          <w:sz w:val="18"/>
        </w:rPr>
        <w:t>de </w:t>
      </w:r>
      <w:r>
        <w:rPr>
          <w:color w:val="231F20"/>
          <w:spacing w:val="20"/>
          <w:w w:val="105"/>
          <w:sz w:val="18"/>
        </w:rPr>
        <w:t> </w:t>
      </w:r>
      <w:r>
        <w:rPr>
          <w:color w:val="231F20"/>
          <w:w w:val="105"/>
          <w:sz w:val="18"/>
        </w:rPr>
        <w:t>enero.</w:t>
      </w:r>
    </w:p>
    <w:p>
      <w:pPr>
        <w:spacing w:after="0" w:line="254" w:lineRule="auto"/>
        <w:jc w:val="left"/>
        <w:rPr>
          <w:sz w:val="18"/>
        </w:rPr>
        <w:sectPr>
          <w:headerReference w:type="even" r:id="rId389"/>
          <w:headerReference w:type="default" r:id="rId390"/>
          <w:pgSz w:w="7640" w:h="11900"/>
          <w:pgMar w:header="672" w:footer="0" w:top="860" w:bottom="280" w:left="780" w:right="640"/>
          <w:pgNumType w:start="502"/>
        </w:sectPr>
      </w:pPr>
    </w:p>
    <w:p>
      <w:pPr>
        <w:pStyle w:val="BodyText"/>
        <w:spacing w:before="8"/>
        <w:rPr>
          <w:sz w:val="8"/>
        </w:rPr>
      </w:pPr>
    </w:p>
    <w:p>
      <w:pPr>
        <w:spacing w:line="254" w:lineRule="auto" w:before="71"/>
        <w:ind w:left="340" w:right="118" w:hanging="240"/>
        <w:jc w:val="both"/>
        <w:rPr>
          <w:sz w:val="18"/>
        </w:rPr>
      </w:pPr>
      <w:r>
        <w:rPr>
          <w:color w:val="231F20"/>
          <w:w w:val="105"/>
          <w:sz w:val="18"/>
        </w:rPr>
        <w:t>Klare Michel, 2010, “En politique extérieure, Washington veut faire plus avec moins”, </w:t>
      </w:r>
      <w:r>
        <w:rPr>
          <w:i/>
          <w:color w:val="231F20"/>
          <w:w w:val="105"/>
          <w:sz w:val="18"/>
        </w:rPr>
        <w:t>Le Monde diplomatique</w:t>
      </w:r>
      <w:r>
        <w:rPr>
          <w:color w:val="231F20"/>
          <w:w w:val="105"/>
          <w:sz w:val="18"/>
        </w:rPr>
        <w:t>, enero, p. 8-9</w:t>
      </w:r>
    </w:p>
    <w:p>
      <w:pPr>
        <w:spacing w:line="254" w:lineRule="auto" w:before="1"/>
        <w:ind w:left="340" w:right="115" w:hanging="240"/>
        <w:jc w:val="both"/>
        <w:rPr>
          <w:sz w:val="18"/>
        </w:rPr>
      </w:pPr>
      <w:r>
        <w:rPr>
          <w:color w:val="231F20"/>
          <w:w w:val="105"/>
          <w:sz w:val="18"/>
        </w:rPr>
        <w:t>Kraul Chris, 2008, “US drug czar points finger at Chavez”, </w:t>
      </w:r>
      <w:r>
        <w:rPr>
          <w:i/>
          <w:color w:val="231F20"/>
          <w:w w:val="105"/>
          <w:sz w:val="18"/>
        </w:rPr>
        <w:t>Los Angeles Times</w:t>
      </w:r>
      <w:r>
        <w:rPr>
          <w:color w:val="231F20"/>
          <w:w w:val="105"/>
          <w:sz w:val="18"/>
        </w:rPr>
        <w:t>, Los Ángeles, </w:t>
      </w:r>
      <w:hyperlink r:id="rId393">
        <w:r>
          <w:rPr>
            <w:color w:val="231F20"/>
            <w:w w:val="105"/>
            <w:sz w:val="18"/>
          </w:rPr>
          <w:t>&lt;http://www.latimes.com/news/nationworld/world/la-fg-</w:t>
        </w:r>
      </w:hyperlink>
      <w:r>
        <w:rPr>
          <w:color w:val="231F20"/>
          <w:w w:val="105"/>
          <w:sz w:val="18"/>
        </w:rPr>
        <w:t> chavez21jan21,1,6794165.story?ctrack=2&amp;cset=true&gt;, 21 de  enero.</w:t>
      </w:r>
    </w:p>
    <w:p>
      <w:pPr>
        <w:spacing w:before="1"/>
        <w:ind w:left="100" w:right="25" w:firstLine="0"/>
        <w:jc w:val="left"/>
        <w:rPr>
          <w:sz w:val="18"/>
        </w:rPr>
      </w:pPr>
      <w:r>
        <w:rPr>
          <w:i/>
          <w:color w:val="231F20"/>
          <w:w w:val="105"/>
          <w:sz w:val="18"/>
        </w:rPr>
        <w:t>New York Times</w:t>
      </w:r>
      <w:r>
        <w:rPr>
          <w:color w:val="231F20"/>
          <w:w w:val="105"/>
          <w:sz w:val="18"/>
        </w:rPr>
        <w:t>, 2007a, “The Literature of capitalism”, 15 de   septiembre.</w:t>
      </w:r>
    </w:p>
    <w:p>
      <w:pPr>
        <w:tabs>
          <w:tab w:pos="459" w:val="left" w:leader="none"/>
        </w:tabs>
        <w:spacing w:before="13"/>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w:t>
      </w:r>
      <w:r>
        <w:rPr>
          <w:color w:val="231F20"/>
          <w:spacing w:val="17"/>
          <w:w w:val="105"/>
          <w:sz w:val="18"/>
        </w:rPr>
        <w:t> </w:t>
      </w:r>
      <w:r>
        <w:rPr>
          <w:color w:val="231F20"/>
          <w:w w:val="105"/>
          <w:sz w:val="18"/>
        </w:rPr>
        <w:t>2007b,</w:t>
      </w:r>
      <w:r>
        <w:rPr>
          <w:color w:val="231F20"/>
          <w:spacing w:val="17"/>
          <w:w w:val="105"/>
          <w:sz w:val="18"/>
        </w:rPr>
        <w:t> </w:t>
      </w:r>
      <w:r>
        <w:rPr>
          <w:color w:val="231F20"/>
          <w:w w:val="105"/>
          <w:sz w:val="18"/>
        </w:rPr>
        <w:t>“How</w:t>
      </w:r>
      <w:r>
        <w:rPr>
          <w:color w:val="231F20"/>
          <w:spacing w:val="17"/>
          <w:w w:val="105"/>
          <w:sz w:val="18"/>
        </w:rPr>
        <w:t> </w:t>
      </w:r>
      <w:r>
        <w:rPr>
          <w:color w:val="231F20"/>
          <w:w w:val="105"/>
          <w:sz w:val="18"/>
        </w:rPr>
        <w:t>the</w:t>
      </w:r>
      <w:r>
        <w:rPr>
          <w:color w:val="231F20"/>
          <w:spacing w:val="17"/>
          <w:w w:val="105"/>
          <w:sz w:val="18"/>
        </w:rPr>
        <w:t> </w:t>
      </w:r>
      <w:r>
        <w:rPr>
          <w:color w:val="231F20"/>
          <w:w w:val="105"/>
          <w:sz w:val="18"/>
        </w:rPr>
        <w:t>Good</w:t>
      </w:r>
      <w:r>
        <w:rPr>
          <w:color w:val="231F20"/>
          <w:spacing w:val="17"/>
          <w:w w:val="105"/>
          <w:sz w:val="18"/>
        </w:rPr>
        <w:t> </w:t>
      </w:r>
      <w:r>
        <w:rPr>
          <w:color w:val="231F20"/>
          <w:spacing w:val="-3"/>
          <w:w w:val="105"/>
          <w:sz w:val="18"/>
        </w:rPr>
        <w:t>War</w:t>
      </w:r>
      <w:r>
        <w:rPr>
          <w:color w:val="231F20"/>
          <w:spacing w:val="17"/>
          <w:w w:val="105"/>
          <w:sz w:val="18"/>
        </w:rPr>
        <w:t> </w:t>
      </w:r>
      <w:r>
        <w:rPr>
          <w:color w:val="231F20"/>
          <w:w w:val="105"/>
          <w:sz w:val="18"/>
        </w:rPr>
        <w:t>in</w:t>
      </w:r>
      <w:r>
        <w:rPr>
          <w:color w:val="231F20"/>
          <w:spacing w:val="17"/>
          <w:w w:val="105"/>
          <w:sz w:val="18"/>
        </w:rPr>
        <w:t> </w:t>
      </w:r>
      <w:r>
        <w:rPr>
          <w:color w:val="231F20"/>
          <w:w w:val="105"/>
          <w:sz w:val="18"/>
        </w:rPr>
        <w:t>Afghanistan</w:t>
      </w:r>
      <w:r>
        <w:rPr>
          <w:color w:val="231F20"/>
          <w:spacing w:val="17"/>
          <w:w w:val="105"/>
          <w:sz w:val="18"/>
        </w:rPr>
        <w:t> </w:t>
      </w:r>
      <w:r>
        <w:rPr>
          <w:color w:val="231F20"/>
          <w:spacing w:val="-3"/>
          <w:w w:val="105"/>
          <w:sz w:val="18"/>
        </w:rPr>
        <w:t>Went</w:t>
      </w:r>
      <w:r>
        <w:rPr>
          <w:color w:val="231F20"/>
          <w:spacing w:val="17"/>
          <w:w w:val="105"/>
          <w:sz w:val="18"/>
        </w:rPr>
        <w:t> </w:t>
      </w:r>
      <w:r>
        <w:rPr>
          <w:color w:val="231F20"/>
          <w:w w:val="105"/>
          <w:sz w:val="18"/>
        </w:rPr>
        <w:t>Bad”,</w:t>
      </w:r>
      <w:r>
        <w:rPr>
          <w:color w:val="231F20"/>
          <w:spacing w:val="17"/>
          <w:w w:val="105"/>
          <w:sz w:val="18"/>
        </w:rPr>
        <w:t> </w:t>
      </w:r>
      <w:r>
        <w:rPr>
          <w:color w:val="231F20"/>
          <w:w w:val="105"/>
          <w:sz w:val="18"/>
        </w:rPr>
        <w:t>12</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agosto.</w:t>
      </w:r>
    </w:p>
    <w:p>
      <w:pPr>
        <w:spacing w:line="254" w:lineRule="auto" w:before="13"/>
        <w:ind w:left="340" w:right="117" w:hanging="240"/>
        <w:jc w:val="both"/>
        <w:rPr>
          <w:sz w:val="18"/>
        </w:rPr>
      </w:pPr>
      <w:r>
        <w:rPr>
          <w:color w:val="231F20"/>
          <w:w w:val="104"/>
          <w:sz w:val="18"/>
          <w:u w:val="single" w:color="221E1F"/>
        </w:rPr>
        <w:t> </w:t>
      </w:r>
      <w:r>
        <w:rPr>
          <w:color w:val="231F20"/>
          <w:sz w:val="18"/>
          <w:u w:val="single" w:color="221E1F"/>
        </w:rPr>
        <w:t>       </w:t>
      </w:r>
      <w:r>
        <w:rPr>
          <w:color w:val="231F20"/>
          <w:w w:val="110"/>
          <w:sz w:val="18"/>
        </w:rPr>
        <w:t>, 2008a, “Obama Campaign Says Clinton Misrepresented Her Support for Nafta”, Julie Bosman, 21 de marzo.</w:t>
      </w:r>
    </w:p>
    <w:p>
      <w:pPr>
        <w:tabs>
          <w:tab w:pos="459" w:val="left" w:leader="none"/>
        </w:tabs>
        <w:spacing w:before="1"/>
        <w:ind w:left="100" w:right="25" w:firstLine="0"/>
        <w:jc w:val="left"/>
        <w:rPr>
          <w:sz w:val="18"/>
        </w:rPr>
      </w:pPr>
      <w:r>
        <w:rPr>
          <w:color w:val="231F20"/>
          <w:w w:val="104"/>
          <w:sz w:val="18"/>
          <w:u w:val="single" w:color="221E1F"/>
        </w:rPr>
        <w:t> </w:t>
      </w:r>
      <w:r>
        <w:rPr>
          <w:color w:val="231F20"/>
          <w:sz w:val="18"/>
          <w:u w:val="single" w:color="221E1F"/>
        </w:rPr>
        <w:tab/>
      </w:r>
      <w:r>
        <w:rPr>
          <w:color w:val="231F20"/>
          <w:w w:val="105"/>
          <w:sz w:val="18"/>
        </w:rPr>
        <w:t>, 1997 (2008b), “Madeleine Albright’s Agenda”, 23 de   </w:t>
      </w:r>
      <w:r>
        <w:rPr>
          <w:color w:val="231F20"/>
          <w:spacing w:val="34"/>
          <w:w w:val="105"/>
          <w:sz w:val="18"/>
        </w:rPr>
        <w:t> </w:t>
      </w:r>
      <w:r>
        <w:rPr>
          <w:color w:val="231F20"/>
          <w:w w:val="105"/>
          <w:sz w:val="18"/>
        </w:rPr>
        <w:t>enero.</w:t>
      </w:r>
    </w:p>
    <w:p>
      <w:pPr>
        <w:spacing w:line="254" w:lineRule="auto" w:before="13"/>
        <w:ind w:left="0" w:right="111" w:firstLine="0"/>
        <w:jc w:val="right"/>
        <w:rPr>
          <w:sz w:val="18"/>
        </w:rPr>
      </w:pPr>
      <w:r>
        <w:rPr>
          <w:i/>
          <w:color w:val="231F20"/>
          <w:w w:val="105"/>
          <w:sz w:val="18"/>
        </w:rPr>
        <w:t>Newsweek</w:t>
      </w:r>
      <w:r>
        <w:rPr>
          <w:color w:val="231F20"/>
          <w:w w:val="105"/>
          <w:sz w:val="18"/>
        </w:rPr>
        <w:t>, 2008, “Look at the Alternatives. Colombia’s president speaks out on</w:t>
      </w:r>
      <w:r>
        <w:rPr>
          <w:color w:val="231F20"/>
          <w:w w:val="116"/>
          <w:sz w:val="18"/>
        </w:rPr>
        <w:t> </w:t>
      </w:r>
      <w:r>
        <w:rPr>
          <w:color w:val="231F20"/>
          <w:w w:val="105"/>
          <w:sz w:val="18"/>
        </w:rPr>
        <w:t>the House’s rejection of the U.S.-Colombia free-trade agreement”. abril 28</w:t>
      </w:r>
      <w:r>
        <w:rPr>
          <w:color w:val="231F20"/>
          <w:w w:val="104"/>
          <w:sz w:val="18"/>
        </w:rPr>
        <w:t> </w:t>
      </w:r>
      <w:r>
        <w:rPr>
          <w:i/>
          <w:color w:val="231F20"/>
          <w:w w:val="105"/>
          <w:sz w:val="18"/>
        </w:rPr>
        <w:t>On  the  issues, </w:t>
      </w:r>
      <w:r>
        <w:rPr>
          <w:color w:val="231F20"/>
          <w:w w:val="105"/>
          <w:sz w:val="18"/>
        </w:rPr>
        <w:t>2008,  “Barack  Obama  on  Free  Trade”, &lt;www.ontheissues.</w:t>
      </w:r>
    </w:p>
    <w:p>
      <w:pPr>
        <w:spacing w:before="1"/>
        <w:ind w:left="340" w:right="25" w:firstLine="0"/>
        <w:jc w:val="left"/>
        <w:rPr>
          <w:sz w:val="18"/>
        </w:rPr>
      </w:pPr>
      <w:r>
        <w:rPr>
          <w:color w:val="231F20"/>
          <w:w w:val="110"/>
          <w:sz w:val="18"/>
        </w:rPr>
        <w:t>org/2008/Barack_Obama_Free_Trade.htm&gt;, febrero.</w:t>
      </w:r>
    </w:p>
    <w:p>
      <w:pPr>
        <w:spacing w:line="254" w:lineRule="auto" w:before="13"/>
        <w:ind w:left="340" w:right="119" w:hanging="240"/>
        <w:jc w:val="both"/>
        <w:rPr>
          <w:sz w:val="18"/>
        </w:rPr>
      </w:pPr>
      <w:r>
        <w:rPr>
          <w:color w:val="231F20"/>
          <w:w w:val="105"/>
          <w:sz w:val="18"/>
        </w:rPr>
        <w:t>Pantch, Leo y Sam Gindin, 2004, “Capitalismo global e</w:t>
      </w:r>
      <w:r>
        <w:rPr>
          <w:color w:val="231F20"/>
          <w:spacing w:val="47"/>
          <w:w w:val="105"/>
          <w:sz w:val="18"/>
        </w:rPr>
        <w:t> </w:t>
      </w:r>
      <w:r>
        <w:rPr>
          <w:color w:val="231F20"/>
          <w:w w:val="105"/>
          <w:sz w:val="18"/>
        </w:rPr>
        <w:t>imperio</w:t>
      </w:r>
      <w:r>
        <w:rPr>
          <w:color w:val="231F20"/>
          <w:spacing w:val="5"/>
          <w:w w:val="105"/>
          <w:sz w:val="18"/>
        </w:rPr>
        <w:t> </w:t>
      </w:r>
      <w:r>
        <w:rPr>
          <w:color w:val="231F20"/>
          <w:w w:val="105"/>
          <w:sz w:val="18"/>
        </w:rPr>
        <w:t>norteamerica-</w:t>
      </w:r>
      <w:r>
        <w:rPr>
          <w:color w:val="231F20"/>
          <w:w w:val="72"/>
          <w:sz w:val="18"/>
        </w:rPr>
        <w:t> </w:t>
      </w:r>
      <w:r>
        <w:rPr>
          <w:color w:val="231F20"/>
          <w:w w:val="105"/>
          <w:sz w:val="18"/>
        </w:rPr>
        <w:t>no”,</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Leo</w:t>
      </w:r>
      <w:r>
        <w:rPr>
          <w:color w:val="231F20"/>
          <w:spacing w:val="-24"/>
          <w:w w:val="105"/>
          <w:sz w:val="18"/>
        </w:rPr>
        <w:t> </w:t>
      </w:r>
      <w:r>
        <w:rPr>
          <w:color w:val="231F20"/>
          <w:w w:val="105"/>
          <w:sz w:val="18"/>
        </w:rPr>
        <w:t>Panitch</w:t>
      </w:r>
      <w:r>
        <w:rPr>
          <w:color w:val="231F20"/>
          <w:spacing w:val="-24"/>
          <w:w w:val="105"/>
          <w:sz w:val="18"/>
        </w:rPr>
        <w:t> </w:t>
      </w:r>
      <w:r>
        <w:rPr>
          <w:color w:val="231F20"/>
          <w:w w:val="105"/>
          <w:sz w:val="18"/>
        </w:rPr>
        <w:t>y</w:t>
      </w:r>
      <w:r>
        <w:rPr>
          <w:color w:val="231F20"/>
          <w:spacing w:val="-24"/>
          <w:w w:val="105"/>
          <w:sz w:val="18"/>
        </w:rPr>
        <w:t> </w:t>
      </w:r>
      <w:r>
        <w:rPr>
          <w:color w:val="231F20"/>
          <w:w w:val="105"/>
          <w:sz w:val="18"/>
        </w:rPr>
        <w:t>Leys</w:t>
      </w:r>
      <w:r>
        <w:rPr>
          <w:color w:val="231F20"/>
          <w:spacing w:val="-24"/>
          <w:w w:val="105"/>
          <w:sz w:val="18"/>
        </w:rPr>
        <w:t> </w:t>
      </w:r>
      <w:r>
        <w:rPr>
          <w:color w:val="231F20"/>
          <w:w w:val="105"/>
          <w:sz w:val="18"/>
        </w:rPr>
        <w:t>Colin,</w:t>
      </w:r>
      <w:r>
        <w:rPr>
          <w:color w:val="231F20"/>
          <w:spacing w:val="-24"/>
          <w:w w:val="105"/>
          <w:sz w:val="18"/>
        </w:rPr>
        <w:t> </w:t>
      </w:r>
      <w:r>
        <w:rPr>
          <w:i/>
          <w:color w:val="231F20"/>
          <w:w w:val="105"/>
          <w:sz w:val="18"/>
        </w:rPr>
        <w:t>El</w:t>
      </w:r>
      <w:r>
        <w:rPr>
          <w:i/>
          <w:color w:val="231F20"/>
          <w:spacing w:val="-24"/>
          <w:w w:val="105"/>
          <w:sz w:val="18"/>
        </w:rPr>
        <w:t> </w:t>
      </w:r>
      <w:r>
        <w:rPr>
          <w:i/>
          <w:color w:val="231F20"/>
          <w:w w:val="105"/>
          <w:sz w:val="18"/>
        </w:rPr>
        <w:t>nuevo</w:t>
      </w:r>
      <w:r>
        <w:rPr>
          <w:i/>
          <w:color w:val="231F20"/>
          <w:spacing w:val="-24"/>
          <w:w w:val="105"/>
          <w:sz w:val="18"/>
        </w:rPr>
        <w:t> </w:t>
      </w:r>
      <w:r>
        <w:rPr>
          <w:i/>
          <w:color w:val="231F20"/>
          <w:w w:val="105"/>
          <w:sz w:val="18"/>
        </w:rPr>
        <w:t>desafío</w:t>
      </w:r>
      <w:r>
        <w:rPr>
          <w:i/>
          <w:color w:val="231F20"/>
          <w:spacing w:val="-24"/>
          <w:w w:val="105"/>
          <w:sz w:val="18"/>
        </w:rPr>
        <w:t> </w:t>
      </w:r>
      <w:r>
        <w:rPr>
          <w:i/>
          <w:color w:val="231F20"/>
          <w:w w:val="105"/>
          <w:sz w:val="18"/>
        </w:rPr>
        <w:t>imperial</w:t>
      </w:r>
      <w:r>
        <w:rPr>
          <w:color w:val="231F20"/>
          <w:w w:val="105"/>
          <w:sz w:val="18"/>
        </w:rPr>
        <w:t>.</w:t>
      </w:r>
      <w:r>
        <w:rPr>
          <w:color w:val="231F20"/>
          <w:spacing w:val="-24"/>
          <w:w w:val="105"/>
          <w:sz w:val="18"/>
        </w:rPr>
        <w:t> </w:t>
      </w:r>
      <w:r>
        <w:rPr>
          <w:i/>
          <w:color w:val="231F20"/>
          <w:w w:val="105"/>
          <w:sz w:val="18"/>
        </w:rPr>
        <w:t>Socialist</w:t>
      </w:r>
      <w:r>
        <w:rPr>
          <w:i/>
          <w:color w:val="231F20"/>
          <w:spacing w:val="-24"/>
          <w:w w:val="105"/>
          <w:sz w:val="18"/>
        </w:rPr>
        <w:t> </w:t>
      </w:r>
      <w:r>
        <w:rPr>
          <w:i/>
          <w:color w:val="231F20"/>
          <w:w w:val="105"/>
          <w:sz w:val="18"/>
        </w:rPr>
        <w:t>Register</w:t>
      </w:r>
      <w:r>
        <w:rPr>
          <w:color w:val="231F20"/>
          <w:w w:val="105"/>
          <w:sz w:val="18"/>
        </w:rPr>
        <w:t>,</w:t>
      </w:r>
      <w:r>
        <w:rPr>
          <w:color w:val="231F20"/>
          <w:w w:val="104"/>
          <w:sz w:val="18"/>
        </w:rPr>
        <w:t> </w:t>
      </w:r>
      <w:r>
        <w:rPr>
          <w:color w:val="231F20"/>
          <w:w w:val="105"/>
          <w:sz w:val="18"/>
        </w:rPr>
        <w:t>Buenos  Aires,  clacso,  pp.</w:t>
      </w:r>
      <w:r>
        <w:rPr>
          <w:color w:val="231F20"/>
          <w:spacing w:val="1"/>
          <w:w w:val="105"/>
          <w:sz w:val="18"/>
        </w:rPr>
        <w:t> </w:t>
      </w:r>
      <w:r>
        <w:rPr>
          <w:color w:val="231F20"/>
          <w:w w:val="105"/>
          <w:sz w:val="18"/>
        </w:rPr>
        <w:t>19-73.</w:t>
      </w:r>
    </w:p>
    <w:p>
      <w:pPr>
        <w:spacing w:before="1"/>
        <w:ind w:left="100" w:right="25" w:firstLine="0"/>
        <w:jc w:val="left"/>
        <w:rPr>
          <w:sz w:val="18"/>
        </w:rPr>
      </w:pPr>
      <w:r>
        <w:rPr>
          <w:color w:val="231F20"/>
          <w:sz w:val="18"/>
        </w:rPr>
        <w:t>Petin, Hector, 1900, </w:t>
      </w:r>
      <w:r>
        <w:rPr>
          <w:i/>
          <w:color w:val="231F20"/>
          <w:sz w:val="18"/>
        </w:rPr>
        <w:t>Les Etats-Unis et la doctrine de Monroe</w:t>
      </w:r>
      <w:r>
        <w:rPr>
          <w:color w:val="231F20"/>
          <w:sz w:val="18"/>
        </w:rPr>
        <w:t>, París, </w:t>
      </w:r>
      <w:r>
        <w:rPr>
          <w:color w:val="231F20"/>
          <w:w w:val="110"/>
          <w:sz w:val="18"/>
        </w:rPr>
        <w:t>barclay.</w:t>
      </w:r>
    </w:p>
    <w:p>
      <w:pPr>
        <w:spacing w:line="254" w:lineRule="auto" w:before="13"/>
        <w:ind w:left="340" w:right="117" w:hanging="240"/>
        <w:jc w:val="both"/>
        <w:rPr>
          <w:sz w:val="18"/>
        </w:rPr>
      </w:pPr>
      <w:r>
        <w:rPr>
          <w:i/>
          <w:color w:val="231F20"/>
          <w:w w:val="105"/>
          <w:sz w:val="18"/>
        </w:rPr>
        <w:t>Reuters</w:t>
      </w:r>
      <w:r>
        <w:rPr>
          <w:color w:val="231F20"/>
          <w:w w:val="105"/>
          <w:sz w:val="18"/>
        </w:rPr>
        <w:t>, 2008, “Congress urged to act on Colombia pact”, </w:t>
      </w:r>
      <w:hyperlink r:id="rId394">
        <w:r>
          <w:rPr>
            <w:color w:val="231F20"/>
            <w:w w:val="105"/>
            <w:sz w:val="18"/>
          </w:rPr>
          <w:t>&lt;www.reuters.com/</w:t>
        </w:r>
      </w:hyperlink>
      <w:r>
        <w:rPr>
          <w:color w:val="231F20"/>
          <w:w w:val="105"/>
          <w:sz w:val="18"/>
        </w:rPr>
        <w:t> article/politicsNews/idUSN1724117920080117&gt;,  17  de  enero.</w:t>
      </w:r>
    </w:p>
    <w:p>
      <w:pPr>
        <w:spacing w:line="254" w:lineRule="auto" w:before="1"/>
        <w:ind w:left="340" w:right="119" w:hanging="240"/>
        <w:jc w:val="both"/>
        <w:rPr>
          <w:sz w:val="18"/>
        </w:rPr>
      </w:pPr>
      <w:r>
        <w:rPr>
          <w:color w:val="231F20"/>
          <w:w w:val="105"/>
          <w:sz w:val="18"/>
        </w:rPr>
        <w:t>Swanson,</w:t>
      </w:r>
      <w:r>
        <w:rPr>
          <w:color w:val="231F20"/>
          <w:spacing w:val="-4"/>
          <w:w w:val="105"/>
          <w:sz w:val="18"/>
        </w:rPr>
        <w:t> </w:t>
      </w:r>
      <w:r>
        <w:rPr>
          <w:color w:val="231F20"/>
          <w:w w:val="105"/>
          <w:sz w:val="18"/>
        </w:rPr>
        <w:t>Ian,</w:t>
      </w:r>
      <w:r>
        <w:rPr>
          <w:color w:val="231F20"/>
          <w:spacing w:val="-4"/>
          <w:w w:val="105"/>
          <w:sz w:val="18"/>
        </w:rPr>
        <w:t> </w:t>
      </w:r>
      <w:r>
        <w:rPr>
          <w:color w:val="231F20"/>
          <w:w w:val="105"/>
          <w:sz w:val="18"/>
        </w:rPr>
        <w:t>2008,</w:t>
      </w:r>
      <w:r>
        <w:rPr>
          <w:color w:val="231F20"/>
          <w:spacing w:val="-4"/>
          <w:w w:val="105"/>
          <w:sz w:val="18"/>
        </w:rPr>
        <w:t> </w:t>
      </w:r>
      <w:r>
        <w:rPr>
          <w:color w:val="231F20"/>
          <w:w w:val="105"/>
          <w:sz w:val="18"/>
        </w:rPr>
        <w:t>“White</w:t>
      </w:r>
      <w:r>
        <w:rPr>
          <w:color w:val="231F20"/>
          <w:spacing w:val="-4"/>
          <w:w w:val="105"/>
          <w:sz w:val="18"/>
        </w:rPr>
        <w:t> </w:t>
      </w:r>
      <w:r>
        <w:rPr>
          <w:color w:val="231F20"/>
          <w:w w:val="105"/>
          <w:sz w:val="18"/>
        </w:rPr>
        <w:t>House</w:t>
      </w:r>
      <w:r>
        <w:rPr>
          <w:color w:val="231F20"/>
          <w:spacing w:val="-4"/>
          <w:w w:val="105"/>
          <w:sz w:val="18"/>
        </w:rPr>
        <w:t> </w:t>
      </w:r>
      <w:r>
        <w:rPr>
          <w:color w:val="231F20"/>
          <w:w w:val="105"/>
          <w:sz w:val="18"/>
        </w:rPr>
        <w:t>expected</w:t>
      </w:r>
      <w:r>
        <w:rPr>
          <w:color w:val="231F20"/>
          <w:spacing w:val="-4"/>
          <w:w w:val="105"/>
          <w:sz w:val="18"/>
        </w:rPr>
        <w:t> </w:t>
      </w:r>
      <w:r>
        <w:rPr>
          <w:color w:val="231F20"/>
          <w:w w:val="105"/>
          <w:sz w:val="18"/>
        </w:rPr>
        <w:t>to</w:t>
      </w:r>
      <w:r>
        <w:rPr>
          <w:color w:val="231F20"/>
          <w:spacing w:val="-4"/>
          <w:w w:val="105"/>
          <w:sz w:val="18"/>
        </w:rPr>
        <w:t> </w:t>
      </w:r>
      <w:r>
        <w:rPr>
          <w:color w:val="231F20"/>
          <w:w w:val="105"/>
          <w:sz w:val="18"/>
        </w:rPr>
        <w:t>offer</w:t>
      </w:r>
      <w:r>
        <w:rPr>
          <w:color w:val="231F20"/>
          <w:spacing w:val="-4"/>
          <w:w w:val="105"/>
          <w:sz w:val="18"/>
        </w:rPr>
        <w:t> </w:t>
      </w:r>
      <w:r>
        <w:rPr>
          <w:color w:val="231F20"/>
          <w:w w:val="105"/>
          <w:sz w:val="18"/>
        </w:rPr>
        <w:t>Colombia</w:t>
      </w:r>
      <w:r>
        <w:rPr>
          <w:color w:val="231F20"/>
          <w:spacing w:val="-4"/>
          <w:w w:val="105"/>
          <w:sz w:val="18"/>
        </w:rPr>
        <w:t> </w:t>
      </w:r>
      <w:r>
        <w:rPr>
          <w:color w:val="231F20"/>
          <w:w w:val="105"/>
          <w:sz w:val="18"/>
        </w:rPr>
        <w:t>FTA”,</w:t>
      </w:r>
      <w:r>
        <w:rPr>
          <w:color w:val="231F20"/>
          <w:spacing w:val="-4"/>
          <w:w w:val="105"/>
          <w:sz w:val="18"/>
        </w:rPr>
        <w:t> </w:t>
      </w:r>
      <w:r>
        <w:rPr>
          <w:i/>
          <w:color w:val="231F20"/>
          <w:w w:val="105"/>
          <w:sz w:val="18"/>
        </w:rPr>
        <w:t>Business </w:t>
      </w:r>
      <w:r>
        <w:rPr>
          <w:i/>
          <w:color w:val="231F20"/>
          <w:w w:val="105"/>
          <w:sz w:val="18"/>
        </w:rPr>
        <w:t>y Lobbying, </w:t>
      </w:r>
      <w:r>
        <w:rPr>
          <w:color w:val="231F20"/>
          <w:w w:val="105"/>
          <w:sz w:val="18"/>
        </w:rPr>
        <w:t>en </w:t>
      </w:r>
      <w:hyperlink r:id="rId395">
        <w:r>
          <w:rPr>
            <w:color w:val="231F20"/>
            <w:w w:val="105"/>
            <w:sz w:val="18"/>
          </w:rPr>
          <w:t>&lt;http://thehill.com/business--lobby/white-house-expected-</w:t>
        </w:r>
      </w:hyperlink>
      <w:r>
        <w:rPr>
          <w:color w:val="231F20"/>
          <w:w w:val="105"/>
          <w:sz w:val="18"/>
        </w:rPr>
        <w:t> to-offer-colombia-fta-2008-01-09.html&gt;, 9 de</w:t>
      </w:r>
      <w:r>
        <w:rPr>
          <w:color w:val="231F20"/>
          <w:spacing w:val="15"/>
          <w:w w:val="105"/>
          <w:sz w:val="18"/>
        </w:rPr>
        <w:t> </w:t>
      </w:r>
      <w:r>
        <w:rPr>
          <w:color w:val="231F20"/>
          <w:w w:val="105"/>
          <w:sz w:val="18"/>
        </w:rPr>
        <w:t>enero.</w:t>
      </w:r>
    </w:p>
    <w:p>
      <w:pPr>
        <w:spacing w:line="254" w:lineRule="auto" w:before="1"/>
        <w:ind w:left="340" w:right="112" w:hanging="240"/>
        <w:jc w:val="both"/>
        <w:rPr>
          <w:sz w:val="18"/>
        </w:rPr>
      </w:pPr>
      <w:r>
        <w:rPr>
          <w:color w:val="231F20"/>
          <w:w w:val="105"/>
          <w:sz w:val="18"/>
        </w:rPr>
        <w:t>Smith, Mark A., 2007, tabla 6.1, Issue Priorities in Presidential Adverti- sements, 1984-2004, en “Insecurity, Reputations and Ascendance” en Skocpol Pierson, en </w:t>
      </w:r>
      <w:r>
        <w:rPr>
          <w:i/>
          <w:color w:val="231F20"/>
          <w:w w:val="105"/>
          <w:sz w:val="18"/>
        </w:rPr>
        <w:t>The Transformation Of American Politics</w:t>
      </w:r>
      <w:r>
        <w:rPr>
          <w:color w:val="231F20"/>
          <w:w w:val="105"/>
          <w:sz w:val="18"/>
        </w:rPr>
        <w:t>, Princeton University Press.</w:t>
      </w:r>
    </w:p>
    <w:p>
      <w:pPr>
        <w:spacing w:before="1"/>
        <w:ind w:left="100" w:right="25" w:firstLine="0"/>
        <w:jc w:val="left"/>
        <w:rPr>
          <w:i/>
          <w:sz w:val="18"/>
        </w:rPr>
      </w:pPr>
      <w:r>
        <w:rPr>
          <w:color w:val="231F20"/>
          <w:sz w:val="18"/>
        </w:rPr>
        <w:t>Sánchez y Estay, 2005, </w:t>
      </w:r>
      <w:r>
        <w:rPr>
          <w:i/>
          <w:color w:val="231F20"/>
          <w:sz w:val="18"/>
        </w:rPr>
        <w:t>El Alca y sus peligros para América Latina, Buenos  Aires,</w:t>
      </w:r>
    </w:p>
    <w:p>
      <w:pPr>
        <w:spacing w:before="13"/>
        <w:ind w:left="340" w:right="25" w:firstLine="0"/>
        <w:jc w:val="left"/>
        <w:rPr>
          <w:i/>
          <w:sz w:val="18"/>
        </w:rPr>
      </w:pPr>
      <w:r>
        <w:rPr>
          <w:color w:val="231F20"/>
          <w:w w:val="125"/>
          <w:sz w:val="18"/>
        </w:rPr>
        <w:t>clacso</w:t>
      </w:r>
      <w:r>
        <w:rPr>
          <w:i/>
          <w:color w:val="231F20"/>
          <w:w w:val="125"/>
          <w:sz w:val="18"/>
        </w:rPr>
        <w:t>.</w:t>
      </w:r>
    </w:p>
    <w:p>
      <w:pPr>
        <w:spacing w:line="254" w:lineRule="auto" w:before="13"/>
        <w:ind w:left="340" w:right="117" w:hanging="240"/>
        <w:jc w:val="both"/>
        <w:rPr>
          <w:sz w:val="18"/>
        </w:rPr>
      </w:pPr>
      <w:r>
        <w:rPr>
          <w:color w:val="231F20"/>
          <w:w w:val="105"/>
          <w:sz w:val="18"/>
        </w:rPr>
        <w:t>Steinfels, Peter, 1979, “The Neoconservatives: The Men Who Are Changing </w:t>
      </w:r>
      <w:r>
        <w:rPr>
          <w:color w:val="231F20"/>
          <w:sz w:val="18"/>
        </w:rPr>
        <w:t>America’s Politics”.</w:t>
      </w:r>
    </w:p>
    <w:p>
      <w:pPr>
        <w:spacing w:line="254" w:lineRule="auto" w:before="1"/>
        <w:ind w:left="340" w:right="119" w:hanging="240"/>
        <w:jc w:val="both"/>
        <w:rPr>
          <w:sz w:val="18"/>
        </w:rPr>
      </w:pPr>
      <w:r>
        <w:rPr>
          <w:color w:val="231F20"/>
          <w:sz w:val="18"/>
        </w:rPr>
        <w:t>Suárez Salazar, Luis y Tania García Lorenzo, 2008, Las </w:t>
      </w:r>
      <w:r>
        <w:rPr>
          <w:i/>
          <w:color w:val="231F20"/>
          <w:sz w:val="18"/>
        </w:rPr>
        <w:t>relaciones interamerica- </w:t>
      </w:r>
      <w:r>
        <w:rPr>
          <w:i/>
          <w:color w:val="231F20"/>
          <w:sz w:val="18"/>
        </w:rPr>
        <w:t>nas, continuidades y cambios</w:t>
      </w:r>
      <w:r>
        <w:rPr>
          <w:color w:val="231F20"/>
          <w:sz w:val="18"/>
        </w:rPr>
        <w:t>.  </w:t>
      </w:r>
      <w:r>
        <w:rPr>
          <w:color w:val="231F20"/>
          <w:w w:val="110"/>
          <w:sz w:val="18"/>
        </w:rPr>
        <w:t>clacso</w:t>
      </w:r>
    </w:p>
    <w:p>
      <w:pPr>
        <w:spacing w:line="254" w:lineRule="auto" w:before="1"/>
        <w:ind w:left="340" w:right="118" w:hanging="240"/>
        <w:jc w:val="both"/>
        <w:rPr>
          <w:sz w:val="18"/>
        </w:rPr>
      </w:pPr>
      <w:r>
        <w:rPr>
          <w:color w:val="231F20"/>
          <w:w w:val="105"/>
          <w:sz w:val="18"/>
        </w:rPr>
        <w:t>Tokatlian, Juan Gabriel, 2008, “Después de las primarias”, </w:t>
      </w:r>
      <w:r>
        <w:rPr>
          <w:i/>
          <w:color w:val="231F20"/>
          <w:w w:val="105"/>
          <w:sz w:val="18"/>
        </w:rPr>
        <w:t>La Nación</w:t>
      </w:r>
      <w:r>
        <w:rPr>
          <w:color w:val="231F20"/>
          <w:w w:val="105"/>
          <w:sz w:val="18"/>
        </w:rPr>
        <w:t>, Buenos Aires, 13 de  febrero.</w:t>
      </w:r>
    </w:p>
    <w:p>
      <w:pPr>
        <w:spacing w:line="254" w:lineRule="auto" w:before="1"/>
        <w:ind w:left="340" w:right="119" w:hanging="240"/>
        <w:jc w:val="both"/>
        <w:rPr>
          <w:sz w:val="18"/>
        </w:rPr>
      </w:pPr>
      <w:r>
        <w:rPr>
          <w:color w:val="231F20"/>
          <w:w w:val="105"/>
          <w:sz w:val="18"/>
        </w:rPr>
        <w:t>Tocqueville, Alexis de (1835) 2004, “Parties in the United States”, </w:t>
      </w:r>
      <w:r>
        <w:rPr>
          <w:i/>
          <w:color w:val="231F20"/>
          <w:w w:val="105"/>
          <w:sz w:val="18"/>
        </w:rPr>
        <w:t>Democracy </w:t>
      </w:r>
      <w:r>
        <w:rPr>
          <w:i/>
          <w:color w:val="231F20"/>
          <w:w w:val="105"/>
          <w:sz w:val="18"/>
        </w:rPr>
        <w:t>in America</w:t>
      </w:r>
      <w:r>
        <w:rPr>
          <w:color w:val="231F20"/>
          <w:w w:val="105"/>
          <w:sz w:val="18"/>
        </w:rPr>
        <w:t>, Nueva York, Bantam Dell.</w:t>
      </w:r>
    </w:p>
    <w:p>
      <w:pPr>
        <w:spacing w:line="254" w:lineRule="auto" w:before="1"/>
        <w:ind w:left="340" w:right="25" w:hanging="240"/>
        <w:jc w:val="left"/>
        <w:rPr>
          <w:sz w:val="18"/>
        </w:rPr>
      </w:pPr>
      <w:r>
        <w:rPr>
          <w:color w:val="231F20"/>
          <w:w w:val="110"/>
          <w:sz w:val="18"/>
        </w:rPr>
        <w:t>ustr, Oficina del representante comercial de Estados Unidos, 2003, “ustr Notifies</w:t>
      </w:r>
      <w:r>
        <w:rPr>
          <w:color w:val="231F20"/>
          <w:spacing w:val="-18"/>
          <w:w w:val="110"/>
          <w:sz w:val="18"/>
        </w:rPr>
        <w:t> </w:t>
      </w:r>
      <w:r>
        <w:rPr>
          <w:color w:val="231F20"/>
          <w:w w:val="110"/>
          <w:sz w:val="18"/>
        </w:rPr>
        <w:t>Congress</w:t>
      </w:r>
      <w:r>
        <w:rPr>
          <w:color w:val="231F20"/>
          <w:spacing w:val="-18"/>
          <w:w w:val="110"/>
          <w:sz w:val="18"/>
        </w:rPr>
        <w:t> </w:t>
      </w:r>
      <w:r>
        <w:rPr>
          <w:color w:val="231F20"/>
          <w:w w:val="110"/>
          <w:sz w:val="18"/>
        </w:rPr>
        <w:t>of</w:t>
      </w:r>
      <w:r>
        <w:rPr>
          <w:color w:val="231F20"/>
          <w:spacing w:val="-18"/>
          <w:w w:val="110"/>
          <w:sz w:val="18"/>
        </w:rPr>
        <w:t> </w:t>
      </w:r>
      <w:r>
        <w:rPr>
          <w:color w:val="231F20"/>
          <w:w w:val="110"/>
          <w:sz w:val="18"/>
        </w:rPr>
        <w:t>Intent</w:t>
      </w:r>
      <w:r>
        <w:rPr>
          <w:color w:val="231F20"/>
          <w:spacing w:val="-18"/>
          <w:w w:val="110"/>
          <w:sz w:val="18"/>
        </w:rPr>
        <w:t> </w:t>
      </w:r>
      <w:r>
        <w:rPr>
          <w:color w:val="231F20"/>
          <w:w w:val="110"/>
          <w:sz w:val="18"/>
        </w:rPr>
        <w:t>to</w:t>
      </w:r>
      <w:r>
        <w:rPr>
          <w:color w:val="231F20"/>
          <w:spacing w:val="-18"/>
          <w:w w:val="110"/>
          <w:sz w:val="18"/>
        </w:rPr>
        <w:t> </w:t>
      </w:r>
      <w:r>
        <w:rPr>
          <w:color w:val="231F20"/>
          <w:w w:val="110"/>
          <w:sz w:val="18"/>
        </w:rPr>
        <w:t>Initiate</w:t>
      </w:r>
      <w:r>
        <w:rPr>
          <w:color w:val="231F20"/>
          <w:spacing w:val="-18"/>
          <w:w w:val="110"/>
          <w:sz w:val="18"/>
        </w:rPr>
        <w:t> </w:t>
      </w:r>
      <w:r>
        <w:rPr>
          <w:color w:val="231F20"/>
          <w:w w:val="110"/>
          <w:sz w:val="18"/>
        </w:rPr>
        <w:t>Free</w:t>
      </w:r>
      <w:r>
        <w:rPr>
          <w:color w:val="231F20"/>
          <w:spacing w:val="-18"/>
          <w:w w:val="110"/>
          <w:sz w:val="18"/>
        </w:rPr>
        <w:t> </w:t>
      </w:r>
      <w:r>
        <w:rPr>
          <w:color w:val="231F20"/>
          <w:spacing w:val="-4"/>
          <w:w w:val="110"/>
          <w:sz w:val="18"/>
        </w:rPr>
        <w:t>Trade</w:t>
      </w:r>
      <w:r>
        <w:rPr>
          <w:color w:val="231F20"/>
          <w:spacing w:val="-18"/>
          <w:w w:val="110"/>
          <w:sz w:val="18"/>
        </w:rPr>
        <w:t> </w:t>
      </w:r>
      <w:r>
        <w:rPr>
          <w:color w:val="231F20"/>
          <w:spacing w:val="-4"/>
          <w:w w:val="110"/>
          <w:sz w:val="18"/>
        </w:rPr>
        <w:t>Talks</w:t>
      </w:r>
      <w:r>
        <w:rPr>
          <w:color w:val="231F20"/>
          <w:spacing w:val="-18"/>
          <w:w w:val="110"/>
          <w:sz w:val="18"/>
        </w:rPr>
        <w:t> </w:t>
      </w:r>
      <w:r>
        <w:rPr>
          <w:color w:val="231F20"/>
          <w:w w:val="110"/>
          <w:sz w:val="18"/>
        </w:rPr>
        <w:t>with</w:t>
      </w:r>
      <w:r>
        <w:rPr>
          <w:color w:val="231F20"/>
          <w:spacing w:val="-18"/>
          <w:w w:val="110"/>
          <w:sz w:val="18"/>
        </w:rPr>
        <w:t> </w:t>
      </w:r>
      <w:r>
        <w:rPr>
          <w:color w:val="231F20"/>
          <w:w w:val="110"/>
          <w:sz w:val="18"/>
        </w:rPr>
        <w:t>Andean</w:t>
      </w:r>
      <w:r>
        <w:rPr>
          <w:color w:val="231F20"/>
          <w:spacing w:val="-18"/>
          <w:w w:val="110"/>
          <w:sz w:val="18"/>
        </w:rPr>
        <w:t> </w:t>
      </w:r>
      <w:r>
        <w:rPr>
          <w:color w:val="231F20"/>
          <w:w w:val="110"/>
          <w:sz w:val="18"/>
        </w:rPr>
        <w:t>Coun- </w:t>
      </w:r>
      <w:r>
        <w:rPr>
          <w:color w:val="231F20"/>
          <w:w w:val="105"/>
          <w:sz w:val="18"/>
        </w:rPr>
        <w:t>tries”. 18 noviembre, </w:t>
      </w:r>
      <w:hyperlink r:id="rId396">
        <w:r>
          <w:rPr>
            <w:color w:val="231F20"/>
            <w:w w:val="105"/>
            <w:sz w:val="18"/>
          </w:rPr>
          <w:t>&lt;www.ustr.gov/Document_Library/Letters_to_Con</w:t>
        </w:r>
      </w:hyperlink>
      <w:r>
        <w:rPr>
          <w:color w:val="231F20"/>
          <w:w w:val="105"/>
          <w:sz w:val="18"/>
        </w:rPr>
        <w:t>- </w:t>
      </w:r>
      <w:r>
        <w:rPr>
          <w:color w:val="231F20"/>
          <w:w w:val="110"/>
          <w:sz w:val="18"/>
        </w:rPr>
        <w:t>gress/2003/USTR_Notifies_Congress_of_Intent_to_Initiate_Free_Tra- de_Talks_with_Andean_Countries.html&gt;.</w:t>
      </w:r>
    </w:p>
    <w:p>
      <w:pPr>
        <w:spacing w:line="254" w:lineRule="auto" w:before="1"/>
        <w:ind w:left="340" w:right="117" w:hanging="240"/>
        <w:jc w:val="both"/>
        <w:rPr>
          <w:sz w:val="18"/>
        </w:rPr>
      </w:pPr>
      <w:r>
        <w:rPr>
          <w:color w:val="231F20"/>
          <w:w w:val="110"/>
          <w:sz w:val="18"/>
        </w:rPr>
        <w:t>Vivanco,</w:t>
      </w:r>
      <w:r>
        <w:rPr>
          <w:color w:val="231F20"/>
          <w:spacing w:val="-8"/>
          <w:w w:val="110"/>
          <w:sz w:val="18"/>
        </w:rPr>
        <w:t> </w:t>
      </w:r>
      <w:r>
        <w:rPr>
          <w:color w:val="231F20"/>
          <w:w w:val="110"/>
          <w:sz w:val="18"/>
        </w:rPr>
        <w:t>José</w:t>
      </w:r>
      <w:r>
        <w:rPr>
          <w:color w:val="231F20"/>
          <w:spacing w:val="-8"/>
          <w:w w:val="110"/>
          <w:sz w:val="18"/>
        </w:rPr>
        <w:t> </w:t>
      </w:r>
      <w:r>
        <w:rPr>
          <w:color w:val="231F20"/>
          <w:w w:val="110"/>
          <w:sz w:val="18"/>
        </w:rPr>
        <w:t>Miguel,</w:t>
      </w:r>
      <w:r>
        <w:rPr>
          <w:color w:val="231F20"/>
          <w:spacing w:val="-8"/>
          <w:w w:val="110"/>
          <w:sz w:val="18"/>
        </w:rPr>
        <w:t> </w:t>
      </w:r>
      <w:r>
        <w:rPr>
          <w:color w:val="231F20"/>
          <w:w w:val="110"/>
          <w:sz w:val="18"/>
        </w:rPr>
        <w:t>2008,</w:t>
      </w:r>
      <w:r>
        <w:rPr>
          <w:color w:val="231F20"/>
          <w:spacing w:val="-8"/>
          <w:w w:val="110"/>
          <w:sz w:val="18"/>
        </w:rPr>
        <w:t> </w:t>
      </w:r>
      <w:r>
        <w:rPr>
          <w:color w:val="231F20"/>
          <w:w w:val="110"/>
          <w:sz w:val="18"/>
        </w:rPr>
        <w:t>“Colombia</w:t>
      </w:r>
      <w:r>
        <w:rPr>
          <w:color w:val="231F20"/>
          <w:spacing w:val="-8"/>
          <w:w w:val="110"/>
          <w:sz w:val="18"/>
        </w:rPr>
        <w:t> </w:t>
      </w:r>
      <w:r>
        <w:rPr>
          <w:color w:val="231F20"/>
          <w:w w:val="110"/>
          <w:sz w:val="18"/>
        </w:rPr>
        <w:t>tiene</w:t>
      </w:r>
      <w:r>
        <w:rPr>
          <w:color w:val="231F20"/>
          <w:spacing w:val="-8"/>
          <w:w w:val="110"/>
          <w:sz w:val="18"/>
        </w:rPr>
        <w:t> </w:t>
      </w:r>
      <w:r>
        <w:rPr>
          <w:color w:val="231F20"/>
          <w:w w:val="110"/>
          <w:sz w:val="18"/>
        </w:rPr>
        <w:t>las</w:t>
      </w:r>
      <w:r>
        <w:rPr>
          <w:color w:val="231F20"/>
          <w:spacing w:val="-8"/>
          <w:w w:val="110"/>
          <w:sz w:val="18"/>
        </w:rPr>
        <w:t> </w:t>
      </w:r>
      <w:r>
        <w:rPr>
          <w:color w:val="231F20"/>
          <w:w w:val="110"/>
          <w:sz w:val="18"/>
        </w:rPr>
        <w:t>cifras</w:t>
      </w:r>
      <w:r>
        <w:rPr>
          <w:color w:val="231F20"/>
          <w:spacing w:val="-8"/>
          <w:w w:val="110"/>
          <w:sz w:val="18"/>
        </w:rPr>
        <w:t> </w:t>
      </w:r>
      <w:r>
        <w:rPr>
          <w:color w:val="231F20"/>
          <w:w w:val="110"/>
          <w:sz w:val="18"/>
        </w:rPr>
        <w:t>mas</w:t>
      </w:r>
      <w:r>
        <w:rPr>
          <w:color w:val="231F20"/>
          <w:spacing w:val="-8"/>
          <w:w w:val="110"/>
          <w:sz w:val="18"/>
        </w:rPr>
        <w:t> </w:t>
      </w:r>
      <w:r>
        <w:rPr>
          <w:color w:val="231F20"/>
          <w:w w:val="110"/>
          <w:sz w:val="18"/>
        </w:rPr>
        <w:t>altas</w:t>
      </w:r>
      <w:r>
        <w:rPr>
          <w:color w:val="231F20"/>
          <w:spacing w:val="-8"/>
          <w:w w:val="110"/>
          <w:sz w:val="18"/>
        </w:rPr>
        <w:t> </w:t>
      </w:r>
      <w:r>
        <w:rPr>
          <w:color w:val="231F20"/>
          <w:w w:val="110"/>
          <w:sz w:val="18"/>
        </w:rPr>
        <w:t>de</w:t>
      </w:r>
      <w:r>
        <w:rPr>
          <w:color w:val="231F20"/>
          <w:spacing w:val="-8"/>
          <w:w w:val="110"/>
          <w:sz w:val="18"/>
        </w:rPr>
        <w:t> </w:t>
      </w:r>
      <w:r>
        <w:rPr>
          <w:color w:val="231F20"/>
          <w:w w:val="110"/>
          <w:sz w:val="18"/>
        </w:rPr>
        <w:t>sindica- listas</w:t>
      </w:r>
      <w:r>
        <w:rPr>
          <w:color w:val="231F20"/>
          <w:spacing w:val="-27"/>
          <w:w w:val="110"/>
          <w:sz w:val="18"/>
        </w:rPr>
        <w:t> </w:t>
      </w:r>
      <w:r>
        <w:rPr>
          <w:color w:val="231F20"/>
          <w:w w:val="110"/>
          <w:sz w:val="18"/>
        </w:rPr>
        <w:t>asesinados”,</w:t>
      </w:r>
      <w:r>
        <w:rPr>
          <w:color w:val="231F20"/>
          <w:spacing w:val="-27"/>
          <w:w w:val="110"/>
          <w:sz w:val="18"/>
        </w:rPr>
        <w:t> </w:t>
      </w:r>
      <w:r>
        <w:rPr>
          <w:i/>
          <w:color w:val="231F20"/>
          <w:w w:val="110"/>
          <w:sz w:val="18"/>
        </w:rPr>
        <w:t>Human</w:t>
      </w:r>
      <w:r>
        <w:rPr>
          <w:i/>
          <w:color w:val="231F20"/>
          <w:spacing w:val="-27"/>
          <w:w w:val="110"/>
          <w:sz w:val="18"/>
        </w:rPr>
        <w:t> </w:t>
      </w:r>
      <w:r>
        <w:rPr>
          <w:i/>
          <w:color w:val="231F20"/>
          <w:w w:val="110"/>
          <w:sz w:val="18"/>
        </w:rPr>
        <w:t>Rights</w:t>
      </w:r>
      <w:r>
        <w:rPr>
          <w:i/>
          <w:color w:val="231F20"/>
          <w:spacing w:val="-27"/>
          <w:w w:val="110"/>
          <w:sz w:val="18"/>
        </w:rPr>
        <w:t> </w:t>
      </w:r>
      <w:r>
        <w:rPr>
          <w:i/>
          <w:color w:val="231F20"/>
          <w:w w:val="110"/>
          <w:sz w:val="18"/>
        </w:rPr>
        <w:t>Watch</w:t>
      </w:r>
      <w:r>
        <w:rPr>
          <w:color w:val="231F20"/>
          <w:w w:val="110"/>
          <w:sz w:val="18"/>
        </w:rPr>
        <w:t>,</w:t>
      </w:r>
      <w:r>
        <w:rPr>
          <w:color w:val="231F20"/>
          <w:spacing w:val="-27"/>
          <w:w w:val="110"/>
          <w:sz w:val="18"/>
        </w:rPr>
        <w:t> </w:t>
      </w:r>
      <w:r>
        <w:rPr>
          <w:color w:val="231F20"/>
          <w:w w:val="110"/>
          <w:sz w:val="18"/>
        </w:rPr>
        <w:t>Julio</w:t>
      </w:r>
      <w:r>
        <w:rPr>
          <w:color w:val="231F20"/>
          <w:spacing w:val="-27"/>
          <w:w w:val="110"/>
          <w:sz w:val="18"/>
        </w:rPr>
        <w:t> </w:t>
      </w:r>
      <w:r>
        <w:rPr>
          <w:color w:val="231F20"/>
          <w:w w:val="110"/>
          <w:sz w:val="18"/>
        </w:rPr>
        <w:t>08,</w:t>
      </w:r>
      <w:r>
        <w:rPr>
          <w:color w:val="231F20"/>
          <w:spacing w:val="-27"/>
          <w:w w:val="110"/>
          <w:sz w:val="18"/>
        </w:rPr>
        <w:t> </w:t>
      </w:r>
      <w:hyperlink r:id="rId397">
        <w:r>
          <w:rPr>
            <w:color w:val="231F20"/>
            <w:w w:val="110"/>
            <w:sz w:val="18"/>
          </w:rPr>
          <w:t>&lt;http://www.publico.es/</w:t>
        </w:r>
      </w:hyperlink>
    </w:p>
    <w:p>
      <w:pPr>
        <w:spacing w:after="0" w:line="254" w:lineRule="auto"/>
        <w:jc w:val="both"/>
        <w:rPr>
          <w:sz w:val="18"/>
        </w:rPr>
        <w:sectPr>
          <w:pgSz w:w="7640" w:h="11900"/>
          <w:pgMar w:header="672" w:footer="0" w:top="860" w:bottom="280" w:left="660" w:right="760"/>
        </w:sectPr>
      </w:pPr>
    </w:p>
    <w:p>
      <w:pPr>
        <w:pStyle w:val="BodyText"/>
        <w:spacing w:before="8"/>
        <w:rPr>
          <w:sz w:val="8"/>
        </w:rPr>
      </w:pPr>
    </w:p>
    <w:p>
      <w:pPr>
        <w:spacing w:before="71"/>
        <w:ind w:left="340" w:right="25" w:firstLine="0"/>
        <w:jc w:val="left"/>
        <w:rPr>
          <w:sz w:val="18"/>
        </w:rPr>
      </w:pPr>
      <w:r>
        <w:rPr>
          <w:color w:val="231F20"/>
          <w:w w:val="105"/>
          <w:sz w:val="18"/>
        </w:rPr>
        <w:t>internacional/118926/colombia/cifras/altas/sindicalistas/asesinados&gt;         y</w:t>
      </w:r>
    </w:p>
    <w:p>
      <w:pPr>
        <w:spacing w:before="13"/>
        <w:ind w:left="340" w:right="25" w:firstLine="0"/>
        <w:jc w:val="left"/>
        <w:rPr>
          <w:sz w:val="18"/>
        </w:rPr>
      </w:pPr>
      <w:hyperlink r:id="rId398">
        <w:r>
          <w:rPr>
            <w:color w:val="231F20"/>
            <w:w w:val="115"/>
            <w:sz w:val="18"/>
          </w:rPr>
          <w:t>&lt;http://hr</w:t>
        </w:r>
      </w:hyperlink>
      <w:r>
        <w:rPr>
          <w:color w:val="231F20"/>
          <w:w w:val="115"/>
          <w:sz w:val="18"/>
        </w:rPr>
        <w:t>w</w:t>
      </w:r>
      <w:hyperlink r:id="rId398">
        <w:r>
          <w:rPr>
            <w:color w:val="231F20"/>
            <w:w w:val="115"/>
            <w:sz w:val="18"/>
          </w:rPr>
          <w:t>.org/spanish/docs/2008/01/23/colomb17851.htm&gt;</w:t>
        </w:r>
      </w:hyperlink>
    </w:p>
    <w:p>
      <w:pPr>
        <w:spacing w:line="254" w:lineRule="auto" w:before="13"/>
        <w:ind w:left="340" w:right="119" w:hanging="240"/>
        <w:jc w:val="both"/>
        <w:rPr>
          <w:sz w:val="18"/>
        </w:rPr>
      </w:pPr>
      <w:r>
        <w:rPr>
          <w:i/>
          <w:color w:val="231F20"/>
          <w:spacing w:val="-3"/>
          <w:w w:val="105"/>
          <w:sz w:val="18"/>
        </w:rPr>
        <w:t>Washington</w:t>
      </w:r>
      <w:r>
        <w:rPr>
          <w:i/>
          <w:color w:val="231F20"/>
          <w:spacing w:val="-10"/>
          <w:w w:val="105"/>
          <w:sz w:val="18"/>
        </w:rPr>
        <w:t> </w:t>
      </w:r>
      <w:r>
        <w:rPr>
          <w:i/>
          <w:color w:val="231F20"/>
          <w:w w:val="105"/>
          <w:sz w:val="18"/>
        </w:rPr>
        <w:t>Post</w:t>
      </w:r>
      <w:r>
        <w:rPr>
          <w:color w:val="231F20"/>
          <w:w w:val="105"/>
          <w:sz w:val="18"/>
        </w:rPr>
        <w:t>,</w:t>
      </w:r>
      <w:r>
        <w:rPr>
          <w:color w:val="231F20"/>
          <w:spacing w:val="-10"/>
          <w:w w:val="105"/>
          <w:sz w:val="18"/>
        </w:rPr>
        <w:t> </w:t>
      </w:r>
      <w:r>
        <w:rPr>
          <w:color w:val="231F20"/>
          <w:w w:val="105"/>
          <w:sz w:val="18"/>
        </w:rPr>
        <w:t>2008,</w:t>
      </w:r>
      <w:r>
        <w:rPr>
          <w:color w:val="231F20"/>
          <w:spacing w:val="-10"/>
          <w:w w:val="105"/>
          <w:sz w:val="18"/>
        </w:rPr>
        <w:t> </w:t>
      </w:r>
      <w:r>
        <w:rPr>
          <w:color w:val="231F20"/>
          <w:w w:val="105"/>
          <w:sz w:val="18"/>
        </w:rPr>
        <w:t>“Bill</w:t>
      </w:r>
      <w:r>
        <w:rPr>
          <w:color w:val="231F20"/>
          <w:spacing w:val="-10"/>
          <w:w w:val="105"/>
          <w:sz w:val="18"/>
        </w:rPr>
        <w:t> </w:t>
      </w:r>
      <w:r>
        <w:rPr>
          <w:color w:val="231F20"/>
          <w:w w:val="105"/>
          <w:sz w:val="18"/>
        </w:rPr>
        <w:t>Clinton</w:t>
      </w:r>
      <w:r>
        <w:rPr>
          <w:color w:val="231F20"/>
          <w:spacing w:val="-10"/>
          <w:w w:val="105"/>
          <w:sz w:val="18"/>
        </w:rPr>
        <w:t> </w:t>
      </w:r>
      <w:r>
        <w:rPr>
          <w:color w:val="231F20"/>
          <w:w w:val="105"/>
          <w:sz w:val="18"/>
        </w:rPr>
        <w:t>Supports</w:t>
      </w:r>
      <w:r>
        <w:rPr>
          <w:color w:val="231F20"/>
          <w:spacing w:val="-10"/>
          <w:w w:val="105"/>
          <w:sz w:val="18"/>
        </w:rPr>
        <w:t> </w:t>
      </w:r>
      <w:r>
        <w:rPr>
          <w:color w:val="231F20"/>
          <w:w w:val="105"/>
          <w:sz w:val="18"/>
        </w:rPr>
        <w:t>Colombia</w:t>
      </w:r>
      <w:r>
        <w:rPr>
          <w:color w:val="231F20"/>
          <w:spacing w:val="-10"/>
          <w:w w:val="105"/>
          <w:sz w:val="18"/>
        </w:rPr>
        <w:t> </w:t>
      </w:r>
      <w:r>
        <w:rPr>
          <w:color w:val="231F20"/>
          <w:spacing w:val="-5"/>
          <w:w w:val="105"/>
          <w:sz w:val="18"/>
        </w:rPr>
        <w:t>Trade</w:t>
      </w:r>
      <w:r>
        <w:rPr>
          <w:color w:val="231F20"/>
          <w:spacing w:val="-10"/>
          <w:w w:val="105"/>
          <w:sz w:val="18"/>
        </w:rPr>
        <w:t> </w:t>
      </w:r>
      <w:r>
        <w:rPr>
          <w:color w:val="231F20"/>
          <w:w w:val="105"/>
          <w:sz w:val="18"/>
        </w:rPr>
        <w:t>Deal”,</w:t>
      </w:r>
      <w:r>
        <w:rPr>
          <w:color w:val="231F20"/>
          <w:spacing w:val="-10"/>
          <w:w w:val="105"/>
          <w:sz w:val="18"/>
        </w:rPr>
        <w:t> </w:t>
      </w:r>
      <w:r>
        <w:rPr>
          <w:color w:val="231F20"/>
          <w:spacing w:val="-3"/>
          <w:w w:val="105"/>
          <w:sz w:val="18"/>
        </w:rPr>
        <w:t>Washing- </w:t>
      </w:r>
      <w:r>
        <w:rPr>
          <w:color w:val="231F20"/>
          <w:w w:val="105"/>
          <w:sz w:val="18"/>
        </w:rPr>
        <w:t>ton, 9 de </w:t>
      </w:r>
      <w:r>
        <w:rPr>
          <w:color w:val="231F20"/>
          <w:spacing w:val="17"/>
          <w:w w:val="105"/>
          <w:sz w:val="18"/>
        </w:rPr>
        <w:t> </w:t>
      </w:r>
      <w:r>
        <w:rPr>
          <w:color w:val="231F20"/>
          <w:spacing w:val="-2"/>
          <w:w w:val="105"/>
          <w:sz w:val="18"/>
        </w:rPr>
        <w:t>abril.</w:t>
      </w:r>
    </w:p>
    <w:p>
      <w:pPr>
        <w:spacing w:before="1"/>
        <w:ind w:left="100" w:right="25" w:firstLine="0"/>
        <w:jc w:val="left"/>
        <w:rPr>
          <w:sz w:val="18"/>
        </w:rPr>
      </w:pPr>
      <w:r>
        <w:rPr>
          <w:color w:val="231F20"/>
          <w:w w:val="105"/>
          <w:sz w:val="18"/>
        </w:rPr>
        <w:t>Wills, Christopher, 2008, “Obama says his Cuba policy is based on ‘Libertad’”,</w:t>
      </w:r>
    </w:p>
    <w:p>
      <w:pPr>
        <w:spacing w:before="13"/>
        <w:ind w:left="340" w:right="25" w:firstLine="0"/>
        <w:jc w:val="left"/>
        <w:rPr>
          <w:sz w:val="18"/>
        </w:rPr>
      </w:pPr>
      <w:r>
        <w:rPr>
          <w:i/>
          <w:color w:val="231F20"/>
          <w:sz w:val="18"/>
        </w:rPr>
        <w:t>Associated Press</w:t>
      </w:r>
      <w:r>
        <w:rPr>
          <w:color w:val="231F20"/>
          <w:sz w:val="18"/>
        </w:rPr>
        <w:t>, 23 de mayo.</w:t>
      </w:r>
    </w:p>
    <w:p>
      <w:pPr>
        <w:spacing w:line="254" w:lineRule="auto" w:before="13"/>
        <w:ind w:left="340" w:right="117" w:hanging="240"/>
        <w:jc w:val="both"/>
        <w:rPr>
          <w:sz w:val="18"/>
        </w:rPr>
      </w:pPr>
      <w:r>
        <w:rPr>
          <w:color w:val="231F20"/>
          <w:w w:val="105"/>
          <w:sz w:val="18"/>
        </w:rPr>
        <w:t>Zelizer, Julian E., 2007, “Seizing Power: Conservatives and Congress since</w:t>
      </w:r>
      <w:r>
        <w:rPr>
          <w:color w:val="231F20"/>
          <w:spacing w:val="47"/>
          <w:w w:val="105"/>
          <w:sz w:val="18"/>
        </w:rPr>
        <w:t> </w:t>
      </w:r>
      <w:r>
        <w:rPr>
          <w:color w:val="231F20"/>
          <w:w w:val="105"/>
          <w:sz w:val="18"/>
        </w:rPr>
        <w:t>the 1970” en Pierson Paul, Skocpol Theda (eds.), </w:t>
      </w:r>
      <w:r>
        <w:rPr>
          <w:i/>
          <w:color w:val="231F20"/>
          <w:w w:val="105"/>
          <w:sz w:val="18"/>
        </w:rPr>
        <w:t>The transformation of </w:t>
      </w:r>
      <w:r>
        <w:rPr>
          <w:i/>
          <w:color w:val="231F20"/>
          <w:w w:val="105"/>
          <w:sz w:val="18"/>
        </w:rPr>
        <w:t>American</w:t>
      </w:r>
      <w:r>
        <w:rPr>
          <w:i/>
          <w:color w:val="231F20"/>
          <w:spacing w:val="-16"/>
          <w:w w:val="105"/>
          <w:sz w:val="18"/>
        </w:rPr>
        <w:t> </w:t>
      </w:r>
      <w:r>
        <w:rPr>
          <w:i/>
          <w:color w:val="231F20"/>
          <w:w w:val="105"/>
          <w:sz w:val="18"/>
        </w:rPr>
        <w:t>Politics</w:t>
      </w:r>
      <w:r>
        <w:rPr>
          <w:color w:val="231F20"/>
          <w:w w:val="105"/>
          <w:sz w:val="18"/>
        </w:rPr>
        <w:t>,</w:t>
      </w:r>
      <w:r>
        <w:rPr>
          <w:color w:val="231F20"/>
          <w:spacing w:val="-16"/>
          <w:w w:val="105"/>
          <w:sz w:val="18"/>
        </w:rPr>
        <w:t> </w:t>
      </w:r>
      <w:r>
        <w:rPr>
          <w:color w:val="231F20"/>
          <w:w w:val="105"/>
          <w:sz w:val="18"/>
        </w:rPr>
        <w:t>Princeton</w:t>
      </w:r>
      <w:r>
        <w:rPr>
          <w:color w:val="231F20"/>
          <w:spacing w:val="-16"/>
          <w:w w:val="105"/>
          <w:sz w:val="18"/>
        </w:rPr>
        <w:t> </w:t>
      </w:r>
      <w:r>
        <w:rPr>
          <w:color w:val="231F20"/>
          <w:w w:val="105"/>
          <w:sz w:val="18"/>
        </w:rPr>
        <w:t>University</w:t>
      </w:r>
      <w:r>
        <w:rPr>
          <w:color w:val="231F20"/>
          <w:spacing w:val="-16"/>
          <w:w w:val="105"/>
          <w:sz w:val="18"/>
        </w:rPr>
        <w:t> </w:t>
      </w:r>
      <w:r>
        <w:rPr>
          <w:color w:val="231F20"/>
          <w:w w:val="105"/>
          <w:sz w:val="18"/>
        </w:rPr>
        <w:t>Press.</w:t>
      </w:r>
    </w:p>
    <w:p>
      <w:pPr>
        <w:spacing w:before="1"/>
        <w:ind w:left="100" w:right="25" w:firstLine="0"/>
        <w:jc w:val="left"/>
        <w:rPr>
          <w:sz w:val="18"/>
        </w:rPr>
      </w:pPr>
      <w:r>
        <w:rPr>
          <w:color w:val="231F20"/>
          <w:w w:val="110"/>
          <w:sz w:val="18"/>
        </w:rPr>
        <w:t>Zibechi,</w:t>
      </w:r>
      <w:r>
        <w:rPr>
          <w:color w:val="231F20"/>
          <w:spacing w:val="-23"/>
          <w:w w:val="110"/>
          <w:sz w:val="18"/>
        </w:rPr>
        <w:t> </w:t>
      </w:r>
      <w:r>
        <w:rPr>
          <w:color w:val="231F20"/>
          <w:w w:val="110"/>
          <w:sz w:val="18"/>
        </w:rPr>
        <w:t>Raul,</w:t>
      </w:r>
      <w:r>
        <w:rPr>
          <w:color w:val="231F20"/>
          <w:spacing w:val="-23"/>
          <w:w w:val="110"/>
          <w:sz w:val="18"/>
        </w:rPr>
        <w:t> </w:t>
      </w:r>
      <w:r>
        <w:rPr>
          <w:color w:val="231F20"/>
          <w:w w:val="110"/>
          <w:sz w:val="18"/>
        </w:rPr>
        <w:t>2010,</w:t>
      </w:r>
      <w:r>
        <w:rPr>
          <w:color w:val="231F20"/>
          <w:spacing w:val="4"/>
          <w:w w:val="110"/>
          <w:sz w:val="18"/>
        </w:rPr>
        <w:t> </w:t>
      </w:r>
      <w:r>
        <w:rPr>
          <w:color w:val="231F20"/>
          <w:w w:val="110"/>
          <w:sz w:val="18"/>
        </w:rPr>
        <w:t>“Un</w:t>
      </w:r>
      <w:r>
        <w:rPr>
          <w:color w:val="231F20"/>
          <w:spacing w:val="-23"/>
          <w:w w:val="110"/>
          <w:sz w:val="18"/>
        </w:rPr>
        <w:t> </w:t>
      </w:r>
      <w:r>
        <w:rPr>
          <w:color w:val="231F20"/>
          <w:w w:val="110"/>
          <w:sz w:val="18"/>
        </w:rPr>
        <w:t>portaaviones</w:t>
      </w:r>
      <w:r>
        <w:rPr>
          <w:color w:val="231F20"/>
          <w:spacing w:val="-23"/>
          <w:w w:val="110"/>
          <w:sz w:val="18"/>
        </w:rPr>
        <w:t> </w:t>
      </w:r>
      <w:r>
        <w:rPr>
          <w:color w:val="231F20"/>
          <w:w w:val="110"/>
          <w:sz w:val="18"/>
        </w:rPr>
        <w:t>llamado</w:t>
      </w:r>
      <w:r>
        <w:rPr>
          <w:color w:val="231F20"/>
          <w:spacing w:val="-23"/>
          <w:w w:val="110"/>
          <w:sz w:val="18"/>
        </w:rPr>
        <w:t> </w:t>
      </w:r>
      <w:r>
        <w:rPr>
          <w:color w:val="231F20"/>
          <w:w w:val="110"/>
          <w:sz w:val="18"/>
        </w:rPr>
        <w:t>Haití.</w:t>
      </w:r>
      <w:r>
        <w:rPr>
          <w:color w:val="231F20"/>
          <w:spacing w:val="-23"/>
          <w:w w:val="110"/>
          <w:sz w:val="18"/>
        </w:rPr>
        <w:t> </w:t>
      </w:r>
      <w:r>
        <w:rPr>
          <w:color w:val="231F20"/>
          <w:w w:val="110"/>
          <w:sz w:val="18"/>
        </w:rPr>
        <w:t>La</w:t>
      </w:r>
      <w:r>
        <w:rPr>
          <w:color w:val="231F20"/>
          <w:spacing w:val="-23"/>
          <w:w w:val="110"/>
          <w:sz w:val="18"/>
        </w:rPr>
        <w:t> </w:t>
      </w:r>
      <w:r>
        <w:rPr>
          <w:color w:val="231F20"/>
          <w:w w:val="110"/>
          <w:sz w:val="18"/>
        </w:rPr>
        <w:t>IV</w:t>
      </w:r>
      <w:r>
        <w:rPr>
          <w:color w:val="231F20"/>
          <w:spacing w:val="-23"/>
          <w:w w:val="110"/>
          <w:sz w:val="18"/>
        </w:rPr>
        <w:t> </w:t>
      </w:r>
      <w:r>
        <w:rPr>
          <w:color w:val="231F20"/>
          <w:w w:val="110"/>
          <w:sz w:val="18"/>
        </w:rPr>
        <w:t>Flota</w:t>
      </w:r>
      <w:r>
        <w:rPr>
          <w:color w:val="231F20"/>
          <w:spacing w:val="-23"/>
          <w:w w:val="110"/>
          <w:sz w:val="18"/>
        </w:rPr>
        <w:t> </w:t>
      </w:r>
      <w:r>
        <w:rPr>
          <w:color w:val="231F20"/>
          <w:w w:val="110"/>
          <w:sz w:val="18"/>
        </w:rPr>
        <w:t>en</w:t>
      </w:r>
      <w:r>
        <w:rPr>
          <w:color w:val="231F20"/>
          <w:spacing w:val="-23"/>
          <w:w w:val="110"/>
          <w:sz w:val="18"/>
        </w:rPr>
        <w:t> </w:t>
      </w:r>
      <w:r>
        <w:rPr>
          <w:color w:val="231F20"/>
          <w:w w:val="110"/>
          <w:sz w:val="18"/>
        </w:rPr>
        <w:t>Acción”,</w:t>
      </w:r>
    </w:p>
    <w:p>
      <w:pPr>
        <w:spacing w:before="13"/>
        <w:ind w:left="340" w:right="25" w:firstLine="0"/>
        <w:jc w:val="left"/>
        <w:rPr>
          <w:sz w:val="18"/>
        </w:rPr>
      </w:pPr>
      <w:r>
        <w:rPr>
          <w:color w:val="231F20"/>
          <w:w w:val="115"/>
          <w:sz w:val="18"/>
        </w:rPr>
        <w:t>&lt;</w:t>
      </w:r>
      <w:hyperlink r:id="rId399">
        <w:r>
          <w:rPr>
            <w:color w:val="231F20"/>
            <w:w w:val="115"/>
            <w:sz w:val="18"/>
          </w:rPr>
          <w:t>http://alainet.org/rss.phtml&gt;,</w:t>
        </w:r>
      </w:hyperlink>
      <w:r>
        <w:rPr>
          <w:color w:val="231F20"/>
          <w:w w:val="115"/>
          <w:sz w:val="18"/>
        </w:rPr>
        <w:t> enero.</w:t>
      </w:r>
    </w:p>
    <w:p>
      <w:pPr>
        <w:spacing w:after="0"/>
        <w:jc w:val="left"/>
        <w:rPr>
          <w:sz w:val="18"/>
        </w:rPr>
        <w:sectPr>
          <w:pgSz w:w="7640" w:h="11900"/>
          <w:pgMar w:header="672" w:footer="0" w:top="860" w:bottom="280" w:left="780" w:right="640"/>
        </w:sectPr>
      </w:pPr>
    </w:p>
    <w:p>
      <w:pPr>
        <w:pStyle w:val="BodyText"/>
        <w:spacing w:line="261" w:lineRule="auto" w:before="39"/>
        <w:ind w:left="100" w:right="25"/>
      </w:pPr>
      <w:r>
        <w:rPr>
          <w:color w:val="231F20"/>
        </w:rPr>
        <w:t>SEGURIDAD NACIONAL, RECURSOS NATURALES Y DEPENDENCIA ESTADUNIDENSE. MINERALES ESTRATÉGICOS EN LA AGENDA ESTADOS UNIDOS-AMÉRICA  LATINA</w:t>
      </w:r>
    </w:p>
    <w:p>
      <w:pPr>
        <w:pStyle w:val="BodyText"/>
        <w:spacing w:before="8"/>
        <w:rPr>
          <w:sz w:val="21"/>
        </w:rPr>
      </w:pPr>
    </w:p>
    <w:p>
      <w:pPr>
        <w:pStyle w:val="BodyText"/>
        <w:ind w:left="3547" w:right="25"/>
      </w:pPr>
      <w:r>
        <w:rPr>
          <w:color w:val="231F20"/>
          <w:w w:val="125"/>
        </w:rPr>
        <w:t>gian carlo delgado ramos</w:t>
      </w:r>
    </w:p>
    <w:p>
      <w:pPr>
        <w:pStyle w:val="BodyText"/>
      </w:pPr>
    </w:p>
    <w:p>
      <w:pPr>
        <w:pStyle w:val="BodyText"/>
      </w:pPr>
    </w:p>
    <w:p>
      <w:pPr>
        <w:pStyle w:val="BodyText"/>
        <w:spacing w:before="11"/>
        <w:rPr>
          <w:sz w:val="26"/>
        </w:rPr>
      </w:pPr>
    </w:p>
    <w:p>
      <w:pPr>
        <w:pStyle w:val="BodyText"/>
        <w:ind w:left="100"/>
        <w:jc w:val="both"/>
      </w:pPr>
      <w:r>
        <w:rPr>
          <w:color w:val="231F20"/>
          <w:w w:val="130"/>
        </w:rPr>
        <w:t>introducción</w:t>
      </w:r>
    </w:p>
    <w:p>
      <w:pPr>
        <w:pStyle w:val="BodyText"/>
        <w:spacing w:before="5"/>
        <w:rPr>
          <w:sz w:val="23"/>
        </w:rPr>
      </w:pPr>
    </w:p>
    <w:p>
      <w:pPr>
        <w:pStyle w:val="BodyText"/>
        <w:spacing w:line="261" w:lineRule="auto"/>
        <w:ind w:left="100" w:right="117"/>
        <w:jc w:val="both"/>
      </w:pPr>
      <w:r>
        <w:rPr>
          <w:color w:val="231F20"/>
          <w:w w:val="110"/>
        </w:rPr>
        <w:t>La</w:t>
      </w:r>
      <w:r>
        <w:rPr>
          <w:color w:val="231F20"/>
          <w:spacing w:val="-9"/>
          <w:w w:val="110"/>
        </w:rPr>
        <w:t> </w:t>
      </w:r>
      <w:r>
        <w:rPr>
          <w:color w:val="231F20"/>
          <w:w w:val="110"/>
        </w:rPr>
        <w:t>creciente</w:t>
      </w:r>
      <w:r>
        <w:rPr>
          <w:color w:val="231F20"/>
          <w:spacing w:val="-9"/>
          <w:w w:val="110"/>
        </w:rPr>
        <w:t> </w:t>
      </w:r>
      <w:r>
        <w:rPr>
          <w:color w:val="231F20"/>
          <w:w w:val="110"/>
        </w:rPr>
        <w:t>necesidad</w:t>
      </w:r>
      <w:r>
        <w:rPr>
          <w:color w:val="231F20"/>
          <w:spacing w:val="-9"/>
          <w:w w:val="110"/>
        </w:rPr>
        <w:t> </w:t>
      </w:r>
      <w:r>
        <w:rPr>
          <w:color w:val="231F20"/>
          <w:w w:val="110"/>
        </w:rPr>
        <w:t>de</w:t>
      </w:r>
      <w:r>
        <w:rPr>
          <w:color w:val="231F20"/>
          <w:spacing w:val="-9"/>
          <w:w w:val="110"/>
        </w:rPr>
        <w:t> </w:t>
      </w:r>
      <w:r>
        <w:rPr>
          <w:color w:val="231F20"/>
          <w:w w:val="110"/>
        </w:rPr>
        <w:t>minerales</w:t>
      </w:r>
      <w:r>
        <w:rPr>
          <w:color w:val="231F20"/>
          <w:spacing w:val="-9"/>
          <w:w w:val="110"/>
        </w:rPr>
        <w:t> </w:t>
      </w:r>
      <w:r>
        <w:rPr>
          <w:color w:val="231F20"/>
          <w:w w:val="110"/>
        </w:rPr>
        <w:t>energéticos</w:t>
      </w:r>
      <w:r>
        <w:rPr>
          <w:color w:val="231F20"/>
          <w:spacing w:val="-9"/>
          <w:w w:val="110"/>
        </w:rPr>
        <w:t> </w:t>
      </w:r>
      <w:r>
        <w:rPr>
          <w:color w:val="231F20"/>
          <w:w w:val="110"/>
        </w:rPr>
        <w:t>y</w:t>
      </w:r>
      <w:r>
        <w:rPr>
          <w:color w:val="231F20"/>
          <w:spacing w:val="-9"/>
          <w:w w:val="110"/>
        </w:rPr>
        <w:t> </w:t>
      </w:r>
      <w:r>
        <w:rPr>
          <w:color w:val="231F20"/>
          <w:w w:val="110"/>
        </w:rPr>
        <w:t>no</w:t>
      </w:r>
      <w:r>
        <w:rPr>
          <w:color w:val="231F20"/>
          <w:spacing w:val="-9"/>
          <w:w w:val="110"/>
        </w:rPr>
        <w:t> </w:t>
      </w:r>
      <w:r>
        <w:rPr>
          <w:color w:val="231F20"/>
          <w:w w:val="110"/>
        </w:rPr>
        <w:t>energéticos</w:t>
      </w:r>
      <w:r>
        <w:rPr>
          <w:color w:val="231F20"/>
          <w:spacing w:val="-9"/>
          <w:w w:val="110"/>
        </w:rPr>
        <w:t> </w:t>
      </w:r>
      <w:r>
        <w:rPr>
          <w:color w:val="231F20"/>
          <w:w w:val="110"/>
        </w:rPr>
        <w:t>por parte de las principales economías mundiales, en particular la esta- dunidense, a la par de la caída de la calidad </w:t>
      </w:r>
      <w:r>
        <w:rPr>
          <w:color w:val="231F20"/>
          <w:spacing w:val="-8"/>
          <w:w w:val="110"/>
        </w:rPr>
        <w:t>y, </w:t>
      </w:r>
      <w:r>
        <w:rPr>
          <w:color w:val="231F20"/>
          <w:w w:val="110"/>
        </w:rPr>
        <w:t>en su caso, cantidad de las reservas internacionales probadas de minerales   </w:t>
      </w:r>
      <w:r>
        <w:rPr>
          <w:color w:val="231F20"/>
          <w:spacing w:val="36"/>
          <w:w w:val="110"/>
        </w:rPr>
        <w:t> </w:t>
      </w:r>
      <w:r>
        <w:rPr>
          <w:color w:val="231F20"/>
          <w:w w:val="110"/>
        </w:rPr>
        <w:t>estratégicos</w:t>
      </w:r>
    </w:p>
    <w:p>
      <w:pPr>
        <w:pStyle w:val="BodyText"/>
        <w:spacing w:line="261" w:lineRule="auto"/>
        <w:ind w:left="100" w:right="114"/>
        <w:jc w:val="both"/>
      </w:pPr>
      <w:r>
        <w:rPr>
          <w:color w:val="231F20"/>
          <w:w w:val="105"/>
        </w:rPr>
        <w:t>—petróleo y ciertos minerales—,  ha  provocado  que  en  la  agenda  de seguridad nacional de Estados Unidos (y otras potencias metro- politanas) haya un creciente énfasis en el tema del acceso, gestión y usufructo de la energía y los materiales   </w:t>
      </w:r>
      <w:r>
        <w:rPr>
          <w:color w:val="231F20"/>
          <w:spacing w:val="16"/>
          <w:w w:val="105"/>
        </w:rPr>
        <w:t> </w:t>
      </w:r>
      <w:r>
        <w:rPr>
          <w:color w:val="231F20"/>
          <w:w w:val="105"/>
        </w:rPr>
        <w:t>clave.</w:t>
      </w:r>
    </w:p>
    <w:p>
      <w:pPr>
        <w:pStyle w:val="BodyText"/>
        <w:spacing w:line="261" w:lineRule="auto"/>
        <w:ind w:left="100" w:right="117" w:firstLine="240"/>
        <w:jc w:val="both"/>
      </w:pPr>
      <w:r>
        <w:rPr>
          <w:color w:val="231F20"/>
          <w:w w:val="110"/>
        </w:rPr>
        <w:t>Desde tal perspectiva, América Latina se observa como reserva estratégica en disputa, todo en un ámbito de relativa ruptura entre   el</w:t>
      </w:r>
      <w:r>
        <w:rPr>
          <w:color w:val="231F20"/>
          <w:spacing w:val="-16"/>
          <w:w w:val="110"/>
        </w:rPr>
        <w:t> </w:t>
      </w:r>
      <w:r>
        <w:rPr>
          <w:color w:val="231F20"/>
          <w:w w:val="110"/>
        </w:rPr>
        <w:t>centro-norte</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sur</w:t>
      </w:r>
      <w:r>
        <w:rPr>
          <w:color w:val="231F20"/>
          <w:spacing w:val="-16"/>
          <w:w w:val="110"/>
        </w:rPr>
        <w:t> </w:t>
      </w:r>
      <w:r>
        <w:rPr>
          <w:color w:val="231F20"/>
          <w:w w:val="110"/>
        </w:rPr>
        <w:t>del</w:t>
      </w:r>
      <w:r>
        <w:rPr>
          <w:color w:val="231F20"/>
          <w:spacing w:val="-16"/>
          <w:w w:val="110"/>
        </w:rPr>
        <w:t> </w:t>
      </w:r>
      <w:r>
        <w:rPr>
          <w:color w:val="231F20"/>
          <w:w w:val="110"/>
        </w:rPr>
        <w:t>hemisferio.</w:t>
      </w:r>
      <w:r>
        <w:rPr>
          <w:color w:val="231F20"/>
          <w:spacing w:val="-16"/>
          <w:w w:val="110"/>
        </w:rPr>
        <w:t> </w:t>
      </w:r>
      <w:r>
        <w:rPr>
          <w:color w:val="231F20"/>
          <w:w w:val="110"/>
        </w:rPr>
        <w:t>Así,</w:t>
      </w:r>
      <w:r>
        <w:rPr>
          <w:color w:val="231F20"/>
          <w:spacing w:val="-16"/>
          <w:w w:val="110"/>
        </w:rPr>
        <w:t> </w:t>
      </w:r>
      <w:r>
        <w:rPr>
          <w:color w:val="231F20"/>
          <w:w w:val="110"/>
        </w:rPr>
        <w:t>mientras</w:t>
      </w:r>
      <w:r>
        <w:rPr>
          <w:color w:val="231F20"/>
          <w:spacing w:val="-16"/>
          <w:w w:val="110"/>
        </w:rPr>
        <w:t> </w:t>
      </w:r>
      <w:r>
        <w:rPr>
          <w:color w:val="231F20"/>
          <w:w w:val="110"/>
        </w:rPr>
        <w:t>Canadá,</w:t>
      </w:r>
      <w:r>
        <w:rPr>
          <w:color w:val="231F20"/>
          <w:spacing w:val="-16"/>
          <w:w w:val="110"/>
        </w:rPr>
        <w:t> </w:t>
      </w:r>
      <w:r>
        <w:rPr>
          <w:color w:val="231F20"/>
          <w:w w:val="110"/>
        </w:rPr>
        <w:t>México, Centroamérica, Colombia y el Caribe (con su peculiar y compleja dinámica) se colocan en la agenda de seguridad de Estados Unidos como</w:t>
      </w:r>
      <w:r>
        <w:rPr>
          <w:color w:val="231F20"/>
          <w:spacing w:val="-4"/>
          <w:w w:val="110"/>
        </w:rPr>
        <w:t> </w:t>
      </w:r>
      <w:r>
        <w:rPr>
          <w:color w:val="231F20"/>
          <w:w w:val="110"/>
        </w:rPr>
        <w:t>zonas</w:t>
      </w:r>
      <w:r>
        <w:rPr>
          <w:color w:val="231F20"/>
          <w:spacing w:val="-4"/>
          <w:w w:val="110"/>
        </w:rPr>
        <w:t> </w:t>
      </w:r>
      <w:r>
        <w:rPr>
          <w:color w:val="231F20"/>
          <w:w w:val="110"/>
        </w:rPr>
        <w:t>de</w:t>
      </w:r>
      <w:r>
        <w:rPr>
          <w:color w:val="231F20"/>
          <w:spacing w:val="-4"/>
          <w:w w:val="110"/>
        </w:rPr>
        <w:t> </w:t>
      </w:r>
      <w:r>
        <w:rPr>
          <w:color w:val="231F20"/>
          <w:w w:val="110"/>
        </w:rPr>
        <w:t>alta</w:t>
      </w:r>
      <w:r>
        <w:rPr>
          <w:color w:val="231F20"/>
          <w:spacing w:val="-4"/>
          <w:w w:val="110"/>
        </w:rPr>
        <w:t> </w:t>
      </w:r>
      <w:r>
        <w:rPr>
          <w:color w:val="231F20"/>
          <w:w w:val="110"/>
        </w:rPr>
        <w:t>prioridad</w:t>
      </w:r>
      <w:r>
        <w:rPr>
          <w:color w:val="231F20"/>
          <w:spacing w:val="-4"/>
          <w:w w:val="110"/>
        </w:rPr>
        <w:t> </w:t>
      </w:r>
      <w:r>
        <w:rPr>
          <w:color w:val="231F20"/>
          <w:w w:val="110"/>
        </w:rPr>
        <w:t>de</w:t>
      </w:r>
      <w:r>
        <w:rPr>
          <w:color w:val="231F20"/>
          <w:spacing w:val="-4"/>
          <w:w w:val="110"/>
        </w:rPr>
        <w:t> </w:t>
      </w:r>
      <w:r>
        <w:rPr>
          <w:color w:val="231F20"/>
          <w:w w:val="110"/>
        </w:rPr>
        <w:t>control,</w:t>
      </w:r>
      <w:r>
        <w:rPr>
          <w:color w:val="231F20"/>
          <w:spacing w:val="-4"/>
          <w:w w:val="110"/>
        </w:rPr>
        <w:t> </w:t>
      </w:r>
      <w:r>
        <w:rPr>
          <w:color w:val="231F20"/>
          <w:w w:val="110"/>
        </w:rPr>
        <w:t>Sudamérica</w:t>
      </w:r>
      <w:r>
        <w:rPr>
          <w:color w:val="231F20"/>
          <w:spacing w:val="-4"/>
          <w:w w:val="110"/>
        </w:rPr>
        <w:t> </w:t>
      </w:r>
      <w:r>
        <w:rPr>
          <w:color w:val="231F20"/>
          <w:w w:val="110"/>
        </w:rPr>
        <w:t>se</w:t>
      </w:r>
      <w:r>
        <w:rPr>
          <w:color w:val="231F20"/>
          <w:spacing w:val="-4"/>
          <w:w w:val="110"/>
        </w:rPr>
        <w:t> </w:t>
      </w:r>
      <w:r>
        <w:rPr>
          <w:color w:val="231F20"/>
          <w:w w:val="110"/>
        </w:rPr>
        <w:t>perfila</w:t>
      </w:r>
      <w:r>
        <w:rPr>
          <w:color w:val="231F20"/>
          <w:spacing w:val="-4"/>
          <w:w w:val="110"/>
        </w:rPr>
        <w:t> </w:t>
      </w:r>
      <w:r>
        <w:rPr>
          <w:color w:val="231F20"/>
          <w:w w:val="110"/>
        </w:rPr>
        <w:t>en</w:t>
      </w:r>
      <w:r>
        <w:rPr>
          <w:color w:val="231F20"/>
          <w:spacing w:val="-4"/>
          <w:w w:val="110"/>
        </w:rPr>
        <w:t> </w:t>
      </w:r>
      <w:r>
        <w:rPr>
          <w:color w:val="231F20"/>
          <w:w w:val="110"/>
        </w:rPr>
        <w:t>un orden de importancia inmediato. Se trata de una región que debe ser supeditada vía “el mercado” o en su defecto mediante la fuerza del Estado</w:t>
      </w:r>
      <w:r>
        <w:rPr>
          <w:color w:val="231F20"/>
          <w:spacing w:val="-11"/>
          <w:w w:val="110"/>
        </w:rPr>
        <w:t> </w:t>
      </w:r>
      <w:r>
        <w:rPr>
          <w:color w:val="231F20"/>
          <w:w w:val="110"/>
        </w:rPr>
        <w:t>en</w:t>
      </w:r>
      <w:r>
        <w:rPr>
          <w:color w:val="231F20"/>
          <w:spacing w:val="-11"/>
          <w:w w:val="110"/>
        </w:rPr>
        <w:t> </w:t>
      </w:r>
      <w:r>
        <w:rPr>
          <w:color w:val="231F20"/>
          <w:w w:val="110"/>
        </w:rPr>
        <w:t>sus</w:t>
      </w:r>
      <w:r>
        <w:rPr>
          <w:color w:val="231F20"/>
          <w:spacing w:val="-11"/>
          <w:w w:val="110"/>
        </w:rPr>
        <w:t> </w:t>
      </w:r>
      <w:r>
        <w:rPr>
          <w:color w:val="231F20"/>
          <w:w w:val="110"/>
        </w:rPr>
        <w:t>diversas</w:t>
      </w:r>
      <w:r>
        <w:rPr>
          <w:color w:val="231F20"/>
          <w:spacing w:val="-11"/>
          <w:w w:val="110"/>
        </w:rPr>
        <w:t> </w:t>
      </w:r>
      <w:r>
        <w:rPr>
          <w:color w:val="231F20"/>
          <w:w w:val="110"/>
        </w:rPr>
        <w:t>modalidades,</w:t>
      </w:r>
      <w:r>
        <w:rPr>
          <w:color w:val="231F20"/>
          <w:spacing w:val="-11"/>
          <w:w w:val="110"/>
        </w:rPr>
        <w:t> </w:t>
      </w:r>
      <w:r>
        <w:rPr>
          <w:color w:val="231F20"/>
          <w:w w:val="110"/>
        </w:rPr>
        <w:t>incluyendo</w:t>
      </w:r>
      <w:r>
        <w:rPr>
          <w:color w:val="231F20"/>
          <w:spacing w:val="-11"/>
          <w:w w:val="110"/>
        </w:rPr>
        <w:t> </w:t>
      </w:r>
      <w:r>
        <w:rPr>
          <w:color w:val="231F20"/>
          <w:w w:val="110"/>
        </w:rPr>
        <w:t>la</w:t>
      </w:r>
      <w:r>
        <w:rPr>
          <w:color w:val="231F20"/>
          <w:spacing w:val="-11"/>
          <w:w w:val="110"/>
        </w:rPr>
        <w:t> </w:t>
      </w:r>
      <w:r>
        <w:rPr>
          <w:color w:val="231F20"/>
          <w:w w:val="110"/>
        </w:rPr>
        <w:t>diplo-militar;</w:t>
      </w:r>
      <w:r>
        <w:rPr>
          <w:color w:val="231F20"/>
          <w:spacing w:val="-11"/>
          <w:w w:val="110"/>
        </w:rPr>
        <w:t> </w:t>
      </w:r>
      <w:r>
        <w:rPr>
          <w:color w:val="231F20"/>
          <w:w w:val="110"/>
        </w:rPr>
        <w:t>esto con mayor énfasis de cara a los procesos alternativos que vive parte del Cono Sur y que en los hechos fracturan, en un grado u otro, la incidencia hegemónica de dicha </w:t>
      </w:r>
      <w:r>
        <w:rPr>
          <w:color w:val="231F20"/>
          <w:spacing w:val="13"/>
          <w:w w:val="110"/>
        </w:rPr>
        <w:t> </w:t>
      </w:r>
      <w:r>
        <w:rPr>
          <w:color w:val="231F20"/>
          <w:w w:val="110"/>
        </w:rPr>
        <w:t>potencia.</w:t>
      </w:r>
    </w:p>
    <w:p>
      <w:pPr>
        <w:pStyle w:val="BodyText"/>
        <w:spacing w:line="261" w:lineRule="auto"/>
        <w:ind w:left="100" w:right="117" w:firstLine="240"/>
        <w:jc w:val="both"/>
      </w:pPr>
      <w:r>
        <w:rPr>
          <w:color w:val="231F20"/>
          <w:w w:val="105"/>
        </w:rPr>
        <w:t>La relevancia de América Latina es clara si se toma nota de la  visión monroista-polkista (Guerra, 1973) propia de Estados Unidos y que ha dado y sigue dando forma, con nuevos giros, a la expansión imperial de  dicha  potencia.  En  tal  sentido,  es  importante  analizar  a la luz de estos elementos, entre otros, el papel que tienen los re- cursos naturales estratégicos en la agenda económica pero también     de seguridad estadunidense en la región. En especial debe  notarse cómo es que se construye desde tal óptica, dando cuenta de las con- tinuidades</w:t>
      </w:r>
      <w:r>
        <w:rPr>
          <w:color w:val="231F20"/>
          <w:spacing w:val="31"/>
          <w:w w:val="105"/>
        </w:rPr>
        <w:t> </w:t>
      </w:r>
      <w:r>
        <w:rPr>
          <w:color w:val="231F20"/>
          <w:w w:val="105"/>
        </w:rPr>
        <w:t>y</w:t>
      </w:r>
      <w:r>
        <w:rPr>
          <w:color w:val="231F20"/>
          <w:spacing w:val="31"/>
          <w:w w:val="105"/>
        </w:rPr>
        <w:t> </w:t>
      </w:r>
      <w:r>
        <w:rPr>
          <w:color w:val="231F20"/>
          <w:w w:val="105"/>
        </w:rPr>
        <w:t>discontinuidades,</w:t>
      </w:r>
      <w:r>
        <w:rPr>
          <w:color w:val="231F20"/>
          <w:spacing w:val="31"/>
          <w:w w:val="105"/>
        </w:rPr>
        <w:t> </w:t>
      </w:r>
      <w:r>
        <w:rPr>
          <w:color w:val="231F20"/>
          <w:w w:val="105"/>
        </w:rPr>
        <w:t>la</w:t>
      </w:r>
      <w:r>
        <w:rPr>
          <w:color w:val="231F20"/>
          <w:spacing w:val="31"/>
          <w:w w:val="105"/>
        </w:rPr>
        <w:t> </w:t>
      </w:r>
      <w:r>
        <w:rPr>
          <w:color w:val="231F20"/>
          <w:w w:val="105"/>
        </w:rPr>
        <w:t>política</w:t>
      </w:r>
      <w:r>
        <w:rPr>
          <w:color w:val="231F20"/>
          <w:spacing w:val="31"/>
          <w:w w:val="105"/>
        </w:rPr>
        <w:t> </w:t>
      </w:r>
      <w:r>
        <w:rPr>
          <w:color w:val="231F20"/>
          <w:w w:val="105"/>
        </w:rPr>
        <w:t>exterior</w:t>
      </w:r>
      <w:r>
        <w:rPr>
          <w:color w:val="231F20"/>
          <w:spacing w:val="31"/>
          <w:w w:val="105"/>
        </w:rPr>
        <w:t> </w:t>
      </w:r>
      <w:r>
        <w:rPr>
          <w:color w:val="231F20"/>
          <w:w w:val="105"/>
        </w:rPr>
        <w:t>de</w:t>
      </w:r>
      <w:r>
        <w:rPr>
          <w:color w:val="231F20"/>
          <w:spacing w:val="31"/>
          <w:w w:val="105"/>
        </w:rPr>
        <w:t> </w:t>
      </w:r>
      <w:r>
        <w:rPr>
          <w:color w:val="231F20"/>
          <w:w w:val="105"/>
        </w:rPr>
        <w:t>Estados</w:t>
      </w:r>
      <w:r>
        <w:rPr>
          <w:color w:val="231F20"/>
          <w:spacing w:val="31"/>
          <w:w w:val="105"/>
        </w:rPr>
        <w:t> </w:t>
      </w:r>
      <w:r>
        <w:rPr>
          <w:color w:val="231F20"/>
          <w:w w:val="105"/>
        </w:rPr>
        <w:t>Unidos</w:t>
      </w:r>
    </w:p>
    <w:p>
      <w:pPr>
        <w:pStyle w:val="BodyText"/>
        <w:rPr>
          <w:sz w:val="15"/>
        </w:rPr>
      </w:pPr>
    </w:p>
    <w:p>
      <w:pPr>
        <w:pStyle w:val="BodyText"/>
        <w:spacing w:before="67"/>
        <w:ind w:left="113" w:right="132"/>
        <w:jc w:val="center"/>
      </w:pPr>
      <w:r>
        <w:rPr>
          <w:color w:val="231F20"/>
          <w:w w:val="120"/>
        </w:rPr>
        <w:t>[505]</w:t>
      </w:r>
    </w:p>
    <w:p>
      <w:pPr>
        <w:spacing w:after="0"/>
        <w:jc w:val="center"/>
        <w:sectPr>
          <w:headerReference w:type="default" r:id="rId400"/>
          <w:pgSz w:w="7640" w:h="11900"/>
          <w:pgMar w:header="0" w:footer="0" w:top="100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para América Latina. La llamada “nueva arquitectura militar”, las iniciativas</w:t>
      </w:r>
      <w:r>
        <w:rPr>
          <w:color w:val="231F20"/>
          <w:spacing w:val="-6"/>
          <w:w w:val="110"/>
        </w:rPr>
        <w:t> </w:t>
      </w:r>
      <w:r>
        <w:rPr>
          <w:color w:val="231F20"/>
          <w:w w:val="110"/>
        </w:rPr>
        <w:t>de</w:t>
      </w:r>
      <w:r>
        <w:rPr>
          <w:color w:val="231F20"/>
          <w:spacing w:val="-6"/>
          <w:w w:val="110"/>
        </w:rPr>
        <w:t> </w:t>
      </w:r>
      <w:r>
        <w:rPr>
          <w:color w:val="231F20"/>
          <w:w w:val="110"/>
        </w:rPr>
        <w:t>“guerra”</w:t>
      </w:r>
      <w:r>
        <w:rPr>
          <w:color w:val="231F20"/>
          <w:spacing w:val="-6"/>
          <w:w w:val="110"/>
        </w:rPr>
        <w:t> </w:t>
      </w:r>
      <w:r>
        <w:rPr>
          <w:color w:val="231F20"/>
          <w:w w:val="110"/>
        </w:rPr>
        <w:t>contra</w:t>
      </w:r>
      <w:r>
        <w:rPr>
          <w:color w:val="231F20"/>
          <w:spacing w:val="-6"/>
          <w:w w:val="110"/>
        </w:rPr>
        <w:t> </w:t>
      </w:r>
      <w:r>
        <w:rPr>
          <w:color w:val="231F20"/>
          <w:w w:val="110"/>
        </w:rPr>
        <w:t>el</w:t>
      </w:r>
      <w:r>
        <w:rPr>
          <w:color w:val="231F20"/>
          <w:spacing w:val="-6"/>
          <w:w w:val="110"/>
        </w:rPr>
        <w:t> </w:t>
      </w:r>
      <w:r>
        <w:rPr>
          <w:color w:val="231F20"/>
          <w:w w:val="110"/>
        </w:rPr>
        <w:t>narcotráfico</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crimen</w:t>
      </w:r>
      <w:r>
        <w:rPr>
          <w:color w:val="231F20"/>
          <w:spacing w:val="-6"/>
          <w:w w:val="110"/>
        </w:rPr>
        <w:t> </w:t>
      </w:r>
      <w:r>
        <w:rPr>
          <w:color w:val="231F20"/>
          <w:w w:val="110"/>
        </w:rPr>
        <w:t>organizado, o el aumento de operaciones especiales en la región, todas apuntan hacia</w:t>
      </w:r>
      <w:r>
        <w:rPr>
          <w:color w:val="231F20"/>
          <w:spacing w:val="-7"/>
          <w:w w:val="110"/>
        </w:rPr>
        <w:t> </w:t>
      </w:r>
      <w:r>
        <w:rPr>
          <w:color w:val="231F20"/>
          <w:w w:val="110"/>
        </w:rPr>
        <w:t>una</w:t>
      </w:r>
      <w:r>
        <w:rPr>
          <w:color w:val="231F20"/>
          <w:spacing w:val="-7"/>
          <w:w w:val="110"/>
        </w:rPr>
        <w:t> </w:t>
      </w:r>
      <w:r>
        <w:rPr>
          <w:color w:val="231F20"/>
          <w:w w:val="110"/>
        </w:rPr>
        <w:t>mayor</w:t>
      </w:r>
      <w:r>
        <w:rPr>
          <w:color w:val="231F20"/>
          <w:spacing w:val="-7"/>
          <w:w w:val="110"/>
        </w:rPr>
        <w:t> </w:t>
      </w:r>
      <w:r>
        <w:rPr>
          <w:color w:val="231F20"/>
          <w:w w:val="110"/>
        </w:rPr>
        <w:t>intervención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hemisferio,</w:t>
      </w:r>
      <w:r>
        <w:rPr>
          <w:color w:val="231F20"/>
          <w:spacing w:val="-7"/>
          <w:w w:val="110"/>
        </w:rPr>
        <w:t> </w:t>
      </w:r>
      <w:r>
        <w:rPr>
          <w:color w:val="231F20"/>
          <w:w w:val="110"/>
        </w:rPr>
        <w:t>pero</w:t>
      </w:r>
      <w:r>
        <w:rPr>
          <w:color w:val="231F20"/>
          <w:spacing w:val="-7"/>
          <w:w w:val="110"/>
        </w:rPr>
        <w:t> </w:t>
      </w:r>
      <w:r>
        <w:rPr>
          <w:color w:val="231F20"/>
          <w:w w:val="110"/>
        </w:rPr>
        <w:t>de</w:t>
      </w:r>
      <w:r>
        <w:rPr>
          <w:color w:val="231F20"/>
          <w:spacing w:val="-7"/>
          <w:w w:val="110"/>
        </w:rPr>
        <w:t> </w:t>
      </w:r>
      <w:r>
        <w:rPr>
          <w:color w:val="231F20"/>
          <w:w w:val="110"/>
        </w:rPr>
        <w:t>“bajo</w:t>
      </w:r>
      <w:r>
        <w:rPr>
          <w:color w:val="231F20"/>
          <w:spacing w:val="-7"/>
          <w:w w:val="110"/>
        </w:rPr>
        <w:t> </w:t>
      </w:r>
      <w:r>
        <w:rPr>
          <w:color w:val="231F20"/>
          <w:w w:val="110"/>
        </w:rPr>
        <w:t>perfil”, que no es lo mismo que de baja influencia. Se trata pues de cues- tiones que permiten entender el entramado, articulación y sinergia de los distintos elementos y herramientas de proyección imperial estadunidense —a los que evidentemente hay que sumar aquellos  de carácter económico— que permiten asegurar el flujo, tanto de recursos naturales, como de excedentes económicos hacia Estados Unidos, al tiempo que limita o debilita la competencia intercapita- lista con otros actores como Europa, Japón o China y que también están interesados, no sólo en el mercado latinoamericano, sino en la inversión en actividades extractivas en la</w:t>
      </w:r>
      <w:r>
        <w:rPr>
          <w:color w:val="231F20"/>
          <w:spacing w:val="-21"/>
          <w:w w:val="110"/>
        </w:rPr>
        <w:t> </w:t>
      </w:r>
      <w:r>
        <w:rPr>
          <w:color w:val="231F20"/>
          <w:w w:val="110"/>
        </w:rPr>
        <w:t>región.</w:t>
      </w:r>
    </w:p>
    <w:p>
      <w:pPr>
        <w:pStyle w:val="BodyText"/>
      </w:pPr>
    </w:p>
    <w:p>
      <w:pPr>
        <w:pStyle w:val="BodyText"/>
      </w:pPr>
    </w:p>
    <w:p>
      <w:pPr>
        <w:pStyle w:val="BodyText"/>
        <w:spacing w:before="2"/>
        <w:rPr>
          <w:sz w:val="25"/>
        </w:rPr>
      </w:pPr>
    </w:p>
    <w:p>
      <w:pPr>
        <w:pStyle w:val="BodyText"/>
        <w:ind w:left="100"/>
        <w:jc w:val="both"/>
      </w:pPr>
      <w:r>
        <w:rPr>
          <w:color w:val="231F20"/>
          <w:w w:val="130"/>
        </w:rPr>
        <w:t>recursos naturales estratégicos</w:t>
      </w:r>
    </w:p>
    <w:p>
      <w:pPr>
        <w:pStyle w:val="BodyText"/>
        <w:spacing w:before="5"/>
        <w:rPr>
          <w:sz w:val="23"/>
        </w:rPr>
      </w:pPr>
    </w:p>
    <w:p>
      <w:pPr>
        <w:pStyle w:val="BodyText"/>
        <w:spacing w:line="261" w:lineRule="auto"/>
        <w:ind w:left="100" w:right="117"/>
        <w:jc w:val="both"/>
      </w:pPr>
      <w:r>
        <w:rPr>
          <w:color w:val="231F20"/>
          <w:w w:val="110"/>
        </w:rPr>
        <w:t>El carácter estratégico de los recursos radica sobre todo en el hecho de que las reservas existentes, su localización, cantidad o calidad, están cambiando; producto ciertamente de crecientes patrones de consumo y contaminación, a lo que se suman, efectos del cambio </w:t>
      </w:r>
      <w:r>
        <w:rPr>
          <w:color w:val="231F20"/>
          <w:w w:val="105"/>
        </w:rPr>
        <w:t>climático</w:t>
      </w:r>
      <w:r>
        <w:rPr>
          <w:color w:val="231F20"/>
          <w:spacing w:val="-8"/>
          <w:w w:val="105"/>
        </w:rPr>
        <w:t> </w:t>
      </w:r>
      <w:r>
        <w:rPr>
          <w:color w:val="231F20"/>
          <w:w w:val="105"/>
        </w:rPr>
        <w:t>y</w:t>
      </w:r>
      <w:r>
        <w:rPr>
          <w:color w:val="231F20"/>
          <w:spacing w:val="-8"/>
          <w:w w:val="105"/>
        </w:rPr>
        <w:t> </w:t>
      </w:r>
      <w:r>
        <w:rPr>
          <w:color w:val="231F20"/>
          <w:w w:val="105"/>
        </w:rPr>
        <w:t>sus</w:t>
      </w:r>
      <w:r>
        <w:rPr>
          <w:color w:val="231F20"/>
          <w:spacing w:val="-8"/>
          <w:w w:val="105"/>
        </w:rPr>
        <w:t> </w:t>
      </w:r>
      <w:r>
        <w:rPr>
          <w:color w:val="231F20"/>
          <w:w w:val="105"/>
        </w:rPr>
        <w:t>sinergias.</w:t>
      </w:r>
      <w:r>
        <w:rPr>
          <w:color w:val="231F20"/>
          <w:spacing w:val="-8"/>
          <w:w w:val="105"/>
        </w:rPr>
        <w:t> </w:t>
      </w:r>
      <w:r>
        <w:rPr>
          <w:color w:val="231F20"/>
          <w:w w:val="105"/>
        </w:rPr>
        <w:t>No</w:t>
      </w:r>
      <w:r>
        <w:rPr>
          <w:color w:val="231F20"/>
          <w:spacing w:val="-8"/>
          <w:w w:val="105"/>
        </w:rPr>
        <w:t> </w:t>
      </w:r>
      <w:r>
        <w:rPr>
          <w:color w:val="231F20"/>
          <w:w w:val="105"/>
        </w:rPr>
        <w:t>obstante,</w:t>
      </w:r>
      <w:r>
        <w:rPr>
          <w:color w:val="231F20"/>
          <w:spacing w:val="-8"/>
          <w:w w:val="105"/>
        </w:rPr>
        <w:t> </w:t>
      </w:r>
      <w:r>
        <w:rPr>
          <w:color w:val="231F20"/>
          <w:w w:val="105"/>
        </w:rPr>
        <w:t>un</w:t>
      </w:r>
      <w:r>
        <w:rPr>
          <w:color w:val="231F20"/>
          <w:spacing w:val="-8"/>
          <w:w w:val="105"/>
        </w:rPr>
        <w:t> </w:t>
      </w:r>
      <w:r>
        <w:rPr>
          <w:i/>
          <w:color w:val="231F20"/>
          <w:w w:val="105"/>
        </w:rPr>
        <w:t>recurso</w:t>
      </w:r>
      <w:r>
        <w:rPr>
          <w:i/>
          <w:color w:val="231F20"/>
          <w:spacing w:val="-8"/>
          <w:w w:val="105"/>
        </w:rPr>
        <w:t> </w:t>
      </w:r>
      <w:r>
        <w:rPr>
          <w:i/>
          <w:color w:val="231F20"/>
          <w:w w:val="105"/>
        </w:rPr>
        <w:t>natural</w:t>
      </w:r>
      <w:r>
        <w:rPr>
          <w:i/>
          <w:color w:val="231F20"/>
          <w:spacing w:val="-8"/>
          <w:w w:val="105"/>
        </w:rPr>
        <w:t> </w:t>
      </w:r>
      <w:r>
        <w:rPr>
          <w:i/>
          <w:color w:val="231F20"/>
          <w:w w:val="105"/>
        </w:rPr>
        <w:t>estratégico</w:t>
      </w:r>
      <w:r>
        <w:rPr>
          <w:i/>
          <w:color w:val="231F20"/>
          <w:spacing w:val="-8"/>
          <w:w w:val="105"/>
        </w:rPr>
        <w:t> </w:t>
      </w:r>
      <w:r>
        <w:rPr>
          <w:color w:val="231F20"/>
          <w:w w:val="105"/>
        </w:rPr>
        <w:t>es </w:t>
      </w:r>
      <w:r>
        <w:rPr>
          <w:color w:val="231F20"/>
          <w:w w:val="110"/>
        </w:rPr>
        <w:t>aquel que es clave en el funcionamiento del sistema capitalista de producción, o para el mantenimiento de la hegemonía regional y mundial.</w:t>
      </w:r>
      <w:r>
        <w:rPr>
          <w:color w:val="231F20"/>
          <w:spacing w:val="-13"/>
          <w:w w:val="110"/>
        </w:rPr>
        <w:t> </w:t>
      </w:r>
      <w:r>
        <w:rPr>
          <w:color w:val="231F20"/>
          <w:w w:val="110"/>
        </w:rPr>
        <w:t>Puede</w:t>
      </w:r>
      <w:r>
        <w:rPr>
          <w:color w:val="231F20"/>
          <w:spacing w:val="-13"/>
          <w:w w:val="110"/>
        </w:rPr>
        <w:t> </w:t>
      </w:r>
      <w:r>
        <w:rPr>
          <w:color w:val="231F20"/>
          <w:w w:val="110"/>
        </w:rPr>
        <w:t>además</w:t>
      </w:r>
      <w:r>
        <w:rPr>
          <w:color w:val="231F20"/>
          <w:spacing w:val="-13"/>
          <w:w w:val="110"/>
        </w:rPr>
        <w:t> </w:t>
      </w:r>
      <w:r>
        <w:rPr>
          <w:color w:val="231F20"/>
          <w:w w:val="110"/>
        </w:rPr>
        <w:t>ser</w:t>
      </w:r>
      <w:r>
        <w:rPr>
          <w:color w:val="231F20"/>
          <w:spacing w:val="-13"/>
          <w:w w:val="110"/>
        </w:rPr>
        <w:t> </w:t>
      </w:r>
      <w:r>
        <w:rPr>
          <w:color w:val="231F20"/>
          <w:w w:val="110"/>
        </w:rPr>
        <w:t>escaso</w:t>
      </w:r>
      <w:r>
        <w:rPr>
          <w:color w:val="231F20"/>
          <w:spacing w:val="-13"/>
          <w:w w:val="110"/>
        </w:rPr>
        <w:t> </w:t>
      </w:r>
      <w:r>
        <w:rPr>
          <w:color w:val="231F20"/>
          <w:w w:val="110"/>
        </w:rPr>
        <w:t>o</w:t>
      </w:r>
      <w:r>
        <w:rPr>
          <w:color w:val="231F20"/>
          <w:spacing w:val="-13"/>
          <w:w w:val="110"/>
        </w:rPr>
        <w:t> </w:t>
      </w:r>
      <w:r>
        <w:rPr>
          <w:color w:val="231F20"/>
          <w:w w:val="110"/>
        </w:rPr>
        <w:t>relativamente</w:t>
      </w:r>
      <w:r>
        <w:rPr>
          <w:color w:val="231F20"/>
          <w:spacing w:val="-13"/>
          <w:w w:val="110"/>
        </w:rPr>
        <w:t> </w:t>
      </w:r>
      <w:r>
        <w:rPr>
          <w:color w:val="231F20"/>
          <w:w w:val="110"/>
        </w:rPr>
        <w:t>escaso,</w:t>
      </w:r>
      <w:r>
        <w:rPr>
          <w:color w:val="231F20"/>
          <w:spacing w:val="-13"/>
          <w:w w:val="110"/>
        </w:rPr>
        <w:t> </w:t>
      </w:r>
      <w:r>
        <w:rPr>
          <w:color w:val="231F20"/>
          <w:w w:val="110"/>
        </w:rPr>
        <w:t>sea</w:t>
      </w:r>
      <w:r>
        <w:rPr>
          <w:color w:val="231F20"/>
          <w:spacing w:val="-13"/>
          <w:w w:val="110"/>
        </w:rPr>
        <w:t> </w:t>
      </w:r>
      <w:r>
        <w:rPr>
          <w:color w:val="231F20"/>
          <w:w w:val="110"/>
        </w:rPr>
        <w:t>debido a las limitadas reservas existentes o como producto de relaciones de poder</w:t>
      </w:r>
      <w:r>
        <w:rPr>
          <w:color w:val="231F20"/>
          <w:spacing w:val="-13"/>
          <w:w w:val="110"/>
        </w:rPr>
        <w:t> </w:t>
      </w:r>
      <w:r>
        <w:rPr>
          <w:color w:val="231F20"/>
          <w:w w:val="110"/>
        </w:rPr>
        <w:t>establecidas</w:t>
      </w:r>
      <w:r>
        <w:rPr>
          <w:color w:val="231F20"/>
          <w:spacing w:val="-13"/>
          <w:w w:val="110"/>
        </w:rPr>
        <w:t> </w:t>
      </w:r>
      <w:r>
        <w:rPr>
          <w:color w:val="231F20"/>
          <w:w w:val="110"/>
        </w:rPr>
        <w:t>que</w:t>
      </w:r>
      <w:r>
        <w:rPr>
          <w:color w:val="231F20"/>
          <w:spacing w:val="-13"/>
          <w:w w:val="110"/>
        </w:rPr>
        <w:t> </w:t>
      </w:r>
      <w:r>
        <w:rPr>
          <w:color w:val="231F20"/>
          <w:w w:val="110"/>
        </w:rPr>
        <w:t>limitan,</w:t>
      </w:r>
      <w:r>
        <w:rPr>
          <w:color w:val="231F20"/>
          <w:spacing w:val="-13"/>
          <w:w w:val="110"/>
        </w:rPr>
        <w:t> </w:t>
      </w:r>
      <w:r>
        <w:rPr>
          <w:color w:val="231F20"/>
          <w:w w:val="110"/>
        </w:rPr>
        <w:t>en</w:t>
      </w:r>
      <w:r>
        <w:rPr>
          <w:color w:val="231F20"/>
          <w:spacing w:val="-13"/>
          <w:w w:val="110"/>
        </w:rPr>
        <w:t> </w:t>
      </w:r>
      <w:r>
        <w:rPr>
          <w:color w:val="231F20"/>
          <w:w w:val="110"/>
        </w:rPr>
        <w:t>ciertos</w:t>
      </w:r>
      <w:r>
        <w:rPr>
          <w:color w:val="231F20"/>
          <w:spacing w:val="-13"/>
          <w:w w:val="110"/>
        </w:rPr>
        <w:t> </w:t>
      </w:r>
      <w:r>
        <w:rPr>
          <w:color w:val="231F20"/>
          <w:w w:val="110"/>
        </w:rPr>
        <w:t>ámbitos</w:t>
      </w:r>
      <w:r>
        <w:rPr>
          <w:color w:val="231F20"/>
          <w:spacing w:val="-13"/>
          <w:w w:val="110"/>
        </w:rPr>
        <w:t> </w:t>
      </w:r>
      <w:r>
        <w:rPr>
          <w:color w:val="231F20"/>
          <w:w w:val="110"/>
        </w:rPr>
        <w:t>socio-históricos,</w:t>
      </w:r>
      <w:r>
        <w:rPr>
          <w:color w:val="231F20"/>
          <w:spacing w:val="-13"/>
          <w:w w:val="110"/>
        </w:rPr>
        <w:t> </w:t>
      </w:r>
      <w:r>
        <w:rPr>
          <w:color w:val="231F20"/>
          <w:w w:val="110"/>
        </w:rPr>
        <w:t>el acceso, gestión y usufructo del mismo. Aún más, un recurso natural estratégico puede tener sustituto o no, una cuestión que depende de la</w:t>
      </w:r>
      <w:r>
        <w:rPr>
          <w:color w:val="231F20"/>
          <w:spacing w:val="-12"/>
          <w:w w:val="110"/>
        </w:rPr>
        <w:t> </w:t>
      </w:r>
      <w:r>
        <w:rPr>
          <w:color w:val="231F20"/>
          <w:w w:val="110"/>
        </w:rPr>
        <w:t>factibilidad</w:t>
      </w:r>
      <w:r>
        <w:rPr>
          <w:color w:val="231F20"/>
          <w:spacing w:val="-12"/>
          <w:w w:val="110"/>
        </w:rPr>
        <w:t> </w:t>
      </w:r>
      <w:r>
        <w:rPr>
          <w:color w:val="231F20"/>
          <w:w w:val="110"/>
        </w:rPr>
        <w:t>y</w:t>
      </w:r>
      <w:r>
        <w:rPr>
          <w:color w:val="231F20"/>
          <w:spacing w:val="-12"/>
          <w:w w:val="110"/>
        </w:rPr>
        <w:t> </w:t>
      </w:r>
      <w:r>
        <w:rPr>
          <w:color w:val="231F20"/>
          <w:w w:val="110"/>
        </w:rPr>
        <w:t>viabilidad</w:t>
      </w:r>
      <w:r>
        <w:rPr>
          <w:color w:val="231F20"/>
          <w:spacing w:val="-12"/>
          <w:w w:val="110"/>
        </w:rPr>
        <w:t> </w:t>
      </w:r>
      <w:r>
        <w:rPr>
          <w:color w:val="231F20"/>
          <w:w w:val="110"/>
        </w:rPr>
        <w:t>material</w:t>
      </w:r>
      <w:r>
        <w:rPr>
          <w:color w:val="231F20"/>
          <w:spacing w:val="-12"/>
          <w:w w:val="110"/>
        </w:rPr>
        <w:t> </w:t>
      </w:r>
      <w:r>
        <w:rPr>
          <w:color w:val="231F20"/>
          <w:w w:val="110"/>
        </w:rPr>
        <w:t>y</w:t>
      </w:r>
      <w:r>
        <w:rPr>
          <w:color w:val="231F20"/>
          <w:spacing w:val="-12"/>
          <w:w w:val="110"/>
        </w:rPr>
        <w:t> </w:t>
      </w:r>
      <w:r>
        <w:rPr>
          <w:color w:val="231F20"/>
          <w:w w:val="110"/>
        </w:rPr>
        <w:t>técnica</w:t>
      </w:r>
      <w:r>
        <w:rPr>
          <w:color w:val="231F20"/>
          <w:spacing w:val="-12"/>
          <w:w w:val="110"/>
        </w:rPr>
        <w:t> </w:t>
      </w:r>
      <w:r>
        <w:rPr>
          <w:color w:val="231F20"/>
          <w:w w:val="110"/>
        </w:rPr>
        <w:t>de</w:t>
      </w:r>
      <w:r>
        <w:rPr>
          <w:color w:val="231F20"/>
          <w:spacing w:val="-12"/>
          <w:w w:val="110"/>
        </w:rPr>
        <w:t> </w:t>
      </w:r>
      <w:r>
        <w:rPr>
          <w:color w:val="231F20"/>
          <w:w w:val="110"/>
        </w:rPr>
        <w:t>ser</w:t>
      </w:r>
      <w:r>
        <w:rPr>
          <w:color w:val="231F20"/>
          <w:spacing w:val="-12"/>
          <w:w w:val="110"/>
        </w:rPr>
        <w:t> </w:t>
      </w:r>
      <w:r>
        <w:rPr>
          <w:color w:val="231F20"/>
          <w:w w:val="110"/>
        </w:rPr>
        <w:t>reemplazado</w:t>
      </w:r>
      <w:r>
        <w:rPr>
          <w:color w:val="231F20"/>
          <w:spacing w:val="-12"/>
          <w:w w:val="110"/>
        </w:rPr>
        <w:t> </w:t>
      </w:r>
      <w:r>
        <w:rPr>
          <w:color w:val="231F20"/>
          <w:w w:val="110"/>
        </w:rPr>
        <w:t>(por otro recurso o por el avance científico-tecnológico), pero también  de las características intrínsecas del propio recurso para el mante- nimiento de estructuras de poder y de control, propias al sistema capitalista de producción. Por ejemplo, un recurso energético debe ser muy eficiente (elevada condensación químico-física) al tiempo que se pueda monopolizar y por lo tanto de manipular, transportar   y almacenar con facilidad: el petróleo es idóneo en dicho </w:t>
      </w:r>
      <w:r>
        <w:rPr>
          <w:color w:val="231F20"/>
          <w:spacing w:val="42"/>
          <w:w w:val="110"/>
        </w:rPr>
        <w:t> </w:t>
      </w:r>
      <w:r>
        <w:rPr>
          <w:color w:val="231F20"/>
          <w:w w:val="110"/>
        </w:rPr>
        <w:t>sentido.</w:t>
      </w:r>
    </w:p>
    <w:p>
      <w:pPr>
        <w:spacing w:after="0" w:line="261" w:lineRule="auto"/>
        <w:jc w:val="both"/>
        <w:sectPr>
          <w:headerReference w:type="even" r:id="rId401"/>
          <w:headerReference w:type="default" r:id="rId402"/>
          <w:pgSz w:w="7640" w:h="11900"/>
          <w:pgMar w:header="672" w:footer="0" w:top="860" w:bottom="280" w:left="780" w:right="640"/>
          <w:pgNumType w:start="506"/>
        </w:sectPr>
      </w:pPr>
    </w:p>
    <w:p>
      <w:pPr>
        <w:pStyle w:val="BodyText"/>
        <w:spacing w:before="8"/>
        <w:rPr>
          <w:sz w:val="8"/>
        </w:rPr>
      </w:pPr>
    </w:p>
    <w:p>
      <w:pPr>
        <w:pStyle w:val="BodyText"/>
        <w:spacing w:line="261" w:lineRule="auto" w:before="67"/>
        <w:ind w:left="100" w:right="117" w:firstLine="240"/>
        <w:jc w:val="both"/>
      </w:pPr>
      <w:r>
        <w:rPr>
          <w:color w:val="231F20"/>
          <w:w w:val="110"/>
        </w:rPr>
        <w:t>Ahora</w:t>
      </w:r>
      <w:r>
        <w:rPr>
          <w:color w:val="231F20"/>
          <w:spacing w:val="-6"/>
          <w:w w:val="110"/>
        </w:rPr>
        <w:t> </w:t>
      </w:r>
      <w:r>
        <w:rPr>
          <w:color w:val="231F20"/>
          <w:w w:val="110"/>
        </w:rPr>
        <w:t>bien,</w:t>
      </w:r>
      <w:r>
        <w:rPr>
          <w:color w:val="231F20"/>
          <w:spacing w:val="-6"/>
          <w:w w:val="110"/>
        </w:rPr>
        <w:t> </w:t>
      </w:r>
      <w:r>
        <w:rPr>
          <w:color w:val="231F20"/>
          <w:w w:val="110"/>
        </w:rPr>
        <w:t>un</w:t>
      </w:r>
      <w:r>
        <w:rPr>
          <w:color w:val="231F20"/>
          <w:spacing w:val="-7"/>
          <w:w w:val="110"/>
        </w:rPr>
        <w:t> </w:t>
      </w:r>
      <w:r>
        <w:rPr>
          <w:i/>
          <w:color w:val="231F20"/>
          <w:w w:val="110"/>
        </w:rPr>
        <w:t>recurso</w:t>
      </w:r>
      <w:r>
        <w:rPr>
          <w:i/>
          <w:color w:val="231F20"/>
          <w:spacing w:val="-6"/>
          <w:w w:val="110"/>
        </w:rPr>
        <w:t> </w:t>
      </w:r>
      <w:r>
        <w:rPr>
          <w:i/>
          <w:color w:val="231F20"/>
          <w:w w:val="110"/>
        </w:rPr>
        <w:t>natural</w:t>
      </w:r>
      <w:r>
        <w:rPr>
          <w:i/>
          <w:color w:val="231F20"/>
          <w:spacing w:val="-6"/>
          <w:w w:val="110"/>
        </w:rPr>
        <w:t> </w:t>
      </w:r>
      <w:r>
        <w:rPr>
          <w:i/>
          <w:color w:val="231F20"/>
          <w:w w:val="110"/>
        </w:rPr>
        <w:t>crítico</w:t>
      </w:r>
      <w:r>
        <w:rPr>
          <w:color w:val="231F20"/>
          <w:w w:val="110"/>
        </w:rPr>
        <w:t>,</w:t>
      </w:r>
      <w:r>
        <w:rPr>
          <w:color w:val="231F20"/>
          <w:spacing w:val="-6"/>
          <w:w w:val="110"/>
        </w:rPr>
        <w:t> </w:t>
      </w:r>
      <w:r>
        <w:rPr>
          <w:color w:val="231F20"/>
          <w:w w:val="110"/>
        </w:rPr>
        <w:t>es</w:t>
      </w:r>
      <w:r>
        <w:rPr>
          <w:color w:val="231F20"/>
          <w:spacing w:val="-6"/>
          <w:w w:val="110"/>
        </w:rPr>
        <w:t> </w:t>
      </w:r>
      <w:r>
        <w:rPr>
          <w:color w:val="231F20"/>
          <w:w w:val="110"/>
        </w:rPr>
        <w:t>aquel</w:t>
      </w:r>
      <w:r>
        <w:rPr>
          <w:color w:val="231F20"/>
          <w:spacing w:val="-6"/>
          <w:w w:val="110"/>
        </w:rPr>
        <w:t> </w:t>
      </w:r>
      <w:r>
        <w:rPr>
          <w:color w:val="231F20"/>
          <w:w w:val="110"/>
        </w:rPr>
        <w:t>que</w:t>
      </w:r>
      <w:r>
        <w:rPr>
          <w:color w:val="231F20"/>
          <w:spacing w:val="-6"/>
          <w:w w:val="110"/>
        </w:rPr>
        <w:t> </w:t>
      </w:r>
      <w:r>
        <w:rPr>
          <w:color w:val="231F20"/>
          <w:w w:val="110"/>
        </w:rPr>
        <w:t>es</w:t>
      </w:r>
      <w:r>
        <w:rPr>
          <w:color w:val="231F20"/>
          <w:spacing w:val="-6"/>
          <w:w w:val="110"/>
        </w:rPr>
        <w:t> </w:t>
      </w:r>
      <w:r>
        <w:rPr>
          <w:color w:val="231F20"/>
          <w:w w:val="110"/>
        </w:rPr>
        <w:t>estratégico pero que además, por sus propias características tiene un bajo o</w:t>
      </w:r>
      <w:r>
        <w:rPr>
          <w:color w:val="231F20"/>
          <w:spacing w:val="-31"/>
          <w:w w:val="110"/>
        </w:rPr>
        <w:t> </w:t>
      </w:r>
      <w:r>
        <w:rPr>
          <w:color w:val="231F20"/>
          <w:w w:val="110"/>
        </w:rPr>
        <w:t>nulo grado de sustitución y no sólo, debido al tipo de aplicaciones, éste permite contribuir con el mantenimiento de la hegemonía desde el ámbito</w:t>
      </w:r>
      <w:r>
        <w:rPr>
          <w:color w:val="231F20"/>
          <w:spacing w:val="-10"/>
          <w:w w:val="110"/>
        </w:rPr>
        <w:t> </w:t>
      </w:r>
      <w:r>
        <w:rPr>
          <w:color w:val="231F20"/>
          <w:w w:val="110"/>
        </w:rPr>
        <w:t>militar</w:t>
      </w:r>
      <w:r>
        <w:rPr>
          <w:color w:val="231F20"/>
          <w:spacing w:val="-10"/>
          <w:w w:val="110"/>
        </w:rPr>
        <w:t> </w:t>
      </w:r>
      <w:r>
        <w:rPr>
          <w:color w:val="231F20"/>
          <w:w w:val="110"/>
        </w:rPr>
        <w:t>(dígase</w:t>
      </w:r>
      <w:r>
        <w:rPr>
          <w:color w:val="231F20"/>
          <w:spacing w:val="-10"/>
          <w:w w:val="110"/>
        </w:rPr>
        <w:t> </w:t>
      </w:r>
      <w:r>
        <w:rPr>
          <w:color w:val="231F20"/>
          <w:w w:val="110"/>
        </w:rPr>
        <w:t>por</w:t>
      </w:r>
      <w:r>
        <w:rPr>
          <w:color w:val="231F20"/>
          <w:spacing w:val="-10"/>
          <w:w w:val="110"/>
        </w:rPr>
        <w:t> </w:t>
      </w:r>
      <w:r>
        <w:rPr>
          <w:color w:val="231F20"/>
          <w:w w:val="110"/>
        </w:rPr>
        <w:t>ejemplo,</w:t>
      </w:r>
      <w:r>
        <w:rPr>
          <w:color w:val="231F20"/>
          <w:spacing w:val="-10"/>
          <w:w w:val="110"/>
        </w:rPr>
        <w:t> </w:t>
      </w:r>
      <w:r>
        <w:rPr>
          <w:color w:val="231F20"/>
          <w:w w:val="110"/>
        </w:rPr>
        <w:t>el</w:t>
      </w:r>
      <w:r>
        <w:rPr>
          <w:color w:val="231F20"/>
          <w:spacing w:val="-10"/>
          <w:w w:val="110"/>
        </w:rPr>
        <w:t> </w:t>
      </w:r>
      <w:r>
        <w:rPr>
          <w:color w:val="231F20"/>
          <w:w w:val="110"/>
        </w:rPr>
        <w:t>uranio,</w:t>
      </w:r>
      <w:r>
        <w:rPr>
          <w:color w:val="231F20"/>
          <w:spacing w:val="-10"/>
          <w:w w:val="110"/>
        </w:rPr>
        <w:t> </w:t>
      </w:r>
      <w:r>
        <w:rPr>
          <w:color w:val="231F20"/>
          <w:w w:val="110"/>
        </w:rPr>
        <w:t>el</w:t>
      </w:r>
      <w:r>
        <w:rPr>
          <w:color w:val="231F20"/>
          <w:spacing w:val="-10"/>
          <w:w w:val="110"/>
        </w:rPr>
        <w:t> </w:t>
      </w:r>
      <w:r>
        <w:rPr>
          <w:color w:val="231F20"/>
          <w:w w:val="110"/>
        </w:rPr>
        <w:t>indio,</w:t>
      </w:r>
      <w:r>
        <w:rPr>
          <w:color w:val="231F20"/>
          <w:spacing w:val="-10"/>
          <w:w w:val="110"/>
        </w:rPr>
        <w:t> </w:t>
      </w:r>
      <w:r>
        <w:rPr>
          <w:color w:val="231F20"/>
          <w:w w:val="110"/>
        </w:rPr>
        <w:t>el</w:t>
      </w:r>
      <w:r>
        <w:rPr>
          <w:color w:val="231F20"/>
          <w:spacing w:val="-10"/>
          <w:w w:val="110"/>
        </w:rPr>
        <w:t> </w:t>
      </w:r>
      <w:r>
        <w:rPr>
          <w:color w:val="231F20"/>
          <w:w w:val="110"/>
        </w:rPr>
        <w:t>manganeso, el platino, el paladio o las tierras </w:t>
      </w:r>
      <w:r>
        <w:rPr>
          <w:color w:val="231F20"/>
          <w:spacing w:val="4"/>
          <w:w w:val="110"/>
        </w:rPr>
        <w:t> </w:t>
      </w:r>
      <w:r>
        <w:rPr>
          <w:color w:val="231F20"/>
          <w:w w:val="110"/>
        </w:rPr>
        <w:t>raras).</w:t>
      </w:r>
    </w:p>
    <w:p>
      <w:pPr>
        <w:pStyle w:val="BodyText"/>
        <w:spacing w:line="261" w:lineRule="auto"/>
        <w:ind w:left="100" w:right="117" w:firstLine="240"/>
        <w:jc w:val="both"/>
      </w:pPr>
      <w:r>
        <w:rPr>
          <w:color w:val="231F20"/>
          <w:w w:val="110"/>
        </w:rPr>
        <w:t>Otros recursos naturales pueden ser muy importantes para la rea- lización, desarrollo e incluso expansión de las naciones, por</w:t>
      </w:r>
      <w:r>
        <w:rPr>
          <w:color w:val="231F20"/>
          <w:spacing w:val="-35"/>
          <w:w w:val="110"/>
        </w:rPr>
        <w:t> </w:t>
      </w:r>
      <w:r>
        <w:rPr>
          <w:color w:val="231F20"/>
          <w:w w:val="110"/>
        </w:rPr>
        <w:t>ejemplo dados los elevados patrones de su consumo, sin embargo, pueden  no ser estratégicos ni críticos. En ese sentido, entre los </w:t>
      </w:r>
      <w:r>
        <w:rPr>
          <w:i/>
          <w:color w:val="231F20"/>
          <w:w w:val="110"/>
        </w:rPr>
        <w:t>materiales </w:t>
      </w:r>
      <w:r>
        <w:rPr>
          <w:i/>
          <w:color w:val="231F20"/>
          <w:w w:val="110"/>
        </w:rPr>
        <w:t>esenciales</w:t>
      </w:r>
      <w:r>
        <w:rPr>
          <w:color w:val="231F20"/>
          <w:w w:val="110"/>
        </w:rPr>
        <w:t>,</w:t>
      </w:r>
      <w:r>
        <w:rPr>
          <w:color w:val="231F20"/>
          <w:spacing w:val="-11"/>
          <w:w w:val="110"/>
        </w:rPr>
        <w:t> </w:t>
      </w:r>
      <w:r>
        <w:rPr>
          <w:color w:val="231F20"/>
          <w:w w:val="110"/>
        </w:rPr>
        <w:t>se</w:t>
      </w:r>
      <w:r>
        <w:rPr>
          <w:color w:val="231F20"/>
          <w:spacing w:val="-11"/>
          <w:w w:val="110"/>
        </w:rPr>
        <w:t> </w:t>
      </w:r>
      <w:r>
        <w:rPr>
          <w:color w:val="231F20"/>
          <w:w w:val="110"/>
        </w:rPr>
        <w:t>puede</w:t>
      </w:r>
      <w:r>
        <w:rPr>
          <w:color w:val="231F20"/>
          <w:spacing w:val="-11"/>
          <w:w w:val="110"/>
        </w:rPr>
        <w:t> </w:t>
      </w:r>
      <w:r>
        <w:rPr>
          <w:color w:val="231F20"/>
          <w:w w:val="110"/>
        </w:rPr>
        <w:t>mencionar</w:t>
      </w:r>
      <w:r>
        <w:rPr>
          <w:color w:val="231F20"/>
          <w:spacing w:val="-11"/>
          <w:w w:val="110"/>
        </w:rPr>
        <w:t> </w:t>
      </w:r>
      <w:r>
        <w:rPr>
          <w:color w:val="231F20"/>
          <w:w w:val="110"/>
        </w:rPr>
        <w:t>el</w:t>
      </w:r>
      <w:r>
        <w:rPr>
          <w:color w:val="231F20"/>
          <w:spacing w:val="-11"/>
          <w:w w:val="110"/>
        </w:rPr>
        <w:t> </w:t>
      </w:r>
      <w:r>
        <w:rPr>
          <w:color w:val="231F20"/>
          <w:w w:val="110"/>
        </w:rPr>
        <w:t>hierro,</w:t>
      </w:r>
      <w:r>
        <w:rPr>
          <w:color w:val="231F20"/>
          <w:spacing w:val="-11"/>
          <w:w w:val="110"/>
        </w:rPr>
        <w:t> </w:t>
      </w:r>
      <w:r>
        <w:rPr>
          <w:color w:val="231F20"/>
          <w:w w:val="110"/>
        </w:rPr>
        <w:t>el</w:t>
      </w:r>
      <w:r>
        <w:rPr>
          <w:color w:val="231F20"/>
          <w:spacing w:val="-11"/>
          <w:w w:val="110"/>
        </w:rPr>
        <w:t> </w:t>
      </w:r>
      <w:r>
        <w:rPr>
          <w:color w:val="231F20"/>
          <w:w w:val="110"/>
        </w:rPr>
        <w:t>aluminio</w:t>
      </w:r>
      <w:r>
        <w:rPr>
          <w:color w:val="231F20"/>
          <w:spacing w:val="-11"/>
          <w:w w:val="110"/>
        </w:rPr>
        <w:t> </w:t>
      </w:r>
      <w:r>
        <w:rPr>
          <w:color w:val="231F20"/>
          <w:w w:val="110"/>
        </w:rPr>
        <w:t>o</w:t>
      </w:r>
      <w:r>
        <w:rPr>
          <w:color w:val="231F20"/>
          <w:spacing w:val="-11"/>
          <w:w w:val="110"/>
        </w:rPr>
        <w:t> </w:t>
      </w:r>
      <w:r>
        <w:rPr>
          <w:color w:val="231F20"/>
          <w:w w:val="110"/>
        </w:rPr>
        <w:t>los</w:t>
      </w:r>
      <w:r>
        <w:rPr>
          <w:color w:val="231F20"/>
          <w:spacing w:val="-11"/>
          <w:w w:val="110"/>
        </w:rPr>
        <w:t> </w:t>
      </w:r>
      <w:r>
        <w:rPr>
          <w:color w:val="231F20"/>
          <w:w w:val="110"/>
        </w:rPr>
        <w:t>materiales de construcción (concreto), entre  </w:t>
      </w:r>
      <w:r>
        <w:rPr>
          <w:color w:val="231F20"/>
          <w:spacing w:val="4"/>
          <w:w w:val="110"/>
        </w:rPr>
        <w:t> </w:t>
      </w:r>
      <w:r>
        <w:rPr>
          <w:color w:val="231F20"/>
          <w:w w:val="110"/>
        </w:rPr>
        <w:t>otros.</w:t>
      </w:r>
    </w:p>
    <w:p>
      <w:pPr>
        <w:pStyle w:val="BodyText"/>
        <w:spacing w:line="261" w:lineRule="auto"/>
        <w:ind w:left="100" w:right="117" w:firstLine="240"/>
        <w:jc w:val="both"/>
        <w:rPr>
          <w:sz w:val="13"/>
        </w:rPr>
      </w:pPr>
      <w:r>
        <w:rPr>
          <w:color w:val="231F20"/>
          <w:w w:val="105"/>
        </w:rPr>
        <w:t>Por lo antes indicado, resulta evidente que las zonas con reservas importantes de recursos energéticos (petróleo, gas,  carbón),  mine-  ros, hídricos o de biodiversidad, se perfilan cada vez más como es- tratégicas y conflictivas, tanto desde la perspectiva de la denominada </w:t>
      </w:r>
      <w:r>
        <w:rPr>
          <w:i/>
          <w:color w:val="231F20"/>
          <w:w w:val="105"/>
        </w:rPr>
        <w:t>geopolítica de los recursos </w:t>
      </w:r>
      <w:r>
        <w:rPr>
          <w:color w:val="231F20"/>
          <w:w w:val="105"/>
        </w:rPr>
        <w:t>o de la </w:t>
      </w:r>
      <w:r>
        <w:rPr>
          <w:i/>
          <w:color w:val="231F20"/>
          <w:w w:val="105"/>
        </w:rPr>
        <w:t>securitización </w:t>
      </w:r>
      <w:r>
        <w:rPr>
          <w:color w:val="231F20"/>
          <w:w w:val="105"/>
        </w:rPr>
        <w:t>de éstos, como desde nociones de análisis que prefieren dar cuenta de los </w:t>
      </w:r>
      <w:r>
        <w:rPr>
          <w:i/>
          <w:color w:val="231F20"/>
          <w:w w:val="105"/>
        </w:rPr>
        <w:t>conflictos distri- </w:t>
      </w:r>
      <w:r>
        <w:rPr>
          <w:i/>
          <w:color w:val="231F20"/>
          <w:w w:val="105"/>
        </w:rPr>
        <w:t>butivos </w:t>
      </w:r>
      <w:r>
        <w:rPr>
          <w:color w:val="231F20"/>
          <w:w w:val="105"/>
        </w:rPr>
        <w:t>existentes y sus usualmente asociados procesos de</w:t>
      </w:r>
      <w:r>
        <w:rPr>
          <w:color w:val="231F20"/>
          <w:spacing w:val="-1"/>
          <w:w w:val="105"/>
        </w:rPr>
        <w:t> </w:t>
      </w:r>
      <w:r>
        <w:rPr>
          <w:i/>
          <w:color w:val="231F20"/>
          <w:w w:val="105"/>
        </w:rPr>
        <w:t>desposesión, </w:t>
      </w:r>
      <w:r>
        <w:rPr>
          <w:i/>
          <w:color w:val="231F20"/>
          <w:w w:val="105"/>
        </w:rPr>
        <w:t>despojo</w:t>
      </w:r>
      <w:r>
        <w:rPr>
          <w:i/>
          <w:color w:val="231F20"/>
          <w:spacing w:val="-14"/>
          <w:w w:val="105"/>
        </w:rPr>
        <w:t> </w:t>
      </w:r>
      <w:r>
        <w:rPr>
          <w:color w:val="231F20"/>
          <w:w w:val="105"/>
        </w:rPr>
        <w:t>e</w:t>
      </w:r>
      <w:r>
        <w:rPr>
          <w:color w:val="231F20"/>
          <w:spacing w:val="-14"/>
          <w:w w:val="105"/>
        </w:rPr>
        <w:t> </w:t>
      </w:r>
      <w:r>
        <w:rPr>
          <w:color w:val="231F20"/>
          <w:w w:val="105"/>
        </w:rPr>
        <w:t>incluso</w:t>
      </w:r>
      <w:r>
        <w:rPr>
          <w:color w:val="231F20"/>
          <w:spacing w:val="-14"/>
          <w:w w:val="105"/>
        </w:rPr>
        <w:t> </w:t>
      </w:r>
      <w:r>
        <w:rPr>
          <w:color w:val="231F20"/>
          <w:w w:val="105"/>
        </w:rPr>
        <w:t>violencia.</w:t>
      </w:r>
      <w:r>
        <w:rPr>
          <w:color w:val="231F20"/>
          <w:w w:val="105"/>
          <w:position w:val="6"/>
          <w:sz w:val="13"/>
        </w:rPr>
        <w:t>1</w:t>
      </w:r>
    </w:p>
    <w:p>
      <w:pPr>
        <w:pStyle w:val="BodyText"/>
        <w:spacing w:line="261" w:lineRule="auto"/>
        <w:ind w:left="100" w:right="112" w:firstLine="240"/>
        <w:jc w:val="both"/>
      </w:pPr>
      <w:r>
        <w:rPr>
          <w:color w:val="231F20"/>
          <w:spacing w:val="2"/>
          <w:w w:val="110"/>
        </w:rPr>
        <w:t>Desde luego, </w:t>
      </w:r>
      <w:r>
        <w:rPr>
          <w:color w:val="231F20"/>
          <w:w w:val="110"/>
        </w:rPr>
        <w:t>el </w:t>
      </w:r>
      <w:r>
        <w:rPr>
          <w:color w:val="231F20"/>
          <w:spacing w:val="2"/>
          <w:w w:val="110"/>
        </w:rPr>
        <w:t>sector agroalimentario </w:t>
      </w:r>
      <w:r>
        <w:rPr>
          <w:color w:val="231F20"/>
          <w:w w:val="110"/>
        </w:rPr>
        <w:t>es </w:t>
      </w:r>
      <w:r>
        <w:rPr>
          <w:color w:val="231F20"/>
          <w:spacing w:val="2"/>
          <w:w w:val="110"/>
        </w:rPr>
        <w:t>también “esencial”, </w:t>
      </w:r>
      <w:r>
        <w:rPr>
          <w:color w:val="231F20"/>
          <w:w w:val="110"/>
        </w:rPr>
        <w:t>siendo</w:t>
      </w:r>
      <w:r>
        <w:rPr>
          <w:color w:val="231F20"/>
          <w:spacing w:val="-7"/>
          <w:w w:val="110"/>
        </w:rPr>
        <w:t> </w:t>
      </w:r>
      <w:r>
        <w:rPr>
          <w:color w:val="231F20"/>
          <w:w w:val="110"/>
        </w:rPr>
        <w:t>la</w:t>
      </w:r>
      <w:r>
        <w:rPr>
          <w:color w:val="231F20"/>
          <w:spacing w:val="-7"/>
          <w:w w:val="110"/>
        </w:rPr>
        <w:t> </w:t>
      </w:r>
      <w:r>
        <w:rPr>
          <w:color w:val="231F20"/>
          <w:w w:val="110"/>
        </w:rPr>
        <w:t>producción</w:t>
      </w:r>
      <w:r>
        <w:rPr>
          <w:color w:val="231F20"/>
          <w:spacing w:val="-7"/>
          <w:w w:val="110"/>
        </w:rPr>
        <w:t> </w:t>
      </w:r>
      <w:r>
        <w:rPr>
          <w:color w:val="231F20"/>
          <w:w w:val="110"/>
        </w:rPr>
        <w:t>de</w:t>
      </w:r>
      <w:r>
        <w:rPr>
          <w:color w:val="231F20"/>
          <w:spacing w:val="-7"/>
          <w:w w:val="110"/>
        </w:rPr>
        <w:t> </w:t>
      </w:r>
      <w:r>
        <w:rPr>
          <w:color w:val="231F20"/>
          <w:w w:val="110"/>
        </w:rPr>
        <w:t>granos</w:t>
      </w:r>
      <w:r>
        <w:rPr>
          <w:color w:val="231F20"/>
          <w:spacing w:val="-7"/>
          <w:w w:val="110"/>
        </w:rPr>
        <w:t> </w:t>
      </w:r>
      <w:r>
        <w:rPr>
          <w:color w:val="231F20"/>
          <w:w w:val="110"/>
        </w:rPr>
        <w:t>básicos</w:t>
      </w:r>
      <w:r>
        <w:rPr>
          <w:color w:val="231F20"/>
          <w:spacing w:val="-7"/>
          <w:w w:val="110"/>
        </w:rPr>
        <w:t> </w:t>
      </w:r>
      <w:r>
        <w:rPr>
          <w:color w:val="231F20"/>
          <w:w w:val="110"/>
        </w:rPr>
        <w:t>una</w:t>
      </w:r>
      <w:r>
        <w:rPr>
          <w:color w:val="231F20"/>
          <w:spacing w:val="-7"/>
          <w:w w:val="110"/>
        </w:rPr>
        <w:t> </w:t>
      </w:r>
      <w:r>
        <w:rPr>
          <w:color w:val="231F20"/>
          <w:w w:val="110"/>
        </w:rPr>
        <w:t>cuestión</w:t>
      </w:r>
      <w:r>
        <w:rPr>
          <w:color w:val="231F20"/>
          <w:spacing w:val="-7"/>
          <w:w w:val="110"/>
        </w:rPr>
        <w:t> </w:t>
      </w:r>
      <w:r>
        <w:rPr>
          <w:i/>
          <w:color w:val="231F20"/>
          <w:w w:val="110"/>
        </w:rPr>
        <w:t>estratégica</w:t>
      </w:r>
      <w:r>
        <w:rPr>
          <w:color w:val="231F20"/>
          <w:w w:val="110"/>
        </w:rPr>
        <w:t>.</w:t>
      </w:r>
      <w:r>
        <w:rPr>
          <w:color w:val="231F20"/>
          <w:spacing w:val="-7"/>
          <w:w w:val="110"/>
        </w:rPr>
        <w:t> </w:t>
      </w:r>
      <w:r>
        <w:rPr>
          <w:color w:val="231F20"/>
          <w:w w:val="110"/>
        </w:rPr>
        <w:t>Las implicaciones de no tener garantizada la seguridad alimentaria</w:t>
      </w:r>
      <w:r>
        <w:rPr>
          <w:color w:val="231F20"/>
          <w:spacing w:val="-24"/>
          <w:w w:val="110"/>
        </w:rPr>
        <w:t> </w:t>
      </w:r>
      <w:r>
        <w:rPr>
          <w:color w:val="231F20"/>
          <w:w w:val="110"/>
        </w:rPr>
        <w:t>sobre la base de una soberanía alimentaria es una cuestión de seguridad nacional puesto que pone en entre dicho la paz social y el orden interno. Esto ha sido bien articulado, ya en 1970, por Henry Kis- singer quien tenía claro que si se controla el petróleo se controla      a las naciones, pero, si se controlan los alimentos, se controla a la gente. El desgarramiento social y el potencial de explosividad</w:t>
      </w:r>
      <w:r>
        <w:rPr>
          <w:color w:val="231F20"/>
          <w:spacing w:val="-16"/>
          <w:w w:val="110"/>
        </w:rPr>
        <w:t> </w:t>
      </w:r>
      <w:r>
        <w:rPr>
          <w:color w:val="231F20"/>
          <w:w w:val="110"/>
        </w:rPr>
        <w:t>social que acarrea consigo la escasez de alimentos generada por políticas </w:t>
      </w:r>
      <w:r>
        <w:rPr>
          <w:i/>
          <w:color w:val="231F20"/>
          <w:w w:val="110"/>
        </w:rPr>
        <w:t>democidas</w:t>
      </w:r>
      <w:r>
        <w:rPr>
          <w:color w:val="231F20"/>
          <w:w w:val="110"/>
        </w:rPr>
        <w:t>, no sólo es pues un asunto clave para el desarrollo, sino también para la paz interna de las naciones </w:t>
      </w:r>
      <w:r>
        <w:rPr>
          <w:color w:val="231F20"/>
          <w:spacing w:val="-8"/>
          <w:w w:val="110"/>
        </w:rPr>
        <w:t>y, </w:t>
      </w:r>
      <w:r>
        <w:rPr>
          <w:color w:val="231F20"/>
          <w:w w:val="110"/>
        </w:rPr>
        <w:t>ciertamente, para la paz internacional. En este </w:t>
      </w:r>
      <w:r>
        <w:rPr>
          <w:color w:val="231F20"/>
          <w:spacing w:val="-3"/>
          <w:w w:val="110"/>
        </w:rPr>
        <w:t>tenor, </w:t>
      </w:r>
      <w:r>
        <w:rPr>
          <w:color w:val="231F20"/>
          <w:w w:val="110"/>
        </w:rPr>
        <w:t>considérese que un incremento </w:t>
      </w:r>
      <w:r>
        <w:rPr>
          <w:color w:val="231F20"/>
          <w:spacing w:val="38"/>
          <w:w w:val="110"/>
        </w:rPr>
        <w:t> </w:t>
      </w:r>
      <w:r>
        <w:rPr>
          <w:color w:val="231F20"/>
          <w:w w:val="110"/>
        </w:rPr>
        <w:t>del</w:t>
      </w:r>
    </w:p>
    <w:p>
      <w:pPr>
        <w:pStyle w:val="BodyText"/>
      </w:pPr>
    </w:p>
    <w:p>
      <w:pPr>
        <w:pStyle w:val="BodyText"/>
      </w:pPr>
    </w:p>
    <w:p>
      <w:pPr>
        <w:pStyle w:val="BodyText"/>
      </w:pPr>
    </w:p>
    <w:p>
      <w:pPr>
        <w:pStyle w:val="BodyText"/>
        <w:spacing w:before="7"/>
        <w:rPr>
          <w:sz w:val="16"/>
        </w:rPr>
      </w:pPr>
    </w:p>
    <w:p>
      <w:pPr>
        <w:spacing w:line="261" w:lineRule="auto" w:before="1"/>
        <w:ind w:left="100" w:right="117" w:firstLine="240"/>
        <w:jc w:val="both"/>
        <w:rPr>
          <w:sz w:val="16"/>
        </w:rPr>
      </w:pPr>
      <w:r>
        <w:rPr>
          <w:color w:val="231F20"/>
          <w:w w:val="110"/>
          <w:position w:val="5"/>
          <w:sz w:val="10"/>
        </w:rPr>
        <w:t>1</w:t>
      </w:r>
      <w:r>
        <w:rPr>
          <w:color w:val="231F20"/>
          <w:spacing w:val="3"/>
          <w:w w:val="110"/>
          <w:position w:val="5"/>
          <w:sz w:val="10"/>
        </w:rPr>
        <w:t> </w:t>
      </w:r>
      <w:r>
        <w:rPr>
          <w:color w:val="231F20"/>
          <w:w w:val="110"/>
          <w:sz w:val="16"/>
        </w:rPr>
        <w:t>Sobre</w:t>
      </w:r>
      <w:r>
        <w:rPr>
          <w:color w:val="231F20"/>
          <w:spacing w:val="-14"/>
          <w:w w:val="110"/>
          <w:sz w:val="16"/>
        </w:rPr>
        <w:t> </w:t>
      </w:r>
      <w:r>
        <w:rPr>
          <w:color w:val="231F20"/>
          <w:w w:val="110"/>
          <w:sz w:val="16"/>
        </w:rPr>
        <w:t>una</w:t>
      </w:r>
      <w:r>
        <w:rPr>
          <w:color w:val="231F20"/>
          <w:spacing w:val="-14"/>
          <w:w w:val="110"/>
          <w:sz w:val="16"/>
        </w:rPr>
        <w:t> </w:t>
      </w:r>
      <w:r>
        <w:rPr>
          <w:color w:val="231F20"/>
          <w:w w:val="110"/>
          <w:sz w:val="16"/>
        </w:rPr>
        <w:t>teorización</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los</w:t>
      </w:r>
      <w:r>
        <w:rPr>
          <w:color w:val="231F20"/>
          <w:spacing w:val="-14"/>
          <w:w w:val="110"/>
          <w:sz w:val="16"/>
        </w:rPr>
        <w:t> </w:t>
      </w:r>
      <w:r>
        <w:rPr>
          <w:color w:val="231F20"/>
          <w:w w:val="110"/>
          <w:sz w:val="16"/>
        </w:rPr>
        <w:t>conflictos</w:t>
      </w:r>
      <w:r>
        <w:rPr>
          <w:color w:val="231F20"/>
          <w:spacing w:val="-14"/>
          <w:w w:val="110"/>
          <w:sz w:val="16"/>
        </w:rPr>
        <w:t> </w:t>
      </w:r>
      <w:r>
        <w:rPr>
          <w:color w:val="231F20"/>
          <w:w w:val="110"/>
          <w:sz w:val="16"/>
        </w:rPr>
        <w:t>ambientales</w:t>
      </w:r>
      <w:r>
        <w:rPr>
          <w:color w:val="231F20"/>
          <w:spacing w:val="-14"/>
          <w:w w:val="110"/>
          <w:sz w:val="16"/>
        </w:rPr>
        <w:t> </w:t>
      </w:r>
      <w:r>
        <w:rPr>
          <w:color w:val="231F20"/>
          <w:w w:val="110"/>
          <w:sz w:val="16"/>
        </w:rPr>
        <w:t>distributivos,</w:t>
      </w:r>
      <w:r>
        <w:rPr>
          <w:color w:val="231F20"/>
          <w:spacing w:val="-14"/>
          <w:w w:val="110"/>
          <w:sz w:val="16"/>
        </w:rPr>
        <w:t> </w:t>
      </w:r>
      <w:r>
        <w:rPr>
          <w:color w:val="231F20"/>
          <w:w w:val="110"/>
          <w:sz w:val="16"/>
        </w:rPr>
        <w:t>léase:</w:t>
      </w:r>
      <w:r>
        <w:rPr>
          <w:color w:val="231F20"/>
          <w:spacing w:val="-14"/>
          <w:w w:val="110"/>
          <w:sz w:val="16"/>
        </w:rPr>
        <w:t> </w:t>
      </w:r>
      <w:r>
        <w:rPr>
          <w:color w:val="231F20"/>
          <w:w w:val="110"/>
          <w:sz w:val="16"/>
        </w:rPr>
        <w:t>Martínez- </w:t>
      </w:r>
      <w:r>
        <w:rPr>
          <w:color w:val="231F20"/>
          <w:spacing w:val="-3"/>
          <w:w w:val="110"/>
          <w:sz w:val="16"/>
        </w:rPr>
        <w:t>Alier, </w:t>
      </w:r>
      <w:r>
        <w:rPr>
          <w:color w:val="231F20"/>
          <w:w w:val="110"/>
          <w:sz w:val="16"/>
        </w:rPr>
        <w:t>2006. Sobre la conceptualización de “acumulación por desposesión”, a</w:t>
      </w:r>
      <w:r>
        <w:rPr>
          <w:color w:val="231F20"/>
          <w:spacing w:val="-22"/>
          <w:w w:val="110"/>
          <w:sz w:val="16"/>
        </w:rPr>
        <w:t> </w:t>
      </w:r>
      <w:r>
        <w:rPr>
          <w:color w:val="231F20"/>
          <w:w w:val="110"/>
          <w:sz w:val="16"/>
        </w:rPr>
        <w:t>Harvey, 2004.</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9"/>
        <w:jc w:val="both"/>
        <w:rPr>
          <w:sz w:val="13"/>
        </w:rPr>
      </w:pPr>
      <w:r>
        <w:rPr>
          <w:color w:val="231F20"/>
          <w:w w:val="110"/>
        </w:rPr>
        <w:t>1% en el precio de los alimentos genera una caída de alrededor del</w:t>
      </w:r>
      <w:r>
        <w:rPr>
          <w:color w:val="231F20"/>
          <w:w w:val="111"/>
        </w:rPr>
        <w:t> </w:t>
      </w:r>
      <w:r>
        <w:rPr>
          <w:color w:val="231F20"/>
          <w:w w:val="110"/>
        </w:rPr>
        <w:t>0.5% en el consumo de calorías en el grueso de la  población.</w:t>
      </w:r>
      <w:r>
        <w:rPr>
          <w:color w:val="231F20"/>
          <w:w w:val="110"/>
          <w:position w:val="6"/>
          <w:sz w:val="13"/>
        </w:rPr>
        <w:t>2</w:t>
      </w:r>
    </w:p>
    <w:p>
      <w:pPr>
        <w:pStyle w:val="BodyText"/>
      </w:pPr>
    </w:p>
    <w:p>
      <w:pPr>
        <w:pStyle w:val="BodyText"/>
      </w:pPr>
    </w:p>
    <w:p>
      <w:pPr>
        <w:pStyle w:val="BodyText"/>
        <w:spacing w:before="2"/>
        <w:rPr>
          <w:sz w:val="25"/>
        </w:rPr>
      </w:pPr>
    </w:p>
    <w:p>
      <w:pPr>
        <w:pStyle w:val="BodyText"/>
        <w:ind w:left="100"/>
        <w:jc w:val="both"/>
      </w:pPr>
      <w:r>
        <w:rPr>
          <w:color w:val="231F20"/>
          <w:w w:val="125"/>
        </w:rPr>
        <w:t>geopolítica del despojo: petróleo en la mira</w:t>
      </w:r>
    </w:p>
    <w:p>
      <w:pPr>
        <w:pStyle w:val="BodyText"/>
        <w:spacing w:before="5"/>
        <w:rPr>
          <w:sz w:val="23"/>
        </w:rPr>
      </w:pPr>
    </w:p>
    <w:p>
      <w:pPr>
        <w:pStyle w:val="BodyText"/>
        <w:spacing w:line="261" w:lineRule="auto"/>
        <w:ind w:left="100" w:right="112"/>
        <w:jc w:val="both"/>
      </w:pPr>
      <w:r>
        <w:rPr>
          <w:color w:val="231F20"/>
          <w:w w:val="110"/>
        </w:rPr>
        <w:t>La dependencia de Estados Unidos a las importaciones de recursos no sólo se ha mantenido sino que ha aumentado a ritmos preocu- pantes. En el caso del petróleo, ésta pasó de 28% en 1973 a cerca  de 55% en 2003 y se calcula que para 2025 será de 70%. Para 2007, los 4 principales países exportadores de crudo y sus derivados hacia Estados Unidos eran Canadá con 19%, Arabia Saudita con 15%, México con 14% y Venezuela con 12%. Se suman además países latinoamericanos como Brasil con 2%, Ecuador con 2% y Colombia con 1%. En total, Canadá y América Latina suman 50% de los</w:t>
      </w:r>
      <w:r>
        <w:rPr>
          <w:color w:val="231F20"/>
          <w:spacing w:val="-11"/>
          <w:w w:val="110"/>
        </w:rPr>
        <w:t> </w:t>
      </w:r>
      <w:r>
        <w:rPr>
          <w:color w:val="231F20"/>
          <w:w w:val="110"/>
        </w:rPr>
        <w:t>cerca de 10 millones de barriles diarios que importa Estados</w:t>
      </w:r>
      <w:r>
        <w:rPr>
          <w:color w:val="231F20"/>
          <w:spacing w:val="49"/>
          <w:w w:val="110"/>
        </w:rPr>
        <w:t> </w:t>
      </w:r>
      <w:r>
        <w:rPr>
          <w:color w:val="231F20"/>
          <w:w w:val="110"/>
        </w:rPr>
        <w:t>Unidos.</w:t>
      </w:r>
    </w:p>
    <w:p>
      <w:pPr>
        <w:pStyle w:val="BodyText"/>
        <w:spacing w:line="261" w:lineRule="auto"/>
        <w:ind w:left="100" w:right="112" w:firstLine="240"/>
        <w:jc w:val="both"/>
      </w:pPr>
      <w:r>
        <w:rPr>
          <w:color w:val="231F20"/>
          <w:w w:val="110"/>
        </w:rPr>
        <w:t>Lo anterior revela la importancia de las reservas petroleras he- misféricas para la economía estadunidense a lo largo del siglo xx,    y ciertamente principios del siglo xxi, momento en el que tales reservas mantienen, para Estados Unidos, una posición por encima de las reservas de Medio Oriente, lo que no significa que éstas</w:t>
      </w:r>
      <w:r>
        <w:rPr>
          <w:color w:val="231F20"/>
          <w:spacing w:val="-18"/>
          <w:w w:val="110"/>
        </w:rPr>
        <w:t> </w:t>
      </w:r>
      <w:r>
        <w:rPr>
          <w:color w:val="231F20"/>
          <w:w w:val="110"/>
        </w:rPr>
        <w:t>dejen de ser importantes. Es todo lo contrario. Muestra de ello es el golpe (operado por la cia y el m16 del Reino Unido bajo el nombre de “Operación</w:t>
      </w:r>
      <w:r>
        <w:rPr>
          <w:color w:val="231F20"/>
          <w:spacing w:val="-17"/>
          <w:w w:val="110"/>
        </w:rPr>
        <w:t> </w:t>
      </w:r>
      <w:r>
        <w:rPr>
          <w:color w:val="231F20"/>
          <w:w w:val="110"/>
        </w:rPr>
        <w:t>Ajax”)</w:t>
      </w:r>
      <w:r>
        <w:rPr>
          <w:color w:val="231F20"/>
          <w:spacing w:val="-17"/>
          <w:w w:val="110"/>
        </w:rPr>
        <w:t> </w:t>
      </w:r>
      <w:r>
        <w:rPr>
          <w:color w:val="231F20"/>
          <w:w w:val="110"/>
        </w:rPr>
        <w:t>al</w:t>
      </w:r>
      <w:r>
        <w:rPr>
          <w:color w:val="231F20"/>
          <w:spacing w:val="-17"/>
          <w:w w:val="110"/>
        </w:rPr>
        <w:t> </w:t>
      </w:r>
      <w:r>
        <w:rPr>
          <w:color w:val="231F20"/>
          <w:w w:val="110"/>
        </w:rPr>
        <w:t>primer</w:t>
      </w:r>
      <w:r>
        <w:rPr>
          <w:color w:val="231F20"/>
          <w:spacing w:val="-17"/>
          <w:w w:val="110"/>
        </w:rPr>
        <w:t> </w:t>
      </w:r>
      <w:r>
        <w:rPr>
          <w:color w:val="231F20"/>
          <w:w w:val="110"/>
        </w:rPr>
        <w:t>ministro</w:t>
      </w:r>
      <w:r>
        <w:rPr>
          <w:color w:val="231F20"/>
          <w:spacing w:val="-17"/>
          <w:w w:val="110"/>
        </w:rPr>
        <w:t> </w:t>
      </w:r>
      <w:r>
        <w:rPr>
          <w:color w:val="231F20"/>
          <w:w w:val="110"/>
        </w:rPr>
        <w:t>de</w:t>
      </w:r>
      <w:r>
        <w:rPr>
          <w:color w:val="231F20"/>
          <w:spacing w:val="-17"/>
          <w:w w:val="110"/>
        </w:rPr>
        <w:t> </w:t>
      </w:r>
      <w:r>
        <w:rPr>
          <w:color w:val="231F20"/>
          <w:w w:val="110"/>
        </w:rPr>
        <w:t>Irán,</w:t>
      </w:r>
      <w:r>
        <w:rPr>
          <w:color w:val="231F20"/>
          <w:spacing w:val="-17"/>
          <w:w w:val="110"/>
        </w:rPr>
        <w:t> </w:t>
      </w:r>
      <w:r>
        <w:rPr>
          <w:color w:val="231F20"/>
          <w:w w:val="110"/>
        </w:rPr>
        <w:t>Mohammad</w:t>
      </w:r>
      <w:r>
        <w:rPr>
          <w:color w:val="231F20"/>
          <w:spacing w:val="-17"/>
          <w:w w:val="110"/>
        </w:rPr>
        <w:t> </w:t>
      </w:r>
      <w:r>
        <w:rPr>
          <w:color w:val="231F20"/>
          <w:w w:val="110"/>
        </w:rPr>
        <w:t>Mosaddeq en 1953, quien se oponía a la inversión extranjera en petróleo; la Guerra del Golfo Pérsico (o “Tormenta del Desierto”) ejecutada  por Bush padre y que permitiera posicionar a Estados Unidos en la primer cuenca petrolera del mundo, sobre todo en Kuwait y poste- riormente en Irak cuando se “reedita” el ataque a Irak en 2003 con el consecuente derrocamiento de Hussain, el establecimiento de un gobierno </w:t>
      </w:r>
      <w:r>
        <w:rPr>
          <w:i/>
          <w:color w:val="231F20"/>
          <w:w w:val="110"/>
        </w:rPr>
        <w:t>ad hoc </w:t>
      </w:r>
      <w:r>
        <w:rPr>
          <w:color w:val="231F20"/>
          <w:w w:val="110"/>
        </w:rPr>
        <w:t>y el retorno abrumador de las industrias petroleras estadunidenses</w:t>
      </w:r>
      <w:r>
        <w:rPr>
          <w:color w:val="231F20"/>
          <w:spacing w:val="-10"/>
          <w:w w:val="110"/>
        </w:rPr>
        <w:t> </w:t>
      </w:r>
      <w:r>
        <w:rPr>
          <w:color w:val="231F20"/>
          <w:w w:val="110"/>
        </w:rPr>
        <w:t>y</w:t>
      </w:r>
      <w:r>
        <w:rPr>
          <w:color w:val="231F20"/>
          <w:spacing w:val="-10"/>
          <w:w w:val="110"/>
        </w:rPr>
        <w:t> </w:t>
      </w:r>
      <w:r>
        <w:rPr>
          <w:color w:val="231F20"/>
          <w:w w:val="110"/>
        </w:rPr>
        <w:t>las</w:t>
      </w:r>
      <w:r>
        <w:rPr>
          <w:color w:val="231F20"/>
          <w:spacing w:val="-10"/>
          <w:w w:val="110"/>
        </w:rPr>
        <w:t> </w:t>
      </w:r>
      <w:r>
        <w:rPr>
          <w:color w:val="231F20"/>
          <w:w w:val="110"/>
        </w:rPr>
        <w:t>de</w:t>
      </w:r>
      <w:r>
        <w:rPr>
          <w:color w:val="231F20"/>
          <w:spacing w:val="-10"/>
          <w:w w:val="110"/>
        </w:rPr>
        <w:t> </w:t>
      </w:r>
      <w:r>
        <w:rPr>
          <w:color w:val="231F20"/>
          <w:w w:val="110"/>
        </w:rPr>
        <w:t>sus</w:t>
      </w:r>
      <w:r>
        <w:rPr>
          <w:color w:val="231F20"/>
          <w:spacing w:val="-10"/>
          <w:w w:val="110"/>
        </w:rPr>
        <w:t> </w:t>
      </w:r>
      <w:r>
        <w:rPr>
          <w:color w:val="231F20"/>
          <w:w w:val="110"/>
        </w:rPr>
        <w:t>“socios”</w:t>
      </w:r>
      <w:r>
        <w:rPr>
          <w:color w:val="231F20"/>
          <w:spacing w:val="-10"/>
          <w:w w:val="110"/>
        </w:rPr>
        <w:t> </w:t>
      </w:r>
      <w:r>
        <w:rPr>
          <w:color w:val="231F20"/>
          <w:w w:val="110"/>
        </w:rPr>
        <w:t>europeos.</w:t>
      </w:r>
    </w:p>
    <w:p>
      <w:pPr>
        <w:pStyle w:val="BodyText"/>
        <w:spacing w:line="261" w:lineRule="auto"/>
        <w:ind w:left="100" w:right="115" w:firstLine="240"/>
        <w:jc w:val="both"/>
      </w:pPr>
      <w:r>
        <w:rPr>
          <w:color w:val="231F20"/>
          <w:w w:val="105"/>
        </w:rPr>
        <w:t>Lo anterior se vincula directamente al hecho de que se está acabando el petróleo barato, de fácil acceso. </w:t>
      </w:r>
      <w:r>
        <w:rPr>
          <w:color w:val="231F20"/>
        </w:rPr>
        <w:t>Y </w:t>
      </w:r>
      <w:r>
        <w:rPr>
          <w:color w:val="231F20"/>
          <w:w w:val="105"/>
        </w:rPr>
        <w:t>es que, con base en</w:t>
      </w:r>
    </w:p>
    <w:p>
      <w:pPr>
        <w:pStyle w:val="BodyText"/>
      </w:pPr>
    </w:p>
    <w:p>
      <w:pPr>
        <w:spacing w:line="261" w:lineRule="auto" w:before="152"/>
        <w:ind w:left="100" w:right="117" w:firstLine="240"/>
        <w:jc w:val="both"/>
        <w:rPr>
          <w:sz w:val="16"/>
        </w:rPr>
      </w:pPr>
      <w:r>
        <w:rPr>
          <w:color w:val="231F20"/>
          <w:w w:val="110"/>
          <w:position w:val="5"/>
          <w:sz w:val="10"/>
        </w:rPr>
        <w:t>2   </w:t>
      </w:r>
      <w:r>
        <w:rPr>
          <w:color w:val="231F20"/>
          <w:w w:val="110"/>
          <w:sz w:val="16"/>
        </w:rPr>
        <w:t>Los numerosos asaltos a trenes de carga con alimentos que se han registrado    al cierre del primer decenio del siglo xxi es tal sólo un botón de muestra. Véase: </w:t>
      </w:r>
      <w:r>
        <w:rPr>
          <w:color w:val="231F20"/>
          <w:w w:val="105"/>
          <w:sz w:val="16"/>
        </w:rPr>
        <w:t>González,</w:t>
      </w:r>
      <w:r>
        <w:rPr>
          <w:color w:val="231F20"/>
          <w:spacing w:val="11"/>
          <w:w w:val="105"/>
          <w:sz w:val="16"/>
        </w:rPr>
        <w:t> </w:t>
      </w:r>
      <w:r>
        <w:rPr>
          <w:color w:val="231F20"/>
          <w:w w:val="105"/>
          <w:sz w:val="16"/>
        </w:rPr>
        <w:t>2009.</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estudios geológicos, se estima que para los primeros años del siglo xxi se llegó o se estaría muy cerca de llegar al punto de inflexión   de las reservas mundiales probadas totales de petróleo barato (De- ffeyes, 2003 y 2005; Delgado, 2009). De ahí pues que buena parte de la geoestrategia imperial estadunidense responda a tal situación (Klare,</w:t>
      </w:r>
      <w:r>
        <w:rPr>
          <w:color w:val="231F20"/>
          <w:spacing w:val="-8"/>
          <w:w w:val="110"/>
        </w:rPr>
        <w:t> </w:t>
      </w:r>
      <w:r>
        <w:rPr>
          <w:color w:val="231F20"/>
          <w:w w:val="110"/>
        </w:rPr>
        <w:t>2006)</w:t>
      </w:r>
      <w:r>
        <w:rPr>
          <w:color w:val="231F20"/>
          <w:spacing w:val="-8"/>
          <w:w w:val="110"/>
        </w:rPr>
        <w:t> </w:t>
      </w:r>
      <w:r>
        <w:rPr>
          <w:color w:val="231F20"/>
          <w:w w:val="110"/>
        </w:rPr>
        <w:t>de</w:t>
      </w:r>
      <w:r>
        <w:rPr>
          <w:color w:val="231F20"/>
          <w:spacing w:val="-8"/>
          <w:w w:val="110"/>
        </w:rPr>
        <w:t> </w:t>
      </w:r>
      <w:r>
        <w:rPr>
          <w:color w:val="231F20"/>
          <w:w w:val="110"/>
        </w:rPr>
        <w:t>cara</w:t>
      </w:r>
      <w:r>
        <w:rPr>
          <w:color w:val="231F20"/>
          <w:spacing w:val="-8"/>
          <w:w w:val="110"/>
        </w:rPr>
        <w:t> </w:t>
      </w:r>
      <w:r>
        <w:rPr>
          <w:color w:val="231F20"/>
          <w:w w:val="110"/>
        </w:rPr>
        <w:t>al</w:t>
      </w:r>
      <w:r>
        <w:rPr>
          <w:color w:val="231F20"/>
          <w:spacing w:val="-8"/>
          <w:w w:val="110"/>
        </w:rPr>
        <w:t> </w:t>
      </w:r>
      <w:r>
        <w:rPr>
          <w:color w:val="231F20"/>
          <w:w w:val="110"/>
        </w:rPr>
        <w:t>hecho</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país</w:t>
      </w:r>
      <w:r>
        <w:rPr>
          <w:color w:val="231F20"/>
          <w:spacing w:val="-8"/>
          <w:w w:val="110"/>
        </w:rPr>
        <w:t> </w:t>
      </w:r>
      <w:r>
        <w:rPr>
          <w:color w:val="231F20"/>
          <w:w w:val="110"/>
        </w:rPr>
        <w:t>consume</w:t>
      </w:r>
      <w:r>
        <w:rPr>
          <w:color w:val="231F20"/>
          <w:spacing w:val="-8"/>
          <w:w w:val="110"/>
        </w:rPr>
        <w:t> </w:t>
      </w:r>
      <w:r>
        <w:rPr>
          <w:color w:val="231F20"/>
          <w:w w:val="110"/>
        </w:rPr>
        <w:t>25%</w:t>
      </w:r>
      <w:r>
        <w:rPr>
          <w:color w:val="231F20"/>
          <w:spacing w:val="-8"/>
          <w:w w:val="110"/>
        </w:rPr>
        <w:t> </w:t>
      </w:r>
      <w:r>
        <w:rPr>
          <w:color w:val="231F20"/>
          <w:w w:val="110"/>
        </w:rPr>
        <w:t>del</w:t>
      </w:r>
      <w:r>
        <w:rPr>
          <w:color w:val="231F20"/>
          <w:spacing w:val="-8"/>
          <w:w w:val="110"/>
        </w:rPr>
        <w:t> </w:t>
      </w:r>
      <w:r>
        <w:rPr>
          <w:color w:val="231F20"/>
          <w:w w:val="110"/>
        </w:rPr>
        <w:t>crudo mundial. Medio Oriente es clave </w:t>
      </w:r>
      <w:r>
        <w:rPr>
          <w:color w:val="231F20"/>
          <w:spacing w:val="-4"/>
          <w:w w:val="110"/>
        </w:rPr>
        <w:t>hoy, </w:t>
      </w:r>
      <w:r>
        <w:rPr>
          <w:color w:val="231F20"/>
          <w:w w:val="110"/>
        </w:rPr>
        <w:t>y especialmente en el corto- mediano plazo, no obstante, Latinoamérica no queda exenta de los planes geoestratégicos estadunidenses, al contrario, juega un papel central pues la región cuenta con un importante botín de unos 118.2 mil</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barriles</w:t>
      </w:r>
      <w:r>
        <w:rPr>
          <w:color w:val="231F20"/>
          <w:spacing w:val="-5"/>
          <w:w w:val="110"/>
        </w:rPr>
        <w:t> </w:t>
      </w:r>
      <w:r>
        <w:rPr>
          <w:color w:val="231F20"/>
          <w:w w:val="110"/>
        </w:rPr>
        <w:t>de</w:t>
      </w:r>
      <w:r>
        <w:rPr>
          <w:color w:val="231F20"/>
          <w:spacing w:val="-5"/>
          <w:w w:val="110"/>
        </w:rPr>
        <w:t> </w:t>
      </w:r>
      <w:r>
        <w:rPr>
          <w:color w:val="231F20"/>
          <w:w w:val="110"/>
        </w:rPr>
        <w:t>reservas</w:t>
      </w:r>
      <w:r>
        <w:rPr>
          <w:color w:val="231F20"/>
          <w:spacing w:val="-5"/>
          <w:w w:val="110"/>
        </w:rPr>
        <w:t> </w:t>
      </w:r>
      <w:r>
        <w:rPr>
          <w:color w:val="231F20"/>
          <w:w w:val="110"/>
        </w:rPr>
        <w:t>según</w:t>
      </w:r>
      <w:r>
        <w:rPr>
          <w:color w:val="231F20"/>
          <w:spacing w:val="-5"/>
          <w:w w:val="110"/>
        </w:rPr>
        <w:t> </w:t>
      </w:r>
      <w:r>
        <w:rPr>
          <w:color w:val="231F20"/>
          <w:w w:val="110"/>
        </w:rPr>
        <w:t>estimaciones</w:t>
      </w:r>
      <w:r>
        <w:rPr>
          <w:color w:val="231F20"/>
          <w:spacing w:val="-5"/>
          <w:w w:val="110"/>
        </w:rPr>
        <w:t> </w:t>
      </w:r>
      <w:r>
        <w:rPr>
          <w:color w:val="231F20"/>
          <w:w w:val="110"/>
        </w:rPr>
        <w:t>de</w:t>
      </w:r>
      <w:r>
        <w:rPr>
          <w:color w:val="231F20"/>
          <w:spacing w:val="-5"/>
          <w:w w:val="110"/>
        </w:rPr>
        <w:t> </w:t>
      </w:r>
      <w:r>
        <w:rPr>
          <w:color w:val="231F20"/>
          <w:w w:val="110"/>
        </w:rPr>
        <w:t>2003</w:t>
      </w:r>
      <w:r>
        <w:rPr>
          <w:color w:val="231F20"/>
          <w:spacing w:val="-5"/>
          <w:w w:val="110"/>
        </w:rPr>
        <w:t> </w:t>
      </w:r>
      <w:r>
        <w:rPr>
          <w:color w:val="231F20"/>
          <w:w w:val="110"/>
        </w:rPr>
        <w:t>(bp, 2004).</w:t>
      </w:r>
      <w:r>
        <w:rPr>
          <w:color w:val="231F20"/>
          <w:spacing w:val="-15"/>
          <w:w w:val="110"/>
        </w:rPr>
        <w:t> </w:t>
      </w:r>
      <w:r>
        <w:rPr>
          <w:color w:val="231F20"/>
          <w:w w:val="110"/>
        </w:rPr>
        <w:t>A</w:t>
      </w:r>
      <w:r>
        <w:rPr>
          <w:color w:val="231F20"/>
          <w:spacing w:val="-15"/>
          <w:w w:val="110"/>
        </w:rPr>
        <w:t> </w:t>
      </w:r>
      <w:r>
        <w:rPr>
          <w:color w:val="231F20"/>
          <w:w w:val="110"/>
        </w:rPr>
        <w:t>éstas</w:t>
      </w:r>
      <w:r>
        <w:rPr>
          <w:color w:val="231F20"/>
          <w:spacing w:val="-15"/>
          <w:w w:val="110"/>
        </w:rPr>
        <w:t> </w:t>
      </w:r>
      <w:r>
        <w:rPr>
          <w:color w:val="231F20"/>
          <w:w w:val="110"/>
        </w:rPr>
        <w:t>se</w:t>
      </w:r>
      <w:r>
        <w:rPr>
          <w:color w:val="231F20"/>
          <w:spacing w:val="-15"/>
          <w:w w:val="110"/>
        </w:rPr>
        <w:t> </w:t>
      </w:r>
      <w:r>
        <w:rPr>
          <w:color w:val="231F20"/>
          <w:w w:val="110"/>
        </w:rPr>
        <w:t>suman</w:t>
      </w:r>
      <w:r>
        <w:rPr>
          <w:color w:val="231F20"/>
          <w:spacing w:val="-15"/>
          <w:w w:val="110"/>
        </w:rPr>
        <w:t> </w:t>
      </w:r>
      <w:r>
        <w:rPr>
          <w:color w:val="231F20"/>
          <w:w w:val="110"/>
        </w:rPr>
        <w:t>los</w:t>
      </w:r>
      <w:r>
        <w:rPr>
          <w:color w:val="231F20"/>
          <w:spacing w:val="-15"/>
          <w:w w:val="110"/>
        </w:rPr>
        <w:t> </w:t>
      </w:r>
      <w:r>
        <w:rPr>
          <w:color w:val="231F20"/>
          <w:w w:val="110"/>
        </w:rPr>
        <w:t>hallazgos</w:t>
      </w:r>
      <w:r>
        <w:rPr>
          <w:color w:val="231F20"/>
          <w:spacing w:val="-15"/>
          <w:w w:val="110"/>
        </w:rPr>
        <w:t> </w:t>
      </w:r>
      <w:r>
        <w:rPr>
          <w:color w:val="231F20"/>
          <w:w w:val="110"/>
        </w:rPr>
        <w:t>de</w:t>
      </w:r>
      <w:r>
        <w:rPr>
          <w:color w:val="231F20"/>
          <w:spacing w:val="-15"/>
          <w:w w:val="110"/>
        </w:rPr>
        <w:t> </w:t>
      </w:r>
      <w:r>
        <w:rPr>
          <w:color w:val="231F20"/>
          <w:w w:val="110"/>
        </w:rPr>
        <w:t>Brasil</w:t>
      </w:r>
      <w:r>
        <w:rPr>
          <w:color w:val="231F20"/>
          <w:spacing w:val="-15"/>
          <w:w w:val="110"/>
        </w:rPr>
        <w:t> </w:t>
      </w:r>
      <w:r>
        <w:rPr>
          <w:color w:val="231F20"/>
          <w:w w:val="110"/>
        </w:rPr>
        <w:t>en</w:t>
      </w:r>
      <w:r>
        <w:rPr>
          <w:color w:val="231F20"/>
          <w:spacing w:val="-15"/>
          <w:w w:val="110"/>
        </w:rPr>
        <w:t> </w:t>
      </w:r>
      <w:r>
        <w:rPr>
          <w:color w:val="231F20"/>
          <w:w w:val="110"/>
        </w:rPr>
        <w:t>2007-2008</w:t>
      </w:r>
      <w:r>
        <w:rPr>
          <w:color w:val="231F20"/>
          <w:spacing w:val="-15"/>
          <w:w w:val="110"/>
        </w:rPr>
        <w:t> </w:t>
      </w:r>
      <w:r>
        <w:rPr>
          <w:color w:val="231F20"/>
          <w:w w:val="110"/>
        </w:rPr>
        <w:t>y</w:t>
      </w:r>
      <w:r>
        <w:rPr>
          <w:color w:val="231F20"/>
          <w:spacing w:val="-15"/>
          <w:w w:val="110"/>
        </w:rPr>
        <w:t> </w:t>
      </w:r>
      <w:r>
        <w:rPr>
          <w:color w:val="231F20"/>
          <w:w w:val="110"/>
        </w:rPr>
        <w:t>los</w:t>
      </w:r>
      <w:r>
        <w:rPr>
          <w:color w:val="231F20"/>
          <w:spacing w:val="-15"/>
          <w:w w:val="110"/>
        </w:rPr>
        <w:t> </w:t>
      </w:r>
      <w:r>
        <w:rPr>
          <w:color w:val="231F20"/>
          <w:w w:val="110"/>
        </w:rPr>
        <w:t>de Estados Unidos en 2009 en aguas someras y</w:t>
      </w:r>
      <w:r>
        <w:rPr>
          <w:color w:val="231F20"/>
          <w:spacing w:val="-2"/>
          <w:w w:val="110"/>
        </w:rPr>
        <w:t> </w:t>
      </w:r>
      <w:r>
        <w:rPr>
          <w:color w:val="231F20"/>
          <w:w w:val="110"/>
        </w:rPr>
        <w:t>profundas.</w:t>
      </w:r>
    </w:p>
    <w:p>
      <w:pPr>
        <w:pStyle w:val="BodyText"/>
        <w:spacing w:line="261" w:lineRule="auto"/>
        <w:ind w:left="100" w:right="117" w:firstLine="240"/>
        <w:jc w:val="both"/>
      </w:pPr>
      <w:r>
        <w:rPr>
          <w:color w:val="231F20"/>
          <w:w w:val="110"/>
        </w:rPr>
        <w:t>La diferencia con Medio Oriente donde los intereses europeos, asiáticos,</w:t>
      </w:r>
      <w:r>
        <w:rPr>
          <w:color w:val="231F20"/>
          <w:spacing w:val="-13"/>
          <w:w w:val="110"/>
        </w:rPr>
        <w:t> </w:t>
      </w:r>
      <w:r>
        <w:rPr>
          <w:color w:val="231F20"/>
          <w:w w:val="110"/>
        </w:rPr>
        <w:t>rusos</w:t>
      </w:r>
      <w:r>
        <w:rPr>
          <w:color w:val="231F20"/>
          <w:spacing w:val="-13"/>
          <w:w w:val="110"/>
        </w:rPr>
        <w:t> </w:t>
      </w:r>
      <w:r>
        <w:rPr>
          <w:color w:val="231F20"/>
          <w:w w:val="110"/>
        </w:rPr>
        <w:t>y</w:t>
      </w:r>
      <w:r>
        <w:rPr>
          <w:color w:val="231F20"/>
          <w:spacing w:val="-13"/>
          <w:w w:val="110"/>
        </w:rPr>
        <w:t> </w:t>
      </w:r>
      <w:r>
        <w:rPr>
          <w:color w:val="231F20"/>
          <w:w w:val="110"/>
        </w:rPr>
        <w:t>estadunidenses</w:t>
      </w:r>
      <w:r>
        <w:rPr>
          <w:color w:val="231F20"/>
          <w:spacing w:val="-13"/>
          <w:w w:val="110"/>
        </w:rPr>
        <w:t> </w:t>
      </w:r>
      <w:r>
        <w:rPr>
          <w:color w:val="231F20"/>
          <w:w w:val="110"/>
        </w:rPr>
        <w:t>interactúan,</w:t>
      </w:r>
      <w:r>
        <w:rPr>
          <w:color w:val="231F20"/>
          <w:spacing w:val="-13"/>
          <w:w w:val="110"/>
        </w:rPr>
        <w:t> </w:t>
      </w:r>
      <w:r>
        <w:rPr>
          <w:color w:val="231F20"/>
          <w:w w:val="110"/>
        </w:rPr>
        <w:t>es</w:t>
      </w:r>
      <w:r>
        <w:rPr>
          <w:color w:val="231F20"/>
          <w:spacing w:val="-13"/>
          <w:w w:val="110"/>
        </w:rPr>
        <w:t> </w:t>
      </w:r>
      <w:r>
        <w:rPr>
          <w:color w:val="231F20"/>
          <w:w w:val="110"/>
        </w:rPr>
        <w:t>precisamente</w:t>
      </w:r>
      <w:r>
        <w:rPr>
          <w:color w:val="231F20"/>
          <w:spacing w:val="-13"/>
          <w:w w:val="110"/>
        </w:rPr>
        <w:t> </w:t>
      </w:r>
      <w:r>
        <w:rPr>
          <w:color w:val="231F20"/>
          <w:w w:val="110"/>
        </w:rPr>
        <w:t>la</w:t>
      </w:r>
      <w:r>
        <w:rPr>
          <w:color w:val="231F20"/>
          <w:spacing w:val="-13"/>
          <w:w w:val="110"/>
        </w:rPr>
        <w:t> </w:t>
      </w:r>
      <w:r>
        <w:rPr>
          <w:color w:val="231F20"/>
          <w:w w:val="110"/>
        </w:rPr>
        <w:t>dife- rencia del contexto operativo. En América Latina con todo el apoyo de los grupos de poder latinoamericanos, las empresas petroleras de la región han venido siendo privatizadas o abiertas a fuertes flujos de inversión extranjera directa, mucha de la cual es de Estados Uni- dos.</w:t>
      </w:r>
      <w:r>
        <w:rPr>
          <w:color w:val="231F20"/>
          <w:spacing w:val="-5"/>
          <w:w w:val="110"/>
        </w:rPr>
        <w:t> </w:t>
      </w:r>
      <w:r>
        <w:rPr>
          <w:color w:val="231F20"/>
          <w:spacing w:val="-6"/>
          <w:w w:val="110"/>
        </w:rPr>
        <w:t>Tal</w:t>
      </w:r>
      <w:r>
        <w:rPr>
          <w:color w:val="231F20"/>
          <w:spacing w:val="-5"/>
          <w:w w:val="110"/>
        </w:rPr>
        <w:t> </w:t>
      </w:r>
      <w:r>
        <w:rPr>
          <w:color w:val="231F20"/>
          <w:w w:val="110"/>
        </w:rPr>
        <w:t>vez</w:t>
      </w:r>
      <w:r>
        <w:rPr>
          <w:color w:val="231F20"/>
          <w:spacing w:val="-5"/>
          <w:w w:val="110"/>
        </w:rPr>
        <w:t> </w:t>
      </w:r>
      <w:r>
        <w:rPr>
          <w:color w:val="231F20"/>
          <w:w w:val="110"/>
        </w:rPr>
        <w:t>dos</w:t>
      </w:r>
      <w:r>
        <w:rPr>
          <w:color w:val="231F20"/>
          <w:spacing w:val="-5"/>
          <w:w w:val="110"/>
        </w:rPr>
        <w:t> </w:t>
      </w:r>
      <w:r>
        <w:rPr>
          <w:color w:val="231F20"/>
          <w:w w:val="110"/>
        </w:rPr>
        <w:t>casos</w:t>
      </w:r>
      <w:r>
        <w:rPr>
          <w:color w:val="231F20"/>
          <w:spacing w:val="-5"/>
          <w:w w:val="110"/>
        </w:rPr>
        <w:t> </w:t>
      </w:r>
      <w:r>
        <w:rPr>
          <w:color w:val="231F20"/>
          <w:w w:val="110"/>
        </w:rPr>
        <w:t>son</w:t>
      </w:r>
      <w:r>
        <w:rPr>
          <w:color w:val="231F20"/>
          <w:spacing w:val="-5"/>
          <w:w w:val="110"/>
        </w:rPr>
        <w:t> </w:t>
      </w:r>
      <w:r>
        <w:rPr>
          <w:color w:val="231F20"/>
          <w:w w:val="110"/>
        </w:rPr>
        <w:t>reveladores</w:t>
      </w:r>
      <w:r>
        <w:rPr>
          <w:color w:val="231F20"/>
          <w:spacing w:val="-5"/>
          <w:w w:val="110"/>
        </w:rPr>
        <w:t> </w:t>
      </w:r>
      <w:r>
        <w:rPr>
          <w:color w:val="231F20"/>
          <w:w w:val="110"/>
        </w:rPr>
        <w:t>por</w:t>
      </w:r>
      <w:r>
        <w:rPr>
          <w:color w:val="231F20"/>
          <w:spacing w:val="-5"/>
          <w:w w:val="110"/>
        </w:rPr>
        <w:t> </w:t>
      </w:r>
      <w:r>
        <w:rPr>
          <w:color w:val="231F20"/>
          <w:w w:val="110"/>
        </w:rPr>
        <w:t>sus</w:t>
      </w:r>
      <w:r>
        <w:rPr>
          <w:color w:val="231F20"/>
          <w:spacing w:val="-5"/>
          <w:w w:val="110"/>
        </w:rPr>
        <w:t> </w:t>
      </w:r>
      <w:r>
        <w:rPr>
          <w:color w:val="231F20"/>
          <w:w w:val="110"/>
        </w:rPr>
        <w:t>características.</w:t>
      </w:r>
      <w:r>
        <w:rPr>
          <w:color w:val="231F20"/>
          <w:spacing w:val="-5"/>
          <w:w w:val="110"/>
        </w:rPr>
        <w:t> </w:t>
      </w:r>
      <w:r>
        <w:rPr>
          <w:color w:val="231F20"/>
          <w:w w:val="110"/>
        </w:rPr>
        <w:t>Por</w:t>
      </w:r>
      <w:r>
        <w:rPr>
          <w:color w:val="231F20"/>
          <w:spacing w:val="-5"/>
          <w:w w:val="110"/>
        </w:rPr>
        <w:t> </w:t>
      </w:r>
      <w:r>
        <w:rPr>
          <w:color w:val="231F20"/>
          <w:w w:val="110"/>
        </w:rPr>
        <w:t>un lado está el colombiano en el que, desde el Plan Colombia, Estados Unidos consolidó su presencia para, entre otras cuestiones, “prote- ger” de la guerrilla los oleoductos de Occidental Petroleum</w:t>
      </w:r>
      <w:r>
        <w:rPr>
          <w:color w:val="231F20"/>
          <w:spacing w:val="-23"/>
          <w:w w:val="110"/>
        </w:rPr>
        <w:t> </w:t>
      </w:r>
      <w:r>
        <w:rPr>
          <w:color w:val="231F20"/>
          <w:w w:val="110"/>
        </w:rPr>
        <w:t>(Estados Unidos) y así garantizar el flujo de crudo para sí.</w:t>
      </w:r>
      <w:r>
        <w:rPr>
          <w:color w:val="231F20"/>
          <w:w w:val="110"/>
          <w:position w:val="6"/>
          <w:sz w:val="13"/>
        </w:rPr>
        <w:t>3 </w:t>
      </w:r>
      <w:r>
        <w:rPr>
          <w:color w:val="231F20"/>
          <w:w w:val="110"/>
        </w:rPr>
        <w:t>Por otro lado está el caso mexicano, cuya empresa paraestatal de petróleo, Petróleos Mexicanos, ha sido ordeñada fiscalmente y crecientemente abierta  a inversiones extranjeras mediante la fórmula de los denominados “contratos de servicios múltiples” que permiten la concesión de los “servicios”</w:t>
      </w:r>
      <w:r>
        <w:rPr>
          <w:color w:val="231F20"/>
          <w:spacing w:val="-15"/>
          <w:w w:val="110"/>
        </w:rPr>
        <w:t> </w:t>
      </w:r>
      <w:r>
        <w:rPr>
          <w:color w:val="231F20"/>
          <w:w w:val="110"/>
        </w:rPr>
        <w:t>más</w:t>
      </w:r>
      <w:r>
        <w:rPr>
          <w:color w:val="231F20"/>
          <w:spacing w:val="-15"/>
          <w:w w:val="110"/>
        </w:rPr>
        <w:t> </w:t>
      </w:r>
      <w:r>
        <w:rPr>
          <w:color w:val="231F20"/>
          <w:w w:val="110"/>
        </w:rPr>
        <w:t>rentables</w:t>
      </w:r>
      <w:r>
        <w:rPr>
          <w:color w:val="231F20"/>
          <w:spacing w:val="-15"/>
          <w:w w:val="110"/>
        </w:rPr>
        <w:t> </w:t>
      </w:r>
      <w:r>
        <w:rPr>
          <w:color w:val="231F20"/>
          <w:w w:val="110"/>
        </w:rPr>
        <w:t>del</w:t>
      </w:r>
      <w:r>
        <w:rPr>
          <w:color w:val="231F20"/>
          <w:spacing w:val="-15"/>
          <w:w w:val="110"/>
        </w:rPr>
        <w:t> </w:t>
      </w:r>
      <w:r>
        <w:rPr>
          <w:color w:val="231F20"/>
          <w:w w:val="110"/>
        </w:rPr>
        <w:t>negocio</w:t>
      </w:r>
      <w:r>
        <w:rPr>
          <w:color w:val="231F20"/>
          <w:spacing w:val="-15"/>
          <w:w w:val="110"/>
        </w:rPr>
        <w:t> </w:t>
      </w:r>
      <w:r>
        <w:rPr>
          <w:color w:val="231F20"/>
          <w:w w:val="110"/>
        </w:rPr>
        <w:t>petrolero,</w:t>
      </w:r>
      <w:r>
        <w:rPr>
          <w:color w:val="231F20"/>
          <w:spacing w:val="-15"/>
          <w:w w:val="110"/>
        </w:rPr>
        <w:t> </w:t>
      </w:r>
      <w:r>
        <w:rPr>
          <w:color w:val="231F20"/>
          <w:w w:val="110"/>
        </w:rPr>
        <w:t>más</w:t>
      </w:r>
      <w:r>
        <w:rPr>
          <w:color w:val="231F20"/>
          <w:spacing w:val="-15"/>
          <w:w w:val="110"/>
        </w:rPr>
        <w:t> </w:t>
      </w:r>
      <w:r>
        <w:rPr>
          <w:color w:val="231F20"/>
          <w:w w:val="110"/>
        </w:rPr>
        <w:t>no</w:t>
      </w:r>
      <w:r>
        <w:rPr>
          <w:color w:val="231F20"/>
          <w:spacing w:val="-15"/>
          <w:w w:val="110"/>
        </w:rPr>
        <w:t> </w:t>
      </w:r>
      <w:r>
        <w:rPr>
          <w:color w:val="231F20"/>
          <w:w w:val="110"/>
        </w:rPr>
        <w:t>así</w:t>
      </w:r>
      <w:r>
        <w:rPr>
          <w:color w:val="231F20"/>
          <w:spacing w:val="-15"/>
          <w:w w:val="110"/>
        </w:rPr>
        <w:t> </w:t>
      </w:r>
      <w:r>
        <w:rPr>
          <w:color w:val="231F20"/>
          <w:w w:val="110"/>
        </w:rPr>
        <w:t>—señalan los tecnócratas mexicanos— la privatización del crudo </w:t>
      </w:r>
      <w:r>
        <w:rPr>
          <w:i/>
          <w:color w:val="231F20"/>
          <w:w w:val="110"/>
        </w:rPr>
        <w:t>per </w:t>
      </w:r>
      <w:r>
        <w:rPr>
          <w:i/>
          <w:color w:val="231F20"/>
          <w:spacing w:val="2"/>
          <w:w w:val="110"/>
        </w:rPr>
        <w:t>se</w:t>
      </w:r>
      <w:r>
        <w:rPr>
          <w:color w:val="231F20"/>
          <w:spacing w:val="2"/>
          <w:w w:val="110"/>
        </w:rPr>
        <w:t>;</w:t>
      </w:r>
      <w:r>
        <w:rPr>
          <w:color w:val="231F20"/>
          <w:spacing w:val="-11"/>
          <w:w w:val="110"/>
        </w:rPr>
        <w:t> </w:t>
      </w:r>
      <w:r>
        <w:rPr>
          <w:color w:val="231F20"/>
          <w:w w:val="110"/>
        </w:rPr>
        <w:t>razón por la cual se indica que no se viola la Constitución mexicana y</w:t>
      </w:r>
      <w:r>
        <w:rPr>
          <w:color w:val="231F20"/>
          <w:spacing w:val="21"/>
          <w:w w:val="110"/>
        </w:rPr>
        <w:t> </w:t>
      </w:r>
      <w:r>
        <w:rPr>
          <w:color w:val="231F20"/>
          <w:w w:val="110"/>
        </w:rPr>
        <w:t>que</w:t>
      </w:r>
    </w:p>
    <w:p>
      <w:pPr>
        <w:pStyle w:val="BodyText"/>
      </w:pPr>
    </w:p>
    <w:p>
      <w:pPr>
        <w:pStyle w:val="BodyText"/>
      </w:pPr>
    </w:p>
    <w:p>
      <w:pPr>
        <w:spacing w:line="261" w:lineRule="auto" w:before="122"/>
        <w:ind w:left="100" w:right="117" w:firstLine="240"/>
        <w:jc w:val="both"/>
        <w:rPr>
          <w:sz w:val="16"/>
        </w:rPr>
      </w:pPr>
      <w:r>
        <w:rPr>
          <w:color w:val="231F20"/>
          <w:w w:val="105"/>
          <w:position w:val="5"/>
          <w:sz w:val="10"/>
        </w:rPr>
        <w:t>3    </w:t>
      </w:r>
      <w:r>
        <w:rPr>
          <w:color w:val="231F20"/>
          <w:w w:val="105"/>
          <w:sz w:val="16"/>
        </w:rPr>
        <w:t>Es importante señalar que las funciones del Plan Colombia no se limitan esto.      El golpe a la guerrilla colombiana es fundamental como parte de los operativos poli- cíaco-militares de Estados Unidos en la zona, además de que sirve como justificación para instalar una plataforma militar por excelencia desde la cual pueda proyectar sus operaciones al resto del Cono </w:t>
      </w:r>
      <w:r>
        <w:rPr>
          <w:color w:val="231F20"/>
          <w:spacing w:val="-4"/>
          <w:w w:val="105"/>
          <w:sz w:val="16"/>
        </w:rPr>
        <w:t>Sur, </w:t>
      </w:r>
      <w:r>
        <w:rPr>
          <w:color w:val="231F20"/>
          <w:w w:val="105"/>
          <w:sz w:val="16"/>
        </w:rPr>
        <w:t>especialmente hacia Venezuela, primera reserva de petróleo del hemisferio y al mismo tiempo impulsora de esquemas como la Alianza Bolivariana</w:t>
      </w:r>
      <w:r>
        <w:rPr>
          <w:color w:val="231F20"/>
          <w:spacing w:val="33"/>
          <w:w w:val="105"/>
          <w:sz w:val="16"/>
        </w:rPr>
        <w:t> </w:t>
      </w:r>
      <w:r>
        <w:rPr>
          <w:color w:val="231F20"/>
          <w:w w:val="105"/>
          <w:sz w:val="16"/>
        </w:rPr>
        <w:t>para</w:t>
      </w:r>
      <w:r>
        <w:rPr>
          <w:color w:val="231F20"/>
          <w:spacing w:val="33"/>
          <w:w w:val="105"/>
          <w:sz w:val="16"/>
        </w:rPr>
        <w:t> </w:t>
      </w:r>
      <w:r>
        <w:rPr>
          <w:color w:val="231F20"/>
          <w:w w:val="105"/>
          <w:sz w:val="16"/>
        </w:rPr>
        <w:t>los</w:t>
      </w:r>
      <w:r>
        <w:rPr>
          <w:color w:val="231F20"/>
          <w:spacing w:val="33"/>
          <w:w w:val="105"/>
          <w:sz w:val="16"/>
        </w:rPr>
        <w:t> </w:t>
      </w:r>
      <w:r>
        <w:rPr>
          <w:color w:val="231F20"/>
          <w:w w:val="105"/>
          <w:sz w:val="16"/>
        </w:rPr>
        <w:t>Pueblos</w:t>
      </w:r>
      <w:r>
        <w:rPr>
          <w:color w:val="231F20"/>
          <w:spacing w:val="33"/>
          <w:w w:val="105"/>
          <w:sz w:val="16"/>
        </w:rPr>
        <w:t> </w:t>
      </w:r>
      <w:r>
        <w:rPr>
          <w:color w:val="231F20"/>
          <w:w w:val="105"/>
          <w:sz w:val="16"/>
        </w:rPr>
        <w:t>de</w:t>
      </w:r>
      <w:r>
        <w:rPr>
          <w:color w:val="231F20"/>
          <w:spacing w:val="33"/>
          <w:w w:val="105"/>
          <w:sz w:val="16"/>
        </w:rPr>
        <w:t> </w:t>
      </w:r>
      <w:r>
        <w:rPr>
          <w:color w:val="231F20"/>
          <w:w w:val="105"/>
          <w:sz w:val="16"/>
        </w:rPr>
        <w:t>Nuestra</w:t>
      </w:r>
      <w:r>
        <w:rPr>
          <w:color w:val="231F20"/>
          <w:spacing w:val="33"/>
          <w:w w:val="105"/>
          <w:sz w:val="16"/>
        </w:rPr>
        <w:t> </w:t>
      </w:r>
      <w:r>
        <w:rPr>
          <w:color w:val="231F20"/>
          <w:w w:val="105"/>
          <w:sz w:val="16"/>
        </w:rPr>
        <w:t>América</w:t>
      </w:r>
      <w:r>
        <w:rPr>
          <w:color w:val="231F20"/>
          <w:spacing w:val="33"/>
          <w:w w:val="105"/>
          <w:sz w:val="16"/>
        </w:rPr>
        <w:t> </w:t>
      </w:r>
      <w:r>
        <w:rPr>
          <w:color w:val="231F20"/>
          <w:w w:val="105"/>
          <w:sz w:val="16"/>
        </w:rPr>
        <w:t>(alba).</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6"/>
        <w:jc w:val="both"/>
      </w:pPr>
      <w:r>
        <w:rPr>
          <w:color w:val="231F20"/>
          <w:w w:val="110"/>
        </w:rPr>
        <w:t>limita al Estado nacional el acceso, gestión </w:t>
      </w:r>
      <w:r>
        <w:rPr>
          <w:color w:val="231F20"/>
        </w:rPr>
        <w:t>y </w:t>
      </w:r>
      <w:r>
        <w:rPr>
          <w:color w:val="231F20"/>
          <w:w w:val="110"/>
        </w:rPr>
        <w:t>usufructo de los hidro- carburos de la nación (ello incluye, en principio, su transformación básica). Además, la paraestatal ha sido preparada, sobre todo desde la entrada del </w:t>
      </w:r>
      <w:r>
        <w:rPr>
          <w:color w:val="231F20"/>
          <w:w w:val="120"/>
        </w:rPr>
        <w:t>tlcan, </w:t>
      </w:r>
      <w:r>
        <w:rPr>
          <w:color w:val="231F20"/>
          <w:w w:val="110"/>
        </w:rPr>
        <w:t>para su privatización de facto (véase: Saxe- Fernández,</w:t>
      </w:r>
      <w:r>
        <w:rPr>
          <w:color w:val="231F20"/>
          <w:spacing w:val="-10"/>
          <w:w w:val="110"/>
        </w:rPr>
        <w:t> </w:t>
      </w:r>
      <w:r>
        <w:rPr>
          <w:color w:val="231F20"/>
          <w:w w:val="110"/>
        </w:rPr>
        <w:t>2002).</w:t>
      </w:r>
      <w:r>
        <w:rPr>
          <w:color w:val="231F20"/>
          <w:spacing w:val="-10"/>
          <w:w w:val="110"/>
        </w:rPr>
        <w:t> </w:t>
      </w:r>
      <w:r>
        <w:rPr>
          <w:color w:val="231F20"/>
          <w:w w:val="110"/>
        </w:rPr>
        <w:t>El</w:t>
      </w:r>
      <w:r>
        <w:rPr>
          <w:color w:val="231F20"/>
          <w:spacing w:val="-10"/>
          <w:w w:val="110"/>
        </w:rPr>
        <w:t> </w:t>
      </w:r>
      <w:r>
        <w:rPr>
          <w:color w:val="231F20"/>
          <w:w w:val="110"/>
        </w:rPr>
        <w:t>abandono</w:t>
      </w:r>
      <w:r>
        <w:rPr>
          <w:color w:val="231F20"/>
          <w:spacing w:val="-10"/>
          <w:w w:val="110"/>
        </w:rPr>
        <w:t> </w:t>
      </w:r>
      <w:r>
        <w:rPr>
          <w:color w:val="231F20"/>
          <w:w w:val="110"/>
        </w:rPr>
        <w:t>de</w:t>
      </w:r>
      <w:r>
        <w:rPr>
          <w:color w:val="231F20"/>
          <w:spacing w:val="-10"/>
          <w:w w:val="110"/>
        </w:rPr>
        <w:t> </w:t>
      </w:r>
      <w:r>
        <w:rPr>
          <w:color w:val="231F20"/>
          <w:w w:val="110"/>
        </w:rPr>
        <w:t>nuevas</w:t>
      </w:r>
      <w:r>
        <w:rPr>
          <w:color w:val="231F20"/>
          <w:spacing w:val="-10"/>
          <w:w w:val="110"/>
        </w:rPr>
        <w:t> </w:t>
      </w:r>
      <w:r>
        <w:rPr>
          <w:color w:val="231F20"/>
          <w:w w:val="110"/>
        </w:rPr>
        <w:t>inversiones</w:t>
      </w:r>
      <w:r>
        <w:rPr>
          <w:color w:val="231F20"/>
          <w:spacing w:val="-10"/>
          <w:w w:val="110"/>
        </w:rPr>
        <w:t> </w:t>
      </w:r>
      <w:r>
        <w:rPr>
          <w:color w:val="231F20"/>
          <w:w w:val="110"/>
        </w:rPr>
        <w:t>en</w:t>
      </w:r>
      <w:r>
        <w:rPr>
          <w:color w:val="231F20"/>
          <w:spacing w:val="-10"/>
          <w:w w:val="110"/>
        </w:rPr>
        <w:t> </w:t>
      </w:r>
      <w:r>
        <w:rPr>
          <w:color w:val="231F20"/>
          <w:w w:val="110"/>
        </w:rPr>
        <w:t>infraestruc- tura </w:t>
      </w:r>
      <w:r>
        <w:rPr>
          <w:color w:val="231F20"/>
        </w:rPr>
        <w:t>y </w:t>
      </w:r>
      <w:r>
        <w:rPr>
          <w:color w:val="231F20"/>
          <w:w w:val="110"/>
        </w:rPr>
        <w:t>exploraciones ha generado que las reservas probadas de</w:t>
      </w:r>
      <w:r>
        <w:rPr>
          <w:color w:val="231F20"/>
          <w:spacing w:val="-17"/>
          <w:w w:val="110"/>
        </w:rPr>
        <w:t> </w:t>
      </w:r>
      <w:r>
        <w:rPr>
          <w:color w:val="231F20"/>
          <w:w w:val="110"/>
        </w:rPr>
        <w:t>crudo del país se reduzcan drásticamente de 57 mil millones de barriles en 1981, pasando a 51.3 mil millones en 1991 </w:t>
      </w:r>
      <w:r>
        <w:rPr>
          <w:color w:val="231F20"/>
        </w:rPr>
        <w:t>y </w:t>
      </w:r>
      <w:r>
        <w:rPr>
          <w:color w:val="231F20"/>
          <w:w w:val="110"/>
        </w:rPr>
        <w:t>decreciendo drástica- mente</w:t>
      </w:r>
      <w:r>
        <w:rPr>
          <w:color w:val="231F20"/>
          <w:spacing w:val="-18"/>
          <w:w w:val="110"/>
        </w:rPr>
        <w:t> </w:t>
      </w:r>
      <w:r>
        <w:rPr>
          <w:color w:val="231F20"/>
          <w:w w:val="110"/>
        </w:rPr>
        <w:t>a</w:t>
      </w:r>
      <w:r>
        <w:rPr>
          <w:color w:val="231F20"/>
          <w:spacing w:val="-18"/>
          <w:w w:val="110"/>
        </w:rPr>
        <w:t> </w:t>
      </w:r>
      <w:r>
        <w:rPr>
          <w:color w:val="231F20"/>
          <w:w w:val="110"/>
        </w:rPr>
        <w:t>26.9</w:t>
      </w:r>
      <w:r>
        <w:rPr>
          <w:color w:val="231F20"/>
          <w:spacing w:val="-18"/>
          <w:w w:val="110"/>
        </w:rPr>
        <w:t> </w:t>
      </w:r>
      <w:r>
        <w:rPr>
          <w:color w:val="231F20"/>
          <w:w w:val="110"/>
        </w:rPr>
        <w:t>mil</w:t>
      </w:r>
      <w:r>
        <w:rPr>
          <w:color w:val="231F20"/>
          <w:spacing w:val="-18"/>
          <w:w w:val="110"/>
        </w:rPr>
        <w:t> </w:t>
      </w:r>
      <w:r>
        <w:rPr>
          <w:color w:val="231F20"/>
          <w:w w:val="110"/>
        </w:rPr>
        <w:t>millones</w:t>
      </w:r>
      <w:r>
        <w:rPr>
          <w:color w:val="231F20"/>
          <w:spacing w:val="-18"/>
          <w:w w:val="110"/>
        </w:rPr>
        <w:t> </w:t>
      </w:r>
      <w:r>
        <w:rPr>
          <w:color w:val="231F20"/>
          <w:w w:val="110"/>
        </w:rPr>
        <w:t>en</w:t>
      </w:r>
      <w:r>
        <w:rPr>
          <w:color w:val="231F20"/>
          <w:spacing w:val="-18"/>
          <w:w w:val="110"/>
        </w:rPr>
        <w:t> </w:t>
      </w:r>
      <w:r>
        <w:rPr>
          <w:color w:val="231F20"/>
          <w:w w:val="110"/>
        </w:rPr>
        <w:t>2001</w:t>
      </w:r>
      <w:r>
        <w:rPr>
          <w:color w:val="231F20"/>
          <w:spacing w:val="-18"/>
          <w:w w:val="110"/>
        </w:rPr>
        <w:t> </w:t>
      </w:r>
      <w:r>
        <w:rPr>
          <w:color w:val="231F20"/>
        </w:rPr>
        <w:t>y</w:t>
      </w:r>
      <w:r>
        <w:rPr>
          <w:color w:val="231F20"/>
          <w:spacing w:val="-13"/>
        </w:rPr>
        <w:t> </w:t>
      </w:r>
      <w:r>
        <w:rPr>
          <w:color w:val="231F20"/>
          <w:w w:val="110"/>
        </w:rPr>
        <w:t>finalmente</w:t>
      </w:r>
      <w:r>
        <w:rPr>
          <w:color w:val="231F20"/>
          <w:spacing w:val="-18"/>
          <w:w w:val="110"/>
        </w:rPr>
        <w:t> </w:t>
      </w:r>
      <w:r>
        <w:rPr>
          <w:color w:val="231F20"/>
          <w:w w:val="110"/>
        </w:rPr>
        <w:t>a</w:t>
      </w:r>
      <w:r>
        <w:rPr>
          <w:color w:val="231F20"/>
          <w:spacing w:val="-18"/>
          <w:w w:val="110"/>
        </w:rPr>
        <w:t> </w:t>
      </w:r>
      <w:r>
        <w:rPr>
          <w:color w:val="231F20"/>
          <w:w w:val="110"/>
        </w:rPr>
        <w:t>16</w:t>
      </w:r>
      <w:r>
        <w:rPr>
          <w:color w:val="231F20"/>
          <w:spacing w:val="-18"/>
          <w:w w:val="110"/>
        </w:rPr>
        <w:t> </w:t>
      </w:r>
      <w:r>
        <w:rPr>
          <w:color w:val="231F20"/>
          <w:w w:val="110"/>
        </w:rPr>
        <w:t>mil</w:t>
      </w:r>
      <w:r>
        <w:rPr>
          <w:color w:val="231F20"/>
          <w:spacing w:val="-18"/>
          <w:w w:val="110"/>
        </w:rPr>
        <w:t> </w:t>
      </w:r>
      <w:r>
        <w:rPr>
          <w:color w:val="231F20"/>
          <w:w w:val="110"/>
        </w:rPr>
        <w:t>millones</w:t>
      </w:r>
      <w:r>
        <w:rPr>
          <w:color w:val="231F20"/>
          <w:spacing w:val="-18"/>
          <w:w w:val="110"/>
        </w:rPr>
        <w:t> </w:t>
      </w:r>
      <w:r>
        <w:rPr>
          <w:color w:val="231F20"/>
          <w:w w:val="110"/>
        </w:rPr>
        <w:t>para el 2003 (bp, 2004). Lo anterior no solo significa que México tiene,</w:t>
      </w:r>
      <w:r>
        <w:rPr>
          <w:color w:val="231F20"/>
          <w:spacing w:val="-19"/>
          <w:w w:val="110"/>
        </w:rPr>
        <w:t> </w:t>
      </w:r>
      <w:r>
        <w:rPr>
          <w:color w:val="231F20"/>
          <w:w w:val="110"/>
        </w:rPr>
        <w:t>a principios del siglo xxi, reservas probadas para un plazo máximo de 10 años a consumos conservadores, sino también que desde 1991,</w:t>
      </w:r>
      <w:r>
        <w:rPr>
          <w:color w:val="231F20"/>
          <w:spacing w:val="-19"/>
          <w:w w:val="110"/>
        </w:rPr>
        <w:t> </w:t>
      </w:r>
      <w:r>
        <w:rPr>
          <w:color w:val="231F20"/>
          <w:w w:val="110"/>
        </w:rPr>
        <w:t>el país transfirió a Estados Unidos grandes cantidades de crudo a rit- mos de entre 70% </w:t>
      </w:r>
      <w:r>
        <w:rPr>
          <w:color w:val="231F20"/>
        </w:rPr>
        <w:t>- </w:t>
      </w:r>
      <w:r>
        <w:rPr>
          <w:color w:val="231F20"/>
          <w:w w:val="110"/>
        </w:rPr>
        <w:t>75% de sus exportaciones </w:t>
      </w:r>
      <w:r>
        <w:rPr>
          <w:color w:val="231F20"/>
        </w:rPr>
        <w:t>y </w:t>
      </w:r>
      <w:r>
        <w:rPr>
          <w:color w:val="231F20"/>
          <w:w w:val="110"/>
        </w:rPr>
        <w:t>que acumula desde entonces</w:t>
      </w:r>
      <w:r>
        <w:rPr>
          <w:color w:val="231F20"/>
          <w:spacing w:val="-6"/>
          <w:w w:val="110"/>
        </w:rPr>
        <w:t> </w:t>
      </w:r>
      <w:r>
        <w:rPr>
          <w:color w:val="231F20"/>
          <w:w w:val="110"/>
        </w:rPr>
        <w:t>unos</w:t>
      </w:r>
      <w:r>
        <w:rPr>
          <w:color w:val="231F20"/>
          <w:spacing w:val="-6"/>
          <w:w w:val="110"/>
        </w:rPr>
        <w:t> </w:t>
      </w:r>
      <w:r>
        <w:rPr>
          <w:color w:val="231F20"/>
          <w:w w:val="110"/>
        </w:rPr>
        <w:t>20</w:t>
      </w:r>
      <w:r>
        <w:rPr>
          <w:color w:val="231F20"/>
          <w:spacing w:val="-6"/>
          <w:w w:val="110"/>
        </w:rPr>
        <w:t> </w:t>
      </w:r>
      <w:r>
        <w:rPr>
          <w:color w:val="231F20"/>
          <w:w w:val="110"/>
        </w:rPr>
        <w:t>a</w:t>
      </w:r>
      <w:r>
        <w:rPr>
          <w:color w:val="231F20"/>
          <w:spacing w:val="-6"/>
          <w:w w:val="110"/>
        </w:rPr>
        <w:t> </w:t>
      </w:r>
      <w:r>
        <w:rPr>
          <w:color w:val="231F20"/>
          <w:w w:val="110"/>
        </w:rPr>
        <w:t>25</w:t>
      </w:r>
      <w:r>
        <w:rPr>
          <w:color w:val="231F20"/>
          <w:spacing w:val="-6"/>
          <w:w w:val="110"/>
        </w:rPr>
        <w:t> </w:t>
      </w:r>
      <w:r>
        <w:rPr>
          <w:color w:val="231F20"/>
          <w:w w:val="110"/>
        </w:rPr>
        <w:t>mil</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barriles.</w:t>
      </w:r>
      <w:r>
        <w:rPr>
          <w:color w:val="231F20"/>
          <w:spacing w:val="-6"/>
          <w:w w:val="110"/>
        </w:rPr>
        <w:t> </w:t>
      </w:r>
      <w:r>
        <w:rPr>
          <w:color w:val="231F20"/>
          <w:w w:val="110"/>
        </w:rPr>
        <w:t>Este</w:t>
      </w:r>
      <w:r>
        <w:rPr>
          <w:color w:val="231F20"/>
          <w:spacing w:val="-6"/>
          <w:w w:val="110"/>
        </w:rPr>
        <w:t> </w:t>
      </w:r>
      <w:r>
        <w:rPr>
          <w:color w:val="231F20"/>
          <w:w w:val="110"/>
        </w:rPr>
        <w:t>es</w:t>
      </w:r>
      <w:r>
        <w:rPr>
          <w:color w:val="231F20"/>
          <w:spacing w:val="-6"/>
          <w:w w:val="110"/>
        </w:rPr>
        <w:t> </w:t>
      </w:r>
      <w:r>
        <w:rPr>
          <w:color w:val="231F20"/>
          <w:w w:val="110"/>
        </w:rPr>
        <w:t>un</w:t>
      </w:r>
      <w:r>
        <w:rPr>
          <w:color w:val="231F20"/>
          <w:spacing w:val="-6"/>
          <w:w w:val="110"/>
        </w:rPr>
        <w:t> </w:t>
      </w:r>
      <w:r>
        <w:rPr>
          <w:color w:val="231F20"/>
          <w:w w:val="110"/>
        </w:rPr>
        <w:t>caso</w:t>
      </w:r>
      <w:r>
        <w:rPr>
          <w:color w:val="231F20"/>
          <w:spacing w:val="-6"/>
          <w:w w:val="110"/>
        </w:rPr>
        <w:t> </w:t>
      </w:r>
      <w:r>
        <w:rPr>
          <w:color w:val="231F20"/>
          <w:w w:val="110"/>
        </w:rPr>
        <w:t>único en toda América Latina (cálculos con base en datos de bp, </w:t>
      </w:r>
      <w:r>
        <w:rPr>
          <w:color w:val="231F20"/>
          <w:spacing w:val="13"/>
          <w:w w:val="110"/>
        </w:rPr>
        <w:t> </w:t>
      </w:r>
      <w:r>
        <w:rPr>
          <w:color w:val="231F20"/>
          <w:w w:val="110"/>
        </w:rPr>
        <w:t>2004).</w:t>
      </w:r>
    </w:p>
    <w:p>
      <w:pPr>
        <w:pStyle w:val="BodyText"/>
        <w:spacing w:line="261" w:lineRule="auto"/>
        <w:ind w:left="100" w:right="114" w:firstLine="240"/>
        <w:jc w:val="both"/>
      </w:pPr>
      <w:r>
        <w:rPr>
          <w:color w:val="231F20"/>
          <w:spacing w:val="2"/>
          <w:w w:val="110"/>
        </w:rPr>
        <w:t>Ahora bien, </w:t>
      </w:r>
      <w:r>
        <w:rPr>
          <w:color w:val="231F20"/>
          <w:w w:val="110"/>
        </w:rPr>
        <w:t>en el </w:t>
      </w:r>
      <w:r>
        <w:rPr>
          <w:color w:val="231F20"/>
          <w:spacing w:val="2"/>
          <w:w w:val="110"/>
        </w:rPr>
        <w:t>contexto latinoamericano, resulta</w:t>
      </w:r>
      <w:r>
        <w:rPr>
          <w:color w:val="231F20"/>
          <w:spacing w:val="-3"/>
          <w:w w:val="110"/>
        </w:rPr>
        <w:t> </w:t>
      </w:r>
      <w:r>
        <w:rPr>
          <w:color w:val="231F20"/>
          <w:w w:val="110"/>
        </w:rPr>
        <w:t>de</w:t>
      </w:r>
      <w:r>
        <w:rPr>
          <w:color w:val="231F20"/>
          <w:spacing w:val="49"/>
          <w:w w:val="110"/>
        </w:rPr>
        <w:t> </w:t>
      </w:r>
      <w:r>
        <w:rPr>
          <w:color w:val="231F20"/>
          <w:spacing w:val="3"/>
          <w:w w:val="110"/>
        </w:rPr>
        <w:t>suma</w:t>
      </w:r>
      <w:r>
        <w:rPr>
          <w:color w:val="231F20"/>
          <w:spacing w:val="3"/>
          <w:w w:val="108"/>
        </w:rPr>
        <w:t> </w:t>
      </w:r>
      <w:r>
        <w:rPr>
          <w:color w:val="231F20"/>
          <w:w w:val="110"/>
        </w:rPr>
        <w:t>importancia, por sus características, dimensiones e implicaciones a la soberanía, pero también a la seguridad nacional e internacional,  el conflicto generado a raíz de la avanzada gubernamental peruana para abrir el 72% del Amazonas de ese país a procesos de</w:t>
      </w:r>
      <w:r>
        <w:rPr>
          <w:color w:val="231F20"/>
          <w:spacing w:val="-15"/>
          <w:w w:val="110"/>
        </w:rPr>
        <w:t> </w:t>
      </w:r>
      <w:r>
        <w:rPr>
          <w:color w:val="231F20"/>
          <w:w w:val="110"/>
        </w:rPr>
        <w:t>concesión a empresas (sobre todo extranjeras) interesadas en la prospección y extracción de hidrocarburos, pero también eventualmente de otros minerales no energéticos entre otros recursos como la</w:t>
      </w:r>
      <w:r>
        <w:rPr>
          <w:color w:val="231F20"/>
          <w:spacing w:val="-36"/>
          <w:w w:val="110"/>
        </w:rPr>
        <w:t> </w:t>
      </w:r>
      <w:r>
        <w:rPr>
          <w:color w:val="231F20"/>
          <w:w w:val="110"/>
        </w:rPr>
        <w:t>biodiversidad; ello</w:t>
      </w:r>
      <w:r>
        <w:rPr>
          <w:color w:val="231F20"/>
          <w:spacing w:val="-7"/>
          <w:w w:val="110"/>
        </w:rPr>
        <w:t> </w:t>
      </w:r>
      <w:r>
        <w:rPr>
          <w:color w:val="231F20"/>
          <w:w w:val="110"/>
        </w:rPr>
        <w:t>a</w:t>
      </w:r>
      <w:r>
        <w:rPr>
          <w:color w:val="231F20"/>
          <w:spacing w:val="-7"/>
          <w:w w:val="110"/>
        </w:rPr>
        <w:t> </w:t>
      </w:r>
      <w:r>
        <w:rPr>
          <w:color w:val="231F20"/>
          <w:w w:val="110"/>
        </w:rPr>
        <w:t>pesar</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costos</w:t>
      </w:r>
      <w:r>
        <w:rPr>
          <w:color w:val="231F20"/>
          <w:spacing w:val="-7"/>
          <w:w w:val="110"/>
        </w:rPr>
        <w:t> </w:t>
      </w:r>
      <w:r>
        <w:rPr>
          <w:color w:val="231F20"/>
          <w:w w:val="110"/>
        </w:rPr>
        <w:t>ambientales</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intensa</w:t>
      </w:r>
      <w:r>
        <w:rPr>
          <w:color w:val="231F20"/>
          <w:spacing w:val="-7"/>
          <w:w w:val="110"/>
        </w:rPr>
        <w:t> </w:t>
      </w:r>
      <w:r>
        <w:rPr>
          <w:color w:val="231F20"/>
          <w:w w:val="110"/>
        </w:rPr>
        <w:t>resistencia</w:t>
      </w:r>
      <w:r>
        <w:rPr>
          <w:color w:val="231F20"/>
          <w:spacing w:val="-7"/>
          <w:w w:val="110"/>
        </w:rPr>
        <w:t> </w:t>
      </w:r>
      <w:r>
        <w:rPr>
          <w:color w:val="231F20"/>
          <w:w w:val="110"/>
        </w:rPr>
        <w:t>de</w:t>
      </w:r>
      <w:r>
        <w:rPr>
          <w:color w:val="231F20"/>
          <w:spacing w:val="-7"/>
          <w:w w:val="110"/>
        </w:rPr>
        <w:t> </w:t>
      </w:r>
      <w:r>
        <w:rPr>
          <w:color w:val="231F20"/>
          <w:w w:val="110"/>
        </w:rPr>
        <w:t>parte de los dueños originarios de esas</w:t>
      </w:r>
      <w:r>
        <w:rPr>
          <w:color w:val="231F20"/>
          <w:spacing w:val="32"/>
          <w:w w:val="110"/>
        </w:rPr>
        <w:t> </w:t>
      </w:r>
      <w:r>
        <w:rPr>
          <w:color w:val="231F20"/>
          <w:w w:val="110"/>
        </w:rPr>
        <w:t>tierras.</w:t>
      </w:r>
    </w:p>
    <w:p>
      <w:pPr>
        <w:pStyle w:val="BodyText"/>
        <w:spacing w:line="261" w:lineRule="auto"/>
        <w:ind w:left="100" w:right="117" w:firstLine="240"/>
        <w:jc w:val="both"/>
      </w:pPr>
      <w:r>
        <w:rPr>
          <w:color w:val="231F20"/>
          <w:w w:val="110"/>
        </w:rPr>
        <w:t>Se trata de un esquema que, sobre la base de un violento proceso de despojo o desalojo, pero también de destrucción de un hábitat único,</w:t>
      </w:r>
      <w:r>
        <w:rPr>
          <w:color w:val="231F20"/>
          <w:spacing w:val="-9"/>
          <w:w w:val="110"/>
        </w:rPr>
        <w:t> </w:t>
      </w:r>
      <w:r>
        <w:rPr>
          <w:color w:val="231F20"/>
          <w:w w:val="110"/>
        </w:rPr>
        <w:t>se</w:t>
      </w:r>
      <w:r>
        <w:rPr>
          <w:color w:val="231F20"/>
          <w:spacing w:val="-9"/>
          <w:w w:val="110"/>
        </w:rPr>
        <w:t> </w:t>
      </w:r>
      <w:r>
        <w:rPr>
          <w:color w:val="231F20"/>
          <w:w w:val="110"/>
        </w:rPr>
        <w:t>proponía</w:t>
      </w:r>
      <w:r>
        <w:rPr>
          <w:color w:val="231F20"/>
          <w:spacing w:val="-9"/>
          <w:w w:val="110"/>
        </w:rPr>
        <w:t> </w:t>
      </w:r>
      <w:r>
        <w:rPr>
          <w:color w:val="231F20"/>
          <w:w w:val="110"/>
        </w:rPr>
        <w:t>transferir</w:t>
      </w:r>
      <w:r>
        <w:rPr>
          <w:color w:val="231F20"/>
          <w:spacing w:val="-9"/>
          <w:w w:val="110"/>
        </w:rPr>
        <w:t> </w:t>
      </w:r>
      <w:r>
        <w:rPr>
          <w:color w:val="231F20"/>
          <w:w w:val="110"/>
        </w:rPr>
        <w:t>cantidades</w:t>
      </w:r>
      <w:r>
        <w:rPr>
          <w:color w:val="231F20"/>
          <w:spacing w:val="-9"/>
          <w:w w:val="110"/>
        </w:rPr>
        <w:t> </w:t>
      </w:r>
      <w:r>
        <w:rPr>
          <w:color w:val="231F20"/>
          <w:w w:val="110"/>
        </w:rPr>
        <w:t>de</w:t>
      </w:r>
      <w:r>
        <w:rPr>
          <w:color w:val="231F20"/>
          <w:spacing w:val="-9"/>
          <w:w w:val="110"/>
        </w:rPr>
        <w:t> </w:t>
      </w:r>
      <w:r>
        <w:rPr>
          <w:color w:val="231F20"/>
          <w:w w:val="110"/>
        </w:rPr>
        <w:t>recursos</w:t>
      </w:r>
      <w:r>
        <w:rPr>
          <w:color w:val="231F20"/>
          <w:spacing w:val="-9"/>
          <w:w w:val="110"/>
        </w:rPr>
        <w:t> </w:t>
      </w:r>
      <w:r>
        <w:rPr>
          <w:color w:val="231F20"/>
          <w:w w:val="110"/>
        </w:rPr>
        <w:t>naturales</w:t>
      </w:r>
      <w:r>
        <w:rPr>
          <w:color w:val="231F20"/>
          <w:spacing w:val="-9"/>
          <w:w w:val="110"/>
        </w:rPr>
        <w:t> </w:t>
      </w:r>
      <w:r>
        <w:rPr>
          <w:color w:val="231F20"/>
          <w:w w:val="110"/>
        </w:rPr>
        <w:t>estraté- gicos en un orden de magnitud inusitado. Los actores de resistencia a tal iniciativa han sido calificados por el presidente peruano, Alan García, como “perros del hortelano, que no comen ni dejan comer   a su amo”; ello en el sentido de que no obtienen ni dejan a otros sacar el mayor provecho de sus tierras y los recursos ahí contenidos desde el punto de vista de la ganancia y la acumulación de capital. La</w:t>
      </w:r>
      <w:r>
        <w:rPr>
          <w:color w:val="231F20"/>
          <w:spacing w:val="-8"/>
          <w:w w:val="110"/>
        </w:rPr>
        <w:t> </w:t>
      </w:r>
      <w:r>
        <w:rPr>
          <w:color w:val="231F20"/>
          <w:w w:val="110"/>
        </w:rPr>
        <w:t>idea</w:t>
      </w:r>
      <w:r>
        <w:rPr>
          <w:color w:val="231F20"/>
          <w:spacing w:val="-8"/>
          <w:w w:val="110"/>
        </w:rPr>
        <w:t> </w:t>
      </w:r>
      <w:r>
        <w:rPr>
          <w:color w:val="231F20"/>
          <w:w w:val="110"/>
        </w:rPr>
        <w:t>oficialista</w:t>
      </w:r>
      <w:r>
        <w:rPr>
          <w:color w:val="231F20"/>
          <w:spacing w:val="-8"/>
          <w:w w:val="110"/>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inversión</w:t>
      </w:r>
      <w:r>
        <w:rPr>
          <w:color w:val="231F20"/>
          <w:spacing w:val="-8"/>
          <w:w w:val="110"/>
        </w:rPr>
        <w:t> </w:t>
      </w:r>
      <w:r>
        <w:rPr>
          <w:color w:val="231F20"/>
          <w:w w:val="110"/>
        </w:rPr>
        <w:t>extranjera</w:t>
      </w:r>
      <w:r>
        <w:rPr>
          <w:color w:val="231F20"/>
          <w:spacing w:val="-8"/>
          <w:w w:val="110"/>
        </w:rPr>
        <w:t> </w:t>
      </w:r>
      <w:r>
        <w:rPr>
          <w:color w:val="231F20"/>
          <w:w w:val="110"/>
        </w:rPr>
        <w:t>directa</w:t>
      </w:r>
      <w:r>
        <w:rPr>
          <w:color w:val="231F20"/>
          <w:spacing w:val="-8"/>
          <w:w w:val="110"/>
        </w:rPr>
        <w:t> </w:t>
      </w:r>
      <w:r>
        <w:rPr>
          <w:color w:val="231F20"/>
          <w:w w:val="110"/>
        </w:rPr>
        <w:t>interesada</w:t>
      </w:r>
      <w:r>
        <w:rPr>
          <w:color w:val="231F20"/>
          <w:spacing w:val="-8"/>
          <w:w w:val="110"/>
        </w:rPr>
        <w:t> </w:t>
      </w:r>
      <w:r>
        <w:rPr>
          <w:color w:val="231F20"/>
          <w:w w:val="110"/>
        </w:rPr>
        <w:t>en actividades</w:t>
      </w:r>
      <w:r>
        <w:rPr>
          <w:color w:val="231F20"/>
          <w:spacing w:val="-17"/>
          <w:w w:val="110"/>
        </w:rPr>
        <w:t> </w:t>
      </w:r>
      <w:r>
        <w:rPr>
          <w:color w:val="231F20"/>
          <w:w w:val="110"/>
        </w:rPr>
        <w:t>extractivas</w:t>
      </w:r>
      <w:r>
        <w:rPr>
          <w:color w:val="231F20"/>
          <w:spacing w:val="-17"/>
          <w:w w:val="110"/>
        </w:rPr>
        <w:t> </w:t>
      </w:r>
      <w:r>
        <w:rPr>
          <w:color w:val="231F20"/>
          <w:w w:val="110"/>
        </w:rPr>
        <w:t>llevará</w:t>
      </w:r>
      <w:r>
        <w:rPr>
          <w:color w:val="231F20"/>
          <w:spacing w:val="-17"/>
          <w:w w:val="110"/>
        </w:rPr>
        <w:t> </w:t>
      </w:r>
      <w:r>
        <w:rPr>
          <w:color w:val="231F20"/>
          <w:w w:val="110"/>
        </w:rPr>
        <w:t>la</w:t>
      </w:r>
      <w:r>
        <w:rPr>
          <w:color w:val="231F20"/>
          <w:spacing w:val="-17"/>
          <w:w w:val="110"/>
        </w:rPr>
        <w:t> </w:t>
      </w:r>
      <w:r>
        <w:rPr>
          <w:color w:val="231F20"/>
          <w:w w:val="110"/>
        </w:rPr>
        <w:t>“modernidad”</w:t>
      </w:r>
      <w:r>
        <w:rPr>
          <w:color w:val="231F20"/>
          <w:spacing w:val="-17"/>
          <w:w w:val="110"/>
        </w:rPr>
        <w:t> </w:t>
      </w:r>
      <w:r>
        <w:rPr>
          <w:color w:val="231F20"/>
          <w:w w:val="110"/>
        </w:rPr>
        <w:t>y</w:t>
      </w:r>
      <w:r>
        <w:rPr>
          <w:color w:val="231F20"/>
          <w:spacing w:val="-17"/>
          <w:w w:val="110"/>
        </w:rPr>
        <w:t> </w:t>
      </w:r>
      <w:r>
        <w:rPr>
          <w:color w:val="231F20"/>
          <w:w w:val="110"/>
        </w:rPr>
        <w:t>todos</w:t>
      </w:r>
      <w:r>
        <w:rPr>
          <w:color w:val="231F20"/>
          <w:spacing w:val="-17"/>
          <w:w w:val="110"/>
        </w:rPr>
        <w:t> </w:t>
      </w:r>
      <w:r>
        <w:rPr>
          <w:color w:val="231F20"/>
          <w:w w:val="110"/>
        </w:rPr>
        <w:t>los</w:t>
      </w:r>
      <w:r>
        <w:rPr>
          <w:color w:val="231F20"/>
          <w:spacing w:val="-17"/>
          <w:w w:val="110"/>
        </w:rPr>
        <w:t> </w:t>
      </w:r>
      <w:r>
        <w:rPr>
          <w:color w:val="231F20"/>
          <w:w w:val="110"/>
        </w:rPr>
        <w:t>beneficios</w:t>
      </w:r>
      <w:r>
        <w:rPr>
          <w:color w:val="231F20"/>
          <w:w w:val="107"/>
        </w:rPr>
        <w:t> </w:t>
      </w:r>
      <w:r>
        <w:rPr>
          <w:color w:val="231F20"/>
          <w:w w:val="110"/>
        </w:rPr>
        <w:t>que</w:t>
      </w:r>
      <w:r>
        <w:rPr>
          <w:color w:val="231F20"/>
          <w:spacing w:val="-11"/>
          <w:w w:val="110"/>
        </w:rPr>
        <w:t> </w:t>
      </w:r>
      <w:r>
        <w:rPr>
          <w:color w:val="231F20"/>
          <w:w w:val="110"/>
        </w:rPr>
        <w:t>supuestamente</w:t>
      </w:r>
      <w:r>
        <w:rPr>
          <w:color w:val="231F20"/>
          <w:spacing w:val="-11"/>
          <w:w w:val="110"/>
        </w:rPr>
        <w:t> </w:t>
      </w:r>
      <w:r>
        <w:rPr>
          <w:color w:val="231F20"/>
          <w:w w:val="110"/>
        </w:rPr>
        <w:t>implica,</w:t>
      </w:r>
      <w:r>
        <w:rPr>
          <w:color w:val="231F20"/>
          <w:spacing w:val="-11"/>
          <w:w w:val="110"/>
        </w:rPr>
        <w:t> </w:t>
      </w:r>
      <w:r>
        <w:rPr>
          <w:color w:val="231F20"/>
          <w:w w:val="110"/>
        </w:rPr>
        <w:t>al</w:t>
      </w:r>
      <w:r>
        <w:rPr>
          <w:color w:val="231F20"/>
          <w:spacing w:val="-11"/>
          <w:w w:val="110"/>
        </w:rPr>
        <w:t> </w:t>
      </w:r>
      <w:r>
        <w:rPr>
          <w:color w:val="231F20"/>
          <w:w w:val="110"/>
        </w:rPr>
        <w:t>corazón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Amazonía;</w:t>
      </w:r>
      <w:r>
        <w:rPr>
          <w:color w:val="231F20"/>
          <w:spacing w:val="-11"/>
          <w:w w:val="110"/>
        </w:rPr>
        <w:t> </w:t>
      </w:r>
      <w:r>
        <w:rPr>
          <w:color w:val="231F20"/>
          <w:w w:val="110"/>
        </w:rPr>
        <w:t>esquema</w:t>
      </w:r>
      <w:r>
        <w:rPr>
          <w:color w:val="231F20"/>
          <w:spacing w:val="-11"/>
          <w:w w:val="110"/>
        </w:rPr>
        <w:t> </w:t>
      </w:r>
      <w:r>
        <w:rPr>
          <w:color w:val="231F20"/>
          <w:w w:val="110"/>
        </w:rPr>
        <w:t>que desde la expansión colonial-imperial no se ha registrado en</w:t>
      </w:r>
      <w:r>
        <w:rPr>
          <w:color w:val="231F20"/>
          <w:spacing w:val="28"/>
          <w:w w:val="110"/>
        </w:rPr>
        <w:t> </w:t>
      </w:r>
      <w:r>
        <w:rPr>
          <w:color w:val="231F20"/>
          <w:w w:val="110"/>
        </w:rPr>
        <w:t>ninguna</w:t>
      </w:r>
    </w:p>
    <w:p>
      <w:pPr>
        <w:spacing w:after="0" w:line="261" w:lineRule="auto"/>
        <w:jc w:val="both"/>
        <w:sectPr>
          <w:headerReference w:type="even" r:id="rId403"/>
          <w:headerReference w:type="default" r:id="rId404"/>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05"/>
        </w:rPr>
        <w:t>parte del mundo periférico, sino todo lo contrario. </w:t>
      </w:r>
      <w:r>
        <w:rPr>
          <w:color w:val="231F20"/>
        </w:rPr>
        <w:t>Y </w:t>
      </w:r>
      <w:r>
        <w:rPr>
          <w:color w:val="231F20"/>
          <w:w w:val="105"/>
        </w:rPr>
        <w:t>es que el asunto  de fondo fue dar cause al intento de establecer formal </w:t>
      </w:r>
      <w:r>
        <w:rPr>
          <w:color w:val="231F20"/>
        </w:rPr>
        <w:t>y </w:t>
      </w:r>
      <w:r>
        <w:rPr>
          <w:color w:val="231F20"/>
          <w:w w:val="105"/>
        </w:rPr>
        <w:t>“legalmente”  la transferencia de recursos peruanos a favor de empresas estadu- nidenses puesto que los decretos </w:t>
      </w:r>
      <w:r>
        <w:rPr>
          <w:color w:val="231F20"/>
        </w:rPr>
        <w:t>y </w:t>
      </w:r>
      <w:r>
        <w:rPr>
          <w:color w:val="231F20"/>
          <w:w w:val="105"/>
        </w:rPr>
        <w:t>Leyes (como la Ley 29157 o los decretos 1090 </w:t>
      </w:r>
      <w:r>
        <w:rPr>
          <w:color w:val="231F20"/>
        </w:rPr>
        <w:t>y </w:t>
      </w:r>
      <w:r>
        <w:rPr>
          <w:color w:val="231F20"/>
          <w:w w:val="105"/>
        </w:rPr>
        <w:t>1064)</w:t>
      </w:r>
      <w:r>
        <w:rPr>
          <w:color w:val="231F20"/>
          <w:w w:val="105"/>
          <w:position w:val="6"/>
          <w:sz w:val="13"/>
        </w:rPr>
        <w:t>4</w:t>
      </w:r>
      <w:r>
        <w:rPr>
          <w:color w:val="231F20"/>
          <w:w w:val="105"/>
        </w:rPr>
        <w:t>, respondían a condicionamientos para la firma del</w:t>
      </w:r>
      <w:r>
        <w:rPr>
          <w:color w:val="231F20"/>
          <w:spacing w:val="38"/>
          <w:w w:val="105"/>
        </w:rPr>
        <w:t> </w:t>
      </w:r>
      <w:r>
        <w:rPr>
          <w:color w:val="231F20"/>
          <w:w w:val="105"/>
        </w:rPr>
        <w:t>tratado</w:t>
      </w:r>
      <w:r>
        <w:rPr>
          <w:color w:val="231F20"/>
          <w:spacing w:val="38"/>
          <w:w w:val="105"/>
        </w:rPr>
        <w:t> </w:t>
      </w:r>
      <w:r>
        <w:rPr>
          <w:color w:val="231F20"/>
          <w:w w:val="105"/>
        </w:rPr>
        <w:t>de</w:t>
      </w:r>
      <w:r>
        <w:rPr>
          <w:color w:val="231F20"/>
          <w:spacing w:val="38"/>
          <w:w w:val="105"/>
        </w:rPr>
        <w:t> </w:t>
      </w:r>
      <w:r>
        <w:rPr>
          <w:color w:val="231F20"/>
          <w:w w:val="105"/>
        </w:rPr>
        <w:t>libre</w:t>
      </w:r>
      <w:r>
        <w:rPr>
          <w:color w:val="231F20"/>
          <w:spacing w:val="38"/>
          <w:w w:val="105"/>
        </w:rPr>
        <w:t> </w:t>
      </w:r>
      <w:r>
        <w:rPr>
          <w:color w:val="231F20"/>
          <w:w w:val="105"/>
        </w:rPr>
        <w:t>comercio</w:t>
      </w:r>
      <w:r>
        <w:rPr>
          <w:color w:val="231F20"/>
          <w:spacing w:val="38"/>
          <w:w w:val="105"/>
        </w:rPr>
        <w:t> </w:t>
      </w:r>
      <w:r>
        <w:rPr>
          <w:color w:val="231F20"/>
          <w:w w:val="105"/>
        </w:rPr>
        <w:t>con</w:t>
      </w:r>
      <w:r>
        <w:rPr>
          <w:color w:val="231F20"/>
          <w:spacing w:val="38"/>
          <w:w w:val="105"/>
        </w:rPr>
        <w:t> </w:t>
      </w:r>
      <w:r>
        <w:rPr>
          <w:color w:val="231F20"/>
          <w:w w:val="105"/>
        </w:rPr>
        <w:t>Estados</w:t>
      </w:r>
      <w:r>
        <w:rPr>
          <w:color w:val="231F20"/>
          <w:spacing w:val="38"/>
          <w:w w:val="105"/>
        </w:rPr>
        <w:t> </w:t>
      </w:r>
      <w:r>
        <w:rPr>
          <w:color w:val="231F20"/>
          <w:w w:val="105"/>
        </w:rPr>
        <w:t>Unidos.</w:t>
      </w:r>
      <w:r>
        <w:rPr>
          <w:color w:val="231F20"/>
          <w:w w:val="105"/>
          <w:position w:val="6"/>
          <w:sz w:val="13"/>
        </w:rPr>
        <w:t>5</w:t>
      </w:r>
    </w:p>
    <w:p>
      <w:pPr>
        <w:pStyle w:val="BodyText"/>
        <w:spacing w:line="261" w:lineRule="auto"/>
        <w:ind w:left="100" w:right="117" w:firstLine="240"/>
        <w:jc w:val="both"/>
      </w:pPr>
      <w:r>
        <w:rPr>
          <w:color w:val="231F20"/>
          <w:w w:val="110"/>
        </w:rPr>
        <w:t>El antecedente es grave y la situación de securitización de la</w:t>
      </w:r>
      <w:r>
        <w:rPr>
          <w:color w:val="231F20"/>
          <w:spacing w:val="-25"/>
          <w:w w:val="110"/>
        </w:rPr>
        <w:t> </w:t>
      </w:r>
      <w:r>
        <w:rPr>
          <w:color w:val="231F20"/>
          <w:w w:val="110"/>
        </w:rPr>
        <w:t>zona ciertamente latente pues los intereses sobre el Amazonas, no sólo peruano, son inmensos, de ahí que ya se encuentren en manos de   35 multinacionales unos 180 bloques de concesión petrolera/gasera que cubren unos 688 mil km</w:t>
      </w:r>
      <w:r>
        <w:rPr>
          <w:color w:val="231F20"/>
          <w:w w:val="110"/>
          <w:position w:val="6"/>
          <w:sz w:val="13"/>
        </w:rPr>
        <w:t>2 </w:t>
      </w:r>
      <w:r>
        <w:rPr>
          <w:color w:val="231F20"/>
          <w:w w:val="110"/>
        </w:rPr>
        <w:t>(Finner </w:t>
      </w:r>
      <w:r>
        <w:rPr>
          <w:i/>
          <w:color w:val="231F20"/>
          <w:w w:val="110"/>
        </w:rPr>
        <w:t>et al.</w:t>
      </w:r>
      <w:r>
        <w:rPr>
          <w:color w:val="231F20"/>
          <w:w w:val="110"/>
        </w:rPr>
        <w:t>, 2008). Se trata de un área que cubre dos terceras partes del Amazonas Ecuatoriano y Pe- ruano así como una parte considerable del Amazonas Colombiano, </w:t>
      </w:r>
      <w:r>
        <w:rPr>
          <w:color w:val="231F20"/>
          <w:w w:val="105"/>
        </w:rPr>
        <w:t>Boliviano y</w:t>
      </w:r>
      <w:r>
        <w:rPr>
          <w:color w:val="231F20"/>
          <w:spacing w:val="10"/>
          <w:w w:val="105"/>
        </w:rPr>
        <w:t> </w:t>
      </w:r>
      <w:r>
        <w:rPr>
          <w:color w:val="231F20"/>
          <w:w w:val="105"/>
        </w:rPr>
        <w:t>Brasileño.</w:t>
      </w:r>
    </w:p>
    <w:p>
      <w:pPr>
        <w:pStyle w:val="BodyText"/>
        <w:spacing w:line="261" w:lineRule="auto"/>
        <w:ind w:left="100" w:right="117" w:firstLine="240"/>
        <w:jc w:val="both"/>
      </w:pPr>
      <w:r>
        <w:rPr>
          <w:color w:val="231F20"/>
          <w:spacing w:val="-6"/>
          <w:w w:val="110"/>
        </w:rPr>
        <w:t>Tan</w:t>
      </w:r>
      <w:r>
        <w:rPr>
          <w:color w:val="231F20"/>
          <w:spacing w:val="-9"/>
          <w:w w:val="110"/>
        </w:rPr>
        <w:t> </w:t>
      </w:r>
      <w:r>
        <w:rPr>
          <w:color w:val="231F20"/>
          <w:w w:val="110"/>
        </w:rPr>
        <w:t>sólo</w:t>
      </w:r>
      <w:r>
        <w:rPr>
          <w:color w:val="231F20"/>
          <w:spacing w:val="-9"/>
          <w:w w:val="110"/>
        </w:rPr>
        <w:t> </w:t>
      </w:r>
      <w:r>
        <w:rPr>
          <w:color w:val="231F20"/>
          <w:w w:val="110"/>
        </w:rPr>
        <w:t>en</w:t>
      </w:r>
      <w:r>
        <w:rPr>
          <w:color w:val="231F20"/>
          <w:spacing w:val="-9"/>
          <w:w w:val="110"/>
        </w:rPr>
        <w:t> </w:t>
      </w:r>
      <w:r>
        <w:rPr>
          <w:color w:val="231F20"/>
          <w:w w:val="110"/>
        </w:rPr>
        <w:t>Perú</w:t>
      </w:r>
      <w:r>
        <w:rPr>
          <w:color w:val="231F20"/>
          <w:spacing w:val="-9"/>
          <w:w w:val="110"/>
        </w:rPr>
        <w:t> </w:t>
      </w:r>
      <w:r>
        <w:rPr>
          <w:color w:val="231F20"/>
          <w:w w:val="110"/>
        </w:rPr>
        <w:t>hay</w:t>
      </w:r>
      <w:r>
        <w:rPr>
          <w:color w:val="231F20"/>
          <w:spacing w:val="-9"/>
          <w:w w:val="110"/>
        </w:rPr>
        <w:t> </w:t>
      </w:r>
      <w:r>
        <w:rPr>
          <w:color w:val="231F20"/>
          <w:w w:val="110"/>
        </w:rPr>
        <w:t>48</w:t>
      </w:r>
      <w:r>
        <w:rPr>
          <w:color w:val="231F20"/>
          <w:spacing w:val="-9"/>
          <w:w w:val="110"/>
        </w:rPr>
        <w:t> </w:t>
      </w:r>
      <w:r>
        <w:rPr>
          <w:color w:val="231F20"/>
          <w:w w:val="110"/>
        </w:rPr>
        <w:t>bloques</w:t>
      </w:r>
      <w:r>
        <w:rPr>
          <w:color w:val="231F20"/>
          <w:spacing w:val="-9"/>
          <w:w w:val="110"/>
        </w:rPr>
        <w:t> </w:t>
      </w:r>
      <w:r>
        <w:rPr>
          <w:color w:val="231F20"/>
          <w:w w:val="110"/>
        </w:rPr>
        <w:t>activos</w:t>
      </w:r>
      <w:r>
        <w:rPr>
          <w:color w:val="231F20"/>
          <w:spacing w:val="-9"/>
          <w:w w:val="110"/>
        </w:rPr>
        <w:t> </w:t>
      </w:r>
      <w:r>
        <w:rPr>
          <w:color w:val="231F20"/>
          <w:w w:val="110"/>
        </w:rPr>
        <w:t>y</w:t>
      </w:r>
      <w:r>
        <w:rPr>
          <w:color w:val="231F20"/>
          <w:spacing w:val="-9"/>
          <w:w w:val="110"/>
        </w:rPr>
        <w:t> </w:t>
      </w:r>
      <w:r>
        <w:rPr>
          <w:color w:val="231F20"/>
          <w:w w:val="110"/>
        </w:rPr>
        <w:t>16</w:t>
      </w:r>
      <w:r>
        <w:rPr>
          <w:color w:val="231F20"/>
          <w:spacing w:val="-9"/>
          <w:w w:val="110"/>
        </w:rPr>
        <w:t> </w:t>
      </w:r>
      <w:r>
        <w:rPr>
          <w:color w:val="231F20"/>
          <w:w w:val="110"/>
        </w:rPr>
        <w:t>por</w:t>
      </w:r>
      <w:r>
        <w:rPr>
          <w:color w:val="231F20"/>
          <w:spacing w:val="-9"/>
          <w:w w:val="110"/>
        </w:rPr>
        <w:t> </w:t>
      </w:r>
      <w:r>
        <w:rPr>
          <w:color w:val="231F20"/>
          <w:w w:val="110"/>
        </w:rPr>
        <w:t>licitarse.</w:t>
      </w:r>
      <w:r>
        <w:rPr>
          <w:color w:val="231F20"/>
          <w:spacing w:val="-9"/>
          <w:w w:val="110"/>
        </w:rPr>
        <w:t> </w:t>
      </w:r>
      <w:r>
        <w:rPr>
          <w:color w:val="231F20"/>
          <w:w w:val="110"/>
        </w:rPr>
        <w:t>De</w:t>
      </w:r>
      <w:r>
        <w:rPr>
          <w:color w:val="231F20"/>
          <w:spacing w:val="-9"/>
          <w:w w:val="110"/>
        </w:rPr>
        <w:t> </w:t>
      </w:r>
      <w:r>
        <w:rPr>
          <w:color w:val="231F20"/>
          <w:w w:val="110"/>
        </w:rPr>
        <w:t>esos 64 bloques, todos excepto ocho fueron licitados a partir de 2004. Veinte</w:t>
      </w:r>
      <w:r>
        <w:rPr>
          <w:color w:val="231F20"/>
          <w:spacing w:val="-7"/>
          <w:w w:val="110"/>
        </w:rPr>
        <w:t> </w:t>
      </w:r>
      <w:r>
        <w:rPr>
          <w:color w:val="231F20"/>
          <w:w w:val="110"/>
        </w:rPr>
        <w:t>bloques</w:t>
      </w:r>
      <w:r>
        <w:rPr>
          <w:color w:val="231F20"/>
          <w:spacing w:val="-7"/>
          <w:w w:val="110"/>
        </w:rPr>
        <w:t> </w:t>
      </w:r>
      <w:r>
        <w:rPr>
          <w:color w:val="231F20"/>
          <w:w w:val="110"/>
        </w:rPr>
        <w:t>se</w:t>
      </w:r>
      <w:r>
        <w:rPr>
          <w:color w:val="231F20"/>
          <w:spacing w:val="-7"/>
          <w:w w:val="110"/>
        </w:rPr>
        <w:t> </w:t>
      </w:r>
      <w:r>
        <w:rPr>
          <w:color w:val="231F20"/>
          <w:w w:val="110"/>
        </w:rPr>
        <w:t>traslapan</w:t>
      </w:r>
      <w:r>
        <w:rPr>
          <w:color w:val="231F20"/>
          <w:spacing w:val="-7"/>
          <w:w w:val="110"/>
        </w:rPr>
        <w:t> </w:t>
      </w:r>
      <w:r>
        <w:rPr>
          <w:color w:val="231F20"/>
          <w:w w:val="110"/>
        </w:rPr>
        <w:t>con</w:t>
      </w:r>
      <w:r>
        <w:rPr>
          <w:color w:val="231F20"/>
          <w:spacing w:val="-7"/>
          <w:w w:val="110"/>
        </w:rPr>
        <w:t> </w:t>
      </w:r>
      <w:r>
        <w:rPr>
          <w:color w:val="231F20"/>
          <w:w w:val="110"/>
        </w:rPr>
        <w:t>once</w:t>
      </w:r>
      <w:r>
        <w:rPr>
          <w:color w:val="231F20"/>
          <w:spacing w:val="-7"/>
          <w:w w:val="110"/>
        </w:rPr>
        <w:t> </w:t>
      </w:r>
      <w:r>
        <w:rPr>
          <w:color w:val="231F20"/>
          <w:w w:val="110"/>
        </w:rPr>
        <w:t>áreas</w:t>
      </w:r>
      <w:r>
        <w:rPr>
          <w:color w:val="231F20"/>
          <w:spacing w:val="-7"/>
          <w:w w:val="110"/>
        </w:rPr>
        <w:t> </w:t>
      </w:r>
      <w:r>
        <w:rPr>
          <w:color w:val="231F20"/>
          <w:w w:val="110"/>
        </w:rPr>
        <w:t>protegidas</w:t>
      </w:r>
      <w:r>
        <w:rPr>
          <w:color w:val="231F20"/>
          <w:spacing w:val="-7"/>
          <w:w w:val="110"/>
        </w:rPr>
        <w:t> </w:t>
      </w:r>
      <w:r>
        <w:rPr>
          <w:color w:val="231F20"/>
          <w:w w:val="110"/>
        </w:rPr>
        <w:t>como</w:t>
      </w:r>
      <w:r>
        <w:rPr>
          <w:color w:val="231F20"/>
          <w:spacing w:val="-7"/>
          <w:w w:val="110"/>
        </w:rPr>
        <w:t> </w:t>
      </w:r>
      <w:r>
        <w:rPr>
          <w:color w:val="231F20"/>
          <w:w w:val="110"/>
        </w:rPr>
        <w:t>reservas comunales o federales, mientras que 58 de las 64 se superponen en tierras de propiedad indígena (</w:t>
      </w:r>
      <w:r>
        <w:rPr>
          <w:i/>
          <w:color w:val="231F20"/>
          <w:w w:val="110"/>
        </w:rPr>
        <w:t>ibid.</w:t>
      </w:r>
      <w:r>
        <w:rPr>
          <w:color w:val="231F20"/>
          <w:w w:val="110"/>
        </w:rPr>
        <w:t>). El potencial conflicto por los recursos es pues particularmente claro en estas</w:t>
      </w:r>
      <w:r>
        <w:rPr>
          <w:color w:val="231F20"/>
          <w:spacing w:val="52"/>
          <w:w w:val="110"/>
        </w:rPr>
        <w:t> </w:t>
      </w:r>
      <w:r>
        <w:rPr>
          <w:color w:val="231F20"/>
          <w:w w:val="110"/>
        </w:rPr>
        <w:t>áreas.</w:t>
      </w:r>
    </w:p>
    <w:p>
      <w:pPr>
        <w:pStyle w:val="BodyText"/>
      </w:pPr>
    </w:p>
    <w:p>
      <w:pPr>
        <w:pStyle w:val="BodyText"/>
      </w:pPr>
    </w:p>
    <w:p>
      <w:pPr>
        <w:pStyle w:val="BodyText"/>
        <w:spacing w:before="7"/>
        <w:rPr>
          <w:sz w:val="23"/>
        </w:rPr>
      </w:pPr>
    </w:p>
    <w:p>
      <w:pPr>
        <w:spacing w:line="261" w:lineRule="auto" w:before="0"/>
        <w:ind w:left="100" w:right="117" w:firstLine="240"/>
        <w:jc w:val="both"/>
        <w:rPr>
          <w:sz w:val="16"/>
        </w:rPr>
      </w:pPr>
      <w:r>
        <w:rPr>
          <w:color w:val="231F20"/>
          <w:w w:val="110"/>
          <w:position w:val="5"/>
          <w:sz w:val="10"/>
        </w:rPr>
        <w:t>4 </w:t>
      </w:r>
      <w:r>
        <w:rPr>
          <w:color w:val="231F20"/>
          <w:w w:val="110"/>
          <w:sz w:val="16"/>
        </w:rPr>
        <w:t>Bien es cierto que el conflicto actual viene de los años setenta, momento desde el cual las comunidades indígenas han luchado para que se les reconozcan y respeten sus</w:t>
      </w:r>
      <w:r>
        <w:rPr>
          <w:color w:val="231F20"/>
          <w:spacing w:val="-4"/>
          <w:w w:val="110"/>
          <w:sz w:val="16"/>
        </w:rPr>
        <w:t> </w:t>
      </w:r>
      <w:r>
        <w:rPr>
          <w:color w:val="231F20"/>
          <w:w w:val="110"/>
          <w:sz w:val="16"/>
        </w:rPr>
        <w:t>territorios.</w:t>
      </w:r>
      <w:r>
        <w:rPr>
          <w:color w:val="231F20"/>
          <w:spacing w:val="-4"/>
          <w:w w:val="110"/>
          <w:sz w:val="16"/>
        </w:rPr>
        <w:t> </w:t>
      </w:r>
      <w:r>
        <w:rPr>
          <w:color w:val="231F20"/>
          <w:w w:val="110"/>
          <w:sz w:val="16"/>
        </w:rPr>
        <w:t>A</w:t>
      </w:r>
      <w:r>
        <w:rPr>
          <w:color w:val="231F20"/>
          <w:spacing w:val="-4"/>
          <w:w w:val="110"/>
          <w:sz w:val="16"/>
        </w:rPr>
        <w:t> </w:t>
      </w:r>
      <w:r>
        <w:rPr>
          <w:color w:val="231F20"/>
          <w:w w:val="110"/>
          <w:sz w:val="16"/>
        </w:rPr>
        <w:t>pesar</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ratificación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Perú</w:t>
      </w:r>
      <w:r>
        <w:rPr>
          <w:color w:val="231F20"/>
          <w:spacing w:val="-4"/>
          <w:w w:val="110"/>
          <w:sz w:val="16"/>
        </w:rPr>
        <w:t> </w:t>
      </w:r>
      <w:r>
        <w:rPr>
          <w:color w:val="231F20"/>
          <w:w w:val="110"/>
          <w:sz w:val="16"/>
        </w:rPr>
        <w:t>del</w:t>
      </w:r>
      <w:r>
        <w:rPr>
          <w:color w:val="231F20"/>
          <w:spacing w:val="-4"/>
          <w:w w:val="110"/>
          <w:sz w:val="16"/>
        </w:rPr>
        <w:t> </w:t>
      </w:r>
      <w:r>
        <w:rPr>
          <w:color w:val="231F20"/>
          <w:w w:val="110"/>
          <w:sz w:val="16"/>
        </w:rPr>
        <w:t>Convenio</w:t>
      </w:r>
      <w:r>
        <w:rPr>
          <w:color w:val="231F20"/>
          <w:spacing w:val="-4"/>
          <w:w w:val="110"/>
          <w:sz w:val="16"/>
        </w:rPr>
        <w:t> </w:t>
      </w:r>
      <w:r>
        <w:rPr>
          <w:color w:val="231F20"/>
          <w:w w:val="110"/>
          <w:sz w:val="16"/>
        </w:rPr>
        <w:t>169</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5"/>
          <w:sz w:val="16"/>
        </w:rPr>
        <w:t>oit</w:t>
      </w:r>
      <w:r>
        <w:rPr>
          <w:color w:val="231F20"/>
          <w:spacing w:val="-6"/>
          <w:w w:val="115"/>
          <w:sz w:val="16"/>
        </w:rPr>
        <w:t> </w:t>
      </w:r>
      <w:r>
        <w:rPr>
          <w:color w:val="231F20"/>
          <w:w w:val="110"/>
          <w:sz w:val="16"/>
        </w:rPr>
        <w:t>en</w:t>
      </w:r>
      <w:r>
        <w:rPr>
          <w:color w:val="231F20"/>
          <w:spacing w:val="-4"/>
          <w:w w:val="110"/>
          <w:sz w:val="16"/>
        </w:rPr>
        <w:t> </w:t>
      </w:r>
      <w:r>
        <w:rPr>
          <w:color w:val="231F20"/>
          <w:w w:val="110"/>
          <w:sz w:val="16"/>
        </w:rPr>
        <w:t>1993</w:t>
      </w:r>
      <w:r>
        <w:rPr>
          <w:color w:val="231F20"/>
          <w:spacing w:val="-4"/>
          <w:w w:val="110"/>
          <w:sz w:val="16"/>
        </w:rPr>
        <w:t> </w:t>
      </w:r>
      <w:r>
        <w:rPr>
          <w:color w:val="231F20"/>
          <w:w w:val="110"/>
          <w:sz w:val="16"/>
        </w:rPr>
        <w:t>y 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Declaración</w:t>
      </w:r>
      <w:r>
        <w:rPr>
          <w:color w:val="231F20"/>
          <w:spacing w:val="-6"/>
          <w:w w:val="110"/>
          <w:sz w:val="16"/>
        </w:rPr>
        <w:t> </w:t>
      </w:r>
      <w:r>
        <w:rPr>
          <w:color w:val="231F20"/>
          <w:w w:val="110"/>
          <w:sz w:val="16"/>
        </w:rPr>
        <w:t>de</w:t>
      </w:r>
      <w:r>
        <w:rPr>
          <w:color w:val="231F20"/>
          <w:spacing w:val="-6"/>
          <w:w w:val="110"/>
          <w:sz w:val="16"/>
        </w:rPr>
        <w:t> </w:t>
      </w:r>
      <w:r>
        <w:rPr>
          <w:color w:val="231F20"/>
          <w:w w:val="110"/>
          <w:sz w:val="16"/>
        </w:rPr>
        <w:t>Naciones</w:t>
      </w:r>
      <w:r>
        <w:rPr>
          <w:color w:val="231F20"/>
          <w:spacing w:val="-6"/>
          <w:w w:val="110"/>
          <w:sz w:val="16"/>
        </w:rPr>
        <w:t> </w:t>
      </w:r>
      <w:r>
        <w:rPr>
          <w:color w:val="231F20"/>
          <w:w w:val="110"/>
          <w:sz w:val="16"/>
        </w:rPr>
        <w:t>Unidas</w:t>
      </w:r>
      <w:r>
        <w:rPr>
          <w:color w:val="231F20"/>
          <w:spacing w:val="-6"/>
          <w:w w:val="110"/>
          <w:sz w:val="16"/>
        </w:rPr>
        <w:t> </w:t>
      </w:r>
      <w:r>
        <w:rPr>
          <w:color w:val="231F20"/>
          <w:w w:val="110"/>
          <w:sz w:val="16"/>
        </w:rPr>
        <w:t>sobre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Derechos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los</w:t>
      </w:r>
      <w:r>
        <w:rPr>
          <w:color w:val="231F20"/>
          <w:spacing w:val="-6"/>
          <w:w w:val="110"/>
          <w:sz w:val="16"/>
        </w:rPr>
        <w:t> </w:t>
      </w:r>
      <w:r>
        <w:rPr>
          <w:color w:val="231F20"/>
          <w:w w:val="110"/>
          <w:sz w:val="16"/>
        </w:rPr>
        <w:t>Pueblos</w:t>
      </w:r>
      <w:r>
        <w:rPr>
          <w:color w:val="231F20"/>
          <w:spacing w:val="-6"/>
          <w:w w:val="110"/>
          <w:sz w:val="16"/>
        </w:rPr>
        <w:t> </w:t>
      </w:r>
      <w:r>
        <w:rPr>
          <w:color w:val="231F20"/>
          <w:w w:val="110"/>
          <w:sz w:val="16"/>
        </w:rPr>
        <w:t>Indígenas</w:t>
      </w:r>
      <w:r>
        <w:rPr>
          <w:color w:val="231F20"/>
          <w:spacing w:val="-6"/>
          <w:w w:val="110"/>
          <w:sz w:val="16"/>
        </w:rPr>
        <w:t> </w:t>
      </w:r>
      <w:r>
        <w:rPr>
          <w:color w:val="231F20"/>
          <w:w w:val="110"/>
          <w:sz w:val="16"/>
        </w:rPr>
        <w:t>en 2007,</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gobierno</w:t>
      </w:r>
      <w:r>
        <w:rPr>
          <w:color w:val="231F20"/>
          <w:spacing w:val="-10"/>
          <w:w w:val="110"/>
          <w:sz w:val="16"/>
        </w:rPr>
        <w:t> </w:t>
      </w:r>
      <w:r>
        <w:rPr>
          <w:color w:val="231F20"/>
          <w:w w:val="110"/>
          <w:sz w:val="16"/>
        </w:rPr>
        <w:t>oligarca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Alan</w:t>
      </w:r>
      <w:r>
        <w:rPr>
          <w:color w:val="231F20"/>
          <w:spacing w:val="-10"/>
          <w:w w:val="110"/>
          <w:sz w:val="16"/>
        </w:rPr>
        <w:t> </w:t>
      </w:r>
      <w:r>
        <w:rPr>
          <w:color w:val="231F20"/>
          <w:w w:val="110"/>
          <w:sz w:val="16"/>
        </w:rPr>
        <w:t>García</w:t>
      </w:r>
      <w:r>
        <w:rPr>
          <w:color w:val="231F20"/>
          <w:spacing w:val="-10"/>
          <w:w w:val="110"/>
          <w:sz w:val="16"/>
        </w:rPr>
        <w:t> </w:t>
      </w:r>
      <w:r>
        <w:rPr>
          <w:color w:val="231F20"/>
          <w:w w:val="110"/>
          <w:sz w:val="16"/>
        </w:rPr>
        <w:t>pretendió</w:t>
      </w:r>
      <w:r>
        <w:rPr>
          <w:color w:val="231F20"/>
          <w:spacing w:val="-10"/>
          <w:w w:val="110"/>
          <w:sz w:val="16"/>
        </w:rPr>
        <w:t> </w:t>
      </w:r>
      <w:r>
        <w:rPr>
          <w:color w:val="231F20"/>
          <w:w w:val="110"/>
          <w:sz w:val="16"/>
        </w:rPr>
        <w:t>hacer</w:t>
      </w:r>
      <w:r>
        <w:rPr>
          <w:color w:val="231F20"/>
          <w:spacing w:val="-10"/>
          <w:w w:val="110"/>
          <w:sz w:val="16"/>
        </w:rPr>
        <w:t> </w:t>
      </w:r>
      <w:r>
        <w:rPr>
          <w:color w:val="231F20"/>
          <w:w w:val="110"/>
          <w:sz w:val="16"/>
        </w:rPr>
        <w:t>caso</w:t>
      </w:r>
      <w:r>
        <w:rPr>
          <w:color w:val="231F20"/>
          <w:spacing w:val="-10"/>
          <w:w w:val="110"/>
          <w:sz w:val="16"/>
        </w:rPr>
        <w:t> </w:t>
      </w:r>
      <w:r>
        <w:rPr>
          <w:color w:val="231F20"/>
          <w:w w:val="110"/>
          <w:sz w:val="16"/>
        </w:rPr>
        <w:t>omiso</w:t>
      </w:r>
      <w:r>
        <w:rPr>
          <w:color w:val="231F20"/>
          <w:spacing w:val="-10"/>
          <w:w w:val="110"/>
          <w:sz w:val="16"/>
        </w:rPr>
        <w:t> </w:t>
      </w:r>
      <w:r>
        <w:rPr>
          <w:color w:val="231F20"/>
          <w:w w:val="110"/>
          <w:sz w:val="16"/>
        </w:rPr>
        <w:t>a</w:t>
      </w:r>
      <w:r>
        <w:rPr>
          <w:color w:val="231F20"/>
          <w:spacing w:val="-10"/>
          <w:w w:val="110"/>
          <w:sz w:val="16"/>
        </w:rPr>
        <w:t> </w:t>
      </w:r>
      <w:r>
        <w:rPr>
          <w:color w:val="231F20"/>
          <w:w w:val="110"/>
          <w:sz w:val="16"/>
        </w:rPr>
        <w:t>tales</w:t>
      </w:r>
      <w:r>
        <w:rPr>
          <w:color w:val="231F20"/>
          <w:spacing w:val="-10"/>
          <w:w w:val="110"/>
          <w:sz w:val="16"/>
        </w:rPr>
        <w:t> </w:t>
      </w:r>
      <w:r>
        <w:rPr>
          <w:color w:val="231F20"/>
          <w:w w:val="110"/>
          <w:sz w:val="16"/>
        </w:rPr>
        <w:t>derechos, específicamente mediante toda una serie de decretos entre los que vale puntualizar   el 1064 (que da prioridad al uso agroindustrial de la tierra sobre cualquier otro tipo de uso y propiedad) y el 1090 (que suscribe la nueva Ley Forestal y Fauna Silvestre </w:t>
      </w:r>
      <w:r>
        <w:rPr>
          <w:i/>
          <w:color w:val="231F20"/>
          <w:w w:val="110"/>
          <w:sz w:val="16"/>
        </w:rPr>
        <w:t>ad hoc </w:t>
      </w:r>
      <w:r>
        <w:rPr>
          <w:color w:val="231F20"/>
          <w:w w:val="110"/>
          <w:sz w:val="16"/>
        </w:rPr>
        <w:t>a la concesión del Amazonas peruano para la extracción de hidrocarburos y otros recursos como los forestales). Como se sabe, el 19 de julio de 2009, después  del conflicto de Bagua y de numerosas movilizaciones sociales, la Ley 28382 derogó el Decreto Legislativo 1090, sus normas modificatorias y su Reglamento; así como</w:t>
      </w:r>
      <w:r>
        <w:rPr>
          <w:color w:val="231F20"/>
          <w:spacing w:val="-21"/>
          <w:w w:val="110"/>
          <w:sz w:val="16"/>
        </w:rPr>
        <w:t> </w:t>
      </w:r>
      <w:r>
        <w:rPr>
          <w:color w:val="231F20"/>
          <w:w w:val="110"/>
          <w:sz w:val="16"/>
        </w:rPr>
        <w:t>el Decreto</w:t>
      </w:r>
      <w:r>
        <w:rPr>
          <w:color w:val="231F20"/>
          <w:spacing w:val="-5"/>
          <w:w w:val="110"/>
          <w:sz w:val="16"/>
        </w:rPr>
        <w:t> </w:t>
      </w:r>
      <w:r>
        <w:rPr>
          <w:color w:val="231F20"/>
          <w:w w:val="110"/>
          <w:sz w:val="16"/>
        </w:rPr>
        <w:t>Legislativo</w:t>
      </w:r>
      <w:r>
        <w:rPr>
          <w:color w:val="231F20"/>
          <w:spacing w:val="-5"/>
          <w:w w:val="110"/>
          <w:sz w:val="16"/>
        </w:rPr>
        <w:t> </w:t>
      </w:r>
      <w:r>
        <w:rPr>
          <w:color w:val="231F20"/>
          <w:w w:val="110"/>
          <w:sz w:val="16"/>
        </w:rPr>
        <w:t>1064.</w:t>
      </w:r>
      <w:r>
        <w:rPr>
          <w:color w:val="231F20"/>
          <w:spacing w:val="-5"/>
          <w:w w:val="110"/>
          <w:sz w:val="16"/>
        </w:rPr>
        <w:t> </w:t>
      </w:r>
      <w:r>
        <w:rPr>
          <w:color w:val="231F20"/>
          <w:w w:val="110"/>
          <w:sz w:val="16"/>
        </w:rPr>
        <w:t>Lo</w:t>
      </w:r>
      <w:r>
        <w:rPr>
          <w:color w:val="231F20"/>
          <w:spacing w:val="-5"/>
          <w:w w:val="110"/>
          <w:sz w:val="16"/>
        </w:rPr>
        <w:t> </w:t>
      </w:r>
      <w:r>
        <w:rPr>
          <w:color w:val="231F20"/>
          <w:w w:val="110"/>
          <w:sz w:val="16"/>
        </w:rPr>
        <w:t>demás</w:t>
      </w:r>
      <w:r>
        <w:rPr>
          <w:color w:val="231F20"/>
          <w:spacing w:val="-5"/>
          <w:w w:val="110"/>
          <w:sz w:val="16"/>
        </w:rPr>
        <w:t> </w:t>
      </w:r>
      <w:r>
        <w:rPr>
          <w:color w:val="231F20"/>
          <w:w w:val="110"/>
          <w:sz w:val="16"/>
        </w:rPr>
        <w:t>siguió</w:t>
      </w:r>
      <w:r>
        <w:rPr>
          <w:color w:val="231F20"/>
          <w:spacing w:val="-5"/>
          <w:w w:val="110"/>
          <w:sz w:val="16"/>
        </w:rPr>
        <w:t> </w:t>
      </w:r>
      <w:r>
        <w:rPr>
          <w:color w:val="231F20"/>
          <w:w w:val="110"/>
          <w:sz w:val="16"/>
        </w:rPr>
        <w:t>su</w:t>
      </w:r>
      <w:r>
        <w:rPr>
          <w:color w:val="231F20"/>
          <w:spacing w:val="-5"/>
          <w:w w:val="110"/>
          <w:sz w:val="16"/>
        </w:rPr>
        <w:t> </w:t>
      </w:r>
      <w:r>
        <w:rPr>
          <w:color w:val="231F20"/>
          <w:w w:val="110"/>
          <w:sz w:val="16"/>
        </w:rPr>
        <w:t>curso</w:t>
      </w:r>
      <w:r>
        <w:rPr>
          <w:color w:val="231F20"/>
          <w:spacing w:val="-5"/>
          <w:w w:val="110"/>
          <w:sz w:val="16"/>
        </w:rPr>
        <w:t> </w:t>
      </w:r>
      <w:r>
        <w:rPr>
          <w:color w:val="231F20"/>
          <w:w w:val="110"/>
          <w:sz w:val="16"/>
        </w:rPr>
        <w:t>legal</w:t>
      </w:r>
      <w:r>
        <w:rPr>
          <w:color w:val="231F20"/>
          <w:spacing w:val="-5"/>
          <w:w w:val="110"/>
          <w:sz w:val="16"/>
        </w:rPr>
        <w:t> </w:t>
      </w:r>
      <w:r>
        <w:rPr>
          <w:color w:val="231F20"/>
          <w:w w:val="110"/>
          <w:sz w:val="16"/>
        </w:rPr>
        <w:t>aprobatorio.</w:t>
      </w:r>
    </w:p>
    <w:p>
      <w:pPr>
        <w:spacing w:line="261" w:lineRule="auto" w:before="0"/>
        <w:ind w:left="100" w:right="117" w:firstLine="240"/>
        <w:jc w:val="both"/>
        <w:rPr>
          <w:sz w:val="16"/>
        </w:rPr>
      </w:pPr>
      <w:r>
        <w:rPr>
          <w:color w:val="231F20"/>
          <w:w w:val="110"/>
          <w:position w:val="5"/>
          <w:sz w:val="10"/>
        </w:rPr>
        <w:t>5</w:t>
      </w:r>
      <w:r>
        <w:rPr>
          <w:color w:val="231F20"/>
          <w:spacing w:val="11"/>
          <w:w w:val="110"/>
          <w:position w:val="5"/>
          <w:sz w:val="10"/>
        </w:rPr>
        <w:t> </w:t>
      </w:r>
      <w:r>
        <w:rPr>
          <w:color w:val="231F20"/>
          <w:w w:val="110"/>
          <w:sz w:val="16"/>
        </w:rPr>
        <w:t>El</w:t>
      </w:r>
      <w:r>
        <w:rPr>
          <w:color w:val="231F20"/>
          <w:spacing w:val="-4"/>
          <w:w w:val="110"/>
          <w:sz w:val="16"/>
        </w:rPr>
        <w:t> </w:t>
      </w:r>
      <w:r>
        <w:rPr>
          <w:color w:val="231F20"/>
          <w:w w:val="110"/>
          <w:sz w:val="16"/>
        </w:rPr>
        <w:t>preámbulo</w:t>
      </w:r>
      <w:r>
        <w:rPr>
          <w:color w:val="231F20"/>
          <w:spacing w:val="-4"/>
          <w:w w:val="110"/>
          <w:sz w:val="16"/>
        </w:rPr>
        <w:t> </w:t>
      </w:r>
      <w:r>
        <w:rPr>
          <w:color w:val="231F20"/>
          <w:w w:val="110"/>
          <w:sz w:val="16"/>
        </w:rPr>
        <w:t>del</w:t>
      </w:r>
      <w:r>
        <w:rPr>
          <w:color w:val="231F20"/>
          <w:spacing w:val="-4"/>
          <w:w w:val="110"/>
          <w:sz w:val="16"/>
        </w:rPr>
        <w:t> </w:t>
      </w:r>
      <w:r>
        <w:rPr>
          <w:color w:val="231F20"/>
          <w:w w:val="110"/>
          <w:sz w:val="16"/>
        </w:rPr>
        <w:t>Decreto</w:t>
      </w:r>
      <w:r>
        <w:rPr>
          <w:color w:val="231F20"/>
          <w:spacing w:val="-4"/>
          <w:w w:val="110"/>
          <w:sz w:val="16"/>
        </w:rPr>
        <w:t> </w:t>
      </w:r>
      <w:r>
        <w:rPr>
          <w:color w:val="231F20"/>
          <w:w w:val="110"/>
          <w:sz w:val="16"/>
        </w:rPr>
        <w:t>Legislativo</w:t>
      </w:r>
      <w:r>
        <w:rPr>
          <w:color w:val="231F20"/>
          <w:spacing w:val="-4"/>
          <w:w w:val="110"/>
          <w:sz w:val="16"/>
        </w:rPr>
        <w:t> </w:t>
      </w:r>
      <w:r>
        <w:rPr>
          <w:color w:val="231F20"/>
          <w:w w:val="110"/>
          <w:sz w:val="16"/>
        </w:rPr>
        <w:t>1090</w:t>
      </w:r>
      <w:r>
        <w:rPr>
          <w:color w:val="231F20"/>
          <w:spacing w:val="-4"/>
          <w:w w:val="110"/>
          <w:sz w:val="16"/>
        </w:rPr>
        <w:t> </w:t>
      </w:r>
      <w:r>
        <w:rPr>
          <w:color w:val="231F20"/>
          <w:w w:val="110"/>
          <w:sz w:val="16"/>
        </w:rPr>
        <w:t>sobre</w:t>
      </w:r>
      <w:r>
        <w:rPr>
          <w:color w:val="231F20"/>
          <w:spacing w:val="-4"/>
          <w:w w:val="110"/>
          <w:sz w:val="16"/>
        </w:rPr>
        <w:t> </w:t>
      </w:r>
      <w:r>
        <w:rPr>
          <w:color w:val="231F20"/>
          <w:w w:val="110"/>
          <w:sz w:val="16"/>
        </w:rPr>
        <w:t>la</w:t>
      </w:r>
      <w:r>
        <w:rPr>
          <w:color w:val="231F20"/>
          <w:spacing w:val="-4"/>
          <w:w w:val="110"/>
          <w:sz w:val="16"/>
        </w:rPr>
        <w:t> </w:t>
      </w:r>
      <w:r>
        <w:rPr>
          <w:color w:val="231F20"/>
          <w:w w:val="110"/>
          <w:sz w:val="16"/>
        </w:rPr>
        <w:t>Ley</w:t>
      </w:r>
      <w:r>
        <w:rPr>
          <w:color w:val="231F20"/>
          <w:spacing w:val="-4"/>
          <w:w w:val="110"/>
          <w:sz w:val="16"/>
        </w:rPr>
        <w:t> </w:t>
      </w:r>
      <w:r>
        <w:rPr>
          <w:color w:val="231F20"/>
          <w:w w:val="110"/>
          <w:sz w:val="16"/>
        </w:rPr>
        <w:t>Forestal</w:t>
      </w:r>
      <w:r>
        <w:rPr>
          <w:color w:val="231F20"/>
          <w:spacing w:val="-4"/>
          <w:w w:val="110"/>
          <w:sz w:val="16"/>
        </w:rPr>
        <w:t> </w:t>
      </w:r>
      <w:r>
        <w:rPr>
          <w:color w:val="231F20"/>
          <w:w w:val="110"/>
          <w:sz w:val="16"/>
        </w:rPr>
        <w:t>y</w:t>
      </w:r>
      <w:r>
        <w:rPr>
          <w:color w:val="231F20"/>
          <w:spacing w:val="-4"/>
          <w:w w:val="110"/>
          <w:sz w:val="16"/>
        </w:rPr>
        <w:t> </w:t>
      </w:r>
      <w:r>
        <w:rPr>
          <w:color w:val="231F20"/>
          <w:w w:val="110"/>
          <w:sz w:val="16"/>
        </w:rPr>
        <w:t>de</w:t>
      </w:r>
      <w:r>
        <w:rPr>
          <w:color w:val="231F20"/>
          <w:spacing w:val="-4"/>
          <w:w w:val="110"/>
          <w:sz w:val="16"/>
        </w:rPr>
        <w:t> </w:t>
      </w:r>
      <w:r>
        <w:rPr>
          <w:color w:val="231F20"/>
          <w:w w:val="110"/>
          <w:sz w:val="16"/>
        </w:rPr>
        <w:t>Fauna</w:t>
      </w:r>
      <w:r>
        <w:rPr>
          <w:color w:val="231F20"/>
          <w:spacing w:val="-4"/>
          <w:w w:val="110"/>
          <w:sz w:val="16"/>
        </w:rPr>
        <w:t> </w:t>
      </w:r>
      <w:r>
        <w:rPr>
          <w:color w:val="231F20"/>
          <w:w w:val="110"/>
          <w:sz w:val="16"/>
        </w:rPr>
        <w:t>Sil- vestre suscribe que: “El presidente de la República por cuanto que el Congreso de la República</w:t>
      </w:r>
      <w:r>
        <w:rPr>
          <w:color w:val="231F20"/>
          <w:spacing w:val="-9"/>
          <w:w w:val="110"/>
          <w:sz w:val="16"/>
        </w:rPr>
        <w:t> </w:t>
      </w:r>
      <w:r>
        <w:rPr>
          <w:color w:val="231F20"/>
          <w:w w:val="110"/>
          <w:sz w:val="16"/>
        </w:rPr>
        <w:t>por</w:t>
      </w:r>
      <w:r>
        <w:rPr>
          <w:color w:val="231F20"/>
          <w:spacing w:val="-9"/>
          <w:w w:val="110"/>
          <w:sz w:val="16"/>
        </w:rPr>
        <w:t> </w:t>
      </w:r>
      <w:r>
        <w:rPr>
          <w:color w:val="231F20"/>
          <w:w w:val="110"/>
          <w:sz w:val="16"/>
        </w:rPr>
        <w:t>Ley</w:t>
      </w:r>
      <w:r>
        <w:rPr>
          <w:color w:val="231F20"/>
          <w:spacing w:val="-9"/>
          <w:w w:val="110"/>
          <w:sz w:val="16"/>
        </w:rPr>
        <w:t> </w:t>
      </w:r>
      <w:r>
        <w:rPr>
          <w:color w:val="231F20"/>
          <w:w w:val="110"/>
          <w:sz w:val="16"/>
        </w:rPr>
        <w:t>29157</w:t>
      </w:r>
      <w:r>
        <w:rPr>
          <w:color w:val="231F20"/>
          <w:spacing w:val="-9"/>
          <w:w w:val="110"/>
          <w:sz w:val="16"/>
        </w:rPr>
        <w:t> </w:t>
      </w:r>
      <w:r>
        <w:rPr>
          <w:color w:val="231F20"/>
          <w:w w:val="110"/>
          <w:sz w:val="16"/>
        </w:rPr>
        <w:t>ha</w:t>
      </w:r>
      <w:r>
        <w:rPr>
          <w:color w:val="231F20"/>
          <w:spacing w:val="-9"/>
          <w:w w:val="110"/>
          <w:sz w:val="16"/>
        </w:rPr>
        <w:t> </w:t>
      </w:r>
      <w:r>
        <w:rPr>
          <w:color w:val="231F20"/>
          <w:w w:val="110"/>
          <w:sz w:val="16"/>
        </w:rPr>
        <w:t>delegado</w:t>
      </w:r>
      <w:r>
        <w:rPr>
          <w:color w:val="231F20"/>
          <w:spacing w:val="-9"/>
          <w:w w:val="110"/>
          <w:sz w:val="16"/>
        </w:rPr>
        <w:t> </w:t>
      </w:r>
      <w:r>
        <w:rPr>
          <w:color w:val="231F20"/>
          <w:w w:val="110"/>
          <w:sz w:val="16"/>
        </w:rPr>
        <w:t>en</w:t>
      </w:r>
      <w:r>
        <w:rPr>
          <w:color w:val="231F20"/>
          <w:spacing w:val="-9"/>
          <w:w w:val="110"/>
          <w:sz w:val="16"/>
        </w:rPr>
        <w:t> </w:t>
      </w:r>
      <w:r>
        <w:rPr>
          <w:color w:val="231F20"/>
          <w:w w:val="110"/>
          <w:sz w:val="16"/>
        </w:rPr>
        <w:t>el</w:t>
      </w:r>
      <w:r>
        <w:rPr>
          <w:color w:val="231F20"/>
          <w:spacing w:val="-9"/>
          <w:w w:val="110"/>
          <w:sz w:val="16"/>
        </w:rPr>
        <w:t> </w:t>
      </w:r>
      <w:r>
        <w:rPr>
          <w:color w:val="231F20"/>
          <w:w w:val="110"/>
          <w:sz w:val="16"/>
        </w:rPr>
        <w:t>Poder</w:t>
      </w:r>
      <w:r>
        <w:rPr>
          <w:color w:val="231F20"/>
          <w:spacing w:val="-9"/>
          <w:w w:val="110"/>
          <w:sz w:val="16"/>
        </w:rPr>
        <w:t> </w:t>
      </w:r>
      <w:r>
        <w:rPr>
          <w:color w:val="231F20"/>
          <w:w w:val="110"/>
          <w:sz w:val="16"/>
        </w:rPr>
        <w:t>Ejecutivo</w:t>
      </w:r>
      <w:r>
        <w:rPr>
          <w:color w:val="231F20"/>
          <w:spacing w:val="-9"/>
          <w:w w:val="110"/>
          <w:sz w:val="16"/>
        </w:rPr>
        <w:t> </w:t>
      </w:r>
      <w:r>
        <w:rPr>
          <w:color w:val="231F20"/>
          <w:w w:val="110"/>
          <w:sz w:val="16"/>
        </w:rPr>
        <w:t>la</w:t>
      </w:r>
      <w:r>
        <w:rPr>
          <w:color w:val="231F20"/>
          <w:spacing w:val="-9"/>
          <w:w w:val="110"/>
          <w:sz w:val="16"/>
        </w:rPr>
        <w:t> </w:t>
      </w:r>
      <w:r>
        <w:rPr>
          <w:color w:val="231F20"/>
          <w:w w:val="110"/>
          <w:sz w:val="16"/>
        </w:rPr>
        <w:t>facultad</w:t>
      </w:r>
      <w:r>
        <w:rPr>
          <w:color w:val="231F20"/>
          <w:spacing w:val="-9"/>
          <w:w w:val="110"/>
          <w:sz w:val="16"/>
        </w:rPr>
        <w:t> </w:t>
      </w:r>
      <w:r>
        <w:rPr>
          <w:color w:val="231F20"/>
          <w:w w:val="110"/>
          <w:sz w:val="16"/>
        </w:rPr>
        <w:t>de</w:t>
      </w:r>
      <w:r>
        <w:rPr>
          <w:color w:val="231F20"/>
          <w:spacing w:val="-9"/>
          <w:w w:val="110"/>
          <w:sz w:val="16"/>
        </w:rPr>
        <w:t> </w:t>
      </w:r>
      <w:r>
        <w:rPr>
          <w:color w:val="231F20"/>
          <w:w w:val="110"/>
          <w:sz w:val="16"/>
        </w:rPr>
        <w:t>legislar,</w:t>
      </w:r>
      <w:r>
        <w:rPr>
          <w:color w:val="231F20"/>
          <w:spacing w:val="-9"/>
          <w:w w:val="110"/>
          <w:sz w:val="16"/>
        </w:rPr>
        <w:t> </w:t>
      </w:r>
      <w:r>
        <w:rPr>
          <w:color w:val="231F20"/>
          <w:w w:val="110"/>
          <w:sz w:val="16"/>
        </w:rPr>
        <w:t>por un</w:t>
      </w:r>
      <w:r>
        <w:rPr>
          <w:color w:val="231F20"/>
          <w:spacing w:val="-13"/>
          <w:w w:val="110"/>
          <w:sz w:val="16"/>
        </w:rPr>
        <w:t> </w:t>
      </w:r>
      <w:r>
        <w:rPr>
          <w:color w:val="231F20"/>
          <w:w w:val="110"/>
          <w:sz w:val="16"/>
        </w:rPr>
        <w:t>plazo</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180</w:t>
      </w:r>
      <w:r>
        <w:rPr>
          <w:color w:val="231F20"/>
          <w:spacing w:val="-13"/>
          <w:w w:val="110"/>
          <w:sz w:val="16"/>
        </w:rPr>
        <w:t> </w:t>
      </w:r>
      <w:r>
        <w:rPr>
          <w:color w:val="231F20"/>
          <w:w w:val="110"/>
          <w:sz w:val="16"/>
        </w:rPr>
        <w:t>días</w:t>
      </w:r>
      <w:r>
        <w:rPr>
          <w:color w:val="231F20"/>
          <w:spacing w:val="-13"/>
          <w:w w:val="110"/>
          <w:sz w:val="16"/>
        </w:rPr>
        <w:t> </w:t>
      </w:r>
      <w:r>
        <w:rPr>
          <w:color w:val="231F20"/>
          <w:w w:val="110"/>
          <w:sz w:val="16"/>
        </w:rPr>
        <w:t>calendario,</w:t>
      </w:r>
      <w:r>
        <w:rPr>
          <w:color w:val="231F20"/>
          <w:spacing w:val="-13"/>
          <w:w w:val="110"/>
          <w:sz w:val="16"/>
        </w:rPr>
        <w:t> </w:t>
      </w:r>
      <w:r>
        <w:rPr>
          <w:color w:val="231F20"/>
          <w:w w:val="110"/>
          <w:sz w:val="16"/>
        </w:rPr>
        <w:t>sobre</w:t>
      </w:r>
      <w:r>
        <w:rPr>
          <w:color w:val="231F20"/>
          <w:spacing w:val="-13"/>
          <w:w w:val="110"/>
          <w:sz w:val="16"/>
        </w:rPr>
        <w:t> </w:t>
      </w:r>
      <w:r>
        <w:rPr>
          <w:color w:val="231F20"/>
          <w:w w:val="110"/>
          <w:sz w:val="16"/>
        </w:rPr>
        <w:t>diversas</w:t>
      </w:r>
      <w:r>
        <w:rPr>
          <w:color w:val="231F20"/>
          <w:spacing w:val="-13"/>
          <w:w w:val="110"/>
          <w:sz w:val="16"/>
        </w:rPr>
        <w:t> </w:t>
      </w:r>
      <w:r>
        <w:rPr>
          <w:color w:val="231F20"/>
          <w:w w:val="110"/>
          <w:sz w:val="16"/>
        </w:rPr>
        <w:t>materias</w:t>
      </w:r>
      <w:r>
        <w:rPr>
          <w:color w:val="231F20"/>
          <w:spacing w:val="-13"/>
          <w:w w:val="110"/>
          <w:sz w:val="16"/>
        </w:rPr>
        <w:t> </w:t>
      </w:r>
      <w:r>
        <w:rPr>
          <w:color w:val="231F20"/>
          <w:w w:val="110"/>
          <w:sz w:val="16"/>
        </w:rPr>
        <w:t>relacionadas</w:t>
      </w:r>
      <w:r>
        <w:rPr>
          <w:color w:val="231F20"/>
          <w:spacing w:val="-13"/>
          <w:w w:val="110"/>
          <w:sz w:val="16"/>
        </w:rPr>
        <w:t> </w:t>
      </w:r>
      <w:r>
        <w:rPr>
          <w:color w:val="231F20"/>
          <w:w w:val="110"/>
          <w:sz w:val="16"/>
        </w:rPr>
        <w:t>con</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implemen- tación del Acuerdo de Promoción Comercial Perú-Estados Unidos y su Protocolo de Enmienda;</w:t>
      </w:r>
      <w:r>
        <w:rPr>
          <w:color w:val="231F20"/>
          <w:spacing w:val="-10"/>
          <w:w w:val="110"/>
          <w:sz w:val="16"/>
        </w:rPr>
        <w:t> </w:t>
      </w:r>
      <w:r>
        <w:rPr>
          <w:color w:val="231F20"/>
          <w:w w:val="110"/>
          <w:sz w:val="16"/>
        </w:rPr>
        <w:t>entre</w:t>
      </w:r>
      <w:r>
        <w:rPr>
          <w:color w:val="231F20"/>
          <w:spacing w:val="-10"/>
          <w:w w:val="110"/>
          <w:sz w:val="16"/>
        </w:rPr>
        <w:t> </w:t>
      </w:r>
      <w:r>
        <w:rPr>
          <w:color w:val="231F20"/>
          <w:w w:val="110"/>
          <w:sz w:val="16"/>
        </w:rPr>
        <w:t>las</w:t>
      </w:r>
      <w:r>
        <w:rPr>
          <w:color w:val="231F20"/>
          <w:spacing w:val="-10"/>
          <w:w w:val="110"/>
          <w:sz w:val="16"/>
        </w:rPr>
        <w:t> </w:t>
      </w:r>
      <w:r>
        <w:rPr>
          <w:color w:val="231F20"/>
          <w:w w:val="110"/>
          <w:sz w:val="16"/>
        </w:rPr>
        <w:t>que</w:t>
      </w:r>
      <w:r>
        <w:rPr>
          <w:color w:val="231F20"/>
          <w:spacing w:val="-10"/>
          <w:w w:val="110"/>
          <w:sz w:val="16"/>
        </w:rPr>
        <w:t> </w:t>
      </w:r>
      <w:r>
        <w:rPr>
          <w:color w:val="231F20"/>
          <w:w w:val="110"/>
          <w:sz w:val="16"/>
        </w:rPr>
        <w:t>se</w:t>
      </w:r>
      <w:r>
        <w:rPr>
          <w:color w:val="231F20"/>
          <w:spacing w:val="-10"/>
          <w:w w:val="110"/>
          <w:sz w:val="16"/>
        </w:rPr>
        <w:t> </w:t>
      </w:r>
      <w:r>
        <w:rPr>
          <w:color w:val="231F20"/>
          <w:w w:val="110"/>
          <w:sz w:val="16"/>
        </w:rPr>
        <w:t>encuentra</w:t>
      </w:r>
      <w:r>
        <w:rPr>
          <w:color w:val="231F20"/>
          <w:spacing w:val="-10"/>
          <w:w w:val="110"/>
          <w:sz w:val="16"/>
        </w:rPr>
        <w:t> </w:t>
      </w:r>
      <w:r>
        <w:rPr>
          <w:color w:val="231F20"/>
          <w:w w:val="110"/>
          <w:sz w:val="16"/>
        </w:rPr>
        <w:t>mejorar</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marco</w:t>
      </w:r>
      <w:r>
        <w:rPr>
          <w:color w:val="231F20"/>
          <w:spacing w:val="-10"/>
          <w:w w:val="110"/>
          <w:sz w:val="16"/>
        </w:rPr>
        <w:t> </w:t>
      </w:r>
      <w:r>
        <w:rPr>
          <w:color w:val="231F20"/>
          <w:w w:val="110"/>
          <w:sz w:val="16"/>
        </w:rPr>
        <w:t>regulatorio</w:t>
      </w:r>
      <w:r>
        <w:rPr>
          <w:color w:val="231F20"/>
          <w:spacing w:val="-10"/>
          <w:w w:val="110"/>
          <w:sz w:val="16"/>
        </w:rPr>
        <w:t> </w:t>
      </w:r>
      <w:r>
        <w:rPr>
          <w:color w:val="231F20"/>
          <w:w w:val="110"/>
          <w:sz w:val="16"/>
        </w:rPr>
        <w:t>y</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fortalecimiento institucional de la gestión ambiental […] ha dado el Decreto Legislativo</w:t>
      </w:r>
      <w:r>
        <w:rPr>
          <w:color w:val="231F20"/>
          <w:spacing w:val="28"/>
          <w:w w:val="110"/>
          <w:sz w:val="16"/>
        </w:rPr>
        <w:t> </w:t>
      </w:r>
      <w:r>
        <w:rPr>
          <w:color w:val="231F20"/>
          <w:w w:val="110"/>
          <w:sz w:val="16"/>
        </w:rPr>
        <w:t>siguiente.”</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pStyle w:val="BodyText"/>
        <w:spacing w:before="67"/>
        <w:ind w:left="100"/>
        <w:jc w:val="both"/>
      </w:pPr>
      <w:r>
        <w:rPr>
          <w:color w:val="231F20"/>
          <w:w w:val="120"/>
        </w:rPr>
        <w:t>securitización de los minerales, extractivismo y  </w:t>
      </w:r>
      <w:r>
        <w:rPr>
          <w:color w:val="231F20"/>
          <w:spacing w:val="50"/>
          <w:w w:val="120"/>
        </w:rPr>
        <w:t> </w:t>
      </w:r>
      <w:r>
        <w:rPr>
          <w:color w:val="231F20"/>
          <w:w w:val="120"/>
        </w:rPr>
        <w:t>dependencia</w:t>
      </w:r>
    </w:p>
    <w:p>
      <w:pPr>
        <w:pStyle w:val="BodyText"/>
        <w:spacing w:before="5"/>
        <w:rPr>
          <w:sz w:val="23"/>
        </w:rPr>
      </w:pPr>
    </w:p>
    <w:p>
      <w:pPr>
        <w:pStyle w:val="BodyText"/>
        <w:spacing w:line="261" w:lineRule="auto"/>
        <w:ind w:left="100" w:right="117"/>
        <w:jc w:val="both"/>
      </w:pPr>
      <w:r>
        <w:rPr>
          <w:color w:val="231F20"/>
          <w:w w:val="105"/>
        </w:rPr>
        <w:t>Como en el caso de la energía,  el  avance  científico-tecnológico,  tanto en lo civil como lo </w:t>
      </w:r>
      <w:r>
        <w:rPr>
          <w:color w:val="231F20"/>
          <w:spacing w:val="-3"/>
          <w:w w:val="105"/>
        </w:rPr>
        <w:t>militar,  </w:t>
      </w:r>
      <w:r>
        <w:rPr>
          <w:color w:val="231F20"/>
          <w:w w:val="105"/>
        </w:rPr>
        <w:t>continuamente modifica el carác-    ter estratégico de los distintos materiales clave. Por ejemplo, no es hasta la invención de la energía eléctrica y su popularización, que el consumo de cobre se intensifica como nunca en la historia humana. Más aún, con el avance de la ingeniería de nuevos materiales y la nanotecnología, el uso extensivo de todo tipo de materiales se ha agudizado pues se han logrado aleaciones o arreglos de materiales altamente  novedosos  (Delgado,</w:t>
      </w:r>
      <w:r>
        <w:rPr>
          <w:color w:val="231F20"/>
          <w:spacing w:val="49"/>
          <w:w w:val="105"/>
        </w:rPr>
        <w:t> </w:t>
      </w:r>
      <w:r>
        <w:rPr>
          <w:color w:val="231F20"/>
          <w:w w:val="105"/>
        </w:rPr>
        <w:t>2008).</w:t>
      </w:r>
    </w:p>
    <w:p>
      <w:pPr>
        <w:pStyle w:val="BodyText"/>
        <w:spacing w:line="261" w:lineRule="auto"/>
        <w:ind w:left="100" w:right="117" w:firstLine="240"/>
        <w:jc w:val="both"/>
      </w:pPr>
      <w:r>
        <w:rPr>
          <w:color w:val="231F20"/>
          <w:w w:val="110"/>
        </w:rPr>
        <w:t>A</w:t>
      </w:r>
      <w:r>
        <w:rPr>
          <w:color w:val="231F20"/>
          <w:spacing w:val="-4"/>
          <w:w w:val="110"/>
        </w:rPr>
        <w:t> </w:t>
      </w:r>
      <w:r>
        <w:rPr>
          <w:color w:val="231F20"/>
          <w:w w:val="110"/>
        </w:rPr>
        <w:t>lo</w:t>
      </w:r>
      <w:r>
        <w:rPr>
          <w:color w:val="231F20"/>
          <w:spacing w:val="-4"/>
          <w:w w:val="110"/>
        </w:rPr>
        <w:t> </w:t>
      </w:r>
      <w:r>
        <w:rPr>
          <w:color w:val="231F20"/>
          <w:w w:val="110"/>
        </w:rPr>
        <w:t>señalado</w:t>
      </w:r>
      <w:r>
        <w:rPr>
          <w:color w:val="231F20"/>
          <w:spacing w:val="-4"/>
          <w:w w:val="110"/>
        </w:rPr>
        <w:t> </w:t>
      </w:r>
      <w:r>
        <w:rPr>
          <w:color w:val="231F20"/>
          <w:w w:val="110"/>
        </w:rPr>
        <w:t>entonces</w:t>
      </w:r>
      <w:r>
        <w:rPr>
          <w:color w:val="231F20"/>
          <w:spacing w:val="-4"/>
          <w:w w:val="110"/>
        </w:rPr>
        <w:t> </w:t>
      </w:r>
      <w:r>
        <w:rPr>
          <w:color w:val="231F20"/>
          <w:w w:val="110"/>
        </w:rPr>
        <w:t>deben</w:t>
      </w:r>
      <w:r>
        <w:rPr>
          <w:color w:val="231F20"/>
          <w:spacing w:val="-4"/>
          <w:w w:val="110"/>
        </w:rPr>
        <w:t> </w:t>
      </w:r>
      <w:r>
        <w:rPr>
          <w:color w:val="231F20"/>
          <w:w w:val="110"/>
        </w:rPr>
        <w:t>sumarse</w:t>
      </w:r>
      <w:r>
        <w:rPr>
          <w:color w:val="231F20"/>
          <w:spacing w:val="-4"/>
          <w:w w:val="110"/>
        </w:rPr>
        <w:t> </w:t>
      </w:r>
      <w:r>
        <w:rPr>
          <w:color w:val="231F20"/>
          <w:w w:val="110"/>
        </w:rPr>
        <w:t>en</w:t>
      </w:r>
      <w:r>
        <w:rPr>
          <w:color w:val="231F20"/>
          <w:spacing w:val="-4"/>
          <w:w w:val="110"/>
        </w:rPr>
        <w:t> </w:t>
      </w:r>
      <w:r>
        <w:rPr>
          <w:color w:val="231F20"/>
          <w:w w:val="110"/>
        </w:rPr>
        <w:t>paralelo</w:t>
      </w:r>
      <w:r>
        <w:rPr>
          <w:color w:val="231F20"/>
          <w:spacing w:val="-4"/>
          <w:w w:val="110"/>
        </w:rPr>
        <w:t> </w:t>
      </w:r>
      <w:r>
        <w:rPr>
          <w:color w:val="231F20"/>
          <w:w w:val="110"/>
        </w:rPr>
        <w:t>los</w:t>
      </w:r>
      <w:r>
        <w:rPr>
          <w:color w:val="231F20"/>
          <w:spacing w:val="-4"/>
          <w:w w:val="110"/>
        </w:rPr>
        <w:t> </w:t>
      </w:r>
      <w:r>
        <w:rPr>
          <w:color w:val="231F20"/>
          <w:w w:val="110"/>
        </w:rPr>
        <w:t>patrones</w:t>
      </w:r>
      <w:r>
        <w:rPr>
          <w:color w:val="231F20"/>
          <w:spacing w:val="-4"/>
          <w:w w:val="110"/>
        </w:rPr>
        <w:t> </w:t>
      </w:r>
      <w:r>
        <w:rPr>
          <w:color w:val="231F20"/>
          <w:w w:val="110"/>
        </w:rPr>
        <w:t>de consumo ya que han puesto en duda la capacidad de abastecimiento creciente y seguro. Se trata de un hecho que desde la segunda</w:t>
      </w:r>
      <w:r>
        <w:rPr>
          <w:color w:val="231F20"/>
          <w:spacing w:val="-34"/>
          <w:w w:val="110"/>
        </w:rPr>
        <w:t> </w:t>
      </w:r>
      <w:r>
        <w:rPr>
          <w:color w:val="231F20"/>
          <w:w w:val="110"/>
        </w:rPr>
        <w:t>guerra mundial ya era reconocido por William Clayton, entonces subsecre- tario de Estado de Estados</w:t>
      </w:r>
      <w:r>
        <w:rPr>
          <w:color w:val="231F20"/>
          <w:spacing w:val="15"/>
          <w:w w:val="110"/>
        </w:rPr>
        <w:t> </w:t>
      </w:r>
      <w:r>
        <w:rPr>
          <w:color w:val="231F20"/>
          <w:w w:val="110"/>
        </w:rPr>
        <w:t>Unidos:</w:t>
      </w:r>
    </w:p>
    <w:p>
      <w:pPr>
        <w:pStyle w:val="BodyText"/>
        <w:spacing w:before="4"/>
        <w:rPr>
          <w:sz w:val="23"/>
        </w:rPr>
      </w:pPr>
    </w:p>
    <w:p>
      <w:pPr>
        <w:spacing w:line="290" w:lineRule="auto" w:before="0"/>
        <w:ind w:left="100" w:right="117" w:firstLine="0"/>
        <w:jc w:val="both"/>
        <w:rPr>
          <w:sz w:val="18"/>
        </w:rPr>
      </w:pPr>
      <w:r>
        <w:rPr>
          <w:color w:val="231F20"/>
          <w:w w:val="110"/>
          <w:sz w:val="18"/>
        </w:rPr>
        <w:t>debido al serio desgaste de nuestros recursos naturales durante la guerra, debemos ahora importar muchos minerales y metales […] Ciertamente hoy somos importadores netos de casi todos los metales y minerales</w:t>
      </w:r>
      <w:r>
        <w:rPr>
          <w:color w:val="231F20"/>
          <w:spacing w:val="-34"/>
          <w:w w:val="110"/>
          <w:sz w:val="18"/>
        </w:rPr>
        <w:t> </w:t>
      </w:r>
      <w:r>
        <w:rPr>
          <w:color w:val="231F20"/>
          <w:w w:val="110"/>
          <w:sz w:val="18"/>
        </w:rPr>
        <w:t>importantes excepto dos, el carbón y el petróleo. Quién sabe por cuánto tiempo podre- mos seguir adelante sin importar petróleo (Kolko, 1972:</w:t>
      </w:r>
      <w:r>
        <w:rPr>
          <w:color w:val="231F20"/>
          <w:spacing w:val="39"/>
          <w:w w:val="110"/>
          <w:sz w:val="18"/>
        </w:rPr>
        <w:t> </w:t>
      </w:r>
      <w:r>
        <w:rPr>
          <w:color w:val="231F20"/>
          <w:w w:val="110"/>
          <w:sz w:val="18"/>
        </w:rPr>
        <w:t>13).</w:t>
      </w:r>
    </w:p>
    <w:p>
      <w:pPr>
        <w:pStyle w:val="BodyText"/>
        <w:spacing w:before="2"/>
      </w:pPr>
    </w:p>
    <w:p>
      <w:pPr>
        <w:pStyle w:val="BodyText"/>
        <w:spacing w:line="261" w:lineRule="auto"/>
        <w:ind w:left="100" w:right="111" w:firstLine="240"/>
        <w:jc w:val="both"/>
      </w:pPr>
      <w:r>
        <w:rPr>
          <w:color w:val="231F20"/>
          <w:w w:val="110"/>
        </w:rPr>
        <w:t>A principios del siglo xxi, lo anterior se coloca como una cues- tión de preocupación </w:t>
      </w:r>
      <w:r>
        <w:rPr>
          <w:color w:val="231F20"/>
          <w:spacing w:val="-3"/>
          <w:w w:val="110"/>
        </w:rPr>
        <w:t>mayor, </w:t>
      </w:r>
      <w:r>
        <w:rPr>
          <w:color w:val="231F20"/>
          <w:w w:val="110"/>
        </w:rPr>
        <w:t>más cuando se registra un aumento considerable del consumo de dichos materiales por parte, no sólo  de los países metropolitanos, sino de otros como China e India  dado</w:t>
      </w:r>
      <w:r>
        <w:rPr>
          <w:color w:val="231F20"/>
          <w:spacing w:val="-4"/>
          <w:w w:val="110"/>
        </w:rPr>
        <w:t> </w:t>
      </w:r>
      <w:r>
        <w:rPr>
          <w:color w:val="231F20"/>
          <w:w w:val="110"/>
        </w:rPr>
        <w:t>los</w:t>
      </w:r>
      <w:r>
        <w:rPr>
          <w:color w:val="231F20"/>
          <w:spacing w:val="-4"/>
          <w:w w:val="110"/>
        </w:rPr>
        <w:t> </w:t>
      </w:r>
      <w:r>
        <w:rPr>
          <w:color w:val="231F20"/>
          <w:w w:val="110"/>
        </w:rPr>
        <w:t>procesos</w:t>
      </w:r>
      <w:r>
        <w:rPr>
          <w:color w:val="231F20"/>
          <w:spacing w:val="-4"/>
          <w:w w:val="110"/>
        </w:rPr>
        <w:t> </w:t>
      </w:r>
      <w:r>
        <w:rPr>
          <w:color w:val="231F20"/>
          <w:w w:val="110"/>
        </w:rPr>
        <w:t>de</w:t>
      </w:r>
      <w:r>
        <w:rPr>
          <w:color w:val="231F20"/>
          <w:spacing w:val="-4"/>
          <w:w w:val="110"/>
        </w:rPr>
        <w:t> </w:t>
      </w:r>
      <w:r>
        <w:rPr>
          <w:color w:val="231F20"/>
          <w:w w:val="110"/>
        </w:rPr>
        <w:t>industrialización</w:t>
      </w:r>
      <w:r>
        <w:rPr>
          <w:color w:val="231F20"/>
          <w:spacing w:val="-4"/>
          <w:w w:val="110"/>
        </w:rPr>
        <w:t> </w:t>
      </w:r>
      <w:r>
        <w:rPr>
          <w:color w:val="231F20"/>
          <w:w w:val="110"/>
        </w:rPr>
        <w:t>por</w:t>
      </w:r>
      <w:r>
        <w:rPr>
          <w:color w:val="231F20"/>
          <w:spacing w:val="-4"/>
          <w:w w:val="110"/>
        </w:rPr>
        <w:t> </w:t>
      </w:r>
      <w:r>
        <w:rPr>
          <w:color w:val="231F20"/>
          <w:w w:val="110"/>
        </w:rPr>
        <w:t>los</w:t>
      </w:r>
      <w:r>
        <w:rPr>
          <w:color w:val="231F20"/>
          <w:spacing w:val="-4"/>
          <w:w w:val="110"/>
        </w:rPr>
        <w:t> </w:t>
      </w:r>
      <w:r>
        <w:rPr>
          <w:color w:val="231F20"/>
          <w:w w:val="110"/>
        </w:rPr>
        <w:t>que</w:t>
      </w:r>
      <w:r>
        <w:rPr>
          <w:color w:val="231F20"/>
          <w:spacing w:val="-4"/>
          <w:w w:val="110"/>
        </w:rPr>
        <w:t> </w:t>
      </w:r>
      <w:r>
        <w:rPr>
          <w:color w:val="231F20"/>
          <w:w w:val="110"/>
        </w:rPr>
        <w:t>cruzan.</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caso de Estados Unidos, se estima por tanto que cada año se requieren alrededor de 11.3 toneladas métricas de minerales no energéticos “frescos”,</w:t>
      </w:r>
      <w:r>
        <w:rPr>
          <w:color w:val="231F20"/>
          <w:spacing w:val="-7"/>
          <w:w w:val="110"/>
        </w:rPr>
        <w:t> </w:t>
      </w:r>
      <w:r>
        <w:rPr>
          <w:color w:val="231F20"/>
          <w:w w:val="110"/>
        </w:rPr>
        <w:t>a</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suma</w:t>
      </w:r>
      <w:r>
        <w:rPr>
          <w:color w:val="231F20"/>
          <w:spacing w:val="-7"/>
          <w:w w:val="110"/>
        </w:rPr>
        <w:t> </w:t>
      </w:r>
      <w:r>
        <w:rPr>
          <w:color w:val="231F20"/>
          <w:w w:val="110"/>
        </w:rPr>
        <w:t>aquellos</w:t>
      </w:r>
      <w:r>
        <w:rPr>
          <w:color w:val="231F20"/>
          <w:spacing w:val="-7"/>
          <w:w w:val="110"/>
        </w:rPr>
        <w:t> </w:t>
      </w:r>
      <w:r>
        <w:rPr>
          <w:color w:val="231F20"/>
          <w:w w:val="110"/>
        </w:rPr>
        <w:t>reciclados</w:t>
      </w:r>
      <w:r>
        <w:rPr>
          <w:color w:val="231F20"/>
          <w:spacing w:val="-7"/>
          <w:w w:val="110"/>
        </w:rPr>
        <w:t> </w:t>
      </w:r>
      <w:r>
        <w:rPr>
          <w:color w:val="231F20"/>
          <w:w w:val="110"/>
        </w:rPr>
        <w:t>(ccmiuse</w:t>
      </w:r>
      <w:r>
        <w:rPr>
          <w:color w:val="231F20"/>
          <w:spacing w:val="-8"/>
          <w:w w:val="110"/>
        </w:rPr>
        <w:t> </w:t>
      </w:r>
      <w:r>
        <w:rPr>
          <w:i/>
          <w:color w:val="231F20"/>
          <w:w w:val="110"/>
        </w:rPr>
        <w:t>et</w:t>
      </w:r>
      <w:r>
        <w:rPr>
          <w:i/>
          <w:color w:val="231F20"/>
          <w:spacing w:val="-7"/>
          <w:w w:val="110"/>
        </w:rPr>
        <w:t> </w:t>
      </w:r>
      <w:r>
        <w:rPr>
          <w:i/>
          <w:color w:val="231F20"/>
          <w:w w:val="110"/>
        </w:rPr>
        <w:t>al</w:t>
      </w:r>
      <w:r>
        <w:rPr>
          <w:color w:val="231F20"/>
          <w:w w:val="110"/>
        </w:rPr>
        <w:t>.,</w:t>
      </w:r>
      <w:r>
        <w:rPr>
          <w:color w:val="231F20"/>
          <w:spacing w:val="-7"/>
          <w:w w:val="110"/>
        </w:rPr>
        <w:t> </w:t>
      </w:r>
      <w:r>
        <w:rPr>
          <w:color w:val="231F20"/>
          <w:w w:val="110"/>
        </w:rPr>
        <w:t>2008: 1). No extraña entonces que la dependencia de Estados Unidos sea en efecto ascendente. En 1980 Estados Unidos dependía al 100% de cuatro minerales y de 16 más en el orden de un 30 y un 99%. En 1992</w:t>
      </w:r>
      <w:r>
        <w:rPr>
          <w:color w:val="231F20"/>
          <w:spacing w:val="13"/>
          <w:w w:val="110"/>
        </w:rPr>
        <w:t> </w:t>
      </w:r>
      <w:r>
        <w:rPr>
          <w:color w:val="231F20"/>
          <w:w w:val="110"/>
        </w:rPr>
        <w:t>la</w:t>
      </w:r>
      <w:r>
        <w:rPr>
          <w:color w:val="231F20"/>
          <w:spacing w:val="13"/>
          <w:w w:val="110"/>
        </w:rPr>
        <w:t> </w:t>
      </w:r>
      <w:r>
        <w:rPr>
          <w:color w:val="231F20"/>
          <w:w w:val="110"/>
        </w:rPr>
        <w:t>dependencia</w:t>
      </w:r>
      <w:r>
        <w:rPr>
          <w:color w:val="231F20"/>
          <w:spacing w:val="13"/>
          <w:w w:val="110"/>
        </w:rPr>
        <w:t> </w:t>
      </w:r>
      <w:r>
        <w:rPr>
          <w:color w:val="231F20"/>
          <w:w w:val="110"/>
        </w:rPr>
        <w:t>era</w:t>
      </w:r>
      <w:r>
        <w:rPr>
          <w:color w:val="231F20"/>
          <w:spacing w:val="13"/>
          <w:w w:val="110"/>
        </w:rPr>
        <w:t> </w:t>
      </w:r>
      <w:r>
        <w:rPr>
          <w:color w:val="231F20"/>
          <w:w w:val="110"/>
        </w:rPr>
        <w:t>de</w:t>
      </w:r>
      <w:r>
        <w:rPr>
          <w:color w:val="231F20"/>
          <w:spacing w:val="13"/>
          <w:w w:val="110"/>
        </w:rPr>
        <w:t> </w:t>
      </w:r>
      <w:r>
        <w:rPr>
          <w:color w:val="231F20"/>
          <w:w w:val="110"/>
        </w:rPr>
        <w:t>8</w:t>
      </w:r>
      <w:r>
        <w:rPr>
          <w:color w:val="231F20"/>
          <w:spacing w:val="13"/>
          <w:w w:val="110"/>
        </w:rPr>
        <w:t> </w:t>
      </w:r>
      <w:r>
        <w:rPr>
          <w:color w:val="231F20"/>
          <w:w w:val="110"/>
        </w:rPr>
        <w:t>y</w:t>
      </w:r>
      <w:r>
        <w:rPr>
          <w:color w:val="231F20"/>
          <w:spacing w:val="13"/>
          <w:w w:val="110"/>
        </w:rPr>
        <w:t> </w:t>
      </w:r>
      <w:r>
        <w:rPr>
          <w:color w:val="231F20"/>
          <w:w w:val="110"/>
        </w:rPr>
        <w:t>22</w:t>
      </w:r>
      <w:r>
        <w:rPr>
          <w:color w:val="231F20"/>
          <w:spacing w:val="13"/>
          <w:w w:val="110"/>
        </w:rPr>
        <w:t> </w:t>
      </w:r>
      <w:r>
        <w:rPr>
          <w:color w:val="231F20"/>
          <w:w w:val="110"/>
        </w:rPr>
        <w:t>minerales</w:t>
      </w:r>
      <w:r>
        <w:rPr>
          <w:color w:val="231F20"/>
          <w:spacing w:val="13"/>
          <w:w w:val="110"/>
        </w:rPr>
        <w:t> </w:t>
      </w:r>
      <w:r>
        <w:rPr>
          <w:color w:val="231F20"/>
          <w:spacing w:val="-8"/>
          <w:w w:val="110"/>
        </w:rPr>
        <w:t>y,</w:t>
      </w:r>
      <w:r>
        <w:rPr>
          <w:color w:val="231F20"/>
          <w:spacing w:val="13"/>
          <w:w w:val="110"/>
        </w:rPr>
        <w:t> </w:t>
      </w:r>
      <w:r>
        <w:rPr>
          <w:color w:val="231F20"/>
          <w:w w:val="110"/>
        </w:rPr>
        <w:t>para</w:t>
      </w:r>
      <w:r>
        <w:rPr>
          <w:color w:val="231F20"/>
          <w:spacing w:val="13"/>
          <w:w w:val="110"/>
        </w:rPr>
        <w:t> </w:t>
      </w:r>
      <w:r>
        <w:rPr>
          <w:color w:val="231F20"/>
          <w:w w:val="110"/>
        </w:rPr>
        <w:t>2008,</w:t>
      </w:r>
      <w:r>
        <w:rPr>
          <w:color w:val="231F20"/>
          <w:spacing w:val="13"/>
          <w:w w:val="110"/>
        </w:rPr>
        <w:t> </w:t>
      </w:r>
      <w:r>
        <w:rPr>
          <w:color w:val="231F20"/>
          <w:w w:val="110"/>
        </w:rPr>
        <w:t>de</w:t>
      </w:r>
      <w:r>
        <w:rPr>
          <w:color w:val="231F20"/>
          <w:spacing w:val="13"/>
          <w:w w:val="110"/>
        </w:rPr>
        <w:t> </w:t>
      </w:r>
      <w:r>
        <w:rPr>
          <w:color w:val="231F20"/>
          <w:w w:val="110"/>
        </w:rPr>
        <w:t>18</w:t>
      </w:r>
      <w:r>
        <w:rPr>
          <w:color w:val="231F20"/>
          <w:spacing w:val="13"/>
          <w:w w:val="110"/>
        </w:rPr>
        <w:t> </w:t>
      </w:r>
      <w:r>
        <w:rPr>
          <w:color w:val="231F20"/>
          <w:w w:val="110"/>
        </w:rPr>
        <w:t>y</w:t>
      </w:r>
    </w:p>
    <w:p>
      <w:pPr>
        <w:pStyle w:val="BodyText"/>
        <w:ind w:left="100"/>
        <w:jc w:val="both"/>
      </w:pPr>
      <w:r>
        <w:rPr>
          <w:color w:val="231F20"/>
          <w:w w:val="105"/>
        </w:rPr>
        <w:t>30  respectivamente.</w:t>
      </w:r>
    </w:p>
    <w:p>
      <w:pPr>
        <w:pStyle w:val="BodyText"/>
        <w:spacing w:line="261" w:lineRule="auto" w:before="20"/>
        <w:ind w:left="100" w:right="117" w:firstLine="240"/>
        <w:jc w:val="both"/>
      </w:pPr>
      <w:r>
        <w:rPr>
          <w:color w:val="231F20"/>
          <w:w w:val="110"/>
        </w:rPr>
        <w:t>En términos generales, los minerales no preciosos que destacan por su dimensión de uso y dependencia (combinados), para el caso de Estados Unidos, son la bauxita/alumina (aluminio), el zinc, el</w:t>
      </w:r>
    </w:p>
    <w:p>
      <w:pPr>
        <w:spacing w:after="0" w:line="261" w:lineRule="auto"/>
        <w:jc w:val="both"/>
        <w:sectPr>
          <w:headerReference w:type="even" r:id="rId405"/>
          <w:headerReference w:type="default" r:id="rId406"/>
          <w:pgSz w:w="7640" w:h="11900"/>
          <w:pgMar w:header="672" w:footer="0" w:top="860" w:bottom="280" w:left="780" w:right="640"/>
          <w:pgNumType w:start="512"/>
        </w:sectPr>
      </w:pPr>
    </w:p>
    <w:p>
      <w:pPr>
        <w:pStyle w:val="BodyText"/>
        <w:spacing w:before="8"/>
        <w:rPr>
          <w:sz w:val="8"/>
        </w:rPr>
      </w:pPr>
    </w:p>
    <w:p>
      <w:pPr>
        <w:pStyle w:val="BodyText"/>
        <w:spacing w:line="261" w:lineRule="auto" w:before="67"/>
        <w:ind w:left="100" w:right="113"/>
      </w:pPr>
      <w:r>
        <w:rPr>
          <w:color w:val="231F20"/>
          <w:w w:val="110"/>
        </w:rPr>
        <w:t>cromo, el níquel y el cobre. Se podría decir que éstos son materiales esenciales para la economía estadunidense.</w:t>
      </w:r>
    </w:p>
    <w:p>
      <w:pPr>
        <w:pStyle w:val="BodyText"/>
        <w:spacing w:line="261" w:lineRule="auto"/>
        <w:ind w:left="100" w:right="116" w:firstLine="240"/>
        <w:jc w:val="both"/>
      </w:pPr>
      <w:r>
        <w:rPr>
          <w:color w:val="231F20"/>
          <w:w w:val="110"/>
        </w:rPr>
        <w:t>Datos de 2008 (usgs, 2009: 28-29) muestran, por ejemplo, que   la dependencia estadunidense de bauxita/alumina fue del 100%, siendo originarias las importaciones, en 31% de Jamaica; en 22%  de Guinea; en 19% de Brasil; en 12% de Guyana; y el resto de otros países.</w:t>
      </w:r>
      <w:r>
        <w:rPr>
          <w:color w:val="231F20"/>
          <w:spacing w:val="-18"/>
          <w:w w:val="110"/>
        </w:rPr>
        <w:t> </w:t>
      </w:r>
      <w:r>
        <w:rPr>
          <w:color w:val="231F20"/>
          <w:w w:val="110"/>
        </w:rPr>
        <w:t>En</w:t>
      </w:r>
      <w:r>
        <w:rPr>
          <w:color w:val="231F20"/>
          <w:spacing w:val="-18"/>
          <w:w w:val="110"/>
        </w:rPr>
        <w:t> </w:t>
      </w:r>
      <w:r>
        <w:rPr>
          <w:color w:val="231F20"/>
          <w:w w:val="110"/>
        </w:rPr>
        <w:t>lo</w:t>
      </w:r>
      <w:r>
        <w:rPr>
          <w:color w:val="231F20"/>
          <w:spacing w:val="-18"/>
          <w:w w:val="110"/>
        </w:rPr>
        <w:t> </w:t>
      </w:r>
      <w:r>
        <w:rPr>
          <w:color w:val="231F20"/>
          <w:w w:val="110"/>
        </w:rPr>
        <w:t>que</w:t>
      </w:r>
      <w:r>
        <w:rPr>
          <w:color w:val="231F20"/>
          <w:spacing w:val="-18"/>
          <w:w w:val="110"/>
        </w:rPr>
        <w:t> </w:t>
      </w:r>
      <w:r>
        <w:rPr>
          <w:color w:val="231F20"/>
          <w:w w:val="110"/>
        </w:rPr>
        <w:t>refiere</w:t>
      </w:r>
      <w:r>
        <w:rPr>
          <w:color w:val="231F20"/>
          <w:spacing w:val="-18"/>
          <w:w w:val="110"/>
        </w:rPr>
        <w:t> </w:t>
      </w:r>
      <w:r>
        <w:rPr>
          <w:color w:val="231F20"/>
          <w:w w:val="110"/>
        </w:rPr>
        <w:t>a</w:t>
      </w:r>
      <w:r>
        <w:rPr>
          <w:color w:val="231F20"/>
          <w:spacing w:val="-18"/>
          <w:w w:val="110"/>
        </w:rPr>
        <w:t> </w:t>
      </w:r>
      <w:r>
        <w:rPr>
          <w:color w:val="231F20"/>
          <w:w w:val="110"/>
        </w:rPr>
        <w:t>alumina,</w:t>
      </w:r>
      <w:r>
        <w:rPr>
          <w:color w:val="231F20"/>
          <w:spacing w:val="-18"/>
          <w:w w:val="110"/>
        </w:rPr>
        <w:t> </w:t>
      </w:r>
      <w:r>
        <w:rPr>
          <w:color w:val="231F20"/>
          <w:w w:val="110"/>
        </w:rPr>
        <w:t>un</w:t>
      </w:r>
      <w:r>
        <w:rPr>
          <w:color w:val="231F20"/>
          <w:spacing w:val="-18"/>
          <w:w w:val="110"/>
        </w:rPr>
        <w:t> </w:t>
      </w:r>
      <w:r>
        <w:rPr>
          <w:color w:val="231F20"/>
          <w:w w:val="110"/>
        </w:rPr>
        <w:t>45%</w:t>
      </w:r>
      <w:r>
        <w:rPr>
          <w:color w:val="231F20"/>
          <w:spacing w:val="-18"/>
          <w:w w:val="110"/>
        </w:rPr>
        <w:t> </w:t>
      </w:r>
      <w:r>
        <w:rPr>
          <w:color w:val="231F20"/>
          <w:w w:val="110"/>
        </w:rPr>
        <w:t>provino</w:t>
      </w:r>
      <w:r>
        <w:rPr>
          <w:color w:val="231F20"/>
          <w:spacing w:val="-18"/>
          <w:w w:val="110"/>
        </w:rPr>
        <w:t> </w:t>
      </w:r>
      <w:r>
        <w:rPr>
          <w:color w:val="231F20"/>
          <w:w w:val="110"/>
        </w:rPr>
        <w:t>de</w:t>
      </w:r>
      <w:r>
        <w:rPr>
          <w:color w:val="231F20"/>
          <w:spacing w:val="-18"/>
          <w:w w:val="110"/>
        </w:rPr>
        <w:t> </w:t>
      </w:r>
      <w:r>
        <w:rPr>
          <w:color w:val="231F20"/>
          <w:w w:val="110"/>
        </w:rPr>
        <w:t>Australia;</w:t>
      </w:r>
      <w:r>
        <w:rPr>
          <w:color w:val="231F20"/>
          <w:spacing w:val="-18"/>
          <w:w w:val="110"/>
        </w:rPr>
        <w:t> </w:t>
      </w:r>
      <w:r>
        <w:rPr>
          <w:color w:val="231F20"/>
          <w:w w:val="110"/>
        </w:rPr>
        <w:t>23% de Suriname; 12% de Jamaica; 7% de Brasil; y el resto de diversos países.</w:t>
      </w:r>
      <w:r>
        <w:rPr>
          <w:color w:val="231F20"/>
          <w:spacing w:val="-9"/>
          <w:w w:val="110"/>
        </w:rPr>
        <w:t> </w:t>
      </w:r>
      <w:r>
        <w:rPr>
          <w:color w:val="231F20"/>
          <w:w w:val="110"/>
        </w:rPr>
        <w:t>Las</w:t>
      </w:r>
      <w:r>
        <w:rPr>
          <w:color w:val="231F20"/>
          <w:spacing w:val="-9"/>
          <w:w w:val="110"/>
        </w:rPr>
        <w:t> </w:t>
      </w:r>
      <w:r>
        <w:rPr>
          <w:color w:val="231F20"/>
          <w:w w:val="110"/>
        </w:rPr>
        <w:t>cifras</w:t>
      </w:r>
      <w:r>
        <w:rPr>
          <w:color w:val="231F20"/>
          <w:spacing w:val="-9"/>
          <w:w w:val="110"/>
        </w:rPr>
        <w:t> </w:t>
      </w:r>
      <w:r>
        <w:rPr>
          <w:color w:val="231F20"/>
          <w:w w:val="110"/>
        </w:rPr>
        <w:t>anteriores</w:t>
      </w:r>
      <w:r>
        <w:rPr>
          <w:color w:val="231F20"/>
          <w:spacing w:val="-9"/>
          <w:w w:val="110"/>
        </w:rPr>
        <w:t> </w:t>
      </w:r>
      <w:r>
        <w:rPr>
          <w:color w:val="231F20"/>
          <w:w w:val="110"/>
        </w:rPr>
        <w:t>toman</w:t>
      </w:r>
      <w:r>
        <w:rPr>
          <w:color w:val="231F20"/>
          <w:spacing w:val="-9"/>
          <w:w w:val="110"/>
        </w:rPr>
        <w:t> </w:t>
      </w:r>
      <w:r>
        <w:rPr>
          <w:color w:val="231F20"/>
          <w:w w:val="110"/>
        </w:rPr>
        <w:t>las</w:t>
      </w:r>
      <w:r>
        <w:rPr>
          <w:color w:val="231F20"/>
          <w:spacing w:val="-9"/>
          <w:w w:val="110"/>
        </w:rPr>
        <w:t> </w:t>
      </w:r>
      <w:r>
        <w:rPr>
          <w:color w:val="231F20"/>
          <w:w w:val="110"/>
        </w:rPr>
        <w:t>dimensiones</w:t>
      </w:r>
      <w:r>
        <w:rPr>
          <w:color w:val="231F20"/>
          <w:spacing w:val="-9"/>
          <w:w w:val="110"/>
        </w:rPr>
        <w:t> </w:t>
      </w:r>
      <w:r>
        <w:rPr>
          <w:color w:val="231F20"/>
          <w:w w:val="110"/>
        </w:rPr>
        <w:t>geoeconómicas</w:t>
      </w:r>
      <w:r>
        <w:rPr>
          <w:color w:val="231F20"/>
          <w:spacing w:val="-9"/>
          <w:w w:val="110"/>
        </w:rPr>
        <w:t> </w:t>
      </w:r>
      <w:r>
        <w:rPr>
          <w:color w:val="231F20"/>
          <w:w w:val="110"/>
        </w:rPr>
        <w:t>y geopolíticas adecuadas cuando se tiene en consideración que 46% de las reservas mundiales de bauxita (estimadas entre 55 y 75 mil millones de toneladas métricas) se localizan en Sudamérica (24%)   y el Caribe</w:t>
      </w:r>
      <w:r>
        <w:rPr>
          <w:color w:val="231F20"/>
          <w:spacing w:val="6"/>
          <w:w w:val="110"/>
        </w:rPr>
        <w:t> </w:t>
      </w:r>
      <w:r>
        <w:rPr>
          <w:color w:val="231F20"/>
          <w:w w:val="110"/>
        </w:rPr>
        <w:t>(22%).</w:t>
      </w:r>
    </w:p>
    <w:p>
      <w:pPr>
        <w:pStyle w:val="BodyText"/>
        <w:spacing w:line="261" w:lineRule="auto"/>
        <w:ind w:left="100" w:right="117" w:firstLine="240"/>
        <w:jc w:val="both"/>
      </w:pPr>
      <w:r>
        <w:rPr>
          <w:color w:val="231F20"/>
          <w:w w:val="110"/>
        </w:rPr>
        <w:t>En el caso del cobre, la dependencia de Estados Unidos según datos de ese mismo año fue de 33% en términos del consumo</w:t>
      </w:r>
      <w:r>
        <w:rPr>
          <w:color w:val="231F20"/>
          <w:spacing w:val="-20"/>
          <w:w w:val="110"/>
        </w:rPr>
        <w:t> </w:t>
      </w:r>
      <w:r>
        <w:rPr>
          <w:color w:val="231F20"/>
          <w:w w:val="110"/>
        </w:rPr>
        <w:t>nacio- nal de ese país. Las importaciones de cobre sin manufacturar fueron cubiertas por Chile en 40%; por Canadá en 33%, por Perú en 13%   y</w:t>
      </w:r>
      <w:r>
        <w:rPr>
          <w:color w:val="231F20"/>
          <w:spacing w:val="-5"/>
          <w:w w:val="110"/>
        </w:rPr>
        <w:t> </w:t>
      </w:r>
      <w:r>
        <w:rPr>
          <w:color w:val="231F20"/>
          <w:w w:val="110"/>
        </w:rPr>
        <w:t>por</w:t>
      </w:r>
      <w:r>
        <w:rPr>
          <w:color w:val="231F20"/>
          <w:spacing w:val="-5"/>
          <w:w w:val="110"/>
        </w:rPr>
        <w:t> </w:t>
      </w:r>
      <w:r>
        <w:rPr>
          <w:color w:val="231F20"/>
          <w:w w:val="110"/>
        </w:rPr>
        <w:t>México</w:t>
      </w:r>
      <w:r>
        <w:rPr>
          <w:color w:val="231F20"/>
          <w:spacing w:val="-5"/>
          <w:w w:val="110"/>
        </w:rPr>
        <w:t> </w:t>
      </w:r>
      <w:r>
        <w:rPr>
          <w:color w:val="231F20"/>
          <w:w w:val="110"/>
        </w:rPr>
        <w:t>en</w:t>
      </w:r>
      <w:r>
        <w:rPr>
          <w:color w:val="231F20"/>
          <w:spacing w:val="-5"/>
          <w:w w:val="110"/>
        </w:rPr>
        <w:t> </w:t>
      </w:r>
      <w:r>
        <w:rPr>
          <w:color w:val="231F20"/>
          <w:w w:val="110"/>
        </w:rPr>
        <w:t>6%.</w:t>
      </w:r>
      <w:r>
        <w:rPr>
          <w:color w:val="231F20"/>
          <w:spacing w:val="-5"/>
          <w:w w:val="110"/>
        </w:rPr>
        <w:t> </w:t>
      </w:r>
      <w:r>
        <w:rPr>
          <w:color w:val="231F20"/>
          <w:w w:val="110"/>
        </w:rPr>
        <w:t>No</w:t>
      </w:r>
      <w:r>
        <w:rPr>
          <w:color w:val="231F20"/>
          <w:spacing w:val="-5"/>
          <w:w w:val="110"/>
        </w:rPr>
        <w:t> </w:t>
      </w:r>
      <w:r>
        <w:rPr>
          <w:color w:val="231F20"/>
          <w:w w:val="110"/>
        </w:rPr>
        <w:t>extraña</w:t>
      </w:r>
      <w:r>
        <w:rPr>
          <w:color w:val="231F20"/>
          <w:spacing w:val="-5"/>
          <w:w w:val="110"/>
        </w:rPr>
        <w:t> </w:t>
      </w:r>
      <w:r>
        <w:rPr>
          <w:color w:val="231F20"/>
          <w:w w:val="110"/>
        </w:rPr>
        <w:t>pues</w:t>
      </w:r>
      <w:r>
        <w:rPr>
          <w:color w:val="231F20"/>
          <w:spacing w:val="-5"/>
          <w:w w:val="110"/>
        </w:rPr>
        <w:t> </w:t>
      </w:r>
      <w:r>
        <w:rPr>
          <w:color w:val="231F20"/>
          <w:w w:val="110"/>
        </w:rPr>
        <w:t>que</w:t>
      </w:r>
      <w:r>
        <w:rPr>
          <w:color w:val="231F20"/>
          <w:spacing w:val="-5"/>
          <w:w w:val="110"/>
        </w:rPr>
        <w:t> </w:t>
      </w:r>
      <w:r>
        <w:rPr>
          <w:color w:val="231F20"/>
          <w:w w:val="110"/>
        </w:rPr>
        <w:t>entre</w:t>
      </w:r>
      <w:r>
        <w:rPr>
          <w:color w:val="231F20"/>
          <w:spacing w:val="-5"/>
          <w:w w:val="110"/>
        </w:rPr>
        <w:t> </w:t>
      </w:r>
      <w:r>
        <w:rPr>
          <w:color w:val="231F20"/>
          <w:w w:val="110"/>
        </w:rPr>
        <w:t>las</w:t>
      </w:r>
      <w:r>
        <w:rPr>
          <w:color w:val="231F20"/>
          <w:spacing w:val="-5"/>
          <w:w w:val="110"/>
        </w:rPr>
        <w:t> </w:t>
      </w:r>
      <w:r>
        <w:rPr>
          <w:color w:val="231F20"/>
          <w:w w:val="110"/>
        </w:rPr>
        <w:t>reservas</w:t>
      </w:r>
      <w:r>
        <w:rPr>
          <w:color w:val="231F20"/>
          <w:spacing w:val="-5"/>
          <w:w w:val="110"/>
        </w:rPr>
        <w:t> </w:t>
      </w:r>
      <w:r>
        <w:rPr>
          <w:color w:val="231F20"/>
          <w:w w:val="110"/>
        </w:rPr>
        <w:t>más</w:t>
      </w:r>
      <w:r>
        <w:rPr>
          <w:color w:val="231F20"/>
          <w:spacing w:val="-5"/>
          <w:w w:val="110"/>
        </w:rPr>
        <w:t> </w:t>
      </w:r>
      <w:r>
        <w:rPr>
          <w:color w:val="231F20"/>
          <w:w w:val="110"/>
        </w:rPr>
        <w:t>im- portantes de cobre en el hemisferio estén las chilenas con cerca de 360 millones de toneladas métricas o 35 a 40% de las reservas base en</w:t>
      </w:r>
      <w:r>
        <w:rPr>
          <w:color w:val="231F20"/>
          <w:spacing w:val="-8"/>
          <w:w w:val="110"/>
        </w:rPr>
        <w:t> </w:t>
      </w:r>
      <w:r>
        <w:rPr>
          <w:color w:val="231F20"/>
          <w:w w:val="110"/>
        </w:rPr>
        <w:t>el</w:t>
      </w:r>
      <w:r>
        <w:rPr>
          <w:color w:val="231F20"/>
          <w:spacing w:val="-8"/>
          <w:w w:val="110"/>
        </w:rPr>
        <w:t> </w:t>
      </w:r>
      <w:r>
        <w:rPr>
          <w:color w:val="231F20"/>
          <w:w w:val="110"/>
        </w:rPr>
        <w:t>mundo.</w:t>
      </w:r>
      <w:r>
        <w:rPr>
          <w:color w:val="231F20"/>
          <w:spacing w:val="-8"/>
          <w:w w:val="110"/>
        </w:rPr>
        <w:t> </w:t>
      </w:r>
      <w:r>
        <w:rPr>
          <w:color w:val="231F20"/>
          <w:w w:val="110"/>
        </w:rPr>
        <w:t>Otras</w:t>
      </w:r>
      <w:r>
        <w:rPr>
          <w:color w:val="231F20"/>
          <w:spacing w:val="-8"/>
          <w:w w:val="110"/>
        </w:rPr>
        <w:t> </w:t>
      </w:r>
      <w:r>
        <w:rPr>
          <w:color w:val="231F20"/>
          <w:w w:val="110"/>
        </w:rPr>
        <w:t>son</w:t>
      </w:r>
      <w:r>
        <w:rPr>
          <w:color w:val="231F20"/>
          <w:spacing w:val="-8"/>
          <w:w w:val="110"/>
        </w:rPr>
        <w:t> </w:t>
      </w:r>
      <w:r>
        <w:rPr>
          <w:color w:val="231F20"/>
          <w:w w:val="110"/>
        </w:rPr>
        <w:t>las</w:t>
      </w:r>
      <w:r>
        <w:rPr>
          <w:color w:val="231F20"/>
          <w:spacing w:val="-8"/>
          <w:w w:val="110"/>
        </w:rPr>
        <w:t> </w:t>
      </w:r>
      <w:r>
        <w:rPr>
          <w:color w:val="231F20"/>
          <w:w w:val="110"/>
        </w:rPr>
        <w:t>peruanas</w:t>
      </w:r>
      <w:r>
        <w:rPr>
          <w:color w:val="231F20"/>
          <w:spacing w:val="-8"/>
          <w:w w:val="110"/>
        </w:rPr>
        <w:t> </w:t>
      </w:r>
      <w:r>
        <w:rPr>
          <w:color w:val="231F20"/>
          <w:w w:val="110"/>
        </w:rPr>
        <w:t>con</w:t>
      </w:r>
      <w:r>
        <w:rPr>
          <w:color w:val="231F20"/>
          <w:spacing w:val="-8"/>
          <w:w w:val="110"/>
        </w:rPr>
        <w:t> </w:t>
      </w:r>
      <w:r>
        <w:rPr>
          <w:color w:val="231F20"/>
          <w:w w:val="110"/>
        </w:rPr>
        <w:t>120</w:t>
      </w:r>
      <w:r>
        <w:rPr>
          <w:color w:val="231F20"/>
          <w:spacing w:val="-8"/>
          <w:w w:val="110"/>
        </w:rPr>
        <w:t> </w:t>
      </w:r>
      <w:r>
        <w:rPr>
          <w:color w:val="231F20"/>
          <w:w w:val="110"/>
        </w:rPr>
        <w:t>millones,</w:t>
      </w:r>
      <w:r>
        <w:rPr>
          <w:color w:val="231F20"/>
          <w:spacing w:val="-8"/>
          <w:w w:val="110"/>
        </w:rPr>
        <w:t> </w:t>
      </w:r>
      <w:r>
        <w:rPr>
          <w:color w:val="231F20"/>
          <w:w w:val="110"/>
        </w:rPr>
        <w:t>las</w:t>
      </w:r>
      <w:r>
        <w:rPr>
          <w:color w:val="231F20"/>
          <w:spacing w:val="-8"/>
          <w:w w:val="110"/>
        </w:rPr>
        <w:t> </w:t>
      </w:r>
      <w:r>
        <w:rPr>
          <w:color w:val="231F20"/>
          <w:w w:val="110"/>
        </w:rPr>
        <w:t>mexicanas con</w:t>
      </w:r>
      <w:r>
        <w:rPr>
          <w:color w:val="231F20"/>
          <w:spacing w:val="-6"/>
          <w:w w:val="110"/>
        </w:rPr>
        <w:t> </w:t>
      </w:r>
      <w:r>
        <w:rPr>
          <w:color w:val="231F20"/>
          <w:w w:val="110"/>
        </w:rPr>
        <w:t>unos</w:t>
      </w:r>
      <w:r>
        <w:rPr>
          <w:color w:val="231F20"/>
          <w:spacing w:val="-6"/>
          <w:w w:val="110"/>
        </w:rPr>
        <w:t> </w:t>
      </w:r>
      <w:r>
        <w:rPr>
          <w:color w:val="231F20"/>
          <w:w w:val="110"/>
        </w:rPr>
        <w:t>40</w:t>
      </w:r>
      <w:r>
        <w:rPr>
          <w:color w:val="231F20"/>
          <w:spacing w:val="-6"/>
          <w:w w:val="110"/>
        </w:rPr>
        <w:t> </w:t>
      </w:r>
      <w:r>
        <w:rPr>
          <w:color w:val="231F20"/>
          <w:w w:val="110"/>
        </w:rPr>
        <w:t>millones</w:t>
      </w:r>
      <w:r>
        <w:rPr>
          <w:color w:val="231F20"/>
          <w:spacing w:val="-6"/>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canadienses</w:t>
      </w:r>
      <w:r>
        <w:rPr>
          <w:color w:val="231F20"/>
          <w:spacing w:val="-6"/>
          <w:w w:val="110"/>
        </w:rPr>
        <w:t> </w:t>
      </w:r>
      <w:r>
        <w:rPr>
          <w:color w:val="231F20"/>
          <w:w w:val="110"/>
        </w:rPr>
        <w:t>con</w:t>
      </w:r>
      <w:r>
        <w:rPr>
          <w:color w:val="231F20"/>
          <w:spacing w:val="-6"/>
          <w:w w:val="110"/>
        </w:rPr>
        <w:t> </w:t>
      </w:r>
      <w:r>
        <w:rPr>
          <w:color w:val="231F20"/>
          <w:w w:val="110"/>
        </w:rPr>
        <w:t>20</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toneladas métricas (usgs, 2009:</w:t>
      </w:r>
      <w:r>
        <w:rPr>
          <w:color w:val="231F20"/>
          <w:spacing w:val="25"/>
          <w:w w:val="110"/>
        </w:rPr>
        <w:t> </w:t>
      </w:r>
      <w:r>
        <w:rPr>
          <w:color w:val="231F20"/>
          <w:w w:val="110"/>
        </w:rPr>
        <w:t>51).</w:t>
      </w:r>
    </w:p>
    <w:p>
      <w:pPr>
        <w:pStyle w:val="BodyText"/>
        <w:spacing w:line="261" w:lineRule="auto"/>
        <w:ind w:left="100" w:right="117" w:firstLine="240"/>
        <w:jc w:val="both"/>
      </w:pPr>
      <w:r>
        <w:rPr>
          <w:color w:val="231F20"/>
          <w:w w:val="110"/>
        </w:rPr>
        <w:t>El cinc, que otorga propiedades anticorrosivas al acero</w:t>
      </w:r>
      <w:r>
        <w:rPr>
          <w:color w:val="231F20"/>
          <w:spacing w:val="-25"/>
          <w:w w:val="110"/>
        </w:rPr>
        <w:t> </w:t>
      </w:r>
      <w:r>
        <w:rPr>
          <w:color w:val="231F20"/>
          <w:w w:val="110"/>
        </w:rPr>
        <w:t>galvaniza- do y que es utilizado para este fin en 50% a escala mundial, figura como un material del cual depende Estados Unidos en el orden de 73% del consumo doméstico. Los principales países de origen del mineral, sea en bruto y en concentrados, en forma de metal refinado o chatarra, son Canadá, Perú y México al aportar alrededor de 82% del mineral. Esto toma su correcta dimensión al tomar nota de que 35% de las reservas mundiales base, corresponden al continente Americano (usgs,</w:t>
      </w:r>
      <w:r>
        <w:rPr>
          <w:color w:val="231F20"/>
          <w:spacing w:val="32"/>
          <w:w w:val="110"/>
        </w:rPr>
        <w:t> </w:t>
      </w:r>
      <w:r>
        <w:rPr>
          <w:color w:val="231F20"/>
          <w:w w:val="110"/>
        </w:rPr>
        <w:t>2009).</w:t>
      </w:r>
    </w:p>
    <w:p>
      <w:pPr>
        <w:pStyle w:val="BodyText"/>
        <w:spacing w:line="261" w:lineRule="auto"/>
        <w:ind w:left="100" w:right="117" w:firstLine="240"/>
        <w:jc w:val="both"/>
      </w:pPr>
      <w:r>
        <w:rPr>
          <w:color w:val="231F20"/>
          <w:w w:val="110"/>
        </w:rPr>
        <w:t>El níquel, relevante para la producción de acero inoxidable (lo que corresponde a dos terceras partes de su uso mundial) registró  en 2008 una dependencia de 33% del consumo nacional de Estados Unidos con importaciones procedentes de Canadá en 43%, Rusia en 15%, Noruega 10% y Australia 8%, entre otros países (usgs, 2009). Las mayores reservas base en el continente están en Cuba con unas 23 millones de toneladas métricas. Le sigue Canadá con 15</w:t>
      </w:r>
      <w:r>
        <w:rPr>
          <w:color w:val="231F20"/>
          <w:spacing w:val="-26"/>
          <w:w w:val="110"/>
        </w:rPr>
        <w:t> </w:t>
      </w:r>
      <w:r>
        <w:rPr>
          <w:color w:val="231F20"/>
          <w:w w:val="110"/>
        </w:rPr>
        <w:t>millones</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de toneladas; Brasil con 8.3 millones; Colombia con 2.7 millones; República Dominicana con un millón y Venezuela con 630 mil to- neladas métricas.</w:t>
      </w:r>
    </w:p>
    <w:p>
      <w:pPr>
        <w:pStyle w:val="BodyText"/>
        <w:spacing w:line="261" w:lineRule="auto"/>
        <w:ind w:left="100" w:right="117" w:firstLine="240"/>
        <w:jc w:val="both"/>
      </w:pPr>
      <w:r>
        <w:rPr>
          <w:color w:val="231F20"/>
          <w:w w:val="110"/>
        </w:rPr>
        <w:t>Es importante sin embargo, apuntar que además de los minerales arriba indicados, el hierro y los agregados para la construcción son materiales considerados esenciales para la economía estadunidense, aunque no estratégicos ni críticos. Ello se debe a que figuran como fundamento material de la industria de la construcción </w:t>
      </w:r>
      <w:r>
        <w:rPr>
          <w:color w:val="231F20"/>
          <w:spacing w:val="-8"/>
          <w:w w:val="110"/>
        </w:rPr>
        <w:t>y, </w:t>
      </w:r>
      <w:r>
        <w:rPr>
          <w:color w:val="231F20"/>
          <w:w w:val="110"/>
        </w:rPr>
        <w:t>puesto  que su transportación es muy cara dados los volúmenes empleados, se precisa de una disponibilidad geográficamente corta. De ahí que desde</w:t>
      </w:r>
      <w:r>
        <w:rPr>
          <w:color w:val="231F20"/>
          <w:spacing w:val="-10"/>
          <w:w w:val="110"/>
        </w:rPr>
        <w:t> </w:t>
      </w:r>
      <w:r>
        <w:rPr>
          <w:color w:val="231F20"/>
          <w:w w:val="110"/>
        </w:rPr>
        <w:t>los</w:t>
      </w:r>
      <w:r>
        <w:rPr>
          <w:color w:val="231F20"/>
          <w:spacing w:val="-10"/>
          <w:w w:val="110"/>
        </w:rPr>
        <w:t> </w:t>
      </w:r>
      <w:r>
        <w:rPr>
          <w:color w:val="231F20"/>
          <w:w w:val="110"/>
        </w:rPr>
        <w:t>intereses</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ya</w:t>
      </w:r>
      <w:r>
        <w:rPr>
          <w:color w:val="231F20"/>
          <w:spacing w:val="-10"/>
          <w:w w:val="110"/>
        </w:rPr>
        <w:t> </w:t>
      </w:r>
      <w:r>
        <w:rPr>
          <w:color w:val="231F20"/>
          <w:w w:val="110"/>
        </w:rPr>
        <w:t>se</w:t>
      </w:r>
      <w:r>
        <w:rPr>
          <w:color w:val="231F20"/>
          <w:spacing w:val="-10"/>
          <w:w w:val="110"/>
        </w:rPr>
        <w:t> </w:t>
      </w:r>
      <w:r>
        <w:rPr>
          <w:color w:val="231F20"/>
          <w:w w:val="110"/>
        </w:rPr>
        <w:t>asuma</w:t>
      </w:r>
      <w:r>
        <w:rPr>
          <w:color w:val="231F20"/>
          <w:spacing w:val="-10"/>
          <w:w w:val="110"/>
        </w:rPr>
        <w:t> </w:t>
      </w:r>
      <w:r>
        <w:rPr>
          <w:color w:val="231F20"/>
          <w:w w:val="110"/>
        </w:rPr>
        <w:t>a</w:t>
      </w:r>
      <w:r>
        <w:rPr>
          <w:color w:val="231F20"/>
          <w:spacing w:val="-10"/>
          <w:w w:val="110"/>
        </w:rPr>
        <w:t> </w:t>
      </w:r>
      <w:r>
        <w:rPr>
          <w:color w:val="231F20"/>
          <w:w w:val="110"/>
        </w:rPr>
        <w:t>México,</w:t>
      </w:r>
      <w:r>
        <w:rPr>
          <w:color w:val="231F20"/>
          <w:spacing w:val="-10"/>
          <w:w w:val="110"/>
        </w:rPr>
        <w:t> </w:t>
      </w:r>
      <w:r>
        <w:rPr>
          <w:color w:val="231F20"/>
          <w:w w:val="110"/>
        </w:rPr>
        <w:t>Canadá o</w:t>
      </w:r>
      <w:r>
        <w:rPr>
          <w:color w:val="231F20"/>
          <w:spacing w:val="-5"/>
          <w:w w:val="110"/>
        </w:rPr>
        <w:t> </w:t>
      </w:r>
      <w:r>
        <w:rPr>
          <w:color w:val="231F20"/>
          <w:w w:val="110"/>
        </w:rPr>
        <w:t>el</w:t>
      </w:r>
      <w:r>
        <w:rPr>
          <w:color w:val="231F20"/>
          <w:spacing w:val="-5"/>
          <w:w w:val="110"/>
        </w:rPr>
        <w:t> </w:t>
      </w:r>
      <w:r>
        <w:rPr>
          <w:color w:val="231F20"/>
          <w:w w:val="110"/>
        </w:rPr>
        <w:t>Caribe</w:t>
      </w:r>
      <w:r>
        <w:rPr>
          <w:color w:val="231F20"/>
          <w:spacing w:val="-5"/>
          <w:w w:val="110"/>
        </w:rPr>
        <w:t> </w:t>
      </w:r>
      <w:r>
        <w:rPr>
          <w:color w:val="231F20"/>
          <w:w w:val="110"/>
        </w:rPr>
        <w:t>como</w:t>
      </w:r>
      <w:r>
        <w:rPr>
          <w:color w:val="231F20"/>
          <w:spacing w:val="-5"/>
          <w:w w:val="110"/>
        </w:rPr>
        <w:t> </w:t>
      </w:r>
      <w:r>
        <w:rPr>
          <w:color w:val="231F20"/>
          <w:w w:val="110"/>
        </w:rPr>
        <w:t>eventuales</w:t>
      </w:r>
      <w:r>
        <w:rPr>
          <w:color w:val="231F20"/>
          <w:spacing w:val="-5"/>
          <w:w w:val="110"/>
        </w:rPr>
        <w:t> </w:t>
      </w:r>
      <w:r>
        <w:rPr>
          <w:color w:val="231F20"/>
          <w:w w:val="110"/>
        </w:rPr>
        <w:t>abastecedores</w:t>
      </w:r>
      <w:r>
        <w:rPr>
          <w:color w:val="231F20"/>
          <w:spacing w:val="-5"/>
          <w:w w:val="110"/>
        </w:rPr>
        <w:t> </w:t>
      </w:r>
      <w:r>
        <w:rPr>
          <w:color w:val="231F20"/>
          <w:w w:val="110"/>
        </w:rPr>
        <w:t>de</w:t>
      </w:r>
      <w:r>
        <w:rPr>
          <w:color w:val="231F20"/>
          <w:spacing w:val="-5"/>
          <w:w w:val="110"/>
        </w:rPr>
        <w:t> </w:t>
      </w:r>
      <w:r>
        <w:rPr>
          <w:color w:val="231F20"/>
          <w:w w:val="110"/>
        </w:rPr>
        <w:t>esos</w:t>
      </w:r>
      <w:r>
        <w:rPr>
          <w:color w:val="231F20"/>
          <w:spacing w:val="-5"/>
          <w:w w:val="110"/>
        </w:rPr>
        <w:t> </w:t>
      </w:r>
      <w:r>
        <w:rPr>
          <w:color w:val="231F20"/>
          <w:w w:val="110"/>
        </w:rPr>
        <w:t>“materiales</w:t>
      </w:r>
      <w:r>
        <w:rPr>
          <w:color w:val="231F20"/>
          <w:spacing w:val="-5"/>
          <w:w w:val="110"/>
        </w:rPr>
        <w:t> </w:t>
      </w:r>
      <w:r>
        <w:rPr>
          <w:color w:val="231F20"/>
          <w:w w:val="110"/>
        </w:rPr>
        <w:t>esen- ciales” (usgs, 2009:</w:t>
      </w:r>
      <w:r>
        <w:rPr>
          <w:color w:val="231F20"/>
          <w:spacing w:val="-8"/>
          <w:w w:val="110"/>
        </w:rPr>
        <w:t> </w:t>
      </w:r>
      <w:r>
        <w:rPr>
          <w:color w:val="231F20"/>
          <w:w w:val="110"/>
        </w:rPr>
        <w:t>47).</w:t>
      </w:r>
    </w:p>
    <w:p>
      <w:pPr>
        <w:pStyle w:val="BodyText"/>
        <w:spacing w:line="261" w:lineRule="auto"/>
        <w:ind w:left="100" w:right="117" w:firstLine="240"/>
        <w:jc w:val="both"/>
      </w:pPr>
      <w:r>
        <w:rPr>
          <w:color w:val="231F20"/>
          <w:w w:val="110"/>
        </w:rPr>
        <w:t>Ahora bien, si la importancia de los minerales se indaga desde el punto</w:t>
      </w:r>
      <w:r>
        <w:rPr>
          <w:color w:val="231F20"/>
          <w:spacing w:val="-14"/>
          <w:w w:val="110"/>
        </w:rPr>
        <w:t> </w:t>
      </w:r>
      <w:r>
        <w:rPr>
          <w:color w:val="231F20"/>
          <w:w w:val="110"/>
        </w:rPr>
        <w:t>de</w:t>
      </w:r>
      <w:r>
        <w:rPr>
          <w:color w:val="231F20"/>
          <w:spacing w:val="-14"/>
          <w:w w:val="110"/>
        </w:rPr>
        <w:t> </w:t>
      </w:r>
      <w:r>
        <w:rPr>
          <w:color w:val="231F20"/>
          <w:w w:val="110"/>
        </w:rPr>
        <w:t>vista</w:t>
      </w:r>
      <w:r>
        <w:rPr>
          <w:color w:val="231F20"/>
          <w:spacing w:val="-14"/>
          <w:w w:val="110"/>
        </w:rPr>
        <w:t> </w:t>
      </w:r>
      <w:r>
        <w:rPr>
          <w:color w:val="231F20"/>
          <w:w w:val="110"/>
        </w:rPr>
        <w:t>de</w:t>
      </w:r>
      <w:r>
        <w:rPr>
          <w:color w:val="231F20"/>
          <w:spacing w:val="-14"/>
          <w:w w:val="110"/>
        </w:rPr>
        <w:t> </w:t>
      </w:r>
      <w:r>
        <w:rPr>
          <w:color w:val="231F20"/>
          <w:w w:val="110"/>
        </w:rPr>
        <w:t>su</w:t>
      </w:r>
      <w:r>
        <w:rPr>
          <w:color w:val="231F20"/>
          <w:spacing w:val="-14"/>
          <w:w w:val="110"/>
        </w:rPr>
        <w:t> </w:t>
      </w:r>
      <w:r>
        <w:rPr>
          <w:color w:val="231F20"/>
          <w:w w:val="110"/>
        </w:rPr>
        <w:t>carácter</w:t>
      </w:r>
      <w:r>
        <w:rPr>
          <w:color w:val="231F20"/>
          <w:spacing w:val="-14"/>
          <w:w w:val="110"/>
        </w:rPr>
        <w:t> </w:t>
      </w:r>
      <w:r>
        <w:rPr>
          <w:color w:val="231F20"/>
          <w:w w:val="110"/>
        </w:rPr>
        <w:t>estratégico</w:t>
      </w:r>
      <w:r>
        <w:rPr>
          <w:color w:val="231F20"/>
          <w:spacing w:val="-14"/>
          <w:w w:val="110"/>
        </w:rPr>
        <w:t> </w:t>
      </w:r>
      <w:r>
        <w:rPr>
          <w:color w:val="231F20"/>
        </w:rPr>
        <w:t>y</w:t>
      </w:r>
      <w:r>
        <w:rPr>
          <w:color w:val="231F20"/>
          <w:spacing w:val="-9"/>
        </w:rPr>
        <w:t> </w:t>
      </w:r>
      <w:r>
        <w:rPr>
          <w:color w:val="231F20"/>
          <w:w w:val="110"/>
        </w:rPr>
        <w:t>ya</w:t>
      </w:r>
      <w:r>
        <w:rPr>
          <w:color w:val="231F20"/>
          <w:spacing w:val="-14"/>
          <w:w w:val="110"/>
        </w:rPr>
        <w:t> </w:t>
      </w:r>
      <w:r>
        <w:rPr>
          <w:color w:val="231F20"/>
          <w:w w:val="110"/>
        </w:rPr>
        <w:t>no</w:t>
      </w:r>
      <w:r>
        <w:rPr>
          <w:color w:val="231F20"/>
          <w:spacing w:val="-14"/>
          <w:w w:val="110"/>
        </w:rPr>
        <w:t> </w:t>
      </w:r>
      <w:r>
        <w:rPr>
          <w:color w:val="231F20"/>
          <w:w w:val="110"/>
        </w:rPr>
        <w:t>en</w:t>
      </w:r>
      <w:r>
        <w:rPr>
          <w:color w:val="231F20"/>
          <w:spacing w:val="-14"/>
          <w:w w:val="110"/>
        </w:rPr>
        <w:t> </w:t>
      </w:r>
      <w:r>
        <w:rPr>
          <w:color w:val="231F20"/>
          <w:w w:val="110"/>
        </w:rPr>
        <w:t>términos</w:t>
      </w:r>
      <w:r>
        <w:rPr>
          <w:color w:val="231F20"/>
          <w:spacing w:val="-14"/>
          <w:w w:val="110"/>
        </w:rPr>
        <w:t> </w:t>
      </w:r>
      <w:r>
        <w:rPr>
          <w:color w:val="231F20"/>
          <w:w w:val="110"/>
        </w:rPr>
        <w:t>del</w:t>
      </w:r>
      <w:r>
        <w:rPr>
          <w:color w:val="231F20"/>
          <w:spacing w:val="-14"/>
          <w:w w:val="110"/>
        </w:rPr>
        <w:t> </w:t>
      </w:r>
      <w:r>
        <w:rPr>
          <w:color w:val="231F20"/>
          <w:w w:val="110"/>
        </w:rPr>
        <w:t>grado de su consumo, el listado es diferente </w:t>
      </w:r>
      <w:r>
        <w:rPr>
          <w:color w:val="231F20"/>
        </w:rPr>
        <w:t>y </w:t>
      </w:r>
      <w:r>
        <w:rPr>
          <w:color w:val="231F20"/>
          <w:w w:val="110"/>
        </w:rPr>
        <w:t>muy peculiar. En el caso de Estados</w:t>
      </w:r>
      <w:r>
        <w:rPr>
          <w:color w:val="231F20"/>
          <w:spacing w:val="-15"/>
          <w:w w:val="110"/>
        </w:rPr>
        <w:t> </w:t>
      </w:r>
      <w:r>
        <w:rPr>
          <w:color w:val="231F20"/>
          <w:w w:val="110"/>
        </w:rPr>
        <w:t>Unidos,</w:t>
      </w:r>
      <w:r>
        <w:rPr>
          <w:color w:val="231F20"/>
          <w:spacing w:val="-15"/>
          <w:w w:val="110"/>
        </w:rPr>
        <w:t> </w:t>
      </w:r>
      <w:r>
        <w:rPr>
          <w:color w:val="231F20"/>
          <w:w w:val="110"/>
        </w:rPr>
        <w:t>los</w:t>
      </w:r>
      <w:r>
        <w:rPr>
          <w:color w:val="231F20"/>
          <w:spacing w:val="-15"/>
          <w:w w:val="110"/>
        </w:rPr>
        <w:t> </w:t>
      </w:r>
      <w:r>
        <w:rPr>
          <w:color w:val="231F20"/>
          <w:w w:val="110"/>
        </w:rPr>
        <w:t>minerales</w:t>
      </w:r>
      <w:r>
        <w:rPr>
          <w:color w:val="231F20"/>
          <w:spacing w:val="-15"/>
          <w:w w:val="110"/>
        </w:rPr>
        <w:t> </w:t>
      </w:r>
      <w:r>
        <w:rPr>
          <w:color w:val="231F20"/>
          <w:w w:val="110"/>
        </w:rPr>
        <w:t>estratégicos</w:t>
      </w:r>
      <w:r>
        <w:rPr>
          <w:color w:val="231F20"/>
          <w:spacing w:val="-15"/>
          <w:w w:val="110"/>
        </w:rPr>
        <w:t> </w:t>
      </w:r>
      <w:r>
        <w:rPr>
          <w:color w:val="231F20"/>
          <w:w w:val="110"/>
        </w:rPr>
        <w:t>son</w:t>
      </w:r>
      <w:r>
        <w:rPr>
          <w:color w:val="231F20"/>
          <w:spacing w:val="-15"/>
          <w:w w:val="110"/>
        </w:rPr>
        <w:t> </w:t>
      </w:r>
      <w:r>
        <w:rPr>
          <w:color w:val="231F20"/>
          <w:w w:val="110"/>
        </w:rPr>
        <w:t>fundamentalmente</w:t>
      </w:r>
      <w:r>
        <w:rPr>
          <w:color w:val="231F20"/>
          <w:spacing w:val="-15"/>
          <w:w w:val="110"/>
        </w:rPr>
        <w:t> </w:t>
      </w:r>
      <w:r>
        <w:rPr>
          <w:color w:val="231F20"/>
          <w:w w:val="110"/>
        </w:rPr>
        <w:t>las tierras raras, renio, cobalto, berilio </w:t>
      </w:r>
      <w:r>
        <w:rPr>
          <w:color w:val="231F20"/>
          <w:spacing w:val="-8"/>
          <w:w w:val="110"/>
        </w:rPr>
        <w:t>y, </w:t>
      </w:r>
      <w:r>
        <w:rPr>
          <w:color w:val="231F20"/>
          <w:w w:val="110"/>
        </w:rPr>
        <w:t>en segundo orden, germanio, cromo </w:t>
      </w:r>
      <w:r>
        <w:rPr>
          <w:color w:val="231F20"/>
        </w:rPr>
        <w:t>y </w:t>
      </w:r>
      <w:r>
        <w:rPr>
          <w:color w:val="231F20"/>
          <w:w w:val="110"/>
        </w:rPr>
        <w:t>diamantes. </w:t>
      </w:r>
      <w:r>
        <w:rPr>
          <w:color w:val="231F20"/>
        </w:rPr>
        <w:t>Y </w:t>
      </w:r>
      <w:r>
        <w:rPr>
          <w:color w:val="231F20"/>
          <w:w w:val="110"/>
        </w:rPr>
        <w:t>es que por ejemplo, del grupo de las tierras raras,</w:t>
      </w:r>
      <w:r>
        <w:rPr>
          <w:color w:val="231F20"/>
          <w:spacing w:val="-12"/>
          <w:w w:val="110"/>
        </w:rPr>
        <w:t> </w:t>
      </w:r>
      <w:r>
        <w:rPr>
          <w:color w:val="231F20"/>
          <w:w w:val="110"/>
        </w:rPr>
        <w:t>el</w:t>
      </w:r>
      <w:r>
        <w:rPr>
          <w:color w:val="231F20"/>
          <w:spacing w:val="-12"/>
          <w:w w:val="110"/>
        </w:rPr>
        <w:t> </w:t>
      </w:r>
      <w:r>
        <w:rPr>
          <w:color w:val="231F20"/>
          <w:w w:val="110"/>
        </w:rPr>
        <w:t>neodimio</w:t>
      </w:r>
      <w:r>
        <w:rPr>
          <w:color w:val="231F20"/>
          <w:spacing w:val="-12"/>
          <w:w w:val="110"/>
        </w:rPr>
        <w:t> </w:t>
      </w:r>
      <w:r>
        <w:rPr>
          <w:color w:val="231F20"/>
          <w:w w:val="110"/>
        </w:rPr>
        <w:t>se</w:t>
      </w:r>
      <w:r>
        <w:rPr>
          <w:color w:val="231F20"/>
          <w:spacing w:val="-12"/>
          <w:w w:val="110"/>
        </w:rPr>
        <w:t> </w:t>
      </w:r>
      <w:r>
        <w:rPr>
          <w:color w:val="231F20"/>
          <w:w w:val="110"/>
        </w:rPr>
        <w:t>utiliza</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fabricación</w:t>
      </w:r>
      <w:r>
        <w:rPr>
          <w:color w:val="231F20"/>
          <w:spacing w:val="-12"/>
          <w:w w:val="110"/>
        </w:rPr>
        <w:t> </w:t>
      </w:r>
      <w:r>
        <w:rPr>
          <w:color w:val="231F20"/>
          <w:w w:val="110"/>
        </w:rPr>
        <w:t>de</w:t>
      </w:r>
      <w:r>
        <w:rPr>
          <w:color w:val="231F20"/>
          <w:spacing w:val="-12"/>
          <w:w w:val="110"/>
        </w:rPr>
        <w:t> </w:t>
      </w:r>
      <w:r>
        <w:rPr>
          <w:color w:val="231F20"/>
          <w:w w:val="110"/>
        </w:rPr>
        <w:t>magnetos</w:t>
      </w:r>
      <w:r>
        <w:rPr>
          <w:color w:val="231F20"/>
          <w:spacing w:val="-12"/>
          <w:w w:val="110"/>
        </w:rPr>
        <w:t> </w:t>
      </w:r>
      <w:r>
        <w:rPr>
          <w:color w:val="231F20"/>
          <w:w w:val="110"/>
        </w:rPr>
        <w:t>super</w:t>
      </w:r>
      <w:r>
        <w:rPr>
          <w:color w:val="231F20"/>
          <w:spacing w:val="-12"/>
          <w:w w:val="110"/>
        </w:rPr>
        <w:t> </w:t>
      </w:r>
      <w:r>
        <w:rPr>
          <w:color w:val="231F20"/>
          <w:w w:val="110"/>
        </w:rPr>
        <w:t>fuer- tes o como dopante de láseres; el samario en magnetos de samario- cobalto; el itrio en barras de láser </w:t>
      </w:r>
      <w:r>
        <w:rPr>
          <w:color w:val="231F20"/>
        </w:rPr>
        <w:t>y </w:t>
      </w:r>
      <w:r>
        <w:rPr>
          <w:color w:val="231F20"/>
          <w:w w:val="110"/>
        </w:rPr>
        <w:t>superaleaciones; </w:t>
      </w:r>
      <w:r>
        <w:rPr>
          <w:color w:val="231F20"/>
        </w:rPr>
        <w:t>y </w:t>
      </w:r>
      <w:r>
        <w:rPr>
          <w:color w:val="231F20"/>
          <w:w w:val="110"/>
        </w:rPr>
        <w:t>el escandio  en aleaciones de aluminio </w:t>
      </w:r>
      <w:r>
        <w:rPr>
          <w:color w:val="231F20"/>
        </w:rPr>
        <w:t>y </w:t>
      </w:r>
      <w:r>
        <w:rPr>
          <w:color w:val="231F20"/>
          <w:w w:val="110"/>
        </w:rPr>
        <w:t>cerámicas refractario (usgs, 2009: </w:t>
      </w:r>
      <w:r>
        <w:rPr>
          <w:color w:val="231F20"/>
          <w:spacing w:val="19"/>
          <w:w w:val="110"/>
        </w:rPr>
        <w:t> </w:t>
      </w:r>
      <w:r>
        <w:rPr>
          <w:color w:val="231F20"/>
          <w:w w:val="110"/>
        </w:rPr>
        <w:t>48).</w:t>
      </w:r>
    </w:p>
    <w:p>
      <w:pPr>
        <w:pStyle w:val="BodyText"/>
        <w:spacing w:line="261" w:lineRule="auto"/>
        <w:ind w:left="100" w:right="116" w:firstLine="240"/>
        <w:jc w:val="both"/>
        <w:rPr>
          <w:sz w:val="13"/>
        </w:rPr>
      </w:pPr>
      <w:r>
        <w:rPr>
          <w:color w:val="231F20"/>
          <w:w w:val="110"/>
        </w:rPr>
        <w:t>El</w:t>
      </w:r>
      <w:r>
        <w:rPr>
          <w:color w:val="231F20"/>
          <w:spacing w:val="-19"/>
          <w:w w:val="110"/>
        </w:rPr>
        <w:t> </w:t>
      </w:r>
      <w:r>
        <w:rPr>
          <w:color w:val="231F20"/>
          <w:w w:val="110"/>
        </w:rPr>
        <w:t>berilio</w:t>
      </w:r>
      <w:r>
        <w:rPr>
          <w:color w:val="231F20"/>
          <w:spacing w:val="-19"/>
          <w:w w:val="110"/>
        </w:rPr>
        <w:t> </w:t>
      </w:r>
      <w:r>
        <w:rPr>
          <w:color w:val="231F20"/>
          <w:w w:val="110"/>
        </w:rPr>
        <w:t>es</w:t>
      </w:r>
      <w:r>
        <w:rPr>
          <w:color w:val="231F20"/>
          <w:spacing w:val="-19"/>
          <w:w w:val="110"/>
        </w:rPr>
        <w:t> </w:t>
      </w:r>
      <w:r>
        <w:rPr>
          <w:color w:val="231F20"/>
          <w:w w:val="110"/>
        </w:rPr>
        <w:t>tal</w:t>
      </w:r>
      <w:r>
        <w:rPr>
          <w:color w:val="231F20"/>
          <w:spacing w:val="-19"/>
          <w:w w:val="110"/>
        </w:rPr>
        <w:t> </w:t>
      </w:r>
      <w:r>
        <w:rPr>
          <w:color w:val="231F20"/>
          <w:w w:val="110"/>
        </w:rPr>
        <w:t>vez</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materiales</w:t>
      </w:r>
      <w:r>
        <w:rPr>
          <w:color w:val="231F20"/>
          <w:spacing w:val="-19"/>
          <w:w w:val="110"/>
        </w:rPr>
        <w:t> </w:t>
      </w:r>
      <w:r>
        <w:rPr>
          <w:color w:val="231F20"/>
          <w:w w:val="110"/>
        </w:rPr>
        <w:t>más</w:t>
      </w:r>
      <w:r>
        <w:rPr>
          <w:color w:val="231F20"/>
          <w:spacing w:val="-19"/>
          <w:w w:val="110"/>
        </w:rPr>
        <w:t> </w:t>
      </w:r>
      <w:r>
        <w:rPr>
          <w:color w:val="231F20"/>
          <w:w w:val="110"/>
        </w:rPr>
        <w:t>emblemáticos</w:t>
      </w:r>
      <w:r>
        <w:rPr>
          <w:color w:val="231F20"/>
          <w:spacing w:val="-19"/>
          <w:w w:val="110"/>
        </w:rPr>
        <w:t> </w:t>
      </w:r>
      <w:r>
        <w:rPr>
          <w:color w:val="231F20"/>
          <w:w w:val="110"/>
        </w:rPr>
        <w:t>de</w:t>
      </w:r>
      <w:r>
        <w:rPr>
          <w:color w:val="231F20"/>
          <w:spacing w:val="-19"/>
          <w:w w:val="110"/>
        </w:rPr>
        <w:t> </w:t>
      </w:r>
      <w:r>
        <w:rPr>
          <w:color w:val="231F20"/>
          <w:w w:val="110"/>
        </w:rPr>
        <w:t>entre</w:t>
      </w:r>
      <w:r>
        <w:rPr>
          <w:color w:val="231F20"/>
          <w:spacing w:val="-19"/>
          <w:w w:val="110"/>
        </w:rPr>
        <w:t> </w:t>
      </w:r>
      <w:r>
        <w:rPr>
          <w:color w:val="231F20"/>
          <w:w w:val="110"/>
        </w:rPr>
        <w:t>los considerados como estratégicos dadas sus características mecánicas y sus propiedades nucleares. Se emplea en un abanico de aplicacio- nes</w:t>
      </w:r>
      <w:r>
        <w:rPr>
          <w:color w:val="231F20"/>
          <w:spacing w:val="-9"/>
          <w:w w:val="110"/>
        </w:rPr>
        <w:t> </w:t>
      </w:r>
      <w:r>
        <w:rPr>
          <w:color w:val="231F20"/>
          <w:w w:val="110"/>
        </w:rPr>
        <w:t>como</w:t>
      </w:r>
      <w:r>
        <w:rPr>
          <w:color w:val="231F20"/>
          <w:spacing w:val="-9"/>
          <w:w w:val="110"/>
        </w:rPr>
        <w:t> </w:t>
      </w:r>
      <w:r>
        <w:rPr>
          <w:color w:val="231F20"/>
          <w:w w:val="110"/>
        </w:rPr>
        <w:t>la</w:t>
      </w:r>
      <w:r>
        <w:rPr>
          <w:color w:val="231F20"/>
          <w:spacing w:val="-9"/>
          <w:w w:val="110"/>
        </w:rPr>
        <w:t> </w:t>
      </w:r>
      <w:r>
        <w:rPr>
          <w:color w:val="231F20"/>
          <w:w w:val="110"/>
        </w:rPr>
        <w:t>fabricación</w:t>
      </w:r>
      <w:r>
        <w:rPr>
          <w:color w:val="231F20"/>
          <w:spacing w:val="-9"/>
          <w:w w:val="110"/>
        </w:rPr>
        <w:t> </w:t>
      </w:r>
      <w:r>
        <w:rPr>
          <w:color w:val="231F20"/>
          <w:w w:val="110"/>
        </w:rPr>
        <w:t>de</w:t>
      </w:r>
      <w:r>
        <w:rPr>
          <w:color w:val="231F20"/>
          <w:spacing w:val="-9"/>
          <w:w w:val="110"/>
        </w:rPr>
        <w:t> </w:t>
      </w:r>
      <w:r>
        <w:rPr>
          <w:color w:val="231F20"/>
          <w:w w:val="110"/>
        </w:rPr>
        <w:t>computadoras,</w:t>
      </w:r>
      <w:r>
        <w:rPr>
          <w:color w:val="231F20"/>
          <w:spacing w:val="-9"/>
          <w:w w:val="110"/>
        </w:rPr>
        <w:t> </w:t>
      </w:r>
      <w:r>
        <w:rPr>
          <w:color w:val="231F20"/>
          <w:w w:val="110"/>
        </w:rPr>
        <w:t>sensores,</w:t>
      </w:r>
      <w:r>
        <w:rPr>
          <w:color w:val="231F20"/>
          <w:spacing w:val="-9"/>
          <w:w w:val="110"/>
        </w:rPr>
        <w:t> </w:t>
      </w:r>
      <w:r>
        <w:rPr>
          <w:color w:val="231F20"/>
          <w:w w:val="110"/>
        </w:rPr>
        <w:t>aviones,</w:t>
      </w:r>
      <w:r>
        <w:rPr>
          <w:color w:val="231F20"/>
          <w:spacing w:val="-9"/>
          <w:w w:val="110"/>
        </w:rPr>
        <w:t> </w:t>
      </w:r>
      <w:r>
        <w:rPr>
          <w:color w:val="231F20"/>
          <w:w w:val="110"/>
        </w:rPr>
        <w:t>misiles, satélites y hasta en cabezas nucleares. Estados Unidos consumió en 2008</w:t>
      </w:r>
      <w:r>
        <w:rPr>
          <w:color w:val="231F20"/>
          <w:spacing w:val="-9"/>
          <w:w w:val="110"/>
        </w:rPr>
        <w:t> </w:t>
      </w:r>
      <w:r>
        <w:rPr>
          <w:color w:val="231F20"/>
          <w:w w:val="110"/>
        </w:rPr>
        <w:t>unas</w:t>
      </w:r>
      <w:r>
        <w:rPr>
          <w:color w:val="231F20"/>
          <w:spacing w:val="-9"/>
          <w:w w:val="110"/>
        </w:rPr>
        <w:t> </w:t>
      </w:r>
      <w:r>
        <w:rPr>
          <w:color w:val="231F20"/>
          <w:w w:val="110"/>
        </w:rPr>
        <w:t>140</w:t>
      </w:r>
      <w:r>
        <w:rPr>
          <w:color w:val="231F20"/>
          <w:spacing w:val="-9"/>
          <w:w w:val="110"/>
        </w:rPr>
        <w:t> </w:t>
      </w:r>
      <w:r>
        <w:rPr>
          <w:color w:val="231F20"/>
          <w:w w:val="110"/>
        </w:rPr>
        <w:t>toneladas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cuales</w:t>
      </w:r>
      <w:r>
        <w:rPr>
          <w:color w:val="231F20"/>
          <w:spacing w:val="-9"/>
          <w:w w:val="110"/>
        </w:rPr>
        <w:t> </w:t>
      </w:r>
      <w:r>
        <w:rPr>
          <w:color w:val="231F20"/>
          <w:w w:val="110"/>
        </w:rPr>
        <w:t>casi</w:t>
      </w:r>
      <w:r>
        <w:rPr>
          <w:color w:val="231F20"/>
          <w:spacing w:val="-9"/>
          <w:w w:val="110"/>
        </w:rPr>
        <w:t> </w:t>
      </w:r>
      <w:r>
        <w:rPr>
          <w:color w:val="231F20"/>
          <w:w w:val="110"/>
        </w:rPr>
        <w:t>la</w:t>
      </w:r>
      <w:r>
        <w:rPr>
          <w:color w:val="231F20"/>
          <w:spacing w:val="-9"/>
          <w:w w:val="110"/>
        </w:rPr>
        <w:t> </w:t>
      </w:r>
      <w:r>
        <w:rPr>
          <w:color w:val="231F20"/>
          <w:w w:val="110"/>
        </w:rPr>
        <w:t>mitad</w:t>
      </w:r>
      <w:r>
        <w:rPr>
          <w:color w:val="231F20"/>
          <w:spacing w:val="-9"/>
          <w:w w:val="110"/>
        </w:rPr>
        <w:t> </w:t>
      </w:r>
      <w:r>
        <w:rPr>
          <w:color w:val="231F20"/>
          <w:w w:val="110"/>
        </w:rPr>
        <w:t>se</w:t>
      </w:r>
      <w:r>
        <w:rPr>
          <w:color w:val="231F20"/>
          <w:spacing w:val="-9"/>
          <w:w w:val="110"/>
        </w:rPr>
        <w:t> </w:t>
      </w:r>
      <w:r>
        <w:rPr>
          <w:color w:val="231F20"/>
          <w:w w:val="110"/>
        </w:rPr>
        <w:t>utilizaron</w:t>
      </w:r>
      <w:r>
        <w:rPr>
          <w:color w:val="231F20"/>
          <w:spacing w:val="-9"/>
          <w:w w:val="110"/>
        </w:rPr>
        <w:t> </w:t>
      </w:r>
      <w:r>
        <w:rPr>
          <w:color w:val="231F20"/>
          <w:w w:val="110"/>
        </w:rPr>
        <w:t>en</w:t>
      </w:r>
      <w:r>
        <w:rPr>
          <w:color w:val="231F20"/>
          <w:spacing w:val="-9"/>
          <w:w w:val="110"/>
        </w:rPr>
        <w:t> </w:t>
      </w:r>
      <w:r>
        <w:rPr>
          <w:color w:val="231F20"/>
          <w:w w:val="110"/>
        </w:rPr>
        <w:t>la industria de computadoras y telecomunicaciones, mientras que el restante</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aeroespacial</w:t>
      </w:r>
      <w:r>
        <w:rPr>
          <w:color w:val="231F20"/>
          <w:spacing w:val="-9"/>
          <w:w w:val="110"/>
        </w:rPr>
        <w:t> </w:t>
      </w:r>
      <w:r>
        <w:rPr>
          <w:color w:val="231F20"/>
          <w:w w:val="110"/>
        </w:rPr>
        <w:t>y</w:t>
      </w:r>
      <w:r>
        <w:rPr>
          <w:color w:val="231F20"/>
          <w:spacing w:val="-9"/>
          <w:w w:val="110"/>
        </w:rPr>
        <w:t> </w:t>
      </w:r>
      <w:r>
        <w:rPr>
          <w:color w:val="231F20"/>
          <w:w w:val="110"/>
        </w:rPr>
        <w:t>aplicaciones</w:t>
      </w:r>
      <w:r>
        <w:rPr>
          <w:color w:val="231F20"/>
          <w:spacing w:val="-9"/>
          <w:w w:val="110"/>
        </w:rPr>
        <w:t> </w:t>
      </w:r>
      <w:r>
        <w:rPr>
          <w:color w:val="231F20"/>
          <w:w w:val="110"/>
        </w:rPr>
        <w:t>de</w:t>
      </w:r>
      <w:r>
        <w:rPr>
          <w:color w:val="231F20"/>
          <w:spacing w:val="-9"/>
          <w:w w:val="110"/>
        </w:rPr>
        <w:t> </w:t>
      </w:r>
      <w:r>
        <w:rPr>
          <w:color w:val="231F20"/>
          <w:w w:val="110"/>
        </w:rPr>
        <w:t>defensa(usgs,</w:t>
      </w:r>
      <w:r>
        <w:rPr>
          <w:color w:val="231F20"/>
          <w:spacing w:val="-9"/>
          <w:w w:val="110"/>
        </w:rPr>
        <w:t> </w:t>
      </w:r>
      <w:r>
        <w:rPr>
          <w:color w:val="231F20"/>
          <w:w w:val="110"/>
        </w:rPr>
        <w:t>2009:</w:t>
      </w:r>
      <w:r>
        <w:rPr>
          <w:color w:val="231F20"/>
          <w:spacing w:val="-9"/>
          <w:w w:val="110"/>
        </w:rPr>
        <w:t> </w:t>
      </w:r>
      <w:r>
        <w:rPr>
          <w:color w:val="231F20"/>
          <w:w w:val="110"/>
        </w:rPr>
        <w:t>30). Importa</w:t>
      </w:r>
      <w:r>
        <w:rPr>
          <w:color w:val="231F20"/>
          <w:spacing w:val="-5"/>
          <w:w w:val="110"/>
        </w:rPr>
        <w:t> </w:t>
      </w:r>
      <w:r>
        <w:rPr>
          <w:color w:val="231F20"/>
          <w:w w:val="110"/>
        </w:rPr>
        <w:t>el</w:t>
      </w:r>
      <w:r>
        <w:rPr>
          <w:color w:val="231F20"/>
          <w:spacing w:val="-5"/>
          <w:w w:val="110"/>
        </w:rPr>
        <w:t> </w:t>
      </w:r>
      <w:r>
        <w:rPr>
          <w:color w:val="231F20"/>
          <w:w w:val="110"/>
        </w:rPr>
        <w:t>mineral</w:t>
      </w:r>
      <w:r>
        <w:rPr>
          <w:color w:val="231F20"/>
          <w:spacing w:val="-5"/>
          <w:w w:val="110"/>
        </w:rPr>
        <w:t> </w:t>
      </w:r>
      <w:r>
        <w:rPr>
          <w:color w:val="231F20"/>
          <w:w w:val="110"/>
        </w:rPr>
        <w:t>en</w:t>
      </w:r>
      <w:r>
        <w:rPr>
          <w:color w:val="231F20"/>
          <w:spacing w:val="-5"/>
          <w:w w:val="110"/>
        </w:rPr>
        <w:t> </w:t>
      </w:r>
      <w:r>
        <w:rPr>
          <w:color w:val="231F20"/>
          <w:w w:val="110"/>
        </w:rPr>
        <w:t>58%</w:t>
      </w:r>
      <w:r>
        <w:rPr>
          <w:color w:val="231F20"/>
          <w:spacing w:val="-5"/>
          <w:w w:val="110"/>
        </w:rPr>
        <w:t> </w:t>
      </w:r>
      <w:r>
        <w:rPr>
          <w:color w:val="231F20"/>
          <w:w w:val="110"/>
        </w:rPr>
        <w:t>de</w:t>
      </w:r>
      <w:r>
        <w:rPr>
          <w:color w:val="231F20"/>
          <w:spacing w:val="-5"/>
          <w:w w:val="110"/>
        </w:rPr>
        <w:t> </w:t>
      </w:r>
      <w:r>
        <w:rPr>
          <w:color w:val="231F20"/>
          <w:w w:val="110"/>
        </w:rPr>
        <w:t>Kazakhstan,</w:t>
      </w:r>
      <w:r>
        <w:rPr>
          <w:color w:val="231F20"/>
          <w:spacing w:val="-5"/>
          <w:w w:val="110"/>
        </w:rPr>
        <w:t> </w:t>
      </w:r>
      <w:r>
        <w:rPr>
          <w:color w:val="231F20"/>
          <w:w w:val="110"/>
        </w:rPr>
        <w:t>en</w:t>
      </w:r>
      <w:r>
        <w:rPr>
          <w:color w:val="231F20"/>
          <w:spacing w:val="-5"/>
          <w:w w:val="110"/>
        </w:rPr>
        <w:t> </w:t>
      </w:r>
      <w:r>
        <w:rPr>
          <w:color w:val="231F20"/>
          <w:w w:val="110"/>
        </w:rPr>
        <w:t>10%</w:t>
      </w:r>
      <w:r>
        <w:rPr>
          <w:color w:val="231F20"/>
          <w:spacing w:val="-5"/>
          <w:w w:val="110"/>
        </w:rPr>
        <w:t> </w:t>
      </w:r>
      <w:r>
        <w:rPr>
          <w:color w:val="231F20"/>
          <w:w w:val="110"/>
        </w:rPr>
        <w:t>del</w:t>
      </w:r>
      <w:r>
        <w:rPr>
          <w:color w:val="231F20"/>
          <w:spacing w:val="-5"/>
          <w:w w:val="110"/>
        </w:rPr>
        <w:t> </w:t>
      </w:r>
      <w:r>
        <w:rPr>
          <w:color w:val="231F20"/>
          <w:w w:val="110"/>
        </w:rPr>
        <w:t>Reino</w:t>
      </w:r>
      <w:r>
        <w:rPr>
          <w:color w:val="231F20"/>
          <w:spacing w:val="-5"/>
          <w:w w:val="110"/>
        </w:rPr>
        <w:t> </w:t>
      </w:r>
      <w:r>
        <w:rPr>
          <w:color w:val="231F20"/>
          <w:w w:val="110"/>
        </w:rPr>
        <w:t>Unido, 9% de Irlanda y 7% de</w:t>
      </w:r>
      <w:r>
        <w:rPr>
          <w:color w:val="231F20"/>
          <w:spacing w:val="36"/>
          <w:w w:val="110"/>
        </w:rPr>
        <w:t> </w:t>
      </w:r>
      <w:r>
        <w:rPr>
          <w:color w:val="231F20"/>
          <w:w w:val="110"/>
        </w:rPr>
        <w:t>Japón.</w:t>
      </w:r>
      <w:r>
        <w:rPr>
          <w:color w:val="231F20"/>
          <w:w w:val="110"/>
          <w:position w:val="6"/>
          <w:sz w:val="13"/>
        </w:rPr>
        <w:t>6</w:t>
      </w:r>
    </w:p>
    <w:p>
      <w:pPr>
        <w:pStyle w:val="BodyText"/>
      </w:pPr>
    </w:p>
    <w:p>
      <w:pPr>
        <w:pStyle w:val="BodyText"/>
        <w:spacing w:before="10"/>
        <w:rPr>
          <w:sz w:val="21"/>
        </w:rPr>
      </w:pPr>
    </w:p>
    <w:p>
      <w:pPr>
        <w:spacing w:line="261" w:lineRule="auto" w:before="0"/>
        <w:ind w:left="100" w:right="119" w:firstLine="240"/>
        <w:jc w:val="both"/>
        <w:rPr>
          <w:sz w:val="16"/>
        </w:rPr>
      </w:pPr>
      <w:r>
        <w:rPr>
          <w:color w:val="231F20"/>
          <w:w w:val="110"/>
          <w:position w:val="5"/>
          <w:sz w:val="10"/>
        </w:rPr>
        <w:t>6</w:t>
      </w:r>
      <w:r>
        <w:rPr>
          <w:color w:val="231F20"/>
          <w:spacing w:val="10"/>
          <w:w w:val="110"/>
          <w:position w:val="5"/>
          <w:sz w:val="10"/>
        </w:rPr>
        <w:t> </w:t>
      </w:r>
      <w:r>
        <w:rPr>
          <w:color w:val="231F20"/>
          <w:w w:val="110"/>
          <w:sz w:val="16"/>
        </w:rPr>
        <w:t>El</w:t>
      </w:r>
      <w:r>
        <w:rPr>
          <w:color w:val="231F20"/>
          <w:spacing w:val="-14"/>
          <w:w w:val="110"/>
          <w:sz w:val="16"/>
        </w:rPr>
        <w:t> </w:t>
      </w:r>
      <w:r>
        <w:rPr>
          <w:color w:val="231F20"/>
          <w:w w:val="110"/>
          <w:sz w:val="16"/>
        </w:rPr>
        <w:t>principal</w:t>
      </w:r>
      <w:r>
        <w:rPr>
          <w:color w:val="231F20"/>
          <w:spacing w:val="-14"/>
          <w:w w:val="110"/>
          <w:sz w:val="16"/>
        </w:rPr>
        <w:t> </w:t>
      </w:r>
      <w:r>
        <w:rPr>
          <w:color w:val="231F20"/>
          <w:w w:val="110"/>
          <w:sz w:val="16"/>
        </w:rPr>
        <w:t>problema</w:t>
      </w:r>
      <w:r>
        <w:rPr>
          <w:color w:val="231F20"/>
          <w:spacing w:val="-14"/>
          <w:w w:val="110"/>
          <w:sz w:val="16"/>
        </w:rPr>
        <w:t> </w:t>
      </w:r>
      <w:r>
        <w:rPr>
          <w:color w:val="231F20"/>
          <w:w w:val="110"/>
          <w:sz w:val="16"/>
        </w:rPr>
        <w:t>es</w:t>
      </w:r>
      <w:r>
        <w:rPr>
          <w:color w:val="231F20"/>
          <w:spacing w:val="-14"/>
          <w:w w:val="110"/>
          <w:sz w:val="16"/>
        </w:rPr>
        <w:t> </w:t>
      </w:r>
      <w:r>
        <w:rPr>
          <w:color w:val="231F20"/>
          <w:w w:val="110"/>
          <w:sz w:val="16"/>
        </w:rPr>
        <w:t>que</w:t>
      </w:r>
      <w:r>
        <w:rPr>
          <w:color w:val="231F20"/>
          <w:spacing w:val="-14"/>
          <w:w w:val="110"/>
          <w:sz w:val="16"/>
        </w:rPr>
        <w:t> </w:t>
      </w:r>
      <w:r>
        <w:rPr>
          <w:color w:val="231F20"/>
          <w:w w:val="110"/>
          <w:sz w:val="16"/>
        </w:rPr>
        <w:t>el</w:t>
      </w:r>
      <w:r>
        <w:rPr>
          <w:color w:val="231F20"/>
          <w:spacing w:val="-14"/>
          <w:w w:val="110"/>
          <w:sz w:val="16"/>
        </w:rPr>
        <w:t> </w:t>
      </w:r>
      <w:r>
        <w:rPr>
          <w:color w:val="231F20"/>
          <w:w w:val="110"/>
          <w:sz w:val="16"/>
        </w:rPr>
        <w:t>berilio</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Kazakhstan</w:t>
      </w:r>
      <w:r>
        <w:rPr>
          <w:color w:val="231F20"/>
          <w:spacing w:val="-14"/>
          <w:w w:val="110"/>
          <w:sz w:val="16"/>
        </w:rPr>
        <w:t> </w:t>
      </w:r>
      <w:r>
        <w:rPr>
          <w:color w:val="231F20"/>
          <w:w w:val="110"/>
          <w:sz w:val="16"/>
        </w:rPr>
        <w:t>—principal</w:t>
      </w:r>
      <w:r>
        <w:rPr>
          <w:color w:val="231F20"/>
          <w:spacing w:val="-14"/>
          <w:w w:val="110"/>
          <w:sz w:val="16"/>
        </w:rPr>
        <w:t> </w:t>
      </w:r>
      <w:r>
        <w:rPr>
          <w:color w:val="231F20"/>
          <w:w w:val="110"/>
          <w:sz w:val="16"/>
        </w:rPr>
        <w:t>proveedor—,</w:t>
      </w:r>
      <w:r>
        <w:rPr>
          <w:color w:val="231F20"/>
          <w:spacing w:val="-14"/>
          <w:w w:val="110"/>
          <w:sz w:val="16"/>
        </w:rPr>
        <w:t> </w:t>
      </w:r>
      <w:r>
        <w:rPr>
          <w:color w:val="231F20"/>
          <w:w w:val="110"/>
          <w:sz w:val="16"/>
        </w:rPr>
        <w:t>es de</w:t>
      </w:r>
      <w:r>
        <w:rPr>
          <w:color w:val="231F20"/>
          <w:spacing w:val="-4"/>
          <w:w w:val="110"/>
          <w:sz w:val="16"/>
        </w:rPr>
        <w:t> </w:t>
      </w:r>
      <w:r>
        <w:rPr>
          <w:color w:val="231F20"/>
          <w:w w:val="110"/>
          <w:sz w:val="16"/>
        </w:rPr>
        <w:t>baja</w:t>
      </w:r>
      <w:r>
        <w:rPr>
          <w:color w:val="231F20"/>
          <w:spacing w:val="-4"/>
          <w:w w:val="110"/>
          <w:sz w:val="16"/>
        </w:rPr>
        <w:t> </w:t>
      </w:r>
      <w:r>
        <w:rPr>
          <w:color w:val="231F20"/>
          <w:w w:val="110"/>
          <w:sz w:val="16"/>
        </w:rPr>
        <w:t>pureza</w:t>
      </w:r>
      <w:r>
        <w:rPr>
          <w:color w:val="231F20"/>
          <w:spacing w:val="-4"/>
          <w:w w:val="110"/>
          <w:sz w:val="16"/>
        </w:rPr>
        <w:t> </w:t>
      </w:r>
      <w:r>
        <w:rPr>
          <w:color w:val="231F20"/>
          <w:w w:val="110"/>
          <w:sz w:val="16"/>
        </w:rPr>
        <w:t>y</w:t>
      </w:r>
      <w:r>
        <w:rPr>
          <w:color w:val="231F20"/>
          <w:spacing w:val="-4"/>
          <w:w w:val="110"/>
          <w:sz w:val="16"/>
        </w:rPr>
        <w:t> </w:t>
      </w:r>
      <w:r>
        <w:rPr>
          <w:color w:val="231F20"/>
          <w:w w:val="110"/>
          <w:sz w:val="16"/>
        </w:rPr>
        <w:t>la</w:t>
      </w:r>
      <w:r>
        <w:rPr>
          <w:color w:val="231F20"/>
          <w:spacing w:val="-4"/>
          <w:w w:val="110"/>
          <w:sz w:val="16"/>
        </w:rPr>
        <w:t> </w:t>
      </w:r>
      <w:r>
        <w:rPr>
          <w:color w:val="231F20"/>
          <w:w w:val="110"/>
          <w:sz w:val="16"/>
        </w:rPr>
        <w:t>transferencia</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tecnología</w:t>
      </w:r>
      <w:r>
        <w:rPr>
          <w:color w:val="231F20"/>
          <w:spacing w:val="-4"/>
          <w:w w:val="110"/>
          <w:sz w:val="16"/>
        </w:rPr>
        <w:t> </w:t>
      </w:r>
      <w:r>
        <w:rPr>
          <w:color w:val="231F20"/>
          <w:w w:val="110"/>
          <w:sz w:val="16"/>
        </w:rPr>
        <w:t>para</w:t>
      </w:r>
      <w:r>
        <w:rPr>
          <w:color w:val="231F20"/>
          <w:spacing w:val="-4"/>
          <w:w w:val="110"/>
          <w:sz w:val="16"/>
        </w:rPr>
        <w:t> </w:t>
      </w:r>
      <w:r>
        <w:rPr>
          <w:color w:val="231F20"/>
          <w:w w:val="110"/>
          <w:sz w:val="16"/>
        </w:rPr>
        <w:t>obtener</w:t>
      </w:r>
      <w:r>
        <w:rPr>
          <w:color w:val="231F20"/>
          <w:spacing w:val="-4"/>
          <w:w w:val="110"/>
          <w:sz w:val="16"/>
        </w:rPr>
        <w:t> </w:t>
      </w:r>
      <w:r>
        <w:rPr>
          <w:color w:val="231F20"/>
          <w:w w:val="110"/>
          <w:sz w:val="16"/>
        </w:rPr>
        <w:t>berilio</w:t>
      </w:r>
      <w:r>
        <w:rPr>
          <w:color w:val="231F20"/>
          <w:spacing w:val="-4"/>
          <w:w w:val="110"/>
          <w:sz w:val="16"/>
        </w:rPr>
        <w:t> </w:t>
      </w:r>
      <w:r>
        <w:rPr>
          <w:color w:val="231F20"/>
          <w:w w:val="110"/>
          <w:sz w:val="16"/>
        </w:rPr>
        <w:t>puro</w:t>
      </w:r>
      <w:r>
        <w:rPr>
          <w:color w:val="231F20"/>
          <w:spacing w:val="-4"/>
          <w:w w:val="110"/>
          <w:sz w:val="16"/>
        </w:rPr>
        <w:t> </w:t>
      </w:r>
      <w:r>
        <w:rPr>
          <w:color w:val="231F20"/>
          <w:w w:val="110"/>
          <w:sz w:val="16"/>
        </w:rPr>
        <w:t>es</w:t>
      </w:r>
      <w:r>
        <w:rPr>
          <w:color w:val="231F20"/>
          <w:spacing w:val="-4"/>
          <w:w w:val="110"/>
          <w:sz w:val="16"/>
        </w:rPr>
        <w:t> </w:t>
      </w:r>
      <w:r>
        <w:rPr>
          <w:color w:val="231F20"/>
          <w:w w:val="110"/>
          <w:sz w:val="16"/>
        </w:rPr>
        <w:t>compro-</w:t>
      </w:r>
      <w:r>
        <w:rPr>
          <w:color w:val="231F20"/>
          <w:w w:val="72"/>
          <w:sz w:val="16"/>
        </w:rPr>
        <w:t> </w:t>
      </w:r>
      <w:r>
        <w:rPr>
          <w:color w:val="231F20"/>
          <w:w w:val="110"/>
          <w:sz w:val="16"/>
        </w:rPr>
        <w:t>metedora por las implicaciones que tiene (sobre todo militares). Como consecuencia, Estados Unidos mantiene un mínimo de 45 toneladas de talco de berilio comprimido en su stock nacional de reservas (usgs, 2009:</w:t>
      </w:r>
      <w:r>
        <w:rPr>
          <w:color w:val="231F20"/>
          <w:spacing w:val="41"/>
          <w:w w:val="110"/>
          <w:sz w:val="16"/>
        </w:rPr>
        <w:t> </w:t>
      </w:r>
      <w:r>
        <w:rPr>
          <w:color w:val="231F20"/>
          <w:w w:val="110"/>
          <w:sz w:val="16"/>
        </w:rPr>
        <w:t>30).</w:t>
      </w:r>
    </w:p>
    <w:p>
      <w:pPr>
        <w:spacing w:after="0" w:line="261" w:lineRule="auto"/>
        <w:jc w:val="both"/>
        <w:rPr>
          <w:sz w:val="16"/>
        </w:rPr>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firstLine="240"/>
        <w:jc w:val="both"/>
      </w:pPr>
      <w:r>
        <w:rPr>
          <w:color w:val="231F20"/>
          <w:w w:val="105"/>
        </w:rPr>
        <w:t>Si el análisis se hace desde el carácter crítico de los minerales, en    el caso de Estados Unidos ésos son: el indio, manganeso, niobio, el grupo de metales de platino (platino, paladio, rodio, iridio, osmio y rutenio) y las tierras raras (lantano, nerio, praseodimio, neodimio, prometio, samarium, europio, gadolinio, terbio, disprosio, holmio, erbio, tulio, iterbio y lutecio) (ccmiuse, 2008: 10). El grupo de meta- les de platino y las tierras raras (con la mayoría de reservas en China) destacan de entre los materiales críticos por su variedad de usos. Por ejemplo, se emplean, sin sustituto alguno, en la construcción y fun- cionamiento de convertidores catalíticos de automóviles, una de las industrias mundiales más rentables. </w:t>
      </w:r>
      <w:r>
        <w:rPr>
          <w:color w:val="231F20"/>
          <w:spacing w:val="-3"/>
          <w:w w:val="105"/>
        </w:rPr>
        <w:t>También </w:t>
      </w:r>
      <w:r>
        <w:rPr>
          <w:color w:val="231F20"/>
          <w:w w:val="105"/>
        </w:rPr>
        <w:t>tienen un uso relevante  en la fabricación de circuitos integrados, electrónicos, capacitadores     o monitores de cristal líquido. Las tierras raras y el indio son compo- nentes esenciales de los interruptores cerámicos magnéticos que se usan en los celulares, mientras que el indio y el tantalio (éste bajo la forma del compuesto bario-zinc-óxido de tantalio) son componentes clave de las estaciones de las redes telefónicas de celulares. El indio (compuesto indio-galio-arsénico) se usa para fabricar pantallas de cristal líquido o pantallas planas; el galio en leds, circuitos integra-  dos, y junto con el cadmio, selenio, telurio e indio en la industria        de las celdas fotovoltaicas; el germanio en fibra óptica, radares y electrónicos dadas sus propiedades semiconductoras de electricidad, etcétera (ccmiuse, 2008: 8, 63). El titanio (el grueso extraído de Australia) es clave en la construcción de los marcos estructurales y sistemas de propulsión de los aviones y el dióxido de titanio de alta pureza</w:t>
      </w:r>
      <w:r>
        <w:rPr>
          <w:color w:val="231F20"/>
          <w:spacing w:val="32"/>
          <w:w w:val="105"/>
        </w:rPr>
        <w:t> </w:t>
      </w:r>
      <w:r>
        <w:rPr>
          <w:color w:val="231F20"/>
          <w:w w:val="105"/>
        </w:rPr>
        <w:t>es</w:t>
      </w:r>
      <w:r>
        <w:rPr>
          <w:color w:val="231F20"/>
          <w:spacing w:val="32"/>
          <w:w w:val="105"/>
        </w:rPr>
        <w:t> </w:t>
      </w:r>
      <w:r>
        <w:rPr>
          <w:color w:val="231F20"/>
          <w:w w:val="105"/>
        </w:rPr>
        <w:t>básico</w:t>
      </w:r>
      <w:r>
        <w:rPr>
          <w:color w:val="231F20"/>
          <w:spacing w:val="32"/>
          <w:w w:val="105"/>
        </w:rPr>
        <w:t> </w:t>
      </w:r>
      <w:r>
        <w:rPr>
          <w:color w:val="231F20"/>
          <w:w w:val="105"/>
        </w:rPr>
        <w:t>para</w:t>
      </w:r>
      <w:r>
        <w:rPr>
          <w:color w:val="231F20"/>
          <w:spacing w:val="32"/>
          <w:w w:val="105"/>
        </w:rPr>
        <w:t> </w:t>
      </w:r>
      <w:r>
        <w:rPr>
          <w:color w:val="231F20"/>
          <w:w w:val="105"/>
        </w:rPr>
        <w:t>el</w:t>
      </w:r>
      <w:r>
        <w:rPr>
          <w:color w:val="231F20"/>
          <w:spacing w:val="32"/>
          <w:w w:val="105"/>
        </w:rPr>
        <w:t> </w:t>
      </w:r>
      <w:r>
        <w:rPr>
          <w:color w:val="231F20"/>
          <w:w w:val="105"/>
        </w:rPr>
        <w:t>corazón</w:t>
      </w:r>
      <w:r>
        <w:rPr>
          <w:color w:val="231F20"/>
          <w:spacing w:val="32"/>
          <w:w w:val="105"/>
        </w:rPr>
        <w:t> </w:t>
      </w:r>
      <w:r>
        <w:rPr>
          <w:color w:val="231F20"/>
          <w:w w:val="105"/>
        </w:rPr>
        <w:t>dieléctrico</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teléfonos.</w:t>
      </w:r>
    </w:p>
    <w:p>
      <w:pPr>
        <w:pStyle w:val="BodyText"/>
        <w:spacing w:line="261" w:lineRule="auto"/>
        <w:ind w:left="100" w:right="117" w:firstLine="240"/>
        <w:jc w:val="both"/>
      </w:pPr>
      <w:r>
        <w:rPr>
          <w:color w:val="231F20"/>
          <w:w w:val="110"/>
        </w:rPr>
        <w:t>En resumen, y dado que Estados Unidos no cuenta o no tiene suficientes reservas de materiales estratégicos y críticos, lo que se identifica es pues una dependencia considerable que ha estimulado la securitización de tales recursos. De ahí que para el Pentágono sea pues clara la necesidad de una estrategia nacional de</w:t>
      </w:r>
      <w:r>
        <w:rPr>
          <w:color w:val="231F20"/>
          <w:spacing w:val="-19"/>
          <w:w w:val="110"/>
        </w:rPr>
        <w:t> </w:t>
      </w:r>
      <w:r>
        <w:rPr>
          <w:color w:val="231F20"/>
          <w:w w:val="110"/>
        </w:rPr>
        <w:t>almacenamien- to, “diseñada a asegurar la disponibilidad de materiales críticos y</w:t>
      </w:r>
      <w:r>
        <w:rPr>
          <w:color w:val="231F20"/>
          <w:spacing w:val="-31"/>
          <w:w w:val="110"/>
        </w:rPr>
        <w:t> </w:t>
      </w:r>
      <w:r>
        <w:rPr>
          <w:color w:val="231F20"/>
          <w:w w:val="110"/>
        </w:rPr>
        <w:t>es- tratégicos para que satisfaga las necesidades de un modelo</w:t>
      </w:r>
      <w:r>
        <w:rPr>
          <w:color w:val="231F20"/>
          <w:spacing w:val="-24"/>
          <w:w w:val="110"/>
        </w:rPr>
        <w:t> </w:t>
      </w:r>
      <w:r>
        <w:rPr>
          <w:color w:val="231F20"/>
          <w:w w:val="110"/>
        </w:rPr>
        <w:t>dinámico de defensa” (cands, 2008: </w:t>
      </w:r>
      <w:r>
        <w:rPr>
          <w:color w:val="231F20"/>
          <w:spacing w:val="10"/>
          <w:w w:val="110"/>
        </w:rPr>
        <w:t> </w:t>
      </w:r>
      <w:r>
        <w:rPr>
          <w:color w:val="231F20"/>
          <w:w w:val="110"/>
        </w:rPr>
        <w:t>5).</w:t>
      </w:r>
    </w:p>
    <w:p>
      <w:pPr>
        <w:pStyle w:val="BodyText"/>
        <w:ind w:left="340" w:right="25"/>
      </w:pPr>
      <w:r>
        <w:rPr>
          <w:color w:val="231F20"/>
          <w:w w:val="110"/>
        </w:rPr>
        <w:t>Esto implica que Estados Unidos debe,</w:t>
      </w:r>
    </w:p>
    <w:p>
      <w:pPr>
        <w:pStyle w:val="BodyText"/>
        <w:spacing w:before="1"/>
        <w:rPr>
          <w:sz w:val="25"/>
        </w:rPr>
      </w:pPr>
    </w:p>
    <w:p>
      <w:pPr>
        <w:spacing w:line="278" w:lineRule="auto" w:before="0"/>
        <w:ind w:left="100" w:right="118" w:firstLine="0"/>
        <w:jc w:val="both"/>
        <w:rPr>
          <w:sz w:val="18"/>
        </w:rPr>
      </w:pPr>
      <w:r>
        <w:rPr>
          <w:color w:val="231F20"/>
          <w:w w:val="110"/>
          <w:sz w:val="18"/>
        </w:rPr>
        <w:t>mejorar y asegurar los sistemas de recolección de datos e información</w:t>
      </w:r>
      <w:r>
        <w:rPr>
          <w:color w:val="231F20"/>
          <w:spacing w:val="-26"/>
          <w:w w:val="110"/>
          <w:sz w:val="18"/>
        </w:rPr>
        <w:t> </w:t>
      </w:r>
      <w:r>
        <w:rPr>
          <w:color w:val="231F20"/>
          <w:w w:val="110"/>
          <w:sz w:val="18"/>
        </w:rPr>
        <w:t>sobre la disponibilidad de materiales para necesidades de defensa, tanto en el ámbito nacional como en el extranjero (</w:t>
      </w:r>
      <w:r>
        <w:rPr>
          <w:color w:val="231F20"/>
          <w:w w:val="110"/>
          <w:sz w:val="20"/>
        </w:rPr>
        <w:t>cands, 2008</w:t>
      </w:r>
      <w:r>
        <w:rPr>
          <w:color w:val="231F20"/>
          <w:w w:val="110"/>
          <w:sz w:val="18"/>
        </w:rPr>
        <w:t>:  </w:t>
      </w:r>
      <w:r>
        <w:rPr>
          <w:color w:val="231F20"/>
          <w:spacing w:val="34"/>
          <w:w w:val="110"/>
          <w:sz w:val="18"/>
        </w:rPr>
        <w:t> </w:t>
      </w:r>
      <w:r>
        <w:rPr>
          <w:color w:val="231F20"/>
          <w:w w:val="110"/>
          <w:sz w:val="18"/>
        </w:rPr>
        <w:t>7).</w:t>
      </w:r>
    </w:p>
    <w:p>
      <w:pPr>
        <w:spacing w:after="0" w:line="278" w:lineRule="auto"/>
        <w:jc w:val="both"/>
        <w:rPr>
          <w:sz w:val="18"/>
        </w:rPr>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firstLine="240"/>
        <w:jc w:val="both"/>
      </w:pPr>
      <w:r>
        <w:rPr>
          <w:color w:val="231F20"/>
          <w:w w:val="110"/>
        </w:rPr>
        <w:t>América Latina en este contexto es pues clara </w:t>
      </w:r>
      <w:r>
        <w:rPr>
          <w:i/>
          <w:color w:val="231F20"/>
          <w:w w:val="110"/>
        </w:rPr>
        <w:t>reserva</w:t>
      </w:r>
      <w:r>
        <w:rPr>
          <w:i/>
          <w:color w:val="231F20"/>
          <w:spacing w:val="-16"/>
          <w:w w:val="110"/>
        </w:rPr>
        <w:t> </w:t>
      </w:r>
      <w:r>
        <w:rPr>
          <w:i/>
          <w:color w:val="231F20"/>
          <w:w w:val="110"/>
        </w:rPr>
        <w:t>estratégica </w:t>
      </w:r>
      <w:r>
        <w:rPr>
          <w:color w:val="231F20"/>
          <w:w w:val="110"/>
        </w:rPr>
        <w:t>(fundamentalmente de Estados Unidos) con vísperas a ser cada vez más expoliada; una tendencia que se puede demostrar histórica- mente sin lugar a dudas. </w:t>
      </w:r>
      <w:r>
        <w:rPr>
          <w:color w:val="231F20"/>
        </w:rPr>
        <w:t>Y </w:t>
      </w:r>
      <w:r>
        <w:rPr>
          <w:color w:val="231F20"/>
          <w:w w:val="110"/>
        </w:rPr>
        <w:t>es que Estados Unidos, desde su Ley de Almacenamiento de 1979, contempla</w:t>
      </w:r>
      <w:r>
        <w:rPr>
          <w:color w:val="231F20"/>
          <w:spacing w:val="25"/>
          <w:w w:val="110"/>
        </w:rPr>
        <w:t> </w:t>
      </w:r>
      <w:r>
        <w:rPr>
          <w:color w:val="231F20"/>
          <w:w w:val="110"/>
        </w:rPr>
        <w:t>que,</w:t>
      </w:r>
    </w:p>
    <w:p>
      <w:pPr>
        <w:pStyle w:val="BodyText"/>
        <w:spacing w:before="4"/>
        <w:rPr>
          <w:sz w:val="23"/>
        </w:rPr>
      </w:pPr>
    </w:p>
    <w:p>
      <w:pPr>
        <w:spacing w:line="268" w:lineRule="auto" w:before="0"/>
        <w:ind w:left="100" w:right="25" w:firstLine="0"/>
        <w:jc w:val="left"/>
        <w:rPr>
          <w:sz w:val="18"/>
        </w:rPr>
      </w:pPr>
      <w:r>
        <w:rPr>
          <w:color w:val="231F20"/>
          <w:w w:val="110"/>
          <w:sz w:val="18"/>
        </w:rPr>
        <w:t>además de los proveedores estadunidenses, sólo proveedores canadienses y mexicanos podrán ser considerados como fiables (</w:t>
      </w:r>
      <w:r>
        <w:rPr>
          <w:color w:val="231F20"/>
          <w:w w:val="110"/>
          <w:sz w:val="20"/>
        </w:rPr>
        <w:t>cands, 2008</w:t>
      </w:r>
      <w:r>
        <w:rPr>
          <w:color w:val="231F20"/>
          <w:w w:val="110"/>
          <w:sz w:val="18"/>
        </w:rPr>
        <w:t>:  28).</w:t>
      </w:r>
    </w:p>
    <w:p>
      <w:pPr>
        <w:pStyle w:val="BodyText"/>
        <w:spacing w:before="1"/>
        <w:rPr>
          <w:sz w:val="21"/>
        </w:rPr>
      </w:pPr>
    </w:p>
    <w:p>
      <w:pPr>
        <w:pStyle w:val="BodyText"/>
        <w:spacing w:line="261" w:lineRule="auto" w:before="1"/>
        <w:ind w:left="100" w:right="119" w:firstLine="240"/>
        <w:jc w:val="both"/>
      </w:pPr>
      <w:r>
        <w:rPr>
          <w:color w:val="231F20"/>
          <w:w w:val="110"/>
        </w:rPr>
        <w:t>Ello es todo un antecedente en la política exterior de Estados Unidos pues devela explícitamente la fuerte dependencia</w:t>
      </w:r>
      <w:r>
        <w:rPr>
          <w:color w:val="231F20"/>
          <w:spacing w:val="41"/>
          <w:w w:val="110"/>
        </w:rPr>
        <w:t> </w:t>
      </w:r>
      <w:r>
        <w:rPr>
          <w:color w:val="231F20"/>
          <w:w w:val="110"/>
        </w:rPr>
        <w:t>de</w:t>
      </w:r>
      <w:r>
        <w:rPr>
          <w:color w:val="231F20"/>
          <w:spacing w:val="21"/>
          <w:w w:val="110"/>
        </w:rPr>
        <w:t> </w:t>
      </w:r>
      <w:r>
        <w:rPr>
          <w:color w:val="231F20"/>
          <w:w w:val="110"/>
        </w:rPr>
        <w:t>mate-</w:t>
      </w:r>
      <w:r>
        <w:rPr>
          <w:color w:val="231F20"/>
          <w:w w:val="72"/>
        </w:rPr>
        <w:t> </w:t>
      </w:r>
      <w:r>
        <w:rPr>
          <w:color w:val="231F20"/>
          <w:w w:val="110"/>
        </w:rPr>
        <w:t>riales</w:t>
      </w:r>
      <w:r>
        <w:rPr>
          <w:color w:val="231F20"/>
          <w:spacing w:val="-6"/>
          <w:w w:val="110"/>
        </w:rPr>
        <w:t> </w:t>
      </w:r>
      <w:r>
        <w:rPr>
          <w:color w:val="231F20"/>
          <w:w w:val="110"/>
        </w:rPr>
        <w:t>críticos</w:t>
      </w:r>
      <w:r>
        <w:rPr>
          <w:color w:val="231F20"/>
          <w:spacing w:val="-6"/>
          <w:w w:val="110"/>
        </w:rPr>
        <w:t> </w:t>
      </w:r>
      <w:r>
        <w:rPr>
          <w:color w:val="231F20"/>
          <w:w w:val="110"/>
        </w:rPr>
        <w:t>y</w:t>
      </w:r>
      <w:r>
        <w:rPr>
          <w:color w:val="231F20"/>
          <w:spacing w:val="-6"/>
          <w:w w:val="110"/>
        </w:rPr>
        <w:t> </w:t>
      </w:r>
      <w:r>
        <w:rPr>
          <w:color w:val="231F20"/>
          <w:w w:val="110"/>
        </w:rPr>
        <w:t>estratégicos,</w:t>
      </w:r>
      <w:r>
        <w:rPr>
          <w:color w:val="231F20"/>
          <w:spacing w:val="-6"/>
          <w:w w:val="110"/>
        </w:rPr>
        <w:t> </w:t>
      </w:r>
      <w:r>
        <w:rPr>
          <w:color w:val="231F20"/>
          <w:w w:val="110"/>
        </w:rPr>
        <w:t>al</w:t>
      </w:r>
      <w:r>
        <w:rPr>
          <w:color w:val="231F20"/>
          <w:spacing w:val="-6"/>
          <w:w w:val="110"/>
        </w:rPr>
        <w:t> </w:t>
      </w:r>
      <w:r>
        <w:rPr>
          <w:color w:val="231F20"/>
          <w:w w:val="110"/>
        </w:rPr>
        <w:t>resolver</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recursos</w:t>
      </w:r>
      <w:r>
        <w:rPr>
          <w:color w:val="231F20"/>
          <w:spacing w:val="-6"/>
          <w:w w:val="110"/>
        </w:rPr>
        <w:t> </w:t>
      </w:r>
      <w:r>
        <w:rPr>
          <w:color w:val="231F20"/>
          <w:w w:val="110"/>
        </w:rPr>
        <w:t>canadienses y</w:t>
      </w:r>
      <w:r>
        <w:rPr>
          <w:color w:val="231F20"/>
          <w:spacing w:val="30"/>
          <w:w w:val="110"/>
        </w:rPr>
        <w:t> </w:t>
      </w:r>
      <w:r>
        <w:rPr>
          <w:color w:val="231F20"/>
          <w:w w:val="110"/>
        </w:rPr>
        <w:t>mexicanos</w:t>
      </w:r>
      <w:r>
        <w:rPr>
          <w:color w:val="231F20"/>
          <w:spacing w:val="30"/>
          <w:w w:val="110"/>
        </w:rPr>
        <w:t> </w:t>
      </w:r>
      <w:r>
        <w:rPr>
          <w:color w:val="231F20"/>
          <w:w w:val="110"/>
        </w:rPr>
        <w:t>se</w:t>
      </w:r>
      <w:r>
        <w:rPr>
          <w:color w:val="231F20"/>
          <w:spacing w:val="30"/>
          <w:w w:val="110"/>
        </w:rPr>
        <w:t> </w:t>
      </w:r>
      <w:r>
        <w:rPr>
          <w:color w:val="231F20"/>
          <w:w w:val="110"/>
        </w:rPr>
        <w:t>tornan</w:t>
      </w:r>
      <w:r>
        <w:rPr>
          <w:color w:val="231F20"/>
          <w:spacing w:val="30"/>
          <w:w w:val="110"/>
        </w:rPr>
        <w:t> </w:t>
      </w:r>
      <w:r>
        <w:rPr>
          <w:color w:val="231F20"/>
          <w:w w:val="110"/>
        </w:rPr>
        <w:t>a</w:t>
      </w:r>
      <w:r>
        <w:rPr>
          <w:color w:val="231F20"/>
          <w:spacing w:val="30"/>
          <w:w w:val="110"/>
        </w:rPr>
        <w:t> </w:t>
      </w:r>
      <w:r>
        <w:rPr>
          <w:color w:val="231F20"/>
          <w:w w:val="110"/>
        </w:rPr>
        <w:t>partir</w:t>
      </w:r>
      <w:r>
        <w:rPr>
          <w:color w:val="231F20"/>
          <w:spacing w:val="30"/>
          <w:w w:val="110"/>
        </w:rPr>
        <w:t> </w:t>
      </w:r>
      <w:r>
        <w:rPr>
          <w:color w:val="231F20"/>
          <w:w w:val="110"/>
        </w:rPr>
        <w:t>de</w:t>
      </w:r>
      <w:r>
        <w:rPr>
          <w:color w:val="231F20"/>
          <w:spacing w:val="30"/>
          <w:w w:val="110"/>
        </w:rPr>
        <w:t> </w:t>
      </w:r>
      <w:r>
        <w:rPr>
          <w:color w:val="231F20"/>
          <w:w w:val="110"/>
        </w:rPr>
        <w:t>entonces</w:t>
      </w:r>
      <w:r>
        <w:rPr>
          <w:color w:val="231F20"/>
          <w:spacing w:val="30"/>
          <w:w w:val="110"/>
        </w:rPr>
        <w:t> </w:t>
      </w:r>
      <w:r>
        <w:rPr>
          <w:color w:val="231F20"/>
          <w:w w:val="110"/>
        </w:rPr>
        <w:t>cuestión</w:t>
      </w:r>
      <w:r>
        <w:rPr>
          <w:color w:val="231F20"/>
          <w:spacing w:val="30"/>
          <w:w w:val="110"/>
        </w:rPr>
        <w:t> </w:t>
      </w:r>
      <w:r>
        <w:rPr>
          <w:color w:val="231F20"/>
          <w:w w:val="110"/>
        </w:rPr>
        <w:t>de</w:t>
      </w:r>
      <w:r>
        <w:rPr>
          <w:color w:val="231F20"/>
          <w:spacing w:val="30"/>
          <w:w w:val="110"/>
        </w:rPr>
        <w:t> </w:t>
      </w:r>
      <w:r>
        <w:rPr>
          <w:color w:val="231F20"/>
          <w:w w:val="110"/>
        </w:rPr>
        <w:t>seguridad</w:t>
      </w:r>
      <w:r>
        <w:rPr>
          <w:color w:val="231F20"/>
          <w:w w:val="110"/>
        </w:rPr>
        <w:t> </w:t>
      </w:r>
      <w:r>
        <w:rPr>
          <w:color w:val="231F20"/>
          <w:w w:val="110"/>
        </w:rPr>
        <w:t>nacional estadunidense. He pues aquí presente la “securitización”  de</w:t>
      </w:r>
      <w:r>
        <w:rPr>
          <w:color w:val="231F20"/>
          <w:spacing w:val="-13"/>
          <w:w w:val="110"/>
        </w:rPr>
        <w:t> </w:t>
      </w:r>
      <w:r>
        <w:rPr>
          <w:color w:val="231F20"/>
          <w:w w:val="110"/>
        </w:rPr>
        <w:t>los</w:t>
      </w:r>
      <w:r>
        <w:rPr>
          <w:color w:val="231F20"/>
          <w:spacing w:val="-13"/>
          <w:w w:val="110"/>
        </w:rPr>
        <w:t> </w:t>
      </w:r>
      <w:r>
        <w:rPr>
          <w:color w:val="231F20"/>
          <w:w w:val="110"/>
        </w:rPr>
        <w:t>recursos</w:t>
      </w:r>
      <w:r>
        <w:rPr>
          <w:color w:val="231F20"/>
          <w:spacing w:val="-13"/>
          <w:w w:val="110"/>
        </w:rPr>
        <w:t> </w:t>
      </w:r>
      <w:r>
        <w:rPr>
          <w:color w:val="231F20"/>
          <w:w w:val="110"/>
        </w:rPr>
        <w:t>vecinos</w:t>
      </w:r>
      <w:r>
        <w:rPr>
          <w:color w:val="231F20"/>
          <w:spacing w:val="-13"/>
          <w:w w:val="110"/>
        </w:rPr>
        <w:t> </w:t>
      </w:r>
      <w:r>
        <w:rPr>
          <w:color w:val="231F20"/>
          <w:w w:val="110"/>
        </w:rPr>
        <w:t>plasmados</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propia</w:t>
      </w:r>
      <w:r>
        <w:rPr>
          <w:color w:val="231F20"/>
          <w:spacing w:val="-13"/>
          <w:w w:val="110"/>
        </w:rPr>
        <w:t> </w:t>
      </w:r>
      <w:r>
        <w:rPr>
          <w:color w:val="231F20"/>
          <w:w w:val="110"/>
        </w:rPr>
        <w:t>legislación</w:t>
      </w:r>
      <w:r>
        <w:rPr>
          <w:color w:val="231F20"/>
          <w:spacing w:val="-13"/>
          <w:w w:val="110"/>
        </w:rPr>
        <w:t> </w:t>
      </w:r>
      <w:r>
        <w:rPr>
          <w:color w:val="231F20"/>
          <w:w w:val="110"/>
        </w:rPr>
        <w:t>de</w:t>
      </w:r>
      <w:r>
        <w:rPr>
          <w:color w:val="231F20"/>
          <w:spacing w:val="-13"/>
          <w:w w:val="110"/>
        </w:rPr>
        <w:t> </w:t>
      </w:r>
      <w:r>
        <w:rPr>
          <w:color w:val="231F20"/>
          <w:w w:val="110"/>
        </w:rPr>
        <w:t>Estados Unidos,</w:t>
      </w:r>
      <w:r>
        <w:rPr>
          <w:color w:val="231F20"/>
          <w:spacing w:val="-12"/>
          <w:w w:val="110"/>
        </w:rPr>
        <w:t> </w:t>
      </w:r>
      <w:r>
        <w:rPr>
          <w:color w:val="231F20"/>
          <w:w w:val="110"/>
        </w:rPr>
        <w:t>misma</w:t>
      </w:r>
      <w:r>
        <w:rPr>
          <w:color w:val="231F20"/>
          <w:spacing w:val="-12"/>
          <w:w w:val="110"/>
        </w:rPr>
        <w:t> </w:t>
      </w:r>
      <w:r>
        <w:rPr>
          <w:color w:val="231F20"/>
          <w:w w:val="110"/>
        </w:rPr>
        <w:t>que</w:t>
      </w:r>
      <w:r>
        <w:rPr>
          <w:color w:val="231F20"/>
          <w:spacing w:val="-12"/>
          <w:w w:val="110"/>
        </w:rPr>
        <w:t> </w:t>
      </w:r>
      <w:r>
        <w:rPr>
          <w:color w:val="231F20"/>
          <w:w w:val="110"/>
        </w:rPr>
        <w:t>en</w:t>
      </w:r>
      <w:r>
        <w:rPr>
          <w:color w:val="231F20"/>
          <w:spacing w:val="-12"/>
          <w:w w:val="110"/>
        </w:rPr>
        <w:t> </w:t>
      </w:r>
      <w:r>
        <w:rPr>
          <w:color w:val="231F20"/>
          <w:w w:val="110"/>
        </w:rPr>
        <w:t>1991</w:t>
      </w:r>
      <w:r>
        <w:rPr>
          <w:color w:val="231F20"/>
          <w:spacing w:val="-12"/>
          <w:w w:val="110"/>
        </w:rPr>
        <w:t> </w:t>
      </w:r>
      <w:r>
        <w:rPr>
          <w:color w:val="231F20"/>
          <w:w w:val="110"/>
        </w:rPr>
        <w:t>es</w:t>
      </w:r>
      <w:r>
        <w:rPr>
          <w:color w:val="231F20"/>
          <w:spacing w:val="-12"/>
          <w:w w:val="110"/>
        </w:rPr>
        <w:t> </w:t>
      </w:r>
      <w:r>
        <w:rPr>
          <w:color w:val="231F20"/>
          <w:w w:val="110"/>
        </w:rPr>
        <w:t>geográficamente</w:t>
      </w:r>
      <w:r>
        <w:rPr>
          <w:color w:val="231F20"/>
          <w:spacing w:val="-12"/>
          <w:w w:val="110"/>
        </w:rPr>
        <w:t> </w:t>
      </w:r>
      <w:r>
        <w:rPr>
          <w:color w:val="231F20"/>
          <w:w w:val="110"/>
        </w:rPr>
        <w:t>ampliada</w:t>
      </w:r>
      <w:r>
        <w:rPr>
          <w:color w:val="231F20"/>
          <w:spacing w:val="-12"/>
          <w:w w:val="110"/>
        </w:rPr>
        <w:t> </w:t>
      </w:r>
      <w:r>
        <w:rPr>
          <w:color w:val="231F20"/>
          <w:w w:val="110"/>
        </w:rPr>
        <w:t>al</w:t>
      </w:r>
      <w:r>
        <w:rPr>
          <w:color w:val="231F20"/>
          <w:spacing w:val="-12"/>
          <w:w w:val="110"/>
        </w:rPr>
        <w:t> </w:t>
      </w:r>
      <w:r>
        <w:rPr>
          <w:color w:val="231F20"/>
          <w:w w:val="110"/>
        </w:rPr>
        <w:t>conside- rar</w:t>
      </w:r>
      <w:r>
        <w:rPr>
          <w:color w:val="231F20"/>
          <w:spacing w:val="-5"/>
          <w:w w:val="110"/>
        </w:rPr>
        <w:t> </w:t>
      </w:r>
      <w:r>
        <w:rPr>
          <w:color w:val="231F20"/>
          <w:w w:val="110"/>
        </w:rPr>
        <w:t>también</w:t>
      </w:r>
      <w:r>
        <w:rPr>
          <w:color w:val="231F20"/>
          <w:spacing w:val="-5"/>
          <w:w w:val="110"/>
        </w:rPr>
        <w:t> </w:t>
      </w:r>
      <w:r>
        <w:rPr>
          <w:color w:val="231F20"/>
          <w:w w:val="110"/>
        </w:rPr>
        <w:t>como</w:t>
      </w:r>
      <w:r>
        <w:rPr>
          <w:color w:val="231F20"/>
          <w:spacing w:val="-5"/>
          <w:w w:val="110"/>
        </w:rPr>
        <w:t> </w:t>
      </w:r>
      <w:r>
        <w:rPr>
          <w:color w:val="231F20"/>
          <w:w w:val="110"/>
        </w:rPr>
        <w:t>fuentes</w:t>
      </w:r>
      <w:r>
        <w:rPr>
          <w:color w:val="231F20"/>
          <w:spacing w:val="-5"/>
          <w:w w:val="110"/>
        </w:rPr>
        <w:t> </w:t>
      </w:r>
      <w:r>
        <w:rPr>
          <w:color w:val="231F20"/>
          <w:w w:val="110"/>
        </w:rPr>
        <w:t>fiables</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países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cuenca</w:t>
      </w:r>
      <w:r>
        <w:rPr>
          <w:color w:val="231F20"/>
          <w:spacing w:val="-5"/>
          <w:w w:val="110"/>
        </w:rPr>
        <w:t> </w:t>
      </w:r>
      <w:r>
        <w:rPr>
          <w:color w:val="231F20"/>
          <w:w w:val="110"/>
        </w:rPr>
        <w:t>del</w:t>
      </w:r>
      <w:r>
        <w:rPr>
          <w:color w:val="231F20"/>
          <w:spacing w:val="-5"/>
          <w:w w:val="110"/>
        </w:rPr>
        <w:t> </w:t>
      </w:r>
      <w:r>
        <w:rPr>
          <w:color w:val="231F20"/>
          <w:w w:val="110"/>
        </w:rPr>
        <w:t>Caribe (cands, 2008:</w:t>
      </w:r>
      <w:r>
        <w:rPr>
          <w:color w:val="231F20"/>
          <w:spacing w:val="54"/>
          <w:w w:val="110"/>
        </w:rPr>
        <w:t> </w:t>
      </w:r>
      <w:r>
        <w:rPr>
          <w:color w:val="231F20"/>
          <w:w w:val="110"/>
        </w:rPr>
        <w:t>29).</w:t>
      </w:r>
    </w:p>
    <w:p>
      <w:pPr>
        <w:pStyle w:val="BodyText"/>
        <w:spacing w:line="261" w:lineRule="auto"/>
        <w:ind w:left="100" w:right="117" w:firstLine="240"/>
        <w:jc w:val="both"/>
      </w:pPr>
      <w:r>
        <w:rPr>
          <w:color w:val="231F20"/>
          <w:w w:val="110"/>
        </w:rPr>
        <w:t>Desde</w:t>
      </w:r>
      <w:r>
        <w:rPr>
          <w:color w:val="231F20"/>
          <w:spacing w:val="-4"/>
          <w:w w:val="110"/>
        </w:rPr>
        <w:t> </w:t>
      </w:r>
      <w:r>
        <w:rPr>
          <w:color w:val="231F20"/>
          <w:w w:val="110"/>
        </w:rPr>
        <w:t>entonces,</w:t>
      </w:r>
      <w:r>
        <w:rPr>
          <w:color w:val="231F20"/>
          <w:spacing w:val="-4"/>
          <w:w w:val="110"/>
        </w:rPr>
        <w:t> </w:t>
      </w:r>
      <w:r>
        <w:rPr>
          <w:color w:val="231F20"/>
          <w:w w:val="110"/>
        </w:rPr>
        <w:t>Centroamérica</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Cono</w:t>
      </w:r>
      <w:r>
        <w:rPr>
          <w:color w:val="231F20"/>
          <w:spacing w:val="-4"/>
          <w:w w:val="110"/>
        </w:rPr>
        <w:t> </w:t>
      </w:r>
      <w:r>
        <w:rPr>
          <w:color w:val="231F20"/>
          <w:w w:val="110"/>
        </w:rPr>
        <w:t>Sur</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medida</w:t>
      </w:r>
      <w:r>
        <w:rPr>
          <w:color w:val="231F20"/>
          <w:spacing w:val="-4"/>
          <w:w w:val="110"/>
        </w:rPr>
        <w:t> </w:t>
      </w:r>
      <w:r>
        <w:rPr>
          <w:color w:val="231F20"/>
          <w:w w:val="110"/>
        </w:rPr>
        <w:t>de</w:t>
      </w:r>
      <w:r>
        <w:rPr>
          <w:color w:val="231F20"/>
          <w:spacing w:val="-4"/>
          <w:w w:val="110"/>
        </w:rPr>
        <w:t> </w:t>
      </w:r>
      <w:r>
        <w:rPr>
          <w:color w:val="231F20"/>
          <w:w w:val="110"/>
        </w:rPr>
        <w:t>lo posible) han sido igualmente integrados a esquemas geopolíticos de la</w:t>
      </w:r>
      <w:r>
        <w:rPr>
          <w:color w:val="231F20"/>
          <w:spacing w:val="-5"/>
          <w:w w:val="110"/>
        </w:rPr>
        <w:t> </w:t>
      </w:r>
      <w:r>
        <w:rPr>
          <w:color w:val="231F20"/>
          <w:w w:val="110"/>
        </w:rPr>
        <w:t>potencia</w:t>
      </w:r>
      <w:r>
        <w:rPr>
          <w:color w:val="231F20"/>
          <w:spacing w:val="-5"/>
          <w:w w:val="110"/>
        </w:rPr>
        <w:t> </w:t>
      </w:r>
      <w:r>
        <w:rPr>
          <w:color w:val="231F20"/>
          <w:w w:val="110"/>
        </w:rPr>
        <w:t>norteña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vía</w:t>
      </w:r>
      <w:r>
        <w:rPr>
          <w:color w:val="231F20"/>
          <w:spacing w:val="-5"/>
          <w:w w:val="110"/>
        </w:rPr>
        <w:t> </w:t>
      </w:r>
      <w:r>
        <w:rPr>
          <w:color w:val="231F20"/>
          <w:w w:val="110"/>
        </w:rPr>
        <w:t>del</w:t>
      </w:r>
      <w:r>
        <w:rPr>
          <w:color w:val="231F20"/>
          <w:spacing w:val="-5"/>
          <w:w w:val="110"/>
        </w:rPr>
        <w:t> </w:t>
      </w:r>
      <w:r>
        <w:rPr>
          <w:color w:val="231F20"/>
          <w:w w:val="110"/>
        </w:rPr>
        <w:t>Comando</w:t>
      </w:r>
      <w:r>
        <w:rPr>
          <w:color w:val="231F20"/>
          <w:spacing w:val="-5"/>
          <w:w w:val="110"/>
        </w:rPr>
        <w:t> Sur, </w:t>
      </w:r>
      <w:r>
        <w:rPr>
          <w:color w:val="231F20"/>
          <w:w w:val="110"/>
        </w:rPr>
        <w:t>y</w:t>
      </w:r>
      <w:r>
        <w:rPr>
          <w:color w:val="231F20"/>
          <w:spacing w:val="-5"/>
          <w:w w:val="110"/>
        </w:rPr>
        <w:t> </w:t>
      </w:r>
      <w:r>
        <w:rPr>
          <w:color w:val="231F20"/>
          <w:w w:val="110"/>
        </w:rPr>
        <w:t>otros</w:t>
      </w:r>
      <w:r>
        <w:rPr>
          <w:color w:val="231F20"/>
          <w:spacing w:val="-5"/>
          <w:w w:val="110"/>
        </w:rPr>
        <w:t> </w:t>
      </w:r>
      <w:r>
        <w:rPr>
          <w:color w:val="231F20"/>
          <w:w w:val="110"/>
        </w:rPr>
        <w:t>instrumentos de</w:t>
      </w:r>
      <w:r>
        <w:rPr>
          <w:color w:val="231F20"/>
          <w:spacing w:val="-17"/>
          <w:w w:val="110"/>
        </w:rPr>
        <w:t> </w:t>
      </w:r>
      <w:r>
        <w:rPr>
          <w:color w:val="231F20"/>
          <w:w w:val="110"/>
        </w:rPr>
        <w:t>la</w:t>
      </w:r>
      <w:r>
        <w:rPr>
          <w:color w:val="231F20"/>
          <w:spacing w:val="-17"/>
          <w:w w:val="110"/>
        </w:rPr>
        <w:t> </w:t>
      </w:r>
      <w:r>
        <w:rPr>
          <w:i/>
          <w:color w:val="231F20"/>
          <w:w w:val="110"/>
        </w:rPr>
        <w:t>Pax</w:t>
      </w:r>
      <w:r>
        <w:rPr>
          <w:i/>
          <w:color w:val="231F20"/>
          <w:spacing w:val="-17"/>
          <w:w w:val="110"/>
        </w:rPr>
        <w:t> </w:t>
      </w:r>
      <w:r>
        <w:rPr>
          <w:i/>
          <w:color w:val="231F20"/>
          <w:w w:val="110"/>
        </w:rPr>
        <w:t>Americana</w:t>
      </w:r>
      <w:r>
        <w:rPr>
          <w:i/>
          <w:color w:val="231F20"/>
          <w:spacing w:val="-17"/>
          <w:w w:val="110"/>
        </w:rPr>
        <w:t> </w:t>
      </w:r>
      <w:r>
        <w:rPr>
          <w:color w:val="231F20"/>
          <w:w w:val="110"/>
        </w:rPr>
        <w:t>como</w:t>
      </w:r>
      <w:r>
        <w:rPr>
          <w:color w:val="231F20"/>
          <w:spacing w:val="-17"/>
          <w:w w:val="110"/>
        </w:rPr>
        <w:t> </w:t>
      </w:r>
      <w:r>
        <w:rPr>
          <w:color w:val="231F20"/>
          <w:w w:val="110"/>
        </w:rPr>
        <w:t>el</w:t>
      </w:r>
      <w:r>
        <w:rPr>
          <w:color w:val="231F20"/>
          <w:spacing w:val="-17"/>
          <w:w w:val="110"/>
        </w:rPr>
        <w:t> </w:t>
      </w:r>
      <w:r>
        <w:rPr>
          <w:color w:val="231F20"/>
          <w:w w:val="110"/>
        </w:rPr>
        <w:t>Plan</w:t>
      </w:r>
      <w:r>
        <w:rPr>
          <w:color w:val="231F20"/>
          <w:spacing w:val="-17"/>
          <w:w w:val="110"/>
        </w:rPr>
        <w:t> </w:t>
      </w:r>
      <w:r>
        <w:rPr>
          <w:color w:val="231F20"/>
          <w:w w:val="110"/>
        </w:rPr>
        <w:t>Colombia.</w:t>
      </w:r>
      <w:r>
        <w:rPr>
          <w:color w:val="231F20"/>
          <w:spacing w:val="-17"/>
          <w:w w:val="110"/>
        </w:rPr>
        <w:t> </w:t>
      </w:r>
      <w:r>
        <w:rPr>
          <w:color w:val="231F20"/>
          <w:w w:val="110"/>
        </w:rPr>
        <w:t>Canadá</w:t>
      </w:r>
      <w:r>
        <w:rPr>
          <w:color w:val="231F20"/>
          <w:spacing w:val="-17"/>
          <w:w w:val="110"/>
        </w:rPr>
        <w:t> </w:t>
      </w:r>
      <w:r>
        <w:rPr>
          <w:color w:val="231F20"/>
          <w:w w:val="110"/>
        </w:rPr>
        <w:t>y</w:t>
      </w:r>
      <w:r>
        <w:rPr>
          <w:color w:val="231F20"/>
          <w:spacing w:val="-17"/>
          <w:w w:val="110"/>
        </w:rPr>
        <w:t> </w:t>
      </w:r>
      <w:r>
        <w:rPr>
          <w:color w:val="231F20"/>
          <w:w w:val="110"/>
        </w:rPr>
        <w:t>México</w:t>
      </w:r>
      <w:r>
        <w:rPr>
          <w:color w:val="231F20"/>
          <w:spacing w:val="-17"/>
          <w:w w:val="110"/>
        </w:rPr>
        <w:t> </w:t>
      </w:r>
      <w:r>
        <w:rPr>
          <w:color w:val="231F20"/>
          <w:w w:val="110"/>
        </w:rPr>
        <w:t>desde luego cuentan, por un lado, con el </w:t>
      </w:r>
      <w:r>
        <w:rPr>
          <w:color w:val="231F20"/>
          <w:spacing w:val="-3"/>
          <w:w w:val="110"/>
        </w:rPr>
        <w:t>Tratado </w:t>
      </w:r>
      <w:r>
        <w:rPr>
          <w:color w:val="231F20"/>
          <w:w w:val="110"/>
        </w:rPr>
        <w:t>de Libre Comercio de América del Norte, y por el otro, con el Comando Norte, la Alianza para la Seguridad y la Prosperidad de América del Norte (aspan), y ciertamente, para el caso de México, con la Iniciativa</w:t>
      </w:r>
      <w:r>
        <w:rPr>
          <w:color w:val="231F20"/>
          <w:spacing w:val="12"/>
          <w:w w:val="110"/>
        </w:rPr>
        <w:t> </w:t>
      </w:r>
      <w:r>
        <w:rPr>
          <w:color w:val="231F20"/>
          <w:w w:val="110"/>
        </w:rPr>
        <w:t>Mérida.</w:t>
      </w:r>
    </w:p>
    <w:p>
      <w:pPr>
        <w:pStyle w:val="BodyText"/>
        <w:spacing w:line="261" w:lineRule="auto"/>
        <w:ind w:left="100" w:right="117" w:firstLine="240"/>
        <w:jc w:val="both"/>
      </w:pPr>
      <w:r>
        <w:rPr>
          <w:color w:val="231F20"/>
          <w:w w:val="110"/>
        </w:rPr>
        <w:t>Por lo anterior puede decirse que lo que caracteriza la geopolítica de Estados Unidos a principios del siglo xxi en torno a los recursos naturales,</w:t>
      </w:r>
      <w:r>
        <w:rPr>
          <w:color w:val="231F20"/>
          <w:spacing w:val="-9"/>
          <w:w w:val="110"/>
        </w:rPr>
        <w:t> </w:t>
      </w:r>
      <w:r>
        <w:rPr>
          <w:color w:val="231F20"/>
          <w:w w:val="110"/>
        </w:rPr>
        <w:t>es</w:t>
      </w:r>
      <w:r>
        <w:rPr>
          <w:color w:val="231F20"/>
          <w:spacing w:val="-9"/>
          <w:w w:val="110"/>
        </w:rPr>
        <w:t> </w:t>
      </w:r>
      <w:r>
        <w:rPr>
          <w:color w:val="231F20"/>
          <w:w w:val="110"/>
        </w:rPr>
        <w:t>una</w:t>
      </w:r>
      <w:r>
        <w:rPr>
          <w:color w:val="231F20"/>
          <w:spacing w:val="-9"/>
          <w:w w:val="110"/>
        </w:rPr>
        <w:t> </w:t>
      </w:r>
      <w:r>
        <w:rPr>
          <w:color w:val="231F20"/>
          <w:w w:val="110"/>
        </w:rPr>
        <w:t>creciente</w:t>
      </w:r>
      <w:r>
        <w:rPr>
          <w:color w:val="231F20"/>
          <w:spacing w:val="-9"/>
          <w:w w:val="110"/>
        </w:rPr>
        <w:t> </w:t>
      </w:r>
      <w:r>
        <w:rPr>
          <w:color w:val="231F20"/>
          <w:w w:val="110"/>
        </w:rPr>
        <w:t>proyección</w:t>
      </w:r>
      <w:r>
        <w:rPr>
          <w:color w:val="231F20"/>
          <w:spacing w:val="-9"/>
          <w:w w:val="110"/>
        </w:rPr>
        <w:t> </w:t>
      </w:r>
      <w:r>
        <w:rPr>
          <w:color w:val="231F20"/>
          <w:w w:val="110"/>
        </w:rPr>
        <w:t>diplo-militar</w:t>
      </w:r>
      <w:r>
        <w:rPr>
          <w:color w:val="231F20"/>
          <w:spacing w:val="-9"/>
          <w:w w:val="110"/>
        </w:rPr>
        <w:t> </w:t>
      </w:r>
      <w:r>
        <w:rPr>
          <w:color w:val="231F20"/>
          <w:w w:val="110"/>
        </w:rPr>
        <w:t>y</w:t>
      </w:r>
      <w:r>
        <w:rPr>
          <w:color w:val="231F20"/>
          <w:spacing w:val="-9"/>
          <w:w w:val="110"/>
        </w:rPr>
        <w:t> </w:t>
      </w:r>
      <w:r>
        <w:rPr>
          <w:color w:val="231F20"/>
          <w:w w:val="110"/>
        </w:rPr>
        <w:t>una</w:t>
      </w:r>
      <w:r>
        <w:rPr>
          <w:color w:val="231F20"/>
          <w:spacing w:val="-9"/>
          <w:w w:val="110"/>
        </w:rPr>
        <w:t> </w:t>
      </w:r>
      <w:r>
        <w:rPr>
          <w:color w:val="231F20"/>
          <w:w w:val="110"/>
        </w:rPr>
        <w:t>ascendente operatividad formal y clandestina de fuerzas y grupos especiales en áreas ricas en recursos. Esto si bien se nota de modo marcado en el continente (reserva estratégica de Estados Unidos, desde su propia perspectiva), no se limita sino que se extiende a otras áreas clave</w:t>
      </w:r>
      <w:r>
        <w:rPr>
          <w:color w:val="231F20"/>
          <w:spacing w:val="-30"/>
          <w:w w:val="110"/>
        </w:rPr>
        <w:t> </w:t>
      </w:r>
      <w:r>
        <w:rPr>
          <w:color w:val="231F20"/>
          <w:w w:val="110"/>
        </w:rPr>
        <w:t>del planeta.</w:t>
      </w:r>
    </w:p>
    <w:p>
      <w:pPr>
        <w:pStyle w:val="BodyText"/>
        <w:spacing w:line="261" w:lineRule="auto"/>
        <w:ind w:left="100" w:right="117" w:firstLine="240"/>
        <w:jc w:val="both"/>
      </w:pPr>
      <w:r>
        <w:rPr>
          <w:color w:val="231F20"/>
          <w:w w:val="110"/>
        </w:rPr>
        <w:t>En</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refiere</w:t>
      </w:r>
      <w:r>
        <w:rPr>
          <w:color w:val="231F20"/>
          <w:spacing w:val="-7"/>
          <w:w w:val="110"/>
        </w:rPr>
        <w:t> </w:t>
      </w:r>
      <w:r>
        <w:rPr>
          <w:color w:val="231F20"/>
          <w:w w:val="110"/>
        </w:rPr>
        <w:t>a</w:t>
      </w:r>
      <w:r>
        <w:rPr>
          <w:color w:val="231F20"/>
          <w:spacing w:val="-7"/>
          <w:w w:val="110"/>
        </w:rPr>
        <w:t> </w:t>
      </w:r>
      <w:r>
        <w:rPr>
          <w:color w:val="231F20"/>
          <w:w w:val="110"/>
        </w:rPr>
        <w:t>minerales,</w:t>
      </w:r>
      <w:r>
        <w:rPr>
          <w:color w:val="231F20"/>
          <w:spacing w:val="-7"/>
          <w:w w:val="110"/>
        </w:rPr>
        <w:t> </w:t>
      </w:r>
      <w:r>
        <w:rPr>
          <w:color w:val="231F20"/>
          <w:w w:val="110"/>
        </w:rPr>
        <w:t>destaca</w:t>
      </w:r>
      <w:r>
        <w:rPr>
          <w:color w:val="231F20"/>
          <w:spacing w:val="-7"/>
          <w:w w:val="110"/>
        </w:rPr>
        <w:t> </w:t>
      </w:r>
      <w:r>
        <w:rPr>
          <w:color w:val="231F20"/>
          <w:w w:val="110"/>
        </w:rPr>
        <w:t>particularmente</w:t>
      </w:r>
      <w:r>
        <w:rPr>
          <w:color w:val="231F20"/>
          <w:spacing w:val="-7"/>
          <w:w w:val="110"/>
        </w:rPr>
        <w:t> </w:t>
      </w:r>
      <w:r>
        <w:rPr>
          <w:color w:val="231F20"/>
          <w:w w:val="110"/>
        </w:rPr>
        <w:t>África</w:t>
      </w:r>
      <w:r>
        <w:rPr>
          <w:color w:val="231F20"/>
          <w:spacing w:val="-7"/>
          <w:w w:val="110"/>
        </w:rPr>
        <w:t> </w:t>
      </w:r>
      <w:r>
        <w:rPr>
          <w:color w:val="231F20"/>
          <w:w w:val="110"/>
        </w:rPr>
        <w:t>dada su</w:t>
      </w:r>
      <w:r>
        <w:rPr>
          <w:color w:val="231F20"/>
          <w:spacing w:val="-12"/>
          <w:w w:val="110"/>
        </w:rPr>
        <w:t> </w:t>
      </w:r>
      <w:r>
        <w:rPr>
          <w:color w:val="231F20"/>
          <w:w w:val="110"/>
        </w:rPr>
        <w:t>riqueza</w:t>
      </w:r>
      <w:r>
        <w:rPr>
          <w:color w:val="231F20"/>
          <w:spacing w:val="-12"/>
          <w:w w:val="110"/>
        </w:rPr>
        <w:t> </w:t>
      </w:r>
      <w:r>
        <w:rPr>
          <w:color w:val="231F20"/>
          <w:w w:val="110"/>
        </w:rPr>
        <w:t>geológica</w:t>
      </w:r>
      <w:r>
        <w:rPr>
          <w:color w:val="231F20"/>
          <w:spacing w:val="-12"/>
          <w:w w:val="110"/>
        </w:rPr>
        <w:t> </w:t>
      </w:r>
      <w:r>
        <w:rPr>
          <w:color w:val="231F20"/>
          <w:w w:val="110"/>
        </w:rPr>
        <w:t>y</w:t>
      </w:r>
      <w:r>
        <w:rPr>
          <w:color w:val="231F20"/>
          <w:spacing w:val="-12"/>
          <w:w w:val="110"/>
        </w:rPr>
        <w:t> </w:t>
      </w:r>
      <w:r>
        <w:rPr>
          <w:color w:val="231F20"/>
          <w:w w:val="110"/>
        </w:rPr>
        <w:t>grandes</w:t>
      </w:r>
      <w:r>
        <w:rPr>
          <w:color w:val="231F20"/>
          <w:spacing w:val="-12"/>
          <w:w w:val="110"/>
        </w:rPr>
        <w:t> </w:t>
      </w:r>
      <w:r>
        <w:rPr>
          <w:color w:val="231F20"/>
          <w:w w:val="110"/>
        </w:rPr>
        <w:t>áreas</w:t>
      </w:r>
      <w:r>
        <w:rPr>
          <w:color w:val="231F20"/>
          <w:spacing w:val="-12"/>
          <w:w w:val="110"/>
        </w:rPr>
        <w:t> </w:t>
      </w:r>
      <w:r>
        <w:rPr>
          <w:color w:val="231F20"/>
          <w:w w:val="110"/>
        </w:rPr>
        <w:t>sin</w:t>
      </w:r>
      <w:r>
        <w:rPr>
          <w:color w:val="231F20"/>
          <w:spacing w:val="-12"/>
          <w:w w:val="110"/>
        </w:rPr>
        <w:t> </w:t>
      </w:r>
      <w:r>
        <w:rPr>
          <w:color w:val="231F20"/>
          <w:w w:val="110"/>
        </w:rPr>
        <w:t>explorar.</w:t>
      </w:r>
      <w:r>
        <w:rPr>
          <w:color w:val="231F20"/>
          <w:spacing w:val="-12"/>
          <w:w w:val="110"/>
        </w:rPr>
        <w:t> </w:t>
      </w:r>
      <w:r>
        <w:rPr>
          <w:color w:val="231F20"/>
          <w:w w:val="110"/>
        </w:rPr>
        <w:t>De</w:t>
      </w:r>
      <w:r>
        <w:rPr>
          <w:color w:val="231F20"/>
          <w:spacing w:val="-12"/>
          <w:w w:val="110"/>
        </w:rPr>
        <w:t> </w:t>
      </w:r>
      <w:r>
        <w:rPr>
          <w:color w:val="231F20"/>
          <w:w w:val="110"/>
        </w:rPr>
        <w:t>ahí</w:t>
      </w:r>
      <w:r>
        <w:rPr>
          <w:color w:val="231F20"/>
          <w:spacing w:val="-12"/>
          <w:w w:val="110"/>
        </w:rPr>
        <w:t> </w:t>
      </w:r>
      <w:r>
        <w:rPr>
          <w:color w:val="231F20"/>
          <w:w w:val="110"/>
        </w:rPr>
        <w:t>que</w:t>
      </w:r>
      <w:r>
        <w:rPr>
          <w:color w:val="231F20"/>
          <w:spacing w:val="-12"/>
          <w:w w:val="110"/>
        </w:rPr>
        <w:t> </w:t>
      </w:r>
      <w:r>
        <w:rPr>
          <w:color w:val="231F20"/>
          <w:w w:val="110"/>
        </w:rPr>
        <w:t>Estados Unidos definiera la conformación de Africom como frente diplo- militar en la zona encargado de asegurarle un papel predominante; especialmente en lo que refiere al control de los recursos   </w:t>
      </w:r>
      <w:r>
        <w:rPr>
          <w:color w:val="231F20"/>
          <w:spacing w:val="23"/>
          <w:w w:val="110"/>
        </w:rPr>
        <w:t> </w:t>
      </w:r>
      <w:r>
        <w:rPr>
          <w:color w:val="231F20"/>
          <w:w w:val="110"/>
        </w:rPr>
        <w:t>(Kidane,</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2008).</w:t>
      </w:r>
      <w:r>
        <w:rPr>
          <w:color w:val="231F20"/>
          <w:spacing w:val="-7"/>
          <w:w w:val="110"/>
        </w:rPr>
        <w:t> </w:t>
      </w:r>
      <w:r>
        <w:rPr>
          <w:color w:val="231F20"/>
        </w:rPr>
        <w:t>Y</w:t>
      </w:r>
      <w:r>
        <w:rPr>
          <w:color w:val="231F20"/>
          <w:spacing w:val="-2"/>
        </w:rPr>
        <w:t> </w:t>
      </w:r>
      <w:r>
        <w:rPr>
          <w:color w:val="231F20"/>
          <w:w w:val="110"/>
        </w:rPr>
        <w:t>es</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2005,</w:t>
      </w:r>
      <w:r>
        <w:rPr>
          <w:color w:val="231F20"/>
          <w:spacing w:val="-7"/>
          <w:w w:val="110"/>
        </w:rPr>
        <w:t> </w:t>
      </w:r>
      <w:r>
        <w:rPr>
          <w:color w:val="231F20"/>
          <w:w w:val="110"/>
        </w:rPr>
        <w:t>la</w:t>
      </w:r>
      <w:r>
        <w:rPr>
          <w:color w:val="231F20"/>
          <w:spacing w:val="-7"/>
          <w:w w:val="110"/>
        </w:rPr>
        <w:t> </w:t>
      </w:r>
      <w:r>
        <w:rPr>
          <w:color w:val="231F20"/>
          <w:w w:val="110"/>
        </w:rPr>
        <w:t>presencia</w:t>
      </w:r>
      <w:r>
        <w:rPr>
          <w:color w:val="231F20"/>
          <w:spacing w:val="-7"/>
          <w:w w:val="110"/>
        </w:rPr>
        <w:t> </w:t>
      </w:r>
      <w:r>
        <w:rPr>
          <w:color w:val="231F20"/>
          <w:w w:val="110"/>
        </w:rPr>
        <w:t>China</w:t>
      </w:r>
      <w:r>
        <w:rPr>
          <w:color w:val="231F20"/>
          <w:spacing w:val="-7"/>
          <w:w w:val="110"/>
        </w:rPr>
        <w:t> </w:t>
      </w:r>
      <w:r>
        <w:rPr>
          <w:color w:val="231F20"/>
          <w:w w:val="110"/>
        </w:rPr>
        <w:t>había</w:t>
      </w:r>
      <w:r>
        <w:rPr>
          <w:color w:val="231F20"/>
          <w:spacing w:val="-7"/>
          <w:w w:val="110"/>
        </w:rPr>
        <w:t> </w:t>
      </w:r>
      <w:r>
        <w:rPr>
          <w:color w:val="231F20"/>
          <w:w w:val="110"/>
        </w:rPr>
        <w:t>sobrepasado</w:t>
      </w:r>
      <w:r>
        <w:rPr>
          <w:color w:val="231F20"/>
          <w:spacing w:val="-7"/>
          <w:w w:val="110"/>
        </w:rPr>
        <w:t> </w:t>
      </w:r>
      <w:r>
        <w:rPr>
          <w:color w:val="231F20"/>
          <w:w w:val="110"/>
        </w:rPr>
        <w:t>la</w:t>
      </w:r>
      <w:r>
        <w:rPr>
          <w:color w:val="231F20"/>
          <w:spacing w:val="-7"/>
          <w:w w:val="110"/>
        </w:rPr>
        <w:t> </w:t>
      </w:r>
      <w:r>
        <w:rPr>
          <w:color w:val="231F20"/>
          <w:w w:val="110"/>
        </w:rPr>
        <w:t>del Reino Unido, el tercer socio más importante de ese continente des- pués de Estados Unidos </w:t>
      </w:r>
      <w:r>
        <w:rPr>
          <w:color w:val="231F20"/>
        </w:rPr>
        <w:t>y </w:t>
      </w:r>
      <w:r>
        <w:rPr>
          <w:color w:val="231F20"/>
          <w:w w:val="110"/>
        </w:rPr>
        <w:t>Francia. El interés chino particularmente denota en el rubro del petróleo </w:t>
      </w:r>
      <w:r>
        <w:rPr>
          <w:color w:val="231F20"/>
        </w:rPr>
        <w:t>y </w:t>
      </w:r>
      <w:r>
        <w:rPr>
          <w:color w:val="231F20"/>
          <w:w w:val="110"/>
        </w:rPr>
        <w:t>minerales, siendo el cobalto de la República Democrática del Congo uno de los más representativos. Estados Unidos pelea dichos recursos, entre otros existentes en ese país. Otros como los diamantes de Sierra Leona o el petróleo del delta del Níger son igualmente</w:t>
      </w:r>
      <w:r>
        <w:rPr>
          <w:color w:val="231F20"/>
          <w:spacing w:val="28"/>
          <w:w w:val="110"/>
        </w:rPr>
        <w:t> </w:t>
      </w:r>
      <w:r>
        <w:rPr>
          <w:color w:val="231F20"/>
          <w:w w:val="110"/>
        </w:rPr>
        <w:t>estratégicos.</w:t>
      </w:r>
    </w:p>
    <w:p>
      <w:pPr>
        <w:pStyle w:val="BodyText"/>
        <w:spacing w:line="261" w:lineRule="auto"/>
        <w:ind w:left="100" w:right="117" w:firstLine="240"/>
        <w:jc w:val="both"/>
      </w:pPr>
      <w:r>
        <w:rPr>
          <w:color w:val="231F20"/>
          <w:w w:val="110"/>
        </w:rPr>
        <w:t>Mediante</w:t>
      </w:r>
      <w:r>
        <w:rPr>
          <w:color w:val="231F20"/>
          <w:spacing w:val="-6"/>
          <w:w w:val="110"/>
        </w:rPr>
        <w:t> </w:t>
      </w:r>
      <w:r>
        <w:rPr>
          <w:color w:val="231F20"/>
          <w:w w:val="110"/>
        </w:rPr>
        <w:t>un</w:t>
      </w:r>
      <w:r>
        <w:rPr>
          <w:color w:val="231F20"/>
          <w:spacing w:val="-6"/>
          <w:w w:val="110"/>
        </w:rPr>
        <w:t> </w:t>
      </w:r>
      <w:r>
        <w:rPr>
          <w:color w:val="231F20"/>
          <w:w w:val="110"/>
        </w:rPr>
        <w:t>discurso</w:t>
      </w:r>
      <w:r>
        <w:rPr>
          <w:color w:val="231F20"/>
          <w:spacing w:val="-6"/>
          <w:w w:val="110"/>
        </w:rPr>
        <w:t> </w:t>
      </w:r>
      <w:r>
        <w:rPr>
          <w:color w:val="231F20"/>
          <w:w w:val="110"/>
        </w:rPr>
        <w:t>que</w:t>
      </w:r>
      <w:r>
        <w:rPr>
          <w:color w:val="231F20"/>
          <w:spacing w:val="-6"/>
          <w:w w:val="110"/>
        </w:rPr>
        <w:t> </w:t>
      </w:r>
      <w:r>
        <w:rPr>
          <w:color w:val="231F20"/>
          <w:w w:val="110"/>
        </w:rPr>
        <w:t>vincula</w:t>
      </w:r>
      <w:r>
        <w:rPr>
          <w:color w:val="231F20"/>
          <w:spacing w:val="-6"/>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lado</w:t>
      </w:r>
      <w:r>
        <w:rPr>
          <w:color w:val="231F20"/>
          <w:spacing w:val="-6"/>
          <w:w w:val="110"/>
        </w:rPr>
        <w:t> </w:t>
      </w:r>
      <w:r>
        <w:rPr>
          <w:color w:val="231F20"/>
          <w:w w:val="110"/>
        </w:rPr>
        <w:t>la</w:t>
      </w:r>
      <w:r>
        <w:rPr>
          <w:color w:val="231F20"/>
          <w:spacing w:val="-6"/>
          <w:w w:val="110"/>
        </w:rPr>
        <w:t> </w:t>
      </w:r>
      <w:r>
        <w:rPr>
          <w:color w:val="231F20"/>
          <w:w w:val="110"/>
        </w:rPr>
        <w:t>ayuda</w:t>
      </w:r>
      <w:r>
        <w:rPr>
          <w:color w:val="231F20"/>
          <w:spacing w:val="-6"/>
          <w:w w:val="110"/>
        </w:rPr>
        <w:t> </w:t>
      </w:r>
      <w:r>
        <w:rPr>
          <w:color w:val="231F20"/>
          <w:w w:val="110"/>
        </w:rPr>
        <w:t>de</w:t>
      </w:r>
      <w:r>
        <w:rPr>
          <w:color w:val="231F20"/>
          <w:spacing w:val="-6"/>
          <w:w w:val="110"/>
        </w:rPr>
        <w:t> </w:t>
      </w:r>
      <w:r>
        <w:rPr>
          <w:color w:val="231F20"/>
          <w:w w:val="110"/>
        </w:rPr>
        <w:t>Estados Unidos en la efectiva realización de la “capacidad y potencial” de África, con la problemática de la seguridad y el crimen organizado por el otro, el Africom, considera implícitamente que los recursos naturales son pieza clave para el “desarrollo” del continente (en el sentido del desarrollo de economías extractivas de enclave). Se trata de un escenario en el que Estados Unidos deberá eufemísticamente velar</w:t>
      </w:r>
      <w:r>
        <w:rPr>
          <w:color w:val="231F20"/>
          <w:spacing w:val="-12"/>
          <w:w w:val="110"/>
        </w:rPr>
        <w:t> </w:t>
      </w:r>
      <w:r>
        <w:rPr>
          <w:color w:val="231F20"/>
          <w:w w:val="110"/>
        </w:rPr>
        <w:t>por</w:t>
      </w:r>
      <w:r>
        <w:rPr>
          <w:color w:val="231F20"/>
          <w:spacing w:val="-12"/>
          <w:w w:val="110"/>
        </w:rPr>
        <w:t> </w:t>
      </w:r>
      <w:r>
        <w:rPr>
          <w:color w:val="231F20"/>
          <w:w w:val="110"/>
        </w:rPr>
        <w:t>los</w:t>
      </w:r>
      <w:r>
        <w:rPr>
          <w:color w:val="231F20"/>
          <w:spacing w:val="-12"/>
          <w:w w:val="110"/>
        </w:rPr>
        <w:t> </w:t>
      </w:r>
      <w:r>
        <w:rPr>
          <w:color w:val="231F20"/>
          <w:w w:val="110"/>
        </w:rPr>
        <w:t>recursos</w:t>
      </w:r>
      <w:r>
        <w:rPr>
          <w:color w:val="231F20"/>
          <w:spacing w:val="-12"/>
          <w:w w:val="110"/>
        </w:rPr>
        <w:t> </w:t>
      </w:r>
      <w:r>
        <w:rPr>
          <w:color w:val="231F20"/>
          <w:w w:val="110"/>
        </w:rPr>
        <w:t>naturales</w:t>
      </w:r>
      <w:r>
        <w:rPr>
          <w:color w:val="231F20"/>
          <w:spacing w:val="-12"/>
          <w:w w:val="110"/>
        </w:rPr>
        <w:t> </w:t>
      </w:r>
      <w:r>
        <w:rPr>
          <w:color w:val="231F20"/>
          <w:w w:val="110"/>
        </w:rPr>
        <w:t>para</w:t>
      </w:r>
      <w:r>
        <w:rPr>
          <w:color w:val="231F20"/>
          <w:spacing w:val="-12"/>
          <w:w w:val="110"/>
        </w:rPr>
        <w:t> </w:t>
      </w:r>
      <w:r>
        <w:rPr>
          <w:color w:val="231F20"/>
          <w:w w:val="110"/>
        </w:rPr>
        <w:t>que,</w:t>
      </w:r>
      <w:r>
        <w:rPr>
          <w:color w:val="231F20"/>
          <w:spacing w:val="-12"/>
          <w:w w:val="110"/>
        </w:rPr>
        <w:t> </w:t>
      </w:r>
      <w:r>
        <w:rPr>
          <w:color w:val="231F20"/>
          <w:w w:val="110"/>
        </w:rPr>
        <w:t>con</w:t>
      </w:r>
      <w:r>
        <w:rPr>
          <w:color w:val="231F20"/>
          <w:spacing w:val="-12"/>
          <w:w w:val="110"/>
        </w:rPr>
        <w:t> </w:t>
      </w:r>
      <w:r>
        <w:rPr>
          <w:color w:val="231F20"/>
          <w:w w:val="110"/>
        </w:rPr>
        <w:t>su</w:t>
      </w:r>
      <w:r>
        <w:rPr>
          <w:color w:val="231F20"/>
          <w:spacing w:val="-12"/>
          <w:w w:val="110"/>
        </w:rPr>
        <w:t> </w:t>
      </w:r>
      <w:r>
        <w:rPr>
          <w:color w:val="231F20"/>
          <w:w w:val="110"/>
        </w:rPr>
        <w:t>ayuda,</w:t>
      </w:r>
      <w:r>
        <w:rPr>
          <w:color w:val="231F20"/>
          <w:spacing w:val="-12"/>
          <w:w w:val="110"/>
        </w:rPr>
        <w:t> </w:t>
      </w:r>
      <w:r>
        <w:rPr>
          <w:color w:val="231F20"/>
          <w:w w:val="110"/>
        </w:rPr>
        <w:t>eventualmen- te</w:t>
      </w:r>
      <w:r>
        <w:rPr>
          <w:color w:val="231F20"/>
          <w:spacing w:val="-23"/>
          <w:w w:val="110"/>
        </w:rPr>
        <w:t> </w:t>
      </w:r>
      <w:r>
        <w:rPr>
          <w:color w:val="231F20"/>
          <w:w w:val="110"/>
        </w:rPr>
        <w:t>África</w:t>
      </w:r>
      <w:r>
        <w:rPr>
          <w:color w:val="231F20"/>
          <w:spacing w:val="-23"/>
          <w:w w:val="110"/>
        </w:rPr>
        <w:t> </w:t>
      </w:r>
      <w:r>
        <w:rPr>
          <w:color w:val="231F20"/>
          <w:w w:val="110"/>
        </w:rPr>
        <w:t>pueda</w:t>
      </w:r>
      <w:r>
        <w:rPr>
          <w:color w:val="231F20"/>
          <w:spacing w:val="-23"/>
          <w:w w:val="110"/>
        </w:rPr>
        <w:t> </w:t>
      </w:r>
      <w:r>
        <w:rPr>
          <w:color w:val="231F20"/>
          <w:w w:val="110"/>
        </w:rPr>
        <w:t>desarrollar</w:t>
      </w:r>
      <w:r>
        <w:rPr>
          <w:color w:val="231F20"/>
          <w:spacing w:val="-23"/>
          <w:w w:val="110"/>
        </w:rPr>
        <w:t> </w:t>
      </w:r>
      <w:r>
        <w:rPr>
          <w:color w:val="231F20"/>
          <w:w w:val="110"/>
        </w:rPr>
        <w:t>su</w:t>
      </w:r>
      <w:r>
        <w:rPr>
          <w:color w:val="231F20"/>
          <w:spacing w:val="-23"/>
          <w:w w:val="110"/>
        </w:rPr>
        <w:t> </w:t>
      </w:r>
      <w:r>
        <w:rPr>
          <w:color w:val="231F20"/>
          <w:w w:val="110"/>
        </w:rPr>
        <w:t>verdadera</w:t>
      </w:r>
      <w:r>
        <w:rPr>
          <w:color w:val="231F20"/>
          <w:spacing w:val="-23"/>
          <w:w w:val="110"/>
        </w:rPr>
        <w:t> </w:t>
      </w:r>
      <w:r>
        <w:rPr>
          <w:color w:val="231F20"/>
          <w:w w:val="110"/>
        </w:rPr>
        <w:t>“capacidad”</w:t>
      </w:r>
      <w:r>
        <w:rPr>
          <w:color w:val="231F20"/>
          <w:spacing w:val="-23"/>
          <w:w w:val="110"/>
        </w:rPr>
        <w:t> </w:t>
      </w:r>
      <w:r>
        <w:rPr>
          <w:color w:val="231F20"/>
          <w:w w:val="110"/>
        </w:rPr>
        <w:t>y</w:t>
      </w:r>
      <w:r>
        <w:rPr>
          <w:color w:val="231F20"/>
          <w:spacing w:val="-23"/>
          <w:w w:val="110"/>
        </w:rPr>
        <w:t> </w:t>
      </w:r>
      <w:r>
        <w:rPr>
          <w:color w:val="231F20"/>
          <w:w w:val="110"/>
        </w:rPr>
        <w:t>“potencial”.</w:t>
      </w:r>
      <w:r>
        <w:rPr>
          <w:color w:val="231F20"/>
          <w:spacing w:val="-23"/>
          <w:w w:val="110"/>
        </w:rPr>
        <w:t> </w:t>
      </w:r>
      <w:r>
        <w:rPr>
          <w:color w:val="231F20"/>
          <w:w w:val="110"/>
        </w:rPr>
        <w:t>O, en palabras del general William Ward, el Africom está “orientado a prevenir el conflicto para permitir el trabajo de los africanos” (Afri- com, s/f). Casualmente no es toda África la que interesa al Africom, sino sólo ciertas zonas de</w:t>
      </w:r>
      <w:r>
        <w:rPr>
          <w:color w:val="231F20"/>
          <w:spacing w:val="8"/>
          <w:w w:val="110"/>
        </w:rPr>
        <w:t> </w:t>
      </w:r>
      <w:r>
        <w:rPr>
          <w:color w:val="231F20"/>
          <w:w w:val="110"/>
        </w:rPr>
        <w:t>interés.</w:t>
      </w:r>
    </w:p>
    <w:p>
      <w:pPr>
        <w:pStyle w:val="BodyText"/>
        <w:spacing w:line="261" w:lineRule="auto"/>
        <w:ind w:left="100" w:right="117" w:firstLine="240"/>
        <w:jc w:val="both"/>
      </w:pPr>
      <w:r>
        <w:rPr>
          <w:color w:val="231F20"/>
          <w:w w:val="110"/>
        </w:rPr>
        <w:t>Lo anterior, descodificado, implica que a Estados Unidos le in- teresa, entre otras cuestiones, velar por los recursos naturales para estimular</w:t>
      </w:r>
      <w:r>
        <w:rPr>
          <w:color w:val="231F20"/>
          <w:spacing w:val="-8"/>
          <w:w w:val="110"/>
        </w:rPr>
        <w:t> </w:t>
      </w:r>
      <w:r>
        <w:rPr>
          <w:color w:val="231F20"/>
          <w:w w:val="110"/>
        </w:rPr>
        <w:t>economías</w:t>
      </w:r>
      <w:r>
        <w:rPr>
          <w:color w:val="231F20"/>
          <w:spacing w:val="-8"/>
          <w:w w:val="110"/>
        </w:rPr>
        <w:t> </w:t>
      </w:r>
      <w:r>
        <w:rPr>
          <w:color w:val="231F20"/>
          <w:w w:val="110"/>
        </w:rPr>
        <w:t>extractivas</w:t>
      </w:r>
      <w:r>
        <w:rPr>
          <w:color w:val="231F20"/>
          <w:spacing w:val="-8"/>
          <w:w w:val="110"/>
        </w:rPr>
        <w:t> </w:t>
      </w:r>
      <w:r>
        <w:rPr>
          <w:color w:val="231F20"/>
          <w:w w:val="110"/>
        </w:rPr>
        <w:t>de</w:t>
      </w:r>
      <w:r>
        <w:rPr>
          <w:color w:val="231F20"/>
          <w:spacing w:val="-8"/>
          <w:w w:val="110"/>
        </w:rPr>
        <w:t> </w:t>
      </w:r>
      <w:r>
        <w:rPr>
          <w:color w:val="231F20"/>
          <w:w w:val="110"/>
        </w:rPr>
        <w:t>recursos</w:t>
      </w:r>
      <w:r>
        <w:rPr>
          <w:color w:val="231F20"/>
          <w:spacing w:val="-8"/>
          <w:w w:val="110"/>
        </w:rPr>
        <w:t> </w:t>
      </w:r>
      <w:r>
        <w:rPr>
          <w:color w:val="231F20"/>
          <w:w w:val="110"/>
        </w:rPr>
        <w:t>energéticos</w:t>
      </w:r>
      <w:r>
        <w:rPr>
          <w:color w:val="231F20"/>
          <w:spacing w:val="-8"/>
          <w:w w:val="110"/>
        </w:rPr>
        <w:t> </w:t>
      </w:r>
      <w:r>
        <w:rPr>
          <w:color w:val="231F20"/>
          <w:w w:val="110"/>
        </w:rPr>
        <w:t>y</w:t>
      </w:r>
      <w:r>
        <w:rPr>
          <w:color w:val="231F20"/>
          <w:spacing w:val="-8"/>
          <w:w w:val="110"/>
        </w:rPr>
        <w:t> </w:t>
      </w:r>
      <w:r>
        <w:rPr>
          <w:color w:val="231F20"/>
          <w:w w:val="110"/>
        </w:rPr>
        <w:t>materiales críticos</w:t>
      </w:r>
      <w:r>
        <w:rPr>
          <w:color w:val="231F20"/>
          <w:spacing w:val="-6"/>
          <w:w w:val="110"/>
        </w:rPr>
        <w:t> </w:t>
      </w:r>
      <w:r>
        <w:rPr>
          <w:color w:val="231F20"/>
          <w:w w:val="110"/>
        </w:rPr>
        <w:t>y</w:t>
      </w:r>
      <w:r>
        <w:rPr>
          <w:color w:val="231F20"/>
          <w:spacing w:val="-6"/>
          <w:w w:val="110"/>
        </w:rPr>
        <w:t> </w:t>
      </w:r>
      <w:r>
        <w:rPr>
          <w:color w:val="231F20"/>
          <w:w w:val="110"/>
        </w:rPr>
        <w:t>estratégicos.</w:t>
      </w:r>
      <w:r>
        <w:rPr>
          <w:color w:val="231F20"/>
          <w:spacing w:val="-6"/>
          <w:w w:val="110"/>
        </w:rPr>
        <w:t> </w:t>
      </w:r>
      <w:r>
        <w:rPr>
          <w:color w:val="231F20"/>
          <w:w w:val="110"/>
        </w:rPr>
        <w:t>Lo</w:t>
      </w:r>
      <w:r>
        <w:rPr>
          <w:color w:val="231F20"/>
          <w:spacing w:val="-6"/>
          <w:w w:val="110"/>
        </w:rPr>
        <w:t> </w:t>
      </w:r>
      <w:r>
        <w:rPr>
          <w:color w:val="231F20"/>
          <w:w w:val="110"/>
        </w:rPr>
        <w:t>anterior</w:t>
      </w:r>
      <w:r>
        <w:rPr>
          <w:color w:val="231F20"/>
          <w:spacing w:val="-6"/>
          <w:w w:val="110"/>
        </w:rPr>
        <w:t> </w:t>
      </w:r>
      <w:r>
        <w:rPr>
          <w:color w:val="231F20"/>
          <w:w w:val="110"/>
        </w:rPr>
        <w:t>es</w:t>
      </w:r>
      <w:r>
        <w:rPr>
          <w:color w:val="231F20"/>
          <w:spacing w:val="-6"/>
          <w:w w:val="110"/>
        </w:rPr>
        <w:t> </w:t>
      </w:r>
      <w:r>
        <w:rPr>
          <w:color w:val="231F20"/>
          <w:w w:val="110"/>
        </w:rPr>
        <w:t>explícitamente</w:t>
      </w:r>
      <w:r>
        <w:rPr>
          <w:color w:val="231F20"/>
          <w:spacing w:val="-6"/>
          <w:w w:val="110"/>
        </w:rPr>
        <w:t> </w:t>
      </w:r>
      <w:r>
        <w:rPr>
          <w:color w:val="231F20"/>
          <w:w w:val="110"/>
        </w:rPr>
        <w:t>reconocido</w:t>
      </w:r>
      <w:r>
        <w:rPr>
          <w:color w:val="231F20"/>
          <w:spacing w:val="-6"/>
          <w:w w:val="110"/>
        </w:rPr>
        <w:t> </w:t>
      </w:r>
      <w:r>
        <w:rPr>
          <w:color w:val="231F20"/>
          <w:w w:val="110"/>
        </w:rPr>
        <w:t>des- de los años ochenta cuando por ejemplo, el mayor E. A. Hagerman de la Marina, expresaba en un comunicado que, dada la creciente dependencia de Estados Unidos de minerales estratégicos y</w:t>
      </w:r>
      <w:r>
        <w:rPr>
          <w:color w:val="231F20"/>
          <w:spacing w:val="-28"/>
          <w:w w:val="110"/>
        </w:rPr>
        <w:t> </w:t>
      </w:r>
      <w:r>
        <w:rPr>
          <w:color w:val="231F20"/>
          <w:w w:val="110"/>
        </w:rPr>
        <w:t>conside- rando la riqueza pero también volatilidad de África, era ya de consi- derarse la posibilidad de una disrupción mayor en los suministros</w:t>
      </w:r>
      <w:r>
        <w:rPr>
          <w:color w:val="231F20"/>
          <w:spacing w:val="-29"/>
          <w:w w:val="110"/>
        </w:rPr>
        <w:t> </w:t>
      </w:r>
      <w:r>
        <w:rPr>
          <w:color w:val="231F20"/>
          <w:w w:val="110"/>
        </w:rPr>
        <w:t>de minerales hacia Estados Unidos. Hagerman advertía la necesidad de asegurar</w:t>
      </w:r>
      <w:r>
        <w:rPr>
          <w:color w:val="231F20"/>
          <w:spacing w:val="-19"/>
          <w:w w:val="110"/>
        </w:rPr>
        <w:t> </w:t>
      </w:r>
      <w:r>
        <w:rPr>
          <w:color w:val="231F20"/>
          <w:w w:val="110"/>
        </w:rPr>
        <w:t>suministros</w:t>
      </w:r>
      <w:r>
        <w:rPr>
          <w:color w:val="231F20"/>
          <w:spacing w:val="-19"/>
          <w:w w:val="110"/>
        </w:rPr>
        <w:t> </w:t>
      </w:r>
      <w:r>
        <w:rPr>
          <w:color w:val="231F20"/>
          <w:w w:val="110"/>
        </w:rPr>
        <w:t>de</w:t>
      </w:r>
      <w:r>
        <w:rPr>
          <w:color w:val="231F20"/>
          <w:spacing w:val="-19"/>
          <w:w w:val="110"/>
        </w:rPr>
        <w:t> </w:t>
      </w:r>
      <w:r>
        <w:rPr>
          <w:color w:val="231F20"/>
          <w:w w:val="110"/>
        </w:rPr>
        <w:t>cromo</w:t>
      </w:r>
      <w:r>
        <w:rPr>
          <w:color w:val="231F20"/>
          <w:spacing w:val="-19"/>
          <w:w w:val="110"/>
        </w:rPr>
        <w:t> </w:t>
      </w:r>
      <w:r>
        <w:rPr>
          <w:color w:val="231F20"/>
          <w:w w:val="110"/>
        </w:rPr>
        <w:t>provenientes</w:t>
      </w:r>
      <w:r>
        <w:rPr>
          <w:color w:val="231F20"/>
          <w:spacing w:val="-19"/>
          <w:w w:val="110"/>
        </w:rPr>
        <w:t> </w:t>
      </w:r>
      <w:r>
        <w:rPr>
          <w:color w:val="231F20"/>
          <w:w w:val="110"/>
        </w:rPr>
        <w:t>de</w:t>
      </w:r>
      <w:r>
        <w:rPr>
          <w:color w:val="231F20"/>
          <w:spacing w:val="-19"/>
          <w:w w:val="110"/>
        </w:rPr>
        <w:t> </w:t>
      </w:r>
      <w:r>
        <w:rPr>
          <w:color w:val="231F20"/>
          <w:w w:val="110"/>
        </w:rPr>
        <w:t>Sudáfrica</w:t>
      </w:r>
      <w:r>
        <w:rPr>
          <w:color w:val="231F20"/>
          <w:spacing w:val="-19"/>
          <w:w w:val="110"/>
        </w:rPr>
        <w:t> </w:t>
      </w:r>
      <w:r>
        <w:rPr>
          <w:color w:val="231F20"/>
          <w:w w:val="110"/>
        </w:rPr>
        <w:t>y</w:t>
      </w:r>
      <w:r>
        <w:rPr>
          <w:color w:val="231F20"/>
          <w:spacing w:val="-19"/>
          <w:w w:val="110"/>
        </w:rPr>
        <w:t> </w:t>
      </w:r>
      <w:r>
        <w:rPr>
          <w:color w:val="231F20"/>
          <w:w w:val="110"/>
        </w:rPr>
        <w:t>Zimbawe; de manganeso y platino de Sudáfrica; y de cobalto proveniente de Zaire,</w:t>
      </w:r>
      <w:r>
        <w:rPr>
          <w:color w:val="231F20"/>
          <w:spacing w:val="-22"/>
          <w:w w:val="110"/>
        </w:rPr>
        <w:t> </w:t>
      </w:r>
      <w:r>
        <w:rPr>
          <w:color w:val="231F20"/>
          <w:w w:val="110"/>
        </w:rPr>
        <w:t>Zambia,</w:t>
      </w:r>
      <w:r>
        <w:rPr>
          <w:color w:val="231F20"/>
          <w:spacing w:val="-22"/>
          <w:w w:val="110"/>
        </w:rPr>
        <w:t> </w:t>
      </w:r>
      <w:r>
        <w:rPr>
          <w:color w:val="231F20"/>
          <w:w w:val="110"/>
        </w:rPr>
        <w:t>Marruecos</w:t>
      </w:r>
      <w:r>
        <w:rPr>
          <w:color w:val="231F20"/>
          <w:spacing w:val="-22"/>
          <w:w w:val="110"/>
        </w:rPr>
        <w:t> </w:t>
      </w:r>
      <w:r>
        <w:rPr>
          <w:color w:val="231F20"/>
          <w:w w:val="110"/>
        </w:rPr>
        <w:t>y</w:t>
      </w:r>
      <w:r>
        <w:rPr>
          <w:color w:val="231F20"/>
          <w:spacing w:val="-22"/>
          <w:w w:val="110"/>
        </w:rPr>
        <w:t> </w:t>
      </w:r>
      <w:r>
        <w:rPr>
          <w:color w:val="231F20"/>
          <w:w w:val="110"/>
        </w:rPr>
        <w:t>Botswana.</w:t>
      </w:r>
      <w:r>
        <w:rPr>
          <w:color w:val="231F20"/>
          <w:spacing w:val="-22"/>
          <w:w w:val="110"/>
        </w:rPr>
        <w:t> </w:t>
      </w:r>
      <w:r>
        <w:rPr>
          <w:color w:val="231F20"/>
          <w:w w:val="110"/>
        </w:rPr>
        <w:t>En</w:t>
      </w:r>
      <w:r>
        <w:rPr>
          <w:color w:val="231F20"/>
          <w:spacing w:val="-22"/>
          <w:w w:val="110"/>
        </w:rPr>
        <w:t> </w:t>
      </w:r>
      <w:r>
        <w:rPr>
          <w:color w:val="231F20"/>
          <w:w w:val="110"/>
        </w:rPr>
        <w:t>este</w:t>
      </w:r>
      <w:r>
        <w:rPr>
          <w:color w:val="231F20"/>
          <w:spacing w:val="-22"/>
          <w:w w:val="110"/>
        </w:rPr>
        <w:t> </w:t>
      </w:r>
      <w:r>
        <w:rPr>
          <w:color w:val="231F20"/>
          <w:w w:val="110"/>
        </w:rPr>
        <w:t>ultimo</w:t>
      </w:r>
      <w:r>
        <w:rPr>
          <w:color w:val="231F20"/>
          <w:spacing w:val="-22"/>
          <w:w w:val="110"/>
        </w:rPr>
        <w:t> </w:t>
      </w:r>
      <w:r>
        <w:rPr>
          <w:color w:val="231F20"/>
          <w:w w:val="110"/>
        </w:rPr>
        <w:t>caso</w:t>
      </w:r>
      <w:r>
        <w:rPr>
          <w:color w:val="231F20"/>
          <w:spacing w:val="-22"/>
          <w:w w:val="110"/>
        </w:rPr>
        <w:t> </w:t>
      </w:r>
      <w:r>
        <w:rPr>
          <w:color w:val="231F20"/>
          <w:w w:val="110"/>
        </w:rPr>
        <w:t>y</w:t>
      </w:r>
      <w:r>
        <w:rPr>
          <w:color w:val="231F20"/>
          <w:spacing w:val="-22"/>
          <w:w w:val="110"/>
        </w:rPr>
        <w:t> </w:t>
      </w:r>
      <w:r>
        <w:rPr>
          <w:color w:val="231F20"/>
          <w:w w:val="110"/>
        </w:rPr>
        <w:t>dado</w:t>
      </w:r>
      <w:r>
        <w:rPr>
          <w:color w:val="231F20"/>
          <w:spacing w:val="-22"/>
          <w:w w:val="110"/>
        </w:rPr>
        <w:t> </w:t>
      </w:r>
      <w:r>
        <w:rPr>
          <w:color w:val="231F20"/>
          <w:w w:val="110"/>
        </w:rPr>
        <w:t>que Estados</w:t>
      </w:r>
      <w:r>
        <w:rPr>
          <w:color w:val="231F20"/>
          <w:spacing w:val="-9"/>
          <w:w w:val="110"/>
        </w:rPr>
        <w:t> </w:t>
      </w:r>
      <w:r>
        <w:rPr>
          <w:color w:val="231F20"/>
          <w:w w:val="110"/>
        </w:rPr>
        <w:t>Unidos</w:t>
      </w:r>
      <w:r>
        <w:rPr>
          <w:color w:val="231F20"/>
          <w:spacing w:val="-9"/>
          <w:w w:val="110"/>
        </w:rPr>
        <w:t> </w:t>
      </w:r>
      <w:r>
        <w:rPr>
          <w:color w:val="231F20"/>
          <w:w w:val="110"/>
        </w:rPr>
        <w:t>obtenía</w:t>
      </w:r>
      <w:r>
        <w:rPr>
          <w:color w:val="231F20"/>
          <w:spacing w:val="-9"/>
          <w:w w:val="110"/>
        </w:rPr>
        <w:t> </w:t>
      </w:r>
      <w:r>
        <w:rPr>
          <w:color w:val="231F20"/>
          <w:w w:val="110"/>
        </w:rPr>
        <w:t>en</w:t>
      </w:r>
      <w:r>
        <w:rPr>
          <w:color w:val="231F20"/>
          <w:spacing w:val="-9"/>
          <w:w w:val="110"/>
        </w:rPr>
        <w:t> </w:t>
      </w:r>
      <w:r>
        <w:rPr>
          <w:color w:val="231F20"/>
          <w:w w:val="110"/>
        </w:rPr>
        <w:t>ese</w:t>
      </w:r>
      <w:r>
        <w:rPr>
          <w:color w:val="231F20"/>
          <w:spacing w:val="-9"/>
          <w:w w:val="110"/>
        </w:rPr>
        <w:t> </w:t>
      </w:r>
      <w:r>
        <w:rPr>
          <w:color w:val="231F20"/>
          <w:w w:val="110"/>
        </w:rPr>
        <w:t>entonces</w:t>
      </w:r>
      <w:r>
        <w:rPr>
          <w:color w:val="231F20"/>
          <w:spacing w:val="-9"/>
          <w:w w:val="110"/>
        </w:rPr>
        <w:t> </w:t>
      </w:r>
      <w:r>
        <w:rPr>
          <w:color w:val="231F20"/>
          <w:w w:val="110"/>
        </w:rPr>
        <w:t>el</w:t>
      </w:r>
      <w:r>
        <w:rPr>
          <w:color w:val="231F20"/>
          <w:spacing w:val="-9"/>
          <w:w w:val="110"/>
        </w:rPr>
        <w:t> </w:t>
      </w:r>
      <w:r>
        <w:rPr>
          <w:color w:val="231F20"/>
          <w:w w:val="110"/>
        </w:rPr>
        <w:t>65%</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importaciones de Zaire, se precisaba que: “una pérdida del cobalto de Zaire tendría un impacto drástico en Estados Unidos” (Hagerman, 1984). Para Hagerman era entonces claro </w:t>
      </w:r>
      <w:r>
        <w:rPr>
          <w:color w:val="231F20"/>
          <w:spacing w:val="16"/>
          <w:w w:val="110"/>
        </w:rPr>
        <w:t> </w:t>
      </w:r>
      <w:r>
        <w:rPr>
          <w:color w:val="231F20"/>
          <w:w w:val="110"/>
        </w:rPr>
        <w:t>que:</w:t>
      </w:r>
    </w:p>
    <w:p>
      <w:pPr>
        <w:spacing w:after="0" w:line="261" w:lineRule="auto"/>
        <w:jc w:val="both"/>
        <w:sectPr>
          <w:pgSz w:w="7640" w:h="11900"/>
          <w:pgMar w:header="672" w:footer="0" w:top="860" w:bottom="280" w:left="660" w:right="760"/>
        </w:sectPr>
      </w:pPr>
    </w:p>
    <w:p>
      <w:pPr>
        <w:pStyle w:val="BodyText"/>
        <w:spacing w:before="8"/>
        <w:rPr>
          <w:sz w:val="8"/>
        </w:rPr>
      </w:pPr>
    </w:p>
    <w:p>
      <w:pPr>
        <w:spacing w:line="285" w:lineRule="auto" w:before="71"/>
        <w:ind w:left="100" w:right="118" w:firstLine="0"/>
        <w:jc w:val="both"/>
        <w:rPr>
          <w:sz w:val="18"/>
        </w:rPr>
      </w:pPr>
      <w:r>
        <w:rPr>
          <w:color w:val="231F20"/>
          <w:w w:val="110"/>
          <w:sz w:val="18"/>
        </w:rPr>
        <w:t>mientras Estados Unidos sea dependiente de las naciones africanas para su [sic] cromo, cobalto, manganeso y platino, será vulnerable a las acciones  de esas naciones. Mientras la dependencia mineral crezca, Estados Unidos será menos capaz de reaccionar de manera efectiva ante disrupciones de los suministros ( </w:t>
      </w:r>
      <w:r>
        <w:rPr>
          <w:color w:val="231F20"/>
          <w:w w:val="110"/>
          <w:sz w:val="20"/>
        </w:rPr>
        <w:t>(Hagerman,</w:t>
      </w:r>
      <w:r>
        <w:rPr>
          <w:color w:val="231F20"/>
          <w:spacing w:val="53"/>
          <w:w w:val="110"/>
          <w:sz w:val="20"/>
        </w:rPr>
        <w:t> </w:t>
      </w:r>
      <w:r>
        <w:rPr>
          <w:color w:val="231F20"/>
          <w:w w:val="110"/>
          <w:sz w:val="20"/>
        </w:rPr>
        <w:t>1984)</w:t>
      </w:r>
      <w:r>
        <w:rPr>
          <w:color w:val="231F20"/>
          <w:w w:val="110"/>
          <w:sz w:val="18"/>
        </w:rPr>
        <w:t>).</w:t>
      </w:r>
    </w:p>
    <w:p>
      <w:pPr>
        <w:pStyle w:val="BodyText"/>
        <w:spacing w:before="9"/>
        <w:rPr>
          <w:sz w:val="19"/>
        </w:rPr>
      </w:pPr>
    </w:p>
    <w:p>
      <w:pPr>
        <w:pStyle w:val="BodyText"/>
        <w:spacing w:line="261" w:lineRule="auto"/>
        <w:ind w:left="100" w:right="117" w:firstLine="240"/>
        <w:jc w:val="both"/>
      </w:pPr>
      <w:r>
        <w:rPr>
          <w:color w:val="231F20"/>
          <w:spacing w:val="-6"/>
          <w:w w:val="110"/>
        </w:rPr>
        <w:t>Tal </w:t>
      </w:r>
      <w:r>
        <w:rPr>
          <w:color w:val="231F20"/>
          <w:w w:val="110"/>
        </w:rPr>
        <w:t>vinculación de la seguridad nacional estadunidense a la cues- tión medio ambiental y del acceso a los recursos naturales de otros países es, como se indicó, un rasgo central de su actual geopolítica. En</w:t>
      </w:r>
      <w:r>
        <w:rPr>
          <w:color w:val="231F20"/>
          <w:spacing w:val="-5"/>
          <w:w w:val="110"/>
        </w:rPr>
        <w:t> </w:t>
      </w:r>
      <w:r>
        <w:rPr>
          <w:color w:val="231F20"/>
          <w:w w:val="110"/>
        </w:rPr>
        <w:t>este</w:t>
      </w:r>
      <w:r>
        <w:rPr>
          <w:color w:val="231F20"/>
          <w:spacing w:val="-5"/>
          <w:w w:val="110"/>
        </w:rPr>
        <w:t> </w:t>
      </w:r>
      <w:r>
        <w:rPr>
          <w:color w:val="231F20"/>
          <w:w w:val="110"/>
        </w:rPr>
        <w:t>sentido,</w:t>
      </w:r>
      <w:r>
        <w:rPr>
          <w:color w:val="231F20"/>
          <w:spacing w:val="-5"/>
          <w:w w:val="110"/>
        </w:rPr>
        <w:t> </w:t>
      </w:r>
      <w:r>
        <w:rPr>
          <w:color w:val="231F20"/>
          <w:w w:val="110"/>
        </w:rPr>
        <w:t>la</w:t>
      </w:r>
      <w:r>
        <w:rPr>
          <w:color w:val="231F20"/>
          <w:spacing w:val="-5"/>
          <w:w w:val="110"/>
        </w:rPr>
        <w:t> </w:t>
      </w:r>
      <w:r>
        <w:rPr>
          <w:color w:val="231F20"/>
          <w:w w:val="110"/>
        </w:rPr>
        <w:t>securitización</w:t>
      </w:r>
      <w:r>
        <w:rPr>
          <w:color w:val="231F20"/>
          <w:spacing w:val="-5"/>
          <w:w w:val="110"/>
        </w:rPr>
        <w:t> </w:t>
      </w:r>
      <w:r>
        <w:rPr>
          <w:color w:val="231F20"/>
          <w:w w:val="110"/>
        </w:rPr>
        <w:t>del</w:t>
      </w:r>
      <w:r>
        <w:rPr>
          <w:color w:val="231F20"/>
          <w:spacing w:val="-5"/>
          <w:w w:val="110"/>
        </w:rPr>
        <w:t> </w:t>
      </w:r>
      <w:r>
        <w:rPr>
          <w:color w:val="231F20"/>
          <w:w w:val="110"/>
        </w:rPr>
        <w:t>medio</w:t>
      </w:r>
      <w:r>
        <w:rPr>
          <w:color w:val="231F20"/>
          <w:spacing w:val="-5"/>
          <w:w w:val="110"/>
        </w:rPr>
        <w:t> </w:t>
      </w:r>
      <w:r>
        <w:rPr>
          <w:color w:val="231F20"/>
          <w:w w:val="110"/>
        </w:rPr>
        <w:t>ambiente</w:t>
      </w:r>
      <w:r>
        <w:rPr>
          <w:color w:val="231F20"/>
          <w:spacing w:val="-5"/>
          <w:w w:val="110"/>
        </w:rPr>
        <w:t> </w:t>
      </w:r>
      <w:r>
        <w:rPr>
          <w:color w:val="231F20"/>
          <w:w w:val="110"/>
        </w:rPr>
        <w:t>no</w:t>
      </w:r>
      <w:r>
        <w:rPr>
          <w:color w:val="231F20"/>
          <w:spacing w:val="-5"/>
          <w:w w:val="110"/>
        </w:rPr>
        <w:t> </w:t>
      </w:r>
      <w:r>
        <w:rPr>
          <w:color w:val="231F20"/>
          <w:w w:val="110"/>
        </w:rPr>
        <w:t>puede</w:t>
      </w:r>
      <w:r>
        <w:rPr>
          <w:color w:val="231F20"/>
          <w:spacing w:val="-5"/>
          <w:w w:val="110"/>
        </w:rPr>
        <w:t> </w:t>
      </w:r>
      <w:r>
        <w:rPr>
          <w:color w:val="231F20"/>
          <w:w w:val="110"/>
        </w:rPr>
        <w:t>verse más que como una noción enteramente asociada al poder y al man- tenimiento</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elites</w:t>
      </w:r>
      <w:r>
        <w:rPr>
          <w:color w:val="231F20"/>
          <w:spacing w:val="-21"/>
          <w:w w:val="110"/>
        </w:rPr>
        <w:t> </w:t>
      </w:r>
      <w:r>
        <w:rPr>
          <w:color w:val="231F20"/>
          <w:w w:val="110"/>
        </w:rPr>
        <w:t>que</w:t>
      </w:r>
      <w:r>
        <w:rPr>
          <w:color w:val="231F20"/>
          <w:spacing w:val="-21"/>
          <w:w w:val="110"/>
        </w:rPr>
        <w:t> </w:t>
      </w:r>
      <w:r>
        <w:rPr>
          <w:color w:val="231F20"/>
          <w:w w:val="110"/>
        </w:rPr>
        <w:t>lo</w:t>
      </w:r>
      <w:r>
        <w:rPr>
          <w:color w:val="231F20"/>
          <w:spacing w:val="-21"/>
          <w:w w:val="110"/>
        </w:rPr>
        <w:t> </w:t>
      </w:r>
      <w:r>
        <w:rPr>
          <w:color w:val="231F20"/>
          <w:w w:val="110"/>
        </w:rPr>
        <w:t>detentan:</w:t>
      </w:r>
      <w:r>
        <w:rPr>
          <w:color w:val="231F20"/>
          <w:spacing w:val="-21"/>
          <w:w w:val="110"/>
        </w:rPr>
        <w:t> </w:t>
      </w:r>
      <w:r>
        <w:rPr>
          <w:color w:val="231F20"/>
          <w:w w:val="110"/>
        </w:rPr>
        <w:t>es</w:t>
      </w:r>
      <w:r>
        <w:rPr>
          <w:color w:val="231F20"/>
          <w:spacing w:val="-21"/>
          <w:w w:val="110"/>
        </w:rPr>
        <w:t> </w:t>
      </w:r>
      <w:r>
        <w:rPr>
          <w:color w:val="231F20"/>
          <w:w w:val="110"/>
        </w:rPr>
        <w:t>la</w:t>
      </w:r>
      <w:r>
        <w:rPr>
          <w:color w:val="231F20"/>
          <w:spacing w:val="-21"/>
          <w:w w:val="110"/>
        </w:rPr>
        <w:t> </w:t>
      </w:r>
      <w:r>
        <w:rPr>
          <w:i/>
          <w:color w:val="231F20"/>
          <w:w w:val="110"/>
        </w:rPr>
        <w:t>realpolitik</w:t>
      </w:r>
      <w:r>
        <w:rPr>
          <w:i/>
          <w:color w:val="231F20"/>
          <w:spacing w:val="-21"/>
          <w:w w:val="110"/>
        </w:rPr>
        <w:t> </w:t>
      </w:r>
      <w:r>
        <w:rPr>
          <w:i/>
          <w:color w:val="231F20"/>
          <w:w w:val="110"/>
        </w:rPr>
        <w:t>estadunidense </w:t>
      </w:r>
      <w:r>
        <w:rPr>
          <w:color w:val="231F20"/>
          <w:w w:val="110"/>
        </w:rPr>
        <w:t>que se presenta domésticamente como inevitable </w:t>
      </w:r>
      <w:r>
        <w:rPr>
          <w:i/>
          <w:color w:val="231F20"/>
          <w:w w:val="110"/>
        </w:rPr>
        <w:t>modus operandi</w:t>
      </w:r>
      <w:r>
        <w:rPr>
          <w:color w:val="231F20"/>
          <w:w w:val="110"/>
        </w:rPr>
        <w:t>, garante de la “subsistencia” del estilo americano de vida </w:t>
      </w:r>
      <w:r>
        <w:rPr>
          <w:color w:val="231F20"/>
          <w:spacing w:val="-8"/>
          <w:w w:val="110"/>
        </w:rPr>
        <w:t>y, </w:t>
      </w:r>
      <w:r>
        <w:rPr>
          <w:color w:val="231F20"/>
          <w:w w:val="110"/>
        </w:rPr>
        <w:t>como soporte de éste, de la hegemonía nacional. Las implicaciones para América Latina son claras desde el pronunciamiento de la Doctrina Monroe:</w:t>
      </w:r>
      <w:r>
        <w:rPr>
          <w:color w:val="231F20"/>
          <w:spacing w:val="-29"/>
          <w:w w:val="110"/>
        </w:rPr>
        <w:t> </w:t>
      </w:r>
      <w:r>
        <w:rPr>
          <w:color w:val="231F20"/>
          <w:w w:val="110"/>
        </w:rPr>
        <w:t>América</w:t>
      </w:r>
      <w:r>
        <w:rPr>
          <w:color w:val="231F20"/>
          <w:spacing w:val="-29"/>
          <w:w w:val="110"/>
        </w:rPr>
        <w:t> </w:t>
      </w:r>
      <w:r>
        <w:rPr>
          <w:color w:val="231F20"/>
          <w:w w:val="110"/>
        </w:rPr>
        <w:t>como</w:t>
      </w:r>
      <w:r>
        <w:rPr>
          <w:color w:val="231F20"/>
          <w:spacing w:val="-29"/>
          <w:w w:val="110"/>
        </w:rPr>
        <w:t> </w:t>
      </w:r>
      <w:r>
        <w:rPr>
          <w:i/>
          <w:color w:val="231F20"/>
          <w:w w:val="110"/>
        </w:rPr>
        <w:t>reserva</w:t>
      </w:r>
      <w:r>
        <w:rPr>
          <w:i/>
          <w:color w:val="231F20"/>
          <w:spacing w:val="-29"/>
          <w:w w:val="110"/>
        </w:rPr>
        <w:t> </w:t>
      </w:r>
      <w:r>
        <w:rPr>
          <w:i/>
          <w:color w:val="231F20"/>
          <w:w w:val="110"/>
        </w:rPr>
        <w:t>estratégica</w:t>
      </w:r>
      <w:r>
        <w:rPr>
          <w:i/>
          <w:color w:val="231F20"/>
          <w:spacing w:val="-29"/>
          <w:w w:val="110"/>
        </w:rPr>
        <w:t> </w:t>
      </w:r>
      <w:r>
        <w:rPr>
          <w:color w:val="231F20"/>
          <w:w w:val="110"/>
        </w:rPr>
        <w:t>para</w:t>
      </w:r>
      <w:r>
        <w:rPr>
          <w:color w:val="231F20"/>
          <w:spacing w:val="-29"/>
          <w:w w:val="110"/>
        </w:rPr>
        <w:t> </w:t>
      </w:r>
      <w:r>
        <w:rPr>
          <w:color w:val="231F20"/>
          <w:w w:val="110"/>
        </w:rPr>
        <w:t>los</w:t>
      </w:r>
      <w:r>
        <w:rPr>
          <w:color w:val="231F20"/>
          <w:spacing w:val="-29"/>
          <w:w w:val="110"/>
        </w:rPr>
        <w:t> </w:t>
      </w:r>
      <w:r>
        <w:rPr>
          <w:color w:val="231F20"/>
          <w:w w:val="110"/>
        </w:rPr>
        <w:t>americanos</w:t>
      </w:r>
      <w:r>
        <w:rPr>
          <w:color w:val="231F20"/>
          <w:spacing w:val="-29"/>
          <w:w w:val="110"/>
        </w:rPr>
        <w:t> </w:t>
      </w:r>
      <w:r>
        <w:rPr>
          <w:color w:val="231F20"/>
          <w:w w:val="110"/>
        </w:rPr>
        <w:t>(léase estadunidenses).</w:t>
      </w:r>
    </w:p>
    <w:p>
      <w:pPr>
        <w:pStyle w:val="BodyText"/>
      </w:pPr>
    </w:p>
    <w:p>
      <w:pPr>
        <w:pStyle w:val="BodyText"/>
      </w:pPr>
    </w:p>
    <w:p>
      <w:pPr>
        <w:pStyle w:val="BodyText"/>
        <w:spacing w:before="2"/>
        <w:rPr>
          <w:sz w:val="25"/>
        </w:rPr>
      </w:pPr>
    </w:p>
    <w:p>
      <w:pPr>
        <w:pStyle w:val="BodyText"/>
        <w:spacing w:line="261" w:lineRule="auto"/>
        <w:ind w:left="100" w:right="1339"/>
      </w:pPr>
      <w:r>
        <w:rPr>
          <w:color w:val="231F20"/>
          <w:w w:val="125"/>
        </w:rPr>
        <w:t>a modo de reflexión final: recursos naturales, desarrollo  y seguridad</w:t>
      </w:r>
    </w:p>
    <w:p>
      <w:pPr>
        <w:pStyle w:val="BodyText"/>
        <w:spacing w:before="8"/>
        <w:rPr>
          <w:sz w:val="21"/>
        </w:rPr>
      </w:pPr>
    </w:p>
    <w:p>
      <w:pPr>
        <w:pStyle w:val="BodyText"/>
        <w:spacing w:line="261" w:lineRule="auto"/>
        <w:ind w:left="100" w:right="117"/>
        <w:jc w:val="both"/>
      </w:pPr>
      <w:r>
        <w:rPr>
          <w:color w:val="231F20"/>
          <w:w w:val="110"/>
        </w:rPr>
        <w:t>El</w:t>
      </w:r>
      <w:r>
        <w:rPr>
          <w:color w:val="231F20"/>
          <w:spacing w:val="-16"/>
          <w:w w:val="110"/>
        </w:rPr>
        <w:t> </w:t>
      </w:r>
      <w:r>
        <w:rPr>
          <w:color w:val="231F20"/>
          <w:w w:val="110"/>
        </w:rPr>
        <w:t>carácter</w:t>
      </w:r>
      <w:r>
        <w:rPr>
          <w:color w:val="231F20"/>
          <w:spacing w:val="-16"/>
          <w:w w:val="110"/>
        </w:rPr>
        <w:t> </w:t>
      </w:r>
      <w:r>
        <w:rPr>
          <w:color w:val="231F20"/>
          <w:w w:val="110"/>
        </w:rPr>
        <w:t>extractivista,</w:t>
      </w:r>
      <w:r>
        <w:rPr>
          <w:color w:val="231F20"/>
          <w:spacing w:val="-16"/>
          <w:w w:val="110"/>
        </w:rPr>
        <w:t> </w:t>
      </w:r>
      <w:r>
        <w:rPr>
          <w:color w:val="231F20"/>
          <w:w w:val="110"/>
        </w:rPr>
        <w:t>de</w:t>
      </w:r>
      <w:r>
        <w:rPr>
          <w:color w:val="231F20"/>
          <w:spacing w:val="-16"/>
          <w:w w:val="110"/>
        </w:rPr>
        <w:t> </w:t>
      </w:r>
      <w:r>
        <w:rPr>
          <w:color w:val="231F20"/>
          <w:w w:val="110"/>
        </w:rPr>
        <w:t>economía</w:t>
      </w:r>
      <w:r>
        <w:rPr>
          <w:color w:val="231F20"/>
          <w:spacing w:val="-16"/>
          <w:w w:val="110"/>
        </w:rPr>
        <w:t> </w:t>
      </w:r>
      <w:r>
        <w:rPr>
          <w:color w:val="231F20"/>
          <w:w w:val="110"/>
        </w:rPr>
        <w:t>de</w:t>
      </w:r>
      <w:r>
        <w:rPr>
          <w:color w:val="231F20"/>
          <w:spacing w:val="-16"/>
          <w:w w:val="110"/>
        </w:rPr>
        <w:t> </w:t>
      </w:r>
      <w:r>
        <w:rPr>
          <w:color w:val="231F20"/>
          <w:w w:val="110"/>
        </w:rPr>
        <w:t>enclave</w:t>
      </w:r>
      <w:r>
        <w:rPr>
          <w:color w:val="231F20"/>
          <w:spacing w:val="-16"/>
          <w:w w:val="110"/>
        </w:rPr>
        <w:t> </w:t>
      </w:r>
      <w:r>
        <w:rPr>
          <w:color w:val="231F20"/>
          <w:w w:val="110"/>
        </w:rPr>
        <w:t>—con</w:t>
      </w:r>
      <w:r>
        <w:rPr>
          <w:color w:val="231F20"/>
          <w:spacing w:val="-16"/>
          <w:w w:val="110"/>
        </w:rPr>
        <w:t> </w:t>
      </w:r>
      <w:r>
        <w:rPr>
          <w:color w:val="231F20"/>
          <w:w w:val="110"/>
        </w:rPr>
        <w:t>pocos</w:t>
      </w:r>
      <w:r>
        <w:rPr>
          <w:color w:val="231F20"/>
          <w:spacing w:val="-16"/>
          <w:w w:val="110"/>
        </w:rPr>
        <w:t> </w:t>
      </w:r>
      <w:r>
        <w:rPr>
          <w:color w:val="231F20"/>
          <w:w w:val="110"/>
        </w:rPr>
        <w:t>o</w:t>
      </w:r>
      <w:r>
        <w:rPr>
          <w:color w:val="231F20"/>
          <w:spacing w:val="-16"/>
          <w:w w:val="110"/>
        </w:rPr>
        <w:t> </w:t>
      </w:r>
      <w:r>
        <w:rPr>
          <w:color w:val="231F20"/>
          <w:w w:val="110"/>
        </w:rPr>
        <w:t>nulos encadenamientos productivos endógenos—, coloca ciertamente a la región en la periferia del sistema a pesar de su gran riqueza natural  y humana. Esto es, que queda subordinada a los intereses y flujos</w:t>
      </w:r>
      <w:r>
        <w:rPr>
          <w:color w:val="231F20"/>
          <w:spacing w:val="-16"/>
          <w:w w:val="110"/>
        </w:rPr>
        <w:t> </w:t>
      </w:r>
      <w:r>
        <w:rPr>
          <w:color w:val="231F20"/>
          <w:w w:val="110"/>
        </w:rPr>
        <w:t>de capital metropolitanos. Marini (1973) claramente advertía ya esto al dar cuenta de la dependencia estructural de la región, provocada por una</w:t>
      </w:r>
      <w:r>
        <w:rPr>
          <w:color w:val="231F20"/>
          <w:spacing w:val="-7"/>
          <w:w w:val="110"/>
        </w:rPr>
        <w:t> </w:t>
      </w:r>
      <w:r>
        <w:rPr>
          <w:color w:val="231F20"/>
          <w:w w:val="110"/>
        </w:rPr>
        <w:t>peculiar</w:t>
      </w:r>
      <w:r>
        <w:rPr>
          <w:color w:val="231F20"/>
          <w:spacing w:val="-7"/>
          <w:w w:val="110"/>
        </w:rPr>
        <w:t> </w:t>
      </w:r>
      <w:r>
        <w:rPr>
          <w:color w:val="231F20"/>
          <w:w w:val="110"/>
        </w:rPr>
        <w:t>división</w:t>
      </w:r>
      <w:r>
        <w:rPr>
          <w:color w:val="231F20"/>
          <w:spacing w:val="-7"/>
          <w:w w:val="110"/>
        </w:rPr>
        <w:t> </w:t>
      </w:r>
      <w:r>
        <w:rPr>
          <w:color w:val="231F20"/>
          <w:w w:val="110"/>
        </w:rPr>
        <w:t>internacional</w:t>
      </w:r>
      <w:r>
        <w:rPr>
          <w:color w:val="231F20"/>
          <w:spacing w:val="-7"/>
          <w:w w:val="110"/>
        </w:rPr>
        <w:t> </w:t>
      </w:r>
      <w:r>
        <w:rPr>
          <w:color w:val="231F20"/>
          <w:w w:val="110"/>
        </w:rPr>
        <w:t>del</w:t>
      </w:r>
      <w:r>
        <w:rPr>
          <w:color w:val="231F20"/>
          <w:spacing w:val="-7"/>
          <w:w w:val="110"/>
        </w:rPr>
        <w:t> </w:t>
      </w:r>
      <w:r>
        <w:rPr>
          <w:color w:val="231F20"/>
          <w:w w:val="110"/>
        </w:rPr>
        <w:t>trabajo</w:t>
      </w:r>
      <w:r>
        <w:rPr>
          <w:color w:val="231F20"/>
          <w:spacing w:val="-7"/>
          <w:w w:val="110"/>
        </w:rPr>
        <w:t> </w:t>
      </w:r>
      <w:r>
        <w:rPr>
          <w:color w:val="231F20"/>
          <w:w w:val="110"/>
        </w:rPr>
        <w:t>propia</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w w:val="110"/>
        </w:rPr>
        <w:t>capitalis- mo</w:t>
      </w:r>
      <w:r>
        <w:rPr>
          <w:color w:val="231F20"/>
          <w:spacing w:val="-30"/>
          <w:w w:val="110"/>
        </w:rPr>
        <w:t> </w:t>
      </w:r>
      <w:r>
        <w:rPr>
          <w:i/>
          <w:color w:val="231F20"/>
          <w:w w:val="110"/>
        </w:rPr>
        <w:t>sui</w:t>
      </w:r>
      <w:r>
        <w:rPr>
          <w:i/>
          <w:color w:val="231F20"/>
          <w:spacing w:val="-30"/>
          <w:w w:val="110"/>
        </w:rPr>
        <w:t> </w:t>
      </w:r>
      <w:r>
        <w:rPr>
          <w:i/>
          <w:color w:val="231F20"/>
          <w:w w:val="110"/>
        </w:rPr>
        <w:t>generis</w:t>
      </w:r>
      <w:r>
        <w:rPr>
          <w:i/>
          <w:color w:val="231F20"/>
          <w:spacing w:val="-30"/>
          <w:w w:val="110"/>
        </w:rPr>
        <w:t> </w:t>
      </w:r>
      <w:r>
        <w:rPr>
          <w:color w:val="231F20"/>
          <w:w w:val="110"/>
        </w:rPr>
        <w:t>latinoamericano.</w:t>
      </w:r>
      <w:r>
        <w:rPr>
          <w:color w:val="231F20"/>
          <w:spacing w:val="-30"/>
          <w:w w:val="110"/>
        </w:rPr>
        <w:t> </w:t>
      </w:r>
      <w:r>
        <w:rPr>
          <w:color w:val="231F20"/>
          <w:w w:val="110"/>
        </w:rPr>
        <w:t>En</w:t>
      </w:r>
      <w:r>
        <w:rPr>
          <w:color w:val="231F20"/>
          <w:spacing w:val="-30"/>
          <w:w w:val="110"/>
        </w:rPr>
        <w:t> </w:t>
      </w:r>
      <w:r>
        <w:rPr>
          <w:color w:val="231F20"/>
          <w:w w:val="110"/>
        </w:rPr>
        <w:t>tal</w:t>
      </w:r>
      <w:r>
        <w:rPr>
          <w:color w:val="231F20"/>
          <w:spacing w:val="-30"/>
          <w:w w:val="110"/>
        </w:rPr>
        <w:t> </w:t>
      </w:r>
      <w:r>
        <w:rPr>
          <w:color w:val="231F20"/>
          <w:w w:val="110"/>
        </w:rPr>
        <w:t>situación,</w:t>
      </w:r>
      <w:r>
        <w:rPr>
          <w:color w:val="231F20"/>
          <w:spacing w:val="-30"/>
          <w:w w:val="110"/>
        </w:rPr>
        <w:t> </w:t>
      </w:r>
      <w:r>
        <w:rPr>
          <w:color w:val="231F20"/>
          <w:w w:val="110"/>
        </w:rPr>
        <w:t>y</w:t>
      </w:r>
      <w:r>
        <w:rPr>
          <w:color w:val="231F20"/>
          <w:spacing w:val="-30"/>
          <w:w w:val="110"/>
        </w:rPr>
        <w:t> </w:t>
      </w:r>
      <w:r>
        <w:rPr>
          <w:color w:val="231F20"/>
          <w:w w:val="110"/>
        </w:rPr>
        <w:t>desde</w:t>
      </w:r>
      <w:r>
        <w:rPr>
          <w:color w:val="231F20"/>
          <w:spacing w:val="-30"/>
          <w:w w:val="110"/>
        </w:rPr>
        <w:t> </w:t>
      </w:r>
      <w:r>
        <w:rPr>
          <w:color w:val="231F20"/>
          <w:w w:val="110"/>
        </w:rPr>
        <w:t>la</w:t>
      </w:r>
      <w:r>
        <w:rPr>
          <w:color w:val="231F20"/>
          <w:spacing w:val="-30"/>
          <w:w w:val="110"/>
        </w:rPr>
        <w:t> </w:t>
      </w:r>
      <w:r>
        <w:rPr>
          <w:color w:val="231F20"/>
          <w:w w:val="110"/>
        </w:rPr>
        <w:t>perspectiva</w:t>
      </w:r>
      <w:r>
        <w:rPr>
          <w:color w:val="231F20"/>
          <w:w w:val="107"/>
        </w:rPr>
        <w:t> </w:t>
      </w:r>
      <w:r>
        <w:rPr>
          <w:color w:val="231F20"/>
          <w:w w:val="110"/>
        </w:rPr>
        <w:t>de la construcción de alternativas, pensar en una etapa extractivista que al ser profundizada pueda permitir acumular suficiente riqueza para hacer posible el estímulo de un proceso industrializador que eventualmente deberá culminar en un desarrollo económico, es una aproximación lineal, históricamente desatinada y en muy buena me- dida</w:t>
      </w:r>
      <w:r>
        <w:rPr>
          <w:color w:val="231F20"/>
          <w:spacing w:val="-13"/>
          <w:w w:val="110"/>
        </w:rPr>
        <w:t> </w:t>
      </w:r>
      <w:r>
        <w:rPr>
          <w:color w:val="231F20"/>
          <w:w w:val="110"/>
        </w:rPr>
        <w:t>incorrecta</w:t>
      </w:r>
      <w:r>
        <w:rPr>
          <w:color w:val="231F20"/>
          <w:spacing w:val="-13"/>
          <w:w w:val="110"/>
        </w:rPr>
        <w:t> </w:t>
      </w:r>
      <w:r>
        <w:rPr>
          <w:color w:val="231F20"/>
          <w:w w:val="110"/>
        </w:rPr>
        <w:t>pues</w:t>
      </w:r>
      <w:r>
        <w:rPr>
          <w:color w:val="231F20"/>
          <w:spacing w:val="-13"/>
          <w:w w:val="110"/>
        </w:rPr>
        <w:t> </w:t>
      </w:r>
      <w:r>
        <w:rPr>
          <w:color w:val="231F20"/>
          <w:w w:val="110"/>
        </w:rPr>
        <w:t>para</w:t>
      </w:r>
      <w:r>
        <w:rPr>
          <w:color w:val="231F20"/>
          <w:spacing w:val="-13"/>
          <w:w w:val="110"/>
        </w:rPr>
        <w:t> </w:t>
      </w:r>
      <w:r>
        <w:rPr>
          <w:color w:val="231F20"/>
          <w:w w:val="110"/>
        </w:rPr>
        <w:t>que</w:t>
      </w:r>
      <w:r>
        <w:rPr>
          <w:color w:val="231F20"/>
          <w:spacing w:val="-13"/>
          <w:w w:val="110"/>
        </w:rPr>
        <w:t> </w:t>
      </w:r>
      <w:r>
        <w:rPr>
          <w:color w:val="231F20"/>
          <w:w w:val="110"/>
        </w:rPr>
        <w:t>haya</w:t>
      </w:r>
      <w:r>
        <w:rPr>
          <w:color w:val="231F20"/>
          <w:spacing w:val="-13"/>
          <w:w w:val="110"/>
        </w:rPr>
        <w:t> </w:t>
      </w:r>
      <w:r>
        <w:rPr>
          <w:color w:val="231F20"/>
          <w:w w:val="110"/>
        </w:rPr>
        <w:t>desarrollo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sistema</w:t>
      </w:r>
      <w:r>
        <w:rPr>
          <w:color w:val="231F20"/>
          <w:spacing w:val="-13"/>
          <w:w w:val="110"/>
        </w:rPr>
        <w:t> </w:t>
      </w:r>
      <w:r>
        <w:rPr>
          <w:color w:val="231F20"/>
          <w:w w:val="110"/>
        </w:rPr>
        <w:t>capitalista de</w:t>
      </w:r>
      <w:r>
        <w:rPr>
          <w:color w:val="231F20"/>
          <w:spacing w:val="-4"/>
          <w:w w:val="110"/>
        </w:rPr>
        <w:t> </w:t>
      </w:r>
      <w:r>
        <w:rPr>
          <w:color w:val="231F20"/>
          <w:w w:val="110"/>
        </w:rPr>
        <w:t>producción,</w:t>
      </w:r>
      <w:r>
        <w:rPr>
          <w:color w:val="231F20"/>
          <w:spacing w:val="-4"/>
          <w:w w:val="110"/>
        </w:rPr>
        <w:t> </w:t>
      </w:r>
      <w:r>
        <w:rPr>
          <w:color w:val="231F20"/>
          <w:w w:val="110"/>
        </w:rPr>
        <w:t>se</w:t>
      </w:r>
      <w:r>
        <w:rPr>
          <w:color w:val="231F20"/>
          <w:spacing w:val="-4"/>
          <w:w w:val="110"/>
        </w:rPr>
        <w:t> </w:t>
      </w:r>
      <w:r>
        <w:rPr>
          <w:color w:val="231F20"/>
          <w:w w:val="110"/>
        </w:rPr>
        <w:t>supone,</w:t>
      </w:r>
      <w:r>
        <w:rPr>
          <w:color w:val="231F20"/>
          <w:spacing w:val="-4"/>
          <w:w w:val="110"/>
        </w:rPr>
        <w:t> </w:t>
      </w:r>
      <w:r>
        <w:rPr>
          <w:color w:val="231F20"/>
          <w:w w:val="110"/>
        </w:rPr>
        <w:t>como</w:t>
      </w:r>
      <w:r>
        <w:rPr>
          <w:color w:val="231F20"/>
          <w:spacing w:val="-4"/>
          <w:w w:val="110"/>
        </w:rPr>
        <w:t> </w:t>
      </w:r>
      <w:r>
        <w:rPr>
          <w:color w:val="231F20"/>
          <w:w w:val="110"/>
        </w:rPr>
        <w:t>cara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misma</w:t>
      </w:r>
      <w:r>
        <w:rPr>
          <w:color w:val="231F20"/>
          <w:spacing w:val="-4"/>
          <w:w w:val="110"/>
        </w:rPr>
        <w:t> </w:t>
      </w:r>
      <w:r>
        <w:rPr>
          <w:color w:val="231F20"/>
          <w:w w:val="110"/>
        </w:rPr>
        <w:t>moneda,</w:t>
      </w:r>
      <w:r>
        <w:rPr>
          <w:color w:val="231F20"/>
          <w:spacing w:val="-4"/>
          <w:w w:val="110"/>
        </w:rPr>
        <w:t> </w:t>
      </w:r>
      <w:r>
        <w:rPr>
          <w:color w:val="231F20"/>
          <w:w w:val="110"/>
        </w:rPr>
        <w:t>la</w:t>
      </w:r>
      <w:r>
        <w:rPr>
          <w:color w:val="231F20"/>
          <w:spacing w:val="-4"/>
          <w:w w:val="110"/>
        </w:rPr>
        <w:t> </w:t>
      </w:r>
      <w:r>
        <w:rPr>
          <w:color w:val="231F20"/>
          <w:w w:val="110"/>
        </w:rPr>
        <w:t>depen-</w:t>
      </w:r>
    </w:p>
    <w:p>
      <w:pPr>
        <w:spacing w:after="0" w:line="261" w:lineRule="auto"/>
        <w:jc w:val="both"/>
        <w:sectPr>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pPr>
      <w:r>
        <w:rPr>
          <w:color w:val="231F20"/>
          <w:w w:val="110"/>
        </w:rPr>
        <w:t>dencia</w:t>
      </w:r>
      <w:r>
        <w:rPr>
          <w:color w:val="231F20"/>
          <w:spacing w:val="-8"/>
          <w:w w:val="110"/>
        </w:rPr>
        <w:t> </w:t>
      </w:r>
      <w:r>
        <w:rPr>
          <w:color w:val="231F20"/>
          <w:w w:val="110"/>
        </w:rPr>
        <w:t>o</w:t>
      </w:r>
      <w:r>
        <w:rPr>
          <w:color w:val="231F20"/>
          <w:spacing w:val="-8"/>
          <w:w w:val="110"/>
        </w:rPr>
        <w:t> </w:t>
      </w:r>
      <w:r>
        <w:rPr>
          <w:color w:val="231F20"/>
          <w:w w:val="110"/>
        </w:rPr>
        <w:t>el</w:t>
      </w:r>
      <w:r>
        <w:rPr>
          <w:color w:val="231F20"/>
          <w:spacing w:val="-8"/>
          <w:w w:val="110"/>
        </w:rPr>
        <w:t> </w:t>
      </w:r>
      <w:r>
        <w:rPr>
          <w:color w:val="231F20"/>
          <w:w w:val="110"/>
        </w:rPr>
        <w:t>subdesarrollo.</w:t>
      </w:r>
      <w:r>
        <w:rPr>
          <w:color w:val="231F20"/>
          <w:spacing w:val="-8"/>
          <w:w w:val="110"/>
        </w:rPr>
        <w:t> </w:t>
      </w:r>
      <w:r>
        <w:rPr>
          <w:color w:val="231F20"/>
          <w:w w:val="110"/>
        </w:rPr>
        <w:t>Llamativo</w:t>
      </w:r>
      <w:r>
        <w:rPr>
          <w:color w:val="231F20"/>
          <w:spacing w:val="-8"/>
          <w:w w:val="110"/>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tal</w:t>
      </w:r>
      <w:r>
        <w:rPr>
          <w:color w:val="231F20"/>
          <w:spacing w:val="-8"/>
          <w:w w:val="110"/>
        </w:rPr>
        <w:t> </w:t>
      </w:r>
      <w:r>
        <w:rPr>
          <w:color w:val="231F20"/>
          <w:w w:val="110"/>
        </w:rPr>
        <w:t>idea</w:t>
      </w:r>
      <w:r>
        <w:rPr>
          <w:color w:val="231F20"/>
          <w:spacing w:val="-8"/>
          <w:w w:val="110"/>
        </w:rPr>
        <w:t> </w:t>
      </w:r>
      <w:r>
        <w:rPr>
          <w:color w:val="231F20"/>
          <w:w w:val="110"/>
        </w:rPr>
        <w:t>del extractivismo como plataforma para el desarrollo aún sigue</w:t>
      </w:r>
      <w:r>
        <w:rPr>
          <w:color w:val="231F20"/>
          <w:spacing w:val="-36"/>
          <w:w w:val="110"/>
        </w:rPr>
        <w:t> </w:t>
      </w:r>
      <w:r>
        <w:rPr>
          <w:color w:val="231F20"/>
          <w:w w:val="110"/>
        </w:rPr>
        <w:t>teniendo eco en buena parte de la esfera gubernamental  </w:t>
      </w:r>
      <w:r>
        <w:rPr>
          <w:color w:val="231F20"/>
          <w:spacing w:val="37"/>
          <w:w w:val="110"/>
        </w:rPr>
        <w:t> </w:t>
      </w:r>
      <w:r>
        <w:rPr>
          <w:color w:val="231F20"/>
          <w:w w:val="110"/>
        </w:rPr>
        <w:t>latinoamericana.</w:t>
      </w:r>
    </w:p>
    <w:p>
      <w:pPr>
        <w:pStyle w:val="BodyText"/>
        <w:spacing w:line="261" w:lineRule="auto"/>
        <w:ind w:left="100" w:right="114" w:firstLine="240"/>
        <w:jc w:val="both"/>
      </w:pPr>
      <w:r>
        <w:rPr>
          <w:color w:val="231F20"/>
          <w:w w:val="110"/>
        </w:rPr>
        <w:t>Lejos de argumentar que estamos condenados al subdesarrollo,</w:t>
      </w:r>
      <w:r>
        <w:rPr>
          <w:color w:val="231F20"/>
          <w:spacing w:val="-14"/>
          <w:w w:val="110"/>
        </w:rPr>
        <w:t> </w:t>
      </w:r>
      <w:r>
        <w:rPr>
          <w:color w:val="231F20"/>
          <w:w w:val="110"/>
        </w:rPr>
        <w:t>lo que se procurará subrayar es que tal transformación, de economía extractiva a economía industrializada, exige toda una serie de ele- mentos que trascienden meramente lo técnico, como lo son aquéllos necesarios para descolonizar económica </w:t>
      </w:r>
      <w:r>
        <w:rPr>
          <w:color w:val="231F20"/>
        </w:rPr>
        <w:t>y </w:t>
      </w:r>
      <w:r>
        <w:rPr>
          <w:color w:val="231F20"/>
          <w:w w:val="110"/>
        </w:rPr>
        <w:t>políticamente la región (abarcando la esfera de la circulación </w:t>
      </w:r>
      <w:r>
        <w:rPr>
          <w:color w:val="231F20"/>
        </w:rPr>
        <w:t>y </w:t>
      </w:r>
      <w:r>
        <w:rPr>
          <w:color w:val="231F20"/>
          <w:w w:val="110"/>
        </w:rPr>
        <w:t>la esfera de la producción).</w:t>
      </w:r>
      <w:r>
        <w:rPr>
          <w:color w:val="231F20"/>
          <w:spacing w:val="55"/>
          <w:w w:val="110"/>
        </w:rPr>
        <w:t> </w:t>
      </w:r>
      <w:r>
        <w:rPr>
          <w:color w:val="231F20"/>
        </w:rPr>
        <w:t>Y </w:t>
      </w:r>
      <w:r>
        <w:rPr>
          <w:color w:val="231F20"/>
          <w:w w:val="110"/>
        </w:rPr>
        <w:t>lo que es más, dejando de lado esta compleja cuestión, es de no- tarse que incluso logrando tal transformación, no necesariamente  ésa</w:t>
      </w:r>
      <w:r>
        <w:rPr>
          <w:color w:val="231F20"/>
          <w:spacing w:val="42"/>
          <w:w w:val="110"/>
        </w:rPr>
        <w:t> </w:t>
      </w:r>
      <w:r>
        <w:rPr>
          <w:color w:val="231F20"/>
          <w:w w:val="110"/>
        </w:rPr>
        <w:t>implicará</w:t>
      </w:r>
      <w:r>
        <w:rPr>
          <w:color w:val="231F20"/>
          <w:spacing w:val="42"/>
          <w:w w:val="110"/>
        </w:rPr>
        <w:t> </w:t>
      </w:r>
      <w:r>
        <w:rPr>
          <w:color w:val="231F20"/>
          <w:w w:val="110"/>
        </w:rPr>
        <w:t>un</w:t>
      </w:r>
      <w:r>
        <w:rPr>
          <w:color w:val="231F20"/>
          <w:spacing w:val="42"/>
          <w:w w:val="110"/>
        </w:rPr>
        <w:t> </w:t>
      </w:r>
      <w:r>
        <w:rPr>
          <w:color w:val="231F20"/>
          <w:w w:val="110"/>
        </w:rPr>
        <w:t>desarrollo</w:t>
      </w:r>
      <w:r>
        <w:rPr>
          <w:color w:val="231F20"/>
          <w:spacing w:val="42"/>
          <w:w w:val="110"/>
        </w:rPr>
        <w:t> </w:t>
      </w:r>
      <w:r>
        <w:rPr>
          <w:color w:val="231F20"/>
          <w:w w:val="110"/>
        </w:rPr>
        <w:t>de</w:t>
      </w:r>
      <w:r>
        <w:rPr>
          <w:color w:val="231F20"/>
          <w:spacing w:val="42"/>
          <w:w w:val="110"/>
        </w:rPr>
        <w:t> </w:t>
      </w:r>
      <w:r>
        <w:rPr>
          <w:color w:val="231F20"/>
          <w:w w:val="110"/>
        </w:rPr>
        <w:t>los</w:t>
      </w:r>
      <w:r>
        <w:rPr>
          <w:color w:val="231F20"/>
          <w:spacing w:val="42"/>
          <w:w w:val="110"/>
        </w:rPr>
        <w:t> </w:t>
      </w:r>
      <w:r>
        <w:rPr>
          <w:color w:val="231F20"/>
          <w:w w:val="110"/>
        </w:rPr>
        <w:t>pueblos</w:t>
      </w:r>
      <w:r>
        <w:rPr>
          <w:color w:val="231F20"/>
          <w:spacing w:val="42"/>
          <w:w w:val="110"/>
        </w:rPr>
        <w:t> </w:t>
      </w:r>
      <w:r>
        <w:rPr>
          <w:color w:val="231F20"/>
          <w:w w:val="110"/>
        </w:rPr>
        <w:t>o</w:t>
      </w:r>
      <w:r>
        <w:rPr>
          <w:color w:val="231F20"/>
          <w:spacing w:val="42"/>
          <w:w w:val="110"/>
        </w:rPr>
        <w:t> </w:t>
      </w:r>
      <w:r>
        <w:rPr>
          <w:color w:val="231F20"/>
          <w:w w:val="110"/>
        </w:rPr>
        <w:t>un</w:t>
      </w:r>
      <w:r>
        <w:rPr>
          <w:color w:val="231F20"/>
          <w:spacing w:val="42"/>
          <w:w w:val="110"/>
        </w:rPr>
        <w:t> </w:t>
      </w:r>
      <w:r>
        <w:rPr>
          <w:color w:val="231F20"/>
          <w:w w:val="110"/>
        </w:rPr>
        <w:t>desarrollo</w:t>
      </w:r>
      <w:r>
        <w:rPr>
          <w:color w:val="231F20"/>
          <w:spacing w:val="42"/>
          <w:w w:val="110"/>
        </w:rPr>
        <w:t> </w:t>
      </w:r>
      <w:r>
        <w:rPr>
          <w:color w:val="231F20"/>
          <w:w w:val="110"/>
        </w:rPr>
        <w:t>de</w:t>
      </w:r>
      <w:r>
        <w:rPr>
          <w:color w:val="231F20"/>
          <w:spacing w:val="42"/>
          <w:w w:val="110"/>
        </w:rPr>
        <w:t> </w:t>
      </w:r>
      <w:r>
        <w:rPr>
          <w:color w:val="231F20"/>
          <w:w w:val="110"/>
        </w:rPr>
        <w:t>la</w:t>
      </w:r>
      <w:r>
        <w:rPr>
          <w:color w:val="231F20"/>
          <w:spacing w:val="1"/>
          <w:w w:val="105"/>
        </w:rPr>
        <w:t> </w:t>
      </w:r>
      <w:r>
        <w:rPr>
          <w:color w:val="231F20"/>
          <w:w w:val="110"/>
        </w:rPr>
        <w:t>mayoría social puesto que puede llevar a un capitalismo</w:t>
      </w:r>
      <w:r>
        <w:rPr>
          <w:color w:val="231F20"/>
          <w:spacing w:val="-30"/>
          <w:w w:val="110"/>
        </w:rPr>
        <w:t> </w:t>
      </w:r>
      <w:r>
        <w:rPr>
          <w:color w:val="231F20"/>
          <w:w w:val="110"/>
        </w:rPr>
        <w:t>nacionalista de diversa índole. Por lo tanto, el debate sobre el neoextractivismo (Acosta, 2009; Gudynas, 2009; entre otros), es valioso en el sentido que apunta al centro clave de la discusión dado que da cuenta del potencial de construcción de alternativas pero también de los obstá- culos </w:t>
      </w:r>
      <w:r>
        <w:rPr>
          <w:color w:val="231F20"/>
        </w:rPr>
        <w:t>y</w:t>
      </w:r>
      <w:r>
        <w:rPr>
          <w:color w:val="231F20"/>
          <w:spacing w:val="-11"/>
        </w:rPr>
        <w:t> </w:t>
      </w:r>
      <w:r>
        <w:rPr>
          <w:color w:val="231F20"/>
          <w:w w:val="110"/>
        </w:rPr>
        <w:t>contradicciones.</w:t>
      </w:r>
    </w:p>
    <w:p>
      <w:pPr>
        <w:pStyle w:val="BodyText"/>
        <w:spacing w:line="261" w:lineRule="auto"/>
        <w:ind w:left="100" w:right="119" w:firstLine="240"/>
        <w:jc w:val="both"/>
      </w:pPr>
      <w:r>
        <w:rPr>
          <w:color w:val="231F20"/>
          <w:w w:val="110"/>
        </w:rPr>
        <w:t>Extendiendo el balance que hace Acosta para Ecuador a toda la región Latinoamericana, vale pues advertir que:</w:t>
      </w:r>
    </w:p>
    <w:p>
      <w:pPr>
        <w:pStyle w:val="BodyText"/>
        <w:spacing w:before="4"/>
        <w:rPr>
          <w:sz w:val="23"/>
        </w:rPr>
      </w:pPr>
    </w:p>
    <w:p>
      <w:pPr>
        <w:spacing w:line="290" w:lineRule="auto" w:before="0"/>
        <w:ind w:left="100" w:right="117" w:firstLine="0"/>
        <w:jc w:val="both"/>
        <w:rPr>
          <w:sz w:val="18"/>
        </w:rPr>
      </w:pPr>
      <w:r>
        <w:rPr>
          <w:color w:val="231F20"/>
          <w:w w:val="110"/>
          <w:sz w:val="18"/>
        </w:rPr>
        <w:t>la riqueza natural y humana, tiende entre muchos otros procesos endógenos de</w:t>
      </w:r>
      <w:r>
        <w:rPr>
          <w:color w:val="231F20"/>
          <w:spacing w:val="-17"/>
          <w:w w:val="110"/>
          <w:sz w:val="18"/>
        </w:rPr>
        <w:t> </w:t>
      </w:r>
      <w:r>
        <w:rPr>
          <w:color w:val="231F20"/>
          <w:w w:val="110"/>
          <w:sz w:val="18"/>
        </w:rPr>
        <w:t>carácter</w:t>
      </w:r>
      <w:r>
        <w:rPr>
          <w:color w:val="231F20"/>
          <w:spacing w:val="-17"/>
          <w:w w:val="110"/>
          <w:sz w:val="18"/>
        </w:rPr>
        <w:t> </w:t>
      </w:r>
      <w:r>
        <w:rPr>
          <w:color w:val="231F20"/>
          <w:w w:val="110"/>
          <w:sz w:val="18"/>
        </w:rPr>
        <w:t>patológico</w:t>
      </w:r>
      <w:r>
        <w:rPr>
          <w:color w:val="231F20"/>
          <w:spacing w:val="-17"/>
          <w:w w:val="110"/>
          <w:sz w:val="18"/>
        </w:rPr>
        <w:t> </w:t>
      </w:r>
      <w:r>
        <w:rPr>
          <w:color w:val="231F20"/>
          <w:w w:val="110"/>
          <w:sz w:val="18"/>
        </w:rPr>
        <w:t>que</w:t>
      </w:r>
      <w:r>
        <w:rPr>
          <w:color w:val="231F20"/>
          <w:spacing w:val="-17"/>
          <w:w w:val="110"/>
          <w:sz w:val="18"/>
        </w:rPr>
        <w:t> </w:t>
      </w:r>
      <w:r>
        <w:rPr>
          <w:color w:val="231F20"/>
          <w:w w:val="110"/>
          <w:sz w:val="18"/>
        </w:rPr>
        <w:t>acompañan</w:t>
      </w:r>
      <w:r>
        <w:rPr>
          <w:color w:val="231F20"/>
          <w:spacing w:val="-17"/>
          <w:w w:val="110"/>
          <w:sz w:val="18"/>
        </w:rPr>
        <w:t> </w:t>
      </w:r>
      <w:r>
        <w:rPr>
          <w:color w:val="231F20"/>
          <w:w w:val="110"/>
          <w:sz w:val="18"/>
        </w:rPr>
        <w:t>al</w:t>
      </w:r>
      <w:r>
        <w:rPr>
          <w:color w:val="231F20"/>
          <w:spacing w:val="-17"/>
          <w:w w:val="110"/>
          <w:sz w:val="18"/>
        </w:rPr>
        <w:t> </w:t>
      </w:r>
      <w:r>
        <w:rPr>
          <w:color w:val="231F20"/>
          <w:w w:val="110"/>
          <w:sz w:val="18"/>
        </w:rPr>
        <w:t>masivo</w:t>
      </w:r>
      <w:r>
        <w:rPr>
          <w:color w:val="231F20"/>
          <w:spacing w:val="-17"/>
          <w:w w:val="110"/>
          <w:sz w:val="18"/>
        </w:rPr>
        <w:t> </w:t>
      </w:r>
      <w:r>
        <w:rPr>
          <w:color w:val="231F20"/>
          <w:w w:val="110"/>
          <w:sz w:val="18"/>
        </w:rPr>
        <w:t>extractivismo,</w:t>
      </w:r>
      <w:r>
        <w:rPr>
          <w:color w:val="231F20"/>
          <w:spacing w:val="-17"/>
          <w:w w:val="110"/>
          <w:sz w:val="18"/>
        </w:rPr>
        <w:t> </w:t>
      </w:r>
      <w:r>
        <w:rPr>
          <w:color w:val="231F20"/>
          <w:w w:val="110"/>
          <w:sz w:val="18"/>
        </w:rPr>
        <w:t>a</w:t>
      </w:r>
      <w:r>
        <w:rPr>
          <w:color w:val="231F20"/>
          <w:spacing w:val="-17"/>
          <w:w w:val="110"/>
          <w:sz w:val="18"/>
        </w:rPr>
        <w:t> </w:t>
      </w:r>
      <w:r>
        <w:rPr>
          <w:color w:val="231F20"/>
          <w:w w:val="110"/>
          <w:sz w:val="18"/>
        </w:rPr>
        <w:t>distorsionar la</w:t>
      </w:r>
      <w:r>
        <w:rPr>
          <w:color w:val="231F20"/>
          <w:spacing w:val="-16"/>
          <w:w w:val="110"/>
          <w:sz w:val="18"/>
        </w:rPr>
        <w:t> </w:t>
      </w:r>
      <w:r>
        <w:rPr>
          <w:color w:val="231F20"/>
          <w:w w:val="110"/>
          <w:sz w:val="18"/>
        </w:rPr>
        <w:t>estructura</w:t>
      </w:r>
      <w:r>
        <w:rPr>
          <w:color w:val="231F20"/>
          <w:spacing w:val="-16"/>
          <w:w w:val="110"/>
          <w:sz w:val="18"/>
        </w:rPr>
        <w:t> </w:t>
      </w:r>
      <w:r>
        <w:rPr>
          <w:color w:val="231F20"/>
          <w:w w:val="110"/>
          <w:sz w:val="18"/>
        </w:rPr>
        <w:t>y</w:t>
      </w:r>
      <w:r>
        <w:rPr>
          <w:color w:val="231F20"/>
          <w:spacing w:val="-16"/>
          <w:w w:val="110"/>
          <w:sz w:val="18"/>
        </w:rPr>
        <w:t> </w:t>
      </w:r>
      <w:r>
        <w:rPr>
          <w:color w:val="231F20"/>
          <w:w w:val="110"/>
          <w:sz w:val="18"/>
        </w:rPr>
        <w:t>la</w:t>
      </w:r>
      <w:r>
        <w:rPr>
          <w:color w:val="231F20"/>
          <w:spacing w:val="-16"/>
          <w:w w:val="110"/>
          <w:sz w:val="18"/>
        </w:rPr>
        <w:t> </w:t>
      </w:r>
      <w:r>
        <w:rPr>
          <w:color w:val="231F20"/>
          <w:w w:val="110"/>
          <w:sz w:val="18"/>
        </w:rPr>
        <w:t>asignación</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sus</w:t>
      </w:r>
      <w:r>
        <w:rPr>
          <w:color w:val="231F20"/>
          <w:spacing w:val="-16"/>
          <w:w w:val="110"/>
          <w:sz w:val="18"/>
        </w:rPr>
        <w:t> </w:t>
      </w:r>
      <w:r>
        <w:rPr>
          <w:color w:val="231F20"/>
          <w:w w:val="110"/>
          <w:sz w:val="18"/>
        </w:rPr>
        <w:t>recursos</w:t>
      </w:r>
      <w:r>
        <w:rPr>
          <w:color w:val="231F20"/>
          <w:spacing w:val="-16"/>
          <w:w w:val="110"/>
          <w:sz w:val="18"/>
        </w:rPr>
        <w:t> </w:t>
      </w:r>
      <w:r>
        <w:rPr>
          <w:color w:val="231F20"/>
          <w:w w:val="110"/>
          <w:sz w:val="18"/>
        </w:rPr>
        <w:t>económicos,</w:t>
      </w:r>
      <w:r>
        <w:rPr>
          <w:color w:val="231F20"/>
          <w:spacing w:val="-16"/>
          <w:w w:val="110"/>
          <w:sz w:val="18"/>
        </w:rPr>
        <w:t> </w:t>
      </w:r>
      <w:r>
        <w:rPr>
          <w:color w:val="231F20"/>
          <w:w w:val="110"/>
          <w:sz w:val="18"/>
        </w:rPr>
        <w:t>redistribuye</w:t>
      </w:r>
      <w:r>
        <w:rPr>
          <w:color w:val="231F20"/>
          <w:spacing w:val="-16"/>
          <w:w w:val="110"/>
          <w:sz w:val="18"/>
        </w:rPr>
        <w:t> </w:t>
      </w:r>
      <w:r>
        <w:rPr>
          <w:color w:val="231F20"/>
          <w:w w:val="110"/>
          <w:sz w:val="18"/>
        </w:rPr>
        <w:t>regresi- vamente</w:t>
      </w:r>
      <w:r>
        <w:rPr>
          <w:color w:val="231F20"/>
          <w:spacing w:val="-5"/>
          <w:w w:val="110"/>
          <w:sz w:val="18"/>
        </w:rPr>
        <w:t> </w:t>
      </w:r>
      <w:r>
        <w:rPr>
          <w:color w:val="231F20"/>
          <w:w w:val="110"/>
          <w:sz w:val="18"/>
        </w:rPr>
        <w:t>su</w:t>
      </w:r>
      <w:r>
        <w:rPr>
          <w:color w:val="231F20"/>
          <w:spacing w:val="-5"/>
          <w:w w:val="110"/>
          <w:sz w:val="18"/>
        </w:rPr>
        <w:t> </w:t>
      </w:r>
      <w:r>
        <w:rPr>
          <w:color w:val="231F20"/>
          <w:w w:val="110"/>
          <w:sz w:val="18"/>
        </w:rPr>
        <w:t>ingreso</w:t>
      </w:r>
      <w:r>
        <w:rPr>
          <w:color w:val="231F20"/>
          <w:spacing w:val="-5"/>
          <w:w w:val="110"/>
          <w:sz w:val="18"/>
        </w:rPr>
        <w:t> </w:t>
      </w:r>
      <w:r>
        <w:rPr>
          <w:color w:val="231F20"/>
          <w:w w:val="110"/>
          <w:sz w:val="18"/>
        </w:rPr>
        <w:t>nacional</w:t>
      </w:r>
      <w:r>
        <w:rPr>
          <w:color w:val="231F20"/>
          <w:spacing w:val="-5"/>
          <w:w w:val="110"/>
          <w:sz w:val="18"/>
        </w:rPr>
        <w:t> </w:t>
      </w:r>
      <w:r>
        <w:rPr>
          <w:color w:val="231F20"/>
          <w:w w:val="110"/>
          <w:sz w:val="18"/>
        </w:rPr>
        <w:t>y</w:t>
      </w:r>
      <w:r>
        <w:rPr>
          <w:color w:val="231F20"/>
          <w:spacing w:val="-5"/>
          <w:w w:val="110"/>
          <w:sz w:val="18"/>
        </w:rPr>
        <w:t> </w:t>
      </w:r>
      <w:r>
        <w:rPr>
          <w:color w:val="231F20"/>
          <w:w w:val="110"/>
          <w:sz w:val="18"/>
        </w:rPr>
        <w:t>concentra</w:t>
      </w:r>
      <w:r>
        <w:rPr>
          <w:color w:val="231F20"/>
          <w:spacing w:val="-5"/>
          <w:w w:val="110"/>
          <w:sz w:val="18"/>
        </w:rPr>
        <w:t> </w:t>
      </w:r>
      <w:r>
        <w:rPr>
          <w:color w:val="231F20"/>
          <w:w w:val="110"/>
          <w:sz w:val="18"/>
        </w:rPr>
        <w:t>la</w:t>
      </w:r>
      <w:r>
        <w:rPr>
          <w:color w:val="231F20"/>
          <w:spacing w:val="-5"/>
          <w:w w:val="110"/>
          <w:sz w:val="18"/>
        </w:rPr>
        <w:t> </w:t>
      </w:r>
      <w:r>
        <w:rPr>
          <w:color w:val="231F20"/>
          <w:w w:val="110"/>
          <w:sz w:val="18"/>
        </w:rPr>
        <w:t>riqueza</w:t>
      </w:r>
      <w:r>
        <w:rPr>
          <w:color w:val="231F20"/>
          <w:spacing w:val="-5"/>
          <w:w w:val="110"/>
          <w:sz w:val="18"/>
        </w:rPr>
        <w:t> </w:t>
      </w:r>
      <w:r>
        <w:rPr>
          <w:color w:val="231F20"/>
          <w:w w:val="110"/>
          <w:sz w:val="18"/>
        </w:rPr>
        <w:t>del</w:t>
      </w:r>
      <w:r>
        <w:rPr>
          <w:color w:val="231F20"/>
          <w:spacing w:val="-5"/>
          <w:w w:val="110"/>
          <w:sz w:val="18"/>
        </w:rPr>
        <w:t> </w:t>
      </w:r>
      <w:r>
        <w:rPr>
          <w:color w:val="231F20"/>
          <w:w w:val="110"/>
          <w:sz w:val="18"/>
        </w:rPr>
        <w:t>país</w:t>
      </w:r>
      <w:r>
        <w:rPr>
          <w:color w:val="231F20"/>
          <w:spacing w:val="-5"/>
          <w:w w:val="110"/>
          <w:sz w:val="18"/>
        </w:rPr>
        <w:t> </w:t>
      </w:r>
      <w:r>
        <w:rPr>
          <w:color w:val="231F20"/>
          <w:w w:val="110"/>
          <w:sz w:val="18"/>
        </w:rPr>
        <w:t>en</w:t>
      </w:r>
      <w:r>
        <w:rPr>
          <w:color w:val="231F20"/>
          <w:spacing w:val="-5"/>
          <w:w w:val="110"/>
          <w:sz w:val="18"/>
        </w:rPr>
        <w:t> </w:t>
      </w:r>
      <w:r>
        <w:rPr>
          <w:color w:val="231F20"/>
          <w:w w:val="110"/>
          <w:sz w:val="18"/>
        </w:rPr>
        <w:t>pocas</w:t>
      </w:r>
      <w:r>
        <w:rPr>
          <w:color w:val="231F20"/>
          <w:spacing w:val="-5"/>
          <w:w w:val="110"/>
          <w:sz w:val="18"/>
        </w:rPr>
        <w:t> </w:t>
      </w:r>
      <w:r>
        <w:rPr>
          <w:color w:val="231F20"/>
          <w:w w:val="110"/>
          <w:sz w:val="18"/>
        </w:rPr>
        <w:t>manos, mientras generaliza la pobreza. Esta realidad ha dado paso a crisis</w:t>
      </w:r>
      <w:r>
        <w:rPr>
          <w:color w:val="231F20"/>
          <w:spacing w:val="-29"/>
          <w:w w:val="110"/>
          <w:sz w:val="18"/>
        </w:rPr>
        <w:t> </w:t>
      </w:r>
      <w:r>
        <w:rPr>
          <w:color w:val="231F20"/>
          <w:w w:val="110"/>
          <w:sz w:val="18"/>
        </w:rPr>
        <w:t>económi- cas recurrentes, al tiempo que ha consolidado mentalidades “rentistas”, ha profundizado la débil y escasa institucionalidad, alentando la corrupción y deteriorando el medio ambiente. Las prácticas clientelares en lo social</w:t>
      </w:r>
      <w:r>
        <w:rPr>
          <w:color w:val="231F20"/>
          <w:spacing w:val="-12"/>
          <w:w w:val="110"/>
          <w:sz w:val="18"/>
        </w:rPr>
        <w:t> </w:t>
      </w:r>
      <w:r>
        <w:rPr>
          <w:color w:val="231F20"/>
          <w:w w:val="110"/>
          <w:sz w:val="18"/>
        </w:rPr>
        <w:t>están a la orden del día (Acosta, 2009:</w:t>
      </w:r>
      <w:r>
        <w:rPr>
          <w:color w:val="231F20"/>
          <w:spacing w:val="23"/>
          <w:w w:val="110"/>
          <w:sz w:val="18"/>
        </w:rPr>
        <w:t> </w:t>
      </w:r>
      <w:r>
        <w:rPr>
          <w:color w:val="231F20"/>
          <w:w w:val="110"/>
          <w:sz w:val="18"/>
        </w:rPr>
        <w:t>11).</w:t>
      </w:r>
    </w:p>
    <w:p>
      <w:pPr>
        <w:pStyle w:val="BodyText"/>
        <w:spacing w:before="2"/>
      </w:pPr>
    </w:p>
    <w:p>
      <w:pPr>
        <w:pStyle w:val="BodyText"/>
        <w:ind w:left="340" w:right="25"/>
      </w:pPr>
      <w:r>
        <w:rPr>
          <w:color w:val="231F20"/>
        </w:rPr>
        <w:t>Y añade:</w:t>
      </w:r>
    </w:p>
    <w:p>
      <w:pPr>
        <w:pStyle w:val="BodyText"/>
        <w:spacing w:before="1"/>
        <w:rPr>
          <w:sz w:val="25"/>
        </w:rPr>
      </w:pPr>
    </w:p>
    <w:p>
      <w:pPr>
        <w:spacing w:line="290" w:lineRule="auto" w:before="0"/>
        <w:ind w:left="100" w:right="119" w:firstLine="0"/>
        <w:jc w:val="both"/>
        <w:rPr>
          <w:sz w:val="18"/>
        </w:rPr>
      </w:pPr>
      <w:r>
        <w:rPr>
          <w:color w:val="231F20"/>
          <w:w w:val="110"/>
          <w:sz w:val="18"/>
        </w:rPr>
        <w:t>la realidad de una economía primario-exportadora […] se refleja en un escaso interés por invertir en el mercado interno. Esto redunda en una limi- tada integración del sector exportador con la producción nacional [y] como complemento […] no se da un encadenamiento que [pueda potenciar] nuevas líneas productivas desde este tipo de actividades extractivas. No</w:t>
      </w:r>
      <w:r>
        <w:rPr>
          <w:color w:val="231F20"/>
          <w:spacing w:val="-14"/>
          <w:w w:val="110"/>
          <w:sz w:val="18"/>
        </w:rPr>
        <w:t> </w:t>
      </w:r>
      <w:r>
        <w:rPr>
          <w:color w:val="231F20"/>
          <w:w w:val="110"/>
          <w:sz w:val="18"/>
        </w:rPr>
        <w:t>hay el</w:t>
      </w:r>
      <w:r>
        <w:rPr>
          <w:color w:val="231F20"/>
          <w:spacing w:val="-5"/>
          <w:w w:val="110"/>
          <w:sz w:val="18"/>
        </w:rPr>
        <w:t> </w:t>
      </w:r>
      <w:r>
        <w:rPr>
          <w:color w:val="231F20"/>
          <w:w w:val="110"/>
          <w:sz w:val="18"/>
        </w:rPr>
        <w:t>desarrollo</w:t>
      </w:r>
      <w:r>
        <w:rPr>
          <w:color w:val="231F20"/>
          <w:spacing w:val="-5"/>
          <w:w w:val="110"/>
          <w:sz w:val="18"/>
        </w:rPr>
        <w:t> </w:t>
      </w:r>
      <w:r>
        <w:rPr>
          <w:color w:val="231F20"/>
          <w:w w:val="110"/>
          <w:sz w:val="18"/>
        </w:rPr>
        <w:t>de</w:t>
      </w:r>
      <w:r>
        <w:rPr>
          <w:color w:val="231F20"/>
          <w:spacing w:val="-5"/>
          <w:w w:val="110"/>
          <w:sz w:val="18"/>
        </w:rPr>
        <w:t> </w:t>
      </w:r>
      <w:r>
        <w:rPr>
          <w:color w:val="231F20"/>
          <w:w w:val="110"/>
          <w:sz w:val="18"/>
        </w:rPr>
        <w:t>conglomerados</w:t>
      </w:r>
      <w:r>
        <w:rPr>
          <w:color w:val="231F20"/>
          <w:spacing w:val="-5"/>
          <w:w w:val="110"/>
          <w:sz w:val="18"/>
        </w:rPr>
        <w:t> </w:t>
      </w:r>
      <w:r>
        <w:rPr>
          <w:color w:val="231F20"/>
          <w:w w:val="110"/>
          <w:sz w:val="18"/>
        </w:rPr>
        <w:t>productivos,</w:t>
      </w:r>
      <w:r>
        <w:rPr>
          <w:color w:val="231F20"/>
          <w:spacing w:val="-5"/>
          <w:w w:val="110"/>
          <w:sz w:val="18"/>
        </w:rPr>
        <w:t> </w:t>
      </w:r>
      <w:r>
        <w:rPr>
          <w:color w:val="231F20"/>
          <w:w w:val="110"/>
          <w:sz w:val="18"/>
        </w:rPr>
        <w:t>ni</w:t>
      </w:r>
      <w:r>
        <w:rPr>
          <w:color w:val="231F20"/>
          <w:spacing w:val="-5"/>
          <w:w w:val="110"/>
          <w:sz w:val="18"/>
        </w:rPr>
        <w:t> </w:t>
      </w:r>
      <w:r>
        <w:rPr>
          <w:color w:val="231F20"/>
          <w:w w:val="110"/>
          <w:sz w:val="18"/>
        </w:rPr>
        <w:t>para</w:t>
      </w:r>
      <w:r>
        <w:rPr>
          <w:color w:val="231F20"/>
          <w:spacing w:val="-5"/>
          <w:w w:val="110"/>
          <w:sz w:val="18"/>
        </w:rPr>
        <w:t> </w:t>
      </w:r>
      <w:r>
        <w:rPr>
          <w:color w:val="231F20"/>
          <w:w w:val="110"/>
          <w:sz w:val="18"/>
        </w:rPr>
        <w:t>el</w:t>
      </w:r>
      <w:r>
        <w:rPr>
          <w:color w:val="231F20"/>
          <w:spacing w:val="-5"/>
          <w:w w:val="110"/>
          <w:sz w:val="18"/>
        </w:rPr>
        <w:t> </w:t>
      </w:r>
      <w:r>
        <w:rPr>
          <w:color w:val="231F20"/>
          <w:w w:val="110"/>
          <w:sz w:val="18"/>
        </w:rPr>
        <w:t>mercado</w:t>
      </w:r>
      <w:r>
        <w:rPr>
          <w:color w:val="231F20"/>
          <w:spacing w:val="-5"/>
          <w:w w:val="110"/>
          <w:sz w:val="18"/>
        </w:rPr>
        <w:t> </w:t>
      </w:r>
      <w:r>
        <w:rPr>
          <w:color w:val="231F20"/>
          <w:w w:val="110"/>
          <w:sz w:val="18"/>
        </w:rPr>
        <w:t>interno</w:t>
      </w:r>
      <w:r>
        <w:rPr>
          <w:color w:val="231F20"/>
          <w:spacing w:val="-5"/>
          <w:w w:val="110"/>
          <w:sz w:val="18"/>
        </w:rPr>
        <w:t> </w:t>
      </w:r>
      <w:r>
        <w:rPr>
          <w:color w:val="231F20"/>
          <w:w w:val="110"/>
          <w:sz w:val="18"/>
        </w:rPr>
        <w:t>[y</w:t>
      </w:r>
      <w:r>
        <w:rPr>
          <w:color w:val="231F20"/>
          <w:spacing w:val="-5"/>
          <w:w w:val="110"/>
          <w:sz w:val="18"/>
        </w:rPr>
        <w:t> </w:t>
      </w:r>
      <w:r>
        <w:rPr>
          <w:color w:val="231F20"/>
          <w:w w:val="110"/>
          <w:sz w:val="18"/>
        </w:rPr>
        <w:t>el</w:t>
      </w:r>
    </w:p>
    <w:p>
      <w:pPr>
        <w:spacing w:after="0" w:line="290" w:lineRule="auto"/>
        <w:jc w:val="both"/>
        <w:rPr>
          <w:sz w:val="18"/>
        </w:rPr>
        <w:sectPr>
          <w:pgSz w:w="7640" w:h="11900"/>
          <w:pgMar w:header="672" w:footer="0" w:top="860" w:bottom="280" w:left="660" w:right="760"/>
        </w:sectPr>
      </w:pPr>
    </w:p>
    <w:p>
      <w:pPr>
        <w:pStyle w:val="BodyText"/>
        <w:spacing w:before="8"/>
        <w:rPr>
          <w:sz w:val="8"/>
        </w:rPr>
      </w:pPr>
    </w:p>
    <w:p>
      <w:pPr>
        <w:spacing w:line="290" w:lineRule="auto" w:before="71"/>
        <w:ind w:left="100" w:right="118" w:firstLine="0"/>
        <w:jc w:val="both"/>
        <w:rPr>
          <w:sz w:val="18"/>
        </w:rPr>
      </w:pPr>
      <w:r>
        <w:rPr>
          <w:color w:val="231F20"/>
          <w:w w:val="110"/>
          <w:sz w:val="18"/>
        </w:rPr>
        <w:t>grueso de ocasiones] ni siquiera para ampliar la oferta exportable. </w:t>
      </w:r>
      <w:r>
        <w:rPr>
          <w:color w:val="231F20"/>
          <w:spacing w:val="-3"/>
          <w:w w:val="110"/>
          <w:sz w:val="18"/>
        </w:rPr>
        <w:t>Tampoco </w:t>
      </w:r>
      <w:r>
        <w:rPr>
          <w:color w:val="231F20"/>
          <w:w w:val="110"/>
          <w:sz w:val="18"/>
        </w:rPr>
        <w:t>se</w:t>
      </w:r>
      <w:r>
        <w:rPr>
          <w:color w:val="231F20"/>
          <w:spacing w:val="-6"/>
          <w:w w:val="110"/>
          <w:sz w:val="18"/>
        </w:rPr>
        <w:t> </w:t>
      </w:r>
      <w:r>
        <w:rPr>
          <w:color w:val="231F20"/>
          <w:w w:val="110"/>
          <w:sz w:val="18"/>
        </w:rPr>
        <w:t>ha</w:t>
      </w:r>
      <w:r>
        <w:rPr>
          <w:color w:val="231F20"/>
          <w:spacing w:val="-6"/>
          <w:w w:val="110"/>
          <w:sz w:val="18"/>
        </w:rPr>
        <w:t> </w:t>
      </w:r>
      <w:r>
        <w:rPr>
          <w:color w:val="231F20"/>
          <w:w w:val="110"/>
          <w:sz w:val="18"/>
        </w:rPr>
        <w:t>generado</w:t>
      </w:r>
      <w:r>
        <w:rPr>
          <w:color w:val="231F20"/>
          <w:spacing w:val="-6"/>
          <w:w w:val="110"/>
          <w:sz w:val="18"/>
        </w:rPr>
        <w:t> </w:t>
      </w:r>
      <w:r>
        <w:rPr>
          <w:color w:val="231F20"/>
          <w:w w:val="110"/>
          <w:sz w:val="18"/>
        </w:rPr>
        <w:t>una</w:t>
      </w:r>
      <w:r>
        <w:rPr>
          <w:color w:val="231F20"/>
          <w:spacing w:val="-6"/>
          <w:w w:val="110"/>
          <w:sz w:val="18"/>
        </w:rPr>
        <w:t> </w:t>
      </w:r>
      <w:r>
        <w:rPr>
          <w:color w:val="231F20"/>
          <w:w w:val="110"/>
          <w:sz w:val="18"/>
        </w:rPr>
        <w:t>mejor</w:t>
      </w:r>
      <w:r>
        <w:rPr>
          <w:color w:val="231F20"/>
          <w:spacing w:val="-6"/>
          <w:w w:val="110"/>
          <w:sz w:val="18"/>
        </w:rPr>
        <w:t> </w:t>
      </w:r>
      <w:r>
        <w:rPr>
          <w:color w:val="231F20"/>
          <w:w w:val="110"/>
          <w:sz w:val="18"/>
        </w:rPr>
        <w:t>distribución</w:t>
      </w:r>
      <w:r>
        <w:rPr>
          <w:color w:val="231F20"/>
          <w:spacing w:val="-6"/>
          <w:w w:val="110"/>
          <w:sz w:val="18"/>
        </w:rPr>
        <w:t> </w:t>
      </w:r>
      <w:r>
        <w:rPr>
          <w:color w:val="231F20"/>
          <w:w w:val="110"/>
          <w:sz w:val="18"/>
        </w:rPr>
        <w:t>del</w:t>
      </w:r>
      <w:r>
        <w:rPr>
          <w:color w:val="231F20"/>
          <w:spacing w:val="-6"/>
          <w:w w:val="110"/>
          <w:sz w:val="18"/>
        </w:rPr>
        <w:t> </w:t>
      </w:r>
      <w:r>
        <w:rPr>
          <w:color w:val="231F20"/>
          <w:w w:val="110"/>
          <w:sz w:val="18"/>
        </w:rPr>
        <w:t>ingreso;</w:t>
      </w:r>
      <w:r>
        <w:rPr>
          <w:color w:val="231F20"/>
          <w:spacing w:val="-6"/>
          <w:w w:val="110"/>
          <w:sz w:val="18"/>
        </w:rPr>
        <w:t> </w:t>
      </w:r>
      <w:r>
        <w:rPr>
          <w:color w:val="231F20"/>
          <w:w w:val="110"/>
          <w:sz w:val="18"/>
        </w:rPr>
        <w:t>ni</w:t>
      </w:r>
      <w:r>
        <w:rPr>
          <w:color w:val="231F20"/>
          <w:spacing w:val="-6"/>
          <w:w w:val="110"/>
          <w:sz w:val="18"/>
        </w:rPr>
        <w:t> </w:t>
      </w:r>
      <w:r>
        <w:rPr>
          <w:color w:val="231F20"/>
          <w:w w:val="110"/>
          <w:sz w:val="18"/>
        </w:rPr>
        <w:t>los</w:t>
      </w:r>
      <w:r>
        <w:rPr>
          <w:color w:val="231F20"/>
          <w:spacing w:val="-6"/>
          <w:w w:val="110"/>
          <w:sz w:val="18"/>
        </w:rPr>
        <w:t> </w:t>
      </w:r>
      <w:r>
        <w:rPr>
          <w:color w:val="231F20"/>
          <w:w w:val="110"/>
          <w:sz w:val="18"/>
        </w:rPr>
        <w:t>necesarios</w:t>
      </w:r>
      <w:r>
        <w:rPr>
          <w:color w:val="231F20"/>
          <w:spacing w:val="-6"/>
          <w:w w:val="110"/>
          <w:sz w:val="18"/>
        </w:rPr>
        <w:t> </w:t>
      </w:r>
      <w:r>
        <w:rPr>
          <w:color w:val="231F20"/>
          <w:w w:val="110"/>
          <w:sz w:val="18"/>
        </w:rPr>
        <w:t>ingresos fiscales</w:t>
      </w:r>
      <w:r>
        <w:rPr>
          <w:color w:val="231F20"/>
          <w:spacing w:val="-20"/>
          <w:w w:val="110"/>
          <w:sz w:val="18"/>
        </w:rPr>
        <w:t> </w:t>
      </w:r>
      <w:r>
        <w:rPr>
          <w:color w:val="231F20"/>
          <w:w w:val="110"/>
          <w:sz w:val="18"/>
        </w:rPr>
        <w:t>(Acosta,</w:t>
      </w:r>
      <w:r>
        <w:rPr>
          <w:color w:val="231F20"/>
          <w:spacing w:val="-20"/>
          <w:w w:val="110"/>
          <w:sz w:val="18"/>
        </w:rPr>
        <w:t> </w:t>
      </w:r>
      <w:r>
        <w:rPr>
          <w:color w:val="231F20"/>
          <w:w w:val="110"/>
          <w:sz w:val="18"/>
        </w:rPr>
        <w:t>2009:</w:t>
      </w:r>
      <w:r>
        <w:rPr>
          <w:color w:val="231F20"/>
          <w:spacing w:val="-20"/>
          <w:w w:val="110"/>
          <w:sz w:val="18"/>
        </w:rPr>
        <w:t> </w:t>
      </w:r>
      <w:r>
        <w:rPr>
          <w:color w:val="231F20"/>
          <w:w w:val="110"/>
          <w:sz w:val="18"/>
        </w:rPr>
        <w:t>27</w:t>
      </w:r>
      <w:r>
        <w:rPr>
          <w:color w:val="231F20"/>
          <w:spacing w:val="-20"/>
          <w:w w:val="110"/>
          <w:sz w:val="18"/>
        </w:rPr>
        <w:t> </w:t>
      </w:r>
      <w:r>
        <w:rPr>
          <w:color w:val="231F20"/>
          <w:w w:val="110"/>
          <w:sz w:val="18"/>
        </w:rPr>
        <w:t>y</w:t>
      </w:r>
      <w:r>
        <w:rPr>
          <w:color w:val="231F20"/>
          <w:spacing w:val="-20"/>
          <w:w w:val="110"/>
          <w:sz w:val="18"/>
        </w:rPr>
        <w:t> </w:t>
      </w:r>
      <w:r>
        <w:rPr>
          <w:color w:val="231F20"/>
          <w:w w:val="110"/>
          <w:sz w:val="18"/>
        </w:rPr>
        <w:t>28).</w:t>
      </w:r>
    </w:p>
    <w:p>
      <w:pPr>
        <w:pStyle w:val="BodyText"/>
        <w:spacing w:before="2"/>
      </w:pPr>
    </w:p>
    <w:p>
      <w:pPr>
        <w:pStyle w:val="BodyText"/>
        <w:spacing w:line="261" w:lineRule="auto"/>
        <w:ind w:left="100" w:right="117" w:firstLine="240"/>
        <w:jc w:val="both"/>
      </w:pPr>
      <w:r>
        <w:rPr>
          <w:color w:val="231F20"/>
          <w:w w:val="110"/>
        </w:rPr>
        <w:t>La</w:t>
      </w:r>
      <w:r>
        <w:rPr>
          <w:color w:val="231F20"/>
          <w:spacing w:val="-5"/>
          <w:w w:val="110"/>
        </w:rPr>
        <w:t> </w:t>
      </w:r>
      <w:r>
        <w:rPr>
          <w:color w:val="231F20"/>
          <w:w w:val="110"/>
        </w:rPr>
        <w:t>lógica</w:t>
      </w:r>
      <w:r>
        <w:rPr>
          <w:color w:val="231F20"/>
          <w:spacing w:val="-5"/>
          <w:w w:val="110"/>
        </w:rPr>
        <w:t> </w:t>
      </w:r>
      <w:r>
        <w:rPr>
          <w:color w:val="231F20"/>
          <w:w w:val="110"/>
        </w:rPr>
        <w:t>de</w:t>
      </w:r>
      <w:r>
        <w:rPr>
          <w:color w:val="231F20"/>
          <w:spacing w:val="-5"/>
          <w:w w:val="110"/>
        </w:rPr>
        <w:t> </w:t>
      </w:r>
      <w:r>
        <w:rPr>
          <w:color w:val="231F20"/>
          <w:w w:val="110"/>
        </w:rPr>
        <w:t>producción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países</w:t>
      </w:r>
      <w:r>
        <w:rPr>
          <w:color w:val="231F20"/>
          <w:spacing w:val="-5"/>
          <w:w w:val="110"/>
        </w:rPr>
        <w:t> </w:t>
      </w:r>
      <w:r>
        <w:rPr>
          <w:color w:val="231F20"/>
          <w:w w:val="110"/>
        </w:rPr>
        <w:t>periféricos,</w:t>
      </w:r>
      <w:r>
        <w:rPr>
          <w:color w:val="231F20"/>
          <w:spacing w:val="-5"/>
          <w:w w:val="110"/>
        </w:rPr>
        <w:t> </w:t>
      </w:r>
      <w:r>
        <w:rPr>
          <w:color w:val="231F20"/>
          <w:w w:val="110"/>
        </w:rPr>
        <w:t>es</w:t>
      </w:r>
      <w:r>
        <w:rPr>
          <w:color w:val="231F20"/>
          <w:spacing w:val="-5"/>
          <w:w w:val="110"/>
        </w:rPr>
        <w:t> </w:t>
      </w:r>
      <w:r>
        <w:rPr>
          <w:color w:val="231F20"/>
          <w:w w:val="110"/>
        </w:rPr>
        <w:t>motivada</w:t>
      </w:r>
      <w:r>
        <w:rPr>
          <w:color w:val="231F20"/>
          <w:spacing w:val="-5"/>
          <w:w w:val="110"/>
        </w:rPr>
        <w:t> </w:t>
      </w:r>
      <w:r>
        <w:rPr>
          <w:color w:val="231F20"/>
          <w:w w:val="110"/>
        </w:rPr>
        <w:t>en- tonces por la demanda externa ya que para operar no requiere del mercado interno e incluso funciona con salarios decrecientes, rasgo que coloca la miseria del grueso de la población como algo circuns- tancial a la presencia de inmensas cantidades de recursos naturales (</w:t>
      </w:r>
      <w:r>
        <w:rPr>
          <w:color w:val="231F20"/>
          <w:w w:val="110"/>
          <w:sz w:val="18"/>
        </w:rPr>
        <w:t>Acosta,</w:t>
      </w:r>
      <w:r>
        <w:rPr>
          <w:color w:val="231F20"/>
          <w:spacing w:val="-26"/>
          <w:w w:val="110"/>
          <w:sz w:val="18"/>
        </w:rPr>
        <w:t> </w:t>
      </w:r>
      <w:r>
        <w:rPr>
          <w:color w:val="231F20"/>
          <w:w w:val="110"/>
          <w:sz w:val="18"/>
        </w:rPr>
        <w:t>2009</w:t>
      </w:r>
      <w:r>
        <w:rPr>
          <w:color w:val="231F20"/>
          <w:w w:val="110"/>
        </w:rPr>
        <w:t>:</w:t>
      </w:r>
      <w:r>
        <w:rPr>
          <w:color w:val="231F20"/>
          <w:spacing w:val="-29"/>
          <w:w w:val="110"/>
        </w:rPr>
        <w:t> </w:t>
      </w:r>
      <w:r>
        <w:rPr>
          <w:color w:val="231F20"/>
          <w:w w:val="110"/>
        </w:rPr>
        <w:t>29;</w:t>
      </w:r>
      <w:r>
        <w:rPr>
          <w:color w:val="231F20"/>
          <w:spacing w:val="-29"/>
          <w:w w:val="110"/>
        </w:rPr>
        <w:t> </w:t>
      </w:r>
      <w:r>
        <w:rPr>
          <w:color w:val="231F20"/>
          <w:w w:val="110"/>
        </w:rPr>
        <w:t>Marini,</w:t>
      </w:r>
      <w:r>
        <w:rPr>
          <w:color w:val="231F20"/>
          <w:spacing w:val="-29"/>
          <w:w w:val="110"/>
        </w:rPr>
        <w:t> </w:t>
      </w:r>
      <w:r>
        <w:rPr>
          <w:color w:val="231F20"/>
          <w:w w:val="110"/>
        </w:rPr>
        <w:t>1973).</w:t>
      </w:r>
      <w:r>
        <w:rPr>
          <w:color w:val="231F20"/>
          <w:spacing w:val="-29"/>
          <w:w w:val="110"/>
        </w:rPr>
        <w:t> </w:t>
      </w:r>
      <w:r>
        <w:rPr>
          <w:color w:val="231F20"/>
          <w:w w:val="110"/>
        </w:rPr>
        <w:t>En</w:t>
      </w:r>
      <w:r>
        <w:rPr>
          <w:color w:val="231F20"/>
          <w:spacing w:val="-29"/>
          <w:w w:val="110"/>
        </w:rPr>
        <w:t> </w:t>
      </w:r>
      <w:r>
        <w:rPr>
          <w:color w:val="231F20"/>
          <w:w w:val="110"/>
        </w:rPr>
        <w:t>resumen,</w:t>
      </w:r>
      <w:r>
        <w:rPr>
          <w:color w:val="231F20"/>
          <w:spacing w:val="-29"/>
          <w:w w:val="110"/>
        </w:rPr>
        <w:t> </w:t>
      </w:r>
      <w:r>
        <w:rPr>
          <w:color w:val="231F20"/>
          <w:w w:val="110"/>
        </w:rPr>
        <w:t>precisa</w:t>
      </w:r>
      <w:r>
        <w:rPr>
          <w:color w:val="231F20"/>
          <w:spacing w:val="-29"/>
          <w:w w:val="110"/>
        </w:rPr>
        <w:t> </w:t>
      </w:r>
      <w:r>
        <w:rPr>
          <w:color w:val="231F20"/>
          <w:w w:val="110"/>
        </w:rPr>
        <w:t>Acosta,</w:t>
      </w:r>
      <w:r>
        <w:rPr>
          <w:color w:val="231F20"/>
          <w:spacing w:val="-29"/>
          <w:w w:val="110"/>
        </w:rPr>
        <w:t> </w:t>
      </w:r>
      <w:r>
        <w:rPr>
          <w:color w:val="231F20"/>
          <w:w w:val="110"/>
        </w:rPr>
        <w:t>“es</w:t>
      </w:r>
      <w:r>
        <w:rPr>
          <w:color w:val="231F20"/>
          <w:spacing w:val="-29"/>
          <w:w w:val="110"/>
        </w:rPr>
        <w:t> </w:t>
      </w:r>
      <w:r>
        <w:rPr>
          <w:color w:val="231F20"/>
          <w:w w:val="110"/>
        </w:rPr>
        <w:t>como si esa riqueza se escurriera entre nuestras manos para perderse más allá de las fronteras, alimentando los ríos del comercio</w:t>
      </w:r>
      <w:r>
        <w:rPr>
          <w:color w:val="231F20"/>
          <w:spacing w:val="-14"/>
          <w:w w:val="110"/>
        </w:rPr>
        <w:t> </w:t>
      </w:r>
      <w:r>
        <w:rPr>
          <w:color w:val="231F20"/>
          <w:w w:val="110"/>
        </w:rPr>
        <w:t>internacional pero sin desencadenar un salto cualitativo en el desarrollo nacional” (</w:t>
      </w:r>
      <w:r>
        <w:rPr>
          <w:color w:val="231F20"/>
          <w:w w:val="110"/>
          <w:sz w:val="18"/>
        </w:rPr>
        <w:t>Acosta, 2009</w:t>
      </w:r>
      <w:r>
        <w:rPr>
          <w:color w:val="231F20"/>
          <w:w w:val="110"/>
        </w:rPr>
        <w:t>:</w:t>
      </w:r>
      <w:r>
        <w:rPr>
          <w:color w:val="231F20"/>
          <w:spacing w:val="-41"/>
          <w:w w:val="110"/>
        </w:rPr>
        <w:t> </w:t>
      </w:r>
      <w:r>
        <w:rPr>
          <w:color w:val="231F20"/>
          <w:w w:val="110"/>
        </w:rPr>
        <w:t>15).</w:t>
      </w:r>
    </w:p>
    <w:p>
      <w:pPr>
        <w:pStyle w:val="BodyText"/>
        <w:spacing w:line="261" w:lineRule="auto"/>
        <w:ind w:left="100" w:right="114" w:firstLine="240"/>
        <w:jc w:val="both"/>
      </w:pPr>
      <w:r>
        <w:rPr>
          <w:color w:val="231F20"/>
          <w:spacing w:val="-6"/>
          <w:w w:val="110"/>
        </w:rPr>
        <w:t>Tal</w:t>
      </w:r>
      <w:r>
        <w:rPr>
          <w:color w:val="231F20"/>
          <w:spacing w:val="-15"/>
          <w:w w:val="110"/>
        </w:rPr>
        <w:t> </w:t>
      </w:r>
      <w:r>
        <w:rPr>
          <w:color w:val="231F20"/>
          <w:w w:val="110"/>
        </w:rPr>
        <w:t>situación</w:t>
      </w:r>
      <w:r>
        <w:rPr>
          <w:color w:val="231F20"/>
          <w:spacing w:val="-16"/>
          <w:w w:val="110"/>
        </w:rPr>
        <w:t> </w:t>
      </w:r>
      <w:r>
        <w:rPr>
          <w:color w:val="231F20"/>
          <w:w w:val="110"/>
        </w:rPr>
        <w:t>se</w:t>
      </w:r>
      <w:r>
        <w:rPr>
          <w:color w:val="231F20"/>
          <w:spacing w:val="-16"/>
          <w:w w:val="110"/>
        </w:rPr>
        <w:t> </w:t>
      </w:r>
      <w:r>
        <w:rPr>
          <w:color w:val="231F20"/>
          <w:w w:val="110"/>
        </w:rPr>
        <w:t>explica</w:t>
      </w:r>
      <w:r>
        <w:rPr>
          <w:color w:val="231F20"/>
          <w:spacing w:val="-16"/>
          <w:w w:val="110"/>
        </w:rPr>
        <w:t> </w:t>
      </w:r>
      <w:r>
        <w:rPr>
          <w:color w:val="231F20"/>
          <w:w w:val="110"/>
        </w:rPr>
        <w:t>en</w:t>
      </w:r>
      <w:r>
        <w:rPr>
          <w:color w:val="231F20"/>
          <w:spacing w:val="-15"/>
          <w:w w:val="110"/>
        </w:rPr>
        <w:t> </w:t>
      </w:r>
      <w:r>
        <w:rPr>
          <w:color w:val="231F20"/>
          <w:w w:val="110"/>
        </w:rPr>
        <w:t>el</w:t>
      </w:r>
      <w:r>
        <w:rPr>
          <w:color w:val="231F20"/>
          <w:spacing w:val="-16"/>
          <w:w w:val="110"/>
        </w:rPr>
        <w:t> </w:t>
      </w:r>
      <w:r>
        <w:rPr>
          <w:color w:val="231F20"/>
          <w:w w:val="110"/>
        </w:rPr>
        <w:t>hecho</w:t>
      </w:r>
      <w:r>
        <w:rPr>
          <w:color w:val="231F20"/>
          <w:spacing w:val="-16"/>
          <w:w w:val="110"/>
        </w:rPr>
        <w:t> </w:t>
      </w:r>
      <w:r>
        <w:rPr>
          <w:color w:val="231F20"/>
          <w:w w:val="110"/>
        </w:rPr>
        <w:t>de</w:t>
      </w:r>
      <w:r>
        <w:rPr>
          <w:color w:val="231F20"/>
          <w:spacing w:val="-15"/>
          <w:w w:val="110"/>
        </w:rPr>
        <w:t> </w:t>
      </w:r>
      <w:r>
        <w:rPr>
          <w:color w:val="231F20"/>
          <w:w w:val="110"/>
        </w:rPr>
        <w:t>que</w:t>
      </w:r>
      <w:r>
        <w:rPr>
          <w:color w:val="231F20"/>
          <w:spacing w:val="-16"/>
          <w:w w:val="110"/>
        </w:rPr>
        <w:t> </w:t>
      </w:r>
      <w:r>
        <w:rPr>
          <w:color w:val="231F20"/>
          <w:spacing w:val="-4"/>
          <w:w w:val="110"/>
        </w:rPr>
        <w:t>hoy,</w:t>
      </w:r>
      <w:r>
        <w:rPr>
          <w:color w:val="231F20"/>
          <w:spacing w:val="-15"/>
          <w:w w:val="110"/>
        </w:rPr>
        <w:t> </w:t>
      </w:r>
      <w:r>
        <w:rPr>
          <w:color w:val="231F20"/>
          <w:w w:val="110"/>
        </w:rPr>
        <w:t>como</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5"/>
          <w:w w:val="110"/>
        </w:rPr>
        <w:t> </w:t>
      </w:r>
      <w:r>
        <w:rPr>
          <w:color w:val="231F20"/>
          <w:w w:val="110"/>
        </w:rPr>
        <w:t>colonia, permanece la continuidad del saqueo de la periferia (desde luego con</w:t>
      </w:r>
      <w:r>
        <w:rPr>
          <w:color w:val="231F20"/>
          <w:spacing w:val="-6"/>
          <w:w w:val="110"/>
        </w:rPr>
        <w:t> </w:t>
      </w:r>
      <w:r>
        <w:rPr>
          <w:color w:val="231F20"/>
          <w:w w:val="110"/>
        </w:rPr>
        <w:t>toda</w:t>
      </w:r>
      <w:r>
        <w:rPr>
          <w:color w:val="231F20"/>
          <w:spacing w:val="-6"/>
          <w:w w:val="110"/>
        </w:rPr>
        <w:t> </w:t>
      </w:r>
      <w:r>
        <w:rPr>
          <w:color w:val="231F20"/>
          <w:w w:val="110"/>
        </w:rPr>
        <w:t>la</w:t>
      </w:r>
      <w:r>
        <w:rPr>
          <w:color w:val="231F20"/>
          <w:spacing w:val="-6"/>
          <w:w w:val="110"/>
        </w:rPr>
        <w:t> </w:t>
      </w:r>
      <w:r>
        <w:rPr>
          <w:color w:val="231F20"/>
          <w:w w:val="110"/>
        </w:rPr>
        <w:t>complejidad</w:t>
      </w:r>
      <w:r>
        <w:rPr>
          <w:color w:val="231F20"/>
          <w:spacing w:val="-6"/>
          <w:w w:val="110"/>
        </w:rPr>
        <w:t> </w:t>
      </w:r>
      <w:r>
        <w:rPr>
          <w:color w:val="231F20"/>
          <w:w w:val="110"/>
        </w:rPr>
        <w:t>y</w:t>
      </w:r>
      <w:r>
        <w:rPr>
          <w:color w:val="231F20"/>
          <w:spacing w:val="-6"/>
          <w:w w:val="110"/>
        </w:rPr>
        <w:t> </w:t>
      </w:r>
      <w:r>
        <w:rPr>
          <w:color w:val="231F20"/>
          <w:w w:val="110"/>
        </w:rPr>
        <w:t>aspectos</w:t>
      </w:r>
      <w:r>
        <w:rPr>
          <w:color w:val="231F20"/>
          <w:spacing w:val="-6"/>
          <w:w w:val="110"/>
        </w:rPr>
        <w:t> </w:t>
      </w:r>
      <w:r>
        <w:rPr>
          <w:color w:val="231F20"/>
          <w:w w:val="110"/>
        </w:rPr>
        <w:t>distintivos</w:t>
      </w:r>
      <w:r>
        <w:rPr>
          <w:color w:val="231F20"/>
          <w:spacing w:val="-6"/>
          <w:w w:val="110"/>
        </w:rPr>
        <w:t> </w:t>
      </w:r>
      <w:r>
        <w:rPr>
          <w:color w:val="231F20"/>
          <w:w w:val="110"/>
        </w:rPr>
        <w:t>de</w:t>
      </w:r>
      <w:r>
        <w:rPr>
          <w:color w:val="231F20"/>
          <w:spacing w:val="-6"/>
          <w:w w:val="110"/>
        </w:rPr>
        <w:t> </w:t>
      </w:r>
      <w:r>
        <w:rPr>
          <w:color w:val="231F20"/>
          <w:w w:val="110"/>
        </w:rPr>
        <w:t>cada</w:t>
      </w:r>
      <w:r>
        <w:rPr>
          <w:color w:val="231F20"/>
          <w:spacing w:val="-6"/>
          <w:w w:val="110"/>
        </w:rPr>
        <w:t> </w:t>
      </w:r>
      <w:r>
        <w:rPr>
          <w:color w:val="231F20"/>
          <w:w w:val="110"/>
        </w:rPr>
        <w:t>entorno</w:t>
      </w:r>
      <w:r>
        <w:rPr>
          <w:color w:val="231F20"/>
          <w:spacing w:val="-6"/>
          <w:w w:val="110"/>
        </w:rPr>
        <w:t> </w:t>
      </w:r>
      <w:r>
        <w:rPr>
          <w:color w:val="231F20"/>
          <w:w w:val="110"/>
        </w:rPr>
        <w:t>histó- rico).</w:t>
      </w:r>
      <w:r>
        <w:rPr>
          <w:color w:val="231F20"/>
          <w:spacing w:val="-20"/>
          <w:w w:val="110"/>
        </w:rPr>
        <w:t> </w:t>
      </w:r>
      <w:r>
        <w:rPr>
          <w:color w:val="231F20"/>
          <w:w w:val="110"/>
        </w:rPr>
        <w:t>El</w:t>
      </w:r>
      <w:r>
        <w:rPr>
          <w:color w:val="231F20"/>
          <w:spacing w:val="-20"/>
          <w:w w:val="110"/>
        </w:rPr>
        <w:t> </w:t>
      </w:r>
      <w:r>
        <w:rPr>
          <w:color w:val="231F20"/>
          <w:w w:val="110"/>
        </w:rPr>
        <w:t>papel</w:t>
      </w:r>
      <w:r>
        <w:rPr>
          <w:color w:val="231F20"/>
          <w:spacing w:val="-20"/>
          <w:w w:val="110"/>
        </w:rPr>
        <w:t> </w:t>
      </w:r>
      <w:r>
        <w:rPr>
          <w:color w:val="231F20"/>
          <w:w w:val="110"/>
        </w:rPr>
        <w:t>estratégico</w:t>
      </w:r>
      <w:r>
        <w:rPr>
          <w:color w:val="231F20"/>
          <w:spacing w:val="-20"/>
          <w:w w:val="110"/>
        </w:rPr>
        <w:t> </w:t>
      </w:r>
      <w:r>
        <w:rPr>
          <w:color w:val="231F20"/>
          <w:w w:val="110"/>
        </w:rPr>
        <w:t>de</w:t>
      </w:r>
      <w:r>
        <w:rPr>
          <w:color w:val="231F20"/>
          <w:spacing w:val="-20"/>
          <w:w w:val="110"/>
        </w:rPr>
        <w:t> </w:t>
      </w:r>
      <w:r>
        <w:rPr>
          <w:color w:val="231F20"/>
          <w:w w:val="110"/>
        </w:rPr>
        <w:t>América</w:t>
      </w:r>
      <w:r>
        <w:rPr>
          <w:color w:val="231F20"/>
          <w:spacing w:val="-20"/>
          <w:w w:val="110"/>
        </w:rPr>
        <w:t> </w:t>
      </w:r>
      <w:r>
        <w:rPr>
          <w:color w:val="231F20"/>
          <w:w w:val="110"/>
        </w:rPr>
        <w:t>Latina</w:t>
      </w:r>
      <w:r>
        <w:rPr>
          <w:color w:val="231F20"/>
          <w:spacing w:val="-20"/>
          <w:w w:val="110"/>
        </w:rPr>
        <w:t> </w:t>
      </w:r>
      <w:r>
        <w:rPr>
          <w:color w:val="231F20"/>
          <w:w w:val="110"/>
        </w:rPr>
        <w:t>como</w:t>
      </w:r>
      <w:r>
        <w:rPr>
          <w:color w:val="231F20"/>
          <w:spacing w:val="-20"/>
          <w:w w:val="110"/>
        </w:rPr>
        <w:t> </w:t>
      </w:r>
      <w:r>
        <w:rPr>
          <w:color w:val="231F20"/>
          <w:w w:val="110"/>
        </w:rPr>
        <w:t>reserva</w:t>
      </w:r>
      <w:r>
        <w:rPr>
          <w:color w:val="231F20"/>
          <w:spacing w:val="-20"/>
          <w:w w:val="110"/>
        </w:rPr>
        <w:t> </w:t>
      </w:r>
      <w:r>
        <w:rPr>
          <w:color w:val="231F20"/>
          <w:w w:val="110"/>
        </w:rPr>
        <w:t>estratégica de</w:t>
      </w:r>
      <w:r>
        <w:rPr>
          <w:color w:val="231F20"/>
          <w:spacing w:val="-6"/>
          <w:w w:val="110"/>
        </w:rPr>
        <w:t> </w:t>
      </w:r>
      <w:r>
        <w:rPr>
          <w:color w:val="231F20"/>
          <w:w w:val="110"/>
        </w:rPr>
        <w:t>recursos</w:t>
      </w:r>
      <w:r>
        <w:rPr>
          <w:color w:val="231F20"/>
          <w:spacing w:val="-6"/>
          <w:w w:val="110"/>
        </w:rPr>
        <w:t> </w:t>
      </w:r>
      <w:r>
        <w:rPr>
          <w:color w:val="231F20"/>
          <w:w w:val="110"/>
        </w:rPr>
        <w:t>naturales</w:t>
      </w:r>
      <w:r>
        <w:rPr>
          <w:color w:val="231F20"/>
          <w:spacing w:val="-6"/>
          <w:w w:val="110"/>
        </w:rPr>
        <w:t> </w:t>
      </w:r>
      <w:r>
        <w:rPr>
          <w:color w:val="231F20"/>
          <w:w w:val="110"/>
        </w:rPr>
        <w:t>clave</w:t>
      </w:r>
      <w:r>
        <w:rPr>
          <w:color w:val="231F20"/>
          <w:spacing w:val="-6"/>
          <w:w w:val="110"/>
        </w:rPr>
        <w:t> </w:t>
      </w:r>
      <w:r>
        <w:rPr>
          <w:color w:val="231F20"/>
          <w:w w:val="110"/>
        </w:rPr>
        <w:t>para</w:t>
      </w:r>
      <w:r>
        <w:rPr>
          <w:color w:val="231F20"/>
          <w:spacing w:val="-6"/>
          <w:w w:val="110"/>
        </w:rPr>
        <w:t> </w:t>
      </w:r>
      <w:r>
        <w:rPr>
          <w:color w:val="231F20"/>
          <w:w w:val="110"/>
        </w:rPr>
        <w:t>las</w:t>
      </w:r>
      <w:r>
        <w:rPr>
          <w:color w:val="231F20"/>
          <w:spacing w:val="-6"/>
          <w:w w:val="110"/>
        </w:rPr>
        <w:t> </w:t>
      </w:r>
      <w:r>
        <w:rPr>
          <w:color w:val="231F20"/>
          <w:w w:val="110"/>
        </w:rPr>
        <w:t>metrópolis,</w:t>
      </w:r>
      <w:r>
        <w:rPr>
          <w:color w:val="231F20"/>
          <w:spacing w:val="-6"/>
          <w:w w:val="110"/>
        </w:rPr>
        <w:t> </w:t>
      </w:r>
      <w:r>
        <w:rPr>
          <w:color w:val="231F20"/>
          <w:w w:val="110"/>
        </w:rPr>
        <w:t>en</w:t>
      </w:r>
      <w:r>
        <w:rPr>
          <w:color w:val="231F20"/>
          <w:spacing w:val="-6"/>
          <w:w w:val="110"/>
        </w:rPr>
        <w:t> </w:t>
      </w:r>
      <w:r>
        <w:rPr>
          <w:color w:val="231F20"/>
          <w:w w:val="110"/>
        </w:rPr>
        <w:t>particular</w:t>
      </w:r>
      <w:r>
        <w:rPr>
          <w:color w:val="231F20"/>
          <w:spacing w:val="-6"/>
          <w:w w:val="110"/>
        </w:rPr>
        <w:t> </w:t>
      </w:r>
      <w:r>
        <w:rPr>
          <w:color w:val="231F20"/>
          <w:w w:val="110"/>
        </w:rPr>
        <w:t>Estados Unidos, queda así evidenciado cuando se analiza el imperialismo económico y geopolítico de esa potencia en la región, como con- tracara y respuesta, entre otros factores, a su creciente dependencia de materiales y energía. De cara a lo indicado, es de subrayarse que tanto la inversión extranjera directa como la deuda estimulan un mayor y más agudo extractivismo. Mientras la inversión extranjera directa busca asegurar la transferencia de excedentes en el menor plazo temporal posible y sin considerar las “externalidades”</w:t>
      </w:r>
      <w:r>
        <w:rPr>
          <w:color w:val="231F20"/>
          <w:spacing w:val="-23"/>
          <w:w w:val="110"/>
        </w:rPr>
        <w:t> </w:t>
      </w:r>
      <w:r>
        <w:rPr>
          <w:color w:val="231F20"/>
          <w:w w:val="110"/>
        </w:rPr>
        <w:t>sociales o ambientales; la deuda externa y sus intereses estimulan una mayor explotación de los recursos propios de la región, es </w:t>
      </w:r>
      <w:r>
        <w:rPr>
          <w:color w:val="231F20"/>
          <w:spacing w:val="-3"/>
          <w:w w:val="110"/>
        </w:rPr>
        <w:t>decir, </w:t>
      </w:r>
      <w:r>
        <w:rPr>
          <w:color w:val="231F20"/>
          <w:w w:val="110"/>
        </w:rPr>
        <w:t>fuerza de trabajo</w:t>
      </w:r>
      <w:r>
        <w:rPr>
          <w:color w:val="231F20"/>
          <w:spacing w:val="-15"/>
          <w:w w:val="110"/>
        </w:rPr>
        <w:t> </w:t>
      </w:r>
      <w:r>
        <w:rPr>
          <w:color w:val="231F20"/>
          <w:w w:val="110"/>
        </w:rPr>
        <w:t>y</w:t>
      </w:r>
      <w:r>
        <w:rPr>
          <w:color w:val="231F20"/>
          <w:spacing w:val="-16"/>
          <w:w w:val="110"/>
        </w:rPr>
        <w:t> </w:t>
      </w:r>
      <w:r>
        <w:rPr>
          <w:color w:val="231F20"/>
          <w:w w:val="110"/>
        </w:rPr>
        <w:t>naturaleza.</w:t>
      </w:r>
      <w:r>
        <w:rPr>
          <w:color w:val="231F20"/>
          <w:spacing w:val="-16"/>
          <w:w w:val="110"/>
        </w:rPr>
        <w:t> </w:t>
      </w:r>
      <w:r>
        <w:rPr>
          <w:color w:val="231F20"/>
          <w:w w:val="110"/>
        </w:rPr>
        <w:t>Así</w:t>
      </w:r>
      <w:r>
        <w:rPr>
          <w:color w:val="231F20"/>
          <w:spacing w:val="-15"/>
          <w:w w:val="110"/>
        </w:rPr>
        <w:t> </w:t>
      </w:r>
      <w:r>
        <w:rPr>
          <w:color w:val="231F20"/>
          <w:w w:val="110"/>
        </w:rPr>
        <w:t>pues,</w:t>
      </w:r>
      <w:r>
        <w:rPr>
          <w:color w:val="231F20"/>
          <w:spacing w:val="-16"/>
          <w:w w:val="110"/>
        </w:rPr>
        <w:t> </w:t>
      </w:r>
      <w:r>
        <w:rPr>
          <w:color w:val="231F20"/>
          <w:w w:val="110"/>
        </w:rPr>
        <w:t>la</w:t>
      </w:r>
      <w:r>
        <w:rPr>
          <w:color w:val="231F20"/>
          <w:spacing w:val="-15"/>
          <w:w w:val="110"/>
        </w:rPr>
        <w:t> </w:t>
      </w:r>
      <w:r>
        <w:rPr>
          <w:color w:val="231F20"/>
          <w:w w:val="110"/>
        </w:rPr>
        <w:t>inversión</w:t>
      </w:r>
      <w:r>
        <w:rPr>
          <w:color w:val="231F20"/>
          <w:spacing w:val="-16"/>
          <w:w w:val="110"/>
        </w:rPr>
        <w:t> </w:t>
      </w:r>
      <w:r>
        <w:rPr>
          <w:color w:val="231F20"/>
          <w:w w:val="110"/>
        </w:rPr>
        <w:t>extranjera</w:t>
      </w:r>
      <w:r>
        <w:rPr>
          <w:color w:val="231F20"/>
          <w:spacing w:val="-15"/>
          <w:w w:val="110"/>
        </w:rPr>
        <w:t> </w:t>
      </w:r>
      <w:r>
        <w:rPr>
          <w:color w:val="231F20"/>
          <w:w w:val="110"/>
        </w:rPr>
        <w:t>directa</w:t>
      </w:r>
      <w:r>
        <w:rPr>
          <w:color w:val="231F20"/>
          <w:spacing w:val="-16"/>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deu- da son mecanismos que afianzan la dependencia y el imperialismo económico</w:t>
      </w:r>
      <w:r>
        <w:rPr>
          <w:color w:val="231F20"/>
          <w:spacing w:val="-12"/>
          <w:w w:val="110"/>
        </w:rPr>
        <w:t> </w:t>
      </w:r>
      <w:r>
        <w:rPr>
          <w:color w:val="231F20"/>
          <w:w w:val="110"/>
        </w:rPr>
        <w:t>en</w:t>
      </w:r>
      <w:r>
        <w:rPr>
          <w:color w:val="231F20"/>
          <w:spacing w:val="-12"/>
          <w:w w:val="110"/>
        </w:rPr>
        <w:t> </w:t>
      </w:r>
      <w:r>
        <w:rPr>
          <w:color w:val="231F20"/>
          <w:w w:val="110"/>
        </w:rPr>
        <w:t>América</w:t>
      </w:r>
      <w:r>
        <w:rPr>
          <w:color w:val="231F20"/>
          <w:spacing w:val="-12"/>
          <w:w w:val="110"/>
        </w:rPr>
        <w:t> </w:t>
      </w:r>
      <w:r>
        <w:rPr>
          <w:color w:val="231F20"/>
          <w:w w:val="110"/>
        </w:rPr>
        <w:t>Latina</w:t>
      </w:r>
      <w:r>
        <w:rPr>
          <w:color w:val="231F20"/>
          <w:spacing w:val="-12"/>
          <w:w w:val="110"/>
        </w:rPr>
        <w:t> </w:t>
      </w:r>
      <w:r>
        <w:rPr>
          <w:color w:val="231F20"/>
          <w:w w:val="110"/>
        </w:rPr>
        <w:t>mientras</w:t>
      </w:r>
      <w:r>
        <w:rPr>
          <w:color w:val="231F20"/>
          <w:spacing w:val="-12"/>
          <w:w w:val="110"/>
        </w:rPr>
        <w:t> </w:t>
      </w:r>
      <w:r>
        <w:rPr>
          <w:color w:val="231F20"/>
          <w:w w:val="110"/>
        </w:rPr>
        <w:t>que</w:t>
      </w:r>
      <w:r>
        <w:rPr>
          <w:color w:val="231F20"/>
          <w:spacing w:val="-12"/>
          <w:w w:val="110"/>
        </w:rPr>
        <w:t> </w:t>
      </w:r>
      <w:r>
        <w:rPr>
          <w:color w:val="231F20"/>
          <w:w w:val="110"/>
        </w:rPr>
        <w:t>los</w:t>
      </w:r>
      <w:r>
        <w:rPr>
          <w:color w:val="231F20"/>
          <w:spacing w:val="-12"/>
          <w:w w:val="110"/>
        </w:rPr>
        <w:t> </w:t>
      </w:r>
      <w:r>
        <w:rPr>
          <w:color w:val="231F20"/>
          <w:w w:val="110"/>
        </w:rPr>
        <w:t>gobiernos</w:t>
      </w:r>
      <w:r>
        <w:rPr>
          <w:color w:val="231F20"/>
          <w:spacing w:val="-12"/>
          <w:w w:val="110"/>
        </w:rPr>
        <w:t> </w:t>
      </w:r>
      <w:r>
        <w:rPr>
          <w:color w:val="231F20"/>
          <w:w w:val="110"/>
        </w:rPr>
        <w:t>regionales, al aceptar este tipo de esquemas subordinantes, hipotecan el futuro  a favor del presente en todos los sentidos pero especialmente en lo que</w:t>
      </w:r>
      <w:r>
        <w:rPr>
          <w:color w:val="231F20"/>
          <w:spacing w:val="-3"/>
          <w:w w:val="110"/>
        </w:rPr>
        <w:t> </w:t>
      </w:r>
      <w:r>
        <w:rPr>
          <w:color w:val="231F20"/>
          <w:w w:val="110"/>
        </w:rPr>
        <w:t>respecta</w:t>
      </w:r>
      <w:r>
        <w:rPr>
          <w:color w:val="231F20"/>
          <w:spacing w:val="-3"/>
          <w:w w:val="110"/>
        </w:rPr>
        <w:t> </w:t>
      </w:r>
      <w:r>
        <w:rPr>
          <w:color w:val="231F20"/>
          <w:w w:val="110"/>
        </w:rPr>
        <w:t>a</w:t>
      </w:r>
      <w:r>
        <w:rPr>
          <w:color w:val="231F20"/>
          <w:spacing w:val="-3"/>
          <w:w w:val="110"/>
        </w:rPr>
        <w:t> </w:t>
      </w:r>
      <w:r>
        <w:rPr>
          <w:color w:val="231F20"/>
          <w:w w:val="110"/>
        </w:rPr>
        <w:t>lo</w:t>
      </w:r>
      <w:r>
        <w:rPr>
          <w:color w:val="231F20"/>
          <w:spacing w:val="-3"/>
          <w:w w:val="110"/>
        </w:rPr>
        <w:t> </w:t>
      </w:r>
      <w:r>
        <w:rPr>
          <w:color w:val="231F20"/>
          <w:w w:val="110"/>
        </w:rPr>
        <w:t>social</w:t>
      </w:r>
      <w:r>
        <w:rPr>
          <w:color w:val="231F20"/>
          <w:spacing w:val="-3"/>
          <w:w w:val="110"/>
        </w:rPr>
        <w:t> </w:t>
      </w:r>
      <w:r>
        <w:rPr>
          <w:color w:val="231F20"/>
          <w:w w:val="110"/>
        </w:rPr>
        <w:t>y</w:t>
      </w:r>
      <w:r>
        <w:rPr>
          <w:color w:val="231F20"/>
          <w:spacing w:val="-3"/>
          <w:w w:val="110"/>
        </w:rPr>
        <w:t> </w:t>
      </w:r>
      <w:r>
        <w:rPr>
          <w:color w:val="231F20"/>
          <w:w w:val="110"/>
        </w:rPr>
        <w:t>lo</w:t>
      </w:r>
      <w:r>
        <w:rPr>
          <w:color w:val="231F20"/>
          <w:spacing w:val="-3"/>
          <w:w w:val="110"/>
        </w:rPr>
        <w:t> </w:t>
      </w:r>
      <w:r>
        <w:rPr>
          <w:color w:val="231F20"/>
          <w:w w:val="110"/>
        </w:rPr>
        <w:t>ambiental.</w:t>
      </w:r>
      <w:r>
        <w:rPr>
          <w:color w:val="231F20"/>
          <w:spacing w:val="-3"/>
          <w:w w:val="110"/>
        </w:rPr>
        <w:t> </w:t>
      </w:r>
      <w:r>
        <w:rPr>
          <w:color w:val="231F20"/>
          <w:w w:val="110"/>
        </w:rPr>
        <w:t>De</w:t>
      </w:r>
      <w:r>
        <w:rPr>
          <w:color w:val="231F20"/>
          <w:spacing w:val="-3"/>
          <w:w w:val="110"/>
        </w:rPr>
        <w:t> </w:t>
      </w:r>
      <w:r>
        <w:rPr>
          <w:color w:val="231F20"/>
          <w:w w:val="110"/>
        </w:rPr>
        <w:t>ahí</w:t>
      </w:r>
      <w:r>
        <w:rPr>
          <w:color w:val="231F20"/>
          <w:spacing w:val="-3"/>
          <w:w w:val="110"/>
        </w:rPr>
        <w:t> </w:t>
      </w:r>
      <w:r>
        <w:rPr>
          <w:color w:val="231F20"/>
          <w:w w:val="110"/>
        </w:rPr>
        <w:t>que</w:t>
      </w:r>
      <w:r>
        <w:rPr>
          <w:color w:val="231F20"/>
          <w:spacing w:val="-3"/>
          <w:w w:val="110"/>
        </w:rPr>
        <w:t> </w:t>
      </w:r>
      <w:r>
        <w:rPr>
          <w:color w:val="231F20"/>
          <w:w w:val="110"/>
        </w:rPr>
        <w:t>la</w:t>
      </w:r>
      <w:r>
        <w:rPr>
          <w:color w:val="231F20"/>
          <w:spacing w:val="-3"/>
          <w:w w:val="110"/>
        </w:rPr>
        <w:t> </w:t>
      </w:r>
      <w:r>
        <w:rPr>
          <w:color w:val="231F20"/>
          <w:w w:val="110"/>
        </w:rPr>
        <w:t>polarización</w:t>
      </w:r>
      <w:r>
        <w:rPr>
          <w:color w:val="231F20"/>
          <w:spacing w:val="-3"/>
          <w:w w:val="110"/>
        </w:rPr>
        <w:t> </w:t>
      </w:r>
      <w:r>
        <w:rPr>
          <w:color w:val="231F20"/>
          <w:w w:val="110"/>
        </w:rPr>
        <w:t>de la riqueza sea muy elevada en la región, especialmente en los países más</w:t>
      </w:r>
      <w:r>
        <w:rPr>
          <w:color w:val="231F20"/>
          <w:spacing w:val="-26"/>
          <w:w w:val="110"/>
        </w:rPr>
        <w:t> </w:t>
      </w:r>
      <w:r>
        <w:rPr>
          <w:color w:val="231F20"/>
          <w:w w:val="110"/>
        </w:rPr>
        <w:t>“ricos”</w:t>
      </w:r>
      <w:r>
        <w:rPr>
          <w:color w:val="231F20"/>
          <w:spacing w:val="-26"/>
          <w:w w:val="110"/>
        </w:rPr>
        <w:t> </w:t>
      </w:r>
      <w:r>
        <w:rPr>
          <w:color w:val="231F20"/>
          <w:w w:val="110"/>
        </w:rPr>
        <w:t>pues</w:t>
      </w:r>
      <w:r>
        <w:rPr>
          <w:color w:val="231F20"/>
          <w:spacing w:val="-26"/>
          <w:w w:val="110"/>
        </w:rPr>
        <w:t> </w:t>
      </w:r>
      <w:r>
        <w:rPr>
          <w:color w:val="231F20"/>
          <w:w w:val="110"/>
        </w:rPr>
        <w:t>en</w:t>
      </w:r>
      <w:r>
        <w:rPr>
          <w:color w:val="231F20"/>
          <w:spacing w:val="-26"/>
          <w:w w:val="110"/>
        </w:rPr>
        <w:t> </w:t>
      </w:r>
      <w:r>
        <w:rPr>
          <w:color w:val="231F20"/>
          <w:w w:val="110"/>
        </w:rPr>
        <w:t>Brasil</w:t>
      </w:r>
      <w:r>
        <w:rPr>
          <w:color w:val="231F20"/>
          <w:spacing w:val="-26"/>
          <w:w w:val="110"/>
        </w:rPr>
        <w:t> </w:t>
      </w:r>
      <w:r>
        <w:rPr>
          <w:color w:val="231F20"/>
          <w:w w:val="110"/>
        </w:rPr>
        <w:t>10%</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más</w:t>
      </w:r>
      <w:r>
        <w:rPr>
          <w:color w:val="231F20"/>
          <w:spacing w:val="-26"/>
          <w:w w:val="110"/>
        </w:rPr>
        <w:t> </w:t>
      </w:r>
      <w:r>
        <w:rPr>
          <w:color w:val="231F20"/>
          <w:w w:val="110"/>
        </w:rPr>
        <w:t>acomodados</w:t>
      </w:r>
      <w:r>
        <w:rPr>
          <w:color w:val="231F20"/>
          <w:spacing w:val="-26"/>
          <w:w w:val="110"/>
        </w:rPr>
        <w:t> </w:t>
      </w:r>
      <w:r>
        <w:rPr>
          <w:color w:val="231F20"/>
          <w:w w:val="110"/>
        </w:rPr>
        <w:t>acapara</w:t>
      </w:r>
      <w:r>
        <w:rPr>
          <w:color w:val="231F20"/>
          <w:spacing w:val="-26"/>
          <w:w w:val="110"/>
        </w:rPr>
        <w:t> </w:t>
      </w:r>
      <w:r>
        <w:rPr>
          <w:color w:val="231F20"/>
          <w:w w:val="110"/>
        </w:rPr>
        <w:t>50.6% de</w:t>
      </w:r>
      <w:r>
        <w:rPr>
          <w:color w:val="231F20"/>
          <w:spacing w:val="-3"/>
          <w:w w:val="110"/>
        </w:rPr>
        <w:t> </w:t>
      </w:r>
      <w:r>
        <w:rPr>
          <w:color w:val="231F20"/>
          <w:w w:val="110"/>
        </w:rPr>
        <w:t>los</w:t>
      </w:r>
      <w:r>
        <w:rPr>
          <w:color w:val="231F20"/>
          <w:spacing w:val="-3"/>
          <w:w w:val="110"/>
        </w:rPr>
        <w:t> </w:t>
      </w:r>
      <w:r>
        <w:rPr>
          <w:color w:val="231F20"/>
          <w:w w:val="110"/>
        </w:rPr>
        <w:t>ingresos</w:t>
      </w:r>
      <w:r>
        <w:rPr>
          <w:color w:val="231F20"/>
          <w:spacing w:val="-3"/>
          <w:w w:val="110"/>
        </w:rPr>
        <w:t> </w:t>
      </w:r>
      <w:r>
        <w:rPr>
          <w:color w:val="231F20"/>
          <w:w w:val="110"/>
        </w:rPr>
        <w:t>frente</w:t>
      </w:r>
      <w:r>
        <w:rPr>
          <w:color w:val="231F20"/>
          <w:spacing w:val="-3"/>
          <w:w w:val="110"/>
        </w:rPr>
        <w:t> </w:t>
      </w:r>
      <w:r>
        <w:rPr>
          <w:color w:val="231F20"/>
          <w:w w:val="110"/>
        </w:rPr>
        <w:t>al</w:t>
      </w:r>
      <w:r>
        <w:rPr>
          <w:color w:val="231F20"/>
          <w:spacing w:val="-3"/>
          <w:w w:val="110"/>
        </w:rPr>
        <w:t> </w:t>
      </w:r>
      <w:r>
        <w:rPr>
          <w:color w:val="231F20"/>
          <w:w w:val="110"/>
        </w:rPr>
        <w:t>0.8%</w:t>
      </w:r>
      <w:r>
        <w:rPr>
          <w:color w:val="231F20"/>
          <w:spacing w:val="-3"/>
          <w:w w:val="110"/>
        </w:rPr>
        <w:t> </w:t>
      </w:r>
      <w:r>
        <w:rPr>
          <w:color w:val="231F20"/>
          <w:w w:val="110"/>
        </w:rPr>
        <w:t>que</w:t>
      </w:r>
      <w:r>
        <w:rPr>
          <w:color w:val="231F20"/>
          <w:spacing w:val="-3"/>
          <w:w w:val="110"/>
        </w:rPr>
        <w:t> </w:t>
      </w:r>
      <w:r>
        <w:rPr>
          <w:color w:val="231F20"/>
          <w:w w:val="110"/>
        </w:rPr>
        <w:t>recibe</w:t>
      </w:r>
      <w:r>
        <w:rPr>
          <w:color w:val="231F20"/>
          <w:spacing w:val="-3"/>
          <w:w w:val="110"/>
        </w:rPr>
        <w:t> </w:t>
      </w:r>
      <w:r>
        <w:rPr>
          <w:color w:val="231F20"/>
          <w:w w:val="110"/>
        </w:rPr>
        <w:t>el</w:t>
      </w:r>
      <w:r>
        <w:rPr>
          <w:color w:val="231F20"/>
          <w:spacing w:val="-3"/>
          <w:w w:val="110"/>
        </w:rPr>
        <w:t> </w:t>
      </w:r>
      <w:r>
        <w:rPr>
          <w:color w:val="231F20"/>
          <w:w w:val="110"/>
        </w:rPr>
        <w:t>10%</w:t>
      </w:r>
      <w:r>
        <w:rPr>
          <w:color w:val="231F20"/>
          <w:spacing w:val="-3"/>
          <w:w w:val="110"/>
        </w:rPr>
        <w:t> </w:t>
      </w:r>
      <w:r>
        <w:rPr>
          <w:color w:val="231F20"/>
          <w:w w:val="110"/>
        </w:rPr>
        <w:t>más</w:t>
      </w:r>
      <w:r>
        <w:rPr>
          <w:color w:val="231F20"/>
          <w:spacing w:val="-3"/>
          <w:w w:val="110"/>
        </w:rPr>
        <w:t> </w:t>
      </w:r>
      <w:r>
        <w:rPr>
          <w:color w:val="231F20"/>
          <w:w w:val="110"/>
        </w:rPr>
        <w:t>pobre</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po- blación.</w:t>
      </w:r>
      <w:r>
        <w:rPr>
          <w:color w:val="231F20"/>
          <w:spacing w:val="-10"/>
          <w:w w:val="110"/>
        </w:rPr>
        <w:t> </w:t>
      </w:r>
      <w:r>
        <w:rPr>
          <w:color w:val="231F20"/>
          <w:w w:val="110"/>
        </w:rPr>
        <w:t>En</w:t>
      </w:r>
      <w:r>
        <w:rPr>
          <w:color w:val="231F20"/>
          <w:spacing w:val="-10"/>
          <w:w w:val="110"/>
        </w:rPr>
        <w:t> </w:t>
      </w:r>
      <w:r>
        <w:rPr>
          <w:color w:val="231F20"/>
          <w:w w:val="110"/>
        </w:rPr>
        <w:t>México</w:t>
      </w:r>
      <w:r>
        <w:rPr>
          <w:color w:val="231F20"/>
          <w:spacing w:val="-10"/>
          <w:w w:val="110"/>
        </w:rPr>
        <w:t> </w:t>
      </w:r>
      <w:r>
        <w:rPr>
          <w:color w:val="231F20"/>
          <w:w w:val="110"/>
        </w:rPr>
        <w:t>el</w:t>
      </w:r>
      <w:r>
        <w:rPr>
          <w:color w:val="231F20"/>
          <w:spacing w:val="-10"/>
          <w:w w:val="110"/>
        </w:rPr>
        <w:t> </w:t>
      </w:r>
      <w:r>
        <w:rPr>
          <w:color w:val="231F20"/>
          <w:w w:val="110"/>
        </w:rPr>
        <w:t>décimo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más</w:t>
      </w:r>
      <w:r>
        <w:rPr>
          <w:color w:val="231F20"/>
          <w:spacing w:val="-10"/>
          <w:w w:val="110"/>
        </w:rPr>
        <w:t> </w:t>
      </w:r>
      <w:r>
        <w:rPr>
          <w:color w:val="231F20"/>
          <w:w w:val="110"/>
        </w:rPr>
        <w:t>acaudalado</w:t>
      </w:r>
      <w:r>
        <w:rPr>
          <w:color w:val="231F20"/>
          <w:spacing w:val="-10"/>
          <w:w w:val="110"/>
        </w:rPr>
        <w:t> </w:t>
      </w:r>
      <w:r>
        <w:rPr>
          <w:color w:val="231F20"/>
          <w:w w:val="110"/>
        </w:rPr>
        <w:t>recibe</w:t>
      </w:r>
    </w:p>
    <w:p>
      <w:pPr>
        <w:spacing w:after="0" w:line="261" w:lineRule="auto"/>
        <w:jc w:val="both"/>
        <w:sectPr>
          <w:headerReference w:type="even" r:id="rId407"/>
          <w:headerReference w:type="default" r:id="rId408"/>
          <w:pgSz w:w="7640" w:h="11900"/>
          <w:pgMar w:header="672" w:footer="0" w:top="860" w:bottom="280" w:left="780" w:right="640"/>
        </w:sectPr>
      </w:pPr>
    </w:p>
    <w:p>
      <w:pPr>
        <w:pStyle w:val="BodyText"/>
        <w:spacing w:before="8"/>
        <w:rPr>
          <w:sz w:val="8"/>
        </w:rPr>
      </w:pPr>
    </w:p>
    <w:p>
      <w:pPr>
        <w:pStyle w:val="BodyText"/>
        <w:spacing w:line="261" w:lineRule="auto" w:before="67"/>
        <w:ind w:left="100" w:right="117"/>
        <w:jc w:val="both"/>
        <w:rPr>
          <w:sz w:val="13"/>
        </w:rPr>
      </w:pPr>
      <w:r>
        <w:rPr>
          <w:color w:val="231F20"/>
          <w:w w:val="110"/>
        </w:rPr>
        <w:t>42.2% de los ingresos, frente al 1.3% del mismo porcentaje de los más pobres. </w:t>
      </w:r>
      <w:r>
        <w:rPr>
          <w:color w:val="231F20"/>
        </w:rPr>
        <w:t>Y </w:t>
      </w:r>
      <w:r>
        <w:rPr>
          <w:color w:val="231F20"/>
          <w:w w:val="110"/>
        </w:rPr>
        <w:t>en Argentina, 41.7% de ingresos es acaparado por el 10%</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más</w:t>
      </w:r>
      <w:r>
        <w:rPr>
          <w:color w:val="231F20"/>
          <w:spacing w:val="-11"/>
          <w:w w:val="110"/>
        </w:rPr>
        <w:t> </w:t>
      </w:r>
      <w:r>
        <w:rPr>
          <w:color w:val="231F20"/>
          <w:w w:val="110"/>
        </w:rPr>
        <w:t>ricos,</w:t>
      </w:r>
      <w:r>
        <w:rPr>
          <w:color w:val="231F20"/>
          <w:spacing w:val="-11"/>
          <w:w w:val="110"/>
        </w:rPr>
        <w:t> </w:t>
      </w:r>
      <w:r>
        <w:rPr>
          <w:color w:val="231F20"/>
          <w:w w:val="110"/>
        </w:rPr>
        <w:t>mientras</w:t>
      </w:r>
      <w:r>
        <w:rPr>
          <w:color w:val="231F20"/>
          <w:spacing w:val="-11"/>
          <w:w w:val="110"/>
        </w:rPr>
        <w:t> </w:t>
      </w:r>
      <w:r>
        <w:rPr>
          <w:color w:val="231F20"/>
          <w:w w:val="110"/>
        </w:rPr>
        <w:t>que</w:t>
      </w:r>
      <w:r>
        <w:rPr>
          <w:color w:val="231F20"/>
          <w:spacing w:val="-11"/>
          <w:w w:val="110"/>
        </w:rPr>
        <w:t> </w:t>
      </w:r>
      <w:r>
        <w:rPr>
          <w:color w:val="231F20"/>
          <w:w w:val="110"/>
        </w:rPr>
        <w:t>1.1%</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ingresos</w:t>
      </w:r>
      <w:r>
        <w:rPr>
          <w:color w:val="231F20"/>
          <w:spacing w:val="-11"/>
          <w:w w:val="110"/>
        </w:rPr>
        <w:t> </w:t>
      </w:r>
      <w:r>
        <w:rPr>
          <w:color w:val="231F20"/>
          <w:w w:val="110"/>
        </w:rPr>
        <w:t>corresponde al 10% más pobre de la</w:t>
      </w:r>
      <w:r>
        <w:rPr>
          <w:color w:val="231F20"/>
          <w:spacing w:val="40"/>
          <w:w w:val="110"/>
        </w:rPr>
        <w:t> </w:t>
      </w:r>
      <w:r>
        <w:rPr>
          <w:color w:val="231F20"/>
          <w:w w:val="110"/>
        </w:rPr>
        <w:t>población.</w:t>
      </w:r>
      <w:r>
        <w:rPr>
          <w:color w:val="231F20"/>
          <w:w w:val="110"/>
          <w:position w:val="6"/>
          <w:sz w:val="13"/>
        </w:rPr>
        <w:t>7</w:t>
      </w:r>
    </w:p>
    <w:p>
      <w:pPr>
        <w:pStyle w:val="BodyText"/>
        <w:spacing w:line="261" w:lineRule="auto"/>
        <w:ind w:left="100" w:right="115" w:firstLine="240"/>
        <w:jc w:val="both"/>
      </w:pPr>
      <w:r>
        <w:rPr>
          <w:color w:val="231F20"/>
          <w:w w:val="110"/>
        </w:rPr>
        <w:t>La polarización y las políticas económicas impulsadas por la oli- garquía latinoamericana no puede verse entonces más que como escenario </w:t>
      </w:r>
      <w:r>
        <w:rPr>
          <w:i/>
          <w:color w:val="231F20"/>
          <w:w w:val="110"/>
        </w:rPr>
        <w:t>democida, </w:t>
      </w:r>
      <w:r>
        <w:rPr>
          <w:color w:val="231F20"/>
          <w:w w:val="110"/>
        </w:rPr>
        <w:t>pues condena a millones a la subsistencia o a</w:t>
      </w:r>
      <w:r>
        <w:rPr>
          <w:color w:val="231F20"/>
          <w:spacing w:val="-29"/>
          <w:w w:val="110"/>
        </w:rPr>
        <w:t> </w:t>
      </w:r>
      <w:r>
        <w:rPr>
          <w:color w:val="231F20"/>
          <w:w w:val="110"/>
        </w:rPr>
        <w:t>la muerte al tiempo que estimula la devastación del entorno natural   de nuestros territorios y con ello, progresivamente todo marco de referencia de vida posible en</w:t>
      </w:r>
      <w:r>
        <w:rPr>
          <w:color w:val="231F20"/>
          <w:spacing w:val="15"/>
          <w:w w:val="110"/>
        </w:rPr>
        <w:t> </w:t>
      </w:r>
      <w:r>
        <w:rPr>
          <w:color w:val="231F20"/>
          <w:w w:val="110"/>
        </w:rPr>
        <w:t>ésos.</w:t>
      </w:r>
    </w:p>
    <w:p>
      <w:pPr>
        <w:pStyle w:val="BodyText"/>
        <w:spacing w:line="261" w:lineRule="auto"/>
        <w:ind w:left="100" w:right="117" w:firstLine="240"/>
        <w:jc w:val="right"/>
      </w:pPr>
      <w:r>
        <w:rPr>
          <w:color w:val="231F20"/>
          <w:w w:val="110"/>
        </w:rPr>
        <w:t>Ahora</w:t>
      </w:r>
      <w:r>
        <w:rPr>
          <w:color w:val="231F20"/>
          <w:spacing w:val="-12"/>
          <w:w w:val="110"/>
        </w:rPr>
        <w:t> </w:t>
      </w:r>
      <w:r>
        <w:rPr>
          <w:color w:val="231F20"/>
          <w:w w:val="110"/>
        </w:rPr>
        <w:t>bien,</w:t>
      </w:r>
      <w:r>
        <w:rPr>
          <w:color w:val="231F20"/>
          <w:spacing w:val="-12"/>
          <w:w w:val="110"/>
        </w:rPr>
        <w:t> </w:t>
      </w:r>
      <w:r>
        <w:rPr>
          <w:color w:val="231F20"/>
          <w:w w:val="110"/>
        </w:rPr>
        <w:t>hablar</w:t>
      </w:r>
      <w:r>
        <w:rPr>
          <w:color w:val="231F20"/>
          <w:spacing w:val="-12"/>
          <w:w w:val="110"/>
        </w:rPr>
        <w:t> </w:t>
      </w:r>
      <w:r>
        <w:rPr>
          <w:color w:val="231F20"/>
          <w:w w:val="110"/>
        </w:rPr>
        <w:t>de</w:t>
      </w:r>
      <w:r>
        <w:rPr>
          <w:color w:val="231F20"/>
          <w:spacing w:val="-12"/>
          <w:w w:val="110"/>
        </w:rPr>
        <w:t> </w:t>
      </w:r>
      <w:r>
        <w:rPr>
          <w:color w:val="231F20"/>
          <w:w w:val="110"/>
        </w:rPr>
        <w:t>otro</w:t>
      </w:r>
      <w:r>
        <w:rPr>
          <w:color w:val="231F20"/>
          <w:spacing w:val="-12"/>
          <w:w w:val="110"/>
        </w:rPr>
        <w:t> </w:t>
      </w:r>
      <w:r>
        <w:rPr>
          <w:color w:val="231F20"/>
          <w:w w:val="110"/>
        </w:rPr>
        <w:t>tipo</w:t>
      </w:r>
      <w:r>
        <w:rPr>
          <w:color w:val="231F20"/>
          <w:spacing w:val="-12"/>
          <w:w w:val="110"/>
        </w:rPr>
        <w:t> </w:t>
      </w:r>
      <w:r>
        <w:rPr>
          <w:color w:val="231F20"/>
          <w:w w:val="110"/>
        </w:rPr>
        <w:t>de</w:t>
      </w:r>
      <w:r>
        <w:rPr>
          <w:color w:val="231F20"/>
          <w:spacing w:val="-12"/>
          <w:w w:val="110"/>
        </w:rPr>
        <w:t> </w:t>
      </w:r>
      <w:r>
        <w:rPr>
          <w:color w:val="231F20"/>
          <w:w w:val="110"/>
        </w:rPr>
        <w:t>desarrollo,</w:t>
      </w:r>
      <w:r>
        <w:rPr>
          <w:color w:val="231F20"/>
          <w:spacing w:val="-12"/>
          <w:w w:val="110"/>
        </w:rPr>
        <w:t> </w:t>
      </w:r>
      <w:r>
        <w:rPr>
          <w:color w:val="231F20"/>
          <w:w w:val="110"/>
        </w:rPr>
        <w:t>distinto</w:t>
      </w:r>
      <w:r>
        <w:rPr>
          <w:color w:val="231F20"/>
          <w:spacing w:val="-12"/>
          <w:w w:val="110"/>
        </w:rPr>
        <w:t> </w:t>
      </w:r>
      <w:r>
        <w:rPr>
          <w:color w:val="231F20"/>
          <w:w w:val="110"/>
        </w:rPr>
        <w:t>al</w:t>
      </w:r>
      <w:r>
        <w:rPr>
          <w:color w:val="231F20"/>
          <w:spacing w:val="-12"/>
          <w:w w:val="110"/>
        </w:rPr>
        <w:t> </w:t>
      </w:r>
      <w:r>
        <w:rPr>
          <w:color w:val="231F20"/>
          <w:spacing w:val="-2"/>
          <w:w w:val="110"/>
        </w:rPr>
        <w:t>capitalista,</w:t>
      </w:r>
      <w:r>
        <w:rPr>
          <w:color w:val="231F20"/>
          <w:spacing w:val="-2"/>
          <w:w w:val="106"/>
        </w:rPr>
        <w:t> </w:t>
      </w:r>
      <w:r>
        <w:rPr>
          <w:color w:val="231F20"/>
          <w:w w:val="110"/>
        </w:rPr>
        <w:t>obliga, primero que nada, a tratar con mayor detalle la</w:t>
      </w:r>
      <w:r>
        <w:rPr>
          <w:color w:val="231F20"/>
          <w:spacing w:val="47"/>
          <w:w w:val="110"/>
        </w:rPr>
        <w:t> </w:t>
      </w:r>
      <w:r>
        <w:rPr>
          <w:color w:val="231F20"/>
          <w:w w:val="110"/>
        </w:rPr>
        <w:t>cuestión</w:t>
      </w:r>
      <w:r>
        <w:rPr>
          <w:color w:val="231F20"/>
          <w:spacing w:val="10"/>
          <w:w w:val="110"/>
        </w:rPr>
        <w:t> </w:t>
      </w:r>
      <w:r>
        <w:rPr>
          <w:color w:val="231F20"/>
          <w:spacing w:val="-2"/>
          <w:w w:val="110"/>
        </w:rPr>
        <w:t>del</w:t>
      </w:r>
      <w:r>
        <w:rPr>
          <w:color w:val="231F20"/>
          <w:spacing w:val="-2"/>
          <w:w w:val="111"/>
        </w:rPr>
        <w:t> </w:t>
      </w:r>
      <w:r>
        <w:rPr>
          <w:color w:val="231F20"/>
          <w:w w:val="110"/>
        </w:rPr>
        <w:t>desarrollismo. Como es bien sabido, su noción</w:t>
      </w:r>
      <w:r>
        <w:rPr>
          <w:color w:val="231F20"/>
          <w:spacing w:val="30"/>
          <w:w w:val="110"/>
        </w:rPr>
        <w:t> </w:t>
      </w:r>
      <w:r>
        <w:rPr>
          <w:color w:val="231F20"/>
          <w:w w:val="110"/>
        </w:rPr>
        <w:t>contemporánea</w:t>
      </w:r>
      <w:r>
        <w:rPr>
          <w:color w:val="231F20"/>
          <w:spacing w:val="27"/>
          <w:w w:val="110"/>
        </w:rPr>
        <w:t> </w:t>
      </w:r>
      <w:r>
        <w:rPr>
          <w:color w:val="231F20"/>
          <w:w w:val="110"/>
        </w:rPr>
        <w:t>se</w:t>
      </w:r>
      <w:r>
        <w:rPr>
          <w:color w:val="231F20"/>
          <w:spacing w:val="-1"/>
          <w:w w:val="103"/>
        </w:rPr>
        <w:t> </w:t>
      </w:r>
      <w:r>
        <w:rPr>
          <w:color w:val="231F20"/>
          <w:w w:val="110"/>
        </w:rPr>
        <w:t>asocia al progreso material y como tal, es</w:t>
      </w:r>
      <w:r>
        <w:rPr>
          <w:color w:val="231F20"/>
          <w:spacing w:val="-3"/>
          <w:w w:val="110"/>
        </w:rPr>
        <w:t> </w:t>
      </w:r>
      <w:r>
        <w:rPr>
          <w:color w:val="231F20"/>
          <w:w w:val="110"/>
        </w:rPr>
        <w:t>automáticamente</w:t>
      </w:r>
      <w:r>
        <w:rPr>
          <w:color w:val="231F20"/>
          <w:spacing w:val="-1"/>
          <w:w w:val="110"/>
        </w:rPr>
        <w:t> </w:t>
      </w:r>
      <w:r>
        <w:rPr>
          <w:color w:val="231F20"/>
          <w:w w:val="110"/>
        </w:rPr>
        <w:t>asumido</w:t>
      </w:r>
      <w:r>
        <w:rPr>
          <w:color w:val="231F20"/>
          <w:spacing w:val="-2"/>
          <w:w w:val="109"/>
        </w:rPr>
        <w:t> </w:t>
      </w:r>
      <w:r>
        <w:rPr>
          <w:color w:val="231F20"/>
          <w:w w:val="110"/>
        </w:rPr>
        <w:t>como algo bueno y deseable. </w:t>
      </w:r>
      <w:r>
        <w:rPr>
          <w:color w:val="231F20"/>
          <w:spacing w:val="-8"/>
          <w:w w:val="110"/>
        </w:rPr>
        <w:t>Tal </w:t>
      </w:r>
      <w:r>
        <w:rPr>
          <w:color w:val="231F20"/>
          <w:w w:val="110"/>
        </w:rPr>
        <w:t>progreso material toma</w:t>
      </w:r>
      <w:r>
        <w:rPr>
          <w:color w:val="231F20"/>
          <w:spacing w:val="47"/>
          <w:w w:val="110"/>
        </w:rPr>
        <w:t> </w:t>
      </w:r>
      <w:r>
        <w:rPr>
          <w:color w:val="231F20"/>
          <w:w w:val="110"/>
        </w:rPr>
        <w:t>forma</w:t>
      </w:r>
      <w:r>
        <w:rPr>
          <w:color w:val="231F20"/>
          <w:spacing w:val="10"/>
          <w:w w:val="110"/>
        </w:rPr>
        <w:t> </w:t>
      </w:r>
      <w:r>
        <w:rPr>
          <w:color w:val="231F20"/>
          <w:spacing w:val="-2"/>
          <w:w w:val="110"/>
        </w:rPr>
        <w:t>por</w:t>
      </w:r>
      <w:r>
        <w:rPr>
          <w:color w:val="231F20"/>
          <w:spacing w:val="-2"/>
          <w:w w:val="115"/>
        </w:rPr>
        <w:t> </w:t>
      </w:r>
      <w:r>
        <w:rPr>
          <w:color w:val="231F20"/>
          <w:w w:val="110"/>
        </w:rPr>
        <w:t>la</w:t>
      </w:r>
      <w:r>
        <w:rPr>
          <w:color w:val="231F20"/>
          <w:spacing w:val="28"/>
          <w:w w:val="110"/>
        </w:rPr>
        <w:t> </w:t>
      </w:r>
      <w:r>
        <w:rPr>
          <w:color w:val="231F20"/>
          <w:w w:val="110"/>
        </w:rPr>
        <w:t>vía</w:t>
      </w:r>
      <w:r>
        <w:rPr>
          <w:color w:val="231F20"/>
          <w:spacing w:val="28"/>
          <w:w w:val="110"/>
        </w:rPr>
        <w:t> </w:t>
      </w:r>
      <w:r>
        <w:rPr>
          <w:color w:val="231F20"/>
          <w:w w:val="110"/>
        </w:rPr>
        <w:t>del</w:t>
      </w:r>
      <w:r>
        <w:rPr>
          <w:color w:val="231F20"/>
          <w:spacing w:val="28"/>
          <w:w w:val="110"/>
        </w:rPr>
        <w:t> </w:t>
      </w:r>
      <w:r>
        <w:rPr>
          <w:color w:val="231F20"/>
          <w:w w:val="110"/>
        </w:rPr>
        <w:t>desarrollo</w:t>
      </w:r>
      <w:r>
        <w:rPr>
          <w:color w:val="231F20"/>
          <w:spacing w:val="28"/>
          <w:w w:val="110"/>
        </w:rPr>
        <w:t> </w:t>
      </w:r>
      <w:r>
        <w:rPr>
          <w:color w:val="231F20"/>
          <w:w w:val="110"/>
        </w:rPr>
        <w:t>económico</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presenta</w:t>
      </w:r>
      <w:r>
        <w:rPr>
          <w:color w:val="231F20"/>
          <w:spacing w:val="28"/>
          <w:w w:val="110"/>
        </w:rPr>
        <w:t> </w:t>
      </w:r>
      <w:r>
        <w:rPr>
          <w:color w:val="231F20"/>
          <w:w w:val="110"/>
        </w:rPr>
        <w:t>como</w:t>
      </w:r>
      <w:r>
        <w:rPr>
          <w:color w:val="231F20"/>
          <w:spacing w:val="28"/>
          <w:w w:val="110"/>
        </w:rPr>
        <w:t> </w:t>
      </w:r>
      <w:r>
        <w:rPr>
          <w:color w:val="231F20"/>
          <w:w w:val="110"/>
        </w:rPr>
        <w:t>plataforma</w:t>
      </w:r>
      <w:r>
        <w:rPr>
          <w:color w:val="231F20"/>
          <w:w w:val="108"/>
        </w:rPr>
        <w:t> </w:t>
      </w:r>
      <w:r>
        <w:rPr>
          <w:color w:val="231F20"/>
          <w:w w:val="110"/>
        </w:rPr>
        <w:t>generadora de empleo y riqueza, misma que por medio</w:t>
      </w:r>
      <w:r>
        <w:rPr>
          <w:color w:val="231F20"/>
          <w:spacing w:val="19"/>
          <w:w w:val="110"/>
        </w:rPr>
        <w:t> </w:t>
      </w:r>
      <w:r>
        <w:rPr>
          <w:color w:val="231F20"/>
          <w:w w:val="110"/>
        </w:rPr>
        <w:t>del</w:t>
      </w:r>
      <w:r>
        <w:rPr>
          <w:color w:val="231F20"/>
          <w:spacing w:val="2"/>
          <w:w w:val="110"/>
        </w:rPr>
        <w:t> </w:t>
      </w:r>
      <w:r>
        <w:rPr>
          <w:color w:val="231F20"/>
          <w:w w:val="110"/>
        </w:rPr>
        <w:t>mercado</w:t>
      </w:r>
      <w:r>
        <w:rPr>
          <w:color w:val="231F20"/>
          <w:spacing w:val="-2"/>
          <w:w w:val="111"/>
        </w:rPr>
        <w:t> </w:t>
      </w:r>
      <w:r>
        <w:rPr>
          <w:color w:val="231F20"/>
          <w:w w:val="110"/>
        </w:rPr>
        <w:t>y en ocasiones por la vía de mecanismos de Estado, es en una</w:t>
      </w:r>
      <w:r>
        <w:rPr>
          <w:color w:val="231F20"/>
          <w:spacing w:val="10"/>
          <w:w w:val="110"/>
        </w:rPr>
        <w:t> </w:t>
      </w:r>
      <w:r>
        <w:rPr>
          <w:color w:val="231F20"/>
          <w:w w:val="110"/>
        </w:rPr>
        <w:t>u otra</w:t>
      </w:r>
      <w:r>
        <w:rPr>
          <w:color w:val="231F20"/>
          <w:spacing w:val="-2"/>
          <w:w w:val="113"/>
        </w:rPr>
        <w:t> </w:t>
      </w:r>
      <w:r>
        <w:rPr>
          <w:color w:val="231F20"/>
          <w:w w:val="110"/>
        </w:rPr>
        <w:t>medida socialmente distribuida. Desde tal</w:t>
      </w:r>
      <w:r>
        <w:rPr>
          <w:color w:val="231F20"/>
          <w:spacing w:val="-1"/>
          <w:w w:val="110"/>
        </w:rPr>
        <w:t> </w:t>
      </w:r>
      <w:r>
        <w:rPr>
          <w:color w:val="231F20"/>
          <w:w w:val="110"/>
        </w:rPr>
        <w:t>apreciación,</w:t>
      </w:r>
      <w:r>
        <w:rPr>
          <w:color w:val="231F20"/>
          <w:spacing w:val="-1"/>
          <w:w w:val="110"/>
        </w:rPr>
        <w:t> </w:t>
      </w:r>
      <w:r>
        <w:rPr>
          <w:color w:val="231F20"/>
          <w:w w:val="110"/>
        </w:rPr>
        <w:t>ampliamente</w:t>
      </w:r>
      <w:r>
        <w:rPr>
          <w:color w:val="231F20"/>
          <w:spacing w:val="-2"/>
          <w:w w:val="111"/>
        </w:rPr>
        <w:t> </w:t>
      </w:r>
      <w:r>
        <w:rPr>
          <w:color w:val="231F20"/>
          <w:w w:val="110"/>
        </w:rPr>
        <w:t>difundida</w:t>
      </w:r>
      <w:r>
        <w:rPr>
          <w:color w:val="231F20"/>
          <w:spacing w:val="-8"/>
          <w:w w:val="110"/>
        </w:rPr>
        <w:t> </w:t>
      </w:r>
      <w:r>
        <w:rPr>
          <w:color w:val="231F20"/>
          <w:w w:val="110"/>
        </w:rPr>
        <w:t>desde</w:t>
      </w:r>
      <w:r>
        <w:rPr>
          <w:color w:val="231F20"/>
          <w:spacing w:val="-8"/>
          <w:w w:val="110"/>
        </w:rPr>
        <w:t> </w:t>
      </w:r>
      <w:r>
        <w:rPr>
          <w:color w:val="231F20"/>
          <w:w w:val="110"/>
        </w:rPr>
        <w:t>y</w:t>
      </w:r>
      <w:r>
        <w:rPr>
          <w:color w:val="231F20"/>
          <w:spacing w:val="-8"/>
          <w:w w:val="110"/>
        </w:rPr>
        <w:t> </w:t>
      </w:r>
      <w:r>
        <w:rPr>
          <w:color w:val="231F20"/>
          <w:w w:val="110"/>
        </w:rPr>
        <w:t>entre</w:t>
      </w:r>
      <w:r>
        <w:rPr>
          <w:color w:val="231F20"/>
          <w:spacing w:val="-8"/>
          <w:w w:val="110"/>
        </w:rPr>
        <w:t> </w:t>
      </w:r>
      <w:r>
        <w:rPr>
          <w:color w:val="231F20"/>
          <w:w w:val="110"/>
        </w:rPr>
        <w:t>las</w:t>
      </w:r>
      <w:r>
        <w:rPr>
          <w:color w:val="231F20"/>
          <w:spacing w:val="-8"/>
          <w:w w:val="110"/>
        </w:rPr>
        <w:t> </w:t>
      </w:r>
      <w:r>
        <w:rPr>
          <w:color w:val="231F20"/>
          <w:w w:val="110"/>
        </w:rPr>
        <w:t>clases</w:t>
      </w:r>
      <w:r>
        <w:rPr>
          <w:color w:val="231F20"/>
          <w:spacing w:val="-8"/>
          <w:w w:val="110"/>
        </w:rPr>
        <w:t> </w:t>
      </w:r>
      <w:r>
        <w:rPr>
          <w:color w:val="231F20"/>
          <w:w w:val="110"/>
        </w:rPr>
        <w:t>de</w:t>
      </w:r>
      <w:r>
        <w:rPr>
          <w:color w:val="231F20"/>
          <w:spacing w:val="-8"/>
          <w:w w:val="110"/>
        </w:rPr>
        <w:t> </w:t>
      </w:r>
      <w:r>
        <w:rPr>
          <w:color w:val="231F20"/>
          <w:spacing w:val="-5"/>
          <w:w w:val="110"/>
        </w:rPr>
        <w:t>poder,</w:t>
      </w:r>
      <w:r>
        <w:rPr>
          <w:color w:val="231F20"/>
          <w:spacing w:val="-8"/>
          <w:w w:val="110"/>
        </w:rPr>
        <w:t> </w:t>
      </w:r>
      <w:r>
        <w:rPr>
          <w:color w:val="231F20"/>
          <w:w w:val="110"/>
        </w:rPr>
        <w:t>incluyendo</w:t>
      </w:r>
      <w:r>
        <w:rPr>
          <w:color w:val="231F20"/>
          <w:spacing w:val="-8"/>
          <w:w w:val="110"/>
        </w:rPr>
        <w:t> </w:t>
      </w:r>
      <w:r>
        <w:rPr>
          <w:color w:val="231F20"/>
          <w:w w:val="110"/>
        </w:rPr>
        <w:t>también</w:t>
      </w:r>
      <w:r>
        <w:rPr>
          <w:color w:val="231F20"/>
          <w:spacing w:val="-8"/>
          <w:w w:val="110"/>
        </w:rPr>
        <w:t> </w:t>
      </w:r>
      <w:r>
        <w:rPr>
          <w:color w:val="231F20"/>
          <w:w w:val="110"/>
        </w:rPr>
        <w:t>a</w:t>
      </w:r>
      <w:r>
        <w:rPr>
          <w:color w:val="231F20"/>
          <w:spacing w:val="-8"/>
          <w:w w:val="110"/>
        </w:rPr>
        <w:t> </w:t>
      </w:r>
      <w:r>
        <w:rPr>
          <w:color w:val="231F20"/>
          <w:w w:val="110"/>
        </w:rPr>
        <w:t>va-</w:t>
      </w:r>
      <w:r>
        <w:rPr>
          <w:color w:val="231F20"/>
          <w:w w:val="72"/>
        </w:rPr>
        <w:t> </w:t>
      </w:r>
      <w:r>
        <w:rPr>
          <w:color w:val="231F20"/>
          <w:w w:val="110"/>
        </w:rPr>
        <w:t>rios</w:t>
      </w:r>
      <w:r>
        <w:rPr>
          <w:color w:val="231F20"/>
          <w:spacing w:val="-16"/>
          <w:w w:val="110"/>
        </w:rPr>
        <w:t> </w:t>
      </w:r>
      <w:r>
        <w:rPr>
          <w:color w:val="231F20"/>
          <w:w w:val="110"/>
        </w:rPr>
        <w:t>sectores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“nueva”</w:t>
      </w:r>
      <w:r>
        <w:rPr>
          <w:color w:val="231F20"/>
          <w:spacing w:val="-16"/>
          <w:w w:val="110"/>
        </w:rPr>
        <w:t> </w:t>
      </w:r>
      <w:r>
        <w:rPr>
          <w:color w:val="231F20"/>
          <w:w w:val="110"/>
        </w:rPr>
        <w:t>izquierda,</w:t>
      </w:r>
      <w:r>
        <w:rPr>
          <w:color w:val="231F20"/>
          <w:spacing w:val="-16"/>
          <w:w w:val="110"/>
        </w:rPr>
        <w:t> </w:t>
      </w:r>
      <w:r>
        <w:rPr>
          <w:color w:val="231F20"/>
          <w:w w:val="110"/>
        </w:rPr>
        <w:t>no</w:t>
      </w:r>
      <w:r>
        <w:rPr>
          <w:color w:val="231F20"/>
          <w:spacing w:val="-16"/>
          <w:w w:val="110"/>
        </w:rPr>
        <w:t> </w:t>
      </w:r>
      <w:r>
        <w:rPr>
          <w:color w:val="231F20"/>
          <w:w w:val="110"/>
        </w:rPr>
        <w:t>sorprende</w:t>
      </w:r>
      <w:r>
        <w:rPr>
          <w:color w:val="231F20"/>
          <w:spacing w:val="-16"/>
          <w:w w:val="110"/>
        </w:rPr>
        <w:t> </w:t>
      </w:r>
      <w:r>
        <w:rPr>
          <w:color w:val="231F20"/>
          <w:w w:val="110"/>
        </w:rPr>
        <w:t>que</w:t>
      </w:r>
      <w:r>
        <w:rPr>
          <w:color w:val="231F20"/>
          <w:spacing w:val="-16"/>
          <w:w w:val="110"/>
        </w:rPr>
        <w:t> </w:t>
      </w:r>
      <w:r>
        <w:rPr>
          <w:color w:val="231F20"/>
          <w:w w:val="110"/>
        </w:rPr>
        <w:t>prácticamente</w:t>
      </w:r>
      <w:r>
        <w:rPr>
          <w:color w:val="231F20"/>
          <w:spacing w:val="-2"/>
          <w:w w:val="111"/>
        </w:rPr>
        <w:t> </w:t>
      </w:r>
      <w:r>
        <w:rPr>
          <w:color w:val="231F20"/>
          <w:w w:val="110"/>
        </w:rPr>
        <w:t>todo</w:t>
      </w:r>
      <w:r>
        <w:rPr>
          <w:color w:val="231F20"/>
          <w:spacing w:val="-12"/>
          <w:w w:val="110"/>
        </w:rPr>
        <w:t> </w:t>
      </w:r>
      <w:r>
        <w:rPr>
          <w:color w:val="231F20"/>
          <w:w w:val="110"/>
        </w:rPr>
        <w:t>objetivo</w:t>
      </w:r>
      <w:r>
        <w:rPr>
          <w:color w:val="231F20"/>
          <w:spacing w:val="-12"/>
          <w:w w:val="110"/>
        </w:rPr>
        <w:t> </w:t>
      </w:r>
      <w:r>
        <w:rPr>
          <w:color w:val="231F20"/>
          <w:w w:val="110"/>
        </w:rPr>
        <w:t>político</w:t>
      </w:r>
      <w:r>
        <w:rPr>
          <w:color w:val="231F20"/>
          <w:spacing w:val="-12"/>
          <w:w w:val="110"/>
        </w:rPr>
        <w:t> </w:t>
      </w:r>
      <w:r>
        <w:rPr>
          <w:color w:val="231F20"/>
          <w:w w:val="110"/>
        </w:rPr>
        <w:t>se</w:t>
      </w:r>
      <w:r>
        <w:rPr>
          <w:color w:val="231F20"/>
          <w:spacing w:val="-12"/>
          <w:w w:val="110"/>
        </w:rPr>
        <w:t> </w:t>
      </w:r>
      <w:r>
        <w:rPr>
          <w:color w:val="231F20"/>
          <w:w w:val="110"/>
        </w:rPr>
        <w:t>vincule</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promoción</w:t>
      </w:r>
      <w:r>
        <w:rPr>
          <w:color w:val="231F20"/>
          <w:spacing w:val="-12"/>
          <w:w w:val="110"/>
        </w:rPr>
        <w:t> </w:t>
      </w:r>
      <w:r>
        <w:rPr>
          <w:color w:val="231F20"/>
          <w:w w:val="110"/>
        </w:rPr>
        <w:t>de</w:t>
      </w:r>
      <w:r>
        <w:rPr>
          <w:color w:val="231F20"/>
          <w:spacing w:val="-12"/>
          <w:w w:val="110"/>
        </w:rPr>
        <w:t> </w:t>
      </w:r>
      <w:r>
        <w:rPr>
          <w:color w:val="231F20"/>
          <w:w w:val="110"/>
        </w:rPr>
        <w:t>dicho</w:t>
      </w:r>
      <w:r>
        <w:rPr>
          <w:color w:val="231F20"/>
          <w:spacing w:val="-12"/>
          <w:w w:val="110"/>
        </w:rPr>
        <w:t> </w:t>
      </w:r>
      <w:r>
        <w:rPr>
          <w:color w:val="231F20"/>
          <w:w w:val="110"/>
        </w:rPr>
        <w:t>crecimiento</w:t>
      </w:r>
      <w:r>
        <w:rPr>
          <w:color w:val="231F20"/>
          <w:spacing w:val="-2"/>
          <w:w w:val="110"/>
        </w:rPr>
        <w:t> </w:t>
      </w:r>
      <w:r>
        <w:rPr>
          <w:color w:val="231F20"/>
          <w:w w:val="110"/>
        </w:rPr>
        <w:t>y</w:t>
      </w:r>
      <w:r>
        <w:rPr>
          <w:color w:val="231F20"/>
          <w:spacing w:val="-27"/>
          <w:w w:val="110"/>
        </w:rPr>
        <w:t> </w:t>
      </w:r>
      <w:r>
        <w:rPr>
          <w:color w:val="231F20"/>
          <w:w w:val="110"/>
        </w:rPr>
        <w:t>las</w:t>
      </w:r>
      <w:r>
        <w:rPr>
          <w:color w:val="231F20"/>
          <w:spacing w:val="-27"/>
          <w:w w:val="110"/>
        </w:rPr>
        <w:t> </w:t>
      </w:r>
      <w:r>
        <w:rPr>
          <w:color w:val="231F20"/>
          <w:w w:val="110"/>
        </w:rPr>
        <w:t>evaluaciones</w:t>
      </w:r>
      <w:r>
        <w:rPr>
          <w:color w:val="231F20"/>
          <w:spacing w:val="-27"/>
          <w:w w:val="110"/>
        </w:rPr>
        <w:t> </w:t>
      </w:r>
      <w:r>
        <w:rPr>
          <w:color w:val="231F20"/>
          <w:w w:val="110"/>
        </w:rPr>
        <w:t>sobre</w:t>
      </w:r>
      <w:r>
        <w:rPr>
          <w:color w:val="231F20"/>
          <w:spacing w:val="-27"/>
          <w:w w:val="110"/>
        </w:rPr>
        <w:t> </w:t>
      </w:r>
      <w:r>
        <w:rPr>
          <w:color w:val="231F20"/>
          <w:w w:val="110"/>
        </w:rPr>
        <w:t>el</w:t>
      </w:r>
      <w:r>
        <w:rPr>
          <w:color w:val="231F20"/>
          <w:spacing w:val="-27"/>
          <w:w w:val="110"/>
        </w:rPr>
        <w:t> </w:t>
      </w:r>
      <w:r>
        <w:rPr>
          <w:color w:val="231F20"/>
          <w:w w:val="110"/>
        </w:rPr>
        <w:t>bienestar</w:t>
      </w:r>
      <w:r>
        <w:rPr>
          <w:color w:val="231F20"/>
          <w:spacing w:val="-27"/>
          <w:w w:val="110"/>
        </w:rPr>
        <w:t> </w:t>
      </w:r>
      <w:r>
        <w:rPr>
          <w:color w:val="231F20"/>
          <w:w w:val="110"/>
        </w:rPr>
        <w:t>de</w:t>
      </w:r>
      <w:r>
        <w:rPr>
          <w:color w:val="231F20"/>
          <w:spacing w:val="-27"/>
          <w:w w:val="110"/>
        </w:rPr>
        <w:t> </w:t>
      </w:r>
      <w:r>
        <w:rPr>
          <w:color w:val="231F20"/>
          <w:w w:val="110"/>
        </w:rPr>
        <w:t>un</w:t>
      </w:r>
      <w:r>
        <w:rPr>
          <w:color w:val="231F20"/>
          <w:spacing w:val="-27"/>
          <w:w w:val="110"/>
        </w:rPr>
        <w:t> </w:t>
      </w:r>
      <w:r>
        <w:rPr>
          <w:color w:val="231F20"/>
          <w:w w:val="110"/>
        </w:rPr>
        <w:t>país</w:t>
      </w:r>
      <w:r>
        <w:rPr>
          <w:color w:val="231F20"/>
          <w:spacing w:val="-27"/>
          <w:w w:val="110"/>
        </w:rPr>
        <w:t> </w:t>
      </w:r>
      <w:r>
        <w:rPr>
          <w:color w:val="231F20"/>
          <w:w w:val="110"/>
        </w:rPr>
        <w:t>o</w:t>
      </w:r>
      <w:r>
        <w:rPr>
          <w:color w:val="231F20"/>
          <w:spacing w:val="-27"/>
          <w:w w:val="110"/>
        </w:rPr>
        <w:t> </w:t>
      </w:r>
      <w:r>
        <w:rPr>
          <w:color w:val="231F20"/>
          <w:w w:val="110"/>
        </w:rPr>
        <w:t>las</w:t>
      </w:r>
      <w:r>
        <w:rPr>
          <w:color w:val="231F20"/>
          <w:spacing w:val="-27"/>
          <w:w w:val="110"/>
        </w:rPr>
        <w:t> </w:t>
      </w:r>
      <w:r>
        <w:rPr>
          <w:color w:val="231F20"/>
          <w:w w:val="110"/>
        </w:rPr>
        <w:t>valoraciones</w:t>
      </w:r>
      <w:r>
        <w:rPr>
          <w:color w:val="231F20"/>
          <w:spacing w:val="-27"/>
          <w:w w:val="110"/>
        </w:rPr>
        <w:t> </w:t>
      </w:r>
      <w:r>
        <w:rPr>
          <w:color w:val="231F20"/>
          <w:w w:val="110"/>
        </w:rPr>
        <w:t>sobre</w:t>
      </w:r>
      <w:r>
        <w:rPr>
          <w:color w:val="231F20"/>
          <w:spacing w:val="-2"/>
          <w:w w:val="109"/>
        </w:rPr>
        <w:t> </w:t>
      </w:r>
      <w:r>
        <w:rPr>
          <w:color w:val="231F20"/>
          <w:w w:val="110"/>
        </w:rPr>
        <w:t>las</w:t>
      </w:r>
      <w:r>
        <w:rPr>
          <w:color w:val="231F20"/>
          <w:spacing w:val="-11"/>
          <w:w w:val="110"/>
        </w:rPr>
        <w:t> </w:t>
      </w:r>
      <w:r>
        <w:rPr>
          <w:color w:val="231F20"/>
          <w:w w:val="110"/>
        </w:rPr>
        <w:t>gestiones</w:t>
      </w:r>
      <w:r>
        <w:rPr>
          <w:color w:val="231F20"/>
          <w:spacing w:val="-11"/>
          <w:w w:val="110"/>
        </w:rPr>
        <w:t> </w:t>
      </w:r>
      <w:r>
        <w:rPr>
          <w:color w:val="231F20"/>
          <w:w w:val="110"/>
        </w:rPr>
        <w:t>de</w:t>
      </w:r>
      <w:r>
        <w:rPr>
          <w:color w:val="231F20"/>
          <w:spacing w:val="-11"/>
          <w:w w:val="110"/>
        </w:rPr>
        <w:t> </w:t>
      </w:r>
      <w:r>
        <w:rPr>
          <w:color w:val="231F20"/>
          <w:w w:val="110"/>
        </w:rPr>
        <w:t>funcionarios</w:t>
      </w:r>
      <w:r>
        <w:rPr>
          <w:color w:val="231F20"/>
          <w:spacing w:val="-11"/>
          <w:w w:val="110"/>
        </w:rPr>
        <w:t> </w:t>
      </w:r>
      <w:r>
        <w:rPr>
          <w:color w:val="231F20"/>
          <w:w w:val="110"/>
        </w:rPr>
        <w:t>tienden</w:t>
      </w:r>
      <w:r>
        <w:rPr>
          <w:color w:val="231F20"/>
          <w:spacing w:val="-11"/>
          <w:w w:val="110"/>
        </w:rPr>
        <w:t> </w:t>
      </w:r>
      <w:r>
        <w:rPr>
          <w:color w:val="231F20"/>
          <w:w w:val="110"/>
        </w:rPr>
        <w:t>a</w:t>
      </w:r>
      <w:r>
        <w:rPr>
          <w:color w:val="231F20"/>
          <w:spacing w:val="-11"/>
          <w:w w:val="110"/>
        </w:rPr>
        <w:t> </w:t>
      </w:r>
      <w:r>
        <w:rPr>
          <w:color w:val="231F20"/>
          <w:w w:val="110"/>
        </w:rPr>
        <w:t>hacerse</w:t>
      </w:r>
      <w:r>
        <w:rPr>
          <w:color w:val="231F20"/>
          <w:spacing w:val="-11"/>
          <w:w w:val="110"/>
        </w:rPr>
        <w:t> </w:t>
      </w:r>
      <w:r>
        <w:rPr>
          <w:color w:val="231F20"/>
          <w:w w:val="110"/>
        </w:rPr>
        <w:t>en</w:t>
      </w:r>
      <w:r>
        <w:rPr>
          <w:color w:val="231F20"/>
          <w:spacing w:val="-11"/>
          <w:w w:val="110"/>
        </w:rPr>
        <w:t> </w:t>
      </w:r>
      <w:r>
        <w:rPr>
          <w:color w:val="231F20"/>
          <w:w w:val="110"/>
        </w:rPr>
        <w:t>ese</w:t>
      </w:r>
      <w:r>
        <w:rPr>
          <w:color w:val="231F20"/>
          <w:spacing w:val="-11"/>
          <w:w w:val="110"/>
        </w:rPr>
        <w:t> </w:t>
      </w:r>
      <w:r>
        <w:rPr>
          <w:color w:val="231F20"/>
          <w:w w:val="110"/>
        </w:rPr>
        <w:t>mismo</w:t>
      </w:r>
      <w:r>
        <w:rPr>
          <w:color w:val="231F20"/>
          <w:spacing w:val="-11"/>
          <w:w w:val="110"/>
        </w:rPr>
        <w:t> </w:t>
      </w:r>
      <w:r>
        <w:rPr>
          <w:color w:val="231F20"/>
          <w:w w:val="110"/>
        </w:rPr>
        <w:t>sentido.</w:t>
      </w:r>
      <w:r>
        <w:rPr>
          <w:color w:val="231F20"/>
          <w:spacing w:val="-2"/>
          <w:w w:val="110"/>
        </w:rPr>
        <w:t> </w:t>
      </w:r>
      <w:r>
        <w:rPr>
          <w:color w:val="231F20"/>
          <w:w w:val="110"/>
        </w:rPr>
        <w:t>La idea del progreso continuo, basado en la técnica y</w:t>
      </w:r>
      <w:r>
        <w:rPr>
          <w:color w:val="231F20"/>
          <w:spacing w:val="10"/>
          <w:w w:val="110"/>
        </w:rPr>
        <w:t> </w:t>
      </w:r>
      <w:r>
        <w:rPr>
          <w:color w:val="231F20"/>
          <w:w w:val="110"/>
        </w:rPr>
        <w:t>nutrido</w:t>
      </w:r>
      <w:r>
        <w:rPr>
          <w:color w:val="231F20"/>
          <w:spacing w:val="12"/>
          <w:w w:val="110"/>
        </w:rPr>
        <w:t> </w:t>
      </w:r>
      <w:r>
        <w:rPr>
          <w:color w:val="231F20"/>
          <w:w w:val="110"/>
        </w:rPr>
        <w:t>de</w:t>
      </w:r>
      <w:r>
        <w:rPr>
          <w:color w:val="231F20"/>
          <w:spacing w:val="-2"/>
          <w:w w:val="114"/>
        </w:rPr>
        <w:t> </w:t>
      </w:r>
      <w:r>
        <w:rPr>
          <w:color w:val="231F20"/>
          <w:w w:val="110"/>
        </w:rPr>
        <w:t>las</w:t>
      </w:r>
      <w:r>
        <w:rPr>
          <w:color w:val="231F20"/>
          <w:spacing w:val="-21"/>
          <w:w w:val="110"/>
        </w:rPr>
        <w:t> </w:t>
      </w:r>
      <w:r>
        <w:rPr>
          <w:color w:val="231F20"/>
          <w:w w:val="110"/>
        </w:rPr>
        <w:t>riquezas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naturaleza,</w:t>
      </w:r>
      <w:r>
        <w:rPr>
          <w:color w:val="231F20"/>
          <w:spacing w:val="-21"/>
          <w:w w:val="110"/>
        </w:rPr>
        <w:t> </w:t>
      </w:r>
      <w:r>
        <w:rPr>
          <w:color w:val="231F20"/>
          <w:w w:val="110"/>
        </w:rPr>
        <w:t>suscribe</w:t>
      </w:r>
      <w:r>
        <w:rPr>
          <w:color w:val="231F20"/>
          <w:spacing w:val="-21"/>
          <w:w w:val="110"/>
        </w:rPr>
        <w:t> </w:t>
      </w:r>
      <w:r>
        <w:rPr>
          <w:color w:val="231F20"/>
          <w:w w:val="110"/>
        </w:rPr>
        <w:t>Gudynas</w:t>
      </w:r>
      <w:r>
        <w:rPr>
          <w:color w:val="231F20"/>
          <w:spacing w:val="-21"/>
          <w:w w:val="110"/>
        </w:rPr>
        <w:t> </w:t>
      </w:r>
      <w:r>
        <w:rPr>
          <w:color w:val="231F20"/>
          <w:w w:val="110"/>
        </w:rPr>
        <w:t>(2009),</w:t>
      </w:r>
      <w:r>
        <w:rPr>
          <w:color w:val="231F20"/>
          <w:spacing w:val="-21"/>
          <w:w w:val="110"/>
        </w:rPr>
        <w:t> </w:t>
      </w:r>
      <w:r>
        <w:rPr>
          <w:color w:val="231F20"/>
          <w:w w:val="110"/>
        </w:rPr>
        <w:t>ha</w:t>
      </w:r>
      <w:r>
        <w:rPr>
          <w:color w:val="231F20"/>
          <w:spacing w:val="-21"/>
          <w:w w:val="110"/>
        </w:rPr>
        <w:t> </w:t>
      </w:r>
      <w:r>
        <w:rPr>
          <w:color w:val="231F20"/>
          <w:w w:val="110"/>
        </w:rPr>
        <w:t>sido</w:t>
      </w:r>
      <w:r>
        <w:rPr>
          <w:color w:val="231F20"/>
          <w:spacing w:val="-21"/>
          <w:w w:val="110"/>
        </w:rPr>
        <w:t> </w:t>
      </w:r>
      <w:r>
        <w:rPr>
          <w:color w:val="231F20"/>
          <w:w w:val="110"/>
        </w:rPr>
        <w:t>una</w:t>
      </w:r>
      <w:r>
        <w:rPr>
          <w:color w:val="231F20"/>
          <w:spacing w:val="-21"/>
          <w:w w:val="110"/>
        </w:rPr>
        <w:t> </w:t>
      </w:r>
      <w:r>
        <w:rPr>
          <w:color w:val="231F20"/>
          <w:w w:val="110"/>
        </w:rPr>
        <w:t>ex-</w:t>
      </w:r>
      <w:r>
        <w:rPr>
          <w:color w:val="231F20"/>
          <w:w w:val="72"/>
        </w:rPr>
        <w:t> </w:t>
      </w:r>
      <w:r>
        <w:rPr>
          <w:color w:val="231F20"/>
          <w:w w:val="110"/>
        </w:rPr>
        <w:t>presión</w:t>
      </w:r>
      <w:r>
        <w:rPr>
          <w:color w:val="231F20"/>
          <w:spacing w:val="-6"/>
          <w:w w:val="110"/>
        </w:rPr>
        <w:t> </w:t>
      </w:r>
      <w:r>
        <w:rPr>
          <w:color w:val="231F20"/>
          <w:w w:val="110"/>
        </w:rPr>
        <w:t>clásica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modernidad</w:t>
      </w:r>
      <w:r>
        <w:rPr>
          <w:color w:val="231F20"/>
          <w:spacing w:val="-6"/>
          <w:w w:val="110"/>
        </w:rPr>
        <w:t> </w:t>
      </w:r>
      <w:r>
        <w:rPr>
          <w:color w:val="231F20"/>
          <w:w w:val="110"/>
        </w:rPr>
        <w:t>y</w:t>
      </w:r>
      <w:r>
        <w:rPr>
          <w:color w:val="231F20"/>
          <w:spacing w:val="-6"/>
          <w:w w:val="110"/>
        </w:rPr>
        <w:t> </w:t>
      </w:r>
      <w:r>
        <w:rPr>
          <w:color w:val="231F20"/>
          <w:w w:val="110"/>
        </w:rPr>
        <w:t>ésa</w:t>
      </w:r>
      <w:r>
        <w:rPr>
          <w:color w:val="231F20"/>
          <w:spacing w:val="-6"/>
          <w:w w:val="110"/>
        </w:rPr>
        <w:t> </w:t>
      </w:r>
      <w:r>
        <w:rPr>
          <w:color w:val="231F20"/>
          <w:w w:val="110"/>
        </w:rPr>
        <w:t>ha</w:t>
      </w:r>
      <w:r>
        <w:rPr>
          <w:color w:val="231F20"/>
          <w:spacing w:val="-6"/>
          <w:w w:val="110"/>
        </w:rPr>
        <w:t> </w:t>
      </w:r>
      <w:r>
        <w:rPr>
          <w:color w:val="231F20"/>
          <w:w w:val="110"/>
        </w:rPr>
        <w:t>sido</w:t>
      </w:r>
      <w:r>
        <w:rPr>
          <w:color w:val="231F20"/>
          <w:spacing w:val="-6"/>
          <w:w w:val="110"/>
        </w:rPr>
        <w:t> </w:t>
      </w:r>
      <w:r>
        <w:rPr>
          <w:color w:val="231F20"/>
          <w:w w:val="110"/>
        </w:rPr>
        <w:t>heredada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nueva</w:t>
      </w:r>
      <w:r>
        <w:rPr>
          <w:color w:val="231F20"/>
          <w:spacing w:val="-2"/>
          <w:w w:val="108"/>
        </w:rPr>
        <w:t> </w:t>
      </w:r>
      <w:r>
        <w:rPr>
          <w:color w:val="231F20"/>
          <w:w w:val="110"/>
        </w:rPr>
        <w:t>izquierda latinoamericana. Ello es resultado de una mezcla</w:t>
      </w:r>
      <w:r>
        <w:rPr>
          <w:color w:val="231F20"/>
          <w:spacing w:val="-7"/>
          <w:w w:val="110"/>
        </w:rPr>
        <w:t> </w:t>
      </w:r>
      <w:r>
        <w:rPr>
          <w:color w:val="231F20"/>
          <w:w w:val="110"/>
        </w:rPr>
        <w:t>de</w:t>
      </w:r>
      <w:r>
        <w:rPr>
          <w:color w:val="231F20"/>
          <w:spacing w:val="-1"/>
          <w:w w:val="110"/>
        </w:rPr>
        <w:t> </w:t>
      </w:r>
      <w:r>
        <w:rPr>
          <w:color w:val="231F20"/>
          <w:spacing w:val="-2"/>
          <w:w w:val="110"/>
        </w:rPr>
        <w:t>viejos</w:t>
      </w:r>
      <w:r>
        <w:rPr>
          <w:color w:val="231F20"/>
          <w:spacing w:val="-2"/>
          <w:w w:val="99"/>
        </w:rPr>
        <w:t> </w:t>
      </w:r>
      <w:r>
        <w:rPr>
          <w:color w:val="231F20"/>
          <w:w w:val="110"/>
        </w:rPr>
        <w:t>como</w:t>
      </w:r>
      <w:r>
        <w:rPr>
          <w:color w:val="231F20"/>
          <w:spacing w:val="-24"/>
          <w:w w:val="110"/>
        </w:rPr>
        <w:t> </w:t>
      </w:r>
      <w:r>
        <w:rPr>
          <w:color w:val="231F20"/>
          <w:w w:val="110"/>
        </w:rPr>
        <w:t>nuevos</w:t>
      </w:r>
      <w:r>
        <w:rPr>
          <w:color w:val="231F20"/>
          <w:spacing w:val="-24"/>
          <w:w w:val="110"/>
        </w:rPr>
        <w:t> </w:t>
      </w:r>
      <w:r>
        <w:rPr>
          <w:color w:val="231F20"/>
          <w:w w:val="110"/>
        </w:rPr>
        <w:t>ingredientes,</w:t>
      </w:r>
      <w:r>
        <w:rPr>
          <w:color w:val="231F20"/>
          <w:spacing w:val="-24"/>
          <w:w w:val="110"/>
        </w:rPr>
        <w:t> </w:t>
      </w:r>
      <w:r>
        <w:rPr>
          <w:color w:val="231F20"/>
          <w:w w:val="110"/>
        </w:rPr>
        <w:t>por</w:t>
      </w:r>
      <w:r>
        <w:rPr>
          <w:color w:val="231F20"/>
          <w:spacing w:val="-24"/>
          <w:w w:val="110"/>
        </w:rPr>
        <w:t> </w:t>
      </w:r>
      <w:r>
        <w:rPr>
          <w:color w:val="231F20"/>
          <w:w w:val="110"/>
        </w:rPr>
        <w:t>lo</w:t>
      </w:r>
      <w:r>
        <w:rPr>
          <w:color w:val="231F20"/>
          <w:spacing w:val="-24"/>
          <w:w w:val="110"/>
        </w:rPr>
        <w:t> </w:t>
      </w:r>
      <w:r>
        <w:rPr>
          <w:color w:val="231F20"/>
          <w:w w:val="110"/>
        </w:rPr>
        <w:t>que</w:t>
      </w:r>
      <w:r>
        <w:rPr>
          <w:color w:val="231F20"/>
          <w:spacing w:val="-24"/>
          <w:w w:val="110"/>
        </w:rPr>
        <w:t> </w:t>
      </w:r>
      <w:r>
        <w:rPr>
          <w:color w:val="231F20"/>
          <w:w w:val="110"/>
        </w:rPr>
        <w:t>desde</w:t>
      </w:r>
      <w:r>
        <w:rPr>
          <w:color w:val="231F20"/>
          <w:spacing w:val="-24"/>
          <w:w w:val="110"/>
        </w:rPr>
        <w:t> </w:t>
      </w:r>
      <w:r>
        <w:rPr>
          <w:color w:val="231F20"/>
          <w:w w:val="110"/>
        </w:rPr>
        <w:t>su</w:t>
      </w:r>
      <w:r>
        <w:rPr>
          <w:color w:val="231F20"/>
          <w:spacing w:val="-24"/>
          <w:w w:val="110"/>
        </w:rPr>
        <w:t> </w:t>
      </w:r>
      <w:r>
        <w:rPr>
          <w:color w:val="231F20"/>
          <w:w w:val="110"/>
        </w:rPr>
        <w:t>visión,</w:t>
      </w:r>
      <w:r>
        <w:rPr>
          <w:color w:val="231F20"/>
          <w:spacing w:val="-24"/>
          <w:w w:val="110"/>
        </w:rPr>
        <w:t> </w:t>
      </w:r>
      <w:r>
        <w:rPr>
          <w:color w:val="231F20"/>
          <w:w w:val="110"/>
        </w:rPr>
        <w:t>el</w:t>
      </w:r>
      <w:r>
        <w:rPr>
          <w:color w:val="231F20"/>
          <w:spacing w:val="-24"/>
          <w:w w:val="110"/>
        </w:rPr>
        <w:t> </w:t>
      </w:r>
      <w:r>
        <w:rPr>
          <w:color w:val="231F20"/>
          <w:w w:val="110"/>
        </w:rPr>
        <w:t>viejo</w:t>
      </w:r>
      <w:r>
        <w:rPr>
          <w:color w:val="231F20"/>
          <w:spacing w:val="-24"/>
          <w:w w:val="110"/>
        </w:rPr>
        <w:t> </w:t>
      </w:r>
      <w:r>
        <w:rPr>
          <w:color w:val="231F20"/>
          <w:w w:val="110"/>
        </w:rPr>
        <w:t>extracti-</w:t>
      </w:r>
      <w:r>
        <w:rPr>
          <w:color w:val="231F20"/>
          <w:w w:val="72"/>
        </w:rPr>
        <w:t> </w:t>
      </w:r>
      <w:r>
        <w:rPr>
          <w:color w:val="231F20"/>
          <w:w w:val="110"/>
        </w:rPr>
        <w:t>vismo</w:t>
      </w:r>
      <w:r>
        <w:rPr>
          <w:color w:val="231F20"/>
          <w:spacing w:val="-29"/>
          <w:w w:val="110"/>
        </w:rPr>
        <w:t> </w:t>
      </w:r>
      <w:r>
        <w:rPr>
          <w:color w:val="231F20"/>
          <w:w w:val="110"/>
        </w:rPr>
        <w:t>y</w:t>
      </w:r>
      <w:r>
        <w:rPr>
          <w:color w:val="231F20"/>
          <w:spacing w:val="-29"/>
          <w:w w:val="110"/>
        </w:rPr>
        <w:t> </w:t>
      </w:r>
      <w:r>
        <w:rPr>
          <w:color w:val="231F20"/>
          <w:w w:val="110"/>
        </w:rPr>
        <w:t>el</w:t>
      </w:r>
      <w:r>
        <w:rPr>
          <w:color w:val="231F20"/>
          <w:spacing w:val="-29"/>
          <w:w w:val="110"/>
        </w:rPr>
        <w:t> </w:t>
      </w:r>
      <w:r>
        <w:rPr>
          <w:color w:val="231F20"/>
          <w:w w:val="110"/>
        </w:rPr>
        <w:t>nuevo</w:t>
      </w:r>
      <w:r>
        <w:rPr>
          <w:color w:val="231F20"/>
          <w:spacing w:val="-29"/>
          <w:w w:val="110"/>
        </w:rPr>
        <w:t> </w:t>
      </w:r>
      <w:r>
        <w:rPr>
          <w:color w:val="231F20"/>
          <w:w w:val="110"/>
        </w:rPr>
        <w:t>extractivismo</w:t>
      </w:r>
      <w:r>
        <w:rPr>
          <w:color w:val="231F20"/>
          <w:spacing w:val="-29"/>
          <w:w w:val="110"/>
        </w:rPr>
        <w:t> </w:t>
      </w:r>
      <w:r>
        <w:rPr>
          <w:color w:val="231F20"/>
          <w:w w:val="110"/>
        </w:rPr>
        <w:t>comparten</w:t>
      </w:r>
      <w:r>
        <w:rPr>
          <w:color w:val="231F20"/>
          <w:spacing w:val="-29"/>
          <w:w w:val="110"/>
        </w:rPr>
        <w:t> </w:t>
      </w:r>
      <w:r>
        <w:rPr>
          <w:color w:val="231F20"/>
          <w:w w:val="110"/>
        </w:rPr>
        <w:t>algunos</w:t>
      </w:r>
      <w:r>
        <w:rPr>
          <w:color w:val="231F20"/>
          <w:spacing w:val="-29"/>
          <w:w w:val="110"/>
        </w:rPr>
        <w:t> </w:t>
      </w:r>
      <w:r>
        <w:rPr>
          <w:color w:val="231F20"/>
          <w:w w:val="110"/>
        </w:rPr>
        <w:t>aspectos</w:t>
      </w:r>
      <w:r>
        <w:rPr>
          <w:color w:val="231F20"/>
          <w:spacing w:val="-29"/>
          <w:w w:val="110"/>
        </w:rPr>
        <w:t> </w:t>
      </w:r>
      <w:r>
        <w:rPr>
          <w:color w:val="231F20"/>
          <w:w w:val="110"/>
        </w:rPr>
        <w:t>en</w:t>
      </w:r>
      <w:r>
        <w:rPr>
          <w:color w:val="231F20"/>
          <w:spacing w:val="-29"/>
          <w:w w:val="110"/>
        </w:rPr>
        <w:t> </w:t>
      </w:r>
      <w:r>
        <w:rPr>
          <w:color w:val="231F20"/>
          <w:spacing w:val="-2"/>
          <w:w w:val="110"/>
        </w:rPr>
        <w:t>común,</w:t>
      </w:r>
    </w:p>
    <w:p>
      <w:pPr>
        <w:pStyle w:val="BodyText"/>
        <w:ind w:left="100"/>
        <w:jc w:val="both"/>
      </w:pPr>
      <w:r>
        <w:rPr>
          <w:color w:val="231F20"/>
          <w:w w:val="105"/>
        </w:rPr>
        <w:t>pero los énfasis, agrega, son distintos (Gudynas, 2009). </w:t>
      </w:r>
      <w:r>
        <w:rPr>
          <w:color w:val="231F20"/>
        </w:rPr>
        <w:t>Y </w:t>
      </w:r>
      <w:r>
        <w:rPr>
          <w:color w:val="231F20"/>
          <w:w w:val="105"/>
        </w:rPr>
        <w:t>es  que,</w:t>
      </w:r>
    </w:p>
    <w:p>
      <w:pPr>
        <w:pStyle w:val="BodyText"/>
        <w:spacing w:before="1"/>
        <w:rPr>
          <w:sz w:val="25"/>
        </w:rPr>
      </w:pPr>
    </w:p>
    <w:p>
      <w:pPr>
        <w:spacing w:line="290" w:lineRule="auto" w:before="0"/>
        <w:ind w:left="100" w:right="119" w:firstLine="0"/>
        <w:jc w:val="both"/>
        <w:rPr>
          <w:sz w:val="18"/>
        </w:rPr>
      </w:pPr>
      <w:r>
        <w:rPr>
          <w:color w:val="231F20"/>
          <w:w w:val="110"/>
          <w:sz w:val="18"/>
        </w:rPr>
        <w:t>la izquierda sudamericana no reniega del clásico apego al crecimiento eco- nómico basado en la apropiación de los recursos naturales. El extractivismo juega un papel importante en este nuevo programa, ya que no se lo rechaza,</w:t>
      </w:r>
    </w:p>
    <w:p>
      <w:pPr>
        <w:pStyle w:val="BodyText"/>
        <w:rPr>
          <w:sz w:val="18"/>
        </w:rPr>
      </w:pPr>
    </w:p>
    <w:p>
      <w:pPr>
        <w:spacing w:line="261" w:lineRule="auto" w:before="157"/>
        <w:ind w:left="100" w:right="117" w:firstLine="240"/>
        <w:jc w:val="both"/>
        <w:rPr>
          <w:sz w:val="16"/>
        </w:rPr>
      </w:pPr>
      <w:r>
        <w:rPr>
          <w:color w:val="231F20"/>
          <w:w w:val="105"/>
          <w:position w:val="5"/>
          <w:sz w:val="10"/>
        </w:rPr>
        <w:t>7 </w:t>
      </w:r>
      <w:r>
        <w:rPr>
          <w:color w:val="231F20"/>
          <w:w w:val="105"/>
          <w:sz w:val="16"/>
        </w:rPr>
        <w:t>Los deciles más ricos </w:t>
      </w:r>
      <w:r>
        <w:rPr>
          <w:color w:val="231F20"/>
          <w:sz w:val="16"/>
        </w:rPr>
        <w:t>y </w:t>
      </w:r>
      <w:r>
        <w:rPr>
          <w:color w:val="231F20"/>
          <w:w w:val="105"/>
          <w:sz w:val="16"/>
        </w:rPr>
        <w:t>más pobres de Venezuela se adjudican 36.8% </w:t>
      </w:r>
      <w:r>
        <w:rPr>
          <w:color w:val="231F20"/>
          <w:sz w:val="16"/>
        </w:rPr>
        <w:t>y </w:t>
      </w:r>
      <w:r>
        <w:rPr>
          <w:color w:val="231F20"/>
          <w:w w:val="105"/>
          <w:sz w:val="16"/>
        </w:rPr>
        <w:t>0.9% respectivamente. Pero, el 30% más rico controla 65.1% de los recursos. En el caso      </w:t>
      </w:r>
      <w:r>
        <w:rPr>
          <w:color w:val="231F20"/>
          <w:spacing w:val="42"/>
          <w:w w:val="105"/>
          <w:sz w:val="16"/>
        </w:rPr>
        <w:t> </w:t>
      </w:r>
      <w:r>
        <w:rPr>
          <w:color w:val="231F20"/>
          <w:w w:val="105"/>
          <w:sz w:val="16"/>
        </w:rPr>
        <w:t>de</w:t>
      </w:r>
      <w:r>
        <w:rPr>
          <w:color w:val="231F20"/>
          <w:spacing w:val="17"/>
          <w:w w:val="105"/>
          <w:sz w:val="16"/>
        </w:rPr>
        <w:t> </w:t>
      </w:r>
      <w:r>
        <w:rPr>
          <w:color w:val="231F20"/>
          <w:w w:val="105"/>
          <w:sz w:val="16"/>
        </w:rPr>
        <w:t>Colombia,</w:t>
      </w:r>
      <w:r>
        <w:rPr>
          <w:color w:val="231F20"/>
          <w:spacing w:val="17"/>
          <w:w w:val="105"/>
          <w:sz w:val="16"/>
        </w:rPr>
        <w:t> </w:t>
      </w:r>
      <w:r>
        <w:rPr>
          <w:color w:val="231F20"/>
          <w:w w:val="105"/>
          <w:sz w:val="16"/>
        </w:rPr>
        <w:t>los</w:t>
      </w:r>
      <w:r>
        <w:rPr>
          <w:color w:val="231F20"/>
          <w:spacing w:val="17"/>
          <w:w w:val="105"/>
          <w:sz w:val="16"/>
        </w:rPr>
        <w:t> </w:t>
      </w:r>
      <w:r>
        <w:rPr>
          <w:color w:val="231F20"/>
          <w:w w:val="105"/>
          <w:sz w:val="16"/>
        </w:rPr>
        <w:t>porcentajes</w:t>
      </w:r>
      <w:r>
        <w:rPr>
          <w:color w:val="231F20"/>
          <w:spacing w:val="17"/>
          <w:w w:val="105"/>
          <w:sz w:val="16"/>
        </w:rPr>
        <w:t> </w:t>
      </w:r>
      <w:r>
        <w:rPr>
          <w:color w:val="231F20"/>
          <w:w w:val="105"/>
          <w:sz w:val="16"/>
        </w:rPr>
        <w:t>son</w:t>
      </w:r>
      <w:r>
        <w:rPr>
          <w:color w:val="231F20"/>
          <w:spacing w:val="17"/>
          <w:w w:val="105"/>
          <w:sz w:val="16"/>
        </w:rPr>
        <w:t> </w:t>
      </w:r>
      <w:r>
        <w:rPr>
          <w:color w:val="231F20"/>
          <w:w w:val="105"/>
          <w:sz w:val="16"/>
        </w:rPr>
        <w:t>49.1%</w:t>
      </w:r>
      <w:r>
        <w:rPr>
          <w:color w:val="231F20"/>
          <w:spacing w:val="17"/>
          <w:w w:val="105"/>
          <w:sz w:val="16"/>
        </w:rPr>
        <w:t> </w:t>
      </w:r>
      <w:r>
        <w:rPr>
          <w:color w:val="231F20"/>
          <w:w w:val="105"/>
          <w:sz w:val="16"/>
        </w:rPr>
        <w:t>frente</w:t>
      </w:r>
      <w:r>
        <w:rPr>
          <w:color w:val="231F20"/>
          <w:spacing w:val="17"/>
          <w:w w:val="105"/>
          <w:sz w:val="16"/>
        </w:rPr>
        <w:t> </w:t>
      </w:r>
      <w:r>
        <w:rPr>
          <w:color w:val="231F20"/>
          <w:w w:val="105"/>
          <w:sz w:val="16"/>
        </w:rPr>
        <w:t>al</w:t>
      </w:r>
      <w:r>
        <w:rPr>
          <w:color w:val="231F20"/>
          <w:spacing w:val="17"/>
          <w:w w:val="105"/>
          <w:sz w:val="16"/>
        </w:rPr>
        <w:t> </w:t>
      </w:r>
      <w:r>
        <w:rPr>
          <w:color w:val="231F20"/>
          <w:w w:val="105"/>
          <w:sz w:val="16"/>
        </w:rPr>
        <w:t>0.9%.</w:t>
      </w:r>
      <w:r>
        <w:rPr>
          <w:color w:val="231F20"/>
          <w:spacing w:val="16"/>
          <w:w w:val="105"/>
          <w:sz w:val="16"/>
        </w:rPr>
        <w:t> </w:t>
      </w:r>
      <w:r>
        <w:rPr>
          <w:color w:val="231F20"/>
          <w:sz w:val="16"/>
        </w:rPr>
        <w:t>Y</w:t>
      </w:r>
      <w:r>
        <w:rPr>
          <w:color w:val="231F20"/>
          <w:spacing w:val="19"/>
          <w:sz w:val="16"/>
        </w:rPr>
        <w:t> </w:t>
      </w:r>
      <w:r>
        <w:rPr>
          <w:color w:val="231F20"/>
          <w:w w:val="105"/>
          <w:sz w:val="16"/>
        </w:rPr>
        <w:t>para</w:t>
      </w:r>
      <w:r>
        <w:rPr>
          <w:color w:val="231F20"/>
          <w:spacing w:val="17"/>
          <w:w w:val="105"/>
          <w:sz w:val="16"/>
        </w:rPr>
        <w:t> </w:t>
      </w:r>
      <w:r>
        <w:rPr>
          <w:color w:val="231F20"/>
          <w:w w:val="105"/>
          <w:sz w:val="16"/>
        </w:rPr>
        <w:t>Chile,</w:t>
      </w:r>
      <w:r>
        <w:rPr>
          <w:color w:val="231F20"/>
          <w:spacing w:val="17"/>
          <w:w w:val="105"/>
          <w:sz w:val="16"/>
        </w:rPr>
        <w:t> </w:t>
      </w:r>
      <w:r>
        <w:rPr>
          <w:color w:val="231F20"/>
          <w:w w:val="105"/>
          <w:sz w:val="16"/>
        </w:rPr>
        <w:t>42.5%</w:t>
      </w:r>
      <w:r>
        <w:rPr>
          <w:color w:val="231F20"/>
          <w:spacing w:val="17"/>
          <w:w w:val="105"/>
          <w:sz w:val="16"/>
        </w:rPr>
        <w:t> </w:t>
      </w:r>
      <w:r>
        <w:rPr>
          <w:color w:val="231F20"/>
          <w:sz w:val="16"/>
        </w:rPr>
        <w:t>y</w:t>
      </w:r>
      <w:r>
        <w:rPr>
          <w:color w:val="231F20"/>
          <w:spacing w:val="19"/>
          <w:sz w:val="16"/>
        </w:rPr>
        <w:t> </w:t>
      </w:r>
      <w:r>
        <w:rPr>
          <w:color w:val="231F20"/>
          <w:w w:val="105"/>
          <w:sz w:val="16"/>
        </w:rPr>
        <w:t>1.5%.</w:t>
      </w:r>
    </w:p>
    <w:p>
      <w:pPr>
        <w:spacing w:after="0" w:line="261" w:lineRule="auto"/>
        <w:jc w:val="both"/>
        <w:rPr>
          <w:sz w:val="16"/>
        </w:rPr>
        <w:sectPr>
          <w:pgSz w:w="7640" w:h="11900"/>
          <w:pgMar w:header="672" w:footer="0" w:top="860" w:bottom="280" w:left="660" w:right="760"/>
        </w:sectPr>
      </w:pPr>
    </w:p>
    <w:p>
      <w:pPr>
        <w:pStyle w:val="BodyText"/>
        <w:spacing w:before="8"/>
        <w:rPr>
          <w:sz w:val="8"/>
        </w:rPr>
      </w:pPr>
    </w:p>
    <w:p>
      <w:pPr>
        <w:spacing w:line="285" w:lineRule="auto" w:before="71"/>
        <w:ind w:left="100" w:right="117" w:firstLine="0"/>
        <w:jc w:val="both"/>
        <w:rPr>
          <w:sz w:val="18"/>
        </w:rPr>
      </w:pPr>
      <w:r>
        <w:rPr>
          <w:color w:val="231F20"/>
          <w:w w:val="110"/>
          <w:sz w:val="18"/>
        </w:rPr>
        <w:t>sino</w:t>
      </w:r>
      <w:r>
        <w:rPr>
          <w:color w:val="231F20"/>
          <w:spacing w:val="-10"/>
          <w:w w:val="110"/>
          <w:sz w:val="18"/>
        </w:rPr>
        <w:t> </w:t>
      </w:r>
      <w:r>
        <w:rPr>
          <w:color w:val="231F20"/>
          <w:w w:val="110"/>
          <w:sz w:val="18"/>
        </w:rPr>
        <w:t>que</w:t>
      </w:r>
      <w:r>
        <w:rPr>
          <w:color w:val="231F20"/>
          <w:spacing w:val="-10"/>
          <w:w w:val="110"/>
          <w:sz w:val="18"/>
        </w:rPr>
        <w:t> </w:t>
      </w:r>
      <w:r>
        <w:rPr>
          <w:color w:val="231F20"/>
          <w:w w:val="110"/>
          <w:sz w:val="18"/>
        </w:rPr>
        <w:t>se</w:t>
      </w:r>
      <w:r>
        <w:rPr>
          <w:color w:val="231F20"/>
          <w:spacing w:val="-10"/>
          <w:w w:val="110"/>
          <w:sz w:val="18"/>
        </w:rPr>
        <w:t> </w:t>
      </w:r>
      <w:r>
        <w:rPr>
          <w:color w:val="231F20"/>
          <w:w w:val="110"/>
          <w:sz w:val="18"/>
        </w:rPr>
        <w:t>lo</w:t>
      </w:r>
      <w:r>
        <w:rPr>
          <w:color w:val="231F20"/>
          <w:spacing w:val="-10"/>
          <w:w w:val="110"/>
          <w:sz w:val="18"/>
        </w:rPr>
        <w:t> </w:t>
      </w:r>
      <w:r>
        <w:rPr>
          <w:color w:val="231F20"/>
          <w:w w:val="110"/>
          <w:sz w:val="18"/>
        </w:rPr>
        <w:t>debería</w:t>
      </w:r>
      <w:r>
        <w:rPr>
          <w:color w:val="231F20"/>
          <w:spacing w:val="-10"/>
          <w:w w:val="110"/>
          <w:sz w:val="18"/>
        </w:rPr>
        <w:t> </w:t>
      </w:r>
      <w:r>
        <w:rPr>
          <w:color w:val="231F20"/>
          <w:w w:val="110"/>
          <w:sz w:val="18"/>
        </w:rPr>
        <w:t>profundizar</w:t>
      </w:r>
      <w:r>
        <w:rPr>
          <w:color w:val="231F20"/>
          <w:spacing w:val="-10"/>
          <w:w w:val="110"/>
          <w:sz w:val="18"/>
        </w:rPr>
        <w:t> </w:t>
      </w:r>
      <w:r>
        <w:rPr>
          <w:color w:val="231F20"/>
          <w:w w:val="110"/>
          <w:sz w:val="18"/>
        </w:rPr>
        <w:t>ya</w:t>
      </w:r>
      <w:r>
        <w:rPr>
          <w:color w:val="231F20"/>
          <w:spacing w:val="-10"/>
          <w:w w:val="110"/>
          <w:sz w:val="18"/>
        </w:rPr>
        <w:t> </w:t>
      </w:r>
      <w:r>
        <w:rPr>
          <w:color w:val="231F20"/>
          <w:w w:val="110"/>
          <w:sz w:val="18"/>
        </w:rPr>
        <w:t>que</w:t>
      </w:r>
      <w:r>
        <w:rPr>
          <w:color w:val="231F20"/>
          <w:spacing w:val="-10"/>
          <w:w w:val="110"/>
          <w:sz w:val="18"/>
        </w:rPr>
        <w:t> </w:t>
      </w:r>
      <w:r>
        <w:rPr>
          <w:color w:val="231F20"/>
          <w:w w:val="110"/>
          <w:sz w:val="18"/>
        </w:rPr>
        <w:t>es</w:t>
      </w:r>
      <w:r>
        <w:rPr>
          <w:color w:val="231F20"/>
          <w:spacing w:val="-10"/>
          <w:w w:val="110"/>
          <w:sz w:val="18"/>
        </w:rPr>
        <w:t> </w:t>
      </w:r>
      <w:r>
        <w:rPr>
          <w:color w:val="231F20"/>
          <w:w w:val="110"/>
          <w:sz w:val="18"/>
        </w:rPr>
        <w:t>uno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motores</w:t>
      </w:r>
      <w:r>
        <w:rPr>
          <w:color w:val="231F20"/>
          <w:spacing w:val="-10"/>
          <w:w w:val="110"/>
          <w:sz w:val="18"/>
        </w:rPr>
        <w:t> </w:t>
      </w:r>
      <w:r>
        <w:rPr>
          <w:color w:val="231F20"/>
          <w:w w:val="110"/>
          <w:sz w:val="18"/>
        </w:rPr>
        <w:t>para</w:t>
      </w:r>
      <w:r>
        <w:rPr>
          <w:color w:val="231F20"/>
          <w:spacing w:val="-10"/>
          <w:w w:val="110"/>
          <w:sz w:val="18"/>
        </w:rPr>
        <w:t> </w:t>
      </w:r>
      <w:r>
        <w:rPr>
          <w:color w:val="231F20"/>
          <w:w w:val="110"/>
          <w:sz w:val="18"/>
        </w:rPr>
        <w:t>asegurar el crecimiento económico y el propio mantenimiento financiero del Estado, aunque debe ser manejado […] a su vez, como este nuevo extractivismo contribuye a financiar los programas sociales que son clave para que estos nuevos gobiernos se puedan definir como progresistas, logran una legitimi- dad política inesperada (</w:t>
      </w:r>
      <w:r>
        <w:rPr>
          <w:color w:val="231F20"/>
          <w:w w:val="110"/>
          <w:sz w:val="20"/>
        </w:rPr>
        <w:t>Gudynas,</w:t>
      </w:r>
      <w:r>
        <w:rPr>
          <w:color w:val="231F20"/>
          <w:spacing w:val="-14"/>
          <w:w w:val="110"/>
          <w:sz w:val="20"/>
        </w:rPr>
        <w:t> </w:t>
      </w:r>
      <w:r>
        <w:rPr>
          <w:color w:val="231F20"/>
          <w:w w:val="110"/>
          <w:sz w:val="20"/>
        </w:rPr>
        <w:t>2009</w:t>
      </w:r>
      <w:r>
        <w:rPr>
          <w:color w:val="231F20"/>
          <w:w w:val="110"/>
          <w:sz w:val="18"/>
        </w:rPr>
        <w:t>).</w:t>
      </w:r>
    </w:p>
    <w:p>
      <w:pPr>
        <w:pStyle w:val="BodyText"/>
        <w:spacing w:before="9"/>
        <w:rPr>
          <w:sz w:val="19"/>
        </w:rPr>
      </w:pPr>
    </w:p>
    <w:p>
      <w:pPr>
        <w:pStyle w:val="BodyText"/>
        <w:spacing w:line="261" w:lineRule="auto"/>
        <w:ind w:left="100" w:right="117" w:firstLine="240"/>
        <w:jc w:val="both"/>
      </w:pPr>
      <w:r>
        <w:rPr>
          <w:color w:val="231F20"/>
          <w:w w:val="110"/>
        </w:rPr>
        <w:t>En</w:t>
      </w:r>
      <w:r>
        <w:rPr>
          <w:color w:val="231F20"/>
          <w:spacing w:val="-14"/>
          <w:w w:val="110"/>
        </w:rPr>
        <w:t> </w:t>
      </w:r>
      <w:r>
        <w:rPr>
          <w:color w:val="231F20"/>
          <w:w w:val="110"/>
        </w:rPr>
        <w:t>tal</w:t>
      </w:r>
      <w:r>
        <w:rPr>
          <w:color w:val="231F20"/>
          <w:spacing w:val="-14"/>
          <w:w w:val="110"/>
        </w:rPr>
        <w:t> </w:t>
      </w:r>
      <w:r>
        <w:rPr>
          <w:color w:val="231F20"/>
          <w:w w:val="110"/>
        </w:rPr>
        <w:t>sentido,</w:t>
      </w:r>
      <w:r>
        <w:rPr>
          <w:color w:val="231F20"/>
          <w:spacing w:val="-14"/>
          <w:w w:val="110"/>
        </w:rPr>
        <w:t> </w:t>
      </w:r>
      <w:r>
        <w:rPr>
          <w:color w:val="231F20"/>
          <w:w w:val="110"/>
        </w:rPr>
        <w:t>a</w:t>
      </w:r>
      <w:r>
        <w:rPr>
          <w:color w:val="231F20"/>
          <w:spacing w:val="-14"/>
          <w:w w:val="110"/>
        </w:rPr>
        <w:t> </w:t>
      </w:r>
      <w:r>
        <w:rPr>
          <w:color w:val="231F20"/>
          <w:w w:val="110"/>
        </w:rPr>
        <w:t>pesar</w:t>
      </w:r>
      <w:r>
        <w:rPr>
          <w:color w:val="231F20"/>
          <w:spacing w:val="-14"/>
          <w:w w:val="110"/>
        </w:rPr>
        <w:t> </w:t>
      </w:r>
      <w:r>
        <w:rPr>
          <w:color w:val="231F20"/>
          <w:w w:val="110"/>
        </w:rPr>
        <w:t>de</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neoextractivismo</w:t>
      </w:r>
      <w:r>
        <w:rPr>
          <w:color w:val="231F20"/>
          <w:spacing w:val="-14"/>
          <w:w w:val="110"/>
        </w:rPr>
        <w:t> </w:t>
      </w:r>
      <w:r>
        <w:rPr>
          <w:color w:val="231F20"/>
          <w:w w:val="110"/>
        </w:rPr>
        <w:t>revierte</w:t>
      </w:r>
      <w:r>
        <w:rPr>
          <w:color w:val="231F20"/>
          <w:spacing w:val="-14"/>
          <w:w w:val="110"/>
        </w:rPr>
        <w:t> </w:t>
      </w:r>
      <w:r>
        <w:rPr>
          <w:color w:val="231F20"/>
          <w:w w:val="110"/>
        </w:rPr>
        <w:t>en</w:t>
      </w:r>
      <w:r>
        <w:rPr>
          <w:color w:val="231F20"/>
          <w:spacing w:val="-14"/>
          <w:w w:val="110"/>
        </w:rPr>
        <w:t> </w:t>
      </w:r>
      <w:r>
        <w:rPr>
          <w:color w:val="231F20"/>
          <w:w w:val="110"/>
        </w:rPr>
        <w:t>cierto grado algunas de las contradicciones sobre el extractivismo clásico, ése, a decir de Gudynas, es funcional a la inserción internacional subordinada; continua la fragmentación territorial en términos de preservación de zonas de enclave; y reproduce las reglas y el fun- cionamiento de los procesos productivos atados a la competitividad, la eficiencia, la maximización de la renta y la externalización de impactos</w:t>
      </w:r>
      <w:r>
        <w:rPr>
          <w:color w:val="231F20"/>
          <w:spacing w:val="-25"/>
          <w:w w:val="110"/>
        </w:rPr>
        <w:t> </w:t>
      </w:r>
      <w:r>
        <w:rPr>
          <w:color w:val="231F20"/>
          <w:w w:val="110"/>
        </w:rPr>
        <w:t>(Gudynas,</w:t>
      </w:r>
      <w:r>
        <w:rPr>
          <w:color w:val="231F20"/>
          <w:spacing w:val="-27"/>
          <w:w w:val="110"/>
        </w:rPr>
        <w:t> </w:t>
      </w:r>
      <w:r>
        <w:rPr>
          <w:color w:val="231F20"/>
          <w:w w:val="110"/>
        </w:rPr>
        <w:t>2009).</w:t>
      </w:r>
    </w:p>
    <w:p>
      <w:pPr>
        <w:pStyle w:val="BodyText"/>
        <w:spacing w:line="261" w:lineRule="auto"/>
        <w:ind w:left="100" w:right="114" w:firstLine="240"/>
        <w:jc w:val="both"/>
      </w:pPr>
      <w:r>
        <w:rPr>
          <w:color w:val="231F20"/>
          <w:w w:val="110"/>
        </w:rPr>
        <w:t>Con todo, parte de la denominada nueva izquierda latinoame- ricana asume que el neoextractivismo resulta indispensable para combatir la pobreza y promover el desarrollo; mismo que inclusive puede presumir de un interés por mejorar o industrializar los pro- cesos que lo componen (pero a pesar de todo, no deja de serlo en   un grado</w:t>
      </w:r>
      <w:r>
        <w:rPr>
          <w:color w:val="231F20"/>
          <w:spacing w:val="49"/>
          <w:w w:val="110"/>
        </w:rPr>
        <w:t> </w:t>
      </w:r>
      <w:r>
        <w:rPr>
          <w:color w:val="231F20"/>
          <w:w w:val="110"/>
        </w:rPr>
        <w:t>limitado).</w:t>
      </w:r>
    </w:p>
    <w:p>
      <w:pPr>
        <w:pStyle w:val="BodyText"/>
        <w:ind w:left="340" w:right="25"/>
      </w:pPr>
      <w:r>
        <w:rPr>
          <w:color w:val="231F20"/>
          <w:w w:val="105"/>
        </w:rPr>
        <w:t>El  neoextractivismo,  precisa Gudynas,</w:t>
      </w:r>
    </w:p>
    <w:p>
      <w:pPr>
        <w:pStyle w:val="BodyText"/>
        <w:spacing w:before="1"/>
        <w:rPr>
          <w:sz w:val="25"/>
        </w:rPr>
      </w:pPr>
    </w:p>
    <w:p>
      <w:pPr>
        <w:spacing w:line="290" w:lineRule="auto" w:before="0"/>
        <w:ind w:left="100" w:right="117" w:firstLine="0"/>
        <w:jc w:val="both"/>
        <w:rPr>
          <w:sz w:val="18"/>
        </w:rPr>
      </w:pPr>
      <w:r>
        <w:rPr>
          <w:color w:val="231F20"/>
          <w:w w:val="110"/>
          <w:sz w:val="18"/>
        </w:rPr>
        <w:t>no puede ser entendido como una estrategia neoliberal, pero tampoco pede ser interpretado como una promisoria alternativa, que mecánicamente me- jora la calidad de vida y la autonomía ciudadana. Es evidente que el actual progresismo ofrece en muchos casos mejoras sustanciales […] pero […] persisten</w:t>
      </w:r>
      <w:r>
        <w:rPr>
          <w:color w:val="231F20"/>
          <w:spacing w:val="-12"/>
          <w:w w:val="110"/>
          <w:sz w:val="18"/>
        </w:rPr>
        <w:t> </w:t>
      </w:r>
      <w:r>
        <w:rPr>
          <w:color w:val="231F20"/>
          <w:w w:val="110"/>
          <w:sz w:val="18"/>
        </w:rPr>
        <w:t>limitaciones,</w:t>
      </w:r>
      <w:r>
        <w:rPr>
          <w:color w:val="231F20"/>
          <w:spacing w:val="-12"/>
          <w:w w:val="110"/>
          <w:sz w:val="18"/>
        </w:rPr>
        <w:t> </w:t>
      </w:r>
      <w:r>
        <w:rPr>
          <w:color w:val="231F20"/>
          <w:w w:val="110"/>
          <w:sz w:val="18"/>
        </w:rPr>
        <w:t>resistencias</w:t>
      </w:r>
      <w:r>
        <w:rPr>
          <w:color w:val="231F20"/>
          <w:spacing w:val="-12"/>
          <w:w w:val="110"/>
          <w:sz w:val="18"/>
        </w:rPr>
        <w:t> </w:t>
      </w:r>
      <w:r>
        <w:rPr>
          <w:color w:val="231F20"/>
          <w:w w:val="110"/>
          <w:sz w:val="18"/>
        </w:rPr>
        <w:t>y</w:t>
      </w:r>
      <w:r>
        <w:rPr>
          <w:color w:val="231F20"/>
          <w:spacing w:val="-12"/>
          <w:w w:val="110"/>
          <w:sz w:val="18"/>
        </w:rPr>
        <w:t> </w:t>
      </w:r>
      <w:r>
        <w:rPr>
          <w:color w:val="231F20"/>
          <w:w w:val="110"/>
          <w:sz w:val="18"/>
        </w:rPr>
        <w:t>contradicciones.</w:t>
      </w:r>
      <w:r>
        <w:rPr>
          <w:color w:val="231F20"/>
          <w:spacing w:val="-12"/>
          <w:w w:val="110"/>
          <w:sz w:val="18"/>
        </w:rPr>
        <w:t> </w:t>
      </w:r>
      <w:r>
        <w:rPr>
          <w:color w:val="231F20"/>
          <w:w w:val="110"/>
          <w:sz w:val="18"/>
        </w:rPr>
        <w:t>Esta</w:t>
      </w:r>
      <w:r>
        <w:rPr>
          <w:color w:val="231F20"/>
          <w:spacing w:val="-12"/>
          <w:w w:val="110"/>
          <w:sz w:val="18"/>
        </w:rPr>
        <w:t> </w:t>
      </w:r>
      <w:r>
        <w:rPr>
          <w:color w:val="231F20"/>
          <w:w w:val="110"/>
          <w:sz w:val="18"/>
        </w:rPr>
        <w:t>no</w:t>
      </w:r>
      <w:r>
        <w:rPr>
          <w:color w:val="231F20"/>
          <w:spacing w:val="-12"/>
          <w:w w:val="110"/>
          <w:sz w:val="18"/>
        </w:rPr>
        <w:t> </w:t>
      </w:r>
      <w:r>
        <w:rPr>
          <w:color w:val="231F20"/>
          <w:w w:val="110"/>
          <w:sz w:val="18"/>
        </w:rPr>
        <w:t>es</w:t>
      </w:r>
      <w:r>
        <w:rPr>
          <w:color w:val="231F20"/>
          <w:spacing w:val="-12"/>
          <w:w w:val="110"/>
          <w:sz w:val="18"/>
        </w:rPr>
        <w:t> </w:t>
      </w:r>
      <w:r>
        <w:rPr>
          <w:color w:val="231F20"/>
          <w:w w:val="110"/>
          <w:sz w:val="18"/>
        </w:rPr>
        <w:t>un</w:t>
      </w:r>
      <w:r>
        <w:rPr>
          <w:color w:val="231F20"/>
          <w:spacing w:val="-12"/>
          <w:w w:val="110"/>
          <w:sz w:val="18"/>
        </w:rPr>
        <w:t> </w:t>
      </w:r>
      <w:r>
        <w:rPr>
          <w:color w:val="231F20"/>
          <w:w w:val="110"/>
          <w:sz w:val="18"/>
        </w:rPr>
        <w:t>retroceso al pasado obsesionado con el mercado, pero tampoco ejemplifica un</w:t>
      </w:r>
      <w:r>
        <w:rPr>
          <w:color w:val="231F20"/>
          <w:spacing w:val="-25"/>
          <w:w w:val="110"/>
          <w:sz w:val="18"/>
        </w:rPr>
        <w:t> </w:t>
      </w:r>
      <w:r>
        <w:rPr>
          <w:color w:val="231F20"/>
          <w:w w:val="110"/>
          <w:sz w:val="18"/>
        </w:rPr>
        <w:t>paraíso </w:t>
      </w:r>
      <w:r>
        <w:rPr>
          <w:color w:val="231F20"/>
          <w:w w:val="105"/>
          <w:sz w:val="18"/>
        </w:rPr>
        <w:t>socialista</w:t>
      </w:r>
      <w:r>
        <w:rPr>
          <w:color w:val="231F20"/>
          <w:spacing w:val="30"/>
          <w:w w:val="105"/>
          <w:sz w:val="18"/>
        </w:rPr>
        <w:t> </w:t>
      </w:r>
      <w:r>
        <w:rPr>
          <w:color w:val="231F20"/>
          <w:w w:val="105"/>
          <w:sz w:val="18"/>
        </w:rPr>
        <w:t>(2009).</w:t>
      </w:r>
    </w:p>
    <w:p>
      <w:pPr>
        <w:pStyle w:val="BodyText"/>
        <w:spacing w:before="2"/>
      </w:pPr>
    </w:p>
    <w:p>
      <w:pPr>
        <w:pStyle w:val="BodyText"/>
        <w:spacing w:line="261" w:lineRule="auto"/>
        <w:ind w:left="100" w:right="115" w:firstLine="240"/>
        <w:jc w:val="both"/>
      </w:pPr>
      <w:r>
        <w:rPr>
          <w:color w:val="231F20"/>
          <w:w w:val="105"/>
        </w:rPr>
        <w:t>En </w:t>
      </w:r>
      <w:r>
        <w:rPr>
          <w:color w:val="231F20"/>
          <w:spacing w:val="2"/>
          <w:w w:val="105"/>
        </w:rPr>
        <w:t>este panorama, </w:t>
      </w:r>
      <w:r>
        <w:rPr>
          <w:color w:val="231F20"/>
          <w:w w:val="105"/>
        </w:rPr>
        <w:t>el </w:t>
      </w:r>
      <w:r>
        <w:rPr>
          <w:color w:val="231F20"/>
          <w:spacing w:val="2"/>
          <w:w w:val="105"/>
        </w:rPr>
        <w:t>concepto  </w:t>
      </w:r>
      <w:r>
        <w:rPr>
          <w:color w:val="231F20"/>
          <w:w w:val="105"/>
        </w:rPr>
        <w:t>de  </w:t>
      </w:r>
      <w:r>
        <w:rPr>
          <w:color w:val="231F20"/>
          <w:spacing w:val="2"/>
          <w:w w:val="105"/>
        </w:rPr>
        <w:t>desarrollo,  </w:t>
      </w:r>
      <w:r>
        <w:rPr>
          <w:color w:val="231F20"/>
          <w:w w:val="105"/>
        </w:rPr>
        <w:t>en </w:t>
      </w:r>
      <w:r>
        <w:rPr>
          <w:color w:val="231F20"/>
          <w:spacing w:val="45"/>
          <w:w w:val="105"/>
        </w:rPr>
        <w:t> </w:t>
      </w:r>
      <w:r>
        <w:rPr>
          <w:color w:val="231F20"/>
          <w:spacing w:val="2"/>
          <w:w w:val="105"/>
        </w:rPr>
        <w:t>“positivo” </w:t>
      </w:r>
      <w:r>
        <w:rPr>
          <w:color w:val="231F20"/>
          <w:spacing w:val="12"/>
          <w:w w:val="105"/>
        </w:rPr>
        <w:t> </w:t>
      </w:r>
      <w:r>
        <w:rPr>
          <w:color w:val="231F20"/>
          <w:w w:val="105"/>
        </w:rPr>
        <w:t>y</w:t>
      </w:r>
      <w:r>
        <w:rPr>
          <w:color w:val="231F20"/>
          <w:w w:val="84"/>
        </w:rPr>
        <w:t> </w:t>
      </w:r>
      <w:r>
        <w:rPr>
          <w:color w:val="231F20"/>
          <w:w w:val="105"/>
        </w:rPr>
        <w:t>por diferenciarlo de alguna manera, toma relevancia. Ése implica desprenderse de la noción de desarrollo capitalista para desde ahí construir otras visiones completamente distintas de  desarrollo,  una que abandone el desarrollismo y que por el contrario piense la vida misma como principal finalidad o “fines del desarrollo”. Esto implica que la noción en positivo del desarrollo debe partir de una fuerte y genuina conciencia socio-ambiental, haciendo valer los aportes  </w:t>
      </w:r>
      <w:r>
        <w:rPr>
          <w:color w:val="231F20"/>
          <w:spacing w:val="52"/>
          <w:w w:val="105"/>
        </w:rPr>
        <w:t> </w:t>
      </w:r>
      <w:r>
        <w:rPr>
          <w:color w:val="231F20"/>
          <w:w w:val="105"/>
        </w:rPr>
        <w:t>cultu-</w:t>
      </w:r>
    </w:p>
    <w:p>
      <w:pPr>
        <w:spacing w:after="0" w:line="261" w:lineRule="auto"/>
        <w:jc w:val="both"/>
        <w:sectPr>
          <w:headerReference w:type="even" r:id="rId409"/>
          <w:headerReference w:type="default" r:id="rId410"/>
          <w:pgSz w:w="7640" w:h="11900"/>
          <w:pgMar w:header="672" w:footer="0" w:top="860" w:bottom="280" w:left="780" w:right="640"/>
          <w:pgNumType w:start="522"/>
        </w:sectPr>
      </w:pPr>
    </w:p>
    <w:p>
      <w:pPr>
        <w:pStyle w:val="BodyText"/>
        <w:spacing w:before="8"/>
        <w:rPr>
          <w:sz w:val="8"/>
        </w:rPr>
      </w:pPr>
    </w:p>
    <w:p>
      <w:pPr>
        <w:pStyle w:val="BodyText"/>
        <w:spacing w:line="261" w:lineRule="auto" w:before="67"/>
        <w:ind w:left="100" w:right="119"/>
        <w:jc w:val="both"/>
      </w:pPr>
      <w:r>
        <w:rPr>
          <w:color w:val="231F20"/>
          <w:w w:val="110"/>
        </w:rPr>
        <w:t>rales de los pueblos, traduciéndose en la mejora de las condiciones materiales e inmateriales de la gente y preservando la diversidad biológica y cultural.</w:t>
      </w:r>
    </w:p>
    <w:p>
      <w:pPr>
        <w:pStyle w:val="BodyText"/>
        <w:spacing w:line="261" w:lineRule="auto"/>
        <w:ind w:left="100" w:right="117" w:firstLine="240"/>
        <w:jc w:val="both"/>
      </w:pPr>
      <w:r>
        <w:rPr>
          <w:color w:val="231F20"/>
          <w:w w:val="110"/>
        </w:rPr>
        <w:t>Por</w:t>
      </w:r>
      <w:r>
        <w:rPr>
          <w:color w:val="231F20"/>
          <w:spacing w:val="-11"/>
          <w:w w:val="110"/>
        </w:rPr>
        <w:t> </w:t>
      </w:r>
      <w:r>
        <w:rPr>
          <w:color w:val="231F20"/>
          <w:w w:val="110"/>
        </w:rPr>
        <w:t>lo</w:t>
      </w:r>
      <w:r>
        <w:rPr>
          <w:color w:val="231F20"/>
          <w:spacing w:val="-11"/>
          <w:w w:val="110"/>
        </w:rPr>
        <w:t> </w:t>
      </w:r>
      <w:r>
        <w:rPr>
          <w:color w:val="231F20"/>
          <w:w w:val="110"/>
        </w:rPr>
        <w:t>antes</w:t>
      </w:r>
      <w:r>
        <w:rPr>
          <w:color w:val="231F20"/>
          <w:spacing w:val="-11"/>
          <w:w w:val="110"/>
        </w:rPr>
        <w:t> </w:t>
      </w:r>
      <w:r>
        <w:rPr>
          <w:color w:val="231F20"/>
          <w:w w:val="110"/>
        </w:rPr>
        <w:t>precisado</w:t>
      </w:r>
      <w:r>
        <w:rPr>
          <w:color w:val="231F20"/>
          <w:spacing w:val="-11"/>
          <w:w w:val="110"/>
        </w:rPr>
        <w:t> </w:t>
      </w:r>
      <w:r>
        <w:rPr>
          <w:color w:val="231F20"/>
          <w:w w:val="110"/>
        </w:rPr>
        <w:t>y</w:t>
      </w:r>
      <w:r>
        <w:rPr>
          <w:color w:val="231F20"/>
          <w:spacing w:val="-11"/>
          <w:w w:val="110"/>
        </w:rPr>
        <w:t> </w:t>
      </w:r>
      <w:r>
        <w:rPr>
          <w:color w:val="231F20"/>
          <w:w w:val="110"/>
        </w:rPr>
        <w:t>ante</w:t>
      </w:r>
      <w:r>
        <w:rPr>
          <w:color w:val="231F20"/>
          <w:spacing w:val="-11"/>
          <w:w w:val="110"/>
        </w:rPr>
        <w:t> </w:t>
      </w:r>
      <w:r>
        <w:rPr>
          <w:color w:val="231F20"/>
          <w:w w:val="110"/>
        </w:rPr>
        <w:t>la</w:t>
      </w:r>
      <w:r>
        <w:rPr>
          <w:color w:val="231F20"/>
          <w:spacing w:val="-11"/>
          <w:w w:val="110"/>
        </w:rPr>
        <w:t> </w:t>
      </w:r>
      <w:r>
        <w:rPr>
          <w:color w:val="231F20"/>
          <w:w w:val="110"/>
        </w:rPr>
        <w:t>profundización</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esquemas</w:t>
      </w:r>
      <w:r>
        <w:rPr>
          <w:color w:val="231F20"/>
          <w:spacing w:val="-11"/>
          <w:w w:val="110"/>
        </w:rPr>
        <w:t> </w:t>
      </w:r>
      <w:r>
        <w:rPr>
          <w:color w:val="231F20"/>
          <w:w w:val="110"/>
        </w:rPr>
        <w:t>de transferencia de riqueza de la periferia hacia los países metropolita- nos, así como la agudización de la devastación ambiental que ésta y otros procesos generan, es claro que el uso de la fuerza o la</w:t>
      </w:r>
      <w:r>
        <w:rPr>
          <w:color w:val="231F20"/>
          <w:spacing w:val="-37"/>
          <w:w w:val="110"/>
        </w:rPr>
        <w:t> </w:t>
      </w:r>
      <w:r>
        <w:rPr>
          <w:color w:val="231F20"/>
          <w:w w:val="110"/>
        </w:rPr>
        <w:t>amenaza del</w:t>
      </w:r>
      <w:r>
        <w:rPr>
          <w:color w:val="231F20"/>
          <w:spacing w:val="-12"/>
          <w:w w:val="110"/>
        </w:rPr>
        <w:t> </w:t>
      </w:r>
      <w:r>
        <w:rPr>
          <w:color w:val="231F20"/>
          <w:w w:val="110"/>
        </w:rPr>
        <w:t>uso</w:t>
      </w:r>
      <w:r>
        <w:rPr>
          <w:color w:val="231F20"/>
          <w:spacing w:val="-12"/>
          <w:w w:val="110"/>
        </w:rPr>
        <w:t> </w:t>
      </w:r>
      <w:r>
        <w:rPr>
          <w:color w:val="231F20"/>
          <w:w w:val="110"/>
        </w:rPr>
        <w:t>de</w:t>
      </w:r>
      <w:r>
        <w:rPr>
          <w:color w:val="231F20"/>
          <w:spacing w:val="-12"/>
          <w:w w:val="110"/>
        </w:rPr>
        <w:t> </w:t>
      </w:r>
      <w:r>
        <w:rPr>
          <w:color w:val="231F20"/>
          <w:w w:val="110"/>
        </w:rPr>
        <w:t>ésta</w:t>
      </w:r>
      <w:r>
        <w:rPr>
          <w:color w:val="231F20"/>
          <w:spacing w:val="-12"/>
          <w:w w:val="110"/>
        </w:rPr>
        <w:t> </w:t>
      </w:r>
      <w:r>
        <w:rPr>
          <w:color w:val="231F20"/>
          <w:w w:val="110"/>
        </w:rPr>
        <w:t>como</w:t>
      </w:r>
      <w:r>
        <w:rPr>
          <w:color w:val="231F20"/>
          <w:spacing w:val="-12"/>
          <w:w w:val="110"/>
        </w:rPr>
        <w:t> </w:t>
      </w:r>
      <w:r>
        <w:rPr>
          <w:color w:val="231F20"/>
          <w:w w:val="110"/>
        </w:rPr>
        <w:t>procedimiento</w:t>
      </w:r>
      <w:r>
        <w:rPr>
          <w:color w:val="231F20"/>
          <w:spacing w:val="-12"/>
          <w:w w:val="110"/>
        </w:rPr>
        <w:t> </w:t>
      </w:r>
      <w:r>
        <w:rPr>
          <w:color w:val="231F20"/>
          <w:w w:val="110"/>
        </w:rPr>
        <w:t>predilecto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securitización</w:t>
      </w:r>
      <w:r>
        <w:rPr>
          <w:color w:val="231F20"/>
          <w:spacing w:val="-12"/>
          <w:w w:val="110"/>
        </w:rPr>
        <w:t> </w:t>
      </w:r>
      <w:r>
        <w:rPr>
          <w:color w:val="231F20"/>
          <w:w w:val="110"/>
        </w:rPr>
        <w:t>de los</w:t>
      </w:r>
      <w:r>
        <w:rPr>
          <w:color w:val="231F20"/>
          <w:spacing w:val="-21"/>
          <w:w w:val="110"/>
        </w:rPr>
        <w:t> </w:t>
      </w:r>
      <w:r>
        <w:rPr>
          <w:color w:val="231F20"/>
          <w:w w:val="110"/>
        </w:rPr>
        <w:t>recursos</w:t>
      </w:r>
      <w:r>
        <w:rPr>
          <w:color w:val="231F20"/>
          <w:spacing w:val="-21"/>
          <w:w w:val="110"/>
        </w:rPr>
        <w:t> </w:t>
      </w:r>
      <w:r>
        <w:rPr>
          <w:color w:val="231F20"/>
          <w:w w:val="110"/>
        </w:rPr>
        <w:t>es</w:t>
      </w:r>
      <w:r>
        <w:rPr>
          <w:color w:val="231F20"/>
          <w:spacing w:val="-21"/>
          <w:w w:val="110"/>
        </w:rPr>
        <w:t> </w:t>
      </w:r>
      <w:r>
        <w:rPr>
          <w:color w:val="231F20"/>
          <w:w w:val="110"/>
        </w:rPr>
        <w:t>muy</w:t>
      </w:r>
      <w:r>
        <w:rPr>
          <w:color w:val="231F20"/>
          <w:spacing w:val="-21"/>
          <w:w w:val="110"/>
        </w:rPr>
        <w:t> </w:t>
      </w:r>
      <w:r>
        <w:rPr>
          <w:color w:val="231F20"/>
          <w:w w:val="110"/>
        </w:rPr>
        <w:t>problemático</w:t>
      </w:r>
      <w:r>
        <w:rPr>
          <w:color w:val="231F20"/>
          <w:spacing w:val="-21"/>
          <w:w w:val="110"/>
        </w:rPr>
        <w:t> </w:t>
      </w:r>
      <w:r>
        <w:rPr>
          <w:color w:val="231F20"/>
          <w:w w:val="110"/>
        </w:rPr>
        <w:t>y</w:t>
      </w:r>
      <w:r>
        <w:rPr>
          <w:color w:val="231F20"/>
          <w:spacing w:val="-21"/>
          <w:w w:val="110"/>
        </w:rPr>
        <w:t> </w:t>
      </w:r>
      <w:r>
        <w:rPr>
          <w:color w:val="231F20"/>
          <w:w w:val="110"/>
        </w:rPr>
        <w:t>peligroso,</w:t>
      </w:r>
      <w:r>
        <w:rPr>
          <w:color w:val="231F20"/>
          <w:spacing w:val="-21"/>
          <w:w w:val="110"/>
        </w:rPr>
        <w:t> </w:t>
      </w:r>
      <w:r>
        <w:rPr>
          <w:color w:val="231F20"/>
          <w:w w:val="110"/>
        </w:rPr>
        <w:t>no</w:t>
      </w:r>
      <w:r>
        <w:rPr>
          <w:color w:val="231F20"/>
          <w:spacing w:val="-21"/>
          <w:w w:val="110"/>
        </w:rPr>
        <w:t> </w:t>
      </w:r>
      <w:r>
        <w:rPr>
          <w:color w:val="231F20"/>
          <w:w w:val="110"/>
        </w:rPr>
        <w:t>sólo</w:t>
      </w:r>
      <w:r>
        <w:rPr>
          <w:color w:val="231F20"/>
          <w:spacing w:val="-21"/>
          <w:w w:val="110"/>
        </w:rPr>
        <w:t> </w:t>
      </w:r>
      <w:r>
        <w:rPr>
          <w:color w:val="231F20"/>
          <w:w w:val="110"/>
        </w:rPr>
        <w:t>porque</w:t>
      </w:r>
      <w:r>
        <w:rPr>
          <w:color w:val="231F20"/>
          <w:spacing w:val="-21"/>
          <w:w w:val="110"/>
        </w:rPr>
        <w:t> </w:t>
      </w:r>
      <w:r>
        <w:rPr>
          <w:color w:val="231F20"/>
          <w:w w:val="110"/>
        </w:rPr>
        <w:t>se</w:t>
      </w:r>
      <w:r>
        <w:rPr>
          <w:color w:val="231F20"/>
          <w:spacing w:val="-20"/>
          <w:w w:val="110"/>
        </w:rPr>
        <w:t> </w:t>
      </w:r>
      <w:r>
        <w:rPr>
          <w:color w:val="231F20"/>
          <w:w w:val="110"/>
        </w:rPr>
        <w:t>puede salir de control y generar un polvorín social, sino porque puede ser utilizado</w:t>
      </w:r>
      <w:r>
        <w:rPr>
          <w:color w:val="231F20"/>
          <w:spacing w:val="-7"/>
          <w:w w:val="110"/>
        </w:rPr>
        <w:t> </w:t>
      </w:r>
      <w:r>
        <w:rPr>
          <w:color w:val="231F20"/>
          <w:w w:val="110"/>
        </w:rPr>
        <w:t>por</w:t>
      </w:r>
      <w:r>
        <w:rPr>
          <w:color w:val="231F20"/>
          <w:spacing w:val="-7"/>
          <w:w w:val="110"/>
        </w:rPr>
        <w:t> </w:t>
      </w:r>
      <w:r>
        <w:rPr>
          <w:color w:val="231F20"/>
          <w:w w:val="110"/>
        </w:rPr>
        <w:t>los</w:t>
      </w:r>
      <w:r>
        <w:rPr>
          <w:color w:val="231F20"/>
          <w:spacing w:val="-7"/>
          <w:w w:val="110"/>
        </w:rPr>
        <w:t> </w:t>
      </w:r>
      <w:r>
        <w:rPr>
          <w:color w:val="231F20"/>
          <w:w w:val="110"/>
        </w:rPr>
        <w:t>grupos</w:t>
      </w:r>
      <w:r>
        <w:rPr>
          <w:color w:val="231F20"/>
          <w:spacing w:val="-7"/>
          <w:w w:val="110"/>
        </w:rPr>
        <w:t> </w:t>
      </w:r>
      <w:r>
        <w:rPr>
          <w:color w:val="231F20"/>
          <w:w w:val="110"/>
        </w:rPr>
        <w:t>de</w:t>
      </w:r>
      <w:r>
        <w:rPr>
          <w:color w:val="231F20"/>
          <w:spacing w:val="-7"/>
          <w:w w:val="110"/>
        </w:rPr>
        <w:t> </w:t>
      </w:r>
      <w:r>
        <w:rPr>
          <w:color w:val="231F20"/>
          <w:w w:val="110"/>
        </w:rPr>
        <w:t>poder</w:t>
      </w:r>
      <w:r>
        <w:rPr>
          <w:color w:val="231F20"/>
          <w:spacing w:val="-7"/>
          <w:w w:val="110"/>
        </w:rPr>
        <w:t> </w:t>
      </w:r>
      <w:r>
        <w:rPr>
          <w:color w:val="231F20"/>
          <w:w w:val="110"/>
        </w:rPr>
        <w:t>como</w:t>
      </w:r>
      <w:r>
        <w:rPr>
          <w:color w:val="231F20"/>
          <w:spacing w:val="-7"/>
          <w:w w:val="110"/>
        </w:rPr>
        <w:t> </w:t>
      </w:r>
      <w:r>
        <w:rPr>
          <w:color w:val="231F20"/>
          <w:w w:val="110"/>
        </w:rPr>
        <w:t>mecanismo</w:t>
      </w:r>
      <w:r>
        <w:rPr>
          <w:color w:val="231F20"/>
          <w:spacing w:val="-7"/>
          <w:w w:val="110"/>
        </w:rPr>
        <w:t> </w:t>
      </w:r>
      <w:r>
        <w:rPr>
          <w:color w:val="231F20"/>
          <w:w w:val="110"/>
        </w:rPr>
        <w:t>para</w:t>
      </w:r>
      <w:r>
        <w:rPr>
          <w:color w:val="231F20"/>
          <w:spacing w:val="-7"/>
          <w:w w:val="110"/>
        </w:rPr>
        <w:t> </w:t>
      </w:r>
      <w:r>
        <w:rPr>
          <w:color w:val="231F20"/>
          <w:w w:val="110"/>
        </w:rPr>
        <w:t>criminalizar los</w:t>
      </w:r>
      <w:r>
        <w:rPr>
          <w:color w:val="231F20"/>
          <w:spacing w:val="-7"/>
          <w:w w:val="110"/>
        </w:rPr>
        <w:t> </w:t>
      </w:r>
      <w:r>
        <w:rPr>
          <w:color w:val="231F20"/>
          <w:w w:val="110"/>
        </w:rPr>
        <w:t>movimientos</w:t>
      </w:r>
      <w:r>
        <w:rPr>
          <w:color w:val="231F20"/>
          <w:spacing w:val="-7"/>
          <w:w w:val="110"/>
        </w:rPr>
        <w:t> </w:t>
      </w:r>
      <w:r>
        <w:rPr>
          <w:color w:val="231F20"/>
          <w:w w:val="110"/>
        </w:rPr>
        <w:t>sociales</w:t>
      </w:r>
      <w:r>
        <w:rPr>
          <w:color w:val="231F20"/>
          <w:spacing w:val="-7"/>
          <w:w w:val="110"/>
        </w:rPr>
        <w:t> </w:t>
      </w:r>
      <w:r>
        <w:rPr>
          <w:color w:val="231F20"/>
          <w:w w:val="110"/>
        </w:rPr>
        <w:t>en</w:t>
      </w:r>
      <w:r>
        <w:rPr>
          <w:color w:val="231F20"/>
          <w:spacing w:val="-7"/>
          <w:w w:val="110"/>
        </w:rPr>
        <w:t> </w:t>
      </w:r>
      <w:r>
        <w:rPr>
          <w:color w:val="231F20"/>
          <w:w w:val="110"/>
        </w:rPr>
        <w:t>defensa</w:t>
      </w:r>
      <w:r>
        <w:rPr>
          <w:color w:val="231F20"/>
          <w:spacing w:val="-7"/>
          <w:w w:val="110"/>
        </w:rPr>
        <w:t> </w:t>
      </w:r>
      <w:r>
        <w:rPr>
          <w:color w:val="231F20"/>
          <w:w w:val="110"/>
        </w:rPr>
        <w:t>de</w:t>
      </w:r>
      <w:r>
        <w:rPr>
          <w:color w:val="231F20"/>
          <w:spacing w:val="-7"/>
          <w:w w:val="110"/>
        </w:rPr>
        <w:t> </w:t>
      </w:r>
      <w:r>
        <w:rPr>
          <w:color w:val="231F20"/>
          <w:w w:val="110"/>
        </w:rPr>
        <w:t>sus</w:t>
      </w:r>
      <w:r>
        <w:rPr>
          <w:color w:val="231F20"/>
          <w:spacing w:val="-7"/>
          <w:w w:val="110"/>
        </w:rPr>
        <w:t> </w:t>
      </w:r>
      <w:r>
        <w:rPr>
          <w:color w:val="231F20"/>
          <w:w w:val="110"/>
        </w:rPr>
        <w:t>recursos,</w:t>
      </w:r>
      <w:r>
        <w:rPr>
          <w:color w:val="231F20"/>
          <w:spacing w:val="-7"/>
          <w:w w:val="110"/>
        </w:rPr>
        <w:t> </w:t>
      </w:r>
      <w:r>
        <w:rPr>
          <w:color w:val="231F20"/>
          <w:w w:val="110"/>
        </w:rPr>
        <w:t>último</w:t>
      </w:r>
      <w:r>
        <w:rPr>
          <w:color w:val="231F20"/>
          <w:spacing w:val="-7"/>
          <w:w w:val="110"/>
        </w:rPr>
        <w:t> </w:t>
      </w:r>
      <w:r>
        <w:rPr>
          <w:color w:val="231F20"/>
          <w:w w:val="110"/>
        </w:rPr>
        <w:t>sustento de vida de dichos</w:t>
      </w:r>
      <w:r>
        <w:rPr>
          <w:color w:val="231F20"/>
          <w:spacing w:val="20"/>
          <w:w w:val="110"/>
        </w:rPr>
        <w:t> </w:t>
      </w:r>
      <w:r>
        <w:rPr>
          <w:color w:val="231F20"/>
          <w:w w:val="110"/>
        </w:rPr>
        <w:t>pueblos.</w:t>
      </w:r>
    </w:p>
    <w:p>
      <w:pPr>
        <w:pStyle w:val="BodyText"/>
        <w:spacing w:line="261" w:lineRule="auto"/>
        <w:ind w:left="100" w:right="117" w:firstLine="240"/>
        <w:jc w:val="both"/>
      </w:pPr>
      <w:r>
        <w:rPr>
          <w:color w:val="231F20"/>
          <w:w w:val="110"/>
        </w:rPr>
        <w:t>El debate sobre esta cuestión, con toda la amplitud de aspectos que vincula, se perfila como un asunto de trascendencia que se</w:t>
      </w:r>
      <w:r>
        <w:rPr>
          <w:color w:val="231F20"/>
          <w:spacing w:val="-31"/>
          <w:w w:val="110"/>
        </w:rPr>
        <w:t> </w:t>
      </w:r>
      <w:r>
        <w:rPr>
          <w:color w:val="231F20"/>
          <w:w w:val="110"/>
        </w:rPr>
        <w:t>man- tendrá en la agenda latinoamericana, tanto de parte de las elites de poder</w:t>
      </w:r>
      <w:r>
        <w:rPr>
          <w:color w:val="231F20"/>
          <w:spacing w:val="-12"/>
          <w:w w:val="110"/>
        </w:rPr>
        <w:t> </w:t>
      </w:r>
      <w:r>
        <w:rPr>
          <w:color w:val="231F20"/>
          <w:w w:val="110"/>
        </w:rPr>
        <w:t>extranjeras</w:t>
      </w:r>
      <w:r>
        <w:rPr>
          <w:color w:val="231F20"/>
          <w:spacing w:val="-12"/>
          <w:w w:val="110"/>
        </w:rPr>
        <w:t> </w:t>
      </w:r>
      <w:r>
        <w:rPr>
          <w:color w:val="231F20"/>
          <w:w w:val="110"/>
        </w:rPr>
        <w:t>(sobre</w:t>
      </w:r>
      <w:r>
        <w:rPr>
          <w:color w:val="231F20"/>
          <w:spacing w:val="-12"/>
          <w:w w:val="110"/>
        </w:rPr>
        <w:t> </w:t>
      </w:r>
      <w:r>
        <w:rPr>
          <w:color w:val="231F20"/>
          <w:w w:val="110"/>
        </w:rPr>
        <w:t>todo</w:t>
      </w:r>
      <w:r>
        <w:rPr>
          <w:color w:val="231F20"/>
          <w:spacing w:val="-12"/>
          <w:w w:val="110"/>
        </w:rPr>
        <w:t> </w:t>
      </w:r>
      <w:r>
        <w:rPr>
          <w:color w:val="231F20"/>
          <w:w w:val="110"/>
        </w:rPr>
        <w:t>estadunidenses)</w:t>
      </w:r>
      <w:r>
        <w:rPr>
          <w:color w:val="231F20"/>
          <w:spacing w:val="-12"/>
          <w:w w:val="110"/>
        </w:rPr>
        <w:t> </w:t>
      </w:r>
      <w:r>
        <w:rPr>
          <w:color w:val="231F20"/>
          <w:w w:val="110"/>
        </w:rPr>
        <w:t>y</w:t>
      </w:r>
      <w:r>
        <w:rPr>
          <w:color w:val="231F20"/>
          <w:spacing w:val="-12"/>
          <w:w w:val="110"/>
        </w:rPr>
        <w:t> </w:t>
      </w:r>
      <w:r>
        <w:rPr>
          <w:color w:val="231F20"/>
          <w:w w:val="110"/>
        </w:rPr>
        <w:t>sus</w:t>
      </w:r>
      <w:r>
        <w:rPr>
          <w:color w:val="231F20"/>
          <w:spacing w:val="-12"/>
          <w:w w:val="110"/>
        </w:rPr>
        <w:t> </w:t>
      </w:r>
      <w:r>
        <w:rPr>
          <w:color w:val="231F20"/>
          <w:w w:val="110"/>
        </w:rPr>
        <w:t>socios</w:t>
      </w:r>
      <w:r>
        <w:rPr>
          <w:color w:val="231F20"/>
          <w:spacing w:val="-12"/>
          <w:w w:val="110"/>
        </w:rPr>
        <w:t> </w:t>
      </w:r>
      <w:r>
        <w:rPr>
          <w:color w:val="231F20"/>
          <w:w w:val="110"/>
        </w:rPr>
        <w:t>regionales (dígase oligarquía), como de los pueblos. Más cuando se sabe que</w:t>
      </w:r>
      <w:r>
        <w:rPr>
          <w:color w:val="231F20"/>
          <w:spacing w:val="-19"/>
          <w:w w:val="110"/>
        </w:rPr>
        <w:t> </w:t>
      </w:r>
      <w:r>
        <w:rPr>
          <w:color w:val="231F20"/>
          <w:w w:val="110"/>
        </w:rPr>
        <w:t>la crisis económica retroalimenta la crisis</w:t>
      </w:r>
      <w:r>
        <w:rPr>
          <w:color w:val="231F20"/>
          <w:spacing w:val="-6"/>
          <w:w w:val="110"/>
        </w:rPr>
        <w:t> </w:t>
      </w:r>
      <w:r>
        <w:rPr>
          <w:color w:val="231F20"/>
          <w:w w:val="110"/>
        </w:rPr>
        <w:t>ambiental.</w:t>
      </w:r>
    </w:p>
    <w:p>
      <w:pPr>
        <w:pStyle w:val="BodyText"/>
        <w:spacing w:line="261" w:lineRule="auto"/>
        <w:ind w:left="100" w:right="117" w:firstLine="240"/>
        <w:jc w:val="both"/>
      </w:pPr>
      <w:r>
        <w:rPr>
          <w:color w:val="231F20"/>
          <w:w w:val="110"/>
        </w:rPr>
        <w:t>Desde</w:t>
      </w:r>
      <w:r>
        <w:rPr>
          <w:color w:val="231F20"/>
          <w:spacing w:val="-8"/>
          <w:w w:val="110"/>
        </w:rPr>
        <w:t> </w:t>
      </w:r>
      <w:r>
        <w:rPr>
          <w:color w:val="231F20"/>
          <w:w w:val="110"/>
        </w:rPr>
        <w:t>el</w:t>
      </w:r>
      <w:r>
        <w:rPr>
          <w:color w:val="231F20"/>
          <w:spacing w:val="-7"/>
          <w:w w:val="110"/>
        </w:rPr>
        <w:t> </w:t>
      </w:r>
      <w:r>
        <w:rPr>
          <w:color w:val="231F20"/>
          <w:w w:val="110"/>
        </w:rPr>
        <w:t>punto</w:t>
      </w:r>
      <w:r>
        <w:rPr>
          <w:color w:val="231F20"/>
          <w:spacing w:val="-8"/>
          <w:w w:val="110"/>
        </w:rPr>
        <w:t> </w:t>
      </w:r>
      <w:r>
        <w:rPr>
          <w:color w:val="231F20"/>
          <w:w w:val="110"/>
        </w:rPr>
        <w:t>de</w:t>
      </w:r>
      <w:r>
        <w:rPr>
          <w:color w:val="231F20"/>
          <w:spacing w:val="-7"/>
          <w:w w:val="110"/>
        </w:rPr>
        <w:t> </w:t>
      </w:r>
      <w:r>
        <w:rPr>
          <w:color w:val="231F20"/>
          <w:w w:val="110"/>
        </w:rPr>
        <w:t>vista</w:t>
      </w:r>
      <w:r>
        <w:rPr>
          <w:color w:val="231F20"/>
          <w:spacing w:val="-8"/>
          <w:w w:val="110"/>
        </w:rPr>
        <w:t> </w:t>
      </w:r>
      <w:r>
        <w:rPr>
          <w:color w:val="231F20"/>
          <w:w w:val="110"/>
        </w:rPr>
        <w:t>de</w:t>
      </w:r>
      <w:r>
        <w:rPr>
          <w:color w:val="231F20"/>
          <w:spacing w:val="-7"/>
          <w:w w:val="110"/>
        </w:rPr>
        <w:t> </w:t>
      </w:r>
      <w:r>
        <w:rPr>
          <w:color w:val="231F20"/>
          <w:w w:val="110"/>
        </w:rPr>
        <w:t>los</w:t>
      </w:r>
      <w:r>
        <w:rPr>
          <w:color w:val="231F20"/>
          <w:spacing w:val="-8"/>
          <w:w w:val="110"/>
        </w:rPr>
        <w:t> </w:t>
      </w:r>
      <w:r>
        <w:rPr>
          <w:color w:val="231F20"/>
          <w:w w:val="110"/>
        </w:rPr>
        <w:t>movimientos</w:t>
      </w:r>
      <w:r>
        <w:rPr>
          <w:color w:val="231F20"/>
          <w:spacing w:val="-8"/>
          <w:w w:val="110"/>
        </w:rPr>
        <w:t> </w:t>
      </w:r>
      <w:r>
        <w:rPr>
          <w:color w:val="231F20"/>
          <w:w w:val="110"/>
        </w:rPr>
        <w:t>sociales,</w:t>
      </w:r>
      <w:r>
        <w:rPr>
          <w:color w:val="231F20"/>
          <w:spacing w:val="-7"/>
          <w:w w:val="110"/>
        </w:rPr>
        <w:t> </w:t>
      </w:r>
      <w:r>
        <w:rPr>
          <w:color w:val="231F20"/>
          <w:w w:val="110"/>
        </w:rPr>
        <w:t>el</w:t>
      </w:r>
      <w:r>
        <w:rPr>
          <w:color w:val="231F20"/>
          <w:spacing w:val="-8"/>
          <w:w w:val="110"/>
        </w:rPr>
        <w:t> </w:t>
      </w:r>
      <w:r>
        <w:rPr>
          <w:color w:val="231F20"/>
          <w:w w:val="110"/>
        </w:rPr>
        <w:t>debate</w:t>
      </w:r>
      <w:r>
        <w:rPr>
          <w:color w:val="231F20"/>
          <w:spacing w:val="-7"/>
          <w:w w:val="110"/>
        </w:rPr>
        <w:t> </w:t>
      </w:r>
      <w:r>
        <w:rPr>
          <w:color w:val="231F20"/>
          <w:w w:val="110"/>
        </w:rPr>
        <w:t>po- dría ser reducido por algunos actores a un asunto sobre el derecho universal a un medio ambiente sano que es vital para la vida, pero de fondo, lo que está en juego no es sólo eso, sino sobre todo la de- finición</w:t>
      </w:r>
      <w:r>
        <w:rPr>
          <w:color w:val="231F20"/>
          <w:spacing w:val="-5"/>
          <w:w w:val="110"/>
        </w:rPr>
        <w:t> </w:t>
      </w:r>
      <w:r>
        <w:rPr>
          <w:color w:val="231F20"/>
          <w:w w:val="110"/>
        </w:rPr>
        <w:t>de</w:t>
      </w:r>
      <w:r>
        <w:rPr>
          <w:color w:val="231F20"/>
          <w:spacing w:val="-5"/>
          <w:w w:val="110"/>
        </w:rPr>
        <w:t> </w:t>
      </w:r>
      <w:r>
        <w:rPr>
          <w:color w:val="231F20"/>
          <w:w w:val="110"/>
        </w:rPr>
        <w:t>cómo</w:t>
      </w:r>
      <w:r>
        <w:rPr>
          <w:color w:val="231F20"/>
          <w:spacing w:val="-5"/>
          <w:w w:val="110"/>
        </w:rPr>
        <w:t> </w:t>
      </w:r>
      <w:r>
        <w:rPr>
          <w:color w:val="231F20"/>
          <w:w w:val="110"/>
        </w:rPr>
        <w:t>los</w:t>
      </w:r>
      <w:r>
        <w:rPr>
          <w:color w:val="231F20"/>
          <w:spacing w:val="-5"/>
          <w:w w:val="110"/>
        </w:rPr>
        <w:t> </w:t>
      </w:r>
      <w:r>
        <w:rPr>
          <w:color w:val="231F20"/>
          <w:w w:val="110"/>
        </w:rPr>
        <w:t>pueblos</w:t>
      </w:r>
      <w:r>
        <w:rPr>
          <w:color w:val="231F20"/>
          <w:spacing w:val="-5"/>
          <w:w w:val="110"/>
        </w:rPr>
        <w:t> </w:t>
      </w:r>
      <w:r>
        <w:rPr>
          <w:color w:val="231F20"/>
          <w:w w:val="110"/>
        </w:rPr>
        <w:t>latinoamericanos</w:t>
      </w:r>
      <w:r>
        <w:rPr>
          <w:color w:val="231F20"/>
          <w:spacing w:val="-5"/>
          <w:w w:val="110"/>
        </w:rPr>
        <w:t> </w:t>
      </w:r>
      <w:r>
        <w:rPr>
          <w:color w:val="231F20"/>
          <w:w w:val="110"/>
        </w:rPr>
        <w:t>(y</w:t>
      </w:r>
      <w:r>
        <w:rPr>
          <w:color w:val="231F20"/>
          <w:spacing w:val="-5"/>
          <w:w w:val="110"/>
        </w:rPr>
        <w:t> </w:t>
      </w:r>
      <w:r>
        <w:rPr>
          <w:color w:val="231F20"/>
          <w:w w:val="110"/>
        </w:rPr>
        <w:t>del</w:t>
      </w:r>
      <w:r>
        <w:rPr>
          <w:color w:val="231F20"/>
          <w:spacing w:val="-5"/>
          <w:w w:val="110"/>
        </w:rPr>
        <w:t> </w:t>
      </w:r>
      <w:r>
        <w:rPr>
          <w:color w:val="231F20"/>
          <w:w w:val="110"/>
        </w:rPr>
        <w:t>mundo)</w:t>
      </w:r>
      <w:r>
        <w:rPr>
          <w:color w:val="231F20"/>
          <w:spacing w:val="-5"/>
          <w:w w:val="110"/>
        </w:rPr>
        <w:t> </w:t>
      </w:r>
      <w:r>
        <w:rPr>
          <w:color w:val="231F20"/>
          <w:w w:val="110"/>
        </w:rPr>
        <w:t>han</w:t>
      </w:r>
      <w:r>
        <w:rPr>
          <w:color w:val="231F20"/>
          <w:spacing w:val="-5"/>
          <w:w w:val="110"/>
        </w:rPr>
        <w:t> </w:t>
      </w:r>
      <w:r>
        <w:rPr>
          <w:color w:val="231F20"/>
          <w:w w:val="110"/>
        </w:rPr>
        <w:t>de relacionarse</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naturaleza</w:t>
      </w:r>
      <w:r>
        <w:rPr>
          <w:color w:val="231F20"/>
          <w:spacing w:val="-10"/>
          <w:w w:val="110"/>
        </w:rPr>
        <w:t> </w:t>
      </w:r>
      <w:r>
        <w:rPr>
          <w:color w:val="231F20"/>
        </w:rPr>
        <w:t>y</w:t>
      </w:r>
      <w:r>
        <w:rPr>
          <w:color w:val="231F20"/>
          <w:spacing w:val="-5"/>
        </w:rPr>
        <w:t> </w:t>
      </w:r>
      <w:r>
        <w:rPr>
          <w:color w:val="231F20"/>
          <w:w w:val="110"/>
        </w:rPr>
        <w:t>cómo</w:t>
      </w:r>
      <w:r>
        <w:rPr>
          <w:color w:val="231F20"/>
          <w:spacing w:val="-10"/>
          <w:w w:val="110"/>
        </w:rPr>
        <w:t> </w:t>
      </w:r>
      <w:r>
        <w:rPr>
          <w:color w:val="231F20"/>
          <w:w w:val="110"/>
        </w:rPr>
        <w:t>han</w:t>
      </w:r>
      <w:r>
        <w:rPr>
          <w:color w:val="231F20"/>
          <w:spacing w:val="-10"/>
          <w:w w:val="110"/>
        </w:rPr>
        <w:t> </w:t>
      </w:r>
      <w:r>
        <w:rPr>
          <w:color w:val="231F20"/>
          <w:w w:val="110"/>
        </w:rPr>
        <w:t>de</w:t>
      </w:r>
      <w:r>
        <w:rPr>
          <w:color w:val="231F20"/>
          <w:spacing w:val="-10"/>
          <w:w w:val="110"/>
        </w:rPr>
        <w:t> </w:t>
      </w:r>
      <w:r>
        <w:rPr>
          <w:color w:val="231F20"/>
          <w:w w:val="110"/>
        </w:rPr>
        <w:t>gestionar</w:t>
      </w:r>
      <w:r>
        <w:rPr>
          <w:color w:val="231F20"/>
          <w:spacing w:val="-10"/>
          <w:w w:val="110"/>
        </w:rPr>
        <w:t> </w:t>
      </w:r>
      <w:r>
        <w:rPr>
          <w:color w:val="231F20"/>
          <w:w w:val="110"/>
        </w:rPr>
        <w:t>su</w:t>
      </w:r>
      <w:r>
        <w:rPr>
          <w:color w:val="231F20"/>
          <w:spacing w:val="-10"/>
          <w:w w:val="110"/>
        </w:rPr>
        <w:t> </w:t>
      </w:r>
      <w:r>
        <w:rPr>
          <w:color w:val="231F20"/>
          <w:w w:val="110"/>
        </w:rPr>
        <w:t>autonomía. </w:t>
      </w:r>
      <w:r>
        <w:rPr>
          <w:color w:val="231F20"/>
        </w:rPr>
        <w:t>Y </w:t>
      </w:r>
      <w:r>
        <w:rPr>
          <w:color w:val="231F20"/>
          <w:w w:val="110"/>
        </w:rPr>
        <w:t>es que con las características socioeconómicas de Latinoamérica, los límites sociales de tolerancia ante esquemas de creciente saqueo son cada vez menores, lo que ha tornado la lucha ambiental en una lucha de clase de diversos actores </w:t>
      </w:r>
      <w:r>
        <w:rPr>
          <w:color w:val="231F20"/>
        </w:rPr>
        <w:t>y </w:t>
      </w:r>
      <w:r>
        <w:rPr>
          <w:color w:val="231F20"/>
          <w:w w:val="110"/>
        </w:rPr>
        <w:t>con diversos lenguajes </w:t>
      </w:r>
      <w:r>
        <w:rPr>
          <w:color w:val="231F20"/>
        </w:rPr>
        <w:t>y </w:t>
      </w:r>
      <w:r>
        <w:rPr>
          <w:color w:val="231F20"/>
          <w:w w:val="110"/>
        </w:rPr>
        <w:t>expre- siones</w:t>
      </w:r>
      <w:r>
        <w:rPr>
          <w:color w:val="231F20"/>
          <w:spacing w:val="-8"/>
          <w:w w:val="110"/>
        </w:rPr>
        <w:t> </w:t>
      </w:r>
      <w:r>
        <w:rPr>
          <w:color w:val="231F20"/>
          <w:w w:val="110"/>
        </w:rPr>
        <w:t>(Martínez-Alier,</w:t>
      </w:r>
      <w:r>
        <w:rPr>
          <w:color w:val="231F20"/>
          <w:spacing w:val="-8"/>
          <w:w w:val="110"/>
        </w:rPr>
        <w:t> </w:t>
      </w:r>
      <w:r>
        <w:rPr>
          <w:color w:val="231F20"/>
          <w:w w:val="110"/>
        </w:rPr>
        <w:t>2004).</w:t>
      </w:r>
      <w:r>
        <w:rPr>
          <w:color w:val="231F20"/>
          <w:spacing w:val="-8"/>
          <w:w w:val="110"/>
        </w:rPr>
        <w:t> </w:t>
      </w:r>
      <w:r>
        <w:rPr>
          <w:color w:val="231F20"/>
          <w:w w:val="110"/>
        </w:rPr>
        <w:t>Algunos</w:t>
      </w:r>
      <w:r>
        <w:rPr>
          <w:color w:val="231F20"/>
          <w:spacing w:val="-8"/>
          <w:w w:val="110"/>
        </w:rPr>
        <w:t> </w:t>
      </w:r>
      <w:r>
        <w:rPr>
          <w:color w:val="231F20"/>
          <w:w w:val="110"/>
        </w:rPr>
        <w:t>son</w:t>
      </w:r>
      <w:r>
        <w:rPr>
          <w:color w:val="231F20"/>
          <w:spacing w:val="-8"/>
          <w:w w:val="110"/>
        </w:rPr>
        <w:t> </w:t>
      </w:r>
      <w:r>
        <w:rPr>
          <w:color w:val="231F20"/>
          <w:w w:val="110"/>
        </w:rPr>
        <w:t>antisistémicos,</w:t>
      </w:r>
      <w:r>
        <w:rPr>
          <w:color w:val="231F20"/>
          <w:spacing w:val="-8"/>
          <w:w w:val="110"/>
        </w:rPr>
        <w:t> </w:t>
      </w:r>
      <w:r>
        <w:rPr>
          <w:color w:val="231F20"/>
          <w:w w:val="110"/>
        </w:rPr>
        <w:t>otros</w:t>
      </w:r>
      <w:r>
        <w:rPr>
          <w:color w:val="231F20"/>
          <w:spacing w:val="-8"/>
          <w:w w:val="110"/>
        </w:rPr>
        <w:t> </w:t>
      </w:r>
      <w:r>
        <w:rPr>
          <w:color w:val="231F20"/>
          <w:w w:val="110"/>
        </w:rPr>
        <w:t>son ecologistas,</w:t>
      </w:r>
      <w:r>
        <w:rPr>
          <w:color w:val="231F20"/>
          <w:spacing w:val="-12"/>
          <w:w w:val="110"/>
        </w:rPr>
        <w:t> </w:t>
      </w:r>
      <w:r>
        <w:rPr>
          <w:color w:val="231F20"/>
          <w:w w:val="110"/>
        </w:rPr>
        <w:t>otros</w:t>
      </w:r>
      <w:r>
        <w:rPr>
          <w:color w:val="231F20"/>
          <w:spacing w:val="-12"/>
          <w:w w:val="110"/>
        </w:rPr>
        <w:t> </w:t>
      </w:r>
      <w:r>
        <w:rPr>
          <w:color w:val="231F20"/>
          <w:w w:val="110"/>
        </w:rPr>
        <w:t>sólo</w:t>
      </w:r>
      <w:r>
        <w:rPr>
          <w:color w:val="231F20"/>
          <w:spacing w:val="-12"/>
          <w:w w:val="110"/>
        </w:rPr>
        <w:t> </w:t>
      </w:r>
      <w:r>
        <w:rPr>
          <w:color w:val="231F20"/>
          <w:w w:val="110"/>
        </w:rPr>
        <w:t>no</w:t>
      </w:r>
      <w:r>
        <w:rPr>
          <w:color w:val="231F20"/>
          <w:spacing w:val="-12"/>
          <w:w w:val="110"/>
        </w:rPr>
        <w:t> </w:t>
      </w:r>
      <w:r>
        <w:rPr>
          <w:color w:val="231F20"/>
          <w:w w:val="110"/>
        </w:rPr>
        <w:t>están</w:t>
      </w:r>
      <w:r>
        <w:rPr>
          <w:color w:val="231F20"/>
          <w:spacing w:val="-12"/>
          <w:w w:val="110"/>
        </w:rPr>
        <w:t> </w:t>
      </w:r>
      <w:r>
        <w:rPr>
          <w:color w:val="231F20"/>
          <w:w w:val="110"/>
        </w:rPr>
        <w:t>de</w:t>
      </w:r>
      <w:r>
        <w:rPr>
          <w:color w:val="231F20"/>
          <w:spacing w:val="-12"/>
          <w:w w:val="110"/>
        </w:rPr>
        <w:t> </w:t>
      </w:r>
      <w:r>
        <w:rPr>
          <w:color w:val="231F20"/>
          <w:w w:val="110"/>
        </w:rPr>
        <w:t>acuerdo</w:t>
      </w:r>
      <w:r>
        <w:rPr>
          <w:color w:val="231F20"/>
          <w:spacing w:val="-12"/>
          <w:w w:val="110"/>
        </w:rPr>
        <w:t> </w:t>
      </w:r>
      <w:r>
        <w:rPr>
          <w:color w:val="231F20"/>
          <w:w w:val="110"/>
        </w:rPr>
        <w:t>con</w:t>
      </w:r>
      <w:r>
        <w:rPr>
          <w:color w:val="231F20"/>
          <w:spacing w:val="-12"/>
          <w:w w:val="110"/>
        </w:rPr>
        <w:t> </w:t>
      </w:r>
      <w:r>
        <w:rPr>
          <w:color w:val="231F20"/>
          <w:w w:val="110"/>
        </w:rPr>
        <w:t>un</w:t>
      </w:r>
      <w:r>
        <w:rPr>
          <w:color w:val="231F20"/>
          <w:spacing w:val="-12"/>
          <w:w w:val="110"/>
        </w:rPr>
        <w:t> </w:t>
      </w:r>
      <w:r>
        <w:rPr>
          <w:color w:val="231F20"/>
          <w:w w:val="110"/>
        </w:rPr>
        <w:t>proceso</w:t>
      </w:r>
      <w:r>
        <w:rPr>
          <w:color w:val="231F20"/>
          <w:spacing w:val="-12"/>
          <w:w w:val="110"/>
        </w:rPr>
        <w:t> </w:t>
      </w:r>
      <w:r>
        <w:rPr>
          <w:color w:val="231F20"/>
          <w:w w:val="110"/>
        </w:rPr>
        <w:t>o</w:t>
      </w:r>
      <w:r>
        <w:rPr>
          <w:color w:val="231F20"/>
          <w:spacing w:val="-12"/>
          <w:w w:val="110"/>
        </w:rPr>
        <w:t> </w:t>
      </w:r>
      <w:r>
        <w:rPr>
          <w:color w:val="231F20"/>
          <w:w w:val="110"/>
        </w:rPr>
        <w:t>esquema expoliador</w:t>
      </w:r>
      <w:r>
        <w:rPr>
          <w:color w:val="231F20"/>
          <w:spacing w:val="6"/>
          <w:w w:val="110"/>
        </w:rPr>
        <w:t> </w:t>
      </w:r>
      <w:r>
        <w:rPr>
          <w:color w:val="231F20"/>
          <w:w w:val="110"/>
        </w:rPr>
        <w:t>particular.</w:t>
      </w:r>
    </w:p>
    <w:p>
      <w:pPr>
        <w:pStyle w:val="BodyText"/>
        <w:spacing w:line="261" w:lineRule="auto"/>
        <w:ind w:left="100" w:right="117" w:firstLine="240"/>
        <w:jc w:val="both"/>
      </w:pPr>
      <w:r>
        <w:rPr>
          <w:color w:val="231F20"/>
          <w:w w:val="105"/>
        </w:rPr>
        <w:t>En este </w:t>
      </w:r>
      <w:r>
        <w:rPr>
          <w:color w:val="231F20"/>
          <w:spacing w:val="-3"/>
          <w:w w:val="105"/>
        </w:rPr>
        <w:t>tenor, </w:t>
      </w:r>
      <w:r>
        <w:rPr>
          <w:color w:val="231F20"/>
          <w:w w:val="105"/>
        </w:rPr>
        <w:t>el concepto de </w:t>
      </w:r>
      <w:r>
        <w:rPr>
          <w:i/>
          <w:color w:val="231F20"/>
          <w:w w:val="105"/>
        </w:rPr>
        <w:t>seguridad ecológica</w:t>
      </w:r>
      <w:r>
        <w:rPr>
          <w:color w:val="231F20"/>
          <w:w w:val="105"/>
        </w:rPr>
        <w:t>, en oposición al</w:t>
      </w:r>
      <w:r>
        <w:rPr>
          <w:color w:val="231F20"/>
          <w:spacing w:val="-27"/>
          <w:w w:val="105"/>
        </w:rPr>
        <w:t> </w:t>
      </w:r>
      <w:r>
        <w:rPr>
          <w:color w:val="231F20"/>
          <w:w w:val="105"/>
        </w:rPr>
        <w:t>de “seguridad ambiental” (o </w:t>
      </w:r>
      <w:r>
        <w:rPr>
          <w:i/>
          <w:color w:val="231F20"/>
          <w:w w:val="105"/>
        </w:rPr>
        <w:t>securitización</w:t>
      </w:r>
      <w:r>
        <w:rPr>
          <w:color w:val="231F20"/>
          <w:w w:val="105"/>
        </w:rPr>
        <w:t>), adquiere una función expli- cativa importante si ése es visto como la seguridad de los pueblos y de la diversidad de formas de vidas con las que compartimos el planeta,    y no simplemente la del Estado (retomo la sugerencia de Barnett, 2001). </w:t>
      </w:r>
      <w:r>
        <w:rPr>
          <w:color w:val="231F20"/>
        </w:rPr>
        <w:t>Y </w:t>
      </w:r>
      <w:r>
        <w:rPr>
          <w:color w:val="231F20"/>
          <w:w w:val="105"/>
        </w:rPr>
        <w:t>es que el abogar por la satisfacción de las necesidades básicas de</w:t>
      </w:r>
      <w:r>
        <w:rPr>
          <w:color w:val="231F20"/>
          <w:spacing w:val="45"/>
          <w:w w:val="105"/>
        </w:rPr>
        <w:t> </w:t>
      </w:r>
      <w:r>
        <w:rPr>
          <w:color w:val="231F20"/>
          <w:w w:val="105"/>
        </w:rPr>
        <w:t>los</w:t>
      </w:r>
      <w:r>
        <w:rPr>
          <w:color w:val="231F20"/>
          <w:spacing w:val="45"/>
          <w:w w:val="105"/>
        </w:rPr>
        <w:t> </w:t>
      </w:r>
      <w:r>
        <w:rPr>
          <w:color w:val="231F20"/>
          <w:w w:val="105"/>
        </w:rPr>
        <w:t>pueblos</w:t>
      </w:r>
      <w:r>
        <w:rPr>
          <w:color w:val="231F20"/>
          <w:spacing w:val="45"/>
          <w:w w:val="105"/>
        </w:rPr>
        <w:t> </w:t>
      </w:r>
      <w:r>
        <w:rPr>
          <w:color w:val="231F20"/>
          <w:w w:val="105"/>
        </w:rPr>
        <w:t>no</w:t>
      </w:r>
      <w:r>
        <w:rPr>
          <w:color w:val="231F20"/>
          <w:spacing w:val="45"/>
          <w:w w:val="105"/>
        </w:rPr>
        <w:t> </w:t>
      </w:r>
      <w:r>
        <w:rPr>
          <w:color w:val="231F20"/>
          <w:w w:val="105"/>
        </w:rPr>
        <w:t>sólo</w:t>
      </w:r>
      <w:r>
        <w:rPr>
          <w:color w:val="231F20"/>
          <w:spacing w:val="45"/>
          <w:w w:val="105"/>
        </w:rPr>
        <w:t> </w:t>
      </w:r>
      <w:r>
        <w:rPr>
          <w:color w:val="231F20"/>
          <w:w w:val="105"/>
        </w:rPr>
        <w:t>en</w:t>
      </w:r>
      <w:r>
        <w:rPr>
          <w:color w:val="231F20"/>
          <w:spacing w:val="45"/>
          <w:w w:val="105"/>
        </w:rPr>
        <w:t> </w:t>
      </w:r>
      <w:r>
        <w:rPr>
          <w:color w:val="231F20"/>
          <w:w w:val="105"/>
        </w:rPr>
        <w:t>el</w:t>
      </w:r>
      <w:r>
        <w:rPr>
          <w:color w:val="231F20"/>
          <w:spacing w:val="45"/>
          <w:w w:val="105"/>
        </w:rPr>
        <w:t> </w:t>
      </w:r>
      <w:r>
        <w:rPr>
          <w:color w:val="231F20"/>
          <w:w w:val="105"/>
        </w:rPr>
        <w:t>corto-mediano</w:t>
      </w:r>
      <w:r>
        <w:rPr>
          <w:color w:val="231F20"/>
          <w:spacing w:val="45"/>
          <w:w w:val="105"/>
        </w:rPr>
        <w:t> </w:t>
      </w:r>
      <w:r>
        <w:rPr>
          <w:color w:val="231F20"/>
          <w:w w:val="105"/>
        </w:rPr>
        <w:t>plazo,</w:t>
      </w:r>
      <w:r>
        <w:rPr>
          <w:color w:val="231F20"/>
          <w:spacing w:val="45"/>
          <w:w w:val="105"/>
        </w:rPr>
        <w:t> </w:t>
      </w:r>
      <w:r>
        <w:rPr>
          <w:color w:val="231F20"/>
          <w:w w:val="105"/>
        </w:rPr>
        <w:t>sino</w:t>
      </w:r>
      <w:r>
        <w:rPr>
          <w:color w:val="231F20"/>
          <w:spacing w:val="45"/>
          <w:w w:val="105"/>
        </w:rPr>
        <w:t> </w:t>
      </w:r>
      <w:r>
        <w:rPr>
          <w:color w:val="231F20"/>
          <w:w w:val="105"/>
        </w:rPr>
        <w:t>sobre</w:t>
      </w:r>
      <w:r>
        <w:rPr>
          <w:color w:val="231F20"/>
          <w:spacing w:val="45"/>
          <w:w w:val="105"/>
        </w:rPr>
        <w:t> </w:t>
      </w:r>
      <w:r>
        <w:rPr>
          <w:color w:val="231F20"/>
          <w:w w:val="105"/>
        </w:rPr>
        <w:t>todo</w:t>
      </w:r>
    </w:p>
    <w:p>
      <w:pPr>
        <w:spacing w:after="0" w:line="261" w:lineRule="auto"/>
        <w:jc w:val="both"/>
        <w:sectPr>
          <w:pgSz w:w="7640" w:h="11900"/>
          <w:pgMar w:header="672" w:footer="0" w:top="860" w:bottom="280" w:left="660" w:right="760"/>
        </w:sectPr>
      </w:pPr>
    </w:p>
    <w:p>
      <w:pPr>
        <w:pStyle w:val="BodyText"/>
        <w:spacing w:before="8"/>
        <w:rPr>
          <w:sz w:val="8"/>
        </w:rPr>
      </w:pPr>
    </w:p>
    <w:p>
      <w:pPr>
        <w:pStyle w:val="BodyText"/>
        <w:spacing w:line="261" w:lineRule="auto" w:before="67"/>
        <w:ind w:left="100" w:right="117"/>
        <w:jc w:val="both"/>
      </w:pPr>
      <w:r>
        <w:rPr>
          <w:color w:val="231F20"/>
          <w:w w:val="110"/>
        </w:rPr>
        <w:t>en el largo plazo (lo que incluye su propia identidad y diversidad cultural e histórica), obligadamente conlleva el establecimiento de una</w:t>
      </w:r>
      <w:r>
        <w:rPr>
          <w:color w:val="231F20"/>
          <w:spacing w:val="-6"/>
          <w:w w:val="110"/>
        </w:rPr>
        <w:t> </w:t>
      </w:r>
      <w:r>
        <w:rPr>
          <w:color w:val="231F20"/>
          <w:w w:val="110"/>
        </w:rPr>
        <w:t>intensa</w:t>
      </w:r>
      <w:r>
        <w:rPr>
          <w:color w:val="231F20"/>
          <w:spacing w:val="-6"/>
          <w:w w:val="110"/>
        </w:rPr>
        <w:t> </w:t>
      </w:r>
      <w:r>
        <w:rPr>
          <w:color w:val="231F20"/>
          <w:w w:val="110"/>
        </w:rPr>
        <w:t>relación</w:t>
      </w:r>
      <w:r>
        <w:rPr>
          <w:color w:val="231F20"/>
          <w:spacing w:val="-6"/>
          <w:w w:val="110"/>
        </w:rPr>
        <w:t> </w:t>
      </w:r>
      <w:r>
        <w:rPr>
          <w:color w:val="231F20"/>
          <w:w w:val="110"/>
        </w:rPr>
        <w:t>armónica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humanidad</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naturaleza.</w:t>
      </w:r>
      <w:r>
        <w:rPr>
          <w:color w:val="231F20"/>
          <w:spacing w:val="-6"/>
          <w:w w:val="110"/>
        </w:rPr>
        <w:t> </w:t>
      </w:r>
      <w:r>
        <w:rPr>
          <w:color w:val="231F20"/>
          <w:w w:val="110"/>
        </w:rPr>
        <w:t>En tal sentido, la biosfera, como primer y último referente de la vida,</w:t>
      </w:r>
      <w:r>
        <w:rPr>
          <w:color w:val="231F20"/>
          <w:spacing w:val="-25"/>
          <w:w w:val="110"/>
        </w:rPr>
        <w:t> </w:t>
      </w:r>
      <w:r>
        <w:rPr>
          <w:color w:val="231F20"/>
          <w:w w:val="110"/>
        </w:rPr>
        <w:t>se torna elemento nodal en la noción de seguridad  </w:t>
      </w:r>
      <w:r>
        <w:rPr>
          <w:color w:val="231F20"/>
          <w:spacing w:val="20"/>
          <w:w w:val="110"/>
        </w:rPr>
        <w:t> </w:t>
      </w:r>
      <w:r>
        <w:rPr>
          <w:color w:val="231F20"/>
          <w:w w:val="110"/>
        </w:rPr>
        <w:t>ecológica.</w:t>
      </w:r>
    </w:p>
    <w:p>
      <w:pPr>
        <w:pStyle w:val="BodyText"/>
        <w:spacing w:line="261" w:lineRule="auto"/>
        <w:ind w:left="100" w:right="114" w:firstLine="240"/>
        <w:jc w:val="both"/>
      </w:pPr>
      <w:r>
        <w:rPr>
          <w:color w:val="231F20"/>
          <w:w w:val="110"/>
        </w:rPr>
        <w:t>Así, mientras la seguridad ambiental del Estado tiende más a la toma de medidas reactivas y por tanto a la búsqueda de una “paz” impuesta mediante la fuerza del Estado (la securitización en su forma típica), la seguridad ecológica alude, como aquí es asumida,  a la construcción y operatividad de medidas proactivas, dialogadas, concensuadas</w:t>
      </w:r>
      <w:r>
        <w:rPr>
          <w:color w:val="231F20"/>
          <w:spacing w:val="-23"/>
          <w:w w:val="110"/>
        </w:rPr>
        <w:t> </w:t>
      </w:r>
      <w:r>
        <w:rPr>
          <w:color w:val="231F20"/>
          <w:spacing w:val="-8"/>
          <w:w w:val="110"/>
        </w:rPr>
        <w:t>y,</w:t>
      </w:r>
      <w:r>
        <w:rPr>
          <w:color w:val="231F20"/>
          <w:spacing w:val="-23"/>
          <w:w w:val="110"/>
        </w:rPr>
        <w:t> </w:t>
      </w:r>
      <w:r>
        <w:rPr>
          <w:color w:val="231F20"/>
          <w:w w:val="110"/>
        </w:rPr>
        <w:t>consecuentemente,</w:t>
      </w:r>
      <w:r>
        <w:rPr>
          <w:color w:val="231F20"/>
          <w:spacing w:val="-23"/>
          <w:w w:val="110"/>
        </w:rPr>
        <w:t> </w:t>
      </w:r>
      <w:r>
        <w:rPr>
          <w:color w:val="231F20"/>
          <w:w w:val="110"/>
        </w:rPr>
        <w:t>socialmente</w:t>
      </w:r>
      <w:r>
        <w:rPr>
          <w:color w:val="231F20"/>
          <w:spacing w:val="-23"/>
          <w:w w:val="110"/>
        </w:rPr>
        <w:t> </w:t>
      </w:r>
      <w:r>
        <w:rPr>
          <w:color w:val="231F20"/>
          <w:w w:val="110"/>
        </w:rPr>
        <w:t>justas.</w:t>
      </w:r>
      <w:r>
        <w:rPr>
          <w:color w:val="231F20"/>
          <w:spacing w:val="-23"/>
          <w:w w:val="110"/>
        </w:rPr>
        <w:t> </w:t>
      </w:r>
      <w:r>
        <w:rPr>
          <w:color w:val="231F20"/>
          <w:w w:val="110"/>
        </w:rPr>
        <w:t>Este</w:t>
      </w:r>
      <w:r>
        <w:rPr>
          <w:color w:val="231F20"/>
          <w:spacing w:val="-23"/>
          <w:w w:val="110"/>
        </w:rPr>
        <w:t> </w:t>
      </w:r>
      <w:r>
        <w:rPr>
          <w:color w:val="231F20"/>
          <w:w w:val="110"/>
        </w:rPr>
        <w:t>último</w:t>
      </w:r>
      <w:r>
        <w:rPr>
          <w:color w:val="231F20"/>
          <w:spacing w:val="-23"/>
          <w:w w:val="110"/>
        </w:rPr>
        <w:t> </w:t>
      </w:r>
      <w:r>
        <w:rPr>
          <w:color w:val="231F20"/>
          <w:w w:val="110"/>
        </w:rPr>
        <w:t>es un esquema en el que el Estado es sólo un actor más en el proceso de diálogo, no obstante, funge como catalizador de tales o cuales medidas proactivas socialmente pactadas. Para ello, un nuevo con- trato social debe planearse de tal suerte que se puedan redefinir los esquemas</w:t>
      </w:r>
      <w:r>
        <w:rPr>
          <w:color w:val="231F20"/>
          <w:spacing w:val="-11"/>
          <w:w w:val="110"/>
        </w:rPr>
        <w:t> </w:t>
      </w:r>
      <w:r>
        <w:rPr>
          <w:color w:val="231F20"/>
          <w:w w:val="110"/>
        </w:rPr>
        <w:t>de</w:t>
      </w:r>
      <w:r>
        <w:rPr>
          <w:color w:val="231F20"/>
          <w:spacing w:val="-10"/>
          <w:w w:val="110"/>
        </w:rPr>
        <w:t> </w:t>
      </w:r>
      <w:r>
        <w:rPr>
          <w:color w:val="231F20"/>
          <w:w w:val="110"/>
        </w:rPr>
        <w:t>diálogo</w:t>
      </w:r>
      <w:r>
        <w:rPr>
          <w:color w:val="231F20"/>
          <w:spacing w:val="-11"/>
          <w:w w:val="110"/>
        </w:rPr>
        <w:t> </w:t>
      </w:r>
      <w:r>
        <w:rPr>
          <w:color w:val="231F20"/>
          <w:w w:val="110"/>
        </w:rPr>
        <w:t>y</w:t>
      </w:r>
      <w:r>
        <w:rPr>
          <w:color w:val="231F20"/>
          <w:spacing w:val="-10"/>
          <w:w w:val="110"/>
        </w:rPr>
        <w:t> </w:t>
      </w:r>
      <w:r>
        <w:rPr>
          <w:color w:val="231F20"/>
          <w:w w:val="110"/>
        </w:rPr>
        <w:t>consenso</w:t>
      </w:r>
      <w:r>
        <w:rPr>
          <w:color w:val="231F20"/>
          <w:spacing w:val="-11"/>
          <w:w w:val="110"/>
        </w:rPr>
        <w:t> </w:t>
      </w:r>
      <w:r>
        <w:rPr>
          <w:color w:val="231F20"/>
          <w:w w:val="110"/>
        </w:rPr>
        <w:t>social</w:t>
      </w:r>
      <w:r>
        <w:rPr>
          <w:color w:val="231F20"/>
          <w:spacing w:val="-11"/>
          <w:w w:val="110"/>
        </w:rPr>
        <w:t> </w:t>
      </w:r>
      <w:r>
        <w:rPr>
          <w:color w:val="231F20"/>
          <w:w w:val="110"/>
        </w:rPr>
        <w:t>hacia</w:t>
      </w:r>
      <w:r>
        <w:rPr>
          <w:color w:val="231F20"/>
          <w:spacing w:val="-10"/>
          <w:w w:val="110"/>
        </w:rPr>
        <w:t> </w:t>
      </w:r>
      <w:r>
        <w:rPr>
          <w:color w:val="231F20"/>
          <w:w w:val="110"/>
        </w:rPr>
        <w:t>unos</w:t>
      </w:r>
      <w:r>
        <w:rPr>
          <w:color w:val="231F20"/>
          <w:spacing w:val="-11"/>
          <w:w w:val="110"/>
        </w:rPr>
        <w:t> </w:t>
      </w:r>
      <w:r>
        <w:rPr>
          <w:color w:val="231F20"/>
          <w:w w:val="110"/>
        </w:rPr>
        <w:t>cada</w:t>
      </w:r>
      <w:r>
        <w:rPr>
          <w:color w:val="231F20"/>
          <w:spacing w:val="-10"/>
          <w:w w:val="110"/>
        </w:rPr>
        <w:t> </w:t>
      </w:r>
      <w:r>
        <w:rPr>
          <w:color w:val="231F20"/>
          <w:w w:val="110"/>
        </w:rPr>
        <w:t>vez</w:t>
      </w:r>
      <w:r>
        <w:rPr>
          <w:color w:val="231F20"/>
          <w:spacing w:val="-11"/>
          <w:w w:val="110"/>
        </w:rPr>
        <w:t> </w:t>
      </w:r>
      <w:r>
        <w:rPr>
          <w:color w:val="231F20"/>
          <w:w w:val="110"/>
        </w:rPr>
        <w:t>más</w:t>
      </w:r>
      <w:r>
        <w:rPr>
          <w:color w:val="231F20"/>
          <w:spacing w:val="-10"/>
          <w:w w:val="110"/>
        </w:rPr>
        <w:t> </w:t>
      </w:r>
      <w:r>
        <w:rPr>
          <w:color w:val="231F20"/>
          <w:w w:val="110"/>
        </w:rPr>
        <w:t>inte- gradores,</w:t>
      </w:r>
      <w:r>
        <w:rPr>
          <w:color w:val="231F20"/>
          <w:spacing w:val="-7"/>
          <w:w w:val="110"/>
        </w:rPr>
        <w:t> </w:t>
      </w:r>
      <w:r>
        <w:rPr>
          <w:color w:val="231F20"/>
          <w:w w:val="110"/>
        </w:rPr>
        <w:t>menos</w:t>
      </w:r>
      <w:r>
        <w:rPr>
          <w:color w:val="231F20"/>
          <w:spacing w:val="-7"/>
          <w:w w:val="110"/>
        </w:rPr>
        <w:t> </w:t>
      </w:r>
      <w:r>
        <w:rPr>
          <w:color w:val="231F20"/>
          <w:w w:val="110"/>
        </w:rPr>
        <w:t>excluyentes,</w:t>
      </w:r>
      <w:r>
        <w:rPr>
          <w:color w:val="231F20"/>
          <w:spacing w:val="-7"/>
          <w:w w:val="110"/>
        </w:rPr>
        <w:t> </w:t>
      </w:r>
      <w:r>
        <w:rPr>
          <w:color w:val="231F20"/>
          <w:w w:val="110"/>
        </w:rPr>
        <w:t>más</w:t>
      </w:r>
      <w:r>
        <w:rPr>
          <w:color w:val="231F20"/>
          <w:spacing w:val="-7"/>
          <w:w w:val="110"/>
        </w:rPr>
        <w:t> </w:t>
      </w:r>
      <w:r>
        <w:rPr>
          <w:color w:val="231F20"/>
          <w:w w:val="110"/>
        </w:rPr>
        <w:t>justos</w:t>
      </w:r>
      <w:r>
        <w:rPr>
          <w:color w:val="231F20"/>
          <w:spacing w:val="-7"/>
          <w:w w:val="110"/>
        </w:rPr>
        <w:t> </w:t>
      </w:r>
      <w:r>
        <w:rPr>
          <w:color w:val="231F20"/>
          <w:w w:val="110"/>
        </w:rPr>
        <w:t>y</w:t>
      </w:r>
      <w:r>
        <w:rPr>
          <w:color w:val="231F20"/>
          <w:spacing w:val="-7"/>
          <w:w w:val="110"/>
        </w:rPr>
        <w:t> </w:t>
      </w:r>
      <w:r>
        <w:rPr>
          <w:color w:val="231F20"/>
          <w:w w:val="110"/>
        </w:rPr>
        <w:t>con</w:t>
      </w:r>
      <w:r>
        <w:rPr>
          <w:color w:val="231F20"/>
          <w:spacing w:val="-7"/>
          <w:w w:val="110"/>
        </w:rPr>
        <w:t> </w:t>
      </w:r>
      <w:r>
        <w:rPr>
          <w:color w:val="231F20"/>
          <w:w w:val="110"/>
        </w:rPr>
        <w:t>visión</w:t>
      </w:r>
      <w:r>
        <w:rPr>
          <w:color w:val="231F20"/>
          <w:spacing w:val="-7"/>
          <w:w w:val="110"/>
        </w:rPr>
        <w:t> </w:t>
      </w:r>
      <w:r>
        <w:rPr>
          <w:color w:val="231F20"/>
          <w:w w:val="110"/>
        </w:rPr>
        <w:t>de</w:t>
      </w:r>
      <w:r>
        <w:rPr>
          <w:color w:val="231F20"/>
          <w:spacing w:val="-7"/>
          <w:w w:val="110"/>
        </w:rPr>
        <w:t> </w:t>
      </w:r>
      <w:r>
        <w:rPr>
          <w:color w:val="231F20"/>
          <w:w w:val="110"/>
        </w:rPr>
        <w:t>largo</w:t>
      </w:r>
      <w:r>
        <w:rPr>
          <w:color w:val="231F20"/>
          <w:spacing w:val="-7"/>
          <w:w w:val="110"/>
        </w:rPr>
        <w:t> </w:t>
      </w:r>
      <w:r>
        <w:rPr>
          <w:color w:val="231F20"/>
          <w:w w:val="110"/>
        </w:rPr>
        <w:t>plazo.</w:t>
      </w:r>
    </w:p>
    <w:p>
      <w:pPr>
        <w:pStyle w:val="BodyText"/>
      </w:pPr>
    </w:p>
    <w:p>
      <w:pPr>
        <w:pStyle w:val="BodyText"/>
      </w:pPr>
    </w:p>
    <w:p>
      <w:pPr>
        <w:pStyle w:val="BodyText"/>
        <w:spacing w:before="2"/>
        <w:rPr>
          <w:sz w:val="25"/>
        </w:rPr>
      </w:pPr>
    </w:p>
    <w:p>
      <w:pPr>
        <w:pStyle w:val="BodyText"/>
        <w:ind w:left="100" w:right="25"/>
      </w:pPr>
      <w:r>
        <w:rPr>
          <w:color w:val="231F20"/>
          <w:w w:val="125"/>
        </w:rPr>
        <w:t>bibliografía</w:t>
      </w:r>
    </w:p>
    <w:p>
      <w:pPr>
        <w:pStyle w:val="BodyText"/>
        <w:spacing w:before="5"/>
        <w:rPr>
          <w:sz w:val="22"/>
        </w:rPr>
      </w:pPr>
    </w:p>
    <w:p>
      <w:pPr>
        <w:spacing w:line="254" w:lineRule="auto" w:before="0"/>
        <w:ind w:left="340" w:right="119" w:hanging="240"/>
        <w:jc w:val="both"/>
        <w:rPr>
          <w:sz w:val="18"/>
        </w:rPr>
      </w:pPr>
      <w:r>
        <w:rPr>
          <w:color w:val="231F20"/>
          <w:w w:val="105"/>
          <w:sz w:val="18"/>
        </w:rPr>
        <w:t>Acosta, Alberto, 2009, </w:t>
      </w:r>
      <w:r>
        <w:rPr>
          <w:i/>
          <w:color w:val="231F20"/>
          <w:w w:val="105"/>
          <w:sz w:val="18"/>
        </w:rPr>
        <w:t>La Maldición de la Abundancia</w:t>
      </w:r>
      <w:r>
        <w:rPr>
          <w:color w:val="231F20"/>
          <w:w w:val="105"/>
          <w:sz w:val="18"/>
        </w:rPr>
        <w:t>, Quito, Ecuador, </w:t>
      </w:r>
      <w:r>
        <w:rPr>
          <w:color w:val="231F20"/>
          <w:w w:val="115"/>
          <w:sz w:val="18"/>
        </w:rPr>
        <w:t>cep/ </w:t>
      </w:r>
      <w:r>
        <w:rPr>
          <w:color w:val="231F20"/>
          <w:sz w:val="18"/>
        </w:rPr>
        <w:t>Ediciones Abya-Yala.</w:t>
      </w:r>
    </w:p>
    <w:p>
      <w:pPr>
        <w:spacing w:line="254" w:lineRule="auto" w:before="1"/>
        <w:ind w:left="340" w:right="118" w:hanging="240"/>
        <w:jc w:val="both"/>
        <w:rPr>
          <w:sz w:val="18"/>
        </w:rPr>
      </w:pPr>
      <w:r>
        <w:rPr>
          <w:color w:val="231F20"/>
          <w:w w:val="105"/>
          <w:sz w:val="18"/>
        </w:rPr>
        <w:t>Africom, s/f, </w:t>
      </w:r>
      <w:r>
        <w:rPr>
          <w:i/>
          <w:color w:val="231F20"/>
          <w:w w:val="105"/>
          <w:sz w:val="18"/>
        </w:rPr>
        <w:t>Command Brief</w:t>
      </w:r>
      <w:r>
        <w:rPr>
          <w:color w:val="231F20"/>
          <w:w w:val="105"/>
          <w:sz w:val="18"/>
        </w:rPr>
        <w:t>, General William E., “Kip” Ward, Commanding, Estados Unidos.</w:t>
      </w:r>
    </w:p>
    <w:p>
      <w:pPr>
        <w:spacing w:line="254" w:lineRule="auto" w:before="1"/>
        <w:ind w:left="340" w:right="117" w:hanging="240"/>
        <w:jc w:val="both"/>
        <w:rPr>
          <w:sz w:val="18"/>
        </w:rPr>
      </w:pPr>
      <w:r>
        <w:rPr>
          <w:color w:val="231F20"/>
          <w:w w:val="105"/>
          <w:sz w:val="18"/>
        </w:rPr>
        <w:t>Barnett, Jon, 2001, </w:t>
      </w:r>
      <w:r>
        <w:rPr>
          <w:i/>
          <w:color w:val="231F20"/>
          <w:w w:val="105"/>
          <w:sz w:val="18"/>
        </w:rPr>
        <w:t>The Meaning of Environmental Security</w:t>
      </w:r>
      <w:r>
        <w:rPr>
          <w:color w:val="231F20"/>
          <w:w w:val="105"/>
          <w:sz w:val="18"/>
        </w:rPr>
        <w:t>, Estados Unidos/ Inglaterra,  Zed Books.</w:t>
      </w:r>
    </w:p>
    <w:p>
      <w:pPr>
        <w:spacing w:before="1"/>
        <w:ind w:left="100" w:right="25" w:firstLine="0"/>
        <w:jc w:val="left"/>
        <w:rPr>
          <w:i/>
          <w:sz w:val="18"/>
        </w:rPr>
      </w:pPr>
      <w:r>
        <w:rPr>
          <w:color w:val="231F20"/>
          <w:sz w:val="18"/>
        </w:rPr>
        <w:t>British Petroleum (bp), 2004, </w:t>
      </w:r>
      <w:r>
        <w:rPr>
          <w:i/>
          <w:color w:val="231F20"/>
          <w:sz w:val="18"/>
        </w:rPr>
        <w:t>Statistical Review of World Energy, Reino    Unido.</w:t>
      </w:r>
    </w:p>
    <w:p>
      <w:pPr>
        <w:spacing w:line="254" w:lineRule="auto" w:before="13"/>
        <w:ind w:left="340" w:right="119" w:hanging="240"/>
        <w:jc w:val="both"/>
        <w:rPr>
          <w:sz w:val="18"/>
        </w:rPr>
      </w:pPr>
      <w:r>
        <w:rPr>
          <w:color w:val="231F20"/>
          <w:w w:val="105"/>
          <w:sz w:val="18"/>
        </w:rPr>
        <w:t>Committee on Assessing the Need for a Defense Stockpile (cands), 2008, </w:t>
      </w:r>
      <w:r>
        <w:rPr>
          <w:i/>
          <w:color w:val="231F20"/>
          <w:w w:val="105"/>
          <w:sz w:val="18"/>
        </w:rPr>
        <w:t>Managing</w:t>
      </w:r>
      <w:r>
        <w:rPr>
          <w:i/>
          <w:color w:val="231F20"/>
          <w:spacing w:val="-25"/>
          <w:w w:val="105"/>
          <w:sz w:val="18"/>
        </w:rPr>
        <w:t> </w:t>
      </w:r>
      <w:r>
        <w:rPr>
          <w:i/>
          <w:color w:val="231F20"/>
          <w:w w:val="105"/>
          <w:sz w:val="18"/>
        </w:rPr>
        <w:t>Materials</w:t>
      </w:r>
      <w:r>
        <w:rPr>
          <w:i/>
          <w:color w:val="231F20"/>
          <w:spacing w:val="-25"/>
          <w:w w:val="105"/>
          <w:sz w:val="18"/>
        </w:rPr>
        <w:t> </w:t>
      </w:r>
      <w:r>
        <w:rPr>
          <w:i/>
          <w:color w:val="231F20"/>
          <w:w w:val="105"/>
          <w:sz w:val="18"/>
        </w:rPr>
        <w:t>for</w:t>
      </w:r>
      <w:r>
        <w:rPr>
          <w:i/>
          <w:color w:val="231F20"/>
          <w:spacing w:val="-25"/>
          <w:w w:val="105"/>
          <w:sz w:val="18"/>
        </w:rPr>
        <w:t> </w:t>
      </w:r>
      <w:r>
        <w:rPr>
          <w:i/>
          <w:color w:val="231F20"/>
          <w:w w:val="105"/>
          <w:sz w:val="18"/>
        </w:rPr>
        <w:t>a</w:t>
      </w:r>
      <w:r>
        <w:rPr>
          <w:i/>
          <w:color w:val="231F20"/>
          <w:spacing w:val="-25"/>
          <w:w w:val="105"/>
          <w:sz w:val="18"/>
        </w:rPr>
        <w:t> </w:t>
      </w:r>
      <w:r>
        <w:rPr>
          <w:i/>
          <w:color w:val="231F20"/>
          <w:w w:val="105"/>
          <w:sz w:val="18"/>
        </w:rPr>
        <w:t>Twenty-first</w:t>
      </w:r>
      <w:r>
        <w:rPr>
          <w:i/>
          <w:color w:val="231F20"/>
          <w:spacing w:val="-25"/>
          <w:w w:val="105"/>
          <w:sz w:val="18"/>
        </w:rPr>
        <w:t> </w:t>
      </w:r>
      <w:r>
        <w:rPr>
          <w:i/>
          <w:color w:val="231F20"/>
          <w:w w:val="105"/>
          <w:sz w:val="18"/>
        </w:rPr>
        <w:t>Centrury</w:t>
      </w:r>
      <w:r>
        <w:rPr>
          <w:i/>
          <w:color w:val="231F20"/>
          <w:spacing w:val="-25"/>
          <w:w w:val="105"/>
          <w:sz w:val="18"/>
        </w:rPr>
        <w:t> </w:t>
      </w:r>
      <w:r>
        <w:rPr>
          <w:i/>
          <w:color w:val="231F20"/>
          <w:w w:val="105"/>
          <w:sz w:val="18"/>
        </w:rPr>
        <w:t>Military,</w:t>
      </w:r>
      <w:r>
        <w:rPr>
          <w:i/>
          <w:color w:val="231F20"/>
          <w:spacing w:val="-25"/>
          <w:w w:val="105"/>
          <w:sz w:val="18"/>
        </w:rPr>
        <w:t> </w:t>
      </w:r>
      <w:r>
        <w:rPr>
          <w:color w:val="231F20"/>
          <w:w w:val="105"/>
          <w:sz w:val="18"/>
        </w:rPr>
        <w:t>Estados</w:t>
      </w:r>
      <w:r>
        <w:rPr>
          <w:color w:val="231F20"/>
          <w:spacing w:val="-25"/>
          <w:w w:val="105"/>
          <w:sz w:val="18"/>
        </w:rPr>
        <w:t> </w:t>
      </w:r>
      <w:r>
        <w:rPr>
          <w:color w:val="231F20"/>
          <w:w w:val="105"/>
          <w:sz w:val="18"/>
        </w:rPr>
        <w:t>Unidos,</w:t>
      </w:r>
      <w:r>
        <w:rPr>
          <w:color w:val="231F20"/>
          <w:spacing w:val="-25"/>
          <w:w w:val="105"/>
          <w:sz w:val="18"/>
        </w:rPr>
        <w:t> </w:t>
      </w:r>
      <w:r>
        <w:rPr>
          <w:color w:val="231F20"/>
          <w:w w:val="105"/>
          <w:sz w:val="18"/>
        </w:rPr>
        <w:t>Na- tional  Research</w:t>
      </w:r>
      <w:r>
        <w:rPr>
          <w:color w:val="231F20"/>
          <w:spacing w:val="37"/>
          <w:w w:val="105"/>
          <w:sz w:val="18"/>
        </w:rPr>
        <w:t> </w:t>
      </w:r>
      <w:r>
        <w:rPr>
          <w:color w:val="231F20"/>
          <w:w w:val="105"/>
          <w:sz w:val="18"/>
        </w:rPr>
        <w:t>Council.</w:t>
      </w:r>
    </w:p>
    <w:p>
      <w:pPr>
        <w:spacing w:line="254" w:lineRule="auto" w:before="1"/>
        <w:ind w:left="340" w:right="119" w:hanging="240"/>
        <w:jc w:val="both"/>
        <w:rPr>
          <w:sz w:val="18"/>
        </w:rPr>
      </w:pPr>
      <w:r>
        <w:rPr>
          <w:color w:val="231F20"/>
          <w:spacing w:val="2"/>
          <w:w w:val="105"/>
          <w:sz w:val="18"/>
        </w:rPr>
        <w:t>Committe </w:t>
      </w:r>
      <w:r>
        <w:rPr>
          <w:color w:val="231F20"/>
          <w:w w:val="105"/>
          <w:sz w:val="18"/>
        </w:rPr>
        <w:t>on </w:t>
      </w:r>
      <w:r>
        <w:rPr>
          <w:color w:val="231F20"/>
          <w:spacing w:val="2"/>
          <w:w w:val="105"/>
          <w:sz w:val="18"/>
        </w:rPr>
        <w:t>Critical Mineral Impacts </w:t>
      </w:r>
      <w:r>
        <w:rPr>
          <w:color w:val="231F20"/>
          <w:w w:val="105"/>
          <w:sz w:val="18"/>
        </w:rPr>
        <w:t>of the US </w:t>
      </w:r>
      <w:r>
        <w:rPr>
          <w:color w:val="231F20"/>
          <w:spacing w:val="2"/>
          <w:w w:val="105"/>
          <w:sz w:val="18"/>
        </w:rPr>
        <w:t>Economy (ccmiuse), </w:t>
      </w:r>
      <w:r>
        <w:rPr>
          <w:color w:val="231F20"/>
          <w:w w:val="105"/>
          <w:sz w:val="18"/>
        </w:rPr>
        <w:t>Committe on Earth Resources, National Research Council, 2008, </w:t>
      </w:r>
      <w:r>
        <w:rPr>
          <w:i/>
          <w:color w:val="231F20"/>
          <w:w w:val="105"/>
          <w:sz w:val="18"/>
        </w:rPr>
        <w:t>Mine-</w:t>
      </w:r>
      <w:r>
        <w:rPr>
          <w:i/>
          <w:color w:val="231F20"/>
          <w:spacing w:val="47"/>
          <w:w w:val="105"/>
          <w:sz w:val="18"/>
        </w:rPr>
        <w:t> </w:t>
      </w:r>
      <w:r>
        <w:rPr>
          <w:i/>
          <w:color w:val="231F20"/>
          <w:w w:val="105"/>
          <w:sz w:val="18"/>
        </w:rPr>
        <w:t>rals,</w:t>
      </w:r>
      <w:r>
        <w:rPr>
          <w:i/>
          <w:color w:val="231F20"/>
          <w:spacing w:val="-6"/>
          <w:w w:val="105"/>
          <w:sz w:val="18"/>
        </w:rPr>
        <w:t> </w:t>
      </w:r>
      <w:r>
        <w:rPr>
          <w:i/>
          <w:color w:val="231F20"/>
          <w:w w:val="105"/>
          <w:sz w:val="18"/>
        </w:rPr>
        <w:t>critical</w:t>
      </w:r>
      <w:r>
        <w:rPr>
          <w:i/>
          <w:color w:val="231F20"/>
          <w:spacing w:val="-6"/>
          <w:w w:val="105"/>
          <w:sz w:val="18"/>
        </w:rPr>
        <w:t> </w:t>
      </w:r>
      <w:r>
        <w:rPr>
          <w:i/>
          <w:color w:val="231F20"/>
          <w:w w:val="105"/>
          <w:sz w:val="18"/>
        </w:rPr>
        <w:t>Minerals,</w:t>
      </w:r>
      <w:r>
        <w:rPr>
          <w:i/>
          <w:color w:val="231F20"/>
          <w:spacing w:val="-6"/>
          <w:w w:val="105"/>
          <w:sz w:val="18"/>
        </w:rPr>
        <w:t> </w:t>
      </w:r>
      <w:r>
        <w:rPr>
          <w:i/>
          <w:color w:val="231F20"/>
          <w:w w:val="105"/>
          <w:sz w:val="18"/>
        </w:rPr>
        <w:t>and</w:t>
      </w:r>
      <w:r>
        <w:rPr>
          <w:i/>
          <w:color w:val="231F20"/>
          <w:spacing w:val="-6"/>
          <w:w w:val="105"/>
          <w:sz w:val="18"/>
        </w:rPr>
        <w:t> </w:t>
      </w:r>
      <w:r>
        <w:rPr>
          <w:i/>
          <w:color w:val="231F20"/>
          <w:w w:val="105"/>
          <w:sz w:val="18"/>
        </w:rPr>
        <w:t>the</w:t>
      </w:r>
      <w:r>
        <w:rPr>
          <w:i/>
          <w:color w:val="231F20"/>
          <w:spacing w:val="-6"/>
          <w:w w:val="105"/>
          <w:sz w:val="18"/>
        </w:rPr>
        <w:t> </w:t>
      </w:r>
      <w:r>
        <w:rPr>
          <w:i/>
          <w:color w:val="231F20"/>
          <w:w w:val="105"/>
          <w:sz w:val="18"/>
        </w:rPr>
        <w:t>U.S.</w:t>
      </w:r>
      <w:r>
        <w:rPr>
          <w:i/>
          <w:color w:val="231F20"/>
          <w:spacing w:val="-6"/>
          <w:w w:val="105"/>
          <w:sz w:val="18"/>
        </w:rPr>
        <w:t> </w:t>
      </w:r>
      <w:r>
        <w:rPr>
          <w:i/>
          <w:color w:val="231F20"/>
          <w:w w:val="105"/>
          <w:sz w:val="18"/>
        </w:rPr>
        <w:t>Economy</w:t>
      </w:r>
      <w:r>
        <w:rPr>
          <w:color w:val="231F20"/>
          <w:w w:val="105"/>
          <w:sz w:val="18"/>
        </w:rPr>
        <w:t>,</w:t>
      </w:r>
      <w:r>
        <w:rPr>
          <w:color w:val="231F20"/>
          <w:spacing w:val="-6"/>
          <w:w w:val="105"/>
          <w:sz w:val="18"/>
        </w:rPr>
        <w:t> </w:t>
      </w:r>
      <w:r>
        <w:rPr>
          <w:color w:val="231F20"/>
          <w:w w:val="105"/>
          <w:sz w:val="18"/>
        </w:rPr>
        <w:t>Estados</w:t>
      </w:r>
      <w:r>
        <w:rPr>
          <w:color w:val="231F20"/>
          <w:spacing w:val="-6"/>
          <w:w w:val="105"/>
          <w:sz w:val="18"/>
        </w:rPr>
        <w:t> </w:t>
      </w:r>
      <w:r>
        <w:rPr>
          <w:color w:val="231F20"/>
          <w:w w:val="105"/>
          <w:sz w:val="18"/>
        </w:rPr>
        <w:t>Unidos,</w:t>
      </w:r>
      <w:r>
        <w:rPr>
          <w:color w:val="231F20"/>
          <w:spacing w:val="-6"/>
          <w:w w:val="105"/>
          <w:sz w:val="18"/>
        </w:rPr>
        <w:t> </w:t>
      </w:r>
      <w:r>
        <w:rPr>
          <w:color w:val="231F20"/>
          <w:w w:val="105"/>
          <w:sz w:val="18"/>
        </w:rPr>
        <w:t>The</w:t>
      </w:r>
      <w:r>
        <w:rPr>
          <w:color w:val="231F20"/>
          <w:spacing w:val="-6"/>
          <w:w w:val="105"/>
          <w:sz w:val="18"/>
        </w:rPr>
        <w:t> </w:t>
      </w:r>
      <w:r>
        <w:rPr>
          <w:color w:val="231F20"/>
          <w:w w:val="105"/>
          <w:sz w:val="18"/>
        </w:rPr>
        <w:t>National Academies.</w:t>
      </w:r>
    </w:p>
    <w:p>
      <w:pPr>
        <w:spacing w:line="254" w:lineRule="auto" w:before="1"/>
        <w:ind w:left="340" w:right="117" w:hanging="240"/>
        <w:jc w:val="both"/>
        <w:rPr>
          <w:sz w:val="18"/>
        </w:rPr>
      </w:pPr>
      <w:r>
        <w:rPr>
          <w:color w:val="231F20"/>
          <w:sz w:val="18"/>
        </w:rPr>
        <w:t>Deffeyes, Kenneth, 2005, </w:t>
      </w:r>
      <w:r>
        <w:rPr>
          <w:i/>
          <w:color w:val="231F20"/>
          <w:sz w:val="18"/>
        </w:rPr>
        <w:t>Beyond Oil: the view from Hubbert’s Peak</w:t>
      </w:r>
      <w:r>
        <w:rPr>
          <w:color w:val="231F20"/>
          <w:sz w:val="18"/>
        </w:rPr>
        <w:t>, Estados Unidos,  Hill  and  Wang.</w:t>
      </w:r>
    </w:p>
    <w:p>
      <w:pPr>
        <w:spacing w:line="254" w:lineRule="auto" w:before="1"/>
        <w:ind w:left="340" w:right="118" w:hanging="240"/>
        <w:jc w:val="both"/>
        <w:rPr>
          <w:sz w:val="18"/>
        </w:rPr>
      </w:pPr>
      <w:r>
        <w:rPr>
          <w:color w:val="231F20"/>
          <w:w w:val="104"/>
          <w:sz w:val="18"/>
          <w:u w:val="single" w:color="221E1F"/>
        </w:rPr>
        <w:t> </w:t>
      </w:r>
      <w:r>
        <w:rPr>
          <w:color w:val="231F20"/>
          <w:sz w:val="18"/>
          <w:u w:val="single" w:color="221E1F"/>
        </w:rPr>
        <w:t>       </w:t>
      </w:r>
      <w:r>
        <w:rPr>
          <w:color w:val="231F20"/>
          <w:sz w:val="18"/>
        </w:rPr>
        <w:t>, 2003, </w:t>
      </w:r>
      <w:r>
        <w:rPr>
          <w:i/>
          <w:color w:val="231F20"/>
          <w:sz w:val="18"/>
        </w:rPr>
        <w:t>Hubbert’s Peak: The Impeding World Oil Shortage</w:t>
      </w:r>
      <w:r>
        <w:rPr>
          <w:color w:val="231F20"/>
          <w:sz w:val="18"/>
        </w:rPr>
        <w:t>, Estados Unidos, Princenton   University  Press.</w:t>
      </w:r>
    </w:p>
    <w:p>
      <w:pPr>
        <w:spacing w:after="0" w:line="254" w:lineRule="auto"/>
        <w:jc w:val="both"/>
        <w:rPr>
          <w:sz w:val="18"/>
        </w:rPr>
        <w:sectPr>
          <w:pgSz w:w="7640" w:h="11900"/>
          <w:pgMar w:header="672" w:footer="0" w:top="860" w:bottom="280" w:left="780" w:right="640"/>
        </w:sectPr>
      </w:pPr>
    </w:p>
    <w:p>
      <w:pPr>
        <w:pStyle w:val="BodyText"/>
        <w:spacing w:before="8"/>
        <w:rPr>
          <w:sz w:val="8"/>
        </w:rPr>
      </w:pPr>
    </w:p>
    <w:p>
      <w:pPr>
        <w:spacing w:line="254" w:lineRule="auto" w:before="71"/>
        <w:ind w:left="340" w:right="117" w:hanging="240"/>
        <w:jc w:val="both"/>
        <w:rPr>
          <w:sz w:val="18"/>
        </w:rPr>
      </w:pPr>
      <w:r>
        <w:rPr>
          <w:color w:val="231F20"/>
          <w:sz w:val="18"/>
        </w:rPr>
        <w:t>Delgado</w:t>
      </w:r>
      <w:r>
        <w:rPr>
          <w:color w:val="231F20"/>
          <w:spacing w:val="-4"/>
          <w:sz w:val="18"/>
        </w:rPr>
        <w:t> </w:t>
      </w:r>
      <w:r>
        <w:rPr>
          <w:color w:val="231F20"/>
          <w:sz w:val="18"/>
        </w:rPr>
        <w:t>Ramos,</w:t>
      </w:r>
      <w:r>
        <w:rPr>
          <w:color w:val="231F20"/>
          <w:spacing w:val="-4"/>
          <w:sz w:val="18"/>
        </w:rPr>
        <w:t> </w:t>
      </w:r>
      <w:r>
        <w:rPr>
          <w:color w:val="231F20"/>
          <w:sz w:val="18"/>
        </w:rPr>
        <w:t>Gian</w:t>
      </w:r>
      <w:r>
        <w:rPr>
          <w:color w:val="231F20"/>
          <w:spacing w:val="-4"/>
          <w:sz w:val="18"/>
        </w:rPr>
        <w:t> </w:t>
      </w:r>
      <w:r>
        <w:rPr>
          <w:color w:val="231F20"/>
          <w:sz w:val="18"/>
        </w:rPr>
        <w:t>Carlo,</w:t>
      </w:r>
      <w:r>
        <w:rPr>
          <w:color w:val="231F20"/>
          <w:spacing w:val="-4"/>
          <w:sz w:val="18"/>
        </w:rPr>
        <w:t> </w:t>
      </w:r>
      <w:r>
        <w:rPr>
          <w:color w:val="231F20"/>
          <w:sz w:val="18"/>
        </w:rPr>
        <w:t>2008,</w:t>
      </w:r>
      <w:r>
        <w:rPr>
          <w:color w:val="231F20"/>
          <w:spacing w:val="-4"/>
          <w:sz w:val="18"/>
        </w:rPr>
        <w:t> </w:t>
      </w:r>
      <w:r>
        <w:rPr>
          <w:i/>
          <w:color w:val="231F20"/>
          <w:sz w:val="18"/>
        </w:rPr>
        <w:t>Guerra</w:t>
      </w:r>
      <w:r>
        <w:rPr>
          <w:i/>
          <w:color w:val="231F20"/>
          <w:spacing w:val="-4"/>
          <w:sz w:val="18"/>
        </w:rPr>
        <w:t> </w:t>
      </w:r>
      <w:r>
        <w:rPr>
          <w:i/>
          <w:color w:val="231F20"/>
          <w:sz w:val="18"/>
        </w:rPr>
        <w:t>por</w:t>
      </w:r>
      <w:r>
        <w:rPr>
          <w:i/>
          <w:color w:val="231F20"/>
          <w:spacing w:val="-4"/>
          <w:sz w:val="18"/>
        </w:rPr>
        <w:t> </w:t>
      </w:r>
      <w:r>
        <w:rPr>
          <w:i/>
          <w:color w:val="231F20"/>
          <w:sz w:val="18"/>
        </w:rPr>
        <w:t>lo</w:t>
      </w:r>
      <w:r>
        <w:rPr>
          <w:i/>
          <w:color w:val="231F20"/>
          <w:spacing w:val="-4"/>
          <w:sz w:val="18"/>
        </w:rPr>
        <w:t> </w:t>
      </w:r>
      <w:r>
        <w:rPr>
          <w:i/>
          <w:color w:val="231F20"/>
          <w:sz w:val="18"/>
        </w:rPr>
        <w:t>Invisible.</w:t>
      </w:r>
      <w:r>
        <w:rPr>
          <w:i/>
          <w:color w:val="231F20"/>
          <w:spacing w:val="-4"/>
          <w:sz w:val="18"/>
        </w:rPr>
        <w:t> </w:t>
      </w:r>
      <w:r>
        <w:rPr>
          <w:i/>
          <w:color w:val="231F20"/>
          <w:sz w:val="18"/>
        </w:rPr>
        <w:t>Negocio,</w:t>
      </w:r>
      <w:r>
        <w:rPr>
          <w:i/>
          <w:color w:val="231F20"/>
          <w:spacing w:val="-4"/>
          <w:sz w:val="18"/>
        </w:rPr>
        <w:t> </w:t>
      </w:r>
      <w:r>
        <w:rPr>
          <w:i/>
          <w:color w:val="231F20"/>
          <w:sz w:val="18"/>
        </w:rPr>
        <w:t>implicaciones </w:t>
      </w:r>
      <w:r>
        <w:rPr>
          <w:i/>
          <w:color w:val="231F20"/>
          <w:sz w:val="18"/>
        </w:rPr>
        <w:t>y riesgos de la nanotecnología, </w:t>
      </w:r>
      <w:r>
        <w:rPr>
          <w:color w:val="231F20"/>
          <w:sz w:val="18"/>
        </w:rPr>
        <w:t>México, ceiich,  </w:t>
      </w:r>
      <w:r>
        <w:rPr>
          <w:color w:val="231F20"/>
          <w:spacing w:val="27"/>
          <w:sz w:val="18"/>
        </w:rPr>
        <w:t> </w:t>
      </w:r>
      <w:r>
        <w:rPr>
          <w:color w:val="231F20"/>
          <w:sz w:val="18"/>
        </w:rPr>
        <w:t>unam.</w:t>
      </w:r>
    </w:p>
    <w:p>
      <w:pPr>
        <w:tabs>
          <w:tab w:pos="460" w:val="left" w:leader="none"/>
        </w:tabs>
        <w:spacing w:before="1"/>
        <w:ind w:left="100" w:right="25" w:firstLine="0"/>
        <w:jc w:val="left"/>
        <w:rPr>
          <w:i/>
          <w:sz w:val="18"/>
        </w:rPr>
      </w:pPr>
      <w:r>
        <w:rPr>
          <w:color w:val="231F20"/>
          <w:w w:val="104"/>
          <w:sz w:val="18"/>
          <w:u w:val="single" w:color="221E1F"/>
        </w:rPr>
        <w:t> </w:t>
      </w:r>
      <w:r>
        <w:rPr>
          <w:color w:val="231F20"/>
          <w:sz w:val="18"/>
          <w:u w:val="single" w:color="221E1F"/>
        </w:rPr>
        <w:tab/>
      </w:r>
      <w:r>
        <w:rPr>
          <w:color w:val="231F20"/>
          <w:sz w:val="18"/>
        </w:rPr>
        <w:t>, 2009, </w:t>
      </w:r>
      <w:r>
        <w:rPr>
          <w:i/>
          <w:color w:val="231F20"/>
          <w:sz w:val="18"/>
        </w:rPr>
        <w:t>Sin energía. Retos y resistencias al cambio de paradigma </w:t>
      </w:r>
      <w:r>
        <w:rPr>
          <w:i/>
          <w:color w:val="231F20"/>
          <w:spacing w:val="44"/>
          <w:sz w:val="18"/>
        </w:rPr>
        <w:t> </w:t>
      </w:r>
      <w:r>
        <w:rPr>
          <w:i/>
          <w:color w:val="231F20"/>
          <w:sz w:val="18"/>
        </w:rPr>
        <w:t>energético,</w:t>
      </w:r>
    </w:p>
    <w:p>
      <w:pPr>
        <w:spacing w:before="13"/>
        <w:ind w:left="340" w:right="25" w:firstLine="0"/>
        <w:jc w:val="left"/>
        <w:rPr>
          <w:sz w:val="18"/>
        </w:rPr>
      </w:pPr>
      <w:r>
        <w:rPr>
          <w:color w:val="231F20"/>
          <w:w w:val="105"/>
          <w:sz w:val="18"/>
        </w:rPr>
        <w:t>México, Plaza y Janés.</w:t>
      </w:r>
    </w:p>
    <w:p>
      <w:pPr>
        <w:spacing w:line="254" w:lineRule="auto" w:before="13"/>
        <w:ind w:left="340" w:right="117" w:hanging="240"/>
        <w:jc w:val="both"/>
        <w:rPr>
          <w:sz w:val="18"/>
        </w:rPr>
      </w:pPr>
      <w:r>
        <w:rPr>
          <w:color w:val="231F20"/>
          <w:w w:val="105"/>
          <w:sz w:val="18"/>
        </w:rPr>
        <w:t>Finer, Matt </w:t>
      </w:r>
      <w:r>
        <w:rPr>
          <w:i/>
          <w:color w:val="231F20"/>
          <w:w w:val="105"/>
          <w:sz w:val="18"/>
        </w:rPr>
        <w:t>et al., </w:t>
      </w:r>
      <w:r>
        <w:rPr>
          <w:color w:val="231F20"/>
          <w:w w:val="105"/>
          <w:sz w:val="18"/>
        </w:rPr>
        <w:t>2008, “Oil and Gas Projects in the Western Amazon: Threats to Wilderness, Biodiversity and Indigenous Peoples”, </w:t>
      </w:r>
      <w:r>
        <w:rPr>
          <w:i/>
          <w:color w:val="231F20"/>
          <w:w w:val="105"/>
          <w:sz w:val="18"/>
        </w:rPr>
        <w:t>PLoS ONE</w:t>
      </w:r>
      <w:r>
        <w:rPr>
          <w:color w:val="231F20"/>
          <w:w w:val="105"/>
          <w:sz w:val="18"/>
        </w:rPr>
        <w:t>, vol. 3, núm.  8, agosto.</w:t>
      </w:r>
    </w:p>
    <w:p>
      <w:pPr>
        <w:spacing w:line="254" w:lineRule="auto" w:before="1"/>
        <w:ind w:left="340" w:right="118" w:hanging="240"/>
        <w:jc w:val="both"/>
        <w:rPr>
          <w:sz w:val="18"/>
        </w:rPr>
      </w:pPr>
      <w:r>
        <w:rPr>
          <w:color w:val="231F20"/>
          <w:w w:val="105"/>
          <w:sz w:val="18"/>
        </w:rPr>
        <w:t>González Cisneros, Joel, 2009, “Diputados alertan de aumento en robo  a trenes de carga”, </w:t>
      </w:r>
      <w:r>
        <w:rPr>
          <w:i/>
          <w:color w:val="231F20"/>
          <w:w w:val="105"/>
          <w:sz w:val="18"/>
        </w:rPr>
        <w:t>El Universal</w:t>
      </w:r>
      <w:r>
        <w:rPr>
          <w:color w:val="231F20"/>
          <w:w w:val="105"/>
          <w:sz w:val="18"/>
        </w:rPr>
        <w:t>, México, 8 de </w:t>
      </w:r>
      <w:r>
        <w:rPr>
          <w:color w:val="231F20"/>
          <w:spacing w:val="26"/>
          <w:w w:val="105"/>
          <w:sz w:val="18"/>
        </w:rPr>
        <w:t> </w:t>
      </w:r>
      <w:r>
        <w:rPr>
          <w:color w:val="231F20"/>
          <w:w w:val="105"/>
          <w:sz w:val="18"/>
        </w:rPr>
        <w:t>abril.</w:t>
      </w:r>
    </w:p>
    <w:p>
      <w:pPr>
        <w:spacing w:line="254" w:lineRule="auto" w:before="1"/>
        <w:ind w:left="340" w:right="119" w:hanging="240"/>
        <w:jc w:val="both"/>
        <w:rPr>
          <w:sz w:val="18"/>
        </w:rPr>
      </w:pPr>
      <w:r>
        <w:rPr>
          <w:color w:val="231F20"/>
          <w:w w:val="105"/>
          <w:sz w:val="18"/>
        </w:rPr>
        <w:t>Gudynas, Eduardo, 2009, “Diez tesis urgentes sobre el nuevo extractivismo. Contextos y demandas bajo el progresismo sudamericano actual” en </w:t>
      </w:r>
      <w:r>
        <w:rPr>
          <w:i/>
          <w:color w:val="231F20"/>
          <w:w w:val="105"/>
          <w:sz w:val="18"/>
        </w:rPr>
        <w:t>Ex- </w:t>
      </w:r>
      <w:r>
        <w:rPr>
          <w:i/>
          <w:color w:val="231F20"/>
          <w:w w:val="105"/>
          <w:sz w:val="18"/>
        </w:rPr>
        <w:t>tractivismo, política y sociedad</w:t>
      </w:r>
      <w:r>
        <w:rPr>
          <w:color w:val="231F20"/>
          <w:w w:val="105"/>
          <w:sz w:val="18"/>
        </w:rPr>
        <w:t>, Ecuador, caap/claes.</w:t>
      </w:r>
    </w:p>
    <w:p>
      <w:pPr>
        <w:spacing w:before="1"/>
        <w:ind w:left="100" w:right="25" w:firstLine="0"/>
        <w:jc w:val="left"/>
        <w:rPr>
          <w:sz w:val="18"/>
        </w:rPr>
      </w:pPr>
      <w:r>
        <w:rPr>
          <w:color w:val="231F20"/>
          <w:sz w:val="18"/>
        </w:rPr>
        <w:t>Guerra Sánchez, Ramiro, 1973, </w:t>
      </w:r>
      <w:r>
        <w:rPr>
          <w:i/>
          <w:color w:val="231F20"/>
          <w:sz w:val="18"/>
        </w:rPr>
        <w:t>La Expansión Territorial de los Estados Unidos</w:t>
      </w:r>
      <w:r>
        <w:rPr>
          <w:color w:val="231F20"/>
          <w:sz w:val="18"/>
        </w:rPr>
        <w:t>.</w:t>
      </w:r>
    </w:p>
    <w:p>
      <w:pPr>
        <w:spacing w:before="13"/>
        <w:ind w:left="340" w:right="25" w:firstLine="0"/>
        <w:jc w:val="left"/>
        <w:rPr>
          <w:sz w:val="18"/>
        </w:rPr>
      </w:pPr>
      <w:r>
        <w:rPr>
          <w:color w:val="231F20"/>
          <w:w w:val="105"/>
          <w:sz w:val="18"/>
        </w:rPr>
        <w:t>Cuba, Ciencias Sociales.</w:t>
      </w:r>
    </w:p>
    <w:p>
      <w:pPr>
        <w:spacing w:line="254" w:lineRule="auto" w:before="13"/>
        <w:ind w:left="340" w:right="117" w:hanging="240"/>
        <w:jc w:val="both"/>
        <w:rPr>
          <w:sz w:val="18"/>
        </w:rPr>
      </w:pPr>
      <w:r>
        <w:rPr>
          <w:color w:val="231F20"/>
          <w:w w:val="105"/>
          <w:sz w:val="18"/>
        </w:rPr>
        <w:t>Hagerman,</w:t>
      </w:r>
      <w:r>
        <w:rPr>
          <w:color w:val="231F20"/>
          <w:spacing w:val="-22"/>
          <w:w w:val="105"/>
          <w:sz w:val="18"/>
        </w:rPr>
        <w:t> </w:t>
      </w:r>
      <w:r>
        <w:rPr>
          <w:color w:val="231F20"/>
          <w:w w:val="105"/>
          <w:sz w:val="18"/>
        </w:rPr>
        <w:t>R.</w:t>
      </w:r>
      <w:r>
        <w:rPr>
          <w:color w:val="231F20"/>
          <w:spacing w:val="-22"/>
          <w:w w:val="105"/>
          <w:sz w:val="18"/>
        </w:rPr>
        <w:t> </w:t>
      </w:r>
      <w:r>
        <w:rPr>
          <w:color w:val="231F20"/>
          <w:w w:val="105"/>
          <w:sz w:val="18"/>
        </w:rPr>
        <w:t>A.,</w:t>
      </w:r>
      <w:r>
        <w:rPr>
          <w:color w:val="231F20"/>
          <w:spacing w:val="-22"/>
          <w:w w:val="105"/>
          <w:sz w:val="18"/>
        </w:rPr>
        <w:t> </w:t>
      </w:r>
      <w:r>
        <w:rPr>
          <w:color w:val="231F20"/>
          <w:w w:val="105"/>
          <w:sz w:val="18"/>
        </w:rPr>
        <w:t>1984,</w:t>
      </w:r>
      <w:r>
        <w:rPr>
          <w:color w:val="231F20"/>
          <w:spacing w:val="-22"/>
          <w:w w:val="105"/>
          <w:sz w:val="18"/>
        </w:rPr>
        <w:t> </w:t>
      </w:r>
      <w:r>
        <w:rPr>
          <w:i/>
          <w:color w:val="231F20"/>
          <w:w w:val="105"/>
          <w:sz w:val="18"/>
        </w:rPr>
        <w:t>US</w:t>
      </w:r>
      <w:r>
        <w:rPr>
          <w:i/>
          <w:color w:val="231F20"/>
          <w:spacing w:val="-22"/>
          <w:w w:val="105"/>
          <w:sz w:val="18"/>
        </w:rPr>
        <w:t> </w:t>
      </w:r>
      <w:r>
        <w:rPr>
          <w:i/>
          <w:color w:val="231F20"/>
          <w:w w:val="105"/>
          <w:sz w:val="18"/>
        </w:rPr>
        <w:t>Reliance</w:t>
      </w:r>
      <w:r>
        <w:rPr>
          <w:i/>
          <w:color w:val="231F20"/>
          <w:spacing w:val="-22"/>
          <w:w w:val="105"/>
          <w:sz w:val="18"/>
        </w:rPr>
        <w:t> </w:t>
      </w:r>
      <w:r>
        <w:rPr>
          <w:i/>
          <w:color w:val="231F20"/>
          <w:w w:val="105"/>
          <w:sz w:val="18"/>
        </w:rPr>
        <w:t>on</w:t>
      </w:r>
      <w:r>
        <w:rPr>
          <w:i/>
          <w:color w:val="231F20"/>
          <w:spacing w:val="-22"/>
          <w:w w:val="105"/>
          <w:sz w:val="18"/>
        </w:rPr>
        <w:t> </w:t>
      </w:r>
      <w:r>
        <w:rPr>
          <w:i/>
          <w:color w:val="231F20"/>
          <w:w w:val="105"/>
          <w:sz w:val="18"/>
        </w:rPr>
        <w:t>Africa</w:t>
      </w:r>
      <w:r>
        <w:rPr>
          <w:i/>
          <w:color w:val="231F20"/>
          <w:spacing w:val="-22"/>
          <w:w w:val="105"/>
          <w:sz w:val="18"/>
        </w:rPr>
        <w:t> </w:t>
      </w:r>
      <w:r>
        <w:rPr>
          <w:i/>
          <w:color w:val="231F20"/>
          <w:w w:val="105"/>
          <w:sz w:val="18"/>
        </w:rPr>
        <w:t>for</w:t>
      </w:r>
      <w:r>
        <w:rPr>
          <w:i/>
          <w:color w:val="231F20"/>
          <w:spacing w:val="-22"/>
          <w:w w:val="105"/>
          <w:sz w:val="18"/>
        </w:rPr>
        <w:t> </w:t>
      </w:r>
      <w:r>
        <w:rPr>
          <w:i/>
          <w:color w:val="231F20"/>
          <w:w w:val="105"/>
          <w:sz w:val="18"/>
        </w:rPr>
        <w:t>Strategic</w:t>
      </w:r>
      <w:r>
        <w:rPr>
          <w:i/>
          <w:color w:val="231F20"/>
          <w:spacing w:val="-22"/>
          <w:w w:val="105"/>
          <w:sz w:val="18"/>
        </w:rPr>
        <w:t> </w:t>
      </w:r>
      <w:r>
        <w:rPr>
          <w:i/>
          <w:color w:val="231F20"/>
          <w:w w:val="105"/>
          <w:sz w:val="18"/>
        </w:rPr>
        <w:t>Minerals</w:t>
      </w:r>
      <w:r>
        <w:rPr>
          <w:color w:val="231F20"/>
          <w:w w:val="105"/>
          <w:sz w:val="18"/>
        </w:rPr>
        <w:t>.</w:t>
      </w:r>
      <w:r>
        <w:rPr>
          <w:color w:val="231F20"/>
          <w:spacing w:val="-22"/>
          <w:w w:val="105"/>
          <w:sz w:val="18"/>
        </w:rPr>
        <w:t> </w:t>
      </w:r>
      <w:r>
        <w:rPr>
          <w:color w:val="231F20"/>
          <w:w w:val="105"/>
          <w:sz w:val="18"/>
        </w:rPr>
        <w:t>The</w:t>
      </w:r>
      <w:r>
        <w:rPr>
          <w:color w:val="231F20"/>
          <w:spacing w:val="-22"/>
          <w:w w:val="105"/>
          <w:sz w:val="18"/>
        </w:rPr>
        <w:t> </w:t>
      </w:r>
      <w:r>
        <w:rPr>
          <w:color w:val="231F20"/>
          <w:w w:val="105"/>
          <w:sz w:val="18"/>
        </w:rPr>
        <w:t>Marine Corps</w:t>
      </w:r>
      <w:r>
        <w:rPr>
          <w:color w:val="231F20"/>
          <w:spacing w:val="25"/>
          <w:w w:val="105"/>
          <w:sz w:val="18"/>
        </w:rPr>
        <w:t> </w:t>
      </w:r>
      <w:r>
        <w:rPr>
          <w:color w:val="231F20"/>
          <w:w w:val="105"/>
          <w:sz w:val="18"/>
        </w:rPr>
        <w:t>Command</w:t>
      </w:r>
      <w:r>
        <w:rPr>
          <w:color w:val="231F20"/>
          <w:spacing w:val="25"/>
          <w:w w:val="105"/>
          <w:sz w:val="18"/>
        </w:rPr>
        <w:t> </w:t>
      </w:r>
      <w:r>
        <w:rPr>
          <w:color w:val="231F20"/>
          <w:w w:val="105"/>
          <w:sz w:val="18"/>
        </w:rPr>
        <w:t>and</w:t>
      </w:r>
      <w:r>
        <w:rPr>
          <w:color w:val="231F20"/>
          <w:spacing w:val="25"/>
          <w:w w:val="105"/>
          <w:sz w:val="18"/>
        </w:rPr>
        <w:t> </w:t>
      </w:r>
      <w:r>
        <w:rPr>
          <w:color w:val="231F20"/>
          <w:w w:val="105"/>
          <w:sz w:val="18"/>
        </w:rPr>
        <w:t>Staff</w:t>
      </w:r>
      <w:r>
        <w:rPr>
          <w:color w:val="231F20"/>
          <w:spacing w:val="25"/>
          <w:w w:val="105"/>
          <w:sz w:val="18"/>
        </w:rPr>
        <w:t> </w:t>
      </w:r>
      <w:r>
        <w:rPr>
          <w:color w:val="231F20"/>
          <w:w w:val="105"/>
          <w:sz w:val="18"/>
        </w:rPr>
        <w:t>College.</w:t>
      </w:r>
      <w:r>
        <w:rPr>
          <w:color w:val="231F20"/>
          <w:spacing w:val="25"/>
          <w:w w:val="105"/>
          <w:sz w:val="18"/>
        </w:rPr>
        <w:t> </w:t>
      </w:r>
      <w:r>
        <w:rPr>
          <w:color w:val="231F20"/>
          <w:w w:val="105"/>
          <w:sz w:val="18"/>
        </w:rPr>
        <w:t>Estados</w:t>
      </w:r>
      <w:r>
        <w:rPr>
          <w:color w:val="231F20"/>
          <w:spacing w:val="25"/>
          <w:w w:val="105"/>
          <w:sz w:val="18"/>
        </w:rPr>
        <w:t> </w:t>
      </w:r>
      <w:r>
        <w:rPr>
          <w:color w:val="231F20"/>
          <w:w w:val="105"/>
          <w:sz w:val="18"/>
        </w:rPr>
        <w:t>Unidos,</w:t>
      </w:r>
      <w:r>
        <w:rPr>
          <w:color w:val="231F20"/>
          <w:spacing w:val="25"/>
          <w:w w:val="105"/>
          <w:sz w:val="18"/>
        </w:rPr>
        <w:t> </w:t>
      </w:r>
      <w:r>
        <w:rPr>
          <w:color w:val="231F20"/>
          <w:w w:val="105"/>
          <w:sz w:val="18"/>
        </w:rPr>
        <w:t>6</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abril.</w:t>
      </w:r>
    </w:p>
    <w:p>
      <w:pPr>
        <w:spacing w:before="1"/>
        <w:ind w:left="100" w:right="25" w:firstLine="0"/>
        <w:jc w:val="left"/>
        <w:rPr>
          <w:sz w:val="18"/>
        </w:rPr>
      </w:pPr>
      <w:r>
        <w:rPr>
          <w:color w:val="231F20"/>
          <w:sz w:val="18"/>
        </w:rPr>
        <w:t>Harvey, David, 2004, </w:t>
      </w:r>
      <w:r>
        <w:rPr>
          <w:i/>
          <w:color w:val="231F20"/>
          <w:sz w:val="18"/>
        </w:rPr>
        <w:t>El Nuevo Imperialismo</w:t>
      </w:r>
      <w:r>
        <w:rPr>
          <w:color w:val="231F20"/>
          <w:sz w:val="18"/>
        </w:rPr>
        <w:t>. España: Akal    Ediciones.</w:t>
      </w:r>
    </w:p>
    <w:p>
      <w:pPr>
        <w:spacing w:line="254" w:lineRule="auto" w:before="13"/>
        <w:ind w:left="340" w:right="119" w:hanging="240"/>
        <w:jc w:val="both"/>
        <w:rPr>
          <w:sz w:val="18"/>
        </w:rPr>
      </w:pPr>
      <w:r>
        <w:rPr>
          <w:color w:val="231F20"/>
          <w:sz w:val="18"/>
        </w:rPr>
        <w:t>Kidane, Nunu, 2008, “‘AfricaCOMMAND’ Spells Colonialism”, </w:t>
      </w:r>
      <w:r>
        <w:rPr>
          <w:i/>
          <w:color w:val="231F20"/>
          <w:sz w:val="18"/>
        </w:rPr>
        <w:t>War Times</w:t>
      </w:r>
      <w:r>
        <w:rPr>
          <w:color w:val="231F20"/>
          <w:sz w:val="18"/>
        </w:rPr>
        <w:t>, Estados   Unidos,  octubre.</w:t>
      </w:r>
    </w:p>
    <w:p>
      <w:pPr>
        <w:spacing w:before="1"/>
        <w:ind w:left="100" w:right="25" w:firstLine="0"/>
        <w:jc w:val="left"/>
        <w:rPr>
          <w:sz w:val="18"/>
        </w:rPr>
      </w:pPr>
      <w:r>
        <w:rPr>
          <w:color w:val="231F20"/>
          <w:sz w:val="18"/>
        </w:rPr>
        <w:t>Kolko, Gabriel, 1972, </w:t>
      </w:r>
      <w:r>
        <w:rPr>
          <w:i/>
          <w:color w:val="231F20"/>
          <w:sz w:val="18"/>
        </w:rPr>
        <w:t>The limits of Power</w:t>
      </w:r>
      <w:r>
        <w:rPr>
          <w:color w:val="231F20"/>
          <w:sz w:val="18"/>
        </w:rPr>
        <w:t>, Nueva York, Basic    Books.</w:t>
      </w:r>
    </w:p>
    <w:p>
      <w:pPr>
        <w:spacing w:line="254" w:lineRule="auto" w:before="13"/>
        <w:ind w:left="340" w:right="117" w:hanging="240"/>
        <w:jc w:val="both"/>
        <w:rPr>
          <w:sz w:val="18"/>
        </w:rPr>
      </w:pPr>
      <w:r>
        <w:rPr>
          <w:color w:val="231F20"/>
          <w:sz w:val="18"/>
        </w:rPr>
        <w:t>Klare, Michael, </w:t>
      </w:r>
      <w:r>
        <w:rPr>
          <w:i/>
          <w:color w:val="231F20"/>
          <w:sz w:val="18"/>
        </w:rPr>
        <w:t>Sangre y Petróleo. Peligros y consecuencias de la dependencia del </w:t>
      </w:r>
      <w:r>
        <w:rPr>
          <w:i/>
          <w:color w:val="231F20"/>
          <w:sz w:val="18"/>
        </w:rPr>
        <w:t>crudo</w:t>
      </w:r>
      <w:r>
        <w:rPr>
          <w:color w:val="231F20"/>
          <w:sz w:val="18"/>
        </w:rPr>
        <w:t>,  España,  Tendencias  Editores.</w:t>
      </w:r>
    </w:p>
    <w:p>
      <w:pPr>
        <w:spacing w:before="1"/>
        <w:ind w:left="100" w:right="25" w:firstLine="0"/>
        <w:jc w:val="left"/>
        <w:rPr>
          <w:sz w:val="18"/>
        </w:rPr>
      </w:pPr>
      <w:r>
        <w:rPr>
          <w:color w:val="231F20"/>
          <w:sz w:val="18"/>
        </w:rPr>
        <w:t>Marini, Ruy Mauro, 1973, </w:t>
      </w:r>
      <w:r>
        <w:rPr>
          <w:i/>
          <w:color w:val="231F20"/>
          <w:sz w:val="18"/>
        </w:rPr>
        <w:t>Dialéctica de la dependencia</w:t>
      </w:r>
      <w:r>
        <w:rPr>
          <w:color w:val="231F20"/>
          <w:sz w:val="18"/>
        </w:rPr>
        <w:t>, México, Ediciones Era.</w:t>
      </w:r>
    </w:p>
    <w:p>
      <w:pPr>
        <w:spacing w:line="254" w:lineRule="auto" w:before="13"/>
        <w:ind w:left="340" w:right="117" w:hanging="240"/>
        <w:jc w:val="both"/>
        <w:rPr>
          <w:sz w:val="18"/>
        </w:rPr>
      </w:pPr>
      <w:r>
        <w:rPr>
          <w:color w:val="231F20"/>
          <w:sz w:val="18"/>
        </w:rPr>
        <w:t>Martínez-Alier, Joan, 2006, </w:t>
      </w:r>
      <w:r>
        <w:rPr>
          <w:i/>
          <w:color w:val="231F20"/>
          <w:sz w:val="18"/>
        </w:rPr>
        <w:t>El ecologismo de los pobres. Conflictos ambientales y </w:t>
      </w:r>
      <w:r>
        <w:rPr>
          <w:i/>
          <w:color w:val="231F20"/>
          <w:sz w:val="18"/>
        </w:rPr>
        <w:t>lenguajes de valoración</w:t>
      </w:r>
      <w:r>
        <w:rPr>
          <w:color w:val="231F20"/>
          <w:sz w:val="18"/>
        </w:rPr>
        <w:t>, España, Icaria.</w:t>
      </w:r>
    </w:p>
    <w:p>
      <w:pPr>
        <w:spacing w:line="254" w:lineRule="auto" w:before="1"/>
        <w:ind w:left="100" w:right="105" w:firstLine="0"/>
        <w:jc w:val="left"/>
        <w:rPr>
          <w:i/>
          <w:sz w:val="18"/>
        </w:rPr>
      </w:pPr>
      <w:r>
        <w:rPr>
          <w:color w:val="231F20"/>
          <w:w w:val="105"/>
          <w:sz w:val="18"/>
        </w:rPr>
        <w:t>Saxe-Fernández,</w:t>
      </w:r>
      <w:r>
        <w:rPr>
          <w:color w:val="231F20"/>
          <w:spacing w:val="-19"/>
          <w:w w:val="105"/>
          <w:sz w:val="18"/>
        </w:rPr>
        <w:t> </w:t>
      </w:r>
      <w:r>
        <w:rPr>
          <w:color w:val="231F20"/>
          <w:w w:val="105"/>
          <w:sz w:val="18"/>
        </w:rPr>
        <w:t>John,</w:t>
      </w:r>
      <w:r>
        <w:rPr>
          <w:color w:val="231F20"/>
          <w:spacing w:val="-19"/>
          <w:w w:val="105"/>
          <w:sz w:val="18"/>
        </w:rPr>
        <w:t> </w:t>
      </w:r>
      <w:r>
        <w:rPr>
          <w:color w:val="231F20"/>
          <w:w w:val="105"/>
          <w:sz w:val="18"/>
        </w:rPr>
        <w:t>2002,</w:t>
      </w:r>
      <w:r>
        <w:rPr>
          <w:color w:val="231F20"/>
          <w:spacing w:val="-19"/>
          <w:w w:val="105"/>
          <w:sz w:val="18"/>
        </w:rPr>
        <w:t> </w:t>
      </w:r>
      <w:r>
        <w:rPr>
          <w:i/>
          <w:color w:val="231F20"/>
          <w:w w:val="105"/>
          <w:sz w:val="18"/>
        </w:rPr>
        <w:t>La</w:t>
      </w:r>
      <w:r>
        <w:rPr>
          <w:i/>
          <w:color w:val="231F20"/>
          <w:spacing w:val="-19"/>
          <w:w w:val="105"/>
          <w:sz w:val="18"/>
        </w:rPr>
        <w:t> </w:t>
      </w:r>
      <w:r>
        <w:rPr>
          <w:i/>
          <w:color w:val="231F20"/>
          <w:w w:val="105"/>
          <w:sz w:val="18"/>
        </w:rPr>
        <w:t>compra-venta</w:t>
      </w:r>
      <w:r>
        <w:rPr>
          <w:i/>
          <w:color w:val="231F20"/>
          <w:spacing w:val="-19"/>
          <w:w w:val="105"/>
          <w:sz w:val="18"/>
        </w:rPr>
        <w:t> </w:t>
      </w:r>
      <w:r>
        <w:rPr>
          <w:i/>
          <w:color w:val="231F20"/>
          <w:w w:val="105"/>
          <w:sz w:val="18"/>
        </w:rPr>
        <w:t>de</w:t>
      </w:r>
      <w:r>
        <w:rPr>
          <w:i/>
          <w:color w:val="231F20"/>
          <w:spacing w:val="-19"/>
          <w:w w:val="105"/>
          <w:sz w:val="18"/>
        </w:rPr>
        <w:t> </w:t>
      </w:r>
      <w:r>
        <w:rPr>
          <w:i/>
          <w:color w:val="231F20"/>
          <w:w w:val="105"/>
          <w:sz w:val="18"/>
        </w:rPr>
        <w:t>México</w:t>
      </w:r>
      <w:r>
        <w:rPr>
          <w:color w:val="231F20"/>
          <w:w w:val="105"/>
          <w:sz w:val="18"/>
        </w:rPr>
        <w:t>,</w:t>
      </w:r>
      <w:r>
        <w:rPr>
          <w:color w:val="231F20"/>
          <w:spacing w:val="-19"/>
          <w:w w:val="105"/>
          <w:sz w:val="18"/>
        </w:rPr>
        <w:t> </w:t>
      </w:r>
      <w:r>
        <w:rPr>
          <w:color w:val="231F20"/>
          <w:w w:val="105"/>
          <w:sz w:val="18"/>
        </w:rPr>
        <w:t>México,</w:t>
      </w:r>
      <w:r>
        <w:rPr>
          <w:color w:val="231F20"/>
          <w:spacing w:val="-19"/>
          <w:w w:val="105"/>
          <w:sz w:val="18"/>
        </w:rPr>
        <w:t> </w:t>
      </w:r>
      <w:r>
        <w:rPr>
          <w:color w:val="231F20"/>
          <w:w w:val="105"/>
          <w:sz w:val="18"/>
        </w:rPr>
        <w:t>Plaza</w:t>
      </w:r>
      <w:r>
        <w:rPr>
          <w:color w:val="231F20"/>
          <w:spacing w:val="-19"/>
          <w:w w:val="105"/>
          <w:sz w:val="18"/>
        </w:rPr>
        <w:t> </w:t>
      </w:r>
      <w:r>
        <w:rPr>
          <w:color w:val="231F20"/>
          <w:w w:val="105"/>
          <w:sz w:val="18"/>
        </w:rPr>
        <w:t>y</w:t>
      </w:r>
      <w:r>
        <w:rPr>
          <w:color w:val="231F20"/>
          <w:spacing w:val="-19"/>
          <w:w w:val="105"/>
          <w:sz w:val="18"/>
        </w:rPr>
        <w:t> </w:t>
      </w:r>
      <w:r>
        <w:rPr>
          <w:color w:val="231F20"/>
          <w:w w:val="105"/>
          <w:sz w:val="18"/>
        </w:rPr>
        <w:t>Janés. United States Geological Service (usgs), 2009, </w:t>
      </w:r>
      <w:r>
        <w:rPr>
          <w:i/>
          <w:color w:val="231F20"/>
          <w:w w:val="105"/>
          <w:sz w:val="18"/>
        </w:rPr>
        <w:t>Mineral Commodity Summaries</w:t>
      </w:r>
    </w:p>
    <w:p>
      <w:pPr>
        <w:spacing w:before="1"/>
        <w:ind w:left="340" w:right="25" w:firstLine="0"/>
        <w:jc w:val="left"/>
        <w:rPr>
          <w:sz w:val="18"/>
        </w:rPr>
      </w:pPr>
      <w:r>
        <w:rPr>
          <w:i/>
          <w:color w:val="231F20"/>
          <w:w w:val="110"/>
          <w:sz w:val="18"/>
        </w:rPr>
        <w:t>2009</w:t>
      </w:r>
      <w:r>
        <w:rPr>
          <w:color w:val="231F20"/>
          <w:w w:val="110"/>
          <w:sz w:val="18"/>
        </w:rPr>
        <w:t>, Washington, United States Government Printing Office.</w:t>
      </w:r>
    </w:p>
    <w:p>
      <w:pPr>
        <w:spacing w:after="0"/>
        <w:jc w:val="left"/>
        <w:rPr>
          <w:sz w:val="18"/>
        </w:rPr>
        <w:sectPr>
          <w:pgSz w:w="7640" w:h="11900"/>
          <w:pgMar w:header="672" w:footer="0" w:top="860" w:bottom="280" w:left="660" w:right="760"/>
        </w:sectPr>
      </w:pPr>
    </w:p>
    <w:p>
      <w:pPr>
        <w:pStyle w:val="BodyText"/>
        <w:spacing w:before="39"/>
        <w:ind w:left="100" w:right="25"/>
      </w:pPr>
      <w:r>
        <w:rPr>
          <w:color w:val="231F20"/>
          <w:w w:val="105"/>
        </w:rPr>
        <w:t>LOS AUTORES</w:t>
      </w:r>
    </w:p>
    <w:p>
      <w:pPr>
        <w:pStyle w:val="BodyText"/>
      </w:pPr>
    </w:p>
    <w:p>
      <w:pPr>
        <w:pStyle w:val="BodyText"/>
      </w:pPr>
    </w:p>
    <w:p>
      <w:pPr>
        <w:pStyle w:val="BodyText"/>
      </w:pPr>
    </w:p>
    <w:p>
      <w:pPr>
        <w:pStyle w:val="BodyText"/>
      </w:pPr>
    </w:p>
    <w:p>
      <w:pPr>
        <w:pStyle w:val="BodyText"/>
      </w:pPr>
    </w:p>
    <w:p>
      <w:pPr>
        <w:pStyle w:val="BodyText"/>
      </w:pPr>
    </w:p>
    <w:p>
      <w:pPr>
        <w:pStyle w:val="BodyText"/>
        <w:spacing w:before="130"/>
        <w:ind w:left="100" w:right="25"/>
      </w:pPr>
      <w:r>
        <w:rPr>
          <w:color w:val="231F20"/>
          <w:w w:val="130"/>
        </w:rPr>
        <w:t>theotonio dos santos</w:t>
      </w:r>
    </w:p>
    <w:p>
      <w:pPr>
        <w:spacing w:line="261" w:lineRule="auto" w:before="20"/>
        <w:ind w:left="460" w:right="117" w:firstLine="0"/>
        <w:jc w:val="both"/>
        <w:rPr>
          <w:sz w:val="20"/>
        </w:rPr>
      </w:pPr>
      <w:r>
        <w:rPr>
          <w:color w:val="231F20"/>
          <w:sz w:val="20"/>
        </w:rPr>
        <w:t>Doctor en Economía por la Universidad Federal de Minas Gerais. Maestría en Ciencia Política por la Universidad de Brasilia. Es profesor titular de la Universidad Federal Fluminense y  Coordi-  nador de la Cátedra y Red unesco, Universidad de las Naciones  Unidas sobre Economía Global y Desarrollo Sostenible. Entre sus libros, destacan: </w:t>
      </w:r>
      <w:r>
        <w:rPr>
          <w:i/>
          <w:color w:val="231F20"/>
          <w:spacing w:val="-4"/>
          <w:sz w:val="20"/>
        </w:rPr>
        <w:t>Teoría </w:t>
      </w:r>
      <w:r>
        <w:rPr>
          <w:i/>
          <w:color w:val="231F20"/>
          <w:sz w:val="20"/>
        </w:rPr>
        <w:t>de la Dependencia: Balance y Perspectivas</w:t>
      </w:r>
      <w:r>
        <w:rPr>
          <w:color w:val="231F20"/>
          <w:sz w:val="20"/>
        </w:rPr>
        <w:t>, ; </w:t>
      </w:r>
      <w:r>
        <w:rPr>
          <w:i/>
          <w:color w:val="231F20"/>
          <w:sz w:val="20"/>
        </w:rPr>
        <w:t>Socialismo</w:t>
      </w:r>
      <w:r>
        <w:rPr>
          <w:i/>
          <w:color w:val="231F20"/>
          <w:spacing w:val="-16"/>
          <w:sz w:val="20"/>
        </w:rPr>
        <w:t> </w:t>
      </w:r>
      <w:r>
        <w:rPr>
          <w:i/>
          <w:color w:val="231F20"/>
          <w:sz w:val="20"/>
        </w:rPr>
        <w:t>o</w:t>
      </w:r>
      <w:r>
        <w:rPr>
          <w:i/>
          <w:color w:val="231F20"/>
          <w:spacing w:val="-16"/>
          <w:sz w:val="20"/>
        </w:rPr>
        <w:t> </w:t>
      </w:r>
      <w:r>
        <w:rPr>
          <w:i/>
          <w:color w:val="231F20"/>
          <w:sz w:val="20"/>
        </w:rPr>
        <w:t>Fascismo:</w:t>
      </w:r>
      <w:r>
        <w:rPr>
          <w:i/>
          <w:color w:val="231F20"/>
          <w:spacing w:val="-16"/>
          <w:sz w:val="20"/>
        </w:rPr>
        <w:t> </w:t>
      </w:r>
      <w:r>
        <w:rPr>
          <w:i/>
          <w:color w:val="231F20"/>
          <w:sz w:val="20"/>
        </w:rPr>
        <w:t>El</w:t>
      </w:r>
      <w:r>
        <w:rPr>
          <w:i/>
          <w:color w:val="231F20"/>
          <w:spacing w:val="-16"/>
          <w:sz w:val="20"/>
        </w:rPr>
        <w:t> </w:t>
      </w:r>
      <w:r>
        <w:rPr>
          <w:i/>
          <w:color w:val="231F20"/>
          <w:sz w:val="20"/>
        </w:rPr>
        <w:t>Dilema</w:t>
      </w:r>
      <w:r>
        <w:rPr>
          <w:i/>
          <w:color w:val="231F20"/>
          <w:spacing w:val="-16"/>
          <w:sz w:val="20"/>
        </w:rPr>
        <w:t> </w:t>
      </w:r>
      <w:r>
        <w:rPr>
          <w:i/>
          <w:color w:val="231F20"/>
          <w:sz w:val="20"/>
        </w:rPr>
        <w:t>Latinoamericano</w:t>
      </w:r>
      <w:r>
        <w:rPr>
          <w:i/>
          <w:color w:val="231F20"/>
          <w:spacing w:val="-16"/>
          <w:sz w:val="20"/>
        </w:rPr>
        <w:t> </w:t>
      </w:r>
      <w:r>
        <w:rPr>
          <w:i/>
          <w:color w:val="231F20"/>
          <w:sz w:val="20"/>
        </w:rPr>
        <w:t>y</w:t>
      </w:r>
      <w:r>
        <w:rPr>
          <w:i/>
          <w:color w:val="231F20"/>
          <w:spacing w:val="-16"/>
          <w:sz w:val="20"/>
        </w:rPr>
        <w:t> </w:t>
      </w:r>
      <w:r>
        <w:rPr>
          <w:i/>
          <w:color w:val="231F20"/>
          <w:sz w:val="20"/>
        </w:rPr>
        <w:t>el</w:t>
      </w:r>
      <w:r>
        <w:rPr>
          <w:i/>
          <w:color w:val="231F20"/>
          <w:spacing w:val="-16"/>
          <w:sz w:val="20"/>
        </w:rPr>
        <w:t> </w:t>
      </w:r>
      <w:r>
        <w:rPr>
          <w:i/>
          <w:color w:val="231F20"/>
          <w:sz w:val="20"/>
        </w:rPr>
        <w:t>Nuevo</w:t>
      </w:r>
      <w:r>
        <w:rPr>
          <w:i/>
          <w:color w:val="231F20"/>
          <w:spacing w:val="-16"/>
          <w:sz w:val="20"/>
        </w:rPr>
        <w:t> </w:t>
      </w:r>
      <w:r>
        <w:rPr>
          <w:i/>
          <w:color w:val="231F20"/>
          <w:sz w:val="20"/>
        </w:rPr>
        <w:t>Carater </w:t>
      </w:r>
      <w:r>
        <w:rPr>
          <w:i/>
          <w:color w:val="231F20"/>
          <w:sz w:val="20"/>
        </w:rPr>
        <w:t>de la Dependencia</w:t>
      </w:r>
      <w:r>
        <w:rPr>
          <w:color w:val="231F20"/>
          <w:sz w:val="20"/>
        </w:rPr>
        <w:t>; </w:t>
      </w:r>
      <w:r>
        <w:rPr>
          <w:i/>
          <w:color w:val="231F20"/>
          <w:sz w:val="20"/>
        </w:rPr>
        <w:t>Imperialismo y Dependencia</w:t>
      </w:r>
      <w:r>
        <w:rPr>
          <w:color w:val="231F20"/>
          <w:sz w:val="20"/>
        </w:rPr>
        <w:t>; </w:t>
      </w:r>
      <w:r>
        <w:rPr>
          <w:i/>
          <w:color w:val="231F20"/>
          <w:spacing w:val="-4"/>
          <w:sz w:val="20"/>
        </w:rPr>
        <w:t>Tsuge </w:t>
      </w:r>
      <w:r>
        <w:rPr>
          <w:i/>
          <w:color w:val="231F20"/>
          <w:sz w:val="20"/>
        </w:rPr>
        <w:t>Shogo,</w:t>
      </w:r>
      <w:r>
        <w:rPr>
          <w:i/>
          <w:color w:val="231F20"/>
          <w:spacing w:val="-31"/>
          <w:sz w:val="20"/>
        </w:rPr>
        <w:t> </w:t>
      </w:r>
      <w:r>
        <w:rPr>
          <w:i/>
          <w:color w:val="231F20"/>
          <w:sz w:val="20"/>
        </w:rPr>
        <w:t>Japão</w:t>
      </w:r>
      <w:r>
        <w:rPr>
          <w:color w:val="231F20"/>
          <w:sz w:val="20"/>
        </w:rPr>
        <w:t>; </w:t>
      </w:r>
      <w:r>
        <w:rPr>
          <w:i/>
          <w:color w:val="231F20"/>
          <w:sz w:val="20"/>
        </w:rPr>
        <w:t>Economia</w:t>
      </w:r>
      <w:r>
        <w:rPr>
          <w:i/>
          <w:color w:val="231F20"/>
          <w:spacing w:val="-27"/>
          <w:sz w:val="20"/>
        </w:rPr>
        <w:t> </w:t>
      </w:r>
      <w:r>
        <w:rPr>
          <w:i/>
          <w:color w:val="231F20"/>
          <w:sz w:val="20"/>
        </w:rPr>
        <w:t>Mundial,</w:t>
      </w:r>
      <w:r>
        <w:rPr>
          <w:i/>
          <w:color w:val="231F20"/>
          <w:spacing w:val="-27"/>
          <w:sz w:val="20"/>
        </w:rPr>
        <w:t> </w:t>
      </w:r>
      <w:r>
        <w:rPr>
          <w:i/>
          <w:color w:val="231F20"/>
          <w:sz w:val="20"/>
        </w:rPr>
        <w:t>Integração</w:t>
      </w:r>
      <w:r>
        <w:rPr>
          <w:i/>
          <w:color w:val="231F20"/>
          <w:spacing w:val="-27"/>
          <w:sz w:val="20"/>
        </w:rPr>
        <w:t> </w:t>
      </w:r>
      <w:r>
        <w:rPr>
          <w:i/>
          <w:color w:val="231F20"/>
          <w:sz w:val="20"/>
        </w:rPr>
        <w:t>regional</w:t>
      </w:r>
      <w:r>
        <w:rPr>
          <w:i/>
          <w:color w:val="231F20"/>
          <w:spacing w:val="-27"/>
          <w:sz w:val="20"/>
        </w:rPr>
        <w:t> </w:t>
      </w:r>
      <w:r>
        <w:rPr>
          <w:i/>
          <w:color w:val="231F20"/>
          <w:sz w:val="20"/>
        </w:rPr>
        <w:t>e</w:t>
      </w:r>
      <w:r>
        <w:rPr>
          <w:i/>
          <w:color w:val="231F20"/>
          <w:spacing w:val="-27"/>
          <w:sz w:val="20"/>
        </w:rPr>
        <w:t> </w:t>
      </w:r>
      <w:r>
        <w:rPr>
          <w:i/>
          <w:color w:val="231F20"/>
          <w:sz w:val="20"/>
        </w:rPr>
        <w:t>desenvolvimento</w:t>
      </w:r>
      <w:r>
        <w:rPr>
          <w:i/>
          <w:color w:val="231F20"/>
          <w:spacing w:val="-27"/>
          <w:sz w:val="20"/>
        </w:rPr>
        <w:t> </w:t>
      </w:r>
      <w:r>
        <w:rPr>
          <w:i/>
          <w:color w:val="231F20"/>
          <w:sz w:val="20"/>
        </w:rPr>
        <w:t>sustentável</w:t>
      </w:r>
      <w:r>
        <w:rPr>
          <w:color w:val="231F20"/>
          <w:sz w:val="20"/>
        </w:rPr>
        <w:t>.</w:t>
      </w:r>
    </w:p>
    <w:p>
      <w:pPr>
        <w:pStyle w:val="BodyText"/>
        <w:ind w:left="460"/>
        <w:jc w:val="both"/>
      </w:pPr>
      <w:r>
        <w:rPr>
          <w:color w:val="231F20"/>
          <w:w w:val="110"/>
        </w:rPr>
        <w:t>Correo electrónico: </w:t>
      </w:r>
      <w:hyperlink r:id="rId412">
        <w:r>
          <w:rPr>
            <w:color w:val="231F20"/>
            <w:w w:val="110"/>
          </w:rPr>
          <w:t>theotoni@terra.com.br</w:t>
        </w:r>
      </w:hyperlink>
    </w:p>
    <w:p>
      <w:pPr>
        <w:pStyle w:val="BodyText"/>
        <w:spacing w:before="5"/>
        <w:rPr>
          <w:sz w:val="23"/>
        </w:rPr>
      </w:pPr>
    </w:p>
    <w:p>
      <w:pPr>
        <w:pStyle w:val="BodyText"/>
        <w:ind w:left="100" w:right="25"/>
      </w:pPr>
      <w:r>
        <w:rPr>
          <w:color w:val="231F20"/>
          <w:w w:val="120"/>
        </w:rPr>
        <w:t>john saxe-fernandez</w:t>
      </w:r>
    </w:p>
    <w:p>
      <w:pPr>
        <w:spacing w:line="261" w:lineRule="auto" w:before="20"/>
        <w:ind w:left="460" w:right="115" w:firstLine="0"/>
        <w:jc w:val="both"/>
        <w:rPr>
          <w:sz w:val="20"/>
        </w:rPr>
      </w:pPr>
      <w:r>
        <w:rPr>
          <w:color w:val="231F20"/>
          <w:sz w:val="20"/>
        </w:rPr>
        <w:t>Docente en la Facultad de Ciencias Políticas y Sociales, se des- empeña como coordinador del Programa “El Mundo en  el  Siglo  xxi”, del Centro  de  Investigaciones  Interdisciplinarias  en  Cien-  cias  y  Humanidades,   de   la   Universidadd   Nacional   Autónoma de México. Entre sus obras recientes: </w:t>
      </w:r>
      <w:r>
        <w:rPr>
          <w:i/>
          <w:color w:val="231F20"/>
          <w:sz w:val="20"/>
        </w:rPr>
        <w:t>La compra-venta de México</w:t>
      </w:r>
      <w:r>
        <w:rPr>
          <w:color w:val="231F20"/>
          <w:sz w:val="20"/>
        </w:rPr>
        <w:t>; </w:t>
      </w:r>
      <w:r>
        <w:rPr>
          <w:i/>
          <w:color w:val="231F20"/>
          <w:spacing w:val="-4"/>
          <w:sz w:val="20"/>
        </w:rPr>
        <w:t>Tercera </w:t>
      </w:r>
      <w:r>
        <w:rPr>
          <w:i/>
          <w:color w:val="231F20"/>
          <w:sz w:val="20"/>
        </w:rPr>
        <w:t>vía y neoliberalismo</w:t>
      </w:r>
      <w:r>
        <w:rPr>
          <w:color w:val="231F20"/>
          <w:sz w:val="20"/>
        </w:rPr>
        <w:t>; “Mexiko und die imperiale Präsidents- chaft der USA”, </w:t>
      </w:r>
      <w:r>
        <w:rPr>
          <w:i/>
          <w:color w:val="231F20"/>
          <w:sz w:val="20"/>
        </w:rPr>
        <w:t>Das Argument</w:t>
      </w:r>
      <w:r>
        <w:rPr>
          <w:color w:val="231F20"/>
          <w:sz w:val="20"/>
        </w:rPr>
        <w:t>, 260; </w:t>
      </w:r>
      <w:r>
        <w:rPr>
          <w:i/>
          <w:color w:val="231F20"/>
          <w:spacing w:val="-4"/>
          <w:sz w:val="20"/>
        </w:rPr>
        <w:t>Terror </w:t>
      </w:r>
      <w:r>
        <w:rPr>
          <w:i/>
          <w:color w:val="231F20"/>
          <w:sz w:val="20"/>
        </w:rPr>
        <w:t>e Imperio</w:t>
      </w:r>
      <w:r>
        <w:rPr>
          <w:color w:val="231F20"/>
          <w:sz w:val="20"/>
        </w:rPr>
        <w:t>; “Guantanamo un die imperiale Aiutokratie”, </w:t>
      </w:r>
      <w:r>
        <w:rPr>
          <w:i/>
          <w:color w:val="231F20"/>
          <w:sz w:val="20"/>
        </w:rPr>
        <w:t>Prokla </w:t>
      </w:r>
      <w:r>
        <w:rPr>
          <w:color w:val="231F20"/>
          <w:sz w:val="20"/>
        </w:rPr>
        <w:t>143; </w:t>
      </w:r>
      <w:r>
        <w:rPr>
          <w:i/>
          <w:color w:val="231F20"/>
          <w:sz w:val="20"/>
        </w:rPr>
        <w:t>La energía en México: </w:t>
      </w:r>
      <w:r>
        <w:rPr>
          <w:i/>
          <w:color w:val="231F20"/>
          <w:sz w:val="20"/>
        </w:rPr>
        <w:t>situación y alternativa</w:t>
      </w:r>
      <w:r>
        <w:rPr>
          <w:color w:val="231F20"/>
          <w:sz w:val="20"/>
        </w:rPr>
        <w:t>; con Daniel Añorve, </w:t>
      </w:r>
      <w:r>
        <w:rPr>
          <w:i/>
          <w:color w:val="231F20"/>
          <w:sz w:val="20"/>
        </w:rPr>
        <w:t>Reposicionamiento de la </w:t>
      </w:r>
      <w:r>
        <w:rPr>
          <w:i/>
          <w:color w:val="231F20"/>
          <w:w w:val="95"/>
          <w:sz w:val="20"/>
        </w:rPr>
        <w:t>Federación</w:t>
      </w:r>
      <w:r>
        <w:rPr>
          <w:i/>
          <w:color w:val="231F20"/>
          <w:spacing w:val="-2"/>
          <w:w w:val="95"/>
          <w:sz w:val="20"/>
        </w:rPr>
        <w:t> </w:t>
      </w:r>
      <w:r>
        <w:rPr>
          <w:i/>
          <w:color w:val="231F20"/>
          <w:w w:val="95"/>
          <w:sz w:val="20"/>
        </w:rPr>
        <w:t>Rusa</w:t>
      </w:r>
      <w:r>
        <w:rPr>
          <w:color w:val="231F20"/>
          <w:w w:val="95"/>
          <w:sz w:val="20"/>
        </w:rPr>
        <w:t>.</w:t>
      </w:r>
    </w:p>
    <w:p>
      <w:pPr>
        <w:pStyle w:val="BodyText"/>
        <w:ind w:left="460"/>
        <w:jc w:val="both"/>
      </w:pPr>
      <w:r>
        <w:rPr>
          <w:color w:val="231F20"/>
          <w:w w:val="105"/>
        </w:rPr>
        <w:t>Correo  electrónico: </w:t>
      </w:r>
      <w:hyperlink r:id="rId413">
        <w:r>
          <w:rPr>
            <w:color w:val="231F20"/>
            <w:w w:val="105"/>
          </w:rPr>
          <w:t>jsaxef@gmail.com</w:t>
        </w:r>
      </w:hyperlink>
    </w:p>
    <w:p>
      <w:pPr>
        <w:pStyle w:val="BodyText"/>
        <w:spacing w:before="5"/>
        <w:rPr>
          <w:sz w:val="23"/>
        </w:rPr>
      </w:pPr>
    </w:p>
    <w:p>
      <w:pPr>
        <w:pStyle w:val="BodyText"/>
        <w:ind w:left="100" w:right="25"/>
      </w:pPr>
      <w:r>
        <w:rPr>
          <w:color w:val="231F20"/>
          <w:w w:val="130"/>
        </w:rPr>
        <w:t>carlos eduardo martins</w:t>
      </w:r>
    </w:p>
    <w:p>
      <w:pPr>
        <w:pStyle w:val="BodyText"/>
        <w:spacing w:line="261" w:lineRule="auto" w:before="20"/>
        <w:ind w:left="460" w:right="117"/>
        <w:jc w:val="both"/>
      </w:pPr>
      <w:r>
        <w:rPr>
          <w:color w:val="231F20"/>
          <w:w w:val="105"/>
        </w:rPr>
        <w:t>Doctor en Sociología por la Universidad de São Paulo (usp), Maestro en Administración Pública. profesor-adjunto del Depar- tamento de Ciencia Política de la Universidad Federal de Río de Janeiro, Investigador de reggen y lpp. Cátedra sobre Globaliza- ción y Desenvolvimiento Sustentable de  la  unesco-onu.  Entre  sus</w:t>
      </w:r>
      <w:r>
        <w:rPr>
          <w:color w:val="231F20"/>
          <w:spacing w:val="38"/>
          <w:w w:val="105"/>
        </w:rPr>
        <w:t> </w:t>
      </w:r>
      <w:r>
        <w:rPr>
          <w:color w:val="231F20"/>
          <w:w w:val="105"/>
        </w:rPr>
        <w:t>publicaciones</w:t>
      </w:r>
      <w:r>
        <w:rPr>
          <w:color w:val="231F20"/>
          <w:spacing w:val="38"/>
          <w:w w:val="105"/>
        </w:rPr>
        <w:t> </w:t>
      </w:r>
      <w:r>
        <w:rPr>
          <w:color w:val="231F20"/>
          <w:w w:val="105"/>
        </w:rPr>
        <w:t>destacan:</w:t>
      </w:r>
      <w:r>
        <w:rPr>
          <w:color w:val="231F20"/>
          <w:spacing w:val="39"/>
          <w:w w:val="105"/>
        </w:rPr>
        <w:t> </w:t>
      </w:r>
      <w:r>
        <w:rPr>
          <w:i/>
          <w:color w:val="231F20"/>
          <w:w w:val="105"/>
        </w:rPr>
        <w:t>Ruy</w:t>
      </w:r>
      <w:r>
        <w:rPr>
          <w:i/>
          <w:color w:val="231F20"/>
          <w:spacing w:val="38"/>
          <w:w w:val="105"/>
        </w:rPr>
        <w:t> </w:t>
      </w:r>
      <w:r>
        <w:rPr>
          <w:i/>
          <w:color w:val="231F20"/>
          <w:w w:val="105"/>
        </w:rPr>
        <w:t>Mauro</w:t>
      </w:r>
      <w:r>
        <w:rPr>
          <w:i/>
          <w:color w:val="231F20"/>
          <w:spacing w:val="38"/>
          <w:w w:val="105"/>
        </w:rPr>
        <w:t> </w:t>
      </w:r>
      <w:r>
        <w:rPr>
          <w:i/>
          <w:color w:val="231F20"/>
          <w:w w:val="105"/>
        </w:rPr>
        <w:t>Marini</w:t>
      </w:r>
      <w:r>
        <w:rPr>
          <w:i/>
          <w:color w:val="231F20"/>
          <w:spacing w:val="38"/>
          <w:w w:val="105"/>
        </w:rPr>
        <w:t> </w:t>
      </w:r>
      <w:r>
        <w:rPr>
          <w:i/>
          <w:color w:val="231F20"/>
          <w:w w:val="105"/>
        </w:rPr>
        <w:t>Antologia</w:t>
      </w:r>
      <w:r>
        <w:rPr>
          <w:color w:val="231F20"/>
          <w:w w:val="105"/>
        </w:rPr>
        <w:t>;</w:t>
      </w:r>
      <w:r>
        <w:rPr>
          <w:color w:val="231F20"/>
          <w:spacing w:val="38"/>
          <w:w w:val="105"/>
        </w:rPr>
        <w:t> </w:t>
      </w:r>
      <w:r>
        <w:rPr>
          <w:color w:val="231F20"/>
          <w:w w:val="105"/>
        </w:rPr>
        <w:t>Emir</w:t>
      </w:r>
    </w:p>
    <w:p>
      <w:pPr>
        <w:spacing w:after="0" w:line="261" w:lineRule="auto"/>
        <w:jc w:val="both"/>
        <w:sectPr>
          <w:headerReference w:type="even" r:id="rId411"/>
          <w:pgSz w:w="7640" w:h="11900"/>
          <w:pgMar w:header="0" w:footer="0" w:top="1000" w:bottom="280" w:left="780" w:right="640"/>
        </w:sectPr>
      </w:pPr>
    </w:p>
    <w:p>
      <w:pPr>
        <w:spacing w:line="261" w:lineRule="auto" w:before="39"/>
        <w:ind w:left="460" w:right="117" w:firstLine="0"/>
        <w:jc w:val="both"/>
        <w:rPr>
          <w:sz w:val="20"/>
        </w:rPr>
      </w:pPr>
      <w:r>
        <w:rPr>
          <w:color w:val="231F20"/>
          <w:sz w:val="20"/>
        </w:rPr>
        <w:t>Sader, Ivana Jinkings, Carlos Eduardo Martins y Rodrigo Nobile (Org.), </w:t>
      </w:r>
      <w:r>
        <w:rPr>
          <w:i/>
          <w:color w:val="231F20"/>
          <w:sz w:val="20"/>
        </w:rPr>
        <w:t>Latinoamericana</w:t>
      </w:r>
      <w:r>
        <w:rPr>
          <w:color w:val="231F20"/>
          <w:sz w:val="20"/>
        </w:rPr>
        <w:t>, </w:t>
      </w:r>
      <w:r>
        <w:rPr>
          <w:i/>
          <w:color w:val="231F20"/>
          <w:sz w:val="20"/>
        </w:rPr>
        <w:t>Enciclopédia Contemporânea da Ámerica </w:t>
      </w:r>
      <w:r>
        <w:rPr>
          <w:i/>
          <w:color w:val="231F20"/>
          <w:sz w:val="20"/>
        </w:rPr>
        <w:t>Latina e do Caribe</w:t>
      </w:r>
      <w:r>
        <w:rPr>
          <w:color w:val="231F20"/>
          <w:sz w:val="20"/>
        </w:rPr>
        <w:t>.</w:t>
      </w:r>
    </w:p>
    <w:p>
      <w:pPr>
        <w:pStyle w:val="BodyText"/>
        <w:ind w:left="460"/>
        <w:jc w:val="both"/>
      </w:pPr>
      <w:r>
        <w:rPr>
          <w:color w:val="231F20"/>
          <w:w w:val="110"/>
        </w:rPr>
        <w:t>Correo electrónico: </w:t>
      </w:r>
      <w:hyperlink r:id="rId415">
        <w:r>
          <w:rPr>
            <w:color w:val="231F20"/>
            <w:w w:val="110"/>
          </w:rPr>
          <w:t>cadu.m@uol.com.br</w:t>
        </w:r>
      </w:hyperlink>
    </w:p>
    <w:p>
      <w:pPr>
        <w:pStyle w:val="BodyText"/>
        <w:spacing w:before="5"/>
        <w:rPr>
          <w:sz w:val="23"/>
        </w:rPr>
      </w:pPr>
    </w:p>
    <w:p>
      <w:pPr>
        <w:pStyle w:val="BodyText"/>
        <w:ind w:left="100" w:right="25"/>
      </w:pPr>
      <w:r>
        <w:rPr>
          <w:color w:val="231F20"/>
          <w:w w:val="130"/>
        </w:rPr>
        <w:t>orlando caputo leiva</w:t>
      </w:r>
    </w:p>
    <w:p>
      <w:pPr>
        <w:pStyle w:val="BodyText"/>
        <w:spacing w:line="261" w:lineRule="auto" w:before="20"/>
        <w:ind w:left="460" w:right="116"/>
        <w:jc w:val="both"/>
      </w:pPr>
      <w:r>
        <w:rPr>
          <w:color w:val="231F20"/>
          <w:w w:val="110"/>
        </w:rPr>
        <w:t>Investigador del Centro de Estudios sobre Trasnacionalización Economía y Sociedad”, cetes, Chile. Economista de la</w:t>
      </w:r>
      <w:r>
        <w:rPr>
          <w:color w:val="231F20"/>
          <w:spacing w:val="-27"/>
          <w:w w:val="110"/>
        </w:rPr>
        <w:t> </w:t>
      </w:r>
      <w:r>
        <w:rPr>
          <w:color w:val="231F20"/>
          <w:w w:val="110"/>
        </w:rPr>
        <w:t>Universi- dad</w:t>
      </w:r>
      <w:r>
        <w:rPr>
          <w:color w:val="231F20"/>
          <w:spacing w:val="-16"/>
          <w:w w:val="110"/>
        </w:rPr>
        <w:t> </w:t>
      </w:r>
      <w:r>
        <w:rPr>
          <w:color w:val="231F20"/>
          <w:w w:val="110"/>
        </w:rPr>
        <w:t>de</w:t>
      </w:r>
      <w:r>
        <w:rPr>
          <w:color w:val="231F20"/>
          <w:spacing w:val="-16"/>
          <w:w w:val="110"/>
        </w:rPr>
        <w:t> </w:t>
      </w:r>
      <w:r>
        <w:rPr>
          <w:color w:val="231F20"/>
          <w:w w:val="110"/>
        </w:rPr>
        <w:t>Chile</w:t>
      </w:r>
      <w:r>
        <w:rPr>
          <w:color w:val="231F20"/>
          <w:spacing w:val="-16"/>
          <w:w w:val="110"/>
        </w:rPr>
        <w:t> </w:t>
      </w:r>
      <w:r>
        <w:rPr>
          <w:color w:val="231F20"/>
          <w:w w:val="110"/>
        </w:rPr>
        <w:t>y</w:t>
      </w:r>
      <w:r>
        <w:rPr>
          <w:color w:val="231F20"/>
          <w:spacing w:val="-16"/>
          <w:w w:val="110"/>
        </w:rPr>
        <w:t> </w:t>
      </w:r>
      <w:r>
        <w:rPr>
          <w:color w:val="231F20"/>
          <w:w w:val="110"/>
        </w:rPr>
        <w:t>ex</w:t>
      </w:r>
      <w:r>
        <w:rPr>
          <w:color w:val="231F20"/>
          <w:spacing w:val="-16"/>
          <w:w w:val="110"/>
        </w:rPr>
        <w:t> </w:t>
      </w:r>
      <w:r>
        <w:rPr>
          <w:color w:val="231F20"/>
          <w:w w:val="110"/>
        </w:rPr>
        <w:t>profesor</w:t>
      </w:r>
      <w:r>
        <w:rPr>
          <w:color w:val="231F20"/>
          <w:spacing w:val="-16"/>
          <w:w w:val="110"/>
        </w:rPr>
        <w:t> </w:t>
      </w:r>
      <w:r>
        <w:rPr>
          <w:color w:val="231F20"/>
          <w:w w:val="110"/>
        </w:rPr>
        <w:t>de</w:t>
      </w:r>
      <w:r>
        <w:rPr>
          <w:color w:val="231F20"/>
          <w:spacing w:val="-16"/>
          <w:w w:val="110"/>
        </w:rPr>
        <w:t> </w:t>
      </w:r>
      <w:r>
        <w:rPr>
          <w:color w:val="231F20"/>
          <w:w w:val="110"/>
        </w:rPr>
        <w:t>dicha</w:t>
      </w:r>
      <w:r>
        <w:rPr>
          <w:color w:val="231F20"/>
          <w:spacing w:val="-16"/>
          <w:w w:val="110"/>
        </w:rPr>
        <w:t> </w:t>
      </w:r>
      <w:r>
        <w:rPr>
          <w:color w:val="231F20"/>
          <w:w w:val="110"/>
        </w:rPr>
        <w:t>Universidad.</w:t>
      </w:r>
      <w:r>
        <w:rPr>
          <w:color w:val="231F20"/>
          <w:spacing w:val="-16"/>
          <w:w w:val="110"/>
        </w:rPr>
        <w:t> </w:t>
      </w:r>
      <w:r>
        <w:rPr>
          <w:color w:val="231F20"/>
          <w:w w:val="110"/>
        </w:rPr>
        <w:t>Investigador</w:t>
      </w:r>
      <w:r>
        <w:rPr>
          <w:color w:val="231F20"/>
          <w:spacing w:val="-16"/>
          <w:w w:val="110"/>
        </w:rPr>
        <w:t> </w:t>
      </w:r>
      <w:r>
        <w:rPr>
          <w:color w:val="231F20"/>
          <w:w w:val="110"/>
        </w:rPr>
        <w:t>del Grupo sobre Dependencia, dirigido por Theotonio Dos Santos en el Centro de Estudios Socio-Económicos, ceso, Universidad de Chile a fines de los años sesenta. Profesor Titular de la Di- visión de Estudios de Posgrado (maestría y doctorado) de la Universidad</w:t>
      </w:r>
      <w:r>
        <w:rPr>
          <w:color w:val="231F20"/>
          <w:spacing w:val="-11"/>
          <w:w w:val="110"/>
        </w:rPr>
        <w:t> </w:t>
      </w:r>
      <w:r>
        <w:rPr>
          <w:color w:val="231F20"/>
          <w:w w:val="110"/>
        </w:rPr>
        <w:t>Nacional</w:t>
      </w:r>
      <w:r>
        <w:rPr>
          <w:color w:val="231F20"/>
          <w:spacing w:val="-11"/>
          <w:w w:val="110"/>
        </w:rPr>
        <w:t> </w:t>
      </w:r>
      <w:r>
        <w:rPr>
          <w:color w:val="231F20"/>
          <w:w w:val="110"/>
        </w:rPr>
        <w:t>Autónoma</w:t>
      </w:r>
      <w:r>
        <w:rPr>
          <w:color w:val="231F20"/>
          <w:spacing w:val="-11"/>
          <w:w w:val="110"/>
        </w:rPr>
        <w:t> </w:t>
      </w:r>
      <w:r>
        <w:rPr>
          <w:color w:val="231F20"/>
          <w:w w:val="110"/>
        </w:rPr>
        <w:t>de</w:t>
      </w:r>
      <w:r>
        <w:rPr>
          <w:color w:val="231F20"/>
          <w:spacing w:val="-11"/>
          <w:w w:val="110"/>
        </w:rPr>
        <w:t> </w:t>
      </w:r>
      <w:r>
        <w:rPr>
          <w:color w:val="231F20"/>
          <w:w w:val="110"/>
        </w:rPr>
        <w:t>México,</w:t>
      </w:r>
      <w:r>
        <w:rPr>
          <w:color w:val="231F20"/>
          <w:spacing w:val="-11"/>
          <w:w w:val="110"/>
        </w:rPr>
        <w:t> </w:t>
      </w:r>
      <w:r>
        <w:rPr>
          <w:color w:val="231F20"/>
          <w:w w:val="110"/>
        </w:rPr>
        <w:t>unam.</w:t>
      </w:r>
      <w:r>
        <w:rPr>
          <w:color w:val="231F20"/>
          <w:spacing w:val="-11"/>
          <w:w w:val="110"/>
        </w:rPr>
        <w:t> </w:t>
      </w:r>
      <w:r>
        <w:rPr>
          <w:color w:val="231F20"/>
          <w:w w:val="110"/>
        </w:rPr>
        <w:t>Investigador Visitante, Universidad de Roma, Italia. Miembro del Grupo de </w:t>
      </w:r>
      <w:r>
        <w:rPr>
          <w:color w:val="231F20"/>
          <w:spacing w:val="-3"/>
          <w:w w:val="110"/>
        </w:rPr>
        <w:t>Trabajo </w:t>
      </w:r>
      <w:r>
        <w:rPr>
          <w:color w:val="231F20"/>
          <w:w w:val="110"/>
        </w:rPr>
        <w:t>de Investigadores de América Latina sobre “Globaliza- ción, economía mundial y economías</w:t>
      </w:r>
      <w:r>
        <w:rPr>
          <w:color w:val="231F20"/>
          <w:spacing w:val="8"/>
          <w:w w:val="110"/>
        </w:rPr>
        <w:t> </w:t>
      </w:r>
      <w:r>
        <w:rPr>
          <w:color w:val="231F20"/>
          <w:w w:val="110"/>
        </w:rPr>
        <w:t>nacionales”.</w:t>
      </w:r>
    </w:p>
    <w:p>
      <w:pPr>
        <w:pStyle w:val="BodyText"/>
        <w:ind w:left="525"/>
        <w:jc w:val="both"/>
      </w:pPr>
      <w:r>
        <w:rPr>
          <w:color w:val="231F20"/>
          <w:w w:val="110"/>
        </w:rPr>
        <w:t>Correo electrónico: </w:t>
      </w:r>
      <w:hyperlink r:id="rId416">
        <w:r>
          <w:rPr>
            <w:color w:val="231F20"/>
            <w:w w:val="110"/>
          </w:rPr>
          <w:t>ocaputo@gmail.com</w:t>
        </w:r>
      </w:hyperlink>
    </w:p>
    <w:p>
      <w:pPr>
        <w:pStyle w:val="BodyText"/>
        <w:spacing w:before="5"/>
        <w:rPr>
          <w:sz w:val="23"/>
        </w:rPr>
      </w:pPr>
    </w:p>
    <w:p>
      <w:pPr>
        <w:pStyle w:val="BodyText"/>
        <w:ind w:left="100" w:right="25"/>
      </w:pPr>
      <w:r>
        <w:rPr>
          <w:color w:val="231F20"/>
          <w:w w:val="125"/>
        </w:rPr>
        <w:t>jaime ornelas delgado</w:t>
      </w:r>
    </w:p>
    <w:p>
      <w:pPr>
        <w:spacing w:line="261" w:lineRule="auto" w:before="20"/>
        <w:ind w:left="460" w:right="119" w:firstLine="0"/>
        <w:jc w:val="both"/>
        <w:rPr>
          <w:sz w:val="20"/>
        </w:rPr>
      </w:pPr>
      <w:r>
        <w:rPr>
          <w:color w:val="231F20"/>
          <w:w w:val="105"/>
          <w:sz w:val="20"/>
        </w:rPr>
        <w:t>Licenciado en Economía, con maestría y doctorado en urbanismo por la Universidad Nacional Autónoma de México; desde 1966 se desempeña como docente-investigador en la Facultad de Econo- mía de la Benemérita Universidad Autónoma de Puebla. Ha ocupado diversos cargos en la administración de esta Universidad y es miembro de la planta básica del doctorado de Economía Política del Desarrollo de la Facultad de Economía. Sus tres últi- </w:t>
      </w:r>
      <w:r>
        <w:rPr>
          <w:color w:val="231F20"/>
          <w:sz w:val="20"/>
        </w:rPr>
        <w:t>mos</w:t>
      </w:r>
      <w:r>
        <w:rPr>
          <w:color w:val="231F20"/>
          <w:spacing w:val="-29"/>
          <w:sz w:val="20"/>
        </w:rPr>
        <w:t> </w:t>
      </w:r>
      <w:r>
        <w:rPr>
          <w:color w:val="231F20"/>
          <w:sz w:val="20"/>
        </w:rPr>
        <w:t>libros:</w:t>
      </w:r>
      <w:r>
        <w:rPr>
          <w:color w:val="231F20"/>
          <w:spacing w:val="-29"/>
          <w:sz w:val="20"/>
        </w:rPr>
        <w:t> </w:t>
      </w:r>
      <w:r>
        <w:rPr>
          <w:i/>
          <w:color w:val="231F20"/>
          <w:sz w:val="20"/>
        </w:rPr>
        <w:t>El</w:t>
      </w:r>
      <w:r>
        <w:rPr>
          <w:i/>
          <w:color w:val="231F20"/>
          <w:spacing w:val="-29"/>
          <w:sz w:val="20"/>
        </w:rPr>
        <w:t> </w:t>
      </w:r>
      <w:r>
        <w:rPr>
          <w:i/>
          <w:color w:val="231F20"/>
          <w:sz w:val="20"/>
        </w:rPr>
        <w:t>siglo</w:t>
      </w:r>
      <w:r>
        <w:rPr>
          <w:i/>
          <w:color w:val="231F20"/>
          <w:spacing w:val="-29"/>
          <w:sz w:val="20"/>
        </w:rPr>
        <w:t> </w:t>
      </w:r>
      <w:r>
        <w:rPr>
          <w:color w:val="231F20"/>
          <w:sz w:val="20"/>
        </w:rPr>
        <w:t>xx</w:t>
      </w:r>
      <w:r>
        <w:rPr>
          <w:color w:val="231F20"/>
          <w:spacing w:val="-29"/>
          <w:sz w:val="20"/>
        </w:rPr>
        <w:t> </w:t>
      </w:r>
      <w:r>
        <w:rPr>
          <w:i/>
          <w:color w:val="231F20"/>
          <w:sz w:val="20"/>
        </w:rPr>
        <w:t>mexicano:</w:t>
      </w:r>
      <w:r>
        <w:rPr>
          <w:i/>
          <w:color w:val="231F20"/>
          <w:spacing w:val="-29"/>
          <w:sz w:val="20"/>
        </w:rPr>
        <w:t> </w:t>
      </w:r>
      <w:r>
        <w:rPr>
          <w:i/>
          <w:color w:val="231F20"/>
          <w:sz w:val="20"/>
        </w:rPr>
        <w:t>economía</w:t>
      </w:r>
      <w:r>
        <w:rPr>
          <w:i/>
          <w:color w:val="231F20"/>
          <w:spacing w:val="-29"/>
          <w:sz w:val="20"/>
        </w:rPr>
        <w:t> </w:t>
      </w:r>
      <w:r>
        <w:rPr>
          <w:i/>
          <w:color w:val="231F20"/>
          <w:sz w:val="20"/>
        </w:rPr>
        <w:t>y</w:t>
      </w:r>
      <w:r>
        <w:rPr>
          <w:i/>
          <w:color w:val="231F20"/>
          <w:spacing w:val="-29"/>
          <w:sz w:val="20"/>
        </w:rPr>
        <w:t> </w:t>
      </w:r>
      <w:r>
        <w:rPr>
          <w:i/>
          <w:color w:val="231F20"/>
          <w:sz w:val="20"/>
        </w:rPr>
        <w:t>sociedad</w:t>
      </w:r>
      <w:r>
        <w:rPr>
          <w:i/>
          <w:color w:val="231F20"/>
          <w:spacing w:val="-29"/>
          <w:sz w:val="20"/>
        </w:rPr>
        <w:t> </w:t>
      </w:r>
      <w:r>
        <w:rPr>
          <w:i/>
          <w:color w:val="231F20"/>
          <w:sz w:val="20"/>
        </w:rPr>
        <w:t>(2005),</w:t>
      </w:r>
      <w:r>
        <w:rPr>
          <w:i/>
          <w:color w:val="231F20"/>
          <w:spacing w:val="-29"/>
          <w:sz w:val="20"/>
        </w:rPr>
        <w:t> </w:t>
      </w:r>
      <w:r>
        <w:rPr>
          <w:i/>
          <w:color w:val="231F20"/>
          <w:sz w:val="20"/>
        </w:rPr>
        <w:t>educación </w:t>
      </w:r>
      <w:r>
        <w:rPr>
          <w:i/>
          <w:color w:val="231F20"/>
          <w:w w:val="95"/>
          <w:sz w:val="20"/>
        </w:rPr>
        <w:t>y neoliberalismo</w:t>
      </w:r>
      <w:r>
        <w:rPr>
          <w:color w:val="231F20"/>
          <w:w w:val="95"/>
          <w:sz w:val="20"/>
        </w:rPr>
        <w:t>; </w:t>
      </w:r>
      <w:r>
        <w:rPr>
          <w:i/>
          <w:color w:val="231F20"/>
          <w:w w:val="95"/>
          <w:sz w:val="20"/>
        </w:rPr>
        <w:t>Historia de la Economía. Desde los griegos a</w:t>
      </w:r>
      <w:r>
        <w:rPr>
          <w:i/>
          <w:color w:val="231F20"/>
          <w:spacing w:val="-25"/>
          <w:w w:val="95"/>
          <w:sz w:val="20"/>
        </w:rPr>
        <w:t> </w:t>
      </w:r>
      <w:r>
        <w:rPr>
          <w:i/>
          <w:color w:val="231F20"/>
          <w:w w:val="95"/>
          <w:sz w:val="20"/>
        </w:rPr>
        <w:t>los</w:t>
      </w:r>
      <w:r>
        <w:rPr>
          <w:i/>
          <w:color w:val="231F20"/>
          <w:spacing w:val="-3"/>
          <w:w w:val="95"/>
          <w:sz w:val="20"/>
        </w:rPr>
        <w:t> </w:t>
      </w:r>
      <w:r>
        <w:rPr>
          <w:i/>
          <w:color w:val="231F20"/>
          <w:w w:val="95"/>
          <w:sz w:val="20"/>
        </w:rPr>
        <w:t>pensa-</w:t>
      </w:r>
      <w:r>
        <w:rPr>
          <w:i/>
          <w:color w:val="231F20"/>
          <w:w w:val="72"/>
          <w:sz w:val="20"/>
        </w:rPr>
        <w:t> </w:t>
      </w:r>
      <w:r>
        <w:rPr>
          <w:i/>
          <w:color w:val="231F20"/>
          <w:w w:val="105"/>
          <w:sz w:val="20"/>
        </w:rPr>
        <w:t>dores</w:t>
      </w:r>
      <w:r>
        <w:rPr>
          <w:i/>
          <w:color w:val="231F20"/>
          <w:spacing w:val="-18"/>
          <w:w w:val="105"/>
          <w:sz w:val="20"/>
        </w:rPr>
        <w:t> </w:t>
      </w:r>
      <w:r>
        <w:rPr>
          <w:i/>
          <w:color w:val="231F20"/>
          <w:w w:val="105"/>
          <w:sz w:val="20"/>
        </w:rPr>
        <w:t>latinoamericanos</w:t>
      </w:r>
      <w:r>
        <w:rPr>
          <w:color w:val="231F20"/>
          <w:w w:val="105"/>
          <w:sz w:val="20"/>
        </w:rPr>
        <w:t>.</w:t>
      </w:r>
      <w:r>
        <w:rPr>
          <w:color w:val="231F20"/>
          <w:spacing w:val="-18"/>
          <w:w w:val="105"/>
          <w:sz w:val="20"/>
        </w:rPr>
        <w:t> </w:t>
      </w:r>
      <w:r>
        <w:rPr>
          <w:color w:val="231F20"/>
          <w:w w:val="105"/>
          <w:sz w:val="20"/>
        </w:rPr>
        <w:t>Es</w:t>
      </w:r>
      <w:r>
        <w:rPr>
          <w:color w:val="231F20"/>
          <w:spacing w:val="-18"/>
          <w:w w:val="105"/>
          <w:sz w:val="20"/>
        </w:rPr>
        <w:t> </w:t>
      </w:r>
      <w:r>
        <w:rPr>
          <w:color w:val="231F20"/>
          <w:w w:val="105"/>
          <w:sz w:val="20"/>
        </w:rPr>
        <w:t>miembro</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Sistema</w:t>
      </w:r>
      <w:r>
        <w:rPr>
          <w:color w:val="231F20"/>
          <w:spacing w:val="-18"/>
          <w:w w:val="105"/>
          <w:sz w:val="20"/>
        </w:rPr>
        <w:t> </w:t>
      </w:r>
      <w:r>
        <w:rPr>
          <w:color w:val="231F20"/>
          <w:w w:val="105"/>
          <w:sz w:val="20"/>
        </w:rPr>
        <w:t>Nacional</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Inves- tigadores, Nivel</w:t>
      </w:r>
      <w:r>
        <w:rPr>
          <w:color w:val="231F20"/>
          <w:spacing w:val="15"/>
          <w:w w:val="105"/>
          <w:sz w:val="20"/>
        </w:rPr>
        <w:t> </w:t>
      </w:r>
      <w:r>
        <w:rPr>
          <w:color w:val="231F20"/>
          <w:w w:val="105"/>
          <w:sz w:val="20"/>
        </w:rPr>
        <w:t>2.</w:t>
      </w:r>
    </w:p>
    <w:p>
      <w:pPr>
        <w:pStyle w:val="BodyText"/>
        <w:ind w:left="460"/>
        <w:jc w:val="both"/>
      </w:pPr>
      <w:r>
        <w:rPr>
          <w:color w:val="231F20"/>
          <w:w w:val="110"/>
        </w:rPr>
        <w:t>Correo electrónico: </w:t>
      </w:r>
      <w:hyperlink r:id="rId417">
        <w:r>
          <w:rPr>
            <w:color w:val="231F20"/>
            <w:w w:val="110"/>
          </w:rPr>
          <w:t>ornelasdelgadojaime@hotmail.com</w:t>
        </w:r>
      </w:hyperlink>
    </w:p>
    <w:p>
      <w:pPr>
        <w:pStyle w:val="BodyText"/>
        <w:spacing w:before="5"/>
        <w:rPr>
          <w:sz w:val="23"/>
        </w:rPr>
      </w:pPr>
    </w:p>
    <w:p>
      <w:pPr>
        <w:pStyle w:val="BodyText"/>
        <w:ind w:left="100" w:right="25"/>
      </w:pPr>
      <w:r>
        <w:rPr>
          <w:color w:val="231F20"/>
          <w:w w:val="120"/>
        </w:rPr>
        <w:t>marco a. gandásegui, hijo</w:t>
      </w:r>
    </w:p>
    <w:p>
      <w:pPr>
        <w:pStyle w:val="BodyText"/>
        <w:spacing w:line="261" w:lineRule="auto" w:before="20"/>
        <w:ind w:left="460" w:right="119"/>
        <w:jc w:val="both"/>
      </w:pPr>
      <w:r>
        <w:rPr>
          <w:color w:val="231F20"/>
          <w:w w:val="110"/>
        </w:rPr>
        <w:t>Realizó</w:t>
      </w:r>
      <w:r>
        <w:rPr>
          <w:color w:val="231F20"/>
          <w:spacing w:val="-25"/>
          <w:w w:val="110"/>
        </w:rPr>
        <w:t> </w:t>
      </w:r>
      <w:r>
        <w:rPr>
          <w:color w:val="231F20"/>
          <w:w w:val="110"/>
        </w:rPr>
        <w:t>estudios</w:t>
      </w:r>
      <w:r>
        <w:rPr>
          <w:color w:val="231F20"/>
          <w:spacing w:val="-25"/>
          <w:w w:val="110"/>
        </w:rPr>
        <w:t> </w:t>
      </w:r>
      <w:r>
        <w:rPr>
          <w:color w:val="231F20"/>
          <w:w w:val="110"/>
        </w:rPr>
        <w:t>de</w:t>
      </w:r>
      <w:r>
        <w:rPr>
          <w:color w:val="231F20"/>
          <w:spacing w:val="-25"/>
          <w:w w:val="110"/>
        </w:rPr>
        <w:t> </w:t>
      </w:r>
      <w:r>
        <w:rPr>
          <w:color w:val="231F20"/>
          <w:w w:val="110"/>
        </w:rPr>
        <w:t>doctorado</w:t>
      </w:r>
      <w:r>
        <w:rPr>
          <w:color w:val="231F20"/>
          <w:spacing w:val="-25"/>
          <w:w w:val="110"/>
        </w:rPr>
        <w:t> </w:t>
      </w:r>
      <w:r>
        <w:rPr>
          <w:color w:val="231F20"/>
          <w:w w:val="110"/>
        </w:rPr>
        <w:t>en</w:t>
      </w:r>
      <w:r>
        <w:rPr>
          <w:color w:val="231F20"/>
          <w:spacing w:val="-25"/>
          <w:w w:val="110"/>
        </w:rPr>
        <w:t> </w:t>
      </w:r>
      <w:r>
        <w:rPr>
          <w:color w:val="231F20"/>
          <w:w w:val="110"/>
        </w:rPr>
        <w:t>Sociología</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State</w:t>
      </w:r>
      <w:r>
        <w:rPr>
          <w:color w:val="231F20"/>
          <w:spacing w:val="-25"/>
          <w:w w:val="110"/>
        </w:rPr>
        <w:t> </w:t>
      </w:r>
      <w:r>
        <w:rPr>
          <w:color w:val="231F20"/>
          <w:w w:val="110"/>
        </w:rPr>
        <w:t>University of New </w:t>
      </w:r>
      <w:r>
        <w:rPr>
          <w:color w:val="231F20"/>
          <w:spacing w:val="-3"/>
          <w:w w:val="110"/>
        </w:rPr>
        <w:t>York </w:t>
      </w:r>
      <w:r>
        <w:rPr>
          <w:color w:val="231F20"/>
          <w:w w:val="110"/>
        </w:rPr>
        <w:t>así como de maestría en flacso-Santiago de Chile. Es</w:t>
      </w:r>
      <w:r>
        <w:rPr>
          <w:color w:val="231F20"/>
          <w:spacing w:val="-12"/>
          <w:w w:val="110"/>
        </w:rPr>
        <w:t> </w:t>
      </w:r>
      <w:r>
        <w:rPr>
          <w:color w:val="231F20"/>
          <w:w w:val="110"/>
        </w:rPr>
        <w:t>profesor</w:t>
      </w:r>
      <w:r>
        <w:rPr>
          <w:color w:val="231F20"/>
          <w:spacing w:val="-12"/>
          <w:w w:val="110"/>
        </w:rPr>
        <w:t> </w:t>
      </w:r>
      <w:r>
        <w:rPr>
          <w:color w:val="231F20"/>
          <w:w w:val="110"/>
        </w:rPr>
        <w:t>de</w:t>
      </w:r>
      <w:r>
        <w:rPr>
          <w:color w:val="231F20"/>
          <w:spacing w:val="-12"/>
          <w:w w:val="110"/>
        </w:rPr>
        <w:t> </w:t>
      </w:r>
      <w:r>
        <w:rPr>
          <w:color w:val="231F20"/>
          <w:w w:val="110"/>
        </w:rPr>
        <w:t>Sociología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Universidad</w:t>
      </w:r>
      <w:r>
        <w:rPr>
          <w:color w:val="231F20"/>
          <w:spacing w:val="-12"/>
          <w:w w:val="110"/>
        </w:rPr>
        <w:t> </w:t>
      </w:r>
      <w:r>
        <w:rPr>
          <w:color w:val="231F20"/>
          <w:w w:val="110"/>
        </w:rPr>
        <w:t>de</w:t>
      </w:r>
      <w:r>
        <w:rPr>
          <w:color w:val="231F20"/>
          <w:spacing w:val="-12"/>
          <w:w w:val="110"/>
        </w:rPr>
        <w:t> </w:t>
      </w:r>
      <w:r>
        <w:rPr>
          <w:color w:val="231F20"/>
          <w:w w:val="110"/>
        </w:rPr>
        <w:t>Panamá</w:t>
      </w:r>
      <w:r>
        <w:rPr>
          <w:color w:val="231F20"/>
          <w:spacing w:val="-12"/>
          <w:w w:val="110"/>
        </w:rPr>
        <w:t> </w:t>
      </w:r>
      <w:r>
        <w:rPr>
          <w:color w:val="231F20"/>
          <w:w w:val="110"/>
        </w:rPr>
        <w:t>e</w:t>
      </w:r>
      <w:r>
        <w:rPr>
          <w:color w:val="231F20"/>
          <w:spacing w:val="-12"/>
          <w:w w:val="110"/>
        </w:rPr>
        <w:t> </w:t>
      </w:r>
      <w:r>
        <w:rPr>
          <w:color w:val="231F20"/>
          <w:w w:val="110"/>
        </w:rPr>
        <w:t>investi- gador asociado del Centro de Estudios Latinoamericanos (cela) “Justo Arosemena”. Autor de múltiples libros y artículos en </w:t>
      </w:r>
      <w:r>
        <w:rPr>
          <w:color w:val="231F20"/>
          <w:spacing w:val="19"/>
          <w:w w:val="110"/>
        </w:rPr>
        <w:t> </w:t>
      </w:r>
      <w:r>
        <w:rPr>
          <w:color w:val="231F20"/>
          <w:w w:val="110"/>
        </w:rPr>
        <w:t>re-</w:t>
      </w:r>
    </w:p>
    <w:p>
      <w:pPr>
        <w:spacing w:after="0" w:line="261" w:lineRule="auto"/>
        <w:jc w:val="both"/>
        <w:sectPr>
          <w:headerReference w:type="default" r:id="rId414"/>
          <w:pgSz w:w="7640" w:h="11900"/>
          <w:pgMar w:header="0" w:footer="0" w:top="1000" w:bottom="280" w:left="660" w:right="760"/>
        </w:sectPr>
      </w:pPr>
    </w:p>
    <w:p>
      <w:pPr>
        <w:spacing w:line="261" w:lineRule="auto" w:before="39"/>
        <w:ind w:left="460" w:right="117" w:firstLine="0"/>
        <w:jc w:val="both"/>
        <w:rPr>
          <w:sz w:val="20"/>
        </w:rPr>
      </w:pPr>
      <w:r>
        <w:rPr>
          <w:color w:val="231F20"/>
          <w:w w:val="105"/>
          <w:sz w:val="20"/>
        </w:rPr>
        <w:t>vistas especializadas, referidos a cuestiones políticas de América Latina, en sus relaciones con Estados Unidos. Fue coordinador   del grupo de trabajo de clacso: Estudios sobre Estados Unidos. Editor de la revista </w:t>
      </w:r>
      <w:r>
        <w:rPr>
          <w:i/>
          <w:color w:val="231F20"/>
          <w:spacing w:val="-4"/>
          <w:w w:val="105"/>
          <w:sz w:val="20"/>
        </w:rPr>
        <w:t>Tareas</w:t>
      </w:r>
      <w:r>
        <w:rPr>
          <w:color w:val="231F20"/>
          <w:spacing w:val="-4"/>
          <w:w w:val="105"/>
          <w:sz w:val="20"/>
        </w:rPr>
        <w:t>. </w:t>
      </w:r>
      <w:r>
        <w:rPr>
          <w:color w:val="231F20"/>
          <w:w w:val="105"/>
          <w:sz w:val="20"/>
        </w:rPr>
        <w:t>Expresidente de la Asociación Latinoa- mericana de Sociología. Cocoordinador del libro </w:t>
      </w:r>
      <w:r>
        <w:rPr>
          <w:i/>
          <w:color w:val="231F20"/>
          <w:w w:val="105"/>
          <w:sz w:val="20"/>
        </w:rPr>
        <w:t>Estados Unidos: </w:t>
      </w:r>
      <w:r>
        <w:rPr>
          <w:i/>
          <w:color w:val="231F20"/>
          <w:sz w:val="20"/>
        </w:rPr>
        <w:t>la</w:t>
      </w:r>
      <w:r>
        <w:rPr>
          <w:i/>
          <w:color w:val="231F20"/>
          <w:spacing w:val="-20"/>
          <w:sz w:val="20"/>
        </w:rPr>
        <w:t> </w:t>
      </w:r>
      <w:r>
        <w:rPr>
          <w:i/>
          <w:color w:val="231F20"/>
          <w:sz w:val="20"/>
        </w:rPr>
        <w:t>crisis</w:t>
      </w:r>
      <w:r>
        <w:rPr>
          <w:i/>
          <w:color w:val="231F20"/>
          <w:spacing w:val="-20"/>
          <w:sz w:val="20"/>
        </w:rPr>
        <w:t> </w:t>
      </w:r>
      <w:r>
        <w:rPr>
          <w:i/>
          <w:color w:val="231F20"/>
          <w:sz w:val="20"/>
        </w:rPr>
        <w:t>sistémica</w:t>
      </w:r>
      <w:r>
        <w:rPr>
          <w:i/>
          <w:color w:val="231F20"/>
          <w:spacing w:val="-20"/>
          <w:sz w:val="20"/>
        </w:rPr>
        <w:t> </w:t>
      </w:r>
      <w:r>
        <w:rPr>
          <w:i/>
          <w:color w:val="231F20"/>
          <w:sz w:val="20"/>
        </w:rPr>
        <w:t>y</w:t>
      </w:r>
      <w:r>
        <w:rPr>
          <w:i/>
          <w:color w:val="231F20"/>
          <w:spacing w:val="-20"/>
          <w:sz w:val="20"/>
        </w:rPr>
        <w:t> </w:t>
      </w:r>
      <w:r>
        <w:rPr>
          <w:i/>
          <w:color w:val="231F20"/>
          <w:sz w:val="20"/>
        </w:rPr>
        <w:t>las</w:t>
      </w:r>
      <w:r>
        <w:rPr>
          <w:i/>
          <w:color w:val="231F20"/>
          <w:spacing w:val="-20"/>
          <w:sz w:val="20"/>
        </w:rPr>
        <w:t> </w:t>
      </w:r>
      <w:r>
        <w:rPr>
          <w:i/>
          <w:color w:val="231F20"/>
          <w:sz w:val="20"/>
        </w:rPr>
        <w:t>nuevas</w:t>
      </w:r>
      <w:r>
        <w:rPr>
          <w:i/>
          <w:color w:val="231F20"/>
          <w:spacing w:val="-20"/>
          <w:sz w:val="20"/>
        </w:rPr>
        <w:t> </w:t>
      </w:r>
      <w:r>
        <w:rPr>
          <w:i/>
          <w:color w:val="231F20"/>
          <w:sz w:val="20"/>
        </w:rPr>
        <w:t>condiciones</w:t>
      </w:r>
      <w:r>
        <w:rPr>
          <w:i/>
          <w:color w:val="231F20"/>
          <w:spacing w:val="-20"/>
          <w:sz w:val="20"/>
        </w:rPr>
        <w:t> </w:t>
      </w:r>
      <w:r>
        <w:rPr>
          <w:i/>
          <w:color w:val="231F20"/>
          <w:sz w:val="20"/>
        </w:rPr>
        <w:t>de</w:t>
      </w:r>
      <w:r>
        <w:rPr>
          <w:i/>
          <w:color w:val="231F20"/>
          <w:spacing w:val="-20"/>
          <w:sz w:val="20"/>
        </w:rPr>
        <w:t> </w:t>
      </w:r>
      <w:r>
        <w:rPr>
          <w:i/>
          <w:color w:val="231F20"/>
          <w:sz w:val="20"/>
        </w:rPr>
        <w:t>legitimación</w:t>
      </w:r>
      <w:r>
        <w:rPr>
          <w:color w:val="231F20"/>
          <w:sz w:val="20"/>
        </w:rPr>
        <w:t>.</w:t>
      </w:r>
    </w:p>
    <w:p>
      <w:pPr>
        <w:pStyle w:val="BodyText"/>
        <w:ind w:left="460"/>
        <w:jc w:val="both"/>
      </w:pPr>
      <w:r>
        <w:rPr>
          <w:color w:val="231F20"/>
          <w:w w:val="110"/>
        </w:rPr>
        <w:t>Correo electrónico: </w:t>
      </w:r>
      <w:hyperlink r:id="rId419">
        <w:r>
          <w:rPr>
            <w:color w:val="231F20"/>
            <w:w w:val="110"/>
          </w:rPr>
          <w:t>gandasegui@hotmail.com</w:t>
        </w:r>
      </w:hyperlink>
    </w:p>
    <w:p>
      <w:pPr>
        <w:pStyle w:val="BodyText"/>
        <w:spacing w:before="5"/>
        <w:rPr>
          <w:sz w:val="23"/>
        </w:rPr>
      </w:pPr>
    </w:p>
    <w:p>
      <w:pPr>
        <w:pStyle w:val="BodyText"/>
        <w:ind w:left="100" w:right="25"/>
      </w:pPr>
      <w:r>
        <w:rPr>
          <w:color w:val="231F20"/>
          <w:w w:val="130"/>
        </w:rPr>
        <w:t>adrián sotelo valencia</w:t>
      </w:r>
    </w:p>
    <w:p>
      <w:pPr>
        <w:spacing w:line="261" w:lineRule="auto" w:before="20"/>
        <w:ind w:left="460" w:right="117" w:firstLine="0"/>
        <w:jc w:val="both"/>
        <w:rPr>
          <w:sz w:val="20"/>
        </w:rPr>
      </w:pPr>
      <w:r>
        <w:rPr>
          <w:color w:val="231F20"/>
          <w:w w:val="105"/>
          <w:sz w:val="20"/>
        </w:rPr>
        <w:t>Sociólogo con doctorado en Estudios Latinoamericanos por la Facultad</w:t>
      </w:r>
      <w:r>
        <w:rPr>
          <w:color w:val="231F20"/>
          <w:spacing w:val="-5"/>
          <w:w w:val="105"/>
          <w:sz w:val="20"/>
        </w:rPr>
        <w:t> </w:t>
      </w:r>
      <w:r>
        <w:rPr>
          <w:color w:val="231F20"/>
          <w:w w:val="105"/>
          <w:sz w:val="20"/>
        </w:rPr>
        <w:t>de</w:t>
      </w:r>
      <w:r>
        <w:rPr>
          <w:color w:val="231F20"/>
          <w:spacing w:val="-5"/>
          <w:w w:val="105"/>
          <w:sz w:val="20"/>
        </w:rPr>
        <w:t> </w:t>
      </w:r>
      <w:r>
        <w:rPr>
          <w:color w:val="231F20"/>
          <w:w w:val="105"/>
          <w:sz w:val="20"/>
        </w:rPr>
        <w:t>Ciencias</w:t>
      </w:r>
      <w:r>
        <w:rPr>
          <w:color w:val="231F20"/>
          <w:spacing w:val="-5"/>
          <w:w w:val="105"/>
          <w:sz w:val="20"/>
        </w:rPr>
        <w:t> </w:t>
      </w:r>
      <w:r>
        <w:rPr>
          <w:color w:val="231F20"/>
          <w:w w:val="105"/>
          <w:sz w:val="20"/>
        </w:rPr>
        <w:t>Políticas</w:t>
      </w:r>
      <w:r>
        <w:rPr>
          <w:color w:val="231F20"/>
          <w:spacing w:val="-5"/>
          <w:w w:val="105"/>
          <w:sz w:val="20"/>
        </w:rPr>
        <w:t> </w:t>
      </w:r>
      <w:r>
        <w:rPr>
          <w:color w:val="231F20"/>
          <w:w w:val="105"/>
          <w:sz w:val="20"/>
        </w:rPr>
        <w:t>y</w:t>
      </w:r>
      <w:r>
        <w:rPr>
          <w:color w:val="231F20"/>
          <w:spacing w:val="-5"/>
          <w:w w:val="105"/>
          <w:sz w:val="20"/>
        </w:rPr>
        <w:t> </w:t>
      </w:r>
      <w:r>
        <w:rPr>
          <w:color w:val="231F20"/>
          <w:w w:val="105"/>
          <w:sz w:val="20"/>
        </w:rPr>
        <w:t>Sociales</w:t>
      </w:r>
      <w:r>
        <w:rPr>
          <w:color w:val="231F20"/>
          <w:spacing w:val="-5"/>
          <w:w w:val="105"/>
          <w:sz w:val="20"/>
        </w:rPr>
        <w:t> </w:t>
      </w:r>
      <w:r>
        <w:rPr>
          <w:color w:val="231F20"/>
          <w:w w:val="105"/>
          <w:sz w:val="20"/>
        </w:rPr>
        <w:t>por</w:t>
      </w:r>
      <w:r>
        <w:rPr>
          <w:color w:val="231F20"/>
          <w:spacing w:val="-5"/>
          <w:w w:val="105"/>
          <w:sz w:val="20"/>
        </w:rPr>
        <w:t> </w:t>
      </w:r>
      <w:r>
        <w:rPr>
          <w:color w:val="231F20"/>
          <w:w w:val="105"/>
          <w:sz w:val="20"/>
        </w:rPr>
        <w:t>la</w:t>
      </w:r>
      <w:r>
        <w:rPr>
          <w:color w:val="231F20"/>
          <w:spacing w:val="-5"/>
          <w:w w:val="105"/>
          <w:sz w:val="20"/>
        </w:rPr>
        <w:t> </w:t>
      </w:r>
      <w:r>
        <w:rPr>
          <w:color w:val="231F20"/>
          <w:w w:val="105"/>
          <w:sz w:val="20"/>
        </w:rPr>
        <w:t>Universidad</w:t>
      </w:r>
      <w:r>
        <w:rPr>
          <w:color w:val="231F20"/>
          <w:spacing w:val="-5"/>
          <w:w w:val="105"/>
          <w:sz w:val="20"/>
        </w:rPr>
        <w:t> </w:t>
      </w:r>
      <w:r>
        <w:rPr>
          <w:color w:val="231F20"/>
          <w:w w:val="105"/>
          <w:sz w:val="20"/>
        </w:rPr>
        <w:t>Nacio- nal Autónoma de México, donde se desempeña como profesor investigador de tiempo completo. Especialista en sociología del trabajo. Es autor de </w:t>
      </w:r>
      <w:r>
        <w:rPr>
          <w:i/>
          <w:color w:val="231F20"/>
          <w:w w:val="105"/>
          <w:sz w:val="20"/>
        </w:rPr>
        <w:t>La reestructuración del mundo del trabajo</w:t>
      </w:r>
      <w:r>
        <w:rPr>
          <w:color w:val="231F20"/>
          <w:w w:val="105"/>
          <w:sz w:val="20"/>
        </w:rPr>
        <w:t>; </w:t>
      </w:r>
      <w:r>
        <w:rPr>
          <w:i/>
          <w:color w:val="231F20"/>
          <w:w w:val="105"/>
          <w:sz w:val="20"/>
        </w:rPr>
        <w:t>El </w:t>
      </w:r>
      <w:r>
        <w:rPr>
          <w:i/>
          <w:color w:val="231F20"/>
          <w:sz w:val="20"/>
        </w:rPr>
        <w:t>mundo del trabajo en tensión</w:t>
      </w:r>
      <w:r>
        <w:rPr>
          <w:color w:val="231F20"/>
          <w:sz w:val="20"/>
        </w:rPr>
        <w:t>; </w:t>
      </w:r>
      <w:r>
        <w:rPr>
          <w:i/>
          <w:color w:val="231F20"/>
          <w:sz w:val="20"/>
        </w:rPr>
        <w:t>Crisis capitalista y desmedida del</w:t>
      </w:r>
      <w:r>
        <w:rPr>
          <w:i/>
          <w:color w:val="231F20"/>
          <w:spacing w:val="-28"/>
          <w:sz w:val="20"/>
        </w:rPr>
        <w:t> </w:t>
      </w:r>
      <w:r>
        <w:rPr>
          <w:i/>
          <w:color w:val="231F20"/>
          <w:spacing w:val="-3"/>
          <w:sz w:val="20"/>
        </w:rPr>
        <w:t>valor. </w:t>
      </w:r>
      <w:r>
        <w:rPr>
          <w:i/>
          <w:color w:val="231F20"/>
          <w:w w:val="105"/>
          <w:sz w:val="20"/>
        </w:rPr>
        <w:t>Un</w:t>
      </w:r>
      <w:r>
        <w:rPr>
          <w:i/>
          <w:color w:val="231F20"/>
          <w:spacing w:val="-5"/>
          <w:w w:val="105"/>
          <w:sz w:val="20"/>
        </w:rPr>
        <w:t> </w:t>
      </w:r>
      <w:r>
        <w:rPr>
          <w:i/>
          <w:color w:val="231F20"/>
          <w:w w:val="105"/>
          <w:sz w:val="20"/>
        </w:rPr>
        <w:t>enfoque</w:t>
      </w:r>
      <w:r>
        <w:rPr>
          <w:i/>
          <w:color w:val="231F20"/>
          <w:spacing w:val="-5"/>
          <w:w w:val="105"/>
          <w:sz w:val="20"/>
        </w:rPr>
        <w:t> </w:t>
      </w:r>
      <w:r>
        <w:rPr>
          <w:i/>
          <w:color w:val="231F20"/>
          <w:w w:val="105"/>
          <w:sz w:val="20"/>
        </w:rPr>
        <w:t>desde</w:t>
      </w:r>
      <w:r>
        <w:rPr>
          <w:i/>
          <w:color w:val="231F20"/>
          <w:spacing w:val="-5"/>
          <w:w w:val="105"/>
          <w:sz w:val="20"/>
        </w:rPr>
        <w:t> </w:t>
      </w:r>
      <w:r>
        <w:rPr>
          <w:i/>
          <w:color w:val="231F20"/>
          <w:w w:val="105"/>
          <w:sz w:val="20"/>
        </w:rPr>
        <w:t>los</w:t>
      </w:r>
      <w:r>
        <w:rPr>
          <w:i/>
          <w:color w:val="231F20"/>
          <w:spacing w:val="-5"/>
          <w:w w:val="105"/>
          <w:sz w:val="20"/>
        </w:rPr>
        <w:t> </w:t>
      </w:r>
      <w:r>
        <w:rPr>
          <w:i/>
          <w:color w:val="231F20"/>
          <w:w w:val="105"/>
          <w:sz w:val="20"/>
        </w:rPr>
        <w:t>Grundrisse</w:t>
      </w:r>
      <w:r>
        <w:rPr>
          <w:i/>
          <w:color w:val="231F20"/>
          <w:spacing w:val="-5"/>
          <w:w w:val="105"/>
          <w:sz w:val="20"/>
        </w:rPr>
        <w:t> </w:t>
      </w:r>
      <w:r>
        <w:rPr>
          <w:color w:val="231F20"/>
          <w:w w:val="105"/>
          <w:sz w:val="20"/>
        </w:rPr>
        <w:t>entre</w:t>
      </w:r>
      <w:r>
        <w:rPr>
          <w:color w:val="231F20"/>
          <w:spacing w:val="-5"/>
          <w:w w:val="105"/>
          <w:sz w:val="20"/>
        </w:rPr>
        <w:t> </w:t>
      </w:r>
      <w:r>
        <w:rPr>
          <w:color w:val="231F20"/>
          <w:w w:val="105"/>
          <w:sz w:val="20"/>
        </w:rPr>
        <w:t>otros</w:t>
      </w:r>
      <w:r>
        <w:rPr>
          <w:color w:val="231F20"/>
          <w:spacing w:val="-5"/>
          <w:w w:val="105"/>
          <w:sz w:val="20"/>
        </w:rPr>
        <w:t> </w:t>
      </w:r>
      <w:r>
        <w:rPr>
          <w:color w:val="231F20"/>
          <w:w w:val="105"/>
          <w:sz w:val="20"/>
        </w:rPr>
        <w:t>libros.</w:t>
      </w:r>
      <w:r>
        <w:rPr>
          <w:color w:val="231F20"/>
          <w:spacing w:val="-5"/>
          <w:w w:val="105"/>
          <w:sz w:val="20"/>
        </w:rPr>
        <w:t> </w:t>
      </w:r>
      <w:r>
        <w:rPr>
          <w:color w:val="231F20"/>
          <w:w w:val="105"/>
          <w:sz w:val="20"/>
        </w:rPr>
        <w:t>Es</w:t>
      </w:r>
      <w:r>
        <w:rPr>
          <w:color w:val="231F20"/>
          <w:spacing w:val="-5"/>
          <w:w w:val="105"/>
          <w:sz w:val="20"/>
        </w:rPr>
        <w:t> </w:t>
      </w:r>
      <w:r>
        <w:rPr>
          <w:color w:val="231F20"/>
          <w:w w:val="105"/>
          <w:sz w:val="20"/>
        </w:rPr>
        <w:t>investigador del Sistema Nacional de Investigadores,  </w:t>
      </w:r>
      <w:r>
        <w:rPr>
          <w:color w:val="231F20"/>
          <w:spacing w:val="47"/>
          <w:w w:val="105"/>
          <w:sz w:val="20"/>
        </w:rPr>
        <w:t> </w:t>
      </w:r>
      <w:r>
        <w:rPr>
          <w:color w:val="231F20"/>
          <w:w w:val="105"/>
          <w:sz w:val="20"/>
        </w:rPr>
        <w:t>sin-Conacyt.</w:t>
      </w:r>
    </w:p>
    <w:p>
      <w:pPr>
        <w:pStyle w:val="BodyText"/>
        <w:ind w:left="460"/>
        <w:jc w:val="both"/>
      </w:pPr>
      <w:r>
        <w:rPr>
          <w:color w:val="231F20"/>
          <w:w w:val="110"/>
        </w:rPr>
        <w:t>Correo electrónico: </w:t>
      </w:r>
      <w:hyperlink r:id="rId420">
        <w:r>
          <w:rPr>
            <w:color w:val="231F20"/>
            <w:w w:val="110"/>
          </w:rPr>
          <w:t>sotelov@infinitum.com.mx</w:t>
        </w:r>
      </w:hyperlink>
    </w:p>
    <w:p>
      <w:pPr>
        <w:pStyle w:val="BodyText"/>
        <w:spacing w:before="5"/>
        <w:rPr>
          <w:sz w:val="23"/>
        </w:rPr>
      </w:pPr>
    </w:p>
    <w:p>
      <w:pPr>
        <w:pStyle w:val="BodyText"/>
        <w:ind w:left="100" w:right="25"/>
      </w:pPr>
      <w:r>
        <w:rPr>
          <w:color w:val="231F20"/>
          <w:w w:val="130"/>
        </w:rPr>
        <w:t>katia cobarrubias hernández</w:t>
      </w:r>
    </w:p>
    <w:p>
      <w:pPr>
        <w:pStyle w:val="BodyText"/>
        <w:spacing w:line="261" w:lineRule="auto" w:before="20"/>
        <w:ind w:left="460" w:right="115"/>
        <w:jc w:val="both"/>
      </w:pPr>
      <w:r>
        <w:rPr>
          <w:color w:val="231F20"/>
          <w:w w:val="110"/>
        </w:rPr>
        <w:t>Economista</w:t>
      </w:r>
      <w:r>
        <w:rPr>
          <w:color w:val="231F20"/>
          <w:spacing w:val="-16"/>
          <w:w w:val="110"/>
        </w:rPr>
        <w:t> </w:t>
      </w:r>
      <w:r>
        <w:rPr>
          <w:color w:val="231F20"/>
          <w:w w:val="110"/>
        </w:rPr>
        <w:t>y</w:t>
      </w:r>
      <w:r>
        <w:rPr>
          <w:color w:val="231F20"/>
          <w:spacing w:val="-16"/>
          <w:w w:val="110"/>
        </w:rPr>
        <w:t> </w:t>
      </w:r>
      <w:r>
        <w:rPr>
          <w:color w:val="231F20"/>
          <w:w w:val="110"/>
        </w:rPr>
        <w:t>Master</w:t>
      </w:r>
      <w:r>
        <w:rPr>
          <w:color w:val="231F20"/>
          <w:spacing w:val="-16"/>
          <w:w w:val="110"/>
        </w:rPr>
        <w:t> </w:t>
      </w:r>
      <w:r>
        <w:rPr>
          <w:color w:val="231F20"/>
          <w:w w:val="110"/>
        </w:rPr>
        <w:t>en</w:t>
      </w:r>
      <w:r>
        <w:rPr>
          <w:color w:val="231F20"/>
          <w:spacing w:val="-16"/>
          <w:w w:val="110"/>
        </w:rPr>
        <w:t> </w:t>
      </w:r>
      <w:r>
        <w:rPr>
          <w:color w:val="231F20"/>
          <w:w w:val="110"/>
        </w:rPr>
        <w:t>Ciencias</w:t>
      </w:r>
      <w:r>
        <w:rPr>
          <w:color w:val="231F20"/>
          <w:spacing w:val="-16"/>
          <w:w w:val="110"/>
        </w:rPr>
        <w:t> </w:t>
      </w:r>
      <w:r>
        <w:rPr>
          <w:color w:val="231F20"/>
          <w:w w:val="110"/>
        </w:rPr>
        <w:t>Económicas</w:t>
      </w:r>
      <w:r>
        <w:rPr>
          <w:color w:val="231F20"/>
          <w:spacing w:val="-16"/>
          <w:w w:val="110"/>
        </w:rPr>
        <w:t> </w:t>
      </w:r>
      <w:r>
        <w:rPr>
          <w:color w:val="231F20"/>
          <w:w w:val="110"/>
        </w:rPr>
        <w:t>por</w:t>
      </w:r>
      <w:r>
        <w:rPr>
          <w:color w:val="231F20"/>
          <w:spacing w:val="-16"/>
          <w:w w:val="110"/>
        </w:rPr>
        <w:t> </w:t>
      </w:r>
      <w:r>
        <w:rPr>
          <w:color w:val="231F20"/>
          <w:w w:val="110"/>
        </w:rPr>
        <w:t>la</w:t>
      </w:r>
      <w:r>
        <w:rPr>
          <w:color w:val="231F20"/>
          <w:spacing w:val="-16"/>
          <w:w w:val="110"/>
        </w:rPr>
        <w:t> </w:t>
      </w:r>
      <w:r>
        <w:rPr>
          <w:color w:val="231F20"/>
          <w:w w:val="110"/>
        </w:rPr>
        <w:t>Universidad de La Habana. Profesora e investigadora del Centro de Estudios Hemisféricos y sobre Estados Unidos </w:t>
      </w:r>
      <w:r>
        <w:rPr>
          <w:color w:val="231F20"/>
          <w:spacing w:val="2"/>
          <w:w w:val="110"/>
        </w:rPr>
        <w:t>(cehseu) </w:t>
      </w:r>
      <w:r>
        <w:rPr>
          <w:color w:val="231F20"/>
          <w:w w:val="110"/>
        </w:rPr>
        <w:t>de la misma institución. Ha participado como ponente en diversos eventos académicos</w:t>
      </w:r>
      <w:r>
        <w:rPr>
          <w:color w:val="231F20"/>
          <w:spacing w:val="-6"/>
          <w:w w:val="110"/>
        </w:rPr>
        <w:t> </w:t>
      </w:r>
      <w:r>
        <w:rPr>
          <w:color w:val="231F20"/>
          <w:w w:val="110"/>
        </w:rPr>
        <w:t>en</w:t>
      </w:r>
      <w:r>
        <w:rPr>
          <w:color w:val="231F20"/>
          <w:spacing w:val="-6"/>
          <w:w w:val="110"/>
        </w:rPr>
        <w:t> </w:t>
      </w:r>
      <w:r>
        <w:rPr>
          <w:color w:val="231F20"/>
          <w:w w:val="110"/>
        </w:rPr>
        <w:t>Cuba</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extranjero.</w:t>
      </w:r>
      <w:r>
        <w:rPr>
          <w:color w:val="231F20"/>
          <w:spacing w:val="-6"/>
          <w:w w:val="110"/>
        </w:rPr>
        <w:t> </w:t>
      </w:r>
      <w:r>
        <w:rPr>
          <w:color w:val="231F20"/>
          <w:w w:val="110"/>
        </w:rPr>
        <w:t>Ha</w:t>
      </w:r>
      <w:r>
        <w:rPr>
          <w:color w:val="231F20"/>
          <w:spacing w:val="-6"/>
          <w:w w:val="110"/>
        </w:rPr>
        <w:t> </w:t>
      </w:r>
      <w:r>
        <w:rPr>
          <w:color w:val="231F20"/>
          <w:w w:val="110"/>
        </w:rPr>
        <w:t>colaborado</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grupo de trabajo “Economía mundial, corporaciones transnacionales y economías nacionales” y es miembro del grupo de trabajo sobre Estados Unidos, ambos de clacso. Ha publicado artículos sobre temas como el desempeño de la economía estadunidense y de  su</w:t>
      </w:r>
      <w:r>
        <w:rPr>
          <w:color w:val="231F20"/>
          <w:spacing w:val="-10"/>
          <w:w w:val="110"/>
        </w:rPr>
        <w:t> </w:t>
      </w:r>
      <w:r>
        <w:rPr>
          <w:color w:val="231F20"/>
          <w:w w:val="110"/>
        </w:rPr>
        <w:t>sector</w:t>
      </w:r>
      <w:r>
        <w:rPr>
          <w:color w:val="231F20"/>
          <w:spacing w:val="-10"/>
          <w:w w:val="110"/>
        </w:rPr>
        <w:t> </w:t>
      </w:r>
      <w:r>
        <w:rPr>
          <w:color w:val="231F20"/>
          <w:w w:val="110"/>
        </w:rPr>
        <w:t>externo,</w:t>
      </w:r>
      <w:r>
        <w:rPr>
          <w:color w:val="231F20"/>
          <w:spacing w:val="-10"/>
          <w:w w:val="110"/>
        </w:rPr>
        <w:t> </w:t>
      </w:r>
      <w:r>
        <w:rPr>
          <w:color w:val="231F20"/>
          <w:w w:val="110"/>
        </w:rPr>
        <w:t>los</w:t>
      </w:r>
      <w:r>
        <w:rPr>
          <w:color w:val="231F20"/>
          <w:spacing w:val="-10"/>
          <w:w w:val="110"/>
        </w:rPr>
        <w:t> </w:t>
      </w:r>
      <w:r>
        <w:rPr>
          <w:color w:val="231F20"/>
          <w:w w:val="110"/>
        </w:rPr>
        <w:t>desequilibrios</w:t>
      </w:r>
      <w:r>
        <w:rPr>
          <w:color w:val="231F20"/>
          <w:spacing w:val="-10"/>
          <w:w w:val="110"/>
        </w:rPr>
        <w:t> </w:t>
      </w:r>
      <w:r>
        <w:rPr>
          <w:color w:val="231F20"/>
          <w:w w:val="110"/>
        </w:rPr>
        <w:t>globales</w:t>
      </w:r>
      <w:r>
        <w:rPr>
          <w:color w:val="231F20"/>
          <w:spacing w:val="-10"/>
          <w:w w:val="110"/>
        </w:rPr>
        <w:t> </w:t>
      </w:r>
      <w:r>
        <w:rPr>
          <w:color w:val="231F20"/>
          <w:w w:val="110"/>
        </w:rPr>
        <w:t>de</w:t>
      </w:r>
      <w:r>
        <w:rPr>
          <w:color w:val="231F20"/>
          <w:spacing w:val="-10"/>
          <w:w w:val="110"/>
        </w:rPr>
        <w:t> </w:t>
      </w:r>
      <w:r>
        <w:rPr>
          <w:color w:val="231F20"/>
          <w:w w:val="110"/>
        </w:rPr>
        <w:t>cuenta</w:t>
      </w:r>
      <w:r>
        <w:rPr>
          <w:color w:val="231F20"/>
          <w:spacing w:val="-10"/>
          <w:w w:val="110"/>
        </w:rPr>
        <w:t> </w:t>
      </w:r>
      <w:r>
        <w:rPr>
          <w:color w:val="231F20"/>
          <w:w w:val="110"/>
        </w:rPr>
        <w:t>corriente, flujos internacionales de capital, entre</w:t>
      </w:r>
      <w:r>
        <w:rPr>
          <w:color w:val="231F20"/>
          <w:spacing w:val="49"/>
          <w:w w:val="110"/>
        </w:rPr>
        <w:t> </w:t>
      </w:r>
      <w:r>
        <w:rPr>
          <w:color w:val="231F20"/>
          <w:w w:val="110"/>
        </w:rPr>
        <w:t>otros.</w:t>
      </w:r>
    </w:p>
    <w:p>
      <w:pPr>
        <w:pStyle w:val="BodyText"/>
        <w:ind w:left="460"/>
        <w:jc w:val="both"/>
      </w:pPr>
      <w:r>
        <w:rPr>
          <w:color w:val="231F20"/>
          <w:w w:val="110"/>
        </w:rPr>
        <w:t>Correo electrónico: </w:t>
      </w:r>
      <w:hyperlink r:id="rId421">
        <w:r>
          <w:rPr>
            <w:color w:val="231F20"/>
            <w:w w:val="110"/>
          </w:rPr>
          <w:t>kcoba@uh.cu</w:t>
        </w:r>
      </w:hyperlink>
    </w:p>
    <w:p>
      <w:pPr>
        <w:pStyle w:val="BodyText"/>
        <w:spacing w:before="5"/>
        <w:rPr>
          <w:sz w:val="23"/>
        </w:rPr>
      </w:pPr>
    </w:p>
    <w:p>
      <w:pPr>
        <w:pStyle w:val="BodyText"/>
        <w:ind w:left="100" w:right="25"/>
      </w:pPr>
      <w:r>
        <w:rPr>
          <w:color w:val="231F20"/>
          <w:w w:val="120"/>
        </w:rPr>
        <w:t>daniel munevar</w:t>
      </w:r>
    </w:p>
    <w:p>
      <w:pPr>
        <w:pStyle w:val="BodyText"/>
        <w:spacing w:line="261" w:lineRule="auto" w:before="20"/>
        <w:ind w:left="460" w:right="117"/>
        <w:jc w:val="both"/>
      </w:pPr>
      <w:r>
        <w:rPr>
          <w:color w:val="231F20"/>
          <w:w w:val="110"/>
        </w:rPr>
        <w:t>Graduado en Economia de la Universidad de Pinar del Rio en Cuba.</w:t>
      </w:r>
      <w:r>
        <w:rPr>
          <w:color w:val="231F20"/>
          <w:spacing w:val="-31"/>
          <w:w w:val="110"/>
        </w:rPr>
        <w:t> </w:t>
      </w:r>
      <w:r>
        <w:rPr>
          <w:color w:val="231F20"/>
          <w:w w:val="110"/>
        </w:rPr>
        <w:t>Masters</w:t>
      </w:r>
      <w:r>
        <w:rPr>
          <w:color w:val="231F20"/>
          <w:spacing w:val="-31"/>
          <w:w w:val="110"/>
        </w:rPr>
        <w:t> </w:t>
      </w:r>
      <w:r>
        <w:rPr>
          <w:color w:val="231F20"/>
          <w:w w:val="110"/>
        </w:rPr>
        <w:t>in</w:t>
      </w:r>
      <w:r>
        <w:rPr>
          <w:color w:val="231F20"/>
          <w:spacing w:val="-31"/>
          <w:w w:val="110"/>
        </w:rPr>
        <w:t> </w:t>
      </w:r>
      <w:r>
        <w:rPr>
          <w:color w:val="231F20"/>
          <w:w w:val="110"/>
        </w:rPr>
        <w:t>Public</w:t>
      </w:r>
      <w:r>
        <w:rPr>
          <w:color w:val="231F20"/>
          <w:spacing w:val="-31"/>
          <w:w w:val="110"/>
        </w:rPr>
        <w:t> </w:t>
      </w:r>
      <w:r>
        <w:rPr>
          <w:color w:val="231F20"/>
          <w:w w:val="110"/>
        </w:rPr>
        <w:t>Affairs</w:t>
      </w:r>
      <w:r>
        <w:rPr>
          <w:color w:val="231F20"/>
          <w:spacing w:val="-31"/>
          <w:w w:val="110"/>
        </w:rPr>
        <w:t> </w:t>
      </w:r>
      <w:r>
        <w:rPr>
          <w:color w:val="231F20"/>
          <w:w w:val="110"/>
        </w:rPr>
        <w:t>en</w:t>
      </w:r>
      <w:r>
        <w:rPr>
          <w:color w:val="231F20"/>
          <w:spacing w:val="-31"/>
          <w:w w:val="110"/>
        </w:rPr>
        <w:t> </w:t>
      </w:r>
      <w:r>
        <w:rPr>
          <w:color w:val="231F20"/>
          <w:w w:val="110"/>
        </w:rPr>
        <w:t>la</w:t>
      </w:r>
      <w:r>
        <w:rPr>
          <w:color w:val="231F20"/>
          <w:spacing w:val="-31"/>
          <w:w w:val="110"/>
        </w:rPr>
        <w:t> </w:t>
      </w:r>
      <w:r>
        <w:rPr>
          <w:color w:val="231F20"/>
          <w:w w:val="110"/>
        </w:rPr>
        <w:t>Universidad</w:t>
      </w:r>
      <w:r>
        <w:rPr>
          <w:color w:val="231F20"/>
          <w:spacing w:val="-31"/>
          <w:w w:val="110"/>
        </w:rPr>
        <w:t> </w:t>
      </w:r>
      <w:r>
        <w:rPr>
          <w:color w:val="231F20"/>
          <w:w w:val="110"/>
        </w:rPr>
        <w:t>de</w:t>
      </w:r>
      <w:r>
        <w:rPr>
          <w:color w:val="231F20"/>
          <w:spacing w:val="-31"/>
          <w:w w:val="110"/>
        </w:rPr>
        <w:t> </w:t>
      </w:r>
      <w:r>
        <w:rPr>
          <w:color w:val="231F20"/>
          <w:spacing w:val="-4"/>
          <w:w w:val="110"/>
        </w:rPr>
        <w:t>Texas</w:t>
      </w:r>
      <w:r>
        <w:rPr>
          <w:color w:val="231F20"/>
          <w:spacing w:val="-31"/>
          <w:w w:val="110"/>
        </w:rPr>
        <w:t> </w:t>
      </w:r>
      <w:r>
        <w:rPr>
          <w:color w:val="231F20"/>
          <w:w w:val="110"/>
        </w:rPr>
        <w:t>en</w:t>
      </w:r>
      <w:r>
        <w:rPr>
          <w:color w:val="231F20"/>
          <w:spacing w:val="-31"/>
          <w:w w:val="110"/>
        </w:rPr>
        <w:t> </w:t>
      </w:r>
      <w:r>
        <w:rPr>
          <w:color w:val="231F20"/>
          <w:w w:val="110"/>
        </w:rPr>
        <w:t>Aus- tin.</w:t>
      </w:r>
      <w:r>
        <w:rPr>
          <w:color w:val="231F20"/>
          <w:spacing w:val="-16"/>
          <w:w w:val="110"/>
        </w:rPr>
        <w:t> </w:t>
      </w:r>
      <w:r>
        <w:rPr>
          <w:color w:val="231F20"/>
          <w:w w:val="110"/>
        </w:rPr>
        <w:t>Becario</w:t>
      </w:r>
      <w:r>
        <w:rPr>
          <w:color w:val="231F20"/>
          <w:spacing w:val="-16"/>
          <w:w w:val="110"/>
        </w:rPr>
        <w:t> </w:t>
      </w:r>
      <w:r>
        <w:rPr>
          <w:color w:val="231F20"/>
          <w:w w:val="110"/>
        </w:rPr>
        <w:t>clacso</w:t>
      </w:r>
      <w:r>
        <w:rPr>
          <w:color w:val="231F20"/>
          <w:spacing w:val="-16"/>
          <w:w w:val="110"/>
        </w:rPr>
        <w:t> </w:t>
      </w:r>
      <w:r>
        <w:rPr>
          <w:color w:val="231F20"/>
          <w:w w:val="110"/>
        </w:rPr>
        <w:t>Junior</w:t>
      </w:r>
      <w:r>
        <w:rPr>
          <w:color w:val="231F20"/>
          <w:spacing w:val="-16"/>
          <w:w w:val="110"/>
        </w:rPr>
        <w:t> </w:t>
      </w:r>
      <w:r>
        <w:rPr>
          <w:color w:val="231F20"/>
          <w:w w:val="110"/>
        </w:rPr>
        <w:t>2006</w:t>
      </w:r>
      <w:r>
        <w:rPr>
          <w:color w:val="231F20"/>
          <w:spacing w:val="-16"/>
          <w:w w:val="110"/>
        </w:rPr>
        <w:t> </w:t>
      </w:r>
      <w:r>
        <w:rPr>
          <w:color w:val="231F20"/>
        </w:rPr>
        <w:t>-</w:t>
      </w:r>
      <w:r>
        <w:rPr>
          <w:color w:val="231F20"/>
          <w:spacing w:val="-11"/>
        </w:rPr>
        <w:t> </w:t>
      </w:r>
      <w:r>
        <w:rPr>
          <w:color w:val="231F20"/>
          <w:w w:val="110"/>
        </w:rPr>
        <w:t>2007.</w:t>
      </w:r>
      <w:r>
        <w:rPr>
          <w:color w:val="231F20"/>
          <w:spacing w:val="-16"/>
          <w:w w:val="110"/>
        </w:rPr>
        <w:t> </w:t>
      </w:r>
      <w:r>
        <w:rPr>
          <w:color w:val="231F20"/>
          <w:w w:val="110"/>
        </w:rPr>
        <w:t>Asistente</w:t>
      </w:r>
      <w:r>
        <w:rPr>
          <w:color w:val="231F20"/>
          <w:spacing w:val="-16"/>
          <w:w w:val="110"/>
        </w:rPr>
        <w:t> </w:t>
      </w:r>
      <w:r>
        <w:rPr>
          <w:color w:val="231F20"/>
          <w:w w:val="110"/>
        </w:rPr>
        <w:t>de</w:t>
      </w:r>
      <w:r>
        <w:rPr>
          <w:color w:val="231F20"/>
          <w:spacing w:val="-16"/>
          <w:w w:val="110"/>
        </w:rPr>
        <w:t> </w:t>
      </w:r>
      <w:r>
        <w:rPr>
          <w:color w:val="231F20"/>
          <w:w w:val="110"/>
        </w:rPr>
        <w:t>Investigacion del</w:t>
      </w:r>
      <w:r>
        <w:rPr>
          <w:color w:val="231F20"/>
          <w:spacing w:val="-18"/>
          <w:w w:val="110"/>
        </w:rPr>
        <w:t> </w:t>
      </w:r>
      <w:r>
        <w:rPr>
          <w:color w:val="231F20"/>
          <w:w w:val="110"/>
        </w:rPr>
        <w:t>prof.</w:t>
      </w:r>
      <w:r>
        <w:rPr>
          <w:color w:val="231F20"/>
          <w:spacing w:val="-18"/>
          <w:w w:val="110"/>
        </w:rPr>
        <w:t> </w:t>
      </w:r>
      <w:r>
        <w:rPr>
          <w:color w:val="231F20"/>
          <w:w w:val="110"/>
        </w:rPr>
        <w:t>James</w:t>
      </w:r>
      <w:r>
        <w:rPr>
          <w:color w:val="231F20"/>
          <w:spacing w:val="-18"/>
          <w:w w:val="110"/>
        </w:rPr>
        <w:t> </w:t>
      </w:r>
      <w:r>
        <w:rPr>
          <w:color w:val="231F20"/>
          <w:w w:val="110"/>
        </w:rPr>
        <w:t>K.</w:t>
      </w:r>
      <w:r>
        <w:rPr>
          <w:color w:val="231F20"/>
          <w:spacing w:val="-18"/>
          <w:w w:val="110"/>
        </w:rPr>
        <w:t> </w:t>
      </w:r>
      <w:r>
        <w:rPr>
          <w:color w:val="231F20"/>
          <w:w w:val="110"/>
        </w:rPr>
        <w:t>Galbraith</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Universidad</w:t>
      </w:r>
      <w:r>
        <w:rPr>
          <w:color w:val="231F20"/>
          <w:spacing w:val="-18"/>
          <w:w w:val="110"/>
        </w:rPr>
        <w:t> </w:t>
      </w:r>
      <w:r>
        <w:rPr>
          <w:color w:val="231F20"/>
          <w:w w:val="110"/>
        </w:rPr>
        <w:t>de</w:t>
      </w:r>
      <w:r>
        <w:rPr>
          <w:color w:val="231F20"/>
          <w:spacing w:val="-18"/>
          <w:w w:val="110"/>
        </w:rPr>
        <w:t> </w:t>
      </w:r>
      <w:r>
        <w:rPr>
          <w:color w:val="231F20"/>
          <w:spacing w:val="-4"/>
          <w:w w:val="110"/>
        </w:rPr>
        <w:t>Texas</w:t>
      </w:r>
      <w:r>
        <w:rPr>
          <w:color w:val="231F20"/>
          <w:spacing w:val="-18"/>
          <w:w w:val="110"/>
        </w:rPr>
        <w:t> </w:t>
      </w:r>
      <w:r>
        <w:rPr>
          <w:color w:val="231F20"/>
          <w:w w:val="110"/>
        </w:rPr>
        <w:t>en</w:t>
      </w:r>
      <w:r>
        <w:rPr>
          <w:color w:val="231F20"/>
          <w:spacing w:val="-18"/>
          <w:w w:val="110"/>
        </w:rPr>
        <w:t> </w:t>
      </w:r>
      <w:r>
        <w:rPr>
          <w:color w:val="231F20"/>
          <w:w w:val="110"/>
        </w:rPr>
        <w:t>Austin (2007-2009).</w:t>
      </w:r>
      <w:r>
        <w:rPr>
          <w:color w:val="231F20"/>
          <w:spacing w:val="-21"/>
          <w:w w:val="110"/>
        </w:rPr>
        <w:t> </w:t>
      </w:r>
      <w:r>
        <w:rPr>
          <w:color w:val="231F20"/>
          <w:w w:val="110"/>
        </w:rPr>
        <w:t>Asistente</w:t>
      </w:r>
      <w:r>
        <w:rPr>
          <w:color w:val="231F20"/>
          <w:spacing w:val="-21"/>
          <w:w w:val="110"/>
        </w:rPr>
        <w:t> </w:t>
      </w:r>
      <w:r>
        <w:rPr>
          <w:color w:val="231F20"/>
          <w:w w:val="110"/>
        </w:rPr>
        <w:t>de</w:t>
      </w:r>
      <w:r>
        <w:rPr>
          <w:color w:val="231F20"/>
          <w:spacing w:val="-21"/>
          <w:w w:val="110"/>
        </w:rPr>
        <w:t> </w:t>
      </w:r>
      <w:r>
        <w:rPr>
          <w:color w:val="231F20"/>
          <w:w w:val="110"/>
        </w:rPr>
        <w:t>Investigacion</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Oficina</w:t>
      </w:r>
      <w:r>
        <w:rPr>
          <w:color w:val="231F20"/>
          <w:spacing w:val="-21"/>
          <w:w w:val="110"/>
        </w:rPr>
        <w:t> </w:t>
      </w:r>
      <w:r>
        <w:rPr>
          <w:color w:val="231F20"/>
          <w:w w:val="110"/>
        </w:rPr>
        <w:t>de</w:t>
      </w:r>
      <w:r>
        <w:rPr>
          <w:color w:val="231F20"/>
          <w:spacing w:val="-21"/>
          <w:w w:val="110"/>
        </w:rPr>
        <w:t> </w:t>
      </w:r>
      <w:r>
        <w:rPr>
          <w:color w:val="231F20"/>
          <w:w w:val="110"/>
        </w:rPr>
        <w:t>Estudios</w:t>
      </w:r>
    </w:p>
    <w:p>
      <w:pPr>
        <w:spacing w:after="0" w:line="261" w:lineRule="auto"/>
        <w:jc w:val="both"/>
        <w:sectPr>
          <w:headerReference w:type="even" r:id="rId418"/>
          <w:pgSz w:w="7640" w:h="11900"/>
          <w:pgMar w:header="0" w:footer="0" w:top="1000" w:bottom="280" w:left="780" w:right="640"/>
        </w:sectPr>
      </w:pPr>
    </w:p>
    <w:p>
      <w:pPr>
        <w:pStyle w:val="BodyText"/>
        <w:spacing w:line="261" w:lineRule="auto" w:before="39"/>
        <w:ind w:left="460" w:right="117"/>
        <w:jc w:val="both"/>
      </w:pPr>
      <w:r>
        <w:rPr>
          <w:color w:val="231F20"/>
          <w:w w:val="110"/>
        </w:rPr>
        <w:t>para el Desarrollo del pnud en Nueva </w:t>
      </w:r>
      <w:r>
        <w:rPr>
          <w:color w:val="231F20"/>
          <w:spacing w:val="-3"/>
          <w:w w:val="110"/>
        </w:rPr>
        <w:t>York </w:t>
      </w:r>
      <w:r>
        <w:rPr>
          <w:color w:val="231F20"/>
          <w:w w:val="110"/>
        </w:rPr>
        <w:t>(2008). Asistente de Investigación para Economists for Peace and Security en Nueva </w:t>
      </w:r>
      <w:r>
        <w:rPr>
          <w:color w:val="231F20"/>
          <w:spacing w:val="-9"/>
          <w:w w:val="72"/>
        </w:rPr>
        <w:t>Y</w:t>
      </w:r>
      <w:r>
        <w:rPr>
          <w:color w:val="231F20"/>
          <w:spacing w:val="1"/>
          <w:w w:val="112"/>
        </w:rPr>
        <w:t>o</w:t>
      </w:r>
      <w:r>
        <w:rPr>
          <w:color w:val="231F20"/>
          <w:spacing w:val="1"/>
          <w:w w:val="120"/>
        </w:rPr>
        <w:t>r</w:t>
      </w:r>
      <w:r>
        <w:rPr>
          <w:color w:val="231F20"/>
          <w:w w:val="104"/>
        </w:rPr>
        <w:t>k</w:t>
      </w:r>
      <w:r>
        <w:rPr>
          <w:color w:val="231F20"/>
        </w:rPr>
        <w:t> </w:t>
      </w:r>
      <w:r>
        <w:rPr>
          <w:color w:val="231F20"/>
          <w:spacing w:val="-7"/>
        </w:rPr>
        <w:t> </w:t>
      </w:r>
      <w:r>
        <w:rPr>
          <w:color w:val="231F20"/>
          <w:spacing w:val="1"/>
          <w:w w:val="132"/>
        </w:rPr>
        <w:t>(</w:t>
      </w:r>
      <w:r>
        <w:rPr>
          <w:color w:val="231F20"/>
          <w:spacing w:val="1"/>
          <w:w w:val="104"/>
        </w:rPr>
        <w:t>2008</w:t>
      </w:r>
      <w:r>
        <w:rPr>
          <w:color w:val="231F20"/>
          <w:spacing w:val="1"/>
          <w:w w:val="132"/>
        </w:rPr>
        <w:t>)</w:t>
      </w:r>
      <w:r>
        <w:rPr>
          <w:color w:val="231F20"/>
          <w:w w:val="104"/>
        </w:rPr>
        <w:t>.</w:t>
      </w:r>
      <w:r>
        <w:rPr>
          <w:color w:val="231F20"/>
        </w:rPr>
        <w:t> </w:t>
      </w:r>
      <w:r>
        <w:rPr>
          <w:color w:val="231F20"/>
          <w:spacing w:val="-7"/>
        </w:rPr>
        <w:t> </w:t>
      </w:r>
      <w:r>
        <w:rPr>
          <w:color w:val="231F20"/>
          <w:spacing w:val="1"/>
          <w:w w:val="91"/>
        </w:rPr>
        <w:t>A</w:t>
      </w:r>
      <w:r>
        <w:rPr>
          <w:color w:val="231F20"/>
          <w:spacing w:val="1"/>
          <w:w w:val="120"/>
        </w:rPr>
        <w:t>n</w:t>
      </w:r>
      <w:r>
        <w:rPr>
          <w:color w:val="231F20"/>
          <w:spacing w:val="1"/>
          <w:w w:val="108"/>
        </w:rPr>
        <w:t>a</w:t>
      </w:r>
      <w:r>
        <w:rPr>
          <w:color w:val="231F20"/>
          <w:spacing w:val="1"/>
          <w:w w:val="100"/>
        </w:rPr>
        <w:t>li</w:t>
      </w:r>
      <w:r>
        <w:rPr>
          <w:color w:val="231F20"/>
          <w:spacing w:val="1"/>
          <w:w w:val="92"/>
        </w:rPr>
        <w:t>s</w:t>
      </w:r>
      <w:r>
        <w:rPr>
          <w:color w:val="231F20"/>
          <w:spacing w:val="1"/>
          <w:w w:val="115"/>
        </w:rPr>
        <w:t>t</w:t>
      </w:r>
      <w:r>
        <w:rPr>
          <w:color w:val="231F20"/>
          <w:w w:val="108"/>
        </w:rPr>
        <w:t>a</w:t>
      </w:r>
      <w:r>
        <w:rPr>
          <w:color w:val="231F20"/>
        </w:rPr>
        <w:t> </w:t>
      </w:r>
      <w:r>
        <w:rPr>
          <w:color w:val="231F20"/>
          <w:spacing w:val="-7"/>
        </w:rPr>
        <w:t> </w:t>
      </w:r>
      <w:r>
        <w:rPr>
          <w:color w:val="231F20"/>
          <w:spacing w:val="1"/>
          <w:w w:val="116"/>
        </w:rPr>
        <w:t>d</w:t>
      </w:r>
      <w:r>
        <w:rPr>
          <w:color w:val="231F20"/>
          <w:w w:val="112"/>
        </w:rPr>
        <w:t>e</w:t>
      </w:r>
      <w:r>
        <w:rPr>
          <w:color w:val="231F20"/>
        </w:rPr>
        <w:t> </w:t>
      </w:r>
      <w:r>
        <w:rPr>
          <w:color w:val="231F20"/>
          <w:spacing w:val="-7"/>
        </w:rPr>
        <w:t> </w:t>
      </w:r>
      <w:r>
        <w:rPr>
          <w:color w:val="231F20"/>
          <w:spacing w:val="1"/>
          <w:w w:val="104"/>
        </w:rPr>
        <w:t>P</w:t>
      </w:r>
      <w:r>
        <w:rPr>
          <w:color w:val="231F20"/>
          <w:spacing w:val="1"/>
          <w:w w:val="112"/>
        </w:rPr>
        <w:t>o</w:t>
      </w:r>
      <w:r>
        <w:rPr>
          <w:color w:val="231F20"/>
          <w:spacing w:val="1"/>
          <w:w w:val="100"/>
        </w:rPr>
        <w:t>l</w:t>
      </w:r>
      <w:r>
        <w:rPr>
          <w:color w:val="231F20"/>
          <w:spacing w:val="1"/>
          <w:w w:val="107"/>
        </w:rPr>
        <w:t>í</w:t>
      </w:r>
      <w:r>
        <w:rPr>
          <w:color w:val="231F20"/>
          <w:spacing w:val="1"/>
          <w:w w:val="115"/>
        </w:rPr>
        <w:t>t</w:t>
      </w:r>
      <w:r>
        <w:rPr>
          <w:color w:val="231F20"/>
          <w:spacing w:val="1"/>
          <w:w w:val="100"/>
        </w:rPr>
        <w:t>i</w:t>
      </w:r>
      <w:r>
        <w:rPr>
          <w:color w:val="231F20"/>
          <w:spacing w:val="1"/>
          <w:w w:val="103"/>
        </w:rPr>
        <w:t>c</w:t>
      </w:r>
      <w:r>
        <w:rPr>
          <w:color w:val="231F20"/>
          <w:spacing w:val="1"/>
          <w:w w:val="108"/>
        </w:rPr>
        <w:t>a</w:t>
      </w:r>
      <w:r>
        <w:rPr>
          <w:color w:val="231F20"/>
          <w:w w:val="92"/>
        </w:rPr>
        <w:t>s</w:t>
      </w:r>
      <w:r>
        <w:rPr>
          <w:color w:val="231F20"/>
        </w:rPr>
        <w:t> </w:t>
      </w:r>
      <w:r>
        <w:rPr>
          <w:color w:val="231F20"/>
          <w:spacing w:val="-7"/>
        </w:rPr>
        <w:t> </w:t>
      </w:r>
      <w:r>
        <w:rPr>
          <w:color w:val="231F20"/>
          <w:spacing w:val="1"/>
          <w:w w:val="104"/>
        </w:rPr>
        <w:t>P</w:t>
      </w:r>
      <w:r>
        <w:rPr>
          <w:color w:val="231F20"/>
          <w:spacing w:val="1"/>
          <w:w w:val="116"/>
        </w:rPr>
        <w:t>ú</w:t>
      </w:r>
      <w:r>
        <w:rPr>
          <w:color w:val="231F20"/>
          <w:spacing w:val="1"/>
          <w:w w:val="112"/>
        </w:rPr>
        <w:t>b</w:t>
      </w:r>
      <w:r>
        <w:rPr>
          <w:color w:val="231F20"/>
          <w:spacing w:val="1"/>
          <w:w w:val="100"/>
        </w:rPr>
        <w:t>li</w:t>
      </w:r>
      <w:r>
        <w:rPr>
          <w:color w:val="231F20"/>
          <w:spacing w:val="1"/>
          <w:w w:val="103"/>
        </w:rPr>
        <w:t>c</w:t>
      </w:r>
      <w:r>
        <w:rPr>
          <w:color w:val="231F20"/>
          <w:spacing w:val="1"/>
          <w:w w:val="108"/>
        </w:rPr>
        <w:t>a</w:t>
      </w:r>
      <w:r>
        <w:rPr>
          <w:color w:val="231F20"/>
          <w:w w:val="92"/>
        </w:rPr>
        <w:t>s</w:t>
      </w:r>
      <w:r>
        <w:rPr>
          <w:color w:val="231F20"/>
        </w:rPr>
        <w:t> </w:t>
      </w:r>
      <w:r>
        <w:rPr>
          <w:color w:val="231F20"/>
          <w:spacing w:val="-7"/>
        </w:rPr>
        <w:t> </w:t>
      </w:r>
      <w:r>
        <w:rPr>
          <w:color w:val="231F20"/>
          <w:spacing w:val="1"/>
          <w:w w:val="116"/>
        </w:rPr>
        <w:t>p</w:t>
      </w:r>
      <w:r>
        <w:rPr>
          <w:color w:val="231F20"/>
          <w:spacing w:val="1"/>
          <w:w w:val="108"/>
        </w:rPr>
        <w:t>a</w:t>
      </w:r>
      <w:r>
        <w:rPr>
          <w:color w:val="231F20"/>
          <w:spacing w:val="1"/>
          <w:w w:val="120"/>
        </w:rPr>
        <w:t>r</w:t>
      </w:r>
      <w:r>
        <w:rPr>
          <w:color w:val="231F20"/>
          <w:w w:val="108"/>
        </w:rPr>
        <w:t>a</w:t>
      </w:r>
      <w:r>
        <w:rPr>
          <w:color w:val="231F20"/>
        </w:rPr>
        <w:t> </w:t>
      </w:r>
      <w:r>
        <w:rPr>
          <w:color w:val="231F20"/>
          <w:spacing w:val="-7"/>
        </w:rPr>
        <w:t> </w:t>
      </w:r>
      <w:r>
        <w:rPr>
          <w:color w:val="231F20"/>
          <w:spacing w:val="1"/>
          <w:w w:val="112"/>
        </w:rPr>
        <w:t>e</w:t>
      </w:r>
      <w:r>
        <w:rPr>
          <w:color w:val="231F20"/>
          <w:w w:val="100"/>
        </w:rPr>
        <w:t>l</w:t>
      </w:r>
      <w:r>
        <w:rPr>
          <w:color w:val="231F20"/>
        </w:rPr>
        <w:t> </w:t>
      </w:r>
      <w:r>
        <w:rPr>
          <w:color w:val="231F20"/>
          <w:spacing w:val="-7"/>
        </w:rPr>
        <w:t> </w:t>
      </w:r>
      <w:r>
        <w:rPr>
          <w:color w:val="231F20"/>
          <w:spacing w:val="3"/>
          <w:w w:val="125"/>
        </w:rPr>
        <w:t>c</w:t>
      </w:r>
      <w:r>
        <w:rPr>
          <w:color w:val="231F20"/>
          <w:spacing w:val="1"/>
          <w:w w:val="125"/>
        </w:rPr>
        <w:t>a</w:t>
      </w:r>
      <w:r>
        <w:rPr>
          <w:color w:val="231F20"/>
          <w:spacing w:val="-3"/>
          <w:w w:val="122"/>
        </w:rPr>
        <w:t>d</w:t>
      </w:r>
      <w:r>
        <w:rPr>
          <w:color w:val="231F20"/>
          <w:spacing w:val="1"/>
          <w:w w:val="200"/>
        </w:rPr>
        <w:t>t</w:t>
      </w:r>
      <w:r>
        <w:rPr>
          <w:color w:val="231F20"/>
          <w:w w:val="92"/>
        </w:rPr>
        <w:t>m</w:t>
      </w:r>
      <w:r>
        <w:rPr>
          <w:color w:val="231F20"/>
        </w:rPr>
        <w:t> </w:t>
      </w:r>
      <w:r>
        <w:rPr>
          <w:color w:val="231F20"/>
          <w:spacing w:val="-7"/>
        </w:rPr>
        <w:t> </w:t>
      </w:r>
      <w:r>
        <w:rPr>
          <w:color w:val="231F20"/>
          <w:spacing w:val="1"/>
          <w:w w:val="112"/>
        </w:rPr>
        <w:t>e</w:t>
      </w:r>
      <w:r>
        <w:rPr>
          <w:color w:val="231F20"/>
          <w:w w:val="120"/>
        </w:rPr>
        <w:t>n </w:t>
      </w:r>
      <w:r>
        <w:rPr>
          <w:color w:val="231F20"/>
          <w:w w:val="110"/>
        </w:rPr>
        <w:t>Bruselas (2009). Asesor del Ministerio de Relaciones</w:t>
      </w:r>
      <w:r>
        <w:rPr>
          <w:color w:val="231F20"/>
          <w:spacing w:val="-19"/>
          <w:w w:val="110"/>
        </w:rPr>
        <w:t> </w:t>
      </w:r>
      <w:r>
        <w:rPr>
          <w:color w:val="231F20"/>
          <w:w w:val="110"/>
        </w:rPr>
        <w:t>Exteriores del Ecuador en Inversión Extranjera Directa (2010). Autor de publicaciones en Estados Unidos, Italia, Argentina,</w:t>
      </w:r>
      <w:r>
        <w:rPr>
          <w:color w:val="231F20"/>
          <w:spacing w:val="-21"/>
          <w:w w:val="110"/>
        </w:rPr>
        <w:t> </w:t>
      </w:r>
      <w:r>
        <w:rPr>
          <w:color w:val="231F20"/>
          <w:w w:val="110"/>
        </w:rPr>
        <w:t>Colombia.</w:t>
      </w:r>
    </w:p>
    <w:p>
      <w:pPr>
        <w:pStyle w:val="BodyText"/>
        <w:ind w:left="460"/>
        <w:jc w:val="both"/>
      </w:pPr>
      <w:r>
        <w:rPr>
          <w:color w:val="231F20"/>
          <w:w w:val="110"/>
        </w:rPr>
        <w:t>Correo electrónico: </w:t>
      </w:r>
      <w:hyperlink r:id="rId423">
        <w:r>
          <w:rPr>
            <w:color w:val="231F20"/>
            <w:w w:val="110"/>
          </w:rPr>
          <w:t>danielmunevar@gmail.com</w:t>
        </w:r>
      </w:hyperlink>
    </w:p>
    <w:p>
      <w:pPr>
        <w:pStyle w:val="BodyText"/>
        <w:spacing w:before="5"/>
        <w:rPr>
          <w:sz w:val="23"/>
        </w:rPr>
      </w:pPr>
    </w:p>
    <w:p>
      <w:pPr>
        <w:pStyle w:val="BodyText"/>
        <w:ind w:left="100" w:right="25"/>
      </w:pPr>
      <w:r>
        <w:rPr>
          <w:color w:val="231F20"/>
          <w:w w:val="125"/>
        </w:rPr>
        <w:t>fabio grobart sunshine</w:t>
      </w:r>
    </w:p>
    <w:p>
      <w:pPr>
        <w:pStyle w:val="BodyText"/>
        <w:spacing w:line="261" w:lineRule="auto" w:before="20"/>
        <w:ind w:left="460" w:right="119"/>
        <w:jc w:val="both"/>
      </w:pPr>
      <w:r>
        <w:rPr>
          <w:color w:val="231F20"/>
          <w:w w:val="105"/>
        </w:rPr>
        <w:t>Doctor en Ciencias Económicas (1981), Master en Ingeniería Química (1965). Investigador Titular (1982). Actualmente realiza investigaciones en el Centro de Investigaciones de Economía In-</w:t>
      </w:r>
      <w:r>
        <w:rPr>
          <w:color w:val="231F20"/>
          <w:w w:val="72"/>
        </w:rPr>
        <w:t> </w:t>
      </w:r>
      <w:r>
        <w:rPr>
          <w:color w:val="231F20"/>
          <w:w w:val="105"/>
        </w:rPr>
        <w:t>ternacional de la Universidad de La Habana, relacionadas con la prospectiva del nuevo paradigma tecnoeconómico y su incidencia en las relaciones Norte-Norte, Norte-Sur y Sur-Sur, los modelos de desarrollo nacionales y de integración alternativa, con énfasis en América Latina y el Caribe. Es docente en asignaturas afines a los estudios de Ciencia-Tecnología-Sociedad, Planeamiento Estratégi- co, Historia Económica Mundial y Relaciones Económicas Inter-</w:t>
      </w:r>
      <w:r>
        <w:rPr>
          <w:color w:val="231F20"/>
          <w:w w:val="72"/>
        </w:rPr>
        <w:t> </w:t>
      </w:r>
      <w:r>
        <w:rPr>
          <w:color w:val="231F20"/>
          <w:w w:val="105"/>
        </w:rPr>
        <w:t>nacionales en Universidades de Cuba, América Latina y   Europa.</w:t>
      </w:r>
    </w:p>
    <w:p>
      <w:pPr>
        <w:pStyle w:val="BodyText"/>
        <w:ind w:left="460"/>
        <w:jc w:val="both"/>
      </w:pPr>
      <w:r>
        <w:rPr>
          <w:color w:val="231F20"/>
          <w:w w:val="110"/>
        </w:rPr>
        <w:t>Correo electrónico: </w:t>
      </w:r>
      <w:hyperlink r:id="rId424">
        <w:r>
          <w:rPr>
            <w:color w:val="231F20"/>
            <w:w w:val="110"/>
          </w:rPr>
          <w:t>fabio@uh.cu</w:t>
        </w:r>
      </w:hyperlink>
    </w:p>
    <w:p>
      <w:pPr>
        <w:pStyle w:val="BodyText"/>
        <w:spacing w:before="5"/>
        <w:rPr>
          <w:sz w:val="23"/>
        </w:rPr>
      </w:pPr>
    </w:p>
    <w:p>
      <w:pPr>
        <w:pStyle w:val="BodyText"/>
        <w:ind w:left="100" w:right="25"/>
      </w:pPr>
      <w:r>
        <w:rPr>
          <w:color w:val="231F20"/>
          <w:w w:val="125"/>
        </w:rPr>
        <w:t>dídimo castillo fernández</w:t>
      </w:r>
    </w:p>
    <w:p>
      <w:pPr>
        <w:pStyle w:val="BodyText"/>
        <w:spacing w:line="261" w:lineRule="auto" w:before="20"/>
        <w:ind w:left="460" w:right="117"/>
        <w:jc w:val="both"/>
      </w:pPr>
      <w:r>
        <w:rPr>
          <w:color w:val="231F20"/>
          <w:w w:val="105"/>
        </w:rPr>
        <w:t>Licenciado en Sociología por la Universidad de Panamá; maestría en Ciencias Sociales por la Facultad Latinoamericana de Ciencias Sociales, flacso-México y doctorado en Estudios  de  Población por El Colegio de México. Profesor investigador de la Facultad    de Ciencias Políticas y Sociales de la Universidad Autónoma del Estado de México. Algunas de sus publicaciones recientes son:  </w:t>
      </w:r>
      <w:r>
        <w:rPr>
          <w:i/>
          <w:color w:val="231F20"/>
          <w:w w:val="95"/>
        </w:rPr>
        <w:t>Los</w:t>
      </w:r>
      <w:r>
        <w:rPr>
          <w:i/>
          <w:color w:val="231F20"/>
          <w:spacing w:val="-12"/>
          <w:w w:val="95"/>
        </w:rPr>
        <w:t> </w:t>
      </w:r>
      <w:r>
        <w:rPr>
          <w:i/>
          <w:color w:val="231F20"/>
          <w:w w:val="95"/>
        </w:rPr>
        <w:t>nuevos</w:t>
      </w:r>
      <w:r>
        <w:rPr>
          <w:i/>
          <w:color w:val="231F20"/>
          <w:spacing w:val="-12"/>
          <w:w w:val="95"/>
        </w:rPr>
        <w:t> </w:t>
      </w:r>
      <w:r>
        <w:rPr>
          <w:i/>
          <w:color w:val="231F20"/>
          <w:w w:val="95"/>
        </w:rPr>
        <w:t>trabajadores</w:t>
      </w:r>
      <w:r>
        <w:rPr>
          <w:i/>
          <w:color w:val="231F20"/>
          <w:spacing w:val="-12"/>
          <w:w w:val="95"/>
        </w:rPr>
        <w:t> </w:t>
      </w:r>
      <w:r>
        <w:rPr>
          <w:i/>
          <w:color w:val="231F20"/>
          <w:w w:val="95"/>
        </w:rPr>
        <w:t>precarios</w:t>
      </w:r>
      <w:r>
        <w:rPr>
          <w:color w:val="231F20"/>
          <w:w w:val="95"/>
        </w:rPr>
        <w:t>;</w:t>
      </w:r>
      <w:r>
        <w:rPr>
          <w:color w:val="231F20"/>
          <w:spacing w:val="-12"/>
          <w:w w:val="95"/>
        </w:rPr>
        <w:t> </w:t>
      </w:r>
      <w:r>
        <w:rPr>
          <w:i/>
          <w:color w:val="231F20"/>
          <w:w w:val="95"/>
        </w:rPr>
        <w:t>Estados</w:t>
      </w:r>
      <w:r>
        <w:rPr>
          <w:i/>
          <w:color w:val="231F20"/>
          <w:spacing w:val="-12"/>
          <w:w w:val="95"/>
        </w:rPr>
        <w:t> </w:t>
      </w:r>
      <w:r>
        <w:rPr>
          <w:i/>
          <w:color w:val="231F20"/>
          <w:w w:val="95"/>
        </w:rPr>
        <w:t>Unidos:</w:t>
      </w:r>
      <w:r>
        <w:rPr>
          <w:i/>
          <w:color w:val="231F20"/>
          <w:spacing w:val="-12"/>
          <w:w w:val="95"/>
        </w:rPr>
        <w:t> </w:t>
      </w:r>
      <w:r>
        <w:rPr>
          <w:i/>
          <w:color w:val="231F20"/>
          <w:w w:val="95"/>
        </w:rPr>
        <w:t>la</w:t>
      </w:r>
      <w:r>
        <w:rPr>
          <w:i/>
          <w:color w:val="231F20"/>
          <w:spacing w:val="-12"/>
          <w:w w:val="95"/>
        </w:rPr>
        <w:t> </w:t>
      </w:r>
      <w:r>
        <w:rPr>
          <w:i/>
          <w:color w:val="231F20"/>
          <w:w w:val="95"/>
        </w:rPr>
        <w:t>crisis</w:t>
      </w:r>
      <w:r>
        <w:rPr>
          <w:i/>
          <w:color w:val="231F20"/>
          <w:spacing w:val="-12"/>
          <w:w w:val="95"/>
        </w:rPr>
        <w:t> </w:t>
      </w:r>
      <w:r>
        <w:rPr>
          <w:i/>
          <w:color w:val="231F20"/>
          <w:w w:val="95"/>
        </w:rPr>
        <w:t>sistémica</w:t>
      </w:r>
      <w:r>
        <w:rPr>
          <w:i/>
          <w:color w:val="231F20"/>
          <w:spacing w:val="-12"/>
          <w:w w:val="95"/>
        </w:rPr>
        <w:t> </w:t>
      </w:r>
      <w:r>
        <w:rPr>
          <w:i/>
          <w:color w:val="231F20"/>
          <w:w w:val="95"/>
        </w:rPr>
        <w:t>y</w:t>
      </w:r>
      <w:r>
        <w:rPr>
          <w:i/>
          <w:color w:val="231F20"/>
          <w:spacing w:val="-12"/>
          <w:w w:val="95"/>
        </w:rPr>
        <w:t> </w:t>
      </w:r>
      <w:r>
        <w:rPr>
          <w:i/>
          <w:color w:val="231F20"/>
          <w:w w:val="95"/>
        </w:rPr>
        <w:t>la </w:t>
      </w:r>
      <w:r>
        <w:rPr>
          <w:i/>
          <w:color w:val="231F20"/>
          <w:w w:val="105"/>
        </w:rPr>
        <w:t>nuevas</w:t>
      </w:r>
      <w:r>
        <w:rPr>
          <w:i/>
          <w:color w:val="231F20"/>
          <w:spacing w:val="-16"/>
          <w:w w:val="105"/>
        </w:rPr>
        <w:t> </w:t>
      </w:r>
      <w:r>
        <w:rPr>
          <w:i/>
          <w:color w:val="231F20"/>
          <w:w w:val="105"/>
        </w:rPr>
        <w:t>condiciones</w:t>
      </w:r>
      <w:r>
        <w:rPr>
          <w:i/>
          <w:color w:val="231F20"/>
          <w:spacing w:val="-16"/>
          <w:w w:val="105"/>
        </w:rPr>
        <w:t> </w:t>
      </w:r>
      <w:r>
        <w:rPr>
          <w:i/>
          <w:color w:val="231F20"/>
          <w:w w:val="105"/>
        </w:rPr>
        <w:t>de</w:t>
      </w:r>
      <w:r>
        <w:rPr>
          <w:i/>
          <w:color w:val="231F20"/>
          <w:spacing w:val="-16"/>
          <w:w w:val="105"/>
        </w:rPr>
        <w:t> </w:t>
      </w:r>
      <w:r>
        <w:rPr>
          <w:i/>
          <w:color w:val="231F20"/>
          <w:w w:val="105"/>
        </w:rPr>
        <w:t>legitimación</w:t>
      </w:r>
      <w:r>
        <w:rPr>
          <w:i/>
          <w:color w:val="231F20"/>
          <w:spacing w:val="-17"/>
          <w:w w:val="105"/>
        </w:rPr>
        <w:t> </w:t>
      </w:r>
      <w:r>
        <w:rPr>
          <w:color w:val="231F20"/>
          <w:w w:val="105"/>
        </w:rPr>
        <w:t>y</w:t>
      </w:r>
      <w:r>
        <w:rPr>
          <w:color w:val="231F20"/>
          <w:spacing w:val="-16"/>
          <w:w w:val="105"/>
        </w:rPr>
        <w:t> </w:t>
      </w:r>
      <w:r>
        <w:rPr>
          <w:color w:val="231F20"/>
          <w:w w:val="105"/>
        </w:rPr>
        <w:t>“Hegemony</w:t>
      </w:r>
      <w:r>
        <w:rPr>
          <w:color w:val="231F20"/>
          <w:spacing w:val="-16"/>
          <w:w w:val="105"/>
        </w:rPr>
        <w:t> </w:t>
      </w:r>
      <w:r>
        <w:rPr>
          <w:color w:val="231F20"/>
          <w:w w:val="105"/>
        </w:rPr>
        <w:t>and</w:t>
      </w:r>
      <w:r>
        <w:rPr>
          <w:color w:val="231F20"/>
          <w:spacing w:val="-16"/>
          <w:w w:val="105"/>
        </w:rPr>
        <w:t> </w:t>
      </w:r>
      <w:r>
        <w:rPr>
          <w:color w:val="231F20"/>
          <w:w w:val="105"/>
        </w:rPr>
        <w:t>the</w:t>
      </w:r>
      <w:r>
        <w:rPr>
          <w:color w:val="231F20"/>
          <w:spacing w:val="-16"/>
          <w:w w:val="105"/>
        </w:rPr>
        <w:t> </w:t>
      </w:r>
      <w:r>
        <w:rPr>
          <w:color w:val="231F20"/>
          <w:w w:val="105"/>
        </w:rPr>
        <w:t>U.S.</w:t>
      </w:r>
      <w:r>
        <w:rPr>
          <w:color w:val="231F20"/>
          <w:spacing w:val="-16"/>
          <w:w w:val="105"/>
        </w:rPr>
        <w:t> </w:t>
      </w:r>
      <w:r>
        <w:rPr>
          <w:color w:val="231F20"/>
          <w:spacing w:val="-5"/>
          <w:w w:val="105"/>
        </w:rPr>
        <w:t>Wor- </w:t>
      </w:r>
      <w:r>
        <w:rPr>
          <w:color w:val="231F20"/>
          <w:w w:val="105"/>
        </w:rPr>
        <w:t>king Class”, </w:t>
      </w:r>
      <w:r>
        <w:rPr>
          <w:i/>
          <w:color w:val="231F20"/>
          <w:w w:val="105"/>
        </w:rPr>
        <w:t>Latin American Perspectives</w:t>
      </w:r>
      <w:r>
        <w:rPr>
          <w:color w:val="231F20"/>
          <w:w w:val="105"/>
        </w:rPr>
        <w:t>. Coordinador del Grupo de </w:t>
      </w:r>
      <w:r>
        <w:rPr>
          <w:color w:val="231F20"/>
          <w:spacing w:val="-3"/>
          <w:w w:val="105"/>
        </w:rPr>
        <w:t>Trabajo  </w:t>
      </w:r>
      <w:r>
        <w:rPr>
          <w:color w:val="231F20"/>
          <w:w w:val="105"/>
        </w:rPr>
        <w:t>de clacso: Estudios sobre Estados Unidos. Miembro  del Sistema Nacional de Investigadores,  </w:t>
      </w:r>
      <w:r>
        <w:rPr>
          <w:color w:val="231F20"/>
          <w:spacing w:val="47"/>
          <w:w w:val="105"/>
        </w:rPr>
        <w:t> </w:t>
      </w:r>
      <w:r>
        <w:rPr>
          <w:color w:val="231F20"/>
          <w:w w:val="105"/>
        </w:rPr>
        <w:t>sni-Conacyt.</w:t>
      </w:r>
    </w:p>
    <w:p>
      <w:pPr>
        <w:pStyle w:val="BodyText"/>
        <w:ind w:left="460"/>
        <w:jc w:val="both"/>
      </w:pPr>
      <w:r>
        <w:rPr>
          <w:color w:val="231F20"/>
          <w:w w:val="110"/>
        </w:rPr>
        <w:t>Correo electrónico: </w:t>
      </w:r>
      <w:hyperlink r:id="rId425">
        <w:r>
          <w:rPr>
            <w:color w:val="231F20"/>
            <w:w w:val="110"/>
          </w:rPr>
          <w:t>didimo99@prodigy.net.mx</w:t>
        </w:r>
      </w:hyperlink>
    </w:p>
    <w:p>
      <w:pPr>
        <w:pStyle w:val="BodyText"/>
        <w:spacing w:before="5"/>
        <w:rPr>
          <w:sz w:val="23"/>
        </w:rPr>
      </w:pPr>
    </w:p>
    <w:p>
      <w:pPr>
        <w:pStyle w:val="BodyText"/>
        <w:ind w:left="100" w:right="25"/>
      </w:pPr>
      <w:r>
        <w:rPr>
          <w:color w:val="231F20"/>
          <w:w w:val="125"/>
        </w:rPr>
        <w:t>alejandro i. canales</w:t>
      </w:r>
    </w:p>
    <w:p>
      <w:pPr>
        <w:pStyle w:val="BodyText"/>
        <w:spacing w:line="261" w:lineRule="auto" w:before="20"/>
        <w:ind w:left="460" w:right="119"/>
        <w:jc w:val="both"/>
      </w:pPr>
      <w:r>
        <w:rPr>
          <w:color w:val="231F20"/>
          <w:w w:val="105"/>
        </w:rPr>
        <w:t>Es economista por la Universidad de Chile, y Maestro en Demo- grafía y Doctor en Ciencias Sociales por El Colegio de México. Es</w:t>
      </w:r>
    </w:p>
    <w:p>
      <w:pPr>
        <w:spacing w:after="0" w:line="261" w:lineRule="auto"/>
        <w:jc w:val="both"/>
        <w:sectPr>
          <w:headerReference w:type="default" r:id="rId422"/>
          <w:pgSz w:w="7640" w:h="11900"/>
          <w:pgMar w:header="0" w:footer="0" w:top="1000" w:bottom="280" w:left="660" w:right="760"/>
        </w:sectPr>
      </w:pPr>
    </w:p>
    <w:p>
      <w:pPr>
        <w:spacing w:line="261" w:lineRule="auto" w:before="39"/>
        <w:ind w:left="460" w:right="117" w:firstLine="0"/>
        <w:jc w:val="both"/>
        <w:rPr>
          <w:sz w:val="20"/>
        </w:rPr>
      </w:pPr>
      <w:r>
        <w:rPr>
          <w:color w:val="231F20"/>
          <w:w w:val="105"/>
          <w:sz w:val="20"/>
        </w:rPr>
        <w:t>Director del Centro de Estudios de Población de la Universidad   de Guadalajara. Ha sido consultor de organismos internaciona-  les, como celade, cepal, unfpa,  unesco  y  segib,  y  formó  parte del </w:t>
      </w:r>
      <w:r>
        <w:rPr>
          <w:color w:val="231F20"/>
          <w:spacing w:val="-5"/>
          <w:w w:val="105"/>
          <w:sz w:val="20"/>
        </w:rPr>
        <w:t>Task </w:t>
      </w:r>
      <w:r>
        <w:rPr>
          <w:color w:val="231F20"/>
          <w:w w:val="105"/>
          <w:sz w:val="20"/>
        </w:rPr>
        <w:t>Force on International  Migration,  equipo  organizado  con base en la Initiative for Policy Dialog, de la Universidad de Columbia, y que dirige Joseph E. Stiglitz. Sus libros y publicacio- nes más recientes son: </w:t>
      </w:r>
      <w:r>
        <w:rPr>
          <w:i/>
          <w:color w:val="231F20"/>
          <w:w w:val="105"/>
          <w:sz w:val="20"/>
        </w:rPr>
        <w:t>La Frontera Doliente</w:t>
      </w:r>
      <w:r>
        <w:rPr>
          <w:color w:val="231F20"/>
          <w:w w:val="105"/>
          <w:sz w:val="20"/>
        </w:rPr>
        <w:t>. </w:t>
      </w:r>
      <w:r>
        <w:rPr>
          <w:i/>
          <w:color w:val="231F20"/>
          <w:w w:val="105"/>
          <w:sz w:val="20"/>
        </w:rPr>
        <w:t>Migración y salud en </w:t>
      </w:r>
      <w:r>
        <w:rPr>
          <w:i/>
          <w:color w:val="231F20"/>
          <w:sz w:val="20"/>
        </w:rPr>
        <w:t>la</w:t>
      </w:r>
      <w:r>
        <w:rPr>
          <w:i/>
          <w:color w:val="231F20"/>
          <w:spacing w:val="-15"/>
          <w:sz w:val="20"/>
        </w:rPr>
        <w:t> </w:t>
      </w:r>
      <w:r>
        <w:rPr>
          <w:i/>
          <w:color w:val="231F20"/>
          <w:sz w:val="20"/>
        </w:rPr>
        <w:t>Región</w:t>
      </w:r>
      <w:r>
        <w:rPr>
          <w:i/>
          <w:color w:val="231F20"/>
          <w:spacing w:val="-15"/>
          <w:sz w:val="20"/>
        </w:rPr>
        <w:t> </w:t>
      </w:r>
      <w:r>
        <w:rPr>
          <w:i/>
          <w:color w:val="231F20"/>
          <w:sz w:val="20"/>
        </w:rPr>
        <w:t>México-Guatemala</w:t>
      </w:r>
      <w:r>
        <w:rPr>
          <w:color w:val="231F20"/>
          <w:sz w:val="20"/>
        </w:rPr>
        <w:t>;</w:t>
      </w:r>
      <w:r>
        <w:rPr>
          <w:color w:val="231F20"/>
          <w:spacing w:val="-15"/>
          <w:sz w:val="20"/>
        </w:rPr>
        <w:t> </w:t>
      </w:r>
      <w:r>
        <w:rPr>
          <w:i/>
          <w:color w:val="231F20"/>
          <w:sz w:val="20"/>
        </w:rPr>
        <w:t>Migración</w:t>
      </w:r>
      <w:r>
        <w:rPr>
          <w:i/>
          <w:color w:val="231F20"/>
          <w:spacing w:val="-15"/>
          <w:sz w:val="20"/>
        </w:rPr>
        <w:t> </w:t>
      </w:r>
      <w:r>
        <w:rPr>
          <w:i/>
          <w:color w:val="231F20"/>
          <w:sz w:val="20"/>
        </w:rPr>
        <w:t>y</w:t>
      </w:r>
      <w:r>
        <w:rPr>
          <w:i/>
          <w:color w:val="231F20"/>
          <w:spacing w:val="-15"/>
          <w:sz w:val="20"/>
        </w:rPr>
        <w:t> </w:t>
      </w:r>
      <w:r>
        <w:rPr>
          <w:i/>
          <w:color w:val="231F20"/>
          <w:sz w:val="20"/>
        </w:rPr>
        <w:t>Salud</w:t>
      </w:r>
      <w:r>
        <w:rPr>
          <w:i/>
          <w:color w:val="231F20"/>
          <w:spacing w:val="-15"/>
          <w:sz w:val="20"/>
        </w:rPr>
        <w:t> </w:t>
      </w:r>
      <w:r>
        <w:rPr>
          <w:i/>
          <w:color w:val="231F20"/>
          <w:sz w:val="20"/>
        </w:rPr>
        <w:t>en</w:t>
      </w:r>
      <w:r>
        <w:rPr>
          <w:i/>
          <w:color w:val="231F20"/>
          <w:spacing w:val="-15"/>
          <w:sz w:val="20"/>
        </w:rPr>
        <w:t> </w:t>
      </w:r>
      <w:r>
        <w:rPr>
          <w:i/>
          <w:color w:val="231F20"/>
          <w:sz w:val="20"/>
        </w:rPr>
        <w:t>zonas</w:t>
      </w:r>
      <w:r>
        <w:rPr>
          <w:i/>
          <w:color w:val="231F20"/>
          <w:spacing w:val="-15"/>
          <w:sz w:val="20"/>
        </w:rPr>
        <w:t> </w:t>
      </w:r>
      <w:r>
        <w:rPr>
          <w:i/>
          <w:color w:val="231F20"/>
          <w:sz w:val="20"/>
        </w:rPr>
        <w:t>fronterizas</w:t>
      </w:r>
      <w:r>
        <w:rPr>
          <w:i/>
          <w:color w:val="231F20"/>
          <w:spacing w:val="-15"/>
          <w:sz w:val="20"/>
        </w:rPr>
        <w:t> </w:t>
      </w:r>
      <w:r>
        <w:rPr>
          <w:color w:val="231F20"/>
          <w:sz w:val="20"/>
        </w:rPr>
        <w:t>y </w:t>
      </w:r>
      <w:r>
        <w:rPr>
          <w:i/>
          <w:color w:val="231F20"/>
          <w:sz w:val="20"/>
        </w:rPr>
        <w:t>Vivir</w:t>
      </w:r>
      <w:r>
        <w:rPr>
          <w:i/>
          <w:color w:val="231F20"/>
          <w:spacing w:val="-8"/>
          <w:sz w:val="20"/>
        </w:rPr>
        <w:t> </w:t>
      </w:r>
      <w:r>
        <w:rPr>
          <w:i/>
          <w:color w:val="231F20"/>
          <w:sz w:val="20"/>
        </w:rPr>
        <w:t>del</w:t>
      </w:r>
      <w:r>
        <w:rPr>
          <w:i/>
          <w:color w:val="231F20"/>
          <w:spacing w:val="-8"/>
          <w:sz w:val="20"/>
        </w:rPr>
        <w:t> </w:t>
      </w:r>
      <w:r>
        <w:rPr>
          <w:i/>
          <w:color w:val="231F20"/>
          <w:sz w:val="20"/>
        </w:rPr>
        <w:t>Norte.</w:t>
      </w:r>
      <w:r>
        <w:rPr>
          <w:i/>
          <w:color w:val="231F20"/>
          <w:spacing w:val="-8"/>
          <w:sz w:val="20"/>
        </w:rPr>
        <w:t> </w:t>
      </w:r>
      <w:r>
        <w:rPr>
          <w:i/>
          <w:color w:val="231F20"/>
          <w:sz w:val="20"/>
        </w:rPr>
        <w:t>Remesas,</w:t>
      </w:r>
      <w:r>
        <w:rPr>
          <w:i/>
          <w:color w:val="231F20"/>
          <w:spacing w:val="-8"/>
          <w:sz w:val="20"/>
        </w:rPr>
        <w:t> </w:t>
      </w:r>
      <w:r>
        <w:rPr>
          <w:i/>
          <w:color w:val="231F20"/>
          <w:sz w:val="20"/>
        </w:rPr>
        <w:t>desarrollo</w:t>
      </w:r>
      <w:r>
        <w:rPr>
          <w:i/>
          <w:color w:val="231F20"/>
          <w:spacing w:val="-8"/>
          <w:sz w:val="20"/>
        </w:rPr>
        <w:t> </w:t>
      </w:r>
      <w:r>
        <w:rPr>
          <w:i/>
          <w:color w:val="231F20"/>
          <w:sz w:val="20"/>
        </w:rPr>
        <w:t>y</w:t>
      </w:r>
      <w:r>
        <w:rPr>
          <w:i/>
          <w:color w:val="231F20"/>
          <w:spacing w:val="-8"/>
          <w:sz w:val="20"/>
        </w:rPr>
        <w:t> </w:t>
      </w:r>
      <w:r>
        <w:rPr>
          <w:i/>
          <w:color w:val="231F20"/>
          <w:sz w:val="20"/>
        </w:rPr>
        <w:t>pobreza</w:t>
      </w:r>
      <w:r>
        <w:rPr>
          <w:i/>
          <w:color w:val="231F20"/>
          <w:spacing w:val="-8"/>
          <w:sz w:val="20"/>
        </w:rPr>
        <w:t> </w:t>
      </w:r>
      <w:r>
        <w:rPr>
          <w:i/>
          <w:color w:val="231F20"/>
          <w:sz w:val="20"/>
        </w:rPr>
        <w:t>en</w:t>
      </w:r>
      <w:r>
        <w:rPr>
          <w:i/>
          <w:color w:val="231F20"/>
          <w:spacing w:val="-8"/>
          <w:sz w:val="20"/>
        </w:rPr>
        <w:t> </w:t>
      </w:r>
      <w:r>
        <w:rPr>
          <w:i/>
          <w:color w:val="231F20"/>
          <w:sz w:val="20"/>
        </w:rPr>
        <w:t>México</w:t>
      </w:r>
      <w:r>
        <w:rPr>
          <w:color w:val="231F20"/>
          <w:sz w:val="20"/>
        </w:rPr>
        <w:t>.</w:t>
      </w:r>
      <w:r>
        <w:rPr>
          <w:color w:val="231F20"/>
          <w:spacing w:val="-8"/>
          <w:sz w:val="20"/>
        </w:rPr>
        <w:t> </w:t>
      </w:r>
      <w:r>
        <w:rPr>
          <w:color w:val="231F20"/>
          <w:sz w:val="20"/>
        </w:rPr>
        <w:t>Es</w:t>
      </w:r>
      <w:r>
        <w:rPr>
          <w:color w:val="231F20"/>
          <w:spacing w:val="-8"/>
          <w:sz w:val="20"/>
        </w:rPr>
        <w:t> </w:t>
      </w:r>
      <w:r>
        <w:rPr>
          <w:color w:val="231F20"/>
          <w:sz w:val="20"/>
        </w:rPr>
        <w:t>miembro </w:t>
      </w:r>
      <w:r>
        <w:rPr>
          <w:color w:val="231F20"/>
          <w:w w:val="105"/>
          <w:sz w:val="20"/>
        </w:rPr>
        <w:t>de la Academia Mexicana de Ciencias, y del Sistema Nacional de Investigadores  (Nivel  III),  del </w:t>
      </w:r>
      <w:r>
        <w:rPr>
          <w:color w:val="231F20"/>
          <w:spacing w:val="39"/>
          <w:w w:val="105"/>
          <w:sz w:val="20"/>
        </w:rPr>
        <w:t> </w:t>
      </w:r>
      <w:r>
        <w:rPr>
          <w:color w:val="231F20"/>
          <w:w w:val="105"/>
          <w:sz w:val="20"/>
        </w:rPr>
        <w:t>conacyt.</w:t>
      </w:r>
    </w:p>
    <w:p>
      <w:pPr>
        <w:pStyle w:val="BodyText"/>
        <w:ind w:left="460"/>
        <w:jc w:val="both"/>
      </w:pPr>
      <w:r>
        <w:rPr>
          <w:color w:val="231F20"/>
          <w:w w:val="110"/>
        </w:rPr>
        <w:t>Correo electrónico: </w:t>
      </w:r>
      <w:hyperlink r:id="rId427">
        <w:r>
          <w:rPr>
            <w:color w:val="231F20"/>
            <w:w w:val="110"/>
          </w:rPr>
          <w:t>acanales60@gmail.com</w:t>
        </w:r>
      </w:hyperlink>
    </w:p>
    <w:p>
      <w:pPr>
        <w:pStyle w:val="BodyText"/>
        <w:spacing w:before="5"/>
        <w:rPr>
          <w:sz w:val="23"/>
        </w:rPr>
      </w:pPr>
    </w:p>
    <w:p>
      <w:pPr>
        <w:pStyle w:val="BodyText"/>
        <w:ind w:left="100" w:right="25"/>
      </w:pPr>
      <w:r>
        <w:rPr>
          <w:color w:val="231F20"/>
          <w:w w:val="120"/>
        </w:rPr>
        <w:t>james martín cypher</w:t>
      </w:r>
    </w:p>
    <w:p>
      <w:pPr>
        <w:pStyle w:val="BodyText"/>
        <w:spacing w:line="261" w:lineRule="auto" w:before="20"/>
        <w:ind w:left="460" w:right="113"/>
        <w:jc w:val="both"/>
      </w:pPr>
      <w:r>
        <w:rPr>
          <w:color w:val="231F20"/>
          <w:w w:val="105"/>
        </w:rPr>
        <w:t>Doctor en Economía por la Universidad de California, Riverside. Profesor Titular en el Programa del Doctorado en Estudios del Desarrollo, Universidad Autónoma de Zacatecas, México. Fue profesor de  economía  y  jefe  del  Departamento  de  Economía  en la </w:t>
      </w:r>
      <w:r>
        <w:rPr>
          <w:color w:val="231F20"/>
          <w:spacing w:val="2"/>
          <w:w w:val="105"/>
        </w:rPr>
        <w:t>Universidad Estatal </w:t>
      </w:r>
      <w:r>
        <w:rPr>
          <w:color w:val="231F20"/>
          <w:w w:val="105"/>
        </w:rPr>
        <w:t>de </w:t>
      </w:r>
      <w:r>
        <w:rPr>
          <w:color w:val="231F20"/>
          <w:spacing w:val="2"/>
          <w:w w:val="105"/>
        </w:rPr>
        <w:t>California, ubicado </w:t>
      </w:r>
      <w:r>
        <w:rPr>
          <w:color w:val="231F20"/>
          <w:w w:val="105"/>
        </w:rPr>
        <w:t>en </w:t>
      </w:r>
      <w:r>
        <w:rPr>
          <w:color w:val="231F20"/>
          <w:spacing w:val="3"/>
          <w:w w:val="105"/>
        </w:rPr>
        <w:t>Fresno, </w:t>
      </w:r>
      <w:r>
        <w:rPr>
          <w:color w:val="231F20"/>
          <w:w w:val="105"/>
        </w:rPr>
        <w:t>California. Entre sus afiliaciones profesionales ha sido profesor visitante en la uam, Iztapalapa en México por el año académico 1982-1983 y Investigador Invitado por el año 1988 en el Instituto de Investigaciones Económicas de la unam en México. Es autor   de más de 130 trabajos académicos publicados en la forma de libros, artículos, y capítulos de libros Inglaterra, México, Alema- nia, y Colombia, entre otros. Es miembro del Sistema Nacional    de Investigadores, sin-Conacyt, Nivel </w:t>
      </w:r>
      <w:r>
        <w:rPr>
          <w:color w:val="231F20"/>
          <w:spacing w:val="36"/>
          <w:w w:val="105"/>
        </w:rPr>
        <w:t> </w:t>
      </w:r>
      <w:r>
        <w:rPr>
          <w:color w:val="231F20"/>
          <w:w w:val="105"/>
        </w:rPr>
        <w:t>II.</w:t>
      </w:r>
    </w:p>
    <w:p>
      <w:pPr>
        <w:pStyle w:val="BodyText"/>
        <w:ind w:left="460"/>
        <w:jc w:val="both"/>
      </w:pPr>
      <w:r>
        <w:rPr>
          <w:color w:val="231F20"/>
          <w:w w:val="110"/>
        </w:rPr>
        <w:t>Correo electrónico: </w:t>
      </w:r>
      <w:hyperlink r:id="rId428">
        <w:r>
          <w:rPr>
            <w:color w:val="231F20"/>
            <w:w w:val="110"/>
          </w:rPr>
          <w:t>cypher@sti.net</w:t>
        </w:r>
      </w:hyperlink>
    </w:p>
    <w:p>
      <w:pPr>
        <w:pStyle w:val="BodyText"/>
        <w:spacing w:before="5"/>
        <w:rPr>
          <w:sz w:val="23"/>
        </w:rPr>
      </w:pPr>
    </w:p>
    <w:p>
      <w:pPr>
        <w:pStyle w:val="BodyText"/>
        <w:ind w:left="100" w:right="25"/>
      </w:pPr>
      <w:r>
        <w:rPr>
          <w:color w:val="231F20"/>
          <w:w w:val="125"/>
        </w:rPr>
        <w:t>jorge hernández martínez</w:t>
      </w:r>
    </w:p>
    <w:p>
      <w:pPr>
        <w:pStyle w:val="BodyText"/>
        <w:spacing w:line="261" w:lineRule="auto" w:before="20"/>
        <w:ind w:left="460" w:right="117"/>
        <w:jc w:val="both"/>
      </w:pPr>
      <w:r>
        <w:rPr>
          <w:color w:val="231F20"/>
          <w:w w:val="110"/>
        </w:rPr>
        <w:t>Sociólogo y politólogo. Licenciado en Sociología, y Doctor en Historia</w:t>
      </w:r>
      <w:r>
        <w:rPr>
          <w:color w:val="231F20"/>
          <w:spacing w:val="-22"/>
          <w:w w:val="110"/>
        </w:rPr>
        <w:t> </w:t>
      </w:r>
      <w:r>
        <w:rPr>
          <w:color w:val="231F20"/>
          <w:w w:val="110"/>
        </w:rPr>
        <w:t>(Estudios</w:t>
      </w:r>
      <w:r>
        <w:rPr>
          <w:color w:val="231F20"/>
          <w:spacing w:val="-22"/>
          <w:w w:val="110"/>
        </w:rPr>
        <w:t> </w:t>
      </w:r>
      <w:r>
        <w:rPr>
          <w:color w:val="231F20"/>
          <w:w w:val="110"/>
        </w:rPr>
        <w:t>Americanos).</w:t>
      </w:r>
      <w:r>
        <w:rPr>
          <w:color w:val="231F20"/>
          <w:spacing w:val="-22"/>
          <w:w w:val="110"/>
        </w:rPr>
        <w:t> </w:t>
      </w:r>
      <w:r>
        <w:rPr>
          <w:color w:val="231F20"/>
          <w:w w:val="110"/>
        </w:rPr>
        <w:t>Investigador</w:t>
      </w:r>
      <w:r>
        <w:rPr>
          <w:color w:val="231F20"/>
          <w:spacing w:val="-22"/>
          <w:w w:val="110"/>
        </w:rPr>
        <w:t> </w:t>
      </w:r>
      <w:r>
        <w:rPr>
          <w:color w:val="231F20"/>
          <w:w w:val="110"/>
        </w:rPr>
        <w:t>y</w:t>
      </w:r>
      <w:r>
        <w:rPr>
          <w:color w:val="231F20"/>
          <w:spacing w:val="-22"/>
          <w:w w:val="110"/>
        </w:rPr>
        <w:t> </w:t>
      </w:r>
      <w:r>
        <w:rPr>
          <w:color w:val="231F20"/>
          <w:w w:val="110"/>
        </w:rPr>
        <w:t>profesor</w:t>
      </w:r>
      <w:r>
        <w:rPr>
          <w:color w:val="231F20"/>
          <w:spacing w:val="-22"/>
          <w:w w:val="110"/>
        </w:rPr>
        <w:t> </w:t>
      </w:r>
      <w:r>
        <w:rPr>
          <w:color w:val="231F20"/>
          <w:w w:val="110"/>
        </w:rPr>
        <w:t>titular</w:t>
      </w:r>
      <w:r>
        <w:rPr>
          <w:color w:val="231F20"/>
          <w:spacing w:val="-22"/>
          <w:w w:val="110"/>
        </w:rPr>
        <w:t> </w:t>
      </w:r>
      <w:r>
        <w:rPr>
          <w:color w:val="231F20"/>
          <w:w w:val="110"/>
        </w:rPr>
        <w:t>de Sociología y Ciencias Políticas en la Universidad de La</w:t>
      </w:r>
      <w:r>
        <w:rPr>
          <w:color w:val="231F20"/>
          <w:spacing w:val="-30"/>
          <w:w w:val="110"/>
        </w:rPr>
        <w:t> </w:t>
      </w:r>
      <w:r>
        <w:rPr>
          <w:color w:val="231F20"/>
          <w:w w:val="110"/>
        </w:rPr>
        <w:t>Habana. Director del Centro de Estudios sobre Estados Unidos (ceseu), en</w:t>
      </w:r>
      <w:r>
        <w:rPr>
          <w:color w:val="231F20"/>
          <w:spacing w:val="-11"/>
          <w:w w:val="110"/>
        </w:rPr>
        <w:t> </w:t>
      </w:r>
      <w:r>
        <w:rPr>
          <w:color w:val="231F20"/>
          <w:w w:val="110"/>
        </w:rPr>
        <w:t>dicha</w:t>
      </w:r>
      <w:r>
        <w:rPr>
          <w:color w:val="231F20"/>
          <w:spacing w:val="-11"/>
          <w:w w:val="110"/>
        </w:rPr>
        <w:t> </w:t>
      </w:r>
      <w:r>
        <w:rPr>
          <w:color w:val="231F20"/>
          <w:w w:val="110"/>
        </w:rPr>
        <w:t>universidad.</w:t>
      </w:r>
      <w:r>
        <w:rPr>
          <w:color w:val="231F20"/>
          <w:spacing w:val="-11"/>
          <w:w w:val="110"/>
        </w:rPr>
        <w:t> </w:t>
      </w:r>
      <w:r>
        <w:rPr>
          <w:color w:val="231F20"/>
          <w:w w:val="110"/>
        </w:rPr>
        <w:t>Ha</w:t>
      </w:r>
      <w:r>
        <w:rPr>
          <w:color w:val="231F20"/>
          <w:spacing w:val="-11"/>
          <w:w w:val="110"/>
        </w:rPr>
        <w:t> </w:t>
      </w:r>
      <w:r>
        <w:rPr>
          <w:color w:val="231F20"/>
          <w:w w:val="110"/>
        </w:rPr>
        <w:t>participado</w:t>
      </w:r>
      <w:r>
        <w:rPr>
          <w:color w:val="231F20"/>
          <w:spacing w:val="-11"/>
          <w:w w:val="110"/>
        </w:rPr>
        <w:t> </w:t>
      </w:r>
      <w:r>
        <w:rPr>
          <w:color w:val="231F20"/>
          <w:w w:val="110"/>
        </w:rPr>
        <w:t>en</w:t>
      </w:r>
      <w:r>
        <w:rPr>
          <w:color w:val="231F20"/>
          <w:spacing w:val="-11"/>
          <w:w w:val="110"/>
        </w:rPr>
        <w:t> </w:t>
      </w:r>
      <w:r>
        <w:rPr>
          <w:color w:val="231F20"/>
          <w:w w:val="110"/>
        </w:rPr>
        <w:t>eventos,</w:t>
      </w:r>
      <w:r>
        <w:rPr>
          <w:color w:val="231F20"/>
          <w:spacing w:val="-11"/>
          <w:w w:val="110"/>
        </w:rPr>
        <w:t> </w:t>
      </w:r>
      <w:r>
        <w:rPr>
          <w:color w:val="231F20"/>
          <w:w w:val="110"/>
        </w:rPr>
        <w:t>realizado</w:t>
      </w:r>
      <w:r>
        <w:rPr>
          <w:color w:val="231F20"/>
          <w:spacing w:val="-11"/>
          <w:w w:val="110"/>
        </w:rPr>
        <w:t> </w:t>
      </w:r>
      <w:r>
        <w:rPr>
          <w:color w:val="231F20"/>
          <w:w w:val="110"/>
        </w:rPr>
        <w:t>estan- cias de investigación o como profesor invitado en instituciones académicas de Estados Unidos, México, España, Brasil, Canadá y Honduras. Investiga la cultura política estadunidense y las re- laciones interamericanas. Autor de ponencias, artículos y </w:t>
      </w:r>
      <w:r>
        <w:rPr>
          <w:color w:val="231F20"/>
          <w:spacing w:val="3"/>
          <w:w w:val="110"/>
        </w:rPr>
        <w:t> </w:t>
      </w:r>
      <w:r>
        <w:rPr>
          <w:color w:val="231F20"/>
          <w:w w:val="110"/>
        </w:rPr>
        <w:t>libros</w:t>
      </w:r>
    </w:p>
    <w:p>
      <w:pPr>
        <w:spacing w:after="0" w:line="261" w:lineRule="auto"/>
        <w:jc w:val="both"/>
        <w:sectPr>
          <w:headerReference w:type="even" r:id="rId426"/>
          <w:pgSz w:w="7640" w:h="11900"/>
          <w:pgMar w:header="0" w:footer="0" w:top="1000" w:bottom="280" w:left="780" w:right="640"/>
        </w:sectPr>
      </w:pPr>
    </w:p>
    <w:p>
      <w:pPr>
        <w:pStyle w:val="BodyText"/>
        <w:spacing w:before="39"/>
        <w:ind w:left="460"/>
        <w:jc w:val="both"/>
      </w:pPr>
      <w:r>
        <w:rPr>
          <w:color w:val="231F20"/>
          <w:w w:val="110"/>
        </w:rPr>
        <w:t>sobre estos temas. Miembro de lasa, colaborador de clacso y</w:t>
      </w:r>
    </w:p>
    <w:p>
      <w:pPr>
        <w:pStyle w:val="BodyText"/>
        <w:spacing w:before="20"/>
        <w:ind w:left="460"/>
        <w:jc w:val="both"/>
      </w:pPr>
      <w:r>
        <w:rPr>
          <w:color w:val="231F20"/>
          <w:w w:val="125"/>
        </w:rPr>
        <w:t>cries.</w:t>
      </w:r>
    </w:p>
    <w:p>
      <w:pPr>
        <w:pStyle w:val="BodyText"/>
        <w:spacing w:before="20"/>
        <w:ind w:left="460"/>
        <w:jc w:val="both"/>
      </w:pPr>
      <w:r>
        <w:rPr>
          <w:color w:val="231F20"/>
          <w:w w:val="110"/>
        </w:rPr>
        <w:t>Correo electrónico: </w:t>
      </w:r>
      <w:hyperlink r:id="rId430">
        <w:r>
          <w:rPr>
            <w:color w:val="231F20"/>
            <w:w w:val="110"/>
          </w:rPr>
          <w:t>jhernand@uh.cu</w:t>
        </w:r>
      </w:hyperlink>
    </w:p>
    <w:p>
      <w:pPr>
        <w:pStyle w:val="BodyText"/>
        <w:spacing w:before="5"/>
        <w:rPr>
          <w:sz w:val="23"/>
        </w:rPr>
      </w:pPr>
    </w:p>
    <w:p>
      <w:pPr>
        <w:pStyle w:val="BodyText"/>
        <w:ind w:left="100" w:right="25"/>
      </w:pPr>
      <w:r>
        <w:rPr>
          <w:color w:val="231F20"/>
          <w:w w:val="125"/>
        </w:rPr>
        <w:t>darío salinas figueredo</w:t>
      </w:r>
    </w:p>
    <w:p>
      <w:pPr>
        <w:pStyle w:val="BodyText"/>
        <w:spacing w:line="261" w:lineRule="auto" w:before="20"/>
        <w:ind w:left="460" w:right="117"/>
        <w:jc w:val="both"/>
      </w:pPr>
      <w:r>
        <w:rPr>
          <w:color w:val="231F20"/>
          <w:w w:val="105"/>
        </w:rPr>
        <w:t>Sociólogo por la Universidad Católica de Chile, con maestría en Sociología por la Facultad Latinoamericana de Ciencias Sociales   y doctor en Ciencias Sociales por la Universidad Iberoamericana de México. Profesor-investigador del Programa de Posgrado en Ciencias Sociales y del Departamento de Estudios Internacionales de la Universidad Iberoamericana. Coordina el Seminario Per- manente de “Gobernabilidad e instituciones políticas en América Latina”. Entre sus últimas publicaciones se encuentra el libro </w:t>
      </w:r>
      <w:r>
        <w:rPr>
          <w:i/>
          <w:color w:val="231F20"/>
        </w:rPr>
        <w:t>Vicisitudes</w:t>
      </w:r>
      <w:r>
        <w:rPr>
          <w:i/>
          <w:color w:val="231F20"/>
          <w:spacing w:val="-17"/>
        </w:rPr>
        <w:t> </w:t>
      </w:r>
      <w:r>
        <w:rPr>
          <w:i/>
          <w:color w:val="231F20"/>
        </w:rPr>
        <w:t>de</w:t>
      </w:r>
      <w:r>
        <w:rPr>
          <w:i/>
          <w:color w:val="231F20"/>
          <w:spacing w:val="-17"/>
        </w:rPr>
        <w:t> </w:t>
      </w:r>
      <w:r>
        <w:rPr>
          <w:i/>
          <w:color w:val="231F20"/>
        </w:rPr>
        <w:t>la</w:t>
      </w:r>
      <w:r>
        <w:rPr>
          <w:i/>
          <w:color w:val="231F20"/>
          <w:spacing w:val="-17"/>
        </w:rPr>
        <w:t> </w:t>
      </w:r>
      <w:r>
        <w:rPr>
          <w:i/>
          <w:color w:val="231F20"/>
        </w:rPr>
        <w:t>democracia.</w:t>
      </w:r>
      <w:r>
        <w:rPr>
          <w:i/>
          <w:color w:val="231F20"/>
          <w:spacing w:val="-17"/>
        </w:rPr>
        <w:t> </w:t>
      </w:r>
      <w:r>
        <w:rPr>
          <w:i/>
          <w:color w:val="231F20"/>
        </w:rPr>
        <w:t>Entre</w:t>
      </w:r>
      <w:r>
        <w:rPr>
          <w:i/>
          <w:color w:val="231F20"/>
          <w:spacing w:val="-17"/>
        </w:rPr>
        <w:t> </w:t>
      </w:r>
      <w:r>
        <w:rPr>
          <w:i/>
          <w:color w:val="231F20"/>
        </w:rPr>
        <w:t>el</w:t>
      </w:r>
      <w:r>
        <w:rPr>
          <w:i/>
          <w:color w:val="231F20"/>
          <w:spacing w:val="-17"/>
        </w:rPr>
        <w:t> </w:t>
      </w:r>
      <w:r>
        <w:rPr>
          <w:i/>
          <w:color w:val="231F20"/>
        </w:rPr>
        <w:t>peso</w:t>
      </w:r>
      <w:r>
        <w:rPr>
          <w:i/>
          <w:color w:val="231F20"/>
          <w:spacing w:val="-17"/>
        </w:rPr>
        <w:t> </w:t>
      </w:r>
      <w:r>
        <w:rPr>
          <w:i/>
          <w:color w:val="231F20"/>
        </w:rPr>
        <w:t>del</w:t>
      </w:r>
      <w:r>
        <w:rPr>
          <w:i/>
          <w:color w:val="231F20"/>
          <w:spacing w:val="-17"/>
        </w:rPr>
        <w:t> </w:t>
      </w:r>
      <w:r>
        <w:rPr>
          <w:i/>
          <w:color w:val="231F20"/>
        </w:rPr>
        <w:t>modelo</w:t>
      </w:r>
      <w:r>
        <w:rPr>
          <w:i/>
          <w:color w:val="231F20"/>
          <w:spacing w:val="-17"/>
        </w:rPr>
        <w:t> </w:t>
      </w:r>
      <w:r>
        <w:rPr>
          <w:i/>
          <w:color w:val="231F20"/>
        </w:rPr>
        <w:t>y</w:t>
      </w:r>
      <w:r>
        <w:rPr>
          <w:i/>
          <w:color w:val="231F20"/>
          <w:spacing w:val="-17"/>
        </w:rPr>
        <w:t> </w:t>
      </w:r>
      <w:r>
        <w:rPr>
          <w:i/>
          <w:color w:val="231F20"/>
        </w:rPr>
        <w:t>los</w:t>
      </w:r>
      <w:r>
        <w:rPr>
          <w:i/>
          <w:color w:val="231F20"/>
          <w:spacing w:val="-17"/>
        </w:rPr>
        <w:t> </w:t>
      </w:r>
      <w:r>
        <w:rPr>
          <w:i/>
          <w:color w:val="231F20"/>
        </w:rPr>
        <w:t>límites</w:t>
      </w:r>
      <w:r>
        <w:rPr>
          <w:i/>
          <w:color w:val="231F20"/>
          <w:spacing w:val="-17"/>
        </w:rPr>
        <w:t> </w:t>
      </w:r>
      <w:r>
        <w:rPr>
          <w:i/>
          <w:color w:val="231F20"/>
        </w:rPr>
        <w:t>de</w:t>
      </w:r>
      <w:r>
        <w:rPr>
          <w:i/>
          <w:color w:val="231F20"/>
          <w:spacing w:val="-17"/>
        </w:rPr>
        <w:t> </w:t>
      </w:r>
      <w:r>
        <w:rPr>
          <w:i/>
          <w:color w:val="231F20"/>
        </w:rPr>
        <w:t>la </w:t>
      </w:r>
      <w:r>
        <w:rPr>
          <w:i/>
          <w:color w:val="231F20"/>
          <w:w w:val="105"/>
        </w:rPr>
        <w:t>política en Chile</w:t>
      </w:r>
      <w:r>
        <w:rPr>
          <w:color w:val="231F20"/>
          <w:w w:val="105"/>
        </w:rPr>
        <w:t>, y el ensayo “Democratic Governability in Latin America in the context of Neoliberal Domination”. Es miembro  del Sistema Nacional de Investigadores,  </w:t>
      </w:r>
      <w:r>
        <w:rPr>
          <w:color w:val="231F20"/>
          <w:spacing w:val="47"/>
          <w:w w:val="105"/>
        </w:rPr>
        <w:t> </w:t>
      </w:r>
      <w:r>
        <w:rPr>
          <w:color w:val="231F20"/>
          <w:w w:val="105"/>
        </w:rPr>
        <w:t>sin-Conacyt.</w:t>
      </w:r>
    </w:p>
    <w:p>
      <w:pPr>
        <w:pStyle w:val="BodyText"/>
        <w:ind w:left="460"/>
        <w:jc w:val="both"/>
      </w:pPr>
      <w:r>
        <w:rPr>
          <w:color w:val="231F20"/>
          <w:w w:val="110"/>
        </w:rPr>
        <w:t>Correo electrónico: </w:t>
      </w:r>
      <w:hyperlink r:id="rId431">
        <w:r>
          <w:rPr>
            <w:color w:val="231F20"/>
            <w:w w:val="110"/>
          </w:rPr>
          <w:t>dario.salinas@uia.mx</w:t>
        </w:r>
      </w:hyperlink>
    </w:p>
    <w:p>
      <w:pPr>
        <w:pStyle w:val="BodyText"/>
        <w:spacing w:before="5"/>
        <w:rPr>
          <w:sz w:val="23"/>
        </w:rPr>
      </w:pPr>
    </w:p>
    <w:p>
      <w:pPr>
        <w:pStyle w:val="BodyText"/>
        <w:ind w:left="100" w:right="25"/>
      </w:pPr>
      <w:r>
        <w:rPr>
          <w:color w:val="231F20"/>
          <w:w w:val="130"/>
        </w:rPr>
        <w:t>luis suárez salazar</w:t>
      </w:r>
    </w:p>
    <w:p>
      <w:pPr>
        <w:pStyle w:val="BodyText"/>
        <w:spacing w:line="261" w:lineRule="auto" w:before="20"/>
        <w:ind w:left="460" w:right="117"/>
        <w:jc w:val="both"/>
      </w:pPr>
      <w:r>
        <w:rPr>
          <w:color w:val="231F20"/>
          <w:w w:val="105"/>
        </w:rPr>
        <w:t>Licenciado en Ciencias Políticas, Doctor en Ciencias Sociológicas y Doctor en Ciencias. Es profesor titular (a tiempo parcial) de       la Facultad de Filosofía e Historia, de la Cátedra “Ernesto Che Guevara” del Programa flacso-Cuba y de la Cátedra de Estudios del Caribe de la Universidad de la Habana. Es </w:t>
      </w:r>
      <w:r>
        <w:rPr>
          <w:color w:val="231F20"/>
          <w:spacing w:val="-3"/>
          <w:w w:val="105"/>
        </w:rPr>
        <w:t>autor, coautor, </w:t>
      </w:r>
      <w:r>
        <w:rPr>
          <w:color w:val="231F20"/>
          <w:w w:val="105"/>
        </w:rPr>
        <w:t>compilador o editor de cerca de cinco decenas de libros. Algunas de sus obras han recibido reconocimientos nacionales e inter- nacionales, como son: Premio  de  la  Crítica  Científico-Técnica de la Academia de Ciencias de Cuba y del Instituto Cubano del Libro y Mención Honorífica de la primera edición del “Premio Libertador al Pensamiento Crítico”,  otorgado  por  el  Ministerio de</w:t>
      </w:r>
      <w:r>
        <w:rPr>
          <w:color w:val="231F20"/>
          <w:spacing w:val="26"/>
          <w:w w:val="105"/>
        </w:rPr>
        <w:t> </w:t>
      </w:r>
      <w:r>
        <w:rPr>
          <w:color w:val="231F20"/>
          <w:w w:val="105"/>
        </w:rPr>
        <w:t>la</w:t>
      </w:r>
      <w:r>
        <w:rPr>
          <w:color w:val="231F20"/>
          <w:spacing w:val="26"/>
          <w:w w:val="105"/>
        </w:rPr>
        <w:t> </w:t>
      </w:r>
      <w:r>
        <w:rPr>
          <w:color w:val="231F20"/>
          <w:w w:val="105"/>
        </w:rPr>
        <w:t>Cultura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República</w:t>
      </w:r>
      <w:r>
        <w:rPr>
          <w:color w:val="231F20"/>
          <w:spacing w:val="26"/>
          <w:w w:val="105"/>
        </w:rPr>
        <w:t> </w:t>
      </w:r>
      <w:r>
        <w:rPr>
          <w:color w:val="231F20"/>
          <w:w w:val="105"/>
        </w:rPr>
        <w:t>Bolivariana</w:t>
      </w:r>
      <w:r>
        <w:rPr>
          <w:color w:val="231F20"/>
          <w:spacing w:val="26"/>
          <w:w w:val="105"/>
        </w:rPr>
        <w:t> </w:t>
      </w:r>
      <w:r>
        <w:rPr>
          <w:color w:val="231F20"/>
          <w:w w:val="105"/>
        </w:rPr>
        <w:t>de</w:t>
      </w:r>
      <w:r>
        <w:rPr>
          <w:color w:val="231F20"/>
          <w:spacing w:val="26"/>
          <w:w w:val="105"/>
        </w:rPr>
        <w:t> </w:t>
      </w:r>
      <w:r>
        <w:rPr>
          <w:color w:val="231F20"/>
          <w:w w:val="105"/>
        </w:rPr>
        <w:t>Venezuela.</w:t>
      </w:r>
    </w:p>
    <w:p>
      <w:pPr>
        <w:pStyle w:val="BodyText"/>
        <w:ind w:left="460"/>
        <w:jc w:val="both"/>
      </w:pPr>
      <w:r>
        <w:rPr>
          <w:color w:val="231F20"/>
          <w:w w:val="110"/>
        </w:rPr>
        <w:t>Correo electrónico: </w:t>
      </w:r>
      <w:hyperlink r:id="rId432">
        <w:r>
          <w:rPr>
            <w:color w:val="231F20"/>
            <w:w w:val="110"/>
          </w:rPr>
          <w:t>luisuarez@cubarte.cult.cu</w:t>
        </w:r>
      </w:hyperlink>
    </w:p>
    <w:p>
      <w:pPr>
        <w:pStyle w:val="BodyText"/>
        <w:spacing w:before="5"/>
        <w:rPr>
          <w:sz w:val="23"/>
        </w:rPr>
      </w:pPr>
    </w:p>
    <w:p>
      <w:pPr>
        <w:pStyle w:val="BodyText"/>
        <w:ind w:left="100" w:right="25"/>
      </w:pPr>
      <w:r>
        <w:rPr>
          <w:color w:val="231F20"/>
          <w:w w:val="125"/>
        </w:rPr>
        <w:t>silvina maría romano</w:t>
      </w:r>
    </w:p>
    <w:p>
      <w:pPr>
        <w:pStyle w:val="BodyText"/>
        <w:spacing w:line="261" w:lineRule="auto" w:before="20"/>
        <w:ind w:left="460" w:right="118"/>
        <w:jc w:val="both"/>
      </w:pPr>
      <w:r>
        <w:rPr>
          <w:color w:val="231F20"/>
          <w:spacing w:val="-3"/>
          <w:w w:val="110"/>
        </w:rPr>
        <w:t>Doctora </w:t>
      </w:r>
      <w:r>
        <w:rPr>
          <w:color w:val="231F20"/>
          <w:w w:val="110"/>
        </w:rPr>
        <w:t>en </w:t>
      </w:r>
      <w:r>
        <w:rPr>
          <w:color w:val="231F20"/>
          <w:spacing w:val="-3"/>
          <w:w w:val="110"/>
        </w:rPr>
        <w:t>Ciencia Política </w:t>
      </w:r>
      <w:r>
        <w:rPr>
          <w:color w:val="231F20"/>
          <w:w w:val="110"/>
        </w:rPr>
        <w:t>por el </w:t>
      </w:r>
      <w:r>
        <w:rPr>
          <w:color w:val="231F20"/>
          <w:spacing w:val="-3"/>
          <w:w w:val="110"/>
        </w:rPr>
        <w:t>Centro </w:t>
      </w:r>
      <w:r>
        <w:rPr>
          <w:color w:val="231F20"/>
          <w:w w:val="110"/>
        </w:rPr>
        <w:t>de </w:t>
      </w:r>
      <w:r>
        <w:rPr>
          <w:color w:val="231F20"/>
          <w:spacing w:val="-3"/>
          <w:w w:val="110"/>
        </w:rPr>
        <w:t>Estudios </w:t>
      </w:r>
      <w:r>
        <w:rPr>
          <w:color w:val="231F20"/>
          <w:spacing w:val="-4"/>
          <w:w w:val="110"/>
        </w:rPr>
        <w:t>Avanzados </w:t>
      </w:r>
      <w:r>
        <w:rPr>
          <w:color w:val="231F20"/>
          <w:w w:val="110"/>
        </w:rPr>
        <w:t>de la Universidad Nacional de Córdoba (unc), Argentina. Es </w:t>
      </w:r>
      <w:r>
        <w:rPr>
          <w:color w:val="231F20"/>
          <w:spacing w:val="-3"/>
          <w:w w:val="110"/>
        </w:rPr>
        <w:t>Licenciada </w:t>
      </w:r>
      <w:r>
        <w:rPr>
          <w:color w:val="231F20"/>
          <w:w w:val="110"/>
        </w:rPr>
        <w:t>en </w:t>
      </w:r>
      <w:r>
        <w:rPr>
          <w:color w:val="231F20"/>
          <w:spacing w:val="-3"/>
          <w:w w:val="110"/>
        </w:rPr>
        <w:t>Historia </w:t>
      </w:r>
      <w:r>
        <w:rPr>
          <w:color w:val="231F20"/>
          <w:w w:val="110"/>
        </w:rPr>
        <w:t>y </w:t>
      </w:r>
      <w:r>
        <w:rPr>
          <w:color w:val="231F20"/>
          <w:spacing w:val="-3"/>
          <w:w w:val="110"/>
        </w:rPr>
        <w:t>Licenciada </w:t>
      </w:r>
      <w:r>
        <w:rPr>
          <w:color w:val="231F20"/>
          <w:w w:val="110"/>
        </w:rPr>
        <w:t>en </w:t>
      </w:r>
      <w:r>
        <w:rPr>
          <w:color w:val="231F20"/>
          <w:spacing w:val="-3"/>
          <w:w w:val="110"/>
        </w:rPr>
        <w:t>Comunicación Social por dicha Universidad. Forma parte </w:t>
      </w:r>
      <w:r>
        <w:rPr>
          <w:color w:val="231F20"/>
          <w:w w:val="110"/>
        </w:rPr>
        <w:t>del </w:t>
      </w:r>
      <w:r>
        <w:rPr>
          <w:color w:val="231F20"/>
          <w:spacing w:val="-3"/>
          <w:w w:val="110"/>
        </w:rPr>
        <w:t>Programa </w:t>
      </w:r>
      <w:r>
        <w:rPr>
          <w:color w:val="231F20"/>
          <w:w w:val="110"/>
        </w:rPr>
        <w:t>de </w:t>
      </w:r>
      <w:r>
        <w:rPr>
          <w:color w:val="231F20"/>
          <w:spacing w:val="-3"/>
          <w:w w:val="110"/>
        </w:rPr>
        <w:t>Investigación de</w:t>
      </w:r>
    </w:p>
    <w:p>
      <w:pPr>
        <w:spacing w:after="0" w:line="261" w:lineRule="auto"/>
        <w:jc w:val="both"/>
        <w:sectPr>
          <w:headerReference w:type="default" r:id="rId429"/>
          <w:pgSz w:w="7640" w:h="11900"/>
          <w:pgMar w:header="0" w:footer="0" w:top="1000" w:bottom="280" w:left="660" w:right="760"/>
        </w:sectPr>
      </w:pPr>
    </w:p>
    <w:p>
      <w:pPr>
        <w:pStyle w:val="BodyText"/>
        <w:spacing w:line="261" w:lineRule="auto" w:before="39"/>
        <w:ind w:left="460" w:right="119"/>
        <w:jc w:val="both"/>
      </w:pPr>
      <w:r>
        <w:rPr>
          <w:color w:val="231F20"/>
          <w:spacing w:val="-3"/>
          <w:w w:val="105"/>
        </w:rPr>
        <w:t>“Multiculturalismo, Migración </w:t>
      </w:r>
      <w:r>
        <w:rPr>
          <w:color w:val="231F20"/>
          <w:w w:val="105"/>
        </w:rPr>
        <w:t>y </w:t>
      </w:r>
      <w:r>
        <w:rPr>
          <w:color w:val="231F20"/>
          <w:spacing w:val="-3"/>
          <w:w w:val="105"/>
        </w:rPr>
        <w:t>Desigualdad </w:t>
      </w:r>
      <w:r>
        <w:rPr>
          <w:color w:val="231F20"/>
          <w:w w:val="105"/>
        </w:rPr>
        <w:t>en </w:t>
      </w:r>
      <w:r>
        <w:rPr>
          <w:color w:val="231F20"/>
          <w:spacing w:val="-3"/>
          <w:w w:val="105"/>
        </w:rPr>
        <w:t>América Latina” </w:t>
      </w:r>
      <w:r>
        <w:rPr>
          <w:color w:val="231F20"/>
          <w:w w:val="105"/>
        </w:rPr>
        <w:t>del </w:t>
      </w:r>
      <w:r>
        <w:rPr>
          <w:color w:val="231F20"/>
          <w:spacing w:val="-3"/>
          <w:w w:val="105"/>
        </w:rPr>
        <w:t>Centro </w:t>
      </w:r>
      <w:r>
        <w:rPr>
          <w:color w:val="231F20"/>
          <w:w w:val="105"/>
        </w:rPr>
        <w:t>de </w:t>
      </w:r>
      <w:r>
        <w:rPr>
          <w:color w:val="231F20"/>
          <w:spacing w:val="-3"/>
          <w:w w:val="105"/>
        </w:rPr>
        <w:t>Estudios Avanzados </w:t>
      </w:r>
      <w:r>
        <w:rPr>
          <w:color w:val="231F20"/>
          <w:w w:val="105"/>
        </w:rPr>
        <w:t>de la </w:t>
      </w:r>
      <w:r>
        <w:rPr>
          <w:color w:val="231F20"/>
          <w:spacing w:val="-3"/>
          <w:w w:val="105"/>
        </w:rPr>
        <w:t>Universidad Nacional de Córdoba. </w:t>
      </w:r>
      <w:r>
        <w:rPr>
          <w:color w:val="231F20"/>
          <w:w w:val="105"/>
        </w:rPr>
        <w:t>En los </w:t>
      </w:r>
      <w:r>
        <w:rPr>
          <w:color w:val="231F20"/>
          <w:spacing w:val="-3"/>
          <w:w w:val="105"/>
        </w:rPr>
        <w:t>últimos seis años, </w:t>
      </w:r>
      <w:r>
        <w:rPr>
          <w:color w:val="231F20"/>
          <w:w w:val="105"/>
        </w:rPr>
        <w:t>ha </w:t>
      </w:r>
      <w:r>
        <w:rPr>
          <w:color w:val="231F20"/>
          <w:spacing w:val="-3"/>
          <w:w w:val="105"/>
        </w:rPr>
        <w:t>abordado </w:t>
      </w:r>
      <w:r>
        <w:rPr>
          <w:color w:val="231F20"/>
          <w:w w:val="105"/>
        </w:rPr>
        <w:t>las </w:t>
      </w:r>
      <w:r>
        <w:rPr>
          <w:color w:val="231F20"/>
          <w:spacing w:val="-3"/>
          <w:w w:val="105"/>
        </w:rPr>
        <w:t>siguientes temá- ticas: integración, desarrollo </w:t>
      </w:r>
      <w:r>
        <w:rPr>
          <w:color w:val="231F20"/>
          <w:w w:val="105"/>
        </w:rPr>
        <w:t>y </w:t>
      </w:r>
      <w:r>
        <w:rPr>
          <w:color w:val="231F20"/>
          <w:spacing w:val="-3"/>
          <w:w w:val="105"/>
        </w:rPr>
        <w:t>dependencia </w:t>
      </w:r>
      <w:r>
        <w:rPr>
          <w:color w:val="231F20"/>
          <w:w w:val="105"/>
        </w:rPr>
        <w:t>en </w:t>
      </w:r>
      <w:r>
        <w:rPr>
          <w:color w:val="231F20"/>
          <w:spacing w:val="-3"/>
          <w:w w:val="105"/>
        </w:rPr>
        <w:t>América Latina; las relaciones entre Estados Unidos </w:t>
      </w:r>
      <w:r>
        <w:rPr>
          <w:color w:val="231F20"/>
          <w:w w:val="105"/>
        </w:rPr>
        <w:t>y </w:t>
      </w:r>
      <w:r>
        <w:rPr>
          <w:color w:val="231F20"/>
          <w:spacing w:val="-3"/>
          <w:w w:val="105"/>
        </w:rPr>
        <w:t>América Latina durante </w:t>
      </w:r>
      <w:r>
        <w:rPr>
          <w:color w:val="231F20"/>
          <w:w w:val="105"/>
        </w:rPr>
        <w:t>la </w:t>
      </w:r>
      <w:r>
        <w:rPr>
          <w:color w:val="231F20"/>
          <w:spacing w:val="-3"/>
          <w:w w:val="105"/>
        </w:rPr>
        <w:t>guerra fría </w:t>
      </w:r>
      <w:r>
        <w:rPr>
          <w:color w:val="231F20"/>
          <w:spacing w:val="-9"/>
          <w:w w:val="105"/>
        </w:rPr>
        <w:t>y,  </w:t>
      </w:r>
      <w:r>
        <w:rPr>
          <w:color w:val="231F20"/>
          <w:w w:val="105"/>
        </w:rPr>
        <w:t>en la </w:t>
      </w:r>
      <w:r>
        <w:rPr>
          <w:color w:val="231F20"/>
          <w:spacing w:val="-3"/>
          <w:w w:val="105"/>
        </w:rPr>
        <w:t>actualidad, democracia </w:t>
      </w:r>
      <w:r>
        <w:rPr>
          <w:color w:val="231F20"/>
          <w:w w:val="105"/>
        </w:rPr>
        <w:t>y </w:t>
      </w:r>
      <w:r>
        <w:rPr>
          <w:color w:val="231F20"/>
          <w:spacing w:val="-3"/>
          <w:w w:val="105"/>
        </w:rPr>
        <w:t>seguridad </w:t>
      </w:r>
      <w:r>
        <w:rPr>
          <w:color w:val="231F20"/>
          <w:w w:val="105"/>
        </w:rPr>
        <w:t>en </w:t>
      </w:r>
      <w:r>
        <w:rPr>
          <w:color w:val="231F20"/>
          <w:spacing w:val="-3"/>
          <w:w w:val="105"/>
        </w:rPr>
        <w:t>Estados   Unidos.</w:t>
      </w:r>
    </w:p>
    <w:p>
      <w:pPr>
        <w:pStyle w:val="BodyText"/>
        <w:ind w:left="460"/>
        <w:jc w:val="both"/>
      </w:pPr>
      <w:r>
        <w:rPr>
          <w:color w:val="231F20"/>
          <w:w w:val="110"/>
        </w:rPr>
        <w:t>Correo electrónico: </w:t>
      </w:r>
      <w:hyperlink r:id="rId434">
        <w:r>
          <w:rPr>
            <w:color w:val="231F20"/>
            <w:w w:val="110"/>
          </w:rPr>
          <w:t>celesteromano@yahoo.com.ar</w:t>
        </w:r>
      </w:hyperlink>
    </w:p>
    <w:p>
      <w:pPr>
        <w:pStyle w:val="BodyText"/>
        <w:spacing w:before="5"/>
        <w:rPr>
          <w:sz w:val="23"/>
        </w:rPr>
      </w:pPr>
    </w:p>
    <w:p>
      <w:pPr>
        <w:pStyle w:val="BodyText"/>
        <w:ind w:left="100" w:right="25"/>
      </w:pPr>
      <w:r>
        <w:rPr>
          <w:color w:val="231F20"/>
          <w:w w:val="120"/>
        </w:rPr>
        <w:t>jaime zuluaga nieto</w:t>
      </w:r>
    </w:p>
    <w:p>
      <w:pPr>
        <w:pStyle w:val="BodyText"/>
        <w:spacing w:line="261" w:lineRule="auto" w:before="20"/>
        <w:ind w:left="460" w:right="116"/>
        <w:jc w:val="both"/>
      </w:pPr>
      <w:r>
        <w:rPr>
          <w:color w:val="231F20"/>
          <w:spacing w:val="4"/>
          <w:w w:val="110"/>
        </w:rPr>
        <w:t>Docente Investigador Universidad Externado </w:t>
      </w:r>
      <w:r>
        <w:rPr>
          <w:color w:val="231F20"/>
          <w:spacing w:val="2"/>
          <w:w w:val="110"/>
        </w:rPr>
        <w:t>de </w:t>
      </w:r>
      <w:r>
        <w:rPr>
          <w:color w:val="231F20"/>
          <w:spacing w:val="5"/>
          <w:w w:val="110"/>
        </w:rPr>
        <w:t>Colombia. </w:t>
      </w:r>
      <w:r>
        <w:rPr>
          <w:color w:val="231F20"/>
          <w:w w:val="110"/>
        </w:rPr>
        <w:t>Profesor Emérito de las Universidades Nacional de Colombia y Externado</w:t>
      </w:r>
      <w:r>
        <w:rPr>
          <w:color w:val="231F20"/>
          <w:spacing w:val="-11"/>
          <w:w w:val="110"/>
        </w:rPr>
        <w:t> </w:t>
      </w:r>
      <w:r>
        <w:rPr>
          <w:color w:val="231F20"/>
          <w:w w:val="110"/>
        </w:rPr>
        <w:t>de</w:t>
      </w:r>
      <w:r>
        <w:rPr>
          <w:color w:val="231F20"/>
          <w:spacing w:val="-11"/>
          <w:w w:val="110"/>
        </w:rPr>
        <w:t> </w:t>
      </w:r>
      <w:r>
        <w:rPr>
          <w:color w:val="231F20"/>
          <w:w w:val="110"/>
        </w:rPr>
        <w:t>Colombia.</w:t>
      </w:r>
      <w:r>
        <w:rPr>
          <w:color w:val="231F20"/>
          <w:spacing w:val="-11"/>
          <w:w w:val="110"/>
        </w:rPr>
        <w:t> </w:t>
      </w:r>
      <w:r>
        <w:rPr>
          <w:color w:val="231F20"/>
          <w:w w:val="110"/>
        </w:rPr>
        <w:t>Doctor</w:t>
      </w:r>
      <w:r>
        <w:rPr>
          <w:color w:val="231F20"/>
          <w:spacing w:val="-11"/>
          <w:w w:val="110"/>
        </w:rPr>
        <w:t> </w:t>
      </w:r>
      <w:r>
        <w:rPr>
          <w:color w:val="231F20"/>
          <w:w w:val="110"/>
        </w:rPr>
        <w:t>en</w:t>
      </w:r>
      <w:r>
        <w:rPr>
          <w:color w:val="231F20"/>
          <w:spacing w:val="-11"/>
          <w:w w:val="110"/>
        </w:rPr>
        <w:t> </w:t>
      </w:r>
      <w:r>
        <w:rPr>
          <w:color w:val="231F20"/>
          <w:w w:val="110"/>
        </w:rPr>
        <w:t>Derecho</w:t>
      </w:r>
      <w:r>
        <w:rPr>
          <w:color w:val="231F20"/>
          <w:spacing w:val="-11"/>
          <w:w w:val="110"/>
        </w:rPr>
        <w:t> </w:t>
      </w:r>
      <w:r>
        <w:rPr>
          <w:color w:val="231F20"/>
          <w:w w:val="110"/>
        </w:rPr>
        <w:t>y</w:t>
      </w:r>
      <w:r>
        <w:rPr>
          <w:color w:val="231F20"/>
          <w:spacing w:val="-11"/>
          <w:w w:val="110"/>
        </w:rPr>
        <w:t> </w:t>
      </w:r>
      <w:r>
        <w:rPr>
          <w:color w:val="231F20"/>
          <w:w w:val="110"/>
        </w:rPr>
        <w:t>Ciencias</w:t>
      </w:r>
      <w:r>
        <w:rPr>
          <w:color w:val="231F20"/>
          <w:spacing w:val="-11"/>
          <w:w w:val="110"/>
        </w:rPr>
        <w:t> </w:t>
      </w:r>
      <w:r>
        <w:rPr>
          <w:color w:val="231F20"/>
          <w:w w:val="110"/>
        </w:rPr>
        <w:t>Políticas, Máster</w:t>
      </w:r>
      <w:r>
        <w:rPr>
          <w:color w:val="231F20"/>
          <w:spacing w:val="-6"/>
          <w:w w:val="110"/>
        </w:rPr>
        <w:t> </w:t>
      </w:r>
      <w:r>
        <w:rPr>
          <w:color w:val="231F20"/>
          <w:w w:val="110"/>
        </w:rPr>
        <w:t>en</w:t>
      </w:r>
      <w:r>
        <w:rPr>
          <w:color w:val="231F20"/>
          <w:spacing w:val="-6"/>
          <w:w w:val="110"/>
        </w:rPr>
        <w:t> </w:t>
      </w:r>
      <w:r>
        <w:rPr>
          <w:color w:val="231F20"/>
          <w:w w:val="110"/>
        </w:rPr>
        <w:t>Planeación</w:t>
      </w:r>
      <w:r>
        <w:rPr>
          <w:color w:val="231F20"/>
          <w:spacing w:val="-6"/>
          <w:w w:val="110"/>
        </w:rPr>
        <w:t> </w:t>
      </w:r>
      <w:r>
        <w:rPr>
          <w:color w:val="231F20"/>
          <w:w w:val="110"/>
        </w:rPr>
        <w:t>Económica</w:t>
      </w:r>
      <w:r>
        <w:rPr>
          <w:color w:val="231F20"/>
          <w:spacing w:val="-6"/>
          <w:w w:val="110"/>
        </w:rPr>
        <w:t> </w:t>
      </w:r>
      <w:r>
        <w:rPr>
          <w:color w:val="231F20"/>
          <w:w w:val="110"/>
        </w:rPr>
        <w:t>y</w:t>
      </w:r>
      <w:r>
        <w:rPr>
          <w:color w:val="231F20"/>
          <w:spacing w:val="-6"/>
          <w:w w:val="110"/>
        </w:rPr>
        <w:t> </w:t>
      </w:r>
      <w:r>
        <w:rPr>
          <w:color w:val="231F20"/>
          <w:w w:val="110"/>
        </w:rPr>
        <w:t>Finanzas</w:t>
      </w:r>
      <w:r>
        <w:rPr>
          <w:color w:val="231F20"/>
          <w:spacing w:val="-6"/>
          <w:w w:val="110"/>
        </w:rPr>
        <w:t> </w:t>
      </w:r>
      <w:r>
        <w:rPr>
          <w:color w:val="231F20"/>
          <w:w w:val="110"/>
        </w:rPr>
        <w:t>Públicas</w:t>
      </w:r>
      <w:r>
        <w:rPr>
          <w:color w:val="231F20"/>
          <w:spacing w:val="-6"/>
          <w:w w:val="110"/>
        </w:rPr>
        <w:t> </w:t>
      </w:r>
      <w:r>
        <w:rPr>
          <w:color w:val="231F20"/>
          <w:w w:val="110"/>
        </w:rPr>
        <w:t>y</w:t>
      </w:r>
      <w:r>
        <w:rPr>
          <w:color w:val="231F20"/>
          <w:spacing w:val="-6"/>
          <w:w w:val="110"/>
        </w:rPr>
        <w:t> </w:t>
      </w:r>
      <w:r>
        <w:rPr>
          <w:color w:val="231F20"/>
          <w:w w:val="110"/>
        </w:rPr>
        <w:t>estudios de Doctorado en Sociología Política. Investigaciones sobre el conflicto interno armado en Colombia y los procesos de paz, sobre los Estados Unidos y las políticas de seguridad y defensa. Miembro del Grupo de </w:t>
      </w:r>
      <w:r>
        <w:rPr>
          <w:color w:val="231F20"/>
          <w:spacing w:val="-3"/>
          <w:w w:val="110"/>
        </w:rPr>
        <w:t>Trabajo </w:t>
      </w:r>
      <w:r>
        <w:rPr>
          <w:color w:val="231F20"/>
          <w:w w:val="110"/>
        </w:rPr>
        <w:t>de clacso de Estudios sobre Estados</w:t>
      </w:r>
      <w:r>
        <w:rPr>
          <w:color w:val="231F20"/>
          <w:spacing w:val="-25"/>
          <w:w w:val="110"/>
        </w:rPr>
        <w:t> </w:t>
      </w:r>
      <w:r>
        <w:rPr>
          <w:color w:val="231F20"/>
          <w:w w:val="110"/>
        </w:rPr>
        <w:t>Unidos.</w:t>
      </w:r>
    </w:p>
    <w:p>
      <w:pPr>
        <w:pStyle w:val="BodyText"/>
        <w:ind w:left="460"/>
        <w:jc w:val="both"/>
      </w:pPr>
      <w:r>
        <w:rPr>
          <w:color w:val="231F20"/>
          <w:w w:val="110"/>
        </w:rPr>
        <w:t>Correo electrónico: </w:t>
      </w:r>
      <w:hyperlink r:id="rId435">
        <w:r>
          <w:rPr>
            <w:color w:val="231F20"/>
            <w:w w:val="110"/>
          </w:rPr>
          <w:t>jzuluagan@yahoo.es</w:t>
        </w:r>
      </w:hyperlink>
    </w:p>
    <w:p>
      <w:pPr>
        <w:pStyle w:val="BodyText"/>
        <w:spacing w:before="5"/>
        <w:rPr>
          <w:sz w:val="23"/>
        </w:rPr>
      </w:pPr>
    </w:p>
    <w:p>
      <w:pPr>
        <w:pStyle w:val="BodyText"/>
        <w:ind w:left="100" w:right="25"/>
      </w:pPr>
      <w:r>
        <w:rPr>
          <w:color w:val="231F20"/>
          <w:w w:val="125"/>
        </w:rPr>
        <w:t>maría josé rodríguez rejas</w:t>
      </w:r>
    </w:p>
    <w:p>
      <w:pPr>
        <w:pStyle w:val="BodyText"/>
        <w:spacing w:line="261" w:lineRule="auto" w:before="20"/>
        <w:ind w:left="460" w:right="119"/>
        <w:jc w:val="both"/>
      </w:pPr>
      <w:r>
        <w:rPr>
          <w:color w:val="231F20"/>
          <w:w w:val="105"/>
        </w:rPr>
        <w:t>Socióloga. Doctora en Estudios Latinoamericanos, por la Univer- sidad Nacional Autónoma de México. Profesora-Investigadora de Tiempo Completo de la Academia de Ciencias Sociales (Antro- pología Social y Sociología) de la uacm. Tiene diversas publica- ciones relacionadas con el tema:  “La  construcción</w:t>
      </w:r>
      <w:r>
        <w:rPr>
          <w:color w:val="231F20"/>
          <w:spacing w:val="7"/>
          <w:w w:val="105"/>
        </w:rPr>
        <w:t> </w:t>
      </w:r>
      <w:r>
        <w:rPr>
          <w:color w:val="231F20"/>
          <w:w w:val="105"/>
        </w:rPr>
        <w:t>de</w:t>
      </w:r>
      <w:r>
        <w:rPr>
          <w:color w:val="231F20"/>
          <w:spacing w:val="46"/>
          <w:w w:val="105"/>
        </w:rPr>
        <w:t> </w:t>
      </w:r>
      <w:r>
        <w:rPr>
          <w:color w:val="231F20"/>
          <w:w w:val="105"/>
        </w:rPr>
        <w:t>alternati-</w:t>
      </w:r>
      <w:r>
        <w:rPr>
          <w:color w:val="231F20"/>
          <w:w w:val="72"/>
        </w:rPr>
        <w:t> </w:t>
      </w:r>
      <w:r>
        <w:rPr>
          <w:color w:val="231F20"/>
          <w:w w:val="105"/>
        </w:rPr>
        <w:t>vas</w:t>
      </w:r>
      <w:r>
        <w:rPr>
          <w:color w:val="231F20"/>
          <w:spacing w:val="33"/>
          <w:w w:val="105"/>
        </w:rPr>
        <w:t> </w:t>
      </w:r>
      <w:r>
        <w:rPr>
          <w:color w:val="231F20"/>
          <w:w w:val="105"/>
        </w:rPr>
        <w:t>políticas</w:t>
      </w:r>
      <w:r>
        <w:rPr>
          <w:color w:val="231F20"/>
          <w:spacing w:val="33"/>
          <w:w w:val="105"/>
        </w:rPr>
        <w:t> </w:t>
      </w:r>
      <w:r>
        <w:rPr>
          <w:color w:val="231F20"/>
          <w:w w:val="105"/>
        </w:rPr>
        <w:t>en</w:t>
      </w:r>
      <w:r>
        <w:rPr>
          <w:color w:val="231F20"/>
          <w:spacing w:val="33"/>
          <w:w w:val="105"/>
        </w:rPr>
        <w:t> </w:t>
      </w:r>
      <w:r>
        <w:rPr>
          <w:color w:val="231F20"/>
          <w:w w:val="105"/>
        </w:rPr>
        <w:t>México.</w:t>
      </w:r>
      <w:r>
        <w:rPr>
          <w:color w:val="231F20"/>
          <w:spacing w:val="33"/>
          <w:w w:val="105"/>
        </w:rPr>
        <w:t> </w:t>
      </w:r>
      <w:r>
        <w:rPr>
          <w:color w:val="231F20"/>
          <w:w w:val="105"/>
        </w:rPr>
        <w:t>Posibilidades</w:t>
      </w:r>
      <w:r>
        <w:rPr>
          <w:color w:val="231F20"/>
          <w:spacing w:val="33"/>
          <w:w w:val="105"/>
        </w:rPr>
        <w:t> </w:t>
      </w:r>
      <w:r>
        <w:rPr>
          <w:color w:val="231F20"/>
          <w:w w:val="105"/>
        </w:rPr>
        <w:t>y</w:t>
      </w:r>
      <w:r>
        <w:rPr>
          <w:color w:val="231F20"/>
          <w:spacing w:val="33"/>
          <w:w w:val="105"/>
        </w:rPr>
        <w:t> </w:t>
      </w:r>
      <w:r>
        <w:rPr>
          <w:color w:val="231F20"/>
          <w:w w:val="105"/>
        </w:rPr>
        <w:t>límites</w:t>
      </w:r>
      <w:r>
        <w:rPr>
          <w:color w:val="231F20"/>
          <w:spacing w:val="33"/>
          <w:w w:val="105"/>
        </w:rPr>
        <w:t> </w:t>
      </w:r>
      <w:r>
        <w:rPr>
          <w:color w:val="231F20"/>
          <w:w w:val="105"/>
        </w:rPr>
        <w:t>del</w:t>
      </w:r>
      <w:r>
        <w:rPr>
          <w:color w:val="231F20"/>
          <w:spacing w:val="33"/>
          <w:w w:val="105"/>
        </w:rPr>
        <w:t> </w:t>
      </w:r>
      <w:r>
        <w:rPr>
          <w:color w:val="231F20"/>
          <w:w w:val="105"/>
        </w:rPr>
        <w:t>movimiento</w:t>
      </w:r>
      <w:r>
        <w:rPr>
          <w:color w:val="231F20"/>
          <w:w w:val="108"/>
        </w:rPr>
        <w:t> </w:t>
      </w:r>
      <w:r>
        <w:rPr>
          <w:color w:val="231F20"/>
          <w:w w:val="105"/>
        </w:rPr>
        <w:t>popular”, en </w:t>
      </w:r>
      <w:r>
        <w:rPr>
          <w:i/>
          <w:color w:val="231F20"/>
          <w:w w:val="105"/>
        </w:rPr>
        <w:t>Revista de Estudios Latinoamericanos</w:t>
      </w:r>
      <w:r>
        <w:rPr>
          <w:color w:val="231F20"/>
          <w:w w:val="105"/>
        </w:rPr>
        <w:t>; “El proceso</w:t>
      </w:r>
      <w:r>
        <w:rPr>
          <w:color w:val="231F20"/>
          <w:spacing w:val="-27"/>
          <w:w w:val="105"/>
        </w:rPr>
        <w:t> </w:t>
      </w:r>
      <w:r>
        <w:rPr>
          <w:color w:val="231F20"/>
          <w:w w:val="105"/>
        </w:rPr>
        <w:t>de militarización en México: un caso ejemplar”, en José María Cal- derón</w:t>
      </w:r>
      <w:r>
        <w:rPr>
          <w:color w:val="231F20"/>
          <w:spacing w:val="-19"/>
          <w:w w:val="105"/>
        </w:rPr>
        <w:t> </w:t>
      </w:r>
      <w:r>
        <w:rPr>
          <w:color w:val="231F20"/>
          <w:w w:val="105"/>
        </w:rPr>
        <w:t>(coord.),</w:t>
      </w:r>
      <w:r>
        <w:rPr>
          <w:color w:val="231F20"/>
          <w:spacing w:val="-19"/>
          <w:w w:val="105"/>
        </w:rPr>
        <w:t> </w:t>
      </w:r>
      <w:r>
        <w:rPr>
          <w:i/>
          <w:color w:val="231F20"/>
          <w:w w:val="105"/>
        </w:rPr>
        <w:t>América</w:t>
      </w:r>
      <w:r>
        <w:rPr>
          <w:i/>
          <w:color w:val="231F20"/>
          <w:spacing w:val="-19"/>
          <w:w w:val="105"/>
        </w:rPr>
        <w:t> </w:t>
      </w:r>
      <w:r>
        <w:rPr>
          <w:i/>
          <w:color w:val="231F20"/>
          <w:w w:val="105"/>
        </w:rPr>
        <w:t>Latina:</w:t>
      </w:r>
      <w:r>
        <w:rPr>
          <w:i/>
          <w:color w:val="231F20"/>
          <w:spacing w:val="-19"/>
          <w:w w:val="105"/>
        </w:rPr>
        <w:t> </w:t>
      </w:r>
      <w:r>
        <w:rPr>
          <w:i/>
          <w:color w:val="231F20"/>
          <w:w w:val="105"/>
        </w:rPr>
        <w:t>Estado</w:t>
      </w:r>
      <w:r>
        <w:rPr>
          <w:i/>
          <w:color w:val="231F20"/>
          <w:spacing w:val="-19"/>
          <w:w w:val="105"/>
        </w:rPr>
        <w:t> </w:t>
      </w:r>
      <w:r>
        <w:rPr>
          <w:i/>
          <w:color w:val="231F20"/>
          <w:w w:val="105"/>
        </w:rPr>
        <w:t>y</w:t>
      </w:r>
      <w:r>
        <w:rPr>
          <w:i/>
          <w:color w:val="231F20"/>
          <w:spacing w:val="-19"/>
          <w:w w:val="105"/>
        </w:rPr>
        <w:t> </w:t>
      </w:r>
      <w:r>
        <w:rPr>
          <w:i/>
          <w:color w:val="231F20"/>
          <w:w w:val="105"/>
        </w:rPr>
        <w:t>sociedad</w:t>
      </w:r>
      <w:r>
        <w:rPr>
          <w:i/>
          <w:color w:val="231F20"/>
          <w:spacing w:val="-19"/>
          <w:w w:val="105"/>
        </w:rPr>
        <w:t> </w:t>
      </w:r>
      <w:r>
        <w:rPr>
          <w:i/>
          <w:color w:val="231F20"/>
          <w:w w:val="105"/>
        </w:rPr>
        <w:t>en</w:t>
      </w:r>
      <w:r>
        <w:rPr>
          <w:i/>
          <w:color w:val="231F20"/>
          <w:spacing w:val="-19"/>
          <w:w w:val="105"/>
        </w:rPr>
        <w:t> </w:t>
      </w:r>
      <w:r>
        <w:rPr>
          <w:i/>
          <w:color w:val="231F20"/>
          <w:w w:val="105"/>
        </w:rPr>
        <w:t>cuestión</w:t>
      </w:r>
      <w:r>
        <w:rPr>
          <w:color w:val="231F20"/>
          <w:w w:val="105"/>
        </w:rPr>
        <w:t>.</w:t>
      </w:r>
    </w:p>
    <w:p>
      <w:pPr>
        <w:pStyle w:val="BodyText"/>
        <w:ind w:left="460"/>
        <w:jc w:val="both"/>
      </w:pPr>
      <w:r>
        <w:rPr>
          <w:color w:val="231F20"/>
          <w:w w:val="105"/>
        </w:rPr>
        <w:t>Correo   electrónico:  </w:t>
      </w:r>
      <w:hyperlink r:id="rId436">
        <w:r>
          <w:rPr>
            <w:color w:val="231F20"/>
            <w:w w:val="105"/>
          </w:rPr>
          <w:t>rodriguezrejas.mariajose@gmail.com</w:t>
        </w:r>
      </w:hyperlink>
    </w:p>
    <w:p>
      <w:pPr>
        <w:pStyle w:val="BodyText"/>
        <w:spacing w:before="5"/>
        <w:rPr>
          <w:sz w:val="23"/>
        </w:rPr>
      </w:pPr>
    </w:p>
    <w:p>
      <w:pPr>
        <w:pStyle w:val="BodyText"/>
        <w:ind w:left="100" w:right="25"/>
      </w:pPr>
      <w:r>
        <w:rPr>
          <w:color w:val="231F20"/>
          <w:w w:val="135"/>
        </w:rPr>
        <w:t>catalina toro pérez</w:t>
      </w:r>
    </w:p>
    <w:p>
      <w:pPr>
        <w:pStyle w:val="BodyText"/>
        <w:spacing w:line="261" w:lineRule="auto" w:before="20"/>
        <w:ind w:left="460" w:right="117"/>
        <w:jc w:val="both"/>
      </w:pPr>
      <w:r>
        <w:rPr>
          <w:color w:val="231F20"/>
          <w:w w:val="110"/>
        </w:rPr>
        <w:t>Doctora</w:t>
      </w:r>
      <w:r>
        <w:rPr>
          <w:color w:val="231F20"/>
          <w:spacing w:val="-5"/>
          <w:w w:val="110"/>
        </w:rPr>
        <w:t> </w:t>
      </w:r>
      <w:r>
        <w:rPr>
          <w:color w:val="231F20"/>
          <w:w w:val="110"/>
        </w:rPr>
        <w:t>en</w:t>
      </w:r>
      <w:r>
        <w:rPr>
          <w:color w:val="231F20"/>
          <w:spacing w:val="-5"/>
          <w:w w:val="110"/>
        </w:rPr>
        <w:t> </w:t>
      </w:r>
      <w:r>
        <w:rPr>
          <w:color w:val="231F20"/>
          <w:w w:val="110"/>
        </w:rPr>
        <w:t>Ciencias</w:t>
      </w:r>
      <w:r>
        <w:rPr>
          <w:color w:val="231F20"/>
          <w:spacing w:val="-5"/>
          <w:w w:val="110"/>
        </w:rPr>
        <w:t> </w:t>
      </w:r>
      <w:r>
        <w:rPr>
          <w:color w:val="231F20"/>
          <w:w w:val="110"/>
        </w:rPr>
        <w:t>Políticas</w:t>
      </w:r>
      <w:r>
        <w:rPr>
          <w:color w:val="231F20"/>
          <w:spacing w:val="-5"/>
          <w:w w:val="110"/>
        </w:rPr>
        <w:t> </w:t>
      </w:r>
      <w:r>
        <w:rPr>
          <w:color w:val="231F20"/>
          <w:w w:val="110"/>
        </w:rPr>
        <w:t>del</w:t>
      </w:r>
      <w:r>
        <w:rPr>
          <w:color w:val="231F20"/>
          <w:spacing w:val="-5"/>
          <w:w w:val="110"/>
        </w:rPr>
        <w:t> </w:t>
      </w:r>
      <w:r>
        <w:rPr>
          <w:color w:val="231F20"/>
          <w:w w:val="110"/>
        </w:rPr>
        <w:t>Instituto</w:t>
      </w:r>
      <w:r>
        <w:rPr>
          <w:color w:val="231F20"/>
          <w:spacing w:val="-5"/>
          <w:w w:val="110"/>
        </w:rPr>
        <w:t> </w:t>
      </w:r>
      <w:r>
        <w:rPr>
          <w:color w:val="231F20"/>
          <w:w w:val="110"/>
        </w:rPr>
        <w:t>de</w:t>
      </w:r>
      <w:r>
        <w:rPr>
          <w:color w:val="231F20"/>
          <w:spacing w:val="-5"/>
          <w:w w:val="110"/>
        </w:rPr>
        <w:t> </w:t>
      </w:r>
      <w:r>
        <w:rPr>
          <w:color w:val="231F20"/>
          <w:w w:val="110"/>
        </w:rPr>
        <w:t>Altos</w:t>
      </w:r>
      <w:r>
        <w:rPr>
          <w:color w:val="231F20"/>
          <w:spacing w:val="-5"/>
          <w:w w:val="110"/>
        </w:rPr>
        <w:t> </w:t>
      </w:r>
      <w:r>
        <w:rPr>
          <w:color w:val="231F20"/>
          <w:w w:val="110"/>
        </w:rPr>
        <w:t>Estudios</w:t>
      </w:r>
      <w:r>
        <w:rPr>
          <w:color w:val="231F20"/>
          <w:spacing w:val="-5"/>
          <w:w w:val="110"/>
        </w:rPr>
        <w:t> </w:t>
      </w:r>
      <w:r>
        <w:rPr>
          <w:color w:val="231F20"/>
          <w:w w:val="110"/>
        </w:rPr>
        <w:t>Po- líticos de París, Francia. Profesora del Departamento de Ciencia Política en la Universidad Nacional de Colombia. Coordinadora de la Maestría de Biociencias y Derecho y el Grupo de inves- </w:t>
      </w:r>
      <w:r>
        <w:rPr>
          <w:color w:val="231F20"/>
          <w:spacing w:val="2"/>
          <w:w w:val="110"/>
        </w:rPr>
        <w:t>tigación </w:t>
      </w:r>
      <w:r>
        <w:rPr>
          <w:color w:val="231F20"/>
          <w:w w:val="110"/>
        </w:rPr>
        <w:t>en </w:t>
      </w:r>
      <w:r>
        <w:rPr>
          <w:color w:val="231F20"/>
          <w:spacing w:val="2"/>
          <w:w w:val="110"/>
        </w:rPr>
        <w:t>Derecho </w:t>
      </w:r>
      <w:r>
        <w:rPr>
          <w:color w:val="231F20"/>
          <w:w w:val="110"/>
        </w:rPr>
        <w:t>y </w:t>
      </w:r>
      <w:r>
        <w:rPr>
          <w:color w:val="231F20"/>
          <w:spacing w:val="2"/>
          <w:w w:val="110"/>
        </w:rPr>
        <w:t>Política Ambiental </w:t>
      </w:r>
      <w:r>
        <w:rPr>
          <w:color w:val="231F20"/>
          <w:w w:val="110"/>
        </w:rPr>
        <w:t>de la </w:t>
      </w:r>
      <w:r>
        <w:rPr>
          <w:color w:val="231F20"/>
          <w:spacing w:val="3"/>
          <w:w w:val="110"/>
        </w:rPr>
        <w:t>Universidad </w:t>
      </w:r>
      <w:r>
        <w:rPr>
          <w:color w:val="231F20"/>
          <w:w w:val="110"/>
        </w:rPr>
        <w:t>Nacional de Colombia. Entre otros, ha publicado los </w:t>
      </w:r>
      <w:r>
        <w:rPr>
          <w:color w:val="231F20"/>
          <w:spacing w:val="33"/>
          <w:w w:val="110"/>
        </w:rPr>
        <w:t> </w:t>
      </w:r>
      <w:r>
        <w:rPr>
          <w:color w:val="231F20"/>
          <w:w w:val="110"/>
        </w:rPr>
        <w:t>siguientes</w:t>
      </w:r>
    </w:p>
    <w:p>
      <w:pPr>
        <w:spacing w:after="0" w:line="261" w:lineRule="auto"/>
        <w:jc w:val="both"/>
        <w:sectPr>
          <w:headerReference w:type="even" r:id="rId433"/>
          <w:pgSz w:w="7640" w:h="11900"/>
          <w:pgMar w:header="0" w:footer="0" w:top="1000" w:bottom="280" w:left="780" w:right="640"/>
        </w:sectPr>
      </w:pPr>
    </w:p>
    <w:p>
      <w:pPr>
        <w:pStyle w:val="BodyText"/>
        <w:spacing w:line="261" w:lineRule="auto" w:before="39"/>
        <w:ind w:left="460" w:right="114"/>
        <w:jc w:val="both"/>
      </w:pPr>
      <w:r>
        <w:rPr>
          <w:color w:val="231F20"/>
          <w:w w:val="105"/>
        </w:rPr>
        <w:t>artículos:“Introducción: ¿Derecho y política en la era de la sos- tenibilidad?”, en </w:t>
      </w:r>
      <w:r>
        <w:rPr>
          <w:i/>
          <w:color w:val="231F20"/>
          <w:w w:val="105"/>
        </w:rPr>
        <w:t>Revista Pensamiento Jurídico </w:t>
      </w:r>
      <w:r>
        <w:rPr>
          <w:color w:val="231F20"/>
          <w:w w:val="105"/>
        </w:rPr>
        <w:t>y “La</w:t>
      </w:r>
      <w:r>
        <w:rPr>
          <w:color w:val="231F20"/>
          <w:spacing w:val="-30"/>
          <w:w w:val="105"/>
        </w:rPr>
        <w:t> </w:t>
      </w:r>
      <w:r>
        <w:rPr>
          <w:color w:val="231F20"/>
          <w:w w:val="105"/>
        </w:rPr>
        <w:t>biodiversidad tropical: ¿El retorno a los fundamentos del evolucionismo social? Herencia colonial, ciencia y  teorías  racialistas  en  los  albores  del siglo xxi”. Publicó, con Bernd Marquardt, </w:t>
      </w:r>
      <w:r>
        <w:rPr>
          <w:i/>
          <w:color w:val="231F20"/>
          <w:w w:val="105"/>
        </w:rPr>
        <w:t>Quince años de la </w:t>
      </w:r>
      <w:r>
        <w:rPr>
          <w:i/>
          <w:color w:val="231F20"/>
          <w:w w:val="105"/>
        </w:rPr>
        <w:t>Política Ambiental en Colombia </w:t>
      </w:r>
      <w:r>
        <w:rPr>
          <w:color w:val="231F20"/>
          <w:w w:val="105"/>
        </w:rPr>
        <w:t>y el artículo, “Quince años de ne- gociación de la biodiversidad colombiana: desde la convención    de la diversidad biológica hasta las </w:t>
      </w:r>
      <w:r>
        <w:rPr>
          <w:color w:val="231F20"/>
          <w:w w:val="130"/>
        </w:rPr>
        <w:t>tlc </w:t>
      </w:r>
      <w:r>
        <w:rPr>
          <w:color w:val="231F20"/>
          <w:w w:val="105"/>
        </w:rPr>
        <w:t>con los Estados Unidos      y  la  Unión</w:t>
      </w:r>
      <w:r>
        <w:rPr>
          <w:color w:val="231F20"/>
          <w:spacing w:val="-19"/>
          <w:w w:val="105"/>
        </w:rPr>
        <w:t> </w:t>
      </w:r>
      <w:r>
        <w:rPr>
          <w:color w:val="231F20"/>
          <w:w w:val="105"/>
        </w:rPr>
        <w:t>Europea”.</w:t>
      </w:r>
    </w:p>
    <w:p>
      <w:pPr>
        <w:pStyle w:val="BodyText"/>
        <w:ind w:left="460"/>
        <w:jc w:val="both"/>
      </w:pPr>
      <w:r>
        <w:rPr>
          <w:color w:val="231F20"/>
          <w:w w:val="110"/>
        </w:rPr>
        <w:t>Correo electrónico: </w:t>
      </w:r>
      <w:hyperlink r:id="rId438">
        <w:r>
          <w:rPr>
            <w:color w:val="231F20"/>
            <w:w w:val="110"/>
          </w:rPr>
          <w:t>toroperez.catalina1@gmail.com</w:t>
        </w:r>
      </w:hyperlink>
    </w:p>
    <w:p>
      <w:pPr>
        <w:pStyle w:val="BodyText"/>
        <w:spacing w:before="5"/>
        <w:rPr>
          <w:sz w:val="23"/>
        </w:rPr>
      </w:pPr>
    </w:p>
    <w:p>
      <w:pPr>
        <w:pStyle w:val="BodyText"/>
        <w:ind w:left="100" w:right="25"/>
      </w:pPr>
      <w:r>
        <w:rPr>
          <w:color w:val="231F20"/>
          <w:w w:val="125"/>
        </w:rPr>
        <w:t>gian carlo delgado ramos</w:t>
      </w:r>
    </w:p>
    <w:p>
      <w:pPr>
        <w:pStyle w:val="BodyText"/>
        <w:spacing w:line="261" w:lineRule="auto" w:before="20"/>
        <w:ind w:left="460" w:right="111"/>
        <w:jc w:val="both"/>
      </w:pPr>
      <w:r>
        <w:rPr>
          <w:color w:val="231F20"/>
          <w:w w:val="105"/>
        </w:rPr>
        <w:t>Economista graduado con honores por la Universidad Nacional Autónoma de México (2001). Ha  recibido  el  grado  de  maes- tría</w:t>
      </w:r>
      <w:r>
        <w:rPr>
          <w:color w:val="231F20"/>
          <w:spacing w:val="-9"/>
          <w:w w:val="105"/>
        </w:rPr>
        <w:t> </w:t>
      </w:r>
      <w:r>
        <w:rPr>
          <w:color w:val="231F20"/>
          <w:w w:val="105"/>
        </w:rPr>
        <w:t>en</w:t>
      </w:r>
      <w:r>
        <w:rPr>
          <w:color w:val="231F20"/>
          <w:spacing w:val="-9"/>
          <w:w w:val="105"/>
        </w:rPr>
        <w:t> </w:t>
      </w:r>
      <w:r>
        <w:rPr>
          <w:i/>
          <w:color w:val="231F20"/>
          <w:w w:val="105"/>
        </w:rPr>
        <w:t>Economía</w:t>
      </w:r>
      <w:r>
        <w:rPr>
          <w:i/>
          <w:color w:val="231F20"/>
          <w:spacing w:val="-9"/>
          <w:w w:val="105"/>
        </w:rPr>
        <w:t> </w:t>
      </w:r>
      <w:r>
        <w:rPr>
          <w:i/>
          <w:color w:val="231F20"/>
          <w:w w:val="105"/>
        </w:rPr>
        <w:t>Ecológica</w:t>
      </w:r>
      <w:r>
        <w:rPr>
          <w:i/>
          <w:color w:val="231F20"/>
          <w:spacing w:val="-9"/>
          <w:w w:val="105"/>
        </w:rPr>
        <w:t> </w:t>
      </w:r>
      <w:r>
        <w:rPr>
          <w:i/>
          <w:color w:val="231F20"/>
          <w:w w:val="105"/>
        </w:rPr>
        <w:t>y</w:t>
      </w:r>
      <w:r>
        <w:rPr>
          <w:i/>
          <w:color w:val="231F20"/>
          <w:spacing w:val="-9"/>
          <w:w w:val="105"/>
        </w:rPr>
        <w:t> </w:t>
      </w:r>
      <w:r>
        <w:rPr>
          <w:i/>
          <w:color w:val="231F20"/>
          <w:w w:val="105"/>
        </w:rPr>
        <w:t>Gestión</w:t>
      </w:r>
      <w:r>
        <w:rPr>
          <w:i/>
          <w:color w:val="231F20"/>
          <w:spacing w:val="-9"/>
          <w:w w:val="105"/>
        </w:rPr>
        <w:t> </w:t>
      </w:r>
      <w:r>
        <w:rPr>
          <w:i/>
          <w:color w:val="231F20"/>
          <w:w w:val="105"/>
        </w:rPr>
        <w:t>Ambiental</w:t>
      </w:r>
      <w:r>
        <w:rPr>
          <w:i/>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Universidad </w:t>
      </w:r>
      <w:r>
        <w:rPr>
          <w:color w:val="231F20"/>
          <w:spacing w:val="3"/>
          <w:w w:val="105"/>
        </w:rPr>
        <w:t>Autónoma </w:t>
      </w:r>
      <w:r>
        <w:rPr>
          <w:color w:val="231F20"/>
          <w:w w:val="105"/>
        </w:rPr>
        <w:t>de </w:t>
      </w:r>
      <w:r>
        <w:rPr>
          <w:color w:val="231F20"/>
          <w:spacing w:val="3"/>
          <w:w w:val="105"/>
        </w:rPr>
        <w:t>Barcelona (2004) </w:t>
      </w:r>
      <w:r>
        <w:rPr>
          <w:color w:val="231F20"/>
          <w:w w:val="105"/>
        </w:rPr>
        <w:t>y el </w:t>
      </w:r>
      <w:r>
        <w:rPr>
          <w:color w:val="231F20"/>
          <w:spacing w:val="3"/>
          <w:w w:val="105"/>
        </w:rPr>
        <w:t>doctorado </w:t>
      </w:r>
      <w:r>
        <w:rPr>
          <w:color w:val="231F20"/>
          <w:w w:val="105"/>
        </w:rPr>
        <w:t>en </w:t>
      </w:r>
      <w:r>
        <w:rPr>
          <w:color w:val="231F20"/>
          <w:spacing w:val="4"/>
          <w:w w:val="105"/>
        </w:rPr>
        <w:t>Ciencias </w:t>
      </w:r>
      <w:r>
        <w:rPr>
          <w:color w:val="231F20"/>
          <w:w w:val="105"/>
        </w:rPr>
        <w:t>Ambientales por la misma universidad. Investigador de tiempo completo por la Centro de Investigaciones Interdisciplinarias en Ciencias y Humanidades por la unam y profesor en la Facultad    de Ciencias Políticas y Sociales y en la Facultad de Filosofía y Letras en la misma universidad. Miembro del Sistema Nacional   de Investigadores del Conacyt. Su reciente publicación es: </w:t>
      </w:r>
      <w:r>
        <w:rPr>
          <w:i/>
          <w:color w:val="231F20"/>
          <w:w w:val="105"/>
        </w:rPr>
        <w:t>México </w:t>
      </w:r>
      <w:r>
        <w:rPr>
          <w:i/>
          <w:color w:val="231F20"/>
          <w:w w:val="95"/>
        </w:rPr>
        <w:t>ante el cambio</w:t>
      </w:r>
      <w:r>
        <w:rPr>
          <w:i/>
          <w:color w:val="231F20"/>
          <w:spacing w:val="13"/>
          <w:w w:val="95"/>
        </w:rPr>
        <w:t> </w:t>
      </w:r>
      <w:r>
        <w:rPr>
          <w:i/>
          <w:color w:val="231F20"/>
          <w:w w:val="95"/>
        </w:rPr>
        <w:t>climático</w:t>
      </w:r>
      <w:r>
        <w:rPr>
          <w:color w:val="231F20"/>
          <w:w w:val="95"/>
        </w:rPr>
        <w:t>.</w:t>
      </w:r>
    </w:p>
    <w:p>
      <w:pPr>
        <w:pStyle w:val="BodyText"/>
        <w:ind w:left="460"/>
        <w:jc w:val="both"/>
      </w:pPr>
      <w:r>
        <w:rPr>
          <w:color w:val="231F20"/>
          <w:w w:val="110"/>
        </w:rPr>
        <w:t>Correo electrónico: </w:t>
      </w:r>
      <w:hyperlink r:id="rId439">
        <w:r>
          <w:rPr>
            <w:color w:val="231F20"/>
            <w:w w:val="110"/>
          </w:rPr>
          <w:t>giandelgado@unam.mx</w:t>
        </w:r>
      </w:hyperlink>
    </w:p>
    <w:p>
      <w:pPr>
        <w:spacing w:after="0"/>
        <w:jc w:val="both"/>
        <w:sectPr>
          <w:headerReference w:type="default" r:id="rId437"/>
          <w:pgSz w:w="7640" w:h="11900"/>
          <w:pgMar w:header="0" w:footer="0" w:top="1000" w:bottom="280" w:left="660" w:right="760"/>
        </w:sectPr>
      </w:pPr>
    </w:p>
    <w:p>
      <w:pPr>
        <w:pStyle w:val="BodyText"/>
        <w:spacing w:before="4"/>
        <w:rPr>
          <w:sz w:val="17"/>
        </w:rPr>
      </w:pPr>
    </w:p>
    <w:p>
      <w:pPr>
        <w:spacing w:after="0"/>
        <w:rPr>
          <w:sz w:val="17"/>
        </w:rPr>
        <w:sectPr>
          <w:headerReference w:type="even" r:id="rId440"/>
          <w:pgSz w:w="7640" w:h="11900"/>
          <w:pgMar w:header="0" w:footer="0" w:top="1100" w:bottom="280" w:left="1040" w:right="1040"/>
        </w:sectPr>
      </w:pPr>
    </w:p>
    <w:p>
      <w:pPr>
        <w:pStyle w:val="BodyText"/>
        <w:spacing w:before="39"/>
        <w:ind w:left="100" w:right="25"/>
      </w:pPr>
      <w:r>
        <w:rPr>
          <w:color w:val="231F20"/>
          <w:w w:val="105"/>
        </w:rPr>
        <w:t>ÍNDICE</w:t>
      </w:r>
    </w:p>
    <w:p>
      <w:pPr>
        <w:pStyle w:val="BodyText"/>
      </w:pPr>
    </w:p>
    <w:p>
      <w:pPr>
        <w:pStyle w:val="BodyText"/>
      </w:pPr>
    </w:p>
    <w:p>
      <w:pPr>
        <w:pStyle w:val="BodyText"/>
      </w:pPr>
    </w:p>
    <w:p>
      <w:pPr>
        <w:pStyle w:val="BodyText"/>
      </w:pPr>
    </w:p>
    <w:p>
      <w:pPr>
        <w:pStyle w:val="BodyText"/>
      </w:pPr>
    </w:p>
    <w:p>
      <w:pPr>
        <w:pStyle w:val="BodyText"/>
        <w:spacing w:before="10"/>
        <w:rPr>
          <w:sz w:val="19"/>
        </w:rPr>
      </w:pPr>
    </w:p>
    <w:p>
      <w:pPr>
        <w:spacing w:before="0"/>
        <w:ind w:left="100" w:right="25" w:firstLine="0"/>
        <w:jc w:val="left"/>
        <w:rPr>
          <w:sz w:val="18"/>
        </w:rPr>
      </w:pPr>
      <w:r>
        <w:rPr>
          <w:color w:val="231F20"/>
          <w:w w:val="105"/>
          <w:sz w:val="18"/>
        </w:rPr>
        <w:t>PRESENTACIÓN</w:t>
      </w:r>
    </w:p>
    <w:p>
      <w:pPr>
        <w:tabs>
          <w:tab w:pos="6099" w:val="right" w:leader="none"/>
        </w:tabs>
        <w:spacing w:before="13"/>
        <w:ind w:left="580" w:right="0" w:firstLine="0"/>
        <w:jc w:val="left"/>
        <w:rPr>
          <w:sz w:val="18"/>
        </w:rPr>
      </w:pPr>
      <w:r>
        <w:rPr>
          <w:i/>
          <w:color w:val="231F20"/>
          <w:w w:val="115"/>
          <w:sz w:val="18"/>
        </w:rPr>
        <w:t>por </w:t>
      </w:r>
      <w:r>
        <w:rPr>
          <w:color w:val="231F20"/>
          <w:w w:val="120"/>
          <w:sz w:val="18"/>
        </w:rPr>
        <w:t>theotonio</w:t>
      </w:r>
      <w:r>
        <w:rPr>
          <w:color w:val="231F20"/>
          <w:spacing w:val="12"/>
          <w:w w:val="120"/>
          <w:sz w:val="18"/>
        </w:rPr>
        <w:t> </w:t>
      </w:r>
      <w:r>
        <w:rPr>
          <w:color w:val="231F20"/>
          <w:w w:val="120"/>
          <w:sz w:val="18"/>
        </w:rPr>
        <w:t>dos</w:t>
      </w:r>
      <w:r>
        <w:rPr>
          <w:color w:val="231F20"/>
          <w:spacing w:val="4"/>
          <w:w w:val="120"/>
          <w:sz w:val="18"/>
        </w:rPr>
        <w:t> </w:t>
      </w:r>
      <w:r>
        <w:rPr>
          <w:color w:val="231F20"/>
          <w:w w:val="120"/>
          <w:sz w:val="18"/>
        </w:rPr>
        <w:t>santos</w:t>
        <w:tab/>
        <w:t>7</w:t>
      </w:r>
    </w:p>
    <w:p>
      <w:pPr>
        <w:spacing w:before="133"/>
        <w:ind w:left="100" w:right="25" w:firstLine="0"/>
        <w:jc w:val="left"/>
        <w:rPr>
          <w:sz w:val="18"/>
        </w:rPr>
      </w:pPr>
      <w:r>
        <w:rPr>
          <w:color w:val="231F20"/>
          <w:w w:val="105"/>
          <w:sz w:val="18"/>
        </w:rPr>
        <w:t>PRÓLOGO</w:t>
      </w:r>
    </w:p>
    <w:p>
      <w:pPr>
        <w:tabs>
          <w:tab w:pos="6099" w:val="right" w:leader="none"/>
        </w:tabs>
        <w:spacing w:before="13"/>
        <w:ind w:left="580" w:right="0" w:firstLine="0"/>
        <w:jc w:val="left"/>
        <w:rPr>
          <w:sz w:val="18"/>
        </w:rPr>
      </w:pPr>
      <w:r>
        <w:rPr>
          <w:i/>
          <w:color w:val="231F20"/>
          <w:w w:val="115"/>
          <w:sz w:val="18"/>
        </w:rPr>
        <w:t>por</w:t>
      </w:r>
      <w:r>
        <w:rPr>
          <w:i/>
          <w:color w:val="231F20"/>
          <w:spacing w:val="6"/>
          <w:w w:val="115"/>
          <w:sz w:val="18"/>
        </w:rPr>
        <w:t> </w:t>
      </w:r>
      <w:r>
        <w:rPr>
          <w:color w:val="231F20"/>
          <w:w w:val="115"/>
          <w:sz w:val="18"/>
        </w:rPr>
        <w:t>john</w:t>
      </w:r>
      <w:r>
        <w:rPr>
          <w:color w:val="231F20"/>
          <w:spacing w:val="6"/>
          <w:w w:val="115"/>
          <w:sz w:val="18"/>
        </w:rPr>
        <w:t> </w:t>
      </w:r>
      <w:r>
        <w:rPr>
          <w:color w:val="231F20"/>
          <w:w w:val="115"/>
          <w:sz w:val="18"/>
        </w:rPr>
        <w:t>saxe-fernández</w:t>
        <w:tab/>
        <w:t>13</w:t>
      </w:r>
    </w:p>
    <w:p>
      <w:pPr>
        <w:spacing w:before="133"/>
        <w:ind w:left="100" w:right="25" w:firstLine="0"/>
        <w:jc w:val="left"/>
        <w:rPr>
          <w:sz w:val="18"/>
        </w:rPr>
      </w:pPr>
      <w:r>
        <w:rPr>
          <w:color w:val="231F20"/>
          <w:w w:val="105"/>
          <w:sz w:val="18"/>
        </w:rPr>
        <w:t>INTRODUCCIÓN.</w:t>
      </w:r>
    </w:p>
    <w:p>
      <w:pPr>
        <w:spacing w:before="13"/>
        <w:ind w:left="100" w:right="25" w:firstLine="0"/>
        <w:jc w:val="left"/>
        <w:rPr>
          <w:sz w:val="18"/>
        </w:rPr>
      </w:pPr>
      <w:r>
        <w:rPr>
          <w:color w:val="231F20"/>
          <w:sz w:val="18"/>
        </w:rPr>
        <w:t>ESTADOS UNIDOS EN LA ENCRUCIJADA   GLOBAL</w:t>
      </w:r>
    </w:p>
    <w:p>
      <w:pPr>
        <w:spacing w:before="13"/>
        <w:ind w:left="580" w:right="25" w:firstLine="0"/>
        <w:jc w:val="left"/>
        <w:rPr>
          <w:sz w:val="18"/>
        </w:rPr>
      </w:pPr>
      <w:r>
        <w:rPr>
          <w:i/>
          <w:color w:val="231F20"/>
          <w:w w:val="115"/>
          <w:sz w:val="18"/>
        </w:rPr>
        <w:t>por </w:t>
      </w:r>
      <w:r>
        <w:rPr>
          <w:color w:val="231F20"/>
          <w:w w:val="120"/>
          <w:sz w:val="18"/>
        </w:rPr>
        <w:t>dídimo castillo</w:t>
      </w:r>
      <w:r>
        <w:rPr>
          <w:color w:val="231F20"/>
          <w:spacing w:val="53"/>
          <w:w w:val="120"/>
          <w:sz w:val="18"/>
        </w:rPr>
        <w:t> </w:t>
      </w:r>
      <w:r>
        <w:rPr>
          <w:color w:val="231F20"/>
          <w:w w:val="120"/>
          <w:sz w:val="18"/>
        </w:rPr>
        <w:t>fernández</w:t>
      </w:r>
    </w:p>
    <w:p>
      <w:pPr>
        <w:tabs>
          <w:tab w:pos="6099" w:val="right" w:leader="none"/>
        </w:tabs>
        <w:spacing w:before="13"/>
        <w:ind w:left="580" w:right="0" w:firstLine="0"/>
        <w:jc w:val="left"/>
        <w:rPr>
          <w:sz w:val="18"/>
        </w:rPr>
      </w:pPr>
      <w:r>
        <w:rPr>
          <w:i/>
          <w:color w:val="231F20"/>
          <w:w w:val="115"/>
          <w:sz w:val="18"/>
        </w:rPr>
        <w:t>y </w:t>
      </w:r>
      <w:r>
        <w:rPr>
          <w:color w:val="231F20"/>
          <w:w w:val="115"/>
          <w:sz w:val="18"/>
        </w:rPr>
        <w:t>marco a.</w:t>
      </w:r>
      <w:r>
        <w:rPr>
          <w:color w:val="231F20"/>
          <w:spacing w:val="22"/>
          <w:w w:val="115"/>
          <w:sz w:val="18"/>
        </w:rPr>
        <w:t> </w:t>
      </w:r>
      <w:r>
        <w:rPr>
          <w:color w:val="231F20"/>
          <w:w w:val="115"/>
          <w:sz w:val="18"/>
        </w:rPr>
        <w:t>gandásegui,</w:t>
      </w:r>
      <w:r>
        <w:rPr>
          <w:color w:val="231F20"/>
          <w:spacing w:val="7"/>
          <w:w w:val="115"/>
          <w:sz w:val="18"/>
        </w:rPr>
        <w:t> </w:t>
      </w:r>
      <w:r>
        <w:rPr>
          <w:color w:val="231F20"/>
          <w:w w:val="115"/>
          <w:sz w:val="18"/>
        </w:rPr>
        <w:t>hijo</w:t>
        <w:tab/>
        <w:t>23</w:t>
      </w:r>
    </w:p>
    <w:p>
      <w:pPr>
        <w:tabs>
          <w:tab w:pos="6099" w:val="right" w:leader="none"/>
        </w:tabs>
        <w:spacing w:before="133"/>
        <w:ind w:left="100" w:right="0" w:firstLine="0"/>
        <w:jc w:val="left"/>
        <w:rPr>
          <w:sz w:val="18"/>
        </w:rPr>
      </w:pPr>
      <w:r>
        <w:rPr>
          <w:color w:val="231F20"/>
          <w:sz w:val="18"/>
        </w:rPr>
        <w:t>CRISIS MUNDIAL O CRISIS </w:t>
      </w:r>
      <w:r>
        <w:rPr>
          <w:color w:val="231F20"/>
          <w:spacing w:val="13"/>
          <w:sz w:val="18"/>
        </w:rPr>
        <w:t> </w:t>
      </w:r>
      <w:r>
        <w:rPr>
          <w:color w:val="231F20"/>
          <w:sz w:val="18"/>
        </w:rPr>
        <w:t>DEL</w:t>
      </w:r>
      <w:r>
        <w:rPr>
          <w:color w:val="231F20"/>
          <w:spacing w:val="14"/>
          <w:sz w:val="18"/>
        </w:rPr>
        <w:t> </w:t>
      </w:r>
      <w:r>
        <w:rPr>
          <w:color w:val="231F20"/>
          <w:sz w:val="18"/>
        </w:rPr>
        <w:t>CAPITALISMO</w:t>
        <w:tab/>
        <w:t>39</w:t>
      </w:r>
    </w:p>
    <w:p>
      <w:pPr>
        <w:spacing w:line="254" w:lineRule="auto" w:before="133"/>
        <w:ind w:left="380" w:right="1594" w:firstLine="0"/>
        <w:jc w:val="left"/>
        <w:rPr>
          <w:sz w:val="18"/>
        </w:rPr>
      </w:pPr>
      <w:r>
        <w:rPr>
          <w:color w:val="231F20"/>
          <w:sz w:val="18"/>
        </w:rPr>
        <w:t>CRISIS ESTRUCTURAL Y CRISIS DE COYUNTURA EN  EL  CAPITALISMO CONTEMPORÁNEO</w:t>
      </w:r>
    </w:p>
    <w:p>
      <w:pPr>
        <w:tabs>
          <w:tab w:pos="6099" w:val="right" w:leader="none"/>
        </w:tabs>
        <w:spacing w:before="1"/>
        <w:ind w:left="580" w:right="0" w:firstLine="0"/>
        <w:jc w:val="left"/>
        <w:rPr>
          <w:sz w:val="18"/>
        </w:rPr>
      </w:pPr>
      <w:r>
        <w:rPr>
          <w:i/>
          <w:color w:val="231F20"/>
          <w:w w:val="115"/>
          <w:sz w:val="18"/>
        </w:rPr>
        <w:t>por </w:t>
      </w:r>
      <w:r>
        <w:rPr>
          <w:color w:val="231F20"/>
          <w:w w:val="120"/>
          <w:sz w:val="18"/>
        </w:rPr>
        <w:t>theotonio</w:t>
      </w:r>
      <w:r>
        <w:rPr>
          <w:color w:val="231F20"/>
          <w:spacing w:val="11"/>
          <w:w w:val="120"/>
          <w:sz w:val="18"/>
        </w:rPr>
        <w:t> </w:t>
      </w:r>
      <w:r>
        <w:rPr>
          <w:color w:val="231F20"/>
          <w:w w:val="120"/>
          <w:sz w:val="18"/>
        </w:rPr>
        <w:t>dos</w:t>
      </w:r>
      <w:r>
        <w:rPr>
          <w:color w:val="231F20"/>
          <w:spacing w:val="4"/>
          <w:w w:val="120"/>
          <w:sz w:val="18"/>
        </w:rPr>
        <w:t> </w:t>
      </w:r>
      <w:r>
        <w:rPr>
          <w:color w:val="231F20"/>
          <w:w w:val="120"/>
          <w:sz w:val="18"/>
        </w:rPr>
        <w:t>santos</w:t>
        <w:tab/>
        <w:t>41</w:t>
      </w:r>
    </w:p>
    <w:p>
      <w:pPr>
        <w:spacing w:line="254" w:lineRule="auto" w:before="133"/>
        <w:ind w:left="380" w:right="1339" w:firstLine="0"/>
        <w:jc w:val="left"/>
        <w:rPr>
          <w:sz w:val="18"/>
        </w:rPr>
      </w:pPr>
      <w:r>
        <w:rPr>
          <w:color w:val="231F20"/>
          <w:sz w:val="18"/>
        </w:rPr>
        <w:t>LA TEORÍA DE LA CONYUNTURA Y LA CRISIS CONTEMPORÁNEA</w:t>
      </w:r>
    </w:p>
    <w:p>
      <w:pPr>
        <w:tabs>
          <w:tab w:pos="6099" w:val="right" w:leader="none"/>
        </w:tabs>
        <w:spacing w:before="1"/>
        <w:ind w:left="580" w:right="0" w:firstLine="0"/>
        <w:jc w:val="left"/>
        <w:rPr>
          <w:sz w:val="18"/>
        </w:rPr>
      </w:pPr>
      <w:r>
        <w:rPr>
          <w:i/>
          <w:color w:val="231F20"/>
          <w:w w:val="115"/>
          <w:sz w:val="18"/>
        </w:rPr>
        <w:t>por </w:t>
      </w:r>
      <w:r>
        <w:rPr>
          <w:color w:val="231F20"/>
          <w:w w:val="120"/>
          <w:sz w:val="18"/>
        </w:rPr>
        <w:t>carlos</w:t>
      </w:r>
      <w:r>
        <w:rPr>
          <w:color w:val="231F20"/>
          <w:spacing w:val="11"/>
          <w:w w:val="120"/>
          <w:sz w:val="18"/>
        </w:rPr>
        <w:t> </w:t>
      </w:r>
      <w:r>
        <w:rPr>
          <w:color w:val="231F20"/>
          <w:w w:val="120"/>
          <w:sz w:val="18"/>
        </w:rPr>
        <w:t>eduardo</w:t>
      </w:r>
      <w:r>
        <w:rPr>
          <w:color w:val="231F20"/>
          <w:spacing w:val="4"/>
          <w:w w:val="120"/>
          <w:sz w:val="18"/>
        </w:rPr>
        <w:t> </w:t>
      </w:r>
      <w:r>
        <w:rPr>
          <w:color w:val="231F20"/>
          <w:w w:val="120"/>
          <w:sz w:val="18"/>
        </w:rPr>
        <w:t>martins</w:t>
        <w:tab/>
        <w:t>61</w:t>
      </w:r>
    </w:p>
    <w:p>
      <w:pPr>
        <w:spacing w:line="254" w:lineRule="auto" w:before="133"/>
        <w:ind w:left="380" w:right="1770" w:firstLine="0"/>
        <w:jc w:val="left"/>
        <w:rPr>
          <w:sz w:val="18"/>
        </w:rPr>
      </w:pPr>
      <w:r>
        <w:rPr>
          <w:color w:val="231F20"/>
          <w:sz w:val="18"/>
        </w:rPr>
        <w:t>CRÍTICA A LA INTERPRETACIÓN FINANCIERA DE LA CRISIS</w:t>
      </w:r>
    </w:p>
    <w:p>
      <w:pPr>
        <w:tabs>
          <w:tab w:pos="6099" w:val="right" w:leader="none"/>
        </w:tabs>
        <w:spacing w:before="1"/>
        <w:ind w:left="580" w:right="0" w:firstLine="0"/>
        <w:jc w:val="left"/>
        <w:rPr>
          <w:sz w:val="18"/>
        </w:rPr>
      </w:pPr>
      <w:r>
        <w:rPr>
          <w:i/>
          <w:color w:val="231F20"/>
          <w:w w:val="115"/>
          <w:sz w:val="18"/>
        </w:rPr>
        <w:t>por </w:t>
      </w:r>
      <w:r>
        <w:rPr>
          <w:color w:val="231F20"/>
          <w:w w:val="120"/>
          <w:sz w:val="18"/>
        </w:rPr>
        <w:t>orlando</w:t>
      </w:r>
      <w:r>
        <w:rPr>
          <w:color w:val="231F20"/>
          <w:spacing w:val="11"/>
          <w:w w:val="120"/>
          <w:sz w:val="18"/>
        </w:rPr>
        <w:t> </w:t>
      </w:r>
      <w:r>
        <w:rPr>
          <w:color w:val="231F20"/>
          <w:w w:val="120"/>
          <w:sz w:val="18"/>
        </w:rPr>
        <w:t>caputo</w:t>
      </w:r>
      <w:r>
        <w:rPr>
          <w:color w:val="231F20"/>
          <w:spacing w:val="4"/>
          <w:w w:val="120"/>
          <w:sz w:val="18"/>
        </w:rPr>
        <w:t> </w:t>
      </w:r>
      <w:r>
        <w:rPr>
          <w:color w:val="231F20"/>
          <w:w w:val="120"/>
          <w:sz w:val="18"/>
        </w:rPr>
        <w:t>leiva</w:t>
        <w:tab/>
        <w:t>81</w:t>
      </w:r>
    </w:p>
    <w:p>
      <w:pPr>
        <w:spacing w:before="133"/>
        <w:ind w:left="380" w:right="25" w:firstLine="0"/>
        <w:jc w:val="left"/>
        <w:rPr>
          <w:sz w:val="18"/>
        </w:rPr>
      </w:pPr>
      <w:r>
        <w:rPr>
          <w:color w:val="231F20"/>
          <w:sz w:val="18"/>
        </w:rPr>
        <w:t>CRISIS GENERAL CAPITALISTA</w:t>
      </w:r>
    </w:p>
    <w:p>
      <w:pPr>
        <w:spacing w:before="13"/>
        <w:ind w:left="380" w:right="25" w:firstLine="0"/>
        <w:jc w:val="left"/>
        <w:rPr>
          <w:sz w:val="18"/>
        </w:rPr>
      </w:pPr>
      <w:r>
        <w:rPr>
          <w:color w:val="231F20"/>
          <w:sz w:val="18"/>
        </w:rPr>
        <w:t>¿CRISIS FINAL DEL  NEOLIBERALISMO?</w:t>
      </w:r>
    </w:p>
    <w:p>
      <w:pPr>
        <w:tabs>
          <w:tab w:pos="6099" w:val="right" w:leader="none"/>
        </w:tabs>
        <w:spacing w:before="13"/>
        <w:ind w:left="580" w:right="0" w:firstLine="0"/>
        <w:jc w:val="left"/>
        <w:rPr>
          <w:sz w:val="18"/>
        </w:rPr>
      </w:pPr>
      <w:r>
        <w:rPr>
          <w:i/>
          <w:color w:val="231F20"/>
          <w:w w:val="115"/>
          <w:sz w:val="18"/>
        </w:rPr>
        <w:t>por </w:t>
      </w:r>
      <w:r>
        <w:rPr>
          <w:color w:val="231F20"/>
          <w:w w:val="115"/>
          <w:sz w:val="18"/>
        </w:rPr>
        <w:t>jaime</w:t>
      </w:r>
      <w:r>
        <w:rPr>
          <w:color w:val="231F20"/>
          <w:spacing w:val="14"/>
          <w:w w:val="115"/>
          <w:sz w:val="18"/>
        </w:rPr>
        <w:t> </w:t>
      </w:r>
      <w:r>
        <w:rPr>
          <w:color w:val="231F20"/>
          <w:w w:val="115"/>
          <w:sz w:val="18"/>
        </w:rPr>
        <w:t>ornelas</w:t>
      </w:r>
      <w:r>
        <w:rPr>
          <w:color w:val="231F20"/>
          <w:spacing w:val="7"/>
          <w:w w:val="115"/>
          <w:sz w:val="18"/>
        </w:rPr>
        <w:t> </w:t>
      </w:r>
      <w:r>
        <w:rPr>
          <w:color w:val="231F20"/>
          <w:w w:val="115"/>
          <w:sz w:val="18"/>
        </w:rPr>
        <w:t>delgado</w:t>
        <w:tab/>
        <w:t>112</w:t>
      </w:r>
    </w:p>
    <w:p>
      <w:pPr>
        <w:spacing w:line="254" w:lineRule="auto" w:before="133"/>
        <w:ind w:left="380" w:right="2449" w:firstLine="0"/>
        <w:jc w:val="left"/>
        <w:rPr>
          <w:sz w:val="18"/>
        </w:rPr>
      </w:pPr>
      <w:r>
        <w:rPr>
          <w:color w:val="231F20"/>
          <w:sz w:val="18"/>
        </w:rPr>
        <w:t>SISTEMA MUNDO, CRISIS ECONÓMICA Y AMÉRICA LATINA</w:t>
      </w:r>
    </w:p>
    <w:p>
      <w:pPr>
        <w:tabs>
          <w:tab w:pos="6099" w:val="right" w:leader="none"/>
        </w:tabs>
        <w:spacing w:before="1"/>
        <w:ind w:left="580" w:right="0" w:firstLine="0"/>
        <w:jc w:val="left"/>
        <w:rPr>
          <w:sz w:val="18"/>
        </w:rPr>
      </w:pPr>
      <w:r>
        <w:rPr>
          <w:i/>
          <w:color w:val="231F20"/>
          <w:w w:val="115"/>
          <w:sz w:val="18"/>
        </w:rPr>
        <w:t>por </w:t>
      </w:r>
      <w:r>
        <w:rPr>
          <w:color w:val="231F20"/>
          <w:w w:val="115"/>
          <w:sz w:val="18"/>
        </w:rPr>
        <w:t>marco a.</w:t>
      </w:r>
      <w:r>
        <w:rPr>
          <w:color w:val="231F20"/>
          <w:spacing w:val="20"/>
          <w:w w:val="115"/>
          <w:sz w:val="18"/>
        </w:rPr>
        <w:t> </w:t>
      </w:r>
      <w:r>
        <w:rPr>
          <w:color w:val="231F20"/>
          <w:w w:val="115"/>
          <w:sz w:val="18"/>
        </w:rPr>
        <w:t>gandásegui,</w:t>
      </w:r>
      <w:r>
        <w:rPr>
          <w:color w:val="231F20"/>
          <w:spacing w:val="6"/>
          <w:w w:val="115"/>
          <w:sz w:val="18"/>
        </w:rPr>
        <w:t> </w:t>
      </w:r>
      <w:r>
        <w:rPr>
          <w:color w:val="231F20"/>
          <w:w w:val="115"/>
          <w:sz w:val="18"/>
        </w:rPr>
        <w:t>hijo</w:t>
        <w:tab/>
        <w:t>137</w:t>
      </w:r>
    </w:p>
    <w:p>
      <w:pPr>
        <w:spacing w:before="133"/>
        <w:ind w:left="100" w:right="25" w:firstLine="0"/>
        <w:jc w:val="left"/>
        <w:rPr>
          <w:sz w:val="18"/>
        </w:rPr>
      </w:pPr>
      <w:r>
        <w:rPr>
          <w:color w:val="231F20"/>
          <w:sz w:val="18"/>
        </w:rPr>
        <w:t>CRISIS DE HEGEMONÍA Y DECADENCIA   INTERNA</w:t>
      </w:r>
    </w:p>
    <w:p>
      <w:pPr>
        <w:tabs>
          <w:tab w:pos="6099" w:val="right" w:leader="none"/>
        </w:tabs>
        <w:spacing w:before="13"/>
        <w:ind w:left="100" w:right="0" w:firstLine="0"/>
        <w:jc w:val="left"/>
        <w:rPr>
          <w:sz w:val="18"/>
        </w:rPr>
      </w:pPr>
      <w:r>
        <w:rPr>
          <w:color w:val="231F20"/>
          <w:w w:val="105"/>
          <w:sz w:val="18"/>
        </w:rPr>
        <w:t>EN</w:t>
      </w:r>
      <w:r>
        <w:rPr>
          <w:color w:val="231F20"/>
          <w:spacing w:val="10"/>
          <w:w w:val="105"/>
          <w:sz w:val="18"/>
        </w:rPr>
        <w:t> </w:t>
      </w:r>
      <w:r>
        <w:rPr>
          <w:color w:val="231F20"/>
          <w:w w:val="105"/>
          <w:sz w:val="18"/>
        </w:rPr>
        <w:t>ESTADOS</w:t>
      </w:r>
      <w:r>
        <w:rPr>
          <w:color w:val="231F20"/>
          <w:spacing w:val="10"/>
          <w:w w:val="105"/>
          <w:sz w:val="18"/>
        </w:rPr>
        <w:t> </w:t>
      </w:r>
      <w:r>
        <w:rPr>
          <w:color w:val="231F20"/>
          <w:w w:val="105"/>
          <w:sz w:val="18"/>
        </w:rPr>
        <w:t>UNIDOS</w:t>
        <w:tab/>
        <w:t>161</w:t>
      </w:r>
    </w:p>
    <w:p>
      <w:pPr>
        <w:spacing w:line="254" w:lineRule="auto" w:before="133"/>
        <w:ind w:left="380" w:right="202" w:firstLine="0"/>
        <w:jc w:val="left"/>
        <w:rPr>
          <w:sz w:val="18"/>
        </w:rPr>
      </w:pPr>
      <w:r>
        <w:rPr>
          <w:color w:val="231F20"/>
          <w:sz w:val="18"/>
        </w:rPr>
        <w:t>ESTADOS UNIDOS EN LA ENCRUCIJADA DE LA CRISIS CAPITALISTA</w:t>
      </w:r>
    </w:p>
    <w:p>
      <w:pPr>
        <w:tabs>
          <w:tab w:pos="6099" w:val="right" w:leader="none"/>
        </w:tabs>
        <w:spacing w:before="1"/>
        <w:ind w:left="580" w:right="0" w:firstLine="0"/>
        <w:jc w:val="left"/>
        <w:rPr>
          <w:sz w:val="18"/>
        </w:rPr>
      </w:pPr>
      <w:r>
        <w:rPr>
          <w:i/>
          <w:color w:val="231F20"/>
          <w:w w:val="115"/>
          <w:sz w:val="18"/>
        </w:rPr>
        <w:t>por </w:t>
      </w:r>
      <w:r>
        <w:rPr>
          <w:color w:val="231F20"/>
          <w:w w:val="120"/>
          <w:sz w:val="18"/>
        </w:rPr>
        <w:t>adrián</w:t>
      </w:r>
      <w:r>
        <w:rPr>
          <w:color w:val="231F20"/>
          <w:spacing w:val="11"/>
          <w:w w:val="120"/>
          <w:sz w:val="18"/>
        </w:rPr>
        <w:t> </w:t>
      </w:r>
      <w:r>
        <w:rPr>
          <w:color w:val="231F20"/>
          <w:w w:val="120"/>
          <w:sz w:val="18"/>
        </w:rPr>
        <w:t>sotelo</w:t>
      </w:r>
      <w:r>
        <w:rPr>
          <w:color w:val="231F20"/>
          <w:spacing w:val="4"/>
          <w:w w:val="120"/>
          <w:sz w:val="18"/>
        </w:rPr>
        <w:t> </w:t>
      </w:r>
      <w:r>
        <w:rPr>
          <w:color w:val="231F20"/>
          <w:w w:val="120"/>
          <w:sz w:val="18"/>
        </w:rPr>
        <w:t>valencia</w:t>
        <w:tab/>
        <w:t>163</w:t>
      </w:r>
    </w:p>
    <w:p>
      <w:pPr>
        <w:pStyle w:val="BodyText"/>
        <w:spacing w:before="814"/>
        <w:ind w:left="113" w:right="132"/>
        <w:jc w:val="center"/>
      </w:pPr>
      <w:r>
        <w:rPr>
          <w:color w:val="231F20"/>
          <w:w w:val="120"/>
        </w:rPr>
        <w:t>[535]</w:t>
      </w:r>
    </w:p>
    <w:p>
      <w:pPr>
        <w:spacing w:after="0"/>
        <w:jc w:val="center"/>
        <w:sectPr>
          <w:headerReference w:type="default" r:id="rId441"/>
          <w:pgSz w:w="7640" w:h="11900"/>
          <w:pgMar w:header="0" w:footer="0" w:top="1000" w:bottom="280" w:left="660" w:right="760"/>
        </w:sectPr>
      </w:pPr>
    </w:p>
    <w:p>
      <w:pPr>
        <w:spacing w:before="38"/>
        <w:ind w:left="100" w:right="25" w:firstLine="0"/>
        <w:jc w:val="left"/>
        <w:rPr>
          <w:rFonts w:ascii="Calibri"/>
          <w:sz w:val="18"/>
        </w:rPr>
      </w:pPr>
      <w:r>
        <w:rPr>
          <w:rFonts w:ascii="Calibri"/>
          <w:color w:val="231F20"/>
          <w:w w:val="110"/>
          <w:sz w:val="18"/>
        </w:rPr>
        <w:t>536</w:t>
      </w:r>
    </w:p>
    <w:p>
      <w:pPr>
        <w:spacing w:line="254" w:lineRule="auto" w:before="164"/>
        <w:ind w:left="380" w:right="1339" w:firstLine="0"/>
        <w:jc w:val="left"/>
        <w:rPr>
          <w:sz w:val="18"/>
        </w:rPr>
      </w:pPr>
      <w:r>
        <w:rPr>
          <w:color w:val="231F20"/>
          <w:sz w:val="18"/>
        </w:rPr>
        <w:t>LA POSICIÓN DE ESTADOS UNIDOS EN EL ORDEN MONETARIO  Y  FINANCIERO INTERNACIONAL</w:t>
      </w:r>
    </w:p>
    <w:p>
      <w:pPr>
        <w:tabs>
          <w:tab w:pos="5799" w:val="left" w:leader="none"/>
        </w:tabs>
        <w:spacing w:before="1"/>
        <w:ind w:left="580" w:right="25" w:firstLine="0"/>
        <w:jc w:val="left"/>
        <w:rPr>
          <w:sz w:val="18"/>
        </w:rPr>
      </w:pPr>
      <w:r>
        <w:rPr>
          <w:i/>
          <w:color w:val="231F20"/>
          <w:w w:val="120"/>
          <w:sz w:val="18"/>
        </w:rPr>
        <w:t>por </w:t>
      </w:r>
      <w:r>
        <w:rPr>
          <w:color w:val="231F20"/>
          <w:w w:val="120"/>
          <w:sz w:val="18"/>
        </w:rPr>
        <w:t>katia</w:t>
      </w:r>
      <w:r>
        <w:rPr>
          <w:color w:val="231F20"/>
          <w:spacing w:val="24"/>
          <w:w w:val="120"/>
          <w:sz w:val="18"/>
        </w:rPr>
        <w:t> </w:t>
      </w:r>
      <w:r>
        <w:rPr>
          <w:color w:val="231F20"/>
          <w:w w:val="120"/>
          <w:sz w:val="18"/>
        </w:rPr>
        <w:t>cobarrubias</w:t>
      </w:r>
      <w:r>
        <w:rPr>
          <w:color w:val="231F20"/>
          <w:spacing w:val="12"/>
          <w:w w:val="120"/>
          <w:sz w:val="18"/>
        </w:rPr>
        <w:t> </w:t>
      </w:r>
      <w:r>
        <w:rPr>
          <w:color w:val="231F20"/>
          <w:w w:val="120"/>
          <w:sz w:val="18"/>
        </w:rPr>
        <w:t>hernández</w:t>
        <w:tab/>
        <w:t>186</w:t>
      </w:r>
    </w:p>
    <w:p>
      <w:pPr>
        <w:spacing w:line="254" w:lineRule="auto" w:before="133"/>
        <w:ind w:left="380" w:right="2240" w:firstLine="0"/>
        <w:jc w:val="left"/>
        <w:rPr>
          <w:sz w:val="18"/>
        </w:rPr>
      </w:pPr>
      <w:r>
        <w:rPr>
          <w:color w:val="231F20"/>
          <w:sz w:val="18"/>
        </w:rPr>
        <w:t>EL DÉFICIT FISCAL DE ESTADOS UNIDOS Y EL FUTURO DEL  DÓLAR</w:t>
      </w:r>
    </w:p>
    <w:p>
      <w:pPr>
        <w:tabs>
          <w:tab w:pos="5799" w:val="left" w:leader="none"/>
        </w:tabs>
        <w:spacing w:before="1"/>
        <w:ind w:left="580" w:right="25" w:firstLine="0"/>
        <w:jc w:val="left"/>
        <w:rPr>
          <w:sz w:val="18"/>
        </w:rPr>
      </w:pPr>
      <w:r>
        <w:rPr>
          <w:i/>
          <w:color w:val="231F20"/>
          <w:w w:val="115"/>
          <w:sz w:val="18"/>
        </w:rPr>
        <w:t>por</w:t>
      </w:r>
      <w:r>
        <w:rPr>
          <w:i/>
          <w:color w:val="231F20"/>
          <w:spacing w:val="4"/>
          <w:w w:val="115"/>
          <w:sz w:val="18"/>
        </w:rPr>
        <w:t> </w:t>
      </w:r>
      <w:r>
        <w:rPr>
          <w:color w:val="231F20"/>
          <w:w w:val="115"/>
          <w:sz w:val="18"/>
        </w:rPr>
        <w:t>daniel</w:t>
      </w:r>
      <w:r>
        <w:rPr>
          <w:color w:val="231F20"/>
          <w:spacing w:val="4"/>
          <w:w w:val="115"/>
          <w:sz w:val="18"/>
        </w:rPr>
        <w:t> </w:t>
      </w:r>
      <w:r>
        <w:rPr>
          <w:color w:val="231F20"/>
          <w:w w:val="115"/>
          <w:sz w:val="18"/>
        </w:rPr>
        <w:t>munevar</w:t>
        <w:tab/>
        <w:t>210</w:t>
      </w:r>
    </w:p>
    <w:p>
      <w:pPr>
        <w:spacing w:line="254" w:lineRule="auto" w:before="133"/>
        <w:ind w:left="380" w:right="900" w:firstLine="0"/>
        <w:jc w:val="left"/>
        <w:rPr>
          <w:sz w:val="18"/>
        </w:rPr>
      </w:pPr>
      <w:r>
        <w:rPr>
          <w:color w:val="231F20"/>
          <w:sz w:val="18"/>
        </w:rPr>
        <w:t>CRISIS SISTÉMICA ESTRUCTURAL DE ESTADOS UNIDOS: LA AGENDA SOBRE CIENCIA Y  TECNOLOGÍA</w:t>
      </w:r>
    </w:p>
    <w:p>
      <w:pPr>
        <w:tabs>
          <w:tab w:pos="5799" w:val="left" w:leader="none"/>
        </w:tabs>
        <w:spacing w:before="1"/>
        <w:ind w:left="580" w:right="25" w:firstLine="0"/>
        <w:jc w:val="left"/>
        <w:rPr>
          <w:sz w:val="18"/>
        </w:rPr>
      </w:pPr>
      <w:r>
        <w:rPr>
          <w:i/>
          <w:color w:val="231F20"/>
          <w:w w:val="115"/>
          <w:sz w:val="18"/>
        </w:rPr>
        <w:t>por </w:t>
      </w:r>
      <w:r>
        <w:rPr>
          <w:color w:val="231F20"/>
          <w:w w:val="125"/>
          <w:sz w:val="18"/>
        </w:rPr>
        <w:t>fabio</w:t>
      </w:r>
      <w:r>
        <w:rPr>
          <w:color w:val="231F20"/>
          <w:spacing w:val="-11"/>
          <w:w w:val="125"/>
          <w:sz w:val="18"/>
        </w:rPr>
        <w:t> </w:t>
      </w:r>
      <w:r>
        <w:rPr>
          <w:color w:val="231F20"/>
          <w:w w:val="125"/>
          <w:sz w:val="18"/>
        </w:rPr>
        <w:t>grobart</w:t>
      </w:r>
      <w:r>
        <w:rPr>
          <w:color w:val="231F20"/>
          <w:spacing w:val="-8"/>
          <w:w w:val="125"/>
          <w:sz w:val="18"/>
        </w:rPr>
        <w:t> </w:t>
      </w:r>
      <w:r>
        <w:rPr>
          <w:color w:val="231F20"/>
          <w:w w:val="125"/>
          <w:sz w:val="18"/>
        </w:rPr>
        <w:t>sunshine</w:t>
        <w:tab/>
        <w:t>233</w:t>
      </w:r>
    </w:p>
    <w:p>
      <w:pPr>
        <w:spacing w:line="254" w:lineRule="auto" w:before="133"/>
        <w:ind w:left="380" w:right="1339" w:firstLine="0"/>
        <w:jc w:val="left"/>
        <w:rPr>
          <w:sz w:val="18"/>
        </w:rPr>
      </w:pPr>
      <w:r>
        <w:rPr>
          <w:color w:val="231F20"/>
          <w:sz w:val="18"/>
        </w:rPr>
        <w:t>ESTADOS UNIDOS: CRISIS ECONÓMICA, REESTRUCTURACIÓN  PRODUCTIVA</w:t>
      </w:r>
    </w:p>
    <w:p>
      <w:pPr>
        <w:spacing w:before="1"/>
        <w:ind w:left="380" w:right="25" w:firstLine="0"/>
        <w:jc w:val="left"/>
        <w:rPr>
          <w:sz w:val="18"/>
        </w:rPr>
      </w:pPr>
      <w:r>
        <w:rPr>
          <w:color w:val="231F20"/>
          <w:sz w:val="18"/>
        </w:rPr>
        <w:t>Y NUEVA PRECARIEDAD LABORAL</w:t>
      </w:r>
    </w:p>
    <w:p>
      <w:pPr>
        <w:tabs>
          <w:tab w:pos="5799" w:val="left" w:leader="none"/>
        </w:tabs>
        <w:spacing w:before="13"/>
        <w:ind w:left="580" w:right="25" w:firstLine="0"/>
        <w:jc w:val="left"/>
        <w:rPr>
          <w:sz w:val="18"/>
        </w:rPr>
      </w:pPr>
      <w:r>
        <w:rPr>
          <w:i/>
          <w:color w:val="231F20"/>
          <w:w w:val="115"/>
          <w:sz w:val="18"/>
        </w:rPr>
        <w:t>por </w:t>
      </w:r>
      <w:r>
        <w:rPr>
          <w:color w:val="231F20"/>
          <w:w w:val="120"/>
          <w:sz w:val="18"/>
        </w:rPr>
        <w:t>dídimo</w:t>
      </w:r>
      <w:r>
        <w:rPr>
          <w:color w:val="231F20"/>
          <w:spacing w:val="26"/>
          <w:w w:val="120"/>
          <w:sz w:val="18"/>
        </w:rPr>
        <w:t> </w:t>
      </w:r>
      <w:r>
        <w:rPr>
          <w:color w:val="231F20"/>
          <w:w w:val="120"/>
          <w:sz w:val="18"/>
        </w:rPr>
        <w:t>castillo</w:t>
      </w:r>
      <w:r>
        <w:rPr>
          <w:color w:val="231F20"/>
          <w:spacing w:val="12"/>
          <w:w w:val="120"/>
          <w:sz w:val="18"/>
        </w:rPr>
        <w:t> </w:t>
      </w:r>
      <w:r>
        <w:rPr>
          <w:color w:val="231F20"/>
          <w:w w:val="120"/>
          <w:sz w:val="18"/>
        </w:rPr>
        <w:t>fernández</w:t>
        <w:tab/>
        <w:t>258</w:t>
      </w:r>
    </w:p>
    <w:p>
      <w:pPr>
        <w:spacing w:line="254" w:lineRule="auto" w:before="133"/>
        <w:ind w:left="380" w:right="1680" w:firstLine="0"/>
        <w:jc w:val="left"/>
        <w:rPr>
          <w:sz w:val="18"/>
        </w:rPr>
      </w:pPr>
      <w:r>
        <w:rPr>
          <w:color w:val="231F20"/>
          <w:sz w:val="18"/>
        </w:rPr>
        <w:t>LA INMIGRACIÓN LATINOAMERICANA FRENTE  A LA CRISIS ECONÓMICA EN ESTADOS UNIDOS. PRECARIZACIÓN  SIN </w:t>
      </w:r>
      <w:r>
        <w:rPr>
          <w:color w:val="231F20"/>
          <w:spacing w:val="9"/>
          <w:sz w:val="18"/>
        </w:rPr>
        <w:t> </w:t>
      </w:r>
      <w:r>
        <w:rPr>
          <w:color w:val="231F20"/>
          <w:sz w:val="18"/>
        </w:rPr>
        <w:t>RETORNO</w:t>
      </w:r>
    </w:p>
    <w:p>
      <w:pPr>
        <w:tabs>
          <w:tab w:pos="5799" w:val="left" w:leader="none"/>
        </w:tabs>
        <w:spacing w:before="1"/>
        <w:ind w:left="580" w:right="25" w:firstLine="0"/>
        <w:jc w:val="left"/>
        <w:rPr>
          <w:sz w:val="18"/>
        </w:rPr>
      </w:pPr>
      <w:r>
        <w:rPr>
          <w:i/>
          <w:color w:val="231F20"/>
          <w:w w:val="115"/>
          <w:sz w:val="18"/>
        </w:rPr>
        <w:t>por </w:t>
      </w:r>
      <w:r>
        <w:rPr>
          <w:color w:val="231F20"/>
          <w:w w:val="120"/>
          <w:sz w:val="18"/>
        </w:rPr>
        <w:t>alejandro</w:t>
      </w:r>
      <w:r>
        <w:rPr>
          <w:color w:val="231F20"/>
          <w:spacing w:val="22"/>
          <w:w w:val="120"/>
          <w:sz w:val="18"/>
        </w:rPr>
        <w:t> </w:t>
      </w:r>
      <w:r>
        <w:rPr>
          <w:color w:val="231F20"/>
          <w:w w:val="120"/>
          <w:sz w:val="18"/>
        </w:rPr>
        <w:t>i.</w:t>
      </w:r>
      <w:r>
        <w:rPr>
          <w:color w:val="231F20"/>
          <w:spacing w:val="10"/>
          <w:w w:val="120"/>
          <w:sz w:val="18"/>
        </w:rPr>
        <w:t> </w:t>
      </w:r>
      <w:r>
        <w:rPr>
          <w:color w:val="231F20"/>
          <w:w w:val="120"/>
          <w:sz w:val="18"/>
        </w:rPr>
        <w:t>canales</w:t>
        <w:tab/>
        <w:t>288</w:t>
      </w:r>
    </w:p>
    <w:p>
      <w:pPr>
        <w:spacing w:before="133"/>
        <w:ind w:left="380" w:right="25" w:firstLine="0"/>
        <w:jc w:val="left"/>
        <w:rPr>
          <w:sz w:val="18"/>
        </w:rPr>
      </w:pPr>
      <w:r>
        <w:rPr>
          <w:color w:val="231F20"/>
          <w:w w:val="105"/>
          <w:sz w:val="18"/>
        </w:rPr>
        <w:t>LAS BURBUJAS DEL SIGLO xxi:</w:t>
      </w:r>
    </w:p>
    <w:p>
      <w:pPr>
        <w:spacing w:before="13"/>
        <w:ind w:left="380" w:right="25" w:firstLine="0"/>
        <w:jc w:val="left"/>
        <w:rPr>
          <w:sz w:val="18"/>
        </w:rPr>
      </w:pPr>
      <w:r>
        <w:rPr>
          <w:color w:val="231F20"/>
          <w:sz w:val="18"/>
        </w:rPr>
        <w:t>¿EL FIN DEL SUEÑO   AMERICANO?</w:t>
      </w:r>
    </w:p>
    <w:p>
      <w:pPr>
        <w:tabs>
          <w:tab w:pos="5799" w:val="left" w:leader="none"/>
        </w:tabs>
        <w:spacing w:before="13"/>
        <w:ind w:left="580" w:right="25" w:firstLine="0"/>
        <w:jc w:val="left"/>
        <w:rPr>
          <w:sz w:val="18"/>
        </w:rPr>
      </w:pPr>
      <w:r>
        <w:rPr>
          <w:i/>
          <w:color w:val="231F20"/>
          <w:w w:val="110"/>
          <w:sz w:val="18"/>
        </w:rPr>
        <w:t>por </w:t>
      </w:r>
      <w:r>
        <w:rPr>
          <w:color w:val="231F20"/>
          <w:w w:val="115"/>
          <w:sz w:val="18"/>
        </w:rPr>
        <w:t>james</w:t>
      </w:r>
      <w:r>
        <w:rPr>
          <w:color w:val="231F20"/>
          <w:spacing w:val="21"/>
          <w:w w:val="115"/>
          <w:sz w:val="18"/>
        </w:rPr>
        <w:t> </w:t>
      </w:r>
      <w:r>
        <w:rPr>
          <w:color w:val="231F20"/>
          <w:w w:val="115"/>
          <w:sz w:val="18"/>
        </w:rPr>
        <w:t>martin</w:t>
      </w:r>
      <w:r>
        <w:rPr>
          <w:color w:val="231F20"/>
          <w:spacing w:val="9"/>
          <w:w w:val="115"/>
          <w:sz w:val="18"/>
        </w:rPr>
        <w:t> </w:t>
      </w:r>
      <w:r>
        <w:rPr>
          <w:color w:val="231F20"/>
          <w:w w:val="115"/>
          <w:sz w:val="18"/>
        </w:rPr>
        <w:t>cypher</w:t>
        <w:tab/>
        <w:t>316</w:t>
      </w:r>
    </w:p>
    <w:p>
      <w:pPr>
        <w:spacing w:line="254" w:lineRule="auto" w:before="133"/>
        <w:ind w:left="380" w:right="1339" w:firstLine="0"/>
        <w:jc w:val="left"/>
        <w:rPr>
          <w:sz w:val="18"/>
        </w:rPr>
      </w:pPr>
      <w:r>
        <w:rPr>
          <w:color w:val="231F20"/>
          <w:sz w:val="18"/>
        </w:rPr>
        <w:t>ESTADOS UNIDOS:  REDEFINICIONES  IDEOLÓGICAS Y  GEOPOLÍTICA  MUNDIAL BAJO</w:t>
      </w:r>
    </w:p>
    <w:p>
      <w:pPr>
        <w:spacing w:before="1"/>
        <w:ind w:left="380" w:right="25" w:firstLine="0"/>
        <w:jc w:val="left"/>
        <w:rPr>
          <w:sz w:val="18"/>
        </w:rPr>
      </w:pPr>
      <w:r>
        <w:rPr>
          <w:color w:val="231F20"/>
          <w:sz w:val="18"/>
        </w:rPr>
        <w:t>LA ADMINISTRACIÓN OBAMA</w:t>
      </w:r>
    </w:p>
    <w:p>
      <w:pPr>
        <w:tabs>
          <w:tab w:pos="5799" w:val="left" w:leader="none"/>
        </w:tabs>
        <w:spacing w:before="13"/>
        <w:ind w:left="580" w:right="25" w:firstLine="0"/>
        <w:jc w:val="left"/>
        <w:rPr>
          <w:sz w:val="18"/>
        </w:rPr>
      </w:pPr>
      <w:r>
        <w:rPr>
          <w:i/>
          <w:color w:val="231F20"/>
          <w:w w:val="115"/>
          <w:sz w:val="18"/>
        </w:rPr>
        <w:t>por  </w:t>
      </w:r>
      <w:r>
        <w:rPr>
          <w:color w:val="231F20"/>
          <w:w w:val="115"/>
          <w:sz w:val="18"/>
        </w:rPr>
        <w:t>jorge</w:t>
      </w:r>
      <w:r>
        <w:rPr>
          <w:color w:val="231F20"/>
          <w:spacing w:val="4"/>
          <w:w w:val="115"/>
          <w:sz w:val="18"/>
        </w:rPr>
        <w:t> </w:t>
      </w:r>
      <w:r>
        <w:rPr>
          <w:color w:val="231F20"/>
          <w:w w:val="115"/>
          <w:sz w:val="18"/>
        </w:rPr>
        <w:t>hernández</w:t>
      </w:r>
      <w:r>
        <w:rPr>
          <w:color w:val="231F20"/>
          <w:spacing w:val="27"/>
          <w:w w:val="115"/>
          <w:sz w:val="18"/>
        </w:rPr>
        <w:t> </w:t>
      </w:r>
      <w:r>
        <w:rPr>
          <w:color w:val="231F20"/>
          <w:w w:val="115"/>
          <w:sz w:val="18"/>
        </w:rPr>
        <w:t>martínez</w:t>
        <w:tab/>
        <w:t>339</w:t>
      </w:r>
    </w:p>
    <w:p>
      <w:pPr>
        <w:spacing w:before="133"/>
        <w:ind w:left="100" w:right="25" w:firstLine="0"/>
        <w:jc w:val="left"/>
        <w:rPr>
          <w:sz w:val="18"/>
        </w:rPr>
      </w:pPr>
      <w:r>
        <w:rPr>
          <w:color w:val="231F20"/>
          <w:sz w:val="18"/>
        </w:rPr>
        <w:t>NUEVA  GEOPOLÍTICA  DE  ESTADOS UNIDOS.</w:t>
      </w:r>
    </w:p>
    <w:p>
      <w:pPr>
        <w:tabs>
          <w:tab w:pos="5799" w:val="left" w:leader="none"/>
        </w:tabs>
        <w:spacing w:before="13"/>
        <w:ind w:left="100" w:right="25" w:firstLine="0"/>
        <w:jc w:val="left"/>
        <w:rPr>
          <w:sz w:val="18"/>
        </w:rPr>
      </w:pPr>
      <w:r>
        <w:rPr>
          <w:color w:val="231F20"/>
          <w:sz w:val="18"/>
        </w:rPr>
        <w:t>ESCENARIOS </w:t>
      </w:r>
      <w:r>
        <w:rPr>
          <w:color w:val="231F20"/>
          <w:spacing w:val="-3"/>
          <w:sz w:val="18"/>
        </w:rPr>
        <w:t>PARA</w:t>
      </w:r>
      <w:r>
        <w:rPr>
          <w:color w:val="231F20"/>
          <w:spacing w:val="11"/>
          <w:sz w:val="18"/>
        </w:rPr>
        <w:t> </w:t>
      </w:r>
      <w:r>
        <w:rPr>
          <w:color w:val="231F20"/>
          <w:sz w:val="18"/>
        </w:rPr>
        <w:t>AMÉRICA</w:t>
      </w:r>
      <w:r>
        <w:rPr>
          <w:color w:val="231F20"/>
          <w:spacing w:val="5"/>
          <w:sz w:val="18"/>
        </w:rPr>
        <w:t> </w:t>
      </w:r>
      <w:r>
        <w:rPr>
          <w:color w:val="231F20"/>
          <w:sz w:val="18"/>
        </w:rPr>
        <w:t>LATINA</w:t>
        <w:tab/>
        <w:t>363</w:t>
      </w:r>
    </w:p>
    <w:p>
      <w:pPr>
        <w:spacing w:line="254" w:lineRule="auto" w:before="133"/>
        <w:ind w:left="380" w:right="1339" w:firstLine="0"/>
        <w:jc w:val="left"/>
        <w:rPr>
          <w:sz w:val="18"/>
        </w:rPr>
      </w:pPr>
      <w:r>
        <w:rPr>
          <w:color w:val="231F20"/>
          <w:sz w:val="18"/>
        </w:rPr>
        <w:t>ESTADOS UNIDOS: SEGURIDAD Y DEFENSA EN LAS NUEVAS RELACIONES HEMISFÉRICAS</w:t>
      </w:r>
    </w:p>
    <w:p>
      <w:pPr>
        <w:tabs>
          <w:tab w:pos="5799" w:val="left" w:leader="none"/>
        </w:tabs>
        <w:spacing w:before="1"/>
        <w:ind w:left="580" w:right="25" w:firstLine="0"/>
        <w:jc w:val="left"/>
        <w:rPr>
          <w:sz w:val="18"/>
        </w:rPr>
      </w:pPr>
      <w:r>
        <w:rPr>
          <w:i/>
          <w:color w:val="231F20"/>
          <w:w w:val="115"/>
          <w:sz w:val="18"/>
        </w:rPr>
        <w:t>por  </w:t>
      </w:r>
      <w:r>
        <w:rPr>
          <w:color w:val="231F20"/>
          <w:w w:val="115"/>
          <w:sz w:val="18"/>
        </w:rPr>
        <w:t>darío</w:t>
      </w:r>
      <w:r>
        <w:rPr>
          <w:color w:val="231F20"/>
          <w:spacing w:val="6"/>
          <w:w w:val="115"/>
          <w:sz w:val="18"/>
        </w:rPr>
        <w:t> </w:t>
      </w:r>
      <w:r>
        <w:rPr>
          <w:color w:val="231F20"/>
          <w:w w:val="115"/>
          <w:sz w:val="18"/>
        </w:rPr>
        <w:t>salinas</w:t>
      </w:r>
      <w:r>
        <w:rPr>
          <w:color w:val="231F20"/>
          <w:spacing w:val="29"/>
          <w:w w:val="115"/>
          <w:sz w:val="18"/>
        </w:rPr>
        <w:t> </w:t>
      </w:r>
      <w:r>
        <w:rPr>
          <w:color w:val="231F20"/>
          <w:w w:val="115"/>
          <w:sz w:val="18"/>
        </w:rPr>
        <w:t>figueredo</w:t>
        <w:tab/>
        <w:t>365</w:t>
      </w:r>
    </w:p>
    <w:p>
      <w:pPr>
        <w:spacing w:line="254" w:lineRule="auto" w:before="133"/>
        <w:ind w:left="380" w:right="2441" w:firstLine="0"/>
        <w:jc w:val="left"/>
        <w:rPr>
          <w:sz w:val="18"/>
        </w:rPr>
      </w:pPr>
      <w:r>
        <w:rPr>
          <w:color w:val="231F20"/>
          <w:sz w:val="18"/>
        </w:rPr>
        <w:t>OBAMA CONTRA NUESTRA AMÉRICA: LO NUEVO Y LO  VIEJO</w:t>
      </w:r>
    </w:p>
    <w:p>
      <w:pPr>
        <w:tabs>
          <w:tab w:pos="5799" w:val="left" w:leader="none"/>
        </w:tabs>
        <w:spacing w:before="1"/>
        <w:ind w:left="580" w:right="25" w:firstLine="0"/>
        <w:jc w:val="left"/>
        <w:rPr>
          <w:sz w:val="18"/>
        </w:rPr>
      </w:pPr>
      <w:r>
        <w:rPr>
          <w:i/>
          <w:color w:val="231F20"/>
          <w:w w:val="110"/>
          <w:sz w:val="18"/>
        </w:rPr>
        <w:t>por </w:t>
      </w:r>
      <w:r>
        <w:rPr>
          <w:color w:val="231F20"/>
          <w:w w:val="120"/>
          <w:sz w:val="18"/>
        </w:rPr>
        <w:t>luis</w:t>
      </w:r>
      <w:r>
        <w:rPr>
          <w:color w:val="231F20"/>
          <w:spacing w:val="35"/>
          <w:w w:val="120"/>
          <w:sz w:val="18"/>
        </w:rPr>
        <w:t> </w:t>
      </w:r>
      <w:r>
        <w:rPr>
          <w:color w:val="231F20"/>
          <w:w w:val="120"/>
          <w:sz w:val="18"/>
        </w:rPr>
        <w:t>suárez</w:t>
      </w:r>
      <w:r>
        <w:rPr>
          <w:color w:val="231F20"/>
          <w:spacing w:val="15"/>
          <w:w w:val="120"/>
          <w:sz w:val="18"/>
        </w:rPr>
        <w:t> </w:t>
      </w:r>
      <w:r>
        <w:rPr>
          <w:color w:val="231F20"/>
          <w:w w:val="120"/>
          <w:sz w:val="18"/>
        </w:rPr>
        <w:t>salazar</w:t>
        <w:tab/>
        <w:t>384</w:t>
      </w:r>
    </w:p>
    <w:p>
      <w:pPr>
        <w:spacing w:line="254" w:lineRule="auto" w:before="133"/>
        <w:ind w:left="380" w:right="935" w:firstLine="0"/>
        <w:jc w:val="left"/>
        <w:rPr>
          <w:sz w:val="18"/>
        </w:rPr>
      </w:pPr>
      <w:r>
        <w:rPr>
          <w:color w:val="231F20"/>
          <w:sz w:val="18"/>
        </w:rPr>
        <w:t>DEMOCRACIA, SEGURIDAD Y DESARROLLO: LA  POLÍTICA DE “ASISTENCIA” DE ESTADOS UNIDOS HACIA AMÉRICA</w:t>
      </w:r>
      <w:r>
        <w:rPr>
          <w:color w:val="231F20"/>
          <w:spacing w:val="-14"/>
          <w:sz w:val="18"/>
        </w:rPr>
        <w:t> </w:t>
      </w:r>
      <w:r>
        <w:rPr>
          <w:color w:val="231F20"/>
          <w:sz w:val="18"/>
        </w:rPr>
        <w:t>LATINA</w:t>
      </w:r>
    </w:p>
    <w:p>
      <w:pPr>
        <w:tabs>
          <w:tab w:pos="5799" w:val="left" w:leader="none"/>
        </w:tabs>
        <w:spacing w:before="1"/>
        <w:ind w:left="580" w:right="25" w:firstLine="0"/>
        <w:jc w:val="left"/>
        <w:rPr>
          <w:sz w:val="18"/>
        </w:rPr>
      </w:pPr>
      <w:r>
        <w:rPr>
          <w:i/>
          <w:color w:val="231F20"/>
          <w:w w:val="110"/>
          <w:sz w:val="18"/>
        </w:rPr>
        <w:t>por </w:t>
      </w:r>
      <w:r>
        <w:rPr>
          <w:color w:val="231F20"/>
          <w:w w:val="110"/>
          <w:sz w:val="18"/>
        </w:rPr>
        <w:t>silvina</w:t>
      </w:r>
      <w:r>
        <w:rPr>
          <w:color w:val="231F20"/>
          <w:spacing w:val="33"/>
          <w:w w:val="110"/>
          <w:sz w:val="18"/>
        </w:rPr>
        <w:t> </w:t>
      </w:r>
      <w:r>
        <w:rPr>
          <w:color w:val="231F20"/>
          <w:w w:val="110"/>
          <w:sz w:val="18"/>
        </w:rPr>
        <w:t>m.</w:t>
      </w:r>
      <w:r>
        <w:rPr>
          <w:color w:val="231F20"/>
          <w:spacing w:val="16"/>
          <w:w w:val="110"/>
          <w:sz w:val="18"/>
        </w:rPr>
        <w:t> </w:t>
      </w:r>
      <w:r>
        <w:rPr>
          <w:color w:val="231F20"/>
          <w:w w:val="110"/>
          <w:sz w:val="18"/>
        </w:rPr>
        <w:t>romano</w:t>
        <w:tab/>
        <w:t>416</w:t>
      </w:r>
    </w:p>
    <w:p>
      <w:pPr>
        <w:spacing w:after="0"/>
        <w:jc w:val="left"/>
        <w:rPr>
          <w:sz w:val="18"/>
        </w:rPr>
        <w:sectPr>
          <w:headerReference w:type="even" r:id="rId442"/>
          <w:pgSz w:w="7640" w:h="11900"/>
          <w:pgMar w:header="0" w:footer="0" w:top="620" w:bottom="280" w:left="780" w:right="640"/>
        </w:sectPr>
      </w:pPr>
    </w:p>
    <w:p>
      <w:pPr>
        <w:spacing w:before="38"/>
        <w:ind w:left="73" w:right="117" w:firstLine="0"/>
        <w:jc w:val="right"/>
        <w:rPr>
          <w:rFonts w:ascii="Calibri"/>
          <w:sz w:val="18"/>
        </w:rPr>
      </w:pPr>
      <w:r>
        <w:rPr>
          <w:rFonts w:ascii="Calibri"/>
          <w:color w:val="231F20"/>
          <w:w w:val="110"/>
          <w:sz w:val="18"/>
        </w:rPr>
        <w:t>537</w:t>
      </w:r>
    </w:p>
    <w:p>
      <w:pPr>
        <w:spacing w:line="254" w:lineRule="auto" w:before="164"/>
        <w:ind w:left="380" w:right="713" w:firstLine="0"/>
        <w:jc w:val="left"/>
        <w:rPr>
          <w:sz w:val="18"/>
        </w:rPr>
      </w:pPr>
      <w:r>
        <w:rPr>
          <w:color w:val="231F20"/>
          <w:sz w:val="18"/>
        </w:rPr>
        <w:t>CAMBIOS EN LA POLÍTICA DE SEGURIDAD DE ESTADOS UNIDOS Y SU INCIDENCIA EN AMÉRICA   LATINA</w:t>
      </w:r>
    </w:p>
    <w:p>
      <w:pPr>
        <w:tabs>
          <w:tab w:pos="5799" w:val="left" w:leader="none"/>
        </w:tabs>
        <w:spacing w:before="1"/>
        <w:ind w:left="580" w:right="25" w:firstLine="0"/>
        <w:jc w:val="left"/>
        <w:rPr>
          <w:sz w:val="18"/>
        </w:rPr>
      </w:pPr>
      <w:r>
        <w:rPr>
          <w:i/>
          <w:color w:val="231F20"/>
          <w:w w:val="115"/>
          <w:sz w:val="18"/>
        </w:rPr>
        <w:t>por </w:t>
      </w:r>
      <w:r>
        <w:rPr>
          <w:color w:val="231F20"/>
          <w:w w:val="115"/>
          <w:sz w:val="18"/>
        </w:rPr>
        <w:t>jaime</w:t>
      </w:r>
      <w:r>
        <w:rPr>
          <w:color w:val="231F20"/>
          <w:spacing w:val="25"/>
          <w:w w:val="115"/>
          <w:sz w:val="18"/>
        </w:rPr>
        <w:t> </w:t>
      </w:r>
      <w:r>
        <w:rPr>
          <w:color w:val="231F20"/>
          <w:w w:val="115"/>
          <w:sz w:val="18"/>
        </w:rPr>
        <w:t>zuluaga</w:t>
      </w:r>
      <w:r>
        <w:rPr>
          <w:color w:val="231F20"/>
          <w:spacing w:val="12"/>
          <w:w w:val="115"/>
          <w:sz w:val="18"/>
        </w:rPr>
        <w:t> </w:t>
      </w:r>
      <w:r>
        <w:rPr>
          <w:color w:val="231F20"/>
          <w:w w:val="115"/>
          <w:sz w:val="18"/>
        </w:rPr>
        <w:t>nieto</w:t>
        <w:tab/>
        <w:t>440</w:t>
      </w:r>
    </w:p>
    <w:p>
      <w:pPr>
        <w:spacing w:line="254" w:lineRule="auto" w:before="133"/>
        <w:ind w:left="380" w:right="771" w:firstLine="0"/>
        <w:jc w:val="left"/>
        <w:rPr>
          <w:sz w:val="18"/>
        </w:rPr>
      </w:pPr>
      <w:r>
        <w:rPr>
          <w:color w:val="231F20"/>
          <w:sz w:val="18"/>
        </w:rPr>
        <w:t>CENTRALIDAD DE AMÉRICA LATINA EN LA ESTRATEGIA DE SEGURIDAD HEMISFÉRICA DE ESTADOS   UNIDOS</w:t>
      </w:r>
    </w:p>
    <w:p>
      <w:pPr>
        <w:tabs>
          <w:tab w:pos="5799" w:val="left" w:leader="none"/>
        </w:tabs>
        <w:spacing w:before="1"/>
        <w:ind w:left="580" w:right="25" w:firstLine="0"/>
        <w:jc w:val="left"/>
        <w:rPr>
          <w:sz w:val="18"/>
        </w:rPr>
      </w:pPr>
      <w:r>
        <w:rPr>
          <w:i/>
          <w:color w:val="231F20"/>
          <w:w w:val="115"/>
          <w:sz w:val="18"/>
        </w:rPr>
        <w:t>por </w:t>
      </w:r>
      <w:r>
        <w:rPr>
          <w:color w:val="231F20"/>
          <w:w w:val="115"/>
          <w:sz w:val="18"/>
        </w:rPr>
        <w:t>maría josé </w:t>
      </w:r>
      <w:r>
        <w:rPr>
          <w:color w:val="231F20"/>
          <w:spacing w:val="11"/>
          <w:w w:val="115"/>
          <w:sz w:val="18"/>
        </w:rPr>
        <w:t> </w:t>
      </w:r>
      <w:r>
        <w:rPr>
          <w:color w:val="231F20"/>
          <w:w w:val="115"/>
          <w:sz w:val="18"/>
        </w:rPr>
        <w:t>rodríguez</w:t>
      </w:r>
      <w:r>
        <w:rPr>
          <w:color w:val="231F20"/>
          <w:spacing w:val="21"/>
          <w:w w:val="115"/>
          <w:sz w:val="18"/>
        </w:rPr>
        <w:t> </w:t>
      </w:r>
      <w:r>
        <w:rPr>
          <w:color w:val="231F20"/>
          <w:w w:val="115"/>
          <w:sz w:val="18"/>
        </w:rPr>
        <w:t>rejas</w:t>
        <w:tab/>
        <w:t>462</w:t>
      </w:r>
    </w:p>
    <w:p>
      <w:pPr>
        <w:spacing w:line="254" w:lineRule="auto" w:before="133"/>
        <w:ind w:left="380" w:right="1050" w:firstLine="0"/>
        <w:jc w:val="left"/>
        <w:rPr>
          <w:sz w:val="18"/>
        </w:rPr>
      </w:pPr>
      <w:r>
        <w:rPr>
          <w:color w:val="231F20"/>
          <w:sz w:val="18"/>
        </w:rPr>
        <w:t>LA POLÍTICA EXTERIOR ESTADUNIDENSE PARA LA AMÉRICA ANDINA EN LA TRANSICIÓN REPUBLICANO- DEMÓCRATA.  CONTINUIDADES  Y DISCONTINUIDADES</w:t>
      </w:r>
    </w:p>
    <w:p>
      <w:pPr>
        <w:tabs>
          <w:tab w:pos="5799" w:val="left" w:leader="none"/>
        </w:tabs>
        <w:spacing w:before="1"/>
        <w:ind w:left="580" w:right="25" w:firstLine="0"/>
        <w:jc w:val="left"/>
        <w:rPr>
          <w:sz w:val="18"/>
        </w:rPr>
      </w:pPr>
      <w:r>
        <w:rPr>
          <w:i/>
          <w:color w:val="231F20"/>
          <w:w w:val="115"/>
          <w:sz w:val="18"/>
        </w:rPr>
        <w:t>por </w:t>
      </w:r>
      <w:r>
        <w:rPr>
          <w:color w:val="231F20"/>
          <w:w w:val="125"/>
          <w:sz w:val="18"/>
        </w:rPr>
        <w:t>catalina</w:t>
      </w:r>
      <w:r>
        <w:rPr>
          <w:color w:val="231F20"/>
          <w:spacing w:val="7"/>
          <w:w w:val="125"/>
          <w:sz w:val="18"/>
        </w:rPr>
        <w:t> </w:t>
      </w:r>
      <w:r>
        <w:rPr>
          <w:color w:val="231F20"/>
          <w:w w:val="130"/>
          <w:sz w:val="18"/>
        </w:rPr>
        <w:t>toro</w:t>
      </w:r>
      <w:r>
        <w:rPr>
          <w:color w:val="231F20"/>
          <w:spacing w:val="-1"/>
          <w:w w:val="130"/>
          <w:sz w:val="18"/>
        </w:rPr>
        <w:t> </w:t>
      </w:r>
      <w:r>
        <w:rPr>
          <w:color w:val="231F20"/>
          <w:w w:val="125"/>
          <w:sz w:val="18"/>
        </w:rPr>
        <w:t>pérez</w:t>
        <w:tab/>
        <w:t>483</w:t>
      </w:r>
    </w:p>
    <w:p>
      <w:pPr>
        <w:spacing w:line="254" w:lineRule="auto" w:before="133"/>
        <w:ind w:left="380" w:right="1594" w:firstLine="0"/>
        <w:jc w:val="left"/>
        <w:rPr>
          <w:sz w:val="18"/>
        </w:rPr>
      </w:pPr>
      <w:r>
        <w:rPr>
          <w:color w:val="231F20"/>
          <w:sz w:val="18"/>
        </w:rPr>
        <w:t>SEGURIDAD NACIONAL, RECURSOS NATURALES Y DEPENDENCIA ESTADUNIDENSE. MINERALES</w:t>
      </w:r>
    </w:p>
    <w:p>
      <w:pPr>
        <w:spacing w:line="254" w:lineRule="auto" w:before="1"/>
        <w:ind w:left="380" w:right="1339" w:firstLine="0"/>
        <w:jc w:val="left"/>
        <w:rPr>
          <w:sz w:val="18"/>
        </w:rPr>
      </w:pPr>
      <w:r>
        <w:rPr>
          <w:color w:val="231F20"/>
          <w:sz w:val="18"/>
        </w:rPr>
        <w:t>ESTRATÉGICOS EN LA AGENDA ESTADOS UNIDOS- AMÉRICA LATINA</w:t>
      </w:r>
    </w:p>
    <w:p>
      <w:pPr>
        <w:tabs>
          <w:tab w:pos="5799" w:val="left" w:leader="none"/>
        </w:tabs>
        <w:spacing w:before="1"/>
        <w:ind w:left="580" w:right="25" w:firstLine="0"/>
        <w:jc w:val="left"/>
        <w:rPr>
          <w:sz w:val="18"/>
        </w:rPr>
      </w:pPr>
      <w:r>
        <w:rPr>
          <w:i/>
          <w:color w:val="231F20"/>
          <w:w w:val="115"/>
          <w:sz w:val="18"/>
        </w:rPr>
        <w:t>por </w:t>
      </w:r>
      <w:r>
        <w:rPr>
          <w:color w:val="231F20"/>
          <w:w w:val="120"/>
          <w:sz w:val="18"/>
        </w:rPr>
        <w:t>gian carlo</w:t>
      </w:r>
      <w:r>
        <w:rPr>
          <w:color w:val="231F20"/>
          <w:spacing w:val="35"/>
          <w:w w:val="120"/>
          <w:sz w:val="18"/>
        </w:rPr>
        <w:t> </w:t>
      </w:r>
      <w:r>
        <w:rPr>
          <w:color w:val="231F20"/>
          <w:w w:val="120"/>
          <w:sz w:val="18"/>
        </w:rPr>
        <w:t>delgado</w:t>
      </w:r>
      <w:r>
        <w:rPr>
          <w:color w:val="231F20"/>
          <w:spacing w:val="11"/>
          <w:w w:val="120"/>
          <w:sz w:val="18"/>
        </w:rPr>
        <w:t> </w:t>
      </w:r>
      <w:r>
        <w:rPr>
          <w:color w:val="231F20"/>
          <w:w w:val="120"/>
          <w:sz w:val="18"/>
        </w:rPr>
        <w:t>ramos</w:t>
        <w:tab/>
        <w:t>505</w:t>
      </w:r>
    </w:p>
    <w:p>
      <w:pPr>
        <w:tabs>
          <w:tab w:pos="5799" w:val="left" w:leader="none"/>
        </w:tabs>
        <w:spacing w:before="133"/>
        <w:ind w:left="100" w:right="25" w:firstLine="0"/>
        <w:jc w:val="left"/>
        <w:rPr>
          <w:sz w:val="18"/>
        </w:rPr>
      </w:pPr>
      <w:r>
        <w:rPr>
          <w:color w:val="231F20"/>
          <w:w w:val="105"/>
          <w:sz w:val="18"/>
        </w:rPr>
        <w:t>LOS</w:t>
      </w:r>
      <w:r>
        <w:rPr>
          <w:color w:val="231F20"/>
          <w:spacing w:val="1"/>
          <w:w w:val="105"/>
          <w:sz w:val="18"/>
        </w:rPr>
        <w:t> </w:t>
      </w:r>
      <w:r>
        <w:rPr>
          <w:color w:val="231F20"/>
          <w:w w:val="105"/>
          <w:sz w:val="18"/>
        </w:rPr>
        <w:t>AUTORES</w:t>
        <w:tab/>
        <w:t>526</w:t>
      </w:r>
    </w:p>
    <w:sectPr>
      <w:headerReference w:type="default" r:id="rId443"/>
      <w:pgSz w:w="7640" w:h="11900"/>
      <w:pgMar w:header="0" w:footer="0" w:top="620" w:bottom="280" w:left="660" w:right="7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Wingdings">
    <w:altName w:val="Wingdings"/>
    <w:charset w:val="2"/>
    <w:family w:val="auto"/>
    <w:pitch w:val="variable"/>
  </w:font>
  <w:font w:name="Calibri">
    <w:altName w:val="Calibri"/>
    <w:charset w:val="0"/>
    <w:family w:val="swiss"/>
    <w:pitch w:val="variable"/>
  </w:font>
  <w:font w:name="Sitka Heading">
    <w:altName w:val="Sitka Heading"/>
    <w:charset w:val="0"/>
    <w:family w:val="auto"/>
    <w:pitch w:val="variable"/>
  </w:font>
  <w:font w:name="Plantagenet Cherokee">
    <w:altName w:val="Plantagenet Cherokee"/>
    <w:charset w:val="0"/>
    <w:family w:val="roman"/>
    <w:pitch w:val="variable"/>
  </w:font>
  <w:font w:name="Cambria">
    <w:altName w:val="Cambria"/>
    <w:charset w:val="0"/>
    <w:family w:val="roman"/>
    <w:pitch w:val="variable"/>
  </w:font>
  <w:font w:name="Georgia">
    <w:altName w:val="Georgia"/>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7.05pt;height:11pt;mso-position-horizontal-relative:page;mso-position-vertical-relative:page;z-index:-356320" type="#_x0000_t202" filled="false" stroked="false">
          <v:textbox inset="0,0,0,0">
            <w:txbxContent>
              <w:p>
                <w:pPr>
                  <w:spacing w:line="207" w:lineRule="exact" w:before="0"/>
                  <w:ind w:left="20" w:right="0" w:firstLine="0"/>
                  <w:jc w:val="left"/>
                  <w:rPr>
                    <w:rFonts w:ascii="Calibri"/>
                    <w:sz w:val="18"/>
                  </w:rPr>
                </w:pPr>
                <w:r>
                  <w:rPr>
                    <w:rFonts w:ascii="Calibri"/>
                    <w:color w:val="231F20"/>
                    <w:w w:val="109"/>
                    <w:sz w:val="18"/>
                  </w:rPr>
                  <w:t>8</w:t>
                </w:r>
              </w:p>
            </w:txbxContent>
          </v:textbox>
          <w10:wrap type="none"/>
        </v:shape>
      </w:pict>
    </w:r>
    <w:r>
      <w:rPr/>
      <w:pict>
        <v:shape style="position:absolute;margin-left:246.941803pt;margin-top:33.582836pt;width:98.1pt;height:11pt;mso-position-horizontal-relative:page;mso-position-vertical-relative:page;z-index:-356296"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38.35pt;height:11pt;mso-position-horizontal-relative:page;mso-position-vertical-relative:page;z-index:-35593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prólogo</w:t>
                </w:r>
              </w:p>
            </w:txbxContent>
          </v:textbox>
          <w10:wrap type="none"/>
        </v:shape>
      </w:pict>
    </w:r>
    <w:r>
      <w:rPr/>
      <w:pict>
        <v:shape style="position:absolute;margin-left:326.945190pt;margin-top:33.582836pt;width:12.1pt;height:11pt;mso-position-horizontal-relative:page;mso-position-vertical-relative:page;z-index:-35591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21</w:t>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238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212</w:t>
                </w:r>
                <w:r>
                  <w:rPr/>
                  <w:fldChar w:fldCharType="end"/>
                </w:r>
              </w:p>
            </w:txbxContent>
          </v:textbox>
          <w10:wrap type="none"/>
        </v:shape>
      </w:pict>
    </w:r>
    <w:r>
      <w:rPr/>
      <w:pict>
        <v:shape style="position:absolute;margin-left:275.025391pt;margin-top:33.582836pt;width:70pt;height:11pt;mso-position-horizontal-relative:page;mso-position-vertical-relative:page;z-index:-352360" type="#_x0000_t202" filled="false" stroked="false">
          <v:textbox inset="0,0,0,0">
            <w:txbxContent>
              <w:p>
                <w:pPr>
                  <w:spacing w:line="207" w:lineRule="exact" w:before="0"/>
                  <w:ind w:left="20" w:right="-10" w:firstLine="0"/>
                  <w:jc w:val="left"/>
                  <w:rPr>
                    <w:rFonts w:ascii="Calibri"/>
                    <w:sz w:val="18"/>
                  </w:rPr>
                </w:pPr>
                <w:r>
                  <w:rPr>
                    <w:rFonts w:ascii="Calibri"/>
                    <w:color w:val="231F20"/>
                    <w:w w:val="120"/>
                    <w:sz w:val="18"/>
                  </w:rPr>
                  <w:t>daniel munevar</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33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220</w:t>
                </w:r>
              </w:p>
            </w:txbxContent>
          </v:textbox>
          <w10:wrap type="none"/>
        </v:shape>
      </w:pict>
    </w:r>
    <w:r>
      <w:rPr/>
      <w:pict>
        <v:shape style="position:absolute;margin-left:275.025391pt;margin-top:33.582836pt;width:70pt;height:11pt;mso-position-horizontal-relative:page;mso-position-vertical-relative:page;z-index:-352312" type="#_x0000_t202" filled="false" stroked="false">
          <v:textbox inset="0,0,0,0">
            <w:txbxContent>
              <w:p>
                <w:pPr>
                  <w:spacing w:line="207" w:lineRule="exact" w:before="0"/>
                  <w:ind w:left="20" w:right="-10" w:firstLine="0"/>
                  <w:jc w:val="left"/>
                  <w:rPr>
                    <w:rFonts w:ascii="Calibri"/>
                    <w:sz w:val="18"/>
                  </w:rPr>
                </w:pPr>
                <w:r>
                  <w:rPr>
                    <w:rFonts w:ascii="Calibri"/>
                    <w:color w:val="231F20"/>
                    <w:w w:val="120"/>
                    <w:sz w:val="18"/>
                  </w:rPr>
                  <w:t>daniel munevar</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3pt;height:11pt;mso-position-horizontal-relative:page;mso-position-vertical-relative:page;z-index:-3522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déficit fiscal de estados unidos</w:t>
                </w:r>
              </w:p>
            </w:txbxContent>
          </v:textbox>
          <w10:wrap type="none"/>
        </v:shape>
      </w:pict>
    </w:r>
    <w:r>
      <w:rPr/>
      <w:pict>
        <v:shape style="position:absolute;margin-left:321.894409pt;margin-top:33.582836pt;width:17.150pt;height:11pt;mso-position-horizontal-relative:page;mso-position-vertical-relative:page;z-index:-3522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221</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224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222</w:t>
                </w:r>
                <w:r>
                  <w:rPr/>
                  <w:fldChar w:fldCharType="end"/>
                </w:r>
              </w:p>
            </w:txbxContent>
          </v:textbox>
          <w10:wrap type="none"/>
        </v:shape>
      </w:pict>
    </w:r>
    <w:r>
      <w:rPr/>
      <w:pict>
        <v:shape style="position:absolute;margin-left:275.025391pt;margin-top:33.582836pt;width:70pt;height:11pt;mso-position-horizontal-relative:page;mso-position-vertical-relative:page;z-index:-352216" type="#_x0000_t202" filled="false" stroked="false">
          <v:textbox inset="0,0,0,0">
            <w:txbxContent>
              <w:p>
                <w:pPr>
                  <w:spacing w:line="207" w:lineRule="exact" w:before="0"/>
                  <w:ind w:left="20" w:right="-10" w:firstLine="0"/>
                  <w:jc w:val="left"/>
                  <w:rPr>
                    <w:rFonts w:ascii="Calibri"/>
                    <w:sz w:val="18"/>
                  </w:rPr>
                </w:pPr>
                <w:r>
                  <w:rPr>
                    <w:rFonts w:ascii="Calibri"/>
                    <w:color w:val="231F20"/>
                    <w:w w:val="120"/>
                    <w:sz w:val="18"/>
                  </w:rPr>
                  <w:t>daniel munevar</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3pt;height:11pt;mso-position-horizontal-relative:page;mso-position-vertical-relative:page;z-index:-35219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déficit fiscal de estados unidos</w:t>
                </w:r>
              </w:p>
            </w:txbxContent>
          </v:textbox>
          <w10:wrap type="none"/>
        </v:shape>
      </w:pict>
    </w:r>
    <w:r>
      <w:rPr/>
      <w:pict>
        <v:shape style="position:absolute;margin-left:320.894409pt;margin-top:33.582836pt;width:19.150pt;height:11pt;mso-position-horizontal-relative:page;mso-position-vertical-relative:page;z-index:-35216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223</w:t>
                </w:r>
                <w:r>
                  <w:rPr/>
                  <w:fldChar w:fldCharType="end"/>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14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230</w:t>
                </w:r>
              </w:p>
            </w:txbxContent>
          </v:textbox>
          <w10:wrap type="none"/>
        </v:shape>
      </w:pict>
    </w:r>
    <w:r>
      <w:rPr/>
      <w:pict>
        <v:shape style="position:absolute;margin-left:275.025391pt;margin-top:33.582836pt;width:70pt;height:11pt;mso-position-horizontal-relative:page;mso-position-vertical-relative:page;z-index:-352120" type="#_x0000_t202" filled="false" stroked="false">
          <v:textbox inset="0,0,0,0">
            <w:txbxContent>
              <w:p>
                <w:pPr>
                  <w:spacing w:line="207" w:lineRule="exact" w:before="0"/>
                  <w:ind w:left="20" w:right="-10" w:firstLine="0"/>
                  <w:jc w:val="left"/>
                  <w:rPr>
                    <w:rFonts w:ascii="Calibri"/>
                    <w:sz w:val="18"/>
                  </w:rPr>
                </w:pPr>
                <w:r>
                  <w:rPr>
                    <w:rFonts w:ascii="Calibri"/>
                    <w:color w:val="231F20"/>
                    <w:w w:val="120"/>
                    <w:sz w:val="18"/>
                  </w:rPr>
                  <w:t>daniel munevar</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3pt;height:11pt;mso-position-horizontal-relative:page;mso-position-vertical-relative:page;z-index:-35209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déficit fiscal de estados unidos</w:t>
                </w:r>
              </w:p>
            </w:txbxContent>
          </v:textbox>
          <w10:wrap type="none"/>
        </v:shape>
      </w:pict>
    </w:r>
    <w:r>
      <w:rPr/>
      <w:pict>
        <v:shape style="position:absolute;margin-left:321.894409pt;margin-top:33.582836pt;width:17.150pt;height:11pt;mso-position-horizontal-relative:page;mso-position-vertical-relative:page;z-index:-35207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231</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04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232</w:t>
                </w:r>
              </w:p>
            </w:txbxContent>
          </v:textbox>
          <w10:wrap type="none"/>
        </v:shape>
      </w:pict>
    </w:r>
    <w:r>
      <w:rPr/>
      <w:pict>
        <v:shape style="position:absolute;margin-left:275.025391pt;margin-top:33.582836pt;width:70pt;height:11pt;mso-position-horizontal-relative:page;mso-position-vertical-relative:page;z-index:-352024" type="#_x0000_t202" filled="false" stroked="false">
          <v:textbox inset="0,0,0,0">
            <w:txbxContent>
              <w:p>
                <w:pPr>
                  <w:spacing w:line="207" w:lineRule="exact" w:before="0"/>
                  <w:ind w:left="20" w:right="-10" w:firstLine="0"/>
                  <w:jc w:val="left"/>
                  <w:rPr>
                    <w:rFonts w:ascii="Calibri"/>
                    <w:sz w:val="18"/>
                  </w:rPr>
                </w:pPr>
                <w:r>
                  <w:rPr>
                    <w:rFonts w:ascii="Calibri"/>
                    <w:color w:val="231F20"/>
                    <w:w w:val="120"/>
                    <w:sz w:val="18"/>
                  </w:rPr>
                  <w:t>daniel munevar</w:t>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20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234</w:t>
                </w:r>
                <w:r>
                  <w:rPr/>
                  <w:fldChar w:fldCharType="end"/>
                </w:r>
              </w:p>
            </w:txbxContent>
          </v:textbox>
          <w10:wrap type="none"/>
        </v:shape>
      </w:pict>
    </w:r>
    <w:r>
      <w:rPr/>
      <w:pict>
        <v:shape style="position:absolute;margin-left:240.096405pt;margin-top:33.582836pt;width:104.95pt;height:11pt;mso-position-horizontal-relative:page;mso-position-vertical-relative:page;z-index:-351976" type="#_x0000_t202" filled="false" stroked="false">
          <v:textbox inset="0,0,0,0">
            <w:txbxContent>
              <w:p>
                <w:pPr>
                  <w:spacing w:line="207" w:lineRule="exact" w:before="0"/>
                  <w:ind w:left="20" w:right="-3" w:firstLine="0"/>
                  <w:jc w:val="left"/>
                  <w:rPr>
                    <w:rFonts w:ascii="Calibri"/>
                    <w:sz w:val="18"/>
                  </w:rPr>
                </w:pPr>
                <w:r>
                  <w:rPr>
                    <w:rFonts w:ascii="Calibri"/>
                    <w:color w:val="231F20"/>
                    <w:w w:val="125"/>
                    <w:sz w:val="18"/>
                  </w:rPr>
                  <w:t>fabio grobart sunshine</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7.3pt;height:11pt;mso-position-horizontal-relative:page;mso-position-vertical-relative:page;z-index:-3519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crisis sistémica estructural</w:t>
                </w:r>
              </w:p>
            </w:txbxContent>
          </v:textbox>
          <w10:wrap type="none"/>
        </v:shape>
      </w:pict>
    </w:r>
    <w:r>
      <w:rPr/>
      <w:pict>
        <v:shape style="position:absolute;margin-left:320.894409pt;margin-top:33.582836pt;width:19.150pt;height:11pt;mso-position-horizontal-relative:page;mso-position-vertical-relative:page;z-index:-3519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235</w:t>
                </w:r>
                <w:r>
                  <w:rPr/>
                  <w:fldChar w:fldCharType="end"/>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19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240</w:t>
                </w:r>
              </w:p>
            </w:txbxContent>
          </v:textbox>
          <w10:wrap type="none"/>
        </v:shape>
      </w:pict>
    </w:r>
    <w:r>
      <w:rPr/>
      <w:pict>
        <v:shape style="position:absolute;margin-left:240.096405pt;margin-top:33.582836pt;width:104.95pt;height:11pt;mso-position-horizontal-relative:page;mso-position-vertical-relative:page;z-index:-351880" type="#_x0000_t202" filled="false" stroked="false">
          <v:textbox inset="0,0,0,0">
            <w:txbxContent>
              <w:p>
                <w:pPr>
                  <w:spacing w:line="207" w:lineRule="exact" w:before="0"/>
                  <w:ind w:left="20" w:right="-3" w:firstLine="0"/>
                  <w:jc w:val="left"/>
                  <w:rPr>
                    <w:rFonts w:ascii="Calibri"/>
                    <w:sz w:val="18"/>
                  </w:rPr>
                </w:pPr>
                <w:r>
                  <w:rPr>
                    <w:rFonts w:ascii="Calibri"/>
                    <w:color w:val="231F20"/>
                    <w:w w:val="125"/>
                    <w:sz w:val="18"/>
                  </w:rPr>
                  <w:t>fabio grobart sunshine</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7.3pt;height:11pt;mso-position-horizontal-relative:page;mso-position-vertical-relative:page;z-index:-3518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crisis sistémica estructural</w:t>
                </w:r>
              </w:p>
            </w:txbxContent>
          </v:textbox>
          <w10:wrap type="none"/>
        </v:shape>
      </w:pict>
    </w:r>
    <w:r>
      <w:rPr/>
      <w:pict>
        <v:shape style="position:absolute;margin-left:321.894409pt;margin-top:33.582836pt;width:17.150pt;height:11pt;mso-position-horizontal-relative:page;mso-position-vertical-relative:page;z-index:-3518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241</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8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242</w:t>
                </w:r>
                <w:r>
                  <w:rPr/>
                  <w:fldChar w:fldCharType="end"/>
                </w:r>
              </w:p>
            </w:txbxContent>
          </v:textbox>
          <w10:wrap type="none"/>
        </v:shape>
      </w:pict>
    </w:r>
    <w:r>
      <w:rPr/>
      <w:pict>
        <v:shape style="position:absolute;margin-left:240.096405pt;margin-top:33.582836pt;width:104.95pt;height:11pt;mso-position-horizontal-relative:page;mso-position-vertical-relative:page;z-index:-351784" type="#_x0000_t202" filled="false" stroked="false">
          <v:textbox inset="0,0,0,0">
            <w:txbxContent>
              <w:p>
                <w:pPr>
                  <w:spacing w:line="207" w:lineRule="exact" w:before="0"/>
                  <w:ind w:left="20" w:right="-3" w:firstLine="0"/>
                  <w:jc w:val="left"/>
                  <w:rPr>
                    <w:rFonts w:ascii="Calibri"/>
                    <w:sz w:val="18"/>
                  </w:rPr>
                </w:pPr>
                <w:r>
                  <w:rPr>
                    <w:rFonts w:ascii="Calibri"/>
                    <w:color w:val="231F20"/>
                    <w:w w:val="125"/>
                    <w:sz w:val="18"/>
                  </w:rPr>
                  <w:t>fabio grobart sunshine</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7.3pt;height:11pt;mso-position-horizontal-relative:page;mso-position-vertical-relative:page;z-index:-35176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crisis sistémica estructural</w:t>
                </w:r>
              </w:p>
            </w:txbxContent>
          </v:textbox>
          <w10:wrap type="none"/>
        </v:shape>
      </w:pict>
    </w:r>
    <w:r>
      <w:rPr/>
      <w:pict>
        <v:shape style="position:absolute;margin-left:320.894409pt;margin-top:33.582836pt;width:19.150pt;height:11pt;mso-position-horizontal-relative:page;mso-position-vertical-relative:page;z-index:-3517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243</w:t>
                </w:r>
                <w:r>
                  <w:rPr/>
                  <w:fldChar w:fldCharType="end"/>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171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250</w:t>
                </w:r>
              </w:p>
            </w:txbxContent>
          </v:textbox>
          <w10:wrap type="none"/>
        </v:shape>
      </w:pict>
    </w:r>
    <w:r>
      <w:rPr/>
      <w:pict>
        <v:shape style="position:absolute;margin-left:240.096405pt;margin-top:33.582836pt;width:104.95pt;height:11pt;mso-position-horizontal-relative:page;mso-position-vertical-relative:page;z-index:-351688" type="#_x0000_t202" filled="false" stroked="false">
          <v:textbox inset="0,0,0,0">
            <w:txbxContent>
              <w:p>
                <w:pPr>
                  <w:spacing w:line="207" w:lineRule="exact" w:before="0"/>
                  <w:ind w:left="20" w:right="-3" w:firstLine="0"/>
                  <w:jc w:val="left"/>
                  <w:rPr>
                    <w:rFonts w:ascii="Calibri"/>
                    <w:sz w:val="18"/>
                  </w:rPr>
                </w:pPr>
                <w:r>
                  <w:rPr>
                    <w:rFonts w:ascii="Calibri"/>
                    <w:color w:val="231F20"/>
                    <w:w w:val="125"/>
                    <w:sz w:val="18"/>
                  </w:rPr>
                  <w:t>fabio grobart sunshine</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7.3pt;height:11pt;mso-position-horizontal-relative:page;mso-position-vertical-relative:page;z-index:-35166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crisis sistémica estructural</w:t>
                </w:r>
              </w:p>
            </w:txbxContent>
          </v:textbox>
          <w10:wrap type="none"/>
        </v:shape>
      </w:pict>
    </w:r>
    <w:r>
      <w:rPr/>
      <w:pict>
        <v:shape style="position:absolute;margin-left:321.894409pt;margin-top:33.582836pt;width:17.150pt;height:11pt;mso-position-horizontal-relative:page;mso-position-vertical-relative:page;z-index:-35164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251</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61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252</w:t>
                </w:r>
                <w:r>
                  <w:rPr/>
                  <w:fldChar w:fldCharType="end"/>
                </w:r>
              </w:p>
            </w:txbxContent>
          </v:textbox>
          <w10:wrap type="none"/>
        </v:shape>
      </w:pict>
    </w:r>
    <w:r>
      <w:rPr/>
      <w:pict>
        <v:shape style="position:absolute;margin-left:240.096405pt;margin-top:33.582836pt;width:104.95pt;height:11pt;mso-position-horizontal-relative:page;mso-position-vertical-relative:page;z-index:-351592" type="#_x0000_t202" filled="false" stroked="false">
          <v:textbox inset="0,0,0,0">
            <w:txbxContent>
              <w:p>
                <w:pPr>
                  <w:spacing w:line="207" w:lineRule="exact" w:before="0"/>
                  <w:ind w:left="20" w:right="-3" w:firstLine="0"/>
                  <w:jc w:val="left"/>
                  <w:rPr>
                    <w:rFonts w:ascii="Calibri"/>
                    <w:sz w:val="18"/>
                  </w:rPr>
                </w:pPr>
                <w:r>
                  <w:rPr>
                    <w:rFonts w:ascii="Calibri"/>
                    <w:color w:val="231F20"/>
                    <w:w w:val="125"/>
                    <w:sz w:val="18"/>
                  </w:rPr>
                  <w:t>fabio grobart sunshine</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7.3pt;height:11pt;mso-position-horizontal-relative:page;mso-position-vertical-relative:page;z-index:-35156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crisis sistémica estructural</w:t>
                </w:r>
              </w:p>
            </w:txbxContent>
          </v:textbox>
          <w10:wrap type="none"/>
        </v:shape>
      </w:pict>
    </w:r>
    <w:r>
      <w:rPr/>
      <w:pict>
        <v:shape style="position:absolute;margin-left:320.894409pt;margin-top:33.582836pt;width:19.150pt;height:11pt;mso-position-horizontal-relative:page;mso-position-vertical-relative:page;z-index:-35154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253</w:t>
                </w:r>
                <w:r>
                  <w:rPr/>
                  <w:fldChar w:fldCharType="end"/>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152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1.894409pt;margin-top:33.582836pt;width:17.150pt;height:11pt;mso-position-horizontal-relative:page;mso-position-vertical-relative:page;z-index:-3514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259</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472" type="#_x0000_t202" filled="false" stroked="false">
          <v:textbox inset="0,0,0,0">
            <w:txbxContent>
              <w:p>
                <w:pPr>
                  <w:spacing w:line="207" w:lineRule="exact" w:before="0"/>
                  <w:ind w:left="40" w:right="0" w:firstLine="0"/>
                  <w:jc w:val="left"/>
                  <w:rPr>
                    <w:rFonts w:ascii="Calibri"/>
                    <w:sz w:val="18"/>
                  </w:rPr>
                </w:pPr>
                <w:r>
                  <w:rPr>
                    <w:rFonts w:ascii="Calibri"/>
                    <w:color w:val="231F20"/>
                    <w:w w:val="110"/>
                    <w:sz w:val="18"/>
                  </w:rPr>
                  <w:t>260</w:t>
                </w:r>
              </w:p>
            </w:txbxContent>
          </v:textbox>
          <w10:wrap type="none"/>
        </v:shape>
      </w:pict>
    </w:r>
    <w:r>
      <w:rPr/>
      <w:pict>
        <v:shape style="position:absolute;margin-left:226.443405pt;margin-top:33.582836pt;width:118.6pt;height:11pt;mso-position-horizontal-relative:page;mso-position-vertical-relative:page;z-index:-3514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142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1.894409pt;margin-top:33.582836pt;width:17.150pt;height:11pt;mso-position-horizontal-relative:page;mso-position-vertical-relative:page;z-index:-35140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261</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376" type="#_x0000_t202" filled="false" stroked="false">
          <v:textbox inset="0,0,0,0">
            <w:txbxContent>
              <w:p>
                <w:pPr>
                  <w:spacing w:line="207" w:lineRule="exact" w:before="0"/>
                  <w:ind w:left="40" w:right="0" w:firstLine="0"/>
                  <w:jc w:val="left"/>
                  <w:rPr>
                    <w:rFonts w:ascii="Calibri"/>
                    <w:sz w:val="18"/>
                  </w:rPr>
                </w:pPr>
                <w:r>
                  <w:rPr>
                    <w:rFonts w:ascii="Calibri"/>
                    <w:color w:val="231F20"/>
                    <w:w w:val="110"/>
                    <w:sz w:val="18"/>
                  </w:rPr>
                  <w:t>262</w:t>
                </w:r>
              </w:p>
            </w:txbxContent>
          </v:textbox>
          <w10:wrap type="none"/>
        </v:shape>
      </w:pict>
    </w:r>
    <w:r>
      <w:rPr/>
      <w:pict>
        <v:shape style="position:absolute;margin-left:226.443405pt;margin-top:33.582836pt;width:118.6pt;height:11pt;mso-position-horizontal-relative:page;mso-position-vertical-relative:page;z-index:-3513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132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0.894409pt;margin-top:33.582836pt;width:19.150pt;height:11pt;mso-position-horizontal-relative:page;mso-position-vertical-relative:page;z-index:-35130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263</w:t>
                </w:r>
                <w:r>
                  <w:rPr/>
                  <w:fldChar w:fldCharType="end"/>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28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264</w:t>
                </w:r>
                <w:r>
                  <w:rPr/>
                  <w:fldChar w:fldCharType="end"/>
                </w:r>
              </w:p>
            </w:txbxContent>
          </v:textbox>
          <w10:wrap type="none"/>
        </v:shape>
      </w:pict>
    </w:r>
    <w:r>
      <w:rPr/>
      <w:pict>
        <v:shape style="position:absolute;margin-left:226.443405pt;margin-top:33.582836pt;width:118.6pt;height:11pt;mso-position-horizontal-relative:page;mso-position-vertical-relative:page;z-index:-3512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12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270</w:t>
                </w:r>
              </w:p>
            </w:txbxContent>
          </v:textbox>
          <w10:wrap type="none"/>
        </v:shape>
      </w:pict>
    </w:r>
    <w:r>
      <w:rPr/>
      <w:pict>
        <v:shape style="position:absolute;margin-left:226.443405pt;margin-top:33.582836pt;width:118.6pt;height:11pt;mso-position-horizontal-relative:page;mso-position-vertical-relative:page;z-index:-35120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11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1.894409pt;margin-top:33.582836pt;width:17.150pt;height:11pt;mso-position-horizontal-relative:page;mso-position-vertical-relative:page;z-index:-35116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271</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11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272</w:t>
                </w:r>
                <w:r>
                  <w:rPr/>
                  <w:fldChar w:fldCharType="end"/>
                </w:r>
              </w:p>
            </w:txbxContent>
          </v:textbox>
          <w10:wrap type="none"/>
        </v:shape>
      </w:pict>
    </w:r>
    <w:r>
      <w:rPr/>
      <w:pict>
        <v:shape style="position:absolute;margin-left:226.443405pt;margin-top:33.582836pt;width:118.6pt;height:11pt;mso-position-horizontal-relative:page;mso-position-vertical-relative:page;z-index:-35111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10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0.894409pt;margin-top:33.582836pt;width:19.150pt;height:11pt;mso-position-horizontal-relative:page;mso-position-vertical-relative:page;z-index:-35106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273</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8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24</w:t>
                </w:r>
                <w:r>
                  <w:rPr/>
                  <w:fldChar w:fldCharType="end"/>
                </w:r>
              </w:p>
            </w:txbxContent>
          </v:textbox>
          <w10:wrap type="none"/>
        </v:shape>
      </w:pict>
    </w:r>
    <w:r>
      <w:rPr/>
      <w:pict>
        <v:shape style="position:absolute;margin-left:172.801605pt;margin-top:33.582836pt;width:172.2pt;height:11pt;mso-position-horizontal-relative:page;mso-position-vertical-relative:page;z-index:-355864" type="#_x0000_t202" filled="false" stroked="false">
          <v:textbox inset="0,0,0,0">
            <w:txbxContent>
              <w:p>
                <w:pPr>
                  <w:spacing w:line="207" w:lineRule="exact" w:before="0"/>
                  <w:ind w:left="20" w:right="-9" w:firstLine="0"/>
                  <w:jc w:val="left"/>
                  <w:rPr>
                    <w:rFonts w:ascii="Calibri" w:hAnsi="Calibri"/>
                    <w:sz w:val="18"/>
                  </w:rPr>
                </w:pPr>
                <w:r>
                  <w:rPr>
                    <w:rFonts w:ascii="Calibri" w:hAnsi="Calibri"/>
                    <w:color w:val="231F20"/>
                    <w:w w:val="125"/>
                    <w:sz w:val="18"/>
                  </w:rPr>
                  <w:t>dídimo castillo y marco a. gandásegui</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104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280</w:t>
                </w:r>
              </w:p>
            </w:txbxContent>
          </v:textbox>
          <w10:wrap type="none"/>
        </v:shape>
      </w:pict>
    </w:r>
    <w:r>
      <w:rPr/>
      <w:pict>
        <v:shape style="position:absolute;margin-left:226.443405pt;margin-top:33.582836pt;width:118.6pt;height:11pt;mso-position-horizontal-relative:page;mso-position-vertical-relative:page;z-index:-35101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099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1.894409pt;margin-top:33.582836pt;width:17.150pt;height:11pt;mso-position-horizontal-relative:page;mso-position-vertical-relative:page;z-index:-3509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281</w:t>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94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282</w:t>
                </w:r>
                <w:r>
                  <w:rPr/>
                  <w:fldChar w:fldCharType="end"/>
                </w:r>
              </w:p>
            </w:txbxContent>
          </v:textbox>
          <w10:wrap type="none"/>
        </v:shape>
      </w:pict>
    </w:r>
    <w:r>
      <w:rPr/>
      <w:pict>
        <v:shape style="position:absolute;margin-left:226.443405pt;margin-top:33.582836pt;width:118.6pt;height:11pt;mso-position-horizontal-relative:page;mso-position-vertical-relative:page;z-index:-35092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dídimo castillo fernández</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1.2pt;height:11pt;mso-position-horizontal-relative:page;mso-position-vertical-relative:page;z-index:-35089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crisis económica, reestructuración productiva</w:t>
                </w:r>
              </w:p>
            </w:txbxContent>
          </v:textbox>
          <w10:wrap type="none"/>
        </v:shape>
      </w:pict>
    </w:r>
    <w:r>
      <w:rPr/>
      <w:pict>
        <v:shape style="position:absolute;margin-left:320.894409pt;margin-top:33.582836pt;width:19.150pt;height:11pt;mso-position-horizontal-relative:page;mso-position-vertical-relative:page;z-index:-35087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283</w:t>
                </w:r>
                <w:r>
                  <w:rPr/>
                  <w:fldChar w:fldCharType="end"/>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8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1.894409pt;margin-top:33.582836pt;width:17.150pt;height:11pt;mso-position-horizontal-relative:page;mso-position-vertical-relative:page;z-index:-3508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289</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800" type="#_x0000_t202" filled="false" stroked="false">
          <v:textbox inset="0,0,0,0">
            <w:txbxContent>
              <w:p>
                <w:pPr>
                  <w:spacing w:line="207" w:lineRule="exact" w:before="0"/>
                  <w:ind w:left="40" w:right="0" w:firstLine="0"/>
                  <w:jc w:val="left"/>
                  <w:rPr>
                    <w:rFonts w:ascii="Calibri"/>
                    <w:sz w:val="18"/>
                  </w:rPr>
                </w:pPr>
                <w:r>
                  <w:rPr>
                    <w:rFonts w:ascii="Calibri"/>
                    <w:color w:val="231F20"/>
                    <w:w w:val="110"/>
                    <w:sz w:val="18"/>
                  </w:rPr>
                  <w:t>290</w:t>
                </w:r>
              </w:p>
            </w:txbxContent>
          </v:textbox>
          <w10:wrap type="none"/>
        </v:shape>
      </w:pict>
    </w:r>
    <w:r>
      <w:rPr/>
      <w:pict>
        <v:shape style="position:absolute;margin-left:253.848404pt;margin-top:33.582836pt;width:91.2pt;height:11pt;mso-position-horizontal-relative:page;mso-position-vertical-relative:page;z-index:-35077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7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1.894409pt;margin-top:33.582836pt;width:17.150pt;height:11pt;mso-position-horizontal-relative:page;mso-position-vertical-relative:page;z-index:-35072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291</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704" type="#_x0000_t202" filled="false" stroked="false">
          <v:textbox inset="0,0,0,0">
            <w:txbxContent>
              <w:p>
                <w:pPr>
                  <w:spacing w:line="207" w:lineRule="exact" w:before="0"/>
                  <w:ind w:left="40" w:right="0" w:firstLine="0"/>
                  <w:jc w:val="left"/>
                  <w:rPr>
                    <w:rFonts w:ascii="Calibri"/>
                    <w:sz w:val="18"/>
                  </w:rPr>
                </w:pPr>
                <w:r>
                  <w:rPr>
                    <w:rFonts w:ascii="Calibri"/>
                    <w:color w:val="231F20"/>
                    <w:w w:val="110"/>
                    <w:sz w:val="18"/>
                  </w:rPr>
                  <w:t>292</w:t>
                </w:r>
              </w:p>
            </w:txbxContent>
          </v:textbox>
          <w10:wrap type="none"/>
        </v:shape>
      </w:pict>
    </w:r>
    <w:r>
      <w:rPr/>
      <w:pict>
        <v:shape style="position:absolute;margin-left:253.848404pt;margin-top:33.582836pt;width:91.2pt;height:11pt;mso-position-horizontal-relative:page;mso-position-vertical-relative:page;z-index:-35068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6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0.894409pt;margin-top:33.582836pt;width:19.150pt;height:11pt;mso-position-horizontal-relative:page;mso-position-vertical-relative:page;z-index:-35063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293</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05pt;height:11pt;mso-position-horizontal-relative:page;mso-position-vertical-relative:page;z-index:-35584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estados unidos en la encrucijada global</w:t>
                </w:r>
              </w:p>
            </w:txbxContent>
          </v:textbox>
          <w10:wrap type="none"/>
        </v:shape>
      </w:pict>
    </w:r>
    <w:r>
      <w:rPr/>
      <w:pict>
        <v:shape style="position:absolute;margin-left:325.945190pt;margin-top:33.582836pt;width:14.1pt;height:11pt;mso-position-horizontal-relative:page;mso-position-vertical-relative:page;z-index:-35581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25</w:t>
                </w:r>
                <w:r>
                  <w:rPr/>
                  <w:fldChar w:fldCharType="end"/>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6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294</w:t>
                </w:r>
                <w:r>
                  <w:rPr/>
                  <w:fldChar w:fldCharType="end"/>
                </w:r>
              </w:p>
            </w:txbxContent>
          </v:textbox>
          <w10:wrap type="none"/>
        </v:shape>
      </w:pict>
    </w:r>
    <w:r>
      <w:rPr/>
      <w:pict>
        <v:shape style="position:absolute;margin-left:253.848404pt;margin-top:33.582836pt;width:91.2pt;height:11pt;mso-position-horizontal-relative:page;mso-position-vertical-relative:page;z-index:-35058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056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300</w:t>
                </w:r>
              </w:p>
            </w:txbxContent>
          </v:textbox>
          <w10:wrap type="none"/>
        </v:shape>
      </w:pict>
    </w:r>
    <w:r>
      <w:rPr/>
      <w:pict>
        <v:shape style="position:absolute;margin-left:253.848404pt;margin-top:33.582836pt;width:91.2pt;height:11pt;mso-position-horizontal-relative:page;mso-position-vertical-relative:page;z-index:-35053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51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1.894409pt;margin-top:33.582836pt;width:17.150pt;height:11pt;mso-position-horizontal-relative:page;mso-position-vertical-relative:page;z-index:-35048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301</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46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302</w:t>
                </w:r>
                <w:r>
                  <w:rPr/>
                  <w:fldChar w:fldCharType="end"/>
                </w:r>
              </w:p>
            </w:txbxContent>
          </v:textbox>
          <w10:wrap type="none"/>
        </v:shape>
      </w:pict>
    </w:r>
    <w:r>
      <w:rPr/>
      <w:pict>
        <v:shape style="position:absolute;margin-left:253.848404pt;margin-top:33.582836pt;width:91.2pt;height:11pt;mso-position-horizontal-relative:page;mso-position-vertical-relative:page;z-index:-35044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41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0.894409pt;margin-top:33.582836pt;width:19.150pt;height:11pt;mso-position-horizontal-relative:page;mso-position-vertical-relative:page;z-index:-3503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303</w:t>
                </w:r>
                <w:r>
                  <w:rPr/>
                  <w:fldChar w:fldCharType="end"/>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03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310</w:t>
                </w:r>
              </w:p>
            </w:txbxContent>
          </v:textbox>
          <w10:wrap type="none"/>
        </v:shape>
      </w:pict>
    </w:r>
    <w:r>
      <w:rPr/>
      <w:pict>
        <v:shape style="position:absolute;margin-left:253.848404pt;margin-top:33.582836pt;width:91.2pt;height:11pt;mso-position-horizontal-relative:page;mso-position-vertical-relative:page;z-index:-35034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32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1.894409pt;margin-top:33.582836pt;width:17.150pt;height:11pt;mso-position-horizontal-relative:page;mso-position-vertical-relative:page;z-index:-3502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311</w:t>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027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312</w:t>
                </w:r>
                <w:r>
                  <w:rPr/>
                  <w:fldChar w:fldCharType="end"/>
                </w:r>
              </w:p>
            </w:txbxContent>
          </v:textbox>
          <w10:wrap type="none"/>
        </v:shape>
      </w:pict>
    </w:r>
    <w:r>
      <w:rPr/>
      <w:pict>
        <v:shape style="position:absolute;margin-left:253.848404pt;margin-top:33.582836pt;width:91.2pt;height:11pt;mso-position-horizontal-relative:page;mso-position-vertical-relative:page;z-index:-35024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alejandro i. canales</w:t>
                </w:r>
              </w:p>
            </w:txbxContent>
          </v:textbox>
          <w10:wrap type="none"/>
        </v:shape>
      </w:pict>
    </w: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10.7pt;height:11pt;mso-position-horizontal-relative:page;mso-position-vertical-relative:page;z-index:-35022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inmigración</w:t>
                </w:r>
                <w:r>
                  <w:rPr>
                    <w:rFonts w:ascii="Calibri" w:hAnsi="Calibri"/>
                    <w:color w:val="231F20"/>
                    <w:spacing w:val="-25"/>
                    <w:w w:val="130"/>
                    <w:sz w:val="18"/>
                  </w:rPr>
                  <w:t> </w:t>
                </w:r>
                <w:r>
                  <w:rPr>
                    <w:rFonts w:ascii="Calibri" w:hAnsi="Calibri"/>
                    <w:color w:val="231F20"/>
                    <w:w w:val="130"/>
                    <w:sz w:val="18"/>
                  </w:rPr>
                  <w:t>latinoamericana</w:t>
                </w:r>
                <w:r>
                  <w:rPr>
                    <w:rFonts w:ascii="Calibri" w:hAnsi="Calibri"/>
                    <w:color w:val="231F20"/>
                    <w:spacing w:val="-25"/>
                    <w:w w:val="130"/>
                    <w:sz w:val="18"/>
                  </w:rPr>
                  <w:t> </w:t>
                </w:r>
                <w:r>
                  <w:rPr>
                    <w:rFonts w:ascii="Calibri" w:hAnsi="Calibri"/>
                    <w:color w:val="231F20"/>
                    <w:w w:val="130"/>
                    <w:sz w:val="18"/>
                  </w:rPr>
                  <w:t>frente</w:t>
                </w:r>
                <w:r>
                  <w:rPr>
                    <w:rFonts w:ascii="Calibri" w:hAnsi="Calibri"/>
                    <w:color w:val="231F20"/>
                    <w:spacing w:val="-25"/>
                    <w:w w:val="130"/>
                    <w:sz w:val="18"/>
                  </w:rPr>
                  <w:t> </w:t>
                </w:r>
                <w:r>
                  <w:rPr>
                    <w:rFonts w:ascii="Calibri" w:hAnsi="Calibri"/>
                    <w:color w:val="231F20"/>
                    <w:w w:val="130"/>
                    <w:sz w:val="18"/>
                  </w:rPr>
                  <w:t>a</w:t>
                </w:r>
                <w:r>
                  <w:rPr>
                    <w:rFonts w:ascii="Calibri" w:hAnsi="Calibri"/>
                    <w:color w:val="231F20"/>
                    <w:spacing w:val="-25"/>
                    <w:w w:val="130"/>
                    <w:sz w:val="18"/>
                  </w:rPr>
                  <w:t> </w:t>
                </w:r>
                <w:r>
                  <w:rPr>
                    <w:rFonts w:ascii="Calibri" w:hAnsi="Calibri"/>
                    <w:color w:val="231F20"/>
                    <w:w w:val="130"/>
                    <w:sz w:val="18"/>
                  </w:rPr>
                  <w:t>la</w:t>
                </w:r>
                <w:r>
                  <w:rPr>
                    <w:rFonts w:ascii="Calibri" w:hAnsi="Calibri"/>
                    <w:color w:val="231F20"/>
                    <w:spacing w:val="-25"/>
                    <w:w w:val="130"/>
                    <w:sz w:val="18"/>
                  </w:rPr>
                  <w:t> </w:t>
                </w:r>
                <w:r>
                  <w:rPr>
                    <w:rFonts w:ascii="Calibri" w:hAnsi="Calibri"/>
                    <w:color w:val="231F20"/>
                    <w:w w:val="130"/>
                    <w:sz w:val="18"/>
                  </w:rPr>
                  <w:t>crisis</w:t>
                </w:r>
              </w:p>
            </w:txbxContent>
          </v:textbox>
          <w10:wrap type="none"/>
        </v:shape>
      </w:pict>
    </w:r>
    <w:r>
      <w:rPr/>
      <w:pict>
        <v:shape style="position:absolute;margin-left:320.894409pt;margin-top:33.582836pt;width:19.150pt;height:11pt;mso-position-horizontal-relative:page;mso-position-vertical-relative:page;z-index:-3502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313</w:t>
                </w:r>
                <w:r>
                  <w:rPr/>
                  <w:fldChar w:fldCharType="end"/>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579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30</w:t>
                </w:r>
              </w:p>
            </w:txbxContent>
          </v:textbox>
          <w10:wrap type="none"/>
        </v:shape>
      </w:pict>
    </w:r>
    <w:r>
      <w:rPr/>
      <w:pict>
        <v:shape style="position:absolute;margin-left:172.801605pt;margin-top:33.582836pt;width:172.2pt;height:11pt;mso-position-horizontal-relative:page;mso-position-vertical-relative:page;z-index:-355768" type="#_x0000_t202" filled="false" stroked="false">
          <v:textbox inset="0,0,0,0">
            <w:txbxContent>
              <w:p>
                <w:pPr>
                  <w:spacing w:line="207" w:lineRule="exact" w:before="0"/>
                  <w:ind w:left="20" w:right="-9" w:firstLine="0"/>
                  <w:jc w:val="left"/>
                  <w:rPr>
                    <w:rFonts w:ascii="Calibri" w:hAnsi="Calibri"/>
                    <w:sz w:val="18"/>
                  </w:rPr>
                </w:pPr>
                <w:r>
                  <w:rPr>
                    <w:rFonts w:ascii="Calibri" w:hAnsi="Calibri"/>
                    <w:color w:val="231F20"/>
                    <w:w w:val="125"/>
                    <w:sz w:val="18"/>
                  </w:rPr>
                  <w:t>dídimo castillo y marco a. gandásegui</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8.2pt;height:11pt;mso-position-horizontal-relative:page;mso-position-vertical-relative:page;z-index:-3501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¿el fin del sueño americano?</w:t>
                </w:r>
              </w:p>
            </w:txbxContent>
          </v:textbox>
          <w10:wrap type="none"/>
        </v:shape>
      </w:pict>
    </w:r>
    <w:r>
      <w:rPr/>
      <w:pict>
        <v:shape style="position:absolute;margin-left:320.894409pt;margin-top:33.582836pt;width:19.150pt;height:11pt;mso-position-horizontal-relative:page;mso-position-vertical-relative:page;z-index:-35015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317</w:t>
                </w:r>
                <w:r>
                  <w:rPr/>
                  <w:fldChar w:fldCharType="end"/>
                </w:r>
              </w:p>
            </w:txbxContent>
          </v:textbox>
          <w10:wrap type="none"/>
        </v:shape>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012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318</w:t>
                </w:r>
              </w:p>
            </w:txbxContent>
          </v:textbox>
          <w10:wrap type="none"/>
        </v:shape>
      </w:pict>
    </w:r>
    <w:r>
      <w:rPr/>
      <w:pict>
        <v:shape style="position:absolute;margin-left:247.395401pt;margin-top:33.582836pt;width:97.65pt;height:11pt;mso-position-horizontal-relative:page;mso-position-vertical-relative:page;z-index:-35010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martin cypher</w:t>
                </w:r>
              </w:p>
            </w:txbxContent>
          </v:textbox>
          <w10:wrap type="none"/>
        </v:shape>
      </w:pict>
    </w: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008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320</w:t>
                </w:r>
              </w:p>
            </w:txbxContent>
          </v:textbox>
          <w10:wrap type="none"/>
        </v:shape>
      </w:pict>
    </w:r>
    <w:r>
      <w:rPr/>
      <w:pict>
        <v:shape style="position:absolute;margin-left:247.395401pt;margin-top:33.582836pt;width:97.65pt;height:11pt;mso-position-horizontal-relative:page;mso-position-vertical-relative:page;z-index:-35005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martin cypher</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8.2pt;height:11pt;mso-position-horizontal-relative:page;mso-position-vertical-relative:page;z-index:-3500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¿el fin del sueño americano?</w:t>
                </w:r>
              </w:p>
            </w:txbxContent>
          </v:textbox>
          <w10:wrap type="none"/>
        </v:shape>
      </w:pict>
    </w:r>
    <w:r>
      <w:rPr/>
      <w:pict>
        <v:shape style="position:absolute;margin-left:321.894409pt;margin-top:33.582836pt;width:17.150pt;height:11pt;mso-position-horizontal-relative:page;mso-position-vertical-relative:page;z-index:-35000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321</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98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322</w:t>
                </w:r>
                <w:r>
                  <w:rPr/>
                  <w:fldChar w:fldCharType="end"/>
                </w:r>
              </w:p>
            </w:txbxContent>
          </v:textbox>
          <w10:wrap type="none"/>
        </v:shape>
      </w:pict>
    </w:r>
    <w:r>
      <w:rPr/>
      <w:pict>
        <v:shape style="position:absolute;margin-left:247.395401pt;margin-top:33.582836pt;width:97.65pt;height:11pt;mso-position-horizontal-relative:page;mso-position-vertical-relative:page;z-index:-34996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martin cypher</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8.2pt;height:11pt;mso-position-horizontal-relative:page;mso-position-vertical-relative:page;z-index:-34993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¿el fin del sueño americano?</w:t>
                </w:r>
              </w:p>
            </w:txbxContent>
          </v:textbox>
          <w10:wrap type="none"/>
        </v:shape>
      </w:pict>
    </w:r>
    <w:r>
      <w:rPr/>
      <w:pict>
        <v:shape style="position:absolute;margin-left:320.894409pt;margin-top:33.582836pt;width:19.150pt;height:11pt;mso-position-horizontal-relative:page;mso-position-vertical-relative:page;z-index:-34991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323</w:t>
                </w:r>
                <w:r>
                  <w:rPr/>
                  <w:fldChar w:fldCharType="end"/>
                </w:r>
              </w:p>
            </w:txbxContent>
          </v:textbox>
          <w10:wrap type="none"/>
        </v:shape>
      </w:pict>
    </w: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988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330</w:t>
                </w:r>
              </w:p>
            </w:txbxContent>
          </v:textbox>
          <w10:wrap type="none"/>
        </v:shape>
      </w:pict>
    </w:r>
    <w:r>
      <w:rPr/>
      <w:pict>
        <v:shape style="position:absolute;margin-left:247.395401pt;margin-top:33.582836pt;width:97.65pt;height:11pt;mso-position-horizontal-relative:page;mso-position-vertical-relative:page;z-index:-34986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martin cypher</w:t>
                </w:r>
              </w:p>
            </w:txbxContent>
          </v:textbox>
          <w10:wrap type="none"/>
        </v:shape>
      </w:pict>
    </w: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8.2pt;height:11pt;mso-position-horizontal-relative:page;mso-position-vertical-relative:page;z-index:-34984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¿el fin del sueño americano?</w:t>
                </w:r>
              </w:p>
            </w:txbxContent>
          </v:textbox>
          <w10:wrap type="none"/>
        </v:shape>
      </w:pict>
    </w:r>
    <w:r>
      <w:rPr/>
      <w:pict>
        <v:shape style="position:absolute;margin-left:321.894409pt;margin-top:33.582836pt;width:17.150pt;height:11pt;mso-position-horizontal-relative:page;mso-position-vertical-relative:page;z-index:-34981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331</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7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332</w:t>
                </w:r>
                <w:r>
                  <w:rPr/>
                  <w:fldChar w:fldCharType="end"/>
                </w:r>
              </w:p>
            </w:txbxContent>
          </v:textbox>
          <w10:wrap type="none"/>
        </v:shape>
      </w:pict>
    </w:r>
    <w:r>
      <w:rPr/>
      <w:pict>
        <v:shape style="position:absolute;margin-left:247.395401pt;margin-top:33.582836pt;width:97.65pt;height:11pt;mso-position-horizontal-relative:page;mso-position-vertical-relative:page;z-index:-34976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martin cypher</w:t>
                </w:r>
              </w:p>
            </w:txbxContent>
          </v:textbox>
          <w10:wrap type="none"/>
        </v:shape>
      </w:pict>
    </w: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8.2pt;height:11pt;mso-position-horizontal-relative:page;mso-position-vertical-relative:page;z-index:-34974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¿el fin del sueño americano?</w:t>
                </w:r>
              </w:p>
            </w:txbxContent>
          </v:textbox>
          <w10:wrap type="none"/>
        </v:shape>
      </w:pict>
    </w:r>
    <w:r>
      <w:rPr/>
      <w:pict>
        <v:shape style="position:absolute;margin-left:320.894409pt;margin-top:33.582836pt;width:19.150pt;height:11pt;mso-position-horizontal-relative:page;mso-position-vertical-relative:page;z-index:-3497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333</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05pt;height:11pt;mso-position-horizontal-relative:page;mso-position-vertical-relative:page;z-index:-35574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estados unidos en la encrucijada global</w:t>
                </w:r>
              </w:p>
            </w:txbxContent>
          </v:textbox>
          <w10:wrap type="none"/>
        </v:shape>
      </w:pict>
    </w:r>
    <w:r>
      <w:rPr/>
      <w:pict>
        <v:shape style="position:absolute;margin-left:326.945190pt;margin-top:33.582836pt;width:12.1pt;height:11pt;mso-position-horizontal-relative:page;mso-position-vertical-relative:page;z-index:-35572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31</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69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340</w:t>
                </w:r>
                <w:r>
                  <w:rPr/>
                  <w:fldChar w:fldCharType="end"/>
                </w:r>
              </w:p>
            </w:txbxContent>
          </v:textbox>
          <w10:wrap type="none"/>
        </v:shape>
      </w:pict>
    </w:r>
    <w:r>
      <w:rPr/>
      <w:pict>
        <v:shape style="position:absolute;margin-left:227.649399pt;margin-top:33.582836pt;width:117.4pt;height:11pt;mso-position-horizontal-relative:page;mso-position-vertical-relative:page;z-index:-34967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jorge hernández martínez</w:t>
                </w:r>
              </w:p>
            </w:txbxContent>
          </v:textbox>
          <w10:wrap type="none"/>
        </v:shape>
      </w:pict>
    </w: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5.25pt;height:11pt;mso-position-horizontal-relative:page;mso-position-vertical-relative:page;z-index:-3496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rededifniciones  ideológicas</w:t>
                </w:r>
              </w:p>
            </w:txbxContent>
          </v:textbox>
          <w10:wrap type="none"/>
        </v:shape>
      </w:pict>
    </w:r>
    <w:r>
      <w:rPr/>
      <w:pict>
        <v:shape style="position:absolute;margin-left:320.894409pt;margin-top:33.582836pt;width:19.150pt;height:11pt;mso-position-horizontal-relative:page;mso-position-vertical-relative:page;z-index:-34962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341</w:t>
                </w:r>
                <w:r>
                  <w:rPr/>
                  <w:fldChar w:fldCharType="end"/>
                </w:r>
              </w:p>
            </w:txbxContent>
          </v:textbox>
          <w10:wrap type="none"/>
        </v:shape>
      </w:pict>
    </w: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960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350</w:t>
                </w:r>
              </w:p>
            </w:txbxContent>
          </v:textbox>
          <w10:wrap type="none"/>
        </v:shape>
      </w:pict>
    </w:r>
    <w:r>
      <w:rPr/>
      <w:pict>
        <v:shape style="position:absolute;margin-left:227.649399pt;margin-top:33.582836pt;width:117.4pt;height:11pt;mso-position-horizontal-relative:page;mso-position-vertical-relative:page;z-index:-3495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jorge hernández martínez</w:t>
                </w:r>
              </w:p>
            </w:txbxContent>
          </v:textbox>
          <w10:wrap type="none"/>
        </v:shape>
      </w:pict>
    </w: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5.25pt;height:11pt;mso-position-horizontal-relative:page;mso-position-vertical-relative:page;z-index:-3495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rededifniciones  ideológicas</w:t>
                </w:r>
              </w:p>
            </w:txbxContent>
          </v:textbox>
          <w10:wrap type="none"/>
        </v:shape>
      </w:pict>
    </w:r>
    <w:r>
      <w:rPr/>
      <w:pict>
        <v:shape style="position:absolute;margin-left:321.894409pt;margin-top:33.582836pt;width:17.150pt;height:11pt;mso-position-horizontal-relative:page;mso-position-vertical-relative:page;z-index:-34952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351</w:t>
                </w:r>
              </w:p>
            </w:txbxContent>
          </v:textbox>
          <w10:wrap type="none"/>
        </v:shape>
      </w:pict>
    </w: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50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352</w:t>
                </w:r>
                <w:r>
                  <w:rPr/>
                  <w:fldChar w:fldCharType="end"/>
                </w:r>
              </w:p>
            </w:txbxContent>
          </v:textbox>
          <w10:wrap type="none"/>
        </v:shape>
      </w:pict>
    </w:r>
    <w:r>
      <w:rPr/>
      <w:pict>
        <v:shape style="position:absolute;margin-left:227.649399pt;margin-top:33.582836pt;width:117.4pt;height:11pt;mso-position-horizontal-relative:page;mso-position-vertical-relative:page;z-index:-34948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jorge hernández martínez</w:t>
                </w:r>
              </w:p>
            </w:txbxContent>
          </v:textbox>
          <w10:wrap type="none"/>
        </v:shape>
      </w:pict>
    </w: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5.25pt;height:11pt;mso-position-horizontal-relative:page;mso-position-vertical-relative:page;z-index:-3494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rededifniciones  ideológicas</w:t>
                </w:r>
              </w:p>
            </w:txbxContent>
          </v:textbox>
          <w10:wrap type="none"/>
        </v:shape>
      </w:pict>
    </w:r>
    <w:r>
      <w:rPr/>
      <w:pict>
        <v:shape style="position:absolute;margin-left:320.894409pt;margin-top:33.582836pt;width:19.150pt;height:11pt;mso-position-horizontal-relative:page;mso-position-vertical-relative:page;z-index:-34943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353</w:t>
                </w:r>
                <w:r>
                  <w:rPr/>
                  <w:fldChar w:fldCharType="end"/>
                </w:r>
              </w:p>
            </w:txbxContent>
          </v:textbox>
          <w10:wrap type="none"/>
        </v:shape>
      </w:pict>
    </w: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940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360</w:t>
                </w:r>
              </w:p>
            </w:txbxContent>
          </v:textbox>
          <w10:wrap type="none"/>
        </v:shape>
      </w:pict>
    </w:r>
    <w:r>
      <w:rPr/>
      <w:pict>
        <v:shape style="position:absolute;margin-left:227.649399pt;margin-top:33.582836pt;width:117.4pt;height:11pt;mso-position-horizontal-relative:page;mso-position-vertical-relative:page;z-index:-3493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jorge hernández martínez</w:t>
                </w:r>
              </w:p>
            </w:txbxContent>
          </v:textbox>
          <w10:wrap type="none"/>
        </v:shape>
      </w:pict>
    </w: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25.25pt;height:11pt;mso-position-horizontal-relative:page;mso-position-vertical-relative:page;z-index:-34936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rededifniciones  ideológicas</w:t>
                </w:r>
              </w:p>
            </w:txbxContent>
          </v:textbox>
          <w10:wrap type="none"/>
        </v:shape>
      </w:pict>
    </w:r>
    <w:r>
      <w:rPr/>
      <w:pict>
        <v:shape style="position:absolute;margin-left:321.894409pt;margin-top:33.582836pt;width:17.150pt;height:11pt;mso-position-horizontal-relative:page;mso-position-vertical-relative:page;z-index:-34933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361</w:t>
                </w:r>
              </w:p>
            </w:txbxContent>
          </v:textbox>
          <w10:wrap type="none"/>
        </v:shape>
      </w:pict>
    </w: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931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362</w:t>
                </w:r>
              </w:p>
            </w:txbxContent>
          </v:textbox>
          <w10:wrap type="none"/>
        </v:shape>
      </w:pict>
    </w:r>
    <w:r>
      <w:rPr/>
      <w:pict>
        <v:shape style="position:absolute;margin-left:227.649399pt;margin-top:33.582836pt;width:117.4pt;height:11pt;mso-position-horizontal-relative:page;mso-position-vertical-relative:page;z-index:-3492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jorge hernández martínez</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69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32</w:t>
                </w:r>
                <w:r>
                  <w:rPr/>
                  <w:fldChar w:fldCharType="end"/>
                </w:r>
              </w:p>
            </w:txbxContent>
          </v:textbox>
          <w10:wrap type="none"/>
        </v:shape>
      </w:pict>
    </w:r>
    <w:r>
      <w:rPr/>
      <w:pict>
        <v:shape style="position:absolute;margin-left:172.801605pt;margin-top:33.582836pt;width:172.2pt;height:11pt;mso-position-horizontal-relative:page;mso-position-vertical-relative:page;z-index:-355672" type="#_x0000_t202" filled="false" stroked="false">
          <v:textbox inset="0,0,0,0">
            <w:txbxContent>
              <w:p>
                <w:pPr>
                  <w:spacing w:line="207" w:lineRule="exact" w:before="0"/>
                  <w:ind w:left="20" w:right="-9" w:firstLine="0"/>
                  <w:jc w:val="left"/>
                  <w:rPr>
                    <w:rFonts w:ascii="Calibri" w:hAnsi="Calibri"/>
                    <w:sz w:val="18"/>
                  </w:rPr>
                </w:pPr>
                <w:r>
                  <w:rPr>
                    <w:rFonts w:ascii="Calibri" w:hAnsi="Calibri"/>
                    <w:color w:val="231F20"/>
                    <w:w w:val="125"/>
                    <w:sz w:val="18"/>
                  </w:rPr>
                  <w:t>dídimo castillo y marco a. gandásegui</w:t>
                </w:r>
              </w:p>
            </w:txbxContent>
          </v:textbox>
          <w10:wrap type="none"/>
        </v:shape>
      </w:pict>
    </w: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26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366</w:t>
                </w:r>
                <w:r>
                  <w:rPr/>
                  <w:fldChar w:fldCharType="end"/>
                </w:r>
              </w:p>
            </w:txbxContent>
          </v:textbox>
          <w10:wrap type="none"/>
        </v:shape>
      </w:pict>
    </w:r>
    <w:r>
      <w:rPr/>
      <w:pict>
        <v:shape style="position:absolute;margin-left:238.332397pt;margin-top:33.582836pt;width:106.7pt;height:11pt;mso-position-horizontal-relative:page;mso-position-vertical-relative:page;z-index:-34924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darío salinas figueredo</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1.75pt;height:11pt;mso-position-horizontal-relative:page;mso-position-vertical-relative:page;z-index:-349216"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seguridad y defensa en las nuevas relaciones</w:t>
                </w:r>
              </w:p>
            </w:txbxContent>
          </v:textbox>
          <w10:wrap type="none"/>
        </v:shape>
      </w:pict>
    </w:r>
    <w:r>
      <w:rPr/>
      <w:pict>
        <v:shape style="position:absolute;margin-left:320.894409pt;margin-top:33.582836pt;width:19.150pt;height:11pt;mso-position-horizontal-relative:page;mso-position-vertical-relative:page;z-index:-3491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367</w:t>
                </w:r>
                <w:r>
                  <w:rPr/>
                  <w:fldChar w:fldCharType="end"/>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91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370</w:t>
                </w:r>
              </w:p>
            </w:txbxContent>
          </v:textbox>
          <w10:wrap type="none"/>
        </v:shape>
      </w:pict>
    </w:r>
    <w:r>
      <w:rPr/>
      <w:pict>
        <v:shape style="position:absolute;margin-left:238.332397pt;margin-top:33.582836pt;width:106.7pt;height:11pt;mso-position-horizontal-relative:page;mso-position-vertical-relative:page;z-index:-34914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darío salinas figueredo</w:t>
                </w:r>
              </w:p>
            </w:txbxContent>
          </v:textbox>
          <w10:wrap type="none"/>
        </v:shape>
      </w:pict>
    </w: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1.75pt;height:11pt;mso-position-horizontal-relative:page;mso-position-vertical-relative:page;z-index:-34912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seguridad y defensa en las nuevas relaciones</w:t>
                </w:r>
              </w:p>
            </w:txbxContent>
          </v:textbox>
          <w10:wrap type="none"/>
        </v:shape>
      </w:pict>
    </w:r>
    <w:r>
      <w:rPr/>
      <w:pict>
        <v:shape style="position:absolute;margin-left:321.894409pt;margin-top:33.582836pt;width:17.150pt;height:11pt;mso-position-horizontal-relative:page;mso-position-vertical-relative:page;z-index:-3490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371</w:t>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907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372</w:t>
                </w:r>
                <w:r>
                  <w:rPr/>
                  <w:fldChar w:fldCharType="end"/>
                </w:r>
              </w:p>
            </w:txbxContent>
          </v:textbox>
          <w10:wrap type="none"/>
        </v:shape>
      </w:pict>
    </w:r>
    <w:r>
      <w:rPr/>
      <w:pict>
        <v:shape style="position:absolute;margin-left:238.332397pt;margin-top:33.582836pt;width:106.7pt;height:11pt;mso-position-horizontal-relative:page;mso-position-vertical-relative:page;z-index:-3490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darío salinas figueredo</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1.75pt;height:11pt;mso-position-horizontal-relative:page;mso-position-vertical-relative:page;z-index:-349024"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seguridad y defensa en las nuevas relaciones</w:t>
                </w:r>
              </w:p>
            </w:txbxContent>
          </v:textbox>
          <w10:wrap type="none"/>
        </v:shape>
      </w:pict>
    </w:r>
    <w:r>
      <w:rPr/>
      <w:pict>
        <v:shape style="position:absolute;margin-left:320.894409pt;margin-top:33.582836pt;width:19.150pt;height:11pt;mso-position-horizontal-relative:page;mso-position-vertical-relative:page;z-index:-3490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373</w:t>
                </w:r>
                <w:r>
                  <w:rPr/>
                  <w:fldChar w:fldCharType="end"/>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97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380</w:t>
                </w:r>
              </w:p>
            </w:txbxContent>
          </v:textbox>
          <w10:wrap type="none"/>
        </v:shape>
      </w:pict>
    </w:r>
    <w:r>
      <w:rPr/>
      <w:pict>
        <v:shape style="position:absolute;margin-left:238.332397pt;margin-top:33.582836pt;width:106.7pt;height:11pt;mso-position-horizontal-relative:page;mso-position-vertical-relative:page;z-index:-3489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darío salinas figueredo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05pt;height:11pt;mso-position-horizontal-relative:page;mso-position-vertical-relative:page;z-index:-35564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estados unidos en la encrucijada global</w:t>
                </w:r>
              </w:p>
            </w:txbxContent>
          </v:textbox>
          <w10:wrap type="none"/>
        </v:shape>
      </w:pict>
    </w:r>
    <w:r>
      <w:rPr/>
      <w:pict>
        <v:shape style="position:absolute;margin-left:325.945190pt;margin-top:33.582836pt;width:14.1pt;height:11pt;mso-position-horizontal-relative:page;mso-position-vertical-relative:page;z-index:-35562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33</w:t>
                </w:r>
                <w:r>
                  <w:rPr/>
                  <w:fldChar w:fldCharType="end"/>
                </w:r>
              </w:p>
            </w:txbxContent>
          </v:textbox>
          <w10:wrap type="none"/>
        </v:shape>
      </w:pict>
    </w: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1.75pt;height:11pt;mso-position-horizontal-relative:page;mso-position-vertical-relative:page;z-index:-348928"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seguridad y defensa en las nuevas relaciones</w:t>
                </w:r>
              </w:p>
            </w:txbxContent>
          </v:textbox>
          <w10:wrap type="none"/>
        </v:shape>
      </w:pict>
    </w:r>
    <w:r>
      <w:rPr/>
      <w:pict>
        <v:shape style="position:absolute;margin-left:321.894409pt;margin-top:33.582836pt;width:17.150pt;height:11pt;mso-position-horizontal-relative:page;mso-position-vertical-relative:page;z-index:-3489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381</w:t>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88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382</w:t>
                </w:r>
              </w:p>
            </w:txbxContent>
          </v:textbox>
          <w10:wrap type="none"/>
        </v:shape>
      </w:pict>
    </w:r>
    <w:r>
      <w:rPr/>
      <w:pict>
        <v:shape style="position:absolute;margin-left:238.332397pt;margin-top:33.582836pt;width:106.7pt;height:11pt;mso-position-horizontal-relative:page;mso-position-vertical-relative:page;z-index:-3488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darío salinas figueredo</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1.75pt;height:11pt;mso-position-horizontal-relative:page;mso-position-vertical-relative:page;z-index:-34883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seguridad y defensa en las nuevas relaciones</w:t>
                </w:r>
              </w:p>
            </w:txbxContent>
          </v:textbox>
          <w10:wrap type="none"/>
        </v:shape>
      </w:pict>
    </w:r>
    <w:r>
      <w:rPr/>
      <w:pict>
        <v:shape style="position:absolute;margin-left:321.894409pt;margin-top:33.582836pt;width:17.150pt;height:11pt;mso-position-horizontal-relative:page;mso-position-vertical-relative:page;z-index:-34880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383</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7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0.894409pt;margin-top:33.582836pt;width:19.150pt;height:11pt;mso-position-horizontal-relative:page;mso-position-vertical-relative:page;z-index:-34876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385</w:t>
                </w:r>
                <w:r>
                  <w:rPr/>
                  <w:fldChar w:fldCharType="end"/>
                </w:r>
              </w:p>
            </w:txbxContent>
          </v:textbox>
          <w10:wrap type="none"/>
        </v:shape>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87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386</w:t>
                </w:r>
                <w:r>
                  <w:rPr/>
                  <w:fldChar w:fldCharType="end"/>
                </w:r>
              </w:p>
            </w:txbxContent>
          </v:textbox>
          <w10:wrap type="none"/>
        </v:shape>
      </w:pict>
    </w:r>
    <w:r>
      <w:rPr/>
      <w:pict>
        <v:shape style="position:absolute;margin-left:257.799408pt;margin-top:33.582836pt;width:87.25pt;height:11pt;mso-position-horizontal-relative:page;mso-position-vertical-relative:page;z-index:-34871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68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390</w:t>
                </w:r>
              </w:p>
            </w:txbxContent>
          </v:textbox>
          <w10:wrap type="none"/>
        </v:shape>
      </w:pict>
    </w:r>
    <w:r>
      <w:rPr/>
      <w:pict>
        <v:shape style="position:absolute;margin-left:257.799408pt;margin-top:33.582836pt;width:87.25pt;height:11pt;mso-position-horizontal-relative:page;mso-position-vertical-relative:page;z-index:-34866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64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1.894409pt;margin-top:33.582836pt;width:17.150pt;height:11pt;mso-position-horizontal-relative:page;mso-position-vertical-relative:page;z-index:-34861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391</w:t>
                </w:r>
              </w:p>
            </w:txbxContent>
          </v:textbox>
          <w10:wrap type="none"/>
        </v:shape>
      </w:pict>
    </w: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85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392</w:t>
                </w:r>
                <w:r>
                  <w:rPr/>
                  <w:fldChar w:fldCharType="end"/>
                </w:r>
              </w:p>
            </w:txbxContent>
          </v:textbox>
          <w10:wrap type="none"/>
        </v:shape>
      </w:pict>
    </w:r>
    <w:r>
      <w:rPr/>
      <w:pict>
        <v:shape style="position:absolute;margin-left:257.799408pt;margin-top:33.582836pt;width:87.25pt;height:11pt;mso-position-horizontal-relative:page;mso-position-vertical-relative:page;z-index:-34856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54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0.894409pt;margin-top:33.582836pt;width:19.150pt;height:11pt;mso-position-horizontal-relative:page;mso-position-vertical-relative:page;z-index:-3485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393</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4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400</w:t>
                </w:r>
              </w:p>
            </w:txbxContent>
          </v:textbox>
          <w10:wrap type="none"/>
        </v:shape>
      </w:pict>
    </w:r>
    <w:r>
      <w:rPr/>
      <w:pict>
        <v:shape style="position:absolute;margin-left:257.799408pt;margin-top:33.582836pt;width:87.25pt;height:11pt;mso-position-horizontal-relative:page;mso-position-vertical-relative:page;z-index:-34847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4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1.894409pt;margin-top:33.582836pt;width:17.150pt;height:11pt;mso-position-horizontal-relative:page;mso-position-vertical-relative:page;z-index:-3484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401</w:t>
                </w:r>
              </w:p>
            </w:txbxContent>
          </v:textbox>
          <w10:wrap type="none"/>
        </v:shape>
      </w:pict>
    </w: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84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402</w:t>
                </w:r>
                <w:r>
                  <w:rPr/>
                  <w:fldChar w:fldCharType="end"/>
                </w:r>
              </w:p>
            </w:txbxContent>
          </v:textbox>
          <w10:wrap type="none"/>
        </v:shape>
      </w:pict>
    </w:r>
    <w:r>
      <w:rPr/>
      <w:pict>
        <v:shape style="position:absolute;margin-left:257.799408pt;margin-top:33.582836pt;width:87.25pt;height:11pt;mso-position-horizontal-relative:page;mso-position-vertical-relative:page;z-index:-3483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3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0.894409pt;margin-top:33.582836pt;width:19.150pt;height:11pt;mso-position-horizontal-relative:page;mso-position-vertical-relative:page;z-index:-3483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403</w:t>
                </w:r>
                <w:r>
                  <w:rPr/>
                  <w:fldChar w:fldCharType="end"/>
                </w:r>
              </w:p>
            </w:txbxContent>
          </v:textbox>
          <w10:wrap type="none"/>
        </v:shape>
      </w:pict>
    </w: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3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410</w:t>
                </w:r>
              </w:p>
            </w:txbxContent>
          </v:textbox>
          <w10:wrap type="none"/>
        </v:shape>
      </w:pict>
    </w:r>
    <w:r>
      <w:rPr/>
      <w:pict>
        <v:shape style="position:absolute;margin-left:257.799408pt;margin-top:33.582836pt;width:87.25pt;height:11pt;mso-position-horizontal-relative:page;mso-position-vertical-relative:page;z-index:-34828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2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1.894409pt;margin-top:33.582836pt;width:17.150pt;height:11pt;mso-position-horizontal-relative:page;mso-position-vertical-relative:page;z-index:-3482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411</w:t>
                </w:r>
              </w:p>
            </w:txbxContent>
          </v:textbox>
          <w10:wrap type="none"/>
        </v:shape>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82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412</w:t>
                </w:r>
                <w:r>
                  <w:rPr/>
                  <w:fldChar w:fldCharType="end"/>
                </w:r>
              </w:p>
            </w:txbxContent>
          </v:textbox>
          <w10:wrap type="none"/>
        </v:shape>
      </w:pict>
    </w:r>
    <w:r>
      <w:rPr/>
      <w:pict>
        <v:shape style="position:absolute;margin-left:257.799408pt;margin-top:33.582836pt;width:87.25pt;height:11pt;mso-position-horizontal-relative:page;mso-position-vertical-relative:page;z-index:-3481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luis suárez salazar</w:t>
                </w:r>
              </w:p>
            </w:txbxContent>
          </v:textbox>
          <w10:wrap type="none"/>
        </v:shape>
      </w:pict>
    </w: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38.5pt;height:11pt;mso-position-horizontal-relative:page;mso-position-vertical-relative:page;z-index:-34816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obama contra nuestra américa</w:t>
                </w:r>
              </w:p>
            </w:txbxContent>
          </v:textbox>
          <w10:wrap type="none"/>
        </v:shape>
      </w:pict>
    </w:r>
    <w:r>
      <w:rPr/>
      <w:pict>
        <v:shape style="position:absolute;margin-left:320.894409pt;margin-top:33.582836pt;width:19.150pt;height:11pt;mso-position-horizontal-relative:page;mso-position-vertical-relative:page;z-index:-3481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413</w:t>
                </w:r>
                <w:r>
                  <w:rPr/>
                  <w:fldChar w:fldCharType="end"/>
                </w:r>
              </w:p>
            </w:txbxContent>
          </v:textbox>
          <w10:wrap type="none"/>
        </v:shape>
      </w:pict>
    </w: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1.8pt;height:11pt;mso-position-horizontal-relative:page;mso-position-vertical-relative:page;z-index:-348112" type="#_x0000_t202" filled="false" stroked="false">
          <v:textbox inset="0,0,0,0">
            <w:txbxContent>
              <w:p>
                <w:pPr>
                  <w:spacing w:line="207" w:lineRule="exact" w:before="0"/>
                  <w:ind w:left="20" w:right="-1" w:firstLine="0"/>
                  <w:jc w:val="left"/>
                  <w:rPr>
                    <w:rFonts w:ascii="Calibri"/>
                    <w:sz w:val="18"/>
                  </w:rPr>
                </w:pPr>
                <w:r>
                  <w:rPr>
                    <w:rFonts w:ascii="Calibri"/>
                    <w:color w:val="231F20"/>
                    <w:w w:val="125"/>
                    <w:sz w:val="18"/>
                  </w:rPr>
                  <w:t>democracia, seguridad y desarrollo</w:t>
                </w:r>
              </w:p>
            </w:txbxContent>
          </v:textbox>
          <w10:wrap type="none"/>
        </v:shape>
      </w:pict>
    </w:r>
    <w:r>
      <w:rPr/>
      <w:pict>
        <v:shape style="position:absolute;margin-left:320.894409pt;margin-top:33.582836pt;width:19.150pt;height:11pt;mso-position-horizontal-relative:page;mso-position-vertical-relative:page;z-index:-3480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417</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59.2pt;height:11pt;mso-position-horizontal-relative:page;mso-position-vertical-relative:page;z-index:-356272" type="#_x0000_t202" filled="false" stroked="false">
          <v:textbox inset="0,0,0,0">
            <w:txbxContent>
              <w:p>
                <w:pPr>
                  <w:spacing w:line="207" w:lineRule="exact" w:before="0"/>
                  <w:ind w:left="20" w:right="-2" w:firstLine="0"/>
                  <w:jc w:val="left"/>
                  <w:rPr>
                    <w:rFonts w:ascii="Calibri" w:hAnsi="Calibri"/>
                    <w:sz w:val="18"/>
                  </w:rPr>
                </w:pPr>
                <w:r>
                  <w:rPr>
                    <w:rFonts w:ascii="Calibri" w:hAnsi="Calibri"/>
                    <w:color w:val="231F20"/>
                    <w:w w:val="120"/>
                    <w:sz w:val="18"/>
                  </w:rPr>
                  <w:t>presentación</w:t>
                </w:r>
              </w:p>
            </w:txbxContent>
          </v:textbox>
          <w10:wrap type="none"/>
        </v:shape>
      </w:pict>
    </w:r>
    <w:r>
      <w:rPr/>
      <w:pict>
        <v:shape style="position:absolute;margin-left:331.996002pt;margin-top:33.582836pt;width:7.05pt;height:11pt;mso-position-horizontal-relative:page;mso-position-vertical-relative:page;z-index:-356248" type="#_x0000_t202" filled="false" stroked="false">
          <v:textbox inset="0,0,0,0">
            <w:txbxContent>
              <w:p>
                <w:pPr>
                  <w:spacing w:line="207" w:lineRule="exact" w:before="0"/>
                  <w:ind w:left="20" w:right="0" w:firstLine="0"/>
                  <w:jc w:val="left"/>
                  <w:rPr>
                    <w:rFonts w:ascii="Calibri"/>
                    <w:sz w:val="18"/>
                  </w:rPr>
                </w:pPr>
                <w:r>
                  <w:rPr>
                    <w:rFonts w:ascii="Calibri"/>
                    <w:color w:val="231F20"/>
                    <w:w w:val="109"/>
                    <w:sz w:val="18"/>
                  </w:rPr>
                  <w:t>9</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0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418</w:t>
                </w:r>
              </w:p>
            </w:txbxContent>
          </v:textbox>
          <w10:wrap type="none"/>
        </v:shape>
      </w:pict>
    </w:r>
    <w:r>
      <w:rPr/>
      <w:pict>
        <v:shape style="position:absolute;margin-left:264.99939pt;margin-top:33.582836pt;width:80.05pt;height:11pt;mso-position-horizontal-relative:page;mso-position-vertical-relative:page;z-index:-348040" type="#_x0000_t202" filled="false" stroked="false">
          <v:textbox inset="0,0,0,0">
            <w:txbxContent>
              <w:p>
                <w:pPr>
                  <w:spacing w:line="207" w:lineRule="exact" w:before="0"/>
                  <w:ind w:left="20" w:right="0" w:firstLine="0"/>
                  <w:jc w:val="left"/>
                  <w:rPr>
                    <w:rFonts w:ascii="Calibri"/>
                    <w:sz w:val="18"/>
                  </w:rPr>
                </w:pPr>
                <w:r>
                  <w:rPr>
                    <w:rFonts w:ascii="Calibri"/>
                    <w:color w:val="231F20"/>
                    <w:w w:val="115"/>
                    <w:sz w:val="18"/>
                  </w:rPr>
                  <w:t>silvina  m. romano</w:t>
                </w:r>
              </w:p>
            </w:txbxContent>
          </v:textbox>
          <w10:wrap type="none"/>
        </v:shape>
      </w:pict>
    </w: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801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420</w:t>
                </w:r>
              </w:p>
            </w:txbxContent>
          </v:textbox>
          <w10:wrap type="none"/>
        </v:shape>
      </w:pict>
    </w:r>
    <w:r>
      <w:rPr/>
      <w:pict>
        <v:shape style="position:absolute;margin-left:264.99939pt;margin-top:33.582836pt;width:80.05pt;height:11pt;mso-position-horizontal-relative:page;mso-position-vertical-relative:page;z-index:-347992" type="#_x0000_t202" filled="false" stroked="false">
          <v:textbox inset="0,0,0,0">
            <w:txbxContent>
              <w:p>
                <w:pPr>
                  <w:spacing w:line="207" w:lineRule="exact" w:before="0"/>
                  <w:ind w:left="20" w:right="0" w:firstLine="0"/>
                  <w:jc w:val="left"/>
                  <w:rPr>
                    <w:rFonts w:ascii="Calibri"/>
                    <w:sz w:val="18"/>
                  </w:rPr>
                </w:pPr>
                <w:r>
                  <w:rPr>
                    <w:rFonts w:ascii="Calibri"/>
                    <w:color w:val="231F20"/>
                    <w:w w:val="115"/>
                    <w:sz w:val="18"/>
                  </w:rPr>
                  <w:t>silvina  m. romano</w:t>
                </w:r>
              </w:p>
            </w:txbxContent>
          </v:textbox>
          <w10:wrap type="none"/>
        </v:shape>
      </w:pict>
    </w: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1.8pt;height:11pt;mso-position-horizontal-relative:page;mso-position-vertical-relative:page;z-index:-347968" type="#_x0000_t202" filled="false" stroked="false">
          <v:textbox inset="0,0,0,0">
            <w:txbxContent>
              <w:p>
                <w:pPr>
                  <w:spacing w:line="207" w:lineRule="exact" w:before="0"/>
                  <w:ind w:left="20" w:right="-1" w:firstLine="0"/>
                  <w:jc w:val="left"/>
                  <w:rPr>
                    <w:rFonts w:ascii="Calibri"/>
                    <w:sz w:val="18"/>
                  </w:rPr>
                </w:pPr>
                <w:r>
                  <w:rPr>
                    <w:rFonts w:ascii="Calibri"/>
                    <w:color w:val="231F20"/>
                    <w:w w:val="125"/>
                    <w:sz w:val="18"/>
                  </w:rPr>
                  <w:t>democracia, seguridad y desarrollo</w:t>
                </w:r>
              </w:p>
            </w:txbxContent>
          </v:textbox>
          <w10:wrap type="none"/>
        </v:shape>
      </w:pict>
    </w:r>
    <w:r>
      <w:rPr/>
      <w:pict>
        <v:shape style="position:absolute;margin-left:321.894409pt;margin-top:33.582836pt;width:17.150pt;height:11pt;mso-position-horizontal-relative:page;mso-position-vertical-relative:page;z-index:-34794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421</w:t>
                </w:r>
              </w:p>
            </w:txbxContent>
          </v:textbox>
          <w10:wrap type="none"/>
        </v:shape>
      </w:pict>
    </w: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9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422</w:t>
                </w:r>
                <w:r>
                  <w:rPr/>
                  <w:fldChar w:fldCharType="end"/>
                </w:r>
              </w:p>
            </w:txbxContent>
          </v:textbox>
          <w10:wrap type="none"/>
        </v:shape>
      </w:pict>
    </w:r>
    <w:r>
      <w:rPr/>
      <w:pict>
        <v:shape style="position:absolute;margin-left:264.99939pt;margin-top:33.582836pt;width:80.05pt;height:11pt;mso-position-horizontal-relative:page;mso-position-vertical-relative:page;z-index:-347896" type="#_x0000_t202" filled="false" stroked="false">
          <v:textbox inset="0,0,0,0">
            <w:txbxContent>
              <w:p>
                <w:pPr>
                  <w:spacing w:line="207" w:lineRule="exact" w:before="0"/>
                  <w:ind w:left="20" w:right="0" w:firstLine="0"/>
                  <w:jc w:val="left"/>
                  <w:rPr>
                    <w:rFonts w:ascii="Calibri"/>
                    <w:sz w:val="18"/>
                  </w:rPr>
                </w:pPr>
                <w:r>
                  <w:rPr>
                    <w:rFonts w:ascii="Calibri"/>
                    <w:color w:val="231F20"/>
                    <w:w w:val="115"/>
                    <w:sz w:val="18"/>
                  </w:rPr>
                  <w:t>silvina  m. romano</w:t>
                </w:r>
              </w:p>
            </w:txbxContent>
          </v:textbox>
          <w10:wrap type="none"/>
        </v:shape>
      </w:pict>
    </w: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1.8pt;height:11pt;mso-position-horizontal-relative:page;mso-position-vertical-relative:page;z-index:-347872" type="#_x0000_t202" filled="false" stroked="false">
          <v:textbox inset="0,0,0,0">
            <w:txbxContent>
              <w:p>
                <w:pPr>
                  <w:spacing w:line="207" w:lineRule="exact" w:before="0"/>
                  <w:ind w:left="20" w:right="-1" w:firstLine="0"/>
                  <w:jc w:val="left"/>
                  <w:rPr>
                    <w:rFonts w:ascii="Calibri"/>
                    <w:sz w:val="18"/>
                  </w:rPr>
                </w:pPr>
                <w:r>
                  <w:rPr>
                    <w:rFonts w:ascii="Calibri"/>
                    <w:color w:val="231F20"/>
                    <w:w w:val="125"/>
                    <w:sz w:val="18"/>
                  </w:rPr>
                  <w:t>democracia, seguridad y desarrollo</w:t>
                </w:r>
              </w:p>
            </w:txbxContent>
          </v:textbox>
          <w10:wrap type="none"/>
        </v:shape>
      </w:pict>
    </w:r>
    <w:r>
      <w:rPr/>
      <w:pict>
        <v:shape style="position:absolute;margin-left:320.894409pt;margin-top:33.582836pt;width:19.150pt;height:11pt;mso-position-horizontal-relative:page;mso-position-vertical-relative:page;z-index:-34784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423</w:t>
                </w:r>
                <w:r>
                  <w:rPr/>
                  <w:fldChar w:fldCharType="end"/>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78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430</w:t>
                </w:r>
              </w:p>
            </w:txbxContent>
          </v:textbox>
          <w10:wrap type="none"/>
        </v:shape>
      </w:pict>
    </w:r>
    <w:r>
      <w:rPr/>
      <w:pict>
        <v:shape style="position:absolute;margin-left:264.99939pt;margin-top:33.582836pt;width:80.05pt;height:11pt;mso-position-horizontal-relative:page;mso-position-vertical-relative:page;z-index:-347800" type="#_x0000_t202" filled="false" stroked="false">
          <v:textbox inset="0,0,0,0">
            <w:txbxContent>
              <w:p>
                <w:pPr>
                  <w:spacing w:line="207" w:lineRule="exact" w:before="0"/>
                  <w:ind w:left="20" w:right="0" w:firstLine="0"/>
                  <w:jc w:val="left"/>
                  <w:rPr>
                    <w:rFonts w:ascii="Calibri"/>
                    <w:sz w:val="18"/>
                  </w:rPr>
                </w:pPr>
                <w:r>
                  <w:rPr>
                    <w:rFonts w:ascii="Calibri"/>
                    <w:color w:val="231F20"/>
                    <w:w w:val="115"/>
                    <w:sz w:val="18"/>
                  </w:rPr>
                  <w:t>silvina  m. romano</w:t>
                </w:r>
              </w:p>
            </w:txbxContent>
          </v:textbox>
          <w10:wrap type="none"/>
        </v:shape>
      </w:pict>
    </w: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1.8pt;height:11pt;mso-position-horizontal-relative:page;mso-position-vertical-relative:page;z-index:-347776" type="#_x0000_t202" filled="false" stroked="false">
          <v:textbox inset="0,0,0,0">
            <w:txbxContent>
              <w:p>
                <w:pPr>
                  <w:spacing w:line="207" w:lineRule="exact" w:before="0"/>
                  <w:ind w:left="20" w:right="-1" w:firstLine="0"/>
                  <w:jc w:val="left"/>
                  <w:rPr>
                    <w:rFonts w:ascii="Calibri"/>
                    <w:sz w:val="18"/>
                  </w:rPr>
                </w:pPr>
                <w:r>
                  <w:rPr>
                    <w:rFonts w:ascii="Calibri"/>
                    <w:color w:val="231F20"/>
                    <w:w w:val="125"/>
                    <w:sz w:val="18"/>
                  </w:rPr>
                  <w:t>democracia, seguridad y desarrollo</w:t>
                </w:r>
              </w:p>
            </w:txbxContent>
          </v:textbox>
          <w10:wrap type="none"/>
        </v:shape>
      </w:pict>
    </w:r>
    <w:r>
      <w:rPr/>
      <w:pict>
        <v:shape style="position:absolute;margin-left:321.894409pt;margin-top:33.582836pt;width:17.150pt;height:11pt;mso-position-horizontal-relative:page;mso-position-vertical-relative:page;z-index:-34775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431</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7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432</w:t>
                </w:r>
                <w:r>
                  <w:rPr/>
                  <w:fldChar w:fldCharType="end"/>
                </w:r>
              </w:p>
            </w:txbxContent>
          </v:textbox>
          <w10:wrap type="none"/>
        </v:shape>
      </w:pict>
    </w:r>
    <w:r>
      <w:rPr/>
      <w:pict>
        <v:shape style="position:absolute;margin-left:264.99939pt;margin-top:33.582836pt;width:80.05pt;height:11pt;mso-position-horizontal-relative:page;mso-position-vertical-relative:page;z-index:-347704" type="#_x0000_t202" filled="false" stroked="false">
          <v:textbox inset="0,0,0,0">
            <w:txbxContent>
              <w:p>
                <w:pPr>
                  <w:spacing w:line="207" w:lineRule="exact" w:before="0"/>
                  <w:ind w:left="20" w:right="0" w:firstLine="0"/>
                  <w:jc w:val="left"/>
                  <w:rPr>
                    <w:rFonts w:ascii="Calibri"/>
                    <w:sz w:val="18"/>
                  </w:rPr>
                </w:pPr>
                <w:r>
                  <w:rPr>
                    <w:rFonts w:ascii="Calibri"/>
                    <w:color w:val="231F20"/>
                    <w:w w:val="115"/>
                    <w:sz w:val="18"/>
                  </w:rPr>
                  <w:t>silvina  m. romano</w:t>
                </w:r>
              </w:p>
            </w:txbxContent>
          </v:textbox>
          <w10:wrap type="none"/>
        </v:shape>
      </w:pict>
    </w: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1.8pt;height:11pt;mso-position-horizontal-relative:page;mso-position-vertical-relative:page;z-index:-347680" type="#_x0000_t202" filled="false" stroked="false">
          <v:textbox inset="0,0,0,0">
            <w:txbxContent>
              <w:p>
                <w:pPr>
                  <w:spacing w:line="207" w:lineRule="exact" w:before="0"/>
                  <w:ind w:left="20" w:right="-1" w:firstLine="0"/>
                  <w:jc w:val="left"/>
                  <w:rPr>
                    <w:rFonts w:ascii="Calibri"/>
                    <w:sz w:val="18"/>
                  </w:rPr>
                </w:pPr>
                <w:r>
                  <w:rPr>
                    <w:rFonts w:ascii="Calibri"/>
                    <w:color w:val="231F20"/>
                    <w:w w:val="125"/>
                    <w:sz w:val="18"/>
                  </w:rPr>
                  <w:t>democracia, seguridad y desarrollo</w:t>
                </w:r>
              </w:p>
            </w:txbxContent>
          </v:textbox>
          <w10:wrap type="none"/>
        </v:shape>
      </w:pict>
    </w:r>
    <w:r>
      <w:rPr/>
      <w:pict>
        <v:shape style="position:absolute;margin-left:320.894409pt;margin-top:33.582836pt;width:19.150pt;height:11pt;mso-position-horizontal-relative:page;mso-position-vertical-relative:page;z-index:-34765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433</w:t>
                </w:r>
                <w:r>
                  <w:rPr/>
                  <w:fldChar w:fldCharType="end"/>
                </w:r>
              </w:p>
            </w:txbxContent>
          </v:textbox>
          <w10:wrap type="none"/>
        </v:shape>
      </w:pict>
    </w: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0.75pt;height:11pt;mso-position-horizontal-relative:page;mso-position-vertical-relative:page;z-index:-3476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cambios</w:t>
                </w:r>
                <w:r>
                  <w:rPr>
                    <w:rFonts w:ascii="Calibri" w:hAnsi="Calibri"/>
                    <w:color w:val="231F20"/>
                    <w:spacing w:val="-11"/>
                    <w:w w:val="125"/>
                    <w:sz w:val="18"/>
                  </w:rPr>
                  <w:t> </w:t>
                </w:r>
                <w:r>
                  <w:rPr>
                    <w:rFonts w:ascii="Calibri" w:hAnsi="Calibri"/>
                    <w:color w:val="231F20"/>
                    <w:w w:val="125"/>
                    <w:sz w:val="18"/>
                  </w:rPr>
                  <w:t>en</w:t>
                </w:r>
                <w:r>
                  <w:rPr>
                    <w:rFonts w:ascii="Calibri" w:hAnsi="Calibri"/>
                    <w:color w:val="231F20"/>
                    <w:spacing w:val="-11"/>
                    <w:w w:val="125"/>
                    <w:sz w:val="18"/>
                  </w:rPr>
                  <w:t> </w:t>
                </w:r>
                <w:r>
                  <w:rPr>
                    <w:rFonts w:ascii="Calibri" w:hAnsi="Calibri"/>
                    <w:color w:val="231F20"/>
                    <w:w w:val="125"/>
                    <w:sz w:val="18"/>
                  </w:rPr>
                  <w:t>la</w:t>
                </w:r>
                <w:r>
                  <w:rPr>
                    <w:rFonts w:ascii="Calibri" w:hAnsi="Calibri"/>
                    <w:color w:val="231F20"/>
                    <w:spacing w:val="-11"/>
                    <w:w w:val="125"/>
                    <w:sz w:val="18"/>
                  </w:rPr>
                  <w:t> </w:t>
                </w:r>
                <w:r>
                  <w:rPr>
                    <w:rFonts w:ascii="Calibri" w:hAnsi="Calibri"/>
                    <w:color w:val="231F20"/>
                    <w:w w:val="125"/>
                    <w:sz w:val="18"/>
                  </w:rPr>
                  <w:t>política</w:t>
                </w:r>
                <w:r>
                  <w:rPr>
                    <w:rFonts w:ascii="Calibri" w:hAnsi="Calibri"/>
                    <w:color w:val="231F20"/>
                    <w:spacing w:val="-11"/>
                    <w:w w:val="125"/>
                    <w:sz w:val="18"/>
                  </w:rPr>
                  <w:t> </w:t>
                </w:r>
                <w:r>
                  <w:rPr>
                    <w:rFonts w:ascii="Calibri" w:hAnsi="Calibri"/>
                    <w:color w:val="231F20"/>
                    <w:w w:val="125"/>
                    <w:sz w:val="18"/>
                  </w:rPr>
                  <w:t>de</w:t>
                </w:r>
                <w:r>
                  <w:rPr>
                    <w:rFonts w:ascii="Calibri" w:hAnsi="Calibri"/>
                    <w:color w:val="231F20"/>
                    <w:spacing w:val="-11"/>
                    <w:w w:val="125"/>
                    <w:sz w:val="18"/>
                  </w:rPr>
                  <w:t> </w:t>
                </w:r>
                <w:r>
                  <w:rPr>
                    <w:rFonts w:ascii="Calibri" w:hAnsi="Calibri"/>
                    <w:color w:val="231F20"/>
                    <w:w w:val="125"/>
                    <w:sz w:val="18"/>
                  </w:rPr>
                  <w:t>seguridad</w:t>
                </w:r>
              </w:p>
            </w:txbxContent>
          </v:textbox>
          <w10:wrap type="none"/>
        </v:shape>
      </w:pict>
    </w:r>
    <w:r>
      <w:rPr/>
      <w:pict>
        <v:shape style="position:absolute;margin-left:320.894409pt;margin-top:33.582836pt;width:19.150pt;height:11pt;mso-position-horizontal-relative:page;mso-position-vertical-relative:page;z-index:-3476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441</w:t>
                </w:r>
                <w:r>
                  <w:rPr/>
                  <w:fldChar w:fldCharType="end"/>
                </w:r>
              </w:p>
            </w:txbxContent>
          </v:textbox>
          <w10:wrap type="none"/>
        </v:shape>
      </w:pict>
    </w: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58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442</w:t>
                </w:r>
                <w:r>
                  <w:rPr/>
                  <w:fldChar w:fldCharType="end"/>
                </w:r>
              </w:p>
            </w:txbxContent>
          </v:textbox>
          <w10:wrap type="none"/>
        </v:shape>
      </w:pict>
    </w:r>
    <w:r>
      <w:rPr/>
      <w:pict>
        <v:shape style="position:absolute;margin-left:255.621399pt;margin-top:33.582836pt;width:89.4pt;height:11pt;mso-position-horizontal-relative:page;mso-position-vertical-relative:page;z-index:-34756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zuluaga nieto</w:t>
                </w:r>
              </w:p>
            </w:txbxContent>
          </v:textbox>
          <w10:wrap type="none"/>
        </v:shape>
      </w:pict>
    </w: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753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450</w:t>
                </w:r>
              </w:p>
            </w:txbxContent>
          </v:textbox>
          <w10:wrap type="none"/>
        </v:shape>
      </w:pict>
    </w:r>
    <w:r>
      <w:rPr/>
      <w:pict>
        <v:shape style="position:absolute;margin-left:255.621399pt;margin-top:33.582836pt;width:89.4pt;height:11pt;mso-position-horizontal-relative:page;mso-position-vertical-relative:page;z-index:-34751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zuluaga nieto</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0.75pt;height:11pt;mso-position-horizontal-relative:page;mso-position-vertical-relative:page;z-index:-3474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cambios</w:t>
                </w:r>
                <w:r>
                  <w:rPr>
                    <w:rFonts w:ascii="Calibri" w:hAnsi="Calibri"/>
                    <w:color w:val="231F20"/>
                    <w:spacing w:val="-11"/>
                    <w:w w:val="125"/>
                    <w:sz w:val="18"/>
                  </w:rPr>
                  <w:t> </w:t>
                </w:r>
                <w:r>
                  <w:rPr>
                    <w:rFonts w:ascii="Calibri" w:hAnsi="Calibri"/>
                    <w:color w:val="231F20"/>
                    <w:w w:val="125"/>
                    <w:sz w:val="18"/>
                  </w:rPr>
                  <w:t>en</w:t>
                </w:r>
                <w:r>
                  <w:rPr>
                    <w:rFonts w:ascii="Calibri" w:hAnsi="Calibri"/>
                    <w:color w:val="231F20"/>
                    <w:spacing w:val="-11"/>
                    <w:w w:val="125"/>
                    <w:sz w:val="18"/>
                  </w:rPr>
                  <w:t> </w:t>
                </w:r>
                <w:r>
                  <w:rPr>
                    <w:rFonts w:ascii="Calibri" w:hAnsi="Calibri"/>
                    <w:color w:val="231F20"/>
                    <w:w w:val="125"/>
                    <w:sz w:val="18"/>
                  </w:rPr>
                  <w:t>la</w:t>
                </w:r>
                <w:r>
                  <w:rPr>
                    <w:rFonts w:ascii="Calibri" w:hAnsi="Calibri"/>
                    <w:color w:val="231F20"/>
                    <w:spacing w:val="-11"/>
                    <w:w w:val="125"/>
                    <w:sz w:val="18"/>
                  </w:rPr>
                  <w:t> </w:t>
                </w:r>
                <w:r>
                  <w:rPr>
                    <w:rFonts w:ascii="Calibri" w:hAnsi="Calibri"/>
                    <w:color w:val="231F20"/>
                    <w:w w:val="125"/>
                    <w:sz w:val="18"/>
                  </w:rPr>
                  <w:t>política</w:t>
                </w:r>
                <w:r>
                  <w:rPr>
                    <w:rFonts w:ascii="Calibri" w:hAnsi="Calibri"/>
                    <w:color w:val="231F20"/>
                    <w:spacing w:val="-11"/>
                    <w:w w:val="125"/>
                    <w:sz w:val="18"/>
                  </w:rPr>
                  <w:t> </w:t>
                </w:r>
                <w:r>
                  <w:rPr>
                    <w:rFonts w:ascii="Calibri" w:hAnsi="Calibri"/>
                    <w:color w:val="231F20"/>
                    <w:w w:val="125"/>
                    <w:sz w:val="18"/>
                  </w:rPr>
                  <w:t>de</w:t>
                </w:r>
                <w:r>
                  <w:rPr>
                    <w:rFonts w:ascii="Calibri" w:hAnsi="Calibri"/>
                    <w:color w:val="231F20"/>
                    <w:spacing w:val="-11"/>
                    <w:w w:val="125"/>
                    <w:sz w:val="18"/>
                  </w:rPr>
                  <w:t> </w:t>
                </w:r>
                <w:r>
                  <w:rPr>
                    <w:rFonts w:ascii="Calibri" w:hAnsi="Calibri"/>
                    <w:color w:val="231F20"/>
                    <w:w w:val="125"/>
                    <w:sz w:val="18"/>
                  </w:rPr>
                  <w:t>seguridad</w:t>
                </w:r>
              </w:p>
            </w:txbxContent>
          </v:textbox>
          <w10:wrap type="none"/>
        </v:shape>
      </w:pict>
    </w:r>
    <w:r>
      <w:rPr/>
      <w:pict>
        <v:shape style="position:absolute;margin-left:321.894409pt;margin-top:33.582836pt;width:17.150pt;height:11pt;mso-position-horizontal-relative:page;mso-position-vertical-relative:page;z-index:-3474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451</w:t>
                </w:r>
              </w:p>
            </w:txbxContent>
          </v:textbox>
          <w10:wrap type="none"/>
        </v:shape>
      </w:pict>
    </w: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44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452</w:t>
                </w:r>
                <w:r>
                  <w:rPr/>
                  <w:fldChar w:fldCharType="end"/>
                </w:r>
              </w:p>
            </w:txbxContent>
          </v:textbox>
          <w10:wrap type="none"/>
        </v:shape>
      </w:pict>
    </w:r>
    <w:r>
      <w:rPr/>
      <w:pict>
        <v:shape style="position:absolute;margin-left:255.621399pt;margin-top:33.582836pt;width:89.4pt;height:11pt;mso-position-horizontal-relative:page;mso-position-vertical-relative:page;z-index:-347416"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zuluaga nieto</w:t>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0.75pt;height:11pt;mso-position-horizontal-relative:page;mso-position-vertical-relative:page;z-index:-34739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cambios</w:t>
                </w:r>
                <w:r>
                  <w:rPr>
                    <w:rFonts w:ascii="Calibri" w:hAnsi="Calibri"/>
                    <w:color w:val="231F20"/>
                    <w:spacing w:val="-11"/>
                    <w:w w:val="125"/>
                    <w:sz w:val="18"/>
                  </w:rPr>
                  <w:t> </w:t>
                </w:r>
                <w:r>
                  <w:rPr>
                    <w:rFonts w:ascii="Calibri" w:hAnsi="Calibri"/>
                    <w:color w:val="231F20"/>
                    <w:w w:val="125"/>
                    <w:sz w:val="18"/>
                  </w:rPr>
                  <w:t>en</w:t>
                </w:r>
                <w:r>
                  <w:rPr>
                    <w:rFonts w:ascii="Calibri" w:hAnsi="Calibri"/>
                    <w:color w:val="231F20"/>
                    <w:spacing w:val="-11"/>
                    <w:w w:val="125"/>
                    <w:sz w:val="18"/>
                  </w:rPr>
                  <w:t> </w:t>
                </w:r>
                <w:r>
                  <w:rPr>
                    <w:rFonts w:ascii="Calibri" w:hAnsi="Calibri"/>
                    <w:color w:val="231F20"/>
                    <w:w w:val="125"/>
                    <w:sz w:val="18"/>
                  </w:rPr>
                  <w:t>la</w:t>
                </w:r>
                <w:r>
                  <w:rPr>
                    <w:rFonts w:ascii="Calibri" w:hAnsi="Calibri"/>
                    <w:color w:val="231F20"/>
                    <w:spacing w:val="-11"/>
                    <w:w w:val="125"/>
                    <w:sz w:val="18"/>
                  </w:rPr>
                  <w:t> </w:t>
                </w:r>
                <w:r>
                  <w:rPr>
                    <w:rFonts w:ascii="Calibri" w:hAnsi="Calibri"/>
                    <w:color w:val="231F20"/>
                    <w:w w:val="125"/>
                    <w:sz w:val="18"/>
                  </w:rPr>
                  <w:t>política</w:t>
                </w:r>
                <w:r>
                  <w:rPr>
                    <w:rFonts w:ascii="Calibri" w:hAnsi="Calibri"/>
                    <w:color w:val="231F20"/>
                    <w:spacing w:val="-11"/>
                    <w:w w:val="125"/>
                    <w:sz w:val="18"/>
                  </w:rPr>
                  <w:t> </w:t>
                </w:r>
                <w:r>
                  <w:rPr>
                    <w:rFonts w:ascii="Calibri" w:hAnsi="Calibri"/>
                    <w:color w:val="231F20"/>
                    <w:w w:val="125"/>
                    <w:sz w:val="18"/>
                  </w:rPr>
                  <w:t>de</w:t>
                </w:r>
                <w:r>
                  <w:rPr>
                    <w:rFonts w:ascii="Calibri" w:hAnsi="Calibri"/>
                    <w:color w:val="231F20"/>
                    <w:spacing w:val="-11"/>
                    <w:w w:val="125"/>
                    <w:sz w:val="18"/>
                  </w:rPr>
                  <w:t> </w:t>
                </w:r>
                <w:r>
                  <w:rPr>
                    <w:rFonts w:ascii="Calibri" w:hAnsi="Calibri"/>
                    <w:color w:val="231F20"/>
                    <w:w w:val="125"/>
                    <w:sz w:val="18"/>
                  </w:rPr>
                  <w:t>seguridad</w:t>
                </w:r>
              </w:p>
            </w:txbxContent>
          </v:textbox>
          <w10:wrap type="none"/>
        </v:shape>
      </w:pict>
    </w:r>
    <w:r>
      <w:rPr/>
      <w:pict>
        <v:shape style="position:absolute;margin-left:320.894409pt;margin-top:33.582836pt;width:19.150pt;height:11pt;mso-position-horizontal-relative:page;mso-position-vertical-relative:page;z-index:-34736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453</w:t>
                </w:r>
                <w:r>
                  <w:rPr/>
                  <w:fldChar w:fldCharType="end"/>
                </w:r>
              </w:p>
            </w:txbxContent>
          </v:textbox>
          <w10:wrap type="none"/>
        </v:shape>
      </w:pict>
    </w: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734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460</w:t>
                </w:r>
              </w:p>
            </w:txbxContent>
          </v:textbox>
          <w10:wrap type="none"/>
        </v:shape>
      </w:pict>
    </w:r>
    <w:r>
      <w:rPr/>
      <w:pict>
        <v:shape style="position:absolute;margin-left:255.621399pt;margin-top:33.582836pt;width:89.4pt;height:11pt;mso-position-horizontal-relative:page;mso-position-vertical-relative:page;z-index:-34732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zuluaga nieto</w:t>
                </w:r>
              </w:p>
            </w:txbxContent>
          </v:textbox>
          <w10:wrap type="none"/>
        </v:shape>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60.75pt;height:11pt;mso-position-horizontal-relative:page;mso-position-vertical-relative:page;z-index:-34729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cambios</w:t>
                </w:r>
                <w:r>
                  <w:rPr>
                    <w:rFonts w:ascii="Calibri" w:hAnsi="Calibri"/>
                    <w:color w:val="231F20"/>
                    <w:spacing w:val="-11"/>
                    <w:w w:val="125"/>
                    <w:sz w:val="18"/>
                  </w:rPr>
                  <w:t> </w:t>
                </w:r>
                <w:r>
                  <w:rPr>
                    <w:rFonts w:ascii="Calibri" w:hAnsi="Calibri"/>
                    <w:color w:val="231F20"/>
                    <w:w w:val="125"/>
                    <w:sz w:val="18"/>
                  </w:rPr>
                  <w:t>en</w:t>
                </w:r>
                <w:r>
                  <w:rPr>
                    <w:rFonts w:ascii="Calibri" w:hAnsi="Calibri"/>
                    <w:color w:val="231F20"/>
                    <w:spacing w:val="-11"/>
                    <w:w w:val="125"/>
                    <w:sz w:val="18"/>
                  </w:rPr>
                  <w:t> </w:t>
                </w:r>
                <w:r>
                  <w:rPr>
                    <w:rFonts w:ascii="Calibri" w:hAnsi="Calibri"/>
                    <w:color w:val="231F20"/>
                    <w:w w:val="125"/>
                    <w:sz w:val="18"/>
                  </w:rPr>
                  <w:t>la</w:t>
                </w:r>
                <w:r>
                  <w:rPr>
                    <w:rFonts w:ascii="Calibri" w:hAnsi="Calibri"/>
                    <w:color w:val="231F20"/>
                    <w:spacing w:val="-11"/>
                    <w:w w:val="125"/>
                    <w:sz w:val="18"/>
                  </w:rPr>
                  <w:t> </w:t>
                </w:r>
                <w:r>
                  <w:rPr>
                    <w:rFonts w:ascii="Calibri" w:hAnsi="Calibri"/>
                    <w:color w:val="231F20"/>
                    <w:w w:val="125"/>
                    <w:sz w:val="18"/>
                  </w:rPr>
                  <w:t>política</w:t>
                </w:r>
                <w:r>
                  <w:rPr>
                    <w:rFonts w:ascii="Calibri" w:hAnsi="Calibri"/>
                    <w:color w:val="231F20"/>
                    <w:spacing w:val="-11"/>
                    <w:w w:val="125"/>
                    <w:sz w:val="18"/>
                  </w:rPr>
                  <w:t> </w:t>
                </w:r>
                <w:r>
                  <w:rPr>
                    <w:rFonts w:ascii="Calibri" w:hAnsi="Calibri"/>
                    <w:color w:val="231F20"/>
                    <w:w w:val="125"/>
                    <w:sz w:val="18"/>
                  </w:rPr>
                  <w:t>de</w:t>
                </w:r>
                <w:r>
                  <w:rPr>
                    <w:rFonts w:ascii="Calibri" w:hAnsi="Calibri"/>
                    <w:color w:val="231F20"/>
                    <w:spacing w:val="-11"/>
                    <w:w w:val="125"/>
                    <w:sz w:val="18"/>
                  </w:rPr>
                  <w:t> </w:t>
                </w:r>
                <w:r>
                  <w:rPr>
                    <w:rFonts w:ascii="Calibri" w:hAnsi="Calibri"/>
                    <w:color w:val="231F20"/>
                    <w:w w:val="125"/>
                    <w:sz w:val="18"/>
                  </w:rPr>
                  <w:t>seguridad</w:t>
                </w:r>
              </w:p>
            </w:txbxContent>
          </v:textbox>
          <w10:wrap type="none"/>
        </v:shape>
      </w:pict>
    </w:r>
    <w:r>
      <w:rPr/>
      <w:pict>
        <v:shape style="position:absolute;margin-left:321.894409pt;margin-top:33.582836pt;width:17.150pt;height:11pt;mso-position-horizontal-relative:page;mso-position-vertical-relative:page;z-index:-34727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461</w:t>
                </w:r>
              </w:p>
            </w:txbxContent>
          </v:textbox>
          <w10:wrap type="none"/>
        </v:shape>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2.35pt;height:11pt;mso-position-horizontal-relative:page;mso-position-vertical-relative:page;z-index:-3472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américa latina en la estrategia de seguridad</w:t>
                </w:r>
              </w:p>
            </w:txbxContent>
          </v:textbox>
          <w10:wrap type="none"/>
        </v:shape>
      </w:pict>
    </w:r>
    <w:r>
      <w:rPr/>
      <w:pict>
        <v:shape style="position:absolute;margin-left:320.894409pt;margin-top:33.582836pt;width:19.150pt;height:11pt;mso-position-horizontal-relative:page;mso-position-vertical-relative:page;z-index:-34722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463</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2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464</w:t>
                </w:r>
                <w:r>
                  <w:rPr/>
                  <w:fldChar w:fldCharType="end"/>
                </w:r>
              </w:p>
            </w:txbxContent>
          </v:textbox>
          <w10:wrap type="none"/>
        </v:shape>
      </w:pict>
    </w:r>
    <w:r>
      <w:rPr/>
      <w:pict>
        <v:shape style="position:absolute;margin-left:226.083405pt;margin-top:33.582836pt;width:118.95pt;height:11pt;mso-position-horizontal-relative:page;mso-position-vertical-relative:page;z-index:-3471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715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468</w:t>
                </w:r>
                <w:r>
                  <w:rPr/>
                  <w:fldChar w:fldCharType="end"/>
                </w:r>
              </w:p>
            </w:txbxContent>
          </v:textbox>
          <w10:wrap type="none"/>
        </v:shape>
      </w:pict>
    </w:r>
    <w:r>
      <w:rPr/>
      <w:pict>
        <v:shape style="position:absolute;margin-left:226.083405pt;margin-top:33.582836pt;width:118.95pt;height:11pt;mso-position-horizontal-relative:page;mso-position-vertical-relative:page;z-index:-34712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2.35pt;height:11pt;mso-position-horizontal-relative:page;mso-position-vertical-relative:page;z-index:-34710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américa latina en la estrategia de seguridad</w:t>
                </w:r>
              </w:p>
            </w:txbxContent>
          </v:textbox>
          <w10:wrap type="none"/>
        </v:shape>
      </w:pict>
    </w:r>
    <w:r>
      <w:rPr/>
      <w:pict>
        <v:shape style="position:absolute;margin-left:321.894409pt;margin-top:33.582836pt;width:17.150pt;height:11pt;mso-position-horizontal-relative:page;mso-position-vertical-relative:page;z-index:-34708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469</w:t>
                </w:r>
              </w:p>
            </w:txbxContent>
          </v:textbox>
          <w10:wrap type="none"/>
        </v:shape>
      </w:pict>
    </w: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705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470</w:t>
                </w:r>
              </w:p>
            </w:txbxContent>
          </v:textbox>
          <w10:wrap type="none"/>
        </v:shape>
      </w:pict>
    </w:r>
    <w:r>
      <w:rPr/>
      <w:pict>
        <v:shape style="position:absolute;margin-left:226.083405pt;margin-top:33.582836pt;width:118.95pt;height:11pt;mso-position-horizontal-relative:page;mso-position-vertical-relative:page;z-index:-3470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2.35pt;height:11pt;mso-position-horizontal-relative:page;mso-position-vertical-relative:page;z-index:-34700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américa latina en la estrategia de seguridad</w:t>
                </w:r>
              </w:p>
            </w:txbxContent>
          </v:textbox>
          <w10:wrap type="none"/>
        </v:shape>
      </w:pict>
    </w:r>
    <w:r>
      <w:rPr/>
      <w:pict>
        <v:shape style="position:absolute;margin-left:321.894409pt;margin-top:33.582836pt;width:17.150pt;height:11pt;mso-position-horizontal-relative:page;mso-position-vertical-relative:page;z-index:-34698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471</w:t>
                </w:r>
              </w:p>
            </w:txbxContent>
          </v:textbox>
          <w10:wrap type="none"/>
        </v:shape>
      </w:pict>
    </w: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96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472</w:t>
                </w:r>
                <w:r>
                  <w:rPr/>
                  <w:fldChar w:fldCharType="end"/>
                </w:r>
              </w:p>
            </w:txbxContent>
          </v:textbox>
          <w10:wrap type="none"/>
        </v:shape>
      </w:pict>
    </w:r>
    <w:r>
      <w:rPr/>
      <w:pict>
        <v:shape style="position:absolute;margin-left:226.083405pt;margin-top:33.582836pt;width:118.95pt;height:11pt;mso-position-horizontal-relative:page;mso-position-vertical-relative:page;z-index:-34693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2.35pt;height:11pt;mso-position-horizontal-relative:page;mso-position-vertical-relative:page;z-index:-34691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américa latina en la estrategia de seguridad</w:t>
                </w:r>
              </w:p>
            </w:txbxContent>
          </v:textbox>
          <w10:wrap type="none"/>
        </v:shape>
      </w:pict>
    </w:r>
    <w:r>
      <w:rPr/>
      <w:pict>
        <v:shape style="position:absolute;margin-left:320.894409pt;margin-top:33.582836pt;width:19.150pt;height:11pt;mso-position-horizontal-relative:page;mso-position-vertical-relative:page;z-index:-3468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473</w:t>
                </w:r>
                <w:r>
                  <w:rPr/>
                  <w:fldChar w:fldCharType="end"/>
                </w:r>
              </w:p>
            </w:txbxContent>
          </v:textbox>
          <w10:wrap type="none"/>
        </v:shape>
      </w:pict>
    </w: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68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480</w:t>
                </w:r>
              </w:p>
            </w:txbxContent>
          </v:textbox>
          <w10:wrap type="none"/>
        </v:shape>
      </w:pict>
    </w:r>
    <w:r>
      <w:rPr/>
      <w:pict>
        <v:shape style="position:absolute;margin-left:226.083405pt;margin-top:33.582836pt;width:118.95pt;height:11pt;mso-position-horizontal-relative:page;mso-position-vertical-relative:page;z-index:-34684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02.35pt;height:11pt;mso-position-horizontal-relative:page;mso-position-vertical-relative:page;z-index:-34681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américa latina en la estrategia de seguridad</w:t>
                </w:r>
              </w:p>
            </w:txbxContent>
          </v:textbox>
          <w10:wrap type="none"/>
        </v:shape>
      </w:pict>
    </w:r>
    <w:r>
      <w:rPr/>
      <w:pict>
        <v:shape style="position:absolute;margin-left:321.894409pt;margin-top:33.582836pt;width:17.150pt;height:11pt;mso-position-horizontal-relative:page;mso-position-vertical-relative:page;z-index:-34679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481</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6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42</w:t>
                </w:r>
                <w:r>
                  <w:rPr/>
                  <w:fldChar w:fldCharType="end"/>
                </w:r>
              </w:p>
            </w:txbxContent>
          </v:textbox>
          <w10:wrap type="none"/>
        </v:shape>
      </w:pict>
    </w:r>
    <w:r>
      <w:rPr/>
      <w:pict>
        <v:shape style="position:absolute;margin-left:246.943604pt;margin-top:33.582836pt;width:98.1pt;height:11pt;mso-position-horizontal-relative:page;mso-position-vertical-relative:page;z-index:-355576"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67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482</w:t>
                </w:r>
              </w:p>
            </w:txbxContent>
          </v:textbox>
          <w10:wrap type="none"/>
        </v:shape>
      </w:pict>
    </w:r>
    <w:r>
      <w:rPr/>
      <w:pict>
        <v:shape style="position:absolute;margin-left:226.083405pt;margin-top:33.582836pt;width:118.95pt;height:11pt;mso-position-horizontal-relative:page;mso-position-vertical-relative:page;z-index:-34674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maría</w:t>
                </w:r>
                <w:r>
                  <w:rPr>
                    <w:rFonts w:ascii="Calibri" w:hAnsi="Calibri"/>
                    <w:color w:val="231F20"/>
                    <w:spacing w:val="-14"/>
                    <w:w w:val="125"/>
                    <w:sz w:val="18"/>
                  </w:rPr>
                  <w:t> </w:t>
                </w:r>
                <w:r>
                  <w:rPr>
                    <w:rFonts w:ascii="Calibri" w:hAnsi="Calibri"/>
                    <w:color w:val="231F20"/>
                    <w:w w:val="125"/>
                    <w:sz w:val="18"/>
                  </w:rPr>
                  <w:t>josé</w:t>
                </w:r>
                <w:r>
                  <w:rPr>
                    <w:rFonts w:ascii="Calibri" w:hAnsi="Calibri"/>
                    <w:color w:val="231F20"/>
                    <w:spacing w:val="-14"/>
                    <w:w w:val="125"/>
                    <w:sz w:val="18"/>
                  </w:rPr>
                  <w:t> </w:t>
                </w:r>
                <w:r>
                  <w:rPr>
                    <w:rFonts w:ascii="Calibri" w:hAnsi="Calibri"/>
                    <w:color w:val="231F20"/>
                    <w:w w:val="125"/>
                    <w:sz w:val="18"/>
                  </w:rPr>
                  <w:t>rodríguez</w:t>
                </w:r>
                <w:r>
                  <w:rPr>
                    <w:rFonts w:ascii="Calibri" w:hAnsi="Calibri"/>
                    <w:color w:val="231F20"/>
                    <w:spacing w:val="-14"/>
                    <w:w w:val="125"/>
                    <w:sz w:val="18"/>
                  </w:rPr>
                  <w:t> </w:t>
                </w:r>
                <w:r>
                  <w:rPr>
                    <w:rFonts w:ascii="Calibri" w:hAnsi="Calibri"/>
                    <w:color w:val="231F20"/>
                    <w:w w:val="125"/>
                    <w:sz w:val="18"/>
                  </w:rPr>
                  <w:t>rejas</w:t>
                </w:r>
              </w:p>
            </w:txbxContent>
          </v:textbox>
          <w10:wrap type="none"/>
        </v:shape>
      </w:pict>
    </w: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7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484</w:t>
                </w:r>
                <w:r>
                  <w:rPr/>
                  <w:fldChar w:fldCharType="end"/>
                </w:r>
              </w:p>
            </w:txbxContent>
          </v:textbox>
          <w10:wrap type="none"/>
        </v:shape>
      </w:pict>
    </w:r>
    <w:r>
      <w:rPr/>
      <w:pict>
        <v:shape style="position:absolute;margin-left:254.802399pt;margin-top:33.582836pt;width:90.25pt;height:11pt;mso-position-horizontal-relative:page;mso-position-vertical-relative:page;z-index:-34669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catalina toro</w:t>
                </w:r>
                <w:r>
                  <w:rPr>
                    <w:rFonts w:ascii="Calibri" w:hAnsi="Calibri"/>
                    <w:color w:val="231F20"/>
                    <w:spacing w:val="-35"/>
                    <w:w w:val="130"/>
                    <w:sz w:val="18"/>
                  </w:rPr>
                  <w:t> </w:t>
                </w:r>
                <w:r>
                  <w:rPr>
                    <w:rFonts w:ascii="Calibri" w:hAnsi="Calibri"/>
                    <w:color w:val="231F20"/>
                    <w:w w:val="130"/>
                    <w:sz w:val="18"/>
                  </w:rPr>
                  <w:t>pérez</w:t>
                </w:r>
              </w:p>
            </w:txbxContent>
          </v:textbox>
          <w10:wrap type="none"/>
        </v:shape>
      </w:pict>
    </w: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4.45pt;height:11pt;mso-position-horizontal-relative:page;mso-position-vertical-relative:page;z-index:-34667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política exterior para la américa andina</w:t>
                </w:r>
              </w:p>
            </w:txbxContent>
          </v:textbox>
          <w10:wrap type="none"/>
        </v:shape>
      </w:pict>
    </w:r>
    <w:r>
      <w:rPr/>
      <w:pict>
        <v:shape style="position:absolute;margin-left:320.894409pt;margin-top:33.582836pt;width:19.150pt;height:11pt;mso-position-horizontal-relative:page;mso-position-vertical-relative:page;z-index:-34664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485</w:t>
                </w:r>
                <w:r>
                  <w:rPr/>
                  <w:fldChar w:fldCharType="end"/>
                </w:r>
              </w:p>
            </w:txbxContent>
          </v:textbox>
          <w10:wrap type="none"/>
        </v:shape>
      </w:pict>
    </w: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66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490</w:t>
                </w:r>
              </w:p>
            </w:txbxContent>
          </v:textbox>
          <w10:wrap type="none"/>
        </v:shape>
      </w:pict>
    </w:r>
    <w:r>
      <w:rPr/>
      <w:pict>
        <v:shape style="position:absolute;margin-left:254.802399pt;margin-top:33.582836pt;width:90.25pt;height:11pt;mso-position-horizontal-relative:page;mso-position-vertical-relative:page;z-index:-34660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catalina toro</w:t>
                </w:r>
                <w:r>
                  <w:rPr>
                    <w:rFonts w:ascii="Calibri" w:hAnsi="Calibri"/>
                    <w:color w:val="231F20"/>
                    <w:spacing w:val="-35"/>
                    <w:w w:val="130"/>
                    <w:sz w:val="18"/>
                  </w:rPr>
                  <w:t> </w:t>
                </w:r>
                <w:r>
                  <w:rPr>
                    <w:rFonts w:ascii="Calibri" w:hAnsi="Calibri"/>
                    <w:color w:val="231F20"/>
                    <w:w w:val="130"/>
                    <w:sz w:val="18"/>
                  </w:rPr>
                  <w:t>pérez</w:t>
                </w:r>
              </w:p>
            </w:txbxContent>
          </v:textbox>
          <w10:wrap type="none"/>
        </v:shape>
      </w:pict>
    </w: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4.45pt;height:11pt;mso-position-horizontal-relative:page;mso-position-vertical-relative:page;z-index:-3465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política exterior para la américa andina</w:t>
                </w:r>
              </w:p>
            </w:txbxContent>
          </v:textbox>
          <w10:wrap type="none"/>
        </v:shape>
      </w:pict>
    </w:r>
    <w:r>
      <w:rPr/>
      <w:pict>
        <v:shape style="position:absolute;margin-left:321.894409pt;margin-top:33.582836pt;width:17.150pt;height:11pt;mso-position-horizontal-relative:page;mso-position-vertical-relative:page;z-index:-34655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491</w:t>
                </w:r>
              </w:p>
            </w:txbxContent>
          </v:textbox>
          <w10:wrap type="none"/>
        </v:shape>
      </w:pict>
    </w: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5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492</w:t>
                </w:r>
                <w:r>
                  <w:rPr/>
                  <w:fldChar w:fldCharType="end"/>
                </w:r>
              </w:p>
            </w:txbxContent>
          </v:textbox>
          <w10:wrap type="none"/>
        </v:shape>
      </w:pict>
    </w:r>
    <w:r>
      <w:rPr/>
      <w:pict>
        <v:shape style="position:absolute;margin-left:254.802399pt;margin-top:33.582836pt;width:90.25pt;height:11pt;mso-position-horizontal-relative:page;mso-position-vertical-relative:page;z-index:-34650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catalina toro</w:t>
                </w:r>
                <w:r>
                  <w:rPr>
                    <w:rFonts w:ascii="Calibri" w:hAnsi="Calibri"/>
                    <w:color w:val="231F20"/>
                    <w:spacing w:val="-35"/>
                    <w:w w:val="130"/>
                    <w:sz w:val="18"/>
                  </w:rPr>
                  <w:t> </w:t>
                </w:r>
                <w:r>
                  <w:rPr>
                    <w:rFonts w:ascii="Calibri" w:hAnsi="Calibri"/>
                    <w:color w:val="231F20"/>
                    <w:w w:val="130"/>
                    <w:sz w:val="18"/>
                  </w:rPr>
                  <w:t>pérez</w:t>
                </w:r>
              </w:p>
            </w:txbxContent>
          </v:textbox>
          <w10:wrap type="none"/>
        </v:shape>
      </w:pict>
    </w: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4.45pt;height:11pt;mso-position-horizontal-relative:page;mso-position-vertical-relative:page;z-index:-34648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política exterior para la américa andina</w:t>
                </w:r>
              </w:p>
            </w:txbxContent>
          </v:textbox>
          <w10:wrap type="none"/>
        </v:shape>
      </w:pict>
    </w:r>
    <w:r>
      <w:rPr/>
      <w:pict>
        <v:shape style="position:absolute;margin-left:320.894409pt;margin-top:33.582836pt;width:19.150pt;height:11pt;mso-position-horizontal-relative:page;mso-position-vertical-relative:page;z-index:-34645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493</w:t>
                </w:r>
                <w:r>
                  <w:rPr/>
                  <w:fldChar w:fldCharType="end"/>
                </w:r>
              </w:p>
            </w:txbxContent>
          </v:textbox>
          <w10:wrap type="none"/>
        </v:shape>
      </w:pict>
    </w: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64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500</w:t>
                </w:r>
              </w:p>
            </w:txbxContent>
          </v:textbox>
          <w10:wrap type="none"/>
        </v:shape>
      </w:pict>
    </w:r>
    <w:r>
      <w:rPr/>
      <w:pict>
        <v:shape style="position:absolute;margin-left:254.802399pt;margin-top:33.582836pt;width:90.25pt;height:11pt;mso-position-horizontal-relative:page;mso-position-vertical-relative:page;z-index:-34640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catalina toro</w:t>
                </w:r>
                <w:r>
                  <w:rPr>
                    <w:rFonts w:ascii="Calibri" w:hAnsi="Calibri"/>
                    <w:color w:val="231F20"/>
                    <w:spacing w:val="-35"/>
                    <w:w w:val="130"/>
                    <w:sz w:val="18"/>
                  </w:rPr>
                  <w:t> </w:t>
                </w:r>
                <w:r>
                  <w:rPr>
                    <w:rFonts w:ascii="Calibri" w:hAnsi="Calibri"/>
                    <w:color w:val="231F20"/>
                    <w:w w:val="130"/>
                    <w:sz w:val="18"/>
                  </w:rPr>
                  <w:t>pérez</w:t>
                </w:r>
              </w:p>
            </w:txbxContent>
          </v:textbox>
          <w10:wrap type="none"/>
        </v:shape>
      </w:pict>
    </w: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4.45pt;height:11pt;mso-position-horizontal-relative:page;mso-position-vertical-relative:page;z-index:-3463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política exterior para la américa andina</w:t>
                </w:r>
              </w:p>
            </w:txbxContent>
          </v:textbox>
          <w10:wrap type="none"/>
        </v:shape>
      </w:pict>
    </w:r>
    <w:r>
      <w:rPr/>
      <w:pict>
        <v:shape style="position:absolute;margin-left:321.894409pt;margin-top:33.582836pt;width:17.150pt;height:11pt;mso-position-horizontal-relative:page;mso-position-vertical-relative:page;z-index:-34636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501</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4pt;height:11pt;mso-position-horizontal-relative:page;mso-position-vertical-relative:page;z-index:-355552"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estructural y crisis de coyuntura</w:t>
                </w:r>
              </w:p>
            </w:txbxContent>
          </v:textbox>
          <w10:wrap type="none"/>
        </v:shape>
      </w:pict>
    </w:r>
    <w:r>
      <w:rPr/>
      <w:pict>
        <v:shape style="position:absolute;margin-left:325.945190pt;margin-top:33.582836pt;width:14.1pt;height:11pt;mso-position-horizontal-relative:page;mso-position-vertical-relative:page;z-index:-3555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43</w:t>
                </w:r>
                <w:r>
                  <w:rPr/>
                  <w:fldChar w:fldCharType="end"/>
                </w:r>
              </w:p>
            </w:txbxContent>
          </v:textbox>
          <w10:wrap type="none"/>
        </v:shape>
      </w:pict>
    </w: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3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502</w:t>
                </w:r>
                <w:r>
                  <w:rPr/>
                  <w:fldChar w:fldCharType="end"/>
                </w:r>
              </w:p>
            </w:txbxContent>
          </v:textbox>
          <w10:wrap type="none"/>
        </v:shape>
      </w:pict>
    </w:r>
    <w:r>
      <w:rPr/>
      <w:pict>
        <v:shape style="position:absolute;margin-left:254.802399pt;margin-top:33.582836pt;width:90.25pt;height:11pt;mso-position-horizontal-relative:page;mso-position-vertical-relative:page;z-index:-34631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catalina toro</w:t>
                </w:r>
                <w:r>
                  <w:rPr>
                    <w:rFonts w:ascii="Calibri" w:hAnsi="Calibri"/>
                    <w:color w:val="231F20"/>
                    <w:spacing w:val="-35"/>
                    <w:w w:val="130"/>
                    <w:sz w:val="18"/>
                  </w:rPr>
                  <w:t> </w:t>
                </w:r>
                <w:r>
                  <w:rPr>
                    <w:rFonts w:ascii="Calibri" w:hAnsi="Calibri"/>
                    <w:color w:val="231F20"/>
                    <w:w w:val="130"/>
                    <w:sz w:val="18"/>
                  </w:rPr>
                  <w:t>pérez</w:t>
                </w:r>
              </w:p>
            </w:txbxContent>
          </v:textbox>
          <w10:wrap type="none"/>
        </v:shape>
      </w:pict>
    </w: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4.45pt;height:11pt;mso-position-horizontal-relative:page;mso-position-vertical-relative:page;z-index:-3462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política exterior para la américa andina</w:t>
                </w:r>
              </w:p>
            </w:txbxContent>
          </v:textbox>
          <w10:wrap type="none"/>
        </v:shape>
      </w:pict>
    </w:r>
    <w:r>
      <w:rPr/>
      <w:pict>
        <v:shape style="position:absolute;margin-left:321.894409pt;margin-top:33.582836pt;width:17.150pt;height:11pt;mso-position-horizontal-relative:page;mso-position-vertical-relative:page;z-index:-3462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503</w:t>
                </w:r>
              </w:p>
            </w:txbxContent>
          </v:textbox>
          <w10:wrap type="none"/>
        </v:shape>
      </w:pict>
    </w: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24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506</w:t>
                </w:r>
                <w:r>
                  <w:rPr/>
                  <w:fldChar w:fldCharType="end"/>
                </w:r>
              </w:p>
            </w:txbxContent>
          </v:textbox>
          <w10:wrap type="none"/>
        </v:shape>
      </w:pict>
    </w:r>
    <w:r>
      <w:rPr/>
      <w:pict>
        <v:shape style="position:absolute;margin-left:227.046402pt;margin-top:33.582836pt;width:118pt;height:11pt;mso-position-horizontal-relative:page;mso-position-vertical-relative:page;z-index:-34621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gian carlo delgado ramos</w:t>
                </w:r>
              </w:p>
            </w:txbxContent>
          </v:textbox>
          <w10:wrap type="none"/>
        </v:shape>
      </w:pict>
    </w: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9.15pt;height:11pt;mso-position-horizontal-relative:page;mso-position-vertical-relative:page;z-index:-346192"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seguridad nacional, recursos naturales</w:t>
                </w:r>
              </w:p>
            </w:txbxContent>
          </v:textbox>
          <w10:wrap type="none"/>
        </v:shape>
      </w:pict>
    </w:r>
    <w:r>
      <w:rPr/>
      <w:pict>
        <v:shape style="position:absolute;margin-left:320.894409pt;margin-top:33.582836pt;width:19.150pt;height:11pt;mso-position-horizontal-relative:page;mso-position-vertical-relative:page;z-index:-34616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507</w:t>
                </w:r>
                <w:r>
                  <w:rPr/>
                  <w:fldChar w:fldCharType="end"/>
                </w:r>
              </w:p>
            </w:txbxContent>
          </v:textbox>
          <w10:wrap type="none"/>
        </v:shape>
      </w:pict>
    </w: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614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510</w:t>
                </w:r>
              </w:p>
            </w:txbxContent>
          </v:textbox>
          <w10:wrap type="none"/>
        </v:shape>
      </w:pict>
    </w:r>
    <w:r>
      <w:rPr/>
      <w:pict>
        <v:shape style="position:absolute;margin-left:227.046402pt;margin-top:33.582836pt;width:118pt;height:11pt;mso-position-horizontal-relative:page;mso-position-vertical-relative:page;z-index:-34612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gian carlo delgado ramos</w:t>
                </w:r>
              </w:p>
            </w:txbxContent>
          </v:textbox>
          <w10:wrap type="none"/>
        </v:shape>
      </w:pict>
    </w: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9.15pt;height:11pt;mso-position-horizontal-relative:page;mso-position-vertical-relative:page;z-index:-34609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seguridad nacional, recursos naturales</w:t>
                </w:r>
              </w:p>
            </w:txbxContent>
          </v:textbox>
          <w10:wrap type="none"/>
        </v:shape>
      </w:pict>
    </w:r>
    <w:r>
      <w:rPr/>
      <w:pict>
        <v:shape style="position:absolute;margin-left:321.894409pt;margin-top:33.582836pt;width:17.150pt;height:11pt;mso-position-horizontal-relative:page;mso-position-vertical-relative:page;z-index:-34607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511</w:t>
                </w:r>
              </w:p>
            </w:txbxContent>
          </v:textbox>
          <w10:wrap type="none"/>
        </v:shape>
      </w:pict>
    </w: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604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512</w:t>
                </w:r>
                <w:r>
                  <w:rPr/>
                  <w:fldChar w:fldCharType="end"/>
                </w:r>
              </w:p>
            </w:txbxContent>
          </v:textbox>
          <w10:wrap type="none"/>
        </v:shape>
      </w:pict>
    </w:r>
    <w:r>
      <w:rPr/>
      <w:pict>
        <v:shape style="position:absolute;margin-left:227.046402pt;margin-top:33.582836pt;width:118pt;height:11pt;mso-position-horizontal-relative:page;mso-position-vertical-relative:page;z-index:-34602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gian carlo delgado ramos</w:t>
                </w:r>
              </w:p>
            </w:txbxContent>
          </v:textbox>
          <w10:wrap type="none"/>
        </v:shape>
      </w:pict>
    </w: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9.15pt;height:11pt;mso-position-horizontal-relative:page;mso-position-vertical-relative:page;z-index:-34600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seguridad nacional, recursos naturales</w:t>
                </w:r>
              </w:p>
            </w:txbxContent>
          </v:textbox>
          <w10:wrap type="none"/>
        </v:shape>
      </w:pict>
    </w:r>
    <w:r>
      <w:rPr/>
      <w:pict>
        <v:shape style="position:absolute;margin-left:320.894409pt;margin-top:33.582836pt;width:19.150pt;height:11pt;mso-position-horizontal-relative:page;mso-position-vertical-relative:page;z-index:-34597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513</w:t>
                </w:r>
                <w:r>
                  <w:rPr/>
                  <w:fldChar w:fldCharType="end"/>
                </w:r>
              </w:p>
            </w:txbxContent>
          </v:textbox>
          <w10:wrap type="none"/>
        </v:shape>
      </w:pict>
    </w: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4595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520</w:t>
                </w:r>
              </w:p>
            </w:txbxContent>
          </v:textbox>
          <w10:wrap type="none"/>
        </v:shape>
      </w:pict>
    </w:r>
    <w:r>
      <w:rPr/>
      <w:pict>
        <v:shape style="position:absolute;margin-left:227.046402pt;margin-top:33.582836pt;width:118pt;height:11pt;mso-position-horizontal-relative:page;mso-position-vertical-relative:page;z-index:-34592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gian carlo delgado ramos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55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50</w:t>
                </w:r>
              </w:p>
            </w:txbxContent>
          </v:textbox>
          <w10:wrap type="none"/>
        </v:shape>
      </w:pict>
    </w:r>
    <w:r>
      <w:rPr/>
      <w:pict>
        <v:shape style="position:absolute;margin-left:246.943604pt;margin-top:33.582836pt;width:98.1pt;height:11pt;mso-position-horizontal-relative:page;mso-position-vertical-relative:page;z-index:-355480"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9.15pt;height:11pt;mso-position-horizontal-relative:page;mso-position-vertical-relative:page;z-index:-34590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seguridad nacional, recursos naturales</w:t>
                </w:r>
              </w:p>
            </w:txbxContent>
          </v:textbox>
          <w10:wrap type="none"/>
        </v:shape>
      </w:pict>
    </w:r>
    <w:r>
      <w:rPr/>
      <w:pict>
        <v:shape style="position:absolute;margin-left:321.894409pt;margin-top:33.582836pt;width:17.150pt;height:11pt;mso-position-horizontal-relative:page;mso-position-vertical-relative:page;z-index:-34588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521</w:t>
                </w:r>
              </w:p>
            </w:txbxContent>
          </v:textbox>
          <w10:wrap type="none"/>
        </v:shape>
      </w:pict>
    </w: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4585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522</w:t>
                </w:r>
                <w:r>
                  <w:rPr/>
                  <w:fldChar w:fldCharType="end"/>
                </w:r>
              </w:p>
            </w:txbxContent>
          </v:textbox>
          <w10:wrap type="none"/>
        </v:shape>
      </w:pict>
    </w:r>
    <w:r>
      <w:rPr/>
      <w:pict>
        <v:shape style="position:absolute;margin-left:227.046402pt;margin-top:33.582836pt;width:118pt;height:11pt;mso-position-horizontal-relative:page;mso-position-vertical-relative:page;z-index:-345832"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gian carlo delgado ramos</w:t>
                </w:r>
              </w:p>
            </w:txbxContent>
          </v:textbox>
          <w10:wrap type="none"/>
        </v:shape>
      </w:pict>
    </w: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9.15pt;height:11pt;mso-position-horizontal-relative:page;mso-position-vertical-relative:page;z-index:-34580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seguridad nacional, recursos naturales</w:t>
                </w:r>
              </w:p>
            </w:txbxContent>
          </v:textbox>
          <w10:wrap type="none"/>
        </v:shape>
      </w:pict>
    </w:r>
    <w:r>
      <w:rPr/>
      <w:pict>
        <v:shape style="position:absolute;margin-left:320.894409pt;margin-top:33.582836pt;width:19.150pt;height:11pt;mso-position-horizontal-relative:page;mso-position-vertical-relative:page;z-index:-34578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523</w:t>
                </w:r>
                <w:r>
                  <w:rPr/>
                  <w:fldChar w:fldCharType="end"/>
                </w:r>
              </w:p>
            </w:txbxContent>
          </v:textbox>
          <w10:wrap type="none"/>
        </v:shape>
      </w:pict>
    </w: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4pt;height:11pt;mso-position-horizontal-relative:page;mso-position-vertical-relative:page;z-index:-355456"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estructural y crisis de coyuntura</w:t>
                </w:r>
              </w:p>
            </w:txbxContent>
          </v:textbox>
          <w10:wrap type="none"/>
        </v:shape>
      </w:pict>
    </w:r>
    <w:r>
      <w:rPr/>
      <w:pict>
        <v:shape style="position:absolute;margin-left:326.945190pt;margin-top:33.582836pt;width:12.1pt;height:11pt;mso-position-horizontal-relative:page;mso-position-vertical-relative:page;z-index:-3554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51</w:t>
                </w:r>
              </w:p>
            </w:txbxContent>
          </v:textbox>
          <w10:wrap type="none"/>
        </v:shape>
      </w:pict>
    </w:r>
  </w:p>
</w:hdr>
</file>

<file path=word/header2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4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52</w:t>
                </w:r>
                <w:r>
                  <w:rPr/>
                  <w:fldChar w:fldCharType="end"/>
                </w:r>
              </w:p>
            </w:txbxContent>
          </v:textbox>
          <w10:wrap type="none"/>
        </v:shape>
      </w:pict>
    </w:r>
    <w:r>
      <w:rPr/>
      <w:pict>
        <v:shape style="position:absolute;margin-left:246.943604pt;margin-top:33.582836pt;width:98.1pt;height:11pt;mso-position-horizontal-relative:page;mso-position-vertical-relative:page;z-index:-355384"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82.4pt;height:11pt;mso-position-horizontal-relative:page;mso-position-vertical-relative:page;z-index:-355360"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estructural y crisis de coyuntura</w:t>
                </w:r>
              </w:p>
            </w:txbxContent>
          </v:textbox>
          <w10:wrap type="none"/>
        </v:shape>
      </w:pict>
    </w:r>
    <w:r>
      <w:rPr/>
      <w:pict>
        <v:shape style="position:absolute;margin-left:325.945190pt;margin-top:33.582836pt;width:14.1pt;height:11pt;mso-position-horizontal-relative:page;mso-position-vertical-relative:page;z-index:-3553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53</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531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60</w:t>
                </w:r>
              </w:p>
            </w:txbxContent>
          </v:textbox>
          <w10:wrap type="none"/>
        </v:shape>
      </w:pict>
    </w:r>
    <w:r>
      <w:rPr/>
      <w:pict>
        <v:shape style="position:absolute;margin-left:246.943604pt;margin-top:33.582836pt;width:98.1pt;height:11pt;mso-position-horizontal-relative:page;mso-position-vertical-relative:page;z-index:-355288"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62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10</w:t>
                </w:r>
              </w:p>
            </w:txbxContent>
          </v:textbox>
          <w10:wrap type="none"/>
        </v:shape>
      </w:pict>
    </w:r>
    <w:r>
      <w:rPr/>
      <w:pict>
        <v:shape style="position:absolute;margin-left:246.943604pt;margin-top:33.582836pt;width:98.1pt;height:11pt;mso-position-horizontal-relative:page;mso-position-vertical-relative:page;z-index:-356200"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26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62</w:t>
                </w:r>
                <w:r>
                  <w:rPr/>
                  <w:fldChar w:fldCharType="end"/>
                </w:r>
              </w:p>
            </w:txbxContent>
          </v:textbox>
          <w10:wrap type="none"/>
        </v:shape>
      </w:pict>
    </w:r>
    <w:r>
      <w:rPr/>
      <w:pict>
        <v:shape style="position:absolute;margin-left:236.881607pt;margin-top:33.582836pt;width:108.15pt;height:11pt;mso-position-horizontal-relative:page;mso-position-vertical-relative:page;z-index:-35524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eduardo martins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99.4pt;height:11pt;mso-position-horizontal-relative:page;mso-position-vertical-relative:page;z-index:-35521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teoría de coyuntura y crisis   contemporánea</w:t>
                </w:r>
              </w:p>
            </w:txbxContent>
          </v:textbox>
          <w10:wrap type="none"/>
        </v:shape>
      </w:pict>
    </w:r>
    <w:r>
      <w:rPr/>
      <w:pict>
        <v:shape style="position:absolute;margin-left:325.945190pt;margin-top:33.582836pt;width:14.1pt;height:11pt;mso-position-horizontal-relative:page;mso-position-vertical-relative:page;z-index:-3551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63</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51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70</w:t>
                </w:r>
              </w:p>
            </w:txbxContent>
          </v:textbox>
          <w10:wrap type="none"/>
        </v:shape>
      </w:pict>
    </w:r>
    <w:r>
      <w:rPr/>
      <w:pict>
        <v:shape style="position:absolute;margin-left:236.881607pt;margin-top:33.582836pt;width:108.15pt;height:11pt;mso-position-horizontal-relative:page;mso-position-vertical-relative:page;z-index:-35514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eduardo martins</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99.4pt;height:11pt;mso-position-horizontal-relative:page;mso-position-vertical-relative:page;z-index:-35512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teoría de coyuntura y crisis   contemporánea</w:t>
                </w:r>
              </w:p>
            </w:txbxContent>
          </v:textbox>
          <w10:wrap type="none"/>
        </v:shape>
      </w:pict>
    </w:r>
    <w:r>
      <w:rPr/>
      <w:pict>
        <v:shape style="position:absolute;margin-left:326.945190pt;margin-top:33.582836pt;width:12.1pt;height:11pt;mso-position-horizontal-relative:page;mso-position-vertical-relative:page;z-index:-3550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71</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507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72</w:t>
                </w:r>
                <w:r>
                  <w:rPr/>
                  <w:fldChar w:fldCharType="end"/>
                </w:r>
              </w:p>
            </w:txbxContent>
          </v:textbox>
          <w10:wrap type="none"/>
        </v:shape>
      </w:pict>
    </w:r>
    <w:r>
      <w:rPr/>
      <w:pict>
        <v:shape style="position:absolute;margin-left:236.881607pt;margin-top:33.582836pt;width:108.15pt;height:11pt;mso-position-horizontal-relative:page;mso-position-vertical-relative:page;z-index:-35504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eduardo martins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99.4pt;height:11pt;mso-position-horizontal-relative:page;mso-position-vertical-relative:page;z-index:-35502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teoría de coyuntura y crisis   contemporánea</w:t>
                </w:r>
              </w:p>
            </w:txbxContent>
          </v:textbox>
          <w10:wrap type="none"/>
        </v:shape>
      </w:pict>
    </w:r>
    <w:r>
      <w:rPr/>
      <w:pict>
        <v:shape style="position:absolute;margin-left:325.945190pt;margin-top:33.582836pt;width:14.1pt;height:11pt;mso-position-horizontal-relative:page;mso-position-vertical-relative:page;z-index:-3550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73</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497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80</w:t>
                </w:r>
              </w:p>
            </w:txbxContent>
          </v:textbox>
          <w10:wrap type="none"/>
        </v:shape>
      </w:pict>
    </w:r>
    <w:r>
      <w:rPr/>
      <w:pict>
        <v:shape style="position:absolute;margin-left:236.881607pt;margin-top:33.582836pt;width:108.15pt;height:11pt;mso-position-horizontal-relative:page;mso-position-vertical-relative:page;z-index:-354952"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carlos eduardo martins</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49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82</w:t>
                </w:r>
                <w:r>
                  <w:rPr/>
                  <w:fldChar w:fldCharType="end"/>
                </w:r>
              </w:p>
            </w:txbxContent>
          </v:textbox>
          <w10:wrap type="none"/>
        </v:shape>
      </w:pict>
    </w:r>
    <w:r>
      <w:rPr/>
      <w:pict>
        <v:shape style="position:absolute;margin-left:247.645599pt;margin-top:33.582836pt;width:97.35pt;height:11pt;mso-position-horizontal-relative:page;mso-position-vertical-relative:page;z-index:-35490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59.2pt;height:11pt;mso-position-horizontal-relative:page;mso-position-vertical-relative:page;z-index:-356176" type="#_x0000_t202" filled="false" stroked="false">
          <v:textbox inset="0,0,0,0">
            <w:txbxContent>
              <w:p>
                <w:pPr>
                  <w:spacing w:line="207" w:lineRule="exact" w:before="0"/>
                  <w:ind w:left="20" w:right="-2" w:firstLine="0"/>
                  <w:jc w:val="left"/>
                  <w:rPr>
                    <w:rFonts w:ascii="Calibri" w:hAnsi="Calibri"/>
                    <w:sz w:val="18"/>
                  </w:rPr>
                </w:pPr>
                <w:r>
                  <w:rPr>
                    <w:rFonts w:ascii="Calibri" w:hAnsi="Calibri"/>
                    <w:color w:val="231F20"/>
                    <w:w w:val="120"/>
                    <w:sz w:val="18"/>
                  </w:rPr>
                  <w:t>presentación</w:t>
                </w:r>
              </w:p>
            </w:txbxContent>
          </v:textbox>
          <w10:wrap type="none"/>
        </v:shape>
      </w:pict>
    </w:r>
    <w:r>
      <w:rPr/>
      <w:pict>
        <v:shape style="position:absolute;margin-left:326.945190pt;margin-top:33.582836pt;width:12.1pt;height:11pt;mso-position-horizontal-relative:page;mso-position-vertical-relative:page;z-index:-35615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11</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88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5.945190pt;margin-top:33.582836pt;width:14.1pt;height:11pt;mso-position-horizontal-relative:page;mso-position-vertical-relative:page;z-index:-35485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83</w:t>
                </w:r>
                <w:r>
                  <w:rPr/>
                  <w:fldChar w:fldCharType="end"/>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48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90</w:t>
                </w:r>
              </w:p>
            </w:txbxContent>
          </v:textbox>
          <w10:wrap type="none"/>
        </v:shape>
      </w:pict>
    </w:r>
    <w:r>
      <w:rPr/>
      <w:pict>
        <v:shape style="position:absolute;margin-left:247.645599pt;margin-top:33.582836pt;width:97.35pt;height:11pt;mso-position-horizontal-relative:page;mso-position-vertical-relative:page;z-index:-354808"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7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6.945190pt;margin-top:33.582836pt;width:12.1pt;height:11pt;mso-position-horizontal-relative:page;mso-position-vertical-relative:page;z-index:-35476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91</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47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92</w:t>
                </w:r>
                <w:r>
                  <w:rPr/>
                  <w:fldChar w:fldCharType="end"/>
                </w:r>
              </w:p>
            </w:txbxContent>
          </v:textbox>
          <w10:wrap type="none"/>
        </v:shape>
      </w:pict>
    </w:r>
    <w:r>
      <w:rPr/>
      <w:pict>
        <v:shape style="position:absolute;margin-left:247.645599pt;margin-top:33.582836pt;width:97.35pt;height:11pt;mso-position-horizontal-relative:page;mso-position-vertical-relative:page;z-index:-354712"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68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5.945190pt;margin-top:33.582836pt;width:14.1pt;height:11pt;mso-position-horizontal-relative:page;mso-position-vertical-relative:page;z-index:-35466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93</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464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100</w:t>
                </w:r>
              </w:p>
            </w:txbxContent>
          </v:textbox>
          <w10:wrap type="none"/>
        </v:shape>
      </w:pict>
    </w:r>
    <w:r>
      <w:rPr/>
      <w:pict>
        <v:shape style="position:absolute;margin-left:247.6474pt;margin-top:33.582836pt;width:97.35pt;height:11pt;mso-position-horizontal-relative:page;mso-position-vertical-relative:page;z-index:-35461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59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1.894409pt;margin-top:33.582836pt;width:17.150pt;height:11pt;mso-position-horizontal-relative:page;mso-position-vertical-relative:page;z-index:-35456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101</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454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102</w:t>
                </w:r>
                <w:r>
                  <w:rPr/>
                  <w:fldChar w:fldCharType="end"/>
                </w:r>
              </w:p>
            </w:txbxContent>
          </v:textbox>
          <w10:wrap type="none"/>
        </v:shape>
      </w:pict>
    </w:r>
    <w:r>
      <w:rPr/>
      <w:pict>
        <v:shape style="position:absolute;margin-left:247.6474pt;margin-top:33.582836pt;width:97.35pt;height:11pt;mso-position-horizontal-relative:page;mso-position-vertical-relative:page;z-index:-35452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49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0.894409pt;margin-top:33.582836pt;width:19.150pt;height:11pt;mso-position-horizontal-relative:page;mso-position-vertical-relative:page;z-index:-35447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103</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444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110</w:t>
                </w:r>
              </w:p>
            </w:txbxContent>
          </v:textbox>
          <w10:wrap type="none"/>
        </v:shape>
      </w:pict>
    </w:r>
    <w:r>
      <w:rPr/>
      <w:pict>
        <v:shape style="position:absolute;margin-left:247.6474pt;margin-top:33.582836pt;width:97.35pt;height:11pt;mso-position-horizontal-relative:page;mso-position-vertical-relative:page;z-index:-35442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orlando caputo leiva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6128"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12</w:t>
                </w:r>
              </w:p>
            </w:txbxContent>
          </v:textbox>
          <w10:wrap type="none"/>
        </v:shape>
      </w:pict>
    </w:r>
    <w:r>
      <w:rPr/>
      <w:pict>
        <v:shape style="position:absolute;margin-left:246.943604pt;margin-top:33.582836pt;width:98.1pt;height:11pt;mso-position-horizontal-relative:page;mso-position-vertical-relative:page;z-index:-356104" type="#_x0000_t202" filled="false" stroked="false">
          <v:textbox inset="0,0,0,0">
            <w:txbxContent>
              <w:p>
                <w:pPr>
                  <w:spacing w:line="207" w:lineRule="exact" w:before="0"/>
                  <w:ind w:left="20" w:right="-8" w:firstLine="0"/>
                  <w:jc w:val="left"/>
                  <w:rPr>
                    <w:rFonts w:ascii="Calibri"/>
                    <w:sz w:val="18"/>
                  </w:rPr>
                </w:pPr>
                <w:r>
                  <w:rPr>
                    <w:rFonts w:ascii="Calibri"/>
                    <w:color w:val="231F20"/>
                    <w:w w:val="125"/>
                    <w:sz w:val="18"/>
                  </w:rPr>
                  <w:t>theotonio dos santos</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2.15pt;height:11pt;mso-position-horizontal-relative:page;mso-position-vertical-relative:page;z-index:-35440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30"/>
                    <w:sz w:val="18"/>
                  </w:rPr>
                  <w:t>crítica a la interpretación financiera</w:t>
                </w:r>
              </w:p>
            </w:txbxContent>
          </v:textbox>
          <w10:wrap type="none"/>
        </v:shape>
      </w:pict>
    </w:r>
    <w:r>
      <w:rPr/>
      <w:pict>
        <v:shape style="position:absolute;margin-left:321.894409pt;margin-top:33.582836pt;width:17.150pt;height:11pt;mso-position-horizontal-relative:page;mso-position-vertical-relative:page;z-index:-35437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111</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16.3pt;height:11pt;mso-position-horizontal-relative:page;mso-position-vertical-relative:page;z-index:-354352"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general capitalista</w:t>
                </w:r>
              </w:p>
            </w:txbxContent>
          </v:textbox>
          <w10:wrap type="none"/>
        </v:shape>
      </w:pict>
    </w:r>
    <w:r>
      <w:rPr/>
      <w:pict>
        <v:shape style="position:absolute;margin-left:320.894409pt;margin-top:33.582836pt;width:19.150pt;height:11pt;mso-position-horizontal-relative:page;mso-position-vertical-relative:page;z-index:-3543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113</w:t>
                </w:r>
                <w:r>
                  <w:rPr/>
                  <w:fldChar w:fldCharType="end"/>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4304"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114</w:t>
                </w:r>
                <w:r>
                  <w:rPr/>
                  <w:fldChar w:fldCharType="end"/>
                </w:r>
              </w:p>
            </w:txbxContent>
          </v:textbox>
          <w10:wrap type="none"/>
        </v:shape>
      </w:pict>
    </w:r>
    <w:r>
      <w:rPr/>
      <w:pict>
        <v:shape style="position:absolute;margin-left:244.218399pt;margin-top:33.582836pt;width:100.8pt;height:11pt;mso-position-horizontal-relative:page;mso-position-vertical-relative:page;z-index:-35428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ornelas delgado</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425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120</w:t>
                </w:r>
              </w:p>
            </w:txbxContent>
          </v:textbox>
          <w10:wrap type="none"/>
        </v:shape>
      </w:pict>
    </w:r>
    <w:r>
      <w:rPr/>
      <w:pict>
        <v:shape style="position:absolute;margin-left:244.218399pt;margin-top:33.582836pt;width:100.8pt;height:11pt;mso-position-horizontal-relative:page;mso-position-vertical-relative:page;z-index:-35423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ornelas delgado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16.3pt;height:11pt;mso-position-horizontal-relative:page;mso-position-vertical-relative:page;z-index:-354208"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general capitalista</w:t>
                </w:r>
              </w:p>
            </w:txbxContent>
          </v:textbox>
          <w10:wrap type="none"/>
        </v:shape>
      </w:pict>
    </w:r>
    <w:r>
      <w:rPr/>
      <w:pict>
        <v:shape style="position:absolute;margin-left:321.894409pt;margin-top:33.582836pt;width:17.150pt;height:11pt;mso-position-horizontal-relative:page;mso-position-vertical-relative:page;z-index:-35418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121</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416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122</w:t>
                </w:r>
                <w:r>
                  <w:rPr/>
                  <w:fldChar w:fldCharType="end"/>
                </w:r>
              </w:p>
            </w:txbxContent>
          </v:textbox>
          <w10:wrap type="none"/>
        </v:shape>
      </w:pict>
    </w:r>
    <w:r>
      <w:rPr/>
      <w:pict>
        <v:shape style="position:absolute;margin-left:244.218399pt;margin-top:33.582836pt;width:100.8pt;height:11pt;mso-position-horizontal-relative:page;mso-position-vertical-relative:page;z-index:-354136"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ornelas delgado</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16.3pt;height:11pt;mso-position-horizontal-relative:page;mso-position-vertical-relative:page;z-index:-354112"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general capitalista</w:t>
                </w:r>
              </w:p>
            </w:txbxContent>
          </v:textbox>
          <w10:wrap type="none"/>
        </v:shape>
      </w:pict>
    </w:r>
    <w:r>
      <w:rPr/>
      <w:pict>
        <v:shape style="position:absolute;margin-left:320.894409pt;margin-top:33.582836pt;width:19.150pt;height:11pt;mso-position-horizontal-relative:page;mso-position-vertical-relative:page;z-index:-3540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123</w:t>
                </w:r>
                <w:r>
                  <w:rPr/>
                  <w:fldChar w:fldCharType="end"/>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40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130</w:t>
                </w:r>
              </w:p>
            </w:txbxContent>
          </v:textbox>
          <w10:wrap type="none"/>
        </v:shape>
      </w:pict>
    </w:r>
    <w:r>
      <w:rPr/>
      <w:pict>
        <v:shape style="position:absolute;margin-left:244.218399pt;margin-top:33.582836pt;width:100.8pt;height:11pt;mso-position-horizontal-relative:page;mso-position-vertical-relative:page;z-index:-35404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ornelas delgado</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16.3pt;height:11pt;mso-position-horizontal-relative:page;mso-position-vertical-relative:page;z-index:-354016"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general capitalista</w:t>
                </w:r>
              </w:p>
            </w:txbxContent>
          </v:textbox>
          <w10:wrap type="none"/>
        </v:shape>
      </w:pict>
    </w:r>
    <w:r>
      <w:rPr/>
      <w:pict>
        <v:shape style="position:absolute;margin-left:321.894409pt;margin-top:33.582836pt;width:17.150pt;height:11pt;mso-position-horizontal-relative:page;mso-position-vertical-relative:page;z-index:-35399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131</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96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132</w:t>
                </w:r>
                <w:r>
                  <w:rPr/>
                  <w:fldChar w:fldCharType="end"/>
                </w:r>
              </w:p>
            </w:txbxContent>
          </v:textbox>
          <w10:wrap type="none"/>
        </v:shape>
      </w:pict>
    </w:r>
    <w:r>
      <w:rPr/>
      <w:pict>
        <v:shape style="position:absolute;margin-left:244.218399pt;margin-top:33.582836pt;width:100.8pt;height:11pt;mso-position-horizontal-relative:page;mso-position-vertical-relative:page;z-index:-353944"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jaime ornelas delgado</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16.3pt;height:11pt;mso-position-horizontal-relative:page;mso-position-vertical-relative:page;z-index:-353920" type="#_x0000_t202" filled="false" stroked="false">
          <v:textbox inset="0,0,0,0">
            <w:txbxContent>
              <w:p>
                <w:pPr>
                  <w:spacing w:line="207" w:lineRule="exact" w:before="0"/>
                  <w:ind w:left="20" w:right="0" w:firstLine="0"/>
                  <w:jc w:val="left"/>
                  <w:rPr>
                    <w:rFonts w:ascii="Calibri"/>
                    <w:sz w:val="18"/>
                  </w:rPr>
                </w:pPr>
                <w:r>
                  <w:rPr>
                    <w:rFonts w:ascii="Calibri"/>
                    <w:color w:val="231F20"/>
                    <w:w w:val="130"/>
                    <w:sz w:val="18"/>
                  </w:rPr>
                  <w:t>crisis general capitalista</w:t>
                </w:r>
              </w:p>
            </w:txbxContent>
          </v:textbox>
          <w10:wrap type="none"/>
        </v:shape>
      </w:pict>
    </w:r>
    <w:r>
      <w:rPr/>
      <w:pict>
        <v:shape style="position:absolute;margin-left:320.894409pt;margin-top:33.582836pt;width:19.150pt;height:11pt;mso-position-horizontal-relative:page;mso-position-vertical-relative:page;z-index:-35389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133</w:t>
                </w:r>
                <w:r>
                  <w:rPr/>
                  <w:fldChar w:fldCharType="end"/>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387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138</w:t>
                </w:r>
              </w:p>
            </w:txbxContent>
          </v:textbox>
          <w10:wrap type="none"/>
        </v:shape>
      </w:pict>
    </w:r>
    <w:r>
      <w:rPr/>
      <w:pict>
        <v:shape style="position:absolute;margin-left:229.962402pt;margin-top:33.582836pt;width:115.05pt;height:11pt;mso-position-horizontal-relative:page;mso-position-vertical-relative:page;z-index:-35384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marco a. gandásegui, hijo</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20.95pt;height:11pt;mso-position-horizontal-relative:page;mso-position-vertical-relative:page;z-index:-35382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sistema mundo, crisis económica y américa latina</w:t>
                </w:r>
              </w:p>
            </w:txbxContent>
          </v:textbox>
          <w10:wrap type="none"/>
        </v:shape>
      </w:pict>
    </w:r>
    <w:r>
      <w:rPr/>
      <w:pict>
        <v:shape style="position:absolute;margin-left:321.894409pt;margin-top:33.582836pt;width:17.150pt;height:11pt;mso-position-horizontal-relative:page;mso-position-vertical-relative:page;z-index:-353800"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139</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377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140</w:t>
                </w:r>
              </w:p>
            </w:txbxContent>
          </v:textbox>
          <w10:wrap type="none"/>
        </v:shape>
      </w:pict>
    </w:r>
    <w:r>
      <w:rPr/>
      <w:pict>
        <v:shape style="position:absolute;margin-left:229.962402pt;margin-top:33.582836pt;width:115.05pt;height:11pt;mso-position-horizontal-relative:page;mso-position-vertical-relative:page;z-index:-35375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marco a. gandásegui, hijo</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20.95pt;height:11pt;mso-position-horizontal-relative:page;mso-position-vertical-relative:page;z-index:-35372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sistema mundo, crisis económica y américa latina</w:t>
                </w:r>
              </w:p>
            </w:txbxContent>
          </v:textbox>
          <w10:wrap type="none"/>
        </v:shape>
      </w:pict>
    </w:r>
    <w:r>
      <w:rPr/>
      <w:pict>
        <v:shape style="position:absolute;margin-left:321.894409pt;margin-top:33.582836pt;width:17.150pt;height:11pt;mso-position-horizontal-relative:page;mso-position-vertical-relative:page;z-index:-3537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141</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68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142</w:t>
                </w:r>
                <w:r>
                  <w:rPr/>
                  <w:fldChar w:fldCharType="end"/>
                </w:r>
              </w:p>
            </w:txbxContent>
          </v:textbox>
          <w10:wrap type="none"/>
        </v:shape>
      </w:pict>
    </w:r>
    <w:r>
      <w:rPr/>
      <w:pict>
        <v:shape style="position:absolute;margin-left:229.962402pt;margin-top:33.582836pt;width:115.05pt;height:11pt;mso-position-horizontal-relative:page;mso-position-vertical-relative:page;z-index:-3536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marco a. gandásegui, hijo</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20.95pt;height:11pt;mso-position-horizontal-relative:page;mso-position-vertical-relative:page;z-index:-3536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sistema mundo, crisis económica y américa latina</w:t>
                </w:r>
              </w:p>
            </w:txbxContent>
          </v:textbox>
          <w10:wrap type="none"/>
        </v:shape>
      </w:pict>
    </w:r>
    <w:r>
      <w:rPr/>
      <w:pict>
        <v:shape style="position:absolute;margin-left:320.894409pt;margin-top:33.582836pt;width:19.150pt;height:11pt;mso-position-horizontal-relative:page;mso-position-vertical-relative:page;z-index:-3536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143</w:t>
                </w:r>
                <w:r>
                  <w:rPr/>
                  <w:fldChar w:fldCharType="end"/>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358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150</w:t>
                </w:r>
              </w:p>
            </w:txbxContent>
          </v:textbox>
          <w10:wrap type="none"/>
        </v:shape>
      </w:pict>
    </w:r>
    <w:r>
      <w:rPr/>
      <w:pict>
        <v:shape style="position:absolute;margin-left:229.962402pt;margin-top:33.582836pt;width:115.05pt;height:11pt;mso-position-horizontal-relative:page;mso-position-vertical-relative:page;z-index:-35356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marco a. gandásegui, hijo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4.1pt;height:11pt;mso-position-horizontal-relative:page;mso-position-vertical-relative:page;z-index:-35608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14</w:t>
                </w:r>
                <w:r>
                  <w:rPr/>
                  <w:fldChar w:fldCharType="end"/>
                </w:r>
              </w:p>
            </w:txbxContent>
          </v:textbox>
          <w10:wrap type="none"/>
        </v:shape>
      </w:pict>
    </w:r>
    <w:r>
      <w:rPr/>
      <w:pict>
        <v:shape style="position:absolute;margin-left:253.306595pt;margin-top:33.582836pt;width:91.75pt;height:11pt;mso-position-horizontal-relative:page;mso-position-vertical-relative:page;z-index:-35605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john saxe fernández</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20.95pt;height:11pt;mso-position-horizontal-relative:page;mso-position-vertical-relative:page;z-index:-35353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sistema mundo, crisis económica y américa latina</w:t>
                </w:r>
              </w:p>
            </w:txbxContent>
          </v:textbox>
          <w10:wrap type="none"/>
        </v:shape>
      </w:pict>
    </w:r>
    <w:r>
      <w:rPr/>
      <w:pict>
        <v:shape style="position:absolute;margin-left:321.894409pt;margin-top:33.582836pt;width:17.150pt;height:11pt;mso-position-horizontal-relative:page;mso-position-vertical-relative:page;z-index:-35351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151</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4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152</w:t>
                </w:r>
                <w:r>
                  <w:rPr/>
                  <w:fldChar w:fldCharType="end"/>
                </w:r>
              </w:p>
            </w:txbxContent>
          </v:textbox>
          <w10:wrap type="none"/>
        </v:shape>
      </w:pict>
    </w:r>
    <w:r>
      <w:rPr/>
      <w:pict>
        <v:shape style="position:absolute;margin-left:229.962402pt;margin-top:33.582836pt;width:115.05pt;height:11pt;mso-position-horizontal-relative:page;mso-position-vertical-relative:page;z-index:-35346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marco a. gandásegui, hijo</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220.95pt;height:11pt;mso-position-horizontal-relative:page;mso-position-vertical-relative:page;z-index:-35344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sistema mundo, crisis económica y américa latina</w:t>
                </w:r>
              </w:p>
            </w:txbxContent>
          </v:textbox>
          <w10:wrap type="none"/>
        </v:shape>
      </w:pict>
    </w:r>
    <w:r>
      <w:rPr/>
      <w:pict>
        <v:shape style="position:absolute;margin-left:320.894409pt;margin-top:33.582836pt;width:19.150pt;height:11pt;mso-position-horizontal-relative:page;mso-position-vertical-relative:page;z-index:-35341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153</w:t>
                </w:r>
                <w:r>
                  <w:rPr/>
                  <w:fldChar w:fldCharType="end"/>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392"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164</w:t>
                </w:r>
                <w:r>
                  <w:rPr/>
                  <w:fldChar w:fldCharType="end"/>
                </w:r>
              </w:p>
            </w:txbxContent>
          </v:textbox>
          <w10:wrap type="none"/>
        </v:shape>
      </w:pict>
    </w:r>
    <w:r>
      <w:rPr/>
      <w:pict>
        <v:shape style="position:absolute;margin-left:241.059402pt;margin-top:33.582836pt;width:104pt;height:11pt;mso-position-horizontal-relative:page;mso-position-vertical-relative:page;z-index:-353368"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adrián sotelo valencia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8.9pt;height:11pt;mso-position-horizontal-relative:page;mso-position-vertical-relative:page;z-index:-353344"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la  encrucijada</w:t>
                </w:r>
              </w:p>
            </w:txbxContent>
          </v:textbox>
          <w10:wrap type="none"/>
        </v:shape>
      </w:pict>
    </w:r>
    <w:r>
      <w:rPr/>
      <w:pict>
        <v:shape style="position:absolute;margin-left:320.894409pt;margin-top:33.582836pt;width:19.150pt;height:11pt;mso-position-horizontal-relative:page;mso-position-vertical-relative:page;z-index:-3533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165</w:t>
                </w:r>
                <w:r>
                  <w:rPr/>
                  <w:fldChar w:fldCharType="end"/>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329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170</w:t>
                </w:r>
              </w:p>
            </w:txbxContent>
          </v:textbox>
          <w10:wrap type="none"/>
        </v:shape>
      </w:pict>
    </w:r>
    <w:r>
      <w:rPr/>
      <w:pict>
        <v:shape style="position:absolute;margin-left:241.059402pt;margin-top:33.582836pt;width:104pt;height:11pt;mso-position-horizontal-relative:page;mso-position-vertical-relative:page;z-index:-35327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adrián sotelo valencia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38.35pt;height:11pt;mso-position-horizontal-relative:page;mso-position-vertical-relative:page;z-index:-3560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prólogo</w:t>
                </w:r>
              </w:p>
            </w:txbxContent>
          </v:textbox>
          <w10:wrap type="none"/>
        </v:shape>
      </w:pict>
    </w:r>
    <w:r>
      <w:rPr/>
      <w:pict>
        <v:shape style="position:absolute;margin-left:325.945190pt;margin-top:33.582836pt;width:14.1pt;height:11pt;mso-position-horizontal-relative:page;mso-position-vertical-relative:page;z-index:-3560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15</w:t>
                </w:r>
                <w:r>
                  <w:rPr/>
                  <w:fldChar w:fldCharType="end"/>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8.9pt;height:11pt;mso-position-horizontal-relative:page;mso-position-vertical-relative:page;z-index:-353248"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la  encrucijada</w:t>
                </w:r>
              </w:p>
            </w:txbxContent>
          </v:textbox>
          <w10:wrap type="none"/>
        </v:shape>
      </w:pict>
    </w:r>
    <w:r>
      <w:rPr/>
      <w:pict>
        <v:shape style="position:absolute;margin-left:321.894409pt;margin-top:33.582836pt;width:17.150pt;height:11pt;mso-position-horizontal-relative:page;mso-position-vertical-relative:page;z-index:-3532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171</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20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172</w:t>
                </w:r>
                <w:r>
                  <w:rPr/>
                  <w:fldChar w:fldCharType="end"/>
                </w:r>
              </w:p>
            </w:txbxContent>
          </v:textbox>
          <w10:wrap type="none"/>
        </v:shape>
      </w:pict>
    </w:r>
    <w:r>
      <w:rPr/>
      <w:pict>
        <v:shape style="position:absolute;margin-left:241.059402pt;margin-top:33.582836pt;width:104pt;height:11pt;mso-position-horizontal-relative:page;mso-position-vertical-relative:page;z-index:-353176"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adrián sotelo valencia</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8.9pt;height:11pt;mso-position-horizontal-relative:page;mso-position-vertical-relative:page;z-index:-35315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la  encrucijada</w:t>
                </w:r>
              </w:p>
            </w:txbxContent>
          </v:textbox>
          <w10:wrap type="none"/>
        </v:shape>
      </w:pict>
    </w:r>
    <w:r>
      <w:rPr/>
      <w:pict>
        <v:shape style="position:absolute;margin-left:320.894409pt;margin-top:33.582836pt;width:19.150pt;height:11pt;mso-position-horizontal-relative:page;mso-position-vertical-relative:page;z-index:-3531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173</w:t>
                </w:r>
                <w:r>
                  <w:rPr/>
                  <w:fldChar w:fldCharType="end"/>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310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180</w:t>
                </w:r>
              </w:p>
            </w:txbxContent>
          </v:textbox>
          <w10:wrap type="none"/>
        </v:shape>
      </w:pict>
    </w:r>
    <w:r>
      <w:rPr/>
      <w:pict>
        <v:shape style="position:absolute;margin-left:241.059402pt;margin-top:33.582836pt;width:104pt;height:11pt;mso-position-horizontal-relative:page;mso-position-vertical-relative:page;z-index:-35308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adrián sotelo valencia</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8.9pt;height:11pt;mso-position-horizontal-relative:page;mso-position-vertical-relative:page;z-index:-353056"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la  encrucijada</w:t>
                </w:r>
              </w:p>
            </w:txbxContent>
          </v:textbox>
          <w10:wrap type="none"/>
        </v:shape>
      </w:pict>
    </w:r>
    <w:r>
      <w:rPr/>
      <w:pict>
        <v:shape style="position:absolute;margin-left:321.894409pt;margin-top:33.582836pt;width:17.150pt;height:11pt;mso-position-horizontal-relative:page;mso-position-vertical-relative:page;z-index:-35303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181</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30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182</w:t>
                </w:r>
                <w:r>
                  <w:rPr/>
                  <w:fldChar w:fldCharType="end"/>
                </w:r>
              </w:p>
            </w:txbxContent>
          </v:textbox>
          <w10:wrap type="none"/>
        </v:shape>
      </w:pict>
    </w:r>
    <w:r>
      <w:rPr/>
      <w:pict>
        <v:shape style="position:absolute;margin-left:241.059402pt;margin-top:33.582836pt;width:104pt;height:11pt;mso-position-horizontal-relative:page;mso-position-vertical-relative:page;z-index:-352984"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adrián sotelo valencia</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8.9pt;height:11pt;mso-position-horizontal-relative:page;mso-position-vertical-relative:page;z-index:-35296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la  encrucijada</w:t>
                </w:r>
              </w:p>
            </w:txbxContent>
          </v:textbox>
          <w10:wrap type="none"/>
        </v:shape>
      </w:pict>
    </w:r>
    <w:r>
      <w:rPr/>
      <w:pict>
        <v:shape style="position:absolute;margin-left:320.894409pt;margin-top:33.582836pt;width:19.150pt;height:11pt;mso-position-horizontal-relative:page;mso-position-vertical-relative:page;z-index:-35293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183</w:t>
                </w:r>
                <w:r>
                  <w:rPr/>
                  <w:fldChar w:fldCharType="end"/>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0.95pt;height:11pt;mso-position-horizontal-relative:page;mso-position-vertical-relative:page;z-index:-35291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el orden monetario</w:t>
                </w:r>
              </w:p>
            </w:txbxContent>
          </v:textbox>
          <w10:wrap type="none"/>
        </v:shape>
      </w:pict>
    </w:r>
    <w:r>
      <w:rPr/>
      <w:pict>
        <v:shape style="position:absolute;margin-left:320.894409pt;margin-top:33.582836pt;width:19.150pt;height:11pt;mso-position-horizontal-relative:page;mso-position-vertical-relative:page;z-index:-35288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187</w:t>
                </w:r>
                <w:r>
                  <w:rPr/>
                  <w:fldChar w:fldCharType="end"/>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86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188</w:t>
                </w:r>
              </w:p>
            </w:txbxContent>
          </v:textbox>
          <w10:wrap type="none"/>
        </v:shape>
      </w:pict>
    </w:r>
    <w:r>
      <w:rPr/>
      <w:pict>
        <v:shape style="position:absolute;margin-left:263.7034pt;margin-top:33.582836pt;width:81.350pt;height:11pt;mso-position-horizontal-relative:page;mso-position-vertical-relative:page;z-index:-35284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katia cobarrubias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2.1pt;height:11pt;mso-position-horizontal-relative:page;mso-position-vertical-relative:page;z-index:-35598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20</w:t>
                </w:r>
              </w:p>
            </w:txbxContent>
          </v:textbox>
          <w10:wrap type="none"/>
        </v:shape>
      </w:pict>
    </w:r>
    <w:r>
      <w:rPr/>
      <w:pict>
        <v:shape style="position:absolute;margin-left:253.306595pt;margin-top:33.582836pt;width:91.75pt;height:11pt;mso-position-horizontal-relative:page;mso-position-vertical-relative:page;z-index:-355960"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0"/>
                    <w:sz w:val="18"/>
                  </w:rPr>
                  <w:t>john saxe fernández</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816"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190</w:t>
                </w:r>
              </w:p>
            </w:txbxContent>
          </v:textbox>
          <w10:wrap type="none"/>
        </v:shape>
      </w:pict>
    </w:r>
    <w:r>
      <w:rPr/>
      <w:pict>
        <v:shape style="position:absolute;margin-left:263.7034pt;margin-top:33.582836pt;width:81.350pt;height:11pt;mso-position-horizontal-relative:page;mso-position-vertical-relative:page;z-index:-352792"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katia cobarrubias</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0.95pt;height:11pt;mso-position-horizontal-relative:page;mso-position-vertical-relative:page;z-index:-352768"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el orden monetario</w:t>
                </w:r>
              </w:p>
            </w:txbxContent>
          </v:textbox>
          <w10:wrap type="none"/>
        </v:shape>
      </w:pict>
    </w:r>
    <w:r>
      <w:rPr/>
      <w:pict>
        <v:shape style="position:absolute;margin-left:321.894409pt;margin-top:33.582836pt;width:17.150pt;height:11pt;mso-position-horizontal-relative:page;mso-position-vertical-relative:page;z-index:-35274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191</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2720"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192</w:t>
                </w:r>
                <w:r>
                  <w:rPr/>
                  <w:fldChar w:fldCharType="end"/>
                </w:r>
              </w:p>
            </w:txbxContent>
          </v:textbox>
          <w10:wrap type="none"/>
        </v:shape>
      </w:pict>
    </w:r>
    <w:r>
      <w:rPr/>
      <w:pict>
        <v:shape style="position:absolute;margin-left:263.7034pt;margin-top:33.582836pt;width:81.350pt;height:11pt;mso-position-horizontal-relative:page;mso-position-vertical-relative:page;z-index:-352696"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katia cobarrubias</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0.95pt;height:11pt;mso-position-horizontal-relative:page;mso-position-vertical-relative:page;z-index:-352672"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el orden monetario</w:t>
                </w:r>
              </w:p>
            </w:txbxContent>
          </v:textbox>
          <w10:wrap type="none"/>
        </v:shape>
      </w:pict>
    </w:r>
    <w:r>
      <w:rPr/>
      <w:pict>
        <v:shape style="position:absolute;margin-left:320.894409pt;margin-top:33.582836pt;width:19.150pt;height:11pt;mso-position-horizontal-relative:page;mso-position-vertical-relative:page;z-index:-35264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193</w:t>
                </w:r>
                <w:r>
                  <w:rPr/>
                  <w:fldChar w:fldCharType="end"/>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pt;margin-top:33.582836pt;width:17.150pt;height:11pt;mso-position-horizontal-relative:page;mso-position-vertical-relative:page;z-index:-352624"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200</w:t>
                </w:r>
              </w:p>
            </w:txbxContent>
          </v:textbox>
          <w10:wrap type="none"/>
        </v:shape>
      </w:pict>
    </w:r>
    <w:r>
      <w:rPr/>
      <w:pict>
        <v:shape style="position:absolute;margin-left:263.7034pt;margin-top:33.582836pt;width:81.350pt;height:11pt;mso-position-horizontal-relative:page;mso-position-vertical-relative:page;z-index:-352600"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katia cobarrubias</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0.95pt;height:11pt;mso-position-horizontal-relative:page;mso-position-vertical-relative:page;z-index:-352576"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el orden monetario</w:t>
                </w:r>
              </w:p>
            </w:txbxContent>
          </v:textbox>
          <w10:wrap type="none"/>
        </v:shape>
      </w:pict>
    </w:r>
    <w:r>
      <w:rPr/>
      <w:pict>
        <v:shape style="position:absolute;margin-left:321.894409pt;margin-top:33.582836pt;width:17.150pt;height:11pt;mso-position-horizontal-relative:page;mso-position-vertical-relative:page;z-index:-352552" type="#_x0000_t202" filled="false" stroked="false">
          <v:textbox inset="0,0,0,0">
            <w:txbxContent>
              <w:p>
                <w:pPr>
                  <w:spacing w:line="207" w:lineRule="exact" w:before="0"/>
                  <w:ind w:left="20" w:right="0" w:firstLine="0"/>
                  <w:jc w:val="left"/>
                  <w:rPr>
                    <w:rFonts w:ascii="Calibri"/>
                    <w:sz w:val="18"/>
                  </w:rPr>
                </w:pPr>
                <w:r>
                  <w:rPr>
                    <w:rFonts w:ascii="Calibri"/>
                    <w:color w:val="231F20"/>
                    <w:w w:val="110"/>
                    <w:sz w:val="18"/>
                  </w:rPr>
                  <w:t>201</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3.582836pt;width:19.150pt;height:11pt;mso-position-horizontal-relative:page;mso-position-vertical-relative:page;z-index:-35252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202</w:t>
                </w:r>
                <w:r>
                  <w:rPr/>
                  <w:fldChar w:fldCharType="end"/>
                </w:r>
              </w:p>
            </w:txbxContent>
          </v:textbox>
          <w10:wrap type="none"/>
        </v:shape>
      </w:pict>
    </w:r>
    <w:r>
      <w:rPr/>
      <w:pict>
        <v:shape style="position:absolute;margin-left:263.7034pt;margin-top:33.582836pt;width:81.350pt;height:11pt;mso-position-horizontal-relative:page;mso-position-vertical-relative:page;z-index:-352504" type="#_x0000_t202" filled="false" stroked="false">
          <v:textbox inset="0,0,0,0">
            <w:txbxContent>
              <w:p>
                <w:pPr>
                  <w:spacing w:line="207" w:lineRule="exact" w:before="0"/>
                  <w:ind w:left="20" w:right="0" w:firstLine="0"/>
                  <w:jc w:val="left"/>
                  <w:rPr>
                    <w:rFonts w:ascii="Calibri"/>
                    <w:sz w:val="18"/>
                  </w:rPr>
                </w:pPr>
                <w:r>
                  <w:rPr>
                    <w:rFonts w:ascii="Calibri"/>
                    <w:color w:val="231F20"/>
                    <w:w w:val="125"/>
                    <w:sz w:val="18"/>
                  </w:rPr>
                  <w:t>katia cobarrubias</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70.95pt;height:11pt;mso-position-horizontal-relative:page;mso-position-vertical-relative:page;z-index:-352480" type="#_x0000_t202" filled="false" stroked="false">
          <v:textbox inset="0,0,0,0">
            <w:txbxContent>
              <w:p>
                <w:pPr>
                  <w:spacing w:line="207" w:lineRule="exact" w:before="0"/>
                  <w:ind w:left="20" w:right="0" w:firstLine="0"/>
                  <w:jc w:val="left"/>
                  <w:rPr>
                    <w:rFonts w:ascii="Calibri"/>
                    <w:sz w:val="18"/>
                  </w:rPr>
                </w:pPr>
                <w:r>
                  <w:rPr>
                    <w:rFonts w:ascii="Calibri"/>
                    <w:color w:val="231F20"/>
                    <w:w w:val="120"/>
                    <w:sz w:val="18"/>
                  </w:rPr>
                  <w:t>estados unidos en el orden monetario</w:t>
                </w:r>
              </w:p>
            </w:txbxContent>
          </v:textbox>
          <w10:wrap type="none"/>
        </v:shape>
      </w:pict>
    </w:r>
    <w:r>
      <w:rPr/>
      <w:pict>
        <v:shape style="position:absolute;margin-left:320.894409pt;margin-top:33.582836pt;width:19.150pt;height:11pt;mso-position-horizontal-relative:page;mso-position-vertical-relative:page;z-index:-352456"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203</w:t>
                </w:r>
                <w:r>
                  <w:rPr/>
                  <w:fldChar w:fldCharType="end"/>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7pt;margin-top:33.582836pt;width:143pt;height:11pt;mso-position-horizontal-relative:page;mso-position-vertical-relative:page;z-index:-352432" type="#_x0000_t202" filled="false" stroked="false">
          <v:textbox inset="0,0,0,0">
            <w:txbxContent>
              <w:p>
                <w:pPr>
                  <w:spacing w:line="207" w:lineRule="exact" w:before="0"/>
                  <w:ind w:left="20" w:right="0" w:firstLine="0"/>
                  <w:jc w:val="left"/>
                  <w:rPr>
                    <w:rFonts w:ascii="Calibri" w:hAnsi="Calibri"/>
                    <w:sz w:val="18"/>
                  </w:rPr>
                </w:pPr>
                <w:r>
                  <w:rPr>
                    <w:rFonts w:ascii="Calibri" w:hAnsi="Calibri"/>
                    <w:color w:val="231F20"/>
                    <w:w w:val="125"/>
                    <w:sz w:val="18"/>
                  </w:rPr>
                  <w:t>déficit fiscal de estados unidos</w:t>
                </w:r>
              </w:p>
            </w:txbxContent>
          </v:textbox>
          <w10:wrap type="none"/>
        </v:shape>
      </w:pict>
    </w:r>
    <w:r>
      <w:rPr/>
      <w:pict>
        <v:shape style="position:absolute;margin-left:320.894409pt;margin-top:33.582836pt;width:19.150pt;height:11pt;mso-position-horizontal-relative:page;mso-position-vertical-relative:page;z-index:-352408" type="#_x0000_t202" filled="false" stroked="false">
          <v:textbox inset="0,0,0,0">
            <w:txbxContent>
              <w:p>
                <w:pPr>
                  <w:spacing w:line="207" w:lineRule="exact" w:before="0"/>
                  <w:ind w:left="40" w:right="0" w:firstLine="0"/>
                  <w:jc w:val="left"/>
                  <w:rPr>
                    <w:rFonts w:ascii="Calibri"/>
                    <w:sz w:val="18"/>
                  </w:rPr>
                </w:pPr>
                <w:r>
                  <w:rPr/>
                  <w:fldChar w:fldCharType="begin"/>
                </w:r>
                <w:r>
                  <w:rPr>
                    <w:rFonts w:ascii="Calibri"/>
                    <w:color w:val="231F20"/>
                    <w:w w:val="110"/>
                    <w:sz w:val="18"/>
                  </w:rPr>
                  <w:instrText> PAGE </w:instrText>
                </w:r>
                <w:r>
                  <w:rPr/>
                  <w:fldChar w:fldCharType="separate"/>
                </w:r>
                <w:r>
                  <w:rPr/>
                  <w:t>211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7">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6">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5">
    <w:multiLevelType w:val="hybridMultilevel"/>
    <w:lvl w:ilvl="0">
      <w:start w:val="5"/>
      <w:numFmt w:val="upperLetter"/>
      <w:lvlText w:val="%1."/>
      <w:lvlJc w:val="left"/>
      <w:pPr>
        <w:ind w:left="340" w:hanging="213"/>
        <w:jc w:val="left"/>
      </w:pPr>
      <w:rPr>
        <w:rFonts w:hint="default" w:ascii="Times New Roman" w:hAnsi="Times New Roman" w:eastAsia="Times New Roman" w:cs="Times New Roman"/>
        <w:color w:val="231F20"/>
        <w:w w:val="102"/>
        <w:sz w:val="18"/>
        <w:szCs w:val="18"/>
      </w:rPr>
    </w:lvl>
    <w:lvl w:ilvl="1">
      <w:start w:val="1"/>
      <w:numFmt w:val="decimal"/>
      <w:lvlText w:val="%2."/>
      <w:lvlJc w:val="left"/>
      <w:pPr>
        <w:ind w:left="542" w:hanging="203"/>
        <w:jc w:val="left"/>
      </w:pPr>
      <w:rPr>
        <w:rFonts w:hint="default" w:ascii="Times New Roman" w:hAnsi="Times New Roman" w:eastAsia="Times New Roman" w:cs="Times New Roman"/>
        <w:i/>
        <w:color w:val="231F20"/>
        <w:w w:val="106"/>
        <w:sz w:val="18"/>
        <w:szCs w:val="18"/>
      </w:rPr>
    </w:lvl>
    <w:lvl w:ilvl="2">
      <w:start w:val="1"/>
      <w:numFmt w:val="bullet"/>
      <w:lvlText w:val="•"/>
      <w:lvlJc w:val="left"/>
      <w:pPr>
        <w:ind w:left="1157" w:hanging="203"/>
      </w:pPr>
      <w:rPr>
        <w:rFonts w:hint="default"/>
      </w:rPr>
    </w:lvl>
    <w:lvl w:ilvl="3">
      <w:start w:val="1"/>
      <w:numFmt w:val="bullet"/>
      <w:lvlText w:val="•"/>
      <w:lvlJc w:val="left"/>
      <w:pPr>
        <w:ind w:left="1775" w:hanging="203"/>
      </w:pPr>
      <w:rPr>
        <w:rFonts w:hint="default"/>
      </w:rPr>
    </w:lvl>
    <w:lvl w:ilvl="4">
      <w:start w:val="1"/>
      <w:numFmt w:val="bullet"/>
      <w:lvlText w:val="•"/>
      <w:lvlJc w:val="left"/>
      <w:pPr>
        <w:ind w:left="2393" w:hanging="203"/>
      </w:pPr>
      <w:rPr>
        <w:rFonts w:hint="default"/>
      </w:rPr>
    </w:lvl>
    <w:lvl w:ilvl="5">
      <w:start w:val="1"/>
      <w:numFmt w:val="bullet"/>
      <w:lvlText w:val="•"/>
      <w:lvlJc w:val="left"/>
      <w:pPr>
        <w:ind w:left="3011" w:hanging="203"/>
      </w:pPr>
      <w:rPr>
        <w:rFonts w:hint="default"/>
      </w:rPr>
    </w:lvl>
    <w:lvl w:ilvl="6">
      <w:start w:val="1"/>
      <w:numFmt w:val="bullet"/>
      <w:lvlText w:val="•"/>
      <w:lvlJc w:val="left"/>
      <w:pPr>
        <w:ind w:left="3628" w:hanging="203"/>
      </w:pPr>
      <w:rPr>
        <w:rFonts w:hint="default"/>
      </w:rPr>
    </w:lvl>
    <w:lvl w:ilvl="7">
      <w:start w:val="1"/>
      <w:numFmt w:val="bullet"/>
      <w:lvlText w:val="•"/>
      <w:lvlJc w:val="left"/>
      <w:pPr>
        <w:ind w:left="4246" w:hanging="203"/>
      </w:pPr>
      <w:rPr>
        <w:rFonts w:hint="default"/>
      </w:rPr>
    </w:lvl>
    <w:lvl w:ilvl="8">
      <w:start w:val="1"/>
      <w:numFmt w:val="bullet"/>
      <w:lvlText w:val="•"/>
      <w:lvlJc w:val="left"/>
      <w:pPr>
        <w:ind w:left="4864" w:hanging="203"/>
      </w:pPr>
      <w:rPr>
        <w:rFonts w:hint="default"/>
      </w:rPr>
    </w:lvl>
  </w:abstractNum>
  <w:abstractNum w:abstractNumId="4">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3">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2">
    <w:multiLevelType w:val="hybridMultilevel"/>
    <w:lvl w:ilvl="0">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1">
      <w:start w:val="1"/>
      <w:numFmt w:val="bullet"/>
      <w:lvlText w:val="•"/>
      <w:lvlJc w:val="left"/>
      <w:pPr>
        <w:ind w:left="1036" w:hanging="160"/>
      </w:pPr>
      <w:rPr>
        <w:rFonts w:hint="default"/>
      </w:rPr>
    </w:lvl>
    <w:lvl w:ilvl="2">
      <w:start w:val="1"/>
      <w:numFmt w:val="bullet"/>
      <w:lvlText w:val="•"/>
      <w:lvlJc w:val="left"/>
      <w:pPr>
        <w:ind w:left="1612" w:hanging="160"/>
      </w:pPr>
      <w:rPr>
        <w:rFonts w:hint="default"/>
      </w:rPr>
    </w:lvl>
    <w:lvl w:ilvl="3">
      <w:start w:val="1"/>
      <w:numFmt w:val="bullet"/>
      <w:lvlText w:val="•"/>
      <w:lvlJc w:val="left"/>
      <w:pPr>
        <w:ind w:left="2188" w:hanging="160"/>
      </w:pPr>
      <w:rPr>
        <w:rFonts w:hint="default"/>
      </w:rPr>
    </w:lvl>
    <w:lvl w:ilvl="4">
      <w:start w:val="1"/>
      <w:numFmt w:val="bullet"/>
      <w:lvlText w:val="•"/>
      <w:lvlJc w:val="left"/>
      <w:pPr>
        <w:ind w:left="2764" w:hanging="160"/>
      </w:pPr>
      <w:rPr>
        <w:rFonts w:hint="default"/>
      </w:rPr>
    </w:lvl>
    <w:lvl w:ilvl="5">
      <w:start w:val="1"/>
      <w:numFmt w:val="bullet"/>
      <w:lvlText w:val="•"/>
      <w:lvlJc w:val="left"/>
      <w:pPr>
        <w:ind w:left="3340" w:hanging="160"/>
      </w:pPr>
      <w:rPr>
        <w:rFonts w:hint="default"/>
      </w:rPr>
    </w:lvl>
    <w:lvl w:ilvl="6">
      <w:start w:val="1"/>
      <w:numFmt w:val="bullet"/>
      <w:lvlText w:val="•"/>
      <w:lvlJc w:val="left"/>
      <w:pPr>
        <w:ind w:left="3916" w:hanging="160"/>
      </w:pPr>
      <w:rPr>
        <w:rFonts w:hint="default"/>
      </w:rPr>
    </w:lvl>
    <w:lvl w:ilvl="7">
      <w:start w:val="1"/>
      <w:numFmt w:val="bullet"/>
      <w:lvlText w:val="•"/>
      <w:lvlJc w:val="left"/>
      <w:pPr>
        <w:ind w:left="4492" w:hanging="160"/>
      </w:pPr>
      <w:rPr>
        <w:rFonts w:hint="default"/>
      </w:rPr>
    </w:lvl>
    <w:lvl w:ilvl="8">
      <w:start w:val="1"/>
      <w:numFmt w:val="bullet"/>
      <w:lvlText w:val="•"/>
      <w:lvlJc w:val="left"/>
      <w:pPr>
        <w:ind w:left="5068" w:hanging="160"/>
      </w:pPr>
      <w:rPr>
        <w:rFonts w:hint="default"/>
      </w:rPr>
    </w:lvl>
  </w:abstractNum>
  <w:abstractNum w:abstractNumId="1">
    <w:multiLevelType w:val="hybridMultilevel"/>
    <w:lvl w:ilvl="0">
      <w:start w:val="1"/>
      <w:numFmt w:val="decimal"/>
      <w:lvlText w:val="%1"/>
      <w:lvlJc w:val="left"/>
      <w:pPr>
        <w:ind w:left="100" w:hanging="314"/>
        <w:jc w:val="left"/>
      </w:pPr>
      <w:rPr>
        <w:rFonts w:hint="default"/>
      </w:rPr>
    </w:lvl>
    <w:lvl w:ilvl="1">
      <w:start w:val="2"/>
      <w:numFmt w:val="decimal"/>
      <w:lvlText w:val="%1.%2"/>
      <w:lvlJc w:val="left"/>
      <w:pPr>
        <w:ind w:left="100" w:hanging="314"/>
        <w:jc w:val="left"/>
      </w:pPr>
      <w:rPr>
        <w:rFonts w:hint="default" w:ascii="Times New Roman" w:hAnsi="Times New Roman" w:eastAsia="Times New Roman" w:cs="Times New Roman"/>
        <w:color w:val="231F20"/>
        <w:w w:val="104"/>
        <w:sz w:val="20"/>
        <w:szCs w:val="20"/>
      </w:rPr>
    </w:lvl>
    <w:lvl w:ilvl="2">
      <w:start w:val="1"/>
      <w:numFmt w:val="bullet"/>
      <w:lvlText w:val="–"/>
      <w:lvlJc w:val="left"/>
      <w:pPr>
        <w:ind w:left="460" w:hanging="160"/>
      </w:pPr>
      <w:rPr>
        <w:rFonts w:hint="default" w:ascii="Times New Roman" w:hAnsi="Times New Roman" w:eastAsia="Times New Roman" w:cs="Times New Roman"/>
        <w:color w:val="231F20"/>
        <w:w w:val="100"/>
        <w:sz w:val="20"/>
        <w:szCs w:val="20"/>
      </w:rPr>
    </w:lvl>
    <w:lvl w:ilvl="3">
      <w:start w:val="1"/>
      <w:numFmt w:val="bullet"/>
      <w:lvlText w:val="•"/>
      <w:lvlJc w:val="left"/>
      <w:pPr>
        <w:ind w:left="1740" w:hanging="160"/>
      </w:pPr>
      <w:rPr>
        <w:rFonts w:hint="default"/>
      </w:rPr>
    </w:lvl>
    <w:lvl w:ilvl="4">
      <w:start w:val="1"/>
      <w:numFmt w:val="bullet"/>
      <w:lvlText w:val="•"/>
      <w:lvlJc w:val="left"/>
      <w:pPr>
        <w:ind w:left="2380" w:hanging="160"/>
      </w:pPr>
      <w:rPr>
        <w:rFonts w:hint="default"/>
      </w:rPr>
    </w:lvl>
    <w:lvl w:ilvl="5">
      <w:start w:val="1"/>
      <w:numFmt w:val="bullet"/>
      <w:lvlText w:val="•"/>
      <w:lvlJc w:val="left"/>
      <w:pPr>
        <w:ind w:left="3020" w:hanging="160"/>
      </w:pPr>
      <w:rPr>
        <w:rFonts w:hint="default"/>
      </w:rPr>
    </w:lvl>
    <w:lvl w:ilvl="6">
      <w:start w:val="1"/>
      <w:numFmt w:val="bullet"/>
      <w:lvlText w:val="•"/>
      <w:lvlJc w:val="left"/>
      <w:pPr>
        <w:ind w:left="3660" w:hanging="160"/>
      </w:pPr>
      <w:rPr>
        <w:rFonts w:hint="default"/>
      </w:rPr>
    </w:lvl>
    <w:lvl w:ilvl="7">
      <w:start w:val="1"/>
      <w:numFmt w:val="bullet"/>
      <w:lvlText w:val="•"/>
      <w:lvlJc w:val="left"/>
      <w:pPr>
        <w:ind w:left="4300" w:hanging="160"/>
      </w:pPr>
      <w:rPr>
        <w:rFonts w:hint="default"/>
      </w:rPr>
    </w:lvl>
    <w:lvl w:ilvl="8">
      <w:start w:val="1"/>
      <w:numFmt w:val="bullet"/>
      <w:lvlText w:val="•"/>
      <w:lvlJc w:val="left"/>
      <w:pPr>
        <w:ind w:left="4940" w:hanging="160"/>
      </w:pPr>
      <w:rPr>
        <w:rFonts w:hint="default"/>
      </w:rPr>
    </w:lvl>
  </w:abstractNum>
  <w:abstractNum w:abstractNumId="0">
    <w:multiLevelType w:val="hybridMultilevel"/>
    <w:lvl w:ilvl="0">
      <w:start w:val="1"/>
      <w:numFmt w:val="bullet"/>
      <w:lvlText w:val=""/>
      <w:lvlJc w:val="left"/>
      <w:pPr>
        <w:ind w:left="1604" w:hanging="157"/>
      </w:pPr>
      <w:rPr>
        <w:rFonts w:hint="default" w:ascii="Wingdings" w:hAnsi="Wingdings" w:eastAsia="Wingdings" w:cs="Wingdings"/>
        <w:color w:val="231F20"/>
        <w:w w:val="100"/>
        <w:position w:val="-1"/>
        <w:sz w:val="20"/>
        <w:szCs w:val="20"/>
      </w:rPr>
    </w:lvl>
    <w:lvl w:ilvl="1">
      <w:start w:val="1"/>
      <w:numFmt w:val="bullet"/>
      <w:lvlText w:val=""/>
      <w:lvlJc w:val="left"/>
      <w:pPr>
        <w:ind w:left="1194" w:hanging="157"/>
      </w:pPr>
      <w:rPr>
        <w:rFonts w:hint="default" w:ascii="Wingdings" w:hAnsi="Wingdings" w:eastAsia="Wingdings" w:cs="Wingdings"/>
        <w:color w:val="231F20"/>
        <w:w w:val="100"/>
        <w:position w:val="-1"/>
        <w:sz w:val="20"/>
        <w:szCs w:val="20"/>
      </w:rPr>
    </w:lvl>
    <w:lvl w:ilvl="2">
      <w:start w:val="1"/>
      <w:numFmt w:val="bullet"/>
      <w:lvlText w:val="•"/>
      <w:lvlJc w:val="left"/>
      <w:pPr>
        <w:ind w:left="2113" w:hanging="157"/>
      </w:pPr>
      <w:rPr>
        <w:rFonts w:hint="default"/>
      </w:rPr>
    </w:lvl>
    <w:lvl w:ilvl="3">
      <w:start w:val="1"/>
      <w:numFmt w:val="bullet"/>
      <w:lvlText w:val="•"/>
      <w:lvlJc w:val="left"/>
      <w:pPr>
        <w:ind w:left="2626" w:hanging="157"/>
      </w:pPr>
      <w:rPr>
        <w:rFonts w:hint="default"/>
      </w:rPr>
    </w:lvl>
    <w:lvl w:ilvl="4">
      <w:start w:val="1"/>
      <w:numFmt w:val="bullet"/>
      <w:lvlText w:val="•"/>
      <w:lvlJc w:val="left"/>
      <w:pPr>
        <w:ind w:left="3140" w:hanging="157"/>
      </w:pPr>
      <w:rPr>
        <w:rFonts w:hint="default"/>
      </w:rPr>
    </w:lvl>
    <w:lvl w:ilvl="5">
      <w:start w:val="1"/>
      <w:numFmt w:val="bullet"/>
      <w:lvlText w:val="•"/>
      <w:lvlJc w:val="left"/>
      <w:pPr>
        <w:ind w:left="3653" w:hanging="157"/>
      </w:pPr>
      <w:rPr>
        <w:rFonts w:hint="default"/>
      </w:rPr>
    </w:lvl>
    <w:lvl w:ilvl="6">
      <w:start w:val="1"/>
      <w:numFmt w:val="bullet"/>
      <w:lvlText w:val="•"/>
      <w:lvlJc w:val="left"/>
      <w:pPr>
        <w:ind w:left="4166" w:hanging="157"/>
      </w:pPr>
      <w:rPr>
        <w:rFonts w:hint="default"/>
      </w:rPr>
    </w:lvl>
    <w:lvl w:ilvl="7">
      <w:start w:val="1"/>
      <w:numFmt w:val="bullet"/>
      <w:lvlText w:val="•"/>
      <w:lvlJc w:val="left"/>
      <w:pPr>
        <w:ind w:left="4680" w:hanging="157"/>
      </w:pPr>
      <w:rPr>
        <w:rFonts w:hint="default"/>
      </w:rPr>
    </w:lvl>
    <w:lvl w:ilvl="8">
      <w:start w:val="1"/>
      <w:numFmt w:val="bullet"/>
      <w:lvlText w:val="•"/>
      <w:lvlJc w:val="left"/>
      <w:pPr>
        <w:ind w:left="5193" w:hanging="157"/>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ListParagraph" w:type="paragraph">
    <w:name w:val="List Paragraph"/>
    <w:basedOn w:val="Normal"/>
    <w:uiPriority w:val="1"/>
    <w:qFormat/>
    <w:pPr>
      <w:ind w:left="460" w:right="117" w:hanging="1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header" Target="header1.xml"/><Relationship Id="rId35" Type="http://schemas.openxmlformats.org/officeDocument/2006/relationships/header" Target="header2.xml"/><Relationship Id="rId36" Type="http://schemas.openxmlformats.org/officeDocument/2006/relationships/header" Target="header3.xml"/><Relationship Id="rId37" Type="http://schemas.openxmlformats.org/officeDocument/2006/relationships/header" Target="header4.xml"/><Relationship Id="rId38" Type="http://schemas.openxmlformats.org/officeDocument/2006/relationships/header" Target="header5.xml"/><Relationship Id="rId39" Type="http://schemas.openxmlformats.org/officeDocument/2006/relationships/header" Target="header6.xml"/><Relationship Id="rId40" Type="http://schemas.openxmlformats.org/officeDocument/2006/relationships/header" Target="header7.xml"/><Relationship Id="rId41" Type="http://schemas.openxmlformats.org/officeDocument/2006/relationships/header" Target="header8.xml"/><Relationship Id="rId42" Type="http://schemas.openxmlformats.org/officeDocument/2006/relationships/hyperlink" Target="http://rrpe.sa-/" TargetMode="External"/><Relationship Id="rId43" Type="http://schemas.openxmlformats.org/officeDocument/2006/relationships/hyperlink" Target="http://www.newamericancentury.org/iraqclintonletter.htm" TargetMode="External"/><Relationship Id="rId44" Type="http://schemas.openxmlformats.org/officeDocument/2006/relationships/header" Target="header9.xml"/><Relationship Id="rId45" Type="http://schemas.openxmlformats.org/officeDocument/2006/relationships/header" Target="header10.xml"/><Relationship Id="rId46" Type="http://schemas.openxmlformats.org/officeDocument/2006/relationships/hyperlink" Target="http://rrpe.sagepub.com/" TargetMode="External"/><Relationship Id="rId47" Type="http://schemas.openxmlformats.org/officeDocument/2006/relationships/hyperlink" Target="http://www/" TargetMode="External"/><Relationship Id="rId48" Type="http://schemas.openxmlformats.org/officeDocument/2006/relationships/header" Target="header11.xml"/><Relationship Id="rId49" Type="http://schemas.openxmlformats.org/officeDocument/2006/relationships/header" Target="header12.xml"/><Relationship Id="rId50" Type="http://schemas.openxmlformats.org/officeDocument/2006/relationships/header" Target="header13.xml"/><Relationship Id="rId51" Type="http://schemas.openxmlformats.org/officeDocument/2006/relationships/header" Target="header14.xml"/><Relationship Id="rId52" Type="http://schemas.openxmlformats.org/officeDocument/2006/relationships/header" Target="header15.xml"/><Relationship Id="rId53" Type="http://schemas.openxmlformats.org/officeDocument/2006/relationships/header" Target="header16.xml"/><Relationship Id="rId54" Type="http://schemas.openxmlformats.org/officeDocument/2006/relationships/header" Target="header17.xml"/><Relationship Id="rId55" Type="http://schemas.openxmlformats.org/officeDocument/2006/relationships/header" Target="header18.xml"/><Relationship Id="rId56" Type="http://schemas.openxmlformats.org/officeDocument/2006/relationships/header" Target="header19.xml"/><Relationship Id="rId57" Type="http://schemas.openxmlformats.org/officeDocument/2006/relationships/header" Target="header20.xml"/><Relationship Id="rId58" Type="http://schemas.openxmlformats.org/officeDocument/2006/relationships/header" Target="header21.xml"/><Relationship Id="rId59" Type="http://schemas.openxmlformats.org/officeDocument/2006/relationships/header" Target="header22.xml"/><Relationship Id="rId60" Type="http://schemas.openxmlformats.org/officeDocument/2006/relationships/header" Target="header23.xml"/><Relationship Id="rId61" Type="http://schemas.openxmlformats.org/officeDocument/2006/relationships/header" Target="header24.xml"/><Relationship Id="rId62" Type="http://schemas.openxmlformats.org/officeDocument/2006/relationships/header" Target="header25.xml"/><Relationship Id="rId63" Type="http://schemas.openxmlformats.org/officeDocument/2006/relationships/header" Target="header26.xml"/><Relationship Id="rId64" Type="http://schemas.openxmlformats.org/officeDocument/2006/relationships/header" Target="header27.xml"/><Relationship Id="rId65" Type="http://schemas.openxmlformats.org/officeDocument/2006/relationships/header" Target="header28.xml"/><Relationship Id="rId66" Type="http://schemas.openxmlformats.org/officeDocument/2006/relationships/header" Target="header29.xml"/><Relationship Id="rId67" Type="http://schemas.openxmlformats.org/officeDocument/2006/relationships/header" Target="header30.xml"/><Relationship Id="rId68" Type="http://schemas.openxmlformats.org/officeDocument/2006/relationships/header" Target="header31.xml"/><Relationship Id="rId69" Type="http://schemas.openxmlformats.org/officeDocument/2006/relationships/header" Target="header32.xml"/><Relationship Id="rId70" Type="http://schemas.openxmlformats.org/officeDocument/2006/relationships/header" Target="header33.xml"/><Relationship Id="rId71" Type="http://schemas.openxmlformats.org/officeDocument/2006/relationships/header" Target="header34.xml"/><Relationship Id="rId72" Type="http://schemas.openxmlformats.org/officeDocument/2006/relationships/header" Target="header35.xml"/><Relationship Id="rId73" Type="http://schemas.openxmlformats.org/officeDocument/2006/relationships/header" Target="header36.xml"/><Relationship Id="rId74" Type="http://schemas.openxmlformats.org/officeDocument/2006/relationships/header" Target="header37.xml"/><Relationship Id="rId75" Type="http://schemas.openxmlformats.org/officeDocument/2006/relationships/header" Target="header38.xml"/><Relationship Id="rId76" Type="http://schemas.openxmlformats.org/officeDocument/2006/relationships/header" Target="header39.xml"/><Relationship Id="rId77" Type="http://schemas.openxmlformats.org/officeDocument/2006/relationships/header" Target="header40.xml"/><Relationship Id="rId78" Type="http://schemas.openxmlformats.org/officeDocument/2006/relationships/header" Target="header41.xml"/><Relationship Id="rId79" Type="http://schemas.openxmlformats.org/officeDocument/2006/relationships/header" Target="header42.xml"/><Relationship Id="rId80" Type="http://schemas.openxmlformats.org/officeDocument/2006/relationships/hyperlink" Target="http://www.bea.gov/" TargetMode="External"/><Relationship Id="rId81" Type="http://schemas.openxmlformats.org/officeDocument/2006/relationships/header" Target="header43.xml"/><Relationship Id="rId82" Type="http://schemas.openxmlformats.org/officeDocument/2006/relationships/header" Target="header44.xml"/><Relationship Id="rId83" Type="http://schemas.openxmlformats.org/officeDocument/2006/relationships/header" Target="header45.xml"/><Relationship Id="rId84" Type="http://schemas.openxmlformats.org/officeDocument/2006/relationships/header" Target="header46.xml"/><Relationship Id="rId85" Type="http://schemas.openxmlformats.org/officeDocument/2006/relationships/image" Target="media/image30.png"/><Relationship Id="rId86" Type="http://schemas.openxmlformats.org/officeDocument/2006/relationships/header" Target="header47.xml"/><Relationship Id="rId87" Type="http://schemas.openxmlformats.org/officeDocument/2006/relationships/header" Target="header48.xml"/><Relationship Id="rId88" Type="http://schemas.openxmlformats.org/officeDocument/2006/relationships/header" Target="header49.xml"/><Relationship Id="rId89" Type="http://schemas.openxmlformats.org/officeDocument/2006/relationships/header" Target="header50.xml"/><Relationship Id="rId90" Type="http://schemas.openxmlformats.org/officeDocument/2006/relationships/hyperlink" Target="http://www.rebelion.org/" TargetMode="External"/><Relationship Id="rId91" Type="http://schemas.openxmlformats.org/officeDocument/2006/relationships/header" Target="header51.xml"/><Relationship Id="rId92" Type="http://schemas.openxmlformats.org/officeDocument/2006/relationships/header" Target="header52.xml"/><Relationship Id="rId93" Type="http://schemas.openxmlformats.org/officeDocument/2006/relationships/header" Target="header53.xml"/><Relationship Id="rId94" Type="http://schemas.openxmlformats.org/officeDocument/2006/relationships/header" Target="header54.xml"/><Relationship Id="rId95" Type="http://schemas.openxmlformats.org/officeDocument/2006/relationships/header" Target="header55.xml"/><Relationship Id="rId96" Type="http://schemas.openxmlformats.org/officeDocument/2006/relationships/header" Target="header56.xml"/><Relationship Id="rId97" Type="http://schemas.openxmlformats.org/officeDocument/2006/relationships/header" Target="header57.xml"/><Relationship Id="rId98" Type="http://schemas.openxmlformats.org/officeDocument/2006/relationships/header" Target="header58.xml"/><Relationship Id="rId99" Type="http://schemas.openxmlformats.org/officeDocument/2006/relationships/header" Target="header59.xml"/><Relationship Id="rId100" Type="http://schemas.openxmlformats.org/officeDocument/2006/relationships/hyperlink" Target="http://economia.terra.com.mx/" TargetMode="External"/><Relationship Id="rId101" Type="http://schemas.openxmlformats.org/officeDocument/2006/relationships/header" Target="header60.xml"/><Relationship Id="rId102" Type="http://schemas.openxmlformats.org/officeDocument/2006/relationships/header" Target="header61.xml"/><Relationship Id="rId103" Type="http://schemas.openxmlformats.org/officeDocument/2006/relationships/hyperlink" Target="http://www.sinpermiso.info/" TargetMode="External"/><Relationship Id="rId104" Type="http://schemas.openxmlformats.org/officeDocument/2006/relationships/header" Target="header62.xml"/><Relationship Id="rId105" Type="http://schemas.openxmlformats.org/officeDocument/2006/relationships/header" Target="header63.xml"/><Relationship Id="rId106" Type="http://schemas.openxmlformats.org/officeDocument/2006/relationships/header" Target="header64.xml"/><Relationship Id="rId107" Type="http://schemas.openxmlformats.org/officeDocument/2006/relationships/header" Target="header65.xml"/><Relationship Id="rId108" Type="http://schemas.openxmlformats.org/officeDocument/2006/relationships/header" Target="header66.xml"/><Relationship Id="rId109" Type="http://schemas.openxmlformats.org/officeDocument/2006/relationships/header" Target="header67.xml"/><Relationship Id="rId110" Type="http://schemas.openxmlformats.org/officeDocument/2006/relationships/header" Target="header68.xml"/><Relationship Id="rId111" Type="http://schemas.openxmlformats.org/officeDocument/2006/relationships/header" Target="header69.xml"/><Relationship Id="rId112" Type="http://schemas.openxmlformats.org/officeDocument/2006/relationships/header" Target="header70.xml"/><Relationship Id="rId113" Type="http://schemas.openxmlformats.org/officeDocument/2006/relationships/header" Target="header71.xml"/><Relationship Id="rId114" Type="http://schemas.openxmlformats.org/officeDocument/2006/relationships/header" Target="header72.xml"/><Relationship Id="rId115" Type="http://schemas.openxmlformats.org/officeDocument/2006/relationships/hyperlink" Target="http://www.fpif.org/" TargetMode="External"/><Relationship Id="rId116" Type="http://schemas.openxmlformats.org/officeDocument/2006/relationships/hyperlink" Target="http://www.iwallerstein.com/" TargetMode="External"/><Relationship Id="rId117" Type="http://schemas.openxmlformats.org/officeDocument/2006/relationships/header" Target="header73.xml"/><Relationship Id="rId118" Type="http://schemas.openxmlformats.org/officeDocument/2006/relationships/header" Target="header74.xml"/><Relationship Id="rId119" Type="http://schemas.openxmlformats.org/officeDocument/2006/relationships/header" Target="header75.xml"/><Relationship Id="rId120" Type="http://schemas.openxmlformats.org/officeDocument/2006/relationships/header" Target="header76.xml"/><Relationship Id="rId121" Type="http://schemas.openxmlformats.org/officeDocument/2006/relationships/header" Target="header77.xml"/><Relationship Id="rId122" Type="http://schemas.openxmlformats.org/officeDocument/2006/relationships/header" Target="header78.xml"/><Relationship Id="rId123" Type="http://schemas.openxmlformats.org/officeDocument/2006/relationships/hyperlink" Target="http://ec.europa.eu/economy_finance/thematic_articles/" TargetMode="External"/><Relationship Id="rId124" Type="http://schemas.openxmlformats.org/officeDocument/2006/relationships/header" Target="header79.xml"/><Relationship Id="rId125" Type="http://schemas.openxmlformats.org/officeDocument/2006/relationships/header" Target="header80.xml"/><Relationship Id="rId126" Type="http://schemas.openxmlformats.org/officeDocument/2006/relationships/header" Target="header81.xml"/><Relationship Id="rId127" Type="http://schemas.openxmlformats.org/officeDocument/2006/relationships/header" Target="header82.xml"/><Relationship Id="rId128" Type="http://schemas.openxmlformats.org/officeDocument/2006/relationships/header" Target="header83.xml"/><Relationship Id="rId129" Type="http://schemas.openxmlformats.org/officeDocument/2006/relationships/header" Target="header84.xml"/><Relationship Id="rId130" Type="http://schemas.openxmlformats.org/officeDocument/2006/relationships/header" Target="header85.xml"/><Relationship Id="rId131" Type="http://schemas.openxmlformats.org/officeDocument/2006/relationships/header" Target="header86.xml"/><Relationship Id="rId132" Type="http://schemas.openxmlformats.org/officeDocument/2006/relationships/hyperlink" Target="http://www.eclac.org/cgi" TargetMode="External"/><Relationship Id="rId133" Type="http://schemas.openxmlformats.org/officeDocument/2006/relationships/hyperlink" Target="http://www.elpais.com/articu-" TargetMode="External"/><Relationship Id="rId134" Type="http://schemas.openxmlformats.org/officeDocument/2006/relationships/hyperlink" Target="http://www.imf.org/exter-" TargetMode="External"/><Relationship Id="rId135" Type="http://schemas.openxmlformats.org/officeDocument/2006/relationships/hyperlink" Target="http://www.ft.org/" TargetMode="External"/><Relationship Id="rId136" Type="http://schemas.openxmlformats.org/officeDocument/2006/relationships/hyperlink" Target="http://www.rebelion.org/noticia.php?id=105573" TargetMode="External"/><Relationship Id="rId137" Type="http://schemas.openxmlformats.org/officeDocument/2006/relationships/header" Target="header87.xml"/><Relationship Id="rId138" Type="http://schemas.openxmlformats.org/officeDocument/2006/relationships/header" Target="header88.xml"/><Relationship Id="rId139" Type="http://schemas.openxmlformats.org/officeDocument/2006/relationships/header" Target="header89.xml"/><Relationship Id="rId140" Type="http://schemas.openxmlformats.org/officeDocument/2006/relationships/header" Target="header90.xml"/><Relationship Id="rId141" Type="http://schemas.openxmlformats.org/officeDocument/2006/relationships/header" Target="header91.xml"/><Relationship Id="rId142" Type="http://schemas.openxmlformats.org/officeDocument/2006/relationships/header" Target="header92.xml"/><Relationship Id="rId143" Type="http://schemas.openxmlformats.org/officeDocument/2006/relationships/header" Target="header93.xml"/><Relationship Id="rId144" Type="http://schemas.openxmlformats.org/officeDocument/2006/relationships/header" Target="header94.xml"/><Relationship Id="rId145" Type="http://schemas.openxmlformats.org/officeDocument/2006/relationships/header" Target="header95.xml"/><Relationship Id="rId146" Type="http://schemas.openxmlformats.org/officeDocument/2006/relationships/hyperlink" Target="http://www.federalreserve.gov/releases/H10/Sum-" TargetMode="External"/><Relationship Id="rId147" Type="http://schemas.openxmlformats.org/officeDocument/2006/relationships/header" Target="header96.xml"/><Relationship Id="rId148" Type="http://schemas.openxmlformats.org/officeDocument/2006/relationships/header" Target="header97.xml"/><Relationship Id="rId149" Type="http://schemas.openxmlformats.org/officeDocument/2006/relationships/hyperlink" Target="http://www.iie.com/" TargetMode="External"/><Relationship Id="rId150" Type="http://schemas.openxmlformats.org/officeDocument/2006/relationships/hyperlink" Target="http://www.fondad.org/" TargetMode="External"/><Relationship Id="rId151" Type="http://schemas.openxmlformats.org/officeDocument/2006/relationships/hyperlink" Target="http://www.bea.gov/newsreleases/rels.htm" TargetMode="External"/><Relationship Id="rId152" Type="http://schemas.openxmlformats.org/officeDocument/2006/relationships/hyperlink" Target="http://www.redem.buap.mx/" TargetMode="External"/><Relationship Id="rId153" Type="http://schemas.openxmlformats.org/officeDocument/2006/relationships/hyperlink" Target="http://www.sciencedirect.cim/" TargetMode="External"/><Relationship Id="rId154" Type="http://schemas.openxmlformats.org/officeDocument/2006/relationships/hyperlink" Target="http://opencrs/" TargetMode="External"/><Relationship Id="rId155" Type="http://schemas.openxmlformats.org/officeDocument/2006/relationships/header" Target="header98.xml"/><Relationship Id="rId156" Type="http://schemas.openxmlformats.org/officeDocument/2006/relationships/header" Target="header99.xml"/><Relationship Id="rId157" Type="http://schemas.openxmlformats.org/officeDocument/2006/relationships/header" Target="header100.xml"/><Relationship Id="rId158" Type="http://schemas.openxmlformats.org/officeDocument/2006/relationships/image" Target="media/image31.png"/><Relationship Id="rId159" Type="http://schemas.openxmlformats.org/officeDocument/2006/relationships/hyperlink" Target="http://research.stlouisfed.org/fred2/series/DGS3MO?cid=115" TargetMode="External"/><Relationship Id="rId160" Type="http://schemas.openxmlformats.org/officeDocument/2006/relationships/header" Target="header101.xml"/><Relationship Id="rId161" Type="http://schemas.openxmlformats.org/officeDocument/2006/relationships/header" Target="header102.xml"/><Relationship Id="rId162" Type="http://schemas.openxmlformats.org/officeDocument/2006/relationships/header" Target="header103.xml"/><Relationship Id="rId163" Type="http://schemas.openxmlformats.org/officeDocument/2006/relationships/header" Target="header104.xml"/><Relationship Id="rId164" Type="http://schemas.openxmlformats.org/officeDocument/2006/relationships/header" Target="header105.xml"/><Relationship Id="rId165" Type="http://schemas.openxmlformats.org/officeDocument/2006/relationships/header" Target="header106.xml"/><Relationship Id="rId166" Type="http://schemas.openxmlformats.org/officeDocument/2006/relationships/header" Target="header107.xml"/><Relationship Id="rId167" Type="http://schemas.openxmlformats.org/officeDocument/2006/relationships/hyperlink" Target="http://www.imf.org/external/pubs/ft/weo/2007/update/01/pdf/eng/0707" TargetMode="External"/><Relationship Id="rId168" Type="http://schemas.openxmlformats.org/officeDocument/2006/relationships/hyperlink" Target="http://krugman.blogs.nytimes/" TargetMode="External"/><Relationship Id="rId169" Type="http://schemas.openxmlformats.org/officeDocument/2006/relationships/header" Target="header108.xml"/><Relationship Id="rId170" Type="http://schemas.openxmlformats.org/officeDocument/2006/relationships/header" Target="header109.xml"/><Relationship Id="rId171" Type="http://schemas.openxmlformats.org/officeDocument/2006/relationships/header" Target="header110.xml"/><Relationship Id="rId172" Type="http://schemas.openxmlformats.org/officeDocument/2006/relationships/header" Target="header111.xml"/><Relationship Id="rId173" Type="http://schemas.openxmlformats.org/officeDocument/2006/relationships/header" Target="header112.xml"/><Relationship Id="rId174" Type="http://schemas.openxmlformats.org/officeDocument/2006/relationships/header" Target="header113.xml"/><Relationship Id="rId175" Type="http://schemas.openxmlformats.org/officeDocument/2006/relationships/header" Target="header114.xml"/><Relationship Id="rId176" Type="http://schemas.openxmlformats.org/officeDocument/2006/relationships/header" Target="header115.xml"/><Relationship Id="rId177" Type="http://schemas.openxmlformats.org/officeDocument/2006/relationships/header" Target="header116.xml"/><Relationship Id="rId178" Type="http://schemas.openxmlformats.org/officeDocument/2006/relationships/header" Target="header117.xml"/><Relationship Id="rId179" Type="http://schemas.openxmlformats.org/officeDocument/2006/relationships/header" Target="header118.xml"/><Relationship Id="rId180" Type="http://schemas.openxmlformats.org/officeDocument/2006/relationships/hyperlink" Target="http://www.npr.org/2011/01/26/133224933/transcript-obamas-state-of-union-" TargetMode="External"/><Relationship Id="rId181" Type="http://schemas.openxmlformats.org/officeDocument/2006/relationships/header" Target="header119.xml"/><Relationship Id="rId182" Type="http://schemas.openxmlformats.org/officeDocument/2006/relationships/header" Target="header120.xml"/><Relationship Id="rId183" Type="http://schemas.openxmlformats.org/officeDocument/2006/relationships/header" Target="header121.xml"/><Relationship Id="rId184" Type="http://schemas.openxmlformats.org/officeDocument/2006/relationships/header" Target="header122.xml"/><Relationship Id="rId185" Type="http://schemas.openxmlformats.org/officeDocument/2006/relationships/header" Target="header123.xml"/><Relationship Id="rId186" Type="http://schemas.openxmlformats.org/officeDocument/2006/relationships/header" Target="header124.xml"/><Relationship Id="rId187" Type="http://schemas.openxmlformats.org/officeDocument/2006/relationships/header" Target="header125.xml"/><Relationship Id="rId188" Type="http://schemas.openxmlformats.org/officeDocument/2006/relationships/header" Target="header126.xml"/><Relationship Id="rId189" Type="http://schemas.openxmlformats.org/officeDocument/2006/relationships/header" Target="header127.xml"/><Relationship Id="rId190" Type="http://schemas.openxmlformats.org/officeDocument/2006/relationships/header" Target="header128.xml"/><Relationship Id="rId191" Type="http://schemas.openxmlformats.org/officeDocument/2006/relationships/header" Target="header129.xml"/><Relationship Id="rId192" Type="http://schemas.openxmlformats.org/officeDocument/2006/relationships/header" Target="header130.xml"/><Relationship Id="rId193" Type="http://schemas.openxmlformats.org/officeDocument/2006/relationships/header" Target="header131.xml"/><Relationship Id="rId194" Type="http://schemas.openxmlformats.org/officeDocument/2006/relationships/header" Target="header132.xml"/><Relationship Id="rId195" Type="http://schemas.openxmlformats.org/officeDocument/2006/relationships/header" Target="header133.xml"/><Relationship Id="rId196" Type="http://schemas.openxmlformats.org/officeDocument/2006/relationships/hyperlink" Target="http://ec.europa.eu/economy_finance/index_en.htm" TargetMode="External"/><Relationship Id="rId197" Type="http://schemas.openxmlformats.org/officeDocument/2006/relationships/hyperlink" Target="http://alainet.org/" TargetMode="External"/><Relationship Id="rId198" Type="http://schemas.openxmlformats.org/officeDocument/2006/relationships/hyperlink" Target="http://alainet.org/active/36546" TargetMode="External"/><Relationship Id="rId199" Type="http://schemas.openxmlformats.org/officeDocument/2006/relationships/hyperlink" Target="http://www.burbuja.info/inmobilia-" TargetMode="External"/><Relationship Id="rId200" Type="http://schemas.openxmlformats.org/officeDocument/2006/relationships/hyperlink" Target="http://edant.clarin.com/suplementos/" TargetMode="External"/><Relationship Id="rId201" Type="http://schemas.openxmlformats.org/officeDocument/2006/relationships/hyperlink" Target="http://www.vientosur.info/articulosabiertos/VIENTOSUR-nume-" TargetMode="External"/><Relationship Id="rId202" Type="http://schemas.openxmlformats.org/officeDocument/2006/relationships/hyperlink" Target="http://www.vientosur.info/articulosweb/index.php?pag=81" TargetMode="External"/><Relationship Id="rId203" Type="http://schemas.openxmlformats.org/officeDocument/2006/relationships/hyperlink" Target="http://www.rebelion.org/noticia.php?id=112642" TargetMode="External"/><Relationship Id="rId204" Type="http://schemas.openxmlformats.org/officeDocument/2006/relationships/hyperlink" Target="http://usinfo/" TargetMode="External"/><Relationship Id="rId205" Type="http://schemas.openxmlformats.org/officeDocument/2006/relationships/hyperlink" Target="http://www.oecd.org/" TargetMode="External"/><Relationship Id="rId206" Type="http://schemas.openxmlformats.org/officeDocument/2006/relationships/hyperlink" Target="http://ac-/" TargetMode="External"/><Relationship Id="rId207" Type="http://schemas.openxmlformats.org/officeDocument/2006/relationships/hyperlink" Target="http://www.archivochile.com/Debate/crisis_08_09/crisis00186.pdf" TargetMode="External"/><Relationship Id="rId208" Type="http://schemas.openxmlformats.org/officeDocument/2006/relationships/hyperlink" Target="http://www.bls.gov/lau/ptable-" TargetMode="External"/><Relationship Id="rId209" Type="http://schemas.openxmlformats.org/officeDocument/2006/relationships/hyperlink" Target="http://www.bls.gov/ces/home.htm" TargetMode="External"/><Relationship Id="rId210" Type="http://schemas.openxmlformats.org/officeDocument/2006/relationships/hyperlink" Target="http://bls/" TargetMode="External"/><Relationship Id="rId211" Type="http://schemas.openxmlformats.org/officeDocument/2006/relationships/hyperlink" Target="http://monthlyreview.org/0706vogel.htm" TargetMode="External"/><Relationship Id="rId212" Type="http://schemas.openxmlformats.org/officeDocument/2006/relationships/hyperlink" Target="http://www.rebelion.org/noticia.php?id=74554" TargetMode="External"/><Relationship Id="rId213" Type="http://schemas.openxmlformats.org/officeDocument/2006/relationships/hyperlink" Target="http://www.diarioelpeso.com/" TargetMode="External"/><Relationship Id="rId214" Type="http://schemas.openxmlformats.org/officeDocument/2006/relationships/hyperlink" Target="http://www.rebelion.org/noticia.php?id=70686" TargetMode="External"/><Relationship Id="rId215" Type="http://schemas.openxmlformats.org/officeDocument/2006/relationships/header" Target="header134.xml"/><Relationship Id="rId216" Type="http://schemas.openxmlformats.org/officeDocument/2006/relationships/header" Target="header135.xml"/><Relationship Id="rId217" Type="http://schemas.openxmlformats.org/officeDocument/2006/relationships/header" Target="header136.xml"/><Relationship Id="rId218" Type="http://schemas.openxmlformats.org/officeDocument/2006/relationships/header" Target="header137.xml"/><Relationship Id="rId219" Type="http://schemas.openxmlformats.org/officeDocument/2006/relationships/header" Target="header138.xml"/><Relationship Id="rId220" Type="http://schemas.openxmlformats.org/officeDocument/2006/relationships/header" Target="header139.xml"/><Relationship Id="rId221" Type="http://schemas.openxmlformats.org/officeDocument/2006/relationships/header" Target="header140.xml"/><Relationship Id="rId222" Type="http://schemas.openxmlformats.org/officeDocument/2006/relationships/image" Target="media/image32.png"/><Relationship Id="rId223" Type="http://schemas.openxmlformats.org/officeDocument/2006/relationships/image" Target="media/image33.png"/><Relationship Id="rId224" Type="http://schemas.openxmlformats.org/officeDocument/2006/relationships/image" Target="media/image34.png"/><Relationship Id="rId225" Type="http://schemas.openxmlformats.org/officeDocument/2006/relationships/image" Target="media/image35.png"/><Relationship Id="rId226" Type="http://schemas.openxmlformats.org/officeDocument/2006/relationships/image" Target="media/image36.png"/><Relationship Id="rId227" Type="http://schemas.openxmlformats.org/officeDocument/2006/relationships/image" Target="media/image37.png"/><Relationship Id="rId228" Type="http://schemas.openxmlformats.org/officeDocument/2006/relationships/image" Target="media/image38.png"/><Relationship Id="rId229" Type="http://schemas.openxmlformats.org/officeDocument/2006/relationships/image" Target="media/image39.png"/><Relationship Id="rId230" Type="http://schemas.openxmlformats.org/officeDocument/2006/relationships/image" Target="media/image40.png"/><Relationship Id="rId231" Type="http://schemas.openxmlformats.org/officeDocument/2006/relationships/image" Target="media/image41.png"/><Relationship Id="rId232" Type="http://schemas.openxmlformats.org/officeDocument/2006/relationships/image" Target="media/image42.png"/><Relationship Id="rId233" Type="http://schemas.openxmlformats.org/officeDocument/2006/relationships/image" Target="media/image43.png"/><Relationship Id="rId234" Type="http://schemas.openxmlformats.org/officeDocument/2006/relationships/header" Target="header141.xml"/><Relationship Id="rId235" Type="http://schemas.openxmlformats.org/officeDocument/2006/relationships/header" Target="header142.xml"/><Relationship Id="rId236" Type="http://schemas.openxmlformats.org/officeDocument/2006/relationships/header" Target="header143.xml"/><Relationship Id="rId237" Type="http://schemas.openxmlformats.org/officeDocument/2006/relationships/header" Target="header144.xml"/><Relationship Id="rId238" Type="http://schemas.openxmlformats.org/officeDocument/2006/relationships/header" Target="header145.xml"/><Relationship Id="rId239" Type="http://schemas.openxmlformats.org/officeDocument/2006/relationships/header" Target="header146.xml"/><Relationship Id="rId240" Type="http://schemas.openxmlformats.org/officeDocument/2006/relationships/header" Target="header147.xml"/><Relationship Id="rId241" Type="http://schemas.openxmlformats.org/officeDocument/2006/relationships/header" Target="header148.xml"/><Relationship Id="rId242" Type="http://schemas.openxmlformats.org/officeDocument/2006/relationships/hyperlink" Target="http://pewhispanic.org/" TargetMode="External"/><Relationship Id="rId243" Type="http://schemas.openxmlformats.org/officeDocument/2006/relationships/hyperlink" Target="http://www.migrationpolicy.org/" TargetMode="External"/><Relationship Id="rId244" Type="http://schemas.openxmlformats.org/officeDocument/2006/relationships/header" Target="header149.xml"/><Relationship Id="rId245" Type="http://schemas.openxmlformats.org/officeDocument/2006/relationships/header" Target="header150.xml"/><Relationship Id="rId246" Type="http://schemas.openxmlformats.org/officeDocument/2006/relationships/header" Target="header151.xml"/><Relationship Id="rId247" Type="http://schemas.openxmlformats.org/officeDocument/2006/relationships/header" Target="header152.xml"/><Relationship Id="rId248" Type="http://schemas.openxmlformats.org/officeDocument/2006/relationships/header" Target="header153.xml"/><Relationship Id="rId249" Type="http://schemas.openxmlformats.org/officeDocument/2006/relationships/header" Target="header154.xml"/><Relationship Id="rId250" Type="http://schemas.openxmlformats.org/officeDocument/2006/relationships/header" Target="header155.xml"/><Relationship Id="rId251" Type="http://schemas.openxmlformats.org/officeDocument/2006/relationships/header" Target="header156.xml"/><Relationship Id="rId252" Type="http://schemas.openxmlformats.org/officeDocument/2006/relationships/header" Target="header157.xml"/><Relationship Id="rId253" Type="http://schemas.openxmlformats.org/officeDocument/2006/relationships/header" Target="header158.xml"/><Relationship Id="rId254" Type="http://schemas.openxmlformats.org/officeDocument/2006/relationships/header" Target="header159.xml"/><Relationship Id="rId255" Type="http://schemas.openxmlformats.org/officeDocument/2006/relationships/hyperlink" Target="http://www.cepr.net/documents/publications/" TargetMode="External"/><Relationship Id="rId256" Type="http://schemas.openxmlformats.org/officeDocument/2006/relationships/hyperlink" Target="http://www.newpol.org/currentissue" TargetMode="External"/><Relationship Id="rId257" Type="http://schemas.openxmlformats.org/officeDocument/2006/relationships/hyperlink" Target="http://web.mit.edu/is08/program" TargetMode="External"/><Relationship Id="rId258" Type="http://schemas.openxmlformats.org/officeDocument/2006/relationships/hyperlink" Target="http://pewresearch.org/pubs/1643/" TargetMode="External"/><Relationship Id="rId259" Type="http://schemas.openxmlformats.org/officeDocument/2006/relationships/hyperlink" Target="http://www.bls.gov/newsrelease/empsit.t22.htm" TargetMode="External"/><Relationship Id="rId260" Type="http://schemas.openxmlformats.org/officeDocument/2006/relationships/header" Target="header160.xml"/><Relationship Id="rId261" Type="http://schemas.openxmlformats.org/officeDocument/2006/relationships/header" Target="header161.xml"/><Relationship Id="rId262" Type="http://schemas.openxmlformats.org/officeDocument/2006/relationships/header" Target="header162.xml"/><Relationship Id="rId263" Type="http://schemas.openxmlformats.org/officeDocument/2006/relationships/header" Target="header163.xml"/><Relationship Id="rId264" Type="http://schemas.openxmlformats.org/officeDocument/2006/relationships/header" Target="header164.xml"/><Relationship Id="rId265" Type="http://schemas.openxmlformats.org/officeDocument/2006/relationships/header" Target="header165.xml"/><Relationship Id="rId266" Type="http://schemas.openxmlformats.org/officeDocument/2006/relationships/header" Target="header166.xml"/><Relationship Id="rId267" Type="http://schemas.openxmlformats.org/officeDocument/2006/relationships/header" Target="header167.xml"/><Relationship Id="rId268" Type="http://schemas.openxmlformats.org/officeDocument/2006/relationships/header" Target="header168.xml"/><Relationship Id="rId269" Type="http://schemas.openxmlformats.org/officeDocument/2006/relationships/header" Target="header169.xml"/><Relationship Id="rId270" Type="http://schemas.openxmlformats.org/officeDocument/2006/relationships/header" Target="header170.xml"/><Relationship Id="rId271" Type="http://schemas.openxmlformats.org/officeDocument/2006/relationships/header" Target="header171.xml"/><Relationship Id="rId272" Type="http://schemas.openxmlformats.org/officeDocument/2006/relationships/header" Target="header172.xml"/><Relationship Id="rId273" Type="http://schemas.openxmlformats.org/officeDocument/2006/relationships/header" Target="header173.xml"/><Relationship Id="rId274" Type="http://schemas.openxmlformats.org/officeDocument/2006/relationships/header" Target="header174.xml"/><Relationship Id="rId275" Type="http://schemas.openxmlformats.org/officeDocument/2006/relationships/header" Target="header175.xml"/><Relationship Id="rId276" Type="http://schemas.openxmlformats.org/officeDocument/2006/relationships/header" Target="header176.xml"/><Relationship Id="rId277" Type="http://schemas.openxmlformats.org/officeDocument/2006/relationships/header" Target="header177.xml"/><Relationship Id="rId278" Type="http://schemas.openxmlformats.org/officeDocument/2006/relationships/header" Target="header178.xml"/><Relationship Id="rId279" Type="http://schemas.openxmlformats.org/officeDocument/2006/relationships/header" Target="header179.xml"/><Relationship Id="rId280" Type="http://schemas.openxmlformats.org/officeDocument/2006/relationships/header" Target="header180.xml"/><Relationship Id="rId281" Type="http://schemas.openxmlformats.org/officeDocument/2006/relationships/header" Target="header181.xml"/><Relationship Id="rId282" Type="http://schemas.openxmlformats.org/officeDocument/2006/relationships/header" Target="header182.xml"/><Relationship Id="rId283" Type="http://schemas.openxmlformats.org/officeDocument/2006/relationships/hyperlink" Target="http://databank.worldbank.org/ddp/home.do?Step=2&amp;amp;id=4" TargetMode="External"/><Relationship Id="rId284" Type="http://schemas.openxmlformats.org/officeDocument/2006/relationships/header" Target="header183.xml"/><Relationship Id="rId285" Type="http://schemas.openxmlformats.org/officeDocument/2006/relationships/header" Target="header184.xml"/><Relationship Id="rId286" Type="http://schemas.openxmlformats.org/officeDocument/2006/relationships/header" Target="header185.xml"/><Relationship Id="rId287" Type="http://schemas.openxmlformats.org/officeDocument/2006/relationships/header" Target="header186.xml"/><Relationship Id="rId288" Type="http://schemas.openxmlformats.org/officeDocument/2006/relationships/header" Target="header187.xml"/><Relationship Id="rId289" Type="http://schemas.openxmlformats.org/officeDocument/2006/relationships/header" Target="header188.xml"/><Relationship Id="rId290" Type="http://schemas.openxmlformats.org/officeDocument/2006/relationships/header" Target="header189.xml"/><Relationship Id="rId291" Type="http://schemas.openxmlformats.org/officeDocument/2006/relationships/header" Target="header190.xml"/><Relationship Id="rId292" Type="http://schemas.openxmlformats.org/officeDocument/2006/relationships/header" Target="header191.xml"/><Relationship Id="rId293" Type="http://schemas.openxmlformats.org/officeDocument/2006/relationships/header" Target="header192.xml"/><Relationship Id="rId294" Type="http://schemas.openxmlformats.org/officeDocument/2006/relationships/header" Target="header193.xml"/><Relationship Id="rId295" Type="http://schemas.openxmlformats.org/officeDocument/2006/relationships/header" Target="header194.xml"/><Relationship Id="rId296" Type="http://schemas.openxmlformats.org/officeDocument/2006/relationships/header" Target="header195.xml"/><Relationship Id="rId297" Type="http://schemas.openxmlformats.org/officeDocument/2006/relationships/header" Target="header196.xml"/><Relationship Id="rId298" Type="http://schemas.openxmlformats.org/officeDocument/2006/relationships/header" Target="header197.xml"/><Relationship Id="rId299" Type="http://schemas.openxmlformats.org/officeDocument/2006/relationships/hyperlink" Target="http://www.crnm.org/" TargetMode="External"/><Relationship Id="rId300" Type="http://schemas.openxmlformats.org/officeDocument/2006/relationships/hyperlink" Target="http://marcoagandasegui.blogspot.com/" TargetMode="External"/><Relationship Id="rId301" Type="http://schemas.openxmlformats.org/officeDocument/2006/relationships/hyperlink" Target="http://www.centrodealerta.org/noticias/estados_unidos_fi-" TargetMode="External"/><Relationship Id="rId302" Type="http://schemas.openxmlformats.org/officeDocument/2006/relationships/hyperlink" Target="http://marcoagandasegui10.blogspot.com/" TargetMode="External"/><Relationship Id="rId303" Type="http://schemas.openxmlformats.org/officeDocument/2006/relationships/hyperlink" Target="http://www.salacela.net/" TargetMode="External"/><Relationship Id="rId304" Type="http://schemas.openxmlformats.org/officeDocument/2006/relationships/hyperlink" Target="http://www.laprensa.com.ni/2010/04/11/politica/21461" TargetMode="External"/><Relationship Id="rId305" Type="http://schemas.openxmlformats.org/officeDocument/2006/relationships/hyperlink" Target="http://www.cepr.net/index" TargetMode="External"/><Relationship Id="rId306" Type="http://schemas.openxmlformats.org/officeDocument/2006/relationships/header" Target="header198.xml"/><Relationship Id="rId307" Type="http://schemas.openxmlformats.org/officeDocument/2006/relationships/header" Target="header199.xml"/><Relationship Id="rId308" Type="http://schemas.openxmlformats.org/officeDocument/2006/relationships/header" Target="header200.xml"/><Relationship Id="rId309" Type="http://schemas.openxmlformats.org/officeDocument/2006/relationships/header" Target="header201.xml"/><Relationship Id="rId310" Type="http://schemas.openxmlformats.org/officeDocument/2006/relationships/header" Target="header202.xml"/><Relationship Id="rId311" Type="http://schemas.openxmlformats.org/officeDocument/2006/relationships/header" Target="header203.xml"/><Relationship Id="rId312" Type="http://schemas.openxmlformats.org/officeDocument/2006/relationships/header" Target="header204.xml"/><Relationship Id="rId313" Type="http://schemas.openxmlformats.org/officeDocument/2006/relationships/header" Target="header205.xml"/><Relationship Id="rId314" Type="http://schemas.openxmlformats.org/officeDocument/2006/relationships/header" Target="header206.xml"/><Relationship Id="rId315" Type="http://schemas.openxmlformats.org/officeDocument/2006/relationships/header" Target="header207.xml"/><Relationship Id="rId316" Type="http://schemas.openxmlformats.org/officeDocument/2006/relationships/header" Target="header208.xml"/><Relationship Id="rId317" Type="http://schemas.openxmlformats.org/officeDocument/2006/relationships/hyperlink" Target="http://www.cgdev.org/" TargetMode="External"/><Relationship Id="rId318" Type="http://schemas.openxmlformats.org/officeDocument/2006/relationships/hyperlink" Target="http://www.rebelion.org/noticia.php?id=60301" TargetMode="External"/><Relationship Id="rId319" Type="http://schemas.openxmlformats.org/officeDocument/2006/relationships/hyperlink" Target="http://www.terrorfileonline.org/" TargetMode="External"/><Relationship Id="rId320" Type="http://schemas.openxmlformats.org/officeDocument/2006/relationships/hyperlink" Target="http://axisoflogic.com/artman/publish/Article_57403.shtm" TargetMode="External"/><Relationship Id="rId321" Type="http://schemas.openxmlformats.org/officeDocument/2006/relationships/hyperlink" Target="http://obama.3cdn.net/85c9392c81570937d6_lqomvygpq" TargetMode="External"/><Relationship Id="rId322" Type="http://schemas.openxmlformats.org/officeDocument/2006/relationships/hyperlink" Target="http://bibliotecavirtual.clacso.org.ar/ar/libros/becas/2005/alcajov/" TargetMode="External"/><Relationship Id="rId323" Type="http://schemas.openxmlformats.org/officeDocument/2006/relationships/hyperlink" Target="http://www.brookings.edu/articles/2009/%7E/media/Files/rc/arti-" TargetMode="External"/><Relationship Id="rId324" Type="http://schemas.openxmlformats.org/officeDocument/2006/relationships/hyperlink" Target="http://www.brookings.edu/" TargetMode="External"/><Relationship Id="rId325" Type="http://schemas.openxmlformats.org/officeDocument/2006/relationships/hyperlink" Target="http://www.cfr.org/" TargetMode="External"/><Relationship Id="rId326" Type="http://schemas.openxmlformats.org/officeDocument/2006/relationships/hyperlink" Target="http://www.whitehouse.gov/omb/assets/fy2010_new_era/Department_of_Sta-" TargetMode="External"/><Relationship Id="rId327" Type="http://schemas.openxmlformats.org/officeDocument/2006/relationships/hyperlink" Target="http://www.usaid.gov/policy/budget/cbj2009/101415" TargetMode="External"/><Relationship Id="rId328" Type="http://schemas.openxmlformats.org/officeDocument/2006/relationships/hyperlink" Target="http://foreign.senate.gov/tes-" TargetMode="External"/><Relationship Id="rId329" Type="http://schemas.openxmlformats.org/officeDocument/2006/relationships/hyperlink" Target="http://frwebgate.access.gpo.gov/cgi-bin/getdoc" TargetMode="External"/><Relationship Id="rId330" Type="http://schemas.openxmlformats.org/officeDocument/2006/relationships/hyperlink" Target="http://www.whitehouse.gov/" TargetMode="External"/><Relationship Id="rId331" Type="http://schemas.openxmlformats.org/officeDocument/2006/relationships/hyperlink" Target="http://www.usaid.gov/about_usaid/usaidhist.html" TargetMode="External"/><Relationship Id="rId332" Type="http://schemas.openxmlformats.org/officeDocument/2006/relationships/hyperlink" Target="http://www.usaid.gov/our_work/democracy_and_governance/08partner_con-" TargetMode="External"/><Relationship Id="rId333" Type="http://schemas.openxmlformats.org/officeDocument/2006/relationships/header" Target="header209.xml"/><Relationship Id="rId334" Type="http://schemas.openxmlformats.org/officeDocument/2006/relationships/header" Target="header210.xml"/><Relationship Id="rId335" Type="http://schemas.openxmlformats.org/officeDocument/2006/relationships/header" Target="header211.xml"/><Relationship Id="rId336" Type="http://schemas.openxmlformats.org/officeDocument/2006/relationships/header" Target="header212.xml"/><Relationship Id="rId337" Type="http://schemas.openxmlformats.org/officeDocument/2006/relationships/header" Target="header213.xml"/><Relationship Id="rId338" Type="http://schemas.openxmlformats.org/officeDocument/2006/relationships/header" Target="header214.xml"/><Relationship Id="rId339" Type="http://schemas.openxmlformats.org/officeDocument/2006/relationships/header" Target="header215.xml"/><Relationship Id="rId340" Type="http://schemas.openxmlformats.org/officeDocument/2006/relationships/hyperlink" Target="http://usinfo.state.gov/esp/" TargetMode="External"/><Relationship Id="rId341" Type="http://schemas.openxmlformats.org/officeDocument/2006/relationships/header" Target="header216.xml"/><Relationship Id="rId342" Type="http://schemas.openxmlformats.org/officeDocument/2006/relationships/header" Target="header217.xml"/><Relationship Id="rId343" Type="http://schemas.openxmlformats.org/officeDocument/2006/relationships/hyperlink" Target="http://www.america.gov/st/peace-" TargetMode="External"/><Relationship Id="rId344" Type="http://schemas.openxmlformats.org/officeDocument/2006/relationships/hyperlink" Target="http://www.realinstitutoelcano.org/wps/portal/rielcano/" TargetMode="External"/><Relationship Id="rId345" Type="http://schemas.openxmlformats.org/officeDocument/2006/relationships/hyperlink" Target="http://www.realinstitutoelcano.org/wps/portal/" TargetMode="External"/><Relationship Id="rId346" Type="http://schemas.openxmlformats.org/officeDocument/2006/relationships/hyperlink" Target="http://www.realinstitutoelcano.org/wps/portal/rielcano/contenido?WCM_" TargetMode="External"/><Relationship Id="rId347" Type="http://schemas.openxmlformats.org/officeDocument/2006/relationships/hyperlink" Target="http://merln.ndu.edu/whitepapers/" TargetMode="External"/><Relationship Id="rId348" Type="http://schemas.openxmlformats.org/officeDocument/2006/relationships/header" Target="header218.xml"/><Relationship Id="rId349" Type="http://schemas.openxmlformats.org/officeDocument/2006/relationships/header" Target="header219.xml"/><Relationship Id="rId350" Type="http://schemas.openxmlformats.org/officeDocument/2006/relationships/header" Target="header220.xml"/><Relationship Id="rId351" Type="http://schemas.openxmlformats.org/officeDocument/2006/relationships/header" Target="header221.xml"/><Relationship Id="rId352" Type="http://schemas.openxmlformats.org/officeDocument/2006/relationships/header" Target="header222.xml"/><Relationship Id="rId353" Type="http://schemas.openxmlformats.org/officeDocument/2006/relationships/header" Target="header223.xml"/><Relationship Id="rId354" Type="http://schemas.openxmlformats.org/officeDocument/2006/relationships/header" Target="header224.xml"/><Relationship Id="rId355" Type="http://schemas.openxmlformats.org/officeDocument/2006/relationships/header" Target="header225.xml"/><Relationship Id="rId356" Type="http://schemas.openxmlformats.org/officeDocument/2006/relationships/header" Target="header226.xml"/><Relationship Id="rId357" Type="http://schemas.openxmlformats.org/officeDocument/2006/relationships/header" Target="header227.xml"/><Relationship Id="rId358" Type="http://schemas.openxmlformats.org/officeDocument/2006/relationships/header" Target="header228.xml"/><Relationship Id="rId359" Type="http://schemas.openxmlformats.org/officeDocument/2006/relationships/header" Target="header229.xml"/><Relationship Id="rId360" Type="http://schemas.openxmlformats.org/officeDocument/2006/relationships/hyperlink" Target="http://www.iramericas.org/esp/870" TargetMode="External"/><Relationship Id="rId361" Type="http://schemas.openxmlformats.org/officeDocument/2006/relationships/hyperlink" Target="http://www.realinstitutoelcano.org/" TargetMode="External"/><Relationship Id="rId362" Type="http://schemas.openxmlformats.org/officeDocument/2006/relationships/hyperlink" Target="http://www.panoramaminero.com.ar/home.htm" TargetMode="External"/><Relationship Id="rId363" Type="http://schemas.openxmlformats.org/officeDocument/2006/relationships/hyperlink" Target="http://www.eclac.org/publicaciones/xml/3/28393/lcg2336e.pdf" TargetMode="External"/><Relationship Id="rId364" Type="http://schemas.openxmlformats.org/officeDocument/2006/relationships/hyperlink" Target="http://www.eclac.cl/" TargetMode="External"/><Relationship Id="rId365" Type="http://schemas.openxmlformats.org/officeDocument/2006/relationships/hyperlink" Target="http://www.southcom.mil/AppsSC/files/0UI01177092386.pdf" TargetMode="External"/><Relationship Id="rId366" Type="http://schemas.openxmlformats.org/officeDocument/2006/relationships/hyperlink" Target="http://www.geocities.com/proyectoemancipacion/" TargetMode="External"/><Relationship Id="rId367" Type="http://schemas.openxmlformats.org/officeDocument/2006/relationships/hyperlink" Target="http://www.voltairenet.org/article144607.html" TargetMode="External"/><Relationship Id="rId368" Type="http://schemas.openxmlformats.org/officeDocument/2006/relationships/hyperlink" Target="http://168.96.200.17/ar/libros/" TargetMode="External"/><Relationship Id="rId369" Type="http://schemas.openxmlformats.org/officeDocument/2006/relationships/hyperlink" Target="http://mexico/" TargetMode="External"/><Relationship Id="rId370" Type="http://schemas.openxmlformats.org/officeDocument/2006/relationships/hyperlink" Target="http://www.cadtm.org/IMG/pdf/LAS_CIFRAS_DE_" TargetMode="External"/><Relationship Id="rId371" Type="http://schemas.openxmlformats.org/officeDocument/2006/relationships/hyperlink" Target="http://www.dhs.gov/xlibrary/assets/nat_strat_hls" TargetMode="External"/><Relationship Id="rId372" Type="http://schemas.openxmlformats.org/officeDocument/2006/relationships/hyperlink" Target="http://www.nodo50.org/tortuga" TargetMode="External"/><Relationship Id="rId373" Type="http://schemas.openxmlformats.org/officeDocument/2006/relationships/hyperlink" Target="http://www.geocities.com/" TargetMode="External"/><Relationship Id="rId374" Type="http://schemas.openxmlformats.org/officeDocument/2006/relationships/header" Target="header230.xml"/><Relationship Id="rId375" Type="http://schemas.openxmlformats.org/officeDocument/2006/relationships/hyperlink" Target="http://www.sica.int/" TargetMode="External"/><Relationship Id="rId376" Type="http://schemas.openxmlformats.org/officeDocument/2006/relationships/hyperlink" Target="http://www.centrocultural.coop/uploads/cuaderno66.pdf" TargetMode="External"/><Relationship Id="rId377" Type="http://schemas.openxmlformats.org/officeDocument/2006/relationships/hyperlink" Target="http://pdf.wri.org/" TargetMode="External"/><Relationship Id="rId378" Type="http://schemas.openxmlformats.org/officeDocument/2006/relationships/header" Target="header231.xml"/><Relationship Id="rId379" Type="http://schemas.openxmlformats.org/officeDocument/2006/relationships/hyperlink" Target="http://www.mindefensa.gov.co/descargas/Documentos_Home/" TargetMode="External"/><Relationship Id="rId380" Type="http://schemas.openxmlformats.org/officeDocument/2006/relationships/header" Target="header232.xml"/><Relationship Id="rId381" Type="http://schemas.openxmlformats.org/officeDocument/2006/relationships/header" Target="header233.xml"/><Relationship Id="rId382" Type="http://schemas.openxmlformats.org/officeDocument/2006/relationships/header" Target="header234.xml"/><Relationship Id="rId383" Type="http://schemas.openxmlformats.org/officeDocument/2006/relationships/header" Target="header235.xml"/><Relationship Id="rId384" Type="http://schemas.openxmlformats.org/officeDocument/2006/relationships/header" Target="header236.xml"/><Relationship Id="rId385" Type="http://schemas.openxmlformats.org/officeDocument/2006/relationships/header" Target="header237.xml"/><Relationship Id="rId386" Type="http://schemas.openxmlformats.org/officeDocument/2006/relationships/header" Target="header238.xml"/><Relationship Id="rId387" Type="http://schemas.openxmlformats.org/officeDocument/2006/relationships/header" Target="header239.xml"/><Relationship Id="rId388" Type="http://schemas.openxmlformats.org/officeDocument/2006/relationships/hyperlink" Target="http://news.bostonherald.com/news/international/americas/" TargetMode="External"/><Relationship Id="rId389" Type="http://schemas.openxmlformats.org/officeDocument/2006/relationships/header" Target="header240.xml"/><Relationship Id="rId390" Type="http://schemas.openxmlformats.org/officeDocument/2006/relationships/header" Target="header241.xml"/><Relationship Id="rId391" Type="http://schemas.openxmlformats.org/officeDocument/2006/relationships/hyperlink" Target="http://www.voltairenet.org/article157134.html" TargetMode="External"/><Relationship Id="rId392" Type="http://schemas.openxmlformats.org/officeDocument/2006/relationships/hyperlink" Target="http://www.democracynow.org/" TargetMode="External"/><Relationship Id="rId393" Type="http://schemas.openxmlformats.org/officeDocument/2006/relationships/hyperlink" Target="http://www.latimes.com/news/nationworld/world/la-fg-" TargetMode="External"/><Relationship Id="rId394" Type="http://schemas.openxmlformats.org/officeDocument/2006/relationships/hyperlink" Target="http://www.reuters.com/" TargetMode="External"/><Relationship Id="rId395" Type="http://schemas.openxmlformats.org/officeDocument/2006/relationships/hyperlink" Target="http://thehill.com/business--lobby/white-house-expected-" TargetMode="External"/><Relationship Id="rId396" Type="http://schemas.openxmlformats.org/officeDocument/2006/relationships/hyperlink" Target="http://www.ustr.gov/Document_Library/Letters_to_Con-" TargetMode="External"/><Relationship Id="rId397" Type="http://schemas.openxmlformats.org/officeDocument/2006/relationships/hyperlink" Target="http://www.publico.es/" TargetMode="External"/><Relationship Id="rId398" Type="http://schemas.openxmlformats.org/officeDocument/2006/relationships/hyperlink" Target="http://hrw.org/spanish/docs/2008/01/23/colomb17851.htm" TargetMode="External"/><Relationship Id="rId399" Type="http://schemas.openxmlformats.org/officeDocument/2006/relationships/hyperlink" Target="http://alainet.org/rss.phtml" TargetMode="External"/><Relationship Id="rId400" Type="http://schemas.openxmlformats.org/officeDocument/2006/relationships/header" Target="header242.xml"/><Relationship Id="rId401" Type="http://schemas.openxmlformats.org/officeDocument/2006/relationships/header" Target="header243.xml"/><Relationship Id="rId402" Type="http://schemas.openxmlformats.org/officeDocument/2006/relationships/header" Target="header244.xml"/><Relationship Id="rId403" Type="http://schemas.openxmlformats.org/officeDocument/2006/relationships/header" Target="header245.xml"/><Relationship Id="rId404" Type="http://schemas.openxmlformats.org/officeDocument/2006/relationships/header" Target="header246.xml"/><Relationship Id="rId405" Type="http://schemas.openxmlformats.org/officeDocument/2006/relationships/header" Target="header247.xml"/><Relationship Id="rId406" Type="http://schemas.openxmlformats.org/officeDocument/2006/relationships/header" Target="header248.xml"/><Relationship Id="rId407" Type="http://schemas.openxmlformats.org/officeDocument/2006/relationships/header" Target="header249.xml"/><Relationship Id="rId408" Type="http://schemas.openxmlformats.org/officeDocument/2006/relationships/header" Target="header250.xml"/><Relationship Id="rId409" Type="http://schemas.openxmlformats.org/officeDocument/2006/relationships/header" Target="header251.xml"/><Relationship Id="rId410" Type="http://schemas.openxmlformats.org/officeDocument/2006/relationships/header" Target="header252.xml"/><Relationship Id="rId411" Type="http://schemas.openxmlformats.org/officeDocument/2006/relationships/header" Target="header253.xml"/><Relationship Id="rId412" Type="http://schemas.openxmlformats.org/officeDocument/2006/relationships/hyperlink" Target="mailto:theotoni@terra.com.br" TargetMode="External"/><Relationship Id="rId413" Type="http://schemas.openxmlformats.org/officeDocument/2006/relationships/hyperlink" Target="mailto:jsaxef@gmail.com" TargetMode="External"/><Relationship Id="rId414" Type="http://schemas.openxmlformats.org/officeDocument/2006/relationships/header" Target="header254.xml"/><Relationship Id="rId415" Type="http://schemas.openxmlformats.org/officeDocument/2006/relationships/hyperlink" Target="mailto:cadu.m@uol.com.br" TargetMode="External"/><Relationship Id="rId416" Type="http://schemas.openxmlformats.org/officeDocument/2006/relationships/hyperlink" Target="mailto:ocaputo@gmail.com" TargetMode="External"/><Relationship Id="rId417" Type="http://schemas.openxmlformats.org/officeDocument/2006/relationships/hyperlink" Target="mailto:ornelasdelgadojaime@hotmail.com" TargetMode="External"/><Relationship Id="rId418" Type="http://schemas.openxmlformats.org/officeDocument/2006/relationships/header" Target="header255.xml"/><Relationship Id="rId419" Type="http://schemas.openxmlformats.org/officeDocument/2006/relationships/hyperlink" Target="mailto:gandasegui@hotmail.com" TargetMode="External"/><Relationship Id="rId420" Type="http://schemas.openxmlformats.org/officeDocument/2006/relationships/hyperlink" Target="mailto:sotelov@infinitum.com.mx" TargetMode="External"/><Relationship Id="rId421" Type="http://schemas.openxmlformats.org/officeDocument/2006/relationships/hyperlink" Target="mailto:kcoba@uh.cu" TargetMode="External"/><Relationship Id="rId422" Type="http://schemas.openxmlformats.org/officeDocument/2006/relationships/header" Target="header256.xml"/><Relationship Id="rId423" Type="http://schemas.openxmlformats.org/officeDocument/2006/relationships/hyperlink" Target="mailto:danielmunevar@gmail.com" TargetMode="External"/><Relationship Id="rId424" Type="http://schemas.openxmlformats.org/officeDocument/2006/relationships/hyperlink" Target="mailto:fabio@uh.cu" TargetMode="External"/><Relationship Id="rId425" Type="http://schemas.openxmlformats.org/officeDocument/2006/relationships/hyperlink" Target="mailto:didimo99@prodigy.net.mx" TargetMode="External"/><Relationship Id="rId426" Type="http://schemas.openxmlformats.org/officeDocument/2006/relationships/header" Target="header257.xml"/><Relationship Id="rId427" Type="http://schemas.openxmlformats.org/officeDocument/2006/relationships/hyperlink" Target="mailto:acanales60@gmail.com" TargetMode="External"/><Relationship Id="rId428" Type="http://schemas.openxmlformats.org/officeDocument/2006/relationships/hyperlink" Target="mailto:cypher@sti.net" TargetMode="External"/><Relationship Id="rId429" Type="http://schemas.openxmlformats.org/officeDocument/2006/relationships/header" Target="header258.xml"/><Relationship Id="rId430" Type="http://schemas.openxmlformats.org/officeDocument/2006/relationships/hyperlink" Target="mailto:jhernand@uh.cu" TargetMode="External"/><Relationship Id="rId431" Type="http://schemas.openxmlformats.org/officeDocument/2006/relationships/hyperlink" Target="mailto:dario.salinas@uia.mx" TargetMode="External"/><Relationship Id="rId432" Type="http://schemas.openxmlformats.org/officeDocument/2006/relationships/hyperlink" Target="mailto:luisuarez@cubarte.cult.cu" TargetMode="External"/><Relationship Id="rId433" Type="http://schemas.openxmlformats.org/officeDocument/2006/relationships/header" Target="header259.xml"/><Relationship Id="rId434" Type="http://schemas.openxmlformats.org/officeDocument/2006/relationships/hyperlink" Target="mailto:celesteromano@yahoo.com.ar" TargetMode="External"/><Relationship Id="rId435" Type="http://schemas.openxmlformats.org/officeDocument/2006/relationships/hyperlink" Target="mailto:jzuluagan@yahoo.es" TargetMode="External"/><Relationship Id="rId436" Type="http://schemas.openxmlformats.org/officeDocument/2006/relationships/hyperlink" Target="mailto:rodriguezrejas.mariajose@gmail.com" TargetMode="External"/><Relationship Id="rId437" Type="http://schemas.openxmlformats.org/officeDocument/2006/relationships/header" Target="header260.xml"/><Relationship Id="rId438" Type="http://schemas.openxmlformats.org/officeDocument/2006/relationships/hyperlink" Target="mailto:toroperez.catalina1@gmail.com" TargetMode="External"/><Relationship Id="rId439" Type="http://schemas.openxmlformats.org/officeDocument/2006/relationships/hyperlink" Target="mailto:giandelgado@unam.mx" TargetMode="External"/><Relationship Id="rId440" Type="http://schemas.openxmlformats.org/officeDocument/2006/relationships/header" Target="header261.xml"/><Relationship Id="rId441" Type="http://schemas.openxmlformats.org/officeDocument/2006/relationships/header" Target="header262.xml"/><Relationship Id="rId442" Type="http://schemas.openxmlformats.org/officeDocument/2006/relationships/header" Target="header263.xml"/><Relationship Id="rId443" Type="http://schemas.openxmlformats.org/officeDocument/2006/relationships/header" Target="header264.xml"/><Relationship Id="rId4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2017-05-31T20:12:54Z</dcterms:created>
  <dcterms:modified xsi:type="dcterms:W3CDTF">2017-05-31T20:12:54Z</dcterms:modified>
</cp:coreProperties>
</file>